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007" w:rsidRPr="00A23740" w:rsidRDefault="004F0972" w:rsidP="00405672">
      <w:pPr>
        <w:pStyle w:val="Mavi"/>
        <w:jc w:val="center"/>
        <w:rPr>
          <w:lang w:val="tr-TR"/>
        </w:rPr>
      </w:pPr>
      <w:bookmarkStart w:id="0" w:name="_GoBack"/>
      <w:bookmarkEnd w:id="0"/>
      <w:r w:rsidRPr="00A23740">
        <w:rPr>
          <w:lang w:val="tr-TR"/>
        </w:rPr>
        <w:t>CEBRÎ</w:t>
      </w:r>
      <w:r w:rsidR="00286987" w:rsidRPr="00A23740">
        <w:rPr>
          <w:lang w:val="tr-TR"/>
        </w:rPr>
        <w:t xml:space="preserve"> İCRA KANUNU</w:t>
      </w:r>
      <w:r w:rsidRPr="00A23740">
        <w:rPr>
          <w:lang w:val="tr-TR"/>
        </w:rPr>
        <w:t xml:space="preserve"> TASLAĞI</w:t>
      </w:r>
    </w:p>
    <w:p w:rsidR="00286987" w:rsidRPr="00A23740" w:rsidRDefault="00286987" w:rsidP="00201E68">
      <w:pPr>
        <w:jc w:val="center"/>
        <w:rPr>
          <w:b/>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6996"/>
      </w:tblGrid>
      <w:tr w:rsidR="00A55240" w:rsidRPr="00A23740" w:rsidTr="009431FF">
        <w:tc>
          <w:tcPr>
            <w:tcW w:w="5000" w:type="pct"/>
            <w:gridSpan w:val="2"/>
            <w:shd w:val="clear" w:color="auto" w:fill="DBE5F1"/>
          </w:tcPr>
          <w:p w:rsidR="00A55240" w:rsidRPr="00A23740" w:rsidRDefault="00A55240" w:rsidP="009431FF">
            <w:pPr>
              <w:pStyle w:val="Mavi"/>
              <w:jc w:val="center"/>
              <w:rPr>
                <w:color w:val="auto"/>
                <w:lang w:val="tr-TR"/>
              </w:rPr>
            </w:pPr>
            <w:r w:rsidRPr="00A23740">
              <w:rPr>
                <w:color w:val="auto"/>
                <w:lang w:val="tr-TR"/>
              </w:rPr>
              <w:t>GENEL GEREKÇE</w:t>
            </w:r>
          </w:p>
          <w:p w:rsidR="00FD3463" w:rsidRDefault="00FD3463" w:rsidP="009431FF">
            <w:pPr>
              <w:widowControl w:val="0"/>
              <w:tabs>
                <w:tab w:val="left" w:pos="426"/>
              </w:tabs>
              <w:ind w:firstLine="709"/>
              <w:contextualSpacing/>
              <w:rPr>
                <w:b/>
                <w:szCs w:val="24"/>
              </w:rPr>
            </w:pPr>
          </w:p>
          <w:p w:rsidR="00FD3463" w:rsidRPr="00FD3463" w:rsidRDefault="00FD3463" w:rsidP="009431FF">
            <w:pPr>
              <w:widowControl w:val="0"/>
              <w:tabs>
                <w:tab w:val="left" w:pos="426"/>
              </w:tabs>
              <w:ind w:firstLine="709"/>
              <w:contextualSpacing/>
              <w:rPr>
                <w:b/>
                <w:szCs w:val="24"/>
              </w:rPr>
            </w:pPr>
            <w:r w:rsidRPr="00FD3463">
              <w:rPr>
                <w:b/>
                <w:szCs w:val="24"/>
              </w:rPr>
              <w:t>I. İcra ve İflas Kanunumuzun özellikleri ve yeni bir Cebr</w:t>
            </w:r>
            <w:r w:rsidR="000C282A">
              <w:rPr>
                <w:b/>
                <w:szCs w:val="24"/>
              </w:rPr>
              <w:t>î</w:t>
            </w:r>
            <w:r w:rsidRPr="00FD3463">
              <w:rPr>
                <w:b/>
                <w:szCs w:val="24"/>
              </w:rPr>
              <w:t xml:space="preserve"> İcra Kanunu yapılması ihtiyacı</w:t>
            </w:r>
          </w:p>
          <w:p w:rsidR="00FD3463" w:rsidRPr="00FD3463" w:rsidRDefault="00FD3463" w:rsidP="009431FF">
            <w:pPr>
              <w:widowControl w:val="0"/>
              <w:ind w:firstLine="709"/>
              <w:rPr>
                <w:szCs w:val="24"/>
              </w:rPr>
            </w:pPr>
            <w:r w:rsidRPr="00FD3463">
              <w:rPr>
                <w:szCs w:val="24"/>
              </w:rPr>
              <w:t>H</w:t>
            </w:r>
            <w:r w:rsidR="007B116D">
              <w:rPr>
                <w:szCs w:val="24"/>
              </w:rPr>
              <w:t>â</w:t>
            </w:r>
            <w:r w:rsidRPr="00FD3463">
              <w:rPr>
                <w:szCs w:val="24"/>
              </w:rPr>
              <w:t xml:space="preserve">len yürürlükte olan 1932 tarihli ve 2004 sayılı İcra ve İflas Kanunu esasen İsviçre’nin 1889 tarihli Para Alacaklarının Tahsili </w:t>
            </w:r>
            <w:r w:rsidR="00E37696">
              <w:rPr>
                <w:szCs w:val="24"/>
              </w:rPr>
              <w:t>ve İflas Hakkında Federal Kanun</w:t>
            </w:r>
            <w:r w:rsidRPr="00FD3463">
              <w:rPr>
                <w:szCs w:val="24"/>
              </w:rPr>
              <w:t>undan iktibas yolu ile hazırlanmış olan 1929 tarihli ve 1</w:t>
            </w:r>
            <w:r w:rsidR="00E37696">
              <w:rPr>
                <w:szCs w:val="24"/>
              </w:rPr>
              <w:t>424 sayılı İcra ve İflas Kanunu</w:t>
            </w:r>
            <w:r w:rsidRPr="00FD3463">
              <w:rPr>
                <w:szCs w:val="24"/>
              </w:rPr>
              <w:t>nun revizyona tabi tutularak yeniden kanu</w:t>
            </w:r>
            <w:r w:rsidR="005F763A">
              <w:rPr>
                <w:szCs w:val="24"/>
              </w:rPr>
              <w:t>n numarası almış olan şeklidir.</w:t>
            </w:r>
          </w:p>
          <w:p w:rsidR="00FD3463" w:rsidRPr="00FD3463" w:rsidRDefault="00FD3463" w:rsidP="009431FF">
            <w:pPr>
              <w:widowControl w:val="0"/>
              <w:ind w:firstLine="709"/>
              <w:rPr>
                <w:szCs w:val="24"/>
              </w:rPr>
            </w:pPr>
            <w:r w:rsidRPr="00FD3463">
              <w:rPr>
                <w:szCs w:val="24"/>
              </w:rPr>
              <w:t xml:space="preserve">İcra ve İflas Kanunumuzun mehazı olan </w:t>
            </w:r>
            <w:r w:rsidR="007B116D" w:rsidRPr="00FD3463">
              <w:rPr>
                <w:szCs w:val="24"/>
              </w:rPr>
              <w:t xml:space="preserve">İsviçre’nin </w:t>
            </w:r>
            <w:r w:rsidRPr="00FD3463">
              <w:rPr>
                <w:szCs w:val="24"/>
              </w:rPr>
              <w:t xml:space="preserve">Para Alacaklarının Tahsili ve İflas Hakkında Federal Kanunu, diğer Avrupa ülkelerinde birbirinden ayrı düzenlenmiş icra kanunlarından ve iflas kanunlarından farklı olarak ayrıntılı bir basitleştirilmiş alacak tahsili usulü (ilamsız icra) düzenlemekte, İsviçre’deki ismini de bu usulden almaktadır. Kantonlara bölünmüş federal bir devlet olan İsviçre’de milli bir medeni usul kanunu yapılması çok gecikmiştir. Para alacaklarının tahsili konusunda yapılan federal kanuni düzenleme tatbikatın en fazla ihtiyaç duyduğu para alacaklarının tahsili konusundaki hukuki himaye ihtiyacını kısmen de olsa ülke sathında yeknesaklaştırılmıştır. </w:t>
            </w:r>
          </w:p>
          <w:p w:rsidR="00FD3463" w:rsidRPr="00FD3463" w:rsidRDefault="00FD3463" w:rsidP="009431FF">
            <w:pPr>
              <w:widowControl w:val="0"/>
              <w:ind w:firstLine="709"/>
              <w:rPr>
                <w:szCs w:val="24"/>
              </w:rPr>
            </w:pPr>
            <w:r w:rsidRPr="00FD3463">
              <w:rPr>
                <w:szCs w:val="24"/>
              </w:rPr>
              <w:t>Mehaz Kanunun içinde iflas müessesesinin de düzenlenmesi ise iflas ve konkordatonun küllî karakterleri dolayısıyla bu alanlarda kanton sınırlarını aşan, federal bir düzenlemeye özellikle ihtiyaç duyulmasıyla açıklanabilir. Dar ve teknik anlamıyla icra hukukunun asıl konusunu teşkil eden “mahkeme kararlarının icrası” (ilamlı icra) müessesesi ise İcra ve İflas Kanununa İsviçre’nin Para Alacaklarının Tahsili ve İflas Hakkında Federal Kanunundan alınmamış, İsviçre metninin iktibası sırasında metne ilave edi</w:t>
            </w:r>
            <w:r w:rsidR="00EF0C13">
              <w:rPr>
                <w:szCs w:val="24"/>
              </w:rPr>
              <w:t>lmiş hükümlerle düzenlenmiştir.</w:t>
            </w:r>
          </w:p>
          <w:p w:rsidR="00FD3463" w:rsidRPr="00FD3463" w:rsidRDefault="00FD3463" w:rsidP="009431FF">
            <w:pPr>
              <w:widowControl w:val="0"/>
              <w:ind w:firstLine="709"/>
              <w:rPr>
                <w:szCs w:val="24"/>
              </w:rPr>
            </w:pPr>
            <w:r w:rsidRPr="00FD3463">
              <w:rPr>
                <w:szCs w:val="24"/>
              </w:rPr>
              <w:t>İsviçre hukukunun bir başka özelliği; para alacaklarının tahsili usulünün gereklerini yerine getirmek için görevlendirilmiş icra ve iflas dairelerinden oluşan, federal düzeyde bir teşkilat ve bu teşkilatın faaliyetlerini denetleyen, yine federal düzeyde bir “icra tetkik mercileri” (icra mahkemeleri) teşkilatı kurmuş olmasıdır ki, bu yolla kanton düzeyindeki medeni usul hukuku ve mahkeme teşkilatı düzenlemelerine muvazi, federal düzeyde bir yapı oluşturulmuştur.</w:t>
            </w:r>
          </w:p>
          <w:p w:rsidR="00FD3463" w:rsidRPr="00FD3463" w:rsidRDefault="00FD3463" w:rsidP="009431FF">
            <w:pPr>
              <w:widowControl w:val="0"/>
              <w:ind w:firstLine="709"/>
              <w:rPr>
                <w:szCs w:val="24"/>
              </w:rPr>
            </w:pPr>
            <w:r w:rsidRPr="00FD3463">
              <w:rPr>
                <w:szCs w:val="24"/>
              </w:rPr>
              <w:t>Yukarıda kısaca özetlenen ve İsviçre’nin hukuk tarihine özgü sebeplerle, o ülkenin ihtiyaçları için geliştirilmiş olan icra ve iflas hukuku düzenlemeleri, Türk hukukunda iktibas edildikten sonra, kanun koyucunun yaptığı çok sayıda müdahaleyle mehazından</w:t>
            </w:r>
            <w:r w:rsidR="007B116D">
              <w:rPr>
                <w:szCs w:val="24"/>
              </w:rPr>
              <w:t xml:space="preserve"> esaslı surette uzaklaşmıştır. </w:t>
            </w:r>
            <w:r w:rsidRPr="00FD3463">
              <w:rPr>
                <w:szCs w:val="24"/>
              </w:rPr>
              <w:t xml:space="preserve">Bu meyanda Türk İcra ve İflas Kanununun mehaz </w:t>
            </w:r>
            <w:r w:rsidR="007B116D" w:rsidRPr="00FD3463">
              <w:rPr>
                <w:szCs w:val="24"/>
              </w:rPr>
              <w:t>K</w:t>
            </w:r>
            <w:r w:rsidRPr="00FD3463">
              <w:rPr>
                <w:szCs w:val="24"/>
              </w:rPr>
              <w:t xml:space="preserve">anundan ayrılması özellikle ilamsız icra alanında olmuş, yapılan kanun değişiklikleriyle hukukumuzda İsviçre’dekinden çok farklı bir itirazın kaldırılması müessesesi ortaya çıkmış; büyük ölçüde bu farklılaşma dolayısıyla, icra takibinin tarafları arasında gözetilmesi gereken menfaat dengesi, ilamsız icra takibinin kesinleşmesine kadarki aşamalarda alacaklı taraf lehine olmak üzere bozulmuştur. İlamsız icra takibinin hiçbir belgeye dayanılmadan başlatılabilmesi, ödeme emrine karşı açıkça imzaya itiraz etmeyen veya kısmi itirazını açıkça yapmayan takip borçlusunun itiraz etmemiş sayılması ve banka alacaklarının tahsili için getirilmiş olan özel hükümler bu duruma örnek olarak gösterilebilir. </w:t>
            </w:r>
          </w:p>
          <w:p w:rsidR="00FD3463" w:rsidRPr="00FD3463" w:rsidRDefault="00FD3463" w:rsidP="009431FF">
            <w:pPr>
              <w:widowControl w:val="0"/>
              <w:ind w:firstLine="709"/>
              <w:rPr>
                <w:szCs w:val="24"/>
              </w:rPr>
            </w:pPr>
            <w:r w:rsidRPr="00FD3463">
              <w:rPr>
                <w:szCs w:val="24"/>
              </w:rPr>
              <w:t xml:space="preserve">Mehaz İsviçre Kanunu haciz yoluyla takip yanında rehnin paraya çevirmesi için de özel bir usul içermektedir. Türkiye’de ticaret hayatında sermaye piyasası aracılığıyla doğrudan finansman imkanının sınırlı olması ve banka kredilerinin de yaygın şekilde ipotek teminatına bağlanması dolayısıyla ipotek ve ipoteğin paraya çevrilmesi usulüne özel bir önem verilmiş, zaman içinde yapılan değişikliklerle Türk </w:t>
            </w:r>
            <w:r w:rsidR="007B116D" w:rsidRPr="00FD3463">
              <w:rPr>
                <w:szCs w:val="24"/>
              </w:rPr>
              <w:t xml:space="preserve">Kanunundaki </w:t>
            </w:r>
            <w:r w:rsidRPr="00FD3463">
              <w:rPr>
                <w:szCs w:val="24"/>
              </w:rPr>
              <w:t xml:space="preserve">ipoteğin </w:t>
            </w:r>
            <w:r w:rsidRPr="00FD3463">
              <w:rPr>
                <w:szCs w:val="24"/>
              </w:rPr>
              <w:lastRenderedPageBreak/>
              <w:t xml:space="preserve">paraya çevrilmesi usulü de mehaz </w:t>
            </w:r>
            <w:r w:rsidR="007B116D">
              <w:rPr>
                <w:szCs w:val="24"/>
              </w:rPr>
              <w:t>Kanun</w:t>
            </w:r>
            <w:r w:rsidRPr="00FD3463">
              <w:rPr>
                <w:szCs w:val="24"/>
              </w:rPr>
              <w:t xml:space="preserve">dakinden farklı bir şekil almıştır. </w:t>
            </w:r>
          </w:p>
          <w:p w:rsidR="00FD3463" w:rsidRPr="00FD3463" w:rsidRDefault="00FD3463" w:rsidP="009431FF">
            <w:pPr>
              <w:widowControl w:val="0"/>
              <w:ind w:firstLine="709"/>
              <w:rPr>
                <w:szCs w:val="24"/>
              </w:rPr>
            </w:pPr>
            <w:r w:rsidRPr="00FD3463">
              <w:rPr>
                <w:szCs w:val="24"/>
              </w:rPr>
              <w:t>Kısaca, neredeyse bir asra yaklaşan ömrü süresince İcra ve İflas Kanunumuz yapılan müdahalelerle mehazdan ciddi şekilde uzaklaşarak, terim yerindeyse “millileşmiştir”.</w:t>
            </w:r>
          </w:p>
          <w:p w:rsidR="00FD3463" w:rsidRPr="00FD3463" w:rsidRDefault="00FD3463" w:rsidP="009431FF">
            <w:pPr>
              <w:widowControl w:val="0"/>
              <w:ind w:firstLine="709"/>
              <w:rPr>
                <w:szCs w:val="24"/>
              </w:rPr>
            </w:pPr>
            <w:r w:rsidRPr="00FD3463">
              <w:rPr>
                <w:szCs w:val="24"/>
              </w:rPr>
              <w:t>İflas hukukunun Türk uygulamasındaki yeri ise İsviçre’dekine nispetle çok sınırlı olmuştur</w:t>
            </w:r>
            <w:r w:rsidRPr="007B116D">
              <w:rPr>
                <w:color w:val="000000" w:themeColor="text1"/>
                <w:szCs w:val="24"/>
              </w:rPr>
              <w:t xml:space="preserve">. </w:t>
            </w:r>
            <w:r w:rsidR="007B116D" w:rsidRPr="007B116D">
              <w:rPr>
                <w:rStyle w:val="KIRMIZIChar"/>
                <w:rFonts w:eastAsia="Calibri"/>
                <w:b w:val="0"/>
                <w:strike w:val="0"/>
                <w:color w:val="000000" w:themeColor="text1"/>
              </w:rPr>
              <w:t>Adli istatistikler de bunu göstermektedir.</w:t>
            </w:r>
            <w:r w:rsidR="007B116D" w:rsidRPr="007B116D">
              <w:rPr>
                <w:rStyle w:val="KIRMIZIChar"/>
                <w:rFonts w:eastAsia="Calibri"/>
                <w:color w:val="000000" w:themeColor="text1"/>
              </w:rPr>
              <w:t xml:space="preserve"> </w:t>
            </w:r>
            <w:r w:rsidRPr="00FD3463">
              <w:rPr>
                <w:szCs w:val="24"/>
              </w:rPr>
              <w:t>Bunun sebebi, mehaz Kanunda yer alan ve tacirlere karşı yapılacak cüzi icra takibinin iflas yoluyla olması şeklinde olan emredici hükmün Türk Kanununa alınmamış olması ve adi alacaklıların uzun süren ve çoğu zaman rüçhanlı olmayan alacaklılara tasfiyede bir pay bırakmayan iflas takibine iltifat etmemeleri; rüçhanlı alacaklıların ise yine “alacaklı dostu” olarak nitelenebilecek rehnin paraya çevrilmesi yol</w:t>
            </w:r>
            <w:r w:rsidR="007B116D">
              <w:rPr>
                <w:szCs w:val="24"/>
              </w:rPr>
              <w:t>uyla takibi tercih etmeleridir.</w:t>
            </w:r>
          </w:p>
          <w:p w:rsidR="00FD3463" w:rsidRPr="00FD3463" w:rsidRDefault="00FD3463" w:rsidP="009431FF">
            <w:pPr>
              <w:widowControl w:val="0"/>
              <w:ind w:firstLine="709"/>
              <w:rPr>
                <w:szCs w:val="24"/>
              </w:rPr>
            </w:pPr>
            <w:r w:rsidRPr="00FD3463">
              <w:rPr>
                <w:szCs w:val="24"/>
              </w:rPr>
              <w:t>Türk İcra ve İflas Ka</w:t>
            </w:r>
            <w:r w:rsidR="00EF0C13">
              <w:rPr>
                <w:szCs w:val="24"/>
              </w:rPr>
              <w:t>nunu</w:t>
            </w:r>
            <w:r w:rsidRPr="00FD3463">
              <w:rPr>
                <w:szCs w:val="24"/>
              </w:rPr>
              <w:t xml:space="preserve">nun İsviçre’deki mehazından, üst üste yapılan kanun değişiklikleriyle ayrıldığı bir başka yön ise, kötü niyetli borçlular ve alacaklılarla mücadele için öngörülmüş olan cezai tazminatlar ile para cezalarıdır. Türk hukukuna ilk kez 1928 yılında eski İcra Kanununa Alman hukukundan iktibas edilerek eklenen, para alacaklarının tahsili için hızlandırılmış dava usulüne ilişkin hükümler arasında girmiş olan dava konusu alacağın en az yüzde onu oranındaki inkâr tazminatı, İcra ve İflas Kanunun hazırlanmasında itirazın iptali usulüne ait bir müessese olarak Kanuna dahil edilmiş; daha sonra itirazın kaldırılmasından başlamak üzere Kanunun başka birçok hükmüne sirayet ettirilerek ve bazı hükümlerde yüzde on nispetindeki bir para cezası ile perçinlenerek ilamsız icra sistemini cezai tazminat ve para cezalarıyla donatmıştır. </w:t>
            </w:r>
          </w:p>
          <w:p w:rsidR="00FD3463" w:rsidRPr="00FD3463" w:rsidRDefault="00FD3463" w:rsidP="009431FF">
            <w:pPr>
              <w:widowControl w:val="0"/>
              <w:ind w:firstLine="709"/>
              <w:rPr>
                <w:szCs w:val="24"/>
              </w:rPr>
            </w:pPr>
            <w:r w:rsidRPr="00FD3463">
              <w:rPr>
                <w:szCs w:val="24"/>
              </w:rPr>
              <w:t xml:space="preserve">Buna bağlı olarak Türk Kanununda özellikle borçlular tarafından gerçekleştirilmesinden şikâyet edilen kötü niyetli davranışlara engel olmak için yine mehaz Kanunda karşılığı bulunmayan bir dizi ceza hükmüne yer verilmiştir. </w:t>
            </w:r>
          </w:p>
          <w:p w:rsidR="00FD3463" w:rsidRPr="00FD3463" w:rsidRDefault="00FD3463" w:rsidP="009431FF">
            <w:pPr>
              <w:widowControl w:val="0"/>
              <w:ind w:firstLine="709"/>
              <w:rPr>
                <w:szCs w:val="24"/>
              </w:rPr>
            </w:pPr>
            <w:r w:rsidRPr="00FD3463">
              <w:rPr>
                <w:szCs w:val="24"/>
              </w:rPr>
              <w:t>Nihai tahlilde küllî icraya ait bir kurum olan konkordato kurumu, Türk hukuk uygulamasında 1970’li yıllara kadar fazla iltifat görmemiş; 1990’lı yıllara kadar kayda değer bir uygulama alanı bulmuş; ancak 1990’lı yıllardan başlamak üzere hukuk  uygulamasının 1956 tarihli eski Türk Ticaret Kanununda anonim şirket kurulu üyelerinin görev ve yetkilerini düzenleyen hükümler arasında yer alan 324</w:t>
            </w:r>
            <w:r w:rsidR="00387FB8">
              <w:rPr>
                <w:szCs w:val="24"/>
              </w:rPr>
              <w:t xml:space="preserve"> üncü</w:t>
            </w:r>
            <w:r w:rsidRPr="00FD3463">
              <w:rPr>
                <w:szCs w:val="24"/>
              </w:rPr>
              <w:t xml:space="preserve"> maddenin genişletici bir şekilde yorumlanarak “iflas erteleme” şeklinde isimlendirilen  bir “şirket kurtarma” usulünün 2003 yılında  ihdas edilmesi sonucunda ve biraz da kanun koyucunun kurumun gereklerine uygun düşmeyen müdahaleleriyle konkordato uygulamadan düşmüş; yirmi yıl kadar süren iflas erteleme dönemi ise 2018 yılında konkordatonun değişikliğe tabi tutulmuş hükümlerle modernleştirilmesi zamanına kadar sürmüştür. İsviçre hukukunun yeni konkordato hükümleri ise bir ölçüde, bütün Kıta Avrupası hukuk sistemlerini etkileyen Amerika B</w:t>
            </w:r>
            <w:r w:rsidR="00EF0C13">
              <w:rPr>
                <w:szCs w:val="24"/>
              </w:rPr>
              <w:t>irleşik Devletleri İflas Kanunu</w:t>
            </w:r>
            <w:r w:rsidRPr="00FD3463">
              <w:rPr>
                <w:szCs w:val="24"/>
              </w:rPr>
              <w:t xml:space="preserve">nun 11. Bölümünü teşkil eden “Reorganization” usulünden etkilenmiştir. </w:t>
            </w:r>
          </w:p>
          <w:p w:rsidR="00FD3463" w:rsidRPr="00FD3463" w:rsidRDefault="00FD3463" w:rsidP="009431FF">
            <w:pPr>
              <w:widowControl w:val="0"/>
              <w:ind w:firstLine="709"/>
              <w:rPr>
                <w:szCs w:val="24"/>
              </w:rPr>
            </w:pPr>
            <w:r w:rsidRPr="00FD3463">
              <w:rPr>
                <w:szCs w:val="24"/>
              </w:rPr>
              <w:t>Türk hukuk uygulamasının tasarrufun iptali davaları konusundaki yaklaşımı da kanun hükümlerini kötü niyetli borçlularla mücadeleyi kolaylaştıracak surette geniş yorumlamak ve bu hükümleri Türk Borçlar Kanunundaki muvazaa hükümleriyle yarışacak şekilde uygulamak yönünde olmuş; kanun koyucu yine kötü niyetli borçlularla mücadele imkânını genişletmek üzere çeşitli değişiklikler yapmış; bu meyanda ivazsız tasarruflara ve kötü niyetin ispatına ilişkin hükümlerde sonraki yıllarda Anayasa Mahkemesinin iptal kararlarına konu olan kesin karinelere yer vermiştir.</w:t>
            </w:r>
          </w:p>
          <w:p w:rsidR="00FD3463" w:rsidRPr="00FD3463" w:rsidRDefault="00902C96" w:rsidP="009431FF">
            <w:pPr>
              <w:widowControl w:val="0"/>
              <w:ind w:firstLine="709"/>
              <w:rPr>
                <w:szCs w:val="24"/>
              </w:rPr>
            </w:pPr>
            <w:r>
              <w:rPr>
                <w:szCs w:val="24"/>
              </w:rPr>
              <w:t xml:space="preserve">Mehaz Kanunla </w:t>
            </w:r>
            <w:r w:rsidR="00FD3463" w:rsidRPr="00FD3463">
              <w:rPr>
                <w:szCs w:val="24"/>
              </w:rPr>
              <w:t>İcra ve İflas Kanunu sistemlerinin önemli bir başka farklı yönü ise, mehaz Kanunda kamu alacakları, özel hukuktan kaynaklanan alacaklarla aynı usule tabi tutulmuş olduğu halde, Türk hukukunda kamu alacaklarının tahsilinin aslında gayet muğlak ve uygulamada ciddi hukuka aykırılıklara yol açan özel kanunlara tabi kılınmış olmalarıdır.</w:t>
            </w:r>
          </w:p>
          <w:p w:rsidR="00FD3463" w:rsidRPr="00FD3463" w:rsidRDefault="00FD3463" w:rsidP="009431FF">
            <w:pPr>
              <w:widowControl w:val="0"/>
              <w:ind w:firstLine="709"/>
              <w:rPr>
                <w:szCs w:val="24"/>
              </w:rPr>
            </w:pPr>
            <w:r w:rsidRPr="00FD3463">
              <w:rPr>
                <w:szCs w:val="24"/>
              </w:rPr>
              <w:lastRenderedPageBreak/>
              <w:t>Yukarıdaki hususlar dikkate alınırsa İsviçre’nin Para Alacaklarının Tahsili ve İflas Hakkındaki Federal Kanununun Türk hukukuna iktibasında diğer temel kanunların iktibasında görülmeyen ölçüde güçlüklerle karşılaşıldığını ifade etmek yanlış olmaz. Bu</w:t>
            </w:r>
            <w:r w:rsidR="00EF0C13">
              <w:rPr>
                <w:szCs w:val="24"/>
              </w:rPr>
              <w:t xml:space="preserve"> güçlükler İcra ve İflas Kanunu</w:t>
            </w:r>
            <w:r w:rsidRPr="00FD3463">
              <w:rPr>
                <w:szCs w:val="24"/>
              </w:rPr>
              <w:t>muzun bir yandan İsviçre’deki mehazından farklı bir h</w:t>
            </w:r>
            <w:r w:rsidR="001B08DE">
              <w:rPr>
                <w:szCs w:val="24"/>
              </w:rPr>
              <w:t>â</w:t>
            </w:r>
            <w:r w:rsidRPr="00FD3463">
              <w:rPr>
                <w:szCs w:val="24"/>
              </w:rPr>
              <w:t xml:space="preserve">le gelmesine; diğer yandan da söz konusu farklılığı meydana getiren değişiklikler zaman içinde ve parça parça yapıldığı için kanun sisteminin insicamını kaybetmesine, üst ilkelerden yoksun kalmasına yol açmıştır. İcra ve İflas Kanununda bugüne kadar dördü kanun hükmünde kararnameler yoluyla olmak üzere toplam 41 değişiklik yapılmıştır. Bu değişiklikler sırasıyla 2228, 3890, 6763, 51, 538, 1045, 2494, 3222, 3494, 4301, 4358, 4578, 4949, 5092, 5219, 5311, 5358, 5582, 6103, 6217, 6352, 6518, 6728, 6754, 6763, 7078, 7101, 7141, 7155, 7165, 7251, 7327, 7343, 7418, 7445, 7499, 7531 sayılı </w:t>
            </w:r>
            <w:r w:rsidR="00902C96" w:rsidRPr="00FD3463">
              <w:rPr>
                <w:szCs w:val="24"/>
              </w:rPr>
              <w:t xml:space="preserve">Kanun </w:t>
            </w:r>
            <w:r w:rsidRPr="00FD3463">
              <w:rPr>
                <w:szCs w:val="24"/>
              </w:rPr>
              <w:t xml:space="preserve">değişiklikleri ile 669, 673, 694, 698 sayılı KHK’larla yapılan değişikliklerdir. </w:t>
            </w:r>
          </w:p>
          <w:p w:rsidR="00FD3463" w:rsidRPr="00FD3463" w:rsidRDefault="00FD3463" w:rsidP="009431FF">
            <w:pPr>
              <w:widowControl w:val="0"/>
              <w:ind w:firstLine="709"/>
              <w:rPr>
                <w:szCs w:val="24"/>
              </w:rPr>
            </w:pPr>
            <w:r w:rsidRPr="00FD3463">
              <w:rPr>
                <w:szCs w:val="24"/>
              </w:rPr>
              <w:t xml:space="preserve">İcra ve İflas Kanunumuzda yapılan değişikliklerin en kapsamlı olanları arasında İsviçreli Profesör Hans Leemann’ın hazırladığı rapor ve tadilat projesi uyarınca yapılan ve </w:t>
            </w:r>
            <w:r w:rsidR="007B116D" w:rsidRPr="00FD3463">
              <w:rPr>
                <w:szCs w:val="24"/>
              </w:rPr>
              <w:t xml:space="preserve">Kanunun </w:t>
            </w:r>
            <w:r w:rsidRPr="00FD3463">
              <w:rPr>
                <w:szCs w:val="24"/>
              </w:rPr>
              <w:t xml:space="preserve">73 maddesini değiştiren 3890 sayılı </w:t>
            </w:r>
            <w:r w:rsidR="00902C96" w:rsidRPr="00FD3463">
              <w:rPr>
                <w:szCs w:val="24"/>
              </w:rPr>
              <w:t xml:space="preserve">Kanun </w:t>
            </w:r>
            <w:r w:rsidRPr="00FD3463">
              <w:rPr>
                <w:szCs w:val="24"/>
              </w:rPr>
              <w:t xml:space="preserve">değişikliği; 1965 yılında </w:t>
            </w:r>
            <w:r w:rsidR="00387FB8" w:rsidRPr="00FD3463">
              <w:rPr>
                <w:szCs w:val="24"/>
              </w:rPr>
              <w:t xml:space="preserve">Kanunun </w:t>
            </w:r>
            <w:r w:rsidRPr="00FD3463">
              <w:rPr>
                <w:szCs w:val="24"/>
              </w:rPr>
              <w:t xml:space="preserve">160’tan fazla maddesinde yapılan, borçlu ile alacaklı arasındaki menfaat dengesini alacaklı lehine değiştiren bir özellik taşıyan 538 sayılı </w:t>
            </w:r>
            <w:r w:rsidR="00387FB8" w:rsidRPr="00FD3463">
              <w:rPr>
                <w:szCs w:val="24"/>
              </w:rPr>
              <w:t xml:space="preserve">Kanun </w:t>
            </w:r>
            <w:r w:rsidRPr="00FD3463">
              <w:rPr>
                <w:szCs w:val="24"/>
              </w:rPr>
              <w:t xml:space="preserve">değişikliği; konkordato usulünün reforma tabi tutulması hakkındaki 7101 sayılı </w:t>
            </w:r>
            <w:r w:rsidR="00387FB8" w:rsidRPr="00FD3463">
              <w:rPr>
                <w:szCs w:val="24"/>
              </w:rPr>
              <w:t xml:space="preserve">Kanun </w:t>
            </w:r>
            <w:r w:rsidRPr="00FD3463">
              <w:rPr>
                <w:szCs w:val="24"/>
              </w:rPr>
              <w:t xml:space="preserve">değişikliği; paraya çevirme işlemlerinin elektronik ortamda yapılmasını öngören ve çocuk teslimi ve çocukla kişisel ilişki kurulmasına ilişkin ilam ve tedbirlerin yerine getirilmesine ilişkin yenilikler getiren 7343 sayılı </w:t>
            </w:r>
            <w:r w:rsidR="00387FB8" w:rsidRPr="00FD3463">
              <w:rPr>
                <w:szCs w:val="24"/>
              </w:rPr>
              <w:t xml:space="preserve">Kanun </w:t>
            </w:r>
            <w:r w:rsidRPr="00FD3463">
              <w:rPr>
                <w:szCs w:val="24"/>
              </w:rPr>
              <w:t xml:space="preserve">değişikliği sayılabilir. Bu değişiklikler yanında 2018 yılında abonelik sözleşmesinden kaynaklanan para alacaklarına ilişkin takibin hızlandırılmasını amaçlayan 7155 sayılı </w:t>
            </w:r>
            <w:r w:rsidR="00387FB8" w:rsidRPr="00FD3463">
              <w:rPr>
                <w:szCs w:val="24"/>
              </w:rPr>
              <w:t xml:space="preserve">Kanun </w:t>
            </w:r>
            <w:r w:rsidRPr="00FD3463">
              <w:rPr>
                <w:szCs w:val="24"/>
              </w:rPr>
              <w:t>da</w:t>
            </w:r>
            <w:r w:rsidR="00F475D7">
              <w:rPr>
                <w:szCs w:val="24"/>
              </w:rPr>
              <w:t xml:space="preserve"> kabul edilerek yürürlüğe girmiştir.</w:t>
            </w:r>
          </w:p>
          <w:p w:rsidR="00FD3463" w:rsidRPr="00FD3463" w:rsidRDefault="00FD3463" w:rsidP="009431FF">
            <w:pPr>
              <w:widowControl w:val="0"/>
              <w:ind w:firstLine="709"/>
              <w:rPr>
                <w:szCs w:val="24"/>
              </w:rPr>
            </w:pPr>
            <w:r w:rsidRPr="00FD3463">
              <w:rPr>
                <w:szCs w:val="24"/>
              </w:rPr>
              <w:t xml:space="preserve">Kanun koyucu Cumhuriyetin ilk yıllarında bazı değişiklik ve ilavelerle Kıta Avrupası kanunlarından iktibas edilen temel kanunlarımızı 2002 yılında yürürlüğe giren yeni Türk Medeni Kanunundan başlamak üzere revizyona tabi tutarak yeni kanun numaralarıyla yeniden kanunlaştırmıştır. Bu suretle Türk Ceza Kanunu ve Ceza Usulü Muhakemeleri Kanunu 2004, </w:t>
            </w:r>
            <w:r w:rsidR="001B08DE">
              <w:rPr>
                <w:szCs w:val="24"/>
              </w:rPr>
              <w:t xml:space="preserve">Borçlar Kanunu, </w:t>
            </w:r>
            <w:r w:rsidRPr="00FD3463">
              <w:rPr>
                <w:szCs w:val="24"/>
              </w:rPr>
              <w:t>Türk Ticaret Kanunu ve Hukuk Usulü Muhakemeleri Kanunu 2011 yıllarında zamanın ihtiyaçlarına göre yenilenmiş bulunmaktadır. İcra ve İflas Kanunu bu yenileme hareketinin dışında bırakılamazdı. Aynı ilkelere tabi olarak hazırlanan Cebr</w:t>
            </w:r>
            <w:r w:rsidR="001B08DE">
              <w:rPr>
                <w:szCs w:val="24"/>
              </w:rPr>
              <w:t>î</w:t>
            </w:r>
            <w:r w:rsidRPr="00FD3463">
              <w:rPr>
                <w:szCs w:val="24"/>
              </w:rPr>
              <w:t xml:space="preserve"> İcra Kanunu, İcra ve İflas Kanunumuzun yerini almak üzere bu revizyon çalışmasının son halkasını oluşturmaktadır.</w:t>
            </w:r>
          </w:p>
          <w:p w:rsidR="00FD3463" w:rsidRPr="00FD3463" w:rsidRDefault="00FD3463" w:rsidP="009431FF">
            <w:pPr>
              <w:widowControl w:val="0"/>
              <w:ind w:firstLine="709"/>
              <w:rPr>
                <w:szCs w:val="24"/>
              </w:rPr>
            </w:pPr>
            <w:r w:rsidRPr="00FD3463">
              <w:rPr>
                <w:szCs w:val="24"/>
              </w:rPr>
              <w:t xml:space="preserve">Medeni usul hukuku ile icra ve iflas hukuku, hukuki himaye sisteminin birbirinden ayrılmaz unsurlarıdır. Medeni usul hukuku alanında 1086 sayılı mülga Hukuk Usulü Muhakemeleri Kanununun yürürlükte olduğu dönemde bu kanunun yeni baştan düzenlenmesi için her biri kapsamlı komisyon çalışmalarını gerektirmiş olan (sırasıyla 1948, 1952, 1955, 1959, 1967, 1971, 1993 tarihli) medeni usul kanunu tasarıları hazırlanmıştır. İcra ve İflas Kanunu bakımından ise 1932 yılından bu yana sadece bir taslak hazırlanmış </w:t>
            </w:r>
            <w:r w:rsidRPr="0047196A">
              <w:rPr>
                <w:szCs w:val="24"/>
              </w:rPr>
              <w:t>olup</w:t>
            </w:r>
            <w:r w:rsidR="005666BE" w:rsidRPr="0047196A">
              <w:rPr>
                <w:szCs w:val="24"/>
              </w:rPr>
              <w:t xml:space="preserve"> 9/2/2015</w:t>
            </w:r>
            <w:r w:rsidRPr="0047196A">
              <w:rPr>
                <w:szCs w:val="24"/>
              </w:rPr>
              <w:t xml:space="preserve"> tarih ve</w:t>
            </w:r>
            <w:r w:rsidR="005666BE" w:rsidRPr="0047196A">
              <w:rPr>
                <w:szCs w:val="24"/>
              </w:rPr>
              <w:t xml:space="preserve"> </w:t>
            </w:r>
            <w:r w:rsidR="00D5619C" w:rsidRPr="0047196A">
              <w:rPr>
                <w:szCs w:val="24"/>
              </w:rPr>
              <w:t>39510391-</w:t>
            </w:r>
            <w:r w:rsidR="005666BE" w:rsidRPr="0047196A">
              <w:rPr>
                <w:szCs w:val="24"/>
              </w:rPr>
              <w:t>2015-271.01-01</w:t>
            </w:r>
            <w:r w:rsidR="00D5619C" w:rsidRPr="0047196A">
              <w:rPr>
                <w:szCs w:val="24"/>
              </w:rPr>
              <w:t>-99</w:t>
            </w:r>
            <w:r w:rsidRPr="0047196A">
              <w:rPr>
                <w:szCs w:val="24"/>
              </w:rPr>
              <w:t xml:space="preserve"> sayılı Bakan Oluru</w:t>
            </w:r>
            <w:r w:rsidR="001B08DE">
              <w:rPr>
                <w:szCs w:val="24"/>
              </w:rPr>
              <w:t>’yla</w:t>
            </w:r>
            <w:r w:rsidRPr="0047196A">
              <w:rPr>
                <w:szCs w:val="24"/>
              </w:rPr>
              <w:t xml:space="preserve"> oluşturulan </w:t>
            </w:r>
            <w:r w:rsidR="005666BE" w:rsidRPr="0047196A">
              <w:rPr>
                <w:szCs w:val="24"/>
              </w:rPr>
              <w:t>İcra ve İflas Kanunu</w:t>
            </w:r>
            <w:r w:rsidRPr="0047196A">
              <w:rPr>
                <w:szCs w:val="24"/>
              </w:rPr>
              <w:t xml:space="preserve"> Bilim Komisyonu çalışmasının sonucu olan bu </w:t>
            </w:r>
            <w:r w:rsidR="001767F3" w:rsidRPr="0047196A">
              <w:rPr>
                <w:szCs w:val="24"/>
              </w:rPr>
              <w:t xml:space="preserve">Taslak </w:t>
            </w:r>
            <w:r w:rsidRPr="0047196A">
              <w:rPr>
                <w:szCs w:val="24"/>
              </w:rPr>
              <w:t>kanun teklifin</w:t>
            </w:r>
            <w:r w:rsidR="005666BE" w:rsidRPr="0047196A">
              <w:rPr>
                <w:szCs w:val="24"/>
              </w:rPr>
              <w:t>in dayanağını oluşturmaktadır.</w:t>
            </w:r>
          </w:p>
          <w:p w:rsidR="00FD3463" w:rsidRPr="00FD3463" w:rsidRDefault="00FD3463" w:rsidP="009431FF">
            <w:pPr>
              <w:widowControl w:val="0"/>
              <w:tabs>
                <w:tab w:val="left" w:pos="426"/>
              </w:tabs>
              <w:ind w:firstLine="709"/>
              <w:contextualSpacing/>
              <w:rPr>
                <w:b/>
                <w:szCs w:val="24"/>
              </w:rPr>
            </w:pPr>
            <w:r w:rsidRPr="00FD3463">
              <w:rPr>
                <w:b/>
                <w:szCs w:val="24"/>
              </w:rPr>
              <w:t xml:space="preserve">II. Yeni kanun </w:t>
            </w:r>
            <w:r w:rsidR="00321760" w:rsidRPr="00FD3463">
              <w:rPr>
                <w:b/>
                <w:szCs w:val="24"/>
              </w:rPr>
              <w:t xml:space="preserve">Taslağının </w:t>
            </w:r>
            <w:r w:rsidRPr="00FD3463">
              <w:rPr>
                <w:b/>
                <w:szCs w:val="24"/>
              </w:rPr>
              <w:t>kaleme alınmasında takip edilen ilkeler</w:t>
            </w:r>
          </w:p>
          <w:p w:rsidR="00FD3463" w:rsidRPr="00FD3463" w:rsidRDefault="00FD3463" w:rsidP="009431FF">
            <w:pPr>
              <w:widowControl w:val="0"/>
              <w:ind w:firstLine="709"/>
              <w:rPr>
                <w:szCs w:val="24"/>
              </w:rPr>
            </w:pPr>
            <w:r w:rsidRPr="00FD3463">
              <w:rPr>
                <w:szCs w:val="24"/>
              </w:rPr>
              <w:t>Bilim Komisyonu, çalışmalarının ilk aşamasında alt komisyonlar halinde görev yapmış; alt komisyon çalışmaları Komisyonun bütün üyelerinin katıldığı çalışmalarda değerlendirildikten sonra ortaya çıkan metin sınırlı sayıda üyenin katıldığı yazım komisyonu tarafından işlenmiş ve nihayet,</w:t>
            </w:r>
            <w:r w:rsidR="00321760">
              <w:rPr>
                <w:szCs w:val="24"/>
              </w:rPr>
              <w:t xml:space="preserve"> </w:t>
            </w:r>
            <w:r w:rsidRPr="00FD3463">
              <w:rPr>
                <w:szCs w:val="24"/>
              </w:rPr>
              <w:t>üçüncü aşamada, yalnızca Türkçenin doğru kullanılması bakımından dil yönünden gözden geçirilmiştir. İstisnaen Taslağın Deniz İcra ve İcra Ceza hükümleri ise müstakil alt komisyonlar tarafından hazırlanarak metnin kalan kısmına ilave edilmiştir.</w:t>
            </w:r>
          </w:p>
          <w:p w:rsidR="00023374" w:rsidRDefault="00FD3463" w:rsidP="009431FF">
            <w:pPr>
              <w:widowControl w:val="0"/>
              <w:ind w:firstLine="709"/>
              <w:rPr>
                <w:szCs w:val="24"/>
              </w:rPr>
            </w:pPr>
            <w:r w:rsidRPr="00FD3463">
              <w:rPr>
                <w:szCs w:val="24"/>
              </w:rPr>
              <w:lastRenderedPageBreak/>
              <w:t>Komisyon çalışmaları boyunca çok sayıda öğretim üyesi de hakkında tez veya monografi kaleme aldıkları konuların müzakeresi için yapılacak toplantılara katılmak üzere çalışmalara davet edilmişlerdir.</w:t>
            </w:r>
          </w:p>
          <w:p w:rsidR="00FD3463" w:rsidRPr="00FD3463" w:rsidRDefault="00FD3463" w:rsidP="009431FF">
            <w:pPr>
              <w:widowControl w:val="0"/>
              <w:ind w:firstLine="709"/>
              <w:rPr>
                <w:szCs w:val="24"/>
              </w:rPr>
            </w:pPr>
            <w:r w:rsidRPr="00FD3463">
              <w:rPr>
                <w:szCs w:val="24"/>
              </w:rPr>
              <w:t>Taslağın tamamı bakımından üzerinde önemle durulan ilke, yürürlükteki Kanunun, yıllar içinde parça parça yapılan değişiklik ve ilavelerle anlaşılması ve uygulanması güç bir hal alan metninin, yine doktrinde yapılan bir benzetmeyle labirente dönüşmüş kurallarının, kolayca anlaşılabilir ve uygulanabilir bir sadeliğe kavuşturulması için çaba gösterilmiş olmasıdır. Haciz yoluyla ilamsız icra ve mahcuz mala istihkak davası hakkındaki Taslak hükümleri bu sadeleştirmeye örnek olarak gösterilebilir.</w:t>
            </w:r>
          </w:p>
          <w:p w:rsidR="00FD3463" w:rsidRPr="00FD3463" w:rsidRDefault="00FD3463" w:rsidP="009431FF">
            <w:pPr>
              <w:widowControl w:val="0"/>
              <w:ind w:firstLine="709"/>
              <w:rPr>
                <w:szCs w:val="24"/>
              </w:rPr>
            </w:pPr>
            <w:r w:rsidRPr="00FD3463">
              <w:rPr>
                <w:szCs w:val="24"/>
              </w:rPr>
              <w:t>Taslakta, kanun maddelerinin kolayca okunup anlaşılmasını sağlamak için, mümkün olduğunca kanun içi atıflardan kaçınılmış; her bir kanun maddesinin başka maddelere başvurmaya lüzum olmaksızın anlaşılabilmesi uğruna, bazı hususların ilgili her kanun maddesinde tekrar ifade edilmesi yöntemi tercih edilmiştir.</w:t>
            </w:r>
          </w:p>
          <w:p w:rsidR="00FD3463" w:rsidRPr="00FD3463" w:rsidRDefault="00FD3463" w:rsidP="009431FF">
            <w:pPr>
              <w:widowControl w:val="0"/>
              <w:ind w:firstLine="709"/>
              <w:rPr>
                <w:szCs w:val="24"/>
              </w:rPr>
            </w:pPr>
            <w:r w:rsidRPr="00FD3463">
              <w:rPr>
                <w:szCs w:val="24"/>
              </w:rPr>
              <w:t>Taslak, aynı açıklığı sağlama amacı doğrultusunda, yürürlükteki İcra ve İflas Kanunu hakkındaki istikrar kazanmış yargı içtihatlarının bir bölümünü kanun hükümlerine yansıtacak kanun değişiklikleri öngörmektedir.</w:t>
            </w:r>
          </w:p>
          <w:p w:rsidR="00FD3463" w:rsidRPr="00FD3463" w:rsidRDefault="00FD3463" w:rsidP="009431FF">
            <w:pPr>
              <w:widowControl w:val="0"/>
              <w:ind w:firstLine="709"/>
              <w:rPr>
                <w:szCs w:val="24"/>
              </w:rPr>
            </w:pPr>
            <w:r w:rsidRPr="00FD3463">
              <w:rPr>
                <w:szCs w:val="24"/>
              </w:rPr>
              <w:t>Taslaktaki hükümlerin kaleme alınmasında günümüz Türkçesi kullanılmıştır. Kullanılan günlük dile ait sözcüklerin ve hukuk terimlerinin belirlenmesinde Hukuk Muhakemeleri Kanunu ve Türk Medeni Kanunu başta olmak üzere yeni mevzuatta kullanılan sözcük ve terimler tercih edilmiş; yazım kuralları bakımından Türk Dil Kurumunun yazım kılavuzu esas alınmıştır. Kullanımdan düşmüş yabancı kökenli kelimeler bugün yaygın şekilde kullanılan sözcüklerle değiştirilmiştir.</w:t>
            </w:r>
          </w:p>
          <w:p w:rsidR="00FD3463" w:rsidRPr="00FD3463" w:rsidRDefault="00FD3463" w:rsidP="009431FF">
            <w:pPr>
              <w:widowControl w:val="0"/>
              <w:ind w:firstLine="709"/>
              <w:rPr>
                <w:szCs w:val="24"/>
              </w:rPr>
            </w:pPr>
            <w:r w:rsidRPr="00FD3463">
              <w:rPr>
                <w:szCs w:val="24"/>
              </w:rPr>
              <w:t>Kanun metninin sistematiği birkaç istisna dışında muhafaza edilmiştir. Söz konusu istisnai haller olarak hacizli mala istihkak davaları hakkındaki hükümlerin tasarrufun iptali davalarından sonra gelecek şekilde Kanunun Üçüncü Kitabına nakledilme</w:t>
            </w:r>
            <w:r w:rsidR="00607778">
              <w:rPr>
                <w:szCs w:val="24"/>
              </w:rPr>
              <w:t>si ve halen Türk Ticaret Kanunu</w:t>
            </w:r>
            <w:r w:rsidRPr="00FD3463">
              <w:rPr>
                <w:szCs w:val="24"/>
              </w:rPr>
              <w:t>nda yer alan Deniz İcra hükümlerinin ise İcra Ceza hükümlerinden önce, Dördüncü Kitap başlığı altında Cebrî İcra Kanununa alınmış olması, abonelik sözleşmesinden kaynaklanan para alacaklarına ilişkin takip usulü hakkındaki</w:t>
            </w:r>
            <w:r w:rsidR="00321760">
              <w:rPr>
                <w:szCs w:val="24"/>
              </w:rPr>
              <w:t xml:space="preserve"> 7155 sayılı Kanun hükümlerinin</w:t>
            </w:r>
            <w:r w:rsidRPr="00FD3463">
              <w:rPr>
                <w:szCs w:val="24"/>
              </w:rPr>
              <w:t xml:space="preserve"> de bazı değişikliklerle Cebr</w:t>
            </w:r>
            <w:r w:rsidR="00321760">
              <w:rPr>
                <w:szCs w:val="24"/>
              </w:rPr>
              <w:t>î</w:t>
            </w:r>
            <w:r w:rsidRPr="00FD3463">
              <w:rPr>
                <w:szCs w:val="24"/>
              </w:rPr>
              <w:t xml:space="preserve"> İcra Kanununa dahil edilmesi zikredilmelidir. </w:t>
            </w:r>
          </w:p>
          <w:p w:rsidR="00FD3463" w:rsidRPr="00FD3463" w:rsidRDefault="00FD3463" w:rsidP="009431FF">
            <w:pPr>
              <w:widowControl w:val="0"/>
              <w:tabs>
                <w:tab w:val="left" w:pos="426"/>
              </w:tabs>
              <w:ind w:firstLine="709"/>
              <w:contextualSpacing/>
              <w:rPr>
                <w:b/>
                <w:bCs/>
                <w:szCs w:val="24"/>
              </w:rPr>
            </w:pPr>
            <w:r w:rsidRPr="00FD3463">
              <w:rPr>
                <w:b/>
                <w:bCs/>
                <w:szCs w:val="24"/>
              </w:rPr>
              <w:t>III. Cüzî ve Küllî İcrada yapılan başlıca değişiklikler</w:t>
            </w:r>
          </w:p>
          <w:p w:rsidR="00FD3463" w:rsidRPr="00FD3463" w:rsidRDefault="00FD3463" w:rsidP="009431FF">
            <w:pPr>
              <w:widowControl w:val="0"/>
              <w:ind w:firstLine="709"/>
              <w:rPr>
                <w:szCs w:val="24"/>
              </w:rPr>
            </w:pPr>
            <w:r w:rsidRPr="00FD3463">
              <w:rPr>
                <w:szCs w:val="24"/>
              </w:rPr>
              <w:t xml:space="preserve">Taslak, 2004 sayılı Kanunun ana yapısını ve sistemini bir ölçüde muhafaza etmekle birlikte bu sistemde önemli bazı değişiklikler de öngörmektedir. Bu değişikliklerin ilki ilamlı icra sisteminde ilk derece mahkemesi kararlarının icra kabiliyeti kazanmasını </w:t>
            </w:r>
            <w:r w:rsidR="00321760" w:rsidRPr="00FD3463">
              <w:rPr>
                <w:szCs w:val="24"/>
              </w:rPr>
              <w:t>bölge adliye mahkemesi</w:t>
            </w:r>
            <w:r w:rsidRPr="00FD3463">
              <w:rPr>
                <w:szCs w:val="24"/>
              </w:rPr>
              <w:t xml:space="preserve"> tarafından verilecek istinaf kararına kadar ertelemesidir. Böylece ilk derece mahkemesi kararlarının çok erken bir aşamada, gerekçeli kararın yazılması üzerine derhal icra edilebilir olması kuralı terk edilmekte, fakat ilk derece mahkemesi kararlarının icra kabiliyeti kazanmasını kanun yolları yargılamasının sonuna kadar ertelemenin yol açacağı sakıncayı da göz önünde bulundurarak deyim yerindeyse taraflar arasındaki menfaat dengesini gözeten bir “orta yol” benimsenmiş olmaktadır. İcranın geri bırakılmasına ilişkin hükümler de bu değişikliğe uygun şekilde yeniden düzenlenmiştir. </w:t>
            </w:r>
          </w:p>
          <w:p w:rsidR="00FD3463" w:rsidRPr="00FD3463" w:rsidRDefault="00FD3463" w:rsidP="009431FF">
            <w:pPr>
              <w:widowControl w:val="0"/>
              <w:ind w:firstLine="709"/>
              <w:rPr>
                <w:szCs w:val="24"/>
              </w:rPr>
            </w:pPr>
            <w:r w:rsidRPr="00FD3463">
              <w:rPr>
                <w:szCs w:val="24"/>
              </w:rPr>
              <w:t xml:space="preserve">İlamsız icra hükümlerinde ise yapılan önemli bir değişiklik ilamsız icra sürecini başlatabilmek için bir belgeye dayanılması gerekliliğinin kanuna dercedilmesi şeklindeki değişikliktir. İlamsız icra usulüne getirilen ikinci önemli değişiklik de icra hukuk mahkemelerine yapılan başvuruyla itirazın kaldırılması usulünün terk edilmesidir. Taslağın öngördüğü sisteme göre ödeme emrinin tebliğ üzerine borçlunun yapabileceği itirazla takip duracak, fakat duran bu takibi haciz talebiyle yeniden harekete geçirebilmek için mutlaka genel mahkemelerle bir </w:t>
            </w:r>
            <w:r w:rsidRPr="00FD3463">
              <w:rPr>
                <w:szCs w:val="24"/>
              </w:rPr>
              <w:lastRenderedPageBreak/>
              <w:t xml:space="preserve">itirazın iptali davasının açılması gerekecektir. </w:t>
            </w:r>
          </w:p>
          <w:p w:rsidR="00FD3463" w:rsidRPr="00FD3463" w:rsidRDefault="00FD3463" w:rsidP="009431FF">
            <w:pPr>
              <w:widowControl w:val="0"/>
              <w:ind w:firstLine="709"/>
              <w:rPr>
                <w:szCs w:val="24"/>
              </w:rPr>
            </w:pPr>
            <w:r w:rsidRPr="00FD3463">
              <w:rPr>
                <w:szCs w:val="24"/>
              </w:rPr>
              <w:t>Bu kapsamda ilamsız icra usulündeki kambiyo senetlerine dayalı takip hakkındaki hükümler ile banka alacaklarının tahsili hakkındaki özel hükümler de, genel</w:t>
            </w:r>
            <w:r w:rsidR="00321760">
              <w:rPr>
                <w:szCs w:val="24"/>
              </w:rPr>
              <w:t xml:space="preserve"> bir düzenleme niteliğinde olan</w:t>
            </w:r>
            <w:r w:rsidRPr="00FD3463">
              <w:rPr>
                <w:szCs w:val="24"/>
              </w:rPr>
              <w:t xml:space="preserve"> Taslağa alınmamıştır. </w:t>
            </w:r>
          </w:p>
          <w:p w:rsidR="00FD3463" w:rsidRPr="00FD3463" w:rsidRDefault="00FD3463" w:rsidP="009431FF">
            <w:pPr>
              <w:widowControl w:val="0"/>
              <w:ind w:firstLine="709"/>
              <w:rPr>
                <w:szCs w:val="24"/>
              </w:rPr>
            </w:pPr>
            <w:r w:rsidRPr="00FD3463">
              <w:rPr>
                <w:szCs w:val="24"/>
              </w:rPr>
              <w:t xml:space="preserve">Küllî icra alanında ise doktrinde yürürlükteki Kanunu adeta bir “borçlu cephaneliğine döndürdüğü” ifade edilen ve uygulamasına hemen hemen hiç rastlanmayan Sermaye Şirketleri ile </w:t>
            </w:r>
            <w:r w:rsidRPr="001B08DE">
              <w:rPr>
                <w:szCs w:val="24"/>
              </w:rPr>
              <w:t>K</w:t>
            </w:r>
            <w:r w:rsidR="001B08DE">
              <w:rPr>
                <w:szCs w:val="24"/>
              </w:rPr>
              <w:t>o</w:t>
            </w:r>
            <w:r w:rsidRPr="001B08DE">
              <w:rPr>
                <w:szCs w:val="24"/>
              </w:rPr>
              <w:t>operatiflerin</w:t>
            </w:r>
            <w:r w:rsidRPr="00FD3463">
              <w:rPr>
                <w:szCs w:val="24"/>
              </w:rPr>
              <w:t xml:space="preserve"> Uzlaşma yoluyla Yeniden Yapılandırılması, Fevkalade Hallerde Mühlet, Fevkalade Hallerde Tatil gibi sözde rehabilitasyon usulleri konkordato çatısı altında birleştirilerek kanun hükümlerindeki karmaşıklığa son verilmektedir.</w:t>
            </w:r>
          </w:p>
          <w:p w:rsidR="00FD3463" w:rsidRPr="00FD3463" w:rsidRDefault="00FD3463" w:rsidP="009431FF">
            <w:pPr>
              <w:widowControl w:val="0"/>
              <w:ind w:firstLine="709"/>
              <w:rPr>
                <w:szCs w:val="24"/>
              </w:rPr>
            </w:pPr>
            <w:r w:rsidRPr="00FD3463">
              <w:rPr>
                <w:szCs w:val="24"/>
              </w:rPr>
              <w:t>Nihayet halen 6102 sayılı Türk Ticaret Kanununun “</w:t>
            </w:r>
            <w:r w:rsidRPr="001B08DE">
              <w:rPr>
                <w:szCs w:val="24"/>
              </w:rPr>
              <w:t>C</w:t>
            </w:r>
            <w:r w:rsidRPr="00FD3463">
              <w:rPr>
                <w:szCs w:val="24"/>
              </w:rPr>
              <w:t>ebrî İcraya İlişkin Özel Hükümler” başlıklı 1350 ila 1400 üncü maddelerinde yer alan özel hükümler “Deniz Cebrî İcra” başlığı altında Taslağa alınmıştır.</w:t>
            </w:r>
          </w:p>
          <w:p w:rsidR="00FD3463" w:rsidRPr="00FD3463" w:rsidRDefault="00FD3463" w:rsidP="009431FF">
            <w:pPr>
              <w:widowControl w:val="0"/>
              <w:ind w:firstLine="709"/>
              <w:rPr>
                <w:szCs w:val="24"/>
              </w:rPr>
            </w:pPr>
            <w:r w:rsidRPr="00FD3463">
              <w:rPr>
                <w:szCs w:val="24"/>
              </w:rPr>
              <w:t>Yukarıdaki değişiklikler yanında, süresinde satış talep edilmemesine takibin düşmesi sonucunu bağlayan düzenlemeyle icra takiplerinin deyim yerindeyse ilânihaye der</w:t>
            </w:r>
            <w:r w:rsidR="001B08DE">
              <w:rPr>
                <w:szCs w:val="24"/>
              </w:rPr>
              <w:t>dest kalmasına son verilmesi de</w:t>
            </w:r>
            <w:r w:rsidRPr="00FD3463">
              <w:rPr>
                <w:szCs w:val="24"/>
              </w:rPr>
              <w:t xml:space="preserve"> ortaya </w:t>
            </w:r>
            <w:r w:rsidR="001B08DE">
              <w:rPr>
                <w:szCs w:val="24"/>
              </w:rPr>
              <w:t>çıkar</w:t>
            </w:r>
            <w:r w:rsidRPr="001B08DE">
              <w:rPr>
                <w:szCs w:val="24"/>
              </w:rPr>
              <w:t>acağı</w:t>
            </w:r>
            <w:r w:rsidRPr="00FD3463">
              <w:rPr>
                <w:szCs w:val="24"/>
              </w:rPr>
              <w:t xml:space="preserve"> etki açısından önem taşıyan değişiklikler arasında sayılabilir. </w:t>
            </w:r>
          </w:p>
          <w:p w:rsidR="00FD3463" w:rsidRPr="00FD3463" w:rsidRDefault="00FD3463" w:rsidP="009431FF">
            <w:pPr>
              <w:widowControl w:val="0"/>
              <w:ind w:firstLine="709"/>
              <w:contextualSpacing/>
              <w:rPr>
                <w:rFonts w:eastAsia="Times New Roman"/>
                <w:b/>
                <w:bCs/>
                <w:szCs w:val="24"/>
              </w:rPr>
            </w:pPr>
            <w:r w:rsidRPr="00FD3463">
              <w:rPr>
                <w:rFonts w:eastAsia="Times New Roman"/>
                <w:b/>
                <w:bCs/>
                <w:szCs w:val="24"/>
              </w:rPr>
              <w:t>IV. Deniz Cebrî İcra hakkındaki hükümler</w:t>
            </w:r>
          </w:p>
          <w:p w:rsidR="00FD3463" w:rsidRPr="00FD3463" w:rsidRDefault="00FD3463" w:rsidP="009431FF">
            <w:pPr>
              <w:widowControl w:val="0"/>
              <w:ind w:firstLine="709"/>
              <w:rPr>
                <w:rFonts w:eastAsia="Times New Roman"/>
                <w:szCs w:val="24"/>
              </w:rPr>
            </w:pPr>
            <w:r w:rsidRPr="00FD3463">
              <w:rPr>
                <w:rFonts w:eastAsia="Times New Roman"/>
                <w:szCs w:val="24"/>
              </w:rPr>
              <w:t>Deniz cebr</w:t>
            </w:r>
            <w:r w:rsidR="001B08DE">
              <w:rPr>
                <w:rFonts w:eastAsia="Times New Roman"/>
                <w:szCs w:val="24"/>
              </w:rPr>
              <w:t>î</w:t>
            </w:r>
            <w:r w:rsidRPr="00FD3463">
              <w:rPr>
                <w:rFonts w:eastAsia="Times New Roman"/>
                <w:szCs w:val="24"/>
              </w:rPr>
              <w:t xml:space="preserve"> icra, 6102 sayılı Türk Ticaret Kanunu ve 6103 sayılı Türk Ticaret Kanununun Yürürlüğü ve Uygulama Şekli Hakkında Kanunda yer alan hükümlerle düzenlenmiş; 6102 sayılı Kanunun “</w:t>
            </w:r>
            <w:r w:rsidR="001B08DE" w:rsidRPr="001B08DE">
              <w:rPr>
                <w:rFonts w:eastAsia="Times New Roman"/>
                <w:szCs w:val="24"/>
              </w:rPr>
              <w:t>Cebri İcraya İlişkin Özel Hükümler</w:t>
            </w:r>
            <w:r w:rsidR="00A127B1">
              <w:rPr>
                <w:rFonts w:eastAsia="Times New Roman"/>
                <w:szCs w:val="24"/>
              </w:rPr>
              <w:t>” başlıklı 1350 ila</w:t>
            </w:r>
            <w:r w:rsidRPr="00FD3463">
              <w:rPr>
                <w:rFonts w:eastAsia="Times New Roman"/>
                <w:szCs w:val="24"/>
              </w:rPr>
              <w:t xml:space="preserve"> 1400 üncü maddelerinde düzenlenmeyen hususlarda “İcra ve İflas Kanunu hükümlerinin 6102 sayılı Kanunun 936 ncı ve 937 nci maddelerinin birinci fıkralarında öngörüldüğü şekilde uygulanacağı” (6102 sayılı Kanun m. 1351) hüküm altına alınmıştır. 2004 sayılı Kanunun yerini alacak Cebr</w:t>
            </w:r>
            <w:r w:rsidR="00321760">
              <w:rPr>
                <w:rFonts w:eastAsia="Times New Roman"/>
                <w:szCs w:val="24"/>
              </w:rPr>
              <w:t>î</w:t>
            </w:r>
            <w:r w:rsidRPr="00FD3463">
              <w:rPr>
                <w:rFonts w:eastAsia="Times New Roman"/>
                <w:szCs w:val="24"/>
              </w:rPr>
              <w:t xml:space="preserve"> İcra Kanunu Taslağı hazırlık çalışmaları kapsamında 2004 sayılı Kanunun ve 6102 sayılı Kanunun deniz icraya ilişkin özel hükümlerinin birlikte değerlendirilmesi gerektiği; deniz cebr</w:t>
            </w:r>
            <w:r w:rsidR="00321760">
              <w:rPr>
                <w:rFonts w:eastAsia="Times New Roman"/>
                <w:szCs w:val="24"/>
              </w:rPr>
              <w:t>î</w:t>
            </w:r>
            <w:r w:rsidRPr="00FD3463">
              <w:rPr>
                <w:rFonts w:eastAsia="Times New Roman"/>
                <w:szCs w:val="24"/>
              </w:rPr>
              <w:t xml:space="preserve"> icranın iki ayrı kanunda ve son derece dağınık bir şekilde düzenlenmiş olmasının uygulama güçlüğüne sebebiyet verdiği; ayrıca deniz cebr</w:t>
            </w:r>
            <w:r w:rsidR="00321760">
              <w:rPr>
                <w:rFonts w:eastAsia="Times New Roman"/>
                <w:szCs w:val="24"/>
              </w:rPr>
              <w:t>î</w:t>
            </w:r>
            <w:r w:rsidRPr="00FD3463">
              <w:rPr>
                <w:rFonts w:eastAsia="Times New Roman"/>
                <w:szCs w:val="24"/>
              </w:rPr>
              <w:t xml:space="preserve"> icraya ilişkin bazı hükümlerin belirsizliği veya yetersizliğinden kaynaklanan çeşitli sorunlar yaşandığı, kaldı ki bu konunun ağırlıklı olarak bir icra ve iflas hukuku konusu olduğu  da saptanmıştır. Deniz cebr</w:t>
            </w:r>
            <w:r w:rsidR="00321760">
              <w:rPr>
                <w:rFonts w:eastAsia="Times New Roman"/>
                <w:szCs w:val="24"/>
              </w:rPr>
              <w:t>î</w:t>
            </w:r>
            <w:r w:rsidRPr="00FD3463">
              <w:rPr>
                <w:rFonts w:eastAsia="Times New Roman"/>
                <w:szCs w:val="24"/>
              </w:rPr>
              <w:t xml:space="preserve"> icraya ilişkin özel hükümlerin Cebr</w:t>
            </w:r>
            <w:r w:rsidR="00321760">
              <w:rPr>
                <w:rFonts w:eastAsia="Times New Roman"/>
                <w:szCs w:val="24"/>
              </w:rPr>
              <w:t>î</w:t>
            </w:r>
            <w:r w:rsidRPr="00FD3463">
              <w:rPr>
                <w:rFonts w:eastAsia="Times New Roman"/>
                <w:szCs w:val="24"/>
              </w:rPr>
              <w:t xml:space="preserve"> İcra Kanunu kapsamında “Deniz Cebr</w:t>
            </w:r>
            <w:r w:rsidR="00321760">
              <w:rPr>
                <w:rFonts w:eastAsia="Times New Roman"/>
                <w:szCs w:val="24"/>
              </w:rPr>
              <w:t>î</w:t>
            </w:r>
            <w:r w:rsidRPr="00FD3463">
              <w:rPr>
                <w:rFonts w:eastAsia="Times New Roman"/>
                <w:szCs w:val="24"/>
              </w:rPr>
              <w:t xml:space="preserve"> İcra” başlıklı ayrı bir kitapta toplanmasının, bu hükümlerin doğru anlaşılması ve uygulanması açısından en isabetli çözüm olduğuna karar verilmiştir. </w:t>
            </w:r>
          </w:p>
          <w:p w:rsidR="00FD3463" w:rsidRPr="00FD3463" w:rsidRDefault="00FD3463" w:rsidP="009431FF">
            <w:pPr>
              <w:widowControl w:val="0"/>
              <w:ind w:firstLine="709"/>
              <w:rPr>
                <w:rFonts w:eastAsia="Times New Roman"/>
                <w:szCs w:val="24"/>
              </w:rPr>
            </w:pPr>
            <w:r w:rsidRPr="00FD3463">
              <w:rPr>
                <w:rFonts w:eastAsia="Times New Roman"/>
                <w:szCs w:val="24"/>
              </w:rPr>
              <w:t>6102 sayılı Kanunun ve 2004 sayılı Kanunun deniz cebr</w:t>
            </w:r>
            <w:r w:rsidR="00321760">
              <w:rPr>
                <w:rFonts w:eastAsia="Times New Roman"/>
                <w:szCs w:val="24"/>
              </w:rPr>
              <w:t>î</w:t>
            </w:r>
            <w:r w:rsidRPr="00FD3463">
              <w:rPr>
                <w:rFonts w:eastAsia="Times New Roman"/>
                <w:szCs w:val="24"/>
              </w:rPr>
              <w:t xml:space="preserve"> icraya ilişkin özel hükümlerinin Taslağın bu Kitabına alınmasında, ilk olarak söz konusu hükümler ile 11.12.2019 tarihinde Türkiye açısından yürürlüğe giren 12.03.1999 tarihli “Gemilerin İhtiyati Haczine İlişkin Milletlerarası Sözleşme” (International Convention on the Arrest of Ships, 1999</w:t>
            </w:r>
            <w:r w:rsidRPr="00FD3463">
              <w:rPr>
                <w:rFonts w:eastAsia="Times New Roman"/>
                <w:b/>
                <w:szCs w:val="24"/>
              </w:rPr>
              <w:t>)</w:t>
            </w:r>
            <w:r w:rsidRPr="00FD3463">
              <w:rPr>
                <w:rFonts w:eastAsia="Times New Roman"/>
                <w:szCs w:val="24"/>
              </w:rPr>
              <w:t xml:space="preserve"> ve Türkiye’nin katılmayı uygun bulduğu, fakat katılma işlemleri tamamlanmadığı için henüz taraf olmadığı </w:t>
            </w:r>
            <w:r w:rsidRPr="00FD3463">
              <w:rPr>
                <w:rFonts w:eastAsia="Times New Roman"/>
                <w:bCs/>
                <w:szCs w:val="24"/>
              </w:rPr>
              <w:t>1993 Gemi Alacaklısı Haklarına ve Gemi İpoteklerine İlişkin Milletlerarası Sözleşme (International</w:t>
            </w:r>
            <w:r w:rsidRPr="00FD3463">
              <w:rPr>
                <w:rFonts w:eastAsia="Times New Roman"/>
                <w:szCs w:val="24"/>
              </w:rPr>
              <w:t xml:space="preserve"> Convention on Maritime Liens and Mortgages, 1993</w:t>
            </w:r>
            <w:r w:rsidRPr="00FD3463">
              <w:rPr>
                <w:rFonts w:eastAsia="Times New Roman"/>
                <w:b/>
                <w:szCs w:val="24"/>
              </w:rPr>
              <w:t>)</w:t>
            </w:r>
            <w:r w:rsidRPr="00FD3463">
              <w:rPr>
                <w:rFonts w:eastAsia="Times New Roman"/>
                <w:szCs w:val="24"/>
              </w:rPr>
              <w:t xml:space="preserve"> hükümleri arasında uyumun gözetilmesi; ikinci olarak, deniz ticaretinin kendine özgü işleyişi ve menfaatler dengesi çerçevesinde oluşan kurallarına uygun olduğu ölçüde Taslağın diğer kitaplarında yer alan ve deniz cebr</w:t>
            </w:r>
            <w:r w:rsidR="001368B0">
              <w:rPr>
                <w:rFonts w:eastAsia="Times New Roman"/>
                <w:szCs w:val="24"/>
              </w:rPr>
              <w:t>î</w:t>
            </w:r>
            <w:r w:rsidRPr="00FD3463">
              <w:rPr>
                <w:rFonts w:eastAsia="Times New Roman"/>
                <w:szCs w:val="24"/>
              </w:rPr>
              <w:t xml:space="preserve"> icraya da uygulanabilecek hükümlerin tekrarından kaçınılıp uygulanacak hükmün belirtilmesiyle yetinilmesi; üçüncü olarak deniz cebr</w:t>
            </w:r>
            <w:r w:rsidR="001368B0">
              <w:rPr>
                <w:rFonts w:eastAsia="Times New Roman"/>
                <w:szCs w:val="24"/>
              </w:rPr>
              <w:t>î</w:t>
            </w:r>
            <w:r w:rsidRPr="00FD3463">
              <w:rPr>
                <w:rFonts w:eastAsia="Times New Roman"/>
                <w:szCs w:val="24"/>
              </w:rPr>
              <w:t xml:space="preserve"> icraya ilişkin özel hükümlerde, güncel gereksinimler doğrultusunda gereken değişikliklerin yapılması, eksikliklerinin tamamlanması ve belirsizliklerin açıklığa kavuşturulması çerçevesinde gözden geçirilmesi gerektiği kabul edilmiştir.  </w:t>
            </w:r>
          </w:p>
          <w:p w:rsidR="00FD3463" w:rsidRPr="00FD3463" w:rsidRDefault="00FD3463" w:rsidP="009431FF">
            <w:pPr>
              <w:widowControl w:val="0"/>
              <w:ind w:firstLine="709"/>
              <w:rPr>
                <w:rFonts w:eastAsia="Times New Roman"/>
                <w:szCs w:val="24"/>
              </w:rPr>
            </w:pPr>
            <w:r w:rsidRPr="00FD3463">
              <w:rPr>
                <w:rFonts w:eastAsia="Times New Roman"/>
                <w:szCs w:val="24"/>
              </w:rPr>
              <w:t>Deniz cebr</w:t>
            </w:r>
            <w:r w:rsidR="001B08DE">
              <w:rPr>
                <w:rFonts w:eastAsia="Times New Roman"/>
                <w:szCs w:val="24"/>
              </w:rPr>
              <w:t>î</w:t>
            </w:r>
            <w:r w:rsidRPr="00FD3463">
              <w:rPr>
                <w:rFonts w:eastAsia="Times New Roman"/>
                <w:szCs w:val="24"/>
              </w:rPr>
              <w:t xml:space="preserve"> icraya ilişkin özel hükümlerin toplandığı bu kitabın “gemiler ve gemi üzerindeki haklar” ve “eşya üzerinde hapis hakkı” </w:t>
            </w:r>
            <w:r w:rsidRPr="00FD3463">
              <w:rPr>
                <w:rFonts w:eastAsia="Times New Roman"/>
                <w:szCs w:val="24"/>
              </w:rPr>
              <w:lastRenderedPageBreak/>
              <w:t xml:space="preserve">olmak üzere iki kısma ayrılması uygun görülmüştür. Gemiler ve gemi üzerindeki haklara dair </w:t>
            </w:r>
            <w:r w:rsidR="001B08DE" w:rsidRPr="001B08DE">
              <w:rPr>
                <w:rFonts w:eastAsia="Times New Roman"/>
                <w:szCs w:val="24"/>
              </w:rPr>
              <w:t>B</w:t>
            </w:r>
            <w:r w:rsidR="001B08DE" w:rsidRPr="00FD3463">
              <w:rPr>
                <w:rFonts w:eastAsia="Times New Roman"/>
                <w:szCs w:val="24"/>
              </w:rPr>
              <w:t xml:space="preserve">irinci Kısım </w:t>
            </w:r>
            <w:r w:rsidRPr="00FD3463">
              <w:rPr>
                <w:rFonts w:eastAsia="Times New Roman"/>
                <w:szCs w:val="24"/>
              </w:rPr>
              <w:t>bölümlerinin, Taslağın sıralamasına paralel şekilde sıralanması benimsenmiş; bu doğrultuda “</w:t>
            </w:r>
            <w:r w:rsidR="001B08DE" w:rsidRPr="001B08DE">
              <w:rPr>
                <w:rFonts w:eastAsia="Times New Roman"/>
                <w:szCs w:val="24"/>
              </w:rPr>
              <w:t>Genel</w:t>
            </w:r>
            <w:r w:rsidR="001B08DE" w:rsidRPr="00FD3463">
              <w:rPr>
                <w:rFonts w:eastAsia="Times New Roman"/>
                <w:szCs w:val="24"/>
              </w:rPr>
              <w:t xml:space="preserve"> Hükümler</w:t>
            </w:r>
            <w:r w:rsidRPr="00FD3463">
              <w:rPr>
                <w:rFonts w:eastAsia="Times New Roman"/>
                <w:szCs w:val="24"/>
              </w:rPr>
              <w:t xml:space="preserve">” başlıklı </w:t>
            </w:r>
            <w:r w:rsidR="001B08DE" w:rsidRPr="001B08DE">
              <w:rPr>
                <w:rFonts w:eastAsia="Times New Roman"/>
                <w:szCs w:val="24"/>
              </w:rPr>
              <w:t>B</w:t>
            </w:r>
            <w:r w:rsidR="001B08DE" w:rsidRPr="00FD3463">
              <w:rPr>
                <w:rFonts w:eastAsia="Times New Roman"/>
                <w:szCs w:val="24"/>
              </w:rPr>
              <w:t>irinci Bölümde</w:t>
            </w:r>
            <w:r w:rsidRPr="00FD3463">
              <w:rPr>
                <w:rFonts w:eastAsia="Times New Roman"/>
                <w:szCs w:val="24"/>
              </w:rPr>
              <w:t xml:space="preserve"> gemilerin ihtiyati haczi ve kesin haczinde uygulanacak hukuk, uygulanacak hükümler ve deniz alacaklarında görevli mahkeme hakkındaki hükümlere yer verilmiş; ikinci bölüm ilamlı icraya, üçüncü bölüm rehinli alacaklara, </w:t>
            </w:r>
            <w:r w:rsidR="001B08DE" w:rsidRPr="001B08DE">
              <w:rPr>
                <w:rFonts w:eastAsia="Times New Roman"/>
                <w:szCs w:val="24"/>
              </w:rPr>
              <w:t>D</w:t>
            </w:r>
            <w:r w:rsidR="001B08DE" w:rsidRPr="00FD3463">
              <w:rPr>
                <w:rFonts w:eastAsia="Times New Roman"/>
                <w:szCs w:val="24"/>
              </w:rPr>
              <w:t>ördüncü Bölü</w:t>
            </w:r>
            <w:r w:rsidRPr="00FD3463">
              <w:rPr>
                <w:rFonts w:eastAsia="Times New Roman"/>
                <w:szCs w:val="24"/>
              </w:rPr>
              <w:t>m gemilerin haczi ve satışına, beşinci bölüm ise satış bedelinin paylaştırılmasına ayrılmıştır. Taşınır mal olan gemilerin bulundukları yerlerden kısa sürede ayrılması ve sürekli seyir h</w:t>
            </w:r>
            <w:r w:rsidR="001B08DE">
              <w:rPr>
                <w:rFonts w:eastAsia="Times New Roman"/>
                <w:szCs w:val="24"/>
              </w:rPr>
              <w:t>â</w:t>
            </w:r>
            <w:r w:rsidRPr="00FD3463">
              <w:rPr>
                <w:rFonts w:eastAsia="Times New Roman"/>
                <w:szCs w:val="24"/>
              </w:rPr>
              <w:t>linde olması yüzünden alacakların ve hakların cebr</w:t>
            </w:r>
            <w:r w:rsidR="001B08DE">
              <w:rPr>
                <w:rFonts w:eastAsia="Times New Roman"/>
                <w:szCs w:val="24"/>
              </w:rPr>
              <w:t>î</w:t>
            </w:r>
            <w:r w:rsidRPr="00FD3463">
              <w:rPr>
                <w:rFonts w:eastAsia="Times New Roman"/>
                <w:szCs w:val="24"/>
              </w:rPr>
              <w:t xml:space="preserve"> icra yoluyla elde edilmesinde en etkili ve öncelikle başvurulabilecek yol ihtiyati hacizdir. Ancak gemilerin ihtiyati haczi pek çok ilgilinin menfaatini etkileyeceğinden hangi gemilerin ihtiyaten haczedilebileceği ve ihtiyati hacze karar verecek mahkeme de belirlenmek suretiyle sadece belirli alacaklar ve hak iddiaları için ihtiyati hacze imkân verilmesi, menfaatler dengesi açısından önemine binaen ihtiyaten haczedilen geminin teminat karşılığı serbest bırakılabilmesi, deniz cebr</w:t>
            </w:r>
            <w:r w:rsidR="001B08DE">
              <w:rPr>
                <w:rFonts w:eastAsia="Times New Roman"/>
                <w:szCs w:val="24"/>
              </w:rPr>
              <w:t>î</w:t>
            </w:r>
            <w:r w:rsidRPr="00FD3463">
              <w:rPr>
                <w:rFonts w:eastAsia="Times New Roman"/>
                <w:szCs w:val="24"/>
              </w:rPr>
              <w:t xml:space="preserve"> icra alanında gemilerin ihtiyati haczinin ayrıntılı olarak düzenlenmesini gerektirmektedir. Bu nedenle gemilerin ihtiyati haczi hakkındaki 6102 sayılı Kanun hükümleri, Türkiye’nin taraf olduğu 1999</w:t>
            </w:r>
            <w:r w:rsidRPr="00FD3463">
              <w:rPr>
                <w:b/>
                <w:bCs/>
                <w:color w:val="00B0F0"/>
                <w:szCs w:val="24"/>
                <w:lang w:val="x-none" w:eastAsia="x-none"/>
              </w:rPr>
              <w:t xml:space="preserve"> </w:t>
            </w:r>
            <w:r w:rsidRPr="00FD3463">
              <w:rPr>
                <w:szCs w:val="24"/>
                <w:lang w:val="x-none" w:eastAsia="x-none"/>
              </w:rPr>
              <w:t>tarihli Milletlerarası Sözleşme</w:t>
            </w:r>
            <w:r w:rsidRPr="00FD3463">
              <w:rPr>
                <w:rFonts w:eastAsia="Times New Roman"/>
                <w:szCs w:val="24"/>
              </w:rPr>
              <w:t xml:space="preserve"> hükümleriyle uyumun sağlanması, uygulamanın gereksinimlerinin karşılanması, açık ve anlaşılır olması açısından gözden geçirilmiş ve gerekli değişiklikler yapılmak ve eksiklikleri giderilmek suretiyle bu Kitabın altıncı bölümüne alınmıştır. Gemilerin ihtiyati haczinin özelliği ve önemi dolayısıyla ayrıntılı olarak düzenlenen ihtiyati haciz hakkındaki hükümlere atıfta bulunarak gemilerin haczinin düzenlenmesi tercih edilmiş; böylece Taslakta ihtiyati haciz kararının uygulanmasının, haczin gerçekleştirilmes</w:t>
            </w:r>
            <w:r w:rsidR="001B08DE">
              <w:rPr>
                <w:rFonts w:eastAsia="Times New Roman"/>
                <w:szCs w:val="24"/>
              </w:rPr>
              <w:t>ine dair hükümlere (151 inci ila</w:t>
            </w:r>
            <w:r w:rsidRPr="00FD3463">
              <w:rPr>
                <w:rFonts w:eastAsia="Times New Roman"/>
                <w:szCs w:val="24"/>
              </w:rPr>
              <w:t xml:space="preserve"> 188 inci maddeler) atıf suretiyle düzenlenmesi sisteminden ayrılınması gerekmiştir. </w:t>
            </w:r>
          </w:p>
          <w:p w:rsidR="00FD3463" w:rsidRPr="00FD3463" w:rsidRDefault="00FD3463" w:rsidP="009431FF">
            <w:pPr>
              <w:widowControl w:val="0"/>
              <w:ind w:firstLine="709"/>
              <w:rPr>
                <w:rFonts w:eastAsia="Times New Roman"/>
                <w:szCs w:val="24"/>
              </w:rPr>
            </w:pPr>
            <w:r w:rsidRPr="00FD3463">
              <w:rPr>
                <w:rFonts w:eastAsia="Times New Roman"/>
                <w:szCs w:val="24"/>
              </w:rPr>
              <w:t xml:space="preserve">6102 sayılı Kanunun “Deniz Ticareti” başlıklı </w:t>
            </w:r>
            <w:r w:rsidR="001B08DE" w:rsidRPr="00FD3463">
              <w:rPr>
                <w:rFonts w:eastAsia="Times New Roman"/>
                <w:szCs w:val="24"/>
              </w:rPr>
              <w:t xml:space="preserve">Dördüncü </w:t>
            </w:r>
            <w:r w:rsidR="001B08DE" w:rsidRPr="001B08DE">
              <w:rPr>
                <w:rFonts w:eastAsia="Times New Roman"/>
                <w:szCs w:val="24"/>
              </w:rPr>
              <w:t>K</w:t>
            </w:r>
            <w:r w:rsidR="001B08DE" w:rsidRPr="00FD3463">
              <w:rPr>
                <w:rFonts w:eastAsia="Times New Roman"/>
                <w:szCs w:val="24"/>
              </w:rPr>
              <w:t>itab</w:t>
            </w:r>
            <w:r w:rsidRPr="00FD3463">
              <w:rPr>
                <w:rFonts w:eastAsia="Times New Roman"/>
                <w:szCs w:val="24"/>
              </w:rPr>
              <w:t xml:space="preserve">ında, bazı deniz ticareti ilişkilerinden doğan alacakların alacaklısının eşya üzerinde </w:t>
            </w:r>
            <w:r w:rsidRPr="00FD3463">
              <w:rPr>
                <w:szCs w:val="24"/>
                <w:lang w:val="x-none" w:eastAsia="x-none"/>
              </w:rPr>
              <w:t>4721 sayılı</w:t>
            </w:r>
            <w:r w:rsidRPr="00FD3463">
              <w:rPr>
                <w:rFonts w:eastAsia="Times New Roman"/>
                <w:b/>
                <w:bCs/>
                <w:szCs w:val="24"/>
              </w:rPr>
              <w:t xml:space="preserve"> </w:t>
            </w:r>
            <w:r w:rsidR="00A127B1">
              <w:rPr>
                <w:rFonts w:eastAsia="Times New Roman"/>
                <w:szCs w:val="24"/>
              </w:rPr>
              <w:t>Kanunun 950 ila</w:t>
            </w:r>
            <w:r w:rsidRPr="00FD3463">
              <w:rPr>
                <w:rFonts w:eastAsia="Times New Roman"/>
                <w:szCs w:val="24"/>
              </w:rPr>
              <w:t xml:space="preserve"> 953 üncü maddeleri uyarınca hapis hakkına sahip olduğu ve bu hapis hakkının konusu eşyanın açıkça belirlendiği hükümlere yer verilmiştir (6102 sayılı Kanun m. 1128 / 2, 1136 / 3, 1201, 1202, 1204, 1254, 1275, 1277, 1315). Ayrıca 6102 sayılı Kanunun 1393 üncü maddesinde de cebr</w:t>
            </w:r>
            <w:r w:rsidR="001B08DE">
              <w:rPr>
                <w:rFonts w:eastAsia="Times New Roman"/>
                <w:szCs w:val="24"/>
              </w:rPr>
              <w:t>î</w:t>
            </w:r>
            <w:r w:rsidRPr="00FD3463">
              <w:rPr>
                <w:rFonts w:eastAsia="Times New Roman"/>
                <w:szCs w:val="24"/>
              </w:rPr>
              <w:t xml:space="preserve"> icra yoluyla satış sırasında gemi tersanenin zilyetliğinde bulunuyorsa, tersane sahibinin</w:t>
            </w:r>
            <w:r w:rsidRPr="00FD3463">
              <w:rPr>
                <w:rFonts w:eastAsia="Times New Roman"/>
                <w:b/>
                <w:bCs/>
                <w:szCs w:val="24"/>
              </w:rPr>
              <w:t xml:space="preserve"> </w:t>
            </w:r>
            <w:r w:rsidRPr="00FD3463">
              <w:rPr>
                <w:szCs w:val="24"/>
                <w:lang w:val="x-none" w:eastAsia="x-none"/>
              </w:rPr>
              <w:t>4721 sayılı Kanunun</w:t>
            </w:r>
            <w:r w:rsidRPr="00FD3463">
              <w:rPr>
                <w:rFonts w:eastAsia="Times New Roman"/>
                <w:szCs w:val="24"/>
              </w:rPr>
              <w:t xml:space="preserve"> 950 nci maddesi uyarınca hapis hakkıyla teminat alınmış alacaklarından söz edilmiştir. Deniz ticareti alanında eşya üzerinde hapis hakkının bu denli geniş uygulama alanı ve önemi olması, söz konusu hapis </w:t>
            </w:r>
            <w:r w:rsidRPr="00FD3463">
              <w:rPr>
                <w:szCs w:val="24"/>
                <w:lang w:val="x-none" w:eastAsia="x-none"/>
              </w:rPr>
              <w:t>hakkının</w:t>
            </w:r>
            <w:r w:rsidRPr="00FD3463">
              <w:rPr>
                <w:rFonts w:eastAsia="Times New Roman"/>
                <w:szCs w:val="24"/>
              </w:rPr>
              <w:t xml:space="preserve"> takibi ve paraya çevrilmesinin de deniz ticaretinin kendine özgü menfaatler dengesi ve işleyişi çerçevesinde özel olarak düzenlenmesini gerekli kılmaktadır. Nite</w:t>
            </w:r>
            <w:r w:rsidR="001B08DE">
              <w:rPr>
                <w:rFonts w:eastAsia="Times New Roman"/>
                <w:szCs w:val="24"/>
              </w:rPr>
              <w:t>kim 6102 sayılı Kanunun 1398 ila</w:t>
            </w:r>
            <w:r w:rsidRPr="00FD3463">
              <w:rPr>
                <w:rFonts w:eastAsia="Times New Roman"/>
                <w:szCs w:val="24"/>
              </w:rPr>
              <w:t xml:space="preserve"> 1400 üncü maddelerinde eşya üzerinde hapis hakkına ilişkin hükümlere yer verilmiştir. Söz konusu hükümler de gözden geçirilip gerekli değişiklikler yapılmak suretiyle bu Kitabın “Eşya Üzerinde Hapis Hakkı” başlıklı </w:t>
            </w:r>
            <w:r w:rsidR="001B08DE" w:rsidRPr="00FD3463">
              <w:rPr>
                <w:rFonts w:eastAsia="Times New Roman"/>
                <w:szCs w:val="24"/>
              </w:rPr>
              <w:t>İkinci Kıs</w:t>
            </w:r>
            <w:r w:rsidRPr="00FD3463">
              <w:rPr>
                <w:rFonts w:eastAsia="Times New Roman"/>
                <w:szCs w:val="24"/>
              </w:rPr>
              <w:t xml:space="preserve">mına alınmıştır. Bu kapsamda 6102 sayılı Kanunun 1398 inci maddesinin birinci fıkrasında “… </w:t>
            </w:r>
            <w:r w:rsidRPr="00FD3463">
              <w:rPr>
                <w:rFonts w:eastAsia="Times New Roman"/>
                <w:i/>
                <w:szCs w:val="24"/>
              </w:rPr>
              <w:t>bu Kanun hükümleri uyarınca eşya üzerinde hapis haklarının paraya çevrilmesinde</w:t>
            </w:r>
            <w:r w:rsidRPr="00FD3463">
              <w:rPr>
                <w:rFonts w:eastAsia="Times New Roman"/>
                <w:szCs w:val="24"/>
              </w:rPr>
              <w:t xml:space="preserve"> …” denilerek 6102 sayılı Kanunun diğer kitaplarında öngörülen hapis haklarının (6102 sayılı Kanun m. 119, 891, 892, 893, 913, 925) takibi ve paraya çevrilmesi</w:t>
            </w:r>
            <w:r w:rsidR="001B08DE">
              <w:rPr>
                <w:rFonts w:eastAsia="Times New Roman"/>
                <w:szCs w:val="24"/>
              </w:rPr>
              <w:t xml:space="preserve"> de 6102 sayılı Kanunun 1398 ila</w:t>
            </w:r>
            <w:r w:rsidRPr="00FD3463">
              <w:rPr>
                <w:rFonts w:eastAsia="Times New Roman"/>
                <w:szCs w:val="24"/>
              </w:rPr>
              <w:t xml:space="preserve"> 1400 üncü maddelerinin uygulama alanına dahil edilmiştir. Deniz Cebr</w:t>
            </w:r>
            <w:r w:rsidR="001B08DE">
              <w:rPr>
                <w:rFonts w:eastAsia="Times New Roman"/>
                <w:szCs w:val="24"/>
              </w:rPr>
              <w:t>î</w:t>
            </w:r>
            <w:r w:rsidRPr="00FD3463">
              <w:rPr>
                <w:rFonts w:eastAsia="Times New Roman"/>
                <w:szCs w:val="24"/>
              </w:rPr>
              <w:t xml:space="preserve"> İcra Kitabında 6102 sayılı Kanunun diğer kitaplarında öngörülen hapis haklarının takibi ve paraya çevrilmesine uygulanacak hükümler hakkında düzenlemeye yer verilmesi, Kitabın başlığıyla uyumsuzdur. Bununla birlikte, 6102 sayılı Kanunun diğer kitaplarında öngörülen hapis haklarının takibi ve paraya çevrilmesi konusunda boşluk yaratmamak amacıyla “6102 sayılı Kanunun </w:t>
            </w:r>
            <w:r w:rsidR="001B08DE" w:rsidRPr="00FD3463">
              <w:rPr>
                <w:rFonts w:eastAsia="Times New Roman"/>
                <w:szCs w:val="24"/>
              </w:rPr>
              <w:t>Deniz Ticareti Kitab</w:t>
            </w:r>
            <w:r w:rsidRPr="00FD3463">
              <w:rPr>
                <w:rFonts w:eastAsia="Times New Roman"/>
                <w:szCs w:val="24"/>
              </w:rPr>
              <w:t>ı dışındaki kitaplarında yer alan hükümler uyarınca alacaklının sahip olduğu hapis haklarının takibinde de bu kısım hükümlerinin” uygulanacağına dair bir hükme yer verilmesi gerekli görülmüştür.</w:t>
            </w:r>
          </w:p>
          <w:p w:rsidR="000C282A" w:rsidRDefault="000C282A" w:rsidP="009431FF">
            <w:pPr>
              <w:widowControl w:val="0"/>
              <w:ind w:firstLine="709"/>
              <w:contextualSpacing/>
              <w:rPr>
                <w:rFonts w:eastAsia="Times New Roman"/>
                <w:b/>
                <w:bCs/>
                <w:szCs w:val="24"/>
              </w:rPr>
            </w:pPr>
          </w:p>
          <w:p w:rsidR="00FD3463" w:rsidRPr="00FD3463" w:rsidRDefault="00FD3463" w:rsidP="009431FF">
            <w:pPr>
              <w:widowControl w:val="0"/>
              <w:ind w:firstLine="709"/>
              <w:contextualSpacing/>
              <w:rPr>
                <w:rFonts w:eastAsia="Times New Roman"/>
                <w:b/>
                <w:bCs/>
                <w:szCs w:val="24"/>
              </w:rPr>
            </w:pPr>
            <w:r w:rsidRPr="00FD3463">
              <w:rPr>
                <w:rFonts w:eastAsia="Times New Roman"/>
                <w:b/>
                <w:bCs/>
                <w:szCs w:val="24"/>
              </w:rPr>
              <w:lastRenderedPageBreak/>
              <w:t>V. İcra Ceza hükümlerinde yapılan değişiklikler</w:t>
            </w:r>
          </w:p>
          <w:p w:rsidR="00FD3463" w:rsidRPr="00FD3463" w:rsidRDefault="00FD3463" w:rsidP="009431FF">
            <w:pPr>
              <w:widowControl w:val="0"/>
              <w:ind w:firstLine="709"/>
              <w:rPr>
                <w:rFonts w:eastAsia="Times New Roman"/>
                <w:color w:val="000000"/>
                <w:szCs w:val="24"/>
                <w:lang w:eastAsia="tr-TR"/>
              </w:rPr>
            </w:pPr>
            <w:r w:rsidRPr="00FD3463">
              <w:rPr>
                <w:rFonts w:eastAsia="Times New Roman"/>
                <w:color w:val="000000"/>
                <w:szCs w:val="24"/>
                <w:lang w:eastAsia="tr-TR"/>
              </w:rPr>
              <w:t>2004 sayılı Kanunun “Hileli iflas halleri” başlıklı 311 uncu maddesinde yer alan hükümler, Cebr</w:t>
            </w:r>
            <w:r w:rsidR="001B08DE">
              <w:rPr>
                <w:rFonts w:eastAsia="Times New Roman"/>
                <w:color w:val="000000"/>
                <w:szCs w:val="24"/>
                <w:lang w:eastAsia="tr-TR"/>
              </w:rPr>
              <w:t>î</w:t>
            </w:r>
            <w:r w:rsidRPr="00FD3463">
              <w:rPr>
                <w:rFonts w:eastAsia="Times New Roman"/>
                <w:color w:val="000000"/>
                <w:szCs w:val="24"/>
                <w:lang w:eastAsia="tr-TR"/>
              </w:rPr>
              <w:t xml:space="preserve"> İcra Kanununun Yürürlüğü ve Uygulama Şekli Hakkında Kanunla 5237 sayılı Türk Ceza Kanununun “Taksirli iflas” başlıklı 162 nci maddesinde yeniden düzenlendiği için Taslağa alınmamaktadır. 2004 sayılı Kanunun “Taksirli iflas halleri” başlıklı 310 </w:t>
            </w:r>
            <w:r w:rsidR="001B08DE">
              <w:rPr>
                <w:rFonts w:eastAsia="Times New Roman"/>
                <w:color w:val="000000"/>
                <w:szCs w:val="24"/>
                <w:lang w:eastAsia="tr-TR"/>
              </w:rPr>
              <w:t>uncu</w:t>
            </w:r>
            <w:r w:rsidRPr="00FD3463">
              <w:rPr>
                <w:rFonts w:eastAsia="Times New Roman"/>
                <w:color w:val="000000"/>
                <w:szCs w:val="24"/>
                <w:lang w:eastAsia="tr-TR"/>
              </w:rPr>
              <w:t xml:space="preserve"> maddesi, 5237 sayılı Kanunun “Hileli iflas” başlıklı 161 inci maddesine içerik olarak karşılık geldiği için Taslakta düzenlenmemektedir. Ancak Taslak hazırlanırken 5237 sayılı Kanunun taksirli iflasa ilişkin 162 nci maddesinde taksirli iflas hallerinin tek tek sayılması cihetine gidilmiştir. </w:t>
            </w:r>
          </w:p>
          <w:p w:rsidR="00FD3463" w:rsidRPr="00FD3463" w:rsidRDefault="00FD3463" w:rsidP="009431FF">
            <w:pPr>
              <w:widowControl w:val="0"/>
              <w:ind w:firstLine="709"/>
              <w:rPr>
                <w:rFonts w:eastAsia="Times New Roman"/>
                <w:color w:val="000000"/>
                <w:szCs w:val="24"/>
                <w:lang w:eastAsia="tr-TR"/>
              </w:rPr>
            </w:pPr>
            <w:r w:rsidRPr="00FD3463">
              <w:rPr>
                <w:rFonts w:eastAsia="Times New Roman"/>
                <w:szCs w:val="24"/>
                <w:lang w:eastAsia="tr-TR"/>
              </w:rPr>
              <w:t>2004 sayılı Kanunun “Artırmadan çekilme” başlıklı 345/b maddesinde, “</w:t>
            </w:r>
            <w:r w:rsidRPr="00FD3463">
              <w:rPr>
                <w:rFonts w:eastAsia="Times New Roman"/>
                <w:i/>
                <w:szCs w:val="24"/>
                <w:lang w:eastAsia="tr-TR"/>
              </w:rPr>
              <w:t>Bu Kanuna göre yapılan ihalelerde kendisine veya başkasına vaat olunan veya sağlanan yarar karşılığında artırmadan çekilen veya artırmaya katılmayan kimseye bir yıla kadar hapis ve bin güne kadar adlî para cezası verilir. Aracılara da aynı ceza verilir</w:t>
            </w:r>
            <w:r w:rsidRPr="00FD3463">
              <w:rPr>
                <w:rFonts w:eastAsia="Times New Roman"/>
                <w:szCs w:val="24"/>
                <w:lang w:eastAsia="tr-TR"/>
              </w:rPr>
              <w:t xml:space="preserve">.” hükmü düzenlenmiştir. Ayrıca, 5237 sayılı </w:t>
            </w:r>
            <w:r w:rsidRPr="00FD3463">
              <w:rPr>
                <w:szCs w:val="24"/>
                <w:lang w:val="x-none" w:eastAsia="x-none"/>
              </w:rPr>
              <w:t>Kanunun</w:t>
            </w:r>
            <w:r w:rsidRPr="00FD3463">
              <w:rPr>
                <w:rFonts w:eastAsia="Times New Roman"/>
                <w:szCs w:val="24"/>
                <w:lang w:eastAsia="tr-TR"/>
              </w:rPr>
              <w:t xml:space="preserve"> “</w:t>
            </w:r>
            <w:r w:rsidRPr="00FD3463">
              <w:rPr>
                <w:rFonts w:eastAsia="Times New Roman"/>
                <w:i/>
                <w:szCs w:val="24"/>
                <w:lang w:eastAsia="tr-TR"/>
              </w:rPr>
              <w:t>İhaleye fesat karıştırma</w:t>
            </w:r>
            <w:r w:rsidRPr="00FD3463">
              <w:rPr>
                <w:rFonts w:eastAsia="Times New Roman"/>
                <w:szCs w:val="24"/>
                <w:lang w:eastAsia="tr-TR"/>
              </w:rPr>
              <w:t xml:space="preserve">” başlıklı 235 inci maddesinde aynı fiiller suç olarak hükme bağlanmıştır. Buna göre, kamu </w:t>
            </w:r>
            <w:r w:rsidRPr="00FD3463">
              <w:rPr>
                <w:rFonts w:eastAsia="Times New Roman"/>
                <w:color w:val="000000"/>
                <w:szCs w:val="24"/>
                <w:lang w:eastAsia="tr-TR"/>
              </w:rPr>
              <w:t xml:space="preserve">kurumu veya kuruluşları adına yapılan mal veya hizmet alım veya </w:t>
            </w:r>
            <w:r w:rsidRPr="00FD3463">
              <w:rPr>
                <w:rFonts w:eastAsia="Times New Roman"/>
                <w:szCs w:val="24"/>
                <w:lang w:eastAsia="tr-TR"/>
              </w:rPr>
              <w:t>satımlarına</w:t>
            </w:r>
            <w:r w:rsidRPr="00FD3463">
              <w:rPr>
                <w:rFonts w:eastAsia="Times New Roman"/>
                <w:color w:val="000000"/>
                <w:szCs w:val="24"/>
                <w:lang w:eastAsia="tr-TR"/>
              </w:rPr>
              <w:t xml:space="preserve"> ya da kiralamalara ilişkin ihaleler ile yapım ihalelerine fesat karıştıran kişi, üç yıldan yedi yıla kadar hapis cezasıyla cezalandırılır. İhaleye katılmak isteyen veya katılan kişilerin ihale şartlarını ve özellikle fiyatı etkilemek için aralarında açık veya gizli anlaşma yapmaları halinde de ihaleye fesat karıştırılmış kabul edilir. Bu hükümler, kamu kurum veya kuruluşları aracılığıyla yapılan artırma veya eksiltmelere fesat karıştırılması halinde de uygulanır. Bilim Komisyonunca yapılan çalışmalar sırasında, anılan maddelerde yer alan suçun unsurlarının aynı nitelikte olduğu ve mükerrerliğe sebebiyet verdiği değerlendirildiğinden, 2004 sayılı Kanunun 345/b maddesine Taslakta yer verilmemiştir.</w:t>
            </w:r>
          </w:p>
          <w:p w:rsidR="00EE0D2B" w:rsidRDefault="00FD3463" w:rsidP="009431FF">
            <w:pPr>
              <w:widowControl w:val="0"/>
              <w:ind w:firstLine="709"/>
              <w:rPr>
                <w:szCs w:val="24"/>
              </w:rPr>
            </w:pPr>
            <w:r w:rsidRPr="0049789F">
              <w:rPr>
                <w:szCs w:val="24"/>
              </w:rPr>
              <w:t xml:space="preserve">Taslağın hazırlanmasında büyük bir özveriyle görev yapan Bilim Komisyonu </w:t>
            </w:r>
            <w:r w:rsidR="00EE0D2B" w:rsidRPr="0049789F">
              <w:rPr>
                <w:szCs w:val="24"/>
              </w:rPr>
              <w:t>Başkan ve Ü</w:t>
            </w:r>
            <w:r w:rsidRPr="0049789F">
              <w:rPr>
                <w:szCs w:val="24"/>
              </w:rPr>
              <w:t>yeleri:</w:t>
            </w:r>
            <w:r w:rsidR="00EE0D2B">
              <w:rPr>
                <w:szCs w:val="24"/>
              </w:rPr>
              <w:t xml:space="preserve"> Komisyon Başkanı Prof. Dr. Selçuk Öztek, Üyeler; </w:t>
            </w:r>
            <w:r w:rsidR="00EE0D2B" w:rsidRPr="00EE0D2B">
              <w:rPr>
                <w:szCs w:val="24"/>
              </w:rPr>
              <w:t>Adalet Bakan Yardımcısı Niyazi Acar,</w:t>
            </w:r>
            <w:r w:rsidR="00EE0D2B">
              <w:rPr>
                <w:szCs w:val="24"/>
              </w:rPr>
              <w:t xml:space="preserve"> </w:t>
            </w:r>
            <w:r w:rsidR="001F3945" w:rsidRPr="00895BD6">
              <w:rPr>
                <w:szCs w:val="24"/>
              </w:rPr>
              <w:t xml:space="preserve"> </w:t>
            </w:r>
            <w:r w:rsidR="0049789F">
              <w:rPr>
                <w:szCs w:val="24"/>
              </w:rPr>
              <w:t xml:space="preserve">Adalet Bakanlığı Mevzuat Genel Müdürü </w:t>
            </w:r>
            <w:r w:rsidR="003C42CD">
              <w:rPr>
                <w:szCs w:val="24"/>
              </w:rPr>
              <w:t xml:space="preserve">Hâkim Dr. </w:t>
            </w:r>
            <w:r w:rsidR="003C42CD" w:rsidRPr="00EE0D2B">
              <w:rPr>
                <w:szCs w:val="24"/>
              </w:rPr>
              <w:t>Mehmet Ökmen,</w:t>
            </w:r>
            <w:r w:rsidR="003C42CD">
              <w:rPr>
                <w:szCs w:val="24"/>
              </w:rPr>
              <w:t xml:space="preserve"> </w:t>
            </w:r>
            <w:r w:rsidR="001F3945" w:rsidRPr="00895BD6">
              <w:rPr>
                <w:szCs w:val="24"/>
              </w:rPr>
              <w:t xml:space="preserve">Prof. Dr. Ali Cem Budak, </w:t>
            </w:r>
            <w:r w:rsidR="003C42CD" w:rsidRPr="00895BD6">
              <w:rPr>
                <w:szCs w:val="24"/>
              </w:rPr>
              <w:t>Prof. Dr. Sema Taşpınar Ayvaz,  Prof. Dr. Müjgan Tunç Yücel, Prof. Dr. Serdar Kale,</w:t>
            </w:r>
            <w:r w:rsidR="003C42CD">
              <w:rPr>
                <w:szCs w:val="24"/>
              </w:rPr>
              <w:t xml:space="preserve"> </w:t>
            </w:r>
            <w:r w:rsidR="003C42CD" w:rsidRPr="00895BD6">
              <w:rPr>
                <w:szCs w:val="24"/>
              </w:rPr>
              <w:t>Doç. Dr. Bilgehan Yeşilo</w:t>
            </w:r>
            <w:r w:rsidR="003C42CD">
              <w:rPr>
                <w:szCs w:val="24"/>
              </w:rPr>
              <w:t>va</w:t>
            </w:r>
            <w:r w:rsidR="003C42CD" w:rsidRPr="00895BD6">
              <w:rPr>
                <w:szCs w:val="24"/>
              </w:rPr>
              <w:t>,</w:t>
            </w:r>
            <w:r w:rsidR="006774D3">
              <w:rPr>
                <w:szCs w:val="24"/>
              </w:rPr>
              <w:t xml:space="preserve"> </w:t>
            </w:r>
            <w:r w:rsidR="0049789F" w:rsidRPr="00895BD6">
              <w:rPr>
                <w:szCs w:val="24"/>
              </w:rPr>
              <w:t xml:space="preserve">Dr. Mustafa Göksu, </w:t>
            </w:r>
            <w:r w:rsidR="00EE0D2B" w:rsidRPr="006774D3">
              <w:rPr>
                <w:szCs w:val="24"/>
              </w:rPr>
              <w:t>Yargıtay Birinci Başkanvekili Mehmet Kürtül,</w:t>
            </w:r>
            <w:r w:rsidR="00EE0D2B" w:rsidRPr="00895BD6">
              <w:rPr>
                <w:szCs w:val="24"/>
              </w:rPr>
              <w:t xml:space="preserve"> </w:t>
            </w:r>
            <w:r w:rsidR="003C42CD" w:rsidRPr="00895BD6">
              <w:rPr>
                <w:szCs w:val="24"/>
              </w:rPr>
              <w:t xml:space="preserve">Yargıtay Daire Başkanı Murat Kıyak, Yargıtay Daire Başkanı Mahmut Coşkun, </w:t>
            </w:r>
            <w:r w:rsidR="00EE0D2B" w:rsidRPr="001F3945">
              <w:rPr>
                <w:szCs w:val="24"/>
              </w:rPr>
              <w:t>Yargıtay Daire Başkanı A. Şahabettin Sertkaya,</w:t>
            </w:r>
            <w:r w:rsidR="00EE0D2B" w:rsidRPr="00895BD6">
              <w:rPr>
                <w:szCs w:val="24"/>
              </w:rPr>
              <w:t xml:space="preserve"> Yargıtay Daire Başkanı Ahmet Özgan, </w:t>
            </w:r>
            <w:r w:rsidR="00EE0D2B" w:rsidRPr="0049789F">
              <w:rPr>
                <w:szCs w:val="24"/>
              </w:rPr>
              <w:t>Yargıtay Üyesi Ali Güneren,</w:t>
            </w:r>
            <w:r w:rsidR="00EE0D2B" w:rsidRPr="00895BD6">
              <w:rPr>
                <w:szCs w:val="24"/>
              </w:rPr>
              <w:t xml:space="preserve"> Yargıtay Üyesi Dr. Şanver Keleş,</w:t>
            </w:r>
            <w:r w:rsidR="00603931" w:rsidRPr="00895BD6">
              <w:rPr>
                <w:szCs w:val="24"/>
              </w:rPr>
              <w:t xml:space="preserve"> </w:t>
            </w:r>
            <w:r w:rsidR="00EE0D2B" w:rsidRPr="00895BD6">
              <w:rPr>
                <w:szCs w:val="24"/>
              </w:rPr>
              <w:t>Yargıtay Üyesi Nazmiye Beyazıtoğlu Kuşcuoğlu,</w:t>
            </w:r>
            <w:r w:rsidR="00603931" w:rsidRPr="00895BD6">
              <w:rPr>
                <w:szCs w:val="24"/>
              </w:rPr>
              <w:t xml:space="preserve"> </w:t>
            </w:r>
            <w:r w:rsidR="00B964F3" w:rsidRPr="00895BD6">
              <w:rPr>
                <w:szCs w:val="24"/>
              </w:rPr>
              <w:t xml:space="preserve">Yargıtay Üyesi Ahmet Kar, </w:t>
            </w:r>
            <w:r w:rsidR="00EE0D2B" w:rsidRPr="00895BD6">
              <w:rPr>
                <w:szCs w:val="24"/>
              </w:rPr>
              <w:t xml:space="preserve">Yargıtay Üyesi Dr. Ekrem Çetintürk, </w:t>
            </w:r>
            <w:r w:rsidR="001F3945" w:rsidRPr="00895BD6">
              <w:rPr>
                <w:szCs w:val="24"/>
              </w:rPr>
              <w:t>Yargıtay Üyesi Mehmet Arı,</w:t>
            </w:r>
            <w:r w:rsidR="001F3945">
              <w:rPr>
                <w:szCs w:val="24"/>
              </w:rPr>
              <w:t xml:space="preserve"> </w:t>
            </w:r>
            <w:r w:rsidR="00EE0D2B" w:rsidRPr="00895BD6">
              <w:rPr>
                <w:szCs w:val="24"/>
              </w:rPr>
              <w:t>Prof. Dr. Adnan Deynekli,</w:t>
            </w:r>
            <w:r w:rsidR="005E34BE" w:rsidRPr="00895BD6">
              <w:rPr>
                <w:szCs w:val="24"/>
              </w:rPr>
              <w:t xml:space="preserve"> </w:t>
            </w:r>
            <w:r w:rsidR="00EE0D2B" w:rsidRPr="00895BD6">
              <w:rPr>
                <w:szCs w:val="24"/>
              </w:rPr>
              <w:t>Prof. Dr. Emine Yazıcıoğlu,</w:t>
            </w:r>
            <w:r w:rsidR="005E34BE" w:rsidRPr="00895BD6">
              <w:rPr>
                <w:szCs w:val="24"/>
              </w:rPr>
              <w:t xml:space="preserve"> </w:t>
            </w:r>
            <w:r w:rsidR="00EE0D2B" w:rsidRPr="00895BD6">
              <w:rPr>
                <w:szCs w:val="24"/>
              </w:rPr>
              <w:t>Prof. Dr. Mehmet Kamil Yıldırım,</w:t>
            </w:r>
            <w:r w:rsidR="005E34BE" w:rsidRPr="00895BD6">
              <w:rPr>
                <w:szCs w:val="24"/>
              </w:rPr>
              <w:t xml:space="preserve"> </w:t>
            </w:r>
            <w:r w:rsidR="00EE0D2B" w:rsidRPr="00895BD6">
              <w:rPr>
                <w:szCs w:val="24"/>
              </w:rPr>
              <w:t>Prof. Dr. Murat Yavaş,</w:t>
            </w:r>
            <w:r w:rsidR="005E34BE" w:rsidRPr="00895BD6">
              <w:rPr>
                <w:szCs w:val="24"/>
              </w:rPr>
              <w:t xml:space="preserve"> </w:t>
            </w:r>
            <w:r w:rsidR="00EE0D2B" w:rsidRPr="00895BD6">
              <w:rPr>
                <w:szCs w:val="24"/>
              </w:rPr>
              <w:t>Prof. Dr. Mahmut Koca,</w:t>
            </w:r>
            <w:r w:rsidR="005E34BE" w:rsidRPr="00895BD6">
              <w:rPr>
                <w:szCs w:val="24"/>
              </w:rPr>
              <w:t xml:space="preserve"> </w:t>
            </w:r>
            <w:r w:rsidR="00EE0D2B" w:rsidRPr="00895BD6">
              <w:rPr>
                <w:szCs w:val="24"/>
              </w:rPr>
              <w:t>Prof. Dr. Zehra Şeker Öğüz,</w:t>
            </w:r>
            <w:r w:rsidR="005E34BE" w:rsidRPr="00895BD6">
              <w:rPr>
                <w:szCs w:val="24"/>
              </w:rPr>
              <w:t xml:space="preserve"> </w:t>
            </w:r>
            <w:r w:rsidR="00EE0D2B" w:rsidRPr="00895BD6">
              <w:rPr>
                <w:szCs w:val="24"/>
              </w:rPr>
              <w:t>Prof. Dr. Şanal Görgün,</w:t>
            </w:r>
            <w:r w:rsidR="005E34BE" w:rsidRPr="00895BD6">
              <w:rPr>
                <w:szCs w:val="24"/>
              </w:rPr>
              <w:t xml:space="preserve"> </w:t>
            </w:r>
            <w:r w:rsidR="00EE0D2B" w:rsidRPr="00895BD6">
              <w:rPr>
                <w:szCs w:val="24"/>
              </w:rPr>
              <w:t>Prof. Dr. Varol Karaaslan,</w:t>
            </w:r>
            <w:r w:rsidR="005E34BE" w:rsidRPr="00895BD6">
              <w:rPr>
                <w:szCs w:val="24"/>
              </w:rPr>
              <w:t xml:space="preserve"> </w:t>
            </w:r>
            <w:r w:rsidR="00EE0D2B" w:rsidRPr="00895BD6">
              <w:rPr>
                <w:szCs w:val="24"/>
              </w:rPr>
              <w:t>Prof. Dr. Meral Sungurtekin Özkan,</w:t>
            </w:r>
            <w:r w:rsidR="005E34BE" w:rsidRPr="00895BD6">
              <w:rPr>
                <w:szCs w:val="24"/>
              </w:rPr>
              <w:t xml:space="preserve"> </w:t>
            </w:r>
            <w:r w:rsidR="00EE0D2B" w:rsidRPr="00895BD6">
              <w:rPr>
                <w:szCs w:val="24"/>
              </w:rPr>
              <w:t>Prof. Dr. Mustafa Serdar Özbek,</w:t>
            </w:r>
            <w:r w:rsidR="005E34BE" w:rsidRPr="00895BD6">
              <w:rPr>
                <w:szCs w:val="24"/>
              </w:rPr>
              <w:t xml:space="preserve"> </w:t>
            </w:r>
            <w:r w:rsidR="003C42CD">
              <w:rPr>
                <w:szCs w:val="24"/>
              </w:rPr>
              <w:t xml:space="preserve"> Prof</w:t>
            </w:r>
            <w:r w:rsidR="003C42CD" w:rsidRPr="00895BD6">
              <w:rPr>
                <w:szCs w:val="24"/>
              </w:rPr>
              <w:t xml:space="preserve">. Dr. Tolga Akkaya, Prof. Dr. Ecehan Aras, Prof. Dr. İbrahim Aşık, </w:t>
            </w:r>
            <w:r w:rsidR="0049789F">
              <w:rPr>
                <w:szCs w:val="24"/>
              </w:rPr>
              <w:t>Prof</w:t>
            </w:r>
            <w:r w:rsidR="0049789F" w:rsidRPr="00895BD6">
              <w:rPr>
                <w:szCs w:val="24"/>
              </w:rPr>
              <w:t xml:space="preserve">. Dr. Cenk Akil, </w:t>
            </w:r>
            <w:r w:rsidR="003C42CD" w:rsidRPr="00895BD6">
              <w:rPr>
                <w:szCs w:val="24"/>
              </w:rPr>
              <w:t xml:space="preserve">Doç. Dr. Kudret Aslan, Doç. Dr. Mert Namlı, Yargıtay Cumhuriyet savcısı Dr. Ahmet Hasan Kılıç, </w:t>
            </w:r>
            <w:r w:rsidR="005E34BE" w:rsidRPr="00895BD6">
              <w:rPr>
                <w:szCs w:val="24"/>
              </w:rPr>
              <w:t xml:space="preserve">Yargıtay Cumhuriyet savcısı </w:t>
            </w:r>
            <w:r w:rsidR="00EE0D2B" w:rsidRPr="00895BD6">
              <w:rPr>
                <w:szCs w:val="24"/>
              </w:rPr>
              <w:t>Abuzer Yazıcıoğlu,</w:t>
            </w:r>
            <w:r w:rsidR="005E34BE" w:rsidRPr="00895BD6">
              <w:rPr>
                <w:szCs w:val="24"/>
              </w:rPr>
              <w:t xml:space="preserve"> Hâkim </w:t>
            </w:r>
            <w:r w:rsidR="00EE0D2B" w:rsidRPr="00895BD6">
              <w:rPr>
                <w:szCs w:val="24"/>
              </w:rPr>
              <w:t>Murat Çetinkaya,</w:t>
            </w:r>
            <w:r w:rsidR="005E34BE" w:rsidRPr="00895BD6">
              <w:rPr>
                <w:szCs w:val="24"/>
              </w:rPr>
              <w:t xml:space="preserve"> Hâkim </w:t>
            </w:r>
            <w:r w:rsidR="00EE0D2B" w:rsidRPr="00895BD6">
              <w:rPr>
                <w:szCs w:val="24"/>
              </w:rPr>
              <w:t>Ahmet Üstünbaş,</w:t>
            </w:r>
            <w:r w:rsidR="005E34BE" w:rsidRPr="00895BD6">
              <w:rPr>
                <w:szCs w:val="24"/>
              </w:rPr>
              <w:t xml:space="preserve"> Hâkim </w:t>
            </w:r>
            <w:r w:rsidR="00EE0D2B" w:rsidRPr="00895BD6">
              <w:rPr>
                <w:szCs w:val="24"/>
              </w:rPr>
              <w:t>Gülşah Hacıömeroğlu Atnur,</w:t>
            </w:r>
            <w:r w:rsidR="005E34BE" w:rsidRPr="00895BD6">
              <w:rPr>
                <w:szCs w:val="24"/>
              </w:rPr>
              <w:t xml:space="preserve"> Hâkim </w:t>
            </w:r>
            <w:r w:rsidR="00EE0D2B" w:rsidRPr="00895BD6">
              <w:rPr>
                <w:szCs w:val="24"/>
              </w:rPr>
              <w:t>Mehmet Dağlı,</w:t>
            </w:r>
            <w:r w:rsidR="005E34BE" w:rsidRPr="00895BD6">
              <w:rPr>
                <w:szCs w:val="24"/>
              </w:rPr>
              <w:t xml:space="preserve"> Hâkim </w:t>
            </w:r>
            <w:r w:rsidR="00EE0D2B" w:rsidRPr="00895BD6">
              <w:rPr>
                <w:szCs w:val="24"/>
              </w:rPr>
              <w:t>Dr. İsmail Şahin,</w:t>
            </w:r>
            <w:r w:rsidR="005E34BE" w:rsidRPr="00895BD6">
              <w:rPr>
                <w:szCs w:val="24"/>
              </w:rPr>
              <w:t xml:space="preserve"> Hâkim </w:t>
            </w:r>
            <w:r w:rsidR="00EE0D2B" w:rsidRPr="00895BD6">
              <w:rPr>
                <w:szCs w:val="24"/>
              </w:rPr>
              <w:t>Dr. Tayyip Eroğlu,</w:t>
            </w:r>
            <w:r w:rsidR="005E34BE" w:rsidRPr="00895BD6">
              <w:rPr>
                <w:szCs w:val="24"/>
              </w:rPr>
              <w:t xml:space="preserve"> Hâkim </w:t>
            </w:r>
            <w:r w:rsidR="00EE0D2B" w:rsidRPr="00895BD6">
              <w:rPr>
                <w:szCs w:val="24"/>
              </w:rPr>
              <w:t>Mehmet Halil Yıldız,</w:t>
            </w:r>
            <w:r w:rsidR="005E34BE" w:rsidRPr="00895BD6">
              <w:rPr>
                <w:szCs w:val="24"/>
              </w:rPr>
              <w:t xml:space="preserve"> Hâkim </w:t>
            </w:r>
            <w:r w:rsidR="00EE0D2B" w:rsidRPr="00895BD6">
              <w:rPr>
                <w:szCs w:val="24"/>
              </w:rPr>
              <w:t>İbrahim Ceren,</w:t>
            </w:r>
            <w:r w:rsidR="005E34BE" w:rsidRPr="00895BD6">
              <w:rPr>
                <w:szCs w:val="24"/>
              </w:rPr>
              <w:t xml:space="preserve"> Hâkim </w:t>
            </w:r>
            <w:r w:rsidR="00EE0D2B" w:rsidRPr="00895BD6">
              <w:rPr>
                <w:szCs w:val="24"/>
              </w:rPr>
              <w:t>Fatih Öztürk,</w:t>
            </w:r>
            <w:r w:rsidR="00895BD6" w:rsidRPr="00895BD6">
              <w:rPr>
                <w:szCs w:val="24"/>
              </w:rPr>
              <w:t xml:space="preserve"> </w:t>
            </w:r>
            <w:r w:rsidR="005E34BE" w:rsidRPr="00895BD6">
              <w:rPr>
                <w:szCs w:val="24"/>
              </w:rPr>
              <w:t xml:space="preserve">Hâkim </w:t>
            </w:r>
            <w:r w:rsidR="00EE0D2B" w:rsidRPr="00895BD6">
              <w:rPr>
                <w:szCs w:val="24"/>
              </w:rPr>
              <w:t>Hüseyin Erol,</w:t>
            </w:r>
            <w:r w:rsidR="00895BD6" w:rsidRPr="00895BD6">
              <w:rPr>
                <w:szCs w:val="24"/>
              </w:rPr>
              <w:t xml:space="preserve"> </w:t>
            </w:r>
            <w:r w:rsidR="005E34BE" w:rsidRPr="00895BD6">
              <w:rPr>
                <w:szCs w:val="24"/>
              </w:rPr>
              <w:t xml:space="preserve">Hâkim </w:t>
            </w:r>
            <w:r w:rsidR="00EE0D2B" w:rsidRPr="00895BD6">
              <w:rPr>
                <w:szCs w:val="24"/>
              </w:rPr>
              <w:t>Türkan Zengin,</w:t>
            </w:r>
            <w:r w:rsidR="00895BD6" w:rsidRPr="00895BD6">
              <w:rPr>
                <w:szCs w:val="24"/>
              </w:rPr>
              <w:t xml:space="preserve"> </w:t>
            </w:r>
            <w:r w:rsidR="005E34BE" w:rsidRPr="00895BD6">
              <w:rPr>
                <w:szCs w:val="24"/>
              </w:rPr>
              <w:t xml:space="preserve">Hâkim </w:t>
            </w:r>
            <w:r w:rsidR="00EE0D2B" w:rsidRPr="00895BD6">
              <w:rPr>
                <w:szCs w:val="24"/>
              </w:rPr>
              <w:t>Yusuf Şahin,</w:t>
            </w:r>
            <w:r w:rsidR="00895BD6" w:rsidRPr="00895BD6">
              <w:rPr>
                <w:szCs w:val="24"/>
              </w:rPr>
              <w:t xml:space="preserve"> </w:t>
            </w:r>
            <w:r w:rsidR="005E34BE" w:rsidRPr="00895BD6">
              <w:rPr>
                <w:szCs w:val="24"/>
              </w:rPr>
              <w:t xml:space="preserve">Hâkim </w:t>
            </w:r>
            <w:r w:rsidR="00EE0D2B" w:rsidRPr="00895BD6">
              <w:rPr>
                <w:szCs w:val="24"/>
              </w:rPr>
              <w:t>Nevzat Boztaş,</w:t>
            </w:r>
            <w:r w:rsidR="00895BD6" w:rsidRPr="00895BD6">
              <w:rPr>
                <w:szCs w:val="24"/>
              </w:rPr>
              <w:t xml:space="preserve"> </w:t>
            </w:r>
            <w:r w:rsidR="005E34BE" w:rsidRPr="00895BD6">
              <w:rPr>
                <w:szCs w:val="24"/>
              </w:rPr>
              <w:t xml:space="preserve">Hâkim </w:t>
            </w:r>
            <w:r w:rsidR="00EE0D2B" w:rsidRPr="00895BD6">
              <w:rPr>
                <w:szCs w:val="24"/>
              </w:rPr>
              <w:t>Doç. Dr. Cemal Fazıl Karakaş,</w:t>
            </w:r>
            <w:r w:rsidR="00895BD6" w:rsidRPr="00895BD6">
              <w:rPr>
                <w:szCs w:val="24"/>
              </w:rPr>
              <w:t xml:space="preserve"> Hâkim </w:t>
            </w:r>
            <w:r w:rsidR="00EE0D2B" w:rsidRPr="00895BD6">
              <w:rPr>
                <w:szCs w:val="24"/>
              </w:rPr>
              <w:t>Ahmet Çelikkol,</w:t>
            </w:r>
            <w:r w:rsidR="00895BD6" w:rsidRPr="00895BD6">
              <w:rPr>
                <w:szCs w:val="24"/>
              </w:rPr>
              <w:t xml:space="preserve"> Hâkim </w:t>
            </w:r>
            <w:r w:rsidR="00EE0D2B" w:rsidRPr="00895BD6">
              <w:rPr>
                <w:szCs w:val="24"/>
              </w:rPr>
              <w:t>Tülay Yiğit Alıca,</w:t>
            </w:r>
            <w:r w:rsidR="00895BD6" w:rsidRPr="00895BD6">
              <w:rPr>
                <w:szCs w:val="24"/>
              </w:rPr>
              <w:t xml:space="preserve"> Hâkim </w:t>
            </w:r>
            <w:r w:rsidR="00EE0D2B" w:rsidRPr="00895BD6">
              <w:rPr>
                <w:szCs w:val="24"/>
              </w:rPr>
              <w:t>Ahmet Ceyhan,</w:t>
            </w:r>
            <w:r w:rsidR="00895BD6" w:rsidRPr="00895BD6">
              <w:rPr>
                <w:szCs w:val="24"/>
              </w:rPr>
              <w:t xml:space="preserve"> Hâkim </w:t>
            </w:r>
            <w:r w:rsidR="00EE0D2B" w:rsidRPr="00895BD6">
              <w:rPr>
                <w:szCs w:val="24"/>
              </w:rPr>
              <w:t>Fatih Keklikkıran,</w:t>
            </w:r>
            <w:r w:rsidR="00895BD6" w:rsidRPr="00895BD6">
              <w:rPr>
                <w:szCs w:val="24"/>
              </w:rPr>
              <w:t xml:space="preserve"> Hâkim </w:t>
            </w:r>
            <w:r w:rsidR="00C35E31">
              <w:rPr>
                <w:szCs w:val="24"/>
              </w:rPr>
              <w:t xml:space="preserve">Dr. </w:t>
            </w:r>
            <w:r w:rsidR="00EE0D2B" w:rsidRPr="00895BD6">
              <w:rPr>
                <w:szCs w:val="24"/>
              </w:rPr>
              <w:t>Serdal Güngör,</w:t>
            </w:r>
            <w:r w:rsidR="00895BD6" w:rsidRPr="00895BD6">
              <w:rPr>
                <w:szCs w:val="24"/>
              </w:rPr>
              <w:t xml:space="preserve"> Hâkim </w:t>
            </w:r>
            <w:r w:rsidR="00EE0D2B" w:rsidRPr="00895BD6">
              <w:rPr>
                <w:szCs w:val="24"/>
              </w:rPr>
              <w:t>Onur Kara,</w:t>
            </w:r>
            <w:r w:rsidR="00895BD6" w:rsidRPr="00895BD6">
              <w:rPr>
                <w:szCs w:val="24"/>
              </w:rPr>
              <w:t xml:space="preserve"> Hâkim Abdu</w:t>
            </w:r>
            <w:r w:rsidR="00EE0D2B" w:rsidRPr="00895BD6">
              <w:rPr>
                <w:szCs w:val="24"/>
              </w:rPr>
              <w:t>lbasit Vergi,</w:t>
            </w:r>
            <w:r w:rsidR="00895BD6" w:rsidRPr="00895BD6">
              <w:rPr>
                <w:szCs w:val="24"/>
              </w:rPr>
              <w:t xml:space="preserve"> Merhum Hâkim </w:t>
            </w:r>
            <w:r w:rsidR="00EE0D2B" w:rsidRPr="00895BD6">
              <w:rPr>
                <w:szCs w:val="24"/>
              </w:rPr>
              <w:t>Yasin Tüysüz,</w:t>
            </w:r>
            <w:r w:rsidR="00895BD6" w:rsidRPr="00895BD6">
              <w:rPr>
                <w:szCs w:val="24"/>
              </w:rPr>
              <w:t xml:space="preserve"> Hâkim </w:t>
            </w:r>
            <w:r w:rsidR="00EE0D2B" w:rsidRPr="00895BD6">
              <w:rPr>
                <w:szCs w:val="24"/>
              </w:rPr>
              <w:t>Niyazi Öncü,</w:t>
            </w:r>
            <w:r w:rsidR="00895BD6" w:rsidRPr="00895BD6">
              <w:rPr>
                <w:szCs w:val="24"/>
              </w:rPr>
              <w:t xml:space="preserve"> Hâkim </w:t>
            </w:r>
            <w:r w:rsidR="00EE0D2B" w:rsidRPr="00895BD6">
              <w:rPr>
                <w:szCs w:val="24"/>
              </w:rPr>
              <w:t>Şemsi Tozoğlu,</w:t>
            </w:r>
            <w:r w:rsidR="00895BD6" w:rsidRPr="00895BD6">
              <w:rPr>
                <w:szCs w:val="24"/>
              </w:rPr>
              <w:t xml:space="preserve"> Hâkim </w:t>
            </w:r>
            <w:r w:rsidR="00EE0D2B" w:rsidRPr="00895BD6">
              <w:rPr>
                <w:szCs w:val="24"/>
              </w:rPr>
              <w:t>Dr. Hamid Köse,</w:t>
            </w:r>
            <w:r w:rsidR="00895BD6" w:rsidRPr="00895BD6">
              <w:rPr>
                <w:szCs w:val="24"/>
              </w:rPr>
              <w:t xml:space="preserve"> Hâkim </w:t>
            </w:r>
            <w:r w:rsidR="00EE0D2B" w:rsidRPr="00895BD6">
              <w:rPr>
                <w:szCs w:val="24"/>
              </w:rPr>
              <w:t>Ahmet Hamdi Taşyapan,</w:t>
            </w:r>
            <w:r w:rsidR="00895BD6" w:rsidRPr="00895BD6">
              <w:rPr>
                <w:szCs w:val="24"/>
              </w:rPr>
              <w:t xml:space="preserve"> Hâkim </w:t>
            </w:r>
            <w:r w:rsidR="00EE0D2B" w:rsidRPr="00895BD6">
              <w:rPr>
                <w:szCs w:val="24"/>
              </w:rPr>
              <w:t>Tuğba Eren Tokyürek,</w:t>
            </w:r>
            <w:r w:rsidR="00895BD6" w:rsidRPr="00895BD6">
              <w:rPr>
                <w:szCs w:val="24"/>
              </w:rPr>
              <w:t xml:space="preserve"> Hâkim </w:t>
            </w:r>
            <w:r w:rsidR="00EE0D2B" w:rsidRPr="00895BD6">
              <w:rPr>
                <w:szCs w:val="24"/>
              </w:rPr>
              <w:t>Fatma Gözde Şahin,</w:t>
            </w:r>
            <w:r w:rsidR="00895BD6" w:rsidRPr="00895BD6">
              <w:rPr>
                <w:szCs w:val="24"/>
              </w:rPr>
              <w:t xml:space="preserve"> Hâkim </w:t>
            </w:r>
            <w:r w:rsidR="00EE0D2B" w:rsidRPr="00895BD6">
              <w:rPr>
                <w:szCs w:val="24"/>
              </w:rPr>
              <w:t>Ömer Özdemir,</w:t>
            </w:r>
            <w:r w:rsidR="00895BD6" w:rsidRPr="00895BD6">
              <w:rPr>
                <w:szCs w:val="24"/>
              </w:rPr>
              <w:t xml:space="preserve"> Hâkim </w:t>
            </w:r>
            <w:r w:rsidR="00EE0D2B" w:rsidRPr="00895BD6">
              <w:rPr>
                <w:szCs w:val="24"/>
              </w:rPr>
              <w:t>Fatih Akkuzu,</w:t>
            </w:r>
            <w:r w:rsidR="00895BD6" w:rsidRPr="00895BD6">
              <w:rPr>
                <w:szCs w:val="24"/>
              </w:rPr>
              <w:t xml:space="preserve"> </w:t>
            </w:r>
            <w:r w:rsidR="00B964F3" w:rsidRPr="00895BD6">
              <w:rPr>
                <w:szCs w:val="24"/>
              </w:rPr>
              <w:t xml:space="preserve">Hâkim Altan Fatih Mehan, </w:t>
            </w:r>
            <w:r w:rsidR="00895BD6" w:rsidRPr="00895BD6">
              <w:rPr>
                <w:szCs w:val="24"/>
              </w:rPr>
              <w:t xml:space="preserve">Hâkim </w:t>
            </w:r>
            <w:r w:rsidR="00EE0D2B" w:rsidRPr="00895BD6">
              <w:rPr>
                <w:szCs w:val="24"/>
              </w:rPr>
              <w:t>Dr. Fatih Halil Kaplan,</w:t>
            </w:r>
            <w:r w:rsidR="00895BD6">
              <w:rPr>
                <w:szCs w:val="24"/>
              </w:rPr>
              <w:t xml:space="preserve"> </w:t>
            </w:r>
            <w:r w:rsidR="00895BD6" w:rsidRPr="00895BD6">
              <w:rPr>
                <w:szCs w:val="24"/>
              </w:rPr>
              <w:t xml:space="preserve">Hâkim </w:t>
            </w:r>
            <w:r w:rsidR="00EE0D2B" w:rsidRPr="00895BD6">
              <w:rPr>
                <w:szCs w:val="24"/>
              </w:rPr>
              <w:t>Ramazan Alpaslan,</w:t>
            </w:r>
            <w:r w:rsidR="00895BD6" w:rsidRPr="00895BD6">
              <w:rPr>
                <w:szCs w:val="24"/>
              </w:rPr>
              <w:t xml:space="preserve"> Hâkim </w:t>
            </w:r>
            <w:r w:rsidR="00EE0D2B" w:rsidRPr="00895BD6">
              <w:rPr>
                <w:szCs w:val="24"/>
              </w:rPr>
              <w:t>Mustafa Yörü,</w:t>
            </w:r>
            <w:r w:rsidR="00895BD6" w:rsidRPr="00895BD6">
              <w:rPr>
                <w:szCs w:val="24"/>
              </w:rPr>
              <w:t xml:space="preserve"> </w:t>
            </w:r>
            <w:r w:rsidR="00895BD6" w:rsidRPr="00895BD6">
              <w:rPr>
                <w:szCs w:val="24"/>
              </w:rPr>
              <w:lastRenderedPageBreak/>
              <w:t xml:space="preserve">Hâkim </w:t>
            </w:r>
            <w:r w:rsidR="00EE0D2B" w:rsidRPr="00895BD6">
              <w:rPr>
                <w:szCs w:val="24"/>
              </w:rPr>
              <w:t>Emine Halman Çetin,</w:t>
            </w:r>
            <w:r w:rsidR="00895BD6" w:rsidRPr="00895BD6">
              <w:rPr>
                <w:szCs w:val="24"/>
              </w:rPr>
              <w:t xml:space="preserve"> </w:t>
            </w:r>
            <w:r w:rsidR="003C42CD">
              <w:rPr>
                <w:szCs w:val="24"/>
              </w:rPr>
              <w:t xml:space="preserve">Hâkim Alim Polat, </w:t>
            </w:r>
            <w:r w:rsidR="0049789F" w:rsidRPr="00895BD6">
              <w:rPr>
                <w:szCs w:val="24"/>
              </w:rPr>
              <w:t xml:space="preserve"> Dr. Ömer Çelen,</w:t>
            </w:r>
            <w:r w:rsidR="0049789F">
              <w:rPr>
                <w:szCs w:val="24"/>
              </w:rPr>
              <w:t xml:space="preserve"> </w:t>
            </w:r>
            <w:r w:rsidR="00EE0D2B" w:rsidRPr="00895BD6">
              <w:rPr>
                <w:szCs w:val="24"/>
              </w:rPr>
              <w:t>Öğr. Gör. Enver Karmış,</w:t>
            </w:r>
            <w:r w:rsidR="00895BD6" w:rsidRPr="00895BD6">
              <w:rPr>
                <w:szCs w:val="24"/>
              </w:rPr>
              <w:t xml:space="preserve"> </w:t>
            </w:r>
            <w:r w:rsidR="006774D3">
              <w:rPr>
                <w:szCs w:val="24"/>
              </w:rPr>
              <w:t>i</w:t>
            </w:r>
            <w:r w:rsidR="00895BD6" w:rsidRPr="00895BD6">
              <w:rPr>
                <w:szCs w:val="24"/>
              </w:rPr>
              <w:t>cra</w:t>
            </w:r>
            <w:r w:rsidR="006774D3">
              <w:rPr>
                <w:szCs w:val="24"/>
              </w:rPr>
              <w:t xml:space="preserve"> müdürleri;</w:t>
            </w:r>
            <w:r w:rsidR="00EE0D2B" w:rsidRPr="00895BD6">
              <w:rPr>
                <w:szCs w:val="24"/>
              </w:rPr>
              <w:t xml:space="preserve"> Adem Akpınar,</w:t>
            </w:r>
            <w:r w:rsidR="00895BD6" w:rsidRPr="00895BD6">
              <w:rPr>
                <w:szCs w:val="24"/>
              </w:rPr>
              <w:t xml:space="preserve"> </w:t>
            </w:r>
            <w:r w:rsidR="00EE0D2B" w:rsidRPr="00895BD6">
              <w:rPr>
                <w:szCs w:val="24"/>
              </w:rPr>
              <w:t>Mustafa Doğan,</w:t>
            </w:r>
            <w:r w:rsidR="00895BD6" w:rsidRPr="00895BD6">
              <w:rPr>
                <w:szCs w:val="24"/>
              </w:rPr>
              <w:t xml:space="preserve"> </w:t>
            </w:r>
            <w:r w:rsidR="00EE0D2B" w:rsidRPr="00895BD6">
              <w:rPr>
                <w:szCs w:val="24"/>
              </w:rPr>
              <w:t xml:space="preserve">Hüseyin Karadirek, </w:t>
            </w:r>
            <w:r w:rsidR="006774D3" w:rsidRPr="00895BD6">
              <w:rPr>
                <w:szCs w:val="24"/>
              </w:rPr>
              <w:t xml:space="preserve">İrfan Murat, </w:t>
            </w:r>
            <w:r w:rsidR="00EE0D2B" w:rsidRPr="00895BD6">
              <w:rPr>
                <w:szCs w:val="24"/>
              </w:rPr>
              <w:t>Mustafa Çınar,</w:t>
            </w:r>
            <w:r w:rsidR="00895BD6" w:rsidRPr="00895BD6">
              <w:rPr>
                <w:szCs w:val="24"/>
              </w:rPr>
              <w:t xml:space="preserve"> Avukat</w:t>
            </w:r>
            <w:r w:rsidR="00EE0D2B" w:rsidRPr="00895BD6">
              <w:rPr>
                <w:szCs w:val="24"/>
              </w:rPr>
              <w:t xml:space="preserve"> Sümer Altay, </w:t>
            </w:r>
            <w:r w:rsidR="00895BD6" w:rsidRPr="00895BD6">
              <w:rPr>
                <w:szCs w:val="24"/>
              </w:rPr>
              <w:t>Avukat</w:t>
            </w:r>
            <w:r w:rsidR="006774D3">
              <w:rPr>
                <w:szCs w:val="24"/>
              </w:rPr>
              <w:t xml:space="preserve"> Dr.</w:t>
            </w:r>
            <w:r w:rsidR="00895BD6" w:rsidRPr="00895BD6">
              <w:rPr>
                <w:szCs w:val="24"/>
              </w:rPr>
              <w:t xml:space="preserve"> </w:t>
            </w:r>
            <w:r w:rsidR="00EE0D2B" w:rsidRPr="00895BD6">
              <w:rPr>
                <w:szCs w:val="24"/>
              </w:rPr>
              <w:t>Talih Uyar,</w:t>
            </w:r>
            <w:r w:rsidR="00895BD6" w:rsidRPr="00895BD6">
              <w:rPr>
                <w:szCs w:val="24"/>
              </w:rPr>
              <w:t xml:space="preserve"> Avukat</w:t>
            </w:r>
            <w:r w:rsidR="00EE0D2B" w:rsidRPr="00895BD6">
              <w:rPr>
                <w:szCs w:val="24"/>
              </w:rPr>
              <w:t xml:space="preserve"> Servet Örmen,</w:t>
            </w:r>
            <w:r w:rsidR="00895BD6" w:rsidRPr="00895BD6">
              <w:rPr>
                <w:szCs w:val="24"/>
              </w:rPr>
              <w:t xml:space="preserve"> Avukat</w:t>
            </w:r>
            <w:r w:rsidR="00EE0D2B" w:rsidRPr="00895BD6">
              <w:rPr>
                <w:szCs w:val="24"/>
              </w:rPr>
              <w:t xml:space="preserve"> Nazlı Selek,</w:t>
            </w:r>
            <w:r w:rsidR="00895BD6" w:rsidRPr="00895BD6">
              <w:rPr>
                <w:szCs w:val="24"/>
              </w:rPr>
              <w:t xml:space="preserve"> Avukat </w:t>
            </w:r>
            <w:r w:rsidR="00EE0D2B" w:rsidRPr="00895BD6">
              <w:rPr>
                <w:szCs w:val="24"/>
              </w:rPr>
              <w:t>Şeyma İnal,</w:t>
            </w:r>
            <w:r w:rsidR="00895BD6" w:rsidRPr="00895BD6">
              <w:rPr>
                <w:szCs w:val="24"/>
              </w:rPr>
              <w:t xml:space="preserve"> </w:t>
            </w:r>
            <w:r w:rsidR="00EE0D2B" w:rsidRPr="00895BD6">
              <w:rPr>
                <w:szCs w:val="24"/>
              </w:rPr>
              <w:t>Araştırma Görevlisi Mustafa Başkara,</w:t>
            </w:r>
            <w:r w:rsidR="00895BD6" w:rsidRPr="00895BD6">
              <w:rPr>
                <w:szCs w:val="24"/>
              </w:rPr>
              <w:t xml:space="preserve"> </w:t>
            </w:r>
            <w:r w:rsidR="006774D3">
              <w:rPr>
                <w:szCs w:val="24"/>
              </w:rPr>
              <w:t>kâtip ü</w:t>
            </w:r>
            <w:r w:rsidR="00EE0D2B" w:rsidRPr="00895BD6">
              <w:rPr>
                <w:szCs w:val="24"/>
              </w:rPr>
              <w:t>ye</w:t>
            </w:r>
            <w:r w:rsidR="006774D3">
              <w:rPr>
                <w:szCs w:val="24"/>
              </w:rPr>
              <w:t>ler;</w:t>
            </w:r>
            <w:r w:rsidR="00EE0D2B" w:rsidRPr="00895BD6">
              <w:rPr>
                <w:szCs w:val="24"/>
              </w:rPr>
              <w:t xml:space="preserve"> Rukiye Cerit,</w:t>
            </w:r>
            <w:r w:rsidR="00895BD6" w:rsidRPr="00895BD6">
              <w:rPr>
                <w:szCs w:val="24"/>
              </w:rPr>
              <w:t xml:space="preserve"> </w:t>
            </w:r>
            <w:r w:rsidR="00EE0D2B" w:rsidRPr="00895BD6">
              <w:rPr>
                <w:szCs w:val="24"/>
              </w:rPr>
              <w:t>Emre Doğan,</w:t>
            </w:r>
            <w:r w:rsidR="00895BD6" w:rsidRPr="00895BD6">
              <w:rPr>
                <w:szCs w:val="24"/>
              </w:rPr>
              <w:t xml:space="preserve"> </w:t>
            </w:r>
            <w:r w:rsidR="00EE0D2B" w:rsidRPr="00895BD6">
              <w:rPr>
                <w:szCs w:val="24"/>
              </w:rPr>
              <w:t>Mehmet Özkul,</w:t>
            </w:r>
            <w:r w:rsidR="00895BD6" w:rsidRPr="00895BD6">
              <w:rPr>
                <w:szCs w:val="24"/>
              </w:rPr>
              <w:t xml:space="preserve"> </w:t>
            </w:r>
            <w:r w:rsidR="00EE0D2B" w:rsidRPr="00895BD6">
              <w:rPr>
                <w:szCs w:val="24"/>
              </w:rPr>
              <w:t>Gökhan Algan, Erhan Tanrıverdi,</w:t>
            </w:r>
            <w:r w:rsidR="00895BD6" w:rsidRPr="00895BD6">
              <w:rPr>
                <w:szCs w:val="24"/>
              </w:rPr>
              <w:t xml:space="preserve"> </w:t>
            </w:r>
            <w:r w:rsidR="00EE0D2B" w:rsidRPr="00895BD6">
              <w:rPr>
                <w:szCs w:val="24"/>
              </w:rPr>
              <w:t>Tunahan Yıldırım, Kadir Çifçi,</w:t>
            </w:r>
            <w:r w:rsidR="00895BD6" w:rsidRPr="00895BD6">
              <w:rPr>
                <w:szCs w:val="24"/>
              </w:rPr>
              <w:t xml:space="preserve"> </w:t>
            </w:r>
            <w:r w:rsidR="00EE0D2B" w:rsidRPr="00895BD6">
              <w:rPr>
                <w:szCs w:val="24"/>
              </w:rPr>
              <w:t xml:space="preserve">Hakan Cantürk, </w:t>
            </w:r>
            <w:r w:rsidR="00895BD6">
              <w:rPr>
                <w:szCs w:val="24"/>
              </w:rPr>
              <w:t>Enes Deniz</w:t>
            </w:r>
            <w:r w:rsidR="00B964F3">
              <w:rPr>
                <w:szCs w:val="24"/>
              </w:rPr>
              <w:t>’den</w:t>
            </w:r>
          </w:p>
          <w:p w:rsidR="00895BD6" w:rsidRPr="00895BD6" w:rsidRDefault="00895BD6" w:rsidP="009431FF">
            <w:pPr>
              <w:widowControl w:val="0"/>
              <w:ind w:firstLine="709"/>
              <w:rPr>
                <w:szCs w:val="24"/>
              </w:rPr>
            </w:pPr>
            <w:r>
              <w:rPr>
                <w:szCs w:val="24"/>
              </w:rPr>
              <w:t>oluşmuştur.</w:t>
            </w:r>
          </w:p>
          <w:p w:rsidR="00A55240" w:rsidRPr="00A23740" w:rsidRDefault="00A55240" w:rsidP="001B08DE"/>
        </w:tc>
      </w:tr>
      <w:tr w:rsidR="001E132C" w:rsidRPr="00A23740" w:rsidTr="009431FF">
        <w:tc>
          <w:tcPr>
            <w:tcW w:w="2500" w:type="pct"/>
            <w:shd w:val="clear" w:color="auto" w:fill="auto"/>
          </w:tcPr>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p w:rsidR="001E132C" w:rsidRPr="00A23740" w:rsidRDefault="001E132C" w:rsidP="009431FF">
            <w:pPr>
              <w:jc w:val="center"/>
              <w:rPr>
                <w:b/>
                <w:szCs w:val="24"/>
              </w:rPr>
            </w:pPr>
          </w:p>
        </w:tc>
        <w:tc>
          <w:tcPr>
            <w:tcW w:w="2500" w:type="pct"/>
            <w:shd w:val="clear" w:color="auto" w:fill="auto"/>
          </w:tcPr>
          <w:p w:rsidR="001E132C" w:rsidRPr="00A23740" w:rsidRDefault="001E132C" w:rsidP="009431FF">
            <w:pPr>
              <w:pStyle w:val="Mavi"/>
              <w:jc w:val="center"/>
              <w:rPr>
                <w:lang w:val="tr-TR"/>
              </w:rPr>
            </w:pPr>
            <w:r w:rsidRPr="00A23740">
              <w:rPr>
                <w:lang w:val="tr-TR"/>
              </w:rPr>
              <w:t>GENEL HÜKÜMLER</w:t>
            </w:r>
          </w:p>
          <w:p w:rsidR="00B56627" w:rsidRPr="00A23740" w:rsidRDefault="00B56627" w:rsidP="009431FF">
            <w:pPr>
              <w:pStyle w:val="Mavi"/>
              <w:jc w:val="center"/>
              <w:rPr>
                <w:lang w:val="tr-TR"/>
              </w:rPr>
            </w:pPr>
            <w:r w:rsidRPr="00A23740">
              <w:rPr>
                <w:lang w:val="tr-TR"/>
              </w:rPr>
              <w:t>BİRİNCİ KISIM</w:t>
            </w:r>
          </w:p>
          <w:p w:rsidR="00B56627" w:rsidRPr="00A23740" w:rsidRDefault="00B56627" w:rsidP="009431FF">
            <w:pPr>
              <w:pStyle w:val="Mavi"/>
              <w:jc w:val="center"/>
              <w:rPr>
                <w:lang w:val="tr-TR"/>
              </w:rPr>
            </w:pPr>
            <w:r w:rsidRPr="00A23740">
              <w:rPr>
                <w:lang w:val="tr-TR"/>
              </w:rPr>
              <w:t>Başlangıç</w:t>
            </w:r>
          </w:p>
          <w:p w:rsidR="00B56627" w:rsidRPr="00A23740" w:rsidRDefault="00B56627" w:rsidP="009431FF">
            <w:pPr>
              <w:pStyle w:val="Mavi"/>
              <w:jc w:val="center"/>
              <w:rPr>
                <w:lang w:val="tr-TR"/>
              </w:rPr>
            </w:pPr>
          </w:p>
          <w:p w:rsidR="001E132C" w:rsidRPr="00A23740" w:rsidRDefault="001E132C" w:rsidP="009431FF">
            <w:pPr>
              <w:rPr>
                <w:b/>
                <w:bCs/>
                <w:strike/>
                <w:color w:val="FF0000"/>
                <w:szCs w:val="24"/>
              </w:rPr>
            </w:pPr>
          </w:p>
          <w:p w:rsidR="001E132C" w:rsidRPr="00A23740" w:rsidRDefault="001E132C" w:rsidP="009431FF">
            <w:pPr>
              <w:pStyle w:val="Mavi"/>
              <w:rPr>
                <w:lang w:val="tr-TR"/>
              </w:rPr>
            </w:pPr>
            <w:r w:rsidRPr="00A23740">
              <w:rPr>
                <w:lang w:val="tr-TR"/>
              </w:rPr>
              <w:t>Cebr</w:t>
            </w:r>
            <w:r w:rsidR="00070384" w:rsidRPr="00A23740">
              <w:rPr>
                <w:lang w:val="tr-TR"/>
              </w:rPr>
              <w:t>î</w:t>
            </w:r>
            <w:r w:rsidRPr="00A23740">
              <w:rPr>
                <w:lang w:val="tr-TR"/>
              </w:rPr>
              <w:t xml:space="preserve"> icranın ilkeleri</w:t>
            </w:r>
          </w:p>
          <w:p w:rsidR="001E132C" w:rsidRPr="00A23740" w:rsidRDefault="001E132C" w:rsidP="009431FF">
            <w:pPr>
              <w:pStyle w:val="Mavi"/>
              <w:rPr>
                <w:lang w:val="tr-TR"/>
              </w:rPr>
            </w:pPr>
            <w:r w:rsidRPr="00A23740">
              <w:t>MADDE 1- (1) Borçlu</w:t>
            </w:r>
            <w:r w:rsidRPr="00A23740">
              <w:rPr>
                <w:lang w:val="tr-TR"/>
              </w:rPr>
              <w:t xml:space="preserve"> borcunu rızaen öder. Rızaen ödeme yapılmadığı takdirde alacak, Anayasa ve milletlerarası sözleşmelerle teminat altına alınan temel haklara riayet edilerek bu Kanun hükümlerine göre sade bir usulle ve çabuk bir şekilde Devlet gücüyle </w:t>
            </w:r>
            <w:r w:rsidRPr="00A23740">
              <w:rPr>
                <w:bCs w:val="0"/>
                <w:lang w:val="tr-TR" w:eastAsia="en-US"/>
              </w:rPr>
              <w:t>tahsil edilir.</w:t>
            </w:r>
          </w:p>
          <w:p w:rsidR="001E132C" w:rsidRPr="00A23740" w:rsidRDefault="001E132C" w:rsidP="009431FF">
            <w:pPr>
              <w:pStyle w:val="Mavi"/>
              <w:rPr>
                <w:lang w:val="tr-TR"/>
              </w:rPr>
            </w:pPr>
          </w:p>
          <w:p w:rsidR="001E132C" w:rsidRPr="00A23740" w:rsidRDefault="001E132C" w:rsidP="009431FF">
            <w:pPr>
              <w:pStyle w:val="Mavi"/>
              <w:rPr>
                <w:lang w:val="tr-TR"/>
              </w:rPr>
            </w:pPr>
            <w:r w:rsidRPr="00A23740">
              <w:t>(2) İcra organları bu Kanunun uygulanmasında borçlu ile alacaklının</w:t>
            </w:r>
            <w:r w:rsidRPr="00A23740">
              <w:rPr>
                <w:lang w:val="tr-TR"/>
              </w:rPr>
              <w:t xml:space="preserve"> menfaatlerini </w:t>
            </w:r>
            <w:r w:rsidR="00F13B4F" w:rsidRPr="00A23740">
              <w:t>gözetmek ve dengelemek</w:t>
            </w:r>
            <w:r w:rsidRPr="00A23740">
              <w:rPr>
                <w:lang w:val="tr-TR"/>
              </w:rPr>
              <w:t xml:space="preserve"> zorundadır.</w:t>
            </w:r>
          </w:p>
          <w:p w:rsidR="00FE4EDC" w:rsidRPr="00A23740" w:rsidRDefault="00FE4EDC" w:rsidP="009431FF">
            <w:pPr>
              <w:pStyle w:val="Mavi"/>
              <w:rPr>
                <w:b w:val="0"/>
              </w:rPr>
            </w:pPr>
          </w:p>
        </w:tc>
      </w:tr>
      <w:tr w:rsidR="008022BD" w:rsidRPr="00A23740" w:rsidTr="009431FF">
        <w:tc>
          <w:tcPr>
            <w:tcW w:w="5000" w:type="pct"/>
            <w:gridSpan w:val="2"/>
            <w:shd w:val="clear" w:color="auto" w:fill="DEEAF6"/>
          </w:tcPr>
          <w:p w:rsidR="004B3602" w:rsidRPr="00A23740" w:rsidRDefault="004B3602" w:rsidP="009431FF">
            <w:pPr>
              <w:pStyle w:val="Mavi"/>
              <w:ind w:firstLine="709"/>
              <w:rPr>
                <w:color w:val="auto"/>
                <w:lang w:val="tr-TR"/>
              </w:rPr>
            </w:pPr>
          </w:p>
          <w:p w:rsidR="004B3602" w:rsidRPr="00A23740" w:rsidRDefault="004B3602" w:rsidP="009431FF">
            <w:pPr>
              <w:pStyle w:val="Mavi"/>
              <w:ind w:firstLine="709"/>
              <w:rPr>
                <w:rFonts w:eastAsia="Times New Roman"/>
                <w:b w:val="0"/>
                <w:bCs w:val="0"/>
                <w:color w:val="000000"/>
                <w:lang w:val="tr-TR" w:eastAsia="tr-TR"/>
              </w:rPr>
            </w:pPr>
            <w:r w:rsidRPr="00A23740">
              <w:rPr>
                <w:color w:val="auto"/>
                <w:lang w:val="tr-TR"/>
              </w:rPr>
              <w:t>MADDE 1-</w:t>
            </w:r>
            <w:r w:rsidRPr="00A23740">
              <w:rPr>
                <w:rFonts w:eastAsia="Times New Roman"/>
                <w:b w:val="0"/>
                <w:bCs w:val="0"/>
                <w:color w:val="000000"/>
                <w:lang w:val="tr-TR" w:eastAsia="tr-TR"/>
              </w:rPr>
              <w:t xml:space="preserve"> Maddeyle, cebr</w:t>
            </w:r>
            <w:r w:rsidR="00070384" w:rsidRPr="00A23740">
              <w:rPr>
                <w:b w:val="0"/>
                <w:color w:val="auto"/>
                <w:lang w:val="tr-TR"/>
              </w:rPr>
              <w:t>î</w:t>
            </w:r>
            <w:r w:rsidRPr="00A23740">
              <w:rPr>
                <w:rFonts w:eastAsia="Times New Roman"/>
                <w:b w:val="0"/>
                <w:bCs w:val="0"/>
                <w:color w:val="000000"/>
                <w:lang w:val="tr-TR" w:eastAsia="tr-TR"/>
              </w:rPr>
              <w:t xml:space="preserve"> icranın ilkeleri düzenlenmektedir.</w:t>
            </w:r>
          </w:p>
          <w:p w:rsidR="004B3602" w:rsidRPr="00A23740" w:rsidRDefault="004B3602" w:rsidP="009431FF">
            <w:pPr>
              <w:pStyle w:val="Mavi"/>
              <w:ind w:firstLine="709"/>
              <w:rPr>
                <w:b w:val="0"/>
                <w:color w:val="auto"/>
                <w:lang w:val="tr-TR"/>
              </w:rPr>
            </w:pPr>
            <w:r w:rsidRPr="00A23740">
              <w:rPr>
                <w:b w:val="0"/>
                <w:color w:val="auto"/>
                <w:lang w:val="tr-TR"/>
              </w:rPr>
              <w:t>Birinci fıkrayla, borçlunun borcunu rızaen ödemesinin esas olduğu ilkesel olarak ifade edilmekte; rızaen ödenmeyen alacağın, Anayasa ve milletlerarası sözleşmelerle teminat altına alınan temel haklara riayet edilerek bu Kanun hükümlerine göre sade bir usulle ve çabuk bir şekilde Devlet gücüyle tahsil edileceği kabul edilmektedir.</w:t>
            </w:r>
          </w:p>
          <w:p w:rsidR="004B3602" w:rsidRPr="00A23740" w:rsidRDefault="004B3602" w:rsidP="009431FF">
            <w:pPr>
              <w:pStyle w:val="Mavi"/>
              <w:ind w:firstLine="709"/>
              <w:rPr>
                <w:b w:val="0"/>
                <w:color w:val="auto"/>
                <w:lang w:val="tr-TR"/>
              </w:rPr>
            </w:pPr>
            <w:r w:rsidRPr="00A23740">
              <w:rPr>
                <w:b w:val="0"/>
                <w:color w:val="auto"/>
                <w:lang w:val="tr-TR"/>
              </w:rPr>
              <w:t>Gerek Anayasamızda gerekse milletlerarası insan hakları hukukunun da dâhil olduğu Anayasallık Bloku içinde temel hak ve hürriyetler, özlerine dokunulmaksızın yalnızca Anayasanın ilgili maddelerinde belirtilen sebeplere bağlı olarak ve ancak kanunla sınırlandırılabilir. Temel haklara müdahalenin ancak kanunla, kanunun belirlediği şekilde, makul ölçü içinde ve hakkın özüne dokunulmaksızın yapılması gerekir. Hukuk devletlerinde, toplum düzeninin ve barışının korunması için, Devlet organlarına başvurmanın imkânsız olduğu belirli h</w:t>
            </w:r>
            <w:r w:rsidR="00C219C2" w:rsidRPr="00A23740">
              <w:rPr>
                <w:b w:val="0"/>
                <w:color w:val="auto"/>
                <w:lang w:val="tr-TR"/>
              </w:rPr>
              <w:t>â</w:t>
            </w:r>
            <w:r w:rsidRPr="00A23740">
              <w:rPr>
                <w:b w:val="0"/>
                <w:color w:val="auto"/>
                <w:lang w:val="tr-TR"/>
              </w:rPr>
              <w:t xml:space="preserve">llere özgü kanuni istisnalar dışında, kendiliğinden hak arama yolları yasaklanmıştır. Hakkı ihlal edilen veya tehlikeye düşürülen kişilerin, devletin yetkili organları </w:t>
            </w:r>
            <w:r w:rsidRPr="00A23740">
              <w:rPr>
                <w:b w:val="0"/>
                <w:color w:val="auto"/>
                <w:lang w:val="tr-TR"/>
              </w:rPr>
              <w:lastRenderedPageBreak/>
              <w:t>vasıtasıyla hakkını araması bir zorunluluktur. Bu kapsamda alacaklının, alacağına azami seviyede ulaşmasında, borçlunun da borcunu aynı şekilde ödemesinde hakkaniyete ve menfaat dengesine uygun olarak standart ve objektif bir usulün oluşturulması hukuk devletinin gereğidir.</w:t>
            </w:r>
          </w:p>
          <w:p w:rsidR="004B3602" w:rsidRPr="00A23740" w:rsidRDefault="004B3602" w:rsidP="009431FF">
            <w:pPr>
              <w:pStyle w:val="Mavi"/>
              <w:ind w:firstLine="709"/>
              <w:rPr>
                <w:b w:val="0"/>
                <w:color w:val="auto"/>
                <w:lang w:val="tr-TR"/>
              </w:rPr>
            </w:pPr>
            <w:r w:rsidRPr="00A23740">
              <w:rPr>
                <w:b w:val="0"/>
                <w:color w:val="auto"/>
                <w:lang w:val="tr-TR"/>
              </w:rPr>
              <w:t>Cebr</w:t>
            </w:r>
            <w:r w:rsidR="00070384" w:rsidRPr="00A23740">
              <w:rPr>
                <w:b w:val="0"/>
                <w:color w:val="auto"/>
                <w:lang w:val="tr-TR"/>
              </w:rPr>
              <w:t>î</w:t>
            </w:r>
            <w:r w:rsidRPr="00A23740">
              <w:rPr>
                <w:b w:val="0"/>
                <w:color w:val="auto"/>
                <w:lang w:val="tr-TR"/>
              </w:rPr>
              <w:t xml:space="preserve"> icra kanunları, alacaklının, borçlunun ve takip sürecine dâhil olan üçüncü kişilerin temel haklarını yakından ilgilendiren hükümleri bünyesinde barındırır. Cebr</w:t>
            </w:r>
            <w:r w:rsidR="00070384" w:rsidRPr="00A23740">
              <w:rPr>
                <w:b w:val="0"/>
                <w:color w:val="auto"/>
                <w:lang w:val="tr-TR"/>
              </w:rPr>
              <w:t>î</w:t>
            </w:r>
            <w:r w:rsidRPr="00A23740">
              <w:rPr>
                <w:b w:val="0"/>
                <w:color w:val="auto"/>
                <w:lang w:val="tr-TR"/>
              </w:rPr>
              <w:t xml:space="preserve"> icra işlemleri, alacaklı bakımından hak arama özgürlüğünün gerçekleştirilmesini ve mülkiyet hakkının korunmasını temin ederken, borçlu bakımından ise kişi özgürlüğü, mülkiyet hakkı, konut dokunulmazlığı ile aile ve özel hayata saygı gibi temel hakları sınırlandırır. Cebr</w:t>
            </w:r>
            <w:r w:rsidR="00070384" w:rsidRPr="00A23740">
              <w:rPr>
                <w:b w:val="0"/>
                <w:color w:val="auto"/>
                <w:lang w:val="tr-TR"/>
              </w:rPr>
              <w:t>î</w:t>
            </w:r>
            <w:r w:rsidRPr="00A23740">
              <w:rPr>
                <w:b w:val="0"/>
                <w:color w:val="auto"/>
                <w:lang w:val="tr-TR"/>
              </w:rPr>
              <w:t xml:space="preserve"> icra yetkisi, bünyesinde yaptırımları barındıran ve temel haklara müdahale sonucunu doğuran işlemleri kapsadığından, yaptırım gerektiren h</w:t>
            </w:r>
            <w:r w:rsidR="00C219C2" w:rsidRPr="00A23740">
              <w:rPr>
                <w:b w:val="0"/>
                <w:color w:val="auto"/>
                <w:lang w:val="tr-TR"/>
              </w:rPr>
              <w:t>â</w:t>
            </w:r>
            <w:r w:rsidRPr="00A23740">
              <w:rPr>
                <w:b w:val="0"/>
                <w:color w:val="auto"/>
                <w:lang w:val="tr-TR"/>
              </w:rPr>
              <w:t>llerin, buna ilişkin yolların ve bu yollar</w:t>
            </w:r>
            <w:r w:rsidR="002D4149" w:rsidRPr="00A23740">
              <w:rPr>
                <w:b w:val="0"/>
                <w:color w:val="auto"/>
                <w:lang w:val="tr-TR"/>
              </w:rPr>
              <w:t>ın kapsadığı</w:t>
            </w:r>
            <w:r w:rsidRPr="00A23740">
              <w:rPr>
                <w:b w:val="0"/>
                <w:color w:val="auto"/>
                <w:lang w:val="tr-TR"/>
              </w:rPr>
              <w:t xml:space="preserve"> usul ve esasların kanunda ayrıntılı bir şekilde düzenlenmesi ve baştan itibaren belirli olması </w:t>
            </w:r>
            <w:r w:rsidR="00D64704" w:rsidRPr="00A23740">
              <w:rPr>
                <w:b w:val="0"/>
                <w:color w:val="auto"/>
                <w:lang w:val="tr-TR"/>
              </w:rPr>
              <w:t>elzemdir.</w:t>
            </w:r>
          </w:p>
          <w:p w:rsidR="00D64704" w:rsidRPr="00A23740" w:rsidRDefault="004B3602" w:rsidP="009431FF">
            <w:pPr>
              <w:pStyle w:val="Mavi"/>
              <w:ind w:firstLine="709"/>
              <w:rPr>
                <w:color w:val="000000"/>
                <w:lang w:val="tr-TR"/>
              </w:rPr>
            </w:pPr>
            <w:r w:rsidRPr="00A23740">
              <w:rPr>
                <w:b w:val="0"/>
                <w:color w:val="auto"/>
                <w:lang w:val="tr-TR"/>
              </w:rPr>
              <w:t>İkinci fıkra</w:t>
            </w:r>
            <w:r w:rsidR="002D4149" w:rsidRPr="00A23740">
              <w:rPr>
                <w:b w:val="0"/>
                <w:color w:val="auto"/>
                <w:lang w:val="tr-TR"/>
              </w:rPr>
              <w:t>da</w:t>
            </w:r>
            <w:r w:rsidRPr="00A23740">
              <w:rPr>
                <w:b w:val="0"/>
                <w:color w:val="auto"/>
                <w:lang w:val="tr-TR"/>
              </w:rPr>
              <w:t xml:space="preserve">, icra organlarının Kanunun uygulanmasında borçlu ile alacaklının menfaatlerini gözetmek ve dengelemek zorunda olduğu </w:t>
            </w:r>
            <w:r w:rsidR="002D4149" w:rsidRPr="00A23740">
              <w:rPr>
                <w:b w:val="0"/>
                <w:color w:val="auto"/>
                <w:lang w:val="tr-TR"/>
              </w:rPr>
              <w:t>hususu  ele alınmaktadır</w:t>
            </w:r>
            <w:r w:rsidRPr="00A23740">
              <w:rPr>
                <w:b w:val="0"/>
                <w:color w:val="auto"/>
                <w:lang w:val="tr-TR"/>
              </w:rPr>
              <w:t xml:space="preserve">. </w:t>
            </w:r>
            <w:r w:rsidR="00163E5A" w:rsidRPr="00A23740">
              <w:rPr>
                <w:b w:val="0"/>
                <w:color w:val="auto"/>
                <w:lang w:val="tr-TR"/>
              </w:rPr>
              <w:t>Taslağın</w:t>
            </w:r>
            <w:r w:rsidRPr="00A23740">
              <w:rPr>
                <w:b w:val="0"/>
                <w:color w:val="auto"/>
                <w:lang w:val="tr-TR"/>
              </w:rPr>
              <w:t xml:space="preserve"> diğer maddelerinde menfaat dengesinin kurulmasında ve korunmasında görev alan icra organları ile mahkemelere önemli görevler verilmekte ise de</w:t>
            </w:r>
            <w:r w:rsidR="002D4149" w:rsidRPr="00A23740">
              <w:rPr>
                <w:b w:val="0"/>
                <w:color w:val="auto"/>
                <w:lang w:val="tr-TR"/>
              </w:rPr>
              <w:t>,</w:t>
            </w:r>
            <w:r w:rsidRPr="00A23740">
              <w:rPr>
                <w:b w:val="0"/>
                <w:color w:val="auto"/>
                <w:lang w:val="tr-TR"/>
              </w:rPr>
              <w:t xml:space="preserve"> ikinci fıkrayla</w:t>
            </w:r>
            <w:r w:rsidR="002D4149" w:rsidRPr="00A23740">
              <w:rPr>
                <w:b w:val="0"/>
                <w:color w:val="auto"/>
                <w:lang w:val="tr-TR"/>
              </w:rPr>
              <w:t>,</w:t>
            </w:r>
            <w:r w:rsidRPr="00A23740">
              <w:rPr>
                <w:b w:val="0"/>
                <w:color w:val="auto"/>
                <w:lang w:val="tr-TR"/>
              </w:rPr>
              <w:t xml:space="preserve"> önemine binaen</w:t>
            </w:r>
            <w:r w:rsidR="002D4149" w:rsidRPr="00A23740">
              <w:rPr>
                <w:b w:val="0"/>
                <w:color w:val="auto"/>
                <w:lang w:val="tr-TR"/>
              </w:rPr>
              <w:t>,</w:t>
            </w:r>
            <w:r w:rsidRPr="00A23740">
              <w:rPr>
                <w:b w:val="0"/>
                <w:color w:val="auto"/>
                <w:lang w:val="tr-TR"/>
              </w:rPr>
              <w:t xml:space="preserve"> menfaat dengesinin sağlanması ilkesi bir zorunluluk olarak açıkça düzenlenmektedir. Menfaat dengesiyle</w:t>
            </w:r>
            <w:r w:rsidR="002D4149" w:rsidRPr="00A23740">
              <w:rPr>
                <w:b w:val="0"/>
                <w:color w:val="auto"/>
                <w:lang w:val="tr-TR"/>
              </w:rPr>
              <w:t xml:space="preserve"> kastedilen;</w:t>
            </w:r>
            <w:r w:rsidRPr="00A23740">
              <w:rPr>
                <w:b w:val="0"/>
                <w:color w:val="auto"/>
                <w:lang w:val="tr-TR"/>
              </w:rPr>
              <w:t xml:space="preserve"> bir tarafta</w:t>
            </w:r>
            <w:r w:rsidR="002D4149" w:rsidRPr="00A23740">
              <w:rPr>
                <w:b w:val="0"/>
                <w:color w:val="auto"/>
                <w:lang w:val="tr-TR"/>
              </w:rPr>
              <w:t>n</w:t>
            </w:r>
            <w:r w:rsidRPr="00A23740">
              <w:rPr>
                <w:b w:val="0"/>
                <w:color w:val="auto"/>
                <w:lang w:val="tr-TR"/>
              </w:rPr>
              <w:t xml:space="preserve"> alacaklının mülkiyet hakkı korunurken; diğer taraftan da borçlu ve üçüncü kişilerin temel hak ve özgürlüklerinin, evrensel ilkelere uygun olarak korunması</w:t>
            </w:r>
            <w:r w:rsidR="002D4149" w:rsidRPr="00A23740">
              <w:rPr>
                <w:b w:val="0"/>
                <w:color w:val="auto"/>
                <w:lang w:val="tr-TR"/>
              </w:rPr>
              <w:t>gereğidir</w:t>
            </w:r>
            <w:r w:rsidRPr="00A23740">
              <w:rPr>
                <w:b w:val="0"/>
                <w:color w:val="auto"/>
                <w:lang w:val="tr-TR"/>
              </w:rPr>
              <w:t xml:space="preserve">. Anayasada yer alan hukuk devleti ilkesi, menfaat dengesinin kurulması ve korunması açısından borçlu ile alacaklıya, başlatılacak takip sürecinde, yetkileri sınırlı ve belirli, tarafsız bir devlet organı tarafından hak ve menfaatlerinin gözetileceği konusunda teminat verir. </w:t>
            </w:r>
            <w:r w:rsidR="002D4149" w:rsidRPr="00A23740">
              <w:rPr>
                <w:b w:val="0"/>
                <w:color w:val="auto"/>
                <w:lang w:val="tr-TR"/>
              </w:rPr>
              <w:t>B</w:t>
            </w:r>
            <w:r w:rsidRPr="00A23740">
              <w:rPr>
                <w:b w:val="0"/>
                <w:color w:val="auto"/>
                <w:lang w:val="tr-TR"/>
              </w:rPr>
              <w:t>orçlunun borcunu ödeyememesi, onun insan onuruna aykırı</w:t>
            </w:r>
            <w:r w:rsidR="002D4149" w:rsidRPr="00A23740">
              <w:rPr>
                <w:b w:val="0"/>
                <w:color w:val="auto"/>
                <w:lang w:val="tr-TR"/>
              </w:rPr>
              <w:t>lık oluşturan</w:t>
            </w:r>
            <w:r w:rsidRPr="00A23740">
              <w:rPr>
                <w:b w:val="0"/>
                <w:color w:val="auto"/>
                <w:lang w:val="tr-TR"/>
              </w:rPr>
              <w:t>, temel hak ve özgürlüklerini ölçüsüz biçimde sınırlandıran, kişisel varlığı ile malvarlığı</w:t>
            </w:r>
            <w:r w:rsidRPr="00A23740">
              <w:rPr>
                <w:b w:val="0"/>
                <w:color w:val="FF0000"/>
                <w:lang w:val="tr-TR"/>
              </w:rPr>
              <w:t xml:space="preserve"> </w:t>
            </w:r>
            <w:r w:rsidRPr="00A23740">
              <w:rPr>
                <w:b w:val="0"/>
                <w:color w:val="auto"/>
                <w:lang w:val="tr-TR"/>
              </w:rPr>
              <w:t xml:space="preserve">haklarını haksız olarak zedeleyen şekilde muamele görmesini de gerektirmez. Bu kapsamda icra organlarının, </w:t>
            </w:r>
            <w:r w:rsidR="000C282A">
              <w:rPr>
                <w:b w:val="0"/>
                <w:color w:val="auto"/>
                <w:lang w:val="tr-TR"/>
              </w:rPr>
              <w:t>cebrî</w:t>
            </w:r>
            <w:r w:rsidR="002D4149" w:rsidRPr="00A23740">
              <w:rPr>
                <w:b w:val="0"/>
                <w:color w:val="auto"/>
                <w:lang w:val="tr-TR"/>
              </w:rPr>
              <w:t xml:space="preserve"> icra takiplerini </w:t>
            </w:r>
            <w:r w:rsidRPr="00A23740">
              <w:rPr>
                <w:b w:val="0"/>
                <w:color w:val="auto"/>
                <w:lang w:val="tr-TR"/>
              </w:rPr>
              <w:t>menfaat dengesinin sağlanmasına hizmet edecek şekilde ölçülü olarak ge</w:t>
            </w:r>
            <w:r w:rsidR="00D23557" w:rsidRPr="00A23740">
              <w:rPr>
                <w:b w:val="0"/>
                <w:color w:val="auto"/>
                <w:lang w:val="tr-TR"/>
              </w:rPr>
              <w:t>rçekleştirmesi; mahkemelerin de</w:t>
            </w:r>
            <w:r w:rsidRPr="00A23740">
              <w:rPr>
                <w:b w:val="0"/>
                <w:color w:val="auto"/>
                <w:lang w:val="tr-TR"/>
              </w:rPr>
              <w:t xml:space="preserve"> takip işlemlerinde gözetilmesi gereken menfaat dengesi çerçevesinde, kendilerine yapılan başvuruları h</w:t>
            </w:r>
            <w:r w:rsidRPr="00A23740">
              <w:rPr>
                <w:rFonts w:eastAsia="Times New Roman"/>
                <w:b w:val="0"/>
                <w:bCs w:val="0"/>
                <w:color w:val="auto"/>
                <w:lang w:val="tr-TR" w:eastAsia="en-US"/>
              </w:rPr>
              <w:t xml:space="preserve">ukukun sınırları </w:t>
            </w:r>
            <w:r w:rsidR="002D4149" w:rsidRPr="00A23740">
              <w:rPr>
                <w:rFonts w:eastAsia="Times New Roman"/>
                <w:b w:val="0"/>
                <w:bCs w:val="0"/>
                <w:color w:val="auto"/>
                <w:lang w:val="tr-TR" w:eastAsia="en-US"/>
              </w:rPr>
              <w:t xml:space="preserve">içinde </w:t>
            </w:r>
            <w:r w:rsidRPr="00A23740">
              <w:rPr>
                <w:rFonts w:eastAsia="Times New Roman"/>
                <w:b w:val="0"/>
                <w:bCs w:val="0"/>
                <w:color w:val="auto"/>
                <w:lang w:val="tr-TR" w:eastAsia="en-US"/>
              </w:rPr>
              <w:t xml:space="preserve">çözüme kavuşturması gerekir. Bu organların, </w:t>
            </w:r>
            <w:r w:rsidR="002D4149" w:rsidRPr="00A23740">
              <w:rPr>
                <w:rFonts w:eastAsia="Times New Roman"/>
                <w:b w:val="0"/>
                <w:bCs w:val="0"/>
                <w:color w:val="auto"/>
                <w:lang w:val="tr-TR" w:eastAsia="en-US"/>
              </w:rPr>
              <w:t xml:space="preserve">mutlaka, </w:t>
            </w:r>
            <w:r w:rsidR="00D23557" w:rsidRPr="00A23740">
              <w:rPr>
                <w:rFonts w:eastAsia="Times New Roman"/>
                <w:b w:val="0"/>
                <w:bCs w:val="0"/>
                <w:color w:val="auto"/>
                <w:lang w:val="tr-TR" w:eastAsia="en-US"/>
              </w:rPr>
              <w:t xml:space="preserve">borçlu, alacaklı ve </w:t>
            </w:r>
            <w:r w:rsidR="0084363F" w:rsidRPr="00A23740">
              <w:rPr>
                <w:rFonts w:eastAsia="Times New Roman"/>
                <w:b w:val="0"/>
                <w:bCs w:val="0"/>
                <w:color w:val="auto"/>
                <w:lang w:val="tr-TR" w:eastAsia="en-US"/>
              </w:rPr>
              <w:t xml:space="preserve">(gerektiğinde) </w:t>
            </w:r>
            <w:r w:rsidR="00D23557" w:rsidRPr="00A23740">
              <w:rPr>
                <w:rFonts w:eastAsia="Times New Roman"/>
                <w:b w:val="0"/>
                <w:bCs w:val="0"/>
                <w:color w:val="auto"/>
                <w:lang w:val="tr-TR" w:eastAsia="en-US"/>
              </w:rPr>
              <w:t>üçüncü kişiler</w:t>
            </w:r>
            <w:r w:rsidR="00B03748" w:rsidRPr="00A23740">
              <w:rPr>
                <w:rFonts w:eastAsia="Times New Roman"/>
                <w:b w:val="0"/>
                <w:bCs w:val="0"/>
                <w:color w:val="auto"/>
                <w:lang w:val="tr-TR" w:eastAsia="en-US"/>
              </w:rPr>
              <w:t xml:space="preserve"> bakımından</w:t>
            </w:r>
            <w:r w:rsidR="00D23557" w:rsidRPr="00A23740">
              <w:rPr>
                <w:b w:val="0"/>
                <w:color w:val="auto"/>
                <w:lang w:val="tr-TR"/>
              </w:rPr>
              <w:t xml:space="preserve"> </w:t>
            </w:r>
            <w:r w:rsidRPr="00A23740">
              <w:rPr>
                <w:b w:val="0"/>
                <w:color w:val="auto"/>
                <w:lang w:val="tr-TR"/>
              </w:rPr>
              <w:t>menfaat dengesini</w:t>
            </w:r>
            <w:r w:rsidR="0084363F" w:rsidRPr="00A23740">
              <w:rPr>
                <w:b w:val="0"/>
                <w:color w:val="auto"/>
                <w:lang w:val="tr-TR"/>
              </w:rPr>
              <w:t>sağlaması</w:t>
            </w:r>
            <w:r w:rsidRPr="00A23740">
              <w:rPr>
                <w:b w:val="0"/>
                <w:color w:val="auto"/>
                <w:lang w:val="tr-TR"/>
              </w:rPr>
              <w:t xml:space="preserve">, hukuk devleti, hak arama özgürlüğü, kanun önünde eşitlik, ölçülülük, adil yargılanma hakkı, hukuki dinlenilme hakkı, kişi özgürlüğü ve ailenin korunması gibi ilkeleri </w:t>
            </w:r>
            <w:r w:rsidR="0084363F" w:rsidRPr="00A23740">
              <w:rPr>
                <w:b w:val="0"/>
                <w:color w:val="auto"/>
                <w:lang w:val="tr-TR"/>
              </w:rPr>
              <w:t xml:space="preserve">titizlikle </w:t>
            </w:r>
            <w:r w:rsidRPr="00A23740">
              <w:rPr>
                <w:b w:val="0"/>
                <w:color w:val="auto"/>
                <w:lang w:val="tr-TR"/>
              </w:rPr>
              <w:t>göz önünde bulundurması gerekecektir.</w:t>
            </w:r>
            <w:r w:rsidR="00D23557" w:rsidRPr="00A23740">
              <w:rPr>
                <w:b w:val="0"/>
                <w:color w:val="auto"/>
                <w:lang w:val="tr-TR"/>
              </w:rPr>
              <w:t xml:space="preserve"> </w:t>
            </w:r>
          </w:p>
          <w:p w:rsidR="004B3602" w:rsidRPr="00A23740" w:rsidRDefault="004B3602" w:rsidP="009431FF">
            <w:pPr>
              <w:pStyle w:val="Mavi"/>
              <w:rPr>
                <w:b w:val="0"/>
                <w:color w:val="auto"/>
                <w:lang w:val="tr-TR"/>
              </w:rPr>
            </w:pPr>
          </w:p>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p>
          <w:p w:rsidR="00906A9D" w:rsidRPr="00A23740" w:rsidRDefault="00906A9D" w:rsidP="009431FF">
            <w:pPr>
              <w:rPr>
                <w:rFonts w:eastAsia="Times New Roman"/>
                <w:i/>
                <w:iCs/>
                <w:color w:val="000000"/>
                <w:szCs w:val="24"/>
                <w:lang w:eastAsia="tr-TR"/>
              </w:rPr>
            </w:pPr>
            <w:r w:rsidRPr="00A23740">
              <w:rPr>
                <w:rFonts w:eastAsia="Times New Roman"/>
                <w:i/>
                <w:iCs/>
                <w:color w:val="000000"/>
                <w:szCs w:val="24"/>
                <w:lang w:eastAsia="tr-TR"/>
              </w:rPr>
              <w:t>İcra daireleri başkanlığı</w:t>
            </w:r>
            <w:r w:rsidRPr="00A23740">
              <w:rPr>
                <w:rStyle w:val="KIRMIZIChar"/>
                <w:rFonts w:eastAsia="Calibri"/>
              </w:rPr>
              <w:t>:</w:t>
            </w:r>
          </w:p>
          <w:p w:rsidR="00906A9D" w:rsidRPr="00A23740" w:rsidRDefault="00906A9D" w:rsidP="009431FF">
            <w:pPr>
              <w:rPr>
                <w:rStyle w:val="KIRMIZIChar"/>
                <w:rFonts w:eastAsia="Calibri"/>
              </w:rPr>
            </w:pPr>
            <w:r w:rsidRPr="00A23740">
              <w:rPr>
                <w:rStyle w:val="KIRMIZIChar"/>
                <w:rFonts w:eastAsia="Calibri"/>
              </w:rPr>
              <w:lastRenderedPageBreak/>
              <w:t>MADDE 3/a- (Ek:24/11/2021-7343/2 md.)</w:t>
            </w:r>
          </w:p>
          <w:p w:rsidR="00906A9D" w:rsidRPr="00A23740" w:rsidRDefault="00906A9D" w:rsidP="009431FF">
            <w:pPr>
              <w:rPr>
                <w:rFonts w:eastAsia="Times New Roman"/>
                <w:iCs/>
                <w:color w:val="000000"/>
                <w:szCs w:val="24"/>
                <w:lang w:eastAsia="tr-TR"/>
              </w:rPr>
            </w:pPr>
            <w:r w:rsidRPr="00A23740">
              <w:rPr>
                <w:rStyle w:val="KIRMIZIChar"/>
                <w:rFonts w:eastAsia="Calibri"/>
              </w:rPr>
              <w:t>(1)</w:t>
            </w:r>
            <w:r w:rsidRPr="00A23740">
              <w:rPr>
                <w:rFonts w:eastAsia="Times New Roman"/>
                <w:iCs/>
                <w:color w:val="000000"/>
                <w:szCs w:val="24"/>
                <w:lang w:eastAsia="tr-TR"/>
              </w:rPr>
              <w:t xml:space="preserve"> İş yoğunluğunun veya icra dairesi sayısının fazla olduğu illerde Adalet Bakanlığı tarafından, yetki çevresi de belirlenmek suretiyle bir veya birden fazla icra daireleri başkanlığı kurulabilir.</w:t>
            </w:r>
          </w:p>
          <w:p w:rsidR="00906A9D" w:rsidRPr="00A23740" w:rsidRDefault="00906A9D" w:rsidP="009431FF">
            <w:pPr>
              <w:rPr>
                <w:rFonts w:eastAsia="Times New Roman"/>
                <w:iCs/>
                <w:color w:val="000000"/>
                <w:szCs w:val="24"/>
                <w:lang w:eastAsia="tr-TR"/>
              </w:rPr>
            </w:pPr>
          </w:p>
          <w:p w:rsidR="00906A9D" w:rsidRPr="00A23740" w:rsidRDefault="00906A9D" w:rsidP="009431FF">
            <w:pPr>
              <w:pStyle w:val="KIRMIZI"/>
            </w:pPr>
            <w:r w:rsidRPr="00A23740">
              <w:t>(2) Başkanlıkta bir başkan ile yeteri kadar başkan yardımcısı bulunur. Başkan birinci sınıf olmuş, başkan yardımcısı ise birinci sınıfa ayrılmış adli yargı hâkim ve Cumhuriyet savcıları arasından muvafakatleri alınarak Bakanlıkça atanır. Ayrıca başkanlıkta, yeteri kadar icra başmüdürü, icra müdürü, icra müdür yardımcısı, icra kâtibi ve memur Adalet Bakanlığı tarafından görevlendirilir.</w:t>
            </w:r>
          </w:p>
          <w:p w:rsidR="00906A9D" w:rsidRPr="00A23740" w:rsidRDefault="00906A9D" w:rsidP="009431FF">
            <w:pPr>
              <w:rPr>
                <w:rFonts w:eastAsia="Times New Roman"/>
                <w:iCs/>
                <w:color w:val="000000"/>
                <w:szCs w:val="24"/>
                <w:lang w:eastAsia="tr-TR"/>
              </w:rPr>
            </w:pPr>
          </w:p>
          <w:p w:rsidR="00906A9D" w:rsidRPr="00A23740" w:rsidRDefault="00906A9D" w:rsidP="009431FF">
            <w:pPr>
              <w:pStyle w:val="KIRMIZI"/>
            </w:pPr>
            <w:r w:rsidRPr="00A23740">
              <w:t>(3) İcra daireleri başkanı ve başkan yardımcıları hakkında, bu Kanunda hüküm bulunmayan hâllerde 24/2/1983 tarihli ve 2802 sayılı Hâkimler ve Savcılar Kanununun Adalet Bakanlığı merkez kuruluşunda çalışan hâkimlere ilişkin hükümleri uygulanır.</w:t>
            </w:r>
          </w:p>
          <w:p w:rsidR="00906A9D" w:rsidRPr="00A23740" w:rsidRDefault="00906A9D" w:rsidP="009431FF">
            <w:pPr>
              <w:pStyle w:val="KIRMIZI"/>
            </w:pPr>
          </w:p>
          <w:p w:rsidR="00906A9D" w:rsidRPr="00A23740" w:rsidRDefault="00906A9D" w:rsidP="009431FF">
            <w:pPr>
              <w:rPr>
                <w:rFonts w:eastAsia="Times New Roman"/>
                <w:iCs/>
                <w:color w:val="000000"/>
                <w:szCs w:val="24"/>
                <w:lang w:eastAsia="tr-TR"/>
              </w:rPr>
            </w:pPr>
            <w:r w:rsidRPr="00A23740">
              <w:rPr>
                <w:rStyle w:val="KIRMIZIChar"/>
                <w:rFonts w:eastAsia="Calibri"/>
                <w:lang w:eastAsia="tr-TR"/>
              </w:rPr>
              <w:t>(4)</w:t>
            </w:r>
            <w:r w:rsidRPr="00A23740">
              <w:rPr>
                <w:rFonts w:eastAsia="Times New Roman"/>
                <w:iCs/>
                <w:color w:val="000000"/>
                <w:szCs w:val="24"/>
                <w:lang w:eastAsia="tr-TR"/>
              </w:rPr>
              <w:t xml:space="preserve"> Başkanlık, icra dairelerinin gözetim ve denetimlerini yapar, idari işlerine bakar; mevzuatla verilen görevleri yerine getirir.</w:t>
            </w:r>
          </w:p>
          <w:p w:rsidR="00906A9D" w:rsidRPr="00A23740" w:rsidRDefault="00906A9D" w:rsidP="009431FF">
            <w:pPr>
              <w:pStyle w:val="KIRMIZI"/>
            </w:pPr>
          </w:p>
          <w:p w:rsidR="00906A9D" w:rsidRPr="00A23740" w:rsidRDefault="00906A9D" w:rsidP="009431FF">
            <w:pPr>
              <w:pStyle w:val="KIRMIZI"/>
            </w:pPr>
            <w:r w:rsidRPr="00A23740">
              <w:t>(5) Bu madde hükmü iflas daireleri ile iflas dairelerinde çalışan görevliler hakkında da uygulanır.</w:t>
            </w:r>
          </w:p>
          <w:p w:rsidR="00906A9D" w:rsidRPr="00A23740" w:rsidRDefault="00906A9D" w:rsidP="009431FF">
            <w:pPr>
              <w:pStyle w:val="KIRMIZI"/>
            </w:pPr>
          </w:p>
          <w:p w:rsidR="001E132C" w:rsidRPr="00A23740" w:rsidRDefault="00906A9D" w:rsidP="009431FF">
            <w:pPr>
              <w:pStyle w:val="KIRMIZI"/>
            </w:pPr>
            <w:r w:rsidRPr="00A23740">
              <w:t>(6) Bu maddenin uygulanmasına ilişkin usul ve esaslar, Adalet Bakanlığınca yürürlüğe konulan yönetmelikle belirlenir.</w:t>
            </w:r>
          </w:p>
          <w:p w:rsidR="00FE4EDC" w:rsidRPr="00A23740" w:rsidRDefault="00FE4EDC" w:rsidP="009431FF">
            <w:pPr>
              <w:pStyle w:val="KIRMIZI"/>
              <w:rPr>
                <w:i/>
                <w:iCs/>
                <w:color w:val="000000"/>
                <w:lang w:eastAsia="tr-TR"/>
              </w:rPr>
            </w:pPr>
          </w:p>
        </w:tc>
        <w:tc>
          <w:tcPr>
            <w:tcW w:w="2500" w:type="pct"/>
            <w:shd w:val="clear" w:color="auto" w:fill="auto"/>
          </w:tcPr>
          <w:p w:rsidR="001E132C" w:rsidRPr="00A23740" w:rsidRDefault="00B56627" w:rsidP="009431FF">
            <w:pPr>
              <w:pStyle w:val="Mavi"/>
              <w:jc w:val="center"/>
              <w:rPr>
                <w:lang w:val="tr-TR"/>
              </w:rPr>
            </w:pPr>
            <w:r w:rsidRPr="00A23740">
              <w:rPr>
                <w:lang w:val="tr-TR"/>
              </w:rPr>
              <w:lastRenderedPageBreak/>
              <w:t>İKİNCİ</w:t>
            </w:r>
            <w:r w:rsidR="001E132C" w:rsidRPr="00A23740">
              <w:rPr>
                <w:lang w:val="tr-TR"/>
              </w:rPr>
              <w:t xml:space="preserve"> KISIM</w:t>
            </w:r>
          </w:p>
          <w:p w:rsidR="001E132C" w:rsidRPr="00A23740" w:rsidRDefault="001E132C" w:rsidP="009431FF">
            <w:pPr>
              <w:pStyle w:val="Mavi"/>
              <w:jc w:val="center"/>
              <w:rPr>
                <w:lang w:val="tr-TR"/>
              </w:rPr>
            </w:pPr>
            <w:r w:rsidRPr="00A23740">
              <w:rPr>
                <w:lang w:val="tr-TR"/>
              </w:rPr>
              <w:t>İcra Teşkilatı</w:t>
            </w:r>
          </w:p>
          <w:p w:rsidR="001E132C" w:rsidRPr="00A23740" w:rsidRDefault="001E132C" w:rsidP="009431FF">
            <w:pPr>
              <w:pStyle w:val="Mavi"/>
              <w:jc w:val="center"/>
              <w:rPr>
                <w:lang w:val="tr-TR"/>
              </w:rPr>
            </w:pPr>
          </w:p>
          <w:p w:rsidR="001E132C" w:rsidRPr="00A23740" w:rsidRDefault="001E132C" w:rsidP="009431FF">
            <w:pPr>
              <w:pStyle w:val="Mavi"/>
              <w:jc w:val="center"/>
              <w:rPr>
                <w:lang w:val="tr-TR"/>
              </w:rPr>
            </w:pPr>
            <w:r w:rsidRPr="00A23740">
              <w:rPr>
                <w:lang w:val="tr-TR"/>
              </w:rPr>
              <w:t>BİRİNCİ BÖLÜM</w:t>
            </w:r>
          </w:p>
          <w:p w:rsidR="001E132C" w:rsidRPr="00A23740" w:rsidRDefault="00170AA7" w:rsidP="009431FF">
            <w:pPr>
              <w:pStyle w:val="Mavi"/>
              <w:jc w:val="center"/>
              <w:rPr>
                <w:lang w:val="tr-TR"/>
              </w:rPr>
            </w:pPr>
            <w:r w:rsidRPr="00A23740">
              <w:rPr>
                <w:lang w:val="tr-TR"/>
              </w:rPr>
              <w:t>İcra</w:t>
            </w:r>
            <w:r w:rsidR="00BC3BE5" w:rsidRPr="00A23740">
              <w:rPr>
                <w:lang w:val="tr-TR"/>
              </w:rPr>
              <w:t xml:space="preserve"> Daireleri</w:t>
            </w:r>
            <w:r w:rsidR="00805843" w:rsidRPr="00A23740">
              <w:rPr>
                <w:lang w:val="tr-TR"/>
              </w:rPr>
              <w:t>,</w:t>
            </w:r>
            <w:r w:rsidRPr="00A23740">
              <w:rPr>
                <w:lang w:val="tr-TR"/>
              </w:rPr>
              <w:t xml:space="preserve"> İflas Daireleri</w:t>
            </w:r>
            <w:r w:rsidR="00805843" w:rsidRPr="00A23740">
              <w:rPr>
                <w:lang w:val="tr-TR"/>
              </w:rPr>
              <w:t>, İcra ve İflas Daireleri</w:t>
            </w:r>
          </w:p>
          <w:p w:rsidR="001E132C" w:rsidRPr="00A23740" w:rsidRDefault="001E132C" w:rsidP="009431FF">
            <w:pPr>
              <w:pStyle w:val="Mavi"/>
              <w:jc w:val="center"/>
              <w:rPr>
                <w:lang w:val="tr-TR"/>
              </w:rPr>
            </w:pPr>
          </w:p>
          <w:p w:rsidR="001E132C" w:rsidRPr="00A23740" w:rsidRDefault="001E132C" w:rsidP="009431FF">
            <w:pPr>
              <w:pStyle w:val="Mavi"/>
              <w:jc w:val="center"/>
              <w:rPr>
                <w:lang w:val="tr-TR"/>
              </w:rPr>
            </w:pPr>
            <w:r w:rsidRPr="00A23740">
              <w:rPr>
                <w:lang w:val="tr-TR"/>
              </w:rPr>
              <w:t>BİRİNCİ AYRIM</w:t>
            </w:r>
          </w:p>
          <w:p w:rsidR="001E132C" w:rsidRPr="00A23740" w:rsidRDefault="0006579F" w:rsidP="009431FF">
            <w:pPr>
              <w:pStyle w:val="Mavi"/>
              <w:jc w:val="center"/>
              <w:rPr>
                <w:lang w:val="tr-TR"/>
              </w:rPr>
            </w:pPr>
            <w:r w:rsidRPr="00A23740">
              <w:rPr>
                <w:lang w:val="tr-TR"/>
              </w:rPr>
              <w:t xml:space="preserve">İcra </w:t>
            </w:r>
            <w:r w:rsidR="00805843" w:rsidRPr="00A23740">
              <w:rPr>
                <w:lang w:val="tr-TR"/>
              </w:rPr>
              <w:t xml:space="preserve">ve İflas </w:t>
            </w:r>
            <w:r w:rsidRPr="00A23740">
              <w:rPr>
                <w:lang w:val="tr-TR"/>
              </w:rPr>
              <w:t xml:space="preserve">Daireleri </w:t>
            </w:r>
            <w:r w:rsidR="001C607D" w:rsidRPr="00A23740">
              <w:rPr>
                <w:lang w:val="tr-TR"/>
              </w:rPr>
              <w:t>Başkanlığı</w:t>
            </w:r>
            <w:r w:rsidRPr="00A23740">
              <w:rPr>
                <w:lang w:val="tr-TR"/>
              </w:rPr>
              <w:t xml:space="preserve"> ile </w:t>
            </w:r>
            <w:r w:rsidR="001E132C" w:rsidRPr="00A23740">
              <w:rPr>
                <w:lang w:val="tr-TR"/>
              </w:rPr>
              <w:t>İcra</w:t>
            </w:r>
            <w:r w:rsidR="00BC3BE5" w:rsidRPr="00A23740">
              <w:rPr>
                <w:lang w:val="tr-TR"/>
              </w:rPr>
              <w:t xml:space="preserve"> Daireleri</w:t>
            </w:r>
            <w:r w:rsidR="00805843" w:rsidRPr="00A23740">
              <w:rPr>
                <w:lang w:val="tr-TR"/>
              </w:rPr>
              <w:t xml:space="preserve">, </w:t>
            </w:r>
            <w:r w:rsidR="001E132C" w:rsidRPr="00A23740">
              <w:rPr>
                <w:lang w:val="tr-TR"/>
              </w:rPr>
              <w:t xml:space="preserve">İflas </w:t>
            </w:r>
            <w:r w:rsidR="001E132C" w:rsidRPr="00A23740">
              <w:t>Daireleri</w:t>
            </w:r>
            <w:r w:rsidR="00805843" w:rsidRPr="00A23740">
              <w:t>, İcra ve İflas Daireleri</w:t>
            </w:r>
          </w:p>
          <w:p w:rsidR="001E132C" w:rsidRPr="00A23740" w:rsidRDefault="001E132C" w:rsidP="009431FF">
            <w:pPr>
              <w:pStyle w:val="NormalWeb"/>
              <w:spacing w:before="0" w:beforeAutospacing="0" w:after="0"/>
              <w:rPr>
                <w:b/>
                <w:lang w:val="tr-TR" w:eastAsia="tr-TR"/>
              </w:rPr>
            </w:pPr>
          </w:p>
          <w:p w:rsidR="00906A9D" w:rsidRPr="00A23740" w:rsidRDefault="00906A9D" w:rsidP="009431FF">
            <w:pPr>
              <w:rPr>
                <w:rFonts w:eastAsia="Times New Roman"/>
                <w:b/>
                <w:iCs/>
                <w:color w:val="008000"/>
                <w:szCs w:val="24"/>
                <w:lang w:eastAsia="tr-TR"/>
              </w:rPr>
            </w:pPr>
            <w:r w:rsidRPr="00A23740">
              <w:rPr>
                <w:rFonts w:eastAsia="Times New Roman"/>
                <w:b/>
                <w:bCs/>
                <w:szCs w:val="24"/>
                <w:lang w:eastAsia="tr-TR"/>
              </w:rPr>
              <w:lastRenderedPageBreak/>
              <w:t xml:space="preserve">İcra </w:t>
            </w:r>
            <w:r w:rsidR="00805843" w:rsidRPr="00A23740">
              <w:rPr>
                <w:rStyle w:val="Balk1Char"/>
                <w:rFonts w:eastAsia="Calibri"/>
              </w:rPr>
              <w:t>ve iflas</w:t>
            </w:r>
            <w:r w:rsidR="00805843" w:rsidRPr="00A23740">
              <w:rPr>
                <w:rFonts w:eastAsia="Times New Roman"/>
                <w:b/>
                <w:bCs/>
                <w:szCs w:val="24"/>
                <w:lang w:eastAsia="tr-TR"/>
              </w:rPr>
              <w:t xml:space="preserve"> </w:t>
            </w:r>
            <w:r w:rsidRPr="00A23740">
              <w:rPr>
                <w:rFonts w:eastAsia="Times New Roman"/>
                <w:b/>
                <w:bCs/>
                <w:szCs w:val="24"/>
                <w:lang w:eastAsia="tr-TR"/>
              </w:rPr>
              <w:t>daireleri başkanlığı</w:t>
            </w:r>
          </w:p>
          <w:p w:rsidR="00906A9D" w:rsidRPr="00A23740" w:rsidRDefault="00906A9D" w:rsidP="009431FF">
            <w:pPr>
              <w:rPr>
                <w:rFonts w:eastAsia="Times New Roman"/>
                <w:iCs/>
                <w:color w:val="000000"/>
                <w:szCs w:val="24"/>
                <w:lang w:eastAsia="tr-TR"/>
              </w:rPr>
            </w:pPr>
            <w:r w:rsidRPr="00A23740">
              <w:rPr>
                <w:rStyle w:val="MaviChar"/>
              </w:rPr>
              <w:t xml:space="preserve">MADDE </w:t>
            </w:r>
            <w:r w:rsidRPr="00A23740">
              <w:rPr>
                <w:rStyle w:val="MaviChar"/>
                <w:lang w:val="tr-TR"/>
              </w:rPr>
              <w:t>2</w:t>
            </w:r>
            <w:r w:rsidRPr="00A23740">
              <w:rPr>
                <w:rStyle w:val="MaviChar"/>
              </w:rPr>
              <w:t>-</w:t>
            </w:r>
            <w:r w:rsidRPr="00A23740">
              <w:rPr>
                <w:rFonts w:eastAsia="Times New Roman"/>
                <w:iCs/>
                <w:color w:val="000000"/>
                <w:szCs w:val="24"/>
                <w:lang w:eastAsia="tr-TR"/>
              </w:rPr>
              <w:t xml:space="preserve"> </w:t>
            </w:r>
            <w:r w:rsidRPr="00A23740">
              <w:rPr>
                <w:rStyle w:val="MaviChar"/>
              </w:rPr>
              <w:t>(1)</w:t>
            </w:r>
            <w:r w:rsidRPr="00A23740">
              <w:rPr>
                <w:rFonts w:eastAsia="Times New Roman"/>
                <w:iCs/>
                <w:color w:val="000000"/>
                <w:szCs w:val="24"/>
                <w:lang w:eastAsia="tr-TR"/>
              </w:rPr>
              <w:t xml:space="preserve"> İş yoğunluğunun veya icra </w:t>
            </w:r>
            <w:r w:rsidR="00805843" w:rsidRPr="00A23740">
              <w:rPr>
                <w:rStyle w:val="MaviChar"/>
              </w:rPr>
              <w:t>ve iflas</w:t>
            </w:r>
            <w:r w:rsidR="00805843" w:rsidRPr="00A23740">
              <w:rPr>
                <w:rFonts w:eastAsia="Times New Roman"/>
                <w:iCs/>
                <w:color w:val="000000"/>
                <w:szCs w:val="24"/>
                <w:lang w:eastAsia="tr-TR"/>
              </w:rPr>
              <w:t xml:space="preserve"> </w:t>
            </w:r>
            <w:r w:rsidRPr="00A23740">
              <w:rPr>
                <w:rFonts w:eastAsia="Times New Roman"/>
                <w:iCs/>
                <w:color w:val="000000"/>
                <w:szCs w:val="24"/>
                <w:lang w:eastAsia="tr-TR"/>
              </w:rPr>
              <w:t xml:space="preserve">dairesi sayısının fazla olduğu illerde Adalet Bakanlığı tarafından, yetki çevresi de belirlenmek suretiyle bir veya birden fazla icra </w:t>
            </w:r>
            <w:r w:rsidR="00805843" w:rsidRPr="00A23740">
              <w:rPr>
                <w:rStyle w:val="MaviChar"/>
              </w:rPr>
              <w:t>ve iflas</w:t>
            </w:r>
            <w:r w:rsidR="00805843" w:rsidRPr="00A23740">
              <w:rPr>
                <w:rFonts w:eastAsia="Times New Roman"/>
                <w:iCs/>
                <w:color w:val="000000"/>
                <w:szCs w:val="24"/>
                <w:lang w:eastAsia="tr-TR"/>
              </w:rPr>
              <w:t xml:space="preserve"> </w:t>
            </w:r>
            <w:r w:rsidRPr="00A23740">
              <w:rPr>
                <w:rFonts w:eastAsia="Times New Roman"/>
                <w:iCs/>
                <w:color w:val="000000"/>
                <w:szCs w:val="24"/>
                <w:lang w:eastAsia="tr-TR"/>
              </w:rPr>
              <w:t>daireleri başkanlığı kurulabilir.</w:t>
            </w: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906A9D" w:rsidRPr="00A23740" w:rsidRDefault="00906A9D" w:rsidP="009431FF">
            <w:pPr>
              <w:rPr>
                <w:rFonts w:eastAsia="Times New Roman"/>
                <w:iCs/>
                <w:color w:val="000000"/>
                <w:szCs w:val="24"/>
                <w:lang w:eastAsia="tr-TR"/>
              </w:rPr>
            </w:pPr>
          </w:p>
          <w:p w:rsidR="00FE4EDC" w:rsidRPr="00A23740" w:rsidRDefault="00FE4EDC" w:rsidP="009431FF">
            <w:pPr>
              <w:rPr>
                <w:rFonts w:eastAsia="Times New Roman"/>
                <w:iCs/>
                <w:color w:val="000000"/>
                <w:szCs w:val="24"/>
                <w:lang w:eastAsia="tr-TR"/>
              </w:rPr>
            </w:pPr>
          </w:p>
          <w:p w:rsidR="00943CEE" w:rsidRDefault="00943CEE" w:rsidP="009431FF">
            <w:pPr>
              <w:rPr>
                <w:rStyle w:val="MaviChar"/>
              </w:rPr>
            </w:pPr>
          </w:p>
          <w:p w:rsidR="00A44DE5" w:rsidRPr="00A23740" w:rsidRDefault="00A44DE5" w:rsidP="009431FF">
            <w:pPr>
              <w:rPr>
                <w:rStyle w:val="MaviChar"/>
              </w:rPr>
            </w:pPr>
          </w:p>
          <w:p w:rsidR="00906A9D" w:rsidRPr="00A23740" w:rsidRDefault="00906A9D" w:rsidP="009431FF">
            <w:pPr>
              <w:rPr>
                <w:rFonts w:eastAsia="Times New Roman"/>
                <w:iCs/>
                <w:color w:val="000000"/>
                <w:szCs w:val="24"/>
                <w:lang w:eastAsia="tr-TR"/>
              </w:rPr>
            </w:pPr>
            <w:r w:rsidRPr="00A23740">
              <w:rPr>
                <w:rStyle w:val="MaviChar"/>
              </w:rPr>
              <w:t>(2</w:t>
            </w:r>
            <w:r w:rsidRPr="00A23740">
              <w:rPr>
                <w:rStyle w:val="MaviChar"/>
                <w:lang w:eastAsia="tr-TR"/>
              </w:rPr>
              <w:t>)</w:t>
            </w:r>
            <w:r w:rsidRPr="00A23740">
              <w:rPr>
                <w:rFonts w:eastAsia="Times New Roman"/>
                <w:iCs/>
                <w:color w:val="000000"/>
                <w:szCs w:val="24"/>
                <w:lang w:eastAsia="tr-TR"/>
              </w:rPr>
              <w:t xml:space="preserve"> Başkanlık, icra </w:t>
            </w:r>
            <w:r w:rsidR="00DC6449" w:rsidRPr="00A23740">
              <w:rPr>
                <w:rFonts w:eastAsia="Times New Roman"/>
                <w:iCs/>
                <w:color w:val="000000"/>
                <w:szCs w:val="24"/>
                <w:lang w:eastAsia="tr-TR"/>
              </w:rPr>
              <w:t>ve iflas</w:t>
            </w:r>
            <w:r w:rsidR="00DC6449" w:rsidRPr="00A23740">
              <w:rPr>
                <w:rFonts w:eastAsia="Times New Roman"/>
                <w:iCs/>
                <w:color w:val="385623"/>
                <w:szCs w:val="24"/>
                <w:lang w:eastAsia="tr-TR"/>
              </w:rPr>
              <w:t xml:space="preserve"> </w:t>
            </w:r>
            <w:r w:rsidRPr="00A23740">
              <w:rPr>
                <w:rFonts w:eastAsia="Times New Roman"/>
                <w:iCs/>
                <w:color w:val="000000"/>
                <w:szCs w:val="24"/>
                <w:lang w:eastAsia="tr-TR"/>
              </w:rPr>
              <w:t>dairelerinin gözetim ve denetimlerini yapar, idari işlerine bakar; mevzuatla verilen görevleri yerine getirir.</w:t>
            </w:r>
          </w:p>
          <w:p w:rsidR="001E132C" w:rsidRPr="00A23740" w:rsidRDefault="001E132C" w:rsidP="009431FF">
            <w:pPr>
              <w:rPr>
                <w:rFonts w:eastAsia="Times New Roman"/>
                <w:color w:val="000000"/>
                <w:szCs w:val="24"/>
                <w:lang w:eastAsia="tr-TR"/>
              </w:rPr>
            </w:pPr>
          </w:p>
          <w:p w:rsidR="00AB2951" w:rsidRPr="00A23740" w:rsidRDefault="00AB2951" w:rsidP="009431FF">
            <w:pPr>
              <w:rPr>
                <w:b/>
                <w:color w:val="00B050"/>
                <w:szCs w:val="24"/>
              </w:rPr>
            </w:pPr>
          </w:p>
        </w:tc>
      </w:tr>
      <w:tr w:rsidR="00906A9D" w:rsidRPr="00A23740" w:rsidTr="009431FF">
        <w:tc>
          <w:tcPr>
            <w:tcW w:w="5000" w:type="pct"/>
            <w:gridSpan w:val="2"/>
            <w:shd w:val="clear" w:color="auto" w:fill="DEEAF6"/>
          </w:tcPr>
          <w:p w:rsidR="00906A9D" w:rsidRPr="00A23740" w:rsidRDefault="00906A9D" w:rsidP="009431FF">
            <w:pPr>
              <w:pStyle w:val="Mavi"/>
              <w:ind w:firstLine="709"/>
              <w:rPr>
                <w:color w:val="auto"/>
                <w:lang w:val="tr-TR"/>
              </w:rPr>
            </w:pPr>
          </w:p>
          <w:p w:rsidR="00906A9D" w:rsidRPr="00A23740" w:rsidRDefault="00906A9D" w:rsidP="009431FF">
            <w:pPr>
              <w:pStyle w:val="Mavi"/>
              <w:ind w:firstLine="709"/>
              <w:rPr>
                <w:rFonts w:eastAsia="Times New Roman"/>
                <w:b w:val="0"/>
                <w:iCs/>
                <w:color w:val="000000"/>
                <w:lang w:eastAsia="tr-TR"/>
              </w:rPr>
            </w:pPr>
            <w:r w:rsidRPr="00A23740">
              <w:rPr>
                <w:color w:val="auto"/>
                <w:lang w:val="tr-TR"/>
              </w:rPr>
              <w:t xml:space="preserve">MADDE 2- </w:t>
            </w:r>
            <w:r w:rsidRPr="00A23740">
              <w:rPr>
                <w:b w:val="0"/>
                <w:color w:val="auto"/>
                <w:lang w:val="tr-TR"/>
              </w:rPr>
              <w:t xml:space="preserve">Maddeyle, </w:t>
            </w:r>
            <w:r w:rsidRPr="00A23740">
              <w:rPr>
                <w:rFonts w:eastAsia="Times New Roman"/>
                <w:b w:val="0"/>
                <w:iCs/>
                <w:color w:val="000000"/>
                <w:lang w:eastAsia="tr-TR"/>
              </w:rPr>
              <w:t xml:space="preserve">icra </w:t>
            </w:r>
            <w:r w:rsidR="00DC6449" w:rsidRPr="00A23740">
              <w:rPr>
                <w:rFonts w:eastAsia="Times New Roman"/>
                <w:b w:val="0"/>
                <w:iCs/>
                <w:color w:val="000000"/>
                <w:lang w:eastAsia="tr-TR"/>
              </w:rPr>
              <w:t xml:space="preserve">ve iflas </w:t>
            </w:r>
            <w:r w:rsidRPr="00A23740">
              <w:rPr>
                <w:rFonts w:eastAsia="Times New Roman"/>
                <w:b w:val="0"/>
                <w:iCs/>
                <w:color w:val="000000"/>
                <w:lang w:eastAsia="tr-TR"/>
              </w:rPr>
              <w:t xml:space="preserve">daireleri başkanlığının kuruluşu ve görevleri düzenlenmektedir. Madde, 2004 sayılı Kanunun 3/a maddesine karşılık gelmektedir. </w:t>
            </w:r>
          </w:p>
          <w:p w:rsidR="00906A9D" w:rsidRPr="00A23740" w:rsidRDefault="00906A9D" w:rsidP="009431FF">
            <w:pPr>
              <w:pStyle w:val="Mavi"/>
              <w:ind w:firstLine="709"/>
              <w:rPr>
                <w:rFonts w:eastAsia="Times New Roman"/>
                <w:b w:val="0"/>
                <w:iCs/>
                <w:color w:val="000000"/>
                <w:lang w:eastAsia="tr-TR"/>
              </w:rPr>
            </w:pPr>
            <w:r w:rsidRPr="00A23740">
              <w:rPr>
                <w:rFonts w:eastAsia="Times New Roman"/>
                <w:b w:val="0"/>
                <w:iCs/>
                <w:color w:val="000000"/>
                <w:lang w:eastAsia="tr-TR"/>
              </w:rPr>
              <w:t xml:space="preserve">Birinci fıkrayla, iş yoğunluğunun veya daire sayısının fazla olduğu illerde Bakanlık tarafından, yetki çevresi de belirlenmek suretiyle bir veya birden fazla icra </w:t>
            </w:r>
            <w:r w:rsidR="00DC6449" w:rsidRPr="00A23740">
              <w:rPr>
                <w:rFonts w:eastAsia="Times New Roman"/>
                <w:b w:val="0"/>
                <w:iCs/>
                <w:color w:val="000000"/>
                <w:lang w:eastAsia="tr-TR"/>
              </w:rPr>
              <w:t xml:space="preserve">ve iflas </w:t>
            </w:r>
            <w:r w:rsidRPr="00A23740">
              <w:rPr>
                <w:rFonts w:eastAsia="Times New Roman"/>
                <w:b w:val="0"/>
                <w:iCs/>
                <w:color w:val="000000"/>
                <w:lang w:eastAsia="tr-TR"/>
              </w:rPr>
              <w:t xml:space="preserve">daireleri başkanlığı kurulabileceği hükme bağlanmaktadır. Başkanlıkla ilgili diğer hususlar İcra </w:t>
            </w:r>
            <w:r w:rsidR="00BD7E01" w:rsidRPr="00A23740">
              <w:rPr>
                <w:rFonts w:eastAsia="Times New Roman"/>
                <w:b w:val="0"/>
                <w:iCs/>
                <w:color w:val="000000"/>
                <w:lang w:eastAsia="tr-TR"/>
              </w:rPr>
              <w:t xml:space="preserve">Mahkemeleri </w:t>
            </w:r>
            <w:r w:rsidRPr="00A23740">
              <w:rPr>
                <w:rFonts w:eastAsia="Times New Roman"/>
                <w:b w:val="0"/>
                <w:iCs/>
                <w:color w:val="000000"/>
                <w:lang w:eastAsia="tr-TR"/>
              </w:rPr>
              <w:t>ve İflas Mahkemeleri ile İcra Teşkilatı Hakkında Kanun Taslağında ayrıntılı olarak düzenlendiğinden maddede bunlara yer verilmemektedir.</w:t>
            </w:r>
          </w:p>
          <w:p w:rsidR="00906A9D" w:rsidRPr="00A23740" w:rsidRDefault="00906A9D" w:rsidP="009431FF">
            <w:pPr>
              <w:pStyle w:val="Mavi"/>
              <w:ind w:firstLine="709"/>
              <w:rPr>
                <w:color w:val="000000"/>
                <w:lang w:val="tr-TR"/>
              </w:rPr>
            </w:pPr>
            <w:r w:rsidRPr="00A23740">
              <w:rPr>
                <w:rFonts w:eastAsia="Times New Roman"/>
                <w:b w:val="0"/>
                <w:iCs/>
                <w:color w:val="000000"/>
                <w:lang w:eastAsia="tr-TR"/>
              </w:rPr>
              <w:lastRenderedPageBreak/>
              <w:t xml:space="preserve">İkinci fıkrayla, icra </w:t>
            </w:r>
            <w:r w:rsidR="00DC6449" w:rsidRPr="00A23740">
              <w:rPr>
                <w:rFonts w:eastAsia="Times New Roman"/>
                <w:b w:val="0"/>
                <w:iCs/>
                <w:color w:val="000000"/>
                <w:lang w:eastAsia="tr-TR"/>
              </w:rPr>
              <w:t xml:space="preserve">ve iflas </w:t>
            </w:r>
            <w:r w:rsidRPr="00A23740">
              <w:rPr>
                <w:rFonts w:eastAsia="Times New Roman"/>
                <w:b w:val="0"/>
                <w:iCs/>
                <w:color w:val="000000"/>
                <w:lang w:eastAsia="tr-TR"/>
              </w:rPr>
              <w:t>daireleri</w:t>
            </w:r>
            <w:r w:rsidRPr="00A23740">
              <w:rPr>
                <w:b w:val="0"/>
                <w:color w:val="auto"/>
                <w:lang w:val="tr-TR"/>
              </w:rPr>
              <w:t xml:space="preserve"> </w:t>
            </w:r>
            <w:r w:rsidRPr="00A23740">
              <w:rPr>
                <w:rFonts w:eastAsia="Times New Roman"/>
                <w:b w:val="0"/>
                <w:iCs/>
                <w:color w:val="000000"/>
                <w:lang w:eastAsia="tr-TR"/>
              </w:rPr>
              <w:t>başkanlığın</w:t>
            </w:r>
            <w:r w:rsidRPr="00A23740">
              <w:rPr>
                <w:rFonts w:eastAsia="Times New Roman"/>
                <w:b w:val="0"/>
                <w:iCs/>
                <w:color w:val="000000"/>
                <w:lang w:val="tr-TR" w:eastAsia="tr-TR"/>
              </w:rPr>
              <w:t>ın</w:t>
            </w:r>
            <w:r w:rsidRPr="00A23740">
              <w:rPr>
                <w:rFonts w:eastAsia="Times New Roman"/>
                <w:b w:val="0"/>
                <w:iCs/>
                <w:color w:val="000000"/>
                <w:lang w:eastAsia="tr-TR"/>
              </w:rPr>
              <w:t xml:space="preserve"> görevleri düzenlenmektedir.</w:t>
            </w:r>
          </w:p>
          <w:p w:rsidR="00906A9D" w:rsidRPr="00A23740" w:rsidRDefault="00906A9D" w:rsidP="009431FF">
            <w:pPr>
              <w:pStyle w:val="Mavi"/>
              <w:ind w:firstLine="709"/>
              <w:rPr>
                <w:color w:val="auto"/>
                <w:lang w:val="tr-TR"/>
              </w:rPr>
            </w:pPr>
          </w:p>
        </w:tc>
      </w:tr>
      <w:tr w:rsidR="00BC3BE5" w:rsidRPr="00A23740" w:rsidTr="009431FF">
        <w:tc>
          <w:tcPr>
            <w:tcW w:w="2500" w:type="pct"/>
            <w:shd w:val="clear" w:color="auto" w:fill="auto"/>
          </w:tcPr>
          <w:p w:rsidR="00BC3BE5" w:rsidRPr="00A23740" w:rsidRDefault="00BC3BE5" w:rsidP="009431FF">
            <w:pPr>
              <w:rPr>
                <w:rFonts w:eastAsia="Times New Roman"/>
                <w:i/>
                <w:iCs/>
                <w:color w:val="000000"/>
                <w:szCs w:val="24"/>
                <w:lang w:eastAsia="tr-TR"/>
              </w:rPr>
            </w:pPr>
            <w:r w:rsidRPr="00A23740">
              <w:rPr>
                <w:rFonts w:eastAsia="Times New Roman"/>
                <w:i/>
                <w:iCs/>
                <w:color w:val="000000"/>
                <w:szCs w:val="24"/>
                <w:lang w:eastAsia="tr-TR"/>
              </w:rPr>
              <w:lastRenderedPageBreak/>
              <w:t>İcra daireleri</w:t>
            </w:r>
            <w:r w:rsidRPr="00A23740">
              <w:rPr>
                <w:rStyle w:val="KIRMIZIChar"/>
                <w:rFonts w:eastAsia="Calibri"/>
              </w:rPr>
              <w:t>:</w:t>
            </w:r>
          </w:p>
          <w:p w:rsidR="00BC3BE5" w:rsidRPr="00A23740" w:rsidRDefault="00BC3BE5" w:rsidP="009431FF">
            <w:pPr>
              <w:rPr>
                <w:rFonts w:eastAsia="Times New Roman"/>
                <w:color w:val="000000"/>
                <w:szCs w:val="24"/>
                <w:lang w:eastAsia="tr-TR"/>
              </w:rPr>
            </w:pPr>
            <w:r w:rsidRPr="00A23740">
              <w:rPr>
                <w:rStyle w:val="KIRMIZIChar"/>
                <w:rFonts w:eastAsia="Calibri"/>
                <w:lang w:eastAsia="tr-TR"/>
              </w:rPr>
              <w:t>Madde 1 – (Değişik: 2/7/2012-6352/1 md.)</w:t>
            </w:r>
          </w:p>
          <w:p w:rsidR="00BC3BE5" w:rsidRPr="00A23740" w:rsidRDefault="00BC3BE5" w:rsidP="009431FF">
            <w:pPr>
              <w:rPr>
                <w:rFonts w:eastAsia="Times New Roman"/>
                <w:color w:val="000000"/>
                <w:szCs w:val="24"/>
                <w:lang w:eastAsia="tr-TR"/>
              </w:rPr>
            </w:pPr>
            <w:r w:rsidRPr="00A23740">
              <w:rPr>
                <w:rStyle w:val="KIRMIZIChar"/>
                <w:rFonts w:eastAsia="Calibri"/>
              </w:rPr>
              <w:t>(1)</w:t>
            </w:r>
            <w:r w:rsidRPr="00A23740">
              <w:rPr>
                <w:rStyle w:val="KIRMIZIChar"/>
                <w:rFonts w:eastAsia="Calibri"/>
                <w:strike w:val="0"/>
                <w:lang w:eastAsia="tr-TR"/>
              </w:rPr>
              <w:t xml:space="preserve"> </w:t>
            </w:r>
            <w:r w:rsidRPr="00A23740">
              <w:rPr>
                <w:rFonts w:eastAsia="Times New Roman"/>
                <w:bCs/>
                <w:color w:val="000000"/>
              </w:rPr>
              <w:t>Her</w:t>
            </w:r>
            <w:r w:rsidRPr="00A23740">
              <w:rPr>
                <w:rFonts w:eastAsia="Times New Roman"/>
                <w:color w:val="000000"/>
                <w:szCs w:val="24"/>
                <w:lang w:eastAsia="tr-TR"/>
              </w:rPr>
              <w:t xml:space="preserve"> asliye mahkemesi</w:t>
            </w:r>
            <w:r w:rsidRPr="00A23740">
              <w:rPr>
                <w:rFonts w:eastAsia="Times New Roman"/>
                <w:bCs/>
                <w:color w:val="000000"/>
              </w:rPr>
              <w:t>nin</w:t>
            </w:r>
            <w:r w:rsidRPr="00A23740">
              <w:rPr>
                <w:rFonts w:eastAsia="Times New Roman"/>
                <w:color w:val="000000"/>
                <w:szCs w:val="24"/>
                <w:lang w:eastAsia="tr-TR"/>
              </w:rPr>
              <w:t xml:space="preserve"> yargı çevresi</w:t>
            </w:r>
            <w:r w:rsidRPr="00A23740">
              <w:rPr>
                <w:rFonts w:eastAsia="Times New Roman"/>
                <w:bCs/>
                <w:color w:val="000000"/>
              </w:rPr>
              <w:t>nde</w:t>
            </w:r>
            <w:r w:rsidRPr="00A23740">
              <w:rPr>
                <w:rFonts w:eastAsia="Times New Roman"/>
                <w:color w:val="000000"/>
                <w:szCs w:val="24"/>
                <w:lang w:eastAsia="tr-TR"/>
              </w:rPr>
              <w:t xml:space="preserve"> </w:t>
            </w:r>
            <w:r w:rsidRPr="00A23740">
              <w:rPr>
                <w:rFonts w:eastAsia="Times New Roman"/>
                <w:bCs/>
                <w:color w:val="000000"/>
              </w:rPr>
              <w:t xml:space="preserve">yeteri kadar icra dairesi </w:t>
            </w:r>
            <w:r w:rsidRPr="00A23740">
              <w:rPr>
                <w:rStyle w:val="KIRMIZIChar"/>
                <w:rFonts w:eastAsia="Calibri"/>
                <w:lang w:eastAsia="tr-TR"/>
              </w:rPr>
              <w:t>bulunur.</w:t>
            </w:r>
          </w:p>
          <w:p w:rsidR="00BC3BE5" w:rsidRPr="00A23740" w:rsidRDefault="00BC3BE5" w:rsidP="009431FF">
            <w:pPr>
              <w:pStyle w:val="KIRMIZI"/>
              <w:rPr>
                <w:b w:val="0"/>
                <w:bCs w:val="0"/>
                <w:strike w:val="0"/>
                <w:color w:val="000000"/>
                <w:lang w:val="tr-TR" w:eastAsia="tr-TR"/>
              </w:rPr>
            </w:pPr>
          </w:p>
          <w:p w:rsidR="00BC3BE5" w:rsidRPr="00A23740" w:rsidRDefault="00BC3BE5" w:rsidP="009431FF">
            <w:pPr>
              <w:pStyle w:val="KIRMIZI"/>
              <w:rPr>
                <w:b w:val="0"/>
                <w:bCs w:val="0"/>
                <w:strike w:val="0"/>
                <w:color w:val="000000"/>
                <w:lang w:val="tr-TR" w:eastAsia="tr-TR"/>
              </w:rPr>
            </w:pPr>
          </w:p>
          <w:p w:rsidR="00BC3BE5" w:rsidRPr="00A23740" w:rsidRDefault="00BC3BE5" w:rsidP="009431FF">
            <w:pPr>
              <w:pStyle w:val="KIRMIZI"/>
              <w:rPr>
                <w:b w:val="0"/>
                <w:bCs w:val="0"/>
                <w:strike w:val="0"/>
                <w:color w:val="000000"/>
                <w:lang w:val="tr-TR" w:eastAsia="tr-TR"/>
              </w:rPr>
            </w:pPr>
          </w:p>
          <w:p w:rsidR="00BC3BE5" w:rsidRPr="00A23740" w:rsidRDefault="00BC3BE5" w:rsidP="009431FF">
            <w:pPr>
              <w:pStyle w:val="KIRMIZI"/>
              <w:rPr>
                <w:lang w:val="tr-TR"/>
              </w:rPr>
            </w:pPr>
            <w:r w:rsidRPr="00A23740">
              <w:t>(2) Her</w:t>
            </w:r>
            <w:r w:rsidRPr="00A23740">
              <w:rPr>
                <w:lang w:val="tr-TR"/>
              </w:rPr>
              <w:t xml:space="preserve"> icra dairesinde Adalet Bakanlığı tarafından atanacak bir icra müdürü, yeteri kadar icra müdür yardımcısı, icra katibi ile adli yargı ilk derece mahkemesi adalet komisyonları tarafından görevlendirilecek mübaşir ve hizmetli bulunur.</w:t>
            </w:r>
          </w:p>
          <w:p w:rsidR="00BC3BE5" w:rsidRPr="00A23740" w:rsidRDefault="00BC3BE5" w:rsidP="009431FF">
            <w:pPr>
              <w:pStyle w:val="KIRMIZI"/>
              <w:rPr>
                <w:lang w:val="tr-TR"/>
              </w:rPr>
            </w:pPr>
          </w:p>
          <w:p w:rsidR="00BC3BE5" w:rsidRPr="00A23740" w:rsidRDefault="00BC3BE5" w:rsidP="009431FF">
            <w:pPr>
              <w:pStyle w:val="KIRMIZI"/>
              <w:rPr>
                <w:color w:val="000000"/>
                <w:lang w:eastAsia="tr-TR"/>
              </w:rPr>
            </w:pPr>
            <w:r w:rsidRPr="00A23740">
              <w:t>(3) (Ek üçüncü fıkra:24/11/2021-7343/1 md.) İş yoğunluğunun veya personel sayısının fazla olduğu icra dairelerinde dairenin düzenli, uyumlu ve verimli bir şekilde çalışmasını sağlamak amacıyla Adalet Bakanlığı tarafından icra müdür ve müdür yardımcıları arasından, icra müdürünün yetkilerini haiz bir icra başmüdürü görevlendirilebilir. Bu fıkranın uygulanmasına ilişkin usul ve esaslar, yönetmelikle düzenlenir.</w:t>
            </w:r>
          </w:p>
          <w:p w:rsidR="00BC3BE5" w:rsidRPr="00A23740" w:rsidRDefault="00BC3BE5" w:rsidP="009431FF">
            <w:pPr>
              <w:rPr>
                <w:rFonts w:eastAsia="Times New Roman"/>
                <w:color w:val="000000"/>
                <w:szCs w:val="24"/>
                <w:lang w:eastAsia="tr-TR"/>
              </w:rPr>
            </w:pPr>
          </w:p>
          <w:p w:rsidR="00BC3BE5" w:rsidRPr="00A23740" w:rsidRDefault="00BC3BE5" w:rsidP="009431FF">
            <w:pPr>
              <w:pStyle w:val="KIRMIZI"/>
            </w:pPr>
            <w:r w:rsidRPr="00A23740">
              <w:rPr>
                <w:rStyle w:val="KIRMIZIChar"/>
                <w:b/>
                <w:bCs/>
                <w:strike/>
              </w:rPr>
              <w:t>(4) İcra</w:t>
            </w:r>
            <w:r w:rsidRPr="00A23740">
              <w:t xml:space="preserve"> müdür ve icra müdür yardımcıları, Adalet Bakanlığı tarafından yaptırılacak yazılı sınav ve Adalet Bakanlığı tarafından yapılacak sözlü sınav sonucuna göre atanırlar. İcra katipleri arasından Adalet Bakanlığı tarafından yaptırılacak yazılı sınav ve Adalet Bakanlığı tarafından yapılacak sözlü sınav sonucuna göre de icra müdür veya icra müdür yardımcılığı kadrolarına atama yapılabilir.</w:t>
            </w:r>
          </w:p>
          <w:p w:rsidR="00BC3BE5" w:rsidRPr="00A23740" w:rsidRDefault="00BC3BE5" w:rsidP="009431FF">
            <w:pPr>
              <w:pStyle w:val="StilKrmz"/>
              <w:rPr>
                <w:lang w:val="tr-TR"/>
              </w:rPr>
            </w:pPr>
          </w:p>
          <w:p w:rsidR="00BC3BE5" w:rsidRPr="00A23740" w:rsidRDefault="00BC3BE5" w:rsidP="009431FF">
            <w:pPr>
              <w:pStyle w:val="KIRMIZI"/>
            </w:pPr>
            <w:r w:rsidRPr="00A23740">
              <w:t xml:space="preserve">(5) İcra katipliğine ilk defa atanacaklar, kamu görevlerine ilk defa atanacaklar için yapılacak merkezî sınavda başarılı olanlar </w:t>
            </w:r>
            <w:r w:rsidRPr="00A23740">
              <w:lastRenderedPageBreak/>
              <w:t>arasından Adalet Bakanlığının bu konuda yetki vereceği adli yargı ilk derece mahkemesi adalet komisyonları tarafından yapılacak uygulama ve sözlü sınav sonucuna göre; unvan değişikliği suretiyle atanacaklar ise uygulama ve sözlü sınav sonucuna göre atanırlar. Unvan değişikliği suretiyle icra katipliğine atanacaklar tahsis edilen kadronun yüzde ellisini geçemez.</w:t>
            </w:r>
          </w:p>
          <w:p w:rsidR="00BC3BE5" w:rsidRPr="00A23740" w:rsidRDefault="00BC3BE5" w:rsidP="009431FF">
            <w:pPr>
              <w:pStyle w:val="StilKrmz"/>
              <w:rPr>
                <w:lang w:val="tr-TR"/>
              </w:rPr>
            </w:pPr>
          </w:p>
          <w:p w:rsidR="00BC3BE5" w:rsidRPr="00A23740" w:rsidRDefault="00BC3BE5" w:rsidP="009431FF">
            <w:pPr>
              <w:pStyle w:val="KIRMIZI"/>
              <w:rPr>
                <w:lang w:val="tr-TR"/>
              </w:rPr>
            </w:pPr>
            <w:r w:rsidRPr="00A23740">
              <w:t>(5) İcra kâtipliğine ilk defa atanacaklar, kamu görevlerine ilk defa atanacaklar için yapılacak merkezî sınavda başarılı olanlar arasından Adalet Bakanlığı veya Bakanlığın bu konuda yetki vereceği adli yargı ilk derece mahkemesi adalet komisyonları tarafından yapılacak uygulama ve sözlü sınav sonucuna göre; unvan değişikliği suretiyle atanacaklar ise uygulama ve sözlü sınav sonucuna göre atanırlar. Unvan değişikliği suretiyle icra kâtipliğine atanacaklar tahsis edilen kadronun yüzde ellisini geçemez.</w:t>
            </w:r>
          </w:p>
          <w:p w:rsidR="00BC3BE5" w:rsidRPr="00A23740" w:rsidRDefault="00BC3BE5" w:rsidP="009431FF">
            <w:pPr>
              <w:pStyle w:val="StilKrmz"/>
              <w:rPr>
                <w:lang w:val="tr-TR"/>
              </w:rPr>
            </w:pPr>
          </w:p>
          <w:p w:rsidR="00BC3BE5" w:rsidRPr="00A23740" w:rsidRDefault="00BC3BE5" w:rsidP="009431FF">
            <w:pPr>
              <w:pStyle w:val="KIRMIZI"/>
            </w:pPr>
            <w:r w:rsidRPr="00A23740">
              <w:t>(6) İcra müdür ve icra müdür yardımcıları ile icra katiplerinin, yazılı sınav, sözlü sınav, görevlendirme, nakil, unvan değişikliği, görevde yükselme ve diğer hususları yönetmelikle düzenlenir.</w:t>
            </w:r>
          </w:p>
          <w:p w:rsidR="00BC3BE5" w:rsidRPr="00A23740" w:rsidRDefault="00BC3BE5" w:rsidP="009431FF">
            <w:pPr>
              <w:rPr>
                <w:rFonts w:eastAsia="Times New Roman"/>
                <w:color w:val="000000"/>
                <w:szCs w:val="24"/>
                <w:lang w:eastAsia="tr-TR"/>
              </w:rPr>
            </w:pPr>
          </w:p>
          <w:p w:rsidR="00BC3BE5" w:rsidRPr="00A23740" w:rsidRDefault="00BC3BE5" w:rsidP="009431FF">
            <w:pPr>
              <w:pStyle w:val="KIRMIZI"/>
            </w:pPr>
            <w:r w:rsidRPr="00A23740">
              <w:t>(7) İcra dairelerinde, gerektiğinde, Adalet Bakanlığı tarafından belirlenecek esaslar çerçevesinde, adli yargı ilk derece mahkemesi adalet komisyonu tarafından zabıt katibi, mübaşir ve hizmetli görevlendirilir.</w:t>
            </w:r>
          </w:p>
          <w:p w:rsidR="00BC3BE5" w:rsidRPr="00A23740" w:rsidRDefault="00BC3BE5" w:rsidP="009431FF">
            <w:pPr>
              <w:pStyle w:val="StilKrmz"/>
              <w:rPr>
                <w:lang w:val="tr-TR"/>
              </w:rPr>
            </w:pPr>
          </w:p>
          <w:p w:rsidR="00BC3BE5" w:rsidRPr="00A23740" w:rsidRDefault="00BC3BE5" w:rsidP="009431FF">
            <w:pPr>
              <w:pStyle w:val="KIRMIZI"/>
            </w:pPr>
            <w:r w:rsidRPr="00A23740">
              <w:t>(8) İcra müdürü, icra müdür yardımcısı veya icra katibinin herhangi bir nedenden dolayı yokluğu halinde görev ve yetkileri, adli yargı ilk derece mahkemesi adalet komisyonu tarafından görevlendirilecek yazı işleri müdürü veya zabıt katibi tarafından yerine getirilir.</w:t>
            </w:r>
          </w:p>
          <w:p w:rsidR="00BC3BE5" w:rsidRPr="00A23740" w:rsidRDefault="00BC3BE5" w:rsidP="009431FF">
            <w:pPr>
              <w:pStyle w:val="StilKrmz"/>
              <w:rPr>
                <w:lang w:val="tr-TR"/>
              </w:rPr>
            </w:pPr>
          </w:p>
          <w:p w:rsidR="00BC3BE5" w:rsidRPr="00A23740" w:rsidRDefault="00BC3BE5" w:rsidP="009431FF">
            <w:pPr>
              <w:pStyle w:val="KIRMIZI"/>
            </w:pPr>
            <w:r w:rsidRPr="00A23740">
              <w:lastRenderedPageBreak/>
              <w:t>(9) Adalet Bakanlığı, icra dairelerini bir arada bulundurmaya ve aynı icra mahkemesine bağlamaya yetkilidir.</w:t>
            </w:r>
          </w:p>
          <w:p w:rsidR="00BC3BE5" w:rsidRPr="00A23740" w:rsidRDefault="00BC3BE5" w:rsidP="009431FF">
            <w:pPr>
              <w:pStyle w:val="StilKrmz"/>
              <w:rPr>
                <w:lang w:val="tr-TR"/>
              </w:rPr>
            </w:pPr>
          </w:p>
          <w:p w:rsidR="00BC3BE5" w:rsidRPr="00A23740" w:rsidRDefault="00BC3BE5" w:rsidP="009431FF">
            <w:pPr>
              <w:pStyle w:val="KIRMIZI"/>
            </w:pPr>
            <w:r w:rsidRPr="00A23740">
              <w:t>İcra dairelerinin muhabereleri</w:t>
            </w:r>
            <w:r w:rsidRPr="00A23740">
              <w:rPr>
                <w:rStyle w:val="KIRMIZIChar"/>
                <w:rFonts w:eastAsia="Calibri"/>
                <w:lang w:eastAsia="tr-TR"/>
              </w:rPr>
              <w:t>:</w:t>
            </w:r>
          </w:p>
          <w:p w:rsidR="00BC3BE5" w:rsidRPr="00A23740" w:rsidRDefault="00BC3BE5" w:rsidP="009431FF">
            <w:pPr>
              <w:rPr>
                <w:rFonts w:eastAsia="Times New Roman"/>
                <w:color w:val="000000"/>
                <w:szCs w:val="24"/>
                <w:lang w:eastAsia="tr-TR"/>
              </w:rPr>
            </w:pPr>
            <w:r w:rsidRPr="00A23740">
              <w:rPr>
                <w:rStyle w:val="KIRMIZIChar"/>
                <w:rFonts w:eastAsia="Calibri"/>
                <w:lang w:eastAsia="tr-TR"/>
              </w:rPr>
              <w:t>Madde 359 –</w:t>
            </w:r>
            <w:r w:rsidRPr="00A23740">
              <w:rPr>
                <w:rFonts w:eastAsia="Times New Roman"/>
                <w:b/>
                <w:bCs/>
                <w:color w:val="000000"/>
                <w:szCs w:val="24"/>
                <w:lang w:eastAsia="tr-TR"/>
              </w:rPr>
              <w:t> </w:t>
            </w:r>
            <w:r w:rsidRPr="00A23740">
              <w:rPr>
                <w:rFonts w:eastAsia="Times New Roman"/>
                <w:color w:val="000000"/>
                <w:szCs w:val="24"/>
                <w:lang w:eastAsia="tr-TR"/>
              </w:rPr>
              <w:t xml:space="preserve">İcra </w:t>
            </w:r>
            <w:r w:rsidRPr="00A23740">
              <w:rPr>
                <w:rStyle w:val="KIRMIZIChar"/>
                <w:rFonts w:eastAsia="Calibri"/>
              </w:rPr>
              <w:t>memurları</w:t>
            </w:r>
            <w:r w:rsidRPr="00A23740">
              <w:rPr>
                <w:rFonts w:eastAsia="Times New Roman"/>
                <w:color w:val="000000"/>
                <w:szCs w:val="24"/>
                <w:lang w:eastAsia="tr-TR"/>
              </w:rPr>
              <w:t xml:space="preserve"> yaptıkları </w:t>
            </w:r>
            <w:r w:rsidRPr="00A23740">
              <w:rPr>
                <w:rStyle w:val="KIRMIZIChar"/>
                <w:rFonts w:eastAsia="Calibri"/>
              </w:rPr>
              <w:t>muameleden</w:t>
            </w:r>
            <w:r w:rsidRPr="00A23740">
              <w:rPr>
                <w:rFonts w:eastAsia="Times New Roman"/>
                <w:color w:val="000000"/>
                <w:szCs w:val="24"/>
                <w:lang w:eastAsia="tr-TR"/>
              </w:rPr>
              <w:t xml:space="preserve"> </w:t>
            </w:r>
            <w:r w:rsidRPr="00A23740">
              <w:rPr>
                <w:rStyle w:val="KIRMIZIChar"/>
                <w:rFonts w:eastAsia="Calibri"/>
              </w:rPr>
              <w:t>dolayı her daire ve makam ile</w:t>
            </w:r>
            <w:r w:rsidRPr="00A23740">
              <w:rPr>
                <w:rFonts w:eastAsia="Times New Roman"/>
                <w:color w:val="000000"/>
                <w:szCs w:val="24"/>
                <w:lang w:eastAsia="tr-TR"/>
              </w:rPr>
              <w:t xml:space="preserve"> doğrudan </w:t>
            </w:r>
            <w:r w:rsidRPr="00A23740">
              <w:rPr>
                <w:rStyle w:val="KIRMIZIChar"/>
                <w:rFonts w:eastAsia="Calibri"/>
              </w:rPr>
              <w:t>doğruya</w:t>
            </w:r>
            <w:r w:rsidRPr="00A23740">
              <w:rPr>
                <w:rFonts w:eastAsia="Times New Roman"/>
                <w:color w:val="000000"/>
                <w:szCs w:val="24"/>
                <w:lang w:eastAsia="tr-TR"/>
              </w:rPr>
              <w:t xml:space="preserve"> </w:t>
            </w:r>
            <w:r w:rsidRPr="00A23740">
              <w:rPr>
                <w:rStyle w:val="KIRMIZIChar"/>
                <w:rFonts w:eastAsia="Calibri"/>
              </w:rPr>
              <w:t>muhabere edebilirler</w:t>
            </w:r>
            <w:r w:rsidRPr="00A23740">
              <w:rPr>
                <w:rFonts w:eastAsia="Times New Roman"/>
                <w:color w:val="000000"/>
                <w:szCs w:val="24"/>
                <w:lang w:eastAsia="tr-TR"/>
              </w:rPr>
              <w:t>.</w:t>
            </w:r>
          </w:p>
          <w:p w:rsidR="00BC3BE5" w:rsidRPr="00A23740" w:rsidRDefault="00BC3BE5" w:rsidP="009431FF">
            <w:pPr>
              <w:rPr>
                <w:rFonts w:eastAsia="Times New Roman"/>
                <w:i/>
                <w:iCs/>
                <w:color w:val="000000"/>
                <w:szCs w:val="24"/>
                <w:lang w:eastAsia="tr-TR"/>
              </w:rPr>
            </w:pPr>
          </w:p>
        </w:tc>
        <w:tc>
          <w:tcPr>
            <w:tcW w:w="2500" w:type="pct"/>
            <w:shd w:val="clear" w:color="auto" w:fill="auto"/>
          </w:tcPr>
          <w:p w:rsidR="00BC3BE5" w:rsidRPr="00A23740" w:rsidRDefault="00BC3BE5" w:rsidP="009431FF">
            <w:pPr>
              <w:rPr>
                <w:rFonts w:eastAsia="Times New Roman"/>
                <w:b/>
                <w:color w:val="000000"/>
                <w:szCs w:val="24"/>
                <w:lang w:eastAsia="tr-TR"/>
              </w:rPr>
            </w:pPr>
            <w:r w:rsidRPr="00A23740">
              <w:rPr>
                <w:rFonts w:eastAsia="Times New Roman"/>
                <w:b/>
                <w:color w:val="000000"/>
                <w:szCs w:val="24"/>
                <w:lang w:eastAsia="tr-TR"/>
              </w:rPr>
              <w:lastRenderedPageBreak/>
              <w:t>İcra daireleri</w:t>
            </w:r>
          </w:p>
          <w:p w:rsidR="00BC3BE5" w:rsidRPr="00A23740" w:rsidRDefault="00BC3BE5" w:rsidP="009431FF">
            <w:pPr>
              <w:pStyle w:val="Mavi"/>
            </w:pPr>
            <w:r w:rsidRPr="00A23740">
              <w:rPr>
                <w:lang w:val="tr-TR"/>
              </w:rPr>
              <w:t xml:space="preserve">MADDE </w:t>
            </w:r>
            <w:r w:rsidR="00906A9D" w:rsidRPr="00A23740">
              <w:rPr>
                <w:lang w:val="tr-TR"/>
              </w:rPr>
              <w:t>3</w:t>
            </w:r>
            <w:r w:rsidRPr="00A23740">
              <w:rPr>
                <w:lang w:val="tr-TR"/>
              </w:rPr>
              <w:t xml:space="preserve">- </w:t>
            </w:r>
            <w:r w:rsidRPr="00A23740">
              <w:t>(1)</w:t>
            </w:r>
            <w:r w:rsidRPr="00A23740">
              <w:rPr>
                <w:b w:val="0"/>
                <w:bCs w:val="0"/>
                <w:color w:val="auto"/>
                <w:lang w:val="tr-TR" w:eastAsia="en-US"/>
              </w:rPr>
              <w:t xml:space="preserve"> </w:t>
            </w:r>
            <w:r w:rsidR="00813EA1" w:rsidRPr="00A23740">
              <w:t>Adalet Bakanlığı</w:t>
            </w:r>
            <w:r w:rsidR="00813EA1" w:rsidRPr="00A23740">
              <w:rPr>
                <w:lang w:val="tr-TR"/>
              </w:rPr>
              <w:t xml:space="preserve"> tarafından</w:t>
            </w:r>
            <w:r w:rsidR="00813EA1" w:rsidRPr="00A23740">
              <w:rPr>
                <w:b w:val="0"/>
                <w:bCs w:val="0"/>
                <w:color w:val="auto"/>
                <w:lang w:val="tr-TR" w:eastAsia="en-US"/>
              </w:rPr>
              <w:t xml:space="preserve"> her </w:t>
            </w:r>
            <w:r w:rsidRPr="00A23740">
              <w:rPr>
                <w:b w:val="0"/>
                <w:bCs w:val="0"/>
                <w:color w:val="auto"/>
                <w:lang w:val="tr-TR" w:eastAsia="en-US"/>
              </w:rPr>
              <w:t xml:space="preserve">asliye </w:t>
            </w:r>
            <w:r w:rsidRPr="00A23740">
              <w:t>hukuk</w:t>
            </w:r>
            <w:r w:rsidRPr="00A23740">
              <w:rPr>
                <w:b w:val="0"/>
                <w:bCs w:val="0"/>
                <w:color w:val="auto"/>
                <w:lang w:val="tr-TR" w:eastAsia="en-US"/>
              </w:rPr>
              <w:t xml:space="preserve"> mahkemesinin yargı çevresinde</w:t>
            </w:r>
            <w:r w:rsidR="00813EA1" w:rsidRPr="00A23740">
              <w:rPr>
                <w:lang w:val="tr-TR"/>
              </w:rPr>
              <w:t xml:space="preserve"> </w:t>
            </w:r>
            <w:r w:rsidR="00813EA1" w:rsidRPr="00A23740">
              <w:rPr>
                <w:b w:val="0"/>
                <w:bCs w:val="0"/>
                <w:color w:val="auto"/>
                <w:lang w:val="tr-TR" w:eastAsia="en-US"/>
              </w:rPr>
              <w:t>yeteri kadar</w:t>
            </w:r>
            <w:r w:rsidRPr="00A23740">
              <w:rPr>
                <w:b w:val="0"/>
                <w:bCs w:val="0"/>
                <w:color w:val="auto"/>
                <w:lang w:val="tr-TR" w:eastAsia="en-US"/>
              </w:rPr>
              <w:t xml:space="preserve"> icra dairesi </w:t>
            </w:r>
            <w:r w:rsidRPr="00A23740">
              <w:t>kurulur</w:t>
            </w:r>
            <w:r w:rsidRPr="00A23740">
              <w:rPr>
                <w:b w:val="0"/>
                <w:bCs w:val="0"/>
                <w:color w:val="auto"/>
                <w:lang w:val="tr-TR" w:eastAsia="en-US"/>
              </w:rPr>
              <w:t>.</w:t>
            </w:r>
          </w:p>
          <w:p w:rsidR="00BC3BE5" w:rsidRPr="00A23740" w:rsidRDefault="00BC3BE5" w:rsidP="009431FF">
            <w:pPr>
              <w:pStyle w:val="Mavi"/>
            </w:pPr>
          </w:p>
          <w:p w:rsidR="00BC3BE5" w:rsidRPr="00A23740" w:rsidRDefault="00BC3BE5" w:rsidP="009431FF">
            <w:pPr>
              <w:pStyle w:val="Mavi"/>
              <w:rPr>
                <w:color w:val="00B050"/>
                <w:lang w:val="tr-TR"/>
              </w:rPr>
            </w:pPr>
            <w:r w:rsidRPr="00A23740">
              <w:rPr>
                <w:lang w:val="tr-TR"/>
              </w:rPr>
              <w:t xml:space="preserve">(2) </w:t>
            </w:r>
            <w:r w:rsidRPr="00A23740">
              <w:t xml:space="preserve">İcra daireleri, bu Kanun </w:t>
            </w:r>
            <w:r w:rsidR="00805843" w:rsidRPr="00A23740">
              <w:t>ve</w:t>
            </w:r>
            <w:r w:rsidRPr="00A23740">
              <w:t xml:space="preserve"> diğer mevzuat</w:t>
            </w:r>
            <w:r w:rsidR="00805843" w:rsidRPr="00A23740">
              <w:t>l</w:t>
            </w:r>
            <w:r w:rsidRPr="00A23740">
              <w:t>a verilen görevleri yerine getirir.</w:t>
            </w:r>
          </w:p>
          <w:p w:rsidR="00BC3BE5" w:rsidRPr="00A23740" w:rsidRDefault="00BC3BE5" w:rsidP="009431FF">
            <w:pPr>
              <w:rPr>
                <w:b/>
                <w:color w:val="FF0000"/>
                <w:szCs w:val="24"/>
              </w:rPr>
            </w:pPr>
          </w:p>
          <w:p w:rsidR="00BC3BE5" w:rsidRPr="00A23740" w:rsidRDefault="00BC3BE5" w:rsidP="009431FF">
            <w:pPr>
              <w:rPr>
                <w:b/>
                <w:color w:val="FF000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b/>
                <w:color w:val="00B050"/>
                <w:szCs w:val="24"/>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BC3BE5" w:rsidRPr="00A23740" w:rsidRDefault="00BC3BE5" w:rsidP="009431FF">
            <w:pPr>
              <w:rPr>
                <w:color w:val="00B050"/>
              </w:rPr>
            </w:pPr>
          </w:p>
          <w:p w:rsidR="00FE4EDC" w:rsidRPr="00A23740" w:rsidRDefault="00FE4EDC" w:rsidP="009431FF">
            <w:pPr>
              <w:rPr>
                <w:color w:val="00B050"/>
              </w:rPr>
            </w:pPr>
          </w:p>
          <w:p w:rsidR="00FE4EDC" w:rsidRPr="00A23740" w:rsidRDefault="00FE4EDC" w:rsidP="009431FF">
            <w:pPr>
              <w:rPr>
                <w:color w:val="00B050"/>
              </w:rPr>
            </w:pPr>
          </w:p>
          <w:p w:rsidR="00FE4EDC" w:rsidRPr="00A23740" w:rsidRDefault="00FE4EDC" w:rsidP="009431FF">
            <w:pPr>
              <w:rPr>
                <w:color w:val="00B050"/>
              </w:rPr>
            </w:pPr>
          </w:p>
          <w:p w:rsidR="00906A9D" w:rsidRPr="00A23740" w:rsidRDefault="00906A9D" w:rsidP="009431FF">
            <w:pPr>
              <w:pStyle w:val="Mavi"/>
              <w:rPr>
                <w:rStyle w:val="MaviChar"/>
              </w:rPr>
            </w:pPr>
          </w:p>
          <w:p w:rsidR="00906A9D" w:rsidRPr="00A23740" w:rsidRDefault="00906A9D" w:rsidP="009431FF">
            <w:pPr>
              <w:pStyle w:val="Mavi"/>
              <w:rPr>
                <w:rStyle w:val="MaviChar"/>
              </w:rPr>
            </w:pPr>
          </w:p>
          <w:p w:rsidR="00BC3BE5" w:rsidRPr="00A23740" w:rsidRDefault="00BC3BE5" w:rsidP="009431FF">
            <w:pPr>
              <w:pStyle w:val="Mavi"/>
              <w:rPr>
                <w:rFonts w:eastAsia="Times New Roman"/>
                <w:color w:val="000000"/>
                <w:lang w:eastAsia="tr-TR"/>
              </w:rPr>
            </w:pPr>
            <w:r w:rsidRPr="00A23740">
              <w:rPr>
                <w:rStyle w:val="MaviChar"/>
                <w:b/>
              </w:rPr>
              <w:t>(3)</w:t>
            </w:r>
            <w:r w:rsidRPr="00A23740">
              <w:rPr>
                <w:rFonts w:eastAsia="Times New Roman"/>
                <w:b w:val="0"/>
                <w:bCs w:val="0"/>
                <w:color w:val="000000"/>
                <w:lang w:eastAsia="tr-TR"/>
              </w:rPr>
              <w:t xml:space="preserve"> </w:t>
            </w:r>
            <w:r w:rsidRPr="00A23740">
              <w:rPr>
                <w:rFonts w:eastAsia="Times New Roman"/>
                <w:b w:val="0"/>
                <w:color w:val="000000"/>
                <w:lang w:eastAsia="tr-TR"/>
              </w:rPr>
              <w:t>İcra</w:t>
            </w:r>
            <w:r w:rsidRPr="00A23740">
              <w:rPr>
                <w:rFonts w:eastAsia="Times New Roman"/>
                <w:color w:val="000000"/>
                <w:lang w:eastAsia="tr-TR"/>
              </w:rPr>
              <w:t xml:space="preserve"> </w:t>
            </w:r>
            <w:r w:rsidRPr="00A23740">
              <w:rPr>
                <w:rStyle w:val="MaviChar"/>
                <w:b/>
              </w:rPr>
              <w:t>daireleri</w:t>
            </w:r>
            <w:r w:rsidRPr="00A23740">
              <w:rPr>
                <w:rStyle w:val="MaviChar"/>
                <w:b/>
                <w:lang w:val="tr-TR"/>
              </w:rPr>
              <w:t>, görev ve yetkileri çerçevesinde</w:t>
            </w:r>
            <w:r w:rsidRPr="00A23740">
              <w:rPr>
                <w:rFonts w:eastAsia="Times New Roman"/>
                <w:color w:val="000000"/>
                <w:lang w:eastAsia="tr-TR"/>
              </w:rPr>
              <w:t xml:space="preserve"> </w:t>
            </w:r>
            <w:r w:rsidRPr="00A23740">
              <w:rPr>
                <w:rFonts w:eastAsia="Times New Roman"/>
                <w:b w:val="0"/>
                <w:color w:val="000000"/>
                <w:lang w:eastAsia="tr-TR"/>
              </w:rPr>
              <w:t>yaptıkları</w:t>
            </w:r>
            <w:r w:rsidRPr="00A23740">
              <w:rPr>
                <w:rFonts w:eastAsia="Times New Roman"/>
                <w:color w:val="000000"/>
                <w:lang w:eastAsia="tr-TR"/>
              </w:rPr>
              <w:t xml:space="preserve"> </w:t>
            </w:r>
            <w:r w:rsidRPr="00A23740">
              <w:rPr>
                <w:rStyle w:val="MaviChar"/>
                <w:b/>
                <w:lang w:val="tr-TR"/>
              </w:rPr>
              <w:t xml:space="preserve">işlemlerle ilgili olarak özel hukuk kişileri </w:t>
            </w:r>
            <w:r w:rsidR="00813EA1" w:rsidRPr="00A23740">
              <w:rPr>
                <w:rStyle w:val="MaviChar"/>
                <w:b/>
                <w:lang w:val="tr-TR"/>
              </w:rPr>
              <w:t>ile</w:t>
            </w:r>
            <w:r w:rsidRPr="00A23740">
              <w:rPr>
                <w:rStyle w:val="MaviChar"/>
                <w:b/>
                <w:lang w:val="tr-TR"/>
              </w:rPr>
              <w:t xml:space="preserve"> kamu kurum ve kuruluşlarıyla</w:t>
            </w:r>
            <w:r w:rsidRPr="00A23740">
              <w:rPr>
                <w:rFonts w:eastAsia="Times New Roman"/>
                <w:color w:val="000000"/>
                <w:lang w:eastAsia="tr-TR"/>
              </w:rPr>
              <w:t xml:space="preserve"> </w:t>
            </w:r>
            <w:r w:rsidRPr="00A23740">
              <w:rPr>
                <w:rFonts w:eastAsia="Times New Roman"/>
                <w:b w:val="0"/>
                <w:color w:val="000000"/>
                <w:lang w:eastAsia="tr-TR"/>
              </w:rPr>
              <w:t>doğrudan</w:t>
            </w:r>
            <w:r w:rsidRPr="00A23740">
              <w:rPr>
                <w:rFonts w:eastAsia="Times New Roman"/>
                <w:color w:val="000000"/>
                <w:lang w:eastAsia="tr-TR"/>
              </w:rPr>
              <w:t xml:space="preserve"> </w:t>
            </w:r>
            <w:r w:rsidRPr="00A23740">
              <w:rPr>
                <w:rStyle w:val="MaviChar"/>
                <w:b/>
              </w:rPr>
              <w:t>yazışma yapabilir</w:t>
            </w:r>
            <w:r w:rsidRPr="00A23740">
              <w:rPr>
                <w:rFonts w:eastAsia="Times New Roman"/>
                <w:color w:val="000000"/>
                <w:lang w:eastAsia="tr-TR"/>
              </w:rPr>
              <w:t>.</w:t>
            </w:r>
          </w:p>
          <w:p w:rsidR="00943CEE" w:rsidRPr="00A23740" w:rsidRDefault="00943CEE" w:rsidP="009431FF">
            <w:pPr>
              <w:pStyle w:val="Mavi"/>
              <w:rPr>
                <w:lang w:val="tr-TR"/>
              </w:rPr>
            </w:pPr>
          </w:p>
        </w:tc>
      </w:tr>
      <w:tr w:rsidR="00083972" w:rsidRPr="00A23740" w:rsidTr="009431FF">
        <w:tc>
          <w:tcPr>
            <w:tcW w:w="5000" w:type="pct"/>
            <w:gridSpan w:val="2"/>
            <w:shd w:val="clear" w:color="auto" w:fill="DEEAF6"/>
          </w:tcPr>
          <w:p w:rsidR="00F2143F" w:rsidRPr="00A23740" w:rsidRDefault="00F2143F" w:rsidP="009431FF">
            <w:pPr>
              <w:pStyle w:val="NormalWeb"/>
              <w:spacing w:before="0" w:beforeAutospacing="0" w:after="0"/>
              <w:ind w:firstLine="709"/>
              <w:rPr>
                <w:b/>
                <w:lang w:val="tr-TR"/>
              </w:rPr>
            </w:pPr>
          </w:p>
          <w:p w:rsidR="00C97584" w:rsidRPr="00A23740" w:rsidRDefault="00083972" w:rsidP="009431FF">
            <w:pPr>
              <w:pStyle w:val="NormalWeb"/>
              <w:spacing w:before="0" w:beforeAutospacing="0" w:after="0"/>
              <w:ind w:firstLine="709"/>
              <w:rPr>
                <w:lang w:val="tr-TR" w:eastAsia="tr-TR"/>
              </w:rPr>
            </w:pPr>
            <w:r w:rsidRPr="00A23740">
              <w:rPr>
                <w:b/>
                <w:lang w:val="tr-TR"/>
              </w:rPr>
              <w:t xml:space="preserve">MADDE </w:t>
            </w:r>
            <w:r w:rsidR="00906A9D" w:rsidRPr="00A23740">
              <w:rPr>
                <w:b/>
                <w:lang w:val="tr-TR"/>
              </w:rPr>
              <w:t>3</w:t>
            </w:r>
            <w:r w:rsidRPr="00A23740">
              <w:rPr>
                <w:b/>
                <w:lang w:val="tr-TR"/>
              </w:rPr>
              <w:t>-</w:t>
            </w:r>
            <w:r w:rsidRPr="00A23740">
              <w:rPr>
                <w:lang w:val="tr-TR"/>
              </w:rPr>
              <w:t xml:space="preserve"> </w:t>
            </w:r>
            <w:r w:rsidR="00C97584" w:rsidRPr="00A23740">
              <w:rPr>
                <w:lang w:val="tr-TR" w:eastAsia="tr-TR"/>
              </w:rPr>
              <w:t>Maddeyle, icra dairelerinin kuruluşu ile görev ve yetkileri düzenlenmektedir.</w:t>
            </w:r>
          </w:p>
          <w:p w:rsidR="00C97584" w:rsidRPr="00A23740" w:rsidRDefault="00C97584" w:rsidP="009431FF">
            <w:pPr>
              <w:ind w:firstLine="709"/>
              <w:rPr>
                <w:rFonts w:eastAsia="Times New Roman"/>
                <w:szCs w:val="24"/>
                <w:lang w:eastAsia="tr-TR"/>
              </w:rPr>
            </w:pPr>
            <w:r w:rsidRPr="00A23740">
              <w:rPr>
                <w:rFonts w:eastAsia="Times New Roman"/>
                <w:szCs w:val="24"/>
                <w:lang w:eastAsia="tr-TR"/>
              </w:rPr>
              <w:t xml:space="preserve">Birinci fıkrayla, </w:t>
            </w:r>
            <w:r w:rsidR="001C607D" w:rsidRPr="00A23740">
              <w:t>Adalet Bakanlığı tarafından</w:t>
            </w:r>
            <w:r w:rsidR="001C607D" w:rsidRPr="00A23740">
              <w:rPr>
                <w:b/>
                <w:bCs/>
              </w:rPr>
              <w:t xml:space="preserve"> </w:t>
            </w:r>
            <w:r w:rsidR="001C607D" w:rsidRPr="00A23740">
              <w:rPr>
                <w:bCs/>
              </w:rPr>
              <w:t>her asliye</w:t>
            </w:r>
            <w:r w:rsidR="001C607D" w:rsidRPr="00A23740">
              <w:rPr>
                <w:b/>
                <w:bCs/>
              </w:rPr>
              <w:t xml:space="preserve"> </w:t>
            </w:r>
            <w:r w:rsidR="001C607D" w:rsidRPr="00A23740">
              <w:t>hukuk</w:t>
            </w:r>
            <w:r w:rsidR="001C607D" w:rsidRPr="00A23740">
              <w:rPr>
                <w:b/>
                <w:bCs/>
              </w:rPr>
              <w:t xml:space="preserve"> </w:t>
            </w:r>
            <w:r w:rsidR="001C607D" w:rsidRPr="00A23740">
              <w:rPr>
                <w:bCs/>
              </w:rPr>
              <w:t>mahkemesinin yargı çevresinde</w:t>
            </w:r>
            <w:r w:rsidR="001C607D" w:rsidRPr="00A23740">
              <w:t xml:space="preserve"> </w:t>
            </w:r>
            <w:r w:rsidR="001C607D" w:rsidRPr="00A23740">
              <w:rPr>
                <w:bCs/>
              </w:rPr>
              <w:t>yeteri kadar icra dairesi</w:t>
            </w:r>
            <w:r w:rsidR="00024545" w:rsidRPr="00A23740">
              <w:t xml:space="preserve"> kurulması ilkesi </w:t>
            </w:r>
            <w:r w:rsidR="001C607D" w:rsidRPr="00A23740">
              <w:t>kabul edilmektedir.</w:t>
            </w:r>
            <w:r w:rsidR="001C607D" w:rsidRPr="00A23740">
              <w:rPr>
                <w:rFonts w:eastAsia="Times New Roman"/>
                <w:szCs w:val="24"/>
                <w:lang w:eastAsia="tr-TR"/>
              </w:rPr>
              <w:t xml:space="preserve"> </w:t>
            </w:r>
            <w:r w:rsidR="00314881" w:rsidRPr="00A23740">
              <w:rPr>
                <w:rFonts w:eastAsia="Times New Roman"/>
                <w:szCs w:val="24"/>
                <w:lang w:eastAsia="tr-TR"/>
              </w:rPr>
              <w:t>Buna göre, asliye hukuk mahkemesi</w:t>
            </w:r>
            <w:r w:rsidR="00024545" w:rsidRPr="00A23740">
              <w:rPr>
                <w:rFonts w:eastAsia="Times New Roman"/>
                <w:bCs/>
                <w:szCs w:val="24"/>
                <w:lang w:eastAsia="tr-TR"/>
              </w:rPr>
              <w:t xml:space="preserve">bulunan yerlerde </w:t>
            </w:r>
            <w:r w:rsidR="00314881" w:rsidRPr="00A23740">
              <w:rPr>
                <w:rFonts w:eastAsia="Times New Roman"/>
                <w:bCs/>
                <w:szCs w:val="24"/>
                <w:lang w:eastAsia="tr-TR"/>
              </w:rPr>
              <w:t xml:space="preserve"> bir icra dairesi kurulacaktır. </w:t>
            </w:r>
            <w:r w:rsidR="002E6E2C" w:rsidRPr="00A23740">
              <w:rPr>
                <w:rFonts w:eastAsia="Times New Roman"/>
                <w:bCs/>
                <w:szCs w:val="24"/>
                <w:lang w:eastAsia="tr-TR"/>
              </w:rPr>
              <w:t xml:space="preserve">Bu hüküm, 2004 sayılı Kanunun 1 inci maddesinin birinci fıkrasına karşılık gelmektedir. Diğer taraftan, icra </w:t>
            </w:r>
            <w:r w:rsidR="001C2E9A" w:rsidRPr="00A23740">
              <w:rPr>
                <w:rFonts w:eastAsia="Times New Roman"/>
                <w:bCs/>
                <w:szCs w:val="24"/>
                <w:lang w:eastAsia="tr-TR"/>
              </w:rPr>
              <w:t xml:space="preserve">dairelerinin kuruluşu, birleştirilmesi, yapılandırılması, kapatılması, iş bölümü, bu dairelerde çalışacak icra görevlileri gibi hususlar, İcra </w:t>
            </w:r>
            <w:r w:rsidR="001C607D" w:rsidRPr="00A23740">
              <w:rPr>
                <w:rFonts w:eastAsia="Times New Roman"/>
                <w:bCs/>
                <w:szCs w:val="24"/>
                <w:lang w:eastAsia="tr-TR"/>
              </w:rPr>
              <w:t xml:space="preserve">Mahkemeleri </w:t>
            </w:r>
            <w:r w:rsidR="001C2E9A" w:rsidRPr="00A23740">
              <w:rPr>
                <w:rFonts w:eastAsia="Times New Roman"/>
                <w:bCs/>
                <w:szCs w:val="24"/>
                <w:lang w:eastAsia="tr-TR"/>
              </w:rPr>
              <w:t xml:space="preserve">ve İflas Mahkemeleri ile İcra Teşkilatı Hakkında Kanun </w:t>
            </w:r>
            <w:r w:rsidR="00163E5A" w:rsidRPr="00A23740">
              <w:rPr>
                <w:rFonts w:eastAsia="Times New Roman"/>
                <w:bCs/>
                <w:szCs w:val="24"/>
                <w:lang w:eastAsia="tr-TR"/>
              </w:rPr>
              <w:t>Taslağında</w:t>
            </w:r>
            <w:r w:rsidR="001C2E9A" w:rsidRPr="00A23740">
              <w:rPr>
                <w:rFonts w:eastAsia="Times New Roman"/>
                <w:bCs/>
                <w:szCs w:val="24"/>
                <w:lang w:eastAsia="tr-TR"/>
              </w:rPr>
              <w:t xml:space="preserve"> ayrıntılı olarak düzenlendiğinden</w:t>
            </w:r>
            <w:r w:rsidR="00024545" w:rsidRPr="00A23740">
              <w:rPr>
                <w:rFonts w:eastAsia="Times New Roman"/>
                <w:bCs/>
                <w:szCs w:val="24"/>
                <w:lang w:eastAsia="tr-TR"/>
              </w:rPr>
              <w:t>,</w:t>
            </w:r>
            <w:r w:rsidR="001C2E9A" w:rsidRPr="00A23740">
              <w:rPr>
                <w:rFonts w:eastAsia="Times New Roman"/>
                <w:bCs/>
                <w:szCs w:val="24"/>
                <w:lang w:eastAsia="tr-TR"/>
              </w:rPr>
              <w:t xml:space="preserve"> 2004 sayılı Kanunun 1 inci maddesi</w:t>
            </w:r>
            <w:r w:rsidR="002E6E2C" w:rsidRPr="00A23740">
              <w:rPr>
                <w:rFonts w:eastAsia="Times New Roman"/>
                <w:bCs/>
                <w:szCs w:val="24"/>
                <w:lang w:eastAsia="tr-TR"/>
              </w:rPr>
              <w:t>nin birinci fıkrası hariç diğer fıkraları ile</w:t>
            </w:r>
            <w:r w:rsidR="001C2E9A" w:rsidRPr="00A23740">
              <w:rPr>
                <w:rFonts w:eastAsia="Times New Roman"/>
                <w:bCs/>
                <w:szCs w:val="24"/>
                <w:lang w:eastAsia="tr-TR"/>
              </w:rPr>
              <w:t xml:space="preserve"> 3 üncü maddesinin birinci fıkrasına </w:t>
            </w:r>
            <w:r w:rsidR="00163E5A" w:rsidRPr="00A23740">
              <w:rPr>
                <w:rFonts w:eastAsia="Times New Roman"/>
                <w:bCs/>
                <w:szCs w:val="24"/>
                <w:lang w:eastAsia="tr-TR"/>
              </w:rPr>
              <w:t>Taslakta</w:t>
            </w:r>
            <w:r w:rsidR="001C2E9A" w:rsidRPr="00A23740">
              <w:rPr>
                <w:rFonts w:eastAsia="Times New Roman"/>
                <w:bCs/>
                <w:szCs w:val="24"/>
                <w:lang w:eastAsia="tr-TR"/>
              </w:rPr>
              <w:t xml:space="preserve"> yer</w:t>
            </w:r>
            <w:r w:rsidR="00024545" w:rsidRPr="00A23740">
              <w:rPr>
                <w:rFonts w:eastAsia="Times New Roman"/>
                <w:bCs/>
                <w:szCs w:val="24"/>
                <w:lang w:eastAsia="tr-TR"/>
              </w:rPr>
              <w:t xml:space="preserve"> verilmemiştir</w:t>
            </w:r>
            <w:r w:rsidR="001C2E9A" w:rsidRPr="00A23740">
              <w:rPr>
                <w:rFonts w:eastAsia="Times New Roman"/>
                <w:bCs/>
                <w:szCs w:val="24"/>
                <w:lang w:eastAsia="tr-TR"/>
              </w:rPr>
              <w:t>.</w:t>
            </w:r>
          </w:p>
          <w:p w:rsidR="000A547B" w:rsidRPr="00A23740" w:rsidRDefault="000A547B" w:rsidP="009431FF">
            <w:pPr>
              <w:ind w:firstLine="709"/>
              <w:rPr>
                <w:rFonts w:eastAsia="Times New Roman"/>
                <w:bCs/>
                <w:szCs w:val="24"/>
                <w:lang w:eastAsia="tr-TR"/>
              </w:rPr>
            </w:pPr>
            <w:r w:rsidRPr="00A23740">
              <w:rPr>
                <w:rFonts w:eastAsia="Times New Roman"/>
                <w:bCs/>
                <w:szCs w:val="24"/>
                <w:lang w:eastAsia="tr-TR"/>
              </w:rPr>
              <w:t>İkinci fıkrayla, icra dairelerinin genel olarak görevleri düzenlenmektedir.</w:t>
            </w:r>
          </w:p>
          <w:p w:rsidR="000A547B" w:rsidRPr="00A23740" w:rsidRDefault="000A547B" w:rsidP="009431FF">
            <w:pPr>
              <w:ind w:firstLine="709"/>
            </w:pPr>
            <w:r w:rsidRPr="00A23740">
              <w:rPr>
                <w:rFonts w:eastAsia="Times New Roman"/>
                <w:bCs/>
                <w:szCs w:val="24"/>
                <w:lang w:eastAsia="tr-TR"/>
              </w:rPr>
              <w:t xml:space="preserve">Üçüncü fıkrayla, icra </w:t>
            </w:r>
            <w:r w:rsidRPr="00A23740">
              <w:rPr>
                <w:rFonts w:eastAsia="Times New Roman"/>
                <w:color w:val="000000"/>
                <w:szCs w:val="24"/>
                <w:lang w:eastAsia="tr-TR"/>
              </w:rPr>
              <w:t xml:space="preserve">dairelerinin görev ve yetkileri çerçevesinde yaptıkları işlemlerle ilgili olarak </w:t>
            </w:r>
            <w:r w:rsidRPr="00A23740">
              <w:rPr>
                <w:rFonts w:eastAsia="Times New Roman"/>
                <w:bCs/>
                <w:color w:val="000000"/>
                <w:lang w:eastAsia="tr-TR"/>
              </w:rPr>
              <w:t xml:space="preserve">özel hukuk kişileri </w:t>
            </w:r>
            <w:r w:rsidR="00813EA1" w:rsidRPr="00A23740">
              <w:rPr>
                <w:rFonts w:eastAsia="Times New Roman"/>
                <w:bCs/>
                <w:color w:val="000000"/>
                <w:lang w:eastAsia="tr-TR"/>
              </w:rPr>
              <w:t>ile</w:t>
            </w:r>
            <w:r w:rsidRPr="00A23740">
              <w:rPr>
                <w:rFonts w:eastAsia="Times New Roman"/>
                <w:bCs/>
                <w:color w:val="000000"/>
                <w:lang w:eastAsia="tr-TR"/>
              </w:rPr>
              <w:t xml:space="preserve"> kamu kurum ve kuruluşlarıyla</w:t>
            </w:r>
            <w:r w:rsidRPr="00A23740">
              <w:rPr>
                <w:rFonts w:eastAsia="Times New Roman"/>
                <w:color w:val="000000"/>
                <w:szCs w:val="24"/>
                <w:lang w:eastAsia="tr-TR"/>
              </w:rPr>
              <w:t xml:space="preserve"> doğrudan </w:t>
            </w:r>
            <w:r w:rsidRPr="00A23740">
              <w:rPr>
                <w:rFonts w:eastAsia="Times New Roman"/>
                <w:bCs/>
                <w:color w:val="000000"/>
                <w:lang w:eastAsia="tr-TR"/>
              </w:rPr>
              <w:t>yazışma yapabileceği belirtilmektedir</w:t>
            </w:r>
            <w:r w:rsidRPr="00A23740">
              <w:rPr>
                <w:rFonts w:eastAsia="Times New Roman"/>
                <w:color w:val="000000"/>
                <w:szCs w:val="24"/>
                <w:lang w:eastAsia="tr-TR"/>
              </w:rPr>
              <w:t>. Bu hüküm, 2004 sayılı Kanunun 359 uncu maddesinin birinci fıkrasına karşılık gelmektedir.</w:t>
            </w:r>
          </w:p>
          <w:p w:rsidR="002E512C" w:rsidRPr="00A23740" w:rsidRDefault="002E512C" w:rsidP="009431FF">
            <w:pPr>
              <w:pStyle w:val="Mavi"/>
              <w:ind w:firstLine="709"/>
              <w:rPr>
                <w:b w:val="0"/>
                <w:color w:val="FF0000"/>
              </w:rPr>
            </w:pPr>
          </w:p>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r w:rsidRPr="00A23740">
              <w:rPr>
                <w:rFonts w:eastAsia="Times New Roman"/>
                <w:i/>
                <w:iCs/>
                <w:color w:val="000000"/>
                <w:szCs w:val="24"/>
                <w:lang w:eastAsia="tr-TR"/>
              </w:rPr>
              <w:t>İflas daireleri</w:t>
            </w:r>
            <w:r w:rsidRPr="00A23740">
              <w:rPr>
                <w:rStyle w:val="KIRMIZIChar"/>
                <w:rFonts w:eastAsia="Calibri"/>
                <w:lang w:eastAsia="tr-TR"/>
              </w:rPr>
              <w:t>:</w:t>
            </w:r>
          </w:p>
          <w:p w:rsidR="001E132C" w:rsidRPr="00A23740" w:rsidRDefault="001E132C" w:rsidP="009431FF">
            <w:pPr>
              <w:pStyle w:val="KIRMIZI"/>
              <w:rPr>
                <w:lang w:val="tr-TR"/>
              </w:rPr>
            </w:pPr>
            <w:r w:rsidRPr="00A23740">
              <w:rPr>
                <w:lang w:val="tr-TR"/>
              </w:rPr>
              <w:t>Madde 2 – </w:t>
            </w:r>
            <w:r w:rsidRPr="00A23740">
              <w:t>(1) Her</w:t>
            </w:r>
            <w:r w:rsidRPr="00A23740">
              <w:rPr>
                <w:lang w:eastAsia="tr-TR"/>
              </w:rPr>
              <w:t xml:space="preserve"> asliye mahkemesinin yargı çevresinde lüzumu kadar iflas </w:t>
            </w:r>
            <w:r w:rsidRPr="00A23740">
              <w:rPr>
                <w:b w:val="0"/>
                <w:strike w:val="0"/>
                <w:color w:val="auto"/>
                <w:lang w:eastAsia="tr-TR"/>
              </w:rPr>
              <w:t>dairesi</w:t>
            </w:r>
            <w:r w:rsidRPr="00A23740">
              <w:rPr>
                <w:lang w:eastAsia="tr-TR"/>
              </w:rPr>
              <w:t xml:space="preserve"> bulunur</w:t>
            </w:r>
            <w:r w:rsidRPr="00A23740">
              <w:rPr>
                <w:b w:val="0"/>
                <w:bCs w:val="0"/>
                <w:strike w:val="0"/>
                <w:color w:val="000000"/>
                <w:lang w:val="tr-TR" w:eastAsia="tr-TR"/>
              </w:rPr>
              <w:t>.</w:t>
            </w:r>
          </w:p>
          <w:p w:rsidR="006D4EBB" w:rsidRPr="00A23740" w:rsidRDefault="006D4EBB" w:rsidP="009431FF">
            <w:pPr>
              <w:pStyle w:val="KIRMIZI"/>
              <w:rPr>
                <w:lang w:val="tr-TR"/>
              </w:rPr>
            </w:pPr>
          </w:p>
          <w:p w:rsidR="00BE0E49" w:rsidRPr="00A23740" w:rsidRDefault="001E132C" w:rsidP="009431FF">
            <w:pPr>
              <w:pStyle w:val="KIRMIZI"/>
              <w:rPr>
                <w:lang w:val="tr-TR"/>
              </w:rPr>
            </w:pPr>
            <w:r w:rsidRPr="00A23740">
              <w:t>(2)</w:t>
            </w:r>
            <w:r w:rsidRPr="00A23740">
              <w:rPr>
                <w:lang w:val="tr-TR"/>
              </w:rPr>
              <w:t xml:space="preserve"> Birinci madde</w:t>
            </w:r>
            <w:r w:rsidR="006716C6" w:rsidRPr="00A23740">
              <w:rPr>
                <w:lang w:val="tr-TR"/>
              </w:rPr>
              <w:t xml:space="preserve"> hükmü</w:t>
            </w:r>
            <w:r w:rsidR="001C2E9A" w:rsidRPr="00A23740">
              <w:rPr>
                <w:lang w:val="tr-TR"/>
              </w:rPr>
              <w:t xml:space="preserve"> iflas daireleri</w:t>
            </w:r>
            <w:r w:rsidRPr="00A23740">
              <w:rPr>
                <w:lang w:val="tr-TR"/>
              </w:rPr>
              <w:t xml:space="preserve"> hakkında da caridir.</w:t>
            </w:r>
          </w:p>
          <w:p w:rsidR="006D4EBB" w:rsidRPr="00A23740" w:rsidRDefault="006D4EBB" w:rsidP="009431FF">
            <w:pPr>
              <w:pStyle w:val="KIRMIZI"/>
              <w:rPr>
                <w:b w:val="0"/>
              </w:rPr>
            </w:pPr>
          </w:p>
          <w:p w:rsidR="00BD7E01" w:rsidRPr="00A23740" w:rsidRDefault="00BD7E01" w:rsidP="009431FF">
            <w:pPr>
              <w:pStyle w:val="KIRMIZI"/>
              <w:rPr>
                <w:b w:val="0"/>
              </w:rPr>
            </w:pPr>
          </w:p>
          <w:p w:rsidR="00BD7E01" w:rsidRPr="00A23740" w:rsidRDefault="00BD7E01" w:rsidP="009431FF">
            <w:pPr>
              <w:pStyle w:val="NormalWeb"/>
              <w:spacing w:before="0" w:beforeAutospacing="0" w:after="0"/>
              <w:rPr>
                <w:b/>
              </w:rPr>
            </w:pPr>
          </w:p>
        </w:tc>
        <w:tc>
          <w:tcPr>
            <w:tcW w:w="2500" w:type="pct"/>
            <w:shd w:val="clear" w:color="auto" w:fill="auto"/>
          </w:tcPr>
          <w:p w:rsidR="001E132C" w:rsidRPr="00A23740" w:rsidRDefault="001E132C" w:rsidP="009431FF">
            <w:pPr>
              <w:rPr>
                <w:rFonts w:eastAsia="Times New Roman"/>
                <w:szCs w:val="24"/>
                <w:lang w:eastAsia="tr-TR"/>
              </w:rPr>
            </w:pPr>
            <w:r w:rsidRPr="00A23740">
              <w:rPr>
                <w:rFonts w:eastAsia="Times New Roman"/>
                <w:b/>
                <w:bCs/>
                <w:szCs w:val="24"/>
                <w:lang w:eastAsia="tr-TR"/>
              </w:rPr>
              <w:t>İflas daireleri</w:t>
            </w:r>
          </w:p>
          <w:p w:rsidR="000E1138" w:rsidRPr="00A23740" w:rsidRDefault="001E132C" w:rsidP="009431FF">
            <w:pPr>
              <w:pStyle w:val="Mavi"/>
            </w:pPr>
            <w:r w:rsidRPr="00A23740">
              <w:rPr>
                <w:rStyle w:val="MaviChar"/>
                <w:b/>
              </w:rPr>
              <w:t xml:space="preserve">MADDE </w:t>
            </w:r>
            <w:r w:rsidR="00906A9D" w:rsidRPr="00A23740">
              <w:rPr>
                <w:rStyle w:val="MaviChar"/>
                <w:b/>
                <w:lang w:val="tr-TR"/>
              </w:rPr>
              <w:t>4</w:t>
            </w:r>
            <w:r w:rsidRPr="00A23740">
              <w:rPr>
                <w:rStyle w:val="MaviChar"/>
                <w:b/>
              </w:rPr>
              <w:t>-</w:t>
            </w:r>
            <w:r w:rsidR="00F2143F" w:rsidRPr="00A23740">
              <w:rPr>
                <w:rStyle w:val="MaviChar"/>
                <w:lang w:val="tr-TR"/>
              </w:rPr>
              <w:t xml:space="preserve"> </w:t>
            </w:r>
            <w:r w:rsidR="000E1138" w:rsidRPr="00A23740">
              <w:t xml:space="preserve">(1) Adalet Bakanlığı tarafından iş ve ihtiyaç durumu gözetilerek gerekli görülen yerlerde yeteri kadar iflas dairesi kurulabilir. </w:t>
            </w:r>
          </w:p>
          <w:p w:rsidR="000E1138" w:rsidRPr="00A23740" w:rsidRDefault="000E1138" w:rsidP="009431FF">
            <w:pPr>
              <w:pStyle w:val="Mavi"/>
            </w:pPr>
          </w:p>
          <w:p w:rsidR="00B869E1" w:rsidRPr="00A23740" w:rsidRDefault="00CD3C27" w:rsidP="009431FF">
            <w:pPr>
              <w:pStyle w:val="Mavi"/>
            </w:pPr>
            <w:r w:rsidRPr="00A23740">
              <w:t>(2) Bakanlık, iflas dairelerinin yetki çevresini iş ve ihtiyaç durumunu dikkate alarak birden fazla il veya ilçeyi kapsayacak şekilde belirleyebilir.</w:t>
            </w:r>
          </w:p>
          <w:p w:rsidR="00F2143F" w:rsidRPr="00A23740" w:rsidRDefault="00F2143F" w:rsidP="009431FF">
            <w:pPr>
              <w:rPr>
                <w:b/>
                <w:bCs/>
                <w:color w:val="0000FF"/>
                <w:szCs w:val="24"/>
                <w:lang w:eastAsia="x-none"/>
              </w:rPr>
            </w:pPr>
          </w:p>
          <w:p w:rsidR="00F2143F" w:rsidRPr="00A23740" w:rsidRDefault="00E634E8" w:rsidP="009431FF">
            <w:pPr>
              <w:pStyle w:val="Mavi"/>
              <w:rPr>
                <w:color w:val="00B050"/>
                <w:lang w:val="tr-TR"/>
              </w:rPr>
            </w:pPr>
            <w:r w:rsidRPr="00A23740">
              <w:rPr>
                <w:lang w:val="tr-TR"/>
              </w:rPr>
              <w:t>(3</w:t>
            </w:r>
            <w:r w:rsidR="00F2143F" w:rsidRPr="00A23740">
              <w:rPr>
                <w:lang w:val="tr-TR"/>
              </w:rPr>
              <w:t>) İflas</w:t>
            </w:r>
            <w:r w:rsidR="00F2143F" w:rsidRPr="00A23740">
              <w:t xml:space="preserve"> daireleri, bu Kanun </w:t>
            </w:r>
            <w:r w:rsidR="007B26B2" w:rsidRPr="00A23740">
              <w:t xml:space="preserve">ve </w:t>
            </w:r>
            <w:r w:rsidR="00F2143F" w:rsidRPr="00A23740">
              <w:t>diğer</w:t>
            </w:r>
            <w:r w:rsidR="007B26B2" w:rsidRPr="00A23740">
              <w:t xml:space="preserve"> mevzuatla</w:t>
            </w:r>
            <w:r w:rsidR="00F2143F" w:rsidRPr="00A23740">
              <w:t xml:space="preserve"> verilen görevleri yerine getirir.</w:t>
            </w:r>
          </w:p>
          <w:p w:rsidR="00B869E1" w:rsidRPr="00A23740" w:rsidRDefault="00B869E1" w:rsidP="009431FF">
            <w:pPr>
              <w:rPr>
                <w:rStyle w:val="MaviChar"/>
              </w:rPr>
            </w:pPr>
          </w:p>
          <w:p w:rsidR="00771299" w:rsidRPr="00A23740" w:rsidRDefault="00E634E8" w:rsidP="009431FF">
            <w:pPr>
              <w:pStyle w:val="Mavi"/>
              <w:rPr>
                <w:rStyle w:val="MaviChar"/>
                <w:b/>
                <w:lang w:val="tr-TR"/>
              </w:rPr>
            </w:pPr>
            <w:r w:rsidRPr="00A23740">
              <w:rPr>
                <w:rStyle w:val="MaviChar"/>
                <w:b/>
                <w:bCs/>
              </w:rPr>
              <w:t>(4</w:t>
            </w:r>
            <w:r w:rsidR="00EB5649" w:rsidRPr="00A23740">
              <w:rPr>
                <w:rStyle w:val="MaviChar"/>
                <w:b/>
                <w:bCs/>
              </w:rPr>
              <w:t>)</w:t>
            </w:r>
            <w:r w:rsidR="00EB5649" w:rsidRPr="00A23740">
              <w:t xml:space="preserve"> </w:t>
            </w:r>
            <w:r w:rsidR="00EB5649" w:rsidRPr="00A23740">
              <w:rPr>
                <w:lang w:val="tr-TR"/>
              </w:rPr>
              <w:t>İflas</w:t>
            </w:r>
            <w:r w:rsidR="00EB5649" w:rsidRPr="00A23740">
              <w:t xml:space="preserve"> </w:t>
            </w:r>
            <w:r w:rsidR="00EB5649" w:rsidRPr="00A23740">
              <w:rPr>
                <w:rStyle w:val="MaviChar"/>
                <w:b/>
                <w:bCs/>
              </w:rPr>
              <w:t xml:space="preserve">daireleri, </w:t>
            </w:r>
            <w:r w:rsidR="006779BB" w:rsidRPr="00A23740">
              <w:rPr>
                <w:rStyle w:val="MaviChar"/>
                <w:b/>
                <w:lang w:val="tr-TR"/>
              </w:rPr>
              <w:t xml:space="preserve">görev ve yetkileri çerçevesinde yaptıkları işlemlerle ilgili olarak özel hukuk kişileri </w:t>
            </w:r>
            <w:r w:rsidR="0056303B" w:rsidRPr="00A23740">
              <w:rPr>
                <w:rStyle w:val="MaviChar"/>
                <w:b/>
                <w:lang w:val="tr-TR"/>
              </w:rPr>
              <w:t>ile</w:t>
            </w:r>
            <w:r w:rsidR="006779BB" w:rsidRPr="00A23740">
              <w:rPr>
                <w:rStyle w:val="MaviChar"/>
                <w:b/>
                <w:lang w:val="tr-TR"/>
              </w:rPr>
              <w:t xml:space="preserve"> kamu kurum ve kuruluşlarıyla doğrudan yazışma yapabilir.</w:t>
            </w:r>
          </w:p>
          <w:p w:rsidR="00EA2DD0" w:rsidRPr="00A23740" w:rsidRDefault="00EA2DD0" w:rsidP="009431FF">
            <w:pPr>
              <w:pStyle w:val="Mavi"/>
              <w:rPr>
                <w:b w:val="0"/>
              </w:rPr>
            </w:pPr>
          </w:p>
        </w:tc>
      </w:tr>
      <w:tr w:rsidR="00083972" w:rsidRPr="00A23740" w:rsidTr="009431FF">
        <w:tc>
          <w:tcPr>
            <w:tcW w:w="5000" w:type="pct"/>
            <w:gridSpan w:val="2"/>
            <w:shd w:val="clear" w:color="auto" w:fill="DEEAF6"/>
          </w:tcPr>
          <w:p w:rsidR="00F2143F" w:rsidRPr="00A23740" w:rsidRDefault="00F2143F" w:rsidP="009431FF">
            <w:pPr>
              <w:pStyle w:val="NormalWeb"/>
              <w:spacing w:before="0" w:beforeAutospacing="0" w:after="0"/>
              <w:ind w:firstLine="709"/>
              <w:rPr>
                <w:b/>
                <w:lang w:val="tr-TR"/>
              </w:rPr>
            </w:pPr>
          </w:p>
          <w:p w:rsidR="00F2143F" w:rsidRPr="00A23740" w:rsidRDefault="00083972" w:rsidP="009431FF">
            <w:pPr>
              <w:pStyle w:val="NormalWeb"/>
              <w:spacing w:before="0" w:beforeAutospacing="0" w:after="0"/>
              <w:ind w:firstLine="709"/>
              <w:rPr>
                <w:lang w:val="tr-TR" w:eastAsia="tr-TR"/>
              </w:rPr>
            </w:pPr>
            <w:r w:rsidRPr="00A23740">
              <w:rPr>
                <w:b/>
                <w:lang w:val="tr-TR"/>
              </w:rPr>
              <w:t xml:space="preserve">MADDE </w:t>
            </w:r>
            <w:r w:rsidR="00906A9D" w:rsidRPr="00A23740">
              <w:rPr>
                <w:b/>
                <w:lang w:val="tr-TR"/>
              </w:rPr>
              <w:t>4</w:t>
            </w:r>
            <w:r w:rsidRPr="00A23740">
              <w:rPr>
                <w:b/>
                <w:lang w:val="tr-TR"/>
              </w:rPr>
              <w:t>-</w:t>
            </w:r>
            <w:r w:rsidRPr="00A23740">
              <w:rPr>
                <w:lang w:val="tr-TR"/>
              </w:rPr>
              <w:t xml:space="preserve"> </w:t>
            </w:r>
            <w:r w:rsidR="00F2143F" w:rsidRPr="00A23740">
              <w:rPr>
                <w:lang w:val="tr-TR" w:eastAsia="tr-TR"/>
              </w:rPr>
              <w:t>Maddeyle, iflas dairelerinin kuruluşu ile görev ve yetkileri düzenlenmektedir.</w:t>
            </w:r>
          </w:p>
          <w:p w:rsidR="004D5513" w:rsidRPr="00A23740" w:rsidRDefault="00F2143F" w:rsidP="009431FF">
            <w:pPr>
              <w:pStyle w:val="NormalWeb"/>
              <w:spacing w:before="0" w:beforeAutospacing="0" w:after="0"/>
              <w:ind w:firstLine="709"/>
              <w:rPr>
                <w:bCs/>
                <w:lang w:eastAsia="tr-TR"/>
              </w:rPr>
            </w:pPr>
            <w:r w:rsidRPr="00A23740">
              <w:rPr>
                <w:lang w:val="tr-TR" w:eastAsia="tr-TR"/>
              </w:rPr>
              <w:t xml:space="preserve">Birinci fıkrayla, </w:t>
            </w:r>
            <w:r w:rsidR="00BD7E01" w:rsidRPr="00A23740">
              <w:rPr>
                <w:lang w:val="tr-TR" w:eastAsia="tr-TR"/>
              </w:rPr>
              <w:t xml:space="preserve">Adalet Bakanlığı </w:t>
            </w:r>
            <w:r w:rsidR="00BD7E01" w:rsidRPr="00A23740">
              <w:rPr>
                <w:bCs/>
                <w:lang w:eastAsia="tr-TR"/>
              </w:rPr>
              <w:t xml:space="preserve">tarafından iş ve ihtiyaç durumu gözetilerek gerekli görülen yerlerde yeteri kadar iflas dairesinin kurulabileceği kabul edilmektedir. </w:t>
            </w:r>
            <w:r w:rsidR="002E6E2C" w:rsidRPr="00A23740">
              <w:rPr>
                <w:bCs/>
                <w:lang w:eastAsia="tr-TR"/>
              </w:rPr>
              <w:t xml:space="preserve">Bu hüküm, 2004 sayılı Kanunun 2 nci maddesinin birinci fıkrasına karşılık gelmektedir. </w:t>
            </w:r>
          </w:p>
          <w:p w:rsidR="00BD7E01" w:rsidRPr="00A23740" w:rsidRDefault="00F2143F" w:rsidP="009431FF">
            <w:pPr>
              <w:pStyle w:val="NormalWeb"/>
              <w:spacing w:before="0" w:beforeAutospacing="0" w:after="0"/>
              <w:ind w:firstLine="709"/>
              <w:rPr>
                <w:bCs/>
                <w:lang w:eastAsia="tr-TR"/>
              </w:rPr>
            </w:pPr>
            <w:r w:rsidRPr="00A23740">
              <w:rPr>
                <w:bCs/>
                <w:lang w:eastAsia="tr-TR"/>
              </w:rPr>
              <w:t xml:space="preserve">İkinci fıkrayla, </w:t>
            </w:r>
            <w:r w:rsidR="00BD7E01" w:rsidRPr="00A23740">
              <w:rPr>
                <w:bCs/>
                <w:lang w:eastAsia="tr-TR"/>
              </w:rPr>
              <w:t>Adalet Bakanlığı tarafından iflas dairelerinin yetki çevresinin iş ve ihtiyaç durumu dikkate alınarak birden fazla il veya ilçeyi kapsayacak şekilde belirlenebileceği düzenlenmektedir.</w:t>
            </w:r>
          </w:p>
          <w:p w:rsidR="00BD7E01" w:rsidRPr="00A23740" w:rsidRDefault="00E634E8" w:rsidP="009431FF">
            <w:pPr>
              <w:pStyle w:val="NormalWeb"/>
              <w:spacing w:before="0" w:beforeAutospacing="0" w:after="0"/>
              <w:ind w:firstLine="709"/>
              <w:rPr>
                <w:bCs/>
                <w:lang w:eastAsia="tr-TR"/>
              </w:rPr>
            </w:pPr>
            <w:r w:rsidRPr="00A23740">
              <w:rPr>
                <w:bCs/>
                <w:lang w:val="tr-TR" w:eastAsia="tr-TR"/>
              </w:rPr>
              <w:t>Üçüncü</w:t>
            </w:r>
            <w:r w:rsidR="00F2143F" w:rsidRPr="00A23740">
              <w:rPr>
                <w:bCs/>
                <w:lang w:eastAsia="tr-TR"/>
              </w:rPr>
              <w:t xml:space="preserve"> fıkrayla, </w:t>
            </w:r>
            <w:r w:rsidR="00BD7E01" w:rsidRPr="00A23740">
              <w:rPr>
                <w:bCs/>
                <w:lang w:eastAsia="tr-TR"/>
              </w:rPr>
              <w:t>iflas dairelerinin bu Kanun</w:t>
            </w:r>
            <w:r w:rsidR="007B4739" w:rsidRPr="00A23740">
              <w:rPr>
                <w:bCs/>
                <w:lang w:val="tr-TR" w:eastAsia="tr-TR"/>
              </w:rPr>
              <w:t xml:space="preserve"> </w:t>
            </w:r>
            <w:r w:rsidR="007B4739" w:rsidRPr="00A23740">
              <w:rPr>
                <w:bCs/>
                <w:lang w:eastAsia="tr-TR"/>
              </w:rPr>
              <w:t>ve</w:t>
            </w:r>
            <w:r w:rsidR="00BD7E01" w:rsidRPr="00A23740">
              <w:rPr>
                <w:bCs/>
                <w:lang w:eastAsia="tr-TR"/>
              </w:rPr>
              <w:t xml:space="preserve"> diğer </w:t>
            </w:r>
            <w:r w:rsidR="007B4739" w:rsidRPr="00A23740">
              <w:rPr>
                <w:bCs/>
                <w:lang w:eastAsia="tr-TR"/>
              </w:rPr>
              <w:t>mevzuatla</w:t>
            </w:r>
            <w:r w:rsidR="00BD7E01" w:rsidRPr="00A23740">
              <w:rPr>
                <w:bCs/>
                <w:lang w:eastAsia="tr-TR"/>
              </w:rPr>
              <w:t xml:space="preserve"> verilen görevleri yerine getireceği hükme bağlanmaktadır.</w:t>
            </w:r>
          </w:p>
          <w:p w:rsidR="00BD7E01" w:rsidRPr="00A23740" w:rsidRDefault="00E634E8" w:rsidP="009431FF">
            <w:pPr>
              <w:pStyle w:val="NormalWeb"/>
              <w:spacing w:before="0" w:beforeAutospacing="0" w:after="0"/>
              <w:ind w:firstLine="709"/>
              <w:rPr>
                <w:bCs/>
                <w:lang w:eastAsia="tr-TR"/>
              </w:rPr>
            </w:pPr>
            <w:r w:rsidRPr="00A23740">
              <w:rPr>
                <w:bCs/>
                <w:lang w:val="tr-TR" w:eastAsia="tr-TR"/>
              </w:rPr>
              <w:t>Dördüncü</w:t>
            </w:r>
            <w:r w:rsidR="00BD7E01" w:rsidRPr="00A23740">
              <w:rPr>
                <w:bCs/>
                <w:lang w:eastAsia="tr-TR"/>
              </w:rPr>
              <w:t xml:space="preserve"> fıkrayla, iflas </w:t>
            </w:r>
            <w:r w:rsidR="00BD7E01" w:rsidRPr="00A23740">
              <w:rPr>
                <w:lang w:eastAsia="tr-TR"/>
              </w:rPr>
              <w:t>dairelerinin görev ve yetkileri çerçevesinde yaptıkları işlemlerle ilgili olarak özel hukuk kişileri ile kamu kurum ve kuruluşlarıyla doğrudan yazışma yapabilecekleri düzenlenmektedir.</w:t>
            </w:r>
          </w:p>
          <w:p w:rsidR="00D64704" w:rsidRPr="00A23740" w:rsidRDefault="00BD7E01" w:rsidP="009431FF">
            <w:pPr>
              <w:pStyle w:val="NormalWeb"/>
              <w:spacing w:before="0" w:beforeAutospacing="0" w:after="0"/>
              <w:ind w:firstLine="709"/>
              <w:rPr>
                <w:color w:val="000000"/>
                <w:lang w:eastAsia="tr-TR"/>
              </w:rPr>
            </w:pPr>
            <w:r w:rsidRPr="00A23740">
              <w:rPr>
                <w:bCs/>
                <w:lang w:eastAsia="tr-TR"/>
              </w:rPr>
              <w:t xml:space="preserve">Diğer taraftan, iflas dairelerinin kuruluşu, </w:t>
            </w:r>
            <w:r w:rsidR="00755153" w:rsidRPr="00A23740">
              <w:rPr>
                <w:bCs/>
                <w:lang w:eastAsia="tr-TR"/>
              </w:rPr>
              <w:t>yapılandırılması</w:t>
            </w:r>
            <w:r w:rsidRPr="00A23740">
              <w:rPr>
                <w:bCs/>
                <w:lang w:eastAsia="tr-TR"/>
              </w:rPr>
              <w:t xml:space="preserve">, iş bölümü, bu dairelerde çalışacak icra görevlileri gibi hususlar, İcra </w:t>
            </w:r>
            <w:r w:rsidRPr="00A23740">
              <w:rPr>
                <w:lang w:val="tr-TR"/>
              </w:rPr>
              <w:t>Mahkemeleri</w:t>
            </w:r>
            <w:r w:rsidRPr="00A23740">
              <w:rPr>
                <w:b/>
                <w:lang w:val="tr-TR"/>
              </w:rPr>
              <w:t xml:space="preserve"> </w:t>
            </w:r>
            <w:r w:rsidRPr="00A23740">
              <w:rPr>
                <w:bCs/>
                <w:lang w:eastAsia="tr-TR"/>
              </w:rPr>
              <w:t>ve İflas Mahkemeleri ile İcra Teşkilatı Hakkında Kanun Taslağında ayrıntılı olarak düzenlendiğinden 2004 sayılı Kanunun 2 nci maddesinin ikinci fıkrası ile 3 üncü maddesinin birinci fıkrasına Taslakta yer verilmemektedir</w:t>
            </w:r>
            <w:r w:rsidR="00755153" w:rsidRPr="00A23740">
              <w:rPr>
                <w:bCs/>
                <w:lang w:eastAsia="tr-TR"/>
              </w:rPr>
              <w:t>.</w:t>
            </w:r>
          </w:p>
          <w:p w:rsidR="00083972" w:rsidRPr="00A23740" w:rsidRDefault="00083972" w:rsidP="009431FF">
            <w:pPr>
              <w:pStyle w:val="Mavi"/>
              <w:ind w:firstLine="709"/>
              <w:rPr>
                <w:color w:val="auto"/>
                <w:lang w:val="tr-TR"/>
              </w:rPr>
            </w:pPr>
          </w:p>
        </w:tc>
      </w:tr>
      <w:tr w:rsidR="001E132C" w:rsidRPr="00A23740" w:rsidTr="009431FF">
        <w:tc>
          <w:tcPr>
            <w:tcW w:w="2500" w:type="pct"/>
            <w:shd w:val="clear" w:color="auto" w:fill="auto"/>
          </w:tcPr>
          <w:p w:rsidR="001E132C" w:rsidRPr="00A23740" w:rsidRDefault="001E132C" w:rsidP="009431FF">
            <w:pPr>
              <w:pStyle w:val="KIRMIZI"/>
            </w:pPr>
            <w:r w:rsidRPr="00A23740">
              <w:t>İcra iflas dairelerinin birleştirilmesi</w:t>
            </w:r>
            <w:r w:rsidRPr="00A23740">
              <w:rPr>
                <w:rFonts w:eastAsia="Calibri"/>
              </w:rPr>
              <w:t>:</w:t>
            </w:r>
          </w:p>
          <w:p w:rsidR="001E132C" w:rsidRPr="00A23740" w:rsidRDefault="001E132C" w:rsidP="009431FF">
            <w:pPr>
              <w:pStyle w:val="KIRMIZI"/>
            </w:pPr>
            <w:r w:rsidRPr="00A23740">
              <w:rPr>
                <w:rFonts w:eastAsia="Calibri"/>
              </w:rPr>
              <w:t>Madde 3 –</w:t>
            </w:r>
            <w:r w:rsidRPr="00A23740">
              <w:t> (1) İcra ve iflas işleri bir dairede birleştirilebilir.</w:t>
            </w:r>
          </w:p>
          <w:p w:rsidR="001E132C" w:rsidRPr="00A23740" w:rsidRDefault="001E132C" w:rsidP="009431FF">
            <w:pPr>
              <w:pStyle w:val="KIRMIZI"/>
            </w:pPr>
          </w:p>
        </w:tc>
        <w:tc>
          <w:tcPr>
            <w:tcW w:w="2500" w:type="pct"/>
            <w:shd w:val="clear" w:color="auto" w:fill="auto"/>
          </w:tcPr>
          <w:p w:rsidR="00F92A99" w:rsidRPr="00A23740" w:rsidRDefault="000E1138" w:rsidP="009431FF">
            <w:pPr>
              <w:pStyle w:val="Mavi"/>
            </w:pPr>
            <w:r w:rsidRPr="00A23740">
              <w:rPr>
                <w:lang w:val="tr-TR"/>
              </w:rPr>
              <w:t>İflas</w:t>
            </w:r>
            <w:r w:rsidR="00F92A99" w:rsidRPr="00A23740">
              <w:t xml:space="preserve"> </w:t>
            </w:r>
            <w:r w:rsidRPr="00A23740">
              <w:t>dairesi kurulma</w:t>
            </w:r>
            <w:r w:rsidRPr="00A23740">
              <w:rPr>
                <w:lang w:val="tr-TR"/>
              </w:rPr>
              <w:t>yan</w:t>
            </w:r>
            <w:r w:rsidRPr="00A23740">
              <w:t xml:space="preserve"> yerlerde yetki</w:t>
            </w:r>
          </w:p>
          <w:p w:rsidR="005979D6" w:rsidRPr="00A23740" w:rsidRDefault="00F92A99" w:rsidP="009431FF">
            <w:pPr>
              <w:pStyle w:val="KIRMIZI"/>
              <w:rPr>
                <w:rStyle w:val="Balk1Char"/>
                <w:b/>
                <w:bCs/>
                <w:strike w:val="0"/>
                <w:kern w:val="0"/>
                <w:szCs w:val="24"/>
                <w:lang w:eastAsia="x-none"/>
              </w:rPr>
            </w:pPr>
            <w:r w:rsidRPr="00A23740">
              <w:rPr>
                <w:rStyle w:val="MAVChar"/>
                <w:rFonts w:eastAsia="Calibri"/>
                <w:b/>
                <w:strike w:val="0"/>
                <w:u w:val="none"/>
              </w:rPr>
              <w:t xml:space="preserve">MADDE </w:t>
            </w:r>
            <w:r w:rsidR="00906A9D" w:rsidRPr="00A23740">
              <w:rPr>
                <w:rStyle w:val="MAVChar"/>
                <w:rFonts w:eastAsia="Calibri"/>
                <w:b/>
                <w:strike w:val="0"/>
                <w:u w:val="none"/>
                <w:lang w:val="tr-TR"/>
              </w:rPr>
              <w:t>5</w:t>
            </w:r>
            <w:r w:rsidRPr="00A23740">
              <w:rPr>
                <w:rStyle w:val="KIRMIZIChar"/>
                <w:rFonts w:eastAsia="Calibri"/>
                <w:b/>
                <w:bCs/>
                <w:color w:val="000000"/>
              </w:rPr>
              <w:t xml:space="preserve">- </w:t>
            </w:r>
            <w:r w:rsidRPr="00A23740">
              <w:rPr>
                <w:rStyle w:val="Balk1Char"/>
                <w:b/>
                <w:strike w:val="0"/>
              </w:rPr>
              <w:t>(1)</w:t>
            </w:r>
            <w:r w:rsidR="00E634E8" w:rsidRPr="00A23740">
              <w:rPr>
                <w:rStyle w:val="Balk1Char"/>
                <w:b/>
                <w:strike w:val="0"/>
                <w:lang w:val="tr-TR"/>
              </w:rPr>
              <w:t xml:space="preserve"> </w:t>
            </w:r>
            <w:r w:rsidR="00E634E8" w:rsidRPr="00A23740">
              <w:rPr>
                <w:rStyle w:val="MaviChar"/>
                <w:b/>
                <w:strike w:val="0"/>
              </w:rPr>
              <w:t>İflas dairesi kurulmayan ve kurulu bir iflas dairesinin yetki çevresinde olmayan yerlerde, iflas dairesinin iş ve işlemleri o yerdeki icra dairesi tarafından yerine getirilir.</w:t>
            </w:r>
            <w:r w:rsidR="00805843" w:rsidRPr="00A23740">
              <w:rPr>
                <w:rStyle w:val="MaviChar"/>
                <w:b/>
                <w:strike w:val="0"/>
              </w:rPr>
              <w:t xml:space="preserve"> Bu takdirde o yerdeki icra dairesi, icra ve iflas dairesi olarak görev yapar.</w:t>
            </w:r>
          </w:p>
          <w:p w:rsidR="000E1138" w:rsidRPr="00A23740" w:rsidRDefault="000E1138" w:rsidP="009431FF">
            <w:pPr>
              <w:rPr>
                <w:rFonts w:eastAsia="Times New Roman"/>
                <w:b/>
                <w:bCs/>
                <w:color w:val="FF0000"/>
                <w:szCs w:val="24"/>
                <w:lang w:eastAsia="tr-TR"/>
              </w:rPr>
            </w:pPr>
          </w:p>
        </w:tc>
      </w:tr>
      <w:tr w:rsidR="00906A9D" w:rsidRPr="00A23740" w:rsidTr="009431FF">
        <w:tc>
          <w:tcPr>
            <w:tcW w:w="5000" w:type="pct"/>
            <w:gridSpan w:val="2"/>
            <w:shd w:val="clear" w:color="auto" w:fill="DEEAF6"/>
          </w:tcPr>
          <w:p w:rsidR="00906A9D" w:rsidRPr="00A23740" w:rsidRDefault="00906A9D" w:rsidP="009431FF">
            <w:pPr>
              <w:pStyle w:val="NormalWeb"/>
              <w:spacing w:before="0" w:beforeAutospacing="0" w:after="0"/>
              <w:ind w:firstLine="709"/>
              <w:rPr>
                <w:b/>
                <w:lang w:val="tr-TR"/>
              </w:rPr>
            </w:pPr>
          </w:p>
          <w:p w:rsidR="00755153" w:rsidRPr="00A23740" w:rsidRDefault="00906A9D" w:rsidP="009431FF">
            <w:pPr>
              <w:pStyle w:val="NormalWeb"/>
              <w:spacing w:before="0" w:beforeAutospacing="0" w:after="0"/>
              <w:ind w:firstLine="709"/>
              <w:rPr>
                <w:lang w:val="tr-TR" w:eastAsia="tr-TR"/>
              </w:rPr>
            </w:pPr>
            <w:r w:rsidRPr="00A23740">
              <w:rPr>
                <w:b/>
                <w:lang w:val="tr-TR"/>
              </w:rPr>
              <w:t>MADDE 5-</w:t>
            </w:r>
            <w:r w:rsidRPr="00A23740">
              <w:rPr>
                <w:lang w:val="tr-TR"/>
              </w:rPr>
              <w:t xml:space="preserve"> </w:t>
            </w:r>
            <w:r w:rsidRPr="00A23740">
              <w:rPr>
                <w:lang w:val="tr-TR" w:eastAsia="tr-TR"/>
              </w:rPr>
              <w:t xml:space="preserve">Maddeyle, </w:t>
            </w:r>
            <w:r w:rsidR="00755153" w:rsidRPr="00A23740">
              <w:rPr>
                <w:lang w:val="tr-TR" w:eastAsia="tr-TR"/>
              </w:rPr>
              <w:t xml:space="preserve">iflas dairesi kurulmayan yerlerde iflas dairesinin iş ve işlemlerinin </w:t>
            </w:r>
            <w:r w:rsidR="00DD0B01" w:rsidRPr="00A23740">
              <w:rPr>
                <w:lang w:val="tr-TR" w:eastAsia="tr-TR"/>
              </w:rPr>
              <w:t xml:space="preserve">o yerdeki icra dairesi tarafından </w:t>
            </w:r>
            <w:r w:rsidR="00755153" w:rsidRPr="00A23740">
              <w:rPr>
                <w:lang w:val="tr-TR" w:eastAsia="tr-TR"/>
              </w:rPr>
              <w:t>yürütüle</w:t>
            </w:r>
            <w:r w:rsidR="00DD0B01" w:rsidRPr="00A23740">
              <w:rPr>
                <w:lang w:val="tr-TR" w:eastAsia="tr-TR"/>
              </w:rPr>
              <w:t>bile</w:t>
            </w:r>
            <w:r w:rsidR="00755153" w:rsidRPr="00A23740">
              <w:rPr>
                <w:lang w:val="tr-TR" w:eastAsia="tr-TR"/>
              </w:rPr>
              <w:t>ceği düzenlenmektedir.</w:t>
            </w:r>
          </w:p>
          <w:p w:rsidR="00906A9D" w:rsidRDefault="002571A4" w:rsidP="009431FF">
            <w:pPr>
              <w:pStyle w:val="NormalWeb"/>
              <w:spacing w:before="0" w:beforeAutospacing="0" w:after="0"/>
              <w:ind w:firstLine="709"/>
              <w:rPr>
                <w:rStyle w:val="MaviChar"/>
                <w:b w:val="0"/>
                <w:color w:val="auto"/>
                <w:lang w:val="tr-TR"/>
              </w:rPr>
            </w:pPr>
            <w:r w:rsidRPr="00A23740">
              <w:rPr>
                <w:bCs/>
                <w:lang w:val="tr-TR"/>
              </w:rPr>
              <w:t xml:space="preserve">Maddede, </w:t>
            </w:r>
            <w:r w:rsidRPr="00A23740">
              <w:rPr>
                <w:rStyle w:val="MaviChar"/>
                <w:b w:val="0"/>
                <w:bCs w:val="0"/>
                <w:color w:val="auto"/>
                <w:lang w:val="tr-TR"/>
              </w:rPr>
              <w:t>b</w:t>
            </w:r>
            <w:r w:rsidR="00CC3464" w:rsidRPr="00A23740">
              <w:rPr>
                <w:rStyle w:val="MaviChar"/>
                <w:b w:val="0"/>
                <w:bCs w:val="0"/>
                <w:color w:val="auto"/>
                <w:lang w:val="tr-TR"/>
              </w:rPr>
              <w:t>u takdirde</w:t>
            </w:r>
            <w:r w:rsidR="00CC3464" w:rsidRPr="00A23740">
              <w:rPr>
                <w:b/>
                <w:bCs/>
                <w:lang w:val="tr-TR"/>
              </w:rPr>
              <w:t xml:space="preserve"> </w:t>
            </w:r>
            <w:r w:rsidR="00CC3464" w:rsidRPr="00A23740">
              <w:rPr>
                <w:rStyle w:val="MaviChar"/>
                <w:b w:val="0"/>
                <w:color w:val="auto"/>
              </w:rPr>
              <w:t>o yerdeki icra dairesi</w:t>
            </w:r>
            <w:r w:rsidRPr="00A23740">
              <w:rPr>
                <w:rStyle w:val="MaviChar"/>
                <w:b w:val="0"/>
                <w:color w:val="auto"/>
                <w:lang w:val="tr-TR"/>
              </w:rPr>
              <w:t>nin</w:t>
            </w:r>
            <w:r w:rsidR="00CC3464" w:rsidRPr="00A23740">
              <w:rPr>
                <w:rStyle w:val="MaviChar"/>
                <w:b w:val="0"/>
                <w:color w:val="auto"/>
              </w:rPr>
              <w:t xml:space="preserve">, icra ve iflas dairesi olarak </w:t>
            </w:r>
            <w:r w:rsidRPr="00A23740">
              <w:rPr>
                <w:rStyle w:val="MaviChar"/>
                <w:b w:val="0"/>
                <w:color w:val="auto"/>
                <w:lang w:val="tr-TR"/>
              </w:rPr>
              <w:t xml:space="preserve">ve bu ad altında </w:t>
            </w:r>
            <w:r w:rsidR="00CC3464" w:rsidRPr="00A23740">
              <w:rPr>
                <w:rStyle w:val="MaviChar"/>
                <w:b w:val="0"/>
                <w:color w:val="auto"/>
              </w:rPr>
              <w:t>görev yapa</w:t>
            </w:r>
            <w:r w:rsidRPr="00A23740">
              <w:rPr>
                <w:rStyle w:val="MaviChar"/>
                <w:b w:val="0"/>
                <w:color w:val="auto"/>
                <w:lang w:val="tr-TR"/>
              </w:rPr>
              <w:t>cağı hususu açıklığa kavuşturulmaktadır.</w:t>
            </w:r>
          </w:p>
          <w:p w:rsidR="00A44DE5" w:rsidRPr="00A23740" w:rsidRDefault="00A44DE5" w:rsidP="009431FF">
            <w:pPr>
              <w:pStyle w:val="NormalWeb"/>
              <w:spacing w:before="0" w:beforeAutospacing="0" w:after="0"/>
              <w:ind w:firstLine="709"/>
              <w:rPr>
                <w:lang w:val="tr-TR"/>
              </w:rPr>
            </w:pPr>
          </w:p>
        </w:tc>
      </w:tr>
      <w:tr w:rsidR="001E132C" w:rsidRPr="00A23740" w:rsidTr="009431FF">
        <w:tc>
          <w:tcPr>
            <w:tcW w:w="2500" w:type="pct"/>
            <w:shd w:val="clear" w:color="auto" w:fill="auto"/>
          </w:tcPr>
          <w:p w:rsidR="006B1006" w:rsidRPr="00A23740" w:rsidRDefault="006B1006" w:rsidP="009431FF">
            <w:pPr>
              <w:pStyle w:val="KIRMIZI"/>
            </w:pPr>
            <w:r w:rsidRPr="00A23740">
              <w:t>İcra daireleri</w:t>
            </w:r>
            <w:r w:rsidRPr="00A23740">
              <w:rPr>
                <w:rStyle w:val="KIRMIZIChar"/>
                <w:rFonts w:eastAsia="Calibri"/>
              </w:rPr>
              <w:t>:</w:t>
            </w:r>
          </w:p>
          <w:p w:rsidR="006B1006" w:rsidRPr="00A23740" w:rsidRDefault="006B1006" w:rsidP="009431FF">
            <w:pPr>
              <w:rPr>
                <w:rFonts w:eastAsia="Times New Roman"/>
                <w:color w:val="000000"/>
                <w:szCs w:val="24"/>
                <w:lang w:eastAsia="tr-TR"/>
              </w:rPr>
            </w:pPr>
            <w:r w:rsidRPr="00A23740">
              <w:rPr>
                <w:rStyle w:val="KIRMIZIChar"/>
                <w:rFonts w:eastAsia="Calibri"/>
                <w:lang w:eastAsia="tr-TR"/>
              </w:rPr>
              <w:lastRenderedPageBreak/>
              <w:t>Madde 1 – (Değişik: 2/7/2012-6352/1 md.)</w:t>
            </w:r>
          </w:p>
          <w:p w:rsidR="006B1006" w:rsidRPr="00A23740" w:rsidRDefault="006B1006" w:rsidP="009431FF">
            <w:pPr>
              <w:pStyle w:val="KIRMIZI"/>
              <w:rPr>
                <w:lang w:val="tr-TR"/>
              </w:rPr>
            </w:pPr>
            <w:r w:rsidRPr="00A23740">
              <w:rPr>
                <w:lang w:val="tr-TR"/>
              </w:rPr>
              <w:t>…</w:t>
            </w:r>
          </w:p>
          <w:p w:rsidR="00FE4EDC" w:rsidRPr="00A23740" w:rsidRDefault="00FE4EDC" w:rsidP="009431FF">
            <w:pPr>
              <w:rPr>
                <w:rFonts w:eastAsia="Times New Roman"/>
                <w:color w:val="000000"/>
                <w:szCs w:val="24"/>
                <w:lang w:eastAsia="tr-TR"/>
              </w:rPr>
            </w:pPr>
          </w:p>
          <w:p w:rsidR="006B1006" w:rsidRPr="00A23740" w:rsidRDefault="006B1006" w:rsidP="009431FF">
            <w:pPr>
              <w:pStyle w:val="KIRMIZI"/>
              <w:rPr>
                <w:b w:val="0"/>
                <w:bCs w:val="0"/>
                <w:strike w:val="0"/>
                <w:color w:val="000000"/>
                <w:lang w:val="tr-TR" w:eastAsia="tr-TR"/>
              </w:rPr>
            </w:pPr>
            <w:r w:rsidRPr="00A23740">
              <w:rPr>
                <w:b w:val="0"/>
                <w:bCs w:val="0"/>
                <w:strike w:val="0"/>
                <w:color w:val="000000"/>
                <w:lang w:val="tr-TR" w:eastAsia="tr-TR"/>
              </w:rPr>
              <w:t xml:space="preserve">(2) </w:t>
            </w:r>
            <w:r w:rsidRPr="00A23740">
              <w:t>Her</w:t>
            </w:r>
            <w:r w:rsidRPr="00A23740">
              <w:rPr>
                <w:b w:val="0"/>
                <w:bCs w:val="0"/>
                <w:strike w:val="0"/>
                <w:color w:val="000000"/>
                <w:lang w:val="tr-TR" w:eastAsia="tr-TR"/>
              </w:rPr>
              <w:t xml:space="preserve"> icra daire</w:t>
            </w:r>
            <w:r w:rsidRPr="00A23740">
              <w:t>sinde</w:t>
            </w:r>
            <w:r w:rsidRPr="00A23740">
              <w:rPr>
                <w:strike w:val="0"/>
              </w:rPr>
              <w:t xml:space="preserve"> </w:t>
            </w:r>
            <w:r w:rsidRPr="00A23740">
              <w:rPr>
                <w:b w:val="0"/>
                <w:bCs w:val="0"/>
                <w:strike w:val="0"/>
                <w:color w:val="000000"/>
                <w:lang w:val="tr-TR" w:eastAsia="tr-TR"/>
              </w:rPr>
              <w:t xml:space="preserve">Adalet Bakanlığı tarafından atanacak </w:t>
            </w:r>
            <w:r w:rsidRPr="00A23740">
              <w:t>bir</w:t>
            </w:r>
            <w:r w:rsidRPr="00A23740">
              <w:rPr>
                <w:b w:val="0"/>
                <w:bCs w:val="0"/>
                <w:strike w:val="0"/>
                <w:color w:val="000000"/>
                <w:lang w:val="tr-TR" w:eastAsia="tr-TR"/>
              </w:rPr>
              <w:t xml:space="preserve"> icra müdürü,</w:t>
            </w:r>
            <w:r w:rsidRPr="00A23740">
              <w:rPr>
                <w:strike w:val="0"/>
                <w:lang w:val="tr-TR"/>
              </w:rPr>
              <w:t xml:space="preserve"> </w:t>
            </w:r>
            <w:r w:rsidRPr="00A23740">
              <w:t>yeteri kadar</w:t>
            </w:r>
            <w:r w:rsidRPr="00A23740">
              <w:rPr>
                <w:b w:val="0"/>
                <w:bCs w:val="0"/>
                <w:strike w:val="0"/>
                <w:color w:val="000000"/>
                <w:lang w:val="tr-TR" w:eastAsia="tr-TR"/>
              </w:rPr>
              <w:t xml:space="preserve"> icra müdür yardımcısı, icra katibi ile adli yargı ilk derece mahkemesi adalet komisyonları tarafından görevlendirilecek mübaşir ve hizmetli bulunur.</w:t>
            </w:r>
          </w:p>
          <w:p w:rsidR="00FE4EDC" w:rsidRPr="00A23740" w:rsidRDefault="00FE4EDC" w:rsidP="009431FF">
            <w:pPr>
              <w:pStyle w:val="KIRMIZI"/>
              <w:rPr>
                <w:lang w:val="tr-TR"/>
              </w:rPr>
            </w:pPr>
          </w:p>
          <w:p w:rsidR="006B1006" w:rsidRPr="00A23740" w:rsidRDefault="006B1006" w:rsidP="009431FF">
            <w:pPr>
              <w:pStyle w:val="KIRMIZI"/>
              <w:rPr>
                <w:color w:val="000000"/>
                <w:lang w:eastAsia="tr-TR"/>
              </w:rPr>
            </w:pPr>
            <w:r w:rsidRPr="00A23740">
              <w:t>(3) (Ek üçüncü fıkra:24/</w:t>
            </w:r>
            <w:r w:rsidRPr="00A23740">
              <w:rPr>
                <w:lang w:val="tr-TR" w:eastAsia="tr-TR"/>
              </w:rPr>
              <w:t>11/2021-7343/1 md.) </w:t>
            </w:r>
            <w:r w:rsidRPr="00A23740">
              <w:rPr>
                <w:b w:val="0"/>
                <w:bCs w:val="0"/>
                <w:strike w:val="0"/>
                <w:color w:val="000000"/>
                <w:lang w:val="tr-TR" w:eastAsia="tr-TR"/>
              </w:rPr>
              <w:t xml:space="preserve">İş yoğunluğunun veya personel sayısının fazla olduğu icra dairelerinde dairenin düzenli, uyumlu ve verimli bir şekilde çalışmasını sağlamak amacıyla Adalet Bakanlığı tarafından icra müdür </w:t>
            </w:r>
            <w:r w:rsidRPr="00A23740">
              <w:rPr>
                <w:lang w:val="tr-TR" w:eastAsia="tr-TR"/>
              </w:rPr>
              <w:t>ve müdür yardımcıları</w:t>
            </w:r>
            <w:r w:rsidRPr="00A23740">
              <w:rPr>
                <w:b w:val="0"/>
                <w:bCs w:val="0"/>
                <w:strike w:val="0"/>
                <w:color w:val="000000"/>
                <w:lang w:val="tr-TR" w:eastAsia="tr-TR"/>
              </w:rPr>
              <w:t xml:space="preserve"> arasından, icra müdürünün yetkilerini haiz bir icra başmüdürü görevlendirilebilir.</w:t>
            </w:r>
            <w:r w:rsidRPr="00A23740">
              <w:t xml:space="preserve"> </w:t>
            </w:r>
            <w:r w:rsidRPr="00A23740">
              <w:rPr>
                <w:lang w:val="tr-TR" w:eastAsia="tr-TR"/>
              </w:rPr>
              <w:t>Bu fıkranın uygulanmasına ilişkin usul ve esaslar, yönetmelikle düzenlenir.</w:t>
            </w:r>
          </w:p>
          <w:p w:rsidR="006B1006" w:rsidRPr="00A23740" w:rsidRDefault="006B1006" w:rsidP="009431FF">
            <w:pPr>
              <w:pStyle w:val="KIRMIZI"/>
              <w:rPr>
                <w:lang w:val="tr-TR"/>
              </w:rPr>
            </w:pPr>
          </w:p>
          <w:p w:rsidR="001E132C" w:rsidRPr="00A23740" w:rsidRDefault="001E132C" w:rsidP="009431FF">
            <w:pPr>
              <w:pStyle w:val="KIRMIZI"/>
              <w:rPr>
                <w:b w:val="0"/>
              </w:rPr>
            </w:pPr>
          </w:p>
        </w:tc>
        <w:tc>
          <w:tcPr>
            <w:tcW w:w="2500" w:type="pct"/>
            <w:shd w:val="clear" w:color="auto" w:fill="auto"/>
          </w:tcPr>
          <w:p w:rsidR="001E132C" w:rsidRPr="00A23740" w:rsidRDefault="007B26B2" w:rsidP="009431FF">
            <w:pPr>
              <w:pStyle w:val="Mavi"/>
            </w:pPr>
            <w:r w:rsidRPr="00A23740">
              <w:rPr>
                <w:rStyle w:val="YELChar"/>
                <w:rFonts w:eastAsia="Calibri"/>
                <w:b/>
                <w:color w:val="0000FF"/>
                <w:lang w:eastAsia="x-none"/>
              </w:rPr>
              <w:lastRenderedPageBreak/>
              <w:t>Cebrî i</w:t>
            </w:r>
            <w:r w:rsidR="00973D22" w:rsidRPr="00A23740">
              <w:rPr>
                <w:rStyle w:val="YELChar"/>
                <w:rFonts w:eastAsia="Calibri"/>
                <w:b/>
                <w:color w:val="0000FF"/>
                <w:lang w:eastAsia="x-none"/>
              </w:rPr>
              <w:t>cra teşkilatına ilişkin</w:t>
            </w:r>
            <w:r w:rsidR="00973D22" w:rsidRPr="00A23740">
              <w:t xml:space="preserve"> d</w:t>
            </w:r>
            <w:r w:rsidR="007C6324" w:rsidRPr="00A23740">
              <w:t xml:space="preserve">iğer </w:t>
            </w:r>
            <w:r w:rsidR="001E132C" w:rsidRPr="00A23740">
              <w:t>hususlar</w:t>
            </w:r>
          </w:p>
          <w:p w:rsidR="006B1006" w:rsidRPr="00A23740" w:rsidRDefault="00F92A99" w:rsidP="009431FF">
            <w:pPr>
              <w:pStyle w:val="Mavi"/>
              <w:rPr>
                <w:lang w:val="tr-TR"/>
              </w:rPr>
            </w:pPr>
            <w:r w:rsidRPr="00A23740">
              <w:rPr>
                <w:lang w:val="tr-TR"/>
              </w:rPr>
              <w:lastRenderedPageBreak/>
              <w:t>MADDE 6</w:t>
            </w:r>
            <w:r w:rsidR="008B5B86" w:rsidRPr="00A23740">
              <w:rPr>
                <w:lang w:val="tr-TR"/>
              </w:rPr>
              <w:t>-</w:t>
            </w:r>
          </w:p>
          <w:p w:rsidR="006B1006" w:rsidRPr="00A23740" w:rsidRDefault="006B1006" w:rsidP="009431FF">
            <w:pPr>
              <w:rPr>
                <w:rStyle w:val="MAVChar"/>
                <w:rFonts w:eastAsia="Calibri"/>
                <w:u w:val="none"/>
              </w:rPr>
            </w:pPr>
          </w:p>
          <w:p w:rsidR="00932BCF" w:rsidRDefault="00932BCF" w:rsidP="009431FF">
            <w:pPr>
              <w:pStyle w:val="Mavi"/>
              <w:rPr>
                <w:rStyle w:val="YELChar"/>
                <w:rFonts w:eastAsia="Calibri"/>
                <w:b/>
                <w:color w:val="0000FF"/>
                <w:lang w:eastAsia="x-none"/>
              </w:rPr>
            </w:pPr>
          </w:p>
          <w:p w:rsidR="007B26B2" w:rsidRPr="00A23740" w:rsidRDefault="007B26B2" w:rsidP="009431FF">
            <w:pPr>
              <w:pStyle w:val="Mavi"/>
              <w:rPr>
                <w:rStyle w:val="YELChar"/>
                <w:rFonts w:eastAsia="Calibri"/>
                <w:b/>
                <w:color w:val="0000FF"/>
                <w:lang w:eastAsia="x-none"/>
              </w:rPr>
            </w:pPr>
            <w:r w:rsidRPr="00A23740">
              <w:rPr>
                <w:rStyle w:val="YELChar"/>
                <w:rFonts w:eastAsia="Calibri"/>
                <w:b/>
                <w:color w:val="0000FF"/>
                <w:lang w:eastAsia="x-none"/>
              </w:rPr>
              <w:t>(1) İcra ve iflas dairelerinde, Adalet Bakanlığı tarafından atanacak bir  müdür, yeteri kadar müdür yardımcısı ve icra kâtibi ile adli yargı ilk derece mahkemesi adalet komisyonları tarafından görevlendirilecek mübaşir ve hizmetli bulunur.</w:t>
            </w:r>
          </w:p>
          <w:p w:rsidR="008E0F24" w:rsidRPr="00A23740" w:rsidRDefault="008E0F24" w:rsidP="009431FF">
            <w:pPr>
              <w:pStyle w:val="KIRMIZI"/>
              <w:rPr>
                <w:b w:val="0"/>
                <w:strike w:val="0"/>
                <w:color w:val="000000"/>
                <w:lang w:val="tr-TR" w:eastAsia="tr-TR"/>
              </w:rPr>
            </w:pPr>
          </w:p>
          <w:p w:rsidR="008E0F24" w:rsidRPr="00A23740" w:rsidRDefault="008E0F24" w:rsidP="009431FF">
            <w:pPr>
              <w:pStyle w:val="Mavi"/>
              <w:rPr>
                <w:strike/>
              </w:rPr>
            </w:pPr>
            <w:r w:rsidRPr="00A23740">
              <w:t xml:space="preserve">(2) </w:t>
            </w:r>
            <w:r w:rsidRPr="00A23740">
              <w:rPr>
                <w:rFonts w:eastAsia="Times New Roman"/>
                <w:b w:val="0"/>
                <w:color w:val="000000"/>
                <w:lang w:val="tr-TR" w:eastAsia="tr-TR"/>
              </w:rPr>
              <w:t xml:space="preserve">İş yoğunluğunun veya personel sayısının fazla olduğu icra </w:t>
            </w:r>
            <w:r w:rsidR="007B26B2" w:rsidRPr="00A23740">
              <w:rPr>
                <w:rStyle w:val="YELChar"/>
                <w:rFonts w:eastAsia="Calibri"/>
                <w:b/>
                <w:color w:val="0000FF"/>
                <w:lang w:eastAsia="x-none"/>
              </w:rPr>
              <w:t>ve</w:t>
            </w:r>
            <w:r w:rsidR="007B26B2" w:rsidRPr="00A23740">
              <w:rPr>
                <w:rFonts w:eastAsia="Times New Roman"/>
                <w:bCs w:val="0"/>
                <w:color w:val="70AD47"/>
                <w:lang w:val="tr-TR" w:eastAsia="tr-TR"/>
              </w:rPr>
              <w:t xml:space="preserve"> </w:t>
            </w:r>
            <w:r w:rsidR="007B26B2" w:rsidRPr="00A23740">
              <w:rPr>
                <w:rStyle w:val="YELChar"/>
                <w:rFonts w:eastAsia="Calibri"/>
                <w:b/>
                <w:color w:val="0000FF"/>
                <w:lang w:eastAsia="x-none"/>
              </w:rPr>
              <w:t>iflas</w:t>
            </w:r>
            <w:r w:rsidR="007B26B2" w:rsidRPr="00A23740">
              <w:rPr>
                <w:rFonts w:eastAsia="Times New Roman"/>
                <w:b w:val="0"/>
                <w:color w:val="70AD47"/>
                <w:lang w:val="tr-TR" w:eastAsia="tr-TR"/>
              </w:rPr>
              <w:t xml:space="preserve"> </w:t>
            </w:r>
            <w:r w:rsidRPr="00A23740">
              <w:rPr>
                <w:rFonts w:eastAsia="Times New Roman"/>
                <w:b w:val="0"/>
                <w:color w:val="000000"/>
                <w:lang w:val="tr-TR" w:eastAsia="tr-TR"/>
              </w:rPr>
              <w:t xml:space="preserve">dairelerinde dairenin düzenli, uyumlu ve verimli bir şekilde çalışmasını sağlamak amacıyla Adalet Bakanlığı tarafından icra </w:t>
            </w:r>
            <w:r w:rsidR="007B26B2" w:rsidRPr="00A23740">
              <w:rPr>
                <w:rStyle w:val="YELChar"/>
                <w:rFonts w:eastAsia="Calibri"/>
                <w:b/>
                <w:color w:val="0000FF"/>
                <w:lang w:eastAsia="x-none"/>
              </w:rPr>
              <w:t>ve</w:t>
            </w:r>
            <w:r w:rsidR="007B26B2" w:rsidRPr="00A23740">
              <w:rPr>
                <w:rStyle w:val="YELChar"/>
                <w:rFonts w:eastAsia="Calibri"/>
                <w:color w:val="0000FF"/>
                <w:lang w:eastAsia="x-none"/>
              </w:rPr>
              <w:t xml:space="preserve"> </w:t>
            </w:r>
            <w:r w:rsidR="007B26B2" w:rsidRPr="00A23740">
              <w:rPr>
                <w:rStyle w:val="YELChar"/>
                <w:rFonts w:eastAsia="Calibri"/>
                <w:b/>
                <w:color w:val="0000FF"/>
                <w:lang w:eastAsia="x-none"/>
              </w:rPr>
              <w:t>iflas</w:t>
            </w:r>
            <w:r w:rsidR="007B26B2" w:rsidRPr="00A23740">
              <w:rPr>
                <w:rFonts w:eastAsia="Times New Roman"/>
                <w:b w:val="0"/>
                <w:color w:val="000000"/>
                <w:lang w:val="tr-TR" w:eastAsia="tr-TR"/>
              </w:rPr>
              <w:t xml:space="preserve"> </w:t>
            </w:r>
            <w:r w:rsidRPr="00A23740">
              <w:rPr>
                <w:rFonts w:eastAsia="Times New Roman"/>
                <w:b w:val="0"/>
                <w:color w:val="000000"/>
                <w:lang w:val="tr-TR" w:eastAsia="tr-TR"/>
              </w:rPr>
              <w:t>müdür</w:t>
            </w:r>
            <w:r w:rsidRPr="00A23740">
              <w:t xml:space="preserve">leri </w:t>
            </w:r>
            <w:r w:rsidRPr="00A23740">
              <w:rPr>
                <w:rFonts w:eastAsia="Times New Roman"/>
                <w:b w:val="0"/>
                <w:color w:val="000000"/>
                <w:lang w:val="tr-TR" w:eastAsia="tr-TR"/>
              </w:rPr>
              <w:t xml:space="preserve">arasından, icra </w:t>
            </w:r>
            <w:r w:rsidR="007B26B2" w:rsidRPr="00A23740">
              <w:rPr>
                <w:rStyle w:val="YELChar"/>
                <w:rFonts w:eastAsia="Calibri"/>
                <w:b/>
                <w:color w:val="0000FF"/>
                <w:lang w:eastAsia="x-none"/>
              </w:rPr>
              <w:t>ve iflas</w:t>
            </w:r>
            <w:r w:rsidR="007B26B2" w:rsidRPr="00A23740">
              <w:rPr>
                <w:rFonts w:eastAsia="Times New Roman"/>
                <w:b w:val="0"/>
                <w:color w:val="000000"/>
                <w:lang w:val="tr-TR" w:eastAsia="tr-TR"/>
              </w:rPr>
              <w:t xml:space="preserve"> </w:t>
            </w:r>
            <w:r w:rsidRPr="00A23740">
              <w:rPr>
                <w:rFonts w:eastAsia="Times New Roman"/>
                <w:b w:val="0"/>
                <w:color w:val="000000"/>
                <w:lang w:val="tr-TR" w:eastAsia="tr-TR"/>
              </w:rPr>
              <w:t xml:space="preserve">müdürünün yetkilerini haiz bir icra </w:t>
            </w:r>
            <w:r w:rsidR="007B26B2" w:rsidRPr="00A23740">
              <w:rPr>
                <w:rStyle w:val="YELChar"/>
                <w:rFonts w:eastAsia="Calibri"/>
                <w:b/>
                <w:color w:val="0000FF"/>
                <w:lang w:eastAsia="x-none"/>
              </w:rPr>
              <w:t>ve iflas</w:t>
            </w:r>
            <w:r w:rsidR="007B26B2" w:rsidRPr="00A23740">
              <w:rPr>
                <w:rFonts w:eastAsia="Times New Roman"/>
                <w:b w:val="0"/>
                <w:color w:val="000000"/>
                <w:lang w:val="tr-TR" w:eastAsia="tr-TR"/>
              </w:rPr>
              <w:t xml:space="preserve"> </w:t>
            </w:r>
            <w:r w:rsidRPr="00A23740">
              <w:rPr>
                <w:rFonts w:eastAsia="Times New Roman"/>
                <w:b w:val="0"/>
                <w:color w:val="000000"/>
                <w:lang w:val="tr-TR" w:eastAsia="tr-TR"/>
              </w:rPr>
              <w:t>başmüdürü görevlendirilebilir.</w:t>
            </w:r>
          </w:p>
          <w:p w:rsidR="00954084" w:rsidRPr="00A23740" w:rsidRDefault="00954084" w:rsidP="009431FF">
            <w:pPr>
              <w:rPr>
                <w:rStyle w:val="MaviChar"/>
                <w:lang w:val="tr-TR"/>
              </w:rPr>
            </w:pPr>
          </w:p>
          <w:p w:rsidR="00FE4EDC" w:rsidRPr="00A23740" w:rsidRDefault="00FE4EDC" w:rsidP="009431FF">
            <w:pPr>
              <w:rPr>
                <w:rStyle w:val="MaviChar"/>
                <w:lang w:val="tr-TR"/>
              </w:rPr>
            </w:pPr>
          </w:p>
          <w:p w:rsidR="001E132C" w:rsidRPr="00A23740" w:rsidRDefault="00365BBC" w:rsidP="009431FF">
            <w:pPr>
              <w:pStyle w:val="Mavi"/>
              <w:rPr>
                <w:rFonts w:eastAsia="Times New Roman"/>
                <w:lang w:eastAsia="tr-TR"/>
              </w:rPr>
            </w:pPr>
            <w:r w:rsidRPr="00A23740">
              <w:t>(</w:t>
            </w:r>
            <w:r w:rsidR="00954084" w:rsidRPr="00A23740">
              <w:rPr>
                <w:lang w:val="tr-TR"/>
              </w:rPr>
              <w:t>3</w:t>
            </w:r>
            <w:r w:rsidR="001E132C" w:rsidRPr="00A23740">
              <w:t>) İcra</w:t>
            </w:r>
            <w:r w:rsidR="001E1D6F" w:rsidRPr="00A23740">
              <w:t xml:space="preserve"> </w:t>
            </w:r>
            <w:r w:rsidR="001E1D6F" w:rsidRPr="00A23740">
              <w:rPr>
                <w:lang w:val="tr-TR"/>
              </w:rPr>
              <w:t>ve iflas</w:t>
            </w:r>
            <w:r w:rsidR="001E132C" w:rsidRPr="00A23740">
              <w:rPr>
                <w:color w:val="70AD47"/>
              </w:rPr>
              <w:t xml:space="preserve"> </w:t>
            </w:r>
            <w:r w:rsidR="00D46AE1" w:rsidRPr="00A23740">
              <w:rPr>
                <w:lang w:val="tr-TR"/>
              </w:rPr>
              <w:t xml:space="preserve">daireleri </w:t>
            </w:r>
            <w:r w:rsidR="004F3242" w:rsidRPr="00A23740">
              <w:t xml:space="preserve">ile icra </w:t>
            </w:r>
            <w:r w:rsidR="001E1D6F" w:rsidRPr="00A23740">
              <w:rPr>
                <w:lang w:val="tr-TR"/>
              </w:rPr>
              <w:t>ve</w:t>
            </w:r>
            <w:r w:rsidR="001E1D6F" w:rsidRPr="00A23740">
              <w:rPr>
                <w:color w:val="70AD47"/>
              </w:rPr>
              <w:t xml:space="preserve"> </w:t>
            </w:r>
            <w:r w:rsidR="001E1D6F" w:rsidRPr="00A23740">
              <w:rPr>
                <w:lang w:val="tr-TR"/>
              </w:rPr>
              <w:t>iflas</w:t>
            </w:r>
            <w:r w:rsidR="001E1D6F" w:rsidRPr="00A23740">
              <w:rPr>
                <w:color w:val="70AD47"/>
              </w:rPr>
              <w:t xml:space="preserve"> </w:t>
            </w:r>
            <w:r w:rsidR="004F3242" w:rsidRPr="00A23740">
              <w:t xml:space="preserve">daireleri başkanlığının </w:t>
            </w:r>
            <w:r w:rsidR="001E132C" w:rsidRPr="00A23740">
              <w:t xml:space="preserve">kuruluş, görev, yetki, çalışma usul ve esasları, gözetim ve denetimleri ile bu </w:t>
            </w:r>
            <w:r w:rsidR="00B9576F" w:rsidRPr="00A23740">
              <w:rPr>
                <w:lang w:val="tr-TR"/>
              </w:rPr>
              <w:t>yerlerde</w:t>
            </w:r>
            <w:r w:rsidR="001E132C" w:rsidRPr="00A23740">
              <w:t xml:space="preserve"> görev alanların nitelik, atanma, özlük hakları ve sorumlulukları özel kanun</w:t>
            </w:r>
            <w:r w:rsidR="00A91F34" w:rsidRPr="00A23740">
              <w:t>la</w:t>
            </w:r>
            <w:r w:rsidR="001E132C" w:rsidRPr="00A23740">
              <w:t xml:space="preserve"> düzenlenir.</w:t>
            </w:r>
          </w:p>
          <w:p w:rsidR="001E132C" w:rsidRPr="00A23740" w:rsidRDefault="001E132C" w:rsidP="009431FF">
            <w:pPr>
              <w:rPr>
                <w:rFonts w:eastAsia="Times New Roman"/>
                <w:b/>
                <w:bCs/>
                <w:color w:val="FF0000"/>
                <w:szCs w:val="24"/>
                <w:lang w:eastAsia="tr-TR"/>
              </w:rPr>
            </w:pPr>
          </w:p>
        </w:tc>
      </w:tr>
      <w:tr w:rsidR="00083972" w:rsidRPr="00A23740" w:rsidTr="009431FF">
        <w:tc>
          <w:tcPr>
            <w:tcW w:w="5000" w:type="pct"/>
            <w:gridSpan w:val="2"/>
            <w:shd w:val="clear" w:color="auto" w:fill="DEEAF6"/>
          </w:tcPr>
          <w:p w:rsidR="00F77FB4" w:rsidRPr="00A23740" w:rsidRDefault="00F77FB4" w:rsidP="009431FF">
            <w:pPr>
              <w:pStyle w:val="Mavi"/>
              <w:ind w:firstLine="709"/>
              <w:rPr>
                <w:color w:val="auto"/>
                <w:lang w:val="tr-TR"/>
              </w:rPr>
            </w:pPr>
          </w:p>
          <w:p w:rsidR="00F77FB4" w:rsidRPr="00A23740" w:rsidRDefault="00EC737A" w:rsidP="009431FF">
            <w:pPr>
              <w:pStyle w:val="Mavi"/>
              <w:ind w:firstLine="709"/>
              <w:rPr>
                <w:color w:val="auto"/>
                <w:lang w:val="tr-TR"/>
              </w:rPr>
            </w:pPr>
            <w:r w:rsidRPr="00A23740">
              <w:rPr>
                <w:color w:val="auto"/>
                <w:lang w:val="tr-TR"/>
              </w:rPr>
              <w:t>MADDE 6</w:t>
            </w:r>
            <w:r w:rsidR="00083972" w:rsidRPr="00A23740">
              <w:rPr>
                <w:color w:val="auto"/>
                <w:lang w:val="tr-TR"/>
              </w:rPr>
              <w:t xml:space="preserve">- </w:t>
            </w:r>
            <w:r w:rsidR="00F77FB4" w:rsidRPr="00A23740">
              <w:rPr>
                <w:b w:val="0"/>
                <w:color w:val="auto"/>
                <w:lang w:val="tr-TR"/>
              </w:rPr>
              <w:t>Maddeyle,</w:t>
            </w:r>
            <w:r w:rsidR="00CC3464" w:rsidRPr="00A23740">
              <w:rPr>
                <w:b w:val="0"/>
                <w:color w:val="auto"/>
                <w:lang w:val="tr-TR"/>
              </w:rPr>
              <w:t xml:space="preserve"> cebrî</w:t>
            </w:r>
            <w:r w:rsidR="00F77FB4" w:rsidRPr="00A23740">
              <w:rPr>
                <w:b w:val="0"/>
                <w:color w:val="auto"/>
                <w:lang w:val="tr-TR"/>
              </w:rPr>
              <w:t xml:space="preserve"> icra teşkilatına ilişkin diğer hususlar</w:t>
            </w:r>
            <w:r w:rsidR="00CC3464" w:rsidRPr="00A23740">
              <w:rPr>
                <w:b w:val="0"/>
                <w:color w:val="auto"/>
                <w:lang w:val="tr-TR"/>
              </w:rPr>
              <w:t xml:space="preserve"> düzenlenmektedir.</w:t>
            </w:r>
          </w:p>
          <w:p w:rsidR="006251FB" w:rsidRPr="00A23740" w:rsidRDefault="00F77FB4" w:rsidP="009431FF">
            <w:pPr>
              <w:pStyle w:val="Mavi"/>
              <w:ind w:firstLine="709"/>
              <w:rPr>
                <w:b w:val="0"/>
                <w:color w:val="auto"/>
                <w:lang w:val="tr-TR"/>
              </w:rPr>
            </w:pPr>
            <w:r w:rsidRPr="00A23740">
              <w:rPr>
                <w:b w:val="0"/>
                <w:color w:val="auto"/>
                <w:lang w:val="tr-TR"/>
              </w:rPr>
              <w:t>Birinci fıkrayla,</w:t>
            </w:r>
            <w:r w:rsidR="006251FB" w:rsidRPr="00A23740">
              <w:rPr>
                <w:b w:val="0"/>
                <w:color w:val="auto"/>
                <w:lang w:val="tr-TR"/>
              </w:rPr>
              <w:t xml:space="preserve"> icra ve iflas dairelerinde görev alacak </w:t>
            </w:r>
            <w:r w:rsidR="002571A4" w:rsidRPr="00A23740">
              <w:rPr>
                <w:b w:val="0"/>
                <w:color w:val="auto"/>
                <w:lang w:val="tr-TR"/>
              </w:rPr>
              <w:t xml:space="preserve">kişiler </w:t>
            </w:r>
            <w:r w:rsidRPr="00A23740">
              <w:rPr>
                <w:b w:val="0"/>
                <w:color w:val="auto"/>
                <w:lang w:val="tr-TR"/>
              </w:rPr>
              <w:t>belirlenmektedir</w:t>
            </w:r>
            <w:r w:rsidR="006251FB" w:rsidRPr="00A23740">
              <w:rPr>
                <w:b w:val="0"/>
                <w:color w:val="auto"/>
                <w:lang w:val="tr-TR"/>
              </w:rPr>
              <w:t xml:space="preserve">. Buna göre icra ve iflas dairelerinde Adalet Bakanlığı tarafından atanacak </w:t>
            </w:r>
            <w:r w:rsidR="00CC3464" w:rsidRPr="00A23740">
              <w:rPr>
                <w:b w:val="0"/>
                <w:color w:val="auto"/>
                <w:lang w:val="tr-TR"/>
              </w:rPr>
              <w:t xml:space="preserve">bir </w:t>
            </w:r>
            <w:r w:rsidR="006251FB" w:rsidRPr="00A23740">
              <w:rPr>
                <w:b w:val="0"/>
                <w:color w:val="auto"/>
                <w:lang w:val="tr-TR"/>
              </w:rPr>
              <w:t>müdür</w:t>
            </w:r>
            <w:r w:rsidR="00954084" w:rsidRPr="00A23740">
              <w:rPr>
                <w:b w:val="0"/>
                <w:color w:val="auto"/>
                <w:lang w:val="tr-TR"/>
              </w:rPr>
              <w:t xml:space="preserve">, </w:t>
            </w:r>
            <w:r w:rsidR="00CC3464" w:rsidRPr="00A23740">
              <w:rPr>
                <w:b w:val="0"/>
                <w:color w:val="auto"/>
                <w:lang w:val="tr-TR"/>
              </w:rPr>
              <w:t>yeteri kadar</w:t>
            </w:r>
            <w:r w:rsidR="00EC737A" w:rsidRPr="00A23740">
              <w:rPr>
                <w:b w:val="0"/>
                <w:color w:val="auto"/>
                <w:lang w:val="tr-TR"/>
              </w:rPr>
              <w:t xml:space="preserve"> müdür yardımcısı</w:t>
            </w:r>
            <w:r w:rsidR="00954084" w:rsidRPr="00A23740">
              <w:rPr>
                <w:b w:val="0"/>
                <w:color w:val="auto"/>
                <w:lang w:val="tr-TR"/>
              </w:rPr>
              <w:t xml:space="preserve"> </w:t>
            </w:r>
            <w:r w:rsidR="00EC737A" w:rsidRPr="00A23740">
              <w:rPr>
                <w:b w:val="0"/>
                <w:color w:val="auto"/>
                <w:lang w:val="tr-TR"/>
              </w:rPr>
              <w:t>ve icra kâ</w:t>
            </w:r>
            <w:r w:rsidR="006251FB" w:rsidRPr="00A23740">
              <w:rPr>
                <w:b w:val="0"/>
                <w:color w:val="auto"/>
                <w:lang w:val="tr-TR"/>
              </w:rPr>
              <w:t>tibi ile adli yargı ilk derece mahkemesi adalet komisyonları tarafından görevlendirilecek mübaşir ve hizmetli bulunacaktır.</w:t>
            </w:r>
            <w:r w:rsidRPr="00A23740">
              <w:rPr>
                <w:b w:val="0"/>
                <w:color w:val="auto"/>
                <w:lang w:val="tr-TR"/>
              </w:rPr>
              <w:t xml:space="preserve"> Bu hüküm, 2004 sayılı Kanunun 1 inci maddesinin ikinci fıkrasına karşılık gelmektedir.</w:t>
            </w:r>
          </w:p>
          <w:p w:rsidR="00954084" w:rsidRPr="00A23740" w:rsidRDefault="00954084" w:rsidP="009431FF">
            <w:pPr>
              <w:pStyle w:val="Mavi"/>
              <w:ind w:firstLine="709"/>
              <w:rPr>
                <w:b w:val="0"/>
                <w:color w:val="auto"/>
                <w:lang w:val="tr-TR"/>
              </w:rPr>
            </w:pPr>
            <w:r w:rsidRPr="00A23740">
              <w:rPr>
                <w:b w:val="0"/>
                <w:color w:val="auto"/>
                <w:lang w:val="tr-TR"/>
              </w:rPr>
              <w:t xml:space="preserve">İkinci fıkrayla, </w:t>
            </w:r>
            <w:r w:rsidRPr="00A23740">
              <w:rPr>
                <w:rFonts w:eastAsia="Times New Roman"/>
                <w:b w:val="0"/>
                <w:color w:val="000000"/>
                <w:lang w:val="tr-TR" w:eastAsia="tr-TR"/>
              </w:rPr>
              <w:t xml:space="preserve">iş yoğunluğunun veya personel sayısının </w:t>
            </w:r>
            <w:r w:rsidRPr="00A23740">
              <w:rPr>
                <w:b w:val="0"/>
                <w:color w:val="auto"/>
                <w:lang w:val="tr-TR"/>
              </w:rPr>
              <w:t>fazla olduğu icra</w:t>
            </w:r>
            <w:r w:rsidR="00CC3464" w:rsidRPr="00A23740">
              <w:rPr>
                <w:b w:val="0"/>
                <w:color w:val="auto"/>
                <w:lang w:val="tr-TR"/>
              </w:rPr>
              <w:t xml:space="preserve"> ve iflas</w:t>
            </w:r>
            <w:r w:rsidRPr="00A23740">
              <w:rPr>
                <w:b w:val="0"/>
                <w:color w:val="auto"/>
                <w:lang w:val="tr-TR"/>
              </w:rPr>
              <w:t xml:space="preserve"> dairelerinde dairenin düzenli, uyumlu ve verimli bir şekilde çalışmasını sağlamak amacıyla Adalet Bakanlığı tarafından icra </w:t>
            </w:r>
            <w:r w:rsidR="00B65310" w:rsidRPr="00A23740">
              <w:rPr>
                <w:b w:val="0"/>
                <w:color w:val="auto"/>
                <w:lang w:val="tr-TR"/>
              </w:rPr>
              <w:t xml:space="preserve">ve iflas </w:t>
            </w:r>
            <w:r w:rsidRPr="00A23740">
              <w:rPr>
                <w:b w:val="0"/>
                <w:color w:val="auto"/>
                <w:lang w:val="tr-TR"/>
              </w:rPr>
              <w:t xml:space="preserve">müdürleri arasından, icra </w:t>
            </w:r>
            <w:r w:rsidR="00CC3464" w:rsidRPr="00A23740">
              <w:rPr>
                <w:b w:val="0"/>
                <w:color w:val="auto"/>
                <w:lang w:val="tr-TR"/>
              </w:rPr>
              <w:t xml:space="preserve">ve iflas </w:t>
            </w:r>
            <w:r w:rsidRPr="00A23740">
              <w:rPr>
                <w:b w:val="0"/>
                <w:color w:val="auto"/>
                <w:lang w:val="tr-TR"/>
              </w:rPr>
              <w:t xml:space="preserve">müdürünün yetkilerini haiz bir icra </w:t>
            </w:r>
            <w:r w:rsidR="00CC3464" w:rsidRPr="00A23740">
              <w:rPr>
                <w:b w:val="0"/>
                <w:color w:val="auto"/>
                <w:lang w:val="tr-TR"/>
              </w:rPr>
              <w:t xml:space="preserve">ve iflas </w:t>
            </w:r>
            <w:r w:rsidRPr="00A23740">
              <w:rPr>
                <w:b w:val="0"/>
                <w:color w:val="auto"/>
                <w:lang w:val="tr-TR"/>
              </w:rPr>
              <w:t>başmüdürü görevlendirilebileceği hükme bağlanmaktadır.</w:t>
            </w:r>
          </w:p>
          <w:p w:rsidR="00A44DE5" w:rsidRPr="00A23740" w:rsidRDefault="00954084" w:rsidP="009431FF">
            <w:pPr>
              <w:pStyle w:val="Mavi"/>
              <w:ind w:firstLine="709"/>
              <w:rPr>
                <w:color w:val="auto"/>
                <w:lang w:val="tr-TR"/>
              </w:rPr>
            </w:pPr>
            <w:r w:rsidRPr="00A23740">
              <w:rPr>
                <w:b w:val="0"/>
                <w:color w:val="auto"/>
                <w:lang w:val="tr-TR"/>
              </w:rPr>
              <w:t>Üçüncü</w:t>
            </w:r>
            <w:r w:rsidR="00F77FB4" w:rsidRPr="00A23740">
              <w:rPr>
                <w:b w:val="0"/>
                <w:color w:val="auto"/>
                <w:lang w:val="tr-TR"/>
              </w:rPr>
              <w:t xml:space="preserve"> fıkrayla, </w:t>
            </w:r>
            <w:r w:rsidR="006251FB" w:rsidRPr="00A23740">
              <w:rPr>
                <w:b w:val="0"/>
                <w:color w:val="auto"/>
                <w:lang w:val="tr-TR"/>
              </w:rPr>
              <w:t xml:space="preserve">icra ve iflas daireleri ile icra </w:t>
            </w:r>
            <w:r w:rsidR="007F258D" w:rsidRPr="00A23740">
              <w:rPr>
                <w:b w:val="0"/>
                <w:color w:val="auto"/>
                <w:lang w:val="tr-TR"/>
              </w:rPr>
              <w:t xml:space="preserve">ve iflas </w:t>
            </w:r>
            <w:r w:rsidR="006251FB" w:rsidRPr="00A23740">
              <w:rPr>
                <w:b w:val="0"/>
                <w:color w:val="auto"/>
                <w:lang w:val="tr-TR"/>
              </w:rPr>
              <w:t>daireleri başkanlığının kuruluş, görev, yetki, çalışma usul ve esasları, gözetim ve denetimleri ile bu yerlerde görev alanların nitelik, atanma, özlük hakları ve sorumluluklarının özel kanunla düzenleneceği</w:t>
            </w:r>
            <w:r w:rsidR="00F77FB4" w:rsidRPr="00A23740">
              <w:rPr>
                <w:b w:val="0"/>
                <w:color w:val="auto"/>
                <w:lang w:val="tr-TR"/>
              </w:rPr>
              <w:t xml:space="preserve"> belirtilmektedir</w:t>
            </w:r>
            <w:r w:rsidR="006251FB" w:rsidRPr="00A23740">
              <w:rPr>
                <w:b w:val="0"/>
                <w:color w:val="auto"/>
                <w:lang w:val="tr-TR"/>
              </w:rPr>
              <w:t>.</w:t>
            </w:r>
            <w:r w:rsidR="00F77FB4" w:rsidRPr="00A23740">
              <w:rPr>
                <w:b w:val="0"/>
                <w:color w:val="auto"/>
                <w:lang w:val="tr-TR"/>
              </w:rPr>
              <w:t xml:space="preserve"> İcra </w:t>
            </w:r>
            <w:r w:rsidR="00BD7E01" w:rsidRPr="00A23740">
              <w:rPr>
                <w:b w:val="0"/>
                <w:color w:val="auto"/>
                <w:lang w:val="tr-TR"/>
              </w:rPr>
              <w:t xml:space="preserve">Mahkemeleri </w:t>
            </w:r>
            <w:r w:rsidR="00F77FB4" w:rsidRPr="00A23740">
              <w:rPr>
                <w:b w:val="0"/>
                <w:color w:val="auto"/>
                <w:lang w:val="tr-TR"/>
              </w:rPr>
              <w:t xml:space="preserve">ve İflas Mahkemeleri ile İcra Teşkilatı Hakkında Kanun </w:t>
            </w:r>
            <w:r w:rsidR="00163E5A" w:rsidRPr="00A23740">
              <w:rPr>
                <w:b w:val="0"/>
                <w:color w:val="auto"/>
                <w:lang w:val="tr-TR"/>
              </w:rPr>
              <w:t>Taslakla</w:t>
            </w:r>
            <w:r w:rsidR="00CE35D1" w:rsidRPr="00A23740">
              <w:rPr>
                <w:b w:val="0"/>
                <w:color w:val="auto"/>
                <w:lang w:val="tr-TR"/>
              </w:rPr>
              <w:t xml:space="preserve"> bu hususlar düzenlendiğinden 2004 sayılı Kanunun 1, 2, 3, 3/a, 13 ve 13/a maddelerinde yer alan icra teşkilatıyla ilgili hükümlere bu Kanunda yer verilmemektedir.</w:t>
            </w:r>
          </w:p>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r w:rsidRPr="00A23740">
              <w:rPr>
                <w:rFonts w:eastAsia="Times New Roman"/>
                <w:i/>
                <w:iCs/>
                <w:color w:val="000000"/>
                <w:szCs w:val="24"/>
                <w:lang w:eastAsia="tr-TR"/>
              </w:rPr>
              <w:t>Sorumluluk</w:t>
            </w:r>
            <w:r w:rsidRPr="00A23740">
              <w:rPr>
                <w:rStyle w:val="StilKrmzChar"/>
                <w:rFonts w:eastAsia="Calibri"/>
                <w:lang w:val="tr-TR" w:eastAsia="tr-TR"/>
              </w:rPr>
              <w:t>:</w:t>
            </w:r>
          </w:p>
          <w:p w:rsidR="001E132C" w:rsidRPr="00A23740" w:rsidRDefault="001E132C" w:rsidP="009431FF">
            <w:pPr>
              <w:pStyle w:val="StilKrmz"/>
              <w:rPr>
                <w:lang w:val="tr-TR"/>
              </w:rPr>
            </w:pPr>
            <w:r w:rsidRPr="00A23740">
              <w:rPr>
                <w:lang w:val="tr-TR"/>
              </w:rPr>
              <w:t>Madde 5 – (Değişik: 6/6/1985-3222/1 md.)</w:t>
            </w:r>
          </w:p>
          <w:p w:rsidR="001E132C" w:rsidRPr="00A23740" w:rsidRDefault="001E132C" w:rsidP="009431FF">
            <w:pPr>
              <w:rPr>
                <w:rFonts w:eastAsia="Times New Roman"/>
                <w:color w:val="000000"/>
                <w:szCs w:val="24"/>
                <w:lang w:eastAsia="tr-TR"/>
              </w:rPr>
            </w:pPr>
            <w:r w:rsidRPr="00A23740">
              <w:rPr>
                <w:rFonts w:eastAsia="Times New Roman"/>
                <w:b/>
                <w:color w:val="FF0000"/>
                <w:szCs w:val="24"/>
                <w:lang w:eastAsia="tr-TR"/>
              </w:rPr>
              <w:t>(1)</w:t>
            </w:r>
            <w:r w:rsidRPr="00A23740">
              <w:rPr>
                <w:rFonts w:eastAsia="Times New Roman"/>
                <w:color w:val="000000"/>
                <w:szCs w:val="24"/>
                <w:lang w:eastAsia="tr-TR"/>
              </w:rPr>
              <w:t xml:space="preserve"> İcra ve İflas Dairesi görevlilerinin kusurlarından doğan tazminat davaları, ancak </w:t>
            </w:r>
            <w:r w:rsidRPr="00A23740">
              <w:rPr>
                <w:rStyle w:val="StilKrmzChar"/>
                <w:rFonts w:eastAsia="Calibri"/>
                <w:lang w:val="tr-TR" w:eastAsia="tr-TR"/>
              </w:rPr>
              <w:t>idare</w:t>
            </w:r>
            <w:r w:rsidRPr="00A23740">
              <w:rPr>
                <w:rFonts w:eastAsia="Times New Roman"/>
                <w:color w:val="000000"/>
                <w:szCs w:val="24"/>
                <w:lang w:eastAsia="tr-TR"/>
              </w:rPr>
              <w:t xml:space="preserve"> aleyhine açılabilir. </w:t>
            </w:r>
            <w:r w:rsidRPr="00A23740">
              <w:rPr>
                <w:rFonts w:eastAsia="Times New Roman"/>
                <w:b/>
                <w:strike/>
                <w:color w:val="FF0000"/>
                <w:szCs w:val="24"/>
                <w:lang w:eastAsia="tr-TR"/>
              </w:rPr>
              <w:t>Devletin, zararın meydana gelmesinde kusuru bulunan görevlilere rücu hakkı saklıdır.</w:t>
            </w:r>
            <w:r w:rsidRPr="00A23740">
              <w:rPr>
                <w:rFonts w:eastAsia="Times New Roman"/>
                <w:b/>
                <w:color w:val="FF0000"/>
                <w:szCs w:val="24"/>
                <w:lang w:eastAsia="tr-TR"/>
              </w:rPr>
              <w:t xml:space="preserve"> </w:t>
            </w:r>
            <w:r w:rsidRPr="00A23740">
              <w:rPr>
                <w:rFonts w:eastAsia="Times New Roman"/>
                <w:color w:val="000000"/>
                <w:szCs w:val="24"/>
                <w:lang w:eastAsia="tr-TR"/>
              </w:rPr>
              <w:t xml:space="preserve">Bu davalara </w:t>
            </w:r>
            <w:r w:rsidRPr="00A23740">
              <w:rPr>
                <w:rStyle w:val="StilKrmzChar"/>
                <w:rFonts w:eastAsia="Calibri"/>
                <w:lang w:val="tr-TR" w:eastAsia="tr-TR"/>
              </w:rPr>
              <w:t>adliye</w:t>
            </w:r>
            <w:r w:rsidRPr="00A23740">
              <w:rPr>
                <w:rFonts w:eastAsia="Times New Roman"/>
                <w:color w:val="000000"/>
                <w:szCs w:val="24"/>
                <w:lang w:eastAsia="tr-TR"/>
              </w:rPr>
              <w:t xml:space="preserve"> mahkemelerinde bakılır.</w:t>
            </w:r>
            <w:r w:rsidRPr="00A23740">
              <w:rPr>
                <w:rFonts w:ascii="Times" w:eastAsia="Times New Roman" w:hAnsi="Times" w:cs="Times"/>
                <w:color w:val="000000"/>
                <w:szCs w:val="24"/>
                <w:lang w:eastAsia="tr-TR"/>
              </w:rPr>
              <w:t> </w:t>
            </w: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B54043" w:rsidRPr="00A23740" w:rsidRDefault="00B54043" w:rsidP="009431FF">
            <w:pPr>
              <w:rPr>
                <w:rFonts w:eastAsia="Times New Roman"/>
                <w:color w:val="000000"/>
                <w:szCs w:val="24"/>
                <w:lang w:eastAsia="tr-TR"/>
              </w:rPr>
            </w:pPr>
          </w:p>
          <w:p w:rsidR="00E40DE7" w:rsidRPr="00A23740" w:rsidRDefault="00E40DE7" w:rsidP="009431FF">
            <w:pPr>
              <w:rPr>
                <w:rFonts w:eastAsia="Times New Roman"/>
                <w:color w:val="000000"/>
                <w:szCs w:val="24"/>
                <w:lang w:eastAsia="tr-TR"/>
              </w:rPr>
            </w:pPr>
          </w:p>
          <w:p w:rsidR="00855771" w:rsidRPr="00A23740" w:rsidRDefault="00855771" w:rsidP="009431FF">
            <w:pPr>
              <w:pStyle w:val="StilKrmz"/>
              <w:rPr>
                <w:lang w:val="tr-TR"/>
              </w:rPr>
            </w:pPr>
            <w:r w:rsidRPr="00A23740">
              <w:rPr>
                <w:lang w:val="tr-TR"/>
              </w:rPr>
              <w:t>Zarar ve ziyan davasının zamanaşımı:</w:t>
            </w:r>
          </w:p>
          <w:p w:rsidR="00855771" w:rsidRPr="00A23740" w:rsidRDefault="00855771" w:rsidP="009431FF">
            <w:pPr>
              <w:rPr>
                <w:rFonts w:eastAsia="Times New Roman"/>
                <w:color w:val="000000"/>
                <w:szCs w:val="24"/>
                <w:lang w:eastAsia="tr-TR"/>
              </w:rPr>
            </w:pPr>
            <w:r w:rsidRPr="00A23740">
              <w:rPr>
                <w:rStyle w:val="StilKrmzChar"/>
                <w:rFonts w:eastAsia="Calibri"/>
                <w:lang w:val="tr-TR" w:eastAsia="tr-TR"/>
              </w:rPr>
              <w:t xml:space="preserve">Madde 7 </w:t>
            </w:r>
            <w:r w:rsidRPr="00A23740">
              <w:rPr>
                <w:rFonts w:eastAsia="Times New Roman"/>
                <w:lang w:eastAsia="x-none"/>
              </w:rPr>
              <w:t>– </w:t>
            </w:r>
            <w:r w:rsidRPr="00A23740">
              <w:rPr>
                <w:rFonts w:eastAsia="Times New Roman"/>
                <w:b/>
                <w:strike/>
                <w:color w:val="FF0000"/>
                <w:szCs w:val="24"/>
                <w:lang w:eastAsia="x-none"/>
              </w:rPr>
              <w:t>(1)</w:t>
            </w:r>
            <w:r w:rsidRPr="00A23740">
              <w:rPr>
                <w:rFonts w:eastAsia="Times New Roman"/>
                <w:b/>
                <w:color w:val="000000"/>
              </w:rPr>
              <w:t xml:space="preserve"> </w:t>
            </w:r>
            <w:r w:rsidRPr="00A23740">
              <w:rPr>
                <w:rStyle w:val="StilKrmzChar"/>
                <w:rFonts w:eastAsia="Calibri"/>
                <w:lang w:val="tr-TR" w:eastAsia="tr-TR"/>
              </w:rPr>
              <w:t>Zarar ve ziyan</w:t>
            </w:r>
            <w:r w:rsidRPr="00A23740">
              <w:rPr>
                <w:rFonts w:eastAsia="Times New Roman"/>
                <w:color w:val="000000"/>
                <w:szCs w:val="24"/>
                <w:lang w:eastAsia="tr-TR"/>
              </w:rPr>
              <w:t xml:space="preserve"> </w:t>
            </w:r>
            <w:r w:rsidRPr="00A23740">
              <w:rPr>
                <w:rStyle w:val="KIRMIZIChar"/>
                <w:rFonts w:eastAsia="Calibri"/>
              </w:rPr>
              <w:t>davası</w:t>
            </w:r>
            <w:r w:rsidRPr="00A23740">
              <w:rPr>
                <w:rFonts w:eastAsia="Times New Roman"/>
                <w:color w:val="000000"/>
                <w:szCs w:val="24"/>
                <w:lang w:eastAsia="tr-TR"/>
              </w:rPr>
              <w:t xml:space="preserve">, </w:t>
            </w:r>
            <w:r w:rsidRPr="00A23740">
              <w:rPr>
                <w:rStyle w:val="StilKrmzChar"/>
                <w:rFonts w:eastAsia="Calibri"/>
                <w:lang w:val="tr-TR" w:eastAsia="tr-TR"/>
              </w:rPr>
              <w:t>mutazarrır olan</w:t>
            </w:r>
            <w:r w:rsidRPr="00A23740">
              <w:rPr>
                <w:rFonts w:eastAsia="Times New Roman"/>
                <w:color w:val="000000"/>
                <w:szCs w:val="24"/>
                <w:lang w:eastAsia="tr-TR"/>
              </w:rPr>
              <w:t xml:space="preserve"> </w:t>
            </w:r>
            <w:r w:rsidRPr="00A23740">
              <w:rPr>
                <w:rStyle w:val="KIRMIZIChar"/>
                <w:rFonts w:eastAsia="Calibri"/>
              </w:rPr>
              <w:t>tarafın</w:t>
            </w:r>
            <w:r w:rsidRPr="00A23740">
              <w:rPr>
                <w:rFonts w:eastAsia="Times New Roman"/>
                <w:color w:val="000000"/>
                <w:szCs w:val="24"/>
                <w:lang w:eastAsia="tr-TR"/>
              </w:rPr>
              <w:t xml:space="preserve"> zararı öğrendiği </w:t>
            </w:r>
            <w:r w:rsidRPr="00A23740">
              <w:rPr>
                <w:rStyle w:val="StilKrmzChar"/>
                <w:rFonts w:eastAsia="Calibri"/>
                <w:lang w:val="tr-TR" w:eastAsia="tr-TR"/>
              </w:rPr>
              <w:t>günden bir sene</w:t>
            </w:r>
            <w:r w:rsidRPr="00A23740">
              <w:rPr>
                <w:rFonts w:eastAsia="Times New Roman"/>
                <w:color w:val="000000"/>
                <w:szCs w:val="24"/>
                <w:lang w:eastAsia="tr-TR"/>
              </w:rPr>
              <w:t xml:space="preserve"> ve her halde zarar </w:t>
            </w:r>
            <w:r w:rsidRPr="00A23740">
              <w:rPr>
                <w:rStyle w:val="StilKrmzChar"/>
                <w:rFonts w:eastAsia="Calibri"/>
                <w:lang w:val="tr-TR" w:eastAsia="tr-TR"/>
              </w:rPr>
              <w:t>ve ziyanı mucip</w:t>
            </w:r>
            <w:r w:rsidRPr="00A23740">
              <w:rPr>
                <w:rFonts w:eastAsia="Times New Roman"/>
                <w:color w:val="000000"/>
                <w:szCs w:val="24"/>
                <w:lang w:eastAsia="tr-TR"/>
              </w:rPr>
              <w:t xml:space="preserve"> fiilin </w:t>
            </w:r>
            <w:r w:rsidRPr="00A23740">
              <w:rPr>
                <w:rStyle w:val="StilKrmzChar"/>
                <w:rFonts w:eastAsia="Calibri"/>
                <w:lang w:val="tr-TR" w:eastAsia="tr-TR"/>
              </w:rPr>
              <w:t>vukuundan</w:t>
            </w:r>
            <w:r w:rsidRPr="00A23740">
              <w:rPr>
                <w:rFonts w:eastAsia="Times New Roman"/>
                <w:color w:val="000000"/>
                <w:szCs w:val="24"/>
                <w:lang w:eastAsia="tr-TR"/>
              </w:rPr>
              <w:t xml:space="preserve"> on </w:t>
            </w:r>
            <w:r w:rsidRPr="00A23740">
              <w:rPr>
                <w:rStyle w:val="StilKrmzChar"/>
                <w:rFonts w:eastAsia="Calibri"/>
                <w:lang w:val="tr-TR" w:eastAsia="tr-TR"/>
              </w:rPr>
              <w:t>sene</w:t>
            </w:r>
            <w:r w:rsidRPr="00A23740">
              <w:rPr>
                <w:rFonts w:eastAsia="Times New Roman"/>
                <w:color w:val="000000"/>
                <w:szCs w:val="24"/>
                <w:lang w:eastAsia="tr-TR"/>
              </w:rPr>
              <w:t xml:space="preserve"> geçmesiyle zamanaşımına uğrar.</w:t>
            </w:r>
          </w:p>
          <w:p w:rsidR="00855771" w:rsidRPr="00A23740" w:rsidRDefault="00855771" w:rsidP="009431FF">
            <w:pPr>
              <w:rPr>
                <w:rFonts w:eastAsia="Times New Roman"/>
                <w:color w:val="000000"/>
                <w:szCs w:val="24"/>
                <w:lang w:eastAsia="tr-TR"/>
              </w:rPr>
            </w:pPr>
          </w:p>
          <w:p w:rsidR="00855771" w:rsidRPr="00A23740" w:rsidRDefault="00855771" w:rsidP="009431FF">
            <w:pPr>
              <w:rPr>
                <w:rFonts w:eastAsia="Times New Roman"/>
                <w:color w:val="000000"/>
                <w:szCs w:val="24"/>
                <w:lang w:eastAsia="tr-TR"/>
              </w:rPr>
            </w:pPr>
            <w:r w:rsidRPr="00A23740">
              <w:rPr>
                <w:rFonts w:eastAsia="Times New Roman"/>
                <w:b/>
                <w:strike/>
                <w:color w:val="FF0000"/>
                <w:szCs w:val="24"/>
                <w:lang w:eastAsia="x-none"/>
              </w:rPr>
              <w:t>(2)</w:t>
            </w:r>
            <w:r w:rsidRPr="00A23740">
              <w:rPr>
                <w:rFonts w:eastAsia="Times New Roman"/>
                <w:color w:val="000000"/>
                <w:szCs w:val="24"/>
                <w:lang w:eastAsia="tr-TR"/>
              </w:rPr>
              <w:t xml:space="preserve"> Şu kadar ki zarar </w:t>
            </w:r>
            <w:r w:rsidRPr="00A23740">
              <w:rPr>
                <w:rStyle w:val="StilKrmzChar"/>
                <w:rFonts w:eastAsia="Calibri"/>
                <w:lang w:val="tr-TR" w:eastAsia="tr-TR"/>
              </w:rPr>
              <w:t>ve ziyan</w:t>
            </w:r>
            <w:r w:rsidRPr="00A23740">
              <w:rPr>
                <w:rStyle w:val="StilKrmzChar"/>
                <w:rFonts w:eastAsia="Calibri"/>
                <w:strike w:val="0"/>
                <w:lang w:val="tr-TR" w:eastAsia="tr-TR"/>
              </w:rPr>
              <w:t xml:space="preserve"> </w:t>
            </w:r>
            <w:r w:rsidRPr="00A23740">
              <w:rPr>
                <w:rFonts w:eastAsia="Times New Roman"/>
                <w:color w:val="000000"/>
                <w:szCs w:val="24"/>
                <w:lang w:eastAsia="tr-TR"/>
              </w:rPr>
              <w:t xml:space="preserve">cezayı </w:t>
            </w:r>
            <w:r w:rsidRPr="00A23740">
              <w:rPr>
                <w:rStyle w:val="StilKrmzChar"/>
                <w:rFonts w:eastAsia="Calibri"/>
                <w:lang w:val="tr-TR" w:eastAsia="tr-TR"/>
              </w:rPr>
              <w:t>mucip</w:t>
            </w:r>
            <w:r w:rsidRPr="00A23740">
              <w:rPr>
                <w:rFonts w:eastAsia="Times New Roman"/>
                <w:color w:val="000000"/>
                <w:szCs w:val="24"/>
                <w:lang w:eastAsia="tr-TR"/>
              </w:rPr>
              <w:t xml:space="preserve"> bir fiilin neticesi olup</w:t>
            </w:r>
            <w:r w:rsidRPr="00A23740">
              <w:rPr>
                <w:rFonts w:eastAsia="Times New Roman"/>
                <w:b/>
                <w:strike/>
                <w:color w:val="FF0000"/>
                <w:szCs w:val="24"/>
                <w:lang w:eastAsia="tr-TR"/>
              </w:rPr>
              <w:t>ta</w:t>
            </w:r>
            <w:r w:rsidRPr="00A23740">
              <w:rPr>
                <w:rFonts w:eastAsia="Times New Roman"/>
                <w:color w:val="000000"/>
                <w:szCs w:val="24"/>
                <w:lang w:eastAsia="tr-TR"/>
              </w:rPr>
              <w:t xml:space="preserve"> ceza kanunları bu fiili daha uzun bir </w:t>
            </w:r>
            <w:r w:rsidRPr="00A23740">
              <w:rPr>
                <w:rStyle w:val="StilKrmzChar"/>
                <w:rFonts w:eastAsia="Calibri"/>
                <w:lang w:val="tr-TR" w:eastAsia="tr-TR"/>
              </w:rPr>
              <w:t>müddetle</w:t>
            </w:r>
            <w:r w:rsidRPr="00A23740">
              <w:rPr>
                <w:rFonts w:eastAsia="Times New Roman"/>
                <w:color w:val="000000"/>
                <w:szCs w:val="24"/>
                <w:lang w:eastAsia="tr-TR"/>
              </w:rPr>
              <w:t xml:space="preserve"> zamanaşımına tabi tutmakta ise </w:t>
            </w:r>
            <w:r w:rsidRPr="00A23740">
              <w:rPr>
                <w:rStyle w:val="StilKrmzChar"/>
                <w:rFonts w:eastAsia="Calibri"/>
                <w:lang w:val="tr-TR" w:eastAsia="tr-TR"/>
              </w:rPr>
              <w:t>hukuk</w:t>
            </w:r>
            <w:r w:rsidRPr="00A23740">
              <w:rPr>
                <w:rFonts w:eastAsia="Times New Roman"/>
                <w:color w:val="000000"/>
                <w:szCs w:val="24"/>
                <w:lang w:eastAsia="tr-TR"/>
              </w:rPr>
              <w:t xml:space="preserve"> davasında da ceza zamanaşımı </w:t>
            </w:r>
            <w:r w:rsidRPr="00A23740">
              <w:rPr>
                <w:rStyle w:val="StilKrmzChar"/>
                <w:rFonts w:eastAsia="Calibri"/>
                <w:lang w:val="tr-TR" w:eastAsia="tr-TR"/>
              </w:rPr>
              <w:t>cari olur</w:t>
            </w:r>
            <w:r w:rsidRPr="00A23740">
              <w:rPr>
                <w:rFonts w:eastAsia="Times New Roman"/>
                <w:color w:val="000000"/>
                <w:szCs w:val="24"/>
                <w:lang w:eastAsia="tr-TR"/>
              </w:rPr>
              <w:t>.</w:t>
            </w:r>
          </w:p>
          <w:p w:rsidR="00855771" w:rsidRPr="00A23740" w:rsidRDefault="00855771" w:rsidP="009431FF">
            <w:pPr>
              <w:rPr>
                <w:rFonts w:eastAsia="Times New Roman"/>
                <w:color w:val="000000"/>
                <w:szCs w:val="24"/>
                <w:lang w:eastAsia="tr-TR"/>
              </w:rPr>
            </w:pPr>
          </w:p>
          <w:p w:rsidR="00855771" w:rsidRPr="00A23740" w:rsidRDefault="00855771" w:rsidP="009431FF">
            <w:pPr>
              <w:rPr>
                <w:rFonts w:eastAsia="Times New Roman"/>
                <w:color w:val="000000"/>
                <w:szCs w:val="24"/>
                <w:lang w:eastAsia="tr-TR"/>
              </w:rPr>
            </w:pPr>
          </w:p>
          <w:p w:rsidR="000677D4" w:rsidRPr="00A23740" w:rsidRDefault="000677D4"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r w:rsidRPr="00A23740">
              <w:rPr>
                <w:rFonts w:eastAsia="Times New Roman"/>
                <w:b/>
                <w:strike/>
                <w:color w:val="FF0000"/>
                <w:szCs w:val="24"/>
                <w:lang w:eastAsia="x-none"/>
              </w:rPr>
              <w:t>(2)</w:t>
            </w:r>
            <w:r w:rsidRPr="00A23740">
              <w:rPr>
                <w:szCs w:val="24"/>
              </w:rPr>
              <w:t xml:space="preserve"> </w:t>
            </w:r>
            <w:r w:rsidRPr="00A23740">
              <w:rPr>
                <w:rFonts w:eastAsia="Times New Roman"/>
                <w:b/>
                <w:strike/>
                <w:color w:val="FF0000"/>
                <w:szCs w:val="24"/>
                <w:lang w:eastAsia="tr-TR"/>
              </w:rPr>
              <w:t>Devletin,</w:t>
            </w:r>
            <w:r w:rsidRPr="00A23740">
              <w:rPr>
                <w:szCs w:val="24"/>
              </w:rPr>
              <w:t xml:space="preserve"> zararın meydana gelmesinde kusuru bulunan</w:t>
            </w:r>
            <w:r w:rsidRPr="00A23740">
              <w:rPr>
                <w:rFonts w:eastAsia="Times New Roman"/>
                <w:b/>
                <w:color w:val="FF0000"/>
                <w:szCs w:val="24"/>
                <w:lang w:eastAsia="tr-TR"/>
              </w:rPr>
              <w:t xml:space="preserve"> </w:t>
            </w:r>
            <w:r w:rsidRPr="00A23740">
              <w:rPr>
                <w:rFonts w:eastAsia="Times New Roman"/>
                <w:b/>
                <w:strike/>
                <w:color w:val="FF0000"/>
                <w:szCs w:val="24"/>
                <w:lang w:eastAsia="tr-TR"/>
              </w:rPr>
              <w:t>görevlilere</w:t>
            </w:r>
            <w:r w:rsidRPr="00A23740">
              <w:rPr>
                <w:szCs w:val="24"/>
              </w:rPr>
              <w:t xml:space="preserve"> rücu hakkı saklıdır. </w:t>
            </w: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855771" w:rsidRPr="00A23740" w:rsidRDefault="00855771"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b/>
                <w:szCs w:val="24"/>
              </w:rPr>
            </w:pPr>
          </w:p>
        </w:tc>
        <w:tc>
          <w:tcPr>
            <w:tcW w:w="2500" w:type="pct"/>
            <w:shd w:val="clear" w:color="auto" w:fill="auto"/>
          </w:tcPr>
          <w:p w:rsidR="001E132C" w:rsidRPr="00A23740" w:rsidRDefault="001E132C" w:rsidP="009431FF">
            <w:pPr>
              <w:pStyle w:val="Balk4"/>
              <w:rPr>
                <w:rFonts w:eastAsia="Calibri"/>
                <w:lang w:val="tr-TR"/>
              </w:rPr>
            </w:pPr>
            <w:r w:rsidRPr="00A23740">
              <w:rPr>
                <w:rFonts w:eastAsia="Calibri"/>
                <w:lang w:val="tr-TR"/>
              </w:rPr>
              <w:lastRenderedPageBreak/>
              <w:t>İKİNCİ AYRIM</w:t>
            </w:r>
          </w:p>
          <w:p w:rsidR="001E132C" w:rsidRPr="00A23740" w:rsidRDefault="001E132C" w:rsidP="009431FF">
            <w:pPr>
              <w:pStyle w:val="Balk4"/>
              <w:rPr>
                <w:rFonts w:eastAsia="Calibri"/>
                <w:lang w:val="tr-TR"/>
              </w:rPr>
            </w:pPr>
            <w:r w:rsidRPr="00A23740">
              <w:rPr>
                <w:rFonts w:eastAsia="Calibri"/>
                <w:lang w:val="tr-TR"/>
              </w:rPr>
              <w:t xml:space="preserve">İcra </w:t>
            </w:r>
            <w:r w:rsidR="001E1D6F" w:rsidRPr="00A23740">
              <w:rPr>
                <w:rFonts w:eastAsia="Calibri"/>
                <w:lang w:val="tr-TR"/>
              </w:rPr>
              <w:t xml:space="preserve">ve İflas </w:t>
            </w:r>
            <w:r w:rsidR="00D1546D" w:rsidRPr="00A23740">
              <w:rPr>
                <w:rFonts w:eastAsia="Calibri"/>
                <w:lang w:val="tr-TR"/>
              </w:rPr>
              <w:t>Daireleri</w:t>
            </w:r>
            <w:r w:rsidR="001E1D6F" w:rsidRPr="00A23740">
              <w:rPr>
                <w:rFonts w:eastAsia="Calibri"/>
                <w:color w:val="70AD47"/>
                <w:lang w:val="tr-TR"/>
              </w:rPr>
              <w:t xml:space="preserve"> </w:t>
            </w:r>
            <w:r w:rsidR="001E1D6F" w:rsidRPr="00A23740">
              <w:rPr>
                <w:rFonts w:eastAsia="Calibri"/>
                <w:lang w:val="tr-TR"/>
              </w:rPr>
              <w:t>Hakkında</w:t>
            </w:r>
            <w:r w:rsidR="00D1546D" w:rsidRPr="00A23740">
              <w:rPr>
                <w:rFonts w:eastAsia="Calibri"/>
                <w:lang w:val="tr-TR"/>
              </w:rPr>
              <w:t xml:space="preserve"> </w:t>
            </w:r>
            <w:r w:rsidRPr="00A23740">
              <w:rPr>
                <w:rFonts w:eastAsia="Calibri"/>
                <w:lang w:val="tr-TR"/>
              </w:rPr>
              <w:t>Uygulanacak Hükümler</w:t>
            </w:r>
          </w:p>
          <w:p w:rsidR="001E132C" w:rsidRPr="00A23740" w:rsidRDefault="001E132C" w:rsidP="009431FF">
            <w:pPr>
              <w:pStyle w:val="MAV"/>
              <w:rPr>
                <w:u w:val="none"/>
                <w:lang w:val="tr-TR"/>
              </w:rPr>
            </w:pPr>
          </w:p>
          <w:p w:rsidR="00855771" w:rsidRPr="00A23740" w:rsidRDefault="00855771" w:rsidP="009431FF">
            <w:pPr>
              <w:keepNext/>
              <w:outlineLvl w:val="3"/>
              <w:rPr>
                <w:rFonts w:eastAsia="Times New Roman"/>
                <w:b/>
                <w:bCs/>
                <w:color w:val="0000FF"/>
                <w:szCs w:val="28"/>
              </w:rPr>
            </w:pPr>
            <w:r w:rsidRPr="00A23740">
              <w:rPr>
                <w:b/>
                <w:bCs/>
                <w:color w:val="0000FF"/>
                <w:szCs w:val="28"/>
              </w:rPr>
              <w:t xml:space="preserve">Hukuki </w:t>
            </w:r>
            <w:r w:rsidRPr="00A23740">
              <w:rPr>
                <w:rFonts w:eastAsia="Times New Roman"/>
                <w:b/>
                <w:color w:val="000000"/>
                <w:szCs w:val="28"/>
                <w:lang w:eastAsia="tr-TR"/>
              </w:rPr>
              <w:t>sorumluluk</w:t>
            </w:r>
          </w:p>
          <w:p w:rsidR="00855771" w:rsidRPr="00A23740" w:rsidRDefault="00F92A99" w:rsidP="009431FF">
            <w:pPr>
              <w:keepNext/>
              <w:outlineLvl w:val="3"/>
              <w:rPr>
                <w:rFonts w:eastAsia="Times New Roman"/>
                <w:color w:val="000000"/>
                <w:szCs w:val="28"/>
                <w:lang w:eastAsia="tr-TR"/>
              </w:rPr>
            </w:pPr>
            <w:r w:rsidRPr="00A23740">
              <w:rPr>
                <w:b/>
                <w:bCs/>
                <w:color w:val="0000FF"/>
                <w:szCs w:val="28"/>
              </w:rPr>
              <w:t>MADDE 7</w:t>
            </w:r>
            <w:r w:rsidR="00855771" w:rsidRPr="00A23740">
              <w:rPr>
                <w:b/>
                <w:bCs/>
                <w:color w:val="0000FF"/>
                <w:szCs w:val="28"/>
              </w:rPr>
              <w:t xml:space="preserve">- (1) </w:t>
            </w:r>
            <w:r w:rsidR="00E40DE7" w:rsidRPr="00A23740">
              <w:rPr>
                <w:rFonts w:eastAsia="Times New Roman"/>
                <w:color w:val="000000"/>
                <w:szCs w:val="28"/>
                <w:lang w:eastAsia="tr-TR"/>
              </w:rPr>
              <w:t xml:space="preserve">İcra </w:t>
            </w:r>
            <w:r w:rsidR="001E1D6F" w:rsidRPr="00A23740">
              <w:rPr>
                <w:b/>
                <w:bCs/>
                <w:color w:val="0000FF"/>
                <w:szCs w:val="28"/>
              </w:rPr>
              <w:t>ve iflas daireleri</w:t>
            </w:r>
            <w:r w:rsidR="001E1D6F" w:rsidRPr="00A23740">
              <w:rPr>
                <w:rFonts w:eastAsia="Times New Roman"/>
                <w:color w:val="70AD47"/>
                <w:szCs w:val="28"/>
                <w:lang w:eastAsia="tr-TR"/>
              </w:rPr>
              <w:t xml:space="preserve"> </w:t>
            </w:r>
            <w:r w:rsidR="00855771" w:rsidRPr="00A23740">
              <w:rPr>
                <w:rFonts w:eastAsia="Times New Roman"/>
                <w:color w:val="000000"/>
                <w:szCs w:val="28"/>
                <w:lang w:eastAsia="tr-TR"/>
              </w:rPr>
              <w:t>görevlilerinin,</w:t>
            </w:r>
            <w:r w:rsidR="00855771" w:rsidRPr="00A23740">
              <w:rPr>
                <w:rFonts w:eastAsia="Times New Roman"/>
                <w:b/>
                <w:bCs/>
                <w:color w:val="0000FF"/>
                <w:szCs w:val="28"/>
              </w:rPr>
              <w:t xml:space="preserve"> </w:t>
            </w:r>
            <w:r w:rsidR="00637260" w:rsidRPr="00A23740">
              <w:rPr>
                <w:b/>
                <w:bCs/>
                <w:color w:val="0000FF"/>
                <w:szCs w:val="28"/>
              </w:rPr>
              <w:t>iflas idare memurlarının</w:t>
            </w:r>
            <w:r w:rsidR="00855771" w:rsidRPr="00A23740">
              <w:rPr>
                <w:b/>
                <w:bCs/>
                <w:color w:val="0000FF"/>
                <w:szCs w:val="28"/>
              </w:rPr>
              <w:t xml:space="preserve">, komiserlerin, proje denetçilerinin, tasfiye memurlarının, icra </w:t>
            </w:r>
            <w:r w:rsidR="00070384" w:rsidRPr="00A23740">
              <w:rPr>
                <w:b/>
                <w:bCs/>
                <w:color w:val="0000FF"/>
                <w:szCs w:val="28"/>
              </w:rPr>
              <w:t>ve iflas dairelerince cebrî</w:t>
            </w:r>
            <w:r w:rsidR="00855771" w:rsidRPr="00A23740">
              <w:rPr>
                <w:b/>
                <w:bCs/>
                <w:color w:val="0000FF"/>
                <w:szCs w:val="28"/>
              </w:rPr>
              <w:t xml:space="preserve"> icra faaliyetinde görevlendirilen kişilerin ve kolluk görevlilerinin bu Kanunla verilen görevlerin ifası sırasında</w:t>
            </w:r>
            <w:r w:rsidR="00855771" w:rsidRPr="00A23740">
              <w:rPr>
                <w:rFonts w:eastAsia="Times New Roman"/>
                <w:b/>
                <w:bCs/>
                <w:color w:val="0000FF"/>
                <w:szCs w:val="28"/>
              </w:rPr>
              <w:t xml:space="preserve"> </w:t>
            </w:r>
            <w:r w:rsidR="00855771" w:rsidRPr="00A23740">
              <w:rPr>
                <w:rFonts w:eastAsia="Times New Roman"/>
                <w:color w:val="000000"/>
                <w:szCs w:val="28"/>
                <w:lang w:eastAsia="tr-TR"/>
              </w:rPr>
              <w:t>kusurlarından doğan tazminat davaları, ancak</w:t>
            </w:r>
            <w:r w:rsidR="00855771" w:rsidRPr="00A23740">
              <w:rPr>
                <w:rFonts w:eastAsia="Times New Roman"/>
                <w:b/>
                <w:bCs/>
                <w:color w:val="0000FF"/>
                <w:szCs w:val="28"/>
              </w:rPr>
              <w:t xml:space="preserve"> Adalet Bakanlığı </w:t>
            </w:r>
            <w:r w:rsidR="00855771" w:rsidRPr="00A23740">
              <w:rPr>
                <w:rFonts w:eastAsia="Times New Roman"/>
                <w:color w:val="000000"/>
                <w:szCs w:val="28"/>
                <w:lang w:eastAsia="tr-TR"/>
              </w:rPr>
              <w:t xml:space="preserve">aleyhine açılabilir. Bu davalara </w:t>
            </w:r>
            <w:r w:rsidR="00855771" w:rsidRPr="00A23740">
              <w:rPr>
                <w:rFonts w:eastAsia="Times New Roman"/>
                <w:b/>
                <w:bCs/>
                <w:color w:val="0000FF"/>
                <w:szCs w:val="28"/>
              </w:rPr>
              <w:t xml:space="preserve">zarara neden olan işlemin yapıldığı yer </w:t>
            </w:r>
            <w:r w:rsidR="00855771" w:rsidRPr="00A23740">
              <w:rPr>
                <w:b/>
                <w:bCs/>
                <w:color w:val="0000FF"/>
                <w:szCs w:val="28"/>
              </w:rPr>
              <w:t>asliye</w:t>
            </w:r>
            <w:r w:rsidR="00855771" w:rsidRPr="00A23740">
              <w:rPr>
                <w:color w:val="0000FF"/>
                <w:szCs w:val="28"/>
              </w:rPr>
              <w:t xml:space="preserve"> </w:t>
            </w:r>
            <w:r w:rsidR="00855771" w:rsidRPr="00A23740">
              <w:rPr>
                <w:b/>
                <w:bCs/>
                <w:color w:val="0000FF"/>
                <w:szCs w:val="28"/>
              </w:rPr>
              <w:t>hukuk</w:t>
            </w:r>
            <w:r w:rsidR="00855771" w:rsidRPr="00A23740">
              <w:rPr>
                <w:rFonts w:eastAsia="Times New Roman"/>
                <w:b/>
                <w:bCs/>
                <w:color w:val="0000FF"/>
                <w:szCs w:val="28"/>
              </w:rPr>
              <w:t xml:space="preserve"> </w:t>
            </w:r>
            <w:r w:rsidR="00855771" w:rsidRPr="00A23740">
              <w:rPr>
                <w:rFonts w:eastAsia="Times New Roman"/>
                <w:color w:val="000000"/>
                <w:szCs w:val="28"/>
                <w:lang w:eastAsia="tr-TR"/>
              </w:rPr>
              <w:t>mahkemelerinde bakılır.</w:t>
            </w:r>
            <w:r w:rsidR="00855771" w:rsidRPr="00A23740">
              <w:rPr>
                <w:rFonts w:eastAsia="Times New Roman"/>
                <w:b/>
                <w:bCs/>
                <w:color w:val="0000FF"/>
                <w:szCs w:val="28"/>
              </w:rPr>
              <w:t xml:space="preserve"> </w:t>
            </w:r>
            <w:r w:rsidR="00855771" w:rsidRPr="00A23740">
              <w:rPr>
                <w:b/>
                <w:bCs/>
                <w:color w:val="0000FF"/>
                <w:szCs w:val="28"/>
              </w:rPr>
              <w:t>Mahkeme, açılan tazminat davasını ilgili</w:t>
            </w:r>
            <w:r w:rsidR="0098462A" w:rsidRPr="00A23740">
              <w:rPr>
                <w:b/>
                <w:bCs/>
                <w:color w:val="0000FF"/>
                <w:szCs w:val="28"/>
              </w:rPr>
              <w:t>ye</w:t>
            </w:r>
            <w:r w:rsidR="00855771" w:rsidRPr="00A23740">
              <w:rPr>
                <w:b/>
                <w:bCs/>
                <w:color w:val="0000FF"/>
                <w:szCs w:val="28"/>
              </w:rPr>
              <w:t xml:space="preserve"> resen ihbar eder</w:t>
            </w:r>
            <w:r w:rsidR="00855771" w:rsidRPr="00A23740">
              <w:rPr>
                <w:rFonts w:eastAsia="Times New Roman"/>
                <w:color w:val="000000"/>
                <w:szCs w:val="28"/>
                <w:lang w:eastAsia="tr-TR"/>
              </w:rPr>
              <w:t>.</w:t>
            </w:r>
          </w:p>
          <w:p w:rsidR="001E132C" w:rsidRPr="00A23740" w:rsidRDefault="001E132C" w:rsidP="009431FF">
            <w:pPr>
              <w:tabs>
                <w:tab w:val="left" w:pos="567"/>
              </w:tabs>
              <w:rPr>
                <w:b/>
                <w:color w:val="FF0000"/>
                <w:szCs w:val="24"/>
              </w:rPr>
            </w:pPr>
          </w:p>
          <w:p w:rsidR="00855771" w:rsidRPr="00A23740" w:rsidRDefault="00855771" w:rsidP="009431FF">
            <w:pPr>
              <w:pStyle w:val="NormalWeb"/>
              <w:spacing w:before="0" w:beforeAutospacing="0" w:after="0"/>
              <w:rPr>
                <w:rFonts w:eastAsia="Calibri"/>
                <w:lang w:eastAsia="en-US"/>
              </w:rPr>
            </w:pPr>
            <w:r w:rsidRPr="00A23740">
              <w:rPr>
                <w:rFonts w:eastAsia="Calibri"/>
                <w:b/>
                <w:bCs/>
                <w:color w:val="0000FF"/>
              </w:rPr>
              <w:t>(2) Tazminat</w:t>
            </w:r>
            <w:r w:rsidRPr="00A23740">
              <w:rPr>
                <w:rFonts w:eastAsia="Calibri"/>
                <w:b/>
                <w:color w:val="0000FF"/>
              </w:rPr>
              <w:t xml:space="preserve"> </w:t>
            </w:r>
            <w:r w:rsidR="00B0209A" w:rsidRPr="00A23740">
              <w:rPr>
                <w:rStyle w:val="MaviChar"/>
                <w:rFonts w:eastAsia="Calibri"/>
              </w:rPr>
              <w:t>istemi</w:t>
            </w:r>
            <w:r w:rsidRPr="00A23740">
              <w:rPr>
                <w:rFonts w:eastAsia="Calibri"/>
                <w:lang w:eastAsia="en-US"/>
              </w:rPr>
              <w:t xml:space="preserve">, </w:t>
            </w:r>
            <w:r w:rsidRPr="00A23740">
              <w:rPr>
                <w:rFonts w:eastAsia="Calibri"/>
                <w:b/>
                <w:bCs/>
                <w:color w:val="0000FF"/>
              </w:rPr>
              <w:t>zarar gören</w:t>
            </w:r>
            <w:r w:rsidR="00B0209A" w:rsidRPr="00A23740">
              <w:rPr>
                <w:rFonts w:eastAsia="Calibri"/>
                <w:b/>
                <w:bCs/>
                <w:color w:val="0000FF"/>
                <w:lang w:val="tr-TR"/>
              </w:rPr>
              <w:t>in</w:t>
            </w:r>
            <w:r w:rsidRPr="00A23740">
              <w:rPr>
                <w:rFonts w:eastAsia="Calibri"/>
                <w:lang w:eastAsia="en-US"/>
              </w:rPr>
              <w:t xml:space="preserve"> zararı öğrendiği </w:t>
            </w:r>
            <w:r w:rsidRPr="00A23740">
              <w:rPr>
                <w:rFonts w:eastAsia="Calibri"/>
                <w:b/>
                <w:bCs/>
                <w:color w:val="0000FF"/>
              </w:rPr>
              <w:t>tarihten itibaren iki yıl</w:t>
            </w:r>
            <w:r w:rsidRPr="00A23740">
              <w:rPr>
                <w:rFonts w:eastAsia="Calibri"/>
                <w:lang w:eastAsia="en-US"/>
              </w:rPr>
              <w:t xml:space="preserve"> ve her h</w:t>
            </w:r>
            <w:r w:rsidR="00C219C2" w:rsidRPr="00A23740">
              <w:rPr>
                <w:rFonts w:eastAsia="Calibri"/>
                <w:lang w:val="tr-TR" w:eastAsia="en-US"/>
              </w:rPr>
              <w:t>â</w:t>
            </w:r>
            <w:r w:rsidRPr="00A23740">
              <w:rPr>
                <w:rFonts w:eastAsia="Calibri"/>
                <w:lang w:eastAsia="en-US"/>
              </w:rPr>
              <w:t>lde zarar</w:t>
            </w:r>
            <w:r w:rsidRPr="00A23740">
              <w:rPr>
                <w:rFonts w:eastAsia="Calibri"/>
                <w:b/>
                <w:color w:val="0000FF"/>
              </w:rPr>
              <w:t>ı</w:t>
            </w:r>
            <w:r w:rsidRPr="00A23740">
              <w:rPr>
                <w:rFonts w:eastAsia="Calibri"/>
                <w:lang w:eastAsia="en-US"/>
              </w:rPr>
              <w:t xml:space="preserve"> </w:t>
            </w:r>
            <w:r w:rsidRPr="00A23740">
              <w:rPr>
                <w:rFonts w:eastAsia="Calibri"/>
                <w:b/>
                <w:bCs/>
                <w:color w:val="0000FF"/>
              </w:rPr>
              <w:t>doğuran</w:t>
            </w:r>
            <w:r w:rsidRPr="00A23740">
              <w:rPr>
                <w:rFonts w:eastAsia="Calibri"/>
                <w:lang w:eastAsia="en-US"/>
              </w:rPr>
              <w:t xml:space="preserve"> fiilin </w:t>
            </w:r>
            <w:r w:rsidRPr="00A23740">
              <w:rPr>
                <w:rFonts w:eastAsia="Calibri"/>
                <w:b/>
                <w:bCs/>
                <w:color w:val="0000FF"/>
              </w:rPr>
              <w:t>işlendiği tarihten itibaren</w:t>
            </w:r>
            <w:r w:rsidRPr="00A23740">
              <w:rPr>
                <w:rFonts w:eastAsia="Calibri"/>
                <w:lang w:eastAsia="en-US"/>
              </w:rPr>
              <w:t xml:space="preserve"> on </w:t>
            </w:r>
            <w:r w:rsidRPr="00A23740">
              <w:rPr>
                <w:rFonts w:eastAsia="Calibri"/>
                <w:b/>
                <w:bCs/>
                <w:color w:val="0000FF"/>
              </w:rPr>
              <w:t>yıl</w:t>
            </w:r>
            <w:r w:rsidR="00B0209A" w:rsidRPr="00A23740">
              <w:rPr>
                <w:rFonts w:eastAsia="Calibri"/>
                <w:b/>
                <w:bCs/>
                <w:color w:val="0000FF"/>
                <w:lang w:val="tr-TR"/>
              </w:rPr>
              <w:t>ın</w:t>
            </w:r>
            <w:r w:rsidRPr="00A23740">
              <w:rPr>
                <w:rFonts w:eastAsia="Calibri"/>
                <w:b/>
                <w:color w:val="0000FF"/>
              </w:rPr>
              <w:t xml:space="preserve"> </w:t>
            </w:r>
            <w:r w:rsidRPr="00A23740">
              <w:rPr>
                <w:rFonts w:eastAsia="Calibri"/>
                <w:lang w:eastAsia="en-US"/>
              </w:rPr>
              <w:t xml:space="preserve">geçmesiyle zamanaşımına uğrar. Şu kadar ki </w:t>
            </w:r>
            <w:r w:rsidRPr="00A23740">
              <w:rPr>
                <w:rFonts w:eastAsia="Calibri"/>
                <w:b/>
                <w:bCs/>
                <w:color w:val="0000FF"/>
              </w:rPr>
              <w:t>zarar</w:t>
            </w:r>
            <w:r w:rsidRPr="00A23740">
              <w:rPr>
                <w:rFonts w:eastAsia="Calibri"/>
                <w:lang w:eastAsia="en-US"/>
              </w:rPr>
              <w:t xml:space="preserve"> cezayı </w:t>
            </w:r>
            <w:r w:rsidRPr="00A23740">
              <w:rPr>
                <w:rFonts w:eastAsia="Calibri"/>
                <w:bCs/>
                <w:szCs w:val="22"/>
                <w:lang w:eastAsia="en-US"/>
              </w:rPr>
              <w:t xml:space="preserve">gerektiren </w:t>
            </w:r>
            <w:r w:rsidRPr="00A23740">
              <w:rPr>
                <w:rFonts w:eastAsia="Calibri"/>
                <w:lang w:eastAsia="en-US"/>
              </w:rPr>
              <w:t xml:space="preserve">bir fiilin neticesi olup </w:t>
            </w:r>
            <w:r w:rsidRPr="00A23740">
              <w:rPr>
                <w:rFonts w:eastAsia="Calibri"/>
                <w:b/>
                <w:bCs/>
                <w:color w:val="0000FF"/>
              </w:rPr>
              <w:t>da</w:t>
            </w:r>
            <w:r w:rsidRPr="00A23740">
              <w:rPr>
                <w:rFonts w:eastAsia="Calibri"/>
                <w:lang w:eastAsia="en-US"/>
              </w:rPr>
              <w:t xml:space="preserve"> ceza kanunları bu fiili daha uzun bir zamanaşımına tabi tutmakta ise </w:t>
            </w:r>
            <w:r w:rsidRPr="00A23740">
              <w:rPr>
                <w:rFonts w:eastAsia="Calibri"/>
                <w:b/>
                <w:bCs/>
                <w:color w:val="0000FF"/>
              </w:rPr>
              <w:t>tazminat</w:t>
            </w:r>
            <w:r w:rsidRPr="00A23740">
              <w:rPr>
                <w:rFonts w:eastAsia="Calibri"/>
                <w:lang w:eastAsia="en-US"/>
              </w:rPr>
              <w:t xml:space="preserve"> davasında da ceza zamanaşımı </w:t>
            </w:r>
            <w:r w:rsidRPr="00A23740">
              <w:rPr>
                <w:rFonts w:eastAsia="Calibri"/>
                <w:b/>
                <w:bCs/>
                <w:color w:val="0000FF"/>
              </w:rPr>
              <w:t>uygulanır</w:t>
            </w:r>
            <w:r w:rsidRPr="00A23740">
              <w:rPr>
                <w:rFonts w:eastAsia="Calibri"/>
                <w:lang w:eastAsia="en-US"/>
              </w:rPr>
              <w:t>.</w:t>
            </w:r>
          </w:p>
          <w:p w:rsidR="001E132C" w:rsidRPr="00A23740" w:rsidRDefault="001E132C" w:rsidP="009431FF">
            <w:pPr>
              <w:tabs>
                <w:tab w:val="left" w:pos="567"/>
              </w:tabs>
              <w:rPr>
                <w:rStyle w:val="MAVChar"/>
                <w:rFonts w:eastAsia="Calibri"/>
                <w:u w:val="none"/>
              </w:rPr>
            </w:pPr>
          </w:p>
          <w:p w:rsidR="00855771" w:rsidRPr="00A23740" w:rsidRDefault="00855771" w:rsidP="009431FF">
            <w:pPr>
              <w:tabs>
                <w:tab w:val="left" w:pos="567"/>
              </w:tabs>
              <w:rPr>
                <w:b/>
                <w:color w:val="FF0000"/>
                <w:szCs w:val="24"/>
              </w:rPr>
            </w:pPr>
            <w:r w:rsidRPr="00A23740">
              <w:rPr>
                <w:b/>
                <w:bCs/>
                <w:color w:val="0000FF"/>
                <w:szCs w:val="24"/>
                <w:lang w:val="x-none" w:eastAsia="x-none"/>
              </w:rPr>
              <w:t>(3) Tazminat davası esastan reddedilirse davacı,</w:t>
            </w:r>
            <w:r w:rsidRPr="00A23740">
              <w:rPr>
                <w:b/>
                <w:bCs/>
                <w:color w:val="0000FF"/>
                <w:szCs w:val="24"/>
                <w:lang w:eastAsia="x-none"/>
              </w:rPr>
              <w:t xml:space="preserve"> </w:t>
            </w:r>
            <w:r w:rsidRPr="00A23740">
              <w:rPr>
                <w:b/>
                <w:bCs/>
                <w:color w:val="0000FF"/>
                <w:szCs w:val="24"/>
                <w:lang w:val="x-none" w:eastAsia="x-none"/>
              </w:rPr>
              <w:t xml:space="preserve">bin Türk </w:t>
            </w:r>
            <w:r w:rsidR="009052BF" w:rsidRPr="00A23740">
              <w:rPr>
                <w:b/>
                <w:bCs/>
                <w:color w:val="0000FF"/>
                <w:szCs w:val="24"/>
                <w:lang w:val="x-none" w:eastAsia="x-none"/>
              </w:rPr>
              <w:t xml:space="preserve">lirasindan </w:t>
            </w:r>
            <w:r w:rsidRPr="00A23740">
              <w:rPr>
                <w:b/>
                <w:bCs/>
                <w:color w:val="0000FF"/>
                <w:szCs w:val="24"/>
                <w:lang w:val="x-none" w:eastAsia="x-none"/>
              </w:rPr>
              <w:t>onbin</w:t>
            </w:r>
            <w:r w:rsidRPr="00A23740">
              <w:rPr>
                <w:b/>
                <w:bCs/>
                <w:color w:val="0000FF"/>
                <w:szCs w:val="24"/>
                <w:lang w:eastAsia="x-none"/>
              </w:rPr>
              <w:t xml:space="preserve"> </w:t>
            </w:r>
            <w:r w:rsidRPr="00A23740">
              <w:rPr>
                <w:b/>
                <w:bCs/>
                <w:color w:val="0000FF"/>
                <w:szCs w:val="24"/>
                <w:lang w:val="x-none" w:eastAsia="x-none"/>
              </w:rPr>
              <w:t xml:space="preserve">Türk </w:t>
            </w:r>
            <w:r w:rsidR="009052BF" w:rsidRPr="00A23740">
              <w:rPr>
                <w:b/>
                <w:bCs/>
                <w:color w:val="0000FF"/>
                <w:szCs w:val="24"/>
                <w:lang w:val="x-none" w:eastAsia="x-none"/>
              </w:rPr>
              <w:t xml:space="preserve">lirasina </w:t>
            </w:r>
            <w:r w:rsidRPr="00A23740">
              <w:rPr>
                <w:b/>
                <w:bCs/>
                <w:color w:val="0000FF"/>
                <w:szCs w:val="24"/>
                <w:lang w:val="x-none" w:eastAsia="x-none"/>
              </w:rPr>
              <w:t>kadar disiplin para cezasına mahk</w:t>
            </w:r>
            <w:r w:rsidR="00506C64" w:rsidRPr="00A23740">
              <w:rPr>
                <w:b/>
                <w:bCs/>
                <w:color w:val="0000FF"/>
                <w:szCs w:val="24"/>
                <w:lang w:eastAsia="x-none"/>
              </w:rPr>
              <w:t>û</w:t>
            </w:r>
            <w:r w:rsidRPr="00A23740">
              <w:rPr>
                <w:b/>
                <w:bCs/>
                <w:color w:val="0000FF"/>
                <w:szCs w:val="24"/>
                <w:lang w:val="x-none" w:eastAsia="x-none"/>
              </w:rPr>
              <w:t>m edilir.</w:t>
            </w:r>
          </w:p>
          <w:p w:rsidR="00A339BC" w:rsidRPr="00A23740" w:rsidRDefault="00A339BC" w:rsidP="009431FF">
            <w:pPr>
              <w:pStyle w:val="KIRMIZI"/>
            </w:pPr>
          </w:p>
          <w:p w:rsidR="00855771" w:rsidRPr="00A23740" w:rsidRDefault="00855771" w:rsidP="009431FF">
            <w:pPr>
              <w:tabs>
                <w:tab w:val="left" w:pos="567"/>
              </w:tabs>
              <w:rPr>
                <w:b/>
                <w:bCs/>
                <w:color w:val="0000FF"/>
                <w:szCs w:val="24"/>
                <w:lang w:val="x-none" w:eastAsia="x-none"/>
              </w:rPr>
            </w:pPr>
            <w:r w:rsidRPr="00A23740">
              <w:rPr>
                <w:b/>
                <w:bCs/>
                <w:color w:val="0000FF"/>
                <w:szCs w:val="24"/>
                <w:lang w:val="x-none" w:eastAsia="x-none"/>
              </w:rPr>
              <w:t>(4)</w:t>
            </w:r>
            <w:r w:rsidRPr="00A23740">
              <w:rPr>
                <w:b/>
                <w:bCs/>
                <w:color w:val="0000FF"/>
                <w:szCs w:val="24"/>
              </w:rPr>
              <w:t xml:space="preserve"> Adalet Bakanlığı, ödemek</w:t>
            </w:r>
            <w:r w:rsidRPr="00A23740">
              <w:rPr>
                <w:b/>
                <w:bCs/>
                <w:color w:val="0000FF"/>
                <w:szCs w:val="24"/>
                <w:lang w:eastAsia="x-none"/>
              </w:rPr>
              <w:t xml:space="preserve"> zorunda kaldığı tazminat nedeniyle </w:t>
            </w:r>
            <w:r w:rsidRPr="00A23740">
              <w:rPr>
                <w:szCs w:val="24"/>
              </w:rPr>
              <w:t>zararın meydana gelmesinde</w:t>
            </w:r>
            <w:r w:rsidRPr="00A23740">
              <w:rPr>
                <w:bCs/>
                <w:szCs w:val="24"/>
              </w:rPr>
              <w:t xml:space="preserve"> kusuru bulunan</w:t>
            </w:r>
            <w:r w:rsidRPr="00A23740">
              <w:rPr>
                <w:b/>
                <w:bCs/>
                <w:color w:val="0000FF"/>
                <w:szCs w:val="24"/>
                <w:lang w:val="x-none" w:eastAsia="x-none"/>
              </w:rPr>
              <w:t>lara</w:t>
            </w:r>
            <w:r w:rsidRPr="00A23740">
              <w:rPr>
                <w:b/>
                <w:bCs/>
                <w:color w:val="0000FF"/>
                <w:szCs w:val="24"/>
                <w:lang w:eastAsia="x-none"/>
              </w:rPr>
              <w:t xml:space="preserve"> </w:t>
            </w:r>
            <w:r w:rsidRPr="00A23740">
              <w:rPr>
                <w:lang w:eastAsia="x-none"/>
              </w:rPr>
              <w:t>öd</w:t>
            </w:r>
            <w:r w:rsidRPr="00A23740">
              <w:rPr>
                <w:b/>
                <w:bCs/>
                <w:color w:val="0000FF"/>
                <w:szCs w:val="24"/>
                <w:lang w:val="x-none" w:eastAsia="x-none"/>
              </w:rPr>
              <w:t xml:space="preserve">eme tarihinden </w:t>
            </w:r>
            <w:r w:rsidRPr="00A23740">
              <w:rPr>
                <w:b/>
                <w:bCs/>
                <w:color w:val="0000FF"/>
                <w:szCs w:val="24"/>
              </w:rPr>
              <w:t xml:space="preserve">itibaren </w:t>
            </w:r>
            <w:r w:rsidR="008C71E7" w:rsidRPr="00A23740">
              <w:rPr>
                <w:b/>
                <w:bCs/>
                <w:color w:val="0000FF"/>
                <w:szCs w:val="24"/>
              </w:rPr>
              <w:t>bir</w:t>
            </w:r>
            <w:r w:rsidRPr="00A23740">
              <w:rPr>
                <w:b/>
                <w:bCs/>
                <w:color w:val="0000FF"/>
                <w:szCs w:val="24"/>
              </w:rPr>
              <w:t xml:space="preserve"> yıl</w:t>
            </w:r>
            <w:r w:rsidRPr="00A23740">
              <w:rPr>
                <w:b/>
                <w:bCs/>
                <w:color w:val="0000FF"/>
                <w:szCs w:val="24"/>
                <w:lang w:val="x-none" w:eastAsia="x-none"/>
              </w:rPr>
              <w:t xml:space="preserve"> içinde</w:t>
            </w:r>
            <w:r w:rsidRPr="00A23740">
              <w:rPr>
                <w:b/>
                <w:bCs/>
                <w:color w:val="0000FF"/>
                <w:szCs w:val="24"/>
              </w:rPr>
              <w:t xml:space="preserve"> </w:t>
            </w:r>
            <w:r w:rsidRPr="00A23740">
              <w:rPr>
                <w:bCs/>
                <w:szCs w:val="24"/>
              </w:rPr>
              <w:t xml:space="preserve">rücu </w:t>
            </w:r>
            <w:r w:rsidRPr="00A23740">
              <w:rPr>
                <w:b/>
                <w:bCs/>
                <w:color w:val="0000FF"/>
                <w:szCs w:val="24"/>
                <w:lang w:val="x-none" w:eastAsia="x-none"/>
              </w:rPr>
              <w:t>eder</w:t>
            </w:r>
            <w:r w:rsidRPr="00A23740">
              <w:rPr>
                <w:bCs/>
                <w:szCs w:val="24"/>
              </w:rPr>
              <w:t xml:space="preserve">. </w:t>
            </w:r>
            <w:r w:rsidRPr="00A23740">
              <w:rPr>
                <w:b/>
                <w:bCs/>
                <w:color w:val="0000FF"/>
                <w:szCs w:val="24"/>
                <w:lang w:eastAsia="x-none"/>
              </w:rPr>
              <w:t>Rücu davası, t</w:t>
            </w:r>
            <w:r w:rsidRPr="00A23740">
              <w:rPr>
                <w:b/>
                <w:bCs/>
                <w:color w:val="0000FF"/>
                <w:szCs w:val="24"/>
                <w:lang w:val="x-none" w:eastAsia="x-none"/>
              </w:rPr>
              <w:t>azminat davasını karara bağlamış olan mahkemede görülür.</w:t>
            </w:r>
          </w:p>
          <w:p w:rsidR="00855771" w:rsidRPr="00A23740" w:rsidRDefault="00855771" w:rsidP="009431FF">
            <w:pPr>
              <w:tabs>
                <w:tab w:val="left" w:pos="567"/>
              </w:tabs>
              <w:rPr>
                <w:b/>
                <w:bCs/>
                <w:color w:val="0000FF"/>
                <w:szCs w:val="24"/>
                <w:lang w:val="x-none" w:eastAsia="x-none"/>
              </w:rPr>
            </w:pPr>
          </w:p>
          <w:p w:rsidR="00855771" w:rsidRPr="00A23740" w:rsidRDefault="00855771" w:rsidP="009431FF">
            <w:pPr>
              <w:tabs>
                <w:tab w:val="left" w:pos="567"/>
              </w:tabs>
              <w:rPr>
                <w:b/>
                <w:bCs/>
                <w:color w:val="0000FF"/>
                <w:szCs w:val="24"/>
                <w:lang w:val="x-none" w:eastAsia="x-none"/>
              </w:rPr>
            </w:pPr>
            <w:r w:rsidRPr="00A23740">
              <w:rPr>
                <w:b/>
                <w:bCs/>
                <w:color w:val="0000FF"/>
                <w:szCs w:val="24"/>
                <w:lang w:val="x-none" w:eastAsia="x-none"/>
              </w:rPr>
              <w:t xml:space="preserve">(5) </w:t>
            </w:r>
            <w:r w:rsidR="008C71E7" w:rsidRPr="00A23740">
              <w:rPr>
                <w:b/>
                <w:bCs/>
                <w:color w:val="0000FF"/>
                <w:szCs w:val="24"/>
                <w:lang w:eastAsia="x-none"/>
              </w:rPr>
              <w:t xml:space="preserve">Adalet </w:t>
            </w:r>
            <w:r w:rsidRPr="00A23740">
              <w:rPr>
                <w:b/>
                <w:bCs/>
                <w:color w:val="0000FF"/>
                <w:szCs w:val="24"/>
                <w:lang w:val="x-none" w:eastAsia="x-none"/>
              </w:rPr>
              <w:t>Bakanlı</w:t>
            </w:r>
            <w:r w:rsidR="008C71E7" w:rsidRPr="00A23740">
              <w:rPr>
                <w:b/>
                <w:bCs/>
                <w:color w:val="0000FF"/>
                <w:szCs w:val="24"/>
                <w:lang w:eastAsia="x-none"/>
              </w:rPr>
              <w:t>ğı</w:t>
            </w:r>
            <w:r w:rsidRPr="00A23740">
              <w:rPr>
                <w:b/>
                <w:bCs/>
                <w:color w:val="0000FF"/>
                <w:szCs w:val="24"/>
                <w:lang w:val="x-none" w:eastAsia="x-none"/>
              </w:rPr>
              <w:t>, ödemek zorunda kaldığı</w:t>
            </w:r>
            <w:r w:rsidR="00CE54E6" w:rsidRPr="00A23740">
              <w:rPr>
                <w:b/>
                <w:bCs/>
                <w:color w:val="0000FF"/>
                <w:szCs w:val="24"/>
                <w:lang w:val="x-none" w:eastAsia="x-none"/>
              </w:rPr>
              <w:t xml:space="preserve"> </w:t>
            </w:r>
            <w:r w:rsidRPr="00A23740">
              <w:rPr>
                <w:rStyle w:val="Balk1Char"/>
                <w:rFonts w:eastAsia="Calibri"/>
              </w:rPr>
              <w:t>tazminat nedeniyle</w:t>
            </w:r>
            <w:r w:rsidRPr="00A23740">
              <w:rPr>
                <w:b/>
                <w:bCs/>
                <w:color w:val="0000FF"/>
                <w:szCs w:val="24"/>
                <w:lang w:val="x-none" w:eastAsia="x-none"/>
              </w:rPr>
              <w:t xml:space="preserve"> sebepsiz yere zenginleşenlere </w:t>
            </w:r>
            <w:r w:rsidRPr="00A23740">
              <w:rPr>
                <w:b/>
                <w:bCs/>
                <w:color w:val="0000FF"/>
                <w:szCs w:val="24"/>
                <w:lang w:eastAsia="x-none"/>
              </w:rPr>
              <w:t xml:space="preserve">genel hükümlere göre </w:t>
            </w:r>
            <w:r w:rsidRPr="00A23740">
              <w:rPr>
                <w:b/>
                <w:bCs/>
                <w:color w:val="0000FF"/>
                <w:szCs w:val="24"/>
                <w:lang w:val="x-none" w:eastAsia="x-none"/>
              </w:rPr>
              <w:t xml:space="preserve">başvurabilir. </w:t>
            </w:r>
            <w:r w:rsidR="00CE54E6" w:rsidRPr="00A23740">
              <w:rPr>
                <w:b/>
                <w:bCs/>
                <w:color w:val="0000FF"/>
                <w:szCs w:val="24"/>
                <w:lang w:val="x-none" w:eastAsia="x-none"/>
              </w:rPr>
              <w:lastRenderedPageBreak/>
              <w:t xml:space="preserve">Bu dava, </w:t>
            </w:r>
            <w:r w:rsidRPr="00A23740">
              <w:rPr>
                <w:b/>
                <w:bCs/>
                <w:color w:val="0000FF"/>
                <w:szCs w:val="24"/>
                <w:lang w:val="x-none" w:eastAsia="x-none"/>
              </w:rPr>
              <w:t>tazminat davasını karara bağlamış olan mahkemede görülür.</w:t>
            </w:r>
          </w:p>
          <w:p w:rsidR="00855771" w:rsidRPr="00A23740" w:rsidRDefault="00855771" w:rsidP="009431FF">
            <w:pPr>
              <w:tabs>
                <w:tab w:val="left" w:pos="567"/>
              </w:tabs>
              <w:rPr>
                <w:b/>
                <w:bCs/>
                <w:color w:val="0000FF"/>
                <w:szCs w:val="24"/>
                <w:lang w:val="x-none" w:eastAsia="x-none"/>
              </w:rPr>
            </w:pPr>
          </w:p>
          <w:p w:rsidR="00855771" w:rsidRPr="00A23740" w:rsidRDefault="00855771" w:rsidP="009431FF">
            <w:pPr>
              <w:tabs>
                <w:tab w:val="left" w:pos="567"/>
              </w:tabs>
              <w:rPr>
                <w:b/>
                <w:bCs/>
                <w:color w:val="0000FF"/>
                <w:szCs w:val="24"/>
                <w:lang w:val="x-none" w:eastAsia="x-none"/>
              </w:rPr>
            </w:pPr>
            <w:r w:rsidRPr="00A23740">
              <w:rPr>
                <w:b/>
                <w:bCs/>
                <w:color w:val="0000FF"/>
                <w:szCs w:val="24"/>
                <w:lang w:val="x-none" w:eastAsia="x-none"/>
              </w:rPr>
              <w:t>(6) Şikâyet ve diğer kanun yollarına başvurmayarak zararı engellemeye veya zararın miktarını azaltmaya yönelik işlem yapmayan veya borçlunun başkaca mal varlığını paraya çevirme imkânı bulunan tarafın açtığı tazminat davasında, bu hususlar zararın tespiti bakımından resen değerlendirilir.</w:t>
            </w:r>
          </w:p>
          <w:p w:rsidR="00E40DE7" w:rsidRPr="00A23740" w:rsidRDefault="00E40DE7" w:rsidP="009431FF">
            <w:pPr>
              <w:tabs>
                <w:tab w:val="left" w:pos="567"/>
              </w:tabs>
              <w:rPr>
                <w:rFonts w:eastAsia="Times New Roman"/>
                <w:b/>
                <w:bCs/>
                <w:szCs w:val="24"/>
                <w:lang w:eastAsia="tr-TR"/>
              </w:rPr>
            </w:pPr>
          </w:p>
        </w:tc>
      </w:tr>
      <w:tr w:rsidR="00083972" w:rsidRPr="00A23740" w:rsidTr="009431FF">
        <w:tc>
          <w:tcPr>
            <w:tcW w:w="5000" w:type="pct"/>
            <w:gridSpan w:val="2"/>
            <w:shd w:val="clear" w:color="auto" w:fill="DEEAF6"/>
          </w:tcPr>
          <w:p w:rsidR="00F77FB4" w:rsidRPr="00A23740" w:rsidRDefault="00F77FB4" w:rsidP="009431FF">
            <w:pPr>
              <w:pStyle w:val="Mavi"/>
              <w:ind w:firstLine="709"/>
              <w:rPr>
                <w:color w:val="auto"/>
                <w:lang w:val="tr-TR"/>
              </w:rPr>
            </w:pPr>
          </w:p>
          <w:p w:rsidR="00460D34" w:rsidRPr="00A23740" w:rsidRDefault="00D1546D" w:rsidP="009431FF">
            <w:pPr>
              <w:pStyle w:val="Mavi"/>
              <w:ind w:firstLine="709"/>
              <w:rPr>
                <w:b w:val="0"/>
                <w:color w:val="auto"/>
                <w:lang w:val="tr-TR"/>
              </w:rPr>
            </w:pPr>
            <w:r w:rsidRPr="00A23740">
              <w:rPr>
                <w:color w:val="auto"/>
                <w:lang w:val="tr-TR"/>
              </w:rPr>
              <w:t>MADDE 7</w:t>
            </w:r>
            <w:r w:rsidR="00F77FB4" w:rsidRPr="00A23740">
              <w:rPr>
                <w:color w:val="auto"/>
                <w:lang w:val="tr-TR"/>
              </w:rPr>
              <w:t xml:space="preserve">- </w:t>
            </w:r>
            <w:r w:rsidR="00F77FB4" w:rsidRPr="00A23740">
              <w:rPr>
                <w:b w:val="0"/>
                <w:color w:val="auto"/>
                <w:lang w:val="tr-TR"/>
              </w:rPr>
              <w:t>Maddeyle,</w:t>
            </w:r>
            <w:r w:rsidR="007F72D8" w:rsidRPr="00A23740">
              <w:rPr>
                <w:b w:val="0"/>
                <w:color w:val="auto"/>
                <w:lang w:val="tr-TR"/>
              </w:rPr>
              <w:t xml:space="preserve"> icra ve iflas işlemlerini yapmakla görevli olanların hukuki sorumluluklarına dair</w:t>
            </w:r>
            <w:r w:rsidR="00F77FB4" w:rsidRPr="00A23740">
              <w:rPr>
                <w:b w:val="0"/>
                <w:color w:val="auto"/>
                <w:lang w:val="tr-TR"/>
              </w:rPr>
              <w:t xml:space="preserve"> esaslar düzenlenmektedir.</w:t>
            </w:r>
            <w:r w:rsidR="007F72D8" w:rsidRPr="00A23740">
              <w:rPr>
                <w:b w:val="0"/>
                <w:color w:val="auto"/>
                <w:lang w:val="tr-TR"/>
              </w:rPr>
              <w:t xml:space="preserve"> </w:t>
            </w:r>
          </w:p>
          <w:p w:rsidR="00F77FB4" w:rsidRPr="00A23740" w:rsidRDefault="00F77FB4" w:rsidP="009431FF">
            <w:pPr>
              <w:pStyle w:val="Mavi"/>
              <w:ind w:firstLine="709"/>
              <w:rPr>
                <w:b w:val="0"/>
                <w:color w:val="auto"/>
                <w:lang w:val="tr-TR"/>
              </w:rPr>
            </w:pPr>
            <w:r w:rsidRPr="00A23740">
              <w:rPr>
                <w:b w:val="0"/>
                <w:color w:val="auto"/>
                <w:lang w:val="tr-TR"/>
              </w:rPr>
              <w:t xml:space="preserve">2004 sayılı Kanunun 5 </w:t>
            </w:r>
            <w:r w:rsidR="007F72D8" w:rsidRPr="00A23740">
              <w:rPr>
                <w:b w:val="0"/>
                <w:color w:val="auto"/>
                <w:lang w:val="tr-TR"/>
              </w:rPr>
              <w:t>inci maddesinin başlığı “Sorumluluk</w:t>
            </w:r>
            <w:r w:rsidRPr="00A23740">
              <w:rPr>
                <w:b w:val="0"/>
                <w:color w:val="auto"/>
                <w:lang w:val="tr-TR"/>
              </w:rPr>
              <w:t xml:space="preserve">” </w:t>
            </w:r>
            <w:r w:rsidR="007F72D8" w:rsidRPr="00A23740">
              <w:rPr>
                <w:b w:val="0"/>
                <w:color w:val="auto"/>
                <w:lang w:val="tr-TR"/>
              </w:rPr>
              <w:t xml:space="preserve">iken </w:t>
            </w:r>
            <w:r w:rsidR="00163E5A" w:rsidRPr="00A23740">
              <w:rPr>
                <w:b w:val="0"/>
                <w:color w:val="auto"/>
                <w:lang w:val="tr-TR"/>
              </w:rPr>
              <w:t>Taslakla</w:t>
            </w:r>
            <w:r w:rsidR="007F72D8" w:rsidRPr="00A23740">
              <w:rPr>
                <w:b w:val="0"/>
                <w:color w:val="auto"/>
                <w:lang w:val="tr-TR"/>
              </w:rPr>
              <w:t xml:space="preserve">, maddenin başlığı </w:t>
            </w:r>
            <w:r w:rsidRPr="00A23740">
              <w:rPr>
                <w:b w:val="0"/>
                <w:color w:val="auto"/>
                <w:lang w:val="tr-TR"/>
              </w:rPr>
              <w:t>“Hukuki sorumluluk</w:t>
            </w:r>
            <w:r w:rsidR="007F72D8" w:rsidRPr="00A23740">
              <w:rPr>
                <w:b w:val="0"/>
                <w:color w:val="auto"/>
                <w:lang w:val="tr-TR"/>
              </w:rPr>
              <w:t>” olarak değiştirilmektedir.</w:t>
            </w:r>
          </w:p>
          <w:p w:rsidR="00B941C6" w:rsidRPr="00A23740" w:rsidRDefault="007F72D8" w:rsidP="009431FF">
            <w:pPr>
              <w:pStyle w:val="Mavi"/>
              <w:ind w:firstLine="709"/>
              <w:rPr>
                <w:b w:val="0"/>
                <w:color w:val="auto"/>
                <w:lang w:val="tr-TR"/>
              </w:rPr>
            </w:pPr>
            <w:r w:rsidRPr="00A23740">
              <w:rPr>
                <w:b w:val="0"/>
                <w:color w:val="auto"/>
                <w:lang w:val="tr-TR"/>
              </w:rPr>
              <w:t>Birinci fıkrayla, icra</w:t>
            </w:r>
            <w:r w:rsidR="00E40DE7" w:rsidRPr="00A23740">
              <w:rPr>
                <w:b w:val="0"/>
                <w:color w:val="auto"/>
                <w:lang w:val="tr-TR"/>
              </w:rPr>
              <w:t xml:space="preserve"> ve iflas </w:t>
            </w:r>
            <w:r w:rsidR="004A665D" w:rsidRPr="00A23740">
              <w:rPr>
                <w:b w:val="0"/>
                <w:color w:val="auto"/>
                <w:lang w:val="tr-TR"/>
              </w:rPr>
              <w:t>daireleri</w:t>
            </w:r>
            <w:r w:rsidRPr="00A23740">
              <w:rPr>
                <w:b w:val="0"/>
                <w:color w:val="auto"/>
                <w:lang w:val="tr-TR"/>
              </w:rPr>
              <w:t xml:space="preserve"> görevlilerinin, iflas idare memurlarının, komiserlerin, proje denetçilerinin, tasfiye memurlarının, icra ve iflas dairelerince cebr</w:t>
            </w:r>
            <w:r w:rsidR="00070384" w:rsidRPr="00A23740">
              <w:rPr>
                <w:b w:val="0"/>
                <w:color w:val="auto"/>
                <w:lang w:val="tr-TR"/>
              </w:rPr>
              <w:t>î</w:t>
            </w:r>
            <w:r w:rsidRPr="00A23740">
              <w:rPr>
                <w:b w:val="0"/>
                <w:color w:val="auto"/>
                <w:lang w:val="tr-TR"/>
              </w:rPr>
              <w:t xml:space="preserve"> icra faaliyetinde görevlendirilen kişilerin ve kolluk görevlilerin</w:t>
            </w:r>
            <w:r w:rsidR="00C035F5" w:rsidRPr="00A23740">
              <w:rPr>
                <w:b w:val="0"/>
                <w:color w:val="auto"/>
                <w:lang w:val="tr-TR"/>
              </w:rPr>
              <w:t>in bu Kanunla verilen görevlerin</w:t>
            </w:r>
            <w:r w:rsidRPr="00A23740">
              <w:rPr>
                <w:b w:val="0"/>
                <w:color w:val="auto"/>
                <w:lang w:val="tr-TR"/>
              </w:rPr>
              <w:t xml:space="preserve"> ifası sırasında kusurlarından doğan tazminat davaları</w:t>
            </w:r>
            <w:r w:rsidR="00D910AC" w:rsidRPr="00A23740">
              <w:rPr>
                <w:b w:val="0"/>
                <w:color w:val="auto"/>
                <w:lang w:val="tr-TR"/>
              </w:rPr>
              <w:t>nın</w:t>
            </w:r>
            <w:r w:rsidR="00C035F5" w:rsidRPr="00A23740">
              <w:rPr>
                <w:b w:val="0"/>
                <w:color w:val="auto"/>
                <w:lang w:val="tr-TR"/>
              </w:rPr>
              <w:t>,</w:t>
            </w:r>
            <w:r w:rsidRPr="00A23740">
              <w:rPr>
                <w:b w:val="0"/>
                <w:color w:val="auto"/>
                <w:lang w:val="tr-TR"/>
              </w:rPr>
              <w:t xml:space="preserve"> ancak</w:t>
            </w:r>
            <w:r w:rsidR="00C035F5" w:rsidRPr="00A23740">
              <w:rPr>
                <w:b w:val="0"/>
                <w:color w:val="auto"/>
                <w:lang w:val="tr-TR"/>
              </w:rPr>
              <w:t xml:space="preserve"> Adalet</w:t>
            </w:r>
            <w:r w:rsidRPr="00A23740">
              <w:rPr>
                <w:b w:val="0"/>
                <w:color w:val="auto"/>
                <w:lang w:val="tr-TR"/>
              </w:rPr>
              <w:t xml:space="preserve"> </w:t>
            </w:r>
            <w:r w:rsidR="00C035F5" w:rsidRPr="00A23740">
              <w:rPr>
                <w:b w:val="0"/>
                <w:color w:val="auto"/>
                <w:lang w:val="tr-TR"/>
              </w:rPr>
              <w:t>Bakanlığı</w:t>
            </w:r>
            <w:r w:rsidRPr="00A23740">
              <w:rPr>
                <w:b w:val="0"/>
                <w:color w:val="auto"/>
                <w:lang w:val="tr-TR"/>
              </w:rPr>
              <w:t xml:space="preserve"> </w:t>
            </w:r>
            <w:r w:rsidR="00D910AC" w:rsidRPr="00A23740">
              <w:rPr>
                <w:b w:val="0"/>
                <w:color w:val="auto"/>
                <w:lang w:val="tr-TR"/>
              </w:rPr>
              <w:t xml:space="preserve">aleyhine açılabileceği </w:t>
            </w:r>
            <w:r w:rsidR="00460D34" w:rsidRPr="00A23740">
              <w:rPr>
                <w:b w:val="0"/>
                <w:color w:val="auto"/>
                <w:lang w:val="tr-TR"/>
              </w:rPr>
              <w:t>hükme bağlanmaktadır</w:t>
            </w:r>
            <w:r w:rsidRPr="00A23740">
              <w:rPr>
                <w:b w:val="0"/>
                <w:color w:val="auto"/>
                <w:lang w:val="tr-TR"/>
              </w:rPr>
              <w:t xml:space="preserve">. </w:t>
            </w:r>
            <w:r w:rsidR="00460D34" w:rsidRPr="00A23740">
              <w:rPr>
                <w:b w:val="0"/>
                <w:color w:val="auto"/>
                <w:lang w:val="tr-TR"/>
              </w:rPr>
              <w:t>Hüküm, 2004 sayılı Kanunun 5 inci maddesinin birinci fıkrasının birinci</w:t>
            </w:r>
            <w:r w:rsidR="00A13C14" w:rsidRPr="00A23740">
              <w:rPr>
                <w:b w:val="0"/>
                <w:color w:val="auto"/>
                <w:lang w:val="tr-TR"/>
              </w:rPr>
              <w:t xml:space="preserve"> ve üçüncü cümlelerine </w:t>
            </w:r>
            <w:r w:rsidR="00460D34" w:rsidRPr="00A23740">
              <w:rPr>
                <w:b w:val="0"/>
                <w:color w:val="auto"/>
                <w:lang w:val="tr-TR"/>
              </w:rPr>
              <w:t>karşılık gelmekte</w:t>
            </w:r>
            <w:r w:rsidR="00AD1DB2" w:rsidRPr="00A23740">
              <w:rPr>
                <w:b w:val="0"/>
                <w:color w:val="auto"/>
                <w:lang w:val="tr-TR"/>
              </w:rPr>
              <w:t>dir.</w:t>
            </w:r>
            <w:r w:rsidR="00A339BC" w:rsidRPr="00A23740">
              <w:rPr>
                <w:b w:val="0"/>
                <w:color w:val="auto"/>
                <w:lang w:val="tr-TR"/>
              </w:rPr>
              <w:t xml:space="preserve"> H</w:t>
            </w:r>
            <w:r w:rsidR="00D1546D" w:rsidRPr="00A23740">
              <w:rPr>
                <w:b w:val="0"/>
                <w:color w:val="auto"/>
                <w:lang w:val="tr-TR"/>
              </w:rPr>
              <w:t>â</w:t>
            </w:r>
            <w:r w:rsidR="00A339BC" w:rsidRPr="00A23740">
              <w:rPr>
                <w:b w:val="0"/>
                <w:color w:val="auto"/>
                <w:lang w:val="tr-TR"/>
              </w:rPr>
              <w:t xml:space="preserve">kimlerin hukuki sorumluluğu </w:t>
            </w:r>
            <w:r w:rsidR="00787788" w:rsidRPr="00A23740">
              <w:rPr>
                <w:b w:val="0"/>
                <w:color w:val="auto"/>
                <w:lang w:val="tr-TR"/>
              </w:rPr>
              <w:t xml:space="preserve">bu Kanunu da kapsayacak şekilde </w:t>
            </w:r>
            <w:r w:rsidR="00A339BC" w:rsidRPr="00A23740">
              <w:rPr>
                <w:b w:val="0"/>
                <w:color w:val="auto"/>
                <w:lang w:val="tr-TR"/>
              </w:rPr>
              <w:t>6100 sayılı</w:t>
            </w:r>
            <w:r w:rsidR="00DB332D" w:rsidRPr="00A23740">
              <w:rPr>
                <w:b w:val="0"/>
                <w:color w:val="auto"/>
                <w:lang w:val="tr-TR"/>
              </w:rPr>
              <w:t xml:space="preserve"> Hukuk</w:t>
            </w:r>
            <w:r w:rsidR="00DB332D" w:rsidRPr="00A23740">
              <w:rPr>
                <w:bCs w:val="0"/>
                <w:color w:val="auto"/>
                <w:lang w:val="tr-TR"/>
              </w:rPr>
              <w:t xml:space="preserve"> </w:t>
            </w:r>
            <w:r w:rsidR="00DB332D" w:rsidRPr="00A23740">
              <w:rPr>
                <w:b w:val="0"/>
                <w:color w:val="auto"/>
                <w:lang w:val="tr-TR"/>
              </w:rPr>
              <w:t>Muhakemeleri</w:t>
            </w:r>
            <w:r w:rsidR="00DB332D" w:rsidRPr="00A23740">
              <w:rPr>
                <w:bCs w:val="0"/>
                <w:color w:val="auto"/>
                <w:lang w:val="tr-TR"/>
              </w:rPr>
              <w:t xml:space="preserve"> </w:t>
            </w:r>
            <w:r w:rsidR="00DB332D" w:rsidRPr="00A23740">
              <w:rPr>
                <w:b w:val="0"/>
                <w:color w:val="auto"/>
                <w:lang w:val="tr-TR"/>
              </w:rPr>
              <w:t>Kanununda</w:t>
            </w:r>
            <w:r w:rsidR="00A339BC" w:rsidRPr="00A23740">
              <w:rPr>
                <w:b w:val="0"/>
                <w:color w:val="auto"/>
                <w:lang w:val="tr-TR"/>
              </w:rPr>
              <w:t xml:space="preserve"> düzenlen</w:t>
            </w:r>
            <w:r w:rsidR="00787788" w:rsidRPr="00A23740">
              <w:rPr>
                <w:b w:val="0"/>
                <w:color w:val="auto"/>
                <w:lang w:val="tr-TR"/>
              </w:rPr>
              <w:t>miş bulunduğu</w:t>
            </w:r>
            <w:r w:rsidR="00D1546D" w:rsidRPr="00A23740">
              <w:rPr>
                <w:b w:val="0"/>
                <w:color w:val="auto"/>
                <w:lang w:val="tr-TR"/>
              </w:rPr>
              <w:t>ndan</w:t>
            </w:r>
            <w:r w:rsidR="00787788" w:rsidRPr="00A23740">
              <w:rPr>
                <w:b w:val="0"/>
                <w:color w:val="auto"/>
                <w:lang w:val="tr-TR"/>
              </w:rPr>
              <w:t xml:space="preserve"> </w:t>
            </w:r>
            <w:r w:rsidR="00D1546D" w:rsidRPr="00A23740">
              <w:rPr>
                <w:b w:val="0"/>
                <w:color w:val="auto"/>
                <w:lang w:val="tr-TR"/>
              </w:rPr>
              <w:t>maddede icra hâkimi ve iflas hâ</w:t>
            </w:r>
            <w:r w:rsidR="00787788" w:rsidRPr="00A23740">
              <w:rPr>
                <w:b w:val="0"/>
                <w:color w:val="auto"/>
                <w:lang w:val="tr-TR"/>
              </w:rPr>
              <w:t>kimi ayrıca sayılmamıştır.</w:t>
            </w:r>
          </w:p>
          <w:p w:rsidR="00A13C14" w:rsidRPr="00A23740" w:rsidRDefault="00A13C14" w:rsidP="009431FF">
            <w:pPr>
              <w:pStyle w:val="Mavi"/>
              <w:ind w:firstLine="709"/>
              <w:rPr>
                <w:b w:val="0"/>
                <w:color w:val="auto"/>
                <w:lang w:val="tr-TR"/>
              </w:rPr>
            </w:pPr>
            <w:r w:rsidRPr="00A23740">
              <w:rPr>
                <w:b w:val="0"/>
                <w:color w:val="auto"/>
                <w:lang w:val="tr-TR"/>
              </w:rPr>
              <w:t>2004 sayılı Kanunun 5 inci maddesinin birin</w:t>
            </w:r>
            <w:r w:rsidR="00783BBC" w:rsidRPr="00A23740">
              <w:rPr>
                <w:b w:val="0"/>
                <w:color w:val="auto"/>
                <w:lang w:val="tr-TR"/>
              </w:rPr>
              <w:t>ci fıkrasının birinci cümlesinde,</w:t>
            </w:r>
            <w:r w:rsidRPr="00A23740">
              <w:rPr>
                <w:b w:val="0"/>
                <w:color w:val="auto"/>
                <w:lang w:val="tr-TR"/>
              </w:rPr>
              <w:t xml:space="preserve"> tazminat davalarının “idare” aleyhine açılacağı belirtildiğinden</w:t>
            </w:r>
            <w:r w:rsidR="00A82DD8" w:rsidRPr="00A23740">
              <w:rPr>
                <w:b w:val="0"/>
                <w:color w:val="auto"/>
                <w:lang w:val="tr-TR"/>
              </w:rPr>
              <w:t>,</w:t>
            </w:r>
            <w:r w:rsidRPr="00A23740">
              <w:rPr>
                <w:b w:val="0"/>
                <w:color w:val="auto"/>
                <w:lang w:val="tr-TR"/>
              </w:rPr>
              <w:t xml:space="preserve"> bu hüküm birinci fıkrada aynen muhafaza edilmekte </w:t>
            </w:r>
            <w:r w:rsidR="008F50D6" w:rsidRPr="00A23740">
              <w:rPr>
                <w:b w:val="0"/>
                <w:color w:val="auto"/>
                <w:lang w:val="tr-TR"/>
              </w:rPr>
              <w:t xml:space="preserve">ve </w:t>
            </w:r>
            <w:r w:rsidRPr="00A23740">
              <w:rPr>
                <w:b w:val="0"/>
                <w:color w:val="auto"/>
                <w:lang w:val="tr-TR"/>
              </w:rPr>
              <w:t xml:space="preserve">idarenin Adalet Bakanlığı olduğu </w:t>
            </w:r>
            <w:r w:rsidR="008F50D6" w:rsidRPr="00A23740">
              <w:rPr>
                <w:b w:val="0"/>
                <w:color w:val="auto"/>
                <w:lang w:val="tr-TR"/>
              </w:rPr>
              <w:t>tasrih edilmektedir.</w:t>
            </w:r>
          </w:p>
          <w:p w:rsidR="00B529FA" w:rsidRPr="00A23740" w:rsidRDefault="00460D34" w:rsidP="009431FF">
            <w:pPr>
              <w:pStyle w:val="Mavi"/>
              <w:ind w:firstLine="709"/>
              <w:rPr>
                <w:b w:val="0"/>
                <w:color w:val="auto"/>
                <w:lang w:val="tr-TR"/>
              </w:rPr>
            </w:pPr>
            <w:r w:rsidRPr="00A23740">
              <w:rPr>
                <w:b w:val="0"/>
                <w:color w:val="auto"/>
                <w:lang w:val="tr-TR"/>
              </w:rPr>
              <w:t>2004 sayılı Kanunun 5 inci maddesinin birinci fıkrasının birinci cümlesinde</w:t>
            </w:r>
            <w:r w:rsidR="00E40DE7" w:rsidRPr="00A23740">
              <w:rPr>
                <w:b w:val="0"/>
                <w:color w:val="auto"/>
                <w:lang w:val="tr-TR"/>
              </w:rPr>
              <w:t xml:space="preserve"> yer alan</w:t>
            </w:r>
            <w:r w:rsidRPr="00A23740">
              <w:rPr>
                <w:b w:val="0"/>
                <w:color w:val="auto"/>
                <w:lang w:val="tr-TR"/>
              </w:rPr>
              <w:t xml:space="preserve"> </w:t>
            </w:r>
            <w:r w:rsidR="00E40DE7" w:rsidRPr="00A23740">
              <w:rPr>
                <w:b w:val="0"/>
                <w:color w:val="auto"/>
                <w:lang w:val="tr-TR"/>
              </w:rPr>
              <w:t>“icra ve iflas dairesi görevlileri” ibaresi muhafaza edilmekte</w:t>
            </w:r>
            <w:r w:rsidRPr="00A23740">
              <w:rPr>
                <w:b w:val="0"/>
                <w:color w:val="auto"/>
                <w:lang w:val="tr-TR"/>
              </w:rPr>
              <w:t xml:space="preserve">, iflas ve konkordatoda görev yapanlar sayma suretiyle gösterilmekte ve ayrıca icra </w:t>
            </w:r>
            <w:r w:rsidR="00070384" w:rsidRPr="00A23740">
              <w:rPr>
                <w:b w:val="0"/>
                <w:color w:val="auto"/>
                <w:lang w:val="tr-TR"/>
              </w:rPr>
              <w:t>ve iflas dairelerince cebrî</w:t>
            </w:r>
            <w:r w:rsidRPr="00A23740">
              <w:rPr>
                <w:b w:val="0"/>
                <w:color w:val="auto"/>
                <w:lang w:val="tr-TR"/>
              </w:rPr>
              <w:t xml:space="preserve"> icra faaliyetinde görevlendirilen kişiler ile kolluk görevlileri madd</w:t>
            </w:r>
            <w:r w:rsidR="002F5D58" w:rsidRPr="00A23740">
              <w:rPr>
                <w:b w:val="0"/>
                <w:color w:val="auto"/>
                <w:lang w:val="tr-TR"/>
              </w:rPr>
              <w:t xml:space="preserve">e kapsamında zikredilmektedir. </w:t>
            </w:r>
          </w:p>
          <w:p w:rsidR="002F5D58" w:rsidRPr="00A23740" w:rsidRDefault="00163E5A" w:rsidP="009431FF">
            <w:pPr>
              <w:pStyle w:val="Mavi"/>
              <w:ind w:firstLine="709"/>
              <w:rPr>
                <w:b w:val="0"/>
                <w:color w:val="auto"/>
                <w:lang w:val="tr-TR"/>
              </w:rPr>
            </w:pPr>
            <w:r w:rsidRPr="00A23740">
              <w:rPr>
                <w:b w:val="0"/>
                <w:color w:val="auto"/>
                <w:lang w:val="tr-TR"/>
              </w:rPr>
              <w:t>Taslağın</w:t>
            </w:r>
            <w:r w:rsidR="00460D34" w:rsidRPr="00A23740">
              <w:rPr>
                <w:b w:val="0"/>
                <w:color w:val="auto"/>
                <w:lang w:val="tr-TR"/>
              </w:rPr>
              <w:t xml:space="preserve"> 6 ncı</w:t>
            </w:r>
            <w:r w:rsidR="00746D53" w:rsidRPr="00A23740">
              <w:rPr>
                <w:b w:val="0"/>
                <w:color w:val="auto"/>
                <w:lang w:val="tr-TR"/>
              </w:rPr>
              <w:t xml:space="preserve"> </w:t>
            </w:r>
            <w:r w:rsidR="00460D34" w:rsidRPr="00A23740">
              <w:rPr>
                <w:b w:val="0"/>
                <w:color w:val="auto"/>
                <w:lang w:val="tr-TR"/>
              </w:rPr>
              <w:t>maddesinin birinci fıkrasında</w:t>
            </w:r>
            <w:r w:rsidR="00460D34" w:rsidRPr="00A23740">
              <w:rPr>
                <w:color w:val="385623"/>
                <w:lang w:val="tr-TR"/>
              </w:rPr>
              <w:t>,</w:t>
            </w:r>
            <w:r w:rsidR="00460D34" w:rsidRPr="00A23740">
              <w:rPr>
                <w:b w:val="0"/>
                <w:color w:val="auto"/>
                <w:lang w:val="tr-TR"/>
              </w:rPr>
              <w:t xml:space="preserve"> icra ve iflas dairelerinde, Adalet Bakanlığı tarafından atanacak </w:t>
            </w:r>
            <w:r w:rsidR="00B529FA" w:rsidRPr="00A23740">
              <w:rPr>
                <w:b w:val="0"/>
                <w:color w:val="auto"/>
                <w:lang w:val="tr-TR"/>
              </w:rPr>
              <w:t>bir</w:t>
            </w:r>
            <w:r w:rsidR="00B529FA" w:rsidRPr="00A23740">
              <w:rPr>
                <w:color w:val="385623"/>
                <w:lang w:val="tr-TR"/>
              </w:rPr>
              <w:t xml:space="preserve"> </w:t>
            </w:r>
            <w:r w:rsidR="00B529FA" w:rsidRPr="00A23740">
              <w:rPr>
                <w:b w:val="0"/>
                <w:color w:val="auto"/>
                <w:lang w:val="tr-TR"/>
              </w:rPr>
              <w:t>müdür, yeteri</w:t>
            </w:r>
            <w:r w:rsidR="00B529FA" w:rsidRPr="00A23740">
              <w:rPr>
                <w:color w:val="385623"/>
                <w:lang w:val="tr-TR"/>
              </w:rPr>
              <w:t xml:space="preserve"> </w:t>
            </w:r>
            <w:r w:rsidR="00B529FA" w:rsidRPr="00A23740">
              <w:rPr>
                <w:b w:val="0"/>
                <w:color w:val="auto"/>
                <w:lang w:val="tr-TR"/>
              </w:rPr>
              <w:t>kadar</w:t>
            </w:r>
            <w:r w:rsidR="00B529FA" w:rsidRPr="00A23740">
              <w:rPr>
                <w:b w:val="0"/>
                <w:color w:val="385623"/>
                <w:lang w:val="tr-TR"/>
              </w:rPr>
              <w:t xml:space="preserve"> </w:t>
            </w:r>
            <w:r w:rsidR="00460D34" w:rsidRPr="00A23740">
              <w:rPr>
                <w:b w:val="0"/>
                <w:color w:val="auto"/>
                <w:lang w:val="tr-TR"/>
              </w:rPr>
              <w:t>müdür yardımcısı ve icra k</w:t>
            </w:r>
            <w:r w:rsidR="00D1546D" w:rsidRPr="00A23740">
              <w:rPr>
                <w:b w:val="0"/>
                <w:color w:val="auto"/>
                <w:lang w:val="tr-TR"/>
              </w:rPr>
              <w:t>â</w:t>
            </w:r>
            <w:r w:rsidR="00460D34" w:rsidRPr="00A23740">
              <w:rPr>
                <w:b w:val="0"/>
                <w:color w:val="auto"/>
                <w:lang w:val="tr-TR"/>
              </w:rPr>
              <w:t xml:space="preserve">tibi ile adli yargı ilk derece mahkemesi adalet komisyonları tarafından görevlendirilecek mübaşir ve hizmetlinin bulunacağı düzenlenmektedir. İcra </w:t>
            </w:r>
            <w:r w:rsidR="00BD7E01" w:rsidRPr="00A23740">
              <w:rPr>
                <w:b w:val="0"/>
                <w:color w:val="auto"/>
                <w:lang w:val="tr-TR"/>
              </w:rPr>
              <w:t xml:space="preserve">Mahkemeleri </w:t>
            </w:r>
            <w:r w:rsidR="00460D34" w:rsidRPr="00A23740">
              <w:rPr>
                <w:b w:val="0"/>
                <w:color w:val="auto"/>
                <w:lang w:val="tr-TR"/>
              </w:rPr>
              <w:t xml:space="preserve">ve İflas Mahkemeleri ile İcra Teşkilatı Hakkında Kanun </w:t>
            </w:r>
            <w:r w:rsidRPr="00A23740">
              <w:rPr>
                <w:b w:val="0"/>
                <w:color w:val="auto"/>
                <w:lang w:val="tr-TR"/>
              </w:rPr>
              <w:t>Taslağının</w:t>
            </w:r>
            <w:r w:rsidR="00460D34" w:rsidRPr="00A23740">
              <w:rPr>
                <w:b w:val="0"/>
                <w:color w:val="auto"/>
                <w:lang w:val="tr-TR"/>
              </w:rPr>
              <w:t xml:space="preserve"> 3 üncü maddesinin birinci fıkrasının (d) bendinde ise, icra </w:t>
            </w:r>
            <w:r w:rsidR="00DC6449" w:rsidRPr="00932BCF">
              <w:rPr>
                <w:b w:val="0"/>
                <w:color w:val="auto"/>
                <w:lang w:val="tr-TR"/>
              </w:rPr>
              <w:t xml:space="preserve">ve </w:t>
            </w:r>
            <w:r w:rsidR="00460D34" w:rsidRPr="00A23740">
              <w:rPr>
                <w:b w:val="0"/>
                <w:color w:val="auto"/>
                <w:lang w:val="tr-TR"/>
              </w:rPr>
              <w:t xml:space="preserve">iflas dairelerinde görev yapan icra başmüdürü, icra müdürü, icra müdür yardımcısı ve icra kâtibi ile görevlendirilen diğer </w:t>
            </w:r>
            <w:r w:rsidR="004874D9" w:rsidRPr="00A23740">
              <w:rPr>
                <w:b w:val="0"/>
                <w:color w:val="auto"/>
                <w:lang w:val="tr-TR"/>
              </w:rPr>
              <w:t>kişiler</w:t>
            </w:r>
            <w:r w:rsidR="00460D34" w:rsidRPr="00A23740">
              <w:rPr>
                <w:b w:val="0"/>
                <w:color w:val="auto"/>
                <w:lang w:val="tr-TR"/>
              </w:rPr>
              <w:t xml:space="preserve">, icra görevlisi olarak tanımlanmaktadır. Anılan hükümler dikkate alındığında, icra ve iflas dairesinde görev yapanların; icra </w:t>
            </w:r>
            <w:r w:rsidR="00C11CF3" w:rsidRPr="00A23740">
              <w:rPr>
                <w:b w:val="0"/>
                <w:color w:val="auto"/>
                <w:lang w:val="tr-TR"/>
              </w:rPr>
              <w:t xml:space="preserve">ve iflas </w:t>
            </w:r>
            <w:r w:rsidR="00460D34" w:rsidRPr="00A23740">
              <w:rPr>
                <w:b w:val="0"/>
                <w:color w:val="auto"/>
                <w:lang w:val="tr-TR"/>
              </w:rPr>
              <w:t>başmüdürü, icra</w:t>
            </w:r>
            <w:r w:rsidR="00C11CF3" w:rsidRPr="00A23740">
              <w:rPr>
                <w:b w:val="0"/>
                <w:color w:val="auto"/>
                <w:lang w:val="tr-TR"/>
              </w:rPr>
              <w:t xml:space="preserve"> ve iflas</w:t>
            </w:r>
            <w:r w:rsidR="00460D34" w:rsidRPr="00A23740">
              <w:rPr>
                <w:b w:val="0"/>
                <w:color w:val="auto"/>
                <w:lang w:val="tr-TR"/>
              </w:rPr>
              <w:t xml:space="preserve"> müdürü, icra </w:t>
            </w:r>
            <w:r w:rsidR="00C11CF3" w:rsidRPr="00A23740">
              <w:rPr>
                <w:b w:val="0"/>
                <w:color w:val="auto"/>
                <w:lang w:val="tr-TR"/>
              </w:rPr>
              <w:t xml:space="preserve">ve iflas </w:t>
            </w:r>
            <w:r w:rsidR="00460D34" w:rsidRPr="00A23740">
              <w:rPr>
                <w:b w:val="0"/>
                <w:color w:val="auto"/>
                <w:lang w:val="tr-TR"/>
              </w:rPr>
              <w:t>müdür yardımcısı ve icra k</w:t>
            </w:r>
            <w:r w:rsidR="00D1546D" w:rsidRPr="00A23740">
              <w:rPr>
                <w:b w:val="0"/>
                <w:color w:val="auto"/>
                <w:lang w:val="tr-TR"/>
              </w:rPr>
              <w:t>â</w:t>
            </w:r>
            <w:r w:rsidR="00460D34" w:rsidRPr="00A23740">
              <w:rPr>
                <w:b w:val="0"/>
                <w:color w:val="auto"/>
                <w:lang w:val="tr-TR"/>
              </w:rPr>
              <w:t xml:space="preserve">tibi ile adli yargı ilk derece mahkemesi adalet komisyonları tarafından mübaşir ve hizmetli olarak </w:t>
            </w:r>
            <w:r w:rsidR="004874D9" w:rsidRPr="00A23740">
              <w:rPr>
                <w:b w:val="0"/>
                <w:color w:val="auto"/>
                <w:lang w:val="tr-TR"/>
              </w:rPr>
              <w:t xml:space="preserve">görevlendirilenleri </w:t>
            </w:r>
            <w:r w:rsidR="00460D34" w:rsidRPr="00A23740">
              <w:rPr>
                <w:b w:val="0"/>
                <w:color w:val="auto"/>
                <w:lang w:val="tr-TR"/>
              </w:rPr>
              <w:t>kapsadığı hususunda tereddüt bulunmamaktadır.</w:t>
            </w:r>
          </w:p>
          <w:p w:rsidR="002E6ACF" w:rsidRPr="00A23740" w:rsidRDefault="002E6ACF" w:rsidP="009431FF">
            <w:pPr>
              <w:pStyle w:val="Mavi"/>
              <w:ind w:firstLine="709"/>
              <w:rPr>
                <w:b w:val="0"/>
                <w:color w:val="auto"/>
                <w:lang w:val="tr-TR"/>
              </w:rPr>
            </w:pPr>
            <w:r w:rsidRPr="00A23740">
              <w:rPr>
                <w:b w:val="0"/>
                <w:color w:val="auto"/>
                <w:lang w:val="tr-TR"/>
              </w:rPr>
              <w:lastRenderedPageBreak/>
              <w:t>2004 sayılı Kanunun 227 nci maddesinin dördüncü fıkrasında</w:t>
            </w:r>
            <w:r w:rsidR="008244DD" w:rsidRPr="00A23740">
              <w:rPr>
                <w:b w:val="0"/>
                <w:color w:val="auto"/>
                <w:lang w:val="tr-TR"/>
              </w:rPr>
              <w:t>,</w:t>
            </w:r>
            <w:r w:rsidRPr="00A23740">
              <w:rPr>
                <w:b w:val="0"/>
                <w:color w:val="auto"/>
                <w:lang w:val="tr-TR"/>
              </w:rPr>
              <w:t xml:space="preserve"> iflas idaresini oluşturanların kusurlarından kaynaklanan zararlardan kendilerinin sorumlu olacağı ve bu davanın adliye mahkemelerinde görüleceği</w:t>
            </w:r>
            <w:r w:rsidR="004874D9" w:rsidRPr="00A23740">
              <w:rPr>
                <w:b w:val="0"/>
                <w:color w:val="auto"/>
                <w:lang w:val="tr-TR"/>
              </w:rPr>
              <w:t>hükme bağlanmıştır</w:t>
            </w:r>
            <w:r w:rsidRPr="00A23740">
              <w:rPr>
                <w:b w:val="0"/>
                <w:color w:val="auto"/>
                <w:lang w:val="tr-TR"/>
              </w:rPr>
              <w:t>. Konkordato komiserlerinin hukuki sorumluluğu ise 2004 sayılı Kanunun 290 ıncı maddesinin dördüncü fıkrasında yer alan atıfla</w:t>
            </w:r>
            <w:r w:rsidR="008244DD" w:rsidRPr="00A23740">
              <w:rPr>
                <w:b w:val="0"/>
                <w:color w:val="auto"/>
                <w:lang w:val="tr-TR"/>
              </w:rPr>
              <w:t>,</w:t>
            </w:r>
            <w:r w:rsidRPr="00A23740">
              <w:rPr>
                <w:b w:val="0"/>
                <w:color w:val="auto"/>
                <w:lang w:val="tr-TR"/>
              </w:rPr>
              <w:t xml:space="preserve"> iflas idaresini oluşturanlar için kabul edilen esaslara tabi tutulmuştur. </w:t>
            </w:r>
            <w:r w:rsidR="004E59C1" w:rsidRPr="00A23740">
              <w:rPr>
                <w:b w:val="0"/>
                <w:color w:val="auto"/>
                <w:lang w:val="tr-TR"/>
              </w:rPr>
              <w:t>Taslağın b</w:t>
            </w:r>
            <w:r w:rsidR="00D1546D" w:rsidRPr="00A23740">
              <w:rPr>
                <w:b w:val="0"/>
                <w:color w:val="auto"/>
                <w:lang w:val="tr-TR"/>
              </w:rPr>
              <w:t>u madde</w:t>
            </w:r>
            <w:r w:rsidR="004E59C1" w:rsidRPr="00A23740">
              <w:rPr>
                <w:b w:val="0"/>
                <w:color w:val="auto"/>
                <w:lang w:val="tr-TR"/>
              </w:rPr>
              <w:t>si</w:t>
            </w:r>
            <w:r w:rsidR="00D1546D" w:rsidRPr="00A23740">
              <w:rPr>
                <w:b w:val="0"/>
                <w:color w:val="auto"/>
                <w:lang w:val="tr-TR"/>
              </w:rPr>
              <w:t xml:space="preserve">nin </w:t>
            </w:r>
            <w:r w:rsidR="00190C57" w:rsidRPr="00A23740">
              <w:rPr>
                <w:b w:val="0"/>
                <w:color w:val="auto"/>
                <w:lang w:val="tr-TR"/>
              </w:rPr>
              <w:t xml:space="preserve">birinci </w:t>
            </w:r>
            <w:r w:rsidRPr="00A23740">
              <w:rPr>
                <w:b w:val="0"/>
                <w:color w:val="auto"/>
                <w:lang w:val="tr-TR"/>
              </w:rPr>
              <w:t>fıkra</w:t>
            </w:r>
            <w:r w:rsidR="00190C57" w:rsidRPr="00A23740">
              <w:rPr>
                <w:b w:val="0"/>
                <w:color w:val="auto"/>
                <w:lang w:val="tr-TR"/>
              </w:rPr>
              <w:t>sı</w:t>
            </w:r>
            <w:r w:rsidRPr="00A23740">
              <w:rPr>
                <w:b w:val="0"/>
                <w:color w:val="auto"/>
                <w:lang w:val="tr-TR"/>
              </w:rPr>
              <w:t>yla, iflas idare memurları ile konkordato komiserlerinin sorumluluğu icra görevlileri ile aynı şekilde düzenlenmektedir. Öte yandan, bir yenilik olarak</w:t>
            </w:r>
            <w:r w:rsidR="004874D9" w:rsidRPr="00A23740">
              <w:rPr>
                <w:b w:val="0"/>
                <w:color w:val="auto"/>
                <w:lang w:val="tr-TR"/>
              </w:rPr>
              <w:t>,</w:t>
            </w:r>
            <w:r w:rsidRPr="00A23740">
              <w:rPr>
                <w:b w:val="0"/>
                <w:color w:val="auto"/>
                <w:lang w:val="tr-TR"/>
              </w:rPr>
              <w:t xml:space="preserve"> konkordato sürecinde görev alan proje denetçileri ile tasfiye memurlarının hukuki sorumluluğu</w:t>
            </w:r>
            <w:r w:rsidR="00F92D6D" w:rsidRPr="00A23740">
              <w:rPr>
                <w:b w:val="0"/>
                <w:color w:val="auto"/>
                <w:lang w:val="tr-TR"/>
              </w:rPr>
              <w:t xml:space="preserve"> da</w:t>
            </w:r>
            <w:r w:rsidRPr="00A23740">
              <w:rPr>
                <w:b w:val="0"/>
                <w:color w:val="auto"/>
                <w:lang w:val="tr-TR"/>
              </w:rPr>
              <w:t xml:space="preserve"> ilk kez </w:t>
            </w:r>
            <w:r w:rsidR="00D66679" w:rsidRPr="00A23740">
              <w:rPr>
                <w:b w:val="0"/>
                <w:color w:val="auto"/>
                <w:lang w:val="tr-TR"/>
              </w:rPr>
              <w:t xml:space="preserve"> ele alınmakta </w:t>
            </w:r>
            <w:r w:rsidRPr="00A23740">
              <w:rPr>
                <w:b w:val="0"/>
                <w:color w:val="auto"/>
                <w:lang w:val="tr-TR"/>
              </w:rPr>
              <w:t xml:space="preserve">ve madde kapsamına </w:t>
            </w:r>
            <w:r w:rsidR="00D66679" w:rsidRPr="00A23740">
              <w:rPr>
                <w:b w:val="0"/>
                <w:color w:val="auto"/>
                <w:lang w:val="tr-TR"/>
              </w:rPr>
              <w:t>dahil edilmektedir</w:t>
            </w:r>
            <w:r w:rsidRPr="00A23740">
              <w:rPr>
                <w:b w:val="0"/>
                <w:color w:val="auto"/>
                <w:lang w:val="tr-TR"/>
              </w:rPr>
              <w:t>.</w:t>
            </w:r>
            <w:r w:rsidR="00F92D6D" w:rsidRPr="00A23740">
              <w:rPr>
                <w:b w:val="0"/>
                <w:color w:val="auto"/>
                <w:lang w:val="tr-TR"/>
              </w:rPr>
              <w:t xml:space="preserve"> Böylece, iflas idare memurları, konkordato komiserleri, proje denetçileri ve tasfiye memurlarının görevlerinin ifası sırasında kusurlarından doğan tazminat davaları doğrudan kendilerine karşı açıl</w:t>
            </w:r>
            <w:r w:rsidR="004E59C1" w:rsidRPr="00A23740">
              <w:rPr>
                <w:b w:val="0"/>
                <w:color w:val="auto"/>
                <w:lang w:val="tr-TR"/>
              </w:rPr>
              <w:t>a</w:t>
            </w:r>
            <w:r w:rsidR="00F92D6D" w:rsidRPr="00A23740">
              <w:rPr>
                <w:b w:val="0"/>
                <w:color w:val="auto"/>
                <w:lang w:val="tr-TR"/>
              </w:rPr>
              <w:t>mayacak, bu davalar ancak Adalet Bakanlığı aleyhine açıla</w:t>
            </w:r>
            <w:r w:rsidR="004E59C1" w:rsidRPr="00A23740">
              <w:rPr>
                <w:b w:val="0"/>
                <w:color w:val="auto"/>
                <w:lang w:val="tr-TR"/>
              </w:rPr>
              <w:t>bilecektir.</w:t>
            </w:r>
            <w:r w:rsidR="00F92D6D" w:rsidRPr="00A23740">
              <w:rPr>
                <w:b w:val="0"/>
                <w:color w:val="auto"/>
                <w:lang w:val="tr-TR"/>
              </w:rPr>
              <w:t xml:space="preserve"> </w:t>
            </w:r>
          </w:p>
          <w:p w:rsidR="00B941C6" w:rsidRPr="00A23740" w:rsidRDefault="006B63AF" w:rsidP="009431FF">
            <w:pPr>
              <w:pStyle w:val="Mavi"/>
              <w:ind w:firstLine="709"/>
              <w:rPr>
                <w:b w:val="0"/>
                <w:color w:val="auto"/>
                <w:lang w:val="tr-TR"/>
              </w:rPr>
            </w:pPr>
            <w:r w:rsidRPr="00A23740">
              <w:rPr>
                <w:b w:val="0"/>
                <w:color w:val="auto"/>
                <w:lang w:val="tr-TR"/>
              </w:rPr>
              <w:t xml:space="preserve">Birinci fıkrada yer alan </w:t>
            </w:r>
            <w:r w:rsidR="00460D34" w:rsidRPr="00A23740">
              <w:rPr>
                <w:b w:val="0"/>
                <w:color w:val="auto"/>
                <w:lang w:val="tr-TR"/>
              </w:rPr>
              <w:t>“</w:t>
            </w:r>
            <w:r w:rsidRPr="00A23740">
              <w:rPr>
                <w:b w:val="0"/>
                <w:color w:val="auto"/>
                <w:lang w:val="tr-TR"/>
              </w:rPr>
              <w:t xml:space="preserve">icra </w:t>
            </w:r>
            <w:r w:rsidR="00460D34" w:rsidRPr="00A23740">
              <w:rPr>
                <w:b w:val="0"/>
                <w:color w:val="auto"/>
                <w:lang w:val="tr-TR"/>
              </w:rPr>
              <w:t>ve iflas daireleri tarafından cebr</w:t>
            </w:r>
            <w:r w:rsidR="00070384" w:rsidRPr="00A23740">
              <w:rPr>
                <w:b w:val="0"/>
                <w:color w:val="auto"/>
                <w:lang w:val="tr-TR"/>
              </w:rPr>
              <w:t>î</w:t>
            </w:r>
            <w:r w:rsidR="00460D34" w:rsidRPr="00A23740">
              <w:rPr>
                <w:b w:val="0"/>
                <w:color w:val="auto"/>
                <w:lang w:val="tr-TR"/>
              </w:rPr>
              <w:t xml:space="preserve"> icra faaliyetinde görevlendirilen</w:t>
            </w:r>
            <w:r w:rsidRPr="00A23740">
              <w:rPr>
                <w:b w:val="0"/>
                <w:color w:val="auto"/>
                <w:lang w:val="tr-TR"/>
              </w:rPr>
              <w:t xml:space="preserve">” ibaresinin kapsamına </w:t>
            </w:r>
            <w:r w:rsidR="00460D34" w:rsidRPr="00A23740">
              <w:rPr>
                <w:b w:val="0"/>
                <w:color w:val="auto"/>
                <w:lang w:val="tr-TR"/>
              </w:rPr>
              <w:t>bilirkişiler, kayyım, muhafaza işlemi sırasında eşyayı demonte edenler, eşyayı taşıyanlar, araçla nakledenler, yediemin sıfatıyla kendisine eşya teslim edilenler, yediemin mümessilleri, muhtar, ihtiyar heyeti veya ihtiya</w:t>
            </w:r>
            <w:r w:rsidRPr="00A23740">
              <w:rPr>
                <w:b w:val="0"/>
                <w:color w:val="auto"/>
                <w:lang w:val="tr-TR"/>
              </w:rPr>
              <w:t>r meclisi üyeleri gibi kişiler</w:t>
            </w:r>
            <w:r w:rsidR="004472D6" w:rsidRPr="00A23740">
              <w:rPr>
                <w:b w:val="0"/>
                <w:color w:val="auto"/>
                <w:lang w:val="tr-TR"/>
              </w:rPr>
              <w:t>in</w:t>
            </w:r>
            <w:r w:rsidRPr="00A23740">
              <w:rPr>
                <w:b w:val="0"/>
                <w:color w:val="auto"/>
                <w:lang w:val="tr-TR"/>
              </w:rPr>
              <w:t xml:space="preserve"> girdiği hususunda </w:t>
            </w:r>
            <w:r w:rsidR="00460D34" w:rsidRPr="00A23740">
              <w:rPr>
                <w:b w:val="0"/>
                <w:color w:val="auto"/>
                <w:lang w:val="tr-TR"/>
              </w:rPr>
              <w:t>te</w:t>
            </w:r>
            <w:r w:rsidRPr="00A23740">
              <w:rPr>
                <w:b w:val="0"/>
                <w:color w:val="auto"/>
                <w:lang w:val="tr-TR"/>
              </w:rPr>
              <w:t>reddüt olmadığı için</w:t>
            </w:r>
            <w:r w:rsidR="00D66679" w:rsidRPr="00A23740">
              <w:rPr>
                <w:b w:val="0"/>
                <w:color w:val="auto"/>
                <w:lang w:val="tr-TR"/>
              </w:rPr>
              <w:t>,</w:t>
            </w:r>
            <w:r w:rsidR="002E6ACF" w:rsidRPr="00A23740">
              <w:rPr>
                <w:b w:val="0"/>
                <w:color w:val="auto"/>
                <w:lang w:val="tr-TR"/>
              </w:rPr>
              <w:t xml:space="preserve"> bu </w:t>
            </w:r>
            <w:r w:rsidR="004472D6" w:rsidRPr="00A23740">
              <w:rPr>
                <w:b w:val="0"/>
                <w:color w:val="auto"/>
                <w:lang w:val="tr-TR"/>
              </w:rPr>
              <w:t>kişiler sayma suretiyle fıkrada zikredilmem</w:t>
            </w:r>
            <w:r w:rsidR="00D66679" w:rsidRPr="00A23740">
              <w:rPr>
                <w:b w:val="0"/>
                <w:color w:val="auto"/>
                <w:lang w:val="tr-TR"/>
              </w:rPr>
              <w:t>iştir</w:t>
            </w:r>
            <w:r w:rsidR="004472D6" w:rsidRPr="00A23740">
              <w:rPr>
                <w:b w:val="0"/>
                <w:color w:val="auto"/>
                <w:lang w:val="tr-TR"/>
              </w:rPr>
              <w:t xml:space="preserve">. </w:t>
            </w:r>
          </w:p>
          <w:p w:rsidR="00393DE4" w:rsidRPr="00A23740" w:rsidRDefault="00190C57" w:rsidP="009431FF">
            <w:pPr>
              <w:pStyle w:val="Mavi"/>
              <w:ind w:firstLine="709"/>
              <w:rPr>
                <w:b w:val="0"/>
                <w:color w:val="auto"/>
                <w:lang w:val="tr-TR"/>
              </w:rPr>
            </w:pPr>
            <w:r w:rsidRPr="00A23740">
              <w:rPr>
                <w:b w:val="0"/>
                <w:color w:val="auto"/>
                <w:lang w:val="tr-TR"/>
              </w:rPr>
              <w:t>Yine birinci fıkrayla, cebr</w:t>
            </w:r>
            <w:r w:rsidR="00070384" w:rsidRPr="00A23740">
              <w:rPr>
                <w:b w:val="0"/>
                <w:color w:val="auto"/>
                <w:lang w:val="tr-TR"/>
              </w:rPr>
              <w:t>î</w:t>
            </w:r>
            <w:r w:rsidRPr="00A23740">
              <w:rPr>
                <w:b w:val="0"/>
                <w:color w:val="auto"/>
                <w:lang w:val="tr-TR"/>
              </w:rPr>
              <w:t xml:space="preserve"> </w:t>
            </w:r>
            <w:r w:rsidR="00F77FB4" w:rsidRPr="00A23740">
              <w:rPr>
                <w:b w:val="0"/>
                <w:color w:val="auto"/>
                <w:lang w:val="tr-TR"/>
              </w:rPr>
              <w:t xml:space="preserve">icra faaliyetinde görev yapan kişilerin kusurlarından doğan tazminat davalarına bakmakla görevli </w:t>
            </w:r>
            <w:r w:rsidR="00B55EDA" w:rsidRPr="00A23740">
              <w:rPr>
                <w:b w:val="0"/>
                <w:color w:val="auto"/>
                <w:lang w:val="tr-TR"/>
              </w:rPr>
              <w:t xml:space="preserve">ve yetkili </w:t>
            </w:r>
            <w:r w:rsidR="00F77FB4" w:rsidRPr="00A23740">
              <w:rPr>
                <w:b w:val="0"/>
                <w:color w:val="auto"/>
                <w:lang w:val="tr-TR"/>
              </w:rPr>
              <w:t>mahkeme belirlenmektedir. Buna göre bu</w:t>
            </w:r>
            <w:r w:rsidR="00EF24C1" w:rsidRPr="00A23740">
              <w:rPr>
                <w:b w:val="0"/>
                <w:color w:val="auto"/>
                <w:lang w:val="tr-TR"/>
              </w:rPr>
              <w:t xml:space="preserve"> davalara, tazminat hukukunda ih</w:t>
            </w:r>
            <w:r w:rsidR="00F77FB4" w:rsidRPr="00A23740">
              <w:rPr>
                <w:b w:val="0"/>
                <w:color w:val="auto"/>
                <w:lang w:val="tr-TR"/>
              </w:rPr>
              <w:t>tis</w:t>
            </w:r>
            <w:r w:rsidRPr="00A23740">
              <w:rPr>
                <w:b w:val="0"/>
                <w:color w:val="auto"/>
                <w:lang w:val="tr-TR"/>
              </w:rPr>
              <w:t>as mahkemesi olarak değerlendiri</w:t>
            </w:r>
            <w:r w:rsidR="00F77FB4" w:rsidRPr="00A23740">
              <w:rPr>
                <w:b w:val="0"/>
                <w:color w:val="auto"/>
                <w:lang w:val="tr-TR"/>
              </w:rPr>
              <w:t>len asliye hukuk mahkemesi</w:t>
            </w:r>
            <w:r w:rsidR="00D66679" w:rsidRPr="00A23740">
              <w:rPr>
                <w:b w:val="0"/>
                <w:color w:val="auto"/>
                <w:lang w:val="tr-TR"/>
              </w:rPr>
              <w:t>bakacaktır</w:t>
            </w:r>
            <w:r w:rsidR="004E59C1" w:rsidRPr="00A23740">
              <w:rPr>
                <w:b w:val="0"/>
                <w:color w:val="auto"/>
                <w:lang w:val="tr-TR"/>
              </w:rPr>
              <w:t>.</w:t>
            </w:r>
            <w:r w:rsidR="00F77FB4" w:rsidRPr="00A23740">
              <w:rPr>
                <w:b w:val="0"/>
                <w:color w:val="auto"/>
                <w:lang w:val="tr-TR"/>
              </w:rPr>
              <w:t xml:space="preserve"> Fıkra hükmü uyarınca, yetkili mahkeme de zarara neden olan işlemin yapıldığı yer mahkemesi olacaktır. </w:t>
            </w:r>
          </w:p>
          <w:p w:rsidR="00393DE4" w:rsidRPr="00A23740" w:rsidRDefault="0098462A" w:rsidP="009431FF">
            <w:pPr>
              <w:pStyle w:val="Mavi"/>
              <w:ind w:firstLine="709"/>
              <w:rPr>
                <w:b w:val="0"/>
                <w:color w:val="auto"/>
                <w:lang w:val="tr-TR"/>
              </w:rPr>
            </w:pPr>
            <w:r w:rsidRPr="00A23740">
              <w:rPr>
                <w:b w:val="0"/>
                <w:color w:val="auto"/>
                <w:lang w:val="tr-TR"/>
              </w:rPr>
              <w:t xml:space="preserve">Birinci fıkranın </w:t>
            </w:r>
            <w:r w:rsidR="00393DE4" w:rsidRPr="00A23740">
              <w:rPr>
                <w:b w:val="0"/>
                <w:color w:val="auto"/>
                <w:lang w:val="tr-TR"/>
              </w:rPr>
              <w:t>üçüncü cümlesi</w:t>
            </w:r>
            <w:r w:rsidR="00D66679" w:rsidRPr="00A23740">
              <w:rPr>
                <w:b w:val="0"/>
                <w:color w:val="auto"/>
                <w:lang w:val="tr-TR"/>
              </w:rPr>
              <w:t>nde</w:t>
            </w:r>
            <w:r w:rsidR="00393DE4" w:rsidRPr="00A23740">
              <w:rPr>
                <w:b w:val="0"/>
                <w:color w:val="auto"/>
                <w:lang w:val="tr-TR"/>
              </w:rPr>
              <w:t>, Bakanlık aleyhine açılan tazminat davasına bakan mahkemenin bu davayı i</w:t>
            </w:r>
            <w:r w:rsidR="00EF24C1" w:rsidRPr="00A23740">
              <w:rPr>
                <w:b w:val="0"/>
                <w:color w:val="auto"/>
                <w:lang w:val="tr-TR"/>
              </w:rPr>
              <w:t xml:space="preserve">lgiliye </w:t>
            </w:r>
            <w:r w:rsidR="00393DE4" w:rsidRPr="00A23740">
              <w:rPr>
                <w:b w:val="0"/>
                <w:color w:val="auto"/>
                <w:lang w:val="tr-TR"/>
              </w:rPr>
              <w:t>resen ihbar edeceği kuralı kabul edilmektedir.</w:t>
            </w:r>
            <w:r w:rsidR="00EF24C1" w:rsidRPr="00A23740">
              <w:rPr>
                <w:b w:val="0"/>
                <w:color w:val="auto"/>
                <w:lang w:val="tr-TR"/>
              </w:rPr>
              <w:t xml:space="preserve"> Böylece, </w:t>
            </w:r>
            <w:r w:rsidR="00393DE4" w:rsidRPr="00A23740">
              <w:rPr>
                <w:b w:val="0"/>
                <w:color w:val="auto"/>
                <w:lang w:val="tr-TR"/>
              </w:rPr>
              <w:t>davadan haberdar</w:t>
            </w:r>
            <w:r w:rsidR="00D66679" w:rsidRPr="00A23740">
              <w:rPr>
                <w:b w:val="0"/>
                <w:color w:val="auto"/>
                <w:lang w:val="tr-TR"/>
              </w:rPr>
              <w:t xml:space="preserve"> olan ilgilinin</w:t>
            </w:r>
            <w:r w:rsidR="00393DE4" w:rsidRPr="00A23740">
              <w:rPr>
                <w:b w:val="0"/>
                <w:color w:val="auto"/>
                <w:lang w:val="tr-TR"/>
              </w:rPr>
              <w:t>, hukuki dinlenilme hakkı çerçevesinde davada etkili olabilmesi</w:t>
            </w:r>
            <w:r w:rsidR="00D66679" w:rsidRPr="00A23740">
              <w:rPr>
                <w:b w:val="0"/>
                <w:color w:val="auto"/>
                <w:lang w:val="tr-TR"/>
              </w:rPr>
              <w:t>ne</w:t>
            </w:r>
            <w:r w:rsidR="00393DE4" w:rsidRPr="00A23740">
              <w:rPr>
                <w:b w:val="0"/>
                <w:color w:val="auto"/>
                <w:lang w:val="tr-TR"/>
              </w:rPr>
              <w:t xml:space="preserve"> ve delil getirebilmesine imk</w:t>
            </w:r>
            <w:r w:rsidR="004E59C1" w:rsidRPr="00A23740">
              <w:rPr>
                <w:b w:val="0"/>
                <w:color w:val="auto"/>
                <w:lang w:val="tr-TR"/>
              </w:rPr>
              <w:t>â</w:t>
            </w:r>
            <w:r w:rsidR="00393DE4" w:rsidRPr="00A23740">
              <w:rPr>
                <w:b w:val="0"/>
                <w:color w:val="auto"/>
                <w:lang w:val="tr-TR"/>
              </w:rPr>
              <w:t>n sağlanmaktadır.</w:t>
            </w:r>
          </w:p>
          <w:p w:rsidR="00F77FB4" w:rsidRPr="00A23740" w:rsidRDefault="00F77FB4" w:rsidP="009431FF">
            <w:pPr>
              <w:pStyle w:val="Mavi"/>
              <w:ind w:firstLine="709"/>
              <w:rPr>
                <w:rStyle w:val="KIRMIZIChar"/>
                <w:rFonts w:eastAsia="Calibri"/>
              </w:rPr>
            </w:pPr>
            <w:r w:rsidRPr="00A23740">
              <w:rPr>
                <w:b w:val="0"/>
                <w:color w:val="auto"/>
                <w:lang w:val="tr-TR"/>
              </w:rPr>
              <w:t>İkinci fıkrayla, cebr</w:t>
            </w:r>
            <w:r w:rsidR="00070384" w:rsidRPr="00A23740">
              <w:rPr>
                <w:b w:val="0"/>
                <w:color w:val="auto"/>
                <w:lang w:val="tr-TR"/>
              </w:rPr>
              <w:t>î</w:t>
            </w:r>
            <w:r w:rsidRPr="00A23740">
              <w:rPr>
                <w:b w:val="0"/>
                <w:color w:val="auto"/>
                <w:lang w:val="tr-TR"/>
              </w:rPr>
              <w:t xml:space="preserve"> icra faaliyetinde görev alanların kusurlarından doğan tazminat</w:t>
            </w:r>
            <w:r w:rsidRPr="00A23740">
              <w:rPr>
                <w:rFonts w:eastAsia="Times New Roman"/>
                <w:color w:val="000000"/>
                <w:szCs w:val="28"/>
                <w:lang w:eastAsia="tr-TR"/>
              </w:rPr>
              <w:t xml:space="preserve"> </w:t>
            </w:r>
            <w:r w:rsidRPr="00A23740">
              <w:rPr>
                <w:b w:val="0"/>
                <w:color w:val="auto"/>
                <w:lang w:val="tr-TR"/>
              </w:rPr>
              <w:t xml:space="preserve">davalarında uygulacak zamanaşımı süresi düzenlenmektedir. </w:t>
            </w:r>
            <w:r w:rsidR="00DB6F3D" w:rsidRPr="00A23740">
              <w:rPr>
                <w:b w:val="0"/>
                <w:color w:val="auto"/>
                <w:lang w:val="tr-TR"/>
              </w:rPr>
              <w:t xml:space="preserve">2004 sayılı Kanunun 7 nci maddesinde yer alan bazı ibarelerin dili sadeleştirilmekte, “zarar ve ziyan” ibaresi “tazminat” olarak değiştirilmekte ve bir yıllık zamanaşımı süresi iki yıla çıkarılmaktadır. Hükme göre, </w:t>
            </w:r>
            <w:r w:rsidRPr="00A23740">
              <w:rPr>
                <w:b w:val="0"/>
                <w:color w:val="auto"/>
                <w:lang w:val="tr-TR"/>
              </w:rPr>
              <w:t>tazminat davası, zarar gören tarafın zararı öğrendiği tarihten itibaren iki yıl ve her h</w:t>
            </w:r>
            <w:r w:rsidR="00C219C2" w:rsidRPr="00A23740">
              <w:rPr>
                <w:b w:val="0"/>
                <w:color w:val="auto"/>
                <w:lang w:val="tr-TR"/>
              </w:rPr>
              <w:t>â</w:t>
            </w:r>
            <w:r w:rsidRPr="00A23740">
              <w:rPr>
                <w:b w:val="0"/>
                <w:color w:val="auto"/>
                <w:lang w:val="tr-TR"/>
              </w:rPr>
              <w:t>lde zararı doğuran fiilin işlendiği tarihten itibaren on yılın geçmesiyle zamanaşımına uğrayacaktır. Ancak, tazminata konu zararı doğuran olayın cezayı gerektiren bir fiil olması h</w:t>
            </w:r>
            <w:r w:rsidR="00C219C2" w:rsidRPr="00A23740">
              <w:rPr>
                <w:b w:val="0"/>
                <w:color w:val="auto"/>
                <w:lang w:val="tr-TR"/>
              </w:rPr>
              <w:t>â</w:t>
            </w:r>
            <w:r w:rsidRPr="00A23740">
              <w:rPr>
                <w:b w:val="0"/>
                <w:color w:val="auto"/>
                <w:lang w:val="tr-TR"/>
              </w:rPr>
              <w:t>linde, bu fiil için ceza kanunlarında daha uzun bir zamanaşımı süresi öngörülmüş ise bu zamanaşımı süresi uygulanaca</w:t>
            </w:r>
            <w:r w:rsidR="00D66679" w:rsidRPr="00A23740">
              <w:rPr>
                <w:b w:val="0"/>
                <w:color w:val="auto"/>
                <w:lang w:val="tr-TR"/>
              </w:rPr>
              <w:t>ktır</w:t>
            </w:r>
            <w:r w:rsidRPr="00A23740">
              <w:rPr>
                <w:b w:val="0"/>
                <w:color w:val="auto"/>
                <w:lang w:val="tr-TR"/>
              </w:rPr>
              <w:t xml:space="preserve"> . Dolayısıyla, </w:t>
            </w:r>
            <w:r w:rsidR="00EF24C1" w:rsidRPr="00A23740">
              <w:rPr>
                <w:b w:val="0"/>
                <w:color w:val="auto"/>
                <w:lang w:val="tr-TR"/>
              </w:rPr>
              <w:t xml:space="preserve">maddede </w:t>
            </w:r>
            <w:r w:rsidRPr="00A23740">
              <w:rPr>
                <w:b w:val="0"/>
                <w:color w:val="auto"/>
                <w:lang w:val="tr-TR"/>
              </w:rPr>
              <w:t>belirtile</w:t>
            </w:r>
            <w:r w:rsidR="00190C57" w:rsidRPr="00A23740">
              <w:rPr>
                <w:b w:val="0"/>
                <w:color w:val="auto"/>
                <w:lang w:val="tr-TR"/>
              </w:rPr>
              <w:t>n görevlilerin kusuru nedeniyle</w:t>
            </w:r>
            <w:r w:rsidRPr="00A23740">
              <w:rPr>
                <w:b w:val="0"/>
                <w:color w:val="auto"/>
                <w:lang w:val="tr-TR"/>
              </w:rPr>
              <w:t xml:space="preserve"> idareye</w:t>
            </w:r>
            <w:r w:rsidR="00190C57" w:rsidRPr="00A23740">
              <w:rPr>
                <w:b w:val="0"/>
                <w:color w:val="auto"/>
                <w:lang w:val="tr-TR"/>
              </w:rPr>
              <w:t>,</w:t>
            </w:r>
            <w:r w:rsidRPr="00A23740">
              <w:rPr>
                <w:b w:val="0"/>
                <w:color w:val="auto"/>
                <w:lang w:val="tr-TR"/>
              </w:rPr>
              <w:t xml:space="preserve"> daha somut bir ifadeyle Adalet Bakanlığına karşı açılacak tazminat davalarında dava açma süresi 6098 sayılı Türk Bor</w:t>
            </w:r>
            <w:r w:rsidR="00190C57" w:rsidRPr="00A23740">
              <w:rPr>
                <w:b w:val="0"/>
                <w:color w:val="auto"/>
                <w:lang w:val="tr-TR"/>
              </w:rPr>
              <w:t>çlar Kanununun 72 nci maddesi</w:t>
            </w:r>
            <w:r w:rsidR="00D66679" w:rsidRPr="00A23740">
              <w:rPr>
                <w:b w:val="0"/>
                <w:color w:val="auto"/>
                <w:lang w:val="tr-TR"/>
              </w:rPr>
              <w:t>ne</w:t>
            </w:r>
            <w:r w:rsidRPr="00A23740">
              <w:rPr>
                <w:b w:val="0"/>
                <w:color w:val="auto"/>
                <w:lang w:val="tr-TR"/>
              </w:rPr>
              <w:t xml:space="preserve"> </w:t>
            </w:r>
            <w:r w:rsidR="00190C57" w:rsidRPr="00A23740">
              <w:rPr>
                <w:b w:val="0"/>
                <w:color w:val="auto"/>
                <w:lang w:val="tr-TR"/>
              </w:rPr>
              <w:t xml:space="preserve">uygun </w:t>
            </w:r>
            <w:r w:rsidR="00D66679" w:rsidRPr="00A23740">
              <w:rPr>
                <w:b w:val="0"/>
                <w:color w:val="auto"/>
                <w:lang w:val="tr-TR"/>
              </w:rPr>
              <w:t xml:space="preserve">olacak </w:t>
            </w:r>
            <w:r w:rsidR="00190C57" w:rsidRPr="00A23740">
              <w:rPr>
                <w:b w:val="0"/>
                <w:color w:val="auto"/>
                <w:lang w:val="tr-TR"/>
              </w:rPr>
              <w:t>şekilde</w:t>
            </w:r>
            <w:r w:rsidRPr="00A23740">
              <w:rPr>
                <w:b w:val="0"/>
                <w:color w:val="auto"/>
                <w:lang w:val="tr-TR"/>
              </w:rPr>
              <w:t xml:space="preserve"> düzenlen</w:t>
            </w:r>
            <w:r w:rsidR="00190C57" w:rsidRPr="00A23740">
              <w:rPr>
                <w:b w:val="0"/>
                <w:color w:val="auto"/>
                <w:lang w:val="tr-TR"/>
              </w:rPr>
              <w:t>mekte</w:t>
            </w:r>
            <w:r w:rsidRPr="00A23740">
              <w:rPr>
                <w:b w:val="0"/>
                <w:color w:val="auto"/>
                <w:lang w:val="tr-TR"/>
              </w:rPr>
              <w:t>, bu konuda dava açma süresi yönünden fark</w:t>
            </w:r>
            <w:r w:rsidR="00EF24C1" w:rsidRPr="00A23740">
              <w:rPr>
                <w:b w:val="0"/>
                <w:color w:val="auto"/>
                <w:lang w:val="tr-TR"/>
              </w:rPr>
              <w:t>lı bir düzenleme getirilmemektedir</w:t>
            </w:r>
            <w:r w:rsidRPr="00A23740">
              <w:rPr>
                <w:b w:val="0"/>
                <w:color w:val="auto"/>
                <w:lang w:val="tr-TR"/>
              </w:rPr>
              <w:t xml:space="preserve">. </w:t>
            </w:r>
            <w:r w:rsidR="00EF24C1" w:rsidRPr="00A23740">
              <w:rPr>
                <w:rStyle w:val="KIRMIZIChar"/>
                <w:rFonts w:eastAsia="Calibri"/>
                <w:strike w:val="0"/>
                <w:color w:val="auto"/>
              </w:rPr>
              <w:t>Bu fıkra, 2004 sayılı Kanunun 7 nci maddesine karşılık gelmektedir.</w:t>
            </w:r>
          </w:p>
          <w:p w:rsidR="00F77FB4" w:rsidRPr="00A23740" w:rsidRDefault="00F77FB4" w:rsidP="009431FF">
            <w:pPr>
              <w:pStyle w:val="Mavi"/>
              <w:ind w:firstLine="709"/>
              <w:rPr>
                <w:b w:val="0"/>
                <w:color w:val="auto"/>
                <w:lang w:val="tr-TR"/>
              </w:rPr>
            </w:pPr>
            <w:r w:rsidRPr="00A23740">
              <w:rPr>
                <w:b w:val="0"/>
                <w:color w:val="auto"/>
                <w:lang w:val="tr-TR"/>
              </w:rPr>
              <w:t>Üçüncü fıkrayla, tazminat davası esastan reddedilen davacının karşı</w:t>
            </w:r>
            <w:r w:rsidR="00F4534F" w:rsidRPr="00A23740">
              <w:rPr>
                <w:b w:val="0"/>
                <w:color w:val="auto"/>
                <w:lang w:val="tr-TR"/>
              </w:rPr>
              <w:t xml:space="preserve"> </w:t>
            </w:r>
            <w:r w:rsidRPr="00A23740">
              <w:rPr>
                <w:b w:val="0"/>
                <w:color w:val="auto"/>
                <w:lang w:val="tr-TR"/>
              </w:rPr>
              <w:t>karş</w:t>
            </w:r>
            <w:r w:rsidR="00F4534F" w:rsidRPr="00A23740">
              <w:rPr>
                <w:b w:val="0"/>
                <w:color w:val="auto"/>
                <w:lang w:val="tr-TR"/>
              </w:rPr>
              <w:t xml:space="preserve">ıya kalacağı müeyyide düzenlenmektedir. Hüküm, 2004 sayılı Kanunda karşılığı olmayan ve </w:t>
            </w:r>
            <w:r w:rsidR="00163E5A" w:rsidRPr="00A23740">
              <w:rPr>
                <w:b w:val="0"/>
                <w:color w:val="auto"/>
                <w:lang w:val="tr-TR"/>
              </w:rPr>
              <w:t>Taslakla</w:t>
            </w:r>
            <w:r w:rsidR="00F4534F" w:rsidRPr="00A23740">
              <w:rPr>
                <w:b w:val="0"/>
                <w:color w:val="auto"/>
                <w:lang w:val="tr-TR"/>
              </w:rPr>
              <w:t xml:space="preserve"> getirilen bir yeniliktir. Hükme </w:t>
            </w:r>
            <w:r w:rsidRPr="00A23740">
              <w:rPr>
                <w:b w:val="0"/>
                <w:color w:val="auto"/>
                <w:lang w:val="tr-TR"/>
              </w:rPr>
              <w:t xml:space="preserve">göre, tazminat davası esastan reddedilen davacının, bin Türk </w:t>
            </w:r>
            <w:r w:rsidR="009052BF" w:rsidRPr="00A23740">
              <w:rPr>
                <w:b w:val="0"/>
                <w:color w:val="auto"/>
                <w:lang w:val="tr-TR"/>
              </w:rPr>
              <w:t xml:space="preserve">lirasından </w:t>
            </w:r>
            <w:r w:rsidRPr="00A23740">
              <w:rPr>
                <w:b w:val="0"/>
                <w:color w:val="auto"/>
                <w:lang w:val="tr-TR"/>
              </w:rPr>
              <w:t xml:space="preserve">onbin Türk </w:t>
            </w:r>
            <w:r w:rsidR="009052BF" w:rsidRPr="00A23740">
              <w:rPr>
                <w:b w:val="0"/>
                <w:color w:val="auto"/>
                <w:lang w:val="tr-TR"/>
              </w:rPr>
              <w:t xml:space="preserve">lirasına </w:t>
            </w:r>
            <w:r w:rsidRPr="00A23740">
              <w:rPr>
                <w:b w:val="0"/>
                <w:color w:val="auto"/>
                <w:lang w:val="tr-TR"/>
              </w:rPr>
              <w:t>kadar disiplin para cezasına mahk</w:t>
            </w:r>
            <w:r w:rsidR="00506C64" w:rsidRPr="00A23740">
              <w:rPr>
                <w:b w:val="0"/>
                <w:color w:val="auto"/>
                <w:lang w:val="tr-TR"/>
              </w:rPr>
              <w:t>û</w:t>
            </w:r>
            <w:r w:rsidRPr="00A23740">
              <w:rPr>
                <w:b w:val="0"/>
                <w:color w:val="auto"/>
                <w:lang w:val="tr-TR"/>
              </w:rPr>
              <w:t xml:space="preserve">m edilmesi gerekecektir. Düzenlemede, </w:t>
            </w:r>
            <w:r w:rsidR="00D66679" w:rsidRPr="00A23740">
              <w:rPr>
                <w:b w:val="0"/>
                <w:color w:val="auto"/>
                <w:lang w:val="tr-TR"/>
              </w:rPr>
              <w:t>“</w:t>
            </w:r>
            <w:r w:rsidRPr="00A23740">
              <w:rPr>
                <w:b w:val="0"/>
                <w:color w:val="auto"/>
                <w:lang w:val="tr-TR"/>
              </w:rPr>
              <w:t xml:space="preserve">bin Türk </w:t>
            </w:r>
            <w:r w:rsidR="009052BF" w:rsidRPr="00A23740">
              <w:rPr>
                <w:b w:val="0"/>
                <w:color w:val="auto"/>
                <w:lang w:val="tr-TR"/>
              </w:rPr>
              <w:t xml:space="preserve">lirasından </w:t>
            </w:r>
            <w:r w:rsidRPr="00A23740">
              <w:rPr>
                <w:b w:val="0"/>
                <w:color w:val="auto"/>
                <w:lang w:val="tr-TR"/>
              </w:rPr>
              <w:t xml:space="preserve">on bin Türk </w:t>
            </w:r>
            <w:r w:rsidR="009052BF" w:rsidRPr="00A23740">
              <w:rPr>
                <w:b w:val="0"/>
                <w:color w:val="auto"/>
                <w:lang w:val="tr-TR"/>
              </w:rPr>
              <w:t xml:space="preserve">lirasına </w:t>
            </w:r>
            <w:r w:rsidR="00D66679" w:rsidRPr="00A23740">
              <w:rPr>
                <w:b w:val="0"/>
                <w:color w:val="auto"/>
                <w:lang w:val="tr-TR"/>
              </w:rPr>
              <w:t xml:space="preserve">kadar” </w:t>
            </w:r>
            <w:r w:rsidRPr="00A23740">
              <w:rPr>
                <w:b w:val="0"/>
                <w:color w:val="auto"/>
                <w:lang w:val="tr-TR"/>
              </w:rPr>
              <w:t xml:space="preserve">ibaresiyle, müeyyidenin alt ve üst sınırları belirlenerek somut olayda disiplin </w:t>
            </w:r>
            <w:r w:rsidR="00F4534F" w:rsidRPr="00A23740">
              <w:rPr>
                <w:b w:val="0"/>
                <w:color w:val="auto"/>
                <w:lang w:val="tr-TR"/>
              </w:rPr>
              <w:t xml:space="preserve">para cezasının </w:t>
            </w:r>
            <w:r w:rsidRPr="00A23740">
              <w:rPr>
                <w:b w:val="0"/>
                <w:color w:val="auto"/>
                <w:lang w:val="tr-TR"/>
              </w:rPr>
              <w:t>tayini için h</w:t>
            </w:r>
            <w:r w:rsidR="00407C95" w:rsidRPr="00A23740">
              <w:rPr>
                <w:b w:val="0"/>
                <w:color w:val="auto"/>
                <w:lang w:val="tr-TR"/>
              </w:rPr>
              <w:t>â</w:t>
            </w:r>
            <w:r w:rsidRPr="00A23740">
              <w:rPr>
                <w:b w:val="0"/>
                <w:color w:val="auto"/>
                <w:lang w:val="tr-TR"/>
              </w:rPr>
              <w:t>kime takdir yetkisi verilmektedir. Hükümle, cebr</w:t>
            </w:r>
            <w:r w:rsidR="00070384" w:rsidRPr="00A23740">
              <w:rPr>
                <w:b w:val="0"/>
                <w:color w:val="auto"/>
                <w:lang w:val="tr-TR"/>
              </w:rPr>
              <w:t>î</w:t>
            </w:r>
            <w:r w:rsidRPr="00A23740">
              <w:rPr>
                <w:b w:val="0"/>
                <w:color w:val="auto"/>
                <w:lang w:val="tr-TR"/>
              </w:rPr>
              <w:t xml:space="preserve"> icra faaliyetinde görev yapan kişilerin iyi niyetli olmayan yaklaşımlarla tazminat baskısına maruz kalmaması ve bu yolla icra </w:t>
            </w:r>
            <w:r w:rsidRPr="00A23740">
              <w:rPr>
                <w:b w:val="0"/>
                <w:color w:val="auto"/>
                <w:lang w:val="tr-TR"/>
              </w:rPr>
              <w:lastRenderedPageBreak/>
              <w:t>görevlilerinin korunması ve sebepsiz yere meşgul edilerek i</w:t>
            </w:r>
            <w:r w:rsidR="00F4534F" w:rsidRPr="00A23740">
              <w:rPr>
                <w:b w:val="0"/>
                <w:color w:val="auto"/>
                <w:lang w:val="tr-TR"/>
              </w:rPr>
              <w:t>c</w:t>
            </w:r>
            <w:r w:rsidRPr="00A23740">
              <w:rPr>
                <w:b w:val="0"/>
                <w:color w:val="auto"/>
                <w:lang w:val="tr-TR"/>
              </w:rPr>
              <w:t>ra</w:t>
            </w:r>
            <w:r w:rsidR="00F4534F" w:rsidRPr="00A23740">
              <w:rPr>
                <w:b w:val="0"/>
                <w:color w:val="auto"/>
                <w:lang w:val="tr-TR"/>
              </w:rPr>
              <w:t xml:space="preserve"> ve iflas</w:t>
            </w:r>
            <w:r w:rsidRPr="00A23740">
              <w:rPr>
                <w:b w:val="0"/>
                <w:color w:val="auto"/>
                <w:lang w:val="tr-TR"/>
              </w:rPr>
              <w:t xml:space="preserve"> dairelerince verilen kamu hizmetinin aksamas</w:t>
            </w:r>
            <w:r w:rsidR="004E59C1" w:rsidRPr="00A23740">
              <w:rPr>
                <w:b w:val="0"/>
                <w:color w:val="auto"/>
                <w:lang w:val="tr-TR"/>
              </w:rPr>
              <w:t>ının önlenmesi amaçlanmaktadır.</w:t>
            </w:r>
          </w:p>
          <w:p w:rsidR="00F77FB4" w:rsidRPr="00A23740" w:rsidRDefault="00F77FB4" w:rsidP="009431FF">
            <w:pPr>
              <w:pStyle w:val="Mavi"/>
              <w:ind w:firstLine="709"/>
              <w:rPr>
                <w:color w:val="70AD47"/>
                <w:lang w:val="tr-TR"/>
              </w:rPr>
            </w:pPr>
            <w:r w:rsidRPr="00A23740">
              <w:rPr>
                <w:b w:val="0"/>
                <w:color w:val="auto"/>
                <w:lang w:val="tr-TR"/>
              </w:rPr>
              <w:t>Dördüncü fıkrayla, Adalet Bakanlığının ödemek zorunda kaldığı tazminat nedeniyle kusurlu bulunanlara rücu etmesi hususu düzenlen</w:t>
            </w:r>
            <w:r w:rsidR="00F4534F" w:rsidRPr="00A23740">
              <w:rPr>
                <w:b w:val="0"/>
                <w:color w:val="auto"/>
                <w:lang w:val="tr-TR"/>
              </w:rPr>
              <w:t xml:space="preserve">mekte </w:t>
            </w:r>
            <w:r w:rsidRPr="00A23740">
              <w:rPr>
                <w:b w:val="0"/>
                <w:color w:val="auto"/>
                <w:lang w:val="tr-TR"/>
              </w:rPr>
              <w:t>ve rücu davasına bakaca</w:t>
            </w:r>
            <w:r w:rsidR="00F4534F" w:rsidRPr="00A23740">
              <w:rPr>
                <w:b w:val="0"/>
                <w:color w:val="auto"/>
                <w:lang w:val="tr-TR"/>
              </w:rPr>
              <w:t>k yetkili mahkeme belirlenmektedir</w:t>
            </w:r>
            <w:r w:rsidRPr="00A23740">
              <w:rPr>
                <w:b w:val="0"/>
                <w:color w:val="auto"/>
                <w:lang w:val="tr-TR"/>
              </w:rPr>
              <w:t xml:space="preserve">. Hükme göre Bakanlığın, ödemek zorunda kaldığı tazminat nedeniyle zararın meydana gelmesinde kusuru bulunanlara ödeme tarihinden itibaren bir yıl içinde rücu etmesi gerekmektedir. </w:t>
            </w:r>
            <w:r w:rsidR="00B0209A" w:rsidRPr="00A23740">
              <w:rPr>
                <w:b w:val="0"/>
                <w:color w:val="auto"/>
                <w:lang w:val="tr-TR"/>
              </w:rPr>
              <w:t>Hükümde</w:t>
            </w:r>
            <w:r w:rsidRPr="00A23740">
              <w:rPr>
                <w:b w:val="0"/>
                <w:color w:val="auto"/>
                <w:lang w:val="tr-TR"/>
              </w:rPr>
              <w:t xml:space="preserve">, genel hükümlerden farklı olarak rücu süresi, </w:t>
            </w:r>
            <w:r w:rsidR="00F4534F" w:rsidRPr="00A23740">
              <w:rPr>
                <w:b w:val="0"/>
                <w:color w:val="auto"/>
                <w:lang w:val="tr-TR"/>
              </w:rPr>
              <w:t>Bakanlığın</w:t>
            </w:r>
            <w:r w:rsidRPr="00A23740">
              <w:rPr>
                <w:b w:val="0"/>
                <w:color w:val="auto"/>
                <w:lang w:val="tr-TR"/>
              </w:rPr>
              <w:t xml:space="preserve"> kusurlu görevliye karşı açacağı rücu davası bakımından tazminatın ödenmesi tarihinden itibaren bir yıllık bir süre öngörülm</w:t>
            </w:r>
            <w:r w:rsidR="00180F0D" w:rsidRPr="00A23740">
              <w:rPr>
                <w:b w:val="0"/>
                <w:color w:val="auto"/>
                <w:lang w:val="tr-TR"/>
              </w:rPr>
              <w:t xml:space="preserve">ektedir. </w:t>
            </w:r>
            <w:r w:rsidRPr="00A23740">
              <w:rPr>
                <w:b w:val="0"/>
                <w:color w:val="auto"/>
                <w:lang w:val="tr-TR"/>
              </w:rPr>
              <w:t>Ayrıca rücu davasının tazminat davasını karara bağlamış olan mahkemede görüleceği açıkça düzenlenerek, uygulamada doğabilecek tereddütlerin giderilmesi amaçlanm</w:t>
            </w:r>
            <w:r w:rsidR="00F4534F" w:rsidRPr="00A23740">
              <w:rPr>
                <w:b w:val="0"/>
                <w:color w:val="auto"/>
                <w:lang w:val="tr-TR"/>
              </w:rPr>
              <w:t xml:space="preserve">aktadır. </w:t>
            </w:r>
            <w:r w:rsidR="00DB2BC9" w:rsidRPr="00A23740">
              <w:rPr>
                <w:b w:val="0"/>
                <w:color w:val="auto"/>
                <w:lang w:val="tr-TR"/>
              </w:rPr>
              <w:t>2004 sayılı Kanunun 5 inci maddesinin birinci fıkrasının ikinci cümlesinde geçen “Devletin”</w:t>
            </w:r>
            <w:r w:rsidRPr="00A23740">
              <w:rPr>
                <w:b w:val="0"/>
                <w:color w:val="auto"/>
                <w:lang w:val="tr-TR"/>
              </w:rPr>
              <w:t xml:space="preserve"> ibaresi</w:t>
            </w:r>
            <w:r w:rsidR="00B0209A" w:rsidRPr="00A23740">
              <w:rPr>
                <w:b w:val="0"/>
                <w:color w:val="auto"/>
                <w:lang w:val="tr-TR"/>
              </w:rPr>
              <w:t>, tazminat davası Bakanlık aleyhine açılacağı için</w:t>
            </w:r>
            <w:r w:rsidR="00D66679" w:rsidRPr="00A23740">
              <w:rPr>
                <w:b w:val="0"/>
                <w:color w:val="auto"/>
                <w:lang w:val="tr-TR"/>
              </w:rPr>
              <w:t>,</w:t>
            </w:r>
            <w:r w:rsidR="00B0209A" w:rsidRPr="00A23740">
              <w:rPr>
                <w:b w:val="0"/>
                <w:color w:val="auto"/>
                <w:lang w:val="tr-TR"/>
              </w:rPr>
              <w:t xml:space="preserve"> </w:t>
            </w:r>
            <w:r w:rsidR="00DB2BC9" w:rsidRPr="00A23740">
              <w:rPr>
                <w:b w:val="0"/>
                <w:color w:val="auto"/>
                <w:lang w:val="tr-TR"/>
              </w:rPr>
              <w:t>“</w:t>
            </w:r>
            <w:r w:rsidRPr="00A23740">
              <w:rPr>
                <w:b w:val="0"/>
                <w:color w:val="auto"/>
                <w:lang w:val="tr-TR"/>
              </w:rPr>
              <w:t>Adalet Bakanlığı</w:t>
            </w:r>
            <w:r w:rsidR="00DB2BC9" w:rsidRPr="00A23740">
              <w:rPr>
                <w:b w:val="0"/>
                <w:color w:val="auto"/>
                <w:lang w:val="tr-TR"/>
              </w:rPr>
              <w:t>”</w:t>
            </w:r>
            <w:r w:rsidRPr="00A23740">
              <w:rPr>
                <w:b w:val="0"/>
                <w:color w:val="auto"/>
                <w:lang w:val="tr-TR"/>
              </w:rPr>
              <w:t xml:space="preserve"> </w:t>
            </w:r>
            <w:r w:rsidR="00B0209A" w:rsidRPr="00A23740">
              <w:rPr>
                <w:b w:val="0"/>
                <w:color w:val="auto"/>
                <w:lang w:val="tr-TR"/>
              </w:rPr>
              <w:t>olarak tasrih edilmekte, yine cümlede geçen “rücu hakkı saklıdır” ibaresi, tereddüt oluşturmaması amacıyla “rücu eder”</w:t>
            </w:r>
            <w:r w:rsidRPr="00A23740">
              <w:rPr>
                <w:b w:val="0"/>
                <w:color w:val="auto"/>
                <w:lang w:val="tr-TR"/>
              </w:rPr>
              <w:t xml:space="preserve"> </w:t>
            </w:r>
            <w:r w:rsidR="00B0209A" w:rsidRPr="00A23740">
              <w:rPr>
                <w:b w:val="0"/>
                <w:color w:val="auto"/>
                <w:lang w:val="tr-TR"/>
              </w:rPr>
              <w:t xml:space="preserve">şeklinde değiştirilmektedir. </w:t>
            </w:r>
            <w:r w:rsidR="00F4534F" w:rsidRPr="00A23740">
              <w:rPr>
                <w:b w:val="0"/>
                <w:color w:val="auto"/>
                <w:lang w:val="tr-TR"/>
              </w:rPr>
              <w:t>Bu fıkra hükmü, 2004 sayılı Kanunun 5 inci maddesinin birinci fıkrasının ikinci cümlesine karşılık gelmektedir.</w:t>
            </w:r>
          </w:p>
          <w:p w:rsidR="00F77FB4" w:rsidRPr="00A23740" w:rsidRDefault="00F77FB4" w:rsidP="009431FF">
            <w:pPr>
              <w:pStyle w:val="Mavi"/>
              <w:ind w:firstLine="709"/>
              <w:rPr>
                <w:b w:val="0"/>
                <w:color w:val="auto"/>
                <w:lang w:val="tr-TR"/>
              </w:rPr>
            </w:pPr>
            <w:r w:rsidRPr="00A23740">
              <w:rPr>
                <w:b w:val="0"/>
                <w:color w:val="auto"/>
                <w:lang w:val="tr-TR"/>
              </w:rPr>
              <w:t xml:space="preserve">Beşinci fıkrayla, </w:t>
            </w:r>
            <w:r w:rsidR="00B0209A" w:rsidRPr="00A23740">
              <w:rPr>
                <w:b w:val="0"/>
                <w:color w:val="auto"/>
                <w:lang w:val="tr-TR"/>
              </w:rPr>
              <w:t xml:space="preserve">bir yenilik olarak </w:t>
            </w:r>
            <w:r w:rsidRPr="00A23740">
              <w:rPr>
                <w:b w:val="0"/>
                <w:color w:val="auto"/>
                <w:lang w:val="tr-TR"/>
              </w:rPr>
              <w:t xml:space="preserve">Adalet Bakanlığının, ödemek zorunda kaldığı tazminat nedeniyle sebepsiz yere zenginleşenlere genel hükümlere göre başvurabileceği ve </w:t>
            </w:r>
            <w:r w:rsidR="004A665D" w:rsidRPr="00A23740">
              <w:rPr>
                <w:b w:val="0"/>
                <w:color w:val="auto"/>
                <w:lang w:val="tr-TR"/>
              </w:rPr>
              <w:t>bu davanın</w:t>
            </w:r>
            <w:r w:rsidRPr="00A23740">
              <w:rPr>
                <w:b w:val="0"/>
                <w:color w:val="auto"/>
                <w:lang w:val="tr-TR"/>
              </w:rPr>
              <w:t xml:space="preserve">, tazminat davasını karara bağlamış olan mahkemede görüleceği hükme bağlanmaktadır. </w:t>
            </w:r>
          </w:p>
          <w:p w:rsidR="00D64704" w:rsidRPr="00A23740" w:rsidRDefault="00F77FB4" w:rsidP="009431FF">
            <w:pPr>
              <w:pStyle w:val="Mavi"/>
              <w:ind w:firstLine="709"/>
              <w:rPr>
                <w:color w:val="000000"/>
                <w:lang w:val="tr-TR"/>
              </w:rPr>
            </w:pPr>
            <w:r w:rsidRPr="00A23740">
              <w:rPr>
                <w:b w:val="0"/>
                <w:color w:val="auto"/>
                <w:lang w:val="tr-TR"/>
              </w:rPr>
              <w:t xml:space="preserve">Altıncı fıkrayla, </w:t>
            </w:r>
            <w:r w:rsidR="00DB680D" w:rsidRPr="00A23740">
              <w:rPr>
                <w:b w:val="0"/>
                <w:color w:val="auto"/>
                <w:lang w:val="tr-TR"/>
              </w:rPr>
              <w:t xml:space="preserve">zararın </w:t>
            </w:r>
            <w:r w:rsidRPr="00A23740">
              <w:rPr>
                <w:b w:val="0"/>
                <w:color w:val="auto"/>
                <w:lang w:val="tr-TR"/>
              </w:rPr>
              <w:t xml:space="preserve">oluşmasında veya artmasında etkisi olanlar bakımından, 6098 sayılı </w:t>
            </w:r>
            <w:r w:rsidR="00DD7D85" w:rsidRPr="00A23740">
              <w:rPr>
                <w:b w:val="0"/>
                <w:color w:val="auto"/>
                <w:lang w:val="tr-TR"/>
              </w:rPr>
              <w:t>Kanunun</w:t>
            </w:r>
            <w:r w:rsidRPr="00A23740">
              <w:rPr>
                <w:b w:val="0"/>
                <w:color w:val="auto"/>
                <w:lang w:val="tr-TR"/>
              </w:rPr>
              <w:t xml:space="preserve"> 52 nci maddesindeki düzenlemeye paralel bir hüküm ihdas edilmektedir. Buna göre, şikâyet ve diğer kanun yollarına başvurmayarak zararı engellemeye veya zararın miktarını azaltmaya yönelik işlem yapmayanlar ile borçlunun başkaca mal varlığını paraya çevirme imkânı bulunan tarafın açtığı tazminat davalarında, bu hususların zararın tespiti bakımından </w:t>
            </w:r>
            <w:r w:rsidR="00D66679" w:rsidRPr="00A23740">
              <w:rPr>
                <w:b w:val="0"/>
                <w:color w:val="auto"/>
                <w:lang w:val="tr-TR"/>
              </w:rPr>
              <w:t xml:space="preserve">mahkemece </w:t>
            </w:r>
            <w:r w:rsidRPr="00A23740">
              <w:rPr>
                <w:b w:val="0"/>
                <w:color w:val="auto"/>
                <w:lang w:val="tr-TR"/>
              </w:rPr>
              <w:t>resen değerlendi</w:t>
            </w:r>
            <w:r w:rsidR="00A44DE5">
              <w:rPr>
                <w:b w:val="0"/>
                <w:color w:val="auto"/>
                <w:lang w:val="tr-TR"/>
              </w:rPr>
              <w:t>rileceği hükmü getirilmektedir.</w:t>
            </w:r>
          </w:p>
          <w:p w:rsidR="00DD7D85" w:rsidRPr="00A23740" w:rsidRDefault="00DD7D85" w:rsidP="009431FF">
            <w:pPr>
              <w:pStyle w:val="Mavi"/>
              <w:rPr>
                <w:color w:val="FF0000"/>
                <w:lang w:val="tr-TR"/>
              </w:rPr>
            </w:pPr>
            <w:r w:rsidRPr="00A23740">
              <w:rPr>
                <w:color w:val="auto"/>
                <w:lang w:val="tr-TR"/>
              </w:rPr>
              <w:tab/>
              <w:t xml:space="preserve">  </w:t>
            </w:r>
          </w:p>
        </w:tc>
      </w:tr>
      <w:tr w:rsidR="001E132C" w:rsidRPr="00A23740" w:rsidTr="009431FF">
        <w:tc>
          <w:tcPr>
            <w:tcW w:w="2500" w:type="pct"/>
            <w:shd w:val="clear" w:color="auto" w:fill="auto"/>
          </w:tcPr>
          <w:p w:rsidR="001E132C" w:rsidRPr="00A23740" w:rsidRDefault="001E132C" w:rsidP="009431FF">
            <w:pPr>
              <w:pStyle w:val="StilKrmz"/>
              <w:rPr>
                <w:lang w:val="tr-TR"/>
              </w:rPr>
            </w:pPr>
            <w:r w:rsidRPr="00A23740">
              <w:rPr>
                <w:b w:val="0"/>
                <w:strike w:val="0"/>
                <w:color w:val="000000"/>
                <w:lang w:val="tr-TR" w:eastAsia="tr-TR"/>
              </w:rPr>
              <w:lastRenderedPageBreak/>
              <w:t>Zimmet</w:t>
            </w:r>
            <w:r w:rsidRPr="00A23740">
              <w:rPr>
                <w:lang w:val="tr-TR"/>
              </w:rPr>
              <w:t>:</w:t>
            </w:r>
          </w:p>
          <w:p w:rsidR="001E132C" w:rsidRPr="00A23740" w:rsidRDefault="001E132C" w:rsidP="009431FF">
            <w:pPr>
              <w:pStyle w:val="StilKrmz"/>
              <w:rPr>
                <w:lang w:val="tr-TR"/>
              </w:rPr>
            </w:pPr>
            <w:r w:rsidRPr="00A23740">
              <w:rPr>
                <w:lang w:val="tr-TR"/>
              </w:rPr>
              <w:t>Madde 6 – (Değişik: 6/6/1985-3222/2 md.)</w:t>
            </w:r>
          </w:p>
          <w:p w:rsidR="001E132C" w:rsidRPr="00A23740" w:rsidRDefault="001E132C" w:rsidP="009431FF">
            <w:pPr>
              <w:rPr>
                <w:rFonts w:eastAsia="Times New Roman"/>
                <w:color w:val="000000"/>
                <w:szCs w:val="24"/>
                <w:lang w:eastAsia="tr-TR"/>
              </w:rPr>
            </w:pPr>
            <w:r w:rsidRPr="00A23740">
              <w:rPr>
                <w:rFonts w:eastAsia="Times New Roman"/>
                <w:color w:val="000000"/>
                <w:szCs w:val="24"/>
                <w:lang w:eastAsia="tr-TR"/>
              </w:rPr>
              <w:t>(1) İcra daire</w:t>
            </w:r>
            <w:r w:rsidRPr="00A23740">
              <w:rPr>
                <w:rStyle w:val="KIRMIZIChar"/>
                <w:rFonts w:eastAsia="Calibri"/>
                <w:lang w:eastAsia="tr-TR"/>
              </w:rPr>
              <w:t>sine</w:t>
            </w:r>
            <w:r w:rsidRPr="00A23740">
              <w:rPr>
                <w:rFonts w:eastAsia="Times New Roman"/>
                <w:color w:val="000000"/>
                <w:szCs w:val="24"/>
                <w:lang w:eastAsia="tr-TR"/>
              </w:rPr>
              <w:t xml:space="preserve"> tevdi veya bu daire</w:t>
            </w:r>
            <w:r w:rsidRPr="00A23740">
              <w:rPr>
                <w:rStyle w:val="KIRMIZIChar"/>
                <w:rFonts w:eastAsia="Calibri"/>
                <w:lang w:eastAsia="tr-TR"/>
              </w:rPr>
              <w:t>ce</w:t>
            </w:r>
            <w:r w:rsidRPr="00A23740">
              <w:rPr>
                <w:rStyle w:val="KIRMIZIChar"/>
                <w:rFonts w:eastAsia="Calibri"/>
                <w:strike w:val="0"/>
                <w:lang w:eastAsia="tr-TR"/>
              </w:rPr>
              <w:t xml:space="preserve"> </w:t>
            </w:r>
            <w:r w:rsidRPr="00A23740">
              <w:rPr>
                <w:rFonts w:eastAsia="Times New Roman"/>
                <w:color w:val="000000"/>
                <w:szCs w:val="24"/>
                <w:lang w:eastAsia="tr-TR"/>
              </w:rPr>
              <w:t xml:space="preserve">tahsil olunan </w:t>
            </w:r>
            <w:r w:rsidRPr="00A23740">
              <w:rPr>
                <w:rStyle w:val="KIRMIZIChar"/>
                <w:rFonts w:eastAsia="Calibri"/>
              </w:rPr>
              <w:t>veya</w:t>
            </w:r>
            <w:r w:rsidRPr="00A23740">
              <w:rPr>
                <w:rFonts w:eastAsia="Times New Roman"/>
                <w:color w:val="000000"/>
                <w:szCs w:val="24"/>
                <w:lang w:eastAsia="tr-TR"/>
              </w:rPr>
              <w:t xml:space="preserve"> muhafaza altına alınan paraların,</w:t>
            </w:r>
            <w:r w:rsidR="009169EB" w:rsidRPr="00A23740">
              <w:rPr>
                <w:rFonts w:eastAsia="Times New Roman"/>
                <w:color w:val="000000"/>
                <w:szCs w:val="24"/>
                <w:lang w:eastAsia="tr-TR"/>
              </w:rPr>
              <w:t xml:space="preserve"> </w:t>
            </w:r>
            <w:r w:rsidRPr="00A23740">
              <w:rPr>
                <w:rFonts w:eastAsia="Times New Roman"/>
                <w:color w:val="000000"/>
                <w:szCs w:val="24"/>
                <w:lang w:eastAsia="tr-TR"/>
              </w:rPr>
              <w:t xml:space="preserve">ilgili </w:t>
            </w:r>
            <w:r w:rsidRPr="00A23740">
              <w:rPr>
                <w:rStyle w:val="KIRMIZIChar"/>
                <w:rFonts w:eastAsia="Calibri"/>
                <w:lang w:eastAsia="tr-TR"/>
              </w:rPr>
              <w:t>memur</w:t>
            </w:r>
            <w:r w:rsidRPr="00A23740">
              <w:rPr>
                <w:rFonts w:eastAsia="Times New Roman"/>
                <w:color w:val="000000"/>
                <w:szCs w:val="24"/>
                <w:lang w:eastAsia="tr-TR"/>
              </w:rPr>
              <w:t xml:space="preserve"> tarafından zimmete geçirilmesi halinde, zimmete geçirilen </w:t>
            </w:r>
            <w:r w:rsidRPr="00A23740">
              <w:rPr>
                <w:rStyle w:val="KIRMIZIChar"/>
                <w:rFonts w:eastAsia="Calibri"/>
              </w:rPr>
              <w:t>miktar</w:t>
            </w:r>
            <w:r w:rsidRPr="00A23740">
              <w:rPr>
                <w:rFonts w:eastAsia="Times New Roman"/>
                <w:color w:val="000000"/>
                <w:szCs w:val="24"/>
                <w:lang w:eastAsia="tr-TR"/>
              </w:rPr>
              <w:t>, ceza</w:t>
            </w:r>
            <w:r w:rsidRPr="00A23740">
              <w:rPr>
                <w:rStyle w:val="KIRMIZIChar"/>
                <w:rFonts w:eastAsia="Calibri"/>
                <w:lang w:eastAsia="tr-TR"/>
              </w:rPr>
              <w:t>i takibat</w:t>
            </w:r>
            <w:r w:rsidRPr="00A23740">
              <w:rPr>
                <w:rStyle w:val="KIRMIZIChar"/>
                <w:rFonts w:eastAsia="Calibri"/>
                <w:strike w:val="0"/>
                <w:lang w:eastAsia="tr-TR"/>
              </w:rPr>
              <w:t xml:space="preserve"> </w:t>
            </w:r>
            <w:r w:rsidRPr="00A23740">
              <w:rPr>
                <w:rFonts w:eastAsia="Times New Roman"/>
                <w:color w:val="000000"/>
                <w:szCs w:val="24"/>
                <w:lang w:eastAsia="tr-TR"/>
              </w:rPr>
              <w:t xml:space="preserve">sonucu beklenmeden ve tazmin yolunda bir hükme </w:t>
            </w:r>
            <w:r w:rsidRPr="00A23740">
              <w:rPr>
                <w:rStyle w:val="KIRMIZIChar"/>
                <w:rFonts w:eastAsia="Calibri"/>
                <w:lang w:eastAsia="tr-TR"/>
              </w:rPr>
              <w:t>hacet</w:t>
            </w:r>
            <w:r w:rsidRPr="00A23740">
              <w:rPr>
                <w:rFonts w:eastAsia="Times New Roman"/>
                <w:color w:val="000000"/>
                <w:szCs w:val="24"/>
                <w:lang w:eastAsia="tr-TR"/>
              </w:rPr>
              <w:t xml:space="preserve"> kalmaksızın </w:t>
            </w:r>
            <w:r w:rsidRPr="00A23740">
              <w:rPr>
                <w:rStyle w:val="KIRMIZIChar"/>
                <w:rFonts w:eastAsia="Calibri"/>
              </w:rPr>
              <w:t>hazine</w:t>
            </w:r>
            <w:r w:rsidRPr="00A23740">
              <w:rPr>
                <w:rFonts w:eastAsia="Times New Roman"/>
                <w:color w:val="000000"/>
                <w:szCs w:val="24"/>
                <w:lang w:eastAsia="tr-TR"/>
              </w:rPr>
              <w:t xml:space="preserve"> tarafından derhal icra </w:t>
            </w:r>
            <w:r w:rsidRPr="00A23740">
              <w:rPr>
                <w:rStyle w:val="KIRMIZIChar"/>
                <w:rFonts w:eastAsia="Calibri"/>
                <w:lang w:eastAsia="tr-TR"/>
              </w:rPr>
              <w:t>veznesine</w:t>
            </w:r>
            <w:r w:rsidRPr="00A23740">
              <w:rPr>
                <w:rFonts w:eastAsia="Times New Roman"/>
                <w:color w:val="000000"/>
                <w:szCs w:val="24"/>
                <w:lang w:eastAsia="tr-TR"/>
              </w:rPr>
              <w:t xml:space="preserve"> yatırılır. </w:t>
            </w:r>
            <w:r w:rsidRPr="00A23740">
              <w:rPr>
                <w:rStyle w:val="KIRMIZIChar"/>
                <w:rFonts w:eastAsia="Calibri"/>
              </w:rPr>
              <w:t>Devletin</w:t>
            </w:r>
            <w:r w:rsidRPr="00A23740">
              <w:rPr>
                <w:rFonts w:eastAsia="Times New Roman"/>
                <w:color w:val="000000"/>
                <w:szCs w:val="24"/>
                <w:lang w:eastAsia="tr-TR"/>
              </w:rPr>
              <w:t xml:space="preserve"> asıl sorumlulara rücu </w:t>
            </w:r>
            <w:r w:rsidRPr="00A23740">
              <w:rPr>
                <w:rStyle w:val="KIRMIZIChar"/>
                <w:rFonts w:eastAsia="Calibri"/>
                <w:lang w:eastAsia="tr-TR"/>
              </w:rPr>
              <w:t>hakkı saklıdır</w:t>
            </w:r>
            <w:r w:rsidRPr="00A23740">
              <w:rPr>
                <w:rFonts w:eastAsia="Times New Roman"/>
                <w:color w:val="000000"/>
                <w:szCs w:val="24"/>
                <w:lang w:eastAsia="tr-TR"/>
              </w:rPr>
              <w:t>.</w:t>
            </w:r>
          </w:p>
          <w:p w:rsidR="001E132C" w:rsidRPr="00A23740" w:rsidRDefault="001E132C" w:rsidP="009431FF">
            <w:pPr>
              <w:jc w:val="center"/>
              <w:rPr>
                <w:b/>
                <w:szCs w:val="24"/>
              </w:rPr>
            </w:pPr>
          </w:p>
        </w:tc>
        <w:tc>
          <w:tcPr>
            <w:tcW w:w="2500" w:type="pct"/>
            <w:shd w:val="clear" w:color="auto" w:fill="auto"/>
          </w:tcPr>
          <w:p w:rsidR="001E132C" w:rsidRPr="00A23740" w:rsidRDefault="001E132C" w:rsidP="009431FF">
            <w:pPr>
              <w:tabs>
                <w:tab w:val="left" w:pos="567"/>
              </w:tabs>
              <w:rPr>
                <w:b/>
                <w:szCs w:val="24"/>
              </w:rPr>
            </w:pPr>
            <w:r w:rsidRPr="00A23740">
              <w:rPr>
                <w:rStyle w:val="MaviChar"/>
              </w:rPr>
              <w:t>Paranın</w:t>
            </w:r>
            <w:r w:rsidRPr="00A23740">
              <w:rPr>
                <w:b/>
                <w:color w:val="0000FF"/>
                <w:szCs w:val="24"/>
              </w:rPr>
              <w:t xml:space="preserve"> </w:t>
            </w:r>
            <w:r w:rsidRPr="00A23740">
              <w:rPr>
                <w:b/>
                <w:szCs w:val="24"/>
              </w:rPr>
              <w:t>zimmet</w:t>
            </w:r>
            <w:r w:rsidRPr="00A23740">
              <w:rPr>
                <w:rStyle w:val="MaviChar"/>
              </w:rPr>
              <w:t>e geçirilmesi ve rücu</w:t>
            </w:r>
          </w:p>
          <w:p w:rsidR="001E132C" w:rsidRPr="00A23740" w:rsidRDefault="00F92A99" w:rsidP="009431FF">
            <w:pPr>
              <w:tabs>
                <w:tab w:val="left" w:pos="567"/>
              </w:tabs>
              <w:rPr>
                <w:szCs w:val="24"/>
              </w:rPr>
            </w:pPr>
            <w:r w:rsidRPr="00A23740">
              <w:rPr>
                <w:rStyle w:val="MaviChar"/>
              </w:rPr>
              <w:t>MADDE 8</w:t>
            </w:r>
            <w:r w:rsidR="001E132C" w:rsidRPr="00A23740">
              <w:rPr>
                <w:rStyle w:val="MaviChar"/>
              </w:rPr>
              <w:t>- (1)</w:t>
            </w:r>
            <w:r w:rsidR="001E132C" w:rsidRPr="00A23740">
              <w:rPr>
                <w:szCs w:val="24"/>
              </w:rPr>
              <w:t xml:space="preserve"> İcra </w:t>
            </w:r>
            <w:r w:rsidR="001E132C" w:rsidRPr="00A23740">
              <w:rPr>
                <w:rStyle w:val="MaviChar"/>
                <w:lang w:val="tr-TR"/>
              </w:rPr>
              <w:t>ve iflas</w:t>
            </w:r>
            <w:r w:rsidR="001E132C" w:rsidRPr="00A23740">
              <w:rPr>
                <w:szCs w:val="24"/>
              </w:rPr>
              <w:t xml:space="preserve"> daire</w:t>
            </w:r>
            <w:r w:rsidR="001E132C" w:rsidRPr="00A23740">
              <w:rPr>
                <w:rStyle w:val="MaviChar"/>
              </w:rPr>
              <w:t>lerine</w:t>
            </w:r>
            <w:r w:rsidR="001E132C" w:rsidRPr="00A23740">
              <w:rPr>
                <w:szCs w:val="24"/>
              </w:rPr>
              <w:t xml:space="preserve"> tevdi </w:t>
            </w:r>
            <w:r w:rsidR="00CE54E6" w:rsidRPr="00A23740">
              <w:rPr>
                <w:rStyle w:val="MaviChar"/>
              </w:rPr>
              <w:t>edilen</w:t>
            </w:r>
            <w:r w:rsidR="00CE54E6" w:rsidRPr="00A23740">
              <w:rPr>
                <w:color w:val="70AD47"/>
                <w:szCs w:val="24"/>
              </w:rPr>
              <w:t xml:space="preserve"> </w:t>
            </w:r>
            <w:r w:rsidR="001E132C" w:rsidRPr="00A23740">
              <w:rPr>
                <w:szCs w:val="24"/>
              </w:rPr>
              <w:t>veya bu daire</w:t>
            </w:r>
            <w:r w:rsidR="001E132C" w:rsidRPr="00A23740">
              <w:rPr>
                <w:rStyle w:val="MaviChar"/>
              </w:rPr>
              <w:t>ler</w:t>
            </w:r>
            <w:r w:rsidR="001E132C" w:rsidRPr="00A23740">
              <w:rPr>
                <w:szCs w:val="24"/>
              </w:rPr>
              <w:t xml:space="preserve"> </w:t>
            </w:r>
            <w:r w:rsidR="001E132C" w:rsidRPr="00A23740">
              <w:rPr>
                <w:rStyle w:val="MaviChar"/>
              </w:rPr>
              <w:t>tarafından bu Kanunda öngörülen usuller çerçevesinde</w:t>
            </w:r>
            <w:r w:rsidR="001E132C" w:rsidRPr="00A23740">
              <w:rPr>
                <w:szCs w:val="24"/>
              </w:rPr>
              <w:t xml:space="preserve"> tahsil olunan </w:t>
            </w:r>
            <w:r w:rsidR="009169EB" w:rsidRPr="00A23740">
              <w:rPr>
                <w:rStyle w:val="MaviChar"/>
              </w:rPr>
              <w:t>ya da</w:t>
            </w:r>
            <w:r w:rsidR="001E132C" w:rsidRPr="00A23740">
              <w:rPr>
                <w:szCs w:val="24"/>
              </w:rPr>
              <w:t xml:space="preserve"> muhafaza altına alınan paranın ilgili </w:t>
            </w:r>
            <w:r w:rsidR="001E132C" w:rsidRPr="00A23740">
              <w:rPr>
                <w:rStyle w:val="MaviChar"/>
              </w:rPr>
              <w:t>görevli</w:t>
            </w:r>
            <w:r w:rsidR="001E132C" w:rsidRPr="00A23740">
              <w:rPr>
                <w:szCs w:val="24"/>
              </w:rPr>
              <w:t xml:space="preserve"> tarafından zimmete geçirilmesi h</w:t>
            </w:r>
            <w:r w:rsidR="00C219C2" w:rsidRPr="00A23740">
              <w:rPr>
                <w:szCs w:val="24"/>
              </w:rPr>
              <w:t>â</w:t>
            </w:r>
            <w:r w:rsidR="001E132C" w:rsidRPr="00A23740">
              <w:rPr>
                <w:szCs w:val="24"/>
              </w:rPr>
              <w:t xml:space="preserve">linde, zimmete geçirilen </w:t>
            </w:r>
            <w:r w:rsidR="008939C9" w:rsidRPr="00A23740">
              <w:rPr>
                <w:rStyle w:val="MaviChar"/>
              </w:rPr>
              <w:t>tutar</w:t>
            </w:r>
            <w:r w:rsidR="001E132C" w:rsidRPr="00A23740">
              <w:rPr>
                <w:szCs w:val="24"/>
              </w:rPr>
              <w:t xml:space="preserve">, ceza </w:t>
            </w:r>
            <w:r w:rsidR="001E132C" w:rsidRPr="00A23740">
              <w:rPr>
                <w:rStyle w:val="MaviChar"/>
              </w:rPr>
              <w:t>soruşturması veya kovuşturması</w:t>
            </w:r>
            <w:r w:rsidR="001E132C" w:rsidRPr="00A23740">
              <w:rPr>
                <w:szCs w:val="24"/>
              </w:rPr>
              <w:t xml:space="preserve"> sonucu beklenmeden ve tazmin yolunda bir hükme </w:t>
            </w:r>
            <w:r w:rsidR="001E132C" w:rsidRPr="00A23740">
              <w:rPr>
                <w:rStyle w:val="MaviChar"/>
              </w:rPr>
              <w:t>gerek</w:t>
            </w:r>
            <w:r w:rsidR="001E132C" w:rsidRPr="00A23740">
              <w:rPr>
                <w:szCs w:val="24"/>
              </w:rPr>
              <w:t xml:space="preserve"> kalmaksızın</w:t>
            </w:r>
            <w:r w:rsidR="001E132C" w:rsidRPr="00A23740">
              <w:rPr>
                <w:rStyle w:val="MaviChar"/>
              </w:rPr>
              <w:t xml:space="preserve"> </w:t>
            </w:r>
            <w:r w:rsidR="00C35196" w:rsidRPr="00A23740">
              <w:rPr>
                <w:rStyle w:val="MaviChar"/>
                <w:lang w:val="tr-TR"/>
              </w:rPr>
              <w:t xml:space="preserve">Adalet Bakanlığı </w:t>
            </w:r>
            <w:r w:rsidR="001E132C" w:rsidRPr="00A23740">
              <w:rPr>
                <w:szCs w:val="24"/>
              </w:rPr>
              <w:t>tarafından derh</w:t>
            </w:r>
            <w:r w:rsidR="00DF22A1" w:rsidRPr="00A23740">
              <w:rPr>
                <w:szCs w:val="24"/>
              </w:rPr>
              <w:t>â</w:t>
            </w:r>
            <w:r w:rsidR="001E132C" w:rsidRPr="00A23740">
              <w:rPr>
                <w:szCs w:val="24"/>
              </w:rPr>
              <w:t xml:space="preserve">l icra </w:t>
            </w:r>
            <w:r w:rsidR="001E132C" w:rsidRPr="00A23740">
              <w:rPr>
                <w:rStyle w:val="MaviChar"/>
              </w:rPr>
              <w:t>dosyasına</w:t>
            </w:r>
            <w:r w:rsidR="001E132C" w:rsidRPr="00A23740">
              <w:rPr>
                <w:b/>
                <w:color w:val="0000FF"/>
                <w:szCs w:val="24"/>
              </w:rPr>
              <w:t xml:space="preserve"> </w:t>
            </w:r>
            <w:r w:rsidR="001E132C" w:rsidRPr="00A23740">
              <w:rPr>
                <w:szCs w:val="24"/>
              </w:rPr>
              <w:t xml:space="preserve">yatırılır. </w:t>
            </w:r>
          </w:p>
          <w:p w:rsidR="001E132C" w:rsidRPr="00A23740" w:rsidRDefault="001E132C" w:rsidP="009431FF">
            <w:pPr>
              <w:tabs>
                <w:tab w:val="left" w:pos="567"/>
              </w:tabs>
              <w:rPr>
                <w:szCs w:val="24"/>
              </w:rPr>
            </w:pPr>
          </w:p>
          <w:p w:rsidR="00C35196" w:rsidRDefault="001E132C" w:rsidP="009431FF">
            <w:pPr>
              <w:tabs>
                <w:tab w:val="left" w:pos="567"/>
              </w:tabs>
              <w:rPr>
                <w:rStyle w:val="MaviChar"/>
              </w:rPr>
            </w:pPr>
            <w:r w:rsidRPr="00A23740">
              <w:rPr>
                <w:rStyle w:val="MaviChar"/>
                <w:lang w:val="tr-TR"/>
              </w:rPr>
              <w:t>(2)</w:t>
            </w:r>
            <w:r w:rsidRPr="00A23740">
              <w:rPr>
                <w:szCs w:val="24"/>
              </w:rPr>
              <w:t xml:space="preserve"> </w:t>
            </w:r>
            <w:r w:rsidR="00C35196" w:rsidRPr="00A23740">
              <w:rPr>
                <w:rStyle w:val="MaviChar"/>
              </w:rPr>
              <w:t>Adalet Bakanlığı</w:t>
            </w:r>
            <w:r w:rsidRPr="00A23740">
              <w:rPr>
                <w:rStyle w:val="MaviChar"/>
              </w:rPr>
              <w:t xml:space="preserve">, ödediği para nedeniyle, </w:t>
            </w:r>
            <w:r w:rsidR="00C35196" w:rsidRPr="00A23740">
              <w:rPr>
                <w:szCs w:val="24"/>
              </w:rPr>
              <w:t xml:space="preserve">asıl sorumlulara </w:t>
            </w:r>
            <w:r w:rsidRPr="00A23740">
              <w:rPr>
                <w:rStyle w:val="MaviChar"/>
              </w:rPr>
              <w:t>ödeme tarihinden itibaren bir yıl içinde</w:t>
            </w:r>
            <w:r w:rsidRPr="00A23740">
              <w:rPr>
                <w:b/>
                <w:color w:val="0000FF"/>
                <w:szCs w:val="24"/>
              </w:rPr>
              <w:t xml:space="preserve"> </w:t>
            </w:r>
            <w:r w:rsidRPr="00A23740">
              <w:rPr>
                <w:szCs w:val="24"/>
              </w:rPr>
              <w:t>rücu</w:t>
            </w:r>
            <w:r w:rsidRPr="00A23740">
              <w:rPr>
                <w:b/>
                <w:color w:val="0000FF"/>
                <w:szCs w:val="24"/>
              </w:rPr>
              <w:t xml:space="preserve"> </w:t>
            </w:r>
            <w:r w:rsidRPr="00A23740">
              <w:rPr>
                <w:rStyle w:val="MaviChar"/>
              </w:rPr>
              <w:t>eder.</w:t>
            </w:r>
          </w:p>
          <w:p w:rsidR="00A44DE5" w:rsidRDefault="00A44DE5" w:rsidP="009431FF">
            <w:pPr>
              <w:tabs>
                <w:tab w:val="left" w:pos="567"/>
              </w:tabs>
              <w:rPr>
                <w:rStyle w:val="MaviChar"/>
              </w:rPr>
            </w:pPr>
          </w:p>
          <w:p w:rsidR="00A44DE5" w:rsidRDefault="00A44DE5" w:rsidP="009431FF">
            <w:pPr>
              <w:tabs>
                <w:tab w:val="left" w:pos="567"/>
              </w:tabs>
              <w:rPr>
                <w:rStyle w:val="MaviChar"/>
              </w:rPr>
            </w:pPr>
          </w:p>
          <w:p w:rsidR="00A44DE5" w:rsidRPr="00A23740" w:rsidRDefault="00A44DE5" w:rsidP="009431FF">
            <w:pPr>
              <w:tabs>
                <w:tab w:val="left" w:pos="567"/>
              </w:tabs>
              <w:rPr>
                <w:rFonts w:eastAsia="Times New Roman"/>
                <w:b/>
                <w:bCs/>
                <w:szCs w:val="24"/>
                <w:lang w:eastAsia="tr-TR"/>
              </w:rPr>
            </w:pPr>
          </w:p>
        </w:tc>
      </w:tr>
      <w:tr w:rsidR="00083972" w:rsidRPr="00A23740" w:rsidTr="009431FF">
        <w:tc>
          <w:tcPr>
            <w:tcW w:w="5000" w:type="pct"/>
            <w:gridSpan w:val="2"/>
            <w:shd w:val="clear" w:color="auto" w:fill="DEEAF6"/>
          </w:tcPr>
          <w:p w:rsidR="00403730" w:rsidRPr="00A23740" w:rsidRDefault="00403730" w:rsidP="009431FF">
            <w:pPr>
              <w:pStyle w:val="Mavi"/>
              <w:ind w:firstLine="709"/>
              <w:rPr>
                <w:color w:val="auto"/>
                <w:lang w:val="tr-TR"/>
              </w:rPr>
            </w:pPr>
          </w:p>
          <w:p w:rsidR="00083972" w:rsidRPr="00A23740" w:rsidRDefault="00083972" w:rsidP="009431FF">
            <w:pPr>
              <w:pStyle w:val="Mavi"/>
              <w:ind w:firstLine="709"/>
              <w:rPr>
                <w:b w:val="0"/>
                <w:color w:val="auto"/>
                <w:lang w:val="tr-TR"/>
              </w:rPr>
            </w:pPr>
            <w:r w:rsidRPr="00A23740">
              <w:rPr>
                <w:color w:val="auto"/>
                <w:lang w:val="tr-TR"/>
              </w:rPr>
              <w:t>M</w:t>
            </w:r>
            <w:r w:rsidR="00DD7D85" w:rsidRPr="00A23740">
              <w:rPr>
                <w:color w:val="auto"/>
                <w:lang w:val="tr-TR"/>
              </w:rPr>
              <w:t>ADDE 8</w:t>
            </w:r>
            <w:r w:rsidRPr="00A23740">
              <w:rPr>
                <w:color w:val="auto"/>
                <w:lang w:val="tr-TR"/>
              </w:rPr>
              <w:t xml:space="preserve">- </w:t>
            </w:r>
            <w:r w:rsidR="00403730" w:rsidRPr="00A23740">
              <w:rPr>
                <w:b w:val="0"/>
                <w:color w:val="auto"/>
                <w:lang w:val="tr-TR"/>
              </w:rPr>
              <w:t xml:space="preserve">Maddeyle, paranın zimmete geçirilmesi ve rücu edilmesine ilişkin esaslar düzenlenmektedir. </w:t>
            </w:r>
            <w:r w:rsidR="009169EB" w:rsidRPr="00A23740">
              <w:rPr>
                <w:b w:val="0"/>
                <w:color w:val="auto"/>
                <w:lang w:val="tr-TR"/>
              </w:rPr>
              <w:t xml:space="preserve">Hüküm, </w:t>
            </w:r>
            <w:r w:rsidR="00403730" w:rsidRPr="00A23740">
              <w:rPr>
                <w:b w:val="0"/>
                <w:color w:val="auto"/>
                <w:lang w:val="tr-TR"/>
              </w:rPr>
              <w:t>2004 sayılı Kanunun 6 ncı maddesi</w:t>
            </w:r>
            <w:r w:rsidR="00AD1DB2" w:rsidRPr="00A23740">
              <w:rPr>
                <w:b w:val="0"/>
                <w:color w:val="auto"/>
                <w:lang w:val="tr-TR"/>
              </w:rPr>
              <w:t>ne karşılık gelmektedir.</w:t>
            </w:r>
          </w:p>
          <w:p w:rsidR="00403730" w:rsidRPr="00A23740" w:rsidRDefault="00403730" w:rsidP="009431FF">
            <w:pPr>
              <w:pStyle w:val="Mavi"/>
              <w:ind w:firstLine="709"/>
              <w:rPr>
                <w:b w:val="0"/>
                <w:color w:val="auto"/>
                <w:lang w:val="tr-TR"/>
              </w:rPr>
            </w:pPr>
            <w:r w:rsidRPr="00A23740">
              <w:rPr>
                <w:b w:val="0"/>
                <w:color w:val="auto"/>
                <w:lang w:val="tr-TR"/>
              </w:rPr>
              <w:t xml:space="preserve">Birinci fıkrayla, </w:t>
            </w:r>
            <w:r w:rsidR="00A801DF" w:rsidRPr="00A23740">
              <w:rPr>
                <w:b w:val="0"/>
                <w:color w:val="auto"/>
                <w:lang w:val="tr-TR"/>
              </w:rPr>
              <w:t xml:space="preserve">icra görevlilerince zimmete geçirilen paranın iadesi usulü düzenlenmektedir. Hükme göre, icra </w:t>
            </w:r>
            <w:r w:rsidR="00813D61" w:rsidRPr="00A23740">
              <w:rPr>
                <w:b w:val="0"/>
                <w:color w:val="auto"/>
                <w:lang w:val="tr-TR"/>
              </w:rPr>
              <w:t xml:space="preserve">ve iflas dairelerine </w:t>
            </w:r>
            <w:r w:rsidR="00A801DF" w:rsidRPr="00A23740">
              <w:rPr>
                <w:b w:val="0"/>
                <w:color w:val="auto"/>
                <w:lang w:val="tr-TR"/>
              </w:rPr>
              <w:t>tevdi</w:t>
            </w:r>
            <w:r w:rsidR="008939C9" w:rsidRPr="00A23740">
              <w:rPr>
                <w:b w:val="0"/>
                <w:color w:val="auto"/>
                <w:lang w:val="tr-TR"/>
              </w:rPr>
              <w:t xml:space="preserve"> edilen</w:t>
            </w:r>
            <w:r w:rsidR="00A801DF" w:rsidRPr="00A23740">
              <w:rPr>
                <w:b w:val="0"/>
                <w:color w:val="auto"/>
                <w:lang w:val="tr-TR"/>
              </w:rPr>
              <w:t xml:space="preserve"> veya bu daireler tarafından bu Kanunda öngörülen usuller çerçevesinde tahsil olunan </w:t>
            </w:r>
            <w:r w:rsidR="00F672F7" w:rsidRPr="00A23740">
              <w:rPr>
                <w:b w:val="0"/>
                <w:color w:val="auto"/>
                <w:lang w:val="tr-TR"/>
              </w:rPr>
              <w:t>ya da</w:t>
            </w:r>
            <w:r w:rsidR="00C35196" w:rsidRPr="00A23740">
              <w:rPr>
                <w:b w:val="0"/>
                <w:color w:val="auto"/>
                <w:lang w:val="tr-TR"/>
              </w:rPr>
              <w:t xml:space="preserve"> muhafaza altına alınan paranın </w:t>
            </w:r>
            <w:r w:rsidR="00A801DF" w:rsidRPr="00A23740">
              <w:rPr>
                <w:b w:val="0"/>
                <w:color w:val="auto"/>
                <w:lang w:val="tr-TR"/>
              </w:rPr>
              <w:t>ilgili görevli</w:t>
            </w:r>
            <w:r w:rsidR="00C35196" w:rsidRPr="00A23740">
              <w:rPr>
                <w:b w:val="0"/>
                <w:color w:val="auto"/>
                <w:lang w:val="tr-TR"/>
              </w:rPr>
              <w:t xml:space="preserve"> tarafından zimmete geçirilen tutarı</w:t>
            </w:r>
            <w:r w:rsidR="00A801DF" w:rsidRPr="00A23740">
              <w:rPr>
                <w:b w:val="0"/>
                <w:color w:val="auto"/>
                <w:lang w:val="tr-TR"/>
              </w:rPr>
              <w:t xml:space="preserve">, ceza soruşturması veya kovuşturması sonucu beklenmeden ve tazmin yolunda bir hükme gerek kalmaksızın </w:t>
            </w:r>
            <w:r w:rsidR="00C35196" w:rsidRPr="00A23740">
              <w:rPr>
                <w:b w:val="0"/>
                <w:color w:val="auto"/>
                <w:lang w:val="tr-TR"/>
              </w:rPr>
              <w:t>Adalet Bakanlığı</w:t>
            </w:r>
            <w:r w:rsidR="00A801DF" w:rsidRPr="00A23740">
              <w:rPr>
                <w:b w:val="0"/>
                <w:color w:val="auto"/>
                <w:lang w:val="tr-TR"/>
              </w:rPr>
              <w:t xml:space="preserve"> tarafından derh</w:t>
            </w:r>
            <w:r w:rsidR="00DF22A1" w:rsidRPr="00A23740">
              <w:rPr>
                <w:b w:val="0"/>
                <w:color w:val="auto"/>
                <w:lang w:val="tr-TR"/>
              </w:rPr>
              <w:t>â</w:t>
            </w:r>
            <w:r w:rsidR="00A801DF" w:rsidRPr="00A23740">
              <w:rPr>
                <w:b w:val="0"/>
                <w:color w:val="auto"/>
                <w:lang w:val="tr-TR"/>
              </w:rPr>
              <w:t>l icra dosyasına yatırıl</w:t>
            </w:r>
            <w:r w:rsidR="00F93AF2" w:rsidRPr="00A23740">
              <w:rPr>
                <w:b w:val="0"/>
                <w:color w:val="auto"/>
                <w:lang w:val="tr-TR"/>
              </w:rPr>
              <w:t xml:space="preserve">acaktır. </w:t>
            </w:r>
            <w:r w:rsidR="008939C9" w:rsidRPr="00A23740">
              <w:rPr>
                <w:b w:val="0"/>
                <w:color w:val="auto"/>
                <w:lang w:val="tr-TR"/>
              </w:rPr>
              <w:t xml:space="preserve">Hakkaniyetin sağlanması amacıyla </w:t>
            </w:r>
            <w:r w:rsidR="00DB1788" w:rsidRPr="00A23740">
              <w:rPr>
                <w:b w:val="0"/>
                <w:color w:val="auto"/>
                <w:lang w:val="tr-TR"/>
              </w:rPr>
              <w:t xml:space="preserve">ilgili görevli tarafından zimmete geçirilen parayla ilgili olarak Devletin hak sahiplerine karşı sorumluluğu </w:t>
            </w:r>
            <w:r w:rsidR="008939C9" w:rsidRPr="00A23740">
              <w:rPr>
                <w:b w:val="0"/>
                <w:color w:val="auto"/>
                <w:lang w:val="tr-TR"/>
              </w:rPr>
              <w:t xml:space="preserve">ve hak sahibinin alacağına dava açmadan kavuşabilmesi esası </w:t>
            </w:r>
            <w:r w:rsidR="00DB1788" w:rsidRPr="00A23740">
              <w:rPr>
                <w:b w:val="0"/>
                <w:color w:val="auto"/>
                <w:lang w:val="tr-TR"/>
              </w:rPr>
              <w:t xml:space="preserve">aynen kabul edilmektedir. </w:t>
            </w:r>
            <w:r w:rsidR="00F93AF2" w:rsidRPr="00A23740">
              <w:rPr>
                <w:b w:val="0"/>
                <w:color w:val="auto"/>
                <w:lang w:val="tr-TR"/>
              </w:rPr>
              <w:t>2004 sayılı Kanunun 6 ncı maddesinin birinci fıkrasında yer alan “cezai takibat” ibaresi tereddütlerin giderilmesi amacıyla ve 5271 sayılı Ceza Muhakemesi Kanununun benimsediği esaslara uygun şekilde “ceza soruşturması veya kovuşturması” olarak tasrih edilmektedir.</w:t>
            </w:r>
          </w:p>
          <w:p w:rsidR="00D64704" w:rsidRDefault="00F93AF2" w:rsidP="009431FF">
            <w:pPr>
              <w:pStyle w:val="Mavi"/>
              <w:ind w:firstLine="709"/>
              <w:rPr>
                <w:b w:val="0"/>
                <w:color w:val="auto"/>
                <w:lang w:val="tr-TR"/>
              </w:rPr>
            </w:pPr>
            <w:r w:rsidRPr="00A23740">
              <w:rPr>
                <w:b w:val="0"/>
                <w:color w:val="auto"/>
                <w:lang w:val="tr-TR"/>
              </w:rPr>
              <w:t xml:space="preserve">İkinci fıkrayla, </w:t>
            </w:r>
            <w:r w:rsidR="00C35196" w:rsidRPr="00A23740">
              <w:rPr>
                <w:b w:val="0"/>
                <w:color w:val="auto"/>
                <w:lang w:val="tr-TR"/>
              </w:rPr>
              <w:t>Bakanlığın</w:t>
            </w:r>
            <w:r w:rsidR="00C855E2" w:rsidRPr="00A23740">
              <w:rPr>
                <w:b w:val="0"/>
                <w:color w:val="auto"/>
                <w:lang w:val="tr-TR"/>
              </w:rPr>
              <w:t>,</w:t>
            </w:r>
            <w:r w:rsidRPr="00A23740">
              <w:rPr>
                <w:b w:val="0"/>
                <w:color w:val="auto"/>
                <w:lang w:val="tr-TR"/>
              </w:rPr>
              <w:t xml:space="preserve"> ödediği para nedeniyle </w:t>
            </w:r>
            <w:r w:rsidR="00C35196" w:rsidRPr="00A23740">
              <w:rPr>
                <w:b w:val="0"/>
                <w:color w:val="auto"/>
                <w:lang w:val="tr-TR"/>
              </w:rPr>
              <w:t xml:space="preserve">asıl sorumlulara </w:t>
            </w:r>
            <w:r w:rsidRPr="00A23740">
              <w:rPr>
                <w:b w:val="0"/>
                <w:color w:val="auto"/>
                <w:lang w:val="tr-TR"/>
              </w:rPr>
              <w:t xml:space="preserve">ödeme tarihinden itibaren bir yıl içinde rücu </w:t>
            </w:r>
            <w:r w:rsidR="00C35196" w:rsidRPr="00A23740">
              <w:rPr>
                <w:b w:val="0"/>
                <w:color w:val="auto"/>
                <w:lang w:val="tr-TR"/>
              </w:rPr>
              <w:t xml:space="preserve">edeceği hükme bağlanmaktadır. </w:t>
            </w:r>
            <w:r w:rsidR="00DB1788" w:rsidRPr="00A23740">
              <w:rPr>
                <w:b w:val="0"/>
                <w:color w:val="auto"/>
                <w:lang w:val="tr-TR"/>
              </w:rPr>
              <w:t>2004 sayılı Kanunun 6 ncı maddesinin birinci fıkrasının ikinci cümlesinde</w:t>
            </w:r>
            <w:r w:rsidR="008939C9" w:rsidRPr="00A23740">
              <w:rPr>
                <w:b w:val="0"/>
                <w:color w:val="auto"/>
                <w:lang w:val="tr-TR"/>
              </w:rPr>
              <w:t>,</w:t>
            </w:r>
            <w:r w:rsidR="00DB1788" w:rsidRPr="00A23740">
              <w:rPr>
                <w:b w:val="0"/>
                <w:color w:val="auto"/>
                <w:lang w:val="tr-TR"/>
              </w:rPr>
              <w:t xml:space="preserve"> rücu ile ilgili bir süre öngörülmediğinden</w:t>
            </w:r>
            <w:r w:rsidR="008939C9" w:rsidRPr="00A23740">
              <w:rPr>
                <w:b w:val="0"/>
                <w:color w:val="auto"/>
                <w:lang w:val="tr-TR"/>
              </w:rPr>
              <w:t>,</w:t>
            </w:r>
            <w:r w:rsidR="00DB1788" w:rsidRPr="00A23740">
              <w:rPr>
                <w:b w:val="0"/>
                <w:color w:val="auto"/>
                <w:lang w:val="tr-TR"/>
              </w:rPr>
              <w:t xml:space="preserve"> tereddütlerin giderilmesi amacıyla </w:t>
            </w:r>
            <w:r w:rsidR="008939C9" w:rsidRPr="00A23740">
              <w:rPr>
                <w:b w:val="0"/>
                <w:color w:val="auto"/>
                <w:lang w:val="tr-TR"/>
              </w:rPr>
              <w:t>hükümd</w:t>
            </w:r>
            <w:r w:rsidR="00DB1788" w:rsidRPr="00A23740">
              <w:rPr>
                <w:b w:val="0"/>
                <w:color w:val="auto"/>
                <w:lang w:val="tr-TR"/>
              </w:rPr>
              <w:t>e rücu süresi bir yıl olarak belirlenm</w:t>
            </w:r>
            <w:r w:rsidR="00C855E2" w:rsidRPr="00A23740">
              <w:rPr>
                <w:b w:val="0"/>
                <w:color w:val="auto"/>
                <w:lang w:val="tr-TR"/>
              </w:rPr>
              <w:t>iştir</w:t>
            </w:r>
            <w:r w:rsidR="00DB1788" w:rsidRPr="00A23740">
              <w:rPr>
                <w:b w:val="0"/>
                <w:color w:val="auto"/>
                <w:lang w:val="tr-TR"/>
              </w:rPr>
              <w:t xml:space="preserve">. </w:t>
            </w:r>
          </w:p>
          <w:p w:rsidR="00A44DE5" w:rsidRPr="00A23740" w:rsidRDefault="00A44DE5" w:rsidP="009431FF">
            <w:pPr>
              <w:pStyle w:val="Mavi"/>
              <w:ind w:firstLine="709"/>
              <w:rPr>
                <w:b w:val="0"/>
                <w:color w:val="auto"/>
                <w:lang w:val="tr-TR"/>
              </w:rPr>
            </w:pPr>
          </w:p>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r w:rsidRPr="00A23740">
              <w:rPr>
                <w:rFonts w:eastAsia="Times New Roman"/>
                <w:i/>
                <w:iCs/>
                <w:color w:val="000000"/>
                <w:szCs w:val="24"/>
                <w:lang w:eastAsia="tr-TR"/>
              </w:rPr>
              <w:t>Tutanaklar</w:t>
            </w:r>
            <w:r w:rsidRPr="00A23740">
              <w:rPr>
                <w:rStyle w:val="KIRMIZIChar"/>
                <w:rFonts w:eastAsia="Calibri"/>
                <w:lang w:eastAsia="tr-TR"/>
              </w:rPr>
              <w:t>:</w:t>
            </w:r>
          </w:p>
          <w:p w:rsidR="001E132C" w:rsidRPr="00A23740" w:rsidRDefault="001E132C" w:rsidP="009431FF">
            <w:pPr>
              <w:pStyle w:val="KIRMIZI"/>
              <w:rPr>
                <w:lang w:val="tr-TR"/>
              </w:rPr>
            </w:pPr>
            <w:r w:rsidRPr="00A23740">
              <w:rPr>
                <w:lang w:val="tr-TR"/>
              </w:rPr>
              <w:t>Madde 8 – (Değişik: 18/2/1965-538/4 md.)</w:t>
            </w:r>
          </w:p>
          <w:p w:rsidR="001E132C" w:rsidRPr="00A23740" w:rsidRDefault="001E132C" w:rsidP="009431FF">
            <w:pPr>
              <w:rPr>
                <w:rFonts w:eastAsia="Times New Roman"/>
                <w:color w:val="000000"/>
                <w:szCs w:val="24"/>
                <w:lang w:eastAsia="tr-TR"/>
              </w:rPr>
            </w:pPr>
            <w:r w:rsidRPr="00045DAC">
              <w:rPr>
                <w:rStyle w:val="KIRMIZIChar"/>
                <w:rFonts w:eastAsia="Calibri"/>
              </w:rPr>
              <w:t>(1)</w:t>
            </w:r>
            <w:r w:rsidRPr="00A23740">
              <w:rPr>
                <w:rFonts w:eastAsia="Times New Roman"/>
                <w:color w:val="000000"/>
                <w:szCs w:val="24"/>
                <w:lang w:eastAsia="tr-TR"/>
              </w:rPr>
              <w:t xml:space="preserve"> İcra ve iflas daireleri yaptıkları </w:t>
            </w:r>
            <w:r w:rsidRPr="00A23740">
              <w:rPr>
                <w:rStyle w:val="KIRMIZIChar"/>
                <w:rFonts w:eastAsia="Calibri"/>
                <w:lang w:eastAsia="tr-TR"/>
              </w:rPr>
              <w:t>muamelelerle</w:t>
            </w:r>
            <w:r w:rsidRPr="00A23740">
              <w:rPr>
                <w:rFonts w:eastAsia="Times New Roman"/>
                <w:color w:val="000000"/>
                <w:szCs w:val="24"/>
                <w:lang w:eastAsia="tr-TR"/>
              </w:rPr>
              <w:t xml:space="preserve"> kendilerine </w:t>
            </w:r>
            <w:r w:rsidRPr="00A23740">
              <w:rPr>
                <w:rStyle w:val="KIRMIZIChar"/>
                <w:rFonts w:eastAsia="Calibri"/>
                <w:lang w:eastAsia="tr-TR"/>
              </w:rPr>
              <w:t>vakı</w:t>
            </w:r>
            <w:r w:rsidRPr="00A23740">
              <w:rPr>
                <w:rFonts w:eastAsia="Times New Roman"/>
                <w:color w:val="000000"/>
                <w:szCs w:val="24"/>
                <w:lang w:eastAsia="tr-TR"/>
              </w:rPr>
              <w:t xml:space="preserve"> talep ve beyanlar hakkında bir tutanak </w:t>
            </w:r>
            <w:r w:rsidRPr="00A23740">
              <w:rPr>
                <w:rStyle w:val="KIRMIZIChar"/>
                <w:rFonts w:eastAsia="Calibri"/>
                <w:lang w:eastAsia="tr-TR"/>
              </w:rPr>
              <w:t>yaparlar</w:t>
            </w:r>
            <w:r w:rsidRPr="00A23740">
              <w:rPr>
                <w:rFonts w:eastAsia="Times New Roman"/>
                <w:color w:val="000000"/>
                <w:szCs w:val="24"/>
                <w:lang w:eastAsia="tr-TR"/>
              </w:rPr>
              <w:t>. Sözlü itiraz</w:t>
            </w:r>
            <w:r w:rsidRPr="00A23740">
              <w:rPr>
                <w:rStyle w:val="KIRMIZIChar"/>
                <w:rFonts w:eastAsia="Calibri"/>
                <w:lang w:eastAsia="tr-TR"/>
              </w:rPr>
              <w:t>lar ile</w:t>
            </w:r>
            <w:r w:rsidRPr="00A23740">
              <w:rPr>
                <w:rStyle w:val="KIRMIZIChar"/>
                <w:rFonts w:eastAsia="Calibri"/>
                <w:strike w:val="0"/>
                <w:lang w:eastAsia="tr-TR"/>
              </w:rPr>
              <w:t xml:space="preserve"> </w:t>
            </w:r>
            <w:r w:rsidRPr="00A23740">
              <w:rPr>
                <w:rFonts w:eastAsia="Times New Roman"/>
                <w:color w:val="000000"/>
                <w:szCs w:val="24"/>
                <w:lang w:eastAsia="tr-TR"/>
              </w:rPr>
              <w:t xml:space="preserve">talep ve beyanların </w:t>
            </w:r>
            <w:r w:rsidRPr="00A23740">
              <w:rPr>
                <w:rStyle w:val="KIRMIZIChar"/>
                <w:rFonts w:eastAsia="Calibri"/>
                <w:lang w:eastAsia="tr-TR"/>
              </w:rPr>
              <w:t>altları</w:t>
            </w:r>
            <w:r w:rsidRPr="00A23740">
              <w:rPr>
                <w:rFonts w:eastAsia="Times New Roman"/>
                <w:color w:val="000000"/>
                <w:szCs w:val="24"/>
                <w:lang w:eastAsia="tr-TR"/>
              </w:rPr>
              <w:t xml:space="preserve"> ilgililer </w:t>
            </w:r>
            <w:r w:rsidRPr="00A23740">
              <w:rPr>
                <w:rStyle w:val="KIRMIZIChar"/>
                <w:rFonts w:eastAsia="Calibri"/>
                <w:lang w:eastAsia="tr-TR"/>
              </w:rPr>
              <w:t>ve</w:t>
            </w:r>
            <w:r w:rsidRPr="00A23740">
              <w:rPr>
                <w:rFonts w:eastAsia="Times New Roman"/>
                <w:color w:val="000000"/>
                <w:szCs w:val="24"/>
                <w:lang w:eastAsia="tr-TR"/>
              </w:rPr>
              <w:t xml:space="preserve"> icra </w:t>
            </w:r>
            <w:r w:rsidRPr="00A23740">
              <w:rPr>
                <w:rStyle w:val="KIRMIZIChar"/>
                <w:rFonts w:eastAsia="Calibri"/>
                <w:lang w:eastAsia="tr-TR"/>
              </w:rPr>
              <w:t>memuru veya</w:t>
            </w:r>
            <w:r w:rsidRPr="00A23740">
              <w:rPr>
                <w:rFonts w:eastAsia="Times New Roman"/>
                <w:color w:val="000000"/>
                <w:szCs w:val="24"/>
                <w:lang w:eastAsia="tr-TR"/>
              </w:rPr>
              <w:t xml:space="preserve"> yardımcısı  </w:t>
            </w:r>
            <w:r w:rsidRPr="00A23740">
              <w:rPr>
                <w:rStyle w:val="KIRMIZIChar"/>
                <w:rFonts w:eastAsia="Calibri"/>
                <w:lang w:eastAsia="tr-TR"/>
              </w:rPr>
              <w:t>veya</w:t>
            </w:r>
            <w:r w:rsidRPr="00A23740">
              <w:rPr>
                <w:rStyle w:val="KIRMIZIChar"/>
                <w:rFonts w:eastAsia="Calibri"/>
                <w:strike w:val="0"/>
                <w:lang w:eastAsia="tr-TR"/>
              </w:rPr>
              <w:t xml:space="preserve"> </w:t>
            </w:r>
            <w:r w:rsidRPr="00A23740">
              <w:rPr>
                <w:rFonts w:eastAsia="Times New Roman"/>
                <w:color w:val="000000"/>
                <w:szCs w:val="24"/>
                <w:lang w:eastAsia="tr-TR"/>
              </w:rPr>
              <w:t>katibi tarafından imzalanır.</w:t>
            </w:r>
          </w:p>
          <w:p w:rsidR="000674B9" w:rsidRPr="00A23740" w:rsidRDefault="000674B9" w:rsidP="009431FF">
            <w:pPr>
              <w:rPr>
                <w:rFonts w:eastAsia="Times New Roman"/>
                <w:color w:val="000000"/>
                <w:szCs w:val="24"/>
                <w:lang w:eastAsia="tr-TR"/>
              </w:rPr>
            </w:pPr>
          </w:p>
          <w:p w:rsidR="001E132C" w:rsidRPr="00A23740" w:rsidRDefault="001E132C" w:rsidP="009431FF">
            <w:pPr>
              <w:pStyle w:val="KIRMIZI"/>
              <w:rPr>
                <w:lang w:val="tr-TR"/>
              </w:rPr>
            </w:pPr>
            <w:r w:rsidRPr="00045DAC">
              <w:t>(2)</w:t>
            </w:r>
            <w:r w:rsidRPr="00045DAC">
              <w:rPr>
                <w:lang w:val="tr-TR"/>
              </w:rPr>
              <w:t xml:space="preserve"> (</w:t>
            </w:r>
            <w:r w:rsidRPr="00A23740">
              <w:rPr>
                <w:lang w:val="tr-TR"/>
              </w:rPr>
              <w:t>Ek fıkra: 2/7/2012-6352/2 md.) İcra ve iflas dairelerince verilen kararlar gerekçeli olarak tutanaklara yazılır.</w:t>
            </w: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3614E5" w:rsidRPr="00A23740" w:rsidRDefault="003614E5" w:rsidP="009431FF">
            <w:pPr>
              <w:rPr>
                <w:rFonts w:eastAsia="Times New Roman"/>
                <w:color w:val="000000"/>
                <w:szCs w:val="24"/>
                <w:lang w:eastAsia="tr-TR"/>
              </w:rPr>
            </w:pPr>
          </w:p>
          <w:p w:rsidR="00DA5B7E" w:rsidRPr="00A23740" w:rsidRDefault="00DA5B7E" w:rsidP="009431FF">
            <w:pPr>
              <w:rPr>
                <w:rFonts w:eastAsia="Times New Roman"/>
                <w:color w:val="000000"/>
                <w:szCs w:val="24"/>
                <w:lang w:eastAsia="tr-TR"/>
              </w:rPr>
            </w:pPr>
          </w:p>
          <w:p w:rsidR="00DA5B7E" w:rsidRPr="00A23740" w:rsidRDefault="00DA5B7E" w:rsidP="009431FF">
            <w:pPr>
              <w:rPr>
                <w:rFonts w:eastAsia="Times New Roman"/>
                <w:color w:val="000000"/>
                <w:szCs w:val="24"/>
                <w:lang w:eastAsia="tr-TR"/>
              </w:rPr>
            </w:pPr>
          </w:p>
          <w:p w:rsidR="00DA5B7E" w:rsidRDefault="00DA5B7E" w:rsidP="009431FF">
            <w:pPr>
              <w:rPr>
                <w:rFonts w:eastAsia="Times New Roman"/>
                <w:color w:val="000000"/>
                <w:szCs w:val="24"/>
                <w:lang w:eastAsia="tr-TR"/>
              </w:rPr>
            </w:pPr>
          </w:p>
          <w:p w:rsidR="00A44DE5" w:rsidRPr="00A23740" w:rsidRDefault="00A44DE5" w:rsidP="009431FF">
            <w:pPr>
              <w:rPr>
                <w:rFonts w:eastAsia="Times New Roman"/>
                <w:color w:val="000000"/>
                <w:szCs w:val="24"/>
                <w:lang w:eastAsia="tr-TR"/>
              </w:rPr>
            </w:pPr>
          </w:p>
          <w:p w:rsidR="00DA5B7E" w:rsidRPr="00A23740" w:rsidRDefault="00DA5B7E"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r w:rsidRPr="00045DAC">
              <w:rPr>
                <w:rStyle w:val="KIRMIZIChar"/>
                <w:rFonts w:eastAsia="Calibri"/>
              </w:rPr>
              <w:lastRenderedPageBreak/>
              <w:t>(3)</w:t>
            </w:r>
            <w:r w:rsidRPr="00A23740">
              <w:rPr>
                <w:rFonts w:eastAsia="Times New Roman"/>
                <w:color w:val="000000"/>
                <w:szCs w:val="24"/>
                <w:lang w:eastAsia="tr-TR"/>
              </w:rPr>
              <w:t xml:space="preserve"> İlgililer bu tutanakları görebilir ve bunlar</w:t>
            </w:r>
            <w:r w:rsidRPr="00A23740">
              <w:rPr>
                <w:rStyle w:val="StilKrmzChar"/>
                <w:rFonts w:eastAsia="Calibri"/>
                <w:lang w:val="tr-TR" w:eastAsia="tr-TR"/>
              </w:rPr>
              <w:t>ın</w:t>
            </w:r>
            <w:r w:rsidRPr="00A23740">
              <w:rPr>
                <w:rStyle w:val="StilKrmzChar"/>
                <w:rFonts w:eastAsia="Calibri"/>
                <w:strike w:val="0"/>
                <w:lang w:val="tr-TR" w:eastAsia="tr-TR"/>
              </w:rPr>
              <w:t xml:space="preserve"> </w:t>
            </w:r>
            <w:r w:rsidRPr="00A23740">
              <w:rPr>
                <w:rFonts w:eastAsia="Times New Roman"/>
                <w:color w:val="000000"/>
                <w:szCs w:val="24"/>
                <w:lang w:eastAsia="tr-TR"/>
              </w:rPr>
              <w:t>örne</w:t>
            </w:r>
            <w:r w:rsidRPr="00A23740">
              <w:rPr>
                <w:rStyle w:val="StilKrmzChar"/>
                <w:rFonts w:eastAsia="Calibri"/>
                <w:lang w:val="tr-TR" w:eastAsia="tr-TR"/>
              </w:rPr>
              <w:t>ğini</w:t>
            </w:r>
            <w:r w:rsidRPr="00A23740">
              <w:rPr>
                <w:rFonts w:eastAsia="Times New Roman"/>
                <w:color w:val="000000"/>
                <w:szCs w:val="24"/>
                <w:lang w:eastAsia="tr-TR"/>
              </w:rPr>
              <w:t xml:space="preserve"> alabilir.</w:t>
            </w: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E03EF2" w:rsidRPr="00A23740" w:rsidRDefault="00E03EF2" w:rsidP="009431FF">
            <w:pPr>
              <w:rPr>
                <w:rFonts w:eastAsia="Times New Roman"/>
                <w:color w:val="000000"/>
                <w:szCs w:val="24"/>
                <w:lang w:eastAsia="tr-TR"/>
              </w:rPr>
            </w:pPr>
          </w:p>
          <w:p w:rsidR="00E03EF2" w:rsidRPr="00A23740" w:rsidRDefault="00E03EF2"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r w:rsidRPr="00045DAC">
              <w:rPr>
                <w:rStyle w:val="KIRMIZIChar"/>
                <w:rFonts w:eastAsia="Calibri"/>
              </w:rPr>
              <w:t>(4)</w:t>
            </w:r>
            <w:r w:rsidRPr="00A23740">
              <w:rPr>
                <w:rFonts w:eastAsia="Times New Roman"/>
                <w:color w:val="000000"/>
                <w:szCs w:val="24"/>
                <w:lang w:eastAsia="tr-TR"/>
              </w:rPr>
              <w:t xml:space="preserve"> İcra ve iflas dairelerinin tutanakları</w:t>
            </w:r>
            <w:r w:rsidRPr="00A23740">
              <w:rPr>
                <w:rStyle w:val="KIRMIZIChar"/>
                <w:rFonts w:eastAsia="Calibri"/>
              </w:rPr>
              <w:t>,</w:t>
            </w:r>
            <w:r w:rsidRPr="00A23740">
              <w:rPr>
                <w:rFonts w:eastAsia="Times New Roman"/>
                <w:color w:val="000000"/>
                <w:szCs w:val="24"/>
                <w:lang w:eastAsia="tr-TR"/>
              </w:rPr>
              <w:t xml:space="preserve"> </w:t>
            </w:r>
            <w:r w:rsidRPr="00A23740">
              <w:rPr>
                <w:rStyle w:val="StilKrmzChar"/>
                <w:rFonts w:eastAsia="Calibri"/>
                <w:lang w:val="tr-TR" w:eastAsia="tr-TR"/>
              </w:rPr>
              <w:t>hilafı</w:t>
            </w:r>
            <w:r w:rsidRPr="00A23740">
              <w:rPr>
                <w:rFonts w:eastAsia="Times New Roman"/>
                <w:color w:val="000000"/>
                <w:szCs w:val="24"/>
                <w:lang w:eastAsia="tr-TR"/>
              </w:rPr>
              <w:t xml:space="preserve"> sabit oluncaya kadar </w:t>
            </w:r>
            <w:r w:rsidRPr="00A23740">
              <w:rPr>
                <w:rStyle w:val="KIRMIZIChar"/>
                <w:rFonts w:eastAsia="Calibri"/>
              </w:rPr>
              <w:t>muteberdir.</w:t>
            </w:r>
          </w:p>
          <w:p w:rsidR="001E132C" w:rsidRPr="00A23740" w:rsidRDefault="001E132C" w:rsidP="009431FF">
            <w:pPr>
              <w:jc w:val="center"/>
              <w:rPr>
                <w:b/>
                <w:szCs w:val="24"/>
              </w:rPr>
            </w:pPr>
          </w:p>
        </w:tc>
        <w:tc>
          <w:tcPr>
            <w:tcW w:w="2500" w:type="pct"/>
            <w:shd w:val="clear" w:color="auto" w:fill="auto"/>
          </w:tcPr>
          <w:p w:rsidR="001E132C" w:rsidRPr="00A23740" w:rsidRDefault="001E132C" w:rsidP="009431FF">
            <w:pPr>
              <w:tabs>
                <w:tab w:val="left" w:pos="567"/>
              </w:tabs>
              <w:rPr>
                <w:b/>
                <w:color w:val="0000FF"/>
                <w:szCs w:val="24"/>
              </w:rPr>
            </w:pPr>
            <w:r w:rsidRPr="00A23740">
              <w:rPr>
                <w:b/>
                <w:szCs w:val="24"/>
              </w:rPr>
              <w:lastRenderedPageBreak/>
              <w:t xml:space="preserve">Tutanaklar </w:t>
            </w:r>
            <w:r w:rsidRPr="00A23740">
              <w:rPr>
                <w:rStyle w:val="MaviChar"/>
              </w:rPr>
              <w:t>ve siciller</w:t>
            </w:r>
          </w:p>
          <w:p w:rsidR="001E132C" w:rsidRPr="00A23740" w:rsidRDefault="00F92A99" w:rsidP="009431FF">
            <w:pPr>
              <w:tabs>
                <w:tab w:val="left" w:pos="567"/>
              </w:tabs>
              <w:rPr>
                <w:szCs w:val="24"/>
              </w:rPr>
            </w:pPr>
            <w:r w:rsidRPr="00A23740">
              <w:rPr>
                <w:rStyle w:val="MaviChar"/>
              </w:rPr>
              <w:t>MADDE 9</w:t>
            </w:r>
            <w:r w:rsidR="001E132C" w:rsidRPr="00A23740">
              <w:rPr>
                <w:rStyle w:val="MaviChar"/>
              </w:rPr>
              <w:t>- (1)</w:t>
            </w:r>
            <w:r w:rsidR="001E132C" w:rsidRPr="00A23740">
              <w:rPr>
                <w:szCs w:val="24"/>
              </w:rPr>
              <w:t xml:space="preserve"> İcra ve iflas daireleri yaptıkları </w:t>
            </w:r>
            <w:r w:rsidR="001E132C" w:rsidRPr="00A23740">
              <w:rPr>
                <w:rStyle w:val="MaviChar"/>
                <w:lang w:val="tr-TR"/>
              </w:rPr>
              <w:t>işlemlerle</w:t>
            </w:r>
            <w:r w:rsidR="001E132C" w:rsidRPr="00A23740">
              <w:rPr>
                <w:szCs w:val="24"/>
              </w:rPr>
              <w:t xml:space="preserve"> kendilerine </w:t>
            </w:r>
            <w:r w:rsidR="001E132C" w:rsidRPr="00A23740">
              <w:rPr>
                <w:rStyle w:val="MaviChar"/>
                <w:lang w:val="tr-TR"/>
              </w:rPr>
              <w:t>yapılan</w:t>
            </w:r>
            <w:r w:rsidR="001E132C" w:rsidRPr="00A23740">
              <w:rPr>
                <w:szCs w:val="24"/>
              </w:rPr>
              <w:t xml:space="preserve"> talep ve beyanlar hakkında bir tutanak </w:t>
            </w:r>
            <w:r w:rsidR="001E132C" w:rsidRPr="00A23740">
              <w:rPr>
                <w:rStyle w:val="MaviChar"/>
              </w:rPr>
              <w:t>düzenler.</w:t>
            </w:r>
            <w:r w:rsidR="001E132C" w:rsidRPr="00A23740">
              <w:rPr>
                <w:szCs w:val="24"/>
              </w:rPr>
              <w:t xml:space="preserve"> Sözlü </w:t>
            </w:r>
            <w:r w:rsidR="001E132C" w:rsidRPr="00A23740">
              <w:rPr>
                <w:rStyle w:val="MaviChar"/>
                <w:lang w:val="tr-TR"/>
              </w:rPr>
              <w:t>olarak yapılan</w:t>
            </w:r>
            <w:r w:rsidR="001E132C" w:rsidRPr="00A23740">
              <w:rPr>
                <w:szCs w:val="24"/>
              </w:rPr>
              <w:t xml:space="preserve"> itiraz</w:t>
            </w:r>
            <w:r w:rsidR="001E132C" w:rsidRPr="00A23740">
              <w:rPr>
                <w:rStyle w:val="MaviChar"/>
                <w:lang w:val="tr-TR"/>
              </w:rPr>
              <w:t>,</w:t>
            </w:r>
            <w:r w:rsidR="0099365A" w:rsidRPr="00A23740">
              <w:rPr>
                <w:szCs w:val="24"/>
              </w:rPr>
              <w:t xml:space="preserve"> talep ve beyanlar </w:t>
            </w:r>
            <w:r w:rsidR="0099365A" w:rsidRPr="00A23740">
              <w:rPr>
                <w:rStyle w:val="Balk1Char"/>
                <w:rFonts w:eastAsia="Calibri"/>
              </w:rPr>
              <w:t>tutanağa bağlanır ve</w:t>
            </w:r>
            <w:r w:rsidR="001E132C" w:rsidRPr="00A23740">
              <w:rPr>
                <w:rStyle w:val="Balk1Char"/>
                <w:rFonts w:eastAsia="Calibri"/>
              </w:rPr>
              <w:t xml:space="preserve"> </w:t>
            </w:r>
            <w:r w:rsidR="0099365A" w:rsidRPr="00A23740">
              <w:rPr>
                <w:rStyle w:val="Balk1Char"/>
                <w:rFonts w:eastAsia="Calibri"/>
              </w:rPr>
              <w:t>tutanak</w:t>
            </w:r>
            <w:r w:rsidR="0099365A" w:rsidRPr="00A23740">
              <w:rPr>
                <w:szCs w:val="24"/>
              </w:rPr>
              <w:t xml:space="preserve"> </w:t>
            </w:r>
            <w:r w:rsidR="001E132C" w:rsidRPr="00A23740">
              <w:rPr>
                <w:szCs w:val="24"/>
              </w:rPr>
              <w:t xml:space="preserve">ilgililer </w:t>
            </w:r>
            <w:r w:rsidR="001E132C" w:rsidRPr="00A23740">
              <w:rPr>
                <w:rStyle w:val="MaviChar"/>
                <w:lang w:val="tr-TR"/>
              </w:rPr>
              <w:t xml:space="preserve">ile </w:t>
            </w:r>
            <w:r w:rsidR="001E132C" w:rsidRPr="00A23740">
              <w:rPr>
                <w:szCs w:val="24"/>
              </w:rPr>
              <w:t>icra</w:t>
            </w:r>
            <w:r w:rsidR="001E132C" w:rsidRPr="00A23740">
              <w:rPr>
                <w:b/>
                <w:bCs/>
              </w:rPr>
              <w:t xml:space="preserve"> </w:t>
            </w:r>
            <w:r w:rsidR="001553C3" w:rsidRPr="00A23740">
              <w:rPr>
                <w:rStyle w:val="MaviChar"/>
              </w:rPr>
              <w:t>ve iflas dairesi</w:t>
            </w:r>
            <w:r w:rsidR="001553C3" w:rsidRPr="00A23740">
              <w:rPr>
                <w:b/>
                <w:bCs/>
              </w:rPr>
              <w:t xml:space="preserve"> </w:t>
            </w:r>
            <w:r w:rsidR="001E132C" w:rsidRPr="00A23740">
              <w:rPr>
                <w:rStyle w:val="MaviChar"/>
                <w:lang w:val="tr-TR"/>
              </w:rPr>
              <w:t>müdürü, müdür</w:t>
            </w:r>
            <w:r w:rsidR="001E132C" w:rsidRPr="00A23740">
              <w:rPr>
                <w:szCs w:val="24"/>
              </w:rPr>
              <w:t xml:space="preserve"> yardımcısı</w:t>
            </w:r>
            <w:r w:rsidR="001553C3" w:rsidRPr="00A23740">
              <w:rPr>
                <w:szCs w:val="24"/>
              </w:rPr>
              <w:t xml:space="preserve"> </w:t>
            </w:r>
            <w:r w:rsidR="001553C3" w:rsidRPr="00A23740">
              <w:rPr>
                <w:rStyle w:val="MaviChar"/>
              </w:rPr>
              <w:t>veya</w:t>
            </w:r>
            <w:r w:rsidR="001553C3" w:rsidRPr="00A23740">
              <w:rPr>
                <w:rStyle w:val="KIRMIZIChar"/>
                <w:rFonts w:eastAsia="Calibri"/>
                <w:strike w:val="0"/>
              </w:rPr>
              <w:t xml:space="preserve"> </w:t>
            </w:r>
            <w:r w:rsidR="001553C3" w:rsidRPr="00A23740">
              <w:rPr>
                <w:rStyle w:val="MaviChar"/>
              </w:rPr>
              <w:t>k</w:t>
            </w:r>
            <w:r w:rsidR="009B5549" w:rsidRPr="00A23740">
              <w:rPr>
                <w:rStyle w:val="MaviChar"/>
                <w:lang w:val="tr-TR"/>
              </w:rPr>
              <w:t>â</w:t>
            </w:r>
            <w:r w:rsidR="001553C3" w:rsidRPr="00A23740">
              <w:rPr>
                <w:rStyle w:val="MaviChar"/>
              </w:rPr>
              <w:t>tip</w:t>
            </w:r>
            <w:r w:rsidR="001E132C" w:rsidRPr="00A23740">
              <w:rPr>
                <w:szCs w:val="24"/>
              </w:rPr>
              <w:t xml:space="preserve"> tarafından imzalanır.</w:t>
            </w:r>
          </w:p>
          <w:p w:rsidR="001E132C" w:rsidRPr="00A23740" w:rsidRDefault="001E132C" w:rsidP="009431FF">
            <w:pPr>
              <w:tabs>
                <w:tab w:val="left" w:pos="567"/>
              </w:tabs>
              <w:rPr>
                <w:b/>
                <w:color w:val="FF0000"/>
                <w:szCs w:val="24"/>
              </w:rPr>
            </w:pPr>
          </w:p>
          <w:p w:rsidR="00FE4EDC" w:rsidRPr="00A23740" w:rsidRDefault="00FE4EDC" w:rsidP="009431FF">
            <w:pPr>
              <w:tabs>
                <w:tab w:val="left" w:pos="567"/>
              </w:tabs>
              <w:rPr>
                <w:b/>
                <w:color w:val="FF0000"/>
                <w:szCs w:val="24"/>
              </w:rPr>
            </w:pPr>
          </w:p>
          <w:p w:rsidR="00FE4EDC" w:rsidRPr="00A23740" w:rsidRDefault="00FE4EDC" w:rsidP="009431FF">
            <w:pPr>
              <w:tabs>
                <w:tab w:val="left" w:pos="567"/>
              </w:tabs>
              <w:rPr>
                <w:b/>
                <w:color w:val="FF0000"/>
                <w:szCs w:val="24"/>
              </w:rPr>
            </w:pPr>
          </w:p>
          <w:p w:rsidR="00FE4EDC" w:rsidRPr="00A23740" w:rsidRDefault="00FE4EDC" w:rsidP="009431FF">
            <w:pPr>
              <w:tabs>
                <w:tab w:val="left" w:pos="567"/>
              </w:tabs>
              <w:rPr>
                <w:b/>
                <w:strike/>
                <w:color w:val="FF0000"/>
                <w:szCs w:val="24"/>
              </w:rPr>
            </w:pPr>
          </w:p>
          <w:p w:rsidR="001E132C" w:rsidRPr="00A23740" w:rsidRDefault="001E132C" w:rsidP="009431FF">
            <w:pPr>
              <w:pStyle w:val="Mavi"/>
            </w:pPr>
            <w:r w:rsidRPr="00A23740">
              <w:t>(2) İcra ve iflas daireleri, gerekli olan siciller</w:t>
            </w:r>
            <w:r w:rsidR="001553C3" w:rsidRPr="00A23740">
              <w:t>i</w:t>
            </w:r>
            <w:r w:rsidRPr="00A23740">
              <w:t>, kayıtlar</w:t>
            </w:r>
            <w:r w:rsidR="001553C3" w:rsidRPr="00A23740">
              <w:rPr>
                <w:lang w:val="tr-TR"/>
              </w:rPr>
              <w:t>ı</w:t>
            </w:r>
            <w:r w:rsidRPr="00A23740">
              <w:t xml:space="preserve"> ve kartonlar</w:t>
            </w:r>
            <w:r w:rsidR="001553C3" w:rsidRPr="00A23740">
              <w:rPr>
                <w:lang w:val="tr-TR"/>
              </w:rPr>
              <w:t xml:space="preserve">ı </w:t>
            </w:r>
            <w:r w:rsidR="001553C3" w:rsidRPr="00A23740">
              <w:t>düzenler</w:t>
            </w:r>
            <w:r w:rsidRPr="00A23740">
              <w:t>.</w:t>
            </w:r>
          </w:p>
          <w:p w:rsidR="006B1098" w:rsidRPr="00A23740" w:rsidRDefault="006B1098" w:rsidP="009431FF">
            <w:pPr>
              <w:tabs>
                <w:tab w:val="left" w:pos="567"/>
              </w:tabs>
              <w:rPr>
                <w:b/>
                <w:color w:val="0000FF"/>
                <w:szCs w:val="24"/>
              </w:rPr>
            </w:pPr>
          </w:p>
          <w:p w:rsidR="006B1098" w:rsidRPr="00A23740" w:rsidRDefault="001E132C" w:rsidP="009431FF">
            <w:pPr>
              <w:tabs>
                <w:tab w:val="left" w:pos="567"/>
              </w:tabs>
            </w:pPr>
            <w:r w:rsidRPr="00A23740">
              <w:rPr>
                <w:rStyle w:val="MaviChar"/>
              </w:rPr>
              <w:t xml:space="preserve">(3) İcra </w:t>
            </w:r>
            <w:r w:rsidR="00F672F7" w:rsidRPr="00A23740">
              <w:rPr>
                <w:rStyle w:val="MaviChar"/>
              </w:rPr>
              <w:t>ve iflas daireleri</w:t>
            </w:r>
            <w:r w:rsidRPr="00A23740">
              <w:rPr>
                <w:rStyle w:val="MaviChar"/>
              </w:rPr>
              <w:t>,</w:t>
            </w:r>
            <w:r w:rsidR="00C1201F" w:rsidRPr="00A23740">
              <w:rPr>
                <w:rStyle w:val="MaviChar"/>
              </w:rPr>
              <w:t xml:space="preserve"> </w:t>
            </w:r>
            <w:r w:rsidR="00553CB3" w:rsidRPr="00A23740">
              <w:rPr>
                <w:rStyle w:val="MaviChar"/>
              </w:rPr>
              <w:t xml:space="preserve">tutanaklardaki ve ikinci fıkrada sayılan belgelerdeki açık yazı ve hesap hatalarını </w:t>
            </w:r>
            <w:r w:rsidRPr="00A23740">
              <w:rPr>
                <w:rStyle w:val="MaviChar"/>
              </w:rPr>
              <w:t>ilgi</w:t>
            </w:r>
            <w:r w:rsidR="00860DF6" w:rsidRPr="00A23740">
              <w:rPr>
                <w:rStyle w:val="MaviChar"/>
              </w:rPr>
              <w:t>linin talebi üzerine veya resen</w:t>
            </w:r>
            <w:r w:rsidRPr="00A23740">
              <w:rPr>
                <w:rStyle w:val="MaviChar"/>
              </w:rPr>
              <w:t xml:space="preserve"> düzeltebilir.</w:t>
            </w:r>
          </w:p>
          <w:p w:rsidR="00A44DE5" w:rsidRDefault="00A44DE5" w:rsidP="009431FF">
            <w:pPr>
              <w:tabs>
                <w:tab w:val="left" w:pos="567"/>
              </w:tabs>
              <w:rPr>
                <w:rStyle w:val="MaviChar"/>
              </w:rPr>
            </w:pPr>
          </w:p>
          <w:p w:rsidR="001E132C" w:rsidRPr="00A23740" w:rsidRDefault="001E132C" w:rsidP="009431FF">
            <w:pPr>
              <w:tabs>
                <w:tab w:val="left" w:pos="567"/>
              </w:tabs>
              <w:rPr>
                <w:b/>
                <w:strike/>
                <w:color w:val="FF0000"/>
                <w:szCs w:val="24"/>
              </w:rPr>
            </w:pPr>
            <w:r w:rsidRPr="00A23740">
              <w:rPr>
                <w:rStyle w:val="MaviChar"/>
              </w:rPr>
              <w:lastRenderedPageBreak/>
              <w:t>(4)</w:t>
            </w:r>
            <w:r w:rsidRPr="00A23740">
              <w:rPr>
                <w:szCs w:val="24"/>
              </w:rPr>
              <w:t xml:space="preserve"> İlgililer bu tutanakları </w:t>
            </w:r>
            <w:r w:rsidRPr="00045DAC">
              <w:rPr>
                <w:rStyle w:val="Balk1Char"/>
                <w:rFonts w:eastAsia="Calibri"/>
              </w:rPr>
              <w:t>ve</w:t>
            </w:r>
            <w:r w:rsidRPr="00A23740">
              <w:rPr>
                <w:szCs w:val="24"/>
              </w:rPr>
              <w:t xml:space="preserve"> </w:t>
            </w:r>
            <w:r w:rsidRPr="00A23740">
              <w:rPr>
                <w:rStyle w:val="MaviChar"/>
              </w:rPr>
              <w:t>sicilleri</w:t>
            </w:r>
            <w:r w:rsidRPr="00A23740">
              <w:rPr>
                <w:szCs w:val="24"/>
              </w:rPr>
              <w:t xml:space="preserve"> görebilir ve bunlar</w:t>
            </w:r>
            <w:r w:rsidRPr="00A23740">
              <w:rPr>
                <w:rStyle w:val="MaviChar"/>
              </w:rPr>
              <w:t>dan</w:t>
            </w:r>
            <w:r w:rsidRPr="00A23740">
              <w:rPr>
                <w:szCs w:val="24"/>
              </w:rPr>
              <w:t xml:space="preserve"> örne</w:t>
            </w:r>
            <w:r w:rsidRPr="00A23740">
              <w:rPr>
                <w:rStyle w:val="MaviChar"/>
              </w:rPr>
              <w:t>k</w:t>
            </w:r>
            <w:r w:rsidRPr="00A23740">
              <w:rPr>
                <w:szCs w:val="24"/>
              </w:rPr>
              <w:t xml:space="preserve"> alabilir</w:t>
            </w:r>
            <w:r w:rsidRPr="00A23740">
              <w:rPr>
                <w:rStyle w:val="MaviChar"/>
                <w:lang w:val="tr-TR"/>
              </w:rPr>
              <w:t>ler</w:t>
            </w:r>
            <w:r w:rsidR="00057E2B" w:rsidRPr="00A23740">
              <w:rPr>
                <w:szCs w:val="24"/>
              </w:rPr>
              <w:t>.</w:t>
            </w:r>
          </w:p>
          <w:p w:rsidR="001E132C" w:rsidRPr="00A23740" w:rsidRDefault="001E132C" w:rsidP="009431FF">
            <w:pPr>
              <w:tabs>
                <w:tab w:val="left" w:pos="567"/>
              </w:tabs>
              <w:rPr>
                <w:b/>
                <w:color w:val="FF0000"/>
                <w:szCs w:val="24"/>
              </w:rPr>
            </w:pPr>
          </w:p>
          <w:p w:rsidR="001E132C" w:rsidRPr="00A23740" w:rsidRDefault="001E132C" w:rsidP="009431FF">
            <w:pPr>
              <w:tabs>
                <w:tab w:val="left" w:pos="567"/>
              </w:tabs>
              <w:rPr>
                <w:b/>
                <w:color w:val="0000FF"/>
                <w:szCs w:val="24"/>
              </w:rPr>
            </w:pPr>
            <w:r w:rsidRPr="00A23740">
              <w:rPr>
                <w:rStyle w:val="MaviChar"/>
              </w:rPr>
              <w:t>(5) İlgililerin inceleme ve örnek alma hakkı</w:t>
            </w:r>
            <w:r w:rsidR="00CE54E6" w:rsidRPr="00A23740">
              <w:rPr>
                <w:rStyle w:val="MaviChar"/>
                <w:color w:val="70AD47"/>
              </w:rPr>
              <w:t>,</w:t>
            </w:r>
            <w:r w:rsidRPr="00A23740">
              <w:rPr>
                <w:rStyle w:val="MaviChar"/>
              </w:rPr>
              <w:t xml:space="preserve"> takibin </w:t>
            </w:r>
            <w:r w:rsidR="00553CB3" w:rsidRPr="00A23740">
              <w:rPr>
                <w:rStyle w:val="MaviChar"/>
              </w:rPr>
              <w:t>sona ermesinden</w:t>
            </w:r>
            <w:r w:rsidR="00553CB3" w:rsidRPr="00A23740">
              <w:rPr>
                <w:rStyle w:val="YELChar"/>
              </w:rPr>
              <w:t xml:space="preserve"> </w:t>
            </w:r>
            <w:r w:rsidRPr="00A23740">
              <w:rPr>
                <w:rStyle w:val="MaviChar"/>
              </w:rPr>
              <w:t xml:space="preserve">itibaren beş yıl sonra </w:t>
            </w:r>
            <w:r w:rsidR="003614E5" w:rsidRPr="00A23740">
              <w:rPr>
                <w:rStyle w:val="MaviChar"/>
              </w:rPr>
              <w:t>biter.</w:t>
            </w:r>
            <w:r w:rsidR="003614E5" w:rsidRPr="00A23740">
              <w:rPr>
                <w:rStyle w:val="MaviChar"/>
                <w:lang w:val="tr-TR"/>
              </w:rPr>
              <w:t xml:space="preserve"> </w:t>
            </w:r>
            <w:r w:rsidRPr="00A23740">
              <w:rPr>
                <w:rStyle w:val="MaviChar"/>
              </w:rPr>
              <w:t>Ancak, bu sürenin bitiminden sonra dahi adli ve idari merciler, derdest bir soruşturma, yargılama veya tesis edilecek bir idari işlem gerektiriyorsa, örnek verilmesini isteyebilir.</w:t>
            </w:r>
          </w:p>
          <w:p w:rsidR="00E03EF2" w:rsidRPr="00A23740" w:rsidRDefault="00E03EF2" w:rsidP="009431FF">
            <w:pPr>
              <w:tabs>
                <w:tab w:val="left" w:pos="567"/>
              </w:tabs>
              <w:rPr>
                <w:b/>
                <w:color w:val="0000FF"/>
                <w:szCs w:val="24"/>
              </w:rPr>
            </w:pPr>
          </w:p>
          <w:p w:rsidR="001E132C" w:rsidRPr="00A23740" w:rsidRDefault="001E132C" w:rsidP="009431FF">
            <w:pPr>
              <w:tabs>
                <w:tab w:val="left" w:pos="567"/>
              </w:tabs>
              <w:rPr>
                <w:szCs w:val="24"/>
              </w:rPr>
            </w:pPr>
            <w:r w:rsidRPr="00A23740">
              <w:rPr>
                <w:rStyle w:val="MaviChar"/>
              </w:rPr>
              <w:t>(6)</w:t>
            </w:r>
            <w:r w:rsidRPr="00A23740">
              <w:rPr>
                <w:szCs w:val="24"/>
              </w:rPr>
              <w:t xml:space="preserve"> İcra ve iflas dairelerinin tutanakları </w:t>
            </w:r>
            <w:r w:rsidRPr="00A23740">
              <w:rPr>
                <w:rStyle w:val="MaviChar"/>
              </w:rPr>
              <w:t>ve</w:t>
            </w:r>
            <w:r w:rsidRPr="00A23740">
              <w:rPr>
                <w:szCs w:val="24"/>
              </w:rPr>
              <w:t xml:space="preserve"> </w:t>
            </w:r>
            <w:r w:rsidRPr="00A23740">
              <w:rPr>
                <w:rStyle w:val="MaviChar"/>
              </w:rPr>
              <w:t>sicilleri</w:t>
            </w:r>
            <w:r w:rsidR="00C249D9" w:rsidRPr="00A23740">
              <w:rPr>
                <w:rStyle w:val="MaviChar"/>
                <w:lang w:val="tr-TR"/>
              </w:rPr>
              <w:t>,</w:t>
            </w:r>
            <w:r w:rsidRPr="00A23740">
              <w:rPr>
                <w:rStyle w:val="MaviChar"/>
              </w:rPr>
              <w:t xml:space="preserve"> aksi</w:t>
            </w:r>
            <w:r w:rsidRPr="00A23740">
              <w:rPr>
                <w:szCs w:val="24"/>
              </w:rPr>
              <w:t xml:space="preserve"> sabit oluncaya kadar </w:t>
            </w:r>
            <w:r w:rsidR="00553CB3" w:rsidRPr="00A23740">
              <w:rPr>
                <w:rStyle w:val="MaviChar"/>
              </w:rPr>
              <w:t>geçerlidir.</w:t>
            </w:r>
          </w:p>
          <w:p w:rsidR="003265A0" w:rsidRPr="00A23740" w:rsidRDefault="003265A0" w:rsidP="009431FF">
            <w:pPr>
              <w:tabs>
                <w:tab w:val="left" w:pos="567"/>
              </w:tabs>
              <w:rPr>
                <w:b/>
                <w:color w:val="0000FF"/>
                <w:szCs w:val="24"/>
              </w:rPr>
            </w:pPr>
          </w:p>
        </w:tc>
      </w:tr>
      <w:tr w:rsidR="00083972" w:rsidRPr="00A23740" w:rsidTr="009431FF">
        <w:tc>
          <w:tcPr>
            <w:tcW w:w="5000" w:type="pct"/>
            <w:gridSpan w:val="2"/>
            <w:shd w:val="clear" w:color="auto" w:fill="DEEAF6"/>
          </w:tcPr>
          <w:p w:rsidR="00F46845" w:rsidRPr="00A23740" w:rsidRDefault="00F46845" w:rsidP="009431FF">
            <w:pPr>
              <w:pStyle w:val="Mavi"/>
              <w:ind w:firstLine="709"/>
              <w:rPr>
                <w:color w:val="auto"/>
                <w:lang w:val="tr-TR"/>
              </w:rPr>
            </w:pPr>
          </w:p>
          <w:p w:rsidR="00083972" w:rsidRPr="00A23740" w:rsidRDefault="00DD7D85" w:rsidP="009431FF">
            <w:pPr>
              <w:pStyle w:val="Mavi"/>
              <w:ind w:firstLine="709"/>
              <w:rPr>
                <w:b w:val="0"/>
                <w:color w:val="auto"/>
                <w:lang w:val="tr-TR"/>
              </w:rPr>
            </w:pPr>
            <w:r w:rsidRPr="00A23740">
              <w:rPr>
                <w:color w:val="auto"/>
                <w:lang w:val="tr-TR"/>
              </w:rPr>
              <w:t>MADDE 9</w:t>
            </w:r>
            <w:r w:rsidR="00083972" w:rsidRPr="00A23740">
              <w:rPr>
                <w:color w:val="auto"/>
                <w:lang w:val="tr-TR"/>
              </w:rPr>
              <w:t>-</w:t>
            </w:r>
            <w:r w:rsidR="00083972" w:rsidRPr="00A23740">
              <w:rPr>
                <w:b w:val="0"/>
                <w:color w:val="auto"/>
                <w:lang w:val="tr-TR"/>
              </w:rPr>
              <w:t xml:space="preserve"> </w:t>
            </w:r>
            <w:r w:rsidR="00C249D9" w:rsidRPr="00A23740">
              <w:rPr>
                <w:b w:val="0"/>
                <w:color w:val="auto"/>
                <w:lang w:val="tr-TR"/>
              </w:rPr>
              <w:t xml:space="preserve">Maddeyle, </w:t>
            </w:r>
            <w:r w:rsidR="00E31DBB" w:rsidRPr="00A23740">
              <w:rPr>
                <w:b w:val="0"/>
                <w:color w:val="auto"/>
                <w:lang w:val="tr-TR"/>
              </w:rPr>
              <w:t>icra</w:t>
            </w:r>
            <w:r w:rsidR="00F672F7" w:rsidRPr="00A23740">
              <w:rPr>
                <w:b w:val="0"/>
                <w:color w:val="auto"/>
                <w:lang w:val="tr-TR"/>
              </w:rPr>
              <w:t xml:space="preserve"> </w:t>
            </w:r>
            <w:r w:rsidR="00E31DBB" w:rsidRPr="00A23740">
              <w:rPr>
                <w:b w:val="0"/>
                <w:color w:val="auto"/>
                <w:lang w:val="tr-TR"/>
              </w:rPr>
              <w:t xml:space="preserve">ve iflas dairelerince tutulacak </w:t>
            </w:r>
            <w:r w:rsidR="00C249D9" w:rsidRPr="00A23740">
              <w:rPr>
                <w:b w:val="0"/>
                <w:color w:val="auto"/>
                <w:lang w:val="tr-TR"/>
              </w:rPr>
              <w:t>tutanaklar ve sicillerle ilgili esaslar düzenlenmektedir. 2004 sayılı Kanunun 8 inci maddesi</w:t>
            </w:r>
            <w:r w:rsidR="000B15E7" w:rsidRPr="00A23740">
              <w:rPr>
                <w:b w:val="0"/>
                <w:color w:val="auto"/>
                <w:lang w:val="tr-TR"/>
              </w:rPr>
              <w:t>nin</w:t>
            </w:r>
            <w:r w:rsidR="00C249D9" w:rsidRPr="00A23740">
              <w:rPr>
                <w:b w:val="0"/>
                <w:color w:val="auto"/>
                <w:lang w:val="tr-TR"/>
              </w:rPr>
              <w:t xml:space="preserve">, </w:t>
            </w:r>
            <w:r w:rsidR="00F03892" w:rsidRPr="00A23740">
              <w:rPr>
                <w:b w:val="0"/>
                <w:color w:val="auto"/>
                <w:lang w:val="tr-TR"/>
              </w:rPr>
              <w:t xml:space="preserve">“Tutanaklar” </w:t>
            </w:r>
            <w:r w:rsidR="00EB005B" w:rsidRPr="00A23740">
              <w:rPr>
                <w:b w:val="0"/>
                <w:color w:val="auto"/>
                <w:lang w:val="tr-TR"/>
              </w:rPr>
              <w:t xml:space="preserve">ibareli </w:t>
            </w:r>
            <w:r w:rsidR="00F03892" w:rsidRPr="00A23740">
              <w:rPr>
                <w:b w:val="0"/>
                <w:color w:val="auto"/>
                <w:lang w:val="tr-TR"/>
              </w:rPr>
              <w:t>başlığı “Tutanaklar ve siciller” ol</w:t>
            </w:r>
            <w:r w:rsidR="0079146B" w:rsidRPr="00A23740">
              <w:rPr>
                <w:b w:val="0"/>
                <w:color w:val="auto"/>
                <w:lang w:val="tr-TR"/>
              </w:rPr>
              <w:t>arak değiştirilmekte ve</w:t>
            </w:r>
            <w:r w:rsidR="000B15E7" w:rsidRPr="00A23740">
              <w:rPr>
                <w:b w:val="0"/>
                <w:color w:val="auto"/>
                <w:lang w:val="tr-TR"/>
              </w:rPr>
              <w:t xml:space="preserve"> bu</w:t>
            </w:r>
            <w:r w:rsidR="0079146B" w:rsidRPr="00A23740">
              <w:rPr>
                <w:b w:val="0"/>
                <w:color w:val="auto"/>
                <w:lang w:val="tr-TR"/>
              </w:rPr>
              <w:t xml:space="preserve"> madde</w:t>
            </w:r>
            <w:r w:rsidR="007B6F4A" w:rsidRPr="00A23740">
              <w:rPr>
                <w:b w:val="0"/>
                <w:color w:val="auto"/>
                <w:lang w:val="tr-TR"/>
              </w:rPr>
              <w:t>,</w:t>
            </w:r>
            <w:r w:rsidR="00F03892" w:rsidRPr="00A23740">
              <w:rPr>
                <w:b w:val="0"/>
                <w:color w:val="auto"/>
                <w:lang w:val="tr-TR"/>
              </w:rPr>
              <w:t xml:space="preserve"> </w:t>
            </w:r>
            <w:r w:rsidR="00C249D9" w:rsidRPr="00A23740">
              <w:rPr>
                <w:b w:val="0"/>
                <w:color w:val="auto"/>
                <w:lang w:val="tr-TR"/>
              </w:rPr>
              <w:t xml:space="preserve">dili sadeleştirilmek suretiyle </w:t>
            </w:r>
            <w:r w:rsidR="009C0F98" w:rsidRPr="00A23740">
              <w:rPr>
                <w:b w:val="0"/>
                <w:color w:val="auto"/>
                <w:lang w:val="tr-TR"/>
              </w:rPr>
              <w:t>muhafaza edilmektedir.</w:t>
            </w:r>
            <w:r w:rsidR="00435D94" w:rsidRPr="00A23740">
              <w:rPr>
                <w:b w:val="0"/>
                <w:color w:val="auto"/>
                <w:lang w:val="tr-TR"/>
              </w:rPr>
              <w:t xml:space="preserve"> Ayrıca 2004 sayılı Kanunun 8 inci maddesinin ikinci fıkrası</w:t>
            </w:r>
            <w:r w:rsidR="005132FF" w:rsidRPr="00A23740">
              <w:rPr>
                <w:b w:val="0"/>
                <w:color w:val="auto"/>
                <w:lang w:val="tr-TR"/>
              </w:rPr>
              <w:t>,</w:t>
            </w:r>
            <w:r w:rsidR="00435D94" w:rsidRPr="00A23740">
              <w:rPr>
                <w:b w:val="0"/>
                <w:color w:val="auto"/>
                <w:lang w:val="tr-TR"/>
              </w:rPr>
              <w:t xml:space="preserve"> </w:t>
            </w:r>
            <w:r w:rsidR="00163E5A" w:rsidRPr="00A23740">
              <w:rPr>
                <w:b w:val="0"/>
                <w:color w:val="auto"/>
                <w:lang w:val="tr-TR"/>
              </w:rPr>
              <w:t>Taslağın</w:t>
            </w:r>
            <w:r w:rsidR="009B5549" w:rsidRPr="00A23740">
              <w:rPr>
                <w:b w:val="0"/>
                <w:color w:val="auto"/>
                <w:lang w:val="tr-TR"/>
              </w:rPr>
              <w:t xml:space="preserve"> 10</w:t>
            </w:r>
            <w:r w:rsidR="009B5549" w:rsidRPr="00A23740">
              <w:rPr>
                <w:bCs w:val="0"/>
                <w:color w:val="auto"/>
                <w:lang w:val="tr-TR"/>
              </w:rPr>
              <w:t xml:space="preserve"> </w:t>
            </w:r>
            <w:r w:rsidR="009B5549" w:rsidRPr="00A23740">
              <w:rPr>
                <w:b w:val="0"/>
                <w:color w:val="auto"/>
                <w:lang w:val="tr-TR"/>
              </w:rPr>
              <w:t>uncu</w:t>
            </w:r>
            <w:r w:rsidR="00435D94" w:rsidRPr="00A23740">
              <w:rPr>
                <w:b w:val="0"/>
                <w:color w:val="auto"/>
                <w:lang w:val="tr-TR"/>
              </w:rPr>
              <w:t xml:space="preserve"> maddesi olarak düzenlendiğinden</w:t>
            </w:r>
            <w:r w:rsidR="005132FF" w:rsidRPr="00A23740">
              <w:rPr>
                <w:b w:val="0"/>
                <w:color w:val="auto"/>
                <w:lang w:val="tr-TR"/>
              </w:rPr>
              <w:t>,</w:t>
            </w:r>
            <w:r w:rsidR="000B15E7" w:rsidRPr="00A23740">
              <w:rPr>
                <w:b w:val="0"/>
                <w:color w:val="auto"/>
                <w:lang w:val="tr-TR"/>
              </w:rPr>
              <w:t xml:space="preserve"> bu fıkraya</w:t>
            </w:r>
            <w:r w:rsidR="00435D94" w:rsidRPr="00A23740">
              <w:rPr>
                <w:b w:val="0"/>
                <w:color w:val="auto"/>
                <w:lang w:val="tr-TR"/>
              </w:rPr>
              <w:t xml:space="preserve"> maddede yer </w:t>
            </w:r>
            <w:r w:rsidR="000B15E7" w:rsidRPr="00A23740">
              <w:rPr>
                <w:b w:val="0"/>
                <w:color w:val="auto"/>
                <w:lang w:val="tr-TR"/>
              </w:rPr>
              <w:t>verilmemektedir</w:t>
            </w:r>
            <w:r w:rsidR="005132FF" w:rsidRPr="00A23740">
              <w:rPr>
                <w:b w:val="0"/>
                <w:color w:val="auto"/>
                <w:lang w:val="tr-TR"/>
              </w:rPr>
              <w:t>.</w:t>
            </w:r>
          </w:p>
          <w:p w:rsidR="00C249D9" w:rsidRPr="00A23740" w:rsidRDefault="00C249D9" w:rsidP="009431FF">
            <w:pPr>
              <w:pStyle w:val="Mavi"/>
              <w:ind w:firstLine="709"/>
              <w:rPr>
                <w:b w:val="0"/>
                <w:color w:val="auto"/>
                <w:lang w:val="tr-TR"/>
              </w:rPr>
            </w:pPr>
            <w:r w:rsidRPr="00A23740">
              <w:rPr>
                <w:b w:val="0"/>
                <w:color w:val="auto"/>
                <w:lang w:val="tr-TR"/>
              </w:rPr>
              <w:t xml:space="preserve">Birinci fıkrayla, icra ve iflas dairelerinin yaptıkları işlemlerle kendilerine yapılan talep ve beyanlar hakkında bir tutanak düzenleyeceği hüküm altına alınmaktadır. </w:t>
            </w:r>
            <w:r w:rsidR="00EB005B" w:rsidRPr="00A23740">
              <w:rPr>
                <w:b w:val="0"/>
                <w:color w:val="auto"/>
                <w:lang w:val="tr-TR"/>
              </w:rPr>
              <w:t xml:space="preserve">Ayrıca ilgililerin </w:t>
            </w:r>
            <w:r w:rsidRPr="00A23740">
              <w:rPr>
                <w:b w:val="0"/>
                <w:color w:val="auto"/>
                <w:lang w:val="tr-TR"/>
              </w:rPr>
              <w:t>sözlü olarak yapacakları itiraz, talep ve beyanlar da</w:t>
            </w:r>
            <w:r w:rsidR="00CD75DE" w:rsidRPr="00A23740">
              <w:rPr>
                <w:b w:val="0"/>
                <w:color w:val="auto"/>
                <w:lang w:val="tr-TR"/>
              </w:rPr>
              <w:t xml:space="preserve"> tutanak altına alınarak, bu tutanaklar ilgili il</w:t>
            </w:r>
            <w:r w:rsidR="00EB005B" w:rsidRPr="00A23740">
              <w:rPr>
                <w:b w:val="0"/>
                <w:color w:val="auto"/>
                <w:lang w:val="tr-TR"/>
              </w:rPr>
              <w:t xml:space="preserve">e </w:t>
            </w:r>
            <w:r w:rsidRPr="00A23740">
              <w:rPr>
                <w:b w:val="0"/>
                <w:color w:val="auto"/>
                <w:lang w:val="tr-TR"/>
              </w:rPr>
              <w:t>icra ve iflas dairesi müdürü, müdür yardımcısı veya k</w:t>
            </w:r>
            <w:r w:rsidR="009B5549" w:rsidRPr="00A23740">
              <w:rPr>
                <w:b w:val="0"/>
                <w:color w:val="auto"/>
                <w:lang w:val="tr-TR"/>
              </w:rPr>
              <w:t>â</w:t>
            </w:r>
            <w:r w:rsidRPr="00A23740">
              <w:rPr>
                <w:b w:val="0"/>
                <w:color w:val="auto"/>
                <w:lang w:val="tr-TR"/>
              </w:rPr>
              <w:t>ti</w:t>
            </w:r>
            <w:r w:rsidR="00C855E2" w:rsidRPr="00A23740">
              <w:rPr>
                <w:b w:val="0"/>
                <w:color w:val="auto"/>
                <w:lang w:val="tr-TR"/>
              </w:rPr>
              <w:t>bi</w:t>
            </w:r>
            <w:r w:rsidRPr="00A23740">
              <w:rPr>
                <w:b w:val="0"/>
                <w:color w:val="auto"/>
                <w:lang w:val="tr-TR"/>
              </w:rPr>
              <w:t xml:space="preserve"> tarafından imzalanacaktır.</w:t>
            </w:r>
            <w:r w:rsidR="007B6F4A" w:rsidRPr="00A23740">
              <w:rPr>
                <w:b w:val="0"/>
                <w:color w:val="auto"/>
                <w:lang w:val="tr-TR"/>
              </w:rPr>
              <w:t xml:space="preserve"> </w:t>
            </w:r>
            <w:r w:rsidR="005132FF" w:rsidRPr="00A23740">
              <w:rPr>
                <w:b w:val="0"/>
                <w:color w:val="auto"/>
                <w:lang w:val="tr-TR"/>
              </w:rPr>
              <w:t xml:space="preserve">Hükümle, </w:t>
            </w:r>
            <w:r w:rsidR="00433762" w:rsidRPr="00A23740">
              <w:rPr>
                <w:b w:val="0"/>
                <w:color w:val="auto"/>
                <w:lang w:val="tr-TR"/>
              </w:rPr>
              <w:t xml:space="preserve">icra tutanaklarının alenilik </w:t>
            </w:r>
            <w:r w:rsidR="007B6F4A" w:rsidRPr="00A23740">
              <w:rPr>
                <w:b w:val="0"/>
                <w:color w:val="auto"/>
                <w:lang w:val="tr-TR"/>
              </w:rPr>
              <w:t>ve ispat fonksiyon</w:t>
            </w:r>
            <w:r w:rsidR="00433762" w:rsidRPr="00A23740">
              <w:rPr>
                <w:b w:val="0"/>
                <w:color w:val="auto"/>
                <w:lang w:val="tr-TR"/>
              </w:rPr>
              <w:t>larının sağlanması</w:t>
            </w:r>
            <w:r w:rsidR="007B6F4A" w:rsidRPr="00A23740">
              <w:rPr>
                <w:b w:val="0"/>
                <w:color w:val="auto"/>
                <w:lang w:val="tr-TR"/>
              </w:rPr>
              <w:t xml:space="preserve"> </w:t>
            </w:r>
            <w:r w:rsidR="00433762" w:rsidRPr="00A23740">
              <w:rPr>
                <w:b w:val="0"/>
                <w:color w:val="auto"/>
                <w:lang w:val="tr-TR"/>
              </w:rPr>
              <w:t xml:space="preserve">temin edilmektedir. </w:t>
            </w:r>
            <w:r w:rsidR="00566BD0" w:rsidRPr="00A23740">
              <w:rPr>
                <w:b w:val="0"/>
                <w:color w:val="auto"/>
                <w:lang w:val="tr-TR"/>
              </w:rPr>
              <w:t xml:space="preserve">Fıkra, 2004 sayılı Kanunun 8 inci maddesinin birinci </w:t>
            </w:r>
            <w:r w:rsidR="002A5157" w:rsidRPr="00A23740">
              <w:rPr>
                <w:b w:val="0"/>
                <w:color w:val="auto"/>
                <w:lang w:val="tr-TR"/>
              </w:rPr>
              <w:t xml:space="preserve">fıkrasına </w:t>
            </w:r>
            <w:r w:rsidR="005132FF" w:rsidRPr="00A23740">
              <w:rPr>
                <w:b w:val="0"/>
                <w:color w:val="auto"/>
                <w:lang w:val="tr-TR"/>
              </w:rPr>
              <w:t>karşılık gelmektedir.</w:t>
            </w:r>
          </w:p>
          <w:p w:rsidR="00F624CC" w:rsidRPr="00A23740" w:rsidRDefault="00C249D9" w:rsidP="009431FF">
            <w:pPr>
              <w:pStyle w:val="Mavi"/>
              <w:ind w:firstLine="709"/>
              <w:rPr>
                <w:b w:val="0"/>
                <w:color w:val="auto"/>
                <w:lang w:val="tr-TR"/>
              </w:rPr>
            </w:pPr>
            <w:r w:rsidRPr="00A23740">
              <w:rPr>
                <w:b w:val="0"/>
                <w:color w:val="auto"/>
                <w:lang w:val="tr-TR"/>
              </w:rPr>
              <w:t xml:space="preserve">İkinci fıkrayla, icra ve iflas dairelerinin, gerekli olan sicilleri, kayıtları ve kartonları düzenleyeceği </w:t>
            </w:r>
            <w:r w:rsidR="00CD75DE" w:rsidRPr="00A23740">
              <w:rPr>
                <w:b w:val="0"/>
                <w:color w:val="auto"/>
                <w:lang w:val="tr-TR"/>
              </w:rPr>
              <w:t>hükme bağlanmaktadır</w:t>
            </w:r>
            <w:r w:rsidRPr="00A23740">
              <w:rPr>
                <w:b w:val="0"/>
                <w:color w:val="auto"/>
                <w:lang w:val="tr-TR"/>
              </w:rPr>
              <w:t>.</w:t>
            </w:r>
            <w:r w:rsidR="00F624CC" w:rsidRPr="00A23740">
              <w:rPr>
                <w:b w:val="0"/>
                <w:color w:val="auto"/>
                <w:lang w:val="tr-TR"/>
              </w:rPr>
              <w:t xml:space="preserve"> </w:t>
            </w:r>
            <w:r w:rsidR="007F53DA" w:rsidRPr="00A23740">
              <w:rPr>
                <w:b w:val="0"/>
                <w:color w:val="auto"/>
                <w:lang w:val="tr-TR"/>
              </w:rPr>
              <w:t xml:space="preserve">Ancak, </w:t>
            </w:r>
            <w:r w:rsidR="004F4292" w:rsidRPr="00A23740">
              <w:rPr>
                <w:b w:val="0"/>
                <w:color w:val="auto"/>
                <w:lang w:val="tr-TR"/>
              </w:rPr>
              <w:t xml:space="preserve">kesin </w:t>
            </w:r>
            <w:r w:rsidR="007F53DA" w:rsidRPr="00A23740">
              <w:rPr>
                <w:b w:val="0"/>
                <w:color w:val="auto"/>
                <w:lang w:val="tr-TR"/>
              </w:rPr>
              <w:t xml:space="preserve">aciz </w:t>
            </w:r>
            <w:r w:rsidR="00F624CC" w:rsidRPr="00A23740">
              <w:rPr>
                <w:b w:val="0"/>
                <w:color w:val="auto"/>
                <w:lang w:val="tr-TR"/>
              </w:rPr>
              <w:t xml:space="preserve">belgesi </w:t>
            </w:r>
            <w:r w:rsidR="007F53DA" w:rsidRPr="00A23740">
              <w:rPr>
                <w:b w:val="0"/>
                <w:color w:val="auto"/>
                <w:lang w:val="tr-TR"/>
              </w:rPr>
              <w:t>sicili</w:t>
            </w:r>
            <w:r w:rsidR="003F4111" w:rsidRPr="00A23740">
              <w:rPr>
                <w:b w:val="0"/>
                <w:color w:val="auto"/>
                <w:lang w:val="tr-TR"/>
              </w:rPr>
              <w:t xml:space="preserve">, </w:t>
            </w:r>
            <w:r w:rsidR="00163E5A" w:rsidRPr="00A23740">
              <w:rPr>
                <w:b w:val="0"/>
                <w:color w:val="auto"/>
                <w:lang w:val="tr-TR"/>
              </w:rPr>
              <w:t>Taslağın</w:t>
            </w:r>
            <w:r w:rsidR="004F4292" w:rsidRPr="00A23740">
              <w:rPr>
                <w:b w:val="0"/>
                <w:color w:val="auto"/>
                <w:lang w:val="tr-TR"/>
              </w:rPr>
              <w:t xml:space="preserve"> 263 üncü</w:t>
            </w:r>
            <w:r w:rsidR="00F624CC" w:rsidRPr="00A23740">
              <w:rPr>
                <w:b w:val="0"/>
                <w:color w:val="auto"/>
                <w:lang w:val="tr-TR"/>
              </w:rPr>
              <w:t xml:space="preserve"> </w:t>
            </w:r>
            <w:r w:rsidR="007F53DA" w:rsidRPr="00A23740">
              <w:rPr>
                <w:b w:val="0"/>
                <w:color w:val="auto"/>
                <w:lang w:val="tr-TR"/>
              </w:rPr>
              <w:t xml:space="preserve">maddesinde </w:t>
            </w:r>
            <w:r w:rsidR="00B26DF5" w:rsidRPr="00A23740">
              <w:rPr>
                <w:b w:val="0"/>
                <w:color w:val="auto"/>
                <w:lang w:val="tr-TR"/>
              </w:rPr>
              <w:t xml:space="preserve">ayrıntılı olarak </w:t>
            </w:r>
            <w:r w:rsidR="003F4111" w:rsidRPr="00A23740">
              <w:rPr>
                <w:b w:val="0"/>
                <w:color w:val="auto"/>
                <w:lang w:val="tr-TR"/>
              </w:rPr>
              <w:t>düzenlendiğinden fıkrada bu sicile ilişkin esaslar</w:t>
            </w:r>
            <w:r w:rsidR="00B26DF5" w:rsidRPr="00A23740">
              <w:rPr>
                <w:b w:val="0"/>
                <w:color w:val="auto"/>
                <w:lang w:val="tr-TR"/>
              </w:rPr>
              <w:t>a</w:t>
            </w:r>
            <w:r w:rsidR="003F4111" w:rsidRPr="00A23740">
              <w:rPr>
                <w:b w:val="0"/>
                <w:color w:val="auto"/>
                <w:lang w:val="tr-TR"/>
              </w:rPr>
              <w:t xml:space="preserve"> yer </w:t>
            </w:r>
            <w:r w:rsidR="00B26DF5" w:rsidRPr="00A23740">
              <w:rPr>
                <w:b w:val="0"/>
                <w:color w:val="auto"/>
                <w:lang w:val="tr-TR"/>
              </w:rPr>
              <w:t>verilmemektedir</w:t>
            </w:r>
            <w:r w:rsidR="003F4111" w:rsidRPr="00A23740">
              <w:rPr>
                <w:b w:val="0"/>
                <w:color w:val="auto"/>
                <w:lang w:val="tr-TR"/>
              </w:rPr>
              <w:t>.</w:t>
            </w:r>
          </w:p>
          <w:p w:rsidR="00C249D9" w:rsidRPr="00A23740" w:rsidRDefault="00C249D9" w:rsidP="009431FF">
            <w:pPr>
              <w:pStyle w:val="Mavi"/>
              <w:ind w:firstLine="709"/>
              <w:rPr>
                <w:b w:val="0"/>
                <w:color w:val="auto"/>
                <w:lang w:val="tr-TR"/>
              </w:rPr>
            </w:pPr>
            <w:r w:rsidRPr="00A23740">
              <w:rPr>
                <w:b w:val="0"/>
                <w:color w:val="auto"/>
                <w:lang w:val="tr-TR"/>
              </w:rPr>
              <w:t>Üçüncü fıkrayla,</w:t>
            </w:r>
            <w:r w:rsidR="005132FF" w:rsidRPr="00A23740">
              <w:rPr>
                <w:b w:val="0"/>
                <w:color w:val="auto"/>
                <w:lang w:val="tr-TR"/>
              </w:rPr>
              <w:t xml:space="preserve"> bir yenilik olarak</w:t>
            </w:r>
            <w:r w:rsidR="00C855E2" w:rsidRPr="00A23740">
              <w:rPr>
                <w:b w:val="0"/>
                <w:color w:val="auto"/>
                <w:lang w:val="tr-TR"/>
              </w:rPr>
              <w:t>,</w:t>
            </w:r>
            <w:r w:rsidRPr="00A23740">
              <w:rPr>
                <w:b w:val="0"/>
                <w:color w:val="auto"/>
                <w:lang w:val="tr-TR"/>
              </w:rPr>
              <w:t xml:space="preserve"> </w:t>
            </w:r>
            <w:r w:rsidR="00333A0D" w:rsidRPr="00A23740">
              <w:rPr>
                <w:b w:val="0"/>
                <w:color w:val="auto"/>
                <w:lang w:val="tr-TR"/>
              </w:rPr>
              <w:t>tutanaklarda ve ikinci fıkrada sayılan belgelerde yapılan açık yazı ve hesap hatalarını ilgilinin talebi üzerine veya resen icra</w:t>
            </w:r>
            <w:r w:rsidR="00D70B25" w:rsidRPr="00A23740">
              <w:rPr>
                <w:b w:val="0"/>
                <w:color w:val="auto"/>
                <w:lang w:val="tr-TR"/>
              </w:rPr>
              <w:t xml:space="preserve"> </w:t>
            </w:r>
            <w:r w:rsidR="00333A0D" w:rsidRPr="00A23740">
              <w:rPr>
                <w:b w:val="0"/>
                <w:color w:val="auto"/>
                <w:lang w:val="tr-TR"/>
              </w:rPr>
              <w:t>ve iflas dairelerinin düzeltebile</w:t>
            </w:r>
            <w:r w:rsidR="005132FF" w:rsidRPr="00A23740">
              <w:rPr>
                <w:b w:val="0"/>
                <w:color w:val="auto"/>
                <w:lang w:val="tr-TR"/>
              </w:rPr>
              <w:t>ceği hüküm altına alınmaktadır.</w:t>
            </w:r>
          </w:p>
          <w:p w:rsidR="00333A0D" w:rsidRPr="00A23740" w:rsidRDefault="00333A0D" w:rsidP="009431FF">
            <w:pPr>
              <w:pStyle w:val="Mavi"/>
              <w:ind w:firstLine="709"/>
              <w:rPr>
                <w:b w:val="0"/>
                <w:color w:val="auto"/>
                <w:lang w:val="tr-TR"/>
              </w:rPr>
            </w:pPr>
            <w:r w:rsidRPr="00A23740">
              <w:rPr>
                <w:b w:val="0"/>
                <w:color w:val="auto"/>
                <w:lang w:val="tr-TR"/>
              </w:rPr>
              <w:t>Dördüncü fıkra</w:t>
            </w:r>
            <w:r w:rsidR="00C855E2" w:rsidRPr="00A23740">
              <w:rPr>
                <w:b w:val="0"/>
                <w:color w:val="auto"/>
                <w:lang w:val="tr-TR"/>
              </w:rPr>
              <w:t>da</w:t>
            </w:r>
            <w:r w:rsidRPr="00A23740">
              <w:rPr>
                <w:b w:val="0"/>
                <w:color w:val="auto"/>
                <w:lang w:val="tr-TR"/>
              </w:rPr>
              <w:t>, ilgililerin bu tutanakları ve sicilleri görebilece</w:t>
            </w:r>
            <w:r w:rsidR="00C855E2" w:rsidRPr="00A23740">
              <w:rPr>
                <w:b w:val="0"/>
                <w:color w:val="auto"/>
                <w:lang w:val="tr-TR"/>
              </w:rPr>
              <w:t>kleri</w:t>
            </w:r>
            <w:r w:rsidRPr="00A23740">
              <w:rPr>
                <w:b w:val="0"/>
                <w:color w:val="auto"/>
                <w:lang w:val="tr-TR"/>
              </w:rPr>
              <w:t xml:space="preserve"> ve bunlardan örnek alabilece</w:t>
            </w:r>
            <w:r w:rsidR="00C855E2" w:rsidRPr="00A23740">
              <w:rPr>
                <w:b w:val="0"/>
                <w:color w:val="auto"/>
                <w:lang w:val="tr-TR"/>
              </w:rPr>
              <w:t>kleri</w:t>
            </w:r>
            <w:r w:rsidR="00A44DE5">
              <w:rPr>
                <w:b w:val="0"/>
                <w:color w:val="auto"/>
                <w:lang w:val="tr-TR"/>
              </w:rPr>
              <w:t xml:space="preserve"> </w:t>
            </w:r>
            <w:r w:rsidR="00C855E2" w:rsidRPr="00A23740">
              <w:rPr>
                <w:b w:val="0"/>
                <w:color w:val="auto"/>
                <w:lang w:val="tr-TR"/>
              </w:rPr>
              <w:t>açıklanmaktadır</w:t>
            </w:r>
            <w:r w:rsidRPr="00A23740">
              <w:rPr>
                <w:b w:val="0"/>
                <w:color w:val="auto"/>
                <w:lang w:val="tr-TR"/>
              </w:rPr>
              <w:t>.</w:t>
            </w:r>
            <w:r w:rsidR="00F97805" w:rsidRPr="00A23740">
              <w:rPr>
                <w:b w:val="0"/>
                <w:color w:val="auto"/>
                <w:lang w:val="tr-TR"/>
              </w:rPr>
              <w:t xml:space="preserve"> </w:t>
            </w:r>
            <w:r w:rsidR="00FF0F3F" w:rsidRPr="00A23740">
              <w:rPr>
                <w:b w:val="0"/>
                <w:color w:val="auto"/>
                <w:lang w:val="tr-TR"/>
              </w:rPr>
              <w:t>“</w:t>
            </w:r>
            <w:r w:rsidR="006D3EB5" w:rsidRPr="00A23740">
              <w:rPr>
                <w:b w:val="0"/>
                <w:color w:val="auto"/>
                <w:lang w:val="tr-TR"/>
              </w:rPr>
              <w:t>İlgililer</w:t>
            </w:r>
            <w:r w:rsidR="00FF0F3F" w:rsidRPr="00A23740">
              <w:rPr>
                <w:b w:val="0"/>
                <w:color w:val="auto"/>
                <w:lang w:val="tr-TR"/>
              </w:rPr>
              <w:t>”</w:t>
            </w:r>
            <w:r w:rsidR="006D3EB5" w:rsidRPr="00A23740">
              <w:rPr>
                <w:b w:val="0"/>
                <w:color w:val="auto"/>
                <w:lang w:val="tr-TR"/>
              </w:rPr>
              <w:t xml:space="preserve"> terimi </w:t>
            </w:r>
            <w:r w:rsidR="00FF0F3F" w:rsidRPr="00A23740">
              <w:rPr>
                <w:b w:val="0"/>
                <w:color w:val="auto"/>
                <w:lang w:val="tr-TR"/>
              </w:rPr>
              <w:t xml:space="preserve">anlam itibariyle </w:t>
            </w:r>
            <w:r w:rsidR="006D3EB5" w:rsidRPr="00A23740">
              <w:rPr>
                <w:b w:val="0"/>
                <w:color w:val="auto"/>
                <w:lang w:val="tr-TR"/>
              </w:rPr>
              <w:t>menfaat sahibi olmayı gerektirdiğinden</w:t>
            </w:r>
            <w:r w:rsidR="00C855E2" w:rsidRPr="00A23740">
              <w:rPr>
                <w:b w:val="0"/>
                <w:color w:val="auto"/>
                <w:lang w:val="tr-TR"/>
              </w:rPr>
              <w:t>,</w:t>
            </w:r>
            <w:r w:rsidR="006D3EB5" w:rsidRPr="00A23740">
              <w:rPr>
                <w:b w:val="0"/>
                <w:color w:val="auto"/>
                <w:lang w:val="tr-TR"/>
              </w:rPr>
              <w:t xml:space="preserve"> hükümde </w:t>
            </w:r>
            <w:r w:rsidR="00C855E2" w:rsidRPr="00A23740">
              <w:rPr>
                <w:b w:val="0"/>
                <w:color w:val="auto"/>
                <w:lang w:val="tr-TR"/>
              </w:rPr>
              <w:t xml:space="preserve">ayrıca </w:t>
            </w:r>
            <w:r w:rsidR="006D3EB5" w:rsidRPr="00A23740">
              <w:rPr>
                <w:b w:val="0"/>
                <w:color w:val="auto"/>
                <w:lang w:val="tr-TR"/>
              </w:rPr>
              <w:t xml:space="preserve">menfatin muhtemel görülmesi şartına yer verilmemektedir. </w:t>
            </w:r>
            <w:r w:rsidR="00F97805" w:rsidRPr="00A23740">
              <w:rPr>
                <w:b w:val="0"/>
                <w:color w:val="auto"/>
                <w:lang w:val="tr-TR"/>
              </w:rPr>
              <w:t>Fıkra, 2004 sayılı Kanunun 8 inci maddesinin üçüncü fıkrasına karşılık gelmektedir.</w:t>
            </w:r>
          </w:p>
          <w:p w:rsidR="00333A0D" w:rsidRPr="00A23740" w:rsidRDefault="00333A0D" w:rsidP="009431FF">
            <w:pPr>
              <w:pStyle w:val="Mavi"/>
              <w:ind w:firstLine="709"/>
              <w:rPr>
                <w:b w:val="0"/>
                <w:color w:val="auto"/>
                <w:lang w:val="tr-TR"/>
              </w:rPr>
            </w:pPr>
            <w:r w:rsidRPr="00A23740">
              <w:rPr>
                <w:b w:val="0"/>
                <w:color w:val="auto"/>
                <w:lang w:val="tr-TR"/>
              </w:rPr>
              <w:t>Beşinci fıkrayla, tu</w:t>
            </w:r>
            <w:r w:rsidR="00A7371D" w:rsidRPr="00A23740">
              <w:rPr>
                <w:b w:val="0"/>
                <w:color w:val="auto"/>
                <w:lang w:val="tr-TR"/>
              </w:rPr>
              <w:t xml:space="preserve">tanaklar ve sicillerin incelenmesi ve bunlardan örnek alınmasına </w:t>
            </w:r>
            <w:r w:rsidRPr="00A23740">
              <w:rPr>
                <w:b w:val="0"/>
                <w:color w:val="auto"/>
                <w:lang w:val="tr-TR"/>
              </w:rPr>
              <w:t xml:space="preserve">dair esaslar </w:t>
            </w:r>
            <w:r w:rsidR="00353167" w:rsidRPr="00A23740">
              <w:rPr>
                <w:b w:val="0"/>
                <w:color w:val="auto"/>
                <w:lang w:val="tr-TR"/>
              </w:rPr>
              <w:t>belirlenmektedir</w:t>
            </w:r>
            <w:r w:rsidRPr="00A23740">
              <w:rPr>
                <w:b w:val="0"/>
                <w:color w:val="auto"/>
                <w:lang w:val="tr-TR"/>
              </w:rPr>
              <w:t>.</w:t>
            </w:r>
            <w:r w:rsidR="00353167" w:rsidRPr="00A23740">
              <w:rPr>
                <w:b w:val="0"/>
                <w:color w:val="auto"/>
                <w:lang w:val="tr-TR"/>
              </w:rPr>
              <w:t xml:space="preserve"> Fıkra, 2004 sayılı Kanunda </w:t>
            </w:r>
            <w:r w:rsidR="00E90DCB" w:rsidRPr="00A23740">
              <w:rPr>
                <w:b w:val="0"/>
                <w:color w:val="auto"/>
                <w:lang w:val="tr-TR"/>
              </w:rPr>
              <w:t>m</w:t>
            </w:r>
            <w:r w:rsidR="00D70B25" w:rsidRPr="00A23740">
              <w:rPr>
                <w:b w:val="0"/>
                <w:color w:val="auto"/>
                <w:lang w:val="tr-TR"/>
              </w:rPr>
              <w:t>evcut olmayıp,</w:t>
            </w:r>
            <w:r w:rsidR="004F4292" w:rsidRPr="00A23740">
              <w:rPr>
                <w:b w:val="0"/>
                <w:color w:val="auto"/>
                <w:lang w:val="tr-TR"/>
              </w:rPr>
              <w:t xml:space="preserve"> İsviçre’nin Borç İçin Takip ve İflas Hakkındaki Federal Kanununun</w:t>
            </w:r>
            <w:r w:rsidR="00353167" w:rsidRPr="00A23740">
              <w:rPr>
                <w:b w:val="0"/>
                <w:color w:val="auto"/>
                <w:lang w:val="tr-TR"/>
              </w:rPr>
              <w:t xml:space="preserve"> 8/a maddesi </w:t>
            </w:r>
            <w:r w:rsidR="00C855E2" w:rsidRPr="00A23740">
              <w:rPr>
                <w:b w:val="0"/>
                <w:color w:val="auto"/>
                <w:lang w:val="tr-TR"/>
              </w:rPr>
              <w:t xml:space="preserve">kısmen </w:t>
            </w:r>
            <w:r w:rsidR="00353167" w:rsidRPr="00A23740">
              <w:rPr>
                <w:b w:val="0"/>
                <w:color w:val="auto"/>
                <w:lang w:val="tr-TR"/>
              </w:rPr>
              <w:t>dikkate alınmak suretiyle</w:t>
            </w:r>
            <w:r w:rsidR="00C855E2" w:rsidRPr="00A23740">
              <w:rPr>
                <w:b w:val="0"/>
                <w:color w:val="auto"/>
                <w:lang w:val="tr-TR"/>
              </w:rPr>
              <w:t>düzenlenmiştir</w:t>
            </w:r>
            <w:r w:rsidR="00353167" w:rsidRPr="00A23740">
              <w:rPr>
                <w:b w:val="0"/>
                <w:color w:val="auto"/>
                <w:lang w:val="tr-TR"/>
              </w:rPr>
              <w:t>.</w:t>
            </w:r>
            <w:r w:rsidRPr="00A23740">
              <w:rPr>
                <w:b w:val="0"/>
                <w:color w:val="auto"/>
                <w:lang w:val="tr-TR"/>
              </w:rPr>
              <w:t xml:space="preserve"> Buna göre</w:t>
            </w:r>
            <w:r w:rsidR="00EE68D8" w:rsidRPr="00A23740">
              <w:rPr>
                <w:b w:val="0"/>
                <w:color w:val="auto"/>
                <w:lang w:val="tr-TR"/>
              </w:rPr>
              <w:t>, ilgililerin inceleme ve örnek alma hakkı</w:t>
            </w:r>
            <w:r w:rsidR="00353167" w:rsidRPr="00A23740">
              <w:rPr>
                <w:b w:val="0"/>
                <w:color w:val="auto"/>
                <w:lang w:val="tr-TR"/>
              </w:rPr>
              <w:t>,</w:t>
            </w:r>
            <w:r w:rsidR="00EE68D8" w:rsidRPr="00A23740">
              <w:rPr>
                <w:b w:val="0"/>
                <w:color w:val="auto"/>
                <w:lang w:val="tr-TR"/>
              </w:rPr>
              <w:t xml:space="preserve"> </w:t>
            </w:r>
            <w:r w:rsidRPr="00A23740">
              <w:rPr>
                <w:b w:val="0"/>
                <w:color w:val="auto"/>
                <w:lang w:val="tr-TR"/>
              </w:rPr>
              <w:t xml:space="preserve">takibin sona ermesinden </w:t>
            </w:r>
            <w:r w:rsidR="00EE68D8" w:rsidRPr="00A23740">
              <w:rPr>
                <w:b w:val="0"/>
                <w:color w:val="auto"/>
                <w:lang w:val="tr-TR"/>
              </w:rPr>
              <w:t xml:space="preserve">itibaren </w:t>
            </w:r>
            <w:r w:rsidRPr="00A23740">
              <w:rPr>
                <w:b w:val="0"/>
                <w:color w:val="auto"/>
                <w:lang w:val="tr-TR"/>
              </w:rPr>
              <w:t xml:space="preserve">beş yıl </w:t>
            </w:r>
            <w:r w:rsidR="00EE68D8" w:rsidRPr="00A23740">
              <w:rPr>
                <w:b w:val="0"/>
                <w:color w:val="auto"/>
                <w:lang w:val="tr-TR"/>
              </w:rPr>
              <w:t>sonra sona erecek</w:t>
            </w:r>
            <w:r w:rsidR="00A7371D" w:rsidRPr="00A23740">
              <w:rPr>
                <w:b w:val="0"/>
                <w:color w:val="auto"/>
                <w:lang w:val="tr-TR"/>
              </w:rPr>
              <w:t xml:space="preserve">tir. Ancak </w:t>
            </w:r>
            <w:r w:rsidR="00EE68D8" w:rsidRPr="00A23740">
              <w:rPr>
                <w:b w:val="0"/>
                <w:color w:val="auto"/>
                <w:lang w:val="tr-TR"/>
              </w:rPr>
              <w:t>derdest bir soruşturma, yargılama veya tesis edilebilecek bir idari işlem</w:t>
            </w:r>
            <w:r w:rsidR="006906E4" w:rsidRPr="00A23740">
              <w:rPr>
                <w:b w:val="0"/>
                <w:color w:val="auto"/>
                <w:lang w:val="tr-TR"/>
              </w:rPr>
              <w:t>in</w:t>
            </w:r>
            <w:r w:rsidR="00EE68D8" w:rsidRPr="00A23740">
              <w:rPr>
                <w:b w:val="0"/>
                <w:color w:val="auto"/>
                <w:lang w:val="tr-TR"/>
              </w:rPr>
              <w:t xml:space="preserve"> gerektirmesi h</w:t>
            </w:r>
            <w:r w:rsidR="00C219C2" w:rsidRPr="00A23740">
              <w:rPr>
                <w:b w:val="0"/>
                <w:color w:val="auto"/>
                <w:lang w:val="tr-TR"/>
              </w:rPr>
              <w:t>â</w:t>
            </w:r>
            <w:r w:rsidR="00EE68D8" w:rsidRPr="00A23740">
              <w:rPr>
                <w:b w:val="0"/>
                <w:color w:val="auto"/>
                <w:lang w:val="tr-TR"/>
              </w:rPr>
              <w:t xml:space="preserve">linde </w:t>
            </w:r>
            <w:r w:rsidR="006906E4" w:rsidRPr="00A23740">
              <w:rPr>
                <w:b w:val="0"/>
                <w:color w:val="auto"/>
                <w:lang w:val="tr-TR"/>
              </w:rPr>
              <w:t xml:space="preserve">adli ve idari merciler </w:t>
            </w:r>
            <w:r w:rsidR="00EE68D8" w:rsidRPr="00A23740">
              <w:rPr>
                <w:b w:val="0"/>
                <w:color w:val="auto"/>
                <w:lang w:val="tr-TR"/>
              </w:rPr>
              <w:t xml:space="preserve">bu süreden sonra da örnek </w:t>
            </w:r>
            <w:r w:rsidR="00EE68D8" w:rsidRPr="00A23740">
              <w:rPr>
                <w:b w:val="0"/>
                <w:color w:val="auto"/>
                <w:lang w:val="tr-TR"/>
              </w:rPr>
              <w:lastRenderedPageBreak/>
              <w:t xml:space="preserve">verilmesini ilgili </w:t>
            </w:r>
            <w:r w:rsidR="00163052" w:rsidRPr="00A23740">
              <w:rPr>
                <w:b w:val="0"/>
                <w:color w:val="auto"/>
                <w:lang w:val="tr-TR"/>
              </w:rPr>
              <w:t xml:space="preserve">daireden </w:t>
            </w:r>
            <w:r w:rsidR="00F97805" w:rsidRPr="00A23740">
              <w:rPr>
                <w:b w:val="0"/>
                <w:color w:val="auto"/>
                <w:lang w:val="tr-TR"/>
              </w:rPr>
              <w:t>talep edebilecektir.</w:t>
            </w:r>
            <w:r w:rsidR="005132FF" w:rsidRPr="00A23740">
              <w:rPr>
                <w:b w:val="0"/>
                <w:color w:val="auto"/>
                <w:lang w:val="tr-TR"/>
              </w:rPr>
              <w:t xml:space="preserve"> Takibin sonra ermesi terimi, </w:t>
            </w:r>
            <w:r w:rsidR="00E90DCB" w:rsidRPr="00A23740">
              <w:rPr>
                <w:b w:val="0"/>
                <w:color w:val="auto"/>
                <w:lang w:val="tr-TR"/>
              </w:rPr>
              <w:t>örneğin</w:t>
            </w:r>
            <w:r w:rsidR="005132FF" w:rsidRPr="00A23740">
              <w:rPr>
                <w:b w:val="0"/>
                <w:color w:val="auto"/>
                <w:lang w:val="tr-TR"/>
              </w:rPr>
              <w:t xml:space="preserve"> takibin ödeme veya aciz vesikasının verilmesi suretiyle </w:t>
            </w:r>
            <w:r w:rsidR="00C855E2" w:rsidRPr="00A23740">
              <w:rPr>
                <w:b w:val="0"/>
                <w:color w:val="auto"/>
                <w:lang w:val="tr-TR"/>
              </w:rPr>
              <w:t xml:space="preserve">bitmesini </w:t>
            </w:r>
            <w:r w:rsidR="005132FF" w:rsidRPr="00A23740">
              <w:rPr>
                <w:b w:val="0"/>
                <w:color w:val="auto"/>
                <w:lang w:val="tr-TR"/>
              </w:rPr>
              <w:t>ifade etmektedir.</w:t>
            </w:r>
          </w:p>
          <w:p w:rsidR="00C249D9" w:rsidRPr="00A23740" w:rsidRDefault="00EE68D8" w:rsidP="009431FF">
            <w:pPr>
              <w:pStyle w:val="Mavi"/>
              <w:ind w:firstLine="709"/>
              <w:rPr>
                <w:b w:val="0"/>
                <w:color w:val="auto"/>
                <w:lang w:val="tr-TR"/>
              </w:rPr>
            </w:pPr>
            <w:r w:rsidRPr="00A23740">
              <w:rPr>
                <w:b w:val="0"/>
                <w:bCs w:val="0"/>
                <w:color w:val="auto"/>
                <w:lang w:val="tr-TR"/>
              </w:rPr>
              <w:t xml:space="preserve">Altıncı fıkrayla, </w:t>
            </w:r>
            <w:r w:rsidRPr="00A23740">
              <w:rPr>
                <w:b w:val="0"/>
                <w:color w:val="auto"/>
                <w:lang w:val="tr-TR"/>
              </w:rPr>
              <w:t xml:space="preserve">icra ve iflas dairelerinin tutanak </w:t>
            </w:r>
            <w:r w:rsidRPr="00A23740">
              <w:rPr>
                <w:b w:val="0"/>
                <w:bCs w:val="0"/>
                <w:color w:val="auto"/>
                <w:lang w:val="tr-TR"/>
              </w:rPr>
              <w:t>ve</w:t>
            </w:r>
            <w:r w:rsidRPr="00A23740">
              <w:rPr>
                <w:b w:val="0"/>
                <w:color w:val="auto"/>
                <w:lang w:val="tr-TR"/>
              </w:rPr>
              <w:t xml:space="preserve"> </w:t>
            </w:r>
            <w:r w:rsidRPr="00A23740">
              <w:rPr>
                <w:b w:val="0"/>
                <w:bCs w:val="0"/>
                <w:color w:val="auto"/>
                <w:lang w:val="tr-TR"/>
              </w:rPr>
              <w:t>sicillerinin</w:t>
            </w:r>
            <w:r w:rsidRPr="00A23740">
              <w:rPr>
                <w:b w:val="0"/>
                <w:bCs w:val="0"/>
                <w:color w:val="auto"/>
              </w:rPr>
              <w:t>,</w:t>
            </w:r>
            <w:r w:rsidRPr="00A23740">
              <w:rPr>
                <w:b w:val="0"/>
                <w:bCs w:val="0"/>
                <w:color w:val="auto"/>
                <w:lang w:val="tr-TR"/>
              </w:rPr>
              <w:t xml:space="preserve"> aksi</w:t>
            </w:r>
            <w:r w:rsidRPr="00A23740">
              <w:rPr>
                <w:b w:val="0"/>
                <w:color w:val="auto"/>
                <w:lang w:val="tr-TR"/>
              </w:rPr>
              <w:t xml:space="preserve"> sabit oluncaya kadar </w:t>
            </w:r>
            <w:r w:rsidRPr="00A23740">
              <w:rPr>
                <w:b w:val="0"/>
                <w:bCs w:val="0"/>
                <w:color w:val="auto"/>
                <w:lang w:val="tr-TR"/>
              </w:rPr>
              <w:t xml:space="preserve">geçerli olacağı hüküm altına alınmaktadır. </w:t>
            </w:r>
            <w:r w:rsidR="00566BD0" w:rsidRPr="00A23740">
              <w:rPr>
                <w:b w:val="0"/>
                <w:color w:val="auto"/>
                <w:lang w:val="tr-TR"/>
              </w:rPr>
              <w:t>Fıkra, 2004 sayılı Kanunun 8 inci maddesinin dördüncü fıkrasına karşılık gelmektedir.</w:t>
            </w:r>
          </w:p>
          <w:p w:rsidR="00D64704" w:rsidRPr="00A23740" w:rsidRDefault="00D64704" w:rsidP="009431FF">
            <w:pPr>
              <w:pStyle w:val="Mavi"/>
              <w:ind w:firstLine="709"/>
              <w:rPr>
                <w:b w:val="0"/>
                <w:color w:val="auto"/>
                <w:lang w:val="tr-TR"/>
              </w:rPr>
            </w:pPr>
          </w:p>
        </w:tc>
      </w:tr>
      <w:tr w:rsidR="001E132C" w:rsidRPr="00A23740" w:rsidTr="009431FF">
        <w:tc>
          <w:tcPr>
            <w:tcW w:w="2500" w:type="pct"/>
            <w:shd w:val="clear" w:color="auto" w:fill="auto"/>
          </w:tcPr>
          <w:p w:rsidR="001E132C" w:rsidRPr="00A23740" w:rsidRDefault="001E132C" w:rsidP="009431FF">
            <w:pPr>
              <w:pStyle w:val="KIRMIZI"/>
              <w:rPr>
                <w:lang w:val="tr-TR"/>
              </w:rPr>
            </w:pPr>
            <w:r w:rsidRPr="00A23740">
              <w:rPr>
                <w:lang w:val="tr-TR"/>
              </w:rPr>
              <w:lastRenderedPageBreak/>
              <w:t>Tutanaklar</w:t>
            </w:r>
            <w:r w:rsidRPr="00A23740">
              <w:rPr>
                <w:rStyle w:val="KIRMIZIChar"/>
                <w:lang w:val="tr-TR" w:eastAsia="tr-TR"/>
              </w:rPr>
              <w:t>:</w:t>
            </w:r>
          </w:p>
          <w:p w:rsidR="001E132C" w:rsidRPr="00A23740" w:rsidRDefault="001E132C" w:rsidP="009431FF">
            <w:pPr>
              <w:pStyle w:val="KIRMIZI"/>
              <w:rPr>
                <w:b w:val="0"/>
                <w:bCs w:val="0"/>
                <w:color w:val="000000"/>
                <w:lang w:val="tr-TR" w:eastAsia="tr-TR"/>
              </w:rPr>
            </w:pPr>
            <w:r w:rsidRPr="00A23740">
              <w:rPr>
                <w:lang w:val="tr-TR"/>
              </w:rPr>
              <w:t>Madde 8 – (Değişik: 18/2/1965-538/4 md.)</w:t>
            </w:r>
          </w:p>
          <w:p w:rsidR="0099365A" w:rsidRPr="00A23740" w:rsidRDefault="0099365A" w:rsidP="009431FF">
            <w:pPr>
              <w:rPr>
                <w:rStyle w:val="Balk3Char"/>
                <w:rFonts w:eastAsia="Calibri"/>
                <w:b w:val="0"/>
                <w:color w:val="000000"/>
              </w:rPr>
            </w:pPr>
            <w:r w:rsidRPr="00A23740">
              <w:rPr>
                <w:rStyle w:val="Balk3Char"/>
                <w:rFonts w:eastAsia="Calibri"/>
                <w:b w:val="0"/>
                <w:color w:val="000000"/>
              </w:rPr>
              <w:t>…</w:t>
            </w:r>
          </w:p>
          <w:p w:rsidR="001E132C" w:rsidRPr="00A23740" w:rsidRDefault="001E132C" w:rsidP="009431FF">
            <w:pPr>
              <w:rPr>
                <w:rFonts w:eastAsia="Times New Roman"/>
                <w:color w:val="000000"/>
                <w:szCs w:val="24"/>
                <w:lang w:eastAsia="tr-TR"/>
              </w:rPr>
            </w:pPr>
            <w:r w:rsidRPr="00A23740">
              <w:rPr>
                <w:rStyle w:val="Balk3Char"/>
                <w:rFonts w:eastAsia="Calibri"/>
                <w:strike/>
                <w:color w:val="FF0000"/>
              </w:rPr>
              <w:t>(</w:t>
            </w:r>
            <w:r w:rsidR="0099365A" w:rsidRPr="00A23740">
              <w:rPr>
                <w:rStyle w:val="Balk3Char"/>
                <w:rFonts w:eastAsia="Calibri"/>
                <w:strike/>
                <w:color w:val="FF0000"/>
              </w:rPr>
              <w:t>2</w:t>
            </w:r>
            <w:r w:rsidRPr="00A23740">
              <w:rPr>
                <w:rStyle w:val="Balk3Char"/>
                <w:rFonts w:eastAsia="Calibri"/>
                <w:strike/>
                <w:color w:val="FF0000"/>
              </w:rPr>
              <w:t xml:space="preserve">) </w:t>
            </w:r>
            <w:r w:rsidRPr="00A23740">
              <w:rPr>
                <w:rStyle w:val="KIRMIZIChar"/>
                <w:rFonts w:eastAsia="Calibri"/>
                <w:strike w:val="0"/>
                <w:lang w:eastAsia="tr-TR"/>
              </w:rPr>
              <w:t>(</w:t>
            </w:r>
            <w:r w:rsidRPr="00A23740">
              <w:rPr>
                <w:rStyle w:val="KIRMIZIChar"/>
                <w:rFonts w:eastAsia="Calibri"/>
                <w:lang w:eastAsia="tr-TR"/>
              </w:rPr>
              <w:t>Ek fıkra: 2/7/2012-6352/2 md.)</w:t>
            </w:r>
            <w:r w:rsidRPr="00A23740">
              <w:rPr>
                <w:rFonts w:eastAsia="Times New Roman"/>
                <w:b/>
                <w:bCs/>
                <w:color w:val="000000"/>
                <w:szCs w:val="24"/>
                <w:lang w:eastAsia="tr-TR"/>
              </w:rPr>
              <w:t> </w:t>
            </w:r>
            <w:r w:rsidRPr="00A23740">
              <w:rPr>
                <w:rFonts w:eastAsia="Times New Roman"/>
                <w:color w:val="000000"/>
                <w:szCs w:val="24"/>
                <w:lang w:eastAsia="tr-TR"/>
              </w:rPr>
              <w:t>İcra ve iflas dairelerince verilen kararlar gerekçeli olarak tutanaklara yazılır.</w:t>
            </w:r>
          </w:p>
          <w:p w:rsidR="0099365A" w:rsidRPr="00A23740" w:rsidRDefault="0099365A" w:rsidP="009431FF">
            <w:pPr>
              <w:rPr>
                <w:bCs/>
                <w:color w:val="000000"/>
                <w:szCs w:val="26"/>
              </w:rPr>
            </w:pPr>
            <w:r w:rsidRPr="00A23740">
              <w:rPr>
                <w:rStyle w:val="Balk3Char"/>
                <w:rFonts w:eastAsia="Calibri"/>
                <w:b w:val="0"/>
                <w:color w:val="000000"/>
              </w:rPr>
              <w:t>…</w:t>
            </w:r>
          </w:p>
          <w:p w:rsidR="001E132C" w:rsidRPr="00A23740" w:rsidRDefault="001E132C" w:rsidP="009431FF">
            <w:pPr>
              <w:jc w:val="center"/>
              <w:rPr>
                <w:b/>
                <w:szCs w:val="24"/>
              </w:rPr>
            </w:pPr>
          </w:p>
        </w:tc>
        <w:tc>
          <w:tcPr>
            <w:tcW w:w="2500" w:type="pct"/>
            <w:shd w:val="clear" w:color="auto" w:fill="auto"/>
          </w:tcPr>
          <w:p w:rsidR="001E132C" w:rsidRPr="00A23740" w:rsidRDefault="0067618E" w:rsidP="009431FF">
            <w:pPr>
              <w:pStyle w:val="Mavi"/>
              <w:rPr>
                <w:lang w:val="tr-TR"/>
              </w:rPr>
            </w:pPr>
            <w:r w:rsidRPr="00A23740">
              <w:rPr>
                <w:lang w:val="tr-TR"/>
              </w:rPr>
              <w:t>Kararlar</w:t>
            </w:r>
            <w:r w:rsidR="001553C3" w:rsidRPr="00A23740">
              <w:rPr>
                <w:lang w:val="tr-TR"/>
              </w:rPr>
              <w:t xml:space="preserve"> ve tutanaklar</w:t>
            </w:r>
          </w:p>
          <w:p w:rsidR="0099365A" w:rsidRPr="00A23740" w:rsidRDefault="00F92A99" w:rsidP="009431FF">
            <w:pPr>
              <w:tabs>
                <w:tab w:val="left" w:pos="567"/>
              </w:tabs>
              <w:rPr>
                <w:rStyle w:val="MaviChar"/>
                <w:lang w:val="tr-TR"/>
              </w:rPr>
            </w:pPr>
            <w:r w:rsidRPr="00A23740">
              <w:rPr>
                <w:rStyle w:val="MaviChar"/>
                <w:lang w:val="tr-TR"/>
              </w:rPr>
              <w:t>MADDE 10</w:t>
            </w:r>
            <w:r w:rsidR="001E132C" w:rsidRPr="00A23740">
              <w:rPr>
                <w:rStyle w:val="MaviChar"/>
                <w:lang w:val="tr-TR"/>
              </w:rPr>
              <w:t xml:space="preserve">- </w:t>
            </w:r>
          </w:p>
          <w:p w:rsidR="0099365A" w:rsidRPr="00A23740" w:rsidRDefault="0099365A" w:rsidP="009431FF">
            <w:pPr>
              <w:tabs>
                <w:tab w:val="left" w:pos="567"/>
              </w:tabs>
              <w:rPr>
                <w:rStyle w:val="MaviChar"/>
                <w:lang w:val="tr-TR"/>
              </w:rPr>
            </w:pPr>
          </w:p>
          <w:p w:rsidR="001E132C" w:rsidRPr="00A23740" w:rsidRDefault="001E132C" w:rsidP="009431FF">
            <w:pPr>
              <w:tabs>
                <w:tab w:val="left" w:pos="567"/>
              </w:tabs>
              <w:rPr>
                <w:szCs w:val="24"/>
              </w:rPr>
            </w:pPr>
            <w:r w:rsidRPr="00A23740">
              <w:rPr>
                <w:rStyle w:val="MaviChar"/>
                <w:lang w:val="tr-TR"/>
              </w:rPr>
              <w:t>(1)</w:t>
            </w:r>
            <w:r w:rsidRPr="00A23740">
              <w:rPr>
                <w:szCs w:val="24"/>
              </w:rPr>
              <w:t xml:space="preserve"> İcra ve iflas dairelerince verilen kararlar</w:t>
            </w:r>
            <w:r w:rsidR="001553C3" w:rsidRPr="00A23740">
              <w:rPr>
                <w:szCs w:val="24"/>
              </w:rPr>
              <w:t xml:space="preserve"> </w:t>
            </w:r>
            <w:r w:rsidR="001553C3" w:rsidRPr="00A23740">
              <w:rPr>
                <w:rStyle w:val="MaviChar"/>
              </w:rPr>
              <w:t>tutanaklara</w:t>
            </w:r>
            <w:r w:rsidRPr="00A23740">
              <w:rPr>
                <w:szCs w:val="24"/>
              </w:rPr>
              <w:t xml:space="preserve"> gerekçeli olarak yazılır.</w:t>
            </w:r>
          </w:p>
          <w:p w:rsidR="001E132C" w:rsidRPr="00A23740" w:rsidRDefault="001E132C" w:rsidP="009431FF">
            <w:pPr>
              <w:tabs>
                <w:tab w:val="left" w:pos="567"/>
              </w:tabs>
              <w:rPr>
                <w:szCs w:val="24"/>
              </w:rPr>
            </w:pPr>
          </w:p>
          <w:p w:rsidR="001E132C" w:rsidRPr="00A23740" w:rsidRDefault="001E132C" w:rsidP="009431FF">
            <w:pPr>
              <w:pStyle w:val="Mavi"/>
              <w:rPr>
                <w:b w:val="0"/>
              </w:rPr>
            </w:pPr>
          </w:p>
        </w:tc>
      </w:tr>
      <w:tr w:rsidR="006251FB" w:rsidRPr="00A23740" w:rsidTr="009431FF">
        <w:tc>
          <w:tcPr>
            <w:tcW w:w="5000" w:type="pct"/>
            <w:gridSpan w:val="2"/>
            <w:shd w:val="clear" w:color="auto" w:fill="DEEAF6"/>
          </w:tcPr>
          <w:p w:rsidR="006251FB" w:rsidRPr="00A23740" w:rsidRDefault="006251FB" w:rsidP="009431FF">
            <w:pPr>
              <w:pStyle w:val="Mavi"/>
              <w:jc w:val="center"/>
              <w:rPr>
                <w:color w:val="auto"/>
                <w:lang w:val="tr-TR"/>
              </w:rPr>
            </w:pPr>
            <w:r w:rsidRPr="00A23740">
              <w:rPr>
                <w:color w:val="auto"/>
                <w:lang w:val="tr-TR"/>
              </w:rPr>
              <w:t>GEREKÇE</w:t>
            </w:r>
          </w:p>
          <w:p w:rsidR="00D64704" w:rsidRPr="00A23740" w:rsidRDefault="0099365A" w:rsidP="009431FF">
            <w:pPr>
              <w:pStyle w:val="Mavi"/>
              <w:ind w:firstLine="709"/>
              <w:rPr>
                <w:color w:val="000000"/>
                <w:lang w:val="tr-TR"/>
              </w:rPr>
            </w:pPr>
            <w:r w:rsidRPr="00A23740">
              <w:rPr>
                <w:color w:val="auto"/>
                <w:lang w:val="tr-TR"/>
              </w:rPr>
              <w:t>MADDE 10</w:t>
            </w:r>
            <w:r w:rsidR="006251FB" w:rsidRPr="00A23740">
              <w:rPr>
                <w:color w:val="auto"/>
                <w:lang w:val="tr-TR"/>
              </w:rPr>
              <w:t xml:space="preserve">- </w:t>
            </w:r>
            <w:r w:rsidR="006251FB" w:rsidRPr="00A23740">
              <w:rPr>
                <w:b w:val="0"/>
                <w:color w:val="auto"/>
                <w:lang w:val="tr-TR"/>
              </w:rPr>
              <w:t>Maddeyle, icra ve iflas dairelerince verilen kararların gerekçeli bir şekilde tutanağa bağlanacağı düzenlenmektedir.</w:t>
            </w:r>
            <w:r w:rsidR="006251FB" w:rsidRPr="00A23740">
              <w:rPr>
                <w:color w:val="auto"/>
                <w:lang w:val="tr-TR"/>
              </w:rPr>
              <w:t xml:space="preserve"> </w:t>
            </w:r>
            <w:r w:rsidR="006251FB" w:rsidRPr="00A23740">
              <w:rPr>
                <w:b w:val="0"/>
                <w:color w:val="auto"/>
                <w:lang w:val="tr-TR"/>
              </w:rPr>
              <w:t>Böylece herkes, icra ve ifl</w:t>
            </w:r>
            <w:r w:rsidR="00656C77" w:rsidRPr="00A23740">
              <w:rPr>
                <w:b w:val="0"/>
                <w:color w:val="auto"/>
                <w:lang w:val="tr-TR"/>
              </w:rPr>
              <w:t>a</w:t>
            </w:r>
            <w:r w:rsidR="006251FB" w:rsidRPr="00A23740">
              <w:rPr>
                <w:b w:val="0"/>
                <w:color w:val="auto"/>
                <w:lang w:val="tr-TR"/>
              </w:rPr>
              <w:t xml:space="preserve">s dairelerinin </w:t>
            </w:r>
            <w:r w:rsidR="00FF0F3F" w:rsidRPr="00A23740">
              <w:rPr>
                <w:b w:val="0"/>
                <w:color w:val="auto"/>
                <w:lang w:val="tr-TR"/>
              </w:rPr>
              <w:t xml:space="preserve">yaptıkları </w:t>
            </w:r>
            <w:r w:rsidR="006251FB" w:rsidRPr="00A23740">
              <w:rPr>
                <w:b w:val="0"/>
                <w:color w:val="auto"/>
                <w:lang w:val="tr-TR"/>
              </w:rPr>
              <w:t xml:space="preserve">işlemlerin kanuna aykırı olduğu veya takdir yetkisinin somut olayın gereklerine uygun kullanılmadığı ya da </w:t>
            </w:r>
            <w:r w:rsidR="00FF0F3F" w:rsidRPr="00A23740">
              <w:rPr>
                <w:b w:val="0"/>
                <w:color w:val="auto"/>
                <w:lang w:val="tr-TR"/>
              </w:rPr>
              <w:t xml:space="preserve">yapılması gereken işlemin </w:t>
            </w:r>
            <w:r w:rsidR="006251FB" w:rsidRPr="00A23740">
              <w:rPr>
                <w:b w:val="0"/>
                <w:color w:val="auto"/>
                <w:lang w:val="tr-TR"/>
              </w:rPr>
              <w:t>haklı bir sebep bulunmaksızın yapılmaması yahut sürüncemede bırakılmasından</w:t>
            </w:r>
            <w:r w:rsidRPr="00A23740">
              <w:rPr>
                <w:b w:val="0"/>
                <w:color w:val="auto"/>
                <w:lang w:val="tr-TR"/>
              </w:rPr>
              <w:t xml:space="preserve"> dolayı şikâyet yoluna başvura</w:t>
            </w:r>
            <w:r w:rsidR="006251FB" w:rsidRPr="00A23740">
              <w:rPr>
                <w:b w:val="0"/>
                <w:color w:val="auto"/>
                <w:lang w:val="tr-TR"/>
              </w:rPr>
              <w:t xml:space="preserve">bilecek ve bu başvuru sırasında icra ve iflas dairelerince tanzim olunan tutanaklar da işlevsel olacaktır. </w:t>
            </w:r>
            <w:r w:rsidR="00965EFE" w:rsidRPr="00A23740">
              <w:rPr>
                <w:b w:val="0"/>
                <w:color w:val="auto"/>
                <w:lang w:val="tr-TR"/>
              </w:rPr>
              <w:t xml:space="preserve">Bu hüküm, 2004 sayılı Kanunun 8 inci maddesinin </w:t>
            </w:r>
            <w:r w:rsidRPr="00A23740">
              <w:rPr>
                <w:b w:val="0"/>
                <w:color w:val="auto"/>
                <w:lang w:val="tr-TR"/>
              </w:rPr>
              <w:t>ikinci</w:t>
            </w:r>
            <w:r w:rsidR="00965EFE" w:rsidRPr="00A23740">
              <w:rPr>
                <w:b w:val="0"/>
                <w:color w:val="auto"/>
                <w:lang w:val="tr-TR"/>
              </w:rPr>
              <w:t xml:space="preserve"> </w:t>
            </w:r>
            <w:r w:rsidR="00A44DE5">
              <w:rPr>
                <w:b w:val="0"/>
                <w:color w:val="auto"/>
                <w:lang w:val="tr-TR"/>
              </w:rPr>
              <w:t>fıkrasına karşılık gelmektedir.</w:t>
            </w:r>
          </w:p>
          <w:p w:rsidR="00D64704" w:rsidRPr="00A23740" w:rsidRDefault="00D64704" w:rsidP="009431FF">
            <w:pPr>
              <w:pStyle w:val="Mavi"/>
              <w:ind w:firstLine="709"/>
              <w:rPr>
                <w:color w:val="auto"/>
                <w:lang w:val="tr-TR"/>
              </w:rPr>
            </w:pPr>
          </w:p>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r w:rsidRPr="00A23740">
              <w:rPr>
                <w:rFonts w:eastAsia="Times New Roman"/>
                <w:i/>
                <w:iCs/>
                <w:color w:val="000000"/>
                <w:szCs w:val="24"/>
                <w:lang w:eastAsia="tr-TR"/>
              </w:rPr>
              <w:t>Paranın ödenmesi ve değerli eşyanın muhafazası</w:t>
            </w:r>
            <w:r w:rsidRPr="00A23740">
              <w:rPr>
                <w:rStyle w:val="KIRMIZIChar"/>
                <w:rFonts w:eastAsia="Calibri"/>
              </w:rPr>
              <w:t>:</w:t>
            </w:r>
          </w:p>
          <w:p w:rsidR="001E132C" w:rsidRPr="00A23740" w:rsidRDefault="001E132C" w:rsidP="009431FF">
            <w:pPr>
              <w:pStyle w:val="KIRMIZI"/>
              <w:rPr>
                <w:lang w:val="tr-TR"/>
              </w:rPr>
            </w:pPr>
            <w:r w:rsidRPr="00A23740">
              <w:rPr>
                <w:lang w:val="tr-TR"/>
              </w:rPr>
              <w:t>Madde 9 – (Değişik: 2/7/2012-6352/4 md.)</w:t>
            </w:r>
          </w:p>
          <w:p w:rsidR="001E132C" w:rsidRPr="00A23740" w:rsidRDefault="001E132C" w:rsidP="009431FF">
            <w:pPr>
              <w:rPr>
                <w:rFonts w:eastAsia="Times New Roman"/>
                <w:color w:val="000000"/>
                <w:szCs w:val="24"/>
                <w:lang w:eastAsia="tr-TR"/>
              </w:rPr>
            </w:pPr>
            <w:r w:rsidRPr="00A23740">
              <w:rPr>
                <w:rStyle w:val="KIRMIZIChar"/>
                <w:rFonts w:eastAsia="Calibri"/>
              </w:rPr>
              <w:t>(1)</w:t>
            </w:r>
            <w:r w:rsidRPr="00A23740">
              <w:rPr>
                <w:rFonts w:eastAsia="Times New Roman"/>
                <w:color w:val="000000"/>
                <w:szCs w:val="24"/>
                <w:lang w:eastAsia="tr-TR"/>
              </w:rPr>
              <w:t xml:space="preserve"> İcra ve iflas dairelerine yapılacak her türlü nakdî ödeme, Adalet Bakanlığı tarafından uygun görülecek bankalarda icra ve iflas dairesi adına açılan hesaba yapılır. </w:t>
            </w:r>
          </w:p>
          <w:p w:rsidR="001E132C" w:rsidRPr="00A23740" w:rsidRDefault="001E132C" w:rsidP="009431FF">
            <w:pPr>
              <w:rPr>
                <w:rFonts w:eastAsia="Times New Roman"/>
                <w:color w:val="000000"/>
                <w:szCs w:val="24"/>
                <w:lang w:eastAsia="tr-TR"/>
              </w:rPr>
            </w:pPr>
          </w:p>
          <w:p w:rsidR="001E132C" w:rsidRPr="00A23740" w:rsidRDefault="00902F16" w:rsidP="009431FF">
            <w:pPr>
              <w:rPr>
                <w:rFonts w:eastAsia="Times New Roman"/>
                <w:color w:val="000000"/>
                <w:szCs w:val="24"/>
                <w:lang w:eastAsia="tr-TR"/>
              </w:rPr>
            </w:pPr>
            <w:r w:rsidRPr="00045DAC">
              <w:rPr>
                <w:rStyle w:val="KIRMIZIChar"/>
                <w:rFonts w:eastAsia="Calibri"/>
              </w:rPr>
              <w:t>(F1.C2</w:t>
            </w:r>
            <w:r w:rsidR="001E132C" w:rsidRPr="00045DAC">
              <w:rPr>
                <w:rStyle w:val="KIRMIZIChar"/>
                <w:rFonts w:eastAsia="Calibri"/>
              </w:rPr>
              <w:t>)</w:t>
            </w:r>
            <w:r w:rsidR="001E132C" w:rsidRPr="00A23740">
              <w:rPr>
                <w:rFonts w:eastAsia="Times New Roman"/>
                <w:color w:val="000000"/>
                <w:szCs w:val="24"/>
                <w:lang w:eastAsia="tr-TR"/>
              </w:rPr>
              <w:t xml:space="preserve"> Haciz sırasında, borçlu veya üçüncü kişiler tarafından yapılan ödeme nedeniyle tahsil edilen para</w:t>
            </w:r>
            <w:r w:rsidR="001E132C" w:rsidRPr="00A23740">
              <w:rPr>
                <w:rStyle w:val="StilKrmzChar"/>
                <w:rFonts w:eastAsia="Calibri"/>
                <w:lang w:val="tr-TR" w:eastAsia="tr-TR"/>
              </w:rPr>
              <w:t>lar,</w:t>
            </w:r>
            <w:r w:rsidR="001E132C" w:rsidRPr="00A23740">
              <w:rPr>
                <w:rStyle w:val="StilKrmzChar"/>
                <w:rFonts w:eastAsia="Calibri"/>
                <w:strike w:val="0"/>
                <w:lang w:val="tr-TR" w:eastAsia="tr-TR"/>
              </w:rPr>
              <w:t xml:space="preserve"> </w:t>
            </w:r>
            <w:r w:rsidR="001E132C" w:rsidRPr="00A23740">
              <w:rPr>
                <w:rFonts w:eastAsia="Times New Roman"/>
                <w:color w:val="000000"/>
                <w:szCs w:val="24"/>
                <w:lang w:eastAsia="tr-TR"/>
              </w:rPr>
              <w:t>en geç tahsilatın yapıldığı günü takip eden ilk iş günü çalışma saati sonuna kadar banka hesabına yatırıl</w:t>
            </w:r>
            <w:r w:rsidR="001E132C" w:rsidRPr="00A23740">
              <w:rPr>
                <w:rStyle w:val="KIRMIZIChar"/>
                <w:rFonts w:eastAsia="Calibri"/>
                <w:lang w:eastAsia="tr-TR"/>
              </w:rPr>
              <w:t>mak üzere</w:t>
            </w:r>
            <w:r w:rsidR="001E132C" w:rsidRPr="00A23740">
              <w:rPr>
                <w:rStyle w:val="KIRMIZIChar"/>
                <w:rFonts w:eastAsia="Calibri"/>
                <w:strike w:val="0"/>
                <w:lang w:eastAsia="tr-TR"/>
              </w:rPr>
              <w:t xml:space="preserve"> </w:t>
            </w:r>
            <w:r w:rsidR="001E132C" w:rsidRPr="00A23740">
              <w:rPr>
                <w:rFonts w:eastAsia="Times New Roman"/>
                <w:color w:val="000000"/>
                <w:szCs w:val="24"/>
                <w:lang w:eastAsia="tr-TR"/>
              </w:rPr>
              <w:t>icra veya mahkeme kasalarında muhafaza edilir.</w:t>
            </w:r>
          </w:p>
          <w:p w:rsidR="001E132C" w:rsidRPr="00A23740" w:rsidRDefault="001E132C" w:rsidP="009431FF">
            <w:pPr>
              <w:rPr>
                <w:rFonts w:eastAsia="Times New Roman"/>
                <w:color w:val="000000"/>
                <w:szCs w:val="24"/>
                <w:lang w:eastAsia="tr-TR"/>
              </w:rPr>
            </w:pPr>
          </w:p>
          <w:p w:rsidR="001553C3" w:rsidRPr="00A23740" w:rsidRDefault="001553C3"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r w:rsidRPr="00A23740">
              <w:rPr>
                <w:rStyle w:val="KIRMIZIChar"/>
                <w:rFonts w:eastAsia="Calibri"/>
              </w:rPr>
              <w:lastRenderedPageBreak/>
              <w:t>(2)</w:t>
            </w:r>
            <w:r w:rsidRPr="00A23740">
              <w:rPr>
                <w:rFonts w:eastAsia="Times New Roman"/>
                <w:color w:val="000000"/>
                <w:szCs w:val="24"/>
                <w:lang w:eastAsia="tr-TR"/>
              </w:rPr>
              <w:t xml:space="preserve"> İcra ve iflas dairelerince yapılması gereken her türlü nakdî ödeme, ilgilisinin gösterdiği banka hesabına aktarılmak üzere, icra müdürü tarafından resen bankaya verilecek talimat gereği yapılır. Talimat, paranın icra ve iflas dairesi hesabına yatırılmasını takip eden en geç üç iş günü sonuna kadar verilir.</w:t>
            </w:r>
          </w:p>
          <w:p w:rsidR="001E132C" w:rsidRPr="00A23740" w:rsidRDefault="001E132C" w:rsidP="009431FF">
            <w:pPr>
              <w:rPr>
                <w:rFonts w:eastAsia="Times New Roman"/>
                <w:color w:val="000000"/>
                <w:szCs w:val="24"/>
                <w:lang w:eastAsia="tr-TR"/>
              </w:rPr>
            </w:pPr>
          </w:p>
          <w:p w:rsidR="001E132C" w:rsidRPr="00A23740" w:rsidRDefault="001E132C" w:rsidP="009431FF">
            <w:pPr>
              <w:rPr>
                <w:rFonts w:eastAsia="Times New Roman"/>
                <w:color w:val="000000"/>
                <w:szCs w:val="24"/>
                <w:lang w:eastAsia="tr-TR"/>
              </w:rPr>
            </w:pPr>
            <w:r w:rsidRPr="00A23740">
              <w:rPr>
                <w:rStyle w:val="KIRMIZIChar"/>
                <w:rFonts w:eastAsia="Calibri"/>
              </w:rPr>
              <w:t>(3)</w:t>
            </w:r>
            <w:r w:rsidRPr="00A23740">
              <w:rPr>
                <w:rFonts w:eastAsia="Times New Roman"/>
                <w:color w:val="000000"/>
                <w:szCs w:val="24"/>
                <w:lang w:eastAsia="tr-TR"/>
              </w:rPr>
              <w:t xml:space="preserve"> İcra ve iflas daireleri aldıkları kıymetli evrak ve değerli şeyleri kasalarında, zorunlu hâllerde ise kiralanacak banka kasalarında muhafaza ederler.</w:t>
            </w:r>
          </w:p>
          <w:p w:rsidR="003A470C" w:rsidRPr="00A23740" w:rsidRDefault="003A470C" w:rsidP="009431FF">
            <w:pPr>
              <w:rPr>
                <w:rFonts w:eastAsia="Times New Roman"/>
                <w:color w:val="000000"/>
                <w:szCs w:val="24"/>
                <w:lang w:eastAsia="tr-TR"/>
              </w:rPr>
            </w:pPr>
          </w:p>
          <w:p w:rsidR="003A470C" w:rsidRPr="00A23740" w:rsidRDefault="003A470C" w:rsidP="009431FF">
            <w:pPr>
              <w:pStyle w:val="KIRMIZI"/>
            </w:pPr>
            <w:r w:rsidRPr="00A23740">
              <w:t>Fazla verilen paranın geri alınması</w:t>
            </w:r>
            <w:r w:rsidRPr="00A23740">
              <w:rPr>
                <w:rStyle w:val="KIRMIZIChar"/>
                <w:rFonts w:eastAsia="Calibri"/>
                <w:lang w:eastAsia="tr-TR"/>
              </w:rPr>
              <w:t>:</w:t>
            </w:r>
          </w:p>
          <w:p w:rsidR="003A470C" w:rsidRPr="00A23740" w:rsidRDefault="003A470C" w:rsidP="009431FF">
            <w:pPr>
              <w:rPr>
                <w:rFonts w:eastAsia="Times New Roman"/>
                <w:i/>
                <w:iCs/>
                <w:color w:val="000000"/>
                <w:szCs w:val="24"/>
                <w:lang w:eastAsia="tr-TR"/>
              </w:rPr>
            </w:pPr>
            <w:r w:rsidRPr="00A23740">
              <w:rPr>
                <w:rStyle w:val="KIRMIZIChar"/>
                <w:rFonts w:eastAsia="Calibri"/>
                <w:lang w:eastAsia="tr-TR"/>
              </w:rPr>
              <w:t>Madde 361 –</w:t>
            </w:r>
            <w:r w:rsidRPr="00A23740">
              <w:rPr>
                <w:rFonts w:eastAsia="Times New Roman"/>
                <w:b/>
                <w:bCs/>
                <w:color w:val="000000"/>
                <w:szCs w:val="24"/>
                <w:lang w:eastAsia="tr-TR"/>
              </w:rPr>
              <w:t> </w:t>
            </w:r>
            <w:r w:rsidR="00902F16" w:rsidRPr="00A23740">
              <w:rPr>
                <w:rStyle w:val="KIRMIZIChar"/>
                <w:rFonts w:eastAsia="Calibri"/>
              </w:rPr>
              <w:t>(1)</w:t>
            </w:r>
            <w:r w:rsidR="00902F16" w:rsidRPr="00A23740">
              <w:rPr>
                <w:rFonts w:eastAsia="Times New Roman"/>
                <w:b/>
                <w:bCs/>
                <w:color w:val="000000"/>
                <w:szCs w:val="24"/>
                <w:lang w:eastAsia="tr-TR"/>
              </w:rPr>
              <w:t xml:space="preserve"> </w:t>
            </w:r>
            <w:r w:rsidRPr="00A23740">
              <w:rPr>
                <w:rFonts w:eastAsia="Times New Roman"/>
                <w:color w:val="000000"/>
                <w:szCs w:val="24"/>
                <w:lang w:eastAsia="tr-TR"/>
              </w:rPr>
              <w:t xml:space="preserve">İcra dairelerince borçludan fazla para tahsil </w:t>
            </w:r>
            <w:r w:rsidRPr="00A23740">
              <w:rPr>
                <w:rStyle w:val="KIRMIZIChar"/>
                <w:rFonts w:eastAsia="Calibri"/>
              </w:rPr>
              <w:t>olunarak</w:t>
            </w:r>
            <w:r w:rsidRPr="00A23740">
              <w:rPr>
                <w:rFonts w:eastAsia="Times New Roman"/>
                <w:color w:val="000000"/>
                <w:szCs w:val="24"/>
                <w:lang w:eastAsia="tr-TR"/>
              </w:rPr>
              <w:t xml:space="preserve"> alacaklıya verildiği </w:t>
            </w:r>
            <w:r w:rsidRPr="00A23740">
              <w:rPr>
                <w:rStyle w:val="KIRMIZIChar"/>
                <w:rFonts w:eastAsia="Calibri"/>
              </w:rPr>
              <w:t>yahut</w:t>
            </w:r>
            <w:r w:rsidRPr="00A23740">
              <w:rPr>
                <w:rFonts w:eastAsia="Times New Roman"/>
                <w:color w:val="000000"/>
                <w:szCs w:val="24"/>
                <w:lang w:eastAsia="tr-TR"/>
              </w:rPr>
              <w:t xml:space="preserve"> yanlışlıkla bir tarafa para </w:t>
            </w:r>
            <w:r w:rsidRPr="00A23740">
              <w:rPr>
                <w:rStyle w:val="KIRMIZIChar"/>
                <w:rFonts w:eastAsia="Calibri"/>
              </w:rPr>
              <w:t>tediye</w:t>
            </w:r>
            <w:r w:rsidRPr="00A23740">
              <w:rPr>
                <w:rFonts w:eastAsia="Times New Roman"/>
                <w:color w:val="000000"/>
                <w:szCs w:val="24"/>
                <w:lang w:eastAsia="tr-TR"/>
              </w:rPr>
              <w:t xml:space="preserve"> </w:t>
            </w:r>
            <w:r w:rsidRPr="00A23740">
              <w:rPr>
                <w:rStyle w:val="KIRMIZIChar"/>
                <w:rFonts w:eastAsia="Calibri"/>
              </w:rPr>
              <w:t>olunduğu</w:t>
            </w:r>
            <w:r w:rsidRPr="00A23740">
              <w:rPr>
                <w:rFonts w:eastAsia="Times New Roman"/>
                <w:color w:val="000000"/>
                <w:szCs w:val="24"/>
                <w:lang w:eastAsia="tr-TR"/>
              </w:rPr>
              <w:t xml:space="preserve"> hesap </w:t>
            </w:r>
            <w:r w:rsidRPr="00A23740">
              <w:rPr>
                <w:rStyle w:val="KIRMIZIChar"/>
                <w:rFonts w:eastAsia="Calibri"/>
              </w:rPr>
              <w:t>neticesinde anlaşılırsa</w:t>
            </w:r>
            <w:r w:rsidRPr="00A23740">
              <w:rPr>
                <w:rFonts w:eastAsia="Times New Roman"/>
                <w:color w:val="000000"/>
                <w:szCs w:val="24"/>
                <w:lang w:eastAsia="tr-TR"/>
              </w:rPr>
              <w:t xml:space="preserve"> </w:t>
            </w:r>
            <w:r w:rsidRPr="00A23740">
              <w:rPr>
                <w:rStyle w:val="KIRMIZIChar"/>
                <w:rFonts w:eastAsia="Calibri"/>
              </w:rPr>
              <w:t>verilen</w:t>
            </w:r>
            <w:r w:rsidRPr="00A23740">
              <w:rPr>
                <w:rFonts w:eastAsia="Times New Roman"/>
                <w:color w:val="000000"/>
                <w:szCs w:val="24"/>
                <w:lang w:eastAsia="tr-TR"/>
              </w:rPr>
              <w:t xml:space="preserve"> para ayrıca hükme </w:t>
            </w:r>
            <w:r w:rsidRPr="00A23740">
              <w:rPr>
                <w:rStyle w:val="KIRMIZIChar"/>
                <w:rFonts w:eastAsia="Calibri"/>
              </w:rPr>
              <w:t>hacet</w:t>
            </w:r>
            <w:r w:rsidRPr="00A23740">
              <w:rPr>
                <w:rFonts w:eastAsia="Times New Roman"/>
                <w:color w:val="000000"/>
                <w:szCs w:val="24"/>
                <w:lang w:eastAsia="tr-TR"/>
              </w:rPr>
              <w:t xml:space="preserve"> kalmaksızın o </w:t>
            </w:r>
            <w:r w:rsidRPr="00A23740">
              <w:rPr>
                <w:rStyle w:val="KIRMIZIChar"/>
                <w:rFonts w:eastAsia="Calibri"/>
              </w:rPr>
              <w:t>kimseden</w:t>
            </w:r>
            <w:r w:rsidRPr="00A23740">
              <w:rPr>
                <w:rFonts w:eastAsia="Times New Roman"/>
                <w:color w:val="000000"/>
                <w:szCs w:val="24"/>
                <w:lang w:eastAsia="tr-TR"/>
              </w:rPr>
              <w:t xml:space="preserve"> geri alınır.</w:t>
            </w:r>
          </w:p>
          <w:p w:rsidR="003A470C" w:rsidRPr="00A23740" w:rsidRDefault="003A470C" w:rsidP="009431FF">
            <w:pPr>
              <w:rPr>
                <w:rFonts w:eastAsia="Times New Roman"/>
                <w:color w:val="000000"/>
                <w:szCs w:val="24"/>
                <w:lang w:eastAsia="tr-TR"/>
              </w:rPr>
            </w:pPr>
          </w:p>
          <w:p w:rsidR="00375A7A" w:rsidRPr="00A23740" w:rsidRDefault="00375A7A" w:rsidP="009431FF">
            <w:pPr>
              <w:pStyle w:val="KIRMIZI"/>
            </w:pPr>
            <w:r w:rsidRPr="00A23740">
              <w:t>Emanetler hakkında zamanaşımı</w:t>
            </w:r>
            <w:r w:rsidRPr="00A23740">
              <w:rPr>
                <w:rStyle w:val="KIRMIZIChar"/>
                <w:rFonts w:eastAsia="Calibri"/>
                <w:lang w:eastAsia="tr-TR"/>
              </w:rPr>
              <w:t>:</w:t>
            </w:r>
          </w:p>
          <w:p w:rsidR="00375A7A" w:rsidRPr="00A23740" w:rsidRDefault="00375A7A" w:rsidP="009431FF">
            <w:pPr>
              <w:rPr>
                <w:rFonts w:eastAsia="Times New Roman"/>
                <w:color w:val="000000"/>
                <w:szCs w:val="24"/>
                <w:lang w:eastAsia="tr-TR"/>
              </w:rPr>
            </w:pPr>
            <w:r w:rsidRPr="00A23740">
              <w:rPr>
                <w:rStyle w:val="KIRMIZIChar"/>
                <w:rFonts w:eastAsia="Calibri"/>
                <w:lang w:eastAsia="tr-TR"/>
              </w:rPr>
              <w:t>Madde 362 –</w:t>
            </w:r>
            <w:r w:rsidRPr="00A23740">
              <w:rPr>
                <w:rFonts w:eastAsia="Times New Roman"/>
                <w:b/>
                <w:bCs/>
                <w:color w:val="000000"/>
                <w:szCs w:val="24"/>
                <w:lang w:eastAsia="tr-TR"/>
              </w:rPr>
              <w:t> </w:t>
            </w:r>
            <w:r w:rsidR="00902F16" w:rsidRPr="00A23740">
              <w:rPr>
                <w:rStyle w:val="KIRMIZIChar"/>
                <w:rFonts w:eastAsia="Calibri"/>
              </w:rPr>
              <w:t>(1)</w:t>
            </w:r>
            <w:r w:rsidR="00902F16" w:rsidRPr="00A23740">
              <w:rPr>
                <w:rFonts w:eastAsia="Times New Roman"/>
                <w:b/>
                <w:bCs/>
                <w:color w:val="000000"/>
                <w:szCs w:val="24"/>
                <w:lang w:eastAsia="tr-TR"/>
              </w:rPr>
              <w:t xml:space="preserve"> </w:t>
            </w:r>
            <w:r w:rsidRPr="00A23740">
              <w:rPr>
                <w:rFonts w:eastAsia="Times New Roman"/>
                <w:color w:val="000000"/>
                <w:szCs w:val="24"/>
                <w:lang w:eastAsia="tr-TR"/>
              </w:rPr>
              <w:t xml:space="preserve">İcra </w:t>
            </w:r>
            <w:r w:rsidRPr="00A23740">
              <w:rPr>
                <w:rStyle w:val="KIRMIZIChar"/>
                <w:rFonts w:eastAsia="Calibri"/>
              </w:rPr>
              <w:t>veznesine</w:t>
            </w:r>
            <w:r w:rsidRPr="00A23740">
              <w:rPr>
                <w:rFonts w:eastAsia="Times New Roman"/>
                <w:color w:val="000000"/>
                <w:szCs w:val="24"/>
                <w:lang w:eastAsia="tr-TR"/>
              </w:rPr>
              <w:t xml:space="preserve"> </w:t>
            </w:r>
            <w:r w:rsidRPr="00A23740">
              <w:rPr>
                <w:rStyle w:val="KIRMIZIChar"/>
                <w:rFonts w:eastAsia="Calibri"/>
              </w:rPr>
              <w:t>tevdi yahut</w:t>
            </w:r>
            <w:r w:rsidRPr="00A23740">
              <w:rPr>
                <w:rFonts w:eastAsia="Times New Roman"/>
                <w:color w:val="000000"/>
                <w:szCs w:val="24"/>
                <w:lang w:eastAsia="tr-TR"/>
              </w:rPr>
              <w:t xml:space="preserve"> dairece tahsil olunan para veya icra </w:t>
            </w:r>
            <w:r w:rsidRPr="00A23740">
              <w:rPr>
                <w:rStyle w:val="KIRMIZIChar"/>
                <w:rFonts w:eastAsia="Calibri"/>
              </w:rPr>
              <w:t>muamelesi sebebiyle</w:t>
            </w:r>
            <w:r w:rsidRPr="00A23740">
              <w:rPr>
                <w:rFonts w:eastAsia="Times New Roman"/>
                <w:color w:val="000000"/>
                <w:szCs w:val="24"/>
                <w:lang w:eastAsia="tr-TR"/>
              </w:rPr>
              <w:t xml:space="preserve"> </w:t>
            </w:r>
            <w:r w:rsidRPr="00A23740">
              <w:rPr>
                <w:rStyle w:val="KIRMIZIChar"/>
                <w:rFonts w:eastAsia="Calibri"/>
              </w:rPr>
              <w:t>hıfzedilmekte olan</w:t>
            </w:r>
            <w:r w:rsidRPr="00A23740">
              <w:rPr>
                <w:rFonts w:eastAsia="Times New Roman"/>
                <w:color w:val="000000"/>
                <w:szCs w:val="24"/>
                <w:lang w:eastAsia="tr-TR"/>
              </w:rPr>
              <w:t xml:space="preserve"> eşya </w:t>
            </w:r>
            <w:r w:rsidRPr="00A23740">
              <w:rPr>
                <w:rStyle w:val="KIRMIZIChar"/>
                <w:rFonts w:eastAsia="Calibri"/>
              </w:rPr>
              <w:t>tevdi</w:t>
            </w:r>
            <w:r w:rsidRPr="00A23740">
              <w:rPr>
                <w:rFonts w:eastAsia="Times New Roman"/>
                <w:color w:val="000000"/>
                <w:szCs w:val="24"/>
                <w:lang w:eastAsia="tr-TR"/>
              </w:rPr>
              <w:t xml:space="preserve"> </w:t>
            </w:r>
            <w:r w:rsidRPr="00A23740">
              <w:rPr>
                <w:rStyle w:val="KIRMIZIChar"/>
                <w:rFonts w:eastAsia="Calibri"/>
              </w:rPr>
              <w:t>veya</w:t>
            </w:r>
            <w:r w:rsidRPr="00A23740">
              <w:rPr>
                <w:rFonts w:eastAsia="Times New Roman"/>
                <w:color w:val="000000"/>
                <w:szCs w:val="24"/>
                <w:lang w:eastAsia="tr-TR"/>
              </w:rPr>
              <w:t xml:space="preserve"> tahsil yahut </w:t>
            </w:r>
            <w:r w:rsidRPr="00A23740">
              <w:rPr>
                <w:rStyle w:val="KIRMIZIChar"/>
                <w:rFonts w:eastAsia="Calibri"/>
              </w:rPr>
              <w:t>hıfız</w:t>
            </w:r>
            <w:r w:rsidRPr="00A23740">
              <w:rPr>
                <w:rFonts w:eastAsia="Times New Roman"/>
                <w:color w:val="000000"/>
                <w:szCs w:val="24"/>
                <w:lang w:eastAsia="tr-TR"/>
              </w:rPr>
              <w:t xml:space="preserve"> tarihinden itibaren on </w:t>
            </w:r>
            <w:r w:rsidRPr="00A23740">
              <w:rPr>
                <w:rStyle w:val="KIRMIZIChar"/>
                <w:rFonts w:eastAsia="Calibri"/>
              </w:rPr>
              <w:t>seneye</w:t>
            </w:r>
            <w:r w:rsidRPr="00A23740">
              <w:rPr>
                <w:rFonts w:eastAsia="Times New Roman"/>
                <w:color w:val="000000"/>
                <w:szCs w:val="24"/>
                <w:lang w:eastAsia="tr-TR"/>
              </w:rPr>
              <w:t xml:space="preserve"> </w:t>
            </w:r>
            <w:r w:rsidRPr="00A23740">
              <w:rPr>
                <w:rStyle w:val="KIRMIZIChar"/>
                <w:rFonts w:eastAsia="Calibri"/>
              </w:rPr>
              <w:t>kadar</w:t>
            </w:r>
            <w:r w:rsidRPr="00A23740">
              <w:rPr>
                <w:rFonts w:eastAsia="Times New Roman"/>
                <w:color w:val="000000"/>
                <w:szCs w:val="24"/>
                <w:lang w:eastAsia="tr-TR"/>
              </w:rPr>
              <w:t xml:space="preserve"> </w:t>
            </w:r>
            <w:r w:rsidRPr="00A23740">
              <w:rPr>
                <w:rStyle w:val="KIRMIZIChar"/>
                <w:rFonts w:eastAsia="Calibri"/>
              </w:rPr>
              <w:t>alakadarları</w:t>
            </w:r>
            <w:r w:rsidRPr="00A23740">
              <w:rPr>
                <w:rFonts w:eastAsia="Times New Roman"/>
                <w:color w:val="000000"/>
                <w:szCs w:val="24"/>
                <w:lang w:eastAsia="tr-TR"/>
              </w:rPr>
              <w:t xml:space="preserve"> tarafından </w:t>
            </w:r>
            <w:r w:rsidRPr="00A23740">
              <w:rPr>
                <w:rStyle w:val="KIRMIZIChar"/>
                <w:rFonts w:eastAsia="Calibri"/>
              </w:rPr>
              <w:t>müracaat olunmazsa</w:t>
            </w:r>
            <w:r w:rsidRPr="00A23740">
              <w:rPr>
                <w:rFonts w:eastAsia="Times New Roman"/>
                <w:color w:val="000000"/>
                <w:szCs w:val="24"/>
                <w:lang w:eastAsia="tr-TR"/>
              </w:rPr>
              <w:t xml:space="preserve"> talep hakkı Hazine lehine düşer.</w:t>
            </w:r>
          </w:p>
          <w:p w:rsidR="001E132C" w:rsidRPr="00A23740" w:rsidRDefault="001E132C" w:rsidP="009431FF">
            <w:pPr>
              <w:jc w:val="center"/>
              <w:rPr>
                <w:b/>
                <w:szCs w:val="24"/>
              </w:rPr>
            </w:pPr>
          </w:p>
        </w:tc>
        <w:tc>
          <w:tcPr>
            <w:tcW w:w="2500" w:type="pct"/>
            <w:shd w:val="clear" w:color="auto" w:fill="auto"/>
          </w:tcPr>
          <w:p w:rsidR="001E132C" w:rsidRPr="00A23740" w:rsidRDefault="001E132C" w:rsidP="009431FF">
            <w:pPr>
              <w:tabs>
                <w:tab w:val="left" w:pos="566"/>
              </w:tabs>
              <w:rPr>
                <w:rStyle w:val="MAVChar"/>
                <w:rFonts w:eastAsia="Calibri"/>
                <w:b w:val="0"/>
                <w:u w:val="none"/>
              </w:rPr>
            </w:pPr>
            <w:r w:rsidRPr="00A23740">
              <w:rPr>
                <w:rFonts w:eastAsia="Times New Roman"/>
                <w:b/>
                <w:iCs/>
                <w:color w:val="000000"/>
                <w:szCs w:val="24"/>
                <w:lang w:eastAsia="tr-TR"/>
              </w:rPr>
              <w:lastRenderedPageBreak/>
              <w:t>Paranın ödenmesi ve değerli eşyanın muhafazası</w:t>
            </w:r>
            <w:r w:rsidRPr="00A23740">
              <w:rPr>
                <w:rStyle w:val="MAVChar"/>
                <w:rFonts w:eastAsia="Calibri"/>
                <w:b w:val="0"/>
                <w:u w:val="none"/>
              </w:rPr>
              <w:t xml:space="preserve"> </w:t>
            </w:r>
          </w:p>
          <w:p w:rsidR="001E132C" w:rsidRPr="00A23740" w:rsidRDefault="00F92A99" w:rsidP="009431FF">
            <w:pPr>
              <w:tabs>
                <w:tab w:val="left" w:pos="566"/>
              </w:tabs>
              <w:rPr>
                <w:rFonts w:eastAsia="ヒラギノ明朝 Pro W3"/>
                <w:szCs w:val="24"/>
              </w:rPr>
            </w:pPr>
            <w:r w:rsidRPr="00A23740">
              <w:rPr>
                <w:rStyle w:val="MaviChar"/>
              </w:rPr>
              <w:t>MADDE 11</w:t>
            </w:r>
            <w:r w:rsidR="001E132C" w:rsidRPr="00A23740">
              <w:rPr>
                <w:rStyle w:val="MaviChar"/>
              </w:rPr>
              <w:t>- (1)</w:t>
            </w:r>
            <w:r w:rsidR="001E132C" w:rsidRPr="00A23740">
              <w:rPr>
                <w:b/>
                <w:szCs w:val="24"/>
              </w:rPr>
              <w:t xml:space="preserve"> </w:t>
            </w:r>
            <w:r w:rsidR="001E132C" w:rsidRPr="00A23740">
              <w:rPr>
                <w:rFonts w:eastAsia="ヒラギノ明朝 Pro W3"/>
                <w:szCs w:val="24"/>
              </w:rPr>
              <w:t>İcra ve iflas dairelerine yapılacak her türlü nakdî ödeme, Adalet Bakanlığı tarafından uygun görülecek bankalarda icra ve iflas daire</w:t>
            </w:r>
            <w:r w:rsidR="009A0E21" w:rsidRPr="00A23740">
              <w:rPr>
                <w:rFonts w:eastAsia="ヒラギノ明朝 Pro W3"/>
                <w:szCs w:val="24"/>
              </w:rPr>
              <w:t>si adına açılan hesaba yapılır.</w:t>
            </w:r>
          </w:p>
          <w:p w:rsidR="001E132C" w:rsidRPr="00A23740" w:rsidRDefault="001E132C" w:rsidP="009431FF">
            <w:pPr>
              <w:tabs>
                <w:tab w:val="left" w:pos="566"/>
              </w:tabs>
              <w:rPr>
                <w:rFonts w:eastAsia="ヒラギノ明朝 Pro W3"/>
                <w:szCs w:val="24"/>
              </w:rPr>
            </w:pPr>
          </w:p>
          <w:p w:rsidR="001E132C" w:rsidRPr="00A23740" w:rsidRDefault="001E132C" w:rsidP="009431FF">
            <w:pPr>
              <w:tabs>
                <w:tab w:val="left" w:pos="566"/>
              </w:tabs>
              <w:rPr>
                <w:rFonts w:eastAsia="ヒラギノ明朝 Pro W3"/>
                <w:szCs w:val="24"/>
              </w:rPr>
            </w:pPr>
          </w:p>
          <w:p w:rsidR="001E132C" w:rsidRPr="00A23740" w:rsidRDefault="001E132C" w:rsidP="009431FF">
            <w:pPr>
              <w:tabs>
                <w:tab w:val="left" w:pos="566"/>
              </w:tabs>
              <w:rPr>
                <w:rFonts w:eastAsia="ヒラギノ明朝 Pro W3"/>
                <w:szCs w:val="24"/>
              </w:rPr>
            </w:pPr>
            <w:r w:rsidRPr="00A23740">
              <w:rPr>
                <w:rStyle w:val="MaviChar"/>
                <w:lang w:val="tr-TR"/>
              </w:rPr>
              <w:t>(2)</w:t>
            </w:r>
            <w:r w:rsidRPr="00A23740">
              <w:rPr>
                <w:rStyle w:val="MaviChar"/>
              </w:rPr>
              <w:t xml:space="preserve"> </w:t>
            </w:r>
            <w:r w:rsidRPr="00A23740">
              <w:rPr>
                <w:rFonts w:eastAsia="ヒラギノ明朝 Pro W3"/>
                <w:szCs w:val="24"/>
              </w:rPr>
              <w:t>Haciz sırasında, borçlu veya üçüncü kişiler tarafından yapılan ödeme nedeniyle tahsil edilen para icra</w:t>
            </w:r>
            <w:r w:rsidR="001553C3" w:rsidRPr="00A23740">
              <w:rPr>
                <w:rFonts w:eastAsia="ヒラギノ明朝 Pro W3"/>
                <w:szCs w:val="24"/>
              </w:rPr>
              <w:t xml:space="preserve"> </w:t>
            </w:r>
            <w:r w:rsidR="00DC6449" w:rsidRPr="00A23740">
              <w:rPr>
                <w:rStyle w:val="MaviChar"/>
              </w:rPr>
              <w:t>ve</w:t>
            </w:r>
            <w:r w:rsidR="00DC6449" w:rsidRPr="00A23740">
              <w:rPr>
                <w:rStyle w:val="MaviChar"/>
                <w:lang w:val="tr-TR"/>
              </w:rPr>
              <w:t xml:space="preserve"> </w:t>
            </w:r>
            <w:r w:rsidR="001553C3" w:rsidRPr="00A23740">
              <w:rPr>
                <w:rStyle w:val="MaviChar"/>
              </w:rPr>
              <w:t>iflas dairesi</w:t>
            </w:r>
            <w:r w:rsidRPr="00A23740">
              <w:rPr>
                <w:rFonts w:eastAsia="ヒラギノ明朝 Pro W3"/>
                <w:szCs w:val="24"/>
              </w:rPr>
              <w:t xml:space="preserve"> </w:t>
            </w:r>
            <w:r w:rsidR="000703D1" w:rsidRPr="00A23740">
              <w:rPr>
                <w:rStyle w:val="MaviChar"/>
              </w:rPr>
              <w:t>ya da</w:t>
            </w:r>
            <w:r w:rsidR="000703D1" w:rsidRPr="00A23740">
              <w:rPr>
                <w:rFonts w:eastAsia="ヒラギノ明朝 Pro W3"/>
                <w:szCs w:val="24"/>
              </w:rPr>
              <w:t xml:space="preserve"> </w:t>
            </w:r>
            <w:r w:rsidRPr="00A23740">
              <w:rPr>
                <w:rFonts w:eastAsia="ヒラギノ明朝 Pro W3"/>
                <w:szCs w:val="24"/>
              </w:rPr>
              <w:t xml:space="preserve">mahkeme kasalarında muhafaza edilir. </w:t>
            </w:r>
            <w:r w:rsidRPr="00A23740">
              <w:rPr>
                <w:rStyle w:val="MaviChar"/>
                <w:lang w:val="tr-TR"/>
              </w:rPr>
              <w:t>Bu para</w:t>
            </w:r>
            <w:r w:rsidRPr="00A23740">
              <w:rPr>
                <w:rFonts w:eastAsia="ヒラギノ明朝 Pro W3"/>
                <w:szCs w:val="24"/>
              </w:rPr>
              <w:t xml:space="preserve"> en geç tahsilatın yapıldığı günü takip eden ilk iş günü çalışma saati sonuna kadar banka hesabına yatırılır.</w:t>
            </w:r>
          </w:p>
          <w:p w:rsidR="001E132C" w:rsidRPr="00A23740" w:rsidRDefault="001E132C" w:rsidP="009431FF">
            <w:pPr>
              <w:tabs>
                <w:tab w:val="left" w:pos="566"/>
              </w:tabs>
              <w:rPr>
                <w:rStyle w:val="MaviChar"/>
                <w:lang w:val="tr-TR"/>
              </w:rPr>
            </w:pPr>
          </w:p>
          <w:p w:rsidR="001E132C" w:rsidRPr="00A23740" w:rsidRDefault="001E132C" w:rsidP="009431FF">
            <w:pPr>
              <w:tabs>
                <w:tab w:val="left" w:pos="566"/>
              </w:tabs>
              <w:rPr>
                <w:rFonts w:eastAsia="ヒラギノ明朝 Pro W3"/>
                <w:szCs w:val="24"/>
              </w:rPr>
            </w:pPr>
            <w:r w:rsidRPr="00A23740">
              <w:rPr>
                <w:rStyle w:val="MaviChar"/>
              </w:rPr>
              <w:lastRenderedPageBreak/>
              <w:t>(3)</w:t>
            </w:r>
            <w:r w:rsidRPr="00A23740">
              <w:rPr>
                <w:rFonts w:eastAsia="ヒラギノ明朝 Pro W3"/>
                <w:szCs w:val="24"/>
              </w:rPr>
              <w:t xml:space="preserve"> İcra ve iflas dairelerince </w:t>
            </w:r>
            <w:r w:rsidRPr="00A23740">
              <w:t>yapılması</w:t>
            </w:r>
            <w:r w:rsidRPr="00A23740">
              <w:rPr>
                <w:rFonts w:eastAsia="ヒラギノ明朝 Pro W3"/>
                <w:szCs w:val="24"/>
              </w:rPr>
              <w:t xml:space="preserve"> gereken her türlü nakdî ödeme, ilgilisinin gösterdiği banka hesabına aktarılmak üzere, icra</w:t>
            </w:r>
            <w:r w:rsidR="000703D1" w:rsidRPr="00A23740">
              <w:rPr>
                <w:rFonts w:eastAsia="ヒラギノ明朝 Pro W3"/>
                <w:szCs w:val="24"/>
              </w:rPr>
              <w:t xml:space="preserve"> </w:t>
            </w:r>
            <w:r w:rsidR="003927BA" w:rsidRPr="00A23740">
              <w:rPr>
                <w:rStyle w:val="MaviChar"/>
              </w:rPr>
              <w:t>ve</w:t>
            </w:r>
            <w:r w:rsidR="003927BA" w:rsidRPr="00A23740">
              <w:rPr>
                <w:rFonts w:eastAsia="ヒラギノ明朝 Pro W3"/>
                <w:color w:val="70AD47"/>
                <w:szCs w:val="24"/>
              </w:rPr>
              <w:t xml:space="preserve"> </w:t>
            </w:r>
            <w:r w:rsidR="000703D1" w:rsidRPr="00A23740">
              <w:rPr>
                <w:rStyle w:val="MaviChar"/>
              </w:rPr>
              <w:t>iflas</w:t>
            </w:r>
            <w:r w:rsidRPr="00A23740">
              <w:rPr>
                <w:rFonts w:eastAsia="ヒラギノ明朝 Pro W3"/>
                <w:szCs w:val="24"/>
              </w:rPr>
              <w:t xml:space="preserve"> müdürü tarafından resen bankaya verilecek talimat gereği yapılır. Talimat, paranın icra ve iflas dairesi hesabına yatırılmasını takip eden en geç üç iş günü </w:t>
            </w:r>
            <w:r w:rsidR="001479B2" w:rsidRPr="00A23740">
              <w:rPr>
                <w:rStyle w:val="MaviChar"/>
              </w:rPr>
              <w:t>içinde</w:t>
            </w:r>
            <w:r w:rsidR="001479B2" w:rsidRPr="00A23740">
              <w:rPr>
                <w:rFonts w:eastAsia="ヒラギノ明朝 Pro W3"/>
                <w:szCs w:val="24"/>
              </w:rPr>
              <w:t xml:space="preserve"> </w:t>
            </w:r>
            <w:r w:rsidRPr="00A23740">
              <w:rPr>
                <w:rFonts w:eastAsia="ヒラギノ明朝 Pro W3"/>
                <w:szCs w:val="24"/>
              </w:rPr>
              <w:t>verilir.</w:t>
            </w:r>
          </w:p>
          <w:p w:rsidR="001E132C" w:rsidRPr="00A23740" w:rsidRDefault="001E132C" w:rsidP="009431FF">
            <w:pPr>
              <w:tabs>
                <w:tab w:val="left" w:pos="566"/>
              </w:tabs>
              <w:rPr>
                <w:rFonts w:eastAsia="ヒラギノ明朝 Pro W3"/>
                <w:szCs w:val="24"/>
              </w:rPr>
            </w:pPr>
          </w:p>
          <w:p w:rsidR="001E132C" w:rsidRPr="00A23740" w:rsidRDefault="001E132C" w:rsidP="009431FF">
            <w:pPr>
              <w:tabs>
                <w:tab w:val="left" w:pos="566"/>
              </w:tabs>
              <w:rPr>
                <w:rFonts w:eastAsia="ヒラギノ明朝 Pro W3"/>
                <w:szCs w:val="24"/>
              </w:rPr>
            </w:pPr>
            <w:r w:rsidRPr="00A23740">
              <w:rPr>
                <w:rStyle w:val="MaviChar"/>
              </w:rPr>
              <w:t>(4)</w:t>
            </w:r>
            <w:r w:rsidRPr="00A23740">
              <w:rPr>
                <w:rFonts w:eastAsia="ヒラギノ明朝 Pro W3"/>
                <w:szCs w:val="24"/>
              </w:rPr>
              <w:t xml:space="preserve"> İcra ve iflas daireleri</w:t>
            </w:r>
            <w:r w:rsidR="00375A7A" w:rsidRPr="00A23740">
              <w:rPr>
                <w:rStyle w:val="MaviChar"/>
              </w:rPr>
              <w:t>,</w:t>
            </w:r>
            <w:r w:rsidRPr="00A23740">
              <w:rPr>
                <w:rFonts w:eastAsia="ヒラギノ明朝 Pro W3"/>
                <w:szCs w:val="24"/>
              </w:rPr>
              <w:t xml:space="preserve"> aldıkları kıymetli evrak ve değerli şeyleri kasalarında, zorunlu hâllerde ise kiralanacak banka kasalarında muhafaza eder.</w:t>
            </w:r>
          </w:p>
          <w:p w:rsidR="001E132C" w:rsidRPr="00A23740" w:rsidRDefault="001E132C" w:rsidP="009431FF">
            <w:pPr>
              <w:tabs>
                <w:tab w:val="left" w:pos="566"/>
              </w:tabs>
              <w:rPr>
                <w:b/>
                <w:szCs w:val="24"/>
              </w:rPr>
            </w:pPr>
          </w:p>
          <w:p w:rsidR="003A470C" w:rsidRPr="00A23740" w:rsidRDefault="003A470C" w:rsidP="009431FF">
            <w:pPr>
              <w:tabs>
                <w:tab w:val="left" w:pos="566"/>
              </w:tabs>
              <w:rPr>
                <w:b/>
                <w:szCs w:val="24"/>
              </w:rPr>
            </w:pPr>
          </w:p>
          <w:p w:rsidR="003A470C" w:rsidRPr="00A23740" w:rsidRDefault="003A470C" w:rsidP="009431FF">
            <w:pPr>
              <w:tabs>
                <w:tab w:val="left" w:pos="566"/>
              </w:tabs>
              <w:rPr>
                <w:rFonts w:eastAsia="Times New Roman"/>
                <w:color w:val="000000"/>
                <w:szCs w:val="24"/>
                <w:lang w:eastAsia="tr-TR"/>
              </w:rPr>
            </w:pPr>
            <w:r w:rsidRPr="00A23740">
              <w:rPr>
                <w:rStyle w:val="MaviChar"/>
              </w:rPr>
              <w:t>(5)</w:t>
            </w:r>
            <w:r w:rsidRPr="00A23740">
              <w:rPr>
                <w:rFonts w:eastAsia="Times New Roman"/>
                <w:color w:val="000000"/>
                <w:szCs w:val="24"/>
                <w:lang w:eastAsia="tr-TR"/>
              </w:rPr>
              <w:t xml:space="preserve"> İcra </w:t>
            </w:r>
            <w:r w:rsidR="003927BA" w:rsidRPr="00A23740">
              <w:rPr>
                <w:rStyle w:val="MaviChar"/>
              </w:rPr>
              <w:t>ve iflas</w:t>
            </w:r>
            <w:r w:rsidR="003927BA" w:rsidRPr="00A23740">
              <w:rPr>
                <w:rFonts w:eastAsia="Times New Roman"/>
                <w:color w:val="000000"/>
                <w:szCs w:val="24"/>
                <w:lang w:eastAsia="tr-TR"/>
              </w:rPr>
              <w:t xml:space="preserve"> </w:t>
            </w:r>
            <w:r w:rsidRPr="00A23740">
              <w:rPr>
                <w:rFonts w:eastAsia="Times New Roman"/>
                <w:color w:val="000000"/>
                <w:szCs w:val="24"/>
                <w:lang w:eastAsia="tr-TR"/>
              </w:rPr>
              <w:t xml:space="preserve">dairelerince borçludan fazla para tahsil </w:t>
            </w:r>
            <w:r w:rsidRPr="00A23740">
              <w:rPr>
                <w:rStyle w:val="MaviChar"/>
              </w:rPr>
              <w:t>edilerek</w:t>
            </w:r>
            <w:r w:rsidRPr="00A23740">
              <w:rPr>
                <w:rFonts w:eastAsia="Times New Roman"/>
                <w:color w:val="000000"/>
                <w:szCs w:val="24"/>
                <w:lang w:eastAsia="tr-TR"/>
              </w:rPr>
              <w:t xml:space="preserve"> alacaklıya verildiği </w:t>
            </w:r>
            <w:r w:rsidRPr="00A23740">
              <w:rPr>
                <w:rStyle w:val="MaviChar"/>
              </w:rPr>
              <w:t>veya</w:t>
            </w:r>
            <w:r w:rsidRPr="00A23740">
              <w:rPr>
                <w:rFonts w:eastAsia="Times New Roman"/>
                <w:color w:val="000000"/>
                <w:szCs w:val="24"/>
                <w:lang w:eastAsia="tr-TR"/>
              </w:rPr>
              <w:t xml:space="preserve"> bir tarafa yanlışlıkla para </w:t>
            </w:r>
            <w:r w:rsidRPr="00A23740">
              <w:rPr>
                <w:rStyle w:val="MaviChar"/>
              </w:rPr>
              <w:t>ödendiği</w:t>
            </w:r>
            <w:r w:rsidRPr="00A23740">
              <w:rPr>
                <w:rFonts w:eastAsia="Times New Roman"/>
                <w:color w:val="000000"/>
                <w:szCs w:val="24"/>
                <w:lang w:eastAsia="tr-TR"/>
              </w:rPr>
              <w:t xml:space="preserve"> </w:t>
            </w:r>
            <w:r w:rsidRPr="00A23740">
              <w:rPr>
                <w:rStyle w:val="MaviChar"/>
              </w:rPr>
              <w:t xml:space="preserve">sonradan </w:t>
            </w:r>
            <w:r w:rsidRPr="00A23740">
              <w:rPr>
                <w:rStyle w:val="MaviChar"/>
                <w:lang w:val="tr-TR"/>
              </w:rPr>
              <w:t>tespit edilirse</w:t>
            </w:r>
            <w:r w:rsidR="009D7151" w:rsidRPr="00A23740">
              <w:rPr>
                <w:rStyle w:val="MaviChar"/>
                <w:lang w:val="tr-TR"/>
              </w:rPr>
              <w:t>,</w:t>
            </w:r>
            <w:r w:rsidRPr="00A23740">
              <w:rPr>
                <w:rFonts w:eastAsia="Times New Roman"/>
                <w:color w:val="000000"/>
                <w:szCs w:val="24"/>
                <w:lang w:eastAsia="tr-TR"/>
              </w:rPr>
              <w:t xml:space="preserve"> </w:t>
            </w:r>
            <w:r w:rsidRPr="00A23740">
              <w:rPr>
                <w:rStyle w:val="MaviChar"/>
              </w:rPr>
              <w:t>ödenen</w:t>
            </w:r>
            <w:r w:rsidRPr="00A23740">
              <w:rPr>
                <w:rFonts w:eastAsia="Times New Roman"/>
                <w:color w:val="000000"/>
                <w:szCs w:val="24"/>
                <w:lang w:eastAsia="tr-TR"/>
              </w:rPr>
              <w:t xml:space="preserve"> para ayrıca hükme </w:t>
            </w:r>
            <w:r w:rsidRPr="00A23740">
              <w:rPr>
                <w:rStyle w:val="MaviChar"/>
              </w:rPr>
              <w:t>gerek</w:t>
            </w:r>
            <w:r w:rsidRPr="00A23740">
              <w:rPr>
                <w:rFonts w:eastAsia="Times New Roman"/>
                <w:color w:val="000000"/>
                <w:szCs w:val="24"/>
                <w:lang w:eastAsia="tr-TR"/>
              </w:rPr>
              <w:t xml:space="preserve"> kalmaksızın o </w:t>
            </w:r>
            <w:r w:rsidRPr="00A23740">
              <w:rPr>
                <w:rStyle w:val="MaviChar"/>
              </w:rPr>
              <w:t>kişiden</w:t>
            </w:r>
            <w:r w:rsidRPr="00A23740">
              <w:rPr>
                <w:rFonts w:eastAsia="Times New Roman"/>
                <w:color w:val="000000"/>
                <w:szCs w:val="24"/>
                <w:lang w:eastAsia="tr-TR"/>
              </w:rPr>
              <w:t xml:space="preserve"> geri alınır.</w:t>
            </w:r>
          </w:p>
          <w:p w:rsidR="00375A7A" w:rsidRPr="00A23740" w:rsidRDefault="00375A7A" w:rsidP="009431FF">
            <w:pPr>
              <w:tabs>
                <w:tab w:val="left" w:pos="566"/>
              </w:tabs>
              <w:rPr>
                <w:rFonts w:eastAsia="Times New Roman"/>
                <w:color w:val="000000"/>
                <w:szCs w:val="24"/>
                <w:lang w:eastAsia="tr-TR"/>
              </w:rPr>
            </w:pPr>
          </w:p>
          <w:p w:rsidR="00375A7A" w:rsidRPr="00A23740" w:rsidRDefault="00375A7A" w:rsidP="009431FF">
            <w:pPr>
              <w:tabs>
                <w:tab w:val="left" w:pos="566"/>
              </w:tabs>
              <w:rPr>
                <w:rFonts w:eastAsia="Times New Roman"/>
                <w:color w:val="000000"/>
                <w:szCs w:val="24"/>
                <w:lang w:eastAsia="tr-TR"/>
              </w:rPr>
            </w:pPr>
          </w:p>
          <w:p w:rsidR="0084209F" w:rsidRPr="00A23740" w:rsidRDefault="001479B2" w:rsidP="009431FF">
            <w:pPr>
              <w:tabs>
                <w:tab w:val="left" w:pos="566"/>
              </w:tabs>
              <w:rPr>
                <w:rStyle w:val="MaviChar"/>
              </w:rPr>
            </w:pPr>
            <w:r w:rsidRPr="00A23740">
              <w:rPr>
                <w:rStyle w:val="MaviChar"/>
              </w:rPr>
              <w:t>(6)</w:t>
            </w:r>
            <w:r w:rsidRPr="00A23740">
              <w:rPr>
                <w:rFonts w:eastAsia="Times New Roman"/>
                <w:color w:val="000000"/>
                <w:szCs w:val="24"/>
                <w:lang w:eastAsia="tr-TR"/>
              </w:rPr>
              <w:t xml:space="preserve"> İcra </w:t>
            </w:r>
            <w:r w:rsidR="003927BA" w:rsidRPr="00A23740">
              <w:rPr>
                <w:rStyle w:val="MaviChar"/>
              </w:rPr>
              <w:t>ve</w:t>
            </w:r>
            <w:r w:rsidR="003927BA" w:rsidRPr="00A23740">
              <w:rPr>
                <w:rStyle w:val="MaviChar"/>
                <w:b w:val="0"/>
                <w:bCs w:val="0"/>
              </w:rPr>
              <w:t xml:space="preserve"> </w:t>
            </w:r>
            <w:r w:rsidR="003927BA" w:rsidRPr="00A23740">
              <w:rPr>
                <w:rStyle w:val="MaviChar"/>
              </w:rPr>
              <w:t>iflas</w:t>
            </w:r>
            <w:r w:rsidR="003927BA" w:rsidRPr="00A23740">
              <w:rPr>
                <w:rFonts w:eastAsia="Times New Roman"/>
                <w:color w:val="70AD47"/>
                <w:szCs w:val="24"/>
                <w:lang w:eastAsia="tr-TR"/>
              </w:rPr>
              <w:t xml:space="preserve"> </w:t>
            </w:r>
            <w:r w:rsidRPr="00A23740">
              <w:rPr>
                <w:rStyle w:val="MaviChar"/>
              </w:rPr>
              <w:t>dairesine</w:t>
            </w:r>
            <w:r w:rsidRPr="00A23740">
              <w:rPr>
                <w:rFonts w:eastAsia="Times New Roman"/>
                <w:color w:val="000000"/>
                <w:szCs w:val="24"/>
                <w:lang w:eastAsia="tr-TR"/>
              </w:rPr>
              <w:t xml:space="preserve"> </w:t>
            </w:r>
            <w:r w:rsidRPr="00A23740">
              <w:rPr>
                <w:rStyle w:val="MaviChar"/>
              </w:rPr>
              <w:t>teslim veya</w:t>
            </w:r>
            <w:r w:rsidRPr="00A23740">
              <w:rPr>
                <w:rFonts w:eastAsia="Times New Roman"/>
                <w:color w:val="000000"/>
                <w:szCs w:val="24"/>
                <w:lang w:eastAsia="tr-TR"/>
              </w:rPr>
              <w:t xml:space="preserve"> dairece tahsil olunan para veya icra </w:t>
            </w:r>
            <w:r w:rsidRPr="00A23740">
              <w:rPr>
                <w:rStyle w:val="MaviChar"/>
              </w:rPr>
              <w:t>işlemi nedeniyle</w:t>
            </w:r>
            <w:r w:rsidRPr="00A23740">
              <w:rPr>
                <w:rFonts w:eastAsia="Times New Roman"/>
                <w:color w:val="000000"/>
                <w:szCs w:val="24"/>
                <w:lang w:eastAsia="tr-TR"/>
              </w:rPr>
              <w:t xml:space="preserve"> </w:t>
            </w:r>
            <w:r w:rsidRPr="00A23740">
              <w:rPr>
                <w:rStyle w:val="MaviChar"/>
              </w:rPr>
              <w:t>muhafaza edilen</w:t>
            </w:r>
            <w:r w:rsidRPr="00A23740">
              <w:rPr>
                <w:rFonts w:eastAsia="Times New Roman"/>
                <w:color w:val="000000"/>
                <w:szCs w:val="24"/>
                <w:lang w:eastAsia="tr-TR"/>
              </w:rPr>
              <w:t xml:space="preserve"> eşya </w:t>
            </w:r>
            <w:r w:rsidRPr="00A23740">
              <w:rPr>
                <w:rStyle w:val="MaviChar"/>
              </w:rPr>
              <w:t>üzerinde hak sahibi olanların bu para veya eşya ile ilgili talep hakkı</w:t>
            </w:r>
            <w:r w:rsidR="004C2BF1" w:rsidRPr="00A23740">
              <w:rPr>
                <w:rStyle w:val="MaviChar"/>
                <w:lang w:val="tr-TR"/>
              </w:rPr>
              <w:t>,</w:t>
            </w:r>
            <w:r w:rsidRPr="00A23740">
              <w:rPr>
                <w:rStyle w:val="MaviChar"/>
              </w:rPr>
              <w:t xml:space="preserve"> teslim</w:t>
            </w:r>
            <w:r w:rsidRPr="00A23740">
              <w:rPr>
                <w:rStyle w:val="MaviChar"/>
                <w:lang w:val="tr-TR"/>
              </w:rPr>
              <w:t>,</w:t>
            </w:r>
            <w:r w:rsidRPr="00A23740">
              <w:rPr>
                <w:rFonts w:eastAsia="Times New Roman"/>
                <w:color w:val="000000"/>
                <w:szCs w:val="24"/>
                <w:lang w:eastAsia="tr-TR"/>
              </w:rPr>
              <w:t xml:space="preserve"> tahsil </w:t>
            </w:r>
            <w:r w:rsidR="004C2BF1" w:rsidRPr="00A23740">
              <w:rPr>
                <w:rStyle w:val="MaviChar"/>
              </w:rPr>
              <w:t>veya</w:t>
            </w:r>
            <w:r w:rsidR="004C2BF1" w:rsidRPr="00A23740">
              <w:rPr>
                <w:rFonts w:eastAsia="Times New Roman"/>
                <w:color w:val="000000"/>
                <w:szCs w:val="24"/>
                <w:lang w:eastAsia="tr-TR"/>
              </w:rPr>
              <w:t xml:space="preserve"> </w:t>
            </w:r>
            <w:r w:rsidRPr="00A23740">
              <w:rPr>
                <w:rStyle w:val="MaviChar"/>
              </w:rPr>
              <w:t>muhafaza</w:t>
            </w:r>
            <w:r w:rsidRPr="00A23740">
              <w:rPr>
                <w:rFonts w:eastAsia="Times New Roman"/>
                <w:color w:val="000000"/>
                <w:szCs w:val="24"/>
                <w:lang w:eastAsia="tr-TR"/>
              </w:rPr>
              <w:t xml:space="preserve"> tarihinden itibaren on </w:t>
            </w:r>
            <w:r w:rsidRPr="00A23740">
              <w:rPr>
                <w:rStyle w:val="MaviChar"/>
              </w:rPr>
              <w:t>yıl içinde</w:t>
            </w:r>
            <w:r w:rsidRPr="00A23740">
              <w:rPr>
                <w:rFonts w:eastAsia="Times New Roman"/>
                <w:color w:val="000000"/>
                <w:szCs w:val="24"/>
                <w:lang w:eastAsia="tr-TR"/>
              </w:rPr>
              <w:t xml:space="preserve"> </w:t>
            </w:r>
            <w:r w:rsidRPr="00A23740">
              <w:rPr>
                <w:rStyle w:val="MaviChar"/>
              </w:rPr>
              <w:t>ilgilileri</w:t>
            </w:r>
            <w:r w:rsidRPr="00A23740">
              <w:rPr>
                <w:rFonts w:eastAsia="Times New Roman"/>
                <w:color w:val="000000"/>
                <w:szCs w:val="24"/>
                <w:lang w:eastAsia="tr-TR"/>
              </w:rPr>
              <w:t xml:space="preserve"> tarafından </w:t>
            </w:r>
            <w:r w:rsidRPr="00A23740">
              <w:rPr>
                <w:rStyle w:val="MaviChar"/>
              </w:rPr>
              <w:t>başvurulmazsa</w:t>
            </w:r>
            <w:r w:rsidRPr="00A23740">
              <w:rPr>
                <w:rFonts w:eastAsia="Times New Roman"/>
                <w:color w:val="000000"/>
                <w:szCs w:val="24"/>
                <w:lang w:eastAsia="tr-TR"/>
              </w:rPr>
              <w:t xml:space="preserve"> düşer. </w:t>
            </w:r>
            <w:r w:rsidRPr="00A23740">
              <w:rPr>
                <w:rStyle w:val="MaviChar"/>
              </w:rPr>
              <w:t>Bu</w:t>
            </w:r>
            <w:r w:rsidR="00653949" w:rsidRPr="00A23740">
              <w:rPr>
                <w:rStyle w:val="MaviChar"/>
                <w:lang w:val="tr-TR"/>
              </w:rPr>
              <w:t xml:space="preserve"> sürenin sonunda</w:t>
            </w:r>
            <w:r w:rsidRPr="00A23740">
              <w:rPr>
                <w:rStyle w:val="MaviChar"/>
              </w:rPr>
              <w:t xml:space="preserve"> para ve eşya</w:t>
            </w:r>
            <w:r w:rsidR="00653949" w:rsidRPr="00A23740">
              <w:rPr>
                <w:rStyle w:val="MaviChar"/>
                <w:lang w:val="tr-TR"/>
              </w:rPr>
              <w:t>nın mülkiyeti</w:t>
            </w:r>
            <w:r w:rsidR="00653949" w:rsidRPr="00A23740">
              <w:rPr>
                <w:rStyle w:val="MaviChar"/>
              </w:rPr>
              <w:t xml:space="preserve"> Hazineye </w:t>
            </w:r>
            <w:r w:rsidRPr="00A23740">
              <w:rPr>
                <w:rStyle w:val="MaviChar"/>
              </w:rPr>
              <w:t>geçer.</w:t>
            </w:r>
          </w:p>
          <w:p w:rsidR="00854405" w:rsidRPr="00A23740" w:rsidRDefault="00854405" w:rsidP="009431FF">
            <w:pPr>
              <w:tabs>
                <w:tab w:val="left" w:pos="566"/>
              </w:tabs>
              <w:rPr>
                <w:rFonts w:eastAsia="Times New Roman"/>
                <w:color w:val="000000"/>
                <w:szCs w:val="24"/>
                <w:lang w:eastAsia="tr-TR"/>
              </w:rPr>
            </w:pPr>
          </w:p>
        </w:tc>
      </w:tr>
      <w:tr w:rsidR="006251FB" w:rsidRPr="00A23740" w:rsidTr="009431FF">
        <w:tc>
          <w:tcPr>
            <w:tcW w:w="5000" w:type="pct"/>
            <w:gridSpan w:val="2"/>
            <w:shd w:val="clear" w:color="auto" w:fill="DEEAF6"/>
          </w:tcPr>
          <w:p w:rsidR="00902F16" w:rsidRPr="00A23740" w:rsidRDefault="00902F16" w:rsidP="009431FF">
            <w:pPr>
              <w:tabs>
                <w:tab w:val="left" w:pos="566"/>
              </w:tabs>
              <w:rPr>
                <w:b/>
                <w:bCs/>
                <w:szCs w:val="24"/>
                <w:lang w:eastAsia="x-none"/>
              </w:rPr>
            </w:pPr>
          </w:p>
          <w:p w:rsidR="00902F16" w:rsidRPr="00A23740" w:rsidRDefault="00692AA4" w:rsidP="009431FF">
            <w:pPr>
              <w:tabs>
                <w:tab w:val="left" w:pos="566"/>
              </w:tabs>
              <w:ind w:firstLine="709"/>
              <w:rPr>
                <w:rStyle w:val="MAVChar"/>
                <w:rFonts w:eastAsia="Calibri"/>
                <w:b w:val="0"/>
                <w:u w:val="none"/>
              </w:rPr>
            </w:pPr>
            <w:r w:rsidRPr="00A23740">
              <w:rPr>
                <w:b/>
              </w:rPr>
              <w:t>MADDE 11</w:t>
            </w:r>
            <w:r w:rsidR="006251FB" w:rsidRPr="00A23740">
              <w:t>-</w:t>
            </w:r>
            <w:r w:rsidR="006251FB" w:rsidRPr="00A23740">
              <w:rPr>
                <w:b/>
              </w:rPr>
              <w:t xml:space="preserve"> </w:t>
            </w:r>
            <w:r w:rsidR="006251FB" w:rsidRPr="00A23740">
              <w:t xml:space="preserve">Maddeyle, </w:t>
            </w:r>
            <w:r w:rsidR="00902F16" w:rsidRPr="00A23740">
              <w:rPr>
                <w:rFonts w:eastAsia="Times New Roman"/>
                <w:iCs/>
                <w:color w:val="000000"/>
                <w:szCs w:val="24"/>
                <w:lang w:eastAsia="tr-TR"/>
              </w:rPr>
              <w:t xml:space="preserve">paranın ödenmesi ve değerli eşyanın </w:t>
            </w:r>
            <w:r w:rsidR="00902F16" w:rsidRPr="00A23740">
              <w:rPr>
                <w:rFonts w:eastAsia="Times New Roman"/>
                <w:iCs/>
                <w:szCs w:val="24"/>
                <w:lang w:eastAsia="tr-TR"/>
              </w:rPr>
              <w:t>muhafazası</w:t>
            </w:r>
            <w:r w:rsidR="00902F16" w:rsidRPr="00A23740">
              <w:rPr>
                <w:rStyle w:val="MAVChar"/>
                <w:rFonts w:eastAsia="Calibri"/>
                <w:b w:val="0"/>
                <w:color w:val="auto"/>
                <w:u w:val="none"/>
              </w:rPr>
              <w:t>na ilişkin hususlar düzenlenmektedir.</w:t>
            </w:r>
            <w:r w:rsidR="00D661BB" w:rsidRPr="00A23740">
              <w:rPr>
                <w:rStyle w:val="MAVChar"/>
                <w:rFonts w:eastAsia="Calibri"/>
                <w:b w:val="0"/>
                <w:color w:val="auto"/>
                <w:u w:val="none"/>
              </w:rPr>
              <w:t xml:space="preserve"> Maddenin birinci, ikinci, üçüncü ve dördüncü fıkraları 2004 sayılı Kanunun 9 uncu maddesine karşılık gelmekte</w:t>
            </w:r>
            <w:r w:rsidR="00AD1DB2" w:rsidRPr="00A23740">
              <w:rPr>
                <w:rStyle w:val="MAVChar"/>
                <w:rFonts w:eastAsia="Calibri"/>
                <w:b w:val="0"/>
                <w:color w:val="auto"/>
                <w:u w:val="none"/>
              </w:rPr>
              <w:t xml:space="preserve">dir. </w:t>
            </w:r>
          </w:p>
          <w:p w:rsidR="006251FB" w:rsidRPr="00A23740" w:rsidRDefault="006251FB" w:rsidP="009431FF">
            <w:pPr>
              <w:pStyle w:val="Mavi"/>
              <w:ind w:firstLine="709"/>
              <w:rPr>
                <w:b w:val="0"/>
                <w:color w:val="auto"/>
                <w:lang w:val="tr-TR"/>
              </w:rPr>
            </w:pPr>
            <w:r w:rsidRPr="00A23740">
              <w:rPr>
                <w:b w:val="0"/>
                <w:color w:val="auto"/>
                <w:lang w:val="tr-TR"/>
              </w:rPr>
              <w:t>Birinci fıkrayla, icra ve iflas dairelerine yapılacak her türlü nakdî ödemenin, Adalet Bakanlığı tarafından uygun görülecek bankalarda icra ve iflas dairesi adına açılan hesaba yapıl</w:t>
            </w:r>
            <w:r w:rsidR="006F1A70" w:rsidRPr="00A23740">
              <w:rPr>
                <w:b w:val="0"/>
                <w:color w:val="auto"/>
                <w:lang w:val="tr-TR"/>
              </w:rPr>
              <w:t>a</w:t>
            </w:r>
            <w:r w:rsidRPr="00A23740">
              <w:rPr>
                <w:b w:val="0"/>
                <w:color w:val="auto"/>
                <w:lang w:val="tr-TR"/>
              </w:rPr>
              <w:t>cağı düzenlenmektedir.</w:t>
            </w:r>
            <w:r w:rsidR="00D661BB" w:rsidRPr="00A23740">
              <w:rPr>
                <w:b w:val="0"/>
                <w:color w:val="auto"/>
                <w:lang w:val="tr-TR"/>
              </w:rPr>
              <w:t xml:space="preserve"> </w:t>
            </w:r>
            <w:r w:rsidR="00631B39" w:rsidRPr="00A23740">
              <w:rPr>
                <w:b w:val="0"/>
                <w:color w:val="auto"/>
                <w:lang w:val="tr-TR"/>
              </w:rPr>
              <w:t xml:space="preserve">2004 sayılı Kanunun 9 uncu maddesinde benimsenen tahsilatların ve ödemelerin banka aracılığıyla yapılmasına ilişkin esaslar hükümde muhafaza edilmektedir. </w:t>
            </w:r>
          </w:p>
          <w:p w:rsidR="006251FB" w:rsidRPr="00A23740" w:rsidRDefault="006251FB" w:rsidP="009431FF">
            <w:pPr>
              <w:pStyle w:val="Mavi"/>
              <w:ind w:firstLine="709"/>
              <w:rPr>
                <w:b w:val="0"/>
                <w:color w:val="auto"/>
                <w:lang w:val="tr-TR"/>
              </w:rPr>
            </w:pPr>
            <w:r w:rsidRPr="00A23740">
              <w:rPr>
                <w:b w:val="0"/>
                <w:color w:val="auto"/>
                <w:lang w:val="tr-TR"/>
              </w:rPr>
              <w:lastRenderedPageBreak/>
              <w:t>İkinci fıkrayla, borçlu veya üçüncü kişiler tarafından haciz sırasında yapılan ödeme nedeniyle tahsil edilen paranın, icra</w:t>
            </w:r>
            <w:r w:rsidR="00DC6449" w:rsidRPr="00A23740">
              <w:rPr>
                <w:b w:val="0"/>
                <w:color w:val="auto"/>
                <w:lang w:val="tr-TR"/>
              </w:rPr>
              <w:t xml:space="preserve"> </w:t>
            </w:r>
            <w:r w:rsidR="00DC6449" w:rsidRPr="00932BCF">
              <w:rPr>
                <w:b w:val="0"/>
                <w:color w:val="auto"/>
                <w:lang w:val="tr-TR"/>
              </w:rPr>
              <w:t>ve</w:t>
            </w:r>
            <w:r w:rsidRPr="00A23740">
              <w:rPr>
                <w:b w:val="0"/>
                <w:color w:val="385623"/>
                <w:lang w:val="tr-TR"/>
              </w:rPr>
              <w:t xml:space="preserve"> </w:t>
            </w:r>
            <w:r w:rsidR="00ED793A" w:rsidRPr="00A23740">
              <w:rPr>
                <w:b w:val="0"/>
                <w:color w:val="auto"/>
                <w:lang w:val="tr-TR"/>
              </w:rPr>
              <w:t>iflas dairesi ya da</w:t>
            </w:r>
            <w:r w:rsidRPr="00A23740">
              <w:rPr>
                <w:b w:val="0"/>
                <w:color w:val="auto"/>
                <w:lang w:val="tr-TR"/>
              </w:rPr>
              <w:t xml:space="preserve"> mahkeme kasalarında muhafaza edileceği ve bu paranın en geç tahsilatın yapıldığı günü takip eden ilk iş günü çalışma saati sonuna kadar birinci fıkrada belirtilen usulle belirlenen banka hesabına yatırılacağı hükme bağlanmaktadır. </w:t>
            </w:r>
          </w:p>
          <w:p w:rsidR="006251FB" w:rsidRPr="00A23740" w:rsidRDefault="006251FB" w:rsidP="009431FF">
            <w:pPr>
              <w:pStyle w:val="Mavi"/>
              <w:ind w:firstLine="709"/>
              <w:rPr>
                <w:b w:val="0"/>
                <w:color w:val="auto"/>
                <w:lang w:val="tr-TR"/>
              </w:rPr>
            </w:pPr>
            <w:r w:rsidRPr="00A23740">
              <w:rPr>
                <w:b w:val="0"/>
                <w:color w:val="auto"/>
                <w:lang w:val="tr-TR"/>
              </w:rPr>
              <w:t xml:space="preserve">Üçüncü fıkrayla, icra ve iflas dairelerince yapılması gereken her türlü nakdî ödemenin, </w:t>
            </w:r>
            <w:r w:rsidR="00FF0F3F" w:rsidRPr="00A23740">
              <w:rPr>
                <w:b w:val="0"/>
                <w:color w:val="auto"/>
                <w:lang w:val="tr-TR"/>
              </w:rPr>
              <w:t xml:space="preserve">bu ödemenin yapılacağı ilgilinin </w:t>
            </w:r>
            <w:r w:rsidRPr="00A23740">
              <w:rPr>
                <w:b w:val="0"/>
                <w:color w:val="auto"/>
                <w:lang w:val="tr-TR"/>
              </w:rPr>
              <w:t xml:space="preserve">gösterdiği banka hesabına aktarılmak üzere, icra </w:t>
            </w:r>
            <w:r w:rsidR="004A665D" w:rsidRPr="00A23740">
              <w:rPr>
                <w:b w:val="0"/>
                <w:color w:val="auto"/>
                <w:lang w:val="tr-TR"/>
              </w:rPr>
              <w:t xml:space="preserve">ve </w:t>
            </w:r>
            <w:r w:rsidR="00166579" w:rsidRPr="00A23740">
              <w:rPr>
                <w:b w:val="0"/>
                <w:color w:val="auto"/>
                <w:lang w:val="tr-TR"/>
              </w:rPr>
              <w:t xml:space="preserve">iflas müdürü </w:t>
            </w:r>
            <w:r w:rsidRPr="00A23740">
              <w:rPr>
                <w:b w:val="0"/>
                <w:color w:val="auto"/>
                <w:lang w:val="tr-TR"/>
              </w:rPr>
              <w:t>tarafından resen bankaya verilecek talimat gereği yapılacağı ve bu talimatın, paranın icra ve iflas dairesi hesabına yatırılmasını takip eden en geç üç iş günü içinde verileceği düzenlenmektedir.</w:t>
            </w:r>
          </w:p>
          <w:p w:rsidR="006251FB" w:rsidRPr="00A23740" w:rsidRDefault="006251FB" w:rsidP="009431FF">
            <w:pPr>
              <w:pStyle w:val="Mavi"/>
              <w:ind w:firstLine="709"/>
              <w:rPr>
                <w:b w:val="0"/>
                <w:color w:val="auto"/>
                <w:lang w:val="tr-TR"/>
              </w:rPr>
            </w:pPr>
            <w:r w:rsidRPr="00A23740">
              <w:rPr>
                <w:b w:val="0"/>
                <w:color w:val="auto"/>
                <w:lang w:val="tr-TR"/>
              </w:rPr>
              <w:t xml:space="preserve">Dördüncü fıkrayla, icra ve iflas dairelerinin, aldıkları kıymetli evrak ve değerli şeyleri kasalarında; zorunlu hâllerde ise kiralanacak banka kasalarında muhafaza </w:t>
            </w:r>
            <w:r w:rsidR="001A5F2A" w:rsidRPr="00A23740">
              <w:rPr>
                <w:b w:val="0"/>
                <w:color w:val="auto"/>
                <w:lang w:val="tr-TR"/>
              </w:rPr>
              <w:t xml:space="preserve">edeceği </w:t>
            </w:r>
            <w:r w:rsidRPr="00A23740">
              <w:rPr>
                <w:b w:val="0"/>
                <w:color w:val="auto"/>
                <w:lang w:val="tr-TR"/>
              </w:rPr>
              <w:t>hükme bağlanmaktadır.</w:t>
            </w:r>
          </w:p>
          <w:p w:rsidR="00AD1DB2" w:rsidRPr="00A23740" w:rsidRDefault="006251FB" w:rsidP="009431FF">
            <w:pPr>
              <w:pStyle w:val="Mavi"/>
              <w:ind w:firstLine="709"/>
              <w:rPr>
                <w:b w:val="0"/>
                <w:color w:val="auto"/>
                <w:lang w:val="tr-TR"/>
              </w:rPr>
            </w:pPr>
            <w:r w:rsidRPr="00A23740">
              <w:rPr>
                <w:b w:val="0"/>
                <w:color w:val="auto"/>
                <w:lang w:val="tr-TR"/>
              </w:rPr>
              <w:t>Beşinci fıkrayla, icra</w:t>
            </w:r>
            <w:r w:rsidR="0001352C" w:rsidRPr="00A23740">
              <w:rPr>
                <w:b w:val="0"/>
                <w:color w:val="auto"/>
                <w:lang w:val="tr-TR"/>
              </w:rPr>
              <w:t xml:space="preserve"> ve iflas</w:t>
            </w:r>
            <w:r w:rsidRPr="00A23740">
              <w:rPr>
                <w:b w:val="0"/>
                <w:color w:val="auto"/>
                <w:lang w:val="tr-TR"/>
              </w:rPr>
              <w:t xml:space="preserve"> dairelerince sonradan yapılan hesap sonucunda borçludan fazla para tahsil edilerek alacaklıya verildiğinin veya bir tarafa paranın </w:t>
            </w:r>
            <w:r w:rsidR="001A5F2A" w:rsidRPr="00A23740">
              <w:rPr>
                <w:b w:val="0"/>
                <w:color w:val="auto"/>
                <w:lang w:val="tr-TR"/>
              </w:rPr>
              <w:t xml:space="preserve">yanlışlıkla </w:t>
            </w:r>
            <w:r w:rsidRPr="00A23740">
              <w:rPr>
                <w:b w:val="0"/>
                <w:color w:val="auto"/>
                <w:lang w:val="tr-TR"/>
              </w:rPr>
              <w:t>ödendiğinin tespit edilmesi h</w:t>
            </w:r>
            <w:r w:rsidR="00C219C2" w:rsidRPr="00A23740">
              <w:rPr>
                <w:b w:val="0"/>
                <w:color w:val="auto"/>
                <w:lang w:val="tr-TR"/>
              </w:rPr>
              <w:t>â</w:t>
            </w:r>
            <w:r w:rsidRPr="00A23740">
              <w:rPr>
                <w:b w:val="0"/>
                <w:color w:val="auto"/>
                <w:lang w:val="tr-TR"/>
              </w:rPr>
              <w:t xml:space="preserve">linde, ödenen paranın ayrıca bir hükme gerek kalmaksızın o kişiden geri </w:t>
            </w:r>
            <w:r w:rsidR="00FF0F3F" w:rsidRPr="00A23740">
              <w:rPr>
                <w:b w:val="0"/>
                <w:color w:val="auto"/>
                <w:lang w:val="tr-TR"/>
              </w:rPr>
              <w:t xml:space="preserve">alınması </w:t>
            </w:r>
            <w:r w:rsidRPr="00A23740">
              <w:rPr>
                <w:b w:val="0"/>
                <w:color w:val="auto"/>
                <w:lang w:val="tr-TR"/>
              </w:rPr>
              <w:t>alınacağı düzenlenmektedir.</w:t>
            </w:r>
            <w:r w:rsidR="00D661BB" w:rsidRPr="00A23740">
              <w:rPr>
                <w:b w:val="0"/>
                <w:color w:val="auto"/>
                <w:lang w:val="tr-TR"/>
              </w:rPr>
              <w:t xml:space="preserve"> Hüküm, 2004 sayılı Kanunun 361 inci maddesinin birinci fıkrasına karşılık gelmekte</w:t>
            </w:r>
            <w:r w:rsidR="001A5F2A" w:rsidRPr="00A23740">
              <w:rPr>
                <w:b w:val="0"/>
                <w:color w:val="auto"/>
                <w:lang w:val="tr-TR"/>
              </w:rPr>
              <w:t>dir.</w:t>
            </w:r>
          </w:p>
          <w:p w:rsidR="00AD1DB2" w:rsidRPr="00A23740" w:rsidRDefault="006251FB" w:rsidP="009431FF">
            <w:pPr>
              <w:pStyle w:val="Mavi"/>
              <w:ind w:firstLine="709"/>
              <w:rPr>
                <w:b w:val="0"/>
                <w:color w:val="auto"/>
                <w:lang w:val="tr-TR"/>
              </w:rPr>
            </w:pPr>
            <w:r w:rsidRPr="00A23740">
              <w:rPr>
                <w:b w:val="0"/>
                <w:color w:val="auto"/>
                <w:lang w:val="tr-TR"/>
              </w:rPr>
              <w:t>Altıncı fıkrayla, icra</w:t>
            </w:r>
            <w:r w:rsidR="0001352C" w:rsidRPr="00A23740">
              <w:rPr>
                <w:b w:val="0"/>
                <w:color w:val="auto"/>
                <w:lang w:val="tr-TR"/>
              </w:rPr>
              <w:t xml:space="preserve"> ve iflas</w:t>
            </w:r>
            <w:r w:rsidRPr="00A23740">
              <w:rPr>
                <w:b w:val="0"/>
                <w:color w:val="auto"/>
                <w:lang w:val="tr-TR"/>
              </w:rPr>
              <w:t xml:space="preserve"> dairesine teslim veya dairece tahsil olunan para veya icra işlemi nedeniyle muhafaza edilen eşya hakkında hak sahibi olanlar tarafından, teslim, tahsil veya muhafaza tarihinden itibaren on yıl içinde başvuru yapılmaması h</w:t>
            </w:r>
            <w:r w:rsidR="00C219C2" w:rsidRPr="00A23740">
              <w:rPr>
                <w:b w:val="0"/>
                <w:color w:val="auto"/>
                <w:lang w:val="tr-TR"/>
              </w:rPr>
              <w:t>â</w:t>
            </w:r>
            <w:r w:rsidRPr="00A23740">
              <w:rPr>
                <w:b w:val="0"/>
                <w:color w:val="auto"/>
                <w:lang w:val="tr-TR"/>
              </w:rPr>
              <w:t>linde</w:t>
            </w:r>
            <w:r w:rsidR="001A5F2A" w:rsidRPr="00A23740">
              <w:rPr>
                <w:b w:val="0"/>
                <w:color w:val="auto"/>
                <w:lang w:val="tr-TR"/>
              </w:rPr>
              <w:t>,</w:t>
            </w:r>
            <w:r w:rsidRPr="00A23740">
              <w:rPr>
                <w:b w:val="0"/>
                <w:color w:val="auto"/>
                <w:lang w:val="tr-TR"/>
              </w:rPr>
              <w:t xml:space="preserve"> bu talep hakkının düşeceği ve bu para veya eşyanın Hazinenin mülkiyetine geçeceği hükme bağlanmaktadır.</w:t>
            </w:r>
            <w:r w:rsidR="00D661BB" w:rsidRPr="00A23740">
              <w:rPr>
                <w:b w:val="0"/>
                <w:color w:val="auto"/>
                <w:lang w:val="tr-TR"/>
              </w:rPr>
              <w:t xml:space="preserve"> Hüküm, 2004 sayılı Kanunun 362 nci maddesinin birinci fıkrasına karşılık gelmekte</w:t>
            </w:r>
            <w:r w:rsidR="00AD1DB2" w:rsidRPr="00A23740">
              <w:rPr>
                <w:b w:val="0"/>
                <w:color w:val="auto"/>
                <w:lang w:val="tr-TR"/>
              </w:rPr>
              <w:t>dir.</w:t>
            </w:r>
          </w:p>
          <w:p w:rsidR="00D64704" w:rsidRPr="00A23740" w:rsidRDefault="00D64704" w:rsidP="009431FF">
            <w:pPr>
              <w:pStyle w:val="Mavi"/>
              <w:ind w:firstLine="709"/>
              <w:rPr>
                <w:b w:val="0"/>
                <w:color w:val="auto"/>
                <w:lang w:val="tr-TR"/>
              </w:rPr>
            </w:pPr>
          </w:p>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p>
        </w:tc>
        <w:tc>
          <w:tcPr>
            <w:tcW w:w="2500" w:type="pct"/>
            <w:shd w:val="clear" w:color="auto" w:fill="auto"/>
          </w:tcPr>
          <w:p w:rsidR="001E132C" w:rsidRPr="00A23740" w:rsidRDefault="001E132C" w:rsidP="009431FF">
            <w:pPr>
              <w:pStyle w:val="Mavi"/>
            </w:pPr>
            <w:r w:rsidRPr="00A23740">
              <w:t>Paranın nemalandırılması</w:t>
            </w:r>
          </w:p>
          <w:p w:rsidR="003B3DBB" w:rsidRPr="00A23740" w:rsidRDefault="00553CB3" w:rsidP="009431FF">
            <w:pPr>
              <w:pStyle w:val="Mavi"/>
            </w:pPr>
            <w:r w:rsidRPr="00A23740">
              <w:t>MADDE 1</w:t>
            </w:r>
            <w:r w:rsidR="00F92A99" w:rsidRPr="00A23740">
              <w:rPr>
                <w:lang w:val="tr-TR"/>
              </w:rPr>
              <w:t>2</w:t>
            </w:r>
            <w:r w:rsidR="001E132C" w:rsidRPr="00A23740">
              <w:t>- (1) İcra ve iflas dairelerine yatırılan veya bu dairelerce tahsil edilen par</w:t>
            </w:r>
            <w:r w:rsidR="00DF5900" w:rsidRPr="00A23740">
              <w:t>a, Adalet Bakanlığınca çıkarılacak</w:t>
            </w:r>
            <w:r w:rsidR="001E132C" w:rsidRPr="00A23740">
              <w:t xml:space="preserve"> yönetmelik hükümleri çerçevesinde nemalandırılır ve kanunda belirtilen kesintiler yapıldıktan sonra kalanı, nemalarıyla birlikte banka aracı</w:t>
            </w:r>
            <w:r w:rsidR="004C2BF1" w:rsidRPr="00A23740">
              <w:t>lığıyla hak sahiplerine ödenir.</w:t>
            </w:r>
          </w:p>
          <w:p w:rsidR="00C52BE8" w:rsidRPr="00A23740" w:rsidRDefault="00C52BE8" w:rsidP="009431FF">
            <w:pPr>
              <w:pStyle w:val="Mavi"/>
              <w:rPr>
                <w:lang w:val="tr-TR"/>
              </w:rPr>
            </w:pPr>
          </w:p>
        </w:tc>
      </w:tr>
      <w:tr w:rsidR="006251FB" w:rsidRPr="00A23740" w:rsidTr="009431FF">
        <w:tc>
          <w:tcPr>
            <w:tcW w:w="5000" w:type="pct"/>
            <w:gridSpan w:val="2"/>
            <w:shd w:val="clear" w:color="auto" w:fill="DEEAF6"/>
          </w:tcPr>
          <w:p w:rsidR="00AD1DB2" w:rsidRPr="00A23740" w:rsidRDefault="00AD1DB2" w:rsidP="009431FF">
            <w:pPr>
              <w:pStyle w:val="Mavi"/>
              <w:ind w:firstLine="709"/>
              <w:rPr>
                <w:color w:val="auto"/>
                <w:lang w:val="tr-TR"/>
              </w:rPr>
            </w:pPr>
          </w:p>
          <w:p w:rsidR="00C94E61" w:rsidRPr="00A23740" w:rsidRDefault="006251FB" w:rsidP="009431FF">
            <w:pPr>
              <w:pStyle w:val="Mavi"/>
              <w:ind w:firstLine="709"/>
              <w:rPr>
                <w:b w:val="0"/>
                <w:color w:val="auto"/>
                <w:lang w:val="tr-TR"/>
              </w:rPr>
            </w:pPr>
            <w:r w:rsidRPr="00A23740">
              <w:rPr>
                <w:color w:val="auto"/>
                <w:lang w:val="tr-TR"/>
              </w:rPr>
              <w:t>MADDE 1</w:t>
            </w:r>
            <w:r w:rsidR="00692AA4" w:rsidRPr="00A23740">
              <w:rPr>
                <w:color w:val="auto"/>
                <w:lang w:val="tr-TR"/>
              </w:rPr>
              <w:t>2</w:t>
            </w:r>
            <w:r w:rsidRPr="00A23740">
              <w:rPr>
                <w:color w:val="auto"/>
                <w:lang w:val="tr-TR"/>
              </w:rPr>
              <w:t xml:space="preserve">- </w:t>
            </w:r>
            <w:r w:rsidRPr="00A23740">
              <w:rPr>
                <w:b w:val="0"/>
                <w:color w:val="auto"/>
                <w:lang w:val="tr-TR"/>
              </w:rPr>
              <w:t>Maddeyle,</w:t>
            </w:r>
            <w:r w:rsidR="00C94E61" w:rsidRPr="00A23740">
              <w:rPr>
                <w:b w:val="0"/>
                <w:color w:val="auto"/>
                <w:lang w:val="tr-TR"/>
              </w:rPr>
              <w:t xml:space="preserve"> paranın nemalandırılmasına ilişkin esaslar belirlenmektedir.</w:t>
            </w:r>
          </w:p>
          <w:p w:rsidR="00D64704" w:rsidRDefault="00C94E61" w:rsidP="009431FF">
            <w:pPr>
              <w:pStyle w:val="Mavi"/>
              <w:ind w:firstLine="709"/>
              <w:rPr>
                <w:b w:val="0"/>
                <w:color w:val="auto"/>
                <w:lang w:val="tr-TR"/>
              </w:rPr>
            </w:pPr>
            <w:r w:rsidRPr="00A23740">
              <w:rPr>
                <w:b w:val="0"/>
                <w:color w:val="auto"/>
                <w:lang w:val="tr-TR"/>
              </w:rPr>
              <w:t>Birinci fıkrayla,</w:t>
            </w:r>
            <w:r w:rsidR="006251FB" w:rsidRPr="00A23740">
              <w:rPr>
                <w:b w:val="0"/>
                <w:color w:val="auto"/>
                <w:lang w:val="tr-TR"/>
              </w:rPr>
              <w:t xml:space="preserve"> icra ve iflas dairelerine yatırılan veya bu dairelerce tahsil edilen paraların, Adalet Bakanlığınca çıkarı</w:t>
            </w:r>
            <w:r w:rsidR="006251FB" w:rsidRPr="00A23740">
              <w:rPr>
                <w:b w:val="0"/>
                <w:color w:val="auto"/>
              </w:rPr>
              <w:t>lacak</w:t>
            </w:r>
            <w:r w:rsidR="006251FB" w:rsidRPr="00A23740">
              <w:rPr>
                <w:b w:val="0"/>
                <w:color w:val="auto"/>
                <w:lang w:val="tr-TR"/>
              </w:rPr>
              <w:t xml:space="preserve"> yönetmelik hükümleri çerçevesinde nemalandırılacağı ve kanunda belirtilen kesintiler yapıldıktan sonra kalanının, nemalarıyla birlikte banka aracılığıyla hak sahiplerine ödeneceği hükme bağlanmaktadır. </w:t>
            </w:r>
            <w:r w:rsidRPr="00A23740">
              <w:rPr>
                <w:b w:val="0"/>
                <w:color w:val="auto"/>
                <w:lang w:val="tr-TR"/>
              </w:rPr>
              <w:t>2004 sayılı Kanunda düzenlenmeyen ve bir yenilik olarak getirilen bu hükümle, ilgililerin mülkiyet hakkının azami seviyede korunması amaçlanmaktadır.</w:t>
            </w:r>
            <w:r w:rsidR="006F0164" w:rsidRPr="00A23740">
              <w:rPr>
                <w:b w:val="0"/>
                <w:color w:val="auto"/>
                <w:lang w:val="tr-TR"/>
              </w:rPr>
              <w:t xml:space="preserve"> </w:t>
            </w:r>
          </w:p>
          <w:p w:rsidR="00A44DE5" w:rsidRDefault="00A44DE5" w:rsidP="009431FF">
            <w:pPr>
              <w:pStyle w:val="Mavi"/>
              <w:ind w:firstLine="709"/>
              <w:rPr>
                <w:b w:val="0"/>
                <w:color w:val="auto"/>
                <w:lang w:val="tr-TR"/>
              </w:rPr>
            </w:pPr>
          </w:p>
          <w:p w:rsidR="00A44DE5" w:rsidRPr="00A23740" w:rsidRDefault="00A44DE5" w:rsidP="009431FF">
            <w:pPr>
              <w:pStyle w:val="Mavi"/>
              <w:ind w:firstLine="709"/>
              <w:rPr>
                <w:color w:val="000000"/>
                <w:lang w:val="tr-TR"/>
              </w:rPr>
            </w:pPr>
          </w:p>
          <w:p w:rsidR="00D64704" w:rsidRPr="00A23740" w:rsidRDefault="00D64704" w:rsidP="009431FF">
            <w:pPr>
              <w:pStyle w:val="Mavi"/>
              <w:ind w:firstLine="709"/>
              <w:rPr>
                <w:color w:val="auto"/>
                <w:lang w:val="tr-TR"/>
              </w:rPr>
            </w:pPr>
          </w:p>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p>
        </w:tc>
        <w:tc>
          <w:tcPr>
            <w:tcW w:w="2500" w:type="pct"/>
            <w:shd w:val="clear" w:color="auto" w:fill="auto"/>
          </w:tcPr>
          <w:p w:rsidR="001E132C" w:rsidRPr="00A23740" w:rsidRDefault="001E132C" w:rsidP="009431FF">
            <w:pPr>
              <w:pStyle w:val="Mavi"/>
              <w:rPr>
                <w:rStyle w:val="Stil2Char"/>
                <w:rFonts w:eastAsia="Calibri"/>
                <w:b/>
                <w:u w:val="none"/>
              </w:rPr>
            </w:pPr>
            <w:r w:rsidRPr="00A23740">
              <w:rPr>
                <w:rStyle w:val="Stil2Char"/>
                <w:rFonts w:eastAsia="Calibri"/>
                <w:b/>
                <w:u w:val="none"/>
              </w:rPr>
              <w:t>Teminat mektubu</w:t>
            </w:r>
          </w:p>
          <w:p w:rsidR="00651794" w:rsidRPr="00A23740" w:rsidRDefault="00553CB3" w:rsidP="009431FF">
            <w:pPr>
              <w:tabs>
                <w:tab w:val="left" w:pos="566"/>
              </w:tabs>
              <w:rPr>
                <w:rStyle w:val="Stil2Char"/>
                <w:rFonts w:eastAsia="ヒラギノ明朝 Pro W3"/>
                <w:u w:val="none"/>
              </w:rPr>
            </w:pPr>
            <w:r w:rsidRPr="00A23740">
              <w:rPr>
                <w:rStyle w:val="MaviChar"/>
              </w:rPr>
              <w:t>MADDE 1</w:t>
            </w:r>
            <w:r w:rsidR="00F92A99" w:rsidRPr="00A23740">
              <w:rPr>
                <w:rStyle w:val="MaviChar"/>
                <w:lang w:val="tr-TR"/>
              </w:rPr>
              <w:t>3</w:t>
            </w:r>
            <w:r w:rsidR="001E132C" w:rsidRPr="00A23740">
              <w:rPr>
                <w:rStyle w:val="MaviChar"/>
              </w:rPr>
              <w:t xml:space="preserve">- (1) </w:t>
            </w:r>
            <w:r w:rsidR="00477290" w:rsidRPr="00A23740">
              <w:rPr>
                <w:rStyle w:val="MaviChar"/>
              </w:rPr>
              <w:t>Bu Kanun çerçevesinde i</w:t>
            </w:r>
            <w:r w:rsidR="00D556FC" w:rsidRPr="00A23740">
              <w:rPr>
                <w:rStyle w:val="MaviChar"/>
              </w:rPr>
              <w:t>cra ve iflas dairelerine</w:t>
            </w:r>
            <w:r w:rsidR="00476DFB" w:rsidRPr="00A23740">
              <w:rPr>
                <w:rStyle w:val="Stil2Char"/>
                <w:rFonts w:eastAsia="ヒラギノ明朝 Pro W3"/>
                <w:u w:val="none"/>
              </w:rPr>
              <w:t xml:space="preserve"> </w:t>
            </w:r>
            <w:r w:rsidR="00D556FC" w:rsidRPr="00A23740">
              <w:rPr>
                <w:rStyle w:val="MaviChar"/>
              </w:rPr>
              <w:t>verilen</w:t>
            </w:r>
            <w:r w:rsidR="00D556FC" w:rsidRPr="00A23740">
              <w:rPr>
                <w:rStyle w:val="MaviChar"/>
                <w:lang w:val="tr-TR"/>
              </w:rPr>
              <w:t xml:space="preserve"> </w:t>
            </w:r>
            <w:r w:rsidR="001E132C" w:rsidRPr="00A23740">
              <w:rPr>
                <w:rStyle w:val="MaviChar"/>
              </w:rPr>
              <w:t>teminat mektubunun kesin ve süresiz nitelikte olması, ilk talepte ödeme şartını içermesi ve öngörülen tazmin talebi tarihine kadar işleyecek faizi de kapsayacak tutarda olması zorunludur.</w:t>
            </w:r>
          </w:p>
          <w:p w:rsidR="00651794" w:rsidRPr="00A23740" w:rsidRDefault="00651794" w:rsidP="009431FF">
            <w:pPr>
              <w:pStyle w:val="Mavi"/>
              <w:rPr>
                <w:rStyle w:val="Stil2Char"/>
                <w:rFonts w:eastAsia="Calibri"/>
                <w:b/>
                <w:u w:val="none"/>
              </w:rPr>
            </w:pPr>
          </w:p>
          <w:p w:rsidR="001E132C" w:rsidRPr="00A23740" w:rsidRDefault="00651794" w:rsidP="009431FF">
            <w:pPr>
              <w:pStyle w:val="Mavi"/>
            </w:pPr>
            <w:r w:rsidRPr="00A23740">
              <w:rPr>
                <w:rStyle w:val="Stil2Char"/>
                <w:rFonts w:eastAsia="Calibri"/>
                <w:b/>
                <w:u w:val="none"/>
              </w:rPr>
              <w:t xml:space="preserve">(2) </w:t>
            </w:r>
            <w:r w:rsidR="00EF010F" w:rsidRPr="00A23740">
              <w:rPr>
                <w:rStyle w:val="Stil2Char"/>
                <w:rFonts w:eastAsia="Calibri"/>
                <w:b/>
                <w:u w:val="none"/>
              </w:rPr>
              <w:t xml:space="preserve">Birinci fıkradaki </w:t>
            </w:r>
            <w:r w:rsidR="001E132C" w:rsidRPr="00A23740">
              <w:rPr>
                <w:rStyle w:val="Stil2Char"/>
                <w:rFonts w:eastAsia="Calibri"/>
                <w:b/>
                <w:u w:val="none"/>
              </w:rPr>
              <w:t xml:space="preserve">esaslar dâhilinde teminat mektubuyla garanti edilecek tutar, </w:t>
            </w:r>
            <w:r w:rsidR="001E132C" w:rsidRPr="00A23740">
              <w:t>icra</w:t>
            </w:r>
            <w:r w:rsidR="00D83441" w:rsidRPr="00A23740">
              <w:rPr>
                <w:lang w:val="tr-TR"/>
              </w:rPr>
              <w:t xml:space="preserve"> ve</w:t>
            </w:r>
            <w:r w:rsidR="001E132C" w:rsidRPr="00A23740">
              <w:t xml:space="preserve"> </w:t>
            </w:r>
            <w:r w:rsidR="00D83441" w:rsidRPr="00A23740">
              <w:rPr>
                <w:lang w:val="tr-TR"/>
              </w:rPr>
              <w:t xml:space="preserve">iflas </w:t>
            </w:r>
            <w:r w:rsidR="001E132C" w:rsidRPr="00A23740">
              <w:t>daire</w:t>
            </w:r>
            <w:r w:rsidR="00D83441" w:rsidRPr="00A23740">
              <w:rPr>
                <w:lang w:val="tr-TR"/>
              </w:rPr>
              <w:t>lerin</w:t>
            </w:r>
            <w:r w:rsidR="001E132C" w:rsidRPr="00A23740">
              <w:t>ce belirlenir.</w:t>
            </w:r>
          </w:p>
          <w:p w:rsidR="00B54043" w:rsidRPr="00A23740" w:rsidRDefault="00B54043" w:rsidP="009431FF">
            <w:pPr>
              <w:tabs>
                <w:tab w:val="left" w:pos="566"/>
              </w:tabs>
              <w:rPr>
                <w:rStyle w:val="MaviChar"/>
                <w:color w:val="FF0000"/>
                <w:lang w:val="tr-TR"/>
              </w:rPr>
            </w:pPr>
          </w:p>
        </w:tc>
      </w:tr>
      <w:tr w:rsidR="00083972" w:rsidRPr="00A23740" w:rsidTr="009431FF">
        <w:tc>
          <w:tcPr>
            <w:tcW w:w="5000" w:type="pct"/>
            <w:gridSpan w:val="2"/>
            <w:shd w:val="clear" w:color="auto" w:fill="DEEAF6"/>
          </w:tcPr>
          <w:p w:rsidR="00E81666" w:rsidRPr="00A23740" w:rsidRDefault="00E81666" w:rsidP="009431FF">
            <w:pPr>
              <w:pStyle w:val="Mavi"/>
              <w:ind w:firstLine="709"/>
              <w:rPr>
                <w:color w:val="auto"/>
                <w:lang w:val="tr-TR"/>
              </w:rPr>
            </w:pPr>
          </w:p>
          <w:p w:rsidR="00083972" w:rsidRPr="00A23740" w:rsidRDefault="00E81666" w:rsidP="009431FF">
            <w:pPr>
              <w:pStyle w:val="Mavi"/>
              <w:ind w:firstLine="709"/>
              <w:rPr>
                <w:b w:val="0"/>
                <w:color w:val="auto"/>
                <w:lang w:val="tr-TR"/>
              </w:rPr>
            </w:pPr>
            <w:r w:rsidRPr="00A23740">
              <w:rPr>
                <w:color w:val="auto"/>
                <w:lang w:val="tr-TR"/>
              </w:rPr>
              <w:t>MADDE 1</w:t>
            </w:r>
            <w:r w:rsidR="00D556FC" w:rsidRPr="00A23740">
              <w:rPr>
                <w:color w:val="auto"/>
                <w:lang w:val="tr-TR"/>
              </w:rPr>
              <w:t>3</w:t>
            </w:r>
            <w:r w:rsidRPr="00A23740">
              <w:rPr>
                <w:color w:val="auto"/>
                <w:lang w:val="tr-TR"/>
              </w:rPr>
              <w:t xml:space="preserve">- </w:t>
            </w:r>
            <w:r w:rsidRPr="00A23740">
              <w:rPr>
                <w:b w:val="0"/>
                <w:color w:val="auto"/>
                <w:lang w:val="tr-TR"/>
              </w:rPr>
              <w:t>Maddeyle,</w:t>
            </w:r>
            <w:r w:rsidR="00D556FC" w:rsidRPr="00A23740">
              <w:rPr>
                <w:b w:val="0"/>
                <w:color w:val="auto"/>
                <w:lang w:val="tr-TR"/>
              </w:rPr>
              <w:t xml:space="preserve"> icra ve iflas dairelerin</w:t>
            </w:r>
            <w:r w:rsidRPr="00A23740">
              <w:rPr>
                <w:b w:val="0"/>
                <w:color w:val="auto"/>
                <w:lang w:val="tr-TR"/>
              </w:rPr>
              <w:t>e</w:t>
            </w:r>
            <w:r w:rsidR="00D556FC" w:rsidRPr="00A23740">
              <w:rPr>
                <w:b w:val="0"/>
                <w:color w:val="auto"/>
                <w:lang w:val="tr-TR"/>
              </w:rPr>
              <w:t xml:space="preserve"> verilen</w:t>
            </w:r>
            <w:r w:rsidRPr="00A23740">
              <w:rPr>
                <w:b w:val="0"/>
                <w:color w:val="auto"/>
                <w:lang w:val="tr-TR"/>
              </w:rPr>
              <w:t xml:space="preserve"> teminat mektubuna ilişkin esaslar belirlenmektedir.</w:t>
            </w:r>
          </w:p>
          <w:p w:rsidR="00E81666" w:rsidRPr="00A23740" w:rsidRDefault="00D83441" w:rsidP="009431FF">
            <w:pPr>
              <w:pStyle w:val="Mavi"/>
              <w:ind w:firstLine="709"/>
              <w:rPr>
                <w:b w:val="0"/>
                <w:color w:val="auto"/>
                <w:lang w:val="tr-TR"/>
              </w:rPr>
            </w:pPr>
            <w:r w:rsidRPr="00A23740">
              <w:rPr>
                <w:b w:val="0"/>
                <w:color w:val="auto"/>
                <w:lang w:val="tr-TR"/>
              </w:rPr>
              <w:t>Birinci fıkrayla, bir yenilik olarak teminat mektubunda bulunması gereken hususlar düzenlenmektedir. Hükümle,</w:t>
            </w:r>
            <w:r w:rsidR="00E81666" w:rsidRPr="00A23740">
              <w:rPr>
                <w:b w:val="0"/>
                <w:color w:val="auto"/>
                <w:lang w:val="tr-TR"/>
              </w:rPr>
              <w:t xml:space="preserve"> icra ve iflas dairelerinde teminat</w:t>
            </w:r>
            <w:r w:rsidRPr="00A23740">
              <w:rPr>
                <w:b w:val="0"/>
                <w:color w:val="auto"/>
                <w:lang w:val="tr-TR"/>
              </w:rPr>
              <w:t xml:space="preserve"> olarak gösterilecek</w:t>
            </w:r>
            <w:r w:rsidR="00E81666" w:rsidRPr="00A23740">
              <w:rPr>
                <w:b w:val="0"/>
                <w:color w:val="auto"/>
                <w:lang w:val="tr-TR"/>
              </w:rPr>
              <w:t xml:space="preserve"> teminat mektubunun kesin ve süresiz nitelikte olması, ilk talepte ödeme şartını içermesi ve öngörülen tazmin talebi tarihine kadar işleyecek faizi de kapsayacak tutarda olması zorunluluğu getirilmektedir. Düzenlemeyle, teminat mektubunun niteliğine ilişkin uygulamada ortaya çıkan tereddütlerin giderilmesi amaçlanmaktadır.</w:t>
            </w:r>
          </w:p>
          <w:p w:rsidR="00D64704" w:rsidRPr="00A23740" w:rsidRDefault="00E81666" w:rsidP="009431FF">
            <w:pPr>
              <w:pStyle w:val="Mavi"/>
              <w:ind w:firstLine="709"/>
              <w:rPr>
                <w:color w:val="000000"/>
                <w:lang w:val="tr-TR"/>
              </w:rPr>
            </w:pPr>
            <w:r w:rsidRPr="00A23740">
              <w:rPr>
                <w:b w:val="0"/>
                <w:color w:val="auto"/>
                <w:lang w:val="tr-TR"/>
              </w:rPr>
              <w:t>İkinci fıkrayla, teminat mektubuyla birinci fıkradaki esaslara göre garanti edilecek tutarın icra</w:t>
            </w:r>
            <w:r w:rsidR="00D83441" w:rsidRPr="00A23740">
              <w:rPr>
                <w:b w:val="0"/>
                <w:color w:val="auto"/>
                <w:lang w:val="tr-TR"/>
              </w:rPr>
              <w:t xml:space="preserve"> ve iflas dairelerin</w:t>
            </w:r>
            <w:r w:rsidRPr="00A23740">
              <w:rPr>
                <w:b w:val="0"/>
                <w:color w:val="auto"/>
                <w:lang w:val="tr-TR"/>
              </w:rPr>
              <w:t>ce belirleneceği hüküm altına alınmaktadır.</w:t>
            </w:r>
          </w:p>
          <w:p w:rsidR="00D64704" w:rsidRPr="00A23740" w:rsidRDefault="00D64704" w:rsidP="009431FF">
            <w:pPr>
              <w:pStyle w:val="Mavi"/>
              <w:ind w:firstLine="709"/>
              <w:rPr>
                <w:b w:val="0"/>
                <w:color w:val="auto"/>
                <w:lang w:val="tr-TR"/>
              </w:rPr>
            </w:pPr>
          </w:p>
        </w:tc>
      </w:tr>
      <w:tr w:rsidR="001E132C" w:rsidRPr="00A23740" w:rsidTr="009431FF">
        <w:tc>
          <w:tcPr>
            <w:tcW w:w="2500" w:type="pct"/>
            <w:shd w:val="clear" w:color="auto" w:fill="auto"/>
          </w:tcPr>
          <w:p w:rsidR="001E132C" w:rsidRPr="00A23740" w:rsidRDefault="001E132C" w:rsidP="009431FF">
            <w:pPr>
              <w:rPr>
                <w:rFonts w:eastAsia="Times New Roman"/>
                <w:b/>
                <w:iCs/>
                <w:color w:val="000000"/>
                <w:szCs w:val="24"/>
                <w:lang w:eastAsia="tr-TR"/>
              </w:rPr>
            </w:pPr>
            <w:r w:rsidRPr="00A23740">
              <w:rPr>
                <w:rFonts w:eastAsia="Times New Roman"/>
                <w:b/>
                <w:iCs/>
                <w:color w:val="000000"/>
                <w:szCs w:val="24"/>
                <w:lang w:eastAsia="tr-TR"/>
              </w:rPr>
              <w:t xml:space="preserve">İş görmekten </w:t>
            </w:r>
            <w:r w:rsidRPr="00A23740">
              <w:rPr>
                <w:rStyle w:val="KIRMIZIChar"/>
                <w:rFonts w:eastAsia="Calibri"/>
                <w:lang w:eastAsia="tr-TR"/>
              </w:rPr>
              <w:t>memnuiyet :</w:t>
            </w:r>
          </w:p>
          <w:p w:rsidR="001E132C" w:rsidRPr="00A23740" w:rsidRDefault="001E132C" w:rsidP="009431FF">
            <w:pPr>
              <w:rPr>
                <w:rFonts w:eastAsia="Times New Roman"/>
                <w:color w:val="000000"/>
                <w:szCs w:val="24"/>
                <w:lang w:eastAsia="tr-TR"/>
              </w:rPr>
            </w:pPr>
            <w:r w:rsidRPr="00A23740">
              <w:rPr>
                <w:rStyle w:val="KIRMIZIChar"/>
                <w:rFonts w:eastAsia="Calibri"/>
                <w:lang w:eastAsia="tr-TR"/>
              </w:rPr>
              <w:t>Madde 10 – (Değişik: 18/2/1965-538/6 md.)</w:t>
            </w:r>
          </w:p>
          <w:p w:rsidR="001E132C" w:rsidRPr="00A23740" w:rsidRDefault="001E132C" w:rsidP="009431FF">
            <w:pPr>
              <w:rPr>
                <w:rFonts w:eastAsia="Times New Roman"/>
                <w:color w:val="000000"/>
                <w:szCs w:val="24"/>
                <w:lang w:eastAsia="tr-TR"/>
              </w:rPr>
            </w:pPr>
            <w:r w:rsidRPr="00A23740">
              <w:rPr>
                <w:rFonts w:eastAsia="Times New Roman"/>
                <w:color w:val="000000"/>
                <w:szCs w:val="24"/>
                <w:lang w:eastAsia="tr-TR"/>
              </w:rPr>
              <w:t xml:space="preserve">İcra ve iflas işlerine bakan </w:t>
            </w:r>
            <w:r w:rsidRPr="00A23740">
              <w:rPr>
                <w:rStyle w:val="KIRMIZIChar"/>
                <w:rFonts w:eastAsia="Calibri"/>
                <w:lang w:eastAsia="tr-TR"/>
              </w:rPr>
              <w:t>memur ve müstahdemler</w:t>
            </w:r>
          </w:p>
          <w:p w:rsidR="001E132C" w:rsidRPr="00A23740" w:rsidRDefault="001E132C" w:rsidP="009431FF">
            <w:pPr>
              <w:pStyle w:val="KIRMIZI"/>
              <w:rPr>
                <w:lang w:val="tr-TR"/>
              </w:rPr>
            </w:pPr>
            <w:r w:rsidRPr="00A23740">
              <w:rPr>
                <w:lang w:val="tr-TR"/>
              </w:rPr>
              <w:t>1. Kendisinin,</w:t>
            </w:r>
          </w:p>
          <w:p w:rsidR="001E132C" w:rsidRPr="00A23740" w:rsidRDefault="001E132C" w:rsidP="009431FF">
            <w:pPr>
              <w:pStyle w:val="KIRMIZI"/>
              <w:rPr>
                <w:lang w:val="tr-TR"/>
              </w:rPr>
            </w:pPr>
            <w:r w:rsidRPr="00A23740">
              <w:rPr>
                <w:lang w:val="tr-TR"/>
              </w:rPr>
              <w:t>2. Karı veya kocasının, nişanlısının yahut kan ve sıhri usul ve füruunun veya üçüncü derece dahil olmak üzere bu dereceye kadar olan kan ve sıhri civar hısımlarının,</w:t>
            </w:r>
          </w:p>
          <w:p w:rsidR="001E132C" w:rsidRPr="00A23740" w:rsidRDefault="001E132C" w:rsidP="009431FF">
            <w:pPr>
              <w:pStyle w:val="KIRMIZI"/>
              <w:rPr>
                <w:lang w:val="tr-TR"/>
              </w:rPr>
            </w:pPr>
            <w:r w:rsidRPr="00A23740">
              <w:rPr>
                <w:lang w:val="tr-TR"/>
              </w:rPr>
              <w:t>3. Kanuni mümessili veya vekili yahut müstahdemi bulunduğu bir şahsın,</w:t>
            </w:r>
          </w:p>
          <w:p w:rsidR="001E132C" w:rsidRPr="00A23740" w:rsidRDefault="001E132C" w:rsidP="009431FF">
            <w:pPr>
              <w:pStyle w:val="KIRMIZI"/>
              <w:rPr>
                <w:lang w:val="tr-TR"/>
              </w:rPr>
            </w:pPr>
          </w:p>
          <w:p w:rsidR="001E132C" w:rsidRPr="00A23740" w:rsidRDefault="001E132C" w:rsidP="009431FF">
            <w:pPr>
              <w:pStyle w:val="KIRMIZI"/>
              <w:rPr>
                <w:lang w:val="tr-TR"/>
              </w:rPr>
            </w:pPr>
          </w:p>
          <w:p w:rsidR="001E132C" w:rsidRPr="00A23740" w:rsidRDefault="001E132C" w:rsidP="009431FF">
            <w:pPr>
              <w:pStyle w:val="KIRMIZI"/>
              <w:rPr>
                <w:lang w:val="tr-TR"/>
              </w:rPr>
            </w:pPr>
          </w:p>
          <w:p w:rsidR="001D4CA0" w:rsidRPr="00A23740" w:rsidRDefault="001D4CA0" w:rsidP="009431FF">
            <w:pPr>
              <w:pStyle w:val="KIRMIZI"/>
              <w:rPr>
                <w:lang w:val="tr-TR"/>
              </w:rPr>
            </w:pPr>
          </w:p>
          <w:p w:rsidR="001E132C" w:rsidRPr="00A23740" w:rsidRDefault="001E132C" w:rsidP="009431FF">
            <w:pPr>
              <w:pStyle w:val="KIRMIZI"/>
              <w:rPr>
                <w:lang w:val="tr-TR"/>
              </w:rPr>
            </w:pPr>
          </w:p>
          <w:p w:rsidR="001E132C" w:rsidRPr="00A23740" w:rsidRDefault="001E132C" w:rsidP="009431FF">
            <w:pPr>
              <w:pStyle w:val="KIRMIZI"/>
              <w:rPr>
                <w:lang w:val="tr-TR"/>
              </w:rPr>
            </w:pPr>
          </w:p>
          <w:p w:rsidR="001E132C" w:rsidRPr="00A23740" w:rsidRDefault="001E132C" w:rsidP="009431FF">
            <w:pPr>
              <w:pStyle w:val="KIRMIZI"/>
              <w:rPr>
                <w:lang w:val="tr-TR"/>
              </w:rPr>
            </w:pPr>
          </w:p>
          <w:p w:rsidR="008E162A" w:rsidRPr="00A23740" w:rsidRDefault="008E162A" w:rsidP="009431FF">
            <w:pPr>
              <w:pStyle w:val="KIRMIZI"/>
              <w:rPr>
                <w:lang w:val="tr-TR"/>
              </w:rPr>
            </w:pPr>
          </w:p>
          <w:p w:rsidR="008E162A" w:rsidRPr="00A23740" w:rsidRDefault="008E162A" w:rsidP="009431FF">
            <w:pPr>
              <w:pStyle w:val="KIRMIZI"/>
              <w:rPr>
                <w:lang w:val="tr-TR"/>
              </w:rPr>
            </w:pPr>
          </w:p>
          <w:p w:rsidR="008E162A" w:rsidRPr="00A23740" w:rsidRDefault="008E162A" w:rsidP="009431FF">
            <w:pPr>
              <w:pStyle w:val="KIRMIZI"/>
              <w:rPr>
                <w:lang w:val="tr-TR"/>
              </w:rPr>
            </w:pPr>
          </w:p>
          <w:p w:rsidR="008E162A" w:rsidRPr="00A23740" w:rsidRDefault="008E162A" w:rsidP="009431FF">
            <w:pPr>
              <w:pStyle w:val="KIRMIZI"/>
              <w:rPr>
                <w:lang w:val="tr-TR"/>
              </w:rPr>
            </w:pPr>
          </w:p>
          <w:p w:rsidR="008E162A" w:rsidRDefault="008E162A" w:rsidP="009431FF">
            <w:pPr>
              <w:pStyle w:val="KIRMIZI"/>
              <w:rPr>
                <w:lang w:val="tr-TR"/>
              </w:rPr>
            </w:pPr>
          </w:p>
          <w:p w:rsidR="00932BCF" w:rsidRDefault="00932BCF" w:rsidP="009431FF">
            <w:pPr>
              <w:pStyle w:val="KIRMIZI"/>
              <w:rPr>
                <w:lang w:val="tr-TR"/>
              </w:rPr>
            </w:pPr>
          </w:p>
          <w:p w:rsidR="00932BCF" w:rsidRDefault="00932BCF" w:rsidP="009431FF">
            <w:pPr>
              <w:pStyle w:val="KIRMIZI"/>
              <w:rPr>
                <w:lang w:val="tr-TR"/>
              </w:rPr>
            </w:pPr>
          </w:p>
          <w:p w:rsidR="00932BCF" w:rsidRPr="00A23740" w:rsidRDefault="00932BCF" w:rsidP="009431FF">
            <w:pPr>
              <w:pStyle w:val="KIRMIZI"/>
              <w:rPr>
                <w:lang w:val="tr-TR"/>
              </w:rPr>
            </w:pPr>
          </w:p>
          <w:p w:rsidR="008E162A" w:rsidRPr="00A23740" w:rsidRDefault="008E162A" w:rsidP="009431FF">
            <w:pPr>
              <w:pStyle w:val="KIRMIZI"/>
              <w:rPr>
                <w:lang w:val="tr-TR"/>
              </w:rPr>
            </w:pPr>
          </w:p>
          <w:p w:rsidR="008E162A" w:rsidRPr="00A23740" w:rsidRDefault="008E162A" w:rsidP="009431FF">
            <w:pPr>
              <w:pStyle w:val="KIRMIZI"/>
              <w:rPr>
                <w:lang w:val="tr-TR"/>
              </w:rPr>
            </w:pPr>
          </w:p>
          <w:p w:rsidR="00A806F7" w:rsidRPr="00A23740" w:rsidRDefault="00A806F7" w:rsidP="009431FF">
            <w:pPr>
              <w:pStyle w:val="KIRMIZI"/>
              <w:rPr>
                <w:lang w:val="tr-TR"/>
              </w:rPr>
            </w:pPr>
          </w:p>
          <w:p w:rsidR="001E132C" w:rsidRPr="00A23740" w:rsidRDefault="001E132C" w:rsidP="009431FF">
            <w:pPr>
              <w:rPr>
                <w:rFonts w:eastAsia="Times New Roman"/>
                <w:color w:val="000000"/>
                <w:szCs w:val="24"/>
                <w:lang w:eastAsia="tr-TR"/>
              </w:rPr>
            </w:pPr>
            <w:r w:rsidRPr="00A23740">
              <w:rPr>
                <w:rStyle w:val="KIRMIZIChar"/>
                <w:rFonts w:eastAsia="Calibri"/>
                <w:lang w:eastAsia="tr-TR"/>
              </w:rPr>
              <w:t>Menfaati olan</w:t>
            </w:r>
            <w:r w:rsidRPr="00A23740">
              <w:rPr>
                <w:rFonts w:eastAsia="Times New Roman"/>
                <w:color w:val="000000"/>
                <w:szCs w:val="24"/>
                <w:lang w:eastAsia="tr-TR"/>
              </w:rPr>
              <w:t xml:space="preserve"> </w:t>
            </w:r>
            <w:r w:rsidRPr="00A23740">
              <w:rPr>
                <w:rStyle w:val="KIRMIZIChar"/>
                <w:rFonts w:eastAsia="Calibri"/>
              </w:rPr>
              <w:t>işleri</w:t>
            </w:r>
            <w:r w:rsidRPr="00A23740">
              <w:rPr>
                <w:rFonts w:eastAsia="Times New Roman"/>
                <w:color w:val="000000"/>
                <w:szCs w:val="24"/>
                <w:lang w:eastAsia="tr-TR"/>
              </w:rPr>
              <w:t xml:space="preserve"> </w:t>
            </w:r>
            <w:r w:rsidRPr="00A23740">
              <w:rPr>
                <w:rStyle w:val="KIRMIZIChar"/>
                <w:rFonts w:eastAsia="Calibri"/>
              </w:rPr>
              <w:t>göremeyip</w:t>
            </w:r>
            <w:r w:rsidRPr="00A23740">
              <w:rPr>
                <w:rFonts w:eastAsia="Times New Roman"/>
                <w:color w:val="000000"/>
                <w:szCs w:val="24"/>
                <w:lang w:eastAsia="tr-TR"/>
              </w:rPr>
              <w:t xml:space="preserve"> derhal icra mahkemesine haber </w:t>
            </w:r>
            <w:r w:rsidRPr="00A23740">
              <w:rPr>
                <w:rStyle w:val="KIRMIZIChar"/>
                <w:rFonts w:eastAsia="Calibri"/>
              </w:rPr>
              <w:t>vermeye</w:t>
            </w:r>
            <w:r w:rsidRPr="00A23740">
              <w:rPr>
                <w:rFonts w:eastAsia="Times New Roman"/>
                <w:color w:val="000000"/>
                <w:szCs w:val="24"/>
                <w:lang w:eastAsia="tr-TR"/>
              </w:rPr>
              <w:t xml:space="preserve"> </w:t>
            </w:r>
            <w:r w:rsidRPr="00A23740">
              <w:rPr>
                <w:rStyle w:val="KIRMIZIChar"/>
                <w:rFonts w:eastAsia="Calibri"/>
              </w:rPr>
              <w:t>mecburdur</w:t>
            </w:r>
            <w:r w:rsidRPr="00A23740">
              <w:rPr>
                <w:rFonts w:eastAsia="Times New Roman"/>
                <w:color w:val="000000"/>
                <w:szCs w:val="24"/>
                <w:lang w:eastAsia="tr-TR"/>
              </w:rPr>
              <w:t>. İcra mahkemesi </w:t>
            </w:r>
            <w:r w:rsidRPr="00A23740">
              <w:rPr>
                <w:rFonts w:eastAsia="Times New Roman"/>
                <w:b/>
                <w:strike/>
                <w:color w:val="FF0000"/>
                <w:szCs w:val="24"/>
                <w:lang w:eastAsia="tr-TR"/>
              </w:rPr>
              <w:t>müracaatı</w:t>
            </w:r>
            <w:r w:rsidRPr="00A23740">
              <w:rPr>
                <w:rFonts w:eastAsia="Times New Roman"/>
                <w:color w:val="000000"/>
                <w:szCs w:val="24"/>
                <w:lang w:eastAsia="tr-TR"/>
              </w:rPr>
              <w:t xml:space="preserve"> yerinde görürse o işi diğer bir </w:t>
            </w:r>
            <w:r w:rsidRPr="00A23740">
              <w:rPr>
                <w:rStyle w:val="KIRMIZIChar"/>
                <w:rFonts w:eastAsia="Calibri"/>
                <w:lang w:eastAsia="tr-TR"/>
              </w:rPr>
              <w:t>memura</w:t>
            </w:r>
            <w:r w:rsidRPr="00A23740">
              <w:rPr>
                <w:rFonts w:eastAsia="Times New Roman"/>
                <w:color w:val="000000"/>
                <w:szCs w:val="24"/>
                <w:lang w:eastAsia="tr-TR"/>
              </w:rPr>
              <w:t xml:space="preserve">, </w:t>
            </w:r>
            <w:r w:rsidRPr="00A23740">
              <w:rPr>
                <w:rStyle w:val="KIRMIZIChar"/>
                <w:rFonts w:eastAsia="Calibri"/>
              </w:rPr>
              <w:t>bulunm</w:t>
            </w:r>
            <w:r w:rsidRPr="00A23740">
              <w:rPr>
                <w:rStyle w:val="KIRMIZIChar"/>
                <w:rFonts w:eastAsia="Calibri"/>
                <w:lang w:eastAsia="tr-TR"/>
              </w:rPr>
              <w:t>ı</w:t>
            </w:r>
            <w:r w:rsidRPr="00A23740">
              <w:rPr>
                <w:rStyle w:val="KIRMIZIChar"/>
                <w:rFonts w:eastAsia="Calibri"/>
              </w:rPr>
              <w:t>yan yerlerde</w:t>
            </w:r>
            <w:r w:rsidRPr="00A23740">
              <w:rPr>
                <w:rFonts w:eastAsia="Times New Roman"/>
                <w:color w:val="000000"/>
                <w:szCs w:val="24"/>
                <w:lang w:eastAsia="tr-TR"/>
              </w:rPr>
              <w:t xml:space="preserve"> </w:t>
            </w:r>
            <w:r w:rsidRPr="00A23740">
              <w:rPr>
                <w:rStyle w:val="KIRMIZIChar"/>
                <w:rFonts w:eastAsia="Calibri"/>
              </w:rPr>
              <w:t>katiplerinden</w:t>
            </w:r>
            <w:r w:rsidRPr="00A23740">
              <w:rPr>
                <w:rFonts w:eastAsia="Times New Roman"/>
                <w:color w:val="000000"/>
                <w:szCs w:val="24"/>
                <w:lang w:eastAsia="tr-TR"/>
              </w:rPr>
              <w:t xml:space="preserve"> birine verir.</w:t>
            </w:r>
          </w:p>
          <w:p w:rsidR="001E132C" w:rsidRPr="00A23740" w:rsidRDefault="001E132C" w:rsidP="009431FF">
            <w:pPr>
              <w:tabs>
                <w:tab w:val="left" w:pos="566"/>
              </w:tabs>
              <w:rPr>
                <w:rFonts w:eastAsia="ヒラギノ明朝 Pro W3"/>
                <w:szCs w:val="24"/>
              </w:rPr>
            </w:pPr>
            <w:r w:rsidRPr="00A23740">
              <w:rPr>
                <w:rFonts w:eastAsia="Times New Roman"/>
                <w:color w:val="000000"/>
                <w:sz w:val="18"/>
                <w:szCs w:val="18"/>
                <w:lang w:eastAsia="tr-TR"/>
              </w:rPr>
              <w:br/>
            </w:r>
          </w:p>
        </w:tc>
        <w:tc>
          <w:tcPr>
            <w:tcW w:w="2500" w:type="pct"/>
            <w:shd w:val="clear" w:color="auto" w:fill="auto"/>
          </w:tcPr>
          <w:p w:rsidR="001E132C" w:rsidRPr="00A23740" w:rsidRDefault="001E132C" w:rsidP="009431FF">
            <w:pPr>
              <w:tabs>
                <w:tab w:val="left" w:pos="567"/>
              </w:tabs>
              <w:rPr>
                <w:rStyle w:val="Stil2Char"/>
                <w:rFonts w:eastAsia="Calibri"/>
                <w:u w:val="none"/>
              </w:rPr>
            </w:pPr>
            <w:r w:rsidRPr="00A23740">
              <w:rPr>
                <w:rStyle w:val="MaviChar"/>
              </w:rPr>
              <w:lastRenderedPageBreak/>
              <w:t xml:space="preserve">İcra </w:t>
            </w:r>
            <w:r w:rsidR="002C64BC" w:rsidRPr="00A23740">
              <w:rPr>
                <w:rStyle w:val="MaviChar"/>
              </w:rPr>
              <w:t xml:space="preserve">ve iflas </w:t>
            </w:r>
            <w:r w:rsidR="003927BA" w:rsidRPr="00A23740">
              <w:rPr>
                <w:rStyle w:val="MaviChar"/>
              </w:rPr>
              <w:t>daireleri</w:t>
            </w:r>
            <w:r w:rsidR="003927BA" w:rsidRPr="00A23740">
              <w:rPr>
                <w:rStyle w:val="MaviChar"/>
                <w:color w:val="70AD47"/>
              </w:rPr>
              <w:t xml:space="preserve"> </w:t>
            </w:r>
            <w:r w:rsidRPr="00A23740">
              <w:rPr>
                <w:rStyle w:val="MaviChar"/>
              </w:rPr>
              <w:t>görevlilerinin</w:t>
            </w:r>
            <w:r w:rsidRPr="00A23740">
              <w:rPr>
                <w:rStyle w:val="Stil2Char"/>
                <w:rFonts w:eastAsia="Calibri"/>
                <w:u w:val="none"/>
              </w:rPr>
              <w:t xml:space="preserve"> </w:t>
            </w:r>
            <w:r w:rsidRPr="00A23740">
              <w:rPr>
                <w:szCs w:val="24"/>
              </w:rPr>
              <w:t>iş görmekten</w:t>
            </w:r>
            <w:r w:rsidRPr="00A23740">
              <w:rPr>
                <w:rStyle w:val="Stil2Char"/>
                <w:rFonts w:eastAsia="Calibri"/>
                <w:u w:val="none"/>
              </w:rPr>
              <w:t xml:space="preserve"> </w:t>
            </w:r>
            <w:r w:rsidRPr="00A23740">
              <w:rPr>
                <w:rStyle w:val="MaviChar"/>
              </w:rPr>
              <w:t>yasaklılığı</w:t>
            </w:r>
          </w:p>
          <w:p w:rsidR="001E132C" w:rsidRPr="00A23740" w:rsidRDefault="00553CB3" w:rsidP="009431FF">
            <w:pPr>
              <w:pStyle w:val="Stil3"/>
              <w:rPr>
                <w:rStyle w:val="Stil2Char"/>
                <w:rFonts w:eastAsia="Calibri"/>
                <w:b/>
                <w:u w:val="none"/>
              </w:rPr>
            </w:pPr>
            <w:r w:rsidRPr="00A23740">
              <w:rPr>
                <w:rStyle w:val="Stil2Char"/>
                <w:rFonts w:eastAsia="Calibri"/>
                <w:b/>
                <w:bCs/>
                <w:strike w:val="0"/>
                <w:u w:val="none"/>
                <w:lang w:val="tr-TR"/>
              </w:rPr>
              <w:t>MADDE 1</w:t>
            </w:r>
            <w:r w:rsidR="00F92A99" w:rsidRPr="00A23740">
              <w:rPr>
                <w:rStyle w:val="Stil2Char"/>
                <w:rFonts w:eastAsia="Calibri"/>
                <w:b/>
                <w:bCs/>
                <w:strike w:val="0"/>
                <w:u w:val="none"/>
                <w:lang w:val="tr-TR"/>
              </w:rPr>
              <w:t>4</w:t>
            </w:r>
            <w:r w:rsidR="001E132C" w:rsidRPr="00A23740">
              <w:rPr>
                <w:rStyle w:val="Stil2Char"/>
                <w:rFonts w:eastAsia="Calibri"/>
                <w:b/>
                <w:bCs/>
                <w:strike w:val="0"/>
                <w:u w:val="none"/>
                <w:lang w:val="tr-TR"/>
              </w:rPr>
              <w:t>-</w:t>
            </w:r>
            <w:r w:rsidR="00A813DE" w:rsidRPr="00A23740">
              <w:rPr>
                <w:strike w:val="0"/>
              </w:rPr>
              <w:t xml:space="preserve"> </w:t>
            </w:r>
            <w:r w:rsidR="00A813DE" w:rsidRPr="00A23740">
              <w:rPr>
                <w:rStyle w:val="Stil2Char"/>
                <w:rFonts w:eastAsia="Calibri"/>
                <w:b/>
                <w:bCs/>
                <w:strike w:val="0"/>
                <w:u w:val="none"/>
                <w:lang w:val="tr-TR"/>
              </w:rPr>
              <w:t>(1) İcra ve iflas işlerine bakan</w:t>
            </w:r>
            <w:r w:rsidR="00A813DE" w:rsidRPr="00A23740">
              <w:rPr>
                <w:rStyle w:val="Stil2Char"/>
                <w:rFonts w:eastAsia="Calibri"/>
                <w:bCs/>
                <w:strike w:val="0"/>
                <w:u w:val="none"/>
                <w:lang w:val="tr-TR"/>
              </w:rPr>
              <w:t xml:space="preserve"> </w:t>
            </w:r>
            <w:r w:rsidR="00A813DE" w:rsidRPr="00A23740">
              <w:rPr>
                <w:rStyle w:val="Stil2Char"/>
                <w:rFonts w:eastAsia="Calibri"/>
                <w:b/>
                <w:bCs/>
                <w:strike w:val="0"/>
                <w:u w:val="none"/>
                <w:lang w:val="tr-TR"/>
              </w:rPr>
              <w:t>görevliler, aşağıdaki h</w:t>
            </w:r>
            <w:r w:rsidR="00282320" w:rsidRPr="00A23740">
              <w:rPr>
                <w:rStyle w:val="Stil2Char"/>
                <w:rFonts w:eastAsia="Calibri"/>
                <w:b/>
                <w:bCs/>
                <w:strike w:val="0"/>
                <w:u w:val="none"/>
                <w:lang w:val="tr-TR"/>
              </w:rPr>
              <w:t>â</w:t>
            </w:r>
            <w:r w:rsidR="00A813DE" w:rsidRPr="00A23740">
              <w:rPr>
                <w:rStyle w:val="Stil2Char"/>
                <w:rFonts w:eastAsia="Calibri"/>
                <w:b/>
                <w:bCs/>
                <w:strike w:val="0"/>
                <w:u w:val="none"/>
                <w:lang w:val="tr-TR"/>
              </w:rPr>
              <w:t>llerde işlem yapamaz</w:t>
            </w:r>
            <w:r w:rsidR="003927BA" w:rsidRPr="00A23740">
              <w:rPr>
                <w:rStyle w:val="Stil2Char"/>
                <w:rFonts w:eastAsia="Calibri"/>
                <w:b/>
                <w:bCs/>
                <w:strike w:val="0"/>
                <w:u w:val="none"/>
                <w:lang w:val="tr-TR"/>
              </w:rPr>
              <w:t>lar</w:t>
            </w:r>
            <w:r w:rsidR="00A813DE" w:rsidRPr="00A23740">
              <w:rPr>
                <w:rStyle w:val="Stil2Char"/>
                <w:rFonts w:eastAsia="Calibri"/>
                <w:b/>
                <w:bCs/>
                <w:strike w:val="0"/>
                <w:u w:val="none"/>
                <w:lang w:val="tr-TR"/>
              </w:rPr>
              <w:t>, karar veremez</w:t>
            </w:r>
            <w:r w:rsidR="003927BA" w:rsidRPr="00A23740">
              <w:rPr>
                <w:rStyle w:val="Stil2Char"/>
                <w:rFonts w:eastAsia="Calibri"/>
                <w:b/>
                <w:bCs/>
                <w:strike w:val="0"/>
                <w:u w:val="none"/>
                <w:lang w:val="tr-TR"/>
              </w:rPr>
              <w:t>ler</w:t>
            </w:r>
            <w:r w:rsidR="00A813DE" w:rsidRPr="00A23740">
              <w:rPr>
                <w:rStyle w:val="Stil2Char"/>
                <w:rFonts w:eastAsia="Calibri"/>
                <w:b/>
                <w:bCs/>
                <w:strike w:val="0"/>
                <w:u w:val="none"/>
                <w:lang w:val="tr-TR"/>
              </w:rPr>
              <w:t xml:space="preserve"> ve talep olmasa bile </w:t>
            </w:r>
            <w:r w:rsidR="00692F47" w:rsidRPr="00A23740">
              <w:rPr>
                <w:rStyle w:val="Stil2Char"/>
                <w:rFonts w:eastAsia="Calibri"/>
                <w:b/>
                <w:bCs/>
                <w:strike w:val="0"/>
                <w:u w:val="none"/>
                <w:lang w:val="tr-TR"/>
              </w:rPr>
              <w:t xml:space="preserve">çekilmek </w:t>
            </w:r>
            <w:r w:rsidR="00A813DE" w:rsidRPr="00A23740">
              <w:rPr>
                <w:rStyle w:val="Stil2Char"/>
                <w:rFonts w:eastAsia="Calibri"/>
                <w:b/>
                <w:bCs/>
                <w:strike w:val="0"/>
                <w:u w:val="none"/>
                <w:lang w:val="tr-TR"/>
              </w:rPr>
              <w:t>zorundadır</w:t>
            </w:r>
            <w:r w:rsidR="003927BA" w:rsidRPr="00A23740">
              <w:rPr>
                <w:rStyle w:val="Stil2Char"/>
                <w:rFonts w:eastAsia="Calibri"/>
                <w:b/>
                <w:bCs/>
                <w:strike w:val="0"/>
                <w:u w:val="none"/>
                <w:lang w:val="tr-TR"/>
              </w:rPr>
              <w:t>lar</w:t>
            </w:r>
            <w:r w:rsidR="00A813DE" w:rsidRPr="00A23740">
              <w:rPr>
                <w:rStyle w:val="Stil2Char"/>
                <w:rFonts w:eastAsia="Calibri"/>
                <w:b/>
                <w:bCs/>
                <w:strike w:val="0"/>
                <w:u w:val="none"/>
                <w:lang w:val="tr-TR"/>
              </w:rPr>
              <w:t>:</w:t>
            </w:r>
          </w:p>
          <w:p w:rsidR="001E132C" w:rsidRPr="00A23740" w:rsidRDefault="001E132C" w:rsidP="009431FF">
            <w:pPr>
              <w:pStyle w:val="Mavi"/>
              <w:rPr>
                <w:rStyle w:val="Stil2Char"/>
                <w:rFonts w:eastAsia="Calibri"/>
                <w:b/>
                <w:u w:val="none"/>
              </w:rPr>
            </w:pPr>
            <w:r w:rsidRPr="00A23740">
              <w:rPr>
                <w:rStyle w:val="Stil2Char"/>
                <w:rFonts w:eastAsia="Calibri"/>
                <w:b/>
                <w:u w:val="none"/>
              </w:rPr>
              <w:t>a) Kendisine ait olan veya doğrudan doğruya ya da dolayısıyla ilgili olduğu icra takip dosyasında.</w:t>
            </w:r>
          </w:p>
          <w:p w:rsidR="008E162A" w:rsidRPr="00A23740" w:rsidRDefault="008E162A" w:rsidP="009431FF">
            <w:pPr>
              <w:pStyle w:val="Mavi"/>
              <w:rPr>
                <w:rStyle w:val="Stil2Char"/>
                <w:rFonts w:eastAsia="Calibri"/>
                <w:b/>
                <w:u w:val="none"/>
              </w:rPr>
            </w:pPr>
          </w:p>
          <w:p w:rsidR="001E132C" w:rsidRPr="00A23740" w:rsidRDefault="001E132C" w:rsidP="009431FF">
            <w:pPr>
              <w:pStyle w:val="Mavi"/>
              <w:rPr>
                <w:rStyle w:val="Stil2Char"/>
                <w:rFonts w:eastAsia="Calibri"/>
                <w:b/>
                <w:u w:val="none"/>
              </w:rPr>
            </w:pPr>
            <w:r w:rsidRPr="00A23740">
              <w:rPr>
                <w:rStyle w:val="Stil2Char"/>
                <w:rFonts w:eastAsia="Calibri"/>
                <w:b/>
                <w:u w:val="none"/>
              </w:rPr>
              <w:t>b) Aralarında evlilik bağı kalksa bile eşinin işinde.</w:t>
            </w:r>
          </w:p>
          <w:p w:rsidR="008E162A" w:rsidRPr="00A23740" w:rsidRDefault="008E162A" w:rsidP="009431FF">
            <w:pPr>
              <w:pStyle w:val="Mavi"/>
              <w:rPr>
                <w:rStyle w:val="Stil2Char"/>
                <w:rFonts w:eastAsia="Calibri"/>
                <w:b/>
                <w:u w:val="none"/>
              </w:rPr>
            </w:pPr>
          </w:p>
          <w:p w:rsidR="001E132C" w:rsidRPr="00A23740" w:rsidRDefault="001E132C" w:rsidP="009431FF">
            <w:pPr>
              <w:tabs>
                <w:tab w:val="left" w:pos="567"/>
              </w:tabs>
              <w:rPr>
                <w:rStyle w:val="MaviChar"/>
              </w:rPr>
            </w:pPr>
            <w:r w:rsidRPr="00A23740">
              <w:rPr>
                <w:rStyle w:val="MaviChar"/>
              </w:rPr>
              <w:t>c) Kendisi</w:t>
            </w:r>
            <w:r w:rsidR="00640FE6" w:rsidRPr="00A23740">
              <w:rPr>
                <w:rStyle w:val="MaviChar"/>
                <w:lang w:val="tr-TR"/>
              </w:rPr>
              <w:t>nin</w:t>
            </w:r>
            <w:r w:rsidRPr="00A23740">
              <w:rPr>
                <w:rStyle w:val="MaviChar"/>
              </w:rPr>
              <w:t xml:space="preserve"> veya </w:t>
            </w:r>
            <w:r w:rsidR="001D4CA0" w:rsidRPr="00A23740">
              <w:rPr>
                <w:rStyle w:val="MaviChar"/>
              </w:rPr>
              <w:t xml:space="preserve">aralarında evlilik bağı kalksa bile </w:t>
            </w:r>
            <w:r w:rsidRPr="00A23740">
              <w:rPr>
                <w:rStyle w:val="MaviChar"/>
              </w:rPr>
              <w:t>eşinin altsoy veya</w:t>
            </w:r>
            <w:r w:rsidR="000B15E7" w:rsidRPr="00A23740">
              <w:rPr>
                <w:rStyle w:val="MaviChar"/>
              </w:rPr>
              <w:t xml:space="preserve"> üstsoyunun işinde.</w:t>
            </w:r>
          </w:p>
          <w:p w:rsidR="008E162A" w:rsidRPr="00A23740" w:rsidRDefault="008E162A" w:rsidP="009431FF">
            <w:pPr>
              <w:tabs>
                <w:tab w:val="left" w:pos="567"/>
              </w:tabs>
              <w:rPr>
                <w:rStyle w:val="Stil2Char"/>
                <w:rFonts w:eastAsia="Calibri"/>
                <w:u w:val="none"/>
              </w:rPr>
            </w:pPr>
          </w:p>
          <w:p w:rsidR="001E132C" w:rsidRPr="00A23740" w:rsidRDefault="001E132C" w:rsidP="009431FF">
            <w:pPr>
              <w:pStyle w:val="Mavi"/>
              <w:rPr>
                <w:rStyle w:val="Stil2Char"/>
                <w:rFonts w:eastAsia="Calibri"/>
                <w:b/>
                <w:u w:val="none"/>
              </w:rPr>
            </w:pPr>
            <w:r w:rsidRPr="00A23740">
              <w:rPr>
                <w:rStyle w:val="Stil2Char"/>
                <w:rFonts w:eastAsia="Calibri"/>
                <w:b/>
                <w:u w:val="none"/>
              </w:rPr>
              <w:t xml:space="preserve">ç) Kendisi ile arasında </w:t>
            </w:r>
            <w:r w:rsidR="000B15E7" w:rsidRPr="00A23740">
              <w:rPr>
                <w:rStyle w:val="Stil2Char"/>
                <w:rFonts w:eastAsia="Calibri"/>
                <w:b/>
                <w:u w:val="none"/>
              </w:rPr>
              <w:t>evlatlık bağı bulunanın işinde.</w:t>
            </w:r>
          </w:p>
          <w:p w:rsidR="008E162A" w:rsidRPr="00A23740" w:rsidRDefault="008E162A" w:rsidP="009431FF">
            <w:pPr>
              <w:pStyle w:val="Mavi"/>
              <w:rPr>
                <w:rStyle w:val="Stil2Char"/>
                <w:rFonts w:eastAsia="Calibri"/>
                <w:b/>
                <w:u w:val="none"/>
              </w:rPr>
            </w:pPr>
          </w:p>
          <w:p w:rsidR="001E132C" w:rsidRPr="00A23740" w:rsidRDefault="001E132C" w:rsidP="009431FF">
            <w:pPr>
              <w:pStyle w:val="Mavi"/>
              <w:rPr>
                <w:rStyle w:val="Stil2Char"/>
                <w:rFonts w:eastAsia="Calibri"/>
                <w:b/>
                <w:u w:val="none"/>
              </w:rPr>
            </w:pPr>
            <w:r w:rsidRPr="00A23740">
              <w:rPr>
                <w:rStyle w:val="Stil2Char"/>
                <w:rFonts w:eastAsia="Calibri"/>
                <w:b/>
                <w:u w:val="none"/>
              </w:rPr>
              <w:lastRenderedPageBreak/>
              <w:t>d) Üçüncü derece de dâhil olmak üzere kan veya kendisini oluşturan evlilik bağı kalksa dahi kayın</w:t>
            </w:r>
            <w:r w:rsidR="00323B5D" w:rsidRPr="00A23740">
              <w:rPr>
                <w:rStyle w:val="Stil2Char"/>
                <w:rFonts w:eastAsia="Calibri"/>
                <w:b/>
                <w:u w:val="none"/>
              </w:rPr>
              <w:t xml:space="preserve"> hısımlığı bulunanların işinde.</w:t>
            </w:r>
          </w:p>
          <w:p w:rsidR="008E162A" w:rsidRPr="00A23740" w:rsidRDefault="008E162A" w:rsidP="009431FF">
            <w:pPr>
              <w:pStyle w:val="Mavi"/>
              <w:rPr>
                <w:rStyle w:val="Stil2Char"/>
                <w:rFonts w:eastAsia="Calibri"/>
                <w:b/>
                <w:u w:val="none"/>
              </w:rPr>
            </w:pPr>
          </w:p>
          <w:p w:rsidR="001E132C" w:rsidRPr="00A23740" w:rsidRDefault="001E132C" w:rsidP="009431FF">
            <w:pPr>
              <w:pStyle w:val="Mavi"/>
              <w:rPr>
                <w:rStyle w:val="Stil2Char"/>
                <w:rFonts w:eastAsia="Calibri"/>
                <w:b/>
                <w:u w:val="none"/>
              </w:rPr>
            </w:pPr>
            <w:r w:rsidRPr="00A23740">
              <w:rPr>
                <w:rStyle w:val="Stil2Char"/>
                <w:rFonts w:eastAsia="Calibri"/>
                <w:b/>
                <w:u w:val="none"/>
              </w:rPr>
              <w:t>e) Nişanlısının işinde.</w:t>
            </w:r>
          </w:p>
          <w:p w:rsidR="008E162A" w:rsidRPr="00A23740" w:rsidRDefault="008E162A" w:rsidP="009431FF">
            <w:pPr>
              <w:pStyle w:val="Mavi"/>
              <w:rPr>
                <w:rStyle w:val="Stil2Char"/>
                <w:rFonts w:eastAsia="Calibri"/>
                <w:b/>
                <w:u w:val="none"/>
              </w:rPr>
            </w:pPr>
          </w:p>
          <w:p w:rsidR="00CD2ABA" w:rsidRPr="00A23740" w:rsidRDefault="001E132C" w:rsidP="009431FF">
            <w:pPr>
              <w:pStyle w:val="Mavi"/>
              <w:rPr>
                <w:rStyle w:val="Stil2Char"/>
                <w:rFonts w:eastAsia="Calibri"/>
                <w:b/>
                <w:u w:val="none"/>
              </w:rPr>
            </w:pPr>
            <w:r w:rsidRPr="00A23740">
              <w:rPr>
                <w:rStyle w:val="Stil2Char"/>
                <w:rFonts w:eastAsia="Calibri"/>
                <w:b/>
                <w:u w:val="none"/>
              </w:rPr>
              <w:t>f) İki taraftan birinin vekili, vasisi, kayyımı veya yasal danışmanı sıfatıyla hareket ettiği işte.</w:t>
            </w:r>
          </w:p>
          <w:p w:rsidR="008E162A" w:rsidRPr="00A23740" w:rsidRDefault="008E162A" w:rsidP="009431FF">
            <w:pPr>
              <w:pStyle w:val="Mavi"/>
              <w:rPr>
                <w:b w:val="0"/>
                <w:strike/>
                <w:color w:val="auto"/>
                <w:lang w:val="tr-TR" w:eastAsia="tr-TR"/>
              </w:rPr>
            </w:pPr>
          </w:p>
          <w:p w:rsidR="007B179A" w:rsidRPr="00A23740" w:rsidRDefault="00CD2ABA" w:rsidP="009431FF">
            <w:pPr>
              <w:pStyle w:val="Stil3"/>
              <w:rPr>
                <w:rStyle w:val="Stil2Char"/>
                <w:rFonts w:eastAsia="Calibri"/>
                <w:b/>
                <w:bCs/>
                <w:strike w:val="0"/>
                <w:u w:val="none"/>
                <w:lang w:val="tr-TR"/>
              </w:rPr>
            </w:pPr>
            <w:r w:rsidRPr="00A23740">
              <w:rPr>
                <w:rStyle w:val="Stil2Char"/>
                <w:rFonts w:eastAsia="Calibri"/>
                <w:b/>
                <w:bCs/>
                <w:strike w:val="0"/>
                <w:u w:val="none"/>
              </w:rPr>
              <w:t>(2)</w:t>
            </w:r>
            <w:r w:rsidR="007B179A" w:rsidRPr="00A23740">
              <w:rPr>
                <w:rStyle w:val="Stil2Char"/>
                <w:rFonts w:eastAsia="Calibri"/>
                <w:b/>
                <w:bCs/>
                <w:strike w:val="0"/>
                <w:u w:val="none"/>
                <w:lang w:val="tr-TR"/>
              </w:rPr>
              <w:t xml:space="preserve"> İcra ve iflas dairesi görevlileri,</w:t>
            </w:r>
            <w:r w:rsidRPr="00A23740">
              <w:rPr>
                <w:rStyle w:val="MaviChar"/>
                <w:strike w:val="0"/>
                <w:lang w:val="tr-TR"/>
              </w:rPr>
              <w:t xml:space="preserve"> </w:t>
            </w:r>
            <w:r w:rsidRPr="00A23740">
              <w:rPr>
                <w:rStyle w:val="Stil2Char"/>
                <w:rFonts w:eastAsia="Calibri"/>
                <w:b/>
                <w:bCs/>
                <w:strike w:val="0"/>
                <w:u w:val="none"/>
              </w:rPr>
              <w:t>tarafsızlı</w:t>
            </w:r>
            <w:r w:rsidRPr="00A23740">
              <w:rPr>
                <w:rStyle w:val="Stil2Char"/>
                <w:rFonts w:eastAsia="Calibri"/>
                <w:b/>
                <w:bCs/>
                <w:strike w:val="0"/>
                <w:u w:val="none"/>
                <w:lang w:val="tr-TR"/>
              </w:rPr>
              <w:t xml:space="preserve">ğından </w:t>
            </w:r>
            <w:r w:rsidRPr="00A23740">
              <w:rPr>
                <w:rStyle w:val="Stil2Char"/>
                <w:rFonts w:eastAsia="Calibri"/>
                <w:b/>
                <w:bCs/>
                <w:strike w:val="0"/>
                <w:u w:val="none"/>
              </w:rPr>
              <w:t>kuşku duyul</w:t>
            </w:r>
            <w:r w:rsidR="007B179A" w:rsidRPr="00A23740">
              <w:rPr>
                <w:rStyle w:val="Stil2Char"/>
                <w:rFonts w:eastAsia="Calibri"/>
                <w:b/>
                <w:bCs/>
                <w:strike w:val="0"/>
                <w:u w:val="none"/>
                <w:lang w:val="tr-TR"/>
              </w:rPr>
              <w:t>an bir sebep</w:t>
            </w:r>
            <w:r w:rsidRPr="00A23740">
              <w:rPr>
                <w:rStyle w:val="Stil2Char"/>
                <w:rFonts w:eastAsia="Calibri"/>
                <w:b/>
                <w:bCs/>
                <w:strike w:val="0"/>
                <w:u w:val="none"/>
                <w:lang w:val="tr-TR"/>
              </w:rPr>
              <w:t xml:space="preserve"> bulun</w:t>
            </w:r>
            <w:r w:rsidR="007B179A" w:rsidRPr="00A23740">
              <w:rPr>
                <w:rStyle w:val="Stil2Char"/>
                <w:rFonts w:eastAsia="Calibri"/>
                <w:b/>
                <w:bCs/>
                <w:strike w:val="0"/>
                <w:u w:val="none"/>
                <w:lang w:val="tr-TR"/>
              </w:rPr>
              <w:t>ursa</w:t>
            </w:r>
            <w:r w:rsidR="00C36750" w:rsidRPr="00A23740">
              <w:rPr>
                <w:rStyle w:val="Stil2Char"/>
                <w:rFonts w:eastAsia="Calibri"/>
                <w:b/>
                <w:bCs/>
                <w:strike w:val="0"/>
                <w:u w:val="none"/>
                <w:lang w:val="tr-TR"/>
              </w:rPr>
              <w:t xml:space="preserve"> işlem</w:t>
            </w:r>
            <w:r w:rsidR="007B179A" w:rsidRPr="00A23740">
              <w:rPr>
                <w:rStyle w:val="Stil2Char"/>
                <w:rFonts w:eastAsia="Calibri"/>
                <w:b/>
                <w:bCs/>
                <w:strike w:val="0"/>
                <w:u w:val="none"/>
                <w:lang w:val="tr-TR"/>
              </w:rPr>
              <w:t xml:space="preserve"> yap</w:t>
            </w:r>
            <w:r w:rsidR="00C36750" w:rsidRPr="00A23740">
              <w:rPr>
                <w:rStyle w:val="Stil2Char"/>
                <w:rFonts w:eastAsia="Calibri"/>
                <w:b/>
                <w:bCs/>
                <w:strike w:val="0"/>
                <w:u w:val="none"/>
                <w:lang w:val="tr-TR"/>
              </w:rPr>
              <w:t>amaz</w:t>
            </w:r>
            <w:r w:rsidR="003927BA" w:rsidRPr="002B26FC">
              <w:rPr>
                <w:rStyle w:val="Stil2Char"/>
                <w:rFonts w:eastAsia="Calibri"/>
                <w:b/>
                <w:bCs/>
                <w:strike w:val="0"/>
                <w:u w:val="none"/>
                <w:lang w:val="tr-TR"/>
              </w:rPr>
              <w:t>lar</w:t>
            </w:r>
            <w:r w:rsidR="00C36750" w:rsidRPr="00A23740">
              <w:rPr>
                <w:rStyle w:val="Stil2Char"/>
                <w:rFonts w:eastAsia="Calibri"/>
                <w:b/>
                <w:bCs/>
                <w:strike w:val="0"/>
                <w:u w:val="none"/>
                <w:lang w:val="tr-TR"/>
              </w:rPr>
              <w:t>, karar veremez</w:t>
            </w:r>
            <w:r w:rsidR="003927BA" w:rsidRPr="002B26FC">
              <w:rPr>
                <w:rStyle w:val="Stil2Char"/>
                <w:rFonts w:eastAsia="Calibri"/>
                <w:b/>
                <w:bCs/>
                <w:strike w:val="0"/>
                <w:u w:val="none"/>
                <w:lang w:val="tr-TR"/>
              </w:rPr>
              <w:t>ler</w:t>
            </w:r>
            <w:r w:rsidR="00C36750" w:rsidRPr="00A23740">
              <w:rPr>
                <w:rStyle w:val="Stil2Char"/>
                <w:rFonts w:eastAsia="Calibri"/>
                <w:b/>
                <w:bCs/>
                <w:strike w:val="0"/>
                <w:u w:val="none"/>
                <w:lang w:val="tr-TR"/>
              </w:rPr>
              <w:t xml:space="preserve"> ve talep olmasa bile çekilmek zorundadır</w:t>
            </w:r>
            <w:r w:rsidR="003927BA" w:rsidRPr="002B26FC">
              <w:rPr>
                <w:rStyle w:val="Stil2Char"/>
                <w:rFonts w:eastAsia="Calibri"/>
                <w:b/>
                <w:bCs/>
                <w:strike w:val="0"/>
                <w:u w:val="none"/>
                <w:lang w:val="tr-TR"/>
              </w:rPr>
              <w:t>lar</w:t>
            </w:r>
            <w:r w:rsidR="00C36750" w:rsidRPr="00A23740">
              <w:rPr>
                <w:rStyle w:val="Stil2Char"/>
                <w:rFonts w:eastAsia="Calibri"/>
                <w:b/>
                <w:bCs/>
                <w:strike w:val="0"/>
                <w:u w:val="none"/>
                <w:lang w:val="tr-TR"/>
              </w:rPr>
              <w:t>.</w:t>
            </w:r>
          </w:p>
          <w:p w:rsidR="007B179A" w:rsidRPr="00A23740" w:rsidRDefault="007B179A" w:rsidP="009431FF">
            <w:pPr>
              <w:pStyle w:val="Stil3"/>
              <w:rPr>
                <w:rStyle w:val="Stil2Char"/>
                <w:rFonts w:eastAsia="Calibri"/>
                <w:b/>
                <w:bCs/>
                <w:strike w:val="0"/>
                <w:u w:val="none"/>
                <w:lang w:val="tr-TR"/>
              </w:rPr>
            </w:pPr>
          </w:p>
          <w:p w:rsidR="004A68EB" w:rsidRPr="00A23740" w:rsidRDefault="007B179A" w:rsidP="009431FF">
            <w:pPr>
              <w:pStyle w:val="Stil3"/>
              <w:rPr>
                <w:b w:val="0"/>
                <w:strike w:val="0"/>
                <w:color w:val="auto"/>
                <w:lang w:val="tr-TR" w:eastAsia="tr-TR"/>
              </w:rPr>
            </w:pPr>
            <w:r w:rsidRPr="00A23740">
              <w:rPr>
                <w:rStyle w:val="Stil2Char"/>
                <w:rFonts w:eastAsia="Calibri"/>
                <w:b/>
                <w:bCs/>
                <w:strike w:val="0"/>
                <w:u w:val="none"/>
                <w:lang w:val="tr-TR"/>
              </w:rPr>
              <w:t>(3) Yukarıdaki fıkralarda belirtilen h</w:t>
            </w:r>
            <w:r w:rsidR="004F4292" w:rsidRPr="00A23740">
              <w:rPr>
                <w:rStyle w:val="Stil2Char"/>
                <w:rFonts w:eastAsia="Calibri"/>
                <w:b/>
                <w:bCs/>
                <w:strike w:val="0"/>
                <w:u w:val="none"/>
                <w:lang w:val="tr-TR"/>
              </w:rPr>
              <w:t>â</w:t>
            </w:r>
            <w:r w:rsidRPr="00A23740">
              <w:rPr>
                <w:rStyle w:val="Stil2Char"/>
                <w:rFonts w:eastAsia="Calibri"/>
                <w:b/>
                <w:bCs/>
                <w:strike w:val="0"/>
                <w:u w:val="none"/>
                <w:lang w:val="tr-TR"/>
              </w:rPr>
              <w:t>llerde</w:t>
            </w:r>
            <w:r w:rsidR="00401A13" w:rsidRPr="00A23740">
              <w:rPr>
                <w:rStyle w:val="Stil2Char"/>
                <w:rFonts w:eastAsia="Calibri"/>
                <w:b/>
                <w:bCs/>
                <w:strike w:val="0"/>
                <w:u w:val="none"/>
                <w:lang w:val="tr-TR"/>
              </w:rPr>
              <w:t>,</w:t>
            </w:r>
            <w:r w:rsidRPr="00A23740">
              <w:rPr>
                <w:rStyle w:val="Stil2Char"/>
                <w:rFonts w:eastAsia="Calibri"/>
                <w:b/>
                <w:bCs/>
                <w:strike w:val="0"/>
                <w:u w:val="none"/>
                <w:lang w:val="tr-TR"/>
              </w:rPr>
              <w:t xml:space="preserve"> icra ve iflas dairesi görevlileri</w:t>
            </w:r>
            <w:r w:rsidR="00401A13" w:rsidRPr="00A23740">
              <w:rPr>
                <w:rStyle w:val="Stil2Char"/>
                <w:rFonts w:eastAsia="Calibri"/>
                <w:b/>
                <w:bCs/>
                <w:strike w:val="0"/>
                <w:u w:val="none"/>
                <w:lang w:val="tr-TR"/>
              </w:rPr>
              <w:t>,</w:t>
            </w:r>
            <w:r w:rsidR="00CD2ABA" w:rsidRPr="00A23740">
              <w:rPr>
                <w:rStyle w:val="MaviChar"/>
                <w:rFonts w:eastAsia="ヒラギノ明朝 Pro W3"/>
                <w:b/>
                <w:strike w:val="0"/>
              </w:rPr>
              <w:t xml:space="preserve"> durumu</w:t>
            </w:r>
            <w:r w:rsidR="00C36750" w:rsidRPr="00A23740">
              <w:rPr>
                <w:rStyle w:val="MaviChar"/>
                <w:rFonts w:eastAsia="ヒラギノ明朝 Pro W3"/>
                <w:b/>
                <w:strike w:val="0"/>
                <w:lang w:val="tr-TR"/>
              </w:rPr>
              <w:t xml:space="preserve"> belirtmek suretiyle</w:t>
            </w:r>
            <w:r w:rsidR="00401A13" w:rsidRPr="00A23740">
              <w:rPr>
                <w:rStyle w:val="MaviChar"/>
                <w:rFonts w:eastAsia="ヒラギノ明朝 Pro W3"/>
                <w:b/>
                <w:strike w:val="0"/>
                <w:lang w:val="tr-TR"/>
              </w:rPr>
              <w:t xml:space="preserve"> </w:t>
            </w:r>
            <w:r w:rsidR="00401A13" w:rsidRPr="00A23740">
              <w:rPr>
                <w:b w:val="0"/>
                <w:strike w:val="0"/>
                <w:color w:val="auto"/>
                <w:lang w:val="tr-TR" w:eastAsia="tr-TR"/>
              </w:rPr>
              <w:t>derh</w:t>
            </w:r>
            <w:r w:rsidR="00DF22A1" w:rsidRPr="00A23740">
              <w:rPr>
                <w:b w:val="0"/>
                <w:strike w:val="0"/>
                <w:color w:val="auto"/>
                <w:lang w:val="tr-TR" w:eastAsia="tr-TR"/>
              </w:rPr>
              <w:t>â</w:t>
            </w:r>
            <w:r w:rsidR="00401A13" w:rsidRPr="00A23740">
              <w:rPr>
                <w:b w:val="0"/>
                <w:strike w:val="0"/>
                <w:color w:val="auto"/>
                <w:lang w:val="tr-TR" w:eastAsia="tr-TR"/>
              </w:rPr>
              <w:t>l</w:t>
            </w:r>
            <w:r w:rsidR="00CD2ABA" w:rsidRPr="00A23740">
              <w:rPr>
                <w:rStyle w:val="YELChar"/>
                <w:b/>
                <w:strike w:val="0"/>
              </w:rPr>
              <w:t xml:space="preserve"> </w:t>
            </w:r>
            <w:r w:rsidR="00CD2ABA" w:rsidRPr="00A23740">
              <w:rPr>
                <w:b w:val="0"/>
                <w:strike w:val="0"/>
                <w:color w:val="auto"/>
                <w:lang w:val="tr-TR" w:eastAsia="tr-TR"/>
              </w:rPr>
              <w:t xml:space="preserve">icra </w:t>
            </w:r>
            <w:r w:rsidR="00CD2ABA" w:rsidRPr="00A23740">
              <w:rPr>
                <w:rStyle w:val="Stil2Char"/>
                <w:rFonts w:eastAsia="Calibri"/>
                <w:b/>
                <w:bCs/>
                <w:strike w:val="0"/>
                <w:u w:val="none"/>
              </w:rPr>
              <w:t>hukuk</w:t>
            </w:r>
            <w:r w:rsidR="00CD2ABA" w:rsidRPr="00A23740">
              <w:rPr>
                <w:b w:val="0"/>
                <w:strike w:val="0"/>
                <w:color w:val="auto"/>
                <w:lang w:val="tr-TR" w:eastAsia="tr-TR"/>
              </w:rPr>
              <w:t xml:space="preserve"> mahkemesi</w:t>
            </w:r>
            <w:r w:rsidR="00CD2ABA" w:rsidRPr="00A23740">
              <w:rPr>
                <w:rStyle w:val="MaviChar"/>
                <w:b/>
                <w:strike w:val="0"/>
              </w:rPr>
              <w:t>ne</w:t>
            </w:r>
            <w:r w:rsidR="00502E19" w:rsidRPr="00A23740">
              <w:rPr>
                <w:b w:val="0"/>
                <w:strike w:val="0"/>
                <w:color w:val="auto"/>
                <w:lang w:val="tr-TR" w:eastAsia="tr-TR"/>
              </w:rPr>
              <w:t xml:space="preserve"> </w:t>
            </w:r>
            <w:r w:rsidR="00C36750" w:rsidRPr="00A23740">
              <w:rPr>
                <w:rStyle w:val="MaviChar"/>
                <w:b/>
                <w:strike w:val="0"/>
              </w:rPr>
              <w:t>başvurmak</w:t>
            </w:r>
            <w:r w:rsidR="00CD2ABA" w:rsidRPr="00A23740">
              <w:rPr>
                <w:b w:val="0"/>
                <w:strike w:val="0"/>
                <w:color w:val="auto"/>
                <w:lang w:val="tr-TR" w:eastAsia="tr-TR"/>
              </w:rPr>
              <w:t xml:space="preserve"> </w:t>
            </w:r>
            <w:r w:rsidR="00CD2ABA" w:rsidRPr="00A23740">
              <w:rPr>
                <w:rStyle w:val="MaviChar"/>
                <w:b/>
                <w:strike w:val="0"/>
              </w:rPr>
              <w:t>zorundadır</w:t>
            </w:r>
            <w:r w:rsidR="003927BA" w:rsidRPr="002B26FC">
              <w:rPr>
                <w:rStyle w:val="MaviChar"/>
                <w:b/>
                <w:strike w:val="0"/>
              </w:rPr>
              <w:t>lar</w:t>
            </w:r>
            <w:r w:rsidR="00A813DE" w:rsidRPr="00A23740">
              <w:rPr>
                <w:rStyle w:val="MaviChar"/>
                <w:strike w:val="0"/>
              </w:rPr>
              <w:t>.</w:t>
            </w:r>
            <w:r w:rsidR="00CD2ABA" w:rsidRPr="00A23740">
              <w:rPr>
                <w:b w:val="0"/>
                <w:strike w:val="0"/>
                <w:color w:val="auto"/>
                <w:lang w:val="tr-TR" w:eastAsia="tr-TR"/>
              </w:rPr>
              <w:t xml:space="preserve"> İcra </w:t>
            </w:r>
            <w:r w:rsidR="00CD2ABA" w:rsidRPr="00A23740">
              <w:rPr>
                <w:rStyle w:val="Stil2Char"/>
                <w:rFonts w:eastAsia="Calibri"/>
                <w:b/>
                <w:bCs/>
                <w:strike w:val="0"/>
                <w:u w:val="none"/>
              </w:rPr>
              <w:t>hukuk</w:t>
            </w:r>
            <w:r w:rsidR="00CD2ABA" w:rsidRPr="00A23740">
              <w:rPr>
                <w:b w:val="0"/>
                <w:strike w:val="0"/>
                <w:color w:val="auto"/>
                <w:lang w:val="tr-TR" w:eastAsia="tr-TR"/>
              </w:rPr>
              <w:t xml:space="preserve"> mahkemesi</w:t>
            </w:r>
            <w:r w:rsidR="00CD2ABA" w:rsidRPr="00A23740">
              <w:rPr>
                <w:rStyle w:val="MaviChar"/>
                <w:b/>
                <w:strike w:val="0"/>
              </w:rPr>
              <w:t>,</w:t>
            </w:r>
            <w:r w:rsidR="00CD2ABA" w:rsidRPr="00A23740">
              <w:rPr>
                <w:b w:val="0"/>
                <w:strike w:val="0"/>
                <w:color w:val="auto"/>
                <w:lang w:val="tr-TR" w:eastAsia="tr-TR"/>
              </w:rPr>
              <w:t xml:space="preserve"> </w:t>
            </w:r>
            <w:r w:rsidR="00CD2ABA" w:rsidRPr="00A23740">
              <w:rPr>
                <w:rStyle w:val="MaviChar"/>
                <w:b/>
                <w:strike w:val="0"/>
              </w:rPr>
              <w:t>başvuruyu</w:t>
            </w:r>
            <w:r w:rsidR="00CD2ABA" w:rsidRPr="00A23740">
              <w:rPr>
                <w:b w:val="0"/>
                <w:strike w:val="0"/>
                <w:color w:val="auto"/>
                <w:lang w:val="tr-TR" w:eastAsia="tr-TR"/>
              </w:rPr>
              <w:t xml:space="preserve"> yerinde görürse o işi </w:t>
            </w:r>
            <w:r w:rsidR="00CD2ABA" w:rsidRPr="00A23740">
              <w:rPr>
                <w:rStyle w:val="Stil2Char"/>
                <w:rFonts w:eastAsia="Calibri"/>
                <w:b/>
                <w:bCs/>
                <w:strike w:val="0"/>
                <w:u w:val="none"/>
              </w:rPr>
              <w:t>aynı</w:t>
            </w:r>
            <w:r w:rsidR="00CD2ABA" w:rsidRPr="00A23740">
              <w:rPr>
                <w:rStyle w:val="Stil2Char"/>
                <w:rFonts w:eastAsia="Calibri"/>
                <w:strike w:val="0"/>
                <w:u w:val="none"/>
              </w:rPr>
              <w:t xml:space="preserve"> </w:t>
            </w:r>
            <w:r w:rsidR="00595B98" w:rsidRPr="00A23740">
              <w:rPr>
                <w:rStyle w:val="Stil2Char"/>
                <w:rFonts w:eastAsia="Calibri"/>
                <w:b/>
                <w:bCs/>
                <w:strike w:val="0"/>
                <w:u w:val="none"/>
                <w:lang w:val="tr-TR"/>
              </w:rPr>
              <w:t>ü</w:t>
            </w:r>
            <w:r w:rsidR="00CD2ABA" w:rsidRPr="00A23740">
              <w:rPr>
                <w:rStyle w:val="Stil2Char"/>
                <w:rFonts w:eastAsia="Calibri"/>
                <w:b/>
                <w:bCs/>
                <w:strike w:val="0"/>
                <w:u w:val="none"/>
              </w:rPr>
              <w:t>nvana</w:t>
            </w:r>
            <w:r w:rsidR="00CD2ABA" w:rsidRPr="00A23740">
              <w:rPr>
                <w:rStyle w:val="Stil2Char"/>
                <w:rFonts w:eastAsia="Calibri"/>
                <w:strike w:val="0"/>
                <w:u w:val="none"/>
              </w:rPr>
              <w:t xml:space="preserve"> </w:t>
            </w:r>
            <w:r w:rsidR="00CD2ABA" w:rsidRPr="00A23740">
              <w:rPr>
                <w:rStyle w:val="Stil2Char"/>
                <w:rFonts w:eastAsia="Calibri"/>
                <w:b/>
                <w:bCs/>
                <w:strike w:val="0"/>
                <w:u w:val="none"/>
              </w:rPr>
              <w:t>sahip</w:t>
            </w:r>
            <w:r w:rsidR="00CD2ABA" w:rsidRPr="00A23740">
              <w:rPr>
                <w:b w:val="0"/>
                <w:strike w:val="0"/>
                <w:color w:val="auto"/>
                <w:lang w:val="tr-TR" w:eastAsia="tr-TR"/>
              </w:rPr>
              <w:t xml:space="preserve"> diğer bir</w:t>
            </w:r>
            <w:r w:rsidR="00CD2ABA" w:rsidRPr="00A23740">
              <w:rPr>
                <w:strike w:val="0"/>
                <w:color w:val="000000"/>
                <w:lang w:val="tr-TR"/>
              </w:rPr>
              <w:t xml:space="preserve"> </w:t>
            </w:r>
            <w:r w:rsidR="00CD2ABA" w:rsidRPr="00A23740">
              <w:rPr>
                <w:rStyle w:val="MaviChar"/>
                <w:b/>
                <w:strike w:val="0"/>
              </w:rPr>
              <w:t>görevliye,</w:t>
            </w:r>
            <w:r w:rsidR="00CD2ABA" w:rsidRPr="00A23740">
              <w:rPr>
                <w:b w:val="0"/>
                <w:strike w:val="0"/>
                <w:color w:val="auto"/>
                <w:lang w:val="tr-TR" w:eastAsia="tr-TR"/>
              </w:rPr>
              <w:t xml:space="preserve"> </w:t>
            </w:r>
            <w:r w:rsidR="00CD2ABA" w:rsidRPr="00A23740">
              <w:rPr>
                <w:rStyle w:val="MaviChar"/>
                <w:rFonts w:eastAsia="Calibri"/>
                <w:b/>
                <w:strike w:val="0"/>
                <w:lang w:val="tr-TR"/>
              </w:rPr>
              <w:t xml:space="preserve">aynı </w:t>
            </w:r>
            <w:r w:rsidR="00595B98" w:rsidRPr="00A23740">
              <w:rPr>
                <w:rStyle w:val="MaviChar"/>
                <w:rFonts w:eastAsia="Calibri"/>
                <w:b/>
                <w:strike w:val="0"/>
                <w:lang w:val="tr-TR"/>
              </w:rPr>
              <w:t>ü</w:t>
            </w:r>
            <w:r w:rsidR="00CD2ABA" w:rsidRPr="00A23740">
              <w:rPr>
                <w:rStyle w:val="MaviChar"/>
                <w:rFonts w:eastAsia="Calibri"/>
                <w:b/>
                <w:strike w:val="0"/>
                <w:lang w:val="tr-TR"/>
              </w:rPr>
              <w:t>nvana sahip görevlinin</w:t>
            </w:r>
            <w:r w:rsidR="00CD2ABA" w:rsidRPr="00A23740">
              <w:rPr>
                <w:rStyle w:val="MaviChar"/>
                <w:rFonts w:eastAsia="Calibri"/>
                <w:b/>
                <w:strike w:val="0"/>
              </w:rPr>
              <w:t xml:space="preserve"> bulunmaması h</w:t>
            </w:r>
            <w:r w:rsidR="004F4292" w:rsidRPr="00A23740">
              <w:rPr>
                <w:rStyle w:val="MaviChar"/>
                <w:rFonts w:eastAsia="Calibri"/>
                <w:b/>
                <w:strike w:val="0"/>
                <w:lang w:val="tr-TR"/>
              </w:rPr>
              <w:t>â</w:t>
            </w:r>
            <w:r w:rsidR="00CD2ABA" w:rsidRPr="00A23740">
              <w:rPr>
                <w:rStyle w:val="MaviChar"/>
                <w:rFonts w:eastAsia="Calibri"/>
                <w:b/>
                <w:strike w:val="0"/>
              </w:rPr>
              <w:t>linde</w:t>
            </w:r>
            <w:r w:rsidR="00CD2ABA" w:rsidRPr="00A23740">
              <w:rPr>
                <w:b w:val="0"/>
                <w:strike w:val="0"/>
                <w:color w:val="auto"/>
                <w:lang w:val="tr-TR" w:eastAsia="tr-TR"/>
              </w:rPr>
              <w:t xml:space="preserve"> </w:t>
            </w:r>
            <w:r w:rsidR="00CD2ABA" w:rsidRPr="00A23740">
              <w:rPr>
                <w:rStyle w:val="Stil2Char"/>
                <w:rFonts w:eastAsia="Calibri"/>
                <w:b/>
                <w:bCs/>
                <w:strike w:val="0"/>
                <w:u w:val="none"/>
              </w:rPr>
              <w:t xml:space="preserve">o </w:t>
            </w:r>
            <w:r w:rsidR="00CD2ABA" w:rsidRPr="00A23740">
              <w:rPr>
                <w:rStyle w:val="MaviChar"/>
                <w:rFonts w:eastAsia="Calibri"/>
                <w:b/>
                <w:strike w:val="0"/>
              </w:rPr>
              <w:t>dairede</w:t>
            </w:r>
            <w:r w:rsidR="00CD2ABA" w:rsidRPr="00A23740">
              <w:rPr>
                <w:rStyle w:val="MaviChar"/>
                <w:rFonts w:eastAsia="Calibri"/>
                <w:b/>
                <w:strike w:val="0"/>
                <w:lang w:val="tr-TR"/>
              </w:rPr>
              <w:t>ki diğer bir görevliye</w:t>
            </w:r>
            <w:r w:rsidR="00CD2ABA" w:rsidRPr="00A23740">
              <w:rPr>
                <w:rStyle w:val="MaviChar"/>
                <w:rFonts w:eastAsia="Calibri"/>
                <w:b/>
                <w:strike w:val="0"/>
              </w:rPr>
              <w:t>,</w:t>
            </w:r>
            <w:r w:rsidR="00CD2ABA" w:rsidRPr="00A23740">
              <w:rPr>
                <w:rStyle w:val="MaviChar"/>
                <w:rFonts w:eastAsia="Calibri"/>
                <w:b/>
                <w:strike w:val="0"/>
                <w:lang w:val="tr-TR"/>
              </w:rPr>
              <w:t xml:space="preserve"> bunun da bulunmaması h</w:t>
            </w:r>
            <w:r w:rsidR="004F4292" w:rsidRPr="00A23740">
              <w:rPr>
                <w:rStyle w:val="MaviChar"/>
                <w:rFonts w:eastAsia="Calibri"/>
                <w:b/>
                <w:strike w:val="0"/>
                <w:lang w:val="tr-TR"/>
              </w:rPr>
              <w:t>â</w:t>
            </w:r>
            <w:r w:rsidR="00CD2ABA" w:rsidRPr="00A23740">
              <w:rPr>
                <w:rStyle w:val="MaviChar"/>
                <w:rFonts w:eastAsia="Calibri"/>
                <w:b/>
                <w:strike w:val="0"/>
                <w:lang w:val="tr-TR"/>
              </w:rPr>
              <w:t>linde ise o yerde</w:t>
            </w:r>
            <w:r w:rsidR="00CD2ABA" w:rsidRPr="00A23740">
              <w:rPr>
                <w:rStyle w:val="MaviChar"/>
                <w:rFonts w:eastAsia="Calibri"/>
                <w:b/>
                <w:strike w:val="0"/>
              </w:rPr>
              <w:t xml:space="preserve"> uygun göreceği görevlilerden</w:t>
            </w:r>
            <w:r w:rsidR="00CD2ABA" w:rsidRPr="00A23740">
              <w:rPr>
                <w:rStyle w:val="Stil2Char"/>
                <w:rFonts w:eastAsia="Calibri"/>
                <w:b/>
                <w:bCs/>
                <w:strike w:val="0"/>
                <w:u w:val="none"/>
              </w:rPr>
              <w:t xml:space="preserve"> </w:t>
            </w:r>
            <w:r w:rsidR="00FE4EDC" w:rsidRPr="00A23740">
              <w:rPr>
                <w:b w:val="0"/>
                <w:strike w:val="0"/>
                <w:color w:val="auto"/>
                <w:lang w:val="tr-TR" w:eastAsia="tr-TR"/>
              </w:rPr>
              <w:t>birine verir.</w:t>
            </w:r>
          </w:p>
          <w:p w:rsidR="001E132C" w:rsidRPr="00A23740" w:rsidRDefault="001E132C" w:rsidP="009431FF">
            <w:pPr>
              <w:pStyle w:val="MaddeBasl"/>
              <w:spacing w:before="0"/>
              <w:rPr>
                <w:rFonts w:ascii="Times New Roman" w:hAnsi="Times New Roman"/>
                <w:b/>
                <w:i w:val="0"/>
                <w:sz w:val="24"/>
                <w:szCs w:val="24"/>
                <w:lang w:val="tr-TR"/>
              </w:rPr>
            </w:pPr>
          </w:p>
        </w:tc>
      </w:tr>
      <w:tr w:rsidR="00083972" w:rsidRPr="00A23740" w:rsidTr="009431FF">
        <w:tc>
          <w:tcPr>
            <w:tcW w:w="5000" w:type="pct"/>
            <w:gridSpan w:val="2"/>
            <w:shd w:val="clear" w:color="auto" w:fill="DEEAF6"/>
          </w:tcPr>
          <w:p w:rsidR="00CD2ABA" w:rsidRPr="00A23740" w:rsidRDefault="00CD2ABA" w:rsidP="009431FF">
            <w:pPr>
              <w:ind w:firstLine="709"/>
              <w:rPr>
                <w:b/>
                <w:bCs/>
                <w:szCs w:val="24"/>
                <w:lang w:eastAsia="x-none"/>
              </w:rPr>
            </w:pPr>
          </w:p>
          <w:p w:rsidR="00F77FB4" w:rsidRPr="00A23740" w:rsidRDefault="00027B9F" w:rsidP="009431FF">
            <w:pPr>
              <w:tabs>
                <w:tab w:val="left" w:pos="567"/>
              </w:tabs>
              <w:ind w:firstLine="709"/>
              <w:rPr>
                <w:bCs/>
                <w:szCs w:val="24"/>
                <w:lang w:eastAsia="x-none"/>
              </w:rPr>
            </w:pPr>
            <w:r w:rsidRPr="00A23740">
              <w:rPr>
                <w:b/>
                <w:bCs/>
                <w:szCs w:val="24"/>
                <w:lang w:eastAsia="x-none"/>
              </w:rPr>
              <w:t>MADDE 14</w:t>
            </w:r>
            <w:r w:rsidR="00F77FB4" w:rsidRPr="00A23740">
              <w:rPr>
                <w:b/>
                <w:bCs/>
                <w:szCs w:val="24"/>
                <w:lang w:eastAsia="x-none"/>
              </w:rPr>
              <w:t>-</w:t>
            </w:r>
            <w:r w:rsidR="00F77FB4" w:rsidRPr="00A23740">
              <w:rPr>
                <w:bCs/>
                <w:szCs w:val="24"/>
                <w:lang w:eastAsia="x-none"/>
              </w:rPr>
              <w:t xml:space="preserve"> Maddeyle, </w:t>
            </w:r>
            <w:r w:rsidR="00B76C09" w:rsidRPr="00A23740">
              <w:rPr>
                <w:bCs/>
                <w:szCs w:val="24"/>
                <w:lang w:eastAsia="x-none"/>
              </w:rPr>
              <w:t xml:space="preserve">icra ve iflas </w:t>
            </w:r>
            <w:r w:rsidR="0001352C" w:rsidRPr="002B26FC">
              <w:rPr>
                <w:bCs/>
                <w:szCs w:val="24"/>
                <w:lang w:eastAsia="x-none"/>
              </w:rPr>
              <w:t>daireleri</w:t>
            </w:r>
            <w:r w:rsidR="00B76C09" w:rsidRPr="00A23740">
              <w:rPr>
                <w:bCs/>
                <w:szCs w:val="24"/>
                <w:lang w:eastAsia="x-none"/>
              </w:rPr>
              <w:t xml:space="preserve"> görevlilerinin iş görmekten </w:t>
            </w:r>
            <w:r w:rsidR="008037F3" w:rsidRPr="00A23740">
              <w:rPr>
                <w:bCs/>
                <w:szCs w:val="24"/>
                <w:lang w:eastAsia="x-none"/>
              </w:rPr>
              <w:t>yasaklılık ve reddi h</w:t>
            </w:r>
            <w:r w:rsidR="00DC05AA" w:rsidRPr="00A23740">
              <w:rPr>
                <w:bCs/>
                <w:szCs w:val="24"/>
                <w:lang w:eastAsia="x-none"/>
              </w:rPr>
              <w:t>â</w:t>
            </w:r>
            <w:r w:rsidR="008037F3" w:rsidRPr="00A23740">
              <w:rPr>
                <w:bCs/>
                <w:szCs w:val="24"/>
                <w:lang w:eastAsia="x-none"/>
              </w:rPr>
              <w:t>lleri</w:t>
            </w:r>
            <w:r w:rsidR="00B76C09" w:rsidRPr="00A23740">
              <w:rPr>
                <w:bCs/>
                <w:szCs w:val="24"/>
                <w:lang w:eastAsia="x-none"/>
              </w:rPr>
              <w:t xml:space="preserve"> </w:t>
            </w:r>
            <w:r w:rsidR="00F77FB4" w:rsidRPr="00A23740">
              <w:rPr>
                <w:bCs/>
                <w:szCs w:val="24"/>
                <w:lang w:eastAsia="x-none"/>
              </w:rPr>
              <w:t>düzenlenmektedir.</w:t>
            </w:r>
            <w:r w:rsidR="008037F3" w:rsidRPr="00A23740">
              <w:rPr>
                <w:bCs/>
                <w:szCs w:val="24"/>
                <w:lang w:eastAsia="x-none"/>
              </w:rPr>
              <w:t xml:space="preserve"> </w:t>
            </w:r>
            <w:r w:rsidR="00AD1DB2" w:rsidRPr="00A23740">
              <w:rPr>
                <w:bCs/>
                <w:szCs w:val="24"/>
                <w:lang w:eastAsia="x-none"/>
              </w:rPr>
              <w:t>Bu hüküm, 2004 sayılı Kanunun 10 uncu maddesine karşılık gelmektedir</w:t>
            </w:r>
            <w:r w:rsidR="00CD2ABA" w:rsidRPr="00A23740">
              <w:rPr>
                <w:bCs/>
                <w:szCs w:val="24"/>
                <w:lang w:eastAsia="x-none"/>
              </w:rPr>
              <w:t>.</w:t>
            </w:r>
            <w:r w:rsidRPr="00A23740">
              <w:rPr>
                <w:bCs/>
                <w:szCs w:val="24"/>
                <w:lang w:eastAsia="x-none"/>
              </w:rPr>
              <w:t xml:space="preserve"> Bu maddede kullanılmış olan “görevli” terimi müdür, müdür yardımcısı, memur, mübaşir ve hizmetliyi kapsamaktadır.</w:t>
            </w:r>
          </w:p>
          <w:p w:rsidR="00F77FB4" w:rsidRPr="00A23740" w:rsidRDefault="00F77FB4" w:rsidP="009431FF">
            <w:pPr>
              <w:tabs>
                <w:tab w:val="left" w:pos="567"/>
              </w:tabs>
              <w:ind w:firstLine="709"/>
              <w:rPr>
                <w:bCs/>
                <w:szCs w:val="24"/>
                <w:lang w:eastAsia="x-none"/>
              </w:rPr>
            </w:pPr>
            <w:r w:rsidRPr="00A23740">
              <w:rPr>
                <w:bCs/>
                <w:szCs w:val="24"/>
                <w:lang w:eastAsia="x-none"/>
              </w:rPr>
              <w:t>Birinci fıkrayla, yasaklılık h</w:t>
            </w:r>
            <w:r w:rsidR="00C219C2" w:rsidRPr="00A23740">
              <w:rPr>
                <w:bCs/>
                <w:szCs w:val="24"/>
                <w:lang w:eastAsia="x-none"/>
              </w:rPr>
              <w:t>â</w:t>
            </w:r>
            <w:r w:rsidRPr="00A23740">
              <w:rPr>
                <w:bCs/>
                <w:szCs w:val="24"/>
                <w:lang w:eastAsia="x-none"/>
              </w:rPr>
              <w:t>l</w:t>
            </w:r>
            <w:r w:rsidR="00CD2ABA" w:rsidRPr="00A23740">
              <w:rPr>
                <w:bCs/>
                <w:szCs w:val="24"/>
                <w:lang w:eastAsia="x-none"/>
              </w:rPr>
              <w:t>leri</w:t>
            </w:r>
            <w:r w:rsidR="00640FE6" w:rsidRPr="00A23740">
              <w:rPr>
                <w:bCs/>
                <w:szCs w:val="24"/>
                <w:lang w:eastAsia="x-none"/>
              </w:rPr>
              <w:t xml:space="preserve">, 6100 sayılı </w:t>
            </w:r>
            <w:r w:rsidR="00DB332D" w:rsidRPr="002B26FC">
              <w:rPr>
                <w:bCs/>
                <w:szCs w:val="24"/>
                <w:lang w:eastAsia="x-none"/>
              </w:rPr>
              <w:t>Kanunun</w:t>
            </w:r>
            <w:r w:rsidR="00DB332D" w:rsidRPr="00A23740">
              <w:rPr>
                <w:rStyle w:val="KonuBalChar"/>
                <w:rFonts w:eastAsia="Calibri"/>
              </w:rPr>
              <w:t xml:space="preserve"> </w:t>
            </w:r>
            <w:r w:rsidR="003B3DBB" w:rsidRPr="00A23740">
              <w:rPr>
                <w:bCs/>
                <w:szCs w:val="24"/>
                <w:lang w:eastAsia="x-none"/>
              </w:rPr>
              <w:t>34 üncü maddesi</w:t>
            </w:r>
            <w:r w:rsidR="00640FE6" w:rsidRPr="00A23740">
              <w:rPr>
                <w:bCs/>
                <w:szCs w:val="24"/>
                <w:lang w:eastAsia="x-none"/>
              </w:rPr>
              <w:t xml:space="preserve"> de dikkate alınmak suretiyle</w:t>
            </w:r>
            <w:r w:rsidR="00CD2ABA" w:rsidRPr="00A23740">
              <w:rPr>
                <w:bCs/>
                <w:szCs w:val="24"/>
                <w:lang w:eastAsia="x-none"/>
              </w:rPr>
              <w:t xml:space="preserve"> bentler h</w:t>
            </w:r>
            <w:r w:rsidR="00DC05AA" w:rsidRPr="00A23740">
              <w:rPr>
                <w:bCs/>
                <w:szCs w:val="24"/>
                <w:lang w:eastAsia="x-none"/>
              </w:rPr>
              <w:t>â</w:t>
            </w:r>
            <w:r w:rsidR="00CD2ABA" w:rsidRPr="00A23740">
              <w:rPr>
                <w:bCs/>
                <w:szCs w:val="24"/>
                <w:lang w:eastAsia="x-none"/>
              </w:rPr>
              <w:t>linde</w:t>
            </w:r>
            <w:r w:rsidR="00640FE6" w:rsidRPr="00A23740">
              <w:rPr>
                <w:bCs/>
                <w:szCs w:val="24"/>
                <w:lang w:eastAsia="x-none"/>
              </w:rPr>
              <w:t xml:space="preserve"> sayılmakta</w:t>
            </w:r>
            <w:r w:rsidRPr="00A23740">
              <w:rPr>
                <w:bCs/>
                <w:szCs w:val="24"/>
                <w:lang w:eastAsia="x-none"/>
              </w:rPr>
              <w:t xml:space="preserve"> ve</w:t>
            </w:r>
            <w:r w:rsidR="00ED1DF8" w:rsidRPr="00A23740">
              <w:rPr>
                <w:bCs/>
                <w:szCs w:val="24"/>
                <w:lang w:eastAsia="x-none"/>
              </w:rPr>
              <w:t xml:space="preserve"> </w:t>
            </w:r>
            <w:r w:rsidR="00640FE6" w:rsidRPr="00A23740">
              <w:rPr>
                <w:bCs/>
                <w:szCs w:val="24"/>
                <w:lang w:eastAsia="x-none"/>
              </w:rPr>
              <w:t>2004 sayılı Kanunun 10 uncu</w:t>
            </w:r>
            <w:r w:rsidR="00DB332D" w:rsidRPr="00A23740">
              <w:rPr>
                <w:bCs/>
                <w:szCs w:val="24"/>
                <w:lang w:eastAsia="x-none"/>
              </w:rPr>
              <w:t xml:space="preserve"> </w:t>
            </w:r>
            <w:r w:rsidR="00640FE6" w:rsidRPr="00A23740">
              <w:rPr>
                <w:bCs/>
                <w:szCs w:val="24"/>
                <w:lang w:eastAsia="x-none"/>
              </w:rPr>
              <w:t xml:space="preserve">maddesinden farklı olarak daha ayrıntılı bir şekilde </w:t>
            </w:r>
            <w:r w:rsidR="008037F3" w:rsidRPr="00A23740">
              <w:rPr>
                <w:bCs/>
                <w:szCs w:val="24"/>
                <w:lang w:eastAsia="x-none"/>
              </w:rPr>
              <w:t>hükme bağlanmaktadır</w:t>
            </w:r>
            <w:r w:rsidR="00640FE6" w:rsidRPr="00A23740">
              <w:rPr>
                <w:bCs/>
                <w:szCs w:val="24"/>
                <w:lang w:eastAsia="x-none"/>
              </w:rPr>
              <w:t>.</w:t>
            </w:r>
            <w:r w:rsidRPr="00A23740">
              <w:rPr>
                <w:bCs/>
                <w:szCs w:val="24"/>
                <w:lang w:eastAsia="x-none"/>
              </w:rPr>
              <w:t xml:space="preserve"> </w:t>
            </w:r>
            <w:r w:rsidR="00640FE6" w:rsidRPr="00A23740">
              <w:rPr>
                <w:bCs/>
                <w:szCs w:val="24"/>
                <w:lang w:eastAsia="x-none"/>
              </w:rPr>
              <w:t>B</w:t>
            </w:r>
            <w:r w:rsidRPr="00A23740">
              <w:rPr>
                <w:bCs/>
                <w:szCs w:val="24"/>
                <w:lang w:eastAsia="x-none"/>
              </w:rPr>
              <w:t>u h</w:t>
            </w:r>
            <w:r w:rsidR="00C219C2" w:rsidRPr="00A23740">
              <w:rPr>
                <w:bCs/>
                <w:szCs w:val="24"/>
                <w:lang w:eastAsia="x-none"/>
              </w:rPr>
              <w:t>â</w:t>
            </w:r>
            <w:r w:rsidRPr="00A23740">
              <w:rPr>
                <w:bCs/>
                <w:szCs w:val="24"/>
                <w:lang w:eastAsia="x-none"/>
              </w:rPr>
              <w:t>l</w:t>
            </w:r>
            <w:r w:rsidR="00640FE6" w:rsidRPr="00A23740">
              <w:rPr>
                <w:bCs/>
                <w:szCs w:val="24"/>
                <w:lang w:eastAsia="x-none"/>
              </w:rPr>
              <w:t>lerde icra</w:t>
            </w:r>
            <w:r w:rsidR="0001352C" w:rsidRPr="00A23740">
              <w:rPr>
                <w:bCs/>
                <w:szCs w:val="24"/>
                <w:lang w:eastAsia="x-none"/>
              </w:rPr>
              <w:t xml:space="preserve"> </w:t>
            </w:r>
            <w:r w:rsidR="0001352C" w:rsidRPr="002B26FC">
              <w:rPr>
                <w:bCs/>
                <w:szCs w:val="24"/>
                <w:lang w:eastAsia="x-none"/>
              </w:rPr>
              <w:t>ve iflas dairesi</w:t>
            </w:r>
            <w:r w:rsidRPr="00A23740">
              <w:rPr>
                <w:bCs/>
                <w:szCs w:val="24"/>
                <w:lang w:eastAsia="x-none"/>
              </w:rPr>
              <w:t xml:space="preserve"> görevli</w:t>
            </w:r>
            <w:r w:rsidR="00640FE6" w:rsidRPr="00A23740">
              <w:rPr>
                <w:bCs/>
                <w:szCs w:val="24"/>
                <w:lang w:eastAsia="x-none"/>
              </w:rPr>
              <w:t>s</w:t>
            </w:r>
            <w:r w:rsidRPr="00A23740">
              <w:rPr>
                <w:bCs/>
                <w:szCs w:val="24"/>
                <w:lang w:eastAsia="x-none"/>
              </w:rPr>
              <w:t>i</w:t>
            </w:r>
            <w:r w:rsidR="00640FE6" w:rsidRPr="00A23740">
              <w:rPr>
                <w:bCs/>
                <w:szCs w:val="24"/>
                <w:lang w:eastAsia="x-none"/>
              </w:rPr>
              <w:t>,</w:t>
            </w:r>
            <w:r w:rsidRPr="00A23740">
              <w:rPr>
                <w:bCs/>
                <w:szCs w:val="24"/>
                <w:lang w:eastAsia="x-none"/>
              </w:rPr>
              <w:t xml:space="preserve"> </w:t>
            </w:r>
            <w:r w:rsidR="00DB4829" w:rsidRPr="00A23740">
              <w:rPr>
                <w:bCs/>
                <w:szCs w:val="24"/>
                <w:lang w:eastAsia="x-none"/>
              </w:rPr>
              <w:t>işlem</w:t>
            </w:r>
            <w:r w:rsidR="00640FE6" w:rsidRPr="00A23740">
              <w:rPr>
                <w:bCs/>
                <w:szCs w:val="24"/>
                <w:lang w:eastAsia="x-none"/>
              </w:rPr>
              <w:t xml:space="preserve"> yapamayacak</w:t>
            </w:r>
            <w:r w:rsidR="00DB4829" w:rsidRPr="00A23740">
              <w:rPr>
                <w:bCs/>
                <w:szCs w:val="24"/>
                <w:lang w:eastAsia="x-none"/>
              </w:rPr>
              <w:t>,</w:t>
            </w:r>
            <w:r w:rsidRPr="00A23740">
              <w:rPr>
                <w:bCs/>
                <w:szCs w:val="24"/>
                <w:lang w:eastAsia="x-none"/>
              </w:rPr>
              <w:t xml:space="preserve"> karar vereme</w:t>
            </w:r>
            <w:r w:rsidR="00640FE6" w:rsidRPr="00A23740">
              <w:rPr>
                <w:bCs/>
                <w:szCs w:val="24"/>
                <w:lang w:eastAsia="x-none"/>
              </w:rPr>
              <w:t>yecek</w:t>
            </w:r>
            <w:r w:rsidRPr="00A23740">
              <w:rPr>
                <w:bCs/>
                <w:szCs w:val="24"/>
                <w:lang w:eastAsia="x-none"/>
              </w:rPr>
              <w:t xml:space="preserve"> ve talep olmasa dahi o işten </w:t>
            </w:r>
            <w:r w:rsidR="00027B9F" w:rsidRPr="002B26FC">
              <w:rPr>
                <w:bCs/>
                <w:szCs w:val="24"/>
                <w:lang w:eastAsia="x-none"/>
              </w:rPr>
              <w:t>çekilmek</w:t>
            </w:r>
            <w:r w:rsidR="00027B9F" w:rsidRPr="00A23740">
              <w:rPr>
                <w:bCs/>
                <w:szCs w:val="24"/>
                <w:lang w:eastAsia="x-none"/>
              </w:rPr>
              <w:t xml:space="preserve"> </w:t>
            </w:r>
            <w:r w:rsidRPr="00A23740">
              <w:rPr>
                <w:bCs/>
                <w:szCs w:val="24"/>
                <w:lang w:eastAsia="x-none"/>
              </w:rPr>
              <w:t>zorunda</w:t>
            </w:r>
            <w:r w:rsidR="00DB4829" w:rsidRPr="00A23740">
              <w:rPr>
                <w:bCs/>
                <w:szCs w:val="24"/>
                <w:lang w:eastAsia="x-none"/>
              </w:rPr>
              <w:t xml:space="preserve"> </w:t>
            </w:r>
            <w:r w:rsidR="00640FE6" w:rsidRPr="00A23740">
              <w:rPr>
                <w:bCs/>
                <w:szCs w:val="24"/>
                <w:lang w:eastAsia="x-none"/>
              </w:rPr>
              <w:t>kalacaktır.</w:t>
            </w:r>
            <w:r w:rsidRPr="00A23740">
              <w:rPr>
                <w:bCs/>
                <w:szCs w:val="24"/>
                <w:lang w:eastAsia="x-none"/>
              </w:rPr>
              <w:t xml:space="preserve"> Bu h</w:t>
            </w:r>
            <w:r w:rsidR="00DC05AA" w:rsidRPr="00A23740">
              <w:rPr>
                <w:bCs/>
                <w:szCs w:val="24"/>
                <w:lang w:eastAsia="x-none"/>
              </w:rPr>
              <w:t>â</w:t>
            </w:r>
            <w:r w:rsidRPr="00A23740">
              <w:rPr>
                <w:bCs/>
                <w:szCs w:val="24"/>
                <w:lang w:eastAsia="x-none"/>
              </w:rPr>
              <w:t>llerin me</w:t>
            </w:r>
            <w:r w:rsidR="00DB4829" w:rsidRPr="00A23740">
              <w:rPr>
                <w:bCs/>
                <w:szCs w:val="24"/>
                <w:lang w:eastAsia="x-none"/>
              </w:rPr>
              <w:t>v</w:t>
            </w:r>
            <w:r w:rsidRPr="00A23740">
              <w:rPr>
                <w:bCs/>
                <w:szCs w:val="24"/>
                <w:lang w:eastAsia="x-none"/>
              </w:rPr>
              <w:t>cudiyeti h</w:t>
            </w:r>
            <w:r w:rsidR="00DC05AA" w:rsidRPr="00A23740">
              <w:rPr>
                <w:bCs/>
                <w:szCs w:val="24"/>
                <w:lang w:eastAsia="x-none"/>
              </w:rPr>
              <w:t>â</w:t>
            </w:r>
            <w:r w:rsidRPr="00A23740">
              <w:rPr>
                <w:bCs/>
                <w:szCs w:val="24"/>
                <w:lang w:eastAsia="x-none"/>
              </w:rPr>
              <w:t>linde taraflar</w:t>
            </w:r>
            <w:r w:rsidR="00DB4829" w:rsidRPr="00A23740">
              <w:rPr>
                <w:bCs/>
                <w:szCs w:val="24"/>
                <w:lang w:eastAsia="x-none"/>
              </w:rPr>
              <w:t xml:space="preserve"> </w:t>
            </w:r>
            <w:r w:rsidRPr="00A23740">
              <w:rPr>
                <w:bCs/>
                <w:szCs w:val="24"/>
                <w:lang w:eastAsia="x-none"/>
              </w:rPr>
              <w:t xml:space="preserve">da görevlinin </w:t>
            </w:r>
            <w:r w:rsidR="007D759D" w:rsidRPr="002B26FC">
              <w:rPr>
                <w:bCs/>
                <w:szCs w:val="24"/>
                <w:lang w:eastAsia="x-none"/>
              </w:rPr>
              <w:t>çekilmesini</w:t>
            </w:r>
            <w:r w:rsidR="007D759D" w:rsidRPr="00A23740">
              <w:rPr>
                <w:bCs/>
                <w:szCs w:val="24"/>
                <w:lang w:eastAsia="x-none"/>
              </w:rPr>
              <w:t xml:space="preserve"> </w:t>
            </w:r>
            <w:r w:rsidRPr="00A23740">
              <w:rPr>
                <w:bCs/>
                <w:szCs w:val="24"/>
                <w:lang w:eastAsia="x-none"/>
              </w:rPr>
              <w:t>talep edebil</w:t>
            </w:r>
            <w:r w:rsidR="00DB4829" w:rsidRPr="00A23740">
              <w:rPr>
                <w:bCs/>
                <w:szCs w:val="24"/>
                <w:lang w:eastAsia="x-none"/>
              </w:rPr>
              <w:t>e</w:t>
            </w:r>
            <w:r w:rsidRPr="00A23740">
              <w:rPr>
                <w:bCs/>
                <w:szCs w:val="24"/>
                <w:lang w:eastAsia="x-none"/>
              </w:rPr>
              <w:t>ceklerdir</w:t>
            </w:r>
            <w:r w:rsidR="00DB4829" w:rsidRPr="00A23740">
              <w:rPr>
                <w:bCs/>
                <w:szCs w:val="24"/>
                <w:lang w:eastAsia="x-none"/>
              </w:rPr>
              <w:t>. Fıkra, 2004 sayılı Kanunun 10 uncu maddesinin birinci fıkrasına</w:t>
            </w:r>
            <w:r w:rsidR="00640FE6" w:rsidRPr="00A23740">
              <w:rPr>
                <w:bCs/>
                <w:szCs w:val="24"/>
                <w:lang w:eastAsia="x-none"/>
              </w:rPr>
              <w:t xml:space="preserve"> kısmen</w:t>
            </w:r>
            <w:r w:rsidR="00DB4829" w:rsidRPr="00A23740">
              <w:rPr>
                <w:bCs/>
                <w:szCs w:val="24"/>
                <w:lang w:eastAsia="x-none"/>
              </w:rPr>
              <w:t xml:space="preserve"> karşılık gelmektedir.</w:t>
            </w:r>
          </w:p>
          <w:p w:rsidR="008037F3" w:rsidRPr="00A23740" w:rsidRDefault="00F77FB4" w:rsidP="009431FF">
            <w:pPr>
              <w:tabs>
                <w:tab w:val="left" w:pos="567"/>
              </w:tabs>
              <w:ind w:firstLine="709"/>
              <w:rPr>
                <w:bCs/>
                <w:szCs w:val="24"/>
                <w:lang w:eastAsia="x-none"/>
              </w:rPr>
            </w:pPr>
            <w:r w:rsidRPr="00A23740">
              <w:rPr>
                <w:bCs/>
                <w:szCs w:val="24"/>
                <w:lang w:eastAsia="x-none"/>
              </w:rPr>
              <w:t>İkinci fıkra</w:t>
            </w:r>
            <w:r w:rsidR="00C21D83" w:rsidRPr="00A23740">
              <w:rPr>
                <w:bCs/>
                <w:szCs w:val="24"/>
                <w:lang w:eastAsia="x-none"/>
              </w:rPr>
              <w:t>da</w:t>
            </w:r>
            <w:r w:rsidRPr="00A23740">
              <w:rPr>
                <w:bCs/>
                <w:szCs w:val="24"/>
                <w:lang w:eastAsia="x-none"/>
              </w:rPr>
              <w:t>,</w:t>
            </w:r>
            <w:r w:rsidR="00ED1DF8" w:rsidRPr="00A23740">
              <w:rPr>
                <w:bCs/>
                <w:szCs w:val="24"/>
                <w:lang w:eastAsia="x-none"/>
              </w:rPr>
              <w:t xml:space="preserve"> bir yenilik olarak,</w:t>
            </w:r>
            <w:r w:rsidR="00D26BA8" w:rsidRPr="00A23740">
              <w:rPr>
                <w:bCs/>
                <w:szCs w:val="24"/>
                <w:lang w:eastAsia="x-none"/>
              </w:rPr>
              <w:t xml:space="preserve"> icra görevlilerinin redd</w:t>
            </w:r>
            <w:r w:rsidR="00D556FC" w:rsidRPr="00A23740">
              <w:rPr>
                <w:bCs/>
                <w:szCs w:val="24"/>
                <w:lang w:eastAsia="x-none"/>
              </w:rPr>
              <w:t>i h</w:t>
            </w:r>
            <w:r w:rsidR="00C219C2" w:rsidRPr="00A23740">
              <w:rPr>
                <w:bCs/>
                <w:szCs w:val="24"/>
                <w:lang w:eastAsia="x-none"/>
              </w:rPr>
              <w:t>â</w:t>
            </w:r>
            <w:r w:rsidR="00D556FC" w:rsidRPr="00A23740">
              <w:rPr>
                <w:bCs/>
                <w:szCs w:val="24"/>
                <w:lang w:eastAsia="x-none"/>
              </w:rPr>
              <w:t xml:space="preserve">li 6100 sayılı Kanunun 36 </w:t>
            </w:r>
            <w:r w:rsidR="00D26BA8" w:rsidRPr="00A23740">
              <w:rPr>
                <w:bCs/>
                <w:szCs w:val="24"/>
                <w:lang w:eastAsia="x-none"/>
              </w:rPr>
              <w:t>ncı maddesinin birin</w:t>
            </w:r>
            <w:r w:rsidR="003B3DBB" w:rsidRPr="00A23740">
              <w:rPr>
                <w:bCs/>
                <w:szCs w:val="24"/>
                <w:lang w:eastAsia="x-none"/>
              </w:rPr>
              <w:t>ci fıkrasının birinci cümlesi de</w:t>
            </w:r>
            <w:r w:rsidR="00D26BA8" w:rsidRPr="00A23740">
              <w:rPr>
                <w:bCs/>
                <w:szCs w:val="24"/>
                <w:lang w:eastAsia="x-none"/>
              </w:rPr>
              <w:t xml:space="preserve"> dikkate alınmak suretiyle düzenlenmektedir. Hükme göre </w:t>
            </w:r>
            <w:r w:rsidR="00502E19" w:rsidRPr="00A23740">
              <w:rPr>
                <w:rStyle w:val="Stil2Char"/>
                <w:rFonts w:eastAsia="Calibri"/>
                <w:b w:val="0"/>
                <w:bCs/>
                <w:color w:val="auto"/>
                <w:u w:val="none"/>
                <w:lang w:val="tr-TR"/>
              </w:rPr>
              <w:t>icra ve iflas dairesi görevlileri</w:t>
            </w:r>
            <w:r w:rsidR="00D26BA8" w:rsidRPr="00A23740">
              <w:rPr>
                <w:rStyle w:val="Stil2Char"/>
                <w:rFonts w:eastAsia="Calibri"/>
                <w:b w:val="0"/>
                <w:bCs/>
                <w:color w:val="auto"/>
                <w:u w:val="none"/>
                <w:lang w:val="tr-TR"/>
              </w:rPr>
              <w:t>,</w:t>
            </w:r>
            <w:r w:rsidR="00502E19" w:rsidRPr="00A23740">
              <w:rPr>
                <w:rStyle w:val="Stil2Char"/>
                <w:rFonts w:eastAsia="Calibri"/>
                <w:b w:val="0"/>
                <w:bCs/>
                <w:color w:val="auto"/>
                <w:u w:val="none"/>
                <w:lang w:val="tr-TR"/>
              </w:rPr>
              <w:t xml:space="preserve"> </w:t>
            </w:r>
            <w:r w:rsidR="00C21D83" w:rsidRPr="00A23740">
              <w:rPr>
                <w:rStyle w:val="Stil2Char"/>
                <w:rFonts w:eastAsia="Calibri"/>
                <w:b w:val="0"/>
                <w:bCs/>
                <w:color w:val="auto"/>
                <w:u w:val="none"/>
                <w:lang w:val="tr-TR"/>
              </w:rPr>
              <w:t xml:space="preserve"> tarafsızlıklarından </w:t>
            </w:r>
            <w:r w:rsidR="00D26BA8" w:rsidRPr="00A23740">
              <w:rPr>
                <w:rStyle w:val="Stil2Char"/>
                <w:rFonts w:eastAsia="Calibri"/>
                <w:b w:val="0"/>
                <w:bCs/>
                <w:color w:val="auto"/>
                <w:u w:val="none"/>
                <w:lang w:val="tr-TR"/>
              </w:rPr>
              <w:t xml:space="preserve">kuşku </w:t>
            </w:r>
            <w:r w:rsidR="00C21D83" w:rsidRPr="00A23740">
              <w:rPr>
                <w:rStyle w:val="Stil2Char"/>
                <w:rFonts w:eastAsia="Calibri"/>
                <w:b w:val="0"/>
                <w:bCs/>
                <w:color w:val="auto"/>
                <w:u w:val="none"/>
                <w:lang w:val="tr-TR"/>
              </w:rPr>
              <w:t xml:space="preserve"> duyulmasını gerektiren </w:t>
            </w:r>
            <w:r w:rsidR="00D26BA8" w:rsidRPr="00A23740">
              <w:rPr>
                <w:rStyle w:val="Stil2Char"/>
                <w:rFonts w:eastAsia="Calibri"/>
                <w:b w:val="0"/>
                <w:bCs/>
                <w:color w:val="auto"/>
                <w:u w:val="none"/>
                <w:lang w:val="tr-TR"/>
              </w:rPr>
              <w:t>bir sebep</w:t>
            </w:r>
            <w:r w:rsidR="00ED1DF8" w:rsidRPr="00A23740">
              <w:rPr>
                <w:rStyle w:val="Stil2Char"/>
                <w:rFonts w:eastAsia="Calibri"/>
                <w:b w:val="0"/>
                <w:bCs/>
                <w:color w:val="auto"/>
                <w:u w:val="none"/>
                <w:lang w:val="tr-TR"/>
              </w:rPr>
              <w:t xml:space="preserve"> bulun</w:t>
            </w:r>
            <w:r w:rsidR="00D26BA8" w:rsidRPr="00A23740">
              <w:rPr>
                <w:rStyle w:val="Stil2Char"/>
                <w:rFonts w:eastAsia="Calibri"/>
                <w:b w:val="0"/>
                <w:bCs/>
                <w:color w:val="auto"/>
                <w:u w:val="none"/>
                <w:lang w:val="tr-TR"/>
              </w:rPr>
              <w:t xml:space="preserve">ursa </w:t>
            </w:r>
            <w:r w:rsidR="00ED1DF8" w:rsidRPr="00A23740">
              <w:rPr>
                <w:bCs/>
                <w:szCs w:val="24"/>
                <w:lang w:eastAsia="x-none"/>
              </w:rPr>
              <w:t>işlem yapamayacak, karar veremeyecek ve talep olmasa dahi o işten çekilmek zorunda kalacaktır.</w:t>
            </w:r>
          </w:p>
          <w:p w:rsidR="00D64704" w:rsidRPr="00A23740" w:rsidRDefault="009370E6" w:rsidP="009431FF">
            <w:pPr>
              <w:tabs>
                <w:tab w:val="left" w:pos="567"/>
              </w:tabs>
              <w:ind w:firstLine="709"/>
              <w:rPr>
                <w:color w:val="000000"/>
              </w:rPr>
            </w:pPr>
            <w:r w:rsidRPr="00A23740">
              <w:rPr>
                <w:bCs/>
                <w:szCs w:val="24"/>
                <w:lang w:eastAsia="x-none"/>
              </w:rPr>
              <w:lastRenderedPageBreak/>
              <w:t>Üçüncü fıkrayla,</w:t>
            </w:r>
            <w:r w:rsidR="008037F3" w:rsidRPr="00A23740">
              <w:rPr>
                <w:bCs/>
                <w:szCs w:val="24"/>
                <w:lang w:eastAsia="x-none"/>
              </w:rPr>
              <w:t xml:space="preserve"> icra ve iflas dairesi görevlilerinin yasaklılık ve reddi </w:t>
            </w:r>
            <w:r w:rsidR="00F77FB4" w:rsidRPr="00A23740">
              <w:rPr>
                <w:bCs/>
                <w:szCs w:val="24"/>
                <w:lang w:eastAsia="x-none"/>
              </w:rPr>
              <w:t>h</w:t>
            </w:r>
            <w:r w:rsidR="00DC05AA" w:rsidRPr="00A23740">
              <w:rPr>
                <w:bCs/>
                <w:szCs w:val="24"/>
                <w:lang w:eastAsia="x-none"/>
              </w:rPr>
              <w:t>â</w:t>
            </w:r>
            <w:r w:rsidR="00F77FB4" w:rsidRPr="00A23740">
              <w:rPr>
                <w:bCs/>
                <w:szCs w:val="24"/>
                <w:lang w:eastAsia="x-none"/>
              </w:rPr>
              <w:t>ller</w:t>
            </w:r>
            <w:r w:rsidR="008037F3" w:rsidRPr="00A23740">
              <w:rPr>
                <w:bCs/>
                <w:szCs w:val="24"/>
                <w:lang w:eastAsia="x-none"/>
              </w:rPr>
              <w:t>in</w:t>
            </w:r>
            <w:r w:rsidRPr="00A23740">
              <w:rPr>
                <w:bCs/>
                <w:szCs w:val="24"/>
                <w:lang w:eastAsia="x-none"/>
              </w:rPr>
              <w:t>de</w:t>
            </w:r>
            <w:r w:rsidR="00F77FB4" w:rsidRPr="00A23740">
              <w:rPr>
                <w:bCs/>
                <w:szCs w:val="24"/>
                <w:lang w:eastAsia="x-none"/>
              </w:rPr>
              <w:t xml:space="preserve"> yapılması gereken</w:t>
            </w:r>
            <w:r w:rsidR="008037F3" w:rsidRPr="00A23740">
              <w:rPr>
                <w:bCs/>
                <w:szCs w:val="24"/>
                <w:lang w:eastAsia="x-none"/>
              </w:rPr>
              <w:t xml:space="preserve"> işlemler</w:t>
            </w:r>
            <w:r w:rsidR="00F77FB4" w:rsidRPr="00A23740">
              <w:rPr>
                <w:bCs/>
                <w:szCs w:val="24"/>
                <w:lang w:eastAsia="x-none"/>
              </w:rPr>
              <w:t xml:space="preserve"> düzenlenmektedir. Bu kapsamda icr</w:t>
            </w:r>
            <w:r w:rsidR="008037F3" w:rsidRPr="00A23740">
              <w:rPr>
                <w:bCs/>
                <w:szCs w:val="24"/>
                <w:lang w:eastAsia="x-none"/>
              </w:rPr>
              <w:t>a ve iflas dairesi görevlileri,</w:t>
            </w:r>
            <w:r w:rsidR="00F77FB4" w:rsidRPr="00A23740">
              <w:rPr>
                <w:bCs/>
                <w:szCs w:val="24"/>
                <w:lang w:eastAsia="x-none"/>
              </w:rPr>
              <w:t xml:space="preserve"> durumu</w:t>
            </w:r>
            <w:r w:rsidR="008037F3" w:rsidRPr="00A23740">
              <w:rPr>
                <w:bCs/>
                <w:szCs w:val="24"/>
                <w:lang w:eastAsia="x-none"/>
              </w:rPr>
              <w:t xml:space="preserve"> </w:t>
            </w:r>
            <w:r w:rsidRPr="00A23740">
              <w:rPr>
                <w:bCs/>
                <w:szCs w:val="24"/>
                <w:lang w:eastAsia="x-none"/>
              </w:rPr>
              <w:t>belirtmek suretiyle</w:t>
            </w:r>
            <w:r w:rsidR="00F77FB4" w:rsidRPr="00A23740">
              <w:rPr>
                <w:bCs/>
                <w:szCs w:val="24"/>
                <w:lang w:eastAsia="x-none"/>
              </w:rPr>
              <w:t xml:space="preserve"> derh</w:t>
            </w:r>
            <w:r w:rsidR="00DF22A1" w:rsidRPr="00A23740">
              <w:rPr>
                <w:bCs/>
                <w:szCs w:val="24"/>
                <w:lang w:eastAsia="x-none"/>
              </w:rPr>
              <w:t>â</w:t>
            </w:r>
            <w:r w:rsidR="00F77FB4" w:rsidRPr="00A23740">
              <w:rPr>
                <w:bCs/>
                <w:szCs w:val="24"/>
                <w:lang w:eastAsia="x-none"/>
              </w:rPr>
              <w:t>l icra hukuk mahkemesine</w:t>
            </w:r>
            <w:r w:rsidR="008037F3" w:rsidRPr="00A23740">
              <w:rPr>
                <w:bCs/>
                <w:szCs w:val="24"/>
                <w:lang w:eastAsia="x-none"/>
              </w:rPr>
              <w:t xml:space="preserve"> başvuracak, </w:t>
            </w:r>
            <w:r w:rsidR="00F77FB4" w:rsidRPr="00A23740">
              <w:rPr>
                <w:bCs/>
                <w:szCs w:val="24"/>
                <w:lang w:eastAsia="x-none"/>
              </w:rPr>
              <w:t xml:space="preserve">icra hukuk mahkemesi </w:t>
            </w:r>
            <w:r w:rsidRPr="00A23740">
              <w:rPr>
                <w:bCs/>
                <w:szCs w:val="24"/>
                <w:lang w:eastAsia="x-none"/>
              </w:rPr>
              <w:t>başvuruyu</w:t>
            </w:r>
            <w:r w:rsidR="00F77FB4" w:rsidRPr="00A23740">
              <w:rPr>
                <w:bCs/>
                <w:szCs w:val="24"/>
                <w:lang w:eastAsia="x-none"/>
              </w:rPr>
              <w:t xml:space="preserve"> yerinde görmesi h</w:t>
            </w:r>
            <w:r w:rsidR="00DC05AA" w:rsidRPr="00A23740">
              <w:rPr>
                <w:bCs/>
                <w:szCs w:val="24"/>
                <w:lang w:eastAsia="x-none"/>
              </w:rPr>
              <w:t>â</w:t>
            </w:r>
            <w:r w:rsidR="00F77FB4" w:rsidRPr="00A23740">
              <w:rPr>
                <w:bCs/>
                <w:szCs w:val="24"/>
                <w:lang w:eastAsia="x-none"/>
              </w:rPr>
              <w:t xml:space="preserve">linde o işi aynı </w:t>
            </w:r>
            <w:r w:rsidR="00027B9F" w:rsidRPr="00A23740">
              <w:rPr>
                <w:bCs/>
                <w:szCs w:val="24"/>
                <w:lang w:eastAsia="x-none"/>
              </w:rPr>
              <w:t xml:space="preserve">ünvana </w:t>
            </w:r>
            <w:r w:rsidR="00F77FB4" w:rsidRPr="00A23740">
              <w:rPr>
                <w:bCs/>
                <w:szCs w:val="24"/>
                <w:lang w:eastAsia="x-none"/>
              </w:rPr>
              <w:t>sahip diğer bir görevliye,</w:t>
            </w:r>
            <w:r w:rsidRPr="00A23740">
              <w:rPr>
                <w:bCs/>
                <w:szCs w:val="24"/>
                <w:lang w:eastAsia="x-none"/>
              </w:rPr>
              <w:t xml:space="preserve"> aynı </w:t>
            </w:r>
            <w:r w:rsidR="00027B9F" w:rsidRPr="00A23740">
              <w:rPr>
                <w:bCs/>
                <w:szCs w:val="24"/>
                <w:lang w:eastAsia="x-none"/>
              </w:rPr>
              <w:t xml:space="preserve">ünvana </w:t>
            </w:r>
            <w:r w:rsidRPr="00A23740">
              <w:rPr>
                <w:bCs/>
                <w:szCs w:val="24"/>
                <w:lang w:eastAsia="x-none"/>
              </w:rPr>
              <w:t>sahip bir görevlinin bulunmaması h</w:t>
            </w:r>
            <w:r w:rsidR="00DC05AA" w:rsidRPr="00A23740">
              <w:rPr>
                <w:bCs/>
                <w:szCs w:val="24"/>
                <w:lang w:eastAsia="x-none"/>
              </w:rPr>
              <w:t>â</w:t>
            </w:r>
            <w:r w:rsidRPr="00A23740">
              <w:rPr>
                <w:bCs/>
                <w:szCs w:val="24"/>
                <w:lang w:eastAsia="x-none"/>
              </w:rPr>
              <w:t>linde o dairedeki diğer bir görevliye, bunun da bulunmaması h</w:t>
            </w:r>
            <w:r w:rsidR="00DC05AA" w:rsidRPr="00A23740">
              <w:rPr>
                <w:bCs/>
                <w:szCs w:val="24"/>
                <w:lang w:eastAsia="x-none"/>
              </w:rPr>
              <w:t>â</w:t>
            </w:r>
            <w:r w:rsidRPr="00A23740">
              <w:rPr>
                <w:bCs/>
                <w:szCs w:val="24"/>
                <w:lang w:eastAsia="x-none"/>
              </w:rPr>
              <w:t>linde ise o yerde uygun görec</w:t>
            </w:r>
            <w:r w:rsidR="008037F3" w:rsidRPr="00A23740">
              <w:rPr>
                <w:bCs/>
                <w:szCs w:val="24"/>
                <w:lang w:eastAsia="x-none"/>
              </w:rPr>
              <w:t>eği başka bir görevliye verecektir</w:t>
            </w:r>
            <w:r w:rsidRPr="00A23740">
              <w:rPr>
                <w:bCs/>
                <w:szCs w:val="24"/>
                <w:lang w:eastAsia="x-none"/>
              </w:rPr>
              <w:t>.</w:t>
            </w:r>
            <w:r w:rsidR="00F77FB4" w:rsidRPr="00A23740">
              <w:rPr>
                <w:bCs/>
                <w:szCs w:val="24"/>
                <w:lang w:eastAsia="x-none"/>
              </w:rPr>
              <w:t xml:space="preserve"> </w:t>
            </w:r>
            <w:r w:rsidR="008037F3" w:rsidRPr="00A23740">
              <w:rPr>
                <w:bCs/>
                <w:szCs w:val="24"/>
                <w:lang w:eastAsia="x-none"/>
              </w:rPr>
              <w:t>Hüküm,</w:t>
            </w:r>
            <w:r w:rsidR="00F77FB4" w:rsidRPr="00A23740">
              <w:rPr>
                <w:bCs/>
                <w:szCs w:val="24"/>
                <w:lang w:eastAsia="x-none"/>
              </w:rPr>
              <w:t xml:space="preserve"> 2004 sayılı Kanunun 10 uncu maddesinin </w:t>
            </w:r>
            <w:r w:rsidR="008037F3" w:rsidRPr="00A23740">
              <w:rPr>
                <w:bCs/>
                <w:szCs w:val="24"/>
                <w:lang w:eastAsia="x-none"/>
              </w:rPr>
              <w:t>birinci</w:t>
            </w:r>
            <w:r w:rsidR="00F77FB4" w:rsidRPr="00A23740">
              <w:rPr>
                <w:bCs/>
                <w:szCs w:val="24"/>
                <w:lang w:eastAsia="x-none"/>
              </w:rPr>
              <w:t xml:space="preserve"> fıkrasın</w:t>
            </w:r>
            <w:r w:rsidR="008037F3" w:rsidRPr="00A23740">
              <w:rPr>
                <w:bCs/>
                <w:szCs w:val="24"/>
                <w:lang w:eastAsia="x-none"/>
              </w:rPr>
              <w:t>ın ikinci cümlesine</w:t>
            </w:r>
            <w:r w:rsidR="00F77FB4" w:rsidRPr="00A23740">
              <w:rPr>
                <w:bCs/>
                <w:szCs w:val="24"/>
                <w:lang w:eastAsia="x-none"/>
              </w:rPr>
              <w:t xml:space="preserve"> karşılık gelmektedir</w:t>
            </w:r>
            <w:r w:rsidRPr="00A23740">
              <w:rPr>
                <w:bCs/>
                <w:szCs w:val="24"/>
                <w:lang w:eastAsia="x-none"/>
              </w:rPr>
              <w:t>.</w:t>
            </w:r>
          </w:p>
          <w:p w:rsidR="00D64704" w:rsidRPr="00A23740" w:rsidRDefault="00D64704" w:rsidP="009431FF">
            <w:pPr>
              <w:tabs>
                <w:tab w:val="left" w:pos="567"/>
              </w:tabs>
              <w:ind w:firstLine="709"/>
            </w:pPr>
          </w:p>
        </w:tc>
      </w:tr>
      <w:tr w:rsidR="001E132C" w:rsidRPr="00A23740" w:rsidTr="009431FF">
        <w:tc>
          <w:tcPr>
            <w:tcW w:w="2500" w:type="pct"/>
            <w:shd w:val="clear" w:color="auto" w:fill="auto"/>
          </w:tcPr>
          <w:p w:rsidR="001E132C" w:rsidRPr="00A23740" w:rsidRDefault="001E132C" w:rsidP="009431FF">
            <w:pPr>
              <w:rPr>
                <w:rFonts w:eastAsia="Times New Roman"/>
                <w:b/>
                <w:iCs/>
                <w:color w:val="000000"/>
                <w:szCs w:val="24"/>
                <w:lang w:eastAsia="tr-TR"/>
              </w:rPr>
            </w:pPr>
            <w:r w:rsidRPr="00A23740">
              <w:rPr>
                <w:rStyle w:val="KIRMIZIChar"/>
                <w:rFonts w:eastAsia="Calibri"/>
                <w:lang w:eastAsia="tr-TR"/>
              </w:rPr>
              <w:lastRenderedPageBreak/>
              <w:t>Memnu</w:t>
            </w:r>
            <w:r w:rsidRPr="00A23740">
              <w:rPr>
                <w:rFonts w:eastAsia="Times New Roman"/>
                <w:b/>
                <w:iCs/>
                <w:color w:val="000000"/>
                <w:szCs w:val="24"/>
                <w:lang w:eastAsia="tr-TR"/>
              </w:rPr>
              <w:t xml:space="preserve"> işler </w:t>
            </w:r>
            <w:r w:rsidRPr="00A23740">
              <w:rPr>
                <w:rStyle w:val="KIRMIZIChar"/>
                <w:rFonts w:eastAsia="Calibri"/>
                <w:lang w:eastAsia="tr-TR"/>
              </w:rPr>
              <w:t>:</w:t>
            </w:r>
          </w:p>
          <w:p w:rsidR="001E132C" w:rsidRPr="00A23740" w:rsidRDefault="001E132C" w:rsidP="009431FF">
            <w:pPr>
              <w:rPr>
                <w:rFonts w:eastAsia="Times New Roman"/>
                <w:color w:val="000000"/>
                <w:szCs w:val="24"/>
                <w:lang w:eastAsia="tr-TR"/>
              </w:rPr>
            </w:pPr>
            <w:r w:rsidRPr="00A23740">
              <w:rPr>
                <w:rStyle w:val="KIRMIZIChar"/>
                <w:rFonts w:eastAsia="Calibri"/>
                <w:lang w:eastAsia="tr-TR"/>
              </w:rPr>
              <w:t>Madde 11 –</w:t>
            </w:r>
            <w:r w:rsidRPr="00A23740">
              <w:rPr>
                <w:rStyle w:val="Balk3Char"/>
                <w:rFonts w:eastAsia="Calibri"/>
              </w:rPr>
              <w:t> </w:t>
            </w:r>
            <w:r w:rsidRPr="00A23740">
              <w:rPr>
                <w:rStyle w:val="KIRMIZIChar"/>
                <w:rFonts w:eastAsia="Calibri"/>
              </w:rPr>
              <w:t>(1) Tetkik</w:t>
            </w:r>
            <w:r w:rsidRPr="00A23740">
              <w:rPr>
                <w:rStyle w:val="KIRMIZIChar"/>
                <w:rFonts w:eastAsia="Calibri"/>
                <w:lang w:eastAsia="tr-TR"/>
              </w:rPr>
              <w:t xml:space="preserve"> vazifesini gören hakimler ve</w:t>
            </w:r>
            <w:r w:rsidRPr="00A23740">
              <w:rPr>
                <w:rFonts w:eastAsia="Times New Roman"/>
                <w:color w:val="000000"/>
                <w:szCs w:val="24"/>
                <w:lang w:eastAsia="tr-TR"/>
              </w:rPr>
              <w:t xml:space="preserve"> icra ve iflas </w:t>
            </w:r>
            <w:r w:rsidRPr="00A23740">
              <w:rPr>
                <w:rStyle w:val="KIRMIZIChar"/>
                <w:rFonts w:eastAsia="Calibri"/>
                <w:lang w:eastAsia="tr-TR"/>
              </w:rPr>
              <w:t>memur ve müstahdemleri</w:t>
            </w:r>
            <w:r w:rsidRPr="00A23740">
              <w:rPr>
                <w:rFonts w:eastAsia="Times New Roman"/>
                <w:color w:val="000000"/>
                <w:szCs w:val="24"/>
                <w:lang w:eastAsia="tr-TR"/>
              </w:rPr>
              <w:t xml:space="preserve">, dairelerince takip edilmekte olan bir alacak veya satılmakta bulunan bir şey hakkında kiminle olursa olsun kendileri veya başkaları hesaplarına bir </w:t>
            </w:r>
            <w:r w:rsidRPr="00A23740">
              <w:rPr>
                <w:rStyle w:val="KIRMIZIChar"/>
                <w:rFonts w:eastAsia="Calibri"/>
                <w:lang w:eastAsia="tr-TR"/>
              </w:rPr>
              <w:t>akit</w:t>
            </w:r>
            <w:r w:rsidRPr="00A23740">
              <w:rPr>
                <w:rFonts w:eastAsia="Times New Roman"/>
                <w:color w:val="000000"/>
                <w:szCs w:val="24"/>
                <w:lang w:eastAsia="tr-TR"/>
              </w:rPr>
              <w:t xml:space="preserve"> yapamazlar. Yaparlarsa hükümsüzdür.</w:t>
            </w:r>
          </w:p>
          <w:p w:rsidR="008C0530" w:rsidRPr="00A23740" w:rsidRDefault="008C0530" w:rsidP="009431FF">
            <w:pPr>
              <w:rPr>
                <w:rFonts w:eastAsia="Times New Roman"/>
                <w:color w:val="000000"/>
                <w:szCs w:val="24"/>
                <w:lang w:eastAsia="tr-TR"/>
              </w:rPr>
            </w:pPr>
          </w:p>
        </w:tc>
        <w:tc>
          <w:tcPr>
            <w:tcW w:w="2500" w:type="pct"/>
            <w:shd w:val="clear" w:color="auto" w:fill="auto"/>
          </w:tcPr>
          <w:p w:rsidR="001E132C" w:rsidRPr="00A23740" w:rsidRDefault="00B5194B" w:rsidP="009431FF">
            <w:pPr>
              <w:tabs>
                <w:tab w:val="left" w:pos="567"/>
              </w:tabs>
              <w:rPr>
                <w:b/>
                <w:szCs w:val="24"/>
              </w:rPr>
            </w:pPr>
            <w:r w:rsidRPr="00A23740">
              <w:rPr>
                <w:rStyle w:val="Balk1Char"/>
                <w:rFonts w:eastAsia="Calibri"/>
              </w:rPr>
              <w:t>İcra</w:t>
            </w:r>
            <w:r w:rsidRPr="00A23740">
              <w:rPr>
                <w:rStyle w:val="KonuBalChar"/>
                <w:rFonts w:eastAsia="Calibri"/>
              </w:rPr>
              <w:t xml:space="preserve"> </w:t>
            </w:r>
            <w:r w:rsidRPr="002B26FC">
              <w:rPr>
                <w:rStyle w:val="Balk1Char"/>
                <w:rFonts w:eastAsia="Calibri"/>
              </w:rPr>
              <w:t>ve iflas</w:t>
            </w:r>
            <w:r w:rsidR="003927BA" w:rsidRPr="002B26FC">
              <w:rPr>
                <w:rStyle w:val="Balk1Char"/>
                <w:rFonts w:eastAsia="Calibri"/>
              </w:rPr>
              <w:t xml:space="preserve"> daireleri</w:t>
            </w:r>
            <w:r w:rsidRPr="00A23740">
              <w:rPr>
                <w:rStyle w:val="KonuBalChar"/>
                <w:rFonts w:eastAsia="Calibri"/>
              </w:rPr>
              <w:t xml:space="preserve"> </w:t>
            </w:r>
            <w:r w:rsidRPr="00A23740">
              <w:rPr>
                <w:rStyle w:val="Balk1Char"/>
                <w:rFonts w:eastAsia="Calibri"/>
              </w:rPr>
              <w:t>görevlileri</w:t>
            </w:r>
            <w:r w:rsidRPr="00A23740">
              <w:rPr>
                <w:rStyle w:val="Stil2Char"/>
                <w:rFonts w:eastAsia="Calibri"/>
                <w:u w:val="none"/>
              </w:rPr>
              <w:t xml:space="preserve"> </w:t>
            </w:r>
            <w:r w:rsidR="003B3DBB" w:rsidRPr="00A23740">
              <w:rPr>
                <w:rStyle w:val="MaviChar"/>
                <w:lang w:val="tr-TR"/>
              </w:rPr>
              <w:t xml:space="preserve">bakımından </w:t>
            </w:r>
            <w:r w:rsidR="003B3DBB" w:rsidRPr="00A23740">
              <w:rPr>
                <w:rStyle w:val="MaviChar"/>
              </w:rPr>
              <w:t>y</w:t>
            </w:r>
            <w:r w:rsidR="001E132C" w:rsidRPr="00A23740">
              <w:rPr>
                <w:rStyle w:val="MaviChar"/>
              </w:rPr>
              <w:t>asak</w:t>
            </w:r>
            <w:r w:rsidR="001E132C" w:rsidRPr="00A23740">
              <w:rPr>
                <w:b/>
                <w:szCs w:val="24"/>
              </w:rPr>
              <w:t xml:space="preserve"> </w:t>
            </w:r>
            <w:r w:rsidR="00D60C11" w:rsidRPr="00A23740">
              <w:rPr>
                <w:rStyle w:val="MaviChar"/>
              </w:rPr>
              <w:t>iş</w:t>
            </w:r>
            <w:r w:rsidR="00383895" w:rsidRPr="00A23740">
              <w:rPr>
                <w:rStyle w:val="MaviChar"/>
              </w:rPr>
              <w:t xml:space="preserve"> ve iş</w:t>
            </w:r>
            <w:r w:rsidR="00D60C11" w:rsidRPr="00A23740">
              <w:rPr>
                <w:rStyle w:val="MaviChar"/>
              </w:rPr>
              <w:t>lemler</w:t>
            </w:r>
          </w:p>
          <w:p w:rsidR="001E132C" w:rsidRPr="00A23740" w:rsidRDefault="00F92A99" w:rsidP="009431FF">
            <w:pPr>
              <w:tabs>
                <w:tab w:val="left" w:pos="567"/>
              </w:tabs>
              <w:rPr>
                <w:szCs w:val="24"/>
              </w:rPr>
            </w:pPr>
            <w:r w:rsidRPr="00A23740">
              <w:rPr>
                <w:rStyle w:val="MaviChar"/>
              </w:rPr>
              <w:t>MADDE 15</w:t>
            </w:r>
            <w:r w:rsidR="001E132C" w:rsidRPr="00A23740">
              <w:rPr>
                <w:rStyle w:val="MaviChar"/>
              </w:rPr>
              <w:t>- (1)</w:t>
            </w:r>
            <w:r w:rsidR="001E132C" w:rsidRPr="00A23740">
              <w:rPr>
                <w:b/>
                <w:szCs w:val="24"/>
              </w:rPr>
              <w:t xml:space="preserve"> </w:t>
            </w:r>
            <w:r w:rsidR="001E132C" w:rsidRPr="00A23740">
              <w:rPr>
                <w:szCs w:val="24"/>
              </w:rPr>
              <w:t xml:space="preserve">İcra ve iflas </w:t>
            </w:r>
            <w:r w:rsidR="003927BA" w:rsidRPr="002B26FC">
              <w:rPr>
                <w:rStyle w:val="MaviChar"/>
              </w:rPr>
              <w:t>daireleri</w:t>
            </w:r>
            <w:r w:rsidR="003927BA" w:rsidRPr="00A23740">
              <w:rPr>
                <w:color w:val="70AD47"/>
                <w:szCs w:val="24"/>
              </w:rPr>
              <w:t xml:space="preserve"> </w:t>
            </w:r>
            <w:r w:rsidR="001E132C" w:rsidRPr="00A23740">
              <w:rPr>
                <w:rStyle w:val="MaviChar"/>
              </w:rPr>
              <w:t>görevlileri,</w:t>
            </w:r>
            <w:r w:rsidR="001E132C" w:rsidRPr="00A23740">
              <w:rPr>
                <w:rStyle w:val="Stil2Char"/>
                <w:rFonts w:eastAsia="Calibri"/>
                <w:u w:val="none"/>
              </w:rPr>
              <w:t xml:space="preserve"> </w:t>
            </w:r>
            <w:r w:rsidR="001E132C" w:rsidRPr="00A23740">
              <w:rPr>
                <w:szCs w:val="24"/>
              </w:rPr>
              <w:t xml:space="preserve">dairelerince takip edilmekte olan bir alacak veya satılmakta bulunan bir şey hakkında kiminle olursa olsun kendileri veya başkaları hesaplarına </w:t>
            </w:r>
            <w:r w:rsidR="001E132C" w:rsidRPr="00A23740">
              <w:rPr>
                <w:rStyle w:val="MaviChar"/>
              </w:rPr>
              <w:t>bir</w:t>
            </w:r>
            <w:r w:rsidR="00D60C11" w:rsidRPr="00A23740">
              <w:rPr>
                <w:rStyle w:val="MaviChar"/>
              </w:rPr>
              <w:t xml:space="preserve"> iş veya işlem</w:t>
            </w:r>
            <w:r w:rsidR="001E132C" w:rsidRPr="00A23740">
              <w:rPr>
                <w:szCs w:val="24"/>
              </w:rPr>
              <w:t xml:space="preserve"> yapamazlar. Yaparlarsa</w:t>
            </w:r>
            <w:r w:rsidR="003927BA" w:rsidRPr="00A23740">
              <w:rPr>
                <w:b/>
                <w:bCs/>
                <w:color w:val="70AD47"/>
                <w:szCs w:val="24"/>
              </w:rPr>
              <w:t>,</w:t>
            </w:r>
            <w:r w:rsidR="001E132C" w:rsidRPr="00A23740">
              <w:rPr>
                <w:szCs w:val="24"/>
              </w:rPr>
              <w:t xml:space="preserve"> </w:t>
            </w:r>
            <w:r w:rsidR="001E132C" w:rsidRPr="00A23740">
              <w:rPr>
                <w:rStyle w:val="MaviChar"/>
              </w:rPr>
              <w:t>bu</w:t>
            </w:r>
            <w:r w:rsidR="00D60C11" w:rsidRPr="00A23740">
              <w:rPr>
                <w:rStyle w:val="MaviChar"/>
                <w:lang w:val="tr-TR"/>
              </w:rPr>
              <w:t xml:space="preserve"> </w:t>
            </w:r>
            <w:r w:rsidR="00D60C11" w:rsidRPr="00A23740">
              <w:rPr>
                <w:rStyle w:val="MaviChar"/>
              </w:rPr>
              <w:t>iş veya işlem</w:t>
            </w:r>
            <w:r w:rsidR="001E132C" w:rsidRPr="00A23740">
              <w:rPr>
                <w:rStyle w:val="MaviChar"/>
              </w:rPr>
              <w:t xml:space="preserve"> </w:t>
            </w:r>
            <w:r w:rsidR="001E132C" w:rsidRPr="00A23740">
              <w:rPr>
                <w:szCs w:val="24"/>
              </w:rPr>
              <w:t>hükümsüzdür.</w:t>
            </w:r>
          </w:p>
          <w:p w:rsidR="00553CB3" w:rsidRPr="00A23740" w:rsidRDefault="00553CB3" w:rsidP="009431FF">
            <w:pPr>
              <w:tabs>
                <w:tab w:val="left" w:pos="567"/>
              </w:tabs>
              <w:rPr>
                <w:rStyle w:val="Stil2Char"/>
                <w:rFonts w:eastAsia="Calibri"/>
                <w:color w:val="FF0000"/>
                <w:u w:val="none"/>
              </w:rPr>
            </w:pPr>
          </w:p>
        </w:tc>
      </w:tr>
      <w:tr w:rsidR="00083972" w:rsidRPr="00A23740" w:rsidTr="009431FF">
        <w:tc>
          <w:tcPr>
            <w:tcW w:w="5000" w:type="pct"/>
            <w:gridSpan w:val="2"/>
            <w:shd w:val="clear" w:color="auto" w:fill="DEEAF6"/>
          </w:tcPr>
          <w:p w:rsidR="00F77FB4" w:rsidRPr="00A23740" w:rsidRDefault="00F77FB4" w:rsidP="009431FF">
            <w:pPr>
              <w:ind w:firstLine="709"/>
              <w:rPr>
                <w:b/>
                <w:bCs/>
                <w:szCs w:val="24"/>
                <w:lang w:eastAsia="x-none"/>
              </w:rPr>
            </w:pPr>
          </w:p>
          <w:p w:rsidR="00AD1DB2" w:rsidRPr="00A23740" w:rsidRDefault="00027B9F" w:rsidP="009431FF">
            <w:pPr>
              <w:ind w:firstLine="709"/>
              <w:rPr>
                <w:bCs/>
                <w:szCs w:val="24"/>
                <w:lang w:eastAsia="x-none"/>
              </w:rPr>
            </w:pPr>
            <w:r w:rsidRPr="00A23740">
              <w:rPr>
                <w:b/>
                <w:bCs/>
                <w:szCs w:val="24"/>
                <w:lang w:eastAsia="x-none"/>
              </w:rPr>
              <w:t>MADDE 15</w:t>
            </w:r>
            <w:r w:rsidR="00F77FB4" w:rsidRPr="00A23740">
              <w:rPr>
                <w:b/>
                <w:bCs/>
                <w:szCs w:val="24"/>
                <w:lang w:eastAsia="x-none"/>
              </w:rPr>
              <w:t xml:space="preserve">- </w:t>
            </w:r>
            <w:r w:rsidR="00F77FB4" w:rsidRPr="00A23740">
              <w:rPr>
                <w:bCs/>
                <w:szCs w:val="24"/>
                <w:lang w:eastAsia="x-none"/>
              </w:rPr>
              <w:t>Mad</w:t>
            </w:r>
            <w:r w:rsidR="00897AB5" w:rsidRPr="00A23740">
              <w:rPr>
                <w:bCs/>
                <w:szCs w:val="24"/>
                <w:lang w:eastAsia="x-none"/>
              </w:rPr>
              <w:t xml:space="preserve">deyle, </w:t>
            </w:r>
            <w:r w:rsidR="00BA30CD" w:rsidRPr="00A23740">
              <w:rPr>
                <w:bCs/>
                <w:szCs w:val="24"/>
                <w:lang w:eastAsia="x-none"/>
              </w:rPr>
              <w:t xml:space="preserve">icra ve iflas </w:t>
            </w:r>
            <w:r w:rsidR="0001352C" w:rsidRPr="002B26FC">
              <w:rPr>
                <w:bCs/>
                <w:szCs w:val="24"/>
                <w:lang w:eastAsia="x-none"/>
              </w:rPr>
              <w:t>daireleri</w:t>
            </w:r>
            <w:r w:rsidR="0001352C" w:rsidRPr="00A23740">
              <w:rPr>
                <w:bCs/>
                <w:szCs w:val="24"/>
                <w:lang w:eastAsia="x-none"/>
              </w:rPr>
              <w:t xml:space="preserve"> </w:t>
            </w:r>
            <w:r w:rsidR="00BA30CD" w:rsidRPr="00A23740">
              <w:rPr>
                <w:bCs/>
                <w:szCs w:val="24"/>
                <w:lang w:eastAsia="x-none"/>
              </w:rPr>
              <w:t xml:space="preserve">görevlileri bakımından yasak </w:t>
            </w:r>
            <w:r w:rsidR="00383895" w:rsidRPr="00A23740">
              <w:rPr>
                <w:bCs/>
                <w:szCs w:val="24"/>
                <w:lang w:eastAsia="x-none"/>
              </w:rPr>
              <w:t>iş ve işlemler</w:t>
            </w:r>
            <w:r w:rsidR="00BA30CD" w:rsidRPr="00A23740">
              <w:rPr>
                <w:bCs/>
                <w:szCs w:val="24"/>
                <w:lang w:eastAsia="x-none"/>
              </w:rPr>
              <w:t xml:space="preserve"> düzenlenmektedir. </w:t>
            </w:r>
            <w:r w:rsidR="00AD1DB2" w:rsidRPr="00A23740">
              <w:rPr>
                <w:bCs/>
                <w:szCs w:val="24"/>
                <w:lang w:eastAsia="x-none"/>
              </w:rPr>
              <w:t xml:space="preserve">Bu madde, 2004 sayılı Kanunun 11 inci maddesine karşılık gelmektedir. </w:t>
            </w:r>
          </w:p>
          <w:p w:rsidR="00D64704" w:rsidRPr="00A23740" w:rsidRDefault="00BA30CD" w:rsidP="009431FF">
            <w:pPr>
              <w:pStyle w:val="Mavi"/>
              <w:ind w:firstLine="709"/>
              <w:rPr>
                <w:color w:val="000000"/>
                <w:lang w:val="tr-TR"/>
              </w:rPr>
            </w:pPr>
            <w:r w:rsidRPr="00A23740">
              <w:rPr>
                <w:b w:val="0"/>
                <w:bCs w:val="0"/>
                <w:color w:val="auto"/>
                <w:lang w:val="tr-TR"/>
              </w:rPr>
              <w:t xml:space="preserve">Birinci fıkrayla, </w:t>
            </w:r>
            <w:r w:rsidR="00897AB5" w:rsidRPr="00A23740">
              <w:rPr>
                <w:b w:val="0"/>
                <w:bCs w:val="0"/>
                <w:color w:val="auto"/>
                <w:lang w:val="tr-TR"/>
              </w:rPr>
              <w:t>i</w:t>
            </w:r>
            <w:r w:rsidR="00F77FB4" w:rsidRPr="00A23740">
              <w:rPr>
                <w:b w:val="0"/>
                <w:bCs w:val="0"/>
                <w:color w:val="auto"/>
                <w:lang w:val="tr-TR"/>
              </w:rPr>
              <w:t xml:space="preserve">cra ve iflas dairesi görevlilerinin, dairelerince takip edilmekte olan bir alacak veya satılmakta bulunan bir şey hakkında kiminle olursa olsun kendileri veya başkaları hesaplarına bir </w:t>
            </w:r>
            <w:r w:rsidR="00383895" w:rsidRPr="00A23740">
              <w:rPr>
                <w:b w:val="0"/>
                <w:bCs w:val="0"/>
                <w:color w:val="auto"/>
                <w:lang w:val="tr-TR"/>
              </w:rPr>
              <w:t xml:space="preserve">iş veya işlem </w:t>
            </w:r>
            <w:r w:rsidRPr="00A23740">
              <w:rPr>
                <w:b w:val="0"/>
                <w:bCs w:val="0"/>
                <w:color w:val="auto"/>
                <w:lang w:val="tr-TR"/>
              </w:rPr>
              <w:t xml:space="preserve">yapmaları yasaklanmaktadır. </w:t>
            </w:r>
            <w:r w:rsidR="00AB0316" w:rsidRPr="00A23740">
              <w:rPr>
                <w:b w:val="0"/>
                <w:bCs w:val="0"/>
                <w:color w:val="auto"/>
                <w:lang w:val="tr-TR"/>
              </w:rPr>
              <w:t>Bu görevliler</w:t>
            </w:r>
            <w:r w:rsidR="00227709" w:rsidRPr="00A23740">
              <w:rPr>
                <w:b w:val="0"/>
                <w:bCs w:val="0"/>
                <w:color w:val="auto"/>
                <w:lang w:val="tr-TR"/>
              </w:rPr>
              <w:t>,</w:t>
            </w:r>
            <w:r w:rsidR="00AB0316" w:rsidRPr="00A23740">
              <w:rPr>
                <w:b w:val="0"/>
                <w:bCs w:val="0"/>
                <w:color w:val="auto"/>
                <w:lang w:val="tr-TR"/>
              </w:rPr>
              <w:t xml:space="preserve"> böyle bir</w:t>
            </w:r>
            <w:r w:rsidR="00383895" w:rsidRPr="00A23740">
              <w:rPr>
                <w:b w:val="0"/>
                <w:bCs w:val="0"/>
                <w:color w:val="auto"/>
                <w:lang w:val="tr-TR"/>
              </w:rPr>
              <w:t xml:space="preserve"> iş veya işlem </w:t>
            </w:r>
            <w:r w:rsidR="00AB0316" w:rsidRPr="00A23740">
              <w:rPr>
                <w:b w:val="0"/>
                <w:bCs w:val="0"/>
                <w:color w:val="auto"/>
                <w:lang w:val="tr-TR"/>
              </w:rPr>
              <w:t xml:space="preserve"> yapsalar dahi bu </w:t>
            </w:r>
            <w:r w:rsidR="00383895" w:rsidRPr="00A23740">
              <w:rPr>
                <w:b w:val="0"/>
                <w:bCs w:val="0"/>
                <w:color w:val="auto"/>
                <w:lang w:val="tr-TR"/>
              </w:rPr>
              <w:t xml:space="preserve">iş ve işlem </w:t>
            </w:r>
            <w:r w:rsidR="00AB0316" w:rsidRPr="00A23740">
              <w:rPr>
                <w:b w:val="0"/>
                <w:bCs w:val="0"/>
                <w:color w:val="auto"/>
                <w:lang w:val="tr-TR"/>
              </w:rPr>
              <w:t xml:space="preserve">hükümsüz </w:t>
            </w:r>
            <w:r w:rsidR="00383895" w:rsidRPr="00A23740">
              <w:rPr>
                <w:b w:val="0"/>
                <w:bCs w:val="0"/>
                <w:color w:val="auto"/>
                <w:lang w:val="tr-TR"/>
              </w:rPr>
              <w:t xml:space="preserve">olacaktır. </w:t>
            </w:r>
            <w:r w:rsidR="00B64AA1" w:rsidRPr="00A23740">
              <w:rPr>
                <w:b w:val="0"/>
                <w:bCs w:val="0"/>
                <w:color w:val="auto"/>
                <w:lang w:val="tr-TR"/>
              </w:rPr>
              <w:t>Bu anlamda</w:t>
            </w:r>
            <w:r w:rsidR="003C2FB5" w:rsidRPr="00A23740">
              <w:rPr>
                <w:b w:val="0"/>
                <w:bCs w:val="0"/>
                <w:color w:val="auto"/>
                <w:lang w:val="tr-TR"/>
              </w:rPr>
              <w:t xml:space="preserve"> takip konusu alacağın belirtilen </w:t>
            </w:r>
            <w:r w:rsidR="00B64AA1" w:rsidRPr="00A23740">
              <w:rPr>
                <w:b w:val="0"/>
                <w:bCs w:val="0"/>
                <w:color w:val="auto"/>
                <w:lang w:val="tr-TR"/>
              </w:rPr>
              <w:t>kişilerce devralınması, borca kefil olunması veya ihaleye katılıp ihale konusunun</w:t>
            </w:r>
            <w:r w:rsidR="00227709" w:rsidRPr="00A23740">
              <w:rPr>
                <w:b w:val="0"/>
                <w:bCs w:val="0"/>
                <w:color w:val="auto"/>
                <w:lang w:val="tr-TR"/>
              </w:rPr>
              <w:t xml:space="preserve"> </w:t>
            </w:r>
            <w:r w:rsidR="00B64AA1" w:rsidRPr="00A23740">
              <w:rPr>
                <w:b w:val="0"/>
                <w:bCs w:val="0"/>
                <w:color w:val="auto"/>
                <w:lang w:val="tr-TR"/>
              </w:rPr>
              <w:t>alınması yasaklanmaktadır.</w:t>
            </w:r>
            <w:r w:rsidR="000D2686" w:rsidRPr="00A23740">
              <w:rPr>
                <w:b w:val="0"/>
                <w:bCs w:val="0"/>
                <w:color w:val="auto"/>
                <w:lang w:val="tr-TR"/>
              </w:rPr>
              <w:t xml:space="preserve"> 2004 sayılı Kanunun 11 inci maddesinde yer alan ve </w:t>
            </w:r>
            <w:r w:rsidR="00163E5A" w:rsidRPr="00A23740">
              <w:rPr>
                <w:b w:val="0"/>
                <w:bCs w:val="0"/>
                <w:color w:val="auto"/>
                <w:lang w:val="tr-TR"/>
              </w:rPr>
              <w:t>Taslak</w:t>
            </w:r>
            <w:r w:rsidR="00C21D83" w:rsidRPr="00A23740">
              <w:rPr>
                <w:b w:val="0"/>
                <w:bCs w:val="0"/>
                <w:color w:val="auto"/>
                <w:lang w:val="tr-TR"/>
              </w:rPr>
              <w:t>t</w:t>
            </w:r>
            <w:r w:rsidR="00163E5A" w:rsidRPr="00A23740">
              <w:rPr>
                <w:b w:val="0"/>
                <w:bCs w:val="0"/>
                <w:color w:val="auto"/>
                <w:lang w:val="tr-TR"/>
              </w:rPr>
              <w:t>a</w:t>
            </w:r>
            <w:r w:rsidR="000D2686" w:rsidRPr="00A23740">
              <w:rPr>
                <w:b w:val="0"/>
                <w:bCs w:val="0"/>
                <w:color w:val="auto"/>
                <w:lang w:val="tr-TR"/>
              </w:rPr>
              <w:t xml:space="preserve"> muhafaza edilen hükümsüzlük yaptırımı, </w:t>
            </w:r>
            <w:r w:rsidR="00C21D83" w:rsidRPr="00A23740">
              <w:rPr>
                <w:b w:val="0"/>
                <w:bCs w:val="0"/>
                <w:color w:val="auto"/>
                <w:lang w:val="tr-TR"/>
              </w:rPr>
              <w:t xml:space="preserve"> öğretide </w:t>
            </w:r>
            <w:r w:rsidR="003B3DBB" w:rsidRPr="00A23740">
              <w:rPr>
                <w:b w:val="0"/>
                <w:bCs w:val="0"/>
                <w:color w:val="auto"/>
                <w:lang w:val="tr-TR"/>
              </w:rPr>
              <w:t xml:space="preserve">bir süresiz şikâyet </w:t>
            </w:r>
            <w:r w:rsidR="00C21D83" w:rsidRPr="00A23740">
              <w:rPr>
                <w:b w:val="0"/>
                <w:bCs w:val="0"/>
                <w:color w:val="auto"/>
                <w:lang w:val="tr-TR"/>
              </w:rPr>
              <w:t xml:space="preserve">hali </w:t>
            </w:r>
            <w:r w:rsidR="003B3DBB" w:rsidRPr="00A23740">
              <w:rPr>
                <w:b w:val="0"/>
                <w:bCs w:val="0"/>
                <w:color w:val="auto"/>
                <w:lang w:val="tr-TR"/>
              </w:rPr>
              <w:t xml:space="preserve">olarak kabul edilmekteydi. </w:t>
            </w:r>
            <w:r w:rsidR="00C21D83" w:rsidRPr="00A23740">
              <w:rPr>
                <w:b w:val="0"/>
                <w:bCs w:val="0"/>
                <w:color w:val="auto"/>
                <w:lang w:val="tr-TR"/>
              </w:rPr>
              <w:t xml:space="preserve">Bu bağlamda, </w:t>
            </w:r>
            <w:r w:rsidR="00163E5A" w:rsidRPr="00A23740">
              <w:rPr>
                <w:b w:val="0"/>
                <w:bCs w:val="0"/>
                <w:color w:val="auto"/>
                <w:lang w:val="tr-TR"/>
              </w:rPr>
              <w:t>Taslağın</w:t>
            </w:r>
            <w:r w:rsidR="000D2686" w:rsidRPr="00A23740">
              <w:rPr>
                <w:b w:val="0"/>
                <w:bCs w:val="0"/>
                <w:color w:val="auto"/>
                <w:lang w:val="tr-TR"/>
              </w:rPr>
              <w:t xml:space="preserve"> 30 uncu maddesinde bir </w:t>
            </w:r>
            <w:r w:rsidR="003B3DBB" w:rsidRPr="00A23740">
              <w:rPr>
                <w:b w:val="0"/>
                <w:bCs w:val="0"/>
                <w:color w:val="auto"/>
                <w:lang w:val="tr-TR"/>
              </w:rPr>
              <w:t>yenilik olarak</w:t>
            </w:r>
            <w:r w:rsidR="000D2686" w:rsidRPr="00A23740">
              <w:rPr>
                <w:b w:val="0"/>
                <w:bCs w:val="0"/>
                <w:color w:val="auto"/>
                <w:lang w:val="tr-TR"/>
              </w:rPr>
              <w:t xml:space="preserve"> “hükümsüz işlemler</w:t>
            </w:r>
            <w:r w:rsidR="003B3DBB" w:rsidRPr="00A23740">
              <w:rPr>
                <w:b w:val="0"/>
                <w:bCs w:val="0"/>
                <w:color w:val="auto"/>
                <w:lang w:val="tr-TR"/>
              </w:rPr>
              <w:t>”</w:t>
            </w:r>
            <w:r w:rsidR="00C21D83" w:rsidRPr="00A23740">
              <w:rPr>
                <w:b w:val="0"/>
                <w:bCs w:val="0"/>
                <w:color w:val="auto"/>
                <w:lang w:val="tr-TR"/>
              </w:rPr>
              <w:t>e ilişkin bir düzenlemeye yer verilmiştir</w:t>
            </w:r>
            <w:r w:rsidR="000D2686" w:rsidRPr="00A23740">
              <w:rPr>
                <w:b w:val="0"/>
                <w:bCs w:val="0"/>
                <w:color w:val="auto"/>
                <w:lang w:val="tr-TR"/>
              </w:rPr>
              <w:t xml:space="preserve">. </w:t>
            </w:r>
            <w:r w:rsidR="00C21D83" w:rsidRPr="00A23740">
              <w:rPr>
                <w:b w:val="0"/>
                <w:bCs w:val="0"/>
                <w:color w:val="auto"/>
                <w:lang w:val="tr-TR"/>
              </w:rPr>
              <w:t>Taslağın 15 nci maddesindeki h</w:t>
            </w:r>
            <w:r w:rsidR="00B64AA1" w:rsidRPr="00A23740">
              <w:rPr>
                <w:b w:val="0"/>
                <w:bCs w:val="0"/>
                <w:color w:val="auto"/>
                <w:lang w:val="tr-TR"/>
              </w:rPr>
              <w:t>ükümle, icra</w:t>
            </w:r>
            <w:r w:rsidR="0001352C" w:rsidRPr="00A23740">
              <w:rPr>
                <w:b w:val="0"/>
                <w:bCs w:val="0"/>
                <w:color w:val="auto"/>
                <w:lang w:val="tr-TR"/>
              </w:rPr>
              <w:t xml:space="preserve"> </w:t>
            </w:r>
            <w:r w:rsidR="0001352C" w:rsidRPr="002B26FC">
              <w:rPr>
                <w:b w:val="0"/>
                <w:bCs w:val="0"/>
                <w:color w:val="auto"/>
                <w:lang w:val="tr-TR"/>
              </w:rPr>
              <w:t>ve iflas dairesi</w:t>
            </w:r>
            <w:r w:rsidR="00B64AA1" w:rsidRPr="002B26FC">
              <w:rPr>
                <w:b w:val="0"/>
                <w:bCs w:val="0"/>
                <w:color w:val="auto"/>
                <w:lang w:val="tr-TR"/>
              </w:rPr>
              <w:t xml:space="preserve"> </w:t>
            </w:r>
            <w:r w:rsidR="00B64AA1" w:rsidRPr="00A23740">
              <w:rPr>
                <w:b w:val="0"/>
                <w:bCs w:val="0"/>
                <w:color w:val="auto"/>
                <w:lang w:val="tr-TR"/>
              </w:rPr>
              <w:t xml:space="preserve">görevlilerinin borçlu ile alacaklı arasındaki menfaat dengesinde tarafsız kalmalarının temini amaçlanmaktadır. </w:t>
            </w:r>
            <w:r w:rsidR="00872EDC" w:rsidRPr="00A23740">
              <w:rPr>
                <w:b w:val="0"/>
                <w:bCs w:val="0"/>
                <w:color w:val="auto"/>
                <w:lang w:val="tr-TR"/>
              </w:rPr>
              <w:t xml:space="preserve">Diğer taraftan 2004 sayılı Kanunun 11 inci maddesinde </w:t>
            </w:r>
            <w:r w:rsidR="00C81B2B" w:rsidRPr="00A23740">
              <w:rPr>
                <w:b w:val="0"/>
                <w:bCs w:val="0"/>
                <w:color w:val="auto"/>
                <w:lang w:val="tr-TR"/>
              </w:rPr>
              <w:t xml:space="preserve">düzenlenen </w:t>
            </w:r>
            <w:r w:rsidR="00C21D83" w:rsidRPr="00A23740">
              <w:rPr>
                <w:b w:val="0"/>
                <w:bCs w:val="0"/>
                <w:color w:val="auto"/>
                <w:lang w:val="tr-TR"/>
              </w:rPr>
              <w:t xml:space="preserve">ve </w:t>
            </w:r>
            <w:r w:rsidR="00C81B2B" w:rsidRPr="00A23740">
              <w:rPr>
                <w:b w:val="0"/>
                <w:bCs w:val="0"/>
                <w:color w:val="auto"/>
                <w:lang w:val="tr-TR"/>
              </w:rPr>
              <w:t>h</w:t>
            </w:r>
            <w:r w:rsidR="00DC05AA" w:rsidRPr="00A23740">
              <w:rPr>
                <w:b w:val="0"/>
                <w:bCs w:val="0"/>
                <w:color w:val="auto"/>
                <w:lang w:val="tr-TR"/>
              </w:rPr>
              <w:t>â</w:t>
            </w:r>
            <w:r w:rsidR="00C81B2B" w:rsidRPr="00A23740">
              <w:rPr>
                <w:b w:val="0"/>
                <w:bCs w:val="0"/>
                <w:color w:val="auto"/>
                <w:lang w:val="tr-TR"/>
              </w:rPr>
              <w:t xml:space="preserve">kimlere </w:t>
            </w:r>
            <w:r w:rsidR="00C21D83" w:rsidRPr="00A23740">
              <w:rPr>
                <w:b w:val="0"/>
                <w:bCs w:val="0"/>
                <w:color w:val="auto"/>
                <w:lang w:val="tr-TR"/>
              </w:rPr>
              <w:t xml:space="preserve">ilişkin olan </w:t>
            </w:r>
            <w:r w:rsidR="00C81B2B" w:rsidRPr="00A23740">
              <w:rPr>
                <w:b w:val="0"/>
                <w:bCs w:val="0"/>
                <w:color w:val="auto"/>
                <w:lang w:val="tr-TR"/>
              </w:rPr>
              <w:t xml:space="preserve">yasak, </w:t>
            </w:r>
            <w:r w:rsidR="00163E5A" w:rsidRPr="00A23740">
              <w:rPr>
                <w:b w:val="0"/>
                <w:bCs w:val="0"/>
                <w:color w:val="auto"/>
                <w:lang w:val="tr-TR"/>
              </w:rPr>
              <w:t>Taslağın</w:t>
            </w:r>
            <w:r w:rsidR="00C81B2B" w:rsidRPr="00A23740">
              <w:rPr>
                <w:b w:val="0"/>
                <w:bCs w:val="0"/>
                <w:color w:val="auto"/>
                <w:lang w:val="tr-TR"/>
              </w:rPr>
              <w:t xml:space="preserve"> 20 nci maddesinde düzenlendiği</w:t>
            </w:r>
            <w:r w:rsidR="00DC05AA" w:rsidRPr="00A23740">
              <w:rPr>
                <w:b w:val="0"/>
                <w:bCs w:val="0"/>
                <w:color w:val="auto"/>
                <w:lang w:val="tr-TR"/>
              </w:rPr>
              <w:t>n</w:t>
            </w:r>
            <w:r w:rsidR="00C81B2B" w:rsidRPr="00A23740">
              <w:rPr>
                <w:b w:val="0"/>
                <w:bCs w:val="0"/>
                <w:color w:val="auto"/>
                <w:lang w:val="tr-TR"/>
              </w:rPr>
              <w:t>den bu yasa</w:t>
            </w:r>
            <w:r w:rsidR="00C21D83" w:rsidRPr="00A23740">
              <w:rPr>
                <w:b w:val="0"/>
                <w:bCs w:val="0"/>
                <w:color w:val="auto"/>
                <w:lang w:val="tr-TR"/>
              </w:rPr>
              <w:t xml:space="preserve">ğa 15 nci </w:t>
            </w:r>
            <w:r w:rsidR="008C0530" w:rsidRPr="00A23740">
              <w:rPr>
                <w:b w:val="0"/>
                <w:bCs w:val="0"/>
                <w:color w:val="auto"/>
                <w:lang w:val="tr-TR"/>
              </w:rPr>
              <w:t>maddede yer</w:t>
            </w:r>
            <w:r w:rsidR="00C21D83" w:rsidRPr="00A23740">
              <w:rPr>
                <w:b w:val="0"/>
                <w:bCs w:val="0"/>
                <w:color w:val="auto"/>
                <w:lang w:val="tr-TR"/>
              </w:rPr>
              <w:t xml:space="preserve"> verilmemiştir</w:t>
            </w:r>
            <w:r w:rsidR="008C0530" w:rsidRPr="00A23740">
              <w:rPr>
                <w:b w:val="0"/>
                <w:bCs w:val="0"/>
                <w:color w:val="auto"/>
                <w:lang w:val="tr-TR"/>
              </w:rPr>
              <w:t>.</w:t>
            </w:r>
          </w:p>
          <w:p w:rsidR="00413781" w:rsidRPr="00A23740" w:rsidRDefault="00413781" w:rsidP="009431FF"/>
        </w:tc>
      </w:tr>
      <w:tr w:rsidR="001E132C" w:rsidRPr="00A23740" w:rsidTr="009431FF">
        <w:tc>
          <w:tcPr>
            <w:tcW w:w="2500" w:type="pct"/>
            <w:shd w:val="clear" w:color="auto" w:fill="auto"/>
          </w:tcPr>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i/>
                <w:iCs/>
                <w:color w:val="000000"/>
                <w:szCs w:val="24"/>
                <w:lang w:eastAsia="tr-TR"/>
              </w:rPr>
            </w:pPr>
          </w:p>
          <w:p w:rsidR="001E132C" w:rsidRPr="00A23740" w:rsidRDefault="001E132C" w:rsidP="009431FF">
            <w:pPr>
              <w:rPr>
                <w:rFonts w:eastAsia="Times New Roman"/>
                <w:b/>
                <w:iCs/>
                <w:color w:val="000000"/>
                <w:szCs w:val="24"/>
                <w:lang w:eastAsia="tr-TR"/>
              </w:rPr>
            </w:pPr>
            <w:r w:rsidRPr="00A23740">
              <w:rPr>
                <w:rFonts w:eastAsia="Times New Roman"/>
                <w:b/>
                <w:iCs/>
                <w:color w:val="000000"/>
                <w:szCs w:val="24"/>
                <w:lang w:eastAsia="tr-TR"/>
              </w:rPr>
              <w:lastRenderedPageBreak/>
              <w:t>İcra mahkeme</w:t>
            </w:r>
            <w:r w:rsidRPr="00A23740">
              <w:rPr>
                <w:rStyle w:val="KIRMIZIChar"/>
                <w:rFonts w:eastAsia="Calibri"/>
                <w:lang w:eastAsia="tr-TR"/>
              </w:rPr>
              <w:t>si:</w:t>
            </w:r>
          </w:p>
          <w:p w:rsidR="001E132C" w:rsidRPr="00A23740" w:rsidRDefault="001E132C" w:rsidP="009431FF">
            <w:pPr>
              <w:pStyle w:val="KIRMIZI"/>
              <w:rPr>
                <w:lang w:val="tr-TR"/>
              </w:rPr>
            </w:pPr>
            <w:r w:rsidRPr="00A23740">
              <w:rPr>
                <w:lang w:val="tr-TR"/>
              </w:rPr>
              <w:t>Madde 4 – (Değişik: 3/7/1940-3890/1 md.)</w:t>
            </w:r>
          </w:p>
          <w:p w:rsidR="000431FD" w:rsidRPr="00A23740" w:rsidRDefault="000431FD" w:rsidP="009431FF">
            <w:pPr>
              <w:rPr>
                <w:color w:val="000000"/>
                <w:szCs w:val="24"/>
              </w:rPr>
            </w:pPr>
            <w:r w:rsidRPr="00A23740">
              <w:rPr>
                <w:color w:val="000000"/>
                <w:szCs w:val="24"/>
              </w:rPr>
              <w:t xml:space="preserve">(1) </w:t>
            </w:r>
            <w:r w:rsidRPr="00A23740">
              <w:rPr>
                <w:rFonts w:eastAsia="Times New Roman"/>
                <w:b/>
                <w:bCs/>
                <w:strike/>
                <w:color w:val="FF0000"/>
                <w:szCs w:val="24"/>
                <w:lang w:eastAsia="x-none"/>
              </w:rPr>
              <w:t xml:space="preserve">İcra ve iflâs dairelerinin muamelelerine karşı yapılan şikâyetlerle itirazların </w:t>
            </w:r>
            <w:r w:rsidRPr="00A23740">
              <w:rPr>
                <w:rStyle w:val="KIRMIZIChar"/>
                <w:rFonts w:eastAsia="Calibri"/>
              </w:rPr>
              <w:t>incelenmesi icra mahkemesi hâkimi</w:t>
            </w:r>
            <w:r w:rsidRPr="00A23740">
              <w:rPr>
                <w:rFonts w:eastAsia="Times New Roman"/>
                <w:b/>
                <w:bCs/>
                <w:strike/>
                <w:color w:val="FF0000"/>
                <w:szCs w:val="24"/>
                <w:lang w:eastAsia="x-none"/>
              </w:rPr>
              <w:t xml:space="preserve"> yahut kanun gereğince bu görev kendisine verilmiş olan hâkim tarafından yapılır. İş durumunun gerekli kıldığı yerlerde Hâkimler ve Savcılar Yüksek Kurulunun olumlu görüşü ile Adalet Bakanlığınca icra mahkemesinin birden fazla dairesi kurulabilir. Bu durumda icra mahkemesi daireleri numaralandırılır. İcra mahkemesinin birden fazla dairesi bulunan yerlerde iş dağılımı ve buna ilişkin esaslar, Hâkimler ve Savcılar Yüksek Kurulunca belirlenir. Her icra mahkemesi hâkimi, kendisine Adlî Yargı Adalet Komisyonu Başkanlığınca dönüşümlü olarak bağlanan icra ve iflâs dairelerinin muamelelerine yönelik şikâyetleri ve itirazları inceler</w:t>
            </w:r>
            <w:r w:rsidRPr="00A23740">
              <w:rPr>
                <w:rStyle w:val="KIRMIZIChar"/>
                <w:rFonts w:eastAsia="Calibri"/>
              </w:rPr>
              <w:t>, icra daireleri başkanlığı kurulmayan yerlerde bu dairelerin gözetim ve denetimlerini yapar, idarî işlerine bakar.</w:t>
            </w:r>
          </w:p>
          <w:p w:rsidR="00350590" w:rsidRPr="00A23740" w:rsidRDefault="00350590" w:rsidP="009431FF">
            <w:pPr>
              <w:rPr>
                <w:rFonts w:eastAsia="Times New Roman"/>
                <w:color w:val="000000"/>
                <w:szCs w:val="24"/>
                <w:lang w:eastAsia="tr-TR"/>
              </w:rPr>
            </w:pPr>
          </w:p>
          <w:p w:rsidR="001E132C" w:rsidRPr="00A23740" w:rsidRDefault="001E132C" w:rsidP="009431FF">
            <w:pPr>
              <w:pStyle w:val="KIRMIZI"/>
              <w:rPr>
                <w:lang w:val="tr-TR"/>
              </w:rPr>
            </w:pPr>
            <w:r w:rsidRPr="00A23740">
              <w:rPr>
                <w:lang w:val="tr-TR"/>
              </w:rPr>
              <w:t>(2) İcra yetkisini haiz sulh mahkemelerinin muamelelerine karşı vuku bulacak şikayet ve itirazların icra mahkemesi o mahkemenin hakimidir.</w:t>
            </w:r>
          </w:p>
          <w:p w:rsidR="001E132C" w:rsidRPr="00A23740" w:rsidRDefault="001E132C" w:rsidP="009431FF">
            <w:pPr>
              <w:tabs>
                <w:tab w:val="left" w:pos="566"/>
              </w:tabs>
              <w:rPr>
                <w:rFonts w:eastAsia="ヒラギノ明朝 Pro W3"/>
                <w:szCs w:val="24"/>
              </w:rPr>
            </w:pPr>
          </w:p>
        </w:tc>
        <w:tc>
          <w:tcPr>
            <w:tcW w:w="2500" w:type="pct"/>
            <w:shd w:val="clear" w:color="auto" w:fill="auto"/>
          </w:tcPr>
          <w:p w:rsidR="001E132C" w:rsidRPr="00A23740" w:rsidRDefault="001E132C" w:rsidP="009431FF">
            <w:pPr>
              <w:pStyle w:val="Balk3"/>
              <w:rPr>
                <w:lang w:val="tr-TR"/>
              </w:rPr>
            </w:pPr>
            <w:r w:rsidRPr="00A23740">
              <w:rPr>
                <w:lang w:val="tr-TR"/>
              </w:rPr>
              <w:lastRenderedPageBreak/>
              <w:t>İKİNCİ BÖLÜM</w:t>
            </w:r>
          </w:p>
          <w:p w:rsidR="001E132C" w:rsidRPr="00A23740" w:rsidRDefault="001E132C" w:rsidP="009431FF">
            <w:pPr>
              <w:pStyle w:val="Balk3"/>
              <w:rPr>
                <w:lang w:val="tr-TR"/>
              </w:rPr>
            </w:pPr>
            <w:r w:rsidRPr="00A23740">
              <w:rPr>
                <w:lang w:val="tr-TR"/>
              </w:rPr>
              <w:t>Mahkemeler</w:t>
            </w:r>
          </w:p>
          <w:p w:rsidR="001E132C" w:rsidRPr="00A23740" w:rsidRDefault="001E132C" w:rsidP="009431FF">
            <w:pPr>
              <w:pStyle w:val="Mavi"/>
              <w:jc w:val="center"/>
              <w:rPr>
                <w:lang w:val="tr-TR"/>
              </w:rPr>
            </w:pPr>
          </w:p>
          <w:p w:rsidR="001E132C" w:rsidRPr="00A23740" w:rsidRDefault="001E132C" w:rsidP="009431FF">
            <w:pPr>
              <w:pStyle w:val="Balk4"/>
              <w:rPr>
                <w:lang w:val="tr-TR"/>
              </w:rPr>
            </w:pPr>
            <w:r w:rsidRPr="00A23740">
              <w:rPr>
                <w:lang w:val="tr-TR"/>
              </w:rPr>
              <w:t>BİRİNCİ AYRIM</w:t>
            </w:r>
          </w:p>
          <w:p w:rsidR="001E132C" w:rsidRPr="00A23740" w:rsidRDefault="001E132C" w:rsidP="009431FF">
            <w:pPr>
              <w:pStyle w:val="Balk4"/>
              <w:rPr>
                <w:lang w:val="tr-TR"/>
              </w:rPr>
            </w:pPr>
            <w:r w:rsidRPr="00A23740">
              <w:rPr>
                <w:lang w:val="tr-TR"/>
              </w:rPr>
              <w:t>İcra Mahkemeleri ve İflas Mahkemeleri</w:t>
            </w:r>
          </w:p>
          <w:p w:rsidR="001E132C" w:rsidRPr="00A23740" w:rsidRDefault="001E132C" w:rsidP="009431FF">
            <w:pPr>
              <w:pStyle w:val="Mavi"/>
              <w:rPr>
                <w:lang w:val="tr-TR"/>
              </w:rPr>
            </w:pPr>
          </w:p>
          <w:p w:rsidR="001E132C" w:rsidRPr="00A23740" w:rsidRDefault="001E132C" w:rsidP="009431FF">
            <w:pPr>
              <w:pStyle w:val="Mavi"/>
              <w:rPr>
                <w:rFonts w:eastAsia="Times New Roman"/>
                <w:lang w:val="tr-TR" w:eastAsia="tr-TR"/>
              </w:rPr>
            </w:pPr>
            <w:r w:rsidRPr="00A23740">
              <w:rPr>
                <w:rFonts w:eastAsia="Times New Roman"/>
                <w:bCs w:val="0"/>
                <w:color w:val="auto"/>
                <w:lang w:val="tr-TR" w:eastAsia="tr-TR"/>
              </w:rPr>
              <w:lastRenderedPageBreak/>
              <w:t>İcra</w:t>
            </w:r>
            <w:r w:rsidRPr="00A23740">
              <w:rPr>
                <w:rFonts w:eastAsia="Times New Roman"/>
                <w:b w:val="0"/>
                <w:bCs w:val="0"/>
                <w:color w:val="auto"/>
                <w:lang w:val="tr-TR" w:eastAsia="tr-TR"/>
              </w:rPr>
              <w:t xml:space="preserve"> </w:t>
            </w:r>
            <w:r w:rsidRPr="00A23740">
              <w:rPr>
                <w:rFonts w:eastAsia="Times New Roman"/>
                <w:lang w:val="tr-TR" w:eastAsia="tr-TR"/>
              </w:rPr>
              <w:t>hukuk</w:t>
            </w:r>
            <w:r w:rsidRPr="00A23740">
              <w:rPr>
                <w:rFonts w:eastAsia="Times New Roman"/>
                <w:b w:val="0"/>
                <w:bCs w:val="0"/>
                <w:color w:val="auto"/>
                <w:lang w:val="tr-TR" w:eastAsia="tr-TR"/>
              </w:rPr>
              <w:t xml:space="preserve"> </w:t>
            </w:r>
            <w:r w:rsidRPr="00A23740">
              <w:rPr>
                <w:rFonts w:eastAsia="Times New Roman"/>
                <w:bCs w:val="0"/>
                <w:color w:val="auto"/>
                <w:lang w:val="tr-TR" w:eastAsia="tr-TR"/>
              </w:rPr>
              <w:t>mahkeme</w:t>
            </w:r>
            <w:r w:rsidRPr="00A23740">
              <w:rPr>
                <w:rFonts w:eastAsia="Times New Roman"/>
                <w:lang w:val="tr-TR" w:eastAsia="tr-TR"/>
              </w:rPr>
              <w:t>leri</w:t>
            </w:r>
          </w:p>
          <w:p w:rsidR="00E70513" w:rsidRPr="00A23740" w:rsidRDefault="001F5822" w:rsidP="009431FF">
            <w:pPr>
              <w:pStyle w:val="Mavi"/>
              <w:rPr>
                <w:b w:val="0"/>
                <w:color w:val="000000"/>
              </w:rPr>
            </w:pPr>
            <w:r w:rsidRPr="00A23740">
              <w:t>MADDE</w:t>
            </w:r>
            <w:r w:rsidRPr="00A23740">
              <w:rPr>
                <w:rStyle w:val="MaviChar"/>
                <w:lang w:val="tr-TR"/>
              </w:rPr>
              <w:t xml:space="preserve"> </w:t>
            </w:r>
            <w:r w:rsidR="00F92A99" w:rsidRPr="00A23740">
              <w:t>16</w:t>
            </w:r>
            <w:r w:rsidR="00FD006B" w:rsidRPr="00A23740">
              <w:t>-</w:t>
            </w:r>
            <w:r w:rsidR="00FD006B" w:rsidRPr="00A23740">
              <w:rPr>
                <w:rStyle w:val="MaviChar"/>
                <w:lang w:val="tr-TR"/>
              </w:rPr>
              <w:t xml:space="preserve"> </w:t>
            </w:r>
            <w:r w:rsidR="00E70513" w:rsidRPr="00A23740">
              <w:t>(1)</w:t>
            </w:r>
            <w:r w:rsidR="00E70513" w:rsidRPr="00A23740">
              <w:rPr>
                <w:color w:val="000000"/>
              </w:rPr>
              <w:t xml:space="preserve"> </w:t>
            </w:r>
            <w:r w:rsidR="00E70513" w:rsidRPr="00A23740">
              <w:t xml:space="preserve">İcra hukuk mahkemeleri, bu Kanun ve diğer </w:t>
            </w:r>
            <w:r w:rsidR="008E4036" w:rsidRPr="002B26FC">
              <w:t>kanunlarla</w:t>
            </w:r>
            <w:r w:rsidR="008E4036" w:rsidRPr="00A23740">
              <w:rPr>
                <w:color w:val="70AD47"/>
              </w:rPr>
              <w:t xml:space="preserve"> </w:t>
            </w:r>
            <w:r w:rsidR="00E70513" w:rsidRPr="00A23740">
              <w:t>verilen görevleri yerine getirir</w:t>
            </w:r>
            <w:r w:rsidR="003D2781" w:rsidRPr="00A23740">
              <w:rPr>
                <w:lang w:val="tr-TR"/>
              </w:rPr>
              <w:t>.</w:t>
            </w:r>
          </w:p>
          <w:p w:rsidR="001E132C" w:rsidRPr="00A23740" w:rsidRDefault="001E132C" w:rsidP="009431FF">
            <w:pPr>
              <w:tabs>
                <w:tab w:val="left" w:pos="567"/>
              </w:tabs>
              <w:rPr>
                <w:rStyle w:val="Stil2Char"/>
                <w:rFonts w:eastAsia="Calibri"/>
                <w:u w:val="none"/>
              </w:rPr>
            </w:pPr>
          </w:p>
          <w:p w:rsidR="001E132C" w:rsidRPr="00A23740" w:rsidRDefault="001E132C" w:rsidP="009431FF">
            <w:pPr>
              <w:pStyle w:val="Mavi"/>
            </w:pPr>
            <w:r w:rsidRPr="00A23740">
              <w:t>(2) Aksine hüküm bulunmayan h</w:t>
            </w:r>
            <w:r w:rsidR="00DC05AA" w:rsidRPr="00A23740">
              <w:rPr>
                <w:lang w:val="tr-TR"/>
              </w:rPr>
              <w:t>â</w:t>
            </w:r>
            <w:r w:rsidRPr="00A23740">
              <w:t>llerde</w:t>
            </w:r>
            <w:r w:rsidR="007C5A54" w:rsidRPr="00A23740">
              <w:rPr>
                <w:lang w:val="tr-TR"/>
              </w:rPr>
              <w:t>,</w:t>
            </w:r>
            <w:r w:rsidRPr="00A23740">
              <w:t xml:space="preserve"> icra hukuk mahkemelerinde görülen dava ve işlerde</w:t>
            </w:r>
            <w:r w:rsidR="007C5A54" w:rsidRPr="00A23740">
              <w:rPr>
                <w:lang w:val="tr-TR"/>
              </w:rPr>
              <w:t>,</w:t>
            </w:r>
            <w:r w:rsidRPr="00A23740">
              <w:t xml:space="preserve"> niteliğine uygun düştüğü ölçüde basit yargılama usulü uygulanır. Bu dava ve işler ivedi sayılır.</w:t>
            </w:r>
          </w:p>
          <w:p w:rsidR="00FE4EDC" w:rsidRPr="00A23740" w:rsidRDefault="00FE4EDC" w:rsidP="009431FF">
            <w:pPr>
              <w:tabs>
                <w:tab w:val="left" w:pos="567"/>
              </w:tabs>
              <w:rPr>
                <w:rStyle w:val="Stil2Char"/>
                <w:rFonts w:eastAsia="Calibri"/>
                <w:color w:val="FF0000"/>
                <w:u w:val="none"/>
              </w:rPr>
            </w:pPr>
          </w:p>
          <w:p w:rsidR="00FE4EDC" w:rsidRPr="00A23740" w:rsidRDefault="00FE4EDC" w:rsidP="009431FF">
            <w:pPr>
              <w:tabs>
                <w:tab w:val="left" w:pos="567"/>
              </w:tabs>
              <w:rPr>
                <w:rStyle w:val="Stil2Char"/>
                <w:rFonts w:eastAsia="Calibri"/>
                <w:color w:val="FF0000"/>
                <w:u w:val="none"/>
              </w:rPr>
            </w:pPr>
          </w:p>
          <w:p w:rsidR="00FE4EDC" w:rsidRPr="00A23740" w:rsidRDefault="00FE4EDC" w:rsidP="009431FF">
            <w:pPr>
              <w:tabs>
                <w:tab w:val="left" w:pos="567"/>
              </w:tabs>
              <w:rPr>
                <w:rStyle w:val="Stil2Char"/>
                <w:rFonts w:eastAsia="Calibri"/>
                <w:color w:val="FF0000"/>
                <w:u w:val="none"/>
              </w:rPr>
            </w:pPr>
          </w:p>
          <w:p w:rsidR="00FE4EDC" w:rsidRPr="00A23740" w:rsidRDefault="00FE4EDC" w:rsidP="009431FF">
            <w:pPr>
              <w:tabs>
                <w:tab w:val="left" w:pos="567"/>
              </w:tabs>
              <w:rPr>
                <w:rStyle w:val="Stil2Char"/>
                <w:rFonts w:eastAsia="Calibri"/>
                <w:color w:val="FF0000"/>
                <w:u w:val="none"/>
              </w:rPr>
            </w:pPr>
          </w:p>
          <w:p w:rsidR="00FE4EDC" w:rsidRPr="00A23740" w:rsidRDefault="00FE4EDC" w:rsidP="009431FF">
            <w:pPr>
              <w:tabs>
                <w:tab w:val="left" w:pos="567"/>
              </w:tabs>
              <w:rPr>
                <w:rStyle w:val="Stil2Char"/>
                <w:rFonts w:eastAsia="Calibri"/>
                <w:color w:val="FF0000"/>
                <w:u w:val="none"/>
              </w:rPr>
            </w:pPr>
          </w:p>
          <w:p w:rsidR="00FE4EDC" w:rsidRDefault="00FE4EDC" w:rsidP="009431FF">
            <w:pPr>
              <w:tabs>
                <w:tab w:val="left" w:pos="567"/>
              </w:tabs>
              <w:rPr>
                <w:rStyle w:val="Stil2Char"/>
                <w:rFonts w:eastAsia="Calibri"/>
                <w:color w:val="FF0000"/>
                <w:u w:val="none"/>
              </w:rPr>
            </w:pPr>
          </w:p>
          <w:p w:rsidR="00932BCF" w:rsidRPr="00A23740" w:rsidRDefault="00932BCF" w:rsidP="009431FF">
            <w:pPr>
              <w:tabs>
                <w:tab w:val="left" w:pos="567"/>
              </w:tabs>
              <w:rPr>
                <w:rStyle w:val="Stil2Char"/>
                <w:rFonts w:eastAsia="Calibri"/>
                <w:color w:val="FF0000"/>
                <w:u w:val="none"/>
              </w:rPr>
            </w:pPr>
          </w:p>
          <w:p w:rsidR="00FE4EDC" w:rsidRPr="00A23740" w:rsidRDefault="00FE4EDC" w:rsidP="009431FF">
            <w:pPr>
              <w:tabs>
                <w:tab w:val="left" w:pos="567"/>
              </w:tabs>
              <w:rPr>
                <w:rStyle w:val="Stil2Char"/>
                <w:rFonts w:eastAsia="Calibri"/>
                <w:color w:val="FF0000"/>
                <w:u w:val="none"/>
              </w:rPr>
            </w:pPr>
          </w:p>
          <w:p w:rsidR="00FE4EDC" w:rsidRPr="00A23740" w:rsidRDefault="00FE4EDC" w:rsidP="009431FF">
            <w:pPr>
              <w:tabs>
                <w:tab w:val="left" w:pos="567"/>
              </w:tabs>
              <w:rPr>
                <w:rStyle w:val="Stil2Char"/>
                <w:rFonts w:eastAsia="Calibri"/>
                <w:color w:val="FF0000"/>
                <w:u w:val="none"/>
              </w:rPr>
            </w:pPr>
          </w:p>
          <w:p w:rsidR="00350590" w:rsidRPr="00A23740" w:rsidRDefault="003556C8" w:rsidP="009431FF">
            <w:pPr>
              <w:pStyle w:val="Mavi"/>
            </w:pPr>
            <w:r w:rsidRPr="00A23740">
              <w:t>(3</w:t>
            </w:r>
            <w:r w:rsidR="00350590" w:rsidRPr="00A23740">
              <w:t xml:space="preserve">) Sulh hukuk mahkemesi tarafından görevlendirilen kişilerin, </w:t>
            </w:r>
            <w:r w:rsidR="008503D6" w:rsidRPr="00A23740">
              <w:rPr>
                <w:lang w:val="tr-TR"/>
              </w:rPr>
              <w:t>bu Kanun</w:t>
            </w:r>
            <w:r w:rsidR="00350590" w:rsidRPr="00A23740">
              <w:t xml:space="preserve"> hükümleri uyarınca yürüttükleri işlemlere karşı yapılacak şikâyet ve itirazlar, ilgili sulh hukuk mahkemesince incelenir ve karara bağlanır.</w:t>
            </w:r>
          </w:p>
          <w:p w:rsidR="00350590" w:rsidRPr="00A23740" w:rsidRDefault="00350590" w:rsidP="009431FF">
            <w:pPr>
              <w:tabs>
                <w:tab w:val="left" w:pos="567"/>
              </w:tabs>
              <w:rPr>
                <w:rStyle w:val="Stil2Char"/>
                <w:rFonts w:eastAsia="Calibri"/>
                <w:u w:val="none"/>
              </w:rPr>
            </w:pPr>
          </w:p>
        </w:tc>
      </w:tr>
      <w:tr w:rsidR="00083972" w:rsidRPr="00A23740" w:rsidTr="009431FF">
        <w:tc>
          <w:tcPr>
            <w:tcW w:w="5000" w:type="pct"/>
            <w:gridSpan w:val="2"/>
            <w:shd w:val="clear" w:color="auto" w:fill="DEEAF6"/>
          </w:tcPr>
          <w:p w:rsidR="003556C8" w:rsidRPr="00A23740" w:rsidRDefault="003556C8" w:rsidP="009431FF">
            <w:pPr>
              <w:pStyle w:val="Mavi"/>
              <w:ind w:firstLine="709"/>
              <w:rPr>
                <w:color w:val="auto"/>
                <w:lang w:val="tr-TR"/>
              </w:rPr>
            </w:pPr>
          </w:p>
          <w:p w:rsidR="007C5A54" w:rsidRPr="00A23740" w:rsidRDefault="00D42F78" w:rsidP="009431FF">
            <w:pPr>
              <w:pStyle w:val="Mavi"/>
              <w:ind w:firstLine="709"/>
              <w:rPr>
                <w:b w:val="0"/>
                <w:bCs w:val="0"/>
                <w:color w:val="auto"/>
                <w:lang w:val="tr-TR"/>
              </w:rPr>
            </w:pPr>
            <w:r w:rsidRPr="00A23740">
              <w:rPr>
                <w:color w:val="auto"/>
                <w:lang w:val="tr-TR"/>
              </w:rPr>
              <w:t>MADDE 16</w:t>
            </w:r>
            <w:r w:rsidR="00155AF4" w:rsidRPr="00A23740">
              <w:rPr>
                <w:color w:val="auto"/>
                <w:lang w:val="tr-TR"/>
              </w:rPr>
              <w:t xml:space="preserve">- </w:t>
            </w:r>
            <w:r w:rsidR="007C5A54" w:rsidRPr="00A23740">
              <w:rPr>
                <w:b w:val="0"/>
                <w:bCs w:val="0"/>
                <w:color w:val="auto"/>
                <w:lang w:val="tr-TR"/>
              </w:rPr>
              <w:t>Maddeyl</w:t>
            </w:r>
            <w:r w:rsidR="00155AF4" w:rsidRPr="00A23740">
              <w:rPr>
                <w:b w:val="0"/>
                <w:bCs w:val="0"/>
                <w:color w:val="auto"/>
                <w:lang w:val="tr-TR"/>
              </w:rPr>
              <w:t>e</w:t>
            </w:r>
            <w:r w:rsidR="007C5A54" w:rsidRPr="00A23740">
              <w:rPr>
                <w:b w:val="0"/>
                <w:bCs w:val="0"/>
                <w:color w:val="auto"/>
                <w:lang w:val="tr-TR"/>
              </w:rPr>
              <w:t>,</w:t>
            </w:r>
            <w:r w:rsidR="00155AF4" w:rsidRPr="00A23740">
              <w:rPr>
                <w:b w:val="0"/>
                <w:bCs w:val="0"/>
                <w:color w:val="auto"/>
                <w:lang w:val="tr-TR"/>
              </w:rPr>
              <w:t xml:space="preserve"> icra hukuk mahkemeleri</w:t>
            </w:r>
            <w:r w:rsidR="008503D6" w:rsidRPr="00A23740">
              <w:rPr>
                <w:b w:val="0"/>
                <w:bCs w:val="0"/>
                <w:color w:val="auto"/>
                <w:lang w:val="tr-TR"/>
              </w:rPr>
              <w:t>ne ilişkin hususlar</w:t>
            </w:r>
            <w:r w:rsidR="00155AF4" w:rsidRPr="00A23740">
              <w:rPr>
                <w:b w:val="0"/>
                <w:bCs w:val="0"/>
                <w:color w:val="auto"/>
                <w:lang w:val="tr-TR"/>
              </w:rPr>
              <w:t xml:space="preserve"> düzenlenmektedir. </w:t>
            </w:r>
            <w:r w:rsidR="001D2512" w:rsidRPr="00A23740">
              <w:rPr>
                <w:b w:val="0"/>
                <w:bCs w:val="0"/>
                <w:color w:val="auto"/>
                <w:lang w:val="tr-TR"/>
              </w:rPr>
              <w:t xml:space="preserve">İcra </w:t>
            </w:r>
            <w:r w:rsidR="00BD7E01" w:rsidRPr="00A23740">
              <w:rPr>
                <w:b w:val="0"/>
                <w:color w:val="auto"/>
                <w:lang w:val="tr-TR"/>
              </w:rPr>
              <w:t xml:space="preserve">Mahkemeleri </w:t>
            </w:r>
            <w:r w:rsidR="001D2512" w:rsidRPr="00A23740">
              <w:rPr>
                <w:b w:val="0"/>
                <w:bCs w:val="0"/>
                <w:color w:val="auto"/>
                <w:lang w:val="tr-TR"/>
              </w:rPr>
              <w:t xml:space="preserve">ve İflas Mahkemeleri ile İcra Teşkilatı Hakkında Kanun </w:t>
            </w:r>
            <w:r w:rsidR="00163E5A" w:rsidRPr="00A23740">
              <w:rPr>
                <w:b w:val="0"/>
                <w:bCs w:val="0"/>
                <w:color w:val="auto"/>
                <w:lang w:val="tr-TR"/>
              </w:rPr>
              <w:t>Taslağıyla</w:t>
            </w:r>
            <w:r w:rsidR="001D2512" w:rsidRPr="00A23740">
              <w:rPr>
                <w:b w:val="0"/>
                <w:bCs w:val="0"/>
                <w:color w:val="auto"/>
                <w:lang w:val="tr-TR"/>
              </w:rPr>
              <w:t>, icra hukuk mahkemesinin kuruluşu ve yargı çevresi ile icra</w:t>
            </w:r>
            <w:r w:rsidR="0001352C" w:rsidRPr="00A23740">
              <w:rPr>
                <w:b w:val="0"/>
                <w:bCs w:val="0"/>
                <w:color w:val="auto"/>
                <w:lang w:val="tr-TR"/>
              </w:rPr>
              <w:t xml:space="preserve"> </w:t>
            </w:r>
            <w:r w:rsidR="0001352C" w:rsidRPr="002B26FC">
              <w:rPr>
                <w:b w:val="0"/>
                <w:bCs w:val="0"/>
                <w:color w:val="auto"/>
                <w:lang w:val="tr-TR"/>
              </w:rPr>
              <w:t>ve iflas</w:t>
            </w:r>
            <w:r w:rsidR="0001352C" w:rsidRPr="00A23740">
              <w:rPr>
                <w:b w:val="0"/>
                <w:bCs w:val="0"/>
                <w:color w:val="auto"/>
                <w:lang w:val="tr-TR"/>
              </w:rPr>
              <w:t xml:space="preserve"> </w:t>
            </w:r>
            <w:r w:rsidR="001D2512" w:rsidRPr="00A23740">
              <w:rPr>
                <w:b w:val="0"/>
                <w:bCs w:val="0"/>
                <w:color w:val="auto"/>
                <w:lang w:val="tr-TR"/>
              </w:rPr>
              <w:t>daireleriyle ilgili idari görevleri düzenlendiğinden maddede bu hususlara yer</w:t>
            </w:r>
            <w:r w:rsidR="00C21D83" w:rsidRPr="00A23740">
              <w:rPr>
                <w:b w:val="0"/>
                <w:bCs w:val="0"/>
                <w:color w:val="auto"/>
                <w:lang w:val="tr-TR"/>
              </w:rPr>
              <w:t xml:space="preserve"> verilmemiştir</w:t>
            </w:r>
            <w:r w:rsidR="001D2512" w:rsidRPr="00A23740">
              <w:rPr>
                <w:b w:val="0"/>
                <w:bCs w:val="0"/>
                <w:color w:val="auto"/>
                <w:lang w:val="tr-TR"/>
              </w:rPr>
              <w:t xml:space="preserve">. </w:t>
            </w:r>
            <w:r w:rsidR="00063B5F" w:rsidRPr="00A23740">
              <w:rPr>
                <w:b w:val="0"/>
                <w:bCs w:val="0"/>
                <w:color w:val="auto"/>
                <w:lang w:val="tr-TR"/>
              </w:rPr>
              <w:t xml:space="preserve">Bu </w:t>
            </w:r>
            <w:r w:rsidR="001D2512" w:rsidRPr="00A23740">
              <w:rPr>
                <w:b w:val="0"/>
                <w:bCs w:val="0"/>
                <w:color w:val="auto"/>
                <w:lang w:val="tr-TR"/>
              </w:rPr>
              <w:t>madde</w:t>
            </w:r>
            <w:r w:rsidR="00063B5F" w:rsidRPr="00A23740">
              <w:rPr>
                <w:b w:val="0"/>
                <w:bCs w:val="0"/>
                <w:color w:val="auto"/>
                <w:lang w:val="tr-TR"/>
              </w:rPr>
              <w:t xml:space="preserve">, 2004 sayılı Kanunun 4 üncü maddesine </w:t>
            </w:r>
            <w:r w:rsidR="00C765F5" w:rsidRPr="00A23740">
              <w:rPr>
                <w:b w:val="0"/>
                <w:bCs w:val="0"/>
                <w:color w:val="auto"/>
                <w:lang w:val="tr-TR"/>
              </w:rPr>
              <w:t xml:space="preserve">kısmen </w:t>
            </w:r>
            <w:r w:rsidR="00063B5F" w:rsidRPr="00A23740">
              <w:rPr>
                <w:b w:val="0"/>
                <w:bCs w:val="0"/>
                <w:color w:val="auto"/>
                <w:lang w:val="tr-TR"/>
              </w:rPr>
              <w:t xml:space="preserve">karşılık gelmektedir.  </w:t>
            </w:r>
          </w:p>
          <w:p w:rsidR="00436870" w:rsidRPr="00A23740" w:rsidRDefault="00C765F5" w:rsidP="009431FF">
            <w:pPr>
              <w:pStyle w:val="Mavi"/>
              <w:ind w:firstLine="709"/>
              <w:rPr>
                <w:b w:val="0"/>
                <w:bCs w:val="0"/>
                <w:color w:val="auto"/>
                <w:lang w:val="tr-TR"/>
              </w:rPr>
            </w:pPr>
            <w:r w:rsidRPr="00A23740">
              <w:rPr>
                <w:b w:val="0"/>
                <w:bCs w:val="0"/>
                <w:color w:val="auto"/>
                <w:lang w:val="tr-TR"/>
              </w:rPr>
              <w:t>B</w:t>
            </w:r>
            <w:r w:rsidR="002A4FE8" w:rsidRPr="00A23740">
              <w:rPr>
                <w:b w:val="0"/>
                <w:bCs w:val="0"/>
                <w:color w:val="auto"/>
                <w:lang w:val="tr-TR"/>
              </w:rPr>
              <w:t>irinci fıkrayla,</w:t>
            </w:r>
            <w:r w:rsidRPr="00A23740">
              <w:rPr>
                <w:b w:val="0"/>
                <w:bCs w:val="0"/>
                <w:color w:val="auto"/>
                <w:lang w:val="tr-TR"/>
              </w:rPr>
              <w:t xml:space="preserve"> icra </w:t>
            </w:r>
            <w:r w:rsidR="00155AF4" w:rsidRPr="00A23740">
              <w:rPr>
                <w:b w:val="0"/>
                <w:bCs w:val="0"/>
                <w:color w:val="auto"/>
                <w:lang w:val="tr-TR"/>
              </w:rPr>
              <w:t>hukuk mahkemesi</w:t>
            </w:r>
            <w:r w:rsidR="002A4FE8" w:rsidRPr="00A23740">
              <w:rPr>
                <w:b w:val="0"/>
                <w:bCs w:val="0"/>
                <w:color w:val="auto"/>
                <w:lang w:val="tr-TR"/>
              </w:rPr>
              <w:t>nin</w:t>
            </w:r>
            <w:r w:rsidR="00155AF4" w:rsidRPr="00A23740">
              <w:rPr>
                <w:b w:val="0"/>
                <w:bCs w:val="0"/>
                <w:color w:val="auto"/>
                <w:lang w:val="tr-TR"/>
              </w:rPr>
              <w:t>, bu Kanun ve diğer kanunlarla verilen görevleri yerine getiren özel görevli bir mahkeme</w:t>
            </w:r>
            <w:r w:rsidR="002A4FE8" w:rsidRPr="00A23740">
              <w:rPr>
                <w:b w:val="0"/>
                <w:bCs w:val="0"/>
                <w:color w:val="auto"/>
                <w:lang w:val="tr-TR"/>
              </w:rPr>
              <w:t xml:space="preserve"> olduğu kabul edilmektedir. </w:t>
            </w:r>
            <w:r w:rsidR="00155AF4" w:rsidRPr="00A23740">
              <w:rPr>
                <w:b w:val="0"/>
                <w:bCs w:val="0"/>
                <w:color w:val="auto"/>
                <w:lang w:val="tr-TR"/>
              </w:rPr>
              <w:t xml:space="preserve">Bu görevler, hukuk alanına ilişkin </w:t>
            </w:r>
            <w:r w:rsidR="002A4FE8" w:rsidRPr="00A23740">
              <w:rPr>
                <w:b w:val="0"/>
                <w:bCs w:val="0"/>
                <w:color w:val="auto"/>
                <w:lang w:val="tr-TR"/>
              </w:rPr>
              <w:t>görevler olduğundan</w:t>
            </w:r>
            <w:r w:rsidR="00155AF4" w:rsidRPr="00A23740">
              <w:rPr>
                <w:b w:val="0"/>
                <w:bCs w:val="0"/>
                <w:color w:val="auto"/>
                <w:lang w:val="tr-TR"/>
              </w:rPr>
              <w:t xml:space="preserve">, </w:t>
            </w:r>
            <w:r w:rsidR="001D2512" w:rsidRPr="00A23740">
              <w:rPr>
                <w:b w:val="0"/>
                <w:bCs w:val="0"/>
                <w:color w:val="auto"/>
                <w:lang w:val="tr-TR"/>
              </w:rPr>
              <w:t>icra hukukuyla</w:t>
            </w:r>
            <w:r w:rsidR="007F181F" w:rsidRPr="00A23740">
              <w:rPr>
                <w:b w:val="0"/>
                <w:bCs w:val="0"/>
                <w:color w:val="auto"/>
                <w:lang w:val="tr-TR"/>
              </w:rPr>
              <w:t xml:space="preserve"> ilgili </w:t>
            </w:r>
            <w:r w:rsidR="00155AF4" w:rsidRPr="00A23740">
              <w:rPr>
                <w:b w:val="0"/>
                <w:bCs w:val="0"/>
                <w:color w:val="auto"/>
                <w:lang w:val="tr-TR"/>
              </w:rPr>
              <w:t>ceza hükümleri</w:t>
            </w:r>
            <w:r w:rsidR="001D2512" w:rsidRPr="00A23740">
              <w:rPr>
                <w:b w:val="0"/>
                <w:bCs w:val="0"/>
                <w:color w:val="auto"/>
                <w:lang w:val="tr-TR"/>
              </w:rPr>
              <w:t>ni</w:t>
            </w:r>
            <w:r w:rsidR="00155AF4" w:rsidRPr="00A23740">
              <w:rPr>
                <w:b w:val="0"/>
                <w:bCs w:val="0"/>
                <w:color w:val="auto"/>
                <w:lang w:val="tr-TR"/>
              </w:rPr>
              <w:t xml:space="preserve"> ve </w:t>
            </w:r>
            <w:r w:rsidR="007F181F" w:rsidRPr="00A23740">
              <w:rPr>
                <w:b w:val="0"/>
                <w:bCs w:val="0"/>
                <w:color w:val="auto"/>
                <w:lang w:val="tr-TR"/>
              </w:rPr>
              <w:t xml:space="preserve">işlerini </w:t>
            </w:r>
            <w:r w:rsidR="002A4FE8" w:rsidRPr="00A23740">
              <w:rPr>
                <w:b w:val="0"/>
                <w:bCs w:val="0"/>
                <w:color w:val="auto"/>
                <w:lang w:val="tr-TR"/>
              </w:rPr>
              <w:t>kapsamamaktadır.</w:t>
            </w:r>
            <w:r w:rsidR="007F181F" w:rsidRPr="00A23740">
              <w:rPr>
                <w:b w:val="0"/>
                <w:bCs w:val="0"/>
                <w:color w:val="auto"/>
                <w:lang w:val="tr-TR"/>
              </w:rPr>
              <w:t xml:space="preserve"> </w:t>
            </w:r>
            <w:r w:rsidR="00436870" w:rsidRPr="00A23740">
              <w:rPr>
                <w:b w:val="0"/>
                <w:bCs w:val="0"/>
                <w:color w:val="auto"/>
                <w:lang w:val="tr-TR"/>
              </w:rPr>
              <w:t xml:space="preserve">Öte yandan icra hukuk mahkemeleri, İcra </w:t>
            </w:r>
            <w:r w:rsidR="00BD7E01" w:rsidRPr="00932BCF">
              <w:rPr>
                <w:b w:val="0"/>
                <w:bCs w:val="0"/>
                <w:color w:val="auto"/>
                <w:lang w:val="tr-TR"/>
              </w:rPr>
              <w:t xml:space="preserve">Mahkemeleri </w:t>
            </w:r>
            <w:r w:rsidR="00436870" w:rsidRPr="00A23740">
              <w:rPr>
                <w:b w:val="0"/>
                <w:bCs w:val="0"/>
                <w:color w:val="auto"/>
                <w:lang w:val="tr-TR"/>
              </w:rPr>
              <w:t>ve İflas Mahkemeleri ile İcra T</w:t>
            </w:r>
            <w:r w:rsidR="005E361C" w:rsidRPr="00A23740">
              <w:rPr>
                <w:b w:val="0"/>
                <w:bCs w:val="0"/>
                <w:color w:val="auto"/>
                <w:lang w:val="tr-TR"/>
              </w:rPr>
              <w:t xml:space="preserve">eşkilatı Hakkında Kanun </w:t>
            </w:r>
            <w:r w:rsidR="00163E5A" w:rsidRPr="00A23740">
              <w:rPr>
                <w:b w:val="0"/>
                <w:bCs w:val="0"/>
                <w:color w:val="auto"/>
                <w:lang w:val="tr-TR"/>
              </w:rPr>
              <w:t>Taslağıyla</w:t>
            </w:r>
            <w:r w:rsidR="005E361C" w:rsidRPr="00A23740">
              <w:rPr>
                <w:b w:val="0"/>
                <w:bCs w:val="0"/>
                <w:color w:val="auto"/>
                <w:lang w:val="tr-TR"/>
              </w:rPr>
              <w:t xml:space="preserve"> </w:t>
            </w:r>
            <w:r w:rsidR="00E814F3" w:rsidRPr="00A23740">
              <w:rPr>
                <w:b w:val="0"/>
                <w:bCs w:val="0"/>
                <w:color w:val="auto"/>
                <w:lang w:val="tr-TR"/>
              </w:rPr>
              <w:t xml:space="preserve"> kendilerine  verilip </w:t>
            </w:r>
            <w:r w:rsidR="00436870" w:rsidRPr="00A23740">
              <w:rPr>
                <w:b w:val="0"/>
                <w:bCs w:val="0"/>
                <w:color w:val="auto"/>
                <w:lang w:val="tr-TR"/>
              </w:rPr>
              <w:t xml:space="preserve">icra </w:t>
            </w:r>
            <w:r w:rsidR="00DC6449" w:rsidRPr="00932BCF">
              <w:rPr>
                <w:b w:val="0"/>
                <w:bCs w:val="0"/>
                <w:color w:val="auto"/>
                <w:lang w:val="tr-TR"/>
              </w:rPr>
              <w:t xml:space="preserve">ve iflas </w:t>
            </w:r>
            <w:r w:rsidR="00436870" w:rsidRPr="00A23740">
              <w:rPr>
                <w:b w:val="0"/>
                <w:bCs w:val="0"/>
                <w:color w:val="auto"/>
                <w:lang w:val="tr-TR"/>
              </w:rPr>
              <w:t xml:space="preserve">dairelerinin gözetimi ve denetimi gibi </w:t>
            </w:r>
            <w:r w:rsidR="00E814F3" w:rsidRPr="00A23740">
              <w:rPr>
                <w:b w:val="0"/>
                <w:bCs w:val="0"/>
                <w:color w:val="auto"/>
                <w:lang w:val="tr-TR"/>
              </w:rPr>
              <w:t xml:space="preserve">hususlara ilişkin olan </w:t>
            </w:r>
            <w:r w:rsidR="00436870" w:rsidRPr="00A23740">
              <w:rPr>
                <w:b w:val="0"/>
                <w:bCs w:val="0"/>
                <w:color w:val="auto"/>
                <w:lang w:val="tr-TR"/>
              </w:rPr>
              <w:t>idari görevleri de</w:t>
            </w:r>
            <w:r w:rsidR="00E814F3" w:rsidRPr="00A23740">
              <w:rPr>
                <w:b w:val="0"/>
                <w:bCs w:val="0"/>
                <w:color w:val="auto"/>
                <w:lang w:val="tr-TR"/>
              </w:rPr>
              <w:t xml:space="preserve"> yerine getireceklerdir</w:t>
            </w:r>
            <w:r w:rsidR="00436870" w:rsidRPr="00A23740">
              <w:rPr>
                <w:b w:val="0"/>
                <w:bCs w:val="0"/>
                <w:color w:val="auto"/>
                <w:lang w:val="tr-TR"/>
              </w:rPr>
              <w:t xml:space="preserve">. Böylece icra </w:t>
            </w:r>
            <w:r w:rsidR="00DC6449" w:rsidRPr="00932BCF">
              <w:rPr>
                <w:b w:val="0"/>
                <w:bCs w:val="0"/>
                <w:color w:val="auto"/>
                <w:lang w:val="tr-TR"/>
              </w:rPr>
              <w:t>ve iflas</w:t>
            </w:r>
            <w:r w:rsidR="00DC6449" w:rsidRPr="00A23740">
              <w:rPr>
                <w:b w:val="0"/>
                <w:bCs w:val="0"/>
                <w:color w:val="auto"/>
                <w:lang w:val="tr-TR"/>
              </w:rPr>
              <w:t xml:space="preserve"> </w:t>
            </w:r>
            <w:r w:rsidR="00436870" w:rsidRPr="00A23740">
              <w:rPr>
                <w:b w:val="0"/>
                <w:bCs w:val="0"/>
                <w:color w:val="auto"/>
                <w:lang w:val="tr-TR"/>
              </w:rPr>
              <w:t>daireleri ile icra hukuk mahkemeleri arasında doğrudan bir bağ kurulmuş olmaktadır.</w:t>
            </w:r>
          </w:p>
          <w:p w:rsidR="00F77FB4" w:rsidRPr="00A23740" w:rsidRDefault="00760885" w:rsidP="009431FF">
            <w:pPr>
              <w:pStyle w:val="Mavi"/>
              <w:ind w:firstLine="709"/>
              <w:rPr>
                <w:b w:val="0"/>
                <w:bCs w:val="0"/>
                <w:color w:val="auto"/>
                <w:lang w:val="tr-TR"/>
              </w:rPr>
            </w:pPr>
            <w:r w:rsidRPr="00A23740">
              <w:rPr>
                <w:b w:val="0"/>
                <w:bCs w:val="0"/>
                <w:color w:val="auto"/>
                <w:lang w:val="tr-TR"/>
              </w:rPr>
              <w:lastRenderedPageBreak/>
              <w:t>İkinci fıkrayla</w:t>
            </w:r>
            <w:r w:rsidR="00155AF4" w:rsidRPr="00A23740">
              <w:rPr>
                <w:b w:val="0"/>
                <w:bCs w:val="0"/>
                <w:color w:val="auto"/>
                <w:lang w:val="tr-TR"/>
              </w:rPr>
              <w:t>, icra hukuk mahkemesin</w:t>
            </w:r>
            <w:r w:rsidR="007F181F" w:rsidRPr="00A23740">
              <w:rPr>
                <w:b w:val="0"/>
                <w:bCs w:val="0"/>
                <w:color w:val="auto"/>
                <w:lang w:val="tr-TR"/>
              </w:rPr>
              <w:t>de uygulanacak yargılama usulü</w:t>
            </w:r>
            <w:r w:rsidR="00155AF4" w:rsidRPr="00A23740">
              <w:rPr>
                <w:b w:val="0"/>
                <w:bCs w:val="0"/>
                <w:color w:val="auto"/>
                <w:lang w:val="tr-TR"/>
              </w:rPr>
              <w:t xml:space="preserve"> </w:t>
            </w:r>
            <w:r w:rsidR="007F181F" w:rsidRPr="00A23740">
              <w:rPr>
                <w:b w:val="0"/>
                <w:bCs w:val="0"/>
                <w:color w:val="auto"/>
                <w:lang w:val="tr-TR"/>
              </w:rPr>
              <w:t>belirlenmektedir</w:t>
            </w:r>
            <w:r w:rsidR="00155AF4" w:rsidRPr="00A23740">
              <w:rPr>
                <w:b w:val="0"/>
                <w:bCs w:val="0"/>
                <w:color w:val="auto"/>
                <w:lang w:val="tr-TR"/>
              </w:rPr>
              <w:t xml:space="preserve">. </w:t>
            </w:r>
            <w:r w:rsidR="00E814F3" w:rsidRPr="00A23740">
              <w:rPr>
                <w:b w:val="0"/>
                <w:bCs w:val="0"/>
                <w:color w:val="auto"/>
                <w:lang w:val="tr-TR"/>
              </w:rPr>
              <w:t xml:space="preserve">Buna </w:t>
            </w:r>
            <w:r w:rsidR="007F181F" w:rsidRPr="00A23740">
              <w:rPr>
                <w:b w:val="0"/>
                <w:bCs w:val="0"/>
                <w:color w:val="auto"/>
                <w:lang w:val="tr-TR"/>
              </w:rPr>
              <w:t>göre, aksine hüküm bulunmayan h</w:t>
            </w:r>
            <w:r w:rsidR="00DC05AA" w:rsidRPr="00A23740">
              <w:rPr>
                <w:b w:val="0"/>
                <w:bCs w:val="0"/>
                <w:color w:val="auto"/>
                <w:lang w:val="tr-TR"/>
              </w:rPr>
              <w:t>â</w:t>
            </w:r>
            <w:r w:rsidR="007F181F" w:rsidRPr="00A23740">
              <w:rPr>
                <w:b w:val="0"/>
                <w:bCs w:val="0"/>
                <w:color w:val="auto"/>
                <w:lang w:val="tr-TR"/>
              </w:rPr>
              <w:t>llerde, icra hukuk mahkemelerinde görülen dava ve işlerde, niteliğine uygun düştüğü ölçüde basit yargılama usulü uygulanacak olup</w:t>
            </w:r>
            <w:r w:rsidR="001D2512" w:rsidRPr="00A23740">
              <w:rPr>
                <w:b w:val="0"/>
                <w:bCs w:val="0"/>
                <w:color w:val="auto"/>
                <w:lang w:val="tr-TR"/>
              </w:rPr>
              <w:t>,</w:t>
            </w:r>
            <w:r w:rsidR="007F181F" w:rsidRPr="00A23740">
              <w:rPr>
                <w:b w:val="0"/>
                <w:bCs w:val="0"/>
                <w:color w:val="auto"/>
                <w:lang w:val="tr-TR"/>
              </w:rPr>
              <w:t xml:space="preserve"> bu dava ve işler ivedi sayılacaktır. İcra hukukuna özgü sorunları çözmekle görevli olan icra </w:t>
            </w:r>
            <w:r w:rsidR="00155AF4" w:rsidRPr="00A23740">
              <w:rPr>
                <w:b w:val="0"/>
                <w:bCs w:val="0"/>
                <w:color w:val="auto"/>
                <w:lang w:val="tr-TR"/>
              </w:rPr>
              <w:t>hukuk mahkemesi, organik anlamda yargı faaliyeti yür</w:t>
            </w:r>
            <w:r w:rsidR="005F6E51" w:rsidRPr="00A23740">
              <w:rPr>
                <w:b w:val="0"/>
                <w:bCs w:val="0"/>
                <w:color w:val="auto"/>
                <w:lang w:val="tr-TR"/>
              </w:rPr>
              <w:t>ütmekle birlikte</w:t>
            </w:r>
            <w:r w:rsidR="001D2512" w:rsidRPr="00A23740">
              <w:rPr>
                <w:b w:val="0"/>
                <w:bCs w:val="0"/>
                <w:color w:val="auto"/>
                <w:lang w:val="tr-TR"/>
              </w:rPr>
              <w:t>,</w:t>
            </w:r>
            <w:r w:rsidR="005F6E51" w:rsidRPr="00A23740">
              <w:rPr>
                <w:b w:val="0"/>
                <w:bCs w:val="0"/>
                <w:color w:val="auto"/>
                <w:lang w:val="tr-TR"/>
              </w:rPr>
              <w:t xml:space="preserve"> uygulayacağı ayrı </w:t>
            </w:r>
            <w:r w:rsidR="00E814F3" w:rsidRPr="00A23740">
              <w:rPr>
                <w:b w:val="0"/>
                <w:bCs w:val="0"/>
                <w:color w:val="auto"/>
                <w:lang w:val="tr-TR"/>
              </w:rPr>
              <w:t xml:space="preserve">ve özel </w:t>
            </w:r>
            <w:r w:rsidR="005F6E51" w:rsidRPr="00A23740">
              <w:rPr>
                <w:b w:val="0"/>
                <w:bCs w:val="0"/>
                <w:color w:val="auto"/>
                <w:lang w:val="tr-TR"/>
              </w:rPr>
              <w:t xml:space="preserve">bir yargılama usulü </w:t>
            </w:r>
            <w:r w:rsidR="00E814F3" w:rsidRPr="00A23740">
              <w:rPr>
                <w:b w:val="0"/>
                <w:bCs w:val="0"/>
                <w:color w:val="auto"/>
                <w:lang w:val="tr-TR"/>
              </w:rPr>
              <w:t>ihdas edilmemiştir</w:t>
            </w:r>
            <w:r w:rsidR="008503D6" w:rsidRPr="00A23740">
              <w:rPr>
                <w:b w:val="0"/>
                <w:bCs w:val="0"/>
                <w:color w:val="auto"/>
                <w:lang w:val="tr-TR"/>
              </w:rPr>
              <w:t xml:space="preserve">. </w:t>
            </w:r>
            <w:r w:rsidR="00155AF4" w:rsidRPr="00A23740">
              <w:rPr>
                <w:b w:val="0"/>
                <w:bCs w:val="0"/>
                <w:color w:val="auto"/>
                <w:lang w:val="tr-TR"/>
              </w:rPr>
              <w:t>Daha kısa ve pratik olması nedeniyle icra hukuk mahkemelerinde</w:t>
            </w:r>
            <w:r w:rsidR="005F6E51" w:rsidRPr="00A23740">
              <w:rPr>
                <w:b w:val="0"/>
                <w:bCs w:val="0"/>
                <w:color w:val="auto"/>
                <w:lang w:val="tr-TR"/>
              </w:rPr>
              <w:t>,</w:t>
            </w:r>
            <w:r w:rsidR="00155AF4" w:rsidRPr="00A23740">
              <w:rPr>
                <w:b w:val="0"/>
                <w:bCs w:val="0"/>
                <w:color w:val="auto"/>
                <w:lang w:val="tr-TR"/>
              </w:rPr>
              <w:t xml:space="preserve"> basit yargılama usulünün uygulaması </w:t>
            </w:r>
            <w:r w:rsidR="00E814F3" w:rsidRPr="00A23740">
              <w:rPr>
                <w:b w:val="0"/>
                <w:bCs w:val="0"/>
                <w:color w:val="auto"/>
                <w:lang w:val="tr-TR"/>
              </w:rPr>
              <w:t xml:space="preserve">çözümü </w:t>
            </w:r>
            <w:r w:rsidR="00155AF4" w:rsidRPr="00A23740">
              <w:rPr>
                <w:b w:val="0"/>
                <w:bCs w:val="0"/>
                <w:color w:val="auto"/>
                <w:lang w:val="tr-TR"/>
              </w:rPr>
              <w:t>benimsenmişse de bunun doğrudan ve aynen değil</w:t>
            </w:r>
            <w:r w:rsidR="005F6E51" w:rsidRPr="00A23740">
              <w:rPr>
                <w:b w:val="0"/>
                <w:bCs w:val="0"/>
                <w:color w:val="auto"/>
                <w:lang w:val="tr-TR"/>
              </w:rPr>
              <w:t>,</w:t>
            </w:r>
            <w:r w:rsidR="00155AF4" w:rsidRPr="00A23740">
              <w:rPr>
                <w:b w:val="0"/>
                <w:bCs w:val="0"/>
                <w:color w:val="auto"/>
                <w:lang w:val="tr-TR"/>
              </w:rPr>
              <w:t xml:space="preserve"> </w:t>
            </w:r>
            <w:r w:rsidR="00155AF4" w:rsidRPr="00A23740">
              <w:rPr>
                <w:b w:val="0"/>
                <w:bCs w:val="0"/>
                <w:color w:val="auto"/>
              </w:rPr>
              <w:t xml:space="preserve">niteliğine uygun düştüğü ölçüde </w:t>
            </w:r>
            <w:r w:rsidR="00155AF4" w:rsidRPr="00A23740">
              <w:rPr>
                <w:b w:val="0"/>
                <w:bCs w:val="0"/>
                <w:color w:val="auto"/>
                <w:lang w:val="tr-TR"/>
              </w:rPr>
              <w:t xml:space="preserve">gerçekleştirileceği </w:t>
            </w:r>
            <w:r w:rsidR="005F6E51" w:rsidRPr="00A23740">
              <w:rPr>
                <w:b w:val="0"/>
                <w:bCs w:val="0"/>
                <w:color w:val="auto"/>
                <w:lang w:val="tr-TR"/>
              </w:rPr>
              <w:t>hükümde vurgulanmaktadır</w:t>
            </w:r>
            <w:r w:rsidR="00155AF4" w:rsidRPr="00A23740">
              <w:rPr>
                <w:b w:val="0"/>
                <w:bCs w:val="0"/>
                <w:color w:val="auto"/>
                <w:lang w:val="tr-TR"/>
              </w:rPr>
              <w:t>. Öte yandan Kanunun açıkça ve özel olarak düzenlediği hususlarda</w:t>
            </w:r>
            <w:r w:rsidR="001D2512" w:rsidRPr="00A23740">
              <w:rPr>
                <w:b w:val="0"/>
                <w:bCs w:val="0"/>
                <w:color w:val="auto"/>
                <w:lang w:val="tr-TR"/>
              </w:rPr>
              <w:t>,</w:t>
            </w:r>
            <w:r w:rsidR="00155AF4" w:rsidRPr="00A23740">
              <w:rPr>
                <w:b w:val="0"/>
                <w:bCs w:val="0"/>
                <w:color w:val="auto"/>
                <w:lang w:val="tr-TR"/>
              </w:rPr>
              <w:t xml:space="preserve"> böyle bir tartışmanın olmayacağı</w:t>
            </w:r>
            <w:r w:rsidR="00E814F3" w:rsidRPr="00A23740">
              <w:rPr>
                <w:b w:val="0"/>
                <w:bCs w:val="0"/>
                <w:color w:val="auto"/>
                <w:lang w:val="tr-TR"/>
              </w:rPr>
              <w:t>nda</w:t>
            </w:r>
            <w:r w:rsidR="00155AF4" w:rsidRPr="00A23740">
              <w:rPr>
                <w:b w:val="0"/>
                <w:bCs w:val="0"/>
                <w:color w:val="auto"/>
                <w:lang w:val="tr-TR"/>
              </w:rPr>
              <w:t xml:space="preserve"> ve ilgili hükümde öngörülen usulün uy</w:t>
            </w:r>
            <w:r w:rsidR="001D2512" w:rsidRPr="00A23740">
              <w:rPr>
                <w:b w:val="0"/>
                <w:bCs w:val="0"/>
                <w:color w:val="auto"/>
                <w:lang w:val="tr-TR"/>
              </w:rPr>
              <w:t xml:space="preserve">gulanacağında tereddüt yoktur. Bu nedenle fıkrada, </w:t>
            </w:r>
            <w:r w:rsidR="00155AF4" w:rsidRPr="00A23740">
              <w:rPr>
                <w:b w:val="0"/>
                <w:bCs w:val="0"/>
                <w:color w:val="auto"/>
                <w:lang w:val="tr-TR"/>
              </w:rPr>
              <w:t>“a</w:t>
            </w:r>
            <w:r w:rsidR="005F6E51" w:rsidRPr="00A23740">
              <w:rPr>
                <w:b w:val="0"/>
                <w:bCs w:val="0"/>
                <w:color w:val="auto"/>
                <w:lang w:val="tr-TR"/>
              </w:rPr>
              <w:t>ksine hüküm bulunmayan” h</w:t>
            </w:r>
            <w:r w:rsidR="00DC05AA" w:rsidRPr="00A23740">
              <w:rPr>
                <w:b w:val="0"/>
                <w:bCs w:val="0"/>
                <w:color w:val="auto"/>
                <w:lang w:val="tr-TR"/>
              </w:rPr>
              <w:t>â</w:t>
            </w:r>
            <w:r w:rsidR="005F6E51" w:rsidRPr="00A23740">
              <w:rPr>
                <w:b w:val="0"/>
                <w:bCs w:val="0"/>
                <w:color w:val="auto"/>
                <w:lang w:val="tr-TR"/>
              </w:rPr>
              <w:t xml:space="preserve">ller </w:t>
            </w:r>
            <w:r w:rsidR="00E814F3" w:rsidRPr="00A23740">
              <w:rPr>
                <w:b w:val="0"/>
                <w:bCs w:val="0"/>
                <w:color w:val="auto"/>
                <w:lang w:val="tr-TR"/>
              </w:rPr>
              <w:t xml:space="preserve">istisnasına açıkça </w:t>
            </w:r>
            <w:r w:rsidR="005F6E51" w:rsidRPr="00A23740">
              <w:rPr>
                <w:b w:val="0"/>
                <w:bCs w:val="0"/>
                <w:color w:val="auto"/>
                <w:lang w:val="tr-TR"/>
              </w:rPr>
              <w:t>açıkça</w:t>
            </w:r>
            <w:r w:rsidR="00E814F3" w:rsidRPr="00A23740">
              <w:rPr>
                <w:b w:val="0"/>
                <w:bCs w:val="0"/>
                <w:color w:val="auto"/>
                <w:lang w:val="tr-TR"/>
              </w:rPr>
              <w:t>yer verilmiştir</w:t>
            </w:r>
            <w:r w:rsidR="005F6E51" w:rsidRPr="00A23740">
              <w:rPr>
                <w:b w:val="0"/>
                <w:bCs w:val="0"/>
                <w:color w:val="auto"/>
                <w:lang w:val="tr-TR"/>
              </w:rPr>
              <w:t xml:space="preserve">. </w:t>
            </w:r>
            <w:r w:rsidR="00E41F53" w:rsidRPr="00A23740">
              <w:rPr>
                <w:b w:val="0"/>
                <w:bCs w:val="0"/>
                <w:color w:val="auto"/>
                <w:lang w:val="tr-TR"/>
              </w:rPr>
              <w:t xml:space="preserve">Diğer taraftan, fıkranın ikinci cümlesinde, icra </w:t>
            </w:r>
            <w:r w:rsidR="00155AF4" w:rsidRPr="00A23740">
              <w:rPr>
                <w:b w:val="0"/>
                <w:bCs w:val="0"/>
                <w:color w:val="auto"/>
                <w:lang w:val="tr-TR"/>
              </w:rPr>
              <w:t>hukuk mahkemesinde görülen d</w:t>
            </w:r>
            <w:r w:rsidR="00155AF4" w:rsidRPr="00A23740">
              <w:rPr>
                <w:b w:val="0"/>
                <w:bCs w:val="0"/>
                <w:color w:val="auto"/>
              </w:rPr>
              <w:t>ava ve işler</w:t>
            </w:r>
            <w:r w:rsidR="00155AF4" w:rsidRPr="00A23740">
              <w:rPr>
                <w:b w:val="0"/>
                <w:bCs w:val="0"/>
                <w:color w:val="auto"/>
                <w:lang w:val="tr-TR"/>
              </w:rPr>
              <w:t>in</w:t>
            </w:r>
            <w:r w:rsidR="00155AF4" w:rsidRPr="00A23740">
              <w:rPr>
                <w:b w:val="0"/>
                <w:bCs w:val="0"/>
                <w:color w:val="auto"/>
              </w:rPr>
              <w:t xml:space="preserve"> ivedi </w:t>
            </w:r>
            <w:r w:rsidR="00155AF4" w:rsidRPr="00A23740">
              <w:rPr>
                <w:b w:val="0"/>
                <w:bCs w:val="0"/>
                <w:color w:val="auto"/>
                <w:lang w:val="tr-TR"/>
              </w:rPr>
              <w:t>olduğu belirtilmek suretiyle, icra hukuk mahkemelerinde adli tatil hükümlerinin uygulanmaya</w:t>
            </w:r>
            <w:r w:rsidR="00E41F53" w:rsidRPr="00A23740">
              <w:rPr>
                <w:b w:val="0"/>
                <w:bCs w:val="0"/>
                <w:color w:val="auto"/>
                <w:lang w:val="tr-TR"/>
              </w:rPr>
              <w:t>cağı ifade edilmek istenmektedir.</w:t>
            </w:r>
          </w:p>
          <w:p w:rsidR="003556C8" w:rsidRPr="00A23740" w:rsidRDefault="003556C8" w:rsidP="009431FF">
            <w:pPr>
              <w:ind w:firstLine="709"/>
              <w:rPr>
                <w:rFonts w:eastAsia="Times New Roman"/>
                <w:szCs w:val="24"/>
                <w:lang w:val="x-none" w:eastAsia="x-none"/>
              </w:rPr>
            </w:pPr>
            <w:r w:rsidRPr="00A23740">
              <w:rPr>
                <w:rFonts w:eastAsia="Times New Roman"/>
                <w:szCs w:val="24"/>
                <w:lang w:eastAsia="x-none"/>
              </w:rPr>
              <w:t>Üçüncü</w:t>
            </w:r>
            <w:r w:rsidR="00F77FB4" w:rsidRPr="00A23740">
              <w:rPr>
                <w:rFonts w:eastAsia="Times New Roman"/>
                <w:szCs w:val="24"/>
                <w:lang w:val="x-none" w:eastAsia="x-none"/>
              </w:rPr>
              <w:t xml:space="preserve"> fıkrayla, sulh hukuk mahke</w:t>
            </w:r>
            <w:r w:rsidRPr="00A23740">
              <w:rPr>
                <w:rFonts w:eastAsia="Times New Roman"/>
                <w:szCs w:val="24"/>
                <w:lang w:val="x-none" w:eastAsia="x-none"/>
              </w:rPr>
              <w:t xml:space="preserve">mesi tarafından görevlendirilen </w:t>
            </w:r>
            <w:r w:rsidR="00F77FB4" w:rsidRPr="00A23740">
              <w:rPr>
                <w:rFonts w:eastAsia="Times New Roman"/>
                <w:szCs w:val="24"/>
                <w:lang w:val="x-none" w:eastAsia="x-none"/>
              </w:rPr>
              <w:t xml:space="preserve">kişilerin, </w:t>
            </w:r>
            <w:r w:rsidRPr="00A23740">
              <w:rPr>
                <w:rFonts w:eastAsia="Times New Roman"/>
                <w:szCs w:val="24"/>
                <w:lang w:eastAsia="x-none"/>
              </w:rPr>
              <w:t xml:space="preserve">bu Kanun </w:t>
            </w:r>
            <w:r w:rsidR="00F77FB4" w:rsidRPr="00A23740">
              <w:rPr>
                <w:rFonts w:eastAsia="Times New Roman"/>
                <w:szCs w:val="24"/>
                <w:lang w:val="x-none" w:eastAsia="x-none"/>
              </w:rPr>
              <w:t xml:space="preserve">hükümleri uyarınca yürüttükleri işlemlere karşı yapılacak şikâyet ve itirazların, ilgili sulh hukuk mahkemesince incelenip karara bağlanacağı </w:t>
            </w:r>
            <w:r w:rsidRPr="00A23740">
              <w:rPr>
                <w:rFonts w:eastAsia="Times New Roman"/>
                <w:szCs w:val="24"/>
                <w:lang w:eastAsia="x-none"/>
              </w:rPr>
              <w:t xml:space="preserve">düzenlenmektedir. </w:t>
            </w:r>
            <w:r w:rsidR="00F77FB4" w:rsidRPr="00A23740">
              <w:rPr>
                <w:rFonts w:eastAsia="Times New Roman"/>
                <w:szCs w:val="24"/>
                <w:lang w:val="x-none" w:eastAsia="x-none"/>
              </w:rPr>
              <w:t xml:space="preserve">Bu kapsamda örneğin, ortaklığın giderilmesine ilişkin dava ve işlerde sulh hukuk mahkemesi </w:t>
            </w:r>
            <w:r w:rsidR="001D2512" w:rsidRPr="00A23740">
              <w:rPr>
                <w:rFonts w:eastAsia="Times New Roman"/>
                <w:szCs w:val="24"/>
                <w:lang w:val="x-none" w:eastAsia="x-none"/>
              </w:rPr>
              <w:t xml:space="preserve">tarafından görevlendirilenlerin, </w:t>
            </w:r>
            <w:r w:rsidRPr="00A23740">
              <w:rPr>
                <w:rFonts w:eastAsia="Times New Roman"/>
                <w:szCs w:val="24"/>
                <w:lang w:eastAsia="x-none"/>
              </w:rPr>
              <w:t xml:space="preserve">bu Kanun </w:t>
            </w:r>
            <w:r w:rsidR="00F77FB4" w:rsidRPr="00A23740">
              <w:rPr>
                <w:rFonts w:eastAsia="Times New Roman"/>
                <w:szCs w:val="24"/>
                <w:lang w:val="x-none" w:eastAsia="x-none"/>
              </w:rPr>
              <w:t>hükümleri uyarınca yaptıkları satış ve p</w:t>
            </w:r>
            <w:r w:rsidR="001D2512" w:rsidRPr="00A23740">
              <w:rPr>
                <w:rFonts w:eastAsia="Times New Roman"/>
                <w:szCs w:val="24"/>
                <w:lang w:val="x-none" w:eastAsia="x-none"/>
              </w:rPr>
              <w:t xml:space="preserve">araya çevirme işlemlerine karşı yapılacak şikâyet ve itirazların, </w:t>
            </w:r>
            <w:r w:rsidR="00F77FB4" w:rsidRPr="00A23740">
              <w:rPr>
                <w:rFonts w:eastAsia="Times New Roman"/>
                <w:szCs w:val="24"/>
                <w:lang w:val="x-none" w:eastAsia="x-none"/>
              </w:rPr>
              <w:t>ilgili sulh hukuk mahkemesi tarafından karara bağlanması öngörülmektedir.</w:t>
            </w:r>
          </w:p>
          <w:p w:rsidR="00112496" w:rsidRPr="00A23740" w:rsidRDefault="00112496" w:rsidP="009431FF">
            <w:pPr>
              <w:ind w:firstLine="709"/>
            </w:pPr>
          </w:p>
        </w:tc>
      </w:tr>
      <w:tr w:rsidR="001E132C" w:rsidRPr="00A23740" w:rsidTr="009431FF">
        <w:tc>
          <w:tcPr>
            <w:tcW w:w="2500" w:type="pct"/>
            <w:shd w:val="clear" w:color="auto" w:fill="auto"/>
          </w:tcPr>
          <w:p w:rsidR="001E132C" w:rsidRPr="00A23740" w:rsidRDefault="001E132C" w:rsidP="009431FF">
            <w:pPr>
              <w:tabs>
                <w:tab w:val="left" w:pos="566"/>
              </w:tabs>
              <w:rPr>
                <w:rFonts w:eastAsia="ヒラギノ明朝 Pro W3"/>
                <w:szCs w:val="24"/>
              </w:rPr>
            </w:pPr>
          </w:p>
        </w:tc>
        <w:tc>
          <w:tcPr>
            <w:tcW w:w="2500" w:type="pct"/>
            <w:shd w:val="clear" w:color="auto" w:fill="auto"/>
          </w:tcPr>
          <w:p w:rsidR="001E132C" w:rsidRPr="00A23740" w:rsidRDefault="001E132C" w:rsidP="009431FF">
            <w:pPr>
              <w:pStyle w:val="Mavi"/>
              <w:rPr>
                <w:lang w:val="tr-TR"/>
              </w:rPr>
            </w:pPr>
            <w:r w:rsidRPr="00A23740">
              <w:rPr>
                <w:lang w:val="tr-TR"/>
              </w:rPr>
              <w:t>İcra ceza mahkemeleri</w:t>
            </w:r>
          </w:p>
          <w:p w:rsidR="00F70B21" w:rsidRPr="00A23740" w:rsidRDefault="008C3F98" w:rsidP="009431FF">
            <w:pPr>
              <w:pStyle w:val="Mavi"/>
              <w:rPr>
                <w:lang w:val="tr-TR"/>
              </w:rPr>
            </w:pPr>
            <w:r w:rsidRPr="00A23740">
              <w:rPr>
                <w:lang w:val="tr-TR"/>
              </w:rPr>
              <w:t xml:space="preserve">MADDE </w:t>
            </w:r>
            <w:r w:rsidR="00F92A99" w:rsidRPr="00A23740">
              <w:t>17</w:t>
            </w:r>
            <w:r w:rsidR="001E132C" w:rsidRPr="00A23740">
              <w:t>-</w:t>
            </w:r>
            <w:r w:rsidR="001E132C" w:rsidRPr="00A23740">
              <w:rPr>
                <w:lang w:val="tr-TR"/>
              </w:rPr>
              <w:t xml:space="preserve"> (1) İ</w:t>
            </w:r>
            <w:r w:rsidR="005D7301" w:rsidRPr="00A23740">
              <w:rPr>
                <w:lang w:val="tr-TR"/>
              </w:rPr>
              <w:t>cra ceza mahkemeleri, bu</w:t>
            </w:r>
            <w:r w:rsidRPr="00A23740">
              <w:rPr>
                <w:lang w:val="tr-TR"/>
              </w:rPr>
              <w:t xml:space="preserve"> Kanun v</w:t>
            </w:r>
            <w:r w:rsidR="001E132C" w:rsidRPr="00A23740">
              <w:rPr>
                <w:lang w:val="tr-TR"/>
              </w:rPr>
              <w:t>e diğer kanunlarda belirtilen görevleri yeri</w:t>
            </w:r>
            <w:r w:rsidR="00F70B21" w:rsidRPr="00A23740">
              <w:rPr>
                <w:lang w:val="tr-TR"/>
              </w:rPr>
              <w:t>ne getirir.</w:t>
            </w:r>
          </w:p>
          <w:p w:rsidR="001E132C" w:rsidRPr="00A23740" w:rsidRDefault="001E132C" w:rsidP="009431FF">
            <w:pPr>
              <w:pStyle w:val="Mavi"/>
              <w:rPr>
                <w:lang w:val="tr-TR"/>
              </w:rPr>
            </w:pPr>
          </w:p>
        </w:tc>
      </w:tr>
      <w:tr w:rsidR="00083972" w:rsidRPr="00A23740" w:rsidTr="009431FF">
        <w:tc>
          <w:tcPr>
            <w:tcW w:w="5000" w:type="pct"/>
            <w:gridSpan w:val="2"/>
            <w:shd w:val="clear" w:color="auto" w:fill="DEEAF6"/>
          </w:tcPr>
          <w:p w:rsidR="00155AF4" w:rsidRPr="00A23740" w:rsidRDefault="00155AF4" w:rsidP="009431FF">
            <w:pPr>
              <w:pStyle w:val="Mavi"/>
              <w:jc w:val="center"/>
              <w:rPr>
                <w:color w:val="auto"/>
                <w:lang w:val="tr-TR"/>
              </w:rPr>
            </w:pPr>
          </w:p>
          <w:p w:rsidR="00F70B21" w:rsidRPr="00A23740" w:rsidRDefault="00D42F78" w:rsidP="009431FF">
            <w:pPr>
              <w:pStyle w:val="Mavi"/>
              <w:ind w:firstLine="709"/>
              <w:rPr>
                <w:b w:val="0"/>
                <w:bCs w:val="0"/>
                <w:color w:val="auto"/>
                <w:lang w:val="tr-TR"/>
              </w:rPr>
            </w:pPr>
            <w:r w:rsidRPr="00A23740">
              <w:rPr>
                <w:color w:val="auto"/>
                <w:lang w:val="tr-TR"/>
              </w:rPr>
              <w:t>MADDE 17</w:t>
            </w:r>
            <w:r w:rsidR="00155AF4" w:rsidRPr="00A23740">
              <w:rPr>
                <w:color w:val="auto"/>
                <w:lang w:val="tr-TR"/>
              </w:rPr>
              <w:t xml:space="preserve">- </w:t>
            </w:r>
            <w:r w:rsidR="00F70B21" w:rsidRPr="00A23740">
              <w:rPr>
                <w:b w:val="0"/>
                <w:bCs w:val="0"/>
                <w:color w:val="auto"/>
                <w:lang w:val="tr-TR"/>
              </w:rPr>
              <w:t>Maddeyle, icra ceza mahkemeleri</w:t>
            </w:r>
            <w:r w:rsidR="003E7480" w:rsidRPr="00A23740">
              <w:rPr>
                <w:b w:val="0"/>
                <w:bCs w:val="0"/>
                <w:color w:val="auto"/>
                <w:lang w:val="tr-TR"/>
              </w:rPr>
              <w:t>ne ilişkin hususlar</w:t>
            </w:r>
            <w:r w:rsidR="00F70B21" w:rsidRPr="00A23740">
              <w:rPr>
                <w:b w:val="0"/>
                <w:bCs w:val="0"/>
                <w:color w:val="auto"/>
                <w:lang w:val="tr-TR"/>
              </w:rPr>
              <w:t xml:space="preserve"> düzenlenmektedir. İcra </w:t>
            </w:r>
            <w:r w:rsidR="00BD7E01" w:rsidRPr="00A23740">
              <w:rPr>
                <w:b w:val="0"/>
                <w:color w:val="auto"/>
                <w:lang w:val="tr-TR"/>
              </w:rPr>
              <w:t xml:space="preserve">Mahkemeleri </w:t>
            </w:r>
            <w:r w:rsidR="00F70B21" w:rsidRPr="00A23740">
              <w:rPr>
                <w:b w:val="0"/>
                <w:bCs w:val="0"/>
                <w:color w:val="auto"/>
                <w:lang w:val="tr-TR"/>
              </w:rPr>
              <w:t xml:space="preserve">ve İflas Mahkemeleri ile İcra Teşkilatı Hakkında Kanun </w:t>
            </w:r>
            <w:r w:rsidR="00163E5A" w:rsidRPr="00A23740">
              <w:rPr>
                <w:b w:val="0"/>
                <w:bCs w:val="0"/>
                <w:color w:val="auto"/>
                <w:lang w:val="tr-TR"/>
              </w:rPr>
              <w:t>Taslağıyla</w:t>
            </w:r>
            <w:r w:rsidR="00F70B21" w:rsidRPr="00A23740">
              <w:rPr>
                <w:b w:val="0"/>
                <w:bCs w:val="0"/>
                <w:color w:val="auto"/>
                <w:lang w:val="tr-TR"/>
              </w:rPr>
              <w:t xml:space="preserve">, icra ceza mahkemesinin kuruluşu ve yargı çevresi düzenlendiğinden maddede bu hususlara yer verilmemektedir. </w:t>
            </w:r>
          </w:p>
          <w:p w:rsidR="00760885" w:rsidRPr="00A23740" w:rsidRDefault="00F70B21" w:rsidP="009431FF">
            <w:pPr>
              <w:pStyle w:val="Mavi"/>
              <w:ind w:firstLine="709"/>
              <w:rPr>
                <w:b w:val="0"/>
                <w:bCs w:val="0"/>
                <w:color w:val="auto"/>
                <w:lang w:val="tr-TR"/>
              </w:rPr>
            </w:pPr>
            <w:r w:rsidRPr="00A23740">
              <w:rPr>
                <w:b w:val="0"/>
                <w:bCs w:val="0"/>
                <w:color w:val="auto"/>
                <w:lang w:val="tr-TR"/>
              </w:rPr>
              <w:t xml:space="preserve">Birinci fıkrayla, icra ceza mahkemelerinin, bu Kanun ve diğer kanunlarda kendisine verilen görevleri yerine getiren özel görevli bir mahkeme olduğu kabul edilmektedir. </w:t>
            </w:r>
          </w:p>
          <w:p w:rsidR="002F2D72" w:rsidRPr="00A23740" w:rsidRDefault="002F2D72" w:rsidP="009431FF">
            <w:pPr>
              <w:ind w:firstLine="709"/>
            </w:pPr>
          </w:p>
        </w:tc>
      </w:tr>
      <w:tr w:rsidR="001E132C" w:rsidRPr="00A23740" w:rsidTr="009431FF">
        <w:tc>
          <w:tcPr>
            <w:tcW w:w="2500" w:type="pct"/>
            <w:shd w:val="clear" w:color="auto" w:fill="auto"/>
          </w:tcPr>
          <w:p w:rsidR="00355593" w:rsidRPr="00A23740" w:rsidRDefault="00355593" w:rsidP="009431FF">
            <w:pPr>
              <w:rPr>
                <w:szCs w:val="24"/>
              </w:rPr>
            </w:pPr>
          </w:p>
          <w:p w:rsidR="00933245" w:rsidRPr="00A23740" w:rsidRDefault="00933245" w:rsidP="009431FF">
            <w:pPr>
              <w:rPr>
                <w:szCs w:val="24"/>
              </w:rPr>
            </w:pPr>
          </w:p>
          <w:p w:rsidR="001E132C" w:rsidRPr="00A23740" w:rsidRDefault="001E132C" w:rsidP="009431FF">
            <w:pPr>
              <w:tabs>
                <w:tab w:val="left" w:pos="566"/>
              </w:tabs>
              <w:rPr>
                <w:rFonts w:eastAsia="ヒラギノ明朝 Pro W3"/>
                <w:szCs w:val="24"/>
              </w:rPr>
            </w:pPr>
          </w:p>
        </w:tc>
        <w:tc>
          <w:tcPr>
            <w:tcW w:w="2500" w:type="pct"/>
            <w:shd w:val="clear" w:color="auto" w:fill="auto"/>
          </w:tcPr>
          <w:p w:rsidR="001E132C" w:rsidRPr="00A23740" w:rsidRDefault="001E132C" w:rsidP="009431FF">
            <w:pPr>
              <w:pStyle w:val="Mavi"/>
            </w:pPr>
            <w:r w:rsidRPr="00A23740">
              <w:rPr>
                <w:lang w:val="tr-TR"/>
              </w:rPr>
              <w:t xml:space="preserve">İflas </w:t>
            </w:r>
            <w:r w:rsidRPr="00A23740">
              <w:t>mahkemeleri</w:t>
            </w:r>
          </w:p>
          <w:p w:rsidR="001E132C" w:rsidRPr="00A23740" w:rsidRDefault="008C3F98" w:rsidP="009431FF">
            <w:pPr>
              <w:pStyle w:val="Mavi"/>
              <w:rPr>
                <w:lang w:val="tr-TR"/>
              </w:rPr>
            </w:pPr>
            <w:r w:rsidRPr="00A23740">
              <w:t>MADDE</w:t>
            </w:r>
            <w:r w:rsidRPr="00A23740">
              <w:rPr>
                <w:rStyle w:val="MaviChar"/>
                <w:b/>
                <w:bCs/>
              </w:rPr>
              <w:t xml:space="preserve"> </w:t>
            </w:r>
            <w:r w:rsidR="00F92A99" w:rsidRPr="00A23740">
              <w:rPr>
                <w:rStyle w:val="YELChar"/>
                <w:rFonts w:eastAsia="Calibri"/>
                <w:b/>
                <w:color w:val="0000FF"/>
                <w:lang w:eastAsia="x-none"/>
              </w:rPr>
              <w:t>18</w:t>
            </w:r>
            <w:r w:rsidR="001E132C" w:rsidRPr="00A23740">
              <w:rPr>
                <w:rStyle w:val="MaviChar"/>
                <w:b/>
                <w:bCs/>
              </w:rPr>
              <w:t>- (</w:t>
            </w:r>
            <w:r w:rsidR="001E132C" w:rsidRPr="00A23740">
              <w:t>1)</w:t>
            </w:r>
            <w:r w:rsidR="001E132C" w:rsidRPr="00A23740">
              <w:rPr>
                <w:lang w:val="tr-TR"/>
              </w:rPr>
              <w:t xml:space="preserve"> İflas mahkemeleri; iflas yoluyla takip, iflasın kaldırılması ve kapatılması da dahil olmak üzere iflas</w:t>
            </w:r>
            <w:r w:rsidR="008D7114" w:rsidRPr="00A23740">
              <w:rPr>
                <w:lang w:val="tr-TR"/>
              </w:rPr>
              <w:t xml:space="preserve"> </w:t>
            </w:r>
            <w:r w:rsidR="008D7114" w:rsidRPr="00A23740">
              <w:t>ve</w:t>
            </w:r>
            <w:r w:rsidR="001E132C" w:rsidRPr="00A23740">
              <w:rPr>
                <w:rStyle w:val="Stil5Char0"/>
              </w:rPr>
              <w:t xml:space="preserve"> </w:t>
            </w:r>
            <w:r w:rsidR="001E132C" w:rsidRPr="00A23740">
              <w:rPr>
                <w:lang w:val="tr-TR"/>
              </w:rPr>
              <w:t>konkorda</w:t>
            </w:r>
            <w:r w:rsidR="001E132C" w:rsidRPr="00A23740">
              <w:t>to</w:t>
            </w:r>
            <w:r w:rsidR="008D7114" w:rsidRPr="00A23740">
              <w:t>dan</w:t>
            </w:r>
            <w:r w:rsidR="001E132C" w:rsidRPr="00A23740">
              <w:rPr>
                <w:lang w:val="tr-TR"/>
              </w:rPr>
              <w:t xml:space="preserve"> kaynaklanan tüm talep,</w:t>
            </w:r>
            <w:r w:rsidR="008D7114" w:rsidRPr="00A23740">
              <w:rPr>
                <w:lang w:val="tr-TR"/>
              </w:rPr>
              <w:t xml:space="preserve"> </w:t>
            </w:r>
            <w:r w:rsidR="008D7114" w:rsidRPr="00A23740">
              <w:t>iş,</w:t>
            </w:r>
            <w:r w:rsidR="001E132C" w:rsidRPr="00A23740">
              <w:rPr>
                <w:lang w:val="tr-TR"/>
              </w:rPr>
              <w:t xml:space="preserve"> şik</w:t>
            </w:r>
            <w:r w:rsidR="00DC05AA" w:rsidRPr="00A23740">
              <w:rPr>
                <w:lang w:val="tr-TR"/>
              </w:rPr>
              <w:t>â</w:t>
            </w:r>
            <w:r w:rsidR="001E132C" w:rsidRPr="00A23740">
              <w:rPr>
                <w:lang w:val="tr-TR"/>
              </w:rPr>
              <w:t>yet v</w:t>
            </w:r>
            <w:r w:rsidR="002D5E32" w:rsidRPr="00A23740">
              <w:rPr>
                <w:lang w:val="tr-TR"/>
              </w:rPr>
              <w:t>e davalara bakmakla görevlidir.</w:t>
            </w:r>
          </w:p>
          <w:p w:rsidR="001E132C" w:rsidRPr="00A23740" w:rsidRDefault="001E132C" w:rsidP="009431FF">
            <w:pPr>
              <w:pStyle w:val="Mavi"/>
              <w:rPr>
                <w:lang w:val="tr-TR"/>
              </w:rPr>
            </w:pPr>
          </w:p>
          <w:p w:rsidR="00933245" w:rsidRPr="00A23740" w:rsidRDefault="00466734" w:rsidP="009431FF">
            <w:pPr>
              <w:pStyle w:val="Mavi"/>
              <w:rPr>
                <w:lang w:val="tr-TR"/>
              </w:rPr>
            </w:pPr>
            <w:r w:rsidRPr="00A23740">
              <w:lastRenderedPageBreak/>
              <w:t xml:space="preserve">(2) İflas mahkemeleri, bu Kanun ve diğer </w:t>
            </w:r>
            <w:r w:rsidR="008E4036" w:rsidRPr="00A23740">
              <w:t xml:space="preserve">kanunlarla </w:t>
            </w:r>
            <w:r w:rsidRPr="00A23740">
              <w:t>v</w:t>
            </w:r>
            <w:r w:rsidR="00CB6B1F" w:rsidRPr="00A23740">
              <w:t>erilen görevleri yerine getirir.</w:t>
            </w:r>
          </w:p>
          <w:p w:rsidR="00CB6B1F" w:rsidRPr="00A23740" w:rsidRDefault="00CB6B1F" w:rsidP="009431FF">
            <w:pPr>
              <w:pStyle w:val="Mavi"/>
            </w:pPr>
          </w:p>
          <w:p w:rsidR="00933245" w:rsidRPr="00A23740" w:rsidRDefault="00933245" w:rsidP="009431FF">
            <w:pPr>
              <w:pStyle w:val="Mavi"/>
            </w:pPr>
            <w:r w:rsidRPr="00A23740">
              <w:t>(3) İflas mahkemesi ile asliye ticaret mahkemesi ve diğer hukuk mahkemeleri arasındaki ilişki görev ilişkisi olup, bu durumda göreve ilişkin usul hükümleri uygulanır.</w:t>
            </w:r>
          </w:p>
          <w:p w:rsidR="001E132C" w:rsidRPr="00A23740" w:rsidRDefault="001E132C" w:rsidP="009431FF">
            <w:pPr>
              <w:pStyle w:val="Mavi"/>
              <w:rPr>
                <w:rFonts w:eastAsia="Times New Roman"/>
                <w:lang w:eastAsia="tr-TR"/>
              </w:rPr>
            </w:pPr>
          </w:p>
          <w:p w:rsidR="001E132C" w:rsidRPr="00A23740" w:rsidRDefault="00933245" w:rsidP="009431FF">
            <w:pPr>
              <w:pStyle w:val="Mavi"/>
            </w:pPr>
            <w:r w:rsidRPr="00A23740">
              <w:t>(4</w:t>
            </w:r>
            <w:r w:rsidR="001E132C" w:rsidRPr="00A23740">
              <w:t>) Aksine hüküm bulunmayan h</w:t>
            </w:r>
            <w:r w:rsidR="00DC05AA" w:rsidRPr="00A23740">
              <w:rPr>
                <w:lang w:val="tr-TR"/>
              </w:rPr>
              <w:t>â</w:t>
            </w:r>
            <w:r w:rsidR="001E132C" w:rsidRPr="00A23740">
              <w:t>llerde iflas mahkemelerinde görülen dava ve işlerde niteliğine uygun düştüğü ölçüde basit yargılama usulü uygulanır. Bu dava ve işler ivedi sayılır.</w:t>
            </w:r>
          </w:p>
          <w:p w:rsidR="001E132C" w:rsidRPr="00A23740" w:rsidRDefault="001E132C" w:rsidP="009431FF">
            <w:pPr>
              <w:rPr>
                <w:rFonts w:eastAsia="Times New Roman"/>
                <w:b/>
                <w:bCs/>
                <w:szCs w:val="24"/>
                <w:lang w:eastAsia="tr-TR"/>
              </w:rPr>
            </w:pPr>
          </w:p>
        </w:tc>
      </w:tr>
      <w:tr w:rsidR="00083972" w:rsidRPr="00A23740" w:rsidTr="009431FF">
        <w:tc>
          <w:tcPr>
            <w:tcW w:w="5000" w:type="pct"/>
            <w:gridSpan w:val="2"/>
            <w:shd w:val="clear" w:color="auto" w:fill="DEEAF6"/>
          </w:tcPr>
          <w:p w:rsidR="00C06EA1" w:rsidRPr="00A23740" w:rsidRDefault="00C06EA1" w:rsidP="009431FF">
            <w:pPr>
              <w:pStyle w:val="Mavi"/>
              <w:ind w:firstLine="709"/>
              <w:rPr>
                <w:color w:val="auto"/>
                <w:lang w:val="tr-TR"/>
              </w:rPr>
            </w:pPr>
          </w:p>
          <w:p w:rsidR="00F70B21" w:rsidRPr="00A23740" w:rsidRDefault="00D42F78" w:rsidP="009431FF">
            <w:pPr>
              <w:pStyle w:val="Mavi"/>
              <w:ind w:firstLine="709"/>
              <w:rPr>
                <w:color w:val="auto"/>
                <w:lang w:val="tr-TR"/>
              </w:rPr>
            </w:pPr>
            <w:r w:rsidRPr="00A23740">
              <w:rPr>
                <w:color w:val="auto"/>
                <w:lang w:val="tr-TR"/>
              </w:rPr>
              <w:t>MADDE 18</w:t>
            </w:r>
            <w:r w:rsidR="00155AF4" w:rsidRPr="00A23740">
              <w:rPr>
                <w:color w:val="auto"/>
                <w:lang w:val="tr-TR"/>
              </w:rPr>
              <w:t xml:space="preserve">- </w:t>
            </w:r>
            <w:r w:rsidR="00F70B21" w:rsidRPr="00A23740">
              <w:rPr>
                <w:b w:val="0"/>
                <w:bCs w:val="0"/>
                <w:color w:val="auto"/>
                <w:lang w:val="tr-TR"/>
              </w:rPr>
              <w:t>Maddeyle, iflas mahkemeleri</w:t>
            </w:r>
            <w:r w:rsidR="00DC3C8E" w:rsidRPr="00A23740">
              <w:rPr>
                <w:b w:val="0"/>
                <w:bCs w:val="0"/>
                <w:color w:val="auto"/>
                <w:lang w:val="tr-TR"/>
              </w:rPr>
              <w:t>ne ilişkin hususlar</w:t>
            </w:r>
            <w:r w:rsidR="00F70B21" w:rsidRPr="00A23740">
              <w:rPr>
                <w:b w:val="0"/>
                <w:bCs w:val="0"/>
                <w:color w:val="auto"/>
                <w:lang w:val="tr-TR"/>
              </w:rPr>
              <w:t xml:space="preserve"> düzenlenmektedir. İcra </w:t>
            </w:r>
            <w:r w:rsidR="00BD7E01" w:rsidRPr="00A23740">
              <w:rPr>
                <w:b w:val="0"/>
                <w:color w:val="auto"/>
                <w:lang w:val="tr-TR"/>
              </w:rPr>
              <w:t xml:space="preserve">Mahkemeleri </w:t>
            </w:r>
            <w:r w:rsidR="00F70B21" w:rsidRPr="00A23740">
              <w:rPr>
                <w:b w:val="0"/>
                <w:bCs w:val="0"/>
                <w:color w:val="auto"/>
                <w:lang w:val="tr-TR"/>
              </w:rPr>
              <w:t xml:space="preserve">ve İflas Mahkemeleri ile İcra Teşkilatı Hakkında Kanun </w:t>
            </w:r>
            <w:r w:rsidR="00163E5A" w:rsidRPr="00A23740">
              <w:rPr>
                <w:b w:val="0"/>
                <w:bCs w:val="0"/>
                <w:color w:val="auto"/>
                <w:lang w:val="tr-TR"/>
              </w:rPr>
              <w:t>Taslağıyla</w:t>
            </w:r>
            <w:r w:rsidR="00F70B21" w:rsidRPr="00A23740">
              <w:rPr>
                <w:b w:val="0"/>
                <w:bCs w:val="0"/>
                <w:color w:val="auto"/>
                <w:lang w:val="tr-TR"/>
              </w:rPr>
              <w:t>, iflas mahkemesinin kuruluşu ve yargı çevresi ile idari görevleri düzenlendiğinden maddede bu hususlara yer</w:t>
            </w:r>
            <w:r w:rsidR="00E814F3" w:rsidRPr="00A23740">
              <w:rPr>
                <w:b w:val="0"/>
                <w:bCs w:val="0"/>
                <w:color w:val="auto"/>
                <w:lang w:val="tr-TR"/>
              </w:rPr>
              <w:t xml:space="preserve"> verilmemiştir</w:t>
            </w:r>
            <w:r w:rsidR="00F70B21" w:rsidRPr="00A23740">
              <w:rPr>
                <w:b w:val="0"/>
                <w:bCs w:val="0"/>
                <w:color w:val="auto"/>
                <w:lang w:val="tr-TR"/>
              </w:rPr>
              <w:t>.</w:t>
            </w:r>
          </w:p>
          <w:p w:rsidR="00155AF4" w:rsidRPr="00A23740" w:rsidRDefault="00CB6B1F" w:rsidP="009431FF">
            <w:pPr>
              <w:pStyle w:val="Mavi"/>
              <w:ind w:firstLine="709"/>
              <w:rPr>
                <w:lang w:val="tr-TR"/>
              </w:rPr>
            </w:pPr>
            <w:r w:rsidRPr="00A23740">
              <w:rPr>
                <w:b w:val="0"/>
                <w:bCs w:val="0"/>
                <w:color w:val="auto"/>
                <w:lang w:val="tr-TR"/>
              </w:rPr>
              <w:t>Birinci fıkrayla,</w:t>
            </w:r>
            <w:r w:rsidR="00155AF4" w:rsidRPr="00A23740">
              <w:rPr>
                <w:b w:val="0"/>
                <w:bCs w:val="0"/>
                <w:color w:val="auto"/>
                <w:lang w:val="tr-TR"/>
              </w:rPr>
              <w:t xml:space="preserve"> </w:t>
            </w:r>
            <w:r w:rsidRPr="00A23740">
              <w:rPr>
                <w:b w:val="0"/>
                <w:bCs w:val="0"/>
                <w:color w:val="auto"/>
                <w:lang w:val="tr-TR"/>
              </w:rPr>
              <w:t>iflas mahkemelerinin; iflas yoluyla takip, iflasın kaldırılması ve kapatılması da dahil olmak üzere iflas ve</w:t>
            </w:r>
            <w:r w:rsidRPr="00A23740">
              <w:rPr>
                <w:bCs w:val="0"/>
                <w:color w:val="auto"/>
                <w:lang w:val="tr-TR"/>
              </w:rPr>
              <w:t xml:space="preserve"> </w:t>
            </w:r>
            <w:r w:rsidRPr="00A23740">
              <w:rPr>
                <w:b w:val="0"/>
                <w:bCs w:val="0"/>
                <w:color w:val="auto"/>
                <w:lang w:val="tr-TR"/>
              </w:rPr>
              <w:t>konkordatodan kaynaklanan tüm talep, iş, şik</w:t>
            </w:r>
            <w:r w:rsidR="00DC05AA" w:rsidRPr="00A23740">
              <w:rPr>
                <w:b w:val="0"/>
                <w:bCs w:val="0"/>
                <w:color w:val="auto"/>
                <w:lang w:val="tr-TR"/>
              </w:rPr>
              <w:t>â</w:t>
            </w:r>
            <w:r w:rsidRPr="00A23740">
              <w:rPr>
                <w:b w:val="0"/>
                <w:bCs w:val="0"/>
                <w:color w:val="auto"/>
                <w:lang w:val="tr-TR"/>
              </w:rPr>
              <w:t>yet ve davalara bakmakla görevli olduğu kabul edilmektedir. H</w:t>
            </w:r>
            <w:r w:rsidR="00C06EA1" w:rsidRPr="00A23740">
              <w:rPr>
                <w:b w:val="0"/>
                <w:bCs w:val="0"/>
                <w:color w:val="auto"/>
                <w:lang w:val="tr-TR"/>
              </w:rPr>
              <w:t>ükme göre</w:t>
            </w:r>
            <w:r w:rsidRPr="00A23740">
              <w:rPr>
                <w:b w:val="0"/>
                <w:bCs w:val="0"/>
                <w:color w:val="auto"/>
                <w:lang w:val="tr-TR"/>
              </w:rPr>
              <w:t xml:space="preserve"> ifl</w:t>
            </w:r>
            <w:r w:rsidR="00656C77" w:rsidRPr="00A23740">
              <w:rPr>
                <w:b w:val="0"/>
                <w:bCs w:val="0"/>
                <w:color w:val="auto"/>
                <w:lang w:val="tr-TR"/>
              </w:rPr>
              <w:t>a</w:t>
            </w:r>
            <w:r w:rsidRPr="00A23740">
              <w:rPr>
                <w:b w:val="0"/>
                <w:bCs w:val="0"/>
                <w:color w:val="auto"/>
                <w:lang w:val="tr-TR"/>
              </w:rPr>
              <w:t xml:space="preserve">s </w:t>
            </w:r>
            <w:r w:rsidR="00155AF4" w:rsidRPr="00A23740">
              <w:rPr>
                <w:b w:val="0"/>
                <w:bCs w:val="0"/>
                <w:color w:val="auto"/>
                <w:lang w:val="tr-TR"/>
              </w:rPr>
              <w:t>mahkemesi, hem ifl</w:t>
            </w:r>
            <w:r w:rsidR="00656C77" w:rsidRPr="00A23740">
              <w:rPr>
                <w:b w:val="0"/>
                <w:bCs w:val="0"/>
                <w:color w:val="auto"/>
                <w:lang w:val="tr-TR"/>
              </w:rPr>
              <w:t>a</w:t>
            </w:r>
            <w:r w:rsidR="00155AF4" w:rsidRPr="00A23740">
              <w:rPr>
                <w:b w:val="0"/>
                <w:bCs w:val="0"/>
                <w:color w:val="auto"/>
                <w:lang w:val="tr-TR"/>
              </w:rPr>
              <w:t xml:space="preserve">s hukukuyla ilgili her türlü uyuşmazlık, dava ve işler hem de konkordatodan kaynaklanan tüm talep, iş ve şikâyetleri karara bağlamakla görevlidir. Böylece </w:t>
            </w:r>
            <w:r w:rsidR="00E814F3" w:rsidRPr="00A23740">
              <w:rPr>
                <w:b w:val="0"/>
                <w:bCs w:val="0"/>
                <w:color w:val="auto"/>
                <w:lang w:val="tr-TR"/>
              </w:rPr>
              <w:t xml:space="preserve">külli icra alanında </w:t>
            </w:r>
            <w:r w:rsidR="00155AF4" w:rsidRPr="00A23740">
              <w:rPr>
                <w:b w:val="0"/>
                <w:bCs w:val="0"/>
                <w:color w:val="auto"/>
                <w:lang w:val="tr-TR"/>
              </w:rPr>
              <w:t xml:space="preserve">uygulamada bugün icra </w:t>
            </w:r>
            <w:r w:rsidR="00E814F3" w:rsidRPr="00A23740">
              <w:rPr>
                <w:b w:val="0"/>
                <w:bCs w:val="0"/>
                <w:color w:val="auto"/>
                <w:lang w:val="tr-TR"/>
              </w:rPr>
              <w:t xml:space="preserve">mahkemeleri </w:t>
            </w:r>
            <w:r w:rsidR="00155AF4" w:rsidRPr="00A23740">
              <w:rPr>
                <w:b w:val="0"/>
                <w:bCs w:val="0"/>
                <w:color w:val="auto"/>
                <w:lang w:val="tr-TR"/>
              </w:rPr>
              <w:t>ile asliye ticaret mahkemelerinin görev alanında bulunan bütün uyuşmazlık, talep, iş ve şikâyetlerin tamamı özel görevli olarak kurulacak ifl</w:t>
            </w:r>
            <w:r w:rsidR="00656C77" w:rsidRPr="00A23740">
              <w:rPr>
                <w:b w:val="0"/>
                <w:bCs w:val="0"/>
                <w:color w:val="auto"/>
                <w:lang w:val="tr-TR"/>
              </w:rPr>
              <w:t>a</w:t>
            </w:r>
            <w:r w:rsidR="00155AF4" w:rsidRPr="00A23740">
              <w:rPr>
                <w:b w:val="0"/>
                <w:bCs w:val="0"/>
                <w:color w:val="auto"/>
                <w:lang w:val="tr-TR"/>
              </w:rPr>
              <w:t xml:space="preserve">s mahkemelerine verilmektedir. </w:t>
            </w:r>
          </w:p>
          <w:p w:rsidR="00155AF4" w:rsidRPr="00A23740" w:rsidRDefault="00CB6B1F" w:rsidP="009431FF">
            <w:pPr>
              <w:pStyle w:val="Mavi"/>
              <w:ind w:firstLine="709"/>
              <w:rPr>
                <w:b w:val="0"/>
                <w:bCs w:val="0"/>
                <w:color w:val="auto"/>
                <w:lang w:val="tr-TR"/>
              </w:rPr>
            </w:pPr>
            <w:r w:rsidRPr="00A23740">
              <w:rPr>
                <w:b w:val="0"/>
                <w:bCs w:val="0"/>
                <w:color w:val="auto"/>
                <w:lang w:val="tr-TR"/>
              </w:rPr>
              <w:t xml:space="preserve">İkinci </w:t>
            </w:r>
            <w:r w:rsidR="00155AF4" w:rsidRPr="00A23740">
              <w:rPr>
                <w:b w:val="0"/>
                <w:bCs w:val="0"/>
                <w:color w:val="auto"/>
                <w:lang w:val="tr-TR"/>
              </w:rPr>
              <w:t>fıkr</w:t>
            </w:r>
            <w:r w:rsidRPr="00A23740">
              <w:rPr>
                <w:b w:val="0"/>
                <w:bCs w:val="0"/>
                <w:color w:val="auto"/>
                <w:lang w:val="tr-TR"/>
              </w:rPr>
              <w:t>ayla, iflas mahkemelerinin, bu Kanun ve diğer</w:t>
            </w:r>
            <w:r w:rsidR="0001352C" w:rsidRPr="00A23740">
              <w:rPr>
                <w:b w:val="0"/>
                <w:bCs w:val="0"/>
                <w:color w:val="auto"/>
                <w:lang w:val="tr-TR"/>
              </w:rPr>
              <w:t xml:space="preserve"> </w:t>
            </w:r>
            <w:r w:rsidR="0001352C" w:rsidRPr="002B26FC">
              <w:rPr>
                <w:b w:val="0"/>
                <w:bCs w:val="0"/>
                <w:color w:val="auto"/>
                <w:lang w:val="tr-TR"/>
              </w:rPr>
              <w:t>kanunlarla</w:t>
            </w:r>
            <w:r w:rsidRPr="00A23740">
              <w:rPr>
                <w:b w:val="0"/>
                <w:bCs w:val="0"/>
                <w:color w:val="auto"/>
                <w:lang w:val="tr-TR"/>
              </w:rPr>
              <w:t xml:space="preserve"> </w:t>
            </w:r>
            <w:r w:rsidR="00436870" w:rsidRPr="00A23740">
              <w:rPr>
                <w:b w:val="0"/>
                <w:bCs w:val="0"/>
                <w:color w:val="auto"/>
                <w:lang w:val="tr-TR"/>
              </w:rPr>
              <w:t>verilen görevleri yerine getir</w:t>
            </w:r>
            <w:r w:rsidRPr="00A23740">
              <w:rPr>
                <w:b w:val="0"/>
                <w:bCs w:val="0"/>
                <w:color w:val="auto"/>
                <w:lang w:val="tr-TR"/>
              </w:rPr>
              <w:t xml:space="preserve">eceği öngörülmektedir. Ayrıca iflas mahkemeleri, İcra </w:t>
            </w:r>
            <w:r w:rsidR="00BD7E01" w:rsidRPr="00A23740">
              <w:rPr>
                <w:b w:val="0"/>
                <w:color w:val="auto"/>
                <w:lang w:val="tr-TR"/>
              </w:rPr>
              <w:t xml:space="preserve">Mahkemeleri </w:t>
            </w:r>
            <w:r w:rsidRPr="00A23740">
              <w:rPr>
                <w:b w:val="0"/>
                <w:bCs w:val="0"/>
                <w:color w:val="auto"/>
                <w:lang w:val="tr-TR"/>
              </w:rPr>
              <w:t>ve İflas Mahkemeleri ile İcra Teşkil</w:t>
            </w:r>
            <w:r w:rsidR="005E361C" w:rsidRPr="00A23740">
              <w:rPr>
                <w:b w:val="0"/>
                <w:bCs w:val="0"/>
                <w:color w:val="auto"/>
                <w:lang w:val="tr-TR"/>
              </w:rPr>
              <w:t xml:space="preserve">atı Hakkında Kanun </w:t>
            </w:r>
            <w:r w:rsidR="00163E5A" w:rsidRPr="00A23740">
              <w:rPr>
                <w:b w:val="0"/>
                <w:bCs w:val="0"/>
                <w:color w:val="auto"/>
                <w:lang w:val="tr-TR"/>
              </w:rPr>
              <w:t>Taslağıyla</w:t>
            </w:r>
            <w:r w:rsidR="005E361C" w:rsidRPr="00A23740">
              <w:rPr>
                <w:b w:val="0"/>
                <w:bCs w:val="0"/>
                <w:color w:val="auto"/>
                <w:lang w:val="tr-TR"/>
              </w:rPr>
              <w:t xml:space="preserve"> </w:t>
            </w:r>
            <w:r w:rsidRPr="00A23740">
              <w:rPr>
                <w:b w:val="0"/>
                <w:bCs w:val="0"/>
                <w:color w:val="auto"/>
                <w:lang w:val="tr-TR"/>
              </w:rPr>
              <w:t>kendisine verilen iflas dairelerinin gözetim</w:t>
            </w:r>
            <w:r w:rsidR="00436870" w:rsidRPr="00A23740">
              <w:rPr>
                <w:b w:val="0"/>
                <w:bCs w:val="0"/>
                <w:color w:val="auto"/>
                <w:lang w:val="tr-TR"/>
              </w:rPr>
              <w:t>i</w:t>
            </w:r>
            <w:r w:rsidRPr="00A23740">
              <w:rPr>
                <w:b w:val="0"/>
                <w:bCs w:val="0"/>
                <w:color w:val="auto"/>
                <w:lang w:val="tr-TR"/>
              </w:rPr>
              <w:t xml:space="preserve"> ve denetim</w:t>
            </w:r>
            <w:r w:rsidR="00436870" w:rsidRPr="00A23740">
              <w:rPr>
                <w:b w:val="0"/>
                <w:bCs w:val="0"/>
                <w:color w:val="auto"/>
                <w:lang w:val="tr-TR"/>
              </w:rPr>
              <w:t>i</w:t>
            </w:r>
            <w:r w:rsidRPr="00A23740">
              <w:rPr>
                <w:b w:val="0"/>
                <w:bCs w:val="0"/>
                <w:color w:val="auto"/>
                <w:lang w:val="tr-TR"/>
              </w:rPr>
              <w:t xml:space="preserve"> gibi idari görevleri de yapacaktır. </w:t>
            </w:r>
            <w:r w:rsidR="00155AF4" w:rsidRPr="00A23740">
              <w:rPr>
                <w:b w:val="0"/>
                <w:bCs w:val="0"/>
                <w:color w:val="auto"/>
                <w:lang w:val="tr-TR"/>
              </w:rPr>
              <w:t>Böylece ifl</w:t>
            </w:r>
            <w:r w:rsidR="00656C77" w:rsidRPr="00A23740">
              <w:rPr>
                <w:b w:val="0"/>
                <w:bCs w:val="0"/>
                <w:color w:val="auto"/>
                <w:lang w:val="tr-TR"/>
              </w:rPr>
              <w:t>a</w:t>
            </w:r>
            <w:r w:rsidR="00155AF4" w:rsidRPr="00A23740">
              <w:rPr>
                <w:b w:val="0"/>
                <w:bCs w:val="0"/>
                <w:color w:val="auto"/>
                <w:lang w:val="tr-TR"/>
              </w:rPr>
              <w:t>s daireleri ile ifl</w:t>
            </w:r>
            <w:r w:rsidR="00656C77" w:rsidRPr="00A23740">
              <w:rPr>
                <w:b w:val="0"/>
                <w:bCs w:val="0"/>
                <w:color w:val="auto"/>
                <w:lang w:val="tr-TR"/>
              </w:rPr>
              <w:t>a</w:t>
            </w:r>
            <w:r w:rsidR="00155AF4" w:rsidRPr="00A23740">
              <w:rPr>
                <w:b w:val="0"/>
                <w:bCs w:val="0"/>
                <w:color w:val="auto"/>
                <w:lang w:val="tr-TR"/>
              </w:rPr>
              <w:t>s mahkemeleri arasında doğrud</w:t>
            </w:r>
            <w:r w:rsidR="00DC05AA" w:rsidRPr="00A23740">
              <w:rPr>
                <w:b w:val="0"/>
                <w:bCs w:val="0"/>
                <w:color w:val="auto"/>
                <w:lang w:val="tr-TR"/>
              </w:rPr>
              <w:t>an bir bağ kurulmuş olmaktadır.</w:t>
            </w:r>
          </w:p>
          <w:p w:rsidR="00760885" w:rsidRPr="00A23740" w:rsidRDefault="00760885" w:rsidP="009431FF">
            <w:pPr>
              <w:pStyle w:val="Mavi"/>
              <w:ind w:firstLine="709"/>
              <w:rPr>
                <w:b w:val="0"/>
                <w:bCs w:val="0"/>
                <w:color w:val="auto"/>
                <w:lang w:val="tr-TR"/>
              </w:rPr>
            </w:pPr>
            <w:r w:rsidRPr="00A23740">
              <w:rPr>
                <w:b w:val="0"/>
                <w:bCs w:val="0"/>
                <w:color w:val="auto"/>
                <w:lang w:val="tr-TR"/>
              </w:rPr>
              <w:t xml:space="preserve">Üçüncü fıkrayla, iflas mahkemesi ile asliye ticaret mahkemesi ve diğer hukuk mahkemeleri arasındaki ilişkinin görev ilişkisi olduğu ve bu durumda göreve ilişkin usul hükümlerinin uygulanacağı kabul edilmektedir. Böylelikle, bu iki mahkeme arasındaki ilişkinin hukuki niteliğiyle ilgili </w:t>
            </w:r>
            <w:r w:rsidR="00E814F3" w:rsidRPr="00A23740">
              <w:rPr>
                <w:b w:val="0"/>
                <w:bCs w:val="0"/>
                <w:color w:val="auto"/>
                <w:lang w:val="tr-TR"/>
              </w:rPr>
              <w:t xml:space="preserve">olarak </w:t>
            </w:r>
            <w:r w:rsidRPr="00A23740">
              <w:rPr>
                <w:b w:val="0"/>
                <w:bCs w:val="0"/>
                <w:color w:val="auto"/>
                <w:lang w:val="tr-TR"/>
              </w:rPr>
              <w:t>uygulamada oluşabilecek tereddütlerin giderilmesi amaçlanmaktadır.</w:t>
            </w:r>
          </w:p>
          <w:p w:rsidR="00760885" w:rsidRPr="00A23740" w:rsidRDefault="00760885" w:rsidP="009431FF">
            <w:pPr>
              <w:pStyle w:val="Mavi"/>
              <w:ind w:firstLine="709"/>
              <w:rPr>
                <w:color w:val="auto"/>
                <w:lang w:val="tr-TR"/>
              </w:rPr>
            </w:pPr>
            <w:r w:rsidRPr="00A23740">
              <w:rPr>
                <w:b w:val="0"/>
                <w:bCs w:val="0"/>
                <w:color w:val="auto"/>
                <w:lang w:val="tr-TR"/>
              </w:rPr>
              <w:t>Dördüncü fıkrayla, iflas mahkemesinde uygulanacak yargılama usulü belirlenmektedir. Hükme göre, aksine hüküm bulunmayan h</w:t>
            </w:r>
            <w:r w:rsidR="00DC05AA" w:rsidRPr="00A23740">
              <w:rPr>
                <w:b w:val="0"/>
                <w:bCs w:val="0"/>
                <w:color w:val="auto"/>
                <w:lang w:val="tr-TR"/>
              </w:rPr>
              <w:t>â</w:t>
            </w:r>
            <w:r w:rsidRPr="00A23740">
              <w:rPr>
                <w:b w:val="0"/>
                <w:bCs w:val="0"/>
                <w:color w:val="auto"/>
                <w:lang w:val="tr-TR"/>
              </w:rPr>
              <w:t xml:space="preserve">llerde iflas mahkemelerinde görülen dava ve işlerde niteliğine uygun düştüğü ölçüde basit yargılama usulü uygulanacak olup, bu dava ve işler ivedi sayılacaktır. </w:t>
            </w:r>
            <w:r w:rsidR="00155AF4" w:rsidRPr="00A23740">
              <w:rPr>
                <w:b w:val="0"/>
                <w:bCs w:val="0"/>
                <w:color w:val="auto"/>
                <w:lang w:val="tr-TR"/>
              </w:rPr>
              <w:t>İflâs mahkemesi</w:t>
            </w:r>
            <w:r w:rsidR="005E361C" w:rsidRPr="00A23740">
              <w:rPr>
                <w:b w:val="0"/>
                <w:bCs w:val="0"/>
                <w:color w:val="auto"/>
                <w:lang w:val="tr-TR"/>
              </w:rPr>
              <w:t>,</w:t>
            </w:r>
            <w:r w:rsidR="00155AF4" w:rsidRPr="00A23740">
              <w:rPr>
                <w:b w:val="0"/>
                <w:bCs w:val="0"/>
                <w:color w:val="auto"/>
                <w:lang w:val="tr-TR"/>
              </w:rPr>
              <w:t xml:space="preserve"> hem ifl</w:t>
            </w:r>
            <w:r w:rsidR="00656C77" w:rsidRPr="00A23740">
              <w:rPr>
                <w:b w:val="0"/>
                <w:bCs w:val="0"/>
                <w:color w:val="auto"/>
                <w:lang w:val="tr-TR"/>
              </w:rPr>
              <w:t>a</w:t>
            </w:r>
            <w:r w:rsidR="00155AF4" w:rsidRPr="00A23740">
              <w:rPr>
                <w:b w:val="0"/>
                <w:bCs w:val="0"/>
                <w:color w:val="auto"/>
                <w:lang w:val="tr-TR"/>
              </w:rPr>
              <w:t>s hukukuna hem konkordatoya ilişkin dava ve şikâyetlere hem de çekişmesiz yargı işlerine bakmakla görevlidir. Bu durumda ifl</w:t>
            </w:r>
            <w:r w:rsidR="00656C77" w:rsidRPr="00A23740">
              <w:rPr>
                <w:b w:val="0"/>
                <w:bCs w:val="0"/>
                <w:color w:val="auto"/>
                <w:lang w:val="tr-TR"/>
              </w:rPr>
              <w:t>a</w:t>
            </w:r>
            <w:r w:rsidR="00155AF4" w:rsidRPr="00A23740">
              <w:rPr>
                <w:b w:val="0"/>
                <w:bCs w:val="0"/>
                <w:color w:val="auto"/>
                <w:lang w:val="tr-TR"/>
              </w:rPr>
              <w:t>s mahkemesinde</w:t>
            </w:r>
            <w:r w:rsidRPr="00A23740">
              <w:rPr>
                <w:b w:val="0"/>
                <w:bCs w:val="0"/>
                <w:color w:val="auto"/>
                <w:lang w:val="tr-TR"/>
              </w:rPr>
              <w:t>,</w:t>
            </w:r>
            <w:r w:rsidR="00155AF4" w:rsidRPr="00A23740">
              <w:rPr>
                <w:b w:val="0"/>
                <w:bCs w:val="0"/>
                <w:color w:val="auto"/>
                <w:lang w:val="tr-TR"/>
              </w:rPr>
              <w:t xml:space="preserve"> </w:t>
            </w:r>
            <w:r w:rsidR="00DB332D" w:rsidRPr="002B26FC">
              <w:rPr>
                <w:b w:val="0"/>
                <w:bCs w:val="0"/>
                <w:color w:val="auto"/>
                <w:lang w:val="tr-TR"/>
              </w:rPr>
              <w:t>6100 sayılı Kanunun</w:t>
            </w:r>
            <w:r w:rsidR="00155AF4" w:rsidRPr="00A23740">
              <w:rPr>
                <w:b w:val="0"/>
                <w:bCs w:val="0"/>
                <w:color w:val="auto"/>
                <w:lang w:val="tr-TR"/>
              </w:rPr>
              <w:t xml:space="preserve"> doğrudan doğruya uygulanması uygun olmayabileceğinden, Kanunda aksine hüküm bulunmadığı takdirde </w:t>
            </w:r>
            <w:r w:rsidR="00E814F3" w:rsidRPr="00A23740">
              <w:rPr>
                <w:b w:val="0"/>
                <w:bCs w:val="0"/>
                <w:color w:val="auto"/>
                <w:lang w:val="tr-TR"/>
              </w:rPr>
              <w:t xml:space="preserve">ve </w:t>
            </w:r>
            <w:r w:rsidR="00155AF4" w:rsidRPr="00A23740">
              <w:rPr>
                <w:b w:val="0"/>
                <w:bCs w:val="0"/>
                <w:color w:val="auto"/>
              </w:rPr>
              <w:t>niteliğine uygun düştüğü ölçüde</w:t>
            </w:r>
            <w:r w:rsidR="00155AF4" w:rsidRPr="00A23740">
              <w:rPr>
                <w:b w:val="0"/>
                <w:bCs w:val="0"/>
                <w:color w:val="auto"/>
                <w:lang w:val="tr-TR"/>
              </w:rPr>
              <w:t xml:space="preserve"> basit yargılama usulünün geçerli olacağı ifade </w:t>
            </w:r>
            <w:r w:rsidRPr="00A23740">
              <w:rPr>
                <w:b w:val="0"/>
                <w:bCs w:val="0"/>
                <w:color w:val="auto"/>
                <w:lang w:val="tr-TR"/>
              </w:rPr>
              <w:t>edilmektedir</w:t>
            </w:r>
            <w:r w:rsidR="00155AF4" w:rsidRPr="00A23740">
              <w:rPr>
                <w:b w:val="0"/>
                <w:bCs w:val="0"/>
                <w:color w:val="auto"/>
                <w:lang w:val="tr-TR"/>
              </w:rPr>
              <w:t>. Bu anlamda, ifl</w:t>
            </w:r>
            <w:r w:rsidR="00656C77" w:rsidRPr="00A23740">
              <w:rPr>
                <w:b w:val="0"/>
                <w:bCs w:val="0"/>
                <w:color w:val="auto"/>
                <w:lang w:val="tr-TR"/>
              </w:rPr>
              <w:t>a</w:t>
            </w:r>
            <w:r w:rsidR="00155AF4" w:rsidRPr="00A23740">
              <w:rPr>
                <w:b w:val="0"/>
                <w:bCs w:val="0"/>
                <w:color w:val="auto"/>
                <w:lang w:val="tr-TR"/>
              </w:rPr>
              <w:t xml:space="preserve">s mahkemesinin görevine giren dava, iş ve şikâyet yargılamaları bakımından dava şartı arabuluculuğun, sulh veya arabuluculuğa teşvik gibi </w:t>
            </w:r>
            <w:r w:rsidR="00155AF4" w:rsidRPr="00A23740">
              <w:rPr>
                <w:b w:val="0"/>
                <w:bCs w:val="0"/>
                <w:color w:val="auto"/>
                <w:lang w:val="tr-TR"/>
              </w:rPr>
              <w:lastRenderedPageBreak/>
              <w:t>hükümlerin uygun ve geçerli olmayacağı</w:t>
            </w:r>
            <w:r w:rsidRPr="00A23740">
              <w:rPr>
                <w:b w:val="0"/>
                <w:bCs w:val="0"/>
                <w:color w:val="auto"/>
                <w:lang w:val="tr-TR"/>
              </w:rPr>
              <w:t xml:space="preserve"> dikkate alınmalıdır. Öte yandan, fıkranın son cümlesiyle, </w:t>
            </w:r>
            <w:r w:rsidR="00155AF4" w:rsidRPr="00A23740">
              <w:rPr>
                <w:b w:val="0"/>
                <w:bCs w:val="0"/>
                <w:color w:val="auto"/>
                <w:lang w:val="tr-TR"/>
              </w:rPr>
              <w:t>ifl</w:t>
            </w:r>
            <w:r w:rsidR="00656C77" w:rsidRPr="00A23740">
              <w:rPr>
                <w:b w:val="0"/>
                <w:bCs w:val="0"/>
                <w:color w:val="auto"/>
                <w:lang w:val="tr-TR"/>
              </w:rPr>
              <w:t>a</w:t>
            </w:r>
            <w:r w:rsidR="00155AF4" w:rsidRPr="00A23740">
              <w:rPr>
                <w:b w:val="0"/>
                <w:bCs w:val="0"/>
                <w:color w:val="auto"/>
                <w:lang w:val="tr-TR"/>
              </w:rPr>
              <w:t>s mahkemelerinde görülen d</w:t>
            </w:r>
            <w:r w:rsidR="00155AF4" w:rsidRPr="00A23740">
              <w:rPr>
                <w:b w:val="0"/>
                <w:bCs w:val="0"/>
                <w:color w:val="auto"/>
              </w:rPr>
              <w:t>ava ve işler</w:t>
            </w:r>
            <w:r w:rsidR="00155AF4" w:rsidRPr="00A23740">
              <w:rPr>
                <w:b w:val="0"/>
                <w:bCs w:val="0"/>
                <w:color w:val="auto"/>
                <w:lang w:val="tr-TR"/>
              </w:rPr>
              <w:t>in</w:t>
            </w:r>
            <w:r w:rsidR="00155AF4" w:rsidRPr="00A23740">
              <w:rPr>
                <w:b w:val="0"/>
                <w:bCs w:val="0"/>
                <w:color w:val="auto"/>
              </w:rPr>
              <w:t xml:space="preserve"> ivedi </w:t>
            </w:r>
            <w:r w:rsidR="00155AF4" w:rsidRPr="00A23740">
              <w:rPr>
                <w:b w:val="0"/>
                <w:bCs w:val="0"/>
                <w:color w:val="auto"/>
                <w:lang w:val="tr-TR"/>
              </w:rPr>
              <w:t>olduğu belirtilmek suretiyle bu mahkemelerde adli tatil hükümlerinin uygulanmayacağı</w:t>
            </w:r>
            <w:r w:rsidR="00E814F3" w:rsidRPr="00A23740">
              <w:rPr>
                <w:b w:val="0"/>
                <w:bCs w:val="0"/>
                <w:color w:val="auto"/>
                <w:lang w:val="tr-TR"/>
              </w:rPr>
              <w:t xml:space="preserve"> açıklığa kavuşturulmaktadır</w:t>
            </w:r>
            <w:r w:rsidRPr="00A23740">
              <w:rPr>
                <w:b w:val="0"/>
                <w:bCs w:val="0"/>
                <w:color w:val="auto"/>
                <w:lang w:val="tr-TR"/>
              </w:rPr>
              <w:t>.</w:t>
            </w:r>
          </w:p>
          <w:p w:rsidR="005861E3" w:rsidRPr="00A23740" w:rsidRDefault="005861E3" w:rsidP="009431FF">
            <w:pPr>
              <w:ind w:firstLine="709"/>
              <w:rPr>
                <w:rFonts w:eastAsia="Times New Roman"/>
                <w:b/>
                <w:szCs w:val="24"/>
                <w:lang w:eastAsia="x-none"/>
              </w:rPr>
            </w:pPr>
          </w:p>
        </w:tc>
      </w:tr>
      <w:tr w:rsidR="001E132C" w:rsidRPr="00A23740" w:rsidTr="009431FF">
        <w:tc>
          <w:tcPr>
            <w:tcW w:w="2500" w:type="pct"/>
            <w:shd w:val="clear" w:color="auto" w:fill="auto"/>
          </w:tcPr>
          <w:p w:rsidR="001E132C" w:rsidRPr="00A23740" w:rsidRDefault="001E132C" w:rsidP="009431FF">
            <w:pPr>
              <w:tabs>
                <w:tab w:val="left" w:pos="566"/>
              </w:tabs>
              <w:rPr>
                <w:rFonts w:eastAsia="ヒラギノ明朝 Pro W3"/>
                <w:szCs w:val="24"/>
              </w:rPr>
            </w:pPr>
          </w:p>
        </w:tc>
        <w:tc>
          <w:tcPr>
            <w:tcW w:w="2500" w:type="pct"/>
            <w:shd w:val="clear" w:color="auto" w:fill="auto"/>
          </w:tcPr>
          <w:p w:rsidR="001E132C" w:rsidRPr="00A23740" w:rsidRDefault="006B0424" w:rsidP="009431FF">
            <w:pPr>
              <w:pStyle w:val="Mavi"/>
              <w:rPr>
                <w:lang w:val="tr-TR"/>
              </w:rPr>
            </w:pPr>
            <w:r w:rsidRPr="00A23740">
              <w:rPr>
                <w:lang w:val="tr-TR"/>
              </w:rPr>
              <w:t>Mahkemelere</w:t>
            </w:r>
            <w:r w:rsidR="001E132C" w:rsidRPr="00A23740">
              <w:rPr>
                <w:lang w:val="tr-TR"/>
              </w:rPr>
              <w:t xml:space="preserve"> ilişkin diğer hususlar</w:t>
            </w:r>
          </w:p>
          <w:p w:rsidR="001E132C" w:rsidRPr="00A23740" w:rsidRDefault="00F92A99" w:rsidP="009431FF">
            <w:pPr>
              <w:pStyle w:val="Mavi"/>
              <w:rPr>
                <w:lang w:val="tr-TR"/>
              </w:rPr>
            </w:pPr>
            <w:r w:rsidRPr="00A23740">
              <w:t>MADDE 19</w:t>
            </w:r>
            <w:r w:rsidR="002D5E32" w:rsidRPr="00A23740">
              <w:t>-</w:t>
            </w:r>
            <w:r w:rsidR="002D5E32" w:rsidRPr="00A23740">
              <w:rPr>
                <w:lang w:val="tr-TR"/>
              </w:rPr>
              <w:t xml:space="preserve"> (1) İcra </w:t>
            </w:r>
            <w:r w:rsidR="001E132C" w:rsidRPr="00A23740">
              <w:rPr>
                <w:lang w:val="tr-TR"/>
              </w:rPr>
              <w:t>hukuk</w:t>
            </w:r>
            <w:r w:rsidR="004D629E" w:rsidRPr="00A23740">
              <w:rPr>
                <w:lang w:val="tr-TR"/>
              </w:rPr>
              <w:t>,</w:t>
            </w:r>
            <w:r w:rsidR="001E132C" w:rsidRPr="00A23740">
              <w:rPr>
                <w:lang w:val="tr-TR"/>
              </w:rPr>
              <w:t xml:space="preserve"> icra ceza </w:t>
            </w:r>
            <w:r w:rsidR="004D629E" w:rsidRPr="00A23740">
              <w:rPr>
                <w:lang w:val="tr-TR"/>
              </w:rPr>
              <w:t xml:space="preserve">ve </w:t>
            </w:r>
            <w:r w:rsidR="001E132C" w:rsidRPr="00A23740">
              <w:rPr>
                <w:lang w:val="tr-TR"/>
              </w:rPr>
              <w:t>iflas mahkemelerinin kuruluş, görev, yetki, çalışma usul ve esasları özel kanun hükümleri</w:t>
            </w:r>
            <w:r w:rsidR="008E4036" w:rsidRPr="002B26FC">
              <w:rPr>
                <w:lang w:val="tr-TR"/>
              </w:rPr>
              <w:t>yle</w:t>
            </w:r>
            <w:r w:rsidR="001E132C" w:rsidRPr="00A23740">
              <w:rPr>
                <w:lang w:val="tr-TR"/>
              </w:rPr>
              <w:t xml:space="preserve"> düzenlenir.</w:t>
            </w:r>
          </w:p>
          <w:p w:rsidR="001E132C" w:rsidRPr="00A23740" w:rsidRDefault="001E132C" w:rsidP="009431FF">
            <w:pPr>
              <w:rPr>
                <w:rFonts w:eastAsia="Times New Roman"/>
                <w:b/>
                <w:bCs/>
                <w:szCs w:val="24"/>
                <w:lang w:eastAsia="tr-TR"/>
              </w:rPr>
            </w:pPr>
          </w:p>
        </w:tc>
      </w:tr>
      <w:tr w:rsidR="00083972" w:rsidRPr="00A23740" w:rsidTr="009431FF">
        <w:tc>
          <w:tcPr>
            <w:tcW w:w="5000" w:type="pct"/>
            <w:gridSpan w:val="2"/>
            <w:shd w:val="clear" w:color="auto" w:fill="DEEAF6"/>
          </w:tcPr>
          <w:p w:rsidR="00D247B1" w:rsidRPr="00A23740" w:rsidRDefault="00D247B1" w:rsidP="009431FF">
            <w:pPr>
              <w:pStyle w:val="Mavi"/>
              <w:ind w:firstLine="709"/>
              <w:rPr>
                <w:color w:val="auto"/>
                <w:lang w:val="tr-TR"/>
              </w:rPr>
            </w:pPr>
          </w:p>
          <w:p w:rsidR="00D247B1" w:rsidRPr="00A23740" w:rsidRDefault="00D42F78" w:rsidP="009431FF">
            <w:pPr>
              <w:pStyle w:val="Mavi"/>
              <w:ind w:firstLine="709"/>
              <w:rPr>
                <w:b w:val="0"/>
                <w:bCs w:val="0"/>
                <w:color w:val="auto"/>
                <w:lang w:val="tr-TR"/>
              </w:rPr>
            </w:pPr>
            <w:r w:rsidRPr="00A23740">
              <w:rPr>
                <w:color w:val="auto"/>
                <w:lang w:val="tr-TR"/>
              </w:rPr>
              <w:t>MADDE 19</w:t>
            </w:r>
            <w:r w:rsidR="00083972" w:rsidRPr="00A23740">
              <w:rPr>
                <w:color w:val="auto"/>
                <w:lang w:val="tr-TR"/>
              </w:rPr>
              <w:t xml:space="preserve">- </w:t>
            </w:r>
            <w:r w:rsidR="00D247B1" w:rsidRPr="00A23740">
              <w:rPr>
                <w:b w:val="0"/>
                <w:bCs w:val="0"/>
                <w:color w:val="auto"/>
                <w:lang w:val="tr-TR"/>
              </w:rPr>
              <w:t xml:space="preserve">Maddeyle, mahkemelere ilişkin diğer hususlar düzenlenmektedir. </w:t>
            </w:r>
          </w:p>
          <w:p w:rsidR="00C24D41" w:rsidRPr="00A23740" w:rsidRDefault="00D247B1" w:rsidP="009431FF">
            <w:pPr>
              <w:pStyle w:val="Mavi"/>
              <w:ind w:firstLine="709"/>
              <w:rPr>
                <w:b w:val="0"/>
                <w:bCs w:val="0"/>
                <w:color w:val="auto"/>
                <w:lang w:val="tr-TR"/>
              </w:rPr>
            </w:pPr>
            <w:r w:rsidRPr="00A23740">
              <w:rPr>
                <w:b w:val="0"/>
                <w:bCs w:val="0"/>
                <w:color w:val="auto"/>
                <w:lang w:val="tr-TR"/>
              </w:rPr>
              <w:t xml:space="preserve">Birinci fıkrayla, </w:t>
            </w:r>
            <w:r w:rsidR="00B12143" w:rsidRPr="00A23740">
              <w:rPr>
                <w:b w:val="0"/>
                <w:bCs w:val="0"/>
                <w:color w:val="auto"/>
                <w:lang w:val="tr-TR"/>
              </w:rPr>
              <w:t>icra hukuk</w:t>
            </w:r>
            <w:r w:rsidR="00E814F3" w:rsidRPr="00A23740">
              <w:rPr>
                <w:b w:val="0"/>
                <w:bCs w:val="0"/>
                <w:color w:val="auto"/>
                <w:lang w:val="tr-TR"/>
              </w:rPr>
              <w:t xml:space="preserve"> ve</w:t>
            </w:r>
            <w:r w:rsidR="00B12143" w:rsidRPr="00A23740">
              <w:rPr>
                <w:b w:val="0"/>
                <w:bCs w:val="0"/>
                <w:color w:val="auto"/>
                <w:lang w:val="tr-TR"/>
              </w:rPr>
              <w:t xml:space="preserve"> icra ceza </w:t>
            </w:r>
            <w:r w:rsidR="00E814F3" w:rsidRPr="00A23740">
              <w:rPr>
                <w:b w:val="0"/>
                <w:bCs w:val="0"/>
                <w:color w:val="auto"/>
                <w:lang w:val="tr-TR"/>
              </w:rPr>
              <w:t xml:space="preserve">mahkemeleri  ile </w:t>
            </w:r>
            <w:r w:rsidR="00B12143" w:rsidRPr="00A23740">
              <w:rPr>
                <w:b w:val="0"/>
                <w:bCs w:val="0"/>
                <w:color w:val="auto"/>
                <w:lang w:val="tr-TR"/>
              </w:rPr>
              <w:t>iflas mahkemelerinin kuruluş, görev, yetki, çalışma usul ve esasların</w:t>
            </w:r>
            <w:r w:rsidR="00463A48" w:rsidRPr="00A23740">
              <w:rPr>
                <w:b w:val="0"/>
                <w:bCs w:val="0"/>
                <w:color w:val="auto"/>
                <w:lang w:val="tr-TR"/>
              </w:rPr>
              <w:t>ın</w:t>
            </w:r>
            <w:r w:rsidR="00B12143" w:rsidRPr="00A23740">
              <w:rPr>
                <w:b w:val="0"/>
                <w:bCs w:val="0"/>
                <w:color w:val="auto"/>
                <w:lang w:val="tr-TR"/>
              </w:rPr>
              <w:t xml:space="preserve"> özel kanunla düzenleneceği kabul edilmektedir.</w:t>
            </w:r>
            <w:r w:rsidR="002F0E19" w:rsidRPr="00A23740">
              <w:rPr>
                <w:b w:val="0"/>
                <w:bCs w:val="0"/>
                <w:color w:val="auto"/>
                <w:lang w:val="tr-TR"/>
              </w:rPr>
              <w:t xml:space="preserve"> Bu mahkemelerin kurulması bu Kanun</w:t>
            </w:r>
            <w:r w:rsidR="00E814F3" w:rsidRPr="00A23740">
              <w:rPr>
                <w:b w:val="0"/>
                <w:bCs w:val="0"/>
                <w:color w:val="auto"/>
                <w:lang w:val="tr-TR"/>
              </w:rPr>
              <w:t>la</w:t>
            </w:r>
            <w:r w:rsidR="002F0E19" w:rsidRPr="00A23740">
              <w:rPr>
                <w:b w:val="0"/>
                <w:bCs w:val="0"/>
                <w:color w:val="auto"/>
                <w:lang w:val="tr-TR"/>
              </w:rPr>
              <w:t xml:space="preserve"> çerçeve bir norm olarak benimsenmekte; Anayasanın mahkemelerin kuruluşu, görev ve yetkileri, işleyişi ve yargılama usullerinin kanunla düzenlemesini emreden 142 nci maddesi uyarınca, bu mahkemelere ilişkin </w:t>
            </w:r>
            <w:r w:rsidR="00E814F3" w:rsidRPr="00A23740">
              <w:rPr>
                <w:b w:val="0"/>
                <w:bCs w:val="0"/>
                <w:color w:val="auto"/>
                <w:lang w:val="tr-TR"/>
              </w:rPr>
              <w:t xml:space="preserve">olarak bütün bu </w:t>
            </w:r>
            <w:r w:rsidR="002F0E19" w:rsidRPr="00A23740">
              <w:rPr>
                <w:b w:val="0"/>
                <w:bCs w:val="0"/>
                <w:color w:val="auto"/>
                <w:lang w:val="tr-TR"/>
              </w:rPr>
              <w:t xml:space="preserve">hususlarda ayrıntılı düzenlemenin özel bir kanunla yapılacağı açıklanmaktadır. </w:t>
            </w:r>
            <w:r w:rsidR="00C24D41" w:rsidRPr="00A23740">
              <w:rPr>
                <w:b w:val="0"/>
                <w:bCs w:val="0"/>
                <w:color w:val="auto"/>
                <w:lang w:val="tr-TR"/>
              </w:rPr>
              <w:t xml:space="preserve">Nitekim, İcra </w:t>
            </w:r>
            <w:r w:rsidR="00BD7E01" w:rsidRPr="00A23740">
              <w:rPr>
                <w:b w:val="0"/>
                <w:color w:val="auto"/>
                <w:lang w:val="tr-TR"/>
              </w:rPr>
              <w:t xml:space="preserve">Mahkemeleri </w:t>
            </w:r>
            <w:r w:rsidRPr="00A23740">
              <w:rPr>
                <w:b w:val="0"/>
                <w:bCs w:val="0"/>
                <w:color w:val="auto"/>
                <w:lang w:val="tr-TR"/>
              </w:rPr>
              <w:t>ve İflas Mahkemeleri ile İcra Teşkilatı Hakkında Kanun</w:t>
            </w:r>
            <w:r w:rsidR="00E814F3" w:rsidRPr="00A23740">
              <w:rPr>
                <w:b w:val="0"/>
                <w:bCs w:val="0"/>
                <w:color w:val="auto"/>
                <w:lang w:val="tr-TR"/>
              </w:rPr>
              <w:t>Taslağında</w:t>
            </w:r>
            <w:r w:rsidRPr="00A23740">
              <w:rPr>
                <w:b w:val="0"/>
                <w:bCs w:val="0"/>
                <w:color w:val="auto"/>
                <w:lang w:val="tr-TR"/>
              </w:rPr>
              <w:t>,</w:t>
            </w:r>
            <w:r w:rsidR="00C24D41" w:rsidRPr="00A23740">
              <w:rPr>
                <w:b w:val="0"/>
                <w:bCs w:val="0"/>
                <w:color w:val="auto"/>
                <w:lang w:val="tr-TR"/>
              </w:rPr>
              <w:t xml:space="preserve"> anılan hususlar</w:t>
            </w:r>
            <w:r w:rsidR="00463A48" w:rsidRPr="00A23740">
              <w:rPr>
                <w:b w:val="0"/>
                <w:bCs w:val="0"/>
                <w:color w:val="auto"/>
                <w:lang w:val="tr-TR"/>
              </w:rPr>
              <w:t xml:space="preserve"> ayrıntılı olarak</w:t>
            </w:r>
            <w:r w:rsidR="00E814F3" w:rsidRPr="00A23740">
              <w:rPr>
                <w:b w:val="0"/>
                <w:bCs w:val="0"/>
                <w:color w:val="auto"/>
                <w:lang w:val="tr-TR"/>
              </w:rPr>
              <w:t xml:space="preserve"> düzenlenmiştir</w:t>
            </w:r>
            <w:r w:rsidR="00A44DE5">
              <w:rPr>
                <w:b w:val="0"/>
                <w:bCs w:val="0"/>
                <w:color w:val="auto"/>
                <w:lang w:val="tr-TR"/>
              </w:rPr>
              <w:t>.</w:t>
            </w:r>
          </w:p>
          <w:p w:rsidR="00C24D41" w:rsidRPr="00A23740" w:rsidRDefault="00C24D41" w:rsidP="009431FF">
            <w:pPr>
              <w:ind w:firstLine="709"/>
            </w:pPr>
          </w:p>
        </w:tc>
      </w:tr>
      <w:tr w:rsidR="001E132C" w:rsidRPr="00A23740" w:rsidTr="009431FF">
        <w:tc>
          <w:tcPr>
            <w:tcW w:w="2500" w:type="pct"/>
            <w:shd w:val="clear" w:color="auto" w:fill="auto"/>
          </w:tcPr>
          <w:p w:rsidR="001E132C" w:rsidRPr="00A23740" w:rsidRDefault="001E132C" w:rsidP="009431FF">
            <w:pPr>
              <w:rPr>
                <w:rFonts w:eastAsia="Times New Roman"/>
                <w:b/>
                <w:iCs/>
                <w:color w:val="000000"/>
                <w:szCs w:val="24"/>
                <w:lang w:eastAsia="tr-TR"/>
              </w:rPr>
            </w:pPr>
            <w:r w:rsidRPr="00A23740">
              <w:rPr>
                <w:rStyle w:val="KIRMIZIChar"/>
                <w:rFonts w:eastAsia="Calibri"/>
                <w:lang w:eastAsia="tr-TR"/>
              </w:rPr>
              <w:t>İcra mahkemesi</w:t>
            </w:r>
            <w:r w:rsidRPr="00A23740">
              <w:rPr>
                <w:rFonts w:eastAsia="Times New Roman"/>
                <w:b/>
                <w:iCs/>
                <w:color w:val="000000"/>
                <w:szCs w:val="24"/>
                <w:lang w:eastAsia="tr-TR"/>
              </w:rPr>
              <w:t xml:space="preserve"> hâkimin</w:t>
            </w:r>
            <w:r w:rsidRPr="00A23740">
              <w:rPr>
                <w:rStyle w:val="KIRMIZIChar"/>
                <w:rFonts w:eastAsia="Calibri"/>
                <w:lang w:eastAsia="tr-TR"/>
              </w:rPr>
              <w:t>in</w:t>
            </w:r>
            <w:r w:rsidRPr="00A23740">
              <w:rPr>
                <w:rFonts w:eastAsia="Times New Roman"/>
                <w:b/>
                <w:iCs/>
                <w:color w:val="000000"/>
                <w:szCs w:val="24"/>
                <w:lang w:eastAsia="tr-TR"/>
              </w:rPr>
              <w:t xml:space="preserve"> reddi</w:t>
            </w:r>
          </w:p>
          <w:p w:rsidR="001E132C" w:rsidRPr="00A23740" w:rsidRDefault="001E132C" w:rsidP="009431FF">
            <w:pPr>
              <w:rPr>
                <w:rStyle w:val="KIRMIZIChar"/>
                <w:rFonts w:eastAsia="Calibri"/>
                <w:lang w:eastAsia="tr-TR"/>
              </w:rPr>
            </w:pPr>
            <w:r w:rsidRPr="00A23740">
              <w:rPr>
                <w:rStyle w:val="KIRMIZIChar"/>
                <w:rFonts w:eastAsia="Calibri"/>
              </w:rPr>
              <w:t>Madde 10/a – (1) (Ek: 18/2/1965-538/7 md.; Değişik: 2/3/2005-5311/1 md.)</w:t>
            </w:r>
            <w:r w:rsidRPr="00A23740">
              <w:t xml:space="preserve"> </w:t>
            </w:r>
            <w:r w:rsidRPr="00A23740">
              <w:rPr>
                <w:rFonts w:eastAsia="Times New Roman"/>
                <w:color w:val="000000"/>
                <w:szCs w:val="24"/>
                <w:lang w:eastAsia="tr-TR"/>
              </w:rPr>
              <w:t>İcra mahkemesi hâkim</w:t>
            </w:r>
            <w:r w:rsidRPr="00A23740">
              <w:rPr>
                <w:rStyle w:val="KIRMIZIChar"/>
                <w:rFonts w:eastAsia="Calibri"/>
              </w:rPr>
              <w:t>i</w:t>
            </w:r>
            <w:r w:rsidRPr="00A23740">
              <w:rPr>
                <w:rFonts w:eastAsia="Times New Roman"/>
                <w:color w:val="000000"/>
                <w:szCs w:val="24"/>
                <w:lang w:eastAsia="tr-TR"/>
              </w:rPr>
              <w:t xml:space="preserve"> </w:t>
            </w:r>
            <w:r w:rsidRPr="00A23740">
              <w:rPr>
                <w:rFonts w:eastAsia="Times New Roman"/>
                <w:bCs/>
                <w:color w:val="000000"/>
                <w:lang w:eastAsia="tr-TR"/>
              </w:rPr>
              <w:t>redd</w:t>
            </w:r>
            <w:r w:rsidRPr="00A23740">
              <w:rPr>
                <w:rStyle w:val="KIRMIZIChar"/>
                <w:rFonts w:eastAsia="Calibri"/>
              </w:rPr>
              <w:t>edildiği takdirde</w:t>
            </w:r>
            <w:r w:rsidRPr="00A23740">
              <w:rPr>
                <w:rFonts w:eastAsia="Times New Roman"/>
                <w:color w:val="000000"/>
                <w:szCs w:val="24"/>
                <w:lang w:eastAsia="tr-TR"/>
              </w:rPr>
              <w:t xml:space="preserve"> Hukuk </w:t>
            </w:r>
            <w:r w:rsidRPr="00A23740">
              <w:rPr>
                <w:rStyle w:val="KIRMIZIChar"/>
                <w:rFonts w:eastAsia="Calibri"/>
                <w:lang w:eastAsia="tr-TR"/>
              </w:rPr>
              <w:t>Usulü</w:t>
            </w:r>
            <w:r w:rsidRPr="00A23740">
              <w:rPr>
                <w:rFonts w:eastAsia="Times New Roman"/>
                <w:color w:val="000000"/>
                <w:szCs w:val="24"/>
                <w:lang w:eastAsia="tr-TR"/>
              </w:rPr>
              <w:t xml:space="preserve"> Muhakemeleri Kanunu</w:t>
            </w:r>
            <w:r w:rsidRPr="00A23740">
              <w:rPr>
                <w:rStyle w:val="KIRMIZIChar"/>
                <w:rFonts w:eastAsia="Calibri"/>
                <w:lang w:eastAsia="tr-TR"/>
              </w:rPr>
              <w:t>ndaki</w:t>
            </w:r>
            <w:r w:rsidRPr="00A23740">
              <w:rPr>
                <w:rFonts w:eastAsia="Times New Roman"/>
                <w:color w:val="000000"/>
                <w:szCs w:val="24"/>
                <w:lang w:eastAsia="tr-TR"/>
              </w:rPr>
              <w:t xml:space="preserve"> hükümler uygulanır. </w:t>
            </w:r>
            <w:r w:rsidRPr="00A23740">
              <w:rPr>
                <w:rStyle w:val="KIRMIZIChar"/>
                <w:rFonts w:eastAsia="Calibri"/>
                <w:lang w:eastAsia="tr-TR"/>
              </w:rPr>
              <w:t>Ret talebinde bulunan, dilekçesinde ret sebeplerini delilleri ile birlikte bildirmek zorundadır.</w:t>
            </w:r>
          </w:p>
          <w:p w:rsidR="006319F5" w:rsidRPr="00A23740" w:rsidRDefault="006319F5" w:rsidP="009431FF">
            <w:pPr>
              <w:rPr>
                <w:rStyle w:val="KIRMIZIChar"/>
                <w:rFonts w:eastAsia="Calibri"/>
              </w:rPr>
            </w:pPr>
          </w:p>
          <w:p w:rsidR="001E132C" w:rsidRPr="00A23740" w:rsidRDefault="001E132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Ret talebinin reddi hakkındaki karara karşı istinaf yoluna başvurulması, hâkimin işe bakıp karar vermesine engel değildir. Ret talebinin reddi hakkındaki kararın kaldırılması hâlinde reddedilen hâkimin verdiği karar yerine getirilmez. Bu durumda dosya, bölge adliye mahkemesince icra mahkemesinin başka bir dairesine, o yerde icra mahkemesinin başka bir dairesi yoksa en yakın icra mahkemesine gönderilir. </w:t>
            </w:r>
            <w:r w:rsidRPr="00A23740">
              <w:rPr>
                <w:rStyle w:val="KIRMIZIChar"/>
                <w:rFonts w:eastAsia="Calibri"/>
              </w:rPr>
              <w:t>40</w:t>
            </w:r>
            <w:r w:rsidRPr="00A23740">
              <w:rPr>
                <w:rFonts w:eastAsia="Times New Roman"/>
                <w:color w:val="000000"/>
                <w:szCs w:val="24"/>
                <w:lang w:eastAsia="tr-TR"/>
              </w:rPr>
              <w:t xml:space="preserve"> ıncı madde hükümleri </w:t>
            </w:r>
            <w:r w:rsidRPr="00A23740">
              <w:rPr>
                <w:rStyle w:val="StilKrmzChar"/>
                <w:rFonts w:eastAsia="Calibri"/>
                <w:lang w:val="tr-TR"/>
              </w:rPr>
              <w:t>kıyas yoluyla</w:t>
            </w:r>
            <w:r w:rsidRPr="00A23740">
              <w:rPr>
                <w:rFonts w:eastAsia="Times New Roman"/>
                <w:color w:val="000000"/>
                <w:szCs w:val="24"/>
                <w:lang w:eastAsia="tr-TR"/>
              </w:rPr>
              <w:t xml:space="preserve"> uygulanır.</w:t>
            </w:r>
          </w:p>
          <w:p w:rsidR="001E132C" w:rsidRPr="00A23740" w:rsidRDefault="001E132C" w:rsidP="009431FF">
            <w:pPr>
              <w:tabs>
                <w:tab w:val="left" w:pos="566"/>
              </w:tabs>
              <w:rPr>
                <w:rFonts w:eastAsia="ヒラギノ明朝 Pro W3"/>
                <w:szCs w:val="24"/>
              </w:rPr>
            </w:pPr>
          </w:p>
          <w:p w:rsidR="00253853" w:rsidRPr="00A23740" w:rsidRDefault="00253853" w:rsidP="009431FF">
            <w:pPr>
              <w:tabs>
                <w:tab w:val="left" w:pos="566"/>
              </w:tabs>
              <w:rPr>
                <w:rFonts w:eastAsia="ヒラギノ明朝 Pro W3"/>
                <w:szCs w:val="24"/>
              </w:rPr>
            </w:pPr>
          </w:p>
        </w:tc>
        <w:tc>
          <w:tcPr>
            <w:tcW w:w="2500" w:type="pct"/>
            <w:shd w:val="clear" w:color="auto" w:fill="auto"/>
          </w:tcPr>
          <w:p w:rsidR="001E132C" w:rsidRPr="00A23740" w:rsidRDefault="00872EDC" w:rsidP="009431FF">
            <w:pPr>
              <w:tabs>
                <w:tab w:val="left" w:pos="567"/>
              </w:tabs>
              <w:rPr>
                <w:rFonts w:eastAsia="Times New Roman"/>
                <w:b/>
                <w:szCs w:val="24"/>
                <w:lang w:eastAsia="tr-TR"/>
              </w:rPr>
            </w:pPr>
            <w:r w:rsidRPr="00A23740">
              <w:rPr>
                <w:rFonts w:eastAsia="Times New Roman"/>
                <w:b/>
                <w:szCs w:val="24"/>
                <w:lang w:eastAsia="tr-TR"/>
              </w:rPr>
              <w:t>Hâkimin</w:t>
            </w:r>
            <w:r w:rsidR="001E132C" w:rsidRPr="00A23740">
              <w:rPr>
                <w:rStyle w:val="MaviChar"/>
              </w:rPr>
              <w:t xml:space="preserve"> yasaklılığı</w:t>
            </w:r>
            <w:r w:rsidRPr="00A23740">
              <w:rPr>
                <w:rStyle w:val="MaviChar"/>
                <w:lang w:val="tr-TR"/>
              </w:rPr>
              <w:t xml:space="preserve"> ve </w:t>
            </w:r>
            <w:r w:rsidRPr="00A23740">
              <w:rPr>
                <w:rFonts w:eastAsia="Times New Roman"/>
                <w:b/>
                <w:szCs w:val="24"/>
                <w:lang w:eastAsia="tr-TR"/>
              </w:rPr>
              <w:t>reddi</w:t>
            </w:r>
          </w:p>
          <w:p w:rsidR="006319F5" w:rsidRPr="00A23740" w:rsidRDefault="0015714C" w:rsidP="009431FF">
            <w:pPr>
              <w:pStyle w:val="Mavi"/>
              <w:rPr>
                <w:rFonts w:eastAsia="Times New Roman"/>
                <w:b w:val="0"/>
                <w:bCs w:val="0"/>
                <w:color w:val="000000"/>
                <w:lang w:val="tr-TR" w:eastAsia="tr-TR"/>
              </w:rPr>
            </w:pPr>
            <w:r w:rsidRPr="00A23740">
              <w:t xml:space="preserve">MADDE </w:t>
            </w:r>
            <w:r w:rsidR="0059245E" w:rsidRPr="00A23740">
              <w:t>20</w:t>
            </w:r>
            <w:r w:rsidR="001E132C" w:rsidRPr="00A23740">
              <w:t xml:space="preserve">- </w:t>
            </w:r>
            <w:r w:rsidR="00B35B2D" w:rsidRPr="00A23740">
              <w:t xml:space="preserve">(1) </w:t>
            </w:r>
            <w:r w:rsidR="00B35B2D" w:rsidRPr="00A23740">
              <w:rPr>
                <w:rFonts w:eastAsia="Times New Roman"/>
                <w:b w:val="0"/>
                <w:bCs w:val="0"/>
                <w:color w:val="000000"/>
                <w:lang w:val="tr-TR" w:eastAsia="tr-TR"/>
              </w:rPr>
              <w:t>İcra</w:t>
            </w:r>
            <w:r w:rsidR="00B35B2D" w:rsidRPr="00A23740">
              <w:t xml:space="preserve"> hukuk</w:t>
            </w:r>
            <w:r w:rsidR="00B35B2D" w:rsidRPr="00A23740">
              <w:rPr>
                <w:lang w:val="tr-TR"/>
              </w:rPr>
              <w:t xml:space="preserve"> </w:t>
            </w:r>
            <w:r w:rsidR="00B35B2D" w:rsidRPr="00A23740">
              <w:rPr>
                <w:rFonts w:eastAsia="Times New Roman"/>
                <w:b w:val="0"/>
                <w:bCs w:val="0"/>
                <w:color w:val="000000"/>
                <w:lang w:val="tr-TR" w:eastAsia="tr-TR"/>
              </w:rPr>
              <w:t>mahkemesi</w:t>
            </w:r>
            <w:r w:rsidR="00B35B2D" w:rsidRPr="00A23740">
              <w:t xml:space="preserve"> ile iflas mahkemesi </w:t>
            </w:r>
            <w:r w:rsidR="00B35B2D" w:rsidRPr="00A23740">
              <w:rPr>
                <w:rFonts w:eastAsia="Times New Roman"/>
                <w:b w:val="0"/>
                <w:bCs w:val="0"/>
                <w:color w:val="000000"/>
                <w:lang w:val="tr-TR" w:eastAsia="tr-TR"/>
              </w:rPr>
              <w:t>hâkim</w:t>
            </w:r>
            <w:r w:rsidR="00B35B2D" w:rsidRPr="00A23740">
              <w:rPr>
                <w:lang w:val="tr-TR"/>
              </w:rPr>
              <w:t>ler</w:t>
            </w:r>
            <w:r w:rsidR="00B35B2D" w:rsidRPr="00A23740">
              <w:t>inin yasaklılığı</w:t>
            </w:r>
            <w:r w:rsidR="00F3230E" w:rsidRPr="00A23740">
              <w:rPr>
                <w:lang w:val="tr-TR"/>
              </w:rPr>
              <w:t xml:space="preserve"> ve </w:t>
            </w:r>
            <w:r w:rsidR="00F3230E" w:rsidRPr="00A23740">
              <w:rPr>
                <w:rFonts w:eastAsia="Times New Roman"/>
                <w:b w:val="0"/>
                <w:bCs w:val="0"/>
                <w:color w:val="000000"/>
                <w:lang w:val="tr-TR" w:eastAsia="tr-TR"/>
              </w:rPr>
              <w:t>redd</w:t>
            </w:r>
            <w:r w:rsidR="00F3230E" w:rsidRPr="00A23740">
              <w:rPr>
                <w:lang w:val="tr-TR"/>
              </w:rPr>
              <w:t>i</w:t>
            </w:r>
            <w:r w:rsidR="00B35B2D" w:rsidRPr="00A23740">
              <w:rPr>
                <w:lang w:val="tr-TR"/>
              </w:rPr>
              <w:t xml:space="preserve"> hakkında</w:t>
            </w:r>
            <w:r w:rsidR="00F3230E" w:rsidRPr="00A23740">
              <w:rPr>
                <w:lang w:val="tr-TR"/>
              </w:rPr>
              <w:t>,</w:t>
            </w:r>
            <w:r w:rsidR="00B35B2D" w:rsidRPr="00A23740">
              <w:rPr>
                <w:lang w:val="tr-TR"/>
              </w:rPr>
              <w:t xml:space="preserve"> </w:t>
            </w:r>
            <w:r w:rsidR="00B66AD6" w:rsidRPr="00A23740">
              <w:rPr>
                <w:lang w:val="tr-TR"/>
              </w:rPr>
              <w:t xml:space="preserve">12/1/2011 tarihli ve 6100 sayılı </w:t>
            </w:r>
            <w:r w:rsidR="00B35B2D" w:rsidRPr="00A23740">
              <w:rPr>
                <w:rFonts w:eastAsia="Times New Roman"/>
                <w:b w:val="0"/>
                <w:bCs w:val="0"/>
                <w:color w:val="000000"/>
                <w:lang w:val="tr-TR" w:eastAsia="tr-TR"/>
              </w:rPr>
              <w:t>Hukuk Muhakemeleri</w:t>
            </w:r>
            <w:r w:rsidR="00B35B2D" w:rsidRPr="00A23740">
              <w:t xml:space="preserve"> </w:t>
            </w:r>
            <w:r w:rsidR="00B35B2D" w:rsidRPr="00A23740">
              <w:rPr>
                <w:rFonts w:eastAsia="Times New Roman"/>
                <w:b w:val="0"/>
                <w:bCs w:val="0"/>
                <w:color w:val="000000"/>
                <w:lang w:val="tr-TR" w:eastAsia="tr-TR"/>
              </w:rPr>
              <w:t>Kanunu</w:t>
            </w:r>
            <w:r w:rsidR="00B35B2D" w:rsidRPr="00A23740">
              <w:rPr>
                <w:lang w:val="tr-TR"/>
              </w:rPr>
              <w:t>nun</w:t>
            </w:r>
            <w:r w:rsidR="00253853" w:rsidRPr="00A23740">
              <w:rPr>
                <w:lang w:val="tr-TR"/>
              </w:rPr>
              <w:t xml:space="preserve"> </w:t>
            </w:r>
            <w:r w:rsidR="006319F5" w:rsidRPr="00A23740">
              <w:rPr>
                <w:lang w:val="tr-TR"/>
              </w:rPr>
              <w:t xml:space="preserve">ilgili </w:t>
            </w:r>
            <w:r w:rsidR="00B35B2D" w:rsidRPr="00A23740">
              <w:rPr>
                <w:rFonts w:eastAsia="Times New Roman"/>
                <w:b w:val="0"/>
                <w:bCs w:val="0"/>
                <w:color w:val="000000"/>
                <w:lang w:val="tr-TR" w:eastAsia="tr-TR"/>
              </w:rPr>
              <w:t>hükümler</w:t>
            </w:r>
            <w:r w:rsidR="00B35B2D" w:rsidRPr="00A23740">
              <w:t>i</w:t>
            </w:r>
            <w:r w:rsidR="00B35B2D" w:rsidRPr="00A23740">
              <w:rPr>
                <w:lang w:val="tr-TR"/>
              </w:rPr>
              <w:t xml:space="preserve"> </w:t>
            </w:r>
            <w:r w:rsidR="00B35B2D" w:rsidRPr="00A23740">
              <w:rPr>
                <w:rFonts w:eastAsia="Times New Roman"/>
                <w:b w:val="0"/>
                <w:bCs w:val="0"/>
                <w:color w:val="000000"/>
                <w:lang w:val="tr-TR" w:eastAsia="tr-TR"/>
              </w:rPr>
              <w:t>uygulanır.</w:t>
            </w:r>
          </w:p>
          <w:p w:rsidR="006319F5" w:rsidRPr="00A23740" w:rsidRDefault="006319F5" w:rsidP="009431FF">
            <w:pPr>
              <w:pStyle w:val="Mavi"/>
              <w:rPr>
                <w:rFonts w:eastAsia="Times New Roman"/>
                <w:b w:val="0"/>
                <w:bCs w:val="0"/>
                <w:color w:val="000000"/>
                <w:lang w:val="tr-TR" w:eastAsia="tr-TR"/>
              </w:rPr>
            </w:pPr>
          </w:p>
          <w:p w:rsidR="006319F5" w:rsidRPr="00A23740" w:rsidRDefault="008612D9" w:rsidP="009431FF">
            <w:pPr>
              <w:pStyle w:val="Mavi"/>
              <w:rPr>
                <w:rFonts w:eastAsia="Times New Roman"/>
                <w:b w:val="0"/>
                <w:bCs w:val="0"/>
                <w:color w:val="000000"/>
                <w:lang w:val="tr-TR" w:eastAsia="tr-TR"/>
              </w:rPr>
            </w:pPr>
            <w:r w:rsidRPr="00A23740">
              <w:rPr>
                <w:rFonts w:eastAsia="Times New Roman"/>
                <w:b w:val="0"/>
                <w:bCs w:val="0"/>
                <w:color w:val="000000"/>
                <w:lang w:val="tr-TR" w:eastAsia="tr-TR"/>
              </w:rPr>
              <w:t xml:space="preserve"> </w:t>
            </w:r>
          </w:p>
          <w:p w:rsidR="00FE4EDC" w:rsidRPr="00A23740" w:rsidRDefault="00FE4EDC" w:rsidP="009431FF">
            <w:pPr>
              <w:pStyle w:val="Mavi"/>
              <w:rPr>
                <w:rFonts w:eastAsia="Times New Roman"/>
                <w:b w:val="0"/>
                <w:bCs w:val="0"/>
                <w:color w:val="000000"/>
                <w:lang w:val="tr-TR" w:eastAsia="tr-TR"/>
              </w:rPr>
            </w:pPr>
          </w:p>
          <w:p w:rsidR="001E132C" w:rsidRPr="00A23740" w:rsidRDefault="00F3230E" w:rsidP="009431FF">
            <w:pPr>
              <w:tabs>
                <w:tab w:val="left" w:pos="567"/>
                <w:tab w:val="right" w:pos="6520"/>
              </w:tabs>
              <w:rPr>
                <w:rFonts w:eastAsia="Times New Roman"/>
                <w:szCs w:val="24"/>
                <w:lang w:eastAsia="tr-TR"/>
              </w:rPr>
            </w:pPr>
            <w:r w:rsidRPr="00A23740">
              <w:rPr>
                <w:rStyle w:val="MaviChar"/>
              </w:rPr>
              <w:t>(2</w:t>
            </w:r>
            <w:r w:rsidR="001E132C" w:rsidRPr="00A23740">
              <w:rPr>
                <w:rStyle w:val="MaviChar"/>
              </w:rPr>
              <w:t>)</w:t>
            </w:r>
            <w:r w:rsidR="001E132C" w:rsidRPr="00A23740">
              <w:rPr>
                <w:rFonts w:eastAsia="Times New Roman"/>
                <w:szCs w:val="24"/>
                <w:lang w:eastAsia="tr-TR"/>
              </w:rPr>
              <w:t xml:space="preserve"> Ret talebinin reddi hakkındaki karara karşı istinaf yoluna başvurulması, hâkimin işe bakıp karar vermesine engel değildir. Ret talebinin reddi hakkındaki kararın kaldırılması hâlinde</w:t>
            </w:r>
            <w:r w:rsidR="008E4036" w:rsidRPr="00A23740">
              <w:rPr>
                <w:rFonts w:eastAsia="Times New Roman"/>
                <w:b/>
                <w:bCs/>
                <w:color w:val="70AD47"/>
                <w:szCs w:val="24"/>
                <w:lang w:eastAsia="tr-TR"/>
              </w:rPr>
              <w:t>,</w:t>
            </w:r>
            <w:r w:rsidR="001E132C" w:rsidRPr="00A23740">
              <w:rPr>
                <w:rFonts w:eastAsia="Times New Roman"/>
                <w:szCs w:val="24"/>
                <w:lang w:eastAsia="tr-TR"/>
              </w:rPr>
              <w:t xml:space="preserve"> reddedilen hâkimin verdiği karar yerine getirilmez. Bu durumda dosya, bölge adliye mahkemesince icra </w:t>
            </w:r>
            <w:r w:rsidR="001E132C" w:rsidRPr="00A23740">
              <w:rPr>
                <w:rStyle w:val="MaviChar"/>
              </w:rPr>
              <w:t>hukuk</w:t>
            </w:r>
            <w:r w:rsidR="008D7114" w:rsidRPr="00A23740">
              <w:rPr>
                <w:rStyle w:val="MaviChar"/>
                <w:lang w:val="tr-TR"/>
              </w:rPr>
              <w:t xml:space="preserve"> </w:t>
            </w:r>
            <w:r w:rsidR="008D7114" w:rsidRPr="00A23740">
              <w:rPr>
                <w:rStyle w:val="MaviChar"/>
              </w:rPr>
              <w:t>mahkemesi veya iflas</w:t>
            </w:r>
            <w:r w:rsidR="001E132C" w:rsidRPr="00A23740">
              <w:rPr>
                <w:rFonts w:eastAsia="Times New Roman"/>
                <w:szCs w:val="24"/>
                <w:lang w:eastAsia="tr-TR"/>
              </w:rPr>
              <w:t xml:space="preserve"> mahkemesinin başka bir dairesine, o yerde icra </w:t>
            </w:r>
            <w:r w:rsidR="001E132C" w:rsidRPr="00A23740">
              <w:rPr>
                <w:rStyle w:val="MaviChar"/>
              </w:rPr>
              <w:t>hukuk</w:t>
            </w:r>
            <w:r w:rsidR="008D7114" w:rsidRPr="00A23740">
              <w:rPr>
                <w:rStyle w:val="MaviChar"/>
                <w:lang w:val="tr-TR"/>
              </w:rPr>
              <w:t xml:space="preserve"> </w:t>
            </w:r>
            <w:r w:rsidR="008D7114" w:rsidRPr="00A23740">
              <w:rPr>
                <w:rStyle w:val="MaviChar"/>
              </w:rPr>
              <w:t>mahkemesinin veya iflas</w:t>
            </w:r>
            <w:r w:rsidR="001E132C" w:rsidRPr="00A23740">
              <w:rPr>
                <w:rFonts w:eastAsia="Times New Roman"/>
                <w:szCs w:val="24"/>
                <w:lang w:eastAsia="tr-TR"/>
              </w:rPr>
              <w:t xml:space="preserve"> mahkemesinin başka bir dairesi yoksa en yakın icra </w:t>
            </w:r>
            <w:r w:rsidR="001E132C" w:rsidRPr="00A23740">
              <w:rPr>
                <w:rStyle w:val="MaviChar"/>
              </w:rPr>
              <w:t>hukuk</w:t>
            </w:r>
            <w:r w:rsidR="008D7114" w:rsidRPr="00A23740">
              <w:rPr>
                <w:rStyle w:val="MaviChar"/>
                <w:lang w:val="tr-TR"/>
              </w:rPr>
              <w:t xml:space="preserve"> </w:t>
            </w:r>
            <w:r w:rsidR="008D7114" w:rsidRPr="00A23740">
              <w:rPr>
                <w:rStyle w:val="MaviChar"/>
              </w:rPr>
              <w:t>mahkemesi veya iflas</w:t>
            </w:r>
            <w:r w:rsidR="001E132C" w:rsidRPr="00A23740">
              <w:rPr>
                <w:rFonts w:eastAsia="Times New Roman"/>
                <w:szCs w:val="24"/>
                <w:lang w:eastAsia="tr-TR"/>
              </w:rPr>
              <w:t xml:space="preserve"> mahkemesine gönderilir. </w:t>
            </w:r>
            <w:r w:rsidR="001E132C" w:rsidRPr="00A23740">
              <w:rPr>
                <w:rStyle w:val="MaviChar"/>
              </w:rPr>
              <w:t>İcranın iadesine ilişkin</w:t>
            </w:r>
            <w:r w:rsidR="001E132C" w:rsidRPr="00A23740">
              <w:rPr>
                <w:rFonts w:eastAsia="Times New Roman"/>
                <w:szCs w:val="24"/>
                <w:lang w:eastAsia="tr-TR"/>
              </w:rPr>
              <w:t xml:space="preserve"> </w:t>
            </w:r>
            <w:r w:rsidR="00943E5A" w:rsidRPr="00A23740">
              <w:rPr>
                <w:rStyle w:val="MaviChar"/>
              </w:rPr>
              <w:t>60</w:t>
            </w:r>
            <w:r w:rsidR="00943E5A" w:rsidRPr="00A23740">
              <w:rPr>
                <w:rFonts w:eastAsia="Times New Roman"/>
                <w:szCs w:val="24"/>
                <w:lang w:eastAsia="tr-TR"/>
              </w:rPr>
              <w:t xml:space="preserve"> ı</w:t>
            </w:r>
            <w:r w:rsidR="001E132C" w:rsidRPr="00A23740">
              <w:rPr>
                <w:rFonts w:eastAsia="Times New Roman"/>
                <w:szCs w:val="24"/>
                <w:lang w:eastAsia="tr-TR"/>
              </w:rPr>
              <w:t>ncı</w:t>
            </w:r>
            <w:r w:rsidR="00943E5A" w:rsidRPr="00A23740">
              <w:rPr>
                <w:rStyle w:val="KIRMIZIChar"/>
                <w:rFonts w:eastAsia="Calibri"/>
                <w:strike w:val="0"/>
              </w:rPr>
              <w:t xml:space="preserve"> </w:t>
            </w:r>
            <w:r w:rsidR="008E4036" w:rsidRPr="002B26FC">
              <w:rPr>
                <w:rFonts w:eastAsia="Times New Roman"/>
                <w:szCs w:val="24"/>
                <w:lang w:eastAsia="tr-TR"/>
              </w:rPr>
              <w:t>madde</w:t>
            </w:r>
            <w:r w:rsidR="008E4036" w:rsidRPr="002B26FC">
              <w:rPr>
                <w:rStyle w:val="MaviChar"/>
                <w:bCs w:val="0"/>
              </w:rPr>
              <w:t>si</w:t>
            </w:r>
            <w:r w:rsidR="001E132C" w:rsidRPr="00A23740">
              <w:rPr>
                <w:rFonts w:eastAsia="Times New Roman"/>
                <w:color w:val="70AD47"/>
                <w:szCs w:val="24"/>
                <w:lang w:eastAsia="tr-TR"/>
              </w:rPr>
              <w:t xml:space="preserve"> </w:t>
            </w:r>
            <w:r w:rsidR="001E132C" w:rsidRPr="00A23740">
              <w:rPr>
                <w:rFonts w:eastAsia="Times New Roman"/>
                <w:szCs w:val="24"/>
                <w:lang w:eastAsia="tr-TR"/>
              </w:rPr>
              <w:t>uygulanır.</w:t>
            </w:r>
          </w:p>
          <w:p w:rsidR="008612D9" w:rsidRPr="00A23740" w:rsidRDefault="008612D9" w:rsidP="009431FF">
            <w:pPr>
              <w:tabs>
                <w:tab w:val="left" w:pos="567"/>
              </w:tabs>
              <w:rPr>
                <w:rStyle w:val="MaviChar"/>
              </w:rPr>
            </w:pPr>
          </w:p>
          <w:p w:rsidR="008612D9" w:rsidRPr="00A23740" w:rsidRDefault="00253853" w:rsidP="009431FF">
            <w:pPr>
              <w:tabs>
                <w:tab w:val="left" w:pos="567"/>
              </w:tabs>
              <w:rPr>
                <w:rFonts w:eastAsia="Times New Roman"/>
                <w:szCs w:val="24"/>
                <w:lang w:eastAsia="tr-TR"/>
              </w:rPr>
            </w:pPr>
            <w:r w:rsidRPr="00A23740">
              <w:rPr>
                <w:rStyle w:val="MaviChar"/>
                <w:lang w:val="tr-TR"/>
              </w:rPr>
              <w:t xml:space="preserve">(3) </w:t>
            </w:r>
            <w:r w:rsidR="008612D9" w:rsidRPr="00A23740">
              <w:rPr>
                <w:rStyle w:val="MaviChar"/>
                <w:lang w:val="tr-TR"/>
              </w:rPr>
              <w:t>İ</w:t>
            </w:r>
            <w:r w:rsidR="008612D9" w:rsidRPr="00A23740">
              <w:rPr>
                <w:rStyle w:val="MaviChar"/>
              </w:rPr>
              <w:t>cra ceza mahkemesi h</w:t>
            </w:r>
            <w:r w:rsidR="0061557B" w:rsidRPr="00A23740">
              <w:rPr>
                <w:rStyle w:val="MaviChar"/>
                <w:lang w:val="tr-TR"/>
              </w:rPr>
              <w:t>â</w:t>
            </w:r>
            <w:r w:rsidR="008612D9" w:rsidRPr="00A23740">
              <w:rPr>
                <w:rStyle w:val="MaviChar"/>
              </w:rPr>
              <w:t>kiminin davaya bakamaması ve reddi hakkında, Ceza Muhakemesi Kanununun</w:t>
            </w:r>
            <w:r w:rsidRPr="00A23740">
              <w:rPr>
                <w:rStyle w:val="MaviChar"/>
                <w:lang w:val="tr-TR"/>
              </w:rPr>
              <w:t xml:space="preserve"> asliye ceza mahkemesi h</w:t>
            </w:r>
            <w:r w:rsidR="0061557B" w:rsidRPr="00A23740">
              <w:rPr>
                <w:rStyle w:val="MaviChar"/>
                <w:lang w:val="tr-TR"/>
              </w:rPr>
              <w:t>â</w:t>
            </w:r>
            <w:r w:rsidRPr="00A23740">
              <w:rPr>
                <w:rStyle w:val="MaviChar"/>
                <w:lang w:val="tr-TR"/>
              </w:rPr>
              <w:t>kimine ilişkin</w:t>
            </w:r>
            <w:r w:rsidR="008612D9" w:rsidRPr="00A23740">
              <w:rPr>
                <w:rStyle w:val="MaviChar"/>
              </w:rPr>
              <w:t xml:space="preserve"> hükümleri uygulanır.</w:t>
            </w:r>
          </w:p>
          <w:p w:rsidR="005D18A1" w:rsidRPr="00A23740" w:rsidRDefault="005D18A1" w:rsidP="009431FF">
            <w:pPr>
              <w:pStyle w:val="Mavi"/>
              <w:rPr>
                <w:rFonts w:eastAsia="Times New Roman"/>
                <w:b w:val="0"/>
                <w:bCs w:val="0"/>
                <w:lang w:eastAsia="tr-TR"/>
              </w:rPr>
            </w:pPr>
          </w:p>
        </w:tc>
      </w:tr>
      <w:tr w:rsidR="00155AF4" w:rsidRPr="00A23740" w:rsidTr="009431FF">
        <w:tc>
          <w:tcPr>
            <w:tcW w:w="5000" w:type="pct"/>
            <w:gridSpan w:val="2"/>
            <w:shd w:val="clear" w:color="auto" w:fill="DEEAF6"/>
          </w:tcPr>
          <w:p w:rsidR="00AB2B3B" w:rsidRPr="00A23740" w:rsidRDefault="00AB2B3B" w:rsidP="009431FF">
            <w:pPr>
              <w:pStyle w:val="Mavi"/>
              <w:ind w:firstLine="709"/>
              <w:rPr>
                <w:color w:val="auto"/>
                <w:lang w:val="tr-TR"/>
              </w:rPr>
            </w:pPr>
          </w:p>
          <w:p w:rsidR="00B3425D" w:rsidRPr="00A23740" w:rsidRDefault="00D42F78" w:rsidP="009431FF">
            <w:pPr>
              <w:pStyle w:val="Mavi"/>
              <w:ind w:firstLine="709"/>
              <w:rPr>
                <w:color w:val="auto"/>
                <w:lang w:val="tr-TR"/>
              </w:rPr>
            </w:pPr>
            <w:r w:rsidRPr="00A23740">
              <w:rPr>
                <w:color w:val="auto"/>
                <w:lang w:val="tr-TR"/>
              </w:rPr>
              <w:t>MADDE 20</w:t>
            </w:r>
            <w:r w:rsidR="00155AF4" w:rsidRPr="00A23740">
              <w:rPr>
                <w:color w:val="auto"/>
                <w:lang w:val="tr-TR"/>
              </w:rPr>
              <w:t xml:space="preserve">- </w:t>
            </w:r>
            <w:r w:rsidR="00B3425D" w:rsidRPr="00A23740">
              <w:rPr>
                <w:b w:val="0"/>
                <w:bCs w:val="0"/>
                <w:color w:val="auto"/>
                <w:lang w:val="tr-TR"/>
              </w:rPr>
              <w:t>Maddeyle, h</w:t>
            </w:r>
            <w:r w:rsidR="0061557B" w:rsidRPr="00A23740">
              <w:rPr>
                <w:b w:val="0"/>
                <w:bCs w:val="0"/>
                <w:color w:val="auto"/>
                <w:lang w:val="tr-TR"/>
              </w:rPr>
              <w:t>â</w:t>
            </w:r>
            <w:r w:rsidR="00B3425D" w:rsidRPr="00A23740">
              <w:rPr>
                <w:b w:val="0"/>
                <w:bCs w:val="0"/>
                <w:color w:val="auto"/>
                <w:lang w:val="tr-TR"/>
              </w:rPr>
              <w:t>kimin yasaklılığı ve reddine ilişkin hususlar düzenlenmektedir.</w:t>
            </w:r>
            <w:r w:rsidR="00A156B2" w:rsidRPr="00A23740">
              <w:rPr>
                <w:b w:val="0"/>
                <w:bCs w:val="0"/>
                <w:color w:val="auto"/>
                <w:lang w:val="tr-TR"/>
              </w:rPr>
              <w:t xml:space="preserve"> Bu maddenin ikinci ve üçüncü fıkraları, 2004 sayılı Kanunun 10/a maddesine karşılık gelmektedir. </w:t>
            </w:r>
          </w:p>
          <w:p w:rsidR="00A156B2" w:rsidRPr="00A23740" w:rsidRDefault="00D46062" w:rsidP="009431FF">
            <w:pPr>
              <w:pStyle w:val="Mavi"/>
              <w:ind w:firstLine="709"/>
              <w:rPr>
                <w:color w:val="auto"/>
              </w:rPr>
            </w:pPr>
            <w:r w:rsidRPr="00A23740">
              <w:rPr>
                <w:b w:val="0"/>
                <w:bCs w:val="0"/>
                <w:color w:val="auto"/>
                <w:lang w:val="tr-TR"/>
              </w:rPr>
              <w:t>Birinci fıkra</w:t>
            </w:r>
            <w:r w:rsidR="00E814F3" w:rsidRPr="00A23740">
              <w:rPr>
                <w:b w:val="0"/>
                <w:bCs w:val="0"/>
                <w:color w:val="auto"/>
                <w:lang w:val="tr-TR"/>
              </w:rPr>
              <w:t>da</w:t>
            </w:r>
            <w:r w:rsidRPr="00A23740">
              <w:rPr>
                <w:b w:val="0"/>
                <w:bCs w:val="0"/>
                <w:color w:val="auto"/>
                <w:lang w:val="tr-TR"/>
              </w:rPr>
              <w:t>,</w:t>
            </w:r>
            <w:r w:rsidR="00903188" w:rsidRPr="00A23740">
              <w:rPr>
                <w:b w:val="0"/>
                <w:bCs w:val="0"/>
                <w:color w:val="auto"/>
                <w:lang w:val="tr-TR"/>
              </w:rPr>
              <w:t xml:space="preserve"> </w:t>
            </w:r>
            <w:r w:rsidR="002E3318" w:rsidRPr="00A23740">
              <w:rPr>
                <w:b w:val="0"/>
                <w:bCs w:val="0"/>
                <w:color w:val="auto"/>
                <w:lang w:val="tr-TR"/>
              </w:rPr>
              <w:t>icra hukuk ile iflas mahkemesi h</w:t>
            </w:r>
            <w:r w:rsidR="00407C95" w:rsidRPr="00A23740">
              <w:rPr>
                <w:b w:val="0"/>
                <w:color w:val="auto"/>
                <w:lang w:val="tr-TR"/>
              </w:rPr>
              <w:t>â</w:t>
            </w:r>
            <w:r w:rsidR="002E3318" w:rsidRPr="00A23740">
              <w:rPr>
                <w:b w:val="0"/>
                <w:bCs w:val="0"/>
                <w:color w:val="auto"/>
                <w:lang w:val="tr-TR"/>
              </w:rPr>
              <w:t xml:space="preserve">kimlerinin </w:t>
            </w:r>
            <w:r w:rsidR="00903188" w:rsidRPr="00A23740">
              <w:rPr>
                <w:b w:val="0"/>
                <w:bCs w:val="0"/>
                <w:color w:val="auto"/>
                <w:lang w:val="tr-TR"/>
              </w:rPr>
              <w:t>yasaklı</w:t>
            </w:r>
            <w:r w:rsidR="00A156B2" w:rsidRPr="00A23740">
              <w:rPr>
                <w:b w:val="0"/>
                <w:bCs w:val="0"/>
                <w:color w:val="auto"/>
                <w:lang w:val="tr-TR"/>
              </w:rPr>
              <w:t>lığı</w:t>
            </w:r>
            <w:r w:rsidR="002E3318" w:rsidRPr="00A23740">
              <w:rPr>
                <w:b w:val="0"/>
                <w:bCs w:val="0"/>
                <w:color w:val="auto"/>
                <w:lang w:val="tr-TR"/>
              </w:rPr>
              <w:t xml:space="preserve"> ve reddi hakkında </w:t>
            </w:r>
            <w:r w:rsidR="00DB332D" w:rsidRPr="002B26FC">
              <w:rPr>
                <w:b w:val="0"/>
                <w:bCs w:val="0"/>
                <w:color w:val="auto"/>
                <w:lang w:val="tr-TR"/>
              </w:rPr>
              <w:t>6100 sayılı Kanunun</w:t>
            </w:r>
            <w:r w:rsidR="0067417F" w:rsidRPr="00A23740">
              <w:rPr>
                <w:b w:val="0"/>
                <w:bCs w:val="0"/>
                <w:color w:val="auto"/>
                <w:lang w:val="tr-TR"/>
              </w:rPr>
              <w:t xml:space="preserve"> ilgili hükümleri</w:t>
            </w:r>
            <w:r w:rsidR="00E814F3" w:rsidRPr="00A23740">
              <w:rPr>
                <w:b w:val="0"/>
                <w:bCs w:val="0"/>
                <w:color w:val="auto"/>
                <w:lang w:val="tr-TR"/>
              </w:rPr>
              <w:t>nin uygulanacağı açıklığa kavuşturulmaktadır</w:t>
            </w:r>
            <w:r w:rsidR="0067417F" w:rsidRPr="00A23740">
              <w:rPr>
                <w:b w:val="0"/>
                <w:bCs w:val="0"/>
                <w:color w:val="auto"/>
                <w:lang w:val="tr-TR"/>
              </w:rPr>
              <w:t xml:space="preserve">. </w:t>
            </w:r>
            <w:r w:rsidR="00A156B2" w:rsidRPr="00A23740">
              <w:rPr>
                <w:b w:val="0"/>
                <w:bCs w:val="0"/>
                <w:color w:val="auto"/>
                <w:lang w:val="tr-TR"/>
              </w:rPr>
              <w:t>Yargılama faaliyeti yürüten ancak kimi h</w:t>
            </w:r>
            <w:r w:rsidR="0061557B" w:rsidRPr="00A23740">
              <w:rPr>
                <w:b w:val="0"/>
                <w:bCs w:val="0"/>
                <w:color w:val="auto"/>
                <w:lang w:val="tr-TR"/>
              </w:rPr>
              <w:t>â</w:t>
            </w:r>
            <w:r w:rsidR="00A156B2" w:rsidRPr="00A23740">
              <w:rPr>
                <w:b w:val="0"/>
                <w:bCs w:val="0"/>
                <w:color w:val="auto"/>
                <w:lang w:val="tr-TR"/>
              </w:rPr>
              <w:t xml:space="preserve">llerde icra hukukuna özgü </w:t>
            </w:r>
            <w:r w:rsidR="00E814F3" w:rsidRPr="00A23740">
              <w:rPr>
                <w:b w:val="0"/>
                <w:bCs w:val="0"/>
                <w:color w:val="auto"/>
                <w:lang w:val="tr-TR"/>
              </w:rPr>
              <w:t xml:space="preserve">olup </w:t>
            </w:r>
            <w:r w:rsidR="00A156B2" w:rsidRPr="00A23740">
              <w:rPr>
                <w:b w:val="0"/>
                <w:bCs w:val="0"/>
                <w:color w:val="auto"/>
                <w:lang w:val="tr-TR"/>
              </w:rPr>
              <w:t xml:space="preserve">dava </w:t>
            </w:r>
            <w:r w:rsidR="00E814F3" w:rsidRPr="00A23740">
              <w:rPr>
                <w:b w:val="0"/>
                <w:bCs w:val="0"/>
                <w:color w:val="auto"/>
                <w:lang w:val="tr-TR"/>
              </w:rPr>
              <w:t xml:space="preserve">niteliğinde </w:t>
            </w:r>
            <w:r w:rsidR="00A156B2" w:rsidRPr="00A23740">
              <w:rPr>
                <w:b w:val="0"/>
                <w:bCs w:val="0"/>
                <w:color w:val="auto"/>
                <w:lang w:val="tr-TR"/>
              </w:rPr>
              <w:t>olmayan bazı konularda karar veren icra mahkemesi hâkimlerinin de tarafsızlığının sağlanması esastır. Bu nedenle fıkrada özel görevl</w:t>
            </w:r>
            <w:r w:rsidR="002E3318" w:rsidRPr="00A23740">
              <w:rPr>
                <w:b w:val="0"/>
                <w:bCs w:val="0"/>
                <w:color w:val="auto"/>
                <w:lang w:val="tr-TR"/>
              </w:rPr>
              <w:t xml:space="preserve">i birer mahkeme olan icra hukuk </w:t>
            </w:r>
            <w:r w:rsidR="00E814F3" w:rsidRPr="00A23740">
              <w:rPr>
                <w:b w:val="0"/>
                <w:bCs w:val="0"/>
                <w:color w:val="auto"/>
                <w:lang w:val="tr-TR"/>
              </w:rPr>
              <w:t xml:space="preserve">mahkemesi </w:t>
            </w:r>
            <w:r w:rsidR="002E3318" w:rsidRPr="00A23740">
              <w:rPr>
                <w:b w:val="0"/>
                <w:bCs w:val="0"/>
                <w:color w:val="auto"/>
                <w:lang w:val="tr-TR"/>
              </w:rPr>
              <w:t>ve</w:t>
            </w:r>
            <w:r w:rsidR="00A156B2" w:rsidRPr="00A23740">
              <w:rPr>
                <w:b w:val="0"/>
                <w:bCs w:val="0"/>
                <w:color w:val="auto"/>
                <w:lang w:val="tr-TR"/>
              </w:rPr>
              <w:t xml:space="preserve"> ifl</w:t>
            </w:r>
            <w:r w:rsidR="00656C77" w:rsidRPr="00A23740">
              <w:rPr>
                <w:b w:val="0"/>
                <w:bCs w:val="0"/>
                <w:color w:val="auto"/>
                <w:lang w:val="tr-TR"/>
              </w:rPr>
              <w:t>a</w:t>
            </w:r>
            <w:r w:rsidR="00A156B2" w:rsidRPr="00A23740">
              <w:rPr>
                <w:b w:val="0"/>
                <w:bCs w:val="0"/>
                <w:color w:val="auto"/>
                <w:lang w:val="tr-TR"/>
              </w:rPr>
              <w:t>s mahkemesi hâkimlerinin yasaklılığı</w:t>
            </w:r>
            <w:r w:rsidR="002E3318" w:rsidRPr="00A23740">
              <w:rPr>
                <w:b w:val="0"/>
                <w:bCs w:val="0"/>
                <w:color w:val="auto"/>
                <w:lang w:val="tr-TR"/>
              </w:rPr>
              <w:t xml:space="preserve"> ve reddi</w:t>
            </w:r>
            <w:r w:rsidR="00A156B2" w:rsidRPr="00A23740">
              <w:rPr>
                <w:b w:val="0"/>
                <w:bCs w:val="0"/>
                <w:color w:val="auto"/>
                <w:lang w:val="tr-TR"/>
              </w:rPr>
              <w:t xml:space="preserve"> düzenlenmektedir. </w:t>
            </w:r>
            <w:r w:rsidR="0061557B" w:rsidRPr="002B26FC">
              <w:rPr>
                <w:b w:val="0"/>
                <w:bCs w:val="0"/>
                <w:color w:val="auto"/>
                <w:lang w:val="tr-TR"/>
              </w:rPr>
              <w:t>2004 sayılı</w:t>
            </w:r>
            <w:r w:rsidR="0061557B" w:rsidRPr="00A23740">
              <w:rPr>
                <w:b w:val="0"/>
                <w:bCs w:val="0"/>
                <w:color w:val="auto"/>
                <w:lang w:val="tr-TR"/>
              </w:rPr>
              <w:t xml:space="preserve"> </w:t>
            </w:r>
            <w:r w:rsidR="00A156B2" w:rsidRPr="00A23740">
              <w:rPr>
                <w:b w:val="0"/>
                <w:bCs w:val="0"/>
                <w:color w:val="auto"/>
                <w:lang w:val="tr-TR"/>
              </w:rPr>
              <w:t xml:space="preserve">Kanunda icra mahkemesi hâkimleri için yalnızca “hâkimin reddi”ne atıf yapılmış olmakla birlikte, </w:t>
            </w:r>
            <w:r w:rsidR="00E814F3" w:rsidRPr="00A23740">
              <w:rPr>
                <w:b w:val="0"/>
                <w:bCs w:val="0"/>
                <w:color w:val="auto"/>
                <w:lang w:val="tr-TR"/>
              </w:rPr>
              <w:t xml:space="preserve"> öğretide </w:t>
            </w:r>
            <w:r w:rsidR="00A156B2" w:rsidRPr="00A23740">
              <w:rPr>
                <w:b w:val="0"/>
                <w:bCs w:val="0"/>
                <w:color w:val="auto"/>
                <w:lang w:val="tr-TR"/>
              </w:rPr>
              <w:t>de hâkimin yasaklılığı hükümlerinin evleviyetle geçerli olduğu kabul edilmekte idi. Zira hâkimin yasaklılığı ile ilgili düzenlemeler ilk planda hâkime yönelik olup, taraflarca ileri sürülmese bile dikkate alınması gereken, hâkimin tarafsızlığını doğrudan ilgilendiren hükümlerdir. Fıkrada yasaklılık hükümlerine de atıf yapılmak suretiyle açık bir düzenleme yapılmaktadı</w:t>
            </w:r>
            <w:r w:rsidR="002F7074" w:rsidRPr="00A23740">
              <w:rPr>
                <w:b w:val="0"/>
                <w:bCs w:val="0"/>
                <w:color w:val="auto"/>
                <w:lang w:val="tr-TR"/>
              </w:rPr>
              <w:t>r.</w:t>
            </w:r>
            <w:r w:rsidR="002E3318" w:rsidRPr="00A23740">
              <w:rPr>
                <w:b w:val="0"/>
                <w:bCs w:val="0"/>
                <w:color w:val="auto"/>
                <w:lang w:val="tr-TR"/>
              </w:rPr>
              <w:t xml:space="preserve"> </w:t>
            </w:r>
            <w:r w:rsidR="002E3318" w:rsidRPr="00A23740">
              <w:rPr>
                <w:rFonts w:eastAsia="Times New Roman"/>
                <w:b w:val="0"/>
                <w:bCs w:val="0"/>
                <w:color w:val="auto"/>
                <w:lang w:eastAsia="tr-TR"/>
              </w:rPr>
              <w:t xml:space="preserve">Öte yandan, 2004 sayılı Kanunun 10/a maddesinin birinci fıkrasının ikinci cümlesinde yer alan </w:t>
            </w:r>
            <w:r w:rsidR="00E814F3" w:rsidRPr="00A23740">
              <w:rPr>
                <w:rFonts w:eastAsia="Times New Roman"/>
                <w:b w:val="0"/>
                <w:bCs w:val="0"/>
                <w:color w:val="auto"/>
                <w:lang w:val="tr-TR" w:eastAsia="tr-TR"/>
              </w:rPr>
              <w:t xml:space="preserve">ve </w:t>
            </w:r>
            <w:r w:rsidR="002E3318" w:rsidRPr="00A23740">
              <w:rPr>
                <w:rFonts w:eastAsia="Times New Roman"/>
                <w:b w:val="0"/>
                <w:bCs w:val="0"/>
                <w:color w:val="auto"/>
                <w:lang w:eastAsia="tr-TR"/>
              </w:rPr>
              <w:t>ret talebinde bulunanın, dilekçesinde</w:t>
            </w:r>
            <w:r w:rsidR="00E814F3" w:rsidRPr="00A23740">
              <w:rPr>
                <w:rFonts w:eastAsia="Times New Roman"/>
                <w:b w:val="0"/>
                <w:bCs w:val="0"/>
                <w:color w:val="auto"/>
                <w:lang w:val="tr-TR" w:eastAsia="tr-TR"/>
              </w:rPr>
              <w:t>,</w:t>
            </w:r>
            <w:r w:rsidR="002E3318" w:rsidRPr="00A23740">
              <w:rPr>
                <w:rFonts w:eastAsia="Times New Roman"/>
                <w:b w:val="0"/>
                <w:bCs w:val="0"/>
                <w:color w:val="auto"/>
                <w:lang w:eastAsia="tr-TR"/>
              </w:rPr>
              <w:t xml:space="preserve"> ret sebeplerini delilleri ile birlikte bildirmek zorunda olacağına ilişkin </w:t>
            </w:r>
            <w:r w:rsidR="00E814F3" w:rsidRPr="00A23740">
              <w:rPr>
                <w:rFonts w:eastAsia="Times New Roman"/>
                <w:b w:val="0"/>
                <w:bCs w:val="0"/>
                <w:color w:val="auto"/>
                <w:lang w:val="tr-TR" w:eastAsia="tr-TR"/>
              </w:rPr>
              <w:t xml:space="preserve">olan </w:t>
            </w:r>
            <w:r w:rsidR="002E3318" w:rsidRPr="00A23740">
              <w:rPr>
                <w:rFonts w:eastAsia="Times New Roman"/>
                <w:b w:val="0"/>
                <w:bCs w:val="0"/>
                <w:color w:val="auto"/>
                <w:lang w:eastAsia="tr-TR"/>
              </w:rPr>
              <w:t>hüküm</w:t>
            </w:r>
            <w:r w:rsidR="002E3318" w:rsidRPr="00A23740">
              <w:rPr>
                <w:rFonts w:eastAsia="Times New Roman"/>
                <w:b w:val="0"/>
                <w:bCs w:val="0"/>
                <w:color w:val="auto"/>
                <w:lang w:val="tr-TR" w:eastAsia="tr-TR"/>
              </w:rPr>
              <w:t>,</w:t>
            </w:r>
            <w:r w:rsidR="002E3318" w:rsidRPr="00A23740">
              <w:rPr>
                <w:rFonts w:eastAsia="Times New Roman"/>
                <w:b w:val="0"/>
                <w:bCs w:val="0"/>
                <w:color w:val="auto"/>
                <w:lang w:eastAsia="tr-TR"/>
              </w:rPr>
              <w:t xml:space="preserve"> anılan usul </w:t>
            </w:r>
            <w:r w:rsidR="00E814F3" w:rsidRPr="00A23740">
              <w:rPr>
                <w:rFonts w:eastAsia="Times New Roman"/>
                <w:b w:val="0"/>
                <w:bCs w:val="0"/>
                <w:color w:val="auto"/>
                <w:lang w:val="tr-TR" w:eastAsia="tr-TR"/>
              </w:rPr>
              <w:t xml:space="preserve">kurallarıyla </w:t>
            </w:r>
            <w:r w:rsidR="002E3318" w:rsidRPr="00A23740">
              <w:rPr>
                <w:rFonts w:eastAsia="Times New Roman"/>
                <w:b w:val="0"/>
                <w:bCs w:val="0"/>
                <w:color w:val="auto"/>
                <w:lang w:eastAsia="tr-TR"/>
              </w:rPr>
              <w:t xml:space="preserve">ayrıntılı olarak düzenlendiğinden fıkrada </w:t>
            </w:r>
            <w:r w:rsidR="002E3318" w:rsidRPr="00A23740">
              <w:rPr>
                <w:rFonts w:eastAsia="Times New Roman"/>
                <w:b w:val="0"/>
                <w:bCs w:val="0"/>
                <w:color w:val="auto"/>
                <w:lang w:val="tr-TR" w:eastAsia="tr-TR"/>
              </w:rPr>
              <w:t>bu hükme yer</w:t>
            </w:r>
            <w:r w:rsidR="00E814F3" w:rsidRPr="00A23740">
              <w:rPr>
                <w:rFonts w:eastAsia="Times New Roman"/>
                <w:b w:val="0"/>
                <w:bCs w:val="0"/>
                <w:color w:val="auto"/>
                <w:lang w:val="tr-TR" w:eastAsia="tr-TR"/>
              </w:rPr>
              <w:t xml:space="preserve"> verilmemiştir</w:t>
            </w:r>
            <w:r w:rsidR="002E3318" w:rsidRPr="00A23740">
              <w:rPr>
                <w:rFonts w:eastAsia="Times New Roman"/>
                <w:b w:val="0"/>
                <w:bCs w:val="0"/>
                <w:color w:val="auto"/>
                <w:lang w:eastAsia="tr-TR"/>
              </w:rPr>
              <w:t>.</w:t>
            </w:r>
            <w:r w:rsidR="002E3318" w:rsidRPr="00A23740">
              <w:rPr>
                <w:rFonts w:eastAsia="Times New Roman"/>
                <w:color w:val="auto"/>
                <w:lang w:val="tr-TR" w:eastAsia="tr-TR"/>
              </w:rPr>
              <w:t xml:space="preserve"> </w:t>
            </w:r>
            <w:r w:rsidR="002E3318" w:rsidRPr="00A23740">
              <w:rPr>
                <w:b w:val="0"/>
                <w:bCs w:val="0"/>
                <w:color w:val="auto"/>
                <w:lang w:val="tr-TR"/>
              </w:rPr>
              <w:t>Bu hüküm, 2004 sayılı Kanunun 10/a maddesinin birinci fıkrasına karşılık gelmektedir.</w:t>
            </w:r>
          </w:p>
          <w:p w:rsidR="002B19BB" w:rsidRPr="00A23740" w:rsidRDefault="00BA490A" w:rsidP="009431FF">
            <w:pPr>
              <w:pStyle w:val="Mavi"/>
              <w:ind w:firstLine="709"/>
              <w:rPr>
                <w:rFonts w:eastAsia="Times New Roman"/>
                <w:b w:val="0"/>
                <w:bCs w:val="0"/>
                <w:color w:val="auto"/>
                <w:lang w:eastAsia="tr-TR"/>
              </w:rPr>
            </w:pPr>
            <w:r w:rsidRPr="00A23740">
              <w:rPr>
                <w:rFonts w:eastAsia="Times New Roman"/>
                <w:b w:val="0"/>
                <w:bCs w:val="0"/>
                <w:color w:val="auto"/>
                <w:lang w:eastAsia="tr-TR"/>
              </w:rPr>
              <w:t xml:space="preserve">İkinci fıkrayla, </w:t>
            </w:r>
            <w:r w:rsidR="002B19BB" w:rsidRPr="00A23740">
              <w:rPr>
                <w:rFonts w:eastAsia="Times New Roman"/>
                <w:b w:val="0"/>
                <w:bCs w:val="0"/>
                <w:color w:val="auto"/>
                <w:lang w:val="tr-TR" w:eastAsia="tr-TR"/>
              </w:rPr>
              <w:t>ret talebinin reddi hakkındaki karara karşı istinaf kanun yoluna başvurulması h</w:t>
            </w:r>
            <w:r w:rsidR="0061557B" w:rsidRPr="00A23740">
              <w:rPr>
                <w:rFonts w:eastAsia="Times New Roman"/>
                <w:b w:val="0"/>
                <w:bCs w:val="0"/>
                <w:color w:val="auto"/>
                <w:lang w:val="tr-TR" w:eastAsia="tr-TR"/>
              </w:rPr>
              <w:t>â</w:t>
            </w:r>
            <w:r w:rsidR="002B19BB" w:rsidRPr="00A23740">
              <w:rPr>
                <w:rFonts w:eastAsia="Times New Roman"/>
                <w:b w:val="0"/>
                <w:bCs w:val="0"/>
                <w:color w:val="auto"/>
                <w:lang w:val="tr-TR" w:eastAsia="tr-TR"/>
              </w:rPr>
              <w:t>linde uygulanacak usul belirlenmektedir. Hükme göre, ret talebinin reddi hakkındaki karara karşı istinaf yoluna başvurulması h</w:t>
            </w:r>
            <w:r w:rsidR="0061557B" w:rsidRPr="00A23740">
              <w:rPr>
                <w:rFonts w:eastAsia="Times New Roman"/>
                <w:b w:val="0"/>
                <w:bCs w:val="0"/>
                <w:color w:val="auto"/>
                <w:lang w:val="tr-TR" w:eastAsia="tr-TR"/>
              </w:rPr>
              <w:t>â</w:t>
            </w:r>
            <w:r w:rsidR="002B19BB" w:rsidRPr="00A23740">
              <w:rPr>
                <w:rFonts w:eastAsia="Times New Roman"/>
                <w:b w:val="0"/>
                <w:bCs w:val="0"/>
                <w:color w:val="auto"/>
                <w:lang w:val="tr-TR" w:eastAsia="tr-TR"/>
              </w:rPr>
              <w:t xml:space="preserve">li, reddi talep olunan hâkimin o işe bakıp karar vermesine engel olmayacaktır. Ancak ret talebinin reddi </w:t>
            </w:r>
            <w:r w:rsidR="002B19BB" w:rsidRPr="00A23740">
              <w:rPr>
                <w:rFonts w:eastAsia="Times New Roman"/>
                <w:b w:val="0"/>
                <w:bCs w:val="0"/>
                <w:color w:val="auto"/>
                <w:lang w:eastAsia="tr-TR"/>
              </w:rPr>
              <w:t>hakkındaki kararın kaldırılması hâlinde</w:t>
            </w:r>
            <w:r w:rsidR="00E814F3" w:rsidRPr="00A23740">
              <w:rPr>
                <w:rFonts w:eastAsia="Times New Roman"/>
                <w:b w:val="0"/>
                <w:bCs w:val="0"/>
                <w:color w:val="auto"/>
                <w:lang w:val="tr-TR" w:eastAsia="tr-TR"/>
              </w:rPr>
              <w:t>,</w:t>
            </w:r>
            <w:r w:rsidR="002B19BB" w:rsidRPr="00A23740">
              <w:rPr>
                <w:rFonts w:eastAsia="Times New Roman"/>
                <w:b w:val="0"/>
                <w:bCs w:val="0"/>
                <w:color w:val="auto"/>
                <w:lang w:eastAsia="tr-TR"/>
              </w:rPr>
              <w:t xml:space="preserve"> reddedilen hâkimin verdiği karar yerine getirilmeyecektir. Bu h</w:t>
            </w:r>
            <w:r w:rsidR="0061557B" w:rsidRPr="00A23740">
              <w:rPr>
                <w:rFonts w:eastAsia="Times New Roman"/>
                <w:b w:val="0"/>
                <w:bCs w:val="0"/>
                <w:color w:val="auto"/>
                <w:lang w:val="tr-TR" w:eastAsia="tr-TR"/>
              </w:rPr>
              <w:t>â</w:t>
            </w:r>
            <w:r w:rsidR="002B19BB" w:rsidRPr="00A23740">
              <w:rPr>
                <w:rFonts w:eastAsia="Times New Roman"/>
                <w:b w:val="0"/>
                <w:bCs w:val="0"/>
                <w:color w:val="auto"/>
                <w:lang w:eastAsia="tr-TR"/>
              </w:rPr>
              <w:t>lde dosya, bölge adliye mahkemesince icra hukuk mahkemesi</w:t>
            </w:r>
            <w:r w:rsidR="00E814F3" w:rsidRPr="00A23740">
              <w:rPr>
                <w:rFonts w:eastAsia="Times New Roman"/>
                <w:b w:val="0"/>
                <w:bCs w:val="0"/>
                <w:color w:val="auto"/>
                <w:lang w:val="tr-TR" w:eastAsia="tr-TR"/>
              </w:rPr>
              <w:t>nin</w:t>
            </w:r>
            <w:r w:rsidR="002B19BB" w:rsidRPr="00A23740">
              <w:rPr>
                <w:rFonts w:eastAsia="Times New Roman"/>
                <w:b w:val="0"/>
                <w:bCs w:val="0"/>
                <w:color w:val="auto"/>
                <w:lang w:eastAsia="tr-TR"/>
              </w:rPr>
              <w:t xml:space="preserve"> veya iflas mahkemesinin başka bir dairesine, o yerde icra hukuk mahkemesinin veya iflas mahkemesinin başka bir dairesi yoksa en yakın icra hukuk mahkemesi veya iflas mahkemesine gönderilecektir. Bu ihtimal</w:t>
            </w:r>
            <w:r w:rsidR="00C0696B" w:rsidRPr="00A23740">
              <w:rPr>
                <w:rFonts w:eastAsia="Times New Roman"/>
                <w:b w:val="0"/>
                <w:bCs w:val="0"/>
                <w:color w:val="auto"/>
                <w:lang w:eastAsia="tr-TR"/>
              </w:rPr>
              <w:t>de</w:t>
            </w:r>
            <w:r w:rsidR="002B19BB" w:rsidRPr="00A23740">
              <w:rPr>
                <w:rFonts w:eastAsia="Times New Roman"/>
                <w:b w:val="0"/>
                <w:bCs w:val="0"/>
                <w:color w:val="auto"/>
                <w:lang w:eastAsia="tr-TR"/>
              </w:rPr>
              <w:t xml:space="preserve">, </w:t>
            </w:r>
            <w:r w:rsidR="0061557B" w:rsidRPr="002B26FC">
              <w:rPr>
                <w:b w:val="0"/>
                <w:bCs w:val="0"/>
                <w:color w:val="auto"/>
                <w:lang w:val="tr-TR"/>
              </w:rPr>
              <w:t xml:space="preserve">Taslağın </w:t>
            </w:r>
            <w:r w:rsidR="00F67C7F" w:rsidRPr="002B26FC">
              <w:rPr>
                <w:b w:val="0"/>
                <w:bCs w:val="0"/>
                <w:color w:val="auto"/>
                <w:lang w:val="tr-TR"/>
              </w:rPr>
              <w:t>icranı</w:t>
            </w:r>
            <w:r w:rsidR="002B19BB" w:rsidRPr="002B26FC">
              <w:rPr>
                <w:b w:val="0"/>
                <w:bCs w:val="0"/>
                <w:color w:val="auto"/>
                <w:lang w:val="tr-TR"/>
              </w:rPr>
              <w:t xml:space="preserve">n </w:t>
            </w:r>
            <w:r w:rsidR="0061557B" w:rsidRPr="002B26FC">
              <w:rPr>
                <w:b w:val="0"/>
                <w:bCs w:val="0"/>
                <w:color w:val="auto"/>
                <w:lang w:val="tr-TR"/>
              </w:rPr>
              <w:t xml:space="preserve">durması </w:t>
            </w:r>
            <w:r w:rsidR="0061557B" w:rsidRPr="00932BCF">
              <w:rPr>
                <w:b w:val="0"/>
                <w:color w:val="auto"/>
                <w:lang w:val="tr-TR"/>
              </w:rPr>
              <w:t>ve</w:t>
            </w:r>
            <w:r w:rsidR="0061557B" w:rsidRPr="002B26FC">
              <w:rPr>
                <w:b w:val="0"/>
                <w:bCs w:val="0"/>
                <w:color w:val="auto"/>
                <w:lang w:val="tr-TR"/>
              </w:rPr>
              <w:t xml:space="preserve"> </w:t>
            </w:r>
            <w:r w:rsidR="00C0696B" w:rsidRPr="002B26FC">
              <w:rPr>
                <w:b w:val="0"/>
                <w:bCs w:val="0"/>
                <w:color w:val="auto"/>
                <w:lang w:val="tr-TR"/>
              </w:rPr>
              <w:t>iadesine</w:t>
            </w:r>
            <w:r w:rsidR="00C0696B" w:rsidRPr="00A23740">
              <w:rPr>
                <w:rFonts w:eastAsia="Times New Roman"/>
                <w:b w:val="0"/>
                <w:bCs w:val="0"/>
                <w:color w:val="auto"/>
                <w:lang w:eastAsia="tr-TR"/>
              </w:rPr>
              <w:t xml:space="preserve"> ilişkin </w:t>
            </w:r>
            <w:r w:rsidR="002B19BB" w:rsidRPr="00A23740">
              <w:rPr>
                <w:rFonts w:eastAsia="Times New Roman"/>
                <w:b w:val="0"/>
                <w:bCs w:val="0"/>
                <w:color w:val="auto"/>
                <w:lang w:eastAsia="tr-TR"/>
              </w:rPr>
              <w:t>60 ıncı maddesi uygulanacaktır.</w:t>
            </w:r>
          </w:p>
          <w:p w:rsidR="00D46062" w:rsidRPr="00A23740" w:rsidRDefault="002E3318" w:rsidP="009431FF">
            <w:pPr>
              <w:pStyle w:val="Mavi"/>
              <w:ind w:firstLine="709"/>
              <w:rPr>
                <w:rFonts w:eastAsia="Times New Roman"/>
                <w:b w:val="0"/>
              </w:rPr>
            </w:pPr>
            <w:r w:rsidRPr="00A23740">
              <w:rPr>
                <w:b w:val="0"/>
                <w:bCs w:val="0"/>
                <w:color w:val="auto"/>
                <w:lang w:val="tr-TR"/>
              </w:rPr>
              <w:t>Üçüncü fıkrayla, bir yenilik olarak icra ceza mahkemesi h</w:t>
            </w:r>
            <w:r w:rsidR="0061557B" w:rsidRPr="00A23740">
              <w:rPr>
                <w:b w:val="0"/>
                <w:bCs w:val="0"/>
                <w:color w:val="auto"/>
                <w:lang w:val="tr-TR"/>
              </w:rPr>
              <w:t>â</w:t>
            </w:r>
            <w:r w:rsidRPr="00A23740">
              <w:rPr>
                <w:b w:val="0"/>
                <w:bCs w:val="0"/>
                <w:color w:val="auto"/>
                <w:lang w:val="tr-TR"/>
              </w:rPr>
              <w:t>kimlerinin yasaklılığı ve reddi hakkında</w:t>
            </w:r>
            <w:r w:rsidR="0099533C" w:rsidRPr="00A23740">
              <w:rPr>
                <w:b w:val="0"/>
                <w:bCs w:val="0"/>
                <w:color w:val="auto"/>
                <w:lang w:val="tr-TR"/>
              </w:rPr>
              <w:t>,</w:t>
            </w:r>
            <w:r w:rsidRPr="00A23740">
              <w:rPr>
                <w:b w:val="0"/>
                <w:bCs w:val="0"/>
                <w:color w:val="auto"/>
                <w:lang w:val="tr-TR"/>
              </w:rPr>
              <w:t xml:space="preserve"> Ceza Muhakemesi Kanununun</w:t>
            </w:r>
            <w:r w:rsidR="0099533C" w:rsidRPr="00A23740">
              <w:rPr>
                <w:b w:val="0"/>
                <w:bCs w:val="0"/>
                <w:color w:val="auto"/>
                <w:lang w:val="tr-TR"/>
              </w:rPr>
              <w:t xml:space="preserve"> asliye ceza mahkemesi h</w:t>
            </w:r>
            <w:r w:rsidR="0061557B" w:rsidRPr="00A23740">
              <w:rPr>
                <w:b w:val="0"/>
                <w:bCs w:val="0"/>
                <w:color w:val="auto"/>
                <w:lang w:val="tr-TR"/>
              </w:rPr>
              <w:t>â</w:t>
            </w:r>
            <w:r w:rsidR="0099533C" w:rsidRPr="00A23740">
              <w:rPr>
                <w:b w:val="0"/>
                <w:bCs w:val="0"/>
                <w:color w:val="auto"/>
                <w:lang w:val="tr-TR"/>
              </w:rPr>
              <w:t>kimine</w:t>
            </w:r>
            <w:r w:rsidRPr="00A23740">
              <w:rPr>
                <w:b w:val="0"/>
                <w:bCs w:val="0"/>
                <w:color w:val="auto"/>
                <w:lang w:val="tr-TR"/>
              </w:rPr>
              <w:t xml:space="preserve"> </w:t>
            </w:r>
            <w:r w:rsidR="0099533C" w:rsidRPr="00A23740">
              <w:rPr>
                <w:b w:val="0"/>
                <w:bCs w:val="0"/>
                <w:color w:val="auto"/>
                <w:lang w:val="tr-TR"/>
              </w:rPr>
              <w:t xml:space="preserve">ilişkin </w:t>
            </w:r>
            <w:r w:rsidRPr="00A23740">
              <w:rPr>
                <w:b w:val="0"/>
                <w:bCs w:val="0"/>
                <w:color w:val="auto"/>
                <w:lang w:val="tr-TR"/>
              </w:rPr>
              <w:t>hükümlerinin uygulanacağı düzenlenmektedir</w:t>
            </w:r>
            <w:r w:rsidR="0099533C" w:rsidRPr="00A23740">
              <w:rPr>
                <w:b w:val="0"/>
                <w:bCs w:val="0"/>
                <w:color w:val="auto"/>
                <w:lang w:val="tr-TR"/>
              </w:rPr>
              <w:t>.</w:t>
            </w:r>
            <w:r w:rsidR="00210B42" w:rsidRPr="00A23740">
              <w:rPr>
                <w:b w:val="0"/>
                <w:bCs w:val="0"/>
                <w:color w:val="auto"/>
                <w:lang w:val="tr-TR"/>
              </w:rPr>
              <w:t xml:space="preserve"> </w:t>
            </w:r>
            <w:r w:rsidR="00163E5A" w:rsidRPr="00A23740">
              <w:rPr>
                <w:b w:val="0"/>
                <w:bCs w:val="0"/>
                <w:color w:val="auto"/>
                <w:lang w:val="tr-TR"/>
              </w:rPr>
              <w:t>Taslakla</w:t>
            </w:r>
            <w:r w:rsidR="00210B42" w:rsidRPr="00A23740">
              <w:rPr>
                <w:b w:val="0"/>
                <w:bCs w:val="0"/>
                <w:color w:val="auto"/>
                <w:lang w:val="tr-TR"/>
              </w:rPr>
              <w:t>, icra ceza mahkemesi müstakil bir ceza mahkemesi olarak kurulduğundan, bu mahkemenin h</w:t>
            </w:r>
            <w:r w:rsidR="0061557B" w:rsidRPr="00A23740">
              <w:rPr>
                <w:b w:val="0"/>
                <w:bCs w:val="0"/>
                <w:color w:val="auto"/>
                <w:lang w:val="tr-TR"/>
              </w:rPr>
              <w:t>â</w:t>
            </w:r>
            <w:r w:rsidR="00210B42" w:rsidRPr="00A23740">
              <w:rPr>
                <w:b w:val="0"/>
                <w:bCs w:val="0"/>
                <w:color w:val="auto"/>
                <w:lang w:val="tr-TR"/>
              </w:rPr>
              <w:t>kiminin yasaklılığı ve reddi h</w:t>
            </w:r>
            <w:r w:rsidR="0061557B" w:rsidRPr="00A23740">
              <w:rPr>
                <w:b w:val="0"/>
                <w:bCs w:val="0"/>
                <w:color w:val="auto"/>
                <w:lang w:val="tr-TR"/>
              </w:rPr>
              <w:t>â</w:t>
            </w:r>
            <w:r w:rsidR="00210B42" w:rsidRPr="00A23740">
              <w:rPr>
                <w:b w:val="0"/>
                <w:bCs w:val="0"/>
                <w:color w:val="auto"/>
                <w:lang w:val="tr-TR"/>
              </w:rPr>
              <w:t>llerinde asliye ceza mahkemesi h</w:t>
            </w:r>
            <w:r w:rsidR="0061557B" w:rsidRPr="00A23740">
              <w:rPr>
                <w:b w:val="0"/>
                <w:bCs w:val="0"/>
                <w:color w:val="auto"/>
                <w:lang w:val="tr-TR"/>
              </w:rPr>
              <w:t>â</w:t>
            </w:r>
            <w:r w:rsidR="00210B42" w:rsidRPr="00A23740">
              <w:rPr>
                <w:b w:val="0"/>
                <w:bCs w:val="0"/>
                <w:color w:val="auto"/>
                <w:lang w:val="tr-TR"/>
              </w:rPr>
              <w:t>kimine ilişkin hükümlerin uygulanacağı açıkça hükme bağlanarak uygulamada oluşabilecek tereddütlerin giderilmesi</w:t>
            </w:r>
            <w:r w:rsidR="00E814F3" w:rsidRPr="00A23740">
              <w:rPr>
                <w:b w:val="0"/>
                <w:bCs w:val="0"/>
                <w:color w:val="auto"/>
                <w:lang w:val="tr-TR"/>
              </w:rPr>
              <w:t xml:space="preserve"> amaçlanmıştır</w:t>
            </w:r>
            <w:r w:rsidR="00210B42" w:rsidRPr="00A23740">
              <w:rPr>
                <w:b w:val="0"/>
                <w:bCs w:val="0"/>
                <w:color w:val="auto"/>
                <w:lang w:val="tr-TR"/>
              </w:rPr>
              <w:t>.</w:t>
            </w:r>
          </w:p>
          <w:p w:rsidR="00155AF4" w:rsidRPr="00A23740" w:rsidRDefault="00155AF4" w:rsidP="009431FF">
            <w:pPr>
              <w:ind w:firstLine="709"/>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szCs w:val="24"/>
              </w:rPr>
            </w:pPr>
            <w:r w:rsidRPr="00A23740">
              <w:rPr>
                <w:rStyle w:val="KIRMIZIChar"/>
                <w:rFonts w:eastAsia="Calibri"/>
              </w:rPr>
              <w:t xml:space="preserve">Memnu </w:t>
            </w:r>
            <w:r w:rsidRPr="00A23740">
              <w:rPr>
                <w:szCs w:val="24"/>
              </w:rPr>
              <w:t xml:space="preserve">işler </w:t>
            </w:r>
            <w:r w:rsidRPr="00A23740">
              <w:rPr>
                <w:b/>
                <w:strike/>
                <w:color w:val="FF0000"/>
                <w:szCs w:val="24"/>
              </w:rPr>
              <w:t>:</w:t>
            </w:r>
          </w:p>
          <w:p w:rsidR="00155AF4" w:rsidRPr="00A23740" w:rsidRDefault="00155AF4" w:rsidP="009431FF">
            <w:pPr>
              <w:tabs>
                <w:tab w:val="left" w:pos="567"/>
              </w:tabs>
              <w:rPr>
                <w:szCs w:val="24"/>
              </w:rPr>
            </w:pPr>
            <w:r w:rsidRPr="00A23740">
              <w:rPr>
                <w:rStyle w:val="KIRMIZIChar"/>
                <w:rFonts w:eastAsia="Calibri"/>
              </w:rPr>
              <w:t>Madde 11 –</w:t>
            </w:r>
            <w:r w:rsidRPr="00A23740">
              <w:rPr>
                <w:rStyle w:val="Balk3Char"/>
                <w:rFonts w:eastAsia="Calibri"/>
              </w:rPr>
              <w:t xml:space="preserve"> </w:t>
            </w:r>
            <w:r w:rsidRPr="00A23740">
              <w:rPr>
                <w:rStyle w:val="KIRMIZIChar"/>
                <w:rFonts w:eastAsia="Calibri"/>
              </w:rPr>
              <w:t>(1)</w:t>
            </w:r>
            <w:r w:rsidRPr="00A23740">
              <w:rPr>
                <w:rStyle w:val="Balk3Char"/>
                <w:rFonts w:eastAsia="Calibri"/>
              </w:rPr>
              <w:t xml:space="preserve"> </w:t>
            </w:r>
            <w:r w:rsidRPr="00A23740">
              <w:rPr>
                <w:rStyle w:val="KIRMIZIChar"/>
                <w:rFonts w:eastAsia="Calibri"/>
              </w:rPr>
              <w:t>Tetkik vazifesini gören</w:t>
            </w:r>
            <w:r w:rsidRPr="00A23740">
              <w:rPr>
                <w:szCs w:val="24"/>
              </w:rPr>
              <w:t xml:space="preserve"> hakimler </w:t>
            </w:r>
            <w:r w:rsidRPr="00A23740">
              <w:rPr>
                <w:rStyle w:val="KIRMIZIChar"/>
                <w:rFonts w:eastAsia="Calibri"/>
              </w:rPr>
              <w:t>ve</w:t>
            </w:r>
            <w:r w:rsidRPr="00A23740">
              <w:rPr>
                <w:rStyle w:val="Stil1Char"/>
                <w:rFonts w:eastAsia="Calibri"/>
                <w:u w:val="none"/>
              </w:rPr>
              <w:t xml:space="preserve"> </w:t>
            </w:r>
            <w:r w:rsidRPr="00A23740">
              <w:rPr>
                <w:szCs w:val="24"/>
              </w:rPr>
              <w:t xml:space="preserve">icra ve iflas </w:t>
            </w:r>
            <w:r w:rsidRPr="00A23740">
              <w:rPr>
                <w:rStyle w:val="KIRMIZIChar"/>
                <w:rFonts w:eastAsia="Calibri"/>
              </w:rPr>
              <w:t>memur ve müstahdemleri,</w:t>
            </w:r>
            <w:r w:rsidRPr="00A23740">
              <w:rPr>
                <w:szCs w:val="24"/>
              </w:rPr>
              <w:t xml:space="preserve"> dairelerin</w:t>
            </w:r>
            <w:r w:rsidRPr="00A23740">
              <w:rPr>
                <w:rStyle w:val="KIRMIZIChar"/>
                <w:rFonts w:eastAsia="Calibri"/>
              </w:rPr>
              <w:t>ce</w:t>
            </w:r>
            <w:r w:rsidRPr="00A23740">
              <w:rPr>
                <w:szCs w:val="24"/>
              </w:rPr>
              <w:t xml:space="preserve"> takip edilmekte olan bir </w:t>
            </w:r>
            <w:r w:rsidRPr="00A23740">
              <w:rPr>
                <w:szCs w:val="24"/>
              </w:rPr>
              <w:lastRenderedPageBreak/>
              <w:t xml:space="preserve">alacak veya satılmakta bulunan bir şey hakkında kiminle olursa olsun kendileri veya başkaları hesaplarına </w:t>
            </w:r>
            <w:r w:rsidRPr="00A23740">
              <w:rPr>
                <w:rStyle w:val="KIRMIZIChar"/>
                <w:rFonts w:eastAsia="Calibri"/>
              </w:rPr>
              <w:t>bir</w:t>
            </w:r>
            <w:r w:rsidRPr="00A23740">
              <w:rPr>
                <w:szCs w:val="24"/>
              </w:rPr>
              <w:t xml:space="preserve"> </w:t>
            </w:r>
            <w:r w:rsidRPr="00A23740">
              <w:rPr>
                <w:rStyle w:val="KIRMIZIChar"/>
                <w:rFonts w:eastAsia="Calibri"/>
              </w:rPr>
              <w:t>akit</w:t>
            </w:r>
            <w:r w:rsidRPr="00A23740">
              <w:rPr>
                <w:szCs w:val="24"/>
              </w:rPr>
              <w:t xml:space="preserve"> yapamazlar. Yaparlarsa hükümsüzdür.</w:t>
            </w:r>
          </w:p>
        </w:tc>
        <w:tc>
          <w:tcPr>
            <w:tcW w:w="2500" w:type="pct"/>
          </w:tcPr>
          <w:p w:rsidR="00155AF4" w:rsidRPr="00A23740" w:rsidRDefault="003D2A75" w:rsidP="009431FF">
            <w:pPr>
              <w:tabs>
                <w:tab w:val="left" w:pos="567"/>
              </w:tabs>
              <w:rPr>
                <w:b/>
                <w:szCs w:val="24"/>
              </w:rPr>
            </w:pPr>
            <w:r w:rsidRPr="00A23740">
              <w:rPr>
                <w:rStyle w:val="MaviChar"/>
                <w:lang w:val="tr-TR"/>
              </w:rPr>
              <w:lastRenderedPageBreak/>
              <w:t>H</w:t>
            </w:r>
            <w:r w:rsidR="0061557B" w:rsidRPr="00A23740">
              <w:rPr>
                <w:rStyle w:val="MaviChar"/>
                <w:lang w:val="tr-TR"/>
              </w:rPr>
              <w:t>â</w:t>
            </w:r>
            <w:r w:rsidRPr="00A23740">
              <w:rPr>
                <w:rStyle w:val="MaviChar"/>
                <w:lang w:val="tr-TR"/>
              </w:rPr>
              <w:t xml:space="preserve">kimler bakımından </w:t>
            </w:r>
            <w:r w:rsidRPr="00A23740">
              <w:rPr>
                <w:rStyle w:val="MaviChar"/>
              </w:rPr>
              <w:t>y</w:t>
            </w:r>
            <w:r w:rsidR="00155AF4" w:rsidRPr="00A23740">
              <w:rPr>
                <w:rStyle w:val="MaviChar"/>
              </w:rPr>
              <w:t>asak</w:t>
            </w:r>
            <w:r w:rsidR="00155AF4" w:rsidRPr="00A23740">
              <w:rPr>
                <w:b/>
                <w:szCs w:val="24"/>
              </w:rPr>
              <w:t xml:space="preserve"> </w:t>
            </w:r>
            <w:r w:rsidR="00F67C7F" w:rsidRPr="00A23740">
              <w:rPr>
                <w:rStyle w:val="MaviChar"/>
              </w:rPr>
              <w:t>iş ve işlemler</w:t>
            </w:r>
          </w:p>
          <w:p w:rsidR="00F67C7F" w:rsidRPr="00A23740" w:rsidRDefault="00155AF4" w:rsidP="009431FF">
            <w:pPr>
              <w:tabs>
                <w:tab w:val="left" w:pos="567"/>
              </w:tabs>
              <w:rPr>
                <w:szCs w:val="24"/>
              </w:rPr>
            </w:pPr>
            <w:r w:rsidRPr="00A23740">
              <w:rPr>
                <w:rStyle w:val="MaviChar"/>
                <w:lang w:val="tr-TR"/>
              </w:rPr>
              <w:t xml:space="preserve">MADDE </w:t>
            </w:r>
            <w:r w:rsidR="0059245E" w:rsidRPr="00A23740">
              <w:rPr>
                <w:rStyle w:val="MaviChar"/>
              </w:rPr>
              <w:t>21</w:t>
            </w:r>
            <w:r w:rsidRPr="00A23740">
              <w:rPr>
                <w:rStyle w:val="MaviChar"/>
              </w:rPr>
              <w:t>-</w:t>
            </w:r>
            <w:r w:rsidRPr="00A23740">
              <w:rPr>
                <w:rStyle w:val="MaviChar"/>
                <w:lang w:val="tr-TR"/>
              </w:rPr>
              <w:t xml:space="preserve"> (1) İc</w:t>
            </w:r>
            <w:r w:rsidRPr="00A23740">
              <w:rPr>
                <w:rStyle w:val="MaviChar"/>
              </w:rPr>
              <w:t xml:space="preserve">ra hukuk ve icra ceza mahkemesi ile iflas mahkemesi </w:t>
            </w:r>
            <w:r w:rsidRPr="00A23740">
              <w:rPr>
                <w:szCs w:val="24"/>
              </w:rPr>
              <w:t>hâkimler</w:t>
            </w:r>
            <w:r w:rsidRPr="00A23740">
              <w:rPr>
                <w:rStyle w:val="MaviChar"/>
              </w:rPr>
              <w:t xml:space="preserve">i, yargı çevrelerindeki </w:t>
            </w:r>
            <w:r w:rsidRPr="00A23740">
              <w:rPr>
                <w:szCs w:val="24"/>
              </w:rPr>
              <w:t>icra ve iflas dairelerin</w:t>
            </w:r>
            <w:r w:rsidRPr="00A23740">
              <w:rPr>
                <w:rStyle w:val="MaviChar"/>
              </w:rPr>
              <w:t>de</w:t>
            </w:r>
            <w:r w:rsidRPr="00A23740">
              <w:rPr>
                <w:rStyle w:val="Stil2Char"/>
                <w:rFonts w:eastAsia="Calibri"/>
                <w:u w:val="none"/>
              </w:rPr>
              <w:t xml:space="preserve"> </w:t>
            </w:r>
            <w:r w:rsidRPr="00A23740">
              <w:rPr>
                <w:szCs w:val="24"/>
              </w:rPr>
              <w:lastRenderedPageBreak/>
              <w:t>takip edilmekte olan bir alacak veya satılmakta bulunan bir şey hakkında</w:t>
            </w:r>
            <w:r w:rsidRPr="00A23740">
              <w:rPr>
                <w:rStyle w:val="Stil2Char"/>
                <w:rFonts w:eastAsia="Calibri"/>
                <w:u w:val="none"/>
              </w:rPr>
              <w:t xml:space="preserve"> </w:t>
            </w:r>
            <w:r w:rsidRPr="00A23740">
              <w:rPr>
                <w:szCs w:val="24"/>
              </w:rPr>
              <w:t xml:space="preserve">kiminle olursa olsun kendileri veya başkaları hesaplarına </w:t>
            </w:r>
            <w:r w:rsidR="00F67C7F" w:rsidRPr="00A23740">
              <w:rPr>
                <w:rStyle w:val="MaviChar"/>
              </w:rPr>
              <w:t>bir iş veya işlem</w:t>
            </w:r>
            <w:r w:rsidR="00F67C7F" w:rsidRPr="00A23740">
              <w:rPr>
                <w:szCs w:val="24"/>
              </w:rPr>
              <w:t xml:space="preserve"> </w:t>
            </w:r>
            <w:r w:rsidRPr="00A23740">
              <w:rPr>
                <w:szCs w:val="24"/>
              </w:rPr>
              <w:t xml:space="preserve">yapamazlar. </w:t>
            </w:r>
            <w:r w:rsidR="008E4036" w:rsidRPr="002B26FC">
              <w:rPr>
                <w:rStyle w:val="MaviChar"/>
              </w:rPr>
              <w:t>Aksi takdirde</w:t>
            </w:r>
            <w:r w:rsidR="00F67C7F" w:rsidRPr="00A23740">
              <w:rPr>
                <w:szCs w:val="24"/>
              </w:rPr>
              <w:t xml:space="preserve"> </w:t>
            </w:r>
            <w:r w:rsidR="00F67C7F" w:rsidRPr="00A23740">
              <w:rPr>
                <w:rStyle w:val="MaviChar"/>
              </w:rPr>
              <w:t>bu</w:t>
            </w:r>
            <w:r w:rsidR="00F67C7F" w:rsidRPr="00A23740">
              <w:rPr>
                <w:rStyle w:val="MaviChar"/>
                <w:lang w:val="tr-TR"/>
              </w:rPr>
              <w:t xml:space="preserve"> </w:t>
            </w:r>
            <w:r w:rsidR="00F67C7F" w:rsidRPr="00A23740">
              <w:rPr>
                <w:rStyle w:val="MaviChar"/>
              </w:rPr>
              <w:t xml:space="preserve">iş veya işlem </w:t>
            </w:r>
            <w:r w:rsidR="00F67C7F" w:rsidRPr="00A23740">
              <w:rPr>
                <w:szCs w:val="24"/>
              </w:rPr>
              <w:t>hükümsüzdür.</w:t>
            </w:r>
          </w:p>
          <w:p w:rsidR="00F67C7F" w:rsidRPr="00A23740" w:rsidRDefault="00F67C7F" w:rsidP="009431FF">
            <w:pPr>
              <w:tabs>
                <w:tab w:val="left" w:pos="567"/>
              </w:tabs>
              <w:rPr>
                <w:szCs w:val="24"/>
              </w:rPr>
            </w:pPr>
          </w:p>
        </w:tc>
      </w:tr>
      <w:tr w:rsidR="00155AF4" w:rsidRPr="00A23740" w:rsidTr="009431FF">
        <w:tc>
          <w:tcPr>
            <w:tcW w:w="5000" w:type="pct"/>
            <w:gridSpan w:val="2"/>
            <w:shd w:val="clear" w:color="auto" w:fill="DEEAF6"/>
          </w:tcPr>
          <w:p w:rsidR="00155AF4" w:rsidRPr="00A23740" w:rsidRDefault="00155AF4" w:rsidP="009431FF">
            <w:pPr>
              <w:pStyle w:val="Mavi"/>
              <w:ind w:firstLine="709"/>
              <w:rPr>
                <w:color w:val="auto"/>
                <w:lang w:val="tr-TR"/>
              </w:rPr>
            </w:pPr>
          </w:p>
          <w:p w:rsidR="003C13FE" w:rsidRPr="00A23740" w:rsidRDefault="00D42F78" w:rsidP="009431FF">
            <w:pPr>
              <w:ind w:firstLine="709"/>
              <w:rPr>
                <w:bCs/>
                <w:szCs w:val="24"/>
                <w:lang w:eastAsia="x-none"/>
              </w:rPr>
            </w:pPr>
            <w:r w:rsidRPr="00A23740">
              <w:rPr>
                <w:b/>
              </w:rPr>
              <w:t>MADDE 21</w:t>
            </w:r>
            <w:r w:rsidR="00155AF4" w:rsidRPr="00A23740">
              <w:rPr>
                <w:b/>
              </w:rPr>
              <w:t>-</w:t>
            </w:r>
            <w:r w:rsidR="00155AF4" w:rsidRPr="00A23740">
              <w:t xml:space="preserve"> </w:t>
            </w:r>
            <w:r w:rsidR="003C13FE" w:rsidRPr="00A23740">
              <w:t xml:space="preserve">Maddeyle, </w:t>
            </w:r>
            <w:r w:rsidR="003C13FE" w:rsidRPr="00A23740">
              <w:rPr>
                <w:bCs/>
              </w:rPr>
              <w:t>icra hukuk</w:t>
            </w:r>
            <w:r w:rsidR="00E814F3" w:rsidRPr="00A23740">
              <w:rPr>
                <w:bCs/>
              </w:rPr>
              <w:t xml:space="preserve"> mahkemesi</w:t>
            </w:r>
            <w:r w:rsidR="003C13FE" w:rsidRPr="00A23740">
              <w:rPr>
                <w:bCs/>
              </w:rPr>
              <w:t>, icra ceza</w:t>
            </w:r>
            <w:r w:rsidR="00E814F3" w:rsidRPr="00A23740">
              <w:rPr>
                <w:bCs/>
              </w:rPr>
              <w:t xml:space="preserve"> mahkemesi</w:t>
            </w:r>
            <w:r w:rsidR="003C13FE" w:rsidRPr="00A23740">
              <w:rPr>
                <w:bCs/>
              </w:rPr>
              <w:t xml:space="preserve"> ve iflas mahkemesi h</w:t>
            </w:r>
            <w:r w:rsidR="0061557B" w:rsidRPr="00A23740">
              <w:rPr>
                <w:bCs/>
              </w:rPr>
              <w:t>â</w:t>
            </w:r>
            <w:r w:rsidR="003C13FE" w:rsidRPr="00A23740">
              <w:rPr>
                <w:bCs/>
              </w:rPr>
              <w:t xml:space="preserve">kimleri bakımından yasak </w:t>
            </w:r>
            <w:r w:rsidR="00F67C7F" w:rsidRPr="00A23740">
              <w:rPr>
                <w:lang w:eastAsia="x-none"/>
              </w:rPr>
              <w:t>iş ve işlemler</w:t>
            </w:r>
            <w:r w:rsidR="00F67C7F" w:rsidRPr="00A23740">
              <w:rPr>
                <w:bCs/>
              </w:rPr>
              <w:t xml:space="preserve"> </w:t>
            </w:r>
            <w:r w:rsidR="003C13FE" w:rsidRPr="00A23740">
              <w:rPr>
                <w:bCs/>
              </w:rPr>
              <w:t>düzenlenmektedir.</w:t>
            </w:r>
            <w:r w:rsidR="003C13FE" w:rsidRPr="00A23740">
              <w:rPr>
                <w:b/>
                <w:bCs/>
              </w:rPr>
              <w:t xml:space="preserve"> </w:t>
            </w:r>
            <w:r w:rsidR="003C13FE" w:rsidRPr="00A23740">
              <w:rPr>
                <w:bCs/>
                <w:szCs w:val="24"/>
                <w:lang w:eastAsia="x-none"/>
              </w:rPr>
              <w:t xml:space="preserve">Bu madde, 2004 sayılı Kanunun 11 inci maddesine karşılık gelmektedir. </w:t>
            </w:r>
          </w:p>
          <w:p w:rsidR="003C13FE" w:rsidRPr="00A23740" w:rsidRDefault="003C13FE" w:rsidP="009431FF">
            <w:pPr>
              <w:pStyle w:val="Mavi"/>
              <w:ind w:firstLine="709"/>
              <w:rPr>
                <w:b w:val="0"/>
                <w:bCs w:val="0"/>
                <w:color w:val="auto"/>
                <w:lang w:val="tr-TR"/>
              </w:rPr>
            </w:pPr>
            <w:r w:rsidRPr="00A23740">
              <w:rPr>
                <w:b w:val="0"/>
                <w:bCs w:val="0"/>
                <w:color w:val="auto"/>
                <w:lang w:val="tr-TR"/>
              </w:rPr>
              <w:t>Birinci fıkrayla, icra hukuk</w:t>
            </w:r>
            <w:r w:rsidR="00E814F3" w:rsidRPr="00A23740">
              <w:rPr>
                <w:b w:val="0"/>
                <w:bCs w:val="0"/>
                <w:color w:val="auto"/>
                <w:lang w:val="tr-TR"/>
              </w:rPr>
              <w:t xml:space="preserve"> mahkemesi</w:t>
            </w:r>
            <w:r w:rsidRPr="00A23740">
              <w:rPr>
                <w:b w:val="0"/>
                <w:bCs w:val="0"/>
                <w:color w:val="auto"/>
                <w:lang w:val="tr-TR"/>
              </w:rPr>
              <w:t xml:space="preserve">, icra ceza </w:t>
            </w:r>
            <w:r w:rsidR="00E814F3" w:rsidRPr="00A23740">
              <w:rPr>
                <w:b w:val="0"/>
                <w:bCs w:val="0"/>
                <w:color w:val="auto"/>
                <w:lang w:val="tr-TR"/>
              </w:rPr>
              <w:t xml:space="preserve">mahkemesi </w:t>
            </w:r>
            <w:r w:rsidRPr="00A23740">
              <w:rPr>
                <w:b w:val="0"/>
                <w:bCs w:val="0"/>
                <w:color w:val="auto"/>
                <w:lang w:val="tr-TR"/>
              </w:rPr>
              <w:t xml:space="preserve">ve iflas mahkemesi hâkimlerinin, mahkemenin yargı çevresindeki icra ve iflas dairelerinde takip edilmekte olan bir alacak veya satılmakta bulunan bir şey hakkında kiminle olursa olsun kendileri veya başkaları hesaplarına </w:t>
            </w:r>
            <w:r w:rsidR="00F67C7F" w:rsidRPr="00A23740">
              <w:rPr>
                <w:b w:val="0"/>
                <w:bCs w:val="0"/>
                <w:color w:val="auto"/>
                <w:lang w:val="tr-TR"/>
              </w:rPr>
              <w:t xml:space="preserve">iş veya işlem </w:t>
            </w:r>
            <w:r w:rsidRPr="00A23740">
              <w:rPr>
                <w:b w:val="0"/>
                <w:bCs w:val="0"/>
                <w:color w:val="auto"/>
                <w:lang w:val="tr-TR"/>
              </w:rPr>
              <w:t xml:space="preserve">yapmaları yasaklanmaktadır. Bu kişiler, böyle </w:t>
            </w:r>
            <w:r w:rsidR="001779E5" w:rsidRPr="00A23740">
              <w:rPr>
                <w:b w:val="0"/>
                <w:bCs w:val="0"/>
                <w:color w:val="auto"/>
                <w:lang w:val="tr-TR"/>
              </w:rPr>
              <w:t xml:space="preserve">bir iş veya işlem </w:t>
            </w:r>
            <w:r w:rsidRPr="00A23740">
              <w:rPr>
                <w:b w:val="0"/>
                <w:bCs w:val="0"/>
                <w:color w:val="auto"/>
                <w:lang w:val="tr-TR"/>
              </w:rPr>
              <w:t xml:space="preserve">yapsalar dahi bu </w:t>
            </w:r>
            <w:r w:rsidR="001A3D68" w:rsidRPr="00A23740">
              <w:rPr>
                <w:b w:val="0"/>
                <w:bCs w:val="0"/>
                <w:color w:val="auto"/>
                <w:lang w:val="tr-TR"/>
              </w:rPr>
              <w:t xml:space="preserve">iş veya işlem </w:t>
            </w:r>
            <w:r w:rsidRPr="00A23740">
              <w:rPr>
                <w:b w:val="0"/>
                <w:bCs w:val="0"/>
                <w:color w:val="auto"/>
                <w:lang w:val="tr-TR"/>
              </w:rPr>
              <w:t>hükümsüz sayılacaktır.</w:t>
            </w:r>
          </w:p>
          <w:p w:rsidR="002B747E" w:rsidRPr="00A23740" w:rsidRDefault="00021ACE" w:rsidP="009431FF">
            <w:pPr>
              <w:pStyle w:val="Mavi"/>
              <w:ind w:firstLine="709"/>
              <w:rPr>
                <w:rStyle w:val="KIRMIZIChar"/>
                <w:rFonts w:eastAsia="Calibri"/>
                <w:b/>
              </w:rPr>
            </w:pPr>
            <w:r w:rsidRPr="00A23740">
              <w:rPr>
                <w:b w:val="0"/>
                <w:bCs w:val="0"/>
                <w:color w:val="auto"/>
                <w:lang w:val="tr-TR"/>
              </w:rPr>
              <w:t xml:space="preserve">İcra ve </w:t>
            </w:r>
            <w:r w:rsidR="005E4704" w:rsidRPr="00A23740">
              <w:rPr>
                <w:b w:val="0"/>
                <w:bCs w:val="0"/>
                <w:color w:val="auto"/>
                <w:lang w:val="tr-TR"/>
              </w:rPr>
              <w:t>ifla</w:t>
            </w:r>
            <w:r w:rsidR="00155AF4" w:rsidRPr="00A23740">
              <w:rPr>
                <w:b w:val="0"/>
                <w:bCs w:val="0"/>
                <w:color w:val="auto"/>
                <w:lang w:val="tr-TR"/>
              </w:rPr>
              <w:t xml:space="preserve">s takipleriyle bağlantılı </w:t>
            </w:r>
            <w:r w:rsidRPr="00A23740">
              <w:rPr>
                <w:b w:val="0"/>
                <w:bCs w:val="0"/>
                <w:color w:val="auto"/>
                <w:lang w:val="tr-TR"/>
              </w:rPr>
              <w:t xml:space="preserve">olarak </w:t>
            </w:r>
            <w:r w:rsidR="00155AF4" w:rsidRPr="00A23740">
              <w:rPr>
                <w:b w:val="0"/>
                <w:bCs w:val="0"/>
                <w:color w:val="auto"/>
                <w:lang w:val="tr-TR"/>
              </w:rPr>
              <w:t xml:space="preserve">görev üstlenen </w:t>
            </w:r>
            <w:r w:rsidRPr="00A23740">
              <w:rPr>
                <w:b w:val="0"/>
                <w:bCs w:val="0"/>
                <w:color w:val="auto"/>
                <w:lang w:val="tr-TR"/>
              </w:rPr>
              <w:t>bu h</w:t>
            </w:r>
            <w:r w:rsidR="0061557B" w:rsidRPr="00A23740">
              <w:rPr>
                <w:b w:val="0"/>
                <w:bCs w:val="0"/>
                <w:color w:val="auto"/>
                <w:lang w:val="tr-TR"/>
              </w:rPr>
              <w:t>â</w:t>
            </w:r>
            <w:r w:rsidRPr="00A23740">
              <w:rPr>
                <w:b w:val="0"/>
                <w:bCs w:val="0"/>
                <w:color w:val="auto"/>
                <w:lang w:val="tr-TR"/>
              </w:rPr>
              <w:t xml:space="preserve">kimlerin </w:t>
            </w:r>
            <w:r w:rsidR="00155AF4" w:rsidRPr="00A23740">
              <w:rPr>
                <w:b w:val="0"/>
                <w:bCs w:val="0"/>
                <w:color w:val="auto"/>
                <w:lang w:val="tr-TR"/>
              </w:rPr>
              <w:t>tarafsızlığının sağlanmasının bir yolu da</w:t>
            </w:r>
            <w:r w:rsidR="00E814F3" w:rsidRPr="00A23740">
              <w:rPr>
                <w:b w:val="0"/>
                <w:bCs w:val="0"/>
                <w:color w:val="auto"/>
                <w:lang w:val="tr-TR"/>
              </w:rPr>
              <w:t>,</w:t>
            </w:r>
            <w:r w:rsidR="00155AF4" w:rsidRPr="00A23740">
              <w:rPr>
                <w:b w:val="0"/>
                <w:bCs w:val="0"/>
                <w:color w:val="auto"/>
                <w:lang w:val="tr-TR"/>
              </w:rPr>
              <w:t xml:space="preserve"> ilgili takip bakımından bazı işler</w:t>
            </w:r>
            <w:r w:rsidRPr="00A23740">
              <w:rPr>
                <w:b w:val="0"/>
                <w:bCs w:val="0"/>
                <w:color w:val="auto"/>
                <w:lang w:val="tr-TR"/>
              </w:rPr>
              <w:t>i yapmalarının yasaklanmasıdır.</w:t>
            </w:r>
            <w:r w:rsidR="00155AF4" w:rsidRPr="00A23740">
              <w:rPr>
                <w:b w:val="0"/>
                <w:bCs w:val="0"/>
                <w:color w:val="auto"/>
                <w:lang w:val="tr-TR"/>
              </w:rPr>
              <w:t xml:space="preserve"> </w:t>
            </w:r>
            <w:r w:rsidRPr="00A23740">
              <w:rPr>
                <w:b w:val="0"/>
                <w:bCs w:val="0"/>
                <w:color w:val="auto"/>
                <w:lang w:val="tr-TR"/>
              </w:rPr>
              <w:t>B</w:t>
            </w:r>
            <w:r w:rsidR="001271FE" w:rsidRPr="00A23740">
              <w:rPr>
                <w:b w:val="0"/>
                <w:bCs w:val="0"/>
                <w:color w:val="auto"/>
                <w:lang w:val="tr-TR"/>
              </w:rPr>
              <w:t>u h</w:t>
            </w:r>
            <w:r w:rsidR="0061557B" w:rsidRPr="00A23740">
              <w:rPr>
                <w:b w:val="0"/>
                <w:bCs w:val="0"/>
                <w:color w:val="auto"/>
                <w:lang w:val="tr-TR"/>
              </w:rPr>
              <w:t>â</w:t>
            </w:r>
            <w:r w:rsidR="001271FE" w:rsidRPr="00A23740">
              <w:rPr>
                <w:b w:val="0"/>
                <w:bCs w:val="0"/>
                <w:color w:val="auto"/>
                <w:lang w:val="tr-TR"/>
              </w:rPr>
              <w:t>kimler</w:t>
            </w:r>
            <w:r w:rsidRPr="00A23740">
              <w:rPr>
                <w:b w:val="0"/>
                <w:bCs w:val="0"/>
                <w:color w:val="auto"/>
                <w:lang w:val="tr-TR"/>
              </w:rPr>
              <w:t xml:space="preserve">, </w:t>
            </w:r>
            <w:r w:rsidR="001271FE" w:rsidRPr="00A23740">
              <w:rPr>
                <w:b w:val="0"/>
                <w:bCs w:val="0"/>
                <w:color w:val="auto"/>
                <w:lang w:val="tr-TR"/>
              </w:rPr>
              <w:t>görev yaptıkları</w:t>
            </w:r>
            <w:r w:rsidRPr="00A23740">
              <w:rPr>
                <w:b w:val="0"/>
                <w:bCs w:val="0"/>
                <w:color w:val="auto"/>
                <w:lang w:val="tr-TR"/>
              </w:rPr>
              <w:t xml:space="preserve"> mahkemelerin </w:t>
            </w:r>
            <w:r w:rsidR="00155AF4" w:rsidRPr="00A23740">
              <w:rPr>
                <w:b w:val="0"/>
                <w:bCs w:val="0"/>
                <w:color w:val="auto"/>
                <w:lang w:val="tr-TR"/>
              </w:rPr>
              <w:t>yargı çevrelerinde</w:t>
            </w:r>
            <w:r w:rsidR="001271FE" w:rsidRPr="00A23740">
              <w:rPr>
                <w:b w:val="0"/>
                <w:bCs w:val="0"/>
                <w:color w:val="auto"/>
                <w:lang w:val="tr-TR"/>
              </w:rPr>
              <w:t>ki</w:t>
            </w:r>
            <w:r w:rsidR="00155AF4" w:rsidRPr="00A23740">
              <w:rPr>
                <w:b w:val="0"/>
                <w:bCs w:val="0"/>
                <w:color w:val="auto"/>
                <w:lang w:val="tr-TR"/>
              </w:rPr>
              <w:t xml:space="preserve"> </w:t>
            </w:r>
            <w:r w:rsidR="001271FE" w:rsidRPr="00A23740">
              <w:rPr>
                <w:b w:val="0"/>
                <w:bCs w:val="0"/>
                <w:color w:val="auto"/>
                <w:lang w:val="tr-TR"/>
              </w:rPr>
              <w:t xml:space="preserve">icra ve iflas </w:t>
            </w:r>
            <w:r w:rsidR="00155AF4" w:rsidRPr="00A23740">
              <w:rPr>
                <w:b w:val="0"/>
                <w:bCs w:val="0"/>
                <w:color w:val="auto"/>
                <w:lang w:val="tr-TR"/>
              </w:rPr>
              <w:t>daireleri tarafından takip edilen alacak veya ihale konusu hakkında</w:t>
            </w:r>
            <w:r w:rsidR="001271FE" w:rsidRPr="00A23740">
              <w:rPr>
                <w:b w:val="0"/>
                <w:bCs w:val="0"/>
                <w:color w:val="auto"/>
                <w:lang w:val="tr-TR"/>
              </w:rPr>
              <w:t xml:space="preserve">, </w:t>
            </w:r>
            <w:r w:rsidR="00155AF4" w:rsidRPr="00A23740">
              <w:rPr>
                <w:b w:val="0"/>
                <w:bCs w:val="0"/>
                <w:color w:val="auto"/>
                <w:lang w:val="tr-TR"/>
              </w:rPr>
              <w:t>herhangi bir şekilde kendileri</w:t>
            </w:r>
            <w:r w:rsidR="001271FE" w:rsidRPr="00A23740">
              <w:rPr>
                <w:b w:val="0"/>
                <w:bCs w:val="0"/>
                <w:color w:val="auto"/>
                <w:lang w:val="tr-TR"/>
              </w:rPr>
              <w:t xml:space="preserve"> </w:t>
            </w:r>
            <w:r w:rsidR="00155AF4" w:rsidRPr="00A23740">
              <w:rPr>
                <w:b w:val="0"/>
                <w:bCs w:val="0"/>
                <w:color w:val="auto"/>
                <w:lang w:val="tr-TR"/>
              </w:rPr>
              <w:t xml:space="preserve">veya üçüncü kişiler hesabına </w:t>
            </w:r>
            <w:r w:rsidR="00F67C7F" w:rsidRPr="00A23740">
              <w:rPr>
                <w:b w:val="0"/>
                <w:bCs w:val="0"/>
                <w:color w:val="auto"/>
                <w:lang w:val="tr-TR"/>
              </w:rPr>
              <w:t xml:space="preserve">iş veya işlem </w:t>
            </w:r>
            <w:r w:rsidR="00155AF4" w:rsidRPr="00A23740">
              <w:rPr>
                <w:b w:val="0"/>
                <w:bCs w:val="0"/>
                <w:color w:val="auto"/>
                <w:lang w:val="tr-TR"/>
              </w:rPr>
              <w:t>yapamazlar. Bu anlamda takip konusu alacağın yukarıda sayılan kişilerce devralınması, borca kefil olunması veya ihaleye katılıp ihale konusunun alınması yasaklanm</w:t>
            </w:r>
            <w:r w:rsidR="001271FE" w:rsidRPr="00A23740">
              <w:rPr>
                <w:b w:val="0"/>
                <w:bCs w:val="0"/>
                <w:color w:val="auto"/>
                <w:lang w:val="tr-TR"/>
              </w:rPr>
              <w:t xml:space="preserve">aktadır. Hükümle, </w:t>
            </w:r>
            <w:r w:rsidR="00155AF4" w:rsidRPr="00A23740">
              <w:rPr>
                <w:b w:val="0"/>
                <w:bCs w:val="0"/>
                <w:color w:val="auto"/>
                <w:lang w:val="tr-TR"/>
              </w:rPr>
              <w:t xml:space="preserve">yapılan bu </w:t>
            </w:r>
            <w:r w:rsidR="001A3D68" w:rsidRPr="00A23740">
              <w:rPr>
                <w:b w:val="0"/>
                <w:bCs w:val="0"/>
                <w:color w:val="auto"/>
                <w:lang w:val="tr-TR"/>
              </w:rPr>
              <w:t>iş ve işlemler için</w:t>
            </w:r>
            <w:r w:rsidR="00155AF4" w:rsidRPr="00A23740">
              <w:rPr>
                <w:b w:val="0"/>
                <w:bCs w:val="0"/>
                <w:color w:val="auto"/>
                <w:lang w:val="tr-TR"/>
              </w:rPr>
              <w:t xml:space="preserve"> “</w:t>
            </w:r>
            <w:r w:rsidR="001271FE" w:rsidRPr="00A23740">
              <w:rPr>
                <w:b w:val="0"/>
                <w:bCs w:val="0"/>
                <w:color w:val="auto"/>
                <w:lang w:val="tr-TR"/>
              </w:rPr>
              <w:t xml:space="preserve">hükümsüzlük” yaptırımı getirilmektedir. </w:t>
            </w:r>
            <w:r w:rsidR="00271EB5" w:rsidRPr="00A23740">
              <w:rPr>
                <w:b w:val="0"/>
                <w:bCs w:val="0"/>
                <w:color w:val="auto"/>
                <w:lang w:val="tr-TR"/>
              </w:rPr>
              <w:t xml:space="preserve">2004 sayılı Kanunun 11 inci maddesinde yer alan ve </w:t>
            </w:r>
            <w:r w:rsidR="00163E5A" w:rsidRPr="00A23740">
              <w:rPr>
                <w:b w:val="0"/>
                <w:bCs w:val="0"/>
                <w:color w:val="auto"/>
                <w:lang w:val="tr-TR"/>
              </w:rPr>
              <w:t>Taslakla</w:t>
            </w:r>
            <w:r w:rsidR="00271EB5" w:rsidRPr="00A23740">
              <w:rPr>
                <w:b w:val="0"/>
                <w:bCs w:val="0"/>
                <w:color w:val="auto"/>
                <w:lang w:val="tr-TR"/>
              </w:rPr>
              <w:t xml:space="preserve"> muhafaza edilen hükümsüzlük yaptırımı, doktrinde bir süresiz şikâyet olarak kabul edilmekteydi. </w:t>
            </w:r>
            <w:r w:rsidR="00E814F3" w:rsidRPr="00A23740">
              <w:rPr>
                <w:b w:val="0"/>
                <w:bCs w:val="0"/>
                <w:color w:val="auto"/>
                <w:lang w:val="tr-TR"/>
              </w:rPr>
              <w:t xml:space="preserve">Bu bağlamda </w:t>
            </w:r>
            <w:r w:rsidR="00163E5A" w:rsidRPr="00A23740">
              <w:rPr>
                <w:b w:val="0"/>
                <w:bCs w:val="0"/>
                <w:color w:val="auto"/>
                <w:lang w:val="tr-TR"/>
              </w:rPr>
              <w:t>Taslağın</w:t>
            </w:r>
            <w:r w:rsidR="00271EB5" w:rsidRPr="00A23740">
              <w:rPr>
                <w:b w:val="0"/>
                <w:bCs w:val="0"/>
                <w:color w:val="auto"/>
                <w:lang w:val="tr-TR"/>
              </w:rPr>
              <w:t xml:space="preserve"> 30 uncu maddesinde bir yenilik olarak “hükümsüz işlemler” düzenlemesi yapılmaktadır. </w:t>
            </w:r>
          </w:p>
          <w:p w:rsidR="003C13FE" w:rsidRPr="00A23740" w:rsidRDefault="00CB79C3" w:rsidP="009431FF">
            <w:pPr>
              <w:pStyle w:val="Mavi"/>
              <w:ind w:firstLine="709"/>
              <w:rPr>
                <w:color w:val="auto"/>
                <w:lang w:val="tr-TR"/>
              </w:rPr>
            </w:pPr>
            <w:r w:rsidRPr="00A23740">
              <w:rPr>
                <w:b w:val="0"/>
                <w:bCs w:val="0"/>
                <w:color w:val="auto"/>
                <w:lang w:val="tr-TR"/>
              </w:rPr>
              <w:t xml:space="preserve">Öte yandan, 2004 sayılı Kanunun 11 inci maddesinde </w:t>
            </w:r>
            <w:r w:rsidR="00155AF4" w:rsidRPr="00A23740">
              <w:rPr>
                <w:b w:val="0"/>
                <w:bCs w:val="0"/>
                <w:color w:val="auto"/>
                <w:lang w:val="tr-TR"/>
              </w:rPr>
              <w:t>yalnızca icra mahk</w:t>
            </w:r>
            <w:r w:rsidR="005E4704" w:rsidRPr="00A23740">
              <w:rPr>
                <w:b w:val="0"/>
                <w:bCs w:val="0"/>
                <w:color w:val="auto"/>
                <w:lang w:val="tr-TR"/>
              </w:rPr>
              <w:t>emesi hâkimleri ile icra ve ifla</w:t>
            </w:r>
            <w:r w:rsidR="00155AF4" w:rsidRPr="00A23740">
              <w:rPr>
                <w:b w:val="0"/>
                <w:bCs w:val="0"/>
                <w:color w:val="auto"/>
                <w:lang w:val="tr-TR"/>
              </w:rPr>
              <w:t xml:space="preserve">s daireleri için söz konusu “yasak </w:t>
            </w:r>
            <w:r w:rsidR="001A3D68" w:rsidRPr="00A23740">
              <w:rPr>
                <w:b w:val="0"/>
                <w:bCs w:val="0"/>
                <w:color w:val="auto"/>
                <w:lang w:val="tr-TR"/>
              </w:rPr>
              <w:t>iş</w:t>
            </w:r>
            <w:r w:rsidR="001A3D68" w:rsidRPr="00A23740">
              <w:rPr>
                <w:bCs w:val="0"/>
                <w:color w:val="auto"/>
                <w:lang w:val="tr-TR"/>
              </w:rPr>
              <w:t xml:space="preserve"> </w:t>
            </w:r>
            <w:r w:rsidR="001A3D68" w:rsidRPr="00A23740">
              <w:rPr>
                <w:b w:val="0"/>
                <w:bCs w:val="0"/>
                <w:color w:val="auto"/>
                <w:lang w:val="tr-TR"/>
              </w:rPr>
              <w:t>ve</w:t>
            </w:r>
            <w:r w:rsidR="001A3D68" w:rsidRPr="00A23740">
              <w:rPr>
                <w:bCs w:val="0"/>
                <w:color w:val="auto"/>
              </w:rPr>
              <w:t xml:space="preserve"> </w:t>
            </w:r>
            <w:r w:rsidR="001A3D68" w:rsidRPr="00A23740">
              <w:rPr>
                <w:b w:val="0"/>
                <w:bCs w:val="0"/>
                <w:color w:val="auto"/>
                <w:lang w:val="tr-TR"/>
              </w:rPr>
              <w:t>işlemler</w:t>
            </w:r>
            <w:r w:rsidR="00155AF4" w:rsidRPr="00A23740">
              <w:rPr>
                <w:b w:val="0"/>
                <w:bCs w:val="0"/>
                <w:color w:val="auto"/>
                <w:lang w:val="tr-TR"/>
              </w:rPr>
              <w:t>”, yeni kurulan mahkemeler dikkate alınarak icra hukuk</w:t>
            </w:r>
            <w:r w:rsidR="00E814F3" w:rsidRPr="00A23740">
              <w:rPr>
                <w:b w:val="0"/>
                <w:bCs w:val="0"/>
                <w:color w:val="auto"/>
                <w:lang w:val="tr-TR"/>
              </w:rPr>
              <w:t xml:space="preserve"> mahkemesi</w:t>
            </w:r>
            <w:r w:rsidR="00155AF4" w:rsidRPr="00A23740">
              <w:rPr>
                <w:b w:val="0"/>
                <w:bCs w:val="0"/>
                <w:color w:val="auto"/>
                <w:lang w:val="tr-TR"/>
              </w:rPr>
              <w:t xml:space="preserve">, icra ceza </w:t>
            </w:r>
            <w:r w:rsidR="00E814F3" w:rsidRPr="00A23740">
              <w:rPr>
                <w:b w:val="0"/>
                <w:bCs w:val="0"/>
                <w:color w:val="auto"/>
                <w:lang w:val="tr-TR"/>
              </w:rPr>
              <w:t xml:space="preserve">mahkemesi </w:t>
            </w:r>
            <w:r w:rsidR="00155AF4" w:rsidRPr="00A23740">
              <w:rPr>
                <w:b w:val="0"/>
                <w:bCs w:val="0"/>
                <w:color w:val="auto"/>
                <w:lang w:val="tr-TR"/>
              </w:rPr>
              <w:t>ve ifl</w:t>
            </w:r>
            <w:r w:rsidR="005E4704" w:rsidRPr="00A23740">
              <w:rPr>
                <w:b w:val="0"/>
                <w:bCs w:val="0"/>
                <w:color w:val="auto"/>
                <w:lang w:val="tr-TR"/>
              </w:rPr>
              <w:t>a</w:t>
            </w:r>
            <w:r w:rsidR="00155AF4" w:rsidRPr="00A23740">
              <w:rPr>
                <w:b w:val="0"/>
                <w:bCs w:val="0"/>
                <w:color w:val="auto"/>
                <w:lang w:val="tr-TR"/>
              </w:rPr>
              <w:t xml:space="preserve">s mahkemesi hâkimlerini </w:t>
            </w:r>
            <w:r w:rsidR="00E814F3" w:rsidRPr="00A23740">
              <w:rPr>
                <w:b w:val="0"/>
                <w:bCs w:val="0"/>
                <w:color w:val="auto"/>
                <w:lang w:val="tr-TR"/>
              </w:rPr>
              <w:t xml:space="preserve">de </w:t>
            </w:r>
            <w:r w:rsidR="00155AF4" w:rsidRPr="00A23740">
              <w:rPr>
                <w:b w:val="0"/>
                <w:bCs w:val="0"/>
                <w:color w:val="auto"/>
                <w:lang w:val="tr-TR"/>
              </w:rPr>
              <w:t>kapsayacak şekilde geni</w:t>
            </w:r>
            <w:r w:rsidR="00A44DE5">
              <w:rPr>
                <w:b w:val="0"/>
                <w:bCs w:val="0"/>
                <w:color w:val="auto"/>
                <w:lang w:val="tr-TR"/>
              </w:rPr>
              <w:t>şletilmiştir.</w:t>
            </w:r>
          </w:p>
          <w:p w:rsidR="00471EB7" w:rsidRPr="00A23740" w:rsidRDefault="00471EB7" w:rsidP="009431FF">
            <w:pPr>
              <w:ind w:firstLine="709"/>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rPr>
                <w:rFonts w:eastAsia="Calibri"/>
              </w:rPr>
            </w:pPr>
            <w:r w:rsidRPr="00A23740">
              <w:rPr>
                <w:rFonts w:eastAsia="Calibri"/>
              </w:rPr>
              <w:t>Gözetim ve denetim :</w:t>
            </w:r>
          </w:p>
          <w:p w:rsidR="00155AF4" w:rsidRPr="00A23740" w:rsidRDefault="00155AF4" w:rsidP="009431FF">
            <w:pPr>
              <w:pStyle w:val="KIRMIZI"/>
              <w:rPr>
                <w:rFonts w:eastAsia="Calibri"/>
              </w:rPr>
            </w:pPr>
            <w:r w:rsidRPr="00A23740">
              <w:rPr>
                <w:rFonts w:eastAsia="Calibri"/>
              </w:rPr>
              <w:t>Madde 13 – (Değişik: 6/6/1985-3222/3 md.)</w:t>
            </w:r>
          </w:p>
          <w:p w:rsidR="00155AF4" w:rsidRPr="00A23740" w:rsidRDefault="00155AF4" w:rsidP="009431FF">
            <w:pPr>
              <w:pStyle w:val="KIRMIZI"/>
            </w:pPr>
            <w:r w:rsidRPr="00A23740">
              <w:rPr>
                <w:rFonts w:eastAsia="Calibri"/>
              </w:rPr>
              <w:t>(Değişik birinci cümle: 17/7/2003-4949/2 md.) İcra ve iflâs daireleri, 4 üncü maddedeki esaslara göre </w:t>
            </w:r>
            <w:r w:rsidRPr="00A23740">
              <w:rPr>
                <w:rFonts w:eastAsia="Calibri"/>
                <w:lang w:val="tr-TR"/>
              </w:rPr>
              <w:t>icra daireleri başkanlığının, bu başkanlığın kurulmadığı yerlerde </w:t>
            </w:r>
            <w:r w:rsidRPr="00A23740">
              <w:rPr>
                <w:rFonts w:eastAsia="Calibri"/>
              </w:rPr>
              <w:t>icra mahkemesi hâkiminin daimî gözetimi ve denetimi altındadır.(3) Bu daireler Cumhuriyet savcıları ve adalet müfettişleri vasıtası ile denetime tabi tutulur. Cumhuriyet savcıları bu daireleri yılda en az bir defa denetlerler.</w:t>
            </w:r>
          </w:p>
          <w:p w:rsidR="00155AF4" w:rsidRPr="00A23740" w:rsidRDefault="00155AF4" w:rsidP="009431FF">
            <w:pPr>
              <w:pStyle w:val="KIRMIZI"/>
              <w:rPr>
                <w:rFonts w:eastAsia="Calibri"/>
              </w:rPr>
            </w:pPr>
          </w:p>
          <w:p w:rsidR="00155AF4" w:rsidRPr="00A23740" w:rsidRDefault="00155AF4" w:rsidP="009431FF">
            <w:pPr>
              <w:pStyle w:val="KIRMIZI"/>
              <w:rPr>
                <w:rFonts w:eastAsia="Calibri"/>
              </w:rPr>
            </w:pPr>
            <w:r w:rsidRPr="00A23740">
              <w:rPr>
                <w:rFonts w:eastAsia="Calibri"/>
              </w:rPr>
              <w:lastRenderedPageBreak/>
              <w:t>İcra ve iflas memur ve yardımcılarının disiplin cezasını gerektiren fiil ve hallerinden dolayı, haklarında Devlet Memurları Kanununun disiplin cezalarına ilişkin hükümleri uygulanır.</w:t>
            </w:r>
          </w:p>
          <w:p w:rsidR="00155AF4" w:rsidRPr="00A23740" w:rsidRDefault="00155AF4" w:rsidP="009431FF">
            <w:pPr>
              <w:pStyle w:val="KIRMIZI"/>
              <w:rPr>
                <w:rFonts w:eastAsia="Calibri"/>
              </w:rPr>
            </w:pPr>
          </w:p>
        </w:tc>
        <w:tc>
          <w:tcPr>
            <w:tcW w:w="2500" w:type="pct"/>
          </w:tcPr>
          <w:p w:rsidR="00155AF4" w:rsidRPr="00A23740" w:rsidRDefault="00155AF4" w:rsidP="009431FF">
            <w:pPr>
              <w:pStyle w:val="KIRMIZI"/>
              <w:rPr>
                <w:rFonts w:eastAsia="Calibri"/>
                <w:strike w:val="0"/>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rPr>
                <w:rFonts w:eastAsia="Calibri"/>
              </w:rPr>
            </w:pPr>
            <w:r w:rsidRPr="00A23740">
              <w:rPr>
                <w:rFonts w:eastAsia="Calibri"/>
              </w:rPr>
              <w:t>Birinci teftiş :</w:t>
            </w:r>
          </w:p>
          <w:p w:rsidR="00155AF4" w:rsidRPr="00A23740" w:rsidRDefault="00155AF4" w:rsidP="009431FF">
            <w:pPr>
              <w:pStyle w:val="KIRMIZI"/>
              <w:rPr>
                <w:rFonts w:eastAsia="Calibri"/>
              </w:rPr>
            </w:pPr>
            <w:r w:rsidRPr="00A23740">
              <w:rPr>
                <w:rFonts w:eastAsia="Calibri"/>
              </w:rPr>
              <w:t>Madde 13/a – (Ek: 18/2/1965-538/9 md.)</w:t>
            </w:r>
          </w:p>
          <w:p w:rsidR="00155AF4" w:rsidRPr="00A23740" w:rsidRDefault="00155AF4" w:rsidP="009431FF">
            <w:pPr>
              <w:pStyle w:val="KIRMIZI"/>
            </w:pPr>
            <w:r w:rsidRPr="00A23740">
              <w:rPr>
                <w:rFonts w:eastAsia="Calibri"/>
              </w:rPr>
              <w:t>13 üncü maddeye göre Cumhuriyet savcılarınca ilk defa yapılacak teftişin, geçen bir yıllık işlemlere şamil olmak üzere her sene Ocak ayı içinde yapılması ve düzenlenecek raporların birer örneğinin icra ve iflas dairesi ile Cumhuriyet savcılığında saklanması (…) (1) gereklidir. (1)</w:t>
            </w:r>
          </w:p>
          <w:p w:rsidR="00155AF4" w:rsidRPr="00A23740" w:rsidRDefault="00155AF4" w:rsidP="009431FF">
            <w:pPr>
              <w:pStyle w:val="KIRMIZI"/>
              <w:rPr>
                <w:rFonts w:eastAsia="Calibri"/>
              </w:rPr>
            </w:pPr>
          </w:p>
          <w:p w:rsidR="00155AF4" w:rsidRPr="00A23740" w:rsidRDefault="00155AF4" w:rsidP="009431FF">
            <w:pPr>
              <w:pStyle w:val="KIRMIZI"/>
              <w:rPr>
                <w:rFonts w:eastAsia="Calibri"/>
              </w:rPr>
            </w:pPr>
            <w:r w:rsidRPr="00A23740">
              <w:rPr>
                <w:rFonts w:eastAsia="Calibri"/>
              </w:rPr>
              <w:t>Teftişlerin yapılması, savcılıkların açık olması hallerinde bunun kimler tarafından yerine getirileceği ve teftiş raporlarının nasıl düzenleneceği yönetmelikte belirtilir.</w:t>
            </w:r>
          </w:p>
          <w:p w:rsidR="00155AF4" w:rsidRPr="00A23740" w:rsidRDefault="00155AF4" w:rsidP="009431FF">
            <w:pPr>
              <w:tabs>
                <w:tab w:val="left" w:pos="567"/>
              </w:tabs>
              <w:rPr>
                <w:rFonts w:eastAsia="Times New Roman"/>
                <w:b/>
                <w:szCs w:val="24"/>
                <w:lang w:eastAsia="tr-TR"/>
              </w:rPr>
            </w:pPr>
          </w:p>
        </w:tc>
        <w:tc>
          <w:tcPr>
            <w:tcW w:w="2500" w:type="pct"/>
          </w:tcPr>
          <w:p w:rsidR="00155AF4" w:rsidRPr="00A23740" w:rsidRDefault="00155AF4" w:rsidP="009431FF">
            <w:pPr>
              <w:pStyle w:val="KIRMIZI"/>
              <w:rPr>
                <w:rFonts w:eastAsia="Calibri"/>
                <w:strike w:val="0"/>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szCs w:val="24"/>
                <w:lang w:eastAsia="tr-TR"/>
              </w:rPr>
            </w:pPr>
          </w:p>
          <w:p w:rsidR="00155AF4" w:rsidRPr="00A23740" w:rsidRDefault="00155AF4" w:rsidP="009431FF">
            <w:pPr>
              <w:tabs>
                <w:tab w:val="left" w:pos="567"/>
              </w:tabs>
              <w:rPr>
                <w:rFonts w:eastAsia="Times New Roman"/>
                <w:b/>
                <w:szCs w:val="24"/>
                <w:lang w:eastAsia="tr-TR"/>
              </w:rPr>
            </w:pPr>
          </w:p>
          <w:p w:rsidR="00155AF4" w:rsidRPr="00A23740" w:rsidRDefault="00155AF4" w:rsidP="009431FF">
            <w:pPr>
              <w:tabs>
                <w:tab w:val="left" w:pos="567"/>
              </w:tabs>
              <w:rPr>
                <w:rFonts w:eastAsia="Times New Roman"/>
                <w:b/>
                <w:szCs w:val="24"/>
                <w:lang w:eastAsia="tr-TR"/>
              </w:rPr>
            </w:pPr>
          </w:p>
          <w:p w:rsidR="00155AF4" w:rsidRPr="00A23740" w:rsidRDefault="00155AF4" w:rsidP="009431FF">
            <w:pPr>
              <w:tabs>
                <w:tab w:val="left" w:pos="567"/>
              </w:tabs>
              <w:rPr>
                <w:rFonts w:eastAsia="Times New Roman"/>
                <w:b/>
                <w:szCs w:val="24"/>
                <w:lang w:eastAsia="tr-TR"/>
              </w:rPr>
            </w:pPr>
            <w:r w:rsidRPr="00A23740">
              <w:rPr>
                <w:rFonts w:eastAsia="Times New Roman"/>
                <w:b/>
                <w:szCs w:val="24"/>
                <w:lang w:eastAsia="tr-TR"/>
              </w:rPr>
              <w:t xml:space="preserve">Şikayet </w:t>
            </w:r>
            <w:r w:rsidRPr="00A23740">
              <w:rPr>
                <w:rFonts w:eastAsia="Times New Roman"/>
                <w:b/>
                <w:strike/>
                <w:color w:val="FF0000"/>
                <w:szCs w:val="24"/>
                <w:lang w:eastAsia="tr-TR"/>
              </w:rPr>
              <w:t>ve şartlar :</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16 – (</w:t>
            </w:r>
            <w:r w:rsidRPr="00A23740">
              <w:rPr>
                <w:rFonts w:eastAsia="Times New Roman"/>
                <w:b/>
                <w:strike/>
                <w:color w:val="FF0000"/>
                <w:szCs w:val="24"/>
                <w:lang w:eastAsia="tr-TR"/>
              </w:rPr>
              <w:t>Değişik: 3/7/1940 - 3890/1 md.)</w:t>
            </w:r>
          </w:p>
          <w:p w:rsidR="00BD4BD8" w:rsidRPr="00A23740" w:rsidRDefault="00155AF4" w:rsidP="009431FF">
            <w:pPr>
              <w:tabs>
                <w:tab w:val="left" w:pos="567"/>
              </w:tabs>
              <w:rPr>
                <w:b/>
                <w:bCs/>
                <w:strike/>
                <w:color w:val="FF0000"/>
                <w:szCs w:val="24"/>
              </w:rPr>
            </w:pPr>
            <w:r w:rsidRPr="00A23740">
              <w:rPr>
                <w:rStyle w:val="KIRMIZIChar"/>
                <w:rFonts w:eastAsia="Calibri"/>
              </w:rPr>
              <w:t>(1) Kanunun hallini mahkemeye bıraktığı hususlar müstesna olmak üzere</w:t>
            </w:r>
            <w:r w:rsidRPr="00A23740">
              <w:rPr>
                <w:rFonts w:eastAsia="Times New Roman"/>
                <w:szCs w:val="24"/>
                <w:lang w:eastAsia="tr-TR"/>
              </w:rPr>
              <w:t xml:space="preserve"> İcra ve İflas dairelerinin </w:t>
            </w:r>
            <w:r w:rsidRPr="00A23740">
              <w:rPr>
                <w:rStyle w:val="KIRMIZIChar"/>
                <w:rFonts w:eastAsia="Calibri"/>
              </w:rPr>
              <w:t>yaptığı muameleler</w:t>
            </w:r>
            <w:r w:rsidRPr="00A23740">
              <w:rPr>
                <w:rFonts w:eastAsia="Times New Roman"/>
                <w:b/>
                <w:strike/>
                <w:color w:val="FF0000"/>
                <w:szCs w:val="24"/>
                <w:lang w:eastAsia="tr-TR"/>
              </w:rPr>
              <w:t xml:space="preserve"> hakkında</w:t>
            </w:r>
            <w:r w:rsidRPr="00A23740">
              <w:rPr>
                <w:rFonts w:eastAsia="Times New Roman"/>
                <w:szCs w:val="24"/>
                <w:lang w:eastAsia="tr-TR"/>
              </w:rPr>
              <w:t xml:space="preserve"> kanuna </w:t>
            </w:r>
            <w:r w:rsidRPr="00A23740">
              <w:rPr>
                <w:rFonts w:eastAsia="Times New Roman"/>
                <w:b/>
                <w:strike/>
                <w:color w:val="FF0000"/>
                <w:szCs w:val="24"/>
                <w:lang w:eastAsia="tr-TR"/>
              </w:rPr>
              <w:t>muhalif</w:t>
            </w:r>
            <w:r w:rsidRPr="00A23740">
              <w:rPr>
                <w:rFonts w:eastAsia="Times New Roman"/>
                <w:szCs w:val="24"/>
                <w:lang w:eastAsia="tr-TR"/>
              </w:rPr>
              <w:t xml:space="preserve"> olması</w:t>
            </w:r>
            <w:r w:rsidRPr="00A23740">
              <w:rPr>
                <w:rFonts w:eastAsia="Times New Roman"/>
                <w:b/>
                <w:strike/>
                <w:color w:val="FF0000"/>
                <w:szCs w:val="24"/>
                <w:lang w:eastAsia="tr-TR"/>
              </w:rPr>
              <w:t>ndan</w:t>
            </w:r>
            <w:r w:rsidRPr="00A23740">
              <w:rPr>
                <w:rFonts w:eastAsia="Times New Roman"/>
                <w:szCs w:val="24"/>
                <w:lang w:eastAsia="tr-TR"/>
              </w:rPr>
              <w:t xml:space="preserve"> </w:t>
            </w:r>
            <w:r w:rsidRPr="00A23740">
              <w:rPr>
                <w:rFonts w:eastAsia="Times New Roman"/>
                <w:b/>
                <w:strike/>
                <w:color w:val="FF0000"/>
                <w:szCs w:val="24"/>
                <w:lang w:eastAsia="tr-TR"/>
              </w:rPr>
              <w:t>veya hadiseye uygun bulunmamasından</w:t>
            </w:r>
            <w:r w:rsidRPr="00A23740">
              <w:rPr>
                <w:rFonts w:eastAsia="Times New Roman"/>
                <w:szCs w:val="24"/>
                <w:lang w:eastAsia="tr-TR"/>
              </w:rPr>
              <w:t xml:space="preserve"> </w:t>
            </w:r>
            <w:r w:rsidRPr="00A23740">
              <w:rPr>
                <w:rStyle w:val="KIRMIZIChar"/>
                <w:rFonts w:eastAsia="Calibri"/>
              </w:rPr>
              <w:t>dolayı</w:t>
            </w:r>
            <w:r w:rsidRPr="00A23740">
              <w:rPr>
                <w:rFonts w:eastAsia="Times New Roman"/>
                <w:szCs w:val="24"/>
                <w:lang w:eastAsia="tr-TR"/>
              </w:rPr>
              <w:t xml:space="preserve"> </w:t>
            </w:r>
            <w:r w:rsidRPr="00A23740">
              <w:rPr>
                <w:rFonts w:eastAsia="Times New Roman"/>
                <w:b/>
                <w:strike/>
                <w:color w:val="FF0000"/>
                <w:szCs w:val="24"/>
                <w:lang w:eastAsia="tr-TR"/>
              </w:rPr>
              <w:t>icra mahkemesine</w:t>
            </w:r>
            <w:r w:rsidRPr="00A23740">
              <w:rPr>
                <w:rFonts w:eastAsia="Times New Roman"/>
                <w:szCs w:val="24"/>
                <w:lang w:eastAsia="tr-TR"/>
              </w:rPr>
              <w:t xml:space="preserve"> şikayet </w:t>
            </w:r>
            <w:r w:rsidRPr="00A23740">
              <w:rPr>
                <w:rStyle w:val="KIRMIZIChar"/>
                <w:rFonts w:eastAsia="Calibri"/>
              </w:rPr>
              <w:t>olunabilir. Şikayet bu muamelelerin öğrenildiği tarihten yedi gün içinde yapılır.</w:t>
            </w:r>
          </w:p>
          <w:p w:rsidR="00155AF4" w:rsidRPr="00A23740" w:rsidRDefault="00155AF4" w:rsidP="009431FF">
            <w:pPr>
              <w:pStyle w:val="KIRMIZI"/>
              <w:rPr>
                <w:lang w:val="tr-TR"/>
              </w:rPr>
            </w:pPr>
            <w:r w:rsidRPr="00A23740">
              <w:rPr>
                <w:lang w:val="tr-TR" w:eastAsia="tr-TR"/>
              </w:rPr>
              <w:t>(2)</w:t>
            </w:r>
            <w:r w:rsidRPr="00A23740">
              <w:rPr>
                <w:lang w:val="tr-TR"/>
              </w:rPr>
              <w:t xml:space="preserve"> Bir hakkın yerine getirilmemesinden veya sebepsiz sürüncemede bırakılmasından dolayı her zaman şikayet olunabilir.</w:t>
            </w:r>
          </w:p>
          <w:p w:rsidR="00155AF4" w:rsidRPr="00A23740" w:rsidRDefault="00155AF4" w:rsidP="009431FF">
            <w:pPr>
              <w:tabs>
                <w:tab w:val="left" w:pos="567"/>
              </w:tabs>
              <w:rPr>
                <w:rFonts w:eastAsia="Times New Roman"/>
                <w:szCs w:val="24"/>
                <w:lang w:eastAsia="tr-TR"/>
              </w:rPr>
            </w:pPr>
          </w:p>
        </w:tc>
        <w:tc>
          <w:tcPr>
            <w:tcW w:w="2500" w:type="pct"/>
          </w:tcPr>
          <w:p w:rsidR="00155AF4" w:rsidRPr="00A23740" w:rsidRDefault="00155AF4" w:rsidP="009431FF">
            <w:pPr>
              <w:pStyle w:val="Balk4"/>
              <w:rPr>
                <w:lang w:val="tr-TR"/>
              </w:rPr>
            </w:pPr>
            <w:r w:rsidRPr="00A23740">
              <w:rPr>
                <w:lang w:val="tr-TR"/>
              </w:rPr>
              <w:t>İKİNCİ AYRIM</w:t>
            </w:r>
          </w:p>
          <w:p w:rsidR="00155AF4" w:rsidRPr="00A23740" w:rsidRDefault="00155AF4" w:rsidP="009431FF">
            <w:pPr>
              <w:pStyle w:val="Balk4"/>
              <w:rPr>
                <w:lang w:val="tr-TR"/>
              </w:rPr>
            </w:pPr>
            <w:r w:rsidRPr="00A23740">
              <w:rPr>
                <w:lang w:val="tr-TR"/>
              </w:rPr>
              <w:t>Şik</w:t>
            </w:r>
            <w:r w:rsidR="000949F1" w:rsidRPr="00A23740">
              <w:rPr>
                <w:lang w:val="tr-TR"/>
              </w:rPr>
              <w:t>â</w:t>
            </w:r>
            <w:r w:rsidRPr="00A23740">
              <w:rPr>
                <w:lang w:val="tr-TR"/>
              </w:rPr>
              <w:t>yet</w:t>
            </w:r>
          </w:p>
          <w:p w:rsidR="00155AF4" w:rsidRPr="00A23740" w:rsidRDefault="00155AF4" w:rsidP="009431FF">
            <w:pPr>
              <w:keepNext/>
              <w:outlineLvl w:val="2"/>
              <w:rPr>
                <w:rFonts w:eastAsia="Times New Roman"/>
                <w:b/>
                <w:bCs/>
                <w:szCs w:val="24"/>
                <w:lang w:eastAsia="tr-TR"/>
              </w:rPr>
            </w:pPr>
          </w:p>
          <w:p w:rsidR="00155AF4" w:rsidRPr="00A23740" w:rsidRDefault="00155AF4" w:rsidP="009431FF">
            <w:pPr>
              <w:keepNext/>
              <w:outlineLvl w:val="2"/>
              <w:rPr>
                <w:rFonts w:eastAsia="Times New Roman"/>
                <w:b/>
                <w:bCs/>
                <w:szCs w:val="24"/>
                <w:lang w:eastAsia="tr-TR"/>
              </w:rPr>
            </w:pPr>
            <w:r w:rsidRPr="00A23740">
              <w:rPr>
                <w:rFonts w:eastAsia="Times New Roman"/>
                <w:b/>
                <w:bCs/>
                <w:szCs w:val="24"/>
                <w:lang w:eastAsia="tr-TR"/>
              </w:rPr>
              <w:t xml:space="preserve">Şikâyet </w:t>
            </w:r>
            <w:r w:rsidRPr="00A23740">
              <w:rPr>
                <w:rStyle w:val="MaviChar"/>
              </w:rPr>
              <w:t>sebepleri ve şikâyet</w:t>
            </w:r>
            <w:r w:rsidR="00B03C95" w:rsidRPr="00A23740">
              <w:rPr>
                <w:rStyle w:val="MaviChar"/>
                <w:lang w:val="tr-TR"/>
              </w:rPr>
              <w:t xml:space="preserve"> yoluna</w:t>
            </w:r>
            <w:r w:rsidRPr="00A23740">
              <w:rPr>
                <w:rStyle w:val="MaviChar"/>
              </w:rPr>
              <w:t xml:space="preserve"> başvurulması</w:t>
            </w:r>
          </w:p>
          <w:p w:rsidR="00992553" w:rsidRPr="00A23740" w:rsidRDefault="00155AF4" w:rsidP="009431FF">
            <w:pPr>
              <w:rPr>
                <w:rFonts w:eastAsia="Times New Roman"/>
                <w:szCs w:val="24"/>
                <w:lang w:eastAsia="tr-TR"/>
              </w:rPr>
            </w:pPr>
            <w:r w:rsidRPr="00A23740">
              <w:rPr>
                <w:rStyle w:val="MaviChar"/>
                <w:lang w:val="tr-TR"/>
              </w:rPr>
              <w:t xml:space="preserve">MADDE </w:t>
            </w:r>
            <w:r w:rsidR="0059245E" w:rsidRPr="00A23740">
              <w:rPr>
                <w:rStyle w:val="MaviChar"/>
              </w:rPr>
              <w:t>22</w:t>
            </w:r>
            <w:r w:rsidRPr="00A23740">
              <w:rPr>
                <w:rStyle w:val="MaviChar"/>
              </w:rPr>
              <w:t>-</w:t>
            </w:r>
            <w:r w:rsidRPr="00A23740">
              <w:rPr>
                <w:rStyle w:val="MaviChar"/>
                <w:lang w:val="tr-TR"/>
              </w:rPr>
              <w:t xml:space="preserve"> </w:t>
            </w:r>
            <w:r w:rsidR="00992553" w:rsidRPr="00A23740">
              <w:rPr>
                <w:rStyle w:val="MaviChar"/>
                <w:lang w:val="tr-TR"/>
              </w:rPr>
              <w:t xml:space="preserve">(1) </w:t>
            </w:r>
            <w:r w:rsidR="00992553" w:rsidRPr="00A23740">
              <w:rPr>
                <w:rFonts w:eastAsia="Times New Roman"/>
                <w:bCs/>
                <w:lang w:eastAsia="tr-TR"/>
              </w:rPr>
              <w:t>İcra ve iflas dairelerinin</w:t>
            </w:r>
            <w:r w:rsidR="00992553" w:rsidRPr="00A23740">
              <w:rPr>
                <w:rStyle w:val="MaviChar"/>
                <w:lang w:val="tr-TR"/>
              </w:rPr>
              <w:t xml:space="preserve"> göre</w:t>
            </w:r>
            <w:r w:rsidR="005F5641" w:rsidRPr="00A23740">
              <w:rPr>
                <w:rStyle w:val="MaviChar"/>
                <w:lang w:val="tr-TR"/>
              </w:rPr>
              <w:t>vleriyle ilgili olarak aşağıda</w:t>
            </w:r>
            <w:r w:rsidR="00992553" w:rsidRPr="00A23740">
              <w:rPr>
                <w:rStyle w:val="MaviChar"/>
                <w:lang w:val="tr-TR"/>
              </w:rPr>
              <w:t xml:space="preserve"> belirtilen h</w:t>
            </w:r>
            <w:r w:rsidR="005E4704" w:rsidRPr="00A23740">
              <w:rPr>
                <w:rStyle w:val="MaviChar"/>
                <w:lang w:val="tr-TR"/>
              </w:rPr>
              <w:t>â</w:t>
            </w:r>
            <w:r w:rsidR="00992553" w:rsidRPr="00A23740">
              <w:rPr>
                <w:rStyle w:val="MaviChar"/>
                <w:lang w:val="tr-TR"/>
              </w:rPr>
              <w:t xml:space="preserve">llerde </w:t>
            </w:r>
            <w:r w:rsidR="00992553" w:rsidRPr="00A23740">
              <w:rPr>
                <w:rFonts w:eastAsia="Times New Roman"/>
                <w:bCs/>
                <w:lang w:eastAsia="tr-TR"/>
              </w:rPr>
              <w:t>şik</w:t>
            </w:r>
            <w:r w:rsidR="000949F1" w:rsidRPr="00A23740">
              <w:rPr>
                <w:bCs/>
              </w:rPr>
              <w:t>â</w:t>
            </w:r>
            <w:r w:rsidR="00992553" w:rsidRPr="00A23740">
              <w:rPr>
                <w:rFonts w:eastAsia="Times New Roman"/>
                <w:bCs/>
                <w:lang w:eastAsia="tr-TR"/>
              </w:rPr>
              <w:t xml:space="preserve">yet </w:t>
            </w:r>
            <w:r w:rsidR="00992553" w:rsidRPr="00A23740">
              <w:rPr>
                <w:rStyle w:val="MaviChar"/>
                <w:lang w:val="tr-TR"/>
              </w:rPr>
              <w:t>yoluna başvurulabilir:</w:t>
            </w:r>
          </w:p>
          <w:p w:rsidR="00992553" w:rsidRPr="00A23740" w:rsidRDefault="00992553" w:rsidP="009431FF">
            <w:pPr>
              <w:rPr>
                <w:rFonts w:eastAsia="Times New Roman"/>
                <w:szCs w:val="24"/>
                <w:lang w:eastAsia="tr-TR"/>
              </w:rPr>
            </w:pPr>
            <w:r w:rsidRPr="00A23740">
              <w:rPr>
                <w:rStyle w:val="MaviChar"/>
              </w:rPr>
              <w:t>a)</w:t>
            </w:r>
            <w:r w:rsidRPr="00A23740">
              <w:rPr>
                <w:rFonts w:eastAsia="Times New Roman"/>
                <w:szCs w:val="24"/>
                <w:lang w:eastAsia="tr-TR"/>
              </w:rPr>
              <w:t xml:space="preserve"> </w:t>
            </w:r>
            <w:r w:rsidRPr="00A23740">
              <w:rPr>
                <w:rStyle w:val="MaviChar"/>
              </w:rPr>
              <w:t>Yapılan</w:t>
            </w:r>
            <w:r w:rsidRPr="00A23740">
              <w:rPr>
                <w:rFonts w:eastAsia="Times New Roman"/>
                <w:szCs w:val="24"/>
                <w:lang w:eastAsia="tr-TR"/>
              </w:rPr>
              <w:t xml:space="preserve"> </w:t>
            </w:r>
            <w:r w:rsidRPr="00A23740">
              <w:rPr>
                <w:rStyle w:val="MaviChar"/>
              </w:rPr>
              <w:t>işlemlerin</w:t>
            </w:r>
            <w:r w:rsidRPr="00A23740">
              <w:rPr>
                <w:rFonts w:eastAsia="Times New Roman"/>
                <w:szCs w:val="24"/>
                <w:lang w:eastAsia="tr-TR"/>
              </w:rPr>
              <w:t xml:space="preserve"> kanuna </w:t>
            </w:r>
            <w:r w:rsidRPr="00A23740">
              <w:rPr>
                <w:rStyle w:val="MaviChar"/>
              </w:rPr>
              <w:t>aykırı</w:t>
            </w:r>
            <w:r w:rsidRPr="00A23740">
              <w:rPr>
                <w:rFonts w:eastAsia="Times New Roman"/>
                <w:szCs w:val="24"/>
                <w:lang w:eastAsia="tr-TR"/>
              </w:rPr>
              <w:t xml:space="preserve"> olma</w:t>
            </w:r>
            <w:r w:rsidRPr="00A23740">
              <w:rPr>
                <w:rFonts w:eastAsia="Times New Roman"/>
                <w:szCs w:val="24"/>
                <w:lang w:eastAsia="tr-TR"/>
              </w:rPr>
              <w:softHyphen/>
              <w:t>sı.</w:t>
            </w:r>
          </w:p>
          <w:p w:rsidR="008E162A" w:rsidRPr="00A23740" w:rsidRDefault="008E162A" w:rsidP="009431FF">
            <w:pPr>
              <w:rPr>
                <w:rFonts w:eastAsia="Times New Roman"/>
                <w:szCs w:val="24"/>
                <w:lang w:eastAsia="tr-TR"/>
              </w:rPr>
            </w:pPr>
          </w:p>
          <w:p w:rsidR="00992553" w:rsidRPr="00A23740" w:rsidRDefault="00992553" w:rsidP="009431FF">
            <w:pPr>
              <w:rPr>
                <w:rStyle w:val="MaviChar"/>
                <w:lang w:val="tr-TR"/>
              </w:rPr>
            </w:pPr>
            <w:r w:rsidRPr="00A23740">
              <w:rPr>
                <w:rStyle w:val="MaviChar"/>
              </w:rPr>
              <w:t>b)</w:t>
            </w:r>
            <w:r w:rsidRPr="00A23740">
              <w:rPr>
                <w:rFonts w:eastAsia="Times New Roman"/>
                <w:szCs w:val="24"/>
                <w:lang w:eastAsia="tr-TR"/>
              </w:rPr>
              <w:t xml:space="preserve"> </w:t>
            </w:r>
            <w:r w:rsidRPr="00A23740">
              <w:rPr>
                <w:rStyle w:val="MaviChar"/>
              </w:rPr>
              <w:t>Yap</w:t>
            </w:r>
            <w:r w:rsidRPr="00A23740">
              <w:rPr>
                <w:rStyle w:val="MaviChar"/>
                <w:lang w:val="tr-TR"/>
              </w:rPr>
              <w:t>ılan</w:t>
            </w:r>
            <w:r w:rsidRPr="00A23740">
              <w:rPr>
                <w:rStyle w:val="MaviChar"/>
              </w:rPr>
              <w:t xml:space="preserve"> işlemlerde</w:t>
            </w:r>
            <w:r w:rsidRPr="00A23740">
              <w:rPr>
                <w:rFonts w:eastAsia="Times New Roman"/>
                <w:szCs w:val="24"/>
                <w:lang w:eastAsia="tr-TR"/>
              </w:rPr>
              <w:t xml:space="preserve"> </w:t>
            </w:r>
            <w:r w:rsidRPr="00A23740">
              <w:rPr>
                <w:rStyle w:val="MaviChar"/>
              </w:rPr>
              <w:t>takdir yetkisini</w:t>
            </w:r>
            <w:r w:rsidRPr="00A23740">
              <w:rPr>
                <w:rStyle w:val="MaviChar"/>
                <w:lang w:val="tr-TR"/>
              </w:rPr>
              <w:t>n</w:t>
            </w:r>
            <w:r w:rsidRPr="00A23740">
              <w:rPr>
                <w:rStyle w:val="MaviChar"/>
              </w:rPr>
              <w:t xml:space="preserve"> somut olayın gereklerine uygun kullan</w:t>
            </w:r>
            <w:r w:rsidRPr="00A23740">
              <w:rPr>
                <w:rStyle w:val="MaviChar"/>
                <w:lang w:val="tr-TR"/>
              </w:rPr>
              <w:t>ıl</w:t>
            </w:r>
            <w:r w:rsidRPr="00A23740">
              <w:rPr>
                <w:rStyle w:val="MaviChar"/>
              </w:rPr>
              <w:t>maması</w:t>
            </w:r>
            <w:r w:rsidRPr="00A23740">
              <w:rPr>
                <w:rStyle w:val="MaviChar"/>
                <w:lang w:val="tr-TR"/>
              </w:rPr>
              <w:t>.</w:t>
            </w:r>
          </w:p>
          <w:p w:rsidR="00FE4EDC" w:rsidRPr="00A23740" w:rsidRDefault="00FE4EDC" w:rsidP="009431FF">
            <w:pPr>
              <w:rPr>
                <w:rStyle w:val="MaviChar"/>
                <w:lang w:val="tr-TR"/>
              </w:rPr>
            </w:pPr>
          </w:p>
          <w:p w:rsidR="006601D6" w:rsidRPr="00A23740" w:rsidRDefault="00992553" w:rsidP="009431FF">
            <w:pPr>
              <w:rPr>
                <w:rStyle w:val="MaviChar"/>
                <w:lang w:val="tr-TR"/>
              </w:rPr>
            </w:pPr>
            <w:r w:rsidRPr="00A23740">
              <w:rPr>
                <w:rStyle w:val="MaviChar"/>
                <w:lang w:val="tr-TR"/>
              </w:rPr>
              <w:t xml:space="preserve">c) </w:t>
            </w:r>
            <w:r w:rsidR="003C1533" w:rsidRPr="00A23740">
              <w:rPr>
                <w:rStyle w:val="MaviChar"/>
                <w:lang w:val="tr-TR"/>
              </w:rPr>
              <w:t>Y</w:t>
            </w:r>
            <w:r w:rsidRPr="00A23740">
              <w:rPr>
                <w:rStyle w:val="MaviChar"/>
              </w:rPr>
              <w:t>apılması gereken işlem</w:t>
            </w:r>
            <w:r w:rsidR="005F5641" w:rsidRPr="00A23740">
              <w:rPr>
                <w:rStyle w:val="MaviChar"/>
                <w:lang w:val="tr-TR"/>
              </w:rPr>
              <w:t>ler</w:t>
            </w:r>
            <w:r w:rsidRPr="00A23740">
              <w:rPr>
                <w:rStyle w:val="MaviChar"/>
              </w:rPr>
              <w:t>i</w:t>
            </w:r>
            <w:r w:rsidRPr="00A23740">
              <w:rPr>
                <w:rStyle w:val="MaviChar"/>
                <w:lang w:val="tr-TR"/>
              </w:rPr>
              <w:t>n</w:t>
            </w:r>
            <w:r w:rsidRPr="00A23740">
              <w:rPr>
                <w:rStyle w:val="MaviChar"/>
              </w:rPr>
              <w:t xml:space="preserve"> </w:t>
            </w:r>
            <w:r w:rsidR="003C1533" w:rsidRPr="00A23740">
              <w:rPr>
                <w:rStyle w:val="MaviChar"/>
                <w:lang w:val="tr-TR"/>
              </w:rPr>
              <w:t>h</w:t>
            </w:r>
            <w:r w:rsidR="003C1533" w:rsidRPr="00A23740">
              <w:rPr>
                <w:rStyle w:val="MaviChar"/>
              </w:rPr>
              <w:t xml:space="preserve">aklı bir sebep bulunmaksızın </w:t>
            </w:r>
            <w:r w:rsidRPr="00A23740">
              <w:rPr>
                <w:rStyle w:val="MaviChar"/>
              </w:rPr>
              <w:t>yap</w:t>
            </w:r>
            <w:r w:rsidRPr="00A23740">
              <w:rPr>
                <w:rStyle w:val="MaviChar"/>
                <w:lang w:val="tr-TR"/>
              </w:rPr>
              <w:t>ıl</w:t>
            </w:r>
            <w:r w:rsidRPr="00A23740">
              <w:rPr>
                <w:rStyle w:val="MaviChar"/>
              </w:rPr>
              <w:t xml:space="preserve">maması </w:t>
            </w:r>
            <w:r w:rsidRPr="00A23740">
              <w:rPr>
                <w:rStyle w:val="MaviChar"/>
                <w:lang w:val="tr-TR"/>
              </w:rPr>
              <w:t>veya</w:t>
            </w:r>
            <w:r w:rsidRPr="00A23740">
              <w:rPr>
                <w:rStyle w:val="MaviChar"/>
              </w:rPr>
              <w:t xml:space="preserve"> sürüncemede bıra</w:t>
            </w:r>
            <w:r w:rsidRPr="00A23740">
              <w:rPr>
                <w:rStyle w:val="MaviChar"/>
              </w:rPr>
              <w:softHyphen/>
              <w:t>k</w:t>
            </w:r>
            <w:r w:rsidRPr="00A23740">
              <w:rPr>
                <w:rStyle w:val="MaviChar"/>
                <w:lang w:val="tr-TR"/>
              </w:rPr>
              <w:t>ıl</w:t>
            </w:r>
            <w:r w:rsidRPr="00A23740">
              <w:rPr>
                <w:rStyle w:val="MaviChar"/>
              </w:rPr>
              <w:t>ması</w:t>
            </w:r>
            <w:r w:rsidRPr="00A23740">
              <w:rPr>
                <w:rStyle w:val="MaviChar"/>
                <w:lang w:val="tr-TR"/>
              </w:rPr>
              <w:t>.</w:t>
            </w:r>
          </w:p>
          <w:p w:rsidR="00FE4EDC" w:rsidRPr="00A23740" w:rsidRDefault="00FE4EDC" w:rsidP="009431FF">
            <w:pPr>
              <w:pStyle w:val="Mavi"/>
            </w:pPr>
          </w:p>
          <w:p w:rsidR="00155AF4" w:rsidRPr="00A23740" w:rsidRDefault="00155AF4" w:rsidP="009431FF">
            <w:pPr>
              <w:pStyle w:val="Mavi"/>
              <w:rPr>
                <w:lang w:eastAsia="tr-TR"/>
              </w:rPr>
            </w:pPr>
            <w:r w:rsidRPr="00A23740">
              <w:t>(2) Şikâyet yoluna, takibin tarafları ve hukuki yararı bulunmak kaydıyla üçüncü kişiler başvurabilir.</w:t>
            </w:r>
          </w:p>
        </w:tc>
      </w:tr>
      <w:tr w:rsidR="00155AF4" w:rsidRPr="00A23740" w:rsidTr="009431FF">
        <w:tc>
          <w:tcPr>
            <w:tcW w:w="5000" w:type="pct"/>
            <w:gridSpan w:val="2"/>
            <w:shd w:val="clear" w:color="auto" w:fill="DEEAF6"/>
          </w:tcPr>
          <w:p w:rsidR="004814BA" w:rsidRPr="00A23740" w:rsidRDefault="004814BA" w:rsidP="009431FF">
            <w:pPr>
              <w:pStyle w:val="Mavi"/>
              <w:ind w:firstLine="709"/>
              <w:jc w:val="center"/>
              <w:rPr>
                <w:color w:val="auto"/>
                <w:lang w:val="tr-TR"/>
              </w:rPr>
            </w:pPr>
          </w:p>
          <w:p w:rsidR="004814BA" w:rsidRPr="00A23740" w:rsidRDefault="00D42F78" w:rsidP="009431FF">
            <w:pPr>
              <w:pStyle w:val="Mavi"/>
              <w:ind w:firstLine="709"/>
              <w:rPr>
                <w:color w:val="auto"/>
                <w:lang w:val="tr-TR"/>
              </w:rPr>
            </w:pPr>
            <w:r w:rsidRPr="00A23740">
              <w:rPr>
                <w:color w:val="auto"/>
                <w:lang w:val="tr-TR"/>
              </w:rPr>
              <w:t>MADDE 22</w:t>
            </w:r>
            <w:r w:rsidR="00155AF4" w:rsidRPr="00A23740">
              <w:rPr>
                <w:color w:val="auto"/>
                <w:lang w:val="tr-TR"/>
              </w:rPr>
              <w:t xml:space="preserve">- </w:t>
            </w:r>
            <w:r w:rsidR="004814BA" w:rsidRPr="00A23740">
              <w:rPr>
                <w:b w:val="0"/>
                <w:bCs w:val="0"/>
                <w:color w:val="auto"/>
                <w:lang w:val="tr-TR"/>
              </w:rPr>
              <w:t>Maddeyle, şikâyet sebepleri ve şikâyet</w:t>
            </w:r>
            <w:r w:rsidR="00B03C95" w:rsidRPr="00A23740">
              <w:rPr>
                <w:b w:val="0"/>
                <w:bCs w:val="0"/>
                <w:color w:val="auto"/>
                <w:lang w:val="tr-TR"/>
              </w:rPr>
              <w:t xml:space="preserve"> yoluna</w:t>
            </w:r>
            <w:r w:rsidR="004814BA" w:rsidRPr="00A23740">
              <w:rPr>
                <w:b w:val="0"/>
                <w:bCs w:val="0"/>
                <w:color w:val="auto"/>
                <w:lang w:val="tr-TR"/>
              </w:rPr>
              <w:t xml:space="preserve"> başvuru usulü düzenlenmektedir.</w:t>
            </w:r>
          </w:p>
          <w:p w:rsidR="00155AF4" w:rsidRPr="00A23740" w:rsidRDefault="004814BA" w:rsidP="009431FF">
            <w:pPr>
              <w:pStyle w:val="Mavi"/>
              <w:ind w:firstLine="709"/>
              <w:rPr>
                <w:rStyle w:val="MaviChar"/>
                <w:color w:val="auto"/>
                <w:lang w:val="tr-TR"/>
              </w:rPr>
            </w:pPr>
            <w:r w:rsidRPr="00A23740">
              <w:rPr>
                <w:b w:val="0"/>
                <w:bCs w:val="0"/>
                <w:color w:val="auto"/>
                <w:lang w:val="tr-TR"/>
              </w:rPr>
              <w:t>Birinci fıkrayla, şik</w:t>
            </w:r>
            <w:r w:rsidR="000949F1" w:rsidRPr="00A23740">
              <w:rPr>
                <w:b w:val="0"/>
                <w:bCs w:val="0"/>
                <w:color w:val="auto"/>
                <w:lang w:val="tr-TR"/>
              </w:rPr>
              <w:t>â</w:t>
            </w:r>
            <w:r w:rsidRPr="00A23740">
              <w:rPr>
                <w:b w:val="0"/>
                <w:bCs w:val="0"/>
                <w:color w:val="auto"/>
                <w:lang w:val="tr-TR"/>
              </w:rPr>
              <w:t>yete başvurulacak h</w:t>
            </w:r>
            <w:r w:rsidR="005E4704" w:rsidRPr="00A23740">
              <w:rPr>
                <w:b w:val="0"/>
                <w:bCs w:val="0"/>
                <w:color w:val="auto"/>
                <w:lang w:val="tr-TR"/>
              </w:rPr>
              <w:t>â</w:t>
            </w:r>
            <w:r w:rsidRPr="00A23740">
              <w:rPr>
                <w:b w:val="0"/>
                <w:bCs w:val="0"/>
                <w:color w:val="auto"/>
                <w:lang w:val="tr-TR"/>
              </w:rPr>
              <w:t xml:space="preserve">ller belirlenmektedir. </w:t>
            </w:r>
            <w:r w:rsidR="00886EC7" w:rsidRPr="00A23740">
              <w:rPr>
                <w:b w:val="0"/>
                <w:bCs w:val="0"/>
                <w:color w:val="auto"/>
                <w:lang w:val="tr-TR"/>
              </w:rPr>
              <w:t>Takip hukukuna özgü bir hukuki çare olan şikâyet</w:t>
            </w:r>
            <w:r w:rsidR="003C1533" w:rsidRPr="00A23740">
              <w:rPr>
                <w:b w:val="0"/>
                <w:bCs w:val="0"/>
                <w:color w:val="auto"/>
                <w:lang w:val="tr-TR"/>
              </w:rPr>
              <w:t>e ilişkin</w:t>
            </w:r>
            <w:r w:rsidR="00886EC7" w:rsidRPr="00A23740">
              <w:rPr>
                <w:b w:val="0"/>
                <w:bCs w:val="0"/>
                <w:color w:val="auto"/>
                <w:lang w:val="tr-TR"/>
              </w:rPr>
              <w:t xml:space="preserve"> sebepler</w:t>
            </w:r>
            <w:r w:rsidR="00B92E5B" w:rsidRPr="00A23740">
              <w:rPr>
                <w:b w:val="0"/>
                <w:bCs w:val="0"/>
                <w:color w:val="auto"/>
                <w:lang w:val="tr-TR"/>
              </w:rPr>
              <w:t>,</w:t>
            </w:r>
            <w:r w:rsidR="00886EC7" w:rsidRPr="00A23740">
              <w:rPr>
                <w:b w:val="0"/>
                <w:bCs w:val="0"/>
                <w:color w:val="auto"/>
                <w:lang w:val="tr-TR"/>
              </w:rPr>
              <w:t xml:space="preserve"> </w:t>
            </w:r>
            <w:r w:rsidR="0086121A" w:rsidRPr="00A23740">
              <w:rPr>
                <w:b w:val="0"/>
                <w:bCs w:val="0"/>
                <w:color w:val="auto"/>
                <w:lang w:val="tr-TR"/>
              </w:rPr>
              <w:t>2004 sayılı K</w:t>
            </w:r>
            <w:r w:rsidR="00886EC7" w:rsidRPr="00A23740">
              <w:rPr>
                <w:b w:val="0"/>
                <w:bCs w:val="0"/>
                <w:color w:val="auto"/>
                <w:lang w:val="tr-TR"/>
              </w:rPr>
              <w:t xml:space="preserve">anunda olduğu şekliyle alınmaktadır. </w:t>
            </w:r>
            <w:r w:rsidR="008F172F" w:rsidRPr="00A23740">
              <w:rPr>
                <w:b w:val="0"/>
                <w:bCs w:val="0"/>
                <w:color w:val="auto"/>
                <w:lang w:val="tr-TR"/>
              </w:rPr>
              <w:t>Fıkrada</w:t>
            </w:r>
            <w:r w:rsidR="00B92E5B" w:rsidRPr="00A23740">
              <w:rPr>
                <w:b w:val="0"/>
                <w:bCs w:val="0"/>
                <w:color w:val="auto"/>
                <w:lang w:val="tr-TR"/>
              </w:rPr>
              <w:t xml:space="preserve"> icra ve iflas dairelerinin görevleriyle ilgili olarak şik</w:t>
            </w:r>
            <w:r w:rsidR="000949F1" w:rsidRPr="00A23740">
              <w:rPr>
                <w:b w:val="0"/>
                <w:bCs w:val="0"/>
                <w:color w:val="auto"/>
                <w:lang w:val="tr-TR"/>
              </w:rPr>
              <w:t>â</w:t>
            </w:r>
            <w:r w:rsidR="00B92E5B" w:rsidRPr="00A23740">
              <w:rPr>
                <w:b w:val="0"/>
                <w:bCs w:val="0"/>
                <w:color w:val="auto"/>
                <w:lang w:val="tr-TR"/>
              </w:rPr>
              <w:t>yet sebepleri bentler h</w:t>
            </w:r>
            <w:r w:rsidR="005E4704" w:rsidRPr="00A23740">
              <w:rPr>
                <w:b w:val="0"/>
                <w:bCs w:val="0"/>
                <w:color w:val="auto"/>
                <w:lang w:val="tr-TR"/>
              </w:rPr>
              <w:t>â</w:t>
            </w:r>
            <w:r w:rsidR="00B92E5B" w:rsidRPr="00A23740">
              <w:rPr>
                <w:b w:val="0"/>
                <w:bCs w:val="0"/>
                <w:color w:val="auto"/>
                <w:lang w:val="tr-TR"/>
              </w:rPr>
              <w:t xml:space="preserve">linde sayılmaktadır. </w:t>
            </w:r>
            <w:r w:rsidR="008F172F" w:rsidRPr="00A23740">
              <w:rPr>
                <w:b w:val="0"/>
                <w:bCs w:val="0"/>
                <w:color w:val="auto"/>
                <w:lang w:val="tr-TR"/>
              </w:rPr>
              <w:t>Hükme</w:t>
            </w:r>
            <w:r w:rsidR="00B92E5B" w:rsidRPr="00A23740">
              <w:rPr>
                <w:b w:val="0"/>
                <w:bCs w:val="0"/>
                <w:color w:val="auto"/>
                <w:lang w:val="tr-TR"/>
              </w:rPr>
              <w:t xml:space="preserve"> göre; yapılan işlemlerin kanuna aykırı olma</w:t>
            </w:r>
            <w:r w:rsidR="00B92E5B" w:rsidRPr="00A23740">
              <w:rPr>
                <w:b w:val="0"/>
                <w:bCs w:val="0"/>
                <w:color w:val="auto"/>
                <w:lang w:val="tr-TR"/>
              </w:rPr>
              <w:softHyphen/>
              <w:t>sı, yapılan işlemlerde takdir yetkisinin somut olayın gerekleri</w:t>
            </w:r>
            <w:r w:rsidR="000949F1" w:rsidRPr="00A23740">
              <w:rPr>
                <w:b w:val="0"/>
                <w:bCs w:val="0"/>
                <w:color w:val="auto"/>
                <w:lang w:val="tr-TR"/>
              </w:rPr>
              <w:t>ne uygun kullanılmaması ve haklı</w:t>
            </w:r>
            <w:r w:rsidR="00B92E5B" w:rsidRPr="00A23740">
              <w:rPr>
                <w:b w:val="0"/>
                <w:bCs w:val="0"/>
                <w:color w:val="auto"/>
                <w:lang w:val="tr-TR"/>
              </w:rPr>
              <w:t xml:space="preserve"> bir sebep bulunmaksızın yapılması gereken işlemlerin yapılmaması veya sürüncemede bıra</w:t>
            </w:r>
            <w:r w:rsidR="00B92E5B" w:rsidRPr="00A23740">
              <w:rPr>
                <w:b w:val="0"/>
                <w:bCs w:val="0"/>
                <w:color w:val="auto"/>
                <w:lang w:val="tr-TR"/>
              </w:rPr>
              <w:softHyphen/>
              <w:t>kılması</w:t>
            </w:r>
            <w:r w:rsidR="003C1533" w:rsidRPr="00A23740">
              <w:rPr>
                <w:b w:val="0"/>
                <w:bCs w:val="0"/>
                <w:color w:val="auto"/>
                <w:lang w:val="tr-TR"/>
              </w:rPr>
              <w:t>na</w:t>
            </w:r>
            <w:r w:rsidR="00B92E5B" w:rsidRPr="00A23740">
              <w:rPr>
                <w:b w:val="0"/>
                <w:bCs w:val="0"/>
                <w:color w:val="auto"/>
                <w:lang w:val="tr-TR"/>
              </w:rPr>
              <w:t xml:space="preserve"> bağlı olarak</w:t>
            </w:r>
            <w:r w:rsidR="008F172F" w:rsidRPr="00A23740">
              <w:rPr>
                <w:b w:val="0"/>
                <w:bCs w:val="0"/>
                <w:color w:val="auto"/>
                <w:lang w:val="tr-TR"/>
              </w:rPr>
              <w:t xml:space="preserve"> şik</w:t>
            </w:r>
            <w:r w:rsidR="000949F1" w:rsidRPr="00A23740">
              <w:rPr>
                <w:b w:val="0"/>
                <w:bCs w:val="0"/>
                <w:color w:val="auto"/>
                <w:lang w:val="tr-TR"/>
              </w:rPr>
              <w:t>â</w:t>
            </w:r>
            <w:r w:rsidR="008F172F" w:rsidRPr="00A23740">
              <w:rPr>
                <w:b w:val="0"/>
                <w:bCs w:val="0"/>
                <w:color w:val="auto"/>
                <w:lang w:val="tr-TR"/>
              </w:rPr>
              <w:t>yet yoluna başvurulabilmektedir</w:t>
            </w:r>
            <w:r w:rsidR="00B92E5B" w:rsidRPr="00A23740">
              <w:rPr>
                <w:b w:val="0"/>
                <w:bCs w:val="0"/>
                <w:color w:val="auto"/>
                <w:lang w:val="tr-TR"/>
              </w:rPr>
              <w:t>.</w:t>
            </w:r>
            <w:r w:rsidR="00BD4BD8" w:rsidRPr="00A23740">
              <w:rPr>
                <w:b w:val="0"/>
                <w:bCs w:val="0"/>
                <w:color w:val="auto"/>
                <w:lang w:val="tr-TR"/>
              </w:rPr>
              <w:t xml:space="preserve"> </w:t>
            </w:r>
            <w:r w:rsidR="00155AF4" w:rsidRPr="00A23740">
              <w:rPr>
                <w:rStyle w:val="MaviChar"/>
                <w:color w:val="auto"/>
              </w:rPr>
              <w:t xml:space="preserve">Şikâyet sebeplerinden de </w:t>
            </w:r>
            <w:r w:rsidR="001329A4" w:rsidRPr="00A23740">
              <w:rPr>
                <w:rStyle w:val="MaviChar"/>
                <w:color w:val="auto"/>
              </w:rPr>
              <w:t>anlaşılacağı üzere, icra ve ifla</w:t>
            </w:r>
            <w:r w:rsidR="00155AF4" w:rsidRPr="00A23740">
              <w:rPr>
                <w:rStyle w:val="MaviChar"/>
                <w:color w:val="auto"/>
              </w:rPr>
              <w:t xml:space="preserve">s dairesi görevlilerinin sadece işlemleri değil eylemleri veya hareketsizlikleri </w:t>
            </w:r>
            <w:r w:rsidR="00886EC7" w:rsidRPr="00A23740">
              <w:rPr>
                <w:rStyle w:val="MaviChar"/>
                <w:color w:val="auto"/>
                <w:lang w:val="tr-TR"/>
              </w:rPr>
              <w:t xml:space="preserve">de </w:t>
            </w:r>
            <w:r w:rsidR="00886EC7" w:rsidRPr="00A23740">
              <w:rPr>
                <w:rStyle w:val="MaviChar"/>
                <w:color w:val="auto"/>
              </w:rPr>
              <w:t>şikâyet sebebi olabilecektir.</w:t>
            </w:r>
            <w:r w:rsidR="0086121A" w:rsidRPr="00A23740">
              <w:rPr>
                <w:rStyle w:val="MaviChar"/>
                <w:color w:val="auto"/>
                <w:lang w:val="tr-TR"/>
              </w:rPr>
              <w:t xml:space="preserve"> </w:t>
            </w:r>
            <w:r w:rsidR="0086121A" w:rsidRPr="00A23740">
              <w:rPr>
                <w:b w:val="0"/>
                <w:bCs w:val="0"/>
                <w:color w:val="auto"/>
                <w:lang w:val="tr-TR"/>
              </w:rPr>
              <w:t>Bu fıkra, 2004 sayılı Kanunun 16 ncı maddesine karşılık gelmektedir.</w:t>
            </w:r>
          </w:p>
          <w:p w:rsidR="006278BE" w:rsidRPr="00A23740" w:rsidRDefault="00886EC7" w:rsidP="009431FF">
            <w:pPr>
              <w:pStyle w:val="Mavi"/>
              <w:ind w:firstLine="709"/>
              <w:rPr>
                <w:rFonts w:eastAsia="Times New Roman"/>
                <w:b w:val="0"/>
              </w:rPr>
            </w:pPr>
            <w:r w:rsidRPr="00A23740">
              <w:rPr>
                <w:rStyle w:val="MaviChar"/>
                <w:color w:val="auto"/>
                <w:lang w:val="tr-TR"/>
              </w:rPr>
              <w:t xml:space="preserve">İkinci fıkrayla, </w:t>
            </w:r>
            <w:r w:rsidR="000D41F2" w:rsidRPr="00A23740">
              <w:rPr>
                <w:rStyle w:val="MaviChar"/>
                <w:color w:val="auto"/>
                <w:lang w:val="tr-TR"/>
              </w:rPr>
              <w:t>şik</w:t>
            </w:r>
            <w:r w:rsidR="000949F1" w:rsidRPr="00A23740">
              <w:rPr>
                <w:b w:val="0"/>
                <w:bCs w:val="0"/>
                <w:color w:val="auto"/>
                <w:lang w:val="tr-TR"/>
              </w:rPr>
              <w:t>â</w:t>
            </w:r>
            <w:r w:rsidR="000D41F2" w:rsidRPr="00A23740">
              <w:rPr>
                <w:rStyle w:val="MaviChar"/>
                <w:color w:val="auto"/>
                <w:lang w:val="tr-TR"/>
              </w:rPr>
              <w:t xml:space="preserve">yet yoluna başvurabilecekler belirlenmektedir. Buna göre, </w:t>
            </w:r>
            <w:r w:rsidRPr="00A23740">
              <w:rPr>
                <w:rStyle w:val="MaviChar"/>
                <w:color w:val="auto"/>
              </w:rPr>
              <w:t>şikâyet yoluna, takibin tarafları ve hukuki yararları bulunmak şartıyla üçüncü kişiler</w:t>
            </w:r>
            <w:r w:rsidR="009B42C5" w:rsidRPr="00A23740">
              <w:rPr>
                <w:rStyle w:val="MaviChar"/>
                <w:color w:val="auto"/>
              </w:rPr>
              <w:t xml:space="preserve"> başvurabilir</w:t>
            </w:r>
            <w:r w:rsidRPr="00A23740">
              <w:rPr>
                <w:rStyle w:val="MaviChar"/>
                <w:color w:val="auto"/>
              </w:rPr>
              <w:t>.</w:t>
            </w:r>
            <w:r w:rsidR="000D41F2" w:rsidRPr="00A23740">
              <w:rPr>
                <w:rStyle w:val="MaviChar"/>
                <w:color w:val="auto"/>
                <w:lang w:val="tr-TR"/>
              </w:rPr>
              <w:t xml:space="preserve"> Bilindiği üzere</w:t>
            </w:r>
            <w:r w:rsidRPr="00A23740">
              <w:rPr>
                <w:rStyle w:val="MaviChar"/>
                <w:color w:val="auto"/>
                <w:lang w:val="tr-TR"/>
              </w:rPr>
              <w:t xml:space="preserve"> </w:t>
            </w:r>
            <w:r w:rsidR="000D41F2" w:rsidRPr="00A23740">
              <w:rPr>
                <w:rStyle w:val="MaviChar"/>
                <w:color w:val="auto"/>
                <w:lang w:val="tr-TR"/>
              </w:rPr>
              <w:t xml:space="preserve">icra takiplerinde, </w:t>
            </w:r>
            <w:r w:rsidRPr="00A23740">
              <w:rPr>
                <w:rStyle w:val="MaviChar"/>
                <w:color w:val="auto"/>
                <w:lang w:val="tr-TR"/>
              </w:rPr>
              <w:t>alacaklı ve borçlu dışında üçüncü kişilerin de haklarının etkilenme</w:t>
            </w:r>
            <w:r w:rsidR="000D41F2" w:rsidRPr="00A23740">
              <w:rPr>
                <w:rStyle w:val="MaviChar"/>
                <w:color w:val="auto"/>
                <w:lang w:val="tr-TR"/>
              </w:rPr>
              <w:t>si</w:t>
            </w:r>
            <w:r w:rsidRPr="00A23740">
              <w:rPr>
                <w:rStyle w:val="MaviChar"/>
                <w:color w:val="auto"/>
                <w:lang w:val="tr-TR"/>
              </w:rPr>
              <w:t xml:space="preserve"> söz konusu </w:t>
            </w:r>
            <w:r w:rsidR="000D41F2" w:rsidRPr="00A23740">
              <w:rPr>
                <w:rStyle w:val="MaviChar"/>
                <w:color w:val="auto"/>
                <w:lang w:val="tr-TR"/>
              </w:rPr>
              <w:t>olabilmektedir</w:t>
            </w:r>
            <w:r w:rsidRPr="00A23740">
              <w:rPr>
                <w:rStyle w:val="MaviChar"/>
                <w:color w:val="auto"/>
                <w:lang w:val="tr-TR"/>
              </w:rPr>
              <w:t xml:space="preserve">. </w:t>
            </w:r>
            <w:r w:rsidR="009C6098" w:rsidRPr="00A23740">
              <w:rPr>
                <w:b w:val="0"/>
                <w:bCs w:val="0"/>
                <w:color w:val="auto"/>
                <w:lang w:val="tr-TR"/>
              </w:rPr>
              <w:t xml:space="preserve">2004 sayılı Kanunun </w:t>
            </w:r>
            <w:r w:rsidR="000D41F2" w:rsidRPr="00A23740">
              <w:rPr>
                <w:b w:val="0"/>
                <w:bCs w:val="0"/>
                <w:color w:val="auto"/>
                <w:lang w:val="tr-TR"/>
              </w:rPr>
              <w:t>uygulanması sırasında,</w:t>
            </w:r>
            <w:r w:rsidR="009C6098" w:rsidRPr="00A23740">
              <w:rPr>
                <w:b w:val="0"/>
                <w:bCs w:val="0"/>
                <w:color w:val="auto"/>
                <w:lang w:val="tr-TR"/>
              </w:rPr>
              <w:t xml:space="preserve"> Yargıtay tarafından takibin tarafı olmayan, alacaklı ve borçlu dışında üçüncü kişile</w:t>
            </w:r>
            <w:r w:rsidR="000D41F2" w:rsidRPr="00A23740">
              <w:rPr>
                <w:b w:val="0"/>
                <w:bCs w:val="0"/>
                <w:color w:val="auto"/>
                <w:lang w:val="tr-TR"/>
              </w:rPr>
              <w:t>rin şikâyet yoluna gidemeyeceğine karar</w:t>
            </w:r>
            <w:r w:rsidR="009C6098" w:rsidRPr="00A23740">
              <w:rPr>
                <w:b w:val="0"/>
                <w:bCs w:val="0"/>
                <w:color w:val="auto"/>
                <w:lang w:val="tr-TR"/>
              </w:rPr>
              <w:t xml:space="preserve"> verilmekteydi. Buna karşılık Anayasa Mahkemesi, bireysel başvuru kararlarında, hukuki yararı bulunan üçüncü kişiye şikâyet olanağının tanınmamasını hak ihlali olarak kabul etmektedir. Anayasa Mahkemesi, borçlunun ve ailesinin h</w:t>
            </w:r>
            <w:r w:rsidR="005E4704" w:rsidRPr="00A23740">
              <w:rPr>
                <w:b w:val="0"/>
                <w:bCs w:val="0"/>
                <w:color w:val="auto"/>
                <w:lang w:val="tr-TR"/>
              </w:rPr>
              <w:t>â</w:t>
            </w:r>
            <w:r w:rsidR="009C6098" w:rsidRPr="00A23740">
              <w:rPr>
                <w:b w:val="0"/>
                <w:bCs w:val="0"/>
                <w:color w:val="auto"/>
                <w:lang w:val="tr-TR"/>
              </w:rPr>
              <w:t>line münasip evinin haczedilmesi, ancak borçlunun eşine şikâyet hakkının verilmemesi h</w:t>
            </w:r>
            <w:r w:rsidR="005E4704" w:rsidRPr="00A23740">
              <w:rPr>
                <w:b w:val="0"/>
                <w:bCs w:val="0"/>
                <w:color w:val="auto"/>
                <w:lang w:val="tr-TR"/>
              </w:rPr>
              <w:t>â</w:t>
            </w:r>
            <w:r w:rsidR="009C6098" w:rsidRPr="00A23740">
              <w:rPr>
                <w:b w:val="0"/>
                <w:bCs w:val="0"/>
                <w:color w:val="auto"/>
                <w:lang w:val="tr-TR"/>
              </w:rPr>
              <w:t>linde, eşin</w:t>
            </w:r>
            <w:r w:rsidR="009C6098" w:rsidRPr="00A23740">
              <w:rPr>
                <w:color w:val="auto"/>
              </w:rPr>
              <w:t xml:space="preserve"> </w:t>
            </w:r>
            <w:r w:rsidR="009C6098" w:rsidRPr="00A23740">
              <w:rPr>
                <w:b w:val="0"/>
                <w:bCs w:val="0"/>
                <w:color w:val="010000"/>
              </w:rPr>
              <w:t>aile konutu güvencesinden kaynaklanan haklarını ileri sürebilme ve bunları yargı mercilerinde tartıştırabilme imkânın</w:t>
            </w:r>
            <w:r w:rsidR="009C6098" w:rsidRPr="00A23740">
              <w:rPr>
                <w:b w:val="0"/>
                <w:bCs w:val="0"/>
                <w:color w:val="010000"/>
                <w:lang w:val="tr-TR"/>
              </w:rPr>
              <w:t>dan yoksun kalacağı</w:t>
            </w:r>
            <w:r w:rsidR="009C6098" w:rsidRPr="00A23740">
              <w:rPr>
                <w:b w:val="0"/>
                <w:bCs w:val="0"/>
                <w:color w:val="010000"/>
              </w:rPr>
              <w:t xml:space="preserve"> </w:t>
            </w:r>
            <w:r w:rsidR="009C6098" w:rsidRPr="00A23740">
              <w:rPr>
                <w:b w:val="0"/>
                <w:bCs w:val="0"/>
                <w:color w:val="010000"/>
                <w:lang w:val="tr-TR"/>
              </w:rPr>
              <w:t xml:space="preserve">ve bunun da </w:t>
            </w:r>
            <w:r w:rsidR="000D41F2" w:rsidRPr="00A23740">
              <w:rPr>
                <w:b w:val="0"/>
                <w:bCs w:val="0"/>
                <w:color w:val="010000"/>
              </w:rPr>
              <w:t>Anayasanın 20 nci</w:t>
            </w:r>
            <w:r w:rsidR="009C6098" w:rsidRPr="00A23740">
              <w:rPr>
                <w:b w:val="0"/>
                <w:bCs w:val="0"/>
                <w:color w:val="010000"/>
              </w:rPr>
              <w:t xml:space="preserve"> maddesinde güvence altına alınan aile hayatına saygı hakkını</w:t>
            </w:r>
            <w:r w:rsidR="009C6098" w:rsidRPr="00A23740">
              <w:rPr>
                <w:b w:val="0"/>
                <w:bCs w:val="0"/>
                <w:color w:val="010000"/>
                <w:lang w:val="tr-TR"/>
              </w:rPr>
              <w:t xml:space="preserve"> </w:t>
            </w:r>
            <w:r w:rsidR="009C6098" w:rsidRPr="00A23740">
              <w:rPr>
                <w:b w:val="0"/>
                <w:bCs w:val="0"/>
                <w:color w:val="010000"/>
              </w:rPr>
              <w:t>ihlal ed</w:t>
            </w:r>
            <w:r w:rsidR="009C6098" w:rsidRPr="00A23740">
              <w:rPr>
                <w:b w:val="0"/>
                <w:bCs w:val="0"/>
                <w:color w:val="010000"/>
                <w:lang w:val="tr-TR"/>
              </w:rPr>
              <w:t xml:space="preserve">eceğine </w:t>
            </w:r>
            <w:r w:rsidR="009C6098" w:rsidRPr="00A23740">
              <w:rPr>
                <w:b w:val="0"/>
                <w:bCs w:val="0"/>
                <w:color w:val="010000"/>
              </w:rPr>
              <w:t>karar</w:t>
            </w:r>
            <w:r w:rsidR="009C6098" w:rsidRPr="00A23740">
              <w:rPr>
                <w:b w:val="0"/>
                <w:bCs w:val="0"/>
                <w:color w:val="010000"/>
                <w:lang w:val="tr-TR"/>
              </w:rPr>
              <w:t xml:space="preserve"> vermiştir.</w:t>
            </w:r>
            <w:r w:rsidRPr="00A23740">
              <w:rPr>
                <w:rStyle w:val="MaviChar"/>
                <w:color w:val="auto"/>
                <w:lang w:val="tr-TR"/>
              </w:rPr>
              <w:t xml:space="preserve"> </w:t>
            </w:r>
            <w:r w:rsidR="00163E5A" w:rsidRPr="00A23740">
              <w:rPr>
                <w:rStyle w:val="MaviChar"/>
                <w:color w:val="auto"/>
                <w:lang w:val="tr-TR"/>
              </w:rPr>
              <w:t>Taslakla</w:t>
            </w:r>
            <w:r w:rsidRPr="00A23740">
              <w:rPr>
                <w:rStyle w:val="MaviChar"/>
                <w:color w:val="auto"/>
                <w:lang w:val="tr-TR"/>
              </w:rPr>
              <w:t>, takibin tarafları dışında hukuki yararı bulunan üçüncü kişilerin de şik</w:t>
            </w:r>
            <w:r w:rsidR="000949F1" w:rsidRPr="00A23740">
              <w:rPr>
                <w:b w:val="0"/>
                <w:bCs w:val="0"/>
                <w:color w:val="auto"/>
                <w:lang w:val="tr-TR"/>
              </w:rPr>
              <w:t>â</w:t>
            </w:r>
            <w:r w:rsidRPr="00A23740">
              <w:rPr>
                <w:rStyle w:val="MaviChar"/>
                <w:color w:val="auto"/>
                <w:lang w:val="tr-TR"/>
              </w:rPr>
              <w:t>yet yoluna başvurabileceği açıkça hükme bağlanmaktadır.</w:t>
            </w:r>
            <w:r w:rsidR="00216FCB" w:rsidRPr="00A23740">
              <w:rPr>
                <w:rStyle w:val="MaviChar"/>
                <w:color w:val="auto"/>
                <w:lang w:val="tr-TR"/>
              </w:rPr>
              <w:t xml:space="preserve"> Düzenlemeyle,</w:t>
            </w:r>
            <w:r w:rsidR="009C6098" w:rsidRPr="00A23740">
              <w:rPr>
                <w:b w:val="0"/>
                <w:bCs w:val="0"/>
                <w:color w:val="010000"/>
                <w:lang w:val="tr-TR"/>
              </w:rPr>
              <w:t xml:space="preserve"> her somut olayda takibin tarafı olmayan üçüncü kişinin, takipteki bir usulsüzlüğü veya kanuna aykırılığı ileri sürmesinde korunmaya değer bir hukuki yararının olup olmadığı</w:t>
            </w:r>
            <w:r w:rsidR="009B42C5" w:rsidRPr="00A23740">
              <w:rPr>
                <w:b w:val="0"/>
                <w:bCs w:val="0"/>
                <w:color w:val="010000"/>
                <w:lang w:val="tr-TR"/>
              </w:rPr>
              <w:t>nın</w:t>
            </w:r>
            <w:r w:rsidR="009C6098" w:rsidRPr="00A23740">
              <w:rPr>
                <w:b w:val="0"/>
                <w:bCs w:val="0"/>
                <w:color w:val="010000"/>
                <w:lang w:val="tr-TR"/>
              </w:rPr>
              <w:t xml:space="preserve"> değerlendir</w:t>
            </w:r>
            <w:r w:rsidR="009B42C5" w:rsidRPr="00A23740">
              <w:rPr>
                <w:b w:val="0"/>
                <w:bCs w:val="0"/>
                <w:color w:val="010000"/>
                <w:lang w:val="tr-TR"/>
              </w:rPr>
              <w:t>il</w:t>
            </w:r>
            <w:r w:rsidR="009C6098" w:rsidRPr="00A23740">
              <w:rPr>
                <w:b w:val="0"/>
                <w:bCs w:val="0"/>
                <w:color w:val="010000"/>
                <w:lang w:val="tr-TR"/>
              </w:rPr>
              <w:t>mesi</w:t>
            </w:r>
            <w:r w:rsidR="00216FCB" w:rsidRPr="00A23740">
              <w:rPr>
                <w:b w:val="0"/>
                <w:bCs w:val="0"/>
                <w:color w:val="010000"/>
                <w:lang w:val="tr-TR"/>
              </w:rPr>
              <w:t xml:space="preserve"> gerekmektedir.</w:t>
            </w:r>
            <w:r w:rsidR="009C6098" w:rsidRPr="00A23740">
              <w:rPr>
                <w:b w:val="0"/>
                <w:bCs w:val="0"/>
                <w:color w:val="010000"/>
                <w:lang w:val="tr-TR"/>
              </w:rPr>
              <w:t xml:space="preserve"> </w:t>
            </w:r>
            <w:r w:rsidR="00216FCB" w:rsidRPr="00A23740">
              <w:rPr>
                <w:b w:val="0"/>
                <w:bCs w:val="0"/>
                <w:color w:val="010000"/>
                <w:lang w:val="tr-TR"/>
              </w:rPr>
              <w:t>Bu değerlendirme</w:t>
            </w:r>
            <w:r w:rsidR="009B42C5" w:rsidRPr="00A23740">
              <w:rPr>
                <w:b w:val="0"/>
                <w:bCs w:val="0"/>
                <w:color w:val="010000"/>
                <w:lang w:val="tr-TR"/>
              </w:rPr>
              <w:t>,</w:t>
            </w:r>
            <w:r w:rsidR="00216FCB" w:rsidRPr="00A23740">
              <w:rPr>
                <w:b w:val="0"/>
                <w:bCs w:val="0"/>
                <w:color w:val="010000"/>
                <w:lang w:val="tr-TR"/>
              </w:rPr>
              <w:t xml:space="preserve"> şik</w:t>
            </w:r>
            <w:r w:rsidR="000949F1" w:rsidRPr="00A23740">
              <w:rPr>
                <w:b w:val="0"/>
                <w:bCs w:val="0"/>
                <w:color w:val="auto"/>
                <w:lang w:val="tr-TR"/>
              </w:rPr>
              <w:t>â</w:t>
            </w:r>
            <w:r w:rsidR="00216FCB" w:rsidRPr="00A23740">
              <w:rPr>
                <w:b w:val="0"/>
                <w:bCs w:val="0"/>
                <w:color w:val="010000"/>
                <w:lang w:val="tr-TR"/>
              </w:rPr>
              <w:t>yeti inceleyen mahkemece yapılacaktır.</w:t>
            </w:r>
            <w:r w:rsidR="009C6098" w:rsidRPr="00A23740">
              <w:rPr>
                <w:b w:val="0"/>
                <w:bCs w:val="0"/>
                <w:color w:val="010000"/>
                <w:lang w:val="tr-TR"/>
              </w:rPr>
              <w:t xml:space="preserve"> </w:t>
            </w:r>
          </w:p>
          <w:p w:rsidR="008146BE" w:rsidRPr="00A23740" w:rsidRDefault="008146BE" w:rsidP="009431FF">
            <w:pPr>
              <w:ind w:firstLine="709"/>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szCs w:val="24"/>
                <w:lang w:eastAsia="tr-TR"/>
              </w:rPr>
            </w:pPr>
            <w:r w:rsidRPr="00A23740">
              <w:rPr>
                <w:rFonts w:eastAsia="Times New Roman"/>
                <w:b/>
                <w:szCs w:val="24"/>
                <w:lang w:eastAsia="tr-TR"/>
              </w:rPr>
              <w:t xml:space="preserve">Şikayet </w:t>
            </w:r>
            <w:r w:rsidRPr="00A23740">
              <w:rPr>
                <w:rFonts w:eastAsia="Times New Roman"/>
                <w:b/>
                <w:strike/>
                <w:color w:val="FF0000"/>
                <w:szCs w:val="24"/>
                <w:lang w:eastAsia="tr-TR"/>
              </w:rPr>
              <w:t>ve şartlar :</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16 – (1) (Değişik</w:t>
            </w:r>
            <w:r w:rsidRPr="00A23740">
              <w:rPr>
                <w:rFonts w:eastAsia="Times New Roman"/>
                <w:b/>
                <w:strike/>
                <w:color w:val="FF0000"/>
                <w:szCs w:val="24"/>
                <w:lang w:eastAsia="tr-TR"/>
              </w:rPr>
              <w:t>: 3/7/1940 - 3890/1 md.)</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Kanunun hallini mahkemeye bıraktığı hususlar müstesna olmak üzere İcra ve İflas dairelerinin yaptığı muameleler hakkında kanuna muhalif olmasından veya hadiseye uygun bulunmamasından dolayı icra mahkemesine şikayet olunabilir.</w:t>
            </w:r>
            <w:r w:rsidRPr="00A23740">
              <w:rPr>
                <w:rFonts w:eastAsia="Times New Roman"/>
                <w:szCs w:val="24"/>
                <w:lang w:eastAsia="tr-TR"/>
              </w:rPr>
              <w:t xml:space="preserve"> Şikayet </w:t>
            </w:r>
            <w:r w:rsidRPr="00A23740">
              <w:rPr>
                <w:rFonts w:eastAsia="Times New Roman"/>
                <w:b/>
                <w:strike/>
                <w:color w:val="FF0000"/>
                <w:szCs w:val="24"/>
                <w:lang w:eastAsia="tr-TR"/>
              </w:rPr>
              <w:t>bu muamelelerin</w:t>
            </w:r>
            <w:r w:rsidRPr="00A23740">
              <w:rPr>
                <w:rFonts w:eastAsia="Times New Roman"/>
                <w:szCs w:val="24"/>
                <w:lang w:eastAsia="tr-TR"/>
              </w:rPr>
              <w:t xml:space="preserve"> öğrenildiği tarihten </w:t>
            </w:r>
            <w:r w:rsidRPr="00A23740">
              <w:rPr>
                <w:rFonts w:eastAsia="Times New Roman"/>
                <w:b/>
                <w:strike/>
                <w:color w:val="FF0000"/>
                <w:szCs w:val="24"/>
                <w:lang w:eastAsia="tr-TR"/>
              </w:rPr>
              <w:t>yedi gün</w:t>
            </w:r>
            <w:r w:rsidRPr="00A23740">
              <w:rPr>
                <w:rFonts w:eastAsia="Times New Roman"/>
                <w:szCs w:val="24"/>
                <w:lang w:eastAsia="tr-TR"/>
              </w:rPr>
              <w:t xml:space="preserve"> içinde yapılır.</w:t>
            </w:r>
          </w:p>
          <w:p w:rsidR="00BE7F06" w:rsidRPr="00A23740" w:rsidRDefault="00BE7F06" w:rsidP="009431FF">
            <w:pPr>
              <w:tabs>
                <w:tab w:val="left" w:pos="567"/>
              </w:tabs>
              <w:rPr>
                <w:rFonts w:eastAsia="Times New Roman"/>
                <w:szCs w:val="24"/>
                <w:lang w:eastAsia="tr-TR"/>
              </w:rPr>
            </w:pPr>
          </w:p>
        </w:tc>
        <w:tc>
          <w:tcPr>
            <w:tcW w:w="2500" w:type="pct"/>
          </w:tcPr>
          <w:p w:rsidR="00155AF4" w:rsidRPr="00A23740" w:rsidRDefault="00155AF4" w:rsidP="009431FF">
            <w:pPr>
              <w:tabs>
                <w:tab w:val="left" w:pos="567"/>
              </w:tabs>
              <w:rPr>
                <w:rFonts w:eastAsia="ヒラギノ明朝 Pro W3"/>
                <w:b/>
                <w:color w:val="0000FF"/>
                <w:szCs w:val="24"/>
                <w:lang w:eastAsia="tr-TR"/>
              </w:rPr>
            </w:pPr>
            <w:r w:rsidRPr="00A23740">
              <w:rPr>
                <w:rFonts w:eastAsia="Times New Roman"/>
                <w:b/>
                <w:szCs w:val="24"/>
                <w:lang w:eastAsia="tr-TR"/>
              </w:rPr>
              <w:t>Şikâyet</w:t>
            </w:r>
            <w:r w:rsidRPr="00A23740">
              <w:rPr>
                <w:rFonts w:eastAsia="ヒラギノ明朝 Pro W3"/>
                <w:b/>
                <w:color w:val="0000FF"/>
                <w:szCs w:val="24"/>
                <w:lang w:eastAsia="tr-TR"/>
              </w:rPr>
              <w:t xml:space="preserve"> </w:t>
            </w:r>
            <w:r w:rsidRPr="00A23740">
              <w:rPr>
                <w:rStyle w:val="MaviChar"/>
              </w:rPr>
              <w:t>süresi</w:t>
            </w:r>
          </w:p>
          <w:p w:rsidR="00155AF4" w:rsidRPr="00A23740" w:rsidRDefault="0059245E" w:rsidP="009431FF">
            <w:pPr>
              <w:tabs>
                <w:tab w:val="left" w:pos="567"/>
              </w:tabs>
              <w:rPr>
                <w:rFonts w:eastAsia="Times New Roman"/>
                <w:szCs w:val="24"/>
                <w:lang w:eastAsia="tr-TR"/>
              </w:rPr>
            </w:pPr>
            <w:r w:rsidRPr="00A23740">
              <w:rPr>
                <w:rStyle w:val="MaviChar"/>
              </w:rPr>
              <w:t>MADDE 23</w:t>
            </w:r>
            <w:r w:rsidR="00155AF4" w:rsidRPr="00A23740">
              <w:rPr>
                <w:rStyle w:val="MaviChar"/>
              </w:rPr>
              <w:t xml:space="preserve">- (1) </w:t>
            </w:r>
            <w:r w:rsidR="00155AF4" w:rsidRPr="00A23740">
              <w:rPr>
                <w:rFonts w:eastAsia="Times New Roman"/>
                <w:szCs w:val="24"/>
                <w:lang w:eastAsia="tr-TR"/>
              </w:rPr>
              <w:t xml:space="preserve">Şikâyet </w:t>
            </w:r>
            <w:r w:rsidR="00155AF4" w:rsidRPr="00A23740">
              <w:rPr>
                <w:rStyle w:val="MaviChar"/>
                <w:lang w:val="tr-TR"/>
              </w:rPr>
              <w:t>başvuru</w:t>
            </w:r>
            <w:r w:rsidR="00155AF4" w:rsidRPr="00A23740">
              <w:rPr>
                <w:rStyle w:val="MaviChar"/>
              </w:rPr>
              <w:t>su, aksine hüküm bulunmayan hâllerde işlemin</w:t>
            </w:r>
            <w:r w:rsidR="00155AF4" w:rsidRPr="00A23740">
              <w:rPr>
                <w:rFonts w:eastAsia="Times New Roman"/>
                <w:szCs w:val="24"/>
                <w:lang w:eastAsia="tr-TR"/>
              </w:rPr>
              <w:t xml:space="preserve"> öğrenil</w:t>
            </w:r>
            <w:r w:rsidR="00155AF4" w:rsidRPr="00A23740">
              <w:rPr>
                <w:rFonts w:eastAsia="Times New Roman"/>
                <w:szCs w:val="24"/>
                <w:lang w:eastAsia="tr-TR"/>
              </w:rPr>
              <w:softHyphen/>
              <w:t>diği tarih</w:t>
            </w:r>
            <w:r w:rsidR="00155AF4" w:rsidRPr="00A23740">
              <w:rPr>
                <w:rFonts w:eastAsia="Times New Roman"/>
                <w:szCs w:val="24"/>
                <w:lang w:eastAsia="tr-TR"/>
              </w:rPr>
              <w:softHyphen/>
              <w:t xml:space="preserve">ten </w:t>
            </w:r>
            <w:r w:rsidR="00155AF4" w:rsidRPr="00A23740">
              <w:rPr>
                <w:rStyle w:val="MaviChar"/>
              </w:rPr>
              <w:t xml:space="preserve">itibaren bir hafta </w:t>
            </w:r>
            <w:r w:rsidR="001329A4" w:rsidRPr="00A23740">
              <w:rPr>
                <w:rFonts w:eastAsia="Times New Roman"/>
                <w:szCs w:val="24"/>
                <w:lang w:eastAsia="tr-TR"/>
              </w:rPr>
              <w:t>içinde yapı</w:t>
            </w:r>
            <w:r w:rsidR="00155AF4" w:rsidRPr="00A23740">
              <w:rPr>
                <w:rFonts w:eastAsia="Times New Roman"/>
                <w:szCs w:val="24"/>
                <w:lang w:eastAsia="tr-TR"/>
              </w:rPr>
              <w:t>lır.</w:t>
            </w:r>
          </w:p>
          <w:p w:rsidR="00155AF4" w:rsidRPr="00A23740" w:rsidRDefault="00155AF4" w:rsidP="009431FF">
            <w:pPr>
              <w:rPr>
                <w:rFonts w:eastAsia="Times New Roman"/>
                <w:szCs w:val="24"/>
                <w:lang w:eastAsia="tr-TR"/>
              </w:rPr>
            </w:pPr>
            <w:r w:rsidRPr="00A23740">
              <w:rPr>
                <w:rFonts w:eastAsia="Times New Roman"/>
                <w:szCs w:val="24"/>
                <w:lang w:eastAsia="tr-TR"/>
              </w:rPr>
              <w:t xml:space="preserve"> </w:t>
            </w:r>
          </w:p>
          <w:p w:rsidR="00155AF4" w:rsidRPr="00A23740" w:rsidRDefault="00155AF4" w:rsidP="009431FF">
            <w:pPr>
              <w:tabs>
                <w:tab w:val="left" w:pos="567"/>
              </w:tabs>
              <w:rPr>
                <w:rFonts w:eastAsia="Times New Roman"/>
                <w:szCs w:val="24"/>
                <w:lang w:eastAsia="tr-TR"/>
              </w:rPr>
            </w:pPr>
          </w:p>
        </w:tc>
      </w:tr>
      <w:tr w:rsidR="004372C9" w:rsidRPr="00A23740" w:rsidTr="009431FF">
        <w:tc>
          <w:tcPr>
            <w:tcW w:w="5000" w:type="pct"/>
            <w:gridSpan w:val="2"/>
            <w:shd w:val="clear" w:color="auto" w:fill="DEEAF6"/>
          </w:tcPr>
          <w:p w:rsidR="00E353A3" w:rsidRPr="00A23740" w:rsidRDefault="00E353A3" w:rsidP="009431FF">
            <w:pPr>
              <w:pStyle w:val="Mavi"/>
              <w:ind w:firstLine="709"/>
              <w:rPr>
                <w:color w:val="auto"/>
                <w:lang w:val="tr-TR"/>
              </w:rPr>
            </w:pPr>
          </w:p>
          <w:p w:rsidR="004372C9" w:rsidRPr="00A23740" w:rsidRDefault="00D42F78" w:rsidP="009431FF">
            <w:pPr>
              <w:pStyle w:val="Mavi"/>
              <w:ind w:firstLine="709"/>
              <w:rPr>
                <w:b w:val="0"/>
                <w:bCs w:val="0"/>
                <w:color w:val="auto"/>
                <w:lang w:val="tr-TR"/>
              </w:rPr>
            </w:pPr>
            <w:r w:rsidRPr="00A23740">
              <w:rPr>
                <w:color w:val="auto"/>
                <w:lang w:val="tr-TR"/>
              </w:rPr>
              <w:t>MADDE 23</w:t>
            </w:r>
            <w:r w:rsidR="004372C9" w:rsidRPr="00A23740">
              <w:rPr>
                <w:color w:val="auto"/>
                <w:lang w:val="tr-TR"/>
              </w:rPr>
              <w:t xml:space="preserve">- </w:t>
            </w:r>
            <w:r w:rsidR="004372C9" w:rsidRPr="00A23740">
              <w:rPr>
                <w:b w:val="0"/>
                <w:bCs w:val="0"/>
                <w:color w:val="auto"/>
                <w:lang w:val="tr-TR"/>
              </w:rPr>
              <w:t>M</w:t>
            </w:r>
            <w:r w:rsidR="004372C9" w:rsidRPr="00A23740">
              <w:rPr>
                <w:b w:val="0"/>
                <w:bCs w:val="0"/>
                <w:color w:val="auto"/>
              </w:rPr>
              <w:t>a</w:t>
            </w:r>
            <w:r w:rsidR="004372C9" w:rsidRPr="00A23740">
              <w:rPr>
                <w:b w:val="0"/>
                <w:bCs w:val="0"/>
                <w:color w:val="auto"/>
                <w:lang w:val="tr-TR"/>
              </w:rPr>
              <w:t>d</w:t>
            </w:r>
            <w:r w:rsidR="004372C9" w:rsidRPr="00A23740">
              <w:rPr>
                <w:b w:val="0"/>
                <w:bCs w:val="0"/>
                <w:color w:val="auto"/>
              </w:rPr>
              <w:t>d</w:t>
            </w:r>
            <w:r w:rsidR="004372C9" w:rsidRPr="00A23740">
              <w:rPr>
                <w:b w:val="0"/>
                <w:bCs w:val="0"/>
                <w:color w:val="auto"/>
                <w:lang w:val="tr-TR"/>
              </w:rPr>
              <w:t>e</w:t>
            </w:r>
            <w:r w:rsidR="004372C9" w:rsidRPr="00A23740">
              <w:rPr>
                <w:b w:val="0"/>
                <w:bCs w:val="0"/>
                <w:color w:val="auto"/>
              </w:rPr>
              <w:t xml:space="preserve">yle, </w:t>
            </w:r>
            <w:r w:rsidR="004372C9" w:rsidRPr="00A23740">
              <w:rPr>
                <w:b w:val="0"/>
                <w:bCs w:val="0"/>
                <w:color w:val="auto"/>
                <w:lang w:val="tr-TR"/>
              </w:rPr>
              <w:t>ş</w:t>
            </w:r>
            <w:r w:rsidR="004372C9" w:rsidRPr="00A23740">
              <w:rPr>
                <w:b w:val="0"/>
                <w:bCs w:val="0"/>
                <w:color w:val="auto"/>
              </w:rPr>
              <w:t>i</w:t>
            </w:r>
            <w:r w:rsidR="004372C9" w:rsidRPr="00A23740">
              <w:rPr>
                <w:b w:val="0"/>
                <w:bCs w:val="0"/>
                <w:color w:val="auto"/>
                <w:lang w:val="tr-TR"/>
              </w:rPr>
              <w:t>k</w:t>
            </w:r>
            <w:r w:rsidR="004372C9" w:rsidRPr="00A23740">
              <w:rPr>
                <w:b w:val="0"/>
                <w:bCs w:val="0"/>
                <w:color w:val="auto"/>
              </w:rPr>
              <w:t>â</w:t>
            </w:r>
            <w:r w:rsidR="004372C9" w:rsidRPr="00A23740">
              <w:rPr>
                <w:b w:val="0"/>
                <w:bCs w:val="0"/>
                <w:color w:val="auto"/>
                <w:lang w:val="tr-TR"/>
              </w:rPr>
              <w:t>y</w:t>
            </w:r>
            <w:r w:rsidR="004372C9" w:rsidRPr="00A23740">
              <w:rPr>
                <w:b w:val="0"/>
                <w:bCs w:val="0"/>
                <w:color w:val="auto"/>
              </w:rPr>
              <w:t>e</w:t>
            </w:r>
            <w:r w:rsidR="004372C9" w:rsidRPr="00A23740">
              <w:rPr>
                <w:b w:val="0"/>
                <w:bCs w:val="0"/>
                <w:color w:val="auto"/>
                <w:lang w:val="tr-TR"/>
              </w:rPr>
              <w:t>t</w:t>
            </w:r>
            <w:r w:rsidR="004372C9" w:rsidRPr="00A23740">
              <w:rPr>
                <w:b w:val="0"/>
                <w:bCs w:val="0"/>
                <w:color w:val="auto"/>
              </w:rPr>
              <w:t xml:space="preserve"> </w:t>
            </w:r>
            <w:r w:rsidR="004372C9" w:rsidRPr="00A23740">
              <w:rPr>
                <w:b w:val="0"/>
                <w:bCs w:val="0"/>
                <w:color w:val="auto"/>
                <w:lang w:val="tr-TR"/>
              </w:rPr>
              <w:t>s</w:t>
            </w:r>
            <w:r w:rsidR="004372C9" w:rsidRPr="00A23740">
              <w:rPr>
                <w:b w:val="0"/>
                <w:bCs w:val="0"/>
                <w:color w:val="auto"/>
              </w:rPr>
              <w:t>ü</w:t>
            </w:r>
            <w:r w:rsidR="004372C9" w:rsidRPr="00A23740">
              <w:rPr>
                <w:b w:val="0"/>
                <w:bCs w:val="0"/>
                <w:color w:val="auto"/>
                <w:lang w:val="tr-TR"/>
              </w:rPr>
              <w:t>r</w:t>
            </w:r>
            <w:r w:rsidR="004372C9" w:rsidRPr="00A23740">
              <w:rPr>
                <w:b w:val="0"/>
                <w:bCs w:val="0"/>
                <w:color w:val="auto"/>
              </w:rPr>
              <w:t>e</w:t>
            </w:r>
            <w:r w:rsidR="004372C9" w:rsidRPr="00A23740">
              <w:rPr>
                <w:b w:val="0"/>
                <w:bCs w:val="0"/>
                <w:color w:val="auto"/>
                <w:lang w:val="tr-TR"/>
              </w:rPr>
              <w:t>s</w:t>
            </w:r>
            <w:r w:rsidR="004372C9" w:rsidRPr="00A23740">
              <w:rPr>
                <w:b w:val="0"/>
                <w:bCs w:val="0"/>
                <w:color w:val="auto"/>
              </w:rPr>
              <w:t>i</w:t>
            </w:r>
            <w:r w:rsidR="004372C9" w:rsidRPr="00A23740">
              <w:rPr>
                <w:b w:val="0"/>
                <w:bCs w:val="0"/>
                <w:color w:val="auto"/>
                <w:lang w:val="tr-TR"/>
              </w:rPr>
              <w:t xml:space="preserve"> </w:t>
            </w:r>
            <w:r w:rsidR="004372C9" w:rsidRPr="00A23740">
              <w:rPr>
                <w:b w:val="0"/>
                <w:bCs w:val="0"/>
                <w:color w:val="auto"/>
              </w:rPr>
              <w:t>d</w:t>
            </w:r>
            <w:r w:rsidR="004372C9" w:rsidRPr="00A23740">
              <w:rPr>
                <w:b w:val="0"/>
                <w:bCs w:val="0"/>
                <w:color w:val="auto"/>
                <w:lang w:val="tr-TR"/>
              </w:rPr>
              <w:t>ü</w:t>
            </w:r>
            <w:r w:rsidR="004372C9" w:rsidRPr="00A23740">
              <w:rPr>
                <w:b w:val="0"/>
                <w:bCs w:val="0"/>
                <w:color w:val="auto"/>
              </w:rPr>
              <w:t>z</w:t>
            </w:r>
            <w:r w:rsidR="004372C9" w:rsidRPr="00A23740">
              <w:rPr>
                <w:b w:val="0"/>
                <w:bCs w:val="0"/>
                <w:color w:val="auto"/>
                <w:lang w:val="tr-TR"/>
              </w:rPr>
              <w:t>e</w:t>
            </w:r>
            <w:r w:rsidR="004372C9" w:rsidRPr="00A23740">
              <w:rPr>
                <w:b w:val="0"/>
                <w:bCs w:val="0"/>
                <w:color w:val="auto"/>
              </w:rPr>
              <w:t>n</w:t>
            </w:r>
            <w:r w:rsidR="004372C9" w:rsidRPr="00A23740">
              <w:rPr>
                <w:b w:val="0"/>
                <w:bCs w:val="0"/>
                <w:color w:val="auto"/>
                <w:lang w:val="tr-TR"/>
              </w:rPr>
              <w:t>l</w:t>
            </w:r>
            <w:r w:rsidR="004372C9" w:rsidRPr="00A23740">
              <w:rPr>
                <w:b w:val="0"/>
                <w:bCs w:val="0"/>
                <w:color w:val="auto"/>
              </w:rPr>
              <w:t>e</w:t>
            </w:r>
            <w:r w:rsidR="004372C9" w:rsidRPr="00A23740">
              <w:rPr>
                <w:b w:val="0"/>
                <w:bCs w:val="0"/>
                <w:color w:val="auto"/>
                <w:lang w:val="tr-TR"/>
              </w:rPr>
              <w:t>n</w:t>
            </w:r>
            <w:r w:rsidR="004372C9" w:rsidRPr="00A23740">
              <w:rPr>
                <w:b w:val="0"/>
                <w:bCs w:val="0"/>
                <w:color w:val="auto"/>
              </w:rPr>
              <w:t>m</w:t>
            </w:r>
            <w:r w:rsidR="004372C9" w:rsidRPr="00A23740">
              <w:rPr>
                <w:b w:val="0"/>
                <w:bCs w:val="0"/>
                <w:color w:val="auto"/>
                <w:lang w:val="tr-TR"/>
              </w:rPr>
              <w:t xml:space="preserve">ektedir. Bu madde, 2004 sayılı Kanunun 16 </w:t>
            </w:r>
            <w:r w:rsidR="00E353A3" w:rsidRPr="00A23740">
              <w:rPr>
                <w:b w:val="0"/>
                <w:bCs w:val="0"/>
                <w:color w:val="auto"/>
                <w:lang w:val="tr-TR"/>
              </w:rPr>
              <w:t>ncı maddesinin birinci fıkrasının ikinci cümlesine</w:t>
            </w:r>
            <w:r w:rsidR="004372C9" w:rsidRPr="00A23740">
              <w:rPr>
                <w:b w:val="0"/>
                <w:bCs w:val="0"/>
                <w:color w:val="auto"/>
                <w:lang w:val="tr-TR"/>
              </w:rPr>
              <w:t xml:space="preserve"> karşılık gelmektedir.</w:t>
            </w:r>
          </w:p>
          <w:p w:rsidR="004372C9" w:rsidRPr="00A23740" w:rsidRDefault="00474EBB" w:rsidP="009431FF">
            <w:pPr>
              <w:pStyle w:val="Mavi"/>
              <w:ind w:firstLine="709"/>
              <w:rPr>
                <w:b w:val="0"/>
                <w:bCs w:val="0"/>
                <w:color w:val="auto"/>
                <w:lang w:val="tr-TR"/>
              </w:rPr>
            </w:pPr>
            <w:r w:rsidRPr="00A23740">
              <w:rPr>
                <w:b w:val="0"/>
                <w:bCs w:val="0"/>
                <w:color w:val="auto"/>
                <w:lang w:val="tr-TR"/>
              </w:rPr>
              <w:lastRenderedPageBreak/>
              <w:t>Birinci fıkrayla</w:t>
            </w:r>
            <w:r w:rsidR="004372C9" w:rsidRPr="00A23740">
              <w:rPr>
                <w:b w:val="0"/>
                <w:bCs w:val="0"/>
                <w:color w:val="auto"/>
                <w:lang w:val="tr-TR"/>
              </w:rPr>
              <w:t>, şikâyet başvurusunun, aksine hüküm bulunmayan hâllerde işlemin öğrenildiği tarihten itibaren bir hafta içinde yapılabileceği hükme bağlanmaktadır. İ</w:t>
            </w:r>
            <w:r w:rsidR="004372C9" w:rsidRPr="00A23740">
              <w:rPr>
                <w:b w:val="0"/>
                <w:bCs w:val="0"/>
                <w:color w:val="auto"/>
              </w:rPr>
              <w:t>c</w:t>
            </w:r>
            <w:r w:rsidR="004372C9" w:rsidRPr="00A23740">
              <w:rPr>
                <w:b w:val="0"/>
                <w:bCs w:val="0"/>
                <w:color w:val="auto"/>
                <w:lang w:val="tr-TR"/>
              </w:rPr>
              <w:t>r</w:t>
            </w:r>
            <w:r w:rsidR="004372C9" w:rsidRPr="00A23740">
              <w:rPr>
                <w:b w:val="0"/>
                <w:bCs w:val="0"/>
                <w:color w:val="auto"/>
              </w:rPr>
              <w:t>a</w:t>
            </w:r>
            <w:r w:rsidR="001329A4" w:rsidRPr="00A23740">
              <w:rPr>
                <w:b w:val="0"/>
                <w:bCs w:val="0"/>
                <w:color w:val="auto"/>
                <w:lang w:val="tr-TR"/>
              </w:rPr>
              <w:t xml:space="preserve"> ve ifla</w:t>
            </w:r>
            <w:r w:rsidR="004372C9" w:rsidRPr="00A23740">
              <w:rPr>
                <w:b w:val="0"/>
                <w:bCs w:val="0"/>
                <w:color w:val="auto"/>
                <w:lang w:val="tr-TR"/>
              </w:rPr>
              <w:t>s takibinde işlemlerin kısa bir süre içinde gerçekleştirilmesi esas olup ilgililerin,</w:t>
            </w:r>
            <w:r w:rsidRPr="00A23740">
              <w:rPr>
                <w:b w:val="0"/>
                <w:bCs w:val="0"/>
                <w:color w:val="auto"/>
                <w:lang w:val="tr-TR"/>
              </w:rPr>
              <w:t xml:space="preserve"> bu Kanuna </w:t>
            </w:r>
            <w:r w:rsidR="004372C9" w:rsidRPr="00A23740">
              <w:rPr>
                <w:b w:val="0"/>
                <w:bCs w:val="0"/>
                <w:color w:val="auto"/>
                <w:lang w:val="tr-TR"/>
              </w:rPr>
              <w:t xml:space="preserve">aykırı olduğunu ileri sürdüğü işlemleri, öğrenmelerinden itibaren bir hafta içinde şikâyet yoluna götürmeleri gerekmektedir. Bu süre, hak düşürücü süre olup, </w:t>
            </w:r>
            <w:r w:rsidR="003C1533" w:rsidRPr="00A23740">
              <w:rPr>
                <w:b w:val="0"/>
                <w:bCs w:val="0"/>
                <w:color w:val="auto"/>
                <w:lang w:val="tr-TR"/>
              </w:rPr>
              <w:t>süre geçirilirse</w:t>
            </w:r>
            <w:r w:rsidR="004372C9" w:rsidRPr="00A23740">
              <w:rPr>
                <w:b w:val="0"/>
                <w:bCs w:val="0"/>
                <w:color w:val="auto"/>
                <w:lang w:val="tr-TR"/>
              </w:rPr>
              <w:t xml:space="preserve"> söz konusu işlem, geçerli bir işlemin sonuçlarını doğuracak ve bu işlem üzerine bir başka icra</w:t>
            </w:r>
            <w:r w:rsidRPr="00A23740">
              <w:rPr>
                <w:b w:val="0"/>
                <w:bCs w:val="0"/>
                <w:color w:val="auto"/>
                <w:lang w:val="tr-TR"/>
              </w:rPr>
              <w:t xml:space="preserve"> takip işlemi inşa edilecektir.</w:t>
            </w:r>
          </w:p>
          <w:p w:rsidR="00A41803" w:rsidRPr="00A23740" w:rsidRDefault="004372C9" w:rsidP="009431FF">
            <w:pPr>
              <w:pStyle w:val="Mavi"/>
              <w:ind w:firstLine="709"/>
              <w:rPr>
                <w:b w:val="0"/>
                <w:bCs w:val="0"/>
                <w:color w:val="auto"/>
                <w:lang w:val="tr-TR"/>
              </w:rPr>
            </w:pPr>
            <w:r w:rsidRPr="00A23740">
              <w:rPr>
                <w:b w:val="0"/>
                <w:bCs w:val="0"/>
                <w:color w:val="auto"/>
                <w:lang w:val="tr-TR"/>
              </w:rPr>
              <w:t xml:space="preserve">Şikâyet süresi, şikâyet konusu işlemin öğrenilmesinden itibaren </w:t>
            </w:r>
            <w:r w:rsidR="003C1533" w:rsidRPr="00A23740">
              <w:rPr>
                <w:b w:val="0"/>
                <w:bCs w:val="0"/>
                <w:color w:val="auto"/>
                <w:lang w:val="tr-TR"/>
              </w:rPr>
              <w:t xml:space="preserve">işlemeye </w:t>
            </w:r>
            <w:r w:rsidR="00A44DE5">
              <w:rPr>
                <w:b w:val="0"/>
                <w:bCs w:val="0"/>
                <w:color w:val="auto"/>
                <w:lang w:val="tr-TR"/>
              </w:rPr>
              <w:t>başlar.</w:t>
            </w:r>
          </w:p>
          <w:p w:rsidR="004372C9" w:rsidRPr="00A23740" w:rsidRDefault="004372C9"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szCs w:val="24"/>
                <w:lang w:eastAsia="tr-TR"/>
              </w:rPr>
            </w:pPr>
            <w:r w:rsidRPr="00A23740">
              <w:rPr>
                <w:rFonts w:eastAsia="Times New Roman"/>
                <w:b/>
                <w:szCs w:val="24"/>
                <w:lang w:eastAsia="tr-TR"/>
              </w:rPr>
              <w:lastRenderedPageBreak/>
              <w:t xml:space="preserve">Şikayet </w:t>
            </w:r>
            <w:r w:rsidRPr="00A23740">
              <w:rPr>
                <w:rFonts w:eastAsia="Times New Roman"/>
                <w:b/>
                <w:strike/>
                <w:color w:val="FF0000"/>
                <w:szCs w:val="24"/>
                <w:lang w:eastAsia="tr-TR"/>
              </w:rPr>
              <w:t>ve şartlar :</w:t>
            </w:r>
          </w:p>
          <w:p w:rsidR="00155AF4" w:rsidRPr="00A23740" w:rsidRDefault="00E353A3" w:rsidP="009431FF">
            <w:pPr>
              <w:tabs>
                <w:tab w:val="left" w:pos="567"/>
              </w:tabs>
              <w:rPr>
                <w:rFonts w:eastAsia="Times New Roman"/>
                <w:szCs w:val="24"/>
                <w:lang w:eastAsia="tr-TR"/>
              </w:rPr>
            </w:pPr>
            <w:r w:rsidRPr="00A23740">
              <w:rPr>
                <w:rStyle w:val="KIRMIZIChar"/>
                <w:rFonts w:eastAsia="Calibri"/>
              </w:rPr>
              <w:t xml:space="preserve">Madde 16 – (1) </w:t>
            </w:r>
            <w:r w:rsidRPr="00A23740">
              <w:rPr>
                <w:rFonts w:eastAsia="Times New Roman"/>
                <w:b/>
                <w:strike/>
                <w:color w:val="FF0000"/>
                <w:szCs w:val="24"/>
                <w:lang w:eastAsia="tr-TR"/>
              </w:rPr>
              <w:t>…</w:t>
            </w:r>
          </w:p>
          <w:p w:rsidR="00155AF4" w:rsidRPr="00A23740" w:rsidRDefault="00E353A3"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 xml:space="preserve">(2) </w:t>
            </w:r>
            <w:r w:rsidR="00155AF4" w:rsidRPr="00A23740">
              <w:rPr>
                <w:rFonts w:eastAsia="Times New Roman"/>
                <w:b/>
                <w:strike/>
                <w:color w:val="FF0000"/>
                <w:szCs w:val="24"/>
                <w:lang w:eastAsia="tr-TR"/>
              </w:rPr>
              <w:t>Bir hakkın yerine getirilmemesinden</w:t>
            </w:r>
            <w:r w:rsidR="00155AF4" w:rsidRPr="00A23740">
              <w:rPr>
                <w:rFonts w:eastAsia="Times New Roman"/>
                <w:szCs w:val="24"/>
                <w:lang w:eastAsia="tr-TR"/>
              </w:rPr>
              <w:t xml:space="preserve"> veya </w:t>
            </w:r>
            <w:r w:rsidR="00155AF4" w:rsidRPr="00A23740">
              <w:rPr>
                <w:rFonts w:eastAsia="Times New Roman"/>
                <w:b/>
                <w:strike/>
                <w:color w:val="FF0000"/>
                <w:szCs w:val="24"/>
                <w:lang w:eastAsia="tr-TR"/>
              </w:rPr>
              <w:t>sebepsiz</w:t>
            </w:r>
            <w:r w:rsidR="00155AF4" w:rsidRPr="00A23740">
              <w:rPr>
                <w:rFonts w:eastAsia="Times New Roman"/>
                <w:szCs w:val="24"/>
                <w:lang w:eastAsia="tr-TR"/>
              </w:rPr>
              <w:t xml:space="preserve"> sürüncemede bırakılmasından dolayı her zaman </w:t>
            </w:r>
            <w:r w:rsidR="00155AF4" w:rsidRPr="00A23740">
              <w:rPr>
                <w:rFonts w:eastAsia="Times New Roman"/>
                <w:b/>
                <w:strike/>
                <w:color w:val="FF0000"/>
                <w:szCs w:val="24"/>
                <w:lang w:eastAsia="tr-TR"/>
              </w:rPr>
              <w:t>şikayet olunabilir.</w:t>
            </w:r>
          </w:p>
          <w:p w:rsidR="00155AF4" w:rsidRPr="00A23740" w:rsidRDefault="00155AF4" w:rsidP="009431FF">
            <w:pPr>
              <w:tabs>
                <w:tab w:val="left" w:pos="567"/>
              </w:tabs>
              <w:rPr>
                <w:rFonts w:eastAsia="Times New Roman"/>
                <w:szCs w:val="24"/>
                <w:lang w:eastAsia="tr-TR"/>
              </w:rPr>
            </w:pPr>
          </w:p>
        </w:tc>
        <w:tc>
          <w:tcPr>
            <w:tcW w:w="2500" w:type="pct"/>
          </w:tcPr>
          <w:p w:rsidR="00155AF4" w:rsidRPr="00A23740" w:rsidRDefault="00155AF4" w:rsidP="009431FF">
            <w:pPr>
              <w:tabs>
                <w:tab w:val="left" w:pos="567"/>
              </w:tabs>
              <w:rPr>
                <w:rFonts w:eastAsia="ヒラギノ明朝 Pro W3"/>
                <w:b/>
                <w:color w:val="0000FF"/>
                <w:szCs w:val="24"/>
                <w:lang w:eastAsia="tr-TR"/>
              </w:rPr>
            </w:pPr>
            <w:r w:rsidRPr="00A23740">
              <w:rPr>
                <w:rStyle w:val="MaviChar"/>
              </w:rPr>
              <w:t>Süresiz</w:t>
            </w:r>
            <w:r w:rsidRPr="00A23740">
              <w:rPr>
                <w:rFonts w:eastAsia="Times New Roman"/>
                <w:szCs w:val="24"/>
                <w:lang w:eastAsia="tr-TR"/>
              </w:rPr>
              <w:t xml:space="preserve"> </w:t>
            </w:r>
            <w:r w:rsidRPr="00A23740">
              <w:rPr>
                <w:rFonts w:eastAsia="Times New Roman"/>
                <w:b/>
                <w:szCs w:val="24"/>
                <w:lang w:eastAsia="tr-TR"/>
              </w:rPr>
              <w:t>şikâyet</w:t>
            </w:r>
          </w:p>
          <w:p w:rsidR="00155AF4" w:rsidRPr="00A23740" w:rsidRDefault="0059245E" w:rsidP="009431FF">
            <w:pPr>
              <w:tabs>
                <w:tab w:val="left" w:pos="567"/>
              </w:tabs>
              <w:rPr>
                <w:rStyle w:val="MaviChar"/>
              </w:rPr>
            </w:pPr>
            <w:r w:rsidRPr="00A23740">
              <w:rPr>
                <w:rStyle w:val="MaviChar"/>
              </w:rPr>
              <w:t>MADDE 24</w:t>
            </w:r>
            <w:r w:rsidR="00155AF4" w:rsidRPr="00A23740">
              <w:rPr>
                <w:rStyle w:val="MaviChar"/>
              </w:rPr>
              <w:t xml:space="preserve">- (1) İcra </w:t>
            </w:r>
            <w:r w:rsidR="005E4704" w:rsidRPr="00A23740">
              <w:rPr>
                <w:rStyle w:val="MaviChar"/>
              </w:rPr>
              <w:t>ve ifla</w:t>
            </w:r>
            <w:r w:rsidR="00155AF4" w:rsidRPr="00A23740">
              <w:rPr>
                <w:rStyle w:val="MaviChar"/>
              </w:rPr>
              <w:t xml:space="preserve">s dairelerince </w:t>
            </w:r>
            <w:r w:rsidR="00E353A3" w:rsidRPr="00A23740">
              <w:rPr>
                <w:rStyle w:val="MaviChar"/>
              </w:rPr>
              <w:t>yapılması gereken işlemlerin</w:t>
            </w:r>
            <w:r w:rsidR="00155AF4" w:rsidRPr="00A23740">
              <w:rPr>
                <w:rStyle w:val="MaviChar"/>
              </w:rPr>
              <w:t xml:space="preserve"> </w:t>
            </w:r>
            <w:r w:rsidR="008E4036" w:rsidRPr="00A23740">
              <w:rPr>
                <w:rStyle w:val="MaviChar"/>
              </w:rPr>
              <w:t xml:space="preserve">haklı bir sebep bulunmaksızın </w:t>
            </w:r>
            <w:r w:rsidR="00155AF4" w:rsidRPr="00A23740">
              <w:rPr>
                <w:rStyle w:val="MaviChar"/>
              </w:rPr>
              <w:t>yapılmaması</w:t>
            </w:r>
            <w:r w:rsidR="00155AF4" w:rsidRPr="00A23740">
              <w:rPr>
                <w:rFonts w:eastAsia="Times New Roman"/>
                <w:szCs w:val="24"/>
                <w:lang w:eastAsia="tr-TR"/>
              </w:rPr>
              <w:t xml:space="preserve"> veya</w:t>
            </w:r>
            <w:r w:rsidR="00155AF4" w:rsidRPr="00A23740">
              <w:rPr>
                <w:rFonts w:eastAsia="ヒラギノ明朝 Pro W3"/>
                <w:b/>
                <w:color w:val="0000FF"/>
                <w:szCs w:val="24"/>
                <w:lang w:eastAsia="tr-TR"/>
              </w:rPr>
              <w:t xml:space="preserve"> </w:t>
            </w:r>
            <w:r w:rsidR="00155AF4" w:rsidRPr="00A23740">
              <w:rPr>
                <w:rFonts w:eastAsia="Times New Roman"/>
                <w:szCs w:val="24"/>
                <w:lang w:eastAsia="tr-TR"/>
              </w:rPr>
              <w:t>sürüncemede bıra</w:t>
            </w:r>
            <w:r w:rsidR="00155AF4" w:rsidRPr="00A23740">
              <w:rPr>
                <w:rFonts w:eastAsia="Times New Roman"/>
                <w:szCs w:val="24"/>
                <w:lang w:eastAsia="tr-TR"/>
              </w:rPr>
              <w:softHyphen/>
              <w:t>kılma</w:t>
            </w:r>
            <w:r w:rsidR="00155AF4" w:rsidRPr="00A23740">
              <w:rPr>
                <w:rFonts w:eastAsia="Times New Roman"/>
                <w:szCs w:val="24"/>
                <w:lang w:eastAsia="tr-TR"/>
              </w:rPr>
              <w:softHyphen/>
              <w:t xml:space="preserve">sından dolayı </w:t>
            </w:r>
            <w:r w:rsidR="00155AF4" w:rsidRPr="00A23740">
              <w:rPr>
                <w:rStyle w:val="MaviChar"/>
              </w:rPr>
              <w:t>şikâyet başvurusu</w:t>
            </w:r>
            <w:r w:rsidR="00155AF4" w:rsidRPr="00A23740">
              <w:rPr>
                <w:rFonts w:eastAsia="Times New Roman"/>
                <w:szCs w:val="24"/>
                <w:lang w:eastAsia="tr-TR"/>
              </w:rPr>
              <w:t xml:space="preserve"> her zaman </w:t>
            </w:r>
            <w:r w:rsidR="00155AF4" w:rsidRPr="00A23740">
              <w:rPr>
                <w:rStyle w:val="MaviChar"/>
              </w:rPr>
              <w:t>yapılabilir.</w:t>
            </w:r>
          </w:p>
          <w:p w:rsidR="00155AF4" w:rsidRPr="00A23740" w:rsidRDefault="00155AF4" w:rsidP="009431FF">
            <w:pPr>
              <w:tabs>
                <w:tab w:val="left" w:pos="567"/>
              </w:tabs>
              <w:rPr>
                <w:rFonts w:eastAsia="Times New Roman"/>
                <w:szCs w:val="24"/>
                <w:lang w:eastAsia="tr-TR"/>
              </w:rPr>
            </w:pPr>
          </w:p>
        </w:tc>
      </w:tr>
      <w:tr w:rsidR="004372C9" w:rsidRPr="00A23740" w:rsidTr="009431FF">
        <w:tc>
          <w:tcPr>
            <w:tcW w:w="5000" w:type="pct"/>
            <w:gridSpan w:val="2"/>
            <w:shd w:val="clear" w:color="auto" w:fill="DEEAF6"/>
          </w:tcPr>
          <w:p w:rsidR="00E353A3" w:rsidRPr="00A23740" w:rsidRDefault="00E353A3" w:rsidP="009431FF">
            <w:pPr>
              <w:pStyle w:val="Mavi"/>
              <w:ind w:firstLine="709"/>
              <w:rPr>
                <w:color w:val="auto"/>
                <w:lang w:val="tr-TR"/>
              </w:rPr>
            </w:pPr>
          </w:p>
          <w:p w:rsidR="004372C9" w:rsidRPr="00A23740" w:rsidRDefault="00D42F78" w:rsidP="009431FF">
            <w:pPr>
              <w:pStyle w:val="Mavi"/>
              <w:ind w:firstLine="709"/>
              <w:rPr>
                <w:b w:val="0"/>
                <w:bCs w:val="0"/>
                <w:color w:val="auto"/>
                <w:lang w:val="tr-TR"/>
              </w:rPr>
            </w:pPr>
            <w:r w:rsidRPr="00A23740">
              <w:rPr>
                <w:color w:val="auto"/>
                <w:lang w:val="tr-TR"/>
              </w:rPr>
              <w:t>MADDE 24</w:t>
            </w:r>
            <w:r w:rsidR="004372C9" w:rsidRPr="00A23740">
              <w:rPr>
                <w:color w:val="auto"/>
                <w:lang w:val="tr-TR"/>
              </w:rPr>
              <w:t xml:space="preserve">- </w:t>
            </w:r>
            <w:r w:rsidR="00690DEA" w:rsidRPr="00A23740">
              <w:rPr>
                <w:b w:val="0"/>
                <w:bCs w:val="0"/>
                <w:color w:val="auto"/>
                <w:lang w:val="tr-TR"/>
              </w:rPr>
              <w:t>Maddeyle, süresiz şikâ</w:t>
            </w:r>
            <w:r w:rsidR="007C727C" w:rsidRPr="00A23740">
              <w:rPr>
                <w:b w:val="0"/>
                <w:bCs w:val="0"/>
                <w:color w:val="auto"/>
                <w:lang w:val="tr-TR"/>
              </w:rPr>
              <w:t xml:space="preserve">yete ilişkin hususlar </w:t>
            </w:r>
            <w:r w:rsidR="004372C9" w:rsidRPr="00A23740">
              <w:rPr>
                <w:b w:val="0"/>
                <w:bCs w:val="0"/>
                <w:color w:val="auto"/>
                <w:lang w:val="tr-TR"/>
              </w:rPr>
              <w:t>düzenlenmektedir. Bu madde, 2004 sayılı Kanunun 16 ncı maddesinin ikinci fıkrasına karşılık gelmektedir.</w:t>
            </w:r>
          </w:p>
          <w:p w:rsidR="00A41803" w:rsidRPr="00A23740" w:rsidRDefault="00E353A3" w:rsidP="009431FF">
            <w:pPr>
              <w:pStyle w:val="Mavi"/>
              <w:ind w:firstLine="709"/>
              <w:rPr>
                <w:b w:val="0"/>
                <w:bCs w:val="0"/>
                <w:color w:val="auto"/>
                <w:lang w:val="tr-TR"/>
              </w:rPr>
            </w:pPr>
            <w:r w:rsidRPr="00A23740">
              <w:rPr>
                <w:b w:val="0"/>
                <w:bCs w:val="0"/>
                <w:color w:val="auto"/>
                <w:lang w:val="tr-TR"/>
              </w:rPr>
              <w:t>Birinci fıkrayla</w:t>
            </w:r>
            <w:r w:rsidR="00690DEA" w:rsidRPr="00A23740">
              <w:rPr>
                <w:b w:val="0"/>
                <w:bCs w:val="0"/>
                <w:color w:val="auto"/>
                <w:lang w:val="tr-TR"/>
              </w:rPr>
              <w:t>, icra ve ifla</w:t>
            </w:r>
            <w:r w:rsidR="004372C9" w:rsidRPr="00A23740">
              <w:rPr>
                <w:b w:val="0"/>
                <w:bCs w:val="0"/>
                <w:color w:val="auto"/>
                <w:lang w:val="tr-TR"/>
              </w:rPr>
              <w:t xml:space="preserve">s dairelerince haklı bir sebep bulunmaksızın, yapılması gereken </w:t>
            </w:r>
            <w:r w:rsidRPr="00A23740">
              <w:rPr>
                <w:b w:val="0"/>
                <w:bCs w:val="0"/>
                <w:color w:val="auto"/>
                <w:lang w:val="tr-TR"/>
              </w:rPr>
              <w:t>işlemlerin</w:t>
            </w:r>
            <w:r w:rsidR="004372C9" w:rsidRPr="00A23740">
              <w:rPr>
                <w:b w:val="0"/>
                <w:bCs w:val="0"/>
                <w:color w:val="auto"/>
                <w:lang w:val="tr-TR"/>
              </w:rPr>
              <w:t xml:space="preserve"> yapılmaması veya sürüncemede bırakılmasından dolayı şikâyet başvurusunun her zaman yapılabileceği hükme bağlanmaktadır. </w:t>
            </w:r>
            <w:r w:rsidR="00A41803" w:rsidRPr="00A23740">
              <w:rPr>
                <w:b w:val="0"/>
                <w:bCs w:val="0"/>
                <w:color w:val="auto"/>
                <w:lang w:val="tr-TR"/>
              </w:rPr>
              <w:t xml:space="preserve">Kural </w:t>
            </w:r>
            <w:r w:rsidR="004372C9" w:rsidRPr="00A23740">
              <w:rPr>
                <w:b w:val="0"/>
                <w:bCs w:val="0"/>
                <w:color w:val="auto"/>
                <w:lang w:val="tr-TR"/>
              </w:rPr>
              <w:t>olarak</w:t>
            </w:r>
            <w:r w:rsidR="00A41803" w:rsidRPr="00A23740">
              <w:rPr>
                <w:b w:val="0"/>
                <w:bCs w:val="0"/>
                <w:color w:val="auto"/>
                <w:lang w:val="tr-TR"/>
              </w:rPr>
              <w:t xml:space="preserve"> şik</w:t>
            </w:r>
            <w:r w:rsidR="00690DEA" w:rsidRPr="00A23740">
              <w:rPr>
                <w:b w:val="0"/>
                <w:bCs w:val="0"/>
                <w:color w:val="auto"/>
                <w:lang w:val="tr-TR"/>
              </w:rPr>
              <w:t>â</w:t>
            </w:r>
            <w:r w:rsidR="00A41803" w:rsidRPr="00A23740">
              <w:rPr>
                <w:b w:val="0"/>
                <w:bCs w:val="0"/>
                <w:color w:val="auto"/>
                <w:lang w:val="tr-TR"/>
              </w:rPr>
              <w:t xml:space="preserve">yet </w:t>
            </w:r>
            <w:r w:rsidR="004372C9" w:rsidRPr="00A23740">
              <w:rPr>
                <w:b w:val="0"/>
                <w:bCs w:val="0"/>
                <w:color w:val="auto"/>
                <w:lang w:val="tr-TR"/>
              </w:rPr>
              <w:t>süreye bağlı olmasına rağmen, haklı b</w:t>
            </w:r>
            <w:r w:rsidR="00690DEA" w:rsidRPr="00A23740">
              <w:rPr>
                <w:b w:val="0"/>
                <w:bCs w:val="0"/>
                <w:color w:val="auto"/>
                <w:lang w:val="tr-TR"/>
              </w:rPr>
              <w:t>ir sebep olmaksızın icra ve ifla</w:t>
            </w:r>
            <w:r w:rsidR="004372C9" w:rsidRPr="00A23740">
              <w:rPr>
                <w:b w:val="0"/>
                <w:bCs w:val="0"/>
                <w:color w:val="auto"/>
                <w:lang w:val="tr-TR"/>
              </w:rPr>
              <w:t xml:space="preserve">s dairelerince yapılması gereken </w:t>
            </w:r>
            <w:r w:rsidRPr="00A23740">
              <w:rPr>
                <w:b w:val="0"/>
                <w:bCs w:val="0"/>
                <w:color w:val="auto"/>
                <w:lang w:val="tr-TR"/>
              </w:rPr>
              <w:t>işlemlerin</w:t>
            </w:r>
            <w:r w:rsidR="004372C9" w:rsidRPr="00A23740">
              <w:rPr>
                <w:b w:val="0"/>
                <w:bCs w:val="0"/>
                <w:color w:val="auto"/>
                <w:lang w:val="tr-TR"/>
              </w:rPr>
              <w:t xml:space="preserve"> yapılmaması veya Kanu</w:t>
            </w:r>
            <w:r w:rsidR="00690DEA" w:rsidRPr="00A23740">
              <w:rPr>
                <w:b w:val="0"/>
                <w:bCs w:val="0"/>
                <w:color w:val="auto"/>
                <w:lang w:val="tr-TR"/>
              </w:rPr>
              <w:t>nun öngördüğü ya da icra ve ifla</w:t>
            </w:r>
            <w:r w:rsidR="004372C9" w:rsidRPr="00A23740">
              <w:rPr>
                <w:b w:val="0"/>
                <w:bCs w:val="0"/>
                <w:color w:val="auto"/>
                <w:lang w:val="tr-TR"/>
              </w:rPr>
              <w:t xml:space="preserve">s dairesinin takdirine bırakılmış süre içinde talep edilen yahut resen yapılması gereken </w:t>
            </w:r>
            <w:r w:rsidRPr="00A23740">
              <w:rPr>
                <w:b w:val="0"/>
                <w:bCs w:val="0"/>
                <w:color w:val="auto"/>
                <w:lang w:val="tr-TR"/>
              </w:rPr>
              <w:t>işlemlerin</w:t>
            </w:r>
            <w:r w:rsidR="004372C9" w:rsidRPr="00A23740">
              <w:rPr>
                <w:b w:val="0"/>
                <w:bCs w:val="0"/>
                <w:color w:val="auto"/>
                <w:lang w:val="tr-TR"/>
              </w:rPr>
              <w:t xml:space="preserve"> yapılmaması h</w:t>
            </w:r>
            <w:r w:rsidR="00C219C2" w:rsidRPr="00A23740">
              <w:rPr>
                <w:b w:val="0"/>
                <w:bCs w:val="0"/>
                <w:color w:val="auto"/>
                <w:lang w:val="tr-TR"/>
              </w:rPr>
              <w:t>â</w:t>
            </w:r>
            <w:r w:rsidR="004372C9" w:rsidRPr="00A23740">
              <w:rPr>
                <w:b w:val="0"/>
                <w:bCs w:val="0"/>
                <w:color w:val="auto"/>
                <w:lang w:val="tr-TR"/>
              </w:rPr>
              <w:t>linde, şikâyet</w:t>
            </w:r>
            <w:r w:rsidRPr="00A23740">
              <w:rPr>
                <w:b w:val="0"/>
                <w:bCs w:val="0"/>
                <w:color w:val="auto"/>
                <w:lang w:val="tr-TR"/>
              </w:rPr>
              <w:t xml:space="preserve"> yoluna</w:t>
            </w:r>
            <w:r w:rsidR="004372C9" w:rsidRPr="00A23740">
              <w:rPr>
                <w:b w:val="0"/>
                <w:bCs w:val="0"/>
                <w:color w:val="auto"/>
                <w:lang w:val="tr-TR"/>
              </w:rPr>
              <w:t xml:space="preserve"> her zaman </w:t>
            </w:r>
            <w:r w:rsidRPr="00A23740">
              <w:rPr>
                <w:b w:val="0"/>
                <w:bCs w:val="0"/>
                <w:color w:val="auto"/>
                <w:lang w:val="tr-TR"/>
              </w:rPr>
              <w:t>başvurulabilir</w:t>
            </w:r>
            <w:r w:rsidR="004372C9" w:rsidRPr="00A23740">
              <w:rPr>
                <w:b w:val="0"/>
                <w:bCs w:val="0"/>
                <w:color w:val="auto"/>
                <w:lang w:val="tr-TR"/>
              </w:rPr>
              <w:t xml:space="preserve">. </w:t>
            </w:r>
            <w:r w:rsidR="00690DEA" w:rsidRPr="00A23740">
              <w:rPr>
                <w:b w:val="0"/>
                <w:bCs w:val="0"/>
                <w:color w:val="auto"/>
                <w:lang w:val="tr-TR"/>
              </w:rPr>
              <w:t>Esasen bu durumda icra ve ifla</w:t>
            </w:r>
            <w:r w:rsidR="004372C9" w:rsidRPr="00A23740">
              <w:rPr>
                <w:b w:val="0"/>
                <w:bCs w:val="0"/>
                <w:color w:val="auto"/>
                <w:lang w:val="tr-TR"/>
              </w:rPr>
              <w:t>s dairesinin bir eylemsizliği söz konusu olduğu için, şikâyetin bağlanabileceği bir süreden de söz edilemeyecektir.</w:t>
            </w:r>
            <w:r w:rsidR="004355B3" w:rsidRPr="00A23740">
              <w:rPr>
                <w:b w:val="0"/>
                <w:bCs w:val="0"/>
                <w:color w:val="auto"/>
                <w:lang w:val="tr-TR"/>
              </w:rPr>
              <w:t xml:space="preserve"> Bilimsel ve yargısal içtihatlarda</w:t>
            </w:r>
            <w:r w:rsidR="004372C9" w:rsidRPr="00A23740">
              <w:rPr>
                <w:b w:val="0"/>
                <w:bCs w:val="0"/>
                <w:color w:val="auto"/>
                <w:lang w:val="tr-TR"/>
              </w:rPr>
              <w:t xml:space="preserve"> </w:t>
            </w:r>
            <w:r w:rsidR="004355B3" w:rsidRPr="00A23740">
              <w:rPr>
                <w:b w:val="0"/>
                <w:bCs w:val="0"/>
                <w:color w:val="auto"/>
                <w:lang w:val="tr-TR"/>
              </w:rPr>
              <w:t>kamu düzenine aykırılık teşkil eden işlemlerin de süresiz şik</w:t>
            </w:r>
            <w:r w:rsidR="005E4704" w:rsidRPr="00A23740">
              <w:rPr>
                <w:b w:val="0"/>
                <w:bCs w:val="0"/>
                <w:color w:val="auto"/>
                <w:lang w:val="tr-TR"/>
              </w:rPr>
              <w:t>â</w:t>
            </w:r>
            <w:r w:rsidR="004355B3" w:rsidRPr="00A23740">
              <w:rPr>
                <w:b w:val="0"/>
                <w:bCs w:val="0"/>
                <w:color w:val="auto"/>
                <w:lang w:val="tr-TR"/>
              </w:rPr>
              <w:t>yete tabi olduğu kabul edilmektedir. Bu husus</w:t>
            </w:r>
            <w:r w:rsidR="003C1533" w:rsidRPr="00A23740">
              <w:rPr>
                <w:b w:val="0"/>
                <w:bCs w:val="0"/>
                <w:color w:val="auto"/>
                <w:lang w:val="tr-TR"/>
              </w:rPr>
              <w:t>un</w:t>
            </w:r>
            <w:r w:rsidR="004355B3" w:rsidRPr="00A23740">
              <w:rPr>
                <w:b w:val="0"/>
                <w:bCs w:val="0"/>
                <w:color w:val="auto"/>
                <w:lang w:val="tr-TR"/>
              </w:rPr>
              <w:t xml:space="preserve"> </w:t>
            </w:r>
            <w:r w:rsidR="005E4704" w:rsidRPr="002B26FC">
              <w:rPr>
                <w:b w:val="0"/>
                <w:bCs w:val="0"/>
                <w:color w:val="auto"/>
                <w:lang w:val="tr-TR"/>
              </w:rPr>
              <w:t>Taslağa</w:t>
            </w:r>
            <w:r w:rsidR="005E4704" w:rsidRPr="00A23740">
              <w:rPr>
                <w:b w:val="0"/>
                <w:bCs w:val="0"/>
                <w:color w:val="auto"/>
                <w:lang w:val="tr-TR"/>
              </w:rPr>
              <w:t xml:space="preserve"> </w:t>
            </w:r>
            <w:r w:rsidR="003C1533" w:rsidRPr="00A23740">
              <w:rPr>
                <w:b w:val="0"/>
                <w:bCs w:val="0"/>
                <w:color w:val="auto"/>
                <w:lang w:val="tr-TR"/>
              </w:rPr>
              <w:t xml:space="preserve"> ayrıca alınmasına gerek görülmemiştir</w:t>
            </w:r>
            <w:r w:rsidR="00A44DE5">
              <w:rPr>
                <w:b w:val="0"/>
                <w:bCs w:val="0"/>
                <w:color w:val="auto"/>
                <w:lang w:val="tr-TR"/>
              </w:rPr>
              <w:t>.</w:t>
            </w:r>
          </w:p>
          <w:p w:rsidR="004372C9" w:rsidRPr="00A23740" w:rsidRDefault="004372C9"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vAlign w:val="center"/>
          </w:tcPr>
          <w:p w:rsidR="00155AF4" w:rsidRPr="00A23740" w:rsidRDefault="00155AF4" w:rsidP="009431FF">
            <w:pPr>
              <w:jc w:val="center"/>
              <w:rPr>
                <w:rFonts w:eastAsia="ヒラギノ明朝 Pro W3"/>
                <w:b/>
                <w:color w:val="0000FF"/>
                <w:szCs w:val="24"/>
                <w:lang w:eastAsia="tr-TR"/>
              </w:rPr>
            </w:pPr>
          </w:p>
          <w:p w:rsidR="00155AF4" w:rsidRPr="00A23740" w:rsidRDefault="00155AF4" w:rsidP="009431FF">
            <w:pPr>
              <w:tabs>
                <w:tab w:val="left" w:pos="567"/>
              </w:tabs>
              <w:jc w:val="center"/>
              <w:rPr>
                <w:rFonts w:eastAsia="Times New Roman"/>
                <w:szCs w:val="24"/>
                <w:lang w:eastAsia="tr-TR"/>
              </w:rPr>
            </w:pPr>
          </w:p>
          <w:p w:rsidR="00155AF4" w:rsidRPr="00A23740" w:rsidRDefault="00155AF4" w:rsidP="009431FF">
            <w:pPr>
              <w:tabs>
                <w:tab w:val="left" w:pos="567"/>
              </w:tabs>
              <w:jc w:val="center"/>
              <w:rPr>
                <w:rFonts w:eastAsia="Times New Roman"/>
                <w:szCs w:val="24"/>
                <w:lang w:eastAsia="tr-TR"/>
              </w:rPr>
            </w:pPr>
          </w:p>
          <w:p w:rsidR="00155AF4" w:rsidRPr="00A23740" w:rsidRDefault="00155AF4" w:rsidP="009431FF">
            <w:pPr>
              <w:tabs>
                <w:tab w:val="left" w:pos="567"/>
              </w:tabs>
              <w:rPr>
                <w:rFonts w:eastAsia="Times New Roman"/>
                <w:szCs w:val="24"/>
                <w:lang w:eastAsia="tr-TR"/>
              </w:rPr>
            </w:pPr>
          </w:p>
          <w:p w:rsidR="00155AF4" w:rsidRPr="00A23740" w:rsidRDefault="00155AF4"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 Hacze başlama müddeti:</w:t>
            </w:r>
          </w:p>
          <w:p w:rsidR="00155AF4" w:rsidRPr="00A23740" w:rsidRDefault="00155AF4" w:rsidP="009431FF">
            <w:pPr>
              <w:tabs>
                <w:tab w:val="left" w:pos="567"/>
              </w:tabs>
              <w:rPr>
                <w:rFonts w:eastAsia="Times New Roman"/>
                <w:b/>
                <w:szCs w:val="24"/>
                <w:lang w:eastAsia="tr-TR"/>
              </w:rPr>
            </w:pPr>
            <w:r w:rsidRPr="00A23740">
              <w:rPr>
                <w:rFonts w:eastAsia="Times New Roman"/>
                <w:b/>
                <w:szCs w:val="24"/>
                <w:lang w:eastAsia="tr-TR"/>
              </w:rPr>
              <w:t>Madde 79 –</w:t>
            </w:r>
          </w:p>
          <w:p w:rsidR="00155AF4" w:rsidRPr="00A23740" w:rsidRDefault="00155AF4" w:rsidP="009431FF">
            <w:pPr>
              <w:tabs>
                <w:tab w:val="left" w:pos="567"/>
              </w:tabs>
              <w:rPr>
                <w:rStyle w:val="KIRMIZIChar"/>
                <w:rFonts w:eastAsia="Calibri"/>
              </w:rPr>
            </w:pPr>
            <w:r w:rsidRPr="00A23740">
              <w:rPr>
                <w:rStyle w:val="KIRMIZIChar"/>
                <w:rFonts w:eastAsia="Calibri"/>
              </w:rPr>
              <w:t xml:space="preserve">(2) (Değişik fıkra: 6/6/1985 - 3222/10 md.) Haczolunacak mallar başka yerde ise haciz yapılmasını malların bulunduğu yerin icra </w:t>
            </w:r>
            <w:r w:rsidRPr="00A23740">
              <w:rPr>
                <w:rStyle w:val="KIRMIZIChar"/>
                <w:rFonts w:eastAsia="Calibri"/>
              </w:rPr>
              <w:lastRenderedPageBreak/>
              <w:t>dairesine hemen yazar. Bu halde hacizle ilgili şikayetler, istinabe olunan icra dairesinin tabi bulunduğu icra mahkemesince çözümlenir. (Ek cümle: 17/7/2003-4949/19 md.) Resmî sicile kayıtlı malların haczi, takibin yapıldığı icra dairesince, kaydına işletilmek suretiyle doğrudan da yapılabilir.</w:t>
            </w:r>
          </w:p>
          <w:p w:rsidR="00155AF4" w:rsidRPr="00A23740" w:rsidRDefault="00155AF4" w:rsidP="009431FF">
            <w:pPr>
              <w:tabs>
                <w:tab w:val="left" w:pos="567"/>
              </w:tabs>
              <w:jc w:val="center"/>
              <w:rPr>
                <w:rFonts w:eastAsia="Times New Roman"/>
                <w:szCs w:val="24"/>
                <w:lang w:eastAsia="tr-TR"/>
              </w:rPr>
            </w:pPr>
          </w:p>
        </w:tc>
        <w:tc>
          <w:tcPr>
            <w:tcW w:w="2500" w:type="pct"/>
          </w:tcPr>
          <w:p w:rsidR="00155AF4" w:rsidRPr="00A23740" w:rsidRDefault="00155AF4" w:rsidP="009431FF">
            <w:pPr>
              <w:pStyle w:val="Mavi"/>
            </w:pPr>
            <w:r w:rsidRPr="00A23740">
              <w:lastRenderedPageBreak/>
              <w:t>Görev ve yetki</w:t>
            </w:r>
          </w:p>
          <w:p w:rsidR="006D2A8F" w:rsidRPr="00A23740" w:rsidRDefault="0059245E" w:rsidP="009431FF">
            <w:pPr>
              <w:pStyle w:val="Mavi"/>
            </w:pPr>
            <w:r w:rsidRPr="00A23740">
              <w:t>MADDE 25</w:t>
            </w:r>
            <w:r w:rsidR="00155AF4" w:rsidRPr="00A23740">
              <w:t>- (1) Şikâyet başvurusu</w:t>
            </w:r>
            <w:r w:rsidR="008E4036" w:rsidRPr="00A23740">
              <w:t xml:space="preserve"> </w:t>
            </w:r>
            <w:r w:rsidR="008E4036" w:rsidRPr="002B26FC">
              <w:t>duruma göre,</w:t>
            </w:r>
            <w:r w:rsidR="00155AF4" w:rsidRPr="002B26FC">
              <w:t xml:space="preserve"> </w:t>
            </w:r>
            <w:r w:rsidR="00155AF4" w:rsidRPr="00A23740">
              <w:t>şikâyet konusu işlemi yapan veya haklı bir sebep olmaksızın yapmayan ya da sürüncemede bıra</w:t>
            </w:r>
            <w:r w:rsidR="00155AF4" w:rsidRPr="00A23740">
              <w:softHyphen/>
              <w:t xml:space="preserve">kan icra </w:t>
            </w:r>
            <w:r w:rsidR="008E4036" w:rsidRPr="002B26FC">
              <w:t xml:space="preserve">ve </w:t>
            </w:r>
            <w:r w:rsidR="00155AF4" w:rsidRPr="00A23740">
              <w:t xml:space="preserve">iflas dairesinin bağlı olduğu icra hukuk </w:t>
            </w:r>
            <w:r w:rsidR="00F01B62" w:rsidRPr="00A23740">
              <w:rPr>
                <w:lang w:val="tr-TR"/>
              </w:rPr>
              <w:t xml:space="preserve">mahkemesi </w:t>
            </w:r>
            <w:r w:rsidR="00155AF4" w:rsidRPr="00A23740">
              <w:t>veya iflas mahkemesine yapı</w:t>
            </w:r>
            <w:r w:rsidR="00155AF4" w:rsidRPr="00A23740">
              <w:softHyphen/>
              <w:t>lır. Mahkemenin yetkisi kesindir.</w:t>
            </w:r>
          </w:p>
          <w:p w:rsidR="00155AF4" w:rsidRPr="00A23740" w:rsidRDefault="00155AF4" w:rsidP="009431FF">
            <w:pPr>
              <w:rPr>
                <w:rFonts w:eastAsia="Times New Roman"/>
                <w:b/>
                <w:bCs/>
                <w:color w:val="0070C0"/>
                <w:szCs w:val="24"/>
                <w:lang w:eastAsia="tr-TR"/>
              </w:rPr>
            </w:pPr>
          </w:p>
          <w:p w:rsidR="00155AF4" w:rsidRPr="00A23740" w:rsidRDefault="00155AF4" w:rsidP="009431FF">
            <w:pPr>
              <w:tabs>
                <w:tab w:val="left" w:pos="567"/>
              </w:tabs>
              <w:rPr>
                <w:rFonts w:eastAsia="ヒラギノ明朝 Pro W3"/>
                <w:b/>
                <w:color w:val="0000FF"/>
                <w:szCs w:val="24"/>
                <w:lang w:eastAsia="tr-TR"/>
              </w:rPr>
            </w:pPr>
            <w:r w:rsidRPr="00A23740">
              <w:rPr>
                <w:rStyle w:val="MaviChar"/>
              </w:rPr>
              <w:lastRenderedPageBreak/>
              <w:t>(2) İstinabe yoluyla yapılan işlemle</w:t>
            </w:r>
            <w:r w:rsidR="00561753" w:rsidRPr="00A23740">
              <w:rPr>
                <w:rStyle w:val="MaviChar"/>
              </w:rPr>
              <w:t>rde istinabe olunan icra ve ifla</w:t>
            </w:r>
            <w:r w:rsidRPr="00A23740">
              <w:rPr>
                <w:rStyle w:val="MaviChar"/>
              </w:rPr>
              <w:t>s dairesinin yaptığı işlemler hakkındaki şikâyet,</w:t>
            </w:r>
            <w:r w:rsidRPr="00A23740">
              <w:rPr>
                <w:rStyle w:val="YELChar"/>
              </w:rPr>
              <w:t xml:space="preserve"> </w:t>
            </w:r>
            <w:r w:rsidRPr="00A23740">
              <w:rPr>
                <w:rStyle w:val="MaviChar"/>
              </w:rPr>
              <w:t>mutlak surette</w:t>
            </w:r>
            <w:r w:rsidR="008E4036" w:rsidRPr="00A23740">
              <w:rPr>
                <w:rStyle w:val="MaviChar"/>
                <w:color w:val="70AD47"/>
              </w:rPr>
              <w:t>,</w:t>
            </w:r>
            <w:r w:rsidRPr="00A23740">
              <w:rPr>
                <w:rFonts w:eastAsia="ヒラギノ明朝 Pro W3"/>
                <w:b/>
                <w:color w:val="0000FF"/>
                <w:szCs w:val="24"/>
                <w:lang w:eastAsia="tr-TR"/>
              </w:rPr>
              <w:t xml:space="preserve"> </w:t>
            </w:r>
            <w:r w:rsidR="00561753" w:rsidRPr="00A23740">
              <w:rPr>
                <w:rStyle w:val="MaviChar"/>
              </w:rPr>
              <w:t>istinabe olunan icra ve ifla</w:t>
            </w:r>
            <w:r w:rsidRPr="00A23740">
              <w:rPr>
                <w:rStyle w:val="MaviChar"/>
              </w:rPr>
              <w:t>s dairesinin bağlı olduğu mahkemeye yapılır.</w:t>
            </w:r>
          </w:p>
          <w:p w:rsidR="00586306" w:rsidRPr="00A23740" w:rsidRDefault="00586306" w:rsidP="009431FF">
            <w:pPr>
              <w:rPr>
                <w:rFonts w:eastAsia="Times New Roman"/>
                <w:b/>
                <w:color w:val="FF0000"/>
                <w:szCs w:val="24"/>
                <w:lang w:eastAsia="tr-TR"/>
              </w:rPr>
            </w:pPr>
          </w:p>
          <w:p w:rsidR="00155AF4" w:rsidRPr="00A23740" w:rsidRDefault="00155AF4" w:rsidP="009431FF">
            <w:pPr>
              <w:rPr>
                <w:rFonts w:eastAsia="Times New Roman"/>
                <w:szCs w:val="24"/>
                <w:lang w:eastAsia="tr-TR"/>
              </w:rPr>
            </w:pPr>
            <w:r w:rsidRPr="00A23740">
              <w:rPr>
                <w:rStyle w:val="MaviChar"/>
              </w:rPr>
              <w:t>(3) Şikâyet görevsiz veya yetkisiz mahkemeye yapılırsa, mahkeme, başvuru tarihinden itibaren en geç bir hafta içinde dosya üzerinden</w:t>
            </w:r>
            <w:r w:rsidR="00A00FB9" w:rsidRPr="00A23740">
              <w:rPr>
                <w:rStyle w:val="MaviChar"/>
                <w:lang w:val="tr-TR"/>
              </w:rPr>
              <w:t xml:space="preserve"> </w:t>
            </w:r>
            <w:r w:rsidR="00A00FB9" w:rsidRPr="00A23740">
              <w:rPr>
                <w:rStyle w:val="MaviChar"/>
              </w:rPr>
              <w:t>kesin olarak</w:t>
            </w:r>
            <w:r w:rsidRPr="00A23740">
              <w:rPr>
                <w:rStyle w:val="MaviChar"/>
              </w:rPr>
              <w:t xml:space="preserve"> görevsizlik veya yetkisizlik kararı verir ve dosyayı resen görevli veya yetkili mahkemeye gönderir.</w:t>
            </w:r>
          </w:p>
          <w:p w:rsidR="00155AF4" w:rsidRPr="00A23740" w:rsidRDefault="00155AF4" w:rsidP="009431FF">
            <w:pPr>
              <w:pStyle w:val="AltKonuBal"/>
              <w:rPr>
                <w:lang w:eastAsia="tr-TR"/>
              </w:rPr>
            </w:pPr>
          </w:p>
        </w:tc>
      </w:tr>
      <w:tr w:rsidR="004372C9" w:rsidRPr="00A23740" w:rsidTr="009431FF">
        <w:tc>
          <w:tcPr>
            <w:tcW w:w="5000" w:type="pct"/>
            <w:gridSpan w:val="2"/>
            <w:shd w:val="clear" w:color="auto" w:fill="DEEAF6"/>
          </w:tcPr>
          <w:p w:rsidR="006D2A8F" w:rsidRPr="00A23740" w:rsidRDefault="006D2A8F" w:rsidP="009431FF">
            <w:pPr>
              <w:pStyle w:val="Mavi"/>
              <w:ind w:firstLine="709"/>
              <w:rPr>
                <w:color w:val="auto"/>
                <w:lang w:val="tr-TR"/>
              </w:rPr>
            </w:pPr>
          </w:p>
          <w:p w:rsidR="004372C9" w:rsidRPr="00A23740" w:rsidRDefault="00D42F78" w:rsidP="009431FF">
            <w:pPr>
              <w:pStyle w:val="Mavi"/>
              <w:ind w:firstLine="709"/>
              <w:rPr>
                <w:rStyle w:val="MaviChar"/>
                <w:color w:val="auto"/>
              </w:rPr>
            </w:pPr>
            <w:r w:rsidRPr="00A23740">
              <w:rPr>
                <w:color w:val="auto"/>
                <w:lang w:val="tr-TR"/>
              </w:rPr>
              <w:t>MADDE 25</w:t>
            </w:r>
            <w:r w:rsidR="004372C9" w:rsidRPr="00A23740">
              <w:rPr>
                <w:color w:val="auto"/>
                <w:lang w:val="tr-TR"/>
              </w:rPr>
              <w:t xml:space="preserve">- </w:t>
            </w:r>
            <w:r w:rsidR="004372C9" w:rsidRPr="00A23740">
              <w:rPr>
                <w:rStyle w:val="MaviChar"/>
                <w:color w:val="auto"/>
              </w:rPr>
              <w:t>Maddeyle, şik</w:t>
            </w:r>
            <w:r w:rsidR="005E4704" w:rsidRPr="00A23740">
              <w:rPr>
                <w:rStyle w:val="MaviChar"/>
                <w:color w:val="auto"/>
                <w:lang w:val="tr-TR"/>
              </w:rPr>
              <w:t>â</w:t>
            </w:r>
            <w:r w:rsidR="004372C9" w:rsidRPr="00A23740">
              <w:rPr>
                <w:rStyle w:val="MaviChar"/>
                <w:color w:val="auto"/>
              </w:rPr>
              <w:t>yet başvurusunda görev</w:t>
            </w:r>
            <w:r w:rsidR="006D2A8F" w:rsidRPr="00A23740">
              <w:rPr>
                <w:rStyle w:val="MaviChar"/>
                <w:color w:val="auto"/>
                <w:lang w:val="tr-TR"/>
              </w:rPr>
              <w:t>li</w:t>
            </w:r>
            <w:r w:rsidR="004372C9" w:rsidRPr="00A23740">
              <w:rPr>
                <w:rStyle w:val="MaviChar"/>
                <w:color w:val="auto"/>
              </w:rPr>
              <w:t xml:space="preserve"> ve yetki</w:t>
            </w:r>
            <w:r w:rsidR="004A6309" w:rsidRPr="00A23740">
              <w:rPr>
                <w:rStyle w:val="MaviChar"/>
                <w:color w:val="auto"/>
                <w:lang w:val="tr-TR"/>
              </w:rPr>
              <w:t>li mahkemelere ilişki</w:t>
            </w:r>
            <w:r w:rsidR="006D2A8F" w:rsidRPr="00A23740">
              <w:rPr>
                <w:rStyle w:val="MaviChar"/>
                <w:color w:val="auto"/>
                <w:lang w:val="tr-TR"/>
              </w:rPr>
              <w:t>n hususlar</w:t>
            </w:r>
            <w:r w:rsidR="004372C9" w:rsidRPr="00A23740">
              <w:rPr>
                <w:rStyle w:val="MaviChar"/>
                <w:color w:val="auto"/>
              </w:rPr>
              <w:t xml:space="preserve"> düzenlenmektedir. </w:t>
            </w:r>
          </w:p>
          <w:p w:rsidR="005D3223" w:rsidRPr="00A23740" w:rsidRDefault="004372C9" w:rsidP="009431FF">
            <w:pPr>
              <w:pStyle w:val="Mavi"/>
              <w:ind w:firstLine="709"/>
              <w:rPr>
                <w:b w:val="0"/>
                <w:bCs w:val="0"/>
                <w:color w:val="auto"/>
                <w:lang w:val="tr-TR"/>
              </w:rPr>
            </w:pPr>
            <w:r w:rsidRPr="00A23740">
              <w:rPr>
                <w:rStyle w:val="MaviChar"/>
                <w:color w:val="auto"/>
              </w:rPr>
              <w:t>Birinci fıkrayla, şikâyet başvurusunun</w:t>
            </w:r>
            <w:r w:rsidR="00E547C3" w:rsidRPr="00A23740">
              <w:rPr>
                <w:rStyle w:val="MaviChar"/>
                <w:color w:val="auto"/>
                <w:lang w:val="tr-TR"/>
              </w:rPr>
              <w:t xml:space="preserve"> </w:t>
            </w:r>
            <w:r w:rsidR="00E547C3" w:rsidRPr="002B26FC">
              <w:rPr>
                <w:rStyle w:val="MaviChar"/>
                <w:color w:val="auto"/>
                <w:lang w:val="tr-TR"/>
              </w:rPr>
              <w:t>duruma göre</w:t>
            </w:r>
            <w:r w:rsidRPr="002B26FC">
              <w:rPr>
                <w:rStyle w:val="MaviChar"/>
                <w:color w:val="auto"/>
                <w:lang w:val="tr-TR"/>
              </w:rPr>
              <w:t>,</w:t>
            </w:r>
            <w:r w:rsidRPr="00A23740">
              <w:rPr>
                <w:rStyle w:val="MaviChar"/>
                <w:color w:val="auto"/>
              </w:rPr>
              <w:t xml:space="preserve"> şikâyet konusu işlemi yapan veya haklı bir sebep olmaksızın yapmayan ya da sürüncemede bırakan icra </w:t>
            </w:r>
            <w:r w:rsidR="00DC6449" w:rsidRPr="002B26FC">
              <w:rPr>
                <w:rStyle w:val="MaviChar"/>
                <w:color w:val="auto"/>
                <w:lang w:val="tr-TR"/>
              </w:rPr>
              <w:t>ve</w:t>
            </w:r>
            <w:r w:rsidR="00DC6449" w:rsidRPr="00A23740">
              <w:rPr>
                <w:rStyle w:val="MaviChar"/>
                <w:color w:val="385623"/>
                <w:lang w:val="tr-TR"/>
              </w:rPr>
              <w:t xml:space="preserve"> </w:t>
            </w:r>
            <w:r w:rsidRPr="00A23740">
              <w:rPr>
                <w:rStyle w:val="MaviChar"/>
                <w:color w:val="auto"/>
              </w:rPr>
              <w:t>iflas dair</w:t>
            </w:r>
            <w:r w:rsidRPr="002B26FC">
              <w:rPr>
                <w:rStyle w:val="MaviChar"/>
                <w:color w:val="auto"/>
                <w:lang w:val="tr-TR"/>
              </w:rPr>
              <w:t>esinin</w:t>
            </w:r>
            <w:r w:rsidRPr="00A23740">
              <w:rPr>
                <w:rStyle w:val="MaviChar"/>
                <w:color w:val="auto"/>
              </w:rPr>
              <w:t xml:space="preserve"> bağlı olduğu icra hukuk </w:t>
            </w:r>
            <w:r w:rsidR="00F01B62" w:rsidRPr="00A23740">
              <w:rPr>
                <w:rStyle w:val="MaviChar"/>
                <w:color w:val="auto"/>
                <w:lang w:val="tr-TR"/>
              </w:rPr>
              <w:t xml:space="preserve">mahkemesi </w:t>
            </w:r>
            <w:r w:rsidRPr="00A23740">
              <w:rPr>
                <w:rStyle w:val="MaviChar"/>
                <w:color w:val="auto"/>
              </w:rPr>
              <w:t>veya iflas mahkemesine yapılacağı ve bu mahkemenin yetkisinin kesin olacağı hükme bağlanmaktadır.</w:t>
            </w:r>
            <w:r w:rsidR="004A6309" w:rsidRPr="00A23740">
              <w:rPr>
                <w:rStyle w:val="MaviChar"/>
                <w:color w:val="auto"/>
                <w:lang w:val="tr-TR"/>
              </w:rPr>
              <w:t xml:space="preserve"> </w:t>
            </w:r>
            <w:r w:rsidR="00163E5A" w:rsidRPr="00A23740">
              <w:rPr>
                <w:rStyle w:val="MaviChar"/>
                <w:color w:val="auto"/>
                <w:lang w:val="tr-TR"/>
              </w:rPr>
              <w:t>Taslağın</w:t>
            </w:r>
            <w:r w:rsidR="004A6309" w:rsidRPr="00A23740">
              <w:rPr>
                <w:rStyle w:val="MaviChar"/>
                <w:color w:val="auto"/>
                <w:lang w:val="tr-TR"/>
              </w:rPr>
              <w:t xml:space="preserve"> </w:t>
            </w:r>
            <w:r w:rsidR="005E4704" w:rsidRPr="002B26FC">
              <w:rPr>
                <w:rStyle w:val="MaviChar"/>
                <w:color w:val="auto"/>
                <w:lang w:val="tr-TR"/>
              </w:rPr>
              <w:t>18 inci</w:t>
            </w:r>
            <w:r w:rsidR="005E4704" w:rsidRPr="00A23740">
              <w:rPr>
                <w:rStyle w:val="MaviChar"/>
                <w:color w:val="auto"/>
                <w:lang w:val="tr-TR"/>
              </w:rPr>
              <w:t xml:space="preserve"> </w:t>
            </w:r>
            <w:r w:rsidR="004A6309" w:rsidRPr="00A23740">
              <w:rPr>
                <w:rStyle w:val="MaviChar"/>
                <w:color w:val="auto"/>
                <w:lang w:val="tr-TR"/>
              </w:rPr>
              <w:t>maddesinde iflas mahkemelerine iflasla ilgili şik</w:t>
            </w:r>
            <w:r w:rsidR="005E4704" w:rsidRPr="00A23740">
              <w:rPr>
                <w:rStyle w:val="MaviChar"/>
                <w:color w:val="auto"/>
                <w:lang w:val="tr-TR"/>
              </w:rPr>
              <w:t>â</w:t>
            </w:r>
            <w:r w:rsidR="004A6309" w:rsidRPr="00A23740">
              <w:rPr>
                <w:rStyle w:val="MaviChar"/>
                <w:color w:val="auto"/>
                <w:lang w:val="tr-TR"/>
              </w:rPr>
              <w:t>yet başvurularına bakma görevi</w:t>
            </w:r>
            <w:r w:rsidR="005106EA" w:rsidRPr="00A23740">
              <w:rPr>
                <w:rStyle w:val="MaviChar"/>
                <w:color w:val="auto"/>
                <w:lang w:val="tr-TR"/>
              </w:rPr>
              <w:t xml:space="preserve"> de</w:t>
            </w:r>
            <w:r w:rsidR="004A6309" w:rsidRPr="00A23740">
              <w:rPr>
                <w:rStyle w:val="MaviChar"/>
                <w:color w:val="auto"/>
                <w:lang w:val="tr-TR"/>
              </w:rPr>
              <w:t xml:space="preserve"> verilmektedir.</w:t>
            </w:r>
            <w:r w:rsidRPr="00A23740">
              <w:rPr>
                <w:rStyle w:val="MaviChar"/>
                <w:color w:val="auto"/>
              </w:rPr>
              <w:t xml:space="preserve"> </w:t>
            </w:r>
            <w:r w:rsidR="005106EA" w:rsidRPr="00A23740">
              <w:rPr>
                <w:rStyle w:val="MaviChar"/>
                <w:color w:val="auto"/>
                <w:lang w:val="tr-TR"/>
              </w:rPr>
              <w:t xml:space="preserve">Bu nedenle </w:t>
            </w:r>
            <w:r w:rsidRPr="00A23740">
              <w:rPr>
                <w:b w:val="0"/>
                <w:bCs w:val="0"/>
                <w:color w:val="auto"/>
                <w:lang w:val="tr-TR"/>
              </w:rPr>
              <w:t>şikâyette görevli mahkemenin, ic</w:t>
            </w:r>
            <w:r w:rsidR="00561753" w:rsidRPr="00A23740">
              <w:rPr>
                <w:b w:val="0"/>
                <w:bCs w:val="0"/>
                <w:color w:val="auto"/>
                <w:lang w:val="tr-TR"/>
              </w:rPr>
              <w:t xml:space="preserve">ra hukuk </w:t>
            </w:r>
            <w:r w:rsidR="00F01B62" w:rsidRPr="00A23740">
              <w:rPr>
                <w:b w:val="0"/>
                <w:bCs w:val="0"/>
                <w:color w:val="auto"/>
                <w:lang w:val="tr-TR"/>
              </w:rPr>
              <w:t xml:space="preserve">mahkemesi </w:t>
            </w:r>
            <w:r w:rsidR="00561753" w:rsidRPr="00A23740">
              <w:rPr>
                <w:b w:val="0"/>
                <w:bCs w:val="0"/>
                <w:color w:val="auto"/>
                <w:lang w:val="tr-TR"/>
              </w:rPr>
              <w:t>veya ifla</w:t>
            </w:r>
            <w:r w:rsidR="005106EA" w:rsidRPr="00A23740">
              <w:rPr>
                <w:b w:val="0"/>
                <w:bCs w:val="0"/>
                <w:color w:val="auto"/>
                <w:lang w:val="tr-TR"/>
              </w:rPr>
              <w:t>s mahkemesi</w:t>
            </w:r>
            <w:r w:rsidRPr="00A23740">
              <w:rPr>
                <w:b w:val="0"/>
                <w:bCs w:val="0"/>
                <w:color w:val="auto"/>
                <w:lang w:val="tr-TR"/>
              </w:rPr>
              <w:t xml:space="preserve"> olacağı</w:t>
            </w:r>
            <w:r w:rsidR="005106EA" w:rsidRPr="00A23740">
              <w:rPr>
                <w:b w:val="0"/>
                <w:bCs w:val="0"/>
                <w:color w:val="auto"/>
                <w:lang w:val="tr-TR"/>
              </w:rPr>
              <w:t xml:space="preserve"> kabul edilmektedir.</w:t>
            </w:r>
            <w:r w:rsidRPr="00A23740">
              <w:rPr>
                <w:b w:val="0"/>
                <w:bCs w:val="0"/>
                <w:color w:val="auto"/>
                <w:lang w:val="tr-TR"/>
              </w:rPr>
              <w:t xml:space="preserve"> </w:t>
            </w:r>
          </w:p>
          <w:p w:rsidR="004372C9" w:rsidRPr="00A23740" w:rsidRDefault="004372C9" w:rsidP="009431FF">
            <w:pPr>
              <w:pStyle w:val="Mavi"/>
              <w:ind w:firstLine="709"/>
              <w:rPr>
                <w:rStyle w:val="MaviChar"/>
                <w:color w:val="auto"/>
                <w:lang w:val="tr-TR"/>
              </w:rPr>
            </w:pPr>
            <w:r w:rsidRPr="00A23740">
              <w:rPr>
                <w:b w:val="0"/>
                <w:bCs w:val="0"/>
                <w:color w:val="auto"/>
                <w:lang w:val="tr-TR"/>
              </w:rPr>
              <w:t>Şikâyetin yapılacağı yetkili mahkemenin belirlenmesi konusunda uygulamada bazı sorunlar bulunduğu ve Yargıtay kararları çerçevesinde yorum yapıldığı görülmektedir. Bu anlamda, esasında Kanunda temeli olmayan bir şekilde “nokta haczi” ve “talimat haczi” ayrımı yapılmakta ve yetkili mahkeme buna göre değişmektedir.İkinci fıkrayla, istinabe yoluyla yapılan işlemle</w:t>
            </w:r>
            <w:r w:rsidR="00561753" w:rsidRPr="00A23740">
              <w:rPr>
                <w:b w:val="0"/>
                <w:bCs w:val="0"/>
                <w:color w:val="auto"/>
                <w:lang w:val="tr-TR"/>
              </w:rPr>
              <w:t>rde istinabe olunan icra ve ifla</w:t>
            </w:r>
            <w:r w:rsidRPr="00A23740">
              <w:rPr>
                <w:b w:val="0"/>
                <w:bCs w:val="0"/>
                <w:color w:val="auto"/>
                <w:lang w:val="tr-TR"/>
              </w:rPr>
              <w:t>s dairesinin yaptığı işlemler hakkındaki şikâyetin, mutlak sure</w:t>
            </w:r>
            <w:r w:rsidR="00561753" w:rsidRPr="00A23740">
              <w:rPr>
                <w:b w:val="0"/>
                <w:bCs w:val="0"/>
                <w:color w:val="auto"/>
                <w:lang w:val="tr-TR"/>
              </w:rPr>
              <w:t>tte istinabe olunan icra ve ifla</w:t>
            </w:r>
            <w:r w:rsidRPr="00A23740">
              <w:rPr>
                <w:b w:val="0"/>
                <w:bCs w:val="0"/>
                <w:color w:val="auto"/>
                <w:lang w:val="tr-TR"/>
              </w:rPr>
              <w:t xml:space="preserve">s dairesinin bağlı olduğu mahkemeye yapılacağı hükme bağlanmaktadır. Buradaki yetki kuralı, kesin yetki olacaktır. </w:t>
            </w:r>
            <w:r w:rsidRPr="00A23740">
              <w:rPr>
                <w:rStyle w:val="MaviChar"/>
                <w:color w:val="auto"/>
                <w:lang w:val="tr-TR"/>
              </w:rPr>
              <w:t xml:space="preserve">Böylece, </w:t>
            </w:r>
            <w:r w:rsidRPr="00A23740">
              <w:rPr>
                <w:rStyle w:val="MaviChar"/>
                <w:color w:val="auto"/>
              </w:rPr>
              <w:t>ö</w:t>
            </w:r>
            <w:r w:rsidR="005E4704" w:rsidRPr="00A23740">
              <w:rPr>
                <w:rStyle w:val="MaviChar"/>
                <w:color w:val="auto"/>
              </w:rPr>
              <w:t>zellikle icra ve ifla</w:t>
            </w:r>
            <w:r w:rsidRPr="00A23740">
              <w:rPr>
                <w:rStyle w:val="MaviChar"/>
                <w:color w:val="auto"/>
              </w:rPr>
              <w:t xml:space="preserve">s dairesinin yetki çevresi dışında ve istinabe suretiyle gerçekleşen hacizler bakımından “talimat haczi” ve “nokta haczi” ayrımının yapılmasının </w:t>
            </w:r>
            <w:r w:rsidR="005106EA" w:rsidRPr="00A23740">
              <w:rPr>
                <w:rStyle w:val="MaviChar"/>
                <w:color w:val="auto"/>
              </w:rPr>
              <w:t>önüne geçilmesi amaçlanmaktadır</w:t>
            </w:r>
            <w:r w:rsidRPr="00A23740">
              <w:rPr>
                <w:rStyle w:val="MaviChar"/>
                <w:color w:val="auto"/>
              </w:rPr>
              <w:t>. Buna göre</w:t>
            </w:r>
            <w:r w:rsidR="005D3223" w:rsidRPr="00A23740">
              <w:rPr>
                <w:rStyle w:val="MaviChar"/>
                <w:color w:val="auto"/>
                <w:lang w:val="tr-TR"/>
              </w:rPr>
              <w:t>,</w:t>
            </w:r>
            <w:r w:rsidRPr="00A23740">
              <w:rPr>
                <w:rStyle w:val="MaviChar"/>
                <w:color w:val="auto"/>
              </w:rPr>
              <w:t xml:space="preserve"> haczedilecek mallar, takibi yürüten icra</w:t>
            </w:r>
            <w:r w:rsidR="00E547C3" w:rsidRPr="002B26FC">
              <w:rPr>
                <w:rStyle w:val="MaviChar"/>
                <w:color w:val="auto"/>
              </w:rPr>
              <w:t xml:space="preserve"> ve iflas</w:t>
            </w:r>
            <w:r w:rsidRPr="00A23740">
              <w:rPr>
                <w:rStyle w:val="MaviChar"/>
                <w:color w:val="auto"/>
              </w:rPr>
              <w:t xml:space="preserve"> dairesinden başka bir yerde ise şikâyeti</w:t>
            </w:r>
            <w:r w:rsidR="005106EA" w:rsidRPr="002B26FC">
              <w:rPr>
                <w:rStyle w:val="MaviChar"/>
                <w:color w:val="auto"/>
              </w:rPr>
              <w:t>,</w:t>
            </w:r>
            <w:r w:rsidRPr="00A23740">
              <w:rPr>
                <w:rStyle w:val="MaviChar"/>
                <w:color w:val="auto"/>
              </w:rPr>
              <w:t xml:space="preserve"> haczi yapan icra</w:t>
            </w:r>
            <w:r w:rsidR="001647D1" w:rsidRPr="002B26FC">
              <w:rPr>
                <w:rStyle w:val="MaviChar"/>
                <w:color w:val="auto"/>
              </w:rPr>
              <w:t xml:space="preserve"> ve iflas</w:t>
            </w:r>
            <w:r w:rsidRPr="00A23740">
              <w:rPr>
                <w:rStyle w:val="MaviChar"/>
                <w:color w:val="auto"/>
              </w:rPr>
              <w:t xml:space="preserve"> dairesinin bağlı olduğu icra hukuk mahkemesi inceleyecek olup, takibin yürütüldüğü icra </w:t>
            </w:r>
            <w:r w:rsidR="00E547C3" w:rsidRPr="002B26FC">
              <w:rPr>
                <w:rStyle w:val="MaviChar"/>
                <w:color w:val="auto"/>
              </w:rPr>
              <w:t>ve iflas</w:t>
            </w:r>
            <w:r w:rsidR="00E547C3" w:rsidRPr="00A23740">
              <w:rPr>
                <w:rStyle w:val="MaviChar"/>
                <w:color w:val="auto"/>
              </w:rPr>
              <w:t xml:space="preserve"> </w:t>
            </w:r>
            <w:r w:rsidRPr="00A23740">
              <w:rPr>
                <w:rStyle w:val="MaviChar"/>
                <w:color w:val="auto"/>
              </w:rPr>
              <w:t>dairesinin bağlı olduğu icra hukuk mahkemesi bu konuda yetkili olmayacaktır.</w:t>
            </w:r>
            <w:r w:rsidR="00EC5A99" w:rsidRPr="002B26FC">
              <w:rPr>
                <w:rStyle w:val="MaviChar"/>
                <w:color w:val="auto"/>
              </w:rPr>
              <w:t xml:space="preserve"> </w:t>
            </w:r>
            <w:r w:rsidR="002C6C8D" w:rsidRPr="00A23740">
              <w:rPr>
                <w:rStyle w:val="MaviChar"/>
                <w:color w:val="auto"/>
              </w:rPr>
              <w:t>Öte yandan istinabe suretiyle haczedilen mallarla ilgili ortaya çıkan kıymet takdiri, istihkak davaları, artırma ve ihale ile ilgili uyuşmazlıklar açısından da haczedilen malların bulunduğu yer veya söz konusu işlemleri (örneğin istihkak davasının kimin tarafından açılacağına ilişkin değerlendirmeleri) yapan (istinabe olunan) icra</w:t>
            </w:r>
            <w:r w:rsidR="00E547C3" w:rsidRPr="002B26FC">
              <w:rPr>
                <w:rStyle w:val="MaviChar"/>
                <w:color w:val="auto"/>
              </w:rPr>
              <w:t xml:space="preserve"> ve iflas</w:t>
            </w:r>
            <w:r w:rsidR="002C6C8D" w:rsidRPr="00A23740">
              <w:rPr>
                <w:rStyle w:val="MaviChar"/>
                <w:color w:val="auto"/>
              </w:rPr>
              <w:t xml:space="preserve"> dairesinin bağlı olduğu icra hukuk mahkemesinin şikâyetlere bakacağı</w:t>
            </w:r>
            <w:r w:rsidR="002C6C8D" w:rsidRPr="00A23740">
              <w:rPr>
                <w:rStyle w:val="MaviChar"/>
                <w:color w:val="auto"/>
                <w:lang w:val="tr-TR"/>
              </w:rPr>
              <w:t xml:space="preserve"> </w:t>
            </w:r>
            <w:r w:rsidR="00163E5A" w:rsidRPr="00A23740">
              <w:rPr>
                <w:rStyle w:val="MaviChar"/>
                <w:color w:val="auto"/>
                <w:lang w:val="tr-TR"/>
              </w:rPr>
              <w:t>Taslağın</w:t>
            </w:r>
            <w:r w:rsidR="002C6C8D" w:rsidRPr="00A23740">
              <w:rPr>
                <w:rStyle w:val="MaviChar"/>
                <w:color w:val="auto"/>
                <w:lang w:val="tr-TR"/>
              </w:rPr>
              <w:t xml:space="preserve"> bunlara ilişkin maddelerinde özel olarak düzenlenmektedir.</w:t>
            </w:r>
            <w:r w:rsidR="00DC4410" w:rsidRPr="00A23740">
              <w:rPr>
                <w:rStyle w:val="MaviChar"/>
                <w:color w:val="auto"/>
                <w:lang w:val="tr-TR"/>
              </w:rPr>
              <w:t xml:space="preserve"> </w:t>
            </w:r>
            <w:r w:rsidR="00DC4410" w:rsidRPr="00A23740">
              <w:rPr>
                <w:rStyle w:val="MaviChar"/>
                <w:color w:val="auto"/>
              </w:rPr>
              <w:t xml:space="preserve">Bu </w:t>
            </w:r>
            <w:r w:rsidR="00DC4410" w:rsidRPr="00A23740">
              <w:rPr>
                <w:rStyle w:val="MaviChar"/>
                <w:color w:val="auto"/>
                <w:lang w:val="tr-TR"/>
              </w:rPr>
              <w:t>fıkra</w:t>
            </w:r>
            <w:r w:rsidR="00DC4410" w:rsidRPr="00A23740">
              <w:rPr>
                <w:rStyle w:val="MaviChar"/>
                <w:color w:val="auto"/>
              </w:rPr>
              <w:t>, 2004 sayılı Kanunun 79 uncu maddesinin ikinci fıkrasına</w:t>
            </w:r>
            <w:r w:rsidR="00DC4410" w:rsidRPr="00A23740">
              <w:rPr>
                <w:rStyle w:val="MaviChar"/>
                <w:color w:val="auto"/>
                <w:lang w:val="tr-TR"/>
              </w:rPr>
              <w:t xml:space="preserve"> kısmen</w:t>
            </w:r>
            <w:r w:rsidR="00DC4410" w:rsidRPr="00A23740">
              <w:rPr>
                <w:rStyle w:val="MaviChar"/>
                <w:color w:val="auto"/>
              </w:rPr>
              <w:t xml:space="preserve"> karşılık gelmektedir.</w:t>
            </w:r>
          </w:p>
          <w:p w:rsidR="006D2A8F" w:rsidRPr="00A23740" w:rsidRDefault="004372C9" w:rsidP="009431FF">
            <w:pPr>
              <w:pStyle w:val="Mavi"/>
              <w:ind w:firstLine="709"/>
            </w:pPr>
            <w:r w:rsidRPr="00A23740">
              <w:rPr>
                <w:rStyle w:val="MaviChar"/>
                <w:color w:val="auto"/>
                <w:lang w:val="tr-TR"/>
              </w:rPr>
              <w:t>Üçüncü fıkrayla, şikâyetin görevsiz veya yetkisiz mahkemeye yapılması h</w:t>
            </w:r>
            <w:r w:rsidR="005E4704" w:rsidRPr="00A23740">
              <w:rPr>
                <w:rStyle w:val="MaviChar"/>
                <w:color w:val="auto"/>
                <w:lang w:val="tr-TR"/>
              </w:rPr>
              <w:t>â</w:t>
            </w:r>
            <w:r w:rsidRPr="00A23740">
              <w:rPr>
                <w:rStyle w:val="MaviChar"/>
                <w:color w:val="auto"/>
                <w:lang w:val="tr-TR"/>
              </w:rPr>
              <w:t>linde mahkemenin, başvuru tarihinden itibaren en geç bir hafta içinde dosya üzerinden</w:t>
            </w:r>
            <w:r w:rsidR="00A00FB9" w:rsidRPr="00A23740">
              <w:rPr>
                <w:rStyle w:val="MaviChar"/>
                <w:color w:val="auto"/>
                <w:lang w:val="tr-TR"/>
              </w:rPr>
              <w:t xml:space="preserve"> </w:t>
            </w:r>
            <w:r w:rsidR="005D3223" w:rsidRPr="00A23740">
              <w:rPr>
                <w:rStyle w:val="MaviChar"/>
                <w:color w:val="auto"/>
                <w:lang w:val="tr-TR"/>
              </w:rPr>
              <w:t xml:space="preserve">ve </w:t>
            </w:r>
            <w:r w:rsidR="00A00FB9" w:rsidRPr="00A23740">
              <w:rPr>
                <w:rStyle w:val="MaviChar"/>
                <w:color w:val="auto"/>
                <w:lang w:val="tr-TR"/>
              </w:rPr>
              <w:t>kesin olarak</w:t>
            </w:r>
            <w:r w:rsidRPr="00A23740">
              <w:rPr>
                <w:rStyle w:val="MaviChar"/>
                <w:color w:val="auto"/>
                <w:lang w:val="tr-TR"/>
              </w:rPr>
              <w:t xml:space="preserve"> görevsizlik veya yetkisizlik kararı </w:t>
            </w:r>
            <w:r w:rsidR="005D3223" w:rsidRPr="00A23740">
              <w:rPr>
                <w:rStyle w:val="MaviChar"/>
                <w:color w:val="auto"/>
                <w:lang w:val="tr-TR"/>
              </w:rPr>
              <w:t xml:space="preserve">vererek </w:t>
            </w:r>
            <w:r w:rsidRPr="00A23740">
              <w:rPr>
                <w:rStyle w:val="MaviChar"/>
                <w:color w:val="auto"/>
                <w:lang w:val="tr-TR"/>
              </w:rPr>
              <w:t xml:space="preserve">dosyayı resen görevli veya yetkili mahkemeye göndereceği hükme bağlanmaktadır. Böylece </w:t>
            </w:r>
            <w:r w:rsidRPr="00A23740">
              <w:rPr>
                <w:rStyle w:val="MaviChar"/>
                <w:color w:val="auto"/>
              </w:rPr>
              <w:t>kendisine şikâyet yapılan mahkemenin</w:t>
            </w:r>
            <w:r w:rsidRPr="00A23740">
              <w:rPr>
                <w:rStyle w:val="MaviChar"/>
                <w:color w:val="auto"/>
                <w:lang w:val="tr-TR"/>
              </w:rPr>
              <w:t>,</w:t>
            </w:r>
            <w:r w:rsidRPr="00A23740">
              <w:rPr>
                <w:rStyle w:val="MaviChar"/>
                <w:color w:val="auto"/>
              </w:rPr>
              <w:t xml:space="preserve"> resen görevli ve yetkili olup olmadığını in</w:t>
            </w:r>
            <w:r w:rsidR="002C6C8D" w:rsidRPr="00A23740">
              <w:rPr>
                <w:rStyle w:val="MaviChar"/>
                <w:color w:val="auto"/>
              </w:rPr>
              <w:t>celeme yükümlülüğü getirilmektedir</w:t>
            </w:r>
            <w:r w:rsidRPr="00A23740">
              <w:rPr>
                <w:rStyle w:val="MaviChar"/>
                <w:color w:val="auto"/>
              </w:rPr>
              <w:t>.</w:t>
            </w:r>
            <w:r w:rsidR="002C6C8D" w:rsidRPr="00A23740">
              <w:rPr>
                <w:rStyle w:val="MaviChar"/>
                <w:color w:val="auto"/>
                <w:lang w:val="tr-TR"/>
              </w:rPr>
              <w:t xml:space="preserve"> </w:t>
            </w:r>
            <w:r w:rsidR="002C6C8D" w:rsidRPr="00A23740">
              <w:rPr>
                <w:rStyle w:val="MaviChar"/>
                <w:color w:val="auto"/>
              </w:rPr>
              <w:t>Mahkemenin bu kararı</w:t>
            </w:r>
            <w:r w:rsidR="00DC4410" w:rsidRPr="00A23740">
              <w:rPr>
                <w:rStyle w:val="MaviChar"/>
                <w:color w:val="auto"/>
              </w:rPr>
              <w:t>na karşı kanun yolu kapalı olup,</w:t>
            </w:r>
            <w:r w:rsidR="002C6C8D" w:rsidRPr="00A23740">
              <w:rPr>
                <w:rStyle w:val="MaviChar"/>
                <w:color w:val="auto"/>
              </w:rPr>
              <w:t xml:space="preserve"> karar, verildiği anda kesindir. Öte yandan mahkeme, </w:t>
            </w:r>
            <w:r w:rsidR="002C6C8D" w:rsidRPr="00A23740">
              <w:rPr>
                <w:rStyle w:val="MaviChar"/>
                <w:color w:val="auto"/>
              </w:rPr>
              <w:lastRenderedPageBreak/>
              <w:t xml:space="preserve">dosyayı resen görevli ve yetkili mahkemeye göndereceğinden </w:t>
            </w:r>
            <w:r w:rsidR="00DB332D" w:rsidRPr="002B26FC">
              <w:rPr>
                <w:rStyle w:val="MaviChar"/>
                <w:color w:val="auto"/>
              </w:rPr>
              <w:t>6100 sayılı Kanunun</w:t>
            </w:r>
            <w:r w:rsidR="002C6C8D" w:rsidRPr="00A23740">
              <w:rPr>
                <w:rStyle w:val="MaviChar"/>
                <w:color w:val="auto"/>
              </w:rPr>
              <w:t xml:space="preserve"> bu konuda iki haftalık süre içinde taraflardan birinin talebini arayan 20 nci maddesi de</w:t>
            </w:r>
            <w:r w:rsidR="005D3223" w:rsidRPr="00A23740">
              <w:rPr>
                <w:rStyle w:val="MaviChar"/>
                <w:color w:val="auto"/>
                <w:lang w:val="tr-TR"/>
              </w:rPr>
              <w:t xml:space="preserve"> uygulanmayacaktır</w:t>
            </w:r>
            <w:r w:rsidR="002C6C8D" w:rsidRPr="00A23740">
              <w:rPr>
                <w:rStyle w:val="MaviChar"/>
                <w:color w:val="auto"/>
              </w:rPr>
              <w:t>.</w:t>
            </w:r>
            <w:r w:rsidRPr="00A23740">
              <w:rPr>
                <w:rStyle w:val="MaviChar"/>
                <w:color w:val="auto"/>
              </w:rPr>
              <w:t xml:space="preserve"> Esasen şikâyet bir dava olmadığından bu konuda özel bir düzenleme yapılmak suretiyle şikâyetin görevli olmayan veya yetkisiz bir mahkemeye yapılması </w:t>
            </w:r>
            <w:r w:rsidR="005D3223" w:rsidRPr="00A23740">
              <w:rPr>
                <w:rStyle w:val="MaviChar"/>
                <w:color w:val="auto"/>
                <w:lang w:val="tr-TR"/>
              </w:rPr>
              <w:t xml:space="preserve">suretiyle </w:t>
            </w:r>
            <w:r w:rsidRPr="00A23740">
              <w:rPr>
                <w:rStyle w:val="MaviChar"/>
                <w:color w:val="auto"/>
              </w:rPr>
              <w:t xml:space="preserve">takibin sürüncemede bırakılmasına </w:t>
            </w:r>
            <w:r w:rsidR="002C6C8D" w:rsidRPr="00A23740">
              <w:rPr>
                <w:rStyle w:val="MaviChar"/>
                <w:color w:val="auto"/>
              </w:rPr>
              <w:t>engel olunması amaçlanmaktadır.</w:t>
            </w:r>
          </w:p>
          <w:p w:rsidR="004372C9" w:rsidRPr="00A23740" w:rsidRDefault="004372C9" w:rsidP="009431FF">
            <w:pPr>
              <w:pStyle w:val="Mavi"/>
              <w:ind w:firstLine="709"/>
              <w:rPr>
                <w:b w:val="0"/>
                <w:bCs w:val="0"/>
                <w:color w:val="auto"/>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rPr>
                <w:lang w:val="tr-TR"/>
              </w:rPr>
            </w:pPr>
            <w:r w:rsidRPr="00A23740">
              <w:rPr>
                <w:lang w:val="tr-TR"/>
              </w:rPr>
              <w:lastRenderedPageBreak/>
              <w:t>Yargılama usulleri :</w:t>
            </w:r>
          </w:p>
          <w:p w:rsidR="00155AF4" w:rsidRPr="00A23740" w:rsidRDefault="00155AF4" w:rsidP="009431FF">
            <w:pPr>
              <w:rPr>
                <w:rFonts w:eastAsia="Times New Roman"/>
                <w:b/>
                <w:strike/>
                <w:color w:val="FF0000"/>
                <w:szCs w:val="24"/>
                <w:lang w:eastAsia="tr-TR"/>
              </w:rPr>
            </w:pPr>
            <w:r w:rsidRPr="00A23740">
              <w:rPr>
                <w:rStyle w:val="KIRMIZIChar"/>
                <w:rFonts w:eastAsia="Calibri"/>
              </w:rPr>
              <w:t>Madde 18 – (1) (Değişik</w:t>
            </w:r>
            <w:r w:rsidRPr="00A23740">
              <w:rPr>
                <w:rFonts w:eastAsia="Times New Roman"/>
                <w:b/>
                <w:strike/>
                <w:color w:val="FF0000"/>
                <w:szCs w:val="24"/>
                <w:lang w:eastAsia="tr-TR"/>
              </w:rPr>
              <w:t>: 18/2/1965 - 538/11 md.)</w:t>
            </w:r>
          </w:p>
          <w:p w:rsidR="00155AF4" w:rsidRPr="00A23740" w:rsidRDefault="00155AF4" w:rsidP="009431FF">
            <w:pPr>
              <w:rPr>
                <w:rFonts w:eastAsia="Times New Roman"/>
                <w:szCs w:val="24"/>
                <w:lang w:eastAsia="tr-TR"/>
              </w:rPr>
            </w:pPr>
            <w:r w:rsidRPr="00A23740">
              <w:rPr>
                <w:rFonts w:eastAsia="Times New Roman"/>
                <w:b/>
                <w:strike/>
                <w:color w:val="FF0000"/>
                <w:szCs w:val="24"/>
                <w:lang w:eastAsia="tr-TR"/>
              </w:rPr>
              <w:t>(Değişik birinci fıkra: 2/7/2012-6352/6 md.</w:t>
            </w:r>
            <w:r w:rsidRPr="00A23740">
              <w:rPr>
                <w:rStyle w:val="KIRMIZIChar"/>
                <w:rFonts w:eastAsia="Calibri"/>
              </w:rPr>
              <w:t>) İcra mahkemesine arzedilen hususlar ivedi işlerden sayılır ve bu işlerde basit yargılama usulü uygulanır.</w:t>
            </w:r>
          </w:p>
          <w:p w:rsidR="00155AF4" w:rsidRPr="00A23740" w:rsidRDefault="00155AF4" w:rsidP="009431FF">
            <w:pPr>
              <w:rPr>
                <w:rFonts w:eastAsia="Times New Roman"/>
                <w:b/>
                <w:strike/>
                <w:color w:val="FF0000"/>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(2) Şu kadar ki, talep ve cevaplar dilekçe ile olabileceği gibi icra mahkemesine ifade zaptettirmek suretiyle de olur.</w:t>
            </w:r>
          </w:p>
          <w:p w:rsidR="00155AF4" w:rsidRPr="00A23740" w:rsidRDefault="00155AF4" w:rsidP="009431FF">
            <w:pPr>
              <w:rPr>
                <w:rFonts w:eastAsia="Times New Roman"/>
                <w:b/>
                <w:strike/>
                <w:color w:val="FF0000"/>
                <w:szCs w:val="24"/>
                <w:lang w:eastAsia="tr-TR"/>
              </w:rPr>
            </w:pPr>
          </w:p>
          <w:p w:rsidR="00155AF4" w:rsidRPr="00A23740" w:rsidRDefault="0012556C" w:rsidP="009431FF">
            <w:pPr>
              <w:rPr>
                <w:rFonts w:eastAsia="Times New Roman"/>
                <w:szCs w:val="24"/>
                <w:lang w:eastAsia="tr-TR"/>
              </w:rPr>
            </w:pPr>
            <w:r w:rsidRPr="00A23740">
              <w:rPr>
                <w:rFonts w:eastAsia="Times New Roman"/>
                <w:b/>
                <w:strike/>
                <w:color w:val="FF0000"/>
                <w:szCs w:val="24"/>
                <w:lang w:eastAsia="tr-TR"/>
              </w:rPr>
              <w:t xml:space="preserve">(3) </w:t>
            </w:r>
            <w:r w:rsidR="00A00FB9" w:rsidRPr="00A23740">
              <w:rPr>
                <w:rFonts w:eastAsia="Times New Roman"/>
                <w:b/>
                <w:strike/>
                <w:color w:val="FF0000"/>
                <w:szCs w:val="24"/>
                <w:lang w:eastAsia="tr-TR"/>
              </w:rPr>
              <w:t>(Değişik üçüncü fıkra: 17/7/2003-4949/4 md.) Aksine hüküm bulunmayan hâllerde icra mahkemesi, şikâyet konusu işlemi yapan icra dairesinin açıklama yapmasına ve duruşma yapılmasına gerek  olup  olmadığını  takdir eder; duruşma yapılmasını uygun gördüğü takdirde ilgilileri en kısa zamanda duruşmaya çağırır ve gelmeseler bile gereken kararı verir. Duruşma yapılmayan işlerde icra mahkemesi, işin kendisine geldiği tarihten itibaren en geç on gün içinde kararını verir. Duruşmalar, ancak zorunluluk hâlinde ve otuz günü geçmemek üzere ertelenebilir.</w:t>
            </w:r>
          </w:p>
          <w:p w:rsidR="00C60B1E" w:rsidRPr="00A23740" w:rsidRDefault="00C60B1E" w:rsidP="009431FF">
            <w:pPr>
              <w:rPr>
                <w:rFonts w:eastAsia="Times New Roman"/>
                <w:szCs w:val="24"/>
                <w:lang w:eastAsia="tr-TR"/>
              </w:rPr>
            </w:pPr>
          </w:p>
        </w:tc>
        <w:tc>
          <w:tcPr>
            <w:tcW w:w="2500" w:type="pct"/>
          </w:tcPr>
          <w:p w:rsidR="00155AF4" w:rsidRPr="00A23740" w:rsidRDefault="00155AF4" w:rsidP="009431FF">
            <w:pPr>
              <w:pStyle w:val="Mavi"/>
              <w:rPr>
                <w:lang w:val="tr-TR"/>
              </w:rPr>
            </w:pPr>
            <w:r w:rsidRPr="00A23740">
              <w:t>Başvuru usulü</w:t>
            </w:r>
          </w:p>
          <w:p w:rsidR="00155AF4" w:rsidRPr="00A23740" w:rsidRDefault="00155AF4" w:rsidP="009431FF">
            <w:pPr>
              <w:rPr>
                <w:b/>
                <w:bCs/>
                <w:color w:val="0000FF"/>
                <w:szCs w:val="24"/>
                <w:lang w:eastAsia="x-none"/>
              </w:rPr>
            </w:pPr>
            <w:r w:rsidRPr="00A23740">
              <w:rPr>
                <w:rStyle w:val="MaviChar"/>
              </w:rPr>
              <w:t>MADDE</w:t>
            </w:r>
            <w:r w:rsidRPr="00A23740">
              <w:rPr>
                <w:rFonts w:eastAsia="ヒラギノ明朝 Pro W3"/>
                <w:b/>
                <w:color w:val="0000FF"/>
                <w:szCs w:val="24"/>
                <w:lang w:eastAsia="tr-TR"/>
              </w:rPr>
              <w:t xml:space="preserve"> </w:t>
            </w:r>
            <w:r w:rsidR="0059245E" w:rsidRPr="00A23740">
              <w:rPr>
                <w:rStyle w:val="MaviChar"/>
              </w:rPr>
              <w:t>26</w:t>
            </w:r>
            <w:r w:rsidRPr="00A23740">
              <w:rPr>
                <w:rStyle w:val="MaviChar"/>
              </w:rPr>
              <w:t>- (1) Şikâyet yazılı veya sözlü olarak yapılır. Sözlü olarak yapılan şikâyet mahkemece derhâl tutanağa bağlanır.</w:t>
            </w:r>
          </w:p>
          <w:p w:rsidR="00155AF4" w:rsidRPr="00A23740" w:rsidRDefault="00155AF4" w:rsidP="009431FF">
            <w:pPr>
              <w:rPr>
                <w:b/>
                <w:bCs/>
                <w:color w:val="0000FF"/>
                <w:szCs w:val="24"/>
                <w:lang w:eastAsia="x-none"/>
              </w:rPr>
            </w:pPr>
          </w:p>
          <w:p w:rsidR="0012556C" w:rsidRPr="00A23740" w:rsidRDefault="00155AF4" w:rsidP="009431FF">
            <w:pPr>
              <w:pStyle w:val="Mavi"/>
              <w:rPr>
                <w:lang w:val="tr-TR"/>
              </w:rPr>
            </w:pPr>
            <w:r w:rsidRPr="00A23740">
              <w:t>(2) Şikâyet başvurusunda</w:t>
            </w:r>
            <w:r w:rsidR="0012556C" w:rsidRPr="00A23740">
              <w:rPr>
                <w:lang w:val="tr-TR"/>
              </w:rPr>
              <w:t xml:space="preserve"> aşağıdaki hususlar bulunur:</w:t>
            </w:r>
          </w:p>
          <w:p w:rsidR="0012556C" w:rsidRPr="00A23740" w:rsidRDefault="0012556C" w:rsidP="009431FF">
            <w:pPr>
              <w:pStyle w:val="Mavi"/>
            </w:pPr>
            <w:r w:rsidRPr="00A23740">
              <w:rPr>
                <w:lang w:val="tr-TR"/>
              </w:rPr>
              <w:t>a) Mahkemenin adı.</w:t>
            </w:r>
            <w:r w:rsidR="00155AF4" w:rsidRPr="00A23740">
              <w:t xml:space="preserve"> </w:t>
            </w:r>
          </w:p>
          <w:p w:rsidR="008E162A" w:rsidRPr="00A23740" w:rsidRDefault="008E162A" w:rsidP="009431FF">
            <w:pPr>
              <w:pStyle w:val="Mavi"/>
            </w:pPr>
          </w:p>
          <w:p w:rsidR="0012556C" w:rsidRPr="00A23740" w:rsidRDefault="0012556C" w:rsidP="009431FF">
            <w:pPr>
              <w:pStyle w:val="Mavi"/>
            </w:pPr>
            <w:r w:rsidRPr="00A23740">
              <w:rPr>
                <w:lang w:val="tr-TR"/>
              </w:rPr>
              <w:t xml:space="preserve">b) </w:t>
            </w:r>
            <w:r w:rsidRPr="00A23740">
              <w:t xml:space="preserve">Talep </w:t>
            </w:r>
            <w:r w:rsidR="00155AF4" w:rsidRPr="00A23740">
              <w:t>sahibinin ve varsa kanuni temsilcisinin veya vekilinin adı, soyadı ve adresi, Türkiye Cumhuriyeti kimlik numarası,</w:t>
            </w:r>
            <w:r w:rsidR="00155AF4" w:rsidRPr="00A23740">
              <w:rPr>
                <w:lang w:val="tr-TR"/>
              </w:rPr>
              <w:t xml:space="preserve"> </w:t>
            </w:r>
            <w:r w:rsidR="00155AF4" w:rsidRPr="00A23740">
              <w:t>talep</w:t>
            </w:r>
            <w:r w:rsidR="00865FAC" w:rsidRPr="00A23740">
              <w:t xml:space="preserve"> sahibi tüzel kişi ise ticaret ü</w:t>
            </w:r>
            <w:r w:rsidR="00155AF4" w:rsidRPr="00A23740">
              <w:t>nvanı, ticaret sicil numaras</w:t>
            </w:r>
            <w:r w:rsidRPr="00A23740">
              <w:t>ı, adresi ve iletişim bilgileri.</w:t>
            </w:r>
          </w:p>
          <w:p w:rsidR="008E162A" w:rsidRPr="00A23740" w:rsidRDefault="008E162A" w:rsidP="009431FF">
            <w:pPr>
              <w:pStyle w:val="Mavi"/>
            </w:pPr>
          </w:p>
          <w:p w:rsidR="00196690" w:rsidRPr="00A23740" w:rsidRDefault="0012556C" w:rsidP="009431FF">
            <w:pPr>
              <w:pStyle w:val="Mavi"/>
              <w:rPr>
                <w:rStyle w:val="YeniYeilChar"/>
                <w:rFonts w:eastAsia="Calibri"/>
                <w:b/>
                <w:color w:val="0000FF"/>
              </w:rPr>
            </w:pPr>
            <w:r w:rsidRPr="00A23740">
              <w:rPr>
                <w:lang w:val="tr-TR"/>
              </w:rPr>
              <w:t>c)</w:t>
            </w:r>
            <w:r w:rsidR="00155AF4" w:rsidRPr="00A23740">
              <w:t xml:space="preserve"> </w:t>
            </w:r>
            <w:r w:rsidRPr="00A23740">
              <w:t>Şikâyet konusu işlem,</w:t>
            </w:r>
            <w:r w:rsidR="00155AF4" w:rsidRPr="00A23740">
              <w:t xml:space="preserve"> işlemi yapan icra ve i</w:t>
            </w:r>
            <w:r w:rsidR="00196690" w:rsidRPr="00A23740">
              <w:t>flas dairesi ile dosya numarası</w:t>
            </w:r>
            <w:r w:rsidR="00196690" w:rsidRPr="00A23740">
              <w:rPr>
                <w:rStyle w:val="YeniYeilChar"/>
                <w:rFonts w:eastAsia="Calibri"/>
                <w:b/>
                <w:color w:val="0000FF"/>
              </w:rPr>
              <w:t>, şikâyet sebebi.</w:t>
            </w:r>
          </w:p>
          <w:p w:rsidR="008E162A" w:rsidRPr="00A23740" w:rsidRDefault="008E162A" w:rsidP="009431FF">
            <w:pPr>
              <w:pStyle w:val="Mavi"/>
            </w:pPr>
          </w:p>
          <w:p w:rsidR="00196690" w:rsidRPr="00A23740" w:rsidRDefault="0012556C" w:rsidP="009431FF">
            <w:pPr>
              <w:pStyle w:val="Mavi"/>
            </w:pPr>
            <w:r w:rsidRPr="00A23740">
              <w:t>ç)</w:t>
            </w:r>
            <w:r w:rsidR="00155AF4" w:rsidRPr="00A23740">
              <w:t xml:space="preserve"> </w:t>
            </w:r>
            <w:r w:rsidR="00196690" w:rsidRPr="00A23740">
              <w:rPr>
                <w:rStyle w:val="YeniYeilChar"/>
                <w:rFonts w:eastAsia="Calibri"/>
                <w:b/>
                <w:color w:val="0000FF"/>
              </w:rPr>
              <w:t>Talep sonucu, v</w:t>
            </w:r>
            <w:r w:rsidR="00196690" w:rsidRPr="00A23740">
              <w:t>arsa takibin durdurulmasına ilişkin talep.</w:t>
            </w:r>
          </w:p>
          <w:p w:rsidR="008E162A" w:rsidRPr="00A23740" w:rsidRDefault="008E162A" w:rsidP="009431FF">
            <w:pPr>
              <w:pStyle w:val="Mavi"/>
            </w:pPr>
          </w:p>
          <w:p w:rsidR="00BB5714" w:rsidRPr="00A23740" w:rsidRDefault="0012556C" w:rsidP="009431FF">
            <w:pPr>
              <w:pStyle w:val="Mavi"/>
              <w:rPr>
                <w:rStyle w:val="MaviChar"/>
              </w:rPr>
            </w:pPr>
            <w:r w:rsidRPr="00A23740">
              <w:t>d)</w:t>
            </w:r>
            <w:r w:rsidR="00196690" w:rsidRPr="00A23740">
              <w:t xml:space="preserve"> Talep sahibinin veya varsa kanuni temsilcisinin </w:t>
            </w:r>
            <w:r w:rsidR="00196690" w:rsidRPr="00A23740">
              <w:rPr>
                <w:rStyle w:val="YeniYeilChar"/>
                <w:rFonts w:eastAsia="Calibri"/>
                <w:b/>
                <w:color w:val="0000FF"/>
              </w:rPr>
              <w:t>ya da</w:t>
            </w:r>
            <w:r w:rsidR="00196690" w:rsidRPr="00A23740">
              <w:t xml:space="preserve"> vekilinin imzası</w:t>
            </w:r>
            <w:r w:rsidR="00196690" w:rsidRPr="00A23740">
              <w:rPr>
                <w:lang w:val="tr-TR"/>
              </w:rPr>
              <w:t>.</w:t>
            </w:r>
          </w:p>
          <w:p w:rsidR="002A02AB" w:rsidRPr="00A23740" w:rsidRDefault="002A02AB" w:rsidP="009431FF">
            <w:pPr>
              <w:rPr>
                <w:lang w:val="x-none" w:eastAsia="tr-TR"/>
              </w:rPr>
            </w:pPr>
          </w:p>
        </w:tc>
      </w:tr>
      <w:tr w:rsidR="00A00FB9" w:rsidRPr="00A23740" w:rsidTr="009431FF">
        <w:tc>
          <w:tcPr>
            <w:tcW w:w="5000" w:type="pct"/>
            <w:gridSpan w:val="2"/>
            <w:shd w:val="clear" w:color="auto" w:fill="DEEAF6"/>
          </w:tcPr>
          <w:p w:rsidR="00A00FB9" w:rsidRPr="00A23740" w:rsidRDefault="00A00FB9" w:rsidP="009431FF">
            <w:pPr>
              <w:pStyle w:val="Mavi"/>
              <w:ind w:firstLine="709"/>
              <w:rPr>
                <w:color w:val="auto"/>
                <w:lang w:val="tr-TR"/>
              </w:rPr>
            </w:pPr>
          </w:p>
          <w:p w:rsidR="00A00FB9" w:rsidRPr="00A23740" w:rsidRDefault="00D42F78" w:rsidP="009431FF">
            <w:pPr>
              <w:pStyle w:val="Mavi"/>
              <w:ind w:firstLine="709"/>
              <w:rPr>
                <w:b w:val="0"/>
                <w:bCs w:val="0"/>
                <w:color w:val="auto"/>
                <w:lang w:val="tr-TR"/>
              </w:rPr>
            </w:pPr>
            <w:r w:rsidRPr="00A23740">
              <w:rPr>
                <w:color w:val="auto"/>
                <w:lang w:val="tr-TR"/>
              </w:rPr>
              <w:t>MADDE 26</w:t>
            </w:r>
            <w:r w:rsidR="00A00FB9" w:rsidRPr="00A23740">
              <w:rPr>
                <w:color w:val="auto"/>
                <w:lang w:val="tr-TR"/>
              </w:rPr>
              <w:t xml:space="preserve">- </w:t>
            </w:r>
            <w:r w:rsidR="00A00FB9" w:rsidRPr="00A23740">
              <w:rPr>
                <w:b w:val="0"/>
                <w:bCs w:val="0"/>
                <w:color w:val="auto"/>
                <w:lang w:val="tr-TR"/>
              </w:rPr>
              <w:t>Maddeyle, şikâyet başvuru</w:t>
            </w:r>
            <w:r w:rsidR="005D3223" w:rsidRPr="00A23740">
              <w:rPr>
                <w:b w:val="0"/>
                <w:bCs w:val="0"/>
                <w:color w:val="auto"/>
                <w:lang w:val="tr-TR"/>
              </w:rPr>
              <w:t>sunun</w:t>
            </w:r>
            <w:r w:rsidR="00A00FB9" w:rsidRPr="00A23740">
              <w:rPr>
                <w:b w:val="0"/>
                <w:bCs w:val="0"/>
                <w:color w:val="auto"/>
                <w:lang w:val="tr-TR"/>
              </w:rPr>
              <w:t xml:space="preserve"> </w:t>
            </w:r>
            <w:r w:rsidR="005D3223" w:rsidRPr="00A23740">
              <w:rPr>
                <w:b w:val="0"/>
                <w:bCs w:val="0"/>
                <w:color w:val="auto"/>
                <w:lang w:val="tr-TR"/>
              </w:rPr>
              <w:t xml:space="preserve">yapılma </w:t>
            </w:r>
            <w:r w:rsidR="00A00FB9" w:rsidRPr="00A23740">
              <w:rPr>
                <w:b w:val="0"/>
                <w:bCs w:val="0"/>
                <w:color w:val="auto"/>
                <w:lang w:val="tr-TR"/>
              </w:rPr>
              <w:t>usulü</w:t>
            </w:r>
            <w:r w:rsidR="00D035A1" w:rsidRPr="00A23740">
              <w:rPr>
                <w:b w:val="0"/>
                <w:bCs w:val="0"/>
                <w:color w:val="auto"/>
                <w:lang w:val="tr-TR"/>
              </w:rPr>
              <w:t xml:space="preserve"> düzenlenmektedir.</w:t>
            </w:r>
            <w:r w:rsidR="00A00FB9" w:rsidRPr="00A23740">
              <w:rPr>
                <w:b w:val="0"/>
                <w:bCs w:val="0"/>
                <w:color w:val="auto"/>
                <w:lang w:val="tr-TR"/>
              </w:rPr>
              <w:t xml:space="preserve"> Şikâyet, bir dava olmadığından </w:t>
            </w:r>
            <w:r w:rsidR="005D3223" w:rsidRPr="00A23740">
              <w:rPr>
                <w:b w:val="0"/>
                <w:bCs w:val="0"/>
                <w:color w:val="auto"/>
                <w:lang w:val="tr-TR"/>
              </w:rPr>
              <w:t xml:space="preserve">başvuru </w:t>
            </w:r>
            <w:r w:rsidR="00A00FB9" w:rsidRPr="00A23740">
              <w:rPr>
                <w:b w:val="0"/>
                <w:bCs w:val="0"/>
                <w:color w:val="auto"/>
                <w:lang w:val="tr-TR"/>
              </w:rPr>
              <w:t>usulü</w:t>
            </w:r>
            <w:r w:rsidR="005D3223" w:rsidRPr="00A23740">
              <w:rPr>
                <w:b w:val="0"/>
                <w:bCs w:val="0"/>
                <w:color w:val="auto"/>
                <w:lang w:val="tr-TR"/>
              </w:rPr>
              <w:t>nün</w:t>
            </w:r>
            <w:r w:rsidR="00A00FB9" w:rsidRPr="00A23740">
              <w:rPr>
                <w:b w:val="0"/>
                <w:bCs w:val="0"/>
                <w:color w:val="auto"/>
                <w:lang w:val="tr-TR"/>
              </w:rPr>
              <w:t xml:space="preserve"> ayrıca ve açıkça</w:t>
            </w:r>
            <w:r w:rsidR="005D3223" w:rsidRPr="00A23740">
              <w:rPr>
                <w:b w:val="0"/>
                <w:bCs w:val="0"/>
                <w:color w:val="auto"/>
                <w:lang w:val="tr-TR"/>
              </w:rPr>
              <w:t xml:space="preserve"> belirlenmesinin uygulamadaki tereddütleri ortadan kaldıracağı düşünülmüştür.</w:t>
            </w:r>
            <w:r w:rsidR="00A00FB9" w:rsidRPr="00A23740">
              <w:rPr>
                <w:b w:val="0"/>
                <w:bCs w:val="0"/>
                <w:color w:val="auto"/>
                <w:lang w:val="tr-TR"/>
              </w:rPr>
              <w:t>.</w:t>
            </w:r>
          </w:p>
          <w:p w:rsidR="00A00FB9" w:rsidRPr="00A23740" w:rsidRDefault="00A00FB9" w:rsidP="009431FF">
            <w:pPr>
              <w:pStyle w:val="Mavi"/>
              <w:ind w:firstLine="709"/>
              <w:rPr>
                <w:b w:val="0"/>
                <w:bCs w:val="0"/>
                <w:color w:val="auto"/>
                <w:lang w:val="tr-TR"/>
              </w:rPr>
            </w:pPr>
            <w:r w:rsidRPr="00A23740">
              <w:rPr>
                <w:b w:val="0"/>
                <w:bCs w:val="0"/>
                <w:color w:val="auto"/>
                <w:lang w:val="tr-TR"/>
              </w:rPr>
              <w:t>Birinci fıkrayla, şikâyetin nasıl yapılacağı düzenlenmektedir. Buna göre şikâyet, yazılı veya sözlü olarak yapılabilir. Sözlü olarak yapılan şikâyetin mahkemece derhâl tutanağa bağlanması gerekmektedir. Fıkra, 2004 sayılı Kanunun 18 inci maddesinin ikinci fıkrasına karşılık gelmektedir.</w:t>
            </w:r>
          </w:p>
          <w:p w:rsidR="00A00FB9" w:rsidRPr="00A23740" w:rsidRDefault="00A00FB9" w:rsidP="009431FF">
            <w:pPr>
              <w:pStyle w:val="Mavi"/>
              <w:ind w:firstLine="709"/>
              <w:rPr>
                <w:b w:val="0"/>
                <w:bCs w:val="0"/>
                <w:color w:val="auto"/>
                <w:lang w:val="tr-TR"/>
              </w:rPr>
            </w:pPr>
            <w:r w:rsidRPr="00A23740">
              <w:rPr>
                <w:b w:val="0"/>
                <w:bCs w:val="0"/>
                <w:color w:val="auto"/>
                <w:lang w:val="tr-TR"/>
              </w:rPr>
              <w:t>İkinci fıkrayla, bir yenilik olarak şikâyet başvurusunda asgari düzeyde bulunması gereken hususlar</w:t>
            </w:r>
            <w:r w:rsidR="00160C1A" w:rsidRPr="00A23740">
              <w:rPr>
                <w:b w:val="0"/>
                <w:bCs w:val="0"/>
                <w:color w:val="auto"/>
                <w:lang w:val="tr-TR"/>
              </w:rPr>
              <w:t xml:space="preserve"> bentler h</w:t>
            </w:r>
            <w:r w:rsidR="00C219C2" w:rsidRPr="00A23740">
              <w:rPr>
                <w:b w:val="0"/>
                <w:bCs w:val="0"/>
                <w:color w:val="auto"/>
                <w:lang w:val="tr-TR"/>
              </w:rPr>
              <w:t>â</w:t>
            </w:r>
            <w:r w:rsidR="00160C1A" w:rsidRPr="00A23740">
              <w:rPr>
                <w:b w:val="0"/>
                <w:bCs w:val="0"/>
                <w:color w:val="auto"/>
                <w:lang w:val="tr-TR"/>
              </w:rPr>
              <w:t>linde sayılmaktadır.</w:t>
            </w:r>
            <w:r w:rsidRPr="00A23740">
              <w:rPr>
                <w:b w:val="0"/>
                <w:bCs w:val="0"/>
                <w:color w:val="auto"/>
                <w:lang w:val="tr-TR"/>
              </w:rPr>
              <w:t xml:space="preserve"> Buna göre şikâyet başvurusunda, talep sahibinin </w:t>
            </w:r>
            <w:r w:rsidR="005D3223" w:rsidRPr="00A23740">
              <w:rPr>
                <w:b w:val="0"/>
                <w:bCs w:val="0"/>
                <w:color w:val="auto"/>
                <w:lang w:val="tr-TR"/>
              </w:rPr>
              <w:t xml:space="preserve">(şikayet edenin) </w:t>
            </w:r>
            <w:r w:rsidRPr="00A23740">
              <w:rPr>
                <w:b w:val="0"/>
                <w:bCs w:val="0"/>
                <w:color w:val="auto"/>
                <w:lang w:val="tr-TR"/>
              </w:rPr>
              <w:t xml:space="preserve">ve </w:t>
            </w:r>
            <w:r w:rsidRPr="00A23740">
              <w:rPr>
                <w:b w:val="0"/>
                <w:bCs w:val="0"/>
                <w:color w:val="auto"/>
              </w:rPr>
              <w:t xml:space="preserve">varsa kanuni temsilcisinin veya vekilinin adı, soyadı ve adresi, Türkiye </w:t>
            </w:r>
            <w:r w:rsidRPr="00A23740">
              <w:rPr>
                <w:b w:val="0"/>
                <w:bCs w:val="0"/>
                <w:color w:val="auto"/>
              </w:rPr>
              <w:lastRenderedPageBreak/>
              <w:t>Cumhuriyeti kimlik numarası,</w:t>
            </w:r>
            <w:r w:rsidRPr="00A23740">
              <w:rPr>
                <w:b w:val="0"/>
                <w:bCs w:val="0"/>
                <w:color w:val="auto"/>
                <w:lang w:val="tr-TR"/>
              </w:rPr>
              <w:t xml:space="preserve"> </w:t>
            </w:r>
            <w:r w:rsidRPr="00A23740">
              <w:rPr>
                <w:b w:val="0"/>
                <w:bCs w:val="0"/>
                <w:color w:val="auto"/>
              </w:rPr>
              <w:t>talep</w:t>
            </w:r>
            <w:r w:rsidR="00196690" w:rsidRPr="00A23740">
              <w:rPr>
                <w:b w:val="0"/>
                <w:bCs w:val="0"/>
                <w:color w:val="auto"/>
              </w:rPr>
              <w:t xml:space="preserve"> sahibi tüzel kişi ise ticaret ü</w:t>
            </w:r>
            <w:r w:rsidRPr="00A23740">
              <w:rPr>
                <w:b w:val="0"/>
                <w:bCs w:val="0"/>
                <w:color w:val="auto"/>
              </w:rPr>
              <w:t xml:space="preserve">nvanı, ticaret sicil numarası, adresi ve iletişim bilgileri, şikâyet konusu </w:t>
            </w:r>
            <w:r w:rsidR="00196690" w:rsidRPr="00A23740">
              <w:rPr>
                <w:b w:val="0"/>
                <w:bCs w:val="0"/>
                <w:color w:val="auto"/>
              </w:rPr>
              <w:t>işlem, işlemi yapan icra</w:t>
            </w:r>
            <w:r w:rsidR="00B71D70" w:rsidRPr="00A23740">
              <w:rPr>
                <w:b w:val="0"/>
                <w:bCs w:val="0"/>
                <w:color w:val="auto"/>
                <w:lang w:val="tr-TR"/>
              </w:rPr>
              <w:t xml:space="preserve"> </w:t>
            </w:r>
            <w:r w:rsidR="00196690" w:rsidRPr="00A23740">
              <w:rPr>
                <w:b w:val="0"/>
                <w:bCs w:val="0"/>
                <w:color w:val="auto"/>
              </w:rPr>
              <w:t>ve ifla</w:t>
            </w:r>
            <w:r w:rsidRPr="00A23740">
              <w:rPr>
                <w:b w:val="0"/>
                <w:bCs w:val="0"/>
                <w:color w:val="auto"/>
              </w:rPr>
              <w:t>s dairesi ile dosya numarası,</w:t>
            </w:r>
            <w:r w:rsidR="00196690" w:rsidRPr="00A23740">
              <w:rPr>
                <w:rStyle w:val="YeniYeilChar"/>
                <w:rFonts w:eastAsia="Calibri"/>
                <w:b/>
              </w:rPr>
              <w:t xml:space="preserve"> </w:t>
            </w:r>
            <w:r w:rsidR="00196690" w:rsidRPr="00A23740">
              <w:rPr>
                <w:b w:val="0"/>
                <w:bCs w:val="0"/>
                <w:color w:val="auto"/>
              </w:rPr>
              <w:t>şik</w:t>
            </w:r>
            <w:r w:rsidR="005E4704" w:rsidRPr="00A23740">
              <w:rPr>
                <w:b w:val="0"/>
                <w:bCs w:val="0"/>
                <w:color w:val="auto"/>
                <w:lang w:val="tr-TR"/>
              </w:rPr>
              <w:t>â</w:t>
            </w:r>
            <w:r w:rsidR="00196690" w:rsidRPr="00A23740">
              <w:rPr>
                <w:b w:val="0"/>
                <w:bCs w:val="0"/>
                <w:color w:val="auto"/>
              </w:rPr>
              <w:t>yet sebebi,</w:t>
            </w:r>
            <w:r w:rsidRPr="00A23740">
              <w:rPr>
                <w:b w:val="0"/>
                <w:bCs w:val="0"/>
                <w:color w:val="auto"/>
              </w:rPr>
              <w:t xml:space="preserve"> </w:t>
            </w:r>
            <w:r w:rsidR="00E45A34" w:rsidRPr="00A23740">
              <w:rPr>
                <w:b w:val="0"/>
                <w:bCs w:val="0"/>
                <w:color w:val="auto"/>
              </w:rPr>
              <w:t xml:space="preserve">talep sonucu ve varsa takibin durdurulması talebi ile </w:t>
            </w:r>
            <w:r w:rsidRPr="00A23740">
              <w:rPr>
                <w:b w:val="0"/>
                <w:bCs w:val="0"/>
                <w:color w:val="auto"/>
              </w:rPr>
              <w:t>talep sahibinin veya varsa kanuni temsilcisinin veya vekilinin imzası</w:t>
            </w:r>
            <w:r w:rsidR="00E45A34" w:rsidRPr="00A23740">
              <w:rPr>
                <w:b w:val="0"/>
                <w:bCs w:val="0"/>
                <w:color w:val="auto"/>
              </w:rPr>
              <w:t>nın bulunması</w:t>
            </w:r>
            <w:r w:rsidR="005D3223" w:rsidRPr="00A23740">
              <w:rPr>
                <w:b w:val="0"/>
                <w:bCs w:val="0"/>
                <w:color w:val="auto"/>
                <w:lang w:val="tr-TR"/>
              </w:rPr>
              <w:t xml:space="preserve"> gerekmektedir</w:t>
            </w:r>
            <w:r w:rsidR="00196690" w:rsidRPr="00A23740">
              <w:rPr>
                <w:b w:val="0"/>
                <w:bCs w:val="0"/>
                <w:color w:val="auto"/>
                <w:lang w:val="tr-TR"/>
              </w:rPr>
              <w:t>. Şikâ</w:t>
            </w:r>
            <w:r w:rsidRPr="00A23740">
              <w:rPr>
                <w:b w:val="0"/>
                <w:bCs w:val="0"/>
                <w:color w:val="auto"/>
                <w:lang w:val="tr-TR"/>
              </w:rPr>
              <w:t>yet başvurusunda bulunması gereken hususların hem yazılı hem de sözlü baş</w:t>
            </w:r>
            <w:r w:rsidR="00753819" w:rsidRPr="00A23740">
              <w:rPr>
                <w:b w:val="0"/>
                <w:bCs w:val="0"/>
                <w:color w:val="auto"/>
                <w:lang w:val="tr-TR"/>
              </w:rPr>
              <w:t xml:space="preserve">vurularda </w:t>
            </w:r>
            <w:r w:rsidR="005D3223" w:rsidRPr="00A23740">
              <w:rPr>
                <w:b w:val="0"/>
                <w:bCs w:val="0"/>
                <w:color w:val="auto"/>
                <w:lang w:val="tr-TR"/>
              </w:rPr>
              <w:t xml:space="preserve">mevcut olması </w:t>
            </w:r>
            <w:r w:rsidR="00753819" w:rsidRPr="00A23740">
              <w:rPr>
                <w:b w:val="0"/>
                <w:bCs w:val="0"/>
                <w:color w:val="auto"/>
                <w:lang w:val="tr-TR"/>
              </w:rPr>
              <w:t>gerektiği hususunda</w:t>
            </w:r>
            <w:r w:rsidRPr="00A23740">
              <w:rPr>
                <w:b w:val="0"/>
                <w:bCs w:val="0"/>
                <w:color w:val="auto"/>
                <w:lang w:val="tr-TR"/>
              </w:rPr>
              <w:t xml:space="preserve"> tereddüt bulunmamaktadır. Zira b</w:t>
            </w:r>
            <w:r w:rsidR="00196690" w:rsidRPr="00A23740">
              <w:rPr>
                <w:b w:val="0"/>
                <w:bCs w:val="0"/>
                <w:color w:val="auto"/>
                <w:lang w:val="tr-TR"/>
              </w:rPr>
              <w:t xml:space="preserve">u hususlar, icra hukuk </w:t>
            </w:r>
            <w:r w:rsidR="005D3223" w:rsidRPr="00A23740">
              <w:rPr>
                <w:b w:val="0"/>
                <w:bCs w:val="0"/>
                <w:color w:val="auto"/>
                <w:lang w:val="tr-TR"/>
              </w:rPr>
              <w:t xml:space="preserve">mahkemesi </w:t>
            </w:r>
            <w:r w:rsidR="00196690" w:rsidRPr="00A23740">
              <w:rPr>
                <w:b w:val="0"/>
                <w:bCs w:val="0"/>
                <w:color w:val="auto"/>
                <w:lang w:val="tr-TR"/>
              </w:rPr>
              <w:t>veya ifla</w:t>
            </w:r>
            <w:r w:rsidRPr="00A23740">
              <w:rPr>
                <w:b w:val="0"/>
                <w:bCs w:val="0"/>
                <w:color w:val="auto"/>
                <w:lang w:val="tr-TR"/>
              </w:rPr>
              <w:t>s mahkemesinin, şikâyet konusu işlemi tespit edebilmesi bakımından şarttır. Ayrıca, şikâyette bulunan kimsenin Türk vatandaşı olmaması veya Türkiye’de mutad meskeninin bulunmaması h</w:t>
            </w:r>
            <w:r w:rsidR="00C219C2" w:rsidRPr="00A23740">
              <w:rPr>
                <w:b w:val="0"/>
                <w:bCs w:val="0"/>
                <w:color w:val="auto"/>
                <w:lang w:val="tr-TR"/>
              </w:rPr>
              <w:t>â</w:t>
            </w:r>
            <w:r w:rsidRPr="00A23740">
              <w:rPr>
                <w:b w:val="0"/>
                <w:bCs w:val="0"/>
                <w:color w:val="auto"/>
                <w:lang w:val="tr-TR"/>
              </w:rPr>
              <w:t>linde,</w:t>
            </w:r>
            <w:r w:rsidR="008D0C3C" w:rsidRPr="00A23740">
              <w:rPr>
                <w:b w:val="0"/>
                <w:bCs w:val="0"/>
                <w:color w:val="auto"/>
                <w:lang w:val="tr-TR"/>
              </w:rPr>
              <w:t xml:space="preserve"> </w:t>
            </w:r>
            <w:r w:rsidR="008D0C3C" w:rsidRPr="002B26FC">
              <w:rPr>
                <w:b w:val="0"/>
                <w:color w:val="auto"/>
                <w:lang w:val="tr-TR"/>
              </w:rPr>
              <w:t>5718 sayılı</w:t>
            </w:r>
            <w:r w:rsidRPr="00A23740">
              <w:rPr>
                <w:b w:val="0"/>
                <w:bCs w:val="0"/>
                <w:color w:val="auto"/>
                <w:lang w:val="tr-TR"/>
              </w:rPr>
              <w:t xml:space="preserve"> Milletlerarası Öze</w:t>
            </w:r>
            <w:r w:rsidR="00753819" w:rsidRPr="00A23740">
              <w:rPr>
                <w:b w:val="0"/>
                <w:bCs w:val="0"/>
                <w:color w:val="auto"/>
                <w:lang w:val="tr-TR"/>
              </w:rPr>
              <w:t>l Hukuk ve Usul Hukuku Hakkında</w:t>
            </w:r>
            <w:r w:rsidRPr="00A23740">
              <w:rPr>
                <w:b w:val="0"/>
                <w:bCs w:val="0"/>
                <w:color w:val="auto"/>
                <w:lang w:val="tr-TR"/>
              </w:rPr>
              <w:t xml:space="preserve"> Kanunun 48 inci maddesi ile </w:t>
            </w:r>
            <w:r w:rsidR="00DB332D" w:rsidRPr="002B26FC">
              <w:rPr>
                <w:b w:val="0"/>
                <w:color w:val="auto"/>
                <w:lang w:val="tr-TR"/>
              </w:rPr>
              <w:t>6100 sayılı Kanunun</w:t>
            </w:r>
            <w:r w:rsidRPr="00A23740">
              <w:rPr>
                <w:b w:val="0"/>
                <w:bCs w:val="0"/>
                <w:color w:val="auto"/>
                <w:lang w:val="tr-TR"/>
              </w:rPr>
              <w:t xml:space="preserve"> 84 üncü maddesi uyarınca teminat gösterme zorunluluğu, şikâyet bakımından da geçerli olacaktır.</w:t>
            </w:r>
          </w:p>
          <w:p w:rsidR="005E4704" w:rsidRPr="00A23740" w:rsidRDefault="005E4704" w:rsidP="009431FF">
            <w:pPr>
              <w:ind w:firstLine="709"/>
              <w:rPr>
                <w:rFonts w:eastAsia="Times New Roman"/>
                <w:b/>
                <w:szCs w:val="24"/>
                <w:lang w:eastAsia="x-none"/>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strike/>
                <w:color w:val="FF0000"/>
                <w:szCs w:val="24"/>
                <w:lang w:eastAsia="tr-TR"/>
              </w:rPr>
            </w:pPr>
            <w:r w:rsidRPr="00A23740">
              <w:rPr>
                <w:rFonts w:eastAsia="Times New Roman"/>
                <w:b/>
                <w:szCs w:val="24"/>
                <w:lang w:eastAsia="tr-TR"/>
              </w:rPr>
              <w:lastRenderedPageBreak/>
              <w:t>Yargılama usul</w:t>
            </w:r>
            <w:r w:rsidRPr="00A23740">
              <w:rPr>
                <w:rFonts w:eastAsia="Times New Roman"/>
                <w:b/>
                <w:strike/>
                <w:color w:val="FF0000"/>
                <w:szCs w:val="24"/>
                <w:lang w:eastAsia="tr-TR"/>
              </w:rPr>
              <w:t>leri :</w:t>
            </w:r>
          </w:p>
          <w:p w:rsidR="00155AF4" w:rsidRPr="00A23740" w:rsidRDefault="00155AF4" w:rsidP="009431FF">
            <w:pPr>
              <w:rPr>
                <w:rFonts w:eastAsia="Times New Roman"/>
                <w:b/>
                <w:strike/>
                <w:color w:val="FF0000"/>
                <w:szCs w:val="24"/>
                <w:lang w:eastAsia="tr-TR"/>
              </w:rPr>
            </w:pPr>
            <w:r w:rsidRPr="00A23740">
              <w:rPr>
                <w:rStyle w:val="KIRMIZIChar"/>
                <w:rFonts w:eastAsia="Calibri"/>
              </w:rPr>
              <w:t>Madde 18 – (1) (Değişik</w:t>
            </w:r>
            <w:r w:rsidRPr="00A23740">
              <w:rPr>
                <w:rFonts w:eastAsia="Times New Roman"/>
                <w:b/>
                <w:strike/>
                <w:color w:val="FF0000"/>
                <w:szCs w:val="24"/>
                <w:lang w:eastAsia="tr-TR"/>
              </w:rPr>
              <w:t>: 18/2/1965 - 538/11 md.)</w:t>
            </w:r>
          </w:p>
          <w:p w:rsidR="00155AF4" w:rsidRPr="00A23740" w:rsidRDefault="00155AF4" w:rsidP="009431FF">
            <w:pPr>
              <w:rPr>
                <w:rStyle w:val="KIRMIZIChar"/>
                <w:rFonts w:eastAsia="Calibri"/>
              </w:rPr>
            </w:pPr>
            <w:r w:rsidRPr="00A23740">
              <w:rPr>
                <w:rFonts w:eastAsia="Times New Roman"/>
                <w:b/>
                <w:strike/>
                <w:color w:val="FF0000"/>
                <w:szCs w:val="24"/>
                <w:lang w:eastAsia="tr-TR"/>
              </w:rPr>
              <w:t>(Değişik birinci fıkra: 2/7/2012-6352/</w:t>
            </w:r>
            <w:r w:rsidRPr="00A23740">
              <w:rPr>
                <w:rStyle w:val="KIRMIZIChar"/>
                <w:rFonts w:eastAsia="Calibri"/>
              </w:rPr>
              <w:t>6 md.) İcra mahkemesine</w:t>
            </w:r>
            <w:r w:rsidRPr="00A23740">
              <w:rPr>
                <w:rFonts w:eastAsia="Times New Roman"/>
                <w:szCs w:val="24"/>
                <w:lang w:eastAsia="tr-TR"/>
              </w:rPr>
              <w:t xml:space="preserve"> </w:t>
            </w:r>
            <w:r w:rsidRPr="00A23740">
              <w:rPr>
                <w:rFonts w:eastAsia="Times New Roman"/>
                <w:b/>
                <w:strike/>
                <w:color w:val="FF0000"/>
                <w:szCs w:val="24"/>
                <w:lang w:eastAsia="tr-TR"/>
              </w:rPr>
              <w:t>arzedilen hususlar</w:t>
            </w:r>
            <w:r w:rsidRPr="00A23740">
              <w:rPr>
                <w:rFonts w:eastAsia="Times New Roman"/>
                <w:szCs w:val="24"/>
                <w:lang w:eastAsia="tr-TR"/>
              </w:rPr>
              <w:t xml:space="preserve"> ivedi işlerden sayılır </w:t>
            </w:r>
            <w:r w:rsidRPr="00A23740">
              <w:rPr>
                <w:rFonts w:eastAsia="Times New Roman"/>
                <w:b/>
                <w:strike/>
                <w:color w:val="FF0000"/>
                <w:szCs w:val="24"/>
                <w:lang w:eastAsia="tr-TR"/>
              </w:rPr>
              <w:t xml:space="preserve">ve bu </w:t>
            </w:r>
            <w:r w:rsidRPr="00A23740">
              <w:rPr>
                <w:rStyle w:val="KIRMIZIChar"/>
                <w:rFonts w:eastAsia="Calibri"/>
              </w:rPr>
              <w:t>işlerde basit yargılama usulü uygulanır.</w:t>
            </w:r>
          </w:p>
          <w:p w:rsidR="00155AF4" w:rsidRPr="00A23740" w:rsidRDefault="00155AF4" w:rsidP="009431FF">
            <w:pPr>
              <w:rPr>
                <w:rStyle w:val="KIRMIZIChar"/>
                <w:rFonts w:eastAsia="Calibri"/>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(2) Şu kadar ki, talep ve cevaplar dilekçe ile olabileceği gibi icra mahkemesine ifade zaptettirmek suretiyle de olur.</w:t>
            </w:r>
          </w:p>
          <w:p w:rsidR="00155AF4" w:rsidRPr="00A23740" w:rsidRDefault="00155AF4" w:rsidP="009431FF">
            <w:pPr>
              <w:rPr>
                <w:rFonts w:eastAsia="Times New Roman"/>
                <w:b/>
                <w:strike/>
                <w:color w:val="FF0000"/>
                <w:szCs w:val="24"/>
                <w:lang w:eastAsia="tr-TR"/>
              </w:rPr>
            </w:pPr>
          </w:p>
          <w:p w:rsidR="00155AF4" w:rsidRPr="00A23740" w:rsidRDefault="00155AF4" w:rsidP="009431FF">
            <w:pPr>
              <w:rPr>
                <w:rFonts w:eastAsia="Times New Roman"/>
                <w:b/>
                <w:strike/>
                <w:color w:val="FF0000"/>
                <w:szCs w:val="24"/>
                <w:lang w:eastAsia="tr-TR"/>
              </w:rPr>
            </w:pPr>
          </w:p>
          <w:p w:rsidR="00155AF4" w:rsidRPr="00A23740" w:rsidRDefault="00155AF4" w:rsidP="009431FF">
            <w:pPr>
              <w:rPr>
                <w:rFonts w:eastAsia="Times New Roman"/>
                <w:b/>
                <w:strike/>
                <w:color w:val="FF0000"/>
                <w:szCs w:val="24"/>
                <w:lang w:eastAsia="tr-TR"/>
              </w:rPr>
            </w:pPr>
          </w:p>
          <w:p w:rsidR="00155AF4" w:rsidRPr="00A23740" w:rsidRDefault="00155AF4" w:rsidP="009431FF">
            <w:pPr>
              <w:tabs>
                <w:tab w:val="left" w:pos="567"/>
              </w:tabs>
              <w:rPr>
                <w:rFonts w:eastAsia="Times New Roman"/>
                <w:b/>
                <w:strike/>
                <w:color w:val="FF0000"/>
                <w:szCs w:val="24"/>
                <w:lang w:eastAsia="tr-TR"/>
              </w:rPr>
            </w:pPr>
          </w:p>
          <w:p w:rsidR="00BE7F06" w:rsidRPr="00A23740" w:rsidRDefault="00BE7F06" w:rsidP="009431FF">
            <w:pPr>
              <w:tabs>
                <w:tab w:val="left" w:pos="567"/>
              </w:tabs>
              <w:rPr>
                <w:rFonts w:eastAsia="Times New Roman"/>
                <w:b/>
                <w:strike/>
                <w:color w:val="FF0000"/>
                <w:szCs w:val="24"/>
                <w:lang w:eastAsia="tr-TR"/>
              </w:rPr>
            </w:pPr>
          </w:p>
          <w:p w:rsidR="00155AF4" w:rsidRPr="00A23740" w:rsidRDefault="00155AF4" w:rsidP="009431FF">
            <w:pPr>
              <w:tabs>
                <w:tab w:val="left" w:pos="567"/>
              </w:tabs>
              <w:rPr>
                <w:rFonts w:eastAsia="Times New Roman"/>
                <w:szCs w:val="24"/>
                <w:lang w:eastAsia="tr-TR"/>
              </w:rPr>
            </w:pPr>
            <w:r w:rsidRPr="00A23740">
              <w:rPr>
                <w:rFonts w:eastAsia="Times New Roman"/>
                <w:b/>
                <w:strike/>
                <w:color w:val="FF0000"/>
                <w:szCs w:val="24"/>
                <w:lang w:eastAsia="tr-TR"/>
              </w:rPr>
              <w:t>(3) (Değişik üçüncü fıkra: 17/7/2003-4949/4 md.)</w:t>
            </w:r>
            <w:r w:rsidRPr="00A23740">
              <w:rPr>
                <w:rFonts w:eastAsia="Times New Roman"/>
                <w:szCs w:val="24"/>
                <w:lang w:eastAsia="tr-TR"/>
              </w:rPr>
              <w:t xml:space="preserve"> Aksine hüküm bulunmayan hâllerde </w:t>
            </w:r>
            <w:r w:rsidRPr="00A23740">
              <w:rPr>
                <w:rFonts w:eastAsia="Times New Roman"/>
                <w:b/>
                <w:strike/>
                <w:color w:val="FF0000"/>
                <w:szCs w:val="24"/>
                <w:lang w:eastAsia="tr-TR"/>
              </w:rPr>
              <w:t xml:space="preserve">icra mahkemesi, şikâyet konusu işlemi yapan icra dairesinin açıklama </w:t>
            </w:r>
            <w:r w:rsidRPr="00A23740">
              <w:rPr>
                <w:rStyle w:val="KIRMIZIChar"/>
                <w:rFonts w:eastAsia="Calibri"/>
              </w:rPr>
              <w:t xml:space="preserve">yapmasına ve duruşma yapılmasına gerek olup  olmadığını  </w:t>
            </w:r>
            <w:r w:rsidRPr="00A23740">
              <w:rPr>
                <w:rFonts w:eastAsia="Times New Roman"/>
                <w:b/>
                <w:strike/>
                <w:color w:val="FF0000"/>
                <w:szCs w:val="24"/>
                <w:lang w:eastAsia="tr-TR"/>
              </w:rPr>
              <w:t>takdir eder;</w:t>
            </w:r>
            <w:r w:rsidRPr="00A23740">
              <w:rPr>
                <w:rFonts w:eastAsia="Times New Roman"/>
                <w:szCs w:val="24"/>
                <w:lang w:eastAsia="tr-TR"/>
              </w:rPr>
              <w:t xml:space="preserve"> duruşma yapılmasın</w:t>
            </w:r>
            <w:r w:rsidRPr="00A23740">
              <w:rPr>
                <w:rFonts w:eastAsia="Times New Roman"/>
                <w:b/>
                <w:strike/>
                <w:color w:val="FF0000"/>
                <w:szCs w:val="24"/>
                <w:lang w:eastAsia="tr-TR"/>
              </w:rPr>
              <w:t>ı</w:t>
            </w:r>
            <w:r w:rsidRPr="00A23740">
              <w:rPr>
                <w:rFonts w:eastAsia="Times New Roman"/>
                <w:szCs w:val="24"/>
                <w:lang w:eastAsia="tr-TR"/>
              </w:rPr>
              <w:t xml:space="preserve"> </w:t>
            </w:r>
            <w:r w:rsidRPr="00A23740">
              <w:rPr>
                <w:rFonts w:eastAsia="Times New Roman"/>
                <w:b/>
                <w:strike/>
                <w:color w:val="FF0000"/>
                <w:szCs w:val="24"/>
                <w:lang w:eastAsia="tr-TR"/>
              </w:rPr>
              <w:t>uygun gördüğü</w:t>
            </w:r>
            <w:r w:rsidRPr="00A23740">
              <w:rPr>
                <w:rFonts w:eastAsia="Times New Roman"/>
                <w:szCs w:val="24"/>
                <w:lang w:eastAsia="tr-TR"/>
              </w:rPr>
              <w:t xml:space="preserve"> takdirde ilgilileri en kısa zamanda duruşmaya çağırır ve gelmeseler bile gereken kararı verir. Duruşma yapılmayan işlerde </w:t>
            </w:r>
            <w:r w:rsidRPr="00A23740">
              <w:rPr>
                <w:rStyle w:val="KIRMIZIChar"/>
                <w:rFonts w:eastAsia="Calibri"/>
              </w:rPr>
              <w:t>icra</w:t>
            </w:r>
            <w:r w:rsidRPr="00A23740">
              <w:rPr>
                <w:rFonts w:eastAsia="Times New Roman"/>
                <w:szCs w:val="24"/>
                <w:lang w:eastAsia="tr-TR"/>
              </w:rPr>
              <w:t xml:space="preserve"> mahkeme</w:t>
            </w:r>
            <w:r w:rsidRPr="00A23740">
              <w:rPr>
                <w:rStyle w:val="KIRMIZIChar"/>
                <w:rFonts w:eastAsia="Calibri"/>
              </w:rPr>
              <w:t>si</w:t>
            </w:r>
            <w:r w:rsidRPr="00A23740">
              <w:rPr>
                <w:rFonts w:eastAsia="Times New Roman"/>
                <w:szCs w:val="24"/>
                <w:lang w:eastAsia="tr-TR"/>
              </w:rPr>
              <w:t xml:space="preserve">, işin kendisine geldiği tarihten itibaren en geç </w:t>
            </w:r>
            <w:r w:rsidRPr="00A23740">
              <w:rPr>
                <w:rFonts w:eastAsia="Times New Roman"/>
                <w:b/>
                <w:strike/>
                <w:color w:val="FF0000"/>
                <w:szCs w:val="24"/>
                <w:lang w:eastAsia="tr-TR"/>
              </w:rPr>
              <w:t>on gün</w:t>
            </w:r>
            <w:r w:rsidRPr="00A23740">
              <w:rPr>
                <w:rFonts w:eastAsia="Times New Roman"/>
                <w:szCs w:val="24"/>
                <w:lang w:eastAsia="tr-TR"/>
              </w:rPr>
              <w:t xml:space="preserve"> içinde kararını verir. </w:t>
            </w:r>
            <w:r w:rsidRPr="00A23740">
              <w:rPr>
                <w:rFonts w:eastAsia="Times New Roman"/>
                <w:bCs/>
                <w:lang w:eastAsia="tr-TR"/>
              </w:rPr>
              <w:t xml:space="preserve">Duruşmalar, ancak zorunluluk hâlinde ve </w:t>
            </w:r>
            <w:r w:rsidRPr="00A23740">
              <w:rPr>
                <w:rStyle w:val="NOTChar"/>
                <w:rFonts w:eastAsia="Calibri"/>
                <w:strike/>
                <w:lang w:val="tr-TR" w:eastAsia="tr-TR"/>
              </w:rPr>
              <w:t>otuz günü</w:t>
            </w:r>
            <w:r w:rsidRPr="00A23740">
              <w:rPr>
                <w:rFonts w:eastAsia="Times New Roman"/>
                <w:bCs/>
                <w:lang w:eastAsia="tr-TR"/>
              </w:rPr>
              <w:t xml:space="preserve"> geçmemek üzere ertelenebilir.</w:t>
            </w:r>
            <w:r w:rsidRPr="00A23740">
              <w:rPr>
                <w:rFonts w:eastAsia="Times New Roman"/>
                <w:szCs w:val="24"/>
                <w:lang w:eastAsia="tr-TR"/>
              </w:rPr>
              <w:t xml:space="preserve"> </w:t>
            </w:r>
          </w:p>
          <w:p w:rsidR="00155AF4" w:rsidRPr="00A23740" w:rsidRDefault="00155AF4" w:rsidP="009431FF">
            <w:pPr>
              <w:tabs>
                <w:tab w:val="left" w:pos="567"/>
              </w:tabs>
              <w:rPr>
                <w:rFonts w:eastAsia="Times New Roman"/>
                <w:szCs w:val="24"/>
                <w:lang w:eastAsia="tr-TR"/>
              </w:rPr>
            </w:pPr>
          </w:p>
        </w:tc>
        <w:tc>
          <w:tcPr>
            <w:tcW w:w="2500" w:type="pct"/>
          </w:tcPr>
          <w:p w:rsidR="00155AF4" w:rsidRPr="00A23740" w:rsidRDefault="00155AF4" w:rsidP="009431FF">
            <w:pPr>
              <w:keepNext/>
              <w:outlineLvl w:val="2"/>
              <w:rPr>
                <w:rFonts w:eastAsia="Times New Roman"/>
                <w:b/>
                <w:bCs/>
                <w:szCs w:val="24"/>
                <w:lang w:eastAsia="tr-TR"/>
              </w:rPr>
            </w:pPr>
            <w:r w:rsidRPr="00A23740">
              <w:rPr>
                <w:rStyle w:val="MaviChar"/>
                <w:lang w:val="tr-TR"/>
              </w:rPr>
              <w:t>Şik</w:t>
            </w:r>
            <w:r w:rsidR="005E4704" w:rsidRPr="00A23740">
              <w:rPr>
                <w:rStyle w:val="MaviChar"/>
                <w:lang w:val="tr-TR"/>
              </w:rPr>
              <w:t>â</w:t>
            </w:r>
            <w:r w:rsidRPr="00A23740">
              <w:rPr>
                <w:rStyle w:val="MaviChar"/>
                <w:lang w:val="tr-TR"/>
              </w:rPr>
              <w:t>yette</w:t>
            </w:r>
            <w:r w:rsidRPr="00A23740">
              <w:rPr>
                <w:rFonts w:eastAsia="Times New Roman"/>
                <w:b/>
                <w:bCs/>
                <w:szCs w:val="24"/>
                <w:lang w:eastAsia="tr-TR"/>
              </w:rPr>
              <w:t xml:space="preserve"> yargılama usul</w:t>
            </w:r>
            <w:r w:rsidRPr="00A23740">
              <w:rPr>
                <w:rStyle w:val="MaviChar"/>
                <w:lang w:val="tr-TR"/>
              </w:rPr>
              <w:t>ü</w:t>
            </w:r>
            <w:r w:rsidRPr="00A23740">
              <w:rPr>
                <w:rFonts w:eastAsia="Times New Roman"/>
                <w:b/>
                <w:bCs/>
                <w:szCs w:val="24"/>
                <w:lang w:eastAsia="tr-TR"/>
              </w:rPr>
              <w:t xml:space="preserve"> </w:t>
            </w:r>
          </w:p>
          <w:p w:rsidR="00155AF4" w:rsidRPr="00A23740" w:rsidRDefault="00155AF4" w:rsidP="009431FF">
            <w:pPr>
              <w:rPr>
                <w:rFonts w:eastAsia="ヒラギノ明朝 Pro W3"/>
                <w:b/>
                <w:color w:val="0000FF"/>
                <w:szCs w:val="24"/>
                <w:lang w:eastAsia="tr-TR"/>
              </w:rPr>
            </w:pPr>
            <w:r w:rsidRPr="00A23740">
              <w:rPr>
                <w:rStyle w:val="MaviChar"/>
                <w:lang w:val="tr-TR"/>
              </w:rPr>
              <w:t>MADD</w:t>
            </w:r>
            <w:r w:rsidR="0059245E" w:rsidRPr="00A23740">
              <w:rPr>
                <w:rStyle w:val="MaviChar"/>
              </w:rPr>
              <w:t>E 27</w:t>
            </w:r>
            <w:r w:rsidRPr="00A23740">
              <w:rPr>
                <w:rStyle w:val="MaviChar"/>
              </w:rPr>
              <w:t>- (1) Şikâyet</w:t>
            </w:r>
            <w:r w:rsidRPr="00A23740">
              <w:rPr>
                <w:rStyle w:val="MaviChar"/>
                <w:lang w:val="tr-TR"/>
              </w:rPr>
              <w:t xml:space="preserve"> başvurusu</w:t>
            </w:r>
            <w:r w:rsidR="00753819" w:rsidRPr="00A23740">
              <w:rPr>
                <w:rStyle w:val="MaviChar"/>
                <w:lang w:val="tr-TR"/>
              </w:rPr>
              <w:t>,</w:t>
            </w:r>
            <w:r w:rsidRPr="00A23740">
              <w:rPr>
                <w:rStyle w:val="MaviChar"/>
                <w:lang w:val="tr-TR"/>
              </w:rPr>
              <w:t xml:space="preserve"> niteliğine uygun düştüğü ölçüde basit yargılama usulüne göre incelenir. </w:t>
            </w:r>
            <w:r w:rsidR="008E4036" w:rsidRPr="002B26FC">
              <w:rPr>
                <w:rStyle w:val="MaviChar"/>
                <w:lang w:val="tr-TR"/>
              </w:rPr>
              <w:t>Şikayet yargılaması</w:t>
            </w:r>
            <w:r w:rsidR="008E4036" w:rsidRPr="00A23740">
              <w:rPr>
                <w:rStyle w:val="MaviChar"/>
                <w:color w:val="70AD47"/>
                <w:lang w:val="tr-TR"/>
              </w:rPr>
              <w:t xml:space="preserve"> </w:t>
            </w:r>
            <w:r w:rsidRPr="00A23740">
              <w:rPr>
                <w:rFonts w:eastAsia="Times New Roman"/>
                <w:szCs w:val="24"/>
                <w:lang w:eastAsia="tr-TR"/>
              </w:rPr>
              <w:t>ivedi işlerden sayılır.</w:t>
            </w:r>
          </w:p>
          <w:p w:rsidR="00155AF4" w:rsidRPr="00A23740" w:rsidRDefault="00155AF4" w:rsidP="009431FF">
            <w:pPr>
              <w:rPr>
                <w:rFonts w:eastAsia="Times New Roman"/>
                <w:szCs w:val="24"/>
                <w:lang w:eastAsia="tr-TR"/>
              </w:rPr>
            </w:pPr>
          </w:p>
          <w:p w:rsidR="00155AF4" w:rsidRPr="00A23740" w:rsidRDefault="00151F3D" w:rsidP="009431FF">
            <w:pPr>
              <w:rPr>
                <w:rStyle w:val="MaviChar"/>
                <w:lang w:val="tr-TR"/>
              </w:rPr>
            </w:pPr>
            <w:r w:rsidRPr="00A23740">
              <w:rPr>
                <w:rStyle w:val="MaviChar"/>
              </w:rPr>
              <w:t>(2) Şik</w:t>
            </w:r>
            <w:r w:rsidRPr="00A23740">
              <w:rPr>
                <w:rStyle w:val="MaviChar"/>
                <w:lang w:val="tr-TR"/>
              </w:rPr>
              <w:t>â</w:t>
            </w:r>
            <w:r w:rsidR="00155AF4" w:rsidRPr="00A23740">
              <w:rPr>
                <w:rStyle w:val="MaviChar"/>
              </w:rPr>
              <w:t>yet eden, şik</w:t>
            </w:r>
            <w:r w:rsidR="00407C95" w:rsidRPr="00A23740">
              <w:rPr>
                <w:rStyle w:val="MaviChar"/>
                <w:lang w:val="tr-TR"/>
              </w:rPr>
              <w:t>â</w:t>
            </w:r>
            <w:r w:rsidR="00155AF4" w:rsidRPr="00A23740">
              <w:rPr>
                <w:rStyle w:val="MaviChar"/>
              </w:rPr>
              <w:t>yet başvurusunu yaptıktan sonra şik</w:t>
            </w:r>
            <w:r w:rsidR="005E4704" w:rsidRPr="00A23740">
              <w:rPr>
                <w:rStyle w:val="MaviChar"/>
                <w:lang w:val="tr-TR"/>
              </w:rPr>
              <w:t>â</w:t>
            </w:r>
            <w:r w:rsidR="00155AF4" w:rsidRPr="00A23740">
              <w:rPr>
                <w:rStyle w:val="MaviChar"/>
              </w:rPr>
              <w:t>yet konusunu değiştiremez.</w:t>
            </w:r>
            <w:r w:rsidR="00155AF4" w:rsidRPr="00A23740">
              <w:rPr>
                <w:rStyle w:val="MaviChar"/>
                <w:lang w:val="tr-TR"/>
              </w:rPr>
              <w:t xml:space="preserve"> </w:t>
            </w:r>
            <w:r w:rsidRPr="00A23740">
              <w:rPr>
                <w:rStyle w:val="MaviChar"/>
              </w:rPr>
              <w:t>Hükümsüz işlemler hakkındaki</w:t>
            </w:r>
            <w:r w:rsidRPr="00A23740">
              <w:rPr>
                <w:rStyle w:val="MaviChar"/>
                <w:lang w:val="tr-TR"/>
              </w:rPr>
              <w:t xml:space="preserve"> </w:t>
            </w:r>
            <w:r w:rsidR="00155AF4" w:rsidRPr="00A23740">
              <w:rPr>
                <w:rStyle w:val="MaviChar"/>
              </w:rPr>
              <w:t>30 uncu madde hükmü saklıdır.</w:t>
            </w:r>
          </w:p>
          <w:p w:rsidR="00155AF4" w:rsidRPr="00A23740" w:rsidRDefault="00155AF4" w:rsidP="009431FF">
            <w:pPr>
              <w:rPr>
                <w:rFonts w:eastAsia="Times New Roman"/>
                <w:b/>
                <w:color w:val="FF0000"/>
                <w:szCs w:val="24"/>
                <w:lang w:eastAsia="tr-TR"/>
              </w:rPr>
            </w:pPr>
          </w:p>
          <w:p w:rsidR="00155AF4" w:rsidRPr="00A23740" w:rsidRDefault="00155AF4" w:rsidP="009431FF">
            <w:pPr>
              <w:pStyle w:val="Mavi"/>
              <w:rPr>
                <w:lang w:val="tr-TR"/>
              </w:rPr>
            </w:pPr>
            <w:r w:rsidRPr="00A23740">
              <w:rPr>
                <w:lang w:val="tr-TR"/>
              </w:rPr>
              <w:t>(3) Mahkeme, haklarının korun</w:t>
            </w:r>
            <w:r w:rsidR="00151F3D" w:rsidRPr="00A23740">
              <w:rPr>
                <w:lang w:val="tr-TR"/>
              </w:rPr>
              <w:t>ması için gerekli görüyorsa şikâ</w:t>
            </w:r>
            <w:r w:rsidRPr="00A23740">
              <w:rPr>
                <w:lang w:val="tr-TR"/>
              </w:rPr>
              <w:t>yeti, yazılı olarak cevap vermeleri için bir süre belirleyerek ilgililere tebliğ eder.</w:t>
            </w:r>
          </w:p>
          <w:p w:rsidR="00155AF4" w:rsidRPr="00A23740" w:rsidRDefault="00155AF4" w:rsidP="009431FF">
            <w:pPr>
              <w:rPr>
                <w:szCs w:val="24"/>
              </w:rPr>
            </w:pPr>
          </w:p>
          <w:p w:rsidR="00155AF4" w:rsidRPr="00A23740" w:rsidRDefault="00155AF4" w:rsidP="009431FF">
            <w:pPr>
              <w:rPr>
                <w:rStyle w:val="MaviChar"/>
              </w:rPr>
            </w:pPr>
            <w:r w:rsidRPr="00A23740">
              <w:rPr>
                <w:rStyle w:val="MaviChar"/>
              </w:rPr>
              <w:t>(4)</w:t>
            </w:r>
            <w:r w:rsidRPr="00A23740">
              <w:rPr>
                <w:rFonts w:eastAsia="ヒラギノ明朝 Pro W3"/>
                <w:b/>
                <w:color w:val="0000FF"/>
                <w:szCs w:val="24"/>
                <w:lang w:eastAsia="tr-TR"/>
              </w:rPr>
              <w:t xml:space="preserve"> </w:t>
            </w:r>
            <w:r w:rsidRPr="00A23740">
              <w:rPr>
                <w:rFonts w:eastAsia="Times New Roman"/>
                <w:szCs w:val="24"/>
                <w:lang w:eastAsia="tr-TR"/>
              </w:rPr>
              <w:t>Aksine hüküm bulunmayan h</w:t>
            </w:r>
            <w:r w:rsidR="00726EE8" w:rsidRPr="00A23740">
              <w:rPr>
                <w:rFonts w:eastAsia="Times New Roman"/>
                <w:szCs w:val="24"/>
                <w:lang w:eastAsia="tr-TR"/>
              </w:rPr>
              <w:t>â</w:t>
            </w:r>
            <w:r w:rsidRPr="00A23740">
              <w:rPr>
                <w:rFonts w:eastAsia="Times New Roman"/>
                <w:szCs w:val="24"/>
                <w:lang w:eastAsia="tr-TR"/>
              </w:rPr>
              <w:t>llerde</w:t>
            </w:r>
            <w:r w:rsidRPr="00A23740">
              <w:rPr>
                <w:rFonts w:eastAsia="ヒラギノ明朝 Pro W3"/>
                <w:b/>
                <w:color w:val="0000FF"/>
                <w:szCs w:val="24"/>
                <w:lang w:eastAsia="tr-TR"/>
              </w:rPr>
              <w:t xml:space="preserve"> </w:t>
            </w:r>
            <w:r w:rsidRPr="00A23740">
              <w:rPr>
                <w:rStyle w:val="MaviChar"/>
              </w:rPr>
              <w:t>mahkeme</w:t>
            </w:r>
            <w:r w:rsidR="00A43726" w:rsidRPr="00A23740">
              <w:rPr>
                <w:rStyle w:val="MaviChar"/>
                <w:lang w:val="tr-TR"/>
              </w:rPr>
              <w:t>,</w:t>
            </w:r>
            <w:r w:rsidRPr="00A23740">
              <w:rPr>
                <w:rStyle w:val="MaviChar"/>
              </w:rPr>
              <w:t xml:space="preserve"> takip dosyasının içeriğine ve delillere göre </w:t>
            </w:r>
            <w:r w:rsidRPr="00A23740">
              <w:rPr>
                <w:rStyle w:val="MaviChar"/>
                <w:lang w:val="tr-TR"/>
              </w:rPr>
              <w:t>duruşma yapılıp yapılmamasına karar</w:t>
            </w:r>
            <w:r w:rsidRPr="00A23740">
              <w:rPr>
                <w:rFonts w:eastAsia="ヒラギノ明朝 Pro W3"/>
                <w:b/>
                <w:color w:val="0000FF"/>
                <w:szCs w:val="24"/>
                <w:lang w:eastAsia="tr-TR"/>
              </w:rPr>
              <w:t xml:space="preserve"> </w:t>
            </w:r>
            <w:r w:rsidRPr="00A23740">
              <w:rPr>
                <w:rStyle w:val="MaviChar"/>
              </w:rPr>
              <w:t>verir</w:t>
            </w:r>
            <w:r w:rsidRPr="00A23740">
              <w:rPr>
                <w:rFonts w:eastAsia="ヒラギノ明朝 Pro W3"/>
                <w:b/>
                <w:color w:val="0000FF"/>
                <w:szCs w:val="24"/>
                <w:lang w:eastAsia="tr-TR"/>
              </w:rPr>
              <w:t xml:space="preserve">. </w:t>
            </w:r>
            <w:r w:rsidRPr="00A23740">
              <w:rPr>
                <w:rFonts w:eastAsia="Times New Roman"/>
                <w:szCs w:val="24"/>
                <w:lang w:eastAsia="tr-TR"/>
              </w:rPr>
              <w:t>Duruşma yapılmasın</w:t>
            </w:r>
            <w:r w:rsidRPr="00A23740">
              <w:rPr>
                <w:rStyle w:val="MaviChar"/>
                <w:lang w:val="tr-TR"/>
              </w:rPr>
              <w:t xml:space="preserve">a karar </w:t>
            </w:r>
            <w:r w:rsidRPr="00A23740">
              <w:rPr>
                <w:rStyle w:val="MaviChar"/>
              </w:rPr>
              <w:t>verdiği</w:t>
            </w:r>
            <w:r w:rsidRPr="00A23740">
              <w:rPr>
                <w:rFonts w:eastAsia="Times New Roman"/>
                <w:szCs w:val="24"/>
                <w:lang w:eastAsia="tr-TR"/>
              </w:rPr>
              <w:t xml:space="preserve"> takdirde</w:t>
            </w:r>
            <w:r w:rsidR="00A43726" w:rsidRPr="00A23740">
              <w:rPr>
                <w:rFonts w:eastAsia="Times New Roman"/>
                <w:szCs w:val="24"/>
                <w:lang w:eastAsia="tr-TR"/>
              </w:rPr>
              <w:t>,</w:t>
            </w:r>
            <w:r w:rsidRPr="00A23740">
              <w:rPr>
                <w:rFonts w:eastAsia="Times New Roman"/>
                <w:szCs w:val="24"/>
                <w:lang w:eastAsia="tr-TR"/>
              </w:rPr>
              <w:t xml:space="preserve"> ilgilileri en kısa zamanda duruşmaya çağırır ve gelmeseler bile gereken kararı verir.</w:t>
            </w:r>
            <w:r w:rsidRPr="00A23740">
              <w:rPr>
                <w:rFonts w:eastAsia="ヒラギノ明朝 Pro W3"/>
                <w:b/>
                <w:color w:val="0000FF"/>
                <w:szCs w:val="24"/>
                <w:lang w:eastAsia="tr-TR"/>
              </w:rPr>
              <w:t xml:space="preserve"> </w:t>
            </w:r>
            <w:r w:rsidRPr="00A23740">
              <w:rPr>
                <w:rFonts w:eastAsia="Times New Roman"/>
                <w:szCs w:val="24"/>
                <w:lang w:eastAsia="tr-TR"/>
              </w:rPr>
              <w:t>Duruşmalar ancak zorunluluk h</w:t>
            </w:r>
            <w:r w:rsidR="00726EE8" w:rsidRPr="00A23740">
              <w:rPr>
                <w:rFonts w:eastAsia="Times New Roman"/>
                <w:szCs w:val="24"/>
                <w:lang w:eastAsia="tr-TR"/>
              </w:rPr>
              <w:t>â</w:t>
            </w:r>
            <w:r w:rsidRPr="00A23740">
              <w:rPr>
                <w:rFonts w:eastAsia="Times New Roman"/>
                <w:szCs w:val="24"/>
                <w:lang w:eastAsia="tr-TR"/>
              </w:rPr>
              <w:t>linde ve</w:t>
            </w:r>
            <w:r w:rsidRPr="00A23740">
              <w:rPr>
                <w:rFonts w:eastAsia="ヒラギノ明朝 Pro W3"/>
                <w:b/>
                <w:color w:val="0000FF"/>
                <w:szCs w:val="24"/>
                <w:lang w:eastAsia="tr-TR"/>
              </w:rPr>
              <w:t xml:space="preserve"> </w:t>
            </w:r>
            <w:r w:rsidRPr="00A23740">
              <w:rPr>
                <w:rStyle w:val="MaviChar"/>
              </w:rPr>
              <w:t>bir ayı</w:t>
            </w:r>
            <w:r w:rsidRPr="00A23740">
              <w:rPr>
                <w:rFonts w:eastAsia="Times New Roman"/>
                <w:szCs w:val="24"/>
                <w:lang w:eastAsia="tr-TR"/>
              </w:rPr>
              <w:t xml:space="preserve"> geçmemek üzere ertelenebilir. Duruşma yapılmayan işlerde mahkeme, işin kendisine geldiği</w:t>
            </w:r>
            <w:r w:rsidRPr="00A23740">
              <w:rPr>
                <w:rStyle w:val="MaviChar"/>
                <w:lang w:val="tr-TR"/>
              </w:rPr>
              <w:t>, üçüncü fıkraya göre süre verilen h</w:t>
            </w:r>
            <w:r w:rsidR="00C219C2" w:rsidRPr="00A23740">
              <w:rPr>
                <w:rStyle w:val="MaviChar"/>
                <w:lang w:val="tr-TR"/>
              </w:rPr>
              <w:t>â</w:t>
            </w:r>
            <w:r w:rsidRPr="00A23740">
              <w:rPr>
                <w:rStyle w:val="MaviChar"/>
                <w:lang w:val="tr-TR"/>
              </w:rPr>
              <w:t xml:space="preserve">llerde ise sürenin sona erdiği </w:t>
            </w:r>
            <w:r w:rsidRPr="00A23740">
              <w:rPr>
                <w:rFonts w:eastAsia="Times New Roman"/>
                <w:szCs w:val="24"/>
                <w:lang w:eastAsia="tr-TR"/>
              </w:rPr>
              <w:t>tarihten itibaren en geç</w:t>
            </w:r>
            <w:r w:rsidRPr="00A23740">
              <w:rPr>
                <w:rFonts w:eastAsia="Times New Roman"/>
                <w:b/>
                <w:szCs w:val="24"/>
                <w:lang w:eastAsia="tr-TR"/>
              </w:rPr>
              <w:t xml:space="preserve"> </w:t>
            </w:r>
            <w:r w:rsidRPr="00A23740">
              <w:rPr>
                <w:rStyle w:val="MaviChar"/>
                <w:lang w:val="tr-TR"/>
              </w:rPr>
              <w:t xml:space="preserve">iki </w:t>
            </w:r>
            <w:r w:rsidRPr="00A23740">
              <w:rPr>
                <w:rStyle w:val="MaviChar"/>
              </w:rPr>
              <w:t>hafta</w:t>
            </w:r>
            <w:r w:rsidRPr="00A23740">
              <w:rPr>
                <w:rFonts w:eastAsia="ヒラギノ明朝 Pro W3"/>
                <w:b/>
                <w:color w:val="0000FF"/>
                <w:szCs w:val="24"/>
                <w:lang w:eastAsia="tr-TR"/>
              </w:rPr>
              <w:t xml:space="preserve"> </w:t>
            </w:r>
            <w:r w:rsidRPr="00A23740">
              <w:rPr>
                <w:rFonts w:eastAsia="Times New Roman"/>
                <w:szCs w:val="24"/>
                <w:lang w:eastAsia="tr-TR"/>
              </w:rPr>
              <w:t>içinde</w:t>
            </w:r>
            <w:r w:rsidR="00496B40" w:rsidRPr="00A23740">
              <w:rPr>
                <w:rFonts w:eastAsia="Times New Roman"/>
                <w:szCs w:val="24"/>
                <w:lang w:eastAsia="tr-TR"/>
              </w:rPr>
              <w:t xml:space="preserve"> </w:t>
            </w:r>
            <w:r w:rsidR="00496B40" w:rsidRPr="00A23740">
              <w:rPr>
                <w:rStyle w:val="MaviChar"/>
              </w:rPr>
              <w:t>dosya üzerinden</w:t>
            </w:r>
            <w:r w:rsidRPr="00A23740">
              <w:rPr>
                <w:rFonts w:eastAsia="Times New Roman"/>
                <w:szCs w:val="24"/>
                <w:lang w:eastAsia="tr-TR"/>
              </w:rPr>
              <w:t xml:space="preserve"> kararını verir.</w:t>
            </w:r>
            <w:r w:rsidRPr="00A23740">
              <w:rPr>
                <w:rFonts w:eastAsia="ヒラギノ明朝 Pro W3"/>
                <w:b/>
                <w:color w:val="0000FF"/>
                <w:szCs w:val="24"/>
                <w:lang w:eastAsia="tr-TR"/>
              </w:rPr>
              <w:t xml:space="preserve"> </w:t>
            </w:r>
            <w:r w:rsidRPr="00A23740">
              <w:rPr>
                <w:rStyle w:val="MaviChar"/>
              </w:rPr>
              <w:t>Her iki h</w:t>
            </w:r>
            <w:r w:rsidR="00726EE8" w:rsidRPr="00A23740">
              <w:rPr>
                <w:rStyle w:val="MaviChar"/>
                <w:lang w:val="tr-TR"/>
              </w:rPr>
              <w:t>â</w:t>
            </w:r>
            <w:r w:rsidRPr="00A23740">
              <w:rPr>
                <w:rStyle w:val="MaviChar"/>
              </w:rPr>
              <w:t>lde de mahkeme</w:t>
            </w:r>
            <w:r w:rsidR="00B923FC" w:rsidRPr="00A23740">
              <w:rPr>
                <w:rStyle w:val="MaviChar"/>
                <w:lang w:val="tr-TR"/>
              </w:rPr>
              <w:t>,</w:t>
            </w:r>
            <w:r w:rsidR="00151F3D" w:rsidRPr="00A23740">
              <w:rPr>
                <w:rStyle w:val="MaviChar"/>
              </w:rPr>
              <w:t xml:space="preserve"> şik</w:t>
            </w:r>
            <w:r w:rsidR="00151F3D" w:rsidRPr="00A23740">
              <w:rPr>
                <w:rStyle w:val="MaviChar"/>
                <w:lang w:val="tr-TR"/>
              </w:rPr>
              <w:t>â</w:t>
            </w:r>
            <w:r w:rsidRPr="00A23740">
              <w:rPr>
                <w:rStyle w:val="MaviChar"/>
              </w:rPr>
              <w:t>yet konusu edilen işlemi yapan icra ve iflas dairesinin işlemin gerekçesi hakkında açıklama yapmasına karar verebilir.</w:t>
            </w:r>
          </w:p>
          <w:p w:rsidR="00155AF4" w:rsidRPr="00A23740" w:rsidRDefault="00155AF4" w:rsidP="009431FF">
            <w:pPr>
              <w:rPr>
                <w:rFonts w:eastAsia="ヒラギノ明朝 Pro W3"/>
                <w:color w:val="0000FF"/>
                <w:szCs w:val="24"/>
                <w:lang w:eastAsia="tr-TR"/>
              </w:rPr>
            </w:pPr>
          </w:p>
          <w:p w:rsidR="00155AF4" w:rsidRPr="00A23740" w:rsidRDefault="00155AF4" w:rsidP="009431FF">
            <w:pPr>
              <w:pStyle w:val="Mavi"/>
              <w:rPr>
                <w:lang w:val="tr-TR"/>
              </w:rPr>
            </w:pPr>
            <w:r w:rsidRPr="00A23740">
              <w:rPr>
                <w:lang w:val="tr-TR"/>
              </w:rPr>
              <w:t>(5) Şikâyetin dosya üzerinden incelendiği h</w:t>
            </w:r>
            <w:r w:rsidR="00726EE8" w:rsidRPr="00A23740">
              <w:rPr>
                <w:lang w:val="tr-TR"/>
              </w:rPr>
              <w:t>â</w:t>
            </w:r>
            <w:r w:rsidRPr="00A23740">
              <w:rPr>
                <w:lang w:val="tr-TR"/>
              </w:rPr>
              <w:t>llerde vekâlet ücretine hükmedilmez.</w:t>
            </w:r>
          </w:p>
          <w:p w:rsidR="00155AF4" w:rsidRPr="00A23740" w:rsidRDefault="00155AF4" w:rsidP="009431FF">
            <w:pPr>
              <w:pStyle w:val="AltKonuBal"/>
              <w:rPr>
                <w:lang w:eastAsia="tr-TR"/>
              </w:rPr>
            </w:pPr>
          </w:p>
        </w:tc>
      </w:tr>
      <w:tr w:rsidR="00155AF4" w:rsidRPr="00A23740" w:rsidTr="009431FF">
        <w:tc>
          <w:tcPr>
            <w:tcW w:w="5000" w:type="pct"/>
            <w:gridSpan w:val="2"/>
            <w:shd w:val="clear" w:color="auto" w:fill="DEEAF6"/>
          </w:tcPr>
          <w:p w:rsidR="00B923FC" w:rsidRPr="00A23740" w:rsidRDefault="00B923FC" w:rsidP="009431FF">
            <w:pPr>
              <w:tabs>
                <w:tab w:val="left" w:pos="567"/>
              </w:tabs>
              <w:ind w:firstLine="709"/>
              <w:rPr>
                <w:b/>
                <w:bCs/>
                <w:szCs w:val="24"/>
                <w:lang w:eastAsia="x-none"/>
              </w:rPr>
            </w:pPr>
          </w:p>
          <w:p w:rsidR="00B923FC" w:rsidRPr="00A23740" w:rsidRDefault="00D42F78" w:rsidP="009431FF">
            <w:pPr>
              <w:tabs>
                <w:tab w:val="left" w:pos="567"/>
              </w:tabs>
              <w:ind w:firstLine="709"/>
              <w:rPr>
                <w:szCs w:val="24"/>
                <w:lang w:eastAsia="x-none"/>
              </w:rPr>
            </w:pPr>
            <w:r w:rsidRPr="00A23740">
              <w:rPr>
                <w:b/>
                <w:bCs/>
                <w:szCs w:val="24"/>
                <w:lang w:eastAsia="x-none"/>
              </w:rPr>
              <w:t>MADDE 27</w:t>
            </w:r>
            <w:r w:rsidR="00B923FC" w:rsidRPr="00A23740">
              <w:rPr>
                <w:b/>
                <w:bCs/>
                <w:szCs w:val="24"/>
                <w:lang w:eastAsia="x-none"/>
              </w:rPr>
              <w:t xml:space="preserve">- </w:t>
            </w:r>
            <w:r w:rsidR="00B923FC" w:rsidRPr="00A23740">
              <w:rPr>
                <w:szCs w:val="24"/>
                <w:lang w:eastAsia="x-none"/>
              </w:rPr>
              <w:t>Maddeyle, şikâyet başvurularında uygulanacak yargılama usulü düzenlenmektedir.</w:t>
            </w:r>
          </w:p>
          <w:p w:rsidR="00A523AE" w:rsidRPr="00A23740" w:rsidRDefault="00B923FC" w:rsidP="009431FF">
            <w:pPr>
              <w:tabs>
                <w:tab w:val="left" w:pos="567"/>
              </w:tabs>
              <w:ind w:firstLine="709"/>
              <w:rPr>
                <w:szCs w:val="24"/>
                <w:lang w:eastAsia="x-none"/>
              </w:rPr>
            </w:pPr>
            <w:r w:rsidRPr="00A23740">
              <w:rPr>
                <w:szCs w:val="24"/>
                <w:lang w:eastAsia="x-none"/>
              </w:rPr>
              <w:t xml:space="preserve">Birinci fıkrayla, şikâyet başvurusunun, niteliğine uygun düştüğü ölçüde basit yargılama usulüne göre inceleneceği hükme bağlanmakta ve </w:t>
            </w:r>
            <w:r w:rsidR="001C416B" w:rsidRPr="002B26FC">
              <w:t>şikayet yargılamasının</w:t>
            </w:r>
            <w:r w:rsidR="001C416B" w:rsidRPr="00A23740">
              <w:rPr>
                <w:rStyle w:val="MaviChar"/>
                <w:color w:val="70AD47"/>
                <w:lang w:val="tr-TR"/>
              </w:rPr>
              <w:t xml:space="preserve"> </w:t>
            </w:r>
            <w:r w:rsidRPr="00A23740">
              <w:rPr>
                <w:szCs w:val="24"/>
                <w:lang w:eastAsia="x-none"/>
              </w:rPr>
              <w:t>ivedi işlerden sayılacağı esası kabul edilmektedir.</w:t>
            </w:r>
            <w:r w:rsidR="00894FEC" w:rsidRPr="00A23740">
              <w:rPr>
                <w:szCs w:val="24"/>
                <w:lang w:eastAsia="x-none"/>
              </w:rPr>
              <w:t xml:space="preserve"> Bilim Ko</w:t>
            </w:r>
            <w:r w:rsidR="00A11790" w:rsidRPr="00A23740">
              <w:rPr>
                <w:szCs w:val="24"/>
                <w:lang w:eastAsia="x-none"/>
              </w:rPr>
              <w:t>misyonunda yapılan tartışmalar sonucunda</w:t>
            </w:r>
            <w:r w:rsidRPr="00A23740">
              <w:rPr>
                <w:szCs w:val="24"/>
                <w:lang w:eastAsia="x-none"/>
              </w:rPr>
              <w:t xml:space="preserve">, </w:t>
            </w:r>
            <w:r w:rsidR="002478D4" w:rsidRPr="00A23740">
              <w:rPr>
                <w:bCs/>
                <w:szCs w:val="24"/>
                <w:lang w:eastAsia="x-none"/>
              </w:rPr>
              <w:t>şikâ</w:t>
            </w:r>
            <w:r w:rsidRPr="00A23740">
              <w:rPr>
                <w:bCs/>
                <w:szCs w:val="24"/>
                <w:lang w:eastAsia="x-none"/>
              </w:rPr>
              <w:t xml:space="preserve">yet yargılamasına </w:t>
            </w:r>
            <w:r w:rsidR="00A11790" w:rsidRPr="00A23740">
              <w:rPr>
                <w:bCs/>
                <w:szCs w:val="24"/>
                <w:lang w:eastAsia="x-none"/>
              </w:rPr>
              <w:t xml:space="preserve">özgü ve </w:t>
            </w:r>
            <w:r w:rsidRPr="00A23740">
              <w:rPr>
                <w:bCs/>
                <w:szCs w:val="24"/>
                <w:lang w:eastAsia="x-none"/>
              </w:rPr>
              <w:t xml:space="preserve">özel bir yargılama usulü düzenlemek yerine, </w:t>
            </w:r>
            <w:r w:rsidRPr="00A23740">
              <w:rPr>
                <w:szCs w:val="24"/>
                <w:lang w:eastAsia="x-none"/>
              </w:rPr>
              <w:t xml:space="preserve">2004 sayılı Kanunda </w:t>
            </w:r>
            <w:r w:rsidRPr="00A23740">
              <w:rPr>
                <w:bCs/>
                <w:szCs w:val="24"/>
                <w:lang w:eastAsia="x-none"/>
              </w:rPr>
              <w:t xml:space="preserve">olduğu gibi, basit yargılama usulünün uygulanmasının </w:t>
            </w:r>
            <w:r w:rsidR="00A11790" w:rsidRPr="00A23740">
              <w:rPr>
                <w:bCs/>
                <w:szCs w:val="24"/>
                <w:lang w:eastAsia="x-none"/>
              </w:rPr>
              <w:t>daha uygun olacağı benimsenmekte</w:t>
            </w:r>
            <w:r w:rsidRPr="00A23740">
              <w:rPr>
                <w:bCs/>
                <w:szCs w:val="24"/>
                <w:lang w:eastAsia="x-none"/>
              </w:rPr>
              <w:t>, bu yargılama usulünün şikâyetin hukuki niteliği ile bağdaşması gerektiği de</w:t>
            </w:r>
            <w:r w:rsidR="002478D4" w:rsidRPr="00A23740">
              <w:rPr>
                <w:bCs/>
                <w:szCs w:val="24"/>
                <w:lang w:eastAsia="x-none"/>
              </w:rPr>
              <w:t xml:space="preserve"> nazara alınarak, bu usulün şikâ</w:t>
            </w:r>
            <w:r w:rsidRPr="00A23740">
              <w:rPr>
                <w:bCs/>
                <w:szCs w:val="24"/>
                <w:lang w:eastAsia="x-none"/>
              </w:rPr>
              <w:t xml:space="preserve">yet başvurusunun niteliğine uygun düştüğü takdirde ve ölçüde uygulanacağı kabul edilmektedir. Bu durumda </w:t>
            </w:r>
            <w:r w:rsidR="00A11790" w:rsidRPr="00A23740">
              <w:rPr>
                <w:bCs/>
                <w:szCs w:val="24"/>
                <w:lang w:eastAsia="x-none"/>
              </w:rPr>
              <w:t>mahkemenin</w:t>
            </w:r>
            <w:r w:rsidRPr="00A23740">
              <w:rPr>
                <w:bCs/>
                <w:szCs w:val="24"/>
                <w:lang w:eastAsia="x-none"/>
              </w:rPr>
              <w:t>, önüne gelen olayın özelliklerine uygun düştüğü ölçüde, icra ve iflas dairesi ile lehine işlem tesis edilmiş olan kişi</w:t>
            </w:r>
            <w:r w:rsidR="00A11790" w:rsidRPr="00A23740">
              <w:rPr>
                <w:bCs/>
                <w:szCs w:val="24"/>
                <w:lang w:eastAsia="x-none"/>
              </w:rPr>
              <w:t>ye tebligat yapması gerekmektedir</w:t>
            </w:r>
            <w:r w:rsidRPr="00A23740">
              <w:rPr>
                <w:bCs/>
                <w:szCs w:val="24"/>
                <w:lang w:eastAsia="x-none"/>
              </w:rPr>
              <w:t>.</w:t>
            </w:r>
            <w:r w:rsidR="00A523AE" w:rsidRPr="00A23740">
              <w:rPr>
                <w:bCs/>
                <w:szCs w:val="24"/>
                <w:lang w:eastAsia="x-none"/>
              </w:rPr>
              <w:t xml:space="preserve"> Bu fıkra</w:t>
            </w:r>
            <w:r w:rsidRPr="00A23740">
              <w:rPr>
                <w:bCs/>
                <w:szCs w:val="24"/>
                <w:lang w:eastAsia="x-none"/>
              </w:rPr>
              <w:t>, 2004 sayılı Kanunun 18 inci maddesinin birinci fıkrasına karşılık gelmektedir.</w:t>
            </w:r>
          </w:p>
          <w:p w:rsidR="00B923FC" w:rsidRPr="00A23740" w:rsidRDefault="00B923FC" w:rsidP="009431FF">
            <w:pPr>
              <w:tabs>
                <w:tab w:val="left" w:pos="567"/>
              </w:tabs>
              <w:ind w:firstLine="709"/>
              <w:rPr>
                <w:bCs/>
                <w:szCs w:val="24"/>
                <w:lang w:eastAsia="x-none"/>
              </w:rPr>
            </w:pPr>
            <w:r w:rsidRPr="00A23740">
              <w:rPr>
                <w:szCs w:val="24"/>
                <w:lang w:eastAsia="x-none"/>
              </w:rPr>
              <w:t>İkinci fıkrayla, bir yen</w:t>
            </w:r>
            <w:r w:rsidR="002478D4" w:rsidRPr="00A23740">
              <w:rPr>
                <w:szCs w:val="24"/>
                <w:lang w:eastAsia="x-none"/>
              </w:rPr>
              <w:t>ilik olarak şikâyet edenin, şikâ</w:t>
            </w:r>
            <w:r w:rsidRPr="00A23740">
              <w:rPr>
                <w:szCs w:val="24"/>
                <w:lang w:eastAsia="x-none"/>
              </w:rPr>
              <w:t>yet başvurusunu yaptıktan sonra şik</w:t>
            </w:r>
            <w:r w:rsidR="00407C95" w:rsidRPr="00A23740">
              <w:rPr>
                <w:szCs w:val="24"/>
                <w:lang w:eastAsia="x-none"/>
              </w:rPr>
              <w:t>â</w:t>
            </w:r>
            <w:r w:rsidRPr="00A23740">
              <w:rPr>
                <w:szCs w:val="24"/>
                <w:lang w:eastAsia="x-none"/>
              </w:rPr>
              <w:t xml:space="preserve">yetin konusunu değiştiremeyeceği açıkça hükme bağlanmaktadır. </w:t>
            </w:r>
            <w:r w:rsidR="00A11790" w:rsidRPr="00A23740">
              <w:rPr>
                <w:szCs w:val="24"/>
                <w:lang w:eastAsia="x-none"/>
              </w:rPr>
              <w:t>Fıkrada</w:t>
            </w:r>
            <w:r w:rsidR="002478D4" w:rsidRPr="00A23740">
              <w:rPr>
                <w:szCs w:val="24"/>
                <w:lang w:eastAsia="x-none"/>
              </w:rPr>
              <w:t xml:space="preserve"> geçen “şikâ</w:t>
            </w:r>
            <w:r w:rsidRPr="00A23740">
              <w:rPr>
                <w:szCs w:val="24"/>
                <w:lang w:eastAsia="x-none"/>
              </w:rPr>
              <w:t>yet konusu”nun</w:t>
            </w:r>
            <w:r w:rsidR="00A11790" w:rsidRPr="00A23740">
              <w:rPr>
                <w:szCs w:val="24"/>
                <w:lang w:eastAsia="x-none"/>
              </w:rPr>
              <w:t>,</w:t>
            </w:r>
            <w:r w:rsidR="002478D4" w:rsidRPr="00A23740">
              <w:rPr>
                <w:szCs w:val="24"/>
                <w:lang w:eastAsia="x-none"/>
              </w:rPr>
              <w:t xml:space="preserve"> şikâ</w:t>
            </w:r>
            <w:r w:rsidRPr="00A23740">
              <w:rPr>
                <w:szCs w:val="24"/>
                <w:lang w:eastAsia="x-none"/>
              </w:rPr>
              <w:t>yet edilen işlem olduğu</w:t>
            </w:r>
            <w:r w:rsidR="00A11790" w:rsidRPr="00A23740">
              <w:rPr>
                <w:szCs w:val="24"/>
                <w:lang w:eastAsia="x-none"/>
              </w:rPr>
              <w:t xml:space="preserve"> hususunda</w:t>
            </w:r>
            <w:r w:rsidRPr="00A23740">
              <w:rPr>
                <w:szCs w:val="24"/>
                <w:lang w:eastAsia="x-none"/>
              </w:rPr>
              <w:t xml:space="preserve"> şüphe bulunmamaktadır. Yine şik</w:t>
            </w:r>
            <w:r w:rsidR="00407C95" w:rsidRPr="00A23740">
              <w:rPr>
                <w:szCs w:val="24"/>
                <w:lang w:eastAsia="x-none"/>
              </w:rPr>
              <w:t>â</w:t>
            </w:r>
            <w:r w:rsidRPr="00A23740">
              <w:rPr>
                <w:szCs w:val="24"/>
                <w:lang w:eastAsia="x-none"/>
              </w:rPr>
              <w:t>yet konusunu değiştirme yasağına tabi</w:t>
            </w:r>
            <w:r w:rsidR="002478D4" w:rsidRPr="00A23740">
              <w:rPr>
                <w:szCs w:val="24"/>
                <w:lang w:eastAsia="x-none"/>
              </w:rPr>
              <w:t xml:space="preserve"> olan kişi, şüphesizdir ki, şikâ</w:t>
            </w:r>
            <w:r w:rsidRPr="00A23740">
              <w:rPr>
                <w:szCs w:val="24"/>
                <w:lang w:eastAsia="x-none"/>
              </w:rPr>
              <w:t xml:space="preserve">yet başvurusunda bulunmuş olan kişi olmaktadır. Fıkrada ayrıca, </w:t>
            </w:r>
            <w:r w:rsidRPr="00A23740">
              <w:rPr>
                <w:bCs/>
                <w:szCs w:val="24"/>
                <w:lang w:eastAsia="x-none"/>
              </w:rPr>
              <w:t>30 uncu madde hükmünün saklı olduğu</w:t>
            </w:r>
            <w:r w:rsidR="00A11790" w:rsidRPr="00A23740">
              <w:rPr>
                <w:bCs/>
                <w:szCs w:val="24"/>
                <w:lang w:eastAsia="x-none"/>
              </w:rPr>
              <w:t xml:space="preserve"> da</w:t>
            </w:r>
            <w:r w:rsidRPr="00A23740">
              <w:rPr>
                <w:bCs/>
                <w:szCs w:val="24"/>
                <w:lang w:eastAsia="x-none"/>
              </w:rPr>
              <w:t xml:space="preserve"> belirtilm</w:t>
            </w:r>
            <w:r w:rsidR="00894FEC" w:rsidRPr="00A23740">
              <w:rPr>
                <w:bCs/>
                <w:szCs w:val="24"/>
                <w:lang w:eastAsia="x-none"/>
              </w:rPr>
              <w:t>ektedir</w:t>
            </w:r>
            <w:r w:rsidRPr="00A23740">
              <w:rPr>
                <w:bCs/>
                <w:szCs w:val="24"/>
                <w:lang w:eastAsia="x-none"/>
              </w:rPr>
              <w:t>. Hüküm uyarınca, kamu yararına konulmuş hükümler ile takibin tarafı olmayan kişilerin yararını korumak amacıyla konulmuş emredici hükümler söz konusu olduğunda, bu fıkrada düzenlenen şik</w:t>
            </w:r>
            <w:r w:rsidR="00407C95" w:rsidRPr="00A23740">
              <w:rPr>
                <w:bCs/>
                <w:szCs w:val="24"/>
                <w:lang w:eastAsia="x-none"/>
              </w:rPr>
              <w:t>â</w:t>
            </w:r>
            <w:r w:rsidRPr="00A23740">
              <w:rPr>
                <w:bCs/>
                <w:szCs w:val="24"/>
                <w:lang w:eastAsia="x-none"/>
              </w:rPr>
              <w:t>yetin konusunu değiştir</w:t>
            </w:r>
            <w:r w:rsidR="00875BC9" w:rsidRPr="00A23740">
              <w:rPr>
                <w:bCs/>
                <w:szCs w:val="24"/>
                <w:lang w:eastAsia="x-none"/>
              </w:rPr>
              <w:t>me yasağı artık geçerli olmaz</w:t>
            </w:r>
            <w:r w:rsidRPr="00A23740">
              <w:rPr>
                <w:bCs/>
                <w:szCs w:val="24"/>
                <w:lang w:eastAsia="x-none"/>
              </w:rPr>
              <w:t>. Zira 30 uncu maddede, kamu yararına konulmuş hükümler ile takibin tarafı olmayan kişilerin yararını korumak için konulmuş emredici hükümlere aykırı işlemler için hükü</w:t>
            </w:r>
            <w:r w:rsidR="002478D4" w:rsidRPr="00A23740">
              <w:rPr>
                <w:bCs/>
                <w:szCs w:val="24"/>
                <w:lang w:eastAsia="x-none"/>
              </w:rPr>
              <w:t>m</w:t>
            </w:r>
            <w:r w:rsidRPr="00A23740">
              <w:rPr>
                <w:bCs/>
                <w:szCs w:val="24"/>
                <w:lang w:eastAsia="x-none"/>
              </w:rPr>
              <w:t>süzlük yaptırı</w:t>
            </w:r>
            <w:r w:rsidR="002478D4" w:rsidRPr="00A23740">
              <w:rPr>
                <w:bCs/>
                <w:szCs w:val="24"/>
                <w:lang w:eastAsia="x-none"/>
              </w:rPr>
              <w:t>mı öngö</w:t>
            </w:r>
            <w:r w:rsidR="005D3223" w:rsidRPr="00A23740">
              <w:rPr>
                <w:bCs/>
                <w:szCs w:val="24"/>
                <w:lang w:eastAsia="x-none"/>
              </w:rPr>
              <w:t>rü</w:t>
            </w:r>
            <w:r w:rsidR="002478D4" w:rsidRPr="00A23740">
              <w:rPr>
                <w:bCs/>
                <w:szCs w:val="24"/>
                <w:lang w:eastAsia="x-none"/>
              </w:rPr>
              <w:t>lmektedir. Bu h</w:t>
            </w:r>
            <w:r w:rsidR="00726EE8" w:rsidRPr="00A23740">
              <w:rPr>
                <w:bCs/>
                <w:szCs w:val="24"/>
                <w:lang w:eastAsia="x-none"/>
              </w:rPr>
              <w:t>â</w:t>
            </w:r>
            <w:r w:rsidR="002478D4" w:rsidRPr="00A23740">
              <w:rPr>
                <w:bCs/>
                <w:szCs w:val="24"/>
                <w:lang w:eastAsia="x-none"/>
              </w:rPr>
              <w:t>lde, şikâ</w:t>
            </w:r>
            <w:r w:rsidRPr="00A23740">
              <w:rPr>
                <w:bCs/>
                <w:szCs w:val="24"/>
                <w:lang w:eastAsia="x-none"/>
              </w:rPr>
              <w:t>yet konusu yapılmamış olsa bile mahkeme, hükümsüzlüğü her zaman talep üzerine veya resen dikkate alabil</w:t>
            </w:r>
            <w:r w:rsidR="00875BC9" w:rsidRPr="00A23740">
              <w:rPr>
                <w:bCs/>
                <w:szCs w:val="24"/>
                <w:lang w:eastAsia="x-none"/>
              </w:rPr>
              <w:t>ir</w:t>
            </w:r>
            <w:r w:rsidRPr="00A23740">
              <w:rPr>
                <w:bCs/>
                <w:szCs w:val="24"/>
                <w:lang w:eastAsia="x-none"/>
              </w:rPr>
              <w:t>.</w:t>
            </w:r>
          </w:p>
          <w:p w:rsidR="00775F1B" w:rsidRPr="00A23740" w:rsidRDefault="00B923FC" w:rsidP="009431FF">
            <w:pPr>
              <w:tabs>
                <w:tab w:val="left" w:pos="567"/>
              </w:tabs>
              <w:ind w:firstLine="709"/>
              <w:rPr>
                <w:szCs w:val="24"/>
                <w:lang w:eastAsia="x-none"/>
              </w:rPr>
            </w:pPr>
            <w:r w:rsidRPr="00A23740">
              <w:rPr>
                <w:szCs w:val="24"/>
                <w:lang w:eastAsia="x-none"/>
              </w:rPr>
              <w:t xml:space="preserve">Üçüncü fıkrayla, bir yenilik olarak, yazılı </w:t>
            </w:r>
            <w:r w:rsidR="005D3223" w:rsidRPr="00A23740">
              <w:rPr>
                <w:szCs w:val="24"/>
                <w:lang w:eastAsia="x-none"/>
              </w:rPr>
              <w:t xml:space="preserve">şekilde </w:t>
            </w:r>
            <w:r w:rsidR="002478D4" w:rsidRPr="00A23740">
              <w:rPr>
                <w:szCs w:val="24"/>
                <w:lang w:eastAsia="x-none"/>
              </w:rPr>
              <w:t>cevap vermeleri için şikâ</w:t>
            </w:r>
            <w:r w:rsidRPr="00A23740">
              <w:rPr>
                <w:szCs w:val="24"/>
                <w:lang w:eastAsia="x-none"/>
              </w:rPr>
              <w:t>yetin ilgi</w:t>
            </w:r>
            <w:r w:rsidR="00151F3D" w:rsidRPr="00A23740">
              <w:rPr>
                <w:szCs w:val="24"/>
                <w:lang w:eastAsia="x-none"/>
              </w:rPr>
              <w:t>li</w:t>
            </w:r>
            <w:r w:rsidRPr="00A23740">
              <w:rPr>
                <w:szCs w:val="24"/>
                <w:lang w:eastAsia="x-none"/>
              </w:rPr>
              <w:t xml:space="preserve">lere tebliğ </w:t>
            </w:r>
            <w:r w:rsidR="005D3223" w:rsidRPr="00A23740">
              <w:rPr>
                <w:szCs w:val="24"/>
                <w:lang w:eastAsia="x-none"/>
              </w:rPr>
              <w:t>edilmesi öngörülmektedir</w:t>
            </w:r>
            <w:r w:rsidRPr="00A23740">
              <w:rPr>
                <w:szCs w:val="24"/>
                <w:lang w:eastAsia="x-none"/>
              </w:rPr>
              <w:t>.</w:t>
            </w:r>
            <w:r w:rsidR="00A317C2" w:rsidRPr="00A23740">
              <w:rPr>
                <w:szCs w:val="24"/>
                <w:lang w:eastAsia="x-none"/>
              </w:rPr>
              <w:t xml:space="preserve"> Bilim Komisyonunda yapılan uzun tartışmalar sonucunda</w:t>
            </w:r>
            <w:r w:rsidRPr="00A23740">
              <w:rPr>
                <w:szCs w:val="24"/>
                <w:lang w:eastAsia="x-none"/>
              </w:rPr>
              <w:t>, mahkemenin</w:t>
            </w:r>
            <w:r w:rsidR="00151F3D" w:rsidRPr="00A23740">
              <w:rPr>
                <w:szCs w:val="24"/>
                <w:lang w:eastAsia="x-none"/>
              </w:rPr>
              <w:t>;</w:t>
            </w:r>
            <w:r w:rsidRPr="00A23740">
              <w:rPr>
                <w:b/>
                <w:lang w:eastAsia="x-none"/>
              </w:rPr>
              <w:t xml:space="preserve"> </w:t>
            </w:r>
            <w:r w:rsidR="00151F3D" w:rsidRPr="00A23740">
              <w:rPr>
                <w:szCs w:val="24"/>
                <w:lang w:eastAsia="x-none"/>
              </w:rPr>
              <w:t xml:space="preserve">ilgililerin </w:t>
            </w:r>
            <w:r w:rsidRPr="00A23740">
              <w:rPr>
                <w:szCs w:val="24"/>
                <w:lang w:eastAsia="x-none"/>
              </w:rPr>
              <w:t>haklarının korunması için gerekli görmesi h</w:t>
            </w:r>
            <w:r w:rsidR="00726EE8" w:rsidRPr="00A23740">
              <w:rPr>
                <w:szCs w:val="24"/>
                <w:lang w:eastAsia="x-none"/>
              </w:rPr>
              <w:t>â</w:t>
            </w:r>
            <w:r w:rsidRPr="00A23740">
              <w:rPr>
                <w:szCs w:val="24"/>
                <w:lang w:eastAsia="x-none"/>
              </w:rPr>
              <w:t>linde, diğer bir ifadeyle şik</w:t>
            </w:r>
            <w:r w:rsidR="00407C95" w:rsidRPr="00A23740">
              <w:rPr>
                <w:szCs w:val="24"/>
                <w:lang w:eastAsia="x-none"/>
              </w:rPr>
              <w:t>â</w:t>
            </w:r>
            <w:r w:rsidRPr="00A23740">
              <w:rPr>
                <w:szCs w:val="24"/>
                <w:lang w:eastAsia="x-none"/>
              </w:rPr>
              <w:t xml:space="preserve">yet konusu olayın </w:t>
            </w:r>
            <w:r w:rsidR="00151F3D" w:rsidRPr="00A23740">
              <w:rPr>
                <w:szCs w:val="24"/>
                <w:lang w:eastAsia="x-none"/>
              </w:rPr>
              <w:t>özelliklerine uygun düştüğü takd</w:t>
            </w:r>
            <w:r w:rsidRPr="00A23740">
              <w:rPr>
                <w:szCs w:val="24"/>
                <w:lang w:eastAsia="x-none"/>
              </w:rPr>
              <w:t>irde, yazılı olarak cevap vermeleri iç</w:t>
            </w:r>
            <w:r w:rsidR="002478D4" w:rsidRPr="00A23740">
              <w:rPr>
                <w:szCs w:val="24"/>
                <w:lang w:eastAsia="x-none"/>
              </w:rPr>
              <w:t>in bir süre de belirleyerek şikâ</w:t>
            </w:r>
            <w:r w:rsidRPr="00A23740">
              <w:rPr>
                <w:szCs w:val="24"/>
                <w:lang w:eastAsia="x-none"/>
              </w:rPr>
              <w:t>yeti, ilgililere tebliğ etmesi</w:t>
            </w:r>
            <w:r w:rsidR="00A317C2" w:rsidRPr="00A23740">
              <w:rPr>
                <w:szCs w:val="24"/>
                <w:lang w:eastAsia="x-none"/>
              </w:rPr>
              <w:t xml:space="preserve"> esası kabul edilmektedir.</w:t>
            </w:r>
            <w:r w:rsidRPr="00A23740">
              <w:rPr>
                <w:szCs w:val="24"/>
                <w:lang w:eastAsia="x-none"/>
              </w:rPr>
              <w:t xml:space="preserve"> </w:t>
            </w:r>
            <w:r w:rsidR="005D3223" w:rsidRPr="00A23740">
              <w:rPr>
                <w:szCs w:val="24"/>
                <w:lang w:eastAsia="x-none"/>
              </w:rPr>
              <w:t>“</w:t>
            </w:r>
            <w:r w:rsidR="00875BC9" w:rsidRPr="00A23740">
              <w:rPr>
                <w:szCs w:val="24"/>
                <w:lang w:eastAsia="x-none"/>
              </w:rPr>
              <w:t>İlgililer</w:t>
            </w:r>
            <w:r w:rsidR="005D3223" w:rsidRPr="00A23740">
              <w:rPr>
                <w:szCs w:val="24"/>
                <w:lang w:eastAsia="x-none"/>
              </w:rPr>
              <w:t>”</w:t>
            </w:r>
            <w:r w:rsidR="00875BC9" w:rsidRPr="00A23740">
              <w:rPr>
                <w:szCs w:val="24"/>
                <w:lang w:eastAsia="x-none"/>
              </w:rPr>
              <w:t xml:space="preserve"> </w:t>
            </w:r>
            <w:r w:rsidRPr="00A23740">
              <w:rPr>
                <w:szCs w:val="24"/>
                <w:lang w:eastAsia="x-none"/>
              </w:rPr>
              <w:t>ibaresi</w:t>
            </w:r>
            <w:r w:rsidR="00775F1B" w:rsidRPr="00A23740">
              <w:rPr>
                <w:szCs w:val="24"/>
                <w:lang w:eastAsia="x-none"/>
              </w:rPr>
              <w:t>y</w:t>
            </w:r>
            <w:r w:rsidRPr="00A23740">
              <w:rPr>
                <w:szCs w:val="24"/>
                <w:lang w:eastAsia="x-none"/>
              </w:rPr>
              <w:t>le</w:t>
            </w:r>
            <w:r w:rsidR="00875BC9" w:rsidRPr="00A23740">
              <w:rPr>
                <w:szCs w:val="24"/>
                <w:lang w:eastAsia="x-none"/>
              </w:rPr>
              <w:t>,</w:t>
            </w:r>
            <w:r w:rsidRPr="00A23740">
              <w:rPr>
                <w:szCs w:val="24"/>
                <w:lang w:eastAsia="x-none"/>
              </w:rPr>
              <w:t xml:space="preserve"> icra </w:t>
            </w:r>
            <w:r w:rsidR="002478D4" w:rsidRPr="00A23740">
              <w:rPr>
                <w:szCs w:val="24"/>
                <w:lang w:eastAsia="x-none"/>
              </w:rPr>
              <w:t>ve iflas dairesi ile lehine şikâ</w:t>
            </w:r>
            <w:r w:rsidRPr="00A23740">
              <w:rPr>
                <w:szCs w:val="24"/>
                <w:lang w:eastAsia="x-none"/>
              </w:rPr>
              <w:t>yet konusu işlem yapılan kişiler kastedilmektedir. Bu</w:t>
            </w:r>
            <w:r w:rsidR="00875BC9" w:rsidRPr="00A23740">
              <w:rPr>
                <w:szCs w:val="24"/>
                <w:lang w:eastAsia="x-none"/>
              </w:rPr>
              <w:t xml:space="preserve"> kapsamda</w:t>
            </w:r>
            <w:r w:rsidR="002478D4" w:rsidRPr="00A23740">
              <w:rPr>
                <w:szCs w:val="24"/>
                <w:lang w:eastAsia="x-none"/>
              </w:rPr>
              <w:t xml:space="preserve"> şikâ</w:t>
            </w:r>
            <w:r w:rsidRPr="00A23740">
              <w:rPr>
                <w:szCs w:val="24"/>
                <w:lang w:eastAsia="x-none"/>
              </w:rPr>
              <w:t xml:space="preserve">yet ilgililere tebliğ edilerek verilen süre içinde cevap vermeleri beklenecek, verilen süre geçtikten veya cevap verildikten sonra </w:t>
            </w:r>
            <w:r w:rsidR="00875BC9" w:rsidRPr="00A23740">
              <w:rPr>
                <w:szCs w:val="24"/>
                <w:lang w:eastAsia="x-none"/>
              </w:rPr>
              <w:t>mahkeme</w:t>
            </w:r>
            <w:r w:rsidRPr="00A23740">
              <w:rPr>
                <w:szCs w:val="24"/>
                <w:lang w:eastAsia="x-none"/>
              </w:rPr>
              <w:t xml:space="preserve"> gereken kararı verecektir. Ayrıca, c</w:t>
            </w:r>
            <w:r w:rsidRPr="00A23740">
              <w:rPr>
                <w:bCs/>
                <w:szCs w:val="24"/>
                <w:lang w:eastAsia="x-none"/>
              </w:rPr>
              <w:t>evabın mahkemenin vereceği süre için</w:t>
            </w:r>
            <w:r w:rsidR="00875BC9" w:rsidRPr="00A23740">
              <w:rPr>
                <w:bCs/>
                <w:szCs w:val="24"/>
                <w:lang w:eastAsia="x-none"/>
              </w:rPr>
              <w:t>de</w:t>
            </w:r>
            <w:r w:rsidRPr="00A23740">
              <w:rPr>
                <w:bCs/>
                <w:szCs w:val="24"/>
                <w:lang w:eastAsia="x-none"/>
              </w:rPr>
              <w:t xml:space="preserve"> mahkeme</w:t>
            </w:r>
            <w:r w:rsidR="00875BC9" w:rsidRPr="00A23740">
              <w:rPr>
                <w:bCs/>
                <w:szCs w:val="24"/>
                <w:lang w:eastAsia="x-none"/>
              </w:rPr>
              <w:t>y</w:t>
            </w:r>
            <w:r w:rsidRPr="00A23740">
              <w:rPr>
                <w:bCs/>
                <w:szCs w:val="24"/>
                <w:lang w:eastAsia="x-none"/>
              </w:rPr>
              <w:t xml:space="preserve">e ulaşması gerekmektedir. Aksi takdirde, ivedilik arz eden ve zaten yapılan bildirimle (tebligatla) yavaşlayan prosedürün daha da yavaşlaması söz konusu olacaktır ki, bu durumun icra hukukunda korunması gereken süratle bağdaştırılması mümkün değildir. </w:t>
            </w:r>
            <w:r w:rsidR="00875BC9" w:rsidRPr="00A23740">
              <w:rPr>
                <w:szCs w:val="24"/>
                <w:lang w:eastAsia="x-none"/>
              </w:rPr>
              <w:t>Mahkeme</w:t>
            </w:r>
            <w:r w:rsidR="00A317C2" w:rsidRPr="00A23740">
              <w:rPr>
                <w:szCs w:val="24"/>
                <w:lang w:eastAsia="x-none"/>
              </w:rPr>
              <w:t>, hakların</w:t>
            </w:r>
            <w:r w:rsidR="00875BC9" w:rsidRPr="00A23740">
              <w:rPr>
                <w:szCs w:val="24"/>
                <w:lang w:eastAsia="x-none"/>
              </w:rPr>
              <w:t>ın</w:t>
            </w:r>
            <w:r w:rsidRPr="00A23740">
              <w:rPr>
                <w:szCs w:val="24"/>
                <w:lang w:eastAsia="x-none"/>
              </w:rPr>
              <w:t xml:space="preserve"> korunması ve işin niteliği</w:t>
            </w:r>
            <w:r w:rsidR="00875BC9" w:rsidRPr="00A23740">
              <w:rPr>
                <w:szCs w:val="24"/>
                <w:lang w:eastAsia="x-none"/>
              </w:rPr>
              <w:t xml:space="preserve"> </w:t>
            </w:r>
            <w:r w:rsidR="002478D4" w:rsidRPr="00A23740">
              <w:rPr>
                <w:szCs w:val="24"/>
                <w:lang w:eastAsia="x-none"/>
              </w:rPr>
              <w:t>şikâ</w:t>
            </w:r>
            <w:r w:rsidRPr="00A23740">
              <w:rPr>
                <w:szCs w:val="24"/>
                <w:lang w:eastAsia="x-none"/>
              </w:rPr>
              <w:t>yet dilekçesinin</w:t>
            </w:r>
            <w:r w:rsidR="00875BC9" w:rsidRPr="00A23740">
              <w:rPr>
                <w:szCs w:val="24"/>
                <w:lang w:eastAsia="x-none"/>
              </w:rPr>
              <w:t xml:space="preserve"> ilgililere</w:t>
            </w:r>
            <w:r w:rsidRPr="00A23740">
              <w:rPr>
                <w:szCs w:val="24"/>
                <w:lang w:eastAsia="x-none"/>
              </w:rPr>
              <w:t xml:space="preserve"> tebliğini gerekli kılmıyorsa, tebliğ işlemini yapmadan dosya üzerinden yapacağı inceleme sonucunda karar vere</w:t>
            </w:r>
            <w:r w:rsidR="00775F1B" w:rsidRPr="00A23740">
              <w:rPr>
                <w:szCs w:val="24"/>
                <w:lang w:eastAsia="x-none"/>
              </w:rPr>
              <w:t>bil</w:t>
            </w:r>
            <w:r w:rsidR="00875BC9" w:rsidRPr="00A23740">
              <w:rPr>
                <w:szCs w:val="24"/>
                <w:lang w:eastAsia="x-none"/>
              </w:rPr>
              <w:t>ir</w:t>
            </w:r>
            <w:r w:rsidRPr="00A23740">
              <w:rPr>
                <w:szCs w:val="24"/>
                <w:lang w:eastAsia="x-none"/>
              </w:rPr>
              <w:t>.</w:t>
            </w:r>
          </w:p>
          <w:p w:rsidR="00B923FC" w:rsidRPr="00A23740" w:rsidRDefault="00B923FC" w:rsidP="009431FF">
            <w:pPr>
              <w:tabs>
                <w:tab w:val="left" w:pos="567"/>
              </w:tabs>
              <w:ind w:firstLine="709"/>
              <w:rPr>
                <w:bCs/>
                <w:szCs w:val="24"/>
                <w:lang w:eastAsia="x-none"/>
              </w:rPr>
            </w:pPr>
            <w:r w:rsidRPr="00A23740">
              <w:rPr>
                <w:szCs w:val="24"/>
                <w:lang w:eastAsia="x-none"/>
              </w:rPr>
              <w:t>Dördüncü</w:t>
            </w:r>
            <w:r w:rsidR="005D3223" w:rsidRPr="00A23740">
              <w:rPr>
                <w:szCs w:val="24"/>
                <w:lang w:eastAsia="x-none"/>
              </w:rPr>
              <w:t>fıkrada</w:t>
            </w:r>
            <w:r w:rsidRPr="00A23740">
              <w:rPr>
                <w:szCs w:val="24"/>
                <w:lang w:eastAsia="x-none"/>
              </w:rPr>
              <w:t xml:space="preserve">, mahkemenin duruşma yapılıp yapılmamasına karar vermesi ile hangi süre içinde karar vermesi gerektiği hususları hükme bağlanmaktadır. </w:t>
            </w:r>
            <w:r w:rsidR="00A317C2" w:rsidRPr="00A23740">
              <w:rPr>
                <w:szCs w:val="24"/>
                <w:lang w:eastAsia="x-none"/>
              </w:rPr>
              <w:t>Buna</w:t>
            </w:r>
            <w:r w:rsidR="002478D4" w:rsidRPr="00A23740">
              <w:rPr>
                <w:szCs w:val="24"/>
                <w:lang w:eastAsia="x-none"/>
              </w:rPr>
              <w:t xml:space="preserve"> göre, şikâ</w:t>
            </w:r>
            <w:r w:rsidRPr="00A23740">
              <w:rPr>
                <w:szCs w:val="24"/>
                <w:lang w:eastAsia="x-none"/>
              </w:rPr>
              <w:t>yet başvurusunu alan mahkeme</w:t>
            </w:r>
            <w:r w:rsidRPr="00A23740">
              <w:rPr>
                <w:bCs/>
                <w:szCs w:val="24"/>
                <w:lang w:eastAsia="x-none"/>
              </w:rPr>
              <w:t>, aksine hüküm bulunmayan h</w:t>
            </w:r>
            <w:r w:rsidR="00C219C2" w:rsidRPr="00A23740">
              <w:rPr>
                <w:bCs/>
                <w:szCs w:val="24"/>
                <w:lang w:eastAsia="x-none"/>
              </w:rPr>
              <w:t>â</w:t>
            </w:r>
            <w:r w:rsidRPr="00A23740">
              <w:rPr>
                <w:bCs/>
                <w:szCs w:val="24"/>
                <w:lang w:eastAsia="x-none"/>
              </w:rPr>
              <w:t xml:space="preserve">llerde öncelikle </w:t>
            </w:r>
            <w:r w:rsidRPr="00A23740">
              <w:rPr>
                <w:szCs w:val="24"/>
                <w:lang w:eastAsia="x-none"/>
              </w:rPr>
              <w:t xml:space="preserve">takip dosyasının içeriğine </w:t>
            </w:r>
            <w:r w:rsidRPr="00A23740">
              <w:rPr>
                <w:szCs w:val="24"/>
                <w:lang w:eastAsia="x-none"/>
              </w:rPr>
              <w:lastRenderedPageBreak/>
              <w:t xml:space="preserve">ve delillere göre </w:t>
            </w:r>
            <w:r w:rsidRPr="00A23740">
              <w:rPr>
                <w:szCs w:val="24"/>
                <w:lang w:val="x-none" w:eastAsia="x-none"/>
              </w:rPr>
              <w:t>duruşma yapılıp yapılmamasına karar</w:t>
            </w:r>
            <w:r w:rsidRPr="00A23740">
              <w:rPr>
                <w:bCs/>
                <w:szCs w:val="24"/>
                <w:lang w:eastAsia="x-none"/>
              </w:rPr>
              <w:t xml:space="preserve"> </w:t>
            </w:r>
            <w:r w:rsidRPr="00A23740">
              <w:rPr>
                <w:szCs w:val="24"/>
                <w:lang w:eastAsia="x-none"/>
              </w:rPr>
              <w:t>ver</w:t>
            </w:r>
            <w:r w:rsidR="00A317C2" w:rsidRPr="00A23740">
              <w:rPr>
                <w:szCs w:val="24"/>
                <w:lang w:val="x-none" w:eastAsia="x-none"/>
              </w:rPr>
              <w:t>ir</w:t>
            </w:r>
            <w:r w:rsidRPr="00A23740">
              <w:rPr>
                <w:szCs w:val="24"/>
                <w:lang w:val="x-none" w:eastAsia="x-none"/>
              </w:rPr>
              <w:t>. Mahkeme</w:t>
            </w:r>
            <w:r w:rsidR="00A317C2" w:rsidRPr="00A23740">
              <w:rPr>
                <w:szCs w:val="24"/>
                <w:lang w:eastAsia="x-none"/>
              </w:rPr>
              <w:t>,</w:t>
            </w:r>
            <w:r w:rsidRPr="00A23740">
              <w:rPr>
                <w:szCs w:val="24"/>
                <w:lang w:val="x-none" w:eastAsia="x-none"/>
              </w:rPr>
              <w:t xml:space="preserve"> d</w:t>
            </w:r>
            <w:r w:rsidRPr="00A23740">
              <w:rPr>
                <w:bCs/>
                <w:szCs w:val="24"/>
                <w:lang w:eastAsia="x-none"/>
              </w:rPr>
              <w:t>uruşma yapılmasın</w:t>
            </w:r>
            <w:r w:rsidRPr="00A23740">
              <w:rPr>
                <w:szCs w:val="24"/>
                <w:lang w:val="x-none" w:eastAsia="x-none"/>
              </w:rPr>
              <w:t xml:space="preserve">a karar </w:t>
            </w:r>
            <w:r w:rsidRPr="00A23740">
              <w:rPr>
                <w:szCs w:val="24"/>
                <w:lang w:eastAsia="x-none"/>
              </w:rPr>
              <w:t>verdiği</w:t>
            </w:r>
            <w:r w:rsidRPr="00A23740">
              <w:rPr>
                <w:bCs/>
                <w:szCs w:val="24"/>
                <w:lang w:eastAsia="x-none"/>
              </w:rPr>
              <w:t xml:space="preserve"> takdirde, ilgilileri en kısa zamanda duruşmaya çağı</w:t>
            </w:r>
            <w:r w:rsidR="00875BC9" w:rsidRPr="00A23740">
              <w:rPr>
                <w:bCs/>
                <w:szCs w:val="24"/>
                <w:lang w:eastAsia="x-none"/>
              </w:rPr>
              <w:t>rarak</w:t>
            </w:r>
            <w:r w:rsidRPr="00A23740">
              <w:rPr>
                <w:bCs/>
                <w:szCs w:val="24"/>
                <w:lang w:eastAsia="x-none"/>
              </w:rPr>
              <w:t xml:space="preserve"> gelmesele</w:t>
            </w:r>
            <w:r w:rsidR="00A317C2" w:rsidRPr="00A23740">
              <w:rPr>
                <w:bCs/>
                <w:szCs w:val="24"/>
                <w:lang w:eastAsia="x-none"/>
              </w:rPr>
              <w:t xml:space="preserve">r bile gereken </w:t>
            </w:r>
            <w:r w:rsidR="005D3223" w:rsidRPr="00A23740">
              <w:rPr>
                <w:bCs/>
                <w:szCs w:val="24"/>
                <w:lang w:eastAsia="x-none"/>
              </w:rPr>
              <w:t xml:space="preserve">kararı </w:t>
            </w:r>
            <w:r w:rsidR="00A317C2" w:rsidRPr="00A23740">
              <w:rPr>
                <w:bCs/>
                <w:szCs w:val="24"/>
                <w:lang w:eastAsia="x-none"/>
              </w:rPr>
              <w:t>verir</w:t>
            </w:r>
            <w:r w:rsidRPr="00A23740">
              <w:rPr>
                <w:bCs/>
                <w:szCs w:val="24"/>
                <w:lang w:eastAsia="x-none"/>
              </w:rPr>
              <w:t>. Duruşmalar, ancak zorunluluk h</w:t>
            </w:r>
            <w:r w:rsidR="00726EE8" w:rsidRPr="00A23740">
              <w:rPr>
                <w:bCs/>
                <w:szCs w:val="24"/>
                <w:lang w:eastAsia="x-none"/>
              </w:rPr>
              <w:t>â</w:t>
            </w:r>
            <w:r w:rsidRPr="00A23740">
              <w:rPr>
                <w:bCs/>
                <w:szCs w:val="24"/>
                <w:lang w:eastAsia="x-none"/>
              </w:rPr>
              <w:t xml:space="preserve">linde ve </w:t>
            </w:r>
            <w:r w:rsidRPr="00A23740">
              <w:rPr>
                <w:szCs w:val="24"/>
                <w:lang w:eastAsia="x-none"/>
              </w:rPr>
              <w:t>bir ayı</w:t>
            </w:r>
            <w:r w:rsidRPr="00A23740">
              <w:rPr>
                <w:bCs/>
                <w:szCs w:val="24"/>
                <w:lang w:eastAsia="x-none"/>
              </w:rPr>
              <w:t xml:space="preserve"> geçmemek üzere ertelenebilir. Duruşma yapılmayan işlerde mahkemenin, işin kendisine geldiği</w:t>
            </w:r>
            <w:r w:rsidRPr="00A23740">
              <w:rPr>
                <w:szCs w:val="24"/>
                <w:lang w:val="x-none" w:eastAsia="x-none"/>
              </w:rPr>
              <w:t>, üçüncü fıkraya göre süre verilen h</w:t>
            </w:r>
            <w:r w:rsidR="00726EE8" w:rsidRPr="00A23740">
              <w:rPr>
                <w:szCs w:val="24"/>
                <w:lang w:eastAsia="x-none"/>
              </w:rPr>
              <w:t>â</w:t>
            </w:r>
            <w:r w:rsidRPr="00A23740">
              <w:rPr>
                <w:szCs w:val="24"/>
                <w:lang w:val="x-none" w:eastAsia="x-none"/>
              </w:rPr>
              <w:t xml:space="preserve">llerde ise sürenin sona erdiği </w:t>
            </w:r>
            <w:r w:rsidRPr="00A23740">
              <w:rPr>
                <w:bCs/>
                <w:szCs w:val="24"/>
                <w:lang w:eastAsia="x-none"/>
              </w:rPr>
              <w:t xml:space="preserve">tarihten itibaren en geç </w:t>
            </w:r>
            <w:r w:rsidRPr="00A23740">
              <w:rPr>
                <w:szCs w:val="24"/>
                <w:lang w:val="x-none" w:eastAsia="x-none"/>
              </w:rPr>
              <w:t xml:space="preserve">iki </w:t>
            </w:r>
            <w:r w:rsidRPr="00A23740">
              <w:rPr>
                <w:szCs w:val="24"/>
                <w:lang w:eastAsia="x-none"/>
              </w:rPr>
              <w:t>hafta</w:t>
            </w:r>
            <w:r w:rsidRPr="00A23740">
              <w:rPr>
                <w:bCs/>
                <w:szCs w:val="24"/>
                <w:lang w:eastAsia="x-none"/>
              </w:rPr>
              <w:t xml:space="preserve"> içinde kararını vermesi gerekmektedir. Ayrıca </w:t>
            </w:r>
            <w:r w:rsidRPr="00A23740">
              <w:rPr>
                <w:szCs w:val="24"/>
                <w:lang w:eastAsia="x-none"/>
              </w:rPr>
              <w:t>mahkeme</w:t>
            </w:r>
            <w:r w:rsidRPr="00A23740">
              <w:rPr>
                <w:szCs w:val="24"/>
                <w:lang w:val="x-none" w:eastAsia="x-none"/>
              </w:rPr>
              <w:t>,</w:t>
            </w:r>
            <w:r w:rsidR="002478D4" w:rsidRPr="00A23740">
              <w:rPr>
                <w:szCs w:val="24"/>
                <w:lang w:eastAsia="x-none"/>
              </w:rPr>
              <w:t xml:space="preserve"> her iki h</w:t>
            </w:r>
            <w:r w:rsidR="00726EE8" w:rsidRPr="00A23740">
              <w:rPr>
                <w:szCs w:val="24"/>
                <w:lang w:eastAsia="x-none"/>
              </w:rPr>
              <w:t>â</w:t>
            </w:r>
            <w:r w:rsidR="002478D4" w:rsidRPr="00A23740">
              <w:rPr>
                <w:szCs w:val="24"/>
                <w:lang w:eastAsia="x-none"/>
              </w:rPr>
              <w:t>lde de şikâ</w:t>
            </w:r>
            <w:r w:rsidRPr="00A23740">
              <w:rPr>
                <w:szCs w:val="24"/>
                <w:lang w:eastAsia="x-none"/>
              </w:rPr>
              <w:t>yet konusu edilen işlemi yapan icra ve iflas dairesinin işlemin gerekçesi hakkında açıklama yapmasına karar verebil</w:t>
            </w:r>
            <w:r w:rsidR="00A317C2" w:rsidRPr="00A23740">
              <w:rPr>
                <w:szCs w:val="24"/>
                <w:lang w:val="x-none" w:eastAsia="x-none"/>
              </w:rPr>
              <w:t>ir</w:t>
            </w:r>
            <w:r w:rsidRPr="00A23740">
              <w:rPr>
                <w:szCs w:val="24"/>
                <w:lang w:eastAsia="x-none"/>
              </w:rPr>
              <w:t xml:space="preserve">. Öte yandan, </w:t>
            </w:r>
            <w:r w:rsidRPr="00A23740">
              <w:rPr>
                <w:bCs/>
                <w:szCs w:val="24"/>
                <w:lang w:eastAsia="x-none"/>
              </w:rPr>
              <w:t>üçüncü fıkraya göre yazılı cevap vermesi için süre tanınan h</w:t>
            </w:r>
            <w:r w:rsidR="00726EE8" w:rsidRPr="00A23740">
              <w:rPr>
                <w:bCs/>
                <w:szCs w:val="24"/>
                <w:lang w:eastAsia="x-none"/>
              </w:rPr>
              <w:t>â</w:t>
            </w:r>
            <w:r w:rsidRPr="00A23740">
              <w:rPr>
                <w:bCs/>
                <w:szCs w:val="24"/>
                <w:lang w:eastAsia="x-none"/>
              </w:rPr>
              <w:t>llerde, h</w:t>
            </w:r>
            <w:r w:rsidR="00726EE8" w:rsidRPr="00A23740">
              <w:rPr>
                <w:bCs/>
                <w:szCs w:val="24"/>
                <w:lang w:eastAsia="x-none"/>
              </w:rPr>
              <w:t>â</w:t>
            </w:r>
            <w:r w:rsidRPr="00A23740">
              <w:rPr>
                <w:bCs/>
                <w:szCs w:val="24"/>
                <w:lang w:eastAsia="x-none"/>
              </w:rPr>
              <w:t>kimin dosya üzerinden karar vermesi gereken sürenin belirli h</w:t>
            </w:r>
            <w:r w:rsidR="00726EE8" w:rsidRPr="00A23740">
              <w:rPr>
                <w:bCs/>
                <w:szCs w:val="24"/>
                <w:lang w:eastAsia="x-none"/>
              </w:rPr>
              <w:t>â</w:t>
            </w:r>
            <w:r w:rsidRPr="00A23740">
              <w:rPr>
                <w:bCs/>
                <w:szCs w:val="24"/>
                <w:lang w:eastAsia="x-none"/>
              </w:rPr>
              <w:t xml:space="preserve">le getirilmesi amacıyla, 2004 sayılı Kanunun </w:t>
            </w:r>
            <w:r w:rsidR="00726EE8" w:rsidRPr="002B26FC">
              <w:rPr>
                <w:bCs/>
                <w:szCs w:val="24"/>
                <w:lang w:eastAsia="x-none"/>
              </w:rPr>
              <w:t>18</w:t>
            </w:r>
            <w:r w:rsidR="00726EE8" w:rsidRPr="002B26FC">
              <w:rPr>
                <w:b/>
                <w:szCs w:val="24"/>
              </w:rPr>
              <w:t xml:space="preserve"> </w:t>
            </w:r>
            <w:r w:rsidR="00726EE8" w:rsidRPr="002B26FC">
              <w:rPr>
                <w:bCs/>
                <w:szCs w:val="24"/>
                <w:lang w:eastAsia="x-none"/>
              </w:rPr>
              <w:t>inci</w:t>
            </w:r>
            <w:r w:rsidR="00726EE8" w:rsidRPr="00A23740">
              <w:rPr>
                <w:rStyle w:val="KonuBalChar"/>
                <w:rFonts w:eastAsia="ヒラギノ明朝 Pro W3"/>
              </w:rPr>
              <w:t xml:space="preserve"> </w:t>
            </w:r>
            <w:r w:rsidR="00726EE8" w:rsidRPr="002B26FC">
              <w:rPr>
                <w:bCs/>
                <w:szCs w:val="24"/>
                <w:lang w:eastAsia="x-none"/>
              </w:rPr>
              <w:t>maddesinin</w:t>
            </w:r>
            <w:r w:rsidR="00726EE8" w:rsidRPr="00A23740">
              <w:rPr>
                <w:bCs/>
                <w:szCs w:val="24"/>
                <w:lang w:eastAsia="x-none"/>
              </w:rPr>
              <w:t xml:space="preserve"> </w:t>
            </w:r>
            <w:r w:rsidRPr="00A23740">
              <w:rPr>
                <w:bCs/>
                <w:szCs w:val="24"/>
                <w:lang w:eastAsia="x-none"/>
              </w:rPr>
              <w:t>üçüncü fıkrasına karşılık gelen dördüncü fıkraya “üçüncü fıkraya göre süre verilen h</w:t>
            </w:r>
            <w:r w:rsidR="00726EE8" w:rsidRPr="00A23740">
              <w:rPr>
                <w:bCs/>
                <w:szCs w:val="24"/>
                <w:lang w:eastAsia="x-none"/>
              </w:rPr>
              <w:t>â</w:t>
            </w:r>
            <w:r w:rsidRPr="00A23740">
              <w:rPr>
                <w:bCs/>
                <w:szCs w:val="24"/>
                <w:lang w:eastAsia="x-none"/>
              </w:rPr>
              <w:t>llerde ise sürenin sona</w:t>
            </w:r>
            <w:r w:rsidR="00A317C2" w:rsidRPr="00A23740">
              <w:rPr>
                <w:bCs/>
                <w:szCs w:val="24"/>
                <w:lang w:eastAsia="x-none"/>
              </w:rPr>
              <w:t xml:space="preserve"> erdiği” ibaresi eklenmektedir.</w:t>
            </w:r>
          </w:p>
          <w:p w:rsidR="00461200" w:rsidRPr="00A23740" w:rsidRDefault="00B923FC" w:rsidP="009431FF">
            <w:pPr>
              <w:tabs>
                <w:tab w:val="left" w:pos="567"/>
              </w:tabs>
              <w:ind w:firstLine="709"/>
              <w:rPr>
                <w:b/>
                <w:bCs/>
                <w:szCs w:val="24"/>
                <w:lang w:eastAsia="x-none"/>
              </w:rPr>
            </w:pPr>
            <w:r w:rsidRPr="00A23740">
              <w:rPr>
                <w:bCs/>
                <w:szCs w:val="24"/>
                <w:lang w:eastAsia="x-none"/>
              </w:rPr>
              <w:t>Beşinci fıkrayla,</w:t>
            </w:r>
            <w:r w:rsidR="00AE5276" w:rsidRPr="00A23740">
              <w:rPr>
                <w:bCs/>
                <w:szCs w:val="24"/>
                <w:lang w:eastAsia="x-none"/>
              </w:rPr>
              <w:t xml:space="preserve"> şikâyetin dosya üzerinden incelendiği h</w:t>
            </w:r>
            <w:r w:rsidR="00726EE8" w:rsidRPr="00A23740">
              <w:rPr>
                <w:bCs/>
                <w:szCs w:val="24"/>
                <w:lang w:eastAsia="x-none"/>
              </w:rPr>
              <w:t>â</w:t>
            </w:r>
            <w:r w:rsidR="00AE5276" w:rsidRPr="00A23740">
              <w:rPr>
                <w:bCs/>
                <w:szCs w:val="24"/>
                <w:lang w:eastAsia="x-none"/>
              </w:rPr>
              <w:t xml:space="preserve">llerde vekâlet ücretine hükmedilmeyeceği kabul edilmektedir. </w:t>
            </w:r>
            <w:r w:rsidR="002478D4" w:rsidRPr="00A23740">
              <w:rPr>
                <w:bCs/>
                <w:szCs w:val="24"/>
                <w:lang w:eastAsia="x-none"/>
              </w:rPr>
              <w:t>Şikâ</w:t>
            </w:r>
            <w:r w:rsidR="00AE5276" w:rsidRPr="00A23740">
              <w:rPr>
                <w:bCs/>
                <w:szCs w:val="24"/>
                <w:lang w:eastAsia="x-none"/>
              </w:rPr>
              <w:t>yetin dosya üzerinden incelendiği h</w:t>
            </w:r>
            <w:r w:rsidR="00726EE8" w:rsidRPr="00A23740">
              <w:rPr>
                <w:bCs/>
                <w:szCs w:val="24"/>
                <w:lang w:eastAsia="x-none"/>
              </w:rPr>
              <w:t>â</w:t>
            </w:r>
            <w:r w:rsidR="00AE5276" w:rsidRPr="00A23740">
              <w:rPr>
                <w:bCs/>
                <w:szCs w:val="24"/>
                <w:lang w:eastAsia="x-none"/>
              </w:rPr>
              <w:t>llerde</w:t>
            </w:r>
            <w:r w:rsidR="00875BC9" w:rsidRPr="00A23740">
              <w:rPr>
                <w:bCs/>
                <w:szCs w:val="24"/>
                <w:lang w:eastAsia="x-none"/>
              </w:rPr>
              <w:t>,</w:t>
            </w:r>
            <w:r w:rsidR="00AE5276" w:rsidRPr="00A23740">
              <w:rPr>
                <w:bCs/>
                <w:szCs w:val="24"/>
                <w:lang w:eastAsia="x-none"/>
              </w:rPr>
              <w:t xml:space="preserve"> vek</w:t>
            </w:r>
            <w:r w:rsidR="00726EE8" w:rsidRPr="00A23740">
              <w:rPr>
                <w:bCs/>
                <w:szCs w:val="24"/>
                <w:lang w:eastAsia="x-none"/>
              </w:rPr>
              <w:t>â</w:t>
            </w:r>
            <w:r w:rsidR="00AE5276" w:rsidRPr="00A23740">
              <w:rPr>
                <w:bCs/>
                <w:szCs w:val="24"/>
                <w:lang w:eastAsia="x-none"/>
              </w:rPr>
              <w:t xml:space="preserve">let ücretine hükmedilip hükmedilmeyeceği konusunda Bilim Komisyonunda yapılan tartışmalar </w:t>
            </w:r>
            <w:r w:rsidR="00496B40" w:rsidRPr="00A23740">
              <w:rPr>
                <w:bCs/>
                <w:szCs w:val="24"/>
                <w:lang w:eastAsia="x-none"/>
              </w:rPr>
              <w:t>sonucunda</w:t>
            </w:r>
            <w:r w:rsidR="00AE5276" w:rsidRPr="00A23740">
              <w:rPr>
                <w:bCs/>
                <w:szCs w:val="24"/>
                <w:lang w:eastAsia="x-none"/>
              </w:rPr>
              <w:t>, Avukatlık Asgari Ücret Tarifesinde duruşmalı yargılama için hüküm bulunduğu</w:t>
            </w:r>
            <w:r w:rsidR="00496B40" w:rsidRPr="00A23740">
              <w:rPr>
                <w:bCs/>
                <w:szCs w:val="24"/>
                <w:lang w:eastAsia="x-none"/>
              </w:rPr>
              <w:t>ndan, duruşma yapılmayan h</w:t>
            </w:r>
            <w:r w:rsidR="00726EE8" w:rsidRPr="00A23740">
              <w:rPr>
                <w:bCs/>
                <w:szCs w:val="24"/>
                <w:lang w:eastAsia="x-none"/>
              </w:rPr>
              <w:t>â</w:t>
            </w:r>
            <w:r w:rsidR="00496B40" w:rsidRPr="00A23740">
              <w:rPr>
                <w:bCs/>
                <w:szCs w:val="24"/>
                <w:lang w:eastAsia="x-none"/>
              </w:rPr>
              <w:t>llerde</w:t>
            </w:r>
            <w:r w:rsidR="00AE5276" w:rsidRPr="00A23740">
              <w:rPr>
                <w:bCs/>
                <w:szCs w:val="24"/>
                <w:lang w:eastAsia="x-none"/>
              </w:rPr>
              <w:t xml:space="preserve"> vek</w:t>
            </w:r>
            <w:r w:rsidR="00726EE8" w:rsidRPr="00A23740">
              <w:rPr>
                <w:bCs/>
                <w:szCs w:val="24"/>
                <w:lang w:eastAsia="x-none"/>
              </w:rPr>
              <w:t>â</w:t>
            </w:r>
            <w:r w:rsidR="00AE5276" w:rsidRPr="00A23740">
              <w:rPr>
                <w:bCs/>
                <w:szCs w:val="24"/>
                <w:lang w:eastAsia="x-none"/>
              </w:rPr>
              <w:t>let ücretine hükmedilmesinin</w:t>
            </w:r>
            <w:r w:rsidR="00496B40" w:rsidRPr="00A23740">
              <w:rPr>
                <w:bCs/>
                <w:szCs w:val="24"/>
                <w:lang w:eastAsia="x-none"/>
              </w:rPr>
              <w:t xml:space="preserve"> yol açacağı tartışmaları önlemek amacıyla</w:t>
            </w:r>
            <w:r w:rsidR="00AE5276" w:rsidRPr="00A23740">
              <w:rPr>
                <w:bCs/>
                <w:szCs w:val="24"/>
                <w:lang w:eastAsia="x-none"/>
              </w:rPr>
              <w:t xml:space="preserve"> maddeye</w:t>
            </w:r>
            <w:r w:rsidR="00496B40" w:rsidRPr="00A23740">
              <w:rPr>
                <w:bCs/>
                <w:szCs w:val="24"/>
                <w:lang w:eastAsia="x-none"/>
              </w:rPr>
              <w:t xml:space="preserve"> </w:t>
            </w:r>
            <w:r w:rsidR="005D3223" w:rsidRPr="00A23740">
              <w:rPr>
                <w:bCs/>
                <w:szCs w:val="24"/>
                <w:lang w:eastAsia="x-none"/>
              </w:rPr>
              <w:t xml:space="preserve">böyle bir </w:t>
            </w:r>
            <w:r w:rsidR="00496B40" w:rsidRPr="00A23740">
              <w:rPr>
                <w:bCs/>
                <w:szCs w:val="24"/>
                <w:lang w:eastAsia="x-none"/>
              </w:rPr>
              <w:t>fıkra</w:t>
            </w:r>
            <w:r w:rsidR="005D3223" w:rsidRPr="00A23740">
              <w:rPr>
                <w:bCs/>
                <w:szCs w:val="24"/>
                <w:lang w:eastAsia="x-none"/>
              </w:rPr>
              <w:t xml:space="preserve"> eklenmesinde fayda görülmüştür</w:t>
            </w:r>
            <w:r w:rsidR="00496B40" w:rsidRPr="00A23740">
              <w:rPr>
                <w:bCs/>
                <w:szCs w:val="24"/>
                <w:lang w:eastAsia="x-none"/>
              </w:rPr>
              <w:t>.</w:t>
            </w:r>
            <w:r w:rsidRPr="00A23740">
              <w:rPr>
                <w:bCs/>
                <w:szCs w:val="24"/>
                <w:lang w:eastAsia="x-none"/>
              </w:rPr>
              <w:t xml:space="preserve"> </w:t>
            </w:r>
            <w:r w:rsidR="005D3223" w:rsidRPr="00A23740">
              <w:rPr>
                <w:bCs/>
                <w:szCs w:val="24"/>
                <w:lang w:eastAsia="x-none"/>
              </w:rPr>
              <w:t>Bu h</w:t>
            </w:r>
            <w:r w:rsidRPr="00A23740">
              <w:rPr>
                <w:bCs/>
                <w:szCs w:val="24"/>
                <w:lang w:eastAsia="x-none"/>
              </w:rPr>
              <w:t>üküm uyarınca, yalnızca duruşma</w:t>
            </w:r>
            <w:r w:rsidR="005D3223" w:rsidRPr="00A23740">
              <w:rPr>
                <w:bCs/>
                <w:szCs w:val="24"/>
                <w:lang w:eastAsia="x-none"/>
              </w:rPr>
              <w:t xml:space="preserve"> açılarak</w:t>
            </w:r>
            <w:r w:rsidR="002478D4" w:rsidRPr="00A23740">
              <w:rPr>
                <w:bCs/>
                <w:szCs w:val="24"/>
                <w:lang w:eastAsia="x-none"/>
              </w:rPr>
              <w:t xml:space="preserve"> yapılan şikâ</w:t>
            </w:r>
            <w:r w:rsidRPr="00A23740">
              <w:rPr>
                <w:bCs/>
                <w:szCs w:val="24"/>
                <w:lang w:eastAsia="x-none"/>
              </w:rPr>
              <w:t>yet incelemelerinde vek</w:t>
            </w:r>
            <w:r w:rsidR="00726EE8" w:rsidRPr="00A23740">
              <w:rPr>
                <w:bCs/>
                <w:szCs w:val="24"/>
                <w:lang w:eastAsia="x-none"/>
              </w:rPr>
              <w:t>â</w:t>
            </w:r>
            <w:r w:rsidRPr="00A23740">
              <w:rPr>
                <w:bCs/>
                <w:szCs w:val="24"/>
                <w:lang w:eastAsia="x-none"/>
              </w:rPr>
              <w:t>let ücretine hükmedilebilecek, duruşma açılmaksızın dosy</w:t>
            </w:r>
            <w:r w:rsidR="002478D4" w:rsidRPr="00A23740">
              <w:rPr>
                <w:bCs/>
                <w:szCs w:val="24"/>
                <w:lang w:eastAsia="x-none"/>
              </w:rPr>
              <w:t>a üzerinden karara bağlanan şikâ</w:t>
            </w:r>
            <w:r w:rsidRPr="00A23740">
              <w:rPr>
                <w:bCs/>
                <w:szCs w:val="24"/>
                <w:lang w:eastAsia="x-none"/>
              </w:rPr>
              <w:t>yet başvurularında</w:t>
            </w:r>
            <w:r w:rsidR="00AE5276" w:rsidRPr="00A23740">
              <w:rPr>
                <w:bCs/>
                <w:szCs w:val="24"/>
                <w:lang w:eastAsia="x-none"/>
              </w:rPr>
              <w:t xml:space="preserve"> ise</w:t>
            </w:r>
            <w:r w:rsidRPr="00A23740">
              <w:rPr>
                <w:bCs/>
                <w:szCs w:val="24"/>
                <w:lang w:eastAsia="x-none"/>
              </w:rPr>
              <w:t xml:space="preserve"> vek</w:t>
            </w:r>
            <w:r w:rsidR="00726EE8" w:rsidRPr="00A23740">
              <w:rPr>
                <w:bCs/>
                <w:szCs w:val="24"/>
                <w:lang w:eastAsia="x-none"/>
              </w:rPr>
              <w:t>â</w:t>
            </w:r>
            <w:r w:rsidRPr="00A23740">
              <w:rPr>
                <w:bCs/>
                <w:szCs w:val="24"/>
                <w:lang w:eastAsia="x-none"/>
              </w:rPr>
              <w:t>let</w:t>
            </w:r>
            <w:r w:rsidR="00AE5276" w:rsidRPr="00A23740">
              <w:rPr>
                <w:bCs/>
                <w:szCs w:val="24"/>
                <w:lang w:eastAsia="x-none"/>
              </w:rPr>
              <w:t xml:space="preserve"> ücretine hükmedilemeyecektir.</w:t>
            </w:r>
          </w:p>
          <w:p w:rsidR="00155AF4" w:rsidRPr="00A23740" w:rsidRDefault="00155AF4" w:rsidP="009431FF">
            <w:pPr>
              <w:tabs>
                <w:tab w:val="left" w:pos="567"/>
              </w:tabs>
              <w:ind w:firstLine="709"/>
              <w:rPr>
                <w:b/>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lastRenderedPageBreak/>
              <w:t>İcranın durdurulması:</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22 – (1)</w:t>
            </w:r>
            <w:r w:rsidRPr="00A23740">
              <w:rPr>
                <w:rFonts w:eastAsia="Times New Roman"/>
                <w:b/>
                <w:szCs w:val="24"/>
                <w:lang w:eastAsia="tr-TR"/>
              </w:rPr>
              <w:t xml:space="preserve"> </w:t>
            </w:r>
            <w:r w:rsidRPr="00A23740">
              <w:rPr>
                <w:rFonts w:eastAsia="Times New Roman"/>
                <w:szCs w:val="24"/>
                <w:lang w:eastAsia="tr-TR"/>
              </w:rPr>
              <w:t>Şikayet</w:t>
            </w:r>
            <w:r w:rsidRPr="00A23740">
              <w:rPr>
                <w:rStyle w:val="KIRMIZIChar"/>
                <w:rFonts w:eastAsia="Calibri"/>
              </w:rPr>
              <w:t>,</w:t>
            </w:r>
            <w:r w:rsidRPr="00A23740">
              <w:rPr>
                <w:rFonts w:eastAsia="Times New Roman"/>
                <w:szCs w:val="24"/>
                <w:lang w:eastAsia="tr-TR"/>
              </w:rPr>
              <w:t xml:space="preserve"> </w:t>
            </w:r>
            <w:r w:rsidRPr="00A23740">
              <w:rPr>
                <w:rStyle w:val="KIRMIZIChar"/>
                <w:rFonts w:eastAsia="Calibri"/>
              </w:rPr>
              <w:t>icra mahkemesince karar verilmedikçe</w:t>
            </w:r>
            <w:r w:rsidRPr="00A23740">
              <w:rPr>
                <w:rFonts w:eastAsia="Times New Roman"/>
                <w:szCs w:val="24"/>
                <w:lang w:eastAsia="tr-TR"/>
              </w:rPr>
              <w:t xml:space="preserve"> icrayı durdurmaz.</w:t>
            </w:r>
          </w:p>
          <w:p w:rsidR="00155AF4" w:rsidRPr="00A23740" w:rsidRDefault="00155AF4" w:rsidP="009431FF">
            <w:pPr>
              <w:tabs>
                <w:tab w:val="left" w:pos="567"/>
              </w:tabs>
              <w:rPr>
                <w:rFonts w:eastAsia="Times New Roman"/>
                <w:szCs w:val="24"/>
                <w:lang w:eastAsia="tr-TR"/>
              </w:rPr>
            </w:pPr>
            <w:r w:rsidRPr="00A23740">
              <w:rPr>
                <w:rFonts w:eastAsia="Times New Roman"/>
                <w:szCs w:val="24"/>
                <w:lang w:eastAsia="tr-TR"/>
              </w:rPr>
              <w:tab/>
            </w:r>
          </w:p>
        </w:tc>
        <w:tc>
          <w:tcPr>
            <w:tcW w:w="2500" w:type="pct"/>
          </w:tcPr>
          <w:p w:rsidR="00155AF4" w:rsidRPr="00A23740" w:rsidRDefault="00155AF4" w:rsidP="009431FF">
            <w:pPr>
              <w:pStyle w:val="Mavi"/>
            </w:pPr>
            <w:r w:rsidRPr="00A23740">
              <w:t xml:space="preserve">Şikâyetin takibe etkisi </w:t>
            </w:r>
          </w:p>
          <w:p w:rsidR="00155AF4" w:rsidRPr="00A23740" w:rsidRDefault="0059245E" w:rsidP="009431FF">
            <w:pPr>
              <w:rPr>
                <w:rFonts w:eastAsia="ヒラギノ明朝 Pro W3"/>
                <w:b/>
                <w:color w:val="0000FF"/>
                <w:szCs w:val="24"/>
                <w:lang w:eastAsia="tr-TR"/>
              </w:rPr>
            </w:pPr>
            <w:r w:rsidRPr="00A23740">
              <w:rPr>
                <w:rStyle w:val="MaviChar"/>
              </w:rPr>
              <w:t>MADDE 28</w:t>
            </w:r>
            <w:r w:rsidR="00155AF4" w:rsidRPr="00A23740">
              <w:rPr>
                <w:rStyle w:val="MaviChar"/>
              </w:rPr>
              <w:t>- (1)</w:t>
            </w:r>
            <w:r w:rsidR="00155AF4" w:rsidRPr="00A23740">
              <w:rPr>
                <w:rFonts w:eastAsia="ヒラギノ明朝 Pro W3"/>
                <w:b/>
                <w:color w:val="0000FF"/>
                <w:szCs w:val="24"/>
                <w:lang w:eastAsia="tr-TR"/>
              </w:rPr>
              <w:t xml:space="preserve"> </w:t>
            </w:r>
            <w:r w:rsidR="00155AF4" w:rsidRPr="00A23740">
              <w:rPr>
                <w:rFonts w:eastAsia="Times New Roman"/>
                <w:szCs w:val="24"/>
                <w:lang w:eastAsia="tr-TR"/>
              </w:rPr>
              <w:t xml:space="preserve">Şikâyet </w:t>
            </w:r>
            <w:r w:rsidR="00155AF4" w:rsidRPr="00A23740">
              <w:rPr>
                <w:rStyle w:val="MaviChar"/>
                <w:lang w:val="tr-TR"/>
              </w:rPr>
              <w:t>başvurusu</w:t>
            </w:r>
            <w:r w:rsidR="00155AF4" w:rsidRPr="00A23740">
              <w:rPr>
                <w:rFonts w:eastAsia="Times New Roman"/>
                <w:szCs w:val="24"/>
                <w:lang w:eastAsia="tr-TR"/>
              </w:rPr>
              <w:t xml:space="preserve"> icrayı</w:t>
            </w:r>
            <w:r w:rsidR="00155AF4" w:rsidRPr="00A23740">
              <w:rPr>
                <w:rFonts w:eastAsia="ヒラギノ明朝 Pro W3"/>
                <w:b/>
                <w:color w:val="0000FF"/>
                <w:szCs w:val="24"/>
                <w:lang w:eastAsia="tr-TR"/>
              </w:rPr>
              <w:t xml:space="preserve"> </w:t>
            </w:r>
            <w:r w:rsidR="00155AF4" w:rsidRPr="00A23740">
              <w:rPr>
                <w:rFonts w:eastAsia="Times New Roman"/>
                <w:szCs w:val="24"/>
                <w:lang w:eastAsia="tr-TR"/>
              </w:rPr>
              <w:t>durdurmaz.</w:t>
            </w:r>
            <w:r w:rsidR="00155AF4" w:rsidRPr="00A23740">
              <w:rPr>
                <w:rFonts w:eastAsia="ヒラギノ明朝 Pro W3"/>
                <w:b/>
                <w:color w:val="00B050"/>
                <w:szCs w:val="24"/>
                <w:lang w:eastAsia="tr-TR"/>
              </w:rPr>
              <w:t xml:space="preserve"> </w:t>
            </w:r>
            <w:r w:rsidR="00155AF4" w:rsidRPr="00A23740">
              <w:rPr>
                <w:rStyle w:val="MaviChar"/>
              </w:rPr>
              <w:t xml:space="preserve">Şu kadar ki, mahkeme, resen veya talep üzerine, şikâyet konusu işlem hakkında bir karar verinceye kadar işlemin icrasını durdurabilir. Bu takdirde karar derhâl taraflara tebliğ edilir ve icra </w:t>
            </w:r>
            <w:r w:rsidR="00C86AF0" w:rsidRPr="002B26FC">
              <w:rPr>
                <w:rStyle w:val="MaviChar"/>
              </w:rPr>
              <w:t>ve</w:t>
            </w:r>
            <w:r w:rsidR="00C86AF0" w:rsidRPr="00A23740">
              <w:rPr>
                <w:rStyle w:val="MaviChar"/>
                <w:color w:val="70AD47"/>
              </w:rPr>
              <w:t xml:space="preserve"> </w:t>
            </w:r>
            <w:r w:rsidR="00C86AF0" w:rsidRPr="002B26FC">
              <w:rPr>
                <w:rStyle w:val="MaviChar"/>
              </w:rPr>
              <w:t>iflas</w:t>
            </w:r>
            <w:r w:rsidR="00C86AF0" w:rsidRPr="00A23740">
              <w:rPr>
                <w:rStyle w:val="MaviChar"/>
              </w:rPr>
              <w:t xml:space="preserve"> </w:t>
            </w:r>
            <w:r w:rsidR="00155AF4" w:rsidRPr="00A23740">
              <w:rPr>
                <w:rStyle w:val="MaviChar"/>
              </w:rPr>
              <w:t>dairesine bildirilir.</w:t>
            </w:r>
          </w:p>
          <w:p w:rsidR="00155AF4" w:rsidRPr="00A23740" w:rsidRDefault="00155AF4" w:rsidP="009431FF">
            <w:pPr>
              <w:rPr>
                <w:rFonts w:eastAsia="Times New Roman"/>
                <w:b/>
                <w:strike/>
                <w:color w:val="FF0000"/>
                <w:szCs w:val="24"/>
                <w:lang w:eastAsia="tr-TR"/>
              </w:rPr>
            </w:pPr>
          </w:p>
        </w:tc>
      </w:tr>
      <w:tr w:rsidR="00155AF4" w:rsidRPr="00A23740" w:rsidTr="009431FF">
        <w:tc>
          <w:tcPr>
            <w:tcW w:w="5000" w:type="pct"/>
            <w:gridSpan w:val="2"/>
            <w:shd w:val="clear" w:color="auto" w:fill="DEEAF6"/>
          </w:tcPr>
          <w:p w:rsidR="00471461" w:rsidRPr="00A23740" w:rsidRDefault="00471461" w:rsidP="009431FF">
            <w:pPr>
              <w:pStyle w:val="Mavi"/>
              <w:ind w:firstLine="709"/>
              <w:rPr>
                <w:color w:val="auto"/>
                <w:lang w:val="tr-TR"/>
              </w:rPr>
            </w:pPr>
          </w:p>
          <w:p w:rsidR="00726EE8" w:rsidRPr="00A23740" w:rsidRDefault="00D42F78" w:rsidP="009431FF">
            <w:pPr>
              <w:pStyle w:val="Mavi"/>
              <w:ind w:firstLine="709"/>
              <w:rPr>
                <w:b w:val="0"/>
                <w:bCs w:val="0"/>
                <w:color w:val="auto"/>
                <w:lang w:val="tr-TR"/>
              </w:rPr>
            </w:pPr>
            <w:r w:rsidRPr="00A23740">
              <w:rPr>
                <w:color w:val="auto"/>
                <w:lang w:val="tr-TR"/>
              </w:rPr>
              <w:t>MADDE 28</w:t>
            </w:r>
            <w:r w:rsidR="00155AF4" w:rsidRPr="00A23740">
              <w:rPr>
                <w:color w:val="auto"/>
                <w:lang w:val="tr-TR"/>
              </w:rPr>
              <w:t xml:space="preserve">- </w:t>
            </w:r>
            <w:r w:rsidR="00155AF4" w:rsidRPr="00A23740">
              <w:rPr>
                <w:b w:val="0"/>
                <w:bCs w:val="0"/>
                <w:color w:val="auto"/>
                <w:lang w:val="tr-TR"/>
              </w:rPr>
              <w:t>Madde</w:t>
            </w:r>
            <w:r w:rsidR="00471461" w:rsidRPr="00A23740">
              <w:rPr>
                <w:b w:val="0"/>
                <w:bCs w:val="0"/>
                <w:color w:val="auto"/>
                <w:lang w:val="tr-TR"/>
              </w:rPr>
              <w:t xml:space="preserve">yle, </w:t>
            </w:r>
            <w:r w:rsidR="00155AF4" w:rsidRPr="00A23740">
              <w:rPr>
                <w:b w:val="0"/>
                <w:bCs w:val="0"/>
                <w:color w:val="auto"/>
                <w:lang w:val="tr-TR"/>
              </w:rPr>
              <w:t>şikâyetin takibe etkisi düzenlenmektedir.</w:t>
            </w:r>
            <w:r w:rsidR="00471461" w:rsidRPr="00A23740">
              <w:rPr>
                <w:b w:val="0"/>
                <w:bCs w:val="0"/>
                <w:color w:val="auto"/>
                <w:lang w:val="tr-TR"/>
              </w:rPr>
              <w:t xml:space="preserve"> Bu hüküm, 2004 sayılı Kanunun 22 nci maddesine karşılık gelmektedir.</w:t>
            </w:r>
            <w:r w:rsidR="004172EF" w:rsidRPr="00A23740">
              <w:rPr>
                <w:b w:val="0"/>
                <w:bCs w:val="0"/>
                <w:color w:val="auto"/>
                <w:lang w:val="tr-TR"/>
              </w:rPr>
              <w:t xml:space="preserve"> </w:t>
            </w:r>
          </w:p>
          <w:p w:rsidR="00A44DE5" w:rsidRDefault="00642FEB" w:rsidP="009431FF">
            <w:pPr>
              <w:pStyle w:val="Mavi"/>
              <w:ind w:firstLine="709"/>
              <w:rPr>
                <w:b w:val="0"/>
                <w:bCs w:val="0"/>
                <w:color w:val="auto"/>
                <w:lang w:val="tr-TR"/>
              </w:rPr>
            </w:pPr>
            <w:r w:rsidRPr="00A23740">
              <w:rPr>
                <w:b w:val="0"/>
                <w:bCs w:val="0"/>
                <w:color w:val="auto"/>
                <w:lang w:val="tr-TR"/>
              </w:rPr>
              <w:t>Birinci fıkrayla, şikâ</w:t>
            </w:r>
            <w:r w:rsidR="00471461" w:rsidRPr="00A23740">
              <w:rPr>
                <w:b w:val="0"/>
                <w:bCs w:val="0"/>
                <w:color w:val="auto"/>
                <w:lang w:val="tr-TR"/>
              </w:rPr>
              <w:t>yetin takibe etkisine ilişkin esaslar belirlenmektedir. Hükme göre, şikâyet</w:t>
            </w:r>
            <w:r w:rsidR="00155AF4" w:rsidRPr="00A23740">
              <w:rPr>
                <w:b w:val="0"/>
                <w:bCs w:val="0"/>
                <w:color w:val="auto"/>
                <w:lang w:val="tr-TR"/>
              </w:rPr>
              <w:t>, şikâyet konusu işlemin icrasını durdurmaz. Ancak mahkeme, şikâyet</w:t>
            </w:r>
            <w:r w:rsidR="00471461" w:rsidRPr="00A23740">
              <w:rPr>
                <w:b w:val="0"/>
                <w:bCs w:val="0"/>
                <w:color w:val="auto"/>
                <w:lang w:val="tr-TR"/>
              </w:rPr>
              <w:t xml:space="preserve"> konusu</w:t>
            </w:r>
            <w:r w:rsidR="00155AF4" w:rsidRPr="00A23740">
              <w:rPr>
                <w:b w:val="0"/>
                <w:bCs w:val="0"/>
                <w:color w:val="auto"/>
                <w:lang w:val="tr-TR"/>
              </w:rPr>
              <w:t xml:space="preserve"> işlem</w:t>
            </w:r>
            <w:r w:rsidR="00471461" w:rsidRPr="00A23740">
              <w:rPr>
                <w:b w:val="0"/>
                <w:bCs w:val="0"/>
                <w:color w:val="auto"/>
                <w:lang w:val="tr-TR"/>
              </w:rPr>
              <w:t xml:space="preserve"> hakkında karar verin</w:t>
            </w:r>
            <w:r w:rsidR="00155AF4" w:rsidRPr="00A23740">
              <w:rPr>
                <w:b w:val="0"/>
                <w:bCs w:val="0"/>
                <w:color w:val="auto"/>
                <w:lang w:val="tr-TR"/>
              </w:rPr>
              <w:t xml:space="preserve">ceye kadar resen veya talep üzerine işlemin icrasını durdurabilir. </w:t>
            </w:r>
            <w:r w:rsidR="00471461" w:rsidRPr="00A23740">
              <w:rPr>
                <w:b w:val="0"/>
                <w:bCs w:val="0"/>
                <w:color w:val="auto"/>
                <w:lang w:val="tr-TR"/>
              </w:rPr>
              <w:t xml:space="preserve">Mahkemenin </w:t>
            </w:r>
            <w:r w:rsidR="00155AF4" w:rsidRPr="00A23740">
              <w:rPr>
                <w:b w:val="0"/>
                <w:bCs w:val="0"/>
                <w:color w:val="auto"/>
                <w:lang w:val="tr-TR"/>
              </w:rPr>
              <w:t>bu konudaki kararı derh</w:t>
            </w:r>
            <w:r w:rsidR="00726EE8" w:rsidRPr="00A23740">
              <w:rPr>
                <w:b w:val="0"/>
                <w:bCs w:val="0"/>
                <w:color w:val="auto"/>
                <w:lang w:val="tr-TR"/>
              </w:rPr>
              <w:t>â</w:t>
            </w:r>
            <w:r w:rsidR="00155AF4" w:rsidRPr="00A23740">
              <w:rPr>
                <w:b w:val="0"/>
                <w:bCs w:val="0"/>
                <w:color w:val="auto"/>
                <w:lang w:val="tr-TR"/>
              </w:rPr>
              <w:t>l taraflara tebliğ edilir; karar aynı şekilde derh</w:t>
            </w:r>
            <w:r w:rsidR="00726EE8" w:rsidRPr="00A23740">
              <w:rPr>
                <w:b w:val="0"/>
                <w:bCs w:val="0"/>
                <w:color w:val="auto"/>
                <w:lang w:val="tr-TR"/>
              </w:rPr>
              <w:t>â</w:t>
            </w:r>
            <w:r w:rsidR="00155AF4" w:rsidRPr="00A23740">
              <w:rPr>
                <w:b w:val="0"/>
                <w:bCs w:val="0"/>
                <w:color w:val="auto"/>
                <w:lang w:val="tr-TR"/>
              </w:rPr>
              <w:t>l icra</w:t>
            </w:r>
            <w:r w:rsidR="001C416B" w:rsidRPr="00A23740">
              <w:rPr>
                <w:b w:val="0"/>
                <w:bCs w:val="0"/>
                <w:color w:val="auto"/>
                <w:lang w:val="tr-TR"/>
              </w:rPr>
              <w:t xml:space="preserve"> </w:t>
            </w:r>
            <w:r w:rsidR="001C416B" w:rsidRPr="002B26FC">
              <w:rPr>
                <w:b w:val="0"/>
                <w:bCs w:val="0"/>
                <w:color w:val="auto"/>
                <w:lang w:val="tr-TR"/>
              </w:rPr>
              <w:t>ve iflas</w:t>
            </w:r>
            <w:r w:rsidR="00155AF4" w:rsidRPr="00A23740">
              <w:rPr>
                <w:b w:val="0"/>
                <w:bCs w:val="0"/>
                <w:color w:val="auto"/>
                <w:lang w:val="tr-TR"/>
              </w:rPr>
              <w:t xml:space="preserve"> dairesine de bildirilir ve böylece şikâyet</w:t>
            </w:r>
            <w:r w:rsidR="00471461" w:rsidRPr="00A23740">
              <w:rPr>
                <w:b w:val="0"/>
                <w:bCs w:val="0"/>
                <w:color w:val="auto"/>
                <w:lang w:val="tr-TR"/>
              </w:rPr>
              <w:t xml:space="preserve"> konusu işlem</w:t>
            </w:r>
            <w:r w:rsidR="00155AF4" w:rsidRPr="00A23740">
              <w:rPr>
                <w:b w:val="0"/>
                <w:bCs w:val="0"/>
                <w:color w:val="auto"/>
                <w:lang w:val="tr-TR"/>
              </w:rPr>
              <w:t xml:space="preserve"> hakkında karar verilinceye kadar, </w:t>
            </w:r>
            <w:r w:rsidR="00471461" w:rsidRPr="00A23740">
              <w:rPr>
                <w:b w:val="0"/>
                <w:bCs w:val="0"/>
                <w:color w:val="auto"/>
                <w:lang w:val="tr-TR"/>
              </w:rPr>
              <w:t xml:space="preserve">bu </w:t>
            </w:r>
            <w:r w:rsidR="00155AF4" w:rsidRPr="00A23740">
              <w:rPr>
                <w:b w:val="0"/>
                <w:bCs w:val="0"/>
                <w:color w:val="auto"/>
                <w:lang w:val="tr-TR"/>
              </w:rPr>
              <w:t>işlemle ilgili icra</w:t>
            </w:r>
            <w:r w:rsidR="005D3223" w:rsidRPr="00A23740">
              <w:rPr>
                <w:b w:val="0"/>
                <w:bCs w:val="0"/>
                <w:color w:val="auto"/>
                <w:lang w:val="tr-TR"/>
              </w:rPr>
              <w:t>,</w:t>
            </w:r>
            <w:r w:rsidR="00155AF4" w:rsidRPr="00A23740">
              <w:rPr>
                <w:b w:val="0"/>
                <w:bCs w:val="0"/>
                <w:color w:val="auto"/>
                <w:lang w:val="tr-TR"/>
              </w:rPr>
              <w:t xml:space="preserve"> geçici olarak durur.</w:t>
            </w:r>
          </w:p>
          <w:p w:rsidR="00A44DE5" w:rsidRDefault="00A44DE5" w:rsidP="009431FF">
            <w:pPr>
              <w:pStyle w:val="Mavi"/>
              <w:ind w:firstLine="709"/>
              <w:rPr>
                <w:b w:val="0"/>
                <w:bCs w:val="0"/>
                <w:color w:val="auto"/>
                <w:lang w:val="tr-TR"/>
              </w:rPr>
            </w:pPr>
          </w:p>
          <w:p w:rsidR="00A44DE5" w:rsidRPr="00A23740" w:rsidRDefault="00A44DE5" w:rsidP="009431FF">
            <w:pPr>
              <w:pStyle w:val="Mavi"/>
              <w:ind w:firstLine="709"/>
              <w:rPr>
                <w:bCs w:val="0"/>
                <w:color w:val="auto"/>
                <w:lang w:val="tr-TR"/>
              </w:rPr>
            </w:pPr>
          </w:p>
          <w:p w:rsidR="00155AF4" w:rsidRPr="00A23740" w:rsidRDefault="00155AF4"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szCs w:val="24"/>
                <w:lang w:eastAsia="tr-TR"/>
              </w:rPr>
            </w:pPr>
            <w:r w:rsidRPr="00A23740">
              <w:rPr>
                <w:rFonts w:eastAsia="Times New Roman"/>
                <w:b/>
                <w:szCs w:val="24"/>
                <w:lang w:eastAsia="tr-TR"/>
              </w:rPr>
              <w:lastRenderedPageBreak/>
              <w:t xml:space="preserve">Şikayet </w:t>
            </w:r>
            <w:r w:rsidRPr="00A23740">
              <w:rPr>
                <w:rFonts w:eastAsia="Times New Roman"/>
                <w:b/>
                <w:strike/>
                <w:color w:val="FF0000"/>
                <w:szCs w:val="24"/>
                <w:lang w:eastAsia="tr-TR"/>
              </w:rPr>
              <w:t>üzerine yapılacak muameleler :</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17 – (1) Şikayet icra mahkemesince, kabul edilirse</w:t>
            </w:r>
            <w:r w:rsidRPr="00A23740">
              <w:rPr>
                <w:rFonts w:eastAsia="Times New Roman"/>
                <w:szCs w:val="24"/>
                <w:lang w:eastAsia="tr-TR"/>
              </w:rPr>
              <w:t xml:space="preserve"> şikayet </w:t>
            </w:r>
            <w:r w:rsidRPr="00A23740">
              <w:rPr>
                <w:rFonts w:eastAsia="Times New Roman"/>
                <w:b/>
                <w:strike/>
                <w:color w:val="FF0000"/>
                <w:szCs w:val="24"/>
                <w:lang w:eastAsia="tr-TR"/>
              </w:rPr>
              <w:t xml:space="preserve">olunan muamele ya bozulur, </w:t>
            </w:r>
            <w:r w:rsidRPr="00A23740">
              <w:rPr>
                <w:rStyle w:val="KIRMIZIChar"/>
                <w:rFonts w:eastAsia="Calibri"/>
              </w:rPr>
              <w:t>yahut düzeltilir.</w:t>
            </w:r>
          </w:p>
          <w:p w:rsidR="00155AF4" w:rsidRPr="00A23740" w:rsidRDefault="00155AF4" w:rsidP="009431FF">
            <w:pPr>
              <w:tabs>
                <w:tab w:val="left" w:pos="567"/>
              </w:tabs>
              <w:rPr>
                <w:rFonts w:eastAsia="Times New Roman"/>
                <w:b/>
                <w:strike/>
                <w:color w:val="FF0000"/>
                <w:szCs w:val="24"/>
                <w:lang w:eastAsia="tr-TR"/>
              </w:rPr>
            </w:pPr>
            <w:r w:rsidRPr="00A23740">
              <w:rPr>
                <w:rStyle w:val="KIRMIZIChar"/>
                <w:rFonts w:eastAsia="Calibri"/>
              </w:rPr>
              <w:t>Memurun sebepsiz yapmadığı</w:t>
            </w:r>
            <w:r w:rsidRPr="00A23740">
              <w:rPr>
                <w:rFonts w:eastAsia="Times New Roman"/>
                <w:b/>
                <w:strike/>
                <w:color w:val="FF0000"/>
                <w:szCs w:val="24"/>
                <w:lang w:eastAsia="tr-TR"/>
              </w:rPr>
              <w:t xml:space="preserve"> veya geciktirdiği işlerin icrası emrolunur.</w:t>
            </w:r>
          </w:p>
        </w:tc>
        <w:tc>
          <w:tcPr>
            <w:tcW w:w="2500" w:type="pct"/>
          </w:tcPr>
          <w:p w:rsidR="00155AF4" w:rsidRPr="00A23740" w:rsidRDefault="00155AF4" w:rsidP="009431FF">
            <w:pPr>
              <w:keepNext/>
              <w:outlineLvl w:val="2"/>
              <w:rPr>
                <w:rFonts w:eastAsia="Times New Roman"/>
                <w:b/>
                <w:bCs/>
                <w:szCs w:val="24"/>
                <w:lang w:eastAsia="tr-TR"/>
              </w:rPr>
            </w:pPr>
            <w:r w:rsidRPr="00A23740">
              <w:rPr>
                <w:rFonts w:eastAsia="Times New Roman"/>
                <w:b/>
                <w:bCs/>
                <w:szCs w:val="24"/>
                <w:lang w:eastAsia="tr-TR"/>
              </w:rPr>
              <w:t>Şikâyet</w:t>
            </w:r>
            <w:r w:rsidRPr="00A23740">
              <w:rPr>
                <w:rStyle w:val="MaviChar"/>
                <w:lang w:val="tr-TR"/>
              </w:rPr>
              <w:t>in</w:t>
            </w:r>
            <w:r w:rsidRPr="00A23740">
              <w:rPr>
                <w:rFonts w:eastAsia="Times New Roman"/>
                <w:b/>
                <w:bCs/>
                <w:szCs w:val="24"/>
                <w:lang w:eastAsia="tr-TR"/>
              </w:rPr>
              <w:t xml:space="preserve"> </w:t>
            </w:r>
            <w:r w:rsidRPr="00A23740">
              <w:rPr>
                <w:rStyle w:val="MaviChar"/>
              </w:rPr>
              <w:t>kabulü h</w:t>
            </w:r>
            <w:r w:rsidR="00C219C2" w:rsidRPr="00A23740">
              <w:rPr>
                <w:rStyle w:val="MaviChar"/>
                <w:lang w:val="tr-TR"/>
              </w:rPr>
              <w:t>â</w:t>
            </w:r>
            <w:r w:rsidRPr="00A23740">
              <w:rPr>
                <w:rStyle w:val="MaviChar"/>
              </w:rPr>
              <w:t>linde verilecek kararlar</w:t>
            </w:r>
            <w:r w:rsidRPr="00A23740">
              <w:rPr>
                <w:rFonts w:eastAsia="Times New Roman"/>
                <w:b/>
                <w:bCs/>
                <w:szCs w:val="24"/>
                <w:lang w:eastAsia="tr-TR"/>
              </w:rPr>
              <w:t xml:space="preserve"> </w:t>
            </w:r>
          </w:p>
          <w:p w:rsidR="00155AF4" w:rsidRPr="00A23740" w:rsidRDefault="00155AF4" w:rsidP="009431FF">
            <w:pPr>
              <w:rPr>
                <w:rStyle w:val="MaviChar"/>
                <w:lang w:val="tr-TR"/>
              </w:rPr>
            </w:pPr>
            <w:r w:rsidRPr="00A23740">
              <w:rPr>
                <w:rStyle w:val="MaviChar"/>
                <w:lang w:val="tr-TR"/>
              </w:rPr>
              <w:t xml:space="preserve">MADDE </w:t>
            </w:r>
            <w:r w:rsidR="0059245E" w:rsidRPr="00A23740">
              <w:rPr>
                <w:rStyle w:val="MaviChar"/>
              </w:rPr>
              <w:t>29</w:t>
            </w:r>
            <w:r w:rsidR="00642FEB" w:rsidRPr="00A23740">
              <w:rPr>
                <w:rStyle w:val="MaviChar"/>
              </w:rPr>
              <w:t>- (1) Şik</w:t>
            </w:r>
            <w:r w:rsidR="00642FEB" w:rsidRPr="00A23740">
              <w:rPr>
                <w:rStyle w:val="MaviChar"/>
                <w:lang w:val="tr-TR"/>
              </w:rPr>
              <w:t>â</w:t>
            </w:r>
            <w:r w:rsidRPr="00A23740">
              <w:rPr>
                <w:rStyle w:val="MaviChar"/>
              </w:rPr>
              <w:t>yetin kabulü h</w:t>
            </w:r>
            <w:r w:rsidR="00726EE8" w:rsidRPr="00A23740">
              <w:rPr>
                <w:rStyle w:val="MaviChar"/>
                <w:lang w:val="tr-TR"/>
              </w:rPr>
              <w:t>â</w:t>
            </w:r>
            <w:r w:rsidRPr="00A23740">
              <w:rPr>
                <w:rStyle w:val="MaviChar"/>
              </w:rPr>
              <w:t>linde mahkeme,</w:t>
            </w:r>
            <w:r w:rsidRPr="00A23740">
              <w:rPr>
                <w:rFonts w:eastAsia="ヒラギノ明朝 Pro W3"/>
                <w:b/>
                <w:color w:val="0000FF"/>
                <w:szCs w:val="24"/>
                <w:lang w:eastAsia="tr-TR"/>
              </w:rPr>
              <w:t xml:space="preserve"> </w:t>
            </w:r>
            <w:r w:rsidRPr="00A23740">
              <w:rPr>
                <w:rFonts w:eastAsia="Times New Roman"/>
                <w:szCs w:val="24"/>
                <w:lang w:eastAsia="tr-TR"/>
              </w:rPr>
              <w:t xml:space="preserve">şikâyet </w:t>
            </w:r>
            <w:r w:rsidRPr="00A23740">
              <w:rPr>
                <w:rStyle w:val="MaviChar"/>
              </w:rPr>
              <w:t>konusu işlemin iptaline veya düzeltilmesine</w:t>
            </w:r>
            <w:r w:rsidRPr="00A23740">
              <w:rPr>
                <w:rStyle w:val="MaviChar"/>
                <w:lang w:val="tr-TR"/>
              </w:rPr>
              <w:t xml:space="preserve"> </w:t>
            </w:r>
            <w:r w:rsidRPr="00A23740">
              <w:rPr>
                <w:rStyle w:val="MaviChar"/>
              </w:rPr>
              <w:t xml:space="preserve">karar verir; </w:t>
            </w:r>
            <w:r w:rsidRPr="00A23740">
              <w:rPr>
                <w:rStyle w:val="MaviChar"/>
                <w:lang w:val="tr-TR"/>
              </w:rPr>
              <w:t xml:space="preserve">haklı bir sebep olmaksızın </w:t>
            </w:r>
            <w:r w:rsidRPr="00A23740">
              <w:rPr>
                <w:rStyle w:val="MaviChar"/>
              </w:rPr>
              <w:t>yapılmayan ya da sürüncemede bırakılan işlemin</w:t>
            </w:r>
            <w:r w:rsidRPr="00A23740">
              <w:rPr>
                <w:rStyle w:val="MaviChar"/>
                <w:lang w:val="tr-TR"/>
              </w:rPr>
              <w:t xml:space="preserve"> </w:t>
            </w:r>
            <w:r w:rsidRPr="00A23740">
              <w:rPr>
                <w:rStyle w:val="MaviChar"/>
              </w:rPr>
              <w:t>yapılmasını emreder.</w:t>
            </w:r>
          </w:p>
          <w:p w:rsidR="00155AF4" w:rsidRPr="00A23740" w:rsidRDefault="00155AF4" w:rsidP="009431FF">
            <w:pPr>
              <w:rPr>
                <w:rFonts w:eastAsia="ヒラギノ明朝 Pro W3"/>
                <w:b/>
                <w:color w:val="0000FF"/>
                <w:szCs w:val="24"/>
                <w:lang w:eastAsia="tr-TR"/>
              </w:rPr>
            </w:pPr>
          </w:p>
        </w:tc>
      </w:tr>
      <w:tr w:rsidR="00155AF4" w:rsidRPr="00A23740" w:rsidTr="009431FF">
        <w:tc>
          <w:tcPr>
            <w:tcW w:w="5000" w:type="pct"/>
            <w:gridSpan w:val="2"/>
            <w:shd w:val="clear" w:color="auto" w:fill="DEEAF6"/>
          </w:tcPr>
          <w:p w:rsidR="00F22018" w:rsidRPr="00A23740" w:rsidRDefault="00F22018" w:rsidP="009431FF">
            <w:pPr>
              <w:pStyle w:val="Mavi"/>
              <w:ind w:firstLine="709"/>
              <w:rPr>
                <w:color w:val="auto"/>
                <w:lang w:val="tr-TR"/>
              </w:rPr>
            </w:pPr>
          </w:p>
          <w:p w:rsidR="00726EE8" w:rsidRPr="00A23740" w:rsidRDefault="00D42F78" w:rsidP="009431FF">
            <w:pPr>
              <w:pStyle w:val="Mavi"/>
              <w:ind w:firstLine="709"/>
              <w:rPr>
                <w:rStyle w:val="MaviChar"/>
                <w:color w:val="auto"/>
                <w:lang w:val="tr-TR"/>
              </w:rPr>
            </w:pPr>
            <w:r w:rsidRPr="00A23740">
              <w:rPr>
                <w:color w:val="auto"/>
                <w:lang w:val="tr-TR"/>
              </w:rPr>
              <w:t>MADDE 29</w:t>
            </w:r>
            <w:r w:rsidR="00155AF4" w:rsidRPr="00A23740">
              <w:rPr>
                <w:color w:val="auto"/>
                <w:lang w:val="tr-TR"/>
              </w:rPr>
              <w:t xml:space="preserve">- </w:t>
            </w:r>
            <w:r w:rsidR="00155AF4" w:rsidRPr="00A23740">
              <w:rPr>
                <w:rStyle w:val="MaviChar"/>
                <w:color w:val="auto"/>
              </w:rPr>
              <w:t>Madde</w:t>
            </w:r>
            <w:r w:rsidR="00F22018" w:rsidRPr="00A23740">
              <w:rPr>
                <w:rStyle w:val="MaviChar"/>
                <w:color w:val="auto"/>
              </w:rPr>
              <w:t xml:space="preserve">yle, </w:t>
            </w:r>
            <w:r w:rsidR="00155AF4" w:rsidRPr="00A23740">
              <w:rPr>
                <w:rStyle w:val="MaviChar"/>
                <w:color w:val="auto"/>
              </w:rPr>
              <w:t>şikâyet</w:t>
            </w:r>
            <w:r w:rsidR="00155AF4" w:rsidRPr="00A23740">
              <w:rPr>
                <w:rStyle w:val="MaviChar"/>
                <w:bCs/>
                <w:color w:val="auto"/>
              </w:rPr>
              <w:t>in</w:t>
            </w:r>
            <w:r w:rsidR="00155AF4" w:rsidRPr="00A23740">
              <w:rPr>
                <w:rStyle w:val="MaviChar"/>
                <w:color w:val="auto"/>
              </w:rPr>
              <w:t xml:space="preserve"> </w:t>
            </w:r>
            <w:r w:rsidR="00155AF4" w:rsidRPr="00A23740">
              <w:rPr>
                <w:rStyle w:val="MaviChar"/>
                <w:bCs/>
                <w:color w:val="auto"/>
              </w:rPr>
              <w:t>kabulü h</w:t>
            </w:r>
            <w:r w:rsidR="00726EE8" w:rsidRPr="00A23740">
              <w:rPr>
                <w:rStyle w:val="MaviChar"/>
                <w:bCs/>
                <w:color w:val="auto"/>
                <w:lang w:val="tr-TR"/>
              </w:rPr>
              <w:t>â</w:t>
            </w:r>
            <w:r w:rsidR="00155AF4" w:rsidRPr="00A23740">
              <w:rPr>
                <w:rStyle w:val="MaviChar"/>
                <w:bCs/>
                <w:color w:val="auto"/>
              </w:rPr>
              <w:t>linde mahkemece verilecek kararlar</w:t>
            </w:r>
            <w:r w:rsidR="00155AF4" w:rsidRPr="00A23740">
              <w:rPr>
                <w:rStyle w:val="MaviChar"/>
                <w:color w:val="auto"/>
              </w:rPr>
              <w:t xml:space="preserve"> düzenlenmektedir.</w:t>
            </w:r>
            <w:r w:rsidR="00F22018" w:rsidRPr="00A23740">
              <w:rPr>
                <w:rStyle w:val="MaviChar"/>
                <w:color w:val="auto"/>
              </w:rPr>
              <w:t xml:space="preserve"> Bu hüküm, 2004 sayılı Kanunun 17 nci maddesine karşılık gelmektedir.</w:t>
            </w:r>
            <w:r w:rsidR="004172EF" w:rsidRPr="00A23740">
              <w:rPr>
                <w:rStyle w:val="MaviChar"/>
                <w:color w:val="auto"/>
                <w:lang w:val="tr-TR"/>
              </w:rPr>
              <w:t xml:space="preserve"> </w:t>
            </w:r>
          </w:p>
          <w:p w:rsidR="00F22018" w:rsidRPr="00A23740" w:rsidRDefault="00F22018" w:rsidP="009431FF">
            <w:pPr>
              <w:pStyle w:val="Mavi"/>
              <w:ind w:firstLine="709"/>
              <w:rPr>
                <w:bCs w:val="0"/>
                <w:color w:val="auto"/>
                <w:lang w:val="tr-TR"/>
              </w:rPr>
            </w:pPr>
            <w:r w:rsidRPr="00A23740">
              <w:rPr>
                <w:rStyle w:val="MaviChar"/>
                <w:color w:val="auto"/>
                <w:lang w:val="tr-TR"/>
              </w:rPr>
              <w:t>B</w:t>
            </w:r>
            <w:r w:rsidR="00944509" w:rsidRPr="00A23740">
              <w:rPr>
                <w:rStyle w:val="MaviChar"/>
                <w:color w:val="auto"/>
                <w:lang w:val="tr-TR"/>
              </w:rPr>
              <w:t>irinci fıkra</w:t>
            </w:r>
            <w:r w:rsidRPr="00A23740">
              <w:rPr>
                <w:rStyle w:val="MaviChar"/>
                <w:color w:val="auto"/>
                <w:lang w:val="tr-TR"/>
              </w:rPr>
              <w:t xml:space="preserve">yla, </w:t>
            </w:r>
            <w:r w:rsidR="00944509" w:rsidRPr="00A23740">
              <w:rPr>
                <w:rStyle w:val="MaviChar"/>
                <w:color w:val="auto"/>
                <w:lang w:val="tr-TR"/>
              </w:rPr>
              <w:t xml:space="preserve">mahkemenin </w:t>
            </w:r>
            <w:r w:rsidR="00155AF4" w:rsidRPr="00A23740">
              <w:rPr>
                <w:rStyle w:val="MaviChar"/>
                <w:color w:val="auto"/>
              </w:rPr>
              <w:t>şikâyeti</w:t>
            </w:r>
            <w:r w:rsidR="00944509" w:rsidRPr="00A23740">
              <w:rPr>
                <w:rStyle w:val="MaviChar"/>
                <w:color w:val="auto"/>
                <w:lang w:val="tr-TR"/>
              </w:rPr>
              <w:t xml:space="preserve"> kabul etmesi h</w:t>
            </w:r>
            <w:r w:rsidR="00726EE8" w:rsidRPr="00A23740">
              <w:rPr>
                <w:rStyle w:val="MaviChar"/>
                <w:color w:val="auto"/>
                <w:lang w:val="tr-TR"/>
              </w:rPr>
              <w:t>â</w:t>
            </w:r>
            <w:r w:rsidR="00944509" w:rsidRPr="00A23740">
              <w:rPr>
                <w:rStyle w:val="MaviChar"/>
                <w:color w:val="auto"/>
                <w:lang w:val="tr-TR"/>
              </w:rPr>
              <w:t>linde,</w:t>
            </w:r>
            <w:r w:rsidR="00155AF4" w:rsidRPr="00A23740">
              <w:rPr>
                <w:rStyle w:val="MaviChar"/>
                <w:color w:val="auto"/>
              </w:rPr>
              <w:t xml:space="preserve"> şikâyet konusu işlemin niteliğine göre, işlemin iptaline veya düzeltilmesine karar vere</w:t>
            </w:r>
            <w:r w:rsidR="00944509" w:rsidRPr="00A23740">
              <w:rPr>
                <w:rStyle w:val="MaviChar"/>
                <w:color w:val="auto"/>
                <w:lang w:val="tr-TR"/>
              </w:rPr>
              <w:t xml:space="preserve">ceği; </w:t>
            </w:r>
            <w:r w:rsidR="00155AF4" w:rsidRPr="00A23740">
              <w:rPr>
                <w:rStyle w:val="MaviChar"/>
                <w:color w:val="auto"/>
              </w:rPr>
              <w:t>haklı bir sebep olmaksızın yapılmayan ya da sürüncemede bırakılan işlemin</w:t>
            </w:r>
            <w:r w:rsidR="00944509" w:rsidRPr="00A23740">
              <w:rPr>
                <w:rStyle w:val="MaviChar"/>
                <w:color w:val="auto"/>
                <w:lang w:val="tr-TR"/>
              </w:rPr>
              <w:t xml:space="preserve"> ise</w:t>
            </w:r>
            <w:r w:rsidR="00155AF4" w:rsidRPr="00A23740">
              <w:rPr>
                <w:rStyle w:val="MaviChar"/>
                <w:color w:val="auto"/>
              </w:rPr>
              <w:t xml:space="preserve"> yapılmasını emrede</w:t>
            </w:r>
            <w:r w:rsidR="00944509" w:rsidRPr="00A23740">
              <w:rPr>
                <w:rStyle w:val="MaviChar"/>
                <w:color w:val="auto"/>
                <w:lang w:val="tr-TR"/>
              </w:rPr>
              <w:t>ceği düzenlenmektedir</w:t>
            </w:r>
            <w:r w:rsidR="00155AF4" w:rsidRPr="00A23740">
              <w:rPr>
                <w:rStyle w:val="MaviChar"/>
                <w:color w:val="auto"/>
              </w:rPr>
              <w:t>.</w:t>
            </w:r>
          </w:p>
          <w:p w:rsidR="00F22018" w:rsidRPr="00A23740" w:rsidRDefault="00F22018"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vAlign w:val="center"/>
          </w:tcPr>
          <w:p w:rsidR="00155AF4" w:rsidRPr="00A23740" w:rsidRDefault="00155AF4" w:rsidP="009431FF">
            <w:pPr>
              <w:tabs>
                <w:tab w:val="left" w:pos="567"/>
              </w:tabs>
              <w:jc w:val="center"/>
              <w:rPr>
                <w:rFonts w:eastAsia="Times New Roman"/>
                <w:szCs w:val="24"/>
                <w:lang w:eastAsia="tr-TR"/>
              </w:rPr>
            </w:pPr>
          </w:p>
        </w:tc>
        <w:tc>
          <w:tcPr>
            <w:tcW w:w="2500" w:type="pct"/>
          </w:tcPr>
          <w:p w:rsidR="00155AF4" w:rsidRPr="00A23740" w:rsidRDefault="00155AF4" w:rsidP="009431FF">
            <w:pPr>
              <w:pStyle w:val="Mavi"/>
            </w:pPr>
            <w:r w:rsidRPr="00A23740">
              <w:t>Hükümsüz işlemler</w:t>
            </w:r>
          </w:p>
          <w:p w:rsidR="008B082E" w:rsidRPr="00A23740" w:rsidRDefault="0059245E" w:rsidP="009431FF">
            <w:pPr>
              <w:rPr>
                <w:rStyle w:val="MaviChar"/>
              </w:rPr>
            </w:pPr>
            <w:r w:rsidRPr="00A23740">
              <w:rPr>
                <w:rStyle w:val="MaviChar"/>
              </w:rPr>
              <w:t>MADDE 30</w:t>
            </w:r>
            <w:r w:rsidR="00155AF4" w:rsidRPr="00A23740">
              <w:rPr>
                <w:rStyle w:val="MaviChar"/>
              </w:rPr>
              <w:t>- (1) Kamu yararına konulmuş hükümler ile takibin tarafı olmayan kişilerin yararını korumak için konulmuş emredici hükümlere aykırı işlemler hüküm</w:t>
            </w:r>
            <w:r w:rsidR="007E7BE3" w:rsidRPr="00A23740">
              <w:rPr>
                <w:rStyle w:val="MaviChar"/>
              </w:rPr>
              <w:t>süzdür.</w:t>
            </w:r>
          </w:p>
          <w:p w:rsidR="008B082E" w:rsidRPr="00A23740" w:rsidRDefault="008B082E" w:rsidP="009431FF">
            <w:pPr>
              <w:rPr>
                <w:rStyle w:val="MaviChar"/>
              </w:rPr>
            </w:pPr>
          </w:p>
          <w:p w:rsidR="00C86AF0" w:rsidRPr="00A23740" w:rsidRDefault="00C86AF0" w:rsidP="009431FF">
            <w:pPr>
              <w:rPr>
                <w:rStyle w:val="MaviChar"/>
                <w:color w:val="70AD47"/>
              </w:rPr>
            </w:pPr>
            <w:r w:rsidRPr="002B26FC">
              <w:rPr>
                <w:rStyle w:val="MaviChar"/>
              </w:rPr>
              <w:t>(2) Mahkeme, usulü dairesinde kendisine intikal eden işlerde hükümsüzlüğü her zaman tespit edebilir ve gerekli kararı verir.</w:t>
            </w:r>
          </w:p>
          <w:p w:rsidR="00155AF4" w:rsidRPr="00A23740" w:rsidRDefault="00155AF4" w:rsidP="009431FF">
            <w:pPr>
              <w:pStyle w:val="AltKonuBal"/>
              <w:rPr>
                <w:lang w:eastAsia="tr-TR"/>
              </w:rPr>
            </w:pPr>
          </w:p>
        </w:tc>
      </w:tr>
      <w:tr w:rsidR="00155AF4" w:rsidRPr="00A23740" w:rsidTr="009431FF">
        <w:tc>
          <w:tcPr>
            <w:tcW w:w="5000" w:type="pct"/>
            <w:gridSpan w:val="2"/>
            <w:shd w:val="clear" w:color="auto" w:fill="DEEAF6"/>
          </w:tcPr>
          <w:p w:rsidR="00F24621" w:rsidRPr="00A23740" w:rsidRDefault="00F24621" w:rsidP="009431FF">
            <w:pPr>
              <w:pStyle w:val="KIRMIZI"/>
              <w:rPr>
                <w:color w:val="auto"/>
                <w:lang w:val="tr-TR"/>
              </w:rPr>
            </w:pPr>
          </w:p>
          <w:p w:rsidR="00726EE8" w:rsidRPr="00A23740" w:rsidRDefault="00726EE8" w:rsidP="009431FF">
            <w:pPr>
              <w:ind w:firstLine="709"/>
              <w:rPr>
                <w:rFonts w:ascii="Times" w:hAnsi="Times" w:cs="Times"/>
                <w:szCs w:val="24"/>
              </w:rPr>
            </w:pPr>
            <w:r w:rsidRPr="00045DAC">
              <w:rPr>
                <w:rFonts w:ascii="Times" w:hAnsi="Times" w:cs="Times"/>
                <w:b/>
                <w:szCs w:val="24"/>
              </w:rPr>
              <w:t>MADDE 30-</w:t>
            </w:r>
            <w:r w:rsidRPr="002B26FC">
              <w:rPr>
                <w:rFonts w:ascii="Times" w:hAnsi="Times" w:cs="Times"/>
                <w:szCs w:val="24"/>
              </w:rPr>
              <w:t xml:space="preserve"> </w:t>
            </w:r>
            <w:r w:rsidR="006E4AC1" w:rsidRPr="00A23740">
              <w:rPr>
                <w:rFonts w:ascii="Times" w:hAnsi="Times" w:cs="Times"/>
                <w:szCs w:val="24"/>
              </w:rPr>
              <w:t xml:space="preserve">Maddeyle, icra takibi işlemlerinin hükümsüzlüğü düzenlenmektedir. </w:t>
            </w:r>
          </w:p>
          <w:p w:rsidR="00D665F2" w:rsidRPr="00A23740" w:rsidRDefault="006E4AC1" w:rsidP="009431FF">
            <w:pPr>
              <w:ind w:firstLine="709"/>
              <w:rPr>
                <w:rFonts w:ascii="Times" w:hAnsi="Times" w:cs="Times"/>
                <w:szCs w:val="24"/>
              </w:rPr>
            </w:pPr>
            <w:r w:rsidRPr="00A23740">
              <w:rPr>
                <w:rFonts w:ascii="Times" w:hAnsi="Times" w:cs="Times"/>
                <w:szCs w:val="24"/>
              </w:rPr>
              <w:t>Birinci fıkrayla, Türk hukukunda bir yenilik olarak, kamu yararına konulmuş hükümler ile takibin tarafı olmayan kişilerin yararını korumak amacıyla konulmuş emredici hükümlere aykırı işlemlerin hükü</w:t>
            </w:r>
            <w:r w:rsidR="00D665F2" w:rsidRPr="00A23740">
              <w:rPr>
                <w:rFonts w:ascii="Times" w:hAnsi="Times" w:cs="Times"/>
                <w:szCs w:val="24"/>
              </w:rPr>
              <w:t>msüz olduğu kabul edilmektedir.</w:t>
            </w:r>
            <w:r w:rsidRPr="00A23740">
              <w:rPr>
                <w:rFonts w:ascii="Times" w:hAnsi="Times" w:cs="Times"/>
                <w:szCs w:val="24"/>
              </w:rPr>
              <w:t xml:space="preserve"> </w:t>
            </w:r>
          </w:p>
          <w:p w:rsidR="001C174B" w:rsidRPr="00A23740" w:rsidRDefault="006E4AC1" w:rsidP="009431FF">
            <w:pPr>
              <w:ind w:firstLine="709"/>
              <w:rPr>
                <w:rFonts w:ascii="Times" w:hAnsi="Times" w:cs="Times"/>
                <w:szCs w:val="24"/>
              </w:rPr>
            </w:pPr>
            <w:r w:rsidRPr="00A23740">
              <w:rPr>
                <w:rFonts w:ascii="Times" w:hAnsi="Times" w:cs="Times"/>
                <w:szCs w:val="24"/>
              </w:rPr>
              <w:t>İkinci fıkrayla</w:t>
            </w:r>
            <w:r w:rsidR="001C174B" w:rsidRPr="002B26FC">
              <w:rPr>
                <w:rFonts w:ascii="Times" w:hAnsi="Times" w:cs="Times"/>
                <w:szCs w:val="24"/>
              </w:rPr>
              <w:t xml:space="preserve"> mahkeme</w:t>
            </w:r>
            <w:r w:rsidR="0057637A" w:rsidRPr="002B26FC">
              <w:rPr>
                <w:rFonts w:ascii="Times" w:hAnsi="Times" w:cs="Times"/>
                <w:szCs w:val="24"/>
              </w:rPr>
              <w:t>nin,</w:t>
            </w:r>
            <w:r w:rsidR="001C174B" w:rsidRPr="002B26FC">
              <w:rPr>
                <w:rFonts w:ascii="Times" w:hAnsi="Times" w:cs="Times"/>
                <w:szCs w:val="24"/>
              </w:rPr>
              <w:t xml:space="preserve"> usulü dairesinde kendisine intikal eden işlerde hükümsüzlüğü her zaman tespit edebileceği ve gerekli kararı vereceği hükme bağlanmaktadır.</w:t>
            </w:r>
            <w:r w:rsidRPr="00A23740">
              <w:rPr>
                <w:rFonts w:ascii="Times" w:hAnsi="Times" w:cs="Times"/>
                <w:szCs w:val="24"/>
              </w:rPr>
              <w:t xml:space="preserve"> </w:t>
            </w:r>
          </w:p>
          <w:p w:rsidR="006E4AC1" w:rsidRPr="00A23740" w:rsidRDefault="006E4AC1" w:rsidP="009431FF">
            <w:pPr>
              <w:ind w:firstLine="709"/>
              <w:rPr>
                <w:rFonts w:ascii="Times" w:hAnsi="Times" w:cs="Times"/>
                <w:szCs w:val="24"/>
              </w:rPr>
            </w:pPr>
            <w:r w:rsidRPr="00A23740">
              <w:rPr>
                <w:rFonts w:ascii="Times" w:hAnsi="Times" w:cs="Times"/>
                <w:szCs w:val="24"/>
              </w:rPr>
              <w:t xml:space="preserve">“Hükümsüz işlemler” kavramı İsviçre Federal Mahkemesinin içtihatlarıyla gelişmiş ve 1997 yılında </w:t>
            </w:r>
            <w:r w:rsidR="00D665F2" w:rsidRPr="002B26FC">
              <w:rPr>
                <w:rFonts w:ascii="Times" w:hAnsi="Times" w:cs="Times"/>
                <w:bCs/>
                <w:szCs w:val="24"/>
              </w:rPr>
              <w:t>İsviçre’nin Borç İçin Takip ve İflas Hakkında Federal Kanununun</w:t>
            </w:r>
            <w:r w:rsidR="00D665F2" w:rsidRPr="002B26FC">
              <w:rPr>
                <w:rFonts w:ascii="Times" w:hAnsi="Times" w:cs="Times"/>
                <w:szCs w:val="24"/>
              </w:rPr>
              <w:t xml:space="preserve"> </w:t>
            </w:r>
            <w:r w:rsidRPr="002B26FC">
              <w:rPr>
                <w:rFonts w:ascii="Times" w:hAnsi="Times" w:cs="Times"/>
                <w:szCs w:val="24"/>
              </w:rPr>
              <w:t>22 nci</w:t>
            </w:r>
            <w:r w:rsidRPr="00A23740">
              <w:rPr>
                <w:rFonts w:ascii="Times" w:hAnsi="Times" w:cs="Times"/>
                <w:szCs w:val="24"/>
              </w:rPr>
              <w:t xml:space="preserve"> maddesinde yapılan değişiklikle kanuni düzenlemeye kavuşmuştur.  Şikâyette iptal edilen veya düzeltilen bir işlem söz konusu iken, hükümsüz işlem, yapıldığı andan itibare</w:t>
            </w:r>
            <w:r w:rsidR="00872E7B" w:rsidRPr="00A23740">
              <w:rPr>
                <w:rFonts w:ascii="Times" w:hAnsi="Times" w:cs="Times"/>
                <w:szCs w:val="24"/>
              </w:rPr>
              <w:t>n hiçbir etki ve sonuç doğurmaz</w:t>
            </w:r>
            <w:r w:rsidR="00D665F2" w:rsidRPr="00A23740">
              <w:rPr>
                <w:rFonts w:ascii="Times" w:hAnsi="Times" w:cs="Times"/>
                <w:szCs w:val="24"/>
              </w:rPr>
              <w:t>.</w:t>
            </w:r>
            <w:r w:rsidRPr="00A23740">
              <w:rPr>
                <w:rFonts w:ascii="Times" w:hAnsi="Times" w:cs="Times"/>
                <w:szCs w:val="24"/>
              </w:rPr>
              <w:t xml:space="preserve"> Bu bağlamda İsviçre hukuk uygulamasında icra takip işleminin hükümsüzlüğünün bizzat icra</w:t>
            </w:r>
            <w:r w:rsidR="00205ACB" w:rsidRPr="00A23740">
              <w:rPr>
                <w:rFonts w:ascii="Times" w:hAnsi="Times" w:cs="Times"/>
                <w:szCs w:val="24"/>
              </w:rPr>
              <w:t xml:space="preserve"> </w:t>
            </w:r>
            <w:r w:rsidR="00205ACB" w:rsidRPr="002B26FC">
              <w:rPr>
                <w:rFonts w:ascii="Times" w:hAnsi="Times" w:cs="Times"/>
                <w:szCs w:val="24"/>
              </w:rPr>
              <w:t>ve iflas</w:t>
            </w:r>
            <w:r w:rsidRPr="00A23740">
              <w:rPr>
                <w:rFonts w:ascii="Times" w:hAnsi="Times" w:cs="Times"/>
                <w:szCs w:val="24"/>
              </w:rPr>
              <w:t xml:space="preserve"> dairesi tarafından da tespit edilebileceği ve bu durumda icra</w:t>
            </w:r>
            <w:r w:rsidR="00205ACB" w:rsidRPr="00A23740">
              <w:rPr>
                <w:rFonts w:ascii="Times" w:hAnsi="Times" w:cs="Times"/>
                <w:szCs w:val="24"/>
              </w:rPr>
              <w:t xml:space="preserve"> </w:t>
            </w:r>
            <w:r w:rsidR="00205ACB" w:rsidRPr="002B26FC">
              <w:rPr>
                <w:rFonts w:ascii="Times" w:hAnsi="Times" w:cs="Times"/>
                <w:szCs w:val="24"/>
              </w:rPr>
              <w:t>ve</w:t>
            </w:r>
            <w:r w:rsidR="00205ACB" w:rsidRPr="002B26FC">
              <w:rPr>
                <w:rFonts w:ascii="Times" w:hAnsi="Times" w:cs="Times"/>
                <w:b/>
              </w:rPr>
              <w:t xml:space="preserve"> </w:t>
            </w:r>
            <w:r w:rsidR="00205ACB" w:rsidRPr="002B26FC">
              <w:rPr>
                <w:rFonts w:ascii="Times" w:hAnsi="Times" w:cs="Times"/>
                <w:szCs w:val="24"/>
              </w:rPr>
              <w:t>iflas</w:t>
            </w:r>
            <w:r w:rsidRPr="00A23740">
              <w:rPr>
                <w:rFonts w:ascii="Times" w:hAnsi="Times" w:cs="Times"/>
                <w:szCs w:val="24"/>
              </w:rPr>
              <w:t xml:space="preserve"> dairesi tarafından resen yeni bir icra takip işlemi tesis </w:t>
            </w:r>
            <w:r w:rsidR="00D665F2" w:rsidRPr="002B26FC">
              <w:rPr>
                <w:rFonts w:ascii="Times" w:hAnsi="Times" w:cs="Times"/>
                <w:szCs w:val="24"/>
              </w:rPr>
              <w:t>edilebileceği</w:t>
            </w:r>
            <w:r w:rsidR="00D665F2" w:rsidRPr="00A23740">
              <w:rPr>
                <w:rFonts w:ascii="Times" w:hAnsi="Times" w:cs="Times"/>
                <w:szCs w:val="24"/>
              </w:rPr>
              <w:t xml:space="preserve"> </w:t>
            </w:r>
            <w:r w:rsidRPr="00A23740">
              <w:rPr>
                <w:rFonts w:ascii="Times" w:hAnsi="Times" w:cs="Times"/>
                <w:szCs w:val="24"/>
              </w:rPr>
              <w:t>kabul edilmiş olmakla birlikte, bu görüş Türk hukuku bakı</w:t>
            </w:r>
            <w:r w:rsidR="00D665F2" w:rsidRPr="00A23740">
              <w:rPr>
                <w:rFonts w:ascii="Times" w:hAnsi="Times" w:cs="Times"/>
                <w:szCs w:val="24"/>
              </w:rPr>
              <w:t xml:space="preserve">mından uygun görülmemiş, </w:t>
            </w:r>
            <w:r w:rsidR="00D665F2" w:rsidRPr="002B26FC">
              <w:rPr>
                <w:rFonts w:ascii="Times" w:hAnsi="Times" w:cs="Times"/>
                <w:szCs w:val="24"/>
              </w:rPr>
              <w:t>maddenin</w:t>
            </w:r>
            <w:r w:rsidR="00D665F2" w:rsidRPr="00A23740">
              <w:rPr>
                <w:rFonts w:ascii="Times" w:hAnsi="Times" w:cs="Times"/>
                <w:szCs w:val="24"/>
              </w:rPr>
              <w:t xml:space="preserve"> </w:t>
            </w:r>
            <w:r w:rsidRPr="00A23740">
              <w:rPr>
                <w:rFonts w:ascii="Times" w:hAnsi="Times" w:cs="Times"/>
                <w:szCs w:val="24"/>
              </w:rPr>
              <w:t>ikinci fıkrasıyla, icra takip iş</w:t>
            </w:r>
            <w:r w:rsidR="00D665F2" w:rsidRPr="00A23740">
              <w:rPr>
                <w:rFonts w:ascii="Times" w:hAnsi="Times" w:cs="Times"/>
                <w:szCs w:val="24"/>
              </w:rPr>
              <w:t>leminin hükümsüzlüğünün sadece m</w:t>
            </w:r>
            <w:r w:rsidRPr="00A23740">
              <w:rPr>
                <w:rFonts w:ascii="Times" w:hAnsi="Times" w:cs="Times"/>
                <w:szCs w:val="24"/>
              </w:rPr>
              <w:t>ahkeme tarafından tespit edilebileceği tasrih edilmiştir.</w:t>
            </w:r>
          </w:p>
          <w:p w:rsidR="008706B1" w:rsidRPr="00A23740" w:rsidRDefault="006E4AC1" w:rsidP="009431FF">
            <w:pPr>
              <w:ind w:firstLine="709"/>
              <w:rPr>
                <w:rFonts w:ascii="Times" w:hAnsi="Times" w:cs="Times"/>
                <w:szCs w:val="24"/>
              </w:rPr>
            </w:pPr>
            <w:r w:rsidRPr="00A23740">
              <w:rPr>
                <w:rFonts w:ascii="Times" w:hAnsi="Times" w:cs="Times"/>
                <w:szCs w:val="24"/>
              </w:rPr>
              <w:lastRenderedPageBreak/>
              <w:t>Bir normun kamu yararını veya üçüncü kişileri korumak amaçlı olduğu bazen açıkça anlaşılabilir. Ancak bu tür bir açıklık olmadığında hükümsüzlükten söz edebilmek için, ihlalin ağır, açık ve kolay anlaşılabiliyor olması gerekir. Hükümsüz işlemlere</w:t>
            </w:r>
            <w:r w:rsidR="00D665F2" w:rsidRPr="00A23740">
              <w:rPr>
                <w:rFonts w:ascii="Times" w:hAnsi="Times" w:cs="Times"/>
                <w:szCs w:val="24"/>
              </w:rPr>
              <w:t>,</w:t>
            </w:r>
            <w:r w:rsidRPr="00A23740">
              <w:rPr>
                <w:rFonts w:ascii="Times" w:hAnsi="Times" w:cs="Times"/>
                <w:szCs w:val="24"/>
              </w:rPr>
              <w:t xml:space="preserve"> İsviçre hukukunda</w:t>
            </w:r>
            <w:r w:rsidR="00476751" w:rsidRPr="00A23740">
              <w:rPr>
                <w:rFonts w:ascii="Times" w:hAnsi="Times" w:cs="Times"/>
                <w:szCs w:val="24"/>
              </w:rPr>
              <w:t xml:space="preserve"> Federal Mahkeme kararlarından esinlenerek şu örnekler verilmektedir:</w:t>
            </w:r>
          </w:p>
          <w:p w:rsidR="006E4AC1" w:rsidRPr="00A23740" w:rsidRDefault="00D665F2" w:rsidP="009431FF">
            <w:pPr>
              <w:rPr>
                <w:rFonts w:ascii="Times" w:hAnsi="Times" w:cs="Times"/>
                <w:szCs w:val="24"/>
              </w:rPr>
            </w:pPr>
            <w:r w:rsidRPr="00A23740">
              <w:rPr>
                <w:rFonts w:ascii="Times" w:hAnsi="Times" w:cs="Times"/>
                <w:szCs w:val="24"/>
              </w:rPr>
              <w:tab/>
            </w:r>
            <w:r w:rsidR="006E4AC1" w:rsidRPr="00A23740">
              <w:rPr>
                <w:rFonts w:ascii="Times" w:hAnsi="Times" w:cs="Times"/>
                <w:szCs w:val="24"/>
              </w:rPr>
              <w:t xml:space="preserve">İcra </w:t>
            </w:r>
            <w:r w:rsidR="00205ACB" w:rsidRPr="002B26FC">
              <w:rPr>
                <w:rFonts w:ascii="Times" w:hAnsi="Times" w:cs="Times"/>
              </w:rPr>
              <w:t>ve iflas</w:t>
            </w:r>
            <w:r w:rsidR="00205ACB" w:rsidRPr="00A23740">
              <w:rPr>
                <w:rFonts w:ascii="Times" w:hAnsi="Times" w:cs="Times"/>
                <w:szCs w:val="24"/>
              </w:rPr>
              <w:t xml:space="preserve"> </w:t>
            </w:r>
            <w:r w:rsidR="006E4AC1" w:rsidRPr="00A23740">
              <w:rPr>
                <w:rFonts w:ascii="Times" w:hAnsi="Times" w:cs="Times"/>
                <w:szCs w:val="24"/>
              </w:rPr>
              <w:t>dairesinin görev sınırlarını aşarak yaptığı işlemler, örneğin icra mahkemesinin görev alanına giren bir konuda işlem tesis etmesi veya bir karar vermesi; alacaklının adının, kimliğinin açık olmadığı takipler, örneğin miras ortaklığı ya da topluluğu gibi ifadelerin kullanılması; tüzel kişiliği sona ermiş bir alacaklı tarafından yapılan takip; taraf veya takip ehliyeti olmayan kimseye karşı takip işlemleri yapılması; borçlunun bilgisine ulaşmayan, hatalı ödeme emri tebliği; ödeme emrinin tebliğinin belgelenmemiş olması; milletlerarası bir antlaşmaya aykırı tebliğ yapılması; sırf zarar vermek amacıyla hakkın kötüye kullanılması sayılan veya taciz niteliğindeki takipler; icra memurlarının kendileriyle akit veya işlem yapma yasağına aykırı davranmış olmaları; takibin geri alınmış olmasına, itiraz edilmiş olmasına veya hiç ödeme emri gönderilmemesine rağmen takibe devam edilmiş olması; haczin yeterince ferdileştirilmeden yapılması, örneğin haciz tutanağında nelerin haczedildiği gösterilmeden haciz yapılması; borçlunun ülke dışındaki mallarının haczi; icra</w:t>
            </w:r>
            <w:r w:rsidR="00205ACB" w:rsidRPr="00A23740">
              <w:rPr>
                <w:rStyle w:val="YELChar"/>
              </w:rPr>
              <w:t xml:space="preserve"> </w:t>
            </w:r>
            <w:r w:rsidR="00205ACB" w:rsidRPr="002B26FC">
              <w:rPr>
                <w:rFonts w:ascii="Times" w:hAnsi="Times" w:cs="Times"/>
                <w:szCs w:val="24"/>
              </w:rPr>
              <w:t>ve</w:t>
            </w:r>
            <w:r w:rsidR="00205ACB" w:rsidRPr="002B26FC">
              <w:rPr>
                <w:rFonts w:ascii="Times" w:hAnsi="Times" w:cs="Times"/>
                <w:b/>
              </w:rPr>
              <w:t xml:space="preserve"> </w:t>
            </w:r>
            <w:r w:rsidR="00205ACB" w:rsidRPr="002B26FC">
              <w:rPr>
                <w:rFonts w:ascii="Times" w:hAnsi="Times" w:cs="Times"/>
                <w:szCs w:val="24"/>
              </w:rPr>
              <w:t>iflas</w:t>
            </w:r>
            <w:r w:rsidR="006E4AC1" w:rsidRPr="00A23740">
              <w:rPr>
                <w:rFonts w:ascii="Times" w:hAnsi="Times" w:cs="Times"/>
                <w:szCs w:val="24"/>
              </w:rPr>
              <w:t xml:space="preserve"> dairesinin yetki çevresi dışında ihtiyati haczi infaz etmesi; takip konusu yapılmamış alacak için hac</w:t>
            </w:r>
            <w:r w:rsidR="007D6281" w:rsidRPr="00A23740">
              <w:rPr>
                <w:rFonts w:ascii="Times" w:hAnsi="Times" w:cs="Times"/>
                <w:szCs w:val="24"/>
              </w:rPr>
              <w:t>iz</w:t>
            </w:r>
            <w:r w:rsidR="006E4AC1" w:rsidRPr="00A23740">
              <w:rPr>
                <w:rFonts w:ascii="Times" w:hAnsi="Times" w:cs="Times"/>
                <w:szCs w:val="24"/>
              </w:rPr>
              <w:t xml:space="preserve"> yapılması; haksız bir fiille veya hileli bir şekilde bir alacağın sıraya alınmış olması; açık olmayan ve bu sebeple paylaştırmaya esas olmayacak bir sıra cetveli; haciz ve satış yapılmadan aciz belgesi düzenlenmesi; iflas eden anonim şirketin organına</w:t>
            </w:r>
            <w:r w:rsidR="007D6281" w:rsidRPr="00A23740">
              <w:rPr>
                <w:rFonts w:ascii="Times" w:hAnsi="Times" w:cs="Times"/>
                <w:szCs w:val="24"/>
              </w:rPr>
              <w:t xml:space="preserve"> iflas tasfiyesi çerçevesinde</w:t>
            </w:r>
            <w:r w:rsidR="006E4AC1" w:rsidRPr="00A23740">
              <w:rPr>
                <w:rFonts w:ascii="Times" w:hAnsi="Times" w:cs="Times"/>
                <w:szCs w:val="24"/>
              </w:rPr>
              <w:t xml:space="preserve"> ihale yapılması; tapuda yer almayan bir hakkın mükellefiyetler listesine alınması veya tapudaki bu tür bir kaydın listeye alınmaması; basit tasfiyede i</w:t>
            </w:r>
            <w:r w:rsidR="008706B1" w:rsidRPr="00A23740">
              <w:rPr>
                <w:rFonts w:ascii="Times" w:hAnsi="Times" w:cs="Times"/>
                <w:szCs w:val="24"/>
              </w:rPr>
              <w:t xml:space="preserve">flas idaresi görevlendirilmesi </w:t>
            </w:r>
            <w:r w:rsidR="005D3223" w:rsidRPr="00A23740">
              <w:rPr>
                <w:rFonts w:ascii="Times" w:hAnsi="Times" w:cs="Times"/>
                <w:szCs w:val="24"/>
              </w:rPr>
              <w:t>[</w:t>
            </w:r>
            <w:r w:rsidR="008706B1" w:rsidRPr="00A23740">
              <w:rPr>
                <w:szCs w:val="24"/>
              </w:rPr>
              <w:t>Adrian Staehelin/Thomas Bauer/Daniel Staehelin</w:t>
            </w:r>
            <w:r w:rsidR="008706B1" w:rsidRPr="00A23740">
              <w:rPr>
                <w:b/>
                <w:szCs w:val="24"/>
              </w:rPr>
              <w:t>,</w:t>
            </w:r>
            <w:r w:rsidR="008706B1" w:rsidRPr="00A23740">
              <w:rPr>
                <w:szCs w:val="24"/>
              </w:rPr>
              <w:t xml:space="preserve"> Kommentar Zum Bundesgesetz über Schuldbetreibung und Konkurs, SchKG I (Art. 1-87), Basel/Genf/München 1998, s. 166; Carl Jaeger/Hans Ulrich Walder/Thomas Kull/Martin Kottmann, Bundesgesetz über Schuldbetreibung und Konkurs, Band I (Art. 1-158), Zürich 1997, s. 105-107; Kurt Amonn/Dominik Gasser, Grundniss des Schuldbetreibungs- und Konkursrechts, Bern 1997, s. 42-43; Karl Spühler, </w:t>
            </w:r>
            <w:r w:rsidR="008706B1" w:rsidRPr="00A23740">
              <w:rPr>
                <w:bCs/>
                <w:szCs w:val="24"/>
              </w:rPr>
              <w:t xml:space="preserve">Schuldbetreibungs- und Konkursrecht I, 6. Auflage, 2014, s. 36; Daniel Hunkeler, Kurzkommentar SchKG, Basel 2014, s. 99-100; </w:t>
            </w:r>
            <w:r w:rsidR="008706B1" w:rsidRPr="00A23740">
              <w:rPr>
                <w:szCs w:val="24"/>
              </w:rPr>
              <w:t>Bernward Rodi, Maengel bei der Vollstreckung (Betreibung auf Pfaendung) in bewegliche Sachen und ihre betreibungsrechtliche Folgen nach schweizerischem und deutschem Betreibungsrecht, Zürich 1965, s. 44, 50-52, 56, 69, 72, 83-85, 87-88</w:t>
            </w:r>
            <w:r w:rsidR="005D3223" w:rsidRPr="00A23740">
              <w:rPr>
                <w:szCs w:val="24"/>
              </w:rPr>
              <w:t>]</w:t>
            </w:r>
            <w:r w:rsidR="008706B1" w:rsidRPr="00A23740">
              <w:rPr>
                <w:szCs w:val="24"/>
              </w:rPr>
              <w:t>.</w:t>
            </w:r>
          </w:p>
          <w:p w:rsidR="006E4AC1" w:rsidRPr="00A23740" w:rsidRDefault="006E4AC1" w:rsidP="009431FF">
            <w:pPr>
              <w:ind w:firstLine="709"/>
            </w:pPr>
            <w:r w:rsidRPr="00A23740">
              <w:rPr>
                <w:rFonts w:ascii="Times" w:hAnsi="Times" w:cs="Times"/>
                <w:szCs w:val="24"/>
              </w:rPr>
              <w:t>İsviçre hukukunda belirtilen örneklerin pek çoğunun h</w:t>
            </w:r>
            <w:r w:rsidR="00C219C2" w:rsidRPr="00A23740">
              <w:rPr>
                <w:rFonts w:ascii="Times" w:hAnsi="Times" w:cs="Times"/>
                <w:szCs w:val="24"/>
              </w:rPr>
              <w:t>â</w:t>
            </w:r>
            <w:r w:rsidRPr="00A23740">
              <w:rPr>
                <w:rFonts w:ascii="Times" w:hAnsi="Times" w:cs="Times"/>
                <w:szCs w:val="24"/>
              </w:rPr>
              <w:t>lihazırdaki Türk yargı içtihatlarına göre süresiz şikâyete konu olabileceği açıktır. Taslaktaki hükmün kanunlaşması durumunda ise bu h</w:t>
            </w:r>
            <w:r w:rsidR="00D665F2" w:rsidRPr="00A23740">
              <w:rPr>
                <w:rFonts w:ascii="Times" w:hAnsi="Times" w:cs="Times"/>
                <w:szCs w:val="24"/>
              </w:rPr>
              <w:t>â</w:t>
            </w:r>
            <w:r w:rsidRPr="00A23740">
              <w:rPr>
                <w:rFonts w:ascii="Times" w:hAnsi="Times" w:cs="Times"/>
                <w:szCs w:val="24"/>
              </w:rPr>
              <w:t>ller</w:t>
            </w:r>
            <w:r w:rsidR="005D3223" w:rsidRPr="00A23740">
              <w:rPr>
                <w:rFonts w:ascii="Times" w:hAnsi="Times" w:cs="Times"/>
                <w:szCs w:val="24"/>
              </w:rPr>
              <w:t>in</w:t>
            </w:r>
            <w:r w:rsidRPr="00A23740">
              <w:rPr>
                <w:rFonts w:ascii="Times" w:hAnsi="Times" w:cs="Times"/>
                <w:szCs w:val="24"/>
              </w:rPr>
              <w:t xml:space="preserve"> hükümsüzlüğe yol aça</w:t>
            </w:r>
            <w:r w:rsidR="00872E7B" w:rsidRPr="00A23740">
              <w:rPr>
                <w:rFonts w:ascii="Times" w:hAnsi="Times" w:cs="Times"/>
                <w:szCs w:val="24"/>
              </w:rPr>
              <w:t>bilece</w:t>
            </w:r>
            <w:r w:rsidR="00D31DA0" w:rsidRPr="00A23740">
              <w:rPr>
                <w:rFonts w:ascii="Times" w:hAnsi="Times" w:cs="Times"/>
                <w:szCs w:val="24"/>
              </w:rPr>
              <w:t>ği ileri sürülebilir</w:t>
            </w:r>
            <w:r w:rsidRPr="00A23740">
              <w:rPr>
                <w:rFonts w:ascii="Times" w:hAnsi="Times" w:cs="Times"/>
                <w:szCs w:val="24"/>
              </w:rPr>
              <w:t xml:space="preserve">. Örneğin </w:t>
            </w:r>
            <w:r w:rsidR="00AA04F0" w:rsidRPr="002B26FC">
              <w:rPr>
                <w:rFonts w:ascii="Times" w:hAnsi="Times" w:cs="Times"/>
                <w:szCs w:val="24"/>
              </w:rPr>
              <w:t>hâkimler</w:t>
            </w:r>
            <w:r w:rsidR="00AA04F0" w:rsidRPr="002B26FC">
              <w:rPr>
                <w:rFonts w:ascii="Times" w:hAnsi="Times" w:cs="Times"/>
                <w:b/>
                <w:bCs/>
                <w:szCs w:val="24"/>
              </w:rPr>
              <w:t xml:space="preserve"> </w:t>
            </w:r>
            <w:r w:rsidR="00AA04F0" w:rsidRPr="002B26FC">
              <w:rPr>
                <w:rFonts w:ascii="Times" w:hAnsi="Times" w:cs="Times"/>
                <w:szCs w:val="24"/>
              </w:rPr>
              <w:t>bakımından</w:t>
            </w:r>
            <w:r w:rsidR="00AA04F0" w:rsidRPr="00A23740">
              <w:rPr>
                <w:rFonts w:ascii="Times" w:hAnsi="Times" w:cs="Times"/>
                <w:szCs w:val="24"/>
              </w:rPr>
              <w:t xml:space="preserve"> </w:t>
            </w:r>
            <w:r w:rsidRPr="00A23740">
              <w:rPr>
                <w:rFonts w:ascii="Times" w:hAnsi="Times" w:cs="Times"/>
                <w:szCs w:val="24"/>
              </w:rPr>
              <w:t xml:space="preserve">yasak iş ve işlemlere </w:t>
            </w:r>
            <w:r w:rsidR="005D3223" w:rsidRPr="00A23740">
              <w:rPr>
                <w:rFonts w:ascii="Times" w:hAnsi="Times" w:cs="Times"/>
                <w:szCs w:val="24"/>
              </w:rPr>
              <w:t xml:space="preserve">aykırılığın (Taslağın 21 inci maddesi) </w:t>
            </w:r>
            <w:r w:rsidRPr="00A23740">
              <w:rPr>
                <w:rFonts w:ascii="Times" w:hAnsi="Times" w:cs="Times"/>
                <w:szCs w:val="24"/>
              </w:rPr>
              <w:t xml:space="preserve">veya önce rehne başvurma kuralına </w:t>
            </w:r>
            <w:r w:rsidR="005D3223" w:rsidRPr="00A23740">
              <w:rPr>
                <w:rFonts w:ascii="Times" w:hAnsi="Times" w:cs="Times"/>
                <w:szCs w:val="24"/>
              </w:rPr>
              <w:t xml:space="preserve">aykırılığın (Taslağın 111 inci maddesi) </w:t>
            </w:r>
            <w:r w:rsidRPr="00A23740">
              <w:rPr>
                <w:rFonts w:ascii="Times" w:hAnsi="Times" w:cs="Times"/>
                <w:szCs w:val="24"/>
              </w:rPr>
              <w:t>hükümsüzlük sonucunu doğuraca</w:t>
            </w:r>
            <w:r w:rsidR="00D31DA0" w:rsidRPr="00A23740">
              <w:rPr>
                <w:rFonts w:ascii="Times" w:hAnsi="Times" w:cs="Times"/>
                <w:szCs w:val="24"/>
              </w:rPr>
              <w:t>ğı söylenebilir</w:t>
            </w:r>
            <w:r w:rsidRPr="00A23740">
              <w:rPr>
                <w:rFonts w:ascii="Times" w:hAnsi="Times" w:cs="Times"/>
                <w:szCs w:val="24"/>
              </w:rPr>
              <w:t>.</w:t>
            </w:r>
          </w:p>
          <w:p w:rsidR="009D54B9" w:rsidRPr="00A23740" w:rsidRDefault="009D54B9" w:rsidP="009431FF">
            <w:pPr>
              <w:pStyle w:val="Mavi"/>
              <w:ind w:firstLine="709"/>
              <w:rPr>
                <w:bCs w:val="0"/>
                <w:color w:val="auto"/>
                <w:lang w:val="tr-TR"/>
              </w:rPr>
            </w:pPr>
          </w:p>
        </w:tc>
      </w:tr>
      <w:tr w:rsidR="00155AF4" w:rsidRPr="00A23740" w:rsidTr="009431FF">
        <w:tblPrEx>
          <w:tblLook w:val="01E0" w:firstRow="1" w:lastRow="1" w:firstColumn="1" w:lastColumn="1" w:noHBand="0" w:noVBand="0"/>
        </w:tblPrEx>
        <w:tc>
          <w:tcPr>
            <w:tcW w:w="2500" w:type="pct"/>
            <w:vAlign w:val="center"/>
          </w:tcPr>
          <w:p w:rsidR="00155AF4" w:rsidRPr="00A23740" w:rsidRDefault="00155AF4" w:rsidP="009431FF">
            <w:pPr>
              <w:tabs>
                <w:tab w:val="left" w:pos="567"/>
              </w:tabs>
              <w:jc w:val="center"/>
              <w:rPr>
                <w:rFonts w:eastAsia="ヒラギノ明朝 Pro W3"/>
                <w:b/>
                <w:color w:val="0000FF"/>
                <w:szCs w:val="24"/>
                <w:lang w:eastAsia="tr-TR"/>
              </w:rPr>
            </w:pPr>
          </w:p>
        </w:tc>
        <w:tc>
          <w:tcPr>
            <w:tcW w:w="2500" w:type="pct"/>
          </w:tcPr>
          <w:p w:rsidR="00155AF4" w:rsidRPr="00A23740" w:rsidRDefault="00155AF4" w:rsidP="009431FF">
            <w:pPr>
              <w:pStyle w:val="Mavi"/>
              <w:rPr>
                <w:lang w:val="tr-TR"/>
              </w:rPr>
            </w:pPr>
            <w:r w:rsidRPr="00A23740">
              <w:rPr>
                <w:lang w:val="tr-TR"/>
              </w:rPr>
              <w:t>İflas ve konkordatoda şikâyet</w:t>
            </w:r>
          </w:p>
          <w:p w:rsidR="00155AF4" w:rsidRDefault="0059245E" w:rsidP="009431FF">
            <w:pPr>
              <w:pStyle w:val="Mavi"/>
              <w:rPr>
                <w:lang w:val="tr-TR"/>
              </w:rPr>
            </w:pPr>
            <w:r w:rsidRPr="00A23740">
              <w:t>MADDE 31</w:t>
            </w:r>
            <w:r w:rsidR="00155AF4" w:rsidRPr="00A23740">
              <w:t>- (</w:t>
            </w:r>
            <w:r w:rsidR="00155AF4" w:rsidRPr="00A23740">
              <w:rPr>
                <w:lang w:val="tr-TR"/>
              </w:rPr>
              <w:t xml:space="preserve">1) Bu Ayrım hükümleri iflas ve konkordatoya ilişkin </w:t>
            </w:r>
            <w:r w:rsidR="00D92FBA" w:rsidRPr="00A23740">
              <w:rPr>
                <w:lang w:val="tr-TR"/>
              </w:rPr>
              <w:t xml:space="preserve">hükümler kapsamında </w:t>
            </w:r>
            <w:r w:rsidR="00155AF4" w:rsidRPr="00A23740">
              <w:rPr>
                <w:lang w:val="tr-TR"/>
              </w:rPr>
              <w:t>yapılacak şi</w:t>
            </w:r>
            <w:r w:rsidR="0055403C" w:rsidRPr="00A23740">
              <w:rPr>
                <w:lang w:val="tr-TR"/>
              </w:rPr>
              <w:t>kâyetler hakkında da uygulanır.</w:t>
            </w:r>
          </w:p>
          <w:p w:rsidR="00A44DE5" w:rsidRPr="00A23740" w:rsidRDefault="00A44DE5" w:rsidP="009431FF">
            <w:pPr>
              <w:pStyle w:val="Mavi"/>
              <w:rPr>
                <w:lang w:val="tr-TR"/>
              </w:rPr>
            </w:pPr>
          </w:p>
          <w:p w:rsidR="00155AF4" w:rsidRPr="00A23740" w:rsidRDefault="00155AF4" w:rsidP="009431FF">
            <w:pPr>
              <w:rPr>
                <w:rFonts w:eastAsia="ヒラギノ明朝 Pro W3"/>
                <w:b/>
                <w:color w:val="00B050"/>
                <w:szCs w:val="24"/>
                <w:lang w:eastAsia="tr-TR"/>
              </w:rPr>
            </w:pPr>
          </w:p>
        </w:tc>
      </w:tr>
      <w:tr w:rsidR="00155AF4" w:rsidRPr="00A23740" w:rsidTr="009431FF">
        <w:tc>
          <w:tcPr>
            <w:tcW w:w="5000" w:type="pct"/>
            <w:gridSpan w:val="2"/>
            <w:shd w:val="clear" w:color="auto" w:fill="DEEAF6"/>
          </w:tcPr>
          <w:p w:rsidR="00EC0E3A" w:rsidRPr="00A23740" w:rsidRDefault="00EC0E3A" w:rsidP="009431FF">
            <w:pPr>
              <w:pStyle w:val="Mavi"/>
              <w:ind w:firstLine="709"/>
              <w:rPr>
                <w:color w:val="auto"/>
                <w:lang w:val="tr-TR"/>
              </w:rPr>
            </w:pPr>
          </w:p>
          <w:p w:rsidR="00AA04F0" w:rsidRPr="00A23740" w:rsidRDefault="00D42F78" w:rsidP="009431FF">
            <w:pPr>
              <w:pStyle w:val="Mavi"/>
              <w:ind w:firstLine="709"/>
              <w:rPr>
                <w:b w:val="0"/>
                <w:bCs w:val="0"/>
                <w:color w:val="auto"/>
                <w:lang w:val="tr-TR"/>
              </w:rPr>
            </w:pPr>
            <w:r w:rsidRPr="00A23740">
              <w:rPr>
                <w:color w:val="auto"/>
                <w:lang w:val="tr-TR"/>
              </w:rPr>
              <w:t>MADDE 31</w:t>
            </w:r>
            <w:r w:rsidR="00155AF4" w:rsidRPr="00A23740">
              <w:rPr>
                <w:color w:val="auto"/>
                <w:lang w:val="tr-TR"/>
              </w:rPr>
              <w:t xml:space="preserve">- </w:t>
            </w:r>
            <w:r w:rsidR="00155AF4" w:rsidRPr="00A23740">
              <w:rPr>
                <w:b w:val="0"/>
                <w:bCs w:val="0"/>
                <w:color w:val="auto"/>
                <w:lang w:val="tr-TR"/>
              </w:rPr>
              <w:t>Madde</w:t>
            </w:r>
            <w:r w:rsidR="00EC0E3A" w:rsidRPr="00A23740">
              <w:rPr>
                <w:b w:val="0"/>
                <w:bCs w:val="0"/>
                <w:color w:val="auto"/>
                <w:lang w:val="tr-TR"/>
              </w:rPr>
              <w:t xml:space="preserve">yle, </w:t>
            </w:r>
            <w:r w:rsidR="00F24621" w:rsidRPr="00A23740">
              <w:rPr>
                <w:b w:val="0"/>
                <w:bCs w:val="0"/>
                <w:color w:val="auto"/>
                <w:lang w:val="tr-TR"/>
              </w:rPr>
              <w:t>iflas mahkemesi nezdinde yapılacak</w:t>
            </w:r>
            <w:r w:rsidR="00F24621" w:rsidRPr="00A23740">
              <w:rPr>
                <w:b w:val="0"/>
                <w:bCs w:val="0"/>
                <w:color w:val="auto"/>
              </w:rPr>
              <w:t xml:space="preserve"> ve iflas ile konkordatoya ilişkin </w:t>
            </w:r>
            <w:r w:rsidR="005D3223" w:rsidRPr="00A23740">
              <w:rPr>
                <w:b w:val="0"/>
                <w:bCs w:val="0"/>
                <w:color w:val="auto"/>
                <w:lang w:val="tr-TR"/>
              </w:rPr>
              <w:t xml:space="preserve">olan </w:t>
            </w:r>
            <w:r w:rsidR="00F24621" w:rsidRPr="00A23740">
              <w:rPr>
                <w:b w:val="0"/>
                <w:bCs w:val="0"/>
                <w:color w:val="auto"/>
              </w:rPr>
              <w:t>şik</w:t>
            </w:r>
            <w:r w:rsidR="00AA04F0" w:rsidRPr="00A23740">
              <w:rPr>
                <w:b w:val="0"/>
                <w:bCs w:val="0"/>
                <w:color w:val="auto"/>
                <w:lang w:val="tr-TR"/>
              </w:rPr>
              <w:t>â</w:t>
            </w:r>
            <w:r w:rsidR="00F24621" w:rsidRPr="00A23740">
              <w:rPr>
                <w:b w:val="0"/>
                <w:bCs w:val="0"/>
                <w:color w:val="auto"/>
              </w:rPr>
              <w:t xml:space="preserve">yetler </w:t>
            </w:r>
            <w:r w:rsidR="00EC0E3A" w:rsidRPr="00A23740">
              <w:rPr>
                <w:b w:val="0"/>
                <w:bCs w:val="0"/>
                <w:color w:val="auto"/>
                <w:lang w:val="tr-TR"/>
              </w:rPr>
              <w:t xml:space="preserve">düzenlenmektedir. </w:t>
            </w:r>
          </w:p>
          <w:p w:rsidR="00FF26F3" w:rsidRPr="00A23740" w:rsidRDefault="00EC0E3A" w:rsidP="009431FF">
            <w:pPr>
              <w:pStyle w:val="Mavi"/>
              <w:ind w:firstLine="709"/>
              <w:rPr>
                <w:bCs w:val="0"/>
                <w:color w:val="auto"/>
                <w:lang w:val="tr-TR"/>
              </w:rPr>
            </w:pPr>
            <w:r w:rsidRPr="00A23740">
              <w:rPr>
                <w:b w:val="0"/>
                <w:bCs w:val="0"/>
                <w:color w:val="auto"/>
                <w:lang w:val="tr-TR"/>
              </w:rPr>
              <w:t xml:space="preserve">Birinci fıkrayla, </w:t>
            </w:r>
            <w:r w:rsidR="00155AF4" w:rsidRPr="00A23740">
              <w:rPr>
                <w:b w:val="0"/>
                <w:bCs w:val="0"/>
                <w:color w:val="auto"/>
                <w:lang w:val="tr-TR"/>
              </w:rPr>
              <w:t xml:space="preserve">bu ayrımda yer alan </w:t>
            </w:r>
            <w:r w:rsidR="00F24621" w:rsidRPr="00A23740">
              <w:rPr>
                <w:b w:val="0"/>
                <w:bCs w:val="0"/>
                <w:color w:val="auto"/>
                <w:lang w:val="tr-TR"/>
              </w:rPr>
              <w:t>şikâyete ilişkin hükümlerin ifla</w:t>
            </w:r>
            <w:r w:rsidR="00155AF4" w:rsidRPr="00A23740">
              <w:rPr>
                <w:b w:val="0"/>
                <w:bCs w:val="0"/>
                <w:color w:val="auto"/>
                <w:lang w:val="tr-TR"/>
              </w:rPr>
              <w:t>s ve konkordatoda yapılacak şikâyetler bakımından da geçerli olacağı</w:t>
            </w:r>
            <w:r w:rsidRPr="00A23740">
              <w:rPr>
                <w:b w:val="0"/>
                <w:bCs w:val="0"/>
                <w:color w:val="auto"/>
                <w:lang w:val="tr-TR"/>
              </w:rPr>
              <w:t xml:space="preserve"> kabul edilmektedir. Hükümle, uygulamada oluşabilecek tereddütlerin önlenmesi amaçlanmaktadır.</w:t>
            </w:r>
          </w:p>
          <w:p w:rsidR="00FF26F3" w:rsidRPr="00A23740" w:rsidRDefault="00FF26F3" w:rsidP="009431FF">
            <w:pPr>
              <w:pStyle w:val="Mavi"/>
              <w:rPr>
                <w:color w:val="FF0000"/>
                <w:lang w:val="tr-TR"/>
              </w:rPr>
            </w:pPr>
          </w:p>
        </w:tc>
      </w:tr>
      <w:tr w:rsidR="00155AF4" w:rsidRPr="00A23740" w:rsidTr="009431FF">
        <w:trPr>
          <w:trHeight w:val="1078"/>
        </w:trPr>
        <w:tc>
          <w:tcPr>
            <w:tcW w:w="2500" w:type="pct"/>
            <w:shd w:val="clear" w:color="auto" w:fill="auto"/>
          </w:tcPr>
          <w:p w:rsidR="00155AF4" w:rsidRPr="00A23740" w:rsidRDefault="00155AF4" w:rsidP="009431FF">
            <w:pPr>
              <w:pStyle w:val="KIRMIZI"/>
              <w:rPr>
                <w:vertAlign w:val="superscript"/>
                <w:lang w:val="tr-TR"/>
              </w:rPr>
            </w:pPr>
            <w:r w:rsidRPr="00A23740">
              <w:rPr>
                <w:lang w:val="tr-TR"/>
              </w:rPr>
              <w:t>KANUN YOLLARINA BAŞVURMA VE SON MADDELER</w:t>
            </w:r>
          </w:p>
          <w:p w:rsidR="00155AF4" w:rsidRPr="00A23740" w:rsidRDefault="00155AF4" w:rsidP="009431FF">
            <w:pPr>
              <w:rPr>
                <w:szCs w:val="24"/>
              </w:rPr>
            </w:pPr>
          </w:p>
          <w:p w:rsidR="00155AF4" w:rsidRPr="00A23740" w:rsidRDefault="00155AF4" w:rsidP="009431FF">
            <w:pPr>
              <w:rPr>
                <w:rFonts w:eastAsia="Times New Roman"/>
                <w:i/>
                <w:szCs w:val="24"/>
                <w:lang w:eastAsia="tr-TR"/>
              </w:rPr>
            </w:pPr>
          </w:p>
          <w:p w:rsidR="00155AF4" w:rsidRPr="00A23740" w:rsidRDefault="00155AF4" w:rsidP="009431FF">
            <w:pPr>
              <w:rPr>
                <w:rFonts w:eastAsia="Times New Roman"/>
                <w:i/>
                <w:szCs w:val="24"/>
                <w:lang w:eastAsia="tr-TR"/>
              </w:rPr>
            </w:pPr>
          </w:p>
          <w:p w:rsidR="00155AF4" w:rsidRPr="00A23740" w:rsidRDefault="00155AF4" w:rsidP="009431FF">
            <w:pPr>
              <w:rPr>
                <w:rFonts w:eastAsia="Times New Roman"/>
                <w:i/>
                <w:szCs w:val="24"/>
                <w:lang w:eastAsia="tr-TR"/>
              </w:rPr>
            </w:pPr>
          </w:p>
          <w:p w:rsidR="00155AF4" w:rsidRPr="00A23740" w:rsidRDefault="00155AF4" w:rsidP="009431FF">
            <w:pPr>
              <w:rPr>
                <w:rFonts w:eastAsia="Times New Roman"/>
                <w:i/>
                <w:szCs w:val="24"/>
                <w:lang w:eastAsia="tr-TR"/>
              </w:rPr>
            </w:pPr>
          </w:p>
          <w:p w:rsidR="00155AF4" w:rsidRPr="00A23740" w:rsidRDefault="00155AF4" w:rsidP="009431FF">
            <w:pPr>
              <w:pStyle w:val="KIRMIZI"/>
              <w:rPr>
                <w:lang w:val="tr-TR"/>
              </w:rPr>
            </w:pPr>
            <w:r w:rsidRPr="00A23740">
              <w:rPr>
                <w:rFonts w:eastAsia="Calibri"/>
                <w:bCs w:val="0"/>
                <w:strike w:val="0"/>
                <w:color w:val="auto"/>
                <w:lang w:val="tr-TR" w:eastAsia="en-US"/>
              </w:rPr>
              <w:t>İstinaf yoluna</w:t>
            </w:r>
            <w:r w:rsidRPr="00A23740">
              <w:rPr>
                <w:strike w:val="0"/>
                <w:lang w:val="tr-TR"/>
              </w:rPr>
              <w:t xml:space="preserve"> </w:t>
            </w:r>
            <w:r w:rsidRPr="00A23740">
              <w:rPr>
                <w:lang w:val="tr-TR"/>
              </w:rPr>
              <w:t>başvurma ve incelenmesi</w:t>
            </w:r>
          </w:p>
          <w:p w:rsidR="00155AF4" w:rsidRPr="00A23740" w:rsidRDefault="00155AF4" w:rsidP="009431FF">
            <w:pPr>
              <w:pStyle w:val="KIRMIZI"/>
              <w:rPr>
                <w:lang w:val="tr-TR"/>
              </w:rPr>
            </w:pPr>
            <w:r w:rsidRPr="00A23740">
              <w:rPr>
                <w:lang w:val="tr-TR"/>
              </w:rPr>
              <w:t>Madde 363- (1) (Değişik: 2/3/2005-5311/24 md.)</w:t>
            </w:r>
          </w:p>
          <w:p w:rsidR="00155AF4" w:rsidRPr="00A23740" w:rsidRDefault="00155AF4" w:rsidP="009431FF">
            <w:pPr>
              <w:pStyle w:val="KIRMIZI"/>
              <w:rPr>
                <w:lang w:val="tr-TR"/>
              </w:rPr>
            </w:pPr>
            <w:r w:rsidRPr="00A23740">
              <w:rPr>
                <w:lang w:val="tr-TR"/>
              </w:rPr>
              <w:t xml:space="preserve">İcra mahkemesince 85 inci maddenin uygulanma biçimi, icra dairesi tarafından hesaplanan vekâlet ücreti, 103 üncü maddenin uygulanma biçimi ve bu maddede düzenlenen davetiyenin içeriği, yediemin ücreti, yediemin değiştirilmesi, hacizli taşınır malların muhafaza şekli, kıymet takdirine ilişkin şikâyet, ihaleye katılabilmek için teminat yatırılması ve teminatın miktarı,  satışın  durdurulması,  satış  ilânının  iptali, süresinde satış istenmemesi nedeniyle satışın düşürülmesi, 263 üncü maddenin uygulanma biçimi, iflâs idaresinin oluşturulması, icra mahkemesinin iflâs idaresinin işlemleri hakkında şikâyet üzerine verdiği kararlara karşı, iflâs idare memurunun ücret ve masrafları hakkındaki hesap pusulası ve 36 ncı maddeye göre icranın geri bırakılmasına ilişkin kararları dışındaki kararlarına karşı, ait olduğu alacak, hak veya malın değer veya miktarının yedi bin Türk lirasını geçmesi şartıyla istinaf yoluna başvurulabilir. İstinaf yoluna başvuru süresi tebliğ tarihinden itibaren </w:t>
            </w:r>
            <w:r w:rsidR="003A4585" w:rsidRPr="00A23740">
              <w:rPr>
                <w:lang w:val="tr-TR"/>
              </w:rPr>
              <w:t>iki haftadır</w:t>
            </w:r>
            <w:r w:rsidRPr="00A23740">
              <w:rPr>
                <w:lang w:val="tr-TR"/>
              </w:rPr>
              <w:t>.</w:t>
            </w:r>
          </w:p>
          <w:p w:rsidR="00155AF4" w:rsidRPr="00A23740" w:rsidRDefault="00155AF4" w:rsidP="009431FF">
            <w:pPr>
              <w:rPr>
                <w:szCs w:val="24"/>
                <w:lang w:eastAsia="tr-TR"/>
              </w:rPr>
            </w:pPr>
          </w:p>
          <w:p w:rsidR="00155AF4" w:rsidRPr="00A23740" w:rsidRDefault="00155AF4" w:rsidP="009431FF">
            <w:pPr>
              <w:pStyle w:val="KIRMIZI"/>
              <w:rPr>
                <w:lang w:val="tr-TR"/>
              </w:rPr>
            </w:pPr>
            <w:r w:rsidRPr="00A23740">
              <w:rPr>
                <w:lang w:val="tr-TR"/>
              </w:rPr>
              <w:lastRenderedPageBreak/>
              <w:t>(2) İcra mahkemesi kararları aleyhine işlemleri uzatmak gibi kötüniyetle istinaf yoluna başvurulduğu anlaşılırsa Hukuk Usulü Muhakemeleri Kanununun 422 nci maddesi hükmü uygulanır.</w:t>
            </w:r>
          </w:p>
          <w:p w:rsidR="00155AF4" w:rsidRPr="00A23740" w:rsidRDefault="00155AF4" w:rsidP="009431FF">
            <w:pPr>
              <w:pStyle w:val="KIRMIZI"/>
              <w:rPr>
                <w:lang w:val="tr-TR"/>
              </w:rPr>
            </w:pPr>
          </w:p>
          <w:p w:rsidR="00155AF4" w:rsidRPr="00A23740" w:rsidRDefault="00155AF4" w:rsidP="009431FF">
            <w:pPr>
              <w:pStyle w:val="KIRMIZI"/>
              <w:rPr>
                <w:lang w:val="tr-TR"/>
              </w:rPr>
            </w:pPr>
            <w:r w:rsidRPr="00A23740">
              <w:rPr>
                <w:lang w:val="tr-TR"/>
              </w:rPr>
              <w:t>(3) Kesin bir karara karşı kötüniyetle istinaf yoluna başvuranlar hakkında da yukarıdaki fıkra hükmü uygulanır.</w:t>
            </w:r>
          </w:p>
          <w:p w:rsidR="00155AF4" w:rsidRPr="00A23740" w:rsidRDefault="00155AF4" w:rsidP="009431FF">
            <w:pPr>
              <w:rPr>
                <w:szCs w:val="24"/>
              </w:rPr>
            </w:pPr>
          </w:p>
          <w:p w:rsidR="00155AF4" w:rsidRPr="00A23740" w:rsidRDefault="00155AF4" w:rsidP="009431FF">
            <w:pPr>
              <w:rPr>
                <w:rStyle w:val="KIRMIZIChar"/>
                <w:rFonts w:eastAsia="Calibri"/>
              </w:rPr>
            </w:pPr>
            <w:r w:rsidRPr="00A23740">
              <w:rPr>
                <w:rStyle w:val="KIRMIZIChar"/>
                <w:rFonts w:eastAsia="Calibri"/>
              </w:rPr>
              <w:t>(4) İstinaf yoluna başvuru satıştan başka icra işlemlerini durdurmaz. İcranın devamı için gereken evrak alıkonularak bunların birer örneği bölge adliye mahkemesine gönderilecek dosyaya konulur.</w:t>
            </w:r>
          </w:p>
          <w:p w:rsidR="00155AF4" w:rsidRPr="00A23740" w:rsidRDefault="00155AF4" w:rsidP="009431FF">
            <w:pPr>
              <w:rPr>
                <w:szCs w:val="24"/>
              </w:rPr>
            </w:pPr>
          </w:p>
        </w:tc>
        <w:tc>
          <w:tcPr>
            <w:tcW w:w="2500" w:type="pct"/>
            <w:shd w:val="clear" w:color="auto" w:fill="auto"/>
          </w:tcPr>
          <w:p w:rsidR="00D76E66" w:rsidRPr="00A23740" w:rsidRDefault="00155AF4" w:rsidP="009431FF">
            <w:pPr>
              <w:pStyle w:val="Balk4"/>
              <w:rPr>
                <w:lang w:val="tr-TR"/>
              </w:rPr>
            </w:pPr>
            <w:r w:rsidRPr="00A23740">
              <w:rPr>
                <w:lang w:val="tr-TR"/>
              </w:rPr>
              <w:lastRenderedPageBreak/>
              <w:t>ÜÇÜNCÜ AYRIM</w:t>
            </w:r>
          </w:p>
          <w:p w:rsidR="00155AF4" w:rsidRPr="00A23740" w:rsidRDefault="00155AF4" w:rsidP="009431FF">
            <w:pPr>
              <w:pStyle w:val="Balk4"/>
              <w:rPr>
                <w:lang w:val="tr-TR"/>
              </w:rPr>
            </w:pPr>
            <w:r w:rsidRPr="00A23740">
              <w:rPr>
                <w:lang w:val="tr-TR"/>
              </w:rPr>
              <w:t>Kanun Yolları</w:t>
            </w:r>
          </w:p>
          <w:p w:rsidR="00155AF4" w:rsidRPr="00A23740" w:rsidRDefault="00155AF4" w:rsidP="009431FF">
            <w:pPr>
              <w:pStyle w:val="MAV"/>
              <w:jc w:val="center"/>
              <w:rPr>
                <w:rFonts w:eastAsia="Calibri"/>
                <w:u w:val="none"/>
                <w:lang w:val="tr-TR"/>
              </w:rPr>
            </w:pPr>
          </w:p>
          <w:p w:rsidR="00155AF4" w:rsidRPr="00A23740" w:rsidRDefault="00155AF4" w:rsidP="009431FF">
            <w:pPr>
              <w:pStyle w:val="Balk5"/>
              <w:rPr>
                <w:rFonts w:eastAsia="Calibri"/>
                <w:lang w:val="tr-TR"/>
              </w:rPr>
            </w:pPr>
            <w:r w:rsidRPr="00A23740">
              <w:rPr>
                <w:rFonts w:eastAsia="Calibri"/>
                <w:lang w:val="tr-TR"/>
              </w:rPr>
              <w:t>BİRİNCİ ALT AYRIM</w:t>
            </w:r>
          </w:p>
          <w:p w:rsidR="00155AF4" w:rsidRPr="00A23740" w:rsidRDefault="00155AF4" w:rsidP="009431FF">
            <w:pPr>
              <w:pStyle w:val="Balk5"/>
              <w:rPr>
                <w:rFonts w:eastAsia="Calibri"/>
                <w:lang w:val="tr-TR"/>
              </w:rPr>
            </w:pPr>
            <w:r w:rsidRPr="00A23740">
              <w:rPr>
                <w:rFonts w:eastAsia="Calibri"/>
                <w:lang w:val="tr-TR"/>
              </w:rPr>
              <w:t>İcra Hukuk Mahkemesi Kararlarına Karşı Kanun Yolları</w:t>
            </w:r>
          </w:p>
          <w:p w:rsidR="00155AF4" w:rsidRPr="00A23740" w:rsidRDefault="00155AF4" w:rsidP="009431FF">
            <w:pPr>
              <w:rPr>
                <w:b/>
                <w:color w:val="0000FF"/>
                <w:szCs w:val="24"/>
              </w:rPr>
            </w:pPr>
          </w:p>
          <w:p w:rsidR="00155AF4" w:rsidRPr="00A23740" w:rsidRDefault="00155AF4" w:rsidP="009431FF">
            <w:pPr>
              <w:rPr>
                <w:b/>
                <w:szCs w:val="24"/>
              </w:rPr>
            </w:pPr>
            <w:r w:rsidRPr="00A23740">
              <w:rPr>
                <w:b/>
                <w:szCs w:val="24"/>
              </w:rPr>
              <w:t xml:space="preserve">İstinaf yoluna </w:t>
            </w:r>
            <w:r w:rsidRPr="00A23740">
              <w:rPr>
                <w:rStyle w:val="MaviChar"/>
              </w:rPr>
              <w:t>başvurulabilen kararlar</w:t>
            </w:r>
          </w:p>
          <w:p w:rsidR="00155AF4" w:rsidRPr="00A23740" w:rsidRDefault="00155AF4" w:rsidP="009431FF">
            <w:pPr>
              <w:rPr>
                <w:rStyle w:val="MaviChar"/>
                <w:lang w:val="tr-TR"/>
              </w:rPr>
            </w:pPr>
            <w:r w:rsidRPr="00A23740">
              <w:rPr>
                <w:rStyle w:val="MaviChar"/>
                <w:lang w:val="tr-TR"/>
              </w:rPr>
              <w:t xml:space="preserve">MADDE </w:t>
            </w:r>
            <w:r w:rsidR="0059245E" w:rsidRPr="00A23740">
              <w:rPr>
                <w:rStyle w:val="MaviChar"/>
              </w:rPr>
              <w:t>32</w:t>
            </w:r>
            <w:r w:rsidRPr="00A23740">
              <w:rPr>
                <w:rStyle w:val="MaviChar"/>
              </w:rPr>
              <w:t>-</w:t>
            </w:r>
            <w:r w:rsidRPr="00A23740">
              <w:rPr>
                <w:rStyle w:val="MaviChar"/>
                <w:lang w:val="tr-TR"/>
              </w:rPr>
              <w:t xml:space="preserve"> (1) İcra hukuk mahkemesince </w:t>
            </w:r>
            <w:r w:rsidRPr="00A23740">
              <w:rPr>
                <w:rFonts w:eastAsia="Times New Roman"/>
                <w:szCs w:val="24"/>
                <w:lang w:eastAsia="tr-TR"/>
              </w:rPr>
              <w:t xml:space="preserve">verilen </w:t>
            </w:r>
            <w:r w:rsidRPr="00A23740">
              <w:rPr>
                <w:rStyle w:val="MaviChar"/>
              </w:rPr>
              <w:t>ve</w:t>
            </w:r>
            <w:r w:rsidRPr="00A23740">
              <w:rPr>
                <w:rFonts w:eastAsia="Times New Roman"/>
                <w:szCs w:val="24"/>
                <w:lang w:eastAsia="tr-TR"/>
              </w:rPr>
              <w:t xml:space="preserve"> miktar veya değeri </w:t>
            </w:r>
            <w:r w:rsidRPr="00A23740">
              <w:rPr>
                <w:rStyle w:val="MaviChar"/>
                <w:lang w:val="tr-TR"/>
              </w:rPr>
              <w:t>Hukuk Muhakemeleri Kanununda belirtilen parasal sınırı</w:t>
            </w:r>
            <w:r w:rsidRPr="00A23740">
              <w:rPr>
                <w:rFonts w:eastAsia="Times New Roman"/>
                <w:b/>
                <w:bCs/>
                <w:lang w:eastAsia="tr-TR"/>
              </w:rPr>
              <w:t xml:space="preserve"> </w:t>
            </w:r>
            <w:r w:rsidRPr="00A23740">
              <w:rPr>
                <w:rFonts w:eastAsia="Times New Roman"/>
                <w:szCs w:val="24"/>
                <w:lang w:eastAsia="tr-TR"/>
              </w:rPr>
              <w:t xml:space="preserve">geçen nihai kararlara karşı </w:t>
            </w:r>
            <w:r w:rsidRPr="00A23740">
              <w:rPr>
                <w:rStyle w:val="MaviChar"/>
              </w:rPr>
              <w:t>istinaf</w:t>
            </w:r>
            <w:r w:rsidRPr="00A23740">
              <w:rPr>
                <w:rFonts w:eastAsia="Times New Roman"/>
                <w:szCs w:val="24"/>
                <w:lang w:eastAsia="tr-TR"/>
              </w:rPr>
              <w:t xml:space="preserve"> yoluna başvurulabilir.</w:t>
            </w:r>
          </w:p>
          <w:p w:rsidR="00155AF4" w:rsidRPr="00A23740" w:rsidRDefault="00155AF4" w:rsidP="009431FF">
            <w:pPr>
              <w:rPr>
                <w:b/>
                <w:color w:val="0000FF"/>
                <w:szCs w:val="24"/>
              </w:rPr>
            </w:pPr>
          </w:p>
          <w:p w:rsidR="00155AF4" w:rsidRPr="00A23740" w:rsidRDefault="00155AF4" w:rsidP="009431FF">
            <w:pPr>
              <w:pStyle w:val="AltKonuBal"/>
            </w:pPr>
          </w:p>
        </w:tc>
      </w:tr>
      <w:tr w:rsidR="00155AF4" w:rsidRPr="00A23740" w:rsidTr="009431FF">
        <w:tc>
          <w:tcPr>
            <w:tcW w:w="5000" w:type="pct"/>
            <w:gridSpan w:val="2"/>
            <w:shd w:val="clear" w:color="auto" w:fill="DEEAF6"/>
          </w:tcPr>
          <w:p w:rsidR="00A21CE2" w:rsidRPr="00A23740" w:rsidRDefault="00A21CE2" w:rsidP="009431FF">
            <w:pPr>
              <w:pStyle w:val="Mavi"/>
              <w:jc w:val="center"/>
              <w:rPr>
                <w:color w:val="auto"/>
                <w:lang w:val="tr-TR"/>
              </w:rPr>
            </w:pPr>
          </w:p>
          <w:p w:rsidR="00403985" w:rsidRPr="00A23740" w:rsidRDefault="00D42F78" w:rsidP="009431FF">
            <w:pPr>
              <w:ind w:firstLine="709"/>
            </w:pPr>
            <w:r w:rsidRPr="00A23740">
              <w:rPr>
                <w:b/>
              </w:rPr>
              <w:t>MADDE 32</w:t>
            </w:r>
            <w:r w:rsidR="00155AF4" w:rsidRPr="00A23740">
              <w:rPr>
                <w:b/>
              </w:rPr>
              <w:t>-</w:t>
            </w:r>
            <w:r w:rsidR="00155AF4" w:rsidRPr="00A23740">
              <w:t xml:space="preserve"> </w:t>
            </w:r>
            <w:r w:rsidR="00A21CE2" w:rsidRPr="00A23740">
              <w:t>Madde</w:t>
            </w:r>
            <w:r w:rsidR="00EC0E3A" w:rsidRPr="00A23740">
              <w:t>yle, istina</w:t>
            </w:r>
            <w:r w:rsidR="00256BDC" w:rsidRPr="00A23740">
              <w:t>f yoluna başvurulabilen icra hukuk mahkem</w:t>
            </w:r>
            <w:r w:rsidR="00BB181E" w:rsidRPr="00A23740">
              <w:t xml:space="preserve">esi kararları düzenlenmektedir. </w:t>
            </w:r>
          </w:p>
          <w:p w:rsidR="00A21CE2" w:rsidRPr="00A23740" w:rsidRDefault="00256BDC" w:rsidP="009431FF">
            <w:pPr>
              <w:ind w:firstLine="709"/>
            </w:pPr>
            <w:r w:rsidRPr="00A23740">
              <w:t xml:space="preserve">Birinci fıkrayla, </w:t>
            </w:r>
            <w:r w:rsidRPr="00A23740">
              <w:rPr>
                <w:rFonts w:eastAsia="Times New Roman"/>
                <w:bCs/>
                <w:lang w:eastAsia="tr-TR"/>
              </w:rPr>
              <w:t xml:space="preserve">icra hukuk mahkemesince </w:t>
            </w:r>
            <w:r w:rsidRPr="00A23740">
              <w:rPr>
                <w:rFonts w:eastAsia="Times New Roman"/>
                <w:szCs w:val="24"/>
                <w:lang w:eastAsia="tr-TR"/>
              </w:rPr>
              <w:t xml:space="preserve">verilen </w:t>
            </w:r>
            <w:r w:rsidRPr="00A23740">
              <w:rPr>
                <w:rFonts w:eastAsia="Times New Roman"/>
                <w:bCs/>
                <w:lang w:eastAsia="tr-TR"/>
              </w:rPr>
              <w:t>ve</w:t>
            </w:r>
            <w:r w:rsidRPr="00A23740">
              <w:rPr>
                <w:rFonts w:eastAsia="Times New Roman"/>
                <w:szCs w:val="24"/>
                <w:lang w:eastAsia="tr-TR"/>
              </w:rPr>
              <w:t xml:space="preserve"> miktar veya değeri </w:t>
            </w:r>
            <w:r w:rsidR="007D5066" w:rsidRPr="00A23740">
              <w:rPr>
                <w:rFonts w:eastAsia="Times New Roman"/>
                <w:szCs w:val="24"/>
                <w:lang w:eastAsia="tr-TR"/>
              </w:rPr>
              <w:t>6100 sayılı</w:t>
            </w:r>
            <w:r w:rsidR="00DB332D" w:rsidRPr="00A23740">
              <w:rPr>
                <w:rFonts w:eastAsia="Times New Roman"/>
                <w:szCs w:val="24"/>
                <w:lang w:eastAsia="tr-TR"/>
              </w:rPr>
              <w:t xml:space="preserve"> </w:t>
            </w:r>
            <w:r w:rsidR="00DB332D" w:rsidRPr="002B26FC">
              <w:rPr>
                <w:rFonts w:eastAsia="Times New Roman"/>
                <w:szCs w:val="24"/>
                <w:lang w:eastAsia="tr-TR"/>
              </w:rPr>
              <w:t>Kanunun</w:t>
            </w:r>
            <w:r w:rsidR="007D5066" w:rsidRPr="00A23740">
              <w:rPr>
                <w:rFonts w:eastAsia="Times New Roman"/>
                <w:szCs w:val="24"/>
                <w:lang w:eastAsia="tr-TR"/>
              </w:rPr>
              <w:t xml:space="preserve"> </w:t>
            </w:r>
            <w:r w:rsidR="00D904E1" w:rsidRPr="00A23740">
              <w:rPr>
                <w:rFonts w:eastAsia="Times New Roman"/>
                <w:bCs/>
                <w:lang w:eastAsia="tr-TR"/>
              </w:rPr>
              <w:t xml:space="preserve">istinaf </w:t>
            </w:r>
            <w:r w:rsidR="007D5066" w:rsidRPr="00A23740">
              <w:rPr>
                <w:rFonts w:eastAsia="Times New Roman"/>
                <w:bCs/>
                <w:lang w:eastAsia="tr-TR"/>
              </w:rPr>
              <w:t>kanun yolu için belirlenen</w:t>
            </w:r>
            <w:r w:rsidRPr="00A23740">
              <w:rPr>
                <w:rFonts w:eastAsia="Times New Roman"/>
                <w:bCs/>
                <w:lang w:eastAsia="tr-TR"/>
              </w:rPr>
              <w:t xml:space="preserve"> parasal sınırı</w:t>
            </w:r>
            <w:r w:rsidRPr="00A23740">
              <w:rPr>
                <w:rFonts w:eastAsia="Times New Roman"/>
                <w:szCs w:val="24"/>
                <w:lang w:eastAsia="tr-TR"/>
              </w:rPr>
              <w:t xml:space="preserve"> geçen nihai kararlara karşı </w:t>
            </w:r>
            <w:r w:rsidRPr="00A23740">
              <w:rPr>
                <w:rFonts w:eastAsia="Times New Roman"/>
                <w:bCs/>
                <w:lang w:eastAsia="tr-TR"/>
              </w:rPr>
              <w:t>istinaf</w:t>
            </w:r>
            <w:r w:rsidRPr="00A23740">
              <w:rPr>
                <w:rFonts w:eastAsia="Times New Roman"/>
                <w:szCs w:val="24"/>
                <w:lang w:eastAsia="tr-TR"/>
              </w:rPr>
              <w:t xml:space="preserve"> yoluna başvurulabileceği hüküm altına alınmaktadır. </w:t>
            </w:r>
            <w:r w:rsidR="00690D2C" w:rsidRPr="00A23740">
              <w:rPr>
                <w:rFonts w:eastAsia="Times New Roman"/>
                <w:szCs w:val="24"/>
                <w:lang w:eastAsia="tr-TR"/>
              </w:rPr>
              <w:t>Bu kapsamda parasal sınırın miktar veya değeri</w:t>
            </w:r>
            <w:r w:rsidR="00675608" w:rsidRPr="00A23740">
              <w:rPr>
                <w:rFonts w:eastAsia="Times New Roman"/>
                <w:szCs w:val="24"/>
                <w:lang w:eastAsia="tr-TR"/>
              </w:rPr>
              <w:t>nin belirlenmesi</w:t>
            </w:r>
            <w:r w:rsidR="00C74F5A" w:rsidRPr="00A23740">
              <w:rPr>
                <w:rFonts w:eastAsia="Times New Roman"/>
                <w:szCs w:val="24"/>
                <w:lang w:eastAsia="tr-TR"/>
              </w:rPr>
              <w:t xml:space="preserve"> ve </w:t>
            </w:r>
            <w:r w:rsidR="00690D2C" w:rsidRPr="00A23740">
              <w:rPr>
                <w:rFonts w:eastAsia="Times New Roman"/>
                <w:szCs w:val="24"/>
                <w:lang w:eastAsia="tr-TR"/>
              </w:rPr>
              <w:t>arttırılması</w:t>
            </w:r>
            <w:r w:rsidR="00C74F5A" w:rsidRPr="00A23740">
              <w:rPr>
                <w:rFonts w:eastAsia="Times New Roman"/>
                <w:szCs w:val="24"/>
                <w:lang w:eastAsia="tr-TR"/>
              </w:rPr>
              <w:t xml:space="preserve"> </w:t>
            </w:r>
            <w:r w:rsidR="00675608" w:rsidRPr="00A23740">
              <w:rPr>
                <w:rFonts w:eastAsia="Times New Roman"/>
                <w:szCs w:val="24"/>
                <w:lang w:eastAsia="tr-TR"/>
              </w:rPr>
              <w:t>hakkında,</w:t>
            </w:r>
            <w:r w:rsidR="00690D2C" w:rsidRPr="00A23740">
              <w:rPr>
                <w:rFonts w:eastAsia="Times New Roman"/>
                <w:szCs w:val="24"/>
                <w:lang w:eastAsia="tr-TR"/>
              </w:rPr>
              <w:t xml:space="preserve"> </w:t>
            </w:r>
            <w:r w:rsidR="007D5066" w:rsidRPr="00A23740">
              <w:rPr>
                <w:rFonts w:eastAsia="Times New Roman"/>
                <w:szCs w:val="24"/>
                <w:lang w:eastAsia="tr-TR"/>
              </w:rPr>
              <w:t xml:space="preserve">6100 sayılı </w:t>
            </w:r>
            <w:r w:rsidR="00690D2C" w:rsidRPr="00A23740">
              <w:rPr>
                <w:rFonts w:eastAsia="Times New Roman"/>
                <w:szCs w:val="24"/>
                <w:lang w:eastAsia="tr-TR"/>
              </w:rPr>
              <w:t>K</w:t>
            </w:r>
            <w:r w:rsidR="007D5066" w:rsidRPr="00A23740">
              <w:rPr>
                <w:rFonts w:eastAsia="Times New Roman"/>
                <w:szCs w:val="24"/>
                <w:lang w:eastAsia="tr-TR"/>
              </w:rPr>
              <w:t>anun</w:t>
            </w:r>
            <w:r w:rsidR="00690D2C" w:rsidRPr="00A23740">
              <w:rPr>
                <w:rFonts w:eastAsia="Times New Roman"/>
                <w:szCs w:val="24"/>
                <w:lang w:eastAsia="tr-TR"/>
              </w:rPr>
              <w:t xml:space="preserve"> hükümleri uygulanacaktır. </w:t>
            </w:r>
            <w:r w:rsidR="00A21CE2" w:rsidRPr="00A23740">
              <w:t>Bu şekilde parasal sınır bakımından</w:t>
            </w:r>
            <w:r w:rsidRPr="00A23740">
              <w:t xml:space="preserve"> 2004 sayılı Kanunda</w:t>
            </w:r>
            <w:r w:rsidR="00EA54F5" w:rsidRPr="00A23740">
              <w:t xml:space="preserve"> yer alan ve</w:t>
            </w:r>
            <w:r w:rsidRPr="00A23740">
              <w:t xml:space="preserve"> </w:t>
            </w:r>
            <w:r w:rsidR="007D5066" w:rsidRPr="00A23740">
              <w:t xml:space="preserve">6100 sayılı </w:t>
            </w:r>
            <w:r w:rsidRPr="00A23740">
              <w:t>K</w:t>
            </w:r>
            <w:r w:rsidR="007D5066" w:rsidRPr="00A23740">
              <w:t>anun</w:t>
            </w:r>
            <w:r w:rsidRPr="00A23740">
              <w:t xml:space="preserve"> ile</w:t>
            </w:r>
            <w:r w:rsidR="00EA54F5" w:rsidRPr="00A23740">
              <w:t xml:space="preserve"> farklılık oluşturan hüküm</w:t>
            </w:r>
            <w:r w:rsidRPr="00A23740">
              <w:t xml:space="preserve"> ortadan kaldırılmaktadır</w:t>
            </w:r>
            <w:r w:rsidR="00A21CE2" w:rsidRPr="00A23740">
              <w:t xml:space="preserve">. İcra </w:t>
            </w:r>
            <w:r w:rsidRPr="00A23740">
              <w:t xml:space="preserve">hukuk </w:t>
            </w:r>
            <w:r w:rsidR="00A21CE2" w:rsidRPr="00A23740">
              <w:t>mahkemesi kararına konu olan husus alacak, hak veya bir mal olabilir. Parasal sınırın belirlenmesinde de işte bu alacak, hak veya malın değeri esas alınacaktır.</w:t>
            </w:r>
            <w:r w:rsidRPr="00A23740">
              <w:t xml:space="preserve"> Fıkrada yer alan ve dikkat çeken önemli </w:t>
            </w:r>
            <w:r w:rsidR="00EA54F5" w:rsidRPr="00A23740">
              <w:t xml:space="preserve">diğer </w:t>
            </w:r>
            <w:r w:rsidRPr="00A23740">
              <w:t>bir</w:t>
            </w:r>
            <w:r w:rsidR="00A21CE2" w:rsidRPr="00A23740">
              <w:t xml:space="preserve"> </w:t>
            </w:r>
            <w:r w:rsidRPr="00A23740">
              <w:t xml:space="preserve">husus ise </w:t>
            </w:r>
            <w:r w:rsidR="00A21CE2" w:rsidRPr="00A23740">
              <w:t xml:space="preserve">icra hukuk mahkemesinin nihai kararlarına karşı istinaf yoluna başvurulabilecek olmasıdır. İcra hukuk mahkemesinin takibin durdurulması gibi niteliği </w:t>
            </w:r>
            <w:r w:rsidR="005D3223" w:rsidRPr="00A23740">
              <w:t xml:space="preserve">öğretide </w:t>
            </w:r>
            <w:r w:rsidR="00A21CE2" w:rsidRPr="00A23740">
              <w:t>tartışmalı olan kararlarına karşı ise nihai karar olmaması sebebiyle isti</w:t>
            </w:r>
            <w:r w:rsidR="00EA54F5" w:rsidRPr="00A23740">
              <w:t>naf yoluna başvurulamayacaktır.</w:t>
            </w:r>
            <w:r w:rsidR="00403985" w:rsidRPr="00A23740">
              <w:t xml:space="preserve"> Bu hüküm, 2004 sayılı Kanunun 363 üncü maddesinin birinci fıkrasının birinci cümlesine kısmen karşılık gelmektedir.</w:t>
            </w:r>
          </w:p>
          <w:p w:rsidR="00A21CE2" w:rsidRPr="00A23740" w:rsidRDefault="00A54A0A" w:rsidP="009431FF">
            <w:pPr>
              <w:ind w:firstLine="709"/>
            </w:pPr>
            <w:r w:rsidRPr="00A23740">
              <w:t>Öte yandan, bu maddenin yürürlüğe girdiği tarihten önce</w:t>
            </w:r>
            <w:r w:rsidR="00690D2C" w:rsidRPr="00A23740">
              <w:t xml:space="preserve"> icra hukuk mahkemesince</w:t>
            </w:r>
            <w:r w:rsidRPr="00A23740">
              <w:t xml:space="preserve"> verilen kararların zaman bakımından uygulanmasıyla ilgili olarak </w:t>
            </w:r>
            <w:r w:rsidR="002C5CC3" w:rsidRPr="00A23740">
              <w:t>Cebr</w:t>
            </w:r>
            <w:r w:rsidR="00070384" w:rsidRPr="00A23740">
              <w:t>î</w:t>
            </w:r>
            <w:r w:rsidR="002C5CC3" w:rsidRPr="00A23740">
              <w:t xml:space="preserve"> İcra Kanununun Yürürlüğü ve Uygulama Şekli Hakkında Kanun </w:t>
            </w:r>
            <w:r w:rsidR="00163E5A" w:rsidRPr="00A23740">
              <w:t>Taslağında</w:t>
            </w:r>
            <w:r w:rsidR="002C5CC3" w:rsidRPr="00A23740">
              <w:t xml:space="preserve"> düzenlemeler yapılmaktadır.</w:t>
            </w:r>
          </w:p>
          <w:p w:rsidR="00A21CE2" w:rsidRPr="00A23740" w:rsidRDefault="0009480A" w:rsidP="009431FF">
            <w:pPr>
              <w:ind w:firstLine="709"/>
              <w:rPr>
                <w:b/>
              </w:rPr>
            </w:pPr>
            <w:r w:rsidRPr="00A23740">
              <w:t>2004 sayılı Kanunun 363 üncü maddesin</w:t>
            </w:r>
            <w:r w:rsidR="00816E35" w:rsidRPr="00A23740">
              <w:t>in ikinci ve üçüncü fıkraları,</w:t>
            </w:r>
            <w:r w:rsidRPr="00A23740">
              <w:t xml:space="preserve"> </w:t>
            </w:r>
            <w:r w:rsidR="00163E5A" w:rsidRPr="00A23740">
              <w:t>Taslağın</w:t>
            </w:r>
            <w:r w:rsidRPr="00A23740">
              <w:t xml:space="preserve"> 34 üncü maddesininin altıncı fıkrasında 6100 sayılı Kanuna atıf yapıl</w:t>
            </w:r>
            <w:r w:rsidR="00816E35" w:rsidRPr="00A23740">
              <w:t xml:space="preserve">mak suretiyle düzenlendiğinden </w:t>
            </w:r>
            <w:r w:rsidRPr="00A23740">
              <w:t xml:space="preserve">maddede </w:t>
            </w:r>
            <w:r w:rsidR="00816E35" w:rsidRPr="00A23740">
              <w:t>bu hükümlere yer verilmemektedir</w:t>
            </w:r>
            <w:r w:rsidRPr="00A23740">
              <w:t xml:space="preserve">. Ayrıca 2004 sayılı Kanunun 363 üncü maddesinin dördüncü </w:t>
            </w:r>
            <w:r w:rsidR="005D3223" w:rsidRPr="00A23740">
              <w:t xml:space="preserve">fıkrasının </w:t>
            </w:r>
            <w:r w:rsidRPr="00A23740">
              <w:t xml:space="preserve">istinaf yoluna başvurunun icraya olan etkisiyle ilgili </w:t>
            </w:r>
            <w:r w:rsidR="005D3223" w:rsidRPr="00A23740">
              <w:t xml:space="preserve"> hükmü, </w:t>
            </w:r>
            <w:r w:rsidR="00163E5A" w:rsidRPr="00A23740">
              <w:t>Taslağın</w:t>
            </w:r>
            <w:r w:rsidRPr="00A23740">
              <w:t xml:space="preserve"> 34 üncü maddesinin ikinci fıkrasında </w:t>
            </w:r>
            <w:r w:rsidR="005D3223" w:rsidRPr="00A23740">
              <w:t xml:space="preserve">bu husus </w:t>
            </w:r>
            <w:r w:rsidRPr="00A23740">
              <w:t xml:space="preserve">düzenlendiğinden maddede </w:t>
            </w:r>
            <w:r w:rsidR="0042098E" w:rsidRPr="00A23740">
              <w:t xml:space="preserve">bu hükme </w:t>
            </w:r>
            <w:r w:rsidRPr="00A23740">
              <w:t>yer verilmemektedir.</w:t>
            </w:r>
          </w:p>
          <w:p w:rsidR="00A21CE2" w:rsidRPr="00A23740" w:rsidRDefault="00A21CE2" w:rsidP="009431FF"/>
        </w:tc>
      </w:tr>
      <w:tr w:rsidR="00155AF4" w:rsidRPr="00A23740" w:rsidTr="009431FF">
        <w:trPr>
          <w:trHeight w:val="1078"/>
        </w:trPr>
        <w:tc>
          <w:tcPr>
            <w:tcW w:w="2500" w:type="pct"/>
            <w:shd w:val="clear" w:color="auto" w:fill="auto"/>
          </w:tcPr>
          <w:p w:rsidR="00155AF4" w:rsidRPr="00A23740" w:rsidRDefault="00155AF4" w:rsidP="009431FF">
            <w:pPr>
              <w:rPr>
                <w:rFonts w:eastAsia="Times New Roman"/>
                <w:i/>
                <w:szCs w:val="24"/>
                <w:lang w:eastAsia="tr-TR"/>
              </w:rPr>
            </w:pPr>
            <w:r w:rsidRPr="00A23740">
              <w:rPr>
                <w:rFonts w:eastAsia="Times New Roman"/>
                <w:i/>
                <w:szCs w:val="24"/>
                <w:lang w:eastAsia="tr-TR"/>
              </w:rPr>
              <w:lastRenderedPageBreak/>
              <w:t xml:space="preserve">İstinaf yoluna </w:t>
            </w:r>
            <w:r w:rsidRPr="00A23740">
              <w:rPr>
                <w:rFonts w:eastAsia="Times New Roman"/>
                <w:b/>
                <w:i/>
                <w:strike/>
                <w:color w:val="FF0000"/>
                <w:szCs w:val="24"/>
                <w:lang w:eastAsia="tr-TR"/>
              </w:rPr>
              <w:t>başvurma ve incelenmesi</w:t>
            </w:r>
          </w:p>
          <w:p w:rsidR="00155AF4" w:rsidRPr="00A23740" w:rsidRDefault="00155AF4" w:rsidP="009431FF">
            <w:pPr>
              <w:rPr>
                <w:rFonts w:eastAsia="Times New Roman"/>
                <w:spacing w:val="-2"/>
                <w:szCs w:val="24"/>
                <w:lang w:eastAsia="tr-TR"/>
              </w:rPr>
            </w:pPr>
            <w:r w:rsidRPr="00A23740">
              <w:rPr>
                <w:rFonts w:eastAsia="Times New Roman"/>
                <w:b/>
                <w:bCs/>
                <w:strike/>
                <w:color w:val="FF0000"/>
                <w:szCs w:val="24"/>
                <w:lang w:eastAsia="tr-TR"/>
              </w:rPr>
              <w:t>Madde 363</w:t>
            </w:r>
            <w:r w:rsidRPr="00A23740">
              <w:rPr>
                <w:rStyle w:val="KIRMIZIChar"/>
                <w:rFonts w:eastAsia="Calibri"/>
              </w:rPr>
              <w:t xml:space="preserve">- (1) </w:t>
            </w:r>
            <w:r w:rsidRPr="00A23740">
              <w:rPr>
                <w:rFonts w:eastAsia="Times New Roman"/>
                <w:spacing w:val="-2"/>
                <w:szCs w:val="24"/>
                <w:lang w:eastAsia="tr-TR"/>
              </w:rPr>
              <w:t>İcra mahkemesi</w:t>
            </w:r>
            <w:r w:rsidRPr="00A23740">
              <w:rPr>
                <w:rStyle w:val="StilKrmzChar"/>
                <w:rFonts w:eastAsia="Calibri"/>
                <w:lang w:val="tr-TR"/>
              </w:rPr>
              <w:t>nc</w:t>
            </w:r>
            <w:r w:rsidRPr="00A23740">
              <w:rPr>
                <w:rStyle w:val="KIRMIZIChar"/>
                <w:rFonts w:eastAsia="Calibri"/>
              </w:rPr>
              <w:t>e</w:t>
            </w:r>
            <w:r w:rsidRPr="00A23740">
              <w:rPr>
                <w:rFonts w:eastAsia="Times New Roman"/>
                <w:spacing w:val="-2"/>
                <w:szCs w:val="24"/>
                <w:lang w:eastAsia="tr-TR"/>
              </w:rPr>
              <w:t xml:space="preserve"> </w:t>
            </w:r>
          </w:p>
          <w:p w:rsidR="009D54B9" w:rsidRPr="00A23740" w:rsidRDefault="009D54B9" w:rsidP="009431FF">
            <w:pPr>
              <w:rPr>
                <w:szCs w:val="24"/>
                <w:lang w:eastAsia="tr-TR"/>
              </w:rPr>
            </w:pPr>
          </w:p>
          <w:p w:rsidR="00155AF4" w:rsidRPr="00A23740" w:rsidRDefault="00155AF4" w:rsidP="009431FF">
            <w:pPr>
              <w:rPr>
                <w:rFonts w:eastAsia="Times New Roman"/>
                <w:b/>
                <w:strike/>
                <w:color w:val="FF0000"/>
                <w:spacing w:val="-2"/>
                <w:szCs w:val="24"/>
                <w:lang w:eastAsia="tr-TR"/>
              </w:rPr>
            </w:pPr>
            <w:r w:rsidRPr="00A23740">
              <w:rPr>
                <w:rFonts w:eastAsia="Times New Roman"/>
                <w:b/>
                <w:strike/>
                <w:color w:val="FF0000"/>
                <w:spacing w:val="-2"/>
                <w:szCs w:val="24"/>
                <w:lang w:eastAsia="tr-TR"/>
              </w:rPr>
              <w:t xml:space="preserve">85 inci maddenin uygulanma biçimi, </w:t>
            </w:r>
          </w:p>
          <w:p w:rsidR="00155AF4" w:rsidRPr="00A23740" w:rsidRDefault="00155AF4" w:rsidP="009431FF">
            <w:pPr>
              <w:rPr>
                <w:rFonts w:eastAsia="Times New Roman"/>
                <w:spacing w:val="-2"/>
                <w:szCs w:val="24"/>
                <w:lang w:eastAsia="tr-TR"/>
              </w:rPr>
            </w:pPr>
          </w:p>
          <w:p w:rsidR="00155AF4" w:rsidRPr="00A23740" w:rsidRDefault="00155AF4" w:rsidP="009431FF">
            <w:pPr>
              <w:rPr>
                <w:rFonts w:eastAsia="Times New Roman"/>
                <w:b/>
                <w:strike/>
                <w:color w:val="FF0000"/>
                <w:spacing w:val="-2"/>
                <w:szCs w:val="24"/>
                <w:lang w:eastAsia="tr-TR"/>
              </w:rPr>
            </w:pPr>
            <w:r w:rsidRPr="00A23740">
              <w:rPr>
                <w:rFonts w:eastAsia="Times New Roman"/>
                <w:b/>
                <w:strike/>
                <w:color w:val="FF0000"/>
                <w:spacing w:val="-2"/>
                <w:szCs w:val="24"/>
                <w:lang w:eastAsia="tr-TR"/>
              </w:rPr>
              <w:t xml:space="preserve">icra dairesi tarafından hesaplanan vekâlet ücreti, </w:t>
            </w:r>
          </w:p>
          <w:p w:rsidR="009D54B9" w:rsidRPr="00A23740" w:rsidRDefault="009D54B9" w:rsidP="009431FF">
            <w:pPr>
              <w:rPr>
                <w:rStyle w:val="KIRMIZIChar"/>
                <w:rFonts w:eastAsia="Calibri"/>
              </w:rPr>
            </w:pPr>
          </w:p>
          <w:p w:rsidR="00155AF4" w:rsidRPr="00A23740" w:rsidRDefault="00155AF4" w:rsidP="009431FF">
            <w:pPr>
              <w:rPr>
                <w:rFonts w:eastAsia="Times New Roman"/>
                <w:spacing w:val="-2"/>
                <w:szCs w:val="24"/>
                <w:lang w:eastAsia="tr-TR"/>
              </w:rPr>
            </w:pPr>
            <w:r w:rsidRPr="00A23740">
              <w:rPr>
                <w:rStyle w:val="KIRMIZIChar"/>
                <w:rFonts w:eastAsia="Calibri"/>
              </w:rPr>
              <w:t>103 üncü</w:t>
            </w:r>
            <w:r w:rsidRPr="00A23740">
              <w:rPr>
                <w:rFonts w:eastAsia="Times New Roman"/>
                <w:spacing w:val="-2"/>
                <w:szCs w:val="24"/>
                <w:lang w:eastAsia="tr-TR"/>
              </w:rPr>
              <w:t xml:space="preserve"> madde</w:t>
            </w:r>
            <w:r w:rsidRPr="00A23740">
              <w:rPr>
                <w:rStyle w:val="KIRMIZIChar"/>
                <w:rFonts w:eastAsia="Calibri"/>
              </w:rPr>
              <w:t>nin uygulanma biçimi ve bu maddede düzenlenen davetiyenin içeriği,</w:t>
            </w:r>
            <w:r w:rsidRPr="00A23740">
              <w:rPr>
                <w:rFonts w:eastAsia="Times New Roman"/>
                <w:spacing w:val="-2"/>
                <w:szCs w:val="24"/>
                <w:lang w:eastAsia="tr-TR"/>
              </w:rPr>
              <w:t xml:space="preserve"> </w:t>
            </w:r>
          </w:p>
          <w:p w:rsidR="008E162A" w:rsidRPr="00A23740" w:rsidRDefault="008E162A" w:rsidP="009431FF">
            <w:pPr>
              <w:rPr>
                <w:szCs w:val="24"/>
                <w:lang w:eastAsia="tr-TR"/>
              </w:rPr>
            </w:pPr>
          </w:p>
          <w:p w:rsidR="00C10E7D" w:rsidRPr="00A23740" w:rsidRDefault="00155AF4" w:rsidP="009431FF">
            <w:pPr>
              <w:rPr>
                <w:rFonts w:eastAsia="Times New Roman"/>
                <w:spacing w:val="-2"/>
                <w:szCs w:val="24"/>
                <w:lang w:eastAsia="tr-TR"/>
              </w:rPr>
            </w:pPr>
            <w:r w:rsidRPr="00A23740">
              <w:rPr>
                <w:rFonts w:eastAsia="Times New Roman"/>
                <w:b/>
                <w:strike/>
                <w:color w:val="FF0000"/>
                <w:spacing w:val="-2"/>
                <w:szCs w:val="24"/>
                <w:lang w:eastAsia="tr-TR"/>
              </w:rPr>
              <w:t>yediemin ücreti,</w:t>
            </w:r>
            <w:r w:rsidRPr="00A23740">
              <w:rPr>
                <w:rFonts w:eastAsia="Times New Roman"/>
                <w:spacing w:val="-2"/>
                <w:szCs w:val="24"/>
                <w:lang w:eastAsia="tr-TR"/>
              </w:rPr>
              <w:t xml:space="preserve"> yediemin değiştirilmesi</w:t>
            </w:r>
            <w:r w:rsidRPr="00A23740">
              <w:rPr>
                <w:rStyle w:val="KIRMIZIChar"/>
                <w:rFonts w:eastAsia="Calibri"/>
              </w:rPr>
              <w:t>,</w:t>
            </w:r>
            <w:r w:rsidRPr="00A23740">
              <w:rPr>
                <w:rFonts w:eastAsia="Times New Roman"/>
                <w:spacing w:val="-2"/>
                <w:szCs w:val="24"/>
                <w:lang w:eastAsia="tr-TR"/>
              </w:rPr>
              <w:t xml:space="preserve"> hacizli taşınır malların muhafaza şekli, kıymet takdiri</w:t>
            </w:r>
            <w:r w:rsidRPr="00A23740">
              <w:rPr>
                <w:rFonts w:eastAsia="Times New Roman"/>
                <w:b/>
                <w:strike/>
                <w:color w:val="FF0000"/>
                <w:spacing w:val="-2"/>
                <w:szCs w:val="24"/>
                <w:lang w:eastAsia="tr-TR"/>
              </w:rPr>
              <w:t>ne ilişkin şikâyet,</w:t>
            </w:r>
            <w:r w:rsidRPr="00A23740">
              <w:rPr>
                <w:rFonts w:eastAsia="Times New Roman"/>
                <w:color w:val="FF0000"/>
                <w:spacing w:val="-2"/>
                <w:szCs w:val="24"/>
                <w:lang w:eastAsia="tr-TR"/>
              </w:rPr>
              <w:t xml:space="preserve"> </w:t>
            </w:r>
          </w:p>
          <w:p w:rsidR="00537077" w:rsidRPr="00A23740" w:rsidRDefault="00155AF4" w:rsidP="009431FF">
            <w:pPr>
              <w:rPr>
                <w:rFonts w:eastAsia="Times New Roman"/>
                <w:szCs w:val="24"/>
                <w:lang w:eastAsia="tr-TR"/>
              </w:rPr>
            </w:pPr>
            <w:r w:rsidRPr="00A23740">
              <w:rPr>
                <w:rFonts w:eastAsia="Times New Roman"/>
                <w:spacing w:val="-2"/>
                <w:szCs w:val="24"/>
                <w:lang w:eastAsia="tr-TR"/>
              </w:rPr>
              <w:t xml:space="preserve">ihaleye katılabilmek için teminat yatırılması ve teminatın </w:t>
            </w:r>
            <w:r w:rsidRPr="00A23740">
              <w:rPr>
                <w:rFonts w:eastAsia="Times New Roman"/>
                <w:szCs w:val="24"/>
                <w:lang w:eastAsia="tr-TR"/>
              </w:rPr>
              <w:t>miktarı</w:t>
            </w:r>
            <w:r w:rsidRPr="00A23740">
              <w:rPr>
                <w:rStyle w:val="KIRMIZIChar"/>
                <w:rFonts w:eastAsia="Calibri"/>
              </w:rPr>
              <w:t>,</w:t>
            </w:r>
            <w:r w:rsidRPr="00A23740">
              <w:rPr>
                <w:rFonts w:eastAsia="Times New Roman"/>
                <w:szCs w:val="24"/>
                <w:lang w:eastAsia="tr-TR"/>
              </w:rPr>
              <w:t xml:space="preserve">  </w:t>
            </w:r>
          </w:p>
          <w:p w:rsidR="00537077" w:rsidRPr="00A23740" w:rsidRDefault="00537077"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Fonts w:eastAsia="Times New Roman"/>
                <w:szCs w:val="24"/>
                <w:lang w:eastAsia="tr-TR"/>
              </w:rPr>
              <w:t>satışın  durdurulması</w:t>
            </w:r>
            <w:r w:rsidRPr="00A23740">
              <w:rPr>
                <w:rStyle w:val="KIRMIZIChar"/>
                <w:rFonts w:eastAsia="Calibri"/>
              </w:rPr>
              <w:t>,</w:t>
            </w:r>
            <w:r w:rsidRPr="00A23740">
              <w:rPr>
                <w:rFonts w:eastAsia="Times New Roman"/>
                <w:szCs w:val="24"/>
                <w:lang w:eastAsia="tr-TR"/>
              </w:rPr>
              <w:t xml:space="preserve">  satış  ilânının  iptali</w:t>
            </w:r>
            <w:r w:rsidRPr="00A23740">
              <w:rPr>
                <w:rStyle w:val="KIRMIZIChar"/>
                <w:rFonts w:eastAsia="Calibri"/>
              </w:rPr>
              <w:t>,</w:t>
            </w:r>
            <w:r w:rsidRPr="00A23740">
              <w:rPr>
                <w:rFonts w:eastAsia="Times New Roman"/>
                <w:szCs w:val="24"/>
                <w:lang w:eastAsia="tr-TR"/>
              </w:rPr>
              <w:t xml:space="preserve"> </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537077" w:rsidRPr="00A23740" w:rsidRDefault="00537077" w:rsidP="009431FF">
            <w:pPr>
              <w:rPr>
                <w:rFonts w:eastAsia="Times New Roman"/>
                <w:szCs w:val="24"/>
                <w:lang w:eastAsia="tr-TR"/>
              </w:rPr>
            </w:pPr>
          </w:p>
          <w:p w:rsidR="00155AF4" w:rsidRPr="00A23740" w:rsidRDefault="00155AF4" w:rsidP="009431FF">
            <w:pPr>
              <w:pStyle w:val="KIRMIZI"/>
              <w:rPr>
                <w:lang w:val="tr-TR"/>
              </w:rPr>
            </w:pPr>
            <w:r w:rsidRPr="00A23740">
              <w:rPr>
                <w:lang w:val="tr-TR"/>
              </w:rPr>
              <w:t xml:space="preserve">süresinde satış istenmemesi nedeniyle satışın düşürülmesi, </w:t>
            </w:r>
          </w:p>
          <w:p w:rsidR="00155AF4" w:rsidRPr="00A23740" w:rsidRDefault="00155AF4" w:rsidP="009431FF">
            <w:pPr>
              <w:rPr>
                <w:szCs w:val="24"/>
                <w:lang w:eastAsia="tr-TR"/>
              </w:rPr>
            </w:pPr>
          </w:p>
          <w:p w:rsidR="00BE7F06" w:rsidRPr="00A23740" w:rsidRDefault="00BE7F06" w:rsidP="009431FF">
            <w:pPr>
              <w:rPr>
                <w:rFonts w:eastAsia="Times New Roman"/>
                <w:b/>
                <w:strike/>
                <w:color w:val="FF0000"/>
                <w:szCs w:val="24"/>
                <w:lang w:eastAsia="tr-TR"/>
              </w:rPr>
            </w:pPr>
          </w:p>
          <w:p w:rsidR="00741FB8"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iflâs idaresinin oluşturulması, icra mahkemesinin iflâs idaresinin işlemleri hakkında şikâyet üzerine verdiği kararlara karşı, iflâs idare memurunun ücret ve masraflar</w:t>
            </w:r>
            <w:r w:rsidR="009D54B9" w:rsidRPr="00A23740">
              <w:rPr>
                <w:rFonts w:eastAsia="Times New Roman"/>
                <w:b/>
                <w:strike/>
                <w:color w:val="FF0000"/>
                <w:szCs w:val="24"/>
                <w:lang w:eastAsia="tr-TR"/>
              </w:rPr>
              <w:t xml:space="preserve">ı hakkındaki hesap pusulası ve </w:t>
            </w:r>
          </w:p>
          <w:p w:rsidR="00155AF4" w:rsidRPr="00A23740" w:rsidRDefault="00155AF4" w:rsidP="009431FF">
            <w:pPr>
              <w:rPr>
                <w:rFonts w:eastAsia="Times New Roman"/>
                <w:szCs w:val="24"/>
                <w:lang w:eastAsia="tr-TR"/>
              </w:rPr>
            </w:pPr>
            <w:r w:rsidRPr="00A23740">
              <w:rPr>
                <w:rStyle w:val="KIRMIZIChar"/>
                <w:rFonts w:eastAsia="Calibri"/>
              </w:rPr>
              <w:t>36 ncı</w:t>
            </w:r>
            <w:r w:rsidRPr="00A23740">
              <w:rPr>
                <w:rFonts w:eastAsia="Times New Roman"/>
                <w:szCs w:val="24"/>
                <w:lang w:eastAsia="tr-TR"/>
              </w:rPr>
              <w:t xml:space="preserve"> maddeye göre icranın </w:t>
            </w:r>
            <w:r w:rsidRPr="00A23740">
              <w:rPr>
                <w:rStyle w:val="KIRMIZIChar"/>
                <w:rFonts w:eastAsia="Calibri"/>
              </w:rPr>
              <w:t>geri bırakılmasına</w:t>
            </w:r>
            <w:r w:rsidRPr="00A23740">
              <w:rPr>
                <w:rFonts w:eastAsia="Times New Roman"/>
                <w:szCs w:val="24"/>
                <w:lang w:eastAsia="tr-TR"/>
              </w:rPr>
              <w:t xml:space="preserve"> </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9D54B9" w:rsidRPr="00A23740" w:rsidRDefault="009D54B9" w:rsidP="009431FF">
            <w:pPr>
              <w:rPr>
                <w:rFonts w:eastAsia="Times New Roman"/>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 xml:space="preserve">ilişkin kararları dışındaki kararlarına karşı, ait olduğu alacak, hak veya malın değer veya miktarının yedi bin Türk lirasını geçmesi </w:t>
            </w:r>
            <w:r w:rsidRPr="00A23740">
              <w:rPr>
                <w:rFonts w:eastAsia="Times New Roman"/>
                <w:b/>
                <w:strike/>
                <w:color w:val="FF0000"/>
                <w:szCs w:val="24"/>
                <w:lang w:eastAsia="tr-TR"/>
              </w:rPr>
              <w:lastRenderedPageBreak/>
              <w:t>şartıyla istinaf yoluna başvurulabilir. İstinaf yoluna başvuru süresi tefhim veya tebliğ tarihinden itibaren on gündür</w:t>
            </w:r>
          </w:p>
          <w:p w:rsidR="00A711D3" w:rsidRPr="00A23740" w:rsidRDefault="00A711D3" w:rsidP="009431FF">
            <w:pPr>
              <w:rPr>
                <w:rFonts w:eastAsia="Times New Roman"/>
                <w:szCs w:val="24"/>
                <w:lang w:eastAsia="tr-TR"/>
              </w:rPr>
            </w:pPr>
          </w:p>
          <w:p w:rsidR="00A711D3" w:rsidRPr="00A23740" w:rsidRDefault="00A711D3" w:rsidP="009431FF">
            <w:pPr>
              <w:rPr>
                <w:rFonts w:eastAsia="Times New Roman"/>
                <w:szCs w:val="24"/>
                <w:lang w:eastAsia="tr-TR"/>
              </w:rPr>
            </w:pPr>
            <w:r w:rsidRPr="00A23740">
              <w:rPr>
                <w:rStyle w:val="KIRMIZIChar"/>
                <w:rFonts w:eastAsia="Calibri"/>
              </w:rPr>
              <w:t>263 üncü</w:t>
            </w:r>
            <w:r w:rsidRPr="00A23740">
              <w:rPr>
                <w:rFonts w:eastAsia="Times New Roman"/>
                <w:szCs w:val="24"/>
                <w:lang w:eastAsia="tr-TR"/>
              </w:rPr>
              <w:t xml:space="preserve"> maddenin uygulanma biçimi</w:t>
            </w:r>
            <w:r w:rsidRPr="00A23740">
              <w:rPr>
                <w:rStyle w:val="KIRMIZIChar"/>
                <w:rFonts w:eastAsia="Calibri"/>
              </w:rPr>
              <w:t>,</w:t>
            </w:r>
            <w:r w:rsidRPr="00A23740">
              <w:rPr>
                <w:rFonts w:eastAsia="Times New Roman"/>
                <w:szCs w:val="24"/>
                <w:lang w:eastAsia="tr-TR"/>
              </w:rPr>
              <w:t xml:space="preserve"> </w:t>
            </w:r>
          </w:p>
          <w:p w:rsidR="00A711D3" w:rsidRPr="00A23740" w:rsidRDefault="00A711D3" w:rsidP="009431FF">
            <w:pPr>
              <w:rPr>
                <w:rFonts w:eastAsia="Times New Roman"/>
                <w:b/>
                <w:strike/>
                <w:szCs w:val="24"/>
                <w:lang w:eastAsia="tr-TR"/>
              </w:rPr>
            </w:pPr>
          </w:p>
        </w:tc>
        <w:tc>
          <w:tcPr>
            <w:tcW w:w="2500" w:type="pct"/>
            <w:shd w:val="clear" w:color="auto" w:fill="auto"/>
          </w:tcPr>
          <w:p w:rsidR="00155AF4" w:rsidRPr="00A23740" w:rsidRDefault="00155AF4" w:rsidP="009431FF">
            <w:pPr>
              <w:rPr>
                <w:b/>
                <w:szCs w:val="24"/>
              </w:rPr>
            </w:pPr>
            <w:r w:rsidRPr="00A23740">
              <w:rPr>
                <w:rFonts w:eastAsia="Times New Roman"/>
                <w:szCs w:val="24"/>
              </w:rPr>
              <w:lastRenderedPageBreak/>
              <w:t>İstinaf yoluna</w:t>
            </w:r>
            <w:r w:rsidRPr="00A23740">
              <w:rPr>
                <w:rStyle w:val="MaviChar"/>
              </w:rPr>
              <w:t xml:space="preserve"> başvurulamayan kararlar</w:t>
            </w:r>
          </w:p>
          <w:p w:rsidR="00F41D45" w:rsidRPr="00A23740" w:rsidRDefault="00155AF4" w:rsidP="009431FF">
            <w:pPr>
              <w:rPr>
                <w:rStyle w:val="MaviChar"/>
              </w:rPr>
            </w:pPr>
            <w:r w:rsidRPr="00A23740">
              <w:rPr>
                <w:rStyle w:val="MaviChar"/>
                <w:lang w:val="tr-TR"/>
              </w:rPr>
              <w:t xml:space="preserve">MADDE </w:t>
            </w:r>
            <w:r w:rsidR="0059245E" w:rsidRPr="00A23740">
              <w:rPr>
                <w:rStyle w:val="MaviChar"/>
              </w:rPr>
              <w:t>33</w:t>
            </w:r>
            <w:r w:rsidRPr="00A23740">
              <w:rPr>
                <w:rStyle w:val="MaviChar"/>
              </w:rPr>
              <w:t>-</w:t>
            </w:r>
            <w:r w:rsidRPr="00A23740">
              <w:rPr>
                <w:rStyle w:val="MaviChar"/>
                <w:lang w:val="tr-TR"/>
              </w:rPr>
              <w:t xml:space="preserve"> (</w:t>
            </w:r>
            <w:r w:rsidRPr="00A23740">
              <w:rPr>
                <w:rStyle w:val="MaviChar"/>
              </w:rPr>
              <w:t>1)</w:t>
            </w:r>
            <w:r w:rsidRPr="00A23740">
              <w:rPr>
                <w:rFonts w:eastAsia="Times New Roman"/>
                <w:szCs w:val="24"/>
              </w:rPr>
              <w:t xml:space="preserve"> İcra </w:t>
            </w:r>
            <w:r w:rsidRPr="00A23740">
              <w:rPr>
                <w:rStyle w:val="MaviChar"/>
              </w:rPr>
              <w:t>hukuk</w:t>
            </w:r>
            <w:r w:rsidRPr="00A23740">
              <w:rPr>
                <w:rFonts w:eastAsia="Times New Roman"/>
                <w:szCs w:val="24"/>
              </w:rPr>
              <w:t xml:space="preserve"> mahkemesi</w:t>
            </w:r>
            <w:r w:rsidRPr="00A23740">
              <w:rPr>
                <w:rStyle w:val="MaviChar"/>
                <w:lang w:val="tr-TR"/>
              </w:rPr>
              <w:t xml:space="preserve">nin kanunda </w:t>
            </w:r>
            <w:r w:rsidRPr="00A23740">
              <w:rPr>
                <w:rStyle w:val="MaviChar"/>
              </w:rPr>
              <w:t>kesin olarak verileceği belirtilen kararları ile aşağıdaki hususlara ili</w:t>
            </w:r>
            <w:r w:rsidR="00F41D45" w:rsidRPr="00A23740">
              <w:rPr>
                <w:rStyle w:val="MaviChar"/>
              </w:rPr>
              <w:t>şkin kararları hakkında istinaf yoluna</w:t>
            </w:r>
            <w:r w:rsidRPr="00A23740">
              <w:rPr>
                <w:rStyle w:val="MaviChar"/>
              </w:rPr>
              <w:t xml:space="preserve"> başvurulamaz:</w:t>
            </w:r>
          </w:p>
          <w:p w:rsidR="00155AF4" w:rsidRPr="00A23740" w:rsidRDefault="00155AF4" w:rsidP="009431FF">
            <w:pPr>
              <w:contextualSpacing/>
              <w:rPr>
                <w:b/>
                <w:szCs w:val="24"/>
              </w:rPr>
            </w:pPr>
          </w:p>
          <w:p w:rsidR="00155AF4" w:rsidRDefault="00155AF4" w:rsidP="009431FF">
            <w:pPr>
              <w:rPr>
                <w:b/>
                <w:color w:val="FF0000"/>
                <w:szCs w:val="24"/>
              </w:rPr>
            </w:pPr>
          </w:p>
          <w:p w:rsidR="003049D7" w:rsidRPr="00A23740" w:rsidRDefault="003049D7" w:rsidP="009431FF">
            <w:pPr>
              <w:rPr>
                <w:b/>
                <w:color w:val="FF0000"/>
                <w:szCs w:val="24"/>
              </w:rPr>
            </w:pPr>
          </w:p>
          <w:p w:rsidR="00BE7F06" w:rsidRPr="00A23740" w:rsidRDefault="00155AF4" w:rsidP="009431FF">
            <w:pPr>
              <w:rPr>
                <w:rStyle w:val="MaviChar"/>
              </w:rPr>
            </w:pPr>
            <w:r w:rsidRPr="00A23740">
              <w:rPr>
                <w:rStyle w:val="MaviChar"/>
              </w:rPr>
              <w:t>a)</w:t>
            </w:r>
            <w:r w:rsidRPr="00A23740">
              <w:rPr>
                <w:spacing w:val="-2"/>
                <w:szCs w:val="24"/>
              </w:rPr>
              <w:t xml:space="preserve"> </w:t>
            </w:r>
            <w:r w:rsidR="001A0810" w:rsidRPr="002B26FC">
              <w:rPr>
                <w:rStyle w:val="MaviChar"/>
              </w:rPr>
              <w:t>201</w:t>
            </w:r>
            <w:r w:rsidR="001A0810" w:rsidRPr="00A23740">
              <w:rPr>
                <w:rStyle w:val="KonuBalChar"/>
                <w:rFonts w:eastAsia="Calibri"/>
              </w:rPr>
              <w:t xml:space="preserve"> </w:t>
            </w:r>
            <w:r w:rsidR="001A0810" w:rsidRPr="002B26FC">
              <w:rPr>
                <w:rStyle w:val="MaviChar"/>
              </w:rPr>
              <w:t>inci</w:t>
            </w:r>
            <w:r w:rsidR="001A0810" w:rsidRPr="00A23740">
              <w:rPr>
                <w:spacing w:val="-2"/>
                <w:szCs w:val="24"/>
              </w:rPr>
              <w:t xml:space="preserve"> </w:t>
            </w:r>
            <w:r w:rsidR="00DD5660" w:rsidRPr="00A23740">
              <w:rPr>
                <w:spacing w:val="-2"/>
                <w:szCs w:val="24"/>
              </w:rPr>
              <w:t>madde</w:t>
            </w:r>
            <w:r w:rsidR="00DD5660" w:rsidRPr="00A23740">
              <w:rPr>
                <w:rStyle w:val="MaviChar"/>
              </w:rPr>
              <w:t>ye göre haczin bildirilme biçimi.</w:t>
            </w:r>
            <w:r w:rsidRPr="00A23740">
              <w:rPr>
                <w:rStyle w:val="MaviChar"/>
              </w:rPr>
              <w:t xml:space="preserve"> </w:t>
            </w:r>
          </w:p>
          <w:p w:rsidR="008E162A" w:rsidRPr="00A23740" w:rsidRDefault="008E162A" w:rsidP="009431FF">
            <w:pPr>
              <w:rPr>
                <w:rStyle w:val="MaviChar"/>
                <w:b w:val="0"/>
                <w:bCs w:val="0"/>
                <w:color w:val="auto"/>
                <w:spacing w:val="-2"/>
                <w:lang w:val="tr-TR" w:eastAsia="en-US"/>
              </w:rPr>
            </w:pPr>
          </w:p>
          <w:p w:rsidR="003049D7" w:rsidRDefault="003049D7" w:rsidP="009431FF">
            <w:pPr>
              <w:contextualSpacing/>
              <w:rPr>
                <w:rStyle w:val="MaviChar"/>
              </w:rPr>
            </w:pPr>
          </w:p>
          <w:p w:rsidR="00155AF4" w:rsidRPr="00A23740" w:rsidRDefault="00155AF4" w:rsidP="009431FF">
            <w:pPr>
              <w:contextualSpacing/>
              <w:rPr>
                <w:rStyle w:val="MaviChar"/>
              </w:rPr>
            </w:pPr>
            <w:r w:rsidRPr="00A23740">
              <w:rPr>
                <w:rStyle w:val="MaviChar"/>
              </w:rPr>
              <w:t>b)</w:t>
            </w:r>
            <w:r w:rsidRPr="00A23740">
              <w:rPr>
                <w:spacing w:val="-2"/>
                <w:szCs w:val="24"/>
              </w:rPr>
              <w:t xml:space="preserve"> Yedieminin değiştirilmesi </w:t>
            </w:r>
            <w:r w:rsidR="00B53382" w:rsidRPr="00A23740">
              <w:rPr>
                <w:rStyle w:val="MaviChar"/>
                <w:lang w:val="tr-TR"/>
              </w:rPr>
              <w:t>v</w:t>
            </w:r>
            <w:r w:rsidRPr="00A23740">
              <w:rPr>
                <w:rStyle w:val="MaviChar"/>
                <w:lang w:val="tr-TR"/>
              </w:rPr>
              <w:t>e</w:t>
            </w:r>
            <w:r w:rsidRPr="00A23740">
              <w:rPr>
                <w:spacing w:val="-2"/>
                <w:szCs w:val="24"/>
              </w:rPr>
              <w:t xml:space="preserve"> hacizli ta</w:t>
            </w:r>
            <w:r w:rsidR="00B53382" w:rsidRPr="00A23740">
              <w:rPr>
                <w:spacing w:val="-2"/>
                <w:szCs w:val="24"/>
              </w:rPr>
              <w:t>şınır malların muhafaza şekli</w:t>
            </w:r>
            <w:r w:rsidR="00B53382" w:rsidRPr="00A23740">
              <w:rPr>
                <w:rStyle w:val="MaviChar"/>
              </w:rPr>
              <w:t>.</w:t>
            </w:r>
          </w:p>
          <w:p w:rsidR="009D54B9" w:rsidRPr="00A23740" w:rsidRDefault="009D54B9" w:rsidP="009431FF">
            <w:pPr>
              <w:contextualSpacing/>
              <w:rPr>
                <w:spacing w:val="-2"/>
                <w:szCs w:val="24"/>
              </w:rPr>
            </w:pPr>
          </w:p>
          <w:p w:rsidR="00155AF4" w:rsidRPr="00A23740" w:rsidRDefault="00155AF4" w:rsidP="009431FF">
            <w:pPr>
              <w:contextualSpacing/>
              <w:rPr>
                <w:rStyle w:val="MaviChar"/>
                <w:lang w:val="tr-TR"/>
              </w:rPr>
            </w:pPr>
            <w:r w:rsidRPr="00A23740">
              <w:rPr>
                <w:rStyle w:val="MaviChar"/>
              </w:rPr>
              <w:t>c)</w:t>
            </w:r>
            <w:r w:rsidRPr="00A23740">
              <w:rPr>
                <w:spacing w:val="-2"/>
                <w:szCs w:val="24"/>
              </w:rPr>
              <w:t xml:space="preserve"> İhaleye katılabilmek için teminat yatırılması ve teminatın </w:t>
            </w:r>
            <w:r w:rsidRPr="00A23740">
              <w:rPr>
                <w:szCs w:val="24"/>
              </w:rPr>
              <w:t>miktarı</w:t>
            </w:r>
            <w:r w:rsidRPr="00A23740">
              <w:rPr>
                <w:rStyle w:val="MaviChar"/>
                <w:lang w:val="tr-TR"/>
              </w:rPr>
              <w:t>.</w:t>
            </w:r>
          </w:p>
          <w:p w:rsidR="008E162A" w:rsidRPr="00A23740" w:rsidRDefault="008E162A" w:rsidP="009431FF">
            <w:pPr>
              <w:contextualSpacing/>
              <w:rPr>
                <w:szCs w:val="24"/>
              </w:rPr>
            </w:pPr>
          </w:p>
          <w:p w:rsidR="00155AF4" w:rsidRPr="00A23740" w:rsidRDefault="00155AF4" w:rsidP="009431FF">
            <w:pPr>
              <w:contextualSpacing/>
              <w:rPr>
                <w:rStyle w:val="MaviChar"/>
              </w:rPr>
            </w:pPr>
            <w:r w:rsidRPr="00A23740">
              <w:rPr>
                <w:rStyle w:val="MaviChar"/>
              </w:rPr>
              <w:t>ç)</w:t>
            </w:r>
            <w:r w:rsidRPr="00A23740">
              <w:rPr>
                <w:szCs w:val="24"/>
              </w:rPr>
              <w:t xml:space="preserve"> Satışın durdurulması </w:t>
            </w:r>
            <w:r w:rsidRPr="00A23740">
              <w:rPr>
                <w:rStyle w:val="MaviChar"/>
              </w:rPr>
              <w:t>talebinin reddi.</w:t>
            </w:r>
          </w:p>
          <w:p w:rsidR="008E162A" w:rsidRPr="00A23740" w:rsidRDefault="008E162A" w:rsidP="009431FF">
            <w:pPr>
              <w:contextualSpacing/>
              <w:rPr>
                <w:color w:val="FF0000"/>
                <w:szCs w:val="24"/>
              </w:rPr>
            </w:pPr>
          </w:p>
          <w:p w:rsidR="00155AF4" w:rsidRPr="00A23740" w:rsidRDefault="00155AF4" w:rsidP="009431FF">
            <w:pPr>
              <w:contextualSpacing/>
              <w:rPr>
                <w:szCs w:val="24"/>
              </w:rPr>
            </w:pPr>
            <w:r w:rsidRPr="00A23740">
              <w:rPr>
                <w:rStyle w:val="MaviChar"/>
              </w:rPr>
              <w:t>d)</w:t>
            </w:r>
            <w:r w:rsidRPr="00A23740">
              <w:rPr>
                <w:color w:val="FF0000"/>
                <w:szCs w:val="24"/>
              </w:rPr>
              <w:t xml:space="preserve"> </w:t>
            </w:r>
            <w:r w:rsidRPr="00A23740">
              <w:rPr>
                <w:szCs w:val="24"/>
              </w:rPr>
              <w:t>Satış il</w:t>
            </w:r>
            <w:r w:rsidR="00930910" w:rsidRPr="00A23740">
              <w:rPr>
                <w:szCs w:val="24"/>
              </w:rPr>
              <w:t>a</w:t>
            </w:r>
            <w:r w:rsidRPr="00A23740">
              <w:rPr>
                <w:szCs w:val="24"/>
              </w:rPr>
              <w:t>nının iptali</w:t>
            </w:r>
            <w:r w:rsidRPr="00A23740">
              <w:rPr>
                <w:rStyle w:val="MaviChar"/>
                <w:lang w:val="tr-TR"/>
              </w:rPr>
              <w:t>.</w:t>
            </w:r>
          </w:p>
          <w:p w:rsidR="00155AF4" w:rsidRPr="00A23740" w:rsidRDefault="00155AF4" w:rsidP="009431FF">
            <w:pPr>
              <w:contextualSpacing/>
              <w:rPr>
                <w:szCs w:val="24"/>
              </w:rPr>
            </w:pPr>
          </w:p>
          <w:p w:rsidR="00155AF4" w:rsidRDefault="00155AF4" w:rsidP="009431FF">
            <w:pPr>
              <w:contextualSpacing/>
              <w:rPr>
                <w:b/>
                <w:color w:val="0000FF"/>
                <w:szCs w:val="24"/>
              </w:rPr>
            </w:pPr>
          </w:p>
          <w:p w:rsidR="003049D7" w:rsidRDefault="003049D7" w:rsidP="009431FF">
            <w:pPr>
              <w:contextualSpacing/>
              <w:rPr>
                <w:b/>
                <w:color w:val="0000FF"/>
                <w:szCs w:val="24"/>
              </w:rPr>
            </w:pPr>
          </w:p>
          <w:p w:rsidR="003049D7" w:rsidRDefault="003049D7" w:rsidP="009431FF">
            <w:pPr>
              <w:contextualSpacing/>
              <w:rPr>
                <w:b/>
                <w:color w:val="0000FF"/>
                <w:szCs w:val="24"/>
              </w:rPr>
            </w:pPr>
          </w:p>
          <w:p w:rsidR="003049D7" w:rsidRDefault="003049D7" w:rsidP="009431FF">
            <w:pPr>
              <w:contextualSpacing/>
              <w:rPr>
                <w:b/>
                <w:color w:val="0000FF"/>
                <w:szCs w:val="24"/>
              </w:rPr>
            </w:pPr>
          </w:p>
          <w:p w:rsidR="003049D7" w:rsidRDefault="003049D7" w:rsidP="009431FF">
            <w:pPr>
              <w:contextualSpacing/>
              <w:rPr>
                <w:b/>
                <w:color w:val="0000FF"/>
                <w:szCs w:val="24"/>
              </w:rPr>
            </w:pPr>
          </w:p>
          <w:p w:rsidR="003049D7" w:rsidRPr="00A23740" w:rsidRDefault="003049D7" w:rsidP="009431FF">
            <w:pPr>
              <w:contextualSpacing/>
              <w:rPr>
                <w:b/>
                <w:color w:val="0000FF"/>
                <w:szCs w:val="24"/>
              </w:rPr>
            </w:pPr>
          </w:p>
          <w:p w:rsidR="009D54B9" w:rsidRPr="00A23740" w:rsidRDefault="009D54B9" w:rsidP="009431FF">
            <w:pPr>
              <w:contextualSpacing/>
              <w:rPr>
                <w:b/>
                <w:color w:val="0000FF"/>
                <w:szCs w:val="24"/>
              </w:rPr>
            </w:pPr>
          </w:p>
          <w:p w:rsidR="00155AF4" w:rsidRPr="00A23740" w:rsidRDefault="00A711D3" w:rsidP="009431FF">
            <w:pPr>
              <w:contextualSpacing/>
              <w:rPr>
                <w:rStyle w:val="MaviChar"/>
              </w:rPr>
            </w:pPr>
            <w:r w:rsidRPr="00A23740">
              <w:rPr>
                <w:rStyle w:val="MaviChar"/>
              </w:rPr>
              <w:t>e</w:t>
            </w:r>
            <w:r w:rsidR="00155AF4" w:rsidRPr="00A23740">
              <w:rPr>
                <w:rStyle w:val="MaviChar"/>
              </w:rPr>
              <w:t>)</w:t>
            </w:r>
            <w:r w:rsidR="00155AF4" w:rsidRPr="00A23740">
              <w:rPr>
                <w:szCs w:val="24"/>
              </w:rPr>
              <w:t xml:space="preserve"> </w:t>
            </w:r>
            <w:r w:rsidR="00155AF4" w:rsidRPr="00A23740">
              <w:rPr>
                <w:rStyle w:val="MaviChar"/>
              </w:rPr>
              <w:t>55 inci</w:t>
            </w:r>
            <w:r w:rsidR="00155AF4" w:rsidRPr="00A23740">
              <w:rPr>
                <w:szCs w:val="24"/>
              </w:rPr>
              <w:t xml:space="preserve"> maddeye göre icranın </w:t>
            </w:r>
            <w:r w:rsidR="00155AF4" w:rsidRPr="00A23740">
              <w:rPr>
                <w:rStyle w:val="MaviChar"/>
              </w:rPr>
              <w:t>ertelenmesi.</w:t>
            </w:r>
          </w:p>
          <w:p w:rsidR="00537077" w:rsidRPr="00A23740" w:rsidRDefault="00537077" w:rsidP="009431FF">
            <w:pPr>
              <w:contextualSpacing/>
              <w:rPr>
                <w:szCs w:val="24"/>
              </w:rPr>
            </w:pPr>
          </w:p>
          <w:p w:rsidR="00A711D3" w:rsidRPr="00A23740" w:rsidRDefault="00A711D3" w:rsidP="009431FF">
            <w:pPr>
              <w:pStyle w:val="Mavi"/>
              <w:rPr>
                <w:lang w:val="tr-TR"/>
              </w:rPr>
            </w:pPr>
            <w:r w:rsidRPr="00A23740">
              <w:rPr>
                <w:lang w:val="tr-TR"/>
              </w:rPr>
              <w:t>f) Kıymet takdirine şik</w:t>
            </w:r>
            <w:r w:rsidR="008712EC" w:rsidRPr="00A23740">
              <w:rPr>
                <w:lang w:val="tr-TR"/>
              </w:rPr>
              <w:t>â</w:t>
            </w:r>
            <w:r w:rsidRPr="00A23740">
              <w:rPr>
                <w:lang w:val="tr-TR"/>
              </w:rPr>
              <w:t>yet hakkında verilen kararlar.</w:t>
            </w:r>
          </w:p>
          <w:p w:rsidR="00537077" w:rsidRPr="00A23740" w:rsidRDefault="00537077" w:rsidP="009431FF">
            <w:pPr>
              <w:pStyle w:val="Mavi"/>
              <w:rPr>
                <w:lang w:val="tr-TR"/>
              </w:rPr>
            </w:pPr>
          </w:p>
          <w:p w:rsidR="00155AF4" w:rsidRPr="00A23740" w:rsidRDefault="00A711D3" w:rsidP="009431FF">
            <w:pPr>
              <w:pStyle w:val="Mavi"/>
            </w:pPr>
            <w:r w:rsidRPr="00A23740">
              <w:t>g) Mükellefiyetler listesine yönelik şik</w:t>
            </w:r>
            <w:r w:rsidR="008712EC" w:rsidRPr="00A23740">
              <w:rPr>
                <w:lang w:val="tr-TR"/>
              </w:rPr>
              <w:t>â</w:t>
            </w:r>
            <w:r w:rsidR="009D54B9" w:rsidRPr="00A23740">
              <w:t>yetler.</w:t>
            </w:r>
          </w:p>
          <w:p w:rsidR="00537077" w:rsidRPr="00A23740" w:rsidRDefault="00537077" w:rsidP="009431FF">
            <w:pPr>
              <w:pStyle w:val="Mavi"/>
            </w:pPr>
          </w:p>
          <w:p w:rsidR="00A711D3" w:rsidRPr="00A23740" w:rsidRDefault="00A711D3" w:rsidP="009431FF">
            <w:pPr>
              <w:pStyle w:val="Mavi"/>
              <w:rPr>
                <w:kern w:val="32"/>
              </w:rPr>
            </w:pPr>
            <w:r w:rsidRPr="00A23740">
              <w:t>ğ</w:t>
            </w:r>
            <w:r w:rsidR="00155AF4" w:rsidRPr="00A23740">
              <w:t xml:space="preserve">) </w:t>
            </w:r>
            <w:r w:rsidR="008712EC" w:rsidRPr="002B26FC">
              <w:rPr>
                <w:bCs w:val="0"/>
              </w:rPr>
              <w:t>211</w:t>
            </w:r>
            <w:r w:rsidR="008712EC" w:rsidRPr="00A23740">
              <w:rPr>
                <w:rStyle w:val="KonuBalChar"/>
                <w:rFonts w:eastAsia="Calibri"/>
                <w:b/>
              </w:rPr>
              <w:t xml:space="preserve"> </w:t>
            </w:r>
            <w:r w:rsidR="008712EC" w:rsidRPr="002B26FC">
              <w:rPr>
                <w:bCs w:val="0"/>
              </w:rPr>
              <w:t>inci</w:t>
            </w:r>
            <w:r w:rsidR="00155AF4" w:rsidRPr="00A23740">
              <w:rPr>
                <w:lang w:val="tr-TR"/>
              </w:rPr>
              <w:t xml:space="preserve"> </w:t>
            </w:r>
            <w:r w:rsidR="00155AF4" w:rsidRPr="00A23740">
              <w:t xml:space="preserve">maddenin </w:t>
            </w:r>
            <w:r w:rsidR="009D54B9" w:rsidRPr="00A23740">
              <w:rPr>
                <w:kern w:val="32"/>
              </w:rPr>
              <w:t>uygulanması.</w:t>
            </w:r>
          </w:p>
          <w:p w:rsidR="009D54B9" w:rsidRPr="00A23740" w:rsidRDefault="009D54B9" w:rsidP="009431FF">
            <w:pPr>
              <w:pStyle w:val="Mavi"/>
              <w:rPr>
                <w:kern w:val="32"/>
              </w:rPr>
            </w:pPr>
          </w:p>
          <w:p w:rsidR="009D54B9" w:rsidRDefault="009D54B9" w:rsidP="009431FF">
            <w:pPr>
              <w:pStyle w:val="Mavi"/>
              <w:rPr>
                <w:kern w:val="32"/>
              </w:rPr>
            </w:pPr>
          </w:p>
          <w:p w:rsidR="00A44DE5" w:rsidRPr="00A23740" w:rsidRDefault="00A44DE5" w:rsidP="009431FF">
            <w:pPr>
              <w:pStyle w:val="Mavi"/>
              <w:rPr>
                <w:kern w:val="32"/>
              </w:rPr>
            </w:pPr>
          </w:p>
          <w:p w:rsidR="00A711D3" w:rsidRPr="00A23740" w:rsidRDefault="00A711D3" w:rsidP="009431FF">
            <w:pPr>
              <w:contextualSpacing/>
              <w:rPr>
                <w:szCs w:val="24"/>
              </w:rPr>
            </w:pPr>
            <w:r w:rsidRPr="00A23740">
              <w:rPr>
                <w:rStyle w:val="MaviChar"/>
              </w:rPr>
              <w:t>h)</w:t>
            </w:r>
            <w:r w:rsidRPr="00A23740">
              <w:rPr>
                <w:szCs w:val="24"/>
              </w:rPr>
              <w:t xml:space="preserve"> </w:t>
            </w:r>
            <w:r w:rsidR="008712EC" w:rsidRPr="002B26FC">
              <w:rPr>
                <w:rStyle w:val="KonuBalChar"/>
                <w:rFonts w:eastAsia="Calibri"/>
                <w:color w:val="0000FF"/>
              </w:rPr>
              <w:t>458 inci</w:t>
            </w:r>
            <w:r w:rsidR="008712EC" w:rsidRPr="00A23740">
              <w:rPr>
                <w:rStyle w:val="KIRMIZIChar"/>
                <w:rFonts w:eastAsia="Calibri"/>
                <w:strike w:val="0"/>
              </w:rPr>
              <w:t xml:space="preserve"> </w:t>
            </w:r>
            <w:r w:rsidRPr="00A23740">
              <w:rPr>
                <w:szCs w:val="24"/>
              </w:rPr>
              <w:t>maddenin uygulanma biçimi</w:t>
            </w:r>
            <w:r w:rsidRPr="00A23740">
              <w:rPr>
                <w:rStyle w:val="MaviChar"/>
                <w:lang w:val="tr-TR"/>
              </w:rPr>
              <w:t>.</w:t>
            </w:r>
          </w:p>
          <w:p w:rsidR="00A711D3" w:rsidRPr="00A23740" w:rsidRDefault="00A711D3" w:rsidP="009431FF">
            <w:pPr>
              <w:pStyle w:val="Mavi"/>
              <w:rPr>
                <w:b w:val="0"/>
                <w:lang w:val="tr-TR"/>
              </w:rPr>
            </w:pPr>
          </w:p>
        </w:tc>
      </w:tr>
      <w:tr w:rsidR="00155AF4" w:rsidRPr="00A23740" w:rsidTr="009431FF">
        <w:tc>
          <w:tcPr>
            <w:tcW w:w="5000" w:type="pct"/>
            <w:gridSpan w:val="2"/>
            <w:shd w:val="clear" w:color="auto" w:fill="DEEAF6"/>
          </w:tcPr>
          <w:p w:rsidR="00A21CE2" w:rsidRPr="00A23740" w:rsidRDefault="00A21CE2" w:rsidP="009431FF">
            <w:pPr>
              <w:ind w:firstLine="709"/>
            </w:pPr>
          </w:p>
          <w:p w:rsidR="00403985" w:rsidRPr="00A23740" w:rsidRDefault="00D42F78" w:rsidP="009431FF">
            <w:pPr>
              <w:ind w:firstLine="709"/>
            </w:pPr>
            <w:r w:rsidRPr="00A23740">
              <w:rPr>
                <w:b/>
              </w:rPr>
              <w:t>MADDE 33</w:t>
            </w:r>
            <w:r w:rsidR="00155AF4" w:rsidRPr="00A23740">
              <w:rPr>
                <w:b/>
              </w:rPr>
              <w:t>-</w:t>
            </w:r>
            <w:r w:rsidR="00155AF4" w:rsidRPr="00A23740">
              <w:t xml:space="preserve"> </w:t>
            </w:r>
            <w:r w:rsidR="00424068" w:rsidRPr="00A23740">
              <w:t>Maddeyle, icra hukuk mahkemesinin istinaf yoluna başvurulamayan kararları düzenlenmektedir.</w:t>
            </w:r>
            <w:r w:rsidR="00BB181E" w:rsidRPr="00A23740">
              <w:t xml:space="preserve"> </w:t>
            </w:r>
          </w:p>
          <w:p w:rsidR="00F610B1" w:rsidRPr="00A23740" w:rsidRDefault="00424068" w:rsidP="009431FF">
            <w:pPr>
              <w:ind w:firstLine="709"/>
            </w:pPr>
            <w:r w:rsidRPr="00A23740">
              <w:t xml:space="preserve">Birinci fıkrayla, </w:t>
            </w:r>
            <w:r w:rsidR="00BB181E" w:rsidRPr="00A23740">
              <w:t>icra hukuk mahkemesinin kanunda kesin olarak verileceği belirtilen kararları ile fıkrada bentler h</w:t>
            </w:r>
            <w:r w:rsidR="008712EC" w:rsidRPr="00A23740">
              <w:t>â</w:t>
            </w:r>
            <w:r w:rsidR="00BB181E" w:rsidRPr="00A23740">
              <w:t>linde sayılan</w:t>
            </w:r>
            <w:r w:rsidR="00C74F5A" w:rsidRPr="00A23740">
              <w:t xml:space="preserve"> hususlarda verilen</w:t>
            </w:r>
            <w:r w:rsidR="00BB181E" w:rsidRPr="00A23740">
              <w:t xml:space="preserve"> kararlarına karşı istinaf </w:t>
            </w:r>
            <w:r w:rsidR="00C74F5A" w:rsidRPr="00A23740">
              <w:t xml:space="preserve">kanun </w:t>
            </w:r>
            <w:r w:rsidR="00BB181E" w:rsidRPr="00A23740">
              <w:t>yoluna başvurulamayacağı hükme bağlanmaktadır.</w:t>
            </w:r>
            <w:r w:rsidR="00F610B1" w:rsidRPr="00A23740">
              <w:t xml:space="preserve"> </w:t>
            </w:r>
            <w:r w:rsidR="00C74F5A" w:rsidRPr="00A23740">
              <w:t>Buna göre, t</w:t>
            </w:r>
            <w:r w:rsidR="00A21CE2" w:rsidRPr="00A23740">
              <w:t>esis edildiği anda kesin olan ic</w:t>
            </w:r>
            <w:r w:rsidR="00F610B1" w:rsidRPr="00A23740">
              <w:t xml:space="preserve">ra hukuk mahkemesi kararları, </w:t>
            </w:r>
            <w:r w:rsidR="00163E5A" w:rsidRPr="00A23740">
              <w:t>Taslağın</w:t>
            </w:r>
            <w:r w:rsidR="00BB181E" w:rsidRPr="00A23740">
              <w:t xml:space="preserve"> </w:t>
            </w:r>
            <w:r w:rsidR="00A21CE2" w:rsidRPr="00A23740">
              <w:t xml:space="preserve">muhtelif maddelerinde </w:t>
            </w:r>
            <w:r w:rsidR="00F610B1" w:rsidRPr="00A23740">
              <w:t>düzenlenmekte olup bu kararlara karşı i</w:t>
            </w:r>
            <w:r w:rsidR="00C74F5A" w:rsidRPr="00A23740">
              <w:t>stinaf kanun yoluna başvurulamaz</w:t>
            </w:r>
            <w:r w:rsidR="00A21CE2" w:rsidRPr="00A23740">
              <w:t>.</w:t>
            </w:r>
            <w:r w:rsidR="00F610B1" w:rsidRPr="00A23740">
              <w:t xml:space="preserve"> </w:t>
            </w:r>
            <w:r w:rsidR="00403985" w:rsidRPr="00A23740">
              <w:t xml:space="preserve">Bu hüküm, 2004 sayılı Kanunun 363 üncü maddesinin birinci fıkrasına kısmen karşılık gelmektedir. </w:t>
            </w:r>
          </w:p>
          <w:p w:rsidR="00F610B1" w:rsidRPr="00A23740" w:rsidRDefault="00C74F5A" w:rsidP="009431FF">
            <w:pPr>
              <w:ind w:firstLine="709"/>
            </w:pPr>
            <w:r w:rsidRPr="00A23740">
              <w:t>Öte yandan</w:t>
            </w:r>
            <w:r w:rsidR="00F610B1" w:rsidRPr="00A23740">
              <w:t xml:space="preserve"> </w:t>
            </w:r>
            <w:r w:rsidR="000A04A9" w:rsidRPr="00A23740">
              <w:t>takip</w:t>
            </w:r>
            <w:r w:rsidR="00F610B1" w:rsidRPr="00A23740">
              <w:t xml:space="preserve"> işle</w:t>
            </w:r>
            <w:r w:rsidR="000A04A9" w:rsidRPr="00A23740">
              <w:t>mle</w:t>
            </w:r>
            <w:r w:rsidR="00F610B1" w:rsidRPr="00A23740">
              <w:t xml:space="preserve">rinin arz ettiği </w:t>
            </w:r>
            <w:r w:rsidR="00DA1E7E" w:rsidRPr="00A23740">
              <w:t xml:space="preserve">süratin </w:t>
            </w:r>
            <w:r w:rsidR="00F610B1" w:rsidRPr="00A23740">
              <w:t xml:space="preserve">sağlanabilmesi amacıyla 2004 sayılı Kanunda olduğu gibi icra hukuk mahkemesinin </w:t>
            </w:r>
            <w:r w:rsidRPr="00A23740">
              <w:t xml:space="preserve">birinci fıkrada </w:t>
            </w:r>
            <w:r w:rsidR="00F610B1" w:rsidRPr="00A23740">
              <w:t xml:space="preserve">sayma suretiyle belirtilen kararlarına karşı da istinaf kanun yolu kapatılmaktadır. </w:t>
            </w:r>
          </w:p>
          <w:p w:rsidR="00B25A04" w:rsidRPr="00A23740" w:rsidRDefault="00B25A04" w:rsidP="009431FF">
            <w:pPr>
              <w:ind w:firstLine="709"/>
            </w:pPr>
            <w:r w:rsidRPr="00A23740">
              <w:t xml:space="preserve">Fıkranın (a) bendine göre, </w:t>
            </w:r>
            <w:r w:rsidR="008712EC" w:rsidRPr="002B26FC">
              <w:t>201</w:t>
            </w:r>
            <w:r w:rsidR="008712EC" w:rsidRPr="002B26FC">
              <w:rPr>
                <w:b/>
                <w:bCs/>
              </w:rPr>
              <w:t xml:space="preserve"> </w:t>
            </w:r>
            <w:r w:rsidR="008712EC" w:rsidRPr="002B26FC">
              <w:t>inci</w:t>
            </w:r>
            <w:r w:rsidR="008712EC" w:rsidRPr="00A23740">
              <w:t xml:space="preserve"> </w:t>
            </w:r>
            <w:r w:rsidR="00490580" w:rsidRPr="00A23740">
              <w:t>maddeye göre haczin bildirilme biçimi</w:t>
            </w:r>
            <w:r w:rsidR="00A21CE2" w:rsidRPr="00A23740">
              <w:t xml:space="preserve"> hakkında verilen kararlar kesindir. </w:t>
            </w:r>
          </w:p>
          <w:p w:rsidR="000A04A9" w:rsidRPr="00A23740" w:rsidRDefault="00B25A04" w:rsidP="009431FF">
            <w:pPr>
              <w:ind w:firstLine="709"/>
            </w:pPr>
            <w:r w:rsidRPr="00A23740">
              <w:t xml:space="preserve">Fıkranın (b) bendine göre, </w:t>
            </w:r>
            <w:r w:rsidR="000A04A9" w:rsidRPr="00A23740">
              <w:t>y</w:t>
            </w:r>
            <w:r w:rsidR="00B53382" w:rsidRPr="00A23740">
              <w:t>edieminin değiştirilmesi v</w:t>
            </w:r>
            <w:r w:rsidR="000A04A9" w:rsidRPr="00A23740">
              <w:t>e hacizli taşınır malların m</w:t>
            </w:r>
            <w:r w:rsidR="00B53382" w:rsidRPr="00A23740">
              <w:t xml:space="preserve">uhafaza şekline </w:t>
            </w:r>
            <w:r w:rsidR="00A21CE2" w:rsidRPr="00A23740">
              <w:t>dair kar</w:t>
            </w:r>
            <w:r w:rsidR="00445ABB" w:rsidRPr="00A23740">
              <w:t>arlar</w:t>
            </w:r>
            <w:r w:rsidRPr="00A23740">
              <w:t xml:space="preserve"> kesin</w:t>
            </w:r>
            <w:r w:rsidR="00445ABB" w:rsidRPr="00A23740">
              <w:t>dir</w:t>
            </w:r>
            <w:r w:rsidR="00A21CE2" w:rsidRPr="00A23740">
              <w:t xml:space="preserve">. Bu </w:t>
            </w:r>
            <w:r w:rsidRPr="00A23740">
              <w:t>bent</w:t>
            </w:r>
            <w:r w:rsidR="00A21CE2" w:rsidRPr="00A23740">
              <w:t xml:space="preserve"> kapsamında belirtilmesi gereken husus ise, yediemin ücretine </w:t>
            </w:r>
            <w:r w:rsidR="00DA1E7E" w:rsidRPr="00A23740">
              <w:t xml:space="preserve"> ilişkin </w:t>
            </w:r>
            <w:r w:rsidR="00445ABB" w:rsidRPr="00A23740">
              <w:t>kararlar</w:t>
            </w:r>
            <w:r w:rsidR="00DD5660" w:rsidRPr="00A23740">
              <w:t>a</w:t>
            </w:r>
            <w:r w:rsidR="00A21CE2" w:rsidRPr="00A23740">
              <w:t xml:space="preserve"> karşı istinaf yoluna başvurula</w:t>
            </w:r>
            <w:r w:rsidR="00856AF9" w:rsidRPr="00A23740">
              <w:t xml:space="preserve">bilecek </w:t>
            </w:r>
            <w:r w:rsidR="000A04A9" w:rsidRPr="00A23740">
              <w:t>olmasıdır.</w:t>
            </w:r>
          </w:p>
          <w:p w:rsidR="00B25A04" w:rsidRPr="00A23740" w:rsidRDefault="00B25A04" w:rsidP="009431FF">
            <w:pPr>
              <w:ind w:firstLine="709"/>
            </w:pPr>
            <w:r w:rsidRPr="00A23740">
              <w:t>Fıkranın (c) bendine göre, c</w:t>
            </w:r>
            <w:r w:rsidR="00A21CE2" w:rsidRPr="00A23740">
              <w:t>ebr</w:t>
            </w:r>
            <w:r w:rsidR="00070384" w:rsidRPr="00A23740">
              <w:t>î</w:t>
            </w:r>
            <w:r w:rsidR="00A21CE2" w:rsidRPr="00A23740">
              <w:t xml:space="preserve"> satışta ihaleye katılabilmek için yatırılacak teminat ve teminat tutarına ilişkin </w:t>
            </w:r>
            <w:r w:rsidR="00445ABB" w:rsidRPr="00A23740">
              <w:t>kararlar</w:t>
            </w:r>
            <w:r w:rsidR="00A21CE2" w:rsidRPr="00A23740">
              <w:t xml:space="preserve"> kesin</w:t>
            </w:r>
            <w:r w:rsidR="00445ABB" w:rsidRPr="00A23740">
              <w:t>dir</w:t>
            </w:r>
            <w:r w:rsidR="00A21CE2" w:rsidRPr="00A23740">
              <w:t xml:space="preserve">. </w:t>
            </w:r>
          </w:p>
          <w:p w:rsidR="00B25A04" w:rsidRPr="00A23740" w:rsidRDefault="00445ABB" w:rsidP="009431FF">
            <w:pPr>
              <w:ind w:firstLine="709"/>
            </w:pPr>
            <w:r w:rsidRPr="00A23740">
              <w:t>Fıkranın (ç) bendine göre, satışın durdurulması talebi hakkında verilen ret kararı kesindir.</w:t>
            </w:r>
          </w:p>
          <w:p w:rsidR="00B25A04" w:rsidRPr="00A23740" w:rsidRDefault="00B25A04" w:rsidP="009431FF">
            <w:pPr>
              <w:ind w:firstLine="709"/>
            </w:pPr>
            <w:r w:rsidRPr="00A23740">
              <w:t xml:space="preserve">Fıkranın (d) bendine göre, </w:t>
            </w:r>
            <w:r w:rsidR="00A21CE2" w:rsidRPr="00A23740">
              <w:t>satış ilanın</w:t>
            </w:r>
            <w:r w:rsidR="00445ABB" w:rsidRPr="00A23740">
              <w:t>ın</w:t>
            </w:r>
            <w:r w:rsidR="00A21CE2" w:rsidRPr="00A23740">
              <w:t xml:space="preserve"> iptali</w:t>
            </w:r>
            <w:r w:rsidR="00445ABB" w:rsidRPr="00A23740">
              <w:t>ne ilişkin karar</w:t>
            </w:r>
            <w:r w:rsidR="00A21CE2" w:rsidRPr="00A23740">
              <w:t xml:space="preserve"> </w:t>
            </w:r>
            <w:r w:rsidR="00445ABB" w:rsidRPr="00A23740">
              <w:t>istinaf edilemez.</w:t>
            </w:r>
          </w:p>
          <w:p w:rsidR="00540790" w:rsidRPr="00A23740" w:rsidRDefault="00EB7823" w:rsidP="009431FF">
            <w:pPr>
              <w:ind w:firstLine="709"/>
            </w:pPr>
            <w:r w:rsidRPr="00A23740">
              <w:t>Fıkranın (e</w:t>
            </w:r>
            <w:r w:rsidR="00B25A04" w:rsidRPr="00A23740">
              <w:t xml:space="preserve">) bendine göre, </w:t>
            </w:r>
            <w:r w:rsidR="00540790" w:rsidRPr="00A23740">
              <w:t xml:space="preserve">55 inci maddeye göre </w:t>
            </w:r>
            <w:r w:rsidR="00F41D45" w:rsidRPr="00A23740">
              <w:t>icranın ertelenmesine ilişkin kararlar da kesindir.</w:t>
            </w:r>
          </w:p>
          <w:p w:rsidR="00EB7823" w:rsidRPr="00A23740" w:rsidRDefault="00EB7823" w:rsidP="009431FF">
            <w:pPr>
              <w:ind w:firstLine="709"/>
            </w:pPr>
            <w:r w:rsidRPr="00A23740">
              <w:t>Fıkranın (f) bendine göre, kıymet takdirine şik</w:t>
            </w:r>
            <w:r w:rsidR="00407C95" w:rsidRPr="00A23740">
              <w:t>â</w:t>
            </w:r>
            <w:r w:rsidRPr="00A23740">
              <w:t>yet hakkında verilen kararlar da kesin niteliği bulunan kararlardır.</w:t>
            </w:r>
          </w:p>
          <w:p w:rsidR="00EB7823" w:rsidRPr="00A23740" w:rsidRDefault="00EB7823" w:rsidP="009431FF">
            <w:pPr>
              <w:ind w:firstLine="709"/>
            </w:pPr>
            <w:r w:rsidRPr="00A23740">
              <w:t>Fıkranın (g) bendine göre, icra hukuk mahkemesinin şikâyet üzerine mükellefiyetler listesinde yaptığı inceleme sonrasında verdiği kararlarına karşı istinaf yoluna başvurulamaz. İlgili bent kapsamında dikkat edilmesi gereken husus ise mükellefiyetler listesi üzerine ortaya çıkan istihkak iddiaları mükellefiyet</w:t>
            </w:r>
            <w:r w:rsidR="00490580" w:rsidRPr="00A23740">
              <w:t>ler</w:t>
            </w:r>
            <w:r w:rsidRPr="00A23740">
              <w:t xml:space="preserve"> listesinin hazırlanmasına yönelik şikâyet sebebi olmadığından, bu kapsamda ortaya çıkan istihkak iddiaları üzerine verilen kararlara karşı istinaf yoluna başvurulabilecek olmasıdır.</w:t>
            </w:r>
          </w:p>
          <w:p w:rsidR="00B25A04" w:rsidRPr="00A23740" w:rsidRDefault="000A04A9" w:rsidP="009431FF">
            <w:pPr>
              <w:ind w:firstLine="709"/>
            </w:pPr>
            <w:r w:rsidRPr="00A23740">
              <w:t xml:space="preserve">Fıkranın </w:t>
            </w:r>
            <w:r w:rsidR="00EB7823" w:rsidRPr="00A23740">
              <w:t>(ğ</w:t>
            </w:r>
            <w:r w:rsidR="00B25A04" w:rsidRPr="00A23740">
              <w:t xml:space="preserve">) bendine göre, </w:t>
            </w:r>
            <w:r w:rsidR="008712EC" w:rsidRPr="002B26FC">
              <w:t>211</w:t>
            </w:r>
            <w:r w:rsidR="008712EC" w:rsidRPr="002B26FC">
              <w:rPr>
                <w:b/>
                <w:bCs/>
              </w:rPr>
              <w:t xml:space="preserve"> </w:t>
            </w:r>
            <w:r w:rsidR="008712EC" w:rsidRPr="002B26FC">
              <w:t>inci</w:t>
            </w:r>
            <w:r w:rsidR="008712EC" w:rsidRPr="00A23740">
              <w:t xml:space="preserve"> </w:t>
            </w:r>
            <w:r w:rsidR="00B25A04" w:rsidRPr="00A23740">
              <w:t>maddenin uygulanmasıyla</w:t>
            </w:r>
            <w:r w:rsidR="00445ABB" w:rsidRPr="00A23740">
              <w:t xml:space="preserve"> ilgili olarak verilen kararlar kesindir</w:t>
            </w:r>
            <w:r w:rsidR="00B25A04" w:rsidRPr="00A23740">
              <w:t>.</w:t>
            </w:r>
          </w:p>
          <w:p w:rsidR="00EB7823" w:rsidRPr="00A23740" w:rsidRDefault="00EB7823" w:rsidP="009431FF">
            <w:pPr>
              <w:ind w:firstLine="709"/>
            </w:pPr>
            <w:r w:rsidRPr="00A23740">
              <w:t xml:space="preserve">Son olarak fıkranın (h) bendine göre, haczedilen malın teminat karşılığı borçluya veya üçüncü kişiye bırakılmasının düzenlendiği </w:t>
            </w:r>
            <w:r w:rsidR="008712EC" w:rsidRPr="002B26FC">
              <w:t>458</w:t>
            </w:r>
            <w:r w:rsidR="008712EC" w:rsidRPr="00A23740">
              <w:rPr>
                <w:rStyle w:val="KonuBalChar"/>
                <w:rFonts w:eastAsia="Calibri"/>
              </w:rPr>
              <w:t xml:space="preserve"> </w:t>
            </w:r>
            <w:r w:rsidR="008712EC" w:rsidRPr="002B26FC">
              <w:t>inci</w:t>
            </w:r>
            <w:r w:rsidRPr="00A23740">
              <w:t xml:space="preserve"> madde uygulamasından kaynaklanan kararlar da kesin </w:t>
            </w:r>
            <w:r w:rsidR="00DA1E7E" w:rsidRPr="00A23740">
              <w:t xml:space="preserve">nitelikte olan </w:t>
            </w:r>
            <w:r w:rsidRPr="00A23740">
              <w:t>kararlardır.</w:t>
            </w:r>
          </w:p>
          <w:p w:rsidR="00C74F5A" w:rsidRPr="00A23740" w:rsidRDefault="00C74F5A" w:rsidP="009431FF">
            <w:pPr>
              <w:ind w:firstLine="709"/>
              <w:rPr>
                <w:b/>
              </w:rPr>
            </w:pPr>
            <w:r w:rsidRPr="00A23740">
              <w:t>Öte yandan, 2004 sayılı Kanunun 363 üncü maddesinin birinci fıkrasında</w:t>
            </w:r>
            <w:r w:rsidR="0073364D" w:rsidRPr="00A23740">
              <w:t xml:space="preserve"> </w:t>
            </w:r>
            <w:r w:rsidR="00DA1E7E" w:rsidRPr="00A23740">
              <w:t xml:space="preserve">sayılan hususlardan olan </w:t>
            </w:r>
            <w:r w:rsidRPr="00A23740">
              <w:t>85 inci maddenin uygulanma biçimi; icra</w:t>
            </w:r>
            <w:r w:rsidR="00205ACB" w:rsidRPr="00A23740">
              <w:rPr>
                <w:rStyle w:val="YELChar"/>
              </w:rPr>
              <w:t xml:space="preserve"> </w:t>
            </w:r>
            <w:r w:rsidR="00205ACB" w:rsidRPr="002B26FC">
              <w:t>ve</w:t>
            </w:r>
            <w:r w:rsidR="00205ACB" w:rsidRPr="00A23740">
              <w:rPr>
                <w:rStyle w:val="YELChar"/>
              </w:rPr>
              <w:t xml:space="preserve"> </w:t>
            </w:r>
            <w:r w:rsidR="00205ACB" w:rsidRPr="002B26FC">
              <w:t>iflas</w:t>
            </w:r>
            <w:r w:rsidRPr="00A23740">
              <w:t xml:space="preserve"> dairesi tarafından hesaplanan vekâlet ücreti; </w:t>
            </w:r>
            <w:r w:rsidR="000A04A9" w:rsidRPr="00A23740">
              <w:t xml:space="preserve">yediemin ücreti; </w:t>
            </w:r>
            <w:r w:rsidRPr="00A23740">
              <w:t xml:space="preserve">süresinde satış istenmemesi nedeniyle satışın düşürülmesi; </w:t>
            </w:r>
            <w:r w:rsidR="00DD5660" w:rsidRPr="00A23740">
              <w:t>ifla</w:t>
            </w:r>
            <w:r w:rsidR="0073364D" w:rsidRPr="00A23740">
              <w:t xml:space="preserve">s idaresinin oluşturulması ile </w:t>
            </w:r>
            <w:r w:rsidR="00DD5660" w:rsidRPr="00A23740">
              <w:t>ifla</w:t>
            </w:r>
            <w:r w:rsidRPr="00A23740">
              <w:t>s idaresinin işlemleri</w:t>
            </w:r>
            <w:r w:rsidR="0073364D" w:rsidRPr="00A23740">
              <w:t>,</w:t>
            </w:r>
            <w:r w:rsidR="00DD5660" w:rsidRPr="00A23740">
              <w:t xml:space="preserve"> ifla</w:t>
            </w:r>
            <w:r w:rsidRPr="00A23740">
              <w:t>s idare memurunun ücret ve masrafları hakkındaki he</w:t>
            </w:r>
            <w:r w:rsidR="000A04A9" w:rsidRPr="00A23740">
              <w:t xml:space="preserve">sap pusulasıyla ilgili konulara </w:t>
            </w:r>
            <w:r w:rsidR="00163E5A" w:rsidRPr="00A23740">
              <w:lastRenderedPageBreak/>
              <w:t>Taslağın</w:t>
            </w:r>
            <w:r w:rsidR="000A04A9" w:rsidRPr="00A23740">
              <w:t xml:space="preserve"> birinci fıkrasında yer verilmemektedir. </w:t>
            </w:r>
            <w:r w:rsidR="00DA1E7E" w:rsidRPr="00A23740">
              <w:t xml:space="preserve">Böylece </w:t>
            </w:r>
            <w:r w:rsidR="000A04A9" w:rsidRPr="00A23740">
              <w:t>bu konularda</w:t>
            </w:r>
            <w:r w:rsidR="0073364D" w:rsidRPr="00A23740">
              <w:t xml:space="preserve"> icra</w:t>
            </w:r>
            <w:r w:rsidR="000A04A9" w:rsidRPr="00A23740">
              <w:t xml:space="preserve"> hukuk</w:t>
            </w:r>
            <w:r w:rsidR="0073364D" w:rsidRPr="00A23740">
              <w:t xml:space="preserve"> mahkemesince verilen kararlara karşı istinaf kanun yoluna başvurulması mümkün h</w:t>
            </w:r>
            <w:r w:rsidR="008712EC" w:rsidRPr="00A23740">
              <w:t>â</w:t>
            </w:r>
            <w:r w:rsidR="0073364D" w:rsidRPr="00A23740">
              <w:t>le getirilmekte</w:t>
            </w:r>
            <w:r w:rsidR="000A04A9" w:rsidRPr="00A23740">
              <w:t xml:space="preserve"> ve </w:t>
            </w:r>
            <w:r w:rsidRPr="00A23740">
              <w:t>uygulama birliğinin sağlanması</w:t>
            </w:r>
            <w:r w:rsidR="0073364D" w:rsidRPr="00A23740">
              <w:t xml:space="preserve"> amaçlanmaktadır.</w:t>
            </w:r>
          </w:p>
          <w:p w:rsidR="00A21CE2" w:rsidRPr="00A23740" w:rsidRDefault="00A21CE2" w:rsidP="009431FF">
            <w:pPr>
              <w:ind w:firstLine="709"/>
            </w:pPr>
          </w:p>
        </w:tc>
      </w:tr>
      <w:tr w:rsidR="00155AF4" w:rsidRPr="00A23740" w:rsidTr="009431FF">
        <w:trPr>
          <w:trHeight w:val="1078"/>
        </w:trPr>
        <w:tc>
          <w:tcPr>
            <w:tcW w:w="2500" w:type="pct"/>
            <w:shd w:val="clear" w:color="auto" w:fill="auto"/>
          </w:tcPr>
          <w:p w:rsidR="00155AF4" w:rsidRPr="00A23740" w:rsidRDefault="00155AF4" w:rsidP="009431FF">
            <w:pPr>
              <w:rPr>
                <w:rFonts w:eastAsia="Times New Roman"/>
                <w:i/>
                <w:szCs w:val="24"/>
                <w:lang w:eastAsia="tr-TR"/>
              </w:rPr>
            </w:pPr>
            <w:r w:rsidRPr="00A23740">
              <w:rPr>
                <w:rFonts w:eastAsia="Times New Roman"/>
                <w:i/>
                <w:szCs w:val="24"/>
                <w:lang w:eastAsia="tr-TR"/>
              </w:rPr>
              <w:lastRenderedPageBreak/>
              <w:t>Temyiz yoluna başvur</w:t>
            </w:r>
            <w:r w:rsidRPr="00A23740">
              <w:rPr>
                <w:rFonts w:eastAsia="Times New Roman"/>
                <w:b/>
                <w:strike/>
                <w:color w:val="FF0000"/>
                <w:szCs w:val="24"/>
                <w:lang w:eastAsia="tr-TR"/>
              </w:rPr>
              <w:t>ma ve incelenmesi</w:t>
            </w:r>
            <w:r w:rsidRPr="00A23740">
              <w:rPr>
                <w:rFonts w:eastAsia="Times New Roman"/>
                <w:i/>
                <w:szCs w:val="24"/>
                <w:lang w:eastAsia="tr-TR"/>
              </w:rPr>
              <w:t xml:space="preserve"> </w:t>
            </w:r>
          </w:p>
          <w:p w:rsidR="00155AF4" w:rsidRPr="00A23740" w:rsidRDefault="00155AF4" w:rsidP="009431FF">
            <w:pPr>
              <w:rPr>
                <w:rFonts w:eastAsia="Times New Roman"/>
                <w:i/>
                <w:szCs w:val="24"/>
                <w:lang w:eastAsia="tr-TR"/>
              </w:rPr>
            </w:pPr>
            <w:r w:rsidRPr="00A23740">
              <w:rPr>
                <w:rStyle w:val="KIRMIZIChar"/>
                <w:rFonts w:eastAsia="Calibri"/>
              </w:rPr>
              <w:t>Madde</w:t>
            </w:r>
            <w:r w:rsidRPr="00A23740">
              <w:rPr>
                <w:rFonts w:eastAsia="Times New Roman"/>
                <w:b/>
                <w:bCs/>
                <w:szCs w:val="24"/>
                <w:lang w:eastAsia="tr-TR"/>
              </w:rPr>
              <w:t xml:space="preserve"> </w:t>
            </w:r>
            <w:r w:rsidRPr="00A23740">
              <w:rPr>
                <w:rFonts w:eastAsia="Times New Roman"/>
                <w:b/>
                <w:bCs/>
                <w:strike/>
                <w:color w:val="FF0000"/>
                <w:szCs w:val="24"/>
                <w:lang w:eastAsia="tr-TR"/>
              </w:rPr>
              <w:t>364- (1) (Değişik: 2/3/2005-5311/25 md.)</w:t>
            </w:r>
          </w:p>
          <w:p w:rsidR="000E5CC4" w:rsidRPr="00A23740" w:rsidRDefault="00155AF4" w:rsidP="009431FF">
            <w:pPr>
              <w:rPr>
                <w:rFonts w:eastAsia="Times New Roman"/>
                <w:szCs w:val="24"/>
                <w:lang w:eastAsia="tr-TR"/>
              </w:rPr>
            </w:pPr>
            <w:r w:rsidRPr="00A23740">
              <w:rPr>
                <w:rFonts w:eastAsia="Times New Roman"/>
                <w:szCs w:val="24"/>
                <w:lang w:eastAsia="tr-TR"/>
              </w:rPr>
              <w:t>Bölge adliye mahkemesi hukuk dairelerince verilen ve miktar veya değeri</w:t>
            </w:r>
            <w:r w:rsidRPr="00A23740">
              <w:rPr>
                <w:rFonts w:eastAsia="Times New Roman"/>
                <w:b/>
                <w:color w:val="FF0000"/>
                <w:szCs w:val="24"/>
                <w:lang w:eastAsia="tr-TR"/>
              </w:rPr>
              <w:t xml:space="preserve"> </w:t>
            </w:r>
            <w:r w:rsidRPr="00A23740">
              <w:rPr>
                <w:rFonts w:eastAsia="Times New Roman"/>
                <w:b/>
                <w:strike/>
                <w:color w:val="FF0000"/>
                <w:szCs w:val="24"/>
                <w:lang w:eastAsia="tr-TR"/>
              </w:rPr>
              <w:t xml:space="preserve">elli sekiz bin sekiz yüz Türk lirasını </w:t>
            </w:r>
            <w:r w:rsidRPr="00A23740">
              <w:rPr>
                <w:rFonts w:eastAsia="Times New Roman"/>
                <w:szCs w:val="24"/>
                <w:lang w:eastAsia="tr-TR"/>
              </w:rPr>
              <w:t>geçen nihaî kararlara karşı temyiz yoluna başvurulabilir.</w:t>
            </w:r>
          </w:p>
          <w:p w:rsidR="00EB2238" w:rsidRPr="00A23740" w:rsidRDefault="00EB2238" w:rsidP="009431FF">
            <w:pPr>
              <w:rPr>
                <w:rFonts w:eastAsia="Times New Roman"/>
                <w:szCs w:val="24"/>
                <w:lang w:eastAsia="tr-TR"/>
              </w:rPr>
            </w:pPr>
          </w:p>
          <w:p w:rsidR="00155AF4" w:rsidRPr="00A23740" w:rsidRDefault="000E5CC4" w:rsidP="009431FF">
            <w:pPr>
              <w:rPr>
                <w:rFonts w:eastAsia="Times New Roman"/>
                <w:b/>
                <w:strike/>
                <w:color w:val="FF0000"/>
                <w:szCs w:val="24"/>
                <w:lang w:eastAsia="tr-TR"/>
              </w:rPr>
            </w:pPr>
            <w:r w:rsidRPr="00A23740">
              <w:rPr>
                <w:rFonts w:eastAsia="Times New Roman"/>
                <w:b/>
                <w:strike/>
                <w:color w:val="FF0000"/>
                <w:szCs w:val="24"/>
                <w:lang w:eastAsia="tr-TR"/>
              </w:rPr>
              <w:t>(2</w:t>
            </w:r>
            <w:r w:rsidR="00155AF4" w:rsidRPr="00A23740">
              <w:rPr>
                <w:rFonts w:eastAsia="Times New Roman"/>
                <w:b/>
                <w:strike/>
                <w:color w:val="FF0000"/>
                <w:szCs w:val="24"/>
                <w:lang w:eastAsia="tr-TR"/>
              </w:rPr>
              <w:t xml:space="preserve">) </w:t>
            </w:r>
            <w:r w:rsidR="00E976F5" w:rsidRPr="00A23740">
              <w:rPr>
                <w:rFonts w:eastAsia="Times New Roman"/>
                <w:b/>
                <w:strike/>
                <w:color w:val="FF0000"/>
                <w:szCs w:val="24"/>
                <w:lang w:eastAsia="tr-TR"/>
              </w:rPr>
              <w:t xml:space="preserve">Birinci fıkrada belirtilen kararlara karşı, tebliğ tarihinden itibaren iki hafta içinde temyiz yoluna başvurulabilir; temyiz yoluna başvurma ve incelemesi Hukuk Muhakemeleri Kanunu hükümlerine göre yapılır. </w:t>
            </w:r>
            <w:r w:rsidR="00155AF4" w:rsidRPr="00A23740">
              <w:rPr>
                <w:rFonts w:eastAsia="Times New Roman"/>
                <w:b/>
                <w:strike/>
                <w:color w:val="FF0000"/>
                <w:szCs w:val="24"/>
                <w:lang w:eastAsia="tr-TR"/>
              </w:rPr>
              <w:t>Yukarıda belirtilen kararlara karşı temyiz yoluna başvurma ve incelemesi Hukuk Usulü Muhakemeleri Kanunu hükümlerine göre yapılır. Bu durumda da 363 üncü maddenin ikinci ve üçüncü fıkra hükümleri uygulanır.</w:t>
            </w:r>
          </w:p>
          <w:p w:rsidR="00155AF4" w:rsidRPr="00A23740" w:rsidRDefault="00155AF4" w:rsidP="009431FF">
            <w:pPr>
              <w:rPr>
                <w:rFonts w:eastAsia="Times New Roman"/>
                <w:szCs w:val="24"/>
                <w:lang w:eastAsia="tr-TR"/>
              </w:rPr>
            </w:pPr>
          </w:p>
          <w:p w:rsidR="00155AF4" w:rsidRPr="00A23740" w:rsidRDefault="000E5CC4" w:rsidP="009431FF">
            <w:pPr>
              <w:rPr>
                <w:rFonts w:eastAsia="Times New Roman"/>
                <w:szCs w:val="24"/>
                <w:lang w:eastAsia="tr-TR"/>
              </w:rPr>
            </w:pPr>
            <w:r w:rsidRPr="00A23740">
              <w:rPr>
                <w:rFonts w:eastAsia="Times New Roman"/>
                <w:b/>
                <w:strike/>
                <w:color w:val="FF0000"/>
                <w:szCs w:val="24"/>
                <w:lang w:eastAsia="tr-TR"/>
              </w:rPr>
              <w:t>(3</w:t>
            </w:r>
            <w:r w:rsidR="00155AF4" w:rsidRPr="00A23740">
              <w:rPr>
                <w:rFonts w:eastAsia="Times New Roman"/>
                <w:b/>
                <w:strike/>
                <w:color w:val="FF0000"/>
                <w:szCs w:val="24"/>
                <w:lang w:eastAsia="tr-TR"/>
              </w:rPr>
              <w:t>) Temyiz yoluna başvurma, satıştan başka icra işlemlerini durdurmaz.</w:t>
            </w:r>
          </w:p>
          <w:p w:rsidR="00155AF4" w:rsidRPr="00A23740" w:rsidRDefault="00155AF4" w:rsidP="009431FF">
            <w:pPr>
              <w:rPr>
                <w:szCs w:val="24"/>
              </w:rPr>
            </w:pPr>
          </w:p>
        </w:tc>
        <w:tc>
          <w:tcPr>
            <w:tcW w:w="2500" w:type="pct"/>
            <w:shd w:val="clear" w:color="auto" w:fill="auto"/>
          </w:tcPr>
          <w:p w:rsidR="00155AF4" w:rsidRPr="00A23740" w:rsidRDefault="00155AF4" w:rsidP="009431FF">
            <w:pPr>
              <w:rPr>
                <w:b/>
                <w:szCs w:val="24"/>
              </w:rPr>
            </w:pPr>
            <w:r w:rsidRPr="00A23740">
              <w:rPr>
                <w:b/>
                <w:szCs w:val="24"/>
              </w:rPr>
              <w:t xml:space="preserve">Temyiz yoluna </w:t>
            </w:r>
            <w:r w:rsidRPr="00A23740">
              <w:rPr>
                <w:rFonts w:eastAsia="Times New Roman"/>
                <w:b/>
                <w:szCs w:val="24"/>
                <w:lang w:eastAsia="tr-TR"/>
              </w:rPr>
              <w:t>başvur</w:t>
            </w:r>
            <w:r w:rsidRPr="00A23740">
              <w:rPr>
                <w:rStyle w:val="MaviChar"/>
              </w:rPr>
              <w:t>ulabilen kararlar</w:t>
            </w:r>
          </w:p>
          <w:p w:rsidR="000E5CC4" w:rsidRPr="00A23740" w:rsidRDefault="00155AF4" w:rsidP="009431FF">
            <w:pPr>
              <w:rPr>
                <w:rFonts w:eastAsia="Times New Roman"/>
                <w:lang w:eastAsia="tr-TR"/>
              </w:rPr>
            </w:pPr>
            <w:r w:rsidRPr="00A23740">
              <w:rPr>
                <w:rStyle w:val="MaviChar"/>
              </w:rPr>
              <w:t>MADDE</w:t>
            </w:r>
            <w:r w:rsidRPr="00A23740">
              <w:rPr>
                <w:rStyle w:val="MaviChar"/>
                <w:lang w:val="tr-TR"/>
              </w:rPr>
              <w:t xml:space="preserve"> </w:t>
            </w:r>
            <w:r w:rsidR="0059245E" w:rsidRPr="00A23740">
              <w:rPr>
                <w:rStyle w:val="MaviChar"/>
              </w:rPr>
              <w:t>34</w:t>
            </w:r>
            <w:r w:rsidRPr="00A23740">
              <w:rPr>
                <w:rStyle w:val="MaviChar"/>
              </w:rPr>
              <w:t>-</w:t>
            </w:r>
            <w:r w:rsidRPr="00A23740">
              <w:rPr>
                <w:b/>
                <w:szCs w:val="24"/>
              </w:rPr>
              <w:t xml:space="preserve"> </w:t>
            </w:r>
            <w:r w:rsidRPr="00A23740">
              <w:rPr>
                <w:rStyle w:val="MaviChar"/>
              </w:rPr>
              <w:t>(1)</w:t>
            </w:r>
            <w:r w:rsidRPr="00A23740">
              <w:rPr>
                <w:b/>
                <w:color w:val="0000FF"/>
                <w:szCs w:val="24"/>
              </w:rPr>
              <w:t xml:space="preserve"> </w:t>
            </w:r>
            <w:r w:rsidRPr="00A23740">
              <w:rPr>
                <w:rFonts w:eastAsia="Times New Roman"/>
                <w:szCs w:val="24"/>
                <w:lang w:eastAsia="tr-TR"/>
              </w:rPr>
              <w:t xml:space="preserve">Bölge adliye mahkemesi hukuk dairelerince verilen ve miktar veya değeri </w:t>
            </w:r>
            <w:r w:rsidRPr="00A23740">
              <w:rPr>
                <w:rStyle w:val="MaviChar"/>
                <w:lang w:val="tr-TR"/>
              </w:rPr>
              <w:t>Hukuk Muhakemeleri Kanununda belirtilen parasal sınırı</w:t>
            </w:r>
            <w:r w:rsidRPr="00A23740">
              <w:rPr>
                <w:rFonts w:eastAsia="Times New Roman"/>
                <w:b/>
                <w:bCs/>
                <w:lang w:eastAsia="tr-TR"/>
              </w:rPr>
              <w:t xml:space="preserve"> </w:t>
            </w:r>
            <w:r w:rsidRPr="00A23740">
              <w:rPr>
                <w:rFonts w:eastAsia="Times New Roman"/>
                <w:szCs w:val="24"/>
                <w:lang w:eastAsia="tr-TR"/>
              </w:rPr>
              <w:t>geçen nihai kararlara karşı temyiz yoluna başvurulabilir.</w:t>
            </w:r>
            <w:r w:rsidRPr="00A23740">
              <w:rPr>
                <w:rFonts w:eastAsia="Times New Roman"/>
                <w:lang w:eastAsia="tr-TR"/>
              </w:rPr>
              <w:t xml:space="preserve"> </w:t>
            </w:r>
          </w:p>
          <w:p w:rsidR="00155AF4" w:rsidRPr="00A23740" w:rsidRDefault="00155AF4" w:rsidP="009431FF">
            <w:pPr>
              <w:rPr>
                <w:b/>
                <w:color w:val="00B050"/>
                <w:szCs w:val="24"/>
              </w:rPr>
            </w:pPr>
          </w:p>
          <w:p w:rsidR="000E5CC4" w:rsidRPr="00A23740" w:rsidRDefault="000E5CC4" w:rsidP="009431FF">
            <w:pPr>
              <w:rPr>
                <w:b/>
                <w:color w:val="FF0000"/>
                <w:szCs w:val="24"/>
              </w:rPr>
            </w:pPr>
          </w:p>
          <w:p w:rsidR="000E5CC4" w:rsidRPr="00A23740" w:rsidRDefault="000E5CC4" w:rsidP="009431FF">
            <w:pPr>
              <w:rPr>
                <w:rStyle w:val="MaviChar"/>
              </w:rPr>
            </w:pPr>
            <w:r w:rsidRPr="00A23740">
              <w:rPr>
                <w:rStyle w:val="MaviChar"/>
              </w:rPr>
              <w:t>(2) Bölge adliye mahkemesi hukuk dairelerin</w:t>
            </w:r>
            <w:r w:rsidRPr="00A23740">
              <w:rPr>
                <w:rStyle w:val="MaviChar"/>
                <w:lang w:val="tr-TR"/>
              </w:rPr>
              <w:t>in,</w:t>
            </w:r>
            <w:r w:rsidRPr="00A23740">
              <w:rPr>
                <w:rFonts w:eastAsia="Times New Roman"/>
                <w:szCs w:val="24"/>
                <w:lang w:eastAsia="tr-TR"/>
              </w:rPr>
              <w:t xml:space="preserve"> </w:t>
            </w:r>
            <w:r w:rsidRPr="00A23740">
              <w:rPr>
                <w:rStyle w:val="MaviChar"/>
                <w:lang w:val="tr-TR"/>
              </w:rPr>
              <w:t>k</w:t>
            </w:r>
            <w:r w:rsidRPr="00A23740">
              <w:rPr>
                <w:rStyle w:val="MaviChar"/>
              </w:rPr>
              <w:t>iralanan taşınmazların tahliyesine ilişkin kararlar</w:t>
            </w:r>
            <w:r w:rsidRPr="00A23740">
              <w:rPr>
                <w:rStyle w:val="MaviChar"/>
                <w:lang w:val="tr-TR"/>
              </w:rPr>
              <w:t>ı</w:t>
            </w:r>
            <w:r w:rsidRPr="00A23740">
              <w:rPr>
                <w:rStyle w:val="MaviChar"/>
              </w:rPr>
              <w:t xml:space="preserve"> hakkında</w:t>
            </w:r>
            <w:r w:rsidRPr="00A23740">
              <w:rPr>
                <w:rStyle w:val="MaviChar"/>
                <w:lang w:val="tr-TR"/>
              </w:rPr>
              <w:t>,</w:t>
            </w:r>
            <w:r w:rsidRPr="00A23740">
              <w:rPr>
                <w:rStyle w:val="MaviChar"/>
              </w:rPr>
              <w:t xml:space="preserve"> Hukuk Muhakemeleri Kanununun 362 nci maddesinin birinci fıkrasının (b) bendi hükmü uygulanır.</w:t>
            </w:r>
          </w:p>
          <w:p w:rsidR="000E5CC4" w:rsidRPr="00A23740" w:rsidRDefault="000E5CC4" w:rsidP="009431FF">
            <w:pPr>
              <w:rPr>
                <w:b/>
                <w:color w:val="FF0000"/>
                <w:szCs w:val="24"/>
              </w:rPr>
            </w:pPr>
          </w:p>
        </w:tc>
      </w:tr>
      <w:tr w:rsidR="00155AF4" w:rsidRPr="00A23740" w:rsidTr="009431FF">
        <w:tc>
          <w:tcPr>
            <w:tcW w:w="5000" w:type="pct"/>
            <w:gridSpan w:val="2"/>
            <w:shd w:val="clear" w:color="auto" w:fill="DEEAF6"/>
          </w:tcPr>
          <w:p w:rsidR="00A21CE2" w:rsidRPr="00A23740" w:rsidRDefault="00A21CE2" w:rsidP="009431FF">
            <w:pPr>
              <w:ind w:firstLine="709"/>
              <w:contextualSpacing/>
            </w:pPr>
          </w:p>
          <w:p w:rsidR="00F41D45" w:rsidRPr="00A23740" w:rsidRDefault="00D42F78" w:rsidP="009431FF">
            <w:pPr>
              <w:ind w:firstLine="709"/>
              <w:contextualSpacing/>
            </w:pPr>
            <w:r w:rsidRPr="00A23740">
              <w:rPr>
                <w:b/>
              </w:rPr>
              <w:t>MADDE 34</w:t>
            </w:r>
            <w:r w:rsidR="00155AF4" w:rsidRPr="00A23740">
              <w:rPr>
                <w:b/>
              </w:rPr>
              <w:t>-</w:t>
            </w:r>
            <w:r w:rsidR="00155AF4" w:rsidRPr="00A23740">
              <w:t xml:space="preserve"> </w:t>
            </w:r>
            <w:r w:rsidR="00F41D45" w:rsidRPr="00A23740">
              <w:t>Maddeyle, temyiz yoluna başvurulabilen kararlar düzenlenmektedir. Bu hüküm, 2004 sayılı Kanunun 364 üncü maddesine karşılık gelmektedir.</w:t>
            </w:r>
          </w:p>
          <w:p w:rsidR="0032043A" w:rsidRPr="00A23740" w:rsidRDefault="0032043A" w:rsidP="009431FF">
            <w:pPr>
              <w:ind w:firstLine="709"/>
              <w:contextualSpacing/>
              <w:rPr>
                <w:bCs/>
                <w:szCs w:val="24"/>
              </w:rPr>
            </w:pPr>
            <w:r w:rsidRPr="00A23740">
              <w:t xml:space="preserve">Birinci fıkrayla, </w:t>
            </w:r>
            <w:r w:rsidRPr="00A23740">
              <w:rPr>
                <w:rFonts w:eastAsia="Times New Roman"/>
                <w:szCs w:val="24"/>
                <w:lang w:eastAsia="tr-TR"/>
              </w:rPr>
              <w:t>bölge adliye mahkemesi hukuk dairelerince verilen ve miktar veya değ</w:t>
            </w:r>
            <w:r w:rsidRPr="00A23740">
              <w:rPr>
                <w:bCs/>
                <w:szCs w:val="24"/>
              </w:rPr>
              <w:t>eri 6100 sayılı</w:t>
            </w:r>
            <w:r w:rsidR="00DB332D" w:rsidRPr="00A23740">
              <w:rPr>
                <w:bCs/>
                <w:szCs w:val="24"/>
              </w:rPr>
              <w:t xml:space="preserve"> </w:t>
            </w:r>
            <w:r w:rsidR="00DB332D" w:rsidRPr="002B26FC">
              <w:rPr>
                <w:bCs/>
                <w:szCs w:val="24"/>
              </w:rPr>
              <w:t>Kanun</w:t>
            </w:r>
            <w:r w:rsidR="00DA1E7E" w:rsidRPr="002B26FC">
              <w:rPr>
                <w:bCs/>
                <w:szCs w:val="24"/>
              </w:rPr>
              <w:t>da</w:t>
            </w:r>
            <w:r w:rsidR="00DB332D" w:rsidRPr="00A23740">
              <w:rPr>
                <w:bCs/>
                <w:szCs w:val="24"/>
              </w:rPr>
              <w:t xml:space="preserve"> </w:t>
            </w:r>
            <w:r w:rsidRPr="00A23740">
              <w:t xml:space="preserve"> belirtilen parasal sınırı</w:t>
            </w:r>
            <w:r w:rsidRPr="00A23740">
              <w:rPr>
                <w:bCs/>
                <w:szCs w:val="24"/>
              </w:rPr>
              <w:t xml:space="preserve"> geçen nihai kararlara karşı temyiz yoluna başvurulabileceği düzenlenmektedir. </w:t>
            </w:r>
            <w:r w:rsidR="00A21CE2" w:rsidRPr="00A23740">
              <w:rPr>
                <w:bCs/>
                <w:szCs w:val="24"/>
              </w:rPr>
              <w:t>İstinaf kanun yolunda o</w:t>
            </w:r>
            <w:r w:rsidRPr="00A23740">
              <w:rPr>
                <w:bCs/>
                <w:szCs w:val="24"/>
              </w:rPr>
              <w:t xml:space="preserve">lduğu gibi temyiz kanun yolunda </w:t>
            </w:r>
            <w:r w:rsidR="00A21CE2" w:rsidRPr="00A23740">
              <w:rPr>
                <w:bCs/>
                <w:szCs w:val="24"/>
              </w:rPr>
              <w:t xml:space="preserve">da </w:t>
            </w:r>
            <w:r w:rsidRPr="00A23740">
              <w:rPr>
                <w:bCs/>
                <w:szCs w:val="24"/>
              </w:rPr>
              <w:t>6100 sayılı Kanundaki parasal sınır esas alınmaktadır.</w:t>
            </w:r>
            <w:r w:rsidR="00A21CE2" w:rsidRPr="00A23740">
              <w:rPr>
                <w:bCs/>
                <w:szCs w:val="24"/>
              </w:rPr>
              <w:t xml:space="preserve"> Bu durumda bölge adliye mahkemesinin icra hukuk mahkemesi kararlarını denetlediği kararlar</w:t>
            </w:r>
            <w:r w:rsidRPr="00A23740">
              <w:rPr>
                <w:bCs/>
                <w:szCs w:val="24"/>
              </w:rPr>
              <w:t>,</w:t>
            </w:r>
            <w:r w:rsidR="00A21CE2" w:rsidRPr="00A23740">
              <w:rPr>
                <w:bCs/>
                <w:szCs w:val="24"/>
              </w:rPr>
              <w:t xml:space="preserve"> </w:t>
            </w:r>
            <w:r w:rsidRPr="00A23740">
              <w:rPr>
                <w:bCs/>
                <w:szCs w:val="24"/>
              </w:rPr>
              <w:t xml:space="preserve">6100 sayılı Kanunda düzenlenen </w:t>
            </w:r>
            <w:r w:rsidR="00A21CE2" w:rsidRPr="00A23740">
              <w:rPr>
                <w:bCs/>
                <w:szCs w:val="24"/>
              </w:rPr>
              <w:t>parasal sınırın aşılması h</w:t>
            </w:r>
            <w:r w:rsidR="008712EC" w:rsidRPr="00A23740">
              <w:rPr>
                <w:bCs/>
                <w:szCs w:val="24"/>
              </w:rPr>
              <w:t>â</w:t>
            </w:r>
            <w:r w:rsidR="00A21CE2" w:rsidRPr="00A23740">
              <w:rPr>
                <w:bCs/>
                <w:szCs w:val="24"/>
              </w:rPr>
              <w:t xml:space="preserve">linde temyizi kabil </w:t>
            </w:r>
            <w:r w:rsidRPr="00A23740">
              <w:rPr>
                <w:bCs/>
                <w:szCs w:val="24"/>
              </w:rPr>
              <w:t>kararlar olarak kabul edili</w:t>
            </w:r>
            <w:r w:rsidR="00A21CE2" w:rsidRPr="00A23740">
              <w:rPr>
                <w:bCs/>
                <w:szCs w:val="24"/>
              </w:rPr>
              <w:t xml:space="preserve">r. </w:t>
            </w:r>
          </w:p>
          <w:p w:rsidR="0032043A" w:rsidRPr="00A23740" w:rsidRDefault="0032043A" w:rsidP="009431FF">
            <w:pPr>
              <w:ind w:firstLine="709"/>
              <w:contextualSpacing/>
              <w:rPr>
                <w:bCs/>
                <w:szCs w:val="24"/>
              </w:rPr>
            </w:pPr>
            <w:r w:rsidRPr="00A23740">
              <w:rPr>
                <w:bCs/>
                <w:szCs w:val="24"/>
              </w:rPr>
              <w:t xml:space="preserve">İkinci fıkrayla, bir yenilik olarak bölge adliye mahkemesi hukuk dairelerinin, kiralanan taşınmazların tahliyesine ilişkin kararları hakkında, 6100 sayılı Kanunun 362 nci maddesinin birinci fıkrasının (b) bendinin uygulanması kabul edilmektedir. </w:t>
            </w:r>
            <w:r w:rsidR="00941D6D" w:rsidRPr="00A23740">
              <w:rPr>
                <w:bCs/>
                <w:szCs w:val="24"/>
              </w:rPr>
              <w:t xml:space="preserve">Bölge </w:t>
            </w:r>
            <w:r w:rsidR="00A21CE2" w:rsidRPr="00A23740">
              <w:rPr>
                <w:bCs/>
                <w:szCs w:val="24"/>
              </w:rPr>
              <w:t>adliye mahkemesi</w:t>
            </w:r>
            <w:r w:rsidR="00490580" w:rsidRPr="00A23740">
              <w:rPr>
                <w:bCs/>
                <w:szCs w:val="24"/>
              </w:rPr>
              <w:t xml:space="preserve"> kararlarına karşı</w:t>
            </w:r>
            <w:r w:rsidR="006D522B" w:rsidRPr="00A23740">
              <w:rPr>
                <w:bCs/>
                <w:szCs w:val="24"/>
              </w:rPr>
              <w:t xml:space="preserve"> </w:t>
            </w:r>
            <w:r w:rsidR="00A21CE2" w:rsidRPr="00A23740">
              <w:rPr>
                <w:bCs/>
                <w:szCs w:val="24"/>
              </w:rPr>
              <w:t xml:space="preserve">temyiz yoluna </w:t>
            </w:r>
            <w:r w:rsidR="00490580" w:rsidRPr="00A23740">
              <w:rPr>
                <w:bCs/>
                <w:szCs w:val="24"/>
              </w:rPr>
              <w:t>başvurulabilmesi</w:t>
            </w:r>
            <w:r w:rsidR="00A21CE2" w:rsidRPr="00A23740">
              <w:rPr>
                <w:bCs/>
                <w:szCs w:val="24"/>
              </w:rPr>
              <w:t xml:space="preserve"> için</w:t>
            </w:r>
            <w:r w:rsidRPr="00A23740">
              <w:rPr>
                <w:bCs/>
                <w:szCs w:val="24"/>
              </w:rPr>
              <w:t xml:space="preserve"> 6100 sayılı Kanunun</w:t>
            </w:r>
            <w:r w:rsidR="00A21CE2" w:rsidRPr="00A23740">
              <w:rPr>
                <w:bCs/>
                <w:szCs w:val="24"/>
              </w:rPr>
              <w:t xml:space="preserve"> 362</w:t>
            </w:r>
            <w:r w:rsidRPr="00A23740">
              <w:rPr>
                <w:bCs/>
                <w:szCs w:val="24"/>
              </w:rPr>
              <w:t xml:space="preserve"> nci maddesinin birinci fıkrasının</w:t>
            </w:r>
            <w:r w:rsidR="00A21CE2" w:rsidRPr="00A23740">
              <w:rPr>
                <w:bCs/>
                <w:szCs w:val="24"/>
              </w:rPr>
              <w:t xml:space="preserve"> (b)</w:t>
            </w:r>
            <w:r w:rsidRPr="00A23740">
              <w:rPr>
                <w:bCs/>
                <w:szCs w:val="24"/>
              </w:rPr>
              <w:t xml:space="preserve"> bendindeki</w:t>
            </w:r>
            <w:r w:rsidR="00A21CE2" w:rsidRPr="00A23740">
              <w:rPr>
                <w:bCs/>
                <w:szCs w:val="24"/>
              </w:rPr>
              <w:t xml:space="preserve"> düzenlemenin e</w:t>
            </w:r>
            <w:r w:rsidRPr="00A23740">
              <w:rPr>
                <w:bCs/>
                <w:szCs w:val="24"/>
              </w:rPr>
              <w:t xml:space="preserve">sas alınması gerekir. Buna göre, </w:t>
            </w:r>
            <w:r w:rsidR="00A21CE2" w:rsidRPr="00A23740">
              <w:rPr>
                <w:bCs/>
                <w:szCs w:val="24"/>
              </w:rPr>
              <w:t>şayet temerrüt sebebiyle kiralananın tahliyesine karar verilmişse</w:t>
            </w:r>
            <w:r w:rsidRPr="00A23740">
              <w:rPr>
                <w:bCs/>
                <w:szCs w:val="24"/>
              </w:rPr>
              <w:t xml:space="preserve"> 6100 sayılı Kanunun 362 nci maddesinin </w:t>
            </w:r>
            <w:r w:rsidRPr="00A23740">
              <w:rPr>
                <w:bCs/>
                <w:szCs w:val="24"/>
              </w:rPr>
              <w:lastRenderedPageBreak/>
              <w:t>birinci fıkrasının</w:t>
            </w:r>
            <w:r w:rsidR="00A21CE2" w:rsidRPr="00A23740">
              <w:rPr>
                <w:bCs/>
                <w:szCs w:val="24"/>
              </w:rPr>
              <w:t xml:space="preserve"> </w:t>
            </w:r>
            <w:r w:rsidRPr="00A23740">
              <w:rPr>
                <w:bCs/>
                <w:szCs w:val="24"/>
              </w:rPr>
              <w:t xml:space="preserve">(b) bendi uyarınca </w:t>
            </w:r>
            <w:r w:rsidR="00A21CE2" w:rsidRPr="00A23740">
              <w:rPr>
                <w:bCs/>
                <w:szCs w:val="24"/>
              </w:rPr>
              <w:t>parasal sınır; süre sebebiyle tahliye kararı verilmişse de</w:t>
            </w:r>
            <w:r w:rsidRPr="00A23740">
              <w:rPr>
                <w:bCs/>
                <w:szCs w:val="24"/>
              </w:rPr>
              <w:t xml:space="preserve"> aynı hüküm uyarınca</w:t>
            </w:r>
            <w:r w:rsidR="00A21CE2" w:rsidRPr="00A23740">
              <w:rPr>
                <w:bCs/>
                <w:szCs w:val="24"/>
              </w:rPr>
              <w:t xml:space="preserve"> bu kez kira ilişkisinden doğan üç aylık kira tutarı temyiz sınırı olarak kabul </w:t>
            </w:r>
            <w:r w:rsidRPr="00A23740">
              <w:rPr>
                <w:bCs/>
                <w:szCs w:val="24"/>
              </w:rPr>
              <w:t>edilir</w:t>
            </w:r>
            <w:r w:rsidR="00A21CE2" w:rsidRPr="00A23740">
              <w:rPr>
                <w:bCs/>
                <w:szCs w:val="24"/>
              </w:rPr>
              <w:t xml:space="preserve">. </w:t>
            </w:r>
          </w:p>
          <w:p w:rsidR="00A21CE2" w:rsidRPr="00A23740" w:rsidRDefault="0032043A" w:rsidP="009431FF">
            <w:pPr>
              <w:ind w:firstLine="709"/>
              <w:contextualSpacing/>
            </w:pPr>
            <w:r w:rsidRPr="00A23740">
              <w:rPr>
                <w:bCs/>
                <w:szCs w:val="24"/>
              </w:rPr>
              <w:t xml:space="preserve">2004 sayılı Kanunun </w:t>
            </w:r>
            <w:r w:rsidR="00490580" w:rsidRPr="00A23740">
              <w:rPr>
                <w:bCs/>
                <w:szCs w:val="24"/>
              </w:rPr>
              <w:t xml:space="preserve">düzenlenmesinden farklı olarak </w:t>
            </w:r>
            <w:r w:rsidRPr="00A23740">
              <w:rPr>
                <w:bCs/>
                <w:szCs w:val="24"/>
              </w:rPr>
              <w:t>364 üncü maddesinin ikinci fıkrasında düzenlenen temyiz yoluna başvuru ve inceleme hakkındaki hüküm</w:t>
            </w:r>
            <w:r w:rsidR="00DA1E7E" w:rsidRPr="00A23740">
              <w:rPr>
                <w:bCs/>
                <w:szCs w:val="24"/>
              </w:rPr>
              <w:t>,</w:t>
            </w:r>
            <w:r w:rsidRPr="00A23740">
              <w:rPr>
                <w:bCs/>
                <w:szCs w:val="24"/>
              </w:rPr>
              <w:t xml:space="preserve"> </w:t>
            </w:r>
            <w:r w:rsidR="00163E5A" w:rsidRPr="00A23740">
              <w:rPr>
                <w:bCs/>
                <w:szCs w:val="24"/>
              </w:rPr>
              <w:t>Taslağın</w:t>
            </w:r>
            <w:r w:rsidRPr="00A23740">
              <w:rPr>
                <w:bCs/>
                <w:szCs w:val="24"/>
              </w:rPr>
              <w:t xml:space="preserve"> </w:t>
            </w:r>
            <w:r w:rsidR="008E00DA" w:rsidRPr="002B26FC">
              <w:rPr>
                <w:bCs/>
                <w:szCs w:val="24"/>
              </w:rPr>
              <w:t>35</w:t>
            </w:r>
            <w:r w:rsidR="008E00DA" w:rsidRPr="002B26FC">
              <w:rPr>
                <w:b/>
                <w:szCs w:val="24"/>
              </w:rPr>
              <w:t xml:space="preserve"> </w:t>
            </w:r>
            <w:r w:rsidR="008E00DA" w:rsidRPr="002B26FC">
              <w:rPr>
                <w:bCs/>
                <w:szCs w:val="24"/>
              </w:rPr>
              <w:t>inci</w:t>
            </w:r>
            <w:r w:rsidR="008E00DA" w:rsidRPr="00A23740">
              <w:t xml:space="preserve"> </w:t>
            </w:r>
            <w:r w:rsidRPr="00A23740">
              <w:t>maddesininin altıncı fıkrasında 6100 sayılı Kanuna genel olarak atıf yapıldığından maddede</w:t>
            </w:r>
            <w:r w:rsidR="00DA1E7E" w:rsidRPr="00A23740">
              <w:t xml:space="preserve"> düzenlenmemiştir</w:t>
            </w:r>
            <w:r w:rsidRPr="00A23740">
              <w:t xml:space="preserve">. Ayrıca 2004 sayılı Kanunun 364 üncü maddesinin üçüncü fıkrasında düzenlenen temyiz yoluna başvurunun icraya olan etkisiyle ilgili hüküm </w:t>
            </w:r>
            <w:r w:rsidR="00163E5A" w:rsidRPr="00A23740">
              <w:t>Taslağın</w:t>
            </w:r>
            <w:r w:rsidRPr="00A23740">
              <w:t xml:space="preserve"> </w:t>
            </w:r>
            <w:r w:rsidR="008E00DA" w:rsidRPr="002B26FC">
              <w:rPr>
                <w:bCs/>
                <w:szCs w:val="24"/>
              </w:rPr>
              <w:t>35</w:t>
            </w:r>
            <w:r w:rsidR="008E00DA" w:rsidRPr="002B26FC">
              <w:rPr>
                <w:b/>
                <w:szCs w:val="24"/>
              </w:rPr>
              <w:t xml:space="preserve"> </w:t>
            </w:r>
            <w:r w:rsidR="008E00DA" w:rsidRPr="002B26FC">
              <w:rPr>
                <w:bCs/>
                <w:szCs w:val="24"/>
              </w:rPr>
              <w:t>inci</w:t>
            </w:r>
            <w:r w:rsidRPr="00A23740">
              <w:t xml:space="preserve"> maddesinin üçüncü fıkrasında düzenlendiğinden </w:t>
            </w:r>
            <w:r w:rsidR="00DA1E7E" w:rsidRPr="00A23740">
              <w:t xml:space="preserve">bu hükme </w:t>
            </w:r>
            <w:r w:rsidRPr="00A23740">
              <w:t>maddede yer</w:t>
            </w:r>
            <w:r w:rsidR="00DA1E7E" w:rsidRPr="00A23740">
              <w:t xml:space="preserve"> verilmemiştir</w:t>
            </w:r>
            <w:r w:rsidRPr="00A23740">
              <w:t>.</w:t>
            </w:r>
          </w:p>
          <w:p w:rsidR="00A21CE2" w:rsidRPr="00A23740" w:rsidRDefault="00A21CE2" w:rsidP="009431FF">
            <w:pPr>
              <w:ind w:firstLine="709"/>
            </w:pPr>
          </w:p>
        </w:tc>
      </w:tr>
      <w:tr w:rsidR="00155AF4" w:rsidRPr="00A23740" w:rsidTr="009431FF">
        <w:tc>
          <w:tcPr>
            <w:tcW w:w="2500" w:type="pct"/>
            <w:shd w:val="clear" w:color="auto" w:fill="auto"/>
          </w:tcPr>
          <w:p w:rsidR="00AF6393" w:rsidRPr="00A23740" w:rsidRDefault="00AF6393" w:rsidP="009431FF">
            <w:pPr>
              <w:rPr>
                <w:rFonts w:eastAsia="Times New Roman"/>
                <w:b/>
                <w:strike/>
                <w:color w:val="FF0000"/>
                <w:szCs w:val="24"/>
                <w:lang w:eastAsia="tr-TR"/>
              </w:rPr>
            </w:pPr>
            <w:r w:rsidRPr="00A23740">
              <w:rPr>
                <w:rFonts w:eastAsia="Times New Roman"/>
                <w:b/>
                <w:strike/>
                <w:color w:val="FF0000"/>
                <w:szCs w:val="24"/>
                <w:lang w:eastAsia="tr-TR"/>
              </w:rPr>
              <w:lastRenderedPageBreak/>
              <w:t xml:space="preserve">Bölge adliye mahkemesi ve Yargıtay kararları </w:t>
            </w:r>
          </w:p>
          <w:p w:rsidR="00AF6393" w:rsidRPr="00A23740" w:rsidRDefault="00AF6393" w:rsidP="009431FF">
            <w:pPr>
              <w:rPr>
                <w:rFonts w:eastAsia="Times New Roman"/>
                <w:szCs w:val="24"/>
                <w:lang w:eastAsia="tr-TR"/>
              </w:rPr>
            </w:pPr>
            <w:r w:rsidRPr="00A23740">
              <w:rPr>
                <w:rStyle w:val="KIRMIZIChar"/>
                <w:rFonts w:eastAsia="Calibri"/>
              </w:rPr>
              <w:t>Madde 366- (1) (Değişik: 2/3/2005-5311/27 md.) İstinaf</w:t>
            </w:r>
            <w:r w:rsidRPr="00A23740">
              <w:rPr>
                <w:rFonts w:eastAsia="Times New Roman"/>
                <w:b/>
                <w:strike/>
                <w:color w:val="FF0000"/>
                <w:szCs w:val="24"/>
                <w:lang w:eastAsia="tr-TR"/>
              </w:rPr>
              <w:t xml:space="preserve"> ve temyiz incelemeleri, Hukuk Usulü Muhakemeleri Kanununa göre yapılır ve onbeş gün içinde karara bağlanır.</w:t>
            </w:r>
          </w:p>
          <w:p w:rsidR="00AF6393" w:rsidRPr="00A23740" w:rsidRDefault="00AF6393" w:rsidP="009431FF">
            <w:pPr>
              <w:rPr>
                <w:rFonts w:eastAsia="Times New Roman"/>
                <w:b/>
                <w:strike/>
                <w:color w:val="FF0000"/>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İstinaf dilekçesinin reddi</w:t>
            </w:r>
          </w:p>
          <w:p w:rsidR="00155AF4" w:rsidRPr="00A23740" w:rsidRDefault="00155AF4" w:rsidP="009431FF">
            <w:pPr>
              <w:pStyle w:val="KIRMIZI"/>
              <w:rPr>
                <w:lang w:val="tr-TR"/>
              </w:rPr>
            </w:pPr>
            <w:r w:rsidRPr="00A23740">
              <w:rPr>
                <w:lang w:val="tr-TR"/>
              </w:rPr>
              <w:t>Madde 365 – (1) (Değişik: 2/3/2005-5311/26 md.)</w:t>
            </w: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İstinaf yoluna başvurma, yasal süre geçtikten sonra yapılır veya istinaf yoluna başvurulmasına olanak bulunmayan bir karara veya vazgeçme nedeniyle itiraz veya şikâyetin reddine yahut süresi geçmiş bir şikâyete ilişkin olursa, Hukuk Usulü Muhakemeleri Kanununun ilgili hükümleri gereğince istem icra mahkemesince reddedilir.</w:t>
            </w:r>
          </w:p>
          <w:p w:rsidR="00155AF4" w:rsidRPr="00A23740" w:rsidRDefault="00155AF4" w:rsidP="009431FF">
            <w:pPr>
              <w:rPr>
                <w:rFonts w:eastAsia="Times New Roman"/>
                <w:b/>
                <w:strike/>
                <w:color w:val="FF0000"/>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(2) İstinaf yoluna başvuran kişi ret kararını kabul etmezse, istinaf dilekçesi diğer tarafa tebliğ edildikten sonra, karar sureti ve verilirse cevap dilekçesiyle birlikte yetkili bölge adliye mahkemesine gönderilir. Şu kadar ki bu hâlde satış dahil hiçbir icra işlemi durmaz.</w:t>
            </w:r>
          </w:p>
          <w:p w:rsidR="00155AF4" w:rsidRPr="00A23740" w:rsidRDefault="00155AF4" w:rsidP="009431FF">
            <w:pPr>
              <w:rPr>
                <w:rFonts w:eastAsia="Times New Roman"/>
                <w:b/>
                <w:strike/>
                <w:color w:val="FF0000"/>
                <w:szCs w:val="24"/>
                <w:lang w:eastAsia="tr-TR"/>
              </w:rPr>
            </w:pPr>
          </w:p>
          <w:p w:rsidR="00155AF4" w:rsidRPr="00A23740" w:rsidRDefault="00155AF4" w:rsidP="009431FF">
            <w:pPr>
              <w:pStyle w:val="KIRMIZI"/>
              <w:rPr>
                <w:lang w:val="tr-TR"/>
              </w:rPr>
            </w:pPr>
            <w:r w:rsidRPr="00A23740">
              <w:rPr>
                <w:rFonts w:eastAsia="Calibri"/>
                <w:bCs w:val="0"/>
                <w:strike w:val="0"/>
                <w:color w:val="auto"/>
                <w:lang w:val="tr-TR" w:eastAsia="en-US"/>
              </w:rPr>
              <w:t>İstinaf yoluna</w:t>
            </w:r>
            <w:r w:rsidRPr="00A23740">
              <w:rPr>
                <w:strike w:val="0"/>
                <w:lang w:val="tr-TR"/>
              </w:rPr>
              <w:t xml:space="preserve"> </w:t>
            </w:r>
            <w:r w:rsidRPr="00A23740">
              <w:rPr>
                <w:lang w:val="tr-TR"/>
              </w:rPr>
              <w:t>başvurma ve incelenmesi</w:t>
            </w:r>
          </w:p>
          <w:p w:rsidR="00155AF4" w:rsidRPr="00A23740" w:rsidRDefault="00155AF4" w:rsidP="009431FF">
            <w:pPr>
              <w:pStyle w:val="KIRMIZI"/>
              <w:rPr>
                <w:lang w:eastAsia="tr-TR"/>
              </w:rPr>
            </w:pPr>
            <w:r w:rsidRPr="00A23740">
              <w:rPr>
                <w:lang w:val="tr-TR"/>
              </w:rPr>
              <w:t xml:space="preserve">Madde 363- </w:t>
            </w:r>
          </w:p>
          <w:p w:rsidR="00155AF4" w:rsidRPr="00A23740" w:rsidRDefault="00155AF4" w:rsidP="009431FF">
            <w:pPr>
              <w:rPr>
                <w:rStyle w:val="KIRMIZIChar"/>
                <w:rFonts w:eastAsia="Calibri"/>
              </w:rPr>
            </w:pPr>
            <w:r w:rsidRPr="00A23740">
              <w:rPr>
                <w:rStyle w:val="KIRMIZIChar"/>
                <w:rFonts w:eastAsia="Calibri"/>
              </w:rPr>
              <w:t>(4)</w:t>
            </w:r>
            <w:r w:rsidRPr="00A23740">
              <w:rPr>
                <w:rStyle w:val="KIRMIZIChar"/>
                <w:rFonts w:eastAsia="Calibri"/>
                <w:strike w:val="0"/>
              </w:rPr>
              <w:t xml:space="preserve"> </w:t>
            </w:r>
            <w:r w:rsidRPr="00A23740">
              <w:rPr>
                <w:szCs w:val="24"/>
              </w:rPr>
              <w:t>İstinaf yoluna başvuru satıştan başka icra işlemlerini durdurmaz.</w:t>
            </w:r>
            <w:r w:rsidRPr="00A23740">
              <w:rPr>
                <w:rStyle w:val="KIRMIZIChar"/>
                <w:rFonts w:eastAsia="Calibri"/>
              </w:rPr>
              <w:t xml:space="preserve"> </w:t>
            </w:r>
            <w:r w:rsidRPr="00A23740">
              <w:rPr>
                <w:szCs w:val="24"/>
              </w:rPr>
              <w:t>İcranın devamı için gereken evrak alıkonularak bunların birer örneği bölge adliye mahkemesine gönderilecek dosyaya konulur.</w:t>
            </w:r>
          </w:p>
          <w:p w:rsidR="00155AF4" w:rsidRPr="00A23740" w:rsidRDefault="00155AF4" w:rsidP="009431FF">
            <w:pPr>
              <w:rPr>
                <w:rFonts w:eastAsia="Times New Roman"/>
                <w:b/>
                <w:strike/>
                <w:color w:val="FF0000"/>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AF6393" w:rsidRPr="00A23740" w:rsidRDefault="00AF6393"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i/>
                <w:szCs w:val="24"/>
                <w:lang w:eastAsia="tr-TR"/>
              </w:rPr>
            </w:pPr>
            <w:r w:rsidRPr="00A23740">
              <w:rPr>
                <w:rFonts w:eastAsia="Times New Roman"/>
                <w:i/>
                <w:szCs w:val="24"/>
                <w:lang w:eastAsia="tr-TR"/>
              </w:rPr>
              <w:t>Temyiz yoluna başvur</w:t>
            </w:r>
            <w:r w:rsidRPr="00A23740">
              <w:rPr>
                <w:rFonts w:eastAsia="Times New Roman"/>
                <w:b/>
                <w:strike/>
                <w:color w:val="FF0000"/>
                <w:szCs w:val="24"/>
                <w:lang w:eastAsia="tr-TR"/>
              </w:rPr>
              <w:t>ma ve incelenmesi</w:t>
            </w:r>
            <w:r w:rsidRPr="00A23740">
              <w:rPr>
                <w:rFonts w:eastAsia="Times New Roman"/>
                <w:i/>
                <w:szCs w:val="24"/>
                <w:lang w:eastAsia="tr-TR"/>
              </w:rPr>
              <w:t xml:space="preserve"> </w:t>
            </w:r>
          </w:p>
          <w:p w:rsidR="00155AF4" w:rsidRPr="00A23740" w:rsidRDefault="00155AF4" w:rsidP="009431FF">
            <w:pPr>
              <w:rPr>
                <w:rFonts w:eastAsia="Times New Roman"/>
                <w:szCs w:val="24"/>
                <w:lang w:eastAsia="tr-TR"/>
              </w:rPr>
            </w:pPr>
            <w:r w:rsidRPr="00A23740">
              <w:rPr>
                <w:rStyle w:val="KIRMIZIChar"/>
                <w:rFonts w:eastAsia="Calibri"/>
              </w:rPr>
              <w:t>Madde</w:t>
            </w:r>
            <w:r w:rsidRPr="00A23740">
              <w:rPr>
                <w:rFonts w:eastAsia="Times New Roman"/>
                <w:b/>
                <w:bCs/>
                <w:szCs w:val="24"/>
                <w:lang w:eastAsia="tr-TR"/>
              </w:rPr>
              <w:t xml:space="preserve"> </w:t>
            </w:r>
            <w:r w:rsidRPr="00A23740">
              <w:rPr>
                <w:rFonts w:eastAsia="Times New Roman"/>
                <w:b/>
                <w:bCs/>
                <w:strike/>
                <w:color w:val="FF0000"/>
                <w:szCs w:val="24"/>
                <w:lang w:eastAsia="tr-TR"/>
              </w:rPr>
              <w:t xml:space="preserve">364- </w:t>
            </w:r>
          </w:p>
          <w:p w:rsidR="00155AF4" w:rsidRPr="00A23740" w:rsidRDefault="00A47D78" w:rsidP="009431FF">
            <w:pPr>
              <w:rPr>
                <w:rFonts w:eastAsia="Times New Roman"/>
                <w:b/>
                <w:strike/>
                <w:color w:val="FF0000"/>
                <w:szCs w:val="24"/>
                <w:lang w:eastAsia="tr-TR"/>
              </w:rPr>
            </w:pPr>
            <w:r w:rsidRPr="00A23740">
              <w:rPr>
                <w:rFonts w:eastAsia="Times New Roman"/>
                <w:b/>
                <w:strike/>
                <w:color w:val="FF0000"/>
                <w:szCs w:val="24"/>
                <w:lang w:eastAsia="tr-TR"/>
              </w:rPr>
              <w:t>(3</w:t>
            </w:r>
            <w:r w:rsidR="00155AF4" w:rsidRPr="00A23740">
              <w:rPr>
                <w:rFonts w:eastAsia="Times New Roman"/>
                <w:b/>
                <w:strike/>
                <w:color w:val="FF0000"/>
                <w:szCs w:val="24"/>
                <w:lang w:eastAsia="tr-TR"/>
              </w:rPr>
              <w:t>)</w:t>
            </w:r>
            <w:r w:rsidR="00155AF4" w:rsidRPr="00A23740">
              <w:rPr>
                <w:rFonts w:eastAsia="Times New Roman"/>
                <w:b/>
                <w:color w:val="FF0000"/>
                <w:szCs w:val="24"/>
                <w:lang w:eastAsia="tr-TR"/>
              </w:rPr>
              <w:t xml:space="preserve"> </w:t>
            </w:r>
            <w:r w:rsidR="00155AF4" w:rsidRPr="00A23740">
              <w:rPr>
                <w:rFonts w:eastAsia="Times New Roman"/>
                <w:szCs w:val="24"/>
                <w:lang w:eastAsia="tr-TR"/>
              </w:rPr>
              <w:t>Temyiz yoluna başvur</w:t>
            </w:r>
            <w:r w:rsidR="00155AF4" w:rsidRPr="00A23740">
              <w:rPr>
                <w:rFonts w:eastAsia="Times New Roman"/>
                <w:b/>
                <w:strike/>
                <w:color w:val="FF0000"/>
                <w:szCs w:val="24"/>
                <w:lang w:eastAsia="tr-TR"/>
              </w:rPr>
              <w:t>ma, satıştan başka icra işlemlerini</w:t>
            </w:r>
            <w:r w:rsidR="00155AF4" w:rsidRPr="00A23740">
              <w:rPr>
                <w:rFonts w:eastAsia="Times New Roman"/>
                <w:szCs w:val="24"/>
                <w:lang w:eastAsia="tr-TR"/>
              </w:rPr>
              <w:t xml:space="preserve"> durdurmaz.</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İstinaf dilekçesinin reddi</w:t>
            </w: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Madde 365</w:t>
            </w: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(4) Bölge adliye mahkemesi, birinci fıkra kapsamına girdiği hâlde reddine karar verilmemiş başvuruyu geri çevirmeyip doğrudan kesin karara bağlar.</w:t>
            </w:r>
          </w:p>
          <w:p w:rsidR="00155AF4" w:rsidRPr="00A23740" w:rsidRDefault="00155AF4" w:rsidP="009431FF">
            <w:pPr>
              <w:rPr>
                <w:rFonts w:eastAsia="Times New Roman"/>
                <w:szCs w:val="24"/>
                <w:lang w:eastAsia="tr-TR"/>
              </w:rPr>
            </w:pPr>
          </w:p>
          <w:p w:rsidR="007B4C44" w:rsidRPr="00A23740" w:rsidRDefault="007B4C44" w:rsidP="009431FF">
            <w:pPr>
              <w:rPr>
                <w:rFonts w:eastAsia="Times New Roman"/>
                <w:szCs w:val="24"/>
                <w:lang w:eastAsia="tr-TR"/>
              </w:rPr>
            </w:pPr>
          </w:p>
          <w:p w:rsidR="007B4C44" w:rsidRPr="00A23740" w:rsidRDefault="007B4C44" w:rsidP="009431FF">
            <w:pPr>
              <w:rPr>
                <w:rFonts w:eastAsia="Times New Roman"/>
                <w:szCs w:val="24"/>
                <w:lang w:eastAsia="tr-TR"/>
              </w:rPr>
            </w:pPr>
          </w:p>
          <w:p w:rsidR="007B4C44" w:rsidRPr="00A23740" w:rsidRDefault="007B4C44" w:rsidP="009431FF">
            <w:pPr>
              <w:rPr>
                <w:rFonts w:eastAsia="Times New Roman"/>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 xml:space="preserve">Bölge adliye mahkemesi ve Yargıtay kararları </w:t>
            </w:r>
          </w:p>
          <w:p w:rsidR="00155AF4" w:rsidRPr="00A23740" w:rsidRDefault="00155AF4" w:rsidP="009431FF">
            <w:pPr>
              <w:rPr>
                <w:rFonts w:eastAsia="Times New Roman"/>
                <w:szCs w:val="24"/>
                <w:lang w:eastAsia="tr-TR"/>
              </w:rPr>
            </w:pPr>
            <w:r w:rsidRPr="00A23740">
              <w:rPr>
                <w:rStyle w:val="KIRMIZIChar"/>
                <w:rFonts w:eastAsia="Calibri"/>
              </w:rPr>
              <w:t>Madde 366- (1) (Değişik: 2/3/2005-5311/27 md.) İstinaf</w:t>
            </w:r>
            <w:r w:rsidRPr="00A23740">
              <w:rPr>
                <w:rFonts w:eastAsia="Times New Roman"/>
                <w:b/>
                <w:strike/>
                <w:color w:val="FF0000"/>
                <w:szCs w:val="24"/>
                <w:lang w:eastAsia="tr-TR"/>
              </w:rPr>
              <w:t xml:space="preserve"> ve temyiz incelemeleri, Hukuk Usulü Muhakemeleri Kanununa göre yapılır ve onbeş gün içinde karara bağlanır.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(2) İlgili ister ve ücretini verir veya gönderirse karar özeti en seri vasıtalarla mahalline bildirilir.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(3) Yargıtayın icra ve iflâs işlerine bakan hukuk dairesinin kararlarına karşı genel hükümlere göre direnme kararı verilebilir. Direnme kararları, Hukuk Genel Kurulunda acele işlerden sayılır.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lastRenderedPageBreak/>
              <w:t>(4) Yargıtayın bozma kararı veya bölge adliye mahkemesinin kaldırma, düzelterek veya yeniden esas hakkında vereceği kararları üzerine icra ve iflâs işlerinde</w:t>
            </w:r>
            <w:r w:rsidRPr="00A23740">
              <w:rPr>
                <w:rFonts w:eastAsia="Times New Roman"/>
                <w:szCs w:val="24"/>
                <w:lang w:eastAsia="tr-TR"/>
              </w:rPr>
              <w:t xml:space="preserve"> </w:t>
            </w:r>
            <w:r w:rsidRPr="00A23740">
              <w:rPr>
                <w:rStyle w:val="KIRMIZIChar"/>
                <w:rFonts w:eastAsia="Calibri"/>
              </w:rPr>
              <w:t>40 ıncı</w:t>
            </w:r>
            <w:r w:rsidRPr="00A23740">
              <w:rPr>
                <w:rFonts w:eastAsia="Times New Roman"/>
                <w:szCs w:val="24"/>
                <w:lang w:eastAsia="tr-TR"/>
              </w:rPr>
              <w:t xml:space="preserve"> madde hükmü </w:t>
            </w:r>
            <w:r w:rsidRPr="002B26FC">
              <w:rPr>
                <w:rFonts w:eastAsia="Times New Roman"/>
                <w:b/>
                <w:strike/>
                <w:color w:val="FF0000"/>
                <w:szCs w:val="24"/>
                <w:lang w:eastAsia="tr-TR"/>
              </w:rPr>
              <w:t>kıyas</w:t>
            </w:r>
            <w:r w:rsidRPr="00A23740">
              <w:rPr>
                <w:rFonts w:eastAsia="Times New Roman"/>
                <w:szCs w:val="24"/>
                <w:lang w:eastAsia="tr-TR"/>
              </w:rPr>
              <w:t xml:space="preserve"> </w:t>
            </w:r>
            <w:r w:rsidRPr="002B26FC">
              <w:rPr>
                <w:rFonts w:eastAsia="Times New Roman"/>
                <w:b/>
                <w:strike/>
                <w:color w:val="FF0000"/>
                <w:szCs w:val="24"/>
                <w:lang w:eastAsia="tr-TR"/>
              </w:rPr>
              <w:t>yoluyla</w:t>
            </w:r>
            <w:r w:rsidRPr="00A23740">
              <w:rPr>
                <w:rFonts w:eastAsia="Times New Roman"/>
                <w:szCs w:val="24"/>
                <w:lang w:eastAsia="tr-TR"/>
              </w:rPr>
              <w:t xml:space="preserve"> uygulanır.</w:t>
            </w:r>
          </w:p>
        </w:tc>
        <w:tc>
          <w:tcPr>
            <w:tcW w:w="2500" w:type="pct"/>
            <w:shd w:val="clear" w:color="auto" w:fill="auto"/>
          </w:tcPr>
          <w:p w:rsidR="00155AF4" w:rsidRPr="00A23740" w:rsidRDefault="008E211A" w:rsidP="009431FF">
            <w:pPr>
              <w:pStyle w:val="Mavi"/>
            </w:pPr>
            <w:r w:rsidRPr="002B26FC">
              <w:rPr>
                <w:bCs w:val="0"/>
              </w:rPr>
              <w:lastRenderedPageBreak/>
              <w:t>Müşterek</w:t>
            </w:r>
            <w:r w:rsidR="00155AF4" w:rsidRPr="00A23740">
              <w:t xml:space="preserve"> hükümler</w:t>
            </w:r>
          </w:p>
          <w:p w:rsidR="00155AF4" w:rsidRPr="00A23740" w:rsidRDefault="00A21CE2" w:rsidP="009431FF">
            <w:pPr>
              <w:pStyle w:val="Mavi"/>
              <w:rPr>
                <w:color w:val="0000CC"/>
              </w:rPr>
            </w:pPr>
            <w:r w:rsidRPr="00A23740">
              <w:t>MA</w:t>
            </w:r>
            <w:r w:rsidR="0059245E" w:rsidRPr="00A23740">
              <w:t>DDE 35</w:t>
            </w:r>
            <w:r w:rsidR="00155AF4" w:rsidRPr="00A23740">
              <w:t>-</w:t>
            </w:r>
            <w:r w:rsidR="00155AF4" w:rsidRPr="00A23740">
              <w:rPr>
                <w:rStyle w:val="MaviChar"/>
              </w:rPr>
              <w:t xml:space="preserve"> </w:t>
            </w:r>
            <w:r w:rsidR="00155AF4" w:rsidRPr="00A23740">
              <w:t>(1) Kanun yoluna başvurulan kararlar, bölge adliye mahkemesi ve Yargıtay tarafından ivedilikle incelenir ve karara bağlanır.</w:t>
            </w: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AF6393" w:rsidRPr="00A23740" w:rsidRDefault="00AF6393" w:rsidP="009431FF">
            <w:pPr>
              <w:rPr>
                <w:b/>
                <w:color w:val="0000CC"/>
                <w:szCs w:val="24"/>
              </w:rPr>
            </w:pPr>
          </w:p>
          <w:p w:rsidR="00AF6393" w:rsidRPr="00A23740" w:rsidRDefault="00AF6393" w:rsidP="009431FF">
            <w:pPr>
              <w:rPr>
                <w:b/>
                <w:color w:val="0000CC"/>
                <w:szCs w:val="24"/>
              </w:rPr>
            </w:pPr>
          </w:p>
          <w:p w:rsidR="00AF6393" w:rsidRPr="00A23740" w:rsidRDefault="00AF6393" w:rsidP="009431FF">
            <w:pPr>
              <w:rPr>
                <w:b/>
                <w:color w:val="0000CC"/>
                <w:szCs w:val="24"/>
              </w:rPr>
            </w:pPr>
          </w:p>
          <w:p w:rsidR="00AF6393" w:rsidRPr="00A23740" w:rsidRDefault="00AF6393" w:rsidP="009431FF">
            <w:pPr>
              <w:rPr>
                <w:b/>
                <w:color w:val="0000CC"/>
                <w:szCs w:val="24"/>
              </w:rPr>
            </w:pPr>
          </w:p>
          <w:p w:rsidR="00AF6393" w:rsidRPr="00A23740" w:rsidRDefault="00AF6393"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b/>
                <w:color w:val="0000CC"/>
                <w:szCs w:val="24"/>
              </w:rPr>
            </w:pPr>
          </w:p>
          <w:p w:rsidR="00155AF4" w:rsidRPr="00A23740" w:rsidRDefault="00155AF4" w:rsidP="009431FF">
            <w:pPr>
              <w:rPr>
                <w:rStyle w:val="MaviChar"/>
              </w:rPr>
            </w:pPr>
            <w:r w:rsidRPr="00A23740">
              <w:rPr>
                <w:rStyle w:val="MaviChar"/>
              </w:rPr>
              <w:t>(2)</w:t>
            </w:r>
            <w:r w:rsidRPr="00A23740">
              <w:rPr>
                <w:b/>
                <w:color w:val="0000CC"/>
                <w:szCs w:val="24"/>
              </w:rPr>
              <w:t xml:space="preserve"> </w:t>
            </w:r>
            <w:r w:rsidRPr="00A23740">
              <w:rPr>
                <w:szCs w:val="24"/>
              </w:rPr>
              <w:t>İstinaf yoluna başvuru, satıştan başka icra işlemlerini durdurmaz.</w:t>
            </w:r>
            <w:r w:rsidRPr="00A23740">
              <w:rPr>
                <w:b/>
                <w:color w:val="0000FF"/>
                <w:szCs w:val="24"/>
              </w:rPr>
              <w:t xml:space="preserve"> </w:t>
            </w:r>
            <w:r w:rsidRPr="00A23740">
              <w:rPr>
                <w:rStyle w:val="MaviChar"/>
              </w:rPr>
              <w:t xml:space="preserve">Ancak bölge adliye mahkemesi hukuk dairesi, talep üzerine, nakit veya banka teminat mektubu şeklindeki teminat karşılığında yahut </w:t>
            </w:r>
            <w:r w:rsidRPr="00A23740">
              <w:rPr>
                <w:rStyle w:val="MaviChar"/>
              </w:rPr>
              <w:lastRenderedPageBreak/>
              <w:t>teminatsız olarak satışın yapılmasına karar verebileceği gibi satıştan başka icra işlemlerinin durdurulmasına da karar verebilir. Gösterilecek teminatın tutarı, bölge adliye mahkemesi hukuk dairesince ayrıca takdir edilir.</w:t>
            </w:r>
            <w:r w:rsidRPr="00A23740">
              <w:rPr>
                <w:bCs/>
                <w:color w:val="FF0000"/>
                <w:szCs w:val="24"/>
              </w:rPr>
              <w:t xml:space="preserve"> </w:t>
            </w:r>
            <w:r w:rsidRPr="00A23740">
              <w:rPr>
                <w:szCs w:val="24"/>
              </w:rPr>
              <w:t>İcranın devamı için gereken evrak alıkonularak bunların birer örneği bölge adliye mahkemesine gönderilecek dosyaya konulur.</w:t>
            </w:r>
          </w:p>
          <w:p w:rsidR="00155AF4" w:rsidRPr="00A23740" w:rsidRDefault="00155AF4" w:rsidP="009431FF">
            <w:pPr>
              <w:rPr>
                <w:b/>
                <w:color w:val="0000CC"/>
                <w:szCs w:val="24"/>
              </w:rPr>
            </w:pPr>
          </w:p>
          <w:p w:rsidR="00155AF4" w:rsidRPr="00A23740" w:rsidRDefault="00155AF4" w:rsidP="009431FF">
            <w:pPr>
              <w:rPr>
                <w:rStyle w:val="MaviChar"/>
              </w:rPr>
            </w:pPr>
            <w:r w:rsidRPr="00A44DE5">
              <w:rPr>
                <w:rStyle w:val="MaviChar"/>
              </w:rPr>
              <w:t>(3)</w:t>
            </w:r>
            <w:r w:rsidRPr="00A23740">
              <w:rPr>
                <w:rFonts w:eastAsia="Times New Roman"/>
                <w:szCs w:val="24"/>
                <w:lang w:eastAsia="tr-TR"/>
              </w:rPr>
              <w:t xml:space="preserve"> Temyiz yoluna başvur</w:t>
            </w:r>
            <w:r w:rsidRPr="00A23740">
              <w:rPr>
                <w:rStyle w:val="MaviChar"/>
                <w:lang w:eastAsia="tr-TR"/>
              </w:rPr>
              <w:t>u</w:t>
            </w:r>
            <w:r w:rsidRPr="00A23740">
              <w:rPr>
                <w:rStyle w:val="MaviChar"/>
              </w:rPr>
              <w:t xml:space="preserve"> satışı </w:t>
            </w:r>
            <w:r w:rsidRPr="00A23740">
              <w:rPr>
                <w:rFonts w:eastAsia="Times New Roman"/>
                <w:szCs w:val="24"/>
                <w:lang w:eastAsia="tr-TR"/>
              </w:rPr>
              <w:t>durdurmaz.</w:t>
            </w:r>
            <w:r w:rsidRPr="00A23740">
              <w:rPr>
                <w:b/>
                <w:color w:val="00B050"/>
                <w:szCs w:val="24"/>
              </w:rPr>
              <w:t xml:space="preserve"> </w:t>
            </w:r>
            <w:r w:rsidRPr="00A23740">
              <w:rPr>
                <w:rStyle w:val="MaviChar"/>
              </w:rPr>
              <w:t xml:space="preserve">Ancak temyiz yoluna başvuran, temyiz süresi içinde icra </w:t>
            </w:r>
            <w:r w:rsidR="00E8442A" w:rsidRPr="002B26FC">
              <w:rPr>
                <w:rStyle w:val="MaviChar"/>
              </w:rPr>
              <w:t xml:space="preserve">ve iflas </w:t>
            </w:r>
            <w:r w:rsidRPr="00A23740">
              <w:rPr>
                <w:rStyle w:val="MaviChar"/>
              </w:rPr>
              <w:t>dairesine takip konusu alacağın yüzde onbeşi oranında</w:t>
            </w:r>
            <w:r w:rsidRPr="00A23740">
              <w:rPr>
                <w:rStyle w:val="MaviChar"/>
                <w:lang w:val="tr-TR"/>
              </w:rPr>
              <w:t xml:space="preserve"> </w:t>
            </w:r>
            <w:r w:rsidRPr="00A23740">
              <w:rPr>
                <w:rStyle w:val="MaviChar"/>
              </w:rPr>
              <w:t xml:space="preserve">nakit yatırdığı veya banka teminat mektubunu teslim ettiği takdirde icra </w:t>
            </w:r>
            <w:r w:rsidR="00E8442A" w:rsidRPr="002B26FC">
              <w:rPr>
                <w:rStyle w:val="MaviChar"/>
              </w:rPr>
              <w:t>ve iflas</w:t>
            </w:r>
            <w:r w:rsidR="00E8442A" w:rsidRPr="00A23740">
              <w:rPr>
                <w:rStyle w:val="MaviChar"/>
                <w:color w:val="70AD47"/>
              </w:rPr>
              <w:t xml:space="preserve"> </w:t>
            </w:r>
            <w:r w:rsidRPr="00A23740">
              <w:rPr>
                <w:rStyle w:val="MaviChar"/>
              </w:rPr>
              <w:t>dairesince satış durdurulur. Yargıtayca kararın onanması h</w:t>
            </w:r>
            <w:r w:rsidR="008E00DA" w:rsidRPr="00A23740">
              <w:rPr>
                <w:rStyle w:val="MaviChar"/>
                <w:lang w:val="tr-TR"/>
              </w:rPr>
              <w:t>â</w:t>
            </w:r>
            <w:r w:rsidRPr="00A23740">
              <w:rPr>
                <w:rStyle w:val="MaviChar"/>
              </w:rPr>
              <w:t xml:space="preserve">linde, alacaklının talebi üzerine, başkaca işleme veya hükme gerek kalmaksızın teminata konu olan para </w:t>
            </w:r>
            <w:r w:rsidR="00DC4D4F" w:rsidRPr="00A23740">
              <w:rPr>
                <w:rStyle w:val="MaviChar"/>
              </w:rPr>
              <w:t>veya teminat mektubu bedeli</w:t>
            </w:r>
            <w:r w:rsidR="00DC4D4F" w:rsidRPr="00A23740">
              <w:rPr>
                <w:rStyle w:val="MaviChar"/>
                <w:lang w:val="tr-TR"/>
              </w:rPr>
              <w:t xml:space="preserve"> </w:t>
            </w:r>
            <w:r w:rsidRPr="00A23740">
              <w:rPr>
                <w:rStyle w:val="MaviChar"/>
              </w:rPr>
              <w:t>al</w:t>
            </w:r>
            <w:r w:rsidR="00DC4D4F" w:rsidRPr="00A23740">
              <w:rPr>
                <w:rStyle w:val="MaviChar"/>
              </w:rPr>
              <w:t>acaklıya tazminat olarak ödenir.</w:t>
            </w:r>
            <w:r w:rsidR="00F97B3E" w:rsidRPr="00A23740">
              <w:rPr>
                <w:b/>
                <w:bCs/>
                <w:color w:val="C00000"/>
                <w:lang w:val="x-none" w:eastAsia="x-none"/>
              </w:rPr>
              <w:t xml:space="preserve"> </w:t>
            </w:r>
            <w:r w:rsidRPr="00A23740">
              <w:rPr>
                <w:rStyle w:val="MaviChar"/>
              </w:rPr>
              <w:t>İlam alacaklısının teminat üzerinde rüçhan hakkı vardır.</w:t>
            </w:r>
          </w:p>
          <w:p w:rsidR="00155AF4" w:rsidRPr="00A23740" w:rsidRDefault="00155AF4" w:rsidP="009431FF">
            <w:pPr>
              <w:rPr>
                <w:b/>
                <w:color w:val="0000CC"/>
                <w:szCs w:val="24"/>
              </w:rPr>
            </w:pPr>
          </w:p>
          <w:p w:rsidR="00155AF4" w:rsidRPr="00A23740" w:rsidRDefault="00155AF4" w:rsidP="009431FF">
            <w:pPr>
              <w:pStyle w:val="Mavi"/>
            </w:pPr>
            <w:r w:rsidRPr="00A23740">
              <w:t>(4) Hukuk Muhakemeleri Kanununun 346 ncı ve 366 ncı maddeleri uyarınca icra hukuk mahkemesinin istinaf dilekçesinin reddi veya bölge adliye mahkemesinin temyiz dilekçesinin reddi kararına karşı istinafa veya temyize başvurulması durumunda satış dahil hiçbir icra işlemi durmaz. İstinaf veya temyiz dilekçesinin reddine ilişkin kararın kaldırılarak istinaf veya temyiz incelemesine geçilmesi h</w:t>
            </w:r>
            <w:r w:rsidR="008E00DA" w:rsidRPr="00A23740">
              <w:rPr>
                <w:lang w:val="tr-TR"/>
              </w:rPr>
              <w:t>â</w:t>
            </w:r>
            <w:r w:rsidRPr="00A23740">
              <w:t xml:space="preserve">linde </w:t>
            </w:r>
            <w:r w:rsidRPr="00A23740">
              <w:rPr>
                <w:lang w:val="tr-TR"/>
              </w:rPr>
              <w:t xml:space="preserve">ikinci ve üçüncü fıkra </w:t>
            </w:r>
            <w:r w:rsidRPr="00A23740">
              <w:t>hükümleri uygulanır.</w:t>
            </w:r>
          </w:p>
          <w:p w:rsidR="00155AF4" w:rsidRPr="00A23740" w:rsidRDefault="00155AF4" w:rsidP="009431FF">
            <w:pPr>
              <w:rPr>
                <w:b/>
                <w:color w:val="0000CC"/>
                <w:szCs w:val="24"/>
              </w:rPr>
            </w:pPr>
          </w:p>
          <w:p w:rsidR="00DC4D4F" w:rsidRPr="00A23740" w:rsidRDefault="00DC4D4F" w:rsidP="009431FF">
            <w:pPr>
              <w:rPr>
                <w:b/>
                <w:color w:val="0000CC"/>
                <w:szCs w:val="24"/>
              </w:rPr>
            </w:pPr>
          </w:p>
          <w:p w:rsidR="00DC4D4F" w:rsidRPr="00A23740" w:rsidRDefault="00DC4D4F" w:rsidP="009431FF">
            <w:pPr>
              <w:rPr>
                <w:b/>
                <w:color w:val="0000CC"/>
                <w:szCs w:val="24"/>
              </w:rPr>
            </w:pPr>
          </w:p>
          <w:p w:rsidR="00E4092A" w:rsidRPr="00A23740" w:rsidRDefault="00E4092A" w:rsidP="009431FF">
            <w:pPr>
              <w:rPr>
                <w:b/>
                <w:color w:val="0000CC"/>
                <w:szCs w:val="24"/>
              </w:rPr>
            </w:pPr>
          </w:p>
          <w:p w:rsidR="00E4092A" w:rsidRPr="00A23740" w:rsidRDefault="00E4092A" w:rsidP="009431FF">
            <w:pPr>
              <w:rPr>
                <w:b/>
                <w:color w:val="0000CC"/>
                <w:szCs w:val="24"/>
              </w:rPr>
            </w:pPr>
          </w:p>
          <w:p w:rsidR="00E4092A" w:rsidRPr="00A23740" w:rsidRDefault="00E4092A" w:rsidP="009431FF">
            <w:pPr>
              <w:rPr>
                <w:b/>
                <w:color w:val="0000CC"/>
                <w:szCs w:val="24"/>
              </w:rPr>
            </w:pPr>
          </w:p>
          <w:p w:rsidR="00DC4D4F" w:rsidRDefault="00DC4D4F" w:rsidP="009431FF">
            <w:pPr>
              <w:rPr>
                <w:b/>
                <w:color w:val="0000CC"/>
                <w:szCs w:val="24"/>
              </w:rPr>
            </w:pPr>
          </w:p>
          <w:p w:rsidR="0017570C" w:rsidRPr="00A23740" w:rsidRDefault="0017570C" w:rsidP="009431FF">
            <w:pPr>
              <w:rPr>
                <w:b/>
                <w:color w:val="0000CC"/>
                <w:szCs w:val="24"/>
              </w:rPr>
            </w:pPr>
          </w:p>
          <w:p w:rsidR="00155AF4" w:rsidRPr="00A23740" w:rsidRDefault="00155AF4" w:rsidP="009431FF">
            <w:pPr>
              <w:rPr>
                <w:rFonts w:eastAsia="Times New Roman"/>
                <w:szCs w:val="24"/>
                <w:lang w:eastAsia="tr-TR"/>
              </w:rPr>
            </w:pPr>
            <w:r w:rsidRPr="00A23740">
              <w:rPr>
                <w:rStyle w:val="MaviChar"/>
              </w:rPr>
              <w:lastRenderedPageBreak/>
              <w:t>(5) Bölge adliye mahkemesinin kaldırma, düzelterek veya yeniden esas hakkında vereceği karar ile Yargıtayın bozma kararının takibe etkisi konusunda</w:t>
            </w:r>
            <w:r w:rsidRPr="00A23740">
              <w:rPr>
                <w:b/>
                <w:bCs/>
                <w:color w:val="0000FF"/>
                <w:szCs w:val="24"/>
                <w:lang w:eastAsia="x-none"/>
              </w:rPr>
              <w:t xml:space="preserve"> 60 ıncı </w:t>
            </w:r>
            <w:r w:rsidRPr="00A23740">
              <w:rPr>
                <w:rFonts w:eastAsia="Times New Roman"/>
                <w:szCs w:val="24"/>
                <w:lang w:eastAsia="tr-TR"/>
              </w:rPr>
              <w:t xml:space="preserve"> madde hükmü </w:t>
            </w:r>
            <w:r w:rsidR="007C4E36" w:rsidRPr="002B26FC">
              <w:rPr>
                <w:rStyle w:val="MaviChar"/>
              </w:rPr>
              <w:t>kıyasen</w:t>
            </w:r>
            <w:r w:rsidR="007C4E36" w:rsidRPr="00A23740">
              <w:rPr>
                <w:rFonts w:eastAsia="Times New Roman"/>
                <w:color w:val="385623"/>
                <w:szCs w:val="24"/>
                <w:lang w:eastAsia="tr-TR"/>
              </w:rPr>
              <w:t xml:space="preserve"> </w:t>
            </w:r>
            <w:r w:rsidRPr="00A23740">
              <w:rPr>
                <w:rFonts w:eastAsia="Times New Roman"/>
                <w:szCs w:val="24"/>
                <w:lang w:eastAsia="tr-TR"/>
              </w:rPr>
              <w:t>uygulanır.</w:t>
            </w:r>
          </w:p>
          <w:p w:rsidR="00155AF4" w:rsidRPr="00A23740" w:rsidRDefault="00155AF4" w:rsidP="009431FF">
            <w:pPr>
              <w:rPr>
                <w:rFonts w:eastAsia="Times New Roman"/>
                <w:szCs w:val="24"/>
                <w:lang w:eastAsia="tr-TR"/>
              </w:rPr>
            </w:pPr>
          </w:p>
          <w:p w:rsidR="00155AF4" w:rsidRPr="00A23740" w:rsidRDefault="00155AF4" w:rsidP="009431FF">
            <w:pPr>
              <w:rPr>
                <w:rStyle w:val="MaviChar"/>
              </w:rPr>
            </w:pPr>
            <w:r w:rsidRPr="00A23740">
              <w:rPr>
                <w:rStyle w:val="MaviChar"/>
              </w:rPr>
              <w:t xml:space="preserve">(6) Bu </w:t>
            </w:r>
            <w:r w:rsidRPr="00A23740">
              <w:rPr>
                <w:rStyle w:val="MaviChar"/>
                <w:lang w:val="tr-TR"/>
              </w:rPr>
              <w:t>Ayrımda</w:t>
            </w:r>
            <w:r w:rsidRPr="00A23740">
              <w:rPr>
                <w:rStyle w:val="MaviChar"/>
              </w:rPr>
              <w:t xml:space="preserve"> aksine düzenleme olmadıkça Hukuk Muhakemeleri Kanununun kanun yollarına ilişkin hükümleri, parasal sınırlar</w:t>
            </w:r>
            <w:r w:rsidRPr="00A23740">
              <w:rPr>
                <w:rStyle w:val="MaviChar"/>
                <w:lang w:val="tr-TR"/>
              </w:rPr>
              <w:t xml:space="preserve"> </w:t>
            </w:r>
            <w:r w:rsidRPr="00A23740">
              <w:rPr>
                <w:rStyle w:val="MaviChar"/>
              </w:rPr>
              <w:t>ve kanun yollarına başvuru süreleri de dahil olmak üzere, icra hukuk mahkemesi tarafından verilen kararlar hakkında da uygulanır.</w:t>
            </w:r>
          </w:p>
          <w:p w:rsidR="00155AF4" w:rsidRPr="00A23740" w:rsidRDefault="00155AF4" w:rsidP="009431FF">
            <w:pPr>
              <w:rPr>
                <w:b/>
                <w:color w:val="FF0000"/>
                <w:szCs w:val="24"/>
              </w:rPr>
            </w:pPr>
          </w:p>
        </w:tc>
      </w:tr>
      <w:tr w:rsidR="00155AF4" w:rsidRPr="00A23740" w:rsidTr="009431FF">
        <w:tc>
          <w:tcPr>
            <w:tcW w:w="5000" w:type="pct"/>
            <w:gridSpan w:val="2"/>
            <w:shd w:val="clear" w:color="auto" w:fill="DEEAF6"/>
          </w:tcPr>
          <w:p w:rsidR="00A21CE2" w:rsidRPr="00A23740" w:rsidRDefault="00A21CE2" w:rsidP="009431FF">
            <w:pPr>
              <w:ind w:firstLine="567"/>
            </w:pPr>
          </w:p>
          <w:p w:rsidR="00AF6393" w:rsidRPr="00A23740" w:rsidRDefault="00B145C7" w:rsidP="009431FF">
            <w:pPr>
              <w:ind w:firstLine="567"/>
              <w:rPr>
                <w:lang w:eastAsia="x-none"/>
              </w:rPr>
            </w:pPr>
            <w:r w:rsidRPr="00A23740">
              <w:rPr>
                <w:b/>
              </w:rPr>
              <w:t>MADDE 35</w:t>
            </w:r>
            <w:r w:rsidR="00155AF4" w:rsidRPr="00A23740">
              <w:rPr>
                <w:b/>
              </w:rPr>
              <w:t>-</w:t>
            </w:r>
            <w:r w:rsidR="00155AF4" w:rsidRPr="00A23740">
              <w:t xml:space="preserve"> </w:t>
            </w:r>
            <w:r w:rsidR="00AF6393" w:rsidRPr="00A23740">
              <w:rPr>
                <w:lang w:eastAsia="x-none"/>
              </w:rPr>
              <w:t>Madde</w:t>
            </w:r>
            <w:r w:rsidR="00DA1E7E" w:rsidRPr="00A23740">
              <w:rPr>
                <w:lang w:eastAsia="x-none"/>
              </w:rPr>
              <w:t>de</w:t>
            </w:r>
            <w:r w:rsidR="00AF6393" w:rsidRPr="00A23740">
              <w:rPr>
                <w:lang w:eastAsia="x-none"/>
              </w:rPr>
              <w:t xml:space="preserve">, istinaf ve temyiz kanun yolu bakımından </w:t>
            </w:r>
            <w:r w:rsidR="008E211A" w:rsidRPr="002144D4">
              <w:rPr>
                <w:lang w:eastAsia="x-none"/>
              </w:rPr>
              <w:t>müşterek</w:t>
            </w:r>
            <w:r w:rsidR="008E211A" w:rsidRPr="00A23740">
              <w:rPr>
                <w:lang w:eastAsia="x-none"/>
              </w:rPr>
              <w:t xml:space="preserve"> </w:t>
            </w:r>
            <w:r w:rsidR="00AF6393" w:rsidRPr="00A23740">
              <w:rPr>
                <w:lang w:eastAsia="x-none"/>
              </w:rPr>
              <w:t>hükümler</w:t>
            </w:r>
            <w:r w:rsidR="00DA1E7E" w:rsidRPr="00A23740">
              <w:rPr>
                <w:lang w:eastAsia="x-none"/>
              </w:rPr>
              <w:t>e yer verilmiştir</w:t>
            </w:r>
            <w:r w:rsidR="00AF6393" w:rsidRPr="00A23740">
              <w:rPr>
                <w:lang w:eastAsia="x-none"/>
              </w:rPr>
              <w:t xml:space="preserve">.  </w:t>
            </w:r>
          </w:p>
          <w:p w:rsidR="002E5EF9" w:rsidRPr="00A23740" w:rsidRDefault="00AF6393" w:rsidP="009431FF">
            <w:pPr>
              <w:ind w:firstLine="567"/>
            </w:pPr>
            <w:r w:rsidRPr="00A23740">
              <w:t>Birinci fıkrayla, kanun yoluna başvurulan kararların, bölge adliye mahkemesi ve Yargıtay tarafından ivedilikle inceleneceği ve karar</w:t>
            </w:r>
            <w:r w:rsidR="00DA1E7E" w:rsidRPr="00A23740">
              <w:t>a</w:t>
            </w:r>
            <w:r w:rsidRPr="00A23740">
              <w:t xml:space="preserve"> </w:t>
            </w:r>
            <w:r w:rsidR="00DA1E7E" w:rsidRPr="00A23740">
              <w:t>bağlanacağı düzenlenmektedir</w:t>
            </w:r>
            <w:r w:rsidRPr="00A23740">
              <w:t>. Bu hüküm, 2004 sayılı Kanunun 366 ncı maddesinin birinci fıkrasına karşılık gelmektedir.</w:t>
            </w:r>
          </w:p>
          <w:p w:rsidR="002E5EF9" w:rsidRPr="00A23740" w:rsidRDefault="00AF6393" w:rsidP="009431FF">
            <w:pPr>
              <w:ind w:firstLine="567"/>
              <w:rPr>
                <w:lang w:eastAsia="x-none"/>
              </w:rPr>
            </w:pPr>
            <w:r w:rsidRPr="00A23740">
              <w:t xml:space="preserve">İkinci fıkrayla, istinaf yoluna başvurunun icraya etkisi düzenlenmektedir. Hükme göre istinaf yoluna başvuru, satıştan başka icra işlemlerini durdurmaz. </w:t>
            </w:r>
            <w:r w:rsidR="002E5EF9" w:rsidRPr="00A23740">
              <w:t xml:space="preserve">Ancak </w:t>
            </w:r>
            <w:r w:rsidR="00F97B3E" w:rsidRPr="00A23740">
              <w:rPr>
                <w:lang w:eastAsia="x-none"/>
              </w:rPr>
              <w:t xml:space="preserve">2004 sayılı Kanunun 363 üncü maddesinin dördüncü fıkrasından farklı </w:t>
            </w:r>
            <w:r w:rsidR="003D380F" w:rsidRPr="00A23740">
              <w:rPr>
                <w:lang w:eastAsia="x-none"/>
              </w:rPr>
              <w:t>olarak bölge adliye mahkemesi hukuk dairesince talep üzerine</w:t>
            </w:r>
            <w:r w:rsidR="00F97B3E" w:rsidRPr="00A23740">
              <w:rPr>
                <w:lang w:eastAsia="x-none"/>
              </w:rPr>
              <w:t xml:space="preserve"> teminat karşılığında veya teminatsız olarak satışın yapılmasına da karar verilebilir. </w:t>
            </w:r>
            <w:r w:rsidR="002E5EF9" w:rsidRPr="00A23740">
              <w:rPr>
                <w:lang w:eastAsia="x-none"/>
              </w:rPr>
              <w:t>B</w:t>
            </w:r>
            <w:r w:rsidR="00F97B3E" w:rsidRPr="00A23740">
              <w:rPr>
                <w:lang w:eastAsia="x-none"/>
              </w:rPr>
              <w:t xml:space="preserve">u teminat nakit veya banka teminat mektubu olabilir. </w:t>
            </w:r>
            <w:r w:rsidR="003D380F" w:rsidRPr="00A23740">
              <w:rPr>
                <w:lang w:eastAsia="x-none"/>
              </w:rPr>
              <w:t>K</w:t>
            </w:r>
            <w:r w:rsidR="00F97B3E" w:rsidRPr="00A23740">
              <w:rPr>
                <w:lang w:eastAsia="x-none"/>
              </w:rPr>
              <w:t>ural istinaf başvurusunun satıştan başka işlemleri durdurmaması</w:t>
            </w:r>
            <w:r w:rsidR="003D380F" w:rsidRPr="00A23740">
              <w:rPr>
                <w:lang w:eastAsia="x-none"/>
              </w:rPr>
              <w:t xml:space="preserve"> olmakla birlikte fıkrada</w:t>
            </w:r>
            <w:r w:rsidR="00A47D78" w:rsidRPr="00A23740">
              <w:rPr>
                <w:lang w:eastAsia="x-none"/>
              </w:rPr>
              <w:t>,</w:t>
            </w:r>
            <w:r w:rsidR="003D380F" w:rsidRPr="00A23740">
              <w:rPr>
                <w:lang w:eastAsia="x-none"/>
              </w:rPr>
              <w:t xml:space="preserve"> kuralın bir istisnasına yer verilmektedir. Buna göre mahkeme </w:t>
            </w:r>
            <w:r w:rsidR="00F97B3E" w:rsidRPr="00A23740">
              <w:rPr>
                <w:lang w:eastAsia="x-none"/>
              </w:rPr>
              <w:t>teminat karşılığı veya teminatsız olarak satıştan başka işlemler</w:t>
            </w:r>
            <w:r w:rsidR="00A47D78" w:rsidRPr="00A23740">
              <w:rPr>
                <w:lang w:eastAsia="x-none"/>
              </w:rPr>
              <w:t>in</w:t>
            </w:r>
            <w:r w:rsidR="00F97B3E" w:rsidRPr="00A23740">
              <w:rPr>
                <w:lang w:eastAsia="x-none"/>
              </w:rPr>
              <w:t xml:space="preserve"> durdurulmasına hükmedebilir. Fıkranın son cümlesinde de istinaf edilen kararın bulunduğu dosyanın tamamının bölge adliye mahkemesine gönderilmesinin </w:t>
            </w:r>
            <w:r w:rsidR="003D380F" w:rsidRPr="00A23740">
              <w:rPr>
                <w:lang w:eastAsia="x-none"/>
              </w:rPr>
              <w:t>yol açacağı</w:t>
            </w:r>
            <w:r w:rsidR="00F97B3E" w:rsidRPr="00A23740">
              <w:rPr>
                <w:lang w:eastAsia="x-none"/>
              </w:rPr>
              <w:t xml:space="preserve"> sorunların önüne geçmek </w:t>
            </w:r>
            <w:r w:rsidR="003D380F" w:rsidRPr="00A23740">
              <w:rPr>
                <w:lang w:eastAsia="x-none"/>
              </w:rPr>
              <w:t>amacıyla</w:t>
            </w:r>
            <w:r w:rsidR="00F97B3E" w:rsidRPr="00A23740">
              <w:rPr>
                <w:lang w:eastAsia="x-none"/>
              </w:rPr>
              <w:t xml:space="preserve"> icranın devamı için gereken evrakın alıkonularak, bunların bir örneğinin bölge adliye mahkemesine gönderileceği hususu düzenlenmektedir. </w:t>
            </w:r>
            <w:r w:rsidR="002E5EF9" w:rsidRPr="00A23740">
              <w:t>Bu hüküm, 2004 sayılı Kanunun 364 üncü maddesinin dördüncü fıkrasına karşılık gelmektedir.</w:t>
            </w:r>
          </w:p>
          <w:p w:rsidR="00F97B3E" w:rsidRPr="00A23740" w:rsidRDefault="00F97B3E" w:rsidP="009431FF">
            <w:pPr>
              <w:ind w:firstLine="567"/>
            </w:pPr>
            <w:r w:rsidRPr="00A23740">
              <w:rPr>
                <w:lang w:eastAsia="x-none"/>
              </w:rPr>
              <w:t xml:space="preserve">Üçüncü fıkrayla, temyiz </w:t>
            </w:r>
            <w:r w:rsidR="00DA1E7E" w:rsidRPr="00A23740">
              <w:rPr>
                <w:lang w:eastAsia="x-none"/>
              </w:rPr>
              <w:t xml:space="preserve">kanun </w:t>
            </w:r>
            <w:r w:rsidRPr="00A23740">
              <w:rPr>
                <w:lang w:eastAsia="x-none"/>
              </w:rPr>
              <w:t xml:space="preserve">yoluna başvurunun icraya etkisi düzenlenmektedir. Hükümle, temyiz </w:t>
            </w:r>
            <w:r w:rsidR="00DA1E7E" w:rsidRPr="00A23740">
              <w:rPr>
                <w:lang w:eastAsia="x-none"/>
              </w:rPr>
              <w:t xml:space="preserve">kanun </w:t>
            </w:r>
            <w:r w:rsidRPr="00A23740">
              <w:rPr>
                <w:lang w:eastAsia="x-none"/>
              </w:rPr>
              <w:t>yoluna başvurunun satışı durdurmaması kuralı benimsenmektedir. Kural her ne kadar temyizin satışı durdurmaması ise de</w:t>
            </w:r>
            <w:r w:rsidR="00DA1E7E" w:rsidRPr="00A23740">
              <w:rPr>
                <w:lang w:eastAsia="x-none"/>
              </w:rPr>
              <w:t>,</w:t>
            </w:r>
            <w:r w:rsidRPr="00A23740">
              <w:rPr>
                <w:lang w:eastAsia="x-none"/>
              </w:rPr>
              <w:t xml:space="preserve"> talep üzerine satış durdurulabilir. Elbette bu talebin temyiz süresi içinde yapılması gerekir. Satışın durması için takip konusu alacağın yüzde on beşi oranında nakit</w:t>
            </w:r>
            <w:r w:rsidR="002E5EF9" w:rsidRPr="00A23740">
              <w:rPr>
                <w:lang w:eastAsia="x-none"/>
              </w:rPr>
              <w:t xml:space="preserve"> yatır</w:t>
            </w:r>
            <w:r w:rsidR="00DA1E7E" w:rsidRPr="00A23740">
              <w:rPr>
                <w:lang w:eastAsia="x-none"/>
              </w:rPr>
              <w:t>ıl</w:t>
            </w:r>
            <w:r w:rsidR="002E5EF9" w:rsidRPr="00A23740">
              <w:rPr>
                <w:lang w:eastAsia="x-none"/>
              </w:rPr>
              <w:t>ması</w:t>
            </w:r>
            <w:r w:rsidRPr="00A23740">
              <w:rPr>
                <w:lang w:eastAsia="x-none"/>
              </w:rPr>
              <w:t xml:space="preserve"> veya</w:t>
            </w:r>
            <w:r w:rsidR="002E5EF9" w:rsidRPr="00A23740">
              <w:rPr>
                <w:lang w:eastAsia="x-none"/>
              </w:rPr>
              <w:t xml:space="preserve"> bunun</w:t>
            </w:r>
            <w:r w:rsidRPr="00A23740">
              <w:rPr>
                <w:lang w:eastAsia="x-none"/>
              </w:rPr>
              <w:t xml:space="preserve"> karşılığı </w:t>
            </w:r>
            <w:r w:rsidR="002E5EF9" w:rsidRPr="00A23740">
              <w:rPr>
                <w:lang w:eastAsia="x-none"/>
              </w:rPr>
              <w:t xml:space="preserve">banka </w:t>
            </w:r>
            <w:r w:rsidRPr="00A23740">
              <w:rPr>
                <w:lang w:eastAsia="x-none"/>
              </w:rPr>
              <w:t>teminat mektubun</w:t>
            </w:r>
            <w:r w:rsidR="002E5EF9" w:rsidRPr="00A23740">
              <w:rPr>
                <w:lang w:eastAsia="x-none"/>
              </w:rPr>
              <w:t>un teslim edilmesi</w:t>
            </w:r>
            <w:r w:rsidRPr="00A23740">
              <w:rPr>
                <w:lang w:eastAsia="x-none"/>
              </w:rPr>
              <w:t xml:space="preserve"> şarttır. Satışın durması için teminatın icra</w:t>
            </w:r>
            <w:r w:rsidR="00205ACB" w:rsidRPr="00A23740">
              <w:rPr>
                <w:rStyle w:val="YELChar"/>
              </w:rPr>
              <w:t xml:space="preserve"> </w:t>
            </w:r>
            <w:r w:rsidR="00205ACB" w:rsidRPr="002144D4">
              <w:rPr>
                <w:lang w:eastAsia="x-none"/>
              </w:rPr>
              <w:t>ve</w:t>
            </w:r>
            <w:r w:rsidR="00205ACB" w:rsidRPr="002144D4">
              <w:rPr>
                <w:b/>
                <w:lang w:eastAsia="x-none"/>
              </w:rPr>
              <w:t xml:space="preserve"> </w:t>
            </w:r>
            <w:r w:rsidR="00205ACB" w:rsidRPr="002144D4">
              <w:rPr>
                <w:lang w:eastAsia="x-none"/>
              </w:rPr>
              <w:t>iflas</w:t>
            </w:r>
            <w:r w:rsidRPr="00A23740">
              <w:rPr>
                <w:lang w:eastAsia="x-none"/>
              </w:rPr>
              <w:t xml:space="preserve"> dairesine yatırılması gerekmekte olup bunun için bir mahkeme kararına da gerek yoktur. Şayet Yargıtayca karar onanmışsa</w:t>
            </w:r>
            <w:r w:rsidR="00DA1E7E" w:rsidRPr="00A23740">
              <w:rPr>
                <w:lang w:eastAsia="x-none"/>
              </w:rPr>
              <w:t>,</w:t>
            </w:r>
            <w:r w:rsidRPr="00A23740">
              <w:rPr>
                <w:lang w:eastAsia="x-none"/>
              </w:rPr>
              <w:t xml:space="preserve"> alacaklının talebi üzerine başkaca bir işleme veya karara gerek olmaksızın </w:t>
            </w:r>
            <w:r w:rsidR="002E5EF9" w:rsidRPr="00A23740">
              <w:rPr>
                <w:lang w:eastAsia="x-none"/>
              </w:rPr>
              <w:t>teminata konu olan para</w:t>
            </w:r>
            <w:r w:rsidR="00DA1E7E" w:rsidRPr="00A23740">
              <w:rPr>
                <w:lang w:eastAsia="x-none"/>
              </w:rPr>
              <w:t>,</w:t>
            </w:r>
            <w:r w:rsidR="00407F06" w:rsidRPr="00A23740">
              <w:rPr>
                <w:lang w:eastAsia="x-none"/>
              </w:rPr>
              <w:t xml:space="preserve"> şayet teminat mektubu ise mektubun bedeli</w:t>
            </w:r>
            <w:r w:rsidR="002E5EF9" w:rsidRPr="00A23740">
              <w:rPr>
                <w:lang w:eastAsia="x-none"/>
              </w:rPr>
              <w:t xml:space="preserve"> alacaklıya tazminat olarak ödenir, </w:t>
            </w:r>
            <w:r w:rsidRPr="00A23740">
              <w:rPr>
                <w:lang w:eastAsia="x-none"/>
              </w:rPr>
              <w:t>İlam alacaklısının yatırılan teminat üzeri</w:t>
            </w:r>
            <w:r w:rsidR="002E5EF9" w:rsidRPr="00A23740">
              <w:rPr>
                <w:lang w:eastAsia="x-none"/>
              </w:rPr>
              <w:t>nde rüçhan hakkı bulunmaktadır.</w:t>
            </w:r>
            <w:r w:rsidR="00A47D78" w:rsidRPr="00A23740">
              <w:rPr>
                <w:lang w:eastAsia="x-none"/>
              </w:rPr>
              <w:t xml:space="preserve"> </w:t>
            </w:r>
            <w:r w:rsidR="00A47D78" w:rsidRPr="00A23740">
              <w:t>Bu hüküm, 2004 sayılı Kanunun 364 üncü maddesinin üçüncü fıkrasına karşılık gelmektedir.</w:t>
            </w:r>
          </w:p>
          <w:p w:rsidR="007B4C44" w:rsidRPr="00A23740" w:rsidRDefault="00A47D78" w:rsidP="009431FF">
            <w:pPr>
              <w:ind w:firstLine="567"/>
              <w:rPr>
                <w:lang w:eastAsia="x-none"/>
              </w:rPr>
            </w:pPr>
            <w:r w:rsidRPr="00A23740">
              <w:t>Dördüncü fıkrayla,</w:t>
            </w:r>
            <w:r w:rsidR="007B4C44" w:rsidRPr="00A23740">
              <w:t xml:space="preserve"> bir yenilik olarak</w:t>
            </w:r>
            <w:r w:rsidRPr="00A23740">
              <w:t xml:space="preserve"> istinaf veya temyiz dilekçelerinin reddinin icraya etkisi düzenlenmektedir. Hükümle, 6100 sayılı Kanunun</w:t>
            </w:r>
            <w:r w:rsidRPr="00A23740">
              <w:rPr>
                <w:lang w:eastAsia="x-none"/>
              </w:rPr>
              <w:t xml:space="preserve"> 346 ve 366 ncı maddelerine atıf yapılarak, kanuni sürenin geçmesi, kesin olan karara karşı kanun yoluna başvurulması gibi h</w:t>
            </w:r>
            <w:r w:rsidR="00C219C2" w:rsidRPr="00A23740">
              <w:rPr>
                <w:lang w:eastAsia="x-none"/>
              </w:rPr>
              <w:t>â</w:t>
            </w:r>
            <w:r w:rsidRPr="00A23740">
              <w:rPr>
                <w:lang w:eastAsia="x-none"/>
              </w:rPr>
              <w:t xml:space="preserve">llerde </w:t>
            </w:r>
            <w:r w:rsidRPr="00A23740">
              <w:rPr>
                <w:lang w:eastAsia="x-none"/>
              </w:rPr>
              <w:lastRenderedPageBreak/>
              <w:t>istinaf veya temyiz yoluna başvurulmuş olmasının satışı durdurmayacağı kabul edilmektedir. Bu şekilde kötüniyetli kanun yolu başvuruları</w:t>
            </w:r>
            <w:r w:rsidR="007B4C44" w:rsidRPr="00A23740">
              <w:rPr>
                <w:lang w:eastAsia="x-none"/>
              </w:rPr>
              <w:t>nın</w:t>
            </w:r>
            <w:r w:rsidRPr="00A23740">
              <w:rPr>
                <w:lang w:eastAsia="x-none"/>
              </w:rPr>
              <w:t>, satış dahil hiçbir icra işlemini durdurmayacağı benimsenmektedir. Şayet kanun yoluna başvuran borçlunun haklı olduğu ortaya çıkarsa, başka bir ifadeyle aslında süresinde ve kanun yoluna başvurusu mümkün bir karar olduğu mahkemece tespit edilirse, bu durumda maddenin ikinci ve üçüncü fıkra</w:t>
            </w:r>
            <w:r w:rsidR="00DA1E7E" w:rsidRPr="00A23740">
              <w:rPr>
                <w:lang w:eastAsia="x-none"/>
              </w:rPr>
              <w:t>ları</w:t>
            </w:r>
            <w:r w:rsidRPr="00A23740">
              <w:rPr>
                <w:lang w:eastAsia="x-none"/>
              </w:rPr>
              <w:t xml:space="preserve"> hükümleri uygulanır.</w:t>
            </w:r>
          </w:p>
          <w:p w:rsidR="007B4C44" w:rsidRPr="00A23740" w:rsidRDefault="007B4C44" w:rsidP="009431FF">
            <w:pPr>
              <w:ind w:firstLine="567"/>
            </w:pPr>
            <w:r w:rsidRPr="00A23740">
              <w:rPr>
                <w:lang w:eastAsia="x-none"/>
              </w:rPr>
              <w:t>Beşinci fıkrayla, istinaf ve temyiz kanun yolunda verilen kararların takibe etkisi düzenlenmektedir. Hükme göre, bölge adliye mahkemesinin kaldırma, düzelterek veya yeniden esas hakkında vereceği karar ile Yargıtayın bozma kararının takibe etkisi konusunda</w:t>
            </w:r>
            <w:r w:rsidR="00163E5A" w:rsidRPr="00A23740">
              <w:rPr>
                <w:lang w:eastAsia="x-none"/>
              </w:rPr>
              <w:t xml:space="preserve"> Taslağın</w:t>
            </w:r>
            <w:r w:rsidRPr="00A23740">
              <w:rPr>
                <w:lang w:eastAsia="x-none"/>
              </w:rPr>
              <w:t xml:space="preserve"> 60 ıncı maddesi kıyasen uygulanır. </w:t>
            </w:r>
            <w:r w:rsidRPr="00A23740">
              <w:t>Bu hüküm, 2004 sayılı Kanunun 366 ncı maddesinin dördüncü fıkrasına karşılık gelmektedir.</w:t>
            </w:r>
          </w:p>
          <w:p w:rsidR="007B4C44" w:rsidRPr="00A23740" w:rsidRDefault="007B4C44" w:rsidP="009431FF">
            <w:pPr>
              <w:ind w:firstLine="567"/>
              <w:rPr>
                <w:lang w:eastAsia="x-none"/>
              </w:rPr>
            </w:pPr>
            <w:r w:rsidRPr="00A23740">
              <w:t xml:space="preserve">Altıncı fıkrayla, </w:t>
            </w:r>
            <w:r w:rsidR="00927F30" w:rsidRPr="00A23740">
              <w:t xml:space="preserve">icra hukuk mahkemesi tarafından verilen kararlar hakkında kanun yolları bakımından </w:t>
            </w:r>
            <w:r w:rsidRPr="00A23740">
              <w:t xml:space="preserve">uygulanacak </w:t>
            </w:r>
            <w:r w:rsidR="00DA1E7E" w:rsidRPr="00A23740">
              <w:t xml:space="preserve">kurallar </w:t>
            </w:r>
            <w:r w:rsidRPr="00A23740">
              <w:t xml:space="preserve">belirlenmektedir. Hükme göre, </w:t>
            </w:r>
            <w:r w:rsidRPr="00A23740">
              <w:rPr>
                <w:lang w:eastAsia="x-none"/>
              </w:rPr>
              <w:t xml:space="preserve">bu Ayrımda </w:t>
            </w:r>
            <w:r w:rsidR="00927F30" w:rsidRPr="00A23740">
              <w:rPr>
                <w:lang w:eastAsia="x-none"/>
              </w:rPr>
              <w:t>aksine bir düzenlemenin bulunmaması h</w:t>
            </w:r>
            <w:r w:rsidR="008E00DA" w:rsidRPr="00A23740">
              <w:rPr>
                <w:lang w:eastAsia="x-none"/>
              </w:rPr>
              <w:t>â</w:t>
            </w:r>
            <w:r w:rsidR="00927F30" w:rsidRPr="00A23740">
              <w:rPr>
                <w:lang w:eastAsia="x-none"/>
              </w:rPr>
              <w:t>linde</w:t>
            </w:r>
            <w:r w:rsidRPr="00A23740">
              <w:rPr>
                <w:lang w:eastAsia="x-none"/>
              </w:rPr>
              <w:t xml:space="preserve"> 6100 sayılı Kanunun kanun yollarına ilişkin hükümleri, parasal sınırlar ve kanun yollarına başvuru süreleri de dahil olmak üzere, icra hukuk mahkemesi tarafından verilen kararlar hakkında da uygulanır.</w:t>
            </w:r>
            <w:r w:rsidR="00927F30" w:rsidRPr="00A23740">
              <w:rPr>
                <w:lang w:eastAsia="x-none"/>
              </w:rPr>
              <w:t xml:space="preserve"> Bu fıkrayla,</w:t>
            </w:r>
            <w:r w:rsidRPr="00A23740">
              <w:rPr>
                <w:lang w:eastAsia="x-none"/>
              </w:rPr>
              <w:t xml:space="preserve"> kanun yolları bakımından 2004 sayılı Kanun ile 6100 sayılı Kanun arasındaki önemli far</w:t>
            </w:r>
            <w:r w:rsidR="00927F30" w:rsidRPr="00A23740">
              <w:rPr>
                <w:lang w:eastAsia="x-none"/>
              </w:rPr>
              <w:t>klılıklar ortadan kaldırılmaktadır.</w:t>
            </w:r>
          </w:p>
          <w:p w:rsidR="0009480A" w:rsidRPr="00A23740" w:rsidRDefault="0009480A" w:rsidP="009431FF">
            <w:pPr>
              <w:ind w:firstLine="567"/>
              <w:rPr>
                <w:lang w:eastAsia="x-none"/>
              </w:rPr>
            </w:pPr>
            <w:r w:rsidRPr="00A23740">
              <w:rPr>
                <w:lang w:eastAsia="x-none"/>
              </w:rPr>
              <w:t>Bu kapsamda 2004 sayılı Kanunun 363 üncü maddesinin ikinci ve üçüncü fıkraları ile 364 üncü madd</w:t>
            </w:r>
            <w:r w:rsidR="00163E5A" w:rsidRPr="00A23740">
              <w:rPr>
                <w:lang w:eastAsia="x-none"/>
              </w:rPr>
              <w:t>esinin üçüncü fıkrasına Taslakta</w:t>
            </w:r>
            <w:r w:rsidRPr="00A23740">
              <w:rPr>
                <w:lang w:eastAsia="x-none"/>
              </w:rPr>
              <w:t xml:space="preserve"> yer verilmemektedir. </w:t>
            </w:r>
          </w:p>
          <w:p w:rsidR="004656F0" w:rsidRPr="00A23740" w:rsidRDefault="006261C3" w:rsidP="009431FF">
            <w:pPr>
              <w:ind w:firstLine="567"/>
            </w:pPr>
            <w:r w:rsidRPr="00A23740">
              <w:rPr>
                <w:lang w:eastAsia="x-none"/>
              </w:rPr>
              <w:t xml:space="preserve">Diğer taraftan, kötüniyetli </w:t>
            </w:r>
            <w:r w:rsidR="00927F30" w:rsidRPr="00A23740">
              <w:rPr>
                <w:lang w:eastAsia="x-none"/>
              </w:rPr>
              <w:t>istinaf başvurularının düzenlendiği 2004 sayılı Kanunun 363 üncü maddesinin ikinci ve üçüncü fıkraları, istinaf ve temyiz kan</w:t>
            </w:r>
            <w:r w:rsidR="004656F0" w:rsidRPr="00A23740">
              <w:rPr>
                <w:lang w:eastAsia="x-none"/>
              </w:rPr>
              <w:t>un yollarına başvuru süreleri, karar özetinin gönderilmesi ve direnme kararıyla ilgili hususların</w:t>
            </w:r>
            <w:r w:rsidR="00927F30" w:rsidRPr="00A23740">
              <w:rPr>
                <w:lang w:eastAsia="x-none"/>
              </w:rPr>
              <w:t xml:space="preserve"> düzenlendiği 2004 sayılı Kanunun 366 ncı maddesinin birinci</w:t>
            </w:r>
            <w:r w:rsidR="004656F0" w:rsidRPr="00A23740">
              <w:rPr>
                <w:lang w:eastAsia="x-none"/>
              </w:rPr>
              <w:t>, ikinci ve üçüncü fıkraları</w:t>
            </w:r>
            <w:r w:rsidR="00927F30" w:rsidRPr="00A23740">
              <w:rPr>
                <w:lang w:eastAsia="x-none"/>
              </w:rPr>
              <w:t>, istinaf dilekçesinin reddinin düzenlendiği 2004 sayılı Kanunun 365 inci maddesi,</w:t>
            </w:r>
            <w:r w:rsidR="004656F0" w:rsidRPr="00A23740">
              <w:rPr>
                <w:lang w:eastAsia="x-none"/>
              </w:rPr>
              <w:t xml:space="preserve"> maddenin altıncı fıkrasındaki atıf nedeni</w:t>
            </w:r>
            <w:r w:rsidRPr="00A23740">
              <w:rPr>
                <w:lang w:eastAsia="x-none"/>
              </w:rPr>
              <w:t xml:space="preserve">yle </w:t>
            </w:r>
            <w:r w:rsidR="00163E5A" w:rsidRPr="00A23740">
              <w:rPr>
                <w:lang w:eastAsia="x-none"/>
              </w:rPr>
              <w:t>Taslakta</w:t>
            </w:r>
            <w:r w:rsidRPr="00A23740">
              <w:rPr>
                <w:lang w:eastAsia="x-none"/>
              </w:rPr>
              <w:t xml:space="preserve"> düzenlenmemektedir. </w:t>
            </w:r>
            <w:r w:rsidRPr="00A23740">
              <w:rPr>
                <w:bCs/>
                <w:szCs w:val="24"/>
              </w:rPr>
              <w:t xml:space="preserve">Ayrıca </w:t>
            </w:r>
            <w:r w:rsidR="004656F0" w:rsidRPr="00A23740">
              <w:rPr>
                <w:bCs/>
                <w:szCs w:val="24"/>
              </w:rPr>
              <w:t xml:space="preserve">2004 sayılı Kanunun 364 üncü maddesinin ikinci fıkrasında düzenlenen </w:t>
            </w:r>
            <w:r w:rsidR="00DA1E7E" w:rsidRPr="00A23740">
              <w:rPr>
                <w:bCs/>
                <w:szCs w:val="24"/>
              </w:rPr>
              <w:t xml:space="preserve">ve </w:t>
            </w:r>
            <w:r w:rsidR="004656F0" w:rsidRPr="00A23740">
              <w:rPr>
                <w:bCs/>
                <w:szCs w:val="24"/>
              </w:rPr>
              <w:t>temyiz yoluna başvuru ve inceleme</w:t>
            </w:r>
            <w:r w:rsidR="00DA1E7E" w:rsidRPr="00A23740">
              <w:rPr>
                <w:bCs/>
                <w:szCs w:val="24"/>
              </w:rPr>
              <w:t xml:space="preserve">ye ilişkin olan  hükme, </w:t>
            </w:r>
            <w:r w:rsidR="00163E5A" w:rsidRPr="00A23740">
              <w:rPr>
                <w:bCs/>
                <w:szCs w:val="24"/>
              </w:rPr>
              <w:t>Taslağın</w:t>
            </w:r>
            <w:r w:rsidR="004656F0" w:rsidRPr="00A23740">
              <w:rPr>
                <w:bCs/>
                <w:szCs w:val="24"/>
              </w:rPr>
              <w:t xml:space="preserve"> </w:t>
            </w:r>
            <w:r w:rsidR="008E00DA" w:rsidRPr="002144D4">
              <w:rPr>
                <w:lang w:eastAsia="x-none"/>
              </w:rPr>
              <w:t>35</w:t>
            </w:r>
            <w:r w:rsidR="008E00DA" w:rsidRPr="00A23740">
              <w:rPr>
                <w:rStyle w:val="KonuBalChar"/>
                <w:rFonts w:eastAsia="Calibri"/>
              </w:rPr>
              <w:t xml:space="preserve"> </w:t>
            </w:r>
            <w:r w:rsidR="008E00DA" w:rsidRPr="002144D4">
              <w:rPr>
                <w:lang w:eastAsia="x-none"/>
              </w:rPr>
              <w:t>inci</w:t>
            </w:r>
            <w:r w:rsidR="008E00DA" w:rsidRPr="00A23740">
              <w:t xml:space="preserve"> </w:t>
            </w:r>
            <w:r w:rsidR="004656F0" w:rsidRPr="00A23740">
              <w:t>maddesininin altıncı fıkrasında 6100 sayılı Kanuna genel olarak atıf yapıldığın</w:t>
            </w:r>
            <w:r w:rsidR="00E12B2E" w:rsidRPr="00A23740">
              <w:t xml:space="preserve">dan maddede </w:t>
            </w:r>
            <w:r w:rsidR="00DA1E7E" w:rsidRPr="00A23740">
              <w:t>yer verilmemiştir</w:t>
            </w:r>
            <w:r w:rsidR="00E12B2E" w:rsidRPr="00A23740">
              <w:t>.</w:t>
            </w:r>
            <w:r w:rsidR="004656F0" w:rsidRPr="00A23740">
              <w:t xml:space="preserve"> Ayrıca 2004 sayılı Kanunun 364 üncü maddesinin üçüncü fıkrasında </w:t>
            </w:r>
            <w:r w:rsidR="00DA1E7E" w:rsidRPr="00A23740">
              <w:t xml:space="preserve"> düzenlenip </w:t>
            </w:r>
            <w:r w:rsidR="004656F0" w:rsidRPr="00A23740">
              <w:t>temyiz yoluna başvurunun icraya olan etkisi</w:t>
            </w:r>
            <w:r w:rsidR="00DA1E7E" w:rsidRPr="00A23740">
              <w:t xml:space="preserve"> hakkındaki hükme, bu konu </w:t>
            </w:r>
            <w:r w:rsidR="004656F0" w:rsidRPr="00A23740">
              <w:t xml:space="preserve"> </w:t>
            </w:r>
            <w:r w:rsidR="00163E5A" w:rsidRPr="00A23740">
              <w:t>Taslağın</w:t>
            </w:r>
            <w:r w:rsidR="004656F0" w:rsidRPr="00A23740">
              <w:t xml:space="preserve"> </w:t>
            </w:r>
            <w:r w:rsidR="008E00DA" w:rsidRPr="002144D4">
              <w:rPr>
                <w:lang w:eastAsia="x-none"/>
              </w:rPr>
              <w:t>35</w:t>
            </w:r>
            <w:r w:rsidR="008E00DA" w:rsidRPr="00A23740">
              <w:rPr>
                <w:rStyle w:val="KonuBalChar"/>
                <w:rFonts w:eastAsia="Calibri"/>
              </w:rPr>
              <w:t xml:space="preserve"> </w:t>
            </w:r>
            <w:r w:rsidR="008E00DA" w:rsidRPr="002144D4">
              <w:rPr>
                <w:lang w:eastAsia="x-none"/>
              </w:rPr>
              <w:t>inci</w:t>
            </w:r>
            <w:r w:rsidR="004656F0" w:rsidRPr="00A23740">
              <w:t xml:space="preserve"> maddesinin üçüncü fıkrasında düzenlendiğinden maddede yer </w:t>
            </w:r>
            <w:r w:rsidR="00DA1E7E" w:rsidRPr="00A23740">
              <w:t>verilmemiştir</w:t>
            </w:r>
            <w:r w:rsidR="004656F0" w:rsidRPr="00A23740">
              <w:t>.</w:t>
            </w:r>
          </w:p>
          <w:p w:rsidR="00407F06" w:rsidRPr="00A23740" w:rsidRDefault="00407F06" w:rsidP="009431FF">
            <w:pPr>
              <w:ind w:firstLine="567"/>
              <w:rPr>
                <w:lang w:eastAsia="x-none"/>
              </w:rPr>
            </w:pPr>
            <w:r w:rsidRPr="00A23740">
              <w:t>Madde kapsamında kanun yoluna başvurunun icraya olan etkisi bakımından borçlunun yaptığı başvurular hakkında düzenlemeler getirilmiş olup, alacaklının kanun yoluna başvurusunun icraya olan etkisi hakkında herhangi bir hüküm getirilmemiş; meselenin h</w:t>
            </w:r>
            <w:r w:rsidR="008E00DA" w:rsidRPr="00A23740">
              <w:t>â</w:t>
            </w:r>
            <w:r w:rsidRPr="00A23740">
              <w:t>lli, bilimsel ve yargısal içtihatlara bırakılmıştır.</w:t>
            </w:r>
          </w:p>
          <w:p w:rsidR="00B857A2" w:rsidRPr="00A23740" w:rsidRDefault="00B857A2" w:rsidP="009431FF">
            <w:pPr>
              <w:ind w:firstLine="567"/>
              <w:rPr>
                <w:b/>
                <w:lang w:eastAsia="x-none"/>
              </w:rPr>
            </w:pPr>
          </w:p>
        </w:tc>
      </w:tr>
      <w:tr w:rsidR="00155AF4" w:rsidRPr="00A23740" w:rsidTr="009431FF">
        <w:trPr>
          <w:trHeight w:val="1078"/>
        </w:trPr>
        <w:tc>
          <w:tcPr>
            <w:tcW w:w="2500" w:type="pct"/>
            <w:shd w:val="clear" w:color="auto" w:fill="auto"/>
          </w:tcPr>
          <w:p w:rsidR="00E4092A" w:rsidRPr="00A23740" w:rsidRDefault="00E4092A" w:rsidP="009431FF">
            <w:pPr>
              <w:rPr>
                <w:rFonts w:eastAsia="Times New Roman"/>
                <w:i/>
                <w:szCs w:val="24"/>
                <w:lang w:eastAsia="tr-TR"/>
              </w:rPr>
            </w:pPr>
          </w:p>
          <w:p w:rsidR="00155AF4" w:rsidRPr="00A23740" w:rsidRDefault="00155AF4" w:rsidP="009431FF">
            <w:pPr>
              <w:rPr>
                <w:rFonts w:eastAsia="Times New Roman"/>
                <w:szCs w:val="24"/>
                <w:lang w:eastAsia="tr-TR"/>
              </w:rPr>
            </w:pPr>
            <w:r w:rsidRPr="00A23740">
              <w:rPr>
                <w:rFonts w:eastAsia="Times New Roman"/>
                <w:b/>
                <w:strike/>
                <w:color w:val="FF0000"/>
                <w:szCs w:val="24"/>
                <w:lang w:eastAsia="tr-TR"/>
              </w:rPr>
              <w:t>İstinaf yoluna başvurma ve incelenmesi</w:t>
            </w:r>
          </w:p>
          <w:p w:rsidR="00155AF4" w:rsidRPr="00A23740" w:rsidRDefault="00155AF4" w:rsidP="009431FF">
            <w:pPr>
              <w:rPr>
                <w:rFonts w:eastAsia="Times New Roman"/>
                <w:szCs w:val="24"/>
                <w:lang w:eastAsia="tr-TR"/>
              </w:rPr>
            </w:pPr>
            <w:r w:rsidRPr="00A23740">
              <w:rPr>
                <w:rFonts w:eastAsia="Times New Roman"/>
                <w:b/>
                <w:bCs/>
                <w:strike/>
                <w:color w:val="FF0000"/>
                <w:szCs w:val="24"/>
                <w:lang w:eastAsia="tr-TR"/>
              </w:rPr>
              <w:t>Madde 363-</w:t>
            </w:r>
          </w:p>
          <w:p w:rsidR="002836F7" w:rsidRPr="00A23740" w:rsidRDefault="002836F7" w:rsidP="009431FF">
            <w:pPr>
              <w:rPr>
                <w:rFonts w:eastAsia="Times New Roman"/>
                <w:b/>
                <w:strike/>
                <w:color w:val="FF0000"/>
                <w:szCs w:val="24"/>
                <w:lang w:eastAsia="tr-TR"/>
              </w:rPr>
            </w:pPr>
          </w:p>
          <w:p w:rsidR="00E4092A" w:rsidRPr="00A23740" w:rsidRDefault="00E4092A" w:rsidP="009431FF">
            <w:pPr>
              <w:rPr>
                <w:rFonts w:eastAsia="Times New Roman"/>
                <w:b/>
                <w:strike/>
                <w:color w:val="FF0000"/>
                <w:szCs w:val="24"/>
                <w:lang w:eastAsia="tr-TR"/>
              </w:rPr>
            </w:pPr>
          </w:p>
          <w:p w:rsidR="00E4092A" w:rsidRPr="00A23740" w:rsidRDefault="00E4092A" w:rsidP="009431FF">
            <w:pPr>
              <w:rPr>
                <w:rFonts w:eastAsia="Times New Roman"/>
                <w:b/>
                <w:strike/>
                <w:color w:val="FF0000"/>
                <w:szCs w:val="24"/>
                <w:lang w:eastAsia="tr-TR"/>
              </w:rPr>
            </w:pPr>
          </w:p>
          <w:p w:rsidR="00E4092A" w:rsidRPr="00A23740" w:rsidRDefault="00E4092A" w:rsidP="009431FF">
            <w:pPr>
              <w:rPr>
                <w:rFonts w:eastAsia="Times New Roman"/>
                <w:b/>
                <w:strike/>
                <w:color w:val="FF0000"/>
                <w:szCs w:val="24"/>
                <w:lang w:eastAsia="tr-TR"/>
              </w:rPr>
            </w:pPr>
          </w:p>
          <w:p w:rsidR="00E4092A" w:rsidRPr="00A23740" w:rsidRDefault="00E4092A" w:rsidP="009431FF">
            <w:pPr>
              <w:rPr>
                <w:rFonts w:eastAsia="Times New Roman"/>
                <w:b/>
                <w:strike/>
                <w:color w:val="FF0000"/>
                <w:szCs w:val="24"/>
                <w:lang w:eastAsia="tr-TR"/>
              </w:rPr>
            </w:pPr>
          </w:p>
          <w:p w:rsidR="00B857A2"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(1) iflâs idaresinin oluşturulması, icra mahkemesinin iflâs idaresinin işlemleri hakkında şikâyet üzerine verdiği kararlara karşı, iflâs idare memurunun ücret ve masrafla</w:t>
            </w:r>
            <w:r w:rsidR="00C3685D" w:rsidRPr="00A23740">
              <w:rPr>
                <w:rFonts w:eastAsia="Times New Roman"/>
                <w:b/>
                <w:strike/>
                <w:color w:val="FF0000"/>
                <w:szCs w:val="24"/>
                <w:lang w:eastAsia="tr-TR"/>
              </w:rPr>
              <w:t>rı hakkındaki hesap pusulası …</w:t>
            </w:r>
          </w:p>
          <w:p w:rsidR="00B857A2" w:rsidRPr="00A23740" w:rsidRDefault="00B857A2" w:rsidP="009431FF">
            <w:pPr>
              <w:rPr>
                <w:rFonts w:eastAsia="Times New Roman"/>
                <w:b/>
                <w:strike/>
                <w:color w:val="FF0000"/>
                <w:szCs w:val="24"/>
                <w:lang w:eastAsia="tr-TR"/>
              </w:rPr>
            </w:pPr>
          </w:p>
        </w:tc>
        <w:tc>
          <w:tcPr>
            <w:tcW w:w="2500" w:type="pct"/>
            <w:shd w:val="clear" w:color="auto" w:fill="auto"/>
          </w:tcPr>
          <w:p w:rsidR="00155AF4" w:rsidRPr="00A23740" w:rsidRDefault="00155AF4" w:rsidP="009431FF">
            <w:pPr>
              <w:pStyle w:val="Balk5"/>
              <w:rPr>
                <w:szCs w:val="24"/>
                <w:lang w:val="tr-TR"/>
              </w:rPr>
            </w:pPr>
            <w:r w:rsidRPr="00A23740">
              <w:rPr>
                <w:szCs w:val="24"/>
                <w:lang w:val="tr-TR"/>
              </w:rPr>
              <w:lastRenderedPageBreak/>
              <w:t>İKİNCİ ALT AYRIM</w:t>
            </w:r>
          </w:p>
          <w:p w:rsidR="00155AF4" w:rsidRPr="00A23740" w:rsidRDefault="00155AF4" w:rsidP="009431FF">
            <w:pPr>
              <w:pStyle w:val="Balk5"/>
              <w:rPr>
                <w:szCs w:val="24"/>
                <w:lang w:val="tr-TR"/>
              </w:rPr>
            </w:pPr>
            <w:r w:rsidRPr="00A23740">
              <w:rPr>
                <w:szCs w:val="24"/>
                <w:lang w:val="tr-TR"/>
              </w:rPr>
              <w:t xml:space="preserve">İflas Mahkemesi </w:t>
            </w:r>
            <w:r w:rsidR="00CF6A2E" w:rsidRPr="00A23740">
              <w:rPr>
                <w:szCs w:val="24"/>
                <w:lang w:val="tr-TR"/>
              </w:rPr>
              <w:t xml:space="preserve">ile Diğer Mahkemelerin </w:t>
            </w:r>
            <w:r w:rsidRPr="00A23740">
              <w:rPr>
                <w:szCs w:val="24"/>
                <w:lang w:val="tr-TR"/>
              </w:rPr>
              <w:t>Kararlarına Karşı Kanun Yolları</w:t>
            </w:r>
          </w:p>
          <w:p w:rsidR="00155AF4" w:rsidRPr="00A23740" w:rsidRDefault="00155AF4" w:rsidP="009431FF">
            <w:pPr>
              <w:contextualSpacing/>
              <w:rPr>
                <w:b/>
                <w:bCs/>
                <w:color w:val="0000FF"/>
                <w:szCs w:val="24"/>
                <w:lang w:eastAsia="x-none"/>
              </w:rPr>
            </w:pPr>
          </w:p>
          <w:p w:rsidR="00155AF4" w:rsidRPr="00A23740" w:rsidRDefault="00155AF4" w:rsidP="009431FF">
            <w:pPr>
              <w:pStyle w:val="Mavi"/>
            </w:pPr>
            <w:r w:rsidRPr="00A23740">
              <w:t>İflas mahkemesi kararları</w:t>
            </w:r>
          </w:p>
          <w:p w:rsidR="00247612" w:rsidRPr="00A23740" w:rsidRDefault="0059245E" w:rsidP="009431FF">
            <w:pPr>
              <w:pStyle w:val="Mavi"/>
            </w:pPr>
            <w:r w:rsidRPr="00A23740">
              <w:lastRenderedPageBreak/>
              <w:t>MADDE 36</w:t>
            </w:r>
            <w:r w:rsidR="00155AF4" w:rsidRPr="00A23740">
              <w:t>- (1) Bu Ayrımdaki hükümler, iflas mahkemesinin şik</w:t>
            </w:r>
            <w:r w:rsidR="008E00DA" w:rsidRPr="00A23740">
              <w:rPr>
                <w:lang w:val="tr-TR"/>
              </w:rPr>
              <w:t>â</w:t>
            </w:r>
            <w:r w:rsidR="00155AF4" w:rsidRPr="00A23740">
              <w:t xml:space="preserve">yet üzerine verdiği </w:t>
            </w:r>
            <w:r w:rsidR="00E8442A" w:rsidRPr="002144D4">
              <w:t>kararlar</w:t>
            </w:r>
            <w:r w:rsidR="00E8442A" w:rsidRPr="00A23740">
              <w:rPr>
                <w:color w:val="70AD47"/>
              </w:rPr>
              <w:t xml:space="preserve"> </w:t>
            </w:r>
            <w:r w:rsidR="00155AF4" w:rsidRPr="00A23740">
              <w:t xml:space="preserve">hakkında da uygulanır. </w:t>
            </w:r>
          </w:p>
          <w:p w:rsidR="005A276F" w:rsidRPr="00A23740" w:rsidRDefault="005A276F" w:rsidP="009431FF">
            <w:pPr>
              <w:pStyle w:val="Mavi"/>
            </w:pPr>
          </w:p>
          <w:p w:rsidR="00155AF4" w:rsidRPr="00A23740" w:rsidRDefault="00247612" w:rsidP="009431FF">
            <w:pPr>
              <w:pStyle w:val="Mavi"/>
            </w:pPr>
            <w:r w:rsidRPr="00A23740">
              <w:rPr>
                <w:lang w:val="tr-TR"/>
              </w:rPr>
              <w:t>(2) İ</w:t>
            </w:r>
            <w:r w:rsidR="0044247D" w:rsidRPr="00A23740">
              <w:t>fla</w:t>
            </w:r>
            <w:r w:rsidRPr="00A23740">
              <w:t xml:space="preserve">s </w:t>
            </w:r>
            <w:r w:rsidR="00155AF4" w:rsidRPr="00A23740">
              <w:t xml:space="preserve">mahkemesinin </w:t>
            </w:r>
            <w:r w:rsidR="00F63DC8" w:rsidRPr="00A23740">
              <w:rPr>
                <w:lang w:val="tr-TR"/>
              </w:rPr>
              <w:t xml:space="preserve">kanunda kesin olarak verileceği belirtilen kararları ile </w:t>
            </w:r>
            <w:r w:rsidR="00155AF4" w:rsidRPr="00A23740">
              <w:t>iflas bürosunun işlemlerine, birinci alacaklılar toplantısının kararlarına, iflas id</w:t>
            </w:r>
            <w:r w:rsidR="0044247D" w:rsidRPr="00A23740">
              <w:t>aresinin oluşturulmasına ve ifl</w:t>
            </w:r>
            <w:r w:rsidR="0044247D" w:rsidRPr="00A23740">
              <w:rPr>
                <w:lang w:val="tr-TR"/>
              </w:rPr>
              <w:t>a</w:t>
            </w:r>
            <w:r w:rsidR="00155AF4" w:rsidRPr="00A23740">
              <w:t xml:space="preserve">s idare memurunun ücret ve </w:t>
            </w:r>
            <w:r w:rsidR="00155AF4" w:rsidRPr="00A23740">
              <w:rPr>
                <w:lang w:val="tr-TR"/>
              </w:rPr>
              <w:t>giderlerine</w:t>
            </w:r>
            <w:r w:rsidR="00155AF4" w:rsidRPr="00A23740">
              <w:t xml:space="preserve"> ilişkin şikâyetler hakkında verdiği kararlara karşı kanun yoluna başvurulamaz.</w:t>
            </w:r>
          </w:p>
          <w:p w:rsidR="00155AF4" w:rsidRPr="00A23740" w:rsidRDefault="00155AF4" w:rsidP="009431FF">
            <w:pPr>
              <w:rPr>
                <w:b/>
                <w:bCs/>
                <w:color w:val="0000FF"/>
                <w:szCs w:val="24"/>
                <w:lang w:eastAsia="x-none"/>
              </w:rPr>
            </w:pPr>
          </w:p>
          <w:p w:rsidR="00B857A2" w:rsidRPr="00A23740" w:rsidRDefault="002679F9" w:rsidP="009431FF">
            <w:pPr>
              <w:pStyle w:val="Mavi"/>
            </w:pPr>
            <w:r w:rsidRPr="00A23740">
              <w:t>(3</w:t>
            </w:r>
            <w:r w:rsidR="00155AF4" w:rsidRPr="00A23740">
              <w:t>) İflas mahkemesinin diğer kararları hakkında</w:t>
            </w:r>
            <w:r w:rsidR="00155AF4" w:rsidRPr="00A23740">
              <w:rPr>
                <w:lang w:val="tr-TR"/>
              </w:rPr>
              <w:t>,</w:t>
            </w:r>
            <w:r w:rsidR="00155AF4" w:rsidRPr="00A23740">
              <w:t xml:space="preserve"> Hukuk Muhakemeleri Kanununun kanun yollarına ilişkin hükümleri uygulanır.</w:t>
            </w:r>
          </w:p>
          <w:p w:rsidR="001369EE" w:rsidRPr="00A23740" w:rsidRDefault="001369EE" w:rsidP="009431FF">
            <w:pPr>
              <w:pStyle w:val="Mavi"/>
            </w:pPr>
          </w:p>
        </w:tc>
      </w:tr>
      <w:tr w:rsidR="002D2959" w:rsidRPr="00A23740" w:rsidTr="009431FF">
        <w:tc>
          <w:tcPr>
            <w:tcW w:w="5000" w:type="pct"/>
            <w:gridSpan w:val="2"/>
            <w:shd w:val="clear" w:color="auto" w:fill="DEEAF6"/>
          </w:tcPr>
          <w:p w:rsidR="002D2959" w:rsidRPr="00A23740" w:rsidRDefault="002D2959" w:rsidP="009431FF">
            <w:pPr>
              <w:ind w:firstLine="567"/>
            </w:pPr>
          </w:p>
          <w:p w:rsidR="002D2959" w:rsidRPr="00A23740" w:rsidRDefault="0044247D" w:rsidP="009431FF">
            <w:pPr>
              <w:ind w:firstLine="567"/>
            </w:pPr>
            <w:r w:rsidRPr="00A23740">
              <w:rPr>
                <w:b/>
              </w:rPr>
              <w:t>MADDE 36</w:t>
            </w:r>
            <w:r w:rsidR="002D2959" w:rsidRPr="00A23740">
              <w:rPr>
                <w:b/>
              </w:rPr>
              <w:t>-</w:t>
            </w:r>
            <w:r w:rsidR="002D2959" w:rsidRPr="00A23740">
              <w:t xml:space="preserve"> </w:t>
            </w:r>
            <w:r w:rsidR="002D2959" w:rsidRPr="00A23740">
              <w:rPr>
                <w:lang w:eastAsia="x-none"/>
              </w:rPr>
              <w:t>Madde</w:t>
            </w:r>
            <w:r w:rsidR="00977871" w:rsidRPr="00A23740">
              <w:rPr>
                <w:lang w:eastAsia="x-none"/>
              </w:rPr>
              <w:t>de</w:t>
            </w:r>
            <w:r w:rsidR="002D2959" w:rsidRPr="00A23740">
              <w:rPr>
                <w:lang w:eastAsia="x-none"/>
              </w:rPr>
              <w:t>, iflas mahkemesi kararlarına karşı kanun yollarına başvurulmasına ilişkin hükümler düzenlenmektedir.</w:t>
            </w:r>
          </w:p>
          <w:p w:rsidR="00023AF8" w:rsidRPr="00A23740" w:rsidRDefault="002D2959" w:rsidP="009431FF">
            <w:pPr>
              <w:ind w:firstLine="567"/>
            </w:pPr>
            <w:r w:rsidRPr="00A23740">
              <w:t>Birinci fıkrayla, iflas mahkemesinin şik</w:t>
            </w:r>
            <w:r w:rsidR="008E00DA" w:rsidRPr="00A23740">
              <w:t>â</w:t>
            </w:r>
            <w:r w:rsidRPr="00A23740">
              <w:t xml:space="preserve">yet üzerine verdiği kararlar hakkında uygulanacak hükümler. </w:t>
            </w:r>
            <w:r w:rsidR="00163E5A" w:rsidRPr="00A23740">
              <w:t>Taslakla</w:t>
            </w:r>
            <w:r w:rsidRPr="00A23740">
              <w:t xml:space="preserve"> iflas mahkemeleri, 2004 sayılı Kanundan farklı olarak iflas</w:t>
            </w:r>
            <w:r w:rsidR="009A1870" w:rsidRPr="00A23740">
              <w:t xml:space="preserve"> tasfiyesinin tipik ve a</w:t>
            </w:r>
            <w:r w:rsidRPr="00A23740">
              <w:t>tipik organlarının</w:t>
            </w:r>
            <w:r w:rsidR="0044247D" w:rsidRPr="00A23740">
              <w:t xml:space="preserve"> eylem ve kararlarına karşı şikâ</w:t>
            </w:r>
            <w:r w:rsidRPr="00A23740">
              <w:t>yet merci</w:t>
            </w:r>
            <w:r w:rsidR="00977871" w:rsidRPr="00A23740">
              <w:t>i</w:t>
            </w:r>
            <w:r w:rsidRPr="00A23740">
              <w:t xml:space="preserve"> olarak</w:t>
            </w:r>
            <w:r w:rsidR="00977871" w:rsidRPr="00A23740">
              <w:t xml:space="preserve"> düzenlenmiştir</w:t>
            </w:r>
            <w:r w:rsidRPr="00A23740">
              <w:t>. Kural olarak</w:t>
            </w:r>
            <w:r w:rsidR="0044247D" w:rsidRPr="00A23740">
              <w:t xml:space="preserve"> iflas mahkemesinin şikâ</w:t>
            </w:r>
            <w:r w:rsidRPr="00A23740">
              <w:t xml:space="preserve">yet incelemesi sonucunda verdiği kararlara karşı bu </w:t>
            </w:r>
            <w:r w:rsidR="00977871" w:rsidRPr="00A23740">
              <w:t>A</w:t>
            </w:r>
            <w:r w:rsidRPr="00A23740">
              <w:t xml:space="preserve">yrım kapsamında kanun yoluna başvurulabileceği kabul edilmektedir. </w:t>
            </w:r>
          </w:p>
          <w:p w:rsidR="002D2959" w:rsidRPr="00A23740" w:rsidRDefault="00023AF8" w:rsidP="009431FF">
            <w:pPr>
              <w:ind w:firstLine="567"/>
              <w:rPr>
                <w:szCs w:val="24"/>
                <w:lang w:eastAsia="x-none"/>
              </w:rPr>
            </w:pPr>
            <w:r w:rsidRPr="00A23740">
              <w:t xml:space="preserve">İkinci fıkrayla, </w:t>
            </w:r>
            <w:r w:rsidR="004C3D4B" w:rsidRPr="00A23740">
              <w:t xml:space="preserve">iflas mahkemesinin bazı konularda verdiği kararlara karşı kanun yoluna başvurulamayacağı düzenlenmektedir. </w:t>
            </w:r>
            <w:r w:rsidR="002D2959" w:rsidRPr="00A23740">
              <w:t xml:space="preserve">Bu kapsamda, </w:t>
            </w:r>
            <w:r w:rsidR="00F63DC8" w:rsidRPr="00A23740">
              <w:t xml:space="preserve">kanunda kesin olarak verileceği belirtilen kararlar ile </w:t>
            </w:r>
            <w:r w:rsidR="002D2959" w:rsidRPr="00A23740">
              <w:t>iflas bürosunun işlemlerine, birinci alacaklılar toplantısının kararlarına, iflas id</w:t>
            </w:r>
            <w:r w:rsidR="0044247D" w:rsidRPr="00A23740">
              <w:t>aresinin oluşturulmasına ve ifla</w:t>
            </w:r>
            <w:r w:rsidR="002D2959" w:rsidRPr="00A23740">
              <w:t>s idare memurunun ücret ve giderlerine ilişkin şikâyetler hakkında iflas mahkemesinin verdiği kararlara karşı kanun yoluna başvurulamayacaktır. Fıkra</w:t>
            </w:r>
            <w:r w:rsidR="0044247D" w:rsidRPr="00A23740">
              <w:t>,</w:t>
            </w:r>
            <w:r w:rsidR="002D2959" w:rsidRPr="00A23740">
              <w:t xml:space="preserve"> 2004 sayılı Kanunun 363 üncü maddesinin birinci fıkrasına kısmen karşılık gelmektedir.</w:t>
            </w:r>
          </w:p>
          <w:p w:rsidR="002D2959" w:rsidRPr="00A23740" w:rsidRDefault="00F63DC8" w:rsidP="009431FF">
            <w:pPr>
              <w:tabs>
                <w:tab w:val="left" w:pos="567"/>
              </w:tabs>
              <w:ind w:firstLine="567"/>
              <w:rPr>
                <w:szCs w:val="24"/>
                <w:lang w:eastAsia="x-none"/>
              </w:rPr>
            </w:pPr>
            <w:r w:rsidRPr="00A23740">
              <w:rPr>
                <w:szCs w:val="24"/>
                <w:lang w:eastAsia="x-none"/>
              </w:rPr>
              <w:t>Üçüncü</w:t>
            </w:r>
            <w:r w:rsidR="002D2959" w:rsidRPr="00A23740">
              <w:rPr>
                <w:szCs w:val="24"/>
                <w:lang w:eastAsia="x-none"/>
              </w:rPr>
              <w:t xml:space="preserve"> fıkrayla, iflas mahkemesinin </w:t>
            </w:r>
            <w:r w:rsidR="00805E08" w:rsidRPr="00A23740">
              <w:rPr>
                <w:szCs w:val="24"/>
                <w:lang w:eastAsia="x-none"/>
              </w:rPr>
              <w:t xml:space="preserve">diğer </w:t>
            </w:r>
            <w:r w:rsidR="002D2959" w:rsidRPr="00A23740">
              <w:rPr>
                <w:szCs w:val="24"/>
                <w:lang w:eastAsia="x-none"/>
              </w:rPr>
              <w:t>kararlarına karşı 6100 sayılı Kanunda öngörülen koşullarda kanun yoluna ilişkin hükümlerinin uygulanacağı açıkça düzenlenmektedir.</w:t>
            </w:r>
          </w:p>
          <w:p w:rsidR="008E00DA" w:rsidRPr="00A23740" w:rsidRDefault="008E00DA" w:rsidP="009431FF">
            <w:pPr>
              <w:tabs>
                <w:tab w:val="left" w:pos="567"/>
              </w:tabs>
              <w:ind w:firstLine="567"/>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jc w:val="center"/>
              <w:rPr>
                <w:lang w:val="tr-TR"/>
              </w:rPr>
            </w:pPr>
          </w:p>
        </w:tc>
        <w:tc>
          <w:tcPr>
            <w:tcW w:w="2500" w:type="pct"/>
          </w:tcPr>
          <w:p w:rsidR="00155AF4" w:rsidRPr="00A23740" w:rsidRDefault="00155AF4" w:rsidP="009431FF">
            <w:pPr>
              <w:pStyle w:val="Mavi"/>
            </w:pPr>
            <w:r w:rsidRPr="00A23740">
              <w:t>Diğer mahkeme kararları</w:t>
            </w:r>
          </w:p>
          <w:p w:rsidR="00155AF4" w:rsidRPr="00A23740" w:rsidRDefault="0059245E" w:rsidP="009431FF">
            <w:pPr>
              <w:pStyle w:val="Mavi"/>
            </w:pPr>
            <w:r w:rsidRPr="00A23740">
              <w:t>MADDE 37</w:t>
            </w:r>
            <w:r w:rsidR="00155AF4" w:rsidRPr="00A23740">
              <w:t>- (1) İcra</w:t>
            </w:r>
            <w:r w:rsidR="00155AF4" w:rsidRPr="00A23740">
              <w:rPr>
                <w:lang w:val="tr-TR"/>
              </w:rPr>
              <w:t xml:space="preserve"> </w:t>
            </w:r>
            <w:r w:rsidR="00155AF4" w:rsidRPr="00A23740">
              <w:t>hukuk mahkemesi ve iflas mahkemesi dışında kalan mahkemelerin bu Kanun uyarınca vermiş olduğu kararları hakkında, Hukuk Muhakemeleri Kanununun kanun yollarına ilişkin hükümleri uygulanır.</w:t>
            </w:r>
          </w:p>
          <w:p w:rsidR="00155AF4" w:rsidRPr="00A23740" w:rsidRDefault="00155AF4" w:rsidP="009431FF">
            <w:pPr>
              <w:pStyle w:val="Mavi"/>
              <w:rPr>
                <w:lang w:val="tr-TR"/>
              </w:rPr>
            </w:pPr>
          </w:p>
        </w:tc>
      </w:tr>
      <w:tr w:rsidR="002D2959" w:rsidRPr="00A23740" w:rsidTr="009431FF">
        <w:tc>
          <w:tcPr>
            <w:tcW w:w="5000" w:type="pct"/>
            <w:gridSpan w:val="2"/>
            <w:shd w:val="clear" w:color="auto" w:fill="DEEAF6"/>
          </w:tcPr>
          <w:p w:rsidR="002D2959" w:rsidRPr="00A23740" w:rsidRDefault="002D2959" w:rsidP="009431FF">
            <w:pPr>
              <w:ind w:firstLine="567"/>
            </w:pPr>
          </w:p>
          <w:p w:rsidR="002D2959" w:rsidRPr="00A23740" w:rsidRDefault="0044247D" w:rsidP="009431FF">
            <w:pPr>
              <w:ind w:firstLine="567"/>
              <w:rPr>
                <w:b/>
              </w:rPr>
            </w:pPr>
            <w:r w:rsidRPr="00A23740">
              <w:rPr>
                <w:b/>
              </w:rPr>
              <w:t>MADDE 37</w:t>
            </w:r>
            <w:r w:rsidR="002D2959" w:rsidRPr="00A23740">
              <w:rPr>
                <w:b/>
              </w:rPr>
              <w:t xml:space="preserve">- </w:t>
            </w:r>
            <w:r w:rsidR="002D2959" w:rsidRPr="00A23740">
              <w:rPr>
                <w:lang w:eastAsia="x-none"/>
              </w:rPr>
              <w:t xml:space="preserve">Maddeyle, </w:t>
            </w:r>
            <w:r w:rsidR="002426F7" w:rsidRPr="00A23740">
              <w:rPr>
                <w:lang w:eastAsia="x-none"/>
              </w:rPr>
              <w:t xml:space="preserve">diğer mahkemelerin </w:t>
            </w:r>
            <w:r w:rsidR="002D2959" w:rsidRPr="00A23740">
              <w:rPr>
                <w:lang w:eastAsia="x-none"/>
              </w:rPr>
              <w:t>kararlarına karşı kanun yollarına başvurulmasına ilişkin hükümler düzenlenmektedir.</w:t>
            </w:r>
          </w:p>
          <w:p w:rsidR="002D2959" w:rsidRPr="00A23740" w:rsidRDefault="00977871" w:rsidP="009431FF">
            <w:pPr>
              <w:ind w:firstLine="567"/>
              <w:rPr>
                <w:szCs w:val="24"/>
                <w:lang w:eastAsia="x-none"/>
              </w:rPr>
            </w:pPr>
            <w:r w:rsidRPr="00A23740">
              <w:rPr>
                <w:lang w:eastAsia="x-none"/>
              </w:rPr>
              <w:t>İ</w:t>
            </w:r>
            <w:r w:rsidR="002D2959" w:rsidRPr="00A23740">
              <w:rPr>
                <w:lang w:eastAsia="x-none"/>
              </w:rPr>
              <w:t>cra hukuk mahkemesi ve iflas mahkemesi dışında adli yargıda başkaca mahkemelerin Cebr</w:t>
            </w:r>
            <w:r w:rsidR="009A1870" w:rsidRPr="00A23740">
              <w:rPr>
                <w:lang w:eastAsia="x-none"/>
              </w:rPr>
              <w:t>î</w:t>
            </w:r>
            <w:r w:rsidR="002D2959" w:rsidRPr="00A23740">
              <w:rPr>
                <w:lang w:eastAsia="x-none"/>
              </w:rPr>
              <w:t xml:space="preserve"> İcra Kanunu hükümleri uyarınca karar verebilmesi mümkündür. Örneğin cüzi icrada sıra cetveline itiraz davalarında görevli mahkeme asliye hukuk mahkemesidir. Bu gibi h</w:t>
            </w:r>
            <w:r w:rsidR="00C219C2" w:rsidRPr="00A23740">
              <w:rPr>
                <w:lang w:eastAsia="x-none"/>
              </w:rPr>
              <w:t>â</w:t>
            </w:r>
            <w:r w:rsidR="002D2959" w:rsidRPr="00A23740">
              <w:rPr>
                <w:lang w:eastAsia="x-none"/>
              </w:rPr>
              <w:t xml:space="preserve">llerde mahkemenin verdiği karar </w:t>
            </w:r>
            <w:r w:rsidR="00484AE5" w:rsidRPr="00A23740">
              <w:rPr>
                <w:lang w:eastAsia="x-none"/>
              </w:rPr>
              <w:t>6100 sayılı</w:t>
            </w:r>
            <w:r w:rsidR="00DB332D" w:rsidRPr="00A23740">
              <w:rPr>
                <w:lang w:eastAsia="x-none"/>
              </w:rPr>
              <w:t xml:space="preserve"> </w:t>
            </w:r>
            <w:r w:rsidR="00DB332D" w:rsidRPr="002144D4">
              <w:rPr>
                <w:lang w:eastAsia="x-none"/>
              </w:rPr>
              <w:t>Kanun</w:t>
            </w:r>
            <w:r w:rsidR="00484AE5" w:rsidRPr="00A23740">
              <w:rPr>
                <w:lang w:eastAsia="x-none"/>
              </w:rPr>
              <w:t xml:space="preserve"> </w:t>
            </w:r>
            <w:r w:rsidR="002D2959" w:rsidRPr="00A23740">
              <w:rPr>
                <w:lang w:eastAsia="x-none"/>
              </w:rPr>
              <w:t xml:space="preserve">kapsamında kanun yoluna tabi </w:t>
            </w:r>
            <w:r w:rsidR="00A75B0F" w:rsidRPr="00A23740">
              <w:rPr>
                <w:lang w:eastAsia="x-none"/>
              </w:rPr>
              <w:t>olur.</w:t>
            </w:r>
          </w:p>
          <w:p w:rsidR="0044247D" w:rsidRPr="00A23740" w:rsidRDefault="0044247D" w:rsidP="009431FF">
            <w:pPr>
              <w:tabs>
                <w:tab w:val="left" w:pos="567"/>
              </w:tabs>
              <w:ind w:firstLine="567"/>
              <w:rPr>
                <w:b/>
                <w:szCs w:val="24"/>
                <w:lang w:eastAsia="x-none"/>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widowControl w:val="0"/>
              <w:rPr>
                <w:lang w:val="tr-TR"/>
              </w:rPr>
            </w:pPr>
          </w:p>
          <w:p w:rsidR="00E4092A" w:rsidRPr="00A23740" w:rsidRDefault="00E4092A" w:rsidP="009431FF">
            <w:pPr>
              <w:pStyle w:val="KIRMIZI"/>
              <w:widowControl w:val="0"/>
              <w:jc w:val="center"/>
              <w:rPr>
                <w:lang w:val="tr-TR"/>
              </w:rPr>
            </w:pPr>
          </w:p>
          <w:p w:rsidR="008E0E1F" w:rsidRPr="00A23740" w:rsidRDefault="008E0E1F" w:rsidP="009431FF">
            <w:pPr>
              <w:pStyle w:val="KIRMIZI"/>
              <w:widowControl w:val="0"/>
              <w:rPr>
                <w:lang w:val="tr-TR"/>
              </w:rPr>
            </w:pPr>
          </w:p>
          <w:p w:rsidR="00155AF4" w:rsidRPr="00A23740" w:rsidRDefault="00155AF4" w:rsidP="009431FF">
            <w:pPr>
              <w:pStyle w:val="KIRMIZI"/>
              <w:widowControl w:val="0"/>
              <w:jc w:val="center"/>
              <w:rPr>
                <w:lang w:val="tr-TR"/>
              </w:rPr>
            </w:pPr>
            <w:r w:rsidRPr="00A23740">
              <w:rPr>
                <w:lang w:val="tr-TR"/>
              </w:rPr>
              <w:t>MÜDDETLER</w:t>
            </w:r>
          </w:p>
          <w:p w:rsidR="00155AF4" w:rsidRPr="00A23740" w:rsidRDefault="00155AF4" w:rsidP="009431FF">
            <w:pPr>
              <w:widowControl w:val="0"/>
              <w:tabs>
                <w:tab w:val="left" w:pos="567"/>
              </w:tabs>
              <w:rPr>
                <w:rFonts w:eastAsia="Times New Roman"/>
                <w:b/>
                <w:strike/>
                <w:color w:val="FF0000"/>
                <w:szCs w:val="24"/>
                <w:lang w:eastAsia="tr-TR"/>
              </w:rPr>
            </w:pPr>
            <w:r w:rsidRPr="00A23740">
              <w:rPr>
                <w:rFonts w:eastAsia="Times New Roman"/>
                <w:b/>
                <w:strike/>
                <w:color w:val="FF0000"/>
                <w:szCs w:val="24"/>
                <w:lang w:eastAsia="tr-TR"/>
              </w:rPr>
              <w:t>Başlaması ve bitmesi :</w:t>
            </w:r>
          </w:p>
          <w:p w:rsidR="00E4092A" w:rsidRPr="00A23740" w:rsidRDefault="00E4092A" w:rsidP="009431FF">
            <w:pPr>
              <w:widowControl w:val="0"/>
              <w:tabs>
                <w:tab w:val="left" w:pos="567"/>
              </w:tabs>
              <w:rPr>
                <w:rStyle w:val="KIRMIZIChar"/>
                <w:rFonts w:eastAsia="Calibri"/>
              </w:rPr>
            </w:pPr>
          </w:p>
          <w:p w:rsidR="00E4092A" w:rsidRPr="00A23740" w:rsidRDefault="00E4092A" w:rsidP="009431FF">
            <w:pPr>
              <w:widowControl w:val="0"/>
              <w:tabs>
                <w:tab w:val="left" w:pos="567"/>
              </w:tabs>
              <w:rPr>
                <w:rStyle w:val="KIRMIZIChar"/>
                <w:rFonts w:eastAsia="Calibri"/>
              </w:rPr>
            </w:pPr>
          </w:p>
          <w:p w:rsidR="00E4092A" w:rsidRPr="00A23740" w:rsidRDefault="00E4092A" w:rsidP="009431FF">
            <w:pPr>
              <w:widowControl w:val="0"/>
              <w:tabs>
                <w:tab w:val="left" w:pos="567"/>
              </w:tabs>
              <w:rPr>
                <w:rStyle w:val="KIRMIZIChar"/>
                <w:rFonts w:eastAsia="Calibri"/>
              </w:rPr>
            </w:pPr>
          </w:p>
          <w:p w:rsidR="00E4092A" w:rsidRPr="00A23740" w:rsidRDefault="00E4092A" w:rsidP="009431FF">
            <w:pPr>
              <w:widowControl w:val="0"/>
              <w:tabs>
                <w:tab w:val="left" w:pos="567"/>
              </w:tabs>
              <w:rPr>
                <w:rStyle w:val="KIRMIZIChar"/>
                <w:rFonts w:eastAsia="Calibri"/>
              </w:rPr>
            </w:pPr>
          </w:p>
          <w:p w:rsidR="00E4092A" w:rsidRPr="00A23740" w:rsidRDefault="00E4092A" w:rsidP="009431FF">
            <w:pPr>
              <w:widowControl w:val="0"/>
              <w:tabs>
                <w:tab w:val="left" w:pos="567"/>
              </w:tabs>
              <w:rPr>
                <w:rStyle w:val="KIRMIZIChar"/>
                <w:rFonts w:eastAsia="Calibri"/>
              </w:rPr>
            </w:pPr>
          </w:p>
          <w:p w:rsidR="008E0E1F" w:rsidRPr="00A23740" w:rsidRDefault="008E0E1F" w:rsidP="009431FF">
            <w:pPr>
              <w:widowControl w:val="0"/>
              <w:tabs>
                <w:tab w:val="left" w:pos="567"/>
              </w:tabs>
              <w:rPr>
                <w:rStyle w:val="KIRMIZIChar"/>
                <w:rFonts w:eastAsia="Calibri"/>
              </w:rPr>
            </w:pPr>
          </w:p>
          <w:p w:rsidR="008E0E1F" w:rsidRPr="00A23740" w:rsidRDefault="008E0E1F" w:rsidP="009431FF">
            <w:pPr>
              <w:widowControl w:val="0"/>
              <w:tabs>
                <w:tab w:val="left" w:pos="567"/>
              </w:tabs>
              <w:rPr>
                <w:rStyle w:val="KIRMIZIChar"/>
                <w:rFonts w:eastAsia="Calibri"/>
              </w:rPr>
            </w:pPr>
          </w:p>
          <w:p w:rsidR="00E4092A" w:rsidRPr="00A23740" w:rsidRDefault="00E4092A" w:rsidP="009431FF">
            <w:pPr>
              <w:widowControl w:val="0"/>
              <w:tabs>
                <w:tab w:val="left" w:pos="567"/>
              </w:tabs>
              <w:rPr>
                <w:rStyle w:val="KIRMIZIChar"/>
                <w:rFonts w:eastAsia="Calibri"/>
              </w:rPr>
            </w:pPr>
          </w:p>
          <w:p w:rsidR="00155AF4" w:rsidRPr="00A23740" w:rsidRDefault="00155AF4" w:rsidP="009431FF">
            <w:pPr>
              <w:widowControl w:val="0"/>
              <w:tabs>
                <w:tab w:val="left" w:pos="567"/>
              </w:tabs>
              <w:rPr>
                <w:rFonts w:eastAsia="Times New Roman"/>
                <w:b/>
                <w:szCs w:val="24"/>
                <w:lang w:eastAsia="tr-TR"/>
              </w:rPr>
            </w:pPr>
            <w:r w:rsidRPr="00A23740">
              <w:rPr>
                <w:rStyle w:val="KIRMIZIChar"/>
                <w:rFonts w:eastAsia="Calibri"/>
              </w:rPr>
              <w:t>Madde 19 – (1) (Değişik</w:t>
            </w:r>
            <w:r w:rsidRPr="00A23740">
              <w:rPr>
                <w:rFonts w:eastAsia="Times New Roman"/>
                <w:b/>
                <w:strike/>
                <w:color w:val="FF0000"/>
                <w:szCs w:val="24"/>
                <w:lang w:eastAsia="tr-TR"/>
              </w:rPr>
              <w:t>: 18/2/1965 - 538/12 md.)</w:t>
            </w:r>
            <w:r w:rsidRPr="00A23740">
              <w:rPr>
                <w:rFonts w:eastAsia="Times New Roman"/>
                <w:b/>
                <w:szCs w:val="24"/>
                <w:lang w:eastAsia="tr-TR"/>
              </w:rPr>
              <w:t xml:space="preserve"> </w:t>
            </w:r>
            <w:r w:rsidRPr="00A23740">
              <w:rPr>
                <w:rFonts w:eastAsia="Times New Roman"/>
                <w:szCs w:val="24"/>
                <w:lang w:eastAsia="tr-TR"/>
              </w:rPr>
              <w:t xml:space="preserve">Gün olarak </w:t>
            </w:r>
            <w:r w:rsidRPr="00A23740">
              <w:rPr>
                <w:rFonts w:eastAsia="Times New Roman"/>
                <w:b/>
                <w:strike/>
                <w:color w:val="FF0000"/>
                <w:szCs w:val="24"/>
                <w:lang w:eastAsia="tr-TR"/>
              </w:rPr>
              <w:t>tayin olunan müddetlerde</w:t>
            </w:r>
            <w:r w:rsidRPr="00A23740">
              <w:rPr>
                <w:rFonts w:eastAsia="Times New Roman"/>
                <w:szCs w:val="24"/>
                <w:lang w:eastAsia="tr-TR"/>
              </w:rPr>
              <w:t xml:space="preserve"> ilk gün hesaba katılmaz.</w:t>
            </w:r>
          </w:p>
          <w:p w:rsidR="00155AF4" w:rsidRPr="00A23740" w:rsidRDefault="00155AF4" w:rsidP="009431FF">
            <w:pPr>
              <w:widowControl w:val="0"/>
              <w:tabs>
                <w:tab w:val="left" w:pos="567"/>
              </w:tabs>
              <w:rPr>
                <w:rFonts w:eastAsia="Times New Roman"/>
                <w:szCs w:val="24"/>
                <w:lang w:eastAsia="tr-TR"/>
              </w:rPr>
            </w:pPr>
          </w:p>
          <w:p w:rsidR="00155AF4" w:rsidRPr="00A23740" w:rsidRDefault="00155AF4" w:rsidP="009431FF">
            <w:pPr>
              <w:widowControl w:val="0"/>
              <w:tabs>
                <w:tab w:val="left" w:pos="567"/>
              </w:tabs>
              <w:rPr>
                <w:rFonts w:eastAsia="Times New Roman"/>
                <w:b/>
                <w:strike/>
                <w:color w:val="FF0000"/>
                <w:szCs w:val="24"/>
                <w:lang w:eastAsia="tr-TR"/>
              </w:rPr>
            </w:pPr>
            <w:r w:rsidRPr="00A23740">
              <w:rPr>
                <w:rFonts w:eastAsia="Times New Roman"/>
                <w:b/>
                <w:strike/>
                <w:color w:val="FF0000"/>
                <w:szCs w:val="24"/>
                <w:lang w:eastAsia="tr-TR"/>
              </w:rPr>
              <w:t>(2) Ay veya sene olarak tayin olunan müddetler ayın veya senenin kaçıncı günü işlemeye başlamış ise biteceği ay veya senenin aynı gününde ve müddetin biteceği ayın sonunda böyle bir gün yoksa ayın son gününde biter.</w:t>
            </w:r>
            <w:r w:rsidR="00E976F5" w:rsidRPr="00A23740">
              <w:rPr>
                <w:rFonts w:eastAsia="Times New Roman"/>
                <w:b/>
                <w:strike/>
                <w:color w:val="FF0000"/>
                <w:szCs w:val="24"/>
                <w:lang w:eastAsia="tr-TR"/>
              </w:rPr>
              <w:t xml:space="preserve"> Müddet, hafta olarak belirlenmiş ise başladığı güne son hafta içindeki karşılık gelen günde biter.</w:t>
            </w:r>
          </w:p>
          <w:p w:rsidR="00155AF4" w:rsidRPr="00A23740" w:rsidRDefault="00155AF4" w:rsidP="009431FF">
            <w:pPr>
              <w:widowControl w:val="0"/>
              <w:tabs>
                <w:tab w:val="left" w:pos="567"/>
              </w:tabs>
              <w:rPr>
                <w:rFonts w:eastAsia="Times New Roman"/>
                <w:b/>
                <w:strike/>
                <w:color w:val="FF0000"/>
                <w:szCs w:val="24"/>
                <w:lang w:eastAsia="tr-TR"/>
              </w:rPr>
            </w:pPr>
          </w:p>
          <w:p w:rsidR="00155AF4" w:rsidRPr="00A23740" w:rsidRDefault="00155AF4" w:rsidP="009431FF">
            <w:pPr>
              <w:widowControl w:val="0"/>
              <w:tabs>
                <w:tab w:val="left" w:pos="567"/>
              </w:tabs>
              <w:rPr>
                <w:rFonts w:eastAsia="Times New Roman"/>
                <w:b/>
                <w:strike/>
                <w:color w:val="FF0000"/>
                <w:szCs w:val="24"/>
                <w:lang w:eastAsia="tr-TR"/>
              </w:rPr>
            </w:pPr>
            <w:r w:rsidRPr="00A23740">
              <w:rPr>
                <w:rFonts w:eastAsia="Times New Roman"/>
                <w:b/>
                <w:strike/>
                <w:color w:val="FF0000"/>
                <w:szCs w:val="24"/>
                <w:lang w:eastAsia="tr-TR"/>
              </w:rPr>
              <w:t>(3) Bir müddetin sonuncu günü resmi bir tatil gününe rastlarsa, müddet tatili takibeden günde biter.</w:t>
            </w:r>
          </w:p>
          <w:p w:rsidR="00E976F5" w:rsidRPr="00A23740" w:rsidRDefault="00E976F5" w:rsidP="009431FF">
            <w:pPr>
              <w:widowControl w:val="0"/>
              <w:tabs>
                <w:tab w:val="left" w:pos="567"/>
              </w:tabs>
              <w:rPr>
                <w:rFonts w:eastAsia="Times New Roman"/>
                <w:b/>
                <w:strike/>
                <w:color w:val="FF0000"/>
                <w:szCs w:val="24"/>
                <w:lang w:eastAsia="tr-TR"/>
              </w:rPr>
            </w:pPr>
          </w:p>
          <w:p w:rsidR="00155AF4" w:rsidRPr="00A23740" w:rsidRDefault="00155AF4" w:rsidP="009431FF">
            <w:pPr>
              <w:widowControl w:val="0"/>
              <w:tabs>
                <w:tab w:val="left" w:pos="567"/>
              </w:tabs>
              <w:rPr>
                <w:rFonts w:eastAsia="Times New Roman"/>
                <w:b/>
                <w:strike/>
                <w:color w:val="FF0000"/>
                <w:szCs w:val="24"/>
                <w:lang w:eastAsia="tr-TR"/>
              </w:rPr>
            </w:pPr>
            <w:r w:rsidRPr="00A23740">
              <w:rPr>
                <w:rFonts w:eastAsia="Times New Roman"/>
                <w:b/>
                <w:strike/>
                <w:color w:val="FF0000"/>
                <w:szCs w:val="24"/>
                <w:lang w:eastAsia="tr-TR"/>
              </w:rPr>
              <w:t>(4) Müddet, son günün tatil saatinde bitmiş sayılır.</w:t>
            </w:r>
          </w:p>
          <w:p w:rsidR="00155AF4" w:rsidRPr="00A23740" w:rsidRDefault="00155AF4" w:rsidP="009431FF">
            <w:pPr>
              <w:widowControl w:val="0"/>
              <w:rPr>
                <w:rFonts w:eastAsia="Times New Roman"/>
                <w:b/>
                <w:szCs w:val="24"/>
                <w:lang w:eastAsia="tr-TR"/>
              </w:rPr>
            </w:pPr>
          </w:p>
          <w:p w:rsidR="00155AF4" w:rsidRPr="00A23740" w:rsidRDefault="00155AF4" w:rsidP="009431FF">
            <w:pPr>
              <w:widowControl w:val="0"/>
              <w:tabs>
                <w:tab w:val="left" w:pos="567"/>
              </w:tabs>
              <w:rPr>
                <w:rFonts w:eastAsia="Times New Roman"/>
                <w:b/>
                <w:i/>
                <w:szCs w:val="24"/>
                <w:lang w:eastAsia="tr-TR"/>
              </w:rPr>
            </w:pPr>
            <w:r w:rsidRPr="00A23740">
              <w:rPr>
                <w:rFonts w:eastAsia="Times New Roman"/>
                <w:b/>
                <w:strike/>
                <w:color w:val="FF0000"/>
                <w:szCs w:val="24"/>
                <w:lang w:eastAsia="tr-TR"/>
              </w:rPr>
              <w:t xml:space="preserve">Müddetlerin </w:t>
            </w:r>
            <w:r w:rsidRPr="00A23740">
              <w:rPr>
                <w:rFonts w:eastAsia="Times New Roman"/>
                <w:b/>
                <w:i/>
                <w:szCs w:val="24"/>
                <w:lang w:eastAsia="tr-TR"/>
              </w:rPr>
              <w:t>değiştirilmemesi</w:t>
            </w:r>
            <w:r w:rsidRPr="00A23740">
              <w:rPr>
                <w:rFonts w:eastAsia="Times New Roman"/>
                <w:b/>
                <w:strike/>
                <w:color w:val="FF0000"/>
                <w:szCs w:val="24"/>
                <w:lang w:eastAsia="tr-TR"/>
              </w:rPr>
              <w:t>:</w:t>
            </w:r>
          </w:p>
          <w:p w:rsidR="00155AF4" w:rsidRPr="00A23740" w:rsidRDefault="00155AF4" w:rsidP="009431FF">
            <w:pPr>
              <w:widowControl w:val="0"/>
              <w:tabs>
                <w:tab w:val="left" w:pos="567"/>
              </w:tabs>
              <w:rPr>
                <w:rFonts w:eastAsia="Times New Roman"/>
                <w:szCs w:val="24"/>
                <w:lang w:eastAsia="tr-TR"/>
              </w:rPr>
            </w:pPr>
            <w:r w:rsidRPr="00A23740">
              <w:rPr>
                <w:rStyle w:val="KIRMIZIChar"/>
                <w:rFonts w:eastAsia="Calibri"/>
              </w:rPr>
              <w:t>Madde 20 – (1)</w:t>
            </w:r>
            <w:r w:rsidRPr="00A23740">
              <w:rPr>
                <w:rFonts w:eastAsia="Times New Roman"/>
                <w:b/>
                <w:szCs w:val="24"/>
                <w:lang w:eastAsia="tr-TR"/>
              </w:rPr>
              <w:t xml:space="preserve"> </w:t>
            </w:r>
            <w:r w:rsidRPr="00A23740">
              <w:rPr>
                <w:rFonts w:eastAsia="Times New Roman"/>
                <w:szCs w:val="24"/>
                <w:lang w:eastAsia="tr-TR"/>
              </w:rPr>
              <w:t xml:space="preserve">Bu </w:t>
            </w:r>
            <w:r w:rsidRPr="00A23740">
              <w:rPr>
                <w:rStyle w:val="KIRMIZIChar"/>
                <w:rFonts w:eastAsia="Calibri"/>
              </w:rPr>
              <w:t>k</w:t>
            </w:r>
            <w:r w:rsidRPr="00A23740">
              <w:rPr>
                <w:rFonts w:eastAsia="Times New Roman"/>
                <w:szCs w:val="24"/>
                <w:lang w:eastAsia="tr-TR"/>
              </w:rPr>
              <w:t xml:space="preserve">anunun </w:t>
            </w:r>
            <w:r w:rsidRPr="00A23740">
              <w:rPr>
                <w:rFonts w:eastAsia="Times New Roman"/>
                <w:b/>
                <w:strike/>
                <w:color w:val="FF0000"/>
                <w:szCs w:val="24"/>
                <w:lang w:eastAsia="tr-TR"/>
              </w:rPr>
              <w:t>tayin eylediği müddetleri değiştiren bütün mukaveleler hükümsüzdür</w:t>
            </w:r>
            <w:r w:rsidRPr="00A23740">
              <w:rPr>
                <w:rFonts w:eastAsia="Times New Roman"/>
                <w:szCs w:val="24"/>
                <w:lang w:eastAsia="tr-TR"/>
              </w:rPr>
              <w:t xml:space="preserve">. </w:t>
            </w:r>
            <w:r w:rsidRPr="00A23740">
              <w:rPr>
                <w:rFonts w:eastAsia="Times New Roman"/>
                <w:b/>
                <w:strike/>
                <w:color w:val="FF0000"/>
                <w:szCs w:val="24"/>
                <w:lang w:eastAsia="tr-TR"/>
              </w:rPr>
              <w:t>Ancak</w:t>
            </w:r>
            <w:r w:rsidRPr="00A23740">
              <w:rPr>
                <w:rFonts w:eastAsia="Times New Roman"/>
                <w:szCs w:val="24"/>
                <w:lang w:eastAsia="tr-TR"/>
              </w:rPr>
              <w:t xml:space="preserve"> </w:t>
            </w:r>
            <w:r w:rsidRPr="00A23740">
              <w:rPr>
                <w:rStyle w:val="KIRMIZIChar"/>
                <w:rFonts w:eastAsia="Calibri"/>
              </w:rPr>
              <w:t>her hangi</w:t>
            </w:r>
            <w:r w:rsidRPr="00A23740">
              <w:rPr>
                <w:rStyle w:val="KIRMIZIChar"/>
                <w:rFonts w:eastAsia="Calibri"/>
                <w:strike w:val="0"/>
              </w:rPr>
              <w:t xml:space="preserve"> </w:t>
            </w:r>
            <w:r w:rsidRPr="00A23740">
              <w:rPr>
                <w:rFonts w:eastAsia="Times New Roman"/>
                <w:szCs w:val="24"/>
                <w:lang w:eastAsia="tr-TR"/>
              </w:rPr>
              <w:t xml:space="preserve">bir </w:t>
            </w:r>
            <w:r w:rsidRPr="00A23740">
              <w:rPr>
                <w:rFonts w:eastAsia="Times New Roman"/>
                <w:b/>
                <w:strike/>
                <w:color w:val="FF0000"/>
                <w:szCs w:val="24"/>
                <w:lang w:eastAsia="tr-TR"/>
              </w:rPr>
              <w:t>müddetin</w:t>
            </w:r>
            <w:r w:rsidRPr="00A23740">
              <w:rPr>
                <w:rFonts w:eastAsia="Times New Roman"/>
                <w:szCs w:val="24"/>
                <w:lang w:eastAsia="tr-TR"/>
              </w:rPr>
              <w:t xml:space="preserve"> </w:t>
            </w:r>
            <w:r w:rsidRPr="00A23740">
              <w:rPr>
                <w:rStyle w:val="KIRMIZIChar"/>
                <w:rFonts w:eastAsia="Calibri"/>
              </w:rPr>
              <w:t>geçmesinden</w:t>
            </w:r>
            <w:r w:rsidRPr="00A23740">
              <w:rPr>
                <w:rFonts w:eastAsia="Times New Roman"/>
                <w:szCs w:val="24"/>
                <w:lang w:eastAsia="tr-TR"/>
              </w:rPr>
              <w:t xml:space="preserve"> istifade hakkı </w:t>
            </w:r>
            <w:r w:rsidRPr="00A23740">
              <w:rPr>
                <w:rStyle w:val="KIRMIZIChar"/>
                <w:rFonts w:eastAsia="Calibri"/>
              </w:rPr>
              <w:t>olan</w:t>
            </w:r>
            <w:r w:rsidRPr="00A23740">
              <w:rPr>
                <w:rFonts w:eastAsia="Times New Roman"/>
                <w:szCs w:val="24"/>
                <w:lang w:eastAsia="tr-TR"/>
              </w:rPr>
              <w:t xml:space="preserve"> borçlu bu hakkından vazgeçebilir. Bu vazgeçme üçüncü </w:t>
            </w:r>
            <w:r w:rsidRPr="00A23740">
              <w:rPr>
                <w:rFonts w:eastAsia="Times New Roman"/>
                <w:b/>
                <w:strike/>
                <w:color w:val="FF0000"/>
                <w:szCs w:val="24"/>
                <w:lang w:eastAsia="tr-TR"/>
              </w:rPr>
              <w:t>şahıslara tesir etmez.</w:t>
            </w:r>
          </w:p>
          <w:p w:rsidR="00155AF4" w:rsidRPr="00A23740" w:rsidRDefault="00155AF4" w:rsidP="009431FF">
            <w:pPr>
              <w:pStyle w:val="KIRMIZI"/>
              <w:widowControl w:val="0"/>
              <w:rPr>
                <w:b w:val="0"/>
                <w:lang w:eastAsia="tr-TR"/>
              </w:rPr>
            </w:pPr>
          </w:p>
        </w:tc>
        <w:tc>
          <w:tcPr>
            <w:tcW w:w="2500" w:type="pct"/>
          </w:tcPr>
          <w:p w:rsidR="00155AF4" w:rsidRPr="00A23740" w:rsidRDefault="00B56627" w:rsidP="009431FF">
            <w:pPr>
              <w:pStyle w:val="Balk2"/>
              <w:keepNext w:val="0"/>
              <w:widowControl w:val="0"/>
              <w:rPr>
                <w:lang w:val="tr-TR"/>
              </w:rPr>
            </w:pPr>
            <w:r w:rsidRPr="00A23740">
              <w:rPr>
                <w:rStyle w:val="Balk1Char"/>
                <w:b/>
                <w:lang w:val="tr-TR"/>
              </w:rPr>
              <w:lastRenderedPageBreak/>
              <w:t>ÜÇÜNCÜ</w:t>
            </w:r>
            <w:r w:rsidR="00155AF4" w:rsidRPr="00A23740">
              <w:rPr>
                <w:lang w:val="tr-TR"/>
              </w:rPr>
              <w:t xml:space="preserve"> KISIM</w:t>
            </w:r>
          </w:p>
          <w:p w:rsidR="00155AF4" w:rsidRPr="00A23740" w:rsidRDefault="00155AF4" w:rsidP="009431FF">
            <w:pPr>
              <w:pStyle w:val="Balk3"/>
              <w:keepNext w:val="0"/>
              <w:widowControl w:val="0"/>
              <w:rPr>
                <w:rStyle w:val="Balk1Char"/>
                <w:b/>
                <w:lang w:val="tr-TR"/>
              </w:rPr>
            </w:pPr>
            <w:r w:rsidRPr="00A23740">
              <w:rPr>
                <w:lang w:val="tr-TR"/>
              </w:rPr>
              <w:t xml:space="preserve">Süreler </w:t>
            </w:r>
            <w:r w:rsidRPr="00A23740">
              <w:rPr>
                <w:rStyle w:val="Balk1Char"/>
                <w:b/>
                <w:lang w:val="tr-TR"/>
              </w:rPr>
              <w:t>ile Tatil ve Askıya Alma H</w:t>
            </w:r>
            <w:r w:rsidR="009A1870" w:rsidRPr="00A23740">
              <w:rPr>
                <w:rStyle w:val="Balk1Char"/>
                <w:b/>
                <w:lang w:val="tr-TR"/>
              </w:rPr>
              <w:t>â</w:t>
            </w:r>
            <w:r w:rsidRPr="00A23740">
              <w:rPr>
                <w:rStyle w:val="Balk1Char"/>
                <w:b/>
                <w:lang w:val="tr-TR"/>
              </w:rPr>
              <w:t>lleri</w:t>
            </w:r>
          </w:p>
          <w:p w:rsidR="00155AF4" w:rsidRPr="00A23740" w:rsidRDefault="00155AF4" w:rsidP="009431FF">
            <w:pPr>
              <w:pStyle w:val="Mavi"/>
              <w:widowControl w:val="0"/>
              <w:rPr>
                <w:lang w:val="tr-TR"/>
              </w:rPr>
            </w:pPr>
          </w:p>
          <w:p w:rsidR="00155AF4" w:rsidRPr="00A23740" w:rsidRDefault="00155AF4" w:rsidP="009431FF">
            <w:pPr>
              <w:pStyle w:val="Balk3"/>
              <w:keepNext w:val="0"/>
              <w:widowControl w:val="0"/>
              <w:rPr>
                <w:lang w:val="tr-TR"/>
              </w:rPr>
            </w:pPr>
            <w:r w:rsidRPr="00A23740">
              <w:rPr>
                <w:lang w:val="tr-TR"/>
              </w:rPr>
              <w:t>BİRİNCİ BÖLÜM</w:t>
            </w:r>
          </w:p>
          <w:p w:rsidR="00155AF4" w:rsidRPr="00A23740" w:rsidRDefault="00155AF4" w:rsidP="009431FF">
            <w:pPr>
              <w:pStyle w:val="Balk3"/>
              <w:keepNext w:val="0"/>
              <w:widowControl w:val="0"/>
              <w:rPr>
                <w:lang w:val="tr-TR"/>
              </w:rPr>
            </w:pPr>
            <w:r w:rsidRPr="00A23740">
              <w:rPr>
                <w:lang w:val="tr-TR"/>
              </w:rPr>
              <w:t xml:space="preserve">Süreler </w:t>
            </w:r>
          </w:p>
          <w:p w:rsidR="00155AF4" w:rsidRPr="00A23740" w:rsidRDefault="00155AF4" w:rsidP="009431FF">
            <w:pPr>
              <w:widowControl w:val="0"/>
              <w:rPr>
                <w:rFonts w:eastAsia="ヒラギノ明朝 Pro W3"/>
                <w:b/>
                <w:color w:val="0000FF"/>
                <w:szCs w:val="24"/>
                <w:lang w:eastAsia="tr-TR"/>
              </w:rPr>
            </w:pPr>
          </w:p>
          <w:p w:rsidR="00155AF4" w:rsidRPr="00A23740" w:rsidRDefault="00155AF4" w:rsidP="009431FF">
            <w:pPr>
              <w:pStyle w:val="Mavi"/>
              <w:widowControl w:val="0"/>
            </w:pPr>
            <w:r w:rsidRPr="00A23740">
              <w:t>Süreler</w:t>
            </w:r>
          </w:p>
          <w:p w:rsidR="00155AF4" w:rsidRPr="00A23740" w:rsidRDefault="00155AF4" w:rsidP="009431FF">
            <w:pPr>
              <w:pStyle w:val="Mavi"/>
              <w:widowControl w:val="0"/>
            </w:pPr>
            <w:r w:rsidRPr="00A23740">
              <w:rPr>
                <w:rStyle w:val="MaviChar"/>
                <w:b/>
                <w:bCs/>
              </w:rPr>
              <w:t xml:space="preserve">MADDE </w:t>
            </w:r>
            <w:r w:rsidR="0059245E" w:rsidRPr="00A23740">
              <w:rPr>
                <w:rStyle w:val="YELChar"/>
                <w:rFonts w:eastAsia="Calibri"/>
                <w:b/>
                <w:color w:val="0000FF"/>
                <w:lang w:eastAsia="x-none"/>
              </w:rPr>
              <w:t>38</w:t>
            </w:r>
            <w:r w:rsidRPr="00A23740">
              <w:rPr>
                <w:rStyle w:val="MaviChar"/>
                <w:b/>
                <w:bCs/>
              </w:rPr>
              <w:t>- (1)</w:t>
            </w:r>
            <w:r w:rsidRPr="00A23740">
              <w:t xml:space="preserve"> </w:t>
            </w:r>
            <w:r w:rsidRPr="00A23740">
              <w:rPr>
                <w:rStyle w:val="YELChar"/>
                <w:rFonts w:eastAsia="Calibri"/>
                <w:b/>
                <w:color w:val="0000FF"/>
                <w:lang w:eastAsia="x-none"/>
              </w:rPr>
              <w:t>Bu Kanunda belirlenen sürelerin hesabında bu madde hükmü uygulanır.</w:t>
            </w:r>
          </w:p>
          <w:p w:rsidR="00155AF4" w:rsidRPr="00A23740" w:rsidRDefault="00155AF4" w:rsidP="009431FF">
            <w:pPr>
              <w:pStyle w:val="Mavi"/>
              <w:widowControl w:val="0"/>
            </w:pPr>
          </w:p>
          <w:p w:rsidR="00423D4F" w:rsidRPr="00A23740" w:rsidRDefault="00155AF4" w:rsidP="009431FF">
            <w:pPr>
              <w:pStyle w:val="Mavi"/>
              <w:widowControl w:val="0"/>
            </w:pPr>
            <w:r w:rsidRPr="00A23740">
              <w:t xml:space="preserve">(2) </w:t>
            </w:r>
            <w:r w:rsidR="00600D80" w:rsidRPr="00A23740">
              <w:t>Bu Kanundaki aksine hükümler saklı kalmak kaydıyla s</w:t>
            </w:r>
            <w:r w:rsidRPr="00A23740">
              <w:t>üreler, taraflara tebliğ tarih</w:t>
            </w:r>
            <w:r w:rsidR="00E4092A" w:rsidRPr="00A23740">
              <w:t>inden itibaren işlemeye başlar.</w:t>
            </w:r>
          </w:p>
          <w:p w:rsidR="00E976F5" w:rsidRPr="00A23740" w:rsidRDefault="00E976F5" w:rsidP="009431FF">
            <w:pPr>
              <w:widowControl w:val="0"/>
              <w:rPr>
                <w:rStyle w:val="MaviChar"/>
              </w:rPr>
            </w:pPr>
          </w:p>
          <w:p w:rsidR="00155AF4" w:rsidRPr="00A23740" w:rsidRDefault="00155AF4" w:rsidP="009431FF">
            <w:pPr>
              <w:widowControl w:val="0"/>
              <w:rPr>
                <w:rFonts w:eastAsia="ヒラギノ明朝 Pro W3"/>
                <w:b/>
                <w:color w:val="0000FF"/>
                <w:szCs w:val="24"/>
                <w:lang w:eastAsia="tr-TR"/>
              </w:rPr>
            </w:pPr>
            <w:r w:rsidRPr="00A23740">
              <w:rPr>
                <w:rStyle w:val="MaviChar"/>
              </w:rPr>
              <w:t>(3) Süre</w:t>
            </w:r>
            <w:r w:rsidRPr="00A23740">
              <w:rPr>
                <w:rFonts w:eastAsia="ヒラギノ明朝 Pro W3"/>
                <w:b/>
                <w:color w:val="0000FF"/>
                <w:szCs w:val="24"/>
                <w:lang w:eastAsia="tr-TR"/>
              </w:rPr>
              <w:t xml:space="preserve"> </w:t>
            </w:r>
            <w:r w:rsidRPr="00A23740">
              <w:rPr>
                <w:rFonts w:eastAsia="Times New Roman"/>
                <w:szCs w:val="24"/>
                <w:lang w:eastAsia="tr-TR"/>
              </w:rPr>
              <w:t>gün olarak</w:t>
            </w:r>
            <w:r w:rsidRPr="00A23740">
              <w:rPr>
                <w:rFonts w:eastAsia="ヒラギノ明朝 Pro W3"/>
                <w:b/>
                <w:color w:val="0000FF"/>
                <w:szCs w:val="24"/>
                <w:lang w:eastAsia="tr-TR"/>
              </w:rPr>
              <w:t xml:space="preserve"> </w:t>
            </w:r>
            <w:r w:rsidRPr="00A23740">
              <w:rPr>
                <w:rStyle w:val="MaviChar"/>
              </w:rPr>
              <w:t xml:space="preserve">belirlenmiş ise </w:t>
            </w:r>
            <w:r w:rsidRPr="00A23740">
              <w:rPr>
                <w:rFonts w:eastAsia="Times New Roman"/>
                <w:szCs w:val="24"/>
                <w:lang w:eastAsia="tr-TR"/>
              </w:rPr>
              <w:t xml:space="preserve">ilk gün hesaba katılmaz </w:t>
            </w:r>
            <w:r w:rsidRPr="00A23740">
              <w:rPr>
                <w:rStyle w:val="MaviChar"/>
              </w:rPr>
              <w:t>ve son günün çalışma saati sonunda biter.</w:t>
            </w:r>
          </w:p>
          <w:p w:rsidR="00155AF4" w:rsidRPr="00A23740" w:rsidRDefault="00155AF4" w:rsidP="009431FF">
            <w:pPr>
              <w:widowControl w:val="0"/>
              <w:rPr>
                <w:rFonts w:eastAsia="Times New Roman"/>
                <w:b/>
                <w:color w:val="FF0000"/>
                <w:szCs w:val="24"/>
                <w:lang w:eastAsia="tr-TR"/>
              </w:rPr>
            </w:pPr>
          </w:p>
          <w:p w:rsidR="00155AF4" w:rsidRPr="00A23740" w:rsidRDefault="00155AF4" w:rsidP="009431FF">
            <w:pPr>
              <w:widowControl w:val="0"/>
              <w:rPr>
                <w:b/>
                <w:bCs/>
                <w:color w:val="0000FF"/>
                <w:szCs w:val="24"/>
                <w:lang w:eastAsia="x-none"/>
              </w:rPr>
            </w:pPr>
            <w:r w:rsidRPr="00A23740">
              <w:rPr>
                <w:rStyle w:val="MaviChar"/>
              </w:rPr>
              <w:t xml:space="preserve">(4) Süre hafta, ay veya yıl olarak belirlenmiş ise, </w:t>
            </w:r>
            <w:r w:rsidR="00600D80" w:rsidRPr="00A23740">
              <w:rPr>
                <w:rStyle w:val="MaviChar"/>
              </w:rPr>
              <w:t xml:space="preserve">ilk gün hesaba katılır ve o </w:t>
            </w:r>
            <w:r w:rsidRPr="00A23740">
              <w:rPr>
                <w:rStyle w:val="MaviChar"/>
              </w:rPr>
              <w:t xml:space="preserve">güne son hafta, ay veya yıl içinde karşılık gelen günün </w:t>
            </w:r>
            <w:r w:rsidR="001C6955" w:rsidRPr="00A23740">
              <w:rPr>
                <w:rStyle w:val="MaviChar"/>
                <w:lang w:val="tr-TR"/>
              </w:rPr>
              <w:t xml:space="preserve">çalışma saati sonunda </w:t>
            </w:r>
            <w:r w:rsidRPr="00A23740">
              <w:rPr>
                <w:rStyle w:val="MaviChar"/>
              </w:rPr>
              <w:t>biter. Sürenin bittiği ayda, başladığı güne karşılık gelen bir gün yoksa, süre bu ayın son günü çalışma saati sonunda biter.</w:t>
            </w:r>
          </w:p>
          <w:p w:rsidR="00155AF4" w:rsidRPr="00A23740" w:rsidRDefault="00155AF4" w:rsidP="009431FF">
            <w:pPr>
              <w:widowControl w:val="0"/>
              <w:rPr>
                <w:rFonts w:eastAsia="ヒラギノ明朝 Pro W3"/>
                <w:b/>
                <w:color w:val="0000FF"/>
                <w:szCs w:val="24"/>
                <w:lang w:eastAsia="tr-TR"/>
              </w:rPr>
            </w:pPr>
          </w:p>
          <w:p w:rsidR="00155AF4" w:rsidRPr="00A23740" w:rsidRDefault="00155AF4" w:rsidP="009431FF">
            <w:pPr>
              <w:pStyle w:val="Mavi"/>
              <w:widowControl w:val="0"/>
            </w:pPr>
            <w:r w:rsidRPr="00A23740">
              <w:rPr>
                <w:rStyle w:val="YELChar"/>
                <w:rFonts w:eastAsia="Calibri"/>
                <w:b/>
                <w:color w:val="0000FF"/>
                <w:lang w:eastAsia="x-none"/>
              </w:rPr>
              <w:t>(5)</w:t>
            </w:r>
            <w:r w:rsidRPr="00A23740">
              <w:rPr>
                <w:rStyle w:val="MaviChar"/>
                <w:b/>
                <w:bCs/>
              </w:rPr>
              <w:t xml:space="preserve"> Elektronik ortamda yapılan işlemlerde süre gün sonunda</w:t>
            </w:r>
            <w:r w:rsidR="00323F5B" w:rsidRPr="00A23740">
              <w:rPr>
                <w:rStyle w:val="MaviChar"/>
                <w:b/>
                <w:bCs/>
                <w:lang w:val="tr-TR"/>
              </w:rPr>
              <w:t xml:space="preserve"> </w:t>
            </w:r>
            <w:r w:rsidRPr="00A23740">
              <w:rPr>
                <w:rStyle w:val="MaviChar"/>
                <w:b/>
                <w:bCs/>
              </w:rPr>
              <w:t>biter.</w:t>
            </w:r>
          </w:p>
          <w:p w:rsidR="00155AF4" w:rsidRPr="00A23740" w:rsidRDefault="00155AF4" w:rsidP="009431FF">
            <w:pPr>
              <w:pStyle w:val="Mavi"/>
              <w:widowControl w:val="0"/>
            </w:pPr>
          </w:p>
          <w:p w:rsidR="00155AF4" w:rsidRPr="00A23740" w:rsidRDefault="00155AF4" w:rsidP="009431FF">
            <w:pPr>
              <w:pStyle w:val="Mavi"/>
              <w:widowControl w:val="0"/>
              <w:rPr>
                <w:rFonts w:eastAsia="ヒラギノ明朝 Pro W3"/>
                <w:lang w:eastAsia="tr-TR"/>
              </w:rPr>
            </w:pPr>
            <w:r w:rsidRPr="00A23740">
              <w:rPr>
                <w:rStyle w:val="YELChar"/>
                <w:rFonts w:eastAsia="Calibri"/>
                <w:b/>
                <w:color w:val="0000FF"/>
                <w:lang w:eastAsia="x-none"/>
              </w:rPr>
              <w:t>(6)</w:t>
            </w:r>
            <w:r w:rsidRPr="00A23740">
              <w:rPr>
                <w:rStyle w:val="MaviChar"/>
                <w:b/>
                <w:bCs/>
              </w:rPr>
              <w:t xml:space="preserve">  Resmî tatil günleri, süreye dâhildir. Sürenin son gününün resmî tatil gününe</w:t>
            </w:r>
            <w:r w:rsidRPr="00A23740">
              <w:rPr>
                <w:rStyle w:val="MaviChar"/>
              </w:rPr>
              <w:t xml:space="preserve"> </w:t>
            </w:r>
            <w:r w:rsidRPr="00A23740">
              <w:t xml:space="preserve">rastlaması hâlinde, süre tatili takip eden ilk iş </w:t>
            </w:r>
            <w:r w:rsidRPr="00A23740">
              <w:lastRenderedPageBreak/>
              <w:t>günü çalışma saati sonunda biter.</w:t>
            </w:r>
          </w:p>
          <w:p w:rsidR="00155AF4" w:rsidRPr="00A23740" w:rsidRDefault="00155AF4" w:rsidP="009431FF">
            <w:pPr>
              <w:widowControl w:val="0"/>
              <w:tabs>
                <w:tab w:val="left" w:pos="567"/>
              </w:tabs>
              <w:rPr>
                <w:rFonts w:eastAsia="ヒラギノ明朝 Pro W3"/>
                <w:b/>
                <w:color w:val="008000"/>
                <w:szCs w:val="24"/>
                <w:lang w:eastAsia="tr-TR"/>
              </w:rPr>
            </w:pPr>
          </w:p>
          <w:p w:rsidR="00155AF4" w:rsidRPr="00A23740" w:rsidRDefault="00155AF4" w:rsidP="009431FF">
            <w:pPr>
              <w:widowControl w:val="0"/>
              <w:rPr>
                <w:rFonts w:eastAsia="Times New Roman"/>
                <w:b/>
                <w:bCs/>
                <w:color w:val="0000FF"/>
                <w:szCs w:val="24"/>
                <w:lang w:eastAsia="tr-TR"/>
              </w:rPr>
            </w:pPr>
            <w:r w:rsidRPr="00A23740">
              <w:rPr>
                <w:rStyle w:val="MaviChar"/>
              </w:rPr>
              <w:t>(7)</w:t>
            </w:r>
            <w:r w:rsidRPr="00A23740">
              <w:rPr>
                <w:rFonts w:eastAsia="Times New Roman"/>
                <w:szCs w:val="24"/>
                <w:lang w:eastAsia="tr-TR"/>
              </w:rPr>
              <w:t xml:space="preserve"> Bu </w:t>
            </w:r>
            <w:r w:rsidRPr="00A23740">
              <w:rPr>
                <w:rStyle w:val="MaviChar"/>
              </w:rPr>
              <w:t>K</w:t>
            </w:r>
            <w:r w:rsidRPr="00A23740">
              <w:rPr>
                <w:rFonts w:eastAsia="Times New Roman"/>
                <w:szCs w:val="24"/>
                <w:lang w:eastAsia="tr-TR"/>
              </w:rPr>
              <w:t xml:space="preserve">anunun </w:t>
            </w:r>
            <w:r w:rsidRPr="00A23740">
              <w:rPr>
                <w:rStyle w:val="MaviChar"/>
              </w:rPr>
              <w:t>belirlediği süreler sözleşmeyle değiştirilemez.</w:t>
            </w:r>
            <w:r w:rsidRPr="00A23740">
              <w:rPr>
                <w:rStyle w:val="MaviChar"/>
                <w:lang w:val="tr-TR"/>
              </w:rPr>
              <w:t xml:space="preserve"> </w:t>
            </w:r>
            <w:r w:rsidRPr="00A23740">
              <w:rPr>
                <w:rStyle w:val="MaviChar"/>
              </w:rPr>
              <w:t>İşlemeye başlamış olan</w:t>
            </w:r>
            <w:r w:rsidRPr="00A23740">
              <w:rPr>
                <w:rFonts w:eastAsia="ヒラギノ明朝 Pro W3"/>
                <w:b/>
                <w:color w:val="0000FF"/>
                <w:szCs w:val="24"/>
                <w:lang w:eastAsia="tr-TR"/>
              </w:rPr>
              <w:t xml:space="preserve"> </w:t>
            </w:r>
            <w:r w:rsidRPr="00A23740">
              <w:rPr>
                <w:rFonts w:eastAsia="Times New Roman"/>
                <w:szCs w:val="24"/>
                <w:lang w:eastAsia="tr-TR"/>
              </w:rPr>
              <w:t xml:space="preserve">bir </w:t>
            </w:r>
            <w:r w:rsidRPr="00A23740">
              <w:rPr>
                <w:rStyle w:val="MaviChar"/>
              </w:rPr>
              <w:t>süreden</w:t>
            </w:r>
            <w:r w:rsidRPr="00A23740">
              <w:rPr>
                <w:rFonts w:eastAsia="ヒラギノ明朝 Pro W3"/>
                <w:b/>
                <w:color w:val="0000FF"/>
                <w:szCs w:val="24"/>
                <w:lang w:eastAsia="tr-TR"/>
              </w:rPr>
              <w:t xml:space="preserve"> </w:t>
            </w:r>
            <w:r w:rsidRPr="00A23740">
              <w:rPr>
                <w:rStyle w:val="MaviChar"/>
              </w:rPr>
              <w:t>yararlanma</w:t>
            </w:r>
            <w:r w:rsidRPr="00A23740">
              <w:rPr>
                <w:rFonts w:eastAsia="Times New Roman"/>
                <w:szCs w:val="24"/>
                <w:lang w:eastAsia="tr-TR"/>
              </w:rPr>
              <w:t xml:space="preserve"> hakkı</w:t>
            </w:r>
            <w:r w:rsidRPr="00A23740">
              <w:rPr>
                <w:rFonts w:eastAsia="ヒラギノ明朝 Pro W3"/>
                <w:b/>
                <w:color w:val="0000FF"/>
                <w:szCs w:val="24"/>
                <w:lang w:eastAsia="tr-TR"/>
              </w:rPr>
              <w:t xml:space="preserve"> </w:t>
            </w:r>
            <w:r w:rsidRPr="00A23740">
              <w:rPr>
                <w:rStyle w:val="MaviChar"/>
              </w:rPr>
              <w:t>bulunan</w:t>
            </w:r>
            <w:r w:rsidRPr="00A23740">
              <w:rPr>
                <w:rFonts w:eastAsia="ヒラギノ明朝 Pro W3"/>
                <w:b/>
                <w:color w:val="0000FF"/>
                <w:szCs w:val="24"/>
                <w:lang w:eastAsia="tr-TR"/>
              </w:rPr>
              <w:t xml:space="preserve"> </w:t>
            </w:r>
            <w:r w:rsidRPr="00A23740">
              <w:rPr>
                <w:rFonts w:eastAsia="Times New Roman"/>
                <w:szCs w:val="24"/>
                <w:lang w:eastAsia="tr-TR"/>
              </w:rPr>
              <w:t>borçlu</w:t>
            </w:r>
            <w:r w:rsidRPr="00A23740">
              <w:rPr>
                <w:rStyle w:val="MaviChar"/>
              </w:rPr>
              <w:t>,</w:t>
            </w:r>
            <w:r w:rsidRPr="00A23740">
              <w:rPr>
                <w:rFonts w:eastAsia="Times New Roman"/>
                <w:szCs w:val="24"/>
                <w:lang w:eastAsia="tr-TR"/>
              </w:rPr>
              <w:t xml:space="preserve"> bu hakkından vazgeçebilir. Bu vazgeçme üçüncü</w:t>
            </w:r>
            <w:r w:rsidRPr="00A23740">
              <w:rPr>
                <w:rFonts w:eastAsia="Times New Roman"/>
                <w:b/>
                <w:bCs/>
                <w:color w:val="0000FF"/>
                <w:szCs w:val="24"/>
                <w:lang w:eastAsia="tr-TR"/>
              </w:rPr>
              <w:t xml:space="preserve"> </w:t>
            </w:r>
            <w:r w:rsidRPr="00A23740">
              <w:rPr>
                <w:rStyle w:val="MaviChar"/>
              </w:rPr>
              <w:t>kişileri etkilemez.</w:t>
            </w:r>
          </w:p>
        </w:tc>
      </w:tr>
      <w:tr w:rsidR="00A21CE2" w:rsidRPr="00A23740" w:rsidTr="009431FF">
        <w:tc>
          <w:tcPr>
            <w:tcW w:w="5000" w:type="pct"/>
            <w:gridSpan w:val="2"/>
            <w:shd w:val="clear" w:color="auto" w:fill="DEEAF6"/>
          </w:tcPr>
          <w:p w:rsidR="00A21CE2" w:rsidRPr="00A23740" w:rsidRDefault="00A21CE2" w:rsidP="009431FF">
            <w:pPr>
              <w:ind w:firstLine="567"/>
              <w:rPr>
                <w:lang w:eastAsia="x-none"/>
              </w:rPr>
            </w:pPr>
          </w:p>
          <w:p w:rsidR="00423D4F" w:rsidRPr="00A23740" w:rsidRDefault="00B145C7" w:rsidP="009431FF">
            <w:pPr>
              <w:ind w:firstLine="567"/>
              <w:rPr>
                <w:lang w:eastAsia="x-none"/>
              </w:rPr>
            </w:pPr>
            <w:r w:rsidRPr="00A23740">
              <w:rPr>
                <w:b/>
                <w:lang w:eastAsia="x-none"/>
              </w:rPr>
              <w:t>MADDE 38</w:t>
            </w:r>
            <w:r w:rsidR="00A21CE2" w:rsidRPr="00A23740">
              <w:rPr>
                <w:b/>
                <w:lang w:eastAsia="x-none"/>
              </w:rPr>
              <w:t>-</w:t>
            </w:r>
            <w:r w:rsidR="00A21CE2" w:rsidRPr="00A23740">
              <w:rPr>
                <w:lang w:eastAsia="x-none"/>
              </w:rPr>
              <w:t xml:space="preserve"> </w:t>
            </w:r>
            <w:r w:rsidR="00423D4F" w:rsidRPr="00A23740">
              <w:rPr>
                <w:lang w:eastAsia="x-none"/>
              </w:rPr>
              <w:t>Maddeyle, sürelere ilişkin hususlar düzenlenmektedir.</w:t>
            </w:r>
          </w:p>
          <w:p w:rsidR="001D04E9" w:rsidRPr="00A23740" w:rsidRDefault="00142DE4" w:rsidP="009431FF">
            <w:pPr>
              <w:ind w:firstLine="567"/>
              <w:rPr>
                <w:lang w:eastAsia="x-none"/>
              </w:rPr>
            </w:pPr>
            <w:r w:rsidRPr="00A23740">
              <w:rPr>
                <w:lang w:eastAsia="x-none"/>
              </w:rPr>
              <w:t xml:space="preserve">Söz konusu hüküm, </w:t>
            </w:r>
            <w:r w:rsidR="00423D4F" w:rsidRPr="00A23740">
              <w:rPr>
                <w:lang w:eastAsia="x-none"/>
              </w:rPr>
              <w:t xml:space="preserve">2004 sayılı Kanunun 19 uncu </w:t>
            </w:r>
            <w:r w:rsidR="001D04E9" w:rsidRPr="00A23740">
              <w:rPr>
                <w:lang w:eastAsia="x-none"/>
              </w:rPr>
              <w:t>ma</w:t>
            </w:r>
            <w:r w:rsidRPr="00A23740">
              <w:rPr>
                <w:lang w:eastAsia="x-none"/>
              </w:rPr>
              <w:t>ddesine karşılık gelmekte olup K</w:t>
            </w:r>
            <w:r w:rsidR="001D04E9" w:rsidRPr="00A23740">
              <w:rPr>
                <w:lang w:eastAsia="x-none"/>
              </w:rPr>
              <w:t xml:space="preserve">anunda belirlenen süreler hakkındaki kuralları, </w:t>
            </w:r>
            <w:r w:rsidR="00B145C7" w:rsidRPr="00A23740">
              <w:rPr>
                <w:lang w:eastAsia="x-none"/>
              </w:rPr>
              <w:t xml:space="preserve">bilimsel ve yargısal </w:t>
            </w:r>
            <w:r w:rsidR="001D04E9" w:rsidRPr="00A23740">
              <w:rPr>
                <w:lang w:eastAsia="x-none"/>
              </w:rPr>
              <w:t xml:space="preserve">içtihatlarda kabul edildiği şekliyle, daha açık ve ayrıntılı olarak düzenlemektedir. </w:t>
            </w:r>
          </w:p>
          <w:p w:rsidR="001D04E9" w:rsidRPr="00A23740" w:rsidRDefault="00142DE4" w:rsidP="009431FF">
            <w:pPr>
              <w:ind w:firstLine="567"/>
              <w:rPr>
                <w:lang w:eastAsia="x-none"/>
              </w:rPr>
            </w:pPr>
            <w:r w:rsidRPr="00A23740">
              <w:rPr>
                <w:lang w:eastAsia="x-none"/>
              </w:rPr>
              <w:t xml:space="preserve">Birinci fıkrada, </w:t>
            </w:r>
            <w:r w:rsidR="00977871" w:rsidRPr="00A23740">
              <w:rPr>
                <w:lang w:eastAsia="x-none"/>
              </w:rPr>
              <w:t xml:space="preserve">Taslakta </w:t>
            </w:r>
            <w:r w:rsidR="001D04E9" w:rsidRPr="00A23740">
              <w:rPr>
                <w:lang w:eastAsia="x-none"/>
              </w:rPr>
              <w:t>belirlenen sürelerin hesabında bu madde hükmünün uygulanacağı ifade olunmuştur. Buna göre geniş anlamıyla cebr</w:t>
            </w:r>
            <w:r w:rsidR="009A1870" w:rsidRPr="00A23740">
              <w:rPr>
                <w:lang w:eastAsia="x-none"/>
              </w:rPr>
              <w:t>î</w:t>
            </w:r>
            <w:r w:rsidR="001D04E9" w:rsidRPr="00A23740">
              <w:rPr>
                <w:lang w:eastAsia="x-none"/>
              </w:rPr>
              <w:t xml:space="preserve"> icra faaliyeti içinde yer alsa bile gerek mahkemelerin gördükleri (hacizli mala istihkak davası gibi) davalar ile (konkordato mühleti verilmesi gibi) çekişmesiz yargı işlerini ilgilendiren kanuni süreler gerekse h</w:t>
            </w:r>
            <w:r w:rsidR="00407C95" w:rsidRPr="00A23740">
              <w:t>â</w:t>
            </w:r>
            <w:r w:rsidR="001D04E9" w:rsidRPr="00A23740">
              <w:rPr>
                <w:lang w:eastAsia="x-none"/>
              </w:rPr>
              <w:t xml:space="preserve">kimin verdiği süreler hakkında </w:t>
            </w:r>
            <w:r w:rsidR="00DB332D" w:rsidRPr="002144D4">
              <w:rPr>
                <w:lang w:eastAsia="x-none"/>
              </w:rPr>
              <w:t>6100 sayılı K</w:t>
            </w:r>
            <w:r w:rsidR="003E7FF9" w:rsidRPr="002144D4">
              <w:rPr>
                <w:lang w:eastAsia="x-none"/>
              </w:rPr>
              <w:t>anun</w:t>
            </w:r>
            <w:r w:rsidRPr="00A23740">
              <w:rPr>
                <w:lang w:eastAsia="x-none"/>
              </w:rPr>
              <w:t xml:space="preserve"> hükümler</w:t>
            </w:r>
            <w:r w:rsidR="003E7FF9" w:rsidRPr="002144D4">
              <w:rPr>
                <w:lang w:eastAsia="x-none"/>
              </w:rPr>
              <w:t>i</w:t>
            </w:r>
            <w:r w:rsidRPr="00A23740">
              <w:rPr>
                <w:lang w:eastAsia="x-none"/>
              </w:rPr>
              <w:t xml:space="preserve"> uygulanacaktır.</w:t>
            </w:r>
          </w:p>
          <w:p w:rsidR="00B145C7" w:rsidRPr="00A23740" w:rsidRDefault="00B145C7" w:rsidP="009431FF">
            <w:pPr>
              <w:ind w:firstLine="567"/>
              <w:rPr>
                <w:lang w:eastAsia="x-none"/>
              </w:rPr>
            </w:pPr>
            <w:r w:rsidRPr="00A23740">
              <w:rPr>
                <w:lang w:eastAsia="x-none"/>
              </w:rPr>
              <w:t>İkinci fıkra</w:t>
            </w:r>
            <w:r w:rsidR="00977871" w:rsidRPr="00A23740">
              <w:rPr>
                <w:lang w:eastAsia="x-none"/>
              </w:rPr>
              <w:t>da</w:t>
            </w:r>
            <w:r w:rsidRPr="00A23740">
              <w:rPr>
                <w:lang w:eastAsia="x-none"/>
              </w:rPr>
              <w:t xml:space="preserve">, bilimsel ve yargısal içtihatlarda kabul edildiği üzere </w:t>
            </w:r>
            <w:r w:rsidRPr="00A23740">
              <w:t>bu Kanundaki aksine hükümler saklı kalmak kaydıyla sürelerin, taraflara tebliğ tarihinden itibaren işlemeye başlayacağı düzenlenmektedir.</w:t>
            </w:r>
          </w:p>
          <w:p w:rsidR="00B145C7" w:rsidRPr="00A23740" w:rsidRDefault="00142DE4" w:rsidP="009431FF">
            <w:pPr>
              <w:ind w:firstLine="567"/>
              <w:rPr>
                <w:lang w:eastAsia="x-none"/>
              </w:rPr>
            </w:pPr>
            <w:r w:rsidRPr="00A23740">
              <w:rPr>
                <w:lang w:eastAsia="x-none"/>
              </w:rPr>
              <w:t xml:space="preserve">Üçüncü fıkra, </w:t>
            </w:r>
            <w:r w:rsidR="001D04E9" w:rsidRPr="00A23740">
              <w:rPr>
                <w:lang w:eastAsia="x-none"/>
              </w:rPr>
              <w:t xml:space="preserve">gün olarak belirlenmiş olan sürelerde ilk günün hesaba katılmayacağını ifade etmektedir. </w:t>
            </w:r>
          </w:p>
          <w:p w:rsidR="001D04E9" w:rsidRPr="00A23740" w:rsidRDefault="00142DE4" w:rsidP="009431FF">
            <w:pPr>
              <w:ind w:firstLine="567"/>
              <w:rPr>
                <w:lang w:eastAsia="x-none"/>
              </w:rPr>
            </w:pPr>
            <w:r w:rsidRPr="00A23740">
              <w:rPr>
                <w:lang w:eastAsia="x-none"/>
              </w:rPr>
              <w:t>Dördüncü fıkra, 2004 sayılı Kanunun 19 uncu maddesinin ikinci</w:t>
            </w:r>
            <w:r w:rsidR="001D04E9" w:rsidRPr="00A23740">
              <w:rPr>
                <w:lang w:eastAsia="x-none"/>
              </w:rPr>
              <w:t xml:space="preserve"> fıkrasına tekabül etmekte ve o hükümdeki hususlara ilaveten sürenin son günün çalışma saati sonunda sona ereceğini açıklamaktadır. </w:t>
            </w:r>
            <w:r w:rsidR="00323F5B" w:rsidRPr="00A23740">
              <w:rPr>
                <w:lang w:eastAsia="x-none"/>
              </w:rPr>
              <w:t>Sürenin hafta ay veya yıl olarak belirlendiği durumlarda ilk günün hesaba katılacağı açıkça hüküm altına alınarak</w:t>
            </w:r>
            <w:r w:rsidR="00977871" w:rsidRPr="00A23740">
              <w:rPr>
                <w:lang w:eastAsia="x-none"/>
              </w:rPr>
              <w:t>,</w:t>
            </w:r>
            <w:r w:rsidR="00323F5B" w:rsidRPr="00A23740">
              <w:rPr>
                <w:lang w:eastAsia="x-none"/>
              </w:rPr>
              <w:t xml:space="preserve"> uygulamadaki tereddütlerin giderilmesi </w:t>
            </w:r>
            <w:r w:rsidR="009A1870" w:rsidRPr="00A23740">
              <w:rPr>
                <w:lang w:eastAsia="x-none"/>
              </w:rPr>
              <w:t>amaçlanmıştır. Böylece örneğin s</w:t>
            </w:r>
            <w:r w:rsidR="00323F5B" w:rsidRPr="00A23740">
              <w:rPr>
                <w:lang w:eastAsia="x-none"/>
              </w:rPr>
              <w:t>alı günü alınan bir tebligatta bir haftalık süre</w:t>
            </w:r>
            <w:r w:rsidR="00803186" w:rsidRPr="00A23740">
              <w:rPr>
                <w:lang w:eastAsia="x-none"/>
              </w:rPr>
              <w:t>,</w:t>
            </w:r>
            <w:r w:rsidR="00323F5B" w:rsidRPr="00A23740">
              <w:rPr>
                <w:lang w:eastAsia="x-none"/>
              </w:rPr>
              <w:t xml:space="preserve"> </w:t>
            </w:r>
            <w:r w:rsidR="009A1870" w:rsidRPr="00A23740">
              <w:rPr>
                <w:lang w:eastAsia="x-none"/>
              </w:rPr>
              <w:t>bir sonraki s</w:t>
            </w:r>
            <w:r w:rsidR="00803186" w:rsidRPr="00A23740">
              <w:rPr>
                <w:lang w:eastAsia="x-none"/>
              </w:rPr>
              <w:t xml:space="preserve">alı günü mesai saati sonunda </w:t>
            </w:r>
            <w:r w:rsidR="00977871" w:rsidRPr="00A23740">
              <w:rPr>
                <w:lang w:eastAsia="x-none"/>
              </w:rPr>
              <w:t>bitecektir</w:t>
            </w:r>
            <w:r w:rsidR="00803186" w:rsidRPr="00A23740">
              <w:rPr>
                <w:lang w:eastAsia="x-none"/>
              </w:rPr>
              <w:t>.</w:t>
            </w:r>
          </w:p>
          <w:p w:rsidR="001D04E9" w:rsidRPr="00A23740" w:rsidRDefault="00142DE4" w:rsidP="009431FF">
            <w:pPr>
              <w:ind w:firstLine="567"/>
              <w:rPr>
                <w:lang w:eastAsia="x-none"/>
              </w:rPr>
            </w:pPr>
            <w:r w:rsidRPr="00A23740">
              <w:rPr>
                <w:lang w:eastAsia="x-none"/>
              </w:rPr>
              <w:t xml:space="preserve">Beşinci fıkra, </w:t>
            </w:r>
            <w:r w:rsidR="001D04E9" w:rsidRPr="00A23740">
              <w:rPr>
                <w:lang w:eastAsia="x-none"/>
              </w:rPr>
              <w:t>dör</w:t>
            </w:r>
            <w:r w:rsidRPr="00A23740">
              <w:rPr>
                <w:lang w:eastAsia="x-none"/>
              </w:rPr>
              <w:t>düncü fıkra</w:t>
            </w:r>
            <w:r w:rsidR="001D04E9" w:rsidRPr="00A23740">
              <w:rPr>
                <w:lang w:eastAsia="x-none"/>
              </w:rPr>
              <w:t>nın istisnası olmak üzere elektronik ortamda yapılan işlemlerde sürenin gün sonunda biteceğini belirtmektedir.</w:t>
            </w:r>
          </w:p>
          <w:p w:rsidR="001D04E9" w:rsidRPr="00A23740" w:rsidRDefault="00142DE4" w:rsidP="009431FF">
            <w:pPr>
              <w:ind w:firstLine="567"/>
              <w:rPr>
                <w:lang w:eastAsia="x-none"/>
              </w:rPr>
            </w:pPr>
            <w:r w:rsidRPr="00A23740">
              <w:rPr>
                <w:lang w:eastAsia="x-none"/>
              </w:rPr>
              <w:t>Altıncı fıkra ise</w:t>
            </w:r>
            <w:r w:rsidR="001D04E9" w:rsidRPr="00A23740">
              <w:rPr>
                <w:lang w:eastAsia="x-none"/>
              </w:rPr>
              <w:t xml:space="preserve"> resmî tatil günlerinin, süreye dâhil olduğunu ve sürenin son gününün tatil gününe rastlaması hâlinde, süre</w:t>
            </w:r>
            <w:r w:rsidR="00977871" w:rsidRPr="00A23740">
              <w:rPr>
                <w:lang w:eastAsia="x-none"/>
              </w:rPr>
              <w:t>nin</w:t>
            </w:r>
            <w:r w:rsidR="001D04E9" w:rsidRPr="00A23740">
              <w:rPr>
                <w:lang w:eastAsia="x-none"/>
              </w:rPr>
              <w:t xml:space="preserve"> tatili takip eden ilk iş günü çalışma saati sonunda biteceğini öngörmektedir.</w:t>
            </w:r>
          </w:p>
          <w:p w:rsidR="00142DE4" w:rsidRPr="00A23740" w:rsidRDefault="00142DE4" w:rsidP="009431FF">
            <w:pPr>
              <w:ind w:firstLine="567"/>
              <w:rPr>
                <w:lang w:eastAsia="x-none"/>
              </w:rPr>
            </w:pPr>
            <w:r w:rsidRPr="00A23740">
              <w:rPr>
                <w:lang w:eastAsia="x-none"/>
              </w:rPr>
              <w:t xml:space="preserve">Yedinci </w:t>
            </w:r>
            <w:r w:rsidR="001D04E9" w:rsidRPr="00A23740">
              <w:rPr>
                <w:lang w:eastAsia="x-none"/>
              </w:rPr>
              <w:t>fıkra</w:t>
            </w:r>
            <w:r w:rsidRPr="00A23740">
              <w:rPr>
                <w:lang w:eastAsia="x-none"/>
              </w:rPr>
              <w:t>, 2004 sayılı Kanunun 20 nci maddesinin karşılığı olup, K</w:t>
            </w:r>
            <w:r w:rsidR="001D04E9" w:rsidRPr="00A23740">
              <w:rPr>
                <w:lang w:eastAsia="x-none"/>
              </w:rPr>
              <w:t>anunun belirlediği sürelerin sözleşme</w:t>
            </w:r>
            <w:r w:rsidR="00977871" w:rsidRPr="00A23740">
              <w:rPr>
                <w:lang w:eastAsia="x-none"/>
              </w:rPr>
              <w:t>yle</w:t>
            </w:r>
            <w:r w:rsidR="001D04E9" w:rsidRPr="00A23740">
              <w:rPr>
                <w:lang w:eastAsia="x-none"/>
              </w:rPr>
              <w:t xml:space="preserve"> değiştirilemeyeceğini, ancak süreden yararlanma hakkı bulunan borçlunun, üçüncü kişilerin haklarını etkilememek kaydıyla, bu hakkından vazgeçebileceğini</w:t>
            </w:r>
            <w:r w:rsidR="00977871" w:rsidRPr="00A23740">
              <w:rPr>
                <w:lang w:eastAsia="x-none"/>
              </w:rPr>
              <w:t>açıklığa kavuşturmaktadır</w:t>
            </w:r>
            <w:r w:rsidR="001D04E9" w:rsidRPr="00A23740">
              <w:rPr>
                <w:lang w:eastAsia="x-none"/>
              </w:rPr>
              <w:t xml:space="preserve">. Bu fıkra, </w:t>
            </w:r>
            <w:r w:rsidR="00B145C7" w:rsidRPr="00A23740">
              <w:rPr>
                <w:lang w:eastAsia="x-none"/>
              </w:rPr>
              <w:t xml:space="preserve">bilimsel ve yargısal </w:t>
            </w:r>
            <w:r w:rsidR="001D04E9" w:rsidRPr="00A23740">
              <w:rPr>
                <w:lang w:eastAsia="x-none"/>
              </w:rPr>
              <w:t xml:space="preserve">içtihatlara uygun olarak, sadece borçlunun süreye bağlı olarak kullanabileceği bir </w:t>
            </w:r>
            <w:r w:rsidR="00977871" w:rsidRPr="00A23740">
              <w:rPr>
                <w:lang w:eastAsia="x-none"/>
              </w:rPr>
              <w:t xml:space="preserve">haktan </w:t>
            </w:r>
            <w:r w:rsidR="001D04E9" w:rsidRPr="00A23740">
              <w:rPr>
                <w:lang w:eastAsia="x-none"/>
              </w:rPr>
              <w:t>bu süre başlamadan ya da bu süre bittikten sonra değil</w:t>
            </w:r>
            <w:r w:rsidR="00977871" w:rsidRPr="00A23740">
              <w:rPr>
                <w:lang w:eastAsia="x-none"/>
              </w:rPr>
              <w:t>,</w:t>
            </w:r>
            <w:r w:rsidR="001D04E9" w:rsidRPr="00A23740">
              <w:rPr>
                <w:lang w:eastAsia="x-none"/>
              </w:rPr>
              <w:t xml:space="preserve"> bu hakkı kullanabileceği süre içinde vazgeçebi</w:t>
            </w:r>
            <w:r w:rsidRPr="00A23740">
              <w:rPr>
                <w:lang w:eastAsia="x-none"/>
              </w:rPr>
              <w:t>leceği şeklinde anlaşılmalıdır.</w:t>
            </w:r>
            <w:r w:rsidR="00E34D9B" w:rsidRPr="00A23740">
              <w:rPr>
                <w:lang w:eastAsia="x-none"/>
              </w:rPr>
              <w:t xml:space="preserve"> “Bu Kanun” ibaresiyle özellikle icra ve iflas daireleri için söz konusu olan sürlerenin hesaplanmasının nasıl yapılacağı kastedilmektedir; mahkemelerin uygulayacağı süreler bakımından </w:t>
            </w:r>
            <w:r w:rsidR="00147373" w:rsidRPr="00A23740">
              <w:rPr>
                <w:lang w:eastAsia="x-none"/>
              </w:rPr>
              <w:t xml:space="preserve">6100 Sayılı </w:t>
            </w:r>
            <w:r w:rsidR="00E34D9B" w:rsidRPr="00A23740">
              <w:rPr>
                <w:lang w:eastAsia="x-none"/>
              </w:rPr>
              <w:t>Kanundaki kuralların geçerli olacağı konusunda bir tereddüt duyulmamalıdır.</w:t>
            </w:r>
          </w:p>
          <w:p w:rsidR="001D04E9" w:rsidRPr="00A23740" w:rsidRDefault="001D04E9" w:rsidP="009431FF">
            <w:pPr>
              <w:ind w:firstLine="567"/>
              <w:rPr>
                <w:lang w:eastAsia="x-none"/>
              </w:rPr>
            </w:pPr>
            <w:r w:rsidRPr="00A23740">
              <w:rPr>
                <w:lang w:eastAsia="x-none"/>
              </w:rPr>
              <w:lastRenderedPageBreak/>
              <w:t>Mehaz kanunda yapılan 1994 değişikliğiy</w:t>
            </w:r>
            <w:r w:rsidR="00142DE4" w:rsidRPr="00A23740">
              <w:rPr>
                <w:lang w:eastAsia="x-none"/>
              </w:rPr>
              <w:t xml:space="preserve">le, 2004 sayılı </w:t>
            </w:r>
            <w:r w:rsidR="009A1870" w:rsidRPr="002144D4">
              <w:rPr>
                <w:lang w:eastAsia="x-none"/>
              </w:rPr>
              <w:t>Kanunun</w:t>
            </w:r>
            <w:r w:rsidR="009A1870" w:rsidRPr="00A23740">
              <w:rPr>
                <w:lang w:eastAsia="x-none"/>
              </w:rPr>
              <w:t xml:space="preserve"> </w:t>
            </w:r>
            <w:r w:rsidR="00142DE4" w:rsidRPr="00A23740">
              <w:rPr>
                <w:lang w:eastAsia="x-none"/>
              </w:rPr>
              <w:t xml:space="preserve">20 nci maddesine tekabül eden 33 üncü </w:t>
            </w:r>
            <w:r w:rsidRPr="00A23740">
              <w:rPr>
                <w:lang w:eastAsia="x-none"/>
              </w:rPr>
              <w:t xml:space="preserve">maddede, kanuni bir sürenin münhasıran ilgili lehine sonuç doğurması kaydıyla, sadece borçlunun değil, süreden istifade hakkı olan bütün ilgililerin, süreden vazgeçebilecekleri </w:t>
            </w:r>
            <w:r w:rsidR="00E34D9B" w:rsidRPr="00A23740">
              <w:rPr>
                <w:lang w:eastAsia="x-none"/>
              </w:rPr>
              <w:t>kabul edilmiştir</w:t>
            </w:r>
            <w:r w:rsidRPr="00A23740">
              <w:rPr>
                <w:lang w:eastAsia="x-none"/>
              </w:rPr>
              <w:t>. İsviçre’de uygulaması çok az olduğu literatürde ifad</w:t>
            </w:r>
            <w:r w:rsidR="00142DE4" w:rsidRPr="00A23740">
              <w:rPr>
                <w:lang w:eastAsia="x-none"/>
              </w:rPr>
              <w:t xml:space="preserve">e edilen bu yeni İsviçre hükmü </w:t>
            </w:r>
            <w:r w:rsidR="00E34D9B" w:rsidRPr="00A23740">
              <w:rPr>
                <w:lang w:eastAsia="x-none"/>
              </w:rPr>
              <w:t xml:space="preserve">Taslağa </w:t>
            </w:r>
            <w:r w:rsidRPr="00A23740">
              <w:rPr>
                <w:lang w:eastAsia="x-none"/>
              </w:rPr>
              <w:t>yansıtılmamıştır.</w:t>
            </w:r>
          </w:p>
          <w:p w:rsidR="00A21CE2" w:rsidRPr="00A23740" w:rsidRDefault="00A21CE2" w:rsidP="009431FF">
            <w:pPr>
              <w:tabs>
                <w:tab w:val="left" w:pos="567"/>
              </w:tabs>
              <w:ind w:firstLine="567"/>
              <w:rPr>
                <w:lang w:eastAsia="x-none"/>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b/>
                <w:bCs/>
                <w:strike/>
                <w:color w:val="FF0000"/>
                <w:szCs w:val="24"/>
                <w:lang w:val="x-none" w:eastAsia="x-none"/>
              </w:rPr>
            </w:pPr>
            <w:r w:rsidRPr="00A23740">
              <w:rPr>
                <w:b/>
                <w:bCs/>
                <w:strike/>
                <w:color w:val="FF0000"/>
                <w:szCs w:val="24"/>
                <w:lang w:val="x-none" w:eastAsia="x-none"/>
              </w:rPr>
              <w:lastRenderedPageBreak/>
              <w:t>II – FEVKALADE HALLERDE TATİL</w:t>
            </w:r>
          </w:p>
          <w:p w:rsidR="00155AF4" w:rsidRPr="00A23740" w:rsidRDefault="00155AF4" w:rsidP="009431FF">
            <w:pPr>
              <w:tabs>
                <w:tab w:val="left" w:pos="567"/>
              </w:tabs>
              <w:rPr>
                <w:b/>
                <w:bCs/>
                <w:strike/>
                <w:color w:val="FF0000"/>
                <w:szCs w:val="24"/>
                <w:lang w:val="x-none" w:eastAsia="x-none"/>
              </w:rPr>
            </w:pPr>
            <w:r w:rsidRPr="00A23740">
              <w:rPr>
                <w:b/>
                <w:bCs/>
                <w:strike/>
                <w:color w:val="FF0000"/>
                <w:szCs w:val="24"/>
                <w:lang w:val="x-none" w:eastAsia="x-none"/>
              </w:rPr>
              <w:t>İcra takiplerinin durdurulması halleri:</w:t>
            </w:r>
          </w:p>
          <w:p w:rsidR="00155AF4" w:rsidRPr="00A23740" w:rsidRDefault="00155AF4" w:rsidP="009431FF">
            <w:pPr>
              <w:tabs>
                <w:tab w:val="left" w:pos="567"/>
              </w:tabs>
              <w:rPr>
                <w:b/>
                <w:bCs/>
                <w:strike/>
                <w:color w:val="FF0000"/>
                <w:szCs w:val="24"/>
                <w:lang w:val="x-none" w:eastAsia="x-none"/>
              </w:rPr>
            </w:pPr>
            <w:r w:rsidRPr="00A23740">
              <w:rPr>
                <w:b/>
                <w:bCs/>
                <w:strike/>
                <w:color w:val="FF0000"/>
                <w:szCs w:val="24"/>
                <w:lang w:val="x-none" w:eastAsia="x-none"/>
              </w:rPr>
              <w:t>Madde 330 – </w:t>
            </w:r>
            <w:r w:rsidRPr="00A23740">
              <w:rPr>
                <w:bCs/>
                <w:color w:val="000000"/>
                <w:szCs w:val="24"/>
                <w:lang w:val="x-none" w:eastAsia="x-none"/>
              </w:rPr>
              <w:t>Salgın hastalık,</w:t>
            </w:r>
            <w:r w:rsidR="00BA5793" w:rsidRPr="00A23740">
              <w:rPr>
                <w:bCs/>
                <w:color w:val="000000"/>
                <w:szCs w:val="24"/>
                <w:lang w:eastAsia="x-none"/>
              </w:rPr>
              <w:t xml:space="preserve"> </w:t>
            </w:r>
            <w:r w:rsidRPr="00A23740">
              <w:rPr>
                <w:b/>
                <w:bCs/>
                <w:strike/>
                <w:color w:val="FF0000"/>
                <w:szCs w:val="24"/>
                <w:lang w:val="x-none" w:eastAsia="x-none"/>
              </w:rPr>
              <w:t>umumi bir musibet veya harb</w:t>
            </w:r>
            <w:r w:rsidRPr="00A23740">
              <w:rPr>
                <w:b/>
                <w:bCs/>
                <w:color w:val="FF0000"/>
                <w:szCs w:val="24"/>
                <w:lang w:val="x-none" w:eastAsia="x-none"/>
              </w:rPr>
              <w:t xml:space="preserve"> </w:t>
            </w:r>
            <w:r w:rsidRPr="00A23740">
              <w:rPr>
                <w:bCs/>
                <w:color w:val="000000"/>
                <w:szCs w:val="24"/>
                <w:lang w:val="x-none" w:eastAsia="x-none"/>
              </w:rPr>
              <w:t xml:space="preserve">halinde Cumhurbaşkanı </w:t>
            </w:r>
            <w:r w:rsidRPr="00A23740">
              <w:rPr>
                <w:b/>
                <w:bCs/>
                <w:strike/>
                <w:color w:val="FF0000"/>
                <w:szCs w:val="24"/>
                <w:lang w:val="x-none" w:eastAsia="x-none"/>
              </w:rPr>
              <w:t xml:space="preserve">karariyle memleketin </w:t>
            </w:r>
            <w:r w:rsidRPr="00A23740">
              <w:rPr>
                <w:bCs/>
                <w:color w:val="000000"/>
                <w:szCs w:val="24"/>
                <w:lang w:val="x-none" w:eastAsia="x-none"/>
              </w:rPr>
              <w:t>bir kısmında</w:t>
            </w:r>
            <w:r w:rsidRPr="00A23740">
              <w:rPr>
                <w:b/>
                <w:bCs/>
                <w:strike/>
                <w:color w:val="FF0000"/>
                <w:szCs w:val="24"/>
                <w:lang w:val="x-none" w:eastAsia="x-none"/>
              </w:rPr>
              <w:t xml:space="preserve"> veya </w:t>
            </w:r>
            <w:r w:rsidRPr="00A23740">
              <w:rPr>
                <w:bCs/>
                <w:color w:val="000000"/>
                <w:szCs w:val="24"/>
                <w:lang w:val="x-none" w:eastAsia="x-none"/>
              </w:rPr>
              <w:t xml:space="preserve">bazı </w:t>
            </w:r>
            <w:r w:rsidRPr="00A23740">
              <w:rPr>
                <w:b/>
                <w:bCs/>
                <w:strike/>
                <w:color w:val="FF0000"/>
                <w:szCs w:val="24"/>
                <w:lang w:val="x-none" w:eastAsia="x-none"/>
              </w:rPr>
              <w:t>iktisadi zümreler lehine muayyen bir müddet</w:t>
            </w:r>
            <w:r w:rsidRPr="00A23740">
              <w:rPr>
                <w:b/>
                <w:bCs/>
                <w:color w:val="FF0000"/>
                <w:szCs w:val="24"/>
                <w:lang w:val="x-none" w:eastAsia="x-none"/>
              </w:rPr>
              <w:t xml:space="preserve"> </w:t>
            </w:r>
            <w:r w:rsidRPr="00A23740">
              <w:rPr>
                <w:bCs/>
                <w:color w:val="000000"/>
                <w:szCs w:val="24"/>
                <w:lang w:val="x-none" w:eastAsia="x-none"/>
              </w:rPr>
              <w:t>için icra takipleri durdurulabilir.</w:t>
            </w:r>
          </w:p>
          <w:p w:rsidR="00155AF4" w:rsidRPr="00A23740" w:rsidRDefault="00155AF4" w:rsidP="009431FF">
            <w:pPr>
              <w:tabs>
                <w:tab w:val="left" w:pos="567"/>
              </w:tabs>
              <w:rPr>
                <w:b/>
                <w:bCs/>
                <w:strike/>
                <w:color w:val="FF0000"/>
                <w:szCs w:val="24"/>
                <w:lang w:val="x-none" w:eastAsia="x-none"/>
              </w:rPr>
            </w:pPr>
          </w:p>
          <w:p w:rsidR="00155AF4" w:rsidRPr="00A23740" w:rsidRDefault="00155AF4" w:rsidP="009431FF">
            <w:pPr>
              <w:tabs>
                <w:tab w:val="left" w:pos="567"/>
              </w:tabs>
              <w:rPr>
                <w:b/>
                <w:bCs/>
                <w:strike/>
                <w:color w:val="FF0000"/>
                <w:szCs w:val="24"/>
                <w:lang w:val="x-none" w:eastAsia="x-none"/>
              </w:rPr>
            </w:pPr>
            <w:r w:rsidRPr="00A23740">
              <w:rPr>
                <w:b/>
                <w:bCs/>
                <w:strike/>
                <w:color w:val="FF0000"/>
                <w:szCs w:val="24"/>
                <w:lang w:val="x-none" w:eastAsia="x-none"/>
              </w:rPr>
              <w:t>Neticeler, takipler ve müddetler:</w:t>
            </w:r>
          </w:p>
          <w:p w:rsidR="00155AF4" w:rsidRPr="00A23740" w:rsidRDefault="00155AF4" w:rsidP="009431FF">
            <w:pPr>
              <w:tabs>
                <w:tab w:val="left" w:pos="567"/>
              </w:tabs>
              <w:rPr>
                <w:b/>
                <w:bCs/>
                <w:strike/>
                <w:color w:val="FF0000"/>
                <w:szCs w:val="24"/>
                <w:lang w:val="x-none" w:eastAsia="x-none"/>
              </w:rPr>
            </w:pPr>
            <w:r w:rsidRPr="00A23740">
              <w:rPr>
                <w:b/>
                <w:bCs/>
                <w:strike/>
                <w:color w:val="FF0000"/>
                <w:szCs w:val="24"/>
                <w:lang w:val="x-none" w:eastAsia="x-none"/>
              </w:rPr>
              <w:t>Madde 323 – (Değişik: 17/7/2003-4949/86 md.)</w:t>
            </w:r>
          </w:p>
          <w:p w:rsidR="00155AF4" w:rsidRPr="00A23740" w:rsidRDefault="00155AF4" w:rsidP="009431FF">
            <w:pPr>
              <w:tabs>
                <w:tab w:val="left" w:pos="567"/>
              </w:tabs>
              <w:rPr>
                <w:b/>
                <w:bCs/>
                <w:strike/>
                <w:color w:val="FF0000"/>
                <w:szCs w:val="24"/>
                <w:lang w:val="x-none" w:eastAsia="x-none"/>
              </w:rPr>
            </w:pPr>
            <w:r w:rsidRPr="00A23740">
              <w:rPr>
                <w:b/>
                <w:bCs/>
                <w:strike/>
                <w:color w:val="FF0000"/>
                <w:szCs w:val="24"/>
                <w:lang w:val="x-none" w:eastAsia="x-none"/>
              </w:rPr>
              <w:t>Mühlet içinde borçluya karşı takip yapılabilir ve bu takiplere hacze veya depo emrine kadar devam edilebilir. Haczedilen ücretler mühlet sırasında da tahsil edilir; mühlet sırasında veya mühletten önce başlatılmış bir takip çerçevesinde aynî teminat kapsamına girdiği takdirde kiralar için de aynı kural geçerlidir. Buna mukabil, rehnin paraya çevrilmesi talebi, haciz veya depo emri mühletin verilmesinden önce vuku bulmuş olsa bile, satış yapılamaz veya  iflâsa  karar verilemez.</w:t>
            </w:r>
          </w:p>
          <w:p w:rsidR="00155AF4" w:rsidRPr="00A23740" w:rsidRDefault="00155AF4" w:rsidP="009431FF">
            <w:pPr>
              <w:tabs>
                <w:tab w:val="left" w:pos="567"/>
              </w:tabs>
              <w:rPr>
                <w:b/>
                <w:bCs/>
                <w:strike/>
                <w:color w:val="FF0000"/>
                <w:szCs w:val="24"/>
                <w:lang w:val="x-none" w:eastAsia="x-none"/>
              </w:rPr>
            </w:pPr>
          </w:p>
          <w:p w:rsidR="00155AF4" w:rsidRPr="00A23740" w:rsidRDefault="00155AF4" w:rsidP="009431FF">
            <w:pPr>
              <w:tabs>
                <w:tab w:val="left" w:pos="567"/>
              </w:tabs>
              <w:rPr>
                <w:b/>
                <w:bCs/>
                <w:strike/>
                <w:color w:val="FF0000"/>
                <w:szCs w:val="24"/>
                <w:lang w:val="x-none" w:eastAsia="x-none"/>
              </w:rPr>
            </w:pPr>
            <w:r w:rsidRPr="00A23740">
              <w:rPr>
                <w:b/>
                <w:bCs/>
                <w:strike/>
                <w:color w:val="FF0000"/>
                <w:szCs w:val="24"/>
                <w:lang w:val="x-none" w:eastAsia="x-none"/>
              </w:rPr>
              <w:t>106, 150/e, 156, 206, 278, 279 ve 280 inci</w:t>
            </w:r>
            <w:r w:rsidRPr="00A23740">
              <w:rPr>
                <w:bCs/>
                <w:color w:val="000000"/>
                <w:szCs w:val="24"/>
                <w:lang w:val="x-none" w:eastAsia="x-none"/>
              </w:rPr>
              <w:t xml:space="preserve"> maddelerde öngörülen süreler</w:t>
            </w:r>
            <w:r w:rsidRPr="00A23740">
              <w:rPr>
                <w:b/>
                <w:bCs/>
                <w:color w:val="FF0000"/>
                <w:szCs w:val="24"/>
                <w:lang w:val="x-none" w:eastAsia="x-none"/>
              </w:rPr>
              <w:t xml:space="preserve"> </w:t>
            </w:r>
            <w:r w:rsidRPr="00A23740">
              <w:rPr>
                <w:b/>
                <w:bCs/>
                <w:strike/>
                <w:color w:val="FF0000"/>
                <w:szCs w:val="24"/>
                <w:lang w:val="x-none" w:eastAsia="x-none"/>
              </w:rPr>
              <w:t>mühlet</w:t>
            </w:r>
            <w:r w:rsidRPr="00A23740">
              <w:rPr>
                <w:b/>
                <w:bCs/>
                <w:color w:val="FF0000"/>
                <w:szCs w:val="24"/>
                <w:lang w:val="x-none" w:eastAsia="x-none"/>
              </w:rPr>
              <w:t xml:space="preserve"> </w:t>
            </w:r>
            <w:r w:rsidRPr="00A23740">
              <w:rPr>
                <w:bCs/>
                <w:color w:val="000000"/>
                <w:szCs w:val="24"/>
                <w:lang w:val="x-none" w:eastAsia="x-none"/>
              </w:rPr>
              <w:t>süresince uzatılır.</w:t>
            </w:r>
            <w:r w:rsidRPr="00A23740">
              <w:rPr>
                <w:b/>
                <w:bCs/>
                <w:color w:val="FF0000"/>
                <w:szCs w:val="24"/>
                <w:lang w:val="x-none" w:eastAsia="x-none"/>
              </w:rPr>
              <w:t xml:space="preserve"> </w:t>
            </w:r>
            <w:r w:rsidRPr="00A23740">
              <w:rPr>
                <w:bCs/>
                <w:color w:val="000000"/>
                <w:szCs w:val="24"/>
                <w:lang w:val="x-none" w:eastAsia="x-none"/>
              </w:rPr>
              <w:t>Aynı kural,</w:t>
            </w:r>
            <w:r w:rsidRPr="00A23740">
              <w:rPr>
                <w:b/>
                <w:bCs/>
                <w:color w:val="FF0000"/>
                <w:szCs w:val="24"/>
                <w:lang w:val="x-none" w:eastAsia="x-none"/>
              </w:rPr>
              <w:t xml:space="preserve"> </w:t>
            </w:r>
            <w:r w:rsidRPr="00A23740">
              <w:rPr>
                <w:b/>
                <w:bCs/>
                <w:strike/>
                <w:color w:val="FF0000"/>
                <w:szCs w:val="24"/>
                <w:lang w:val="x-none" w:eastAsia="x-none"/>
              </w:rPr>
              <w:t>aynî</w:t>
            </w:r>
            <w:r w:rsidRPr="00A23740">
              <w:rPr>
                <w:b/>
                <w:bCs/>
                <w:color w:val="FF0000"/>
                <w:szCs w:val="24"/>
                <w:lang w:val="x-none" w:eastAsia="x-none"/>
              </w:rPr>
              <w:t xml:space="preserve"> </w:t>
            </w:r>
            <w:r w:rsidRPr="00A23740">
              <w:rPr>
                <w:bCs/>
                <w:color w:val="000000"/>
                <w:szCs w:val="24"/>
                <w:lang w:val="x-none" w:eastAsia="x-none"/>
              </w:rPr>
              <w:t>teminatlarda, taşınmaz rehni ile temin edilmiş alacakların faizleri için de geçerlidir.</w:t>
            </w:r>
          </w:p>
          <w:p w:rsidR="00155AF4" w:rsidRPr="00A23740" w:rsidRDefault="00155AF4" w:rsidP="009431FF">
            <w:pPr>
              <w:pStyle w:val="KIRMIZI"/>
              <w:rPr>
                <w:lang w:val="tr-TR"/>
              </w:rPr>
            </w:pPr>
          </w:p>
        </w:tc>
        <w:tc>
          <w:tcPr>
            <w:tcW w:w="2500" w:type="pct"/>
          </w:tcPr>
          <w:p w:rsidR="00155AF4" w:rsidRPr="00A23740" w:rsidRDefault="00155AF4" w:rsidP="009431FF">
            <w:pPr>
              <w:rPr>
                <w:b/>
                <w:szCs w:val="24"/>
              </w:rPr>
            </w:pPr>
            <w:r w:rsidRPr="00A23740">
              <w:rPr>
                <w:rStyle w:val="MaviChar"/>
              </w:rPr>
              <w:t>Olağanüstü</w:t>
            </w:r>
            <w:r w:rsidRPr="00A23740">
              <w:rPr>
                <w:b/>
                <w:szCs w:val="24"/>
              </w:rPr>
              <w:t xml:space="preserve"> h</w:t>
            </w:r>
            <w:r w:rsidR="009A1870" w:rsidRPr="00A23740">
              <w:rPr>
                <w:b/>
                <w:szCs w:val="24"/>
              </w:rPr>
              <w:t>â</w:t>
            </w:r>
            <w:r w:rsidRPr="00A23740">
              <w:rPr>
                <w:b/>
                <w:szCs w:val="24"/>
              </w:rPr>
              <w:t>llerde sürelerin durdurulması</w:t>
            </w:r>
          </w:p>
          <w:p w:rsidR="00155AF4" w:rsidRPr="00A23740" w:rsidRDefault="00155AF4" w:rsidP="009431FF">
            <w:pPr>
              <w:rPr>
                <w:color w:val="000000"/>
                <w:szCs w:val="24"/>
                <w:lang w:eastAsia="tr-TR"/>
              </w:rPr>
            </w:pPr>
            <w:r w:rsidRPr="00A23740">
              <w:rPr>
                <w:rStyle w:val="MaviChar"/>
              </w:rPr>
              <w:t>MADDE 39-</w:t>
            </w:r>
            <w:r w:rsidRPr="00A23740">
              <w:rPr>
                <w:b/>
                <w:color w:val="0000FF"/>
                <w:szCs w:val="24"/>
                <w:lang w:eastAsia="tr-TR"/>
              </w:rPr>
              <w:t xml:space="preserve"> (</w:t>
            </w:r>
            <w:r w:rsidRPr="00A23740">
              <w:rPr>
                <w:b/>
                <w:bCs/>
                <w:color w:val="0000FF"/>
                <w:szCs w:val="24"/>
                <w:lang w:val="x-none" w:eastAsia="x-none"/>
              </w:rPr>
              <w:t xml:space="preserve">1) </w:t>
            </w:r>
            <w:r w:rsidRPr="00A23740">
              <w:rPr>
                <w:bCs/>
                <w:color w:val="000000"/>
                <w:szCs w:val="24"/>
                <w:lang w:val="x-none" w:eastAsia="x-none"/>
              </w:rPr>
              <w:t>Salgın hastalık,</w:t>
            </w:r>
            <w:r w:rsidRPr="00A23740">
              <w:rPr>
                <w:b/>
                <w:bCs/>
                <w:color w:val="0000FF"/>
                <w:szCs w:val="24"/>
                <w:lang w:val="x-none" w:eastAsia="x-none"/>
              </w:rPr>
              <w:t xml:space="preserve"> </w:t>
            </w:r>
            <w:r w:rsidRPr="00A23740">
              <w:rPr>
                <w:rStyle w:val="MaviChar"/>
              </w:rPr>
              <w:t>doğal afet</w:t>
            </w:r>
            <w:r w:rsidRPr="00A23740">
              <w:rPr>
                <w:b/>
                <w:bCs/>
                <w:color w:val="0000FF"/>
                <w:szCs w:val="24"/>
                <w:lang w:val="x-none" w:eastAsia="x-none"/>
              </w:rPr>
              <w:t>, savaş</w:t>
            </w:r>
            <w:r w:rsidRPr="00A23740">
              <w:rPr>
                <w:b/>
                <w:bCs/>
                <w:color w:val="0000FF"/>
                <w:szCs w:val="24"/>
                <w:lang w:eastAsia="x-none"/>
              </w:rPr>
              <w:t xml:space="preserve"> </w:t>
            </w:r>
            <w:r w:rsidRPr="00A23740">
              <w:rPr>
                <w:rStyle w:val="MaviChar"/>
              </w:rPr>
              <w:t xml:space="preserve">veya devamlı ekonomik kriz </w:t>
            </w:r>
            <w:r w:rsidRPr="00A23740">
              <w:rPr>
                <w:color w:val="000000"/>
              </w:rPr>
              <w:t>h</w:t>
            </w:r>
            <w:r w:rsidR="009A1870" w:rsidRPr="00A23740">
              <w:rPr>
                <w:color w:val="000000"/>
              </w:rPr>
              <w:t>â</w:t>
            </w:r>
            <w:r w:rsidRPr="00A23740">
              <w:rPr>
                <w:color w:val="000000"/>
              </w:rPr>
              <w:t>linde</w:t>
            </w:r>
            <w:r w:rsidRPr="00A23740">
              <w:rPr>
                <w:b/>
                <w:bCs/>
                <w:color w:val="0000FF"/>
                <w:szCs w:val="24"/>
                <w:lang w:val="x-none" w:eastAsia="x-none"/>
              </w:rPr>
              <w:t xml:space="preserve"> </w:t>
            </w:r>
            <w:r w:rsidRPr="00A23740">
              <w:rPr>
                <w:bCs/>
                <w:color w:val="000000"/>
                <w:szCs w:val="24"/>
                <w:lang w:val="x-none" w:eastAsia="x-none"/>
              </w:rPr>
              <w:t>Cumhurbaşkanı</w:t>
            </w:r>
            <w:r w:rsidRPr="00A23740">
              <w:rPr>
                <w:b/>
                <w:bCs/>
                <w:color w:val="0000FF"/>
                <w:szCs w:val="24"/>
                <w:lang w:val="x-none" w:eastAsia="x-none"/>
              </w:rPr>
              <w:t xml:space="preserve"> kararıyla </w:t>
            </w:r>
            <w:r w:rsidR="00DB195D" w:rsidRPr="00A23740">
              <w:rPr>
                <w:b/>
                <w:bCs/>
                <w:color w:val="0000FF"/>
                <w:szCs w:val="24"/>
                <w:lang w:eastAsia="x-none"/>
              </w:rPr>
              <w:t>ü</w:t>
            </w:r>
            <w:r w:rsidRPr="00A23740">
              <w:rPr>
                <w:b/>
                <w:bCs/>
                <w:color w:val="0000FF"/>
                <w:szCs w:val="24"/>
                <w:lang w:val="x-none" w:eastAsia="x-none"/>
              </w:rPr>
              <w:t xml:space="preserve">lkenin tamamında veya </w:t>
            </w:r>
            <w:r w:rsidRPr="00A23740">
              <w:rPr>
                <w:bCs/>
                <w:color w:val="000000"/>
                <w:szCs w:val="24"/>
                <w:lang w:val="x-none" w:eastAsia="x-none"/>
              </w:rPr>
              <w:t>bir kısmında</w:t>
            </w:r>
            <w:r w:rsidRPr="00A23740">
              <w:rPr>
                <w:b/>
                <w:bCs/>
                <w:color w:val="0000FF"/>
                <w:szCs w:val="24"/>
                <w:lang w:val="x-none" w:eastAsia="x-none"/>
              </w:rPr>
              <w:t xml:space="preserve"> ya da</w:t>
            </w:r>
            <w:r w:rsidRPr="00A23740">
              <w:rPr>
                <w:bCs/>
                <w:color w:val="000000"/>
                <w:szCs w:val="24"/>
                <w:lang w:val="x-none" w:eastAsia="x-none"/>
              </w:rPr>
              <w:t xml:space="preserve"> bazı </w:t>
            </w:r>
            <w:r w:rsidRPr="00A23740">
              <w:rPr>
                <w:b/>
                <w:bCs/>
                <w:color w:val="0000FF"/>
                <w:szCs w:val="24"/>
                <w:lang w:val="x-none" w:eastAsia="x-none"/>
              </w:rPr>
              <w:t xml:space="preserve">işletmeler </w:t>
            </w:r>
            <w:r w:rsidRPr="00A23740">
              <w:rPr>
                <w:rStyle w:val="MaviChar"/>
              </w:rPr>
              <w:t>veya sektörler</w:t>
            </w:r>
            <w:r w:rsidRPr="00A23740">
              <w:rPr>
                <w:b/>
                <w:bCs/>
                <w:color w:val="0000FF"/>
                <w:szCs w:val="24"/>
                <w:lang w:eastAsia="x-none"/>
              </w:rPr>
              <w:t xml:space="preserve"> </w:t>
            </w:r>
            <w:r w:rsidRPr="00A23740">
              <w:rPr>
                <w:b/>
                <w:bCs/>
                <w:color w:val="0000FF"/>
                <w:szCs w:val="24"/>
                <w:lang w:val="x-none" w:eastAsia="x-none"/>
              </w:rPr>
              <w:t xml:space="preserve">lehine belirli bir süre </w:t>
            </w:r>
            <w:r w:rsidRPr="00A23740">
              <w:rPr>
                <w:bCs/>
                <w:color w:val="000000"/>
                <w:szCs w:val="24"/>
                <w:lang w:val="x-none" w:eastAsia="x-none"/>
              </w:rPr>
              <w:t>için icra</w:t>
            </w:r>
            <w:r w:rsidRPr="00A23740">
              <w:rPr>
                <w:b/>
                <w:bCs/>
                <w:color w:val="0000FF"/>
                <w:szCs w:val="24"/>
                <w:lang w:val="x-none" w:eastAsia="x-none"/>
              </w:rPr>
              <w:t xml:space="preserve"> ve iflas </w:t>
            </w:r>
            <w:r w:rsidRPr="00A23740">
              <w:rPr>
                <w:bCs/>
                <w:color w:val="000000"/>
                <w:szCs w:val="24"/>
                <w:lang w:val="x-none" w:eastAsia="x-none"/>
              </w:rPr>
              <w:t>takipleri durdurulabilir.</w:t>
            </w:r>
            <w:r w:rsidRPr="00A23740">
              <w:rPr>
                <w:b/>
                <w:bCs/>
                <w:color w:val="0000FF"/>
                <w:szCs w:val="24"/>
                <w:lang w:val="x-none" w:eastAsia="x-none"/>
              </w:rPr>
              <w:t xml:space="preserve"> </w:t>
            </w:r>
          </w:p>
          <w:p w:rsidR="00155AF4" w:rsidRPr="00A23740" w:rsidRDefault="00155AF4" w:rsidP="009431FF">
            <w:pPr>
              <w:rPr>
                <w:b/>
                <w:bCs/>
                <w:color w:val="0000FF"/>
                <w:szCs w:val="24"/>
                <w:lang w:val="x-none" w:eastAsia="x-none"/>
              </w:rPr>
            </w:pPr>
          </w:p>
          <w:p w:rsidR="00155AF4" w:rsidRPr="00A23740" w:rsidRDefault="00155AF4" w:rsidP="009431FF">
            <w:pPr>
              <w:rPr>
                <w:b/>
                <w:bCs/>
                <w:color w:val="0000FF"/>
                <w:szCs w:val="24"/>
                <w:lang w:val="x-none" w:eastAsia="x-none"/>
              </w:rPr>
            </w:pPr>
          </w:p>
          <w:p w:rsidR="00BA5793" w:rsidRPr="00A23740" w:rsidRDefault="00BA5793" w:rsidP="009431FF">
            <w:pPr>
              <w:rPr>
                <w:b/>
                <w:bCs/>
                <w:color w:val="0000FF"/>
                <w:szCs w:val="24"/>
                <w:lang w:val="x-none" w:eastAsia="x-none"/>
              </w:rPr>
            </w:pPr>
          </w:p>
          <w:p w:rsidR="00BA5793" w:rsidRPr="00A23740" w:rsidRDefault="00BA5793" w:rsidP="009431FF">
            <w:pPr>
              <w:rPr>
                <w:b/>
                <w:bCs/>
                <w:color w:val="0000FF"/>
                <w:szCs w:val="24"/>
                <w:lang w:val="x-none" w:eastAsia="x-none"/>
              </w:rPr>
            </w:pPr>
          </w:p>
          <w:p w:rsidR="00BA5793" w:rsidRPr="00A23740" w:rsidRDefault="00BA5793" w:rsidP="009431FF">
            <w:pPr>
              <w:rPr>
                <w:b/>
                <w:bCs/>
                <w:color w:val="0000FF"/>
                <w:szCs w:val="24"/>
                <w:lang w:val="x-none" w:eastAsia="x-none"/>
              </w:rPr>
            </w:pPr>
          </w:p>
          <w:p w:rsidR="00BA5793" w:rsidRPr="00A23740" w:rsidRDefault="00BA5793" w:rsidP="009431FF">
            <w:pPr>
              <w:rPr>
                <w:b/>
                <w:bCs/>
                <w:color w:val="0000FF"/>
                <w:szCs w:val="24"/>
                <w:lang w:val="x-none" w:eastAsia="x-none"/>
              </w:rPr>
            </w:pPr>
          </w:p>
          <w:p w:rsidR="00197A30" w:rsidRPr="00A23740" w:rsidRDefault="00197A30" w:rsidP="009431FF">
            <w:pPr>
              <w:rPr>
                <w:b/>
                <w:bCs/>
                <w:color w:val="0000FF"/>
                <w:szCs w:val="24"/>
                <w:lang w:val="x-none" w:eastAsia="x-none"/>
              </w:rPr>
            </w:pPr>
          </w:p>
          <w:p w:rsidR="00197A30" w:rsidRPr="00A23740" w:rsidRDefault="00197A30" w:rsidP="009431FF">
            <w:pPr>
              <w:rPr>
                <w:b/>
                <w:bCs/>
                <w:color w:val="0000FF"/>
                <w:szCs w:val="24"/>
                <w:lang w:val="x-none" w:eastAsia="x-none"/>
              </w:rPr>
            </w:pPr>
          </w:p>
          <w:p w:rsidR="00197A30" w:rsidRPr="00A23740" w:rsidRDefault="00197A30" w:rsidP="009431FF">
            <w:pPr>
              <w:rPr>
                <w:b/>
                <w:bCs/>
                <w:color w:val="0000FF"/>
                <w:szCs w:val="24"/>
                <w:lang w:val="x-none" w:eastAsia="x-none"/>
              </w:rPr>
            </w:pPr>
          </w:p>
          <w:p w:rsidR="00BA5793" w:rsidRPr="00A23740" w:rsidRDefault="00BA5793" w:rsidP="009431FF">
            <w:pPr>
              <w:rPr>
                <w:b/>
                <w:bCs/>
                <w:color w:val="0000FF"/>
                <w:szCs w:val="24"/>
                <w:lang w:val="x-none" w:eastAsia="x-none"/>
              </w:rPr>
            </w:pPr>
          </w:p>
          <w:p w:rsidR="00BA5793" w:rsidRPr="00A23740" w:rsidRDefault="00BA5793" w:rsidP="009431FF">
            <w:pPr>
              <w:rPr>
                <w:b/>
                <w:bCs/>
                <w:color w:val="0000FF"/>
                <w:szCs w:val="24"/>
                <w:lang w:val="x-none" w:eastAsia="x-none"/>
              </w:rPr>
            </w:pPr>
          </w:p>
          <w:p w:rsidR="00BA5793" w:rsidRPr="00A23740" w:rsidRDefault="00BA5793" w:rsidP="009431FF">
            <w:pPr>
              <w:rPr>
                <w:b/>
                <w:bCs/>
                <w:color w:val="0000FF"/>
                <w:szCs w:val="24"/>
                <w:lang w:val="x-none" w:eastAsia="x-none"/>
              </w:rPr>
            </w:pPr>
          </w:p>
          <w:p w:rsidR="004D1182" w:rsidRPr="00A23740" w:rsidRDefault="004D1182" w:rsidP="009431FF">
            <w:pPr>
              <w:rPr>
                <w:b/>
                <w:bCs/>
                <w:color w:val="0000FF"/>
                <w:szCs w:val="24"/>
                <w:lang w:val="x-none" w:eastAsia="x-none"/>
              </w:rPr>
            </w:pPr>
          </w:p>
          <w:p w:rsidR="00155AF4" w:rsidRPr="00A23740" w:rsidRDefault="00155AF4" w:rsidP="009431FF">
            <w:pPr>
              <w:tabs>
                <w:tab w:val="left" w:pos="567"/>
              </w:tabs>
              <w:rPr>
                <w:b/>
                <w:bCs/>
                <w:color w:val="0000FF"/>
                <w:szCs w:val="24"/>
                <w:lang w:eastAsia="x-none"/>
              </w:rPr>
            </w:pPr>
            <w:r w:rsidRPr="00A23740">
              <w:rPr>
                <w:b/>
                <w:bCs/>
                <w:color w:val="0000FF"/>
                <w:szCs w:val="24"/>
                <w:lang w:eastAsia="x-none"/>
              </w:rPr>
              <w:t xml:space="preserve">(2) </w:t>
            </w:r>
            <w:r w:rsidR="009A1870" w:rsidRPr="003049D7">
              <w:rPr>
                <w:rStyle w:val="KonuBalChar"/>
                <w:rFonts w:eastAsia="Calibri"/>
                <w:color w:val="0000FF"/>
              </w:rPr>
              <w:t>129</w:t>
            </w:r>
            <w:r w:rsidRPr="003049D7">
              <w:rPr>
                <w:b/>
                <w:bCs/>
                <w:color w:val="0000FF"/>
                <w:szCs w:val="24"/>
                <w:lang w:val="x-none" w:eastAsia="x-none"/>
              </w:rPr>
              <w:t xml:space="preserve">, </w:t>
            </w:r>
            <w:r w:rsidR="009A1870" w:rsidRPr="003049D7">
              <w:rPr>
                <w:rStyle w:val="KonuBalChar"/>
                <w:rFonts w:eastAsia="Calibri"/>
                <w:color w:val="0000FF"/>
              </w:rPr>
              <w:t>211</w:t>
            </w:r>
            <w:r w:rsidRPr="003049D7">
              <w:rPr>
                <w:rStyle w:val="KonuBalChar"/>
                <w:rFonts w:eastAsia="Calibri"/>
                <w:color w:val="0000FF"/>
              </w:rPr>
              <w:t>,</w:t>
            </w:r>
            <w:r w:rsidRPr="003049D7">
              <w:rPr>
                <w:b/>
                <w:bCs/>
                <w:color w:val="0000FF"/>
                <w:szCs w:val="24"/>
                <w:lang w:eastAsia="x-none"/>
              </w:rPr>
              <w:t xml:space="preserve"> </w:t>
            </w:r>
            <w:r w:rsidR="009A1870" w:rsidRPr="003049D7">
              <w:rPr>
                <w:rStyle w:val="KonuBalChar"/>
                <w:rFonts w:eastAsia="Calibri"/>
                <w:color w:val="0000FF"/>
              </w:rPr>
              <w:t>213</w:t>
            </w:r>
            <w:r w:rsidRPr="003049D7">
              <w:rPr>
                <w:b/>
                <w:bCs/>
                <w:color w:val="0000FF"/>
                <w:szCs w:val="24"/>
                <w:lang w:val="x-none" w:eastAsia="x-none"/>
              </w:rPr>
              <w:t xml:space="preserve">, </w:t>
            </w:r>
            <w:r w:rsidR="009A1870" w:rsidRPr="003049D7">
              <w:rPr>
                <w:rStyle w:val="KonuBalChar"/>
                <w:rFonts w:eastAsia="Calibri"/>
                <w:color w:val="0000FF"/>
              </w:rPr>
              <w:t>272</w:t>
            </w:r>
            <w:r w:rsidRPr="003049D7">
              <w:rPr>
                <w:b/>
                <w:bCs/>
                <w:color w:val="0000FF"/>
                <w:szCs w:val="24"/>
                <w:lang w:val="x-none" w:eastAsia="x-none"/>
              </w:rPr>
              <w:t xml:space="preserve">, </w:t>
            </w:r>
            <w:r w:rsidR="009A1870" w:rsidRPr="003049D7">
              <w:rPr>
                <w:rStyle w:val="KonuBalChar"/>
                <w:rFonts w:eastAsia="Calibri"/>
                <w:color w:val="0000FF"/>
              </w:rPr>
              <w:t>317</w:t>
            </w:r>
            <w:r w:rsidRPr="003049D7">
              <w:rPr>
                <w:b/>
                <w:bCs/>
                <w:color w:val="0000FF"/>
                <w:szCs w:val="24"/>
                <w:lang w:val="x-none" w:eastAsia="x-none"/>
              </w:rPr>
              <w:t xml:space="preserve">, </w:t>
            </w:r>
            <w:r w:rsidR="009A1870" w:rsidRPr="003049D7">
              <w:rPr>
                <w:rStyle w:val="KonuBalChar"/>
                <w:rFonts w:eastAsia="Calibri"/>
                <w:color w:val="0000FF"/>
              </w:rPr>
              <w:t>445</w:t>
            </w:r>
            <w:r w:rsidRPr="003049D7">
              <w:rPr>
                <w:b/>
                <w:bCs/>
                <w:color w:val="0000FF"/>
                <w:szCs w:val="24"/>
                <w:lang w:val="x-none" w:eastAsia="x-none"/>
              </w:rPr>
              <w:t xml:space="preserve">, </w:t>
            </w:r>
            <w:r w:rsidR="009A1870" w:rsidRPr="003049D7">
              <w:rPr>
                <w:rStyle w:val="KonuBalChar"/>
                <w:rFonts w:eastAsia="Calibri"/>
                <w:color w:val="0000FF"/>
              </w:rPr>
              <w:t>446</w:t>
            </w:r>
            <w:r w:rsidR="009A1870" w:rsidRPr="003049D7">
              <w:rPr>
                <w:b/>
                <w:bCs/>
                <w:color w:val="0000FF"/>
                <w:szCs w:val="24"/>
                <w:lang w:eastAsia="x-none"/>
              </w:rPr>
              <w:t xml:space="preserve"> </w:t>
            </w:r>
            <w:r w:rsidRPr="003049D7">
              <w:rPr>
                <w:b/>
                <w:bCs/>
                <w:color w:val="0000FF"/>
                <w:szCs w:val="24"/>
                <w:lang w:val="x-none" w:eastAsia="x-none"/>
              </w:rPr>
              <w:t xml:space="preserve">ve </w:t>
            </w:r>
            <w:r w:rsidR="009A1870" w:rsidRPr="003049D7">
              <w:rPr>
                <w:rStyle w:val="KonuBalChar"/>
                <w:rFonts w:eastAsia="Calibri"/>
                <w:color w:val="0000FF"/>
              </w:rPr>
              <w:t>447</w:t>
            </w:r>
            <w:r w:rsidR="009A1870" w:rsidRPr="003049D7">
              <w:rPr>
                <w:b/>
                <w:bCs/>
                <w:color w:val="0000FF"/>
                <w:szCs w:val="24"/>
                <w:lang w:eastAsia="x-none"/>
              </w:rPr>
              <w:t xml:space="preserve"> </w:t>
            </w:r>
            <w:r w:rsidR="00CD4B86" w:rsidRPr="003049D7">
              <w:rPr>
                <w:rStyle w:val="KonuBalChar"/>
                <w:rFonts w:eastAsia="Calibri"/>
                <w:color w:val="0000FF"/>
              </w:rPr>
              <w:t>nci</w:t>
            </w:r>
            <w:r w:rsidRPr="00A23740">
              <w:rPr>
                <w:b/>
                <w:bCs/>
                <w:color w:val="0000FF"/>
                <w:szCs w:val="24"/>
                <w:lang w:val="x-none" w:eastAsia="x-none"/>
              </w:rPr>
              <w:t xml:space="preserve"> </w:t>
            </w:r>
            <w:r w:rsidRPr="00A23740">
              <w:rPr>
                <w:bCs/>
                <w:color w:val="000000"/>
                <w:szCs w:val="24"/>
                <w:lang w:val="x-none" w:eastAsia="x-none"/>
              </w:rPr>
              <w:t>maddelerde öngörülen süreler</w:t>
            </w:r>
            <w:r w:rsidRPr="00A23740">
              <w:rPr>
                <w:b/>
                <w:bCs/>
                <w:color w:val="0000FF"/>
                <w:szCs w:val="24"/>
                <w:lang w:val="x-none" w:eastAsia="x-none"/>
              </w:rPr>
              <w:t xml:space="preserve"> </w:t>
            </w:r>
            <w:r w:rsidRPr="00A23740">
              <w:rPr>
                <w:b/>
                <w:bCs/>
                <w:color w:val="0000FF"/>
                <w:szCs w:val="24"/>
                <w:lang w:eastAsia="x-none"/>
              </w:rPr>
              <w:t>durma</w:t>
            </w:r>
            <w:r w:rsidRPr="00A23740">
              <w:rPr>
                <w:bCs/>
                <w:color w:val="000000"/>
                <w:szCs w:val="24"/>
                <w:lang w:val="x-none" w:eastAsia="x-none"/>
              </w:rPr>
              <w:t xml:space="preserve"> süresince uzatılır.</w:t>
            </w:r>
            <w:r w:rsidRPr="00A23740">
              <w:rPr>
                <w:b/>
                <w:bCs/>
                <w:color w:val="0000FF"/>
                <w:szCs w:val="24"/>
                <w:lang w:val="x-none" w:eastAsia="x-none"/>
              </w:rPr>
              <w:t xml:space="preserve"> </w:t>
            </w:r>
            <w:r w:rsidRPr="00A23740">
              <w:rPr>
                <w:bCs/>
                <w:color w:val="000000"/>
                <w:szCs w:val="24"/>
                <w:lang w:val="x-none" w:eastAsia="x-none"/>
              </w:rPr>
              <w:t>Aynı kural,</w:t>
            </w:r>
            <w:r w:rsidRPr="00A23740">
              <w:rPr>
                <w:b/>
                <w:bCs/>
                <w:color w:val="0000FF"/>
                <w:szCs w:val="24"/>
                <w:lang w:val="x-none" w:eastAsia="x-none"/>
              </w:rPr>
              <w:t xml:space="preserve"> ayn</w:t>
            </w:r>
            <w:r w:rsidRPr="00A23740">
              <w:rPr>
                <w:b/>
                <w:bCs/>
                <w:color w:val="0000FF"/>
                <w:szCs w:val="24"/>
                <w:lang w:eastAsia="x-none"/>
              </w:rPr>
              <w:t>i</w:t>
            </w:r>
            <w:r w:rsidRPr="00A23740">
              <w:rPr>
                <w:b/>
                <w:bCs/>
                <w:color w:val="0000FF"/>
                <w:szCs w:val="24"/>
                <w:lang w:val="x-none" w:eastAsia="x-none"/>
              </w:rPr>
              <w:t xml:space="preserve"> </w:t>
            </w:r>
            <w:r w:rsidRPr="00A23740">
              <w:rPr>
                <w:bCs/>
                <w:color w:val="000000"/>
                <w:szCs w:val="24"/>
                <w:lang w:val="x-none" w:eastAsia="x-none"/>
              </w:rPr>
              <w:t>teminatlarda, taşınmaz rehni ile temin edilmiş alacakların faizleri için de geçerlidir.</w:t>
            </w:r>
          </w:p>
          <w:p w:rsidR="00155AF4" w:rsidRPr="00A23740" w:rsidRDefault="00155AF4" w:rsidP="009431FF">
            <w:pPr>
              <w:rPr>
                <w:b/>
                <w:color w:val="0000FF"/>
                <w:szCs w:val="24"/>
                <w:lang w:eastAsia="tr-TR"/>
              </w:rPr>
            </w:pPr>
          </w:p>
          <w:p w:rsidR="00155AF4" w:rsidRDefault="00155AF4" w:rsidP="009431FF">
            <w:pPr>
              <w:rPr>
                <w:b/>
                <w:bCs/>
                <w:color w:val="0000FF"/>
                <w:szCs w:val="24"/>
                <w:lang w:eastAsia="x-none"/>
              </w:rPr>
            </w:pPr>
            <w:r w:rsidRPr="00A23740">
              <w:rPr>
                <w:b/>
                <w:bCs/>
                <w:color w:val="0000FF"/>
                <w:szCs w:val="24"/>
                <w:lang w:eastAsia="x-none"/>
              </w:rPr>
              <w:t xml:space="preserve">(3) Durma süresince alınması gereken </w:t>
            </w:r>
            <w:r w:rsidRPr="00A23740">
              <w:rPr>
                <w:b/>
                <w:bCs/>
                <w:color w:val="0000FF"/>
                <w:szCs w:val="24"/>
                <w:lang w:val="x-none" w:eastAsia="x-none"/>
              </w:rPr>
              <w:t xml:space="preserve">tüm tedbirlere </w:t>
            </w:r>
            <w:r w:rsidRPr="00A23740">
              <w:rPr>
                <w:b/>
                <w:bCs/>
                <w:color w:val="0000FF"/>
                <w:szCs w:val="24"/>
                <w:lang w:eastAsia="x-none"/>
              </w:rPr>
              <w:t>ilişkin usul ve esaslar Adalet Bakanlığınca belirlenir.</w:t>
            </w:r>
          </w:p>
          <w:p w:rsidR="009C5516" w:rsidRDefault="009C5516" w:rsidP="009431FF">
            <w:pPr>
              <w:rPr>
                <w:b/>
                <w:bCs/>
                <w:color w:val="0000FF"/>
                <w:szCs w:val="24"/>
                <w:lang w:eastAsia="x-none"/>
              </w:rPr>
            </w:pPr>
          </w:p>
          <w:p w:rsidR="009C5516" w:rsidRDefault="009C5516" w:rsidP="009431FF">
            <w:pPr>
              <w:rPr>
                <w:b/>
                <w:bCs/>
                <w:color w:val="0000FF"/>
                <w:szCs w:val="24"/>
                <w:lang w:eastAsia="x-none"/>
              </w:rPr>
            </w:pPr>
          </w:p>
          <w:p w:rsidR="009C5516" w:rsidRPr="00A23740" w:rsidRDefault="009C5516" w:rsidP="009431FF">
            <w:pPr>
              <w:rPr>
                <w:b/>
                <w:bCs/>
                <w:color w:val="0000FF"/>
                <w:szCs w:val="24"/>
                <w:lang w:eastAsia="x-none"/>
              </w:rPr>
            </w:pPr>
          </w:p>
          <w:p w:rsidR="00155AF4" w:rsidRPr="00A23740" w:rsidRDefault="00155AF4" w:rsidP="009431FF">
            <w:pPr>
              <w:pStyle w:val="KIRMIZI"/>
            </w:pPr>
          </w:p>
        </w:tc>
      </w:tr>
      <w:tr w:rsidR="00155AF4" w:rsidRPr="00A23740" w:rsidTr="009431FF">
        <w:tc>
          <w:tcPr>
            <w:tcW w:w="5000" w:type="pct"/>
            <w:gridSpan w:val="2"/>
            <w:shd w:val="clear" w:color="auto" w:fill="DEEAF6"/>
          </w:tcPr>
          <w:p w:rsidR="00BA5793" w:rsidRPr="00A23740" w:rsidRDefault="00BA5793" w:rsidP="009431FF">
            <w:pPr>
              <w:pStyle w:val="Mavi"/>
              <w:jc w:val="center"/>
              <w:rPr>
                <w:color w:val="auto"/>
                <w:lang w:val="tr-TR"/>
              </w:rPr>
            </w:pPr>
          </w:p>
          <w:p w:rsidR="005B6D75" w:rsidRPr="00A23740" w:rsidRDefault="00BA5793" w:rsidP="009431FF">
            <w:pPr>
              <w:pStyle w:val="Mavi"/>
              <w:ind w:firstLine="709"/>
              <w:rPr>
                <w:b w:val="0"/>
                <w:color w:val="000000"/>
              </w:rPr>
            </w:pPr>
            <w:r w:rsidRPr="00A23740">
              <w:rPr>
                <w:color w:val="auto"/>
                <w:lang w:val="tr-TR"/>
              </w:rPr>
              <w:t>MADDE 39</w:t>
            </w:r>
            <w:r w:rsidR="00155AF4" w:rsidRPr="00A23740">
              <w:rPr>
                <w:color w:val="auto"/>
                <w:lang w:val="tr-TR"/>
              </w:rPr>
              <w:t xml:space="preserve">- </w:t>
            </w:r>
            <w:r w:rsidRPr="00A23740">
              <w:rPr>
                <w:b w:val="0"/>
                <w:color w:val="000000"/>
              </w:rPr>
              <w:t>Maddeyle, olağanüstü h</w:t>
            </w:r>
            <w:r w:rsidR="00624D12" w:rsidRPr="00A23740">
              <w:rPr>
                <w:b w:val="0"/>
                <w:color w:val="000000"/>
                <w:lang w:val="tr-TR"/>
              </w:rPr>
              <w:t>â</w:t>
            </w:r>
            <w:r w:rsidRPr="00A23740">
              <w:rPr>
                <w:b w:val="0"/>
                <w:color w:val="000000"/>
              </w:rPr>
              <w:t>llerde sürelerin durdurulması</w:t>
            </w:r>
            <w:r w:rsidRPr="00A23740">
              <w:rPr>
                <w:b w:val="0"/>
                <w:color w:val="000000"/>
                <w:lang w:val="tr-TR"/>
              </w:rPr>
              <w:t>na ilişkin hususlar düzenlenmektedir.</w:t>
            </w:r>
            <w:r w:rsidR="005B6D75" w:rsidRPr="00A23740">
              <w:rPr>
                <w:b w:val="0"/>
                <w:color w:val="000000"/>
              </w:rPr>
              <w:t xml:space="preserve"> </w:t>
            </w:r>
            <w:r w:rsidR="005B6D75" w:rsidRPr="00A23740">
              <w:rPr>
                <w:b w:val="0"/>
                <w:color w:val="000000"/>
                <w:lang w:val="tr-TR"/>
              </w:rPr>
              <w:t>Bu madde, 2004 sayılı K</w:t>
            </w:r>
            <w:r w:rsidR="005B6D75" w:rsidRPr="00A23740">
              <w:rPr>
                <w:b w:val="0"/>
                <w:color w:val="000000"/>
              </w:rPr>
              <w:t>anunun “Fevkalade Hallerde Tatil” hakkındaki 330 ve 323 üncü maddelerinin karşılığıdır. 2004 sayılı Kanunda On Beşinci Bap</w:t>
            </w:r>
            <w:r w:rsidR="00DA1B64" w:rsidRPr="00A23740">
              <w:rPr>
                <w:b w:val="0"/>
                <w:color w:val="000000"/>
              </w:rPr>
              <w:t>ta</w:t>
            </w:r>
            <w:r w:rsidR="005B6D75" w:rsidRPr="00A23740">
              <w:rPr>
                <w:b w:val="0"/>
                <w:color w:val="000000"/>
              </w:rPr>
              <w:t xml:space="preserve"> yer alan bu hükmün, süreler hakkındaki hükümler arasında yer alması daha uygun görülmüştür.</w:t>
            </w:r>
          </w:p>
          <w:p w:rsidR="005B6D75" w:rsidRPr="00A23740" w:rsidRDefault="005B6D75" w:rsidP="009431FF">
            <w:pPr>
              <w:pStyle w:val="Mavi"/>
              <w:ind w:firstLine="709"/>
              <w:rPr>
                <w:b w:val="0"/>
                <w:color w:val="000000"/>
              </w:rPr>
            </w:pPr>
            <w:r w:rsidRPr="00A23740">
              <w:rPr>
                <w:b w:val="0"/>
                <w:color w:val="000000"/>
              </w:rPr>
              <w:t xml:space="preserve">Maddenin  birinci ve </w:t>
            </w:r>
            <w:r w:rsidR="004F4BA6" w:rsidRPr="00A23740">
              <w:rPr>
                <w:b w:val="0"/>
                <w:color w:val="000000"/>
              </w:rPr>
              <w:t>ikinci</w:t>
            </w:r>
            <w:r w:rsidRPr="00A23740">
              <w:rPr>
                <w:b w:val="0"/>
                <w:color w:val="000000"/>
              </w:rPr>
              <w:t xml:space="preserve"> fıkraları, sırasıyla, 2004 sayılı Kanunun 330 uncu maddesine ve </w:t>
            </w:r>
            <w:r w:rsidR="004F4BA6" w:rsidRPr="00A23740">
              <w:rPr>
                <w:b w:val="0"/>
                <w:color w:val="000000"/>
              </w:rPr>
              <w:t>323 üncü</w:t>
            </w:r>
            <w:r w:rsidRPr="00A23740">
              <w:rPr>
                <w:b w:val="0"/>
                <w:color w:val="000000"/>
              </w:rPr>
              <w:t xml:space="preserve"> maddesinin ikinci fıkrasına tekabül etmektedir. Bu fıkralar yeniden kaleme alınırken iflas takipleri de hükmün kapsamına dahil edilmiştir.</w:t>
            </w:r>
          </w:p>
          <w:p w:rsidR="004F4BA6" w:rsidRPr="00A23740" w:rsidRDefault="004F4BA6" w:rsidP="009431FF">
            <w:pPr>
              <w:pStyle w:val="Mavi"/>
              <w:ind w:firstLine="709"/>
              <w:rPr>
                <w:b w:val="0"/>
                <w:color w:val="000000"/>
              </w:rPr>
            </w:pPr>
            <w:r w:rsidRPr="00A23740">
              <w:rPr>
                <w:b w:val="0"/>
                <w:color w:val="000000"/>
              </w:rPr>
              <w:t>2004 sayılı Kanunun 323 üncü maddesinin birinci fıkrası ise Taslak metne alınmamış, maddeye eklenen son fıkra</w:t>
            </w:r>
            <w:r w:rsidR="00E34D9B" w:rsidRPr="00A23740">
              <w:rPr>
                <w:b w:val="0"/>
                <w:color w:val="000000"/>
                <w:lang w:val="tr-TR"/>
              </w:rPr>
              <w:t>yla</w:t>
            </w:r>
            <w:r w:rsidRPr="00A23740">
              <w:rPr>
                <w:b w:val="0"/>
                <w:color w:val="000000"/>
              </w:rPr>
              <w:t>, “takipleri</w:t>
            </w:r>
            <w:r w:rsidRPr="00A23740">
              <w:rPr>
                <w:b w:val="0"/>
                <w:color w:val="000000"/>
                <w:lang w:val="tr-TR"/>
              </w:rPr>
              <w:t>n</w:t>
            </w:r>
            <w:r w:rsidRPr="00A23740">
              <w:rPr>
                <w:b w:val="0"/>
                <w:color w:val="000000"/>
              </w:rPr>
              <w:t xml:space="preserve"> durdurulması”nın sonuçları ve sürelere etkisiyle ilgili hususların Adalet Bakanlığı tarafından belirlenmesi uygun görülmüş</w:t>
            </w:r>
            <w:r w:rsidR="000A7947" w:rsidRPr="00A23740">
              <w:rPr>
                <w:b w:val="0"/>
                <w:color w:val="000000"/>
              </w:rPr>
              <w:t>tür.</w:t>
            </w:r>
          </w:p>
          <w:p w:rsidR="00E91409" w:rsidRPr="00A23740" w:rsidRDefault="00FF430C" w:rsidP="009431FF">
            <w:pPr>
              <w:pStyle w:val="Mavi"/>
              <w:ind w:firstLine="709"/>
              <w:rPr>
                <w:b w:val="0"/>
              </w:rPr>
            </w:pPr>
            <w:r w:rsidRPr="00A23740">
              <w:rPr>
                <w:b w:val="0"/>
                <w:color w:val="000000"/>
              </w:rPr>
              <w:t>2004 sayılı Kanunun “Fevkalade</w:t>
            </w:r>
            <w:r w:rsidR="00624D12" w:rsidRPr="00A23740">
              <w:rPr>
                <w:b w:val="0"/>
                <w:color w:val="000000"/>
                <w:lang w:val="tr-TR"/>
              </w:rPr>
              <w:t xml:space="preserve"> </w:t>
            </w:r>
            <w:r w:rsidR="00624D12" w:rsidRPr="00A23740">
              <w:rPr>
                <w:b w:val="0"/>
                <w:color w:val="000000"/>
              </w:rPr>
              <w:t>h</w:t>
            </w:r>
            <w:r w:rsidRPr="00A23740">
              <w:rPr>
                <w:b w:val="0"/>
                <w:color w:val="000000"/>
              </w:rPr>
              <w:t xml:space="preserve">allerde mühlet ve tatil” başlıklı </w:t>
            </w:r>
            <w:r w:rsidR="00624D12" w:rsidRPr="00A23740">
              <w:rPr>
                <w:b w:val="0"/>
                <w:color w:val="000000"/>
              </w:rPr>
              <w:t>On Beşinci Babında</w:t>
            </w:r>
            <w:r w:rsidRPr="00A23740">
              <w:rPr>
                <w:b w:val="0"/>
                <w:color w:val="000000"/>
              </w:rPr>
              <w:t xml:space="preserve"> yer alan</w:t>
            </w:r>
            <w:r w:rsidRPr="00A23740">
              <w:rPr>
                <w:b w:val="0"/>
                <w:color w:val="000000"/>
                <w:lang w:val="tr-TR"/>
              </w:rPr>
              <w:t xml:space="preserve"> diğer</w:t>
            </w:r>
            <w:r w:rsidRPr="00A23740">
              <w:rPr>
                <w:b w:val="0"/>
                <w:color w:val="000000"/>
              </w:rPr>
              <w:t xml:space="preserve"> hükümler </w:t>
            </w:r>
            <w:r w:rsidRPr="00A23740">
              <w:rPr>
                <w:b w:val="0"/>
                <w:color w:val="000000"/>
                <w:lang w:val="tr-TR"/>
              </w:rPr>
              <w:t>(317 il</w:t>
            </w:r>
            <w:r w:rsidR="00F25FDB" w:rsidRPr="00A23740">
              <w:rPr>
                <w:b w:val="0"/>
                <w:color w:val="000000"/>
                <w:lang w:val="tr-TR"/>
              </w:rPr>
              <w:t>a</w:t>
            </w:r>
            <w:r w:rsidRPr="00A23740">
              <w:rPr>
                <w:b w:val="0"/>
                <w:color w:val="000000"/>
                <w:lang w:val="tr-TR"/>
              </w:rPr>
              <w:t xml:space="preserve"> 330 uncu maddeler)</w:t>
            </w:r>
            <w:r w:rsidRPr="00A23740">
              <w:rPr>
                <w:b w:val="0"/>
                <w:color w:val="000000"/>
              </w:rPr>
              <w:t xml:space="preserve"> uygulaması bulunmadığından Taslağa alınmamaktadır.</w:t>
            </w:r>
          </w:p>
          <w:p w:rsidR="00112A00" w:rsidRPr="00A23740" w:rsidRDefault="00112A00" w:rsidP="009431FF">
            <w:pPr>
              <w:pStyle w:val="KIRMIZI"/>
              <w:rPr>
                <w:color w:val="538135"/>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pPr>
            <w:r w:rsidRPr="00A23740">
              <w:t>Müddetlerin değiştirilmemesi:</w:t>
            </w:r>
          </w:p>
          <w:p w:rsidR="00155AF4" w:rsidRPr="00A23740" w:rsidRDefault="00155AF4" w:rsidP="009431FF">
            <w:pPr>
              <w:pStyle w:val="KIRMIZI"/>
            </w:pPr>
            <w:r w:rsidRPr="00A23740">
              <w:rPr>
                <w:rStyle w:val="KIRMIZIChar"/>
                <w:rFonts w:eastAsia="Calibri"/>
                <w:b/>
                <w:bCs/>
                <w:strike/>
              </w:rPr>
              <w:t>Madde 20 – (1)</w:t>
            </w:r>
            <w:r w:rsidRPr="00A23740">
              <w:t xml:space="preserve"> Bu </w:t>
            </w:r>
            <w:r w:rsidRPr="00A23740">
              <w:rPr>
                <w:rStyle w:val="KIRMIZIChar"/>
                <w:rFonts w:eastAsia="Calibri"/>
                <w:b/>
                <w:bCs/>
                <w:strike/>
              </w:rPr>
              <w:t>k</w:t>
            </w:r>
            <w:r w:rsidRPr="00A23740">
              <w:t xml:space="preserve">anunun tayin eylediği müddetleri değiştiren bütün mukaveleler hükümsüzdür. Ancak </w:t>
            </w:r>
            <w:r w:rsidRPr="00A23740">
              <w:rPr>
                <w:rStyle w:val="KIRMIZIChar"/>
                <w:rFonts w:eastAsia="Calibri"/>
                <w:b/>
                <w:bCs/>
                <w:strike/>
              </w:rPr>
              <w:t xml:space="preserve">her hangi </w:t>
            </w:r>
            <w:r w:rsidRPr="00A23740">
              <w:t xml:space="preserve">bir müddetin </w:t>
            </w:r>
            <w:r w:rsidRPr="00A23740">
              <w:rPr>
                <w:rStyle w:val="KIRMIZIChar"/>
                <w:rFonts w:eastAsia="Calibri"/>
                <w:b/>
                <w:bCs/>
                <w:strike/>
              </w:rPr>
              <w:t>geçmesinden</w:t>
            </w:r>
            <w:r w:rsidRPr="00A23740">
              <w:t xml:space="preserve"> istifade hakkı </w:t>
            </w:r>
            <w:r w:rsidRPr="00A23740">
              <w:rPr>
                <w:rStyle w:val="KIRMIZIChar"/>
                <w:rFonts w:eastAsia="Calibri"/>
                <w:b/>
                <w:bCs/>
                <w:strike/>
              </w:rPr>
              <w:t>olan</w:t>
            </w:r>
            <w:r w:rsidRPr="00A23740">
              <w:t xml:space="preserve"> borçlu bu hakkından vazgeçebilir. Bu vazgeçme üçüncü şahıslara tesir etmez.</w:t>
            </w:r>
          </w:p>
          <w:p w:rsidR="00155AF4" w:rsidRPr="00A23740" w:rsidRDefault="00155AF4" w:rsidP="009431FF">
            <w:pPr>
              <w:pStyle w:val="KIRMIZI"/>
            </w:pPr>
            <w:r w:rsidRPr="00A23740">
              <w:br w:type="page"/>
            </w:r>
          </w:p>
        </w:tc>
        <w:tc>
          <w:tcPr>
            <w:tcW w:w="2500" w:type="pct"/>
          </w:tcPr>
          <w:p w:rsidR="00155AF4" w:rsidRPr="00A23740" w:rsidRDefault="00155AF4" w:rsidP="009431FF">
            <w:pPr>
              <w:pStyle w:val="KIRMIZI"/>
              <w:rPr>
                <w:rFonts w:eastAsia="ヒラギノ明朝 Pro W3"/>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III.</w:t>
            </w:r>
            <w:r w:rsidRPr="00A23740">
              <w:rPr>
                <w:szCs w:val="24"/>
              </w:rPr>
              <w:t xml:space="preserve"> TATİLLER </w:t>
            </w:r>
            <w:r w:rsidRPr="00A23740">
              <w:rPr>
                <w:rStyle w:val="KIRMIZIChar"/>
                <w:rFonts w:eastAsia="Calibri"/>
              </w:rPr>
              <w:t>VE</w:t>
            </w:r>
            <w:r w:rsidRPr="00A23740">
              <w:rPr>
                <w:szCs w:val="24"/>
              </w:rPr>
              <w:t xml:space="preserve"> </w:t>
            </w:r>
            <w:r w:rsidRPr="00A23740">
              <w:rPr>
                <w:b/>
                <w:bCs/>
                <w:strike/>
                <w:color w:val="FF0000"/>
                <w:szCs w:val="24"/>
              </w:rPr>
              <w:t>TALİKLER</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Tatiller:</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1 – Bütün borçlular hakkında:</w:t>
            </w: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Madde 51 – (1) (Değişik</w:t>
            </w:r>
            <w:r w:rsidRPr="00A23740">
              <w:rPr>
                <w:b/>
                <w:bCs/>
                <w:strike/>
                <w:color w:val="FF0000"/>
                <w:szCs w:val="24"/>
              </w:rPr>
              <w:t>: 18/2/1965 - 538/24 md.)</w:t>
            </w:r>
            <w:r w:rsidRPr="00A23740">
              <w:rPr>
                <w:szCs w:val="24"/>
              </w:rPr>
              <w:t xml:space="preserve"> </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Güneşin batmasından bir saat sonra ile güneşin doğmasından bir saat önceye kadarki devrede (Gece vakti) ve</w:t>
            </w:r>
            <w:r w:rsidRPr="00A23740">
              <w:rPr>
                <w:szCs w:val="24"/>
              </w:rPr>
              <w:t xml:space="preserve"> tatil günlerinde takip </w:t>
            </w:r>
            <w:r w:rsidRPr="00A23740">
              <w:rPr>
                <w:b/>
                <w:bCs/>
                <w:strike/>
                <w:color w:val="FF0000"/>
                <w:szCs w:val="24"/>
              </w:rPr>
              <w:t>muameleleri</w:t>
            </w:r>
            <w:r w:rsidRPr="00A23740">
              <w:rPr>
                <w:szCs w:val="24"/>
              </w:rPr>
              <w:t xml:space="preserve"> yapılamaz. </w:t>
            </w:r>
            <w:r w:rsidRPr="00A23740">
              <w:rPr>
                <w:rStyle w:val="KIRMIZIChar"/>
                <w:rFonts w:eastAsia="Calibri"/>
              </w:rPr>
              <w:t>Ancak, gece iş görülen yerlerde gece vakti hasılat haczi mümkündür. Tatil günlerinde haciz ve tebligat yapılabileceği gibi muhafaza tedbirleri de alınabilir. Borçlunun mal kaçırdığı anlaşılırsa gece vakti dahi haciz yapılması caizdir.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(2) Bir borçlu hakkında kanunda gösterilen sebeplerden dolayı icra talik edilmiş veya konkordato için mühlet verilmiş ise, o borçluya karşı takip muamelesi yapılamaz.</w:t>
            </w:r>
          </w:p>
          <w:p w:rsidR="00155AF4" w:rsidRPr="00A23740" w:rsidRDefault="00155AF4" w:rsidP="009431FF">
            <w:pPr>
              <w:tabs>
                <w:tab w:val="left" w:pos="1345"/>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045DAC">
              <w:rPr>
                <w:rStyle w:val="KIRMIZIChar"/>
                <w:rFonts w:eastAsia="Calibri"/>
              </w:rPr>
              <w:lastRenderedPageBreak/>
              <w:t>(M.51.F1-C3)</w:t>
            </w:r>
            <w:r w:rsidRPr="00A23740">
              <w:rPr>
                <w:szCs w:val="24"/>
              </w:rPr>
              <w:t xml:space="preserve"> Tatil günlerinde haciz </w:t>
            </w:r>
            <w:r w:rsidRPr="00A23740">
              <w:rPr>
                <w:rStyle w:val="KIRMIZIChar"/>
                <w:rFonts w:eastAsia="Calibri"/>
              </w:rPr>
              <w:t>ve</w:t>
            </w:r>
            <w:r w:rsidRPr="00A23740">
              <w:rPr>
                <w:szCs w:val="24"/>
              </w:rPr>
              <w:t xml:space="preserve"> tebligat yapılabileceği gibi muhafaza tedbirleri de alınabilir. </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045DAC">
              <w:rPr>
                <w:rStyle w:val="KIRMIZIChar"/>
                <w:rFonts w:eastAsia="Calibri"/>
              </w:rPr>
              <w:t>(M.51.F1-C4)</w:t>
            </w:r>
            <w:r w:rsidRPr="00A23740">
              <w:rPr>
                <w:szCs w:val="24"/>
              </w:rPr>
              <w:t xml:space="preserve"> Borçlunun mal kaçırdığı anlaşılırsa </w:t>
            </w:r>
            <w:r w:rsidRPr="00A23740">
              <w:rPr>
                <w:b/>
                <w:bCs/>
                <w:strike/>
                <w:color w:val="FF0000"/>
                <w:szCs w:val="24"/>
              </w:rPr>
              <w:t>gece vakti</w:t>
            </w:r>
            <w:r w:rsidRPr="00A23740">
              <w:rPr>
                <w:szCs w:val="24"/>
              </w:rPr>
              <w:t xml:space="preserve"> dahi haciz yapıl</w:t>
            </w:r>
            <w:r w:rsidRPr="00A23740">
              <w:rPr>
                <w:rStyle w:val="KIRMIZIChar"/>
                <w:rFonts w:eastAsia="Calibri"/>
              </w:rPr>
              <w:t>ması</w:t>
            </w:r>
            <w:r w:rsidRPr="00A23740">
              <w:rPr>
                <w:szCs w:val="24"/>
              </w:rPr>
              <w:t xml:space="preserve"> </w:t>
            </w:r>
            <w:r w:rsidRPr="00A23740">
              <w:rPr>
                <w:b/>
                <w:bCs/>
                <w:strike/>
                <w:color w:val="FF0000"/>
                <w:szCs w:val="24"/>
              </w:rPr>
              <w:t>caizdir</w:t>
            </w:r>
            <w:r w:rsidRPr="00A23740">
              <w:rPr>
                <w:szCs w:val="24"/>
              </w:rPr>
              <w:t>.</w:t>
            </w:r>
          </w:p>
          <w:p w:rsidR="00155AF4" w:rsidRPr="00A23740" w:rsidRDefault="00155AF4" w:rsidP="009431FF">
            <w:pPr>
              <w:tabs>
                <w:tab w:val="left" w:pos="1345"/>
              </w:tabs>
              <w:autoSpaceDE w:val="0"/>
              <w:autoSpaceDN w:val="0"/>
              <w:adjustRightInd w:val="0"/>
              <w:rPr>
                <w:szCs w:val="24"/>
              </w:rPr>
            </w:pPr>
          </w:p>
          <w:p w:rsidR="00155AF4" w:rsidRPr="00A23740" w:rsidRDefault="00155AF4" w:rsidP="009431FF">
            <w:pPr>
              <w:tabs>
                <w:tab w:val="left" w:pos="1345"/>
              </w:tabs>
              <w:autoSpaceDE w:val="0"/>
              <w:autoSpaceDN w:val="0"/>
              <w:adjustRightInd w:val="0"/>
              <w:rPr>
                <w:szCs w:val="24"/>
              </w:rPr>
            </w:pPr>
          </w:p>
          <w:p w:rsidR="00155AF4" w:rsidRPr="00A23740" w:rsidRDefault="00155AF4" w:rsidP="009431FF">
            <w:pPr>
              <w:tabs>
                <w:tab w:val="left" w:pos="1345"/>
              </w:tabs>
              <w:autoSpaceDE w:val="0"/>
              <w:autoSpaceDN w:val="0"/>
              <w:adjustRightInd w:val="0"/>
              <w:rPr>
                <w:szCs w:val="24"/>
              </w:rPr>
            </w:pPr>
            <w:r w:rsidRPr="00045DAC">
              <w:rPr>
                <w:rStyle w:val="KIRMIZIChar"/>
                <w:rFonts w:eastAsia="Calibri"/>
              </w:rPr>
              <w:t>(M.51.F1-C2) A</w:t>
            </w:r>
            <w:r w:rsidRPr="00A23740">
              <w:rPr>
                <w:rStyle w:val="KIRMIZIChar"/>
                <w:rFonts w:eastAsia="Calibri"/>
              </w:rPr>
              <w:t>ncak, gece</w:t>
            </w:r>
            <w:r w:rsidRPr="00A23740">
              <w:rPr>
                <w:szCs w:val="24"/>
              </w:rPr>
              <w:t xml:space="preserve"> iş görülen yerlerde </w:t>
            </w:r>
            <w:r w:rsidRPr="00A23740">
              <w:rPr>
                <w:b/>
                <w:bCs/>
                <w:strike/>
                <w:color w:val="FF0000"/>
                <w:szCs w:val="24"/>
              </w:rPr>
              <w:t>gece vakti</w:t>
            </w:r>
            <w:r w:rsidRPr="00A23740">
              <w:rPr>
                <w:szCs w:val="24"/>
              </w:rPr>
              <w:t xml:space="preserve"> hasılat haczi mümkündür.</w:t>
            </w: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Balk4"/>
              <w:rPr>
                <w:szCs w:val="24"/>
                <w:lang w:val="tr-TR"/>
              </w:rPr>
            </w:pPr>
            <w:r w:rsidRPr="00A23740">
              <w:rPr>
                <w:szCs w:val="24"/>
                <w:lang w:val="tr-TR"/>
              </w:rPr>
              <w:lastRenderedPageBreak/>
              <w:t xml:space="preserve">İKİNCİ </w:t>
            </w:r>
            <w:r w:rsidRPr="00A23740">
              <w:rPr>
                <w:rStyle w:val="YELChar"/>
                <w:rFonts w:eastAsia="Calibri"/>
                <w:b/>
                <w:color w:val="0000FF"/>
                <w:lang w:eastAsia="x-none"/>
              </w:rPr>
              <w:t>BÖLÜM</w:t>
            </w:r>
          </w:p>
          <w:p w:rsidR="00155AF4" w:rsidRPr="00A23740" w:rsidRDefault="00155AF4" w:rsidP="009431FF">
            <w:pPr>
              <w:pStyle w:val="Mavi"/>
              <w:jc w:val="center"/>
            </w:pPr>
            <w:r w:rsidRPr="00A23740">
              <w:rPr>
                <w:rStyle w:val="MaviChar"/>
                <w:b/>
                <w:bCs/>
              </w:rPr>
              <w:t>Tatiller</w:t>
            </w:r>
            <w:r w:rsidRPr="00A23740">
              <w:t xml:space="preserve"> </w:t>
            </w:r>
            <w:r w:rsidRPr="00A23740">
              <w:rPr>
                <w:rStyle w:val="YELChar"/>
                <w:rFonts w:eastAsia="Calibri"/>
                <w:b/>
                <w:color w:val="0000FF"/>
                <w:lang w:eastAsia="x-none"/>
              </w:rPr>
              <w:t>ve Askıya Alma H</w:t>
            </w:r>
            <w:r w:rsidR="00624D12" w:rsidRPr="00A23740">
              <w:rPr>
                <w:rStyle w:val="YELChar"/>
                <w:rFonts w:eastAsia="Calibri"/>
                <w:b/>
                <w:color w:val="0000FF"/>
                <w:lang w:val="tr-TR" w:eastAsia="x-none"/>
              </w:rPr>
              <w:t>â</w:t>
            </w:r>
            <w:r w:rsidRPr="00A23740">
              <w:rPr>
                <w:rStyle w:val="YELChar"/>
                <w:rFonts w:eastAsia="Calibri"/>
                <w:b/>
                <w:color w:val="0000FF"/>
                <w:lang w:eastAsia="x-none"/>
              </w:rPr>
              <w:t>lleri</w:t>
            </w:r>
          </w:p>
          <w:p w:rsidR="00155AF4" w:rsidRPr="00A23740" w:rsidRDefault="00155AF4" w:rsidP="009431FF">
            <w:pPr>
              <w:tabs>
                <w:tab w:val="left" w:pos="567"/>
              </w:tabs>
              <w:autoSpaceDE w:val="0"/>
              <w:autoSpaceDN w:val="0"/>
              <w:adjustRightInd w:val="0"/>
              <w:rPr>
                <w:b/>
                <w:bCs/>
                <w:szCs w:val="24"/>
              </w:rPr>
            </w:pPr>
          </w:p>
          <w:p w:rsidR="00155AF4" w:rsidRPr="00A23740" w:rsidRDefault="00155AF4" w:rsidP="009431FF">
            <w:pPr>
              <w:tabs>
                <w:tab w:val="left" w:pos="567"/>
              </w:tabs>
              <w:autoSpaceDE w:val="0"/>
              <w:autoSpaceDN w:val="0"/>
              <w:adjustRightInd w:val="0"/>
              <w:rPr>
                <w:b/>
                <w:bCs/>
                <w:szCs w:val="24"/>
              </w:rPr>
            </w:pPr>
          </w:p>
          <w:p w:rsidR="00155AF4" w:rsidRPr="00A23740" w:rsidRDefault="00155AF4" w:rsidP="009431FF">
            <w:pPr>
              <w:pStyle w:val="Mavi"/>
            </w:pPr>
            <w:r w:rsidRPr="00A23740">
              <w:t>Tatil saat ve günleri</w:t>
            </w:r>
          </w:p>
          <w:p w:rsidR="00155AF4" w:rsidRPr="00A23740" w:rsidRDefault="00155AF4" w:rsidP="009431FF">
            <w:pPr>
              <w:tabs>
                <w:tab w:val="left" w:pos="567"/>
              </w:tabs>
              <w:autoSpaceDE w:val="0"/>
              <w:autoSpaceDN w:val="0"/>
              <w:adjustRightInd w:val="0"/>
              <w:rPr>
                <w:b/>
                <w:bCs/>
                <w:color w:val="0000FF"/>
                <w:szCs w:val="24"/>
              </w:rPr>
            </w:pPr>
            <w:r w:rsidRPr="00A23740">
              <w:rPr>
                <w:rStyle w:val="MaviChar"/>
              </w:rPr>
              <w:t>MADDE</w:t>
            </w:r>
            <w:r w:rsidRPr="00A23740">
              <w:rPr>
                <w:b/>
                <w:bCs/>
                <w:color w:val="0000FF"/>
                <w:szCs w:val="24"/>
              </w:rPr>
              <w:t xml:space="preserve"> </w:t>
            </w:r>
            <w:r w:rsidRPr="00A23740">
              <w:rPr>
                <w:rStyle w:val="MaviChar"/>
              </w:rPr>
              <w:t xml:space="preserve">40- </w:t>
            </w:r>
            <w:r w:rsidRPr="00A23740">
              <w:rPr>
                <w:b/>
                <w:bCs/>
                <w:color w:val="0000FF"/>
                <w:szCs w:val="24"/>
                <w:lang w:val="x-none" w:eastAsia="x-none"/>
              </w:rPr>
              <w:t xml:space="preserve">(1) Çalışma </w:t>
            </w:r>
            <w:r w:rsidR="00944202" w:rsidRPr="00A23740">
              <w:rPr>
                <w:b/>
                <w:bCs/>
                <w:color w:val="0000FF"/>
                <w:szCs w:val="24"/>
                <w:lang w:val="x-none" w:eastAsia="x-none"/>
              </w:rPr>
              <w:t>saatlerinin dışında veya resm</w:t>
            </w:r>
            <w:r w:rsidR="00944202" w:rsidRPr="00A23740">
              <w:rPr>
                <w:b/>
                <w:bCs/>
                <w:color w:val="0000FF"/>
                <w:szCs w:val="24"/>
                <w:lang w:eastAsia="x-none"/>
              </w:rPr>
              <w:t>î</w:t>
            </w:r>
            <w:r w:rsidRPr="00A23740">
              <w:rPr>
                <w:b/>
                <w:bCs/>
                <w:color w:val="0000FF"/>
                <w:szCs w:val="24"/>
                <w:lang w:val="x-none" w:eastAsia="x-none"/>
              </w:rPr>
              <w:t xml:space="preserve"> </w:t>
            </w:r>
            <w:r w:rsidRPr="00A23740">
              <w:rPr>
                <w:szCs w:val="24"/>
              </w:rPr>
              <w:t xml:space="preserve">tatil günlerinde </w:t>
            </w:r>
            <w:r w:rsidRPr="00A23740">
              <w:rPr>
                <w:b/>
                <w:bCs/>
                <w:color w:val="0000FF"/>
                <w:szCs w:val="24"/>
                <w:lang w:val="x-none" w:eastAsia="x-none"/>
              </w:rPr>
              <w:t xml:space="preserve">icra </w:t>
            </w:r>
            <w:r w:rsidRPr="00A23740">
              <w:rPr>
                <w:szCs w:val="24"/>
              </w:rPr>
              <w:t>takip</w:t>
            </w:r>
            <w:r w:rsidRPr="00A23740">
              <w:rPr>
                <w:b/>
                <w:bCs/>
                <w:color w:val="0000FF"/>
                <w:szCs w:val="24"/>
                <w:lang w:val="x-none" w:eastAsia="x-none"/>
              </w:rPr>
              <w:t xml:space="preserve"> işlemleri </w:t>
            </w:r>
            <w:r w:rsidRPr="00A23740">
              <w:rPr>
                <w:szCs w:val="24"/>
              </w:rPr>
              <w:t>yapılamaz.</w:t>
            </w:r>
          </w:p>
          <w:p w:rsidR="00155AF4" w:rsidRPr="00A23740" w:rsidRDefault="00155AF4" w:rsidP="009431FF">
            <w:pPr>
              <w:tabs>
                <w:tab w:val="left" w:pos="567"/>
              </w:tabs>
              <w:autoSpaceDE w:val="0"/>
              <w:autoSpaceDN w:val="0"/>
              <w:adjustRightInd w:val="0"/>
              <w:rPr>
                <w:b/>
                <w:bCs/>
                <w:color w:val="0000FF"/>
                <w:szCs w:val="24"/>
              </w:rPr>
            </w:pPr>
          </w:p>
          <w:p w:rsidR="00155AF4" w:rsidRPr="00A23740" w:rsidRDefault="00155AF4" w:rsidP="009431FF">
            <w:pPr>
              <w:tabs>
                <w:tab w:val="left" w:pos="567"/>
              </w:tabs>
              <w:rPr>
                <w:rFonts w:eastAsia="ヒラギノ明朝 Pro W3"/>
                <w:b/>
                <w:color w:val="FF0000"/>
                <w:szCs w:val="24"/>
                <w:lang w:eastAsia="tr-TR"/>
              </w:rPr>
            </w:pPr>
          </w:p>
          <w:p w:rsidR="00030A15" w:rsidRPr="00A23740" w:rsidRDefault="00030A15" w:rsidP="009431FF">
            <w:pPr>
              <w:tabs>
                <w:tab w:val="left" w:pos="567"/>
              </w:tabs>
              <w:rPr>
                <w:rFonts w:eastAsia="ヒラギノ明朝 Pro W3"/>
                <w:b/>
                <w:color w:val="FF0000"/>
                <w:szCs w:val="24"/>
                <w:lang w:eastAsia="tr-TR"/>
              </w:rPr>
            </w:pPr>
          </w:p>
          <w:p w:rsidR="00030A15" w:rsidRPr="00A23740" w:rsidRDefault="00030A15" w:rsidP="009431FF">
            <w:pPr>
              <w:tabs>
                <w:tab w:val="left" w:pos="567"/>
              </w:tabs>
              <w:rPr>
                <w:rFonts w:eastAsia="ヒラギノ明朝 Pro W3"/>
                <w:b/>
                <w:color w:val="FF0000"/>
                <w:szCs w:val="24"/>
                <w:lang w:eastAsia="tr-TR"/>
              </w:rPr>
            </w:pPr>
          </w:p>
          <w:p w:rsidR="00030A15" w:rsidRPr="00A23740" w:rsidRDefault="00030A15" w:rsidP="009431FF">
            <w:pPr>
              <w:tabs>
                <w:tab w:val="left" w:pos="567"/>
              </w:tabs>
              <w:rPr>
                <w:rFonts w:eastAsia="ヒラギノ明朝 Pro W3"/>
                <w:b/>
                <w:color w:val="FF0000"/>
                <w:szCs w:val="24"/>
                <w:lang w:eastAsia="tr-TR"/>
              </w:rPr>
            </w:pPr>
          </w:p>
          <w:p w:rsidR="00030A15" w:rsidRPr="00A23740" w:rsidRDefault="00030A15" w:rsidP="009431FF">
            <w:pPr>
              <w:tabs>
                <w:tab w:val="left" w:pos="567"/>
              </w:tabs>
              <w:rPr>
                <w:rFonts w:eastAsia="ヒラギノ明朝 Pro W3"/>
                <w:b/>
                <w:color w:val="FF0000"/>
                <w:szCs w:val="24"/>
                <w:lang w:eastAsia="tr-TR"/>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MaviChar"/>
              </w:rPr>
              <w:lastRenderedPageBreak/>
              <w:t>(2) Birinci fıkrada belirtilen</w:t>
            </w:r>
            <w:r w:rsidRPr="00A23740">
              <w:rPr>
                <w:szCs w:val="24"/>
              </w:rPr>
              <w:t xml:space="preserve"> tatil günlerinde haciz</w:t>
            </w:r>
            <w:r w:rsidRPr="00A23740">
              <w:rPr>
                <w:rStyle w:val="MaviChar"/>
              </w:rPr>
              <w:t>,</w:t>
            </w:r>
            <w:r w:rsidRPr="00A23740">
              <w:rPr>
                <w:szCs w:val="24"/>
              </w:rPr>
              <w:t xml:space="preserve"> </w:t>
            </w:r>
            <w:r w:rsidRPr="00A23740">
              <w:rPr>
                <w:rStyle w:val="MaviChar"/>
              </w:rPr>
              <w:t>tahliye ve 11/2/1959 tarihli ve 7201 sayılı Tebligat Kanununun 11 inci maddesinin ikinci fıkrası hariç olmak üzere</w:t>
            </w:r>
            <w:r w:rsidRPr="00A23740">
              <w:rPr>
                <w:szCs w:val="24"/>
              </w:rPr>
              <w:t xml:space="preserve"> tebligat yapılabileceği gibi muhafaza tedbirleri de alınabilir.</w:t>
            </w:r>
          </w:p>
          <w:p w:rsidR="00155AF4" w:rsidRPr="00A23740" w:rsidRDefault="00155AF4" w:rsidP="009431FF">
            <w:pPr>
              <w:tabs>
                <w:tab w:val="left" w:pos="567"/>
              </w:tabs>
              <w:autoSpaceDE w:val="0"/>
              <w:autoSpaceDN w:val="0"/>
              <w:adjustRightInd w:val="0"/>
              <w:rPr>
                <w:b/>
                <w:bCs/>
                <w:color w:val="0000FF"/>
                <w:szCs w:val="24"/>
              </w:rPr>
            </w:pPr>
          </w:p>
          <w:p w:rsidR="00155AF4" w:rsidRPr="00A23740" w:rsidRDefault="00155AF4" w:rsidP="009431FF">
            <w:pPr>
              <w:tabs>
                <w:tab w:val="left" w:pos="567"/>
              </w:tabs>
              <w:autoSpaceDE w:val="0"/>
              <w:autoSpaceDN w:val="0"/>
              <w:adjustRightInd w:val="0"/>
              <w:rPr>
                <w:b/>
                <w:bCs/>
                <w:color w:val="0000FF"/>
                <w:szCs w:val="24"/>
              </w:rPr>
            </w:pPr>
            <w:r w:rsidRPr="00A23740">
              <w:rPr>
                <w:rStyle w:val="MaviChar"/>
              </w:rPr>
              <w:t>(3)</w:t>
            </w:r>
            <w:r w:rsidRPr="00A23740">
              <w:rPr>
                <w:szCs w:val="24"/>
              </w:rPr>
              <w:t xml:space="preserve"> Borçlunun mal kaçırdığı anlaşılırsa </w:t>
            </w:r>
            <w:r w:rsidRPr="00A23740">
              <w:rPr>
                <w:rStyle w:val="MaviChar"/>
              </w:rPr>
              <w:t>tatil saatlerinde</w:t>
            </w:r>
            <w:r w:rsidRPr="00A23740">
              <w:rPr>
                <w:szCs w:val="24"/>
              </w:rPr>
              <w:t xml:space="preserve"> dahi haciz </w:t>
            </w:r>
            <w:r w:rsidRPr="00A23740">
              <w:rPr>
                <w:rStyle w:val="MaviChar"/>
              </w:rPr>
              <w:t>ve muhafaza</w:t>
            </w:r>
            <w:r w:rsidR="00DB195D" w:rsidRPr="00A23740">
              <w:rPr>
                <w:rStyle w:val="MaviChar"/>
              </w:rPr>
              <w:t xml:space="preserve"> </w:t>
            </w:r>
            <w:r w:rsidR="00DB195D" w:rsidRPr="002144D4">
              <w:rPr>
                <w:rStyle w:val="MaviChar"/>
              </w:rPr>
              <w:t>işlemleri</w:t>
            </w:r>
            <w:r w:rsidRPr="00A23740">
              <w:rPr>
                <w:color w:val="70AD47"/>
                <w:szCs w:val="24"/>
              </w:rPr>
              <w:t xml:space="preserve"> </w:t>
            </w:r>
            <w:r w:rsidRPr="00A23740">
              <w:rPr>
                <w:szCs w:val="24"/>
              </w:rPr>
              <w:t>yapıl</w:t>
            </w:r>
            <w:r w:rsidRPr="00A23740">
              <w:rPr>
                <w:rStyle w:val="MaviChar"/>
              </w:rPr>
              <w:t xml:space="preserve">abilir. Vaktinde başlayan haciz veya muhafaza işlemlerine tatil saatlerinde de devam edilebilir. </w:t>
            </w:r>
          </w:p>
          <w:p w:rsidR="00155AF4" w:rsidRPr="00A23740" w:rsidRDefault="00155AF4" w:rsidP="009431FF">
            <w:pPr>
              <w:tabs>
                <w:tab w:val="left" w:pos="567"/>
              </w:tabs>
              <w:autoSpaceDE w:val="0"/>
              <w:autoSpaceDN w:val="0"/>
              <w:adjustRightInd w:val="0"/>
              <w:rPr>
                <w:b/>
                <w:bCs/>
                <w:color w:val="0000FF"/>
                <w:szCs w:val="24"/>
              </w:rPr>
            </w:pPr>
          </w:p>
          <w:p w:rsidR="00155AF4" w:rsidRPr="00A23740" w:rsidRDefault="00155AF4" w:rsidP="009431FF">
            <w:pPr>
              <w:tabs>
                <w:tab w:val="left" w:pos="567"/>
              </w:tabs>
              <w:autoSpaceDE w:val="0"/>
              <w:autoSpaceDN w:val="0"/>
              <w:adjustRightInd w:val="0"/>
              <w:rPr>
                <w:szCs w:val="24"/>
              </w:rPr>
            </w:pPr>
            <w:r w:rsidRPr="00A23740">
              <w:rPr>
                <w:rStyle w:val="MaviChar"/>
              </w:rPr>
              <w:t>(4) Tatil saatlerinde</w:t>
            </w:r>
            <w:r w:rsidRPr="00A23740">
              <w:rPr>
                <w:b/>
                <w:bCs/>
                <w:color w:val="0000FF"/>
                <w:szCs w:val="24"/>
              </w:rPr>
              <w:t xml:space="preserve"> </w:t>
            </w:r>
            <w:r w:rsidRPr="00A23740">
              <w:rPr>
                <w:szCs w:val="24"/>
              </w:rPr>
              <w:t>iş görülen yerlerde</w:t>
            </w:r>
            <w:r w:rsidRPr="00A23740">
              <w:rPr>
                <w:rStyle w:val="MaviChar"/>
              </w:rPr>
              <w:t>,</w:t>
            </w:r>
            <w:r w:rsidRPr="00A23740">
              <w:rPr>
                <w:szCs w:val="24"/>
              </w:rPr>
              <w:t xml:space="preserve"> </w:t>
            </w:r>
            <w:r w:rsidRPr="00A23740">
              <w:rPr>
                <w:rStyle w:val="MaviChar"/>
                <w:lang w:val="tr-TR"/>
              </w:rPr>
              <w:t>bu saatler arasında</w:t>
            </w:r>
            <w:r w:rsidRPr="00A23740">
              <w:rPr>
                <w:szCs w:val="24"/>
              </w:rPr>
              <w:t xml:space="preserve"> hasılat haczi mümkündür.</w:t>
            </w:r>
          </w:p>
          <w:p w:rsidR="000455FA" w:rsidRPr="00A23740" w:rsidRDefault="000455FA" w:rsidP="009431FF">
            <w:pPr>
              <w:tabs>
                <w:tab w:val="left" w:pos="567"/>
              </w:tabs>
              <w:autoSpaceDE w:val="0"/>
              <w:autoSpaceDN w:val="0"/>
              <w:adjustRightInd w:val="0"/>
              <w:rPr>
                <w:b/>
                <w:bCs/>
                <w:strike/>
                <w:color w:val="FF0000"/>
                <w:szCs w:val="24"/>
              </w:rPr>
            </w:pPr>
          </w:p>
        </w:tc>
      </w:tr>
      <w:tr w:rsidR="00155AF4" w:rsidRPr="00A23740" w:rsidTr="009431FF">
        <w:tc>
          <w:tcPr>
            <w:tcW w:w="5000" w:type="pct"/>
            <w:gridSpan w:val="2"/>
            <w:shd w:val="clear" w:color="auto" w:fill="DEEAF6"/>
          </w:tcPr>
          <w:p w:rsidR="00A66A99" w:rsidRPr="00A23740" w:rsidRDefault="00A66A99" w:rsidP="009431FF">
            <w:pPr>
              <w:tabs>
                <w:tab w:val="left" w:pos="1345"/>
              </w:tabs>
              <w:autoSpaceDE w:val="0"/>
              <w:autoSpaceDN w:val="0"/>
              <w:adjustRightInd w:val="0"/>
              <w:ind w:firstLine="709"/>
              <w:rPr>
                <w:b/>
                <w:szCs w:val="24"/>
              </w:rPr>
            </w:pPr>
          </w:p>
          <w:p w:rsidR="00030A15" w:rsidRPr="00A23740" w:rsidRDefault="004C0A6F" w:rsidP="009431FF">
            <w:pPr>
              <w:tabs>
                <w:tab w:val="left" w:pos="1345"/>
              </w:tabs>
              <w:autoSpaceDE w:val="0"/>
              <w:autoSpaceDN w:val="0"/>
              <w:adjustRightInd w:val="0"/>
              <w:ind w:firstLine="709"/>
              <w:rPr>
                <w:szCs w:val="24"/>
              </w:rPr>
            </w:pPr>
            <w:r w:rsidRPr="00A23740">
              <w:rPr>
                <w:b/>
                <w:szCs w:val="24"/>
              </w:rPr>
              <w:t>MADDE 40-</w:t>
            </w:r>
            <w:r w:rsidRPr="00A23740">
              <w:rPr>
                <w:szCs w:val="24"/>
              </w:rPr>
              <w:t xml:space="preserve"> </w:t>
            </w:r>
            <w:r w:rsidR="00030A15" w:rsidRPr="00A23740">
              <w:rPr>
                <w:szCs w:val="24"/>
              </w:rPr>
              <w:t xml:space="preserve">Maddeyle, tatil saat ve günlerine ilişkin hususlar düzenlenmektedir. </w:t>
            </w:r>
          </w:p>
          <w:p w:rsidR="001D04E9" w:rsidRPr="00A23740" w:rsidRDefault="001D04E9" w:rsidP="009431FF">
            <w:pPr>
              <w:tabs>
                <w:tab w:val="left" w:pos="1345"/>
              </w:tabs>
              <w:autoSpaceDE w:val="0"/>
              <w:autoSpaceDN w:val="0"/>
              <w:adjustRightInd w:val="0"/>
              <w:ind w:firstLine="709"/>
              <w:rPr>
                <w:szCs w:val="24"/>
              </w:rPr>
            </w:pPr>
            <w:r w:rsidRPr="00A23740">
              <w:rPr>
                <w:szCs w:val="24"/>
              </w:rPr>
              <w:t>Taslağın tatil saat ve günleri hakkındaki 40 ıncı maddesinin ilk fıkrasında</w:t>
            </w:r>
            <w:r w:rsidR="00E34D9B" w:rsidRPr="00A23740">
              <w:rPr>
                <w:szCs w:val="24"/>
              </w:rPr>
              <w:t>,</w:t>
            </w:r>
            <w:r w:rsidRPr="00A23740">
              <w:rPr>
                <w:szCs w:val="24"/>
              </w:rPr>
              <w:t xml:space="preserve"> </w:t>
            </w:r>
            <w:r w:rsidR="00030A15" w:rsidRPr="00A23740">
              <w:rPr>
                <w:szCs w:val="24"/>
              </w:rPr>
              <w:t>2004 sayılı Kanunun 51 inci maddesinin birinci</w:t>
            </w:r>
            <w:r w:rsidRPr="00A23740">
              <w:rPr>
                <w:szCs w:val="24"/>
              </w:rPr>
              <w:t xml:space="preserve"> fıkrasında da yer alan “gece vakti” kavramı yerine “çalışma saatler</w:t>
            </w:r>
            <w:r w:rsidR="00030A15" w:rsidRPr="00A23740">
              <w:rPr>
                <w:szCs w:val="24"/>
              </w:rPr>
              <w:t>i” ve “tatil saatleri” kavramı</w:t>
            </w:r>
            <w:r w:rsidRPr="00A23740">
              <w:rPr>
                <w:szCs w:val="24"/>
              </w:rPr>
              <w:t xml:space="preserve"> getir</w:t>
            </w:r>
            <w:r w:rsidR="00030A15" w:rsidRPr="00A23740">
              <w:rPr>
                <w:szCs w:val="24"/>
              </w:rPr>
              <w:t>il</w:t>
            </w:r>
            <w:r w:rsidRPr="00A23740">
              <w:rPr>
                <w:szCs w:val="24"/>
              </w:rPr>
              <w:t>miştir. Ay</w:t>
            </w:r>
            <w:r w:rsidR="00944202" w:rsidRPr="00A23740">
              <w:rPr>
                <w:szCs w:val="24"/>
              </w:rPr>
              <w:t>r</w:t>
            </w:r>
            <w:r w:rsidRPr="00A23740">
              <w:rPr>
                <w:szCs w:val="24"/>
              </w:rPr>
              <w:t xml:space="preserve">ıca </w:t>
            </w:r>
            <w:r w:rsidR="00030A15" w:rsidRPr="00A23740">
              <w:rPr>
                <w:szCs w:val="24"/>
              </w:rPr>
              <w:t xml:space="preserve">2004 sayılı Kanunda yer alan, </w:t>
            </w:r>
            <w:r w:rsidRPr="00A23740">
              <w:rPr>
                <w:szCs w:val="24"/>
              </w:rPr>
              <w:t>doktrin ve uygulamada tartışmalara sebep olmuş bulunan “takip işlemleri” ifadesi, genel kabule uygun olarak “icra takip işlemleri” olarak açıklığa kavuşturulmuştur.</w:t>
            </w:r>
            <w:r w:rsidR="00944202" w:rsidRPr="00A23740">
              <w:rPr>
                <w:szCs w:val="24"/>
              </w:rPr>
              <w:t xml:space="preserve"> Bu kavramlar 657 sayılı Devlet Memurları Kanununun 99 uncu ve 100 üncü maddelerinde açıklanmıştır.</w:t>
            </w:r>
          </w:p>
          <w:p w:rsidR="001D04E9" w:rsidRPr="00A23740" w:rsidRDefault="00030A15" w:rsidP="009431FF">
            <w:pPr>
              <w:tabs>
                <w:tab w:val="left" w:pos="1345"/>
              </w:tabs>
              <w:autoSpaceDE w:val="0"/>
              <w:autoSpaceDN w:val="0"/>
              <w:adjustRightInd w:val="0"/>
              <w:ind w:firstLine="709"/>
              <w:rPr>
                <w:szCs w:val="24"/>
              </w:rPr>
            </w:pPr>
            <w:r w:rsidRPr="00A23740">
              <w:rPr>
                <w:szCs w:val="24"/>
              </w:rPr>
              <w:t>İkinci fıkra, 2004 sayılı Kanunun</w:t>
            </w:r>
            <w:r w:rsidR="001D04E9" w:rsidRPr="00A23740">
              <w:rPr>
                <w:szCs w:val="24"/>
              </w:rPr>
              <w:t xml:space="preserve"> 51 inci maddesin</w:t>
            </w:r>
            <w:r w:rsidRPr="00A23740">
              <w:rPr>
                <w:szCs w:val="24"/>
              </w:rPr>
              <w:t xml:space="preserve">in üçüncü </w:t>
            </w:r>
            <w:r w:rsidR="001D04E9" w:rsidRPr="00A23740">
              <w:rPr>
                <w:szCs w:val="24"/>
              </w:rPr>
              <w:t xml:space="preserve">cümlesine karşılık düşmektedir. Taslakta, </w:t>
            </w:r>
            <w:r w:rsidRPr="00A23740">
              <w:rPr>
                <w:szCs w:val="24"/>
              </w:rPr>
              <w:t>2004 sayılı Kanundan</w:t>
            </w:r>
            <w:r w:rsidR="001D04E9" w:rsidRPr="00A23740">
              <w:rPr>
                <w:szCs w:val="24"/>
              </w:rPr>
              <w:t xml:space="preserve"> farklı olarak, tatil günlerinde tahliye işleminin de yapılabileceği kabul edilmiştir. Tatil günlerinde tebligat yapılabileceğine ilişkin ilke, Tebligat K</w:t>
            </w:r>
            <w:r w:rsidRPr="00A23740">
              <w:rPr>
                <w:szCs w:val="24"/>
              </w:rPr>
              <w:t>anunu</w:t>
            </w:r>
            <w:r w:rsidR="001D04E9" w:rsidRPr="00A23740">
              <w:rPr>
                <w:szCs w:val="24"/>
              </w:rPr>
              <w:t>nun vekille takip edilen işlerde vekile tebligatın ancak mesai saatlerinde yapılabileceği yönündeki 11 inci</w:t>
            </w:r>
            <w:r w:rsidRPr="00A23740">
              <w:rPr>
                <w:szCs w:val="24"/>
              </w:rPr>
              <w:t xml:space="preserve"> maddesinin ikinci</w:t>
            </w:r>
            <w:r w:rsidR="001D04E9" w:rsidRPr="00A23740">
              <w:rPr>
                <w:szCs w:val="24"/>
              </w:rPr>
              <w:t xml:space="preserve"> fıkrasıyl</w:t>
            </w:r>
            <w:r w:rsidRPr="00A23740">
              <w:rPr>
                <w:szCs w:val="24"/>
              </w:rPr>
              <w:t>a uyumlu olarak düzenlenmiştir.</w:t>
            </w:r>
          </w:p>
          <w:p w:rsidR="001D04E9" w:rsidRPr="00A23740" w:rsidRDefault="00030A15" w:rsidP="009431FF">
            <w:pPr>
              <w:tabs>
                <w:tab w:val="left" w:pos="1345"/>
              </w:tabs>
              <w:autoSpaceDE w:val="0"/>
              <w:autoSpaceDN w:val="0"/>
              <w:adjustRightInd w:val="0"/>
              <w:ind w:firstLine="709"/>
              <w:rPr>
                <w:szCs w:val="24"/>
              </w:rPr>
            </w:pPr>
            <w:r w:rsidRPr="00A23740">
              <w:rPr>
                <w:szCs w:val="24"/>
              </w:rPr>
              <w:t xml:space="preserve">Üçüncü </w:t>
            </w:r>
            <w:r w:rsidR="001D04E9" w:rsidRPr="00A23740">
              <w:rPr>
                <w:szCs w:val="24"/>
              </w:rPr>
              <w:t>fıkra</w:t>
            </w:r>
            <w:r w:rsidRPr="00A23740">
              <w:rPr>
                <w:szCs w:val="24"/>
              </w:rPr>
              <w:t>,</w:t>
            </w:r>
            <w:r w:rsidR="001D04E9" w:rsidRPr="00A23740">
              <w:rPr>
                <w:szCs w:val="24"/>
              </w:rPr>
              <w:t xml:space="preserve"> </w:t>
            </w:r>
            <w:r w:rsidRPr="00A23740">
              <w:rPr>
                <w:szCs w:val="24"/>
              </w:rPr>
              <w:t>2004 sayılı Kanunun 51 inci maddesinin dördüncü</w:t>
            </w:r>
            <w:r w:rsidR="001D04E9" w:rsidRPr="00A23740">
              <w:rPr>
                <w:szCs w:val="24"/>
              </w:rPr>
              <w:t xml:space="preserve"> cümlesine karşılık düşmektedir. Gündüz başlayan hacizlerin bitmemesi nedeniyle haciz ve muhafaza işlemlerine gece devam edilmesine ilişkin </w:t>
            </w:r>
            <w:r w:rsidR="00944202" w:rsidRPr="00A23740">
              <w:rPr>
                <w:szCs w:val="24"/>
              </w:rPr>
              <w:t>yargı içtihadı</w:t>
            </w:r>
            <w:r w:rsidR="001D04E9" w:rsidRPr="00A23740">
              <w:rPr>
                <w:szCs w:val="24"/>
              </w:rPr>
              <w:t xml:space="preserve"> </w:t>
            </w:r>
            <w:r w:rsidRPr="00A23740">
              <w:rPr>
                <w:szCs w:val="24"/>
              </w:rPr>
              <w:t xml:space="preserve">Taslağa </w:t>
            </w:r>
            <w:r w:rsidR="001D04E9" w:rsidRPr="00A23740">
              <w:rPr>
                <w:szCs w:val="24"/>
              </w:rPr>
              <w:t>alınmıştır.</w:t>
            </w:r>
          </w:p>
          <w:p w:rsidR="00E91409" w:rsidRDefault="001D04E9" w:rsidP="009431FF">
            <w:pPr>
              <w:tabs>
                <w:tab w:val="left" w:pos="1345"/>
              </w:tabs>
              <w:autoSpaceDE w:val="0"/>
              <w:autoSpaceDN w:val="0"/>
              <w:adjustRightInd w:val="0"/>
              <w:ind w:firstLine="709"/>
              <w:rPr>
                <w:szCs w:val="24"/>
              </w:rPr>
            </w:pPr>
            <w:r w:rsidRPr="00A23740">
              <w:rPr>
                <w:szCs w:val="24"/>
              </w:rPr>
              <w:t>Konkordatonun ve askıya alma h</w:t>
            </w:r>
            <w:r w:rsidR="00624D12" w:rsidRPr="00A23740">
              <w:rPr>
                <w:szCs w:val="24"/>
              </w:rPr>
              <w:t>â</w:t>
            </w:r>
            <w:r w:rsidRPr="00A23740">
              <w:rPr>
                <w:szCs w:val="24"/>
              </w:rPr>
              <w:t>llerinin takibe etkisi özel hükümlerde düzenlendiğinden</w:t>
            </w:r>
            <w:r w:rsidR="00030A15" w:rsidRPr="00A23740">
              <w:rPr>
                <w:szCs w:val="24"/>
              </w:rPr>
              <w:t>, 2004 sayılı Kanunun</w:t>
            </w:r>
            <w:r w:rsidRPr="00A23740">
              <w:rPr>
                <w:szCs w:val="24"/>
              </w:rPr>
              <w:t xml:space="preserve"> 51 inci maddesinin </w:t>
            </w:r>
            <w:r w:rsidR="00030A15" w:rsidRPr="00A23740">
              <w:rPr>
                <w:szCs w:val="24"/>
              </w:rPr>
              <w:t xml:space="preserve"> ikinci</w:t>
            </w:r>
            <w:r w:rsidRPr="00A23740">
              <w:rPr>
                <w:szCs w:val="24"/>
              </w:rPr>
              <w:t xml:space="preserve"> cümlesi metne alınmamıştır.</w:t>
            </w:r>
          </w:p>
          <w:p w:rsidR="009C5516" w:rsidRPr="00A23740" w:rsidRDefault="009C5516" w:rsidP="009431FF">
            <w:pPr>
              <w:tabs>
                <w:tab w:val="left" w:pos="1345"/>
              </w:tabs>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3 – Terekenin borçlarında:</w:t>
            </w:r>
          </w:p>
          <w:p w:rsidR="00155AF4" w:rsidRPr="00A23740" w:rsidRDefault="00155AF4" w:rsidP="009431FF">
            <w:pPr>
              <w:tabs>
                <w:tab w:val="left" w:pos="567"/>
              </w:tabs>
              <w:autoSpaceDE w:val="0"/>
              <w:autoSpaceDN w:val="0"/>
              <w:adjustRightInd w:val="0"/>
              <w:rPr>
                <w:b/>
                <w:bCs/>
                <w:strike/>
                <w:color w:val="FF0000"/>
                <w:szCs w:val="24"/>
              </w:rPr>
            </w:pPr>
            <w:r w:rsidRPr="00A23740">
              <w:rPr>
                <w:rStyle w:val="KIRMIZIChar"/>
                <w:rFonts w:eastAsia="Calibri"/>
              </w:rPr>
              <w:t>Madde 53 – (1) Terekenin</w:t>
            </w:r>
            <w:r w:rsidRPr="00A23740">
              <w:rPr>
                <w:b/>
                <w:bCs/>
                <w:strike/>
                <w:color w:val="FF0000"/>
                <w:szCs w:val="24"/>
              </w:rPr>
              <w:t xml:space="preserve"> borçlarından dolayı ölüm günü ile beraber üç gün içinde takip geri bırakılır. Mirasçı mirası kabul veya reddetmemişse bu hususta Kanunu Medenide muayyen müddetler geçinceye kadar takip geri kalır.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(2) İcra takibi sırasında borçlu öldüğünde tereke henüz taksim edilmemiş veya resmi tasfiyeye tabi tutulmamış yahut mirasçılar arasında aile şirketi tesis olunmamışsa borçlu hayatta olsaydı hangi usul tatbik olunacak idi ise terekeye karşı ona göre takip devam eder.Bu takibin mirasçıya karşı devam edebilmesi ancak rehinin paraya çevrilmesi veya haciz yollariyle kabildir.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1100"/>
              </w:tabs>
              <w:autoSpaceDE w:val="0"/>
              <w:autoSpaceDN w:val="0"/>
              <w:adjustRightInd w:val="0"/>
              <w:rPr>
                <w:b/>
                <w:bCs/>
                <w:strike/>
                <w:color w:val="FF0000"/>
                <w:szCs w:val="24"/>
              </w:rPr>
            </w:pPr>
            <w:r w:rsidRPr="00A23740">
              <w:rPr>
                <w:b/>
                <w:bCs/>
                <w:strike/>
                <w:color w:val="FF0000"/>
                <w:szCs w:val="24"/>
              </w:rPr>
              <w:t>(3) Mal kaçırılması ihtimali olan hallerde hastalığın devamı sırasında da haciz yapılabilir.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1100"/>
              </w:tabs>
              <w:autoSpaceDE w:val="0"/>
              <w:autoSpaceDN w:val="0"/>
              <w:adjustRightInd w:val="0"/>
              <w:rPr>
                <w:b/>
                <w:bCs/>
                <w:strike/>
                <w:color w:val="FF0000"/>
                <w:szCs w:val="24"/>
              </w:rPr>
            </w:pPr>
          </w:p>
          <w:p w:rsidR="00155AF4" w:rsidRPr="00A23740" w:rsidRDefault="00155AF4" w:rsidP="009431FF">
            <w:pPr>
              <w:tabs>
                <w:tab w:val="left" w:pos="1100"/>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3049D7" w:rsidRDefault="00E06C56" w:rsidP="009431FF">
            <w:pPr>
              <w:tabs>
                <w:tab w:val="left" w:pos="567"/>
              </w:tabs>
              <w:autoSpaceDE w:val="0"/>
              <w:autoSpaceDN w:val="0"/>
              <w:adjustRightInd w:val="0"/>
              <w:rPr>
                <w:b/>
                <w:bCs/>
                <w:color w:val="0000FF"/>
                <w:szCs w:val="24"/>
              </w:rPr>
            </w:pPr>
            <w:r w:rsidRPr="003049D7">
              <w:rPr>
                <w:rStyle w:val="MaviChar"/>
              </w:rPr>
              <w:lastRenderedPageBreak/>
              <w:t>Askıya alma h</w:t>
            </w:r>
            <w:r w:rsidRPr="003049D7">
              <w:rPr>
                <w:rStyle w:val="MaviChar"/>
                <w:lang w:val="tr-TR"/>
              </w:rPr>
              <w:t>â</w:t>
            </w:r>
            <w:r w:rsidR="00155AF4" w:rsidRPr="003049D7">
              <w:rPr>
                <w:rStyle w:val="MaviChar"/>
              </w:rPr>
              <w:t xml:space="preserve">li olarak borçlunun ölümü </w:t>
            </w:r>
          </w:p>
          <w:p w:rsidR="00155AF4" w:rsidRPr="003049D7" w:rsidRDefault="00155AF4" w:rsidP="009431FF">
            <w:pPr>
              <w:tabs>
                <w:tab w:val="left" w:pos="567"/>
              </w:tabs>
              <w:autoSpaceDE w:val="0"/>
              <w:autoSpaceDN w:val="0"/>
              <w:adjustRightInd w:val="0"/>
              <w:rPr>
                <w:b/>
                <w:bCs/>
                <w:color w:val="0000FF"/>
                <w:szCs w:val="24"/>
              </w:rPr>
            </w:pPr>
            <w:r w:rsidRPr="003049D7">
              <w:rPr>
                <w:rStyle w:val="MaviChar"/>
              </w:rPr>
              <w:t>MADDE 41- (1) İcra takibi sırasında borçlunun ölümü h</w:t>
            </w:r>
            <w:r w:rsidR="00624D12" w:rsidRPr="003049D7">
              <w:rPr>
                <w:rStyle w:val="MaviChar"/>
                <w:lang w:val="tr-TR"/>
              </w:rPr>
              <w:t>â</w:t>
            </w:r>
            <w:r w:rsidRPr="003049D7">
              <w:rPr>
                <w:rStyle w:val="MaviChar"/>
              </w:rPr>
              <w:t>linde, icra takibi bir hafta süreyle askıya alınır. Alacaklı</w:t>
            </w:r>
            <w:r w:rsidR="00DB195D" w:rsidRPr="003049D7">
              <w:rPr>
                <w:rStyle w:val="MaviChar"/>
              </w:rPr>
              <w:t>,</w:t>
            </w:r>
            <w:r w:rsidRPr="003049D7">
              <w:rPr>
                <w:rStyle w:val="MaviChar"/>
              </w:rPr>
              <w:t xml:space="preserve"> takibi borçlunun mirasçılarına karşı devam ettirebileceği gibi terekeye karşı da devam ettirilebilir.</w:t>
            </w:r>
          </w:p>
          <w:p w:rsidR="00155AF4" w:rsidRPr="003049D7" w:rsidRDefault="00155AF4" w:rsidP="009431FF">
            <w:pPr>
              <w:tabs>
                <w:tab w:val="left" w:pos="567"/>
              </w:tabs>
              <w:autoSpaceDE w:val="0"/>
              <w:autoSpaceDN w:val="0"/>
              <w:adjustRightInd w:val="0"/>
              <w:rPr>
                <w:b/>
                <w:bCs/>
                <w:color w:val="0000FF"/>
                <w:szCs w:val="24"/>
              </w:rPr>
            </w:pPr>
          </w:p>
          <w:p w:rsidR="00155AF4" w:rsidRPr="003049D7" w:rsidRDefault="00155AF4" w:rsidP="009431FF">
            <w:pPr>
              <w:pStyle w:val="Mavi"/>
            </w:pPr>
            <w:r w:rsidRPr="003049D7">
              <w:t>(2) Takibin mirasçılara karşı devam ettirilmesi h</w:t>
            </w:r>
            <w:r w:rsidR="00624D12" w:rsidRPr="003049D7">
              <w:rPr>
                <w:lang w:val="tr-TR"/>
              </w:rPr>
              <w:t>â</w:t>
            </w:r>
            <w:r w:rsidRPr="003049D7">
              <w:t>linde icra takibi</w:t>
            </w:r>
            <w:r w:rsidR="00DB195D" w:rsidRPr="003049D7">
              <w:t>,</w:t>
            </w:r>
            <w:r w:rsidRPr="003049D7">
              <w:t xml:space="preserve"> borçlunun mirasçılarının mirası açıkça kabul etmeleri h</w:t>
            </w:r>
            <w:r w:rsidR="00624D12" w:rsidRPr="003049D7">
              <w:rPr>
                <w:lang w:val="tr-TR"/>
              </w:rPr>
              <w:t>â</w:t>
            </w:r>
            <w:r w:rsidRPr="003049D7">
              <w:t xml:space="preserve">li dışında </w:t>
            </w:r>
            <w:r w:rsidR="00DB195D" w:rsidRPr="003049D7">
              <w:t xml:space="preserve">ve </w:t>
            </w:r>
            <w:r w:rsidRPr="003049D7">
              <w:t>bir haftalık askıya alma süresi dolmuş olsa bile, 22/11/2001 tarihli ve 4721 sayılı Türk Medeni Kanununun 606 ncı maddesinde belirtilen süre sonuna kadar as</w:t>
            </w:r>
            <w:r w:rsidR="00A7323B" w:rsidRPr="003049D7">
              <w:t>kıda kalmaya devam</w:t>
            </w:r>
            <w:r w:rsidR="00DB195D" w:rsidRPr="003049D7">
              <w:t xml:space="preserve"> eder.</w:t>
            </w:r>
            <w:r w:rsidR="00A7323B" w:rsidRPr="003049D7">
              <w:t xml:space="preserve">  Bu </w:t>
            </w:r>
            <w:r w:rsidR="00DB195D" w:rsidRPr="003049D7">
              <w:t xml:space="preserve">takdirde </w:t>
            </w:r>
            <w:r w:rsidRPr="003049D7">
              <w:t>takibin mirasçılara karşı devamı ancak haciz veya rehnin paraya çevrilmesi yoluyla mümkündür.</w:t>
            </w:r>
          </w:p>
          <w:p w:rsidR="00155AF4" w:rsidRPr="003049D7" w:rsidRDefault="00155AF4" w:rsidP="009431FF">
            <w:pPr>
              <w:pStyle w:val="Mavi"/>
            </w:pPr>
            <w:r w:rsidRPr="003049D7">
              <w:t xml:space="preserve"> </w:t>
            </w:r>
          </w:p>
          <w:p w:rsidR="00155AF4" w:rsidRPr="003049D7" w:rsidRDefault="00155AF4" w:rsidP="009431FF">
            <w:pPr>
              <w:pStyle w:val="Mavi"/>
            </w:pPr>
            <w:r w:rsidRPr="003049D7">
              <w:t xml:space="preserve">(3) </w:t>
            </w:r>
            <w:r w:rsidR="00DB195D" w:rsidRPr="003049D7">
              <w:t xml:space="preserve">Takibe </w:t>
            </w:r>
            <w:r w:rsidRPr="003049D7">
              <w:t>terekeye karşı devam olunması terekenin henüz tasfiye edilmemiş ve mirasçılar arasında aile şirketi kurulmamış olmasına bağlı olup</w:t>
            </w:r>
            <w:r w:rsidR="00944202" w:rsidRPr="003049D7">
              <w:t>,</w:t>
            </w:r>
            <w:r w:rsidRPr="003049D7">
              <w:t xml:space="preserve"> bu </w:t>
            </w:r>
            <w:r w:rsidR="00944202" w:rsidRPr="003049D7">
              <w:t>durumda</w:t>
            </w:r>
            <w:r w:rsidRPr="003049D7">
              <w:t xml:space="preserve"> borçluya karşı başlamış olan takip iflas yolu da dahil olmak üzere aynı usulle devam ettirilebilir.</w:t>
            </w:r>
          </w:p>
          <w:p w:rsidR="00155AF4" w:rsidRPr="003049D7" w:rsidRDefault="00155AF4" w:rsidP="009431FF">
            <w:pPr>
              <w:pStyle w:val="Mavi"/>
            </w:pPr>
          </w:p>
          <w:p w:rsidR="00155AF4" w:rsidRPr="003049D7" w:rsidRDefault="00155AF4" w:rsidP="009431FF">
            <w:pPr>
              <w:pStyle w:val="Mavi"/>
            </w:pPr>
            <w:r w:rsidRPr="003049D7">
              <w:t>(4) Borçlu icra takibi başlatılmadan önce ölürse, ölümünden sonra tereke aleyhine yeni icra takibi yapılamaz.</w:t>
            </w:r>
          </w:p>
          <w:p w:rsidR="00A53E0D" w:rsidRPr="003049D7" w:rsidRDefault="00A53E0D" w:rsidP="009431FF">
            <w:pPr>
              <w:pStyle w:val="Mavi"/>
            </w:pPr>
          </w:p>
        </w:tc>
      </w:tr>
      <w:tr w:rsidR="00155AF4" w:rsidRPr="00A23740" w:rsidTr="009431FF">
        <w:tc>
          <w:tcPr>
            <w:tcW w:w="5000" w:type="pct"/>
            <w:gridSpan w:val="2"/>
            <w:shd w:val="clear" w:color="auto" w:fill="DEEAF6"/>
          </w:tcPr>
          <w:p w:rsidR="00155AF4" w:rsidRPr="00A23740" w:rsidRDefault="00155AF4" w:rsidP="009431FF">
            <w:pPr>
              <w:tabs>
                <w:tab w:val="left" w:pos="1345"/>
              </w:tabs>
              <w:autoSpaceDE w:val="0"/>
              <w:autoSpaceDN w:val="0"/>
              <w:adjustRightInd w:val="0"/>
              <w:ind w:firstLine="709"/>
              <w:rPr>
                <w:szCs w:val="24"/>
              </w:rPr>
            </w:pPr>
          </w:p>
          <w:p w:rsidR="00A66A99" w:rsidRPr="00A23740" w:rsidRDefault="00A66A99" w:rsidP="009431FF">
            <w:pPr>
              <w:tabs>
                <w:tab w:val="left" w:pos="1345"/>
              </w:tabs>
              <w:autoSpaceDE w:val="0"/>
              <w:autoSpaceDN w:val="0"/>
              <w:adjustRightInd w:val="0"/>
              <w:ind w:firstLine="709"/>
              <w:rPr>
                <w:szCs w:val="24"/>
              </w:rPr>
            </w:pPr>
            <w:r w:rsidRPr="00A23740">
              <w:rPr>
                <w:b/>
                <w:szCs w:val="24"/>
              </w:rPr>
              <w:t>MADDE 41</w:t>
            </w:r>
            <w:r w:rsidR="00155AF4" w:rsidRPr="00A23740">
              <w:rPr>
                <w:b/>
                <w:szCs w:val="24"/>
              </w:rPr>
              <w:t>-</w:t>
            </w:r>
            <w:r w:rsidR="00155AF4" w:rsidRPr="00A23740">
              <w:rPr>
                <w:szCs w:val="24"/>
              </w:rPr>
              <w:t xml:space="preserve"> </w:t>
            </w:r>
            <w:r w:rsidRPr="00A23740">
              <w:rPr>
                <w:szCs w:val="24"/>
              </w:rPr>
              <w:t>Maddeyle, borçlunun ölümü h</w:t>
            </w:r>
            <w:r w:rsidR="00624D12" w:rsidRPr="00A23740">
              <w:rPr>
                <w:szCs w:val="24"/>
              </w:rPr>
              <w:t>â</w:t>
            </w:r>
            <w:r w:rsidRPr="00A23740">
              <w:rPr>
                <w:szCs w:val="24"/>
              </w:rPr>
              <w:t xml:space="preserve">linde icra takibinin askıya alınmasına ilişkin hususlar düzenlenmektedir. </w:t>
            </w:r>
          </w:p>
          <w:p w:rsidR="001D04E9" w:rsidRPr="00A23740" w:rsidRDefault="00A66A99" w:rsidP="009431FF">
            <w:pPr>
              <w:tabs>
                <w:tab w:val="left" w:pos="1345"/>
              </w:tabs>
              <w:autoSpaceDE w:val="0"/>
              <w:autoSpaceDN w:val="0"/>
              <w:adjustRightInd w:val="0"/>
              <w:ind w:firstLine="709"/>
              <w:rPr>
                <w:szCs w:val="24"/>
              </w:rPr>
            </w:pPr>
            <w:r w:rsidRPr="00A23740">
              <w:rPr>
                <w:szCs w:val="24"/>
              </w:rPr>
              <w:t xml:space="preserve">2004 sayılı Kanun </w:t>
            </w:r>
            <w:r w:rsidR="001D04E9" w:rsidRPr="00A23740">
              <w:rPr>
                <w:szCs w:val="24"/>
              </w:rPr>
              <w:t>bor</w:t>
            </w:r>
            <w:r w:rsidR="00A7323B" w:rsidRPr="00A23740">
              <w:rPr>
                <w:szCs w:val="24"/>
              </w:rPr>
              <w:t>çlunun takip sırasında ölmesi hâ</w:t>
            </w:r>
            <w:r w:rsidR="001D04E9" w:rsidRPr="00A23740">
              <w:rPr>
                <w:szCs w:val="24"/>
              </w:rPr>
              <w:t>linde icra takibinin akıbetinin ne olacağı meselesini, Mehaz Kanunun 49 ve 59 uncu maddelerine uygun şekilde</w:t>
            </w:r>
            <w:r w:rsidR="00E34D9B" w:rsidRPr="00A23740">
              <w:rPr>
                <w:szCs w:val="24"/>
              </w:rPr>
              <w:t>,</w:t>
            </w:r>
            <w:r w:rsidR="001D04E9" w:rsidRPr="00A23740">
              <w:rPr>
                <w:szCs w:val="24"/>
              </w:rPr>
              <w:t xml:space="preserve"> fakat 53 üncü maddesinde, tek bir kanun maddesi altında düzenlemiştir. Taslakta bu </w:t>
            </w:r>
            <w:r w:rsidR="00A7323B" w:rsidRPr="00A23740">
              <w:rPr>
                <w:szCs w:val="24"/>
              </w:rPr>
              <w:t>K</w:t>
            </w:r>
            <w:r w:rsidR="001D04E9" w:rsidRPr="00A23740">
              <w:rPr>
                <w:szCs w:val="24"/>
              </w:rPr>
              <w:t>anun hükmü</w:t>
            </w:r>
            <w:r w:rsidRPr="00A23740">
              <w:rPr>
                <w:szCs w:val="24"/>
              </w:rPr>
              <w:t>,</w:t>
            </w:r>
            <w:r w:rsidR="001D04E9" w:rsidRPr="00A23740">
              <w:rPr>
                <w:szCs w:val="24"/>
              </w:rPr>
              <w:t xml:space="preserve"> </w:t>
            </w:r>
            <w:r w:rsidR="00C339D5" w:rsidRPr="00A23740">
              <w:rPr>
                <w:szCs w:val="24"/>
              </w:rPr>
              <w:t xml:space="preserve">bilimsel ve yargısal </w:t>
            </w:r>
            <w:r w:rsidR="001D04E9" w:rsidRPr="00A23740">
              <w:rPr>
                <w:szCs w:val="24"/>
              </w:rPr>
              <w:t>içtihatlarda anlaşıldığı şekliyle yeniden kaleme alınmış; bu yapılırken üç gün olan takibin askıya alınması süresi bir haftaya çıkartılmış ve borçlunu</w:t>
            </w:r>
            <w:r w:rsidR="00A7323B" w:rsidRPr="00A23740">
              <w:rPr>
                <w:szCs w:val="24"/>
              </w:rPr>
              <w:t>n icra takibinden önce ölmesi hâ</w:t>
            </w:r>
            <w:r w:rsidR="001D04E9" w:rsidRPr="00A23740">
              <w:rPr>
                <w:szCs w:val="24"/>
              </w:rPr>
              <w:t xml:space="preserve">linde tereke aleyhine takip yapılamayacağı son fıkrada </w:t>
            </w:r>
            <w:r w:rsidR="00A7323B" w:rsidRPr="00A23740">
              <w:rPr>
                <w:szCs w:val="24"/>
              </w:rPr>
              <w:t>açıklığa kavuşturulmuştur.</w:t>
            </w:r>
          </w:p>
          <w:p w:rsidR="001D04E9" w:rsidRPr="00A23740" w:rsidRDefault="00A66A99" w:rsidP="009431FF">
            <w:pPr>
              <w:tabs>
                <w:tab w:val="left" w:pos="1345"/>
              </w:tabs>
              <w:autoSpaceDE w:val="0"/>
              <w:autoSpaceDN w:val="0"/>
              <w:adjustRightInd w:val="0"/>
              <w:ind w:firstLine="709"/>
              <w:rPr>
                <w:szCs w:val="24"/>
              </w:rPr>
            </w:pPr>
            <w:r w:rsidRPr="00A23740">
              <w:rPr>
                <w:bCs/>
              </w:rPr>
              <w:t xml:space="preserve">Taslağın birinci </w:t>
            </w:r>
            <w:r w:rsidR="001D04E9" w:rsidRPr="00A23740">
              <w:rPr>
                <w:bCs/>
              </w:rPr>
              <w:t>fıkrasında icra takibi sırasında borçlunun ölümü h</w:t>
            </w:r>
            <w:r w:rsidR="00624D12" w:rsidRPr="00A23740">
              <w:rPr>
                <w:bCs/>
              </w:rPr>
              <w:t>â</w:t>
            </w:r>
            <w:r w:rsidR="001D04E9" w:rsidRPr="00A23740">
              <w:rPr>
                <w:bCs/>
              </w:rPr>
              <w:t>linde, icra takibinin bir hafta süreyle askıya alınacağı; takibin borçlunun mirasçılarına karşı devam ettirebileceği gibi terekeye karşı da devam ettirilebileceği düzenlenmiştir. Bu düzenleme tüzel kişiliği olmayan mal topluluklarının icra takibine taraf olamayacağı konusundaki kurala kanuni bir istisna teşkil etmektedir.</w:t>
            </w:r>
          </w:p>
          <w:p w:rsidR="001D04E9" w:rsidRPr="00A23740" w:rsidRDefault="00A66A99" w:rsidP="009431FF">
            <w:pPr>
              <w:tabs>
                <w:tab w:val="left" w:pos="1345"/>
              </w:tabs>
              <w:autoSpaceDE w:val="0"/>
              <w:autoSpaceDN w:val="0"/>
              <w:adjustRightInd w:val="0"/>
              <w:ind w:firstLine="709"/>
              <w:rPr>
                <w:szCs w:val="24"/>
              </w:rPr>
            </w:pPr>
            <w:r w:rsidRPr="00A23740">
              <w:rPr>
                <w:szCs w:val="24"/>
              </w:rPr>
              <w:t xml:space="preserve">İkinci </w:t>
            </w:r>
            <w:r w:rsidR="001D04E9" w:rsidRPr="00A23740">
              <w:rPr>
                <w:szCs w:val="24"/>
              </w:rPr>
              <w:t>fıkrada takibin mirasç</w:t>
            </w:r>
            <w:r w:rsidR="00A7323B" w:rsidRPr="00A23740">
              <w:rPr>
                <w:szCs w:val="24"/>
              </w:rPr>
              <w:t>ılara karşı devam ettirilmesi hâ</w:t>
            </w:r>
            <w:r w:rsidR="001D04E9" w:rsidRPr="00A23740">
              <w:rPr>
                <w:szCs w:val="24"/>
              </w:rPr>
              <w:t>linde icra takibinin, mirasçıların</w:t>
            </w:r>
            <w:r w:rsidR="00A7323B" w:rsidRPr="00A23740">
              <w:rPr>
                <w:szCs w:val="24"/>
              </w:rPr>
              <w:t xml:space="preserve"> mirası açıkça kabul etmeleri hâ</w:t>
            </w:r>
            <w:r w:rsidR="001D04E9" w:rsidRPr="00A23740">
              <w:rPr>
                <w:szCs w:val="24"/>
              </w:rPr>
              <w:t>li dışında, mirası red süresinin sonuna kadar askıd</w:t>
            </w:r>
            <w:r w:rsidR="00A7323B" w:rsidRPr="00A23740">
              <w:rPr>
                <w:szCs w:val="24"/>
              </w:rPr>
              <w:t xml:space="preserve">a kalmaya devam edeceği ve bu </w:t>
            </w:r>
            <w:r w:rsidR="0036323C" w:rsidRPr="002144D4">
              <w:rPr>
                <w:szCs w:val="24"/>
              </w:rPr>
              <w:t>takdirde</w:t>
            </w:r>
            <w:r w:rsidR="0036323C" w:rsidRPr="00A23740">
              <w:rPr>
                <w:color w:val="70AD47"/>
              </w:rPr>
              <w:t xml:space="preserve"> </w:t>
            </w:r>
            <w:r w:rsidR="001D04E9" w:rsidRPr="00A23740">
              <w:rPr>
                <w:szCs w:val="24"/>
              </w:rPr>
              <w:t>takibin mirasçılara karşı devamının ancak haciz veya rehnin paraya çevrilmesi yoluyla mümkün olduğu belirtilmektedir.</w:t>
            </w:r>
          </w:p>
          <w:p w:rsidR="001D04E9" w:rsidRPr="00A23740" w:rsidRDefault="00A66A99" w:rsidP="009431FF">
            <w:pPr>
              <w:tabs>
                <w:tab w:val="left" w:pos="1345"/>
              </w:tabs>
              <w:autoSpaceDE w:val="0"/>
              <w:autoSpaceDN w:val="0"/>
              <w:adjustRightInd w:val="0"/>
              <w:ind w:firstLine="709"/>
              <w:rPr>
                <w:szCs w:val="24"/>
              </w:rPr>
            </w:pPr>
            <w:r w:rsidRPr="00A23740">
              <w:rPr>
                <w:szCs w:val="24"/>
              </w:rPr>
              <w:t>Üçüncü</w:t>
            </w:r>
            <w:r w:rsidR="001D04E9" w:rsidRPr="00A23740">
              <w:rPr>
                <w:szCs w:val="24"/>
              </w:rPr>
              <w:t xml:space="preserve"> fıkrada </w:t>
            </w:r>
            <w:r w:rsidR="0036323C" w:rsidRPr="002144D4">
              <w:rPr>
                <w:szCs w:val="24"/>
              </w:rPr>
              <w:t>takibe</w:t>
            </w:r>
            <w:r w:rsidR="0036323C" w:rsidRPr="00A23740">
              <w:rPr>
                <w:szCs w:val="24"/>
              </w:rPr>
              <w:t xml:space="preserve"> </w:t>
            </w:r>
            <w:r w:rsidR="001D04E9" w:rsidRPr="00A23740">
              <w:rPr>
                <w:szCs w:val="24"/>
              </w:rPr>
              <w:t>terekeye karşı devam olunmasının terekenin henüz tasfiye edilmemiş ve mirasçılar arasında aile şirketi kuru</w:t>
            </w:r>
            <w:r w:rsidR="00A7323B" w:rsidRPr="00A23740">
              <w:rPr>
                <w:szCs w:val="24"/>
              </w:rPr>
              <w:t>lmamış olmasına bağlı olup bu hâ</w:t>
            </w:r>
            <w:r w:rsidR="001D04E9" w:rsidRPr="00A23740">
              <w:rPr>
                <w:szCs w:val="24"/>
              </w:rPr>
              <w:t>lde borçluya karşı başlamış olan takibin iflas yolu da dahil olmak üzere aynı usulle devam ettirilebileceği düzenlenmiştir.</w:t>
            </w:r>
          </w:p>
          <w:p w:rsidR="00E91409" w:rsidRPr="00A23740" w:rsidRDefault="00A66A99" w:rsidP="009431FF">
            <w:pPr>
              <w:tabs>
                <w:tab w:val="left" w:pos="1345"/>
              </w:tabs>
              <w:autoSpaceDE w:val="0"/>
              <w:autoSpaceDN w:val="0"/>
              <w:adjustRightInd w:val="0"/>
              <w:ind w:firstLine="709"/>
              <w:rPr>
                <w:b/>
                <w:szCs w:val="24"/>
              </w:rPr>
            </w:pPr>
            <w:r w:rsidRPr="00A23740">
              <w:rPr>
                <w:szCs w:val="24"/>
              </w:rPr>
              <w:lastRenderedPageBreak/>
              <w:t>Dördüncü</w:t>
            </w:r>
            <w:r w:rsidR="001D04E9" w:rsidRPr="00A23740">
              <w:rPr>
                <w:szCs w:val="24"/>
              </w:rPr>
              <w:t xml:space="preserve"> fıkrada ise borçlu icra takibi başlatılmadan önce ölürse, ölümünden sonra tereke aleyhine yeni icra takibi yapılama</w:t>
            </w:r>
            <w:r w:rsidR="00A7323B" w:rsidRPr="00A23740">
              <w:rPr>
                <w:szCs w:val="24"/>
              </w:rPr>
              <w:t>yacağı hükme bağlanmıştır.</w:t>
            </w:r>
          </w:p>
          <w:p w:rsidR="00C339D5" w:rsidRPr="00A23740" w:rsidRDefault="00C339D5" w:rsidP="009431FF">
            <w:pPr>
              <w:tabs>
                <w:tab w:val="left" w:pos="1345"/>
              </w:tabs>
              <w:autoSpaceDE w:val="0"/>
              <w:autoSpaceDN w:val="0"/>
              <w:adjustRightInd w:val="0"/>
              <w:ind w:firstLine="709"/>
              <w:rPr>
                <w:b/>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lastRenderedPageBreak/>
              <w:t>2 – Borçlunun ailesinden birinin ölümü halinde:</w:t>
            </w:r>
          </w:p>
          <w:p w:rsidR="00155AF4" w:rsidRPr="00A23740" w:rsidRDefault="00155AF4" w:rsidP="009431FF">
            <w:pPr>
              <w:tabs>
                <w:tab w:val="left" w:pos="567"/>
              </w:tabs>
              <w:autoSpaceDE w:val="0"/>
              <w:autoSpaceDN w:val="0"/>
              <w:adjustRightInd w:val="0"/>
              <w:rPr>
                <w:b/>
                <w:bCs/>
                <w:strike/>
                <w:color w:val="FF0000"/>
                <w:szCs w:val="24"/>
              </w:rPr>
            </w:pPr>
            <w:r w:rsidRPr="00A23740">
              <w:rPr>
                <w:rStyle w:val="KIRMIZIChar"/>
                <w:rFonts w:eastAsia="Calibri"/>
              </w:rPr>
              <w:t>Madde 52 – (1) Karısı</w:t>
            </w:r>
            <w:r w:rsidRPr="00A23740">
              <w:rPr>
                <w:b/>
                <w:bCs/>
                <w:strike/>
                <w:color w:val="FF0000"/>
                <w:szCs w:val="24"/>
              </w:rPr>
              <w:t xml:space="preserve"> yahut kocası ve kan ve sıhriyet itibariyle usul veya füruundan birisi ölen bir borçlu aleyhindeki takip, ölüm günü ile beraber üç gün için talik olunur.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5 – Askerlik halinde:</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Madde 54/a – (1) (Ek - 18/2/1965 - 538/26 md.)</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Askerlik hizmetinin devamı müddetince erler, onbaşılar ve kıta çavuşları (Uzman veya uzatmalı çavuş ve onbaşılar hariç) aleyhine takipte, icra memuru, bir mümessil tayin etmesi için kendisine münasip bir mühlet verir ve takibi bu sürenin bitmesine bırakır. Bu müddet içinde temsilci tayin edip icra dairesine bildirmiyenler hakkında takibe devam olunur.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 Mal kaçırılması ihtimali olan hallerde bu mühlet içinde de haciz yapılabilir.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4 – Tutukluluk ve hükümlülük halinde:</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Madde 54 – (1) (Değişik: 18/2/1965 - 538/25 md.)</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Mümessili olmıyan bir tutuklu veya hükümlü aleyhine takipte, mümessil tayini vesayet makamına ait olmadıkça, icra memuru bir mümessil tayin etmesi için kendisine münasip bir mühlet verir ve takibi bu sürenin bitmesine bırakır. Bu mühlet içinde temsilci tayin edip icra dairesine bildirmiyen tutuklu veya hükümlü hakkında takibe devam olunur.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6 – Borçlunun ağır hastalığı halinde:</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Madde 55 – (1) (Değişik: 18/2/1965 - 538/27 md.)</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lastRenderedPageBreak/>
              <w:t>Takip borçlunun mümessil tayin edemiyecek derecede ağır hastalığı halinde muayyen bir zaman için icra memurluğunca talik olunabilir. Ağır hastalığın resmi belge ile tahakkuku lazımdır.</w:t>
            </w:r>
          </w:p>
          <w:p w:rsidR="00155AF4" w:rsidRPr="00A23740" w:rsidRDefault="00155AF4" w:rsidP="009431FF">
            <w:pPr>
              <w:autoSpaceDE w:val="0"/>
              <w:autoSpaceDN w:val="0"/>
              <w:adjustRightInd w:val="0"/>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2E3441" w:rsidP="009431FF">
            <w:pPr>
              <w:pStyle w:val="Mavi"/>
            </w:pPr>
            <w:r w:rsidRPr="00A23740">
              <w:lastRenderedPageBreak/>
              <w:t>Diğer askıya alma h</w:t>
            </w:r>
            <w:r w:rsidRPr="00A23740">
              <w:rPr>
                <w:lang w:val="tr-TR"/>
              </w:rPr>
              <w:t>â</w:t>
            </w:r>
            <w:r w:rsidR="00155AF4" w:rsidRPr="00A23740">
              <w:t>lleri</w:t>
            </w:r>
          </w:p>
          <w:p w:rsidR="00155AF4" w:rsidRPr="00A23740" w:rsidRDefault="00155AF4" w:rsidP="009431FF">
            <w:pPr>
              <w:pStyle w:val="Mavi"/>
            </w:pPr>
            <w:r w:rsidRPr="00A23740">
              <w:t>MADDE 42- (1) Eşi veya kan ya da kayın hısımlığı itibar</w:t>
            </w:r>
            <w:r w:rsidR="00A7323B" w:rsidRPr="00A23740">
              <w:rPr>
                <w:lang w:val="tr-TR"/>
              </w:rPr>
              <w:t>ıyla</w:t>
            </w:r>
            <w:r w:rsidRPr="00A23740">
              <w:t xml:space="preserve"> altsoy veya üstsoyundan birisi yahut kardeşi ölen bir borçlu aleyhine başlatılmış olan icra takibi bir hafta</w:t>
            </w:r>
            <w:r w:rsidRPr="00A23740">
              <w:rPr>
                <w:lang w:val="tr-TR"/>
              </w:rPr>
              <w:t xml:space="preserve"> </w:t>
            </w:r>
            <w:r w:rsidRPr="00A23740">
              <w:t>süreyle askıya alınır.</w:t>
            </w:r>
          </w:p>
          <w:p w:rsidR="00155AF4" w:rsidRPr="00A23740" w:rsidRDefault="00155AF4" w:rsidP="009431FF">
            <w:pPr>
              <w:pStyle w:val="Mavi"/>
            </w:pPr>
          </w:p>
          <w:p w:rsidR="00155AF4" w:rsidRPr="00A23740" w:rsidRDefault="00155AF4" w:rsidP="009431FF">
            <w:pPr>
              <w:pStyle w:val="Mavi"/>
            </w:pPr>
            <w:r w:rsidRPr="00A23740">
              <w:t>(2) İcra</w:t>
            </w:r>
            <w:r w:rsidRPr="00A23740">
              <w:rPr>
                <w:lang w:val="tr-TR"/>
              </w:rPr>
              <w:t xml:space="preserve"> </w:t>
            </w:r>
            <w:r w:rsidRPr="00A23740">
              <w:t>ve iflas dairesi aşağıda</w:t>
            </w:r>
            <w:r w:rsidR="002E3441" w:rsidRPr="00A23740">
              <w:t xml:space="preserve"> belirtilen h</w:t>
            </w:r>
            <w:r w:rsidR="002E3441" w:rsidRPr="00A23740">
              <w:rPr>
                <w:lang w:val="tr-TR"/>
              </w:rPr>
              <w:t>â</w:t>
            </w:r>
            <w:r w:rsidRPr="00A23740">
              <w:t>llerde borçluya bir temsilci tayin etmesi için uygun bir süre verir ve takibi bu sürenin bitimine kadar askıya alır:</w:t>
            </w:r>
          </w:p>
          <w:p w:rsidR="00155AF4" w:rsidRPr="00A23740" w:rsidRDefault="00155AF4" w:rsidP="009431FF">
            <w:pPr>
              <w:pStyle w:val="Mavi"/>
            </w:pPr>
            <w:r w:rsidRPr="00A23740">
              <w:t>a) Borçlunun er veya erbaş ola</w:t>
            </w:r>
            <w:r w:rsidR="00907B72" w:rsidRPr="00A23740">
              <w:t>rak askerlik hizmetinde olması.</w:t>
            </w:r>
          </w:p>
          <w:p w:rsidR="00155AF4" w:rsidRPr="00A23740" w:rsidRDefault="00155AF4" w:rsidP="009431FF">
            <w:pPr>
              <w:pStyle w:val="Mavi"/>
            </w:pPr>
          </w:p>
          <w:p w:rsidR="00155AF4" w:rsidRPr="00A23740" w:rsidRDefault="00155AF4" w:rsidP="009431FF">
            <w:pPr>
              <w:pStyle w:val="Mavi"/>
            </w:pPr>
            <w:r w:rsidRPr="00A23740">
              <w:t>b) Temsilci tayini vesayet makamına ait olmadıkça, borçlunun tutuklu veya hükümlü olarak ceza infaz kurumu ya da</w:t>
            </w:r>
            <w:r w:rsidRPr="00A23740">
              <w:rPr>
                <w:lang w:val="tr-TR"/>
              </w:rPr>
              <w:t xml:space="preserve"> </w:t>
            </w:r>
            <w:r w:rsidRPr="00A23740">
              <w:t>tutukevinde bulunması yahut takip sırasında ceza infaz kurumu veya tutukevine girmesi.</w:t>
            </w:r>
          </w:p>
          <w:p w:rsidR="00155AF4" w:rsidRPr="00A23740" w:rsidRDefault="00155AF4" w:rsidP="009431FF">
            <w:pPr>
              <w:pStyle w:val="Mavi"/>
            </w:pPr>
          </w:p>
          <w:p w:rsidR="00155AF4" w:rsidRPr="00A23740" w:rsidRDefault="00155AF4" w:rsidP="009431FF">
            <w:pPr>
              <w:pStyle w:val="Mavi"/>
              <w:rPr>
                <w:lang w:val="tr-TR"/>
              </w:rPr>
            </w:pPr>
            <w:r w:rsidRPr="00A23740">
              <w:t xml:space="preserve">(3) </w:t>
            </w:r>
            <w:r w:rsidR="004B1A67" w:rsidRPr="002144D4">
              <w:t>B</w:t>
            </w:r>
            <w:r w:rsidRPr="00A23740">
              <w:t>orçlunun temsilci tayin edemeyecek derecede ağır hastalığı h</w:t>
            </w:r>
            <w:r w:rsidR="00C219C2" w:rsidRPr="00A23740">
              <w:rPr>
                <w:lang w:val="tr-TR"/>
              </w:rPr>
              <w:t>â</w:t>
            </w:r>
            <w:r w:rsidRPr="00A23740">
              <w:t xml:space="preserve">linde, bir temsilci tayin edebilecek derecede iyileşmesine kadar geçecek olan süre için </w:t>
            </w:r>
            <w:r w:rsidR="004B1A67" w:rsidRPr="002144D4">
              <w:t xml:space="preserve">icra ve iflas müdürü </w:t>
            </w:r>
            <w:r w:rsidRPr="00A23740">
              <w:t xml:space="preserve">takibi askıya alır. Ağır </w:t>
            </w:r>
            <w:r w:rsidR="002E3441" w:rsidRPr="00A23740">
              <w:t>hastalığın resm</w:t>
            </w:r>
            <w:r w:rsidR="002E3441" w:rsidRPr="002144D4">
              <w:t>î</w:t>
            </w:r>
            <w:r w:rsidRPr="00A23740">
              <w:t xml:space="preserve"> belge ile doğrulanması</w:t>
            </w:r>
            <w:r w:rsidRPr="00A23740">
              <w:rPr>
                <w:lang w:val="tr-TR"/>
              </w:rPr>
              <w:t xml:space="preserve"> </w:t>
            </w:r>
            <w:r w:rsidR="001C4394" w:rsidRPr="00A23740">
              <w:t>gerekir.</w:t>
            </w:r>
          </w:p>
          <w:p w:rsidR="00155AF4" w:rsidRPr="00A23740" w:rsidRDefault="00155AF4" w:rsidP="009431FF">
            <w:pPr>
              <w:pStyle w:val="Mavi"/>
            </w:pPr>
          </w:p>
          <w:p w:rsidR="00155AF4" w:rsidRPr="00A23740" w:rsidRDefault="00155AF4" w:rsidP="009431FF">
            <w:pPr>
              <w:pStyle w:val="Mavi"/>
            </w:pPr>
            <w:r w:rsidRPr="00A23740">
              <w:t xml:space="preserve">(4) Yukarıdaki ikinci ve üçüncü fıkralar uyarınca kendisine verilen süre içinde temsilci tayin edip icra </w:t>
            </w:r>
            <w:r w:rsidR="004B1A67" w:rsidRPr="002144D4">
              <w:t>ve iflas</w:t>
            </w:r>
            <w:r w:rsidR="004B1A67" w:rsidRPr="00A23740">
              <w:rPr>
                <w:color w:val="70AD47"/>
              </w:rPr>
              <w:t xml:space="preserve"> </w:t>
            </w:r>
            <w:r w:rsidRPr="00A23740">
              <w:t>dairesine bildirmeyen borçlu hakkında takibe devam olunur.</w:t>
            </w:r>
          </w:p>
          <w:p w:rsidR="00155AF4" w:rsidRPr="00A23740" w:rsidRDefault="00155AF4" w:rsidP="009431FF">
            <w:pPr>
              <w:pStyle w:val="KIRMIZI"/>
              <w:rPr>
                <w:b w:val="0"/>
                <w:bCs w:val="0"/>
                <w:color w:val="0000FF"/>
              </w:rPr>
            </w:pPr>
          </w:p>
        </w:tc>
      </w:tr>
      <w:tr w:rsidR="00155AF4" w:rsidRPr="00A23740" w:rsidTr="009431FF">
        <w:tc>
          <w:tcPr>
            <w:tcW w:w="5000" w:type="pct"/>
            <w:gridSpan w:val="2"/>
            <w:shd w:val="clear" w:color="auto" w:fill="DEEAF6"/>
          </w:tcPr>
          <w:p w:rsidR="00A66A99" w:rsidRPr="00A23740" w:rsidRDefault="00A66A99" w:rsidP="009431FF">
            <w:pPr>
              <w:tabs>
                <w:tab w:val="left" w:pos="1345"/>
              </w:tabs>
              <w:autoSpaceDE w:val="0"/>
              <w:autoSpaceDN w:val="0"/>
              <w:adjustRightInd w:val="0"/>
              <w:rPr>
                <w:bCs/>
              </w:rPr>
            </w:pPr>
          </w:p>
          <w:p w:rsidR="00155AF4" w:rsidRPr="00A23740" w:rsidRDefault="00A66A99" w:rsidP="009431FF">
            <w:pPr>
              <w:tabs>
                <w:tab w:val="left" w:pos="1345"/>
              </w:tabs>
              <w:autoSpaceDE w:val="0"/>
              <w:autoSpaceDN w:val="0"/>
              <w:adjustRightInd w:val="0"/>
              <w:ind w:firstLine="709"/>
              <w:rPr>
                <w:bCs/>
              </w:rPr>
            </w:pPr>
            <w:r w:rsidRPr="00A23740">
              <w:rPr>
                <w:b/>
                <w:bCs/>
              </w:rPr>
              <w:t>MADDE 42</w:t>
            </w:r>
            <w:r w:rsidR="00155AF4" w:rsidRPr="00A23740">
              <w:rPr>
                <w:b/>
                <w:bCs/>
              </w:rPr>
              <w:t>-</w:t>
            </w:r>
            <w:r w:rsidR="00155AF4" w:rsidRPr="00A23740">
              <w:rPr>
                <w:bCs/>
              </w:rPr>
              <w:t xml:space="preserve"> </w:t>
            </w:r>
            <w:r w:rsidRPr="00A23740">
              <w:rPr>
                <w:bCs/>
              </w:rPr>
              <w:t xml:space="preserve">Maddeyle, icra takibinin askıya alınmasına ilişkin </w:t>
            </w:r>
            <w:r w:rsidR="00AF3128" w:rsidRPr="00A23740">
              <w:rPr>
                <w:bCs/>
              </w:rPr>
              <w:t xml:space="preserve">olarak </w:t>
            </w:r>
            <w:r w:rsidRPr="00A23740">
              <w:rPr>
                <w:bCs/>
              </w:rPr>
              <w:t>borçlunun ölümü dışındaki diğer h</w:t>
            </w:r>
            <w:r w:rsidR="00907B72" w:rsidRPr="00A23740">
              <w:rPr>
                <w:bCs/>
              </w:rPr>
              <w:t>â</w:t>
            </w:r>
            <w:r w:rsidRPr="00A23740">
              <w:rPr>
                <w:bCs/>
              </w:rPr>
              <w:t>ller düzenlenmektedir.</w:t>
            </w:r>
          </w:p>
          <w:p w:rsidR="001D04E9" w:rsidRPr="00A23740" w:rsidRDefault="00A66A99" w:rsidP="009431FF">
            <w:pPr>
              <w:tabs>
                <w:tab w:val="left" w:pos="567"/>
              </w:tabs>
              <w:autoSpaceDE w:val="0"/>
              <w:autoSpaceDN w:val="0"/>
              <w:adjustRightInd w:val="0"/>
              <w:rPr>
                <w:b/>
                <w:bCs/>
                <w:color w:val="0000FF"/>
                <w:szCs w:val="24"/>
              </w:rPr>
            </w:pPr>
            <w:r w:rsidRPr="00A23740">
              <w:rPr>
                <w:bCs/>
              </w:rPr>
              <w:t xml:space="preserve">2004 sayılı Kanunda </w:t>
            </w:r>
            <w:r w:rsidR="001D04E9" w:rsidRPr="00A23740">
              <w:rPr>
                <w:bCs/>
              </w:rPr>
              <w:t>52, 54, 54/a ve 55 inci maddelerde düzenlenen askıya alma h</w:t>
            </w:r>
            <w:r w:rsidR="00907B72" w:rsidRPr="00A23740">
              <w:rPr>
                <w:bCs/>
              </w:rPr>
              <w:t>â</w:t>
            </w:r>
            <w:r w:rsidR="001D04E9" w:rsidRPr="00A23740">
              <w:rPr>
                <w:bCs/>
              </w:rPr>
              <w:t>lleri Taslağın 41 ve 42</w:t>
            </w:r>
            <w:r w:rsidRPr="00A23740">
              <w:rPr>
                <w:bCs/>
              </w:rPr>
              <w:t xml:space="preserve"> </w:t>
            </w:r>
            <w:r w:rsidR="001D04E9" w:rsidRPr="00A23740">
              <w:rPr>
                <w:bCs/>
              </w:rPr>
              <w:t>nci madd</w:t>
            </w:r>
            <w:r w:rsidR="00E06C56" w:rsidRPr="00A23740">
              <w:rPr>
                <w:bCs/>
              </w:rPr>
              <w:t>elerinde “Askıya alma hâli olarak borçlunun ölümü”</w:t>
            </w:r>
            <w:r w:rsidR="000A7947" w:rsidRPr="00A23740">
              <w:rPr>
                <w:bCs/>
              </w:rPr>
              <w:t xml:space="preserve"> ve “Diğer </w:t>
            </w:r>
            <w:r w:rsidR="00E06C56" w:rsidRPr="00A23740">
              <w:rPr>
                <w:bCs/>
              </w:rPr>
              <w:t>askıya alma hâ</w:t>
            </w:r>
            <w:r w:rsidR="000A7947" w:rsidRPr="00A23740">
              <w:rPr>
                <w:bCs/>
              </w:rPr>
              <w:t>lleri”</w:t>
            </w:r>
            <w:r w:rsidR="001D04E9" w:rsidRPr="00A23740">
              <w:rPr>
                <w:bCs/>
              </w:rPr>
              <w:t xml:space="preserve"> olarak iki kanun maddesi olarak düz</w:t>
            </w:r>
            <w:r w:rsidRPr="00A23740">
              <w:rPr>
                <w:bCs/>
              </w:rPr>
              <w:t>enlenmiş ve sadeleştirilmiştir.</w:t>
            </w:r>
          </w:p>
          <w:p w:rsidR="001D04E9" w:rsidRPr="00A23740" w:rsidRDefault="00907B72" w:rsidP="009431FF">
            <w:pPr>
              <w:tabs>
                <w:tab w:val="left" w:pos="1345"/>
              </w:tabs>
              <w:autoSpaceDE w:val="0"/>
              <w:autoSpaceDN w:val="0"/>
              <w:adjustRightInd w:val="0"/>
              <w:ind w:firstLine="709"/>
              <w:rPr>
                <w:bCs/>
              </w:rPr>
            </w:pPr>
            <w:r w:rsidRPr="002144D4">
              <w:rPr>
                <w:bCs/>
              </w:rPr>
              <w:t>M</w:t>
            </w:r>
            <w:r w:rsidR="001D04E9" w:rsidRPr="00A23740">
              <w:rPr>
                <w:bCs/>
              </w:rPr>
              <w:t xml:space="preserve">addede, </w:t>
            </w:r>
            <w:r w:rsidR="00A66A99" w:rsidRPr="00A23740">
              <w:rPr>
                <w:bCs/>
              </w:rPr>
              <w:t xml:space="preserve">2004 sayılı Kanunda </w:t>
            </w:r>
            <w:r w:rsidR="001D04E9" w:rsidRPr="00A23740">
              <w:rPr>
                <w:bCs/>
              </w:rPr>
              <w:t>borçlunun veya yakınla</w:t>
            </w:r>
            <w:r w:rsidR="003676A0" w:rsidRPr="00A23740">
              <w:rPr>
                <w:bCs/>
              </w:rPr>
              <w:t>rının ölümü h</w:t>
            </w:r>
            <w:r w:rsidRPr="00A23740">
              <w:rPr>
                <w:bCs/>
              </w:rPr>
              <w:t>â</w:t>
            </w:r>
            <w:r w:rsidR="003676A0" w:rsidRPr="00A23740">
              <w:rPr>
                <w:bCs/>
              </w:rPr>
              <w:t>linde üç gün olan</w:t>
            </w:r>
            <w:r w:rsidR="001D04E9" w:rsidRPr="00A23740">
              <w:rPr>
                <w:bCs/>
              </w:rPr>
              <w:t xml:space="preserve"> askıya alma süresi, insani gerekçelerle bir haftaya çıkarılmıştır. Borçlunun yakınları arasına</w:t>
            </w:r>
            <w:r w:rsidR="00A66A99" w:rsidRPr="00A23740">
              <w:rPr>
                <w:bCs/>
              </w:rPr>
              <w:t xml:space="preserve"> kardeşler de dahil edilmiştir.</w:t>
            </w:r>
          </w:p>
          <w:p w:rsidR="001D04E9" w:rsidRPr="00A23740" w:rsidRDefault="00CD61C1" w:rsidP="009431FF">
            <w:pPr>
              <w:tabs>
                <w:tab w:val="left" w:pos="1345"/>
              </w:tabs>
              <w:autoSpaceDE w:val="0"/>
              <w:autoSpaceDN w:val="0"/>
              <w:adjustRightInd w:val="0"/>
              <w:ind w:firstLine="709"/>
              <w:rPr>
                <w:bCs/>
              </w:rPr>
            </w:pPr>
            <w:r w:rsidRPr="00A23740">
              <w:rPr>
                <w:bCs/>
              </w:rPr>
              <w:t xml:space="preserve">Birinci fıkraya göre, </w:t>
            </w:r>
            <w:r w:rsidR="001D04E9" w:rsidRPr="00A23740">
              <w:rPr>
                <w:bCs/>
              </w:rPr>
              <w:t>eşi veya kan ya da kayın hısımlığı itibar</w:t>
            </w:r>
            <w:r w:rsidR="003676A0" w:rsidRPr="00A23740">
              <w:rPr>
                <w:bCs/>
              </w:rPr>
              <w:t>ıyla</w:t>
            </w:r>
            <w:r w:rsidR="001D04E9" w:rsidRPr="00A23740">
              <w:rPr>
                <w:bCs/>
              </w:rPr>
              <w:t xml:space="preserve"> altsoy veya üstsoyundan birisi yahut kardeşi ölen bir borçlu aleyhine başlatılmış olan icra takibi bir hafta süreyle askıya alınacak</w:t>
            </w:r>
            <w:r w:rsidR="00E06C56" w:rsidRPr="00A23740">
              <w:rPr>
                <w:bCs/>
              </w:rPr>
              <w:t>tır.</w:t>
            </w:r>
            <w:r w:rsidR="001D04E9" w:rsidRPr="00A23740">
              <w:rPr>
                <w:bCs/>
              </w:rPr>
              <w:t xml:space="preserve"> </w:t>
            </w:r>
          </w:p>
          <w:p w:rsidR="001D04E9" w:rsidRPr="00A23740" w:rsidRDefault="00CD61C1" w:rsidP="009431FF">
            <w:pPr>
              <w:tabs>
                <w:tab w:val="left" w:pos="1345"/>
              </w:tabs>
              <w:autoSpaceDE w:val="0"/>
              <w:autoSpaceDN w:val="0"/>
              <w:adjustRightInd w:val="0"/>
              <w:ind w:firstLine="709"/>
              <w:rPr>
                <w:bCs/>
              </w:rPr>
            </w:pPr>
            <w:r w:rsidRPr="00A23740">
              <w:rPr>
                <w:bCs/>
              </w:rPr>
              <w:t xml:space="preserve">İkinci </w:t>
            </w:r>
            <w:r w:rsidR="003676A0" w:rsidRPr="00A23740">
              <w:rPr>
                <w:bCs/>
              </w:rPr>
              <w:t>fıkraya göre ise i</w:t>
            </w:r>
            <w:r w:rsidR="001D04E9" w:rsidRPr="00A23740">
              <w:rPr>
                <w:bCs/>
              </w:rPr>
              <w:t>cra ve iflas dairesi aynı fıkrada sayılan iki h</w:t>
            </w:r>
            <w:r w:rsidR="00907B72" w:rsidRPr="00A23740">
              <w:rPr>
                <w:bCs/>
              </w:rPr>
              <w:t>â</w:t>
            </w:r>
            <w:r w:rsidR="001D04E9" w:rsidRPr="00A23740">
              <w:rPr>
                <w:bCs/>
              </w:rPr>
              <w:t xml:space="preserve">lde borçluya bir temsilci tayin etmesi için uygun bir süre verip, takibi bu sürenin bitimine kadar askıya </w:t>
            </w:r>
            <w:r w:rsidRPr="00A23740">
              <w:rPr>
                <w:bCs/>
              </w:rPr>
              <w:t xml:space="preserve">alacaktır. İkinci </w:t>
            </w:r>
            <w:r w:rsidR="001D04E9" w:rsidRPr="00A23740">
              <w:rPr>
                <w:bCs/>
              </w:rPr>
              <w:t>fıkradaki bu h</w:t>
            </w:r>
            <w:r w:rsidR="00907B72" w:rsidRPr="00A23740">
              <w:rPr>
                <w:bCs/>
              </w:rPr>
              <w:t>â</w:t>
            </w:r>
            <w:r w:rsidR="001D04E9" w:rsidRPr="00A23740">
              <w:rPr>
                <w:bCs/>
              </w:rPr>
              <w:t>ller borçlunun er veya erbaş olarak askerlik hizmetinde olması ile, temsilci tayini vesayet makamına ait olmadıkça, borçlunun tutuklu veya hükümlü olarak ceza infaz kurumu ya da tutukevinde bulunması yahut takip sırasında ceza infaz k</w:t>
            </w:r>
            <w:r w:rsidR="003676A0" w:rsidRPr="00A23740">
              <w:rPr>
                <w:bCs/>
              </w:rPr>
              <w:t>urumu veya tutukevine girmesi hâ</w:t>
            </w:r>
            <w:r w:rsidR="001D04E9" w:rsidRPr="00A23740">
              <w:rPr>
                <w:bCs/>
              </w:rPr>
              <w:t>lleridir.</w:t>
            </w:r>
          </w:p>
          <w:p w:rsidR="001D04E9" w:rsidRPr="00A23740" w:rsidRDefault="00CD61C1" w:rsidP="009431FF">
            <w:pPr>
              <w:tabs>
                <w:tab w:val="left" w:pos="1345"/>
              </w:tabs>
              <w:autoSpaceDE w:val="0"/>
              <w:autoSpaceDN w:val="0"/>
              <w:adjustRightInd w:val="0"/>
              <w:ind w:firstLine="709"/>
              <w:rPr>
                <w:bCs/>
              </w:rPr>
            </w:pPr>
            <w:r w:rsidRPr="00A23740">
              <w:rPr>
                <w:bCs/>
              </w:rPr>
              <w:t>Üçüncü</w:t>
            </w:r>
            <w:r w:rsidR="003049D7">
              <w:rPr>
                <w:bCs/>
              </w:rPr>
              <w:t xml:space="preserve"> fıkraya göre</w:t>
            </w:r>
            <w:r w:rsidR="001D04E9" w:rsidRPr="00A23740">
              <w:rPr>
                <w:bCs/>
              </w:rPr>
              <w:t xml:space="preserve"> borçlunun temsilci tayin edeme</w:t>
            </w:r>
            <w:r w:rsidR="003676A0" w:rsidRPr="00A23740">
              <w:rPr>
                <w:bCs/>
              </w:rPr>
              <w:t>yecek derecede ağır olduğu resmî</w:t>
            </w:r>
            <w:r w:rsidR="001D04E9" w:rsidRPr="00A23740">
              <w:rPr>
                <w:bCs/>
              </w:rPr>
              <w:t xml:space="preserve"> belge ile doğrulanan bir hastalığının </w:t>
            </w:r>
            <w:r w:rsidR="003676A0" w:rsidRPr="00A23740">
              <w:rPr>
                <w:bCs/>
              </w:rPr>
              <w:t>bulunması hâ</w:t>
            </w:r>
            <w:r w:rsidR="001D04E9" w:rsidRPr="00A23740">
              <w:rPr>
                <w:bCs/>
              </w:rPr>
              <w:t xml:space="preserve">linde, bir temsilci tayin edebilecek derecede iyileşmesine kadar geçecek olan süre için </w:t>
            </w:r>
            <w:r w:rsidR="0036323C" w:rsidRPr="002144D4">
              <w:rPr>
                <w:bCs/>
              </w:rPr>
              <w:t>icra ve iflas müdürü</w:t>
            </w:r>
            <w:r w:rsidR="0036323C" w:rsidRPr="00A23740">
              <w:rPr>
                <w:bCs/>
              </w:rPr>
              <w:t xml:space="preserve"> </w:t>
            </w:r>
            <w:r w:rsidR="001D04E9" w:rsidRPr="00A23740">
              <w:rPr>
                <w:bCs/>
              </w:rPr>
              <w:t xml:space="preserve">takibi askıya alacaktır. </w:t>
            </w:r>
          </w:p>
          <w:p w:rsidR="00907B72" w:rsidRPr="00A23740" w:rsidRDefault="00CD61C1" w:rsidP="009431FF">
            <w:pPr>
              <w:tabs>
                <w:tab w:val="left" w:pos="1345"/>
              </w:tabs>
              <w:autoSpaceDE w:val="0"/>
              <w:autoSpaceDN w:val="0"/>
              <w:adjustRightInd w:val="0"/>
              <w:ind w:firstLine="709"/>
              <w:rPr>
                <w:b/>
                <w:bCs/>
              </w:rPr>
            </w:pPr>
            <w:r w:rsidRPr="00A23740">
              <w:rPr>
                <w:bCs/>
              </w:rPr>
              <w:t>Dördüncü fıkra</w:t>
            </w:r>
            <w:r w:rsidR="00907B72" w:rsidRPr="002144D4">
              <w:rPr>
                <w:bCs/>
              </w:rPr>
              <w:t>da</w:t>
            </w:r>
            <w:r w:rsidRPr="00A23740">
              <w:rPr>
                <w:bCs/>
              </w:rPr>
              <w:t xml:space="preserve"> ise ikinci</w:t>
            </w:r>
            <w:r w:rsidR="001D04E9" w:rsidRPr="00A23740">
              <w:rPr>
                <w:bCs/>
              </w:rPr>
              <w:t xml:space="preserve"> ve </w:t>
            </w:r>
            <w:r w:rsidRPr="00A23740">
              <w:rPr>
                <w:bCs/>
              </w:rPr>
              <w:t>üç</w:t>
            </w:r>
            <w:r w:rsidR="001D04E9" w:rsidRPr="00A23740">
              <w:rPr>
                <w:bCs/>
              </w:rPr>
              <w:t>üncü fıkralar uyarınca kendisine verilen süre içinde temsilci tayin edip icra</w:t>
            </w:r>
            <w:r w:rsidR="0036323C" w:rsidRPr="00A23740">
              <w:rPr>
                <w:bCs/>
              </w:rPr>
              <w:t xml:space="preserve"> </w:t>
            </w:r>
            <w:r w:rsidR="0036323C" w:rsidRPr="002144D4">
              <w:rPr>
                <w:bCs/>
              </w:rPr>
              <w:t>ve iflas</w:t>
            </w:r>
            <w:r w:rsidR="001D04E9" w:rsidRPr="00A23740">
              <w:rPr>
                <w:bCs/>
              </w:rPr>
              <w:t xml:space="preserve"> dairesine bildirmeyen borçlu hakkında takibe devam</w:t>
            </w:r>
            <w:r w:rsidR="00907B72" w:rsidRPr="00A23740">
              <w:rPr>
                <w:rStyle w:val="YELChar"/>
              </w:rPr>
              <w:t xml:space="preserve"> </w:t>
            </w:r>
            <w:r w:rsidR="00907B72" w:rsidRPr="002144D4">
              <w:rPr>
                <w:bCs/>
              </w:rPr>
              <w:t>olunacağı</w:t>
            </w:r>
            <w:r w:rsidR="00907B72" w:rsidRPr="002144D4">
              <w:rPr>
                <w:b/>
              </w:rPr>
              <w:t xml:space="preserve"> </w:t>
            </w:r>
            <w:r w:rsidR="00907B72" w:rsidRPr="002144D4">
              <w:rPr>
                <w:bCs/>
              </w:rPr>
              <w:t>düzenlenmiştir.</w:t>
            </w:r>
            <w:r w:rsidR="00907B72" w:rsidRPr="00A23740">
              <w:rPr>
                <w:rStyle w:val="YELChar"/>
              </w:rPr>
              <w:t xml:space="preserve"> </w:t>
            </w:r>
          </w:p>
          <w:p w:rsidR="00E91409" w:rsidRPr="00A23740" w:rsidRDefault="00E91409" w:rsidP="009431FF">
            <w:pPr>
              <w:tabs>
                <w:tab w:val="left" w:pos="1345"/>
              </w:tabs>
              <w:autoSpaceDE w:val="0"/>
              <w:autoSpaceDN w:val="0"/>
              <w:adjustRightInd w:val="0"/>
              <w:ind w:firstLine="709"/>
              <w:rPr>
                <w:bCs/>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CD61C1" w:rsidRPr="00A23740" w:rsidRDefault="00CD61C1" w:rsidP="009431FF">
            <w:pPr>
              <w:pStyle w:val="KIRMIZI"/>
              <w:rPr>
                <w:rFonts w:eastAsia="Calibri"/>
              </w:rPr>
            </w:pPr>
            <w:r w:rsidRPr="00A23740">
              <w:rPr>
                <w:rFonts w:eastAsia="Calibri"/>
              </w:rPr>
              <w:t>4 – Tutukluluk ve hükümlülük halinde:</w:t>
            </w:r>
          </w:p>
          <w:p w:rsidR="00CD61C1" w:rsidRPr="00A23740" w:rsidRDefault="00CD61C1" w:rsidP="009431FF">
            <w:pPr>
              <w:pStyle w:val="KIRMIZI"/>
              <w:rPr>
                <w:rFonts w:eastAsia="Calibri"/>
              </w:rPr>
            </w:pPr>
            <w:r w:rsidRPr="00A23740">
              <w:rPr>
                <w:rFonts w:eastAsia="Calibri"/>
              </w:rPr>
              <w:t>Madde 54 –</w:t>
            </w:r>
            <w:r w:rsidRPr="00A23740">
              <w:t xml:space="preserve"> …</w:t>
            </w:r>
          </w:p>
          <w:p w:rsidR="00CD61C1" w:rsidRPr="00A23740" w:rsidRDefault="00CD61C1" w:rsidP="009431FF">
            <w:pPr>
              <w:tabs>
                <w:tab w:val="left" w:pos="1100"/>
              </w:tabs>
              <w:autoSpaceDE w:val="0"/>
              <w:autoSpaceDN w:val="0"/>
              <w:adjustRightInd w:val="0"/>
              <w:rPr>
                <w:bCs/>
              </w:rPr>
            </w:pPr>
            <w:r w:rsidRPr="00A23740">
              <w:rPr>
                <w:rStyle w:val="KIRMIZIChar"/>
                <w:rFonts w:eastAsia="Calibri"/>
              </w:rPr>
              <w:t>(2)</w:t>
            </w:r>
            <w:r w:rsidRPr="00A23740">
              <w:rPr>
                <w:bCs/>
              </w:rPr>
              <w:t xml:space="preserve"> Mal kaçırılması ihtimali olan hallerde</w:t>
            </w:r>
            <w:r w:rsidRPr="00A23740">
              <w:rPr>
                <w:rStyle w:val="KIRMIZIChar"/>
                <w:rFonts w:eastAsia="Calibri"/>
              </w:rPr>
              <w:t xml:space="preserve"> bu mühlet içinde de haciz yapılabilir.</w:t>
            </w:r>
          </w:p>
          <w:p w:rsidR="00CD61C1" w:rsidRPr="00A23740" w:rsidRDefault="00CD61C1" w:rsidP="009431FF">
            <w:pPr>
              <w:tabs>
                <w:tab w:val="left" w:pos="1100"/>
              </w:tabs>
              <w:autoSpaceDE w:val="0"/>
              <w:autoSpaceDN w:val="0"/>
              <w:adjustRightInd w:val="0"/>
              <w:rPr>
                <w:bCs/>
              </w:rPr>
            </w:pPr>
          </w:p>
          <w:p w:rsidR="00CD61C1" w:rsidRPr="00A23740" w:rsidRDefault="00CD61C1" w:rsidP="009431FF">
            <w:pPr>
              <w:pStyle w:val="KIRMIZI"/>
              <w:rPr>
                <w:rFonts w:eastAsia="Calibri"/>
              </w:rPr>
            </w:pPr>
            <w:r w:rsidRPr="00A23740">
              <w:rPr>
                <w:rFonts w:eastAsia="Calibri"/>
              </w:rPr>
              <w:t>5 – Askerlik halinde:</w:t>
            </w:r>
          </w:p>
          <w:p w:rsidR="00CD61C1" w:rsidRPr="00A23740" w:rsidRDefault="00CD61C1" w:rsidP="009431FF">
            <w:pPr>
              <w:pStyle w:val="KIRMIZI"/>
              <w:rPr>
                <w:rFonts w:eastAsia="Calibri"/>
              </w:rPr>
            </w:pPr>
            <w:r w:rsidRPr="00A23740">
              <w:rPr>
                <w:rFonts w:eastAsia="Calibri"/>
              </w:rPr>
              <w:t>Madde 54</w:t>
            </w:r>
            <w:r w:rsidRPr="00A23740">
              <w:t>/a – …</w:t>
            </w:r>
          </w:p>
          <w:p w:rsidR="00CD61C1" w:rsidRPr="00A23740" w:rsidRDefault="00CD61C1" w:rsidP="009431FF">
            <w:pPr>
              <w:tabs>
                <w:tab w:val="left" w:pos="1100"/>
              </w:tabs>
              <w:autoSpaceDE w:val="0"/>
              <w:autoSpaceDN w:val="0"/>
              <w:adjustRightInd w:val="0"/>
              <w:rPr>
                <w:bCs/>
              </w:rPr>
            </w:pPr>
            <w:r w:rsidRPr="00A23740">
              <w:rPr>
                <w:rStyle w:val="KIRMIZIChar"/>
                <w:rFonts w:eastAsia="Calibri"/>
              </w:rPr>
              <w:t>(2)</w:t>
            </w:r>
            <w:r w:rsidRPr="00A23740">
              <w:rPr>
                <w:bCs/>
              </w:rPr>
              <w:t xml:space="preserve"> Mal kaçırılması ihtimali olan hallerde </w:t>
            </w:r>
            <w:r w:rsidRPr="00A23740">
              <w:rPr>
                <w:rStyle w:val="KIRMIZIChar"/>
                <w:rFonts w:eastAsia="Calibri"/>
              </w:rPr>
              <w:t>bu mühlet içinde de haciz yapılabilir.</w:t>
            </w:r>
          </w:p>
          <w:p w:rsidR="00CD61C1" w:rsidRPr="00A23740" w:rsidRDefault="00CD61C1" w:rsidP="009431FF">
            <w:pPr>
              <w:tabs>
                <w:tab w:val="left" w:pos="1100"/>
              </w:tabs>
              <w:autoSpaceDE w:val="0"/>
              <w:autoSpaceDN w:val="0"/>
              <w:adjustRightInd w:val="0"/>
              <w:rPr>
                <w:bCs/>
              </w:rPr>
            </w:pPr>
          </w:p>
          <w:p w:rsidR="00CD61C1" w:rsidRPr="00A23740" w:rsidRDefault="00CD61C1" w:rsidP="009431FF">
            <w:pPr>
              <w:pStyle w:val="KIRMIZI"/>
              <w:rPr>
                <w:rFonts w:eastAsia="Calibri"/>
              </w:rPr>
            </w:pPr>
            <w:r w:rsidRPr="00A23740">
              <w:rPr>
                <w:rFonts w:eastAsia="Calibri"/>
              </w:rPr>
              <w:t>6 – Borçlunun ağır hastalığı halinde:</w:t>
            </w:r>
          </w:p>
          <w:p w:rsidR="00CD61C1" w:rsidRPr="00A23740" w:rsidRDefault="00CD61C1" w:rsidP="009431FF">
            <w:pPr>
              <w:pStyle w:val="KIRMIZI"/>
              <w:rPr>
                <w:rFonts w:eastAsia="Calibri"/>
              </w:rPr>
            </w:pPr>
            <w:r w:rsidRPr="00A23740">
              <w:rPr>
                <w:rFonts w:eastAsia="Calibri"/>
              </w:rPr>
              <w:lastRenderedPageBreak/>
              <w:t>Madde 55 –</w:t>
            </w:r>
            <w:r w:rsidRPr="00A23740">
              <w:t xml:space="preserve"> …</w:t>
            </w:r>
          </w:p>
          <w:p w:rsidR="00CD61C1" w:rsidRPr="00A23740" w:rsidRDefault="00CD61C1" w:rsidP="009431FF">
            <w:pPr>
              <w:tabs>
                <w:tab w:val="left" w:pos="1100"/>
              </w:tabs>
              <w:autoSpaceDE w:val="0"/>
              <w:autoSpaceDN w:val="0"/>
              <w:adjustRightInd w:val="0"/>
              <w:rPr>
                <w:bCs/>
              </w:rPr>
            </w:pPr>
            <w:r w:rsidRPr="00A23740">
              <w:rPr>
                <w:rStyle w:val="KIRMIZIChar"/>
                <w:rFonts w:eastAsia="Calibri"/>
              </w:rPr>
              <w:t>(2)</w:t>
            </w:r>
            <w:r w:rsidRPr="00A23740">
              <w:rPr>
                <w:bCs/>
              </w:rPr>
              <w:t xml:space="preserve"> Mal kaçırılması ihtimali olan hallerde </w:t>
            </w:r>
            <w:r w:rsidRPr="00A23740">
              <w:rPr>
                <w:rStyle w:val="KIRMIZIChar"/>
                <w:rFonts w:eastAsia="Calibri"/>
              </w:rPr>
              <w:t>hastalığın devamı sırasında da haciz yapılabilir.</w:t>
            </w:r>
          </w:p>
          <w:p w:rsidR="00CD61C1" w:rsidRPr="00A23740" w:rsidRDefault="00CD61C1" w:rsidP="009431FF">
            <w:pPr>
              <w:tabs>
                <w:tab w:val="left" w:pos="1100"/>
              </w:tabs>
              <w:autoSpaceDE w:val="0"/>
              <w:autoSpaceDN w:val="0"/>
              <w:adjustRightInd w:val="0"/>
              <w:rPr>
                <w:bCs/>
              </w:rPr>
            </w:pPr>
          </w:p>
          <w:p w:rsidR="00155AF4" w:rsidRPr="00A23740" w:rsidRDefault="00155AF4" w:rsidP="009431FF">
            <w:pPr>
              <w:tabs>
                <w:tab w:val="left" w:pos="1100"/>
              </w:tabs>
              <w:autoSpaceDE w:val="0"/>
              <w:autoSpaceDN w:val="0"/>
              <w:adjustRightInd w:val="0"/>
              <w:rPr>
                <w:b/>
                <w:bCs/>
                <w:strike/>
                <w:color w:val="FF0000"/>
                <w:szCs w:val="24"/>
              </w:rPr>
            </w:pPr>
            <w:r w:rsidRPr="00A23740">
              <w:rPr>
                <w:b/>
                <w:bCs/>
                <w:strike/>
                <w:color w:val="FF0000"/>
                <w:szCs w:val="24"/>
              </w:rPr>
              <w:t>Talikın müddetlerin cereyanına tesiri:</w:t>
            </w:r>
          </w:p>
          <w:p w:rsidR="00155AF4" w:rsidRPr="00A23740" w:rsidRDefault="00155AF4" w:rsidP="009431FF">
            <w:pPr>
              <w:tabs>
                <w:tab w:val="left" w:pos="1100"/>
              </w:tabs>
              <w:autoSpaceDE w:val="0"/>
              <w:autoSpaceDN w:val="0"/>
              <w:adjustRightInd w:val="0"/>
              <w:rPr>
                <w:b/>
                <w:bCs/>
                <w:strike/>
                <w:color w:val="FF0000"/>
                <w:szCs w:val="24"/>
              </w:rPr>
            </w:pPr>
            <w:r w:rsidRPr="00A23740">
              <w:rPr>
                <w:b/>
                <w:bCs/>
                <w:strike/>
                <w:color w:val="FF0000"/>
                <w:szCs w:val="24"/>
              </w:rPr>
              <w:t>Madde 56 – (1) (Değişik: 18/2/1965 - 538/28 md.)</w:t>
            </w:r>
          </w:p>
          <w:p w:rsidR="00155AF4" w:rsidRPr="00A23740" w:rsidRDefault="00155AF4" w:rsidP="009431FF">
            <w:pPr>
              <w:tabs>
                <w:tab w:val="left" w:pos="1100"/>
              </w:tabs>
              <w:autoSpaceDE w:val="0"/>
              <w:autoSpaceDN w:val="0"/>
              <w:adjustRightInd w:val="0"/>
              <w:rPr>
                <w:b/>
                <w:bCs/>
                <w:strike/>
                <w:color w:val="FF0000"/>
                <w:szCs w:val="24"/>
              </w:rPr>
            </w:pPr>
            <w:r w:rsidRPr="00A23740">
              <w:rPr>
                <w:b/>
                <w:bCs/>
                <w:strike/>
                <w:color w:val="FF0000"/>
                <w:szCs w:val="24"/>
              </w:rPr>
              <w:t xml:space="preserve">Takip talikleri esnasında müddetlerin cerayanı </w:t>
            </w:r>
            <w:r w:rsidRPr="00A23740">
              <w:rPr>
                <w:bCs/>
              </w:rPr>
              <w:t>durmaz.</w:t>
            </w:r>
            <w:r w:rsidRPr="00A23740">
              <w:rPr>
                <w:b/>
                <w:bCs/>
                <w:strike/>
                <w:color w:val="FF0000"/>
                <w:szCs w:val="24"/>
              </w:rPr>
              <w:t xml:space="preserve"> Müddetin nihayeti bir talik </w:t>
            </w:r>
            <w:r w:rsidRPr="00A23740">
              <w:rPr>
                <w:bCs/>
              </w:rPr>
              <w:t xml:space="preserve">gününe rastlarsa </w:t>
            </w:r>
            <w:r w:rsidRPr="00A23740">
              <w:rPr>
                <w:b/>
                <w:bCs/>
                <w:strike/>
                <w:color w:val="FF0000"/>
                <w:szCs w:val="24"/>
              </w:rPr>
              <w:t xml:space="preserve">müddet talikin </w:t>
            </w:r>
            <w:r w:rsidRPr="00A23740">
              <w:rPr>
                <w:bCs/>
              </w:rPr>
              <w:t xml:space="preserve">bitiminden </w:t>
            </w:r>
            <w:r w:rsidRPr="00A23740">
              <w:rPr>
                <w:rStyle w:val="KIRMIZIChar"/>
                <w:rFonts w:eastAsia="Calibri"/>
              </w:rPr>
              <w:t>sonra</w:t>
            </w:r>
            <w:r w:rsidRPr="00A23740">
              <w:rPr>
                <w:b/>
                <w:bCs/>
                <w:strike/>
                <w:color w:val="FF0000"/>
                <w:szCs w:val="24"/>
              </w:rPr>
              <w:t xml:space="preserve"> </w:t>
            </w:r>
            <w:r w:rsidRPr="00A23740">
              <w:rPr>
                <w:bCs/>
              </w:rPr>
              <w:t>bir</w:t>
            </w:r>
            <w:r w:rsidRPr="00A23740">
              <w:rPr>
                <w:b/>
                <w:bCs/>
                <w:color w:val="FF0000"/>
                <w:szCs w:val="24"/>
              </w:rPr>
              <w:t xml:space="preserve"> </w:t>
            </w:r>
            <w:r w:rsidRPr="00A23740">
              <w:rPr>
                <w:b/>
                <w:bCs/>
                <w:strike/>
                <w:color w:val="FF0000"/>
                <w:szCs w:val="24"/>
              </w:rPr>
              <w:t>gün daha</w:t>
            </w:r>
            <w:r w:rsidRPr="00A23740">
              <w:rPr>
                <w:b/>
                <w:bCs/>
                <w:color w:val="FF0000"/>
                <w:szCs w:val="24"/>
              </w:rPr>
              <w:t xml:space="preserve"> </w:t>
            </w:r>
            <w:r w:rsidRPr="00A23740">
              <w:rPr>
                <w:bCs/>
              </w:rPr>
              <w:t>uzatlır.</w:t>
            </w:r>
          </w:p>
          <w:p w:rsidR="00155AF4" w:rsidRPr="00A23740" w:rsidRDefault="00155AF4" w:rsidP="009431FF">
            <w:pPr>
              <w:autoSpaceDE w:val="0"/>
              <w:autoSpaceDN w:val="0"/>
              <w:adjustRightInd w:val="0"/>
              <w:rPr>
                <w:b/>
                <w:bCs/>
                <w:color w:val="0000FF"/>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Mavi"/>
            </w:pPr>
            <w:r w:rsidRPr="00A23740">
              <w:lastRenderedPageBreak/>
              <w:t>Askıya almanın etkileri</w:t>
            </w:r>
          </w:p>
          <w:p w:rsidR="00155AF4" w:rsidRPr="00A23740" w:rsidRDefault="00155AF4" w:rsidP="009431FF">
            <w:pPr>
              <w:pStyle w:val="Mavi"/>
            </w:pPr>
            <w:r w:rsidRPr="00A23740">
              <w:t>MADDE 43</w:t>
            </w:r>
            <w:r w:rsidR="00E06C56" w:rsidRPr="00A23740">
              <w:t>- (1) Askıya alma h</w:t>
            </w:r>
            <w:r w:rsidR="00E06C56" w:rsidRPr="00A23740">
              <w:rPr>
                <w:lang w:val="tr-TR"/>
              </w:rPr>
              <w:t>â</w:t>
            </w:r>
            <w:r w:rsidRPr="00A23740">
              <w:t>llerinde ve askıya alma süresi içinde borçluya karşı hiçb</w:t>
            </w:r>
            <w:r w:rsidR="000A7947" w:rsidRPr="00A23740">
              <w:t>ir icra takip işlemi yapılamaz.</w:t>
            </w:r>
            <w:r w:rsidRPr="00A23740">
              <w:t xml:space="preserve"> </w:t>
            </w:r>
            <w:r w:rsidR="00E06C56" w:rsidRPr="00A23740">
              <w:t>Mal kaçırılması ihtimali olan h</w:t>
            </w:r>
            <w:r w:rsidR="00E06C56" w:rsidRPr="00A23740">
              <w:rPr>
                <w:lang w:val="tr-TR"/>
              </w:rPr>
              <w:t>â</w:t>
            </w:r>
            <w:r w:rsidRPr="00A23740">
              <w:t>llerde haciz ve muhafaza işlemi yapılması bunun dışındadır.</w:t>
            </w:r>
          </w:p>
          <w:p w:rsidR="00155AF4" w:rsidRPr="00A23740" w:rsidRDefault="00155AF4" w:rsidP="009431FF">
            <w:pPr>
              <w:pStyle w:val="Mavi"/>
            </w:pPr>
          </w:p>
          <w:p w:rsidR="00CD61C1" w:rsidRPr="00A23740" w:rsidRDefault="00CD61C1" w:rsidP="009431FF">
            <w:pPr>
              <w:pStyle w:val="Mavi"/>
            </w:pPr>
          </w:p>
          <w:p w:rsidR="00CD61C1" w:rsidRPr="00A23740" w:rsidRDefault="00CD61C1" w:rsidP="009431FF">
            <w:pPr>
              <w:pStyle w:val="Mavi"/>
            </w:pPr>
          </w:p>
          <w:p w:rsidR="00CD61C1" w:rsidRPr="00A23740" w:rsidRDefault="00CD61C1" w:rsidP="009431FF">
            <w:pPr>
              <w:pStyle w:val="Mavi"/>
            </w:pPr>
          </w:p>
          <w:p w:rsidR="00CD61C1" w:rsidRPr="00A23740" w:rsidRDefault="00CD61C1" w:rsidP="009431FF">
            <w:pPr>
              <w:pStyle w:val="Mavi"/>
            </w:pPr>
          </w:p>
          <w:p w:rsidR="00CD61C1" w:rsidRPr="00A23740" w:rsidRDefault="00CD61C1" w:rsidP="009431FF">
            <w:pPr>
              <w:pStyle w:val="Mavi"/>
            </w:pPr>
          </w:p>
          <w:p w:rsidR="00CD61C1" w:rsidRPr="00A23740" w:rsidRDefault="00CD61C1" w:rsidP="009431FF">
            <w:pPr>
              <w:pStyle w:val="Mavi"/>
            </w:pPr>
          </w:p>
          <w:p w:rsidR="00CD61C1" w:rsidRPr="00A23740" w:rsidRDefault="00CD61C1" w:rsidP="009431FF">
            <w:pPr>
              <w:pStyle w:val="Mavi"/>
            </w:pPr>
          </w:p>
          <w:p w:rsidR="00CD61C1" w:rsidRPr="00A23740" w:rsidRDefault="00CD61C1" w:rsidP="009431FF">
            <w:pPr>
              <w:pStyle w:val="Mavi"/>
            </w:pPr>
          </w:p>
          <w:p w:rsidR="00155AF4" w:rsidRPr="00A23740" w:rsidRDefault="00155AF4" w:rsidP="009431FF">
            <w:pPr>
              <w:pStyle w:val="Mavi"/>
            </w:pPr>
          </w:p>
          <w:p w:rsidR="00CD61C1" w:rsidRPr="00A23740" w:rsidRDefault="00CD61C1" w:rsidP="009431FF">
            <w:pPr>
              <w:pStyle w:val="Mavi"/>
            </w:pPr>
          </w:p>
          <w:p w:rsidR="00CD61C1" w:rsidRPr="00A23740" w:rsidRDefault="00CD61C1" w:rsidP="009431FF">
            <w:pPr>
              <w:pStyle w:val="Mavi"/>
            </w:pPr>
          </w:p>
          <w:p w:rsidR="00155AF4" w:rsidRPr="00A23740" w:rsidRDefault="00E06C56" w:rsidP="009431FF">
            <w:pPr>
              <w:pStyle w:val="Mavi"/>
            </w:pPr>
            <w:r w:rsidRPr="00A23740">
              <w:t>(2) Askıya alma h</w:t>
            </w:r>
            <w:r w:rsidRPr="00A23740">
              <w:rPr>
                <w:lang w:val="tr-TR"/>
              </w:rPr>
              <w:t>â</w:t>
            </w:r>
            <w:r w:rsidR="00155AF4" w:rsidRPr="00A23740">
              <w:t xml:space="preserve">llerinde sürelerin işlemesi </w:t>
            </w:r>
            <w:r w:rsidR="00155AF4" w:rsidRPr="00A23740">
              <w:rPr>
                <w:b w:val="0"/>
                <w:color w:val="auto"/>
                <w:szCs w:val="22"/>
                <w:lang w:val="tr-TR" w:eastAsia="en-US"/>
              </w:rPr>
              <w:t>durmaz.</w:t>
            </w:r>
            <w:r w:rsidR="00155AF4" w:rsidRPr="00A23740">
              <w:t xml:space="preserve"> Sürenin sonu bir askıya alma </w:t>
            </w:r>
            <w:r w:rsidR="00155AF4" w:rsidRPr="00A23740">
              <w:rPr>
                <w:b w:val="0"/>
                <w:color w:val="auto"/>
                <w:szCs w:val="22"/>
                <w:lang w:val="tr-TR" w:eastAsia="en-US"/>
              </w:rPr>
              <w:t>gününe</w:t>
            </w:r>
            <w:r w:rsidR="00155AF4" w:rsidRPr="00A23740">
              <w:t xml:space="preserve"> </w:t>
            </w:r>
            <w:r w:rsidR="00155AF4" w:rsidRPr="00A23740">
              <w:rPr>
                <w:b w:val="0"/>
                <w:color w:val="auto"/>
                <w:szCs w:val="22"/>
                <w:lang w:val="tr-TR" w:eastAsia="en-US"/>
              </w:rPr>
              <w:t>rastlarsa</w:t>
            </w:r>
            <w:r w:rsidR="00155AF4" w:rsidRPr="00A23740">
              <w:t xml:space="preserve"> süre, askıya almanın </w:t>
            </w:r>
            <w:r w:rsidR="00155AF4" w:rsidRPr="00A23740">
              <w:rPr>
                <w:b w:val="0"/>
                <w:color w:val="auto"/>
                <w:szCs w:val="22"/>
                <w:lang w:val="tr-TR" w:eastAsia="en-US"/>
              </w:rPr>
              <w:t>bitiminden</w:t>
            </w:r>
            <w:r w:rsidR="00155AF4" w:rsidRPr="00A23740">
              <w:t xml:space="preserve"> itibaren bir hafta uzatılır</w:t>
            </w:r>
            <w:r w:rsidR="00155AF4" w:rsidRPr="00A23740">
              <w:rPr>
                <w:b w:val="0"/>
                <w:color w:val="auto"/>
                <w:szCs w:val="22"/>
                <w:lang w:val="tr-TR" w:eastAsia="en-US"/>
              </w:rPr>
              <w:t>.</w:t>
            </w:r>
          </w:p>
          <w:p w:rsidR="00155AF4" w:rsidRPr="00A23740" w:rsidRDefault="00155AF4" w:rsidP="009431FF">
            <w:pPr>
              <w:tabs>
                <w:tab w:val="left" w:pos="567"/>
              </w:tabs>
              <w:autoSpaceDE w:val="0"/>
              <w:autoSpaceDN w:val="0"/>
              <w:adjustRightInd w:val="0"/>
              <w:rPr>
                <w:b/>
                <w:bCs/>
                <w:color w:val="FF0000"/>
                <w:szCs w:val="24"/>
              </w:rPr>
            </w:pPr>
          </w:p>
        </w:tc>
      </w:tr>
      <w:tr w:rsidR="00155AF4" w:rsidRPr="00A23740" w:rsidTr="009431FF">
        <w:tc>
          <w:tcPr>
            <w:tcW w:w="5000" w:type="pct"/>
            <w:gridSpan w:val="2"/>
            <w:shd w:val="clear" w:color="auto" w:fill="DEEAF6"/>
          </w:tcPr>
          <w:p w:rsidR="00DE1383" w:rsidRPr="00A23740" w:rsidRDefault="00DE1383" w:rsidP="009431FF">
            <w:pPr>
              <w:tabs>
                <w:tab w:val="left" w:pos="1345"/>
              </w:tabs>
              <w:autoSpaceDE w:val="0"/>
              <w:autoSpaceDN w:val="0"/>
              <w:adjustRightInd w:val="0"/>
              <w:ind w:firstLine="709"/>
              <w:rPr>
                <w:b/>
                <w:bCs/>
              </w:rPr>
            </w:pPr>
          </w:p>
          <w:p w:rsidR="00CD61C1" w:rsidRPr="00A23740" w:rsidRDefault="001D04E9" w:rsidP="009431FF">
            <w:pPr>
              <w:tabs>
                <w:tab w:val="left" w:pos="1345"/>
              </w:tabs>
              <w:autoSpaceDE w:val="0"/>
              <w:autoSpaceDN w:val="0"/>
              <w:adjustRightInd w:val="0"/>
              <w:ind w:firstLine="709"/>
              <w:rPr>
                <w:bCs/>
              </w:rPr>
            </w:pPr>
            <w:r w:rsidRPr="00A23740">
              <w:rPr>
                <w:b/>
                <w:bCs/>
              </w:rPr>
              <w:t>MADDE 43-</w:t>
            </w:r>
            <w:r w:rsidRPr="00A23740">
              <w:rPr>
                <w:bCs/>
              </w:rPr>
              <w:t xml:space="preserve"> </w:t>
            </w:r>
            <w:r w:rsidR="00CD61C1" w:rsidRPr="00A23740">
              <w:rPr>
                <w:bCs/>
              </w:rPr>
              <w:t>Maddeyle, askıya almanın sonuçları düzenlenmektedir.</w:t>
            </w:r>
          </w:p>
          <w:p w:rsidR="001D04E9" w:rsidRPr="00A23740" w:rsidRDefault="001D04E9" w:rsidP="009431FF">
            <w:pPr>
              <w:tabs>
                <w:tab w:val="left" w:pos="1345"/>
              </w:tabs>
              <w:autoSpaceDE w:val="0"/>
              <w:autoSpaceDN w:val="0"/>
              <w:adjustRightInd w:val="0"/>
              <w:ind w:firstLine="709"/>
              <w:rPr>
                <w:bCs/>
              </w:rPr>
            </w:pPr>
            <w:r w:rsidRPr="00A23740">
              <w:rPr>
                <w:bCs/>
              </w:rPr>
              <w:t xml:space="preserve">Taslağın 43 üncü maddesi </w:t>
            </w:r>
            <w:r w:rsidR="00CD61C1" w:rsidRPr="00A23740">
              <w:rPr>
                <w:bCs/>
              </w:rPr>
              <w:t xml:space="preserve">2004 sayılı Kanunun </w:t>
            </w:r>
            <w:r w:rsidRPr="00A23740">
              <w:rPr>
                <w:bCs/>
              </w:rPr>
              <w:t xml:space="preserve">54, 54/a ve 55 inci maddelerinin </w:t>
            </w:r>
            <w:r w:rsidR="00CD61C1" w:rsidRPr="00A23740">
              <w:rPr>
                <w:bCs/>
              </w:rPr>
              <w:t xml:space="preserve">ikinci </w:t>
            </w:r>
            <w:r w:rsidRPr="00A23740">
              <w:rPr>
                <w:bCs/>
              </w:rPr>
              <w:t xml:space="preserve">fıkraları ile 56 ncı maddesine tekabül etmektedir. </w:t>
            </w:r>
          </w:p>
          <w:p w:rsidR="001D04E9" w:rsidRPr="00A23740" w:rsidRDefault="00E06581" w:rsidP="009431FF">
            <w:pPr>
              <w:tabs>
                <w:tab w:val="left" w:pos="1345"/>
              </w:tabs>
              <w:autoSpaceDE w:val="0"/>
              <w:autoSpaceDN w:val="0"/>
              <w:adjustRightInd w:val="0"/>
              <w:ind w:firstLine="709"/>
              <w:rPr>
                <w:bCs/>
              </w:rPr>
            </w:pPr>
            <w:r w:rsidRPr="00A23740">
              <w:rPr>
                <w:bCs/>
              </w:rPr>
              <w:t>Birinci fıkraya</w:t>
            </w:r>
            <w:r w:rsidR="001D04E9" w:rsidRPr="00A23740">
              <w:rPr>
                <w:bCs/>
              </w:rPr>
              <w:t xml:space="preserve"> göre askıya alma süresi içinde borçluya karşı hiçbir icra takip işlemi yapılamaz. Mal kaçırılması ihtimali olan h</w:t>
            </w:r>
            <w:r w:rsidR="00557990" w:rsidRPr="00A23740">
              <w:rPr>
                <w:bCs/>
              </w:rPr>
              <w:t>â</w:t>
            </w:r>
            <w:r w:rsidR="001D04E9" w:rsidRPr="00A23740">
              <w:rPr>
                <w:bCs/>
              </w:rPr>
              <w:t>llerde haciz ve muhafaza işl</w:t>
            </w:r>
            <w:r w:rsidR="00CD61C1" w:rsidRPr="00A23740">
              <w:rPr>
                <w:bCs/>
              </w:rPr>
              <w:t xml:space="preserve">emi yapılması </w:t>
            </w:r>
            <w:r w:rsidR="00AF3128" w:rsidRPr="00A23740">
              <w:rPr>
                <w:bCs/>
              </w:rPr>
              <w:t xml:space="preserve">hâli </w:t>
            </w:r>
            <w:r w:rsidR="00CD61C1" w:rsidRPr="00A23740">
              <w:rPr>
                <w:bCs/>
              </w:rPr>
              <w:t>bunun dışındadır.</w:t>
            </w:r>
          </w:p>
          <w:p w:rsidR="001D04E9" w:rsidRPr="00A23740" w:rsidRDefault="00E06581" w:rsidP="009431FF">
            <w:pPr>
              <w:tabs>
                <w:tab w:val="left" w:pos="1345"/>
              </w:tabs>
              <w:autoSpaceDE w:val="0"/>
              <w:autoSpaceDN w:val="0"/>
              <w:adjustRightInd w:val="0"/>
              <w:ind w:firstLine="709"/>
              <w:rPr>
                <w:bCs/>
              </w:rPr>
            </w:pPr>
            <w:r w:rsidRPr="00A23740">
              <w:rPr>
                <w:bCs/>
              </w:rPr>
              <w:t>İkinci fıkraya</w:t>
            </w:r>
            <w:r w:rsidR="001D04E9" w:rsidRPr="00A23740">
              <w:rPr>
                <w:bCs/>
              </w:rPr>
              <w:t xml:space="preserve"> göre ise askıya</w:t>
            </w:r>
            <w:r w:rsidR="00E06C56" w:rsidRPr="00A23740">
              <w:rPr>
                <w:bCs/>
              </w:rPr>
              <w:t xml:space="preserve"> alma hâ</w:t>
            </w:r>
            <w:r w:rsidR="001D04E9" w:rsidRPr="00A23740">
              <w:rPr>
                <w:bCs/>
              </w:rPr>
              <w:t xml:space="preserve">llerinde sürelerin işlemesi durmaz. Sürenin sonu bir askıya alma gününe rastlarsa süre, askıya almanın bitiminden itibaren, </w:t>
            </w:r>
            <w:r w:rsidRPr="00A23740">
              <w:rPr>
                <w:bCs/>
              </w:rPr>
              <w:t>2004 sayılı Kanundaki</w:t>
            </w:r>
            <w:r w:rsidR="001D04E9" w:rsidRPr="00A23740">
              <w:rPr>
                <w:bCs/>
              </w:rPr>
              <w:t xml:space="preserve"> gibi üç gün değil, bir hafta uzatılır. Bu son değişiklik Taslağın süreleri mümkün olduğunca hafta olarak belirleme ve yeknesak h</w:t>
            </w:r>
            <w:r w:rsidR="00455130" w:rsidRPr="00A23740">
              <w:rPr>
                <w:bCs/>
              </w:rPr>
              <w:t>â</w:t>
            </w:r>
            <w:r w:rsidR="001D04E9" w:rsidRPr="00A23740">
              <w:rPr>
                <w:bCs/>
              </w:rPr>
              <w:t>le getirme ilkesine uygundur.</w:t>
            </w:r>
          </w:p>
          <w:p w:rsidR="00E91409" w:rsidRPr="00A23740" w:rsidRDefault="001D04E9" w:rsidP="009431FF">
            <w:pPr>
              <w:tabs>
                <w:tab w:val="left" w:pos="1345"/>
              </w:tabs>
              <w:autoSpaceDE w:val="0"/>
              <w:autoSpaceDN w:val="0"/>
              <w:adjustRightInd w:val="0"/>
              <w:ind w:firstLine="709"/>
              <w:rPr>
                <w:bCs/>
              </w:rPr>
            </w:pPr>
            <w:r w:rsidRPr="00A23740">
              <w:rPr>
                <w:bCs/>
              </w:rPr>
              <w:t>Hazırlık çalışmaları s</w:t>
            </w:r>
            <w:r w:rsidR="00E06C56" w:rsidRPr="00A23740">
              <w:rPr>
                <w:bCs/>
              </w:rPr>
              <w:t>ırasında tatil ve askıya alma hâ</w:t>
            </w:r>
            <w:r w:rsidRPr="00A23740">
              <w:rPr>
                <w:bCs/>
              </w:rPr>
              <w:t xml:space="preserve">llerinde borçluya karşı icra takip işlemi yapılmasının yasak olmasına rağmen eğer bu işlemler yapılmışsa bunun yaptırımının ne olacağının da madde metninde açıklığa kavuşturulmasının yararlı olabileceği görüşü gündeme gelmiştir. Konu </w:t>
            </w:r>
            <w:r w:rsidR="00E06C56" w:rsidRPr="00A23740">
              <w:rPr>
                <w:bCs/>
              </w:rPr>
              <w:t xml:space="preserve">öğretide </w:t>
            </w:r>
            <w:r w:rsidRPr="00A23740">
              <w:rPr>
                <w:bCs/>
              </w:rPr>
              <w:t>tartışmalıdır. Bu konudaki görüşlerd</w:t>
            </w:r>
            <w:r w:rsidR="00E06C56" w:rsidRPr="00A23740">
              <w:rPr>
                <w:bCs/>
              </w:rPr>
              <w:t>en ilki, tatil ve askıya alma hâ</w:t>
            </w:r>
            <w:r w:rsidRPr="00A23740">
              <w:rPr>
                <w:bCs/>
              </w:rPr>
              <w:t>llerinde borçluya karşı icra takip işlemi yapılamayacağı yönündeki hükmün kamu düzeni gerekçesiyle ihdas edilmiş olduğu ve bu nedenle de buna aykırı işlemlerin kesin hükümsüz olduğu yönündedir. İkinci görüş söz konusu hükme aykırı işlemlerin iptal edilebilir olduğunu kabul eder,</w:t>
            </w:r>
            <w:r w:rsidR="00E06C56" w:rsidRPr="00A23740">
              <w:rPr>
                <w:bCs/>
              </w:rPr>
              <w:t xml:space="preserve"> zira işlemin batıl sayılması hâ</w:t>
            </w:r>
            <w:r w:rsidRPr="00A23740">
              <w:rPr>
                <w:bCs/>
              </w:rPr>
              <w:t>linde çok ileri safhaya ulaşmış bir takip dahi her zaman iptal edilebilecek ve bu çok ağır sakıncalara yol açacaktır. Üçüncü görüşe göre ise, erteleme süresi veya tatilde yapılan icra takip işlemi, o tarihte değil, fakat işlemin yapılmasının mümkün olmadığı zamanın sonunda yapılmış</w:t>
            </w:r>
            <w:r w:rsidR="00E06C56" w:rsidRPr="00A23740">
              <w:rPr>
                <w:bCs/>
              </w:rPr>
              <w:t xml:space="preserve"> sayılacaktır.</w:t>
            </w:r>
            <w:r w:rsidRPr="00A23740">
              <w:rPr>
                <w:bCs/>
              </w:rPr>
              <w:t xml:space="preserve"> Bu görüşlerin değerlendirilmesi </w:t>
            </w:r>
            <w:r w:rsidR="00E06C56" w:rsidRPr="00A23740">
              <w:rPr>
                <w:bCs/>
              </w:rPr>
              <w:t>sonucunda her bir askıya alma hâ</w:t>
            </w:r>
            <w:r w:rsidRPr="00A23740">
              <w:rPr>
                <w:bCs/>
              </w:rPr>
              <w:t>li için yeknesak olarak aynı esası benimsemek adil görü</w:t>
            </w:r>
            <w:r w:rsidR="00E06C56" w:rsidRPr="00A23740">
              <w:rPr>
                <w:bCs/>
              </w:rPr>
              <w:t>lmemiş ve her bir askıya alma hâ</w:t>
            </w:r>
            <w:r w:rsidRPr="00A23740">
              <w:rPr>
                <w:bCs/>
              </w:rPr>
              <w:t>li için bunun yaptırımının ayrıca ve somut olayın özelliklerine göre mahkemelerce belirlenmesi gerektiği kabul edilmiştir.</w:t>
            </w:r>
          </w:p>
          <w:p w:rsidR="00F5782D" w:rsidRPr="00A23740" w:rsidRDefault="00F5782D" w:rsidP="009431FF">
            <w:pPr>
              <w:tabs>
                <w:tab w:val="left" w:pos="1345"/>
              </w:tabs>
              <w:autoSpaceDE w:val="0"/>
              <w:autoSpaceDN w:val="0"/>
              <w:adjustRightInd w:val="0"/>
              <w:ind w:firstLine="709"/>
              <w:rPr>
                <w:bCs/>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rPr>
                <w:rFonts w:eastAsia="Times New Roman"/>
                <w:b/>
                <w:i/>
                <w:szCs w:val="24"/>
                <w:lang w:eastAsia="tr-TR"/>
              </w:rPr>
            </w:pPr>
          </w:p>
          <w:p w:rsidR="00155AF4" w:rsidRPr="00A23740" w:rsidRDefault="00155AF4" w:rsidP="009431FF">
            <w:pPr>
              <w:widowControl w:val="0"/>
              <w:tabs>
                <w:tab w:val="left" w:pos="567"/>
              </w:tabs>
              <w:rPr>
                <w:rFonts w:eastAsia="Times New Roman"/>
                <w:b/>
                <w:i/>
                <w:szCs w:val="24"/>
                <w:lang w:eastAsia="tr-TR"/>
              </w:rPr>
            </w:pPr>
          </w:p>
          <w:p w:rsidR="00155AF4" w:rsidRPr="00A23740" w:rsidRDefault="00155AF4" w:rsidP="009431FF">
            <w:pPr>
              <w:widowControl w:val="0"/>
              <w:tabs>
                <w:tab w:val="left" w:pos="567"/>
              </w:tabs>
              <w:rPr>
                <w:rFonts w:eastAsia="Times New Roman"/>
                <w:b/>
                <w:i/>
                <w:szCs w:val="24"/>
                <w:lang w:eastAsia="tr-TR"/>
              </w:rPr>
            </w:pPr>
          </w:p>
          <w:p w:rsidR="00155AF4" w:rsidRPr="00A23740" w:rsidRDefault="00155AF4" w:rsidP="009431FF">
            <w:pPr>
              <w:widowControl w:val="0"/>
              <w:tabs>
                <w:tab w:val="left" w:pos="567"/>
              </w:tabs>
              <w:rPr>
                <w:rFonts w:eastAsia="Times New Roman"/>
                <w:b/>
                <w:i/>
                <w:szCs w:val="24"/>
                <w:lang w:eastAsia="tr-TR"/>
              </w:rPr>
            </w:pPr>
          </w:p>
          <w:p w:rsidR="00155AF4" w:rsidRPr="00A23740" w:rsidRDefault="00155AF4" w:rsidP="009431FF">
            <w:pPr>
              <w:widowControl w:val="0"/>
              <w:tabs>
                <w:tab w:val="left" w:pos="567"/>
              </w:tabs>
              <w:rPr>
                <w:rFonts w:eastAsia="Times New Roman"/>
                <w:b/>
                <w:i/>
                <w:szCs w:val="24"/>
                <w:lang w:eastAsia="tr-TR"/>
              </w:rPr>
            </w:pPr>
          </w:p>
          <w:p w:rsidR="00155AF4" w:rsidRPr="00A23740" w:rsidRDefault="00155AF4" w:rsidP="009431FF">
            <w:pPr>
              <w:widowControl w:val="0"/>
              <w:tabs>
                <w:tab w:val="left" w:pos="567"/>
              </w:tabs>
              <w:rPr>
                <w:rFonts w:eastAsia="Times New Roman"/>
                <w:b/>
                <w:strike/>
                <w:color w:val="FF0000"/>
                <w:szCs w:val="24"/>
                <w:lang w:eastAsia="tr-TR"/>
              </w:rPr>
            </w:pPr>
            <w:r w:rsidRPr="00A23740">
              <w:rPr>
                <w:rFonts w:eastAsia="Times New Roman"/>
                <w:b/>
                <w:i/>
                <w:szCs w:val="24"/>
                <w:lang w:eastAsia="tr-TR"/>
              </w:rPr>
              <w:t>İcra tebliğleri</w:t>
            </w:r>
            <w:r w:rsidRPr="00A23740">
              <w:rPr>
                <w:rFonts w:eastAsia="Times New Roman"/>
                <w:b/>
                <w:strike/>
                <w:color w:val="FF0000"/>
                <w:szCs w:val="24"/>
                <w:lang w:eastAsia="tr-TR"/>
              </w:rPr>
              <w:t>:</w:t>
            </w:r>
          </w:p>
          <w:p w:rsidR="00155AF4" w:rsidRPr="00A23740" w:rsidRDefault="00155AF4" w:rsidP="009431FF">
            <w:pPr>
              <w:widowControl w:val="0"/>
              <w:tabs>
                <w:tab w:val="left" w:pos="567"/>
              </w:tabs>
              <w:rPr>
                <w:rFonts w:eastAsia="Times New Roman"/>
                <w:szCs w:val="24"/>
                <w:lang w:eastAsia="tr-TR"/>
              </w:rPr>
            </w:pPr>
            <w:r w:rsidRPr="00A23740">
              <w:rPr>
                <w:rStyle w:val="KIRMIZIChar"/>
                <w:rFonts w:eastAsia="Calibri"/>
              </w:rPr>
              <w:t>Madde 21 – (1) (Değişik</w:t>
            </w:r>
            <w:r w:rsidRPr="00A23740">
              <w:rPr>
                <w:rFonts w:eastAsia="Times New Roman"/>
                <w:b/>
                <w:strike/>
                <w:color w:val="FF0000"/>
                <w:szCs w:val="24"/>
                <w:lang w:eastAsia="tr-TR"/>
              </w:rPr>
              <w:t>: 18/2/1965 - 538/13 md.)</w:t>
            </w:r>
          </w:p>
          <w:p w:rsidR="00155AF4" w:rsidRPr="00A23740" w:rsidRDefault="00155AF4" w:rsidP="009431FF">
            <w:pPr>
              <w:widowControl w:val="0"/>
              <w:tabs>
                <w:tab w:val="left" w:pos="567"/>
              </w:tabs>
              <w:rPr>
                <w:rFonts w:eastAsia="Times New Roman"/>
                <w:szCs w:val="24"/>
                <w:lang w:eastAsia="tr-TR"/>
              </w:rPr>
            </w:pPr>
            <w:r w:rsidRPr="00A23740">
              <w:rPr>
                <w:rFonts w:eastAsia="Times New Roman"/>
                <w:szCs w:val="24"/>
                <w:lang w:eastAsia="tr-TR"/>
              </w:rPr>
              <w:t xml:space="preserve">İcra dairelerince yapılacak tebliğler </w:t>
            </w:r>
            <w:r w:rsidRPr="00A23740">
              <w:rPr>
                <w:rFonts w:eastAsia="Times New Roman"/>
                <w:b/>
                <w:strike/>
                <w:color w:val="FF0000"/>
                <w:szCs w:val="24"/>
                <w:lang w:eastAsia="tr-TR"/>
              </w:rPr>
              <w:t>yazı ile ve</w:t>
            </w:r>
            <w:r w:rsidRPr="00A23740">
              <w:rPr>
                <w:rFonts w:eastAsia="Times New Roman"/>
                <w:szCs w:val="24"/>
                <w:lang w:eastAsia="tr-TR"/>
              </w:rPr>
              <w:t xml:space="preserve"> Tebligat Kanunu hükümlerine göre </w:t>
            </w:r>
            <w:r w:rsidRPr="00A23740">
              <w:rPr>
                <w:rFonts w:eastAsia="Times New Roman"/>
                <w:b/>
                <w:strike/>
                <w:color w:val="FF0000"/>
                <w:szCs w:val="24"/>
                <w:lang w:eastAsia="tr-TR"/>
              </w:rPr>
              <w:t>olur</w:t>
            </w:r>
            <w:r w:rsidRPr="00A23740">
              <w:rPr>
                <w:rFonts w:eastAsia="Times New Roman"/>
                <w:szCs w:val="24"/>
                <w:lang w:eastAsia="tr-TR"/>
              </w:rPr>
              <w:t xml:space="preserve">. </w:t>
            </w:r>
            <w:r w:rsidRPr="00A23740">
              <w:rPr>
                <w:rFonts w:eastAsia="Times New Roman"/>
                <w:b/>
                <w:strike/>
                <w:color w:val="FF0000"/>
                <w:szCs w:val="24"/>
                <w:lang w:eastAsia="tr-TR"/>
              </w:rPr>
              <w:t>Bu tebliğler makbuz karşılığında doğrudan doğruya tevdi suretiyle de yapılabilir.</w:t>
            </w:r>
          </w:p>
          <w:p w:rsidR="00155AF4" w:rsidRPr="00A23740" w:rsidRDefault="00155AF4" w:rsidP="009431FF">
            <w:pPr>
              <w:widowControl w:val="0"/>
              <w:tabs>
                <w:tab w:val="left" w:pos="567"/>
              </w:tabs>
              <w:rPr>
                <w:rFonts w:eastAsia="Times New Roman"/>
                <w:szCs w:val="24"/>
                <w:lang w:eastAsia="tr-TR"/>
              </w:rPr>
            </w:pPr>
          </w:p>
          <w:p w:rsidR="00155AF4" w:rsidRPr="002060A9" w:rsidRDefault="00155AF4" w:rsidP="009431FF">
            <w:pPr>
              <w:pStyle w:val="KIRMIZI"/>
            </w:pPr>
            <w:r w:rsidRPr="002060A9">
              <w:rPr>
                <w:rStyle w:val="KIRMIZIChar"/>
                <w:rFonts w:eastAsia="Calibri"/>
                <w:b/>
                <w:bCs/>
                <w:strike/>
              </w:rPr>
              <w:t>(2)</w:t>
            </w:r>
            <w:r w:rsidRPr="002060A9">
              <w:t xml:space="preserve"> İlamda ve 38 inci maddeye göre ilam hükmünde sayılan belgelerle ipotek senedinde yazılı olan adresi değiştiren alacaklı veya borçlu; keyfiyeti birbirlerine noter vasıtasiyle bildirmiş olmadıkça, tebligat aynı adrese yapılır ve bu adreste bulunmadığı takdirde Tebligat Kanununun 35 inci maddesi uygulanır.</w:t>
            </w:r>
          </w:p>
          <w:p w:rsidR="007C5F15" w:rsidRPr="002060A9" w:rsidRDefault="007C5F15" w:rsidP="009431FF">
            <w:pPr>
              <w:pStyle w:val="KIRMIZI"/>
            </w:pPr>
          </w:p>
          <w:p w:rsidR="00155AF4" w:rsidRPr="002060A9" w:rsidRDefault="00155AF4" w:rsidP="009431FF">
            <w:pPr>
              <w:pStyle w:val="KIRMIZI"/>
            </w:pPr>
            <w:r w:rsidRPr="002060A9">
              <w:rPr>
                <w:rStyle w:val="KIRMIZIChar"/>
                <w:rFonts w:eastAsia="Calibri"/>
                <w:b/>
                <w:bCs/>
                <w:strike/>
              </w:rPr>
              <w:t>(3)</w:t>
            </w:r>
            <w:r w:rsidRPr="002060A9">
              <w:t xml:space="preserve"> Adres değişikliği, yukarıdaki fıkra gereğince alacaklı veya borçlu tarafından diğer tarafa tebliğ olunduğu halde eski adrese tebligat yaptırarak Tebligat Kanununun 35 inci maddesinden faydalanmış olan taraf bu suretle diğer tarafa verdiği bütün zararları yüzde </w:t>
            </w:r>
            <w:r w:rsidRPr="002060A9">
              <w:rPr>
                <w:rStyle w:val="KIRMIZIChar"/>
                <w:rFonts w:eastAsia="Calibri"/>
                <w:b/>
                <w:bCs/>
                <w:strike/>
              </w:rPr>
              <w:t>15</w:t>
            </w:r>
            <w:r w:rsidRPr="002060A9">
              <w:t xml:space="preserve"> fazlasiyle ödeme</w:t>
            </w:r>
            <w:r w:rsidRPr="002060A9">
              <w:rPr>
                <w:rStyle w:val="KIRMIZIChar"/>
                <w:rFonts w:eastAsia="Calibri"/>
                <w:b/>
                <w:bCs/>
                <w:strike/>
              </w:rPr>
              <w:t>ye</w:t>
            </w:r>
            <w:r w:rsidRPr="002060A9">
              <w:t xml:space="preserve"> </w:t>
            </w:r>
            <w:r w:rsidRPr="002060A9">
              <w:rPr>
                <w:rStyle w:val="KIRMIZIChar"/>
                <w:rFonts w:eastAsia="Calibri"/>
                <w:b/>
                <w:bCs/>
                <w:strike/>
              </w:rPr>
              <w:t>mecbur</w:t>
            </w:r>
            <w:r w:rsidRPr="002060A9">
              <w:t xml:space="preserve"> olduğu gibi hakkında </w:t>
            </w:r>
            <w:r w:rsidRPr="002060A9">
              <w:rPr>
                <w:rStyle w:val="KIRMIZIChar"/>
                <w:rFonts w:eastAsia="Calibri"/>
                <w:b/>
                <w:bCs/>
                <w:strike/>
              </w:rPr>
              <w:t>343 üncü</w:t>
            </w:r>
            <w:r w:rsidRPr="002060A9">
              <w:t xml:space="preserve"> maddedeki ceza da uygulanır.</w:t>
            </w:r>
          </w:p>
          <w:p w:rsidR="00155AF4" w:rsidRPr="00A23740" w:rsidRDefault="00155AF4" w:rsidP="009431FF">
            <w:pPr>
              <w:widowControl w:val="0"/>
              <w:tabs>
                <w:tab w:val="left" w:pos="567"/>
              </w:tabs>
              <w:autoSpaceDE w:val="0"/>
              <w:autoSpaceDN w:val="0"/>
              <w:adjustRightInd w:val="0"/>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DD105B" w:rsidP="009431FF">
            <w:pPr>
              <w:pStyle w:val="Balk2"/>
              <w:keepNext w:val="0"/>
              <w:widowControl w:val="0"/>
              <w:rPr>
                <w:lang w:val="tr-TR"/>
              </w:rPr>
            </w:pPr>
            <w:r w:rsidRPr="002144D4">
              <w:rPr>
                <w:rStyle w:val="Balk1Char"/>
                <w:b/>
                <w:kern w:val="0"/>
                <w:szCs w:val="28"/>
                <w:lang w:val="tr-TR"/>
              </w:rPr>
              <w:lastRenderedPageBreak/>
              <w:t>DÖRDÜNCÜ</w:t>
            </w:r>
            <w:r w:rsidRPr="00A23740">
              <w:rPr>
                <w:rStyle w:val="Balk1Char"/>
                <w:b/>
                <w:bCs/>
                <w:kern w:val="0"/>
                <w:szCs w:val="28"/>
                <w:lang w:val="tr-TR"/>
              </w:rPr>
              <w:t xml:space="preserve"> </w:t>
            </w:r>
            <w:r w:rsidR="00155AF4" w:rsidRPr="00A23740">
              <w:rPr>
                <w:rStyle w:val="Balk1Char"/>
                <w:b/>
                <w:bCs/>
                <w:kern w:val="0"/>
                <w:szCs w:val="28"/>
                <w:lang w:val="tr-TR"/>
              </w:rPr>
              <w:t>KISIM</w:t>
            </w:r>
          </w:p>
          <w:p w:rsidR="00155AF4" w:rsidRPr="00A23740" w:rsidRDefault="00155AF4" w:rsidP="009431FF">
            <w:pPr>
              <w:pStyle w:val="Balk2"/>
              <w:keepNext w:val="0"/>
              <w:widowControl w:val="0"/>
              <w:rPr>
                <w:rStyle w:val="Balk1Char"/>
                <w:b/>
                <w:bCs/>
                <w:kern w:val="0"/>
                <w:szCs w:val="28"/>
                <w:lang w:val="tr-TR"/>
              </w:rPr>
            </w:pPr>
            <w:r w:rsidRPr="00A23740">
              <w:rPr>
                <w:rStyle w:val="Balk1Char"/>
                <w:b/>
                <w:bCs/>
                <w:kern w:val="0"/>
                <w:szCs w:val="28"/>
                <w:lang w:val="tr-TR"/>
              </w:rPr>
              <w:t>Diğer Genel Hükümler</w:t>
            </w:r>
          </w:p>
          <w:p w:rsidR="00155AF4" w:rsidRPr="00A23740" w:rsidRDefault="00155AF4" w:rsidP="009431FF">
            <w:pPr>
              <w:pStyle w:val="Mavi"/>
              <w:widowControl w:val="0"/>
              <w:jc w:val="left"/>
              <w:rPr>
                <w:lang w:val="tr-TR"/>
              </w:rPr>
            </w:pPr>
          </w:p>
          <w:p w:rsidR="00155AF4" w:rsidRPr="00A23740" w:rsidRDefault="00155AF4" w:rsidP="009431FF">
            <w:pPr>
              <w:pStyle w:val="Balk3"/>
              <w:keepNext w:val="0"/>
              <w:widowControl w:val="0"/>
              <w:rPr>
                <w:lang w:val="tr-TR"/>
              </w:rPr>
            </w:pPr>
            <w:r w:rsidRPr="00A23740">
              <w:rPr>
                <w:lang w:val="tr-TR"/>
              </w:rPr>
              <w:t>BİRİNCİ BÖLÜM</w:t>
            </w:r>
          </w:p>
          <w:p w:rsidR="00155AF4" w:rsidRPr="00A23740" w:rsidRDefault="00155AF4" w:rsidP="009431FF">
            <w:pPr>
              <w:pStyle w:val="Balk4"/>
              <w:keepNext w:val="0"/>
              <w:widowControl w:val="0"/>
              <w:rPr>
                <w:lang w:val="tr-TR"/>
              </w:rPr>
            </w:pPr>
            <w:r w:rsidRPr="00A23740">
              <w:rPr>
                <w:lang w:val="tr-TR"/>
              </w:rPr>
              <w:lastRenderedPageBreak/>
              <w:t>İcra ve İflas Tebliğleri</w:t>
            </w:r>
          </w:p>
          <w:p w:rsidR="00155AF4" w:rsidRPr="00A23740" w:rsidRDefault="00155AF4" w:rsidP="009431FF">
            <w:pPr>
              <w:widowControl w:val="0"/>
              <w:tabs>
                <w:tab w:val="left" w:pos="567"/>
              </w:tabs>
              <w:jc w:val="left"/>
              <w:rPr>
                <w:rFonts w:eastAsia="ヒラギノ明朝 Pro W3"/>
                <w:b/>
                <w:color w:val="FF0000"/>
                <w:szCs w:val="24"/>
                <w:lang w:eastAsia="tr-TR"/>
              </w:rPr>
            </w:pPr>
          </w:p>
          <w:p w:rsidR="00155AF4" w:rsidRPr="00A23740" w:rsidRDefault="00155AF4" w:rsidP="009431FF">
            <w:pPr>
              <w:widowControl w:val="0"/>
              <w:jc w:val="left"/>
              <w:rPr>
                <w:rFonts w:eastAsia="Times New Roman"/>
                <w:b/>
                <w:color w:val="0000FF"/>
                <w:szCs w:val="24"/>
                <w:lang w:eastAsia="tr-TR"/>
              </w:rPr>
            </w:pPr>
            <w:r w:rsidRPr="00A23740">
              <w:rPr>
                <w:rFonts w:eastAsia="Times New Roman"/>
                <w:b/>
                <w:szCs w:val="24"/>
                <w:lang w:eastAsia="tr-TR"/>
              </w:rPr>
              <w:t>İcra</w:t>
            </w:r>
            <w:r w:rsidRPr="00A23740">
              <w:rPr>
                <w:rFonts w:eastAsia="Times New Roman"/>
                <w:szCs w:val="24"/>
                <w:lang w:eastAsia="tr-TR"/>
              </w:rPr>
              <w:t xml:space="preserve"> </w:t>
            </w:r>
            <w:r w:rsidRPr="00A23740">
              <w:rPr>
                <w:rStyle w:val="MaviChar"/>
              </w:rPr>
              <w:t>ve iflas</w:t>
            </w:r>
            <w:r w:rsidRPr="00A23740">
              <w:rPr>
                <w:rFonts w:eastAsia="Times New Roman"/>
                <w:b/>
                <w:color w:val="0000FF"/>
                <w:szCs w:val="24"/>
                <w:lang w:eastAsia="tr-TR"/>
              </w:rPr>
              <w:t xml:space="preserve"> </w:t>
            </w:r>
            <w:r w:rsidRPr="00A23740">
              <w:rPr>
                <w:rFonts w:eastAsia="Times New Roman"/>
                <w:b/>
                <w:szCs w:val="24"/>
                <w:lang w:eastAsia="tr-TR"/>
              </w:rPr>
              <w:t>tebliğleri</w:t>
            </w:r>
          </w:p>
          <w:p w:rsidR="00155AF4" w:rsidRPr="00A23740" w:rsidRDefault="00155AF4" w:rsidP="009431FF">
            <w:pPr>
              <w:widowControl w:val="0"/>
              <w:jc w:val="left"/>
              <w:rPr>
                <w:rStyle w:val="MaviChar"/>
              </w:rPr>
            </w:pPr>
            <w:r w:rsidRPr="00A23740">
              <w:rPr>
                <w:rStyle w:val="MaviChar"/>
              </w:rPr>
              <w:t>MADDE 44</w:t>
            </w:r>
            <w:r w:rsidRPr="00A23740">
              <w:rPr>
                <w:rFonts w:eastAsia="Times New Roman"/>
                <w:b/>
                <w:color w:val="0000FF"/>
                <w:szCs w:val="24"/>
                <w:lang w:eastAsia="tr-TR"/>
              </w:rPr>
              <w:t>-</w:t>
            </w:r>
            <w:r w:rsidRPr="00A23740">
              <w:rPr>
                <w:rFonts w:eastAsia="Times New Roman"/>
                <w:b/>
                <w:bCs/>
                <w:szCs w:val="24"/>
                <w:lang w:eastAsia="tr-TR"/>
              </w:rPr>
              <w:t xml:space="preserve"> </w:t>
            </w:r>
            <w:r w:rsidRPr="002144D4">
              <w:rPr>
                <w:rStyle w:val="MaviChar"/>
              </w:rPr>
              <w:t>(1)</w:t>
            </w:r>
            <w:r w:rsidRPr="00A23740">
              <w:rPr>
                <w:rFonts w:eastAsia="Times New Roman"/>
                <w:b/>
                <w:bCs/>
                <w:szCs w:val="24"/>
                <w:lang w:eastAsia="tr-TR"/>
              </w:rPr>
              <w:t xml:space="preserve"> </w:t>
            </w:r>
            <w:r w:rsidRPr="00A23740">
              <w:rPr>
                <w:rFonts w:eastAsia="Times New Roman"/>
                <w:szCs w:val="24"/>
                <w:lang w:eastAsia="tr-TR"/>
              </w:rPr>
              <w:t>İcra</w:t>
            </w:r>
            <w:r w:rsidRPr="00A23740">
              <w:rPr>
                <w:rFonts w:eastAsia="Times New Roman"/>
                <w:b/>
                <w:color w:val="0000FF"/>
                <w:szCs w:val="24"/>
                <w:lang w:eastAsia="tr-TR"/>
              </w:rPr>
              <w:t xml:space="preserve"> </w:t>
            </w:r>
            <w:r w:rsidRPr="00A23740">
              <w:rPr>
                <w:rStyle w:val="MaviChar"/>
              </w:rPr>
              <w:t>ve iflas</w:t>
            </w:r>
            <w:r w:rsidRPr="00A23740">
              <w:rPr>
                <w:rFonts w:eastAsia="Times New Roman"/>
                <w:b/>
                <w:color w:val="0000FF"/>
                <w:szCs w:val="24"/>
                <w:lang w:eastAsia="tr-TR"/>
              </w:rPr>
              <w:t xml:space="preserve"> </w:t>
            </w:r>
            <w:r w:rsidRPr="00A23740">
              <w:rPr>
                <w:rFonts w:eastAsia="Times New Roman"/>
                <w:szCs w:val="24"/>
                <w:lang w:eastAsia="tr-TR"/>
              </w:rPr>
              <w:t>dairelerince yapılacak tebliğler</w:t>
            </w:r>
            <w:r w:rsidRPr="00A23740">
              <w:rPr>
                <w:rStyle w:val="MaviChar"/>
              </w:rPr>
              <w:t xml:space="preserve"> </w:t>
            </w:r>
            <w:r w:rsidRPr="00A23740">
              <w:rPr>
                <w:rFonts w:eastAsia="Times New Roman"/>
                <w:szCs w:val="24"/>
                <w:lang w:eastAsia="tr-TR"/>
              </w:rPr>
              <w:t xml:space="preserve">Tebligat Kanunu hükümlerine göre </w:t>
            </w:r>
            <w:r w:rsidRPr="00A23740">
              <w:rPr>
                <w:rStyle w:val="MaviChar"/>
              </w:rPr>
              <w:t>yapılır. İcra ve iflas müdürleri yapılan tebligatların usulüne uygun olup olmadığını resen gözetir.</w:t>
            </w:r>
          </w:p>
          <w:p w:rsidR="0022176F" w:rsidRPr="00A23740" w:rsidRDefault="0022176F" w:rsidP="009431FF">
            <w:pPr>
              <w:widowControl w:val="0"/>
              <w:jc w:val="left"/>
              <w:rPr>
                <w:rStyle w:val="MaviChar"/>
              </w:rPr>
            </w:pPr>
          </w:p>
          <w:p w:rsidR="00155AF4" w:rsidRPr="00A23740" w:rsidRDefault="00155AF4" w:rsidP="009431FF">
            <w:pPr>
              <w:widowControl w:val="0"/>
              <w:jc w:val="left"/>
              <w:rPr>
                <w:rFonts w:eastAsia="Times New Roman"/>
                <w:szCs w:val="24"/>
                <w:lang w:eastAsia="tr-TR"/>
              </w:rPr>
            </w:pPr>
          </w:p>
          <w:p w:rsidR="00155AF4" w:rsidRPr="00A23740" w:rsidRDefault="00155AF4" w:rsidP="009431FF">
            <w:pPr>
              <w:widowControl w:val="0"/>
              <w:jc w:val="left"/>
              <w:rPr>
                <w:rFonts w:eastAsia="Times New Roman"/>
                <w:b/>
                <w:bCs/>
                <w:strike/>
                <w:color w:val="FF0000"/>
                <w:szCs w:val="24"/>
                <w:lang w:eastAsia="tr-TR"/>
              </w:rPr>
            </w:pPr>
          </w:p>
          <w:p w:rsidR="007F44E1" w:rsidRPr="00A23740" w:rsidRDefault="007F44E1" w:rsidP="009431FF">
            <w:pPr>
              <w:widowControl w:val="0"/>
              <w:autoSpaceDE w:val="0"/>
              <w:autoSpaceDN w:val="0"/>
              <w:adjustRightInd w:val="0"/>
              <w:jc w:val="left"/>
              <w:rPr>
                <w:b/>
                <w:color w:val="FF0000"/>
                <w:szCs w:val="24"/>
              </w:rPr>
            </w:pPr>
          </w:p>
        </w:tc>
      </w:tr>
      <w:tr w:rsidR="00155AF4" w:rsidRPr="00A23740" w:rsidTr="009431FF">
        <w:tc>
          <w:tcPr>
            <w:tcW w:w="5000" w:type="pct"/>
            <w:gridSpan w:val="2"/>
            <w:shd w:val="clear" w:color="auto" w:fill="D9E2F3"/>
          </w:tcPr>
          <w:p w:rsidR="00C90485" w:rsidRPr="00A23740" w:rsidRDefault="00C90485" w:rsidP="009431FF">
            <w:pPr>
              <w:tabs>
                <w:tab w:val="left" w:pos="567"/>
              </w:tabs>
              <w:ind w:firstLine="567"/>
              <w:rPr>
                <w:bCs/>
                <w:szCs w:val="24"/>
                <w:lang w:eastAsia="x-none"/>
              </w:rPr>
            </w:pPr>
          </w:p>
          <w:p w:rsidR="00C90485" w:rsidRPr="002144D4" w:rsidRDefault="00C90485" w:rsidP="009431FF">
            <w:pPr>
              <w:tabs>
                <w:tab w:val="left" w:pos="567"/>
              </w:tabs>
              <w:ind w:firstLine="567"/>
              <w:rPr>
                <w:bCs/>
                <w:szCs w:val="24"/>
                <w:lang w:eastAsia="x-none"/>
              </w:rPr>
            </w:pPr>
            <w:r w:rsidRPr="002144D4">
              <w:rPr>
                <w:b/>
                <w:bCs/>
                <w:szCs w:val="24"/>
                <w:lang w:eastAsia="x-none"/>
              </w:rPr>
              <w:t>MADDE 44-</w:t>
            </w:r>
            <w:r w:rsidRPr="002144D4">
              <w:rPr>
                <w:bCs/>
                <w:szCs w:val="24"/>
                <w:lang w:eastAsia="x-none"/>
              </w:rPr>
              <w:t> Maddeyle, icra ve iflas tebliğlerine ilişkin hususlar düzenlenmektedir.</w:t>
            </w:r>
          </w:p>
          <w:p w:rsidR="00C90485" w:rsidRPr="002144D4" w:rsidRDefault="00A370F2" w:rsidP="009431FF">
            <w:pPr>
              <w:tabs>
                <w:tab w:val="left" w:pos="567"/>
              </w:tabs>
              <w:ind w:firstLine="567"/>
              <w:rPr>
                <w:bCs/>
                <w:szCs w:val="24"/>
                <w:lang w:eastAsia="x-none"/>
              </w:rPr>
            </w:pPr>
            <w:r w:rsidRPr="002144D4">
              <w:rPr>
                <w:bCs/>
                <w:szCs w:val="24"/>
                <w:lang w:eastAsia="x-none"/>
              </w:rPr>
              <w:t>İcra ve ifla</w:t>
            </w:r>
            <w:r w:rsidR="00C90485" w:rsidRPr="002144D4">
              <w:rPr>
                <w:bCs/>
                <w:szCs w:val="24"/>
                <w:lang w:eastAsia="x-none"/>
              </w:rPr>
              <w:t>s dairelerince yapılacak tebligatlar bak</w:t>
            </w:r>
            <w:r w:rsidRPr="002144D4">
              <w:rPr>
                <w:bCs/>
                <w:szCs w:val="24"/>
                <w:lang w:eastAsia="x-none"/>
              </w:rPr>
              <w:t>ımından 2004 sayılı</w:t>
            </w:r>
            <w:r w:rsidR="00371300" w:rsidRPr="002144D4">
              <w:rPr>
                <w:b/>
                <w:szCs w:val="24"/>
              </w:rPr>
              <w:t xml:space="preserve"> </w:t>
            </w:r>
            <w:r w:rsidR="00371300" w:rsidRPr="002144D4">
              <w:rPr>
                <w:bCs/>
                <w:szCs w:val="24"/>
                <w:lang w:eastAsia="x-none"/>
              </w:rPr>
              <w:t>Kanunun</w:t>
            </w:r>
            <w:r w:rsidR="00371300" w:rsidRPr="00A23740">
              <w:rPr>
                <w:rFonts w:eastAsia="Times New Roman"/>
                <w:szCs w:val="24"/>
              </w:rPr>
              <w:t xml:space="preserve"> </w:t>
            </w:r>
            <w:r w:rsidR="00C90485" w:rsidRPr="002144D4">
              <w:rPr>
                <w:bCs/>
                <w:szCs w:val="24"/>
                <w:lang w:eastAsia="x-none"/>
              </w:rPr>
              <w:t>21 ve 57 nci maddelerinde kabul edilen ilke, korunmuş; bunların</w:t>
            </w:r>
            <w:r w:rsidRPr="002144D4">
              <w:rPr>
                <w:bCs/>
                <w:szCs w:val="24"/>
                <w:lang w:eastAsia="x-none"/>
              </w:rPr>
              <w:t xml:space="preserve"> da 7201 sayılı Tebligat Kanunu</w:t>
            </w:r>
            <w:r w:rsidR="00C90485" w:rsidRPr="002144D4">
              <w:rPr>
                <w:bCs/>
                <w:szCs w:val="24"/>
                <w:lang w:eastAsia="x-none"/>
              </w:rPr>
              <w:t>na tabi olması esası benimsenmiştir. Esasen bu sonuç, Tebligat Kanununun 1 inci maddesi hükmünün de bir gereği olup malumun tekrarında bir sakınca görülmemiştir.</w:t>
            </w:r>
          </w:p>
          <w:p w:rsidR="00C90485" w:rsidRPr="002144D4" w:rsidRDefault="00C90485" w:rsidP="009431FF">
            <w:pPr>
              <w:tabs>
                <w:tab w:val="left" w:pos="567"/>
              </w:tabs>
              <w:ind w:firstLine="567"/>
              <w:rPr>
                <w:bCs/>
                <w:szCs w:val="24"/>
                <w:lang w:eastAsia="x-none"/>
              </w:rPr>
            </w:pPr>
            <w:r w:rsidRPr="002144D4">
              <w:rPr>
                <w:bCs/>
                <w:szCs w:val="24"/>
                <w:lang w:eastAsia="x-none"/>
              </w:rPr>
              <w:t xml:space="preserve">Öte yandan konuyla ilgili ilk değişik </w:t>
            </w:r>
            <w:r w:rsidR="00AF3128" w:rsidRPr="002144D4">
              <w:rPr>
                <w:bCs/>
                <w:szCs w:val="24"/>
                <w:lang w:eastAsia="x-none"/>
              </w:rPr>
              <w:t xml:space="preserve">yargı içtihatlarında </w:t>
            </w:r>
            <w:r w:rsidRPr="002144D4">
              <w:rPr>
                <w:bCs/>
                <w:szCs w:val="24"/>
                <w:lang w:eastAsia="x-none"/>
              </w:rPr>
              <w:t>süre gelen tartışmanın giderilmesi için düzenlemenin birinci fıkrasının ikinci cümlesinde olmuştur. Böylece yapılan tebligatların usulüne uyg</w:t>
            </w:r>
            <w:r w:rsidR="00A370F2" w:rsidRPr="002144D4">
              <w:rPr>
                <w:bCs/>
                <w:szCs w:val="24"/>
                <w:lang w:eastAsia="x-none"/>
              </w:rPr>
              <w:t>un olup olmadığının icra ve ifla</w:t>
            </w:r>
            <w:r w:rsidRPr="002144D4">
              <w:rPr>
                <w:bCs/>
                <w:szCs w:val="24"/>
                <w:lang w:eastAsia="x-none"/>
              </w:rPr>
              <w:t xml:space="preserve">s dairelerince kendiliğinden gözetilip denetlenmesi gerektiği </w:t>
            </w:r>
            <w:r w:rsidR="00AF3128" w:rsidRPr="002144D4">
              <w:rPr>
                <w:bCs/>
                <w:szCs w:val="24"/>
                <w:lang w:eastAsia="x-none"/>
              </w:rPr>
              <w:t>esası kabul edilmiştir</w:t>
            </w:r>
            <w:r w:rsidRPr="002144D4">
              <w:rPr>
                <w:bCs/>
                <w:szCs w:val="24"/>
                <w:lang w:eastAsia="x-none"/>
              </w:rPr>
              <w:t xml:space="preserve">. Esasen müstakar içtihat gereğince usulsüz tebliğin tarihinin düzeltilmesi işinin şikâyet yoluyla icra mahkemesinden istenmesi gerektiği, zaten kabul edilmekteydi. Oysa usulsüz tebligatı takiben sürdürülecek icra takibinin ve yapılan onca icra takip işleminin bir süre sonra yapılan tebliğin usulsüzlüğün tespitiyle geçersiz sayılması, zaman ve masraf kaybına yol açtığı gibi tarafların hak ve menfaatlerine de ölçüsüz, haksız bir müdahale teşkil etmekteydi. </w:t>
            </w:r>
            <w:r w:rsidR="00A370F2" w:rsidRPr="002144D4">
              <w:rPr>
                <w:bCs/>
                <w:szCs w:val="24"/>
                <w:lang w:eastAsia="x-none"/>
              </w:rPr>
              <w:t>Taslağın 30 uncu</w:t>
            </w:r>
            <w:r w:rsidRPr="002144D4">
              <w:rPr>
                <w:bCs/>
                <w:szCs w:val="24"/>
                <w:lang w:eastAsia="x-none"/>
              </w:rPr>
              <w:t xml:space="preserve"> maddesi</w:t>
            </w:r>
            <w:r w:rsidR="00AF3128" w:rsidRPr="002144D4">
              <w:rPr>
                <w:bCs/>
                <w:szCs w:val="24"/>
                <w:lang w:eastAsia="x-none"/>
              </w:rPr>
              <w:t>nde</w:t>
            </w:r>
            <w:r w:rsidRPr="002144D4">
              <w:rPr>
                <w:bCs/>
                <w:szCs w:val="24"/>
                <w:lang w:eastAsia="x-none"/>
              </w:rPr>
              <w:t xml:space="preserve"> düzenlenen hükümsüz işlemler bakımından, mehaz </w:t>
            </w:r>
            <w:r w:rsidR="00A370F2" w:rsidRPr="002144D4">
              <w:rPr>
                <w:bCs/>
                <w:szCs w:val="24"/>
                <w:lang w:eastAsia="x-none"/>
              </w:rPr>
              <w:t>İsviçre</w:t>
            </w:r>
            <w:r w:rsidRPr="002144D4">
              <w:rPr>
                <w:bCs/>
                <w:szCs w:val="24"/>
                <w:lang w:eastAsia="x-none"/>
              </w:rPr>
              <w:t xml:space="preserve"> hukuku -madde gerekçesinde de örneğine yer verildiği gibi- böyle bir durumda hasıl olan sonucu, zaten hükümsüzlük olarak kabul </w:t>
            </w:r>
            <w:r w:rsidRPr="002144D4">
              <w:rPr>
                <w:bCs/>
                <w:szCs w:val="24"/>
                <w:lang w:eastAsia="x-none"/>
              </w:rPr>
              <w:lastRenderedPageBreak/>
              <w:t xml:space="preserve">etmektedir. Bu kabulün, </w:t>
            </w:r>
            <w:r w:rsidR="00A370F2" w:rsidRPr="002144D4">
              <w:rPr>
                <w:bCs/>
                <w:szCs w:val="24"/>
                <w:lang w:eastAsia="x-none"/>
              </w:rPr>
              <w:t>Türk</w:t>
            </w:r>
            <w:r w:rsidRPr="002144D4">
              <w:rPr>
                <w:bCs/>
                <w:szCs w:val="24"/>
                <w:lang w:eastAsia="x-none"/>
              </w:rPr>
              <w:t xml:space="preserve"> hukuku için de geçerli olmamasının önünde hiçbir engel yoktur. Do</w:t>
            </w:r>
            <w:r w:rsidR="00A370F2" w:rsidRPr="002144D4">
              <w:rPr>
                <w:bCs/>
                <w:szCs w:val="24"/>
                <w:lang w:eastAsia="x-none"/>
              </w:rPr>
              <w:t>layısıyla artık Tebligat Kanunu</w:t>
            </w:r>
            <w:r w:rsidRPr="002144D4">
              <w:rPr>
                <w:bCs/>
                <w:szCs w:val="24"/>
                <w:lang w:eastAsia="x-none"/>
              </w:rPr>
              <w:t>nun 32 nci maddesi</w:t>
            </w:r>
            <w:r w:rsidR="00AF3128" w:rsidRPr="002144D4">
              <w:rPr>
                <w:bCs/>
                <w:szCs w:val="24"/>
                <w:lang w:eastAsia="x-none"/>
              </w:rPr>
              <w:t>nde</w:t>
            </w:r>
            <w:r w:rsidRPr="002144D4">
              <w:rPr>
                <w:bCs/>
                <w:szCs w:val="24"/>
                <w:lang w:eastAsia="x-none"/>
              </w:rPr>
              <w:t xml:space="preserve"> usulsüz tebliğler hakkında</w:t>
            </w:r>
            <w:r w:rsidR="00A370F2" w:rsidRPr="002144D4">
              <w:rPr>
                <w:bCs/>
                <w:szCs w:val="24"/>
                <w:lang w:eastAsia="x-none"/>
              </w:rPr>
              <w:t xml:space="preserve"> düzenlenen sonucun icra ve ifla</w:t>
            </w:r>
            <w:r w:rsidRPr="002144D4">
              <w:rPr>
                <w:bCs/>
                <w:szCs w:val="24"/>
                <w:lang w:eastAsia="x-none"/>
              </w:rPr>
              <w:t xml:space="preserve">s tebliğleri için de geçerli olması, beklenemez. Lâkin, bu maddeyle düzenlenen husus, hükümsüz işlemler </w:t>
            </w:r>
            <w:r w:rsidR="00976C9B" w:rsidRPr="002144D4">
              <w:rPr>
                <w:bCs/>
                <w:szCs w:val="24"/>
                <w:lang w:eastAsia="x-none"/>
              </w:rPr>
              <w:t xml:space="preserve">bakımından </w:t>
            </w:r>
            <w:r w:rsidRPr="002144D4">
              <w:rPr>
                <w:bCs/>
                <w:szCs w:val="24"/>
                <w:lang w:eastAsia="x-none"/>
              </w:rPr>
              <w:t xml:space="preserve">geçerli </w:t>
            </w:r>
            <w:r w:rsidR="00976C9B" w:rsidRPr="002144D4">
              <w:rPr>
                <w:bCs/>
                <w:szCs w:val="24"/>
                <w:lang w:eastAsia="x-none"/>
              </w:rPr>
              <w:t xml:space="preserve">olmayı </w:t>
            </w:r>
            <w:r w:rsidRPr="002144D4">
              <w:rPr>
                <w:bCs/>
                <w:szCs w:val="24"/>
                <w:lang w:eastAsia="x-none"/>
              </w:rPr>
              <w:t xml:space="preserve">da aşmakta; usulsüz tebliğler bakımından özellikli bir başka sonuca daha yer vermektedir. Zira hükümsüz işlemler bakımından </w:t>
            </w:r>
            <w:r w:rsidR="00A370F2" w:rsidRPr="002144D4">
              <w:rPr>
                <w:bCs/>
                <w:szCs w:val="24"/>
                <w:lang w:eastAsia="x-none"/>
              </w:rPr>
              <w:t>Taslağın</w:t>
            </w:r>
            <w:r w:rsidRPr="002144D4">
              <w:rPr>
                <w:bCs/>
                <w:szCs w:val="24"/>
                <w:lang w:eastAsia="x-none"/>
              </w:rPr>
              <w:t xml:space="preserve"> tercihi, bunların süresiz şik</w:t>
            </w:r>
            <w:r w:rsidR="00A370F2" w:rsidRPr="002144D4">
              <w:rPr>
                <w:bCs/>
                <w:szCs w:val="24"/>
                <w:lang w:eastAsia="x-none"/>
              </w:rPr>
              <w:t>â</w:t>
            </w:r>
            <w:r w:rsidRPr="002144D4">
              <w:rPr>
                <w:bCs/>
                <w:szCs w:val="24"/>
                <w:lang w:eastAsia="x-none"/>
              </w:rPr>
              <w:t>yet yoluyla ileri sürülebilmesi dışında ic</w:t>
            </w:r>
            <w:r w:rsidR="00A370F2" w:rsidRPr="002144D4">
              <w:rPr>
                <w:bCs/>
                <w:szCs w:val="24"/>
                <w:lang w:eastAsia="x-none"/>
              </w:rPr>
              <w:t>ra mahkemesinin de bu hususu re</w:t>
            </w:r>
            <w:r w:rsidRPr="002144D4">
              <w:rPr>
                <w:bCs/>
                <w:szCs w:val="24"/>
                <w:lang w:eastAsia="x-none"/>
              </w:rPr>
              <w:t>sen tespit edebilmesi yönünde olurken</w:t>
            </w:r>
            <w:r w:rsidR="00976C9B" w:rsidRPr="002144D4">
              <w:rPr>
                <w:bCs/>
                <w:szCs w:val="24"/>
                <w:lang w:eastAsia="x-none"/>
              </w:rPr>
              <w:t>,</w:t>
            </w:r>
            <w:r w:rsidRPr="002144D4">
              <w:rPr>
                <w:bCs/>
                <w:szCs w:val="24"/>
                <w:lang w:eastAsia="x-none"/>
              </w:rPr>
              <w:t xml:space="preserve"> bu kez icra</w:t>
            </w:r>
            <w:r w:rsidR="001647D1" w:rsidRPr="002144D4">
              <w:rPr>
                <w:bCs/>
                <w:szCs w:val="24"/>
                <w:lang w:eastAsia="x-none"/>
              </w:rPr>
              <w:t xml:space="preserve"> ve iflas</w:t>
            </w:r>
            <w:r w:rsidRPr="002144D4">
              <w:rPr>
                <w:bCs/>
                <w:szCs w:val="24"/>
                <w:lang w:eastAsia="x-none"/>
              </w:rPr>
              <w:t xml:space="preserve"> dairesine de yapmış olduğu icra takip işlemini -hükümsüz de olsa- geri alabilme yetkisi tanınmamıştır. Hâl böyle iken, usulsüz tebliğler bakımından bu ilkeye açık bir istisna</w:t>
            </w:r>
            <w:r w:rsidR="00976C9B" w:rsidRPr="002144D4">
              <w:rPr>
                <w:bCs/>
                <w:szCs w:val="24"/>
                <w:lang w:eastAsia="x-none"/>
              </w:rPr>
              <w:t>getirilmiş</w:t>
            </w:r>
            <w:r w:rsidRPr="002144D4">
              <w:rPr>
                <w:bCs/>
                <w:szCs w:val="24"/>
                <w:lang w:eastAsia="x-none"/>
              </w:rPr>
              <w:t>; ye</w:t>
            </w:r>
            <w:r w:rsidR="00A370F2" w:rsidRPr="002144D4">
              <w:rPr>
                <w:bCs/>
                <w:szCs w:val="24"/>
                <w:lang w:eastAsia="x-none"/>
              </w:rPr>
              <w:t>ni hükümle birlikte icra ve ifla</w:t>
            </w:r>
            <w:r w:rsidRPr="002144D4">
              <w:rPr>
                <w:bCs/>
                <w:szCs w:val="24"/>
                <w:lang w:eastAsia="x-none"/>
              </w:rPr>
              <w:t>s dairelerine, kendilerince yapılan tebliğin sıhhatini, usulsüz tebliğ tehlikesine karşı kendiliğ</w:t>
            </w:r>
            <w:r w:rsidR="00A370F2" w:rsidRPr="002144D4">
              <w:rPr>
                <w:bCs/>
                <w:szCs w:val="24"/>
                <w:lang w:eastAsia="x-none"/>
              </w:rPr>
              <w:t>inden gözetme ve gereğinde geri</w:t>
            </w:r>
            <w:r w:rsidRPr="002144D4">
              <w:rPr>
                <w:bCs/>
                <w:szCs w:val="24"/>
                <w:lang w:eastAsia="x-none"/>
              </w:rPr>
              <w:t xml:space="preserve"> alıp düzgününü ifa etme görev ve sorumluluğu yüklenmiştir.</w:t>
            </w:r>
          </w:p>
          <w:p w:rsidR="00C90485" w:rsidRPr="00A23740" w:rsidRDefault="00455130" w:rsidP="009431FF">
            <w:pPr>
              <w:tabs>
                <w:tab w:val="left" w:pos="567"/>
              </w:tabs>
              <w:ind w:firstLine="567"/>
              <w:rPr>
                <w:bCs/>
                <w:szCs w:val="24"/>
                <w:lang w:eastAsia="x-none"/>
              </w:rPr>
            </w:pPr>
            <w:r w:rsidRPr="002144D4">
              <w:rPr>
                <w:bCs/>
                <w:szCs w:val="24"/>
                <w:lang w:eastAsia="x-none"/>
              </w:rPr>
              <w:t>2004</w:t>
            </w:r>
            <w:r w:rsidRPr="002144D4">
              <w:rPr>
                <w:b/>
                <w:szCs w:val="24"/>
              </w:rPr>
              <w:t xml:space="preserve"> </w:t>
            </w:r>
            <w:r w:rsidRPr="002144D4">
              <w:rPr>
                <w:bCs/>
                <w:szCs w:val="24"/>
                <w:lang w:eastAsia="x-none"/>
              </w:rPr>
              <w:t>sayılı</w:t>
            </w:r>
            <w:r w:rsidRPr="00A23740">
              <w:rPr>
                <w:bCs/>
                <w:szCs w:val="24"/>
                <w:lang w:eastAsia="x-none"/>
              </w:rPr>
              <w:t xml:space="preserve"> </w:t>
            </w:r>
            <w:r w:rsidR="00C90485" w:rsidRPr="00A23740">
              <w:rPr>
                <w:bCs/>
                <w:szCs w:val="24"/>
                <w:lang w:eastAsia="x-none"/>
              </w:rPr>
              <w:t xml:space="preserve">Kanunun 21 inci maddesinin ikinci ve dolayısıyla üçüncü fıkralarına </w:t>
            </w:r>
            <w:r w:rsidR="00A370F2" w:rsidRPr="00A23740">
              <w:rPr>
                <w:bCs/>
                <w:szCs w:val="24"/>
                <w:lang w:eastAsia="x-none"/>
              </w:rPr>
              <w:t>Taslakta</w:t>
            </w:r>
            <w:r w:rsidR="00C90485" w:rsidRPr="00A23740">
              <w:rPr>
                <w:bCs/>
                <w:szCs w:val="24"/>
                <w:lang w:eastAsia="x-none"/>
              </w:rPr>
              <w:t xml:space="preserve"> yer verilmemiş; bunda acil ve güncel bir menfaat görülmemiştir. Esasen Tebligat Kanununun 7/a, 11 ve 21 inci maddelerinde yapılan son kanuni değişiklikler, kişinin kendisine veya bilinen adresine ulaşmakta önemli kolaylıklar getirmiştir. Kaldı ki, bilhassa tüzel kişiler yönünden geçerli elektronik tebligat yükümü, kolaylık olması ve hız kazanılması amacıyla bir zamanlar kabul edilmiş başkaca adreslerin tebligata esas alınmasını ne mümkün ne de gerekli kılmaktadır. Öte taraftan gerçek kişiler bakımından kısaca Mernis adresi olarak bilinen adres ise aynı kişiye bilinen son adresinde ulaşılamadığı takdirde, kendisine karşı etkin ve hızlı bir yaptırımın uygulanmasını zaten mümkün kılmaktadır. Bütün bunların dışında tebliğ metotları bakımından olası her değişikliğin, yeniliğin veya istisnai düzenlemenin yerinin yine Tebligat Kanunu olduğu kabul edilmiş; Taslağın, tebliğ metotlarından ziyade cebr</w:t>
            </w:r>
            <w:r w:rsidR="00070384" w:rsidRPr="00A23740">
              <w:rPr>
                <w:bCs/>
                <w:szCs w:val="24"/>
                <w:lang w:eastAsia="x-none"/>
              </w:rPr>
              <w:t>î</w:t>
            </w:r>
            <w:r w:rsidR="00C90485" w:rsidRPr="00A23740">
              <w:rPr>
                <w:bCs/>
                <w:szCs w:val="24"/>
                <w:lang w:eastAsia="x-none"/>
              </w:rPr>
              <w:t xml:space="preserve"> icranın tarafları ve ilgilileri yönünden geçerli ve tebliğin konusuyla alâkalı hak ve vecibelere yer vermesi uygun görülmüştür. Bu bağlamda, yapılacak tebligatlarla </w:t>
            </w:r>
            <w:r w:rsidR="00976C9B" w:rsidRPr="00A23740">
              <w:rPr>
                <w:bCs/>
                <w:szCs w:val="24"/>
                <w:lang w:eastAsia="x-none"/>
              </w:rPr>
              <w:t xml:space="preserve">ilgili olarak </w:t>
            </w:r>
            <w:r w:rsidR="00C90485" w:rsidRPr="00A23740">
              <w:rPr>
                <w:bCs/>
                <w:szCs w:val="24"/>
                <w:lang w:eastAsia="x-none"/>
              </w:rPr>
              <w:t>Taslakta hiçbir özel hükmün olmadığı da düşünülmemelidir. Söz gelimi, Taslağın takip talebiyle birlikte alacaklı yönünden geçerli 56/II, a ve 87/II, a madde</w:t>
            </w:r>
            <w:r w:rsidR="00976C9B" w:rsidRPr="00A23740">
              <w:rPr>
                <w:bCs/>
                <w:szCs w:val="24"/>
                <w:lang w:eastAsia="x-none"/>
              </w:rPr>
              <w:t>leri</w:t>
            </w:r>
            <w:r w:rsidR="00C90485" w:rsidRPr="00A23740">
              <w:rPr>
                <w:bCs/>
                <w:szCs w:val="24"/>
                <w:lang w:eastAsia="x-none"/>
              </w:rPr>
              <w:t xml:space="preserve"> hükümleri; borçlu bakımından ödeme emrine karşı itiraz sırasında geçerli 88/I, ğ; 91/IV, 133/III, ğ madde</w:t>
            </w:r>
            <w:r w:rsidR="00976C9B" w:rsidRPr="00A23740">
              <w:rPr>
                <w:bCs/>
                <w:szCs w:val="24"/>
                <w:lang w:eastAsia="x-none"/>
              </w:rPr>
              <w:t>leri</w:t>
            </w:r>
            <w:r w:rsidR="00C90485" w:rsidRPr="00A23740">
              <w:rPr>
                <w:bCs/>
                <w:szCs w:val="24"/>
                <w:lang w:eastAsia="x-none"/>
              </w:rPr>
              <w:t xml:space="preserve"> hükümleri; ödeme emrinin tebliğinde alacaklı tarafından borçluya ulaşabilmek yönünden birden fazla adresin bildirilebilmesi ve bunlardan sonuncusuna ulaşılmakla sürenin başlayacağına ilişkin 91/III maddesi hükmü; artırma ilanının tebliği hakkında nihayetinde yapılacak ilanın tebliğ yerine sayılmasına ilişkin 222/I maddesi hükmü (benzer şekilde bkz. m. 353/II); önemi nedeniyle ihalenin iptalini talep edenin şik</w:t>
            </w:r>
            <w:r w:rsidR="00407C95" w:rsidRPr="00A23740">
              <w:rPr>
                <w:bCs/>
                <w:szCs w:val="24"/>
                <w:lang w:eastAsia="x-none"/>
              </w:rPr>
              <w:t>â</w:t>
            </w:r>
            <w:r w:rsidR="00C90485" w:rsidRPr="00A23740">
              <w:rPr>
                <w:bCs/>
                <w:szCs w:val="24"/>
                <w:lang w:eastAsia="x-none"/>
              </w:rPr>
              <w:t>yet dilekçesinde yurt içinde bir adres gösterme zorunluğuna ilişkin 248 inci maddesi hükmü; külli icrada, iflas idaresinin, konkordato komiserinin ve tasfiye memurlarının elektronik tebligat çıkartabilecek ve alabilecek bir merci olarak elektronik tebligat sistemine dahil edilmesine yönelik 331/VI; 372/III ve 414/III madde</w:t>
            </w:r>
            <w:r w:rsidR="00976C9B" w:rsidRPr="00A23740">
              <w:rPr>
                <w:bCs/>
                <w:szCs w:val="24"/>
                <w:lang w:eastAsia="x-none"/>
              </w:rPr>
              <w:t>ler</w:t>
            </w:r>
            <w:r w:rsidR="00C90485" w:rsidRPr="00A23740">
              <w:rPr>
                <w:bCs/>
                <w:szCs w:val="24"/>
                <w:lang w:eastAsia="x-none"/>
              </w:rPr>
              <w:t xml:space="preserve"> hükümleri, söz konusu düzenlemelerde g</w:t>
            </w:r>
            <w:r w:rsidR="00A370F2" w:rsidRPr="00A23740">
              <w:rPr>
                <w:bCs/>
                <w:szCs w:val="24"/>
                <w:lang w:eastAsia="x-none"/>
              </w:rPr>
              <w:t>eçen tebliğler hakkında, tebliğ</w:t>
            </w:r>
            <w:r w:rsidR="00C90485" w:rsidRPr="00A23740">
              <w:rPr>
                <w:bCs/>
                <w:szCs w:val="24"/>
                <w:lang w:eastAsia="x-none"/>
              </w:rPr>
              <w:t xml:space="preserve"> metodundan ziyade başkaca özel düzenlemeler içermektedir. İlgili hükümlerin tatbiki sırasında bu özel hükümlerin öncelikle tüketileceği tabiîdir.</w:t>
            </w:r>
          </w:p>
          <w:p w:rsidR="00E91409" w:rsidRPr="00A23740" w:rsidRDefault="00E91409" w:rsidP="009431FF">
            <w:pPr>
              <w:tabs>
                <w:tab w:val="left" w:pos="567"/>
              </w:tabs>
              <w:ind w:firstLine="567"/>
              <w:rPr>
                <w:bCs/>
                <w:szCs w:val="24"/>
                <w:lang w:eastAsia="x-none"/>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lastRenderedPageBreak/>
              <w:t>IV. İCRA TEBLİĞLERİ</w:t>
            </w: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İcra tebliğleri:</w:t>
            </w:r>
          </w:p>
          <w:p w:rsidR="00155AF4" w:rsidRPr="00A23740" w:rsidRDefault="00155AF4" w:rsidP="009431FF">
            <w:pPr>
              <w:rPr>
                <w:rFonts w:eastAsia="Times New Roman"/>
                <w:b/>
                <w:strike/>
                <w:color w:val="FF0000"/>
                <w:szCs w:val="24"/>
                <w:lang w:eastAsia="tr-TR"/>
              </w:rPr>
            </w:pPr>
            <w:r w:rsidRPr="00A23740">
              <w:rPr>
                <w:rFonts w:eastAsia="Times New Roman"/>
                <w:b/>
                <w:strike/>
                <w:color w:val="FF0000"/>
                <w:szCs w:val="24"/>
                <w:lang w:eastAsia="tr-TR"/>
              </w:rPr>
              <w:t>Madde 57 – (1) (Değişik: 18/2/1965-538/29 md.)</w:t>
            </w:r>
          </w:p>
          <w:p w:rsidR="00155AF4" w:rsidRPr="00A23740" w:rsidRDefault="00155AF4" w:rsidP="009431FF">
            <w:pPr>
              <w:rPr>
                <w:rFonts w:eastAsia="Times New Roman"/>
                <w:szCs w:val="24"/>
                <w:lang w:eastAsia="tr-TR"/>
              </w:rPr>
            </w:pPr>
            <w:r w:rsidRPr="00A23740">
              <w:rPr>
                <w:rFonts w:eastAsia="Times New Roman"/>
                <w:b/>
                <w:strike/>
                <w:color w:val="FF0000"/>
                <w:szCs w:val="24"/>
                <w:lang w:eastAsia="tr-TR"/>
              </w:rPr>
              <w:t xml:space="preserve">İcraya ait tebliğlerde Tebligat Kanunu hükümleri uygulanır. Ancak </w:t>
            </w:r>
            <w:r w:rsidRPr="00A23740">
              <w:rPr>
                <w:rFonts w:eastAsia="Times New Roman"/>
                <w:szCs w:val="24"/>
                <w:lang w:eastAsia="tr-TR"/>
              </w:rPr>
              <w:t xml:space="preserve">borçlu, kendilerine kanunen </w:t>
            </w:r>
            <w:r w:rsidRPr="00A23740">
              <w:rPr>
                <w:rFonts w:eastAsia="Times New Roman"/>
                <w:b/>
                <w:strike/>
                <w:color w:val="FF0000"/>
                <w:szCs w:val="24"/>
                <w:lang w:eastAsia="tr-TR"/>
              </w:rPr>
              <w:t>mümessil</w:t>
            </w:r>
            <w:r w:rsidRPr="00A23740">
              <w:rPr>
                <w:rFonts w:eastAsia="Times New Roman"/>
                <w:szCs w:val="24"/>
                <w:lang w:eastAsia="tr-TR"/>
              </w:rPr>
              <w:t xml:space="preserve"> tayin olunması </w:t>
            </w:r>
            <w:r w:rsidRPr="00A23740">
              <w:rPr>
                <w:rFonts w:eastAsia="Times New Roman"/>
                <w:b/>
                <w:strike/>
                <w:color w:val="FF0000"/>
                <w:szCs w:val="24"/>
                <w:lang w:eastAsia="tr-TR"/>
              </w:rPr>
              <w:t>icabeden</w:t>
            </w:r>
            <w:r w:rsidRPr="00A23740">
              <w:rPr>
                <w:rFonts w:eastAsia="Times New Roman"/>
                <w:szCs w:val="24"/>
                <w:lang w:eastAsia="tr-TR"/>
              </w:rPr>
              <w:t xml:space="preserve"> </w:t>
            </w:r>
            <w:r w:rsidRPr="00A23740">
              <w:rPr>
                <w:rFonts w:eastAsia="Times New Roman"/>
                <w:b/>
                <w:strike/>
                <w:color w:val="FF0000"/>
                <w:szCs w:val="24"/>
                <w:lang w:eastAsia="tr-TR"/>
              </w:rPr>
              <w:lastRenderedPageBreak/>
              <w:t>şahıslardan</w:t>
            </w:r>
            <w:r w:rsidRPr="00A23740">
              <w:rPr>
                <w:rFonts w:eastAsia="Times New Roman"/>
                <w:szCs w:val="24"/>
                <w:lang w:eastAsia="tr-TR"/>
              </w:rPr>
              <w:t xml:space="preserve"> ise icra </w:t>
            </w:r>
            <w:r w:rsidRPr="00A23740">
              <w:rPr>
                <w:rStyle w:val="KIRMIZIChar"/>
                <w:rFonts w:eastAsia="Calibri"/>
              </w:rPr>
              <w:t>memuru</w:t>
            </w:r>
            <w:r w:rsidRPr="00A23740">
              <w:rPr>
                <w:rFonts w:eastAsia="Times New Roman"/>
                <w:szCs w:val="24"/>
                <w:lang w:eastAsia="tr-TR"/>
              </w:rPr>
              <w:t xml:space="preserve"> kısa bir zamanda </w:t>
            </w:r>
            <w:r w:rsidRPr="00A23740">
              <w:rPr>
                <w:rFonts w:eastAsia="Times New Roman"/>
                <w:b/>
                <w:strike/>
                <w:color w:val="FF0000"/>
                <w:szCs w:val="24"/>
                <w:lang w:eastAsia="tr-TR"/>
              </w:rPr>
              <w:t>mümessil</w:t>
            </w:r>
            <w:r w:rsidRPr="00A23740">
              <w:rPr>
                <w:rFonts w:eastAsia="Times New Roman"/>
                <w:szCs w:val="24"/>
                <w:lang w:eastAsia="tr-TR"/>
              </w:rPr>
              <w:t xml:space="preserve"> tayin edilmesini ait olduğu makamdan ister.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KIRMIZIChar"/>
                <w:rFonts w:eastAsia="Calibri"/>
              </w:rPr>
              <w:t>(2</w:t>
            </w:r>
            <w:r w:rsidRPr="002060A9">
              <w:rPr>
                <w:rStyle w:val="KIRMIZIChar"/>
                <w:rFonts w:eastAsia="Calibri"/>
              </w:rPr>
              <w:t>) T</w:t>
            </w:r>
            <w:r w:rsidRPr="003049D7">
              <w:rPr>
                <w:rStyle w:val="KIRMIZIChar"/>
                <w:rFonts w:eastAsia="Calibri"/>
              </w:rPr>
              <w:t>ebliğ, Medeni Kanunun 159 ve 396 ncı madde</w:t>
            </w:r>
            <w:r w:rsidRPr="00A23740">
              <w:rPr>
                <w:rStyle w:val="KIRMIZIChar"/>
                <w:rFonts w:eastAsia="Calibri"/>
              </w:rPr>
              <w:t>ler</w:t>
            </w:r>
            <w:r w:rsidRPr="003049D7">
              <w:rPr>
                <w:rStyle w:val="KIRMIZIChar"/>
                <w:rFonts w:eastAsia="Calibri"/>
              </w:rPr>
              <w:t xml:space="preserve">ine göre </w:t>
            </w:r>
            <w:r w:rsidRPr="00A23740">
              <w:rPr>
                <w:rStyle w:val="KIRMIZIChar"/>
                <w:rFonts w:eastAsia="Calibri"/>
              </w:rPr>
              <w:t>mezun</w:t>
            </w:r>
            <w:r w:rsidRPr="003049D7">
              <w:rPr>
                <w:rStyle w:val="KIRMIZIChar"/>
                <w:rFonts w:eastAsia="Calibri"/>
              </w:rPr>
              <w:t xml:space="preserve"> olanların meslek veya sanatına </w:t>
            </w:r>
            <w:r w:rsidRPr="00A23740">
              <w:rPr>
                <w:rStyle w:val="KIRMIZIChar"/>
                <w:rFonts w:eastAsia="Calibri"/>
              </w:rPr>
              <w:t>mütaallik muamelelerden</w:t>
            </w:r>
            <w:r w:rsidRPr="003049D7">
              <w:rPr>
                <w:rStyle w:val="KIRMIZIChar"/>
                <w:rFonts w:eastAsia="Calibri"/>
              </w:rPr>
              <w:t xml:space="preserve"> doğmuş bir borca dair ise kendilerine yapılır.</w:t>
            </w:r>
          </w:p>
          <w:p w:rsidR="00155AF4" w:rsidRPr="00A23740" w:rsidRDefault="00155AF4" w:rsidP="009431FF">
            <w:pPr>
              <w:rPr>
                <w:rFonts w:eastAsia="Times New Roman"/>
                <w:szCs w:val="24"/>
                <w:lang w:eastAsia="tr-TR"/>
              </w:rPr>
            </w:pPr>
          </w:p>
        </w:tc>
        <w:tc>
          <w:tcPr>
            <w:tcW w:w="2500" w:type="pct"/>
          </w:tcPr>
          <w:p w:rsidR="00155AF4" w:rsidRPr="00A23740" w:rsidRDefault="00155AF4" w:rsidP="009431FF">
            <w:pPr>
              <w:rPr>
                <w:rFonts w:eastAsia="Times New Roman"/>
                <w:b/>
                <w:bCs/>
                <w:color w:val="0000FF"/>
                <w:szCs w:val="24"/>
                <w:lang w:eastAsia="tr-TR"/>
              </w:rPr>
            </w:pPr>
            <w:r w:rsidRPr="00A23740">
              <w:rPr>
                <w:rFonts w:eastAsia="Times New Roman"/>
                <w:b/>
                <w:bCs/>
                <w:color w:val="0000FF"/>
                <w:szCs w:val="24"/>
                <w:lang w:eastAsia="tr-TR"/>
              </w:rPr>
              <w:lastRenderedPageBreak/>
              <w:t>Borçluya temsilci tayini</w:t>
            </w:r>
          </w:p>
          <w:p w:rsidR="00155AF4" w:rsidRPr="00A23740" w:rsidRDefault="00155AF4" w:rsidP="009431FF">
            <w:pPr>
              <w:rPr>
                <w:rFonts w:eastAsia="Times New Roman"/>
                <w:szCs w:val="24"/>
                <w:lang w:eastAsia="tr-TR"/>
              </w:rPr>
            </w:pPr>
            <w:r w:rsidRPr="00A23740">
              <w:rPr>
                <w:rFonts w:eastAsia="Times New Roman"/>
                <w:b/>
                <w:bCs/>
                <w:color w:val="0000FF"/>
                <w:szCs w:val="24"/>
                <w:lang w:eastAsia="tr-TR"/>
              </w:rPr>
              <w:t xml:space="preserve">MADDE </w:t>
            </w:r>
            <w:r w:rsidRPr="00A23740">
              <w:rPr>
                <w:rStyle w:val="MaviChar"/>
              </w:rPr>
              <w:t>45</w:t>
            </w:r>
            <w:r w:rsidRPr="00A23740">
              <w:rPr>
                <w:rFonts w:eastAsia="Times New Roman"/>
                <w:b/>
                <w:bCs/>
                <w:color w:val="0000FF"/>
                <w:szCs w:val="24"/>
                <w:lang w:eastAsia="tr-TR"/>
              </w:rPr>
              <w:t>- (1)</w:t>
            </w:r>
            <w:r w:rsidRPr="00A23740">
              <w:rPr>
                <w:rFonts w:eastAsia="Times New Roman"/>
                <w:szCs w:val="24"/>
                <w:lang w:eastAsia="tr-TR"/>
              </w:rPr>
              <w:t xml:space="preserve"> Borçlu, kendilerine kanunen </w:t>
            </w:r>
            <w:r w:rsidRPr="00A23740">
              <w:rPr>
                <w:rFonts w:eastAsia="Times New Roman"/>
                <w:b/>
                <w:bCs/>
                <w:color w:val="0000FF"/>
                <w:szCs w:val="24"/>
                <w:lang w:eastAsia="tr-TR"/>
              </w:rPr>
              <w:t>temsilci</w:t>
            </w:r>
            <w:r w:rsidRPr="00A23740">
              <w:rPr>
                <w:rFonts w:eastAsia="Times New Roman"/>
                <w:szCs w:val="24"/>
                <w:lang w:eastAsia="tr-TR"/>
              </w:rPr>
              <w:t xml:space="preserve"> tayin olunması </w:t>
            </w:r>
            <w:r w:rsidR="00094F7C" w:rsidRPr="00A23740">
              <w:rPr>
                <w:rFonts w:eastAsia="Times New Roman"/>
                <w:b/>
                <w:bCs/>
                <w:color w:val="0000FF"/>
                <w:szCs w:val="24"/>
                <w:lang w:eastAsia="tr-TR"/>
              </w:rPr>
              <w:t>gereken</w:t>
            </w:r>
            <w:r w:rsidRPr="00A23740">
              <w:rPr>
                <w:rFonts w:eastAsia="Times New Roman"/>
                <w:szCs w:val="24"/>
                <w:lang w:eastAsia="tr-TR"/>
              </w:rPr>
              <w:t xml:space="preserve"> </w:t>
            </w:r>
            <w:r w:rsidRPr="00A23740">
              <w:rPr>
                <w:rFonts w:eastAsia="Times New Roman"/>
                <w:b/>
                <w:bCs/>
                <w:color w:val="0000FF"/>
                <w:szCs w:val="24"/>
                <w:lang w:eastAsia="tr-TR"/>
              </w:rPr>
              <w:t>kişilerden</w:t>
            </w:r>
            <w:r w:rsidRPr="00A23740">
              <w:rPr>
                <w:rFonts w:eastAsia="Times New Roman"/>
                <w:szCs w:val="24"/>
                <w:lang w:eastAsia="tr-TR"/>
              </w:rPr>
              <w:t xml:space="preserve"> ise icra </w:t>
            </w:r>
            <w:r w:rsidRPr="00A23740">
              <w:rPr>
                <w:rStyle w:val="MaviChar"/>
              </w:rPr>
              <w:t>ve iflas dairesi</w:t>
            </w:r>
            <w:r w:rsidRPr="00A23740">
              <w:rPr>
                <w:rFonts w:eastAsia="Times New Roman"/>
                <w:szCs w:val="24"/>
                <w:lang w:eastAsia="tr-TR"/>
              </w:rPr>
              <w:t xml:space="preserve"> kısa bir zamanda </w:t>
            </w:r>
            <w:r w:rsidRPr="00A23740">
              <w:rPr>
                <w:rFonts w:eastAsia="Times New Roman"/>
                <w:b/>
                <w:bCs/>
                <w:color w:val="0000FF"/>
                <w:szCs w:val="24"/>
                <w:lang w:eastAsia="tr-TR"/>
              </w:rPr>
              <w:t>temsilci</w:t>
            </w:r>
            <w:r w:rsidRPr="00A23740">
              <w:rPr>
                <w:rFonts w:eastAsia="Times New Roman"/>
                <w:szCs w:val="24"/>
                <w:lang w:eastAsia="tr-TR"/>
              </w:rPr>
              <w:t xml:space="preserve"> tayin edilmesini ait olduğu makamdan ister. </w:t>
            </w:r>
            <w:r w:rsidRPr="00A23740">
              <w:rPr>
                <w:b/>
                <w:bCs/>
                <w:color w:val="0000FF"/>
                <w:szCs w:val="24"/>
                <w:lang w:eastAsia="x-none"/>
              </w:rPr>
              <w:t>Tebligat borçlu adına temsilci olarak tayin edilen bu kişilere yapılır.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Default="00155AF4" w:rsidP="009431FF">
            <w:pPr>
              <w:rPr>
                <w:rFonts w:eastAsia="Times New Roman"/>
                <w:szCs w:val="24"/>
                <w:lang w:eastAsia="tr-TR"/>
              </w:rPr>
            </w:pPr>
          </w:p>
          <w:p w:rsidR="009C5516" w:rsidRPr="00A23740" w:rsidRDefault="009C5516" w:rsidP="009431FF">
            <w:pPr>
              <w:rPr>
                <w:rFonts w:eastAsia="Times New Roman"/>
                <w:szCs w:val="24"/>
                <w:lang w:eastAsia="tr-TR"/>
              </w:rPr>
            </w:pPr>
          </w:p>
          <w:p w:rsidR="004B1A67" w:rsidRPr="002144D4" w:rsidRDefault="004B1A67" w:rsidP="009431FF">
            <w:pPr>
              <w:rPr>
                <w:b/>
                <w:bCs/>
                <w:color w:val="0000FF"/>
                <w:szCs w:val="24"/>
                <w:lang w:eastAsia="x-none"/>
              </w:rPr>
            </w:pPr>
            <w:r w:rsidRPr="002144D4">
              <w:rPr>
                <w:b/>
                <w:bCs/>
                <w:color w:val="0000FF"/>
                <w:szCs w:val="24"/>
                <w:lang w:eastAsia="x-none"/>
              </w:rPr>
              <w:t>(2) Türk Medeni Kanununun 453 üncü maddesine göre bir meslek veya sanatı yürütmesi için izin verilen kişinin bu faaliyetinden doğan borçlarına ilişkin tebligat, kendisine yapılır.</w:t>
            </w:r>
          </w:p>
          <w:p w:rsidR="00155AF4" w:rsidRPr="00A23740" w:rsidRDefault="00155AF4" w:rsidP="009431FF">
            <w:pPr>
              <w:rPr>
                <w:rFonts w:eastAsia="Times New Roman"/>
                <w:szCs w:val="24"/>
                <w:lang w:eastAsia="tr-TR"/>
              </w:rPr>
            </w:pPr>
          </w:p>
        </w:tc>
      </w:tr>
      <w:tr w:rsidR="00155AF4" w:rsidRPr="00A23740" w:rsidTr="009431FF">
        <w:tc>
          <w:tcPr>
            <w:tcW w:w="5000" w:type="pct"/>
            <w:gridSpan w:val="2"/>
            <w:shd w:val="clear" w:color="auto" w:fill="DEEAF6"/>
          </w:tcPr>
          <w:p w:rsidR="00417857" w:rsidRPr="00A23740" w:rsidRDefault="00417857" w:rsidP="009431FF">
            <w:pPr>
              <w:pStyle w:val="Mavi"/>
              <w:ind w:firstLine="567"/>
              <w:rPr>
                <w:color w:val="auto"/>
                <w:lang w:val="tr-TR"/>
              </w:rPr>
            </w:pPr>
          </w:p>
          <w:p w:rsidR="00417857" w:rsidRPr="00A23740" w:rsidRDefault="00417857" w:rsidP="009431FF">
            <w:pPr>
              <w:pStyle w:val="Mavi"/>
              <w:ind w:firstLine="567"/>
              <w:rPr>
                <w:color w:val="auto"/>
                <w:lang w:val="tr-TR"/>
              </w:rPr>
            </w:pPr>
            <w:r w:rsidRPr="00A23740">
              <w:rPr>
                <w:color w:val="auto"/>
                <w:lang w:val="tr-TR"/>
              </w:rPr>
              <w:t xml:space="preserve">MADDE 45- </w:t>
            </w:r>
            <w:r w:rsidRPr="00A23740">
              <w:rPr>
                <w:b w:val="0"/>
                <w:color w:val="auto"/>
                <w:lang w:val="tr-TR"/>
              </w:rPr>
              <w:t>Maddeyle, borçluya temsilci tayinine ilişkin hususlar düzenlenmektedir.</w:t>
            </w:r>
          </w:p>
          <w:p w:rsidR="009434C7" w:rsidRPr="00A23740" w:rsidRDefault="009434C7" w:rsidP="009431FF">
            <w:pPr>
              <w:pStyle w:val="Mavi"/>
              <w:ind w:firstLine="567"/>
              <w:rPr>
                <w:b w:val="0"/>
                <w:color w:val="auto"/>
                <w:lang w:val="tr-TR"/>
              </w:rPr>
            </w:pPr>
            <w:r w:rsidRPr="00A23740">
              <w:rPr>
                <w:b w:val="0"/>
                <w:color w:val="auto"/>
                <w:lang w:val="tr-TR"/>
              </w:rPr>
              <w:t>Medeni hakları kullanma ehliyetine sahip olmayanların kanuni temsilcileri eliyle iş ve işlem yapmaları gerekir. Medeni usul hukuku sahasında bu eksiklik, dava ehliyeti yoksunluğuna yol açmakta ve kanuni temsilciler eliyle doldurularak (</w:t>
            </w:r>
            <w:r w:rsidR="0088347D" w:rsidRPr="00A23740">
              <w:rPr>
                <w:b w:val="0"/>
                <w:color w:val="auto"/>
                <w:lang w:val="tr-TR"/>
              </w:rPr>
              <w:t xml:space="preserve"> </w:t>
            </w:r>
            <w:r w:rsidR="0088347D" w:rsidRPr="002144D4">
              <w:rPr>
                <w:b w:val="0"/>
                <w:color w:val="auto"/>
                <w:lang w:val="tr-TR"/>
              </w:rPr>
              <w:t>6100</w:t>
            </w:r>
            <w:r w:rsidR="0088347D" w:rsidRPr="00A23740">
              <w:rPr>
                <w:rStyle w:val="KonuBalChar"/>
                <w:rFonts w:eastAsia="Calibri"/>
                <w:b/>
              </w:rPr>
              <w:t xml:space="preserve"> </w:t>
            </w:r>
            <w:r w:rsidR="0088347D" w:rsidRPr="002144D4">
              <w:rPr>
                <w:b w:val="0"/>
                <w:color w:val="auto"/>
                <w:lang w:val="tr-TR"/>
              </w:rPr>
              <w:t>sayılı</w:t>
            </w:r>
            <w:r w:rsidR="0088347D" w:rsidRPr="00A23740">
              <w:rPr>
                <w:rStyle w:val="KonuBalChar"/>
                <w:rFonts w:eastAsia="Calibri"/>
                <w:b/>
              </w:rPr>
              <w:t xml:space="preserve"> </w:t>
            </w:r>
            <w:r w:rsidR="0088347D" w:rsidRPr="002144D4">
              <w:rPr>
                <w:b w:val="0"/>
                <w:color w:val="auto"/>
                <w:lang w:val="tr-TR"/>
              </w:rPr>
              <w:t>Kanun</w:t>
            </w:r>
            <w:r w:rsidRPr="00A23740">
              <w:rPr>
                <w:b w:val="0"/>
                <w:color w:val="auto"/>
                <w:lang w:val="tr-TR"/>
              </w:rPr>
              <w:t xml:space="preserve"> m. 52) bu kimselerin katılımıyla yargılamalar sürdürülmektedir (</w:t>
            </w:r>
            <w:r w:rsidR="0088347D" w:rsidRPr="002144D4">
              <w:rPr>
                <w:b w:val="0"/>
                <w:color w:val="auto"/>
                <w:lang w:val="tr-TR"/>
              </w:rPr>
              <w:t>6100</w:t>
            </w:r>
            <w:r w:rsidR="0088347D" w:rsidRPr="002144D4">
              <w:rPr>
                <w:bCs w:val="0"/>
                <w:color w:val="auto"/>
                <w:lang w:val="tr-TR"/>
              </w:rPr>
              <w:t xml:space="preserve"> </w:t>
            </w:r>
            <w:r w:rsidR="0088347D" w:rsidRPr="002144D4">
              <w:rPr>
                <w:b w:val="0"/>
                <w:color w:val="auto"/>
                <w:lang w:val="tr-TR"/>
              </w:rPr>
              <w:t>sayılı</w:t>
            </w:r>
            <w:r w:rsidR="0088347D" w:rsidRPr="002144D4">
              <w:rPr>
                <w:bCs w:val="0"/>
                <w:color w:val="auto"/>
                <w:lang w:val="tr-TR"/>
              </w:rPr>
              <w:t xml:space="preserve"> </w:t>
            </w:r>
            <w:r w:rsidR="0088347D" w:rsidRPr="002144D4">
              <w:rPr>
                <w:b w:val="0"/>
                <w:color w:val="auto"/>
                <w:lang w:val="tr-TR"/>
              </w:rPr>
              <w:t>Kanun</w:t>
            </w:r>
            <w:r w:rsidRPr="00A23740">
              <w:rPr>
                <w:b w:val="0"/>
                <w:color w:val="auto"/>
                <w:lang w:val="tr-TR"/>
              </w:rPr>
              <w:t xml:space="preserve"> m. 54,</w:t>
            </w:r>
            <w:r w:rsidR="00455130" w:rsidRPr="00A23740">
              <w:rPr>
                <w:b w:val="0"/>
                <w:color w:val="auto"/>
                <w:lang w:val="tr-TR"/>
              </w:rPr>
              <w:t xml:space="preserve"> 56/I). Aynı durum, icra ve ifla</w:t>
            </w:r>
            <w:r w:rsidRPr="00A23740">
              <w:rPr>
                <w:b w:val="0"/>
                <w:color w:val="auto"/>
                <w:lang w:val="tr-TR"/>
              </w:rPr>
              <w:t xml:space="preserve">s dairelerince görülmekte olan icra takipleri ve icra takip işlemleri için de geçerlidir. </w:t>
            </w:r>
          </w:p>
          <w:p w:rsidR="009434C7" w:rsidRPr="00A23740" w:rsidRDefault="009434C7" w:rsidP="009431FF">
            <w:pPr>
              <w:pStyle w:val="Mavi"/>
              <w:ind w:firstLine="567"/>
              <w:rPr>
                <w:b w:val="0"/>
                <w:color w:val="auto"/>
                <w:lang w:val="tr-TR"/>
              </w:rPr>
            </w:pPr>
            <w:r w:rsidRPr="00A23740">
              <w:rPr>
                <w:b w:val="0"/>
                <w:color w:val="auto"/>
                <w:lang w:val="tr-TR"/>
              </w:rPr>
              <w:t>Düzenlemenin birinci fıkrası, borçlunun da böyle kimselerden olması hâ</w:t>
            </w:r>
            <w:r w:rsidR="00455130" w:rsidRPr="00A23740">
              <w:rPr>
                <w:b w:val="0"/>
                <w:color w:val="auto"/>
                <w:lang w:val="tr-TR"/>
              </w:rPr>
              <w:t>linde icra ve ifla</w:t>
            </w:r>
            <w:r w:rsidRPr="00A23740">
              <w:rPr>
                <w:b w:val="0"/>
                <w:color w:val="auto"/>
                <w:lang w:val="tr-TR"/>
              </w:rPr>
              <w:t xml:space="preserve">s dairesine, kanuni temsilci tayin edilmesini ilgili makamdan isteme yetkisi vermektedir. Doğal olarak bundan böyle tebligatlar da tebliğin muhatabı olarak kanuni temsilciye yapılacaktır.       </w:t>
            </w:r>
          </w:p>
          <w:p w:rsidR="00E91409" w:rsidRPr="00A23740" w:rsidRDefault="009434C7" w:rsidP="009431FF">
            <w:pPr>
              <w:pStyle w:val="Mavi"/>
              <w:ind w:firstLine="567"/>
              <w:rPr>
                <w:color w:val="auto"/>
                <w:lang w:val="tr-TR"/>
              </w:rPr>
            </w:pPr>
            <w:r w:rsidRPr="00A23740">
              <w:rPr>
                <w:b w:val="0"/>
                <w:color w:val="auto"/>
                <w:lang w:val="tr-TR"/>
              </w:rPr>
              <w:t>Hükmün ikinci fıkrası</w:t>
            </w:r>
            <w:r w:rsidR="0036323C" w:rsidRPr="002144D4">
              <w:rPr>
                <w:b w:val="0"/>
                <w:color w:val="auto"/>
                <w:lang w:val="tr-TR"/>
              </w:rPr>
              <w:t>nda</w:t>
            </w:r>
            <w:r w:rsidRPr="00A23740">
              <w:rPr>
                <w:b w:val="0"/>
                <w:color w:val="auto"/>
                <w:lang w:val="tr-TR"/>
              </w:rPr>
              <w:t>, birinci fıkra ge</w:t>
            </w:r>
            <w:r w:rsidR="00094F7C" w:rsidRPr="00A23740">
              <w:rPr>
                <w:b w:val="0"/>
                <w:color w:val="auto"/>
                <w:lang w:val="tr-TR"/>
              </w:rPr>
              <w:t>reğince kanuni temsilci tayini konusunda</w:t>
            </w:r>
            <w:r w:rsidR="008F75C3" w:rsidRPr="00A23740">
              <w:rPr>
                <w:b w:val="0"/>
                <w:color w:val="auto"/>
                <w:lang w:val="tr-TR"/>
              </w:rPr>
              <w:t xml:space="preserve"> </w:t>
            </w:r>
            <w:r w:rsidR="008F75C3" w:rsidRPr="002144D4">
              <w:rPr>
                <w:b w:val="0"/>
                <w:color w:val="auto"/>
                <w:lang w:val="tr-TR"/>
              </w:rPr>
              <w:t>4721</w:t>
            </w:r>
            <w:r w:rsidR="008F75C3" w:rsidRPr="002144D4">
              <w:rPr>
                <w:bCs w:val="0"/>
                <w:color w:val="auto"/>
                <w:lang w:val="tr-TR"/>
              </w:rPr>
              <w:t xml:space="preserve"> </w:t>
            </w:r>
            <w:r w:rsidR="008F75C3" w:rsidRPr="002144D4">
              <w:rPr>
                <w:b w:val="0"/>
                <w:color w:val="auto"/>
                <w:lang w:val="tr-TR"/>
              </w:rPr>
              <w:t>sayılı</w:t>
            </w:r>
            <w:r w:rsidR="008F75C3" w:rsidRPr="002144D4">
              <w:rPr>
                <w:bCs w:val="0"/>
                <w:color w:val="auto"/>
                <w:lang w:val="tr-TR"/>
              </w:rPr>
              <w:t xml:space="preserve"> </w:t>
            </w:r>
            <w:r w:rsidR="008F75C3" w:rsidRPr="002144D4">
              <w:rPr>
                <w:b w:val="0"/>
                <w:color w:val="auto"/>
                <w:lang w:val="tr-TR"/>
              </w:rPr>
              <w:t>Kanundan</w:t>
            </w:r>
            <w:r w:rsidRPr="00A23740">
              <w:rPr>
                <w:b w:val="0"/>
                <w:color w:val="auto"/>
                <w:lang w:val="tr-TR"/>
              </w:rPr>
              <w:t xml:space="preserve"> </w:t>
            </w:r>
            <w:r w:rsidR="00094F7C" w:rsidRPr="00A23740">
              <w:rPr>
                <w:b w:val="0"/>
                <w:color w:val="auto"/>
                <w:lang w:val="tr-TR"/>
              </w:rPr>
              <w:t>kaynaklanan</w:t>
            </w:r>
            <w:r w:rsidRPr="00A23740">
              <w:rPr>
                <w:b w:val="0"/>
                <w:color w:val="auto"/>
                <w:lang w:val="tr-TR"/>
              </w:rPr>
              <w:t xml:space="preserve"> istisnaya yer vermiş; bu hâlde gerek icra takibinin gerekse bu icra takibi sırasında yapılacak tebligatların muhatap olarak doğrudan borçluya karşı yapılması mümkün görülmüştür. </w:t>
            </w: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b/>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Fonts w:eastAsia="Times New Roman"/>
                <w:i/>
                <w:iCs/>
                <w:szCs w:val="24"/>
                <w:lang w:eastAsia="tr-TR"/>
              </w:rPr>
              <w:t>Elektronik işlemler</w:t>
            </w:r>
          </w:p>
          <w:p w:rsidR="00155AF4" w:rsidRPr="00A23740" w:rsidRDefault="00155AF4" w:rsidP="009431FF">
            <w:pPr>
              <w:rPr>
                <w:rFonts w:eastAsia="Times New Roman"/>
                <w:b/>
                <w:strike/>
                <w:color w:val="FF0000"/>
                <w:szCs w:val="24"/>
                <w:lang w:eastAsia="tr-TR"/>
              </w:rPr>
            </w:pPr>
            <w:r w:rsidRPr="00A23740">
              <w:rPr>
                <w:rStyle w:val="KIRMIZIChar"/>
                <w:rFonts w:eastAsia="Calibri"/>
              </w:rPr>
              <w:t>Madde 8/a – (1) (Ek</w:t>
            </w:r>
            <w:r w:rsidRPr="00A23740">
              <w:rPr>
                <w:rFonts w:eastAsia="Times New Roman"/>
                <w:b/>
                <w:strike/>
                <w:color w:val="FF0000"/>
                <w:szCs w:val="24"/>
                <w:lang w:eastAsia="tr-TR"/>
              </w:rPr>
              <w:t>: 2/7/2012-6352/3 md.)</w:t>
            </w:r>
          </w:p>
          <w:p w:rsidR="00155AF4" w:rsidRPr="00A23740" w:rsidRDefault="00155AF4" w:rsidP="009431FF">
            <w:pPr>
              <w:rPr>
                <w:rFonts w:eastAsia="Times New Roman"/>
                <w:b/>
                <w:strike/>
                <w:color w:val="FF0000"/>
                <w:szCs w:val="24"/>
                <w:lang w:eastAsia="tr-TR"/>
              </w:rPr>
            </w:pPr>
          </w:p>
          <w:p w:rsidR="00155AF4" w:rsidRPr="00A23740" w:rsidRDefault="00155AF4" w:rsidP="009431FF">
            <w:pPr>
              <w:rPr>
                <w:rFonts w:eastAsia="Times New Roman"/>
                <w:b/>
                <w:strike/>
                <w:color w:val="FF0000"/>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Fonts w:eastAsia="Times New Roman"/>
                <w:szCs w:val="24"/>
                <w:lang w:eastAsia="tr-TR"/>
              </w:rPr>
              <w:t xml:space="preserve">İcra ve iflas dairelerince yapılacak her türlü icra ve iflas iş ve işlemlerinde </w:t>
            </w:r>
            <w:r w:rsidRPr="00A23740">
              <w:rPr>
                <w:rFonts w:eastAsia="Times New Roman"/>
                <w:b/>
                <w:strike/>
                <w:color w:val="FF0000"/>
                <w:szCs w:val="24"/>
                <w:lang w:eastAsia="tr-TR"/>
              </w:rPr>
              <w:t>Ulusal Yargı Ağı Bilişim Sistemi</w:t>
            </w:r>
            <w:r w:rsidRPr="00A23740">
              <w:rPr>
                <w:rFonts w:eastAsia="Times New Roman"/>
                <w:szCs w:val="24"/>
                <w:lang w:eastAsia="tr-TR"/>
              </w:rPr>
              <w:t xml:space="preserve"> kullanılır; her türlü veri, bilgi, belge ve karar, </w:t>
            </w:r>
            <w:r w:rsidRPr="00A23740">
              <w:rPr>
                <w:rFonts w:eastAsia="Times New Roman"/>
                <w:b/>
                <w:strike/>
                <w:color w:val="FF0000"/>
                <w:szCs w:val="24"/>
                <w:lang w:eastAsia="tr-TR"/>
              </w:rPr>
              <w:t>Ulusal Yargı Ağı Bilişim Sistemi</w:t>
            </w:r>
            <w:r w:rsidRPr="00A23740">
              <w:rPr>
                <w:rFonts w:eastAsia="Times New Roman"/>
                <w:szCs w:val="24"/>
                <w:lang w:eastAsia="tr-TR"/>
              </w:rPr>
              <w:t xml:space="preserve"> vasıtasıyla işlenir, kaydedilir ve saklanır.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KIRMIZIChar"/>
                <w:rFonts w:eastAsia="Calibri"/>
              </w:rPr>
              <w:lastRenderedPageBreak/>
              <w:t>(2)</w:t>
            </w:r>
            <w:r w:rsidRPr="00A23740">
              <w:rPr>
                <w:rFonts w:eastAsia="Times New Roman"/>
                <w:szCs w:val="24"/>
                <w:lang w:eastAsia="tr-TR"/>
              </w:rPr>
              <w:t xml:space="preserve"> Usulüne göre güvenli elektronik imza ile oluşturulan elektronik veriler senet hükmündedir. Güvenli elektronik imza, elle atılan imza ile aynı ispat gücünü haizdir. Güvenli elektronik imza, kanunlarda güvenli elektronik imza ile yapılamayacağı açıkça belirtilmiş olan işlemler dışında, elle atılan imza yerine kullanılabilir. Güvenli elektronik imzayla oluşturulan belge ve kararlarda, kanunlarda birden fazla nüshanın düzenlenmesi ve mühürleme işlemini öngören hükümler uygulanmaz.</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Zorunlu nedenlerden dolayı fiziki olarak düzenlenen belge veya kararlar, yetkili kişilerce güvenli elektronik imzayla imzalanarak </w:t>
            </w:r>
            <w:r w:rsidRPr="00A23740">
              <w:rPr>
                <w:rFonts w:eastAsia="Times New Roman"/>
                <w:b/>
                <w:strike/>
                <w:color w:val="FF0000"/>
                <w:szCs w:val="24"/>
                <w:lang w:eastAsia="tr-TR"/>
              </w:rPr>
              <w:t>Ulusal Yargı Ağı Bilişim Sistemine</w:t>
            </w:r>
            <w:r w:rsidRPr="00A23740">
              <w:rPr>
                <w:rFonts w:eastAsia="Times New Roman"/>
                <w:szCs w:val="24"/>
                <w:lang w:eastAsia="tr-TR"/>
              </w:rPr>
              <w:t xml:space="preserve"> aktarılır ve gerektiğinde </w:t>
            </w:r>
            <w:r w:rsidRPr="00A23740">
              <w:rPr>
                <w:rFonts w:eastAsia="Times New Roman"/>
                <w:b/>
                <w:strike/>
                <w:color w:val="FF0000"/>
                <w:szCs w:val="24"/>
                <w:lang w:eastAsia="tr-TR"/>
              </w:rPr>
              <w:t>Ulusal Yargı Ağı Bilişim Sistemi</w:t>
            </w:r>
            <w:r w:rsidRPr="00A23740">
              <w:rPr>
                <w:rFonts w:eastAsia="Times New Roman"/>
                <w:szCs w:val="24"/>
                <w:lang w:eastAsia="tr-TR"/>
              </w:rPr>
              <w:t xml:space="preserve"> vasıtasıyla ilgili birimlere iletilir. Bu şekilde elektronik ortama aktarılarak ilgili birimlere iletilen belge ve kararların asılları, gönderen icra ve iflas dairesinde saklanır, ayrıca fiziki olarak gönderilmez. Ancak, belge veya kararın aslının incelenmesinin zorunlu olduğu hâller saklıdır.</w:t>
            </w:r>
          </w:p>
          <w:p w:rsidR="00155AF4" w:rsidRPr="00A23740" w:rsidRDefault="00155AF4" w:rsidP="009431FF">
            <w:pPr>
              <w:rPr>
                <w:rFonts w:eastAsia="Times New Roman"/>
                <w:i/>
                <w:iCs/>
                <w:szCs w:val="24"/>
                <w:lang w:eastAsia="tr-TR"/>
              </w:rPr>
            </w:pPr>
            <w:r w:rsidRPr="00A23740">
              <w:rPr>
                <w:rFonts w:eastAsia="Times New Roman"/>
                <w:i/>
                <w:iCs/>
                <w:szCs w:val="24"/>
                <w:lang w:eastAsia="tr-TR"/>
              </w:rPr>
              <w:t> </w:t>
            </w:r>
          </w:p>
          <w:p w:rsidR="00155AF4" w:rsidRPr="00A23740" w:rsidRDefault="00155AF4" w:rsidP="009431FF">
            <w:pPr>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Elektronik ortamdan fiziki örnek çıkartılması gereken hâllerde, icra müdürü veya görevlendirdiği personel tarafından belgenin aslının aynı olduğu belirtilerek, imzalanır ve mühürlenir.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KIRMIZIChar"/>
                <w:rFonts w:eastAsia="Calibri"/>
              </w:rPr>
              <w:t>(5)</w:t>
            </w:r>
            <w:r w:rsidRPr="00A23740">
              <w:rPr>
                <w:rFonts w:eastAsia="Times New Roman"/>
                <w:szCs w:val="24"/>
                <w:lang w:eastAsia="tr-TR"/>
              </w:rPr>
              <w:t xml:space="preserve"> Elektronik ortamda yapılan işlemlerde süre gün sonunda biter.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Fonts w:eastAsia="Times New Roman"/>
                <w:b/>
                <w:strike/>
                <w:color w:val="FF0000"/>
                <w:szCs w:val="24"/>
                <w:lang w:eastAsia="tr-TR"/>
              </w:rPr>
              <w:t xml:space="preserve">(6) (Ek fıkra:6/12/2018-7155/10 md.) Alacaklı, Ulusal Yargı Ağı Bilişim Sistemi üzerinden bu sisteme entegre bilişim sistemleri vasıtasıyla dosya safahat bilgileri ile borçlunun mal, hak veya alacağını elli kuruş karşılığında sorgulayabilir (…). Bu miktar her yıl, bir önceki yıla ilişkin olarak 4/1/1961 tarihli ve 213 sayılı Vergi Usul Kanununun mükerrer 298 inci maddesi hükümleri uyarınca tespit ve ilan edilen yeniden değerleme oranında artırılır. Adalet Bakanlığı yeniden değerleme oranında artırılan ücreti beş katına </w:t>
            </w:r>
            <w:r w:rsidRPr="00A23740">
              <w:rPr>
                <w:rFonts w:eastAsia="Times New Roman"/>
                <w:b/>
                <w:strike/>
                <w:color w:val="FF0000"/>
                <w:szCs w:val="24"/>
                <w:lang w:eastAsia="tr-TR"/>
              </w:rPr>
              <w:lastRenderedPageBreak/>
              <w:t>kadar artırmaya ve azaltmaya ayrıca gün ve dosya esaslı olmak üzere belirli sayıdaki sorgulamayı ücretten istisna tutmaya yetkilidir. Genel yönetim kapsamındaki kamu idarelerinden bu ücret alınmayacağı gibi alacaklının bir gün içinde aynı dosya üzerinden beş kez yapacağı sorgudan da ücret alınmaz. Bu kapsamda alınacak ücret Adalet Bakanlığının belirleyeceği usule göre tahsil edilir ve takip gideri olarak borçluya yüklenemez.</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KIRMIZIChar"/>
                <w:rFonts w:eastAsia="Calibri"/>
              </w:rPr>
              <w:t>(7)</w:t>
            </w:r>
            <w:r w:rsidRPr="00A23740">
              <w:rPr>
                <w:rFonts w:eastAsia="Times New Roman"/>
                <w:szCs w:val="24"/>
                <w:lang w:eastAsia="tr-TR"/>
              </w:rPr>
              <w:t xml:space="preserve"> Elektronik işlemlerin </w:t>
            </w:r>
            <w:r w:rsidRPr="00A23740">
              <w:rPr>
                <w:rFonts w:eastAsia="Times New Roman"/>
                <w:b/>
                <w:strike/>
                <w:color w:val="FF0000"/>
                <w:szCs w:val="24"/>
                <w:lang w:eastAsia="tr-TR"/>
              </w:rPr>
              <w:t>Ulusal Yargı Ağı Bilişim Sistemi</w:t>
            </w:r>
            <w:r w:rsidRPr="00A23740">
              <w:rPr>
                <w:rFonts w:eastAsia="Times New Roman"/>
                <w:szCs w:val="24"/>
                <w:lang w:eastAsia="tr-TR"/>
              </w:rPr>
              <w:t xml:space="preserve"> vasıtasıyla yapılmasına dair usul ve esaslar, Adalet Bakanlığı tarafından çıkarılan yönetmelikle düzenlenir.</w:t>
            </w:r>
          </w:p>
          <w:p w:rsidR="00155AF4" w:rsidRPr="00A23740" w:rsidRDefault="00155AF4" w:rsidP="009431FF">
            <w:pPr>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Balk3"/>
              <w:rPr>
                <w:lang w:val="tr-TR"/>
              </w:rPr>
            </w:pPr>
            <w:r w:rsidRPr="00A23740">
              <w:rPr>
                <w:lang w:val="tr-TR"/>
              </w:rPr>
              <w:lastRenderedPageBreak/>
              <w:t>İKİNCİ BÖLÜM</w:t>
            </w:r>
          </w:p>
          <w:p w:rsidR="00155AF4" w:rsidRPr="00A23740" w:rsidRDefault="00155AF4" w:rsidP="009431FF">
            <w:pPr>
              <w:pStyle w:val="Balk3"/>
              <w:rPr>
                <w:lang w:val="tr-TR"/>
              </w:rPr>
            </w:pPr>
            <w:r w:rsidRPr="00A23740">
              <w:rPr>
                <w:lang w:val="tr-TR"/>
              </w:rPr>
              <w:t>Elektronik İşlemler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b/>
                <w:szCs w:val="24"/>
                <w:lang w:eastAsia="tr-TR"/>
              </w:rPr>
            </w:pPr>
            <w:r w:rsidRPr="00A23740">
              <w:rPr>
                <w:rFonts w:eastAsia="Times New Roman"/>
                <w:b/>
                <w:iCs/>
                <w:szCs w:val="24"/>
                <w:lang w:eastAsia="tr-TR"/>
              </w:rPr>
              <w:t>Elektronik işlemler</w:t>
            </w:r>
          </w:p>
          <w:p w:rsidR="00155AF4" w:rsidRPr="00A23740" w:rsidRDefault="00155AF4" w:rsidP="009431FF">
            <w:pPr>
              <w:pStyle w:val="Mavi"/>
            </w:pPr>
            <w:r w:rsidRPr="00A23740">
              <w:t xml:space="preserve">MADDE </w:t>
            </w:r>
            <w:r w:rsidRPr="00A23740">
              <w:rPr>
                <w:rStyle w:val="YELChar"/>
                <w:rFonts w:eastAsia="Calibri"/>
                <w:b/>
                <w:color w:val="0000FF"/>
                <w:lang w:eastAsia="x-none"/>
              </w:rPr>
              <w:t>46</w:t>
            </w:r>
            <w:r w:rsidRPr="00A23740">
              <w:t>-</w:t>
            </w:r>
            <w:r w:rsidRPr="00A23740">
              <w:rPr>
                <w:rStyle w:val="YELChar"/>
                <w:rFonts w:eastAsia="Calibri"/>
                <w:b/>
                <w:color w:val="0000FF"/>
                <w:lang w:eastAsia="x-none"/>
              </w:rPr>
              <w:t xml:space="preserve"> </w:t>
            </w:r>
            <w:r w:rsidRPr="00A23740">
              <w:t xml:space="preserve">(1) Ulusal Yargı Ağı Bilişim Sistemi (UYAP), adalet hizmetlerinin elektronik ortamda yürütülmesi amacıyla oluşturulan bilişim sistemidir. </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MaviChar"/>
              </w:rPr>
              <w:t>(2)</w:t>
            </w:r>
            <w:r w:rsidRPr="00A23740">
              <w:rPr>
                <w:rFonts w:eastAsia="Times New Roman"/>
                <w:szCs w:val="24"/>
                <w:lang w:eastAsia="tr-TR"/>
              </w:rPr>
              <w:t xml:space="preserve"> İcra ve iflas dairelerince yapılacak her türlü icra ve iflas iş ve işlemlerinde </w:t>
            </w:r>
            <w:r w:rsidRPr="00A23740">
              <w:rPr>
                <w:rStyle w:val="MaviChar"/>
              </w:rPr>
              <w:t>UYAP</w:t>
            </w:r>
            <w:r w:rsidRPr="00A23740">
              <w:rPr>
                <w:rFonts w:eastAsia="Times New Roman"/>
                <w:szCs w:val="24"/>
                <w:lang w:eastAsia="tr-TR"/>
              </w:rPr>
              <w:t xml:space="preserve"> kullanılır; her türlü veri, bilgi, belge ve karar, </w:t>
            </w:r>
            <w:r w:rsidRPr="00A23740">
              <w:rPr>
                <w:rStyle w:val="MaviChar"/>
              </w:rPr>
              <w:t>UYAP</w:t>
            </w:r>
            <w:r w:rsidRPr="00A23740">
              <w:rPr>
                <w:rFonts w:eastAsia="Times New Roman"/>
                <w:szCs w:val="24"/>
                <w:lang w:eastAsia="tr-TR"/>
              </w:rPr>
              <w:t xml:space="preserve"> vasıtasıyla işlenir, kaydedilir ve saklanır.</w:t>
            </w:r>
          </w:p>
          <w:p w:rsidR="00155AF4" w:rsidRPr="00A23740" w:rsidRDefault="00155AF4" w:rsidP="009431FF">
            <w:pPr>
              <w:rPr>
                <w:rFonts w:eastAsia="Times New Roman"/>
                <w:szCs w:val="24"/>
                <w:lang w:eastAsia="tr-TR"/>
              </w:rPr>
            </w:pPr>
          </w:p>
          <w:p w:rsidR="003049D7" w:rsidRPr="00A23740" w:rsidRDefault="003049D7"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MaviChar"/>
              </w:rPr>
              <w:lastRenderedPageBreak/>
              <w:t>(</w:t>
            </w:r>
            <w:r w:rsidR="00653581" w:rsidRPr="00A23740">
              <w:rPr>
                <w:rStyle w:val="MaviChar"/>
              </w:rPr>
              <w:t>3</w:t>
            </w:r>
            <w:r w:rsidRPr="00A23740">
              <w:rPr>
                <w:rStyle w:val="MaviChar"/>
              </w:rPr>
              <w:t>)</w:t>
            </w:r>
            <w:r w:rsidRPr="00A23740">
              <w:rPr>
                <w:rFonts w:eastAsia="Times New Roman"/>
                <w:szCs w:val="24"/>
                <w:lang w:eastAsia="tr-TR"/>
              </w:rPr>
              <w:t xml:space="preserve"> Usulüne göre güvenli elektronik imza</w:t>
            </w:r>
            <w:r w:rsidR="00CB620C" w:rsidRPr="00A23740">
              <w:rPr>
                <w:rStyle w:val="MaviChar"/>
              </w:rPr>
              <w:t>yla</w:t>
            </w:r>
            <w:r w:rsidRPr="00A23740">
              <w:rPr>
                <w:rFonts w:eastAsia="Times New Roman"/>
                <w:szCs w:val="24"/>
                <w:lang w:eastAsia="tr-TR"/>
              </w:rPr>
              <w:t xml:space="preserve"> oluşturulan elektronik veriler senet hükmündedir. Güvenli elektronik imza, elle atılan imza</w:t>
            </w:r>
            <w:r w:rsidR="00CB620C" w:rsidRPr="00A23740">
              <w:rPr>
                <w:rStyle w:val="MaviChar"/>
              </w:rPr>
              <w:t>yla</w:t>
            </w:r>
            <w:r w:rsidRPr="00A23740">
              <w:rPr>
                <w:rFonts w:eastAsia="Times New Roman"/>
                <w:szCs w:val="24"/>
                <w:lang w:eastAsia="tr-TR"/>
              </w:rPr>
              <w:t xml:space="preserve"> aynı ispat gücünü haizdir. Güvenli elektronik imza, kanunlarda güvenli elektronik imza</w:t>
            </w:r>
            <w:r w:rsidR="00CB620C" w:rsidRPr="00A23740">
              <w:rPr>
                <w:rStyle w:val="MaviChar"/>
              </w:rPr>
              <w:t>yla</w:t>
            </w:r>
            <w:r w:rsidRPr="00A23740">
              <w:rPr>
                <w:rFonts w:eastAsia="Times New Roman"/>
                <w:szCs w:val="24"/>
                <w:lang w:eastAsia="tr-TR"/>
              </w:rPr>
              <w:t xml:space="preserve"> yapılamayacağı açıkça belirtilmiş olan işlemler dışında, elle atılan imza yerine kullanılabilir. Güvenli elektronik imzayla oluşturulan belge ve kararlarda, kanunlarda birden fazla nüshanın düzenlenmesi</w:t>
            </w:r>
            <w:r w:rsidRPr="00A23740">
              <w:rPr>
                <w:rStyle w:val="MaviChar"/>
              </w:rPr>
              <w:t>ni</w:t>
            </w:r>
            <w:r w:rsidRPr="00A23740">
              <w:rPr>
                <w:rFonts w:eastAsia="Times New Roman"/>
                <w:szCs w:val="24"/>
                <w:lang w:eastAsia="tr-TR"/>
              </w:rPr>
              <w:t xml:space="preserve"> ve mühürleme işlemi </w:t>
            </w:r>
            <w:r w:rsidRPr="00A23740">
              <w:rPr>
                <w:rStyle w:val="MaviChar"/>
              </w:rPr>
              <w:t>yapılmasını</w:t>
            </w:r>
            <w:r w:rsidRPr="00A23740">
              <w:rPr>
                <w:rFonts w:eastAsia="Times New Roman"/>
                <w:szCs w:val="24"/>
                <w:lang w:eastAsia="tr-TR"/>
              </w:rPr>
              <w:t xml:space="preserve"> öngören hükümler uygulanmaz.</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MaviChar"/>
              </w:rPr>
              <w:t>(</w:t>
            </w:r>
            <w:r w:rsidR="00653581" w:rsidRPr="00A23740">
              <w:rPr>
                <w:rStyle w:val="MaviChar"/>
              </w:rPr>
              <w:t>4</w:t>
            </w:r>
            <w:r w:rsidRPr="00A23740">
              <w:rPr>
                <w:rStyle w:val="MaviChar"/>
              </w:rPr>
              <w:t>)</w:t>
            </w:r>
            <w:r w:rsidRPr="00A23740">
              <w:rPr>
                <w:rFonts w:eastAsia="Times New Roman"/>
                <w:szCs w:val="24"/>
                <w:lang w:eastAsia="tr-TR"/>
              </w:rPr>
              <w:t xml:space="preserve"> Zorunlu nedenlerden dolayı fiziki olarak düzenlenen belge veya kararlar, yetkili kişilerce güvenli elektronik imzayla imzalanarak </w:t>
            </w:r>
            <w:r w:rsidRPr="00A23740">
              <w:rPr>
                <w:rStyle w:val="MaviChar"/>
              </w:rPr>
              <w:t>UYAP’a</w:t>
            </w:r>
            <w:r w:rsidRPr="00A23740">
              <w:rPr>
                <w:rFonts w:eastAsia="Times New Roman"/>
                <w:szCs w:val="24"/>
                <w:lang w:eastAsia="tr-TR"/>
              </w:rPr>
              <w:t xml:space="preserve"> aktarılır ve gerektiğinde </w:t>
            </w:r>
            <w:r w:rsidRPr="00A23740">
              <w:rPr>
                <w:rStyle w:val="MaviChar"/>
              </w:rPr>
              <w:t xml:space="preserve">UYAP </w:t>
            </w:r>
            <w:r w:rsidRPr="00A23740">
              <w:rPr>
                <w:rFonts w:eastAsia="Times New Roman"/>
                <w:szCs w:val="24"/>
                <w:lang w:eastAsia="tr-TR"/>
              </w:rPr>
              <w:t>vasıtasıyla ilgili birimlere iletilir. Bu şekilde elektronik ortama aktarılarak ilgili birimlere iletilen belge ve kararların asılları, gönderen icra ve iflas dairesinde saklanır, ayrıca fiziki olarak gönderilmez. Ancak, belge veya kararın aslının incelenmesinin zorunlu olduğu hâller saklıdır.</w:t>
            </w:r>
          </w:p>
          <w:p w:rsidR="00155AF4" w:rsidRPr="00A23740" w:rsidRDefault="00155AF4" w:rsidP="009431FF">
            <w:pPr>
              <w:rPr>
                <w:rFonts w:eastAsia="Times New Roman"/>
                <w:i/>
                <w:iCs/>
                <w:szCs w:val="24"/>
                <w:lang w:eastAsia="tr-TR"/>
              </w:rPr>
            </w:pPr>
            <w:r w:rsidRPr="00A23740">
              <w:rPr>
                <w:rFonts w:eastAsia="Times New Roman"/>
                <w:i/>
                <w:iCs/>
                <w:szCs w:val="24"/>
                <w:lang w:eastAsia="tr-TR"/>
              </w:rPr>
              <w:t> </w:t>
            </w:r>
          </w:p>
          <w:p w:rsidR="008E0E1F" w:rsidRPr="00A23740" w:rsidRDefault="008E0E1F" w:rsidP="009431FF">
            <w:pPr>
              <w:rPr>
                <w:rFonts w:eastAsia="Times New Roman"/>
                <w:i/>
                <w:iCs/>
                <w:szCs w:val="24"/>
                <w:lang w:eastAsia="tr-TR"/>
              </w:rPr>
            </w:pPr>
          </w:p>
          <w:p w:rsidR="00155AF4" w:rsidRPr="00A23740" w:rsidRDefault="00155AF4" w:rsidP="009431FF">
            <w:pPr>
              <w:rPr>
                <w:rFonts w:eastAsia="Times New Roman"/>
                <w:szCs w:val="24"/>
                <w:lang w:eastAsia="tr-TR"/>
              </w:rPr>
            </w:pPr>
            <w:r w:rsidRPr="00A23740">
              <w:rPr>
                <w:rStyle w:val="MaviChar"/>
              </w:rPr>
              <w:t>(</w:t>
            </w:r>
            <w:r w:rsidR="00653581" w:rsidRPr="00A23740">
              <w:rPr>
                <w:rStyle w:val="MaviChar"/>
              </w:rPr>
              <w:t>5</w:t>
            </w:r>
            <w:r w:rsidRPr="00A23740">
              <w:rPr>
                <w:rStyle w:val="MaviChar"/>
              </w:rPr>
              <w:t>)</w:t>
            </w:r>
            <w:r w:rsidRPr="00A23740">
              <w:rPr>
                <w:rFonts w:eastAsia="Times New Roman"/>
                <w:szCs w:val="24"/>
                <w:lang w:eastAsia="tr-TR"/>
              </w:rPr>
              <w:t xml:space="preserve"> Elektronik ortamdan fiziki örnek çıkartılması gereken hâllerde, icra </w:t>
            </w:r>
            <w:r w:rsidRPr="00A23740">
              <w:rPr>
                <w:rStyle w:val="MaviChar"/>
              </w:rPr>
              <w:t>ve iflas dairesi</w:t>
            </w:r>
            <w:r w:rsidRPr="00A23740">
              <w:rPr>
                <w:rFonts w:eastAsia="Times New Roman"/>
                <w:szCs w:val="24"/>
                <w:lang w:eastAsia="tr-TR"/>
              </w:rPr>
              <w:t xml:space="preserve"> tarafından belgenin aslının aynı olduğu belirtilerek, imzalanır ve mühürlenir.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MaviChar"/>
              </w:rPr>
              <w:t>(</w:t>
            </w:r>
            <w:r w:rsidR="00653581" w:rsidRPr="00A23740">
              <w:rPr>
                <w:rStyle w:val="MaviChar"/>
              </w:rPr>
              <w:t>6</w:t>
            </w:r>
            <w:r w:rsidRPr="00A23740">
              <w:rPr>
                <w:rStyle w:val="MaviChar"/>
              </w:rPr>
              <w:t>)</w:t>
            </w:r>
            <w:r w:rsidRPr="00A23740">
              <w:rPr>
                <w:rFonts w:eastAsia="Times New Roman"/>
                <w:szCs w:val="24"/>
                <w:lang w:eastAsia="tr-TR"/>
              </w:rPr>
              <w:t xml:space="preserve"> Elektronik ortamda yapılan işlemlerde süre gün sonunda biter.</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A82AA4" w:rsidRPr="00A23740" w:rsidRDefault="00A82AA4" w:rsidP="009431FF">
            <w:pPr>
              <w:rPr>
                <w:rStyle w:val="MaviChar"/>
              </w:rPr>
            </w:pPr>
          </w:p>
          <w:p w:rsidR="00607E0B" w:rsidRPr="00A23740" w:rsidRDefault="00607E0B" w:rsidP="009431FF">
            <w:pPr>
              <w:rPr>
                <w:rStyle w:val="MaviChar"/>
              </w:rPr>
            </w:pPr>
          </w:p>
          <w:p w:rsidR="00607E0B" w:rsidRPr="00A23740" w:rsidRDefault="00607E0B" w:rsidP="009431FF">
            <w:pPr>
              <w:rPr>
                <w:rStyle w:val="MaviChar"/>
              </w:rPr>
            </w:pPr>
          </w:p>
          <w:p w:rsidR="00155AF4" w:rsidRPr="00A23740" w:rsidRDefault="00155AF4" w:rsidP="009431FF">
            <w:pPr>
              <w:rPr>
                <w:rFonts w:eastAsia="Times New Roman"/>
                <w:szCs w:val="24"/>
                <w:lang w:eastAsia="tr-TR"/>
              </w:rPr>
            </w:pPr>
            <w:r w:rsidRPr="00A23740">
              <w:rPr>
                <w:rStyle w:val="MaviChar"/>
              </w:rPr>
              <w:t>(</w:t>
            </w:r>
            <w:r w:rsidR="00653581" w:rsidRPr="00A23740">
              <w:rPr>
                <w:rStyle w:val="MaviChar"/>
              </w:rPr>
              <w:t>7</w:t>
            </w:r>
            <w:r w:rsidRPr="00A23740">
              <w:rPr>
                <w:rStyle w:val="MaviChar"/>
              </w:rPr>
              <w:t>)</w:t>
            </w:r>
            <w:r w:rsidRPr="00A23740">
              <w:rPr>
                <w:rFonts w:eastAsia="Times New Roman"/>
                <w:szCs w:val="24"/>
                <w:lang w:eastAsia="tr-TR"/>
              </w:rPr>
              <w:t xml:space="preserve"> Elektronik işlemlerin </w:t>
            </w:r>
            <w:r w:rsidRPr="00A23740">
              <w:rPr>
                <w:rStyle w:val="MaviChar"/>
              </w:rPr>
              <w:t>UYAP</w:t>
            </w:r>
            <w:r w:rsidRPr="00A23740">
              <w:rPr>
                <w:rFonts w:eastAsia="Times New Roman"/>
                <w:szCs w:val="24"/>
                <w:lang w:eastAsia="tr-TR"/>
              </w:rPr>
              <w:t xml:space="preserve"> vasıtasıyla yapılmasına dair usul ve esaslar, Adalet Bakanlığı tarafından </w:t>
            </w:r>
            <w:r w:rsidR="00607E0B" w:rsidRPr="002144D4">
              <w:rPr>
                <w:rStyle w:val="MaviChar"/>
              </w:rPr>
              <w:t>çıkarılacak</w:t>
            </w:r>
            <w:r w:rsidRPr="00A23740">
              <w:rPr>
                <w:rFonts w:eastAsia="Times New Roman"/>
                <w:szCs w:val="24"/>
                <w:lang w:eastAsia="tr-TR"/>
              </w:rPr>
              <w:t xml:space="preserve"> yönetmelikle düzenlenir.</w:t>
            </w:r>
          </w:p>
          <w:p w:rsidR="00155AF4" w:rsidRPr="00A23740" w:rsidRDefault="00155AF4" w:rsidP="009431FF">
            <w:pPr>
              <w:pStyle w:val="AltKonuBal"/>
              <w:rPr>
                <w:b w:val="0"/>
                <w:bCs/>
                <w:color w:val="0000FF"/>
              </w:rPr>
            </w:pPr>
          </w:p>
        </w:tc>
      </w:tr>
      <w:tr w:rsidR="00155AF4" w:rsidRPr="00A23740" w:rsidTr="009431FF">
        <w:tc>
          <w:tcPr>
            <w:tcW w:w="5000" w:type="pct"/>
            <w:gridSpan w:val="2"/>
            <w:shd w:val="clear" w:color="auto" w:fill="DEEAF6"/>
          </w:tcPr>
          <w:p w:rsidR="00B430CF" w:rsidRPr="00A23740" w:rsidRDefault="00B430CF" w:rsidP="009431FF">
            <w:pPr>
              <w:pStyle w:val="Mavi"/>
              <w:ind w:firstLine="709"/>
              <w:rPr>
                <w:color w:val="auto"/>
                <w:lang w:val="tr-TR"/>
              </w:rPr>
            </w:pPr>
          </w:p>
          <w:p w:rsidR="00685CBE" w:rsidRPr="00A23740" w:rsidRDefault="00F3492C" w:rsidP="009431FF">
            <w:pPr>
              <w:rPr>
                <w:b/>
              </w:rPr>
            </w:pPr>
            <w:r w:rsidRPr="00A23740">
              <w:tab/>
            </w:r>
            <w:r w:rsidR="00B430CF" w:rsidRPr="00A23740">
              <w:rPr>
                <w:b/>
              </w:rPr>
              <w:t>MADDE 46-</w:t>
            </w:r>
            <w:r w:rsidR="00B430CF" w:rsidRPr="00A23740">
              <w:t xml:space="preserve"> </w:t>
            </w:r>
            <w:r w:rsidRPr="00A23740">
              <w:t xml:space="preserve">Maddeyle, </w:t>
            </w:r>
            <w:r w:rsidRPr="00A23740">
              <w:rPr>
                <w:rFonts w:eastAsia="Times New Roman"/>
                <w:iCs/>
                <w:szCs w:val="24"/>
                <w:lang w:eastAsia="tr-TR"/>
              </w:rPr>
              <w:t xml:space="preserve">elektronik işlemlere ilişkin usul ve esaslar düzenlenmektedir. </w:t>
            </w:r>
            <w:r w:rsidR="00B430CF" w:rsidRPr="00A23740">
              <w:t>Madde, 2</w:t>
            </w:r>
            <w:r w:rsidRPr="00A23740">
              <w:t>004 sayılı Kanunun 8/A maddesine</w:t>
            </w:r>
            <w:r w:rsidR="00B430CF" w:rsidRPr="00A23740">
              <w:t xml:space="preserve"> </w:t>
            </w:r>
            <w:r w:rsidRPr="00A23740">
              <w:t>kısmen karşılık gelmektedir.</w:t>
            </w:r>
          </w:p>
          <w:p w:rsidR="00347684" w:rsidRPr="00A23740" w:rsidRDefault="00685CBE" w:rsidP="009431FF">
            <w:r w:rsidRPr="00A23740">
              <w:rPr>
                <w:b/>
              </w:rPr>
              <w:tab/>
            </w:r>
            <w:r w:rsidRPr="00A23740">
              <w:t xml:space="preserve">Birinci fıkrayla, </w:t>
            </w:r>
            <w:r w:rsidR="009B6EC7" w:rsidRPr="00A23740">
              <w:t xml:space="preserve">bir yenilik olarak </w:t>
            </w:r>
            <w:r w:rsidRPr="00A23740">
              <w:t>Ulusal Yargı Ağı Bilişim Sistemi</w:t>
            </w:r>
            <w:r w:rsidR="00204CF5" w:rsidRPr="00A23740">
              <w:t>nin</w:t>
            </w:r>
            <w:r w:rsidR="00347684" w:rsidRPr="00A23740">
              <w:t xml:space="preserve"> (UYAP) tanım</w:t>
            </w:r>
            <w:r w:rsidR="009B6EC7" w:rsidRPr="00A23740">
              <w:t xml:space="preserve">ı yapılmaktadır. </w:t>
            </w:r>
          </w:p>
          <w:p w:rsidR="00DD587F" w:rsidRPr="00A23740" w:rsidRDefault="00685CBE" w:rsidP="009431FF">
            <w:pPr>
              <w:rPr>
                <w:rFonts w:eastAsia="Times New Roman"/>
                <w:szCs w:val="24"/>
                <w:lang w:eastAsia="tr-TR"/>
              </w:rPr>
            </w:pPr>
            <w:r w:rsidRPr="00A23740">
              <w:tab/>
              <w:t xml:space="preserve">İkinci fıkrayla, </w:t>
            </w:r>
            <w:r w:rsidRPr="00A23740">
              <w:rPr>
                <w:rFonts w:eastAsia="Times New Roman"/>
                <w:szCs w:val="24"/>
                <w:lang w:eastAsia="tr-TR"/>
              </w:rPr>
              <w:t xml:space="preserve">icra ve iflas </w:t>
            </w:r>
            <w:r w:rsidRPr="00A23740">
              <w:t xml:space="preserve">dairelerince yapılacak her türlü icra ve iflas iş ve işlemlerinde UYAP’ın kullanılacağı, yine her türlü veri, bilgi, belge ve </w:t>
            </w:r>
            <w:r w:rsidR="00204CF5" w:rsidRPr="00A23740">
              <w:t>kararın UYAP vasıtasıyla işleneceği</w:t>
            </w:r>
            <w:r w:rsidRPr="00A23740">
              <w:rPr>
                <w:rFonts w:eastAsia="Times New Roman"/>
                <w:szCs w:val="24"/>
                <w:lang w:eastAsia="tr-TR"/>
              </w:rPr>
              <w:t>, kaydedileceği ve saklanacağı hükme bağlanmaktadır.</w:t>
            </w:r>
          </w:p>
          <w:p w:rsidR="00DD587F" w:rsidRPr="00A23740" w:rsidRDefault="00DD587F" w:rsidP="009431FF">
            <w:pPr>
              <w:rPr>
                <w:rFonts w:eastAsia="Times New Roman"/>
                <w:szCs w:val="24"/>
                <w:lang w:eastAsia="tr-TR"/>
              </w:rPr>
            </w:pPr>
            <w:r w:rsidRPr="00A23740">
              <w:rPr>
                <w:rFonts w:eastAsia="Times New Roman"/>
                <w:szCs w:val="24"/>
                <w:lang w:eastAsia="tr-TR"/>
              </w:rPr>
              <w:tab/>
            </w:r>
            <w:r w:rsidR="00653581" w:rsidRPr="002144D4">
              <w:t>Dördüncü</w:t>
            </w:r>
            <w:r w:rsidR="00653581" w:rsidRPr="00A23740">
              <w:rPr>
                <w:rFonts w:eastAsia="Times New Roman"/>
                <w:color w:val="70AD47"/>
                <w:szCs w:val="24"/>
                <w:lang w:eastAsia="tr-TR"/>
              </w:rPr>
              <w:t xml:space="preserve"> </w:t>
            </w:r>
            <w:r w:rsidRPr="00A23740">
              <w:rPr>
                <w:rFonts w:eastAsia="Times New Roman"/>
                <w:szCs w:val="24"/>
                <w:lang w:eastAsia="tr-TR"/>
              </w:rPr>
              <w:t>fıkrayla, zorunlu nedenlerden dolayı fiziki olarak düzenlenen belge veya kararlar</w:t>
            </w:r>
            <w:r w:rsidR="003844C4" w:rsidRPr="00A23740">
              <w:rPr>
                <w:rFonts w:eastAsia="Times New Roman"/>
                <w:szCs w:val="24"/>
                <w:lang w:eastAsia="tr-TR"/>
              </w:rPr>
              <w:t>ın</w:t>
            </w:r>
            <w:r w:rsidRPr="00A23740">
              <w:rPr>
                <w:rFonts w:eastAsia="Times New Roman"/>
                <w:szCs w:val="24"/>
                <w:lang w:eastAsia="tr-TR"/>
              </w:rPr>
              <w:t>, yetkili kişilerce güvenli elektronik imzayla imzalanarak UYAP’a</w:t>
            </w:r>
            <w:r w:rsidR="003844C4" w:rsidRPr="00A23740">
              <w:rPr>
                <w:rFonts w:eastAsia="Times New Roman"/>
                <w:szCs w:val="24"/>
                <w:lang w:eastAsia="tr-TR"/>
              </w:rPr>
              <w:t xml:space="preserve"> aktarılacağı </w:t>
            </w:r>
            <w:r w:rsidRPr="00A23740">
              <w:rPr>
                <w:rFonts w:eastAsia="Times New Roman"/>
                <w:szCs w:val="24"/>
                <w:lang w:eastAsia="tr-TR"/>
              </w:rPr>
              <w:t>ve gerektiğinde UYAP vasıt</w:t>
            </w:r>
            <w:r w:rsidR="003844C4" w:rsidRPr="00A23740">
              <w:rPr>
                <w:rFonts w:eastAsia="Times New Roman"/>
                <w:szCs w:val="24"/>
                <w:lang w:eastAsia="tr-TR"/>
              </w:rPr>
              <w:t>asıyla ilgili birimlere iletile</w:t>
            </w:r>
            <w:r w:rsidR="00CB620C" w:rsidRPr="00A23740">
              <w:rPr>
                <w:rFonts w:eastAsia="Times New Roman"/>
                <w:szCs w:val="24"/>
                <w:lang w:eastAsia="tr-TR"/>
              </w:rPr>
              <w:t>ce</w:t>
            </w:r>
            <w:r w:rsidR="003844C4" w:rsidRPr="00A23740">
              <w:rPr>
                <w:rFonts w:eastAsia="Times New Roman"/>
                <w:szCs w:val="24"/>
                <w:lang w:eastAsia="tr-TR"/>
              </w:rPr>
              <w:t>ği düzenlenmektedir</w:t>
            </w:r>
            <w:r w:rsidRPr="00A23740">
              <w:rPr>
                <w:rFonts w:eastAsia="Times New Roman"/>
                <w:szCs w:val="24"/>
                <w:lang w:eastAsia="tr-TR"/>
              </w:rPr>
              <w:t xml:space="preserve">. Bu şekilde elektronik ortama aktarılarak ilgili birimlere iletilen belge ve kararların asılları, </w:t>
            </w:r>
            <w:r w:rsidR="003844C4" w:rsidRPr="00A23740">
              <w:rPr>
                <w:rFonts w:eastAsia="Times New Roman"/>
                <w:szCs w:val="24"/>
                <w:lang w:eastAsia="tr-TR"/>
              </w:rPr>
              <w:t xml:space="preserve">ayrıca fiziki olarak gönderilmesine gerek olmaksızın </w:t>
            </w:r>
            <w:r w:rsidRPr="00A23740">
              <w:rPr>
                <w:rFonts w:eastAsia="Times New Roman"/>
                <w:szCs w:val="24"/>
                <w:lang w:eastAsia="tr-TR"/>
              </w:rPr>
              <w:t>gönderen i</w:t>
            </w:r>
            <w:r w:rsidR="003844C4" w:rsidRPr="00A23740">
              <w:rPr>
                <w:rFonts w:eastAsia="Times New Roman"/>
                <w:szCs w:val="24"/>
                <w:lang w:eastAsia="tr-TR"/>
              </w:rPr>
              <w:t>cra</w:t>
            </w:r>
            <w:r w:rsidR="00CB620C" w:rsidRPr="00A23740">
              <w:rPr>
                <w:rFonts w:eastAsia="Times New Roman"/>
                <w:szCs w:val="24"/>
                <w:lang w:eastAsia="tr-TR"/>
              </w:rPr>
              <w:t xml:space="preserve"> ve iflas dairesinde saklan</w:t>
            </w:r>
            <w:r w:rsidR="003844C4" w:rsidRPr="00A23740">
              <w:rPr>
                <w:rFonts w:eastAsia="Times New Roman"/>
                <w:szCs w:val="24"/>
                <w:lang w:eastAsia="tr-TR"/>
              </w:rPr>
              <w:t xml:space="preserve">ır. </w:t>
            </w:r>
            <w:r w:rsidRPr="00A23740">
              <w:rPr>
                <w:rFonts w:eastAsia="Times New Roman"/>
                <w:szCs w:val="24"/>
                <w:lang w:eastAsia="tr-TR"/>
              </w:rPr>
              <w:t xml:space="preserve">Ancak, belge veya kararın aslının incelenmesinin </w:t>
            </w:r>
            <w:r w:rsidR="003844C4" w:rsidRPr="00A23740">
              <w:rPr>
                <w:rFonts w:eastAsia="Times New Roman"/>
                <w:szCs w:val="24"/>
                <w:lang w:eastAsia="tr-TR"/>
              </w:rPr>
              <w:t>zorunlu olduğu hâllerde bu hüküm uygulanma</w:t>
            </w:r>
            <w:r w:rsidR="00CB620C" w:rsidRPr="00A23740">
              <w:rPr>
                <w:rFonts w:eastAsia="Times New Roman"/>
                <w:szCs w:val="24"/>
                <w:lang w:eastAsia="tr-TR"/>
              </w:rPr>
              <w:t>z</w:t>
            </w:r>
            <w:r w:rsidRPr="00A23740">
              <w:rPr>
                <w:rFonts w:eastAsia="Times New Roman"/>
                <w:szCs w:val="24"/>
                <w:lang w:eastAsia="tr-TR"/>
              </w:rPr>
              <w:t>.</w:t>
            </w:r>
          </w:p>
          <w:p w:rsidR="003844C4" w:rsidRPr="00A23740" w:rsidRDefault="00DD587F" w:rsidP="009431FF">
            <w:pPr>
              <w:rPr>
                <w:rFonts w:eastAsia="Times New Roman"/>
                <w:szCs w:val="24"/>
                <w:lang w:eastAsia="tr-TR"/>
              </w:rPr>
            </w:pPr>
            <w:r w:rsidRPr="00A23740">
              <w:rPr>
                <w:rFonts w:eastAsia="Times New Roman"/>
                <w:szCs w:val="24"/>
                <w:lang w:eastAsia="tr-TR"/>
              </w:rPr>
              <w:tab/>
            </w:r>
            <w:r w:rsidR="00653581" w:rsidRPr="002144D4">
              <w:t>Beşinci</w:t>
            </w:r>
            <w:r w:rsidR="00653581" w:rsidRPr="00A23740">
              <w:rPr>
                <w:rFonts w:eastAsia="Times New Roman"/>
                <w:color w:val="70AD47"/>
                <w:szCs w:val="24"/>
                <w:lang w:eastAsia="tr-TR"/>
              </w:rPr>
              <w:t xml:space="preserve"> </w:t>
            </w:r>
            <w:r w:rsidRPr="00A23740">
              <w:rPr>
                <w:rFonts w:eastAsia="Times New Roman"/>
                <w:szCs w:val="24"/>
                <w:lang w:eastAsia="tr-TR"/>
              </w:rPr>
              <w:t xml:space="preserve">fıkrayla, </w:t>
            </w:r>
            <w:r w:rsidR="003844C4" w:rsidRPr="00A23740">
              <w:rPr>
                <w:rFonts w:eastAsia="Times New Roman"/>
                <w:szCs w:val="24"/>
                <w:lang w:eastAsia="tr-TR"/>
              </w:rPr>
              <w:t xml:space="preserve">elektronik </w:t>
            </w:r>
            <w:r w:rsidRPr="00A23740">
              <w:rPr>
                <w:rFonts w:eastAsia="Times New Roman"/>
                <w:szCs w:val="24"/>
                <w:lang w:eastAsia="tr-TR"/>
              </w:rPr>
              <w:t>ortamdan fiziki örnek</w:t>
            </w:r>
            <w:r w:rsidR="003844C4" w:rsidRPr="00A23740">
              <w:rPr>
                <w:rFonts w:eastAsia="Times New Roman"/>
                <w:szCs w:val="24"/>
                <w:lang w:eastAsia="tr-TR"/>
              </w:rPr>
              <w:t xml:space="preserve"> çıkartılması gereken hâllerde yapılması gereken işlemler düzenlenmektedir.</w:t>
            </w:r>
          </w:p>
          <w:p w:rsidR="00DD587F" w:rsidRPr="00A23740" w:rsidRDefault="00DD587F" w:rsidP="009431FF">
            <w:pPr>
              <w:rPr>
                <w:rFonts w:eastAsia="Times New Roman"/>
                <w:szCs w:val="24"/>
                <w:lang w:eastAsia="tr-TR"/>
              </w:rPr>
            </w:pPr>
            <w:r w:rsidRPr="00A23740">
              <w:rPr>
                <w:rFonts w:eastAsia="Times New Roman"/>
                <w:szCs w:val="24"/>
                <w:lang w:eastAsia="tr-TR"/>
              </w:rPr>
              <w:tab/>
            </w:r>
            <w:r w:rsidR="00653581" w:rsidRPr="002144D4">
              <w:t>Altıncı</w:t>
            </w:r>
            <w:r w:rsidR="00653581" w:rsidRPr="00A23740">
              <w:rPr>
                <w:rFonts w:eastAsia="Times New Roman"/>
                <w:color w:val="70AD47"/>
                <w:szCs w:val="24"/>
                <w:lang w:eastAsia="tr-TR"/>
              </w:rPr>
              <w:t xml:space="preserve"> </w:t>
            </w:r>
            <w:r w:rsidRPr="00A23740">
              <w:rPr>
                <w:rFonts w:eastAsia="Times New Roman"/>
                <w:szCs w:val="24"/>
                <w:lang w:eastAsia="tr-TR"/>
              </w:rPr>
              <w:t xml:space="preserve">fıkrayla, </w:t>
            </w:r>
            <w:r w:rsidR="003844C4" w:rsidRPr="00A23740">
              <w:rPr>
                <w:rFonts w:eastAsia="Times New Roman"/>
                <w:szCs w:val="24"/>
                <w:lang w:eastAsia="tr-TR"/>
              </w:rPr>
              <w:t xml:space="preserve">elektronik </w:t>
            </w:r>
            <w:r w:rsidRPr="00A23740">
              <w:rPr>
                <w:rFonts w:eastAsia="Times New Roman"/>
                <w:szCs w:val="24"/>
                <w:lang w:eastAsia="tr-TR"/>
              </w:rPr>
              <w:t>ortamda yapılan işlemlerde süre</w:t>
            </w:r>
            <w:r w:rsidR="003844C4" w:rsidRPr="00A23740">
              <w:rPr>
                <w:rFonts w:eastAsia="Times New Roman"/>
                <w:szCs w:val="24"/>
                <w:lang w:eastAsia="tr-TR"/>
              </w:rPr>
              <w:t>nin gün sonunda biteceği düzenlenmek suretiyle oluşabilecek tereddütlerin önlenmesi amaçlanmaktadır</w:t>
            </w:r>
            <w:r w:rsidRPr="00A23740">
              <w:rPr>
                <w:rFonts w:eastAsia="Times New Roman"/>
                <w:szCs w:val="24"/>
                <w:lang w:eastAsia="tr-TR"/>
              </w:rPr>
              <w:t>.</w:t>
            </w:r>
          </w:p>
          <w:p w:rsidR="00B430CF" w:rsidRPr="00A23740" w:rsidRDefault="003844C4" w:rsidP="009431FF">
            <w:r w:rsidRPr="00A23740">
              <w:tab/>
            </w:r>
            <w:r w:rsidR="00653581" w:rsidRPr="002144D4">
              <w:t>Yedinci</w:t>
            </w:r>
            <w:r w:rsidR="00653581" w:rsidRPr="00A23740">
              <w:rPr>
                <w:rFonts w:eastAsia="Times New Roman"/>
                <w:color w:val="70AD47"/>
                <w:szCs w:val="24"/>
                <w:lang w:eastAsia="tr-TR"/>
              </w:rPr>
              <w:t xml:space="preserve"> </w:t>
            </w:r>
            <w:r w:rsidRPr="00A23740">
              <w:t>fıkrayla, Adalet Bakanlığına</w:t>
            </w:r>
            <w:r w:rsidR="00160811" w:rsidRPr="00A23740">
              <w:t xml:space="preserve"> bu maddenin uygulanması konusunda</w:t>
            </w:r>
            <w:r w:rsidRPr="00A23740">
              <w:t xml:space="preserve"> </w:t>
            </w:r>
            <w:r w:rsidR="00160811" w:rsidRPr="00A23740">
              <w:t xml:space="preserve">yönetmelik </w:t>
            </w:r>
            <w:r w:rsidR="00E7584F" w:rsidRPr="00A23740">
              <w:t>çıkarma yetkisi verilmektedir.</w:t>
            </w:r>
          </w:p>
          <w:p w:rsidR="00CB1F4A" w:rsidRPr="00A23740" w:rsidRDefault="00CB1F4A" w:rsidP="009431FF">
            <w:pPr>
              <w:pStyle w:val="Mavi"/>
              <w:ind w:firstLine="709"/>
              <w:rPr>
                <w:color w:val="auto"/>
                <w:lang w:val="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Style w:val="KIRMIZIChar"/>
                <w:rFonts w:eastAsia="Calibri"/>
              </w:rPr>
            </w:pPr>
            <w:r w:rsidRPr="00A23740">
              <w:rPr>
                <w:rStyle w:val="KIRMIZIChar"/>
                <w:rFonts w:eastAsia="Calibri"/>
              </w:rPr>
              <w:t>Elektronik işlemler</w:t>
            </w:r>
          </w:p>
          <w:p w:rsidR="00155AF4" w:rsidRPr="00A23740" w:rsidRDefault="00155AF4" w:rsidP="009431FF">
            <w:pPr>
              <w:rPr>
                <w:rFonts w:eastAsia="Times New Roman"/>
                <w:szCs w:val="24"/>
                <w:lang w:eastAsia="tr-TR"/>
              </w:rPr>
            </w:pPr>
            <w:r w:rsidRPr="00A23740">
              <w:rPr>
                <w:rStyle w:val="KIRMIZIChar"/>
                <w:rFonts w:eastAsia="Calibri"/>
              </w:rPr>
              <w:t>Madde 8/a – (1) (Ek</w:t>
            </w:r>
            <w:r w:rsidRPr="00A23740">
              <w:rPr>
                <w:rFonts w:eastAsia="Times New Roman"/>
                <w:b/>
                <w:strike/>
                <w:color w:val="FF0000"/>
                <w:szCs w:val="24"/>
                <w:lang w:eastAsia="tr-TR"/>
              </w:rPr>
              <w:t>: 2/7/2012-6352/3 md.)</w:t>
            </w:r>
          </w:p>
          <w:p w:rsidR="00155AF4" w:rsidRPr="00A23740" w:rsidRDefault="00155AF4" w:rsidP="009431FF">
            <w:pPr>
              <w:rPr>
                <w:rFonts w:eastAsia="Times New Roman"/>
                <w:szCs w:val="24"/>
                <w:lang w:eastAsia="tr-TR"/>
              </w:rPr>
            </w:pPr>
            <w:r w:rsidRPr="00A23740">
              <w:rPr>
                <w:rFonts w:eastAsia="Times New Roman"/>
                <w:b/>
                <w:strike/>
                <w:color w:val="FF0000"/>
                <w:szCs w:val="24"/>
                <w:lang w:eastAsia="tr-TR"/>
              </w:rPr>
              <w:t>(6) (Ek fıkra:6/12/2018-7155/10 md.)</w:t>
            </w:r>
            <w:r w:rsidRPr="00A23740">
              <w:rPr>
                <w:rFonts w:eastAsia="Times New Roman"/>
                <w:szCs w:val="24"/>
                <w:lang w:eastAsia="tr-TR"/>
              </w:rPr>
              <w:t xml:space="preserve"> Alacaklı, Ulusal Yargı Ağı Bilişim Sistemi üzerinden bu sisteme entegre bilişim sistemleri vasıtasıyla dosya safahat bilgileri ile borçlunun mal, hak veya alacağını </w:t>
            </w:r>
            <w:r w:rsidRPr="00A23740">
              <w:rPr>
                <w:rStyle w:val="KIRMIZIChar"/>
                <w:rFonts w:eastAsia="Calibri"/>
              </w:rPr>
              <w:lastRenderedPageBreak/>
              <w:t>elli kuruş</w:t>
            </w:r>
            <w:r w:rsidRPr="00A23740">
              <w:rPr>
                <w:rFonts w:eastAsia="Times New Roman"/>
                <w:szCs w:val="24"/>
                <w:lang w:eastAsia="tr-TR"/>
              </w:rPr>
              <w:t xml:space="preserve"> karşılığında sorgulayabilir </w:t>
            </w:r>
            <w:r w:rsidRPr="00A23740">
              <w:rPr>
                <w:rFonts w:eastAsia="Times New Roman"/>
                <w:b/>
                <w:strike/>
                <w:color w:val="FF0000"/>
                <w:szCs w:val="24"/>
                <w:lang w:eastAsia="tr-TR"/>
              </w:rPr>
              <w:t>(…)</w:t>
            </w:r>
            <w:r w:rsidRPr="00A23740">
              <w:rPr>
                <w:rFonts w:eastAsia="Times New Roman"/>
                <w:szCs w:val="24"/>
                <w:lang w:eastAsia="tr-TR"/>
              </w:rPr>
              <w:t xml:space="preserve">. </w:t>
            </w:r>
            <w:r w:rsidRPr="00A23740">
              <w:rPr>
                <w:rStyle w:val="KIRMIZIChar"/>
                <w:rFonts w:eastAsia="Calibri"/>
                <w:lang w:eastAsia="tr-TR"/>
              </w:rPr>
              <w:t>Bu</w:t>
            </w:r>
            <w:r w:rsidRPr="00A23740">
              <w:rPr>
                <w:rFonts w:eastAsia="Times New Roman"/>
                <w:szCs w:val="24"/>
                <w:lang w:eastAsia="tr-TR"/>
              </w:rPr>
              <w:t xml:space="preserve"> </w:t>
            </w:r>
            <w:r w:rsidRPr="00A23740">
              <w:rPr>
                <w:rStyle w:val="KIRMIZIChar"/>
                <w:rFonts w:eastAsia="Calibri"/>
              </w:rPr>
              <w:t>miktar</w:t>
            </w:r>
            <w:r w:rsidRPr="00A23740">
              <w:rPr>
                <w:rFonts w:eastAsia="Times New Roman"/>
                <w:szCs w:val="24"/>
                <w:lang w:eastAsia="tr-TR"/>
              </w:rPr>
              <w:t xml:space="preserve"> her yıl, bir önceki yıla ilişkin olarak 4/1/1961 tarihli ve 213 sayılı Vergi Usul Kanununun mükerrer 298 inci maddesi hükümleri uyarınca tespit ve ilan edilen yeniden değerleme oranında artırılır. Adalet Bakanlığı yeniden değerleme oranında artırılan ücreti beş katına kadar artırmaya ve azaltmaya ayrıca gün ve dosya esaslı olmak üzere belirli sayıdaki sorgulamayı ücretten istisna tutmaya yetkilidir. Genel yönetim kapsamındaki kamu idarelerinden bu ücret alınmayacağı gibi alacaklının bir gün içinde aynı dosya üzerinden beş kez yapacağı sorgudan da ücret alınmaz. Bu kapsamda alınacak ücret Adalet Bakanlığının belirleyeceği usule göre tahsil edilir ve takip gideri olarak borçluya yüklenemez.</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b/>
                <w:szCs w:val="24"/>
                <w:lang w:eastAsia="tr-TR"/>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Mavi"/>
              <w:rPr>
                <w:rFonts w:eastAsia="Times New Roman"/>
                <w:lang w:eastAsia="tr-TR"/>
              </w:rPr>
            </w:pPr>
            <w:r w:rsidRPr="00A23740">
              <w:lastRenderedPageBreak/>
              <w:t>Sorgulama</w:t>
            </w:r>
          </w:p>
          <w:p w:rsidR="00155AF4" w:rsidRPr="00A23740" w:rsidRDefault="00155AF4" w:rsidP="009431FF">
            <w:pPr>
              <w:pStyle w:val="Mavi"/>
              <w:rPr>
                <w:rFonts w:eastAsia="Times New Roman"/>
                <w:b w:val="0"/>
                <w:bCs w:val="0"/>
                <w:color w:val="auto"/>
                <w:lang w:val="tr-TR" w:eastAsia="tr-TR"/>
              </w:rPr>
            </w:pPr>
            <w:r w:rsidRPr="00A23740">
              <w:rPr>
                <w:rStyle w:val="YELChar"/>
                <w:rFonts w:eastAsia="Calibri"/>
                <w:b/>
                <w:color w:val="0000FF"/>
                <w:lang w:eastAsia="x-none"/>
              </w:rPr>
              <w:t>MADDE 47- (1)</w:t>
            </w:r>
            <w:r w:rsidRPr="00A23740">
              <w:t xml:space="preserve"> </w:t>
            </w:r>
            <w:r w:rsidRPr="00A23740">
              <w:rPr>
                <w:rFonts w:eastAsia="Times New Roman"/>
                <w:b w:val="0"/>
                <w:bCs w:val="0"/>
                <w:color w:val="auto"/>
                <w:lang w:val="tr-TR" w:eastAsia="tr-TR"/>
              </w:rPr>
              <w:t xml:space="preserve">Alacaklı, </w:t>
            </w:r>
            <w:r w:rsidRPr="00A23740">
              <w:t>UYAP</w:t>
            </w:r>
            <w:r w:rsidRPr="00A23740">
              <w:rPr>
                <w:rFonts w:eastAsia="Times New Roman"/>
                <w:b w:val="0"/>
                <w:bCs w:val="0"/>
                <w:color w:val="auto"/>
                <w:lang w:val="tr-TR" w:eastAsia="tr-TR"/>
              </w:rPr>
              <w:t xml:space="preserve"> üzerinden bu sisteme entegre bilişim sistemleri vasıtasıyla dosya safahat bilgileri ile</w:t>
            </w:r>
            <w:r w:rsidRPr="00A23740">
              <w:rPr>
                <w:rFonts w:eastAsia="Times New Roman"/>
                <w:lang w:eastAsia="tr-TR"/>
              </w:rPr>
              <w:t xml:space="preserve"> </w:t>
            </w:r>
            <w:r w:rsidR="00455130" w:rsidRPr="002144D4">
              <w:rPr>
                <w:rFonts w:eastAsia="Times New Roman"/>
                <w:b w:val="0"/>
                <w:bCs w:val="0"/>
                <w:color w:val="auto"/>
                <w:lang w:val="tr-TR" w:eastAsia="tr-TR"/>
              </w:rPr>
              <w:t>56</w:t>
            </w:r>
            <w:r w:rsidR="00455130" w:rsidRPr="00A23740">
              <w:rPr>
                <w:rFonts w:eastAsia="Times New Roman"/>
                <w:lang w:val="tr-TR" w:eastAsia="tr-TR"/>
              </w:rPr>
              <w:t xml:space="preserve"> </w:t>
            </w:r>
            <w:r w:rsidRPr="00A23740">
              <w:t xml:space="preserve">ve </w:t>
            </w:r>
            <w:r w:rsidR="00455130" w:rsidRPr="002144D4">
              <w:rPr>
                <w:rFonts w:eastAsia="Times New Roman"/>
                <w:b w:val="0"/>
                <w:bCs w:val="0"/>
                <w:color w:val="auto"/>
                <w:lang w:val="tr-TR" w:eastAsia="tr-TR"/>
              </w:rPr>
              <w:t>443</w:t>
            </w:r>
            <w:r w:rsidR="00455130" w:rsidRPr="00A23740">
              <w:rPr>
                <w:rStyle w:val="KonuBalChar"/>
                <w:rFonts w:eastAsia="Calibri"/>
                <w:b/>
              </w:rPr>
              <w:t xml:space="preserve"> </w:t>
            </w:r>
            <w:r w:rsidR="00455130" w:rsidRPr="002144D4">
              <w:rPr>
                <w:rFonts w:eastAsia="Times New Roman"/>
                <w:b w:val="0"/>
                <w:bCs w:val="0"/>
                <w:color w:val="auto"/>
                <w:lang w:val="tr-TR" w:eastAsia="tr-TR"/>
              </w:rPr>
              <w:t>üncü</w:t>
            </w:r>
            <w:r w:rsidR="00455130" w:rsidRPr="00A23740">
              <w:rPr>
                <w:lang w:val="tr-TR"/>
              </w:rPr>
              <w:t xml:space="preserve"> </w:t>
            </w:r>
            <w:r w:rsidRPr="00A23740">
              <w:t>maddelerdeki esaslar çerçevesinde</w:t>
            </w:r>
            <w:r w:rsidRPr="00A23740">
              <w:rPr>
                <w:rStyle w:val="MaviChar"/>
              </w:rPr>
              <w:t xml:space="preserve"> </w:t>
            </w:r>
            <w:r w:rsidRPr="00A23740">
              <w:rPr>
                <w:rFonts w:eastAsia="Times New Roman"/>
                <w:b w:val="0"/>
                <w:bCs w:val="0"/>
                <w:color w:val="auto"/>
                <w:lang w:val="tr-TR" w:eastAsia="tr-TR"/>
              </w:rPr>
              <w:t xml:space="preserve">borçlunun mal, hak veya alacağını </w:t>
            </w:r>
            <w:r w:rsidRPr="00A23740">
              <w:t xml:space="preserve">bir Türk </w:t>
            </w:r>
            <w:r w:rsidR="00455130" w:rsidRPr="00A23740">
              <w:rPr>
                <w:lang w:val="tr-TR"/>
              </w:rPr>
              <w:t>l</w:t>
            </w:r>
            <w:r w:rsidRPr="00A23740">
              <w:t>irası</w:t>
            </w:r>
            <w:r w:rsidRPr="00A23740">
              <w:rPr>
                <w:rFonts w:eastAsia="Times New Roman"/>
                <w:b w:val="0"/>
                <w:bCs w:val="0"/>
                <w:color w:val="auto"/>
                <w:lang w:val="tr-TR" w:eastAsia="tr-TR"/>
              </w:rPr>
              <w:t xml:space="preserve"> karşılığında sorgulayabilir.</w:t>
            </w:r>
          </w:p>
          <w:p w:rsidR="00155AF4" w:rsidRPr="00A23740" w:rsidRDefault="00155AF4" w:rsidP="009431FF">
            <w:pPr>
              <w:rPr>
                <w:rStyle w:val="StilKrmzChar"/>
                <w:rFonts w:eastAsia="Calibri"/>
              </w:rPr>
            </w:pPr>
          </w:p>
          <w:p w:rsidR="00155AF4" w:rsidRPr="00A23740" w:rsidRDefault="00155AF4" w:rsidP="009431FF">
            <w:pPr>
              <w:rPr>
                <w:rFonts w:eastAsia="Times New Roman"/>
                <w:szCs w:val="24"/>
                <w:lang w:eastAsia="tr-TR"/>
              </w:rPr>
            </w:pPr>
            <w:r w:rsidRPr="00A23740">
              <w:rPr>
                <w:rStyle w:val="MaviChar"/>
              </w:rPr>
              <w:t>(2)</w:t>
            </w:r>
            <w:r w:rsidRPr="00A23740">
              <w:rPr>
                <w:rStyle w:val="StilKrmzChar"/>
                <w:rFonts w:eastAsia="Calibri"/>
                <w:strike w:val="0"/>
                <w:lang w:val="tr-TR"/>
              </w:rPr>
              <w:t xml:space="preserve"> </w:t>
            </w:r>
            <w:r w:rsidRPr="00A23740">
              <w:rPr>
                <w:rStyle w:val="MaviChar"/>
              </w:rPr>
              <w:t>Birinci fıkrada belirtilen</w:t>
            </w:r>
            <w:r w:rsidRPr="00A23740">
              <w:rPr>
                <w:rFonts w:eastAsia="Times New Roman"/>
                <w:szCs w:val="24"/>
                <w:lang w:eastAsia="tr-TR"/>
              </w:rPr>
              <w:t xml:space="preserve"> </w:t>
            </w:r>
            <w:r w:rsidRPr="00A23740">
              <w:rPr>
                <w:rStyle w:val="MaviChar"/>
              </w:rPr>
              <w:t>tutar</w:t>
            </w:r>
            <w:r w:rsidRPr="00A23740">
              <w:rPr>
                <w:rFonts w:eastAsia="Times New Roman"/>
                <w:szCs w:val="24"/>
                <w:lang w:eastAsia="tr-TR"/>
              </w:rPr>
              <w:t xml:space="preserve"> her yıl, bir önceki yıla ilişkin olarak 4/1/1961 tarihli ve 213 sayılı Vergi Usul Kanununun mükerrer 298 inci maddesi hükümleri uyarınca tespit ve ilan edilen yeniden değerleme oranında artırılır. Adalet Bakanlığı yeniden değerleme oranında artırılan ücreti beş katına kadar artırmaya ve azaltmaya ayrıca gün ve dosya esaslı olmak üzere belirli sayıdaki sorgulamayı ücretten istisna tutmaya yetkilidir. Genel yönetim kapsamındaki kamu idarelerinden bu ücret alınmayacağı gibi alacaklının bir gün içinde aynı dosya üzerinden beş kez yapacağı sorgudan da ücret alınmaz. </w:t>
            </w:r>
          </w:p>
          <w:p w:rsidR="00155AF4" w:rsidRDefault="00155AF4" w:rsidP="009431FF">
            <w:pPr>
              <w:rPr>
                <w:rFonts w:eastAsia="Times New Roman"/>
                <w:szCs w:val="24"/>
                <w:lang w:eastAsia="tr-TR"/>
              </w:rPr>
            </w:pPr>
          </w:p>
          <w:p w:rsidR="002060A9" w:rsidRPr="00A23740" w:rsidRDefault="002060A9" w:rsidP="009431FF">
            <w:pPr>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MaviChar"/>
              </w:rPr>
              <w:t>(3) Sorgulama</w:t>
            </w:r>
            <w:r w:rsidRPr="00A23740">
              <w:rPr>
                <w:rStyle w:val="YELChar"/>
              </w:rPr>
              <w:t xml:space="preserve"> </w:t>
            </w:r>
            <w:r w:rsidRPr="00A23740">
              <w:rPr>
                <w:rFonts w:eastAsia="Times New Roman"/>
                <w:szCs w:val="24"/>
                <w:lang w:eastAsia="tr-TR"/>
              </w:rPr>
              <w:t>kapsam</w:t>
            </w:r>
            <w:r w:rsidRPr="00A23740">
              <w:rPr>
                <w:rStyle w:val="MaviChar"/>
              </w:rPr>
              <w:t>ın</w:t>
            </w:r>
            <w:r w:rsidRPr="00A23740">
              <w:rPr>
                <w:rFonts w:eastAsia="Times New Roman"/>
                <w:lang w:eastAsia="tr-TR"/>
              </w:rPr>
              <w:t>da</w:t>
            </w:r>
            <w:r w:rsidRPr="00A23740">
              <w:rPr>
                <w:rFonts w:eastAsia="Times New Roman"/>
                <w:b/>
                <w:lang w:eastAsia="tr-TR"/>
              </w:rPr>
              <w:t xml:space="preserve"> </w:t>
            </w:r>
            <w:r w:rsidRPr="00A23740">
              <w:rPr>
                <w:rFonts w:eastAsia="Times New Roman"/>
                <w:szCs w:val="24"/>
                <w:lang w:eastAsia="tr-TR"/>
              </w:rPr>
              <w:t>alınacak ücret</w:t>
            </w:r>
            <w:r w:rsidR="00302A76" w:rsidRPr="00A23740">
              <w:rPr>
                <w:rFonts w:eastAsia="Times New Roman"/>
                <w:szCs w:val="24"/>
                <w:lang w:eastAsia="tr-TR"/>
              </w:rPr>
              <w:t>,</w:t>
            </w:r>
            <w:r w:rsidRPr="00A23740">
              <w:rPr>
                <w:rFonts w:eastAsia="Times New Roman"/>
                <w:szCs w:val="24"/>
                <w:lang w:eastAsia="tr-TR"/>
              </w:rPr>
              <w:t xml:space="preserve"> Adalet</w:t>
            </w:r>
            <w:r w:rsidR="00653581" w:rsidRPr="00A23740">
              <w:rPr>
                <w:rFonts w:eastAsia="Times New Roman"/>
                <w:szCs w:val="24"/>
                <w:lang w:eastAsia="tr-TR"/>
              </w:rPr>
              <w:t xml:space="preserve"> </w:t>
            </w:r>
            <w:r w:rsidR="00653581" w:rsidRPr="002144D4">
              <w:rPr>
                <w:rFonts w:eastAsia="Times New Roman"/>
                <w:b/>
                <w:bCs/>
                <w:color w:val="0000FF"/>
                <w:szCs w:val="24"/>
                <w:lang w:eastAsia="tr-TR"/>
              </w:rPr>
              <w:t>Bakanlığınca</w:t>
            </w:r>
            <w:r w:rsidRPr="00A23740">
              <w:rPr>
                <w:rFonts w:eastAsia="Times New Roman"/>
                <w:color w:val="70AD47"/>
                <w:szCs w:val="24"/>
                <w:lang w:eastAsia="tr-TR"/>
              </w:rPr>
              <w:t xml:space="preserve"> </w:t>
            </w:r>
            <w:r w:rsidR="00302A76" w:rsidRPr="00A23740">
              <w:rPr>
                <w:rFonts w:eastAsia="Times New Roman"/>
                <w:szCs w:val="24"/>
                <w:lang w:eastAsia="tr-TR"/>
              </w:rPr>
              <w:t xml:space="preserve">elektronik işlemlerin </w:t>
            </w:r>
            <w:r w:rsidR="00302A76" w:rsidRPr="00A23740">
              <w:rPr>
                <w:rStyle w:val="MaviChar"/>
              </w:rPr>
              <w:t>UYAP</w:t>
            </w:r>
            <w:r w:rsidR="00302A76" w:rsidRPr="00A23740">
              <w:rPr>
                <w:rFonts w:eastAsia="Times New Roman"/>
                <w:szCs w:val="24"/>
                <w:lang w:eastAsia="tr-TR"/>
              </w:rPr>
              <w:t xml:space="preserve"> vasıtasıyla yapılmasına dair usul ve esaslara ilişkin yönetmelikte</w:t>
            </w:r>
            <w:r w:rsidRPr="00A23740">
              <w:rPr>
                <w:rFonts w:eastAsia="Times New Roman"/>
                <w:szCs w:val="24"/>
                <w:lang w:eastAsia="tr-TR"/>
              </w:rPr>
              <w:t xml:space="preserve"> </w:t>
            </w:r>
            <w:r w:rsidR="00653581" w:rsidRPr="002144D4">
              <w:rPr>
                <w:rFonts w:eastAsia="Times New Roman"/>
                <w:b/>
                <w:bCs/>
                <w:color w:val="0000FF"/>
                <w:szCs w:val="24"/>
                <w:lang w:eastAsia="tr-TR"/>
              </w:rPr>
              <w:t>belirlenecek</w:t>
            </w:r>
            <w:r w:rsidR="00653581" w:rsidRPr="00A23740">
              <w:rPr>
                <w:rFonts w:eastAsia="Times New Roman"/>
                <w:color w:val="70AD47"/>
                <w:szCs w:val="24"/>
                <w:lang w:eastAsia="tr-TR"/>
              </w:rPr>
              <w:t xml:space="preserve"> </w:t>
            </w:r>
            <w:r w:rsidR="00302A76" w:rsidRPr="00A23740">
              <w:rPr>
                <w:rFonts w:eastAsia="Times New Roman"/>
                <w:szCs w:val="24"/>
                <w:lang w:eastAsia="tr-TR"/>
              </w:rPr>
              <w:t>yönteme</w:t>
            </w:r>
            <w:r w:rsidRPr="00A23740">
              <w:rPr>
                <w:rFonts w:eastAsia="Times New Roman"/>
                <w:szCs w:val="24"/>
                <w:lang w:eastAsia="tr-TR"/>
              </w:rPr>
              <w:t xml:space="preserve"> göre tahsil edilir ve takip gideri olarak borçluya yüklenemez.</w:t>
            </w:r>
          </w:p>
          <w:p w:rsidR="00155AF4" w:rsidRPr="00A23740" w:rsidRDefault="00155AF4" w:rsidP="009431FF">
            <w:pPr>
              <w:autoSpaceDE w:val="0"/>
              <w:autoSpaceDN w:val="0"/>
              <w:adjustRightInd w:val="0"/>
              <w:rPr>
                <w:b/>
                <w:bCs/>
                <w:color w:val="0000FF"/>
                <w:szCs w:val="24"/>
              </w:rPr>
            </w:pPr>
          </w:p>
        </w:tc>
      </w:tr>
      <w:tr w:rsidR="00B430CF"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B430CF" w:rsidRPr="00A23740" w:rsidRDefault="00B430CF" w:rsidP="009431FF">
            <w:pPr>
              <w:pStyle w:val="Mavi"/>
              <w:ind w:firstLine="709"/>
              <w:rPr>
                <w:color w:val="auto"/>
                <w:lang w:val="tr-TR"/>
              </w:rPr>
            </w:pPr>
          </w:p>
          <w:p w:rsidR="007625A5" w:rsidRPr="00A23740" w:rsidRDefault="00B430CF" w:rsidP="009431FF">
            <w:pPr>
              <w:pStyle w:val="Mavi"/>
              <w:ind w:firstLine="709"/>
              <w:rPr>
                <w:b w:val="0"/>
                <w:color w:val="auto"/>
                <w:lang w:val="tr-TR"/>
              </w:rPr>
            </w:pPr>
            <w:r w:rsidRPr="00A23740">
              <w:rPr>
                <w:color w:val="auto"/>
                <w:lang w:val="tr-TR"/>
              </w:rPr>
              <w:t xml:space="preserve">MADDE 47- </w:t>
            </w:r>
            <w:r w:rsidR="007625A5" w:rsidRPr="00A23740">
              <w:rPr>
                <w:b w:val="0"/>
                <w:color w:val="auto"/>
                <w:lang w:val="tr-TR"/>
              </w:rPr>
              <w:t xml:space="preserve">Maddeyle, UYAP’ta yapılacak sorgulamalara ilişkin hususlar düzenlenmektedir. Madde, 2004 sayılı Kanunun 8/a maddesinin altıncı fıkrasına karşılık gelmektedir. </w:t>
            </w:r>
          </w:p>
          <w:p w:rsidR="00C540B0" w:rsidRPr="00A23740" w:rsidRDefault="007625A5" w:rsidP="009431FF">
            <w:pPr>
              <w:pStyle w:val="Mavi"/>
              <w:ind w:firstLine="709"/>
              <w:rPr>
                <w:b w:val="0"/>
                <w:color w:val="auto"/>
                <w:lang w:val="tr-TR"/>
              </w:rPr>
            </w:pPr>
            <w:r w:rsidRPr="00A23740">
              <w:rPr>
                <w:b w:val="0"/>
                <w:color w:val="auto"/>
                <w:lang w:val="tr-TR"/>
              </w:rPr>
              <w:t>Birinci fıkrayla, a</w:t>
            </w:r>
            <w:r w:rsidR="00C540B0" w:rsidRPr="00A23740">
              <w:rPr>
                <w:b w:val="0"/>
                <w:color w:val="auto"/>
                <w:lang w:val="tr-TR"/>
              </w:rPr>
              <w:t>lacaklıya</w:t>
            </w:r>
            <w:r w:rsidRPr="00A23740">
              <w:rPr>
                <w:b w:val="0"/>
                <w:color w:val="auto"/>
                <w:lang w:val="tr-TR"/>
              </w:rPr>
              <w:t xml:space="preserve"> UYAP üzerinden bu sisteme entegre bilişim sistemleri vasıtasıyla dosya safahat bilgileri ile Kanunun </w:t>
            </w:r>
            <w:r w:rsidR="00455130" w:rsidRPr="002144D4">
              <w:rPr>
                <w:b w:val="0"/>
                <w:color w:val="auto"/>
                <w:lang w:val="tr-TR"/>
              </w:rPr>
              <w:t>156</w:t>
            </w:r>
            <w:r w:rsidR="00455130" w:rsidRPr="00A23740">
              <w:rPr>
                <w:rFonts w:eastAsia="Times New Roman"/>
                <w:lang w:val="tr-TR" w:eastAsia="tr-TR"/>
              </w:rPr>
              <w:t xml:space="preserve"> </w:t>
            </w:r>
            <w:r w:rsidRPr="00A23740">
              <w:rPr>
                <w:b w:val="0"/>
                <w:color w:val="auto"/>
                <w:lang w:val="tr-TR"/>
              </w:rPr>
              <w:t xml:space="preserve">ve </w:t>
            </w:r>
            <w:r w:rsidR="00455130" w:rsidRPr="002144D4">
              <w:rPr>
                <w:b w:val="0"/>
                <w:color w:val="auto"/>
                <w:lang w:val="tr-TR"/>
              </w:rPr>
              <w:t>443</w:t>
            </w:r>
            <w:r w:rsidR="00455130" w:rsidRPr="00A23740">
              <w:rPr>
                <w:rStyle w:val="KonuBalChar"/>
                <w:rFonts w:eastAsia="Calibri"/>
                <w:b/>
              </w:rPr>
              <w:t xml:space="preserve"> </w:t>
            </w:r>
            <w:r w:rsidR="00455130" w:rsidRPr="002144D4">
              <w:rPr>
                <w:b w:val="0"/>
                <w:color w:val="auto"/>
                <w:lang w:val="tr-TR"/>
              </w:rPr>
              <w:t>üncü</w:t>
            </w:r>
            <w:r w:rsidR="00455130" w:rsidRPr="00A23740">
              <w:rPr>
                <w:lang w:val="tr-TR"/>
              </w:rPr>
              <w:t xml:space="preserve"> </w:t>
            </w:r>
            <w:r w:rsidRPr="00A23740">
              <w:rPr>
                <w:b w:val="0"/>
                <w:color w:val="auto"/>
                <w:lang w:val="tr-TR"/>
              </w:rPr>
              <w:t>maddelerindeki esaslar çerçevesinde borçlunun ma</w:t>
            </w:r>
            <w:r w:rsidR="00455130" w:rsidRPr="00A23740">
              <w:rPr>
                <w:b w:val="0"/>
                <w:color w:val="auto"/>
                <w:lang w:val="tr-TR"/>
              </w:rPr>
              <w:t>l, hak veya alacağını bir Türk l</w:t>
            </w:r>
            <w:r w:rsidRPr="00A23740">
              <w:rPr>
                <w:b w:val="0"/>
                <w:color w:val="auto"/>
                <w:lang w:val="tr-TR"/>
              </w:rPr>
              <w:t>ir</w:t>
            </w:r>
            <w:r w:rsidR="00C540B0" w:rsidRPr="00A23740">
              <w:rPr>
                <w:b w:val="0"/>
                <w:color w:val="auto"/>
                <w:lang w:val="tr-TR"/>
              </w:rPr>
              <w:t>ası karş</w:t>
            </w:r>
            <w:r w:rsidR="00455130" w:rsidRPr="00A23740">
              <w:rPr>
                <w:b w:val="0"/>
                <w:color w:val="auto"/>
                <w:lang w:val="tr-TR"/>
              </w:rPr>
              <w:t>ılığında sorgulayabilmesine imkâ</w:t>
            </w:r>
            <w:r w:rsidR="00C540B0" w:rsidRPr="00A23740">
              <w:rPr>
                <w:b w:val="0"/>
                <w:color w:val="auto"/>
                <w:lang w:val="tr-TR"/>
              </w:rPr>
              <w:t xml:space="preserve">n verilmektedir. </w:t>
            </w:r>
            <w:r w:rsidR="00B430CF" w:rsidRPr="00A23740">
              <w:rPr>
                <w:b w:val="0"/>
                <w:color w:val="auto"/>
                <w:lang w:val="tr-TR"/>
              </w:rPr>
              <w:t>Alacaklıya</w:t>
            </w:r>
            <w:r w:rsidR="00762500" w:rsidRPr="00A23740">
              <w:rPr>
                <w:b w:val="0"/>
                <w:color w:val="auto"/>
                <w:lang w:val="tr-TR"/>
              </w:rPr>
              <w:t xml:space="preserve"> verilen sorgulama hakkı</w:t>
            </w:r>
            <w:r w:rsidR="00C540B0" w:rsidRPr="00A23740">
              <w:rPr>
                <w:b w:val="0"/>
                <w:color w:val="auto"/>
                <w:lang w:val="tr-TR"/>
              </w:rPr>
              <w:t xml:space="preserve">, </w:t>
            </w:r>
            <w:r w:rsidR="00B430CF" w:rsidRPr="00A23740">
              <w:rPr>
                <w:b w:val="0"/>
                <w:color w:val="auto"/>
                <w:lang w:val="tr-TR"/>
              </w:rPr>
              <w:t xml:space="preserve">önemli </w:t>
            </w:r>
            <w:r w:rsidR="00C540B0" w:rsidRPr="00A23740">
              <w:rPr>
                <w:b w:val="0"/>
                <w:color w:val="auto"/>
                <w:lang w:val="tr-TR"/>
              </w:rPr>
              <w:t xml:space="preserve">görüldüğünden 2004 sayılı Kanundan farklı olarak </w:t>
            </w:r>
            <w:r w:rsidR="00B430CF" w:rsidRPr="00A23740">
              <w:rPr>
                <w:b w:val="0"/>
                <w:color w:val="auto"/>
                <w:lang w:val="tr-TR"/>
              </w:rPr>
              <w:t>ayrı bir maddede</w:t>
            </w:r>
            <w:r w:rsidR="00C540B0" w:rsidRPr="00A23740">
              <w:rPr>
                <w:b w:val="0"/>
                <w:color w:val="auto"/>
                <w:lang w:val="tr-TR"/>
              </w:rPr>
              <w:t xml:space="preserve"> düzenlenmektedir.</w:t>
            </w:r>
            <w:r w:rsidR="00B430CF" w:rsidRPr="00A23740">
              <w:rPr>
                <w:b w:val="0"/>
                <w:color w:val="auto"/>
                <w:lang w:val="tr-TR"/>
              </w:rPr>
              <w:t xml:space="preserve"> Madde büyük ölçüde eski düzenlemeyi karşıl</w:t>
            </w:r>
            <w:r w:rsidR="00C540B0" w:rsidRPr="00A23740">
              <w:rPr>
                <w:b w:val="0"/>
                <w:color w:val="auto"/>
                <w:lang w:val="tr-TR"/>
              </w:rPr>
              <w:t>amakla birlikte, hükümde</w:t>
            </w:r>
            <w:r w:rsidR="00B430CF" w:rsidRPr="00A23740">
              <w:rPr>
                <w:b w:val="0"/>
                <w:color w:val="auto"/>
                <w:lang w:val="tr-TR"/>
              </w:rPr>
              <w:t xml:space="preserve"> sorgulamanın hangi şartlarda ve nasıl yapılacağının düzenlendiği iki ayrı maddeye (</w:t>
            </w:r>
            <w:r w:rsidR="00455130" w:rsidRPr="002144D4">
              <w:rPr>
                <w:b w:val="0"/>
                <w:color w:val="auto"/>
                <w:lang w:val="tr-TR"/>
              </w:rPr>
              <w:t>156</w:t>
            </w:r>
            <w:r w:rsidR="00455130" w:rsidRPr="00A23740">
              <w:rPr>
                <w:rFonts w:eastAsia="Times New Roman"/>
                <w:lang w:val="tr-TR" w:eastAsia="tr-TR"/>
              </w:rPr>
              <w:t xml:space="preserve"> </w:t>
            </w:r>
            <w:r w:rsidR="00B430CF" w:rsidRPr="00A23740">
              <w:rPr>
                <w:b w:val="0"/>
                <w:color w:val="auto"/>
                <w:lang w:val="tr-TR"/>
              </w:rPr>
              <w:t xml:space="preserve">ve </w:t>
            </w:r>
            <w:r w:rsidR="00455130" w:rsidRPr="002144D4">
              <w:rPr>
                <w:b w:val="0"/>
                <w:color w:val="auto"/>
                <w:lang w:val="tr-TR"/>
              </w:rPr>
              <w:t>443</w:t>
            </w:r>
            <w:r w:rsidR="00455130" w:rsidRPr="00A23740">
              <w:rPr>
                <w:rStyle w:val="KonuBalChar"/>
                <w:rFonts w:eastAsia="Calibri"/>
                <w:b/>
              </w:rPr>
              <w:t xml:space="preserve"> </w:t>
            </w:r>
            <w:r w:rsidR="00455130" w:rsidRPr="002144D4">
              <w:rPr>
                <w:b w:val="0"/>
                <w:color w:val="auto"/>
                <w:lang w:val="tr-TR"/>
              </w:rPr>
              <w:t>üncü</w:t>
            </w:r>
            <w:r w:rsidR="00455130" w:rsidRPr="00A23740">
              <w:rPr>
                <w:lang w:val="tr-TR"/>
              </w:rPr>
              <w:t xml:space="preserve"> </w:t>
            </w:r>
            <w:r w:rsidR="00B430CF" w:rsidRPr="00A23740">
              <w:rPr>
                <w:b w:val="0"/>
                <w:color w:val="auto"/>
                <w:lang w:val="tr-TR"/>
              </w:rPr>
              <w:t xml:space="preserve">) açıkça atıf yapılması </w:t>
            </w:r>
            <w:r w:rsidR="00C540B0" w:rsidRPr="00A23740">
              <w:rPr>
                <w:b w:val="0"/>
                <w:color w:val="auto"/>
                <w:lang w:val="tr-TR"/>
              </w:rPr>
              <w:t>kabul edilmektedir</w:t>
            </w:r>
            <w:r w:rsidR="00B430CF" w:rsidRPr="00A23740">
              <w:rPr>
                <w:b w:val="0"/>
                <w:color w:val="auto"/>
                <w:lang w:val="tr-TR"/>
              </w:rPr>
              <w:t>.</w:t>
            </w:r>
            <w:r w:rsidR="00302A76" w:rsidRPr="00A23740">
              <w:rPr>
                <w:b w:val="0"/>
                <w:color w:val="auto"/>
                <w:lang w:val="tr-TR"/>
              </w:rPr>
              <w:t xml:space="preserve"> Bu sayede, yapılacak olan sorgulamanın ne şekilde yapılacağı kanunda açık şekilde düzenlenmiş olmaktadır. Böyle bir düzenlemeye mutlaka ihtiyaç vardır, zira alacaklının</w:t>
            </w:r>
            <w:r w:rsidR="00C540B0" w:rsidRPr="00A23740">
              <w:rPr>
                <w:b w:val="0"/>
                <w:color w:val="auto"/>
                <w:lang w:val="tr-TR"/>
              </w:rPr>
              <w:t>,</w:t>
            </w:r>
            <w:r w:rsidR="00B430CF" w:rsidRPr="00A23740">
              <w:rPr>
                <w:b w:val="0"/>
                <w:color w:val="auto"/>
                <w:lang w:val="tr-TR"/>
              </w:rPr>
              <w:t xml:space="preserve"> borçlunun mal, hak ve alacaklarını sorgulayabilmesi, kişisel verilerin gizliliğine önemli bir istisna oluşturmaktadır. Sorgulama ücreti bir T</w:t>
            </w:r>
            <w:r w:rsidR="00455130" w:rsidRPr="00A23740">
              <w:rPr>
                <w:b w:val="0"/>
                <w:color w:val="auto"/>
                <w:lang w:val="tr-TR"/>
              </w:rPr>
              <w:t>ürk l</w:t>
            </w:r>
            <w:r w:rsidR="00C540B0" w:rsidRPr="00A23740">
              <w:rPr>
                <w:b w:val="0"/>
                <w:color w:val="auto"/>
                <w:lang w:val="tr-TR"/>
              </w:rPr>
              <w:t>irası olarak belirlenmektedir</w:t>
            </w:r>
            <w:r w:rsidR="00B430CF" w:rsidRPr="00A23740">
              <w:rPr>
                <w:b w:val="0"/>
                <w:color w:val="auto"/>
                <w:lang w:val="tr-TR"/>
              </w:rPr>
              <w:t xml:space="preserve">. </w:t>
            </w:r>
          </w:p>
          <w:p w:rsidR="00C540B0" w:rsidRPr="00A23740" w:rsidRDefault="00C540B0" w:rsidP="009431FF">
            <w:pPr>
              <w:pStyle w:val="Mavi"/>
              <w:ind w:firstLine="709"/>
              <w:rPr>
                <w:b w:val="0"/>
                <w:color w:val="auto"/>
                <w:lang w:val="tr-TR"/>
              </w:rPr>
            </w:pPr>
            <w:r w:rsidRPr="00A23740">
              <w:rPr>
                <w:b w:val="0"/>
                <w:color w:val="auto"/>
                <w:lang w:val="tr-TR"/>
              </w:rPr>
              <w:t>İkinci fıkrayla, sorgulama ücretinin belirlenmesi ve artırılma</w:t>
            </w:r>
            <w:r w:rsidR="00147373" w:rsidRPr="00A23740">
              <w:rPr>
                <w:b w:val="0"/>
                <w:color w:val="auto"/>
                <w:lang w:val="tr-TR"/>
              </w:rPr>
              <w:t>sı</w:t>
            </w:r>
            <w:r w:rsidRPr="00A23740">
              <w:rPr>
                <w:b w:val="0"/>
                <w:color w:val="auto"/>
                <w:lang w:val="tr-TR"/>
              </w:rPr>
              <w:t xml:space="preserve"> usulü </w:t>
            </w:r>
            <w:r w:rsidR="00302A76" w:rsidRPr="00A23740">
              <w:rPr>
                <w:b w:val="0"/>
                <w:color w:val="auto"/>
                <w:lang w:val="tr-TR"/>
              </w:rPr>
              <w:t>düzenlenmektedir</w:t>
            </w:r>
            <w:r w:rsidRPr="00A23740">
              <w:rPr>
                <w:b w:val="0"/>
                <w:color w:val="auto"/>
                <w:lang w:val="tr-TR"/>
              </w:rPr>
              <w:t>.</w:t>
            </w:r>
            <w:r w:rsidR="00762500" w:rsidRPr="00A23740">
              <w:rPr>
                <w:b w:val="0"/>
                <w:color w:val="auto"/>
                <w:lang w:val="tr-TR"/>
              </w:rPr>
              <w:t xml:space="preserve"> Hükme göre sorgulama ücreti, yeniden değerleme oranına göre artırılacak, Adalet Bakanlığı artırılan bu ücreti beş katına kadar artırmaya ve azaltmaya</w:t>
            </w:r>
            <w:r w:rsidR="00147373" w:rsidRPr="00A23740">
              <w:rPr>
                <w:b w:val="0"/>
                <w:color w:val="auto"/>
                <w:lang w:val="tr-TR"/>
              </w:rPr>
              <w:t>,</w:t>
            </w:r>
            <w:r w:rsidR="00762500" w:rsidRPr="00A23740">
              <w:rPr>
                <w:b w:val="0"/>
                <w:color w:val="auto"/>
                <w:lang w:val="tr-TR"/>
              </w:rPr>
              <w:t xml:space="preserve"> ayrıca gün ve dosya esaslı olmak üzere belirli sayıdaki sorgulamayı ücretten istisna tutmaya yetkili olacaktır. Genel yönetim kapsamındaki kamu idarelerinden bu ücret alınmayacağı gibi alacaklının bir gün içinde aynı dosya üzerinden beş kez yapacağı sorg</w:t>
            </w:r>
            <w:r w:rsidR="00302A76" w:rsidRPr="00A23740">
              <w:rPr>
                <w:b w:val="0"/>
                <w:color w:val="auto"/>
                <w:lang w:val="tr-TR"/>
              </w:rPr>
              <w:t>udan da ücret alınmayacaktır.</w:t>
            </w:r>
          </w:p>
          <w:p w:rsidR="00B430CF" w:rsidRPr="00A23740" w:rsidRDefault="00762500" w:rsidP="009431FF">
            <w:pPr>
              <w:pStyle w:val="Mavi"/>
              <w:ind w:firstLine="709"/>
              <w:rPr>
                <w:color w:val="auto"/>
                <w:lang w:val="tr-TR"/>
              </w:rPr>
            </w:pPr>
            <w:r w:rsidRPr="00A23740">
              <w:rPr>
                <w:b w:val="0"/>
                <w:color w:val="auto"/>
                <w:lang w:val="tr-TR"/>
              </w:rPr>
              <w:lastRenderedPageBreak/>
              <w:t xml:space="preserve">Üçüncü fıkrada, sorgulama ücretinin </w:t>
            </w:r>
            <w:r w:rsidR="0036323C" w:rsidRPr="002144D4">
              <w:rPr>
                <w:b w:val="0"/>
                <w:color w:val="auto"/>
                <w:lang w:val="tr-TR"/>
              </w:rPr>
              <w:t>Bakanlık</w:t>
            </w:r>
            <w:r w:rsidR="0036323C" w:rsidRPr="002144D4">
              <w:rPr>
                <w:color w:val="auto"/>
                <w:lang w:val="tr-TR"/>
              </w:rPr>
              <w:t xml:space="preserve"> </w:t>
            </w:r>
            <w:r w:rsidR="0036323C" w:rsidRPr="002144D4">
              <w:rPr>
                <w:b w:val="0"/>
                <w:color w:val="auto"/>
                <w:lang w:val="tr-TR"/>
              </w:rPr>
              <w:t>tarafından</w:t>
            </w:r>
            <w:r w:rsidR="0036323C" w:rsidRPr="002144D4">
              <w:rPr>
                <w:color w:val="auto"/>
              </w:rPr>
              <w:t xml:space="preserve"> </w:t>
            </w:r>
            <w:r w:rsidR="0036323C" w:rsidRPr="002144D4">
              <w:rPr>
                <w:b w:val="0"/>
                <w:color w:val="auto"/>
                <w:lang w:val="tr-TR"/>
              </w:rPr>
              <w:t>belirlenecek</w:t>
            </w:r>
            <w:r w:rsidRPr="00A23740">
              <w:rPr>
                <w:b w:val="0"/>
                <w:color w:val="auto"/>
                <w:lang w:val="tr-TR"/>
              </w:rPr>
              <w:t xml:space="preserve"> usule göre tahsil edileceği ve takip gideri olarak borçluya yüklenemeyeceği açıkça ifade edilmektedir.</w:t>
            </w:r>
          </w:p>
          <w:p w:rsidR="00455130" w:rsidRPr="00A23740" w:rsidRDefault="00455130" w:rsidP="009431FF">
            <w:pPr>
              <w:pStyle w:val="Mavi"/>
              <w:ind w:firstLine="709"/>
              <w:rPr>
                <w:color w:val="auto"/>
                <w:lang w:val="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 w:rsidR="00155AF4" w:rsidRPr="00A23740" w:rsidRDefault="00155AF4" w:rsidP="009431FF">
            <w:pPr>
              <w:rPr>
                <w:rStyle w:val="KIRMIZIChar"/>
                <w:rFonts w:eastAsia="Calibri"/>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4A78E1" w:rsidP="009431FF">
            <w:pPr>
              <w:pStyle w:val="Mavi"/>
              <w:rPr>
                <w:lang w:val="tr-TR"/>
              </w:rPr>
            </w:pPr>
            <w:r w:rsidRPr="00A23740">
              <w:t>İlan portalı</w:t>
            </w:r>
          </w:p>
          <w:p w:rsidR="00155AF4" w:rsidRPr="00A23740" w:rsidRDefault="00155AF4" w:rsidP="009431FF">
            <w:pPr>
              <w:pStyle w:val="Mavi"/>
            </w:pPr>
            <w:r w:rsidRPr="00A23740">
              <w:t>MADDE 48- (1) Bu Kanun uyarınca yapılacak ilanlar, elektronik satışa ilişkin hükümler saklı kalmak kaydıyla UYAP’a entegre ilan portalında da duyurulur.</w:t>
            </w:r>
          </w:p>
          <w:p w:rsidR="00155AF4" w:rsidRPr="00A23740" w:rsidRDefault="00155AF4" w:rsidP="009431FF">
            <w:pPr>
              <w:pStyle w:val="Mavi"/>
            </w:pPr>
          </w:p>
          <w:p w:rsidR="00155AF4" w:rsidRPr="00A23740" w:rsidRDefault="00155AF4" w:rsidP="009431FF">
            <w:pPr>
              <w:pStyle w:val="Mavi"/>
            </w:pPr>
            <w:r w:rsidRPr="00A23740">
              <w:t xml:space="preserve">(2) </w:t>
            </w:r>
            <w:r w:rsidR="00B01AA3" w:rsidRPr="00A23740">
              <w:rPr>
                <w:lang w:val="tr-TR"/>
              </w:rPr>
              <w:t xml:space="preserve">Duyurunun </w:t>
            </w:r>
            <w:r w:rsidRPr="00A23740">
              <w:t xml:space="preserve">şekli ve </w:t>
            </w:r>
            <w:r w:rsidR="004A78E1" w:rsidRPr="00A23740">
              <w:rPr>
                <w:lang w:val="tr-TR"/>
              </w:rPr>
              <w:t xml:space="preserve">duyuruda </w:t>
            </w:r>
            <w:r w:rsidRPr="00A23740">
              <w:t>yer alacak hususlar</w:t>
            </w:r>
            <w:r w:rsidR="004A78E1" w:rsidRPr="00A23740">
              <w:rPr>
                <w:lang w:val="tr-TR"/>
              </w:rPr>
              <w:t>,</w:t>
            </w:r>
            <w:r w:rsidRPr="00A23740">
              <w:rPr>
                <w:lang w:val="tr-TR"/>
              </w:rPr>
              <w:t xml:space="preserve"> </w:t>
            </w:r>
            <w:r w:rsidRPr="00A23740">
              <w:t>Adalet Bakanlığınca çıkarılacak yönetmelikle belirlenir.</w:t>
            </w:r>
          </w:p>
          <w:p w:rsidR="00BE5197" w:rsidRPr="00A23740" w:rsidRDefault="00BE5197" w:rsidP="009431FF">
            <w:pPr>
              <w:rPr>
                <w:lang w:eastAsia="x-none"/>
              </w:rPr>
            </w:pPr>
          </w:p>
        </w:tc>
      </w:tr>
      <w:tr w:rsidR="00B430CF"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B430CF" w:rsidRPr="00A23740" w:rsidRDefault="00B430CF" w:rsidP="009431FF">
            <w:pPr>
              <w:pStyle w:val="Mavi"/>
              <w:ind w:firstLine="709"/>
              <w:rPr>
                <w:color w:val="auto"/>
                <w:lang w:val="tr-TR"/>
              </w:rPr>
            </w:pPr>
          </w:p>
          <w:p w:rsidR="005754DC" w:rsidRPr="00A23740" w:rsidRDefault="00B430CF" w:rsidP="009431FF">
            <w:pPr>
              <w:pStyle w:val="Mavi"/>
              <w:ind w:firstLine="709"/>
              <w:rPr>
                <w:b w:val="0"/>
                <w:color w:val="auto"/>
                <w:lang w:val="tr-TR"/>
              </w:rPr>
            </w:pPr>
            <w:r w:rsidRPr="00A23740">
              <w:rPr>
                <w:color w:val="auto"/>
                <w:lang w:val="tr-TR"/>
              </w:rPr>
              <w:t xml:space="preserve">MADDE 48- </w:t>
            </w:r>
            <w:r w:rsidR="00762500" w:rsidRPr="00A23740">
              <w:rPr>
                <w:b w:val="0"/>
                <w:color w:val="auto"/>
                <w:lang w:val="tr-TR"/>
              </w:rPr>
              <w:t>Maddeyle,</w:t>
            </w:r>
            <w:r w:rsidR="00B01AA3" w:rsidRPr="00A23740">
              <w:rPr>
                <w:b w:val="0"/>
                <w:color w:val="auto"/>
                <w:lang w:val="tr-TR"/>
              </w:rPr>
              <w:t xml:space="preserve"> ilan portalına</w:t>
            </w:r>
            <w:r w:rsidR="005754DC" w:rsidRPr="00A23740">
              <w:rPr>
                <w:b w:val="0"/>
                <w:color w:val="auto"/>
                <w:lang w:val="tr-TR"/>
              </w:rPr>
              <w:t xml:space="preserve"> ili</w:t>
            </w:r>
            <w:r w:rsidR="00417857" w:rsidRPr="00A23740">
              <w:rPr>
                <w:b w:val="0"/>
                <w:color w:val="auto"/>
                <w:lang w:val="tr-TR"/>
              </w:rPr>
              <w:t>şkin hususlar düzenlenmektedir.</w:t>
            </w:r>
          </w:p>
          <w:p w:rsidR="00B01AA3" w:rsidRPr="00A23740" w:rsidRDefault="005754DC" w:rsidP="009431FF">
            <w:pPr>
              <w:pStyle w:val="Mavi"/>
              <w:ind w:firstLine="709"/>
              <w:rPr>
                <w:b w:val="0"/>
                <w:color w:val="auto"/>
                <w:lang w:val="tr-TR"/>
              </w:rPr>
            </w:pPr>
            <w:r w:rsidRPr="00A23740">
              <w:rPr>
                <w:b w:val="0"/>
                <w:color w:val="auto"/>
                <w:lang w:val="tr-TR"/>
              </w:rPr>
              <w:t xml:space="preserve">Birinci fıkrayla, Kanun uyarınca yapılacak ilanların UYAP’a entegre ilan portalında da duyurulması esası kabul edilmektedir. </w:t>
            </w:r>
            <w:r w:rsidR="00163E5A" w:rsidRPr="00A23740">
              <w:rPr>
                <w:b w:val="0"/>
                <w:color w:val="auto"/>
                <w:lang w:val="tr-TR"/>
              </w:rPr>
              <w:t>Taslağın</w:t>
            </w:r>
            <w:r w:rsidRPr="00A23740">
              <w:rPr>
                <w:b w:val="0"/>
                <w:color w:val="auto"/>
                <w:lang w:val="tr-TR"/>
              </w:rPr>
              <w:t xml:space="preserve"> bir</w:t>
            </w:r>
            <w:r w:rsidR="00B430CF" w:rsidRPr="00A23740">
              <w:rPr>
                <w:b w:val="0"/>
                <w:color w:val="auto"/>
                <w:lang w:val="tr-TR"/>
              </w:rPr>
              <w:t>çok maddesinde icra ve iflas işleri</w:t>
            </w:r>
            <w:r w:rsidR="00147373" w:rsidRPr="00A23740">
              <w:rPr>
                <w:b w:val="0"/>
                <w:color w:val="auto"/>
                <w:lang w:val="tr-TR"/>
              </w:rPr>
              <w:t>yle</w:t>
            </w:r>
            <w:r w:rsidRPr="00A23740">
              <w:rPr>
                <w:b w:val="0"/>
                <w:color w:val="auto"/>
                <w:lang w:val="tr-TR"/>
              </w:rPr>
              <w:t xml:space="preserve"> ilgili olarak ilanların yapılması düzenlenmektedir</w:t>
            </w:r>
            <w:r w:rsidR="00B430CF" w:rsidRPr="00A23740">
              <w:rPr>
                <w:b w:val="0"/>
                <w:color w:val="auto"/>
                <w:lang w:val="tr-TR"/>
              </w:rPr>
              <w:t>. Bu ilanların nasıl yapılacağı da</w:t>
            </w:r>
            <w:r w:rsidRPr="00A23740">
              <w:rPr>
                <w:b w:val="0"/>
                <w:color w:val="auto"/>
                <w:lang w:val="tr-TR"/>
              </w:rPr>
              <w:t xml:space="preserve"> ilgili hükümlerde yer almaktadır.</w:t>
            </w:r>
            <w:r w:rsidR="00B430CF" w:rsidRPr="00A23740">
              <w:rPr>
                <w:b w:val="0"/>
                <w:color w:val="auto"/>
                <w:lang w:val="tr-TR"/>
              </w:rPr>
              <w:t xml:space="preserve"> Bu bağlamda ilanın nasıl ve hangi şartlar dahilinde yapılacağı yine asıl olarak ilgili maddeleri ilgilendirmekle birlikte, ilanlara ilişkin olarak genel bir madd</w:t>
            </w:r>
            <w:r w:rsidRPr="00A23740">
              <w:rPr>
                <w:b w:val="0"/>
                <w:color w:val="auto"/>
                <w:lang w:val="tr-TR"/>
              </w:rPr>
              <w:t>e düzenlenmesi uygun görülmektedir</w:t>
            </w:r>
            <w:r w:rsidR="00B430CF" w:rsidRPr="00A23740">
              <w:rPr>
                <w:b w:val="0"/>
                <w:color w:val="auto"/>
                <w:lang w:val="tr-TR"/>
              </w:rPr>
              <w:t>.</w:t>
            </w:r>
            <w:r w:rsidRPr="00A23740">
              <w:rPr>
                <w:b w:val="0"/>
                <w:color w:val="auto"/>
                <w:lang w:val="tr-TR"/>
              </w:rPr>
              <w:t xml:space="preserve"> Fıkrayla, </w:t>
            </w:r>
            <w:r w:rsidR="00B430CF" w:rsidRPr="00A23740">
              <w:rPr>
                <w:b w:val="0"/>
                <w:color w:val="auto"/>
                <w:lang w:val="tr-TR"/>
              </w:rPr>
              <w:t>Kanun uyarınca yapılacak olan ilanların, UYAP’a entegre ilan portalı</w:t>
            </w:r>
            <w:r w:rsidRPr="00A23740">
              <w:rPr>
                <w:b w:val="0"/>
                <w:color w:val="auto"/>
                <w:lang w:val="tr-TR"/>
              </w:rPr>
              <w:t>nda da duyurulması öngörülmektedir</w:t>
            </w:r>
            <w:r w:rsidR="00B430CF" w:rsidRPr="00A23740">
              <w:rPr>
                <w:b w:val="0"/>
                <w:color w:val="auto"/>
                <w:lang w:val="tr-TR"/>
              </w:rPr>
              <w:t xml:space="preserve">. Bununla, ilanın yapılma şekli ne olursa olsun, ilan portalında da </w:t>
            </w:r>
            <w:r w:rsidRPr="00A23740">
              <w:rPr>
                <w:b w:val="0"/>
                <w:color w:val="auto"/>
                <w:lang w:val="tr-TR"/>
              </w:rPr>
              <w:t>duyurulmasıyla</w:t>
            </w:r>
            <w:r w:rsidR="00B430CF" w:rsidRPr="00A23740">
              <w:rPr>
                <w:b w:val="0"/>
                <w:color w:val="auto"/>
                <w:lang w:val="tr-TR"/>
              </w:rPr>
              <w:t>, muhataplarına daha kolay</w:t>
            </w:r>
            <w:r w:rsidRPr="00A23740">
              <w:rPr>
                <w:b w:val="0"/>
                <w:color w:val="auto"/>
                <w:lang w:val="tr-TR"/>
              </w:rPr>
              <w:t xml:space="preserve"> bir</w:t>
            </w:r>
            <w:r w:rsidR="00B430CF" w:rsidRPr="00A23740">
              <w:rPr>
                <w:b w:val="0"/>
                <w:color w:val="auto"/>
                <w:lang w:val="tr-TR"/>
              </w:rPr>
              <w:t xml:space="preserve"> şekilde ulaşmasının sağlanması amaçlanmaktadır. </w:t>
            </w:r>
            <w:r w:rsidR="00B01AA3" w:rsidRPr="00A23740">
              <w:rPr>
                <w:b w:val="0"/>
                <w:color w:val="auto"/>
                <w:lang w:val="tr-TR"/>
              </w:rPr>
              <w:t xml:space="preserve">Öte yandan </w:t>
            </w:r>
            <w:r w:rsidR="00163E5A" w:rsidRPr="00A23740">
              <w:rPr>
                <w:b w:val="0"/>
                <w:color w:val="auto"/>
                <w:lang w:val="tr-TR"/>
              </w:rPr>
              <w:t>Taslağın</w:t>
            </w:r>
            <w:r w:rsidR="00B01AA3" w:rsidRPr="00A23740">
              <w:rPr>
                <w:b w:val="0"/>
                <w:color w:val="auto"/>
                <w:lang w:val="tr-TR"/>
              </w:rPr>
              <w:t xml:space="preserve"> </w:t>
            </w:r>
            <w:r w:rsidR="00BA4F52" w:rsidRPr="002144D4">
              <w:rPr>
                <w:rStyle w:val="KonuBalChar"/>
                <w:rFonts w:eastAsia="Calibri"/>
                <w:color w:val="auto"/>
              </w:rPr>
              <w:t>227 il</w:t>
            </w:r>
            <w:r w:rsidR="00F25FDB" w:rsidRPr="002144D4">
              <w:rPr>
                <w:rStyle w:val="KonuBalChar"/>
                <w:rFonts w:eastAsia="Calibri"/>
                <w:color w:val="auto"/>
                <w:lang w:val="tr-TR"/>
              </w:rPr>
              <w:t>a</w:t>
            </w:r>
            <w:r w:rsidR="00BA4F52" w:rsidRPr="002144D4">
              <w:rPr>
                <w:rStyle w:val="KonuBalChar"/>
                <w:rFonts w:eastAsia="Calibri"/>
                <w:color w:val="auto"/>
              </w:rPr>
              <w:t xml:space="preserve"> 231 inci </w:t>
            </w:r>
            <w:r w:rsidR="005B34BF" w:rsidRPr="002144D4">
              <w:rPr>
                <w:rStyle w:val="KonuBalChar"/>
                <w:rFonts w:eastAsia="Calibri"/>
                <w:color w:val="auto"/>
              </w:rPr>
              <w:t>maddelerinde</w:t>
            </w:r>
            <w:r w:rsidR="005B34BF" w:rsidRPr="00A23740">
              <w:rPr>
                <w:b w:val="0"/>
                <w:color w:val="auto"/>
                <w:lang w:val="tr-TR"/>
              </w:rPr>
              <w:t xml:space="preserve"> </w:t>
            </w:r>
            <w:r w:rsidR="00B01AA3" w:rsidRPr="00A23740">
              <w:rPr>
                <w:b w:val="0"/>
                <w:color w:val="auto"/>
                <w:lang w:val="tr-TR"/>
              </w:rPr>
              <w:t>elektronik ortamda yapılacak açık artırmalara ilişkin ilanların yapılma usulü düzenlendiğinden</w:t>
            </w:r>
            <w:r w:rsidR="00147373" w:rsidRPr="00A23740">
              <w:rPr>
                <w:b w:val="0"/>
                <w:color w:val="auto"/>
                <w:lang w:val="tr-TR"/>
              </w:rPr>
              <w:t>,</w:t>
            </w:r>
            <w:r w:rsidR="00B01AA3" w:rsidRPr="00A23740">
              <w:rPr>
                <w:b w:val="0"/>
                <w:color w:val="auto"/>
                <w:lang w:val="tr-TR"/>
              </w:rPr>
              <w:t xml:space="preserve"> fıkra bu ilanlar hakkında uygulanmayacaktır.</w:t>
            </w:r>
          </w:p>
          <w:p w:rsidR="00B430CF" w:rsidRPr="00A23740" w:rsidRDefault="00B01AA3" w:rsidP="009431FF">
            <w:pPr>
              <w:pStyle w:val="Mavi"/>
              <w:ind w:firstLine="709"/>
              <w:rPr>
                <w:color w:val="auto"/>
                <w:lang w:val="tr-TR"/>
              </w:rPr>
            </w:pPr>
            <w:r w:rsidRPr="00A23740">
              <w:rPr>
                <w:b w:val="0"/>
                <w:color w:val="auto"/>
                <w:lang w:val="tr-TR"/>
              </w:rPr>
              <w:t xml:space="preserve">İkinci fıkrayla, </w:t>
            </w:r>
            <w:r w:rsidR="004A78E1" w:rsidRPr="00A23740">
              <w:rPr>
                <w:b w:val="0"/>
                <w:color w:val="auto"/>
                <w:lang w:val="tr-TR"/>
              </w:rPr>
              <w:t>duyurunun</w:t>
            </w:r>
            <w:r w:rsidRPr="00A23740">
              <w:rPr>
                <w:b w:val="0"/>
                <w:color w:val="auto"/>
                <w:lang w:val="tr-TR"/>
              </w:rPr>
              <w:t xml:space="preserve"> şekli ve </w:t>
            </w:r>
            <w:r w:rsidR="004A78E1" w:rsidRPr="00A23740">
              <w:rPr>
                <w:b w:val="0"/>
                <w:color w:val="auto"/>
                <w:lang w:val="tr-TR"/>
              </w:rPr>
              <w:t xml:space="preserve">duyuruda </w:t>
            </w:r>
            <w:r w:rsidRPr="00A23740">
              <w:rPr>
                <w:b w:val="0"/>
                <w:color w:val="auto"/>
                <w:lang w:val="tr-TR"/>
              </w:rPr>
              <w:t>yer alacak hususlar bakımından Adalet Bakanlığına yönetmelik çıkarma yetkisi verilmektedir.</w:t>
            </w:r>
            <w:r w:rsidR="00B430CF" w:rsidRPr="00A23740">
              <w:rPr>
                <w:b w:val="0"/>
                <w:color w:val="auto"/>
                <w:lang w:val="tr-TR"/>
              </w:rPr>
              <w:t xml:space="preserve"> Ancak hiç kuşkusuz bu yönetmeliğin hazırlanmasında, Kanunun ilan yapılmasını</w:t>
            </w:r>
            <w:r w:rsidR="00147373" w:rsidRPr="00A23740">
              <w:rPr>
                <w:b w:val="0"/>
                <w:color w:val="auto"/>
                <w:lang w:val="tr-TR"/>
              </w:rPr>
              <w:t xml:space="preserve"> şart kılan</w:t>
            </w:r>
            <w:r w:rsidR="00B430CF" w:rsidRPr="00A23740">
              <w:rPr>
                <w:b w:val="0"/>
                <w:color w:val="auto"/>
                <w:lang w:val="tr-TR"/>
              </w:rPr>
              <w:t xml:space="preserve"> ilgili maddeler</w:t>
            </w:r>
            <w:r w:rsidR="00147373" w:rsidRPr="00A23740">
              <w:rPr>
                <w:b w:val="0"/>
                <w:color w:val="auto"/>
                <w:lang w:val="tr-TR"/>
              </w:rPr>
              <w:t>in</w:t>
            </w:r>
            <w:r w:rsidR="00B430CF" w:rsidRPr="00A23740">
              <w:rPr>
                <w:b w:val="0"/>
                <w:color w:val="auto"/>
                <w:lang w:val="tr-TR"/>
              </w:rPr>
              <w:t>deki esaslar temel oluşturacaktır.</w:t>
            </w:r>
          </w:p>
          <w:p w:rsidR="00CB1F4A" w:rsidRPr="00A23740" w:rsidRDefault="00CB1F4A" w:rsidP="009431FF">
            <w:pPr>
              <w:pStyle w:val="Mavi"/>
              <w:ind w:firstLine="709"/>
              <w:rPr>
                <w:color w:val="auto"/>
                <w:lang w:val="tr-TR"/>
              </w:rPr>
            </w:pPr>
          </w:p>
        </w:tc>
      </w:tr>
      <w:tr w:rsidR="00155AF4" w:rsidRPr="00A23740" w:rsidTr="009431FF">
        <w:trPr>
          <w:trHeight w:val="1078"/>
        </w:trPr>
        <w:tc>
          <w:tcPr>
            <w:tcW w:w="2500" w:type="pct"/>
            <w:shd w:val="clear" w:color="auto" w:fill="auto"/>
          </w:tcPr>
          <w:p w:rsidR="00155AF4" w:rsidRPr="00A23740" w:rsidRDefault="00155AF4" w:rsidP="009431FF">
            <w:pPr>
              <w:rPr>
                <w:rFonts w:eastAsia="Times New Roman"/>
                <w:b/>
                <w:szCs w:val="24"/>
                <w:lang w:eastAsia="tr-TR"/>
              </w:rPr>
            </w:pPr>
          </w:p>
          <w:p w:rsidR="00155AF4" w:rsidRPr="00A23740" w:rsidRDefault="00155AF4" w:rsidP="009431FF">
            <w:pPr>
              <w:pStyle w:val="KIRMIZI"/>
              <w:rPr>
                <w:lang w:val="tr-TR"/>
              </w:rPr>
            </w:pPr>
          </w:p>
          <w:p w:rsidR="00155AF4" w:rsidRPr="00A23740" w:rsidRDefault="00155AF4" w:rsidP="009431FF">
            <w:pPr>
              <w:pStyle w:val="KIRMIZI"/>
              <w:rPr>
                <w:lang w:val="tr-TR"/>
              </w:rPr>
            </w:pPr>
          </w:p>
          <w:p w:rsidR="00155AF4" w:rsidRPr="00A23740" w:rsidRDefault="00155AF4" w:rsidP="009431FF">
            <w:pPr>
              <w:pStyle w:val="KIRMIZI"/>
              <w:rPr>
                <w:lang w:val="tr-TR"/>
              </w:rPr>
            </w:pPr>
            <w:r w:rsidRPr="00A23740">
              <w:rPr>
                <w:lang w:val="tr-TR"/>
              </w:rPr>
              <w:t>Ek Madde 1- (1) (Ek: 17/7/2003-4949/102 md.)</w:t>
            </w:r>
          </w:p>
          <w:p w:rsidR="003951A5" w:rsidRPr="00A23740" w:rsidRDefault="003951A5" w:rsidP="009431FF">
            <w:pPr>
              <w:rPr>
                <w:rFonts w:eastAsia="Times New Roman"/>
                <w:szCs w:val="24"/>
                <w:lang w:eastAsia="tr-TR"/>
              </w:rPr>
            </w:pPr>
            <w:r w:rsidRPr="002060A9">
              <w:rPr>
                <w:rStyle w:val="KIRMIZIChar"/>
                <w:rFonts w:eastAsia="Calibri"/>
              </w:rPr>
              <w:t>Bu Kanunun 1</w:t>
            </w:r>
            <w:r w:rsidRPr="00A23740">
              <w:rPr>
                <w:rStyle w:val="KIRMIZIChar"/>
                <w:rFonts w:eastAsia="Calibri"/>
              </w:rPr>
              <w:t>19, 226, 326, 363</w:t>
            </w:r>
            <w:r w:rsidRPr="00A23740">
              <w:rPr>
                <w:rFonts w:eastAsia="Times New Roman"/>
                <w:b/>
                <w:strike/>
                <w:color w:val="FF0000"/>
                <w:szCs w:val="24"/>
                <w:lang w:eastAsia="tr-TR"/>
              </w:rPr>
              <w:t xml:space="preserve"> ve 364 </w:t>
            </w:r>
            <w:r w:rsidRPr="00A23740">
              <w:rPr>
                <w:rStyle w:val="KIRMIZIChar"/>
                <w:rFonts w:eastAsia="Calibri"/>
              </w:rPr>
              <w:t>üncü maddelerindeki</w:t>
            </w:r>
            <w:r w:rsidRPr="00A23740">
              <w:rPr>
                <w:rFonts w:eastAsia="Times New Roman"/>
                <w:szCs w:val="24"/>
                <w:lang w:eastAsia="tr-TR"/>
              </w:rPr>
              <w:t xml:space="preserve"> parasal sınırlar</w:t>
            </w:r>
            <w:r w:rsidRPr="00A23740">
              <w:rPr>
                <w:rStyle w:val="KIRMIZIChar"/>
                <w:rFonts w:eastAsia="Calibri"/>
              </w:rPr>
              <w:t>;</w:t>
            </w:r>
            <w:r w:rsidRPr="00A23740">
              <w:rPr>
                <w:rFonts w:eastAsia="Times New Roman"/>
                <w:szCs w:val="24"/>
                <w:lang w:eastAsia="tr-TR"/>
              </w:rPr>
              <w:t xml:space="preserve"> her </w:t>
            </w:r>
            <w:r w:rsidRPr="00A23740">
              <w:rPr>
                <w:rStyle w:val="KIRMIZIChar"/>
                <w:rFonts w:eastAsia="Calibri"/>
              </w:rPr>
              <w:t>takvim</w:t>
            </w:r>
            <w:r w:rsidRPr="00A23740">
              <w:rPr>
                <w:rFonts w:eastAsia="Times New Roman"/>
                <w:szCs w:val="24"/>
                <w:lang w:eastAsia="tr-TR"/>
              </w:rPr>
              <w:t xml:space="preserve"> yıl</w:t>
            </w:r>
            <w:r w:rsidRPr="00A23740">
              <w:rPr>
                <w:rStyle w:val="KIRMIZIChar"/>
                <w:rFonts w:eastAsia="Calibri"/>
              </w:rPr>
              <w:t>ı</w:t>
            </w:r>
            <w:r w:rsidRPr="00A23740">
              <w:rPr>
                <w:rFonts w:eastAsia="Times New Roman"/>
                <w:szCs w:val="24"/>
                <w:lang w:eastAsia="tr-TR"/>
              </w:rPr>
              <w:t xml:space="preserve"> </w:t>
            </w:r>
            <w:r w:rsidRPr="00A23740">
              <w:rPr>
                <w:rStyle w:val="KIRMIZIChar"/>
                <w:rFonts w:eastAsia="Calibri"/>
              </w:rPr>
              <w:t>başından geçerli olmak üzere,</w:t>
            </w:r>
            <w:r w:rsidRPr="00A23740">
              <w:rPr>
                <w:rFonts w:eastAsia="Times New Roman"/>
                <w:szCs w:val="24"/>
                <w:lang w:eastAsia="tr-TR"/>
              </w:rPr>
              <w:t xml:space="preserve"> önceki yıl</w:t>
            </w:r>
            <w:r w:rsidRPr="00A23740">
              <w:rPr>
                <w:rStyle w:val="KIRMIZIChar"/>
                <w:rFonts w:eastAsia="Calibri"/>
              </w:rPr>
              <w:t>da</w:t>
            </w:r>
            <w:r w:rsidRPr="00A23740">
              <w:rPr>
                <w:rFonts w:eastAsia="Times New Roman"/>
                <w:szCs w:val="24"/>
                <w:lang w:eastAsia="tr-TR"/>
              </w:rPr>
              <w:t xml:space="preserve"> </w:t>
            </w:r>
            <w:r w:rsidRPr="00A23740">
              <w:rPr>
                <w:rStyle w:val="KIRMIZIChar"/>
                <w:rFonts w:eastAsia="Calibri"/>
              </w:rPr>
              <w:t>uygulanan parasal sınırların, o yıl için</w:t>
            </w:r>
            <w:r w:rsidRPr="002060A9">
              <w:rPr>
                <w:rStyle w:val="KIRMIZIChar"/>
                <w:rFonts w:eastAsia="Calibri"/>
                <w:strike w:val="0"/>
              </w:rPr>
              <w:t xml:space="preserve"> </w:t>
            </w:r>
            <w:r w:rsidRPr="002060A9">
              <w:rPr>
                <w:rStyle w:val="KIRMIZIChar"/>
                <w:rFonts w:eastAsia="Calibri"/>
                <w:b w:val="0"/>
                <w:strike w:val="0"/>
                <w:color w:val="auto"/>
              </w:rPr>
              <w:t>213 sayılı</w:t>
            </w:r>
            <w:r w:rsidRPr="002060A9">
              <w:rPr>
                <w:rStyle w:val="KIRMIZIChar"/>
                <w:rFonts w:eastAsia="Calibri"/>
                <w:strike w:val="0"/>
              </w:rPr>
              <w:t xml:space="preserve"> </w:t>
            </w:r>
            <w:r w:rsidRPr="00A23740">
              <w:rPr>
                <w:rStyle w:val="KIRMIZIChar"/>
                <w:rFonts w:eastAsia="Calibri"/>
              </w:rPr>
              <w:t>Vergi Usul</w:t>
            </w:r>
            <w:r w:rsidRPr="00A23740">
              <w:rPr>
                <w:rFonts w:eastAsia="Times New Roman"/>
                <w:szCs w:val="24"/>
                <w:lang w:eastAsia="tr-TR"/>
              </w:rPr>
              <w:t xml:space="preserve"> Kanunun</w:t>
            </w:r>
            <w:r w:rsidRPr="00A23740">
              <w:rPr>
                <w:rStyle w:val="KIRMIZIChar"/>
                <w:rFonts w:eastAsia="Calibri"/>
              </w:rPr>
              <w:t>un</w:t>
            </w:r>
            <w:r w:rsidRPr="00A23740">
              <w:rPr>
                <w:rFonts w:eastAsia="Times New Roman"/>
                <w:szCs w:val="24"/>
                <w:lang w:eastAsia="tr-TR"/>
              </w:rPr>
              <w:t xml:space="preserve"> mükerrer 298 inci maddesi hükümleri uyarınca </w:t>
            </w:r>
            <w:r w:rsidRPr="00A23740">
              <w:rPr>
                <w:rStyle w:val="KIRMIZIChar"/>
                <w:rFonts w:eastAsia="Calibri"/>
              </w:rPr>
              <w:t xml:space="preserve">Maliye </w:t>
            </w:r>
            <w:r w:rsidRPr="00A23740">
              <w:rPr>
                <w:rStyle w:val="KIRMIZIChar"/>
                <w:rFonts w:eastAsia="Calibri"/>
              </w:rPr>
              <w:lastRenderedPageBreak/>
              <w:t>Bakanlığınca her yıl</w:t>
            </w:r>
            <w:r w:rsidRPr="00A23740">
              <w:rPr>
                <w:rFonts w:eastAsia="Times New Roman"/>
                <w:szCs w:val="24"/>
                <w:lang w:eastAsia="tr-TR"/>
              </w:rPr>
              <w:t xml:space="preserve"> tespit ve ilân edilen yeniden değerleme oranında artırılması suretiyle uygulanır. Bu şekilde belirlenen sınırların bin Türk lirasını aşmayan kısımları dikkate alınmaz.</w:t>
            </w:r>
          </w:p>
          <w:p w:rsidR="003512D3" w:rsidRDefault="003512D3" w:rsidP="009431FF">
            <w:pPr>
              <w:rPr>
                <w:rFonts w:eastAsia="Times New Roman"/>
                <w:color w:val="000000"/>
                <w:szCs w:val="24"/>
                <w:lang w:eastAsia="tr-TR"/>
              </w:rPr>
            </w:pPr>
          </w:p>
          <w:p w:rsidR="003512D3" w:rsidRPr="006E5BA8" w:rsidRDefault="00E01F65" w:rsidP="009431FF">
            <w:pPr>
              <w:rPr>
                <w:rFonts w:eastAsia="Times New Roman"/>
                <w:b/>
                <w:strike/>
                <w:color w:val="FF0000"/>
                <w:szCs w:val="24"/>
                <w:lang w:eastAsia="tr-TR"/>
              </w:rPr>
            </w:pPr>
            <w:r w:rsidRPr="006E5BA8">
              <w:rPr>
                <w:rFonts w:eastAsia="Times New Roman"/>
                <w:b/>
                <w:strike/>
                <w:color w:val="FF0000"/>
                <w:szCs w:val="24"/>
                <w:lang w:eastAsia="tr-TR"/>
              </w:rPr>
              <w:t xml:space="preserve">(2) </w:t>
            </w:r>
            <w:r w:rsidR="003512D3" w:rsidRPr="006E5BA8">
              <w:rPr>
                <w:rFonts w:eastAsia="Times New Roman"/>
                <w:b/>
                <w:strike/>
                <w:color w:val="FF0000"/>
                <w:szCs w:val="24"/>
                <w:lang w:eastAsia="tr-TR"/>
              </w:rPr>
              <w:t>(Değişik fıkra:20/2/2019-7165/2 md.) 363 ve 364 üncü maddelerdeki parasal sınırların uygulanmasında davanın açıldığı veya şikâyet başvurusunun yapıldığı tarihteki miktar esas alınır</w:t>
            </w:r>
            <w:r w:rsidRPr="006E5BA8">
              <w:rPr>
                <w:rFonts w:eastAsia="Times New Roman"/>
                <w:b/>
                <w:strike/>
                <w:color w:val="FF0000"/>
                <w:szCs w:val="24"/>
                <w:lang w:eastAsia="tr-TR"/>
              </w:rPr>
              <w:t>.</w:t>
            </w:r>
          </w:p>
          <w:p w:rsidR="003512D3" w:rsidRPr="003512D3" w:rsidRDefault="003512D3" w:rsidP="009431FF">
            <w:pPr>
              <w:rPr>
                <w:rFonts w:eastAsia="Times New Roman"/>
                <w:color w:val="000000"/>
                <w:szCs w:val="24"/>
                <w:lang w:eastAsia="tr-TR"/>
              </w:rPr>
            </w:pPr>
          </w:p>
          <w:p w:rsidR="003512D3" w:rsidRPr="00E01F65" w:rsidRDefault="00E01F65" w:rsidP="009431FF">
            <w:pPr>
              <w:rPr>
                <w:rFonts w:eastAsia="Times New Roman"/>
                <w:b/>
                <w:strike/>
                <w:color w:val="000000"/>
                <w:szCs w:val="24"/>
                <w:lang w:eastAsia="tr-TR"/>
              </w:rPr>
            </w:pPr>
            <w:r w:rsidRPr="00E01F65">
              <w:rPr>
                <w:rFonts w:eastAsia="Times New Roman"/>
                <w:b/>
                <w:strike/>
                <w:color w:val="FF0000"/>
                <w:szCs w:val="24"/>
                <w:lang w:eastAsia="tr-TR"/>
              </w:rPr>
              <w:t xml:space="preserve">(3) </w:t>
            </w:r>
            <w:r w:rsidR="003512D3" w:rsidRPr="00E01F65">
              <w:rPr>
                <w:rFonts w:eastAsia="Times New Roman"/>
                <w:b/>
                <w:strike/>
                <w:color w:val="FF0000"/>
                <w:szCs w:val="24"/>
                <w:lang w:eastAsia="tr-TR"/>
              </w:rPr>
              <w:t>(Ek fıkra:7/11/2024-7531/2 md.) (Mülga üçüncü fıkra:4/6/2025-7550/1 md.)</w:t>
            </w:r>
          </w:p>
          <w:p w:rsidR="00574438" w:rsidRPr="00A23740" w:rsidRDefault="00574438" w:rsidP="009431FF">
            <w:pPr>
              <w:rPr>
                <w:szCs w:val="24"/>
              </w:rPr>
            </w:pPr>
          </w:p>
        </w:tc>
        <w:tc>
          <w:tcPr>
            <w:tcW w:w="2500" w:type="pct"/>
            <w:shd w:val="clear" w:color="auto" w:fill="auto"/>
          </w:tcPr>
          <w:p w:rsidR="00155AF4" w:rsidRPr="00A23740" w:rsidRDefault="00155AF4" w:rsidP="009431FF">
            <w:pPr>
              <w:pStyle w:val="Balk3"/>
              <w:rPr>
                <w:lang w:val="tr-TR"/>
              </w:rPr>
            </w:pPr>
            <w:r w:rsidRPr="00A23740">
              <w:rPr>
                <w:lang w:val="tr-TR"/>
              </w:rPr>
              <w:lastRenderedPageBreak/>
              <w:t xml:space="preserve">ÜÇÜNCÜ </w:t>
            </w:r>
            <w:r w:rsidRPr="00A23740">
              <w:rPr>
                <w:rStyle w:val="Balk1Char"/>
                <w:b/>
                <w:lang w:val="tr-TR"/>
              </w:rPr>
              <w:t>BÖLÜM</w:t>
            </w:r>
          </w:p>
          <w:p w:rsidR="00155AF4" w:rsidRPr="00A23740" w:rsidRDefault="00155AF4" w:rsidP="009431FF">
            <w:pPr>
              <w:pStyle w:val="Balk3"/>
              <w:rPr>
                <w:lang w:val="tr-TR"/>
              </w:rPr>
            </w:pPr>
            <w:r w:rsidRPr="00A23740">
              <w:rPr>
                <w:lang w:val="tr-TR"/>
              </w:rPr>
              <w:t>Parasal Sınırlar</w:t>
            </w:r>
          </w:p>
          <w:p w:rsidR="00155AF4" w:rsidRPr="00A23740" w:rsidRDefault="00155AF4" w:rsidP="009431FF">
            <w:pPr>
              <w:pStyle w:val="Mavi"/>
              <w:rPr>
                <w:lang w:val="tr-TR"/>
              </w:rPr>
            </w:pPr>
          </w:p>
          <w:p w:rsidR="00155AF4" w:rsidRPr="00A23740" w:rsidRDefault="00155AF4" w:rsidP="009431FF">
            <w:pPr>
              <w:pStyle w:val="Mavi"/>
              <w:rPr>
                <w:lang w:val="tr-TR"/>
              </w:rPr>
            </w:pPr>
            <w:r w:rsidRPr="00A23740">
              <w:rPr>
                <w:lang w:val="tr-TR"/>
              </w:rPr>
              <w:t>Parasal sınırlar</w:t>
            </w:r>
          </w:p>
          <w:p w:rsidR="00155AF4" w:rsidRPr="00A23740" w:rsidRDefault="00155AF4" w:rsidP="009431FF">
            <w:pPr>
              <w:rPr>
                <w:rFonts w:eastAsia="Times New Roman"/>
                <w:szCs w:val="24"/>
                <w:lang w:eastAsia="tr-TR"/>
              </w:rPr>
            </w:pPr>
            <w:r w:rsidRPr="00A23740">
              <w:rPr>
                <w:rStyle w:val="MaviChar"/>
                <w:lang w:val="tr-TR"/>
              </w:rPr>
              <w:t xml:space="preserve">MADDE </w:t>
            </w:r>
            <w:r w:rsidRPr="00A23740">
              <w:rPr>
                <w:rStyle w:val="MaviChar"/>
              </w:rPr>
              <w:t>49</w:t>
            </w:r>
            <w:r w:rsidRPr="00A23740">
              <w:rPr>
                <w:rStyle w:val="MaviChar"/>
                <w:lang w:val="tr-TR"/>
              </w:rPr>
              <w:t>-</w:t>
            </w:r>
            <w:r w:rsidRPr="00A23740">
              <w:rPr>
                <w:rFonts w:eastAsia="Times New Roman"/>
                <w:b/>
                <w:szCs w:val="24"/>
                <w:lang w:eastAsia="tr-TR"/>
              </w:rPr>
              <w:t xml:space="preserve"> </w:t>
            </w:r>
            <w:r w:rsidRPr="00A23740">
              <w:rPr>
                <w:rStyle w:val="MaviChar"/>
                <w:lang w:val="tr-TR"/>
              </w:rPr>
              <w:t>(1)</w:t>
            </w:r>
            <w:r w:rsidRPr="00A23740">
              <w:rPr>
                <w:rFonts w:eastAsia="Times New Roman"/>
                <w:b/>
                <w:szCs w:val="24"/>
                <w:lang w:eastAsia="tr-TR"/>
              </w:rPr>
              <w:t xml:space="preserve"> </w:t>
            </w:r>
            <w:r w:rsidR="0020164C" w:rsidRPr="00A23740">
              <w:rPr>
                <w:rStyle w:val="MaviChar"/>
              </w:rPr>
              <w:t xml:space="preserve">78, </w:t>
            </w:r>
            <w:r w:rsidR="00BA4F52" w:rsidRPr="002144D4">
              <w:rPr>
                <w:rStyle w:val="KonuBalChar"/>
                <w:rFonts w:eastAsia="Calibri"/>
                <w:color w:val="0000FF"/>
              </w:rPr>
              <w:t>244</w:t>
            </w:r>
            <w:r w:rsidR="00BA4F52" w:rsidRPr="00A23740">
              <w:rPr>
                <w:rStyle w:val="KonuBalChar"/>
                <w:rFonts w:eastAsia="Calibri"/>
              </w:rPr>
              <w:t xml:space="preserve"> </w:t>
            </w:r>
            <w:r w:rsidRPr="002144D4">
              <w:rPr>
                <w:rStyle w:val="KonuBalChar"/>
                <w:rFonts w:eastAsia="Calibri"/>
                <w:color w:val="0000FF"/>
              </w:rPr>
              <w:t>ve</w:t>
            </w:r>
            <w:r w:rsidRPr="00A23740">
              <w:rPr>
                <w:rStyle w:val="KonuBalChar"/>
                <w:rFonts w:eastAsia="Calibri"/>
              </w:rPr>
              <w:t xml:space="preserve"> </w:t>
            </w:r>
            <w:r w:rsidR="00BA4F52" w:rsidRPr="002144D4">
              <w:rPr>
                <w:rStyle w:val="KonuBalChar"/>
                <w:rFonts w:eastAsia="Calibri"/>
                <w:color w:val="0000FF"/>
              </w:rPr>
              <w:t>339</w:t>
            </w:r>
            <w:r w:rsidR="00BA4F52" w:rsidRPr="00A23740">
              <w:rPr>
                <w:rStyle w:val="KonuBalChar"/>
                <w:rFonts w:eastAsia="Calibri"/>
              </w:rPr>
              <w:t xml:space="preserve"> </w:t>
            </w:r>
            <w:r w:rsidR="00BA4F52" w:rsidRPr="002144D4">
              <w:rPr>
                <w:rStyle w:val="KonuBalChar"/>
                <w:rFonts w:eastAsia="Calibri"/>
                <w:color w:val="0000FF"/>
              </w:rPr>
              <w:t>uncu</w:t>
            </w:r>
            <w:r w:rsidR="00BA4F52" w:rsidRPr="00A23740">
              <w:rPr>
                <w:rStyle w:val="MaviChar"/>
                <w:lang w:val="tr-TR"/>
              </w:rPr>
              <w:t xml:space="preserve"> </w:t>
            </w:r>
            <w:r w:rsidRPr="00A23740">
              <w:rPr>
                <w:rStyle w:val="MaviChar"/>
                <w:lang w:val="tr-TR"/>
              </w:rPr>
              <w:t xml:space="preserve">maddelerde belirtilen </w:t>
            </w:r>
            <w:r w:rsidRPr="002060A9">
              <w:rPr>
                <w:rStyle w:val="MaviChar"/>
                <w:b w:val="0"/>
                <w:color w:val="auto"/>
                <w:lang w:val="tr-TR"/>
              </w:rPr>
              <w:t>parasal sınırlar</w:t>
            </w:r>
            <w:r w:rsidRPr="00A23740">
              <w:rPr>
                <w:rFonts w:eastAsia="Times New Roman"/>
                <w:szCs w:val="24"/>
                <w:lang w:eastAsia="tr-TR"/>
              </w:rPr>
              <w:t xml:space="preserve"> her yıl</w:t>
            </w:r>
            <w:r w:rsidRPr="00A23740">
              <w:rPr>
                <w:rStyle w:val="MaviChar"/>
                <w:lang w:val="tr-TR" w:eastAsia="tr-TR"/>
              </w:rPr>
              <w:t>,</w:t>
            </w:r>
            <w:r w:rsidRPr="00A23740">
              <w:rPr>
                <w:rFonts w:eastAsia="Times New Roman"/>
                <w:szCs w:val="24"/>
                <w:lang w:eastAsia="tr-TR"/>
              </w:rPr>
              <w:t xml:space="preserve"> </w:t>
            </w:r>
            <w:r w:rsidRPr="00A23740">
              <w:rPr>
                <w:rStyle w:val="MaviChar"/>
                <w:lang w:val="tr-TR" w:eastAsia="tr-TR"/>
              </w:rPr>
              <w:t xml:space="preserve">bir </w:t>
            </w:r>
            <w:r w:rsidRPr="00A23740">
              <w:rPr>
                <w:rFonts w:eastAsia="Times New Roman"/>
                <w:szCs w:val="24"/>
                <w:lang w:eastAsia="tr-TR"/>
              </w:rPr>
              <w:t>önceki yıl</w:t>
            </w:r>
            <w:r w:rsidRPr="00A23740">
              <w:rPr>
                <w:rStyle w:val="MaviChar"/>
                <w:lang w:val="tr-TR" w:eastAsia="tr-TR"/>
              </w:rPr>
              <w:t xml:space="preserve">a ilişkin </w:t>
            </w:r>
            <w:r w:rsidRPr="00A23740">
              <w:rPr>
                <w:rStyle w:val="MaviChar"/>
              </w:rPr>
              <w:t xml:space="preserve">olarak </w:t>
            </w:r>
            <w:r w:rsidRPr="002060A9">
              <w:rPr>
                <w:rStyle w:val="MaviChar"/>
                <w:b w:val="0"/>
                <w:color w:val="auto"/>
              </w:rPr>
              <w:t>213 sayılı</w:t>
            </w:r>
            <w:r w:rsidRPr="00A23740">
              <w:rPr>
                <w:rStyle w:val="MaviChar"/>
              </w:rPr>
              <w:t xml:space="preserve"> </w:t>
            </w:r>
            <w:r w:rsidRPr="002060A9">
              <w:rPr>
                <w:rStyle w:val="MaviChar"/>
                <w:b w:val="0"/>
                <w:color w:val="auto"/>
              </w:rPr>
              <w:t>Kanunun</w:t>
            </w:r>
            <w:r w:rsidRPr="002060A9">
              <w:rPr>
                <w:rStyle w:val="MaviChar"/>
                <w:color w:val="auto"/>
                <w:lang w:val="tr-TR" w:eastAsia="tr-TR"/>
              </w:rPr>
              <w:t xml:space="preserve"> </w:t>
            </w:r>
            <w:r w:rsidRPr="00A23740">
              <w:rPr>
                <w:rFonts w:eastAsia="Times New Roman"/>
                <w:szCs w:val="24"/>
                <w:lang w:eastAsia="tr-TR"/>
              </w:rPr>
              <w:t>mükerrer 298 inci maddesi hükümleri uyarınca tespit ve ilan edilen yeniden değerleme oranında</w:t>
            </w:r>
            <w:r w:rsidRPr="00A23740">
              <w:rPr>
                <w:b/>
              </w:rPr>
              <w:t xml:space="preserve"> </w:t>
            </w:r>
            <w:r w:rsidRPr="00A23740">
              <w:rPr>
                <w:rFonts w:eastAsia="Times New Roman"/>
                <w:szCs w:val="24"/>
                <w:lang w:eastAsia="tr-TR"/>
              </w:rPr>
              <w:t xml:space="preserve">artırılması suretiyle uygulanır. Bu şekilde </w:t>
            </w:r>
            <w:r w:rsidRPr="00A23740">
              <w:rPr>
                <w:rFonts w:eastAsia="Times New Roman"/>
                <w:szCs w:val="24"/>
                <w:lang w:eastAsia="tr-TR"/>
              </w:rPr>
              <w:lastRenderedPageBreak/>
              <w:t xml:space="preserve">belirlenen sınırların bin Türk </w:t>
            </w:r>
            <w:r w:rsidR="00BA4F52" w:rsidRPr="00A23740">
              <w:rPr>
                <w:rFonts w:eastAsia="Times New Roman"/>
                <w:szCs w:val="24"/>
                <w:lang w:eastAsia="tr-TR"/>
              </w:rPr>
              <w:t>l</w:t>
            </w:r>
            <w:r w:rsidRPr="00A23740">
              <w:rPr>
                <w:rFonts w:eastAsia="Times New Roman"/>
                <w:szCs w:val="24"/>
                <w:lang w:eastAsia="tr-TR"/>
              </w:rPr>
              <w:t>irasını aşmayan kısımları dikkate alınmaz.</w:t>
            </w:r>
          </w:p>
          <w:p w:rsidR="00AF3F7A" w:rsidRDefault="00AF3F7A" w:rsidP="009431FF">
            <w:pPr>
              <w:rPr>
                <w:rFonts w:eastAsia="Times New Roman"/>
                <w:b/>
                <w:color w:val="00B050"/>
                <w:szCs w:val="24"/>
                <w:lang w:eastAsia="tr-TR"/>
              </w:rPr>
            </w:pPr>
          </w:p>
          <w:p w:rsidR="00E01F65" w:rsidRDefault="00E01F65" w:rsidP="009431FF">
            <w:pPr>
              <w:rPr>
                <w:rFonts w:eastAsia="Times New Roman"/>
                <w:color w:val="000000"/>
                <w:szCs w:val="24"/>
                <w:lang w:eastAsia="tr-TR"/>
              </w:rPr>
            </w:pPr>
          </w:p>
          <w:p w:rsidR="00AF3F7A" w:rsidRPr="002060A9" w:rsidRDefault="00AF3F7A" w:rsidP="009431FF">
            <w:pPr>
              <w:rPr>
                <w:rFonts w:eastAsia="Times New Roman"/>
                <w:b/>
                <w:szCs w:val="24"/>
                <w:lang w:eastAsia="tr-TR"/>
              </w:rPr>
            </w:pPr>
          </w:p>
          <w:p w:rsidR="00AF3F7A" w:rsidRPr="00A23740" w:rsidRDefault="00AF3F7A" w:rsidP="009431FF">
            <w:pPr>
              <w:rPr>
                <w:lang w:val="x-none" w:eastAsia="x-none"/>
              </w:rPr>
            </w:pPr>
          </w:p>
        </w:tc>
      </w:tr>
      <w:tr w:rsidR="00155AF4" w:rsidRPr="00A23740" w:rsidTr="009431FF">
        <w:tc>
          <w:tcPr>
            <w:tcW w:w="5000" w:type="pct"/>
            <w:gridSpan w:val="2"/>
            <w:shd w:val="clear" w:color="auto" w:fill="DEEAF6"/>
          </w:tcPr>
          <w:p w:rsidR="00574438" w:rsidRPr="00A23740" w:rsidRDefault="00574438" w:rsidP="009431FF">
            <w:pPr>
              <w:pStyle w:val="Mavi"/>
              <w:ind w:firstLine="709"/>
              <w:rPr>
                <w:color w:val="auto"/>
                <w:lang w:val="tr-TR"/>
              </w:rPr>
            </w:pPr>
          </w:p>
          <w:p w:rsidR="00155AF4" w:rsidRPr="00A23740" w:rsidRDefault="00882677" w:rsidP="009431FF">
            <w:pPr>
              <w:pStyle w:val="Mavi"/>
              <w:ind w:firstLine="709"/>
              <w:rPr>
                <w:b w:val="0"/>
                <w:color w:val="auto"/>
                <w:lang w:val="tr-TR"/>
              </w:rPr>
            </w:pPr>
            <w:r w:rsidRPr="00A23740">
              <w:rPr>
                <w:color w:val="auto"/>
                <w:lang w:val="tr-TR"/>
              </w:rPr>
              <w:t>MADDE 49</w:t>
            </w:r>
            <w:r w:rsidR="00155AF4" w:rsidRPr="00A23740">
              <w:rPr>
                <w:color w:val="auto"/>
                <w:lang w:val="tr-TR"/>
              </w:rPr>
              <w:t xml:space="preserve">- </w:t>
            </w:r>
            <w:r w:rsidR="00574438" w:rsidRPr="00A23740">
              <w:rPr>
                <w:b w:val="0"/>
                <w:color w:val="auto"/>
                <w:lang w:val="tr-TR"/>
              </w:rPr>
              <w:t xml:space="preserve">Maddeyle, parasal sınırlara ilişkin hususlar düzenlenmektedir. </w:t>
            </w:r>
          </w:p>
          <w:p w:rsidR="00AF3F7A" w:rsidRPr="002060A9" w:rsidRDefault="00574438" w:rsidP="009431FF">
            <w:pPr>
              <w:pStyle w:val="Mavi"/>
              <w:ind w:firstLine="709"/>
              <w:rPr>
                <w:b w:val="0"/>
                <w:color w:val="auto"/>
                <w:lang w:val="tr-TR"/>
              </w:rPr>
            </w:pPr>
            <w:r w:rsidRPr="00A23740">
              <w:rPr>
                <w:b w:val="0"/>
                <w:color w:val="auto"/>
                <w:lang w:val="tr-TR"/>
              </w:rPr>
              <w:t>Birinci fıkrayla,</w:t>
            </w:r>
            <w:r w:rsidR="0020164C" w:rsidRPr="00A23740">
              <w:rPr>
                <w:b w:val="0"/>
                <w:color w:val="auto"/>
                <w:lang w:val="tr-TR"/>
              </w:rPr>
              <w:t xml:space="preserve"> Taslağın</w:t>
            </w:r>
            <w:r w:rsidRPr="00A23740">
              <w:rPr>
                <w:b w:val="0"/>
                <w:color w:val="auto"/>
                <w:lang w:val="tr-TR"/>
              </w:rPr>
              <w:t xml:space="preserve"> </w:t>
            </w:r>
            <w:r w:rsidR="0020164C" w:rsidRPr="00A23740">
              <w:rPr>
                <w:b w:val="0"/>
                <w:color w:val="auto"/>
                <w:lang w:val="tr-TR"/>
              </w:rPr>
              <w:t>“Bir işin yapılması veya yapılmamasına ilişkin ilamların ihlalinde icra tazminatı” başlıklı 78, “Pazarlık suretiyle satış h</w:t>
            </w:r>
            <w:r w:rsidR="002F2BAA" w:rsidRPr="00A23740">
              <w:rPr>
                <w:b w:val="0"/>
                <w:color w:val="auto"/>
                <w:lang w:val="tr-TR"/>
              </w:rPr>
              <w:t>â</w:t>
            </w:r>
            <w:r w:rsidR="0020164C" w:rsidRPr="00A23740">
              <w:rPr>
                <w:b w:val="0"/>
                <w:color w:val="auto"/>
                <w:lang w:val="tr-TR"/>
              </w:rPr>
              <w:t xml:space="preserve">lleri” başlıklı </w:t>
            </w:r>
            <w:r w:rsidR="003951A5" w:rsidRPr="002060A9">
              <w:rPr>
                <w:rStyle w:val="KonuBalChar"/>
                <w:rFonts w:eastAsia="Calibri"/>
                <w:color w:val="auto"/>
              </w:rPr>
              <w:t xml:space="preserve">244 </w:t>
            </w:r>
            <w:r w:rsidRPr="002060A9">
              <w:rPr>
                <w:b w:val="0"/>
                <w:color w:val="auto"/>
                <w:lang w:val="tr-TR"/>
              </w:rPr>
              <w:t xml:space="preserve"> ve </w:t>
            </w:r>
            <w:r w:rsidR="0020164C" w:rsidRPr="002060A9">
              <w:rPr>
                <w:b w:val="0"/>
                <w:color w:val="auto"/>
                <w:lang w:val="tr-TR"/>
              </w:rPr>
              <w:t xml:space="preserve">“İflas idaresinin görev ve yetkileri” başlıklı </w:t>
            </w:r>
            <w:r w:rsidR="003951A5" w:rsidRPr="002060A9">
              <w:rPr>
                <w:rStyle w:val="KonuBalChar"/>
                <w:rFonts w:eastAsia="Calibri"/>
                <w:color w:val="auto"/>
              </w:rPr>
              <w:t>339 uncu</w:t>
            </w:r>
            <w:r w:rsidRPr="002060A9">
              <w:rPr>
                <w:b w:val="0"/>
                <w:color w:val="auto"/>
                <w:lang w:val="tr-TR"/>
              </w:rPr>
              <w:t xml:space="preserve"> maddeler</w:t>
            </w:r>
            <w:r w:rsidR="0020164C" w:rsidRPr="002060A9">
              <w:rPr>
                <w:b w:val="0"/>
                <w:color w:val="auto"/>
                <w:lang w:val="tr-TR"/>
              </w:rPr>
              <w:t>in</w:t>
            </w:r>
            <w:r w:rsidRPr="002060A9">
              <w:rPr>
                <w:b w:val="0"/>
                <w:color w:val="auto"/>
                <w:lang w:val="tr-TR"/>
              </w:rPr>
              <w:t>de belirtilen parasal sınırlar</w:t>
            </w:r>
            <w:r w:rsidR="007B7471" w:rsidRPr="002060A9">
              <w:rPr>
                <w:b w:val="0"/>
                <w:color w:val="auto"/>
                <w:lang w:val="tr-TR"/>
              </w:rPr>
              <w:t>ın artırılmasıyla ilgili esaslar</w:t>
            </w:r>
            <w:r w:rsidR="00EF6FB6" w:rsidRPr="002060A9">
              <w:rPr>
                <w:b w:val="0"/>
                <w:color w:val="auto"/>
                <w:lang w:val="tr-TR"/>
              </w:rPr>
              <w:t xml:space="preserve"> belirlenmektedir.</w:t>
            </w:r>
            <w:r w:rsidRPr="002060A9">
              <w:rPr>
                <w:b w:val="0"/>
                <w:color w:val="auto"/>
                <w:lang w:val="tr-TR"/>
              </w:rPr>
              <w:t xml:space="preserve"> </w:t>
            </w:r>
            <w:r w:rsidR="007B7471" w:rsidRPr="002060A9">
              <w:rPr>
                <w:b w:val="0"/>
                <w:color w:val="auto"/>
                <w:lang w:val="tr-TR"/>
              </w:rPr>
              <w:t xml:space="preserve">Bu hüküm, 2004 sayılı Kanunun ek 1 inci maddesinin birinci fıkrasına karşılık gelmektedir. </w:t>
            </w:r>
          </w:p>
          <w:p w:rsidR="000E67D4" w:rsidRDefault="00EF6FB6" w:rsidP="009431FF">
            <w:pPr>
              <w:pStyle w:val="Mavi"/>
              <w:ind w:firstLine="709"/>
              <w:rPr>
                <w:color w:val="auto"/>
                <w:lang w:val="tr-TR"/>
              </w:rPr>
            </w:pPr>
            <w:r w:rsidRPr="002060A9">
              <w:rPr>
                <w:b w:val="0"/>
                <w:color w:val="auto"/>
                <w:lang w:val="tr-TR"/>
              </w:rPr>
              <w:t xml:space="preserve">Öte yandan, </w:t>
            </w:r>
            <w:r w:rsidR="007B7471" w:rsidRPr="002060A9">
              <w:rPr>
                <w:b w:val="0"/>
                <w:color w:val="auto"/>
                <w:lang w:val="tr-TR"/>
              </w:rPr>
              <w:t xml:space="preserve">2004 sayılı Kanunun ek 1 inci maddesinin birinci fıkrasında yer alan istinaf ve temyiz kanun yollarına başvuruda esas alınan parasal sınırlara ilişkin </w:t>
            </w:r>
            <w:r w:rsidRPr="002060A9">
              <w:rPr>
                <w:b w:val="0"/>
                <w:color w:val="auto"/>
                <w:lang w:val="tr-TR"/>
              </w:rPr>
              <w:t xml:space="preserve">363 ve 364 üncü madde hükümleri ile ek 1 inci maddenin ikinci fıkrasında düzenlenen 363 ve 364 üncü maddelerdeki parasal sınırların uygulanmasında hükmün verildiği tarihteki miktarın esas alınacağına </w:t>
            </w:r>
            <w:r w:rsidRPr="00A23740">
              <w:rPr>
                <w:b w:val="0"/>
                <w:color w:val="auto"/>
                <w:lang w:val="tr-TR"/>
              </w:rPr>
              <w:t xml:space="preserve">ilişkin hüküm, </w:t>
            </w:r>
            <w:r w:rsidR="00163E5A" w:rsidRPr="00A23740">
              <w:rPr>
                <w:b w:val="0"/>
                <w:color w:val="auto"/>
                <w:lang w:val="tr-TR"/>
              </w:rPr>
              <w:t>Taslağın</w:t>
            </w:r>
            <w:r w:rsidR="007B7471" w:rsidRPr="00A23740">
              <w:rPr>
                <w:b w:val="0"/>
                <w:color w:val="auto"/>
                <w:lang w:val="tr-TR"/>
              </w:rPr>
              <w:t xml:space="preserve"> </w:t>
            </w:r>
            <w:r w:rsidR="00AF3F7A" w:rsidRPr="002060A9">
              <w:rPr>
                <w:rStyle w:val="KonuBalChar"/>
                <w:rFonts w:eastAsia="Calibri"/>
                <w:color w:val="auto"/>
              </w:rPr>
              <w:t>35 inci</w:t>
            </w:r>
            <w:r w:rsidR="00AF3F7A" w:rsidRPr="00A23740">
              <w:rPr>
                <w:b w:val="0"/>
                <w:color w:val="auto"/>
                <w:lang w:val="tr-TR"/>
              </w:rPr>
              <w:t xml:space="preserve"> </w:t>
            </w:r>
            <w:r w:rsidR="007B7471" w:rsidRPr="00A23740">
              <w:rPr>
                <w:b w:val="0"/>
                <w:color w:val="auto"/>
                <w:lang w:val="tr-TR"/>
              </w:rPr>
              <w:t xml:space="preserve">maddesinin altıncı fıkrasında 6100 sayılı Kanuna atıf yapılmak suretiyle düzenlenmektedir. </w:t>
            </w:r>
            <w:r w:rsidR="00147373" w:rsidRPr="00A23740">
              <w:rPr>
                <w:b w:val="0"/>
                <w:color w:val="auto"/>
                <w:lang w:val="tr-TR"/>
              </w:rPr>
              <w:t xml:space="preserve">Böylece Anayasa Mahkemesinin konuya ilişkin iptal kararı da dikkate alınmış olmaktadır. </w:t>
            </w:r>
            <w:r w:rsidR="007B7471" w:rsidRPr="00A23740">
              <w:rPr>
                <w:b w:val="0"/>
                <w:color w:val="auto"/>
                <w:lang w:val="tr-TR"/>
              </w:rPr>
              <w:t xml:space="preserve">Yine ek 1 inci maddenin birinci fıkrasında yer alan </w:t>
            </w:r>
            <w:r w:rsidR="00147373" w:rsidRPr="00A23740">
              <w:rPr>
                <w:b w:val="0"/>
                <w:color w:val="auto"/>
                <w:lang w:val="tr-TR"/>
              </w:rPr>
              <w:t xml:space="preserve">ve </w:t>
            </w:r>
            <w:r w:rsidR="007B7471" w:rsidRPr="00A23740">
              <w:rPr>
                <w:b w:val="0"/>
                <w:color w:val="auto"/>
                <w:lang w:val="tr-TR"/>
              </w:rPr>
              <w:t>fevkalade h</w:t>
            </w:r>
            <w:r w:rsidR="003951A5" w:rsidRPr="00A23740">
              <w:rPr>
                <w:b w:val="0"/>
                <w:color w:val="auto"/>
                <w:lang w:val="tr-TR"/>
              </w:rPr>
              <w:t>â</w:t>
            </w:r>
            <w:r w:rsidR="007B7471" w:rsidRPr="00A23740">
              <w:rPr>
                <w:b w:val="0"/>
                <w:color w:val="auto"/>
                <w:lang w:val="tr-TR"/>
              </w:rPr>
              <w:t xml:space="preserve">llerde mühlete tabi olmayan alacaklar hakkında uygulanan parasal sınıra ilişkin </w:t>
            </w:r>
            <w:r w:rsidR="00147373" w:rsidRPr="00A23740">
              <w:rPr>
                <w:b w:val="0"/>
                <w:color w:val="auto"/>
                <w:lang w:val="tr-TR"/>
              </w:rPr>
              <w:t xml:space="preserve">olan </w:t>
            </w:r>
            <w:r w:rsidR="007B7471" w:rsidRPr="00A23740">
              <w:rPr>
                <w:b w:val="0"/>
                <w:color w:val="auto"/>
                <w:lang w:val="tr-TR"/>
              </w:rPr>
              <w:t>326 ncı madde</w:t>
            </w:r>
            <w:r w:rsidRPr="00A23740">
              <w:rPr>
                <w:b w:val="0"/>
                <w:color w:val="auto"/>
                <w:lang w:val="tr-TR"/>
              </w:rPr>
              <w:t>,</w:t>
            </w:r>
            <w:r w:rsidR="007B7471" w:rsidRPr="00A23740">
              <w:rPr>
                <w:b w:val="0"/>
                <w:color w:val="auto"/>
                <w:lang w:val="tr-TR"/>
              </w:rPr>
              <w:t xml:space="preserve"> </w:t>
            </w:r>
            <w:r w:rsidR="00163E5A" w:rsidRPr="00A23740">
              <w:rPr>
                <w:b w:val="0"/>
                <w:color w:val="auto"/>
                <w:lang w:val="tr-TR"/>
              </w:rPr>
              <w:t>Taslakta</w:t>
            </w:r>
            <w:r w:rsidR="007B7471" w:rsidRPr="00A23740">
              <w:rPr>
                <w:b w:val="0"/>
                <w:color w:val="auto"/>
                <w:lang w:val="tr-TR"/>
              </w:rPr>
              <w:t xml:space="preserve"> yer almamaktadır. Bu nedenle anılan </w:t>
            </w:r>
            <w:r w:rsidRPr="00A23740">
              <w:rPr>
                <w:b w:val="0"/>
                <w:color w:val="auto"/>
                <w:lang w:val="tr-TR"/>
              </w:rPr>
              <w:t xml:space="preserve">hükümlere </w:t>
            </w:r>
            <w:r w:rsidR="007B7471" w:rsidRPr="00A23740">
              <w:rPr>
                <w:b w:val="0"/>
                <w:color w:val="auto"/>
                <w:lang w:val="tr-TR"/>
              </w:rPr>
              <w:t>maddede yer verilmemektedir.</w:t>
            </w:r>
          </w:p>
          <w:p w:rsidR="00574438" w:rsidRPr="00A23740" w:rsidRDefault="00574438" w:rsidP="009431FF">
            <w:pPr>
              <w:pStyle w:val="Mavi"/>
              <w:ind w:firstLine="709"/>
              <w:rPr>
                <w:color w:val="auto"/>
                <w:lang w:val="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178DA" w:rsidRDefault="001178DA" w:rsidP="009431FF">
            <w:pPr>
              <w:pStyle w:val="maddebasl0"/>
              <w:spacing w:before="0"/>
              <w:rPr>
                <w:rFonts w:ascii="Times New Roman" w:hAnsi="Times New Roman" w:cs="Times New Roman"/>
                <w:b/>
                <w:sz w:val="24"/>
                <w:szCs w:val="24"/>
              </w:rPr>
            </w:pPr>
          </w:p>
          <w:p w:rsidR="00A17681" w:rsidRDefault="00A17681" w:rsidP="009431FF">
            <w:pPr>
              <w:pStyle w:val="maddebasl0"/>
              <w:spacing w:before="0"/>
              <w:rPr>
                <w:rFonts w:ascii="Times New Roman" w:hAnsi="Times New Roman" w:cs="Times New Roman"/>
                <w:b/>
                <w:sz w:val="24"/>
                <w:szCs w:val="24"/>
              </w:rPr>
            </w:pPr>
          </w:p>
          <w:p w:rsidR="002060A9" w:rsidRPr="00A23740" w:rsidRDefault="002060A9" w:rsidP="009431FF">
            <w:pPr>
              <w:pStyle w:val="maddebasl0"/>
              <w:spacing w:before="0"/>
              <w:rPr>
                <w:rFonts w:ascii="Times New Roman" w:hAnsi="Times New Roman" w:cs="Times New Roman"/>
                <w:b/>
                <w:sz w:val="24"/>
                <w:szCs w:val="24"/>
              </w:rPr>
            </w:pPr>
          </w:p>
          <w:p w:rsidR="00155AF4" w:rsidRPr="00A23740" w:rsidRDefault="00155AF4" w:rsidP="009431FF">
            <w:pPr>
              <w:pStyle w:val="maddebasl0"/>
              <w:spacing w:before="0"/>
              <w:rPr>
                <w:rFonts w:ascii="Times New Roman" w:hAnsi="Times New Roman" w:cs="Times New Roman"/>
                <w:b/>
                <w:sz w:val="24"/>
                <w:szCs w:val="24"/>
              </w:rPr>
            </w:pPr>
            <w:r w:rsidRPr="00A23740">
              <w:rPr>
                <w:rFonts w:ascii="Times New Roman" w:hAnsi="Times New Roman" w:cs="Times New Roman"/>
                <w:b/>
                <w:sz w:val="24"/>
                <w:szCs w:val="24"/>
              </w:rPr>
              <w:t>Harçlar</w:t>
            </w:r>
            <w:r w:rsidRPr="00A23740">
              <w:rPr>
                <w:rFonts w:ascii="Times New Roman" w:eastAsia="Times New Roman" w:hAnsi="Times New Roman" w:cs="Times New Roman"/>
                <w:b/>
                <w:bCs/>
                <w:i w:val="0"/>
                <w:iCs w:val="0"/>
                <w:strike/>
                <w:color w:val="FF0000"/>
                <w:sz w:val="24"/>
                <w:szCs w:val="24"/>
                <w:lang w:eastAsia="x-none"/>
              </w:rPr>
              <w:t>:</w:t>
            </w:r>
          </w:p>
          <w:p w:rsidR="00155AF4" w:rsidRPr="00A23740" w:rsidRDefault="00155AF4" w:rsidP="009431FF">
            <w:pPr>
              <w:pStyle w:val="KIRMIZI"/>
              <w:rPr>
                <w:lang w:val="tr-TR"/>
              </w:rPr>
            </w:pPr>
            <w:r w:rsidRPr="00A23740">
              <w:rPr>
                <w:lang w:val="tr-TR"/>
              </w:rPr>
              <w:t>Madde 15 – (1) (Değişik: 3/7/1940-3890/1 md.)</w:t>
            </w:r>
          </w:p>
          <w:p w:rsidR="00155AF4" w:rsidRPr="00A23740" w:rsidRDefault="00155AF4" w:rsidP="009431FF">
            <w:pPr>
              <w:pStyle w:val="nor0"/>
              <w:rPr>
                <w:rFonts w:ascii="Times New Roman" w:hAnsi="Times New Roman" w:cs="Times New Roman"/>
                <w:sz w:val="24"/>
                <w:szCs w:val="24"/>
              </w:rPr>
            </w:pPr>
            <w:r w:rsidRPr="00A23740">
              <w:rPr>
                <w:rFonts w:ascii="Times New Roman" w:hAnsi="Times New Roman" w:cs="Times New Roman"/>
                <w:sz w:val="24"/>
                <w:szCs w:val="24"/>
              </w:rPr>
              <w:t>İcra ve iflas harçları</w:t>
            </w:r>
            <w:r w:rsidRPr="00A23740">
              <w:rPr>
                <w:rFonts w:ascii="Times New Roman" w:eastAsia="Times New Roman" w:hAnsi="Times New Roman" w:cs="Times New Roman"/>
                <w:b/>
                <w:bCs/>
                <w:strike/>
                <w:color w:val="FF0000"/>
                <w:sz w:val="24"/>
                <w:szCs w:val="24"/>
                <w:lang w:eastAsia="x-none"/>
              </w:rPr>
              <w:t>nı</w:t>
            </w:r>
            <w:r w:rsidRPr="00A23740">
              <w:rPr>
                <w:rFonts w:ascii="Times New Roman" w:hAnsi="Times New Roman" w:cs="Times New Roman"/>
                <w:sz w:val="24"/>
                <w:szCs w:val="24"/>
              </w:rPr>
              <w:t xml:space="preserve"> kanun</w:t>
            </w:r>
            <w:r w:rsidRPr="00A23740">
              <w:rPr>
                <w:rFonts w:ascii="Times New Roman" w:eastAsia="Times New Roman" w:hAnsi="Times New Roman" w:cs="Times New Roman"/>
                <w:b/>
                <w:bCs/>
                <w:color w:val="FF0000"/>
                <w:sz w:val="24"/>
                <w:szCs w:val="24"/>
                <w:lang w:eastAsia="x-none"/>
              </w:rPr>
              <w:t xml:space="preserve"> </w:t>
            </w:r>
            <w:r w:rsidRPr="00A23740">
              <w:rPr>
                <w:rFonts w:ascii="Times New Roman" w:eastAsia="Times New Roman" w:hAnsi="Times New Roman" w:cs="Times New Roman"/>
                <w:b/>
                <w:bCs/>
                <w:strike/>
                <w:color w:val="FF0000"/>
                <w:sz w:val="24"/>
                <w:szCs w:val="24"/>
                <w:lang w:eastAsia="x-none"/>
              </w:rPr>
              <w:t>tayin eder</w:t>
            </w:r>
            <w:r w:rsidRPr="00A23740">
              <w:rPr>
                <w:rFonts w:ascii="Times New Roman" w:hAnsi="Times New Roman" w:cs="Times New Roman"/>
                <w:sz w:val="24"/>
                <w:szCs w:val="24"/>
              </w:rPr>
              <w:t xml:space="preserve">. </w:t>
            </w:r>
            <w:r w:rsidRPr="00A23740">
              <w:rPr>
                <w:rStyle w:val="KIRMIZIChar"/>
                <w:rFonts w:eastAsia="Arial Unicode MS" w:cs="Times New Roman"/>
              </w:rPr>
              <w:t>Kanunda hilafı yazılı değilse, bütün harç ve masraflar borçluya ait olup neticede ayrıca hüküm ve takibe hacet kalmaksızın tahsil olunur.</w:t>
            </w:r>
          </w:p>
          <w:p w:rsidR="001178DA" w:rsidRPr="00A23740" w:rsidRDefault="001178DA" w:rsidP="009431FF">
            <w:pPr>
              <w:pStyle w:val="nor0"/>
              <w:rPr>
                <w:rFonts w:ascii="Times New Roman" w:hAnsi="Times New Roman" w:cs="Times New Roman"/>
                <w:sz w:val="24"/>
                <w:szCs w:val="24"/>
              </w:rPr>
            </w:pPr>
          </w:p>
          <w:p w:rsidR="00907ECC" w:rsidRPr="00A23740" w:rsidRDefault="002060A9" w:rsidP="009431FF">
            <w:pPr>
              <w:pStyle w:val="KIRMIZI"/>
              <w:rPr>
                <w:rFonts w:eastAsia="Arial Unicode MS"/>
                <w:b w:val="0"/>
                <w:bCs w:val="0"/>
                <w:strike w:val="0"/>
                <w:color w:val="auto"/>
                <w:lang w:val="tr-TR" w:eastAsia="tr-TR"/>
              </w:rPr>
            </w:pPr>
            <w:r w:rsidRPr="002060A9">
              <w:rPr>
                <w:rFonts w:eastAsia="Arial Unicode MS"/>
              </w:rPr>
              <w:lastRenderedPageBreak/>
              <w:t>(M.15/</w:t>
            </w:r>
            <w:r w:rsidR="001178DA" w:rsidRPr="002060A9">
              <w:rPr>
                <w:rFonts w:eastAsia="Arial Unicode MS"/>
              </w:rPr>
              <w:t>F1.C2):</w:t>
            </w:r>
            <w:r w:rsidR="001178DA" w:rsidRPr="00A23740">
              <w:rPr>
                <w:rFonts w:eastAsia="Arial Unicode MS"/>
                <w:b w:val="0"/>
                <w:bCs w:val="0"/>
                <w:strike w:val="0"/>
                <w:color w:val="auto"/>
                <w:lang w:val="tr-TR" w:eastAsia="tr-TR"/>
              </w:rPr>
              <w:t xml:space="preserve"> Kanunda </w:t>
            </w:r>
            <w:r w:rsidR="001178DA" w:rsidRPr="00A23740">
              <w:rPr>
                <w:lang w:val="tr-TR" w:eastAsia="tr-TR"/>
              </w:rPr>
              <w:t>hilafı</w:t>
            </w:r>
            <w:r w:rsidR="001178DA" w:rsidRPr="00A23740">
              <w:rPr>
                <w:rFonts w:eastAsia="Arial Unicode MS"/>
                <w:b w:val="0"/>
                <w:bCs w:val="0"/>
                <w:strike w:val="0"/>
                <w:color w:val="auto"/>
                <w:lang w:val="tr-TR" w:eastAsia="tr-TR"/>
              </w:rPr>
              <w:t xml:space="preserve"> yazılı </w:t>
            </w:r>
            <w:r w:rsidR="001178DA" w:rsidRPr="00A23740">
              <w:rPr>
                <w:lang w:val="tr-TR" w:eastAsia="tr-TR"/>
              </w:rPr>
              <w:t>değilse,</w:t>
            </w:r>
            <w:r w:rsidR="001178DA" w:rsidRPr="00A23740">
              <w:rPr>
                <w:rFonts w:eastAsia="Arial Unicode MS"/>
                <w:b w:val="0"/>
                <w:bCs w:val="0"/>
                <w:strike w:val="0"/>
                <w:color w:val="auto"/>
                <w:lang w:val="tr-TR" w:eastAsia="tr-TR"/>
              </w:rPr>
              <w:t xml:space="preserve"> bütün harç ve </w:t>
            </w:r>
            <w:r w:rsidR="001178DA" w:rsidRPr="00A23740">
              <w:rPr>
                <w:lang w:val="tr-TR" w:eastAsia="tr-TR"/>
              </w:rPr>
              <w:t>masraflar</w:t>
            </w:r>
            <w:r w:rsidR="001178DA" w:rsidRPr="00A23740">
              <w:rPr>
                <w:rFonts w:eastAsia="Arial Unicode MS"/>
                <w:b w:val="0"/>
                <w:bCs w:val="0"/>
                <w:strike w:val="0"/>
                <w:color w:val="auto"/>
                <w:lang w:val="tr-TR" w:eastAsia="tr-TR"/>
              </w:rPr>
              <w:t xml:space="preserve"> borçluya ait olup </w:t>
            </w:r>
            <w:r w:rsidR="001178DA" w:rsidRPr="00A23740">
              <w:rPr>
                <w:rFonts w:eastAsia="Arial Unicode MS"/>
                <w:lang w:val="tr-TR" w:eastAsia="tr-TR"/>
              </w:rPr>
              <w:t>neticede</w:t>
            </w:r>
            <w:r w:rsidR="001178DA" w:rsidRPr="00A23740">
              <w:rPr>
                <w:strike w:val="0"/>
                <w:lang w:val="tr-TR" w:eastAsia="tr-TR"/>
              </w:rPr>
              <w:t xml:space="preserve"> </w:t>
            </w:r>
            <w:r w:rsidR="001178DA" w:rsidRPr="00A23740">
              <w:rPr>
                <w:rFonts w:eastAsia="Arial Unicode MS"/>
                <w:b w:val="0"/>
                <w:bCs w:val="0"/>
                <w:strike w:val="0"/>
                <w:color w:val="auto"/>
                <w:lang w:val="tr-TR" w:eastAsia="tr-TR"/>
              </w:rPr>
              <w:t xml:space="preserve">ayrıca hüküm ve takibe </w:t>
            </w:r>
            <w:r w:rsidR="001178DA" w:rsidRPr="00A23740">
              <w:rPr>
                <w:lang w:val="tr-TR" w:eastAsia="tr-TR"/>
              </w:rPr>
              <w:t>hacet</w:t>
            </w:r>
            <w:r w:rsidR="001178DA" w:rsidRPr="00A23740">
              <w:rPr>
                <w:rFonts w:eastAsia="Arial Unicode MS"/>
                <w:b w:val="0"/>
                <w:bCs w:val="0"/>
                <w:strike w:val="0"/>
                <w:color w:val="auto"/>
                <w:lang w:val="tr-TR" w:eastAsia="tr-TR"/>
              </w:rPr>
              <w:t xml:space="preserve"> kalmaksızın tahsil olunur.</w:t>
            </w:r>
          </w:p>
          <w:p w:rsidR="001178DA" w:rsidRPr="00A23740" w:rsidRDefault="001178DA" w:rsidP="009431FF">
            <w:pPr>
              <w:pStyle w:val="KIRMIZI"/>
              <w:rPr>
                <w:lang w:val="tr-TR"/>
              </w:rPr>
            </w:pPr>
          </w:p>
          <w:p w:rsidR="00155AF4" w:rsidRPr="00A23740" w:rsidRDefault="00155AF4" w:rsidP="009431FF">
            <w:pPr>
              <w:pStyle w:val="KIRMIZI"/>
              <w:rPr>
                <w:lang w:val="tr-TR"/>
              </w:rPr>
            </w:pPr>
            <w:r w:rsidRPr="00A23740">
              <w:rPr>
                <w:lang w:val="tr-TR"/>
              </w:rPr>
              <w:t>(2) İcra takiplerinde, müzahereti Adliye kararları takibe yetkili icra mahkemesi tarafından Hukuk Usulü Muhakemeleri Kanununun 465 ve müteakip maddelerine tevfikan ittihaz olunur.</w:t>
            </w:r>
          </w:p>
          <w:p w:rsidR="00155AF4" w:rsidRPr="00A23740" w:rsidRDefault="00155AF4" w:rsidP="009431FF">
            <w:pPr>
              <w:tabs>
                <w:tab w:val="left" w:pos="567"/>
              </w:tabs>
              <w:autoSpaceDE w:val="0"/>
              <w:autoSpaceDN w:val="0"/>
              <w:adjustRightInd w:val="0"/>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Balk3"/>
              <w:rPr>
                <w:szCs w:val="24"/>
                <w:lang w:val="tr-TR"/>
              </w:rPr>
            </w:pPr>
            <w:r w:rsidRPr="00A23740">
              <w:rPr>
                <w:szCs w:val="24"/>
                <w:lang w:val="tr-TR"/>
              </w:rPr>
              <w:lastRenderedPageBreak/>
              <w:t>DÖRDÜNCÜ BÖLÜM</w:t>
            </w:r>
          </w:p>
          <w:p w:rsidR="008A33C7" w:rsidRPr="00A23740" w:rsidRDefault="00712EC1" w:rsidP="009431FF">
            <w:pPr>
              <w:jc w:val="center"/>
              <w:rPr>
                <w:rFonts w:eastAsia="Times New Roman"/>
                <w:b/>
                <w:bCs/>
                <w:color w:val="0000FF"/>
                <w:szCs w:val="24"/>
              </w:rPr>
            </w:pPr>
            <w:r w:rsidRPr="002144D4">
              <w:rPr>
                <w:rFonts w:eastAsia="Times New Roman"/>
                <w:b/>
                <w:bCs/>
                <w:color w:val="0000FF"/>
                <w:szCs w:val="24"/>
              </w:rPr>
              <w:t>Takip</w:t>
            </w:r>
            <w:r w:rsidRPr="00A23740">
              <w:rPr>
                <w:rStyle w:val="KonuBalChar"/>
                <w:rFonts w:eastAsia="Calibri"/>
              </w:rPr>
              <w:t xml:space="preserve"> </w:t>
            </w:r>
            <w:r w:rsidRPr="002144D4">
              <w:rPr>
                <w:rFonts w:eastAsia="Times New Roman"/>
                <w:b/>
                <w:bCs/>
                <w:color w:val="0000FF"/>
                <w:szCs w:val="24"/>
              </w:rPr>
              <w:t>ve</w:t>
            </w:r>
            <w:r w:rsidRPr="00A23740">
              <w:rPr>
                <w:rFonts w:eastAsia="Times New Roman"/>
                <w:b/>
                <w:bCs/>
                <w:color w:val="0000FF"/>
                <w:szCs w:val="24"/>
              </w:rPr>
              <w:t xml:space="preserve"> </w:t>
            </w:r>
            <w:r w:rsidR="008A33C7" w:rsidRPr="00A23740">
              <w:rPr>
                <w:rFonts w:eastAsia="Times New Roman"/>
                <w:b/>
                <w:bCs/>
                <w:color w:val="0000FF"/>
                <w:szCs w:val="24"/>
              </w:rPr>
              <w:t>Yargılama Giderleri</w:t>
            </w:r>
            <w:r w:rsidRPr="00A23740">
              <w:rPr>
                <w:rFonts w:eastAsia="Times New Roman"/>
                <w:b/>
                <w:bCs/>
                <w:color w:val="0000FF"/>
                <w:szCs w:val="24"/>
              </w:rPr>
              <w:t xml:space="preserve"> </w:t>
            </w:r>
            <w:r w:rsidRPr="002144D4">
              <w:rPr>
                <w:rFonts w:eastAsia="Times New Roman"/>
                <w:b/>
                <w:bCs/>
                <w:color w:val="0000FF"/>
                <w:szCs w:val="24"/>
              </w:rPr>
              <w:t>ile Adli Yardım</w:t>
            </w:r>
          </w:p>
          <w:p w:rsidR="00155AF4" w:rsidRPr="00A23740" w:rsidRDefault="00155AF4" w:rsidP="009431FF">
            <w:pPr>
              <w:pStyle w:val="Mavi"/>
              <w:rPr>
                <w:rFonts w:eastAsia="Times New Roman"/>
                <w:color w:val="FF00FF"/>
                <w:lang w:val="tr-TR" w:eastAsia="tr-TR"/>
              </w:rPr>
            </w:pPr>
          </w:p>
          <w:p w:rsidR="00155AF4" w:rsidRPr="00A23740" w:rsidRDefault="00155AF4" w:rsidP="009431FF">
            <w:pPr>
              <w:pStyle w:val="nor0"/>
              <w:rPr>
                <w:rStyle w:val="MaviChar"/>
                <w:rFonts w:eastAsia="Calibri" w:cs="Times New Roman"/>
                <w:lang w:val="tr-TR"/>
              </w:rPr>
            </w:pPr>
            <w:r w:rsidRPr="00A23740">
              <w:rPr>
                <w:rFonts w:ascii="Times New Roman" w:hAnsi="Times New Roman" w:cs="Times New Roman"/>
                <w:sz w:val="24"/>
                <w:szCs w:val="24"/>
              </w:rPr>
              <w:t>Harçlar</w:t>
            </w:r>
            <w:r w:rsidRPr="00A23740">
              <w:rPr>
                <w:rStyle w:val="MaviChar"/>
                <w:rFonts w:eastAsia="Calibri" w:cs="Times New Roman"/>
                <w:lang w:val="tr-TR"/>
              </w:rPr>
              <w:t xml:space="preserve"> </w:t>
            </w:r>
            <w:r w:rsidRPr="00A23740">
              <w:rPr>
                <w:rStyle w:val="MaviChar"/>
                <w:rFonts w:cs="Times New Roman"/>
              </w:rPr>
              <w:t>ve giderler</w:t>
            </w:r>
          </w:p>
          <w:p w:rsidR="001178DA" w:rsidRPr="00A23740" w:rsidRDefault="00155AF4" w:rsidP="009431FF">
            <w:pPr>
              <w:pStyle w:val="nor0"/>
              <w:rPr>
                <w:rFonts w:ascii="Times New Roman" w:hAnsi="Times New Roman" w:cs="Times New Roman"/>
                <w:b/>
                <w:bCs/>
                <w:sz w:val="24"/>
                <w:szCs w:val="24"/>
              </w:rPr>
            </w:pPr>
            <w:r w:rsidRPr="00A23740">
              <w:rPr>
                <w:rStyle w:val="MaviChar"/>
                <w:rFonts w:cs="Times New Roman"/>
              </w:rPr>
              <w:t>MADDE</w:t>
            </w:r>
            <w:r w:rsidRPr="00A23740">
              <w:rPr>
                <w:rStyle w:val="MaviChar"/>
                <w:rFonts w:eastAsia="Calibri" w:cs="Times New Roman"/>
                <w:lang w:val="tr-TR"/>
              </w:rPr>
              <w:t xml:space="preserve"> </w:t>
            </w:r>
            <w:r w:rsidRPr="00A23740">
              <w:rPr>
                <w:rStyle w:val="MaviChar"/>
                <w:rFonts w:cs="Times New Roman"/>
              </w:rPr>
              <w:t>50- (</w:t>
            </w:r>
            <w:r w:rsidRPr="00A23740">
              <w:rPr>
                <w:rStyle w:val="MaviChar"/>
                <w:rFonts w:eastAsia="Calibri" w:cs="Times New Roman"/>
                <w:lang w:val="tr-TR"/>
              </w:rPr>
              <w:t xml:space="preserve">1) </w:t>
            </w:r>
            <w:r w:rsidRPr="00A23740">
              <w:rPr>
                <w:rFonts w:ascii="Times New Roman" w:hAnsi="Times New Roman" w:cs="Times New Roman"/>
                <w:sz w:val="24"/>
                <w:szCs w:val="24"/>
              </w:rPr>
              <w:t>İcra ve iflas</w:t>
            </w:r>
            <w:r w:rsidRPr="00A23740">
              <w:rPr>
                <w:rFonts w:ascii="Times New Roman" w:hAnsi="Times New Roman" w:cs="Times New Roman"/>
                <w:b/>
                <w:bCs/>
                <w:sz w:val="24"/>
                <w:szCs w:val="24"/>
              </w:rPr>
              <w:t xml:space="preserve"> </w:t>
            </w:r>
            <w:r w:rsidRPr="00A23740">
              <w:rPr>
                <w:rFonts w:ascii="Times New Roman" w:hAnsi="Times New Roman" w:cs="Times New Roman"/>
                <w:sz w:val="24"/>
                <w:szCs w:val="24"/>
              </w:rPr>
              <w:t>harçları</w:t>
            </w:r>
            <w:r w:rsidRPr="00A23740">
              <w:rPr>
                <w:rFonts w:ascii="Times New Roman" w:hAnsi="Times New Roman" w:cs="Times New Roman"/>
                <w:b/>
                <w:bCs/>
                <w:sz w:val="24"/>
                <w:szCs w:val="24"/>
              </w:rPr>
              <w:t xml:space="preserve"> </w:t>
            </w:r>
            <w:r w:rsidRPr="00A23740">
              <w:rPr>
                <w:rFonts w:ascii="Times New Roman" w:hAnsi="Times New Roman" w:cs="Times New Roman"/>
                <w:sz w:val="24"/>
                <w:szCs w:val="24"/>
              </w:rPr>
              <w:t>kanun</w:t>
            </w:r>
            <w:r w:rsidRPr="00A23740">
              <w:rPr>
                <w:rStyle w:val="MaviChar"/>
                <w:rFonts w:cs="Times New Roman"/>
                <w:lang w:val="tr-TR"/>
              </w:rPr>
              <w:t>la belirlenir</w:t>
            </w:r>
            <w:r w:rsidRPr="00A23740">
              <w:rPr>
                <w:rFonts w:ascii="Times New Roman" w:hAnsi="Times New Roman" w:cs="Times New Roman"/>
                <w:b/>
                <w:bCs/>
                <w:sz w:val="24"/>
                <w:szCs w:val="24"/>
              </w:rPr>
              <w:t xml:space="preserve">. </w:t>
            </w:r>
          </w:p>
          <w:p w:rsidR="001178DA" w:rsidRPr="00A23740" w:rsidRDefault="001178DA" w:rsidP="009431FF">
            <w:pPr>
              <w:pStyle w:val="nor0"/>
              <w:rPr>
                <w:rFonts w:ascii="Times New Roman" w:hAnsi="Times New Roman" w:cs="Times New Roman"/>
                <w:b/>
                <w:bCs/>
                <w:sz w:val="24"/>
                <w:szCs w:val="24"/>
              </w:rPr>
            </w:pPr>
          </w:p>
          <w:p w:rsidR="00F020F4" w:rsidRPr="00A23740" w:rsidRDefault="00F020F4" w:rsidP="009431FF">
            <w:pPr>
              <w:pStyle w:val="nor0"/>
              <w:rPr>
                <w:rFonts w:ascii="Times New Roman" w:hAnsi="Times New Roman" w:cs="Times New Roman"/>
                <w:b/>
                <w:bCs/>
                <w:sz w:val="24"/>
                <w:szCs w:val="24"/>
              </w:rPr>
            </w:pPr>
          </w:p>
          <w:p w:rsidR="001178DA" w:rsidRDefault="001178DA" w:rsidP="009431FF">
            <w:pPr>
              <w:pStyle w:val="nor0"/>
              <w:rPr>
                <w:rFonts w:ascii="Times New Roman" w:hAnsi="Times New Roman" w:cs="Times New Roman"/>
                <w:b/>
                <w:bCs/>
                <w:sz w:val="24"/>
                <w:szCs w:val="24"/>
              </w:rPr>
            </w:pPr>
          </w:p>
          <w:p w:rsidR="002060A9" w:rsidRPr="00A23740" w:rsidRDefault="002060A9" w:rsidP="009431FF">
            <w:pPr>
              <w:pStyle w:val="nor0"/>
              <w:rPr>
                <w:rFonts w:ascii="Times New Roman" w:hAnsi="Times New Roman" w:cs="Times New Roman"/>
                <w:b/>
                <w:bCs/>
                <w:sz w:val="24"/>
                <w:szCs w:val="24"/>
              </w:rPr>
            </w:pPr>
          </w:p>
          <w:p w:rsidR="00155AF4" w:rsidRPr="00A23740" w:rsidRDefault="001178DA" w:rsidP="009431FF">
            <w:pPr>
              <w:pStyle w:val="nor0"/>
              <w:rPr>
                <w:rStyle w:val="MaviChar"/>
                <w:rFonts w:eastAsia="Calibri" w:cs="Times New Roman"/>
                <w:lang w:val="tr-TR"/>
              </w:rPr>
            </w:pPr>
            <w:r w:rsidRPr="00A23740">
              <w:rPr>
                <w:rStyle w:val="MaviChar"/>
                <w:rFonts w:cs="Times New Roman"/>
              </w:rPr>
              <w:lastRenderedPageBreak/>
              <w:t>(2)</w:t>
            </w:r>
            <w:r w:rsidRPr="00A23740">
              <w:rPr>
                <w:rFonts w:ascii="Times New Roman" w:hAnsi="Times New Roman" w:cs="Times New Roman"/>
                <w:b/>
                <w:bCs/>
                <w:sz w:val="24"/>
                <w:szCs w:val="24"/>
              </w:rPr>
              <w:t xml:space="preserve"> </w:t>
            </w:r>
            <w:r w:rsidR="00155AF4" w:rsidRPr="00A23740">
              <w:rPr>
                <w:rFonts w:ascii="Times New Roman" w:hAnsi="Times New Roman" w:cs="Times New Roman"/>
                <w:sz w:val="24"/>
                <w:szCs w:val="24"/>
              </w:rPr>
              <w:t>Kanunda</w:t>
            </w:r>
            <w:r w:rsidR="00155AF4" w:rsidRPr="00A23740">
              <w:rPr>
                <w:rStyle w:val="MaviChar"/>
                <w:rFonts w:eastAsia="Calibri" w:cs="Times New Roman"/>
                <w:lang w:val="tr-TR"/>
              </w:rPr>
              <w:t xml:space="preserve"> </w:t>
            </w:r>
            <w:r w:rsidR="00155AF4" w:rsidRPr="00A23740">
              <w:rPr>
                <w:rStyle w:val="MaviChar"/>
                <w:rFonts w:cs="Times New Roman"/>
              </w:rPr>
              <w:t>aksi</w:t>
            </w:r>
            <w:r w:rsidR="00155AF4" w:rsidRPr="00A23740">
              <w:rPr>
                <w:rStyle w:val="MaviChar"/>
                <w:rFonts w:eastAsia="Calibri" w:cs="Times New Roman"/>
                <w:lang w:val="tr-TR"/>
              </w:rPr>
              <w:t xml:space="preserve"> </w:t>
            </w:r>
            <w:r w:rsidR="00155AF4" w:rsidRPr="00A23740">
              <w:rPr>
                <w:rFonts w:ascii="Times New Roman" w:hAnsi="Times New Roman" w:cs="Times New Roman"/>
                <w:sz w:val="24"/>
                <w:szCs w:val="24"/>
              </w:rPr>
              <w:t>yazılı</w:t>
            </w:r>
            <w:r w:rsidR="00155AF4" w:rsidRPr="00A23740">
              <w:rPr>
                <w:rFonts w:ascii="Times New Roman" w:hAnsi="Times New Roman" w:cs="Times New Roman"/>
                <w:b/>
                <w:bCs/>
                <w:sz w:val="24"/>
                <w:szCs w:val="24"/>
              </w:rPr>
              <w:t xml:space="preserve"> </w:t>
            </w:r>
            <w:r w:rsidR="00155AF4" w:rsidRPr="00A23740">
              <w:rPr>
                <w:rStyle w:val="MaviChar"/>
                <w:rFonts w:cs="Times New Roman"/>
              </w:rPr>
              <w:t>olmadıkça</w:t>
            </w:r>
            <w:r w:rsidR="00155AF4" w:rsidRPr="00A23740">
              <w:rPr>
                <w:rFonts w:ascii="Times New Roman" w:hAnsi="Times New Roman" w:cs="Times New Roman"/>
                <w:b/>
                <w:bCs/>
                <w:sz w:val="24"/>
                <w:szCs w:val="24"/>
              </w:rPr>
              <w:t xml:space="preserve"> </w:t>
            </w:r>
            <w:r w:rsidR="00155AF4" w:rsidRPr="00A23740">
              <w:rPr>
                <w:rFonts w:ascii="Times New Roman" w:hAnsi="Times New Roman" w:cs="Times New Roman"/>
                <w:sz w:val="24"/>
                <w:szCs w:val="24"/>
              </w:rPr>
              <w:t>bütün</w:t>
            </w:r>
            <w:r w:rsidR="00155AF4" w:rsidRPr="00A23740">
              <w:rPr>
                <w:rFonts w:ascii="Times New Roman" w:hAnsi="Times New Roman" w:cs="Times New Roman"/>
                <w:b/>
                <w:bCs/>
                <w:sz w:val="24"/>
                <w:szCs w:val="24"/>
              </w:rPr>
              <w:t xml:space="preserve"> </w:t>
            </w:r>
            <w:r w:rsidR="00155AF4" w:rsidRPr="00A23740">
              <w:rPr>
                <w:rFonts w:ascii="Times New Roman" w:hAnsi="Times New Roman" w:cs="Times New Roman"/>
                <w:sz w:val="24"/>
                <w:szCs w:val="24"/>
              </w:rPr>
              <w:t>harç</w:t>
            </w:r>
            <w:r w:rsidR="00155AF4" w:rsidRPr="00A23740">
              <w:rPr>
                <w:rFonts w:ascii="Times New Roman" w:hAnsi="Times New Roman" w:cs="Times New Roman"/>
                <w:b/>
                <w:bCs/>
                <w:sz w:val="24"/>
                <w:szCs w:val="24"/>
              </w:rPr>
              <w:t xml:space="preserve"> </w:t>
            </w:r>
            <w:r w:rsidR="00155AF4" w:rsidRPr="00A23740">
              <w:rPr>
                <w:rFonts w:ascii="Times New Roman" w:hAnsi="Times New Roman" w:cs="Times New Roman"/>
                <w:sz w:val="24"/>
                <w:szCs w:val="24"/>
              </w:rPr>
              <w:t>ve</w:t>
            </w:r>
            <w:r w:rsidR="00155AF4" w:rsidRPr="00A23740">
              <w:rPr>
                <w:rStyle w:val="MaviChar"/>
                <w:rFonts w:eastAsia="Calibri" w:cs="Times New Roman"/>
                <w:lang w:val="tr-TR"/>
              </w:rPr>
              <w:t xml:space="preserve"> </w:t>
            </w:r>
            <w:r w:rsidR="00155AF4" w:rsidRPr="00A23740">
              <w:rPr>
                <w:rStyle w:val="MaviChar"/>
                <w:rFonts w:cs="Times New Roman"/>
              </w:rPr>
              <w:t>giderler</w:t>
            </w:r>
            <w:r w:rsidR="00155AF4" w:rsidRPr="00A23740">
              <w:rPr>
                <w:rStyle w:val="MaviChar"/>
                <w:rFonts w:eastAsia="Calibri" w:cs="Times New Roman"/>
                <w:lang w:val="tr-TR"/>
              </w:rPr>
              <w:t xml:space="preserve"> </w:t>
            </w:r>
            <w:r w:rsidR="00155AF4" w:rsidRPr="00A23740">
              <w:rPr>
                <w:rFonts w:ascii="Times New Roman" w:hAnsi="Times New Roman" w:cs="Times New Roman"/>
                <w:sz w:val="24"/>
                <w:szCs w:val="24"/>
              </w:rPr>
              <w:t xml:space="preserve">borçluya ait olup </w:t>
            </w:r>
            <w:r w:rsidR="00155AF4" w:rsidRPr="00A23740">
              <w:rPr>
                <w:rStyle w:val="MaviChar"/>
                <w:rFonts w:cs="Times New Roman"/>
              </w:rPr>
              <w:t>takibin sonunda</w:t>
            </w:r>
            <w:r w:rsidR="00653581" w:rsidRPr="002060A9">
              <w:rPr>
                <w:rStyle w:val="Balk1Char"/>
                <w:rFonts w:eastAsia="Arial Unicode MS"/>
              </w:rPr>
              <w:t>,</w:t>
            </w:r>
            <w:r w:rsidR="00155AF4" w:rsidRPr="00A23740">
              <w:rPr>
                <w:rStyle w:val="MaviChar"/>
                <w:rFonts w:cs="Times New Roman"/>
              </w:rPr>
              <w:t xml:space="preserve"> </w:t>
            </w:r>
            <w:r w:rsidR="00155AF4" w:rsidRPr="00A23740">
              <w:rPr>
                <w:rFonts w:ascii="Times New Roman" w:hAnsi="Times New Roman" w:cs="Times New Roman"/>
                <w:sz w:val="24"/>
                <w:szCs w:val="24"/>
              </w:rPr>
              <w:t xml:space="preserve">ayrıca hüküm ve takibe </w:t>
            </w:r>
            <w:r w:rsidR="00155AF4" w:rsidRPr="00A23740">
              <w:rPr>
                <w:rStyle w:val="MaviChar"/>
                <w:rFonts w:cs="Times New Roman"/>
              </w:rPr>
              <w:t>gerek</w:t>
            </w:r>
            <w:r w:rsidR="00155AF4" w:rsidRPr="00A23740">
              <w:rPr>
                <w:rStyle w:val="MaviChar"/>
                <w:rFonts w:eastAsia="Calibri" w:cs="Times New Roman"/>
                <w:lang w:val="tr-TR"/>
              </w:rPr>
              <w:t xml:space="preserve"> </w:t>
            </w:r>
            <w:r w:rsidR="00155AF4" w:rsidRPr="00A23740">
              <w:rPr>
                <w:rFonts w:ascii="Times New Roman" w:hAnsi="Times New Roman" w:cs="Times New Roman"/>
                <w:sz w:val="24"/>
                <w:szCs w:val="24"/>
              </w:rPr>
              <w:t>kalmaksızın tahsil olunur.</w:t>
            </w:r>
          </w:p>
          <w:p w:rsidR="00155AF4" w:rsidRPr="00A23740" w:rsidRDefault="00155AF4" w:rsidP="009431FF">
            <w:pPr>
              <w:pStyle w:val="Mavi"/>
              <w:rPr>
                <w:rFonts w:eastAsia="Times New Roman"/>
                <w:color w:val="FF00FF"/>
                <w:lang w:val="tr-TR" w:eastAsia="tr-TR"/>
              </w:rPr>
            </w:pPr>
          </w:p>
          <w:p w:rsidR="00907ECC" w:rsidRPr="00A23740" w:rsidRDefault="00907ECC" w:rsidP="009431FF">
            <w:pPr>
              <w:rPr>
                <w:rFonts w:eastAsia="Times New Roman"/>
                <w:b/>
                <w:bCs/>
                <w:color w:val="FF0000"/>
                <w:szCs w:val="24"/>
                <w:lang w:eastAsia="tr-TR"/>
              </w:rPr>
            </w:pPr>
          </w:p>
          <w:p w:rsidR="007B7E06" w:rsidRPr="00A23740" w:rsidRDefault="007B7E06" w:rsidP="009431FF">
            <w:pPr>
              <w:rPr>
                <w:szCs w:val="24"/>
              </w:rPr>
            </w:pPr>
          </w:p>
        </w:tc>
      </w:tr>
      <w:tr w:rsidR="00155AF4" w:rsidRPr="00A23740" w:rsidTr="009431FF">
        <w:tc>
          <w:tcPr>
            <w:tcW w:w="5000" w:type="pct"/>
            <w:gridSpan w:val="2"/>
            <w:shd w:val="clear" w:color="auto" w:fill="DEEAF6"/>
          </w:tcPr>
          <w:p w:rsidR="008225BD" w:rsidRPr="00A23740" w:rsidRDefault="008225BD" w:rsidP="009431FF">
            <w:pPr>
              <w:pStyle w:val="Mavi"/>
              <w:ind w:firstLine="709"/>
              <w:rPr>
                <w:color w:val="auto"/>
                <w:lang w:val="tr-TR"/>
              </w:rPr>
            </w:pPr>
          </w:p>
          <w:p w:rsidR="00155AF4" w:rsidRPr="00A23740" w:rsidRDefault="00882677" w:rsidP="009431FF">
            <w:pPr>
              <w:pStyle w:val="Mavi"/>
              <w:ind w:firstLine="709"/>
              <w:rPr>
                <w:b w:val="0"/>
                <w:color w:val="auto"/>
                <w:lang w:val="tr-TR"/>
              </w:rPr>
            </w:pPr>
            <w:r w:rsidRPr="00A23740">
              <w:rPr>
                <w:color w:val="auto"/>
                <w:lang w:val="tr-TR"/>
              </w:rPr>
              <w:t>MADDE 50</w:t>
            </w:r>
            <w:r w:rsidR="00155AF4" w:rsidRPr="00A23740">
              <w:rPr>
                <w:color w:val="auto"/>
                <w:lang w:val="tr-TR"/>
              </w:rPr>
              <w:t xml:space="preserve">- </w:t>
            </w:r>
            <w:r w:rsidR="00C706A4" w:rsidRPr="00A23740">
              <w:rPr>
                <w:b w:val="0"/>
                <w:color w:val="auto"/>
                <w:lang w:val="tr-TR"/>
              </w:rPr>
              <w:t>Maddeyle, harçlar ve giderlere ilişkin hususlar düzenlenmektedir. Bu hüküm, 2004 sayılı Kanunun 15 inci maddesinin birinci fıkrasına karşılık gelmektedir.</w:t>
            </w:r>
          </w:p>
          <w:p w:rsidR="001178DA" w:rsidRPr="00A23740" w:rsidRDefault="00C706A4" w:rsidP="009431FF">
            <w:pPr>
              <w:pStyle w:val="Mavi"/>
              <w:ind w:firstLine="709"/>
              <w:rPr>
                <w:b w:val="0"/>
                <w:color w:val="auto"/>
                <w:lang w:val="tr-TR"/>
              </w:rPr>
            </w:pPr>
            <w:r w:rsidRPr="00A23740">
              <w:rPr>
                <w:b w:val="0"/>
                <w:color w:val="auto"/>
                <w:lang w:val="tr-TR"/>
              </w:rPr>
              <w:t xml:space="preserve">Birinci fıkrayla, icra ve iflas işlemlerinde tahsil edilecek harçların kanunla belirleneceği </w:t>
            </w:r>
            <w:r w:rsidR="00F30A68" w:rsidRPr="00A23740">
              <w:rPr>
                <w:b w:val="0"/>
                <w:color w:val="auto"/>
                <w:lang w:val="tr-TR"/>
              </w:rPr>
              <w:t xml:space="preserve">hususu </w:t>
            </w:r>
            <w:r w:rsidRPr="00A23740">
              <w:rPr>
                <w:b w:val="0"/>
                <w:color w:val="auto"/>
                <w:lang w:val="tr-TR"/>
              </w:rPr>
              <w:t xml:space="preserve">düzenlenmektedir. </w:t>
            </w:r>
          </w:p>
          <w:p w:rsidR="00596FBF" w:rsidRPr="00A23740" w:rsidRDefault="001178DA" w:rsidP="009431FF">
            <w:pPr>
              <w:pStyle w:val="Mavi"/>
              <w:ind w:firstLine="709"/>
              <w:rPr>
                <w:color w:val="auto"/>
                <w:lang w:val="tr-TR"/>
              </w:rPr>
            </w:pPr>
            <w:r w:rsidRPr="00A23740">
              <w:rPr>
                <w:b w:val="0"/>
                <w:color w:val="auto"/>
                <w:lang w:val="tr-TR"/>
              </w:rPr>
              <w:t xml:space="preserve">İkinci fıkrayla, kanunda </w:t>
            </w:r>
            <w:r w:rsidR="00C706A4" w:rsidRPr="00A23740">
              <w:rPr>
                <w:b w:val="0"/>
                <w:color w:val="auto"/>
                <w:lang w:val="tr-TR"/>
              </w:rPr>
              <w:t xml:space="preserve">aksi yazılı olmadıkça bütün harç ve giderlerin borçluya ait olacağı ve takibin sonunda ayrıca hüküm ve takibe gerek kalmaksızın borçludan tahsil olunacağı </w:t>
            </w:r>
            <w:r w:rsidR="00797B15" w:rsidRPr="00A23740">
              <w:rPr>
                <w:b w:val="0"/>
                <w:color w:val="auto"/>
                <w:lang w:val="tr-TR"/>
              </w:rPr>
              <w:t>hükme bağlanmaktadır</w:t>
            </w:r>
            <w:r w:rsidR="00C706A4" w:rsidRPr="00A23740">
              <w:rPr>
                <w:b w:val="0"/>
                <w:color w:val="auto"/>
                <w:lang w:val="tr-TR"/>
              </w:rPr>
              <w:t>.</w:t>
            </w:r>
          </w:p>
          <w:p w:rsidR="004107A2" w:rsidRPr="00A23740" w:rsidRDefault="004107A2" w:rsidP="009431FF">
            <w:pPr>
              <w:pStyle w:val="Mavi"/>
              <w:ind w:firstLine="709"/>
              <w:rPr>
                <w:color w:val="auto"/>
                <w:lang w:val="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rPr>
                <w:lang w:val="tr-TR"/>
              </w:rPr>
            </w:pPr>
            <w:r w:rsidRPr="00A23740">
              <w:rPr>
                <w:lang w:val="tr-TR"/>
              </w:rPr>
              <w:t>Takip masrafları:</w:t>
            </w:r>
          </w:p>
          <w:p w:rsidR="00155AF4" w:rsidRPr="00A23740" w:rsidRDefault="00155AF4" w:rsidP="009431FF">
            <w:pPr>
              <w:pStyle w:val="KIRMIZI"/>
              <w:rPr>
                <w:lang w:val="tr-TR"/>
              </w:rPr>
            </w:pPr>
            <w:r w:rsidRPr="00A23740">
              <w:rPr>
                <w:lang w:val="tr-TR"/>
              </w:rPr>
              <w:t xml:space="preserve">Madde 59 – </w:t>
            </w:r>
          </w:p>
          <w:p w:rsidR="00155AF4" w:rsidRPr="00A23740" w:rsidRDefault="00155AF4" w:rsidP="009431FF">
            <w:pPr>
              <w:pStyle w:val="KIRMIZI"/>
              <w:rPr>
                <w:lang w:val="tr-TR"/>
              </w:rPr>
            </w:pPr>
          </w:p>
          <w:p w:rsidR="00155AF4" w:rsidRPr="00A23740" w:rsidRDefault="00155AF4" w:rsidP="009431FF">
            <w:pPr>
              <w:pStyle w:val="KIRMIZI"/>
              <w:rPr>
                <w:lang w:val="tr-TR"/>
              </w:rPr>
            </w:pPr>
          </w:p>
          <w:p w:rsidR="00A82AA4" w:rsidRPr="00A23740" w:rsidRDefault="00A82AA4" w:rsidP="009431FF">
            <w:pPr>
              <w:pStyle w:val="KIRMIZI"/>
              <w:rPr>
                <w:lang w:val="tr-TR"/>
              </w:rPr>
            </w:pPr>
          </w:p>
          <w:p w:rsidR="00155AF4" w:rsidRPr="00A23740" w:rsidRDefault="00155AF4" w:rsidP="009431FF">
            <w:pPr>
              <w:pStyle w:val="KIRMIZI"/>
              <w:rPr>
                <w:lang w:val="tr-TR"/>
              </w:rPr>
            </w:pPr>
            <w:r w:rsidRPr="00A23740">
              <w:rPr>
                <w:lang w:val="tr-TR"/>
              </w:rPr>
              <w:t>(1) (Değişik: 6/6/1985-3222/4 md.)</w:t>
            </w:r>
          </w:p>
          <w:p w:rsidR="00155AF4" w:rsidRPr="00A23740" w:rsidRDefault="00155AF4" w:rsidP="009431FF">
            <w:pPr>
              <w:rPr>
                <w:rFonts w:eastAsia="Times New Roman"/>
                <w:b/>
                <w:bCs/>
                <w:strike/>
                <w:color w:val="FF0000"/>
                <w:szCs w:val="24"/>
                <w:lang w:eastAsia="x-none"/>
              </w:rPr>
            </w:pPr>
            <w:r w:rsidRPr="00A23740">
              <w:rPr>
                <w:rFonts w:eastAsia="Times New Roman"/>
                <w:b/>
                <w:bCs/>
                <w:strike/>
                <w:color w:val="FF0000"/>
                <w:szCs w:val="24"/>
                <w:lang w:eastAsia="x-none"/>
              </w:rPr>
              <w:t>Takip masrafları borçluya aittir.</w:t>
            </w:r>
            <w:r w:rsidRPr="00A23740">
              <w:rPr>
                <w:rFonts w:eastAsia="Times New Roman"/>
                <w:color w:val="000000"/>
                <w:szCs w:val="24"/>
                <w:lang w:eastAsia="tr-TR"/>
              </w:rPr>
              <w:t xml:space="preserve"> Alacaklı, yapılmasını talep ettiği </w:t>
            </w:r>
            <w:r w:rsidRPr="00A23740">
              <w:rPr>
                <w:rFonts w:eastAsia="Times New Roman"/>
                <w:b/>
                <w:bCs/>
                <w:strike/>
                <w:color w:val="FF0000"/>
                <w:szCs w:val="24"/>
                <w:lang w:eastAsia="x-none"/>
              </w:rPr>
              <w:t xml:space="preserve">muamelenin masrafını ve ayrıca takip talebinde bulunurken borçlunun 62 nci maddeye göre yapabileceği itirazın kendisine tebliğ masrafını da avans olarak </w:t>
            </w:r>
            <w:r w:rsidRPr="00A23740">
              <w:rPr>
                <w:rFonts w:eastAsia="Times New Roman"/>
                <w:color w:val="000000"/>
                <w:szCs w:val="24"/>
                <w:lang w:eastAsia="tr-TR"/>
              </w:rPr>
              <w:t>peşin</w:t>
            </w:r>
            <w:r w:rsidRPr="00A23740">
              <w:rPr>
                <w:rFonts w:eastAsia="Times New Roman"/>
                <w:b/>
                <w:bCs/>
                <w:strike/>
                <w:color w:val="FF0000"/>
                <w:szCs w:val="24"/>
                <w:lang w:eastAsia="x-none"/>
              </w:rPr>
              <w:t>en öder.</w:t>
            </w:r>
          </w:p>
          <w:p w:rsidR="00155AF4" w:rsidRPr="00A23740" w:rsidRDefault="00155AF4" w:rsidP="009431FF">
            <w:pPr>
              <w:rPr>
                <w:rFonts w:eastAsia="Times New Roman"/>
                <w:b/>
                <w:bCs/>
                <w:strike/>
                <w:color w:val="FF0000"/>
                <w:szCs w:val="24"/>
                <w:lang w:eastAsia="x-none"/>
              </w:rPr>
            </w:pPr>
          </w:p>
          <w:p w:rsidR="00155AF4" w:rsidRPr="00A23740" w:rsidRDefault="00155AF4"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Alacaklı ilk ödenen paradan </w:t>
            </w:r>
            <w:r w:rsidRPr="00A23740">
              <w:rPr>
                <w:rFonts w:eastAsia="Times New Roman"/>
                <w:b/>
                <w:bCs/>
                <w:strike/>
                <w:color w:val="FF0000"/>
                <w:szCs w:val="24"/>
                <w:lang w:eastAsia="x-none"/>
              </w:rPr>
              <w:t>masraflarını</w:t>
            </w:r>
            <w:r w:rsidRPr="00A23740">
              <w:rPr>
                <w:rFonts w:eastAsia="Times New Roman"/>
                <w:color w:val="000000"/>
                <w:szCs w:val="24"/>
                <w:lang w:eastAsia="tr-TR"/>
              </w:rPr>
              <w:t xml:space="preserve"> alabilir.</w:t>
            </w:r>
          </w:p>
          <w:p w:rsidR="00155AF4" w:rsidRPr="00A23740" w:rsidRDefault="00155AF4" w:rsidP="009431FF">
            <w:pPr>
              <w:autoSpaceDE w:val="0"/>
              <w:autoSpaceDN w:val="0"/>
              <w:adjustRightInd w:val="0"/>
              <w:rPr>
                <w:b/>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7635EE" w:rsidP="009431FF">
            <w:pPr>
              <w:pStyle w:val="Mavi"/>
            </w:pPr>
            <w:r w:rsidRPr="00A23740">
              <w:rPr>
                <w:lang w:val="tr-TR"/>
              </w:rPr>
              <w:t xml:space="preserve">Takip ve yargılama </w:t>
            </w:r>
            <w:r w:rsidRPr="00A23740">
              <w:t>giderlerin</w:t>
            </w:r>
            <w:r w:rsidRPr="00A23740">
              <w:rPr>
                <w:lang w:val="tr-TR"/>
              </w:rPr>
              <w:t>in</w:t>
            </w:r>
            <w:r w:rsidRPr="00A23740">
              <w:t xml:space="preserve"> </w:t>
            </w:r>
            <w:r w:rsidR="00653581" w:rsidRPr="002144D4">
              <w:rPr>
                <w:rStyle w:val="KIRMIZIChar"/>
                <w:rFonts w:eastAsia="Calibri"/>
                <w:b/>
                <w:bCs/>
                <w:strike w:val="0"/>
                <w:color w:val="0000FF"/>
              </w:rPr>
              <w:t>ödenmesi</w:t>
            </w:r>
          </w:p>
          <w:p w:rsidR="00155AF4" w:rsidRPr="00A23740" w:rsidRDefault="00155AF4" w:rsidP="009431FF">
            <w:pPr>
              <w:pStyle w:val="Mavi"/>
            </w:pPr>
            <w:r w:rsidRPr="00A23740">
              <w:t>MADDE 51- (1) Alacaklı, icra</w:t>
            </w:r>
            <w:r w:rsidR="00F053A2" w:rsidRPr="00A23740">
              <w:rPr>
                <w:lang w:val="tr-TR"/>
              </w:rPr>
              <w:t xml:space="preserve"> </w:t>
            </w:r>
            <w:r w:rsidRPr="00A23740">
              <w:t>ve iflas</w:t>
            </w:r>
            <w:r w:rsidR="00D8624B" w:rsidRPr="00A23740">
              <w:rPr>
                <w:lang w:val="tr-TR"/>
              </w:rPr>
              <w:t xml:space="preserve"> daireleri</w:t>
            </w:r>
            <w:r w:rsidRPr="00A23740">
              <w:t xml:space="preserve"> gider avansı tarifesinde belirlenen tutarı, takip talebinde bulunurken</w:t>
            </w:r>
            <w:r w:rsidR="003244E9" w:rsidRPr="00A23740">
              <w:rPr>
                <w:lang w:val="tr-TR"/>
              </w:rPr>
              <w:t xml:space="preserve"> icra </w:t>
            </w:r>
            <w:r w:rsidR="006315A5" w:rsidRPr="00A23740">
              <w:rPr>
                <w:lang w:val="tr-TR"/>
              </w:rPr>
              <w:t xml:space="preserve">ve iflas </w:t>
            </w:r>
            <w:r w:rsidR="003244E9" w:rsidRPr="00A23740">
              <w:rPr>
                <w:lang w:val="tr-TR"/>
              </w:rPr>
              <w:t>dairesi</w:t>
            </w:r>
            <w:r w:rsidR="006315A5" w:rsidRPr="00A23740">
              <w:rPr>
                <w:lang w:val="tr-TR"/>
              </w:rPr>
              <w:t>nin</w:t>
            </w:r>
            <w:r w:rsidR="003244E9" w:rsidRPr="00A23740">
              <w:rPr>
                <w:lang w:val="tr-TR"/>
              </w:rPr>
              <w:t xml:space="preserve"> </w:t>
            </w:r>
            <w:r w:rsidR="006315A5" w:rsidRPr="00A23740">
              <w:rPr>
                <w:lang w:val="tr-TR"/>
              </w:rPr>
              <w:t xml:space="preserve">banka hesabına </w:t>
            </w:r>
            <w:r w:rsidR="003A043A" w:rsidRPr="00A23740">
              <w:rPr>
                <w:lang w:val="tr-TR"/>
              </w:rPr>
              <w:t>peşin olarak</w:t>
            </w:r>
            <w:r w:rsidRPr="00A23740">
              <w:t xml:space="preserve"> </w:t>
            </w:r>
            <w:r w:rsidR="00653581" w:rsidRPr="002144D4">
              <w:t>ödemek</w:t>
            </w:r>
            <w:r w:rsidR="00653581" w:rsidRPr="00A23740">
              <w:rPr>
                <w:color w:val="70AD47"/>
              </w:rPr>
              <w:t xml:space="preserve"> </w:t>
            </w:r>
            <w:r w:rsidRPr="00A23740">
              <w:t>zorundadır</w:t>
            </w:r>
            <w:r w:rsidR="003A043A" w:rsidRPr="00A23740">
              <w:rPr>
                <w:lang w:val="tr-TR"/>
              </w:rPr>
              <w:t>.</w:t>
            </w:r>
            <w:r w:rsidRPr="00A23740">
              <w:t xml:space="preserve"> </w:t>
            </w:r>
            <w:r w:rsidR="003A043A" w:rsidRPr="00A23740">
              <w:t xml:space="preserve">Aksi </w:t>
            </w:r>
            <w:r w:rsidRPr="00A23740">
              <w:t>takdird</w:t>
            </w:r>
            <w:r w:rsidR="003A043A" w:rsidRPr="00A23740">
              <w:t>e hiçbir takip işlemi yapılmaz.</w:t>
            </w:r>
          </w:p>
          <w:p w:rsidR="00F053A2" w:rsidRPr="00A23740" w:rsidRDefault="00F053A2" w:rsidP="009431FF">
            <w:pPr>
              <w:pStyle w:val="Mavi"/>
            </w:pPr>
          </w:p>
          <w:p w:rsidR="00EE3ACE" w:rsidRPr="00A23740" w:rsidRDefault="00EE3ACE" w:rsidP="009431FF">
            <w:pPr>
              <w:autoSpaceDE w:val="0"/>
              <w:autoSpaceDN w:val="0"/>
              <w:adjustRightInd w:val="0"/>
              <w:rPr>
                <w:color w:val="000000"/>
                <w:szCs w:val="24"/>
              </w:rPr>
            </w:pPr>
            <w:r w:rsidRPr="00A23740">
              <w:rPr>
                <w:rStyle w:val="MaviChar"/>
              </w:rPr>
              <w:t xml:space="preserve">(2) Kanunda aksi yazılı olmadıkça </w:t>
            </w:r>
            <w:r w:rsidRPr="00A23740">
              <w:rPr>
                <w:color w:val="000000"/>
                <w:szCs w:val="24"/>
              </w:rPr>
              <w:t xml:space="preserve">alacaklı, yapılmasını talep ettiği </w:t>
            </w:r>
            <w:r w:rsidRPr="00A23740">
              <w:rPr>
                <w:rStyle w:val="MaviChar"/>
              </w:rPr>
              <w:t>işlemle ilgili giderleri</w:t>
            </w:r>
            <w:r w:rsidRPr="00A23740">
              <w:rPr>
                <w:rStyle w:val="MaviChar"/>
                <w:lang w:val="tr-TR"/>
              </w:rPr>
              <w:t>, talepte bulunurken icra</w:t>
            </w:r>
            <w:r w:rsidR="006315A5" w:rsidRPr="00A23740">
              <w:rPr>
                <w:rStyle w:val="MaviChar"/>
                <w:lang w:val="tr-TR"/>
              </w:rPr>
              <w:t xml:space="preserve"> ve iflas</w:t>
            </w:r>
            <w:r w:rsidRPr="00A23740">
              <w:rPr>
                <w:rStyle w:val="MaviChar"/>
                <w:lang w:val="tr-TR"/>
              </w:rPr>
              <w:t xml:space="preserve"> dairesi</w:t>
            </w:r>
            <w:r w:rsidR="006315A5" w:rsidRPr="00A23740">
              <w:rPr>
                <w:rStyle w:val="MaviChar"/>
                <w:lang w:val="tr-TR"/>
              </w:rPr>
              <w:t>nin banka hesabına</w:t>
            </w:r>
            <w:r w:rsidRPr="00A23740">
              <w:rPr>
                <w:rStyle w:val="MaviChar"/>
                <w:lang w:val="tr-TR"/>
              </w:rPr>
              <w:t xml:space="preserve"> </w:t>
            </w:r>
            <w:r w:rsidRPr="00A23740">
              <w:rPr>
                <w:color w:val="000000"/>
                <w:szCs w:val="24"/>
              </w:rPr>
              <w:t xml:space="preserve">peşin </w:t>
            </w:r>
            <w:r w:rsidRPr="00A23740">
              <w:rPr>
                <w:rStyle w:val="MaviChar"/>
              </w:rPr>
              <w:t xml:space="preserve">olarak </w:t>
            </w:r>
            <w:r w:rsidR="00653581" w:rsidRPr="002144D4">
              <w:rPr>
                <w:rStyle w:val="MaviChar"/>
                <w:lang w:val="tr-TR"/>
              </w:rPr>
              <w:t>ödemek</w:t>
            </w:r>
            <w:r w:rsidR="00653581" w:rsidRPr="00A23740">
              <w:rPr>
                <w:rStyle w:val="MaviChar"/>
                <w:color w:val="70AD47"/>
                <w:lang w:val="tr-TR"/>
              </w:rPr>
              <w:t xml:space="preserve"> </w:t>
            </w:r>
            <w:r w:rsidRPr="00A23740">
              <w:rPr>
                <w:rStyle w:val="MaviChar"/>
                <w:lang w:val="tr-TR"/>
              </w:rPr>
              <w:t>zorundadır</w:t>
            </w:r>
            <w:r w:rsidRPr="00A23740">
              <w:rPr>
                <w:rStyle w:val="MaviChar"/>
              </w:rPr>
              <w:t>. Aksi takdirde talep yapılmamış sayılır.</w:t>
            </w:r>
          </w:p>
          <w:p w:rsidR="00EE3ACE" w:rsidRPr="00A23740" w:rsidRDefault="00EE3ACE" w:rsidP="009431FF">
            <w:pPr>
              <w:autoSpaceDE w:val="0"/>
              <w:autoSpaceDN w:val="0"/>
              <w:adjustRightInd w:val="0"/>
              <w:rPr>
                <w:color w:val="000000"/>
                <w:szCs w:val="24"/>
              </w:rPr>
            </w:pPr>
          </w:p>
          <w:p w:rsidR="00155AF4" w:rsidRPr="00A23740" w:rsidRDefault="00155AF4" w:rsidP="009431FF">
            <w:pPr>
              <w:autoSpaceDE w:val="0"/>
              <w:autoSpaceDN w:val="0"/>
              <w:adjustRightInd w:val="0"/>
              <w:rPr>
                <w:color w:val="000000"/>
                <w:szCs w:val="24"/>
              </w:rPr>
            </w:pPr>
            <w:r w:rsidRPr="00A23740">
              <w:rPr>
                <w:rStyle w:val="MaviChar"/>
                <w:lang w:val="tr-TR"/>
              </w:rPr>
              <w:t>(3)</w:t>
            </w:r>
            <w:r w:rsidRPr="00A23740">
              <w:rPr>
                <w:color w:val="000000"/>
                <w:szCs w:val="24"/>
              </w:rPr>
              <w:t xml:space="preserve"> Alacaklı ilk ödenen paradan</w:t>
            </w:r>
            <w:r w:rsidRPr="00A23740">
              <w:rPr>
                <w:rStyle w:val="MaviChar"/>
              </w:rPr>
              <w:t>, yaptığı giderleri</w:t>
            </w:r>
            <w:r w:rsidRPr="00A23740">
              <w:rPr>
                <w:color w:val="000000"/>
                <w:szCs w:val="24"/>
              </w:rPr>
              <w:t xml:space="preserve"> alabilir.</w:t>
            </w:r>
          </w:p>
          <w:p w:rsidR="007635EE" w:rsidRPr="00A23740" w:rsidRDefault="007635EE" w:rsidP="009431FF">
            <w:pPr>
              <w:rPr>
                <w:lang w:val="x-none" w:eastAsia="x-none"/>
              </w:rPr>
            </w:pPr>
          </w:p>
          <w:p w:rsidR="00155AF4" w:rsidRPr="00A23740" w:rsidRDefault="007635EE" w:rsidP="009431FF">
            <w:pPr>
              <w:rPr>
                <w:rStyle w:val="MaviChar"/>
              </w:rPr>
            </w:pPr>
            <w:r w:rsidRPr="00A23740">
              <w:rPr>
                <w:rStyle w:val="MaviChar"/>
                <w:lang w:val="tr-TR"/>
              </w:rPr>
              <w:t>(4) Bu Kanun uyarınca tüm talep, iş, şik</w:t>
            </w:r>
            <w:r w:rsidR="00407C95" w:rsidRPr="00A23740">
              <w:rPr>
                <w:rStyle w:val="MaviChar"/>
                <w:lang w:val="tr-TR"/>
              </w:rPr>
              <w:t>â</w:t>
            </w:r>
            <w:r w:rsidRPr="00A23740">
              <w:rPr>
                <w:rStyle w:val="MaviChar"/>
                <w:lang w:val="tr-TR"/>
              </w:rPr>
              <w:t>yet ve davalarla ilgili olarak icra hukuk mahkemeleri ile iflas mahkemelerine başvuranlar,</w:t>
            </w:r>
            <w:r w:rsidR="00327FAD" w:rsidRPr="00A23740">
              <w:rPr>
                <w:rStyle w:val="MaviChar"/>
                <w:lang w:val="tr-TR"/>
              </w:rPr>
              <w:t xml:space="preserve"> </w:t>
            </w:r>
            <w:r w:rsidR="00EB6559" w:rsidRPr="002144D4">
              <w:rPr>
                <w:rStyle w:val="KonuBalChar"/>
                <w:rFonts w:eastAsia="Calibri"/>
                <w:color w:val="0000FF"/>
              </w:rPr>
              <w:t>281</w:t>
            </w:r>
            <w:r w:rsidR="00EB6559" w:rsidRPr="00A23740">
              <w:rPr>
                <w:rStyle w:val="KonuBalChar"/>
                <w:rFonts w:eastAsia="Calibri"/>
              </w:rPr>
              <w:t xml:space="preserve"> </w:t>
            </w:r>
            <w:r w:rsidR="00EB6559" w:rsidRPr="002144D4">
              <w:rPr>
                <w:rStyle w:val="KonuBalChar"/>
                <w:rFonts w:eastAsia="Calibri"/>
                <w:color w:val="0000FF"/>
              </w:rPr>
              <w:t>inci</w:t>
            </w:r>
            <w:r w:rsidR="00327FAD" w:rsidRPr="00A23740">
              <w:rPr>
                <w:rStyle w:val="MaviChar"/>
                <w:lang w:val="tr-TR"/>
              </w:rPr>
              <w:t xml:space="preserve"> maddede düzenlenen iflas gideri hariç olmak üzere, </w:t>
            </w:r>
            <w:r w:rsidRPr="00A23740">
              <w:rPr>
                <w:rStyle w:val="MaviChar"/>
                <w:lang w:val="tr-TR"/>
              </w:rPr>
              <w:t xml:space="preserve">yargılama harçları ile </w:t>
            </w:r>
            <w:r w:rsidRPr="00A23740">
              <w:rPr>
                <w:rStyle w:val="MaviChar"/>
              </w:rPr>
              <w:t xml:space="preserve">gider avansı tarifesinde belirlenecek </w:t>
            </w:r>
            <w:r w:rsidRPr="00A23740">
              <w:rPr>
                <w:rStyle w:val="MaviChar"/>
              </w:rPr>
              <w:lastRenderedPageBreak/>
              <w:t>olan tutarı,</w:t>
            </w:r>
            <w:r w:rsidRPr="00A23740">
              <w:rPr>
                <w:rStyle w:val="MaviChar"/>
                <w:lang w:val="tr-TR"/>
              </w:rPr>
              <w:t xml:space="preserve"> başvuruda </w:t>
            </w:r>
            <w:r w:rsidRPr="00A23740">
              <w:rPr>
                <w:rStyle w:val="MaviChar"/>
              </w:rPr>
              <w:t xml:space="preserve">bulunurken mahkeme veznesine </w:t>
            </w:r>
            <w:r w:rsidRPr="00A23740">
              <w:rPr>
                <w:rStyle w:val="MaviChar"/>
                <w:lang w:val="tr-TR"/>
              </w:rPr>
              <w:t xml:space="preserve">yatırmak </w:t>
            </w:r>
            <w:r w:rsidRPr="00A23740">
              <w:rPr>
                <w:rStyle w:val="MaviChar"/>
              </w:rPr>
              <w:t>zorundadır.</w:t>
            </w:r>
            <w:r w:rsidRPr="00A23740">
              <w:rPr>
                <w:rStyle w:val="MaviChar"/>
                <w:lang w:val="tr-TR"/>
              </w:rPr>
              <w:t xml:space="preserve"> </w:t>
            </w:r>
            <w:r w:rsidRPr="00A23740">
              <w:rPr>
                <w:rStyle w:val="MaviChar"/>
              </w:rPr>
              <w:t>Gider avansıyla ilgili diğer hususlar hakkında</w:t>
            </w:r>
            <w:r w:rsidRPr="00A23740">
              <w:rPr>
                <w:rStyle w:val="MaviChar"/>
                <w:lang w:val="tr-TR"/>
              </w:rPr>
              <w:t>,</w:t>
            </w:r>
            <w:r w:rsidRPr="00A23740">
              <w:rPr>
                <w:rStyle w:val="MaviChar"/>
              </w:rPr>
              <w:t xml:space="preserve"> Hukuk Muhakemeleri Kanunu hükümleri uygulanır.</w:t>
            </w:r>
          </w:p>
          <w:p w:rsidR="007635EE" w:rsidRPr="00A23740" w:rsidRDefault="007635EE" w:rsidP="009431FF">
            <w:pPr>
              <w:rPr>
                <w:b/>
                <w:bCs/>
                <w:color w:val="0000FF"/>
                <w:szCs w:val="24"/>
                <w:lang w:eastAsia="x-none"/>
              </w:rPr>
            </w:pPr>
          </w:p>
        </w:tc>
      </w:tr>
      <w:tr w:rsidR="00155AF4" w:rsidRPr="00A23740" w:rsidTr="009431FF">
        <w:tc>
          <w:tcPr>
            <w:tcW w:w="5000" w:type="pct"/>
            <w:gridSpan w:val="2"/>
            <w:shd w:val="clear" w:color="auto" w:fill="DEEAF6"/>
          </w:tcPr>
          <w:p w:rsidR="00DA6B67" w:rsidRPr="00A23740" w:rsidRDefault="00DA6B67" w:rsidP="009431FF">
            <w:pPr>
              <w:pStyle w:val="Mavi"/>
              <w:ind w:firstLine="567"/>
              <w:rPr>
                <w:color w:val="auto"/>
                <w:lang w:val="tr-TR"/>
              </w:rPr>
            </w:pPr>
          </w:p>
          <w:p w:rsidR="008225BD" w:rsidRPr="00A23740" w:rsidRDefault="007B7E06" w:rsidP="009431FF">
            <w:pPr>
              <w:pStyle w:val="Mavi"/>
              <w:ind w:firstLine="567"/>
              <w:rPr>
                <w:b w:val="0"/>
                <w:color w:val="auto"/>
                <w:lang w:val="tr-TR"/>
              </w:rPr>
            </w:pPr>
            <w:r w:rsidRPr="00A23740">
              <w:rPr>
                <w:color w:val="auto"/>
                <w:lang w:val="tr-TR"/>
              </w:rPr>
              <w:t>MADDE 51</w:t>
            </w:r>
            <w:r w:rsidR="00155AF4" w:rsidRPr="00A23740">
              <w:rPr>
                <w:color w:val="auto"/>
                <w:lang w:val="tr-TR"/>
              </w:rPr>
              <w:t xml:space="preserve">- </w:t>
            </w:r>
            <w:r w:rsidR="008225BD" w:rsidRPr="00A23740">
              <w:rPr>
                <w:b w:val="0"/>
                <w:color w:val="auto"/>
                <w:lang w:val="tr-TR"/>
              </w:rPr>
              <w:t xml:space="preserve">Maddeyle, icra ve iflas işlemlerinde </w:t>
            </w:r>
            <w:r w:rsidR="007635EE" w:rsidRPr="00A23740">
              <w:rPr>
                <w:b w:val="0"/>
                <w:color w:val="auto"/>
                <w:lang w:val="tr-TR"/>
              </w:rPr>
              <w:t xml:space="preserve">takip ve yargılama </w:t>
            </w:r>
            <w:r w:rsidR="008225BD" w:rsidRPr="00A23740">
              <w:rPr>
                <w:b w:val="0"/>
                <w:color w:val="auto"/>
                <w:lang w:val="tr-TR"/>
              </w:rPr>
              <w:t>g</w:t>
            </w:r>
            <w:r w:rsidR="007635EE" w:rsidRPr="00A23740">
              <w:rPr>
                <w:b w:val="0"/>
                <w:color w:val="auto"/>
                <w:lang w:val="tr-TR"/>
              </w:rPr>
              <w:t xml:space="preserve">iderlerinin </w:t>
            </w:r>
            <w:r w:rsidR="00F020F4" w:rsidRPr="002144D4">
              <w:rPr>
                <w:rStyle w:val="YELChar"/>
                <w:color w:val="auto"/>
              </w:rPr>
              <w:t>ödenmesine</w:t>
            </w:r>
            <w:r w:rsidR="008225BD" w:rsidRPr="00A23740">
              <w:rPr>
                <w:b w:val="0"/>
                <w:color w:val="auto"/>
                <w:lang w:val="tr-TR"/>
              </w:rPr>
              <w:t xml:space="preserve"> ilişkin hususlar düzenlenmektedir. </w:t>
            </w:r>
          </w:p>
          <w:p w:rsidR="009D190B" w:rsidRPr="00A23740" w:rsidRDefault="008225BD" w:rsidP="009431FF">
            <w:pPr>
              <w:pStyle w:val="Mavi"/>
              <w:ind w:firstLine="567"/>
              <w:rPr>
                <w:rFonts w:eastAsia="Times New Roman"/>
                <w:b w:val="0"/>
                <w:bCs w:val="0"/>
                <w:color w:val="auto"/>
                <w:lang w:val="tr-TR" w:eastAsia="tr-TR"/>
              </w:rPr>
            </w:pPr>
            <w:r w:rsidRPr="00A23740">
              <w:rPr>
                <w:b w:val="0"/>
                <w:color w:val="auto"/>
                <w:lang w:val="tr-TR"/>
              </w:rPr>
              <w:t>Birinci fıkrayla, bir yenilik olarak alacaklının, icra ve iflas</w:t>
            </w:r>
            <w:r w:rsidR="00D8624B" w:rsidRPr="00A23740">
              <w:rPr>
                <w:b w:val="0"/>
                <w:color w:val="auto"/>
                <w:lang w:val="tr-TR"/>
              </w:rPr>
              <w:t xml:space="preserve"> daireleri</w:t>
            </w:r>
            <w:r w:rsidRPr="00A23740">
              <w:rPr>
                <w:b w:val="0"/>
                <w:color w:val="auto"/>
                <w:lang w:val="tr-TR"/>
              </w:rPr>
              <w:t xml:space="preserve"> gider avansı tarifesinde belirlenen tutarı, takip talebinde bulunurken</w:t>
            </w:r>
            <w:r w:rsidR="000442B4" w:rsidRPr="00A23740">
              <w:rPr>
                <w:b w:val="0"/>
                <w:color w:val="auto"/>
                <w:lang w:val="tr-TR"/>
              </w:rPr>
              <w:t xml:space="preserve"> peşin olarak</w:t>
            </w:r>
            <w:r w:rsidRPr="00A23740">
              <w:rPr>
                <w:b w:val="0"/>
                <w:color w:val="auto"/>
                <w:lang w:val="tr-TR"/>
              </w:rPr>
              <w:t xml:space="preserve"> </w:t>
            </w:r>
            <w:r w:rsidR="00F020F4" w:rsidRPr="002144D4">
              <w:rPr>
                <w:rStyle w:val="YELChar"/>
                <w:color w:val="auto"/>
              </w:rPr>
              <w:t>ödemek</w:t>
            </w:r>
            <w:r w:rsidRPr="00A23740">
              <w:rPr>
                <w:b w:val="0"/>
                <w:color w:val="auto"/>
                <w:lang w:val="tr-TR"/>
              </w:rPr>
              <w:t xml:space="preserve"> zorunda olduğu</w:t>
            </w:r>
            <w:r w:rsidR="00EE3ACE" w:rsidRPr="00A23740">
              <w:rPr>
                <w:b w:val="0"/>
                <w:color w:val="auto"/>
                <w:lang w:val="tr-TR"/>
              </w:rPr>
              <w:t xml:space="preserve"> </w:t>
            </w:r>
            <w:r w:rsidR="00F30A68" w:rsidRPr="00A23740">
              <w:rPr>
                <w:b w:val="0"/>
                <w:color w:val="auto"/>
                <w:lang w:val="tr-TR"/>
              </w:rPr>
              <w:t xml:space="preserve">hususu </w:t>
            </w:r>
            <w:r w:rsidR="00EE3ACE" w:rsidRPr="00A23740">
              <w:rPr>
                <w:b w:val="0"/>
                <w:color w:val="auto"/>
                <w:lang w:val="tr-TR"/>
              </w:rPr>
              <w:t xml:space="preserve">düzenlenmektedir. Fıkranın ikinci cümlesinde, bu zorunluluğun yaptırımı olarak masrafın peşin </w:t>
            </w:r>
            <w:r w:rsidR="00F020F4" w:rsidRPr="002144D4">
              <w:rPr>
                <w:rStyle w:val="YELChar"/>
                <w:color w:val="auto"/>
              </w:rPr>
              <w:t>ödenmemesi</w:t>
            </w:r>
            <w:r w:rsidR="00EE3ACE" w:rsidRPr="00A23740">
              <w:rPr>
                <w:b w:val="0"/>
                <w:color w:val="auto"/>
                <w:lang w:val="tr-TR"/>
              </w:rPr>
              <w:t xml:space="preserve"> h</w:t>
            </w:r>
            <w:r w:rsidR="00C219C2" w:rsidRPr="00A23740">
              <w:rPr>
                <w:b w:val="0"/>
                <w:color w:val="auto"/>
                <w:lang w:val="tr-TR"/>
              </w:rPr>
              <w:t>â</w:t>
            </w:r>
            <w:r w:rsidR="00EE3ACE" w:rsidRPr="00A23740">
              <w:rPr>
                <w:b w:val="0"/>
                <w:color w:val="auto"/>
                <w:lang w:val="tr-TR"/>
              </w:rPr>
              <w:t>linde hiçbir takip işlemi yapılmayacağı hükme bağlanmaktadır.</w:t>
            </w:r>
            <w:r w:rsidRPr="00A23740">
              <w:rPr>
                <w:b w:val="0"/>
                <w:color w:val="auto"/>
                <w:lang w:val="tr-TR"/>
              </w:rPr>
              <w:t xml:space="preserve"> </w:t>
            </w:r>
            <w:r w:rsidR="009D190B" w:rsidRPr="00A23740">
              <w:rPr>
                <w:b w:val="0"/>
                <w:color w:val="auto"/>
                <w:lang w:val="tr-TR"/>
              </w:rPr>
              <w:t>Bu tarife,</w:t>
            </w:r>
            <w:r w:rsidRPr="00A23740">
              <w:rPr>
                <w:b w:val="0"/>
                <w:color w:val="auto"/>
                <w:lang w:val="tr-TR"/>
              </w:rPr>
              <w:t xml:space="preserve"> </w:t>
            </w:r>
            <w:r w:rsidR="00163E5A" w:rsidRPr="00A23740">
              <w:rPr>
                <w:rFonts w:eastAsia="Times New Roman"/>
                <w:b w:val="0"/>
                <w:bCs w:val="0"/>
                <w:color w:val="auto"/>
                <w:lang w:val="tr-TR" w:eastAsia="tr-TR"/>
              </w:rPr>
              <w:t>Taslağın</w:t>
            </w:r>
            <w:r w:rsidR="009D190B" w:rsidRPr="00A23740">
              <w:rPr>
                <w:rFonts w:eastAsia="Times New Roman"/>
                <w:b w:val="0"/>
                <w:bCs w:val="0"/>
                <w:color w:val="auto"/>
                <w:lang w:val="tr-TR" w:eastAsia="tr-TR"/>
              </w:rPr>
              <w:t xml:space="preserve"> </w:t>
            </w:r>
            <w:r w:rsidR="0086479A" w:rsidRPr="002144D4">
              <w:rPr>
                <w:rStyle w:val="KonuBalChar"/>
                <w:rFonts w:eastAsia="Calibri"/>
                <w:color w:val="auto"/>
              </w:rPr>
              <w:t>548</w:t>
            </w:r>
            <w:r w:rsidR="0086479A" w:rsidRPr="00A23740">
              <w:rPr>
                <w:rStyle w:val="KonuBalChar"/>
                <w:rFonts w:eastAsia="Calibri"/>
                <w:b/>
              </w:rPr>
              <w:t xml:space="preserve"> </w:t>
            </w:r>
            <w:r w:rsidR="0086479A" w:rsidRPr="002144D4">
              <w:rPr>
                <w:rStyle w:val="KonuBalChar"/>
                <w:rFonts w:eastAsia="Calibri"/>
                <w:color w:val="auto"/>
              </w:rPr>
              <w:t>inci</w:t>
            </w:r>
            <w:r w:rsidR="009D190B" w:rsidRPr="00A23740">
              <w:rPr>
                <w:rFonts w:eastAsia="Times New Roman"/>
                <w:b w:val="0"/>
                <w:bCs w:val="0"/>
                <w:color w:val="auto"/>
                <w:lang w:val="tr-TR" w:eastAsia="tr-TR"/>
              </w:rPr>
              <w:t xml:space="preserve"> maddesinin ikinci fıkrasında düzenlendiği üzere Adalet Bakanlığı tarafından çıkarılacak ve her takvim yılı başında yürürlüğe konulacaktır.</w:t>
            </w:r>
          </w:p>
          <w:p w:rsidR="00EE3ACE" w:rsidRPr="00A23740" w:rsidRDefault="008225BD" w:rsidP="009431FF">
            <w:pPr>
              <w:pStyle w:val="Mavi"/>
              <w:ind w:firstLine="567"/>
              <w:rPr>
                <w:b w:val="0"/>
                <w:color w:val="auto"/>
                <w:lang w:val="tr-TR"/>
              </w:rPr>
            </w:pPr>
            <w:r w:rsidRPr="00A23740">
              <w:rPr>
                <w:b w:val="0"/>
                <w:color w:val="auto"/>
                <w:lang w:val="tr-TR"/>
              </w:rPr>
              <w:t xml:space="preserve">İkinci fıkrayla, Kanunda aksine hüküm bulunmadığı </w:t>
            </w:r>
            <w:r w:rsidR="00A457E0" w:rsidRPr="00A23740">
              <w:rPr>
                <w:b w:val="0"/>
                <w:color w:val="auto"/>
                <w:lang w:val="tr-TR"/>
              </w:rPr>
              <w:t>h</w:t>
            </w:r>
            <w:r w:rsidR="00C219C2" w:rsidRPr="00A23740">
              <w:rPr>
                <w:b w:val="0"/>
                <w:color w:val="auto"/>
                <w:lang w:val="tr-TR"/>
              </w:rPr>
              <w:t>â</w:t>
            </w:r>
            <w:r w:rsidR="00A457E0" w:rsidRPr="00A23740">
              <w:rPr>
                <w:b w:val="0"/>
                <w:color w:val="auto"/>
                <w:lang w:val="tr-TR"/>
              </w:rPr>
              <w:t>llerde</w:t>
            </w:r>
            <w:r w:rsidRPr="00A23740">
              <w:rPr>
                <w:b w:val="0"/>
                <w:color w:val="auto"/>
                <w:lang w:val="tr-TR"/>
              </w:rPr>
              <w:t xml:space="preserve"> alacaklının yapılmasını talep ettiği işlemle ilgil</w:t>
            </w:r>
            <w:r w:rsidR="00A457E0" w:rsidRPr="00A23740">
              <w:rPr>
                <w:b w:val="0"/>
                <w:color w:val="auto"/>
                <w:lang w:val="tr-TR"/>
              </w:rPr>
              <w:t>i giderleri</w:t>
            </w:r>
            <w:r w:rsidR="00EE3ACE" w:rsidRPr="00A23740">
              <w:rPr>
                <w:b w:val="0"/>
                <w:color w:val="auto"/>
                <w:lang w:val="tr-TR"/>
              </w:rPr>
              <w:t>, taleple birlikte</w:t>
            </w:r>
            <w:r w:rsidR="00A457E0" w:rsidRPr="00A23740">
              <w:rPr>
                <w:b w:val="0"/>
                <w:color w:val="auto"/>
                <w:lang w:val="tr-TR"/>
              </w:rPr>
              <w:t xml:space="preserve"> peşin olarak</w:t>
            </w:r>
            <w:r w:rsidR="00EE3ACE" w:rsidRPr="00A23740">
              <w:rPr>
                <w:b w:val="0"/>
                <w:color w:val="auto"/>
                <w:lang w:val="tr-TR"/>
              </w:rPr>
              <w:t xml:space="preserve"> icra</w:t>
            </w:r>
            <w:r w:rsidR="001647D1" w:rsidRPr="00A23740">
              <w:rPr>
                <w:b w:val="0"/>
                <w:color w:val="auto"/>
                <w:lang w:val="tr-TR"/>
              </w:rPr>
              <w:t xml:space="preserve"> </w:t>
            </w:r>
            <w:r w:rsidR="001647D1" w:rsidRPr="002144D4">
              <w:rPr>
                <w:b w:val="0"/>
                <w:color w:val="auto"/>
                <w:lang w:val="tr-TR"/>
              </w:rPr>
              <w:t>ve</w:t>
            </w:r>
            <w:r w:rsidR="001647D1" w:rsidRPr="00A23740">
              <w:rPr>
                <w:color w:val="538135"/>
                <w:lang w:val="tr-TR"/>
              </w:rPr>
              <w:t xml:space="preserve"> </w:t>
            </w:r>
            <w:r w:rsidR="001647D1" w:rsidRPr="002144D4">
              <w:rPr>
                <w:b w:val="0"/>
                <w:color w:val="auto"/>
                <w:lang w:val="tr-TR"/>
              </w:rPr>
              <w:t>iflas</w:t>
            </w:r>
            <w:r w:rsidR="00EE3ACE" w:rsidRPr="00A23740">
              <w:rPr>
                <w:b w:val="0"/>
                <w:color w:val="auto"/>
                <w:lang w:val="tr-TR"/>
              </w:rPr>
              <w:t xml:space="preserve"> dairesi</w:t>
            </w:r>
            <w:r w:rsidR="00F30A68" w:rsidRPr="00A23740">
              <w:rPr>
                <w:b w:val="0"/>
                <w:color w:val="auto"/>
                <w:lang w:val="tr-TR"/>
              </w:rPr>
              <w:t>nin</w:t>
            </w:r>
            <w:r w:rsidR="00EE3ACE" w:rsidRPr="00A23740">
              <w:rPr>
                <w:b w:val="0"/>
                <w:color w:val="auto"/>
                <w:lang w:val="tr-TR"/>
              </w:rPr>
              <w:t xml:space="preserve"> </w:t>
            </w:r>
            <w:r w:rsidR="00F020F4" w:rsidRPr="002144D4">
              <w:rPr>
                <w:rStyle w:val="YELChar"/>
                <w:color w:val="auto"/>
              </w:rPr>
              <w:t>banka</w:t>
            </w:r>
            <w:r w:rsidR="00F020F4" w:rsidRPr="00A23740">
              <w:rPr>
                <w:rStyle w:val="YELChar"/>
                <w:b/>
              </w:rPr>
              <w:t xml:space="preserve"> </w:t>
            </w:r>
            <w:r w:rsidR="00F020F4" w:rsidRPr="002144D4">
              <w:rPr>
                <w:rStyle w:val="YELChar"/>
                <w:color w:val="auto"/>
              </w:rPr>
              <w:t>hesabına</w:t>
            </w:r>
            <w:r w:rsidRPr="00A23740">
              <w:rPr>
                <w:b w:val="0"/>
                <w:color w:val="auto"/>
                <w:lang w:val="tr-TR"/>
              </w:rPr>
              <w:t xml:space="preserve"> </w:t>
            </w:r>
            <w:r w:rsidR="00F020F4" w:rsidRPr="002144D4">
              <w:rPr>
                <w:rStyle w:val="YELChar"/>
                <w:color w:val="auto"/>
              </w:rPr>
              <w:t>ödeme</w:t>
            </w:r>
            <w:r w:rsidR="00F020F4" w:rsidRPr="002144D4">
              <w:rPr>
                <w:rStyle w:val="YELChar"/>
                <w:color w:val="auto"/>
                <w:lang w:val="tr-TR"/>
              </w:rPr>
              <w:t>k</w:t>
            </w:r>
            <w:r w:rsidR="00F020F4" w:rsidRPr="00A23740">
              <w:rPr>
                <w:rStyle w:val="YELChar"/>
                <w:b/>
                <w:lang w:val="tr-TR"/>
              </w:rPr>
              <w:t xml:space="preserve"> </w:t>
            </w:r>
            <w:r w:rsidR="00F020F4" w:rsidRPr="002144D4">
              <w:rPr>
                <w:rStyle w:val="YELChar"/>
                <w:color w:val="auto"/>
                <w:lang w:val="tr-TR"/>
              </w:rPr>
              <w:t>zorunda</w:t>
            </w:r>
            <w:r w:rsidR="00F020F4" w:rsidRPr="00A23740">
              <w:rPr>
                <w:b w:val="0"/>
                <w:color w:val="auto"/>
                <w:lang w:val="tr-TR"/>
              </w:rPr>
              <w:t xml:space="preserve"> </w:t>
            </w:r>
            <w:r w:rsidRPr="00A23740">
              <w:rPr>
                <w:b w:val="0"/>
                <w:color w:val="auto"/>
                <w:lang w:val="tr-TR"/>
              </w:rPr>
              <w:t xml:space="preserve">olduğu </w:t>
            </w:r>
            <w:r w:rsidR="00EE3ACE" w:rsidRPr="00A23740">
              <w:rPr>
                <w:b w:val="0"/>
                <w:color w:val="auto"/>
                <w:lang w:val="tr-TR"/>
              </w:rPr>
              <w:t>kabul edilmektedir</w:t>
            </w:r>
            <w:r w:rsidRPr="00A23740">
              <w:rPr>
                <w:b w:val="0"/>
                <w:color w:val="auto"/>
                <w:lang w:val="tr-TR"/>
              </w:rPr>
              <w:t>. Fıkranın ikinci cümlesinde</w:t>
            </w:r>
            <w:r w:rsidR="00C23E0D" w:rsidRPr="00A23740">
              <w:rPr>
                <w:b w:val="0"/>
                <w:color w:val="auto"/>
                <w:lang w:val="tr-TR"/>
              </w:rPr>
              <w:t xml:space="preserve">, bu zorunluluğun </w:t>
            </w:r>
            <w:r w:rsidRPr="00A23740">
              <w:rPr>
                <w:b w:val="0"/>
                <w:color w:val="auto"/>
                <w:lang w:val="tr-TR"/>
              </w:rPr>
              <w:t>yaptırım</w:t>
            </w:r>
            <w:r w:rsidR="00C23E0D" w:rsidRPr="00A23740">
              <w:rPr>
                <w:b w:val="0"/>
                <w:color w:val="auto"/>
                <w:lang w:val="tr-TR"/>
              </w:rPr>
              <w:t>ı</w:t>
            </w:r>
            <w:r w:rsidRPr="00A23740">
              <w:rPr>
                <w:b w:val="0"/>
                <w:color w:val="auto"/>
                <w:lang w:val="tr-TR"/>
              </w:rPr>
              <w:t xml:space="preserve"> olarak masrafın peşin </w:t>
            </w:r>
            <w:r w:rsidR="00F020F4" w:rsidRPr="002144D4">
              <w:rPr>
                <w:rStyle w:val="YELChar"/>
                <w:color w:val="auto"/>
              </w:rPr>
              <w:t>öden</w:t>
            </w:r>
            <w:r w:rsidR="00F020F4" w:rsidRPr="002144D4">
              <w:rPr>
                <w:rStyle w:val="YELChar"/>
                <w:color w:val="auto"/>
                <w:lang w:val="tr-TR"/>
              </w:rPr>
              <w:t>me</w:t>
            </w:r>
            <w:r w:rsidR="00F020F4" w:rsidRPr="002144D4">
              <w:rPr>
                <w:rStyle w:val="YELChar"/>
                <w:color w:val="auto"/>
              </w:rPr>
              <w:t>mesi</w:t>
            </w:r>
            <w:r w:rsidR="00F020F4" w:rsidRPr="00A23740">
              <w:rPr>
                <w:b w:val="0"/>
                <w:color w:val="auto"/>
                <w:lang w:val="tr-TR"/>
              </w:rPr>
              <w:t xml:space="preserve"> </w:t>
            </w:r>
            <w:r w:rsidRPr="00A23740">
              <w:rPr>
                <w:b w:val="0"/>
                <w:color w:val="auto"/>
                <w:lang w:val="tr-TR"/>
              </w:rPr>
              <w:t>h</w:t>
            </w:r>
            <w:r w:rsidR="00C219C2" w:rsidRPr="00A23740">
              <w:rPr>
                <w:b w:val="0"/>
                <w:color w:val="auto"/>
                <w:lang w:val="tr-TR"/>
              </w:rPr>
              <w:t>â</w:t>
            </w:r>
            <w:r w:rsidRPr="00A23740">
              <w:rPr>
                <w:b w:val="0"/>
                <w:color w:val="auto"/>
                <w:lang w:val="tr-TR"/>
              </w:rPr>
              <w:t xml:space="preserve">linde alacaklının talebinin yapılmamış sayılacağı </w:t>
            </w:r>
            <w:r w:rsidR="00C23E0D" w:rsidRPr="00A23740">
              <w:rPr>
                <w:b w:val="0"/>
                <w:color w:val="auto"/>
                <w:lang w:val="tr-TR"/>
              </w:rPr>
              <w:t>hükme bağlanmaktadır</w:t>
            </w:r>
            <w:r w:rsidRPr="00A23740">
              <w:rPr>
                <w:b w:val="0"/>
                <w:color w:val="auto"/>
                <w:lang w:val="tr-TR"/>
              </w:rPr>
              <w:t>. Bu fıkra, 2004 sayılı Kanunun 59 uncu maddesinin birinci fıkrasına karşılık gelmektedir.</w:t>
            </w:r>
          </w:p>
          <w:p w:rsidR="007635EE" w:rsidRPr="00A23740" w:rsidRDefault="00A457E0" w:rsidP="009431FF">
            <w:pPr>
              <w:pStyle w:val="Mavi"/>
              <w:ind w:firstLine="567"/>
              <w:rPr>
                <w:b w:val="0"/>
                <w:color w:val="auto"/>
                <w:lang w:val="tr-TR"/>
              </w:rPr>
            </w:pPr>
            <w:r w:rsidRPr="00A23740">
              <w:rPr>
                <w:b w:val="0"/>
                <w:color w:val="auto"/>
                <w:lang w:val="tr-TR"/>
              </w:rPr>
              <w:t>Üçüncü fıkrayla, alacaklı</w:t>
            </w:r>
            <w:r w:rsidR="004D4611" w:rsidRPr="00A23740">
              <w:rPr>
                <w:b w:val="0"/>
                <w:color w:val="auto"/>
                <w:lang w:val="tr-TR"/>
              </w:rPr>
              <w:t>nın dosya borcuna karşılık yapılan ilk ödemeden</w:t>
            </w:r>
            <w:r w:rsidR="00C23E0D" w:rsidRPr="00A23740">
              <w:rPr>
                <w:b w:val="0"/>
                <w:color w:val="auto"/>
                <w:lang w:val="tr-TR"/>
              </w:rPr>
              <w:t>,</w:t>
            </w:r>
            <w:r w:rsidR="004D4611" w:rsidRPr="00A23740">
              <w:rPr>
                <w:b w:val="0"/>
                <w:color w:val="auto"/>
                <w:lang w:val="tr-TR"/>
              </w:rPr>
              <w:t xml:space="preserve"> yaptığı giderleri alabileceği düzenlenmektedir. Bu fıkra, 2004 sayılı Kanunun 59 uncu maddesinin ikinci fıkrasına karşılık gelmektedir.</w:t>
            </w:r>
          </w:p>
          <w:p w:rsidR="00E91409" w:rsidRPr="00A23740" w:rsidRDefault="007635EE" w:rsidP="009431FF">
            <w:pPr>
              <w:pStyle w:val="Mavi"/>
              <w:ind w:firstLine="567"/>
              <w:rPr>
                <w:color w:val="auto"/>
                <w:lang w:val="tr-TR"/>
              </w:rPr>
            </w:pPr>
            <w:r w:rsidRPr="00A23740">
              <w:rPr>
                <w:b w:val="0"/>
                <w:color w:val="010000"/>
                <w:lang w:val="tr-TR"/>
              </w:rPr>
              <w:t>Dördüncü fıkrayla, bu Kanun uyarınca tüm talep, iş, şik</w:t>
            </w:r>
            <w:r w:rsidR="00407C95" w:rsidRPr="00A23740">
              <w:rPr>
                <w:b w:val="0"/>
                <w:color w:val="010000"/>
                <w:lang w:val="tr-TR"/>
              </w:rPr>
              <w:t>â</w:t>
            </w:r>
            <w:r w:rsidRPr="00A23740">
              <w:rPr>
                <w:b w:val="0"/>
                <w:color w:val="010000"/>
                <w:lang w:val="tr-TR"/>
              </w:rPr>
              <w:t xml:space="preserve">yet ve davalarla ilgili olarak icra hukuk mahkemeleri ile iflas mahkemelerine başvuranların, yargılama harçları ile gider avansı tarifesinde belirlenen tutarı, başvuruda bulunurken mahkeme veznesine ödemek zorunda olduğu açık bir şekilde hükme bağlanmaktadır. Bu tarife, Taslağın </w:t>
            </w:r>
            <w:r w:rsidR="0086479A" w:rsidRPr="002144D4">
              <w:rPr>
                <w:rStyle w:val="KonuBalChar"/>
                <w:rFonts w:eastAsia="Calibri"/>
                <w:color w:val="auto"/>
              </w:rPr>
              <w:t>548</w:t>
            </w:r>
            <w:r w:rsidR="0086479A" w:rsidRPr="00A23740">
              <w:rPr>
                <w:rStyle w:val="KonuBalChar"/>
                <w:rFonts w:eastAsia="Calibri"/>
                <w:b/>
              </w:rPr>
              <w:t xml:space="preserve"> </w:t>
            </w:r>
            <w:r w:rsidR="0086479A" w:rsidRPr="002144D4">
              <w:rPr>
                <w:rStyle w:val="KonuBalChar"/>
                <w:rFonts w:eastAsia="Calibri"/>
                <w:color w:val="auto"/>
              </w:rPr>
              <w:t>inci</w:t>
            </w:r>
            <w:r w:rsidRPr="00A23740">
              <w:rPr>
                <w:b w:val="0"/>
                <w:color w:val="010000"/>
                <w:lang w:val="tr-TR"/>
              </w:rPr>
              <w:t xml:space="preserve"> maddesinin ikinci fıkrasında düzenlendiği üzere Adalet Bakanlığı tarafından çıkarılacak ve her takvim yılı başında yürürlüğe konulacaktır. Gider avansı tarifesiyle ilgili diğer hususlar hakkında </w:t>
            </w:r>
            <w:r w:rsidR="003E7FF9" w:rsidRPr="002144D4">
              <w:rPr>
                <w:rStyle w:val="KonuBalChar"/>
                <w:rFonts w:eastAsia="Calibri"/>
                <w:color w:val="auto"/>
              </w:rPr>
              <w:t>6100</w:t>
            </w:r>
            <w:r w:rsidR="003E7FF9" w:rsidRPr="00A23740">
              <w:rPr>
                <w:rStyle w:val="KonuBalChar"/>
                <w:rFonts w:eastAsia="Calibri"/>
                <w:b/>
              </w:rPr>
              <w:t xml:space="preserve"> </w:t>
            </w:r>
            <w:r w:rsidR="003E7FF9" w:rsidRPr="002144D4">
              <w:rPr>
                <w:rStyle w:val="KonuBalChar"/>
                <w:rFonts w:eastAsia="Calibri"/>
                <w:color w:val="auto"/>
              </w:rPr>
              <w:t>sayılı</w:t>
            </w:r>
            <w:r w:rsidR="003E7FF9" w:rsidRPr="00A23740">
              <w:rPr>
                <w:rStyle w:val="KonuBalChar"/>
                <w:rFonts w:eastAsia="Calibri"/>
                <w:b/>
              </w:rPr>
              <w:t xml:space="preserve"> </w:t>
            </w:r>
            <w:r w:rsidR="003E7FF9" w:rsidRPr="002144D4">
              <w:rPr>
                <w:rStyle w:val="KonuBalChar"/>
                <w:rFonts w:eastAsia="Calibri"/>
                <w:color w:val="auto"/>
              </w:rPr>
              <w:t>Kanun</w:t>
            </w:r>
            <w:r w:rsidRPr="00A23740">
              <w:rPr>
                <w:b w:val="0"/>
                <w:color w:val="010000"/>
                <w:lang w:val="tr-TR"/>
              </w:rPr>
              <w:t xml:space="preserve"> hükümleri </w:t>
            </w:r>
            <w:r w:rsidR="00F30A68" w:rsidRPr="00A23740">
              <w:rPr>
                <w:b w:val="0"/>
                <w:color w:val="010000"/>
                <w:lang w:val="tr-TR"/>
              </w:rPr>
              <w:t>uygulanacaktır</w:t>
            </w:r>
            <w:r w:rsidRPr="00A23740">
              <w:rPr>
                <w:b w:val="0"/>
                <w:color w:val="010000"/>
                <w:lang w:val="tr-TR"/>
              </w:rPr>
              <w:t>.</w:t>
            </w:r>
          </w:p>
          <w:p w:rsidR="00596FBF" w:rsidRPr="00A23740" w:rsidRDefault="00596FBF" w:rsidP="009431FF">
            <w:pPr>
              <w:pStyle w:val="Mavi"/>
              <w:ind w:firstLine="567"/>
              <w:rPr>
                <w:b w:val="0"/>
                <w:color w:val="auto"/>
                <w:lang w:val="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rPr>
                <w:lang w:val="tr-TR"/>
              </w:rPr>
            </w:pPr>
            <w:r w:rsidRPr="00A23740">
              <w:rPr>
                <w:lang w:val="tr-TR"/>
              </w:rPr>
              <w:t>Harçlar:</w:t>
            </w:r>
          </w:p>
          <w:p w:rsidR="00155AF4" w:rsidRPr="00A23740" w:rsidRDefault="00155AF4" w:rsidP="009431FF">
            <w:pPr>
              <w:pStyle w:val="KIRMIZI"/>
            </w:pPr>
            <w:r w:rsidRPr="00A23740">
              <w:rPr>
                <w:lang w:val="tr-TR"/>
              </w:rPr>
              <w:t xml:space="preserve">Madde 15 – </w:t>
            </w:r>
            <w:r w:rsidR="00452349" w:rsidRPr="00A23740">
              <w:rPr>
                <w:lang w:val="tr-TR"/>
              </w:rPr>
              <w:t>…</w:t>
            </w:r>
          </w:p>
          <w:p w:rsidR="00155AF4" w:rsidRPr="00A23740" w:rsidRDefault="00155AF4" w:rsidP="009431FF">
            <w:pPr>
              <w:pStyle w:val="KIRMIZI"/>
              <w:rPr>
                <w:lang w:val="tr-TR"/>
              </w:rPr>
            </w:pPr>
            <w:r w:rsidRPr="00A23740">
              <w:rPr>
                <w:lang w:val="tr-TR"/>
              </w:rPr>
              <w:t>(2) İcra takiplerinde, müzahereti Adliye kararları takibe yetkili icra mahkemesi tarafından Hukuk Usulü Muhakemeleri Kanununun 465 ve müteakip maddelerine tevfikan ittihaz olunur.</w:t>
            </w:r>
          </w:p>
          <w:p w:rsidR="00155AF4" w:rsidRPr="00A23740" w:rsidRDefault="00155AF4" w:rsidP="009431FF">
            <w:pPr>
              <w:pStyle w:val="maddebasl0"/>
              <w:spacing w:before="0"/>
              <w:rPr>
                <w:rFonts w:ascii="Times New Roman" w:hAnsi="Times New Roman" w:cs="Times New Roman"/>
                <w:b/>
                <w:sz w:val="24"/>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Mavi"/>
            </w:pPr>
            <w:r w:rsidRPr="00A23740">
              <w:t>Adli yardım</w:t>
            </w:r>
          </w:p>
          <w:p w:rsidR="00155AF4" w:rsidRPr="00A23740" w:rsidRDefault="00155AF4" w:rsidP="009431FF">
            <w:pPr>
              <w:pStyle w:val="Mavi"/>
            </w:pPr>
            <w:r w:rsidRPr="00A23740">
              <w:t>MADDE 52- (1)</w:t>
            </w:r>
            <w:r w:rsidR="009D3212" w:rsidRPr="00A23740">
              <w:rPr>
                <w:lang w:val="tr-TR"/>
              </w:rPr>
              <w:t xml:space="preserve"> </w:t>
            </w:r>
            <w:r w:rsidR="00596FBF" w:rsidRPr="00A23740">
              <w:t xml:space="preserve">Adli </w:t>
            </w:r>
            <w:r w:rsidRPr="00A23740">
              <w:t>yardım, yetkili icra hukuk veya iflas mahkemesinden, Hukuk Muhakemeleri Kanunu hükümlerine göre istenir.</w:t>
            </w:r>
          </w:p>
          <w:p w:rsidR="00DA6B67" w:rsidRDefault="00DA6B67" w:rsidP="009431FF">
            <w:pPr>
              <w:pStyle w:val="Mavi"/>
            </w:pPr>
          </w:p>
          <w:p w:rsidR="002060A9" w:rsidRPr="00A23740" w:rsidRDefault="002060A9" w:rsidP="009431FF">
            <w:pPr>
              <w:pStyle w:val="Mavi"/>
            </w:pPr>
          </w:p>
          <w:p w:rsidR="00452349" w:rsidRDefault="00155AF4" w:rsidP="009431FF">
            <w:pPr>
              <w:pStyle w:val="Mavi"/>
            </w:pPr>
            <w:r w:rsidRPr="00A23740">
              <w:t>(2) Adli yardım talebinde bulunulduğunda, bu konuda karar verilinceye kadar harç ve gider avansı alınmaz.</w:t>
            </w:r>
          </w:p>
          <w:p w:rsidR="009C5516" w:rsidRPr="00A23740" w:rsidRDefault="009C5516" w:rsidP="009431FF">
            <w:pPr>
              <w:pStyle w:val="Mavi"/>
            </w:pPr>
          </w:p>
          <w:p w:rsidR="00327FAD" w:rsidRPr="00A23740" w:rsidRDefault="00327FAD" w:rsidP="009431FF">
            <w:pPr>
              <w:pStyle w:val="Mavi"/>
            </w:pPr>
          </w:p>
        </w:tc>
      </w:tr>
      <w:tr w:rsidR="00155AF4" w:rsidRPr="00A23740" w:rsidTr="009431FF">
        <w:tc>
          <w:tcPr>
            <w:tcW w:w="5000" w:type="pct"/>
            <w:gridSpan w:val="2"/>
            <w:shd w:val="clear" w:color="auto" w:fill="DEEAF6"/>
          </w:tcPr>
          <w:p w:rsidR="00452349" w:rsidRPr="00A23740" w:rsidRDefault="00452349" w:rsidP="009431FF">
            <w:pPr>
              <w:pStyle w:val="Mavi"/>
              <w:ind w:firstLine="709"/>
              <w:rPr>
                <w:color w:val="auto"/>
                <w:lang w:val="tr-TR"/>
              </w:rPr>
            </w:pPr>
          </w:p>
          <w:p w:rsidR="00155AF4" w:rsidRPr="00A23740" w:rsidRDefault="007B7E06" w:rsidP="009431FF">
            <w:pPr>
              <w:pStyle w:val="Mavi"/>
              <w:ind w:firstLine="709"/>
              <w:rPr>
                <w:b w:val="0"/>
                <w:color w:val="auto"/>
                <w:lang w:val="tr-TR"/>
              </w:rPr>
            </w:pPr>
            <w:r w:rsidRPr="00A23740">
              <w:rPr>
                <w:color w:val="auto"/>
                <w:lang w:val="tr-TR"/>
              </w:rPr>
              <w:t>MADDE 52</w:t>
            </w:r>
            <w:r w:rsidR="00155AF4" w:rsidRPr="00A23740">
              <w:rPr>
                <w:color w:val="auto"/>
                <w:lang w:val="tr-TR"/>
              </w:rPr>
              <w:t xml:space="preserve">- </w:t>
            </w:r>
            <w:r w:rsidR="004D4611" w:rsidRPr="00A23740">
              <w:rPr>
                <w:b w:val="0"/>
                <w:color w:val="auto"/>
                <w:lang w:val="tr-TR"/>
              </w:rPr>
              <w:t>Maddeyle, adli yardıma ilişkin hususlar düzenlenmektedir.</w:t>
            </w:r>
          </w:p>
          <w:p w:rsidR="00452349" w:rsidRPr="00A23740" w:rsidRDefault="00452349" w:rsidP="009431FF">
            <w:pPr>
              <w:pStyle w:val="Mavi"/>
              <w:ind w:firstLine="709"/>
              <w:rPr>
                <w:b w:val="0"/>
                <w:color w:val="auto"/>
                <w:lang w:val="tr-TR"/>
              </w:rPr>
            </w:pPr>
            <w:r w:rsidRPr="00A23740">
              <w:rPr>
                <w:b w:val="0"/>
                <w:color w:val="auto"/>
                <w:lang w:val="tr-TR"/>
              </w:rPr>
              <w:t xml:space="preserve">Birinci fıkrayla, adli yardımın yetkili icra hukuk veya iflas mahkemesinden, </w:t>
            </w:r>
            <w:r w:rsidR="003E7FF9" w:rsidRPr="002144D4">
              <w:rPr>
                <w:rStyle w:val="KonuBalChar"/>
                <w:rFonts w:eastAsia="Calibri"/>
                <w:color w:val="auto"/>
              </w:rPr>
              <w:t>6100 sayılı Kanun</w:t>
            </w:r>
            <w:r w:rsidRPr="00A23740">
              <w:rPr>
                <w:b w:val="0"/>
                <w:color w:val="auto"/>
                <w:lang w:val="tr-TR"/>
              </w:rPr>
              <w:t xml:space="preserve"> hükümlerine göre isteneceği hükme bağlanmaktadır. Bu fıkra, 2004 sayılı Kanunun 15 inci maddesinin ikinci fıkrasına karşılık gelmektedir.</w:t>
            </w:r>
          </w:p>
          <w:p w:rsidR="00E91409" w:rsidRPr="00A23740" w:rsidRDefault="00452349" w:rsidP="009431FF">
            <w:pPr>
              <w:pStyle w:val="Mavi"/>
              <w:ind w:firstLine="709"/>
              <w:rPr>
                <w:color w:val="auto"/>
                <w:lang w:val="tr-TR"/>
              </w:rPr>
            </w:pPr>
            <w:r w:rsidRPr="00A23740">
              <w:rPr>
                <w:b w:val="0"/>
                <w:color w:val="auto"/>
                <w:lang w:val="tr-TR"/>
              </w:rPr>
              <w:t>İkinci fıkrayla, bir yenilik olarak</w:t>
            </w:r>
            <w:r w:rsidR="00F30A68" w:rsidRPr="00A23740">
              <w:rPr>
                <w:b w:val="0"/>
                <w:color w:val="auto"/>
                <w:lang w:val="tr-TR"/>
              </w:rPr>
              <w:t>,</w:t>
            </w:r>
            <w:r w:rsidRPr="00A23740">
              <w:rPr>
                <w:b w:val="0"/>
                <w:color w:val="auto"/>
                <w:lang w:val="tr-TR"/>
              </w:rPr>
              <w:t xml:space="preserve"> adli yardım talebinde bulunulduğunda yapılması gereken hususlar düzenlenmektedir. Buna göre, adli yardım talebinde bulunulduğunda, talep konusunda karar verilinceye kadar alınması gereken harç ve gider avansı alınma</w:t>
            </w:r>
            <w:r w:rsidR="00F30A68" w:rsidRPr="00A23740">
              <w:rPr>
                <w:b w:val="0"/>
                <w:color w:val="auto"/>
                <w:lang w:val="tr-TR"/>
              </w:rPr>
              <w:t>yacaktır</w:t>
            </w:r>
            <w:r w:rsidRPr="00A23740">
              <w:rPr>
                <w:b w:val="0"/>
                <w:color w:val="auto"/>
                <w:lang w:val="tr-TR"/>
              </w:rPr>
              <w:t>.</w:t>
            </w:r>
          </w:p>
          <w:p w:rsidR="00596FBF" w:rsidRPr="00A23740" w:rsidRDefault="00596FBF"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pPr>
          </w:p>
          <w:p w:rsidR="00155AF4" w:rsidRPr="00A23740" w:rsidRDefault="00155AF4" w:rsidP="009431FF">
            <w:pPr>
              <w:pStyle w:val="Mavi"/>
              <w:rPr>
                <w:rFonts w:eastAsia="Times New Roman"/>
                <w:lang w:val="tr-TR" w:eastAsia="tr-TR"/>
              </w:rPr>
            </w:pPr>
          </w:p>
        </w:tc>
        <w:tc>
          <w:tcPr>
            <w:tcW w:w="2500" w:type="pct"/>
            <w:shd w:val="clear" w:color="auto" w:fill="auto"/>
          </w:tcPr>
          <w:p w:rsidR="00155AF4" w:rsidRPr="00A23740" w:rsidRDefault="00155AF4" w:rsidP="009431FF">
            <w:pPr>
              <w:pStyle w:val="Balk1"/>
              <w:rPr>
                <w:lang w:val="tr-TR"/>
              </w:rPr>
            </w:pPr>
            <w:r w:rsidRPr="00A23740">
              <w:rPr>
                <w:lang w:val="tr-TR"/>
              </w:rPr>
              <w:t>BİRİNCİ KİTAP</w:t>
            </w:r>
          </w:p>
          <w:p w:rsidR="00155AF4" w:rsidRPr="00A23740" w:rsidRDefault="00155AF4" w:rsidP="009431FF">
            <w:pPr>
              <w:pStyle w:val="Balk1"/>
              <w:rPr>
                <w:lang w:val="tr-TR"/>
              </w:rPr>
            </w:pPr>
            <w:r w:rsidRPr="00A23740">
              <w:rPr>
                <w:lang w:val="tr-TR"/>
              </w:rPr>
              <w:t>CÜZİ İCRA</w:t>
            </w:r>
          </w:p>
          <w:p w:rsidR="00155AF4" w:rsidRPr="00A23740" w:rsidRDefault="00155AF4" w:rsidP="009431FF">
            <w:pPr>
              <w:jc w:val="center"/>
              <w:rPr>
                <w:b/>
                <w:bCs/>
                <w:color w:val="0000FF"/>
                <w:szCs w:val="24"/>
                <w:lang w:eastAsia="x-none"/>
              </w:rPr>
            </w:pPr>
          </w:p>
          <w:p w:rsidR="00155AF4" w:rsidRPr="00A23740" w:rsidRDefault="00155AF4" w:rsidP="009431FF">
            <w:pPr>
              <w:pStyle w:val="Balk2"/>
              <w:rPr>
                <w:lang w:val="tr-TR"/>
              </w:rPr>
            </w:pPr>
            <w:r w:rsidRPr="00A23740">
              <w:rPr>
                <w:lang w:val="tr-TR"/>
              </w:rPr>
              <w:t>BİRİNCİ KISIM</w:t>
            </w:r>
          </w:p>
          <w:p w:rsidR="00155AF4" w:rsidRPr="00A23740" w:rsidRDefault="00155AF4" w:rsidP="009431FF">
            <w:pPr>
              <w:pStyle w:val="Balk2"/>
              <w:rPr>
                <w:lang w:val="tr-TR"/>
              </w:rPr>
            </w:pPr>
            <w:r w:rsidRPr="00A23740">
              <w:rPr>
                <w:lang w:val="tr-TR"/>
              </w:rPr>
              <w:t>Cüzi İcra Yolları</w:t>
            </w:r>
          </w:p>
          <w:p w:rsidR="00155AF4" w:rsidRPr="00A23740" w:rsidRDefault="00155AF4" w:rsidP="009431FF">
            <w:pPr>
              <w:jc w:val="center"/>
              <w:rPr>
                <w:b/>
                <w:bCs/>
                <w:color w:val="0000FF"/>
                <w:szCs w:val="24"/>
                <w:lang w:eastAsia="x-none"/>
              </w:rPr>
            </w:pPr>
          </w:p>
          <w:p w:rsidR="00155AF4" w:rsidRPr="00A23740" w:rsidRDefault="00155AF4" w:rsidP="009431FF">
            <w:pPr>
              <w:pStyle w:val="Balk3"/>
              <w:rPr>
                <w:lang w:val="tr-TR"/>
              </w:rPr>
            </w:pPr>
            <w:r w:rsidRPr="00A23740">
              <w:rPr>
                <w:lang w:val="tr-TR"/>
              </w:rPr>
              <w:t>BİRİNCİ BÖLÜM</w:t>
            </w:r>
          </w:p>
          <w:p w:rsidR="00155AF4" w:rsidRPr="00A23740" w:rsidRDefault="00155AF4" w:rsidP="009431FF">
            <w:pPr>
              <w:pStyle w:val="Balk3"/>
              <w:rPr>
                <w:lang w:val="tr-TR"/>
              </w:rPr>
            </w:pPr>
            <w:r w:rsidRPr="00A23740">
              <w:rPr>
                <w:lang w:val="tr-TR"/>
              </w:rPr>
              <w:t>İlamlı İcra</w:t>
            </w:r>
          </w:p>
          <w:p w:rsidR="00155AF4" w:rsidRPr="00A23740" w:rsidRDefault="00155AF4" w:rsidP="009431FF"/>
          <w:p w:rsidR="00155AF4" w:rsidRPr="00A23740" w:rsidRDefault="00155AF4" w:rsidP="009431FF">
            <w:pPr>
              <w:pStyle w:val="Balk4"/>
              <w:rPr>
                <w:lang w:val="tr-TR"/>
              </w:rPr>
            </w:pPr>
            <w:r w:rsidRPr="00A23740">
              <w:rPr>
                <w:lang w:val="tr-TR"/>
              </w:rPr>
              <w:t>BİRİNCİ AYRIM</w:t>
            </w:r>
          </w:p>
          <w:p w:rsidR="00155AF4" w:rsidRPr="00A23740" w:rsidRDefault="00155AF4" w:rsidP="009431FF">
            <w:pPr>
              <w:pStyle w:val="Balk4"/>
              <w:rPr>
                <w:lang w:val="tr-TR"/>
              </w:rPr>
            </w:pPr>
            <w:r w:rsidRPr="00A23740">
              <w:rPr>
                <w:lang w:val="tr-TR"/>
              </w:rPr>
              <w:t>İlamların İcrası, Kanun Yolları ve İcranın Ertelenmesi</w:t>
            </w:r>
          </w:p>
          <w:p w:rsidR="00155AF4" w:rsidRPr="00A23740" w:rsidRDefault="00155AF4" w:rsidP="009431FF"/>
          <w:p w:rsidR="00155AF4" w:rsidRPr="00A23740" w:rsidRDefault="00155AF4" w:rsidP="009431FF">
            <w:pPr>
              <w:pStyle w:val="Mavi"/>
            </w:pPr>
            <w:r w:rsidRPr="00A23740">
              <w:t>İlamların icrası</w:t>
            </w:r>
          </w:p>
          <w:p w:rsidR="00155AF4" w:rsidRPr="00A23740" w:rsidRDefault="00155AF4" w:rsidP="009431FF">
            <w:pPr>
              <w:pStyle w:val="Mavi"/>
              <w:rPr>
                <w:lang w:val="tr-TR"/>
              </w:rPr>
            </w:pPr>
            <w:r w:rsidRPr="00A23740">
              <w:t>MADDE 53</w:t>
            </w:r>
            <w:r w:rsidRPr="00A23740">
              <w:rPr>
                <w:rStyle w:val="YELChar"/>
                <w:rFonts w:eastAsia="Calibri"/>
                <w:b/>
                <w:color w:val="0000FF"/>
                <w:lang w:eastAsia="x-none"/>
              </w:rPr>
              <w:t>-</w:t>
            </w:r>
            <w:r w:rsidRPr="00A23740">
              <w:t xml:space="preserve"> (1) </w:t>
            </w:r>
            <w:r w:rsidRPr="00A23740">
              <w:rPr>
                <w:lang w:val="tr-TR"/>
              </w:rPr>
              <w:t>Aşağıdaki h</w:t>
            </w:r>
            <w:r w:rsidR="00CF4611" w:rsidRPr="00A23740">
              <w:rPr>
                <w:lang w:val="tr-TR"/>
              </w:rPr>
              <w:t>â</w:t>
            </w:r>
            <w:r w:rsidRPr="00A23740">
              <w:rPr>
                <w:lang w:val="tr-TR"/>
              </w:rPr>
              <w:t>llerde ilamlar icraya konulabilir:</w:t>
            </w:r>
          </w:p>
          <w:p w:rsidR="00155AF4" w:rsidRPr="00A23740" w:rsidRDefault="00155AF4" w:rsidP="009431FF">
            <w:pPr>
              <w:pStyle w:val="Mavi"/>
            </w:pPr>
            <w:r w:rsidRPr="00A23740">
              <w:rPr>
                <w:lang w:val="tr-TR"/>
              </w:rPr>
              <w:t xml:space="preserve">a) </w:t>
            </w:r>
            <w:r w:rsidRPr="00A23740">
              <w:t>Verildiği anda kesin olan veya kanun yoluna başvurulmayarak kesinleşen ilk derece mahkemesi ilamları.</w:t>
            </w:r>
          </w:p>
          <w:p w:rsidR="00537077" w:rsidRPr="00A23740" w:rsidRDefault="00537077" w:rsidP="009431FF">
            <w:pPr>
              <w:pStyle w:val="Mavi"/>
            </w:pPr>
          </w:p>
          <w:p w:rsidR="00155AF4" w:rsidRPr="00A23740" w:rsidRDefault="00155AF4" w:rsidP="009431FF">
            <w:pPr>
              <w:pStyle w:val="Mavi"/>
            </w:pPr>
            <w:r w:rsidRPr="00A23740">
              <w:rPr>
                <w:lang w:val="tr-TR"/>
              </w:rPr>
              <w:t>b) İ</w:t>
            </w:r>
            <w:r w:rsidRPr="00A23740">
              <w:t>stinaf başvurusu bölge adliye mahkemesince reddedilen ilk derece mahkemesi ilamları.</w:t>
            </w:r>
          </w:p>
          <w:p w:rsidR="00537077" w:rsidRPr="00A23740" w:rsidRDefault="00537077" w:rsidP="009431FF">
            <w:pPr>
              <w:pStyle w:val="Mavi"/>
            </w:pPr>
          </w:p>
          <w:p w:rsidR="00155AF4" w:rsidRPr="00A23740" w:rsidRDefault="00155AF4" w:rsidP="009431FF">
            <w:pPr>
              <w:pStyle w:val="Mavi"/>
            </w:pPr>
            <w:r w:rsidRPr="00A23740">
              <w:rPr>
                <w:lang w:val="tr-TR"/>
              </w:rPr>
              <w:t>c) B</w:t>
            </w:r>
            <w:r w:rsidRPr="00A23740">
              <w:t>ölge adliye mahkemesi ilamları.</w:t>
            </w:r>
          </w:p>
          <w:p w:rsidR="00537077" w:rsidRPr="00A23740" w:rsidRDefault="00537077" w:rsidP="009431FF">
            <w:pPr>
              <w:pStyle w:val="Mavi"/>
            </w:pPr>
          </w:p>
          <w:p w:rsidR="00155AF4" w:rsidRPr="002144D4" w:rsidRDefault="00155AF4" w:rsidP="009431FF">
            <w:pPr>
              <w:pStyle w:val="Mavi"/>
            </w:pPr>
            <w:r w:rsidRPr="00A23740">
              <w:rPr>
                <w:lang w:val="tr-TR"/>
              </w:rPr>
              <w:t xml:space="preserve">ç) </w:t>
            </w:r>
            <w:r w:rsidR="00653581" w:rsidRPr="002144D4">
              <w:rPr>
                <w:rStyle w:val="KIRMIZIChar"/>
                <w:rFonts w:eastAsia="Calibri"/>
                <w:b/>
                <w:bCs/>
                <w:strike w:val="0"/>
                <w:color w:val="0000FF"/>
              </w:rPr>
              <w:t>Yargıtay tarafından ilk derece mahkemesi sıfatıyla verilen ilamlar.</w:t>
            </w:r>
          </w:p>
          <w:p w:rsidR="00155AF4" w:rsidRPr="00A23740" w:rsidRDefault="00155AF4" w:rsidP="009431FF">
            <w:pPr>
              <w:pStyle w:val="Mavi"/>
            </w:pPr>
          </w:p>
          <w:p w:rsidR="00155AF4" w:rsidRPr="00A23740" w:rsidRDefault="00155AF4" w:rsidP="009431FF">
            <w:pPr>
              <w:pStyle w:val="Mavi"/>
            </w:pPr>
            <w:r w:rsidRPr="00A23740">
              <w:lastRenderedPageBreak/>
              <w:t>(2) Her türlü nafaka alacağı, bedensel zarar ve destekten yoksun kalma alacakları</w:t>
            </w:r>
            <w:r w:rsidR="00B86A94" w:rsidRPr="00A23740">
              <w:t>,</w:t>
            </w:r>
            <w:r w:rsidRPr="00A23740">
              <w:t xml:space="preserve"> işçinin iş ilişkisinden doğan alacakları</w:t>
            </w:r>
            <w:r w:rsidR="00B86A94" w:rsidRPr="00A23740">
              <w:t xml:space="preserve"> ile bayrağına ve sicile kayıtlı olup olmadığına bakılmaksızın bir geminin tahliye ve teslimi</w:t>
            </w:r>
            <w:r w:rsidRPr="00A23740">
              <w:t xml:space="preserve"> hakkındaki ilk derece mahkemesi ilamları, kanun yolu açık olsa dahi icraya konulabilir.</w:t>
            </w:r>
          </w:p>
          <w:p w:rsidR="00155AF4" w:rsidRPr="00A23740" w:rsidRDefault="00155AF4" w:rsidP="009431FF">
            <w:pPr>
              <w:pStyle w:val="Mavi"/>
            </w:pPr>
          </w:p>
          <w:p w:rsidR="00155AF4" w:rsidRPr="00A23740" w:rsidRDefault="00155AF4" w:rsidP="009431FF">
            <w:pPr>
              <w:pStyle w:val="Mavi"/>
            </w:pPr>
            <w:r w:rsidRPr="00A23740">
              <w:t>(3) Kişiler hukuku, aile hukuku ve taşınmaz mal ile ilgili ayni haklara ilişkin ilamlar kesinleşmedikçe icraya konulamaz.</w:t>
            </w:r>
          </w:p>
          <w:p w:rsidR="00155AF4" w:rsidRPr="00A23740" w:rsidRDefault="00155AF4" w:rsidP="009431FF">
            <w:pPr>
              <w:rPr>
                <w:b/>
                <w:bCs/>
                <w:color w:val="0000FF"/>
                <w:szCs w:val="24"/>
                <w:lang w:eastAsia="x-none"/>
              </w:rPr>
            </w:pPr>
          </w:p>
          <w:p w:rsidR="00155AF4" w:rsidRDefault="00155AF4" w:rsidP="009431FF">
            <w:pPr>
              <w:pStyle w:val="Mavi"/>
            </w:pPr>
            <w:r w:rsidRPr="00A23740">
              <w:t>(4)</w:t>
            </w:r>
            <w:r w:rsidRPr="00A23740">
              <w:rPr>
                <w:color w:val="008000"/>
              </w:rPr>
              <w:t xml:space="preserve"> </w:t>
            </w:r>
            <w:r w:rsidRPr="00A23740">
              <w:t>Türk Medeni Kanununun 169 uncu maddesi gereği verilen geçici önlem kararları ile Türk Borçlar Kanununun 76 ncı maddesi çerçevesinde verilen geçici ödeme kararları da ilamların icrası hakkındaki hükümler uyarınca derh</w:t>
            </w:r>
            <w:r w:rsidR="00DF22A1" w:rsidRPr="00A23740">
              <w:rPr>
                <w:lang w:val="tr-TR"/>
              </w:rPr>
              <w:t>â</w:t>
            </w:r>
            <w:r w:rsidRPr="00A23740">
              <w:t xml:space="preserve">l icra edilebilir. </w:t>
            </w:r>
          </w:p>
          <w:p w:rsidR="0017570C" w:rsidRPr="00A23740" w:rsidRDefault="0017570C" w:rsidP="009431FF">
            <w:pPr>
              <w:pStyle w:val="Mavi"/>
            </w:pPr>
          </w:p>
        </w:tc>
      </w:tr>
      <w:tr w:rsidR="00155AF4" w:rsidRPr="00A23740" w:rsidTr="009431FF">
        <w:tc>
          <w:tcPr>
            <w:tcW w:w="5000" w:type="pct"/>
            <w:gridSpan w:val="2"/>
            <w:shd w:val="clear" w:color="auto" w:fill="DEEAF6"/>
          </w:tcPr>
          <w:p w:rsidR="00B430CF" w:rsidRPr="00A23740" w:rsidRDefault="00B430CF" w:rsidP="009431FF">
            <w:pPr>
              <w:pStyle w:val="Mavi"/>
              <w:ind w:firstLine="709"/>
              <w:rPr>
                <w:b w:val="0"/>
                <w:color w:val="auto"/>
                <w:lang w:val="tr-TR"/>
              </w:rPr>
            </w:pPr>
          </w:p>
          <w:p w:rsidR="00BF4CA4" w:rsidRPr="00A23740" w:rsidRDefault="00BF4CA4" w:rsidP="009431FF">
            <w:pPr>
              <w:pStyle w:val="Mavi"/>
              <w:ind w:firstLine="709"/>
              <w:rPr>
                <w:b w:val="0"/>
                <w:color w:val="auto"/>
                <w:lang w:val="tr-TR"/>
              </w:rPr>
            </w:pPr>
            <w:r w:rsidRPr="00A23740">
              <w:rPr>
                <w:color w:val="auto"/>
                <w:lang w:val="tr-TR"/>
              </w:rPr>
              <w:t>MADDE 53-</w:t>
            </w:r>
            <w:r w:rsidRPr="00A23740">
              <w:rPr>
                <w:b w:val="0"/>
                <w:color w:val="auto"/>
                <w:lang w:val="tr-TR"/>
              </w:rPr>
              <w:t xml:space="preserve"> Maddeyle, ilamların icrasına il</w:t>
            </w:r>
            <w:r w:rsidR="00327FAD" w:rsidRPr="00A23740">
              <w:rPr>
                <w:b w:val="0"/>
                <w:color w:val="auto"/>
                <w:lang w:val="tr-TR"/>
              </w:rPr>
              <w:t>işkin esaslar düzenlenmektedir.</w:t>
            </w:r>
          </w:p>
          <w:p w:rsidR="00BF4CA4" w:rsidRPr="00A23740" w:rsidRDefault="00BF4CA4" w:rsidP="009431FF">
            <w:pPr>
              <w:pStyle w:val="Mavi"/>
              <w:ind w:firstLine="709"/>
              <w:rPr>
                <w:b w:val="0"/>
                <w:color w:val="auto"/>
                <w:lang w:val="tr-TR"/>
              </w:rPr>
            </w:pPr>
            <w:r w:rsidRPr="00A23740">
              <w:rPr>
                <w:b w:val="0"/>
                <w:color w:val="auto"/>
                <w:lang w:val="tr-TR"/>
              </w:rPr>
              <w:t>Hükümle, cebr</w:t>
            </w:r>
            <w:r w:rsidR="00070384" w:rsidRPr="00A23740">
              <w:rPr>
                <w:b w:val="0"/>
                <w:color w:val="auto"/>
                <w:lang w:val="tr-TR"/>
              </w:rPr>
              <w:t>î</w:t>
            </w:r>
            <w:r w:rsidRPr="00A23740">
              <w:rPr>
                <w:b w:val="0"/>
                <w:color w:val="auto"/>
                <w:lang w:val="tr-TR"/>
              </w:rPr>
              <w:t xml:space="preserve"> icra hukukunda önemli bir değişiklik öngörülmektedir. Türk hukukunda eskiden beri, ilk derece mahkemeleri tarafından verilen ilamların derh</w:t>
            </w:r>
            <w:r w:rsidR="00DF22A1" w:rsidRPr="00A23740">
              <w:rPr>
                <w:b w:val="0"/>
                <w:color w:val="auto"/>
                <w:lang w:val="tr-TR"/>
              </w:rPr>
              <w:t>â</w:t>
            </w:r>
            <w:r w:rsidRPr="00A23740">
              <w:rPr>
                <w:b w:val="0"/>
                <w:color w:val="auto"/>
                <w:lang w:val="tr-TR"/>
              </w:rPr>
              <w:t>l icra kabiliyetine sahip olması esası kabul edilmiştir. Buna göre bir mahkeme, niteliği gereği cebr</w:t>
            </w:r>
            <w:r w:rsidR="00070384" w:rsidRPr="00A23740">
              <w:rPr>
                <w:b w:val="0"/>
                <w:color w:val="auto"/>
                <w:lang w:val="tr-TR"/>
              </w:rPr>
              <w:t>Î</w:t>
            </w:r>
            <w:r w:rsidRPr="00A23740">
              <w:rPr>
                <w:b w:val="0"/>
                <w:color w:val="auto"/>
                <w:lang w:val="tr-TR"/>
              </w:rPr>
              <w:t xml:space="preserve"> icraya konu olabilecek bir hüküm verdiğinde, hüküm lehine olan taraf, kural olarak hükmün kanun yoluna tabi olup olmadığına ve tabi ise bu yolların tüketilip tüketilmediğine bakılmaksızın mahkemeden ilamı alıp icraya koyabilmektedir. Diğer bir ifadeyle ilamlar derh</w:t>
            </w:r>
            <w:r w:rsidR="00DF22A1" w:rsidRPr="00A23740">
              <w:rPr>
                <w:b w:val="0"/>
                <w:color w:val="auto"/>
                <w:lang w:val="tr-TR"/>
              </w:rPr>
              <w:t>â</w:t>
            </w:r>
            <w:r w:rsidRPr="00A23740">
              <w:rPr>
                <w:b w:val="0"/>
                <w:color w:val="auto"/>
                <w:lang w:val="tr-TR"/>
              </w:rPr>
              <w:t>l icra edilebilmektedir. Hükümlerin derh</w:t>
            </w:r>
            <w:r w:rsidR="00DF22A1" w:rsidRPr="00A23740">
              <w:rPr>
                <w:b w:val="0"/>
                <w:color w:val="auto"/>
                <w:lang w:val="tr-TR"/>
              </w:rPr>
              <w:t>â</w:t>
            </w:r>
            <w:r w:rsidRPr="00A23740">
              <w:rPr>
                <w:b w:val="0"/>
                <w:color w:val="auto"/>
                <w:lang w:val="tr-TR"/>
              </w:rPr>
              <w:t>l icra edilebildiği bir sistemde, alacaklı ve borçlu arasındaki hassas dengenin sağlanabilmesi için, borçluya teminat yatırarak takibi durdurabilme hakkı verilmektedir. Bu sistem, eskiden beri uygulanıyor olsa da öğreti ve uygulamada önemli eleştirilere de maruz kalmaktadır. Zira Türk hukuk uygulamasında tarafların kanun yoluna gitme ve kanun yollarında hükümlerin kaldırılma</w:t>
            </w:r>
            <w:r w:rsidR="00CE1492" w:rsidRPr="00A23740">
              <w:rPr>
                <w:b w:val="0"/>
                <w:color w:val="auto"/>
                <w:lang w:val="tr-TR"/>
              </w:rPr>
              <w:t>,</w:t>
            </w:r>
            <w:r w:rsidRPr="00A23740">
              <w:rPr>
                <w:b w:val="0"/>
                <w:color w:val="auto"/>
                <w:lang w:val="tr-TR"/>
              </w:rPr>
              <w:t>/bozulma ve hatta düzelterek onama</w:t>
            </w:r>
            <w:r w:rsidR="00CE1492" w:rsidRPr="00A23740">
              <w:rPr>
                <w:b w:val="0"/>
                <w:color w:val="auto"/>
                <w:lang w:val="tr-TR"/>
              </w:rPr>
              <w:t>,</w:t>
            </w:r>
            <w:r w:rsidRPr="00A23740">
              <w:rPr>
                <w:b w:val="0"/>
                <w:color w:val="auto"/>
                <w:lang w:val="tr-TR"/>
              </w:rPr>
              <w:t xml:space="preserve">/yeniden esas hakkında karar verilme oranlarının oldukça yüksek olduğu gözlemlenmektedir. Bu sebeple ya borçluya haksız bir teminat ödeme yükümlülüğü getirilmiş olmakta ya da icranın iadesi hükümleri yüksek oranda uygulama alanı bulmaktadır. Bu çerçevede Bilim Komisyonunda sistemin tamamen ters çevrilip, sadece kesinleşmiş olan mahkeme ilamlarının icra kabiliyetine sahip olması önerisi tartışılmış; fakat Türk hukukunda 2016 yılından beri iki </w:t>
            </w:r>
            <w:r w:rsidR="00CE1492" w:rsidRPr="00A23740">
              <w:rPr>
                <w:b w:val="0"/>
                <w:color w:val="auto"/>
                <w:lang w:val="tr-TR"/>
              </w:rPr>
              <w:t xml:space="preserve">kademeli </w:t>
            </w:r>
            <w:r w:rsidRPr="00A23740">
              <w:rPr>
                <w:b w:val="0"/>
                <w:color w:val="auto"/>
                <w:lang w:val="tr-TR"/>
              </w:rPr>
              <w:t>kanun yolu sisteminin uygulanıyor olması, davaların kanun yolu aşamalarının uzun sürebilmesi ve para alacakları bakımından ilamsız icra kurumunun varlığını sürdürmesi gibi çeşitli bazı gerekçelerle bu şekilde katı bir ters çevirmenin de alacaklı ve borçlu arasındaki menfaat dengesinin sağlanmasına yeterli katkıyı sağlamayacağı düşünülmüştür. Bilim Komisyonunda ayrıca, icra edilecek edimin niteliğine (bir işin yapılması, para ödenmesi vs. gibi) göre bir ayrım yapılması da tartışılmış; fakat bu şekilde bir ayrım yapılmasının da özellikle alacaklılar arasındaki menfaat dengesinin sağlanması yönünden sakıncalı olabileceği kanaatine varılmıştır. Yeni getirilen maddeyle, ilamların cebr</w:t>
            </w:r>
            <w:r w:rsidR="00070384" w:rsidRPr="00A23740">
              <w:rPr>
                <w:b w:val="0"/>
                <w:color w:val="auto"/>
                <w:lang w:val="tr-TR"/>
              </w:rPr>
              <w:t>î</w:t>
            </w:r>
            <w:r w:rsidRPr="00A23740">
              <w:rPr>
                <w:b w:val="0"/>
                <w:color w:val="auto"/>
                <w:lang w:val="tr-TR"/>
              </w:rPr>
              <w:t xml:space="preserve"> icraya konulması, kanun yoluna tabi olup olmama ile kanun yolu aşaması dikkate alınmak </w:t>
            </w:r>
            <w:r w:rsidRPr="00A23740">
              <w:rPr>
                <w:b w:val="0"/>
                <w:color w:val="auto"/>
                <w:lang w:val="tr-TR"/>
              </w:rPr>
              <w:lastRenderedPageBreak/>
              <w:t>suretiyle belirlenmektedir. Bu bağlamda alacaklı ve borçlu arasındaki menfaat dengesinin sağlanmasına uygun olacak şekilde, ihtiyati haciz kurumu da varlığını sürdürmektedir. Alacaklı, henüz icra takibi yapma hakkı doğmamış olsa dahi, haklarını korumak</w:t>
            </w:r>
            <w:r w:rsidR="008149F9" w:rsidRPr="00A23740">
              <w:rPr>
                <w:b w:val="0"/>
                <w:color w:val="auto"/>
                <w:lang w:val="tr-TR"/>
              </w:rPr>
              <w:t xml:space="preserve"> için</w:t>
            </w:r>
            <w:r w:rsidRPr="00A23740">
              <w:rPr>
                <w:b w:val="0"/>
                <w:color w:val="auto"/>
                <w:lang w:val="tr-TR"/>
              </w:rPr>
              <w:t>, şartları varsa ihtiyati h</w:t>
            </w:r>
            <w:r w:rsidR="008149F9" w:rsidRPr="00A23740">
              <w:rPr>
                <w:b w:val="0"/>
                <w:color w:val="auto"/>
                <w:lang w:val="tr-TR"/>
              </w:rPr>
              <w:t>aciz kurumundan yararlanabilir.</w:t>
            </w:r>
          </w:p>
          <w:p w:rsidR="00BF4CA4" w:rsidRPr="00A23740" w:rsidRDefault="00BF4CA4" w:rsidP="009431FF">
            <w:pPr>
              <w:pStyle w:val="Mavi"/>
              <w:ind w:firstLine="709"/>
              <w:rPr>
                <w:b w:val="0"/>
                <w:color w:val="auto"/>
                <w:lang w:val="tr-TR"/>
              </w:rPr>
            </w:pPr>
            <w:r w:rsidRPr="00A23740">
              <w:rPr>
                <w:b w:val="0"/>
                <w:color w:val="auto"/>
                <w:lang w:val="tr-TR"/>
              </w:rPr>
              <w:t>Birinci fıkrayla, icraya konulacak ilamların kapsamı belirlenmektedir. Buna göre öncelikle verildiği anda kesin olan veya hakkında istinaf kanun yoluna gidilmeyen ilk derece mahkemesi ilamları icraya konabilecektir. Hakkında istinaf başvurusu yapılan hükümler bakımından ise istinaf kanun yolu beklenecek ve henüz hakkında istinaf kanun yolu aşaması tamamlanmamış olan hükümlerin icrası kural olarak mümkün olmayacaktır. İstinaf kanun yoluna tabi olan hükümler bakımından, bölge adliye mahkemesinin ya esas hakkında ret kararı ya da hükmün kaldırılarak yeninden esas hakkında</w:t>
            </w:r>
            <w:r w:rsidR="008149F9" w:rsidRPr="00A23740">
              <w:rPr>
                <w:b w:val="0"/>
                <w:color w:val="auto"/>
                <w:lang w:val="tr-TR"/>
              </w:rPr>
              <w:t xml:space="preserve"> karar</w:t>
            </w:r>
            <w:r w:rsidRPr="00A23740">
              <w:rPr>
                <w:b w:val="0"/>
                <w:color w:val="auto"/>
                <w:lang w:val="tr-TR"/>
              </w:rPr>
              <w:t xml:space="preserve"> vermesi beklenecektir. Yani bir ilk derece mahkemesi hükmünün icra edilebilmesi için verildiği anda kesin olması veya hakkında istinaf yoluna başvurulmamış olması ya da hakkındaki istinaf başvurusunun bölge adliye mahkemesince reddedilmiş olması gerekmektedir. Bölge adliye mahkemesi</w:t>
            </w:r>
            <w:r w:rsidR="008149F9" w:rsidRPr="00A23740">
              <w:rPr>
                <w:b w:val="0"/>
                <w:color w:val="auto"/>
                <w:lang w:val="tr-TR"/>
              </w:rPr>
              <w:t>nin esas hakkındaki</w:t>
            </w:r>
            <w:r w:rsidRPr="00A23740">
              <w:rPr>
                <w:b w:val="0"/>
                <w:color w:val="auto"/>
                <w:lang w:val="tr-TR"/>
              </w:rPr>
              <w:t xml:space="preserve"> hükümleri ise her h</w:t>
            </w:r>
            <w:r w:rsidR="002F2BAA" w:rsidRPr="00A23740">
              <w:rPr>
                <w:b w:val="0"/>
                <w:color w:val="auto"/>
                <w:lang w:val="tr-TR"/>
              </w:rPr>
              <w:t>â</w:t>
            </w:r>
            <w:r w:rsidRPr="00A23740">
              <w:rPr>
                <w:b w:val="0"/>
                <w:color w:val="auto"/>
                <w:lang w:val="tr-TR"/>
              </w:rPr>
              <w:t>lükârda doğrudan icra edilebilecektir; keza hiç kuşkusuz Yargıtayın ilk derece mahkemesi olarak verdiği h</w:t>
            </w:r>
            <w:r w:rsidR="008149F9" w:rsidRPr="00A23740">
              <w:rPr>
                <w:b w:val="0"/>
                <w:color w:val="auto"/>
                <w:lang w:val="tr-TR"/>
              </w:rPr>
              <w:t>ükümler için de durum böyledir.</w:t>
            </w:r>
            <w:r w:rsidR="00A54378" w:rsidRPr="00A23740">
              <w:rPr>
                <w:b w:val="0"/>
                <w:color w:val="auto"/>
                <w:lang w:val="tr-TR"/>
              </w:rPr>
              <w:t xml:space="preserve"> </w:t>
            </w:r>
          </w:p>
          <w:p w:rsidR="00BF4CA4" w:rsidRPr="00A23740" w:rsidRDefault="00BF4CA4" w:rsidP="009431FF">
            <w:pPr>
              <w:pStyle w:val="Mavi"/>
              <w:ind w:firstLine="709"/>
              <w:rPr>
                <w:b w:val="0"/>
                <w:color w:val="auto"/>
                <w:lang w:val="tr-TR"/>
              </w:rPr>
            </w:pPr>
            <w:r w:rsidRPr="00A23740">
              <w:rPr>
                <w:b w:val="0"/>
                <w:color w:val="auto"/>
                <w:lang w:val="tr-TR"/>
              </w:rPr>
              <w:t>İkinci fıkrada, birinci fıkrayla kabul edilen kuralın istisnaları belirlenmektedir. Buna göre, taşıdıkları sosyal nitelik gereği çoğu zaman derh</w:t>
            </w:r>
            <w:r w:rsidR="00DF22A1" w:rsidRPr="00A23740">
              <w:rPr>
                <w:b w:val="0"/>
                <w:color w:val="auto"/>
                <w:lang w:val="tr-TR"/>
              </w:rPr>
              <w:t>â</w:t>
            </w:r>
            <w:r w:rsidRPr="00A23740">
              <w:rPr>
                <w:b w:val="0"/>
                <w:color w:val="auto"/>
                <w:lang w:val="tr-TR"/>
              </w:rPr>
              <w:t>l yerine getirilmesi gereken her türlü nafaka alacağı, bedensel zarar, destekten yoksun kalma alacakları ve işçinin iş ilişkisinden doğan alacakları hakkındaki ilk derece mahkemesi ilamları, kanun yolu açık olsa dahi icraya konulabilecektir. Fıkrada yer alan diğer bir hüküm de sicile kayıtlı olup olmadığına bakılmaksızın bir geminin tahliye ve teslimi hakkındaki ilk derece mahkemesi ilamlarının da derh</w:t>
            </w:r>
            <w:r w:rsidR="00694D30" w:rsidRPr="00A23740">
              <w:rPr>
                <w:b w:val="0"/>
                <w:color w:val="auto"/>
                <w:lang w:val="tr-TR"/>
              </w:rPr>
              <w:t>â</w:t>
            </w:r>
            <w:r w:rsidRPr="00A23740">
              <w:rPr>
                <w:b w:val="0"/>
                <w:color w:val="auto"/>
                <w:lang w:val="tr-TR"/>
              </w:rPr>
              <w:t>l icra kabiliyetine sahip olmasıdır. Gemiler hakkında verilen ilamlar, geminin niteliği ve fonksiyonları bağlamında, doğa</w:t>
            </w:r>
            <w:r w:rsidR="008149F9" w:rsidRPr="00A23740">
              <w:rPr>
                <w:b w:val="0"/>
                <w:color w:val="auto"/>
                <w:lang w:val="tr-TR"/>
              </w:rPr>
              <w:t>s</w:t>
            </w:r>
            <w:r w:rsidRPr="00A23740">
              <w:rPr>
                <w:b w:val="0"/>
                <w:color w:val="auto"/>
                <w:lang w:val="tr-TR"/>
              </w:rPr>
              <w:t>ı gereği ivedilik taşır. Bu ilamların yerine getirilmesinde bir gecikme olması, geminin kullanılamaz h</w:t>
            </w:r>
            <w:r w:rsidR="002F2BAA" w:rsidRPr="00A23740">
              <w:rPr>
                <w:b w:val="0"/>
                <w:color w:val="auto"/>
                <w:lang w:val="tr-TR"/>
              </w:rPr>
              <w:t>â</w:t>
            </w:r>
            <w:r w:rsidRPr="00A23740">
              <w:rPr>
                <w:b w:val="0"/>
                <w:color w:val="auto"/>
                <w:lang w:val="tr-TR"/>
              </w:rPr>
              <w:t xml:space="preserve">le gelmesine dahi yol açabilmektedir. Bu ivedilik </w:t>
            </w:r>
            <w:r w:rsidR="00CE1492" w:rsidRPr="00A23740">
              <w:rPr>
                <w:b w:val="0"/>
                <w:color w:val="auto"/>
                <w:lang w:val="tr-TR"/>
              </w:rPr>
              <w:t>ihtiyacı nedeniyle</w:t>
            </w:r>
            <w:r w:rsidRPr="00A23740">
              <w:rPr>
                <w:b w:val="0"/>
                <w:color w:val="auto"/>
                <w:lang w:val="tr-TR"/>
              </w:rPr>
              <w:t xml:space="preserve">, bahse konu istisna getirilmektedir. </w:t>
            </w:r>
          </w:p>
          <w:p w:rsidR="00BF4CA4" w:rsidRPr="00A23740" w:rsidRDefault="00BF4CA4" w:rsidP="009431FF">
            <w:pPr>
              <w:pStyle w:val="Mavi"/>
              <w:ind w:firstLine="709"/>
              <w:rPr>
                <w:b w:val="0"/>
                <w:color w:val="auto"/>
                <w:lang w:val="tr-TR"/>
              </w:rPr>
            </w:pPr>
            <w:r w:rsidRPr="00A23740">
              <w:rPr>
                <w:b w:val="0"/>
                <w:color w:val="auto"/>
                <w:lang w:val="tr-TR"/>
              </w:rPr>
              <w:t>Üçüncü fıkrayla, 6100 sayılı Kanunun 350 ve 367 nci maddelerinin ikinci fıkralarında yer alan temel ilke korunmakta ve kişiler hukuku, aile hukuku ve taşınmaz mal ile ilgili ayni haklara ili</w:t>
            </w:r>
            <w:r w:rsidR="00740641" w:rsidRPr="00A23740">
              <w:rPr>
                <w:b w:val="0"/>
                <w:color w:val="auto"/>
                <w:lang w:val="tr-TR"/>
              </w:rPr>
              <w:t xml:space="preserve">şkin ilamların ancak kesinleşmeyle </w:t>
            </w:r>
            <w:r w:rsidRPr="00A23740">
              <w:rPr>
                <w:b w:val="0"/>
                <w:color w:val="auto"/>
                <w:lang w:val="tr-TR"/>
              </w:rPr>
              <w:t>icra kabiliyeti k</w:t>
            </w:r>
            <w:r w:rsidR="008149F9" w:rsidRPr="00A23740">
              <w:rPr>
                <w:b w:val="0"/>
                <w:color w:val="auto"/>
                <w:lang w:val="tr-TR"/>
              </w:rPr>
              <w:t>azanabileceği düzenlenmektedir.</w:t>
            </w:r>
          </w:p>
          <w:p w:rsidR="008149F9" w:rsidRPr="00A23740" w:rsidRDefault="00BF4CA4" w:rsidP="009431FF">
            <w:pPr>
              <w:pStyle w:val="Mavi"/>
              <w:ind w:firstLine="709"/>
              <w:rPr>
                <w:color w:val="auto"/>
                <w:lang w:val="tr-TR"/>
              </w:rPr>
            </w:pPr>
            <w:r w:rsidRPr="00A23740">
              <w:rPr>
                <w:b w:val="0"/>
                <w:color w:val="auto"/>
                <w:lang w:val="tr-TR"/>
              </w:rPr>
              <w:t>Dördüncü fıkrayla, bir yenilik olarak 4721 sayılı</w:t>
            </w:r>
            <w:r w:rsidR="008F75C3" w:rsidRPr="00A23740">
              <w:rPr>
                <w:b w:val="0"/>
                <w:color w:val="auto"/>
                <w:lang w:val="tr-TR"/>
              </w:rPr>
              <w:t xml:space="preserve"> </w:t>
            </w:r>
            <w:r w:rsidR="008F75C3" w:rsidRPr="002144D4">
              <w:rPr>
                <w:b w:val="0"/>
                <w:color w:val="auto"/>
                <w:lang w:val="tr-TR"/>
              </w:rPr>
              <w:t>Kanunun</w:t>
            </w:r>
            <w:r w:rsidRPr="00A23740">
              <w:rPr>
                <w:b w:val="0"/>
                <w:color w:val="auto"/>
                <w:lang w:val="tr-TR"/>
              </w:rPr>
              <w:t xml:space="preserve"> 169 uncu maddesi gereğince verilen geçici önlem kararları ile 6098 sayılı</w:t>
            </w:r>
            <w:r w:rsidR="006F16CF" w:rsidRPr="00A23740">
              <w:rPr>
                <w:b w:val="0"/>
                <w:color w:val="auto"/>
                <w:lang w:val="tr-TR"/>
              </w:rPr>
              <w:t xml:space="preserve"> </w:t>
            </w:r>
            <w:r w:rsidR="006F16CF" w:rsidRPr="002144D4">
              <w:rPr>
                <w:b w:val="0"/>
                <w:color w:val="auto"/>
                <w:lang w:val="tr-TR"/>
              </w:rPr>
              <w:t>Kanunun</w:t>
            </w:r>
            <w:r w:rsidRPr="00A23740">
              <w:rPr>
                <w:b w:val="0"/>
                <w:color w:val="auto"/>
                <w:lang w:val="tr-TR"/>
              </w:rPr>
              <w:t xml:space="preserve"> 76 ncı maddesi uyarınca verilen geçici ödeme kararlarının ilamların icrası hakkındaki hükümler çerçevesinde derh</w:t>
            </w:r>
            <w:r w:rsidR="00DF22A1" w:rsidRPr="00A23740">
              <w:rPr>
                <w:b w:val="0"/>
                <w:color w:val="auto"/>
                <w:lang w:val="tr-TR"/>
              </w:rPr>
              <w:t>â</w:t>
            </w:r>
            <w:r w:rsidRPr="00A23740">
              <w:rPr>
                <w:b w:val="0"/>
                <w:color w:val="auto"/>
                <w:lang w:val="tr-TR"/>
              </w:rPr>
              <w:t>l icra edilebileceği açıkça düzenlenmektedir. Hükümle, bu nitelikteki mahkeme kararlarının, ilamların icrası hükümlerine tabi olup olmadığı hususundaki tartışmalara son verilmesi amaçlanmaktadır.</w:t>
            </w:r>
          </w:p>
          <w:p w:rsidR="00BF4CA4" w:rsidRPr="00A23740" w:rsidRDefault="00BF4CA4" w:rsidP="009431FF">
            <w:pPr>
              <w:pStyle w:val="Mavi"/>
              <w:ind w:firstLine="709"/>
              <w:rPr>
                <w:b w:val="0"/>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rFonts w:eastAsia="Times New Roman"/>
                <w:b/>
                <w:color w:val="0000FF"/>
                <w:szCs w:val="24"/>
                <w:lang w:eastAsia="tr-TR"/>
              </w:rPr>
            </w:pPr>
          </w:p>
        </w:tc>
        <w:tc>
          <w:tcPr>
            <w:tcW w:w="2500" w:type="pct"/>
          </w:tcPr>
          <w:p w:rsidR="00155AF4" w:rsidRPr="00A23740" w:rsidRDefault="00155AF4" w:rsidP="009431FF">
            <w:pPr>
              <w:pStyle w:val="Mavi"/>
            </w:pPr>
            <w:r w:rsidRPr="00A23740">
              <w:t xml:space="preserve">Temyizin icraya etkisi </w:t>
            </w:r>
          </w:p>
          <w:p w:rsidR="00155AF4" w:rsidRPr="00A23740" w:rsidRDefault="00155AF4" w:rsidP="009431FF">
            <w:pPr>
              <w:rPr>
                <w:rStyle w:val="MaviChar"/>
              </w:rPr>
            </w:pPr>
            <w:r w:rsidRPr="00A23740">
              <w:rPr>
                <w:rStyle w:val="MaviChar"/>
              </w:rPr>
              <w:t>MADDE</w:t>
            </w:r>
            <w:r w:rsidRPr="00A23740">
              <w:rPr>
                <w:rFonts w:eastAsia="Times New Roman"/>
                <w:b/>
                <w:color w:val="0000FF"/>
                <w:szCs w:val="24"/>
                <w:lang w:eastAsia="tr-TR"/>
              </w:rPr>
              <w:t xml:space="preserve"> </w:t>
            </w:r>
            <w:r w:rsidRPr="00A23740">
              <w:rPr>
                <w:rStyle w:val="MaviChar"/>
              </w:rPr>
              <w:t xml:space="preserve">54- (1) Temyiz yoluna başvurulması icrayı durdurmaz. </w:t>
            </w:r>
          </w:p>
          <w:p w:rsidR="00155AF4" w:rsidRPr="00A23740" w:rsidRDefault="00155AF4" w:rsidP="009431FF">
            <w:pPr>
              <w:rPr>
                <w:b/>
                <w:bCs/>
                <w:color w:val="0000FF"/>
                <w:szCs w:val="24"/>
                <w:lang w:eastAsia="x-none"/>
              </w:rPr>
            </w:pPr>
          </w:p>
          <w:p w:rsidR="00155AF4" w:rsidRPr="00A23740" w:rsidRDefault="00155AF4" w:rsidP="009431FF">
            <w:pPr>
              <w:rPr>
                <w:b/>
                <w:bCs/>
                <w:color w:val="0000FF"/>
                <w:lang w:eastAsia="tr-TR"/>
              </w:rPr>
            </w:pPr>
            <w:r w:rsidRPr="00A23740">
              <w:rPr>
                <w:rStyle w:val="MaviChar"/>
              </w:rPr>
              <w:t>(2) Hukuk Muhakemeleri Kanununun 373 üncü maddesinin dördüncü fıkrasına göre verilen ilk derece mahkemesi kararları ilamlı icraya konulamaz.</w:t>
            </w:r>
            <w:r w:rsidRPr="00A23740">
              <w:rPr>
                <w:rFonts w:eastAsia="Times New Roman"/>
                <w:b/>
                <w:color w:val="0000FF"/>
                <w:szCs w:val="24"/>
                <w:lang w:eastAsia="tr-TR"/>
              </w:rPr>
              <w:t xml:space="preserve"> </w:t>
            </w:r>
            <w:r w:rsidRPr="00A23740">
              <w:rPr>
                <w:rStyle w:val="MaviChar"/>
              </w:rPr>
              <w:t xml:space="preserve">53 </w:t>
            </w:r>
            <w:r w:rsidRPr="00A23740">
              <w:rPr>
                <w:rStyle w:val="MaviChar"/>
                <w:lang w:val="tr-TR"/>
              </w:rPr>
              <w:t xml:space="preserve">üncü </w:t>
            </w:r>
            <w:r w:rsidR="003A195C" w:rsidRPr="00A23740">
              <w:rPr>
                <w:rStyle w:val="MaviChar"/>
              </w:rPr>
              <w:t>madde</w:t>
            </w:r>
            <w:r w:rsidRPr="00A23740">
              <w:rPr>
                <w:rStyle w:val="MaviChar"/>
              </w:rPr>
              <w:t>nin ikinci fıkrası hükmü saklıdır.</w:t>
            </w:r>
          </w:p>
        </w:tc>
      </w:tr>
      <w:tr w:rsidR="00155AF4" w:rsidRPr="00A23740" w:rsidTr="009431FF">
        <w:tc>
          <w:tcPr>
            <w:tcW w:w="5000" w:type="pct"/>
            <w:gridSpan w:val="2"/>
            <w:shd w:val="clear" w:color="auto" w:fill="DEEAF6"/>
          </w:tcPr>
          <w:p w:rsidR="003A195C" w:rsidRPr="00A23740" w:rsidRDefault="003A195C" w:rsidP="009431FF">
            <w:pPr>
              <w:pStyle w:val="Mavi"/>
              <w:ind w:firstLine="709"/>
              <w:rPr>
                <w:color w:val="auto"/>
                <w:lang w:val="tr-TR"/>
              </w:rPr>
            </w:pPr>
          </w:p>
          <w:p w:rsidR="003A195C" w:rsidRPr="00A23740" w:rsidRDefault="00B430CF" w:rsidP="009431FF">
            <w:pPr>
              <w:pStyle w:val="Mavi"/>
              <w:ind w:firstLine="709"/>
              <w:rPr>
                <w:b w:val="0"/>
                <w:color w:val="auto"/>
                <w:lang w:val="tr-TR"/>
              </w:rPr>
            </w:pPr>
            <w:r w:rsidRPr="00A23740">
              <w:rPr>
                <w:color w:val="auto"/>
                <w:lang w:val="tr-TR"/>
              </w:rPr>
              <w:t>MADDE 54-</w:t>
            </w:r>
            <w:r w:rsidRPr="00A23740">
              <w:rPr>
                <w:b w:val="0"/>
                <w:color w:val="auto"/>
                <w:lang w:val="tr-TR"/>
              </w:rPr>
              <w:t xml:space="preserve"> M</w:t>
            </w:r>
            <w:r w:rsidR="003A195C" w:rsidRPr="00A23740">
              <w:rPr>
                <w:b w:val="0"/>
                <w:color w:val="auto"/>
                <w:lang w:val="tr-TR"/>
              </w:rPr>
              <w:t>addeyle</w:t>
            </w:r>
            <w:r w:rsidRPr="00A23740">
              <w:rPr>
                <w:b w:val="0"/>
                <w:color w:val="auto"/>
                <w:lang w:val="tr-TR"/>
              </w:rPr>
              <w:t>,</w:t>
            </w:r>
            <w:r w:rsidR="003A195C" w:rsidRPr="00A23740">
              <w:rPr>
                <w:b w:val="0"/>
                <w:color w:val="auto"/>
                <w:lang w:val="tr-TR"/>
              </w:rPr>
              <w:t xml:space="preserve"> temyiz yoluna başvurunun icraya etkisi düzenlenmektedir. </w:t>
            </w:r>
          </w:p>
          <w:p w:rsidR="00BD48DA" w:rsidRPr="00A23740" w:rsidRDefault="003A195C" w:rsidP="009431FF">
            <w:pPr>
              <w:pStyle w:val="Mavi"/>
              <w:ind w:firstLine="709"/>
              <w:rPr>
                <w:b w:val="0"/>
                <w:color w:val="auto"/>
                <w:lang w:val="tr-TR"/>
              </w:rPr>
            </w:pPr>
            <w:r w:rsidRPr="00A23740">
              <w:rPr>
                <w:b w:val="0"/>
                <w:color w:val="auto"/>
                <w:lang w:val="tr-TR"/>
              </w:rPr>
              <w:t xml:space="preserve">Birinci fıkrayla, </w:t>
            </w:r>
            <w:r w:rsidRPr="00A23740">
              <w:rPr>
                <w:b w:val="0"/>
                <w:bCs w:val="0"/>
                <w:color w:val="auto"/>
                <w:lang w:val="tr-TR"/>
              </w:rPr>
              <w:t>temyiz yoluna başvurulması</w:t>
            </w:r>
            <w:r w:rsidRPr="00A23740">
              <w:rPr>
                <w:b w:val="0"/>
                <w:bCs w:val="0"/>
                <w:color w:val="auto"/>
              </w:rPr>
              <w:t>nın</w:t>
            </w:r>
            <w:r w:rsidRPr="00A23740">
              <w:rPr>
                <w:b w:val="0"/>
                <w:bCs w:val="0"/>
                <w:color w:val="auto"/>
                <w:lang w:val="tr-TR"/>
              </w:rPr>
              <w:t xml:space="preserve"> icrayı durdurmayacağı </w:t>
            </w:r>
            <w:r w:rsidRPr="00A23740">
              <w:rPr>
                <w:b w:val="0"/>
                <w:bCs w:val="0"/>
                <w:color w:val="auto"/>
              </w:rPr>
              <w:t xml:space="preserve">ilkesi </w:t>
            </w:r>
            <w:r w:rsidRPr="00A23740">
              <w:rPr>
                <w:b w:val="0"/>
                <w:bCs w:val="0"/>
                <w:color w:val="auto"/>
                <w:lang w:val="tr-TR"/>
              </w:rPr>
              <w:t xml:space="preserve">kabul edilmektedir. Hükümde, </w:t>
            </w:r>
            <w:r w:rsidR="00163E5A" w:rsidRPr="00A23740">
              <w:rPr>
                <w:b w:val="0"/>
                <w:bCs w:val="0"/>
                <w:color w:val="auto"/>
                <w:lang w:val="tr-TR"/>
              </w:rPr>
              <w:t>Taslağın</w:t>
            </w:r>
            <w:r w:rsidRPr="00A23740">
              <w:rPr>
                <w:b w:val="0"/>
                <w:color w:val="auto"/>
                <w:lang w:val="tr-TR"/>
              </w:rPr>
              <w:t xml:space="preserve"> 53 </w:t>
            </w:r>
            <w:r w:rsidR="00B430CF" w:rsidRPr="00A23740">
              <w:rPr>
                <w:b w:val="0"/>
                <w:color w:val="auto"/>
                <w:lang w:val="tr-TR"/>
              </w:rPr>
              <w:t>üncü madde</w:t>
            </w:r>
            <w:r w:rsidRPr="00A23740">
              <w:rPr>
                <w:b w:val="0"/>
                <w:color w:val="auto"/>
                <w:lang w:val="tr-TR"/>
              </w:rPr>
              <w:t>sinde benimsenen</w:t>
            </w:r>
            <w:r w:rsidR="00B430CF" w:rsidRPr="00A23740">
              <w:rPr>
                <w:b w:val="0"/>
                <w:color w:val="auto"/>
                <w:lang w:val="tr-TR"/>
              </w:rPr>
              <w:t xml:space="preserve"> </w:t>
            </w:r>
            <w:r w:rsidRPr="00A23740">
              <w:rPr>
                <w:b w:val="0"/>
                <w:color w:val="auto"/>
                <w:lang w:val="tr-TR"/>
              </w:rPr>
              <w:t xml:space="preserve">ilkelerin temyiz </w:t>
            </w:r>
            <w:r w:rsidR="00B430CF" w:rsidRPr="00A23740">
              <w:rPr>
                <w:b w:val="0"/>
                <w:color w:val="auto"/>
                <w:lang w:val="tr-TR"/>
              </w:rPr>
              <w:t>aşamasın</w:t>
            </w:r>
            <w:r w:rsidRPr="00A23740">
              <w:rPr>
                <w:b w:val="0"/>
                <w:color w:val="auto"/>
                <w:lang w:val="tr-TR"/>
              </w:rPr>
              <w:t xml:space="preserve">a olan yansıması </w:t>
            </w:r>
            <w:r w:rsidR="00B430CF" w:rsidRPr="00A23740">
              <w:rPr>
                <w:b w:val="0"/>
                <w:color w:val="auto"/>
                <w:lang w:val="tr-TR"/>
              </w:rPr>
              <w:t>düzenlenmektedir. Yeni sistemde</w:t>
            </w:r>
            <w:r w:rsidRPr="00A23740">
              <w:rPr>
                <w:b w:val="0"/>
                <w:color w:val="auto"/>
                <w:lang w:val="tr-TR"/>
              </w:rPr>
              <w:t>,</w:t>
            </w:r>
            <w:r w:rsidR="00B430CF" w:rsidRPr="00A23740">
              <w:rPr>
                <w:b w:val="0"/>
                <w:color w:val="auto"/>
                <w:lang w:val="tr-TR"/>
              </w:rPr>
              <w:t xml:space="preserve"> </w:t>
            </w:r>
            <w:r w:rsidR="00CF5C2A" w:rsidRPr="00A23740">
              <w:rPr>
                <w:b w:val="0"/>
                <w:color w:val="auto"/>
                <w:lang w:val="tr-TR"/>
              </w:rPr>
              <w:t xml:space="preserve">istinaf yolu bakımından </w:t>
            </w:r>
            <w:r w:rsidR="00BD48DA" w:rsidRPr="00A23740">
              <w:rPr>
                <w:b w:val="0"/>
                <w:color w:val="auto"/>
                <w:lang w:val="tr-TR"/>
              </w:rPr>
              <w:t xml:space="preserve">istinaf </w:t>
            </w:r>
            <w:r w:rsidR="00CF5C2A" w:rsidRPr="00A23740">
              <w:rPr>
                <w:b w:val="0"/>
                <w:color w:val="auto"/>
                <w:lang w:val="tr-TR"/>
              </w:rPr>
              <w:t>derecesinin tüketilmesi esası kabul edilmekte</w:t>
            </w:r>
            <w:r w:rsidR="00B430CF" w:rsidRPr="00A23740">
              <w:rPr>
                <w:b w:val="0"/>
                <w:color w:val="auto"/>
                <w:lang w:val="tr-TR"/>
              </w:rPr>
              <w:t>, temyiz yolu bak</w:t>
            </w:r>
            <w:r w:rsidR="00CF5C2A" w:rsidRPr="00A23740">
              <w:rPr>
                <w:b w:val="0"/>
                <w:color w:val="auto"/>
                <w:lang w:val="tr-TR"/>
              </w:rPr>
              <w:t xml:space="preserve">ımından ise 2004 sayılı Kanundaki esaslar benimsenmektedir. </w:t>
            </w:r>
            <w:r w:rsidR="00B430CF" w:rsidRPr="00A23740">
              <w:rPr>
                <w:b w:val="0"/>
                <w:color w:val="auto"/>
                <w:lang w:val="tr-TR"/>
              </w:rPr>
              <w:t xml:space="preserve">Yani bir bölge adliye mahkemesi </w:t>
            </w:r>
            <w:r w:rsidR="00CF5C2A" w:rsidRPr="00A23740">
              <w:rPr>
                <w:b w:val="0"/>
                <w:color w:val="auto"/>
                <w:lang w:val="tr-TR"/>
              </w:rPr>
              <w:t xml:space="preserve">hükmünün temyize tabi olması </w:t>
            </w:r>
            <w:r w:rsidR="00B430CF" w:rsidRPr="00A23740">
              <w:rPr>
                <w:b w:val="0"/>
                <w:color w:val="auto"/>
                <w:lang w:val="tr-TR"/>
              </w:rPr>
              <w:t>veya hakkında temyize başvurulmuş olması</w:t>
            </w:r>
            <w:r w:rsidR="00CE1492" w:rsidRPr="00A23740">
              <w:rPr>
                <w:b w:val="0"/>
                <w:color w:val="auto"/>
                <w:lang w:val="tr-TR"/>
              </w:rPr>
              <w:t>,</w:t>
            </w:r>
            <w:r w:rsidR="00B430CF" w:rsidRPr="00A23740">
              <w:rPr>
                <w:b w:val="0"/>
                <w:color w:val="auto"/>
                <w:lang w:val="tr-TR"/>
              </w:rPr>
              <w:t xml:space="preserve"> o hükmün icra kabiliyetine engel olmayacaktır. Aynı durum</w:t>
            </w:r>
            <w:r w:rsidR="00BD48DA" w:rsidRPr="00A23740">
              <w:rPr>
                <w:b w:val="0"/>
                <w:color w:val="auto"/>
                <w:lang w:val="tr-TR"/>
              </w:rPr>
              <w:t>,</w:t>
            </w:r>
            <w:r w:rsidR="00CF5C2A" w:rsidRPr="00A23740">
              <w:rPr>
                <w:b w:val="0"/>
                <w:color w:val="auto"/>
                <w:lang w:val="tr-TR"/>
              </w:rPr>
              <w:t xml:space="preserve"> Yargıtay</w:t>
            </w:r>
            <w:r w:rsidR="00B430CF" w:rsidRPr="00A23740">
              <w:rPr>
                <w:b w:val="0"/>
                <w:color w:val="auto"/>
                <w:lang w:val="tr-TR"/>
              </w:rPr>
              <w:t xml:space="preserve">ın ilk derece mahkemesi olarak verdiği ve temyize tabi olan hükümler bakımından da geçerlidir. </w:t>
            </w:r>
            <w:r w:rsidR="00BD48DA" w:rsidRPr="00A23740">
              <w:rPr>
                <w:b w:val="0"/>
                <w:color w:val="auto"/>
                <w:lang w:val="tr-TR"/>
              </w:rPr>
              <w:t xml:space="preserve">Bu </w:t>
            </w:r>
            <w:r w:rsidR="00B430CF" w:rsidRPr="00A23740">
              <w:rPr>
                <w:b w:val="0"/>
                <w:color w:val="auto"/>
                <w:lang w:val="tr-TR"/>
              </w:rPr>
              <w:t>h</w:t>
            </w:r>
            <w:r w:rsidR="002F2BAA" w:rsidRPr="00A23740">
              <w:rPr>
                <w:b w:val="0"/>
                <w:color w:val="auto"/>
                <w:lang w:val="tr-TR"/>
              </w:rPr>
              <w:t>â</w:t>
            </w:r>
            <w:r w:rsidR="00B430CF" w:rsidRPr="00A23740">
              <w:rPr>
                <w:b w:val="0"/>
                <w:color w:val="auto"/>
                <w:lang w:val="tr-TR"/>
              </w:rPr>
              <w:t>llerde hüküm kural olarak derh</w:t>
            </w:r>
            <w:r w:rsidR="00DF22A1" w:rsidRPr="00A23740">
              <w:rPr>
                <w:b w:val="0"/>
                <w:color w:val="auto"/>
                <w:lang w:val="tr-TR"/>
              </w:rPr>
              <w:t>â</w:t>
            </w:r>
            <w:r w:rsidR="00B430CF" w:rsidRPr="00A23740">
              <w:rPr>
                <w:b w:val="0"/>
                <w:color w:val="auto"/>
                <w:lang w:val="tr-TR"/>
              </w:rPr>
              <w:t xml:space="preserve">l icra edilebilir. </w:t>
            </w:r>
          </w:p>
          <w:p w:rsidR="003A195C" w:rsidRPr="00A23740" w:rsidRDefault="00BD48DA" w:rsidP="009431FF">
            <w:pPr>
              <w:pStyle w:val="Mavi"/>
              <w:ind w:firstLine="709"/>
              <w:rPr>
                <w:b w:val="0"/>
                <w:color w:val="auto"/>
                <w:lang w:val="tr-TR"/>
              </w:rPr>
            </w:pPr>
            <w:r w:rsidRPr="00A23740">
              <w:rPr>
                <w:b w:val="0"/>
                <w:color w:val="auto"/>
                <w:lang w:val="tr-TR"/>
              </w:rPr>
              <w:t xml:space="preserve">İkinci fıkrayla, 6100 sayılı Kanunun 373 üncü maddesinin dördüncü fıkrasına göre verilen ilk derece mahkemesi kararlarının ilamlı icraya konulması yasaklanmaktadır. Ancak </w:t>
            </w:r>
            <w:r w:rsidR="00163E5A" w:rsidRPr="00A23740">
              <w:rPr>
                <w:b w:val="0"/>
                <w:color w:val="auto"/>
                <w:lang w:val="tr-TR"/>
              </w:rPr>
              <w:t>Taslağın</w:t>
            </w:r>
            <w:r w:rsidRPr="00A23740">
              <w:rPr>
                <w:b w:val="0"/>
                <w:color w:val="auto"/>
                <w:lang w:val="tr-TR"/>
              </w:rPr>
              <w:t xml:space="preserve"> 53 üncü maddesinin ikinci fıkrası kapsamında olan konular bakımından bu hüküm uygulanmaz. </w:t>
            </w:r>
            <w:r w:rsidR="00CB0A4B" w:rsidRPr="00A23740">
              <w:rPr>
                <w:b w:val="0"/>
                <w:color w:val="auto"/>
                <w:lang w:val="tr-TR"/>
              </w:rPr>
              <w:t xml:space="preserve">6100 sayılı Kanunun 373 </w:t>
            </w:r>
            <w:r w:rsidR="00B430CF" w:rsidRPr="00A23740">
              <w:rPr>
                <w:b w:val="0"/>
                <w:color w:val="auto"/>
                <w:lang w:val="tr-TR"/>
              </w:rPr>
              <w:t>üncü maddesinin birinci fıkrasına göre, Yargıtay ilgili dairesinin tamamen veya kısmen bozma kararı, başvurunun bölge adliye mahkemesi tarafından esastan reddi kararına ilişkin ise bölge adliye mahkemesi kararı kaldırılarak dosya, kararı veren ilk derece mahkemesine veya uygun görülecek diğer bir ilk derece mahkemesine gönderilir. Aynı maddenin dördüncü fıkrasına göre de Yargıtayın bozma kararı üzerine ilk derece mahkemesince bozmaya uygun olarak karar verildiği takdirde, bu karara karşı temyiz yoluna başvurulabilir. Yani bu durumda</w:t>
            </w:r>
            <w:r w:rsidR="00CB0A4B" w:rsidRPr="00A23740">
              <w:rPr>
                <w:b w:val="0"/>
                <w:color w:val="auto"/>
                <w:lang w:val="tr-TR"/>
              </w:rPr>
              <w:t>,</w:t>
            </w:r>
            <w:r w:rsidR="00B430CF" w:rsidRPr="00A23740">
              <w:rPr>
                <w:b w:val="0"/>
                <w:color w:val="auto"/>
                <w:lang w:val="tr-TR"/>
              </w:rPr>
              <w:t xml:space="preserve"> istinaf yolu atlanmakta ve doğrudan temyize başvurulmaktadır. </w:t>
            </w:r>
            <w:r w:rsidR="00CB0A4B" w:rsidRPr="00A23740">
              <w:rPr>
                <w:b w:val="0"/>
                <w:color w:val="auto"/>
                <w:lang w:val="tr-TR"/>
              </w:rPr>
              <w:t xml:space="preserve">Fıkranın birinci cümlesiyle, 53 </w:t>
            </w:r>
            <w:r w:rsidR="00B430CF" w:rsidRPr="00A23740">
              <w:rPr>
                <w:b w:val="0"/>
                <w:color w:val="auto"/>
                <w:lang w:val="tr-TR"/>
              </w:rPr>
              <w:t xml:space="preserve">üncü maddedeki </w:t>
            </w:r>
            <w:r w:rsidR="00CB0A4B" w:rsidRPr="00A23740">
              <w:rPr>
                <w:b w:val="0"/>
                <w:color w:val="auto"/>
                <w:lang w:val="tr-TR"/>
              </w:rPr>
              <w:t xml:space="preserve">esaslara uygun olarak </w:t>
            </w:r>
            <w:r w:rsidR="00B430CF" w:rsidRPr="00A23740">
              <w:rPr>
                <w:b w:val="0"/>
                <w:color w:val="auto"/>
                <w:lang w:val="tr-TR"/>
              </w:rPr>
              <w:t>hakkında ilk def</w:t>
            </w:r>
            <w:r w:rsidR="00CB0A4B" w:rsidRPr="00A23740">
              <w:rPr>
                <w:b w:val="0"/>
                <w:color w:val="auto"/>
                <w:lang w:val="tr-TR"/>
              </w:rPr>
              <w:t>a istinafa başvurulan hükümler</w:t>
            </w:r>
            <w:r w:rsidR="00B430CF" w:rsidRPr="00A23740">
              <w:rPr>
                <w:b w:val="0"/>
                <w:color w:val="auto"/>
                <w:lang w:val="tr-TR"/>
              </w:rPr>
              <w:t>le aynı rejime tabi tutulm</w:t>
            </w:r>
            <w:r w:rsidR="00CB0A4B" w:rsidRPr="00A23740">
              <w:rPr>
                <w:b w:val="0"/>
                <w:color w:val="auto"/>
                <w:lang w:val="tr-TR"/>
              </w:rPr>
              <w:t xml:space="preserve">aktadır. </w:t>
            </w:r>
            <w:r w:rsidR="00B430CF" w:rsidRPr="00A23740">
              <w:rPr>
                <w:b w:val="0"/>
                <w:color w:val="auto"/>
                <w:lang w:val="tr-TR"/>
              </w:rPr>
              <w:t>Zira bu h</w:t>
            </w:r>
            <w:r w:rsidR="002F2BAA" w:rsidRPr="00A23740">
              <w:rPr>
                <w:b w:val="0"/>
                <w:color w:val="auto"/>
                <w:lang w:val="tr-TR"/>
              </w:rPr>
              <w:t>â</w:t>
            </w:r>
            <w:r w:rsidR="00B430CF" w:rsidRPr="00A23740">
              <w:rPr>
                <w:b w:val="0"/>
                <w:color w:val="auto"/>
                <w:lang w:val="tr-TR"/>
              </w:rPr>
              <w:t>lde, ilk derece mahkemesi artık yeni bir hüküm vermekte ve bu hüküm ilk defa bir kanun yolu incelemesine konu olmaktadır. Demek ki bu kararların icrası için temyiz incelemesinin tamamlanması bekl</w:t>
            </w:r>
            <w:r w:rsidR="00CB0A4B" w:rsidRPr="00A23740">
              <w:rPr>
                <w:b w:val="0"/>
                <w:color w:val="auto"/>
                <w:lang w:val="tr-TR"/>
              </w:rPr>
              <w:t xml:space="preserve">enecektir. Bununla birlikte, fıkranın ikinci cümlesiyle 53 </w:t>
            </w:r>
            <w:r w:rsidR="00B430CF" w:rsidRPr="00A23740">
              <w:rPr>
                <w:b w:val="0"/>
                <w:color w:val="auto"/>
                <w:lang w:val="tr-TR"/>
              </w:rPr>
              <w:t xml:space="preserve">üncü </w:t>
            </w:r>
            <w:r w:rsidR="00CB0A4B" w:rsidRPr="00A23740">
              <w:rPr>
                <w:b w:val="0"/>
                <w:color w:val="auto"/>
                <w:lang w:val="tr-TR"/>
              </w:rPr>
              <w:t>maddenin ikinci fıkrası hükmü</w:t>
            </w:r>
            <w:r w:rsidR="00B430CF" w:rsidRPr="00A23740">
              <w:rPr>
                <w:b w:val="0"/>
                <w:color w:val="auto"/>
                <w:lang w:val="tr-TR"/>
              </w:rPr>
              <w:t xml:space="preserve"> saklı tutul</w:t>
            </w:r>
            <w:r w:rsidR="00CB0A4B" w:rsidRPr="00A23740">
              <w:rPr>
                <w:b w:val="0"/>
                <w:color w:val="auto"/>
                <w:lang w:val="tr-TR"/>
              </w:rPr>
              <w:t xml:space="preserve">maktadır. Bu kapsamda </w:t>
            </w:r>
            <w:r w:rsidR="00B430CF" w:rsidRPr="00A23740">
              <w:rPr>
                <w:b w:val="0"/>
                <w:color w:val="auto"/>
                <w:lang w:val="tr-TR"/>
              </w:rPr>
              <w:t>her türlü nafaka alacağı, bedensel zarar ve de</w:t>
            </w:r>
            <w:r w:rsidR="00CB0A4B" w:rsidRPr="00A23740">
              <w:rPr>
                <w:b w:val="0"/>
                <w:color w:val="auto"/>
                <w:lang w:val="tr-TR"/>
              </w:rPr>
              <w:t>stekten yoksun kalma alacakları,</w:t>
            </w:r>
            <w:r w:rsidR="00B430CF" w:rsidRPr="00A23740">
              <w:rPr>
                <w:b w:val="0"/>
                <w:color w:val="auto"/>
                <w:lang w:val="tr-TR"/>
              </w:rPr>
              <w:t xml:space="preserve"> işçinin iş ilişkisinden doğan alacakları</w:t>
            </w:r>
            <w:r w:rsidR="00CB0A4B" w:rsidRPr="00A23740">
              <w:rPr>
                <w:b w:val="0"/>
                <w:color w:val="auto"/>
                <w:lang w:val="tr-TR"/>
              </w:rPr>
              <w:t xml:space="preserve"> ile bayrağına ve sicile kayıtlı olup olmadığına bakılmaksızın bir geminin tahliye ve teslimi</w:t>
            </w:r>
            <w:r w:rsidR="00B430CF" w:rsidRPr="00A23740">
              <w:rPr>
                <w:b w:val="0"/>
                <w:color w:val="auto"/>
                <w:lang w:val="tr-TR"/>
              </w:rPr>
              <w:t xml:space="preserve"> hakkındaki ilamların derh</w:t>
            </w:r>
            <w:r w:rsidR="00DF22A1" w:rsidRPr="00A23740">
              <w:rPr>
                <w:b w:val="0"/>
                <w:color w:val="auto"/>
                <w:lang w:val="tr-TR"/>
              </w:rPr>
              <w:t>â</w:t>
            </w:r>
            <w:r w:rsidR="00B430CF" w:rsidRPr="00A23740">
              <w:rPr>
                <w:b w:val="0"/>
                <w:color w:val="auto"/>
                <w:lang w:val="tr-TR"/>
              </w:rPr>
              <w:t>l icraya konulabileceği hususu</w:t>
            </w:r>
            <w:r w:rsidR="00E702A5" w:rsidRPr="00A23740">
              <w:rPr>
                <w:b w:val="0"/>
                <w:color w:val="auto"/>
                <w:lang w:val="tr-TR"/>
              </w:rPr>
              <w:t>nda bir tereddüt bulunmamaktadır.</w:t>
            </w:r>
          </w:p>
          <w:p w:rsidR="00E91409" w:rsidRPr="00A23740" w:rsidRDefault="00E91409"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 w:val="right" w:pos="6520"/>
              </w:tabs>
              <w:rPr>
                <w:rFonts w:eastAsia="Times New Roman"/>
                <w:b/>
                <w:bCs/>
                <w:strike/>
                <w:color w:val="FF0000"/>
                <w:szCs w:val="24"/>
                <w:lang w:eastAsia="tr-TR"/>
              </w:rPr>
            </w:pPr>
            <w:r w:rsidRPr="00A23740">
              <w:rPr>
                <w:rFonts w:eastAsia="Times New Roman"/>
                <w:b/>
                <w:bCs/>
                <w:szCs w:val="24"/>
                <w:lang w:eastAsia="tr-TR"/>
              </w:rPr>
              <w:t>İcranın</w:t>
            </w:r>
            <w:r w:rsidRPr="00A23740">
              <w:rPr>
                <w:rFonts w:eastAsia="Times New Roman"/>
                <w:bCs/>
                <w:szCs w:val="24"/>
                <w:lang w:eastAsia="tr-TR"/>
              </w:rPr>
              <w:t xml:space="preserve"> </w:t>
            </w:r>
            <w:r w:rsidRPr="00A23740">
              <w:rPr>
                <w:rFonts w:eastAsia="Times New Roman"/>
                <w:b/>
                <w:bCs/>
                <w:strike/>
                <w:color w:val="FF0000"/>
                <w:szCs w:val="24"/>
                <w:lang w:eastAsia="tr-TR"/>
              </w:rPr>
              <w:t>geri bırakılması için verilecek süre</w:t>
            </w:r>
          </w:p>
          <w:p w:rsidR="00155AF4" w:rsidRPr="00A23740" w:rsidRDefault="00155AF4" w:rsidP="009431FF">
            <w:pPr>
              <w:tabs>
                <w:tab w:val="left" w:pos="567"/>
                <w:tab w:val="right" w:pos="6520"/>
              </w:tabs>
              <w:rPr>
                <w:rFonts w:eastAsia="Times New Roman"/>
                <w:b/>
                <w:bCs/>
                <w:strike/>
                <w:color w:val="FF0000"/>
                <w:szCs w:val="24"/>
                <w:lang w:eastAsia="tr-TR"/>
              </w:rPr>
            </w:pPr>
            <w:r w:rsidRPr="00A23740">
              <w:rPr>
                <w:rFonts w:eastAsia="Times New Roman"/>
                <w:b/>
                <w:bCs/>
                <w:strike/>
                <w:color w:val="FF0000"/>
                <w:szCs w:val="24"/>
                <w:lang w:eastAsia="tr-TR"/>
              </w:rPr>
              <w:t>Madde 36 – (1) (Değişik: 2/3/2005 – 5311/5 md.)</w:t>
            </w:r>
          </w:p>
          <w:p w:rsidR="00155AF4" w:rsidRPr="00A23740" w:rsidRDefault="00F4549D" w:rsidP="009431FF">
            <w:pPr>
              <w:pStyle w:val="KIRMIZI"/>
              <w:rPr>
                <w:lang w:eastAsia="tr-TR"/>
              </w:rPr>
            </w:pPr>
            <w:r w:rsidRPr="00A23740">
              <w:t>İlâma karşı istinaf veya temyiz yoluna başvuran borçlu, hükmolunan para veya eşyanın resmî bir mercie depo edildiğini ispat eder yahut hükmolunan para veya eşya kıymetinde icra mahkemesi tarafından kabul edilecek taşınır rehni veya esham veya tahvilât veya taşınmaz rehni veya muteber banka kefaleti gösterirse veya borçlunun hükmolunan para ve eşyayı karşılayacak malı mahcuz ise icranın geri bırakılması için </w:t>
            </w:r>
            <w:r w:rsidRPr="00A23740">
              <w:rPr>
                <w:lang w:val="tr-TR"/>
              </w:rPr>
              <w:t>takibin yapıldığı yer icra mahkemesinden</w:t>
            </w:r>
            <w:r w:rsidRPr="00A23740">
              <w:t xml:space="preserve"> karar alınmak üzere icra </w:t>
            </w:r>
            <w:r w:rsidRPr="00A23740">
              <w:lastRenderedPageBreak/>
              <w:t>müdürü tarafından kendisine uygun bir süre verilir. Bu süre ancak zorunluluk hâlinde uzatılabilir.</w:t>
            </w: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8933FD" w:rsidRPr="00A23740" w:rsidRDefault="008933FD"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szCs w:val="24"/>
                <w:lang w:eastAsia="tr-TR"/>
              </w:rPr>
            </w:pPr>
            <w:r w:rsidRPr="00A23740">
              <w:rPr>
                <w:rFonts w:eastAsia="Times New Roman"/>
                <w:b/>
                <w:bCs/>
                <w:strike/>
                <w:color w:val="FF0000"/>
                <w:szCs w:val="24"/>
                <w:lang w:eastAsia="tr-TR"/>
              </w:rPr>
              <w:t xml:space="preserve">(2) </w:t>
            </w:r>
            <w:r w:rsidRPr="00A23740">
              <w:rPr>
                <w:rStyle w:val="KIRMIZIChar"/>
                <w:rFonts w:eastAsia="Calibri"/>
              </w:rPr>
              <w:t>Borçlu, Devlet veya</w:t>
            </w:r>
            <w:r w:rsidRPr="00A23740">
              <w:rPr>
                <w:rFonts w:eastAsia="Times New Roman"/>
                <w:szCs w:val="24"/>
                <w:lang w:eastAsia="tr-TR"/>
              </w:rPr>
              <w:t xml:space="preserve"> adlî yardımdan yararlanan </w:t>
            </w:r>
            <w:r w:rsidRPr="00A23740">
              <w:rPr>
                <w:rStyle w:val="KIRMIZIChar"/>
                <w:rFonts w:eastAsia="Calibri"/>
              </w:rPr>
              <w:t>bir kimse ise</w:t>
            </w:r>
            <w:r w:rsidRPr="00A23740">
              <w:rPr>
                <w:rFonts w:eastAsia="Times New Roman"/>
                <w:szCs w:val="24"/>
                <w:lang w:eastAsia="tr-TR"/>
              </w:rPr>
              <w:t xml:space="preserve"> teminat gösterme zorunluluğu yoktur.</w:t>
            </w:r>
          </w:p>
          <w:p w:rsidR="00155AF4" w:rsidRPr="00A23740" w:rsidRDefault="00155AF4" w:rsidP="009431FF">
            <w:pPr>
              <w:tabs>
                <w:tab w:val="left" w:pos="567"/>
                <w:tab w:val="right" w:pos="6520"/>
              </w:tabs>
              <w:rPr>
                <w:rFonts w:eastAsia="Times New Roman"/>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r w:rsidRPr="00A23740">
              <w:rPr>
                <w:rFonts w:eastAsia="Times New Roman"/>
                <w:b/>
                <w:bCs/>
                <w:strike/>
                <w:color w:val="FF0000"/>
                <w:szCs w:val="24"/>
                <w:lang w:eastAsia="tr-TR"/>
              </w:rPr>
              <w:lastRenderedPageBreak/>
              <w:t>(3) (Değişik üçüncü fıkra:24/11/2021-7343/5 md.) Ücreti ilgililer tarafından verilirse icra mahkemesince icranın geri bırakılması hakkındaki karar hükmü veren mahkemeye ve icra dairesine en uygun vasıtalarla bildirilir.</w:t>
            </w:r>
          </w:p>
          <w:p w:rsidR="00287296" w:rsidRPr="00A23740" w:rsidRDefault="00287296"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r w:rsidRPr="00A23740">
              <w:rPr>
                <w:rFonts w:eastAsia="Times New Roman"/>
                <w:b/>
                <w:bCs/>
                <w:strike/>
                <w:color w:val="FF0000"/>
                <w:szCs w:val="24"/>
                <w:lang w:eastAsia="tr-TR"/>
              </w:rPr>
              <w:t xml:space="preserve">(5) Bölge adliye mahkemesince başvurunun haklı görülmesi hâlinde teminatın geri verilip verilmeyeceğine karar verilir. Yargıtayca </w:t>
            </w:r>
            <w:r w:rsidRPr="00A23740">
              <w:rPr>
                <w:rFonts w:eastAsia="Times New Roman"/>
                <w:szCs w:val="24"/>
                <w:lang w:eastAsia="tr-TR"/>
              </w:rPr>
              <w:t>hükmün bozulması hâlinde borçlunun başvurusu üzerine, bozmanın mahiyetine göre teminatın geri verilip verilmeyeceğine bozma sonrası esası inceleyecek mahkemece kesin olarak karar verilir.</w:t>
            </w: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287296" w:rsidRPr="00A23740" w:rsidRDefault="00155AF4" w:rsidP="009431FF">
            <w:pPr>
              <w:rPr>
                <w:rFonts w:eastAsia="Times New Roman"/>
                <w:color w:val="FF0000"/>
                <w:szCs w:val="24"/>
                <w:lang w:eastAsia="tr-TR"/>
              </w:rPr>
            </w:pPr>
            <w:r w:rsidRPr="00A23740">
              <w:rPr>
                <w:rFonts w:eastAsia="Times New Roman"/>
                <w:b/>
                <w:bCs/>
                <w:strike/>
                <w:color w:val="FF0000"/>
                <w:szCs w:val="24"/>
                <w:lang w:eastAsia="tr-TR"/>
              </w:rPr>
              <w:t>(6) Bölge adliye mahkemesince başvurunun kesin olarak esastan reddine karar verilmesi veya Yargıtayca h</w:t>
            </w:r>
            <w:r w:rsidRPr="00A23740">
              <w:rPr>
                <w:rFonts w:eastAsia="Times New Roman"/>
                <w:szCs w:val="24"/>
                <w:lang w:eastAsia="tr-TR"/>
              </w:rPr>
              <w:t xml:space="preserve">ükmün </w:t>
            </w:r>
            <w:r w:rsidRPr="00A23740">
              <w:rPr>
                <w:rFonts w:eastAsia="Times New Roman"/>
                <w:b/>
                <w:bCs/>
                <w:strike/>
                <w:color w:val="FF0000"/>
                <w:szCs w:val="24"/>
                <w:lang w:eastAsia="tr-TR"/>
              </w:rPr>
              <w:t>onanması</w:t>
            </w:r>
            <w:r w:rsidRPr="00A23740">
              <w:rPr>
                <w:rFonts w:eastAsia="Times New Roman"/>
                <w:szCs w:val="24"/>
                <w:lang w:eastAsia="tr-TR"/>
              </w:rPr>
              <w:t xml:space="preserve"> </w:t>
            </w:r>
            <w:r w:rsidRPr="00A23740">
              <w:rPr>
                <w:rFonts w:eastAsia="Times New Roman"/>
                <w:bCs/>
                <w:lang w:eastAsia="tr-TR"/>
              </w:rPr>
              <w:t>hâlinde</w:t>
            </w:r>
            <w:r w:rsidRPr="00A23740">
              <w:rPr>
                <w:rFonts w:eastAsia="Times New Roman"/>
                <w:szCs w:val="24"/>
                <w:lang w:eastAsia="tr-TR"/>
              </w:rPr>
              <w:t xml:space="preserve"> alacaklının istemi üzerine başkaca işleme gerek kalmaksızın teminata konu olan para alacaklıya ödenir. Mal ve haklar ise, malın türüne göre icra dairesince paraya çevrilir. </w:t>
            </w:r>
            <w:r w:rsidRPr="00A23740">
              <w:rPr>
                <w:rFonts w:eastAsia="Times New Roman"/>
                <w:b/>
                <w:bCs/>
                <w:strike/>
                <w:color w:val="FF0000"/>
                <w:szCs w:val="24"/>
                <w:lang w:eastAsia="tr-TR"/>
              </w:rPr>
              <w:t>(Ek cümle:24/11/2021-7343/5 md.) Bölge adliye mahkemesinin başvurunun esastan reddine ilişkin kararına karşı temyiz yolunun açık olması halinde, temyiz yoluna başvurma süresinin dolmasına kadar icranın geri bırakılması kararının etkisi devam eder.</w:t>
            </w:r>
            <w:r w:rsidRPr="00A23740">
              <w:rPr>
                <w:rFonts w:eastAsia="Times New Roman"/>
                <w:b/>
                <w:color w:val="0000CC"/>
                <w:szCs w:val="24"/>
                <w:lang w:eastAsia="tr-TR"/>
              </w:rPr>
              <w:t xml:space="preserve"> </w:t>
            </w:r>
            <w:r w:rsidRPr="00A23740">
              <w:rPr>
                <w:rFonts w:eastAsia="Times New Roman"/>
                <w:szCs w:val="24"/>
                <w:lang w:eastAsia="tr-TR"/>
              </w:rPr>
              <w:t>İlâm alacaklısının teminat üzerinde rüçhan hakkı vardır.</w:t>
            </w:r>
          </w:p>
          <w:p w:rsidR="00287296" w:rsidRPr="00A23740" w:rsidRDefault="00287296" w:rsidP="009431FF">
            <w:pPr>
              <w:tabs>
                <w:tab w:val="left" w:pos="567"/>
                <w:tab w:val="right" w:pos="6520"/>
              </w:tabs>
              <w:rPr>
                <w:rFonts w:eastAsia="Times New Roman"/>
                <w:b/>
                <w:bCs/>
                <w:strike/>
                <w:color w:val="FF0000"/>
                <w:szCs w:val="24"/>
                <w:lang w:eastAsia="tr-TR"/>
              </w:rPr>
            </w:pPr>
            <w:r w:rsidRPr="00A23740">
              <w:rPr>
                <w:rFonts w:eastAsia="Times New Roman"/>
                <w:b/>
                <w:bCs/>
                <w:strike/>
                <w:color w:val="FF0000"/>
                <w:szCs w:val="24"/>
                <w:lang w:eastAsia="tr-TR"/>
              </w:rPr>
              <w:t>(4) Nafaka hükümlerinde böyle bir süre verilemez.</w:t>
            </w:r>
          </w:p>
          <w:p w:rsidR="00155AF4" w:rsidRPr="00A23740" w:rsidRDefault="00155AF4" w:rsidP="009431FF">
            <w:pPr>
              <w:tabs>
                <w:tab w:val="left" w:pos="567"/>
                <w:tab w:val="right" w:pos="6520"/>
              </w:tabs>
              <w:rPr>
                <w:rFonts w:eastAsia="Times New Roman"/>
                <w:szCs w:val="24"/>
                <w:lang w:eastAsia="tr-TR"/>
              </w:rPr>
            </w:pPr>
          </w:p>
          <w:p w:rsidR="002439B5" w:rsidRPr="00A23740" w:rsidRDefault="002060A9" w:rsidP="009431FF">
            <w:pPr>
              <w:tabs>
                <w:tab w:val="left" w:pos="567"/>
                <w:tab w:val="right" w:pos="6520"/>
              </w:tabs>
              <w:rPr>
                <w:rFonts w:eastAsia="Times New Roman"/>
                <w:b/>
                <w:bCs/>
                <w:strike/>
                <w:color w:val="FF0000"/>
                <w:szCs w:val="24"/>
                <w:lang w:eastAsia="tr-TR"/>
              </w:rPr>
            </w:pPr>
            <w:r>
              <w:rPr>
                <w:rStyle w:val="KIRMIZIChar"/>
                <w:rFonts w:eastAsia="Calibri"/>
              </w:rPr>
              <w:t xml:space="preserve">M.36/F.6 </w:t>
            </w:r>
            <w:r w:rsidR="002439B5" w:rsidRPr="00A23740">
              <w:rPr>
                <w:rStyle w:val="KIRMIZIChar"/>
                <w:rFonts w:eastAsia="Calibri"/>
              </w:rPr>
              <w:t>C.3</w:t>
            </w:r>
            <w:r>
              <w:rPr>
                <w:rStyle w:val="KIRMIZIChar"/>
                <w:rFonts w:eastAsia="Calibri"/>
              </w:rPr>
              <w:t>:</w:t>
            </w:r>
            <w:r w:rsidR="002439B5" w:rsidRPr="00A23740">
              <w:rPr>
                <w:rFonts w:eastAsia="Times New Roman"/>
                <w:szCs w:val="24"/>
                <w:lang w:eastAsia="tr-TR"/>
              </w:rPr>
              <w:t xml:space="preserve"> </w:t>
            </w:r>
            <w:r w:rsidR="002439B5" w:rsidRPr="00A23740">
              <w:rPr>
                <w:rFonts w:eastAsia="Times New Roman"/>
                <w:b/>
                <w:bCs/>
                <w:strike/>
                <w:color w:val="FF0000"/>
                <w:szCs w:val="24"/>
                <w:lang w:eastAsia="tr-TR"/>
              </w:rPr>
              <w:t>Bölge adliye mahkemesinin başvurunun esastan reddine ilişkin kararına karşı temyiz yolunun açık olması halinde, temyiz yoluna başvurma süresinin dolmasına kadar icranın geri bırakılması kararının etkisi devam eder.</w:t>
            </w:r>
          </w:p>
          <w:p w:rsidR="002439B5" w:rsidRPr="00A23740" w:rsidRDefault="002439B5" w:rsidP="009431FF">
            <w:pPr>
              <w:tabs>
                <w:tab w:val="left" w:pos="567"/>
                <w:tab w:val="right" w:pos="6520"/>
              </w:tabs>
              <w:rPr>
                <w:rFonts w:eastAsia="Times New Roman"/>
                <w:szCs w:val="24"/>
                <w:lang w:eastAsia="tr-TR"/>
              </w:rPr>
            </w:pPr>
          </w:p>
        </w:tc>
        <w:tc>
          <w:tcPr>
            <w:tcW w:w="2500" w:type="pct"/>
          </w:tcPr>
          <w:p w:rsidR="00155AF4" w:rsidRPr="00A23740" w:rsidRDefault="00155AF4" w:rsidP="009431FF">
            <w:pPr>
              <w:tabs>
                <w:tab w:val="left" w:pos="567"/>
                <w:tab w:val="right" w:pos="6520"/>
              </w:tabs>
              <w:rPr>
                <w:rFonts w:eastAsia="Times New Roman"/>
                <w:b/>
                <w:color w:val="0000FF"/>
                <w:szCs w:val="24"/>
                <w:lang w:eastAsia="tr-TR"/>
              </w:rPr>
            </w:pPr>
            <w:r w:rsidRPr="00A23740">
              <w:rPr>
                <w:rFonts w:eastAsia="Times New Roman"/>
                <w:b/>
                <w:szCs w:val="24"/>
                <w:lang w:eastAsia="tr-TR"/>
              </w:rPr>
              <w:lastRenderedPageBreak/>
              <w:t>İcranın</w:t>
            </w:r>
            <w:r w:rsidRPr="00A23740">
              <w:rPr>
                <w:rFonts w:eastAsia="Times New Roman"/>
                <w:b/>
                <w:color w:val="0000FF"/>
                <w:szCs w:val="24"/>
                <w:lang w:eastAsia="tr-TR"/>
              </w:rPr>
              <w:t xml:space="preserve"> </w:t>
            </w:r>
            <w:r w:rsidRPr="00A23740">
              <w:rPr>
                <w:rStyle w:val="MaviChar"/>
              </w:rPr>
              <w:t>ertelenmesi</w:t>
            </w:r>
          </w:p>
          <w:p w:rsidR="00155AF4" w:rsidRPr="00A23740" w:rsidRDefault="00155AF4" w:rsidP="009431FF">
            <w:pPr>
              <w:rPr>
                <w:rStyle w:val="MaviChar"/>
              </w:rPr>
            </w:pPr>
            <w:r w:rsidRPr="00A23740">
              <w:rPr>
                <w:rStyle w:val="MaviChar"/>
              </w:rPr>
              <w:t>MADDE</w:t>
            </w:r>
            <w:r w:rsidRPr="00A23740">
              <w:rPr>
                <w:rFonts w:eastAsia="Times New Roman"/>
                <w:b/>
                <w:bCs/>
                <w:color w:val="0000FF"/>
                <w:szCs w:val="24"/>
                <w:lang w:eastAsia="tr-TR"/>
              </w:rPr>
              <w:t xml:space="preserve"> </w:t>
            </w:r>
            <w:r w:rsidRPr="00A23740">
              <w:rPr>
                <w:rStyle w:val="MaviChar"/>
              </w:rPr>
              <w:t>55- (1) Temyiz yoluna başvuran, aşağıdaki h</w:t>
            </w:r>
            <w:r w:rsidR="00437BA8" w:rsidRPr="00A23740">
              <w:rPr>
                <w:rStyle w:val="MaviChar"/>
                <w:lang w:val="tr-TR"/>
              </w:rPr>
              <w:t>â</w:t>
            </w:r>
            <w:r w:rsidRPr="00A23740">
              <w:rPr>
                <w:rStyle w:val="MaviChar"/>
              </w:rPr>
              <w:t xml:space="preserve">llerden birinin bulunması durumunda icra </w:t>
            </w:r>
            <w:r w:rsidR="00653581" w:rsidRPr="008D10FA">
              <w:rPr>
                <w:rStyle w:val="MaviChar"/>
              </w:rPr>
              <w:t>ve</w:t>
            </w:r>
            <w:r w:rsidR="00653581" w:rsidRPr="00A23740">
              <w:rPr>
                <w:rStyle w:val="MaviChar"/>
                <w:color w:val="70AD47"/>
              </w:rPr>
              <w:t xml:space="preserve"> </w:t>
            </w:r>
            <w:r w:rsidR="00653581" w:rsidRPr="008D10FA">
              <w:rPr>
                <w:rStyle w:val="MaviChar"/>
              </w:rPr>
              <w:t>iflas</w:t>
            </w:r>
            <w:r w:rsidR="00653581" w:rsidRPr="00A23740">
              <w:rPr>
                <w:rStyle w:val="MaviChar"/>
                <w:color w:val="70AD47"/>
              </w:rPr>
              <w:t xml:space="preserve"> </w:t>
            </w:r>
            <w:r w:rsidRPr="00A23740">
              <w:rPr>
                <w:rStyle w:val="MaviChar"/>
              </w:rPr>
              <w:t>dairesinden icranın ertelenmesi için talepte bulunabilir:</w:t>
            </w:r>
          </w:p>
          <w:p w:rsidR="00155AF4" w:rsidRPr="00A23740" w:rsidRDefault="00155AF4" w:rsidP="009431FF">
            <w:pPr>
              <w:rPr>
                <w:rFonts w:eastAsia="Times New Roman"/>
                <w:b/>
                <w:bCs/>
                <w:color w:val="0000FF"/>
                <w:szCs w:val="24"/>
                <w:lang w:eastAsia="tr-TR"/>
              </w:rPr>
            </w:pPr>
          </w:p>
          <w:p w:rsidR="00155AF4" w:rsidRPr="00A23740" w:rsidRDefault="00155AF4" w:rsidP="009431FF">
            <w:pPr>
              <w:pStyle w:val="Mavi"/>
            </w:pPr>
            <w:r w:rsidRPr="00A23740">
              <w:t xml:space="preserve">a) Hükmolunan paranın icra </w:t>
            </w:r>
            <w:r w:rsidR="00653581" w:rsidRPr="008D10FA">
              <w:t>ve</w:t>
            </w:r>
            <w:r w:rsidR="00653581" w:rsidRPr="00A23740">
              <w:rPr>
                <w:color w:val="70AD47"/>
              </w:rPr>
              <w:t xml:space="preserve"> </w:t>
            </w:r>
            <w:r w:rsidR="00653581" w:rsidRPr="008D10FA">
              <w:t>iflas</w:t>
            </w:r>
            <w:r w:rsidR="00653581" w:rsidRPr="00A23740">
              <w:rPr>
                <w:color w:val="70AD47"/>
              </w:rPr>
              <w:t xml:space="preserve"> </w:t>
            </w:r>
            <w:r w:rsidRPr="00A23740">
              <w:t xml:space="preserve">dairesi banka hesabına, eşyanın ise icra </w:t>
            </w:r>
            <w:r w:rsidR="00653581" w:rsidRPr="008D10FA">
              <w:t>ve iflas</w:t>
            </w:r>
            <w:r w:rsidR="00653581" w:rsidRPr="00A23740">
              <w:rPr>
                <w:color w:val="70AD47"/>
              </w:rPr>
              <w:t xml:space="preserve"> </w:t>
            </w:r>
            <w:r w:rsidRPr="00A23740">
              <w:t>dairesinin göstereceği yere tevdi edilmesi.</w:t>
            </w:r>
          </w:p>
          <w:p w:rsidR="00155AF4" w:rsidRPr="00A23740" w:rsidRDefault="00155AF4" w:rsidP="009431FF">
            <w:pPr>
              <w:pStyle w:val="Mavi"/>
            </w:pPr>
            <w:r w:rsidRPr="00A23740">
              <w:t xml:space="preserve"> </w:t>
            </w:r>
          </w:p>
          <w:p w:rsidR="00155AF4" w:rsidRPr="00A23740" w:rsidRDefault="00155AF4" w:rsidP="009431FF">
            <w:pPr>
              <w:pStyle w:val="Mavi"/>
            </w:pPr>
            <w:r w:rsidRPr="00A23740">
              <w:t xml:space="preserve">b) Hükmolunan parayı veya </w:t>
            </w:r>
            <w:r w:rsidR="00793E11" w:rsidRPr="008D10FA">
              <w:t>taşınır</w:t>
            </w:r>
            <w:r w:rsidR="00793E11" w:rsidRPr="00A23740">
              <w:rPr>
                <w:color w:val="70AD47"/>
              </w:rPr>
              <w:t xml:space="preserve"> </w:t>
            </w:r>
            <w:r w:rsidRPr="00A23740">
              <w:t>malın tutarını karşılayacak banka teminat mektubunun tevdi edilmesi.</w:t>
            </w: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r w:rsidRPr="00A23740">
              <w:rPr>
                <w:rStyle w:val="MaviChar"/>
              </w:rPr>
              <w:t>c) Borçlunun hükmolunan parayı karşılayacak kadar malının hacizli</w:t>
            </w:r>
            <w:r w:rsidRPr="00A23740">
              <w:rPr>
                <w:rFonts w:eastAsia="Times New Roman"/>
                <w:b/>
                <w:bCs/>
                <w:color w:val="0000FF"/>
                <w:szCs w:val="24"/>
                <w:lang w:eastAsia="tr-TR"/>
              </w:rPr>
              <w:t xml:space="preserve"> </w:t>
            </w:r>
            <w:r w:rsidRPr="00A23740">
              <w:rPr>
                <w:rStyle w:val="MaviChar"/>
              </w:rPr>
              <w:t>olması veya rehin gösterilmesi.</w:t>
            </w: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r w:rsidRPr="00A23740">
              <w:rPr>
                <w:rStyle w:val="MaviChar"/>
              </w:rPr>
              <w:t>(2)</w:t>
            </w:r>
            <w:r w:rsidRPr="00A23740">
              <w:rPr>
                <w:rFonts w:eastAsia="Times New Roman"/>
                <w:b/>
                <w:bCs/>
                <w:color w:val="0000FF"/>
                <w:szCs w:val="24"/>
                <w:lang w:eastAsia="tr-TR"/>
              </w:rPr>
              <w:t xml:space="preserve"> </w:t>
            </w:r>
            <w:r w:rsidRPr="00A23740">
              <w:rPr>
                <w:rStyle w:val="MaviChar"/>
              </w:rPr>
              <w:t>Birinci fıkrada belirtilen h</w:t>
            </w:r>
            <w:r w:rsidR="002F2BAA" w:rsidRPr="00A23740">
              <w:rPr>
                <w:rStyle w:val="MaviChar"/>
                <w:lang w:val="tr-TR"/>
              </w:rPr>
              <w:t>â</w:t>
            </w:r>
            <w:r w:rsidRPr="00A23740">
              <w:rPr>
                <w:rStyle w:val="MaviChar"/>
              </w:rPr>
              <w:t>llerde icra ve iflas dairesine yapılan talep üzerine takip durur. Birinci fıkranın (a) ve (b) bentlerindeki h</w:t>
            </w:r>
            <w:r w:rsidR="002F2BAA" w:rsidRPr="00A23740">
              <w:rPr>
                <w:rStyle w:val="MaviChar"/>
                <w:lang w:val="tr-TR"/>
              </w:rPr>
              <w:t>â</w:t>
            </w:r>
            <w:r w:rsidRPr="00A23740">
              <w:rPr>
                <w:rStyle w:val="MaviChar"/>
              </w:rPr>
              <w:t>llerde icra ve iflas müdürü ilgili kanun yolu incelemesinin sonuçlanmasına kadar takibin ertelenmesine karar verir. Birinci fıkranın (c) bendindeki h</w:t>
            </w:r>
            <w:r w:rsidR="002F2BAA" w:rsidRPr="00A23740">
              <w:rPr>
                <w:rStyle w:val="MaviChar"/>
                <w:lang w:val="tr-TR"/>
              </w:rPr>
              <w:t>â</w:t>
            </w:r>
            <w:r w:rsidRPr="00A23740">
              <w:rPr>
                <w:rStyle w:val="MaviChar"/>
              </w:rPr>
              <w:t>llerde ise müdür</w:t>
            </w:r>
            <w:r w:rsidRPr="00A23740">
              <w:rPr>
                <w:rStyle w:val="MaviChar"/>
                <w:lang w:val="tr-TR"/>
              </w:rPr>
              <w:t>,</w:t>
            </w:r>
            <w:r w:rsidRPr="00A23740">
              <w:rPr>
                <w:rStyle w:val="MaviChar"/>
              </w:rPr>
              <w:t xml:space="preserve"> icranın ertelenmesi hakkında karar verilmek üzere dosyayı derh</w:t>
            </w:r>
            <w:r w:rsidR="00DF22A1" w:rsidRPr="00A23740">
              <w:rPr>
                <w:rStyle w:val="MaviChar"/>
                <w:lang w:val="tr-TR"/>
              </w:rPr>
              <w:t>â</w:t>
            </w:r>
            <w:r w:rsidRPr="00A23740">
              <w:rPr>
                <w:rStyle w:val="MaviChar"/>
              </w:rPr>
              <w:t>l icra hukuk mahkemesine tevdi eder. Mahkemenin kararına kadar takibe devam edilmez. Mahkeme, birinci fıkranın (c) bendinde belirtilen h</w:t>
            </w:r>
            <w:r w:rsidR="002F2BAA" w:rsidRPr="00A23740">
              <w:rPr>
                <w:rStyle w:val="MaviChar"/>
                <w:lang w:val="tr-TR"/>
              </w:rPr>
              <w:t>â</w:t>
            </w:r>
            <w:r w:rsidRPr="00A23740">
              <w:rPr>
                <w:rStyle w:val="MaviChar"/>
              </w:rPr>
              <w:t>llerden birinin gerçekleştiğini tespit ederse ilgili kanun yolu incelemesinin sonuçlanmasına kadar takibin ertelenmesine karar verir. Karar derh</w:t>
            </w:r>
            <w:r w:rsidR="00DF22A1" w:rsidRPr="00A23740">
              <w:rPr>
                <w:rStyle w:val="MaviChar"/>
                <w:lang w:val="tr-TR"/>
              </w:rPr>
              <w:t>â</w:t>
            </w:r>
            <w:r w:rsidRPr="00A23740">
              <w:rPr>
                <w:rStyle w:val="MaviChar"/>
              </w:rPr>
              <w:t>l daire</w:t>
            </w:r>
            <w:r w:rsidRPr="00A23740">
              <w:rPr>
                <w:rStyle w:val="MaviChar"/>
                <w:lang w:val="tr-TR"/>
              </w:rPr>
              <w:t>ye</w:t>
            </w:r>
            <w:r w:rsidRPr="00A23740">
              <w:rPr>
                <w:rStyle w:val="MaviChar"/>
              </w:rPr>
              <w:t xml:space="preserve"> bildirilir.</w:t>
            </w:r>
          </w:p>
          <w:p w:rsidR="00155AF4" w:rsidRPr="00A23740" w:rsidRDefault="00155AF4" w:rsidP="009431FF">
            <w:pPr>
              <w:rPr>
                <w:b/>
                <w:bCs/>
                <w:color w:val="0000FF"/>
                <w:szCs w:val="24"/>
                <w:lang w:eastAsia="x-none"/>
              </w:rPr>
            </w:pPr>
          </w:p>
          <w:p w:rsidR="00155AF4" w:rsidRPr="00A23740" w:rsidRDefault="00155AF4" w:rsidP="009431FF">
            <w:pPr>
              <w:rPr>
                <w:rFonts w:eastAsia="Times New Roman"/>
                <w:b/>
                <w:color w:val="0000FF"/>
                <w:szCs w:val="24"/>
                <w:lang w:eastAsia="tr-TR"/>
              </w:rPr>
            </w:pPr>
            <w:r w:rsidRPr="00A23740">
              <w:rPr>
                <w:b/>
                <w:bCs/>
                <w:color w:val="0000FF"/>
                <w:szCs w:val="24"/>
                <w:lang w:eastAsia="x-none"/>
              </w:rPr>
              <w:t xml:space="preserve">(3) İcra </w:t>
            </w:r>
            <w:r w:rsidRPr="00A23740">
              <w:rPr>
                <w:rStyle w:val="MaviChar"/>
              </w:rPr>
              <w:t>ve iflas dairesi tarafından hesaplanan takip alacağının tamamı yatırıldığı ve bu miktarın yüzde on beşi oranında nakit veya teminat mektubu verildiği</w:t>
            </w:r>
            <w:r w:rsidRPr="00A23740">
              <w:rPr>
                <w:b/>
                <w:bCs/>
                <w:color w:val="0000FF"/>
                <w:szCs w:val="24"/>
                <w:lang w:eastAsia="x-none"/>
              </w:rPr>
              <w:t xml:space="preserve"> takdirde</w:t>
            </w:r>
            <w:r w:rsidR="00653581" w:rsidRPr="00A23740">
              <w:rPr>
                <w:b/>
                <w:bCs/>
                <w:color w:val="70AD47"/>
                <w:szCs w:val="24"/>
                <w:lang w:eastAsia="x-none"/>
              </w:rPr>
              <w:t>,</w:t>
            </w:r>
            <w:r w:rsidRPr="00A23740">
              <w:rPr>
                <w:b/>
                <w:bCs/>
                <w:color w:val="0000FF"/>
                <w:szCs w:val="24"/>
                <w:lang w:eastAsia="x-none"/>
              </w:rPr>
              <w:t xml:space="preserve"> mahkeme icranın ertelenmesiyle birlikte hacizlerin de kaldırılmasına karar verir.</w:t>
            </w:r>
          </w:p>
          <w:p w:rsidR="00155AF4" w:rsidRPr="00A23740" w:rsidRDefault="00155AF4" w:rsidP="009431FF">
            <w:pPr>
              <w:rPr>
                <w:rFonts w:eastAsia="Times New Roman"/>
                <w:b/>
                <w:bCs/>
                <w:strike/>
                <w:color w:val="FF0000"/>
                <w:szCs w:val="24"/>
                <w:lang w:eastAsia="tr-TR"/>
              </w:rPr>
            </w:pPr>
          </w:p>
          <w:p w:rsidR="006C7538" w:rsidRPr="00A23740" w:rsidRDefault="00155AF4" w:rsidP="009431FF">
            <w:pPr>
              <w:rPr>
                <w:rStyle w:val="YELChar"/>
              </w:rPr>
            </w:pPr>
            <w:r w:rsidRPr="00A23740">
              <w:rPr>
                <w:b/>
                <w:bCs/>
                <w:color w:val="0000FF"/>
                <w:szCs w:val="24"/>
                <w:lang w:eastAsia="x-none"/>
              </w:rPr>
              <w:t>(4) Tahliye il</w:t>
            </w:r>
            <w:r w:rsidR="00D72007" w:rsidRPr="00A23740">
              <w:rPr>
                <w:b/>
                <w:bCs/>
                <w:color w:val="0000FF"/>
                <w:szCs w:val="24"/>
                <w:lang w:eastAsia="x-none"/>
              </w:rPr>
              <w:t>a</w:t>
            </w:r>
            <w:r w:rsidRPr="00A23740">
              <w:rPr>
                <w:b/>
                <w:bCs/>
                <w:color w:val="0000FF"/>
                <w:szCs w:val="24"/>
                <w:lang w:eastAsia="x-none"/>
              </w:rPr>
              <w:t>mlarında icranın ertelenmesi kararı için üç aylık kira bedeli tu</w:t>
            </w:r>
            <w:r w:rsidRPr="00A23740">
              <w:rPr>
                <w:rStyle w:val="MaviChar"/>
              </w:rPr>
              <w:t>tarı kadar teminat alınır. Kira bedelinin tespit edilemediği h</w:t>
            </w:r>
            <w:r w:rsidR="002F2BAA" w:rsidRPr="00A23740">
              <w:rPr>
                <w:rStyle w:val="MaviChar"/>
                <w:lang w:val="tr-TR"/>
              </w:rPr>
              <w:t>â</w:t>
            </w:r>
            <w:r w:rsidRPr="00A23740">
              <w:rPr>
                <w:rStyle w:val="MaviChar"/>
              </w:rPr>
              <w:t>llerde icra</w:t>
            </w:r>
            <w:r w:rsidRPr="00A23740">
              <w:rPr>
                <w:rStyle w:val="MaviChar"/>
                <w:lang w:val="tr-TR"/>
              </w:rPr>
              <w:t xml:space="preserve"> </w:t>
            </w:r>
            <w:r w:rsidRPr="00A23740">
              <w:rPr>
                <w:rStyle w:val="MaviChar"/>
              </w:rPr>
              <w:t>ve iflas dairesi borçlunun icranın ertelenmesi için göstereceği teminat miktarının belirlenmesi</w:t>
            </w:r>
            <w:r w:rsidR="00653581" w:rsidRPr="00A23740">
              <w:rPr>
                <w:rStyle w:val="MaviChar"/>
              </w:rPr>
              <w:t xml:space="preserve"> </w:t>
            </w:r>
            <w:r w:rsidR="00653581" w:rsidRPr="008D10FA">
              <w:rPr>
                <w:rStyle w:val="MaviChar"/>
              </w:rPr>
              <w:t>amacıyla</w:t>
            </w:r>
            <w:r w:rsidRPr="00A23740">
              <w:rPr>
                <w:rStyle w:val="MaviChar"/>
                <w:color w:val="70AD47"/>
              </w:rPr>
              <w:t xml:space="preserve"> </w:t>
            </w:r>
            <w:r w:rsidRPr="00A23740">
              <w:rPr>
                <w:rStyle w:val="MaviChar"/>
              </w:rPr>
              <w:t xml:space="preserve">dosyayı icra hukuk mahkemesine tevdi eder. </w:t>
            </w:r>
            <w:r w:rsidR="006C7538" w:rsidRPr="00A23740">
              <w:rPr>
                <w:rStyle w:val="MaviChar"/>
              </w:rPr>
              <w:t>Mahkeme, teminat miktarının belirlenmesine dair</w:t>
            </w:r>
            <w:r w:rsidR="006C7538" w:rsidRPr="00A23740">
              <w:rPr>
                <w:rStyle w:val="MaviChar"/>
                <w:lang w:val="tr-TR"/>
              </w:rPr>
              <w:t xml:space="preserve"> kararını</w:t>
            </w:r>
            <w:r w:rsidR="006C7538" w:rsidRPr="00A23740">
              <w:rPr>
                <w:rStyle w:val="MaviChar"/>
              </w:rPr>
              <w:t xml:space="preserve"> kesin olarak</w:t>
            </w:r>
            <w:r w:rsidR="006C7538" w:rsidRPr="00A23740">
              <w:rPr>
                <w:rStyle w:val="MaviChar"/>
                <w:lang w:val="tr-TR"/>
              </w:rPr>
              <w:t xml:space="preserve"> verir</w:t>
            </w:r>
            <w:r w:rsidR="006C7538" w:rsidRPr="00A23740">
              <w:rPr>
                <w:rStyle w:val="MaviChar"/>
              </w:rPr>
              <w:t>.</w:t>
            </w:r>
          </w:p>
          <w:p w:rsidR="00155AF4" w:rsidRPr="00A23740" w:rsidRDefault="00155AF4" w:rsidP="009431FF">
            <w:pPr>
              <w:rPr>
                <w:rFonts w:eastAsia="Times New Roman"/>
                <w:b/>
                <w:bCs/>
                <w:color w:val="FF0000"/>
                <w:szCs w:val="24"/>
                <w:lang w:eastAsia="tr-TR"/>
              </w:rPr>
            </w:pPr>
          </w:p>
          <w:p w:rsidR="00155AF4" w:rsidRPr="00A23740" w:rsidRDefault="00155AF4" w:rsidP="009431FF">
            <w:pPr>
              <w:rPr>
                <w:rFonts w:eastAsia="Times New Roman"/>
                <w:szCs w:val="24"/>
                <w:lang w:eastAsia="tr-TR"/>
              </w:rPr>
            </w:pPr>
            <w:r w:rsidRPr="00A23740">
              <w:rPr>
                <w:rFonts w:eastAsia="Times New Roman"/>
                <w:b/>
                <w:bCs/>
                <w:color w:val="0000FF"/>
                <w:szCs w:val="24"/>
                <w:lang w:eastAsia="tr-TR"/>
              </w:rPr>
              <w:t>(5)</w:t>
            </w:r>
            <w:r w:rsidR="00B43B56" w:rsidRPr="00A23740">
              <w:rPr>
                <w:rFonts w:eastAsia="Times New Roman"/>
                <w:szCs w:val="24"/>
                <w:lang w:eastAsia="tr-TR"/>
              </w:rPr>
              <w:t xml:space="preserve"> A</w:t>
            </w:r>
            <w:r w:rsidR="0005528D" w:rsidRPr="00A23740">
              <w:rPr>
                <w:rFonts w:eastAsia="Times New Roman"/>
                <w:szCs w:val="24"/>
                <w:lang w:eastAsia="tr-TR"/>
              </w:rPr>
              <w:t>dli</w:t>
            </w:r>
            <w:r w:rsidRPr="00A23740">
              <w:rPr>
                <w:rFonts w:eastAsia="Times New Roman"/>
                <w:szCs w:val="24"/>
                <w:lang w:eastAsia="tr-TR"/>
              </w:rPr>
              <w:t xml:space="preserve"> yardımdan yararlanan </w:t>
            </w:r>
            <w:r w:rsidR="00B43B56" w:rsidRPr="00A23740">
              <w:rPr>
                <w:rStyle w:val="MaviChar"/>
              </w:rPr>
              <w:t>borçlunun,</w:t>
            </w:r>
            <w:r w:rsidR="00B43B56" w:rsidRPr="00A23740">
              <w:rPr>
                <w:rStyle w:val="MaviChar"/>
                <w:lang w:val="tr-TR"/>
              </w:rPr>
              <w:t xml:space="preserve"> icranın ertelenmesinde</w:t>
            </w:r>
            <w:r w:rsidR="00B43B56" w:rsidRPr="00A23740">
              <w:rPr>
                <w:rFonts w:eastAsia="Times New Roman"/>
                <w:szCs w:val="24"/>
                <w:lang w:eastAsia="tr-TR"/>
              </w:rPr>
              <w:t xml:space="preserve"> </w:t>
            </w:r>
            <w:r w:rsidRPr="00A23740">
              <w:rPr>
                <w:rFonts w:eastAsia="Times New Roman"/>
                <w:szCs w:val="24"/>
                <w:lang w:eastAsia="tr-TR"/>
              </w:rPr>
              <w:t>teminat gösterme zorunluluğu yoktur.</w:t>
            </w:r>
          </w:p>
          <w:p w:rsidR="00155AF4" w:rsidRPr="00A23740" w:rsidRDefault="00155AF4" w:rsidP="009431FF">
            <w:pPr>
              <w:rPr>
                <w:rFonts w:eastAsia="Times New Roman"/>
                <w:b/>
                <w:bCs/>
                <w:color w:val="0000FF"/>
                <w:szCs w:val="24"/>
                <w:lang w:eastAsia="tr-TR"/>
              </w:rPr>
            </w:pPr>
          </w:p>
          <w:p w:rsidR="008E0E1F" w:rsidRPr="00A23740" w:rsidRDefault="008E0E1F" w:rsidP="009431FF">
            <w:pPr>
              <w:rPr>
                <w:rFonts w:eastAsia="Times New Roman"/>
                <w:b/>
                <w:bCs/>
                <w:color w:val="0000FF"/>
                <w:szCs w:val="24"/>
                <w:lang w:eastAsia="tr-TR"/>
              </w:rPr>
            </w:pPr>
          </w:p>
          <w:p w:rsidR="008E0E1F" w:rsidRPr="00A23740" w:rsidRDefault="008E0E1F" w:rsidP="009431FF">
            <w:pPr>
              <w:rPr>
                <w:rFonts w:eastAsia="Times New Roman"/>
                <w:b/>
                <w:bCs/>
                <w:color w:val="0000FF"/>
                <w:szCs w:val="24"/>
                <w:lang w:eastAsia="tr-TR"/>
              </w:rPr>
            </w:pPr>
          </w:p>
          <w:p w:rsidR="008E0E1F" w:rsidRPr="00A23740" w:rsidRDefault="008E0E1F" w:rsidP="009431FF">
            <w:pPr>
              <w:rPr>
                <w:rFonts w:eastAsia="Times New Roman"/>
                <w:b/>
                <w:bCs/>
                <w:color w:val="0000FF"/>
                <w:szCs w:val="24"/>
                <w:lang w:eastAsia="tr-TR"/>
              </w:rPr>
            </w:pPr>
          </w:p>
          <w:p w:rsidR="008E0E1F" w:rsidRDefault="008E0E1F" w:rsidP="009431FF">
            <w:pPr>
              <w:rPr>
                <w:rFonts w:eastAsia="Times New Roman"/>
                <w:b/>
                <w:bCs/>
                <w:color w:val="0000FF"/>
                <w:szCs w:val="24"/>
                <w:lang w:eastAsia="tr-TR"/>
              </w:rPr>
            </w:pPr>
          </w:p>
          <w:p w:rsidR="009C5516" w:rsidRPr="00A23740" w:rsidRDefault="009C5516" w:rsidP="009431FF">
            <w:pPr>
              <w:rPr>
                <w:rFonts w:eastAsia="Times New Roman"/>
                <w:b/>
                <w:bCs/>
                <w:color w:val="0000FF"/>
                <w:szCs w:val="24"/>
                <w:lang w:eastAsia="tr-TR"/>
              </w:rPr>
            </w:pPr>
          </w:p>
          <w:p w:rsidR="008E0E1F" w:rsidRPr="00A23740" w:rsidRDefault="008E0E1F" w:rsidP="009431FF">
            <w:pPr>
              <w:rPr>
                <w:rFonts w:eastAsia="Times New Roman"/>
                <w:b/>
                <w:bCs/>
                <w:color w:val="0000FF"/>
                <w:szCs w:val="24"/>
                <w:lang w:eastAsia="tr-TR"/>
              </w:rPr>
            </w:pPr>
          </w:p>
          <w:p w:rsidR="00155AF4" w:rsidRPr="00A23740" w:rsidRDefault="00155AF4" w:rsidP="009431FF">
            <w:pPr>
              <w:rPr>
                <w:rFonts w:eastAsia="Times New Roman"/>
                <w:szCs w:val="24"/>
                <w:lang w:eastAsia="tr-TR"/>
              </w:rPr>
            </w:pPr>
            <w:r w:rsidRPr="00A23740">
              <w:rPr>
                <w:rStyle w:val="MaviChar"/>
              </w:rPr>
              <w:t>(6) Kanun yolu incelemesinde</w:t>
            </w:r>
            <w:r w:rsidRPr="00A23740">
              <w:rPr>
                <w:rFonts w:eastAsia="Times New Roman"/>
                <w:szCs w:val="24"/>
                <w:lang w:eastAsia="tr-TR"/>
              </w:rPr>
              <w:t xml:space="preserve"> hükmün bozulması </w:t>
            </w:r>
            <w:r w:rsidRPr="00A23740">
              <w:rPr>
                <w:rStyle w:val="MaviChar"/>
              </w:rPr>
              <w:t>veya kaldırılması</w:t>
            </w:r>
            <w:r w:rsidRPr="00A23740">
              <w:rPr>
                <w:rFonts w:eastAsia="Times New Roman"/>
                <w:szCs w:val="24"/>
                <w:lang w:eastAsia="tr-TR"/>
              </w:rPr>
              <w:t xml:space="preserve"> hâlinde borçlunun başvurusu üzerine, bozmanın</w:t>
            </w:r>
            <w:r w:rsidRPr="00A23740">
              <w:rPr>
                <w:rFonts w:eastAsia="Times New Roman"/>
                <w:b/>
                <w:bCs/>
                <w:color w:val="0000FF"/>
                <w:szCs w:val="24"/>
                <w:lang w:eastAsia="tr-TR"/>
              </w:rPr>
              <w:t xml:space="preserve"> </w:t>
            </w:r>
            <w:r w:rsidRPr="00A23740">
              <w:rPr>
                <w:rStyle w:val="MaviChar"/>
              </w:rPr>
              <w:t>veya kaldırmanın</w:t>
            </w:r>
            <w:r w:rsidRPr="00A23740">
              <w:rPr>
                <w:rFonts w:eastAsia="Times New Roman"/>
                <w:szCs w:val="24"/>
                <w:lang w:eastAsia="tr-TR"/>
              </w:rPr>
              <w:t xml:space="preserve"> mahiyetine göre teminatın geri verilip verilmeyeceğine veya teminat olarak kabul edilen hacizlerin kaldırılıp kaldırılmayacağına bozma </w:t>
            </w:r>
            <w:r w:rsidRPr="00A23740">
              <w:rPr>
                <w:rStyle w:val="MaviChar"/>
              </w:rPr>
              <w:t>veya</w:t>
            </w:r>
            <w:r w:rsidRPr="00A23740">
              <w:rPr>
                <w:rFonts w:eastAsia="Times New Roman"/>
                <w:b/>
                <w:bCs/>
                <w:color w:val="0000FF"/>
                <w:szCs w:val="24"/>
                <w:lang w:eastAsia="tr-TR"/>
              </w:rPr>
              <w:t xml:space="preserve"> </w:t>
            </w:r>
            <w:r w:rsidRPr="00A23740">
              <w:rPr>
                <w:rStyle w:val="MaviChar"/>
              </w:rPr>
              <w:t>kaldırma kararı üzerine davaya bakacak olan</w:t>
            </w:r>
            <w:r w:rsidRPr="00A23740">
              <w:rPr>
                <w:rFonts w:eastAsia="Times New Roman"/>
                <w:b/>
                <w:bCs/>
                <w:color w:val="0000FF"/>
                <w:szCs w:val="24"/>
                <w:lang w:eastAsia="tr-TR"/>
              </w:rPr>
              <w:t xml:space="preserve"> </w:t>
            </w:r>
            <w:r w:rsidRPr="00A23740">
              <w:rPr>
                <w:rFonts w:eastAsia="Times New Roman"/>
                <w:szCs w:val="24"/>
                <w:lang w:eastAsia="tr-TR"/>
              </w:rPr>
              <w:t xml:space="preserve">mahkemece kesin olarak karar verilir. </w:t>
            </w: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szCs w:val="24"/>
                <w:lang w:eastAsia="tr-TR"/>
              </w:rPr>
            </w:pPr>
            <w:r w:rsidRPr="00A23740">
              <w:rPr>
                <w:rStyle w:val="MaviChar"/>
              </w:rPr>
              <w:t>(7) H</w:t>
            </w:r>
            <w:r w:rsidRPr="00A23740">
              <w:rPr>
                <w:rFonts w:eastAsia="Times New Roman"/>
                <w:bCs/>
                <w:lang w:eastAsia="tr-TR"/>
              </w:rPr>
              <w:t>ükmün</w:t>
            </w:r>
            <w:r w:rsidRPr="00A23740">
              <w:rPr>
                <w:rStyle w:val="MaviChar"/>
              </w:rPr>
              <w:t xml:space="preserve"> kesinleşmesi </w:t>
            </w:r>
            <w:r w:rsidRPr="00A23740">
              <w:rPr>
                <w:rFonts w:eastAsia="Times New Roman"/>
                <w:lang w:eastAsia="tr-TR"/>
              </w:rPr>
              <w:t>h</w:t>
            </w:r>
            <w:r w:rsidR="002F2BAA" w:rsidRPr="00A23740">
              <w:rPr>
                <w:rFonts w:eastAsia="Times New Roman"/>
                <w:lang w:eastAsia="tr-TR"/>
              </w:rPr>
              <w:t>â</w:t>
            </w:r>
            <w:r w:rsidRPr="00A23740">
              <w:rPr>
                <w:rFonts w:eastAsia="Times New Roman"/>
                <w:bCs/>
                <w:lang w:eastAsia="tr-TR"/>
              </w:rPr>
              <w:t>linde</w:t>
            </w:r>
            <w:r w:rsidRPr="00A23740">
              <w:rPr>
                <w:rFonts w:eastAsia="Times New Roman"/>
                <w:szCs w:val="24"/>
                <w:lang w:eastAsia="tr-TR"/>
              </w:rPr>
              <w:t xml:space="preserve"> alacaklının istemi üzerine başkaca işleme gerek kalmaksızın teminata konu olan para alacaklıya ödenir. </w:t>
            </w:r>
            <w:r w:rsidRPr="00A23740">
              <w:rPr>
                <w:rStyle w:val="MaviChar"/>
              </w:rPr>
              <w:t>İlâm konusu taşınır ise alacaklıya teslim edilir. Haczolunan</w:t>
            </w:r>
            <w:r w:rsidRPr="00A23740">
              <w:rPr>
                <w:rFonts w:eastAsia="Times New Roman"/>
                <w:b/>
                <w:bCs/>
                <w:color w:val="0000FF"/>
                <w:szCs w:val="24"/>
                <w:lang w:eastAsia="tr-TR"/>
              </w:rPr>
              <w:t xml:space="preserve"> </w:t>
            </w:r>
            <w:r w:rsidRPr="00A23740">
              <w:rPr>
                <w:rFonts w:eastAsia="Times New Roman"/>
                <w:szCs w:val="24"/>
                <w:lang w:eastAsia="tr-TR"/>
              </w:rPr>
              <w:t xml:space="preserve">mal ve haklar ise, malın türüne göre icra </w:t>
            </w:r>
            <w:r w:rsidR="00653581" w:rsidRPr="008D10FA">
              <w:rPr>
                <w:rFonts w:eastAsia="Times New Roman"/>
                <w:b/>
                <w:bCs/>
                <w:color w:val="0000FF"/>
                <w:szCs w:val="24"/>
                <w:lang w:eastAsia="tr-TR"/>
              </w:rPr>
              <w:t>ve</w:t>
            </w:r>
            <w:r w:rsidR="00653581" w:rsidRPr="00A23740">
              <w:rPr>
                <w:rFonts w:eastAsia="Times New Roman"/>
                <w:b/>
                <w:bCs/>
                <w:color w:val="70AD47"/>
                <w:szCs w:val="24"/>
                <w:lang w:eastAsia="tr-TR"/>
              </w:rPr>
              <w:t xml:space="preserve"> </w:t>
            </w:r>
            <w:r w:rsidR="00653581" w:rsidRPr="008D10FA">
              <w:rPr>
                <w:rFonts w:eastAsia="Times New Roman"/>
                <w:b/>
                <w:bCs/>
                <w:color w:val="0000FF"/>
                <w:szCs w:val="24"/>
                <w:lang w:eastAsia="tr-TR"/>
              </w:rPr>
              <w:t>iflas</w:t>
            </w:r>
            <w:r w:rsidR="00653581" w:rsidRPr="00A23740">
              <w:rPr>
                <w:rFonts w:eastAsia="Times New Roman"/>
                <w:color w:val="70AD47"/>
                <w:szCs w:val="24"/>
                <w:lang w:eastAsia="tr-TR"/>
              </w:rPr>
              <w:t xml:space="preserve"> </w:t>
            </w:r>
            <w:r w:rsidRPr="00A23740">
              <w:rPr>
                <w:rFonts w:eastAsia="Times New Roman"/>
                <w:szCs w:val="24"/>
                <w:lang w:eastAsia="tr-TR"/>
              </w:rPr>
              <w:t>dairesince paraya çevril</w:t>
            </w:r>
            <w:r w:rsidRPr="00A23740">
              <w:rPr>
                <w:rStyle w:val="MaviChar"/>
              </w:rPr>
              <w:t xml:space="preserve">erek alacaklıya ödenir. </w:t>
            </w:r>
            <w:r w:rsidRPr="00A23740">
              <w:rPr>
                <w:rFonts w:eastAsia="Times New Roman"/>
                <w:szCs w:val="24"/>
                <w:lang w:eastAsia="tr-TR"/>
              </w:rPr>
              <w:t>İlâm alacaklısının teminat üzerinde rüçhan hakkı vardır.</w:t>
            </w:r>
          </w:p>
          <w:p w:rsidR="00155AF4" w:rsidRPr="00A23740" w:rsidRDefault="00155AF4" w:rsidP="009431FF">
            <w:pPr>
              <w:rPr>
                <w:rFonts w:eastAsia="Times New Roman"/>
                <w:b/>
                <w:bCs/>
                <w:color w:val="0000FF"/>
                <w:szCs w:val="24"/>
                <w:lang w:eastAsia="tr-TR"/>
              </w:rPr>
            </w:pPr>
          </w:p>
          <w:p w:rsidR="008E0E1F" w:rsidRPr="00A23740" w:rsidRDefault="008E0E1F" w:rsidP="009431FF">
            <w:pPr>
              <w:rPr>
                <w:rFonts w:eastAsia="Times New Roman"/>
                <w:b/>
                <w:bCs/>
                <w:color w:val="0000FF"/>
                <w:szCs w:val="24"/>
                <w:lang w:eastAsia="tr-TR"/>
              </w:rPr>
            </w:pPr>
          </w:p>
          <w:p w:rsidR="008E0E1F" w:rsidRPr="00A23740" w:rsidRDefault="008E0E1F" w:rsidP="009431FF">
            <w:pPr>
              <w:rPr>
                <w:rFonts w:eastAsia="Times New Roman"/>
                <w:b/>
                <w:bCs/>
                <w:color w:val="0000FF"/>
                <w:szCs w:val="24"/>
                <w:lang w:eastAsia="tr-TR"/>
              </w:rPr>
            </w:pPr>
          </w:p>
          <w:p w:rsidR="002060A9" w:rsidRPr="00A23740" w:rsidRDefault="002060A9" w:rsidP="009431FF">
            <w:pPr>
              <w:rPr>
                <w:rFonts w:eastAsia="Times New Roman"/>
                <w:b/>
                <w:bCs/>
                <w:color w:val="0000FF"/>
                <w:szCs w:val="24"/>
                <w:lang w:eastAsia="tr-TR"/>
              </w:rPr>
            </w:pPr>
          </w:p>
          <w:p w:rsidR="00155AF4" w:rsidRPr="00A23740" w:rsidRDefault="00155AF4" w:rsidP="009431FF">
            <w:pPr>
              <w:pStyle w:val="Mavi"/>
            </w:pPr>
            <w:r w:rsidRPr="00A23740">
              <w:t>(8) Nafaka alacakları hariç</w:t>
            </w:r>
            <w:r w:rsidRPr="00A23740">
              <w:rPr>
                <w:rFonts w:eastAsia="Times New Roman"/>
                <w:lang w:eastAsia="tr-TR"/>
              </w:rPr>
              <w:t xml:space="preserve"> </w:t>
            </w:r>
            <w:r w:rsidR="00C81AF1" w:rsidRPr="008D10FA">
              <w:rPr>
                <w:rStyle w:val="KonuBalChar"/>
                <w:rFonts w:eastAsia="Calibri"/>
                <w:b/>
                <w:color w:val="0000FF"/>
              </w:rPr>
              <w:t>53 üncü</w:t>
            </w:r>
            <w:r w:rsidRPr="00A23740">
              <w:rPr>
                <w:rFonts w:eastAsia="Times New Roman"/>
                <w:lang w:eastAsia="tr-TR"/>
              </w:rPr>
              <w:t xml:space="preserve"> </w:t>
            </w:r>
            <w:r w:rsidRPr="00A23740">
              <w:t>maddenin</w:t>
            </w:r>
            <w:r w:rsidRPr="00A23740">
              <w:rPr>
                <w:rFonts w:eastAsia="Times New Roman"/>
                <w:lang w:eastAsia="tr-TR"/>
              </w:rPr>
              <w:t xml:space="preserve"> ikinci</w:t>
            </w:r>
            <w:r w:rsidRPr="00A23740">
              <w:t xml:space="preserve"> fıkrasına göre kanun yolu beklenmeksizin icra edilebilecek olan ilk derece mahkemesi ilamları hakkında da bu madde uyarınca icranın ertelenmesi kararı verilebilir</w:t>
            </w:r>
            <w:r w:rsidR="00793E11" w:rsidRPr="008D10FA">
              <w:t>.</w:t>
            </w:r>
            <w:r w:rsidR="00793E11" w:rsidRPr="00A23740">
              <w:rPr>
                <w:color w:val="70AD47"/>
              </w:rPr>
              <w:t xml:space="preserve"> </w:t>
            </w:r>
            <w:r w:rsidR="00793E11" w:rsidRPr="008D10FA">
              <w:t>İ</w:t>
            </w:r>
            <w:r w:rsidRPr="00A23740">
              <w:t>cranın ertelenmesi kararı, takip dayanağı ilam kesinleşinceye kadar etkisini sürdürür.</w:t>
            </w:r>
          </w:p>
          <w:p w:rsidR="00155AF4" w:rsidRPr="00A23740" w:rsidRDefault="00155AF4" w:rsidP="009431FF">
            <w:pPr>
              <w:rPr>
                <w:rFonts w:eastAsia="Times New Roman"/>
                <w:szCs w:val="24"/>
                <w:lang w:eastAsia="tr-TR"/>
              </w:rPr>
            </w:pPr>
          </w:p>
        </w:tc>
      </w:tr>
      <w:tr w:rsidR="00155AF4" w:rsidRPr="00A23740" w:rsidTr="009431FF">
        <w:tc>
          <w:tcPr>
            <w:tcW w:w="5000" w:type="pct"/>
            <w:gridSpan w:val="2"/>
            <w:shd w:val="clear" w:color="auto" w:fill="DEEAF6"/>
          </w:tcPr>
          <w:p w:rsidR="005268B7" w:rsidRPr="00A23740" w:rsidRDefault="005268B7" w:rsidP="009431FF">
            <w:pPr>
              <w:pStyle w:val="Mavi"/>
              <w:ind w:firstLine="709"/>
              <w:rPr>
                <w:color w:val="auto"/>
                <w:lang w:val="tr-TR"/>
              </w:rPr>
            </w:pPr>
          </w:p>
          <w:p w:rsidR="006C6156" w:rsidRPr="00A23740" w:rsidRDefault="00B430CF" w:rsidP="009431FF">
            <w:pPr>
              <w:pStyle w:val="Mavi"/>
              <w:ind w:firstLine="709"/>
              <w:rPr>
                <w:b w:val="0"/>
                <w:color w:val="auto"/>
                <w:lang w:val="tr-TR"/>
              </w:rPr>
            </w:pPr>
            <w:r w:rsidRPr="00A23740">
              <w:rPr>
                <w:color w:val="auto"/>
                <w:lang w:val="tr-TR"/>
              </w:rPr>
              <w:t>MADDE 55-</w:t>
            </w:r>
            <w:r w:rsidR="005268B7" w:rsidRPr="00A23740">
              <w:rPr>
                <w:b w:val="0"/>
                <w:color w:val="auto"/>
                <w:lang w:val="tr-TR"/>
              </w:rPr>
              <w:t xml:space="preserve"> Maddeyle</w:t>
            </w:r>
            <w:r w:rsidRPr="00A23740">
              <w:rPr>
                <w:b w:val="0"/>
                <w:color w:val="auto"/>
                <w:lang w:val="tr-TR"/>
              </w:rPr>
              <w:t>, icranın ertelenmesi</w:t>
            </w:r>
            <w:r w:rsidR="006C6156" w:rsidRPr="00A23740">
              <w:rPr>
                <w:b w:val="0"/>
                <w:color w:val="auto"/>
                <w:lang w:val="tr-TR"/>
              </w:rPr>
              <w:t xml:space="preserve"> kurumuna ilişkin</w:t>
            </w:r>
            <w:r w:rsidRPr="00A23740">
              <w:rPr>
                <w:b w:val="0"/>
                <w:color w:val="auto"/>
                <w:lang w:val="tr-TR"/>
              </w:rPr>
              <w:t xml:space="preserve"> </w:t>
            </w:r>
            <w:r w:rsidR="006C6156" w:rsidRPr="00A23740">
              <w:rPr>
                <w:b w:val="0"/>
                <w:color w:val="auto"/>
                <w:lang w:val="tr-TR"/>
              </w:rPr>
              <w:t xml:space="preserve">usul ve esaslar </w:t>
            </w:r>
            <w:r w:rsidRPr="00A23740">
              <w:rPr>
                <w:b w:val="0"/>
                <w:color w:val="auto"/>
                <w:lang w:val="tr-TR"/>
              </w:rPr>
              <w:t xml:space="preserve">düzenlenmektedir. </w:t>
            </w:r>
            <w:r w:rsidR="00E65002" w:rsidRPr="00A23740">
              <w:rPr>
                <w:b w:val="0"/>
                <w:color w:val="auto"/>
                <w:lang w:val="tr-TR"/>
              </w:rPr>
              <w:t>Hüküm</w:t>
            </w:r>
            <w:r w:rsidR="004107A2" w:rsidRPr="00A23740">
              <w:rPr>
                <w:b w:val="0"/>
                <w:color w:val="auto"/>
                <w:lang w:val="tr-TR"/>
              </w:rPr>
              <w:t>,</w:t>
            </w:r>
            <w:r w:rsidR="00E65002" w:rsidRPr="00A23740">
              <w:rPr>
                <w:b w:val="0"/>
                <w:color w:val="auto"/>
                <w:lang w:val="tr-TR"/>
              </w:rPr>
              <w:t xml:space="preserve"> 2004 sayılı Kanunun 36 ncı maddesine karşılık gelmektedir.</w:t>
            </w:r>
          </w:p>
          <w:p w:rsidR="00673CE0" w:rsidRPr="00A23740" w:rsidRDefault="00673CE0" w:rsidP="009431FF">
            <w:pPr>
              <w:pStyle w:val="Mavi"/>
              <w:ind w:firstLine="709"/>
              <w:rPr>
                <w:b w:val="0"/>
                <w:color w:val="auto"/>
                <w:lang w:val="tr-TR"/>
              </w:rPr>
            </w:pPr>
            <w:r w:rsidRPr="00A23740">
              <w:rPr>
                <w:b w:val="0"/>
                <w:color w:val="auto"/>
                <w:lang w:val="tr-TR"/>
              </w:rPr>
              <w:lastRenderedPageBreak/>
              <w:t>2004 sayılı Kanundaki terminoloji probleminin önüne geçmek için tehiri icra, icranın ertelenmesi, icranın geri bırakılması gibi kavramlar</w:t>
            </w:r>
            <w:r w:rsidR="00D93827" w:rsidRPr="00A23740">
              <w:rPr>
                <w:b w:val="0"/>
                <w:color w:val="auto"/>
                <w:lang w:val="tr-TR"/>
              </w:rPr>
              <w:t xml:space="preserve"> </w:t>
            </w:r>
            <w:r w:rsidR="00A5706E" w:rsidRPr="00A23740">
              <w:rPr>
                <w:b w:val="0"/>
                <w:color w:val="auto"/>
                <w:lang w:val="tr-TR"/>
              </w:rPr>
              <w:t xml:space="preserve">gözden geçirilerek </w:t>
            </w:r>
            <w:r w:rsidR="00163E5A" w:rsidRPr="00A23740">
              <w:rPr>
                <w:b w:val="0"/>
                <w:color w:val="auto"/>
                <w:lang w:val="tr-TR"/>
              </w:rPr>
              <w:t>Taslakta</w:t>
            </w:r>
            <w:r w:rsidR="00D93827" w:rsidRPr="00A23740">
              <w:rPr>
                <w:b w:val="0"/>
                <w:color w:val="auto"/>
                <w:lang w:val="tr-TR"/>
              </w:rPr>
              <w:t xml:space="preserve"> </w:t>
            </w:r>
            <w:r w:rsidRPr="00A23740">
              <w:rPr>
                <w:b w:val="0"/>
                <w:color w:val="auto"/>
                <w:lang w:val="tr-TR"/>
              </w:rPr>
              <w:t>her bir kavram, ait olduğu kuruma münhasır olacak şekilde</w:t>
            </w:r>
            <w:r w:rsidR="00CE1492" w:rsidRPr="00A23740">
              <w:rPr>
                <w:b w:val="0"/>
                <w:color w:val="auto"/>
                <w:lang w:val="tr-TR"/>
              </w:rPr>
              <w:t>kullanılmıştır</w:t>
            </w:r>
            <w:r w:rsidR="00D93827" w:rsidRPr="00A23740">
              <w:rPr>
                <w:b w:val="0"/>
                <w:color w:val="auto"/>
                <w:lang w:val="tr-TR"/>
              </w:rPr>
              <w:t xml:space="preserve">. </w:t>
            </w:r>
            <w:r w:rsidRPr="00A23740">
              <w:rPr>
                <w:b w:val="0"/>
                <w:color w:val="auto"/>
                <w:lang w:val="tr-TR"/>
              </w:rPr>
              <w:t xml:space="preserve">Bu çerçevede, kanun yolu incelemesi sebebiyle takibin geçici olarak durdurulmasını ifade eden ve 2004 sayılı Kanunun 36 ncı maddesinde yer alan kurum, </w:t>
            </w:r>
            <w:r w:rsidR="00A5706E" w:rsidRPr="00A23740">
              <w:rPr>
                <w:b w:val="0"/>
                <w:color w:val="auto"/>
                <w:lang w:val="tr-TR"/>
              </w:rPr>
              <w:t xml:space="preserve">bu maddede </w:t>
            </w:r>
            <w:r w:rsidRPr="00A23740">
              <w:rPr>
                <w:b w:val="0"/>
                <w:color w:val="auto"/>
                <w:lang w:val="tr-TR"/>
              </w:rPr>
              <w:t xml:space="preserve">icranın ertelenmesi olarak </w:t>
            </w:r>
            <w:r w:rsidR="00D93827" w:rsidRPr="00A23740">
              <w:rPr>
                <w:b w:val="0"/>
                <w:color w:val="auto"/>
                <w:lang w:val="tr-TR"/>
              </w:rPr>
              <w:t xml:space="preserve">yeniden </w:t>
            </w:r>
            <w:r w:rsidRPr="00A23740">
              <w:rPr>
                <w:b w:val="0"/>
                <w:color w:val="auto"/>
                <w:lang w:val="tr-TR"/>
              </w:rPr>
              <w:t>isimlendiril</w:t>
            </w:r>
            <w:r w:rsidR="00A5706E" w:rsidRPr="00A23740">
              <w:rPr>
                <w:b w:val="0"/>
                <w:color w:val="auto"/>
                <w:lang w:val="tr-TR"/>
              </w:rPr>
              <w:t>m</w:t>
            </w:r>
            <w:r w:rsidRPr="00A23740">
              <w:rPr>
                <w:b w:val="0"/>
                <w:color w:val="auto"/>
                <w:lang w:val="tr-TR"/>
              </w:rPr>
              <w:t xml:space="preserve">ektedir. </w:t>
            </w:r>
            <w:r w:rsidR="00740641" w:rsidRPr="00A23740">
              <w:rPr>
                <w:b w:val="0"/>
                <w:color w:val="auto"/>
                <w:lang w:val="tr-TR"/>
              </w:rPr>
              <w:t>Taslakla</w:t>
            </w:r>
            <w:r w:rsidR="00AB4F53" w:rsidRPr="00A23740">
              <w:rPr>
                <w:b w:val="0"/>
                <w:color w:val="auto"/>
                <w:lang w:val="tr-TR"/>
              </w:rPr>
              <w:t>,</w:t>
            </w:r>
            <w:r w:rsidR="00740641" w:rsidRPr="00A23740">
              <w:rPr>
                <w:b w:val="0"/>
                <w:color w:val="auto"/>
                <w:lang w:val="tr-TR"/>
              </w:rPr>
              <w:t xml:space="preserve"> hükmün </w:t>
            </w:r>
            <w:r w:rsidRPr="00A23740">
              <w:rPr>
                <w:b w:val="0"/>
                <w:color w:val="auto"/>
                <w:lang w:val="tr-TR"/>
              </w:rPr>
              <w:t>icra kabiliyeti kazanması için ilk derece kanun yolunun tüketilmesi sistemi</w:t>
            </w:r>
            <w:r w:rsidR="00AD7910" w:rsidRPr="00A23740">
              <w:rPr>
                <w:b w:val="0"/>
                <w:color w:val="auto"/>
                <w:lang w:val="tr-TR"/>
              </w:rPr>
              <w:t xml:space="preserve"> kural olarak</w:t>
            </w:r>
            <w:r w:rsidRPr="00A23740">
              <w:rPr>
                <w:b w:val="0"/>
                <w:color w:val="auto"/>
                <w:lang w:val="tr-TR"/>
              </w:rPr>
              <w:t xml:space="preserve"> </w:t>
            </w:r>
            <w:r w:rsidR="00AD7910" w:rsidRPr="00A23740">
              <w:rPr>
                <w:b w:val="0"/>
                <w:color w:val="auto"/>
                <w:lang w:val="tr-TR"/>
              </w:rPr>
              <w:t>benimsenmiştir.</w:t>
            </w:r>
            <w:r w:rsidRPr="00A23740">
              <w:rPr>
                <w:b w:val="0"/>
                <w:color w:val="auto"/>
                <w:lang w:val="tr-TR"/>
              </w:rPr>
              <w:t xml:space="preserve"> </w:t>
            </w:r>
            <w:r w:rsidR="00AD7910" w:rsidRPr="00A23740">
              <w:rPr>
                <w:b w:val="0"/>
                <w:color w:val="auto"/>
                <w:lang w:val="tr-TR"/>
              </w:rPr>
              <w:t xml:space="preserve">Bu suretle icranın </w:t>
            </w:r>
            <w:r w:rsidRPr="00A23740">
              <w:rPr>
                <w:b w:val="0"/>
                <w:color w:val="auto"/>
                <w:lang w:val="tr-TR"/>
              </w:rPr>
              <w:t>ertelenmesi kurumunun uygulaması eskiye göre daraltılmaktadır. İcranın ertelenmesi artık kural olarak sadece temyiz yolu bakımından söz konusu olabil</w:t>
            </w:r>
            <w:r w:rsidR="00B83111" w:rsidRPr="00A23740">
              <w:rPr>
                <w:b w:val="0"/>
                <w:color w:val="auto"/>
                <w:lang w:val="tr-TR"/>
              </w:rPr>
              <w:t>mektedir.</w:t>
            </w:r>
          </w:p>
          <w:p w:rsidR="00E65002" w:rsidRPr="00A23740" w:rsidRDefault="006C6156" w:rsidP="009431FF">
            <w:pPr>
              <w:pStyle w:val="Mavi"/>
              <w:ind w:firstLine="709"/>
              <w:rPr>
                <w:b w:val="0"/>
                <w:color w:val="auto"/>
                <w:lang w:val="tr-TR"/>
              </w:rPr>
            </w:pPr>
            <w:r w:rsidRPr="00A23740">
              <w:rPr>
                <w:b w:val="0"/>
                <w:color w:val="auto"/>
                <w:lang w:val="tr-TR"/>
              </w:rPr>
              <w:t>Birinci fıkrayla, temyiz yoluna başvuranın, belirtilen h</w:t>
            </w:r>
            <w:r w:rsidR="002F2BAA" w:rsidRPr="00A23740">
              <w:rPr>
                <w:b w:val="0"/>
                <w:color w:val="auto"/>
                <w:lang w:val="tr-TR"/>
              </w:rPr>
              <w:t>â</w:t>
            </w:r>
            <w:r w:rsidRPr="00A23740">
              <w:rPr>
                <w:b w:val="0"/>
                <w:color w:val="auto"/>
                <w:lang w:val="tr-TR"/>
              </w:rPr>
              <w:t>llerden birinin bulunması durumunda icra</w:t>
            </w:r>
            <w:r w:rsidR="00A54378" w:rsidRPr="00A23740">
              <w:rPr>
                <w:b w:val="0"/>
                <w:color w:val="auto"/>
                <w:lang w:val="tr-TR"/>
              </w:rPr>
              <w:t xml:space="preserve"> </w:t>
            </w:r>
            <w:r w:rsidR="00A54378" w:rsidRPr="008D10FA">
              <w:rPr>
                <w:rStyle w:val="YELChar"/>
                <w:color w:val="auto"/>
              </w:rPr>
              <w:t>ve iflas</w:t>
            </w:r>
            <w:r w:rsidRPr="008D10FA">
              <w:rPr>
                <w:b w:val="0"/>
                <w:color w:val="auto"/>
                <w:lang w:val="tr-TR"/>
              </w:rPr>
              <w:t xml:space="preserve"> dairesinden icranın ertelenm</w:t>
            </w:r>
            <w:r w:rsidR="00740641" w:rsidRPr="008D10FA">
              <w:rPr>
                <w:b w:val="0"/>
                <w:color w:val="auto"/>
                <w:lang w:val="tr-TR"/>
              </w:rPr>
              <w:t>e</w:t>
            </w:r>
            <w:r w:rsidRPr="008D10FA">
              <w:rPr>
                <w:b w:val="0"/>
                <w:color w:val="auto"/>
                <w:lang w:val="tr-TR"/>
              </w:rPr>
              <w:t xml:space="preserve">sini talep edebileceği kabul edilmektedir. </w:t>
            </w:r>
            <w:r w:rsidR="00F4549D" w:rsidRPr="008D10FA">
              <w:rPr>
                <w:b w:val="0"/>
                <w:color w:val="auto"/>
                <w:lang w:val="tr-TR"/>
              </w:rPr>
              <w:t xml:space="preserve">2004 sayılı Kanunun 36 ncı maddesinden farklı olarak fıkrada yapılan önemli bir değişiklik icranın ertelenmesi talebinin </w:t>
            </w:r>
            <w:r w:rsidR="00B430CF" w:rsidRPr="008D10FA">
              <w:rPr>
                <w:b w:val="0"/>
                <w:color w:val="auto"/>
                <w:lang w:val="tr-TR"/>
              </w:rPr>
              <w:t>doğrudan icra</w:t>
            </w:r>
            <w:r w:rsidR="00AD7910" w:rsidRPr="008D10FA">
              <w:rPr>
                <w:b w:val="0"/>
                <w:color w:val="auto"/>
                <w:lang w:val="tr-TR"/>
              </w:rPr>
              <w:t xml:space="preserve"> </w:t>
            </w:r>
            <w:r w:rsidR="00B430CF" w:rsidRPr="008D10FA">
              <w:rPr>
                <w:b w:val="0"/>
                <w:color w:val="auto"/>
                <w:lang w:val="tr-TR"/>
              </w:rPr>
              <w:t>ve i</w:t>
            </w:r>
            <w:r w:rsidR="00A5706E" w:rsidRPr="008D10FA">
              <w:rPr>
                <w:b w:val="0"/>
                <w:color w:val="auto"/>
                <w:lang w:val="tr-TR"/>
              </w:rPr>
              <w:t xml:space="preserve">flas dairesine </w:t>
            </w:r>
            <w:r w:rsidR="009A37B9" w:rsidRPr="008D10FA">
              <w:rPr>
                <w:b w:val="0"/>
                <w:color w:val="auto"/>
                <w:lang w:val="tr-TR"/>
              </w:rPr>
              <w:t>yöneltilecek</w:t>
            </w:r>
            <w:r w:rsidR="00A5706E" w:rsidRPr="008D10FA">
              <w:rPr>
                <w:b w:val="0"/>
                <w:color w:val="auto"/>
                <w:lang w:val="tr-TR"/>
              </w:rPr>
              <w:t xml:space="preserve"> olmasıdır. </w:t>
            </w:r>
            <w:r w:rsidR="003D48EC" w:rsidRPr="008D10FA">
              <w:rPr>
                <w:b w:val="0"/>
                <w:color w:val="auto"/>
                <w:lang w:val="tr-TR"/>
              </w:rPr>
              <w:t xml:space="preserve">Hükümde gösterilecek teminat türleri bakımından bir ayrım yapılmaktadır. </w:t>
            </w:r>
            <w:r w:rsidR="00B430CF" w:rsidRPr="008D10FA">
              <w:rPr>
                <w:b w:val="0"/>
                <w:color w:val="auto"/>
                <w:lang w:val="tr-TR"/>
              </w:rPr>
              <w:t xml:space="preserve">Temyiz yoluna başvuran, hükmolunan parayı icra </w:t>
            </w:r>
            <w:r w:rsidR="001647D1" w:rsidRPr="008D10FA">
              <w:rPr>
                <w:b w:val="0"/>
                <w:color w:val="auto"/>
                <w:lang w:val="tr-TR"/>
              </w:rPr>
              <w:t>ve iflas</w:t>
            </w:r>
            <w:r w:rsidR="001647D1" w:rsidRPr="00A23740">
              <w:rPr>
                <w:b w:val="0"/>
                <w:color w:val="auto"/>
                <w:lang w:val="tr-TR"/>
              </w:rPr>
              <w:t xml:space="preserve"> </w:t>
            </w:r>
            <w:r w:rsidR="00B430CF" w:rsidRPr="00A23740">
              <w:rPr>
                <w:b w:val="0"/>
                <w:color w:val="auto"/>
                <w:lang w:val="tr-TR"/>
              </w:rPr>
              <w:t>dairesi</w:t>
            </w:r>
            <w:r w:rsidR="00AB4F53" w:rsidRPr="00A23740">
              <w:rPr>
                <w:b w:val="0"/>
                <w:color w:val="auto"/>
                <w:lang w:val="tr-TR"/>
              </w:rPr>
              <w:t>nin</w:t>
            </w:r>
            <w:r w:rsidR="00B430CF" w:rsidRPr="00A23740">
              <w:rPr>
                <w:b w:val="0"/>
                <w:color w:val="auto"/>
                <w:lang w:val="tr-TR"/>
              </w:rPr>
              <w:t xml:space="preserve"> banka hesabına, eşyayı ise icra ve iflas dairesinin göstereceği yere tevdi etmek veya hükmolunan parayı veya </w:t>
            </w:r>
            <w:r w:rsidR="004319A3" w:rsidRPr="00A23740">
              <w:rPr>
                <w:b w:val="0"/>
                <w:color w:val="auto"/>
                <w:lang w:val="tr-TR"/>
              </w:rPr>
              <w:t>taşınır</w:t>
            </w:r>
            <w:r w:rsidR="00B430CF" w:rsidRPr="00A23740">
              <w:rPr>
                <w:b w:val="0"/>
                <w:color w:val="auto"/>
                <w:lang w:val="tr-TR"/>
              </w:rPr>
              <w:t xml:space="preserve"> malın tutarını karşılayacak banka teminat mektubunu icra ve iflas dairesine vermek koşuluyla icra ve iflas dairesinden icranın ertelenmesini isteyebilir. İcranın ertelenmesine başvuru koşulunu sağlayan üçüncü ihtimal ise borçlunun hükmolunan parayı karşılayacak kadar malının hacizli olması veya rehin gösterilmesidir. Borçlu, malları o ana kadar haczedilmiş olmasa bile, icranın ertelenmesi başvurusu yaparken mallarına haciz konulmasını isteyerek bu hükümden yararlanabil</w:t>
            </w:r>
            <w:r w:rsidR="00F4549D" w:rsidRPr="00A23740">
              <w:rPr>
                <w:b w:val="0"/>
                <w:color w:val="auto"/>
                <w:lang w:val="tr-TR"/>
              </w:rPr>
              <w:t xml:space="preserve">ir. </w:t>
            </w:r>
            <w:r w:rsidR="00B430CF" w:rsidRPr="00A23740">
              <w:rPr>
                <w:b w:val="0"/>
                <w:color w:val="auto"/>
                <w:lang w:val="tr-TR"/>
              </w:rPr>
              <w:t xml:space="preserve">Fıkra metninde </w:t>
            </w:r>
            <w:r w:rsidR="00B66F20" w:rsidRPr="00A23740">
              <w:rPr>
                <w:b w:val="0"/>
                <w:color w:val="auto"/>
                <w:lang w:val="tr-TR"/>
              </w:rPr>
              <w:t>geçen “hükmolunan para” ibaresi</w:t>
            </w:r>
            <w:r w:rsidR="00B430CF" w:rsidRPr="00A23740">
              <w:rPr>
                <w:b w:val="0"/>
                <w:color w:val="auto"/>
                <w:lang w:val="tr-TR"/>
              </w:rPr>
              <w:t xml:space="preserve"> hükmolunan asıl alacağı, faizi ve yargılama masraflarını karşılayacak şekilde anlaşılmalıdır. </w:t>
            </w:r>
            <w:r w:rsidR="00E65002" w:rsidRPr="00A23740">
              <w:rPr>
                <w:b w:val="0"/>
                <w:color w:val="auto"/>
                <w:lang w:val="tr-TR"/>
              </w:rPr>
              <w:t xml:space="preserve">Bu şartların </w:t>
            </w:r>
            <w:r w:rsidR="00B430CF" w:rsidRPr="00A23740">
              <w:rPr>
                <w:b w:val="0"/>
                <w:color w:val="auto"/>
                <w:lang w:val="tr-TR"/>
              </w:rPr>
              <w:t>yerine getir</w:t>
            </w:r>
            <w:r w:rsidR="00E65002" w:rsidRPr="00A23740">
              <w:rPr>
                <w:b w:val="0"/>
                <w:color w:val="auto"/>
                <w:lang w:val="tr-TR"/>
              </w:rPr>
              <w:t>il</w:t>
            </w:r>
            <w:r w:rsidR="00B430CF" w:rsidRPr="00A23740">
              <w:rPr>
                <w:b w:val="0"/>
                <w:color w:val="auto"/>
                <w:lang w:val="tr-TR"/>
              </w:rPr>
              <w:t>mesi h</w:t>
            </w:r>
            <w:r w:rsidR="002F2BAA" w:rsidRPr="00A23740">
              <w:rPr>
                <w:b w:val="0"/>
                <w:color w:val="auto"/>
                <w:lang w:val="tr-TR"/>
              </w:rPr>
              <w:t>â</w:t>
            </w:r>
            <w:r w:rsidR="00B430CF" w:rsidRPr="00A23740">
              <w:rPr>
                <w:b w:val="0"/>
                <w:color w:val="auto"/>
                <w:lang w:val="tr-TR"/>
              </w:rPr>
              <w:t>linde icra ve iflas dairesine yap</w:t>
            </w:r>
            <w:r w:rsidR="00AD7910" w:rsidRPr="00A23740">
              <w:rPr>
                <w:b w:val="0"/>
                <w:color w:val="auto"/>
                <w:lang w:val="tr-TR"/>
              </w:rPr>
              <w:t>ılan talep üzerine takip durur.</w:t>
            </w:r>
          </w:p>
          <w:p w:rsidR="005C5E0F" w:rsidRPr="00A23740" w:rsidRDefault="00E65002" w:rsidP="009431FF">
            <w:pPr>
              <w:pStyle w:val="Mavi"/>
              <w:ind w:firstLine="709"/>
              <w:rPr>
                <w:b w:val="0"/>
                <w:color w:val="auto"/>
                <w:lang w:val="tr-TR"/>
              </w:rPr>
            </w:pPr>
            <w:r w:rsidRPr="00A23740">
              <w:rPr>
                <w:b w:val="0"/>
                <w:color w:val="auto"/>
                <w:lang w:val="tr-TR"/>
              </w:rPr>
              <w:t>İkinci fıkrayla</w:t>
            </w:r>
            <w:r w:rsidR="00B430CF" w:rsidRPr="00A23740">
              <w:rPr>
                <w:b w:val="0"/>
                <w:color w:val="auto"/>
                <w:lang w:val="tr-TR"/>
              </w:rPr>
              <w:t xml:space="preserve">, </w:t>
            </w:r>
            <w:r w:rsidR="003D48EC" w:rsidRPr="00A23740">
              <w:rPr>
                <w:b w:val="0"/>
                <w:color w:val="auto"/>
                <w:lang w:val="tr-TR"/>
              </w:rPr>
              <w:t xml:space="preserve">icranın ertelenmesine ilişkin işlemler detaylı olarak düzenlenmektedir. </w:t>
            </w:r>
            <w:r w:rsidR="000A6D30" w:rsidRPr="00A23740">
              <w:rPr>
                <w:b w:val="0"/>
                <w:color w:val="auto"/>
                <w:lang w:val="tr-TR"/>
              </w:rPr>
              <w:t xml:space="preserve">Hükümde gösterilecek teminat türlerine göre icranın ertelenmesine karar verecek merci belirlenmektedir. </w:t>
            </w:r>
            <w:r w:rsidR="003D48EC" w:rsidRPr="00A23740">
              <w:rPr>
                <w:b w:val="0"/>
                <w:color w:val="auto"/>
                <w:lang w:val="tr-TR"/>
              </w:rPr>
              <w:t>Birinci fıkrada belirtilen h</w:t>
            </w:r>
            <w:r w:rsidR="002F2BAA" w:rsidRPr="00A23740">
              <w:rPr>
                <w:b w:val="0"/>
                <w:color w:val="auto"/>
                <w:lang w:val="tr-TR"/>
              </w:rPr>
              <w:t>â</w:t>
            </w:r>
            <w:r w:rsidR="003D48EC" w:rsidRPr="00A23740">
              <w:rPr>
                <w:b w:val="0"/>
                <w:color w:val="auto"/>
                <w:lang w:val="tr-TR"/>
              </w:rPr>
              <w:t xml:space="preserve">llerde icra ve iflas dairesine yapılan talep üzerine takip </w:t>
            </w:r>
            <w:r w:rsidR="00B64C9D" w:rsidRPr="00A23740">
              <w:rPr>
                <w:b w:val="0"/>
                <w:color w:val="auto"/>
                <w:lang w:val="tr-TR"/>
              </w:rPr>
              <w:t xml:space="preserve">kendiliğinden </w:t>
            </w:r>
            <w:r w:rsidR="003D48EC" w:rsidRPr="00A23740">
              <w:rPr>
                <w:b w:val="0"/>
                <w:color w:val="auto"/>
                <w:lang w:val="tr-TR"/>
              </w:rPr>
              <w:t xml:space="preserve">durur. </w:t>
            </w:r>
            <w:r w:rsidR="00B64C9D" w:rsidRPr="00A23740">
              <w:rPr>
                <w:b w:val="0"/>
                <w:color w:val="auto"/>
                <w:lang w:val="tr-TR"/>
              </w:rPr>
              <w:t>2004 sayılı Kanunun 36 ncı maddesinden farklı olarak icra</w:t>
            </w:r>
            <w:r w:rsidR="00A54378" w:rsidRPr="00A23740">
              <w:rPr>
                <w:b w:val="0"/>
                <w:color w:val="auto"/>
                <w:lang w:val="tr-TR"/>
              </w:rPr>
              <w:t xml:space="preserve"> </w:t>
            </w:r>
            <w:r w:rsidR="00A54378" w:rsidRPr="008D10FA">
              <w:rPr>
                <w:rStyle w:val="YELChar"/>
                <w:color w:val="auto"/>
              </w:rPr>
              <w:t>ve iflas</w:t>
            </w:r>
            <w:r w:rsidR="00B64C9D" w:rsidRPr="00A23740">
              <w:rPr>
                <w:b w:val="0"/>
                <w:color w:val="auto"/>
                <w:lang w:val="tr-TR"/>
              </w:rPr>
              <w:t xml:space="preserve"> müdürüne icranın ertelenmesine dair karar verme yetkisi verilmektedir. Bu h</w:t>
            </w:r>
            <w:r w:rsidR="002F2BAA" w:rsidRPr="00A23740">
              <w:rPr>
                <w:b w:val="0"/>
                <w:color w:val="auto"/>
                <w:lang w:val="tr-TR"/>
              </w:rPr>
              <w:t>â</w:t>
            </w:r>
            <w:r w:rsidR="00B64C9D" w:rsidRPr="00A23740">
              <w:rPr>
                <w:b w:val="0"/>
                <w:color w:val="auto"/>
                <w:lang w:val="tr-TR"/>
              </w:rPr>
              <w:t>lde icra</w:t>
            </w:r>
            <w:r w:rsidR="00A54378" w:rsidRPr="00A23740">
              <w:rPr>
                <w:b w:val="0"/>
                <w:color w:val="auto"/>
                <w:lang w:val="tr-TR"/>
              </w:rPr>
              <w:t xml:space="preserve"> </w:t>
            </w:r>
            <w:r w:rsidR="00A54378" w:rsidRPr="008D10FA">
              <w:rPr>
                <w:rStyle w:val="YELChar"/>
                <w:color w:val="auto"/>
              </w:rPr>
              <w:t>ve iflas</w:t>
            </w:r>
            <w:r w:rsidR="00B64C9D" w:rsidRPr="00A23740">
              <w:rPr>
                <w:b w:val="0"/>
                <w:color w:val="auto"/>
                <w:lang w:val="tr-TR"/>
              </w:rPr>
              <w:t xml:space="preserve"> </w:t>
            </w:r>
            <w:r w:rsidR="000A6D30" w:rsidRPr="00A23740">
              <w:rPr>
                <w:b w:val="0"/>
                <w:color w:val="auto"/>
                <w:lang w:val="tr-TR"/>
              </w:rPr>
              <w:t>müdürü, birinci fıkranın (a) ve (b) bentlerinde belirtilen h</w:t>
            </w:r>
            <w:r w:rsidR="002F2BAA" w:rsidRPr="00A23740">
              <w:rPr>
                <w:b w:val="0"/>
                <w:color w:val="auto"/>
                <w:lang w:val="tr-TR"/>
              </w:rPr>
              <w:t>â</w:t>
            </w:r>
            <w:r w:rsidR="000A6D30" w:rsidRPr="00A23740">
              <w:rPr>
                <w:b w:val="0"/>
                <w:color w:val="auto"/>
                <w:lang w:val="tr-TR"/>
              </w:rPr>
              <w:t>lleri tespit ederse</w:t>
            </w:r>
            <w:r w:rsidR="00AB4F53" w:rsidRPr="00A23740">
              <w:rPr>
                <w:b w:val="0"/>
                <w:color w:val="auto"/>
                <w:lang w:val="tr-TR"/>
              </w:rPr>
              <w:t>,</w:t>
            </w:r>
            <w:r w:rsidR="000A6D30" w:rsidRPr="00A23740">
              <w:rPr>
                <w:b w:val="0"/>
                <w:color w:val="auto"/>
                <w:lang w:val="tr-TR"/>
              </w:rPr>
              <w:t xml:space="preserve"> ilgili kanun yolu incelemesinin sonuçlanmasına kadar takibin ertelenmesine karar verir. </w:t>
            </w:r>
            <w:r w:rsidR="003D48EC" w:rsidRPr="00A23740">
              <w:rPr>
                <w:b w:val="0"/>
                <w:color w:val="auto"/>
                <w:lang w:val="tr-TR"/>
              </w:rPr>
              <w:t>Bu değişiklik</w:t>
            </w:r>
            <w:r w:rsidR="00B430CF" w:rsidRPr="00A23740">
              <w:rPr>
                <w:b w:val="0"/>
                <w:color w:val="auto"/>
                <w:lang w:val="tr-TR"/>
              </w:rPr>
              <w:t>le</w:t>
            </w:r>
            <w:r w:rsidR="003D48EC" w:rsidRPr="00A23740">
              <w:rPr>
                <w:b w:val="0"/>
                <w:color w:val="auto"/>
                <w:lang w:val="tr-TR"/>
              </w:rPr>
              <w:t>,</w:t>
            </w:r>
            <w:r w:rsidR="00B430CF" w:rsidRPr="00A23740">
              <w:rPr>
                <w:b w:val="0"/>
                <w:color w:val="auto"/>
                <w:lang w:val="tr-TR"/>
              </w:rPr>
              <w:t xml:space="preserve"> 7343 sayılı Kanunla </w:t>
            </w:r>
            <w:r w:rsidR="003D48EC" w:rsidRPr="00A23740">
              <w:rPr>
                <w:b w:val="0"/>
                <w:color w:val="auto"/>
                <w:lang w:val="tr-TR"/>
              </w:rPr>
              <w:t>kabul edilen</w:t>
            </w:r>
            <w:r w:rsidR="00B430CF" w:rsidRPr="00A23740">
              <w:rPr>
                <w:b w:val="0"/>
                <w:color w:val="auto"/>
                <w:lang w:val="tr-TR"/>
              </w:rPr>
              <w:t xml:space="preserve"> </w:t>
            </w:r>
            <w:r w:rsidR="00AB4F53" w:rsidRPr="00A23740">
              <w:rPr>
                <w:b w:val="0"/>
                <w:color w:val="auto"/>
                <w:lang w:val="tr-TR"/>
              </w:rPr>
              <w:t xml:space="preserve">ve </w:t>
            </w:r>
            <w:r w:rsidR="003D48EC" w:rsidRPr="00A23740">
              <w:rPr>
                <w:b w:val="0"/>
                <w:color w:val="auto"/>
                <w:lang w:val="tr-TR"/>
              </w:rPr>
              <w:t>icra</w:t>
            </w:r>
            <w:r w:rsidR="00B430CF" w:rsidRPr="00A23740">
              <w:rPr>
                <w:b w:val="0"/>
                <w:color w:val="auto"/>
                <w:lang w:val="tr-TR"/>
              </w:rPr>
              <w:t xml:space="preserve"> mahkemesinin icranın ertelenmesi konusunda görevli olması</w:t>
            </w:r>
            <w:r w:rsidR="00AB4F53" w:rsidRPr="00A23740">
              <w:rPr>
                <w:b w:val="0"/>
                <w:color w:val="auto"/>
                <w:lang w:val="tr-TR"/>
              </w:rPr>
              <w:t>na yönelik olan</w:t>
            </w:r>
            <w:r w:rsidR="00B430CF" w:rsidRPr="00A23740">
              <w:rPr>
                <w:b w:val="0"/>
                <w:color w:val="auto"/>
                <w:lang w:val="tr-TR"/>
              </w:rPr>
              <w:t xml:space="preserve"> ilkesinden büyük ölçüde vazgeçilmektedir. Bununla bir</w:t>
            </w:r>
            <w:r w:rsidR="000A6D30" w:rsidRPr="00A23740">
              <w:rPr>
                <w:b w:val="0"/>
                <w:color w:val="auto"/>
                <w:lang w:val="tr-TR"/>
              </w:rPr>
              <w:t xml:space="preserve">likte, (c) bendinde düzenlenen </w:t>
            </w:r>
            <w:r w:rsidR="00B430CF" w:rsidRPr="00A23740">
              <w:rPr>
                <w:b w:val="0"/>
                <w:color w:val="auto"/>
                <w:lang w:val="tr-TR"/>
              </w:rPr>
              <w:t>h</w:t>
            </w:r>
            <w:r w:rsidR="002F2BAA" w:rsidRPr="00A23740">
              <w:rPr>
                <w:b w:val="0"/>
                <w:color w:val="auto"/>
                <w:lang w:val="tr-TR"/>
              </w:rPr>
              <w:t>â</w:t>
            </w:r>
            <w:r w:rsidR="00B430CF" w:rsidRPr="00A23740">
              <w:rPr>
                <w:b w:val="0"/>
                <w:color w:val="auto"/>
                <w:lang w:val="tr-TR"/>
              </w:rPr>
              <w:t>lde, yani borçlunun hükmolunan parayı karşılayacak kadar malının hacizli olması veya rehin gösterilmesinde,</w:t>
            </w:r>
            <w:r w:rsidR="000A6D30" w:rsidRPr="00A23740">
              <w:rPr>
                <w:b w:val="0"/>
                <w:color w:val="auto"/>
                <w:lang w:val="tr-TR"/>
              </w:rPr>
              <w:t xml:space="preserve"> 2004 sayılı Kanunda olduğu gibi</w:t>
            </w:r>
            <w:r w:rsidR="00B430CF" w:rsidRPr="00A23740">
              <w:rPr>
                <w:b w:val="0"/>
                <w:color w:val="auto"/>
                <w:lang w:val="tr-TR"/>
              </w:rPr>
              <w:t xml:space="preserve"> görevli merci</w:t>
            </w:r>
            <w:r w:rsidR="00AB4F53" w:rsidRPr="00A23740">
              <w:rPr>
                <w:b w:val="0"/>
                <w:color w:val="auto"/>
                <w:lang w:val="tr-TR"/>
              </w:rPr>
              <w:t>,</w:t>
            </w:r>
            <w:r w:rsidR="00B430CF" w:rsidRPr="00A23740">
              <w:rPr>
                <w:b w:val="0"/>
                <w:color w:val="auto"/>
                <w:lang w:val="tr-TR"/>
              </w:rPr>
              <w:t xml:space="preserve"> icra hukuk mahkemesi</w:t>
            </w:r>
            <w:r w:rsidR="000A6D30" w:rsidRPr="00A23740">
              <w:rPr>
                <w:b w:val="0"/>
                <w:color w:val="auto"/>
                <w:lang w:val="tr-TR"/>
              </w:rPr>
              <w:t xml:space="preserve">dir. </w:t>
            </w:r>
            <w:r w:rsidR="00B64C9D" w:rsidRPr="00A23740">
              <w:rPr>
                <w:b w:val="0"/>
                <w:color w:val="auto"/>
                <w:lang w:val="tr-TR"/>
              </w:rPr>
              <w:t>Buna göre, icra</w:t>
            </w:r>
            <w:r w:rsidR="00A54378" w:rsidRPr="00A23740">
              <w:rPr>
                <w:b w:val="0"/>
                <w:color w:val="auto"/>
                <w:lang w:val="tr-TR"/>
              </w:rPr>
              <w:t xml:space="preserve"> </w:t>
            </w:r>
            <w:r w:rsidR="00A54378" w:rsidRPr="008D10FA">
              <w:rPr>
                <w:rStyle w:val="YELChar"/>
                <w:color w:val="auto"/>
              </w:rPr>
              <w:t>ve iflas</w:t>
            </w:r>
            <w:r w:rsidR="00B64C9D" w:rsidRPr="00A23740">
              <w:rPr>
                <w:b w:val="0"/>
                <w:color w:val="auto"/>
                <w:lang w:val="tr-TR"/>
              </w:rPr>
              <w:t xml:space="preserve"> müdürü, icranın ertelenmesi hakkında karar verilmek üzere dosyayı derh</w:t>
            </w:r>
            <w:r w:rsidR="00DF22A1" w:rsidRPr="00A23740">
              <w:rPr>
                <w:b w:val="0"/>
                <w:color w:val="auto"/>
                <w:lang w:val="tr-TR"/>
              </w:rPr>
              <w:t>â</w:t>
            </w:r>
            <w:r w:rsidR="00B64C9D" w:rsidRPr="00A23740">
              <w:rPr>
                <w:b w:val="0"/>
                <w:color w:val="auto"/>
                <w:lang w:val="tr-TR"/>
              </w:rPr>
              <w:t>l icra hukuk mahkemesine tevdi eder. Mahkemenin kararına kadar takip duracağı için takip işlemlerine devam edilemez. Mahkeme, birinci fıkranın (c) bendinde belirtilen h</w:t>
            </w:r>
            <w:r w:rsidR="00DF22A1" w:rsidRPr="00A23740">
              <w:rPr>
                <w:b w:val="0"/>
                <w:color w:val="auto"/>
                <w:lang w:val="tr-TR"/>
              </w:rPr>
              <w:t>â</w:t>
            </w:r>
            <w:r w:rsidR="00B64C9D" w:rsidRPr="00A23740">
              <w:rPr>
                <w:b w:val="0"/>
                <w:color w:val="auto"/>
                <w:lang w:val="tr-TR"/>
              </w:rPr>
              <w:t>llerden birinin gerçekleştiğini tespit ederse ilgili kanun yolu incelemesinin sonuçlanmasına kadar takibin ertelenmesine karar verir ve kararını derh</w:t>
            </w:r>
            <w:r w:rsidR="00DF22A1" w:rsidRPr="00A23740">
              <w:rPr>
                <w:b w:val="0"/>
                <w:color w:val="auto"/>
                <w:lang w:val="tr-TR"/>
              </w:rPr>
              <w:t>â</w:t>
            </w:r>
            <w:r w:rsidR="00B64C9D" w:rsidRPr="00A23740">
              <w:rPr>
                <w:b w:val="0"/>
                <w:color w:val="auto"/>
                <w:lang w:val="tr-TR"/>
              </w:rPr>
              <w:t xml:space="preserve">l icra </w:t>
            </w:r>
            <w:r w:rsidR="001647D1" w:rsidRPr="008D10FA">
              <w:rPr>
                <w:b w:val="0"/>
                <w:color w:val="auto"/>
                <w:lang w:val="tr-TR"/>
              </w:rPr>
              <w:t>ve iflas</w:t>
            </w:r>
            <w:r w:rsidR="001647D1" w:rsidRPr="00A23740">
              <w:rPr>
                <w:b w:val="0"/>
                <w:color w:val="auto"/>
                <w:lang w:val="tr-TR"/>
              </w:rPr>
              <w:t xml:space="preserve"> </w:t>
            </w:r>
            <w:r w:rsidR="00B64C9D" w:rsidRPr="00A23740">
              <w:rPr>
                <w:b w:val="0"/>
                <w:color w:val="auto"/>
                <w:lang w:val="tr-TR"/>
              </w:rPr>
              <w:t>dairesine bildiri</w:t>
            </w:r>
            <w:r w:rsidR="005C5E0F" w:rsidRPr="00A23740">
              <w:rPr>
                <w:b w:val="0"/>
                <w:color w:val="auto"/>
                <w:lang w:val="tr-TR"/>
              </w:rPr>
              <w:t>r.</w:t>
            </w:r>
          </w:p>
          <w:p w:rsidR="005C5E0F" w:rsidRPr="00A23740" w:rsidRDefault="000A6D30" w:rsidP="009431FF">
            <w:pPr>
              <w:pStyle w:val="Mavi"/>
              <w:ind w:firstLine="709"/>
              <w:rPr>
                <w:b w:val="0"/>
                <w:color w:val="auto"/>
                <w:lang w:val="tr-TR"/>
              </w:rPr>
            </w:pPr>
            <w:r w:rsidRPr="00A23740">
              <w:rPr>
                <w:b w:val="0"/>
                <w:color w:val="auto"/>
                <w:lang w:val="tr-TR"/>
              </w:rPr>
              <w:t>Üçüncü fıkrayla,</w:t>
            </w:r>
            <w:r w:rsidR="00B430CF" w:rsidRPr="00A23740">
              <w:rPr>
                <w:b w:val="0"/>
                <w:color w:val="auto"/>
                <w:lang w:val="tr-TR"/>
              </w:rPr>
              <w:t xml:space="preserve"> borçl</w:t>
            </w:r>
            <w:r w:rsidR="004319A3" w:rsidRPr="00A23740">
              <w:rPr>
                <w:b w:val="0"/>
                <w:color w:val="auto"/>
                <w:lang w:val="tr-TR"/>
              </w:rPr>
              <w:t>uya, icranın ertelenmesine</w:t>
            </w:r>
            <w:r w:rsidR="00B430CF" w:rsidRPr="00A23740">
              <w:rPr>
                <w:b w:val="0"/>
                <w:color w:val="auto"/>
                <w:lang w:val="tr-TR"/>
              </w:rPr>
              <w:t xml:space="preserve"> ek olarak hacizlerin kaldırılmasını sağlama olanağı da tanınmaktadır. Buna göre, erteleme talebi tarihi esas alınarak icra ve iflas dairesi tarafından takip alacağı hesaplanacak ve bunun tamamı borçlu tarafından nakit olarak yatırılacaktır. Buna ek olarak borçlunun, bu miktarın yüzde onbeşi oranında teminat da göstermesi gerekmektedir. Bu </w:t>
            </w:r>
            <w:r w:rsidR="004319A3" w:rsidRPr="00A23740">
              <w:rPr>
                <w:b w:val="0"/>
                <w:color w:val="auto"/>
                <w:lang w:val="tr-TR"/>
              </w:rPr>
              <w:t>ilave</w:t>
            </w:r>
            <w:r w:rsidR="00B430CF" w:rsidRPr="00A23740">
              <w:rPr>
                <w:b w:val="0"/>
                <w:color w:val="auto"/>
                <w:lang w:val="tr-TR"/>
              </w:rPr>
              <w:t xml:space="preserve"> teminat ya nakden yatırma veya kesin ve süresiz bir teminat mektubu gösterilmesi şeklinde olmak zorundadır. Borçlu bu şartları yerine getirirse, hacizlerin </w:t>
            </w:r>
            <w:r w:rsidR="00B430CF" w:rsidRPr="00A23740">
              <w:rPr>
                <w:b w:val="0"/>
                <w:color w:val="auto"/>
                <w:lang w:val="tr-TR"/>
              </w:rPr>
              <w:lastRenderedPageBreak/>
              <w:t xml:space="preserve">kaldırılmasına da karar verilir. Ancak burada dikkat edilmesi gereken husus, bu konuda yetkili merciin icra hukuk mahkemesi olduğudur; hacizler icra </w:t>
            </w:r>
            <w:r w:rsidR="00C11CF3" w:rsidRPr="008D10FA">
              <w:rPr>
                <w:b w:val="0"/>
                <w:color w:val="auto"/>
                <w:lang w:val="tr-TR"/>
              </w:rPr>
              <w:t>ve</w:t>
            </w:r>
            <w:r w:rsidR="00C11CF3" w:rsidRPr="00A23740">
              <w:rPr>
                <w:color w:val="385623"/>
                <w:lang w:val="tr-TR"/>
              </w:rPr>
              <w:t xml:space="preserve"> </w:t>
            </w:r>
            <w:r w:rsidR="00C11CF3" w:rsidRPr="008D10FA">
              <w:rPr>
                <w:b w:val="0"/>
                <w:color w:val="auto"/>
                <w:lang w:val="tr-TR"/>
              </w:rPr>
              <w:t>iflas</w:t>
            </w:r>
            <w:r w:rsidR="00C11CF3" w:rsidRPr="00A23740">
              <w:rPr>
                <w:b w:val="0"/>
                <w:color w:val="auto"/>
                <w:lang w:val="tr-TR"/>
              </w:rPr>
              <w:t xml:space="preserve"> </w:t>
            </w:r>
            <w:r w:rsidR="00B430CF" w:rsidRPr="00A23740">
              <w:rPr>
                <w:b w:val="0"/>
                <w:color w:val="auto"/>
                <w:lang w:val="tr-TR"/>
              </w:rPr>
              <w:t>müdürü tarafından kal</w:t>
            </w:r>
            <w:r w:rsidR="00200D29" w:rsidRPr="00A23740">
              <w:rPr>
                <w:b w:val="0"/>
                <w:color w:val="auto"/>
                <w:lang w:val="tr-TR"/>
              </w:rPr>
              <w:t>dırılamaz.</w:t>
            </w:r>
          </w:p>
          <w:p w:rsidR="00890698" w:rsidRPr="00A23740" w:rsidRDefault="00890698" w:rsidP="009431FF">
            <w:pPr>
              <w:pStyle w:val="Mavi"/>
              <w:ind w:firstLine="709"/>
              <w:rPr>
                <w:b w:val="0"/>
                <w:color w:val="auto"/>
                <w:lang w:val="tr-TR"/>
              </w:rPr>
            </w:pPr>
            <w:r w:rsidRPr="00A23740">
              <w:rPr>
                <w:b w:val="0"/>
                <w:color w:val="auto"/>
                <w:lang w:val="tr-TR"/>
              </w:rPr>
              <w:t>Dördüncü fıkrayla</w:t>
            </w:r>
            <w:r w:rsidR="00B430CF" w:rsidRPr="00A23740">
              <w:rPr>
                <w:b w:val="0"/>
                <w:color w:val="auto"/>
                <w:lang w:val="tr-TR"/>
              </w:rPr>
              <w:t>, tahliye ilamlarının ertelenebilmesi için yatırılması gerek</w:t>
            </w:r>
            <w:r w:rsidR="006C7538" w:rsidRPr="00A23740">
              <w:rPr>
                <w:b w:val="0"/>
                <w:color w:val="auto"/>
                <w:lang w:val="tr-TR"/>
              </w:rPr>
              <w:t>en teminat tutarı</w:t>
            </w:r>
            <w:r w:rsidR="00200D29" w:rsidRPr="00A23740">
              <w:rPr>
                <w:b w:val="0"/>
                <w:color w:val="auto"/>
                <w:lang w:val="tr-TR"/>
              </w:rPr>
              <w:t xml:space="preserve">nın </w:t>
            </w:r>
            <w:r w:rsidR="007B335A" w:rsidRPr="00A23740">
              <w:rPr>
                <w:b w:val="0"/>
                <w:color w:val="auto"/>
                <w:lang w:val="tr-TR"/>
              </w:rPr>
              <w:t xml:space="preserve">belirlenmesi usulü düzenlenmektedir. </w:t>
            </w:r>
            <w:r w:rsidR="00B430CF" w:rsidRPr="00A23740">
              <w:rPr>
                <w:b w:val="0"/>
                <w:color w:val="auto"/>
                <w:lang w:val="tr-TR"/>
              </w:rPr>
              <w:t xml:space="preserve">Buna göre, </w:t>
            </w:r>
            <w:r w:rsidR="003D2E44" w:rsidRPr="00A23740">
              <w:rPr>
                <w:b w:val="0"/>
                <w:color w:val="auto"/>
                <w:lang w:val="tr-TR"/>
              </w:rPr>
              <w:t>tahliye il</w:t>
            </w:r>
            <w:r w:rsidR="00D72007" w:rsidRPr="00A23740">
              <w:rPr>
                <w:b w:val="0"/>
                <w:color w:val="auto"/>
                <w:lang w:val="tr-TR"/>
              </w:rPr>
              <w:t>a</w:t>
            </w:r>
            <w:r w:rsidR="003D2E44" w:rsidRPr="00A23740">
              <w:rPr>
                <w:b w:val="0"/>
                <w:color w:val="auto"/>
                <w:lang w:val="tr-TR"/>
              </w:rPr>
              <w:t xml:space="preserve">mlarında icranın ertelenmesi kararının verilebilmesi için üç aylık kira bedeli tutarı kadar teminat alınır. Üç aylık kira bedelinin teminat olarak alınmasına ilişkin uygulama, </w:t>
            </w:r>
            <w:r w:rsidR="00163E5A" w:rsidRPr="00A23740">
              <w:rPr>
                <w:b w:val="0"/>
                <w:color w:val="auto"/>
                <w:lang w:val="tr-TR"/>
              </w:rPr>
              <w:t>Taslakta</w:t>
            </w:r>
            <w:r w:rsidR="007B335A" w:rsidRPr="00A23740">
              <w:rPr>
                <w:b w:val="0"/>
                <w:color w:val="auto"/>
                <w:lang w:val="tr-TR"/>
              </w:rPr>
              <w:t xml:space="preserve"> bir hüküm olarak  düzenlenmektedir.</w:t>
            </w:r>
            <w:r w:rsidR="00B430CF" w:rsidRPr="00A23740">
              <w:rPr>
                <w:b w:val="0"/>
                <w:color w:val="auto"/>
                <w:lang w:val="tr-TR"/>
              </w:rPr>
              <w:t xml:space="preserve"> </w:t>
            </w:r>
            <w:r w:rsidR="00200D29" w:rsidRPr="00A23740">
              <w:rPr>
                <w:b w:val="0"/>
                <w:color w:val="auto"/>
                <w:lang w:val="tr-TR"/>
              </w:rPr>
              <w:t>K</w:t>
            </w:r>
            <w:r w:rsidR="00B430CF" w:rsidRPr="00A23740">
              <w:rPr>
                <w:b w:val="0"/>
                <w:color w:val="auto"/>
                <w:lang w:val="tr-TR"/>
              </w:rPr>
              <w:t xml:space="preserve">ira bedeli tespit edilemiyorsa, icra </w:t>
            </w:r>
            <w:r w:rsidR="00C11CF3" w:rsidRPr="008D10FA">
              <w:rPr>
                <w:b w:val="0"/>
                <w:color w:val="auto"/>
                <w:lang w:val="tr-TR"/>
              </w:rPr>
              <w:t>ve iflas</w:t>
            </w:r>
            <w:r w:rsidR="00C11CF3" w:rsidRPr="00A23740">
              <w:rPr>
                <w:b w:val="0"/>
                <w:color w:val="auto"/>
                <w:lang w:val="tr-TR"/>
              </w:rPr>
              <w:t xml:space="preserve"> </w:t>
            </w:r>
            <w:r w:rsidR="00B430CF" w:rsidRPr="00A23740">
              <w:rPr>
                <w:b w:val="0"/>
                <w:color w:val="auto"/>
                <w:lang w:val="tr-TR"/>
              </w:rPr>
              <w:t xml:space="preserve">müdürünün dosyayı icra hukuk mahkemesine tevdi etmesi ve teminatın </w:t>
            </w:r>
            <w:r w:rsidR="00200D29" w:rsidRPr="00A23740">
              <w:rPr>
                <w:b w:val="0"/>
                <w:color w:val="auto"/>
                <w:lang w:val="tr-TR"/>
              </w:rPr>
              <w:t>bu mahkemece</w:t>
            </w:r>
            <w:r w:rsidR="00B430CF" w:rsidRPr="00A23740">
              <w:rPr>
                <w:b w:val="0"/>
                <w:color w:val="auto"/>
                <w:lang w:val="tr-TR"/>
              </w:rPr>
              <w:t xml:space="preserve"> belirlenmesi gerekir. </w:t>
            </w:r>
            <w:r w:rsidR="007B335A" w:rsidRPr="00A23740">
              <w:rPr>
                <w:b w:val="0"/>
                <w:color w:val="auto"/>
                <w:lang w:val="tr-TR"/>
              </w:rPr>
              <w:t xml:space="preserve">Mahkemenin teminatın belirlenmesine dair kararı kesindir. </w:t>
            </w:r>
            <w:r w:rsidR="00B430CF" w:rsidRPr="00A23740">
              <w:rPr>
                <w:b w:val="0"/>
                <w:color w:val="auto"/>
                <w:lang w:val="tr-TR"/>
              </w:rPr>
              <w:t>Bu fıkrada zikredilen teminat, sadece tahliyenin ertelenmesi</w:t>
            </w:r>
            <w:r w:rsidR="00760542" w:rsidRPr="00A23740">
              <w:rPr>
                <w:b w:val="0"/>
                <w:color w:val="auto"/>
                <w:lang w:val="tr-TR"/>
              </w:rPr>
              <w:t xml:space="preserve"> </w:t>
            </w:r>
            <w:r w:rsidR="00760542" w:rsidRPr="008D10FA">
              <w:rPr>
                <w:rStyle w:val="YELChar"/>
                <w:color w:val="auto"/>
              </w:rPr>
              <w:t>amacıyla</w:t>
            </w:r>
            <w:r w:rsidR="00B430CF" w:rsidRPr="00A23740">
              <w:rPr>
                <w:b w:val="0"/>
                <w:color w:val="auto"/>
                <w:lang w:val="tr-TR"/>
              </w:rPr>
              <w:t xml:space="preserve"> aranan teminattır. Kira alacakları</w:t>
            </w:r>
            <w:r w:rsidR="007B335A" w:rsidRPr="00A23740">
              <w:rPr>
                <w:b w:val="0"/>
                <w:color w:val="auto"/>
                <w:lang w:val="tr-TR"/>
              </w:rPr>
              <w:t>nın aynı ilama bağlanması h</w:t>
            </w:r>
            <w:r w:rsidR="002F2BAA" w:rsidRPr="00A23740">
              <w:rPr>
                <w:b w:val="0"/>
                <w:color w:val="auto"/>
                <w:lang w:val="tr-TR"/>
              </w:rPr>
              <w:t>â</w:t>
            </w:r>
            <w:r w:rsidR="007B335A" w:rsidRPr="00A23740">
              <w:rPr>
                <w:b w:val="0"/>
                <w:color w:val="auto"/>
                <w:lang w:val="tr-TR"/>
              </w:rPr>
              <w:t>linde teminat tutarı,</w:t>
            </w:r>
            <w:r w:rsidR="00B430CF" w:rsidRPr="00A23740">
              <w:rPr>
                <w:b w:val="0"/>
                <w:color w:val="auto"/>
                <w:lang w:val="tr-TR"/>
              </w:rPr>
              <w:t xml:space="preserve"> genel hüküm</w:t>
            </w:r>
            <w:r w:rsidR="007B335A" w:rsidRPr="00A23740">
              <w:rPr>
                <w:b w:val="0"/>
                <w:color w:val="auto"/>
                <w:lang w:val="tr-TR"/>
              </w:rPr>
              <w:t>ler uyarınca belirlenir.</w:t>
            </w:r>
            <w:r w:rsidR="00B430CF" w:rsidRPr="00A23740">
              <w:rPr>
                <w:b w:val="0"/>
                <w:color w:val="auto"/>
                <w:lang w:val="tr-TR"/>
              </w:rPr>
              <w:t xml:space="preserve"> Ayrıca mülkiyete dayalı el atmanın önlenmesi hukuki sebebi</w:t>
            </w:r>
            <w:r w:rsidR="007B335A" w:rsidRPr="00A23740">
              <w:rPr>
                <w:b w:val="0"/>
                <w:color w:val="auto"/>
                <w:lang w:val="tr-TR"/>
              </w:rPr>
              <w:t>yle</w:t>
            </w:r>
            <w:r w:rsidR="00B430CF" w:rsidRPr="00A23740">
              <w:rPr>
                <w:b w:val="0"/>
                <w:color w:val="auto"/>
                <w:lang w:val="tr-TR"/>
              </w:rPr>
              <w:t xml:space="preserve"> açılan davalarda</w:t>
            </w:r>
            <w:r w:rsidR="007B335A" w:rsidRPr="00A23740">
              <w:rPr>
                <w:b w:val="0"/>
                <w:color w:val="auto"/>
                <w:lang w:val="tr-TR"/>
              </w:rPr>
              <w:t>,</w:t>
            </w:r>
            <w:r w:rsidR="00B430CF" w:rsidRPr="00A23740">
              <w:rPr>
                <w:b w:val="0"/>
                <w:color w:val="auto"/>
                <w:lang w:val="tr-TR"/>
              </w:rPr>
              <w:t xml:space="preserve"> bu fıkranın u</w:t>
            </w:r>
            <w:r w:rsidR="007B335A" w:rsidRPr="00A23740">
              <w:rPr>
                <w:b w:val="0"/>
                <w:color w:val="auto"/>
                <w:lang w:val="tr-TR"/>
              </w:rPr>
              <w:t>ygulanmayacağı hususunda bir tereddüt bulunmamaktadır.</w:t>
            </w:r>
          </w:p>
          <w:p w:rsidR="00890698" w:rsidRPr="00A23740" w:rsidRDefault="00890698" w:rsidP="009431FF">
            <w:pPr>
              <w:pStyle w:val="Mavi"/>
              <w:ind w:firstLine="709"/>
              <w:rPr>
                <w:b w:val="0"/>
                <w:color w:val="auto"/>
                <w:lang w:val="tr-TR"/>
              </w:rPr>
            </w:pPr>
            <w:r w:rsidRPr="00A23740">
              <w:rPr>
                <w:b w:val="0"/>
                <w:color w:val="auto"/>
                <w:lang w:val="tr-TR"/>
              </w:rPr>
              <w:t>Beşinci fıkrayla,</w:t>
            </w:r>
            <w:r w:rsidR="00200D29" w:rsidRPr="00A23740">
              <w:rPr>
                <w:b w:val="0"/>
                <w:color w:val="auto"/>
                <w:lang w:val="tr-TR"/>
              </w:rPr>
              <w:t xml:space="preserve"> teminat gösterme zorunluluğunun bulunmadığı h</w:t>
            </w:r>
            <w:r w:rsidR="00C219C2" w:rsidRPr="00A23740">
              <w:rPr>
                <w:b w:val="0"/>
                <w:color w:val="auto"/>
                <w:lang w:val="tr-TR"/>
              </w:rPr>
              <w:t>â</w:t>
            </w:r>
            <w:r w:rsidR="00200D29" w:rsidRPr="00A23740">
              <w:rPr>
                <w:b w:val="0"/>
                <w:color w:val="auto"/>
                <w:lang w:val="tr-TR"/>
              </w:rPr>
              <w:t>l düzenlenmektedir. Hükme göre, adli yardımdan yararl</w:t>
            </w:r>
            <w:r w:rsidR="00B43B56" w:rsidRPr="00A23740">
              <w:rPr>
                <w:b w:val="0"/>
                <w:color w:val="auto"/>
                <w:lang w:val="tr-TR"/>
              </w:rPr>
              <w:t>anan borçlunun icranın ertelenmesi için</w:t>
            </w:r>
            <w:r w:rsidR="00200D29" w:rsidRPr="00A23740">
              <w:rPr>
                <w:b w:val="0"/>
                <w:color w:val="auto"/>
                <w:lang w:val="tr-TR"/>
              </w:rPr>
              <w:t xml:space="preserve"> teminat</w:t>
            </w:r>
            <w:r w:rsidR="00B43B56" w:rsidRPr="00A23740">
              <w:rPr>
                <w:b w:val="0"/>
                <w:color w:val="auto"/>
                <w:lang w:val="tr-TR"/>
              </w:rPr>
              <w:t xml:space="preserve"> gösterme zorunluluğu yoktur</w:t>
            </w:r>
            <w:r w:rsidR="00200D29" w:rsidRPr="00A23740">
              <w:rPr>
                <w:b w:val="0"/>
                <w:color w:val="auto"/>
                <w:lang w:val="tr-TR"/>
              </w:rPr>
              <w:t>. B</w:t>
            </w:r>
            <w:r w:rsidR="00B43B56" w:rsidRPr="00A23740">
              <w:rPr>
                <w:b w:val="0"/>
                <w:color w:val="auto"/>
                <w:lang w:val="tr-TR"/>
              </w:rPr>
              <w:t>u kapsamda önemli bir değişiklik olarak,</w:t>
            </w:r>
            <w:r w:rsidR="00200D29" w:rsidRPr="00A23740">
              <w:rPr>
                <w:b w:val="0"/>
                <w:color w:val="auto"/>
                <w:lang w:val="tr-TR"/>
              </w:rPr>
              <w:t xml:space="preserve"> 2004 sayılı K</w:t>
            </w:r>
            <w:r w:rsidR="00B43B56" w:rsidRPr="00A23740">
              <w:rPr>
                <w:b w:val="0"/>
                <w:color w:val="auto"/>
                <w:lang w:val="tr-TR"/>
              </w:rPr>
              <w:t xml:space="preserve">anunun 36 ncı maddesinin ikinci fıkrasında yer </w:t>
            </w:r>
            <w:r w:rsidR="00AB4F53" w:rsidRPr="00A23740">
              <w:rPr>
                <w:b w:val="0"/>
                <w:color w:val="auto"/>
                <w:lang w:val="tr-TR"/>
              </w:rPr>
              <w:t xml:space="preserve">alıp </w:t>
            </w:r>
            <w:r w:rsidR="00B43B56" w:rsidRPr="00A23740">
              <w:rPr>
                <w:b w:val="0"/>
                <w:color w:val="auto"/>
                <w:lang w:val="tr-TR"/>
              </w:rPr>
              <w:t xml:space="preserve">Devletin teminat göstermekten muaf olduğuna dair </w:t>
            </w:r>
            <w:r w:rsidR="00AB4F53" w:rsidRPr="00A23740">
              <w:rPr>
                <w:b w:val="0"/>
                <w:color w:val="auto"/>
                <w:lang w:val="tr-TR"/>
              </w:rPr>
              <w:t xml:space="preserve">olan </w:t>
            </w:r>
            <w:r w:rsidR="00B43B56" w:rsidRPr="00A23740">
              <w:rPr>
                <w:b w:val="0"/>
                <w:color w:val="auto"/>
                <w:lang w:val="tr-TR"/>
              </w:rPr>
              <w:t xml:space="preserve">hüküm </w:t>
            </w:r>
            <w:r w:rsidR="00200D29" w:rsidRPr="00A23740">
              <w:rPr>
                <w:b w:val="0"/>
                <w:color w:val="auto"/>
                <w:lang w:val="tr-TR"/>
              </w:rPr>
              <w:t>kaldırılmaktadır. Zira D</w:t>
            </w:r>
            <w:r w:rsidR="00B430CF" w:rsidRPr="00A23740">
              <w:rPr>
                <w:b w:val="0"/>
                <w:color w:val="auto"/>
                <w:lang w:val="tr-TR"/>
              </w:rPr>
              <w:t>evlet mallarının haczedilemezliği ilkesi korunduğu için</w:t>
            </w:r>
            <w:r w:rsidR="00AB4F53" w:rsidRPr="00A23740">
              <w:rPr>
                <w:b w:val="0"/>
                <w:color w:val="auto"/>
                <w:lang w:val="tr-TR"/>
              </w:rPr>
              <w:t>,</w:t>
            </w:r>
            <w:r w:rsidR="00B430CF" w:rsidRPr="00A23740">
              <w:rPr>
                <w:b w:val="0"/>
                <w:color w:val="auto"/>
                <w:lang w:val="tr-TR"/>
              </w:rPr>
              <w:t xml:space="preserve"> alacaklının icranın ertelenmesi</w:t>
            </w:r>
            <w:r w:rsidR="00AB4F53" w:rsidRPr="00A23740">
              <w:rPr>
                <w:b w:val="0"/>
                <w:color w:val="auto"/>
                <w:lang w:val="tr-TR"/>
              </w:rPr>
              <w:t>yle</w:t>
            </w:r>
            <w:r w:rsidR="00B430CF" w:rsidRPr="00A23740">
              <w:rPr>
                <w:b w:val="0"/>
                <w:color w:val="auto"/>
                <w:lang w:val="tr-TR"/>
              </w:rPr>
              <w:t xml:space="preserve"> uğrayabileceği zararın riskinin yine alacaklıya yüklenmesi, menfaat dengesini zedeler niteliktedir.</w:t>
            </w:r>
            <w:r w:rsidR="00B43B56" w:rsidRPr="00A23740">
              <w:rPr>
                <w:b w:val="0"/>
                <w:color w:val="auto"/>
                <w:lang w:val="tr-TR"/>
              </w:rPr>
              <w:t xml:space="preserve"> Yapılan düzenlemeyle menfaat dengesinin temini için </w:t>
            </w:r>
            <w:r w:rsidR="00B430CF" w:rsidRPr="00A23740">
              <w:rPr>
                <w:b w:val="0"/>
                <w:color w:val="auto"/>
                <w:lang w:val="tr-TR"/>
              </w:rPr>
              <w:t>Devlet de</w:t>
            </w:r>
            <w:r w:rsidR="00AB4F53" w:rsidRPr="00A23740">
              <w:rPr>
                <w:b w:val="0"/>
                <w:color w:val="auto"/>
                <w:lang w:val="tr-TR"/>
              </w:rPr>
              <w:t>,</w:t>
            </w:r>
            <w:r w:rsidR="00B430CF" w:rsidRPr="00A23740">
              <w:rPr>
                <w:b w:val="0"/>
                <w:color w:val="auto"/>
                <w:lang w:val="tr-TR"/>
              </w:rPr>
              <w:t xml:space="preserve"> diğer borçlular gibi</w:t>
            </w:r>
            <w:r w:rsidR="00AB4F53" w:rsidRPr="00A23740">
              <w:rPr>
                <w:b w:val="0"/>
                <w:color w:val="auto"/>
                <w:lang w:val="tr-TR"/>
              </w:rPr>
              <w:t>,</w:t>
            </w:r>
            <w:r w:rsidR="00B430CF" w:rsidRPr="00A23740">
              <w:rPr>
                <w:b w:val="0"/>
                <w:color w:val="auto"/>
                <w:lang w:val="tr-TR"/>
              </w:rPr>
              <w:t xml:space="preserve"> ancak bu maddede öngörülen teminatları göstererek icranın</w:t>
            </w:r>
            <w:r w:rsidR="00B43B56" w:rsidRPr="00A23740">
              <w:rPr>
                <w:b w:val="0"/>
                <w:color w:val="auto"/>
                <w:lang w:val="tr-TR"/>
              </w:rPr>
              <w:t xml:space="preserve"> ertelenmesini sağlayabilir</w:t>
            </w:r>
            <w:r w:rsidR="00B731F0" w:rsidRPr="00A23740">
              <w:rPr>
                <w:b w:val="0"/>
                <w:color w:val="auto"/>
                <w:lang w:val="tr-TR"/>
              </w:rPr>
              <w:t>.</w:t>
            </w:r>
          </w:p>
          <w:p w:rsidR="00025C93" w:rsidRPr="00A23740" w:rsidRDefault="00B43B56" w:rsidP="009431FF">
            <w:pPr>
              <w:pStyle w:val="Mavi"/>
              <w:ind w:firstLine="709"/>
              <w:rPr>
                <w:b w:val="0"/>
                <w:color w:val="auto"/>
                <w:lang w:val="tr-TR"/>
              </w:rPr>
            </w:pPr>
            <w:r w:rsidRPr="00A23740">
              <w:rPr>
                <w:b w:val="0"/>
                <w:color w:val="auto"/>
                <w:lang w:val="tr-TR"/>
              </w:rPr>
              <w:t xml:space="preserve">Altıncı fıkrayla, </w:t>
            </w:r>
            <w:r w:rsidR="00B430CF" w:rsidRPr="00A23740">
              <w:rPr>
                <w:b w:val="0"/>
                <w:color w:val="auto"/>
                <w:lang w:val="tr-TR"/>
              </w:rPr>
              <w:t>kanun yolu incelemesinde hükmün bozulması veya kaldırılması hâlinde borçlunun başvurusu üzerine, bozmanın veya kaldırmanın mahiyetine göre teminatın geri verilip verilmeyeceğine veya teminat olarak kabul edilen hacizlerin kaldırılıp kaldırılmayacağına bozma veya kaldırma kararı üzerine davaya bakacak olan mahkemece karar verileceği ve bu kararın kesin olacağı hususu daha açık</w:t>
            </w:r>
            <w:r w:rsidR="00025C93" w:rsidRPr="00A23740">
              <w:rPr>
                <w:b w:val="0"/>
                <w:color w:val="auto"/>
                <w:lang w:val="tr-TR"/>
              </w:rPr>
              <w:t xml:space="preserve"> bir şekilde düzenlenmektedir</w:t>
            </w:r>
            <w:r w:rsidR="00B430CF" w:rsidRPr="00A23740">
              <w:rPr>
                <w:b w:val="0"/>
                <w:color w:val="auto"/>
                <w:lang w:val="tr-TR"/>
              </w:rPr>
              <w:t xml:space="preserve">. Bu bağlamda hacizlerin kaldırılıp kaldırılmayacağına, hükmü </w:t>
            </w:r>
            <w:r w:rsidR="00890698" w:rsidRPr="00A23740">
              <w:rPr>
                <w:b w:val="0"/>
                <w:color w:val="auto"/>
                <w:lang w:val="tr-TR"/>
              </w:rPr>
              <w:t xml:space="preserve">veren </w:t>
            </w:r>
            <w:r w:rsidR="00025C93" w:rsidRPr="00A23740">
              <w:rPr>
                <w:b w:val="0"/>
                <w:color w:val="auto"/>
                <w:lang w:val="tr-TR"/>
              </w:rPr>
              <w:t>mahkeme karar verir.</w:t>
            </w:r>
          </w:p>
          <w:p w:rsidR="00287296" w:rsidRPr="00A23740" w:rsidRDefault="00025C93" w:rsidP="009431FF">
            <w:pPr>
              <w:pStyle w:val="Mavi"/>
              <w:ind w:firstLine="709"/>
              <w:rPr>
                <w:b w:val="0"/>
                <w:color w:val="auto"/>
                <w:lang w:val="tr-TR"/>
              </w:rPr>
            </w:pPr>
            <w:r w:rsidRPr="00A23740">
              <w:rPr>
                <w:b w:val="0"/>
                <w:color w:val="auto"/>
                <w:lang w:val="tr-TR"/>
              </w:rPr>
              <w:t>Yedinci fıkrayla, teminatın alacaklıya verilmesi usulü düzenlenmektedir.</w:t>
            </w:r>
            <w:r w:rsidR="003C6982" w:rsidRPr="00A23740">
              <w:rPr>
                <w:b w:val="0"/>
                <w:color w:val="auto"/>
                <w:lang w:val="tr-TR"/>
              </w:rPr>
              <w:t xml:space="preserve"> Hüküm, 2004 sayılı Kanunun 36 ncı maddesinin altıncı fıkrasıyla büyük ölçüde aynıdır. Bununla birlikte hükümde, ihtimaller daha açık bir şekilde düzenlenmektedir.</w:t>
            </w:r>
            <w:r w:rsidRPr="00A23740">
              <w:rPr>
                <w:b w:val="0"/>
                <w:color w:val="auto"/>
                <w:lang w:val="tr-TR"/>
              </w:rPr>
              <w:t xml:space="preserve"> </w:t>
            </w:r>
            <w:r w:rsidR="003C6982" w:rsidRPr="00A23740">
              <w:rPr>
                <w:b w:val="0"/>
                <w:color w:val="auto"/>
                <w:lang w:val="tr-TR"/>
              </w:rPr>
              <w:t>Teminatın üçüncü fıkra uyarınca yatırıldığı durumlarda</w:t>
            </w:r>
            <w:r w:rsidR="00C26251" w:rsidRPr="00A23740">
              <w:rPr>
                <w:b w:val="0"/>
                <w:color w:val="auto"/>
                <w:lang w:val="tr-TR"/>
              </w:rPr>
              <w:t>,</w:t>
            </w:r>
            <w:r w:rsidR="003C6982" w:rsidRPr="00A23740">
              <w:rPr>
                <w:b w:val="0"/>
                <w:color w:val="auto"/>
                <w:lang w:val="tr-TR"/>
              </w:rPr>
              <w:t xml:space="preserve"> </w:t>
            </w:r>
            <w:r w:rsidRPr="00A23740">
              <w:rPr>
                <w:b w:val="0"/>
                <w:color w:val="auto"/>
                <w:lang w:val="tr-TR"/>
              </w:rPr>
              <w:t>hükmün kesinleşmesi h</w:t>
            </w:r>
            <w:r w:rsidR="002F2BAA" w:rsidRPr="00A23740">
              <w:rPr>
                <w:b w:val="0"/>
                <w:color w:val="auto"/>
                <w:lang w:val="tr-TR"/>
              </w:rPr>
              <w:t>â</w:t>
            </w:r>
            <w:r w:rsidRPr="00A23740">
              <w:rPr>
                <w:b w:val="0"/>
                <w:color w:val="auto"/>
                <w:lang w:val="tr-TR"/>
              </w:rPr>
              <w:t>linde alacaklının istemi üzerine</w:t>
            </w:r>
            <w:r w:rsidR="00C26251" w:rsidRPr="00A23740">
              <w:rPr>
                <w:b w:val="0"/>
                <w:color w:val="auto"/>
                <w:lang w:val="tr-TR"/>
              </w:rPr>
              <w:t>,</w:t>
            </w:r>
            <w:r w:rsidRPr="00A23740">
              <w:rPr>
                <w:b w:val="0"/>
                <w:color w:val="auto"/>
                <w:lang w:val="tr-TR"/>
              </w:rPr>
              <w:t xml:space="preserve"> </w:t>
            </w:r>
            <w:r w:rsidR="003C6982" w:rsidRPr="00A23740">
              <w:rPr>
                <w:b w:val="0"/>
                <w:color w:val="auto"/>
                <w:lang w:val="tr-TR"/>
              </w:rPr>
              <w:t>icra</w:t>
            </w:r>
            <w:r w:rsidR="001647D1" w:rsidRPr="00A23740">
              <w:rPr>
                <w:color w:val="538135"/>
                <w:lang w:val="tr-TR"/>
              </w:rPr>
              <w:t xml:space="preserve"> </w:t>
            </w:r>
            <w:r w:rsidR="001647D1" w:rsidRPr="008D10FA">
              <w:rPr>
                <w:b w:val="0"/>
                <w:color w:val="auto"/>
                <w:lang w:val="tr-TR"/>
              </w:rPr>
              <w:t>ve iflas</w:t>
            </w:r>
            <w:r w:rsidR="003C6982" w:rsidRPr="00A23740">
              <w:rPr>
                <w:b w:val="0"/>
                <w:color w:val="auto"/>
                <w:lang w:val="tr-TR"/>
              </w:rPr>
              <w:t xml:space="preserve"> dairesi</w:t>
            </w:r>
            <w:r w:rsidR="00C26251" w:rsidRPr="00A23740">
              <w:rPr>
                <w:b w:val="0"/>
                <w:color w:val="auto"/>
                <w:lang w:val="tr-TR"/>
              </w:rPr>
              <w:t>nce,</w:t>
            </w:r>
            <w:r w:rsidR="003C6982" w:rsidRPr="00A23740">
              <w:rPr>
                <w:b w:val="0"/>
                <w:color w:val="auto"/>
                <w:lang w:val="tr-TR"/>
              </w:rPr>
              <w:t xml:space="preserve"> </w:t>
            </w:r>
            <w:r w:rsidR="00C26251" w:rsidRPr="00A23740">
              <w:rPr>
                <w:b w:val="0"/>
                <w:color w:val="auto"/>
                <w:lang w:val="tr-TR"/>
              </w:rPr>
              <w:t>alacak tutarı hesaplanır</w:t>
            </w:r>
            <w:r w:rsidR="003C6982" w:rsidRPr="00A23740">
              <w:rPr>
                <w:b w:val="0"/>
                <w:color w:val="auto"/>
                <w:lang w:val="tr-TR"/>
              </w:rPr>
              <w:t xml:space="preserve"> ve </w:t>
            </w:r>
            <w:r w:rsidRPr="00A23740">
              <w:rPr>
                <w:b w:val="0"/>
                <w:color w:val="auto"/>
                <w:lang w:val="tr-TR"/>
              </w:rPr>
              <w:t>başkaca işleme gerek kalmaksızın teminata konu olan para</w:t>
            </w:r>
            <w:r w:rsidR="00C26251" w:rsidRPr="00A23740">
              <w:rPr>
                <w:b w:val="0"/>
                <w:color w:val="auto"/>
                <w:lang w:val="tr-TR"/>
              </w:rPr>
              <w:t xml:space="preserve"> alacaklıya ödenir</w:t>
            </w:r>
            <w:r w:rsidRPr="00A23740">
              <w:rPr>
                <w:b w:val="0"/>
                <w:color w:val="auto"/>
                <w:lang w:val="tr-TR"/>
              </w:rPr>
              <w:t>. Haczolunan mal ve haklar ise, malın türüne göre icra</w:t>
            </w:r>
            <w:r w:rsidR="00760542" w:rsidRPr="00A23740">
              <w:rPr>
                <w:b w:val="0"/>
                <w:color w:val="auto"/>
                <w:lang w:val="tr-TR"/>
              </w:rPr>
              <w:t xml:space="preserve"> </w:t>
            </w:r>
            <w:r w:rsidR="00760542" w:rsidRPr="008D10FA">
              <w:rPr>
                <w:rStyle w:val="YELChar"/>
                <w:color w:val="auto"/>
              </w:rPr>
              <w:t>ve iflas</w:t>
            </w:r>
            <w:r w:rsidRPr="00A23740">
              <w:rPr>
                <w:b w:val="0"/>
                <w:color w:val="auto"/>
                <w:lang w:val="tr-TR"/>
              </w:rPr>
              <w:t xml:space="preserve"> dairesince paraya çevrilmek suretiyle alacaklıya </w:t>
            </w:r>
            <w:r w:rsidR="003C6982" w:rsidRPr="00A23740">
              <w:rPr>
                <w:b w:val="0"/>
                <w:color w:val="auto"/>
                <w:lang w:val="tr-TR"/>
              </w:rPr>
              <w:t>ödenir</w:t>
            </w:r>
            <w:r w:rsidRPr="00A23740">
              <w:rPr>
                <w:b w:val="0"/>
                <w:color w:val="auto"/>
                <w:lang w:val="tr-TR"/>
              </w:rPr>
              <w:t xml:space="preserve">. </w:t>
            </w:r>
            <w:r w:rsidR="003C6982" w:rsidRPr="00A23740">
              <w:rPr>
                <w:b w:val="0"/>
                <w:color w:val="auto"/>
                <w:lang w:val="tr-TR"/>
              </w:rPr>
              <w:t>İlâm</w:t>
            </w:r>
            <w:r w:rsidR="00AB4F53" w:rsidRPr="00A23740">
              <w:rPr>
                <w:b w:val="0"/>
                <w:color w:val="auto"/>
                <w:lang w:val="tr-TR"/>
              </w:rPr>
              <w:t>ın</w:t>
            </w:r>
            <w:r w:rsidR="003C6982" w:rsidRPr="00A23740">
              <w:rPr>
                <w:b w:val="0"/>
                <w:color w:val="auto"/>
                <w:lang w:val="tr-TR"/>
              </w:rPr>
              <w:t xml:space="preserve"> konusu taşınır ise</w:t>
            </w:r>
            <w:r w:rsidR="00AB4F53" w:rsidRPr="00A23740">
              <w:rPr>
                <w:b w:val="0"/>
                <w:color w:val="auto"/>
                <w:lang w:val="tr-TR"/>
              </w:rPr>
              <w:t>,</w:t>
            </w:r>
            <w:r w:rsidR="003C6982" w:rsidRPr="00A23740">
              <w:rPr>
                <w:b w:val="0"/>
                <w:color w:val="auto"/>
                <w:lang w:val="tr-TR"/>
              </w:rPr>
              <w:t xml:space="preserve"> </w:t>
            </w:r>
            <w:r w:rsidR="00AB4F53" w:rsidRPr="00A23740">
              <w:rPr>
                <w:b w:val="0"/>
                <w:color w:val="auto"/>
                <w:lang w:val="tr-TR"/>
              </w:rPr>
              <w:t xml:space="preserve">mal </w:t>
            </w:r>
            <w:r w:rsidR="003C6982" w:rsidRPr="00A23740">
              <w:rPr>
                <w:b w:val="0"/>
                <w:color w:val="auto"/>
                <w:lang w:val="tr-TR"/>
              </w:rPr>
              <w:t xml:space="preserve">alacaklıya teslim edilir. </w:t>
            </w:r>
            <w:r w:rsidRPr="00A23740">
              <w:rPr>
                <w:b w:val="0"/>
                <w:color w:val="auto"/>
                <w:lang w:val="tr-TR"/>
              </w:rPr>
              <w:t>Belirtmek gerekir ki, il</w:t>
            </w:r>
            <w:r w:rsidR="00D72007" w:rsidRPr="00A23740">
              <w:rPr>
                <w:b w:val="0"/>
                <w:color w:val="auto"/>
                <w:lang w:val="tr-TR"/>
              </w:rPr>
              <w:t>a</w:t>
            </w:r>
            <w:r w:rsidRPr="00A23740">
              <w:rPr>
                <w:b w:val="0"/>
                <w:color w:val="auto"/>
                <w:lang w:val="tr-TR"/>
              </w:rPr>
              <w:t>m alacaklısının teminat üzerinde rüçhan hakkı vardır. R</w:t>
            </w:r>
            <w:r w:rsidR="00B430CF" w:rsidRPr="00A23740">
              <w:rPr>
                <w:b w:val="0"/>
                <w:color w:val="auto"/>
                <w:lang w:val="tr-TR"/>
              </w:rPr>
              <w:t>üçhan hakkı</w:t>
            </w:r>
            <w:r w:rsidRPr="00A23740">
              <w:rPr>
                <w:b w:val="0"/>
                <w:color w:val="auto"/>
                <w:lang w:val="tr-TR"/>
              </w:rPr>
              <w:t>,</w:t>
            </w:r>
            <w:r w:rsidR="00B430CF" w:rsidRPr="00A23740">
              <w:rPr>
                <w:b w:val="0"/>
                <w:color w:val="auto"/>
                <w:lang w:val="tr-TR"/>
              </w:rPr>
              <w:t xml:space="preserve"> iflas tasfiyesi bakımından da geçerli</w:t>
            </w:r>
            <w:r w:rsidRPr="00A23740">
              <w:rPr>
                <w:b w:val="0"/>
                <w:color w:val="auto"/>
                <w:lang w:val="tr-TR"/>
              </w:rPr>
              <w:t xml:space="preserve"> olup,</w:t>
            </w:r>
            <w:r w:rsidR="00B430CF" w:rsidRPr="00A23740">
              <w:rPr>
                <w:b w:val="0"/>
                <w:color w:val="auto"/>
                <w:lang w:val="tr-TR"/>
              </w:rPr>
              <w:t xml:space="preserve"> teminat gösterilmesinden önce konulmuş olan haciz ve ipotekler ise </w:t>
            </w:r>
            <w:r w:rsidR="003C6982" w:rsidRPr="00A23740">
              <w:rPr>
                <w:b w:val="0"/>
                <w:color w:val="auto"/>
                <w:lang w:val="tr-TR"/>
              </w:rPr>
              <w:t>rüçhan hakkından etkilenmez.</w:t>
            </w:r>
          </w:p>
          <w:p w:rsidR="00287296" w:rsidRPr="00A23740" w:rsidRDefault="00025C93" w:rsidP="009431FF">
            <w:pPr>
              <w:pStyle w:val="Mavi"/>
              <w:ind w:firstLine="709"/>
              <w:rPr>
                <w:b w:val="0"/>
                <w:color w:val="auto"/>
                <w:lang w:val="tr-TR"/>
              </w:rPr>
            </w:pPr>
            <w:r w:rsidRPr="00A23740">
              <w:rPr>
                <w:b w:val="0"/>
                <w:color w:val="auto"/>
                <w:lang w:val="tr-TR"/>
              </w:rPr>
              <w:t xml:space="preserve">Sekizinci fıkrayla, </w:t>
            </w:r>
            <w:r w:rsidR="00287296" w:rsidRPr="00A23740">
              <w:rPr>
                <w:b w:val="0"/>
                <w:color w:val="auto"/>
                <w:lang w:val="tr-TR"/>
              </w:rPr>
              <w:t xml:space="preserve">kanun yolu beklenmesizin icra edilebilecek olan </w:t>
            </w:r>
            <w:r w:rsidR="003B1129" w:rsidRPr="00A23740">
              <w:rPr>
                <w:b w:val="0"/>
                <w:color w:val="auto"/>
                <w:lang w:val="tr-TR"/>
              </w:rPr>
              <w:t xml:space="preserve">ilk derece </w:t>
            </w:r>
            <w:r w:rsidR="00287296" w:rsidRPr="00A23740">
              <w:rPr>
                <w:b w:val="0"/>
                <w:color w:val="auto"/>
                <w:lang w:val="tr-TR"/>
              </w:rPr>
              <w:t>mahkemesi ilamlarında</w:t>
            </w:r>
            <w:r w:rsidR="00097A82" w:rsidRPr="00A23740">
              <w:rPr>
                <w:b w:val="0"/>
                <w:color w:val="auto"/>
                <w:lang w:val="tr-TR"/>
              </w:rPr>
              <w:t xml:space="preserve"> icranın</w:t>
            </w:r>
            <w:r w:rsidR="003B1129" w:rsidRPr="00A23740">
              <w:rPr>
                <w:b w:val="0"/>
                <w:color w:val="auto"/>
                <w:lang w:val="tr-TR"/>
              </w:rPr>
              <w:t xml:space="preserve"> ertelenmesi</w:t>
            </w:r>
            <w:r w:rsidR="00097A82" w:rsidRPr="00A23740">
              <w:rPr>
                <w:b w:val="0"/>
                <w:color w:val="auto"/>
                <w:lang w:val="tr-TR"/>
              </w:rPr>
              <w:t xml:space="preserve"> usulü</w:t>
            </w:r>
            <w:r w:rsidR="003B1129" w:rsidRPr="00A23740">
              <w:rPr>
                <w:b w:val="0"/>
                <w:color w:val="auto"/>
                <w:lang w:val="tr-TR"/>
              </w:rPr>
              <w:t xml:space="preserve"> </w:t>
            </w:r>
            <w:r w:rsidR="00097A82" w:rsidRPr="00A23740">
              <w:rPr>
                <w:b w:val="0"/>
                <w:color w:val="auto"/>
                <w:lang w:val="tr-TR"/>
              </w:rPr>
              <w:t xml:space="preserve">düzenlenmektedir. </w:t>
            </w:r>
            <w:r w:rsidR="00163E5A" w:rsidRPr="00A23740">
              <w:rPr>
                <w:b w:val="0"/>
                <w:color w:val="auto"/>
                <w:lang w:val="tr-TR"/>
              </w:rPr>
              <w:t>Taslağın</w:t>
            </w:r>
            <w:r w:rsidR="00097A82" w:rsidRPr="00A23740">
              <w:rPr>
                <w:b w:val="0"/>
                <w:color w:val="auto"/>
                <w:lang w:val="tr-TR"/>
              </w:rPr>
              <w:t xml:space="preserve"> 53 üncü </w:t>
            </w:r>
            <w:r w:rsidR="00B430CF" w:rsidRPr="00A23740">
              <w:rPr>
                <w:b w:val="0"/>
                <w:color w:val="auto"/>
                <w:lang w:val="tr-TR"/>
              </w:rPr>
              <w:t>madde</w:t>
            </w:r>
            <w:r w:rsidR="00097A82" w:rsidRPr="00A23740">
              <w:rPr>
                <w:b w:val="0"/>
                <w:color w:val="auto"/>
                <w:lang w:val="tr-TR"/>
              </w:rPr>
              <w:t>si</w:t>
            </w:r>
            <w:r w:rsidR="00B430CF" w:rsidRPr="00A23740">
              <w:rPr>
                <w:b w:val="0"/>
                <w:color w:val="auto"/>
                <w:lang w:val="tr-TR"/>
              </w:rPr>
              <w:t>nin ikinci fıkrasına göre derh</w:t>
            </w:r>
            <w:r w:rsidR="00DF22A1" w:rsidRPr="00A23740">
              <w:rPr>
                <w:b w:val="0"/>
                <w:color w:val="auto"/>
                <w:lang w:val="tr-TR"/>
              </w:rPr>
              <w:t>â</w:t>
            </w:r>
            <w:r w:rsidR="00B430CF" w:rsidRPr="00A23740">
              <w:rPr>
                <w:b w:val="0"/>
                <w:color w:val="auto"/>
                <w:lang w:val="tr-TR"/>
              </w:rPr>
              <w:t>l icra edilebilecek olan her</w:t>
            </w:r>
            <w:r w:rsidR="00097A82" w:rsidRPr="00A23740">
              <w:rPr>
                <w:b w:val="0"/>
                <w:color w:val="auto"/>
                <w:lang w:val="tr-TR"/>
              </w:rPr>
              <w:t xml:space="preserve"> türlü bedensel zarar ve destekten yoksun kalma alacakları, işçinin iş ilişkisinden doğan alacakları ile bayrağına ve sicile kayıtlı olup olmadığına bakılmaksızın bir geminin tahliye ve teslimi</w:t>
            </w:r>
            <w:r w:rsidR="00B430CF" w:rsidRPr="00A23740">
              <w:rPr>
                <w:b w:val="0"/>
                <w:color w:val="auto"/>
                <w:lang w:val="tr-TR"/>
              </w:rPr>
              <w:t xml:space="preserve"> hakkındaki ilk derece mahkemesi ilamlarının icrası da yine bu madde hük</w:t>
            </w:r>
            <w:r w:rsidR="00097A82" w:rsidRPr="00A23740">
              <w:rPr>
                <w:b w:val="0"/>
                <w:color w:val="auto"/>
                <w:lang w:val="tr-TR"/>
              </w:rPr>
              <w:t>ümlerine göre ertelenebilir</w:t>
            </w:r>
            <w:r w:rsidR="00B430CF" w:rsidRPr="00A23740">
              <w:rPr>
                <w:b w:val="0"/>
                <w:color w:val="auto"/>
                <w:lang w:val="tr-TR"/>
              </w:rPr>
              <w:t>.</w:t>
            </w:r>
            <w:r w:rsidR="002439B5" w:rsidRPr="00A23740">
              <w:rPr>
                <w:b w:val="0"/>
                <w:color w:val="auto"/>
                <w:lang w:val="tr-TR"/>
              </w:rPr>
              <w:t xml:space="preserve"> Nafaka alacakları bakımından ise 2004 sayılı Kanunun 36 ncı maddesinin dördüncü fıkrasındaki hükme uygun olarak icranın ertelenememesi ilkesi korunmaktadır. Öte yandan</w:t>
            </w:r>
            <w:r w:rsidR="00097A82" w:rsidRPr="00A23740">
              <w:rPr>
                <w:b w:val="0"/>
                <w:color w:val="auto"/>
                <w:lang w:val="tr-TR"/>
              </w:rPr>
              <w:t xml:space="preserve"> </w:t>
            </w:r>
            <w:r w:rsidR="002439B5" w:rsidRPr="00A23740">
              <w:rPr>
                <w:b w:val="0"/>
                <w:color w:val="auto"/>
                <w:lang w:val="tr-TR"/>
              </w:rPr>
              <w:t xml:space="preserve">2004 sayılı Kanunun 36 ncı maddesinin altıncı fıkrasının üçüncü cümlesinde yer alan “bölge adliye mahkemesinin başvurunun esastan reddine </w:t>
            </w:r>
            <w:r w:rsidR="002439B5" w:rsidRPr="00A23740">
              <w:rPr>
                <w:b w:val="0"/>
                <w:color w:val="auto"/>
                <w:lang w:val="tr-TR"/>
              </w:rPr>
              <w:lastRenderedPageBreak/>
              <w:t>ilişkin kararına karşı temyiz yolunun açık olması h</w:t>
            </w:r>
            <w:r w:rsidR="002F2BAA" w:rsidRPr="00A23740">
              <w:rPr>
                <w:b w:val="0"/>
                <w:color w:val="auto"/>
                <w:lang w:val="tr-TR"/>
              </w:rPr>
              <w:t>â</w:t>
            </w:r>
            <w:r w:rsidR="002439B5" w:rsidRPr="00A23740">
              <w:rPr>
                <w:b w:val="0"/>
                <w:color w:val="auto"/>
                <w:lang w:val="tr-TR"/>
              </w:rPr>
              <w:t>linde, temyiz yoluna başvurma süresinin dolmasına kadar icranın geri bırakılması kararının etkisi devam eder.”  hükmü tereddütlerin giderilmesi amacıyla sekizinci fıkrada yeniden düzenlenmektedir. Hükme göre i</w:t>
            </w:r>
            <w:r w:rsidR="00097A82" w:rsidRPr="00A23740">
              <w:rPr>
                <w:b w:val="0"/>
                <w:color w:val="auto"/>
                <w:lang w:val="tr-TR"/>
              </w:rPr>
              <w:t>cranın ertelenmesi kararı, takibin dayanağı olan ilam kesinleşinceye kadar etkisini sürdürür.</w:t>
            </w:r>
          </w:p>
          <w:p w:rsidR="005A258D" w:rsidRPr="00A23740" w:rsidRDefault="005A258D" w:rsidP="009431FF">
            <w:pPr>
              <w:pStyle w:val="Mavi"/>
              <w:ind w:firstLine="709"/>
              <w:rPr>
                <w:b w:val="0"/>
                <w:color w:val="auto"/>
                <w:lang w:val="tr-TR"/>
              </w:rPr>
            </w:pPr>
          </w:p>
        </w:tc>
      </w:tr>
      <w:tr w:rsidR="00155AF4" w:rsidRPr="00A23740" w:rsidTr="009431FF">
        <w:tblPrEx>
          <w:tblLook w:val="01E0" w:firstRow="1" w:lastRow="1" w:firstColumn="1" w:lastColumn="1" w:noHBand="0" w:noVBand="0"/>
        </w:tblPrEx>
        <w:tc>
          <w:tcPr>
            <w:tcW w:w="2500" w:type="pct"/>
            <w:shd w:val="clear" w:color="auto" w:fill="FFFFFF"/>
          </w:tcPr>
          <w:p w:rsidR="00155AF4" w:rsidRPr="00A23740" w:rsidRDefault="00155AF4" w:rsidP="009431FF">
            <w:pPr>
              <w:rPr>
                <w:b/>
                <w:bCs/>
                <w:strike/>
                <w:color w:val="FF0000"/>
                <w:szCs w:val="24"/>
                <w:lang w:eastAsia="tr-TR"/>
              </w:rPr>
            </w:pPr>
          </w:p>
          <w:p w:rsidR="00155AF4" w:rsidRPr="00A23740" w:rsidRDefault="00155AF4" w:rsidP="009431FF">
            <w:pPr>
              <w:rPr>
                <w:b/>
                <w:bCs/>
                <w:strike/>
                <w:color w:val="FF0000"/>
                <w:szCs w:val="24"/>
                <w:lang w:eastAsia="tr-TR"/>
              </w:rPr>
            </w:pPr>
          </w:p>
          <w:p w:rsidR="00155AF4" w:rsidRPr="00A23740" w:rsidRDefault="00155AF4"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385C50" w:rsidRPr="00A23740" w:rsidRDefault="00385C50" w:rsidP="009431FF">
            <w:pPr>
              <w:rPr>
                <w:b/>
                <w:bCs/>
                <w:strike/>
                <w:color w:val="FF0000"/>
                <w:szCs w:val="24"/>
                <w:lang w:eastAsia="tr-TR"/>
              </w:rPr>
            </w:pPr>
          </w:p>
          <w:p w:rsidR="00537077" w:rsidRPr="00A23740" w:rsidRDefault="00537077" w:rsidP="009431FF">
            <w:pPr>
              <w:rPr>
                <w:b/>
                <w:bCs/>
                <w:strike/>
                <w:color w:val="FF0000"/>
                <w:szCs w:val="24"/>
                <w:lang w:eastAsia="tr-TR"/>
              </w:rPr>
            </w:pPr>
          </w:p>
          <w:p w:rsidR="00537077" w:rsidRPr="00A23740" w:rsidRDefault="00537077" w:rsidP="009431FF">
            <w:pPr>
              <w:rPr>
                <w:b/>
                <w:bCs/>
                <w:strike/>
                <w:color w:val="FF0000"/>
                <w:szCs w:val="24"/>
                <w:lang w:eastAsia="tr-TR"/>
              </w:rPr>
            </w:pPr>
          </w:p>
          <w:p w:rsidR="00537077" w:rsidRPr="00A23740" w:rsidRDefault="00537077" w:rsidP="009431FF">
            <w:pPr>
              <w:rPr>
                <w:b/>
                <w:bCs/>
                <w:strike/>
                <w:color w:val="FF0000"/>
                <w:szCs w:val="24"/>
                <w:lang w:eastAsia="tr-TR"/>
              </w:rPr>
            </w:pPr>
          </w:p>
          <w:p w:rsidR="00537077" w:rsidRPr="00A23740" w:rsidRDefault="00537077" w:rsidP="009431FF">
            <w:pPr>
              <w:rPr>
                <w:b/>
                <w:bCs/>
                <w:strike/>
                <w:color w:val="FF0000"/>
                <w:szCs w:val="24"/>
                <w:lang w:eastAsia="tr-TR"/>
              </w:rPr>
            </w:pPr>
          </w:p>
          <w:p w:rsidR="00537077" w:rsidRPr="00A23740" w:rsidRDefault="00537077" w:rsidP="009431FF">
            <w:pPr>
              <w:rPr>
                <w:b/>
                <w:bCs/>
                <w:strike/>
                <w:color w:val="FF0000"/>
                <w:szCs w:val="24"/>
                <w:lang w:eastAsia="tr-TR"/>
              </w:rPr>
            </w:pPr>
          </w:p>
          <w:p w:rsidR="00537077" w:rsidRPr="00A23740" w:rsidRDefault="00537077" w:rsidP="009431FF">
            <w:pPr>
              <w:rPr>
                <w:b/>
                <w:bCs/>
                <w:strike/>
                <w:color w:val="FF0000"/>
                <w:szCs w:val="24"/>
                <w:lang w:eastAsia="tr-TR"/>
              </w:rPr>
            </w:pPr>
          </w:p>
          <w:p w:rsidR="00537077" w:rsidRPr="00A23740" w:rsidRDefault="00537077" w:rsidP="009431FF">
            <w:pPr>
              <w:rPr>
                <w:b/>
                <w:bCs/>
                <w:strike/>
                <w:color w:val="FF0000"/>
                <w:szCs w:val="24"/>
                <w:lang w:eastAsia="tr-TR"/>
              </w:rPr>
            </w:pPr>
          </w:p>
          <w:p w:rsidR="00537077" w:rsidRPr="00A23740" w:rsidRDefault="00537077" w:rsidP="009431FF">
            <w:pPr>
              <w:rPr>
                <w:b/>
                <w:bCs/>
                <w:strike/>
                <w:color w:val="FF0000"/>
                <w:szCs w:val="24"/>
                <w:lang w:eastAsia="tr-TR"/>
              </w:rPr>
            </w:pPr>
          </w:p>
          <w:p w:rsidR="00385C50" w:rsidRPr="00A23740" w:rsidRDefault="00385C50" w:rsidP="009431FF">
            <w:pPr>
              <w:rPr>
                <w:b/>
                <w:bCs/>
                <w:i/>
                <w:iCs/>
                <w:strike/>
                <w:color w:val="FF0000"/>
                <w:szCs w:val="24"/>
                <w:lang w:eastAsia="tr-TR"/>
              </w:rPr>
            </w:pPr>
            <w:r w:rsidRPr="00A23740">
              <w:rPr>
                <w:b/>
                <w:bCs/>
                <w:i/>
                <w:iCs/>
                <w:strike/>
                <w:color w:val="FF0000"/>
                <w:szCs w:val="24"/>
                <w:lang w:eastAsia="tr-TR"/>
              </w:rPr>
              <w:t>Takibin başlaması :</w:t>
            </w:r>
          </w:p>
          <w:p w:rsidR="00385C50" w:rsidRPr="00A23740" w:rsidRDefault="00385C50" w:rsidP="009431FF">
            <w:pPr>
              <w:tabs>
                <w:tab w:val="left" w:pos="567"/>
              </w:tabs>
              <w:rPr>
                <w:b/>
                <w:bCs/>
                <w:strike/>
                <w:color w:val="FF0000"/>
                <w:szCs w:val="24"/>
                <w:lang w:eastAsia="tr-TR"/>
              </w:rPr>
            </w:pPr>
            <w:r w:rsidRPr="00A23740">
              <w:rPr>
                <w:b/>
                <w:bCs/>
                <w:strike/>
                <w:color w:val="FF0000"/>
                <w:szCs w:val="24"/>
                <w:lang w:eastAsia="tr-TR"/>
              </w:rPr>
              <w:t xml:space="preserve">Madde 35 – (1) </w:t>
            </w:r>
            <w:r w:rsidRPr="00A23740">
              <w:rPr>
                <w:rStyle w:val="KIRMIZIChar"/>
                <w:rFonts w:eastAsia="Calibri"/>
              </w:rPr>
              <w:t>Takip, ilâmın icra dairesine tevdii ile başlar.</w:t>
            </w:r>
            <w:r w:rsidRPr="00A23740">
              <w:rPr>
                <w:rFonts w:eastAsia="Times New Roman"/>
                <w:szCs w:val="24"/>
                <w:lang w:eastAsia="tr-TR"/>
              </w:rPr>
              <w:t xml:space="preserve">  </w:t>
            </w:r>
            <w:r w:rsidRPr="00A23740">
              <w:rPr>
                <w:b/>
                <w:bCs/>
                <w:strike/>
                <w:color w:val="FF0000"/>
                <w:szCs w:val="24"/>
                <w:lang w:eastAsia="tr-TR"/>
              </w:rPr>
              <w:t xml:space="preserve">İstiyen alacaklıya kayıt numarasını mübeyyin bedava ve pulsuz bir ilmühaber verilir. </w:t>
            </w:r>
          </w:p>
          <w:p w:rsidR="00385C50" w:rsidRDefault="00385C50" w:rsidP="009431FF">
            <w:pPr>
              <w:rPr>
                <w:b/>
                <w:bCs/>
                <w:strike/>
                <w:color w:val="FF0000"/>
                <w:szCs w:val="24"/>
                <w:lang w:eastAsia="tr-TR"/>
              </w:rPr>
            </w:pPr>
          </w:p>
          <w:p w:rsidR="009C5516" w:rsidRDefault="009C5516" w:rsidP="009431FF">
            <w:pPr>
              <w:rPr>
                <w:b/>
                <w:bCs/>
                <w:strike/>
                <w:color w:val="FF0000"/>
                <w:szCs w:val="24"/>
                <w:lang w:eastAsia="tr-TR"/>
              </w:rPr>
            </w:pPr>
          </w:p>
          <w:p w:rsidR="009C5516" w:rsidRDefault="009C5516" w:rsidP="009431FF">
            <w:pPr>
              <w:rPr>
                <w:b/>
                <w:bCs/>
                <w:strike/>
                <w:color w:val="FF0000"/>
                <w:szCs w:val="24"/>
                <w:lang w:eastAsia="tr-TR"/>
              </w:rPr>
            </w:pPr>
          </w:p>
          <w:p w:rsidR="009C5516" w:rsidRPr="00A23740" w:rsidRDefault="009C5516" w:rsidP="009431FF">
            <w:pPr>
              <w:rPr>
                <w:b/>
                <w:bCs/>
                <w:strike/>
                <w:color w:val="FF0000"/>
                <w:szCs w:val="24"/>
                <w:lang w:eastAsia="tr-TR"/>
              </w:rPr>
            </w:pPr>
          </w:p>
          <w:p w:rsidR="00385C50" w:rsidRPr="00A23740" w:rsidRDefault="002060A9" w:rsidP="009431FF">
            <w:pPr>
              <w:tabs>
                <w:tab w:val="left" w:pos="567"/>
              </w:tabs>
              <w:rPr>
                <w:b/>
                <w:bCs/>
                <w:strike/>
                <w:color w:val="FF0000"/>
                <w:szCs w:val="24"/>
                <w:lang w:eastAsia="tr-TR"/>
              </w:rPr>
            </w:pPr>
            <w:r>
              <w:rPr>
                <w:b/>
                <w:bCs/>
                <w:strike/>
                <w:color w:val="FF0000"/>
                <w:szCs w:val="24"/>
                <w:lang w:eastAsia="tr-TR"/>
              </w:rPr>
              <w:t>M. 35/F.1 C.1:</w:t>
            </w:r>
            <w:r w:rsidR="00385C50" w:rsidRPr="00A23740">
              <w:rPr>
                <w:b/>
                <w:bCs/>
                <w:strike/>
                <w:color w:val="FF0000"/>
                <w:szCs w:val="24"/>
                <w:lang w:eastAsia="tr-TR"/>
              </w:rPr>
              <w:t xml:space="preserve"> (1)</w:t>
            </w:r>
            <w:r w:rsidR="00385C50" w:rsidRPr="00A23740">
              <w:rPr>
                <w:b/>
                <w:bCs/>
                <w:color w:val="FF0000"/>
                <w:szCs w:val="24"/>
                <w:lang w:eastAsia="tr-TR"/>
              </w:rPr>
              <w:t xml:space="preserve"> </w:t>
            </w:r>
            <w:r w:rsidR="00385C50" w:rsidRPr="00A23740">
              <w:rPr>
                <w:rFonts w:eastAsia="Times New Roman"/>
                <w:szCs w:val="24"/>
                <w:lang w:eastAsia="tr-TR"/>
              </w:rPr>
              <w:t>Takip</w:t>
            </w:r>
            <w:r w:rsidR="00385C50" w:rsidRPr="00A23740">
              <w:rPr>
                <w:rFonts w:eastAsia="Times New Roman"/>
                <w:bCs/>
                <w:lang w:eastAsia="tr-TR"/>
              </w:rPr>
              <w:t>,</w:t>
            </w:r>
            <w:r w:rsidR="00385C50" w:rsidRPr="00A23740">
              <w:rPr>
                <w:rStyle w:val="KIRMIZIChar"/>
                <w:rFonts w:eastAsia="Calibri"/>
                <w:strike w:val="0"/>
              </w:rPr>
              <w:t xml:space="preserve"> </w:t>
            </w:r>
            <w:r w:rsidR="00385C50" w:rsidRPr="00A23740">
              <w:rPr>
                <w:rStyle w:val="KIRMIZIChar"/>
                <w:rFonts w:eastAsia="Calibri"/>
              </w:rPr>
              <w:t>ilâmın icra dairesine tevdii ile</w:t>
            </w:r>
            <w:r w:rsidR="00385C50" w:rsidRPr="00A23740">
              <w:rPr>
                <w:rFonts w:eastAsia="Times New Roman"/>
                <w:b/>
                <w:lang w:eastAsia="tr-TR"/>
              </w:rPr>
              <w:t xml:space="preserve"> </w:t>
            </w:r>
            <w:r w:rsidR="00385C50" w:rsidRPr="00A23740">
              <w:rPr>
                <w:rFonts w:eastAsia="Times New Roman"/>
                <w:bCs/>
                <w:lang w:eastAsia="tr-TR"/>
              </w:rPr>
              <w:t>başla</w:t>
            </w:r>
            <w:r w:rsidR="00385C50" w:rsidRPr="00A23740">
              <w:rPr>
                <w:rStyle w:val="KIRMIZIChar"/>
                <w:rFonts w:eastAsia="Calibri"/>
              </w:rPr>
              <w:t>r.</w:t>
            </w:r>
            <w:r w:rsidR="00385C50" w:rsidRPr="00A23740">
              <w:rPr>
                <w:rFonts w:eastAsia="Times New Roman"/>
                <w:szCs w:val="24"/>
                <w:lang w:eastAsia="tr-TR"/>
              </w:rPr>
              <w:t xml:space="preserve"> </w:t>
            </w:r>
          </w:p>
          <w:p w:rsidR="00155AF4" w:rsidRPr="00A23740" w:rsidRDefault="00734025" w:rsidP="009431FF">
            <w:pPr>
              <w:tabs>
                <w:tab w:val="left" w:pos="567"/>
              </w:tabs>
              <w:rPr>
                <w:lang w:eastAsia="tr-TR"/>
              </w:rPr>
            </w:pPr>
            <w:r w:rsidRPr="00A23740">
              <w:rPr>
                <w:rFonts w:eastAsia="Times New Roman"/>
                <w:szCs w:val="24"/>
                <w:lang w:eastAsia="tr-TR"/>
              </w:rPr>
              <w:t xml:space="preserve"> </w:t>
            </w:r>
          </w:p>
        </w:tc>
        <w:tc>
          <w:tcPr>
            <w:tcW w:w="2500" w:type="pct"/>
            <w:shd w:val="clear" w:color="auto" w:fill="FFFFFF"/>
          </w:tcPr>
          <w:p w:rsidR="00155AF4" w:rsidRPr="00A23740" w:rsidRDefault="00155AF4" w:rsidP="009431FF">
            <w:pPr>
              <w:pStyle w:val="Balk4"/>
              <w:rPr>
                <w:lang w:val="tr-TR"/>
              </w:rPr>
            </w:pPr>
            <w:r w:rsidRPr="00A23740">
              <w:rPr>
                <w:lang w:val="tr-TR"/>
              </w:rPr>
              <w:lastRenderedPageBreak/>
              <w:t>İKİNCİ AYRIM</w:t>
            </w:r>
          </w:p>
          <w:p w:rsidR="00155AF4" w:rsidRPr="00A23740" w:rsidRDefault="00155AF4" w:rsidP="009431FF">
            <w:pPr>
              <w:pStyle w:val="Balk4"/>
              <w:rPr>
                <w:lang w:val="tr-TR"/>
              </w:rPr>
            </w:pPr>
            <w:r w:rsidRPr="00A23740">
              <w:rPr>
                <w:lang w:val="tr-TR"/>
              </w:rPr>
              <w:t>İlamlı Takibe İlişkin Genel Hükümler</w:t>
            </w:r>
          </w:p>
          <w:p w:rsidR="00155AF4" w:rsidRPr="00A23740" w:rsidRDefault="00155AF4" w:rsidP="009431FF">
            <w:pPr>
              <w:tabs>
                <w:tab w:val="left" w:pos="567"/>
              </w:tabs>
              <w:jc w:val="center"/>
              <w:rPr>
                <w:b/>
                <w:bCs/>
                <w:szCs w:val="24"/>
                <w:lang w:eastAsia="x-none"/>
              </w:rPr>
            </w:pPr>
          </w:p>
          <w:p w:rsidR="00155AF4" w:rsidRPr="00A23740" w:rsidRDefault="00155AF4" w:rsidP="009431FF">
            <w:pPr>
              <w:pStyle w:val="Balk5"/>
              <w:rPr>
                <w:lang w:val="tr-TR"/>
              </w:rPr>
            </w:pPr>
            <w:r w:rsidRPr="00A23740">
              <w:rPr>
                <w:lang w:val="tr-TR"/>
              </w:rPr>
              <w:t>BİRİNCİ ALT AYRIM</w:t>
            </w:r>
          </w:p>
          <w:p w:rsidR="00155AF4" w:rsidRPr="00A23740" w:rsidRDefault="00155AF4" w:rsidP="009431FF">
            <w:pPr>
              <w:pStyle w:val="Balk5"/>
              <w:rPr>
                <w:lang w:val="tr-TR"/>
              </w:rPr>
            </w:pPr>
            <w:r w:rsidRPr="00A23740">
              <w:rPr>
                <w:lang w:val="tr-TR"/>
              </w:rPr>
              <w:t>Takip Talebi ve İcra Emri</w:t>
            </w:r>
          </w:p>
          <w:p w:rsidR="00155AF4" w:rsidRPr="00A23740" w:rsidRDefault="00155AF4" w:rsidP="009431FF">
            <w:pPr>
              <w:pStyle w:val="Mavi"/>
              <w:rPr>
                <w:lang w:val="tr-TR"/>
              </w:rPr>
            </w:pPr>
          </w:p>
          <w:p w:rsidR="00155AF4" w:rsidRPr="00A23740" w:rsidRDefault="00520302" w:rsidP="009431FF">
            <w:pPr>
              <w:pStyle w:val="Mavi"/>
            </w:pPr>
            <w:r w:rsidRPr="00A23740">
              <w:t>Takip talebi</w:t>
            </w:r>
          </w:p>
          <w:p w:rsidR="00155AF4" w:rsidRPr="00A23740" w:rsidRDefault="00155AF4" w:rsidP="009431FF">
            <w:pPr>
              <w:pStyle w:val="Mavi"/>
              <w:rPr>
                <w:lang w:val="tr-TR"/>
              </w:rPr>
            </w:pPr>
            <w:r w:rsidRPr="00A23740">
              <w:t>MADDE 56-</w:t>
            </w:r>
            <w:r w:rsidRPr="00A23740">
              <w:rPr>
                <w:lang w:val="tr-TR"/>
              </w:rPr>
              <w:t xml:space="preserve"> </w:t>
            </w:r>
            <w:r w:rsidRPr="00A23740">
              <w:t>(1) Takip talebi</w:t>
            </w:r>
            <w:r w:rsidRPr="00A23740">
              <w:rPr>
                <w:rStyle w:val="MaviChar"/>
                <w:lang w:val="tr-TR"/>
              </w:rPr>
              <w:t>,</w:t>
            </w:r>
            <w:r w:rsidRPr="00A23740">
              <w:t xml:space="preserve"> icra ve iflas</w:t>
            </w:r>
            <w:r w:rsidRPr="00A23740">
              <w:rPr>
                <w:lang w:val="tr-TR"/>
              </w:rPr>
              <w:t xml:space="preserve"> </w:t>
            </w:r>
            <w:r w:rsidRPr="00A23740">
              <w:t>dairesine yazılı veya sözlü olarak yapılır.</w:t>
            </w:r>
          </w:p>
          <w:p w:rsidR="00734025" w:rsidRPr="00A23740" w:rsidRDefault="00734025" w:rsidP="009431FF">
            <w:pPr>
              <w:pStyle w:val="Mavi"/>
              <w:rPr>
                <w:lang w:val="tr-TR"/>
              </w:rPr>
            </w:pPr>
          </w:p>
          <w:p w:rsidR="00537077" w:rsidRPr="00A23740" w:rsidRDefault="00155AF4" w:rsidP="009431FF">
            <w:pPr>
              <w:pStyle w:val="Mavi"/>
            </w:pPr>
            <w:r w:rsidRPr="00A23740">
              <w:t>(2) Takip talebinde aşağıdaki hususlar bulunur:</w:t>
            </w:r>
          </w:p>
          <w:p w:rsidR="00155AF4" w:rsidRPr="00A23740" w:rsidRDefault="00155AF4" w:rsidP="009431FF">
            <w:pPr>
              <w:pStyle w:val="Mavi"/>
            </w:pPr>
            <w:r w:rsidRPr="00A23740">
              <w:t>a) Alacaklının ve varsa kanuni temsilcisinin ve vekili</w:t>
            </w:r>
            <w:r w:rsidR="00330FCE" w:rsidRPr="00A23740">
              <w:t>nin adı, soyadı, tüzel kişiyse ü</w:t>
            </w:r>
            <w:r w:rsidRPr="00A23740">
              <w:t>nvanı, adresi; alacaklı veya vekili</w:t>
            </w:r>
            <w:r w:rsidRPr="00A23740">
              <w:rPr>
                <w:rFonts w:eastAsia="ヒラギノ明朝 Pro W3"/>
              </w:rPr>
              <w:t>nin</w:t>
            </w:r>
            <w:r w:rsidRPr="00A23740">
              <w:t xml:space="preserve"> banka hesap bilgileri; gerçek kişiler için Türkiye Cumhuriyeti kimlik numarası, tüzel kişiler için vergi kimlik numarası ve Merkezi Sicil Kayıt Sistemi numarası veya varsa ilgili sicil numarası; alacaklının yerleşim yerinin yabancı ülkede olması h</w:t>
            </w:r>
            <w:r w:rsidR="002F2BAA" w:rsidRPr="00A23740">
              <w:rPr>
                <w:lang w:val="tr-TR"/>
              </w:rPr>
              <w:t>â</w:t>
            </w:r>
            <w:r w:rsidRPr="00A23740">
              <w:t>linde Türkiye’</w:t>
            </w:r>
            <w:r w:rsidR="008E0E1F" w:rsidRPr="00A23740">
              <w:t>de göstereceği tebligat adresi.</w:t>
            </w:r>
          </w:p>
          <w:p w:rsidR="00537077" w:rsidRPr="00A23740" w:rsidRDefault="00537077" w:rsidP="009431FF">
            <w:pPr>
              <w:pStyle w:val="Mavi"/>
            </w:pPr>
          </w:p>
          <w:p w:rsidR="00155AF4" w:rsidRPr="00A23740" w:rsidRDefault="00155AF4" w:rsidP="009431FF">
            <w:pPr>
              <w:pStyle w:val="Mavi"/>
            </w:pPr>
            <w:r w:rsidRPr="00A23740">
              <w:t>b) Borçlunun ve varsa kanuni temsilcisinin adı, soyadı, biliniyorsa Türkiye Cumhuriyeti k</w:t>
            </w:r>
            <w:r w:rsidR="00330FCE" w:rsidRPr="00A23740">
              <w:t>imlik numarası; tüzel kişi ise ü</w:t>
            </w:r>
            <w:r w:rsidRPr="00A23740">
              <w:t>nvanı, vergi kimlik numarası, Merkezi Sicil Kayıt Sistemi numarası veya ilgili sicil numarası; adresi.</w:t>
            </w:r>
          </w:p>
          <w:p w:rsidR="00537077" w:rsidRPr="00A23740" w:rsidRDefault="00537077" w:rsidP="009431FF">
            <w:pPr>
              <w:pStyle w:val="Mavi"/>
              <w:rPr>
                <w:lang w:val="tr-TR"/>
              </w:rPr>
            </w:pPr>
          </w:p>
          <w:p w:rsidR="00155AF4" w:rsidRPr="00A23740" w:rsidRDefault="00155AF4" w:rsidP="009431FF">
            <w:pPr>
              <w:pStyle w:val="Mavi"/>
            </w:pPr>
            <w:r w:rsidRPr="00A23740">
              <w:t>c) İlam para veya teminat alacağı hakkında ise takip yo</w:t>
            </w:r>
            <w:r w:rsidR="008E0E1F" w:rsidRPr="00A23740">
              <w:t>llarından hangisinin seçildiği.</w:t>
            </w:r>
          </w:p>
          <w:p w:rsidR="00537077" w:rsidRPr="00A23740" w:rsidRDefault="00537077" w:rsidP="009431FF">
            <w:pPr>
              <w:pStyle w:val="Mavi"/>
            </w:pPr>
          </w:p>
          <w:p w:rsidR="00155AF4" w:rsidRPr="00A23740" w:rsidRDefault="00155AF4" w:rsidP="009431FF">
            <w:pPr>
              <w:pStyle w:val="Mavi"/>
            </w:pPr>
            <w:r w:rsidRPr="00A23740">
              <w:lastRenderedPageBreak/>
              <w:t>ç) Alacağın veya istenen teminatın Türk parasıyla tutarı ve faizli alacaklarda faizin türü, oranı, miktarı ile işlemeye başladığı gün; alacak veya istenen teminat yabancı para ise, harca esas olmak üzere takip talebi tarihindeki Türkiye Cumhuriyet Merkez Bankası efe</w:t>
            </w:r>
            <w:r w:rsidR="00437BA8" w:rsidRPr="00A23740">
              <w:t xml:space="preserve">ktif satış kuru üzerinden Türk </w:t>
            </w:r>
            <w:r w:rsidR="009052BF" w:rsidRPr="00A23740">
              <w:t xml:space="preserve">lirasi </w:t>
            </w:r>
            <w:r w:rsidRPr="00A23740">
              <w:t>karşılığı ve alacağın hangi tarihteki kur üzerinden talep edildiği ve faizli yabancı para alacaklarında faizin türü, oranı, mikta</w:t>
            </w:r>
            <w:r w:rsidR="00AF3F45" w:rsidRPr="00A23740">
              <w:t>rı ile işlemeye başladığı gün.</w:t>
            </w:r>
          </w:p>
          <w:p w:rsidR="00537077" w:rsidRPr="00A23740" w:rsidRDefault="00537077" w:rsidP="009431FF">
            <w:pPr>
              <w:pStyle w:val="Mavi"/>
            </w:pPr>
          </w:p>
          <w:p w:rsidR="00155AF4" w:rsidRPr="00A23740" w:rsidRDefault="00155AF4" w:rsidP="009431FF">
            <w:pPr>
              <w:pStyle w:val="Mavi"/>
            </w:pPr>
            <w:r w:rsidRPr="00A23740">
              <w:t>d) İlam taşınır veya geminin teslimine ilişkin ise teslimi istenen taşınırın veya geminin ne olduğu, hüküm sonucunda belirtilmişse ilamda yazılı değeri ve alacaklı t</w:t>
            </w:r>
            <w:r w:rsidR="008E0E1F" w:rsidRPr="00A23740">
              <w:t>arafından biliniyorsa yeri.</w:t>
            </w:r>
          </w:p>
          <w:p w:rsidR="00537077" w:rsidRPr="00A23740" w:rsidRDefault="00537077" w:rsidP="009431FF">
            <w:pPr>
              <w:pStyle w:val="Mavi"/>
            </w:pPr>
          </w:p>
          <w:p w:rsidR="00155AF4" w:rsidRPr="00A23740" w:rsidRDefault="00155AF4" w:rsidP="009431FF">
            <w:pPr>
              <w:pStyle w:val="Mavi"/>
            </w:pPr>
            <w:r w:rsidRPr="00A23740">
              <w:t>e) İlam taşınmazın veya geminin tahliye ve teslimine ilişkin ise taşınmazın tapu kaydına veya geminin sicil kayd</w:t>
            </w:r>
            <w:r w:rsidR="009B5E0A" w:rsidRPr="00A23740">
              <w:t>ına ilişkin bilgiler ve adresi.</w:t>
            </w:r>
          </w:p>
          <w:p w:rsidR="00537077" w:rsidRPr="00A23740" w:rsidRDefault="00537077" w:rsidP="009431FF">
            <w:pPr>
              <w:pStyle w:val="Mavi"/>
            </w:pPr>
          </w:p>
          <w:p w:rsidR="00155AF4" w:rsidRPr="00A23740" w:rsidRDefault="00155AF4" w:rsidP="009431FF">
            <w:pPr>
              <w:pStyle w:val="Mavi"/>
            </w:pPr>
            <w:r w:rsidRPr="00A23740">
              <w:t>f) İlam irtifak hakkının kurulması veya terkinine ilişkin ise taşınmazın tapu kaydına ilişkin bilgiler ile irtifak hakkının konusunun ne olduğu.</w:t>
            </w:r>
          </w:p>
          <w:p w:rsidR="00537077" w:rsidRPr="00A23740" w:rsidRDefault="00537077" w:rsidP="009431FF">
            <w:pPr>
              <w:pStyle w:val="Mavi"/>
              <w:rPr>
                <w:b w:val="0"/>
                <w:bCs w:val="0"/>
              </w:rPr>
            </w:pPr>
          </w:p>
          <w:p w:rsidR="00155AF4" w:rsidRPr="00A23740" w:rsidRDefault="00155AF4" w:rsidP="009431FF">
            <w:pPr>
              <w:pStyle w:val="Mavi"/>
            </w:pPr>
            <w:r w:rsidRPr="00A23740">
              <w:t>g) İlam bir işin yapılması veya yapılmamasına ilişkin ise yapılması veya yapılm</w:t>
            </w:r>
            <w:r w:rsidR="008E0E1F" w:rsidRPr="00A23740">
              <w:t>aması istenilen işin ne olduğu.</w:t>
            </w:r>
          </w:p>
          <w:p w:rsidR="00537077" w:rsidRPr="00A23740" w:rsidRDefault="00537077" w:rsidP="009431FF">
            <w:pPr>
              <w:pStyle w:val="Mavi"/>
            </w:pPr>
          </w:p>
          <w:p w:rsidR="00155AF4" w:rsidRPr="00A23740" w:rsidRDefault="00155AF4" w:rsidP="009431FF">
            <w:pPr>
              <w:pStyle w:val="Mavi"/>
            </w:pPr>
            <w:r w:rsidRPr="00A23740">
              <w:t>ğ) İlam seçimlik hüküm içeriyor ise talebin seçimlik hükümlerden hangisine hasredildiği.</w:t>
            </w:r>
          </w:p>
          <w:p w:rsidR="00155AF4" w:rsidRPr="00A23740" w:rsidRDefault="00155AF4" w:rsidP="009431FF">
            <w:pPr>
              <w:rPr>
                <w:rFonts w:eastAsia="Times New Roman"/>
                <w:b/>
                <w:bCs/>
                <w:color w:val="FF0000"/>
                <w:szCs w:val="24"/>
                <w:lang w:eastAsia="tr-TR"/>
              </w:rPr>
            </w:pPr>
          </w:p>
          <w:p w:rsidR="00734025" w:rsidRPr="00A23740" w:rsidRDefault="00734025" w:rsidP="009431FF">
            <w:pPr>
              <w:pStyle w:val="Mavi"/>
            </w:pPr>
            <w:r w:rsidRPr="00A23740">
              <w:rPr>
                <w:rFonts w:eastAsia="ヒラギノ明朝 Pro W3"/>
              </w:rPr>
              <w:t xml:space="preserve">(3) Takip talebine </w:t>
            </w:r>
            <w:r w:rsidRPr="00A23740">
              <w:t>ilamın veya ilam niteliğindeki belgenin borçlu sayısından bir fazla nüshası veya onaylı örneği eklenir.</w:t>
            </w:r>
          </w:p>
          <w:p w:rsidR="00734025" w:rsidRPr="00A23740" w:rsidRDefault="00734025" w:rsidP="009431FF">
            <w:pPr>
              <w:pStyle w:val="Mavi"/>
            </w:pPr>
          </w:p>
          <w:p w:rsidR="00734025" w:rsidRPr="00A23740" w:rsidRDefault="00734025" w:rsidP="009431FF">
            <w:pPr>
              <w:pStyle w:val="Mavi"/>
            </w:pPr>
            <w:r w:rsidRPr="00A23740">
              <w:lastRenderedPageBreak/>
              <w:t xml:space="preserve">(4) Alacaklıya takip talebinde bulunduğuna ve ilam veya ilam niteliğindeki belgenin nüshasını ya da onaylı örneğini sunduğuna ve takip </w:t>
            </w:r>
            <w:r w:rsidRPr="00A23740">
              <w:rPr>
                <w:lang w:val="tr-TR"/>
              </w:rPr>
              <w:t>giderlerine</w:t>
            </w:r>
            <w:r w:rsidRPr="00A23740">
              <w:t xml:space="preserve"> dair ücretsiz bir alındı belgesi verilir.</w:t>
            </w:r>
          </w:p>
          <w:p w:rsidR="00472453" w:rsidRPr="00A23740" w:rsidRDefault="00472453" w:rsidP="009431FF">
            <w:pPr>
              <w:pStyle w:val="Mavi"/>
            </w:pPr>
          </w:p>
          <w:p w:rsidR="00734025" w:rsidRPr="00A23740" w:rsidRDefault="00734025" w:rsidP="009431FF">
            <w:pPr>
              <w:pStyle w:val="Mavi"/>
            </w:pPr>
            <w:r w:rsidRPr="00A23740">
              <w:t xml:space="preserve">(5) </w:t>
            </w:r>
            <w:r w:rsidRPr="00A23740">
              <w:rPr>
                <w:rFonts w:eastAsia="Times New Roman"/>
                <w:b w:val="0"/>
                <w:bCs w:val="0"/>
                <w:color w:val="auto"/>
                <w:lang w:val="tr-TR" w:eastAsia="tr-TR"/>
              </w:rPr>
              <w:t>Takip,</w:t>
            </w:r>
            <w:r w:rsidRPr="00A23740">
              <w:t xml:space="preserve"> takip talebinin kaydedildiği tarihte </w:t>
            </w:r>
            <w:r w:rsidRPr="00A23740">
              <w:rPr>
                <w:rFonts w:eastAsia="Times New Roman"/>
                <w:b w:val="0"/>
                <w:color w:val="auto"/>
                <w:szCs w:val="22"/>
                <w:lang w:val="tr-TR" w:eastAsia="tr-TR"/>
              </w:rPr>
              <w:t>başla</w:t>
            </w:r>
            <w:r w:rsidRPr="00A23740">
              <w:rPr>
                <w:rFonts w:eastAsia="ヒラギノ明朝 Pro W3"/>
              </w:rPr>
              <w:t>tılmış</w:t>
            </w:r>
            <w:r w:rsidRPr="00A23740">
              <w:t xml:space="preserve"> sayılır.</w:t>
            </w:r>
          </w:p>
          <w:p w:rsidR="00492C7E" w:rsidRPr="00A23740" w:rsidRDefault="00492C7E" w:rsidP="009431FF">
            <w:pPr>
              <w:pStyle w:val="Mavi"/>
              <w:rPr>
                <w:rFonts w:eastAsia="Times New Roman"/>
                <w:b w:val="0"/>
                <w:bCs w:val="0"/>
                <w:color w:val="FF0000"/>
                <w:lang w:val="tr-TR" w:eastAsia="tr-TR"/>
              </w:rPr>
            </w:pPr>
          </w:p>
        </w:tc>
      </w:tr>
      <w:tr w:rsidR="00155AF4" w:rsidRPr="00A23740" w:rsidTr="009431FF">
        <w:tc>
          <w:tcPr>
            <w:tcW w:w="5000" w:type="pct"/>
            <w:gridSpan w:val="2"/>
            <w:shd w:val="clear" w:color="auto" w:fill="DEEAF6"/>
          </w:tcPr>
          <w:p w:rsidR="00B83111" w:rsidRPr="00A23740" w:rsidRDefault="00B83111" w:rsidP="009431FF">
            <w:pPr>
              <w:pStyle w:val="Mavi"/>
              <w:ind w:firstLine="709"/>
              <w:rPr>
                <w:color w:val="auto"/>
                <w:lang w:val="tr-TR"/>
              </w:rPr>
            </w:pPr>
          </w:p>
          <w:p w:rsidR="001D5DEF" w:rsidRPr="00A23740" w:rsidRDefault="002F68F8" w:rsidP="009431FF">
            <w:pPr>
              <w:pStyle w:val="Mavi"/>
              <w:ind w:firstLine="709"/>
              <w:rPr>
                <w:b w:val="0"/>
                <w:color w:val="auto"/>
                <w:lang w:val="tr-TR"/>
              </w:rPr>
            </w:pPr>
            <w:r w:rsidRPr="00A23740">
              <w:rPr>
                <w:color w:val="auto"/>
                <w:lang w:val="tr-TR"/>
              </w:rPr>
              <w:t xml:space="preserve">MADDE 56- </w:t>
            </w:r>
            <w:r w:rsidRPr="00A23740">
              <w:rPr>
                <w:b w:val="0"/>
                <w:color w:val="auto"/>
                <w:lang w:val="tr-TR"/>
              </w:rPr>
              <w:t>Mad</w:t>
            </w:r>
            <w:r w:rsidR="001D5DEF" w:rsidRPr="00A23740">
              <w:rPr>
                <w:b w:val="0"/>
                <w:color w:val="auto"/>
                <w:lang w:val="tr-TR"/>
              </w:rPr>
              <w:t xml:space="preserve">deyle, takip talebinde yer alacak hususlar </w:t>
            </w:r>
            <w:r w:rsidR="009516D5" w:rsidRPr="00A23740">
              <w:rPr>
                <w:b w:val="0"/>
                <w:color w:val="auto"/>
                <w:lang w:val="tr-TR"/>
              </w:rPr>
              <w:t xml:space="preserve">genel bir hüküm olarak </w:t>
            </w:r>
            <w:r w:rsidR="001D5DEF" w:rsidRPr="00A23740">
              <w:rPr>
                <w:b w:val="0"/>
                <w:color w:val="auto"/>
                <w:lang w:val="tr-TR"/>
              </w:rPr>
              <w:t xml:space="preserve">düzenlenmektedir. </w:t>
            </w:r>
          </w:p>
          <w:p w:rsidR="009516D5" w:rsidRPr="00A23740" w:rsidRDefault="001D5DEF" w:rsidP="009431FF">
            <w:pPr>
              <w:pStyle w:val="Mavi"/>
              <w:ind w:firstLine="709"/>
              <w:rPr>
                <w:b w:val="0"/>
                <w:color w:val="auto"/>
                <w:lang w:val="tr-TR"/>
              </w:rPr>
            </w:pPr>
            <w:r w:rsidRPr="00A23740">
              <w:rPr>
                <w:b w:val="0"/>
                <w:color w:val="auto"/>
                <w:lang w:val="tr-TR"/>
              </w:rPr>
              <w:t xml:space="preserve">Birinci fıkrayla, </w:t>
            </w:r>
            <w:r w:rsidR="009516D5" w:rsidRPr="00A23740">
              <w:rPr>
                <w:b w:val="0"/>
                <w:color w:val="auto"/>
                <w:lang w:val="tr-TR"/>
              </w:rPr>
              <w:t>takip talebi</w:t>
            </w:r>
            <w:r w:rsidR="009516D5" w:rsidRPr="00A23740">
              <w:rPr>
                <w:b w:val="0"/>
                <w:bCs w:val="0"/>
                <w:color w:val="auto"/>
              </w:rPr>
              <w:t>nin</w:t>
            </w:r>
            <w:r w:rsidR="009516D5" w:rsidRPr="00A23740">
              <w:rPr>
                <w:b w:val="0"/>
                <w:color w:val="auto"/>
                <w:lang w:val="tr-TR"/>
              </w:rPr>
              <w:t xml:space="preserve"> icra ve iflas dairesine yazılı veya sözlü olarak yapılabileceği hükme bağlanmaktadır. </w:t>
            </w:r>
            <w:r w:rsidR="00C1698D" w:rsidRPr="00A23740">
              <w:rPr>
                <w:b w:val="0"/>
                <w:color w:val="auto"/>
                <w:lang w:val="tr-TR"/>
              </w:rPr>
              <w:t>H</w:t>
            </w:r>
            <w:r w:rsidR="009516D5" w:rsidRPr="00A23740">
              <w:rPr>
                <w:b w:val="0"/>
                <w:color w:val="auto"/>
                <w:lang w:val="tr-TR"/>
              </w:rPr>
              <w:t xml:space="preserve">ak arama yollarının etkin bir şekilde işletilmesi </w:t>
            </w:r>
            <w:r w:rsidR="0006597A" w:rsidRPr="00A23740">
              <w:rPr>
                <w:b w:val="0"/>
                <w:color w:val="auto"/>
                <w:lang w:val="tr-TR"/>
              </w:rPr>
              <w:t>önem arz ettiğinden hükümde,</w:t>
            </w:r>
            <w:r w:rsidR="009516D5" w:rsidRPr="00A23740">
              <w:rPr>
                <w:b w:val="0"/>
                <w:color w:val="auto"/>
                <w:lang w:val="tr-TR"/>
              </w:rPr>
              <w:t xml:space="preserve"> takip talebinin sözlü olarak yapılabilmesi imk</w:t>
            </w:r>
            <w:r w:rsidR="00BE53A8" w:rsidRPr="00A23740">
              <w:rPr>
                <w:b w:val="0"/>
                <w:color w:val="auto"/>
                <w:lang w:val="tr-TR"/>
              </w:rPr>
              <w:t>â</w:t>
            </w:r>
            <w:r w:rsidR="009516D5" w:rsidRPr="00A23740">
              <w:rPr>
                <w:b w:val="0"/>
                <w:color w:val="auto"/>
                <w:lang w:val="tr-TR"/>
              </w:rPr>
              <w:t>nı muhafaza edilmektedir.</w:t>
            </w:r>
            <w:r w:rsidR="00C1698D" w:rsidRPr="00A23740">
              <w:rPr>
                <w:b w:val="0"/>
                <w:color w:val="auto"/>
                <w:lang w:val="tr-TR"/>
              </w:rPr>
              <w:t xml:space="preserve"> </w:t>
            </w:r>
            <w:r w:rsidR="0006597A" w:rsidRPr="00A23740">
              <w:rPr>
                <w:b w:val="0"/>
                <w:color w:val="auto"/>
                <w:lang w:val="tr-TR"/>
              </w:rPr>
              <w:t>Öte yandan, i</w:t>
            </w:r>
            <w:r w:rsidR="00C1698D" w:rsidRPr="00A23740">
              <w:rPr>
                <w:b w:val="0"/>
                <w:color w:val="auto"/>
                <w:lang w:val="tr-TR"/>
              </w:rPr>
              <w:t xml:space="preserve">cra işlemlerinin UYAP vasıtasıyla elektronik ortamda </w:t>
            </w:r>
            <w:r w:rsidR="00AB4F53" w:rsidRPr="00A23740">
              <w:rPr>
                <w:b w:val="0"/>
                <w:color w:val="auto"/>
                <w:lang w:val="tr-TR"/>
              </w:rPr>
              <w:t xml:space="preserve">yapılabilmesi </w:t>
            </w:r>
            <w:r w:rsidR="00163E5A" w:rsidRPr="00A23740">
              <w:rPr>
                <w:b w:val="0"/>
                <w:color w:val="auto"/>
                <w:lang w:val="tr-TR"/>
              </w:rPr>
              <w:t>Taslakla</w:t>
            </w:r>
            <w:r w:rsidR="00C1698D" w:rsidRPr="00A23740">
              <w:rPr>
                <w:b w:val="0"/>
                <w:color w:val="auto"/>
                <w:lang w:val="tr-TR"/>
              </w:rPr>
              <w:t xml:space="preserve"> düzenlendiğinden, takip talebi, elektronik ortamda oluşturabilir ve icra</w:t>
            </w:r>
            <w:r w:rsidR="001647D1" w:rsidRPr="00A23740">
              <w:rPr>
                <w:color w:val="538135"/>
                <w:lang w:val="tr-TR"/>
              </w:rPr>
              <w:t xml:space="preserve"> </w:t>
            </w:r>
            <w:r w:rsidR="001647D1" w:rsidRPr="008D10FA">
              <w:rPr>
                <w:b w:val="0"/>
                <w:color w:val="auto"/>
                <w:lang w:val="tr-TR"/>
              </w:rPr>
              <w:t>ve iflas</w:t>
            </w:r>
            <w:r w:rsidR="00C1698D" w:rsidRPr="00A23740">
              <w:rPr>
                <w:b w:val="0"/>
                <w:color w:val="auto"/>
                <w:lang w:val="tr-TR"/>
              </w:rPr>
              <w:t xml:space="preserve"> dairesine gönderilebilir.</w:t>
            </w:r>
          </w:p>
          <w:p w:rsidR="005767B9" w:rsidRPr="00A23740" w:rsidRDefault="0006597A" w:rsidP="009431FF">
            <w:pPr>
              <w:pStyle w:val="Mavi"/>
              <w:ind w:firstLine="709"/>
              <w:rPr>
                <w:b w:val="0"/>
                <w:color w:val="auto"/>
                <w:lang w:val="tr-TR"/>
              </w:rPr>
            </w:pPr>
            <w:r w:rsidRPr="00A23740">
              <w:rPr>
                <w:b w:val="0"/>
                <w:color w:val="auto"/>
                <w:lang w:val="tr-TR"/>
              </w:rPr>
              <w:t xml:space="preserve">İkinci fıkrayla, takip talebinde bulunması gereken hususlar </w:t>
            </w:r>
            <w:r w:rsidR="001337CC" w:rsidRPr="00A23740">
              <w:rPr>
                <w:b w:val="0"/>
                <w:color w:val="auto"/>
                <w:lang w:val="tr-TR"/>
              </w:rPr>
              <w:t>bentler h</w:t>
            </w:r>
            <w:r w:rsidR="002F2BAA" w:rsidRPr="00A23740">
              <w:rPr>
                <w:b w:val="0"/>
                <w:color w:val="auto"/>
                <w:lang w:val="tr-TR"/>
              </w:rPr>
              <w:t>â</w:t>
            </w:r>
            <w:r w:rsidR="001337CC" w:rsidRPr="00A23740">
              <w:rPr>
                <w:b w:val="0"/>
                <w:color w:val="auto"/>
                <w:lang w:val="tr-TR"/>
              </w:rPr>
              <w:t>linde düzenlenmektedir</w:t>
            </w:r>
            <w:r w:rsidRPr="00A23740">
              <w:rPr>
                <w:b w:val="0"/>
                <w:color w:val="auto"/>
                <w:lang w:val="tr-TR"/>
              </w:rPr>
              <w:t xml:space="preserve">. </w:t>
            </w:r>
            <w:r w:rsidR="002F68F8" w:rsidRPr="00A23740">
              <w:rPr>
                <w:b w:val="0"/>
                <w:color w:val="auto"/>
                <w:lang w:val="tr-TR"/>
              </w:rPr>
              <w:t>Bu hüküm</w:t>
            </w:r>
            <w:r w:rsidR="001D0917" w:rsidRPr="00A23740">
              <w:rPr>
                <w:b w:val="0"/>
                <w:color w:val="auto"/>
                <w:lang w:val="tr-TR"/>
              </w:rPr>
              <w:t>,</w:t>
            </w:r>
            <w:r w:rsidR="002F68F8" w:rsidRPr="00A23740">
              <w:rPr>
                <w:b w:val="0"/>
                <w:color w:val="auto"/>
                <w:lang w:val="tr-TR"/>
              </w:rPr>
              <w:t xml:space="preserve"> tüm ilamlı icra h</w:t>
            </w:r>
            <w:r w:rsidR="002F2BAA" w:rsidRPr="00A23740">
              <w:rPr>
                <w:b w:val="0"/>
                <w:color w:val="auto"/>
                <w:lang w:val="tr-TR"/>
              </w:rPr>
              <w:t>â</w:t>
            </w:r>
            <w:r w:rsidR="002F68F8" w:rsidRPr="00A23740">
              <w:rPr>
                <w:b w:val="0"/>
                <w:color w:val="auto"/>
                <w:lang w:val="tr-TR"/>
              </w:rPr>
              <w:t>lleri için ortak</w:t>
            </w:r>
            <w:r w:rsidR="00496827" w:rsidRPr="00A23740">
              <w:rPr>
                <w:b w:val="0"/>
                <w:color w:val="auto"/>
                <w:lang w:val="tr-TR"/>
              </w:rPr>
              <w:t xml:space="preserve"> bir</w:t>
            </w:r>
            <w:r w:rsidR="002F68F8" w:rsidRPr="00A23740">
              <w:rPr>
                <w:b w:val="0"/>
                <w:color w:val="auto"/>
                <w:lang w:val="tr-TR"/>
              </w:rPr>
              <w:t xml:space="preserve"> hüküm</w:t>
            </w:r>
            <w:r w:rsidR="00496827" w:rsidRPr="00A23740">
              <w:rPr>
                <w:b w:val="0"/>
                <w:color w:val="auto"/>
                <w:lang w:val="tr-TR"/>
              </w:rPr>
              <w:t xml:space="preserve"> olarak uygulanacaktır. Bu Ayrımın ilgili maddelerinde</w:t>
            </w:r>
            <w:r w:rsidR="00D20255" w:rsidRPr="00A23740">
              <w:rPr>
                <w:b w:val="0"/>
                <w:color w:val="auto"/>
                <w:lang w:val="tr-TR"/>
              </w:rPr>
              <w:t>,</w:t>
            </w:r>
            <w:r w:rsidR="00496827" w:rsidRPr="00A23740">
              <w:rPr>
                <w:b w:val="0"/>
                <w:color w:val="auto"/>
                <w:lang w:val="tr-TR"/>
              </w:rPr>
              <w:t xml:space="preserve"> y</w:t>
            </w:r>
            <w:r w:rsidR="002F68F8" w:rsidRPr="00A23740">
              <w:rPr>
                <w:b w:val="0"/>
                <w:color w:val="auto"/>
                <w:lang w:val="tr-TR"/>
              </w:rPr>
              <w:t>erine getirilecek olan edimin niteliğine göre</w:t>
            </w:r>
            <w:r w:rsidR="00496827" w:rsidRPr="00A23740">
              <w:rPr>
                <w:b w:val="0"/>
                <w:color w:val="auto"/>
                <w:lang w:val="tr-TR"/>
              </w:rPr>
              <w:t xml:space="preserve"> takip talebinde </w:t>
            </w:r>
            <w:r w:rsidR="002F68F8" w:rsidRPr="00A23740">
              <w:rPr>
                <w:b w:val="0"/>
                <w:color w:val="auto"/>
                <w:lang w:val="tr-TR"/>
              </w:rPr>
              <w:t xml:space="preserve">başka hususlar da </w:t>
            </w:r>
            <w:r w:rsidR="00496827" w:rsidRPr="00A23740">
              <w:rPr>
                <w:b w:val="0"/>
                <w:color w:val="auto"/>
                <w:lang w:val="tr-TR"/>
              </w:rPr>
              <w:t>yer alabilir</w:t>
            </w:r>
            <w:r w:rsidR="002F68F8" w:rsidRPr="00A23740">
              <w:rPr>
                <w:b w:val="0"/>
                <w:color w:val="auto"/>
                <w:lang w:val="tr-TR"/>
              </w:rPr>
              <w:t xml:space="preserve">. </w:t>
            </w:r>
          </w:p>
          <w:p w:rsidR="00155AF4" w:rsidRPr="00A23740" w:rsidRDefault="00496827" w:rsidP="009431FF">
            <w:pPr>
              <w:pStyle w:val="Mavi"/>
              <w:ind w:firstLine="709"/>
              <w:rPr>
                <w:b w:val="0"/>
                <w:color w:val="auto"/>
                <w:lang w:val="tr-TR"/>
              </w:rPr>
            </w:pPr>
            <w:r w:rsidRPr="00A23740">
              <w:rPr>
                <w:b w:val="0"/>
                <w:color w:val="auto"/>
                <w:lang w:val="tr-TR"/>
              </w:rPr>
              <w:t>(a)</w:t>
            </w:r>
            <w:r w:rsidR="005767B9" w:rsidRPr="00A23740">
              <w:rPr>
                <w:b w:val="0"/>
                <w:color w:val="auto"/>
                <w:lang w:val="tr-TR"/>
              </w:rPr>
              <w:t xml:space="preserve"> ve (b) bentlerinde</w:t>
            </w:r>
            <w:r w:rsidR="000F3E9A" w:rsidRPr="00A23740">
              <w:rPr>
                <w:b w:val="0"/>
                <w:color w:val="auto"/>
                <w:lang w:val="tr-TR"/>
              </w:rPr>
              <w:t xml:space="preserve">, </w:t>
            </w:r>
            <w:r w:rsidR="005767B9" w:rsidRPr="00A23740">
              <w:rPr>
                <w:b w:val="0"/>
                <w:color w:val="auto"/>
                <w:lang w:val="tr-TR"/>
              </w:rPr>
              <w:t>alacaklı ve borçluyla</w:t>
            </w:r>
            <w:r w:rsidR="002F68F8" w:rsidRPr="00A23740">
              <w:rPr>
                <w:b w:val="0"/>
                <w:color w:val="auto"/>
                <w:lang w:val="tr-TR"/>
              </w:rPr>
              <w:t xml:space="preserve"> ilgili</w:t>
            </w:r>
            <w:r w:rsidR="005767B9" w:rsidRPr="00A23740">
              <w:rPr>
                <w:b w:val="0"/>
                <w:color w:val="auto"/>
                <w:lang w:val="tr-TR"/>
              </w:rPr>
              <w:t xml:space="preserve"> olarak </w:t>
            </w:r>
            <w:r w:rsidR="002F68F8" w:rsidRPr="00A23740">
              <w:rPr>
                <w:b w:val="0"/>
                <w:color w:val="auto"/>
                <w:lang w:val="tr-TR"/>
              </w:rPr>
              <w:t>yazılması g</w:t>
            </w:r>
            <w:r w:rsidR="005767B9" w:rsidRPr="00A23740">
              <w:rPr>
                <w:b w:val="0"/>
                <w:color w:val="auto"/>
                <w:lang w:val="tr-TR"/>
              </w:rPr>
              <w:t>ereken hususlar yer almaktadır.</w:t>
            </w:r>
          </w:p>
          <w:p w:rsidR="005767B9" w:rsidRPr="00A23740" w:rsidRDefault="005767B9" w:rsidP="009431FF">
            <w:pPr>
              <w:tabs>
                <w:tab w:val="left" w:pos="567"/>
              </w:tabs>
              <w:ind w:firstLine="709"/>
              <w:rPr>
                <w:bCs/>
                <w:szCs w:val="24"/>
                <w:lang w:eastAsia="x-none"/>
              </w:rPr>
            </w:pPr>
            <w:r w:rsidRPr="00A23740">
              <w:rPr>
                <w:bCs/>
                <w:szCs w:val="24"/>
                <w:lang w:eastAsia="x-none"/>
              </w:rPr>
              <w:t>(c) bendinde</w:t>
            </w:r>
            <w:r w:rsidR="005A08EF" w:rsidRPr="00A23740">
              <w:rPr>
                <w:bCs/>
                <w:szCs w:val="24"/>
                <w:lang w:eastAsia="x-none"/>
              </w:rPr>
              <w:t>,</w:t>
            </w:r>
            <w:r w:rsidRPr="00A23740">
              <w:rPr>
                <w:bCs/>
                <w:szCs w:val="24"/>
                <w:lang w:eastAsia="x-none"/>
              </w:rPr>
              <w:t xml:space="preserve"> ilam para veya teminat alacağı hakkında takip yollarından hangisinin seçildiği hususu yer almaktadır. </w:t>
            </w:r>
          </w:p>
          <w:p w:rsidR="005767B9" w:rsidRPr="00A23740" w:rsidRDefault="005767B9" w:rsidP="009431FF">
            <w:pPr>
              <w:tabs>
                <w:tab w:val="left" w:pos="567"/>
              </w:tabs>
              <w:ind w:firstLine="709"/>
              <w:rPr>
                <w:bCs/>
                <w:szCs w:val="24"/>
                <w:lang w:eastAsia="x-none"/>
              </w:rPr>
            </w:pPr>
            <w:r w:rsidRPr="00A23740">
              <w:rPr>
                <w:bCs/>
                <w:szCs w:val="24"/>
                <w:lang w:eastAsia="x-none"/>
              </w:rPr>
              <w:t>(ç) bendinde</w:t>
            </w:r>
            <w:r w:rsidR="005A08EF" w:rsidRPr="00A23740">
              <w:rPr>
                <w:bCs/>
                <w:szCs w:val="24"/>
                <w:lang w:eastAsia="x-none"/>
              </w:rPr>
              <w:t xml:space="preserve">, </w:t>
            </w:r>
            <w:r w:rsidRPr="00A23740">
              <w:rPr>
                <w:bCs/>
                <w:szCs w:val="24"/>
                <w:lang w:eastAsia="x-none"/>
              </w:rPr>
              <w:t xml:space="preserve">para alacakları bakımından yazılması gereken hususlar yer almaktadır. </w:t>
            </w:r>
            <w:r w:rsidR="000F3E9A" w:rsidRPr="00A23740">
              <w:rPr>
                <w:bCs/>
                <w:szCs w:val="24"/>
                <w:lang w:eastAsia="x-none"/>
              </w:rPr>
              <w:t>2004 sayılı</w:t>
            </w:r>
            <w:r w:rsidRPr="00A23740">
              <w:rPr>
                <w:bCs/>
                <w:szCs w:val="24"/>
                <w:lang w:eastAsia="x-none"/>
              </w:rPr>
              <w:t xml:space="preserve"> Kanunda düzenlendiği gibi alacağın Türk parasıyla tutarının ve faizle ilgili taleplerin takip talebine yazılması zorunluluğu devam etmektedir.</w:t>
            </w:r>
          </w:p>
          <w:p w:rsidR="005767B9" w:rsidRPr="00A23740" w:rsidRDefault="005A08EF" w:rsidP="009431FF">
            <w:pPr>
              <w:tabs>
                <w:tab w:val="left" w:pos="567"/>
              </w:tabs>
              <w:ind w:firstLine="709"/>
              <w:rPr>
                <w:bCs/>
                <w:szCs w:val="24"/>
                <w:lang w:eastAsia="x-none"/>
              </w:rPr>
            </w:pPr>
            <w:r w:rsidRPr="00A23740">
              <w:rPr>
                <w:bCs/>
                <w:szCs w:val="24"/>
                <w:lang w:eastAsia="x-none"/>
              </w:rPr>
              <w:t>(</w:t>
            </w:r>
            <w:r w:rsidR="005767B9" w:rsidRPr="00A23740">
              <w:rPr>
                <w:bCs/>
                <w:szCs w:val="24"/>
                <w:lang w:eastAsia="x-none"/>
              </w:rPr>
              <w:t>d)</w:t>
            </w:r>
            <w:r w:rsidRPr="00A23740">
              <w:rPr>
                <w:bCs/>
                <w:szCs w:val="24"/>
                <w:lang w:eastAsia="x-none"/>
              </w:rPr>
              <w:t xml:space="preserve"> bendinde, i</w:t>
            </w:r>
            <w:r w:rsidR="005767B9" w:rsidRPr="00A23740">
              <w:rPr>
                <w:bCs/>
                <w:szCs w:val="24"/>
                <w:lang w:eastAsia="x-none"/>
              </w:rPr>
              <w:t>lam taşınır veya geminin teslimine ilişkin ise</w:t>
            </w:r>
            <w:r w:rsidR="00D20255" w:rsidRPr="00A23740">
              <w:rPr>
                <w:bCs/>
                <w:szCs w:val="24"/>
                <w:lang w:eastAsia="x-none"/>
              </w:rPr>
              <w:t>,</w:t>
            </w:r>
            <w:r w:rsidR="005767B9" w:rsidRPr="00A23740">
              <w:rPr>
                <w:bCs/>
                <w:szCs w:val="24"/>
                <w:lang w:eastAsia="x-none"/>
              </w:rPr>
              <w:t xml:space="preserve"> teslimi istenen taşınırın veya geminin ne olduğu, hüküm sonucunda belirtilmişse ilamda yazılı değeri ve alaca</w:t>
            </w:r>
            <w:r w:rsidR="000F3E9A" w:rsidRPr="00A23740">
              <w:rPr>
                <w:bCs/>
                <w:szCs w:val="24"/>
                <w:lang w:eastAsia="x-none"/>
              </w:rPr>
              <w:t xml:space="preserve">klı tarafından biliniyorsa </w:t>
            </w:r>
            <w:r w:rsidR="00D20255" w:rsidRPr="00A23740">
              <w:rPr>
                <w:bCs/>
                <w:szCs w:val="24"/>
                <w:lang w:eastAsia="x-none"/>
              </w:rPr>
              <w:t xml:space="preserve">nerede bulunduğuna </w:t>
            </w:r>
            <w:r w:rsidR="000F3E9A" w:rsidRPr="00A23740">
              <w:rPr>
                <w:bCs/>
                <w:szCs w:val="24"/>
                <w:lang w:eastAsia="x-none"/>
              </w:rPr>
              <w:t>ilişkin hususlar yer almaktadır.</w:t>
            </w:r>
          </w:p>
          <w:p w:rsidR="005767B9" w:rsidRPr="00A23740" w:rsidRDefault="000F3E9A" w:rsidP="009431FF">
            <w:pPr>
              <w:tabs>
                <w:tab w:val="left" w:pos="567"/>
              </w:tabs>
              <w:ind w:firstLine="709"/>
              <w:rPr>
                <w:bCs/>
                <w:szCs w:val="24"/>
                <w:lang w:eastAsia="x-none"/>
              </w:rPr>
            </w:pPr>
            <w:r w:rsidRPr="00A23740">
              <w:rPr>
                <w:bCs/>
                <w:szCs w:val="24"/>
                <w:lang w:eastAsia="x-none"/>
              </w:rPr>
              <w:t>(e) bendinde, ilam taşınmazın veya geminin tahliye ve teslimine ilişkin ise</w:t>
            </w:r>
            <w:r w:rsidR="00D20255" w:rsidRPr="00A23740">
              <w:rPr>
                <w:bCs/>
                <w:szCs w:val="24"/>
                <w:lang w:eastAsia="x-none"/>
              </w:rPr>
              <w:t>,</w:t>
            </w:r>
            <w:r w:rsidRPr="00A23740">
              <w:rPr>
                <w:bCs/>
                <w:szCs w:val="24"/>
                <w:lang w:eastAsia="x-none"/>
              </w:rPr>
              <w:t xml:space="preserve"> taşınmazın tapu kaydına veya geminin sicil kaydına ilişkin bilgilere ve adrese ilişkin hususlar yer almaktadır.</w:t>
            </w:r>
          </w:p>
          <w:p w:rsidR="000F3E9A" w:rsidRPr="00A23740" w:rsidRDefault="000F3E9A" w:rsidP="009431FF">
            <w:pPr>
              <w:tabs>
                <w:tab w:val="left" w:pos="567"/>
              </w:tabs>
              <w:ind w:firstLine="709"/>
              <w:rPr>
                <w:bCs/>
                <w:szCs w:val="24"/>
                <w:lang w:eastAsia="x-none"/>
              </w:rPr>
            </w:pPr>
            <w:r w:rsidRPr="00A23740">
              <w:rPr>
                <w:bCs/>
                <w:szCs w:val="24"/>
                <w:lang w:eastAsia="x-none"/>
              </w:rPr>
              <w:t>(f) bendinde, ilam irtifak hakkının kurulması veya terkinine ilişkin ise</w:t>
            </w:r>
            <w:r w:rsidR="00D20255" w:rsidRPr="00A23740">
              <w:rPr>
                <w:bCs/>
                <w:szCs w:val="24"/>
                <w:lang w:eastAsia="x-none"/>
              </w:rPr>
              <w:t>,</w:t>
            </w:r>
            <w:r w:rsidRPr="00A23740">
              <w:rPr>
                <w:bCs/>
                <w:szCs w:val="24"/>
                <w:lang w:eastAsia="x-none"/>
              </w:rPr>
              <w:t xml:space="preserve"> taşınmazın tapu kaydına ilişkin bilgiler ile irtifak hakkının konusunun ne olduğu hususu yer almaktadır.</w:t>
            </w:r>
          </w:p>
          <w:p w:rsidR="000F3E9A" w:rsidRPr="00A23740" w:rsidRDefault="000F3E9A" w:rsidP="009431FF">
            <w:pPr>
              <w:tabs>
                <w:tab w:val="left" w:pos="567"/>
              </w:tabs>
              <w:ind w:firstLine="709"/>
              <w:rPr>
                <w:bCs/>
                <w:szCs w:val="24"/>
                <w:lang w:eastAsia="x-none"/>
              </w:rPr>
            </w:pPr>
            <w:r w:rsidRPr="00A23740">
              <w:rPr>
                <w:bCs/>
                <w:szCs w:val="24"/>
                <w:lang w:eastAsia="x-none"/>
              </w:rPr>
              <w:t>(g) bendinde, ilam bir işin yapılması veya yapılmamasına ilişkin ise</w:t>
            </w:r>
            <w:r w:rsidR="00D20255" w:rsidRPr="00A23740">
              <w:rPr>
                <w:bCs/>
                <w:szCs w:val="24"/>
                <w:lang w:eastAsia="x-none"/>
              </w:rPr>
              <w:t>,</w:t>
            </w:r>
            <w:r w:rsidRPr="00A23740">
              <w:rPr>
                <w:bCs/>
                <w:szCs w:val="24"/>
                <w:lang w:eastAsia="x-none"/>
              </w:rPr>
              <w:t xml:space="preserve"> yapılması veya yapılmaması istenilen işin ne olduğu hususu yer almaktadır.</w:t>
            </w:r>
          </w:p>
          <w:p w:rsidR="000F3E9A" w:rsidRPr="00A23740" w:rsidRDefault="000F3E9A" w:rsidP="009431FF">
            <w:pPr>
              <w:tabs>
                <w:tab w:val="left" w:pos="567"/>
              </w:tabs>
              <w:ind w:firstLine="709"/>
              <w:rPr>
                <w:bCs/>
                <w:szCs w:val="24"/>
                <w:lang w:eastAsia="x-none"/>
              </w:rPr>
            </w:pPr>
            <w:r w:rsidRPr="00A23740">
              <w:rPr>
                <w:bCs/>
                <w:szCs w:val="24"/>
                <w:lang w:eastAsia="x-none"/>
              </w:rPr>
              <w:t>(ğ) bendinde, ilam seçimlik hüküm içeriyor ise</w:t>
            </w:r>
            <w:r w:rsidR="00D20255" w:rsidRPr="00A23740">
              <w:rPr>
                <w:bCs/>
                <w:szCs w:val="24"/>
                <w:lang w:eastAsia="x-none"/>
              </w:rPr>
              <w:t>,</w:t>
            </w:r>
            <w:r w:rsidRPr="00A23740">
              <w:rPr>
                <w:bCs/>
                <w:szCs w:val="24"/>
                <w:lang w:eastAsia="x-none"/>
              </w:rPr>
              <w:t xml:space="preserve"> talebin seçimlik hükümlerden hangisine hasredildiği hususu yer almaktadır.</w:t>
            </w:r>
          </w:p>
          <w:p w:rsidR="00734025" w:rsidRPr="00A23740" w:rsidRDefault="00385C50" w:rsidP="009431FF">
            <w:pPr>
              <w:tabs>
                <w:tab w:val="left" w:pos="567"/>
              </w:tabs>
              <w:ind w:firstLine="709"/>
              <w:rPr>
                <w:bCs/>
                <w:szCs w:val="24"/>
                <w:lang w:eastAsia="x-none"/>
              </w:rPr>
            </w:pPr>
            <w:r w:rsidRPr="00A23740">
              <w:rPr>
                <w:bCs/>
                <w:szCs w:val="24"/>
                <w:lang w:eastAsia="x-none"/>
              </w:rPr>
              <w:t xml:space="preserve">Üçüncü fıkrayla, takip talebine ilamın veya ilam niteliğindeki belgenin borçlu sayısından bir fazla nüshası veya onaylı örneğinin ekleneceği düzenlenmektedir. </w:t>
            </w:r>
          </w:p>
          <w:p w:rsidR="00385C50" w:rsidRPr="00A23740" w:rsidRDefault="00385C50" w:rsidP="009431FF">
            <w:pPr>
              <w:tabs>
                <w:tab w:val="left" w:pos="567"/>
              </w:tabs>
              <w:ind w:firstLine="709"/>
              <w:rPr>
                <w:bCs/>
                <w:szCs w:val="24"/>
                <w:lang w:eastAsia="x-none"/>
              </w:rPr>
            </w:pPr>
            <w:r w:rsidRPr="00A23740">
              <w:rPr>
                <w:bCs/>
                <w:szCs w:val="24"/>
                <w:lang w:eastAsia="x-none"/>
              </w:rPr>
              <w:t>Dördüncü fıkrayla, icra</w:t>
            </w:r>
            <w:r w:rsidR="00521368" w:rsidRPr="00A23740">
              <w:rPr>
                <w:bCs/>
                <w:szCs w:val="24"/>
                <w:lang w:eastAsia="x-none"/>
              </w:rPr>
              <w:t xml:space="preserve"> </w:t>
            </w:r>
            <w:r w:rsidR="00521368" w:rsidRPr="008D10FA">
              <w:rPr>
                <w:rStyle w:val="YELChar"/>
                <w:b w:val="0"/>
                <w:color w:val="auto"/>
              </w:rPr>
              <w:t>ve iflas</w:t>
            </w:r>
            <w:r w:rsidRPr="00A23740">
              <w:rPr>
                <w:bCs/>
                <w:szCs w:val="24"/>
                <w:lang w:eastAsia="x-none"/>
              </w:rPr>
              <w:t xml:space="preserve"> dairesinin düzenleyeceği alındı belgesine ilişkin hususlar hükme bağlanmaktadır.</w:t>
            </w:r>
            <w:r w:rsidR="005E6FE1" w:rsidRPr="00A23740">
              <w:rPr>
                <w:bCs/>
                <w:szCs w:val="24"/>
                <w:lang w:eastAsia="x-none"/>
              </w:rPr>
              <w:t xml:space="preserve"> Bu hüküm, 2004 sayılı Kanunun 35 inci maddesinin birinci fıkrasının ikinci cümlesine karşılık gelmektedir.</w:t>
            </w:r>
            <w:r w:rsidRPr="00A23740">
              <w:rPr>
                <w:bCs/>
                <w:szCs w:val="24"/>
                <w:lang w:eastAsia="x-none"/>
              </w:rPr>
              <w:t xml:space="preserve"> </w:t>
            </w:r>
          </w:p>
          <w:p w:rsidR="002F68F8" w:rsidRPr="00A23740" w:rsidRDefault="00385C50" w:rsidP="009431FF">
            <w:pPr>
              <w:tabs>
                <w:tab w:val="left" w:pos="567"/>
              </w:tabs>
              <w:ind w:firstLine="709"/>
            </w:pPr>
            <w:r w:rsidRPr="00A23740">
              <w:rPr>
                <w:bCs/>
                <w:szCs w:val="24"/>
                <w:lang w:eastAsia="x-none"/>
              </w:rPr>
              <w:lastRenderedPageBreak/>
              <w:t>Beşinci fıkrayla takibin, talebin kaydedildiği tarihte başlatılmış sayılacağı açık bir şekilde düzenlenmektedir.</w:t>
            </w:r>
            <w:r w:rsidR="005E6FE1" w:rsidRPr="00A23740">
              <w:rPr>
                <w:bCs/>
                <w:szCs w:val="24"/>
                <w:lang w:eastAsia="x-none"/>
              </w:rPr>
              <w:t xml:space="preserve"> Bu hüküm, 2004 sayılı Kanunun 35 inci maddesinin birinci fıkrasının birinci cümlesine karşılık gelmektedir.</w:t>
            </w:r>
          </w:p>
          <w:p w:rsidR="002F443A" w:rsidRPr="00A23740" w:rsidRDefault="002F443A" w:rsidP="009431FF">
            <w:pPr>
              <w:pStyle w:val="Mavi"/>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rFonts w:eastAsia="Times New Roman"/>
                <w:b/>
                <w:iCs/>
                <w:color w:val="000000"/>
                <w:szCs w:val="24"/>
                <w:lang w:eastAsia="tr-TR"/>
              </w:rPr>
            </w:pPr>
            <w:r w:rsidRPr="00A23740">
              <w:rPr>
                <w:rFonts w:eastAsia="Times New Roman"/>
                <w:b/>
                <w:iCs/>
                <w:color w:val="000000"/>
                <w:szCs w:val="24"/>
                <w:lang w:eastAsia="tr-TR"/>
              </w:rPr>
              <w:lastRenderedPageBreak/>
              <w:t xml:space="preserve">İcra emri </w:t>
            </w:r>
            <w:r w:rsidRPr="00A23740">
              <w:rPr>
                <w:rStyle w:val="KIRMIZIChar"/>
                <w:rFonts w:eastAsia="Calibri"/>
              </w:rPr>
              <w:t>ve muhtevası</w:t>
            </w:r>
            <w:r w:rsidRPr="00A23740">
              <w:rPr>
                <w:rStyle w:val="KIRMIZIChar"/>
                <w:rFonts w:eastAsia="Calibri"/>
                <w:lang w:eastAsia="tr-TR"/>
              </w:rPr>
              <w:t>:</w:t>
            </w:r>
          </w:p>
          <w:p w:rsidR="00155AF4" w:rsidRPr="00A23740" w:rsidRDefault="00155AF4" w:rsidP="009431FF">
            <w:pPr>
              <w:pStyle w:val="KIRMIZI"/>
              <w:rPr>
                <w:lang w:val="tr-TR"/>
              </w:rPr>
            </w:pPr>
            <w:r w:rsidRPr="00A23740">
              <w:rPr>
                <w:lang w:val="tr-TR"/>
              </w:rPr>
              <w:t>Madde 32 – (1) (Değişik: 18/2/1965-538/16 md.)</w:t>
            </w:r>
          </w:p>
          <w:p w:rsidR="00155AF4" w:rsidRPr="00A23740" w:rsidRDefault="00155AF4" w:rsidP="009431FF">
            <w:pPr>
              <w:pStyle w:val="KIRMIZI"/>
              <w:rPr>
                <w:vertAlign w:val="superscript"/>
                <w:lang w:val="tr-TR"/>
              </w:rPr>
            </w:pPr>
            <w:r w:rsidRPr="00A23740">
              <w:rPr>
                <w:lang w:val="tr-TR"/>
              </w:rPr>
              <w:t>Para borcuna veya teminat verilmesine dair olan ilam icra dairesine verilince icra memuru borçluya bir icra emri tebliğ eder. Bu emirde 24 üncü maddede yazılanlardan başka hükmolunan şeyin cinsi ve miktarı gösterilir ve nihayet yedi gün içinde ödenmesi ve bu müddet içinde borç ödenmez veya hükmolunan teminat verilmezse icra mahkemesinden veya istinaf veya temyiz yahut iadei muhakeme yolu ile ait olduğu mahkemeden icranın geri bırakılmasına dair bir karar getirilmedikçe cebri icra yapılacağı ve bu müddet içinde 74 üncü madde mucibince mal beyanında bulunması ve bulunmazsa hapis ile tazyik olunacağı, mal beyanında bulunmaz veya hakikata muhalif beyanda bulunursa hapis ile cezalandırılacağı ihtar edilir.</w:t>
            </w: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155AF4" w:rsidRPr="00A23740" w:rsidRDefault="00155AF4" w:rsidP="009431FF">
            <w:pPr>
              <w:jc w:val="center"/>
              <w:rPr>
                <w:rFonts w:eastAsia="Times New Roman"/>
                <w:b/>
                <w:bCs/>
                <w:szCs w:val="24"/>
                <w:lang w:eastAsia="tr-TR"/>
              </w:rPr>
            </w:pPr>
          </w:p>
          <w:p w:rsidR="008E0E1F" w:rsidRPr="00A23740" w:rsidRDefault="008E0E1F" w:rsidP="009431FF">
            <w:pPr>
              <w:jc w:val="center"/>
              <w:rPr>
                <w:rFonts w:eastAsia="Times New Roman"/>
                <w:b/>
                <w:bCs/>
                <w:szCs w:val="24"/>
                <w:lang w:eastAsia="tr-TR"/>
              </w:rPr>
            </w:pPr>
          </w:p>
          <w:p w:rsidR="008E0E1F" w:rsidRPr="00A23740" w:rsidRDefault="008E0E1F" w:rsidP="009431FF">
            <w:pPr>
              <w:jc w:val="center"/>
              <w:rPr>
                <w:rFonts w:eastAsia="Times New Roman"/>
                <w:b/>
                <w:bCs/>
                <w:szCs w:val="24"/>
                <w:lang w:eastAsia="tr-TR"/>
              </w:rPr>
            </w:pPr>
          </w:p>
          <w:p w:rsidR="00537077" w:rsidRPr="00A23740" w:rsidRDefault="00537077" w:rsidP="009431FF">
            <w:pPr>
              <w:jc w:val="center"/>
              <w:rPr>
                <w:rFonts w:eastAsia="Times New Roman"/>
                <w:b/>
                <w:bCs/>
                <w:szCs w:val="24"/>
                <w:lang w:eastAsia="tr-TR"/>
              </w:rPr>
            </w:pPr>
          </w:p>
          <w:p w:rsidR="00537077" w:rsidRPr="00A23740" w:rsidRDefault="00537077" w:rsidP="009431FF">
            <w:pPr>
              <w:jc w:val="center"/>
              <w:rPr>
                <w:rFonts w:eastAsia="Times New Roman"/>
                <w:b/>
                <w:bCs/>
                <w:szCs w:val="24"/>
                <w:lang w:eastAsia="tr-TR"/>
              </w:rPr>
            </w:pPr>
          </w:p>
          <w:p w:rsidR="00537077" w:rsidRPr="00A23740" w:rsidRDefault="00537077" w:rsidP="009431FF">
            <w:pPr>
              <w:jc w:val="center"/>
              <w:rPr>
                <w:rFonts w:eastAsia="Times New Roman"/>
                <w:b/>
                <w:bCs/>
                <w:szCs w:val="24"/>
                <w:lang w:eastAsia="tr-TR"/>
              </w:rPr>
            </w:pPr>
          </w:p>
          <w:p w:rsidR="00537077" w:rsidRPr="00A23740" w:rsidRDefault="00537077" w:rsidP="009431FF">
            <w:pPr>
              <w:jc w:val="center"/>
              <w:rPr>
                <w:rFonts w:eastAsia="Times New Roman"/>
                <w:b/>
                <w:bCs/>
                <w:szCs w:val="24"/>
                <w:lang w:eastAsia="tr-TR"/>
              </w:rPr>
            </w:pPr>
          </w:p>
          <w:p w:rsidR="008E0E1F" w:rsidRPr="00A23740" w:rsidRDefault="008E0E1F" w:rsidP="009431FF">
            <w:pPr>
              <w:jc w:val="center"/>
              <w:rPr>
                <w:rFonts w:eastAsia="Times New Roman"/>
                <w:b/>
                <w:bCs/>
                <w:szCs w:val="24"/>
                <w:lang w:eastAsia="tr-TR"/>
              </w:rPr>
            </w:pPr>
          </w:p>
          <w:p w:rsidR="008E0E1F" w:rsidRPr="00A23740" w:rsidRDefault="008E0E1F" w:rsidP="009431FF">
            <w:pPr>
              <w:jc w:val="center"/>
              <w:rPr>
                <w:rFonts w:eastAsia="Times New Roman"/>
                <w:b/>
                <w:bCs/>
                <w:szCs w:val="24"/>
                <w:lang w:eastAsia="tr-TR"/>
              </w:rPr>
            </w:pPr>
          </w:p>
          <w:p w:rsidR="008E0E1F" w:rsidRPr="00A23740" w:rsidRDefault="008E0E1F" w:rsidP="009431FF">
            <w:pPr>
              <w:jc w:val="center"/>
              <w:rPr>
                <w:rFonts w:eastAsia="Times New Roman"/>
                <w:b/>
                <w:bCs/>
                <w:szCs w:val="24"/>
                <w:lang w:eastAsia="tr-TR"/>
              </w:rPr>
            </w:pPr>
          </w:p>
          <w:p w:rsidR="00520302" w:rsidRPr="00A23740" w:rsidRDefault="00520302" w:rsidP="009431FF">
            <w:pPr>
              <w:jc w:val="center"/>
              <w:rPr>
                <w:rFonts w:eastAsia="Times New Roman"/>
                <w:b/>
                <w:bCs/>
                <w:szCs w:val="24"/>
                <w:lang w:eastAsia="tr-TR"/>
              </w:rPr>
            </w:pPr>
          </w:p>
          <w:p w:rsidR="00155AF4" w:rsidRPr="00A23740" w:rsidRDefault="00155AF4" w:rsidP="009431FF">
            <w:pPr>
              <w:rPr>
                <w:rFonts w:eastAsia="Times New Roman"/>
                <w:b/>
                <w:bCs/>
                <w:szCs w:val="24"/>
                <w:lang w:eastAsia="tr-TR"/>
              </w:rPr>
            </w:pPr>
          </w:p>
          <w:p w:rsidR="00A82AA4" w:rsidRPr="00A23740" w:rsidRDefault="00A82AA4" w:rsidP="009431FF">
            <w:pPr>
              <w:rPr>
                <w:rFonts w:eastAsia="Times New Roman"/>
                <w:b/>
                <w:bCs/>
                <w:strike/>
                <w:color w:val="FF0000"/>
                <w:szCs w:val="24"/>
                <w:lang w:eastAsia="tr-TR"/>
              </w:rPr>
            </w:pPr>
          </w:p>
          <w:p w:rsidR="00155AF4" w:rsidRPr="00A23740" w:rsidRDefault="00155AF4" w:rsidP="009431FF">
            <w:pPr>
              <w:rPr>
                <w:rFonts w:eastAsia="Times New Roman"/>
                <w:b/>
                <w:bCs/>
                <w:szCs w:val="24"/>
                <w:lang w:eastAsia="tr-TR"/>
              </w:rPr>
            </w:pPr>
            <w:r w:rsidRPr="00A23740">
              <w:rPr>
                <w:rFonts w:eastAsia="Times New Roman"/>
                <w:b/>
                <w:bCs/>
                <w:strike/>
                <w:color w:val="FF0000"/>
                <w:szCs w:val="24"/>
                <w:lang w:eastAsia="tr-TR"/>
              </w:rPr>
              <w:t>(2) (Ek fıkra: 2/7/2012-6352/7 md.)</w:t>
            </w:r>
            <w:r w:rsidRPr="00A23740">
              <w:rPr>
                <w:rFonts w:eastAsia="Times New Roman"/>
                <w:szCs w:val="24"/>
                <w:lang w:eastAsia="tr-TR"/>
              </w:rPr>
              <w:t xml:space="preserve"> Yabancı devlet aleyhine başlatılan ilâmlı icra takiplerine ilişkin icra emrinde uluslararası andlaşmalar saklı kalmak </w:t>
            </w:r>
            <w:r w:rsidRPr="00A23740">
              <w:rPr>
                <w:rStyle w:val="KIRMIZIChar"/>
                <w:rFonts w:eastAsia="Calibri"/>
              </w:rPr>
              <w:t>kaydıyla</w:t>
            </w:r>
            <w:r w:rsidRPr="00A23740">
              <w:rPr>
                <w:rFonts w:eastAsia="Times New Roman"/>
                <w:szCs w:val="24"/>
                <w:lang w:eastAsia="tr-TR"/>
              </w:rPr>
              <w:t>, borçlu devlete ait olan mallar hakkında cebri icra yapılabileceği hususu ayrıca ihtar edilir.</w:t>
            </w:r>
          </w:p>
        </w:tc>
        <w:tc>
          <w:tcPr>
            <w:tcW w:w="2500" w:type="pct"/>
          </w:tcPr>
          <w:p w:rsidR="00155AF4" w:rsidRPr="00A23740" w:rsidRDefault="00155AF4" w:rsidP="009431FF">
            <w:pPr>
              <w:pStyle w:val="Mavi"/>
            </w:pPr>
            <w:r w:rsidRPr="00A23740">
              <w:rPr>
                <w:rFonts w:eastAsia="Times New Roman"/>
                <w:bCs w:val="0"/>
                <w:iCs/>
                <w:color w:val="000000"/>
                <w:lang w:val="tr-TR" w:eastAsia="tr-TR"/>
              </w:rPr>
              <w:lastRenderedPageBreak/>
              <w:t>İcra emri</w:t>
            </w:r>
            <w:r w:rsidRPr="00A23740">
              <w:t xml:space="preserve"> </w:t>
            </w:r>
          </w:p>
          <w:p w:rsidR="00155AF4" w:rsidRPr="00A23740" w:rsidRDefault="00155AF4" w:rsidP="009431FF">
            <w:pPr>
              <w:pStyle w:val="Mavi"/>
            </w:pPr>
            <w:r w:rsidRPr="00A23740">
              <w:t>MADDE 57- (</w:t>
            </w:r>
            <w:r w:rsidR="001A09D3" w:rsidRPr="00A23740">
              <w:t>1</w:t>
            </w:r>
            <w:r w:rsidRPr="00A23740">
              <w:t>) İcra emrinde aşağıdaki hususlar bulunur:</w:t>
            </w:r>
          </w:p>
          <w:p w:rsidR="00155AF4" w:rsidRPr="00A23740" w:rsidRDefault="00155AF4" w:rsidP="009431FF">
            <w:pPr>
              <w:autoSpaceDE w:val="0"/>
              <w:autoSpaceDN w:val="0"/>
              <w:adjustRightInd w:val="0"/>
              <w:rPr>
                <w:rFonts w:eastAsia="Times New Roman"/>
                <w:b/>
                <w:color w:val="FF0000"/>
                <w:szCs w:val="24"/>
                <w:lang w:eastAsia="tr-TR"/>
              </w:rPr>
            </w:pPr>
          </w:p>
          <w:p w:rsidR="00155AF4" w:rsidRPr="00A23740" w:rsidRDefault="00155AF4" w:rsidP="009431FF">
            <w:pPr>
              <w:pStyle w:val="Mavi"/>
            </w:pPr>
            <w:r w:rsidRPr="00A23740">
              <w:t xml:space="preserve">a) Alacaklı veya vekilinin banka hesap numarası hariç olmak üzere </w:t>
            </w:r>
            <w:r w:rsidRPr="00A23740">
              <w:rPr>
                <w:lang w:val="tr-TR"/>
              </w:rPr>
              <w:t xml:space="preserve">56 ncı </w:t>
            </w:r>
            <w:r w:rsidRPr="00A23740">
              <w:t>maddeye göre takip talebine yazılması gereken kayıtlar ile icra ve iflas dairesinin</w:t>
            </w:r>
            <w:r w:rsidR="008E0E1F" w:rsidRPr="00A23740">
              <w:t xml:space="preserve"> banka hesap numarası.</w:t>
            </w:r>
          </w:p>
          <w:p w:rsidR="00537077" w:rsidRPr="00A23740" w:rsidRDefault="00537077" w:rsidP="009431FF">
            <w:pPr>
              <w:pStyle w:val="Mavi"/>
            </w:pPr>
          </w:p>
          <w:p w:rsidR="00E810B1" w:rsidRPr="00A23740" w:rsidRDefault="00155AF4" w:rsidP="009431FF">
            <w:pPr>
              <w:pStyle w:val="Mavi"/>
            </w:pPr>
            <w:r w:rsidRPr="00A23740">
              <w:t>b) İcra emrinin</w:t>
            </w:r>
            <w:r w:rsidRPr="00A23740">
              <w:rPr>
                <w:lang w:val="tr-TR"/>
              </w:rPr>
              <w:t xml:space="preserve"> </w:t>
            </w:r>
            <w:r w:rsidRPr="00A23740">
              <w:t>gereğinin icra emrinde belirtilen süre içinde yerine getirilmesi gerektiği, aksi takdirde cebr</w:t>
            </w:r>
            <w:r w:rsidR="00A949BC" w:rsidRPr="00A23740">
              <w:rPr>
                <w:lang w:val="tr-TR"/>
              </w:rPr>
              <w:t>î</w:t>
            </w:r>
            <w:r w:rsidRPr="00A23740">
              <w:t xml:space="preserve"> icraya devam olunacağı.</w:t>
            </w:r>
          </w:p>
          <w:p w:rsidR="00537077" w:rsidRPr="00A23740" w:rsidRDefault="00537077" w:rsidP="009431FF">
            <w:pPr>
              <w:pStyle w:val="Mavi"/>
              <w:rPr>
                <w:rFonts w:eastAsia="Times New Roman"/>
                <w:lang w:eastAsia="tr-TR"/>
              </w:rPr>
            </w:pPr>
          </w:p>
          <w:p w:rsidR="00155AF4" w:rsidRPr="00A23740" w:rsidRDefault="00155AF4" w:rsidP="009431FF">
            <w:pPr>
              <w:pStyle w:val="Mavi"/>
            </w:pPr>
            <w:r w:rsidRPr="00A23740">
              <w:t xml:space="preserve">c) Takibin iptaline veya icranın geri bırakılmasına; 55 </w:t>
            </w:r>
            <w:r w:rsidRPr="00A23740">
              <w:rPr>
                <w:lang w:val="tr-TR"/>
              </w:rPr>
              <w:t>inci (mevcut 36)</w:t>
            </w:r>
            <w:r w:rsidRPr="00A23740">
              <w:t xml:space="preserve"> maddeye göre icranın ertelenmesine veya yargılamanın iadesi davasında icranın durdurulmasına dair bir karar verilmedikçe icraya </w:t>
            </w:r>
            <w:r w:rsidR="008E0E1F" w:rsidRPr="00A23740">
              <w:t>devam edileceği.</w:t>
            </w:r>
          </w:p>
          <w:p w:rsidR="00537077" w:rsidRPr="00A23740" w:rsidRDefault="00537077" w:rsidP="009431FF">
            <w:pPr>
              <w:pStyle w:val="Mavi"/>
            </w:pPr>
          </w:p>
          <w:p w:rsidR="00155AF4" w:rsidRPr="00A23740" w:rsidRDefault="00155AF4" w:rsidP="009431FF">
            <w:pPr>
              <w:pStyle w:val="Mavi"/>
            </w:pPr>
            <w:r w:rsidRPr="00A23740">
              <w:t>ç) Borçlunun, şik</w:t>
            </w:r>
            <w:r w:rsidR="00597CDF" w:rsidRPr="00A23740">
              <w:rPr>
                <w:lang w:val="tr-TR"/>
              </w:rPr>
              <w:t>â</w:t>
            </w:r>
            <w:r w:rsidRPr="00A23740">
              <w:t xml:space="preserve">yetlerini 22 </w:t>
            </w:r>
            <w:r w:rsidRPr="00A23740">
              <w:rPr>
                <w:lang w:val="tr-TR"/>
              </w:rPr>
              <w:t>(mevcut 16)</w:t>
            </w:r>
            <w:r w:rsidRPr="00A23740">
              <w:t xml:space="preserve"> ve devamı maddeler uyarınca icra </w:t>
            </w:r>
            <w:r w:rsidR="008E0E1F" w:rsidRPr="00A23740">
              <w:t>hukuk mahkemesine yapabileceği.</w:t>
            </w:r>
          </w:p>
          <w:p w:rsidR="00537077" w:rsidRPr="00A23740" w:rsidRDefault="00537077" w:rsidP="009431FF">
            <w:pPr>
              <w:pStyle w:val="Mavi"/>
            </w:pPr>
          </w:p>
          <w:p w:rsidR="00155AF4" w:rsidRPr="00A23740" w:rsidRDefault="00155AF4" w:rsidP="009431FF">
            <w:pPr>
              <w:pStyle w:val="Mavi"/>
            </w:pPr>
            <w:r w:rsidRPr="00A23740">
              <w:t>d) Takibe konu ilam veya ilam niteliğindeki belgeyle ilgili hükümlerde belirtilen diğer hususlar.</w:t>
            </w:r>
          </w:p>
          <w:p w:rsidR="00155AF4" w:rsidRPr="00A23740" w:rsidRDefault="00155AF4" w:rsidP="009431FF">
            <w:pPr>
              <w:tabs>
                <w:tab w:val="left" w:pos="567"/>
              </w:tabs>
              <w:rPr>
                <w:szCs w:val="24"/>
                <w:lang w:eastAsia="x-none"/>
              </w:rPr>
            </w:pPr>
          </w:p>
          <w:p w:rsidR="00155AF4" w:rsidRPr="00A23740" w:rsidRDefault="001A09D3" w:rsidP="009431FF">
            <w:pPr>
              <w:pStyle w:val="Mavi"/>
            </w:pPr>
            <w:r w:rsidRPr="00A23740">
              <w:t>(2</w:t>
            </w:r>
            <w:r w:rsidR="00155AF4" w:rsidRPr="00A23740">
              <w:t xml:space="preserve">) İcra emrinde, dayanak ilam seçimlik hüküm içeriyor ise </w:t>
            </w:r>
            <w:r w:rsidR="00597CDF" w:rsidRPr="00A23740">
              <w:rPr>
                <w:lang w:val="tr-TR"/>
              </w:rPr>
              <w:t xml:space="preserve">borçlunun, </w:t>
            </w:r>
            <w:r w:rsidR="00155AF4" w:rsidRPr="00A23740">
              <w:t>alacaklının talep ettiği edim yerine ilamda yer alan diğer edim veya</w:t>
            </w:r>
            <w:r w:rsidR="00155AF4" w:rsidRPr="00A23740">
              <w:rPr>
                <w:lang w:val="tr-TR"/>
              </w:rPr>
              <w:t xml:space="preserve"> </w:t>
            </w:r>
            <w:r w:rsidR="00155AF4" w:rsidRPr="00A23740">
              <w:t>edimlerden birini ifa ederek de borcundan kurtulabileceği hususu da yer alır.</w:t>
            </w:r>
          </w:p>
          <w:p w:rsidR="00155AF4" w:rsidRPr="00A23740" w:rsidRDefault="00155AF4" w:rsidP="009431FF">
            <w:pPr>
              <w:tabs>
                <w:tab w:val="left" w:pos="567"/>
              </w:tabs>
              <w:rPr>
                <w:szCs w:val="24"/>
                <w:lang w:eastAsia="x-none"/>
              </w:rPr>
            </w:pPr>
          </w:p>
          <w:p w:rsidR="00155AF4" w:rsidRPr="00A23740" w:rsidRDefault="001A09D3" w:rsidP="009431FF">
            <w:pPr>
              <w:pStyle w:val="Mavi"/>
            </w:pPr>
            <w:r w:rsidRPr="00A23740">
              <w:t>(3</w:t>
            </w:r>
            <w:r w:rsidR="00155AF4" w:rsidRPr="00A23740">
              <w:t>) Dayanak ilam karşılıklı edimlerin ifası hükmünü içeriyor ise borçlunun</w:t>
            </w:r>
            <w:r w:rsidR="00793E11" w:rsidRPr="002060A9">
              <w:rPr>
                <w:rStyle w:val="Balk1Char"/>
                <w:rFonts w:eastAsia="Calibri"/>
                <w:b/>
              </w:rPr>
              <w:t>,</w:t>
            </w:r>
            <w:r w:rsidR="00155AF4" w:rsidRPr="00A23740">
              <w:t xml:space="preserve"> icra emrinin tebliğinden itibaren iki hafta içinde dilekçeyle icra hukuk mahkemesine başvurarak, alacaklının kendi </w:t>
            </w:r>
            <w:r w:rsidR="00155AF4" w:rsidRPr="00A23740">
              <w:lastRenderedPageBreak/>
              <w:t>edimini ifa etmediğini veya ifayı teklif etmediğini ileri sürerek icranın geri bırakılmasını talep edebileceği hususu icra emrinde yer alır.</w:t>
            </w:r>
          </w:p>
          <w:p w:rsidR="00155AF4" w:rsidRPr="00A23740" w:rsidRDefault="00155AF4" w:rsidP="009431FF">
            <w:pPr>
              <w:rPr>
                <w:szCs w:val="24"/>
                <w:lang w:eastAsia="x-none"/>
              </w:rPr>
            </w:pPr>
          </w:p>
          <w:p w:rsidR="00155AF4" w:rsidRPr="00A23740" w:rsidRDefault="001A09D3" w:rsidP="009431FF">
            <w:pPr>
              <w:pStyle w:val="Mavi"/>
            </w:pPr>
            <w:r w:rsidRPr="00A23740">
              <w:t>(4</w:t>
            </w:r>
            <w:r w:rsidR="00155AF4" w:rsidRPr="00A23740">
              <w:t>) İcra emrinde ayrıca, emrin gereğinin yerine getirilmemesi h</w:t>
            </w:r>
            <w:r w:rsidR="002F2BAA" w:rsidRPr="00A23740">
              <w:rPr>
                <w:lang w:val="tr-TR"/>
              </w:rPr>
              <w:t>â</w:t>
            </w:r>
            <w:r w:rsidR="00155AF4" w:rsidRPr="00A23740">
              <w:t>linde icra tazminatına hükmedilebileceği ve cezai yaptırım uygulanabileceği ihtarlarına</w:t>
            </w:r>
            <w:r w:rsidR="00155AF4" w:rsidRPr="00A23740">
              <w:rPr>
                <w:lang w:val="tr-TR"/>
              </w:rPr>
              <w:t xml:space="preserve"> </w:t>
            </w:r>
            <w:r w:rsidR="00155AF4" w:rsidRPr="00A23740">
              <w:t>da yer verilir.</w:t>
            </w:r>
          </w:p>
          <w:p w:rsidR="00155AF4" w:rsidRPr="00A23740" w:rsidRDefault="00155AF4" w:rsidP="009431FF">
            <w:pPr>
              <w:rPr>
                <w:rFonts w:eastAsia="Times New Roman"/>
                <w:szCs w:val="24"/>
                <w:lang w:eastAsia="tr-TR"/>
              </w:rPr>
            </w:pPr>
          </w:p>
          <w:p w:rsidR="00155AF4" w:rsidRPr="00A23740" w:rsidRDefault="001A09D3" w:rsidP="009431FF">
            <w:pPr>
              <w:rPr>
                <w:rFonts w:eastAsia="Times New Roman"/>
                <w:szCs w:val="24"/>
                <w:lang w:eastAsia="tr-TR"/>
              </w:rPr>
            </w:pPr>
            <w:r w:rsidRPr="00A23740">
              <w:rPr>
                <w:rStyle w:val="MaviChar"/>
              </w:rPr>
              <w:t>(5</w:t>
            </w:r>
            <w:r w:rsidR="00155AF4" w:rsidRPr="00A23740">
              <w:rPr>
                <w:rStyle w:val="MaviChar"/>
              </w:rPr>
              <w:t>)</w:t>
            </w:r>
            <w:r w:rsidR="00155AF4" w:rsidRPr="00A23740">
              <w:rPr>
                <w:rFonts w:eastAsia="Times New Roman"/>
                <w:szCs w:val="24"/>
                <w:lang w:eastAsia="tr-TR"/>
              </w:rPr>
              <w:t xml:space="preserve"> Yabancı devlet aleyhine başlatılan il</w:t>
            </w:r>
            <w:r w:rsidR="00D72007" w:rsidRPr="00A23740">
              <w:rPr>
                <w:rFonts w:eastAsia="Times New Roman"/>
                <w:szCs w:val="24"/>
                <w:lang w:eastAsia="tr-TR"/>
              </w:rPr>
              <w:t>a</w:t>
            </w:r>
            <w:r w:rsidR="00155AF4" w:rsidRPr="00A23740">
              <w:rPr>
                <w:rFonts w:eastAsia="Times New Roman"/>
                <w:szCs w:val="24"/>
                <w:lang w:eastAsia="tr-TR"/>
              </w:rPr>
              <w:t xml:space="preserve">mlı icra takiplerine ilişkin icra emrinde, uluslararası antlaşmalar saklı kalmak </w:t>
            </w:r>
            <w:r w:rsidR="00155AF4" w:rsidRPr="00A23740">
              <w:rPr>
                <w:rStyle w:val="MaviChar"/>
              </w:rPr>
              <w:t>şartıyla</w:t>
            </w:r>
            <w:r w:rsidR="00155AF4" w:rsidRPr="00A23740">
              <w:rPr>
                <w:rFonts w:eastAsia="Times New Roman"/>
                <w:szCs w:val="24"/>
                <w:lang w:eastAsia="tr-TR"/>
              </w:rPr>
              <w:t>, borçlu devlete ait olan mallar hakkında cebr</w:t>
            </w:r>
            <w:r w:rsidR="00070384" w:rsidRPr="00A23740">
              <w:rPr>
                <w:rFonts w:eastAsia="Times New Roman"/>
                <w:szCs w:val="24"/>
                <w:lang w:eastAsia="tr-TR"/>
              </w:rPr>
              <w:t>î</w:t>
            </w:r>
            <w:r w:rsidR="00155AF4" w:rsidRPr="00A23740">
              <w:rPr>
                <w:rFonts w:eastAsia="Times New Roman"/>
                <w:szCs w:val="24"/>
                <w:lang w:eastAsia="tr-TR"/>
              </w:rPr>
              <w:t xml:space="preserve"> icra yapılabileceği hususu ayrıca ihtar edilir.</w:t>
            </w:r>
          </w:p>
          <w:p w:rsidR="00A82AA4" w:rsidRPr="00A23740" w:rsidRDefault="00A82AA4" w:rsidP="009431FF">
            <w:pPr>
              <w:rPr>
                <w:rFonts w:eastAsia="Times New Roman"/>
                <w:b/>
                <w:bCs/>
                <w:szCs w:val="24"/>
                <w:lang w:eastAsia="tr-TR"/>
              </w:rPr>
            </w:pPr>
          </w:p>
        </w:tc>
      </w:tr>
      <w:tr w:rsidR="00155AF4" w:rsidRPr="00A23740" w:rsidTr="009431FF">
        <w:tc>
          <w:tcPr>
            <w:tcW w:w="5000" w:type="pct"/>
            <w:gridSpan w:val="2"/>
            <w:shd w:val="clear" w:color="auto" w:fill="DEEAF6"/>
          </w:tcPr>
          <w:p w:rsidR="00496827" w:rsidRPr="00A23740" w:rsidRDefault="00496827" w:rsidP="009431FF">
            <w:pPr>
              <w:pStyle w:val="Mavi"/>
              <w:ind w:firstLine="709"/>
              <w:rPr>
                <w:color w:val="auto"/>
                <w:lang w:val="tr-TR"/>
              </w:rPr>
            </w:pPr>
          </w:p>
          <w:p w:rsidR="00520302" w:rsidRPr="00A23740" w:rsidRDefault="002F68F8" w:rsidP="009431FF">
            <w:pPr>
              <w:pStyle w:val="Mavi"/>
              <w:ind w:firstLine="709"/>
              <w:rPr>
                <w:b w:val="0"/>
                <w:color w:val="auto"/>
                <w:lang w:val="tr-TR"/>
              </w:rPr>
            </w:pPr>
            <w:r w:rsidRPr="00A23740">
              <w:rPr>
                <w:color w:val="auto"/>
                <w:lang w:val="tr-TR"/>
              </w:rPr>
              <w:t>MADDE 57-</w:t>
            </w:r>
            <w:r w:rsidRPr="00A23740">
              <w:rPr>
                <w:b w:val="0"/>
                <w:color w:val="auto"/>
                <w:lang w:val="tr-TR"/>
              </w:rPr>
              <w:t xml:space="preserve"> </w:t>
            </w:r>
            <w:r w:rsidR="00496827" w:rsidRPr="00A23740">
              <w:rPr>
                <w:b w:val="0"/>
                <w:color w:val="auto"/>
                <w:lang w:val="tr-TR"/>
              </w:rPr>
              <w:t>Maddeyle, icra emrinde yer alacak hususlar genel bir hüküm olarak düzenlenmektedir.</w:t>
            </w:r>
          </w:p>
          <w:p w:rsidR="00CA7960" w:rsidRPr="00A23740" w:rsidRDefault="00496827" w:rsidP="009431FF">
            <w:pPr>
              <w:pStyle w:val="Mavi"/>
              <w:ind w:firstLine="709"/>
              <w:rPr>
                <w:b w:val="0"/>
                <w:color w:val="auto"/>
                <w:lang w:val="tr-TR"/>
              </w:rPr>
            </w:pPr>
            <w:r w:rsidRPr="00A23740">
              <w:rPr>
                <w:b w:val="0"/>
                <w:color w:val="auto"/>
                <w:lang w:val="tr-TR"/>
              </w:rPr>
              <w:t>Birinci fıkrayla,</w:t>
            </w:r>
            <w:r w:rsidR="00E810B1" w:rsidRPr="00A23740">
              <w:rPr>
                <w:b w:val="0"/>
                <w:color w:val="auto"/>
                <w:lang w:val="tr-TR"/>
              </w:rPr>
              <w:t xml:space="preserve"> </w:t>
            </w:r>
            <w:r w:rsidR="002F68F8" w:rsidRPr="00A23740">
              <w:rPr>
                <w:b w:val="0"/>
                <w:color w:val="auto"/>
                <w:lang w:val="tr-TR"/>
              </w:rPr>
              <w:t xml:space="preserve">icra emrinde </w:t>
            </w:r>
            <w:r w:rsidR="00E810B1" w:rsidRPr="00A23740">
              <w:rPr>
                <w:b w:val="0"/>
                <w:color w:val="auto"/>
                <w:lang w:val="tr-TR"/>
              </w:rPr>
              <w:t>bulunması</w:t>
            </w:r>
            <w:r w:rsidR="002F68F8" w:rsidRPr="00A23740">
              <w:rPr>
                <w:b w:val="0"/>
                <w:color w:val="auto"/>
                <w:lang w:val="tr-TR"/>
              </w:rPr>
              <w:t xml:space="preserve"> gereken hususlar, bentler h</w:t>
            </w:r>
            <w:r w:rsidR="002F2BAA" w:rsidRPr="00A23740">
              <w:rPr>
                <w:b w:val="0"/>
                <w:color w:val="auto"/>
                <w:lang w:val="tr-TR"/>
              </w:rPr>
              <w:t>â</w:t>
            </w:r>
            <w:r w:rsidR="002F68F8" w:rsidRPr="00A23740">
              <w:rPr>
                <w:b w:val="0"/>
                <w:color w:val="auto"/>
                <w:lang w:val="tr-TR"/>
              </w:rPr>
              <w:t xml:space="preserve">linde ve açık ifadelerle yeniden </w:t>
            </w:r>
            <w:r w:rsidR="00E810B1" w:rsidRPr="00A23740">
              <w:rPr>
                <w:b w:val="0"/>
                <w:color w:val="auto"/>
                <w:lang w:val="tr-TR"/>
              </w:rPr>
              <w:t>düzenlenmektedir.</w:t>
            </w:r>
            <w:r w:rsidR="006F47FE" w:rsidRPr="00A23740">
              <w:rPr>
                <w:b w:val="0"/>
                <w:color w:val="auto"/>
                <w:lang w:val="tr-TR"/>
              </w:rPr>
              <w:t xml:space="preserve"> Bu hüküm, 2004 sayılı Kanunun 32 nci maddesinin birinci fıkrasına kısmen karşılık gelmektedir.</w:t>
            </w:r>
          </w:p>
          <w:p w:rsidR="00E810B1" w:rsidRPr="00A23740" w:rsidRDefault="00421D36" w:rsidP="009431FF">
            <w:pPr>
              <w:pStyle w:val="Mavi"/>
              <w:ind w:firstLine="709"/>
              <w:rPr>
                <w:b w:val="0"/>
                <w:color w:val="auto"/>
                <w:lang w:val="tr-TR"/>
              </w:rPr>
            </w:pPr>
            <w:r w:rsidRPr="00A23740">
              <w:rPr>
                <w:b w:val="0"/>
                <w:color w:val="auto"/>
                <w:lang w:val="tr-TR"/>
              </w:rPr>
              <w:t>(</w:t>
            </w:r>
            <w:r w:rsidR="00E810B1" w:rsidRPr="00A23740">
              <w:rPr>
                <w:b w:val="0"/>
                <w:color w:val="auto"/>
                <w:lang w:val="tr-TR"/>
              </w:rPr>
              <w:t>a)</w:t>
            </w:r>
            <w:r w:rsidRPr="00A23740">
              <w:rPr>
                <w:b w:val="0"/>
                <w:color w:val="auto"/>
                <w:lang w:val="tr-TR"/>
              </w:rPr>
              <w:t xml:space="preserve"> bendi</w:t>
            </w:r>
            <w:r w:rsidR="000F3E9A" w:rsidRPr="00A23740">
              <w:rPr>
                <w:b w:val="0"/>
                <w:color w:val="auto"/>
                <w:lang w:val="tr-TR"/>
              </w:rPr>
              <w:t>nde</w:t>
            </w:r>
            <w:r w:rsidR="00CA7960" w:rsidRPr="00A23740">
              <w:rPr>
                <w:b w:val="0"/>
                <w:color w:val="auto"/>
                <w:lang w:val="tr-TR"/>
              </w:rPr>
              <w:t>,</w:t>
            </w:r>
            <w:r w:rsidR="005140C1" w:rsidRPr="00A23740">
              <w:rPr>
                <w:b w:val="0"/>
                <w:color w:val="auto"/>
                <w:lang w:val="tr-TR"/>
              </w:rPr>
              <w:t xml:space="preserve"> </w:t>
            </w:r>
            <w:r w:rsidR="00E810B1" w:rsidRPr="00A23740">
              <w:rPr>
                <w:b w:val="0"/>
                <w:color w:val="auto"/>
                <w:lang w:val="tr-TR"/>
              </w:rPr>
              <w:t xml:space="preserve">takip talebine yazılması gereken kayıtlar ile icra ve iflas </w:t>
            </w:r>
            <w:r w:rsidRPr="00A23740">
              <w:rPr>
                <w:b w:val="0"/>
                <w:color w:val="auto"/>
                <w:lang w:val="tr-TR"/>
              </w:rPr>
              <w:t>dairesinin ban</w:t>
            </w:r>
            <w:r w:rsidR="005140C1" w:rsidRPr="00A23740">
              <w:rPr>
                <w:b w:val="0"/>
                <w:color w:val="auto"/>
                <w:lang w:val="tr-TR"/>
              </w:rPr>
              <w:t>ka hes</w:t>
            </w:r>
            <w:r w:rsidR="006F47FE" w:rsidRPr="00A23740">
              <w:rPr>
                <w:b w:val="0"/>
                <w:color w:val="auto"/>
                <w:lang w:val="tr-TR"/>
              </w:rPr>
              <w:t>ap numarası</w:t>
            </w:r>
            <w:r w:rsidR="000F3E9A" w:rsidRPr="00A23740">
              <w:rPr>
                <w:b w:val="0"/>
                <w:color w:val="auto"/>
                <w:lang w:val="tr-TR"/>
              </w:rPr>
              <w:t>na ilişkin bilgiler yer almaktadı</w:t>
            </w:r>
            <w:r w:rsidR="006F47FE" w:rsidRPr="00A23740">
              <w:rPr>
                <w:b w:val="0"/>
                <w:color w:val="auto"/>
                <w:lang w:val="tr-TR"/>
              </w:rPr>
              <w:t>r.</w:t>
            </w:r>
          </w:p>
          <w:p w:rsidR="00E810B1" w:rsidRPr="00A23740" w:rsidRDefault="005140C1" w:rsidP="009431FF">
            <w:pPr>
              <w:pStyle w:val="Mavi"/>
              <w:ind w:firstLine="709"/>
              <w:rPr>
                <w:b w:val="0"/>
                <w:color w:val="auto"/>
                <w:lang w:val="tr-TR"/>
              </w:rPr>
            </w:pPr>
            <w:r w:rsidRPr="00A23740">
              <w:rPr>
                <w:b w:val="0"/>
                <w:color w:val="auto"/>
                <w:lang w:val="tr-TR"/>
              </w:rPr>
              <w:t>(</w:t>
            </w:r>
            <w:r w:rsidR="00E810B1" w:rsidRPr="00A23740">
              <w:rPr>
                <w:b w:val="0"/>
                <w:color w:val="auto"/>
                <w:lang w:val="tr-TR"/>
              </w:rPr>
              <w:t xml:space="preserve">b) </w:t>
            </w:r>
            <w:r w:rsidRPr="00A23740">
              <w:rPr>
                <w:b w:val="0"/>
                <w:color w:val="auto"/>
                <w:lang w:val="tr-TR"/>
              </w:rPr>
              <w:t>bendi</w:t>
            </w:r>
            <w:r w:rsidR="000F3E9A" w:rsidRPr="00A23740">
              <w:rPr>
                <w:b w:val="0"/>
                <w:color w:val="auto"/>
                <w:lang w:val="tr-TR"/>
              </w:rPr>
              <w:t>nde</w:t>
            </w:r>
            <w:r w:rsidRPr="00A23740">
              <w:rPr>
                <w:b w:val="0"/>
                <w:color w:val="auto"/>
                <w:lang w:val="tr-TR"/>
              </w:rPr>
              <w:t>, emrin</w:t>
            </w:r>
            <w:r w:rsidR="00E810B1" w:rsidRPr="00A23740">
              <w:rPr>
                <w:b w:val="0"/>
                <w:color w:val="auto"/>
                <w:lang w:val="tr-TR"/>
              </w:rPr>
              <w:t xml:space="preserve"> gereğinin </w:t>
            </w:r>
            <w:r w:rsidRPr="00A23740">
              <w:rPr>
                <w:b w:val="0"/>
                <w:color w:val="auto"/>
                <w:lang w:val="tr-TR"/>
              </w:rPr>
              <w:t>emir</w:t>
            </w:r>
            <w:r w:rsidR="00E810B1" w:rsidRPr="00A23740">
              <w:rPr>
                <w:b w:val="0"/>
                <w:color w:val="auto"/>
                <w:lang w:val="tr-TR"/>
              </w:rPr>
              <w:t xml:space="preserve">de belirtilen süre içinde yerine </w:t>
            </w:r>
            <w:r w:rsidRPr="00A23740">
              <w:rPr>
                <w:b w:val="0"/>
                <w:color w:val="auto"/>
                <w:lang w:val="tr-TR"/>
              </w:rPr>
              <w:t>getirilmemesi h</w:t>
            </w:r>
            <w:r w:rsidR="00070384" w:rsidRPr="00A23740">
              <w:rPr>
                <w:b w:val="0"/>
                <w:color w:val="auto"/>
                <w:lang w:val="tr-TR"/>
              </w:rPr>
              <w:t>â</w:t>
            </w:r>
            <w:r w:rsidRPr="00A23740">
              <w:rPr>
                <w:b w:val="0"/>
                <w:color w:val="auto"/>
                <w:lang w:val="tr-TR"/>
              </w:rPr>
              <w:t>linde cebr</w:t>
            </w:r>
            <w:r w:rsidR="00070384" w:rsidRPr="00A23740">
              <w:rPr>
                <w:b w:val="0"/>
                <w:color w:val="auto"/>
                <w:lang w:val="tr-TR"/>
              </w:rPr>
              <w:t>î</w:t>
            </w:r>
            <w:r w:rsidRPr="00A23740">
              <w:rPr>
                <w:b w:val="0"/>
                <w:color w:val="auto"/>
                <w:lang w:val="tr-TR"/>
              </w:rPr>
              <w:t xml:space="preserve"> icraya devam edileceği ihtarı</w:t>
            </w:r>
            <w:r w:rsidR="00D20255" w:rsidRPr="00A23740">
              <w:rPr>
                <w:b w:val="0"/>
                <w:color w:val="auto"/>
                <w:lang w:val="tr-TR"/>
              </w:rPr>
              <w:t>na</w:t>
            </w:r>
            <w:r w:rsidRPr="00A23740">
              <w:rPr>
                <w:b w:val="0"/>
                <w:color w:val="auto"/>
                <w:lang w:val="tr-TR"/>
              </w:rPr>
              <w:t xml:space="preserve"> yer</w:t>
            </w:r>
            <w:r w:rsidR="00D20255" w:rsidRPr="00A23740">
              <w:rPr>
                <w:b w:val="0"/>
                <w:color w:val="auto"/>
                <w:lang w:val="tr-TR"/>
              </w:rPr>
              <w:t xml:space="preserve"> verilmiştir</w:t>
            </w:r>
            <w:r w:rsidRPr="00A23740">
              <w:rPr>
                <w:b w:val="0"/>
                <w:color w:val="auto"/>
                <w:lang w:val="tr-TR"/>
              </w:rPr>
              <w:t>.  Bu süre, edimin niteliğine göre ilgili maddelerde (68/1/a; 70/1/a; 71/1/a; 75/1/a; 76/1/a, b; 77/1/a) yer almaktadır.</w:t>
            </w:r>
          </w:p>
          <w:p w:rsidR="00E810B1" w:rsidRPr="00A23740" w:rsidRDefault="005140C1" w:rsidP="009431FF">
            <w:pPr>
              <w:pStyle w:val="Mavi"/>
              <w:ind w:firstLine="709"/>
              <w:rPr>
                <w:b w:val="0"/>
                <w:color w:val="auto"/>
                <w:lang w:val="tr-TR"/>
              </w:rPr>
            </w:pPr>
            <w:r w:rsidRPr="00A23740">
              <w:rPr>
                <w:b w:val="0"/>
                <w:color w:val="auto"/>
                <w:lang w:val="tr-TR"/>
              </w:rPr>
              <w:t>(</w:t>
            </w:r>
            <w:r w:rsidR="00E810B1" w:rsidRPr="00A23740">
              <w:rPr>
                <w:b w:val="0"/>
                <w:color w:val="auto"/>
                <w:lang w:val="tr-TR"/>
              </w:rPr>
              <w:t>c)</w:t>
            </w:r>
            <w:r w:rsidR="000F3E9A" w:rsidRPr="00A23740">
              <w:rPr>
                <w:b w:val="0"/>
                <w:color w:val="auto"/>
                <w:lang w:val="tr-TR"/>
              </w:rPr>
              <w:t xml:space="preserve"> bendinde</w:t>
            </w:r>
            <w:r w:rsidR="00CA7960" w:rsidRPr="00A23740">
              <w:rPr>
                <w:b w:val="0"/>
                <w:color w:val="auto"/>
                <w:lang w:val="tr-TR"/>
              </w:rPr>
              <w:t>,</w:t>
            </w:r>
            <w:r w:rsidRPr="00A23740">
              <w:rPr>
                <w:b w:val="0"/>
                <w:color w:val="auto"/>
                <w:lang w:val="tr-TR"/>
              </w:rPr>
              <w:t xml:space="preserve"> t</w:t>
            </w:r>
            <w:r w:rsidR="00E810B1" w:rsidRPr="00A23740">
              <w:rPr>
                <w:b w:val="0"/>
                <w:color w:val="auto"/>
                <w:lang w:val="tr-TR"/>
              </w:rPr>
              <w:t xml:space="preserve">akibin iptaline </w:t>
            </w:r>
            <w:r w:rsidRPr="00A23740">
              <w:rPr>
                <w:b w:val="0"/>
                <w:color w:val="auto"/>
                <w:lang w:val="tr-TR"/>
              </w:rPr>
              <w:t>veya icranın geri bırakılmasına,</w:t>
            </w:r>
            <w:r w:rsidR="00E810B1" w:rsidRPr="00A23740">
              <w:rPr>
                <w:b w:val="0"/>
                <w:color w:val="auto"/>
                <w:lang w:val="tr-TR"/>
              </w:rPr>
              <w:t xml:space="preserve"> icranın ertelenmesine veya yargılamanın iadesi davasında icranın durdurulmasına dair bir karar veri</w:t>
            </w:r>
            <w:r w:rsidRPr="00A23740">
              <w:rPr>
                <w:b w:val="0"/>
                <w:color w:val="auto"/>
                <w:lang w:val="tr-TR"/>
              </w:rPr>
              <w:t>lmedikçe icraya devam edileceği</w:t>
            </w:r>
            <w:r w:rsidR="000F3E9A" w:rsidRPr="00A23740">
              <w:rPr>
                <w:b w:val="0"/>
                <w:color w:val="auto"/>
                <w:lang w:val="tr-TR"/>
              </w:rPr>
              <w:t xml:space="preserve"> ihtarına yer verilmektedir.</w:t>
            </w:r>
          </w:p>
          <w:p w:rsidR="00E810B1" w:rsidRPr="00A23740" w:rsidRDefault="005140C1" w:rsidP="009431FF">
            <w:pPr>
              <w:pStyle w:val="Mavi"/>
              <w:ind w:firstLine="709"/>
              <w:rPr>
                <w:b w:val="0"/>
                <w:color w:val="auto"/>
                <w:lang w:val="tr-TR"/>
              </w:rPr>
            </w:pPr>
            <w:r w:rsidRPr="00A23740">
              <w:rPr>
                <w:b w:val="0"/>
                <w:color w:val="auto"/>
                <w:lang w:val="tr-TR"/>
              </w:rPr>
              <w:t>(</w:t>
            </w:r>
            <w:r w:rsidR="00E810B1" w:rsidRPr="00A23740">
              <w:rPr>
                <w:b w:val="0"/>
                <w:color w:val="auto"/>
                <w:lang w:val="tr-TR"/>
              </w:rPr>
              <w:t xml:space="preserve">ç) </w:t>
            </w:r>
            <w:r w:rsidR="000F3E9A" w:rsidRPr="00A23740">
              <w:rPr>
                <w:b w:val="0"/>
                <w:color w:val="auto"/>
                <w:lang w:val="tr-TR"/>
              </w:rPr>
              <w:t>bendinde</w:t>
            </w:r>
            <w:r w:rsidR="00CA7960" w:rsidRPr="00A23740">
              <w:rPr>
                <w:b w:val="0"/>
                <w:color w:val="auto"/>
                <w:lang w:val="tr-TR"/>
              </w:rPr>
              <w:t xml:space="preserve">, </w:t>
            </w:r>
            <w:r w:rsidRPr="00A23740">
              <w:rPr>
                <w:b w:val="0"/>
                <w:color w:val="auto"/>
                <w:lang w:val="tr-TR"/>
              </w:rPr>
              <w:t>b</w:t>
            </w:r>
            <w:r w:rsidR="00E810B1" w:rsidRPr="00A23740">
              <w:rPr>
                <w:b w:val="0"/>
                <w:color w:val="auto"/>
                <w:lang w:val="tr-TR"/>
              </w:rPr>
              <w:t>orçlunun, varsa şik</w:t>
            </w:r>
            <w:r w:rsidR="00407C95" w:rsidRPr="00A23740">
              <w:rPr>
                <w:b w:val="0"/>
                <w:color w:val="auto"/>
                <w:lang w:val="tr-TR"/>
              </w:rPr>
              <w:t>â</w:t>
            </w:r>
            <w:r w:rsidR="00E810B1" w:rsidRPr="00A23740">
              <w:rPr>
                <w:b w:val="0"/>
                <w:color w:val="auto"/>
                <w:lang w:val="tr-TR"/>
              </w:rPr>
              <w:t>yetlerini icra</w:t>
            </w:r>
            <w:r w:rsidRPr="00A23740">
              <w:rPr>
                <w:b w:val="0"/>
                <w:color w:val="auto"/>
                <w:lang w:val="tr-TR"/>
              </w:rPr>
              <w:t xml:space="preserve"> hukuk mahkemesine yapabileceği </w:t>
            </w:r>
            <w:r w:rsidR="000F3E9A" w:rsidRPr="00A23740">
              <w:rPr>
                <w:b w:val="0"/>
                <w:color w:val="auto"/>
                <w:lang w:val="tr-TR"/>
              </w:rPr>
              <w:t>hususu yer almaktadır.</w:t>
            </w:r>
          </w:p>
          <w:p w:rsidR="005140C1" w:rsidRPr="00A23740" w:rsidRDefault="005140C1" w:rsidP="009431FF">
            <w:pPr>
              <w:pStyle w:val="Mavi"/>
              <w:ind w:firstLine="709"/>
            </w:pPr>
            <w:r w:rsidRPr="00A23740">
              <w:rPr>
                <w:b w:val="0"/>
                <w:color w:val="auto"/>
                <w:lang w:val="tr-TR"/>
              </w:rPr>
              <w:t>(</w:t>
            </w:r>
            <w:r w:rsidR="00E810B1" w:rsidRPr="00A23740">
              <w:rPr>
                <w:b w:val="0"/>
                <w:color w:val="auto"/>
                <w:lang w:val="tr-TR"/>
              </w:rPr>
              <w:t>d)</w:t>
            </w:r>
            <w:r w:rsidR="000F3E9A" w:rsidRPr="00A23740">
              <w:rPr>
                <w:b w:val="0"/>
                <w:color w:val="auto"/>
                <w:lang w:val="tr-TR"/>
              </w:rPr>
              <w:t xml:space="preserve"> bendinde</w:t>
            </w:r>
            <w:r w:rsidR="00CA7960" w:rsidRPr="00A23740">
              <w:rPr>
                <w:b w:val="0"/>
                <w:color w:val="auto"/>
                <w:lang w:val="tr-TR"/>
              </w:rPr>
              <w:t xml:space="preserve">, </w:t>
            </w:r>
            <w:r w:rsidRPr="00A23740">
              <w:rPr>
                <w:b w:val="0"/>
                <w:color w:val="auto"/>
                <w:lang w:val="tr-TR"/>
              </w:rPr>
              <w:t>ta</w:t>
            </w:r>
            <w:r w:rsidR="00E810B1" w:rsidRPr="00A23740">
              <w:rPr>
                <w:b w:val="0"/>
                <w:color w:val="auto"/>
                <w:lang w:val="tr-TR"/>
              </w:rPr>
              <w:t>kibe konu ilam veya ilam niteliğindeki belgeyle ilgili hükümlerde belirtilen diğer husu</w:t>
            </w:r>
            <w:r w:rsidR="00CA7960" w:rsidRPr="00A23740">
              <w:rPr>
                <w:b w:val="0"/>
                <w:color w:val="auto"/>
                <w:lang w:val="tr-TR"/>
              </w:rPr>
              <w:t xml:space="preserve">slar </w:t>
            </w:r>
            <w:r w:rsidR="000F3E9A" w:rsidRPr="00A23740">
              <w:rPr>
                <w:b w:val="0"/>
                <w:color w:val="auto"/>
                <w:lang w:val="tr-TR"/>
              </w:rPr>
              <w:t>yer almaktadır.</w:t>
            </w:r>
          </w:p>
          <w:p w:rsidR="00CA7960" w:rsidRPr="00A23740" w:rsidRDefault="005140C1" w:rsidP="009431FF">
            <w:pPr>
              <w:pStyle w:val="Mavi"/>
              <w:ind w:firstLine="709"/>
              <w:rPr>
                <w:b w:val="0"/>
                <w:color w:val="auto"/>
                <w:lang w:val="tr-TR"/>
              </w:rPr>
            </w:pPr>
            <w:r w:rsidRPr="00A23740">
              <w:rPr>
                <w:b w:val="0"/>
                <w:color w:val="auto"/>
                <w:lang w:val="tr-TR"/>
              </w:rPr>
              <w:t xml:space="preserve">İkinci fıkrayla, icra emrinde, dayanak ilam seçimlik hüküm içeriyor ise alacaklının talep ettiği edim yerine ilamda yer alan diğer edim veya edimlerden birini ifa ederek de </w:t>
            </w:r>
            <w:r w:rsidR="00D20255" w:rsidRPr="00A23740">
              <w:rPr>
                <w:b w:val="0"/>
                <w:color w:val="auto"/>
                <w:lang w:val="tr-TR"/>
              </w:rPr>
              <w:t xml:space="preserve">borçlunun </w:t>
            </w:r>
            <w:r w:rsidRPr="00A23740">
              <w:rPr>
                <w:b w:val="0"/>
                <w:color w:val="auto"/>
                <w:lang w:val="tr-TR"/>
              </w:rPr>
              <w:t>borcundan kurtulabileceği hususu</w:t>
            </w:r>
            <w:r w:rsidR="00CA7960" w:rsidRPr="00A23740">
              <w:rPr>
                <w:b w:val="0"/>
                <w:color w:val="auto"/>
                <w:lang w:val="tr-TR"/>
              </w:rPr>
              <w:t>n</w:t>
            </w:r>
            <w:r w:rsidR="000F3E9A" w:rsidRPr="00A23740">
              <w:rPr>
                <w:b w:val="0"/>
                <w:color w:val="auto"/>
                <w:lang w:val="tr-TR"/>
              </w:rPr>
              <w:t>un yer alacağı düzenlenmektedir.</w:t>
            </w:r>
          </w:p>
          <w:p w:rsidR="00CA7960" w:rsidRPr="00A23740" w:rsidRDefault="00CA7960" w:rsidP="009431FF">
            <w:pPr>
              <w:pStyle w:val="Mavi"/>
              <w:ind w:firstLine="709"/>
              <w:rPr>
                <w:b w:val="0"/>
                <w:color w:val="auto"/>
                <w:lang w:val="tr-TR"/>
              </w:rPr>
            </w:pPr>
            <w:r w:rsidRPr="00A23740">
              <w:rPr>
                <w:b w:val="0"/>
                <w:color w:val="auto"/>
                <w:lang w:val="tr-TR"/>
              </w:rPr>
              <w:t xml:space="preserve">Üçüncü fıkrayla, karşılıklı edimlerin ifasını içeren ilamla ilgili olarak icra emrinde yer alması gereken husus </w:t>
            </w:r>
            <w:r w:rsidR="002B3FD1" w:rsidRPr="00A23740">
              <w:rPr>
                <w:b w:val="0"/>
                <w:color w:val="auto"/>
                <w:lang w:val="tr-TR"/>
              </w:rPr>
              <w:t>belirlenmektedir</w:t>
            </w:r>
            <w:r w:rsidRPr="00A23740">
              <w:rPr>
                <w:b w:val="0"/>
                <w:color w:val="auto"/>
                <w:lang w:val="tr-TR"/>
              </w:rPr>
              <w:t xml:space="preserve">. </w:t>
            </w:r>
            <w:r w:rsidR="002F68F8" w:rsidRPr="00A23740">
              <w:rPr>
                <w:b w:val="0"/>
                <w:color w:val="auto"/>
                <w:lang w:val="tr-TR"/>
              </w:rPr>
              <w:t xml:space="preserve">2004 sayılı Kanunda bir </w:t>
            </w:r>
            <w:r w:rsidR="002B3FD1" w:rsidRPr="00A23740">
              <w:rPr>
                <w:b w:val="0"/>
                <w:color w:val="auto"/>
                <w:lang w:val="tr-TR"/>
              </w:rPr>
              <w:t>hüküm</w:t>
            </w:r>
            <w:r w:rsidR="002F68F8" w:rsidRPr="00A23740">
              <w:rPr>
                <w:b w:val="0"/>
                <w:color w:val="auto"/>
                <w:lang w:val="tr-TR"/>
              </w:rPr>
              <w:t xml:space="preserve"> bulunmadığı için uygulamada çok büyük sorunlara neden olan karşılıklı edimleri içeren ilamların icrası hususu</w:t>
            </w:r>
            <w:r w:rsidR="002B3FD1" w:rsidRPr="00A23740">
              <w:rPr>
                <w:b w:val="0"/>
                <w:color w:val="auto"/>
                <w:lang w:val="tr-TR"/>
              </w:rPr>
              <w:t xml:space="preserve"> </w:t>
            </w:r>
            <w:r w:rsidR="00163E5A" w:rsidRPr="00A23740">
              <w:rPr>
                <w:b w:val="0"/>
                <w:color w:val="auto"/>
                <w:lang w:val="tr-TR"/>
              </w:rPr>
              <w:t>Taslağın</w:t>
            </w:r>
            <w:r w:rsidR="002B3FD1" w:rsidRPr="00A23740">
              <w:rPr>
                <w:b w:val="0"/>
                <w:color w:val="auto"/>
                <w:lang w:val="tr-TR"/>
              </w:rPr>
              <w:t xml:space="preserve"> 64 üncü maddesinde düzenlenmektedir</w:t>
            </w:r>
            <w:r w:rsidR="002F68F8" w:rsidRPr="00A23740">
              <w:rPr>
                <w:b w:val="0"/>
                <w:color w:val="auto"/>
                <w:lang w:val="tr-TR"/>
              </w:rPr>
              <w:t>. Bununla ilgili olarak alacaklının bu tür bir ilamı takibe koyması h</w:t>
            </w:r>
            <w:r w:rsidR="002F2BAA" w:rsidRPr="00A23740">
              <w:rPr>
                <w:b w:val="0"/>
                <w:color w:val="auto"/>
                <w:lang w:val="tr-TR"/>
              </w:rPr>
              <w:t>â</w:t>
            </w:r>
            <w:r w:rsidR="002F68F8" w:rsidRPr="00A23740">
              <w:rPr>
                <w:b w:val="0"/>
                <w:color w:val="auto"/>
                <w:lang w:val="tr-TR"/>
              </w:rPr>
              <w:t xml:space="preserve">linde borçlu, icra emrinin tebliğinden itibaren iki hafta içinde dilekçeyle icra hukuk mahkemesine başvurarak alacaklının kendi edimini ifa etmediğini veya ifayı teklif etmediğini ileri </w:t>
            </w:r>
            <w:r w:rsidR="00D20255" w:rsidRPr="00A23740">
              <w:rPr>
                <w:b w:val="0"/>
                <w:color w:val="auto"/>
                <w:lang w:val="tr-TR"/>
              </w:rPr>
              <w:t xml:space="preserve">sürmek suretiyle </w:t>
            </w:r>
            <w:r w:rsidR="002F68F8" w:rsidRPr="00A23740">
              <w:rPr>
                <w:b w:val="0"/>
                <w:color w:val="auto"/>
                <w:lang w:val="tr-TR"/>
              </w:rPr>
              <w:t>icranın geri bırakılmasını talep edebilir. Bu tür bir ilamın takibe konması h</w:t>
            </w:r>
            <w:r w:rsidR="002F2BAA" w:rsidRPr="00A23740">
              <w:rPr>
                <w:b w:val="0"/>
                <w:color w:val="auto"/>
                <w:lang w:val="tr-TR"/>
              </w:rPr>
              <w:t>â</w:t>
            </w:r>
            <w:r w:rsidR="002F68F8" w:rsidRPr="00A23740">
              <w:rPr>
                <w:b w:val="0"/>
                <w:color w:val="auto"/>
                <w:lang w:val="tr-TR"/>
              </w:rPr>
              <w:t xml:space="preserve">linde bu husus da mutlaka icra emrinde </w:t>
            </w:r>
            <w:r w:rsidR="002F68F8" w:rsidRPr="00A23740">
              <w:rPr>
                <w:b w:val="0"/>
                <w:color w:val="auto"/>
                <w:lang w:val="tr-TR"/>
              </w:rPr>
              <w:lastRenderedPageBreak/>
              <w:t xml:space="preserve">gösterilmelidir. Takip </w:t>
            </w:r>
            <w:r w:rsidR="002B3FD1" w:rsidRPr="00A23740">
              <w:rPr>
                <w:b w:val="0"/>
                <w:color w:val="auto"/>
                <w:lang w:val="tr-TR"/>
              </w:rPr>
              <w:t xml:space="preserve">talebinin içeriğine ilişkin 56 </w:t>
            </w:r>
            <w:r w:rsidR="002F68F8" w:rsidRPr="00A23740">
              <w:rPr>
                <w:b w:val="0"/>
                <w:color w:val="auto"/>
                <w:lang w:val="tr-TR"/>
              </w:rPr>
              <w:t>ncı madde gibi, bu madde de genel hüküm niteliğindedir. Bu sebeple özel edim türleri bakımından yazılması gereken hususlar varsa</w:t>
            </w:r>
            <w:r w:rsidR="00D20255" w:rsidRPr="00A23740">
              <w:rPr>
                <w:b w:val="0"/>
                <w:color w:val="auto"/>
                <w:lang w:val="tr-TR"/>
              </w:rPr>
              <w:t>,</w:t>
            </w:r>
            <w:r w:rsidR="002F68F8" w:rsidRPr="00A23740">
              <w:rPr>
                <w:b w:val="0"/>
                <w:color w:val="auto"/>
                <w:lang w:val="tr-TR"/>
              </w:rPr>
              <w:t xml:space="preserve"> onlar da yine i</w:t>
            </w:r>
            <w:r w:rsidR="002B3FD1" w:rsidRPr="00A23740">
              <w:rPr>
                <w:b w:val="0"/>
                <w:color w:val="auto"/>
                <w:lang w:val="tr-TR"/>
              </w:rPr>
              <w:t>cra emrine yazılmak zorundadır.</w:t>
            </w:r>
          </w:p>
          <w:p w:rsidR="00CA7960" w:rsidRPr="00A23740" w:rsidRDefault="00CA7960" w:rsidP="009431FF">
            <w:pPr>
              <w:pStyle w:val="Mavi"/>
              <w:ind w:firstLine="709"/>
              <w:rPr>
                <w:b w:val="0"/>
                <w:color w:val="auto"/>
                <w:lang w:val="tr-TR"/>
              </w:rPr>
            </w:pPr>
            <w:r w:rsidRPr="00A23740">
              <w:rPr>
                <w:b w:val="0"/>
                <w:color w:val="auto"/>
                <w:lang w:val="tr-TR"/>
              </w:rPr>
              <w:t>Dördüncü fıkrayla,</w:t>
            </w:r>
            <w:r w:rsidR="004B6972" w:rsidRPr="00A23740">
              <w:rPr>
                <w:b w:val="0"/>
                <w:color w:val="auto"/>
                <w:lang w:val="tr-TR"/>
              </w:rPr>
              <w:t xml:space="preserve"> icra emrinde yer alacak</w:t>
            </w:r>
            <w:r w:rsidR="002B3FD1" w:rsidRPr="00A23740">
              <w:rPr>
                <w:b w:val="0"/>
                <w:color w:val="auto"/>
                <w:lang w:val="tr-TR"/>
              </w:rPr>
              <w:t xml:space="preserve"> taz</w:t>
            </w:r>
            <w:r w:rsidR="004B6972" w:rsidRPr="00A23740">
              <w:rPr>
                <w:b w:val="0"/>
                <w:color w:val="auto"/>
                <w:lang w:val="tr-TR"/>
              </w:rPr>
              <w:t xml:space="preserve">minat ve yaptırıma ilişkin </w:t>
            </w:r>
            <w:r w:rsidR="002B3FD1" w:rsidRPr="00A23740">
              <w:rPr>
                <w:b w:val="0"/>
                <w:color w:val="auto"/>
                <w:lang w:val="tr-TR"/>
              </w:rPr>
              <w:t xml:space="preserve">ihtar düzenlenmektedir. </w:t>
            </w:r>
            <w:r w:rsidR="002F68F8" w:rsidRPr="00A23740">
              <w:rPr>
                <w:b w:val="0"/>
                <w:color w:val="auto"/>
                <w:lang w:val="tr-TR"/>
              </w:rPr>
              <w:t>İcra emr</w:t>
            </w:r>
            <w:r w:rsidR="004B6972" w:rsidRPr="00A23740">
              <w:rPr>
                <w:b w:val="0"/>
                <w:color w:val="auto"/>
                <w:lang w:val="tr-TR"/>
              </w:rPr>
              <w:t>inin gereğinin belirtilen süre içinde</w:t>
            </w:r>
            <w:r w:rsidR="002F68F8" w:rsidRPr="00A23740">
              <w:rPr>
                <w:b w:val="0"/>
                <w:color w:val="auto"/>
                <w:lang w:val="tr-TR"/>
              </w:rPr>
              <w:t xml:space="preserve"> yerine getirilmemesi h</w:t>
            </w:r>
            <w:r w:rsidR="002F2BAA" w:rsidRPr="00A23740">
              <w:rPr>
                <w:b w:val="0"/>
                <w:color w:val="auto"/>
                <w:lang w:val="tr-TR"/>
              </w:rPr>
              <w:t>â</w:t>
            </w:r>
            <w:r w:rsidR="002F68F8" w:rsidRPr="00A23740">
              <w:rPr>
                <w:b w:val="0"/>
                <w:color w:val="auto"/>
                <w:lang w:val="tr-TR"/>
              </w:rPr>
              <w:t>linde borçlu</w:t>
            </w:r>
            <w:r w:rsidR="004B6972" w:rsidRPr="00A23740">
              <w:rPr>
                <w:b w:val="0"/>
                <w:color w:val="auto"/>
                <w:lang w:val="tr-TR"/>
              </w:rPr>
              <w:t>,</w:t>
            </w:r>
            <w:r w:rsidR="002F68F8" w:rsidRPr="00A23740">
              <w:rPr>
                <w:b w:val="0"/>
                <w:color w:val="auto"/>
                <w:lang w:val="tr-TR"/>
              </w:rPr>
              <w:t xml:space="preserve"> cezai yaptırım ile karşılaşabileceği gibi, alacaklıya icra tazminatı ödemek zorunda da kalabilir. </w:t>
            </w:r>
            <w:r w:rsidR="004B6972" w:rsidRPr="00A23740">
              <w:rPr>
                <w:b w:val="0"/>
                <w:color w:val="auto"/>
              </w:rPr>
              <w:t>Bir işin yapılması veya yapılmamasına ilişkin ilamların ihlalinde icra tazminatı</w:t>
            </w:r>
            <w:r w:rsidR="004B6972" w:rsidRPr="00A23740">
              <w:rPr>
                <w:color w:val="auto"/>
                <w:lang w:val="tr-TR"/>
              </w:rPr>
              <w:t xml:space="preserve">, </w:t>
            </w:r>
            <w:r w:rsidR="002F68F8" w:rsidRPr="00A23740">
              <w:rPr>
                <w:b w:val="0"/>
                <w:color w:val="auto"/>
                <w:lang w:val="tr-TR"/>
              </w:rPr>
              <w:t>get</w:t>
            </w:r>
            <w:r w:rsidR="004B6972" w:rsidRPr="00A23740">
              <w:rPr>
                <w:b w:val="0"/>
                <w:color w:val="auto"/>
                <w:lang w:val="tr-TR"/>
              </w:rPr>
              <w:t xml:space="preserve">irilen çok önemli bir yenilik olup </w:t>
            </w:r>
            <w:r w:rsidR="00163E5A" w:rsidRPr="00A23740">
              <w:rPr>
                <w:b w:val="0"/>
                <w:color w:val="auto"/>
                <w:lang w:val="tr-TR"/>
              </w:rPr>
              <w:t>Taslağın</w:t>
            </w:r>
            <w:r w:rsidR="004B6972" w:rsidRPr="00A23740">
              <w:rPr>
                <w:b w:val="0"/>
                <w:color w:val="auto"/>
                <w:lang w:val="tr-TR"/>
              </w:rPr>
              <w:t xml:space="preserve"> 78 in</w:t>
            </w:r>
            <w:r w:rsidR="002F68F8" w:rsidRPr="00A23740">
              <w:rPr>
                <w:b w:val="0"/>
                <w:color w:val="auto"/>
                <w:lang w:val="tr-TR"/>
              </w:rPr>
              <w:t>ci madde</w:t>
            </w:r>
            <w:r w:rsidR="004B6972" w:rsidRPr="00A23740">
              <w:rPr>
                <w:b w:val="0"/>
                <w:color w:val="auto"/>
                <w:lang w:val="tr-TR"/>
              </w:rPr>
              <w:t>sin</w:t>
            </w:r>
            <w:r w:rsidR="002F68F8" w:rsidRPr="00A23740">
              <w:rPr>
                <w:b w:val="0"/>
                <w:color w:val="auto"/>
                <w:lang w:val="tr-TR"/>
              </w:rPr>
              <w:t>de</w:t>
            </w:r>
            <w:r w:rsidR="004B6972" w:rsidRPr="00A23740">
              <w:rPr>
                <w:b w:val="0"/>
                <w:color w:val="auto"/>
                <w:lang w:val="tr-TR"/>
              </w:rPr>
              <w:t xml:space="preserve"> ayrıntılı olarak düzenlenmektedir</w:t>
            </w:r>
            <w:r w:rsidR="002F68F8" w:rsidRPr="00A23740">
              <w:rPr>
                <w:b w:val="0"/>
                <w:color w:val="auto"/>
                <w:lang w:val="tr-TR"/>
              </w:rPr>
              <w:t>. Bu hususlar</w:t>
            </w:r>
            <w:r w:rsidR="004B6972" w:rsidRPr="00A23740">
              <w:rPr>
                <w:b w:val="0"/>
                <w:color w:val="auto"/>
                <w:lang w:val="tr-TR"/>
              </w:rPr>
              <w:t>,</w:t>
            </w:r>
            <w:r w:rsidR="002F68F8" w:rsidRPr="00A23740">
              <w:rPr>
                <w:b w:val="0"/>
                <w:color w:val="auto"/>
                <w:lang w:val="tr-TR"/>
              </w:rPr>
              <w:t xml:space="preserve"> icra e</w:t>
            </w:r>
            <w:r w:rsidR="004B6972" w:rsidRPr="00A23740">
              <w:rPr>
                <w:b w:val="0"/>
                <w:color w:val="auto"/>
                <w:lang w:val="tr-TR"/>
              </w:rPr>
              <w:t>mrinin zorunlu unsurlarındandır.</w:t>
            </w:r>
          </w:p>
          <w:p w:rsidR="00A17681" w:rsidRPr="00A23740" w:rsidRDefault="004B6972" w:rsidP="009431FF">
            <w:pPr>
              <w:pStyle w:val="Mavi"/>
              <w:ind w:firstLine="709"/>
              <w:rPr>
                <w:b w:val="0"/>
                <w:color w:val="auto"/>
                <w:lang w:val="tr-TR"/>
              </w:rPr>
            </w:pPr>
            <w:r w:rsidRPr="00A23740">
              <w:rPr>
                <w:b w:val="0"/>
                <w:color w:val="auto"/>
                <w:lang w:val="tr-TR"/>
              </w:rPr>
              <w:t xml:space="preserve">Beşinci fıkrayla, </w:t>
            </w:r>
            <w:r w:rsidR="006F47FE" w:rsidRPr="00A23740">
              <w:rPr>
                <w:b w:val="0"/>
                <w:color w:val="auto"/>
                <w:lang w:val="tr-TR"/>
              </w:rPr>
              <w:t>yabancı devlet aleyhine başlatılan il</w:t>
            </w:r>
            <w:r w:rsidR="00D72007" w:rsidRPr="00A23740">
              <w:rPr>
                <w:b w:val="0"/>
                <w:color w:val="auto"/>
                <w:lang w:val="tr-TR"/>
              </w:rPr>
              <w:t>a</w:t>
            </w:r>
            <w:r w:rsidR="006F47FE" w:rsidRPr="00A23740">
              <w:rPr>
                <w:b w:val="0"/>
                <w:color w:val="auto"/>
                <w:lang w:val="tr-TR"/>
              </w:rPr>
              <w:t xml:space="preserve">mlı icra takiplerine ilişkin icra emrinde, uluslararası antlaşmalar saklı kalmak </w:t>
            </w:r>
            <w:r w:rsidR="006F47FE" w:rsidRPr="00A23740">
              <w:rPr>
                <w:b w:val="0"/>
                <w:bCs w:val="0"/>
                <w:color w:val="auto"/>
                <w:lang w:val="tr-TR"/>
              </w:rPr>
              <w:t>şartıyla</w:t>
            </w:r>
            <w:r w:rsidR="006F47FE" w:rsidRPr="00A23740">
              <w:rPr>
                <w:b w:val="0"/>
                <w:color w:val="auto"/>
                <w:lang w:val="tr-TR"/>
              </w:rPr>
              <w:t>, borçlu devlete ait olan mallar hakkında cebr</w:t>
            </w:r>
            <w:r w:rsidR="00070384" w:rsidRPr="00A23740">
              <w:rPr>
                <w:b w:val="0"/>
                <w:color w:val="auto"/>
                <w:lang w:val="tr-TR"/>
              </w:rPr>
              <w:t>î</w:t>
            </w:r>
            <w:r w:rsidR="006F47FE" w:rsidRPr="00A23740">
              <w:rPr>
                <w:b w:val="0"/>
                <w:color w:val="auto"/>
                <w:lang w:val="tr-TR"/>
              </w:rPr>
              <w:t xml:space="preserve"> icra yapılabileceği ihtarının yer alacağı düzenlenmektedir. Bu hüküm, 2004 sayılı Kanunun 32 nci maddesinin ikinci fıkrasına karşılık gelmekte olup, esasa ilişkin herhangi</w:t>
            </w:r>
            <w:r w:rsidR="009C5516">
              <w:rPr>
                <w:b w:val="0"/>
                <w:color w:val="auto"/>
                <w:lang w:val="tr-TR"/>
              </w:rPr>
              <w:t xml:space="preserve"> bir değişiklik içermemektedir.</w:t>
            </w:r>
          </w:p>
          <w:p w:rsidR="000748FC" w:rsidRPr="00A23740" w:rsidRDefault="000748FC" w:rsidP="009431FF">
            <w:pPr>
              <w:pStyle w:val="Mavi"/>
              <w:ind w:firstLine="709"/>
              <w:rPr>
                <w:b w:val="0"/>
                <w:color w:val="auto"/>
                <w:lang w:val="tr-TR"/>
              </w:rPr>
            </w:pPr>
          </w:p>
        </w:tc>
      </w:tr>
      <w:tr w:rsidR="00155AF4" w:rsidRPr="00A23740" w:rsidTr="009431FF">
        <w:tblPrEx>
          <w:tblLook w:val="01E0" w:firstRow="1" w:lastRow="1" w:firstColumn="1" w:lastColumn="1" w:noHBand="0" w:noVBand="0"/>
        </w:tblPrEx>
        <w:tc>
          <w:tcPr>
            <w:tcW w:w="2500" w:type="pct"/>
          </w:tcPr>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A09D3" w:rsidRPr="00A23740" w:rsidRDefault="001A09D3" w:rsidP="009431FF">
            <w:pPr>
              <w:pStyle w:val="KIRMIZI"/>
              <w:rPr>
                <w:b w:val="0"/>
                <w:bCs w:val="0"/>
                <w:strike w:val="0"/>
                <w:color w:val="auto"/>
                <w:lang w:val="tr-TR" w:eastAsia="tr-TR"/>
              </w:rPr>
            </w:pPr>
          </w:p>
          <w:p w:rsidR="00155AF4" w:rsidRPr="00A23740" w:rsidRDefault="00155AF4" w:rsidP="009431FF">
            <w:pPr>
              <w:rPr>
                <w:b/>
                <w:bCs/>
                <w:strike/>
                <w:color w:val="FF0000"/>
                <w:szCs w:val="24"/>
                <w:lang w:eastAsia="tr-TR"/>
              </w:rPr>
            </w:pPr>
          </w:p>
        </w:tc>
        <w:tc>
          <w:tcPr>
            <w:tcW w:w="2500" w:type="pct"/>
          </w:tcPr>
          <w:p w:rsidR="00155AF4" w:rsidRPr="00A23740" w:rsidRDefault="002501EA" w:rsidP="009431FF">
            <w:pPr>
              <w:pStyle w:val="Mavi"/>
            </w:pPr>
            <w:r w:rsidRPr="00A23740">
              <w:rPr>
                <w:lang w:val="tr-TR"/>
              </w:rPr>
              <w:t>İcra</w:t>
            </w:r>
            <w:r w:rsidR="001A09D3" w:rsidRPr="00A23740">
              <w:rPr>
                <w:lang w:val="tr-TR"/>
              </w:rPr>
              <w:t xml:space="preserve"> emrinin düzenlenmesi</w:t>
            </w:r>
          </w:p>
          <w:p w:rsidR="000E46CA" w:rsidRPr="00A23740" w:rsidRDefault="00155AF4" w:rsidP="009431FF">
            <w:pPr>
              <w:pStyle w:val="Mavi"/>
              <w:rPr>
                <w:lang w:val="tr-TR"/>
              </w:rPr>
            </w:pPr>
            <w:r w:rsidRPr="00A23740">
              <w:t>MADDE</w:t>
            </w:r>
            <w:r w:rsidRPr="00A23740">
              <w:rPr>
                <w:rFonts w:eastAsia="Times New Roman"/>
                <w:lang w:eastAsia="tr-TR"/>
              </w:rPr>
              <w:t xml:space="preserve"> 58</w:t>
            </w:r>
            <w:r w:rsidRPr="00A23740">
              <w:rPr>
                <w:rFonts w:eastAsia="ヒラギノ明朝 Pro W3"/>
              </w:rPr>
              <w:t>-</w:t>
            </w:r>
            <w:r w:rsidR="001A09D3" w:rsidRPr="00A23740">
              <w:t xml:space="preserve"> </w:t>
            </w:r>
            <w:r w:rsidR="000E46CA" w:rsidRPr="00A23740">
              <w:t xml:space="preserve">(1) İcra ve iflas dairesi, takibin dayanağının icra edilebilir bir ilam veya ilam niteliğinde belge olduğuna ve takip talebinin bu Kanunda öngörülen şartları içerdiğine karar verirse, </w:t>
            </w:r>
            <w:r w:rsidR="000E46CA" w:rsidRPr="00A23740">
              <w:rPr>
                <w:lang w:val="tr-TR"/>
              </w:rPr>
              <w:t xml:space="preserve">icra emri düzenler. </w:t>
            </w:r>
            <w:r w:rsidR="000E46CA" w:rsidRPr="00A23740">
              <w:t>Talebin kabul edilmemesi h</w:t>
            </w:r>
            <w:r w:rsidR="00437BA8" w:rsidRPr="00A23740">
              <w:rPr>
                <w:lang w:val="tr-TR"/>
              </w:rPr>
              <w:t>â</w:t>
            </w:r>
            <w:r w:rsidR="000E46CA" w:rsidRPr="00A23740">
              <w:t>linde</w:t>
            </w:r>
            <w:r w:rsidR="00793E11" w:rsidRPr="002060A9">
              <w:rPr>
                <w:rStyle w:val="Balk1Char"/>
                <w:rFonts w:eastAsia="Calibri"/>
                <w:b/>
              </w:rPr>
              <w:t>,</w:t>
            </w:r>
            <w:r w:rsidR="000E46CA" w:rsidRPr="00A23740">
              <w:t xml:space="preserve"> verilen karar tutanağa yazılır ve derh</w:t>
            </w:r>
            <w:r w:rsidR="00DF22A1" w:rsidRPr="00A23740">
              <w:rPr>
                <w:lang w:val="tr-TR"/>
              </w:rPr>
              <w:t>â</w:t>
            </w:r>
            <w:r w:rsidR="000E46CA" w:rsidRPr="00A23740">
              <w:t xml:space="preserve">l alacaklıya tebliğ edilir. </w:t>
            </w:r>
            <w:r w:rsidR="000E46CA" w:rsidRPr="00A23740">
              <w:rPr>
                <w:lang w:val="tr-TR"/>
              </w:rPr>
              <w:t>B</w:t>
            </w:r>
            <w:r w:rsidR="000E46CA" w:rsidRPr="00A23740">
              <w:t>u işlemler, en geç üç gün içinde yerine getiri</w:t>
            </w:r>
            <w:r w:rsidR="00413C6E" w:rsidRPr="00A23740">
              <w:rPr>
                <w:lang w:val="tr-TR"/>
              </w:rPr>
              <w:t>lir.</w:t>
            </w:r>
          </w:p>
          <w:p w:rsidR="00A3209F" w:rsidRPr="00A23740" w:rsidRDefault="00A3209F" w:rsidP="009431FF">
            <w:pPr>
              <w:pStyle w:val="YEL"/>
              <w:rPr>
                <w:color w:val="FF0000"/>
                <w:lang w:val="tr-TR" w:eastAsia="tr-TR"/>
              </w:rPr>
            </w:pPr>
          </w:p>
          <w:p w:rsidR="006E2125" w:rsidRPr="00A23740" w:rsidRDefault="006E2125" w:rsidP="009431FF">
            <w:pPr>
              <w:pStyle w:val="Mavi"/>
            </w:pPr>
            <w:r w:rsidRPr="00A23740">
              <w:t>(2</w:t>
            </w:r>
            <w:r w:rsidRPr="00A23740">
              <w:rPr>
                <w:lang w:val="tr-TR"/>
              </w:rPr>
              <w:t xml:space="preserve">) </w:t>
            </w:r>
            <w:r w:rsidRPr="00A23740">
              <w:t xml:space="preserve">İcra emri </w:t>
            </w:r>
            <w:r w:rsidR="00D72E03" w:rsidRPr="00A23740">
              <w:rPr>
                <w:lang w:val="tr-TR"/>
              </w:rPr>
              <w:t>borçlu sayısından bir fazla</w:t>
            </w:r>
            <w:r w:rsidRPr="00A23740">
              <w:t xml:space="preserve"> olarak düzenlenir. Bir nüshası</w:t>
            </w:r>
            <w:r w:rsidRPr="00A23740">
              <w:rPr>
                <w:lang w:val="tr-TR"/>
              </w:rPr>
              <w:t>,</w:t>
            </w:r>
            <w:r w:rsidRPr="00A23740">
              <w:t xml:space="preserve"> </w:t>
            </w:r>
            <w:r w:rsidRPr="00A23740">
              <w:rPr>
                <w:lang w:val="tr-TR"/>
              </w:rPr>
              <w:t xml:space="preserve">takibin dayanağı olan belgenin bir örneğiyle birlikte </w:t>
            </w:r>
            <w:r w:rsidRPr="00A23740">
              <w:t>takibin başlatılmasından itibaren en geç üç gün içinde borçluya tebliğe gönderilir ve diğeri icra dosyasına konulur. Nüshalar arasında fark bulunduğu takdirde borçludaki</w:t>
            </w:r>
            <w:r w:rsidR="00597CDF" w:rsidRPr="00A23740">
              <w:rPr>
                <w:lang w:val="tr-TR"/>
              </w:rPr>
              <w:t xml:space="preserve"> nüsha</w:t>
            </w:r>
            <w:r w:rsidRPr="00A23740">
              <w:t xml:space="preserve"> geçerli sayılır.</w:t>
            </w:r>
          </w:p>
          <w:p w:rsidR="0079441A" w:rsidRPr="00A23740" w:rsidRDefault="0079441A" w:rsidP="009431FF">
            <w:pPr>
              <w:pStyle w:val="Mavi"/>
              <w:rPr>
                <w:lang w:val="tr-TR"/>
              </w:rPr>
            </w:pPr>
          </w:p>
          <w:p w:rsidR="00155AF4" w:rsidRPr="00A23740" w:rsidRDefault="006E2125" w:rsidP="009431FF">
            <w:pPr>
              <w:pStyle w:val="Mavi"/>
            </w:pPr>
            <w:r w:rsidRPr="00A23740">
              <w:rPr>
                <w:lang w:val="tr-TR"/>
              </w:rPr>
              <w:t>(3</w:t>
            </w:r>
            <w:r w:rsidR="001A09D3" w:rsidRPr="00A23740">
              <w:rPr>
                <w:lang w:val="tr-TR"/>
              </w:rPr>
              <w:t xml:space="preserve">) </w:t>
            </w:r>
            <w:r w:rsidR="00155AF4" w:rsidRPr="00A23740">
              <w:t>Alacaklı</w:t>
            </w:r>
            <w:r w:rsidR="00594277" w:rsidRPr="00A23740">
              <w:rPr>
                <w:lang w:val="tr-TR"/>
              </w:rPr>
              <w:t>,</w:t>
            </w:r>
            <w:r w:rsidR="00155AF4" w:rsidRPr="00A23740">
              <w:t xml:space="preserve"> </w:t>
            </w:r>
            <w:r w:rsidR="00594277" w:rsidRPr="00A23740">
              <w:rPr>
                <w:lang w:val="tr-TR"/>
              </w:rPr>
              <w:t>talep ederse</w:t>
            </w:r>
            <w:r w:rsidR="00155AF4" w:rsidRPr="00A23740">
              <w:t xml:space="preserve"> kendisine </w:t>
            </w:r>
            <w:r w:rsidR="00EE3320" w:rsidRPr="00A23740">
              <w:rPr>
                <w:lang w:val="tr-TR"/>
              </w:rPr>
              <w:t>icra</w:t>
            </w:r>
            <w:r w:rsidR="002501EA" w:rsidRPr="00A23740">
              <w:rPr>
                <w:lang w:val="tr-TR"/>
              </w:rPr>
              <w:t xml:space="preserve"> emrinin </w:t>
            </w:r>
            <w:r w:rsidR="00155AF4" w:rsidRPr="00A23740">
              <w:t>onaylı bir nüsha</w:t>
            </w:r>
            <w:r w:rsidR="002501EA" w:rsidRPr="00A23740">
              <w:rPr>
                <w:lang w:val="tr-TR"/>
              </w:rPr>
              <w:t>sı</w:t>
            </w:r>
            <w:r w:rsidR="00155AF4" w:rsidRPr="00A23740">
              <w:t xml:space="preserve"> verilir. </w:t>
            </w:r>
            <w:r w:rsidR="00594277" w:rsidRPr="00A23740">
              <w:rPr>
                <w:lang w:val="tr-TR"/>
              </w:rPr>
              <w:t xml:space="preserve">Bu nüsha, </w:t>
            </w:r>
            <w:r w:rsidR="00155AF4" w:rsidRPr="00A23740">
              <w:t>hiçbir gider ve harca tabi değildir.</w:t>
            </w:r>
          </w:p>
          <w:p w:rsidR="0091345C" w:rsidRPr="00A23740" w:rsidRDefault="0091345C" w:rsidP="009431FF">
            <w:pPr>
              <w:pStyle w:val="Mavi"/>
              <w:rPr>
                <w:lang w:val="tr-TR"/>
              </w:rPr>
            </w:pPr>
          </w:p>
        </w:tc>
      </w:tr>
      <w:tr w:rsidR="00155AF4" w:rsidRPr="00A23740" w:rsidTr="009431FF">
        <w:tc>
          <w:tcPr>
            <w:tcW w:w="5000" w:type="pct"/>
            <w:gridSpan w:val="2"/>
            <w:shd w:val="clear" w:color="auto" w:fill="DEEAF6"/>
          </w:tcPr>
          <w:p w:rsidR="00C56315" w:rsidRPr="00A23740" w:rsidRDefault="00C56315" w:rsidP="009431FF">
            <w:pPr>
              <w:pStyle w:val="Mavi"/>
              <w:ind w:firstLine="709"/>
              <w:rPr>
                <w:color w:val="auto"/>
                <w:lang w:val="tr-TR"/>
              </w:rPr>
            </w:pPr>
          </w:p>
          <w:p w:rsidR="000F3E9A" w:rsidRPr="00A23740" w:rsidRDefault="002F68F8" w:rsidP="009431FF">
            <w:pPr>
              <w:pStyle w:val="Mavi"/>
              <w:ind w:firstLine="709"/>
              <w:rPr>
                <w:color w:val="auto"/>
                <w:lang w:val="tr-TR"/>
              </w:rPr>
            </w:pPr>
            <w:r w:rsidRPr="00A23740">
              <w:rPr>
                <w:color w:val="auto"/>
                <w:lang w:val="tr-TR"/>
              </w:rPr>
              <w:t xml:space="preserve">MADDE 58- </w:t>
            </w:r>
            <w:r w:rsidR="000F3E9A" w:rsidRPr="00A23740">
              <w:rPr>
                <w:b w:val="0"/>
                <w:color w:val="auto"/>
                <w:lang w:val="tr-TR"/>
              </w:rPr>
              <w:t xml:space="preserve">Maddeyle, </w:t>
            </w:r>
            <w:r w:rsidR="002501EA" w:rsidRPr="00A23740">
              <w:rPr>
                <w:b w:val="0"/>
                <w:color w:val="auto"/>
                <w:lang w:val="tr-TR"/>
              </w:rPr>
              <w:t xml:space="preserve">icra emrinin düzenlenmesine ilişkin hususlar belirlenmektedir. </w:t>
            </w:r>
          </w:p>
          <w:p w:rsidR="000F3E9A" w:rsidRPr="00A23740" w:rsidRDefault="002501EA" w:rsidP="009431FF">
            <w:pPr>
              <w:pStyle w:val="Mavi"/>
              <w:ind w:firstLine="709"/>
              <w:rPr>
                <w:b w:val="0"/>
                <w:color w:val="auto"/>
                <w:lang w:val="tr-TR"/>
              </w:rPr>
            </w:pPr>
            <w:r w:rsidRPr="00A23740">
              <w:rPr>
                <w:b w:val="0"/>
                <w:color w:val="auto"/>
                <w:lang w:val="tr-TR"/>
              </w:rPr>
              <w:t>Birinci fıkrayla, takip talebinin verilmesi üzerine icra</w:t>
            </w:r>
            <w:r w:rsidR="001647D1" w:rsidRPr="00A23740">
              <w:rPr>
                <w:color w:val="538135"/>
                <w:lang w:val="tr-TR"/>
              </w:rPr>
              <w:t xml:space="preserve"> </w:t>
            </w:r>
            <w:r w:rsidR="001647D1" w:rsidRPr="008D10FA">
              <w:rPr>
                <w:b w:val="0"/>
                <w:color w:val="auto"/>
                <w:lang w:val="tr-TR"/>
              </w:rPr>
              <w:t>ve iflas</w:t>
            </w:r>
            <w:r w:rsidRPr="00A23740">
              <w:rPr>
                <w:b w:val="0"/>
                <w:color w:val="auto"/>
                <w:lang w:val="tr-TR"/>
              </w:rPr>
              <w:t xml:space="preserve"> dairesince yapılacak işlemler düzenlenmektedir. Hük</w:t>
            </w:r>
            <w:r w:rsidR="006E2125" w:rsidRPr="00A23740">
              <w:rPr>
                <w:b w:val="0"/>
                <w:color w:val="auto"/>
                <w:lang w:val="tr-TR"/>
              </w:rPr>
              <w:t>me göre icra</w:t>
            </w:r>
            <w:r w:rsidR="001647D1" w:rsidRPr="00A23740">
              <w:rPr>
                <w:color w:val="538135"/>
                <w:lang w:val="tr-TR"/>
              </w:rPr>
              <w:t xml:space="preserve"> </w:t>
            </w:r>
            <w:r w:rsidR="001647D1" w:rsidRPr="008D10FA">
              <w:rPr>
                <w:b w:val="0"/>
                <w:color w:val="auto"/>
                <w:lang w:val="tr-TR"/>
              </w:rPr>
              <w:t>ve iflas</w:t>
            </w:r>
            <w:r w:rsidR="006E2125" w:rsidRPr="00A23740">
              <w:rPr>
                <w:b w:val="0"/>
                <w:color w:val="auto"/>
                <w:lang w:val="tr-TR"/>
              </w:rPr>
              <w:t xml:space="preserve"> dairesi, takibin dayanağının icra edilebilir bir ilam veya ilam niteliğinde belge olduğuna ve takip talebinin Kanunda öngörülen şartları içerdiğine karar verirse, icra emri düzenler. Talebin kabul edilmemesi h</w:t>
            </w:r>
            <w:r w:rsidR="002F2BAA" w:rsidRPr="00A23740">
              <w:rPr>
                <w:b w:val="0"/>
                <w:color w:val="auto"/>
                <w:lang w:val="tr-TR"/>
              </w:rPr>
              <w:t>â</w:t>
            </w:r>
            <w:r w:rsidR="006E2125" w:rsidRPr="00A23740">
              <w:rPr>
                <w:b w:val="0"/>
                <w:color w:val="auto"/>
                <w:lang w:val="tr-TR"/>
              </w:rPr>
              <w:t>linde verilen karar, tutanağa yazılır ve derh</w:t>
            </w:r>
            <w:r w:rsidR="00DF22A1" w:rsidRPr="00A23740">
              <w:rPr>
                <w:b w:val="0"/>
                <w:color w:val="auto"/>
                <w:lang w:val="tr-TR"/>
              </w:rPr>
              <w:t>â</w:t>
            </w:r>
            <w:r w:rsidR="006E2125" w:rsidRPr="00A23740">
              <w:rPr>
                <w:b w:val="0"/>
                <w:color w:val="auto"/>
                <w:lang w:val="tr-TR"/>
              </w:rPr>
              <w:t xml:space="preserve">l alacaklıya tebliğ edilir. Bu işlemler, </w:t>
            </w:r>
            <w:r w:rsidR="006E2125" w:rsidRPr="00A23740">
              <w:rPr>
                <w:b w:val="0"/>
                <w:color w:val="auto"/>
                <w:lang w:val="tr-TR"/>
              </w:rPr>
              <w:lastRenderedPageBreak/>
              <w:t>en geç üç gün içinde yerine getirilir.</w:t>
            </w:r>
            <w:r w:rsidR="00AF2010" w:rsidRPr="00A23740">
              <w:rPr>
                <w:b w:val="0"/>
                <w:color w:val="auto"/>
                <w:lang w:val="tr-TR"/>
              </w:rPr>
              <w:t xml:space="preserve"> Bu fıkradaki “icra edilebilir” terimi</w:t>
            </w:r>
            <w:r w:rsidR="00AF2010" w:rsidRPr="00A93248">
              <w:rPr>
                <w:b w:val="0"/>
                <w:color w:val="auto"/>
                <w:lang w:val="tr-TR"/>
              </w:rPr>
              <w:t>, hem belgenin eda emri içermesi ve kabili icra nitelik kazanmasını hem de icranin en erken ne zaman yapilabileceği hususunun denetlenmesini kapsar.  İcra ve iflas müdürü bu hususla</w:t>
            </w:r>
            <w:r w:rsidR="00A93248">
              <w:rPr>
                <w:b w:val="0"/>
                <w:color w:val="auto"/>
                <w:lang w:val="tr-TR"/>
              </w:rPr>
              <w:t>ri resen dikkate almak zorundadı</w:t>
            </w:r>
            <w:r w:rsidR="00AF2010" w:rsidRPr="00A93248">
              <w:rPr>
                <w:b w:val="0"/>
                <w:color w:val="auto"/>
                <w:lang w:val="tr-TR"/>
              </w:rPr>
              <w:t>r.</w:t>
            </w:r>
          </w:p>
          <w:p w:rsidR="000E46CA" w:rsidRPr="00A23740" w:rsidRDefault="000E46CA" w:rsidP="009431FF">
            <w:pPr>
              <w:pStyle w:val="Mavi"/>
              <w:ind w:firstLine="709"/>
              <w:rPr>
                <w:color w:val="auto"/>
                <w:lang w:val="tr-TR"/>
              </w:rPr>
            </w:pPr>
            <w:r w:rsidRPr="00A23740">
              <w:rPr>
                <w:b w:val="0"/>
                <w:color w:val="auto"/>
                <w:lang w:val="tr-TR"/>
              </w:rPr>
              <w:t xml:space="preserve">İkinci fıkrayla, </w:t>
            </w:r>
            <w:r w:rsidR="006E2125" w:rsidRPr="00A23740">
              <w:rPr>
                <w:b w:val="0"/>
                <w:color w:val="auto"/>
                <w:lang w:val="tr-TR"/>
              </w:rPr>
              <w:t xml:space="preserve">icra emrinin </w:t>
            </w:r>
            <w:r w:rsidR="00774FBC" w:rsidRPr="00A23740">
              <w:rPr>
                <w:b w:val="0"/>
                <w:color w:val="auto"/>
                <w:lang w:val="tr-TR"/>
              </w:rPr>
              <w:t>borçlu sayısından bir fazla</w:t>
            </w:r>
            <w:r w:rsidR="00D72E03" w:rsidRPr="00A23740">
              <w:rPr>
                <w:b w:val="0"/>
                <w:color w:val="auto"/>
                <w:lang w:val="tr-TR"/>
              </w:rPr>
              <w:t xml:space="preserve"> </w:t>
            </w:r>
            <w:r w:rsidR="006E2125" w:rsidRPr="00A23740">
              <w:rPr>
                <w:b w:val="0"/>
                <w:color w:val="auto"/>
                <w:lang w:val="tr-TR"/>
              </w:rPr>
              <w:t>olarak düzenleneceği, bir nüshasının takibin dayanağı olan belgenin bir örneğiyle birlikte takibin başlatılmasından itibaren en geç üç gün içinde borçluya tebliğe gönderileceği ve diğer nüshanın ise icra dosyasına konulacağı düzenlenmektedir. Ancak nüshalar arasında fark bulunması h</w:t>
            </w:r>
            <w:r w:rsidR="002F2BAA" w:rsidRPr="00A23740">
              <w:rPr>
                <w:b w:val="0"/>
                <w:color w:val="auto"/>
                <w:lang w:val="tr-TR"/>
              </w:rPr>
              <w:t>â</w:t>
            </w:r>
            <w:r w:rsidR="006E2125" w:rsidRPr="00A23740">
              <w:rPr>
                <w:b w:val="0"/>
                <w:color w:val="auto"/>
                <w:lang w:val="tr-TR"/>
              </w:rPr>
              <w:t xml:space="preserve">linde </w:t>
            </w:r>
            <w:r w:rsidR="00EE3320" w:rsidRPr="00A23740">
              <w:rPr>
                <w:b w:val="0"/>
                <w:color w:val="auto"/>
                <w:lang w:val="tr-TR"/>
              </w:rPr>
              <w:t>borçluya tebliğ edilen nüsha geçerli kabul edil</w:t>
            </w:r>
            <w:r w:rsidR="00594277" w:rsidRPr="00A23740">
              <w:rPr>
                <w:b w:val="0"/>
                <w:color w:val="auto"/>
                <w:lang w:val="tr-TR"/>
              </w:rPr>
              <w:t>ir</w:t>
            </w:r>
            <w:r w:rsidR="00EE3320" w:rsidRPr="00A23740">
              <w:rPr>
                <w:b w:val="0"/>
                <w:color w:val="auto"/>
                <w:lang w:val="tr-TR"/>
              </w:rPr>
              <w:t>.</w:t>
            </w:r>
          </w:p>
          <w:p w:rsidR="002F68F8" w:rsidRPr="00A23740" w:rsidRDefault="00EE3320" w:rsidP="009431FF">
            <w:pPr>
              <w:pStyle w:val="Mavi"/>
              <w:ind w:firstLine="709"/>
              <w:rPr>
                <w:b w:val="0"/>
                <w:color w:val="auto"/>
                <w:lang w:val="tr-TR"/>
              </w:rPr>
            </w:pPr>
            <w:r w:rsidRPr="00A23740">
              <w:rPr>
                <w:b w:val="0"/>
                <w:color w:val="auto"/>
                <w:lang w:val="tr-TR"/>
              </w:rPr>
              <w:t>Üçüncü fıkrayla, alacaklıya</w:t>
            </w:r>
            <w:r w:rsidR="00594277" w:rsidRPr="00A23740">
              <w:rPr>
                <w:b w:val="0"/>
                <w:color w:val="auto"/>
                <w:lang w:val="tr-TR"/>
              </w:rPr>
              <w:t xml:space="preserve"> talebi h</w:t>
            </w:r>
            <w:r w:rsidR="002F2BAA" w:rsidRPr="00A23740">
              <w:rPr>
                <w:b w:val="0"/>
                <w:color w:val="auto"/>
                <w:lang w:val="tr-TR"/>
              </w:rPr>
              <w:t>â</w:t>
            </w:r>
            <w:r w:rsidR="00594277" w:rsidRPr="00A23740">
              <w:rPr>
                <w:b w:val="0"/>
                <w:color w:val="auto"/>
                <w:lang w:val="tr-TR"/>
              </w:rPr>
              <w:t>linde icra emrinin onaylı bir nüshasının</w:t>
            </w:r>
            <w:r w:rsidRPr="00A23740">
              <w:rPr>
                <w:b w:val="0"/>
                <w:color w:val="auto"/>
                <w:lang w:val="tr-TR"/>
              </w:rPr>
              <w:t xml:space="preserve"> verilece</w:t>
            </w:r>
            <w:r w:rsidR="00594277" w:rsidRPr="00A23740">
              <w:rPr>
                <w:b w:val="0"/>
                <w:color w:val="auto"/>
                <w:lang w:val="tr-TR"/>
              </w:rPr>
              <w:t>ği</w:t>
            </w:r>
            <w:r w:rsidRPr="00A23740">
              <w:rPr>
                <w:b w:val="0"/>
                <w:color w:val="auto"/>
                <w:lang w:val="tr-TR"/>
              </w:rPr>
              <w:t xml:space="preserve"> </w:t>
            </w:r>
            <w:r w:rsidR="00B5494C" w:rsidRPr="00A23740">
              <w:rPr>
                <w:b w:val="0"/>
                <w:color w:val="auto"/>
                <w:lang w:val="tr-TR"/>
              </w:rPr>
              <w:t>hükme bağlanmaktadır</w:t>
            </w:r>
            <w:r w:rsidR="00594277" w:rsidRPr="00A23740">
              <w:rPr>
                <w:b w:val="0"/>
                <w:color w:val="auto"/>
                <w:lang w:val="tr-TR"/>
              </w:rPr>
              <w:t>.</w:t>
            </w:r>
          </w:p>
          <w:p w:rsidR="002501EA" w:rsidRPr="00A23740" w:rsidRDefault="002501EA"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Fonts w:eastAsia="Times New Roman"/>
                <w:b/>
                <w:bCs/>
                <w:szCs w:val="24"/>
                <w:lang w:eastAsia="tr-TR"/>
              </w:rPr>
              <w:lastRenderedPageBreak/>
              <w:t xml:space="preserve">İlam </w:t>
            </w:r>
            <w:r w:rsidRPr="00A23740">
              <w:rPr>
                <w:rFonts w:eastAsia="Times New Roman"/>
                <w:b/>
                <w:bCs/>
                <w:strike/>
                <w:color w:val="FF0000"/>
                <w:szCs w:val="24"/>
                <w:lang w:eastAsia="tr-TR"/>
              </w:rPr>
              <w:t>mahiyetini haiz</w:t>
            </w:r>
            <w:r w:rsidRPr="00A23740">
              <w:rPr>
                <w:rFonts w:eastAsia="Times New Roman"/>
                <w:b/>
                <w:bCs/>
                <w:szCs w:val="24"/>
                <w:lang w:eastAsia="tr-TR"/>
              </w:rPr>
              <w:t xml:space="preserve"> belgeler</w:t>
            </w:r>
            <w:r w:rsidRPr="00A23740">
              <w:rPr>
                <w:rFonts w:eastAsia="Times New Roman"/>
                <w:b/>
                <w:bCs/>
                <w:strike/>
                <w:color w:val="FF0000"/>
                <w:szCs w:val="24"/>
                <w:lang w:eastAsia="tr-TR"/>
              </w:rPr>
              <w:t xml:space="preserve"> :</w:t>
            </w:r>
          </w:p>
          <w:p w:rsidR="00155AF4" w:rsidRPr="00A23740" w:rsidRDefault="00155AF4" w:rsidP="009431FF">
            <w:pPr>
              <w:tabs>
                <w:tab w:val="left" w:pos="567"/>
              </w:tabs>
              <w:rPr>
                <w:rFonts w:eastAsia="Times New Roman"/>
                <w:b/>
                <w:bCs/>
                <w:strike/>
                <w:color w:val="FF0000"/>
                <w:szCs w:val="24"/>
                <w:lang w:eastAsia="tr-TR"/>
              </w:rPr>
            </w:pPr>
            <w:r w:rsidRPr="00A23740">
              <w:rPr>
                <w:rStyle w:val="KIRMIZIChar"/>
                <w:rFonts w:eastAsia="Calibri"/>
              </w:rPr>
              <w:t xml:space="preserve">Madde 38 – (1) </w:t>
            </w:r>
            <w:r w:rsidRPr="00A23740">
              <w:rPr>
                <w:rFonts w:eastAsia="Times New Roman"/>
                <w:b/>
                <w:bCs/>
                <w:strike/>
                <w:color w:val="FF0000"/>
                <w:szCs w:val="24"/>
                <w:lang w:eastAsia="tr-TR"/>
              </w:rPr>
              <w:t>(Değişik: 18/2/1965 - 538/20 md.)</w:t>
            </w:r>
          </w:p>
          <w:p w:rsidR="00155AF4" w:rsidRPr="00A23740" w:rsidRDefault="00155AF4" w:rsidP="009431FF">
            <w:pPr>
              <w:tabs>
                <w:tab w:val="left" w:pos="567"/>
              </w:tabs>
              <w:rPr>
                <w:rFonts w:eastAsia="Times New Roman"/>
                <w:szCs w:val="24"/>
                <w:lang w:eastAsia="tr-TR"/>
              </w:rPr>
            </w:pPr>
            <w:r w:rsidRPr="00A23740">
              <w:rPr>
                <w:rFonts w:eastAsia="Times New Roman"/>
                <w:szCs w:val="24"/>
                <w:lang w:eastAsia="tr-TR"/>
              </w:rPr>
              <w:t>Mahkeme huzurunda yapılan sulhl</w:t>
            </w:r>
            <w:r w:rsidRPr="00A23740">
              <w:rPr>
                <w:rFonts w:eastAsia="Times New Roman"/>
                <w:b/>
                <w:bCs/>
                <w:strike/>
                <w:color w:val="FF0000"/>
                <w:szCs w:val="24"/>
                <w:lang w:eastAsia="tr-TR"/>
              </w:rPr>
              <w:t>a</w:t>
            </w:r>
            <w:r w:rsidRPr="00A23740">
              <w:rPr>
                <w:rFonts w:eastAsia="Times New Roman"/>
                <w:szCs w:val="24"/>
                <w:lang w:eastAsia="tr-TR"/>
              </w:rPr>
              <w:t>r</w:t>
            </w:r>
            <w:r w:rsidRPr="00A23740">
              <w:rPr>
                <w:rStyle w:val="KIRMIZIChar"/>
                <w:rFonts w:eastAsia="Calibri"/>
              </w:rPr>
              <w:t>,</w:t>
            </w:r>
            <w:r w:rsidRPr="00A23740">
              <w:rPr>
                <w:rFonts w:eastAsia="Times New Roman"/>
                <w:szCs w:val="24"/>
                <w:lang w:eastAsia="tr-TR"/>
              </w:rPr>
              <w:t xml:space="preserve"> kabuller </w:t>
            </w:r>
            <w:r w:rsidRPr="00A23740">
              <w:rPr>
                <w:rStyle w:val="KIRMIZIChar"/>
                <w:rFonts w:eastAsia="Calibri"/>
              </w:rPr>
              <w:t xml:space="preserve">ve para </w:t>
            </w:r>
            <w:r w:rsidRPr="00A23740">
              <w:rPr>
                <w:rFonts w:eastAsia="Times New Roman"/>
                <w:bCs/>
                <w:lang w:eastAsia="tr-TR"/>
              </w:rPr>
              <w:t>bor</w:t>
            </w:r>
            <w:r w:rsidRPr="00A23740">
              <w:rPr>
                <w:rStyle w:val="KIRMIZIChar"/>
                <w:rFonts w:eastAsia="Calibri"/>
              </w:rPr>
              <w:t>cu</w:t>
            </w:r>
            <w:r w:rsidRPr="00A23740">
              <w:rPr>
                <w:rFonts w:eastAsia="Times New Roman"/>
                <w:szCs w:val="24"/>
                <w:lang w:eastAsia="tr-TR"/>
              </w:rPr>
              <w:t xml:space="preserve"> ikrarını</w:t>
            </w:r>
            <w:r w:rsidRPr="00A23740">
              <w:rPr>
                <w:rFonts w:eastAsia="Times New Roman"/>
                <w:b/>
                <w:bCs/>
                <w:strike/>
                <w:color w:val="FF0000"/>
                <w:szCs w:val="24"/>
                <w:lang w:eastAsia="tr-TR"/>
              </w:rPr>
              <w:t xml:space="preserve"> havi re'sen tanzim edilen</w:t>
            </w:r>
            <w:r w:rsidRPr="00A23740">
              <w:rPr>
                <w:rFonts w:eastAsia="Times New Roman"/>
                <w:szCs w:val="24"/>
                <w:lang w:eastAsia="tr-TR"/>
              </w:rPr>
              <w:t xml:space="preserve"> noter senetleri, </w:t>
            </w:r>
            <w:r w:rsidRPr="00A23740">
              <w:rPr>
                <w:rFonts w:eastAsia="Times New Roman"/>
                <w:b/>
                <w:bCs/>
                <w:strike/>
                <w:color w:val="FF0000"/>
                <w:szCs w:val="24"/>
                <w:lang w:eastAsia="tr-TR"/>
              </w:rPr>
              <w:t xml:space="preserve">istinaf ve temyiz </w:t>
            </w:r>
            <w:r w:rsidRPr="00A23740">
              <w:rPr>
                <w:rStyle w:val="KIRMIZIChar"/>
                <w:rFonts w:eastAsia="Calibri"/>
              </w:rPr>
              <w:t>kefaletnameleri ile</w:t>
            </w:r>
            <w:r w:rsidRPr="00A23740">
              <w:rPr>
                <w:rFonts w:eastAsia="Times New Roman"/>
                <w:szCs w:val="24"/>
                <w:lang w:eastAsia="tr-TR"/>
              </w:rPr>
              <w:t xml:space="preserve"> icra dairesindeki kefaletler</w:t>
            </w:r>
            <w:r w:rsidRPr="00A23740">
              <w:rPr>
                <w:rStyle w:val="KIRMIZIChar"/>
                <w:rFonts w:eastAsia="Calibri"/>
              </w:rPr>
              <w:t>,</w:t>
            </w:r>
            <w:r w:rsidRPr="00A23740">
              <w:rPr>
                <w:rFonts w:eastAsia="Times New Roman"/>
                <w:lang w:eastAsia="tr-TR"/>
              </w:rPr>
              <w:t xml:space="preserve"> il</w:t>
            </w:r>
            <w:r w:rsidRPr="00A23740">
              <w:rPr>
                <w:rStyle w:val="KIRMIZIChar"/>
                <w:rFonts w:eastAsia="Calibri"/>
              </w:rPr>
              <w:t>â</w:t>
            </w:r>
            <w:r w:rsidRPr="00A23740">
              <w:rPr>
                <w:rFonts w:eastAsia="Times New Roman"/>
                <w:bCs/>
                <w:lang w:eastAsia="tr-TR"/>
              </w:rPr>
              <w:t xml:space="preserve">mların icrası </w:t>
            </w:r>
            <w:r w:rsidRPr="00A23740">
              <w:rPr>
                <w:rStyle w:val="KIRMIZIChar"/>
                <w:rFonts w:eastAsia="Calibri"/>
              </w:rPr>
              <w:t>hakkındaki</w:t>
            </w:r>
            <w:r w:rsidRPr="00A23740">
              <w:rPr>
                <w:rFonts w:eastAsia="Times New Roman"/>
                <w:bCs/>
                <w:lang w:eastAsia="tr-TR"/>
              </w:rPr>
              <w:t xml:space="preserve"> hükümler</w:t>
            </w:r>
            <w:r w:rsidRPr="00A23740">
              <w:rPr>
                <w:rStyle w:val="KIRMIZIChar"/>
                <w:rFonts w:eastAsia="Calibri"/>
              </w:rPr>
              <w:t>e tabidir</w:t>
            </w:r>
            <w:r w:rsidRPr="00A23740">
              <w:rPr>
                <w:rFonts w:eastAsia="Times New Roman"/>
                <w:szCs w:val="24"/>
                <w:lang w:eastAsia="tr-TR"/>
              </w:rPr>
              <w:t xml:space="preserve">. </w:t>
            </w:r>
            <w:r w:rsidRPr="00A23740">
              <w:rPr>
                <w:rStyle w:val="KIRMIZIChar"/>
                <w:rFonts w:eastAsia="Calibri"/>
              </w:rPr>
              <w:t>Bu maddedeki</w:t>
            </w:r>
            <w:r w:rsidRPr="00A23740">
              <w:rPr>
                <w:rFonts w:eastAsia="Times New Roman"/>
                <w:szCs w:val="24"/>
                <w:lang w:eastAsia="tr-TR"/>
              </w:rPr>
              <w:t xml:space="preserve"> icra kefaletleri müteselsil kefalet hükmündedir.</w:t>
            </w:r>
          </w:p>
          <w:p w:rsidR="00155AF4" w:rsidRPr="00A23740" w:rsidRDefault="00155AF4" w:rsidP="009431FF">
            <w:pPr>
              <w:pStyle w:val="YEL"/>
              <w:rPr>
                <w:b w:val="0"/>
                <w:bCs/>
                <w:strike/>
                <w:color w:val="FF0000"/>
                <w:lang w:val="tr-TR" w:eastAsia="tr-TR"/>
              </w:rPr>
            </w:pPr>
          </w:p>
        </w:tc>
        <w:tc>
          <w:tcPr>
            <w:tcW w:w="2500" w:type="pct"/>
          </w:tcPr>
          <w:p w:rsidR="00155AF4" w:rsidRPr="00A23740" w:rsidRDefault="00155AF4" w:rsidP="009431FF">
            <w:pPr>
              <w:tabs>
                <w:tab w:val="left" w:pos="567"/>
              </w:tabs>
            </w:pPr>
            <w:r w:rsidRPr="00A23740">
              <w:rPr>
                <w:b/>
              </w:rPr>
              <w:t>İlam</w:t>
            </w:r>
            <w:r w:rsidRPr="00A23740">
              <w:t xml:space="preserve"> </w:t>
            </w:r>
            <w:r w:rsidRPr="00A23740">
              <w:rPr>
                <w:rStyle w:val="MaviChar"/>
              </w:rPr>
              <w:t>niteliğindeki</w:t>
            </w:r>
            <w:r w:rsidRPr="00A23740">
              <w:t xml:space="preserve"> </w:t>
            </w:r>
            <w:r w:rsidRPr="00A23740">
              <w:rPr>
                <w:rFonts w:eastAsia="Times New Roman"/>
                <w:b/>
                <w:bCs/>
                <w:szCs w:val="24"/>
                <w:lang w:eastAsia="tr-TR"/>
              </w:rPr>
              <w:t>belgeler</w:t>
            </w:r>
          </w:p>
          <w:p w:rsidR="00155AF4" w:rsidRPr="00A23740" w:rsidRDefault="00155AF4" w:rsidP="009431FF">
            <w:pPr>
              <w:pStyle w:val="Mavi"/>
            </w:pPr>
            <w:r w:rsidRPr="00A23740">
              <w:t>MADDE 59- (1) Diğer kanunlardaki hükümler saklı kalmak kaydıyla</w:t>
            </w:r>
            <w:r w:rsidRPr="00A23740">
              <w:rPr>
                <w:lang w:val="tr-TR"/>
              </w:rPr>
              <w:t xml:space="preserve"> </w:t>
            </w:r>
            <w:r w:rsidRPr="00A23740">
              <w:t xml:space="preserve">aşağıda belirtilen belgeler hakkında </w:t>
            </w:r>
            <w:r w:rsidRPr="00A23740">
              <w:rPr>
                <w:rFonts w:eastAsia="Times New Roman"/>
                <w:b w:val="0"/>
                <w:bCs w:val="0"/>
                <w:color w:val="auto"/>
                <w:lang w:val="tr-TR" w:eastAsia="tr-TR"/>
              </w:rPr>
              <w:t>il</w:t>
            </w:r>
            <w:r w:rsidRPr="00A23740">
              <w:t>a</w:t>
            </w:r>
            <w:r w:rsidRPr="00A23740">
              <w:rPr>
                <w:rFonts w:eastAsia="Times New Roman"/>
                <w:b w:val="0"/>
                <w:bCs w:val="0"/>
                <w:color w:val="auto"/>
                <w:lang w:val="tr-TR" w:eastAsia="tr-TR"/>
              </w:rPr>
              <w:t>mların icrası</w:t>
            </w:r>
            <w:r w:rsidRPr="00A23740">
              <w:t xml:space="preserve">na ilişkin </w:t>
            </w:r>
            <w:r w:rsidRPr="00A23740">
              <w:rPr>
                <w:rFonts w:eastAsia="Times New Roman"/>
                <w:b w:val="0"/>
                <w:bCs w:val="0"/>
                <w:color w:val="auto"/>
                <w:lang w:val="tr-TR" w:eastAsia="tr-TR"/>
              </w:rPr>
              <w:t>hükümler</w:t>
            </w:r>
            <w:r w:rsidRPr="00A23740">
              <w:t xml:space="preserve"> uygulanır:</w:t>
            </w:r>
          </w:p>
          <w:p w:rsidR="00155AF4" w:rsidRPr="00A23740" w:rsidRDefault="00155AF4" w:rsidP="009431FF">
            <w:pPr>
              <w:pStyle w:val="Mavi"/>
            </w:pPr>
            <w:r w:rsidRPr="00A23740">
              <w:t xml:space="preserve">a) </w:t>
            </w:r>
            <w:r w:rsidRPr="00A23740">
              <w:rPr>
                <w:rFonts w:eastAsia="Times New Roman"/>
                <w:b w:val="0"/>
                <w:bCs w:val="0"/>
                <w:color w:val="auto"/>
                <w:lang w:val="tr-TR" w:eastAsia="tr-TR"/>
              </w:rPr>
              <w:t>Mahkeme huzurunda yapılan sulhl</w:t>
            </w:r>
            <w:r w:rsidRPr="00A23740">
              <w:t>e</w:t>
            </w:r>
            <w:r w:rsidRPr="00A23740">
              <w:rPr>
                <w:rFonts w:eastAsia="Times New Roman"/>
                <w:b w:val="0"/>
                <w:bCs w:val="0"/>
                <w:color w:val="auto"/>
                <w:lang w:val="tr-TR" w:eastAsia="tr-TR"/>
              </w:rPr>
              <w:t xml:space="preserve">r </w:t>
            </w:r>
            <w:r w:rsidRPr="00A23740">
              <w:t xml:space="preserve">ve </w:t>
            </w:r>
            <w:r w:rsidRPr="00A23740">
              <w:rPr>
                <w:rFonts w:eastAsia="Times New Roman"/>
                <w:b w:val="0"/>
                <w:bCs w:val="0"/>
                <w:color w:val="auto"/>
                <w:lang w:val="tr-TR" w:eastAsia="tr-TR"/>
              </w:rPr>
              <w:t>kabuller</w:t>
            </w:r>
            <w:r w:rsidR="00BF14C0" w:rsidRPr="00A23740">
              <w:t>.</w:t>
            </w:r>
          </w:p>
          <w:p w:rsidR="00537077" w:rsidRPr="00A23740" w:rsidRDefault="00537077" w:rsidP="009431FF">
            <w:pPr>
              <w:pStyle w:val="Mavi"/>
            </w:pPr>
          </w:p>
          <w:p w:rsidR="00155AF4" w:rsidRPr="00A23740" w:rsidRDefault="00155AF4" w:rsidP="009431FF">
            <w:pPr>
              <w:pStyle w:val="Mavi"/>
            </w:pPr>
            <w:r w:rsidRPr="00A23740">
              <w:t>b) Kayıtsız ve şartsız</w:t>
            </w:r>
            <w:r w:rsidR="004835E9" w:rsidRPr="00A23740">
              <w:rPr>
                <w:lang w:val="tr-TR"/>
              </w:rPr>
              <w:t xml:space="preserve"> </w:t>
            </w:r>
            <w:r w:rsidRPr="00A23740">
              <w:rPr>
                <w:rFonts w:eastAsia="Times New Roman"/>
                <w:b w:val="0"/>
                <w:bCs w:val="0"/>
                <w:color w:val="auto"/>
                <w:lang w:val="tr-TR" w:eastAsia="tr-TR"/>
              </w:rPr>
              <w:t>bor</w:t>
            </w:r>
            <w:r w:rsidRPr="00A23740">
              <w:t xml:space="preserve">ç </w:t>
            </w:r>
            <w:r w:rsidRPr="00A23740">
              <w:rPr>
                <w:rFonts w:eastAsia="Times New Roman"/>
                <w:b w:val="0"/>
                <w:bCs w:val="0"/>
                <w:color w:val="auto"/>
                <w:lang w:val="tr-TR" w:eastAsia="tr-TR"/>
              </w:rPr>
              <w:t>ikrarını</w:t>
            </w:r>
            <w:r w:rsidRPr="00A23740">
              <w:t xml:space="preserve"> içeren düzenleme şeklindeki </w:t>
            </w:r>
            <w:r w:rsidRPr="00A23740">
              <w:rPr>
                <w:rFonts w:eastAsia="Times New Roman"/>
                <w:b w:val="0"/>
                <w:bCs w:val="0"/>
                <w:color w:val="auto"/>
                <w:lang w:val="tr-TR" w:eastAsia="tr-TR"/>
              </w:rPr>
              <w:t>noter senetleri</w:t>
            </w:r>
            <w:r w:rsidR="00BF14C0" w:rsidRPr="00A23740">
              <w:t>.</w:t>
            </w:r>
          </w:p>
          <w:p w:rsidR="00537077" w:rsidRPr="00A23740" w:rsidRDefault="00537077" w:rsidP="009431FF">
            <w:pPr>
              <w:pStyle w:val="Mavi"/>
            </w:pPr>
          </w:p>
          <w:p w:rsidR="00155AF4" w:rsidRPr="00A23740" w:rsidRDefault="00155AF4" w:rsidP="009431FF">
            <w:pPr>
              <w:pStyle w:val="Mavi"/>
            </w:pPr>
            <w:r w:rsidRPr="00A23740">
              <w:t xml:space="preserve">c) </w:t>
            </w:r>
            <w:r w:rsidRPr="00A23740">
              <w:rPr>
                <w:rFonts w:eastAsia="Times New Roman"/>
                <w:b w:val="0"/>
                <w:bCs w:val="0"/>
                <w:color w:val="auto"/>
                <w:lang w:val="tr-TR" w:eastAsia="tr-TR"/>
              </w:rPr>
              <w:t xml:space="preserve">İcra </w:t>
            </w:r>
            <w:r w:rsidRPr="00A23740">
              <w:t>ve iflas</w:t>
            </w:r>
            <w:r w:rsidRPr="00A23740">
              <w:rPr>
                <w:rFonts w:eastAsia="Times New Roman"/>
                <w:b w:val="0"/>
                <w:bCs w:val="0"/>
                <w:color w:val="auto"/>
                <w:lang w:val="tr-TR" w:eastAsia="tr-TR"/>
              </w:rPr>
              <w:t xml:space="preserve"> dairesindeki kefaletler</w:t>
            </w:r>
            <w:r w:rsidRPr="00A23740">
              <w:t>.</w:t>
            </w:r>
          </w:p>
          <w:p w:rsidR="00155AF4" w:rsidRPr="00A23740" w:rsidRDefault="00155AF4" w:rsidP="009431FF">
            <w:pPr>
              <w:pStyle w:val="Mavi"/>
            </w:pPr>
          </w:p>
          <w:p w:rsidR="00155AF4" w:rsidRPr="00A23740" w:rsidRDefault="00155AF4" w:rsidP="009431FF">
            <w:pPr>
              <w:pStyle w:val="Mavi"/>
            </w:pPr>
            <w:r w:rsidRPr="00A23740">
              <w:t xml:space="preserve">(2) </w:t>
            </w:r>
            <w:r w:rsidR="009E2DF5" w:rsidRPr="00A23740">
              <w:rPr>
                <w:lang w:val="tr-TR"/>
              </w:rPr>
              <w:t xml:space="preserve">Birinci fıkradaki </w:t>
            </w:r>
            <w:r w:rsidRPr="00A23740">
              <w:rPr>
                <w:rFonts w:eastAsia="Times New Roman"/>
                <w:b w:val="0"/>
                <w:bCs w:val="0"/>
                <w:color w:val="auto"/>
                <w:lang w:val="tr-TR" w:eastAsia="tr-TR"/>
              </w:rPr>
              <w:t>icra kefaletleri müteselsil kefalet hükmündedir.</w:t>
            </w:r>
          </w:p>
          <w:p w:rsidR="00155AF4" w:rsidRPr="00A23740" w:rsidRDefault="00155AF4" w:rsidP="009431FF">
            <w:pPr>
              <w:pStyle w:val="Mavi"/>
            </w:pPr>
          </w:p>
          <w:p w:rsidR="00155AF4" w:rsidRPr="00A23740" w:rsidRDefault="00155AF4" w:rsidP="009431FF">
            <w:pPr>
              <w:pStyle w:val="Mavi"/>
            </w:pPr>
            <w:r w:rsidRPr="00A23740">
              <w:t>(3) Kanunlarda ilamlı icraya konu edileceği belirtilen ilam niteliğindeki belgeler hakkında</w:t>
            </w:r>
            <w:r w:rsidR="009E2DF5" w:rsidRPr="00A23740">
              <w:rPr>
                <w:lang w:val="tr-TR"/>
              </w:rPr>
              <w:t>,</w:t>
            </w:r>
            <w:r w:rsidR="006825B0">
              <w:rPr>
                <w:lang w:val="tr-TR"/>
              </w:rPr>
              <w:t xml:space="preserve"> 98 </w:t>
            </w:r>
            <w:r w:rsidRPr="00A23740">
              <w:t xml:space="preserve">ve </w:t>
            </w:r>
            <w:r w:rsidRPr="00A23740">
              <w:rPr>
                <w:lang w:val="tr-TR"/>
              </w:rPr>
              <w:t xml:space="preserve">100 </w:t>
            </w:r>
            <w:r w:rsidRPr="00A23740">
              <w:t>üncü maddeler uyarınca menfi tespit veya istirdat davası açılabilir.</w:t>
            </w:r>
          </w:p>
          <w:p w:rsidR="00155AF4" w:rsidRPr="00A23740" w:rsidRDefault="00155AF4" w:rsidP="009431FF">
            <w:pPr>
              <w:pStyle w:val="AltKonuBal"/>
            </w:pPr>
          </w:p>
        </w:tc>
      </w:tr>
      <w:tr w:rsidR="00155AF4" w:rsidRPr="00A23740" w:rsidTr="009431FF">
        <w:tc>
          <w:tcPr>
            <w:tcW w:w="5000" w:type="pct"/>
            <w:gridSpan w:val="2"/>
            <w:shd w:val="clear" w:color="auto" w:fill="DEEAF6"/>
          </w:tcPr>
          <w:p w:rsidR="007B523F" w:rsidRPr="00A23740" w:rsidRDefault="007B523F" w:rsidP="009431FF">
            <w:pPr>
              <w:pStyle w:val="Mavi"/>
              <w:ind w:firstLine="709"/>
              <w:rPr>
                <w:color w:val="auto"/>
                <w:lang w:val="tr-TR"/>
              </w:rPr>
            </w:pPr>
          </w:p>
          <w:p w:rsidR="007B523F" w:rsidRPr="00A23740" w:rsidRDefault="002F68F8" w:rsidP="009431FF">
            <w:pPr>
              <w:pStyle w:val="Mavi"/>
              <w:ind w:firstLine="709"/>
              <w:rPr>
                <w:b w:val="0"/>
                <w:color w:val="auto"/>
                <w:lang w:val="tr-TR"/>
              </w:rPr>
            </w:pPr>
            <w:r w:rsidRPr="00A23740">
              <w:rPr>
                <w:color w:val="auto"/>
                <w:lang w:val="tr-TR"/>
              </w:rPr>
              <w:t>MADDE 59-</w:t>
            </w:r>
            <w:r w:rsidR="007B523F" w:rsidRPr="00A23740">
              <w:rPr>
                <w:color w:val="auto"/>
                <w:lang w:val="tr-TR"/>
              </w:rPr>
              <w:t xml:space="preserve"> </w:t>
            </w:r>
            <w:r w:rsidR="007B523F" w:rsidRPr="00A23740">
              <w:rPr>
                <w:b w:val="0"/>
                <w:color w:val="auto"/>
                <w:lang w:val="tr-TR"/>
              </w:rPr>
              <w:t>Maddeyle</w:t>
            </w:r>
            <w:r w:rsidR="007F3F2F" w:rsidRPr="00A23740">
              <w:rPr>
                <w:b w:val="0"/>
                <w:color w:val="auto"/>
                <w:lang w:val="tr-TR"/>
              </w:rPr>
              <w:t>,</w:t>
            </w:r>
            <w:r w:rsidR="007B523F" w:rsidRPr="00A23740">
              <w:rPr>
                <w:b w:val="0"/>
                <w:color w:val="auto"/>
                <w:lang w:val="tr-TR"/>
              </w:rPr>
              <w:t xml:space="preserve"> ilam niteliğindeki belgeler düzenlenmektedir. </w:t>
            </w:r>
            <w:r w:rsidR="007F3F2F" w:rsidRPr="00A23740">
              <w:rPr>
                <w:b w:val="0"/>
                <w:color w:val="auto"/>
                <w:lang w:val="tr-TR"/>
              </w:rPr>
              <w:t xml:space="preserve">Hüküm, </w:t>
            </w:r>
            <w:r w:rsidR="007B523F" w:rsidRPr="00A23740">
              <w:rPr>
                <w:b w:val="0"/>
                <w:color w:val="auto"/>
                <w:lang w:val="tr-TR"/>
              </w:rPr>
              <w:t>2004 sayılı Kanunun 38 inci maddesine karşılık gelmekte</w:t>
            </w:r>
            <w:r w:rsidR="007F3F2F" w:rsidRPr="00A23740">
              <w:rPr>
                <w:b w:val="0"/>
                <w:color w:val="auto"/>
                <w:lang w:val="tr-TR"/>
              </w:rPr>
              <w:t xml:space="preserve"> olup maddede bazı değişiklik</w:t>
            </w:r>
            <w:r w:rsidR="00253D60" w:rsidRPr="00A23740">
              <w:rPr>
                <w:b w:val="0"/>
                <w:color w:val="auto"/>
                <w:lang w:val="tr-TR"/>
              </w:rPr>
              <w:t>ler</w:t>
            </w:r>
            <w:r w:rsidR="007F3F2F" w:rsidRPr="00A23740">
              <w:rPr>
                <w:b w:val="0"/>
                <w:color w:val="auto"/>
                <w:lang w:val="tr-TR"/>
              </w:rPr>
              <w:t xml:space="preserve"> ve yenilikler </w:t>
            </w:r>
            <w:r w:rsidR="00253D60" w:rsidRPr="00A23740">
              <w:rPr>
                <w:b w:val="0"/>
                <w:color w:val="auto"/>
                <w:lang w:val="tr-TR"/>
              </w:rPr>
              <w:t>yapılmaktadır</w:t>
            </w:r>
            <w:r w:rsidR="007F3F2F" w:rsidRPr="00A23740">
              <w:rPr>
                <w:b w:val="0"/>
                <w:color w:val="auto"/>
                <w:lang w:val="tr-TR"/>
              </w:rPr>
              <w:t>.</w:t>
            </w:r>
          </w:p>
          <w:p w:rsidR="007F3F2F" w:rsidRPr="00A23740" w:rsidRDefault="007B523F" w:rsidP="009431FF">
            <w:pPr>
              <w:pStyle w:val="Mavi"/>
              <w:ind w:firstLine="709"/>
              <w:rPr>
                <w:b w:val="0"/>
                <w:color w:val="auto"/>
                <w:lang w:val="tr-TR"/>
              </w:rPr>
            </w:pPr>
            <w:r w:rsidRPr="00A23740">
              <w:rPr>
                <w:b w:val="0"/>
                <w:color w:val="auto"/>
                <w:lang w:val="tr-TR"/>
              </w:rPr>
              <w:t xml:space="preserve">Birinci fıkrayla, diğer kanunlardaki hükümler </w:t>
            </w:r>
            <w:r w:rsidR="00901915" w:rsidRPr="00A23740">
              <w:rPr>
                <w:b w:val="0"/>
                <w:color w:val="auto"/>
                <w:lang w:val="tr-TR"/>
              </w:rPr>
              <w:t xml:space="preserve">saklı </w:t>
            </w:r>
            <w:r w:rsidR="00404324" w:rsidRPr="00A23740">
              <w:rPr>
                <w:b w:val="0"/>
                <w:color w:val="auto"/>
                <w:lang w:val="tr-TR"/>
              </w:rPr>
              <w:t>kalmak kaydıyla fıkrada</w:t>
            </w:r>
            <w:r w:rsidR="00901915" w:rsidRPr="00A23740">
              <w:rPr>
                <w:b w:val="0"/>
                <w:color w:val="auto"/>
                <w:lang w:val="tr-TR"/>
              </w:rPr>
              <w:t xml:space="preserve"> </w:t>
            </w:r>
            <w:r w:rsidR="00404324" w:rsidRPr="00A23740">
              <w:rPr>
                <w:b w:val="0"/>
                <w:color w:val="auto"/>
                <w:lang w:val="tr-TR"/>
              </w:rPr>
              <w:t xml:space="preserve">belirtilen </w:t>
            </w:r>
            <w:r w:rsidR="007F3F2F" w:rsidRPr="00A23740">
              <w:rPr>
                <w:b w:val="0"/>
                <w:color w:val="auto"/>
                <w:lang w:val="tr-TR"/>
              </w:rPr>
              <w:t>belgelerin ilam niteliğinde</w:t>
            </w:r>
            <w:r w:rsidR="00404324" w:rsidRPr="00A23740">
              <w:rPr>
                <w:b w:val="0"/>
                <w:color w:val="auto"/>
                <w:lang w:val="tr-TR"/>
              </w:rPr>
              <w:t xml:space="preserve"> belge</w:t>
            </w:r>
            <w:r w:rsidR="007F3F2F" w:rsidRPr="00A23740">
              <w:rPr>
                <w:b w:val="0"/>
                <w:color w:val="auto"/>
                <w:lang w:val="tr-TR"/>
              </w:rPr>
              <w:t xml:space="preserve"> </w:t>
            </w:r>
            <w:r w:rsidR="00901915" w:rsidRPr="00A23740">
              <w:rPr>
                <w:b w:val="0"/>
                <w:color w:val="auto"/>
                <w:lang w:val="tr-TR"/>
              </w:rPr>
              <w:t>sayılacağı ve</w:t>
            </w:r>
            <w:r w:rsidR="00404324" w:rsidRPr="00A23740">
              <w:rPr>
                <w:b w:val="0"/>
                <w:color w:val="auto"/>
                <w:lang w:val="tr-TR"/>
              </w:rPr>
              <w:t xml:space="preserve"> bu belgeler hakkında </w:t>
            </w:r>
            <w:r w:rsidR="00901915" w:rsidRPr="00A23740">
              <w:rPr>
                <w:b w:val="0"/>
                <w:color w:val="auto"/>
                <w:lang w:val="tr-TR"/>
              </w:rPr>
              <w:t>ilamların icrasın</w:t>
            </w:r>
            <w:r w:rsidR="007F3F2F" w:rsidRPr="00A23740">
              <w:rPr>
                <w:b w:val="0"/>
                <w:color w:val="auto"/>
                <w:lang w:val="tr-TR"/>
              </w:rPr>
              <w:t>a ilişkin hükümlerin uygulanacağı</w:t>
            </w:r>
            <w:r w:rsidR="00AF2010" w:rsidRPr="00A23740">
              <w:rPr>
                <w:b w:val="0"/>
                <w:color w:val="auto"/>
                <w:lang w:val="tr-TR"/>
              </w:rPr>
              <w:t xml:space="preserve"> açıklanmaktadır</w:t>
            </w:r>
            <w:r w:rsidR="007F3F2F" w:rsidRPr="00A23740">
              <w:rPr>
                <w:b w:val="0"/>
                <w:color w:val="auto"/>
                <w:lang w:val="tr-TR"/>
              </w:rPr>
              <w:t xml:space="preserve">. </w:t>
            </w:r>
            <w:r w:rsidR="00404324" w:rsidRPr="00A23740">
              <w:rPr>
                <w:b w:val="0"/>
                <w:color w:val="auto"/>
                <w:lang w:val="tr-TR"/>
              </w:rPr>
              <w:t>İlam niteliğinde</w:t>
            </w:r>
            <w:r w:rsidR="00253D60" w:rsidRPr="00A23740">
              <w:rPr>
                <w:b w:val="0"/>
                <w:color w:val="auto"/>
                <w:lang w:val="tr-TR"/>
              </w:rPr>
              <w:t>ki</w:t>
            </w:r>
            <w:r w:rsidR="00404324" w:rsidRPr="00A23740">
              <w:rPr>
                <w:b w:val="0"/>
                <w:color w:val="auto"/>
                <w:lang w:val="tr-TR"/>
              </w:rPr>
              <w:t xml:space="preserve"> belgelerin sayıldığı bu fıkrada</w:t>
            </w:r>
            <w:r w:rsidR="00253D60" w:rsidRPr="00A23740">
              <w:rPr>
                <w:b w:val="0"/>
                <w:color w:val="auto"/>
                <w:lang w:val="tr-TR"/>
              </w:rPr>
              <w:t>,</w:t>
            </w:r>
            <w:r w:rsidR="00404324" w:rsidRPr="00A23740">
              <w:rPr>
                <w:b w:val="0"/>
                <w:color w:val="auto"/>
                <w:lang w:val="tr-TR"/>
              </w:rPr>
              <w:t xml:space="preserve"> yeni ihdas edilen hüküm sebebiyle ortaya çıkabilecek tereddütleri önlemek adına, </w:t>
            </w:r>
            <w:r w:rsidR="00AF2010" w:rsidRPr="00A23740">
              <w:rPr>
                <w:b w:val="0"/>
                <w:color w:val="auto"/>
                <w:lang w:val="tr-TR"/>
              </w:rPr>
              <w:t>“</w:t>
            </w:r>
            <w:r w:rsidR="00404324" w:rsidRPr="00A23740">
              <w:rPr>
                <w:b w:val="0"/>
                <w:color w:val="auto"/>
                <w:lang w:val="tr-TR"/>
              </w:rPr>
              <w:t>diğer kanunlardaki hükümler saklı kalmak kaydıyla</w:t>
            </w:r>
            <w:r w:rsidR="00AF2010" w:rsidRPr="00A23740">
              <w:rPr>
                <w:b w:val="0"/>
                <w:color w:val="auto"/>
                <w:lang w:val="tr-TR"/>
              </w:rPr>
              <w:t>”</w:t>
            </w:r>
            <w:r w:rsidR="00404324" w:rsidRPr="00A23740">
              <w:rPr>
                <w:b w:val="0"/>
                <w:color w:val="auto"/>
                <w:lang w:val="tr-TR"/>
              </w:rPr>
              <w:t xml:space="preserve"> ifadesi metne eklenmektedir.</w:t>
            </w:r>
            <w:r w:rsidR="00E82A09" w:rsidRPr="00A23740">
              <w:rPr>
                <w:b w:val="0"/>
                <w:color w:val="auto"/>
                <w:lang w:val="tr-TR"/>
              </w:rPr>
              <w:t xml:space="preserve"> Diğer kanunlardaki öz</w:t>
            </w:r>
            <w:r w:rsidR="00253D60" w:rsidRPr="00A23740">
              <w:rPr>
                <w:b w:val="0"/>
                <w:color w:val="auto"/>
                <w:lang w:val="tr-TR"/>
              </w:rPr>
              <w:t>el hükümler saklı tutulduğundan bu madde,</w:t>
            </w:r>
            <w:r w:rsidR="00E82A09" w:rsidRPr="00A23740">
              <w:rPr>
                <w:b w:val="0"/>
                <w:color w:val="auto"/>
                <w:lang w:val="tr-TR"/>
              </w:rPr>
              <w:t xml:space="preserve"> taşınmazların tahliye ve te</w:t>
            </w:r>
            <w:r w:rsidR="00B5494C" w:rsidRPr="00A23740">
              <w:rPr>
                <w:b w:val="0"/>
                <w:color w:val="auto"/>
                <w:lang w:val="tr-TR"/>
              </w:rPr>
              <w:t>slimi hakkında uygulanmaz</w:t>
            </w:r>
            <w:r w:rsidR="00E82A09" w:rsidRPr="00A23740">
              <w:rPr>
                <w:b w:val="0"/>
                <w:color w:val="auto"/>
                <w:lang w:val="tr-TR"/>
              </w:rPr>
              <w:t>.</w:t>
            </w:r>
          </w:p>
          <w:p w:rsidR="007F3F2F" w:rsidRPr="00A23740" w:rsidRDefault="007F3F2F" w:rsidP="009431FF">
            <w:pPr>
              <w:pStyle w:val="Mavi"/>
              <w:ind w:firstLine="709"/>
              <w:rPr>
                <w:b w:val="0"/>
                <w:color w:val="auto"/>
                <w:lang w:val="tr-TR"/>
              </w:rPr>
            </w:pPr>
            <w:r w:rsidRPr="00A23740">
              <w:rPr>
                <w:b w:val="0"/>
                <w:color w:val="auto"/>
                <w:lang w:val="tr-TR"/>
              </w:rPr>
              <w:t>(a) bendinde, mahkeme huzurunda yapılan sulhler ve kabuller</w:t>
            </w:r>
            <w:r w:rsidR="00E82A09" w:rsidRPr="00A23740">
              <w:rPr>
                <w:b w:val="0"/>
                <w:color w:val="auto"/>
                <w:lang w:val="tr-TR"/>
              </w:rPr>
              <w:t xml:space="preserve"> yer almaktadır.</w:t>
            </w:r>
          </w:p>
          <w:p w:rsidR="00E82A09" w:rsidRPr="00A23740" w:rsidRDefault="007F3F2F" w:rsidP="009431FF">
            <w:pPr>
              <w:pStyle w:val="Mavi"/>
              <w:ind w:firstLine="709"/>
              <w:rPr>
                <w:b w:val="0"/>
                <w:color w:val="auto"/>
                <w:lang w:val="tr-TR"/>
              </w:rPr>
            </w:pPr>
            <w:r w:rsidRPr="00A23740">
              <w:rPr>
                <w:b w:val="0"/>
                <w:color w:val="auto"/>
                <w:lang w:val="tr-TR"/>
              </w:rPr>
              <w:lastRenderedPageBreak/>
              <w:t>(b) bendinde, kayıtsız ve şartsız borç ikrarın</w:t>
            </w:r>
            <w:r w:rsidR="00B5494C" w:rsidRPr="00A23740">
              <w:rPr>
                <w:b w:val="0"/>
                <w:color w:val="auto"/>
                <w:lang w:val="tr-TR"/>
              </w:rPr>
              <w:t>ı içe</w:t>
            </w:r>
            <w:r w:rsidRPr="00A23740">
              <w:rPr>
                <w:b w:val="0"/>
                <w:color w:val="auto"/>
                <w:lang w:val="tr-TR"/>
              </w:rPr>
              <w:t>ren düzenleme şeklindeki noter senetleri</w:t>
            </w:r>
            <w:r w:rsidR="00E82A09" w:rsidRPr="00A23740">
              <w:rPr>
                <w:b w:val="0"/>
                <w:color w:val="auto"/>
                <w:lang w:val="tr-TR"/>
              </w:rPr>
              <w:t xml:space="preserve"> yer almaktadır. Noter senetleri bakımından önemli bir değişiklik yapılmaktadır. Buna göre, kayıtsız, şartsız nitelikte olan ve düzenleme şeklinde yapılan noter senetlerinin ilamlı icraya konu olabilmesi için bir para borcu içermesi zorunluluğu kaldırılmaktadır. Yani kayıtsız, şartsız nitelikte olan ve noter tarafından düzenlenen ve cebr</w:t>
            </w:r>
            <w:r w:rsidR="00070384" w:rsidRPr="00A23740">
              <w:rPr>
                <w:b w:val="0"/>
                <w:color w:val="auto"/>
                <w:lang w:val="tr-TR"/>
              </w:rPr>
              <w:t>î</w:t>
            </w:r>
            <w:r w:rsidR="00E82A09" w:rsidRPr="00A23740">
              <w:rPr>
                <w:b w:val="0"/>
                <w:color w:val="auto"/>
                <w:lang w:val="tr-TR"/>
              </w:rPr>
              <w:t xml:space="preserve"> icraya konu olabilecek bir şeyin yapılması veya yapılmaması, </w:t>
            </w:r>
            <w:r w:rsidR="004835E9" w:rsidRPr="00A23740">
              <w:rPr>
                <w:b w:val="0"/>
                <w:color w:val="auto"/>
                <w:lang w:val="tr-TR"/>
              </w:rPr>
              <w:t>taşınır</w:t>
            </w:r>
            <w:r w:rsidR="00E82A09" w:rsidRPr="00A23740">
              <w:rPr>
                <w:b w:val="0"/>
                <w:color w:val="auto"/>
                <w:lang w:val="tr-TR"/>
              </w:rPr>
              <w:t xml:space="preserve"> teslimi veya para borçlarını içeren tüm senetler ilam niteliğinde belge olarak kabul edilmektedir.</w:t>
            </w:r>
          </w:p>
          <w:p w:rsidR="007F3F2F" w:rsidRPr="00A23740" w:rsidRDefault="007F3F2F" w:rsidP="009431FF">
            <w:pPr>
              <w:pStyle w:val="Mavi"/>
              <w:ind w:firstLine="709"/>
              <w:rPr>
                <w:b w:val="0"/>
                <w:color w:val="auto"/>
                <w:lang w:val="tr-TR"/>
              </w:rPr>
            </w:pPr>
            <w:r w:rsidRPr="00A23740">
              <w:rPr>
                <w:b w:val="0"/>
                <w:color w:val="auto"/>
                <w:lang w:val="tr-TR"/>
              </w:rPr>
              <w:t>(c) bendinde, icra ve</w:t>
            </w:r>
            <w:r w:rsidR="00B5494C" w:rsidRPr="00A23740">
              <w:rPr>
                <w:b w:val="0"/>
                <w:color w:val="auto"/>
                <w:lang w:val="tr-TR"/>
              </w:rPr>
              <w:t xml:space="preserve"> iflas dairesinde düzenlenen</w:t>
            </w:r>
            <w:r w:rsidR="00E82A09" w:rsidRPr="00A23740">
              <w:rPr>
                <w:b w:val="0"/>
                <w:color w:val="auto"/>
                <w:lang w:val="tr-TR"/>
              </w:rPr>
              <w:t xml:space="preserve"> kefaletler yer almaktadır.</w:t>
            </w:r>
          </w:p>
          <w:p w:rsidR="00901915" w:rsidRPr="00A23740" w:rsidRDefault="00901915" w:rsidP="009431FF">
            <w:pPr>
              <w:pStyle w:val="Mavi"/>
              <w:ind w:firstLine="709"/>
              <w:rPr>
                <w:b w:val="0"/>
                <w:color w:val="auto"/>
                <w:lang w:val="tr-TR"/>
              </w:rPr>
            </w:pPr>
            <w:r w:rsidRPr="00A23740">
              <w:rPr>
                <w:b w:val="0"/>
                <w:color w:val="auto"/>
                <w:lang w:val="tr-TR"/>
              </w:rPr>
              <w:t>İkinci fıkrayla</w:t>
            </w:r>
            <w:r w:rsidR="00253D60" w:rsidRPr="00A23740">
              <w:rPr>
                <w:b w:val="0"/>
                <w:color w:val="auto"/>
                <w:lang w:val="tr-TR"/>
              </w:rPr>
              <w:t>,</w:t>
            </w:r>
            <w:r w:rsidRPr="00A23740">
              <w:rPr>
                <w:b w:val="0"/>
                <w:color w:val="auto"/>
                <w:lang w:val="tr-TR"/>
              </w:rPr>
              <w:t xml:space="preserve"> </w:t>
            </w:r>
            <w:r w:rsidRPr="00A23740">
              <w:rPr>
                <w:rFonts w:eastAsia="Times New Roman"/>
                <w:b w:val="0"/>
                <w:bCs w:val="0"/>
                <w:color w:val="auto"/>
                <w:lang w:val="tr-TR" w:eastAsia="tr-TR"/>
              </w:rPr>
              <w:t xml:space="preserve">icra kefaletlerinin, müteselsil kefalet hükmünde olduğu </w:t>
            </w:r>
            <w:r w:rsidR="00B5494C" w:rsidRPr="00A23740">
              <w:rPr>
                <w:rFonts w:eastAsia="Times New Roman"/>
                <w:b w:val="0"/>
                <w:bCs w:val="0"/>
                <w:color w:val="auto"/>
                <w:lang w:val="tr-TR" w:eastAsia="tr-TR"/>
              </w:rPr>
              <w:t>kabul edilmektedir</w:t>
            </w:r>
            <w:r w:rsidRPr="00A23740">
              <w:rPr>
                <w:rFonts w:eastAsia="Times New Roman"/>
                <w:b w:val="0"/>
                <w:bCs w:val="0"/>
                <w:color w:val="auto"/>
                <w:lang w:val="tr-TR" w:eastAsia="tr-TR"/>
              </w:rPr>
              <w:t>.</w:t>
            </w:r>
            <w:r w:rsidR="00253D60" w:rsidRPr="00A23740">
              <w:rPr>
                <w:rFonts w:eastAsia="Times New Roman"/>
                <w:b w:val="0"/>
                <w:bCs w:val="0"/>
                <w:color w:val="auto"/>
                <w:lang w:val="tr-TR" w:eastAsia="tr-TR"/>
              </w:rPr>
              <w:t xml:space="preserve"> </w:t>
            </w:r>
            <w:r w:rsidR="00253D60" w:rsidRPr="00A23740">
              <w:rPr>
                <w:b w:val="0"/>
                <w:color w:val="auto"/>
                <w:lang w:val="tr-TR"/>
              </w:rPr>
              <w:t xml:space="preserve">2004 sayılı Kanunun 38 inci maddesinin birinci fıkrasında </w:t>
            </w:r>
            <w:r w:rsidR="00B5494C" w:rsidRPr="00A23740">
              <w:rPr>
                <w:b w:val="0"/>
                <w:color w:val="auto"/>
                <w:lang w:val="tr-TR"/>
              </w:rPr>
              <w:t>yer alan</w:t>
            </w:r>
            <w:r w:rsidR="00253D60" w:rsidRPr="00A23740">
              <w:rPr>
                <w:b w:val="0"/>
                <w:color w:val="auto"/>
                <w:lang w:val="tr-TR"/>
              </w:rPr>
              <w:t xml:space="preserve"> is</w:t>
            </w:r>
            <w:r w:rsidR="00B5494C" w:rsidRPr="00A23740">
              <w:rPr>
                <w:b w:val="0"/>
                <w:color w:val="auto"/>
                <w:lang w:val="tr-TR"/>
              </w:rPr>
              <w:t>tinaf ve temyiz kefalet</w:t>
            </w:r>
            <w:r w:rsidR="00253D60" w:rsidRPr="00A23740">
              <w:rPr>
                <w:b w:val="0"/>
                <w:color w:val="auto"/>
                <w:lang w:val="tr-TR"/>
              </w:rPr>
              <w:t>lerine, uygulaması bulunmadığından maddede yer verilmemektedir.</w:t>
            </w:r>
          </w:p>
          <w:p w:rsidR="004107A2" w:rsidRDefault="00901915" w:rsidP="009431FF">
            <w:pPr>
              <w:pStyle w:val="Mavi"/>
              <w:ind w:firstLine="709"/>
              <w:rPr>
                <w:b w:val="0"/>
                <w:color w:val="auto"/>
                <w:lang w:val="tr-TR"/>
              </w:rPr>
            </w:pPr>
            <w:r w:rsidRPr="00A23740">
              <w:rPr>
                <w:b w:val="0"/>
                <w:color w:val="auto"/>
                <w:lang w:val="tr-TR"/>
              </w:rPr>
              <w:t>Üçüncü fıkrayla,</w:t>
            </w:r>
            <w:r w:rsidR="007F3F2F" w:rsidRPr="00A23740">
              <w:rPr>
                <w:b w:val="0"/>
                <w:color w:val="auto"/>
                <w:lang w:val="tr-TR"/>
              </w:rPr>
              <w:t xml:space="preserve"> </w:t>
            </w:r>
            <w:r w:rsidR="00253D60" w:rsidRPr="00A23740">
              <w:rPr>
                <w:b w:val="0"/>
                <w:color w:val="auto"/>
                <w:lang w:val="tr-TR"/>
              </w:rPr>
              <w:t>bu maddeyle</w:t>
            </w:r>
            <w:r w:rsidR="007F3F2F" w:rsidRPr="00A23740">
              <w:rPr>
                <w:b w:val="0"/>
                <w:color w:val="auto"/>
                <w:lang w:val="tr-TR"/>
              </w:rPr>
              <w:t xml:space="preserve"> sınırlı olmaksızın, tüm ilam niteliğindeki belgeler hakkında</w:t>
            </w:r>
            <w:r w:rsidRPr="00A23740">
              <w:rPr>
                <w:b w:val="0"/>
                <w:color w:val="auto"/>
                <w:lang w:val="tr-TR"/>
              </w:rPr>
              <w:t xml:space="preserve"> </w:t>
            </w:r>
            <w:r w:rsidR="00163E5A" w:rsidRPr="00A23740">
              <w:rPr>
                <w:b w:val="0"/>
                <w:color w:val="auto"/>
                <w:lang w:val="tr-TR"/>
              </w:rPr>
              <w:t>Taslağın</w:t>
            </w:r>
            <w:r w:rsidR="007F3F2F" w:rsidRPr="00A23740">
              <w:rPr>
                <w:b w:val="0"/>
                <w:color w:val="auto"/>
                <w:lang w:val="tr-TR"/>
              </w:rPr>
              <w:t xml:space="preserve"> 98</w:t>
            </w:r>
            <w:r w:rsidRPr="00A23740">
              <w:rPr>
                <w:b w:val="0"/>
                <w:color w:val="auto"/>
                <w:lang w:val="tr-TR"/>
              </w:rPr>
              <w:t xml:space="preserve"> </w:t>
            </w:r>
            <w:r w:rsidR="007F3F2F" w:rsidRPr="00A23740">
              <w:rPr>
                <w:b w:val="0"/>
                <w:color w:val="auto"/>
                <w:lang w:val="tr-TR"/>
              </w:rPr>
              <w:t>inci madde</w:t>
            </w:r>
            <w:r w:rsidRPr="00A23740">
              <w:rPr>
                <w:b w:val="0"/>
                <w:color w:val="auto"/>
                <w:lang w:val="tr-TR"/>
              </w:rPr>
              <w:t>si</w:t>
            </w:r>
            <w:r w:rsidR="007F3F2F" w:rsidRPr="00A23740">
              <w:rPr>
                <w:b w:val="0"/>
                <w:color w:val="auto"/>
                <w:lang w:val="tr-TR"/>
              </w:rPr>
              <w:t xml:space="preserve"> uyarınca menfi tespit </w:t>
            </w:r>
            <w:r w:rsidRPr="00A23740">
              <w:rPr>
                <w:b w:val="0"/>
                <w:color w:val="auto"/>
                <w:lang w:val="tr-TR"/>
              </w:rPr>
              <w:t xml:space="preserve">davasının </w:t>
            </w:r>
            <w:r w:rsidR="007F3F2F" w:rsidRPr="00A23740">
              <w:rPr>
                <w:b w:val="0"/>
                <w:color w:val="auto"/>
                <w:lang w:val="tr-TR"/>
              </w:rPr>
              <w:t>ve 100</w:t>
            </w:r>
            <w:r w:rsidRPr="00A23740">
              <w:rPr>
                <w:b w:val="0"/>
                <w:color w:val="auto"/>
                <w:lang w:val="tr-TR"/>
              </w:rPr>
              <w:t xml:space="preserve"> </w:t>
            </w:r>
            <w:r w:rsidR="007F3F2F" w:rsidRPr="00A23740">
              <w:rPr>
                <w:b w:val="0"/>
                <w:color w:val="auto"/>
                <w:lang w:val="tr-TR"/>
              </w:rPr>
              <w:t>üncü madde</w:t>
            </w:r>
            <w:r w:rsidRPr="00A23740">
              <w:rPr>
                <w:b w:val="0"/>
                <w:color w:val="auto"/>
                <w:lang w:val="tr-TR"/>
              </w:rPr>
              <w:t>si</w:t>
            </w:r>
            <w:r w:rsidR="007F3F2F" w:rsidRPr="00A23740">
              <w:rPr>
                <w:b w:val="0"/>
                <w:color w:val="auto"/>
                <w:lang w:val="tr-TR"/>
              </w:rPr>
              <w:t xml:space="preserve"> uyarınca</w:t>
            </w:r>
            <w:r w:rsidRPr="00A23740">
              <w:rPr>
                <w:b w:val="0"/>
                <w:color w:val="auto"/>
                <w:lang w:val="tr-TR"/>
              </w:rPr>
              <w:t xml:space="preserve"> da</w:t>
            </w:r>
            <w:r w:rsidR="007F3F2F" w:rsidRPr="00A23740">
              <w:rPr>
                <w:b w:val="0"/>
                <w:color w:val="auto"/>
                <w:lang w:val="tr-TR"/>
              </w:rPr>
              <w:t xml:space="preserve"> istirdat davası</w:t>
            </w:r>
            <w:r w:rsidRPr="00A23740">
              <w:rPr>
                <w:b w:val="0"/>
                <w:color w:val="auto"/>
                <w:lang w:val="tr-TR"/>
              </w:rPr>
              <w:t>nın</w:t>
            </w:r>
            <w:r w:rsidR="007F3F2F" w:rsidRPr="00A23740">
              <w:rPr>
                <w:b w:val="0"/>
                <w:color w:val="auto"/>
                <w:lang w:val="tr-TR"/>
              </w:rPr>
              <w:t xml:space="preserve"> açılabileceği</w:t>
            </w:r>
            <w:r w:rsidRPr="00A23740">
              <w:rPr>
                <w:b w:val="0"/>
                <w:color w:val="auto"/>
                <w:lang w:val="tr-TR"/>
              </w:rPr>
              <w:t xml:space="preserve"> düzenlenmek</w:t>
            </w:r>
            <w:r w:rsidR="00253D60" w:rsidRPr="00A23740">
              <w:rPr>
                <w:b w:val="0"/>
                <w:color w:val="auto"/>
                <w:lang w:val="tr-TR"/>
              </w:rPr>
              <w:t>tedir. Hükümle,</w:t>
            </w:r>
            <w:r w:rsidR="007F3F2F" w:rsidRPr="00A23740">
              <w:rPr>
                <w:b w:val="0"/>
                <w:color w:val="auto"/>
                <w:lang w:val="tr-TR"/>
              </w:rPr>
              <w:t xml:space="preserve"> uygulamadaki tartışmaları</w:t>
            </w:r>
            <w:r w:rsidRPr="00A23740">
              <w:rPr>
                <w:b w:val="0"/>
                <w:color w:val="auto"/>
                <w:lang w:val="tr-TR"/>
              </w:rPr>
              <w:t>n</w:t>
            </w:r>
            <w:r w:rsidR="007F3F2F" w:rsidRPr="00A23740">
              <w:rPr>
                <w:b w:val="0"/>
                <w:color w:val="auto"/>
                <w:lang w:val="tr-TR"/>
              </w:rPr>
              <w:t xml:space="preserve"> önle</w:t>
            </w:r>
            <w:r w:rsidR="00253D60" w:rsidRPr="00A23740">
              <w:rPr>
                <w:b w:val="0"/>
                <w:color w:val="auto"/>
                <w:lang w:val="tr-TR"/>
              </w:rPr>
              <w:t>n</w:t>
            </w:r>
            <w:r w:rsidR="007F3F2F" w:rsidRPr="00A23740">
              <w:rPr>
                <w:b w:val="0"/>
                <w:color w:val="auto"/>
                <w:lang w:val="tr-TR"/>
              </w:rPr>
              <w:t>me</w:t>
            </w:r>
            <w:r w:rsidRPr="00A23740">
              <w:rPr>
                <w:b w:val="0"/>
                <w:color w:val="auto"/>
                <w:lang w:val="tr-TR"/>
              </w:rPr>
              <w:t>si amaçlanm</w:t>
            </w:r>
            <w:r w:rsidR="00253D60" w:rsidRPr="00A23740">
              <w:rPr>
                <w:b w:val="0"/>
                <w:color w:val="auto"/>
                <w:lang w:val="tr-TR"/>
              </w:rPr>
              <w:t>aktadır</w:t>
            </w:r>
            <w:r w:rsidRPr="00A23740">
              <w:rPr>
                <w:b w:val="0"/>
                <w:color w:val="auto"/>
                <w:lang w:val="tr-TR"/>
              </w:rPr>
              <w:t>.</w:t>
            </w:r>
          </w:p>
          <w:p w:rsidR="009C5516" w:rsidRPr="00A23740" w:rsidRDefault="009C5516"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p>
          <w:p w:rsidR="00155AF4" w:rsidRPr="00A23740" w:rsidRDefault="00155AF4" w:rsidP="009431FF">
            <w:pPr>
              <w:tabs>
                <w:tab w:val="left" w:pos="567"/>
                <w:tab w:val="right" w:pos="6520"/>
              </w:tabs>
              <w:rPr>
                <w:rFonts w:eastAsia="Times New Roman"/>
                <w:b/>
                <w:bCs/>
                <w:szCs w:val="24"/>
                <w:lang w:eastAsia="tr-TR"/>
              </w:rPr>
            </w:pPr>
            <w:r w:rsidRPr="00A23740">
              <w:rPr>
                <w:rFonts w:eastAsia="Times New Roman"/>
                <w:b/>
                <w:bCs/>
                <w:szCs w:val="24"/>
                <w:lang w:eastAsia="tr-TR"/>
              </w:rPr>
              <w:t>İcranın iadesi</w:t>
            </w:r>
            <w:r w:rsidRPr="00A23740">
              <w:rPr>
                <w:rFonts w:eastAsia="Times New Roman"/>
                <w:b/>
                <w:bCs/>
                <w:strike/>
                <w:color w:val="FF0000"/>
                <w:szCs w:val="24"/>
                <w:lang w:eastAsia="tr-TR"/>
              </w:rPr>
              <w:t xml:space="preserve"> :</w:t>
            </w:r>
          </w:p>
          <w:p w:rsidR="00155AF4" w:rsidRPr="00A23740" w:rsidRDefault="00155AF4" w:rsidP="009431FF">
            <w:pPr>
              <w:tabs>
                <w:tab w:val="left" w:pos="567"/>
                <w:tab w:val="right" w:pos="6520"/>
              </w:tabs>
              <w:rPr>
                <w:rFonts w:eastAsia="Times New Roman"/>
                <w:szCs w:val="24"/>
                <w:lang w:eastAsia="tr-TR"/>
              </w:rPr>
            </w:pPr>
            <w:r w:rsidRPr="00A23740">
              <w:rPr>
                <w:rStyle w:val="KIRMIZIChar"/>
                <w:rFonts w:eastAsia="Calibri"/>
              </w:rPr>
              <w:t>Madde 40 – (1) (Değişik</w:t>
            </w:r>
            <w:r w:rsidRPr="00A23740">
              <w:rPr>
                <w:rFonts w:eastAsia="Times New Roman"/>
                <w:b/>
                <w:bCs/>
                <w:strike/>
                <w:color w:val="FF0000"/>
                <w:szCs w:val="24"/>
                <w:lang w:eastAsia="tr-TR"/>
              </w:rPr>
              <w:t xml:space="preserve"> birinci fıkra: 2/3/2005-5311/7 md.)</w:t>
            </w:r>
            <w:r w:rsidRPr="00A23740">
              <w:rPr>
                <w:rFonts w:eastAsia="Times New Roman"/>
                <w:b/>
                <w:bCs/>
                <w:szCs w:val="24"/>
                <w:lang w:eastAsia="tr-TR"/>
              </w:rPr>
              <w:t xml:space="preserve"> </w:t>
            </w:r>
            <w:r w:rsidRPr="00A23740">
              <w:rPr>
                <w:rFonts w:eastAsia="Times New Roman"/>
                <w:szCs w:val="24"/>
                <w:lang w:eastAsia="tr-TR"/>
              </w:rPr>
              <w:tab/>
            </w:r>
            <w:r w:rsidRPr="00A23740">
              <w:rPr>
                <w:rStyle w:val="KIRMIZIChar"/>
                <w:rFonts w:eastAsia="Calibri"/>
              </w:rPr>
              <w:t>B</w:t>
            </w:r>
            <w:r w:rsidRPr="00A23740">
              <w:rPr>
                <w:rFonts w:eastAsia="Times New Roman"/>
                <w:szCs w:val="24"/>
                <w:lang w:eastAsia="tr-TR"/>
              </w:rPr>
              <w:t xml:space="preserve">ir ilâmın bölge adliye mahkemesince kaldırılması veya </w:t>
            </w:r>
            <w:r w:rsidRPr="00A23740">
              <w:rPr>
                <w:rStyle w:val="KIRMIZIChar"/>
                <w:rFonts w:eastAsia="Calibri"/>
              </w:rPr>
              <w:t>temyizen</w:t>
            </w:r>
            <w:r w:rsidRPr="00A23740">
              <w:rPr>
                <w:rFonts w:eastAsia="Times New Roman"/>
                <w:szCs w:val="24"/>
                <w:lang w:eastAsia="tr-TR"/>
              </w:rPr>
              <w:t xml:space="preserve"> bozulması icra </w:t>
            </w:r>
            <w:r w:rsidRPr="00A23740">
              <w:rPr>
                <w:rStyle w:val="KIRMIZIChar"/>
                <w:rFonts w:eastAsia="Calibri"/>
              </w:rPr>
              <w:t>muamelelerini olduğu yerde</w:t>
            </w:r>
            <w:r w:rsidRPr="00A23740">
              <w:rPr>
                <w:rFonts w:eastAsia="Times New Roman"/>
              </w:rPr>
              <w:t xml:space="preserve"> dur</w:t>
            </w:r>
            <w:r w:rsidRPr="00A23740">
              <w:rPr>
                <w:rStyle w:val="KIRMIZIChar"/>
                <w:rFonts w:eastAsia="Calibri"/>
              </w:rPr>
              <w:t>durur</w:t>
            </w:r>
            <w:r w:rsidRPr="00A23740">
              <w:rPr>
                <w:rFonts w:eastAsia="Times New Roman"/>
              </w:rPr>
              <w:t>.</w:t>
            </w:r>
          </w:p>
          <w:p w:rsidR="00155AF4" w:rsidRPr="00A23740" w:rsidRDefault="00155AF4" w:rsidP="009431FF">
            <w:pPr>
              <w:tabs>
                <w:tab w:val="left" w:pos="567"/>
                <w:tab w:val="right" w:pos="6520"/>
              </w:tabs>
              <w:rPr>
                <w:rFonts w:eastAsia="Times New Roman"/>
                <w:szCs w:val="24"/>
                <w:lang w:eastAsia="tr-TR"/>
              </w:rPr>
            </w:pPr>
          </w:p>
          <w:p w:rsidR="00155AF4" w:rsidRPr="00A23740" w:rsidRDefault="00155AF4" w:rsidP="009431FF">
            <w:pPr>
              <w:tabs>
                <w:tab w:val="left" w:pos="567"/>
                <w:tab w:val="right" w:pos="6520"/>
              </w:tabs>
              <w:rPr>
                <w:rFonts w:eastAsia="Times New Roman"/>
                <w:szCs w:val="24"/>
                <w:lang w:eastAsia="tr-TR"/>
              </w:rPr>
            </w:pPr>
          </w:p>
          <w:p w:rsidR="00155AF4" w:rsidRPr="00A23740" w:rsidRDefault="00155AF4" w:rsidP="009431FF">
            <w:pPr>
              <w:tabs>
                <w:tab w:val="left" w:pos="567"/>
                <w:tab w:val="right" w:pos="6520"/>
              </w:tabs>
              <w:rPr>
                <w:rFonts w:eastAsia="Times New Roman"/>
                <w:szCs w:val="24"/>
                <w:lang w:eastAsia="tr-TR"/>
              </w:rPr>
            </w:pPr>
          </w:p>
          <w:p w:rsidR="00A82AA4" w:rsidRPr="00A23740" w:rsidRDefault="00A82AA4" w:rsidP="009431FF">
            <w:pPr>
              <w:tabs>
                <w:tab w:val="left" w:pos="567"/>
                <w:tab w:val="right" w:pos="6520"/>
              </w:tabs>
              <w:rPr>
                <w:rFonts w:eastAsia="Times New Roman"/>
                <w:b/>
                <w:bCs/>
                <w:strike/>
                <w:color w:val="FF0000"/>
                <w:szCs w:val="24"/>
                <w:lang w:eastAsia="tr-TR"/>
              </w:rPr>
            </w:pPr>
          </w:p>
          <w:p w:rsidR="00155AF4" w:rsidRDefault="00155AF4" w:rsidP="009431FF">
            <w:pPr>
              <w:tabs>
                <w:tab w:val="left" w:pos="567"/>
                <w:tab w:val="right" w:pos="6520"/>
              </w:tabs>
              <w:rPr>
                <w:rFonts w:eastAsia="Times New Roman"/>
                <w:szCs w:val="24"/>
                <w:lang w:eastAsia="tr-TR"/>
              </w:rPr>
            </w:pPr>
            <w:r w:rsidRPr="00A23740">
              <w:rPr>
                <w:rFonts w:eastAsia="Times New Roman"/>
                <w:b/>
                <w:bCs/>
                <w:strike/>
                <w:color w:val="FF0000"/>
                <w:szCs w:val="24"/>
                <w:lang w:eastAsia="tr-TR"/>
              </w:rPr>
              <w:t>(2) (Değişik ikinci fıkra: 2/3/2005-5311/7 md.)</w:t>
            </w:r>
            <w:r w:rsidRPr="00A23740">
              <w:rPr>
                <w:rFonts w:eastAsia="Times New Roman"/>
                <w:szCs w:val="24"/>
                <w:lang w:eastAsia="tr-TR"/>
              </w:rPr>
              <w:t xml:space="preserve"> Bir ilâm hükmü icra edildikten sonra </w:t>
            </w:r>
            <w:r w:rsidRPr="00A23740">
              <w:rPr>
                <w:rFonts w:eastAsia="Times New Roman"/>
                <w:bCs/>
                <w:lang w:eastAsia="tr-TR"/>
              </w:rPr>
              <w:t>bölge adliye mahkemesince kaldırılır ve</w:t>
            </w:r>
            <w:r w:rsidRPr="00A23740">
              <w:rPr>
                <w:rFonts w:eastAsia="Times New Roman"/>
                <w:b/>
                <w:bCs/>
                <w:strike/>
                <w:color w:val="FF0000"/>
                <w:lang w:eastAsia="tr-TR"/>
              </w:rPr>
              <w:t>ya</w:t>
            </w:r>
            <w:r w:rsidRPr="00A23740">
              <w:rPr>
                <w:rFonts w:eastAsia="Times New Roman"/>
                <w:bCs/>
                <w:lang w:eastAsia="tr-TR"/>
              </w:rPr>
              <w:t xml:space="preserve"> yeniden esas hakkında karar verilir ya da Yargıtayca bozulup da</w:t>
            </w:r>
            <w:r w:rsidRPr="00A23740">
              <w:rPr>
                <w:rFonts w:eastAsia="Times New Roman"/>
                <w:szCs w:val="24"/>
                <w:lang w:eastAsia="tr-TR"/>
              </w:rPr>
              <w:t xml:space="preserve"> aleyhine icra takibi yapılmış olan kimsenin hiç veya o kadar borcu olmadığı kesin bir ilâmla </w:t>
            </w:r>
            <w:r w:rsidRPr="00A23740">
              <w:rPr>
                <w:rFonts w:eastAsia="Times New Roman"/>
                <w:bCs/>
                <w:lang w:eastAsia="tr-TR"/>
              </w:rPr>
              <w:t>tahakkuk ederse</w:t>
            </w:r>
            <w:r w:rsidRPr="00A23740">
              <w:rPr>
                <w:rFonts w:eastAsia="Times New Roman"/>
                <w:szCs w:val="24"/>
                <w:lang w:eastAsia="tr-TR"/>
              </w:rPr>
              <w:t xml:space="preserve">, ayrıca hükme </w:t>
            </w:r>
            <w:r w:rsidRPr="00A23740">
              <w:rPr>
                <w:rFonts w:eastAsia="Times New Roman"/>
                <w:b/>
                <w:bCs/>
                <w:strike/>
                <w:color w:val="FF0000"/>
                <w:szCs w:val="24"/>
                <w:lang w:eastAsia="tr-TR"/>
              </w:rPr>
              <w:t>hacet</w:t>
            </w:r>
            <w:r w:rsidRPr="00A23740">
              <w:rPr>
                <w:rFonts w:eastAsia="Times New Roman"/>
                <w:szCs w:val="24"/>
                <w:lang w:eastAsia="tr-TR"/>
              </w:rPr>
              <w:t xml:space="preserve"> kalmaksızın icra tamamen veya kısmen eski hâline iade olunur. </w:t>
            </w:r>
          </w:p>
          <w:p w:rsidR="009C5516" w:rsidRPr="00A23740" w:rsidRDefault="009C5516" w:rsidP="009431FF">
            <w:pPr>
              <w:tabs>
                <w:tab w:val="left" w:pos="567"/>
                <w:tab w:val="right" w:pos="6520"/>
              </w:tabs>
              <w:rPr>
                <w:rFonts w:eastAsia="Times New Roman"/>
                <w:szCs w:val="24"/>
                <w:lang w:eastAsia="tr-TR"/>
              </w:rPr>
            </w:pPr>
          </w:p>
          <w:p w:rsidR="00155AF4" w:rsidRPr="00A23740" w:rsidRDefault="00155AF4" w:rsidP="009431FF">
            <w:pPr>
              <w:tabs>
                <w:tab w:val="left" w:pos="567"/>
                <w:tab w:val="right" w:pos="6520"/>
              </w:tabs>
              <w:rPr>
                <w:rFonts w:eastAsia="Times New Roman"/>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r w:rsidRPr="00A23740">
              <w:rPr>
                <w:rStyle w:val="KIRMIZIChar"/>
                <w:rFonts w:eastAsia="Calibri"/>
              </w:rPr>
              <w:lastRenderedPageBreak/>
              <w:t>(3) Ancak</w:t>
            </w:r>
            <w:r w:rsidRPr="00A23740">
              <w:rPr>
                <w:rFonts w:eastAsia="Times New Roman"/>
                <w:szCs w:val="24"/>
                <w:lang w:eastAsia="tr-TR"/>
              </w:rPr>
              <w:t xml:space="preserve"> üçüncü şahısların </w:t>
            </w:r>
            <w:r w:rsidRPr="00A23740">
              <w:rPr>
                <w:rFonts w:eastAsia="Times New Roman"/>
                <w:b/>
                <w:bCs/>
                <w:strike/>
                <w:color w:val="FF0000"/>
                <w:szCs w:val="24"/>
                <w:lang w:eastAsia="tr-TR"/>
              </w:rPr>
              <w:t>hüsnü niyetle</w:t>
            </w:r>
            <w:r w:rsidRPr="00A23740">
              <w:rPr>
                <w:rFonts w:eastAsia="Times New Roman"/>
                <w:szCs w:val="24"/>
                <w:lang w:eastAsia="tr-TR"/>
              </w:rPr>
              <w:t xml:space="preserve"> kazandıkları haklar</w:t>
            </w:r>
            <w:r w:rsidRPr="00A23740">
              <w:rPr>
                <w:rFonts w:eastAsia="Times New Roman"/>
                <w:b/>
                <w:bCs/>
                <w:strike/>
                <w:color w:val="FF0000"/>
                <w:szCs w:val="24"/>
                <w:lang w:eastAsia="tr-TR"/>
              </w:rPr>
              <w:t>a halel gelmez.</w:t>
            </w:r>
          </w:p>
          <w:p w:rsidR="00155AF4" w:rsidRPr="00A23740" w:rsidRDefault="00155AF4" w:rsidP="009431FF">
            <w:pPr>
              <w:rPr>
                <w:b/>
                <w:bCs/>
                <w:strike/>
                <w:color w:val="FF0000"/>
                <w:szCs w:val="24"/>
                <w:lang w:eastAsia="tr-TR"/>
              </w:rPr>
            </w:pPr>
          </w:p>
        </w:tc>
        <w:tc>
          <w:tcPr>
            <w:tcW w:w="2500" w:type="pct"/>
          </w:tcPr>
          <w:p w:rsidR="00155AF4" w:rsidRPr="00A23740" w:rsidRDefault="00155AF4" w:rsidP="009431FF">
            <w:pPr>
              <w:pStyle w:val="Balk5"/>
              <w:rPr>
                <w:lang w:val="tr-TR" w:eastAsia="tr-TR"/>
              </w:rPr>
            </w:pPr>
            <w:r w:rsidRPr="00A23740">
              <w:rPr>
                <w:lang w:val="tr-TR" w:eastAsia="tr-TR"/>
              </w:rPr>
              <w:lastRenderedPageBreak/>
              <w:t>İKİNCİ ALT AYRIM</w:t>
            </w:r>
          </w:p>
          <w:p w:rsidR="00155AF4" w:rsidRPr="00A23740" w:rsidRDefault="00155AF4" w:rsidP="009431FF">
            <w:pPr>
              <w:pStyle w:val="Balk5"/>
              <w:rPr>
                <w:lang w:val="tr-TR" w:eastAsia="tr-TR"/>
              </w:rPr>
            </w:pPr>
            <w:r w:rsidRPr="00A23740">
              <w:rPr>
                <w:lang w:val="tr-TR" w:eastAsia="tr-TR"/>
              </w:rPr>
              <w:t>İcraya Etki Eden Hususlar</w:t>
            </w:r>
          </w:p>
          <w:p w:rsidR="00155AF4" w:rsidRPr="00A23740" w:rsidRDefault="00155AF4" w:rsidP="009431FF">
            <w:pPr>
              <w:rPr>
                <w:rFonts w:eastAsia="Times New Roman"/>
                <w:b/>
                <w:bCs/>
                <w:szCs w:val="24"/>
                <w:lang w:eastAsia="tr-TR"/>
              </w:rPr>
            </w:pPr>
          </w:p>
          <w:p w:rsidR="00155AF4" w:rsidRPr="00A23740" w:rsidRDefault="00155AF4" w:rsidP="009431FF">
            <w:pPr>
              <w:rPr>
                <w:rFonts w:eastAsia="Times New Roman"/>
                <w:b/>
                <w:bCs/>
                <w:szCs w:val="24"/>
                <w:lang w:eastAsia="tr-TR"/>
              </w:rPr>
            </w:pPr>
            <w:r w:rsidRPr="00A23740">
              <w:rPr>
                <w:rFonts w:eastAsia="Times New Roman"/>
                <w:b/>
                <w:bCs/>
                <w:szCs w:val="24"/>
                <w:lang w:eastAsia="tr-TR"/>
              </w:rPr>
              <w:t xml:space="preserve">İcranın </w:t>
            </w:r>
            <w:r w:rsidRPr="00A23740">
              <w:rPr>
                <w:rStyle w:val="MaviChar"/>
              </w:rPr>
              <w:t>durması ve</w:t>
            </w:r>
            <w:r w:rsidRPr="00A23740">
              <w:rPr>
                <w:rFonts w:eastAsia="Times New Roman"/>
                <w:b/>
                <w:bCs/>
                <w:szCs w:val="24"/>
                <w:lang w:eastAsia="tr-TR"/>
              </w:rPr>
              <w:t xml:space="preserve"> iadesi</w:t>
            </w:r>
          </w:p>
          <w:p w:rsidR="00155AF4" w:rsidRPr="00A23740" w:rsidRDefault="00155AF4" w:rsidP="009431FF">
            <w:pPr>
              <w:rPr>
                <w:rFonts w:eastAsia="Times New Roman"/>
                <w:bCs/>
              </w:rPr>
            </w:pPr>
            <w:r w:rsidRPr="00A23740">
              <w:rPr>
                <w:rStyle w:val="MaviChar"/>
              </w:rPr>
              <w:t>MADDE 60-</w:t>
            </w:r>
            <w:r w:rsidRPr="00A23740">
              <w:rPr>
                <w:rFonts w:eastAsia="Times New Roman"/>
                <w:szCs w:val="24"/>
                <w:lang w:eastAsia="tr-TR"/>
              </w:rPr>
              <w:t xml:space="preserve"> </w:t>
            </w:r>
            <w:r w:rsidRPr="00A23740">
              <w:rPr>
                <w:rStyle w:val="MaviChar"/>
                <w:lang w:eastAsia="tr-TR"/>
              </w:rPr>
              <w:t>(1) İcrasına başlanmış b</w:t>
            </w:r>
            <w:r w:rsidRPr="00A23740">
              <w:rPr>
                <w:rFonts w:eastAsia="Times New Roman"/>
                <w:bCs/>
              </w:rPr>
              <w:t xml:space="preserve">ir ilamın </w:t>
            </w:r>
            <w:r w:rsidRPr="00A23740">
              <w:rPr>
                <w:rFonts w:eastAsia="Times New Roman"/>
              </w:rPr>
              <w:t>bölge adliye mahkemesince kaldırılması veya</w:t>
            </w:r>
            <w:r w:rsidRPr="00A23740">
              <w:rPr>
                <w:rStyle w:val="MaviChar"/>
                <w:lang w:eastAsia="tr-TR"/>
              </w:rPr>
              <w:t xml:space="preserve"> Yargıtayca </w:t>
            </w:r>
            <w:r w:rsidRPr="00A23740">
              <w:rPr>
                <w:rFonts w:eastAsia="Times New Roman"/>
                <w:bCs/>
              </w:rPr>
              <w:t>bozulması</w:t>
            </w:r>
            <w:r w:rsidR="00426874" w:rsidRPr="00A23740">
              <w:rPr>
                <w:rStyle w:val="MaviChar"/>
                <w:lang w:eastAsia="tr-TR"/>
              </w:rPr>
              <w:t xml:space="preserve"> h</w:t>
            </w:r>
            <w:r w:rsidR="00426874" w:rsidRPr="00A23740">
              <w:rPr>
                <w:rStyle w:val="MaviChar"/>
                <w:lang w:val="tr-TR" w:eastAsia="tr-TR"/>
              </w:rPr>
              <w:t>â</w:t>
            </w:r>
            <w:r w:rsidR="00426874" w:rsidRPr="00A23740">
              <w:rPr>
                <w:rStyle w:val="MaviChar"/>
                <w:lang w:eastAsia="tr-TR"/>
              </w:rPr>
              <w:t xml:space="preserve">linde </w:t>
            </w:r>
            <w:r w:rsidRPr="00A23740">
              <w:rPr>
                <w:rFonts w:eastAsia="Times New Roman"/>
              </w:rPr>
              <w:t>icra</w:t>
            </w:r>
            <w:r w:rsidRPr="00A23740">
              <w:rPr>
                <w:rStyle w:val="MaviChar"/>
                <w:lang w:eastAsia="tr-TR"/>
              </w:rPr>
              <w:t xml:space="preserve"> işlemleri </w:t>
            </w:r>
            <w:r w:rsidRPr="00A23740">
              <w:rPr>
                <w:rFonts w:eastAsia="Times New Roman"/>
                <w:bCs/>
              </w:rPr>
              <w:t>dur</w:t>
            </w:r>
            <w:r w:rsidRPr="00A23740">
              <w:rPr>
                <w:rStyle w:val="MaviChar"/>
                <w:lang w:eastAsia="tr-TR"/>
              </w:rPr>
              <w:t>ur</w:t>
            </w:r>
            <w:r w:rsidRPr="00A23740">
              <w:rPr>
                <w:rFonts w:eastAsia="Times New Roman"/>
                <w:bCs/>
              </w:rPr>
              <w:t>.</w:t>
            </w:r>
          </w:p>
          <w:p w:rsidR="00155AF4" w:rsidRPr="00A23740" w:rsidRDefault="00155AF4" w:rsidP="009431FF">
            <w:pPr>
              <w:rPr>
                <w:rFonts w:eastAsia="Times New Roman"/>
                <w:szCs w:val="24"/>
                <w:lang w:eastAsia="tr-TR"/>
              </w:rPr>
            </w:pPr>
          </w:p>
          <w:p w:rsidR="00155AF4" w:rsidRPr="00A23740" w:rsidRDefault="00426874" w:rsidP="009431FF">
            <w:pPr>
              <w:pStyle w:val="Mavi"/>
            </w:pPr>
            <w:r w:rsidRPr="00A23740">
              <w:t>(2) İcranın durması h</w:t>
            </w:r>
            <w:r w:rsidRPr="00A23740">
              <w:rPr>
                <w:lang w:val="tr-TR"/>
              </w:rPr>
              <w:t>â</w:t>
            </w:r>
            <w:r w:rsidR="00155AF4" w:rsidRPr="00A23740">
              <w:t>linde, maaş veya ücrete dayalı hacizlerde, haciz geçerli olmak kaydıyla kesinti durdurulur.</w:t>
            </w:r>
          </w:p>
          <w:p w:rsidR="00155AF4" w:rsidRPr="00A23740" w:rsidRDefault="00155AF4" w:rsidP="009431FF">
            <w:pPr>
              <w:rPr>
                <w:rFonts w:eastAsia="Times New Roman"/>
                <w:szCs w:val="24"/>
                <w:lang w:eastAsia="tr-TR"/>
              </w:rPr>
            </w:pPr>
          </w:p>
          <w:p w:rsidR="00155AF4" w:rsidRPr="00A23740" w:rsidRDefault="00155AF4" w:rsidP="009431FF">
            <w:pPr>
              <w:pStyle w:val="Mavi"/>
            </w:pPr>
            <w:r w:rsidRPr="00A23740">
              <w:t xml:space="preserve">(3) </w:t>
            </w:r>
            <w:r w:rsidRPr="00A23740">
              <w:rPr>
                <w:rFonts w:eastAsia="Times New Roman"/>
                <w:b w:val="0"/>
                <w:bCs w:val="0"/>
                <w:color w:val="auto"/>
                <w:lang w:val="tr-TR" w:eastAsia="tr-TR"/>
              </w:rPr>
              <w:t>Bir il</w:t>
            </w:r>
            <w:r w:rsidR="00D72007" w:rsidRPr="00A23740">
              <w:rPr>
                <w:rFonts w:eastAsia="Times New Roman"/>
                <w:b w:val="0"/>
                <w:bCs w:val="0"/>
                <w:color w:val="auto"/>
                <w:lang w:val="tr-TR" w:eastAsia="tr-TR"/>
              </w:rPr>
              <w:t>a</w:t>
            </w:r>
            <w:r w:rsidRPr="00A23740">
              <w:rPr>
                <w:rFonts w:eastAsia="Times New Roman"/>
                <w:b w:val="0"/>
                <w:bCs w:val="0"/>
                <w:color w:val="auto"/>
                <w:lang w:val="tr-TR" w:eastAsia="tr-TR"/>
              </w:rPr>
              <w:t>m hükmü icra edildikten sonra bölge adliye mahkemesince kaldırılır ve yeniden esas hakkında karar verilir ya da Yargıtayca bozulup da aleyhine icra takibi yapılmış olan kimsenin hiç veya o kadar borcu olmadığı kesin bir il</w:t>
            </w:r>
            <w:r w:rsidR="00D72007" w:rsidRPr="00A23740">
              <w:rPr>
                <w:rFonts w:eastAsia="Times New Roman"/>
                <w:b w:val="0"/>
                <w:bCs w:val="0"/>
                <w:color w:val="auto"/>
                <w:lang w:val="tr-TR" w:eastAsia="tr-TR"/>
              </w:rPr>
              <w:t>a</w:t>
            </w:r>
            <w:r w:rsidRPr="00A23740">
              <w:rPr>
                <w:rFonts w:eastAsia="Times New Roman"/>
                <w:b w:val="0"/>
                <w:bCs w:val="0"/>
                <w:color w:val="auto"/>
                <w:lang w:val="tr-TR" w:eastAsia="tr-TR"/>
              </w:rPr>
              <w:t xml:space="preserve">mla </w:t>
            </w:r>
            <w:r w:rsidRPr="00A23740">
              <w:t>ortaya çıkarsa</w:t>
            </w:r>
            <w:r w:rsidRPr="00A23740">
              <w:rPr>
                <w:rFonts w:eastAsia="Times New Roman"/>
                <w:b w:val="0"/>
                <w:bCs w:val="0"/>
                <w:color w:val="auto"/>
                <w:lang w:val="tr-TR" w:eastAsia="tr-TR"/>
              </w:rPr>
              <w:t xml:space="preserve">, ayrıca hükme </w:t>
            </w:r>
            <w:r w:rsidRPr="00A23740">
              <w:rPr>
                <w:lang w:val="tr-TR" w:eastAsia="tr-TR"/>
              </w:rPr>
              <w:t>gerek</w:t>
            </w:r>
            <w:r w:rsidRPr="00A23740">
              <w:rPr>
                <w:rFonts w:eastAsia="Times New Roman"/>
                <w:b w:val="0"/>
                <w:bCs w:val="0"/>
                <w:color w:val="auto"/>
                <w:lang w:val="tr-TR" w:eastAsia="tr-TR"/>
              </w:rPr>
              <w:t xml:space="preserve"> kalmaksızın</w:t>
            </w:r>
            <w:r w:rsidRPr="00A23740">
              <w:t xml:space="preserve"> aynı takip dosyası üzerinden </w:t>
            </w:r>
            <w:r w:rsidRPr="00A23740">
              <w:rPr>
                <w:rFonts w:eastAsia="Times New Roman"/>
                <w:b w:val="0"/>
                <w:bCs w:val="0"/>
                <w:color w:val="auto"/>
                <w:lang w:val="tr-TR" w:eastAsia="tr-TR"/>
              </w:rPr>
              <w:t xml:space="preserve">icra tamamen veya kısmen eski hâline iade olunur. </w:t>
            </w:r>
            <w:r w:rsidRPr="00A23740">
              <w:t>Usule ilişkin kesin kararlarda da niteliğine uygun düştüğü ölçüde bu fıkra hükmü uygulanır.</w:t>
            </w:r>
          </w:p>
          <w:p w:rsidR="009C5516" w:rsidRDefault="009C5516" w:rsidP="009431FF">
            <w:pPr>
              <w:rPr>
                <w:rFonts w:eastAsia="Times New Roman"/>
                <w:szCs w:val="24"/>
                <w:lang w:eastAsia="tr-TR"/>
              </w:rPr>
            </w:pPr>
          </w:p>
          <w:p w:rsidR="009C5516" w:rsidRPr="00A23740" w:rsidRDefault="009C5516" w:rsidP="009431FF">
            <w:pPr>
              <w:rPr>
                <w:rFonts w:eastAsia="Times New Roman"/>
                <w:szCs w:val="24"/>
                <w:lang w:eastAsia="tr-TR"/>
              </w:rPr>
            </w:pPr>
          </w:p>
          <w:p w:rsidR="00155AF4" w:rsidRPr="00A23740" w:rsidRDefault="00155AF4" w:rsidP="009431FF">
            <w:pPr>
              <w:pStyle w:val="Mavi"/>
            </w:pPr>
            <w:r w:rsidRPr="00A23740">
              <w:lastRenderedPageBreak/>
              <w:t xml:space="preserve">(4) </w:t>
            </w:r>
            <w:r w:rsidRPr="00A23740">
              <w:rPr>
                <w:rFonts w:eastAsia="Times New Roman"/>
                <w:b w:val="0"/>
                <w:bCs w:val="0"/>
                <w:color w:val="auto"/>
                <w:lang w:val="tr-TR" w:eastAsia="tr-TR"/>
              </w:rPr>
              <w:t xml:space="preserve">Üçüncü </w:t>
            </w:r>
            <w:r w:rsidRPr="00A23740">
              <w:t>kişilerin</w:t>
            </w:r>
            <w:r w:rsidRPr="00A23740">
              <w:rPr>
                <w:rFonts w:eastAsia="Times New Roman"/>
                <w:b w:val="0"/>
                <w:bCs w:val="0"/>
                <w:color w:val="auto"/>
                <w:lang w:val="tr-TR" w:eastAsia="tr-TR"/>
              </w:rPr>
              <w:t xml:space="preserve"> </w:t>
            </w:r>
            <w:r w:rsidRPr="00A23740">
              <w:t xml:space="preserve">iyiniyetle </w:t>
            </w:r>
            <w:r w:rsidRPr="00A23740">
              <w:rPr>
                <w:rFonts w:eastAsia="Times New Roman"/>
                <w:b w:val="0"/>
                <w:bCs w:val="0"/>
                <w:color w:val="auto"/>
                <w:lang w:val="tr-TR" w:eastAsia="tr-TR"/>
              </w:rPr>
              <w:t>kazandıkları haklar</w:t>
            </w:r>
            <w:r w:rsidRPr="00A23740">
              <w:t>ı saklıdır.</w:t>
            </w:r>
          </w:p>
          <w:p w:rsidR="00155AF4" w:rsidRPr="00A23740" w:rsidRDefault="00155AF4" w:rsidP="009431FF">
            <w:pPr>
              <w:pStyle w:val="Mavi"/>
            </w:pPr>
          </w:p>
        </w:tc>
      </w:tr>
      <w:tr w:rsidR="00155AF4" w:rsidRPr="00A23740" w:rsidTr="009431FF">
        <w:tc>
          <w:tcPr>
            <w:tcW w:w="5000" w:type="pct"/>
            <w:gridSpan w:val="2"/>
            <w:shd w:val="clear" w:color="auto" w:fill="DEEAF6"/>
          </w:tcPr>
          <w:p w:rsidR="009E2DF5" w:rsidRPr="00A23740" w:rsidRDefault="009E2DF5" w:rsidP="009431FF">
            <w:pPr>
              <w:pStyle w:val="Mavi"/>
              <w:ind w:firstLine="709"/>
              <w:rPr>
                <w:color w:val="auto"/>
                <w:lang w:val="tr-TR"/>
              </w:rPr>
            </w:pPr>
          </w:p>
          <w:p w:rsidR="009E2DF5" w:rsidRPr="00A23740" w:rsidRDefault="002F68F8" w:rsidP="009431FF">
            <w:pPr>
              <w:pStyle w:val="Mavi"/>
              <w:ind w:firstLine="709"/>
              <w:rPr>
                <w:b w:val="0"/>
                <w:color w:val="auto"/>
                <w:lang w:val="tr-TR"/>
              </w:rPr>
            </w:pPr>
            <w:r w:rsidRPr="00A23740">
              <w:rPr>
                <w:color w:val="auto"/>
                <w:lang w:val="tr-TR"/>
              </w:rPr>
              <w:t xml:space="preserve">MADDE 60- </w:t>
            </w:r>
            <w:r w:rsidRPr="00A23740">
              <w:rPr>
                <w:b w:val="0"/>
                <w:color w:val="auto"/>
                <w:lang w:val="tr-TR"/>
              </w:rPr>
              <w:t>Madde</w:t>
            </w:r>
            <w:r w:rsidR="009E2DF5" w:rsidRPr="00A23740">
              <w:rPr>
                <w:b w:val="0"/>
                <w:color w:val="auto"/>
                <w:lang w:val="tr-TR"/>
              </w:rPr>
              <w:t>yle</w:t>
            </w:r>
            <w:r w:rsidRPr="00A23740">
              <w:rPr>
                <w:b w:val="0"/>
                <w:color w:val="auto"/>
                <w:lang w:val="tr-TR"/>
              </w:rPr>
              <w:t>, icranın durması ve iadesi</w:t>
            </w:r>
            <w:r w:rsidR="009E2DF5" w:rsidRPr="00A23740">
              <w:rPr>
                <w:b w:val="0"/>
                <w:color w:val="auto"/>
                <w:lang w:val="tr-TR"/>
              </w:rPr>
              <w:t xml:space="preserve"> düzenlenmektedir</w:t>
            </w:r>
            <w:r w:rsidRPr="00A23740">
              <w:rPr>
                <w:b w:val="0"/>
                <w:color w:val="auto"/>
                <w:lang w:val="tr-TR"/>
              </w:rPr>
              <w:t>.</w:t>
            </w:r>
            <w:r w:rsidR="009E2DF5" w:rsidRPr="00A23740">
              <w:rPr>
                <w:b w:val="0"/>
                <w:color w:val="auto"/>
                <w:lang w:val="tr-TR"/>
              </w:rPr>
              <w:t xml:space="preserve"> Hüküm, 2004 sayılı Kanunun 40 ıncı maddesine karşılık gelmektedir.</w:t>
            </w:r>
          </w:p>
          <w:p w:rsidR="009E2DF5" w:rsidRPr="00A23740" w:rsidRDefault="009E2DF5" w:rsidP="009431FF">
            <w:pPr>
              <w:pStyle w:val="Mavi"/>
              <w:ind w:firstLine="709"/>
              <w:rPr>
                <w:b w:val="0"/>
                <w:color w:val="auto"/>
                <w:lang w:val="tr-TR"/>
              </w:rPr>
            </w:pPr>
            <w:r w:rsidRPr="00A23740">
              <w:rPr>
                <w:b w:val="0"/>
                <w:color w:val="auto"/>
                <w:lang w:val="tr-TR"/>
              </w:rPr>
              <w:t>Birinci fıkrayla, icrasına başlanmış bir ilamın bölge adliye mahkemesince kaldırılması veya Yargıtayca bozulması h</w:t>
            </w:r>
            <w:r w:rsidR="002F2BAA" w:rsidRPr="00A23740">
              <w:rPr>
                <w:b w:val="0"/>
                <w:color w:val="auto"/>
                <w:lang w:val="tr-TR"/>
              </w:rPr>
              <w:t>â</w:t>
            </w:r>
            <w:r w:rsidRPr="00A23740">
              <w:rPr>
                <w:b w:val="0"/>
                <w:color w:val="auto"/>
                <w:lang w:val="tr-TR"/>
              </w:rPr>
              <w:t xml:space="preserve">linde icra işlemlerinin duracağı kuralı kabul edilmektedir. </w:t>
            </w:r>
            <w:r w:rsidR="002F68F8" w:rsidRPr="00A23740">
              <w:rPr>
                <w:b w:val="0"/>
                <w:color w:val="auto"/>
                <w:lang w:val="tr-TR"/>
              </w:rPr>
              <w:t>Yeni sistemde icra kabiliyeti bakımından ilk derece kanun yolunun tüketilmesi esası getirildiği</w:t>
            </w:r>
            <w:r w:rsidRPr="00A23740">
              <w:rPr>
                <w:b w:val="0"/>
                <w:color w:val="auto"/>
                <w:lang w:val="tr-TR"/>
              </w:rPr>
              <w:t xml:space="preserve"> için bu </w:t>
            </w:r>
            <w:r w:rsidR="00DA1B0A" w:rsidRPr="00A23740">
              <w:rPr>
                <w:b w:val="0"/>
                <w:color w:val="auto"/>
                <w:lang w:val="tr-TR"/>
              </w:rPr>
              <w:t>hükmün</w:t>
            </w:r>
            <w:r w:rsidRPr="00A23740">
              <w:rPr>
                <w:b w:val="0"/>
                <w:color w:val="auto"/>
                <w:lang w:val="tr-TR"/>
              </w:rPr>
              <w:t xml:space="preserve"> uygulama alanının</w:t>
            </w:r>
            <w:r w:rsidR="002F68F8" w:rsidRPr="00A23740">
              <w:rPr>
                <w:b w:val="0"/>
                <w:color w:val="auto"/>
                <w:lang w:val="tr-TR"/>
              </w:rPr>
              <w:t xml:space="preserve"> önemli ölçüde azalacağı öngörülmektedir.</w:t>
            </w:r>
          </w:p>
          <w:p w:rsidR="009E2DF5" w:rsidRPr="00A23740" w:rsidRDefault="009E2DF5" w:rsidP="009431FF">
            <w:pPr>
              <w:pStyle w:val="Mavi"/>
              <w:ind w:firstLine="709"/>
              <w:rPr>
                <w:b w:val="0"/>
                <w:color w:val="auto"/>
                <w:lang w:val="tr-TR"/>
              </w:rPr>
            </w:pPr>
            <w:r w:rsidRPr="00A23740">
              <w:rPr>
                <w:b w:val="0"/>
                <w:color w:val="auto"/>
                <w:lang w:val="tr-TR"/>
              </w:rPr>
              <w:t>İkinci fıkra</w:t>
            </w:r>
            <w:r w:rsidR="002F68F8" w:rsidRPr="00A23740">
              <w:rPr>
                <w:b w:val="0"/>
                <w:color w:val="auto"/>
                <w:lang w:val="tr-TR"/>
              </w:rPr>
              <w:t xml:space="preserve">da, bu </w:t>
            </w:r>
            <w:r w:rsidR="00DA1B0A" w:rsidRPr="00A23740">
              <w:rPr>
                <w:b w:val="0"/>
                <w:color w:val="auto"/>
                <w:lang w:val="tr-TR"/>
              </w:rPr>
              <w:t>hüküm</w:t>
            </w:r>
            <w:r w:rsidR="002F68F8" w:rsidRPr="00A23740">
              <w:rPr>
                <w:b w:val="0"/>
                <w:color w:val="auto"/>
                <w:lang w:val="tr-TR"/>
              </w:rPr>
              <w:t xml:space="preserve"> uyarınca icranın durması h</w:t>
            </w:r>
            <w:r w:rsidR="002F2BAA" w:rsidRPr="00A23740">
              <w:rPr>
                <w:b w:val="0"/>
                <w:color w:val="auto"/>
                <w:lang w:val="tr-TR"/>
              </w:rPr>
              <w:t>â</w:t>
            </w:r>
            <w:r w:rsidR="002F68F8" w:rsidRPr="00A23740">
              <w:rPr>
                <w:b w:val="0"/>
                <w:color w:val="auto"/>
                <w:lang w:val="tr-TR"/>
              </w:rPr>
              <w:t>linde, maaş veya ücrete dayalı hacizlerde, haczin geçerli kalacağı ve fakat kesinti yapılmasının durdurulacağı açık şekilde düzenlenm</w:t>
            </w:r>
            <w:r w:rsidRPr="00A23740">
              <w:rPr>
                <w:b w:val="0"/>
                <w:color w:val="auto"/>
                <w:lang w:val="tr-TR"/>
              </w:rPr>
              <w:t>ektedir</w:t>
            </w:r>
            <w:r w:rsidR="002F68F8" w:rsidRPr="00A23740">
              <w:rPr>
                <w:b w:val="0"/>
                <w:color w:val="auto"/>
                <w:lang w:val="tr-TR"/>
              </w:rPr>
              <w:t>. Bu ihtimal</w:t>
            </w:r>
            <w:r w:rsidRPr="00A23740">
              <w:rPr>
                <w:b w:val="0"/>
                <w:color w:val="auto"/>
                <w:lang w:val="tr-TR"/>
              </w:rPr>
              <w:t>,</w:t>
            </w:r>
            <w:r w:rsidR="002F68F8" w:rsidRPr="00A23740">
              <w:rPr>
                <w:b w:val="0"/>
                <w:color w:val="auto"/>
                <w:lang w:val="tr-TR"/>
              </w:rPr>
              <w:t xml:space="preserve"> uygulamada önemli tartışmalara neden olmuş ve Yargıtay bu şekilde</w:t>
            </w:r>
            <w:r w:rsidR="008A14A8" w:rsidRPr="00A23740">
              <w:rPr>
                <w:b w:val="0"/>
                <w:color w:val="auto"/>
                <w:lang w:val="tr-TR"/>
              </w:rPr>
              <w:t>ki</w:t>
            </w:r>
            <w:r w:rsidR="002F68F8" w:rsidRPr="00A23740">
              <w:rPr>
                <w:b w:val="0"/>
                <w:color w:val="auto"/>
                <w:lang w:val="tr-TR"/>
              </w:rPr>
              <w:t xml:space="preserve"> bir yaklaşımı benimsemiştir. </w:t>
            </w:r>
            <w:r w:rsidRPr="00A23740">
              <w:rPr>
                <w:b w:val="0"/>
                <w:color w:val="auto"/>
                <w:lang w:val="tr-TR"/>
              </w:rPr>
              <w:t xml:space="preserve">Fıkra </w:t>
            </w:r>
            <w:r w:rsidR="002F68F8" w:rsidRPr="00A23740">
              <w:rPr>
                <w:b w:val="0"/>
                <w:color w:val="auto"/>
                <w:lang w:val="tr-TR"/>
              </w:rPr>
              <w:t>metnin</w:t>
            </w:r>
            <w:r w:rsidR="00DA1B0A" w:rsidRPr="00A23740">
              <w:rPr>
                <w:b w:val="0"/>
                <w:color w:val="auto"/>
                <w:lang w:val="tr-TR"/>
              </w:rPr>
              <w:t>de</w:t>
            </w:r>
            <w:r w:rsidR="002F68F8" w:rsidRPr="00A23740">
              <w:rPr>
                <w:b w:val="0"/>
                <w:color w:val="auto"/>
                <w:lang w:val="tr-TR"/>
              </w:rPr>
              <w:t xml:space="preserve"> de esas alınan bu çözüm, borçluya ciddi şekilde zarar veren kesintiye devam edilmesi durumunu önlemeyi amaçlamaktadır. Bununla birlikte haciz ise b</w:t>
            </w:r>
            <w:r w:rsidR="008A14A8" w:rsidRPr="00A23740">
              <w:rPr>
                <w:b w:val="0"/>
                <w:color w:val="auto"/>
                <w:lang w:val="tr-TR"/>
              </w:rPr>
              <w:t>â</w:t>
            </w:r>
            <w:r w:rsidR="002F68F8" w:rsidRPr="00A23740">
              <w:rPr>
                <w:b w:val="0"/>
                <w:color w:val="auto"/>
                <w:lang w:val="tr-TR"/>
              </w:rPr>
              <w:t>ki kalmaya devam edecektir. Ayrıca belirtilmelidir ki, her ne kadar haciz b</w:t>
            </w:r>
            <w:r w:rsidR="008A14A8" w:rsidRPr="00A23740">
              <w:rPr>
                <w:b w:val="0"/>
                <w:color w:val="auto"/>
                <w:lang w:val="tr-TR"/>
              </w:rPr>
              <w:t>â</w:t>
            </w:r>
            <w:r w:rsidR="002F68F8" w:rsidRPr="00A23740">
              <w:rPr>
                <w:b w:val="0"/>
                <w:color w:val="auto"/>
                <w:lang w:val="tr-TR"/>
              </w:rPr>
              <w:t>ki kalsa da o takip bakım</w:t>
            </w:r>
            <w:r w:rsidRPr="00A23740">
              <w:rPr>
                <w:b w:val="0"/>
                <w:color w:val="auto"/>
                <w:lang w:val="tr-TR"/>
              </w:rPr>
              <w:t>ından kesinti durdurulduğu için</w:t>
            </w:r>
            <w:r w:rsidR="008A14A8" w:rsidRPr="00A23740">
              <w:rPr>
                <w:b w:val="0"/>
                <w:color w:val="auto"/>
                <w:lang w:val="tr-TR"/>
              </w:rPr>
              <w:t>,</w:t>
            </w:r>
            <w:r w:rsidR="002F68F8" w:rsidRPr="00A23740">
              <w:rPr>
                <w:b w:val="0"/>
                <w:color w:val="auto"/>
                <w:lang w:val="tr-TR"/>
              </w:rPr>
              <w:t xml:space="preserve"> varsa o maaş ve ücrete haciz koydurmuş olup sırada yer alan diğer alacaklı veya alacaklılara ödeme yapılması gerekecektir.</w:t>
            </w:r>
          </w:p>
          <w:p w:rsidR="00DA1B0A" w:rsidRPr="00A23740" w:rsidRDefault="009E2DF5" w:rsidP="009431FF">
            <w:pPr>
              <w:pStyle w:val="Mavi"/>
              <w:ind w:firstLine="709"/>
              <w:rPr>
                <w:b w:val="0"/>
                <w:color w:val="auto"/>
                <w:lang w:val="tr-TR"/>
              </w:rPr>
            </w:pPr>
            <w:r w:rsidRPr="00A23740">
              <w:rPr>
                <w:b w:val="0"/>
                <w:color w:val="auto"/>
                <w:lang w:val="tr-TR"/>
              </w:rPr>
              <w:t xml:space="preserve">Üçüncü </w:t>
            </w:r>
            <w:r w:rsidR="00586835" w:rsidRPr="00A23740">
              <w:rPr>
                <w:b w:val="0"/>
                <w:color w:val="auto"/>
                <w:lang w:val="tr-TR"/>
              </w:rPr>
              <w:t xml:space="preserve">fıkrayla, ilamın icra edilmesinden sonra kanun yolu incelemesinde verilen karar üzerine yapılması gereken işlemler belirlenmekte ve bazı ifadeler açıklığa kavuşturulmaktadır. </w:t>
            </w:r>
            <w:r w:rsidR="002F68F8" w:rsidRPr="00A23740">
              <w:rPr>
                <w:b w:val="0"/>
                <w:color w:val="auto"/>
                <w:lang w:val="tr-TR"/>
              </w:rPr>
              <w:t>Buna göre, icranın iadesinin aynı takip dosyası üzerinden gerçekleşeceği</w:t>
            </w:r>
            <w:r w:rsidRPr="00A23740">
              <w:rPr>
                <w:b w:val="0"/>
                <w:color w:val="auto"/>
                <w:lang w:val="tr-TR"/>
              </w:rPr>
              <w:t xml:space="preserve"> hükümde</w:t>
            </w:r>
            <w:r w:rsidR="002F68F8" w:rsidRPr="00A23740">
              <w:rPr>
                <w:b w:val="0"/>
                <w:color w:val="auto"/>
                <w:lang w:val="tr-TR"/>
              </w:rPr>
              <w:t xml:space="preserve"> açıkça yazılm</w:t>
            </w:r>
            <w:r w:rsidRPr="00A23740">
              <w:rPr>
                <w:b w:val="0"/>
                <w:color w:val="auto"/>
                <w:lang w:val="tr-TR"/>
              </w:rPr>
              <w:t>aktadır</w:t>
            </w:r>
            <w:r w:rsidR="002F68F8" w:rsidRPr="00A23740">
              <w:rPr>
                <w:b w:val="0"/>
                <w:color w:val="auto"/>
                <w:lang w:val="tr-TR"/>
              </w:rPr>
              <w:t xml:space="preserve">. Ayrıca davanın esastan reddi dışında, usule ilişkin nihai kararlarda da niteliğine uygun düştüğü ölçüde yine bu </w:t>
            </w:r>
            <w:r w:rsidRPr="00A23740">
              <w:rPr>
                <w:b w:val="0"/>
                <w:color w:val="auto"/>
                <w:lang w:val="tr-TR"/>
              </w:rPr>
              <w:t>fıkranın</w:t>
            </w:r>
            <w:r w:rsidR="002F68F8" w:rsidRPr="00A23740">
              <w:rPr>
                <w:b w:val="0"/>
                <w:color w:val="auto"/>
                <w:lang w:val="tr-TR"/>
              </w:rPr>
              <w:t>, yani icranın iadesi kurumunun uygulanacağı açıkça ifade edilm</w:t>
            </w:r>
            <w:r w:rsidRPr="00A23740">
              <w:rPr>
                <w:b w:val="0"/>
                <w:color w:val="auto"/>
                <w:lang w:val="tr-TR"/>
              </w:rPr>
              <w:t>ektedir</w:t>
            </w:r>
            <w:r w:rsidR="002F68F8" w:rsidRPr="00A23740">
              <w:rPr>
                <w:b w:val="0"/>
                <w:color w:val="auto"/>
                <w:lang w:val="tr-TR"/>
              </w:rPr>
              <w:t>. Zira davanın usulden reddedilmiş olması veya açılmamış sayılması h</w:t>
            </w:r>
            <w:r w:rsidR="002F2BAA" w:rsidRPr="00A23740">
              <w:rPr>
                <w:b w:val="0"/>
                <w:color w:val="auto"/>
                <w:lang w:val="tr-TR"/>
              </w:rPr>
              <w:t>â</w:t>
            </w:r>
            <w:r w:rsidR="000E3F90" w:rsidRPr="00A23740">
              <w:rPr>
                <w:b w:val="0"/>
                <w:color w:val="auto"/>
                <w:lang w:val="tr-TR"/>
              </w:rPr>
              <w:t>llerinde de</w:t>
            </w:r>
            <w:r w:rsidR="002F68F8" w:rsidRPr="00A23740">
              <w:rPr>
                <w:b w:val="0"/>
                <w:color w:val="auto"/>
                <w:lang w:val="tr-TR"/>
              </w:rPr>
              <w:t xml:space="preserve"> her ne kadar esastan bir</w:t>
            </w:r>
            <w:r w:rsidRPr="00A23740">
              <w:rPr>
                <w:b w:val="0"/>
                <w:color w:val="auto"/>
                <w:lang w:val="tr-TR"/>
              </w:rPr>
              <w:t xml:space="preserve"> ret</w:t>
            </w:r>
            <w:r w:rsidR="002F68F8" w:rsidRPr="00A23740">
              <w:rPr>
                <w:b w:val="0"/>
                <w:color w:val="auto"/>
                <w:lang w:val="tr-TR"/>
              </w:rPr>
              <w:t xml:space="preserve"> karar</w:t>
            </w:r>
            <w:r w:rsidRPr="00A23740">
              <w:rPr>
                <w:b w:val="0"/>
                <w:color w:val="auto"/>
                <w:lang w:val="tr-TR"/>
              </w:rPr>
              <w:t>ı</w:t>
            </w:r>
            <w:r w:rsidR="009F33EC" w:rsidRPr="00A23740">
              <w:rPr>
                <w:b w:val="0"/>
                <w:color w:val="auto"/>
                <w:lang w:val="tr-TR"/>
              </w:rPr>
              <w:t xml:space="preserve"> verilmemiş olsa da</w:t>
            </w:r>
            <w:r w:rsidR="002F68F8" w:rsidRPr="00A23740">
              <w:rPr>
                <w:b w:val="0"/>
                <w:color w:val="auto"/>
                <w:lang w:val="tr-TR"/>
              </w:rPr>
              <w:t xml:space="preserve"> yine icranın iadesi gerekebilir. Keza, sulh h</w:t>
            </w:r>
            <w:r w:rsidR="002F2BAA" w:rsidRPr="00A23740">
              <w:rPr>
                <w:b w:val="0"/>
                <w:color w:val="auto"/>
                <w:lang w:val="tr-TR"/>
              </w:rPr>
              <w:t>â</w:t>
            </w:r>
            <w:r w:rsidR="002F68F8" w:rsidRPr="00A23740">
              <w:rPr>
                <w:b w:val="0"/>
                <w:color w:val="auto"/>
                <w:lang w:val="tr-TR"/>
              </w:rPr>
              <w:t>linde de mahkemenin farklı türde kararlar verebilmesi söz konusu olabilmektedir. Bu hususların, verilen kararın ve davanın niteliğine göre uygulamada şekillenmesi gerekmektedir</w:t>
            </w:r>
            <w:r w:rsidR="00DA1B0A" w:rsidRPr="00A23740">
              <w:rPr>
                <w:b w:val="0"/>
                <w:color w:val="auto"/>
                <w:lang w:val="tr-TR"/>
              </w:rPr>
              <w:t>. Belirtilmelidir ki</w:t>
            </w:r>
            <w:r w:rsidR="002F68F8" w:rsidRPr="00A23740">
              <w:rPr>
                <w:b w:val="0"/>
                <w:color w:val="auto"/>
                <w:lang w:val="tr-TR"/>
              </w:rPr>
              <w:t xml:space="preserve"> </w:t>
            </w:r>
            <w:r w:rsidR="00DA1B0A" w:rsidRPr="00A23740">
              <w:rPr>
                <w:b w:val="0"/>
                <w:color w:val="auto"/>
                <w:lang w:val="tr-TR"/>
              </w:rPr>
              <w:t xml:space="preserve">tüm </w:t>
            </w:r>
            <w:r w:rsidR="002F68F8" w:rsidRPr="00A23740">
              <w:rPr>
                <w:b w:val="0"/>
                <w:color w:val="auto"/>
                <w:lang w:val="tr-TR"/>
              </w:rPr>
              <w:t>ihtimallerin kaz</w:t>
            </w:r>
            <w:r w:rsidR="006A55D8" w:rsidRPr="00A23740">
              <w:rPr>
                <w:b w:val="0"/>
                <w:color w:val="auto"/>
                <w:lang w:val="tr-TR"/>
              </w:rPr>
              <w:t>ü</w:t>
            </w:r>
            <w:r w:rsidR="002F68F8" w:rsidRPr="00A23740">
              <w:rPr>
                <w:b w:val="0"/>
                <w:color w:val="auto"/>
                <w:lang w:val="tr-TR"/>
              </w:rPr>
              <w:t>istik</w:t>
            </w:r>
            <w:r w:rsidR="00DA1B0A" w:rsidRPr="00A23740">
              <w:rPr>
                <w:b w:val="0"/>
                <w:color w:val="auto"/>
                <w:lang w:val="tr-TR"/>
              </w:rPr>
              <w:t xml:space="preserve"> bir</w:t>
            </w:r>
            <w:r w:rsidR="002F68F8" w:rsidRPr="00A23740">
              <w:rPr>
                <w:b w:val="0"/>
                <w:color w:val="auto"/>
                <w:lang w:val="tr-TR"/>
              </w:rPr>
              <w:t xml:space="preserve"> şekilde madde metnine yazılması, kanun yapma tekniği bakımından </w:t>
            </w:r>
            <w:r w:rsidR="00DA1B0A" w:rsidRPr="00A23740">
              <w:rPr>
                <w:b w:val="0"/>
                <w:color w:val="auto"/>
                <w:lang w:val="tr-TR"/>
              </w:rPr>
              <w:t>tercih edilmemektedir</w:t>
            </w:r>
            <w:r w:rsidR="002F68F8" w:rsidRPr="00A23740">
              <w:rPr>
                <w:b w:val="0"/>
                <w:color w:val="auto"/>
                <w:lang w:val="tr-TR"/>
              </w:rPr>
              <w:t>.</w:t>
            </w:r>
          </w:p>
          <w:p w:rsidR="00DA1B0A" w:rsidRPr="00A23740" w:rsidRDefault="00DA1B0A" w:rsidP="009431FF">
            <w:pPr>
              <w:pStyle w:val="Mavi"/>
              <w:ind w:firstLine="709"/>
            </w:pPr>
            <w:r w:rsidRPr="00A23740">
              <w:rPr>
                <w:b w:val="0"/>
                <w:color w:val="auto"/>
                <w:lang w:val="tr-TR"/>
              </w:rPr>
              <w:t>Dördüncü fıkrayla</w:t>
            </w:r>
            <w:r w:rsidR="002F68F8" w:rsidRPr="00A23740">
              <w:rPr>
                <w:b w:val="0"/>
                <w:color w:val="auto"/>
                <w:lang w:val="tr-TR"/>
              </w:rPr>
              <w:t>, üçüncü kişilerin iyiniyetle kazandıkları hakların saklı kalacağı</w:t>
            </w:r>
            <w:r w:rsidRPr="00A23740">
              <w:rPr>
                <w:b w:val="0"/>
                <w:color w:val="auto"/>
                <w:lang w:val="tr-TR"/>
              </w:rPr>
              <w:t>na dair 2004 sayılı Kanunun 40 ıncı maddesinin üçüncü fıkrasında yer alan</w:t>
            </w:r>
            <w:r w:rsidR="002F68F8" w:rsidRPr="00A23740">
              <w:rPr>
                <w:b w:val="0"/>
                <w:color w:val="auto"/>
                <w:lang w:val="tr-TR"/>
              </w:rPr>
              <w:t xml:space="preserve"> ilke korunm</w:t>
            </w:r>
            <w:r w:rsidRPr="00A23740">
              <w:rPr>
                <w:b w:val="0"/>
                <w:color w:val="auto"/>
                <w:lang w:val="tr-TR"/>
              </w:rPr>
              <w:t>aktadır</w:t>
            </w:r>
            <w:r w:rsidR="002F68F8" w:rsidRPr="00A23740">
              <w:rPr>
                <w:b w:val="0"/>
                <w:color w:val="auto"/>
                <w:lang w:val="tr-TR"/>
              </w:rPr>
              <w:t>.</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b/>
                <w:bCs/>
                <w:strike/>
                <w:color w:val="FF0000"/>
                <w:szCs w:val="24"/>
                <w:lang w:eastAsia="tr-TR"/>
              </w:rPr>
            </w:pPr>
            <w:r w:rsidRPr="00A23740">
              <w:rPr>
                <w:rFonts w:eastAsia="Times New Roman"/>
                <w:szCs w:val="24"/>
                <w:lang w:eastAsia="tr-TR"/>
              </w:rPr>
              <w:t>İcranın geri bırakılması</w:t>
            </w:r>
            <w:r w:rsidRPr="00A23740">
              <w:rPr>
                <w:b/>
                <w:bCs/>
                <w:strike/>
                <w:color w:val="FF0000"/>
                <w:szCs w:val="24"/>
                <w:lang w:eastAsia="tr-TR"/>
              </w:rPr>
              <w:t> :</w:t>
            </w:r>
          </w:p>
          <w:p w:rsidR="00155AF4" w:rsidRPr="00A23740" w:rsidRDefault="00155AF4" w:rsidP="009431FF">
            <w:pPr>
              <w:tabs>
                <w:tab w:val="left" w:pos="567"/>
                <w:tab w:val="right" w:pos="6520"/>
              </w:tabs>
              <w:rPr>
                <w:rFonts w:eastAsia="Times New Roman"/>
                <w:szCs w:val="24"/>
                <w:lang w:eastAsia="tr-TR"/>
              </w:rPr>
            </w:pPr>
            <w:r w:rsidRPr="00A23740">
              <w:rPr>
                <w:rStyle w:val="KIRMIZIChar"/>
                <w:rFonts w:eastAsia="Calibri"/>
              </w:rPr>
              <w:t>Madde 33 – (1) (Değişik</w:t>
            </w:r>
            <w:r w:rsidRPr="00A23740">
              <w:rPr>
                <w:rFonts w:eastAsia="Times New Roman"/>
                <w:b/>
                <w:bCs/>
                <w:strike/>
                <w:color w:val="FF0000"/>
                <w:szCs w:val="24"/>
                <w:lang w:eastAsia="tr-TR"/>
              </w:rPr>
              <w:t> : 18/2/1965 – 538/17 md.)</w:t>
            </w:r>
          </w:p>
          <w:p w:rsidR="00155AF4" w:rsidRDefault="00155AF4" w:rsidP="009431FF">
            <w:pPr>
              <w:tabs>
                <w:tab w:val="left" w:pos="567"/>
                <w:tab w:val="right" w:pos="6520"/>
              </w:tabs>
              <w:rPr>
                <w:rFonts w:eastAsia="Times New Roman"/>
                <w:b/>
                <w:bCs/>
                <w:strike/>
                <w:color w:val="FF0000"/>
                <w:szCs w:val="24"/>
                <w:lang w:eastAsia="tr-TR"/>
              </w:rPr>
            </w:pPr>
            <w:r w:rsidRPr="00A23740">
              <w:rPr>
                <w:rFonts w:eastAsia="Times New Roman"/>
                <w:szCs w:val="24"/>
                <w:lang w:eastAsia="tr-TR"/>
              </w:rPr>
              <w:t xml:space="preserve">İcra emrinin tebliği </w:t>
            </w:r>
            <w:r w:rsidRPr="00A23740">
              <w:rPr>
                <w:rStyle w:val="KIRMIZIChar"/>
                <w:rFonts w:eastAsia="Calibri"/>
              </w:rPr>
              <w:t>üzerine</w:t>
            </w:r>
            <w:r w:rsidRPr="00A23740">
              <w:rPr>
                <w:rFonts w:eastAsia="Times New Roman"/>
                <w:szCs w:val="24"/>
                <w:lang w:eastAsia="tr-TR"/>
              </w:rPr>
              <w:t xml:space="preserve"> </w:t>
            </w:r>
            <w:r w:rsidRPr="00A23740">
              <w:rPr>
                <w:rFonts w:eastAsia="Times New Roman"/>
                <w:b/>
                <w:bCs/>
                <w:strike/>
                <w:color w:val="FF0000"/>
                <w:szCs w:val="24"/>
                <w:lang w:eastAsia="tr-TR"/>
              </w:rPr>
              <w:t>b</w:t>
            </w:r>
            <w:r w:rsidRPr="00A23740">
              <w:rPr>
                <w:rFonts w:eastAsia="Times New Roman"/>
                <w:szCs w:val="24"/>
                <w:lang w:eastAsia="tr-TR"/>
              </w:rPr>
              <w:t xml:space="preserve">orçlu </w:t>
            </w:r>
            <w:r w:rsidRPr="00A23740">
              <w:rPr>
                <w:rFonts w:eastAsia="Times New Roman"/>
                <w:b/>
                <w:bCs/>
                <w:strike/>
                <w:color w:val="FF0000"/>
                <w:szCs w:val="24"/>
                <w:lang w:eastAsia="tr-TR"/>
              </w:rPr>
              <w:t>yedi gün</w:t>
            </w:r>
            <w:r w:rsidRPr="00A23740">
              <w:rPr>
                <w:rFonts w:eastAsia="Times New Roman"/>
                <w:szCs w:val="24"/>
                <w:lang w:eastAsia="tr-TR"/>
              </w:rPr>
              <w:t xml:space="preserve"> içinde dilekçe ile icra mahkemesine başvurarak borcun  zamanaşımına uğradığı </w:t>
            </w:r>
            <w:r w:rsidRPr="00A23740">
              <w:rPr>
                <w:rFonts w:eastAsia="Times New Roman"/>
                <w:b/>
                <w:bCs/>
                <w:strike/>
                <w:color w:val="FF0000"/>
                <w:szCs w:val="24"/>
                <w:lang w:eastAsia="tr-TR"/>
              </w:rPr>
              <w:t xml:space="preserve">veya imhal veya </w:t>
            </w:r>
            <w:r w:rsidRPr="00A23740">
              <w:rPr>
                <w:rFonts w:eastAsia="Times New Roman"/>
                <w:szCs w:val="24"/>
                <w:lang w:eastAsia="tr-TR"/>
              </w:rPr>
              <w:t xml:space="preserve">itfa edildiği </w:t>
            </w:r>
            <w:r w:rsidRPr="00A23740">
              <w:rPr>
                <w:rFonts w:eastAsia="Times New Roman"/>
                <w:b/>
                <w:bCs/>
                <w:strike/>
                <w:color w:val="FF0000"/>
                <w:szCs w:val="24"/>
                <w:lang w:eastAsia="tr-TR"/>
              </w:rPr>
              <w:t>itirazında bulunabilir</w:t>
            </w:r>
            <w:r w:rsidRPr="00A23740">
              <w:rPr>
                <w:rFonts w:eastAsia="Times New Roman"/>
                <w:szCs w:val="24"/>
                <w:lang w:eastAsia="tr-TR"/>
              </w:rPr>
              <w:t xml:space="preserve">. </w:t>
            </w:r>
            <w:r w:rsidRPr="00A23740">
              <w:rPr>
                <w:rFonts w:eastAsia="Times New Roman"/>
                <w:b/>
                <w:bCs/>
                <w:strike/>
                <w:color w:val="FF0000"/>
                <w:szCs w:val="24"/>
                <w:lang w:eastAsia="tr-TR"/>
              </w:rPr>
              <w:t>İtfa veya imha</w:t>
            </w:r>
            <w:r w:rsidRPr="00A23740">
              <w:rPr>
                <w:rFonts w:eastAsia="Times New Roman"/>
                <w:szCs w:val="24"/>
                <w:lang w:eastAsia="tr-TR"/>
              </w:rPr>
              <w:t xml:space="preserve"> </w:t>
            </w:r>
            <w:r w:rsidRPr="00A23740">
              <w:rPr>
                <w:rFonts w:eastAsia="Times New Roman"/>
                <w:b/>
                <w:bCs/>
                <w:strike/>
                <w:color w:val="FF0000"/>
                <w:szCs w:val="24"/>
                <w:lang w:eastAsia="tr-TR"/>
              </w:rPr>
              <w:t xml:space="preserve">iddiası </w:t>
            </w:r>
            <w:r w:rsidRPr="00A23740">
              <w:rPr>
                <w:rFonts w:eastAsia="Times New Roman"/>
                <w:szCs w:val="24"/>
                <w:lang w:eastAsia="tr-TR"/>
              </w:rPr>
              <w:t xml:space="preserve">yetkili mercilerce re’sen </w:t>
            </w:r>
            <w:r w:rsidRPr="00A23740">
              <w:rPr>
                <w:rFonts w:eastAsia="Times New Roman"/>
                <w:b/>
                <w:bCs/>
                <w:strike/>
                <w:color w:val="FF0000"/>
                <w:szCs w:val="24"/>
                <w:lang w:eastAsia="tr-TR"/>
              </w:rPr>
              <w:t xml:space="preserve">yapılmış veya </w:t>
            </w:r>
            <w:r w:rsidRPr="00A23740">
              <w:rPr>
                <w:rFonts w:eastAsia="Times New Roman"/>
                <w:szCs w:val="24"/>
                <w:lang w:eastAsia="tr-TR"/>
              </w:rPr>
              <w:t>usulüne göre</w:t>
            </w:r>
            <w:r w:rsidRPr="00A23740">
              <w:rPr>
                <w:rFonts w:eastAsia="Times New Roman"/>
                <w:b/>
                <w:bCs/>
                <w:strike/>
                <w:color w:val="FF0000"/>
                <w:szCs w:val="24"/>
                <w:lang w:eastAsia="tr-TR"/>
              </w:rPr>
              <w:t xml:space="preserve"> tasdik edilmiş yahut </w:t>
            </w:r>
            <w:r w:rsidRPr="00A23740">
              <w:rPr>
                <w:rFonts w:eastAsia="Times New Roman"/>
                <w:szCs w:val="24"/>
                <w:lang w:eastAsia="tr-TR"/>
              </w:rPr>
              <w:t>icra dairesi</w:t>
            </w:r>
            <w:r w:rsidRPr="00A23740">
              <w:rPr>
                <w:rFonts w:eastAsia="Times New Roman"/>
                <w:b/>
                <w:bCs/>
                <w:strike/>
                <w:color w:val="FF0000"/>
                <w:szCs w:val="24"/>
                <w:lang w:eastAsia="tr-TR"/>
              </w:rPr>
              <w:t xml:space="preserve">nde </w:t>
            </w:r>
            <w:r w:rsidRPr="00A23740">
              <w:rPr>
                <w:rFonts w:eastAsia="Times New Roman"/>
                <w:szCs w:val="24"/>
                <w:lang w:eastAsia="tr-TR"/>
              </w:rPr>
              <w:t>veya</w:t>
            </w:r>
            <w:r w:rsidRPr="00A23740">
              <w:rPr>
                <w:rFonts w:eastAsia="Times New Roman"/>
                <w:b/>
                <w:bCs/>
                <w:strike/>
                <w:color w:val="FF0000"/>
                <w:szCs w:val="24"/>
                <w:lang w:eastAsia="tr-TR"/>
              </w:rPr>
              <w:t xml:space="preserve"> icra mahkemesinde veya </w:t>
            </w:r>
            <w:r w:rsidRPr="00A23740">
              <w:rPr>
                <w:rFonts w:eastAsia="Times New Roman"/>
                <w:szCs w:val="24"/>
                <w:lang w:eastAsia="tr-TR"/>
              </w:rPr>
              <w:t xml:space="preserve">mahkeme </w:t>
            </w:r>
            <w:r w:rsidRPr="00A23740">
              <w:rPr>
                <w:rFonts w:eastAsia="Times New Roman"/>
                <w:szCs w:val="24"/>
                <w:lang w:eastAsia="tr-TR"/>
              </w:rPr>
              <w:lastRenderedPageBreak/>
              <w:t>önünde ikrar</w:t>
            </w:r>
            <w:r w:rsidRPr="00A23740">
              <w:rPr>
                <w:rFonts w:eastAsia="Times New Roman"/>
                <w:b/>
                <w:bCs/>
                <w:strike/>
                <w:color w:val="FF0000"/>
                <w:szCs w:val="24"/>
                <w:lang w:eastAsia="tr-TR"/>
              </w:rPr>
              <w:t xml:space="preserve"> olunmuş senetle tevsik edildiği </w:t>
            </w:r>
            <w:r w:rsidRPr="00A23740">
              <w:rPr>
                <w:rFonts w:eastAsia="Times New Roman"/>
                <w:szCs w:val="24"/>
                <w:lang w:eastAsia="tr-TR"/>
              </w:rPr>
              <w:t>takdirde</w:t>
            </w:r>
            <w:r w:rsidRPr="00A23740">
              <w:rPr>
                <w:rFonts w:eastAsia="Times New Roman"/>
                <w:b/>
                <w:bCs/>
                <w:strike/>
                <w:color w:val="FF0000"/>
                <w:szCs w:val="24"/>
                <w:lang w:eastAsia="tr-TR"/>
              </w:rPr>
              <w:t xml:space="preserve"> icra geri bırakılır.</w:t>
            </w:r>
          </w:p>
          <w:p w:rsidR="002060A9" w:rsidRPr="00A23740" w:rsidRDefault="002060A9"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r w:rsidRPr="00A23740">
              <w:rPr>
                <w:rStyle w:val="KIRMIZIChar"/>
                <w:rFonts w:eastAsia="Calibri"/>
              </w:rPr>
              <w:t>(2)</w:t>
            </w:r>
            <w:r w:rsidRPr="00C20C8B">
              <w:rPr>
                <w:rStyle w:val="KIRMIZIChar"/>
                <w:rFonts w:eastAsia="Calibri"/>
                <w:strike w:val="0"/>
              </w:rPr>
              <w:t xml:space="preserve"> </w:t>
            </w:r>
            <w:r w:rsidRPr="00A23740">
              <w:rPr>
                <w:rFonts w:eastAsia="Times New Roman"/>
                <w:szCs w:val="24"/>
                <w:lang w:eastAsia="tr-TR"/>
              </w:rPr>
              <w:t>İcra emrinin tebliğinden sonra</w:t>
            </w:r>
            <w:r w:rsidRPr="00A23740">
              <w:rPr>
                <w:rFonts w:eastAsia="Times New Roman"/>
                <w:b/>
                <w:bCs/>
                <w:strike/>
                <w:color w:val="FF0000"/>
                <w:szCs w:val="24"/>
                <w:lang w:eastAsia="tr-TR"/>
              </w:rPr>
              <w:t>ki</w:t>
            </w:r>
            <w:r w:rsidRPr="00A23740">
              <w:rPr>
                <w:rFonts w:eastAsia="Times New Roman"/>
                <w:szCs w:val="24"/>
                <w:lang w:eastAsia="tr-TR"/>
              </w:rPr>
              <w:t xml:space="preserve"> devrede </w:t>
            </w:r>
            <w:r w:rsidRPr="00A23740">
              <w:rPr>
                <w:rFonts w:eastAsia="Times New Roman"/>
                <w:b/>
                <w:bCs/>
                <w:strike/>
                <w:color w:val="FF0000"/>
                <w:szCs w:val="24"/>
                <w:lang w:eastAsia="tr-TR"/>
              </w:rPr>
              <w:t>tahakkuk etmiş</w:t>
            </w:r>
            <w:r w:rsidRPr="00A23740">
              <w:rPr>
                <w:rFonts w:eastAsia="Times New Roman"/>
                <w:szCs w:val="24"/>
                <w:lang w:eastAsia="tr-TR"/>
              </w:rPr>
              <w:t xml:space="preserve"> itfa, </w:t>
            </w:r>
            <w:r w:rsidRPr="00A23740">
              <w:rPr>
                <w:rFonts w:eastAsia="Times New Roman"/>
                <w:b/>
                <w:bCs/>
                <w:strike/>
                <w:color w:val="FF0000"/>
                <w:szCs w:val="24"/>
                <w:lang w:eastAsia="tr-TR"/>
              </w:rPr>
              <w:t>imhal</w:t>
            </w:r>
            <w:r w:rsidRPr="00A23740">
              <w:rPr>
                <w:rFonts w:eastAsia="Times New Roman"/>
                <w:szCs w:val="24"/>
                <w:lang w:eastAsia="tr-TR"/>
              </w:rPr>
              <w:t xml:space="preserve">, veya zamanaşımına </w:t>
            </w:r>
            <w:r w:rsidRPr="00A23740">
              <w:rPr>
                <w:rFonts w:eastAsia="Times New Roman"/>
                <w:b/>
                <w:bCs/>
                <w:strike/>
                <w:color w:val="FF0000"/>
                <w:szCs w:val="24"/>
                <w:lang w:eastAsia="tr-TR"/>
              </w:rPr>
              <w:t>dayanan geri bırakma istekleri</w:t>
            </w:r>
            <w:r w:rsidRPr="00A23740">
              <w:rPr>
                <w:rFonts w:eastAsia="Times New Roman"/>
                <w:szCs w:val="24"/>
                <w:lang w:eastAsia="tr-TR"/>
              </w:rPr>
              <w:t xml:space="preserve"> her zaman </w:t>
            </w:r>
            <w:r w:rsidRPr="00A23740">
              <w:rPr>
                <w:rFonts w:eastAsia="Times New Roman"/>
                <w:b/>
                <w:bCs/>
                <w:strike/>
                <w:color w:val="FF0000"/>
                <w:szCs w:val="24"/>
                <w:lang w:eastAsia="tr-TR"/>
              </w:rPr>
              <w:t>yapılabilir. Bunlardan itfa veya imhale dayanan istekler mutlaka noterlikçe re’sen yapılmış veya tasdik olunmuş belgelere veya icra zaptına istinat ettirilmelidir.</w:t>
            </w: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Default="00155AF4" w:rsidP="009431FF">
            <w:pPr>
              <w:pStyle w:val="KIRMIZI"/>
            </w:pPr>
          </w:p>
          <w:p w:rsidR="00C20C8B" w:rsidRPr="00C20C8B" w:rsidRDefault="00C20C8B" w:rsidP="009431FF">
            <w:pPr>
              <w:pStyle w:val="KIRMIZI"/>
            </w:pPr>
          </w:p>
          <w:p w:rsidR="00155AF4" w:rsidRPr="00C20C8B" w:rsidRDefault="00155AF4" w:rsidP="009431FF">
            <w:pPr>
              <w:pStyle w:val="KIRMIZI"/>
            </w:pPr>
            <w:r w:rsidRPr="00C20C8B">
              <w:t>İlamın zamanaşımına uğradığı iddiası :</w:t>
            </w:r>
          </w:p>
          <w:p w:rsidR="00155AF4" w:rsidRPr="00C20C8B" w:rsidRDefault="00155AF4" w:rsidP="009431FF">
            <w:pPr>
              <w:pStyle w:val="KIRMIZI"/>
            </w:pPr>
            <w:r w:rsidRPr="00C20C8B">
              <w:t>Madde 33/a – (1) (Ek: 18/2/1965-538/18 md.)</w:t>
            </w:r>
          </w:p>
          <w:p w:rsidR="00155AF4" w:rsidRPr="00C20C8B" w:rsidRDefault="00155AF4" w:rsidP="009431FF">
            <w:pPr>
              <w:pStyle w:val="KIRMIZI"/>
              <w:rPr>
                <w:rStyle w:val="KIRMIZIChar"/>
                <w:rFonts w:eastAsia="Calibri"/>
                <w:b/>
                <w:bCs/>
                <w:strike/>
              </w:rPr>
            </w:pPr>
            <w:r w:rsidRPr="00C20C8B">
              <w:t xml:space="preserve">İlamın zamanaşımına uğradığı veya zamanaşımının kesildiği </w:t>
            </w:r>
            <w:r w:rsidRPr="00C20C8B">
              <w:rPr>
                <w:rStyle w:val="KIRMIZIChar"/>
                <w:rFonts w:eastAsia="Calibri"/>
                <w:b/>
                <w:bCs/>
                <w:strike/>
              </w:rPr>
              <w:t>veya tatile</w:t>
            </w:r>
            <w:r w:rsidRPr="00C20C8B">
              <w:t xml:space="preserve"> </w:t>
            </w:r>
            <w:r w:rsidRPr="00C20C8B">
              <w:rPr>
                <w:rStyle w:val="KIRMIZIChar"/>
                <w:rFonts w:eastAsia="Calibri"/>
                <w:b/>
                <w:bCs/>
                <w:strike/>
              </w:rPr>
              <w:t xml:space="preserve">uğradığı </w:t>
            </w:r>
            <w:r w:rsidRPr="00C20C8B">
              <w:t xml:space="preserve">iddiaları icra mahkemesi tarafından resmi </w:t>
            </w:r>
            <w:r w:rsidRPr="00C20C8B">
              <w:rPr>
                <w:rStyle w:val="KIRMIZIChar"/>
                <w:rFonts w:eastAsia="Calibri"/>
                <w:b/>
                <w:bCs/>
                <w:strike/>
              </w:rPr>
              <w:t>vesikalara</w:t>
            </w:r>
            <w:r w:rsidRPr="00C20C8B">
              <w:t xml:space="preserve"> </w:t>
            </w:r>
            <w:r w:rsidRPr="00C20C8B">
              <w:rPr>
                <w:rStyle w:val="KIRMIZIChar"/>
                <w:rFonts w:eastAsia="Calibri"/>
                <w:b/>
                <w:bCs/>
                <w:strike/>
              </w:rPr>
              <w:t>müsteniden</w:t>
            </w:r>
            <w:r w:rsidRPr="00C20C8B">
              <w:t xml:space="preserve"> incelen</w:t>
            </w:r>
            <w:r w:rsidRPr="00C20C8B">
              <w:rPr>
                <w:rStyle w:val="KIRMIZIChar"/>
                <w:rFonts w:eastAsia="Calibri"/>
                <w:b/>
                <w:bCs/>
                <w:strike/>
              </w:rPr>
              <w:t>erek icranın geri bırakılmasına veya devamına karar verilir.</w:t>
            </w:r>
          </w:p>
          <w:p w:rsidR="00155AF4" w:rsidRPr="00A23740" w:rsidRDefault="00155AF4" w:rsidP="009431FF">
            <w:pPr>
              <w:tabs>
                <w:tab w:val="left" w:pos="567"/>
                <w:tab w:val="right" w:pos="6520"/>
              </w:tabs>
              <w:rPr>
                <w:rFonts w:eastAsia="Times New Roman"/>
                <w:szCs w:val="24"/>
                <w:lang w:eastAsia="tr-TR"/>
              </w:rPr>
            </w:pPr>
          </w:p>
          <w:p w:rsidR="00155AF4" w:rsidRPr="00A23740" w:rsidRDefault="00155AF4" w:rsidP="009431FF">
            <w:pPr>
              <w:pStyle w:val="KIRMIZI"/>
              <w:rPr>
                <w:lang w:val="tr-TR" w:eastAsia="tr-TR"/>
              </w:rPr>
            </w:pPr>
            <w:r w:rsidRPr="00A23740">
              <w:rPr>
                <w:lang w:val="tr-TR" w:eastAsia="tr-TR"/>
              </w:rPr>
              <w:t>(2) Alacaklı, icranın geri bırakılması kararının kesinleştiğinin kendisine tebliğinden sonra, zamanaşımının vakı olmadığını ispat sadedinde ve 7 gün içinde umumi mahkemelerde dava açabilir. Aksi takdirde icrası istenen ilamın zamanaşımına uğradığı hususu kesin hüküm teşkil eder.</w:t>
            </w:r>
          </w:p>
          <w:p w:rsidR="00155AF4" w:rsidRPr="00A23740" w:rsidRDefault="00155AF4" w:rsidP="009431FF">
            <w:pPr>
              <w:pStyle w:val="KIRMIZI"/>
              <w:rPr>
                <w:lang w:val="tr-TR" w:eastAsia="tr-TR"/>
              </w:rPr>
            </w:pPr>
          </w:p>
          <w:p w:rsidR="00155AF4" w:rsidRPr="00A23740" w:rsidRDefault="00155AF4" w:rsidP="009431FF">
            <w:pPr>
              <w:pStyle w:val="KIRMIZI"/>
              <w:rPr>
                <w:lang w:val="tr-TR" w:eastAsia="tr-TR"/>
              </w:rPr>
            </w:pPr>
            <w:r w:rsidRPr="00A23740">
              <w:rPr>
                <w:lang w:val="tr-TR" w:eastAsia="tr-TR"/>
              </w:rPr>
              <w:t>(3) İcranın devamına karar verilmesi halinde 33 üncü maddenin son fıkrası burada da uygulanır.</w:t>
            </w:r>
          </w:p>
          <w:p w:rsidR="00155AF4" w:rsidRPr="00A23740" w:rsidRDefault="00155AF4" w:rsidP="009431FF">
            <w:pPr>
              <w:tabs>
                <w:tab w:val="left" w:pos="567"/>
                <w:tab w:val="right" w:pos="6520"/>
              </w:tabs>
              <w:rPr>
                <w:rFonts w:eastAsia="Times New Roman"/>
                <w:b/>
                <w:bCs/>
                <w:strike/>
                <w:color w:val="FF0000"/>
                <w:szCs w:val="24"/>
                <w:lang w:eastAsia="tr-TR"/>
              </w:rPr>
            </w:pPr>
          </w:p>
          <w:p w:rsidR="00155AF4" w:rsidRPr="00A23740" w:rsidRDefault="00155AF4" w:rsidP="009431FF">
            <w:pPr>
              <w:tabs>
                <w:tab w:val="left" w:pos="567"/>
                <w:tab w:val="right" w:pos="6520"/>
              </w:tabs>
              <w:rPr>
                <w:rFonts w:eastAsia="Times New Roman"/>
                <w:szCs w:val="24"/>
                <w:lang w:eastAsia="tr-TR"/>
              </w:rPr>
            </w:pPr>
          </w:p>
          <w:p w:rsidR="00155AF4" w:rsidRPr="00A23740" w:rsidRDefault="00155AF4" w:rsidP="009431FF">
            <w:pPr>
              <w:tabs>
                <w:tab w:val="left" w:pos="567"/>
                <w:tab w:val="right" w:pos="6520"/>
              </w:tabs>
              <w:rPr>
                <w:rFonts w:eastAsia="Times New Roman"/>
                <w:szCs w:val="24"/>
                <w:lang w:eastAsia="tr-TR"/>
              </w:rPr>
            </w:pPr>
          </w:p>
          <w:p w:rsidR="00A82AA4" w:rsidRDefault="00A82AA4" w:rsidP="009431FF">
            <w:pPr>
              <w:tabs>
                <w:tab w:val="left" w:pos="567"/>
                <w:tab w:val="right" w:pos="6520"/>
              </w:tabs>
              <w:rPr>
                <w:rStyle w:val="KIRMIZIChar"/>
                <w:rFonts w:eastAsia="Calibri"/>
              </w:rPr>
            </w:pPr>
          </w:p>
          <w:p w:rsidR="006825B0" w:rsidRDefault="006825B0" w:rsidP="009431FF">
            <w:pPr>
              <w:tabs>
                <w:tab w:val="left" w:pos="567"/>
                <w:tab w:val="right" w:pos="6520"/>
              </w:tabs>
              <w:rPr>
                <w:rStyle w:val="KIRMIZIChar"/>
                <w:rFonts w:eastAsia="Calibri"/>
              </w:rPr>
            </w:pPr>
          </w:p>
          <w:p w:rsidR="000748FC" w:rsidRDefault="000748FC" w:rsidP="009431FF">
            <w:pPr>
              <w:tabs>
                <w:tab w:val="left" w:pos="567"/>
                <w:tab w:val="right" w:pos="6520"/>
              </w:tabs>
              <w:rPr>
                <w:rStyle w:val="KIRMIZIChar"/>
                <w:rFonts w:eastAsia="Calibri"/>
              </w:rPr>
            </w:pPr>
          </w:p>
          <w:p w:rsidR="00A82AA4" w:rsidRDefault="00A82AA4" w:rsidP="009431FF">
            <w:pPr>
              <w:tabs>
                <w:tab w:val="left" w:pos="567"/>
                <w:tab w:val="right" w:pos="6520"/>
              </w:tabs>
              <w:rPr>
                <w:rStyle w:val="KIRMIZIChar"/>
                <w:rFonts w:eastAsia="Calibri"/>
              </w:rPr>
            </w:pPr>
          </w:p>
          <w:p w:rsidR="009C5516" w:rsidRPr="00A23740" w:rsidRDefault="009C5516" w:rsidP="009431FF">
            <w:pPr>
              <w:tabs>
                <w:tab w:val="left" w:pos="567"/>
                <w:tab w:val="right" w:pos="6520"/>
              </w:tabs>
              <w:rPr>
                <w:rStyle w:val="KIRMIZIChar"/>
                <w:rFonts w:eastAsia="Calibri"/>
              </w:rPr>
            </w:pPr>
          </w:p>
          <w:p w:rsidR="00155AF4" w:rsidRPr="00A23740" w:rsidRDefault="00155AF4" w:rsidP="009431FF">
            <w:pPr>
              <w:tabs>
                <w:tab w:val="left" w:pos="567"/>
                <w:tab w:val="right" w:pos="6520"/>
              </w:tabs>
              <w:rPr>
                <w:rFonts w:eastAsia="Times New Roman"/>
                <w:b/>
                <w:bCs/>
                <w:strike/>
                <w:color w:val="FF0000"/>
                <w:szCs w:val="24"/>
                <w:lang w:eastAsia="tr-TR"/>
              </w:rPr>
            </w:pPr>
            <w:r w:rsidRPr="00A23740">
              <w:rPr>
                <w:rStyle w:val="KIRMIZIChar"/>
                <w:rFonts w:eastAsia="Calibri"/>
              </w:rPr>
              <w:t>(4)</w:t>
            </w:r>
            <w:r w:rsidRPr="00A23740">
              <w:rPr>
                <w:rStyle w:val="KIRMIZIChar"/>
                <w:rFonts w:eastAsia="Calibri"/>
                <w:b w:val="0"/>
                <w:strike w:val="0"/>
              </w:rPr>
              <w:t xml:space="preserve"> </w:t>
            </w:r>
            <w:r w:rsidRPr="00A23740">
              <w:rPr>
                <w:rFonts w:eastAsia="Times New Roman"/>
                <w:szCs w:val="24"/>
                <w:lang w:eastAsia="tr-TR"/>
              </w:rPr>
              <w:t xml:space="preserve">İcra mahkemesi, geri bırakılma talebini reddettiği takdirde borçlu ancak istinaf veya temyiz yoluna başvuru süresi içinde alacağı </w:t>
            </w:r>
            <w:r w:rsidRPr="00A23740">
              <w:rPr>
                <w:rFonts w:eastAsia="Times New Roman"/>
                <w:bCs/>
                <w:lang w:eastAsia="tr-TR"/>
              </w:rPr>
              <w:t>karşıl</w:t>
            </w:r>
            <w:r w:rsidRPr="00A23740">
              <w:rPr>
                <w:rStyle w:val="KIRMIZIChar"/>
                <w:rFonts w:eastAsia="Calibri"/>
              </w:rPr>
              <w:t>ı</w:t>
            </w:r>
            <w:r w:rsidRPr="00A23740">
              <w:rPr>
                <w:rFonts w:eastAsia="Times New Roman"/>
                <w:lang w:eastAsia="tr-TR"/>
              </w:rPr>
              <w:t>yacak</w:t>
            </w:r>
            <w:r w:rsidRPr="00A23740">
              <w:rPr>
                <w:rFonts w:eastAsia="Times New Roman"/>
                <w:bCs/>
                <w:lang w:eastAsia="tr-TR"/>
              </w:rPr>
              <w:t xml:space="preserve"> </w:t>
            </w:r>
            <w:r w:rsidRPr="00A23740">
              <w:rPr>
                <w:rFonts w:eastAsia="Times New Roman"/>
                <w:szCs w:val="24"/>
                <w:lang w:eastAsia="tr-TR"/>
              </w:rPr>
              <w:t xml:space="preserve">nakit </w:t>
            </w:r>
            <w:r w:rsidRPr="00A23740">
              <w:rPr>
                <w:rStyle w:val="KIRMIZIChar"/>
                <w:rFonts w:eastAsia="Calibri"/>
              </w:rPr>
              <w:t>veya</w:t>
            </w:r>
            <w:r w:rsidRPr="00A23740">
              <w:rPr>
                <w:rFonts w:eastAsia="Times New Roman"/>
                <w:szCs w:val="24"/>
                <w:lang w:eastAsia="tr-TR"/>
              </w:rPr>
              <w:t xml:space="preserve"> icra mahkemesince kabul edilecek taşınır </w:t>
            </w:r>
            <w:r w:rsidRPr="00A23740">
              <w:rPr>
                <w:rStyle w:val="KIRMIZIChar"/>
                <w:rFonts w:eastAsia="Calibri"/>
              </w:rPr>
              <w:t>rehin</w:t>
            </w:r>
            <w:r w:rsidRPr="00A23740">
              <w:rPr>
                <w:rFonts w:eastAsia="Times New Roman"/>
                <w:szCs w:val="24"/>
                <w:lang w:eastAsia="tr-TR"/>
              </w:rPr>
              <w:t xml:space="preserve"> </w:t>
            </w:r>
            <w:r w:rsidRPr="00A23740">
              <w:rPr>
                <w:rStyle w:val="KIRMIZIChar"/>
                <w:rFonts w:eastAsia="Calibri"/>
              </w:rPr>
              <w:t xml:space="preserve">veya </w:t>
            </w:r>
            <w:r w:rsidRPr="00A23740">
              <w:rPr>
                <w:rStyle w:val="KIRMIZIChar"/>
                <w:rFonts w:eastAsia="Calibri"/>
                <w:bCs w:val="0"/>
              </w:rPr>
              <w:t>esham</w:t>
            </w:r>
            <w:r w:rsidRPr="00A23740">
              <w:rPr>
                <w:rStyle w:val="KIRMIZIChar"/>
                <w:rFonts w:eastAsia="Calibri"/>
              </w:rPr>
              <w:t xml:space="preserve"> veya tahvilat</w:t>
            </w:r>
            <w:r w:rsidRPr="00A23740">
              <w:rPr>
                <w:rFonts w:eastAsia="Times New Roman"/>
                <w:szCs w:val="24"/>
                <w:lang w:eastAsia="tr-TR"/>
              </w:rPr>
              <w:t xml:space="preserve"> veya taşınmaz rehni</w:t>
            </w:r>
            <w:r w:rsidRPr="00A23740">
              <w:rPr>
                <w:rStyle w:val="KIRMIZIChar"/>
                <w:rFonts w:eastAsia="Calibri"/>
              </w:rPr>
              <w:t xml:space="preserve"> yahut muteber bir banka</w:t>
            </w:r>
            <w:r w:rsidRPr="00A23740">
              <w:rPr>
                <w:rFonts w:eastAsia="Times New Roman"/>
                <w:szCs w:val="24"/>
                <w:lang w:eastAsia="tr-TR"/>
              </w:rPr>
              <w:t xml:space="preserve"> </w:t>
            </w:r>
            <w:r w:rsidRPr="00A23740">
              <w:rPr>
                <w:rFonts w:eastAsia="Times New Roman"/>
                <w:b/>
                <w:bCs/>
                <w:strike/>
                <w:color w:val="FF0000"/>
                <w:szCs w:val="24"/>
                <w:lang w:eastAsia="tr-TR"/>
              </w:rPr>
              <w:t>kefaleti</w:t>
            </w:r>
            <w:r w:rsidRPr="00A23740">
              <w:rPr>
                <w:rFonts w:eastAsia="Times New Roman"/>
                <w:szCs w:val="24"/>
                <w:lang w:eastAsia="tr-TR"/>
              </w:rPr>
              <w:t xml:space="preserve"> göstermek şart</w:t>
            </w:r>
            <w:r w:rsidRPr="00A23740">
              <w:rPr>
                <w:rFonts w:eastAsia="Times New Roman"/>
                <w:b/>
                <w:bCs/>
                <w:strike/>
                <w:color w:val="FF0000"/>
                <w:szCs w:val="24"/>
                <w:lang w:eastAsia="tr-TR"/>
              </w:rPr>
              <w:t>i</w:t>
            </w:r>
            <w:r w:rsidRPr="00A23740">
              <w:rPr>
                <w:rFonts w:eastAsia="Times New Roman"/>
                <w:szCs w:val="24"/>
                <w:lang w:eastAsia="tr-TR"/>
              </w:rPr>
              <w:t>yl</w:t>
            </w:r>
            <w:r w:rsidRPr="00A23740">
              <w:rPr>
                <w:rFonts w:eastAsia="Times New Roman"/>
                <w:b/>
                <w:bCs/>
                <w:strike/>
                <w:color w:val="FF0000"/>
                <w:szCs w:val="24"/>
                <w:lang w:eastAsia="tr-TR"/>
              </w:rPr>
              <w:t>e</w:t>
            </w:r>
            <w:r w:rsidRPr="00A23740">
              <w:rPr>
                <w:rFonts w:eastAsia="Times New Roman"/>
                <w:szCs w:val="24"/>
                <w:lang w:eastAsia="tr-TR"/>
              </w:rPr>
              <w:t xml:space="preserve"> istinaf veya temyiz yoluna başvurabilir. </w:t>
            </w:r>
            <w:r w:rsidRPr="00A23740">
              <w:rPr>
                <w:rFonts w:eastAsia="Times New Roman"/>
                <w:b/>
                <w:bCs/>
                <w:strike/>
                <w:color w:val="FF0000"/>
                <w:szCs w:val="24"/>
                <w:lang w:eastAsia="tr-TR"/>
              </w:rPr>
              <w:t>Borçlunun yeter malı mahcuz ise veya borçlunun talebi üzerine istinaf veya temyiz yoluna başvuru süresi içinde yeter malı haczedilmişse bu fıkrada yazılı teminatı göstermeye lüzum yoktur.</w:t>
            </w:r>
          </w:p>
          <w:p w:rsidR="00155AF4" w:rsidRPr="00A23740" w:rsidRDefault="00155AF4" w:rsidP="009431FF">
            <w:pPr>
              <w:tabs>
                <w:tab w:val="left" w:pos="567"/>
                <w:tab w:val="right" w:pos="6520"/>
              </w:tabs>
              <w:rPr>
                <w:rFonts w:eastAsia="Times New Roman"/>
                <w:szCs w:val="24"/>
                <w:lang w:eastAsia="tr-TR"/>
              </w:rPr>
            </w:pPr>
          </w:p>
          <w:p w:rsidR="00155AF4" w:rsidRDefault="00155AF4" w:rsidP="009431FF">
            <w:pPr>
              <w:rPr>
                <w:b/>
                <w:bCs/>
                <w:strike/>
                <w:color w:val="FF0000"/>
                <w:szCs w:val="24"/>
                <w:lang w:eastAsia="tr-TR"/>
              </w:rPr>
            </w:pPr>
            <w:r w:rsidRPr="00A23740">
              <w:rPr>
                <w:b/>
                <w:bCs/>
                <w:strike/>
                <w:color w:val="FF0000"/>
                <w:szCs w:val="24"/>
                <w:lang w:eastAsia="tr-TR"/>
              </w:rPr>
              <w:t>(5) Borçlu olmadığı parayı ödemek mecburiyetinde kalan borçlunun 72 nci madde mucibince istirdat davası açarak paranın geriye verilmesini istemek hakkı saklıdır.</w:t>
            </w:r>
          </w:p>
          <w:p w:rsidR="002060A9" w:rsidRPr="00A23740" w:rsidRDefault="002060A9" w:rsidP="009431FF">
            <w:pPr>
              <w:rPr>
                <w:b/>
                <w:bCs/>
                <w:strike/>
                <w:color w:val="FF0000"/>
                <w:szCs w:val="24"/>
                <w:lang w:eastAsia="tr-TR"/>
              </w:rPr>
            </w:pPr>
          </w:p>
        </w:tc>
        <w:tc>
          <w:tcPr>
            <w:tcW w:w="2500" w:type="pct"/>
          </w:tcPr>
          <w:p w:rsidR="00155AF4" w:rsidRPr="00A23740" w:rsidRDefault="00155AF4" w:rsidP="009431FF">
            <w:pPr>
              <w:pStyle w:val="Mavi"/>
              <w:rPr>
                <w:lang w:val="tr-TR"/>
              </w:rPr>
            </w:pPr>
            <w:r w:rsidRPr="00A23740">
              <w:lastRenderedPageBreak/>
              <w:t xml:space="preserve">Borcun itfası, zamanaşımına uğraması veya borçluya süre verilmesi nedeniyle takibin iptali </w:t>
            </w:r>
            <w:r w:rsidR="005F2336" w:rsidRPr="00A23740">
              <w:rPr>
                <w:lang w:val="tr-TR"/>
              </w:rPr>
              <w:t>ya da</w:t>
            </w:r>
            <w:r w:rsidRPr="00A23740">
              <w:t xml:space="preserve"> </w:t>
            </w:r>
            <w:r w:rsidRPr="00A23740">
              <w:rPr>
                <w:rFonts w:eastAsia="Times New Roman"/>
                <w:b w:val="0"/>
                <w:bCs w:val="0"/>
                <w:color w:val="auto"/>
                <w:lang w:val="tr-TR" w:eastAsia="tr-TR"/>
              </w:rPr>
              <w:t>icranın geri bırakılması</w:t>
            </w:r>
          </w:p>
          <w:p w:rsidR="00155AF4" w:rsidRPr="00A23740" w:rsidRDefault="00155AF4" w:rsidP="009431FF">
            <w:pPr>
              <w:pStyle w:val="Mavi"/>
            </w:pPr>
            <w:r w:rsidRPr="00A23740">
              <w:t>MADDE 61- (1) B</w:t>
            </w:r>
            <w:r w:rsidRPr="00A23740">
              <w:rPr>
                <w:rFonts w:eastAsia="Times New Roman"/>
                <w:b w:val="0"/>
                <w:bCs w:val="0"/>
                <w:color w:val="auto"/>
                <w:lang w:val="tr-TR" w:eastAsia="tr-TR"/>
              </w:rPr>
              <w:t>orçlu</w:t>
            </w:r>
            <w:r w:rsidRPr="00A23740">
              <w:t xml:space="preserve">, hüküm tarihinden sonra ve </w:t>
            </w:r>
            <w:r w:rsidRPr="00A23740">
              <w:rPr>
                <w:rFonts w:eastAsia="Times New Roman"/>
                <w:b w:val="0"/>
                <w:bCs w:val="0"/>
                <w:color w:val="auto"/>
                <w:lang w:val="tr-TR" w:eastAsia="tr-TR"/>
              </w:rPr>
              <w:t>icra emrinin tebliği</w:t>
            </w:r>
            <w:r w:rsidRPr="00A23740">
              <w:t xml:space="preserve">nden önce </w:t>
            </w:r>
            <w:r w:rsidRPr="00A23740">
              <w:rPr>
                <w:rFonts w:eastAsia="Times New Roman"/>
                <w:b w:val="0"/>
                <w:bCs w:val="0"/>
                <w:color w:val="auto"/>
                <w:lang w:val="tr-TR" w:eastAsia="tr-TR"/>
              </w:rPr>
              <w:t>borcun</w:t>
            </w:r>
            <w:r w:rsidRPr="00A23740">
              <w:t xml:space="preserve"> </w:t>
            </w:r>
            <w:r w:rsidRPr="00A23740">
              <w:rPr>
                <w:rFonts w:eastAsia="Times New Roman"/>
                <w:b w:val="0"/>
                <w:bCs w:val="0"/>
                <w:color w:val="auto"/>
                <w:lang w:val="tr-TR" w:eastAsia="tr-TR"/>
              </w:rPr>
              <w:t>itfa edildiği</w:t>
            </w:r>
            <w:r w:rsidRPr="00A23740">
              <w:t xml:space="preserve">, alacaklı tarafından kendisine süre verildiği veya </w:t>
            </w:r>
            <w:r w:rsidRPr="00A23740">
              <w:rPr>
                <w:rFonts w:eastAsia="Times New Roman"/>
                <w:b w:val="0"/>
                <w:bCs w:val="0"/>
                <w:color w:val="auto"/>
                <w:lang w:val="tr-TR" w:eastAsia="tr-TR"/>
              </w:rPr>
              <w:t>borcun zamanaşımına uğradığı iddiası</w:t>
            </w:r>
            <w:r w:rsidRPr="00A23740">
              <w:t xml:space="preserve">nda ise icra emrinin tebliğinden itibaren iki hafta içinde; </w:t>
            </w:r>
            <w:r w:rsidRPr="00A23740">
              <w:rPr>
                <w:rFonts w:eastAsia="Times New Roman"/>
                <w:b w:val="0"/>
                <w:bCs w:val="0"/>
                <w:color w:val="auto"/>
                <w:lang w:val="tr-TR" w:eastAsia="tr-TR"/>
              </w:rPr>
              <w:t>icra emrinin tebliğinden sonra</w:t>
            </w:r>
            <w:r w:rsidRPr="00A23740">
              <w:t xml:space="preserve"> borcun </w:t>
            </w:r>
            <w:r w:rsidRPr="00A23740">
              <w:rPr>
                <w:rFonts w:eastAsia="Times New Roman"/>
                <w:b w:val="0"/>
                <w:bCs w:val="0"/>
                <w:color w:val="auto"/>
                <w:lang w:val="tr-TR" w:eastAsia="tr-TR"/>
              </w:rPr>
              <w:t xml:space="preserve">itfa </w:t>
            </w:r>
            <w:r w:rsidRPr="00A23740">
              <w:t xml:space="preserve">edildiği, alacaklı tarafından kendisine </w:t>
            </w:r>
            <w:r w:rsidRPr="00A23740">
              <w:lastRenderedPageBreak/>
              <w:t xml:space="preserve">süre verildiği </w:t>
            </w:r>
            <w:r w:rsidRPr="00A23740">
              <w:rPr>
                <w:rFonts w:eastAsia="Times New Roman"/>
                <w:b w:val="0"/>
                <w:bCs w:val="0"/>
                <w:color w:val="auto"/>
                <w:lang w:val="tr-TR" w:eastAsia="tr-TR"/>
              </w:rPr>
              <w:t>veya</w:t>
            </w:r>
            <w:r w:rsidRPr="00A23740">
              <w:t xml:space="preserve"> borcun </w:t>
            </w:r>
            <w:r w:rsidRPr="00A23740">
              <w:rPr>
                <w:rFonts w:eastAsia="Times New Roman"/>
                <w:b w:val="0"/>
                <w:bCs w:val="0"/>
                <w:color w:val="auto"/>
                <w:lang w:val="tr-TR" w:eastAsia="tr-TR"/>
              </w:rPr>
              <w:t>zamanaşımına</w:t>
            </w:r>
            <w:r w:rsidRPr="00A23740">
              <w:t xml:space="preserve"> uğradığı iddiasında ise </w:t>
            </w:r>
            <w:r w:rsidRPr="00A23740">
              <w:rPr>
                <w:rFonts w:eastAsia="Times New Roman"/>
                <w:b w:val="0"/>
                <w:bCs w:val="0"/>
                <w:color w:val="auto"/>
                <w:lang w:val="tr-TR" w:eastAsia="tr-TR"/>
              </w:rPr>
              <w:t>her zaman</w:t>
            </w:r>
            <w:r w:rsidRPr="00A23740">
              <w:t>, dilekçe</w:t>
            </w:r>
            <w:r w:rsidR="00ED44D9" w:rsidRPr="00A23740">
              <w:rPr>
                <w:lang w:val="tr-TR"/>
              </w:rPr>
              <w:t>yle</w:t>
            </w:r>
            <w:r w:rsidRPr="00A23740">
              <w:t xml:space="preserve">, icra hukuk mahkemesine başvurarak takibin iptalini veya </w:t>
            </w:r>
            <w:r w:rsidRPr="00A23740">
              <w:rPr>
                <w:lang w:val="tr-TR"/>
              </w:rPr>
              <w:t>icranın geri bırakılmasını</w:t>
            </w:r>
            <w:r w:rsidRPr="00A23740">
              <w:t xml:space="preserve"> isteyebilir.</w:t>
            </w:r>
          </w:p>
          <w:p w:rsidR="00155AF4" w:rsidRPr="00A23740" w:rsidRDefault="00155AF4" w:rsidP="009431FF">
            <w:pPr>
              <w:pStyle w:val="Mavi"/>
            </w:pPr>
          </w:p>
          <w:p w:rsidR="00155AF4" w:rsidRPr="00A23740" w:rsidRDefault="00155AF4" w:rsidP="009431FF">
            <w:pPr>
              <w:pStyle w:val="Mavi"/>
            </w:pPr>
          </w:p>
          <w:p w:rsidR="00155AF4" w:rsidRDefault="00155AF4" w:rsidP="009431FF">
            <w:pPr>
              <w:rPr>
                <w:rFonts w:eastAsia="Times New Roman"/>
                <w:szCs w:val="24"/>
                <w:lang w:eastAsia="tr-TR"/>
              </w:rPr>
            </w:pPr>
          </w:p>
          <w:p w:rsidR="002060A9" w:rsidRDefault="002060A9" w:rsidP="009431FF">
            <w:pPr>
              <w:rPr>
                <w:rFonts w:eastAsia="Times New Roman"/>
                <w:szCs w:val="24"/>
                <w:lang w:eastAsia="tr-TR"/>
              </w:rPr>
            </w:pPr>
          </w:p>
          <w:p w:rsidR="002060A9" w:rsidRPr="00A23740" w:rsidRDefault="002060A9" w:rsidP="009431FF">
            <w:pPr>
              <w:rPr>
                <w:rFonts w:eastAsia="Times New Roman"/>
                <w:szCs w:val="24"/>
                <w:lang w:eastAsia="tr-TR"/>
              </w:rPr>
            </w:pPr>
          </w:p>
          <w:p w:rsidR="00155AF4" w:rsidRPr="00A23740" w:rsidRDefault="00155AF4" w:rsidP="009431FF">
            <w:pPr>
              <w:pStyle w:val="Mavi"/>
            </w:pPr>
            <w:r w:rsidRPr="00A23740">
              <w:t>(2) Talep h</w:t>
            </w:r>
            <w:r w:rsidR="00437BA8" w:rsidRPr="00A23740">
              <w:rPr>
                <w:lang w:val="tr-TR"/>
              </w:rPr>
              <w:t>â</w:t>
            </w:r>
            <w:r w:rsidRPr="00A23740">
              <w:t>linde icra hukuk mahkemesi ihtiyati tedbir yoluyla takibi durdurabilir. İptal veya erteleme talebi yetkili mercilerce resen düzenlenmiş, usulüne göre onaylanmış, icra</w:t>
            </w:r>
            <w:r w:rsidRPr="00A23740">
              <w:rPr>
                <w:lang w:val="tr-TR"/>
              </w:rPr>
              <w:t xml:space="preserve"> </w:t>
            </w:r>
            <w:r w:rsidRPr="00A23740">
              <w:t>ve iflas dairesi veya mahkeme önünde ikrar edilmiş belgeye dayandığı takdirde, mahkeme talep h</w:t>
            </w:r>
            <w:r w:rsidR="00437BA8" w:rsidRPr="00A23740">
              <w:rPr>
                <w:lang w:val="tr-TR"/>
              </w:rPr>
              <w:t>â</w:t>
            </w:r>
            <w:r w:rsidRPr="00A23740">
              <w:t>linde takibi durdur</w:t>
            </w:r>
            <w:r w:rsidR="00AF365D" w:rsidRPr="00A23740">
              <w:rPr>
                <w:lang w:val="tr-TR"/>
              </w:rPr>
              <w:t>ur.</w:t>
            </w:r>
          </w:p>
          <w:p w:rsidR="006846DE" w:rsidRDefault="006846DE" w:rsidP="009431FF">
            <w:pPr>
              <w:tabs>
                <w:tab w:val="left" w:pos="567"/>
                <w:tab w:val="right" w:pos="6520"/>
              </w:tabs>
              <w:rPr>
                <w:rFonts w:eastAsia="Times New Roman"/>
                <w:szCs w:val="24"/>
                <w:lang w:eastAsia="tr-TR"/>
              </w:rPr>
            </w:pPr>
          </w:p>
          <w:p w:rsidR="006825B0" w:rsidRDefault="006825B0" w:rsidP="009431FF">
            <w:pPr>
              <w:tabs>
                <w:tab w:val="left" w:pos="567"/>
                <w:tab w:val="right" w:pos="6520"/>
              </w:tabs>
              <w:rPr>
                <w:rFonts w:eastAsia="Times New Roman"/>
                <w:szCs w:val="24"/>
                <w:lang w:eastAsia="tr-TR"/>
              </w:rPr>
            </w:pPr>
          </w:p>
          <w:p w:rsidR="006825B0" w:rsidRDefault="006825B0" w:rsidP="009431FF">
            <w:pPr>
              <w:tabs>
                <w:tab w:val="left" w:pos="567"/>
                <w:tab w:val="right" w:pos="6520"/>
              </w:tabs>
              <w:rPr>
                <w:rFonts w:eastAsia="Times New Roman"/>
                <w:szCs w:val="24"/>
                <w:lang w:eastAsia="tr-TR"/>
              </w:rPr>
            </w:pPr>
          </w:p>
          <w:p w:rsidR="006825B0" w:rsidRDefault="006825B0" w:rsidP="009431FF">
            <w:pPr>
              <w:tabs>
                <w:tab w:val="left" w:pos="567"/>
                <w:tab w:val="right" w:pos="6520"/>
              </w:tabs>
              <w:rPr>
                <w:rFonts w:eastAsia="Times New Roman"/>
                <w:szCs w:val="24"/>
                <w:lang w:eastAsia="tr-TR"/>
              </w:rPr>
            </w:pPr>
          </w:p>
          <w:p w:rsidR="00C20C8B" w:rsidRDefault="00C20C8B" w:rsidP="009431FF">
            <w:pPr>
              <w:tabs>
                <w:tab w:val="left" w:pos="567"/>
                <w:tab w:val="right" w:pos="6520"/>
              </w:tabs>
              <w:rPr>
                <w:rFonts w:eastAsia="Times New Roman"/>
                <w:szCs w:val="24"/>
                <w:lang w:eastAsia="tr-TR"/>
              </w:rPr>
            </w:pPr>
          </w:p>
          <w:p w:rsidR="006825B0" w:rsidRDefault="006825B0" w:rsidP="009431FF">
            <w:pPr>
              <w:tabs>
                <w:tab w:val="left" w:pos="567"/>
                <w:tab w:val="right" w:pos="6520"/>
              </w:tabs>
              <w:rPr>
                <w:rFonts w:eastAsia="Times New Roman"/>
                <w:szCs w:val="24"/>
                <w:lang w:eastAsia="tr-TR"/>
              </w:rPr>
            </w:pPr>
          </w:p>
          <w:p w:rsidR="006846DE" w:rsidRPr="00A23740" w:rsidRDefault="006846DE" w:rsidP="009431FF">
            <w:pPr>
              <w:tabs>
                <w:tab w:val="left" w:pos="567"/>
                <w:tab w:val="right" w:pos="6520"/>
              </w:tabs>
              <w:rPr>
                <w:rFonts w:eastAsia="Times New Roman"/>
                <w:szCs w:val="24"/>
                <w:lang w:eastAsia="tr-TR"/>
              </w:rPr>
            </w:pPr>
          </w:p>
          <w:p w:rsidR="00155AF4" w:rsidRPr="00A23740" w:rsidRDefault="00155AF4" w:rsidP="009431FF">
            <w:pPr>
              <w:pStyle w:val="Mavi"/>
            </w:pPr>
            <w:r w:rsidRPr="00A23740">
              <w:t xml:space="preserve">(3) Takibin iptali veya </w:t>
            </w:r>
            <w:r w:rsidRPr="00A23740">
              <w:rPr>
                <w:lang w:val="tr-TR"/>
              </w:rPr>
              <w:t xml:space="preserve">icranın geri bırakılması </w:t>
            </w:r>
            <w:r w:rsidRPr="00A23740">
              <w:t>talebi genel hükümler çerçevesinde incelenir.</w:t>
            </w:r>
          </w:p>
          <w:p w:rsidR="00155AF4" w:rsidRPr="00A23740" w:rsidRDefault="00155AF4" w:rsidP="009431FF">
            <w:pPr>
              <w:pStyle w:val="Mavi"/>
            </w:pPr>
          </w:p>
          <w:p w:rsidR="00155AF4" w:rsidRPr="00A23740" w:rsidRDefault="00155AF4" w:rsidP="009431FF">
            <w:pPr>
              <w:pStyle w:val="Mavi"/>
            </w:pPr>
            <w:r w:rsidRPr="00A23740">
              <w:t>(4</w:t>
            </w:r>
            <w:r w:rsidRPr="00C20C8B">
              <w:rPr>
                <w:rStyle w:val="Balk1Char"/>
                <w:rFonts w:eastAsia="Calibri"/>
                <w:b/>
              </w:rPr>
              <w:t>) İtfa, zamanaşımı ve alacaklı tarafından takipten evvel borçluya süre verildiği iddiasını</w:t>
            </w:r>
            <w:r w:rsidRPr="00A23740">
              <w:t>n ispatı h</w:t>
            </w:r>
            <w:r w:rsidR="002F2BAA" w:rsidRPr="00A23740">
              <w:rPr>
                <w:lang w:val="tr-TR"/>
              </w:rPr>
              <w:t>â</w:t>
            </w:r>
            <w:r w:rsidRPr="00A23740">
              <w:t>linde takip mahkeme tarafından iptal edilir. Takipten sonra borçluya süre verildiği iddiasının ispatı h</w:t>
            </w:r>
            <w:r w:rsidR="002F2BAA" w:rsidRPr="00A23740">
              <w:rPr>
                <w:lang w:val="tr-TR"/>
              </w:rPr>
              <w:t>â</w:t>
            </w:r>
            <w:r w:rsidRPr="00A23740">
              <w:t xml:space="preserve">linde ise </w:t>
            </w:r>
            <w:r w:rsidRPr="00A23740">
              <w:rPr>
                <w:lang w:val="tr-TR"/>
              </w:rPr>
              <w:t>icranın geri bırakılmasına</w:t>
            </w:r>
            <w:r w:rsidRPr="00A23740">
              <w:t xml:space="preserve"> karar verilir; bu takdirde </w:t>
            </w:r>
            <w:r w:rsidRPr="00A23740">
              <w:rPr>
                <w:lang w:val="tr-TR"/>
              </w:rPr>
              <w:t xml:space="preserve">icranın </w:t>
            </w:r>
            <w:r w:rsidRPr="00A23740">
              <w:t>ne kadar süre</w:t>
            </w:r>
            <w:r w:rsidR="00ED44D9" w:rsidRPr="00A23740">
              <w:rPr>
                <w:lang w:val="tr-TR"/>
              </w:rPr>
              <w:t>yle</w:t>
            </w:r>
            <w:r w:rsidRPr="00A23740">
              <w:t xml:space="preserve"> </w:t>
            </w:r>
            <w:r w:rsidRPr="00A23740">
              <w:rPr>
                <w:lang w:val="tr-TR"/>
              </w:rPr>
              <w:t xml:space="preserve">geri </w:t>
            </w:r>
            <w:r w:rsidR="00793E11" w:rsidRPr="008D10FA">
              <w:t>bırakıldığı hususuna</w:t>
            </w:r>
            <w:r w:rsidR="00793E11" w:rsidRPr="00A23740">
              <w:rPr>
                <w:color w:val="70AD47"/>
              </w:rPr>
              <w:t xml:space="preserve"> </w:t>
            </w:r>
            <w:r w:rsidRPr="00A23740">
              <w:t>da kararda yer verilir.</w:t>
            </w:r>
          </w:p>
          <w:p w:rsidR="009C5516" w:rsidRDefault="009C5516" w:rsidP="009431FF">
            <w:pPr>
              <w:pStyle w:val="Mavi"/>
            </w:pPr>
          </w:p>
          <w:p w:rsidR="00155AF4" w:rsidRPr="00A23740" w:rsidRDefault="00155AF4" w:rsidP="009431FF">
            <w:pPr>
              <w:pStyle w:val="Mavi"/>
            </w:pPr>
            <w:r w:rsidRPr="00A23740">
              <w:lastRenderedPageBreak/>
              <w:t xml:space="preserve">(5) İcra hukuk mahkemesinin iptal veya </w:t>
            </w:r>
            <w:r w:rsidRPr="00A23740">
              <w:rPr>
                <w:lang w:val="tr-TR"/>
              </w:rPr>
              <w:t xml:space="preserve">icranın geri bırakılması </w:t>
            </w:r>
            <w:r w:rsidRPr="00A23740">
              <w:t>kararının kesinleşmesi üzerine, icranın iades</w:t>
            </w:r>
            <w:r w:rsidR="001A63AA" w:rsidRPr="00A23740">
              <w:t>ine ilişkin hükümler uygulanır.</w:t>
            </w:r>
          </w:p>
          <w:p w:rsidR="00EE735B" w:rsidRPr="00A23740" w:rsidRDefault="00EE735B" w:rsidP="009431FF">
            <w:pPr>
              <w:tabs>
                <w:tab w:val="left" w:pos="567"/>
                <w:tab w:val="right" w:pos="6520"/>
              </w:tabs>
              <w:rPr>
                <w:rFonts w:eastAsia="Times New Roman"/>
                <w:szCs w:val="24"/>
                <w:lang w:eastAsia="tr-TR"/>
              </w:rPr>
            </w:pPr>
          </w:p>
          <w:p w:rsidR="00EE735B" w:rsidRPr="00A23740" w:rsidRDefault="00EE735B" w:rsidP="009431FF">
            <w:pPr>
              <w:tabs>
                <w:tab w:val="left" w:pos="567"/>
                <w:tab w:val="right" w:pos="6520"/>
              </w:tabs>
              <w:rPr>
                <w:rFonts w:eastAsia="Times New Roman"/>
                <w:szCs w:val="24"/>
                <w:lang w:eastAsia="tr-TR"/>
              </w:rPr>
            </w:pPr>
            <w:r w:rsidRPr="006825B0">
              <w:rPr>
                <w:rStyle w:val="MaviChar"/>
              </w:rPr>
              <w:t>(6)</w:t>
            </w:r>
            <w:r w:rsidRPr="00A23740">
              <w:rPr>
                <w:b/>
                <w:bCs/>
                <w:color w:val="70AD47"/>
                <w:szCs w:val="24"/>
                <w:lang w:eastAsia="tr-TR"/>
              </w:rPr>
              <w:t xml:space="preserve"> </w:t>
            </w:r>
            <w:r w:rsidRPr="008D10FA">
              <w:rPr>
                <w:b/>
                <w:bCs/>
                <w:color w:val="0000FF"/>
                <w:szCs w:val="24"/>
                <w:lang w:eastAsia="tr-TR"/>
              </w:rPr>
              <w:t xml:space="preserve">Borçlu, </w:t>
            </w:r>
            <w:r w:rsidRPr="008D10FA">
              <w:rPr>
                <w:rFonts w:eastAsia="Times New Roman"/>
                <w:b/>
                <w:bCs/>
                <w:color w:val="0000FF"/>
                <w:szCs w:val="24"/>
                <w:lang w:eastAsia="tr-TR"/>
              </w:rPr>
              <w:t>i</w:t>
            </w:r>
            <w:r w:rsidRPr="00A23740">
              <w:rPr>
                <w:rFonts w:eastAsia="Times New Roman"/>
                <w:szCs w:val="24"/>
                <w:lang w:eastAsia="tr-TR"/>
              </w:rPr>
              <w:t xml:space="preserve">cra </w:t>
            </w:r>
            <w:r w:rsidRPr="00A23740">
              <w:rPr>
                <w:rStyle w:val="MaviChar"/>
              </w:rPr>
              <w:t xml:space="preserve">hukuk </w:t>
            </w:r>
            <w:r w:rsidRPr="008D10FA">
              <w:rPr>
                <w:rStyle w:val="MaviChar"/>
              </w:rPr>
              <w:t>mahkemesinin</w:t>
            </w:r>
            <w:r w:rsidRPr="008D10FA">
              <w:rPr>
                <w:rFonts w:eastAsia="Times New Roman"/>
                <w:color w:val="0000FF"/>
                <w:szCs w:val="24"/>
                <w:lang w:eastAsia="tr-TR"/>
              </w:rPr>
              <w:t xml:space="preserve"> </w:t>
            </w:r>
            <w:r w:rsidRPr="008D10FA">
              <w:rPr>
                <w:rFonts w:eastAsia="Times New Roman"/>
                <w:b/>
                <w:bCs/>
                <w:color w:val="0000FF"/>
                <w:szCs w:val="24"/>
                <w:lang w:eastAsia="tr-TR"/>
              </w:rPr>
              <w:t>icranın</w:t>
            </w:r>
            <w:r w:rsidRPr="008D10FA">
              <w:rPr>
                <w:rFonts w:eastAsia="Times New Roman"/>
                <w:color w:val="0000FF"/>
                <w:szCs w:val="24"/>
                <w:lang w:eastAsia="tr-TR"/>
              </w:rPr>
              <w:t xml:space="preserve"> </w:t>
            </w:r>
            <w:r w:rsidRPr="008D10FA">
              <w:rPr>
                <w:rFonts w:eastAsia="Times New Roman"/>
                <w:b/>
                <w:bCs/>
                <w:color w:val="0000FF"/>
                <w:szCs w:val="24"/>
                <w:lang w:eastAsia="tr-TR"/>
              </w:rPr>
              <w:t>geri bırakılması talebinin reddi kararına karşı,</w:t>
            </w:r>
            <w:r w:rsidRPr="00A23740">
              <w:rPr>
                <w:rFonts w:eastAsia="Times New Roman"/>
                <w:color w:val="70AD47"/>
                <w:szCs w:val="24"/>
                <w:lang w:eastAsia="tr-TR"/>
              </w:rPr>
              <w:t xml:space="preserve"> </w:t>
            </w:r>
            <w:r w:rsidRPr="00A23740">
              <w:rPr>
                <w:rFonts w:eastAsia="Times New Roman"/>
                <w:szCs w:val="24"/>
                <w:lang w:eastAsia="tr-TR"/>
              </w:rPr>
              <w:t xml:space="preserve">başvuru süresi içinde alacağı </w:t>
            </w:r>
            <w:r w:rsidRPr="00A23740">
              <w:rPr>
                <w:rFonts w:eastAsia="Times New Roman"/>
                <w:bCs/>
                <w:lang w:eastAsia="tr-TR"/>
              </w:rPr>
              <w:t>karş</w:t>
            </w:r>
            <w:r w:rsidRPr="00A23740">
              <w:rPr>
                <w:rStyle w:val="MaviChar"/>
              </w:rPr>
              <w:t>ı</w:t>
            </w:r>
            <w:r w:rsidRPr="00A23740">
              <w:rPr>
                <w:rFonts w:eastAsia="Times New Roman"/>
                <w:lang w:eastAsia="tr-TR"/>
              </w:rPr>
              <w:t>layacak</w:t>
            </w:r>
            <w:r w:rsidRPr="00A23740">
              <w:rPr>
                <w:rFonts w:eastAsia="Times New Roman"/>
                <w:bCs/>
                <w:lang w:eastAsia="tr-TR"/>
              </w:rPr>
              <w:t xml:space="preserve"> </w:t>
            </w:r>
            <w:r w:rsidRPr="00A23740">
              <w:rPr>
                <w:rFonts w:eastAsia="Times New Roman"/>
                <w:szCs w:val="24"/>
                <w:lang w:eastAsia="tr-TR"/>
              </w:rPr>
              <w:t>nakit</w:t>
            </w:r>
            <w:r w:rsidRPr="00A23740">
              <w:rPr>
                <w:rStyle w:val="MaviChar"/>
              </w:rPr>
              <w:t>, teminat mektubu,</w:t>
            </w:r>
            <w:r w:rsidRPr="00A23740">
              <w:rPr>
                <w:rFonts w:eastAsia="Times New Roman"/>
                <w:szCs w:val="24"/>
                <w:lang w:eastAsia="tr-TR"/>
              </w:rPr>
              <w:t xml:space="preserve"> </w:t>
            </w:r>
            <w:r w:rsidRPr="008D10FA">
              <w:rPr>
                <w:rFonts w:eastAsia="Times New Roman"/>
                <w:b/>
                <w:bCs/>
                <w:color w:val="0000FF"/>
                <w:szCs w:val="24"/>
                <w:lang w:eastAsia="tr-TR"/>
              </w:rPr>
              <w:t>mahkemece</w:t>
            </w:r>
            <w:r w:rsidRPr="00A23740">
              <w:rPr>
                <w:rFonts w:eastAsia="Times New Roman"/>
                <w:color w:val="70AD47"/>
                <w:szCs w:val="24"/>
                <w:lang w:eastAsia="tr-TR"/>
              </w:rPr>
              <w:t xml:space="preserve"> </w:t>
            </w:r>
            <w:r w:rsidRPr="00A23740">
              <w:rPr>
                <w:rFonts w:eastAsia="Times New Roman"/>
                <w:szCs w:val="24"/>
                <w:lang w:eastAsia="tr-TR"/>
              </w:rPr>
              <w:t xml:space="preserve">kabul edilecek taşınır veya taşınmaz </w:t>
            </w:r>
            <w:r w:rsidRPr="008D10FA">
              <w:rPr>
                <w:rFonts w:eastAsia="Times New Roman"/>
                <w:b/>
                <w:bCs/>
                <w:color w:val="0000FF"/>
                <w:szCs w:val="24"/>
                <w:lang w:eastAsia="tr-TR"/>
              </w:rPr>
              <w:t>rehnini</w:t>
            </w:r>
            <w:r w:rsidRPr="00A23740">
              <w:rPr>
                <w:rFonts w:eastAsia="Times New Roman"/>
                <w:b/>
                <w:bCs/>
                <w:color w:val="70AD47"/>
                <w:szCs w:val="24"/>
                <w:lang w:eastAsia="tr-TR"/>
              </w:rPr>
              <w:t xml:space="preserve"> </w:t>
            </w:r>
            <w:r w:rsidRPr="00A23740">
              <w:rPr>
                <w:rFonts w:eastAsia="Times New Roman"/>
                <w:szCs w:val="24"/>
                <w:lang w:eastAsia="tr-TR"/>
              </w:rPr>
              <w:t>göstermek şart</w:t>
            </w:r>
            <w:r w:rsidRPr="00A23740">
              <w:rPr>
                <w:b/>
                <w:bCs/>
                <w:color w:val="0000FF"/>
                <w:szCs w:val="24"/>
                <w:lang w:val="x-none" w:eastAsia="x-none"/>
              </w:rPr>
              <w:t>ı</w:t>
            </w:r>
            <w:r w:rsidRPr="00A23740">
              <w:rPr>
                <w:rFonts w:eastAsia="Times New Roman"/>
                <w:szCs w:val="24"/>
                <w:lang w:eastAsia="tr-TR"/>
              </w:rPr>
              <w:t>yl</w:t>
            </w:r>
            <w:r w:rsidRPr="00A23740">
              <w:rPr>
                <w:b/>
                <w:bCs/>
                <w:color w:val="0000FF"/>
                <w:szCs w:val="24"/>
                <w:lang w:val="x-none" w:eastAsia="x-none"/>
              </w:rPr>
              <w:t>a</w:t>
            </w:r>
            <w:r w:rsidRPr="00A23740">
              <w:rPr>
                <w:rFonts w:eastAsia="Times New Roman"/>
                <w:color w:val="70AD47"/>
                <w:szCs w:val="24"/>
                <w:lang w:eastAsia="tr-TR"/>
              </w:rPr>
              <w:t xml:space="preserve"> </w:t>
            </w:r>
            <w:r w:rsidRPr="00A23740">
              <w:rPr>
                <w:rFonts w:eastAsia="Times New Roman"/>
                <w:szCs w:val="24"/>
                <w:lang w:eastAsia="tr-TR"/>
              </w:rPr>
              <w:t>istinaf veya temyiz yoluna başvurabilir.</w:t>
            </w:r>
          </w:p>
          <w:p w:rsidR="00155AF4" w:rsidRPr="00A23740" w:rsidRDefault="00155AF4" w:rsidP="009431FF">
            <w:pPr>
              <w:pStyle w:val="KIRMIZI"/>
              <w:rPr>
                <w:b w:val="0"/>
                <w:bCs w:val="0"/>
                <w:lang w:val="tr-TR" w:eastAsia="tr-TR"/>
              </w:rPr>
            </w:pPr>
          </w:p>
          <w:p w:rsidR="00155AF4" w:rsidRPr="00A23740" w:rsidRDefault="00155AF4" w:rsidP="009431FF">
            <w:pPr>
              <w:rPr>
                <w:lang w:val="x-none" w:eastAsia="x-none"/>
              </w:rPr>
            </w:pPr>
          </w:p>
        </w:tc>
      </w:tr>
      <w:tr w:rsidR="00155AF4" w:rsidRPr="00A23740" w:rsidTr="009431FF">
        <w:tc>
          <w:tcPr>
            <w:tcW w:w="5000" w:type="pct"/>
            <w:gridSpan w:val="2"/>
            <w:shd w:val="clear" w:color="auto" w:fill="DEEAF6"/>
          </w:tcPr>
          <w:p w:rsidR="0052775C" w:rsidRPr="00A23740" w:rsidRDefault="0052775C" w:rsidP="009431FF">
            <w:pPr>
              <w:pStyle w:val="Mavi"/>
              <w:ind w:firstLine="709"/>
              <w:rPr>
                <w:color w:val="auto"/>
                <w:lang w:val="tr-TR"/>
              </w:rPr>
            </w:pPr>
          </w:p>
          <w:p w:rsidR="0052775C" w:rsidRPr="00A23740" w:rsidRDefault="008E1D8E" w:rsidP="009431FF">
            <w:pPr>
              <w:pStyle w:val="Mavi"/>
              <w:ind w:firstLine="709"/>
              <w:rPr>
                <w:rFonts w:eastAsia="Times New Roman"/>
                <w:b w:val="0"/>
                <w:bCs w:val="0"/>
                <w:color w:val="auto"/>
                <w:lang w:val="tr-TR" w:eastAsia="tr-TR"/>
              </w:rPr>
            </w:pPr>
            <w:r w:rsidRPr="00A23740">
              <w:rPr>
                <w:color w:val="auto"/>
                <w:lang w:val="tr-TR"/>
              </w:rPr>
              <w:t>MADDE 61-</w:t>
            </w:r>
            <w:r w:rsidR="0052775C" w:rsidRPr="00A23740">
              <w:rPr>
                <w:b w:val="0"/>
                <w:color w:val="auto"/>
                <w:lang w:val="tr-TR"/>
              </w:rPr>
              <w:t xml:space="preserve"> Maddeyle, </w:t>
            </w:r>
            <w:r w:rsidR="0052775C" w:rsidRPr="00A23740">
              <w:rPr>
                <w:rFonts w:eastAsia="Times New Roman"/>
                <w:b w:val="0"/>
                <w:bCs w:val="0"/>
                <w:color w:val="auto"/>
                <w:lang w:val="tr-TR" w:eastAsia="tr-TR"/>
              </w:rPr>
              <w:t>borcun itfası, zamanaşımına uğraması veya borçluya süre verilmesi nedeniyle takibin iptali veya</w:t>
            </w:r>
            <w:r w:rsidR="0052775C" w:rsidRPr="00A23740">
              <w:t xml:space="preserve"> </w:t>
            </w:r>
            <w:r w:rsidR="0052775C" w:rsidRPr="00A23740">
              <w:rPr>
                <w:rFonts w:eastAsia="Times New Roman"/>
                <w:b w:val="0"/>
                <w:bCs w:val="0"/>
                <w:color w:val="auto"/>
                <w:lang w:val="tr-TR" w:eastAsia="tr-TR"/>
              </w:rPr>
              <w:t>icranın geri bırakılması</w:t>
            </w:r>
            <w:r w:rsidR="00FC01A1" w:rsidRPr="00A23740">
              <w:rPr>
                <w:rFonts w:eastAsia="Times New Roman"/>
                <w:b w:val="0"/>
                <w:bCs w:val="0"/>
                <w:color w:val="auto"/>
                <w:lang w:val="tr-TR" w:eastAsia="tr-TR"/>
              </w:rPr>
              <w:t xml:space="preserve"> kurumu</w:t>
            </w:r>
            <w:r w:rsidR="0052775C" w:rsidRPr="00A23740">
              <w:rPr>
                <w:rFonts w:eastAsia="Times New Roman"/>
                <w:b w:val="0"/>
                <w:bCs w:val="0"/>
                <w:color w:val="auto"/>
                <w:lang w:val="tr-TR" w:eastAsia="tr-TR"/>
              </w:rPr>
              <w:t xml:space="preserve"> düzenlenmektedir. Hüküm, 2004 sayılı Kanunun 33 ve 33/a maddelerine karşılık gelmektedir.</w:t>
            </w:r>
          </w:p>
          <w:p w:rsidR="00FC01A1" w:rsidRPr="00A23740" w:rsidRDefault="0052775C" w:rsidP="009431FF">
            <w:pPr>
              <w:pStyle w:val="Mavi"/>
              <w:ind w:firstLine="709"/>
              <w:rPr>
                <w:b w:val="0"/>
                <w:color w:val="auto"/>
                <w:lang w:val="tr-TR"/>
              </w:rPr>
            </w:pPr>
            <w:r w:rsidRPr="00A23740">
              <w:rPr>
                <w:rFonts w:eastAsia="Times New Roman"/>
                <w:b w:val="0"/>
                <w:bCs w:val="0"/>
                <w:color w:val="auto"/>
                <w:lang w:val="tr-TR" w:eastAsia="tr-TR"/>
              </w:rPr>
              <w:t xml:space="preserve">Birinci fıkrayla, </w:t>
            </w:r>
            <w:r w:rsidR="00FC01A1" w:rsidRPr="00A23740">
              <w:rPr>
                <w:rFonts w:eastAsia="Times New Roman"/>
                <w:b w:val="0"/>
                <w:bCs w:val="0"/>
                <w:color w:val="auto"/>
                <w:lang w:val="tr-TR" w:eastAsia="tr-TR"/>
              </w:rPr>
              <w:t>takibin iptali ve icranın geri bırakılması</w:t>
            </w:r>
            <w:r w:rsidR="00076771" w:rsidRPr="00A23740">
              <w:rPr>
                <w:rFonts w:eastAsia="Times New Roman"/>
                <w:b w:val="0"/>
                <w:bCs w:val="0"/>
                <w:color w:val="auto"/>
                <w:lang w:val="tr-TR" w:eastAsia="tr-TR"/>
              </w:rPr>
              <w:t xml:space="preserve"> talebine</w:t>
            </w:r>
            <w:r w:rsidR="00FC01A1" w:rsidRPr="00A23740">
              <w:rPr>
                <w:rFonts w:eastAsia="Times New Roman"/>
                <w:b w:val="0"/>
                <w:bCs w:val="0"/>
                <w:color w:val="auto"/>
                <w:lang w:val="tr-TR" w:eastAsia="tr-TR"/>
              </w:rPr>
              <w:t xml:space="preserve"> ilişkin</w:t>
            </w:r>
            <w:r w:rsidR="00586835" w:rsidRPr="00A23740">
              <w:rPr>
                <w:b w:val="0"/>
                <w:color w:val="auto"/>
                <w:lang w:val="tr-TR"/>
              </w:rPr>
              <w:t xml:space="preserve"> esaslar belir</w:t>
            </w:r>
            <w:r w:rsidR="00FC01A1" w:rsidRPr="00A23740">
              <w:rPr>
                <w:b w:val="0"/>
                <w:color w:val="auto"/>
                <w:lang w:val="tr-TR"/>
              </w:rPr>
              <w:t>lenmektedir. Hükme göre borçlu, hüküm tarihinden sonra ve icra emrinin tebliğinden önce borcun itfa edildiği, alacaklı tarafından kendisine süre verildiği veya borcun zamanaşımına uğradığı iddiasında ise icra emrinin tebliğinden itibaren iki hafta içinde; icra emrinin tebliğinden sonra borcun itfa edildiği, alacaklı tarafından kendisine süre verildiği veya borcun zamanaşımına uğradığı iddiasında ise her zaman</w:t>
            </w:r>
            <w:r w:rsidR="006A55D8" w:rsidRPr="00A23740">
              <w:rPr>
                <w:b w:val="0"/>
                <w:color w:val="auto"/>
                <w:lang w:val="tr-TR"/>
              </w:rPr>
              <w:t>,</w:t>
            </w:r>
            <w:r w:rsidR="00FC01A1" w:rsidRPr="00A23740">
              <w:rPr>
                <w:b w:val="0"/>
                <w:color w:val="auto"/>
                <w:lang w:val="tr-TR"/>
              </w:rPr>
              <w:t xml:space="preserve"> takibin iptalini veya icranın geri bırakılmasını isteyebilir. Talep hakkında icra hukuk mahkemesince karar verilir. Zamanaşımı </w:t>
            </w:r>
            <w:r w:rsidR="008E1D8E" w:rsidRPr="00A23740">
              <w:rPr>
                <w:b w:val="0"/>
                <w:color w:val="auto"/>
                <w:lang w:val="tr-TR"/>
              </w:rPr>
              <w:t>h</w:t>
            </w:r>
            <w:r w:rsidR="002F2BAA" w:rsidRPr="00A23740">
              <w:rPr>
                <w:b w:val="0"/>
                <w:color w:val="auto"/>
                <w:lang w:val="tr-TR"/>
              </w:rPr>
              <w:t>â</w:t>
            </w:r>
            <w:r w:rsidR="008E1D8E" w:rsidRPr="00A23740">
              <w:rPr>
                <w:b w:val="0"/>
                <w:color w:val="auto"/>
                <w:lang w:val="tr-TR"/>
              </w:rPr>
              <w:t>li de</w:t>
            </w:r>
            <w:r w:rsidR="00FC01A1" w:rsidRPr="00A23740">
              <w:rPr>
                <w:b w:val="0"/>
                <w:color w:val="auto"/>
                <w:lang w:val="tr-TR"/>
              </w:rPr>
              <w:t xml:space="preserve"> bu </w:t>
            </w:r>
            <w:r w:rsidR="008E1D8E" w:rsidRPr="00A23740">
              <w:rPr>
                <w:b w:val="0"/>
                <w:color w:val="auto"/>
                <w:lang w:val="tr-TR"/>
              </w:rPr>
              <w:t>madde</w:t>
            </w:r>
            <w:r w:rsidR="00FC01A1" w:rsidRPr="00A23740">
              <w:rPr>
                <w:b w:val="0"/>
                <w:color w:val="auto"/>
                <w:lang w:val="tr-TR"/>
              </w:rPr>
              <w:t xml:space="preserve"> kapsamına alınmaktadır</w:t>
            </w:r>
            <w:r w:rsidR="008E1D8E" w:rsidRPr="00A23740">
              <w:rPr>
                <w:b w:val="0"/>
                <w:color w:val="auto"/>
                <w:lang w:val="tr-TR"/>
              </w:rPr>
              <w:t>.</w:t>
            </w:r>
            <w:r w:rsidR="00FC01A1" w:rsidRPr="00A23740">
              <w:rPr>
                <w:b w:val="0"/>
                <w:color w:val="auto"/>
                <w:lang w:val="tr-TR"/>
              </w:rPr>
              <w:t xml:space="preserve"> İcra emrinin tebliğinden önceki h</w:t>
            </w:r>
            <w:r w:rsidR="002F2BAA" w:rsidRPr="00A23740">
              <w:rPr>
                <w:b w:val="0"/>
                <w:color w:val="auto"/>
                <w:lang w:val="tr-TR"/>
              </w:rPr>
              <w:t>â</w:t>
            </w:r>
            <w:r w:rsidR="00FC01A1" w:rsidRPr="00A23740">
              <w:rPr>
                <w:b w:val="0"/>
                <w:color w:val="auto"/>
                <w:lang w:val="tr-TR"/>
              </w:rPr>
              <w:t>ller için sebebin hüküm tarihinden sonra ger</w:t>
            </w:r>
            <w:r w:rsidR="00076771" w:rsidRPr="00A23740">
              <w:rPr>
                <w:b w:val="0"/>
                <w:color w:val="auto"/>
                <w:lang w:val="tr-TR"/>
              </w:rPr>
              <w:t>çek</w:t>
            </w:r>
            <w:r w:rsidR="00FC01A1" w:rsidRPr="00A23740">
              <w:rPr>
                <w:b w:val="0"/>
                <w:color w:val="auto"/>
                <w:lang w:val="tr-TR"/>
              </w:rPr>
              <w:t>leşmiş olması gereği</w:t>
            </w:r>
            <w:r w:rsidR="00076771" w:rsidRPr="00A23740">
              <w:rPr>
                <w:b w:val="0"/>
                <w:color w:val="auto"/>
                <w:lang w:val="tr-TR"/>
              </w:rPr>
              <w:t>,</w:t>
            </w:r>
            <w:r w:rsidR="00FC01A1" w:rsidRPr="00A23740">
              <w:rPr>
                <w:b w:val="0"/>
                <w:color w:val="auto"/>
                <w:lang w:val="tr-TR"/>
              </w:rPr>
              <w:t xml:space="preserve"> metne açık bir şekilde yazılmaktadır. 2004 sayılı Kanundan farklı olarak başvuru süresi yedi günden iki haftaya çıkarılmaktadır.</w:t>
            </w:r>
          </w:p>
          <w:p w:rsidR="00FC01A1" w:rsidRPr="00A23740" w:rsidRDefault="001238D3" w:rsidP="009431FF">
            <w:pPr>
              <w:pStyle w:val="Mavi"/>
              <w:ind w:firstLine="709"/>
              <w:rPr>
                <w:b w:val="0"/>
                <w:color w:val="auto"/>
                <w:lang w:val="tr-TR"/>
              </w:rPr>
            </w:pPr>
            <w:r w:rsidRPr="00A23740">
              <w:rPr>
                <w:b w:val="0"/>
                <w:color w:val="auto"/>
                <w:lang w:val="tr-TR"/>
              </w:rPr>
              <w:t>İkinci fıkrayla, icra hukuk mahkemesinin, talep h</w:t>
            </w:r>
            <w:r w:rsidR="002F2BAA" w:rsidRPr="00A23740">
              <w:rPr>
                <w:b w:val="0"/>
                <w:color w:val="auto"/>
                <w:lang w:val="tr-TR"/>
              </w:rPr>
              <w:t>â</w:t>
            </w:r>
            <w:r w:rsidRPr="00A23740">
              <w:rPr>
                <w:b w:val="0"/>
                <w:color w:val="auto"/>
                <w:lang w:val="tr-TR"/>
              </w:rPr>
              <w:t>linde ihtiyati tedbir yoluyla takibi durdurabileceği de açıkça düzenlenmektedir. Bu talep bakımından kural olarak mahkemenin takdir yetkisi olmakla birlikte, iptal veya erteleme talebi yetkili mercilerce resen düzenlenmiş, usulüne göre onaylanmış, icra ve iflas dairesi veya mahkeme önünde ikrar edilmiş bir belgeye dayanıyorsa, mahkeme takibi durdurmak zorundadır.</w:t>
            </w:r>
          </w:p>
          <w:p w:rsidR="003526F6" w:rsidRPr="00A23740" w:rsidRDefault="001238D3" w:rsidP="009431FF">
            <w:pPr>
              <w:pStyle w:val="Mavi"/>
              <w:ind w:firstLine="709"/>
              <w:rPr>
                <w:b w:val="0"/>
                <w:color w:val="auto"/>
                <w:lang w:val="tr-TR"/>
              </w:rPr>
            </w:pPr>
            <w:r w:rsidRPr="00A23740">
              <w:rPr>
                <w:b w:val="0"/>
                <w:color w:val="auto"/>
                <w:lang w:val="tr-TR"/>
              </w:rPr>
              <w:lastRenderedPageBreak/>
              <w:t>Üçüncü fıkrayla, icra hukuk mahkemesinin her h</w:t>
            </w:r>
            <w:r w:rsidR="002F2BAA" w:rsidRPr="00A23740">
              <w:rPr>
                <w:b w:val="0"/>
                <w:color w:val="auto"/>
                <w:lang w:val="tr-TR"/>
              </w:rPr>
              <w:t>â</w:t>
            </w:r>
            <w:r w:rsidRPr="00A23740">
              <w:rPr>
                <w:b w:val="0"/>
                <w:color w:val="auto"/>
                <w:lang w:val="tr-TR"/>
              </w:rPr>
              <w:t>lde genel hükümlere göre yargılama yapacağı ifade edilmektedir. Yeni düzenlemedeki en önemli farklılık, taleplerin artık genel hükümler çerçevesinde inceleneceği hususudur. Başvuru her ne kadar yine icra huku</w:t>
            </w:r>
            <w:r w:rsidR="009F33EC" w:rsidRPr="00A23740">
              <w:rPr>
                <w:b w:val="0"/>
                <w:color w:val="auto"/>
                <w:lang w:val="tr-TR"/>
              </w:rPr>
              <w:t>k mahkemesine yapılacak olsa da</w:t>
            </w:r>
            <w:r w:rsidRPr="00A23740">
              <w:rPr>
                <w:b w:val="0"/>
                <w:color w:val="auto"/>
                <w:lang w:val="tr-TR"/>
              </w:rPr>
              <w:t xml:space="preserve"> mahkeme bu başvuruyu genel hükümlere göre inceleyeceğinden, artık delil sınırlaması da bulunmayacaktır. Borçlu ve alacaklı</w:t>
            </w:r>
            <w:r w:rsidR="00076771" w:rsidRPr="00A23740">
              <w:rPr>
                <w:b w:val="0"/>
                <w:color w:val="auto"/>
                <w:lang w:val="tr-TR"/>
              </w:rPr>
              <w:t>,</w:t>
            </w:r>
            <w:r w:rsidRPr="00A23740">
              <w:rPr>
                <w:b w:val="0"/>
                <w:color w:val="auto"/>
                <w:lang w:val="tr-TR"/>
              </w:rPr>
              <w:t xml:space="preserve"> ispat faaliyetini de genel </w:t>
            </w:r>
            <w:r w:rsidR="00586835" w:rsidRPr="00A23740">
              <w:rPr>
                <w:b w:val="0"/>
                <w:color w:val="auto"/>
                <w:lang w:val="tr-TR"/>
              </w:rPr>
              <w:t>hükümlere göre gerçekleştir</w:t>
            </w:r>
            <w:r w:rsidRPr="00A23740">
              <w:rPr>
                <w:b w:val="0"/>
                <w:color w:val="auto"/>
                <w:lang w:val="tr-TR"/>
              </w:rPr>
              <w:t>ir. Bu çerçevede 2004 sayılı Kanunun 33/a maddesindeki karmaşık uygulamaya gerek kalmamaktadır. Bu bağlamda icra hukuk mahkemesinin iptal ve geri bırakma talepleriyle ilgili olarak esastan vereceği her türlü karar maddi anlamda kesin hüküm oluşturur.</w:t>
            </w:r>
            <w:r w:rsidR="003526F6" w:rsidRPr="00A23740">
              <w:t xml:space="preserve"> </w:t>
            </w:r>
            <w:r w:rsidR="003526F6" w:rsidRPr="00A23740">
              <w:rPr>
                <w:b w:val="0"/>
                <w:color w:val="auto"/>
              </w:rPr>
              <w:t>İlamlı icra bakımından durum bu olmakla birlikte, ilamsız icra bakımından takibin iptali ve icranın geri bırakılmasında 2004 sayılı Kanunda olduğu gibi</w:t>
            </w:r>
            <w:r w:rsidR="00293C30" w:rsidRPr="00A23740">
              <w:rPr>
                <w:b w:val="0"/>
                <w:color w:val="auto"/>
                <w:lang w:val="tr-TR"/>
              </w:rPr>
              <w:t xml:space="preserve"> </w:t>
            </w:r>
            <w:r w:rsidR="00293C30" w:rsidRPr="00A23740">
              <w:rPr>
                <w:rStyle w:val="KonuBalChar"/>
                <w:rFonts w:eastAsia="Calibri"/>
                <w:color w:val="auto"/>
              </w:rPr>
              <w:t>Taslağın 97 nci maddesinde de</w:t>
            </w:r>
            <w:r w:rsidR="00293C30" w:rsidRPr="00A23740">
              <w:rPr>
                <w:b w:val="0"/>
                <w:color w:val="auto"/>
                <w:lang w:val="tr-TR"/>
              </w:rPr>
              <w:t xml:space="preserve"> </w:t>
            </w:r>
            <w:r w:rsidR="003526F6" w:rsidRPr="00A23740">
              <w:rPr>
                <w:b w:val="0"/>
                <w:color w:val="auto"/>
              </w:rPr>
              <w:t xml:space="preserve"> sınırlı sayıda belge üzerinden inceleme yap</w:t>
            </w:r>
            <w:r w:rsidR="003526F6" w:rsidRPr="00A23740">
              <w:rPr>
                <w:b w:val="0"/>
                <w:color w:val="auto"/>
                <w:lang w:val="tr-TR"/>
              </w:rPr>
              <w:t>ıl</w:t>
            </w:r>
            <w:r w:rsidR="003526F6" w:rsidRPr="00A23740">
              <w:rPr>
                <w:b w:val="0"/>
                <w:color w:val="auto"/>
              </w:rPr>
              <w:t xml:space="preserve">acağı esası devam ettirilmektedir </w:t>
            </w:r>
            <w:r w:rsidR="003526F6" w:rsidRPr="00A23740">
              <w:rPr>
                <w:rStyle w:val="KIRMIZIChar"/>
                <w:rFonts w:eastAsia="Calibri"/>
                <w:color w:val="auto"/>
              </w:rPr>
              <w:t>(m. 97)</w:t>
            </w:r>
            <w:r w:rsidR="003526F6" w:rsidRPr="00A23740">
              <w:rPr>
                <w:b w:val="0"/>
                <w:color w:val="auto"/>
              </w:rPr>
              <w:t>. Bu bağlamda, ilamlı icradaki ve ilamsız icradaki takibin iptali ve icranın geri bırakılması taleplerinin incelenme usulü bakımından önemli bir farklılık meydana getirilmiş olduğu dikkate alınmalıdır.</w:t>
            </w:r>
          </w:p>
          <w:p w:rsidR="00B47F40" w:rsidRPr="00A23740" w:rsidRDefault="00B47F40" w:rsidP="009431FF">
            <w:pPr>
              <w:pStyle w:val="Mavi"/>
              <w:ind w:firstLine="709"/>
              <w:rPr>
                <w:b w:val="0"/>
                <w:color w:val="auto"/>
                <w:lang w:val="tr-TR"/>
              </w:rPr>
            </w:pPr>
            <w:r w:rsidRPr="00A23740">
              <w:rPr>
                <w:b w:val="0"/>
                <w:color w:val="auto"/>
                <w:lang w:val="tr-TR"/>
              </w:rPr>
              <w:t>Dördüncü fıkrayla, icra hukuk mahkemesinin vereceği kararlar düzenlenmektedir. Hükme göre itfa, zamanaşımı ve alacaklı tarafından takipten evvel borçluya süre verildiği iddiasının ispatı h</w:t>
            </w:r>
            <w:r w:rsidR="002F2BAA" w:rsidRPr="00A23740">
              <w:rPr>
                <w:b w:val="0"/>
                <w:color w:val="auto"/>
                <w:lang w:val="tr-TR"/>
              </w:rPr>
              <w:t>â</w:t>
            </w:r>
            <w:r w:rsidRPr="00A23740">
              <w:rPr>
                <w:b w:val="0"/>
                <w:color w:val="auto"/>
                <w:lang w:val="tr-TR"/>
              </w:rPr>
              <w:t>linde</w:t>
            </w:r>
            <w:r w:rsidR="00586835" w:rsidRPr="00A23740">
              <w:rPr>
                <w:b w:val="0"/>
                <w:color w:val="auto"/>
                <w:lang w:val="tr-TR"/>
              </w:rPr>
              <w:t xml:space="preserve"> ma</w:t>
            </w:r>
            <w:r w:rsidR="00076771" w:rsidRPr="00A23740">
              <w:rPr>
                <w:b w:val="0"/>
                <w:color w:val="auto"/>
                <w:lang w:val="tr-TR"/>
              </w:rPr>
              <w:t>hkeme</w:t>
            </w:r>
            <w:r w:rsidRPr="00A23740">
              <w:rPr>
                <w:b w:val="0"/>
                <w:color w:val="auto"/>
                <w:lang w:val="tr-TR"/>
              </w:rPr>
              <w:t xml:space="preserve"> taki</w:t>
            </w:r>
            <w:r w:rsidR="00076771" w:rsidRPr="00A23740">
              <w:rPr>
                <w:b w:val="0"/>
                <w:color w:val="auto"/>
                <w:lang w:val="tr-TR"/>
              </w:rPr>
              <w:t>bi</w:t>
            </w:r>
            <w:r w:rsidRPr="00A23740">
              <w:rPr>
                <w:b w:val="0"/>
                <w:color w:val="auto"/>
                <w:lang w:val="tr-TR"/>
              </w:rPr>
              <w:t xml:space="preserve"> iptal eder. Takipten sonra borçluya süre verildiği iddiasının ispatı durumunda ise icranın geri bırakılmasına karar verir. Bu h</w:t>
            </w:r>
            <w:r w:rsidR="002F2BAA" w:rsidRPr="00A23740">
              <w:rPr>
                <w:b w:val="0"/>
                <w:color w:val="auto"/>
                <w:lang w:val="tr-TR"/>
              </w:rPr>
              <w:t>â</w:t>
            </w:r>
            <w:r w:rsidRPr="00A23740">
              <w:rPr>
                <w:b w:val="0"/>
                <w:color w:val="auto"/>
                <w:lang w:val="tr-TR"/>
              </w:rPr>
              <w:t xml:space="preserve">lde icranın ne kadar süreyle geri bırakıldığı hususu </w:t>
            </w:r>
            <w:r w:rsidR="00C77023" w:rsidRPr="008D10FA">
              <w:rPr>
                <w:rStyle w:val="YELChar"/>
                <w:color w:val="auto"/>
              </w:rPr>
              <w:t>da</w:t>
            </w:r>
            <w:r w:rsidR="00C77023" w:rsidRPr="008D10FA">
              <w:rPr>
                <w:color w:val="auto"/>
                <w:lang w:val="tr-TR"/>
              </w:rPr>
              <w:t xml:space="preserve"> </w:t>
            </w:r>
            <w:r w:rsidRPr="00A23740">
              <w:rPr>
                <w:b w:val="0"/>
                <w:color w:val="auto"/>
                <w:lang w:val="tr-TR"/>
              </w:rPr>
              <w:t xml:space="preserve">kararda gösterilir. </w:t>
            </w:r>
            <w:r w:rsidR="001238D3" w:rsidRPr="00A23740">
              <w:rPr>
                <w:b w:val="0"/>
                <w:color w:val="auto"/>
                <w:lang w:val="tr-TR"/>
              </w:rPr>
              <w:t>Maddenin kurgusunda geri bırakma kavramı dar anlamda kullanılmakta; mahkemenin, itfa ve zamanaşımı h</w:t>
            </w:r>
            <w:r w:rsidR="002F2BAA" w:rsidRPr="00A23740">
              <w:rPr>
                <w:b w:val="0"/>
                <w:color w:val="auto"/>
                <w:lang w:val="tr-TR"/>
              </w:rPr>
              <w:t>â</w:t>
            </w:r>
            <w:r w:rsidR="001238D3" w:rsidRPr="00A23740">
              <w:rPr>
                <w:b w:val="0"/>
                <w:color w:val="auto"/>
                <w:lang w:val="tr-TR"/>
              </w:rPr>
              <w:t xml:space="preserve">llerinde iptal; sadece süre verilme </w:t>
            </w:r>
            <w:r w:rsidR="006A55D8" w:rsidRPr="00A23740">
              <w:rPr>
                <w:b w:val="0"/>
                <w:color w:val="auto"/>
                <w:lang w:val="tr-TR"/>
              </w:rPr>
              <w:t xml:space="preserve"> durumunda </w:t>
            </w:r>
            <w:r w:rsidR="001238D3" w:rsidRPr="00A23740">
              <w:rPr>
                <w:b w:val="0"/>
                <w:color w:val="auto"/>
                <w:lang w:val="tr-TR"/>
              </w:rPr>
              <w:t>geri bırakma kararı verebileceği açık şekilde düzenlenmektedir.</w:t>
            </w:r>
          </w:p>
          <w:p w:rsidR="00076771" w:rsidRPr="00A23740" w:rsidRDefault="00B47F40" w:rsidP="009431FF">
            <w:pPr>
              <w:pStyle w:val="Mavi"/>
              <w:ind w:firstLine="709"/>
              <w:rPr>
                <w:b w:val="0"/>
                <w:color w:val="auto"/>
                <w:lang w:val="tr-TR"/>
              </w:rPr>
            </w:pPr>
            <w:r w:rsidRPr="00A23740">
              <w:rPr>
                <w:b w:val="0"/>
                <w:color w:val="auto"/>
                <w:lang w:val="tr-TR"/>
              </w:rPr>
              <w:t>Beşinci fıkrada, icra hukuk mahkemesinin iptal veya icranın geri bırakılması kararının kesinleşmesi üzerine, icranın iadesine ilişkin hükümlerin uygulanacağı belirtilmektedir. Hükümle, uygulamada oluşabilecek tereddütlerin giderilmesi amaçlanmaktadır.</w:t>
            </w:r>
          </w:p>
          <w:p w:rsidR="008E1D8E" w:rsidRPr="00A23740" w:rsidRDefault="00B47F40" w:rsidP="009431FF">
            <w:pPr>
              <w:pStyle w:val="Mavi"/>
              <w:ind w:firstLine="709"/>
              <w:rPr>
                <w:b w:val="0"/>
                <w:color w:val="auto"/>
                <w:lang w:val="tr-TR"/>
              </w:rPr>
            </w:pPr>
            <w:r w:rsidRPr="00A23740">
              <w:rPr>
                <w:b w:val="0"/>
                <w:color w:val="auto"/>
                <w:lang w:val="tr-TR"/>
              </w:rPr>
              <w:t xml:space="preserve">Altıncı fıkrayla, </w:t>
            </w:r>
            <w:r w:rsidR="00C77023" w:rsidRPr="00A23740">
              <w:rPr>
                <w:b w:val="0"/>
                <w:color w:val="auto"/>
                <w:lang w:val="tr-TR"/>
              </w:rPr>
              <w:t xml:space="preserve">borçlunun </w:t>
            </w:r>
            <w:r w:rsidRPr="00A23740">
              <w:rPr>
                <w:b w:val="0"/>
                <w:color w:val="auto"/>
                <w:lang w:val="tr-TR"/>
              </w:rPr>
              <w:t>geri bırakma talebi reddedilen ve istinaf veya temyiz yoluna başvurmak isteyen borçlu</w:t>
            </w:r>
            <w:r w:rsidR="006A55D8" w:rsidRPr="00A23740">
              <w:rPr>
                <w:b w:val="0"/>
                <w:color w:val="auto"/>
                <w:lang w:val="tr-TR"/>
              </w:rPr>
              <w:t>nun</w:t>
            </w:r>
            <w:r w:rsidRPr="00A23740">
              <w:rPr>
                <w:b w:val="0"/>
                <w:color w:val="auto"/>
                <w:lang w:val="tr-TR"/>
              </w:rPr>
              <w:t>, ancak maddede yazılı türden teminatları göstererek kanun yoluna başvurabileceği düzenlenmektedir.</w:t>
            </w:r>
            <w:r w:rsidR="00076771" w:rsidRPr="00A23740">
              <w:rPr>
                <w:b w:val="0"/>
                <w:color w:val="auto"/>
                <w:lang w:val="tr-TR"/>
              </w:rPr>
              <w:t xml:space="preserve"> 2004 sayılı Kanunda yer alan ve geri bırakma talebinin reddi hakkında verilen karar bakımından özel bir istinaf ve temyiz şartı olan teminat yatırma hususu korunmaktadır.</w:t>
            </w:r>
            <w:r w:rsidRPr="00A23740">
              <w:rPr>
                <w:b w:val="0"/>
                <w:color w:val="auto"/>
                <w:lang w:val="tr-TR"/>
              </w:rPr>
              <w:t xml:space="preserve"> </w:t>
            </w:r>
            <w:r w:rsidR="00076771" w:rsidRPr="00A23740">
              <w:rPr>
                <w:b w:val="0"/>
                <w:color w:val="auto"/>
                <w:lang w:val="tr-TR"/>
              </w:rPr>
              <w:t xml:space="preserve">Yukarıda </w:t>
            </w:r>
            <w:r w:rsidRPr="00A23740">
              <w:rPr>
                <w:b w:val="0"/>
                <w:color w:val="auto"/>
                <w:lang w:val="tr-TR"/>
              </w:rPr>
              <w:t>da ifade edildiği üzere, geri bırakma h</w:t>
            </w:r>
            <w:r w:rsidR="002F2BAA" w:rsidRPr="00A23740">
              <w:rPr>
                <w:b w:val="0"/>
                <w:color w:val="auto"/>
                <w:lang w:val="tr-TR"/>
              </w:rPr>
              <w:t>â</w:t>
            </w:r>
            <w:r w:rsidRPr="00A23740">
              <w:rPr>
                <w:b w:val="0"/>
                <w:color w:val="auto"/>
                <w:lang w:val="tr-TR"/>
              </w:rPr>
              <w:t xml:space="preserve">li, sadece alacaklının borçluya süre </w:t>
            </w:r>
            <w:r w:rsidR="00076771" w:rsidRPr="00A23740">
              <w:rPr>
                <w:b w:val="0"/>
                <w:color w:val="auto"/>
                <w:lang w:val="tr-TR"/>
              </w:rPr>
              <w:t>vermesi sebebine dayanan (ve</w:t>
            </w:r>
            <w:r w:rsidR="00EC0B15" w:rsidRPr="00A23740">
              <w:rPr>
                <w:b w:val="0"/>
                <w:color w:val="auto"/>
                <w:lang w:val="tr-TR"/>
              </w:rPr>
              <w:t xml:space="preserve"> </w:t>
            </w:r>
            <w:r w:rsidR="00EC0B15" w:rsidRPr="008D10FA">
              <w:rPr>
                <w:rStyle w:val="KonuBalChar"/>
                <w:rFonts w:eastAsia="Calibri"/>
                <w:color w:val="auto"/>
              </w:rPr>
              <w:t>Taslağın</w:t>
            </w:r>
            <w:r w:rsidR="00076771" w:rsidRPr="008D10FA">
              <w:rPr>
                <w:color w:val="auto"/>
                <w:lang w:val="tr-TR"/>
              </w:rPr>
              <w:t xml:space="preserve"> </w:t>
            </w:r>
            <w:r w:rsidR="00076771" w:rsidRPr="00A23740">
              <w:rPr>
                <w:b w:val="0"/>
                <w:color w:val="auto"/>
                <w:lang w:val="tr-TR"/>
              </w:rPr>
              <w:t xml:space="preserve">64 </w:t>
            </w:r>
            <w:r w:rsidRPr="00A23740">
              <w:rPr>
                <w:b w:val="0"/>
                <w:color w:val="auto"/>
                <w:lang w:val="tr-TR"/>
              </w:rPr>
              <w:t>üncü madde</w:t>
            </w:r>
            <w:r w:rsidR="00EC0B15" w:rsidRPr="008D10FA">
              <w:rPr>
                <w:rStyle w:val="KonuBalChar"/>
                <w:rFonts w:eastAsia="Calibri"/>
                <w:color w:val="auto"/>
              </w:rPr>
              <w:t>sin</w:t>
            </w:r>
            <w:r w:rsidRPr="00A23740">
              <w:rPr>
                <w:b w:val="0"/>
                <w:color w:val="auto"/>
                <w:lang w:val="tr-TR"/>
              </w:rPr>
              <w:t>de</w:t>
            </w:r>
            <w:r w:rsidR="00EC0B15" w:rsidRPr="00A23740">
              <w:rPr>
                <w:b w:val="0"/>
                <w:color w:val="auto"/>
                <w:lang w:val="tr-TR"/>
              </w:rPr>
              <w:t xml:space="preserve"> </w:t>
            </w:r>
            <w:r w:rsidRPr="00A23740">
              <w:rPr>
                <w:b w:val="0"/>
                <w:color w:val="auto"/>
                <w:lang w:val="tr-TR"/>
              </w:rPr>
              <w:t>yer alan karşılıklı edim içeren ilamların icrasında alacaklının kendi edimini yerine getirmediğini veya bunu teklif etmediği h</w:t>
            </w:r>
            <w:r w:rsidR="002F2BAA" w:rsidRPr="00A23740">
              <w:rPr>
                <w:b w:val="0"/>
                <w:color w:val="auto"/>
                <w:lang w:val="tr-TR"/>
              </w:rPr>
              <w:t>â</w:t>
            </w:r>
            <w:r w:rsidRPr="00A23740">
              <w:rPr>
                <w:b w:val="0"/>
                <w:color w:val="auto"/>
                <w:lang w:val="tr-TR"/>
              </w:rPr>
              <w:t>ldeki) talepler bakımın</w:t>
            </w:r>
            <w:r w:rsidR="00076771" w:rsidRPr="00A23740">
              <w:rPr>
                <w:b w:val="0"/>
                <w:color w:val="auto"/>
                <w:lang w:val="tr-TR"/>
              </w:rPr>
              <w:t>dan söz konusu olabileceği için</w:t>
            </w:r>
            <w:r w:rsidRPr="00A23740">
              <w:rPr>
                <w:b w:val="0"/>
                <w:color w:val="auto"/>
                <w:lang w:val="tr-TR"/>
              </w:rPr>
              <w:t xml:space="preserve"> bu teminat şartının uygulama alanı da ciddi şekilde daral</w:t>
            </w:r>
            <w:r w:rsidR="00076771" w:rsidRPr="00A23740">
              <w:rPr>
                <w:b w:val="0"/>
                <w:color w:val="auto"/>
                <w:lang w:val="tr-TR"/>
              </w:rPr>
              <w:t>tılmaktadır</w:t>
            </w:r>
            <w:r w:rsidRPr="00A23740">
              <w:rPr>
                <w:b w:val="0"/>
                <w:color w:val="auto"/>
                <w:lang w:val="tr-TR"/>
              </w:rPr>
              <w:t>. Zira mahkemenin itfa veya zamanaşımı sebebine dayanan iptal talebini reddetmesi h</w:t>
            </w:r>
            <w:r w:rsidR="002F2BAA" w:rsidRPr="00A23740">
              <w:rPr>
                <w:b w:val="0"/>
                <w:color w:val="auto"/>
                <w:lang w:val="tr-TR"/>
              </w:rPr>
              <w:t>â</w:t>
            </w:r>
            <w:r w:rsidRPr="00A23740">
              <w:rPr>
                <w:b w:val="0"/>
                <w:color w:val="auto"/>
                <w:lang w:val="tr-TR"/>
              </w:rPr>
              <w:t>linde bu fıkra uygulama alanı bulmayacaktır.</w:t>
            </w:r>
          </w:p>
          <w:p w:rsidR="008E1D8E" w:rsidRPr="00A23740" w:rsidRDefault="008E1D8E" w:rsidP="009431FF">
            <w:pPr>
              <w:pStyle w:val="Mavi"/>
              <w:ind w:firstLine="709"/>
              <w:rPr>
                <w:b w:val="0"/>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b/>
                <w:bCs/>
                <w:strike/>
                <w:color w:val="FF0000"/>
                <w:szCs w:val="24"/>
                <w:lang w:eastAsia="tr-TR"/>
              </w:rPr>
            </w:pPr>
          </w:p>
          <w:p w:rsidR="00155AF4" w:rsidRPr="00A23740" w:rsidRDefault="00155AF4" w:rsidP="009431FF">
            <w:pPr>
              <w:rPr>
                <w:b/>
                <w:bCs/>
                <w:strike/>
                <w:color w:val="FF0000"/>
                <w:szCs w:val="24"/>
                <w:lang w:eastAsia="tr-TR"/>
              </w:rPr>
            </w:pPr>
          </w:p>
          <w:p w:rsidR="00155AF4" w:rsidRPr="00A23740" w:rsidRDefault="00155AF4" w:rsidP="009431FF">
            <w:pPr>
              <w:rPr>
                <w:b/>
                <w:bCs/>
                <w:strike/>
                <w:color w:val="FF0000"/>
                <w:szCs w:val="24"/>
                <w:lang w:eastAsia="tr-TR"/>
              </w:rPr>
            </w:pPr>
            <w:r w:rsidRPr="00A23740">
              <w:rPr>
                <w:b/>
                <w:bCs/>
                <w:strike/>
                <w:color w:val="FF0000"/>
                <w:szCs w:val="24"/>
                <w:lang w:eastAsia="tr-TR"/>
              </w:rPr>
              <w:t>İcranın nereden isteneceği :</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34 – (1)</w:t>
            </w:r>
            <w:r w:rsidRPr="00A23740">
              <w:rPr>
                <w:rFonts w:eastAsia="Times New Roman"/>
                <w:szCs w:val="24"/>
                <w:lang w:eastAsia="tr-TR"/>
              </w:rPr>
              <w:t xml:space="preserve"> İlam</w:t>
            </w:r>
            <w:r w:rsidRPr="00A23740">
              <w:rPr>
                <w:rFonts w:eastAsia="Times New Roman"/>
                <w:b/>
                <w:bCs/>
                <w:strike/>
                <w:color w:val="FF0000"/>
                <w:szCs w:val="24"/>
                <w:lang w:eastAsia="tr-TR"/>
              </w:rPr>
              <w:t>ların icrası</w:t>
            </w:r>
            <w:r w:rsidRPr="00A23740">
              <w:rPr>
                <w:rFonts w:eastAsia="Times New Roman"/>
                <w:szCs w:val="24"/>
                <w:lang w:eastAsia="tr-TR"/>
              </w:rPr>
              <w:t xml:space="preserve"> her icra dairesinde</w:t>
            </w:r>
            <w:r w:rsidRPr="00A23740">
              <w:rPr>
                <w:rStyle w:val="Stil3Char"/>
                <w:rFonts w:eastAsia="Calibri"/>
              </w:rPr>
              <w:t>n ta</w:t>
            </w:r>
            <w:r w:rsidRPr="00A23740">
              <w:rPr>
                <w:rFonts w:eastAsia="Times New Roman"/>
                <w:b/>
                <w:bCs/>
                <w:strike/>
                <w:color w:val="FF0000"/>
                <w:szCs w:val="24"/>
                <w:lang w:eastAsia="tr-TR"/>
              </w:rPr>
              <w:t>lep olunabilir</w:t>
            </w:r>
            <w:r w:rsidRPr="00A23740">
              <w:rPr>
                <w:rFonts w:eastAsia="Times New Roman"/>
                <w:szCs w:val="24"/>
                <w:lang w:eastAsia="tr-TR"/>
              </w:rPr>
              <w:t xml:space="preserve">. Alacaklı yerleşim yerini değiştirirse takibin yeni yerleşim yerini icra dairesine </w:t>
            </w:r>
            <w:r w:rsidRPr="00A23740">
              <w:rPr>
                <w:rFonts w:eastAsia="Times New Roman"/>
                <w:b/>
                <w:bCs/>
                <w:strike/>
                <w:color w:val="FF0000"/>
                <w:szCs w:val="24"/>
                <w:lang w:eastAsia="tr-TR"/>
              </w:rPr>
              <w:t xml:space="preserve">havalesini </w:t>
            </w:r>
            <w:r w:rsidRPr="00A23740">
              <w:rPr>
                <w:rFonts w:eastAsia="Times New Roman"/>
                <w:szCs w:val="24"/>
                <w:lang w:eastAsia="tr-TR"/>
              </w:rPr>
              <w:t>isteyebilir.</w:t>
            </w:r>
          </w:p>
          <w:p w:rsidR="00155AF4" w:rsidRPr="00A23740" w:rsidRDefault="00155AF4" w:rsidP="009431FF">
            <w:pPr>
              <w:tabs>
                <w:tab w:val="left" w:pos="567"/>
              </w:tabs>
              <w:rPr>
                <w:rFonts w:eastAsia="Times New Roman"/>
                <w:b/>
                <w:bCs/>
                <w:szCs w:val="24"/>
                <w:lang w:eastAsia="tr-TR"/>
              </w:rPr>
            </w:pPr>
          </w:p>
        </w:tc>
        <w:tc>
          <w:tcPr>
            <w:tcW w:w="2500" w:type="pct"/>
          </w:tcPr>
          <w:p w:rsidR="00155AF4" w:rsidRPr="00A23740" w:rsidRDefault="00155AF4" w:rsidP="009431FF">
            <w:pPr>
              <w:pStyle w:val="Balk5"/>
              <w:rPr>
                <w:lang w:val="tr-TR" w:eastAsia="tr-TR"/>
              </w:rPr>
            </w:pPr>
            <w:r w:rsidRPr="00A23740">
              <w:rPr>
                <w:lang w:val="tr-TR" w:eastAsia="tr-TR"/>
              </w:rPr>
              <w:t>ÜÇÜNCÜ ALT AYRIM</w:t>
            </w:r>
          </w:p>
          <w:p w:rsidR="00155AF4" w:rsidRPr="00A23740" w:rsidRDefault="00155AF4" w:rsidP="009431FF">
            <w:pPr>
              <w:pStyle w:val="Balk5"/>
              <w:rPr>
                <w:lang w:val="tr-TR" w:eastAsia="tr-TR"/>
              </w:rPr>
            </w:pPr>
            <w:r w:rsidRPr="00A23740">
              <w:rPr>
                <w:lang w:val="tr-TR" w:eastAsia="tr-TR"/>
              </w:rPr>
              <w:t>Müşterek Hükümler</w:t>
            </w:r>
          </w:p>
          <w:p w:rsidR="00437BA8" w:rsidRPr="00A23740" w:rsidRDefault="00437BA8" w:rsidP="009431FF">
            <w:pPr>
              <w:rPr>
                <w:lang w:eastAsia="tr-TR"/>
              </w:rPr>
            </w:pPr>
          </w:p>
          <w:p w:rsidR="00155AF4" w:rsidRPr="00A23740" w:rsidRDefault="00155AF4" w:rsidP="009431FF">
            <w:pPr>
              <w:pStyle w:val="Mavi"/>
            </w:pPr>
            <w:r w:rsidRPr="00A23740">
              <w:t>Yetkili icra ve iflas</w:t>
            </w:r>
            <w:r w:rsidRPr="00A23740">
              <w:rPr>
                <w:lang w:val="tr-TR"/>
              </w:rPr>
              <w:t xml:space="preserve"> </w:t>
            </w:r>
            <w:r w:rsidRPr="00A23740">
              <w:t>dairesi</w:t>
            </w:r>
          </w:p>
          <w:p w:rsidR="00155AF4" w:rsidRPr="00A23740" w:rsidRDefault="00155AF4" w:rsidP="009431FF">
            <w:pPr>
              <w:pStyle w:val="Mavi"/>
              <w:rPr>
                <w:rFonts w:eastAsia="Times New Roman"/>
                <w:b w:val="0"/>
                <w:bCs w:val="0"/>
                <w:lang w:eastAsia="tr-TR"/>
              </w:rPr>
            </w:pPr>
            <w:r w:rsidRPr="00A23740">
              <w:t xml:space="preserve">MADDE 62- </w:t>
            </w:r>
            <w:r w:rsidRPr="00A23740">
              <w:rPr>
                <w:lang w:val="tr-TR"/>
              </w:rPr>
              <w:t xml:space="preserve">(1) </w:t>
            </w:r>
            <w:r w:rsidRPr="00A23740">
              <w:rPr>
                <w:rFonts w:eastAsia="Times New Roman"/>
                <w:b w:val="0"/>
                <w:bCs w:val="0"/>
                <w:color w:val="auto"/>
                <w:lang w:val="tr-TR" w:eastAsia="tr-TR"/>
              </w:rPr>
              <w:t>İlam</w:t>
            </w:r>
            <w:r w:rsidRPr="00A23740">
              <w:rPr>
                <w:lang w:val="tr-TR"/>
              </w:rPr>
              <w:t>a ve il</w:t>
            </w:r>
            <w:r w:rsidR="00A83D89" w:rsidRPr="00A23740">
              <w:rPr>
                <w:lang w:val="tr-TR"/>
              </w:rPr>
              <w:t>a</w:t>
            </w:r>
            <w:r w:rsidRPr="00A23740">
              <w:rPr>
                <w:lang w:val="tr-TR"/>
              </w:rPr>
              <w:t xml:space="preserve">m niteliğindeki belgelere dayalı takipler </w:t>
            </w:r>
            <w:r w:rsidRPr="00A23740">
              <w:rPr>
                <w:rFonts w:eastAsia="Times New Roman"/>
                <w:b w:val="0"/>
                <w:bCs w:val="0"/>
                <w:color w:val="auto"/>
                <w:lang w:val="tr-TR" w:eastAsia="tr-TR"/>
              </w:rPr>
              <w:t xml:space="preserve">her icra </w:t>
            </w:r>
            <w:r w:rsidRPr="00A23740">
              <w:t>ve iflas</w:t>
            </w:r>
            <w:r w:rsidRPr="00A23740">
              <w:rPr>
                <w:rFonts w:eastAsia="Times New Roman"/>
                <w:b w:val="0"/>
                <w:bCs w:val="0"/>
                <w:color w:val="auto"/>
                <w:lang w:val="tr-TR" w:eastAsia="tr-TR"/>
              </w:rPr>
              <w:t xml:space="preserve"> dairesinde</w:t>
            </w:r>
            <w:r w:rsidRPr="00A23740">
              <w:rPr>
                <w:lang w:val="tr-TR" w:eastAsia="tr-TR"/>
              </w:rPr>
              <w:t xml:space="preserve"> </w:t>
            </w:r>
            <w:r w:rsidRPr="00A23740">
              <w:rPr>
                <w:lang w:val="tr-TR"/>
              </w:rPr>
              <w:t>yapılabilir.</w:t>
            </w:r>
            <w:r w:rsidR="00EE735B" w:rsidRPr="00A23740">
              <w:rPr>
                <w:rFonts w:eastAsia="Times New Roman"/>
                <w:lang w:eastAsia="tr-TR"/>
              </w:rPr>
              <w:t xml:space="preserve"> </w:t>
            </w:r>
            <w:r w:rsidRPr="00A23740">
              <w:rPr>
                <w:rFonts w:eastAsia="Times New Roman"/>
                <w:b w:val="0"/>
                <w:bCs w:val="0"/>
                <w:color w:val="auto"/>
                <w:lang w:val="tr-TR" w:eastAsia="tr-TR"/>
              </w:rPr>
              <w:t xml:space="preserve">Alacaklı yerleşim yerini değiştirirse, takibin yeni yerleşim yeri icra </w:t>
            </w:r>
            <w:r w:rsidRPr="00A23740">
              <w:t>ve iflas</w:t>
            </w:r>
            <w:r w:rsidRPr="00A23740">
              <w:rPr>
                <w:rFonts w:eastAsia="Times New Roman"/>
                <w:b w:val="0"/>
                <w:bCs w:val="0"/>
                <w:color w:val="auto"/>
                <w:lang w:val="tr-TR" w:eastAsia="tr-TR"/>
              </w:rPr>
              <w:t xml:space="preserve"> dairesine</w:t>
            </w:r>
            <w:r w:rsidRPr="00A23740">
              <w:t xml:space="preserve"> gönderilmesini </w:t>
            </w:r>
            <w:r w:rsidRPr="00A23740">
              <w:rPr>
                <w:rFonts w:eastAsia="Times New Roman"/>
                <w:b w:val="0"/>
                <w:bCs w:val="0"/>
                <w:color w:val="auto"/>
                <w:lang w:val="tr-TR" w:eastAsia="tr-TR"/>
              </w:rPr>
              <w:t>isteyebilir.</w:t>
            </w:r>
          </w:p>
        </w:tc>
      </w:tr>
      <w:tr w:rsidR="00155AF4" w:rsidRPr="00A23740" w:rsidTr="009431FF">
        <w:tc>
          <w:tcPr>
            <w:tcW w:w="5000" w:type="pct"/>
            <w:gridSpan w:val="2"/>
            <w:shd w:val="clear" w:color="auto" w:fill="DEEAF6"/>
          </w:tcPr>
          <w:p w:rsidR="008E1D8E" w:rsidRPr="00A23740" w:rsidRDefault="008E1D8E" w:rsidP="009431FF">
            <w:pPr>
              <w:pStyle w:val="Mavi"/>
              <w:ind w:firstLine="709"/>
              <w:rPr>
                <w:color w:val="auto"/>
                <w:lang w:val="tr-TR"/>
              </w:rPr>
            </w:pPr>
          </w:p>
          <w:p w:rsidR="001F77F8" w:rsidRPr="00A23740" w:rsidRDefault="008E1D8E" w:rsidP="009431FF">
            <w:pPr>
              <w:pStyle w:val="Mavi"/>
              <w:ind w:firstLine="709"/>
              <w:rPr>
                <w:b w:val="0"/>
                <w:color w:val="auto"/>
                <w:lang w:val="tr-TR"/>
              </w:rPr>
            </w:pPr>
            <w:r w:rsidRPr="00A23740">
              <w:rPr>
                <w:color w:val="auto"/>
                <w:lang w:val="tr-TR"/>
              </w:rPr>
              <w:t xml:space="preserve">MADDE 62- </w:t>
            </w:r>
            <w:r w:rsidRPr="00A23740">
              <w:rPr>
                <w:b w:val="0"/>
                <w:color w:val="auto"/>
                <w:lang w:val="tr-TR"/>
              </w:rPr>
              <w:t>Madde</w:t>
            </w:r>
            <w:r w:rsidR="001F77F8" w:rsidRPr="00A23740">
              <w:rPr>
                <w:b w:val="0"/>
                <w:color w:val="auto"/>
                <w:lang w:val="tr-TR"/>
              </w:rPr>
              <w:t>yle</w:t>
            </w:r>
            <w:r w:rsidRPr="00A23740">
              <w:rPr>
                <w:b w:val="0"/>
                <w:color w:val="auto"/>
                <w:lang w:val="tr-TR"/>
              </w:rPr>
              <w:t>,</w:t>
            </w:r>
            <w:r w:rsidR="001F77F8" w:rsidRPr="00A23740">
              <w:rPr>
                <w:b w:val="0"/>
                <w:color w:val="auto"/>
                <w:lang w:val="tr-TR"/>
              </w:rPr>
              <w:t xml:space="preserve"> icra ve iflas dairesinin ilamlı takipte yetkisi belirlenmektedir. Hüküm, 2004 sayılı Kanunun 34 üncü maddesine karşılık gelmekte olup dili sadeleşterilmek suretiyle muhafaza edilmektedir.</w:t>
            </w:r>
          </w:p>
          <w:p w:rsidR="008E1D8E" w:rsidRPr="00A23740" w:rsidRDefault="001F77F8" w:rsidP="009431FF">
            <w:pPr>
              <w:pStyle w:val="Mavi"/>
              <w:ind w:firstLine="709"/>
              <w:rPr>
                <w:color w:val="auto"/>
                <w:lang w:val="tr-TR"/>
              </w:rPr>
            </w:pPr>
            <w:r w:rsidRPr="00A23740">
              <w:rPr>
                <w:b w:val="0"/>
                <w:color w:val="auto"/>
                <w:lang w:val="tr-TR"/>
              </w:rPr>
              <w:t xml:space="preserve">Birinci fıkrayla, </w:t>
            </w:r>
            <w:r w:rsidRPr="00A23740">
              <w:rPr>
                <w:rFonts w:eastAsia="Times New Roman"/>
                <w:b w:val="0"/>
                <w:bCs w:val="0"/>
                <w:color w:val="auto"/>
                <w:lang w:val="tr-TR" w:eastAsia="tr-TR"/>
              </w:rPr>
              <w:t>ilam</w:t>
            </w:r>
            <w:r w:rsidRPr="00A23740">
              <w:rPr>
                <w:lang w:val="tr-TR"/>
              </w:rPr>
              <w:t xml:space="preserve"> </w:t>
            </w:r>
            <w:r w:rsidRPr="00A23740">
              <w:rPr>
                <w:rFonts w:eastAsia="Times New Roman"/>
                <w:b w:val="0"/>
                <w:bCs w:val="0"/>
                <w:color w:val="auto"/>
                <w:lang w:val="tr-TR" w:eastAsia="tr-TR"/>
              </w:rPr>
              <w:t>ve</w:t>
            </w:r>
            <w:r w:rsidRPr="00A23740">
              <w:rPr>
                <w:lang w:val="tr-TR"/>
              </w:rPr>
              <w:t xml:space="preserve"> </w:t>
            </w:r>
            <w:r w:rsidRPr="00A23740">
              <w:rPr>
                <w:rFonts w:eastAsia="Times New Roman"/>
                <w:b w:val="0"/>
                <w:bCs w:val="0"/>
                <w:color w:val="auto"/>
                <w:lang w:val="tr-TR" w:eastAsia="tr-TR"/>
              </w:rPr>
              <w:t>il</w:t>
            </w:r>
            <w:r w:rsidR="00D72007" w:rsidRPr="00A23740">
              <w:rPr>
                <w:rFonts w:eastAsia="Times New Roman"/>
                <w:b w:val="0"/>
                <w:bCs w:val="0"/>
                <w:color w:val="auto"/>
                <w:lang w:val="tr-TR" w:eastAsia="tr-TR"/>
              </w:rPr>
              <w:t>a</w:t>
            </w:r>
            <w:r w:rsidRPr="00A23740">
              <w:rPr>
                <w:rFonts w:eastAsia="Times New Roman"/>
                <w:b w:val="0"/>
                <w:bCs w:val="0"/>
                <w:color w:val="auto"/>
                <w:lang w:val="tr-TR" w:eastAsia="tr-TR"/>
              </w:rPr>
              <w:t>m niteliğindeki belgelere dayalı takiplerin yetki ayrımı gözetmeksizin her icra ve iflas dairesinde yapılabileceği hükme bağlanmaktadır. 2004 sayılı Kanundan farklı olarak metne, ilam niteliğindeki belgeler de açık bir şekilde eklenmektedir.</w:t>
            </w:r>
            <w:r w:rsidR="00EE735B" w:rsidRPr="00A23740">
              <w:rPr>
                <w:rFonts w:eastAsia="Times New Roman"/>
                <w:b w:val="0"/>
                <w:bCs w:val="0"/>
                <w:color w:val="auto"/>
                <w:lang w:val="tr-TR" w:eastAsia="tr-TR"/>
              </w:rPr>
              <w:t xml:space="preserve"> </w:t>
            </w:r>
            <w:r w:rsidR="00EE735B" w:rsidRPr="008D10FA">
              <w:rPr>
                <w:rFonts w:eastAsia="Times New Roman"/>
                <w:b w:val="0"/>
                <w:color w:val="auto"/>
                <w:lang w:val="tr-TR" w:eastAsia="tr-TR"/>
              </w:rPr>
              <w:t>A</w:t>
            </w:r>
            <w:r w:rsidRPr="00A23740">
              <w:rPr>
                <w:rFonts w:eastAsia="Times New Roman"/>
                <w:b w:val="0"/>
                <w:bCs w:val="0"/>
                <w:color w:val="auto"/>
                <w:lang w:val="tr-TR" w:eastAsia="tr-TR"/>
              </w:rPr>
              <w:t>lacaklının yerleşim yerini değiştirmesi h</w:t>
            </w:r>
            <w:r w:rsidR="002F2BAA" w:rsidRPr="00A23740">
              <w:rPr>
                <w:rFonts w:eastAsia="Times New Roman"/>
                <w:b w:val="0"/>
                <w:bCs w:val="0"/>
                <w:color w:val="auto"/>
                <w:lang w:val="tr-TR" w:eastAsia="tr-TR"/>
              </w:rPr>
              <w:t>â</w:t>
            </w:r>
            <w:r w:rsidRPr="00A23740">
              <w:rPr>
                <w:rFonts w:eastAsia="Times New Roman"/>
                <w:b w:val="0"/>
                <w:bCs w:val="0"/>
                <w:color w:val="auto"/>
                <w:lang w:val="tr-TR" w:eastAsia="tr-TR"/>
              </w:rPr>
              <w:t>linde, takibin yeni yerleşim yeri icra ve iflas dairesine gönderilmesini talep e</w:t>
            </w:r>
            <w:r w:rsidR="006A55D8" w:rsidRPr="00A23740">
              <w:rPr>
                <w:rFonts w:eastAsia="Times New Roman"/>
                <w:b w:val="0"/>
                <w:bCs w:val="0"/>
                <w:color w:val="auto"/>
                <w:lang w:val="tr-TR" w:eastAsia="tr-TR"/>
              </w:rPr>
              <w:t xml:space="preserve"> edebilmesi kabul edilmiştir</w:t>
            </w:r>
            <w:r w:rsidRPr="00A23740">
              <w:rPr>
                <w:rFonts w:eastAsia="Times New Roman"/>
                <w:b w:val="0"/>
                <w:bCs w:val="0"/>
                <w:color w:val="auto"/>
                <w:lang w:val="tr-TR" w:eastAsia="tr-TR"/>
              </w:rPr>
              <w:t>.</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rFonts w:eastAsia="Times New Roman"/>
                <w:b/>
                <w:bCs/>
                <w:color w:val="0000FF"/>
                <w:szCs w:val="24"/>
                <w:lang w:eastAsia="tr-TR"/>
              </w:rPr>
            </w:pPr>
          </w:p>
          <w:p w:rsidR="00155AF4" w:rsidRPr="00A23740" w:rsidRDefault="00155AF4" w:rsidP="009431FF">
            <w:pPr>
              <w:rPr>
                <w:b/>
                <w:bCs/>
                <w:strike/>
                <w:color w:val="FF0000"/>
                <w:szCs w:val="24"/>
                <w:lang w:eastAsia="tr-TR"/>
              </w:rPr>
            </w:pPr>
          </w:p>
        </w:tc>
        <w:tc>
          <w:tcPr>
            <w:tcW w:w="2500" w:type="pct"/>
          </w:tcPr>
          <w:p w:rsidR="00155AF4" w:rsidRPr="00A23740" w:rsidRDefault="00155AF4" w:rsidP="009431FF">
            <w:pPr>
              <w:pStyle w:val="Mavi"/>
            </w:pPr>
            <w:r w:rsidRPr="00A23740">
              <w:t>Seçimlik hükümlerin icrası</w:t>
            </w:r>
          </w:p>
          <w:p w:rsidR="001932BA" w:rsidRPr="00A23740" w:rsidRDefault="00155AF4" w:rsidP="009431FF">
            <w:pPr>
              <w:pStyle w:val="Mavi"/>
            </w:pPr>
            <w:r w:rsidRPr="00A23740">
              <w:t>MADDE 63- (1) Seçimlik davada verilen mahkûmiyet hükmünü icra takibine konu eden alacaklı, talebini seçimlik hükümlerden birisine hasretmek zorundadır.</w:t>
            </w:r>
          </w:p>
          <w:p w:rsidR="001932BA" w:rsidRPr="00A23740" w:rsidRDefault="001932BA" w:rsidP="009431FF">
            <w:pPr>
              <w:pStyle w:val="Mavi"/>
            </w:pPr>
          </w:p>
          <w:p w:rsidR="00155AF4" w:rsidRPr="00A23740" w:rsidRDefault="001932BA" w:rsidP="009431FF">
            <w:pPr>
              <w:pStyle w:val="Mavi"/>
              <w:rPr>
                <w:lang w:val="tr-TR"/>
              </w:rPr>
            </w:pPr>
            <w:r w:rsidRPr="00A23740">
              <w:rPr>
                <w:lang w:val="tr-TR"/>
              </w:rPr>
              <w:t>(2)</w:t>
            </w:r>
            <w:r w:rsidR="00155AF4" w:rsidRPr="00A23740">
              <w:t xml:space="preserve"> </w:t>
            </w:r>
            <w:r w:rsidRPr="00A23740">
              <w:t>Borçlu</w:t>
            </w:r>
            <w:r w:rsidR="00155AF4" w:rsidRPr="00A23740">
              <w:t>, icra emrinde belirtilen sürede, mahkûm olduğu</w:t>
            </w:r>
            <w:r w:rsidR="00155AF4" w:rsidRPr="00A23740">
              <w:rPr>
                <w:lang w:val="tr-TR"/>
              </w:rPr>
              <w:t xml:space="preserve"> </w:t>
            </w:r>
            <w:r w:rsidR="00155AF4" w:rsidRPr="00A23740">
              <w:t xml:space="preserve">diğer edimi ifa ederek </w:t>
            </w:r>
            <w:r w:rsidR="00444CC3" w:rsidRPr="00A23740">
              <w:t xml:space="preserve">de </w:t>
            </w:r>
            <w:r w:rsidR="00155AF4" w:rsidRPr="00A23740">
              <w:t>borçtan kurtulabilir. Bu husus 57</w:t>
            </w:r>
            <w:r w:rsidR="00155AF4" w:rsidRPr="00A23740">
              <w:rPr>
                <w:lang w:val="tr-TR"/>
              </w:rPr>
              <w:t xml:space="preserve"> </w:t>
            </w:r>
            <w:r w:rsidR="00155AF4" w:rsidRPr="00A23740">
              <w:t>nci maddenin üçüncü fıkrası uyarınca icra emrinde borçluya ayrıca ihtar edilir.</w:t>
            </w:r>
          </w:p>
          <w:p w:rsidR="00C0620C" w:rsidRPr="00A23740" w:rsidRDefault="00C0620C" w:rsidP="009431FF">
            <w:pPr>
              <w:rPr>
                <w:lang w:eastAsia="tr-TR"/>
              </w:rPr>
            </w:pPr>
          </w:p>
        </w:tc>
      </w:tr>
      <w:tr w:rsidR="00155AF4" w:rsidRPr="00A23740" w:rsidTr="009431FF">
        <w:tc>
          <w:tcPr>
            <w:tcW w:w="5000" w:type="pct"/>
            <w:gridSpan w:val="2"/>
            <w:shd w:val="clear" w:color="auto" w:fill="DEEAF6"/>
          </w:tcPr>
          <w:p w:rsidR="008E1D8E" w:rsidRPr="00A23740" w:rsidRDefault="008E1D8E" w:rsidP="009431FF">
            <w:pPr>
              <w:pStyle w:val="Mavi"/>
              <w:ind w:firstLine="709"/>
              <w:rPr>
                <w:color w:val="auto"/>
                <w:lang w:val="tr-TR"/>
              </w:rPr>
            </w:pPr>
          </w:p>
          <w:p w:rsidR="00ED44D9" w:rsidRPr="00A23740" w:rsidRDefault="008E1D8E" w:rsidP="009431FF">
            <w:pPr>
              <w:pStyle w:val="Mavi"/>
              <w:ind w:firstLine="709"/>
              <w:rPr>
                <w:b w:val="0"/>
                <w:color w:val="auto"/>
                <w:lang w:val="tr-TR"/>
              </w:rPr>
            </w:pPr>
            <w:r w:rsidRPr="00A23740">
              <w:rPr>
                <w:color w:val="auto"/>
                <w:lang w:val="tr-TR"/>
              </w:rPr>
              <w:t xml:space="preserve">MADDE 63- </w:t>
            </w:r>
            <w:r w:rsidR="00ED44D9" w:rsidRPr="00A23740">
              <w:rPr>
                <w:b w:val="0"/>
                <w:color w:val="auto"/>
                <w:lang w:val="tr-TR"/>
              </w:rPr>
              <w:t xml:space="preserve">Maddeyle, bir yenilik olarak </w:t>
            </w:r>
            <w:r w:rsidR="001932BA" w:rsidRPr="00A23740">
              <w:rPr>
                <w:b w:val="0"/>
                <w:color w:val="auto"/>
                <w:lang w:val="tr-TR"/>
              </w:rPr>
              <w:t>seçiml</w:t>
            </w:r>
            <w:r w:rsidR="00ED44D9" w:rsidRPr="00A23740">
              <w:rPr>
                <w:b w:val="0"/>
                <w:color w:val="auto"/>
                <w:lang w:val="tr-TR"/>
              </w:rPr>
              <w:t>ik hükümlere ilişkin ilamın icrası</w:t>
            </w:r>
            <w:r w:rsidR="006B7435" w:rsidRPr="00A23740">
              <w:rPr>
                <w:b w:val="0"/>
                <w:color w:val="auto"/>
                <w:lang w:val="tr-TR"/>
              </w:rPr>
              <w:t>,</w:t>
            </w:r>
            <w:r w:rsidR="001932BA" w:rsidRPr="00A23740">
              <w:rPr>
                <w:b w:val="0"/>
                <w:color w:val="auto"/>
                <w:lang w:val="tr-TR"/>
              </w:rPr>
              <w:t xml:space="preserve"> 6100 </w:t>
            </w:r>
            <w:r w:rsidR="006B7435" w:rsidRPr="00A23740">
              <w:rPr>
                <w:b w:val="0"/>
                <w:color w:val="auto"/>
                <w:lang w:val="tr-TR"/>
              </w:rPr>
              <w:t>sayılı Kanunun</w:t>
            </w:r>
            <w:r w:rsidR="001932BA" w:rsidRPr="00A23740">
              <w:rPr>
                <w:b w:val="0"/>
                <w:color w:val="auto"/>
                <w:lang w:val="tr-TR"/>
              </w:rPr>
              <w:t xml:space="preserve"> seçimlik davayla ilgili 112 nci maddesi esas alınmak suretiyle</w:t>
            </w:r>
            <w:r w:rsidR="00ED44D9" w:rsidRPr="00A23740">
              <w:rPr>
                <w:b w:val="0"/>
                <w:color w:val="auto"/>
                <w:lang w:val="tr-TR"/>
              </w:rPr>
              <w:t xml:space="preserve"> düzenlenmektedir.</w:t>
            </w:r>
            <w:r w:rsidR="006A55D8" w:rsidRPr="00A23740">
              <w:rPr>
                <w:b w:val="0"/>
                <w:color w:val="auto"/>
                <w:lang w:val="tr-TR"/>
              </w:rPr>
              <w:t xml:space="preserve"> 6100 sayılı Kanundan farklı olarak borçlunun seçimlik borçlardan birin ifa ederek borçtan kurtulması süreye bağlanmıştır.</w:t>
            </w:r>
          </w:p>
          <w:p w:rsidR="00ED44D9" w:rsidRPr="00A23740" w:rsidRDefault="00ED44D9" w:rsidP="009431FF">
            <w:pPr>
              <w:pStyle w:val="Mavi"/>
              <w:ind w:firstLine="709"/>
              <w:rPr>
                <w:b w:val="0"/>
                <w:color w:val="auto"/>
                <w:lang w:val="tr-TR"/>
              </w:rPr>
            </w:pPr>
            <w:r w:rsidRPr="00A23740">
              <w:rPr>
                <w:b w:val="0"/>
                <w:color w:val="auto"/>
                <w:lang w:val="tr-TR"/>
              </w:rPr>
              <w:t>Birinci fıkrayla, seçimlik davada verilen mahkûmiyet hükmünü icra takibine konu eden alacaklın</w:t>
            </w:r>
            <w:r w:rsidR="001932BA" w:rsidRPr="00A23740">
              <w:rPr>
                <w:b w:val="0"/>
                <w:color w:val="auto"/>
                <w:lang w:val="tr-TR"/>
              </w:rPr>
              <w:t>ın</w:t>
            </w:r>
            <w:r w:rsidRPr="00A23740">
              <w:rPr>
                <w:b w:val="0"/>
                <w:color w:val="auto"/>
                <w:lang w:val="tr-TR"/>
              </w:rPr>
              <w:t>, talebini seçimlik hükümlerden birisine hasretmek zorunda olduğu düzenlenmektedir</w:t>
            </w:r>
            <w:r w:rsidR="001932BA" w:rsidRPr="00A23740">
              <w:rPr>
                <w:b w:val="0"/>
                <w:color w:val="auto"/>
                <w:lang w:val="tr-TR"/>
              </w:rPr>
              <w:t>.</w:t>
            </w:r>
          </w:p>
          <w:p w:rsidR="008E1D8E" w:rsidRPr="00A23740" w:rsidRDefault="00ED44D9" w:rsidP="009431FF">
            <w:pPr>
              <w:pStyle w:val="Mavi"/>
              <w:ind w:firstLine="709"/>
              <w:rPr>
                <w:color w:val="auto"/>
                <w:lang w:val="tr-TR"/>
              </w:rPr>
            </w:pPr>
            <w:r w:rsidRPr="00A23740">
              <w:rPr>
                <w:b w:val="0"/>
                <w:color w:val="auto"/>
                <w:lang w:val="tr-TR"/>
              </w:rPr>
              <w:t>İkinci fıkrayla, 6100 sayılı Kanunun 112 nci maddesindeki</w:t>
            </w:r>
            <w:r w:rsidR="001932BA" w:rsidRPr="00A23740">
              <w:rPr>
                <w:b w:val="0"/>
                <w:color w:val="auto"/>
                <w:lang w:val="tr-TR"/>
              </w:rPr>
              <w:t xml:space="preserve"> düzenlemeye </w:t>
            </w:r>
            <w:r w:rsidR="000A3079" w:rsidRPr="00A23740">
              <w:rPr>
                <w:b w:val="0"/>
                <w:color w:val="auto"/>
                <w:lang w:val="tr-TR"/>
              </w:rPr>
              <w:t>ek olarak</w:t>
            </w:r>
            <w:r w:rsidRPr="00A23740">
              <w:rPr>
                <w:b w:val="0"/>
                <w:color w:val="auto"/>
                <w:lang w:val="tr-TR"/>
              </w:rPr>
              <w:t xml:space="preserve"> borçlu</w:t>
            </w:r>
            <w:r w:rsidR="000A3079" w:rsidRPr="00A23740">
              <w:rPr>
                <w:b w:val="0"/>
                <w:color w:val="auto"/>
                <w:lang w:val="tr-TR"/>
              </w:rPr>
              <w:t>nun</w:t>
            </w:r>
            <w:r w:rsidRPr="00A23740">
              <w:rPr>
                <w:b w:val="0"/>
                <w:color w:val="auto"/>
                <w:lang w:val="tr-TR"/>
              </w:rPr>
              <w:t xml:space="preserve">, icra emrinde belirtilen sürede, mahkûm olduğu diğer edimi ifa ederek </w:t>
            </w:r>
            <w:r w:rsidR="00444CC3" w:rsidRPr="00A23740">
              <w:rPr>
                <w:b w:val="0"/>
                <w:color w:val="auto"/>
                <w:lang w:val="tr-TR"/>
              </w:rPr>
              <w:t xml:space="preserve">de </w:t>
            </w:r>
            <w:r w:rsidRPr="00A23740">
              <w:rPr>
                <w:b w:val="0"/>
                <w:color w:val="auto"/>
                <w:lang w:val="tr-TR"/>
              </w:rPr>
              <w:t>borçtan kurtulabi</w:t>
            </w:r>
            <w:r w:rsidR="000A3079" w:rsidRPr="00A23740">
              <w:rPr>
                <w:b w:val="0"/>
                <w:color w:val="auto"/>
                <w:lang w:val="tr-TR"/>
              </w:rPr>
              <w:t>leceği hükme bağlanmaktadır</w:t>
            </w:r>
            <w:r w:rsidRPr="00A23740">
              <w:rPr>
                <w:b w:val="0"/>
                <w:color w:val="auto"/>
                <w:lang w:val="tr-TR"/>
              </w:rPr>
              <w:t>.</w:t>
            </w:r>
            <w:r w:rsidR="000A3079" w:rsidRPr="00A23740">
              <w:rPr>
                <w:b w:val="0"/>
                <w:color w:val="auto"/>
                <w:lang w:val="tr-TR"/>
              </w:rPr>
              <w:t xml:space="preserve"> Bu </w:t>
            </w:r>
            <w:r w:rsidRPr="00A23740">
              <w:rPr>
                <w:b w:val="0"/>
                <w:color w:val="auto"/>
                <w:lang w:val="tr-TR"/>
              </w:rPr>
              <w:t>husus</w:t>
            </w:r>
            <w:r w:rsidR="001932BA" w:rsidRPr="00A23740">
              <w:rPr>
                <w:b w:val="0"/>
                <w:color w:val="auto"/>
                <w:lang w:val="tr-TR"/>
              </w:rPr>
              <w:t>,</w:t>
            </w:r>
            <w:r w:rsidRPr="00A23740">
              <w:rPr>
                <w:b w:val="0"/>
                <w:color w:val="auto"/>
                <w:lang w:val="tr-TR"/>
              </w:rPr>
              <w:t xml:space="preserve"> icra emrinde borçluya ayrıca ihtar edil</w:t>
            </w:r>
            <w:r w:rsidR="000A3079" w:rsidRPr="00A23740">
              <w:rPr>
                <w:b w:val="0"/>
                <w:color w:val="auto"/>
                <w:lang w:val="tr-TR"/>
              </w:rPr>
              <w:t>melidir</w:t>
            </w:r>
            <w:r w:rsidRPr="00A23740">
              <w:rPr>
                <w:b w:val="0"/>
                <w:color w:val="auto"/>
                <w:lang w:val="tr-TR"/>
              </w:rPr>
              <w:t>.</w:t>
            </w:r>
            <w:r w:rsidR="00A76C63" w:rsidRPr="00A23740">
              <w:rPr>
                <w:b w:val="0"/>
                <w:color w:val="auto"/>
                <w:lang w:val="tr-TR"/>
              </w:rPr>
              <w:t xml:space="preserve"> Öte yandan hükümde </w:t>
            </w:r>
            <w:r w:rsidR="006B7435" w:rsidRPr="00A23740">
              <w:rPr>
                <w:b w:val="0"/>
                <w:color w:val="auto"/>
                <w:lang w:val="tr-TR"/>
              </w:rPr>
              <w:t>yer alan “mahk</w:t>
            </w:r>
            <w:r w:rsidR="00506C64" w:rsidRPr="00A23740">
              <w:rPr>
                <w:b w:val="0"/>
                <w:color w:val="auto"/>
                <w:lang w:val="tr-TR"/>
              </w:rPr>
              <w:t>û</w:t>
            </w:r>
            <w:r w:rsidR="006B7435" w:rsidRPr="00A23740">
              <w:rPr>
                <w:b w:val="0"/>
                <w:color w:val="auto"/>
                <w:lang w:val="tr-TR"/>
              </w:rPr>
              <w:t xml:space="preserve">miyet” ibaresi, 6100 sayılı Kanunun 112 nci maddesinde yer aldığından </w:t>
            </w:r>
            <w:r w:rsidR="00A76C63" w:rsidRPr="00A23740">
              <w:rPr>
                <w:b w:val="0"/>
                <w:color w:val="auto"/>
                <w:lang w:val="tr-TR"/>
              </w:rPr>
              <w:t xml:space="preserve">bu hükme </w:t>
            </w:r>
            <w:r w:rsidR="006B7435" w:rsidRPr="00A23740">
              <w:rPr>
                <w:b w:val="0"/>
                <w:color w:val="auto"/>
                <w:lang w:val="tr-TR"/>
              </w:rPr>
              <w:t>uyum sağlamak amacıyla fıkrada bu ibare kullanılmaktadır.</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Mavi"/>
              <w:rPr>
                <w:rFonts w:eastAsia="Times New Roman"/>
                <w:b w:val="0"/>
                <w:bCs w:val="0"/>
                <w:lang w:eastAsia="tr-TR"/>
              </w:rPr>
            </w:pPr>
          </w:p>
        </w:tc>
        <w:tc>
          <w:tcPr>
            <w:tcW w:w="2500" w:type="pct"/>
          </w:tcPr>
          <w:p w:rsidR="00155AF4" w:rsidRPr="00A23740" w:rsidRDefault="00155AF4" w:rsidP="009431FF">
            <w:pPr>
              <w:pStyle w:val="Mavi"/>
            </w:pPr>
            <w:r w:rsidRPr="00A23740">
              <w:t xml:space="preserve">Karşılıklı </w:t>
            </w:r>
            <w:r w:rsidR="00EB2265" w:rsidRPr="008D10FA">
              <w:t>edimlerin ifasını</w:t>
            </w:r>
            <w:r w:rsidRPr="00A23740">
              <w:rPr>
                <w:color w:val="70AD47"/>
              </w:rPr>
              <w:t xml:space="preserve"> </w:t>
            </w:r>
            <w:r w:rsidRPr="00A23740">
              <w:t xml:space="preserve">içeren ilamların icrası </w:t>
            </w:r>
          </w:p>
          <w:p w:rsidR="00155AF4" w:rsidRPr="00A23740" w:rsidRDefault="00155AF4" w:rsidP="009431FF">
            <w:pPr>
              <w:pStyle w:val="Mavi"/>
            </w:pPr>
            <w:r w:rsidRPr="00A23740">
              <w:t xml:space="preserve">MADDE 64- (1) Karşılıklı </w:t>
            </w:r>
            <w:r w:rsidR="00EB2265" w:rsidRPr="008D10FA">
              <w:t>edimlerin ifasını</w:t>
            </w:r>
            <w:r w:rsidR="00EB2265" w:rsidRPr="00A23740">
              <w:t xml:space="preserve"> </w:t>
            </w:r>
            <w:r w:rsidRPr="00A23740">
              <w:t>içeren ilamın icrasına ilişkin icra emrinin tebliği üzerine borçlu iki hafta içinde dilekçeyle icra hukuk mahkemesine başvurarak</w:t>
            </w:r>
            <w:r w:rsidR="0093433E" w:rsidRPr="00A23740">
              <w:rPr>
                <w:lang w:val="tr-TR"/>
              </w:rPr>
              <w:t>,</w:t>
            </w:r>
            <w:r w:rsidRPr="00A23740">
              <w:t xml:space="preserve"> alacaklının kendi edimini ifa etmediğini veya ifayı teklif etmediğini ileri </w:t>
            </w:r>
            <w:r w:rsidR="00EE735B" w:rsidRPr="008D10FA">
              <w:t>sürmek suretiyle</w:t>
            </w:r>
            <w:r w:rsidR="00EE735B" w:rsidRPr="00A23740">
              <w:rPr>
                <w:color w:val="70AD47"/>
              </w:rPr>
              <w:t xml:space="preserve"> </w:t>
            </w:r>
            <w:r w:rsidRPr="00A23740">
              <w:t xml:space="preserve">icranın </w:t>
            </w:r>
            <w:r w:rsidRPr="00A23740">
              <w:lastRenderedPageBreak/>
              <w:t>geri bırakılmasını talep edebilir. Bu husus 57</w:t>
            </w:r>
            <w:r w:rsidRPr="00A23740">
              <w:rPr>
                <w:lang w:val="tr-TR"/>
              </w:rPr>
              <w:t xml:space="preserve"> </w:t>
            </w:r>
            <w:r w:rsidRPr="00A23740">
              <w:t>nci maddenin dördüncü fıkrası uyarınca icra emrinde borçluya ayrıca ihtar edilir.</w:t>
            </w:r>
          </w:p>
          <w:p w:rsidR="00155AF4" w:rsidRPr="00A23740" w:rsidRDefault="00155AF4" w:rsidP="009431FF">
            <w:pPr>
              <w:pStyle w:val="Mavi"/>
            </w:pPr>
          </w:p>
          <w:p w:rsidR="00155AF4" w:rsidRPr="00A23740" w:rsidRDefault="00155AF4" w:rsidP="009431FF">
            <w:pPr>
              <w:pStyle w:val="Mavi"/>
            </w:pPr>
            <w:r w:rsidRPr="00A23740">
              <w:t>(2) Alacaklı, edimini ifa veya ifayı teklif ettiğini genel hükümler çerçevesinde ispatlayamadığı ya da bu hususları yargılama sırasında yerine getirmediği takdirde icranın geri bırakılmasına karar verilir. Alacaklı, edimini ifa v</w:t>
            </w:r>
            <w:r w:rsidR="00D51A11">
              <w:t xml:space="preserve">eya ifayı teklif ettiğini ispat </w:t>
            </w:r>
            <w:r w:rsidR="00EB2265" w:rsidRPr="008D10FA">
              <w:t>ederse,</w:t>
            </w:r>
            <w:r w:rsidR="00EB2265" w:rsidRPr="00A23740">
              <w:t xml:space="preserve"> </w:t>
            </w:r>
            <w:r w:rsidRPr="00A23740">
              <w:t>icranın geri bırakılması talebi reddedilir.</w:t>
            </w:r>
          </w:p>
          <w:p w:rsidR="001C0192" w:rsidRPr="00A23740" w:rsidRDefault="001C0192" w:rsidP="009431FF">
            <w:pPr>
              <w:pStyle w:val="Mavi"/>
            </w:pPr>
          </w:p>
        </w:tc>
      </w:tr>
      <w:tr w:rsidR="00155AF4" w:rsidRPr="00A23740" w:rsidTr="009431FF">
        <w:tc>
          <w:tcPr>
            <w:tcW w:w="5000" w:type="pct"/>
            <w:gridSpan w:val="2"/>
            <w:shd w:val="clear" w:color="auto" w:fill="DEEAF6"/>
          </w:tcPr>
          <w:p w:rsidR="00A76C63" w:rsidRPr="00A23740" w:rsidRDefault="00A76C63" w:rsidP="009431FF">
            <w:pPr>
              <w:pStyle w:val="Mavi"/>
              <w:ind w:firstLine="709"/>
              <w:rPr>
                <w:color w:val="auto"/>
                <w:lang w:val="tr-TR"/>
              </w:rPr>
            </w:pPr>
          </w:p>
          <w:p w:rsidR="001932BA" w:rsidRPr="00A23740" w:rsidRDefault="008E1D8E" w:rsidP="009431FF">
            <w:pPr>
              <w:pStyle w:val="Mavi"/>
              <w:ind w:firstLine="709"/>
              <w:rPr>
                <w:b w:val="0"/>
                <w:color w:val="auto"/>
                <w:lang w:val="tr-TR"/>
              </w:rPr>
            </w:pPr>
            <w:r w:rsidRPr="00A23740">
              <w:rPr>
                <w:color w:val="auto"/>
                <w:lang w:val="tr-TR"/>
              </w:rPr>
              <w:t xml:space="preserve">MADDE 64- </w:t>
            </w:r>
            <w:r w:rsidRPr="00A23740">
              <w:rPr>
                <w:b w:val="0"/>
                <w:color w:val="auto"/>
                <w:lang w:val="tr-TR"/>
              </w:rPr>
              <w:t>Madde</w:t>
            </w:r>
            <w:r w:rsidR="001932BA" w:rsidRPr="00A23740">
              <w:rPr>
                <w:b w:val="0"/>
                <w:color w:val="auto"/>
                <w:lang w:val="tr-TR"/>
              </w:rPr>
              <w:t>yle, bir yenilik olarak karşılıklı edimler</w:t>
            </w:r>
            <w:r w:rsidR="001932BA" w:rsidRPr="008D10FA">
              <w:rPr>
                <w:b w:val="0"/>
                <w:color w:val="auto"/>
                <w:lang w:val="tr-TR"/>
              </w:rPr>
              <w:t>i</w:t>
            </w:r>
            <w:r w:rsidR="00C77023" w:rsidRPr="008D10FA">
              <w:rPr>
                <w:b w:val="0"/>
                <w:color w:val="auto"/>
                <w:lang w:val="tr-TR"/>
              </w:rPr>
              <w:t>n ifasını</w:t>
            </w:r>
            <w:r w:rsidR="001932BA" w:rsidRPr="00A23740">
              <w:rPr>
                <w:b w:val="0"/>
                <w:color w:val="auto"/>
                <w:lang w:val="tr-TR"/>
              </w:rPr>
              <w:t xml:space="preserve"> içeren ilamların icrası düzenlenmektedir.</w:t>
            </w:r>
          </w:p>
          <w:p w:rsidR="00BA4B3D" w:rsidRPr="00A23740" w:rsidRDefault="00BA4B3D" w:rsidP="009431FF">
            <w:pPr>
              <w:pStyle w:val="Mavi"/>
              <w:ind w:firstLine="709"/>
              <w:rPr>
                <w:b w:val="0"/>
                <w:color w:val="auto"/>
                <w:lang w:val="tr-TR"/>
              </w:rPr>
            </w:pPr>
            <w:r w:rsidRPr="00A23740">
              <w:rPr>
                <w:b w:val="0"/>
                <w:color w:val="auto"/>
                <w:lang w:val="tr-TR"/>
              </w:rPr>
              <w:t>Birinci fıkrad</w:t>
            </w:r>
            <w:r w:rsidR="00F41D6B" w:rsidRPr="00A23740">
              <w:rPr>
                <w:b w:val="0"/>
                <w:color w:val="auto"/>
                <w:lang w:val="tr-TR"/>
              </w:rPr>
              <w:t>a, karşılıklı edimleri</w:t>
            </w:r>
            <w:r w:rsidR="00C77023" w:rsidRPr="008D10FA">
              <w:rPr>
                <w:b w:val="0"/>
                <w:color w:val="auto"/>
                <w:lang w:val="tr-TR"/>
              </w:rPr>
              <w:t>n ifasını</w:t>
            </w:r>
            <w:r w:rsidR="00F41D6B" w:rsidRPr="008D10FA">
              <w:rPr>
                <w:b w:val="0"/>
                <w:color w:val="auto"/>
                <w:lang w:val="tr-TR"/>
              </w:rPr>
              <w:t xml:space="preserve"> </w:t>
            </w:r>
            <w:r w:rsidR="00F41D6B" w:rsidRPr="00A23740">
              <w:rPr>
                <w:b w:val="0"/>
                <w:color w:val="auto"/>
                <w:lang w:val="tr-TR"/>
              </w:rPr>
              <w:t xml:space="preserve">içeren ilamın icrasına ilişkin icra emrinin tebliği üzerine borçlunun, iki hafta içinde dilekçeyle icra hukuk mahkemesine başvurarak alacaklının kendi edimini ifa etmediğini veya ifayı teklif etmediğini ileri sürerek icranın geri bırakılmasını talep edebileceği </w:t>
            </w:r>
            <w:r w:rsidR="00A76C63" w:rsidRPr="00A23740">
              <w:rPr>
                <w:b w:val="0"/>
                <w:color w:val="auto"/>
                <w:lang w:val="tr-TR"/>
              </w:rPr>
              <w:t>hükme bağlanmaktadır</w:t>
            </w:r>
            <w:r w:rsidR="00F41D6B" w:rsidRPr="00A23740">
              <w:rPr>
                <w:b w:val="0"/>
                <w:color w:val="auto"/>
                <w:lang w:val="tr-TR"/>
              </w:rPr>
              <w:t xml:space="preserve">. Bu husus, icra emrinde borçluya ihtar edilmelidir. </w:t>
            </w:r>
            <w:r w:rsidR="00A76C63" w:rsidRPr="00A23740">
              <w:rPr>
                <w:b w:val="0"/>
                <w:color w:val="auto"/>
                <w:lang w:val="tr-TR"/>
              </w:rPr>
              <w:t xml:space="preserve">Mahkeme, </w:t>
            </w:r>
            <w:r w:rsidR="008E1D8E" w:rsidRPr="00A23740">
              <w:rPr>
                <w:b w:val="0"/>
                <w:color w:val="auto"/>
                <w:lang w:val="tr-TR"/>
              </w:rPr>
              <w:t xml:space="preserve">her ne kadar şarta bağlı olarak </w:t>
            </w:r>
            <w:r w:rsidR="00A76C63" w:rsidRPr="00A23740">
              <w:rPr>
                <w:b w:val="0"/>
                <w:color w:val="auto"/>
                <w:lang w:val="tr-TR"/>
              </w:rPr>
              <w:t xml:space="preserve">hüküm veremese de uygulamada, </w:t>
            </w:r>
            <w:r w:rsidR="008E1D8E" w:rsidRPr="00A23740">
              <w:rPr>
                <w:b w:val="0"/>
                <w:color w:val="auto"/>
                <w:lang w:val="tr-TR"/>
              </w:rPr>
              <w:t xml:space="preserve">özellikle tüketici mahkemelerince </w:t>
            </w:r>
            <w:r w:rsidR="00A76C63" w:rsidRPr="00A23740">
              <w:rPr>
                <w:b w:val="0"/>
                <w:color w:val="auto"/>
                <w:lang w:val="tr-TR"/>
              </w:rPr>
              <w:t xml:space="preserve">yaygın şekilde </w:t>
            </w:r>
            <w:r w:rsidR="008E1D8E" w:rsidRPr="00A23740">
              <w:rPr>
                <w:b w:val="0"/>
                <w:color w:val="auto"/>
                <w:lang w:val="tr-TR"/>
              </w:rPr>
              <w:t>her iki ta</w:t>
            </w:r>
            <w:r w:rsidR="00A76C63" w:rsidRPr="00A23740">
              <w:rPr>
                <w:b w:val="0"/>
                <w:color w:val="auto"/>
                <w:lang w:val="tr-TR"/>
              </w:rPr>
              <w:t>rafa da edim yükleyen hükümler</w:t>
            </w:r>
            <w:r w:rsidR="008E1D8E" w:rsidRPr="00A23740">
              <w:rPr>
                <w:b w:val="0"/>
                <w:color w:val="auto"/>
                <w:lang w:val="tr-TR"/>
              </w:rPr>
              <w:t xml:space="preserve"> verildiği görülmektedir. Bu tür hükümler</w:t>
            </w:r>
            <w:r w:rsidR="00F41D6B" w:rsidRPr="00A23740">
              <w:rPr>
                <w:b w:val="0"/>
                <w:color w:val="auto"/>
                <w:lang w:val="tr-TR"/>
              </w:rPr>
              <w:t xml:space="preserve">, </w:t>
            </w:r>
            <w:r w:rsidR="008E1D8E" w:rsidRPr="00A23740">
              <w:rPr>
                <w:b w:val="0"/>
                <w:color w:val="auto"/>
                <w:lang w:val="tr-TR"/>
              </w:rPr>
              <w:t>aslında borçlar hukuku anlamında şarta bağlı nitelikte olmayıp, karşılıklı edimler</w:t>
            </w:r>
            <w:r w:rsidR="00C77023" w:rsidRPr="008D10FA">
              <w:rPr>
                <w:b w:val="0"/>
                <w:color w:val="auto"/>
                <w:lang w:val="tr-TR"/>
              </w:rPr>
              <w:t>in ifasını</w:t>
            </w:r>
            <w:r w:rsidR="008E1D8E" w:rsidRPr="00A23740">
              <w:rPr>
                <w:b w:val="0"/>
                <w:color w:val="auto"/>
                <w:lang w:val="tr-TR"/>
              </w:rPr>
              <w:t xml:space="preserve"> içeren ilamlar olarak ifade edilmektedir. Bu tür hükümlerin nasıl icra edileceği hususu</w:t>
            </w:r>
            <w:r w:rsidR="00F41D6B" w:rsidRPr="00A23740">
              <w:rPr>
                <w:b w:val="0"/>
                <w:color w:val="auto"/>
                <w:lang w:val="tr-TR"/>
              </w:rPr>
              <w:t>,</w:t>
            </w:r>
            <w:r w:rsidR="008E1D8E" w:rsidRPr="00A23740">
              <w:rPr>
                <w:b w:val="0"/>
                <w:color w:val="auto"/>
                <w:lang w:val="tr-TR"/>
              </w:rPr>
              <w:t xml:space="preserve"> 2004 sayılı Kanunda yer alm</w:t>
            </w:r>
            <w:r w:rsidR="00186E89" w:rsidRPr="00A23740">
              <w:rPr>
                <w:b w:val="0"/>
                <w:color w:val="auto"/>
                <w:lang w:val="tr-TR"/>
              </w:rPr>
              <w:t>adığı için</w:t>
            </w:r>
            <w:r w:rsidR="008E1D8E" w:rsidRPr="00A23740">
              <w:rPr>
                <w:b w:val="0"/>
                <w:color w:val="auto"/>
                <w:lang w:val="tr-TR"/>
              </w:rPr>
              <w:t xml:space="preserve">, hem </w:t>
            </w:r>
            <w:r w:rsidRPr="00A23740">
              <w:rPr>
                <w:b w:val="0"/>
                <w:color w:val="auto"/>
                <w:lang w:val="tr-TR"/>
              </w:rPr>
              <w:t>yargılama</w:t>
            </w:r>
            <w:r w:rsidR="008E1D8E" w:rsidRPr="00A23740">
              <w:rPr>
                <w:b w:val="0"/>
                <w:color w:val="auto"/>
                <w:lang w:val="tr-TR"/>
              </w:rPr>
              <w:t xml:space="preserve"> aşamasında hem de icra aşamasında büyük sorunlara ve farklı uygulamalara neden olduğu görülmektedir. Maddenin yazılmasında, Alman ve İsviçre Federal </w:t>
            </w:r>
            <w:r w:rsidR="00E47822" w:rsidRPr="00A23740">
              <w:rPr>
                <w:b w:val="0"/>
                <w:color w:val="auto"/>
                <w:lang w:val="tr-TR"/>
              </w:rPr>
              <w:t xml:space="preserve">usul kanunlarının </w:t>
            </w:r>
            <w:r w:rsidR="008E1D8E" w:rsidRPr="00A23740">
              <w:rPr>
                <w:b w:val="0"/>
                <w:color w:val="auto"/>
                <w:lang w:val="tr-TR"/>
              </w:rPr>
              <w:t>ilgili maddeleri de göz önünde bulundurularak, alacaklının kendi edimini ifa etmesi veya ifasını teklif etmesi kıstası esas alınm</w:t>
            </w:r>
            <w:r w:rsidR="00F41D6B" w:rsidRPr="00A23740">
              <w:rPr>
                <w:b w:val="0"/>
                <w:color w:val="auto"/>
                <w:lang w:val="tr-TR"/>
              </w:rPr>
              <w:t>aktadır</w:t>
            </w:r>
            <w:r w:rsidR="008E1D8E" w:rsidRPr="00A23740">
              <w:rPr>
                <w:b w:val="0"/>
                <w:color w:val="auto"/>
                <w:lang w:val="tr-TR"/>
              </w:rPr>
              <w:t xml:space="preserve">. </w:t>
            </w:r>
            <w:r w:rsidR="00F41D6B" w:rsidRPr="00A23740">
              <w:rPr>
                <w:b w:val="0"/>
                <w:color w:val="auto"/>
                <w:lang w:val="tr-TR"/>
              </w:rPr>
              <w:t xml:space="preserve">Hükmün </w:t>
            </w:r>
            <w:r w:rsidR="008E1D8E" w:rsidRPr="00A23740">
              <w:rPr>
                <w:b w:val="0"/>
                <w:color w:val="auto"/>
                <w:lang w:val="tr-TR"/>
              </w:rPr>
              <w:t>kurgusuna göre alacaklı, karşılıklı edimleri</w:t>
            </w:r>
            <w:r w:rsidR="00C77023" w:rsidRPr="008D10FA">
              <w:rPr>
                <w:b w:val="0"/>
                <w:color w:val="auto"/>
                <w:lang w:val="tr-TR"/>
              </w:rPr>
              <w:t>n ifasını</w:t>
            </w:r>
            <w:r w:rsidR="008E1D8E" w:rsidRPr="008D10FA">
              <w:rPr>
                <w:b w:val="0"/>
                <w:color w:val="auto"/>
                <w:lang w:val="tr-TR"/>
              </w:rPr>
              <w:t xml:space="preserve"> </w:t>
            </w:r>
            <w:r w:rsidR="008E1D8E" w:rsidRPr="00A23740">
              <w:rPr>
                <w:b w:val="0"/>
                <w:color w:val="auto"/>
                <w:lang w:val="tr-TR"/>
              </w:rPr>
              <w:t>içeren ilamı takibe koyacak; icra ve iflas dairesi borçluya icra emrini gönderecek; borçlu da ya kendi edimini yerine getirecek veya icra hukuk mahkemesine başvurarak alacaklının kendi edimini yerine getirmediğini veya bunu teklif etmediğini ileri sürerek icranın geri</w:t>
            </w:r>
            <w:r w:rsidR="0093433E" w:rsidRPr="00A23740">
              <w:rPr>
                <w:b w:val="0"/>
                <w:color w:val="auto"/>
                <w:lang w:val="tr-TR"/>
              </w:rPr>
              <w:t xml:space="preserve"> bırakılmasını talep edecektir.</w:t>
            </w:r>
          </w:p>
          <w:p w:rsidR="008E1D8E" w:rsidRPr="00A23740" w:rsidRDefault="00F41D6B" w:rsidP="009431FF">
            <w:pPr>
              <w:pStyle w:val="Mavi"/>
              <w:ind w:firstLine="709"/>
              <w:rPr>
                <w:color w:val="auto"/>
                <w:lang w:val="tr-TR"/>
              </w:rPr>
            </w:pPr>
            <w:r w:rsidRPr="00A23740">
              <w:rPr>
                <w:b w:val="0"/>
                <w:color w:val="auto"/>
                <w:lang w:val="tr-TR"/>
              </w:rPr>
              <w:t xml:space="preserve">İkinci </w:t>
            </w:r>
            <w:r w:rsidR="008E1D8E" w:rsidRPr="00A23740">
              <w:rPr>
                <w:b w:val="0"/>
                <w:color w:val="auto"/>
                <w:lang w:val="tr-TR"/>
              </w:rPr>
              <w:t>fıkra</w:t>
            </w:r>
            <w:r w:rsidRPr="00A23740">
              <w:rPr>
                <w:b w:val="0"/>
                <w:color w:val="auto"/>
                <w:lang w:val="tr-TR"/>
              </w:rPr>
              <w:t>yla,</w:t>
            </w:r>
            <w:r w:rsidR="00905B2C" w:rsidRPr="00A23740">
              <w:rPr>
                <w:b w:val="0"/>
                <w:color w:val="auto"/>
                <w:lang w:val="tr-TR"/>
              </w:rPr>
              <w:t xml:space="preserve"> alacakl</w:t>
            </w:r>
            <w:r w:rsidR="00BA4B3D" w:rsidRPr="00A23740">
              <w:rPr>
                <w:b w:val="0"/>
                <w:color w:val="auto"/>
                <w:lang w:val="tr-TR"/>
              </w:rPr>
              <w:t>ı</w:t>
            </w:r>
            <w:r w:rsidR="00905B2C" w:rsidRPr="00A23740">
              <w:rPr>
                <w:b w:val="0"/>
                <w:color w:val="auto"/>
                <w:lang w:val="tr-TR"/>
              </w:rPr>
              <w:t>nın, edimini ifa veya ifayı teklif ettiğini genel hükümler çerçevesinde ispatlayamadığı ya da bu hususları yargılama sırasında yerine getirmediği takdirde icranın geri bırakılmasına karar verileceği hükme bağlanmaktadır.</w:t>
            </w:r>
            <w:r w:rsidR="00905B2C" w:rsidRPr="00A23740">
              <w:t xml:space="preserve"> </w:t>
            </w:r>
            <w:r w:rsidR="00905B2C" w:rsidRPr="00A23740">
              <w:rPr>
                <w:b w:val="0"/>
                <w:color w:val="auto"/>
                <w:lang w:val="tr-TR"/>
              </w:rPr>
              <w:t xml:space="preserve">Mahkemede </w:t>
            </w:r>
            <w:r w:rsidR="008E1D8E" w:rsidRPr="00A23740">
              <w:rPr>
                <w:b w:val="0"/>
                <w:color w:val="auto"/>
                <w:lang w:val="tr-TR"/>
              </w:rPr>
              <w:t>yapılacak ispat faaliyeti genel hükümlere göre gerçekleştirilir. Bu çerçevede ispat yükü alacaklıya verilm</w:t>
            </w:r>
            <w:r w:rsidR="00905B2C" w:rsidRPr="00A23740">
              <w:rPr>
                <w:b w:val="0"/>
                <w:color w:val="auto"/>
                <w:lang w:val="tr-TR"/>
              </w:rPr>
              <w:t>ektedir</w:t>
            </w:r>
            <w:r w:rsidR="008E1D8E" w:rsidRPr="00A23740">
              <w:rPr>
                <w:b w:val="0"/>
                <w:color w:val="auto"/>
                <w:lang w:val="tr-TR"/>
              </w:rPr>
              <w:t xml:space="preserve">. Alacaklı </w:t>
            </w:r>
            <w:r w:rsidR="00A76C63" w:rsidRPr="00A23740">
              <w:rPr>
                <w:b w:val="0"/>
                <w:color w:val="auto"/>
                <w:lang w:val="tr-TR"/>
              </w:rPr>
              <w:t xml:space="preserve">edimini ifa ettiğini </w:t>
            </w:r>
            <w:r w:rsidR="008E1D8E" w:rsidRPr="00A23740">
              <w:rPr>
                <w:b w:val="0"/>
                <w:color w:val="auto"/>
                <w:lang w:val="tr-TR"/>
              </w:rPr>
              <w:t>veya ifayı</w:t>
            </w:r>
            <w:r w:rsidR="00A76C63" w:rsidRPr="00A23740">
              <w:rPr>
                <w:b w:val="0"/>
                <w:color w:val="auto"/>
                <w:lang w:val="tr-TR"/>
              </w:rPr>
              <w:t xml:space="preserve"> teklif ettiğini ispat ettiği takdirde</w:t>
            </w:r>
            <w:r w:rsidR="008E1D8E" w:rsidRPr="00A23740">
              <w:rPr>
                <w:b w:val="0"/>
                <w:color w:val="auto"/>
                <w:lang w:val="tr-TR"/>
              </w:rPr>
              <w:t xml:space="preserve"> </w:t>
            </w:r>
            <w:r w:rsidR="00A267F5" w:rsidRPr="00A23740">
              <w:rPr>
                <w:b w:val="0"/>
                <w:color w:val="auto"/>
                <w:lang w:val="tr-TR"/>
              </w:rPr>
              <w:t>icranın geri bırakılması talebi reddedilir.</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Fonts w:eastAsia="Times New Roman"/>
                <w:b/>
                <w:bCs/>
                <w:szCs w:val="24"/>
                <w:lang w:eastAsia="tr-TR"/>
              </w:rPr>
              <w:t>Zamanaşımı</w:t>
            </w:r>
            <w:r w:rsidRPr="00A23740">
              <w:rPr>
                <w:rFonts w:eastAsia="Times New Roman"/>
                <w:b/>
                <w:bCs/>
                <w:strike/>
                <w:color w:val="FF0000"/>
                <w:szCs w:val="24"/>
                <w:lang w:eastAsia="tr-TR"/>
              </w:rPr>
              <w:t xml:space="preserve"> :</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39 – (1)</w:t>
            </w:r>
            <w:r w:rsidRPr="00A23740">
              <w:rPr>
                <w:rFonts w:eastAsia="Times New Roman"/>
                <w:b/>
                <w:bCs/>
                <w:szCs w:val="24"/>
                <w:lang w:eastAsia="tr-TR"/>
              </w:rPr>
              <w:t xml:space="preserve"> </w:t>
            </w:r>
            <w:r w:rsidRPr="00A23740">
              <w:rPr>
                <w:rFonts w:eastAsia="Times New Roman"/>
                <w:szCs w:val="24"/>
                <w:lang w:eastAsia="tr-TR"/>
              </w:rPr>
              <w:t>İlam</w:t>
            </w:r>
            <w:r w:rsidRPr="00A23740">
              <w:rPr>
                <w:rStyle w:val="KIRMIZIChar"/>
                <w:rFonts w:eastAsia="Calibri"/>
              </w:rPr>
              <w:t>a m</w:t>
            </w:r>
            <w:r w:rsidRPr="00A23740">
              <w:rPr>
                <w:rFonts w:eastAsia="Times New Roman"/>
                <w:b/>
                <w:bCs/>
                <w:strike/>
                <w:color w:val="FF0000"/>
                <w:szCs w:val="24"/>
                <w:lang w:eastAsia="tr-TR"/>
              </w:rPr>
              <w:t>üstenit</w:t>
            </w:r>
            <w:r w:rsidRPr="00A23740">
              <w:rPr>
                <w:rFonts w:eastAsia="Times New Roman"/>
                <w:szCs w:val="24"/>
                <w:lang w:eastAsia="tr-TR"/>
              </w:rPr>
              <w:t xml:space="preserve"> takip, son </w:t>
            </w:r>
            <w:r w:rsidRPr="00A23740">
              <w:rPr>
                <w:rFonts w:eastAsia="Times New Roman"/>
                <w:b/>
                <w:bCs/>
                <w:strike/>
                <w:color w:val="FF0000"/>
                <w:szCs w:val="24"/>
                <w:lang w:eastAsia="tr-TR"/>
              </w:rPr>
              <w:t>muamele</w:t>
            </w:r>
            <w:r w:rsidRPr="00A23740">
              <w:rPr>
                <w:rFonts w:eastAsia="Times New Roman"/>
                <w:szCs w:val="24"/>
                <w:lang w:eastAsia="tr-TR"/>
              </w:rPr>
              <w:t xml:space="preserve"> üzerinden on </w:t>
            </w:r>
            <w:r w:rsidRPr="00A23740">
              <w:rPr>
                <w:rFonts w:eastAsia="Times New Roman"/>
                <w:b/>
                <w:bCs/>
                <w:strike/>
                <w:color w:val="FF0000"/>
                <w:szCs w:val="24"/>
                <w:lang w:eastAsia="tr-TR"/>
              </w:rPr>
              <w:t>sene</w:t>
            </w:r>
            <w:r w:rsidRPr="00A23740">
              <w:rPr>
                <w:rFonts w:eastAsia="Times New Roman"/>
                <w:szCs w:val="24"/>
                <w:lang w:eastAsia="tr-TR"/>
              </w:rPr>
              <w:t xml:space="preserve"> geçmekle zamanaşımına uğrar.</w:t>
            </w:r>
          </w:p>
          <w:p w:rsidR="00155AF4" w:rsidRPr="00A23740" w:rsidRDefault="00155AF4" w:rsidP="009431FF">
            <w:pPr>
              <w:tabs>
                <w:tab w:val="left" w:pos="567"/>
              </w:tabs>
              <w:rPr>
                <w:rFonts w:eastAsia="Times New Roman"/>
                <w:szCs w:val="24"/>
                <w:lang w:eastAsia="tr-TR"/>
              </w:rPr>
            </w:pPr>
          </w:p>
          <w:p w:rsidR="00155AF4" w:rsidRPr="00A23740" w:rsidRDefault="00155AF4" w:rsidP="009431FF">
            <w:pPr>
              <w:tabs>
                <w:tab w:val="left" w:pos="567"/>
              </w:tabs>
              <w:rPr>
                <w:rFonts w:eastAsia="Times New Roman"/>
                <w:szCs w:val="24"/>
                <w:lang w:eastAsia="tr-TR"/>
              </w:rPr>
            </w:pPr>
            <w:r w:rsidRPr="00A23740">
              <w:rPr>
                <w:rFonts w:eastAsia="Times New Roman"/>
                <w:b/>
                <w:bCs/>
                <w:strike/>
                <w:color w:val="FF0000"/>
                <w:szCs w:val="24"/>
                <w:lang w:eastAsia="tr-TR"/>
              </w:rPr>
              <w:lastRenderedPageBreak/>
              <w:t>(2) Noter senedine müstenit</w:t>
            </w:r>
            <w:r w:rsidRPr="00A23740">
              <w:rPr>
                <w:rFonts w:eastAsia="Times New Roman"/>
                <w:szCs w:val="24"/>
                <w:lang w:eastAsia="tr-TR"/>
              </w:rPr>
              <w:t xml:space="preserve"> takip, </w:t>
            </w:r>
            <w:r w:rsidRPr="00A23740">
              <w:rPr>
                <w:rFonts w:eastAsia="Times New Roman"/>
                <w:b/>
                <w:bCs/>
                <w:strike/>
                <w:color w:val="FF0000"/>
                <w:szCs w:val="24"/>
                <w:lang w:eastAsia="tr-TR"/>
              </w:rPr>
              <w:t>senedin mahiyetine göre borçlar veya ticaret kanunlarında muayyen olan</w:t>
            </w:r>
            <w:r w:rsidRPr="00A23740">
              <w:rPr>
                <w:rFonts w:eastAsia="Times New Roman"/>
                <w:szCs w:val="24"/>
                <w:lang w:eastAsia="tr-TR"/>
              </w:rPr>
              <w:t xml:space="preserve"> zamanaşım</w:t>
            </w:r>
            <w:r w:rsidRPr="00A23740">
              <w:rPr>
                <w:rFonts w:eastAsia="Times New Roman"/>
                <w:b/>
                <w:bCs/>
                <w:strike/>
                <w:color w:val="FF0000"/>
                <w:szCs w:val="24"/>
                <w:lang w:eastAsia="tr-TR"/>
              </w:rPr>
              <w:t>lar</w:t>
            </w:r>
            <w:r w:rsidRPr="00A23740">
              <w:rPr>
                <w:rFonts w:eastAsia="Times New Roman"/>
                <w:szCs w:val="24"/>
                <w:lang w:eastAsia="tr-TR"/>
              </w:rPr>
              <w:t>ına t</w:t>
            </w:r>
            <w:r w:rsidR="00D81869" w:rsidRPr="00A23740">
              <w:rPr>
                <w:rFonts w:eastAsia="Times New Roman"/>
                <w:szCs w:val="24"/>
                <w:lang w:eastAsia="tr-TR"/>
              </w:rPr>
              <w:t>a</w:t>
            </w:r>
            <w:r w:rsidRPr="00A23740">
              <w:rPr>
                <w:rFonts w:eastAsia="Times New Roman"/>
                <w:szCs w:val="24"/>
                <w:lang w:eastAsia="tr-TR"/>
              </w:rPr>
              <w:t>bidir.</w:t>
            </w:r>
          </w:p>
          <w:p w:rsidR="00155AF4" w:rsidRPr="00A23740" w:rsidRDefault="00155AF4" w:rsidP="009431FF">
            <w:pPr>
              <w:tabs>
                <w:tab w:val="left" w:pos="567"/>
              </w:tabs>
              <w:rPr>
                <w:rFonts w:eastAsia="Times New Roman"/>
                <w:b/>
                <w:bCs/>
                <w:szCs w:val="24"/>
                <w:lang w:eastAsia="tr-TR"/>
              </w:rPr>
            </w:pPr>
          </w:p>
        </w:tc>
        <w:tc>
          <w:tcPr>
            <w:tcW w:w="2500" w:type="pct"/>
          </w:tcPr>
          <w:p w:rsidR="00155AF4" w:rsidRPr="00A23740" w:rsidRDefault="00155AF4" w:rsidP="009431FF">
            <w:pPr>
              <w:rPr>
                <w:rFonts w:eastAsia="Times New Roman"/>
                <w:b/>
                <w:bCs/>
                <w:szCs w:val="24"/>
                <w:lang w:eastAsia="tr-TR"/>
              </w:rPr>
            </w:pPr>
            <w:r w:rsidRPr="00A23740">
              <w:rPr>
                <w:rFonts w:eastAsia="Times New Roman"/>
                <w:b/>
                <w:bCs/>
                <w:szCs w:val="24"/>
                <w:lang w:eastAsia="tr-TR"/>
              </w:rPr>
              <w:lastRenderedPageBreak/>
              <w:t>Zamanaşımı</w:t>
            </w:r>
          </w:p>
          <w:p w:rsidR="00155AF4" w:rsidRPr="00A23740" w:rsidRDefault="00155AF4" w:rsidP="009431FF">
            <w:pPr>
              <w:rPr>
                <w:rFonts w:eastAsia="Times New Roman"/>
                <w:szCs w:val="24"/>
                <w:lang w:eastAsia="tr-TR"/>
              </w:rPr>
            </w:pPr>
            <w:r w:rsidRPr="00A23740">
              <w:rPr>
                <w:rStyle w:val="MaviChar"/>
              </w:rPr>
              <w:t>MADDE 65- (1) Zamanaşımına t</w:t>
            </w:r>
            <w:r w:rsidR="00D81869" w:rsidRPr="00A23740">
              <w:rPr>
                <w:rStyle w:val="MaviChar"/>
                <w:lang w:val="tr-TR"/>
              </w:rPr>
              <w:t>a</w:t>
            </w:r>
            <w:r w:rsidRPr="00A23740">
              <w:rPr>
                <w:rStyle w:val="MaviChar"/>
              </w:rPr>
              <w:t>bi olmayan</w:t>
            </w:r>
            <w:r w:rsidRPr="00A23740">
              <w:rPr>
                <w:rFonts w:eastAsia="Times New Roman"/>
                <w:b/>
                <w:bCs/>
                <w:color w:val="0000FF"/>
                <w:szCs w:val="24"/>
                <w:lang w:eastAsia="tr-TR"/>
              </w:rPr>
              <w:t xml:space="preserve"> </w:t>
            </w:r>
            <w:r w:rsidRPr="00A23740">
              <w:rPr>
                <w:rFonts w:eastAsia="Times New Roman"/>
                <w:szCs w:val="24"/>
                <w:lang w:eastAsia="tr-TR"/>
              </w:rPr>
              <w:t>il</w:t>
            </w:r>
            <w:r w:rsidR="00442BA7" w:rsidRPr="00A23740">
              <w:rPr>
                <w:rFonts w:eastAsia="Times New Roman"/>
                <w:szCs w:val="24"/>
                <w:lang w:eastAsia="tr-TR"/>
              </w:rPr>
              <w:t>a</w:t>
            </w:r>
            <w:r w:rsidRPr="00A23740">
              <w:rPr>
                <w:rFonts w:eastAsia="Times New Roman"/>
                <w:szCs w:val="24"/>
                <w:lang w:eastAsia="tr-TR"/>
              </w:rPr>
              <w:t>m</w:t>
            </w:r>
            <w:r w:rsidRPr="00A23740">
              <w:rPr>
                <w:rStyle w:val="MaviChar"/>
              </w:rPr>
              <w:t xml:space="preserve">lar hariç, </w:t>
            </w:r>
            <w:r w:rsidRPr="00A23740">
              <w:rPr>
                <w:rFonts w:eastAsia="Times New Roman"/>
                <w:szCs w:val="24"/>
                <w:lang w:eastAsia="tr-TR"/>
              </w:rPr>
              <w:t xml:space="preserve">takip, son </w:t>
            </w:r>
            <w:r w:rsidRPr="00A23740">
              <w:rPr>
                <w:rStyle w:val="MaviChar"/>
              </w:rPr>
              <w:t>işlem</w:t>
            </w:r>
            <w:r w:rsidR="00A74A57" w:rsidRPr="00A23740">
              <w:rPr>
                <w:rStyle w:val="MaviChar"/>
              </w:rPr>
              <w:t xml:space="preserve"> </w:t>
            </w:r>
            <w:r w:rsidR="00A74A57" w:rsidRPr="008D10FA">
              <w:rPr>
                <w:rStyle w:val="MaviChar"/>
              </w:rPr>
              <w:t>tarihinden itibaren</w:t>
            </w:r>
            <w:r w:rsidR="00A74A57" w:rsidRPr="00A23740">
              <w:rPr>
                <w:rFonts w:eastAsia="Times New Roman"/>
                <w:color w:val="538135"/>
                <w:szCs w:val="24"/>
                <w:lang w:eastAsia="tr-TR"/>
              </w:rPr>
              <w:t xml:space="preserve"> </w:t>
            </w:r>
            <w:r w:rsidRPr="00A23740">
              <w:rPr>
                <w:rFonts w:eastAsia="Times New Roman"/>
                <w:szCs w:val="24"/>
                <w:lang w:eastAsia="tr-TR"/>
              </w:rPr>
              <w:t xml:space="preserve">on </w:t>
            </w:r>
            <w:r w:rsidRPr="00A23740">
              <w:rPr>
                <w:rStyle w:val="MaviChar"/>
              </w:rPr>
              <w:t>yıl</w:t>
            </w:r>
            <w:r w:rsidRPr="00A23740">
              <w:rPr>
                <w:rFonts w:eastAsia="Times New Roman"/>
                <w:szCs w:val="24"/>
                <w:lang w:eastAsia="tr-TR"/>
              </w:rPr>
              <w:t xml:space="preserve"> geçmekle zamanaşımına uğrar.</w:t>
            </w:r>
          </w:p>
          <w:p w:rsidR="00155AF4" w:rsidRPr="00A23740" w:rsidRDefault="00155AF4" w:rsidP="009431FF">
            <w:pPr>
              <w:rPr>
                <w:rFonts w:eastAsia="Times New Roman"/>
                <w:szCs w:val="24"/>
                <w:lang w:eastAsia="tr-TR"/>
              </w:rPr>
            </w:pPr>
          </w:p>
          <w:p w:rsidR="00155AF4" w:rsidRPr="00A23740" w:rsidRDefault="00155AF4" w:rsidP="009431FF">
            <w:pPr>
              <w:tabs>
                <w:tab w:val="left" w:pos="567"/>
              </w:tabs>
              <w:rPr>
                <w:rFonts w:eastAsia="Times New Roman"/>
                <w:szCs w:val="24"/>
                <w:lang w:eastAsia="tr-TR"/>
              </w:rPr>
            </w:pPr>
            <w:r w:rsidRPr="00A23740">
              <w:rPr>
                <w:rStyle w:val="MaviChar"/>
              </w:rPr>
              <w:lastRenderedPageBreak/>
              <w:t>(2) İlam niteliğinde belgeye dayanan</w:t>
            </w:r>
            <w:r w:rsidRPr="00A23740">
              <w:rPr>
                <w:rFonts w:eastAsia="Times New Roman"/>
                <w:szCs w:val="24"/>
                <w:lang w:eastAsia="tr-TR"/>
              </w:rPr>
              <w:t xml:space="preserve"> takip, </w:t>
            </w:r>
            <w:r w:rsidRPr="00A23740">
              <w:rPr>
                <w:rStyle w:val="MaviChar"/>
              </w:rPr>
              <w:t>belgedeki alacağın</w:t>
            </w:r>
            <w:r w:rsidRPr="00A23740">
              <w:rPr>
                <w:rFonts w:eastAsia="Times New Roman"/>
                <w:szCs w:val="24"/>
                <w:lang w:eastAsia="tr-TR"/>
              </w:rPr>
              <w:t xml:space="preserve"> </w:t>
            </w:r>
            <w:r w:rsidRPr="00A23740">
              <w:rPr>
                <w:rStyle w:val="MaviChar"/>
                <w:lang w:val="tr-TR"/>
              </w:rPr>
              <w:t xml:space="preserve">niteliğine göre </w:t>
            </w:r>
            <w:r w:rsidRPr="00A23740">
              <w:rPr>
                <w:rStyle w:val="MaviChar"/>
              </w:rPr>
              <w:t>ilgili kanunda öngörülen</w:t>
            </w:r>
            <w:r w:rsidRPr="00A23740">
              <w:rPr>
                <w:rFonts w:eastAsia="Times New Roman"/>
                <w:b/>
                <w:bCs/>
                <w:color w:val="0000FF"/>
                <w:szCs w:val="24"/>
                <w:lang w:eastAsia="tr-TR"/>
              </w:rPr>
              <w:t xml:space="preserve"> </w:t>
            </w:r>
            <w:r w:rsidRPr="00A23740">
              <w:rPr>
                <w:rFonts w:eastAsia="Times New Roman"/>
                <w:szCs w:val="24"/>
                <w:lang w:eastAsia="tr-TR"/>
              </w:rPr>
              <w:t>zamanaşımına t</w:t>
            </w:r>
            <w:r w:rsidR="00D81869" w:rsidRPr="00A23740">
              <w:rPr>
                <w:rFonts w:eastAsia="Times New Roman"/>
                <w:szCs w:val="24"/>
                <w:lang w:eastAsia="tr-TR"/>
              </w:rPr>
              <w:t>a</w:t>
            </w:r>
            <w:r w:rsidR="00687305" w:rsidRPr="00A23740">
              <w:rPr>
                <w:rFonts w:eastAsia="Times New Roman"/>
                <w:szCs w:val="24"/>
                <w:lang w:eastAsia="tr-TR"/>
              </w:rPr>
              <w:t>bidir.</w:t>
            </w:r>
          </w:p>
          <w:p w:rsidR="005D352E" w:rsidRPr="00A23740" w:rsidRDefault="005D352E" w:rsidP="009431FF">
            <w:pPr>
              <w:tabs>
                <w:tab w:val="left" w:pos="567"/>
              </w:tabs>
              <w:rPr>
                <w:rFonts w:eastAsia="Times New Roman"/>
                <w:b/>
                <w:bCs/>
                <w:color w:val="FF0000"/>
                <w:szCs w:val="24"/>
                <w:lang w:eastAsia="tr-TR"/>
              </w:rPr>
            </w:pPr>
          </w:p>
        </w:tc>
      </w:tr>
      <w:tr w:rsidR="00155AF4" w:rsidRPr="00A23740" w:rsidTr="009431FF">
        <w:tc>
          <w:tcPr>
            <w:tcW w:w="5000" w:type="pct"/>
            <w:gridSpan w:val="2"/>
            <w:shd w:val="clear" w:color="auto" w:fill="DEEAF6"/>
          </w:tcPr>
          <w:p w:rsidR="008E1D8E" w:rsidRPr="00A23740" w:rsidRDefault="008E1D8E" w:rsidP="009431FF">
            <w:pPr>
              <w:pStyle w:val="Mavi"/>
              <w:ind w:firstLine="709"/>
              <w:rPr>
                <w:color w:val="auto"/>
                <w:lang w:val="tr-TR"/>
              </w:rPr>
            </w:pPr>
          </w:p>
          <w:p w:rsidR="009005E8" w:rsidRPr="00A23740" w:rsidRDefault="008E1D8E" w:rsidP="009431FF">
            <w:pPr>
              <w:pStyle w:val="Mavi"/>
              <w:ind w:firstLine="709"/>
              <w:rPr>
                <w:b w:val="0"/>
                <w:color w:val="auto"/>
                <w:lang w:val="tr-TR"/>
              </w:rPr>
            </w:pPr>
            <w:r w:rsidRPr="00A23740">
              <w:rPr>
                <w:color w:val="auto"/>
                <w:lang w:val="tr-TR"/>
              </w:rPr>
              <w:t xml:space="preserve">MADDE 65- </w:t>
            </w:r>
            <w:r w:rsidR="009005E8" w:rsidRPr="00A23740">
              <w:rPr>
                <w:b w:val="0"/>
                <w:color w:val="auto"/>
                <w:lang w:val="tr-TR"/>
              </w:rPr>
              <w:t>Maddeyle, ilamların icra</w:t>
            </w:r>
            <w:r w:rsidR="00C50D27" w:rsidRPr="00A23740">
              <w:rPr>
                <w:b w:val="0"/>
                <w:color w:val="auto"/>
                <w:lang w:val="tr-TR"/>
              </w:rPr>
              <w:t>sında z</w:t>
            </w:r>
            <w:r w:rsidR="009005E8" w:rsidRPr="00A23740">
              <w:rPr>
                <w:b w:val="0"/>
                <w:color w:val="auto"/>
                <w:lang w:val="tr-TR"/>
              </w:rPr>
              <w:t>amanaşımı düzenlenmektedir. Hüküm, 2004 sayılı Kanunun 39 uncu maddesine karşılık gelmektedir.</w:t>
            </w:r>
          </w:p>
          <w:p w:rsidR="009005E8" w:rsidRPr="00A23740" w:rsidRDefault="009005E8" w:rsidP="009431FF">
            <w:pPr>
              <w:pStyle w:val="Mavi"/>
              <w:ind w:firstLine="709"/>
              <w:rPr>
                <w:b w:val="0"/>
                <w:color w:val="auto"/>
                <w:lang w:val="tr-TR"/>
              </w:rPr>
            </w:pPr>
            <w:r w:rsidRPr="00A23740">
              <w:rPr>
                <w:b w:val="0"/>
                <w:color w:val="auto"/>
                <w:lang w:val="tr-TR"/>
              </w:rPr>
              <w:t>Birinci fıkrayla,</w:t>
            </w:r>
            <w:r w:rsidRPr="00A23740">
              <w:rPr>
                <w:bCs w:val="0"/>
                <w:color w:val="auto"/>
                <w:lang w:val="tr-TR"/>
              </w:rPr>
              <w:t xml:space="preserve"> </w:t>
            </w:r>
            <w:r w:rsidRPr="00A23740">
              <w:rPr>
                <w:b w:val="0"/>
                <w:color w:val="auto"/>
                <w:lang w:val="tr-TR"/>
              </w:rPr>
              <w:t>zamanaşımına</w:t>
            </w:r>
            <w:r w:rsidRPr="00A23740">
              <w:rPr>
                <w:bCs w:val="0"/>
                <w:color w:val="auto"/>
                <w:lang w:val="tr-TR"/>
              </w:rPr>
              <w:t xml:space="preserve"> </w:t>
            </w:r>
            <w:r w:rsidRPr="00A23740">
              <w:rPr>
                <w:b w:val="0"/>
                <w:color w:val="auto"/>
                <w:lang w:val="tr-TR"/>
              </w:rPr>
              <w:t>t</w:t>
            </w:r>
            <w:r w:rsidR="00D81869" w:rsidRPr="00A23740">
              <w:rPr>
                <w:b w:val="0"/>
                <w:color w:val="auto"/>
                <w:lang w:val="tr-TR"/>
              </w:rPr>
              <w:t>a</w:t>
            </w:r>
            <w:r w:rsidRPr="00A23740">
              <w:rPr>
                <w:b w:val="0"/>
                <w:color w:val="auto"/>
                <w:lang w:val="tr-TR"/>
              </w:rPr>
              <w:t>bi</w:t>
            </w:r>
            <w:r w:rsidRPr="00A23740">
              <w:rPr>
                <w:bCs w:val="0"/>
                <w:color w:val="auto"/>
                <w:lang w:val="tr-TR"/>
              </w:rPr>
              <w:t xml:space="preserve"> </w:t>
            </w:r>
            <w:r w:rsidRPr="00A23740">
              <w:rPr>
                <w:b w:val="0"/>
                <w:color w:val="auto"/>
                <w:lang w:val="tr-TR"/>
              </w:rPr>
              <w:t>olmayan il</w:t>
            </w:r>
            <w:r w:rsidR="00442BA7" w:rsidRPr="00A23740">
              <w:rPr>
                <w:b w:val="0"/>
                <w:color w:val="auto"/>
                <w:lang w:val="tr-TR"/>
              </w:rPr>
              <w:t>a</w:t>
            </w:r>
            <w:r w:rsidRPr="00A23740">
              <w:rPr>
                <w:b w:val="0"/>
                <w:color w:val="auto"/>
                <w:lang w:val="tr-TR"/>
              </w:rPr>
              <w:t>mlar</w:t>
            </w:r>
            <w:r w:rsidRPr="00A23740">
              <w:rPr>
                <w:bCs w:val="0"/>
                <w:color w:val="auto"/>
                <w:lang w:val="tr-TR"/>
              </w:rPr>
              <w:t xml:space="preserve"> </w:t>
            </w:r>
            <w:r w:rsidRPr="00A23740">
              <w:rPr>
                <w:b w:val="0"/>
                <w:color w:val="auto"/>
                <w:lang w:val="tr-TR"/>
              </w:rPr>
              <w:t>hariç olmak üzere ilamlı icra</w:t>
            </w:r>
            <w:r w:rsidRPr="00A23740">
              <w:rPr>
                <w:bCs w:val="0"/>
                <w:color w:val="auto"/>
                <w:lang w:val="tr-TR"/>
              </w:rPr>
              <w:t xml:space="preserve"> </w:t>
            </w:r>
            <w:r w:rsidRPr="00A23740">
              <w:rPr>
                <w:b w:val="0"/>
                <w:color w:val="auto"/>
                <w:lang w:val="tr-TR"/>
              </w:rPr>
              <w:t>takibinin, son işlem</w:t>
            </w:r>
            <w:r w:rsidR="005D352E" w:rsidRPr="00A23740">
              <w:rPr>
                <w:b w:val="0"/>
                <w:color w:val="auto"/>
                <w:lang w:val="tr-TR"/>
              </w:rPr>
              <w:t xml:space="preserve"> </w:t>
            </w:r>
            <w:r w:rsidR="005D352E" w:rsidRPr="008D10FA">
              <w:rPr>
                <w:rStyle w:val="MaviChar"/>
                <w:color w:val="auto"/>
              </w:rPr>
              <w:t>tarihinden itibaren</w:t>
            </w:r>
            <w:r w:rsidRPr="00A23740">
              <w:rPr>
                <w:b w:val="0"/>
                <w:color w:val="auto"/>
                <w:lang w:val="tr-TR"/>
              </w:rPr>
              <w:t xml:space="preserve"> on yıl geçmekle zamanaşımına uğrayacağı hükme bağlanmaktadır.</w:t>
            </w:r>
          </w:p>
          <w:p w:rsidR="008E1D8E" w:rsidRPr="00A23740" w:rsidRDefault="009005E8" w:rsidP="009431FF">
            <w:pPr>
              <w:pStyle w:val="Mavi"/>
              <w:ind w:firstLine="709"/>
              <w:rPr>
                <w:color w:val="auto"/>
                <w:lang w:val="tr-TR"/>
              </w:rPr>
            </w:pPr>
            <w:r w:rsidRPr="00A23740">
              <w:rPr>
                <w:b w:val="0"/>
                <w:color w:val="auto"/>
                <w:lang w:val="tr-TR"/>
              </w:rPr>
              <w:t>İkinci fıkrayla, ilam niteliğinde belgeye dayanan takibin, belgedeki alacağın niteliğine göre ilgili kanunda öngörülen zamanaşımına t</w:t>
            </w:r>
            <w:r w:rsidR="00D81869" w:rsidRPr="00A23740">
              <w:rPr>
                <w:b w:val="0"/>
                <w:color w:val="auto"/>
                <w:lang w:val="tr-TR"/>
              </w:rPr>
              <w:t>a</w:t>
            </w:r>
            <w:r w:rsidRPr="00A23740">
              <w:rPr>
                <w:b w:val="0"/>
                <w:color w:val="auto"/>
                <w:lang w:val="tr-TR"/>
              </w:rPr>
              <w:t xml:space="preserve">bi olduğu düzenlenmektedir. 2004 sayılı Kanunun 39 uncu maddesinin ikinci fıkrasında yer alan ve sadece noter senetleri bakımından senedin mahiyetine göre ilgili kanunda öngörülen zamanaşımı süresinin geçerli olacağına dair </w:t>
            </w:r>
            <w:r w:rsidR="006A55D8" w:rsidRPr="00A23740">
              <w:rPr>
                <w:b w:val="0"/>
                <w:color w:val="auto"/>
                <w:lang w:val="tr-TR"/>
              </w:rPr>
              <w:t xml:space="preserve">olan </w:t>
            </w:r>
            <w:r w:rsidRPr="00A23740">
              <w:rPr>
                <w:b w:val="0"/>
                <w:color w:val="auto"/>
                <w:lang w:val="tr-TR"/>
              </w:rPr>
              <w:t xml:space="preserve">hüküm, </w:t>
            </w:r>
            <w:r w:rsidR="00163E5A" w:rsidRPr="00A23740">
              <w:rPr>
                <w:b w:val="0"/>
                <w:color w:val="auto"/>
                <w:lang w:val="tr-TR"/>
              </w:rPr>
              <w:t>Taslakla</w:t>
            </w:r>
            <w:r w:rsidRPr="00A23740">
              <w:rPr>
                <w:b w:val="0"/>
                <w:color w:val="auto"/>
                <w:lang w:val="tr-TR"/>
              </w:rPr>
              <w:t xml:space="preserve"> ilam niteliğinde belgeye dayanan tüm takiplere sirayet ettirilmektedir. Böylece bu hususta, uygulamada tereddüt yaşanmasının önüne geçilmesi </w:t>
            </w:r>
            <w:r w:rsidR="00A267F5" w:rsidRPr="00A23740">
              <w:rPr>
                <w:b w:val="0"/>
                <w:color w:val="auto"/>
                <w:lang w:val="tr-TR"/>
              </w:rPr>
              <w:t>amaçlanmaktadır</w:t>
            </w:r>
            <w:r w:rsidRPr="00A23740">
              <w:rPr>
                <w:b w:val="0"/>
                <w:color w:val="auto"/>
                <w:lang w:val="tr-TR"/>
              </w:rPr>
              <w:t>.</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6"/>
              </w:tabs>
              <w:rPr>
                <w:b/>
                <w:bCs/>
                <w:strike/>
                <w:color w:val="FF0000"/>
                <w:szCs w:val="24"/>
                <w:lang w:eastAsia="tr-TR"/>
              </w:rPr>
            </w:pPr>
          </w:p>
        </w:tc>
        <w:tc>
          <w:tcPr>
            <w:tcW w:w="2500" w:type="pct"/>
          </w:tcPr>
          <w:p w:rsidR="00155AF4" w:rsidRPr="00A23740" w:rsidRDefault="00155AF4" w:rsidP="009431FF">
            <w:pPr>
              <w:pStyle w:val="Mavi"/>
            </w:pPr>
            <w:r w:rsidRPr="00A23740">
              <w:t>Borçlunun durumunun ağırlaştırılamaması ve süresi içinde ödeme</w:t>
            </w:r>
          </w:p>
          <w:p w:rsidR="00155AF4" w:rsidRPr="00A23740" w:rsidRDefault="00155AF4" w:rsidP="009431FF">
            <w:pPr>
              <w:pStyle w:val="Mavi"/>
            </w:pPr>
            <w:r w:rsidRPr="00A23740">
              <w:t>MADDE 66- (1) Bir ilam ile hükmedilen alacaklar ve fer</w:t>
            </w:r>
            <w:r w:rsidR="00984BA6" w:rsidRPr="00A23740">
              <w:rPr>
                <w:lang w:val="tr-TR"/>
              </w:rPr>
              <w:t>i</w:t>
            </w:r>
            <w:r w:rsidRPr="00A23740">
              <w:t>leri, dürüstlük kuralına aykırı olarak ayrı ayrı takip konusu yapılarak borçlunun durumu ağırlaştırılamaz.</w:t>
            </w:r>
          </w:p>
          <w:p w:rsidR="00155AF4" w:rsidRPr="00A23740" w:rsidRDefault="00155AF4" w:rsidP="009431FF">
            <w:pPr>
              <w:rPr>
                <w:rFonts w:eastAsia="Times New Roman"/>
                <w:b/>
                <w:bCs/>
                <w:color w:val="FF0000"/>
                <w:szCs w:val="24"/>
                <w:lang w:eastAsia="tr-TR"/>
              </w:rPr>
            </w:pPr>
          </w:p>
          <w:p w:rsidR="00155AF4" w:rsidRPr="00A23740" w:rsidRDefault="00155AF4" w:rsidP="009431FF">
            <w:pPr>
              <w:pStyle w:val="Mavi"/>
              <w:rPr>
                <w:lang w:val="tr-TR"/>
              </w:rPr>
            </w:pPr>
            <w:r w:rsidRPr="00A23740">
              <w:t>(2) Borçlu, icra emrinin tebliğinden itibaren süresi içinde fer</w:t>
            </w:r>
            <w:r w:rsidR="00984BA6" w:rsidRPr="00A23740">
              <w:rPr>
                <w:lang w:val="tr-TR"/>
              </w:rPr>
              <w:t>i</w:t>
            </w:r>
            <w:r w:rsidRPr="00A23740">
              <w:t>leriyle birlikte borcunun tamamını öderse, kendisinden sadece maktu vek</w:t>
            </w:r>
            <w:r w:rsidR="00407C95" w:rsidRPr="00A23740">
              <w:rPr>
                <w:lang w:val="tr-TR"/>
              </w:rPr>
              <w:t>â</w:t>
            </w:r>
            <w:r w:rsidRPr="00A23740">
              <w:t>let ücreti tahsil edilir; takip giderleri ile tahsil harcını ödemekten muaf tutulur. Şu kadar ki, kanunlarda il</w:t>
            </w:r>
            <w:r w:rsidR="00442BA7" w:rsidRPr="00A23740">
              <w:rPr>
                <w:lang w:val="tr-TR"/>
              </w:rPr>
              <w:t>a</w:t>
            </w:r>
            <w:r w:rsidRPr="00A23740">
              <w:t>m niteliğinde olduğu belirtilen belgelere dayalı takiplerde bu fıkra hükmü uygulanmaz.</w:t>
            </w:r>
          </w:p>
          <w:p w:rsidR="00442BA7" w:rsidRPr="00A23740" w:rsidRDefault="00442BA7" w:rsidP="009431FF">
            <w:pPr>
              <w:pStyle w:val="Mavi"/>
              <w:rPr>
                <w:rFonts w:eastAsia="Times New Roman"/>
                <w:b w:val="0"/>
                <w:bCs w:val="0"/>
                <w:color w:val="FF0000"/>
                <w:lang w:val="tr-TR" w:eastAsia="tr-TR"/>
              </w:rPr>
            </w:pPr>
          </w:p>
        </w:tc>
      </w:tr>
      <w:tr w:rsidR="00155AF4" w:rsidRPr="00A23740" w:rsidTr="009431FF">
        <w:tc>
          <w:tcPr>
            <w:tcW w:w="5000" w:type="pct"/>
            <w:gridSpan w:val="2"/>
            <w:shd w:val="clear" w:color="auto" w:fill="DEEAF6"/>
          </w:tcPr>
          <w:p w:rsidR="00AF6613" w:rsidRPr="00A23740" w:rsidRDefault="00AF6613" w:rsidP="009431FF">
            <w:pPr>
              <w:pStyle w:val="Mavi"/>
              <w:ind w:firstLine="709"/>
              <w:rPr>
                <w:color w:val="auto"/>
                <w:lang w:val="tr-TR"/>
              </w:rPr>
            </w:pPr>
          </w:p>
          <w:p w:rsidR="00017C32" w:rsidRPr="00A23740" w:rsidRDefault="008E1D8E" w:rsidP="009431FF">
            <w:pPr>
              <w:pStyle w:val="Mavi"/>
              <w:ind w:firstLine="709"/>
              <w:rPr>
                <w:b w:val="0"/>
                <w:color w:val="auto"/>
                <w:lang w:val="tr-TR"/>
              </w:rPr>
            </w:pPr>
            <w:r w:rsidRPr="00A23740">
              <w:rPr>
                <w:color w:val="auto"/>
                <w:lang w:val="tr-TR"/>
              </w:rPr>
              <w:t>MADDE 66-</w:t>
            </w:r>
            <w:r w:rsidR="009005E8" w:rsidRPr="00A23740">
              <w:rPr>
                <w:color w:val="auto"/>
                <w:lang w:val="tr-TR"/>
              </w:rPr>
              <w:t xml:space="preserve"> </w:t>
            </w:r>
            <w:r w:rsidR="00017C32" w:rsidRPr="00A23740">
              <w:rPr>
                <w:b w:val="0"/>
                <w:color w:val="auto"/>
                <w:lang w:val="tr-TR"/>
              </w:rPr>
              <w:t>Maddeyle, borçlunun durumunun ağırlaştırılamaması ve süresi içinde ödeme yapılmasına ilişkin hususlar düzenlenmektedir.</w:t>
            </w:r>
          </w:p>
          <w:p w:rsidR="00017C32" w:rsidRPr="00A23740" w:rsidRDefault="00017C32" w:rsidP="009431FF">
            <w:pPr>
              <w:pStyle w:val="Mavi"/>
              <w:ind w:firstLine="709"/>
            </w:pPr>
            <w:r w:rsidRPr="00A23740">
              <w:rPr>
                <w:b w:val="0"/>
                <w:color w:val="auto"/>
                <w:lang w:val="tr-TR"/>
              </w:rPr>
              <w:t>Birinci fıkrayla, ilamla hükmedilen alacakların ve fer</w:t>
            </w:r>
            <w:r w:rsidR="00984BA6" w:rsidRPr="00A23740">
              <w:rPr>
                <w:b w:val="0"/>
                <w:color w:val="auto"/>
                <w:lang w:val="tr-TR"/>
              </w:rPr>
              <w:t>i</w:t>
            </w:r>
            <w:r w:rsidRPr="00A23740">
              <w:rPr>
                <w:b w:val="0"/>
                <w:color w:val="auto"/>
                <w:lang w:val="tr-TR"/>
              </w:rPr>
              <w:t xml:space="preserve">lerinin, dürüstlük kuralına aykırı olarak ayrı ayrı takip konusu yapılamayacağı ve bu suretle borçlunun durumunun ağırlaştırılamayacağı hükme bağlanmaktadır. Böylelikle, </w:t>
            </w:r>
            <w:r w:rsidR="00984BA6" w:rsidRPr="00A23740">
              <w:rPr>
                <w:b w:val="0"/>
                <w:color w:val="auto"/>
                <w:lang w:val="tr-TR"/>
              </w:rPr>
              <w:t>Yargıtay</w:t>
            </w:r>
            <w:r w:rsidRPr="00A23740">
              <w:rPr>
                <w:b w:val="0"/>
                <w:color w:val="auto"/>
                <w:lang w:val="tr-TR"/>
              </w:rPr>
              <w:t>ın bu konudaki içtihatları ve yaklaşımı da dikkate alınarak</w:t>
            </w:r>
            <w:r w:rsidR="006A55D8" w:rsidRPr="00A23740">
              <w:rPr>
                <w:b w:val="0"/>
                <w:color w:val="auto"/>
                <w:lang w:val="tr-TR"/>
              </w:rPr>
              <w:t>,</w:t>
            </w:r>
            <w:r w:rsidRPr="00A23740">
              <w:rPr>
                <w:b w:val="0"/>
                <w:color w:val="auto"/>
                <w:lang w:val="tr-TR"/>
              </w:rPr>
              <w:t xml:space="preserve"> bir ilam</w:t>
            </w:r>
            <w:r w:rsidR="006A55D8" w:rsidRPr="00A23740">
              <w:rPr>
                <w:b w:val="0"/>
                <w:color w:val="auto"/>
                <w:lang w:val="tr-TR"/>
              </w:rPr>
              <w:t>la</w:t>
            </w:r>
            <w:r w:rsidRPr="00A23740">
              <w:rPr>
                <w:b w:val="0"/>
                <w:color w:val="auto"/>
                <w:lang w:val="tr-TR"/>
              </w:rPr>
              <w:t xml:space="preserve"> hükmedilen alacakların ve ferîlerinin, dürüstlük kuralına aykırı bir şekilde ayrı ayrı takip konusu yapılarak borçlunun durumunun ağırlaştırılması yasaklanmaktadır. Buna göre, alacaklının dürüstlük kuralına aykırı olarak ilamı parça parça takibe koyması ve bu </w:t>
            </w:r>
            <w:r w:rsidRPr="00A23740">
              <w:rPr>
                <w:b w:val="0"/>
                <w:color w:val="auto"/>
                <w:lang w:val="tr-TR"/>
              </w:rPr>
              <w:lastRenderedPageBreak/>
              <w:t>suretle ayrı takip gideri ve vekâlet ücretine neden olmasının önüne geçilmesi amaçlanmaktadır. Bu düzenleme, hakkın kötüye kullanılmasına ilişkin bir takip hukuku kuralı olduğundan, alacaklı, maddi hukuk bakımından alacak kalemlerinin bir veya birkaçından feragat etmemektedir.</w:t>
            </w:r>
          </w:p>
          <w:p w:rsidR="00017C32" w:rsidRPr="00A23740" w:rsidRDefault="00017C32" w:rsidP="009431FF">
            <w:pPr>
              <w:pStyle w:val="Mavi"/>
              <w:ind w:firstLine="709"/>
              <w:rPr>
                <w:b w:val="0"/>
                <w:color w:val="auto"/>
                <w:lang w:val="tr-TR"/>
              </w:rPr>
            </w:pPr>
            <w:r w:rsidRPr="00A23740">
              <w:rPr>
                <w:b w:val="0"/>
                <w:color w:val="auto"/>
                <w:lang w:val="tr-TR"/>
              </w:rPr>
              <w:t>İkinci fıkrayla, borçlunun, icra emrinin tebliğinden itibaren süresi içinde fer</w:t>
            </w:r>
            <w:r w:rsidR="00984BA6" w:rsidRPr="00A23740">
              <w:rPr>
                <w:b w:val="0"/>
                <w:color w:val="auto"/>
                <w:lang w:val="tr-TR"/>
              </w:rPr>
              <w:t>i</w:t>
            </w:r>
            <w:r w:rsidRPr="00A23740">
              <w:rPr>
                <w:b w:val="0"/>
                <w:color w:val="auto"/>
                <w:lang w:val="tr-TR"/>
              </w:rPr>
              <w:t>leriyle birlikte borcunun tamamını ödemesi h</w:t>
            </w:r>
            <w:r w:rsidR="002F2BAA" w:rsidRPr="00A23740">
              <w:rPr>
                <w:b w:val="0"/>
                <w:color w:val="auto"/>
                <w:lang w:val="tr-TR"/>
              </w:rPr>
              <w:t>â</w:t>
            </w:r>
            <w:r w:rsidRPr="00A23740">
              <w:rPr>
                <w:b w:val="0"/>
                <w:color w:val="auto"/>
                <w:lang w:val="tr-TR"/>
              </w:rPr>
              <w:t>linde, kendisinden sadece maktu vekâlet ücretinin tahsil edileceği ve takip giderleri ile tahsil harcını ödemekten muaf tutulacağı hükme bağlanmaktadır. Bu hüküm, 2577 sayılı İdari Yargılama Usulü Kanununun konusu belli bir miktar paranın ödenmesini gerektiren davalarda hükmedilen miktar ile her türlü davada hükmedilen vekâlet ücreti ve yargılama giderine ilişkin 28 inci maddesinin ikinci fıkrası ve 7155 sayılı Abonelik Sözleşmesinden Kaynaklanan Para Alacaklarına İlişkin Takibin Başlatılması Usulü Hakkında Kanunun Merkezî Takip Sistemi harcının alınmasına ilişkin 5 inci maddesinin ikinci fıkrası hükümleriyle birlikte değerlendirilmelidir. Fıkrada ilamlar ve ilam niteliğinde belgeler arasında bir ayrım yapılması ve ilam niteliğinde</w:t>
            </w:r>
            <w:r w:rsidR="006A55D8" w:rsidRPr="00A23740">
              <w:rPr>
                <w:b w:val="0"/>
                <w:color w:val="auto"/>
                <w:lang w:val="tr-TR"/>
              </w:rPr>
              <w:t>ki</w:t>
            </w:r>
            <w:r w:rsidRPr="00A23740">
              <w:rPr>
                <w:b w:val="0"/>
                <w:color w:val="auto"/>
                <w:lang w:val="tr-TR"/>
              </w:rPr>
              <w:t xml:space="preserve"> belgelerin bu fıkradan müstesna olması kabul görmüştür. Mahkeme ilamına konu olan edimin ne olduğu çoğunlukla ancak mahkeme kararının tefhimi veya tebliği ile öğrenilebilmekte; borçlu bu edimin gereğini rızaen yerine getiremeden bir icra takibi</w:t>
            </w:r>
            <w:r w:rsidR="006A55D8" w:rsidRPr="00A23740">
              <w:rPr>
                <w:b w:val="0"/>
                <w:color w:val="auto"/>
                <w:lang w:val="tr-TR"/>
              </w:rPr>
              <w:t>yle</w:t>
            </w:r>
            <w:r w:rsidRPr="00A23740">
              <w:rPr>
                <w:b w:val="0"/>
                <w:color w:val="auto"/>
                <w:lang w:val="tr-TR"/>
              </w:rPr>
              <w:t xml:space="preserve"> karşı karşıya kalabilmektedir. Bu takibin sonucunda borçlu, asıl borcun yanı sıra, nispi vekâlet ücreti ve tahsil harcı da ödemek zorunda kalmaktadır. Fıkraya göre, ilama dayanan takiplerde icra emrini alan borçlu, süresi içinde takip borcunun tamamını öderse, tahsil harcını ödemek zorunda kalmayacak ve takip gideri olan vekâlet ücreti de maktu şekilde hesaplanacaktır.</w:t>
            </w:r>
            <w:r w:rsidR="00984BA6" w:rsidRPr="00A23740">
              <w:rPr>
                <w:b w:val="0"/>
                <w:color w:val="auto"/>
                <w:lang w:val="tr-TR"/>
              </w:rPr>
              <w:t xml:space="preserve"> Esasen</w:t>
            </w:r>
            <w:r w:rsidRPr="00A23740">
              <w:rPr>
                <w:b w:val="0"/>
                <w:color w:val="auto"/>
                <w:lang w:val="tr-TR"/>
              </w:rPr>
              <w:t xml:space="preserve"> </w:t>
            </w:r>
            <w:r w:rsidR="00984BA6" w:rsidRPr="00A23740">
              <w:rPr>
                <w:b w:val="0"/>
                <w:color w:val="auto"/>
                <w:lang w:val="tr-TR"/>
              </w:rPr>
              <w:t xml:space="preserve">ilamın </w:t>
            </w:r>
            <w:r w:rsidRPr="00A23740">
              <w:rPr>
                <w:b w:val="0"/>
                <w:color w:val="auto"/>
                <w:lang w:val="tr-TR"/>
              </w:rPr>
              <w:t>verildiği davada alacaklı lehine kural olarak nispi vek</w:t>
            </w:r>
            <w:r w:rsidR="00407C95" w:rsidRPr="00A23740">
              <w:rPr>
                <w:b w:val="0"/>
                <w:color w:val="auto"/>
                <w:lang w:val="tr-TR"/>
              </w:rPr>
              <w:t>â</w:t>
            </w:r>
            <w:r w:rsidRPr="00A23740">
              <w:rPr>
                <w:b w:val="0"/>
                <w:color w:val="auto"/>
                <w:lang w:val="tr-TR"/>
              </w:rPr>
              <w:t>let ücretine hükmedilm</w:t>
            </w:r>
            <w:r w:rsidR="00984BA6" w:rsidRPr="00A23740">
              <w:rPr>
                <w:b w:val="0"/>
                <w:color w:val="auto"/>
                <w:lang w:val="tr-TR"/>
              </w:rPr>
              <w:t>ektedir.</w:t>
            </w:r>
            <w:r w:rsidRPr="00A23740">
              <w:rPr>
                <w:b w:val="0"/>
                <w:color w:val="auto"/>
                <w:lang w:val="tr-TR"/>
              </w:rPr>
              <w:t xml:space="preserve"> İlamların aksine, ilam niteliğinde belgelerin hazırlanmasına ise çoğunlukla borçlu da dâhil olduğundan, borçlunun bu belgelerin gereğini her zaman yerine getirebilmesi mümkündür. Bu sebeple, il</w:t>
            </w:r>
            <w:r w:rsidR="00F25FDB" w:rsidRPr="00A23740">
              <w:rPr>
                <w:b w:val="0"/>
                <w:color w:val="auto"/>
                <w:lang w:val="tr-TR"/>
              </w:rPr>
              <w:t>a</w:t>
            </w:r>
            <w:r w:rsidRPr="00A23740">
              <w:rPr>
                <w:b w:val="0"/>
                <w:color w:val="auto"/>
                <w:lang w:val="tr-TR"/>
              </w:rPr>
              <w:t>m niteliğinde olduğu belirtilen belgelere dayanan ilamlı icra takiplerinde bu fıkranın uygulanmaması gerektiği sonucuna ulaşılmıştır.</w:t>
            </w:r>
          </w:p>
          <w:p w:rsidR="008E1D8E" w:rsidRPr="00A23740" w:rsidRDefault="008E1D8E" w:rsidP="009431FF">
            <w:pPr>
              <w:pStyle w:val="Mavi"/>
              <w:ind w:firstLine="709"/>
              <w:rPr>
                <w:b w:val="0"/>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Fonts w:eastAsia="Times New Roman"/>
                <w:b/>
                <w:bCs/>
                <w:strike/>
                <w:color w:val="FF0000"/>
                <w:szCs w:val="24"/>
                <w:lang w:eastAsia="tr-TR"/>
              </w:rPr>
              <w:lastRenderedPageBreak/>
              <w:t>Umumi</w:t>
            </w:r>
            <w:r w:rsidRPr="00A23740">
              <w:rPr>
                <w:rFonts w:eastAsia="Times New Roman"/>
                <w:b/>
                <w:bCs/>
                <w:szCs w:val="24"/>
                <w:lang w:eastAsia="tr-TR"/>
              </w:rPr>
              <w:t xml:space="preserve"> hükümler</w:t>
            </w:r>
            <w:r w:rsidRPr="00A23740">
              <w:rPr>
                <w:rFonts w:eastAsia="Times New Roman"/>
                <w:b/>
                <w:bCs/>
                <w:strike/>
                <w:color w:val="FF0000"/>
                <w:szCs w:val="24"/>
                <w:lang w:eastAsia="tr-TR"/>
              </w:rPr>
              <w:t xml:space="preserve"> :</w:t>
            </w:r>
          </w:p>
          <w:p w:rsidR="00155AF4" w:rsidRPr="00A23740" w:rsidRDefault="00155AF4" w:rsidP="009431FF">
            <w:pPr>
              <w:tabs>
                <w:tab w:val="left" w:pos="567"/>
              </w:tabs>
              <w:rPr>
                <w:rFonts w:eastAsia="Times New Roman"/>
                <w:b/>
                <w:bCs/>
                <w:szCs w:val="24"/>
                <w:lang w:eastAsia="tr-TR"/>
              </w:rPr>
            </w:pPr>
            <w:r w:rsidRPr="00A23740">
              <w:rPr>
                <w:rFonts w:eastAsia="Times New Roman"/>
                <w:b/>
                <w:bCs/>
                <w:strike/>
                <w:color w:val="FF0000"/>
                <w:szCs w:val="24"/>
                <w:lang w:eastAsia="tr-TR"/>
              </w:rPr>
              <w:t>Madde</w:t>
            </w:r>
            <w:r w:rsidRPr="00A23740">
              <w:rPr>
                <w:rFonts w:eastAsia="Times New Roman"/>
                <w:b/>
                <w:bCs/>
                <w:szCs w:val="24"/>
                <w:lang w:eastAsia="tr-TR"/>
              </w:rPr>
              <w:t xml:space="preserve"> </w:t>
            </w:r>
            <w:r w:rsidRPr="00A23740">
              <w:rPr>
                <w:rFonts w:eastAsia="Times New Roman"/>
                <w:b/>
                <w:bCs/>
                <w:strike/>
                <w:color w:val="FF0000"/>
                <w:szCs w:val="24"/>
                <w:lang w:eastAsia="tr-TR"/>
              </w:rPr>
              <w:t>41</w:t>
            </w:r>
            <w:r w:rsidRPr="00A23740">
              <w:rPr>
                <w:rStyle w:val="KIRMIZIChar"/>
                <w:rFonts w:eastAsia="Calibri"/>
              </w:rPr>
              <w:t xml:space="preserve"> – (1) </w:t>
            </w:r>
            <w:r w:rsidRPr="00A23740">
              <w:rPr>
                <w:rFonts w:eastAsia="Times New Roman"/>
                <w:szCs w:val="24"/>
                <w:lang w:eastAsia="tr-TR"/>
              </w:rPr>
              <w:t xml:space="preserve">Kanunun </w:t>
            </w:r>
            <w:r w:rsidRPr="00A23740">
              <w:rPr>
                <w:rFonts w:eastAsia="Times New Roman"/>
                <w:b/>
                <w:bCs/>
                <w:strike/>
                <w:color w:val="FF0000"/>
                <w:szCs w:val="24"/>
                <w:lang w:eastAsia="tr-TR"/>
              </w:rPr>
              <w:t>bu ikinci babında yazılı hükümlere</w:t>
            </w:r>
            <w:r w:rsidRPr="00A23740">
              <w:rPr>
                <w:rFonts w:eastAsia="Times New Roman"/>
                <w:szCs w:val="24"/>
                <w:lang w:eastAsia="tr-TR"/>
              </w:rPr>
              <w:t xml:space="preserve"> </w:t>
            </w:r>
            <w:r w:rsidRPr="00A23740">
              <w:rPr>
                <w:rFonts w:eastAsia="Times New Roman"/>
                <w:b/>
                <w:bCs/>
                <w:strike/>
                <w:color w:val="FF0000"/>
                <w:szCs w:val="24"/>
                <w:lang w:eastAsia="tr-TR"/>
              </w:rPr>
              <w:t>mugayir olmıyan</w:t>
            </w:r>
            <w:r w:rsidRPr="00A23740">
              <w:rPr>
                <w:rFonts w:eastAsia="Times New Roman"/>
                <w:szCs w:val="24"/>
                <w:lang w:eastAsia="tr-TR"/>
              </w:rPr>
              <w:t xml:space="preserve"> diğer hükümleri il</w:t>
            </w:r>
            <w:r w:rsidRPr="00A23740">
              <w:rPr>
                <w:rFonts w:eastAsia="Times New Roman"/>
                <w:b/>
                <w:bCs/>
                <w:strike/>
                <w:color w:val="FF0000"/>
                <w:szCs w:val="24"/>
                <w:lang w:eastAsia="tr-TR"/>
              </w:rPr>
              <w:t>â</w:t>
            </w:r>
            <w:r w:rsidRPr="00A23740">
              <w:rPr>
                <w:rFonts w:eastAsia="Times New Roman"/>
                <w:szCs w:val="24"/>
                <w:lang w:eastAsia="tr-TR"/>
              </w:rPr>
              <w:t>m</w:t>
            </w:r>
            <w:r w:rsidRPr="00A23740">
              <w:rPr>
                <w:rFonts w:eastAsia="Times New Roman"/>
                <w:b/>
                <w:bCs/>
                <w:strike/>
                <w:color w:val="FF0000"/>
                <w:szCs w:val="24"/>
                <w:lang w:eastAsia="tr-TR"/>
              </w:rPr>
              <w:t>a</w:t>
            </w:r>
            <w:r w:rsidRPr="00A23740">
              <w:rPr>
                <w:rFonts w:eastAsia="Times New Roman"/>
                <w:szCs w:val="24"/>
                <w:lang w:eastAsia="tr-TR"/>
              </w:rPr>
              <w:t xml:space="preserve"> </w:t>
            </w:r>
            <w:r w:rsidRPr="00A23740">
              <w:rPr>
                <w:rFonts w:eastAsia="Times New Roman"/>
                <w:b/>
                <w:bCs/>
                <w:strike/>
                <w:color w:val="FF0000"/>
                <w:szCs w:val="24"/>
                <w:lang w:eastAsia="tr-TR"/>
              </w:rPr>
              <w:t>müstenit</w:t>
            </w:r>
            <w:r w:rsidRPr="00A23740">
              <w:rPr>
                <w:rFonts w:eastAsia="Times New Roman"/>
                <w:szCs w:val="24"/>
                <w:lang w:eastAsia="tr-TR"/>
              </w:rPr>
              <w:t xml:space="preserve"> takipler</w:t>
            </w:r>
            <w:r w:rsidRPr="00A23740">
              <w:rPr>
                <w:rFonts w:eastAsia="Times New Roman"/>
                <w:b/>
                <w:bCs/>
                <w:strike/>
                <w:color w:val="FF0000"/>
                <w:szCs w:val="24"/>
                <w:lang w:eastAsia="tr-TR"/>
              </w:rPr>
              <w:t>de de cereyan eder.</w:t>
            </w:r>
          </w:p>
        </w:tc>
        <w:tc>
          <w:tcPr>
            <w:tcW w:w="2500" w:type="pct"/>
          </w:tcPr>
          <w:p w:rsidR="00155AF4" w:rsidRPr="00A23740" w:rsidRDefault="00155AF4" w:rsidP="009431FF">
            <w:pPr>
              <w:rPr>
                <w:rFonts w:eastAsia="Times New Roman"/>
                <w:b/>
                <w:bCs/>
                <w:szCs w:val="24"/>
                <w:lang w:eastAsia="tr-TR"/>
              </w:rPr>
            </w:pPr>
            <w:r w:rsidRPr="00A23740">
              <w:rPr>
                <w:rStyle w:val="MaviChar"/>
              </w:rPr>
              <w:t>Uygulanacak diğer</w:t>
            </w:r>
            <w:r w:rsidRPr="00A23740">
              <w:rPr>
                <w:rFonts w:eastAsia="Times New Roman"/>
                <w:b/>
                <w:bCs/>
                <w:color w:val="0000FF"/>
                <w:szCs w:val="24"/>
                <w:lang w:eastAsia="tr-TR"/>
              </w:rPr>
              <w:t xml:space="preserve"> </w:t>
            </w:r>
            <w:r w:rsidRPr="00A23740">
              <w:rPr>
                <w:rFonts w:eastAsia="Times New Roman"/>
                <w:b/>
                <w:bCs/>
                <w:szCs w:val="24"/>
                <w:lang w:eastAsia="tr-TR"/>
              </w:rPr>
              <w:t>hükümler</w:t>
            </w:r>
          </w:p>
          <w:p w:rsidR="00155AF4" w:rsidRPr="00A23740" w:rsidRDefault="00155AF4" w:rsidP="009431FF">
            <w:pPr>
              <w:tabs>
                <w:tab w:val="left" w:pos="567"/>
              </w:tabs>
              <w:rPr>
                <w:rStyle w:val="MaviChar"/>
              </w:rPr>
            </w:pPr>
            <w:r w:rsidRPr="00A23740">
              <w:rPr>
                <w:rStyle w:val="MaviChar"/>
              </w:rPr>
              <w:t>MADDE 67- (1)</w:t>
            </w:r>
            <w:r w:rsidRPr="00A23740">
              <w:rPr>
                <w:rFonts w:eastAsia="Times New Roman"/>
                <w:szCs w:val="24"/>
                <w:lang w:eastAsia="tr-TR"/>
              </w:rPr>
              <w:t xml:space="preserve"> Kanunun</w:t>
            </w:r>
            <w:r w:rsidRPr="00A23740">
              <w:rPr>
                <w:rFonts w:eastAsia="Times New Roman"/>
                <w:b/>
                <w:bCs/>
                <w:color w:val="0000FF"/>
                <w:szCs w:val="24"/>
                <w:lang w:eastAsia="tr-TR"/>
              </w:rPr>
              <w:t xml:space="preserve"> </w:t>
            </w:r>
            <w:r w:rsidRPr="00A23740">
              <w:rPr>
                <w:rFonts w:eastAsia="Times New Roman"/>
                <w:szCs w:val="24"/>
                <w:lang w:eastAsia="tr-TR"/>
              </w:rPr>
              <w:t>diğer hükümleri</w:t>
            </w:r>
            <w:r w:rsidRPr="00A23740">
              <w:rPr>
                <w:rStyle w:val="MaviChar"/>
              </w:rPr>
              <w:t xml:space="preserve">, niteliğine uygun düştüğü ölçüde </w:t>
            </w:r>
            <w:r w:rsidRPr="00A23740">
              <w:rPr>
                <w:rFonts w:eastAsia="Times New Roman"/>
                <w:szCs w:val="24"/>
                <w:lang w:eastAsia="tr-TR"/>
              </w:rPr>
              <w:t>il</w:t>
            </w:r>
            <w:r w:rsidRPr="00A23740">
              <w:rPr>
                <w:rStyle w:val="MaviChar"/>
              </w:rPr>
              <w:t>a</w:t>
            </w:r>
            <w:r w:rsidRPr="00A23740">
              <w:rPr>
                <w:rFonts w:eastAsia="Times New Roman"/>
                <w:szCs w:val="24"/>
                <w:lang w:eastAsia="tr-TR"/>
              </w:rPr>
              <w:t>m</w:t>
            </w:r>
            <w:r w:rsidRPr="00A23740">
              <w:rPr>
                <w:rStyle w:val="MaviChar"/>
              </w:rPr>
              <w:t xml:space="preserve">lı icra </w:t>
            </w:r>
            <w:r w:rsidRPr="00A23740">
              <w:rPr>
                <w:rFonts w:eastAsia="Times New Roman"/>
                <w:szCs w:val="24"/>
                <w:lang w:eastAsia="tr-TR"/>
              </w:rPr>
              <w:t>takipler</w:t>
            </w:r>
            <w:r w:rsidR="003215A0" w:rsidRPr="00A23740">
              <w:rPr>
                <w:rStyle w:val="MaviChar"/>
              </w:rPr>
              <w:t>i hakkında da uygulanır.</w:t>
            </w:r>
          </w:p>
          <w:p w:rsidR="00155AF4" w:rsidRPr="00A23740" w:rsidRDefault="00155AF4" w:rsidP="009431FF">
            <w:pPr>
              <w:tabs>
                <w:tab w:val="left" w:pos="567"/>
              </w:tabs>
              <w:rPr>
                <w:rStyle w:val="MaviChar"/>
              </w:rPr>
            </w:pPr>
          </w:p>
          <w:p w:rsidR="00155AF4" w:rsidRPr="00A23740" w:rsidRDefault="00155AF4" w:rsidP="009431FF">
            <w:pPr>
              <w:rPr>
                <w:rFonts w:eastAsia="Times New Roman"/>
                <w:b/>
                <w:bCs/>
                <w:szCs w:val="24"/>
                <w:lang w:eastAsia="tr-TR"/>
              </w:rPr>
            </w:pPr>
          </w:p>
        </w:tc>
      </w:tr>
      <w:tr w:rsidR="00155AF4" w:rsidRPr="00A23740" w:rsidTr="009431FF">
        <w:tc>
          <w:tcPr>
            <w:tcW w:w="5000" w:type="pct"/>
            <w:gridSpan w:val="2"/>
            <w:shd w:val="clear" w:color="auto" w:fill="DEEAF6"/>
          </w:tcPr>
          <w:p w:rsidR="008E1D8E" w:rsidRPr="00A23740" w:rsidRDefault="008E1D8E" w:rsidP="009431FF">
            <w:pPr>
              <w:pStyle w:val="Mavi"/>
              <w:ind w:firstLine="709"/>
              <w:rPr>
                <w:color w:val="auto"/>
                <w:lang w:val="tr-TR"/>
              </w:rPr>
            </w:pPr>
          </w:p>
          <w:p w:rsidR="004A334E" w:rsidRPr="00A23740" w:rsidRDefault="008E1D8E" w:rsidP="009431FF">
            <w:pPr>
              <w:pStyle w:val="Mavi"/>
              <w:ind w:firstLine="709"/>
              <w:rPr>
                <w:b w:val="0"/>
                <w:color w:val="auto"/>
                <w:lang w:val="tr-TR"/>
              </w:rPr>
            </w:pPr>
            <w:r w:rsidRPr="00A23740">
              <w:rPr>
                <w:color w:val="auto"/>
                <w:lang w:val="tr-TR"/>
              </w:rPr>
              <w:t xml:space="preserve">MADDE 67- </w:t>
            </w:r>
            <w:r w:rsidRPr="00A23740">
              <w:rPr>
                <w:b w:val="0"/>
                <w:color w:val="auto"/>
                <w:lang w:val="tr-TR"/>
              </w:rPr>
              <w:t>Madde</w:t>
            </w:r>
            <w:r w:rsidR="00530E46" w:rsidRPr="00A23740">
              <w:rPr>
                <w:b w:val="0"/>
                <w:color w:val="auto"/>
                <w:lang w:val="tr-TR"/>
              </w:rPr>
              <w:t>yle</w:t>
            </w:r>
            <w:r w:rsidRPr="00A23740">
              <w:rPr>
                <w:b w:val="0"/>
                <w:color w:val="auto"/>
                <w:lang w:val="tr-TR"/>
              </w:rPr>
              <w:t>,</w:t>
            </w:r>
            <w:r w:rsidR="00530E46" w:rsidRPr="00A23740">
              <w:rPr>
                <w:b w:val="0"/>
                <w:color w:val="auto"/>
                <w:lang w:val="tr-TR"/>
              </w:rPr>
              <w:t xml:space="preserve"> ilamlı icra hakkında uygulanacak diğer hükümler</w:t>
            </w:r>
            <w:r w:rsidR="0014442C" w:rsidRPr="00A23740">
              <w:rPr>
                <w:b w:val="0"/>
                <w:color w:val="auto"/>
                <w:lang w:val="tr-TR"/>
              </w:rPr>
              <w:t xml:space="preserve"> düzenlenmektedir. Hüküm, 2004 sayılı Kanunun 41 inci maddesine karşılık gelmekte olup dili sadeleştirilmek s</w:t>
            </w:r>
            <w:r w:rsidR="00AE1D6E" w:rsidRPr="00A23740">
              <w:rPr>
                <w:b w:val="0"/>
                <w:color w:val="auto"/>
                <w:lang w:val="tr-TR"/>
              </w:rPr>
              <w:t>uretiyle muhafaza edilmektedir.</w:t>
            </w:r>
          </w:p>
          <w:p w:rsidR="008E1D8E" w:rsidRPr="00A23740" w:rsidRDefault="004A334E" w:rsidP="009431FF">
            <w:pPr>
              <w:pStyle w:val="Mavi"/>
              <w:ind w:firstLine="709"/>
              <w:rPr>
                <w:color w:val="auto"/>
                <w:lang w:val="tr-TR"/>
              </w:rPr>
            </w:pPr>
            <w:r w:rsidRPr="00A23740">
              <w:rPr>
                <w:b w:val="0"/>
                <w:color w:val="auto"/>
                <w:lang w:val="tr-TR"/>
              </w:rPr>
              <w:t xml:space="preserve">Birinci fıkraya </w:t>
            </w:r>
            <w:r w:rsidR="0014442C" w:rsidRPr="00A23740">
              <w:rPr>
                <w:b w:val="0"/>
                <w:color w:val="auto"/>
                <w:lang w:val="tr-TR"/>
              </w:rPr>
              <w:t>göre Kanunun diğer hükümleri, niteliğine uygun düştüğü ölçüde ilamlı icra takipleri hakkında da uygulanır.</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Style w:val="KIRMIZIChar"/>
                <w:rFonts w:eastAsia="Calibri"/>
              </w:rPr>
              <w:t>II.</w:t>
            </w:r>
            <w:r w:rsidRPr="00A23740">
              <w:rPr>
                <w:rFonts w:eastAsia="Times New Roman"/>
                <w:b/>
                <w:bCs/>
                <w:szCs w:val="24"/>
                <w:lang w:eastAsia="tr-TR"/>
              </w:rPr>
              <w:t xml:space="preserve"> Para ve Teminat </w:t>
            </w:r>
            <w:r w:rsidRPr="00A23740">
              <w:rPr>
                <w:rStyle w:val="KIRMIZIChar"/>
                <w:rFonts w:eastAsia="Calibri"/>
              </w:rPr>
              <w:t>Verilmesi Hakkındaki</w:t>
            </w:r>
            <w:r w:rsidRPr="00A23740">
              <w:rPr>
                <w:rFonts w:eastAsia="Times New Roman"/>
                <w:b/>
                <w:bCs/>
                <w:szCs w:val="24"/>
                <w:lang w:eastAsia="tr-TR"/>
              </w:rPr>
              <w:t xml:space="preserve"> İlamların İcrası</w:t>
            </w:r>
            <w:r w:rsidRPr="00A23740">
              <w:rPr>
                <w:rFonts w:eastAsia="Times New Roman"/>
                <w:b/>
                <w:bCs/>
                <w:strike/>
                <w:color w:val="FF0000"/>
                <w:szCs w:val="24"/>
                <w:lang w:eastAsia="tr-TR"/>
              </w:rPr>
              <w:t>:</w:t>
            </w:r>
          </w:p>
          <w:p w:rsidR="00155AF4" w:rsidRPr="00A23740" w:rsidRDefault="00155AF4" w:rsidP="009431FF">
            <w:pPr>
              <w:rPr>
                <w:b/>
                <w:bCs/>
                <w:strike/>
                <w:color w:val="FF0000"/>
                <w:szCs w:val="24"/>
                <w:lang w:eastAsia="tr-TR"/>
              </w:rPr>
            </w:pPr>
          </w:p>
          <w:p w:rsidR="00155AF4" w:rsidRPr="00A23740" w:rsidRDefault="00155AF4" w:rsidP="009431FF">
            <w:pPr>
              <w:rPr>
                <w:b/>
                <w:bCs/>
                <w:strike/>
                <w:color w:val="FF0000"/>
                <w:szCs w:val="24"/>
                <w:lang w:eastAsia="tr-TR"/>
              </w:rPr>
            </w:pPr>
            <w:r w:rsidRPr="00A23740">
              <w:rPr>
                <w:b/>
                <w:bCs/>
                <w:strike/>
                <w:color w:val="FF0000"/>
                <w:szCs w:val="24"/>
                <w:lang w:eastAsia="tr-TR"/>
              </w:rPr>
              <w:t>İcra emri ve muhtevası :</w:t>
            </w:r>
          </w:p>
          <w:p w:rsidR="00155AF4" w:rsidRPr="00A23740" w:rsidRDefault="00155AF4" w:rsidP="009431FF">
            <w:pPr>
              <w:tabs>
                <w:tab w:val="left" w:pos="567"/>
              </w:tabs>
              <w:rPr>
                <w:rFonts w:eastAsia="Times New Roman"/>
                <w:b/>
                <w:bCs/>
                <w:strike/>
                <w:color w:val="FF0000"/>
                <w:szCs w:val="24"/>
                <w:lang w:eastAsia="tr-TR"/>
              </w:rPr>
            </w:pPr>
            <w:r w:rsidRPr="00A23740">
              <w:rPr>
                <w:rStyle w:val="KIRMIZIChar"/>
                <w:rFonts w:eastAsia="Calibri"/>
              </w:rPr>
              <w:t xml:space="preserve">Madde 32 – (1) </w:t>
            </w:r>
            <w:r w:rsidRPr="00A23740">
              <w:rPr>
                <w:rFonts w:eastAsia="Times New Roman"/>
                <w:b/>
                <w:bCs/>
                <w:strike/>
                <w:color w:val="FF0000"/>
                <w:szCs w:val="24"/>
                <w:lang w:eastAsia="tr-TR"/>
              </w:rPr>
              <w:t>(Değişik: 18/2/1965 - 538/16 md.)</w:t>
            </w:r>
          </w:p>
          <w:p w:rsidR="00155AF4" w:rsidRPr="00A23740" w:rsidRDefault="00155AF4" w:rsidP="009431FF">
            <w:pPr>
              <w:tabs>
                <w:tab w:val="left" w:pos="567"/>
              </w:tabs>
              <w:rPr>
                <w:rFonts w:eastAsia="Times New Roman"/>
                <w:szCs w:val="24"/>
                <w:lang w:eastAsia="tr-TR"/>
              </w:rPr>
            </w:pPr>
            <w:r w:rsidRPr="00A23740">
              <w:rPr>
                <w:rFonts w:eastAsia="Times New Roman"/>
                <w:szCs w:val="24"/>
                <w:lang w:eastAsia="tr-TR"/>
              </w:rPr>
              <w:lastRenderedPageBreak/>
              <w:t>Para borcun</w:t>
            </w:r>
            <w:r w:rsidRPr="00A23740">
              <w:rPr>
                <w:rStyle w:val="KIRMIZIChar"/>
                <w:rFonts w:eastAsia="Calibri"/>
              </w:rPr>
              <w:t>a veya</w:t>
            </w:r>
            <w:r w:rsidRPr="00A23740">
              <w:rPr>
                <w:rFonts w:eastAsia="Times New Roman"/>
                <w:szCs w:val="24"/>
                <w:lang w:eastAsia="tr-TR"/>
              </w:rPr>
              <w:t xml:space="preserve"> teminat verilmesine </w:t>
            </w:r>
            <w:r w:rsidRPr="00A23740">
              <w:rPr>
                <w:rStyle w:val="KIRMIZIChar"/>
                <w:rFonts w:eastAsia="Calibri"/>
              </w:rPr>
              <w:t>dair olan</w:t>
            </w:r>
            <w:r w:rsidRPr="00A23740">
              <w:rPr>
                <w:rFonts w:eastAsia="Times New Roman"/>
                <w:szCs w:val="24"/>
                <w:lang w:eastAsia="tr-TR"/>
              </w:rPr>
              <w:t xml:space="preserve"> ilâm </w:t>
            </w:r>
            <w:r w:rsidRPr="00A23740">
              <w:rPr>
                <w:rFonts w:eastAsia="Times New Roman"/>
                <w:b/>
                <w:bCs/>
                <w:strike/>
                <w:color w:val="FF0000"/>
                <w:szCs w:val="24"/>
                <w:lang w:eastAsia="tr-TR"/>
              </w:rPr>
              <w:t>icra dairesine verilince icra memuru borçluya bir icra emri tebliğ eder. Bu emirde 24 üncü maddede yazılanlardan başka hükmolunan şeyin cinsi ve miktarı gösterilir ve nihayet</w:t>
            </w:r>
            <w:r w:rsidRPr="00A23740">
              <w:rPr>
                <w:rFonts w:eastAsia="Times New Roman"/>
                <w:szCs w:val="24"/>
                <w:lang w:eastAsia="tr-TR"/>
              </w:rPr>
              <w:t xml:space="preserve"> </w:t>
            </w:r>
            <w:r w:rsidRPr="00A23740">
              <w:rPr>
                <w:rFonts w:eastAsia="Times New Roman"/>
                <w:b/>
                <w:bCs/>
                <w:strike/>
                <w:color w:val="FF0000"/>
                <w:szCs w:val="24"/>
                <w:lang w:eastAsia="tr-TR"/>
              </w:rPr>
              <w:t>yedi gün</w:t>
            </w:r>
            <w:r w:rsidRPr="00A23740">
              <w:rPr>
                <w:rFonts w:eastAsia="Times New Roman"/>
                <w:szCs w:val="24"/>
                <w:lang w:eastAsia="tr-TR"/>
              </w:rPr>
              <w:t xml:space="preserve"> içinde ödenmesi </w:t>
            </w:r>
            <w:r w:rsidRPr="00A23740">
              <w:rPr>
                <w:rStyle w:val="KIRMIZIChar"/>
                <w:rFonts w:eastAsia="Calibri"/>
              </w:rPr>
              <w:t>ve bu müddet</w:t>
            </w:r>
            <w:r w:rsidRPr="00A23740">
              <w:rPr>
                <w:rFonts w:eastAsia="Times New Roman"/>
                <w:szCs w:val="24"/>
                <w:lang w:eastAsia="tr-TR"/>
              </w:rPr>
              <w:t xml:space="preserve"> </w:t>
            </w:r>
            <w:r w:rsidRPr="00A23740">
              <w:rPr>
                <w:rStyle w:val="KIRMIZIChar"/>
                <w:rFonts w:eastAsia="Calibri"/>
              </w:rPr>
              <w:t>içinde borç ödenmez veya hükmolunan</w:t>
            </w:r>
            <w:r w:rsidRPr="00A23740">
              <w:rPr>
                <w:rFonts w:eastAsia="Times New Roman"/>
                <w:szCs w:val="24"/>
                <w:lang w:eastAsia="tr-TR"/>
              </w:rPr>
              <w:t xml:space="preserve"> teminat verilme</w:t>
            </w:r>
            <w:r w:rsidRPr="00A23740">
              <w:rPr>
                <w:rStyle w:val="KIRMIZIChar"/>
                <w:rFonts w:eastAsia="Calibri"/>
              </w:rPr>
              <w:t xml:space="preserve">zse </w:t>
            </w:r>
            <w:r w:rsidRPr="00A23740">
              <w:rPr>
                <w:rFonts w:eastAsia="Times New Roman"/>
                <w:b/>
                <w:bCs/>
                <w:strike/>
                <w:color w:val="FF0000"/>
                <w:szCs w:val="24"/>
                <w:lang w:eastAsia="tr-TR"/>
              </w:rPr>
              <w:t>icra mahkemesinden veya istinaf veya temyiz yahut iadei muhakeme yolu ile ait olduğu mahkemeden icranın geri bırakılmasına dair bir karar getirilmedikçe</w:t>
            </w:r>
            <w:r w:rsidRPr="00A23740">
              <w:rPr>
                <w:rFonts w:eastAsia="Times New Roman"/>
                <w:szCs w:val="24"/>
                <w:lang w:eastAsia="tr-TR"/>
              </w:rPr>
              <w:t xml:space="preserve"> cebri icra </w:t>
            </w:r>
            <w:r w:rsidRPr="00A23740">
              <w:rPr>
                <w:rStyle w:val="KIRMIZIChar"/>
                <w:rFonts w:eastAsia="Calibri"/>
              </w:rPr>
              <w:t>yapılacağı ve bu müddet</w:t>
            </w:r>
            <w:r w:rsidRPr="00A23740">
              <w:rPr>
                <w:rFonts w:eastAsia="Times New Roman"/>
                <w:szCs w:val="24"/>
                <w:lang w:eastAsia="tr-TR"/>
              </w:rPr>
              <w:t xml:space="preserve"> içinde </w:t>
            </w:r>
            <w:r w:rsidRPr="00A23740">
              <w:rPr>
                <w:rFonts w:eastAsia="Times New Roman"/>
                <w:b/>
                <w:bCs/>
                <w:strike/>
                <w:color w:val="FF0000"/>
                <w:szCs w:val="24"/>
                <w:lang w:eastAsia="tr-TR"/>
              </w:rPr>
              <w:t>74 üncü</w:t>
            </w:r>
            <w:r w:rsidRPr="00A23740">
              <w:rPr>
                <w:rFonts w:eastAsia="Times New Roman"/>
                <w:szCs w:val="24"/>
                <w:lang w:eastAsia="tr-TR"/>
              </w:rPr>
              <w:t xml:space="preserve"> madde </w:t>
            </w:r>
            <w:r w:rsidRPr="00A23740">
              <w:rPr>
                <w:rFonts w:eastAsia="Times New Roman"/>
                <w:b/>
                <w:bCs/>
                <w:strike/>
                <w:color w:val="FF0000"/>
                <w:szCs w:val="24"/>
                <w:lang w:eastAsia="tr-TR"/>
              </w:rPr>
              <w:t>mucibince</w:t>
            </w:r>
            <w:r w:rsidRPr="00A23740">
              <w:rPr>
                <w:rFonts w:eastAsia="Times New Roman"/>
                <w:szCs w:val="24"/>
                <w:lang w:eastAsia="tr-TR"/>
              </w:rPr>
              <w:t xml:space="preserve"> mal </w:t>
            </w:r>
            <w:r w:rsidRPr="00A23740">
              <w:rPr>
                <w:rStyle w:val="KIRMIZIChar"/>
                <w:rFonts w:eastAsia="Calibri"/>
              </w:rPr>
              <w:t>beyanında</w:t>
            </w:r>
            <w:r w:rsidRPr="00A23740">
              <w:rPr>
                <w:rFonts w:eastAsia="Times New Roman"/>
                <w:szCs w:val="24"/>
                <w:lang w:eastAsia="tr-TR"/>
              </w:rPr>
              <w:t xml:space="preserve"> bulunması </w:t>
            </w:r>
            <w:r w:rsidRPr="00A23740">
              <w:rPr>
                <w:rStyle w:val="KIRMIZIChar"/>
                <w:rFonts w:eastAsia="Calibri"/>
              </w:rPr>
              <w:t>ve bulunmazsa</w:t>
            </w:r>
            <w:r w:rsidRPr="00A23740">
              <w:rPr>
                <w:rFonts w:eastAsia="Times New Roman"/>
                <w:szCs w:val="24"/>
                <w:lang w:eastAsia="tr-TR"/>
              </w:rPr>
              <w:t xml:space="preserve"> hapis ile tazyik olunacağı</w:t>
            </w:r>
            <w:r w:rsidRPr="00A23740">
              <w:rPr>
                <w:rStyle w:val="KIRMIZIChar"/>
                <w:rFonts w:eastAsia="Calibri"/>
              </w:rPr>
              <w:t>, mal beyanında bulunmaz veya hakikata</w:t>
            </w:r>
            <w:r w:rsidRPr="00A23740">
              <w:rPr>
                <w:rFonts w:eastAsia="Times New Roman"/>
                <w:b/>
                <w:bCs/>
                <w:strike/>
                <w:color w:val="FF0000"/>
                <w:szCs w:val="24"/>
                <w:lang w:eastAsia="tr-TR"/>
              </w:rPr>
              <w:t xml:space="preserve"> </w:t>
            </w:r>
            <w:r w:rsidRPr="00A23740">
              <w:rPr>
                <w:rStyle w:val="KIRMIZIChar"/>
                <w:rFonts w:eastAsia="Calibri"/>
              </w:rPr>
              <w:t>muhalif beyanda bulunursa</w:t>
            </w:r>
            <w:r w:rsidRPr="00A23740">
              <w:rPr>
                <w:rFonts w:eastAsia="Times New Roman"/>
                <w:szCs w:val="24"/>
                <w:lang w:eastAsia="tr-TR"/>
              </w:rPr>
              <w:t xml:space="preserve"> hapis ile cezalandırılacağı </w:t>
            </w:r>
            <w:r w:rsidRPr="00A23740">
              <w:rPr>
                <w:rStyle w:val="KIRMIZIChar"/>
                <w:rFonts w:eastAsia="Calibri"/>
              </w:rPr>
              <w:t>ihtar edilir.</w:t>
            </w: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pStyle w:val="YEL"/>
              <w:rPr>
                <w:lang w:val="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6846DE" w:rsidRPr="00A23740" w:rsidRDefault="006846DE" w:rsidP="009431FF">
            <w:pPr>
              <w:tabs>
                <w:tab w:val="left" w:pos="567"/>
              </w:tabs>
              <w:rPr>
                <w:rFonts w:eastAsia="Times New Roman"/>
                <w:b/>
                <w:bCs/>
                <w:szCs w:val="24"/>
                <w:lang w:eastAsia="tr-TR"/>
              </w:rPr>
            </w:pPr>
          </w:p>
          <w:p w:rsidR="00537077" w:rsidRPr="00A23740" w:rsidRDefault="00537077" w:rsidP="009431FF">
            <w:pPr>
              <w:tabs>
                <w:tab w:val="left" w:pos="567"/>
              </w:tabs>
              <w:rPr>
                <w:rFonts w:eastAsia="Times New Roman"/>
                <w:b/>
                <w:bCs/>
                <w:szCs w:val="24"/>
                <w:lang w:eastAsia="tr-TR"/>
              </w:rPr>
            </w:pPr>
          </w:p>
          <w:p w:rsidR="00537077" w:rsidRPr="00A23740" w:rsidRDefault="00537077" w:rsidP="009431FF">
            <w:pPr>
              <w:tabs>
                <w:tab w:val="left" w:pos="567"/>
              </w:tabs>
              <w:rPr>
                <w:rFonts w:eastAsia="Times New Roman"/>
                <w:b/>
                <w:bCs/>
                <w:szCs w:val="24"/>
                <w:lang w:eastAsia="tr-TR"/>
              </w:rPr>
            </w:pPr>
          </w:p>
          <w:p w:rsidR="00537077" w:rsidRPr="00A23740" w:rsidRDefault="00537077"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rPr>
                <w:b/>
                <w:bCs/>
                <w:strike/>
                <w:color w:val="FF0000"/>
                <w:szCs w:val="24"/>
                <w:lang w:eastAsia="tr-TR"/>
              </w:rPr>
            </w:pPr>
            <w:r w:rsidRPr="00A23740">
              <w:rPr>
                <w:b/>
                <w:bCs/>
                <w:strike/>
                <w:color w:val="FF0000"/>
                <w:szCs w:val="24"/>
                <w:lang w:eastAsia="tr-TR"/>
              </w:rPr>
              <w:t>(2) (Ek fıkra: 2/7/2012-6352/7 md.) Yabancı devlet aleyhine başlatılan ilâmlı icra takiplerine ilişkin icra emrinde uluslararası andlaşmalar saklı kalmak kaydıyla, borçlu devlete ait olan mallar hakkında cebri icra yapılabileceği hususu ayrıca ihtar edilir.</w:t>
            </w:r>
          </w:p>
          <w:p w:rsidR="00155AF4" w:rsidRPr="00A23740" w:rsidRDefault="00155AF4" w:rsidP="009431FF">
            <w:pPr>
              <w:rPr>
                <w:b/>
                <w:bCs/>
                <w:strike/>
                <w:color w:val="FF0000"/>
                <w:szCs w:val="24"/>
                <w:lang w:eastAsia="tr-TR"/>
              </w:rPr>
            </w:pPr>
          </w:p>
        </w:tc>
        <w:tc>
          <w:tcPr>
            <w:tcW w:w="2500" w:type="pct"/>
          </w:tcPr>
          <w:p w:rsidR="00155AF4" w:rsidRPr="00A23740" w:rsidRDefault="00155AF4" w:rsidP="009431FF">
            <w:pPr>
              <w:pStyle w:val="Balk4"/>
              <w:rPr>
                <w:lang w:val="tr-TR"/>
              </w:rPr>
            </w:pPr>
            <w:r w:rsidRPr="00A23740">
              <w:rPr>
                <w:lang w:val="tr-TR"/>
              </w:rPr>
              <w:lastRenderedPageBreak/>
              <w:t>ÜÇÜNCÜ AYRIM</w:t>
            </w:r>
          </w:p>
          <w:p w:rsidR="00155AF4" w:rsidRPr="00A23740" w:rsidRDefault="00155AF4" w:rsidP="009431FF">
            <w:pPr>
              <w:pStyle w:val="Balk4"/>
              <w:rPr>
                <w:lang w:val="tr-TR"/>
              </w:rPr>
            </w:pPr>
            <w:r w:rsidRPr="00A23740">
              <w:rPr>
                <w:color w:val="auto"/>
                <w:szCs w:val="24"/>
                <w:lang w:val="tr-TR" w:eastAsia="tr-TR"/>
              </w:rPr>
              <w:t>Para ve Teminat</w:t>
            </w:r>
            <w:r w:rsidRPr="00A23740">
              <w:rPr>
                <w:lang w:val="tr-TR"/>
              </w:rPr>
              <w:t xml:space="preserve"> Hakkındaki </w:t>
            </w:r>
            <w:r w:rsidRPr="00A23740">
              <w:rPr>
                <w:color w:val="auto"/>
                <w:szCs w:val="24"/>
                <w:lang w:val="tr-TR" w:eastAsia="tr-TR"/>
              </w:rPr>
              <w:t>İlamların İcrası</w:t>
            </w:r>
          </w:p>
          <w:p w:rsidR="00155AF4" w:rsidRPr="00A23740" w:rsidRDefault="00155AF4" w:rsidP="009431FF">
            <w:pPr>
              <w:rPr>
                <w:rFonts w:eastAsia="Times New Roman"/>
                <w:b/>
                <w:bCs/>
                <w:szCs w:val="24"/>
                <w:lang w:eastAsia="tr-TR"/>
              </w:rPr>
            </w:pPr>
          </w:p>
          <w:p w:rsidR="00155AF4" w:rsidRPr="00A23740" w:rsidRDefault="00155AF4" w:rsidP="009431FF">
            <w:pPr>
              <w:pStyle w:val="Mavi"/>
              <w:rPr>
                <w:lang w:val="tr-TR"/>
              </w:rPr>
            </w:pPr>
            <w:r w:rsidRPr="00A23740">
              <w:rPr>
                <w:lang w:val="tr-TR"/>
              </w:rPr>
              <w:t xml:space="preserve">Para borcunun ödenmesi </w:t>
            </w:r>
            <w:r w:rsidR="00A74A57" w:rsidRPr="008D10FA">
              <w:rPr>
                <w:lang w:val="tr-TR"/>
              </w:rPr>
              <w:t xml:space="preserve">veya teminat </w:t>
            </w:r>
            <w:r w:rsidRPr="00A23740">
              <w:rPr>
                <w:lang w:val="tr-TR"/>
              </w:rPr>
              <w:t>verilmesine ilişkin ilamların icrası</w:t>
            </w:r>
          </w:p>
          <w:p w:rsidR="00155AF4" w:rsidRPr="00A23740" w:rsidRDefault="00155AF4" w:rsidP="009431FF">
            <w:pPr>
              <w:pStyle w:val="Mavi"/>
              <w:rPr>
                <w:lang w:val="tr-TR"/>
              </w:rPr>
            </w:pPr>
            <w:r w:rsidRPr="00A23740">
              <w:rPr>
                <w:lang w:val="tr-TR"/>
              </w:rPr>
              <w:lastRenderedPageBreak/>
              <w:t xml:space="preserve">MADDE </w:t>
            </w:r>
            <w:r w:rsidRPr="00A23740">
              <w:t>68</w:t>
            </w:r>
            <w:r w:rsidRPr="00A23740">
              <w:rPr>
                <w:lang w:val="tr-TR"/>
              </w:rPr>
              <w:t>- (1)</w:t>
            </w:r>
            <w:r w:rsidRPr="00A23740">
              <w:rPr>
                <w:rFonts w:eastAsia="Times New Roman"/>
                <w:b w:val="0"/>
                <w:bCs w:val="0"/>
                <w:color w:val="auto"/>
                <w:lang w:val="tr-TR" w:eastAsia="tr-TR"/>
              </w:rPr>
              <w:t xml:space="preserve"> Para borcu</w:t>
            </w:r>
            <w:r w:rsidRPr="00A23740">
              <w:t>nun ödenmesi veya</w:t>
            </w:r>
            <w:r w:rsidRPr="00A23740">
              <w:rPr>
                <w:rFonts w:eastAsia="Times New Roman"/>
                <w:b w:val="0"/>
                <w:bCs w:val="0"/>
                <w:color w:val="auto"/>
                <w:lang w:val="tr-TR" w:eastAsia="tr-TR"/>
              </w:rPr>
              <w:t xml:space="preserve"> teminat verilmesi</w:t>
            </w:r>
            <w:r w:rsidRPr="00A23740">
              <w:rPr>
                <w:lang w:val="tr-TR"/>
              </w:rPr>
              <w:t xml:space="preserve"> hakkındaki</w:t>
            </w:r>
            <w:r w:rsidRPr="00A23740">
              <w:rPr>
                <w:rFonts w:eastAsia="Times New Roman"/>
                <w:b w:val="0"/>
                <w:bCs w:val="0"/>
                <w:color w:val="auto"/>
                <w:lang w:val="tr-TR" w:eastAsia="tr-TR"/>
              </w:rPr>
              <w:t xml:space="preserve"> ilam</w:t>
            </w:r>
            <w:r w:rsidRPr="00A23740">
              <w:t>ların yerine getirilmesine ilişkin icra emrinde</w:t>
            </w:r>
            <w:r w:rsidRPr="00A23740">
              <w:rPr>
                <w:rStyle w:val="MaviChar"/>
                <w:lang w:val="tr-TR"/>
              </w:rPr>
              <w:t xml:space="preserve">, </w:t>
            </w:r>
            <w:r w:rsidRPr="00A23740">
              <w:rPr>
                <w:rStyle w:val="MaviChar"/>
                <w:b/>
                <w:lang w:val="tr-TR"/>
              </w:rPr>
              <w:t>5</w:t>
            </w:r>
            <w:r w:rsidR="00DA3FC1" w:rsidRPr="00A23740">
              <w:rPr>
                <w:rStyle w:val="MaviChar"/>
                <w:b/>
                <w:lang w:val="tr-TR"/>
              </w:rPr>
              <w:t>7</w:t>
            </w:r>
            <w:r w:rsidRPr="00A23740">
              <w:rPr>
                <w:rStyle w:val="MaviChar"/>
                <w:b/>
                <w:lang w:val="tr-TR"/>
              </w:rPr>
              <w:t xml:space="preserve"> nc</w:t>
            </w:r>
            <w:r w:rsidR="000948B3" w:rsidRPr="00A23740">
              <w:rPr>
                <w:rStyle w:val="MaviChar"/>
                <w:b/>
                <w:lang w:val="tr-TR"/>
              </w:rPr>
              <w:t>i</w:t>
            </w:r>
            <w:r w:rsidRPr="00A23740">
              <w:rPr>
                <w:rStyle w:val="MaviChar"/>
                <w:b/>
                <w:lang w:val="tr-TR"/>
              </w:rPr>
              <w:t xml:space="preserve"> maddede</w:t>
            </w:r>
            <w:r w:rsidRPr="00A23740">
              <w:rPr>
                <w:lang w:val="tr-TR"/>
              </w:rPr>
              <w:t xml:space="preserve"> yazılanlar i</w:t>
            </w:r>
            <w:r w:rsidR="006846DE" w:rsidRPr="00A23740">
              <w:rPr>
                <w:lang w:val="tr-TR"/>
              </w:rPr>
              <w:t>le aşağıdaki hususlar yer alır:</w:t>
            </w:r>
          </w:p>
          <w:p w:rsidR="00537077" w:rsidRPr="00A23740" w:rsidRDefault="00537077" w:rsidP="009431FF">
            <w:pPr>
              <w:pStyle w:val="Mavi"/>
              <w:rPr>
                <w:lang w:val="tr-TR"/>
              </w:rPr>
            </w:pPr>
          </w:p>
          <w:p w:rsidR="00155AF4" w:rsidRPr="00A23740" w:rsidRDefault="00155AF4" w:rsidP="009431FF">
            <w:pPr>
              <w:rPr>
                <w:rStyle w:val="MaviChar"/>
                <w:lang w:val="tr-TR"/>
              </w:rPr>
            </w:pPr>
            <w:r w:rsidRPr="00A23740">
              <w:rPr>
                <w:rStyle w:val="MaviChar"/>
                <w:lang w:val="tr-TR"/>
              </w:rPr>
              <w:t xml:space="preserve">a) İcra emrinin tebliğinden itibaren </w:t>
            </w:r>
            <w:r w:rsidRPr="00A23740">
              <w:rPr>
                <w:rStyle w:val="MaviChar"/>
              </w:rPr>
              <w:t>iki hafta</w:t>
            </w:r>
            <w:r w:rsidRPr="00A23740">
              <w:rPr>
                <w:rFonts w:eastAsia="Times New Roman"/>
                <w:szCs w:val="24"/>
                <w:lang w:eastAsia="tr-TR"/>
              </w:rPr>
              <w:t xml:space="preserve"> içinde </w:t>
            </w:r>
            <w:r w:rsidRPr="00A23740">
              <w:rPr>
                <w:rStyle w:val="MaviChar"/>
                <w:lang w:val="tr-TR"/>
              </w:rPr>
              <w:t>para borcunun</w:t>
            </w:r>
            <w:r w:rsidRPr="00A23740">
              <w:rPr>
                <w:rFonts w:eastAsia="Times New Roman"/>
                <w:szCs w:val="24"/>
                <w:lang w:eastAsia="tr-TR"/>
              </w:rPr>
              <w:t xml:space="preserve"> ödenmesi veya teminat</w:t>
            </w:r>
            <w:r w:rsidRPr="00A23740">
              <w:rPr>
                <w:rStyle w:val="MaviChar"/>
              </w:rPr>
              <w:t>ın</w:t>
            </w:r>
            <w:r w:rsidRPr="00A23740">
              <w:rPr>
                <w:rFonts w:eastAsia="Times New Roman"/>
                <w:szCs w:val="24"/>
                <w:lang w:eastAsia="tr-TR"/>
              </w:rPr>
              <w:t xml:space="preserve"> verilme</w:t>
            </w:r>
            <w:r w:rsidRPr="00A23740">
              <w:rPr>
                <w:rStyle w:val="MaviChar"/>
                <w:lang w:val="tr-TR"/>
              </w:rPr>
              <w:t>si.</w:t>
            </w:r>
          </w:p>
          <w:p w:rsidR="00537077" w:rsidRPr="00A23740" w:rsidRDefault="00537077" w:rsidP="009431FF">
            <w:pPr>
              <w:rPr>
                <w:rFonts w:eastAsia="Times New Roman"/>
                <w:szCs w:val="24"/>
                <w:lang w:eastAsia="tr-TR"/>
              </w:rPr>
            </w:pPr>
          </w:p>
          <w:p w:rsidR="00155AF4" w:rsidRPr="00A23740" w:rsidRDefault="00155AF4" w:rsidP="009431FF">
            <w:pPr>
              <w:rPr>
                <w:rStyle w:val="MaviChar"/>
                <w:lang w:val="tr-TR"/>
              </w:rPr>
            </w:pPr>
            <w:r w:rsidRPr="00A23740">
              <w:rPr>
                <w:rStyle w:val="MaviChar"/>
                <w:lang w:val="tr-TR"/>
              </w:rPr>
              <w:t>b) Bu süre içinde icra emrinin gereği yerine getirilmezse</w:t>
            </w:r>
            <w:r w:rsidRPr="00A23740">
              <w:rPr>
                <w:rFonts w:eastAsia="Times New Roman"/>
                <w:szCs w:val="24"/>
                <w:lang w:eastAsia="tr-TR"/>
              </w:rPr>
              <w:t xml:space="preserve"> cebr</w:t>
            </w:r>
            <w:r w:rsidR="00070384" w:rsidRPr="00A23740">
              <w:rPr>
                <w:rFonts w:eastAsia="Times New Roman"/>
                <w:szCs w:val="24"/>
                <w:lang w:eastAsia="tr-TR"/>
              </w:rPr>
              <w:t>î</w:t>
            </w:r>
            <w:r w:rsidRPr="00A23740">
              <w:rPr>
                <w:rFonts w:eastAsia="Times New Roman"/>
                <w:szCs w:val="24"/>
                <w:lang w:eastAsia="tr-TR"/>
              </w:rPr>
              <w:t xml:space="preserve"> icra</w:t>
            </w:r>
            <w:r w:rsidRPr="00A23740">
              <w:rPr>
                <w:rStyle w:val="MaviChar"/>
                <w:lang w:val="tr-TR"/>
              </w:rPr>
              <w:t>ya devam olunacağı.</w:t>
            </w:r>
          </w:p>
          <w:p w:rsidR="00537077" w:rsidRPr="00A23740" w:rsidRDefault="00537077" w:rsidP="009431FF">
            <w:pPr>
              <w:rPr>
                <w:rFonts w:eastAsia="Times New Roman"/>
                <w:bCs/>
                <w:szCs w:val="24"/>
                <w:lang w:eastAsia="tr-TR"/>
              </w:rPr>
            </w:pPr>
          </w:p>
          <w:p w:rsidR="00155AF4" w:rsidRPr="00A23740" w:rsidRDefault="00155AF4" w:rsidP="009431FF">
            <w:pPr>
              <w:pStyle w:val="Mavi"/>
            </w:pPr>
            <w:r w:rsidRPr="00A23740">
              <w:t>c) Bu süre içinde ilama bağlı</w:t>
            </w:r>
            <w:r w:rsidRPr="00A23740">
              <w:rPr>
                <w:lang w:val="tr-TR"/>
              </w:rPr>
              <w:t xml:space="preserve"> </w:t>
            </w:r>
            <w:r w:rsidRPr="00A23740">
              <w:t>borcun ferîleriyle birlikte tamamen ödenmesi h</w:t>
            </w:r>
            <w:r w:rsidR="002F2BAA" w:rsidRPr="00A23740">
              <w:rPr>
                <w:lang w:val="tr-TR"/>
              </w:rPr>
              <w:t>â</w:t>
            </w:r>
            <w:r w:rsidRPr="00A23740">
              <w:t>linde borçlunun sadece maktu vek</w:t>
            </w:r>
            <w:r w:rsidR="00407C95" w:rsidRPr="00A23740">
              <w:rPr>
                <w:lang w:val="tr-TR"/>
              </w:rPr>
              <w:t>â</w:t>
            </w:r>
            <w:r w:rsidRPr="00A23740">
              <w:t>let ücreti</w:t>
            </w:r>
            <w:r w:rsidR="00A74A57" w:rsidRPr="008D10FA">
              <w:t>yle</w:t>
            </w:r>
            <w:r w:rsidRPr="00A23740">
              <w:t xml:space="preserve"> sorumlu olacağı, tahsil </w:t>
            </w:r>
            <w:r w:rsidRPr="00A23740">
              <w:rPr>
                <w:rStyle w:val="MAVChar"/>
                <w:rFonts w:eastAsia="Calibri"/>
                <w:b/>
                <w:bCs/>
                <w:u w:val="none"/>
              </w:rPr>
              <w:t xml:space="preserve">harcı </w:t>
            </w:r>
            <w:r w:rsidR="00A74A57" w:rsidRPr="008D10FA">
              <w:rPr>
                <w:rStyle w:val="MAVChar"/>
                <w:rFonts w:eastAsia="Calibri"/>
                <w:b/>
                <w:bCs/>
                <w:u w:val="none"/>
              </w:rPr>
              <w:t xml:space="preserve">ve </w:t>
            </w:r>
            <w:r w:rsidRPr="00A23740">
              <w:rPr>
                <w:rStyle w:val="MAVChar"/>
                <w:rFonts w:eastAsia="Calibri"/>
                <w:b/>
                <w:bCs/>
                <w:u w:val="none"/>
              </w:rPr>
              <w:t>takip</w:t>
            </w:r>
            <w:r w:rsidRPr="00A23740">
              <w:t xml:space="preserve"> giderle</w:t>
            </w:r>
            <w:r w:rsidR="00AE1D6E" w:rsidRPr="00A23740">
              <w:t>rini ödemekten muaf tutulacağı.</w:t>
            </w:r>
          </w:p>
          <w:p w:rsidR="00537077" w:rsidRPr="00A23740" w:rsidRDefault="00537077" w:rsidP="009431FF">
            <w:pPr>
              <w:pStyle w:val="Mavi"/>
            </w:pPr>
          </w:p>
          <w:p w:rsidR="00155AF4" w:rsidRPr="00A23740" w:rsidRDefault="00155AF4" w:rsidP="009431FF">
            <w:pPr>
              <w:pStyle w:val="Mavi"/>
            </w:pPr>
            <w:r w:rsidRPr="00A23740">
              <w:t>ç) Para borcuna ilişkin ilamın gereğinin</w:t>
            </w:r>
            <w:r w:rsidRPr="00A23740">
              <w:rPr>
                <w:lang w:val="tr-TR"/>
              </w:rPr>
              <w:t xml:space="preserve"> </w:t>
            </w:r>
            <w:r w:rsidRPr="00A23740">
              <w:t>süresi</w:t>
            </w:r>
            <w:r w:rsidR="004A334E" w:rsidRPr="00A23740">
              <w:rPr>
                <w:lang w:val="tr-TR"/>
              </w:rPr>
              <w:t xml:space="preserve"> içi</w:t>
            </w:r>
            <w:r w:rsidRPr="00A23740">
              <w:t>nde yerine getirilmemesi h</w:t>
            </w:r>
            <w:r w:rsidR="002F2BAA" w:rsidRPr="00A23740">
              <w:rPr>
                <w:lang w:val="tr-TR"/>
              </w:rPr>
              <w:t>â</w:t>
            </w:r>
            <w:r w:rsidRPr="00A23740">
              <w:t>linde, borçlu iflasa tabi ise doğrudan doğru</w:t>
            </w:r>
            <w:r w:rsidR="006846DE" w:rsidRPr="00A23740">
              <w:t>ya iflasının da istenebileceği.</w:t>
            </w:r>
          </w:p>
          <w:p w:rsidR="00537077" w:rsidRPr="00A23740" w:rsidRDefault="00537077" w:rsidP="009431FF">
            <w:pPr>
              <w:pStyle w:val="Mavi"/>
              <w:rPr>
                <w:rStyle w:val="MaviChar"/>
                <w:b/>
                <w:bCs/>
              </w:rPr>
            </w:pPr>
          </w:p>
          <w:p w:rsidR="00C15418" w:rsidRPr="00A23740" w:rsidRDefault="00155AF4" w:rsidP="009431FF">
            <w:pPr>
              <w:pStyle w:val="Mavi"/>
              <w:rPr>
                <w:rStyle w:val="MaviChar"/>
                <w:b/>
                <w:bCs/>
              </w:rPr>
            </w:pPr>
            <w:r w:rsidRPr="00A23740">
              <w:rPr>
                <w:rStyle w:val="MaviChar"/>
                <w:b/>
                <w:bCs/>
              </w:rPr>
              <w:t>d) Borçlunun,</w:t>
            </w:r>
            <w:r w:rsidRPr="00A23740">
              <w:t xml:space="preserve"> </w:t>
            </w:r>
            <w:r w:rsidRPr="00A23740">
              <w:rPr>
                <w:rStyle w:val="YELChar"/>
                <w:rFonts w:eastAsia="Calibri"/>
                <w:b/>
                <w:color w:val="0000FF"/>
                <w:lang w:eastAsia="x-none"/>
              </w:rPr>
              <w:t xml:space="preserve">icra emrinin tebliğinden </w:t>
            </w:r>
            <w:r w:rsidRPr="00A23740">
              <w:rPr>
                <w:rStyle w:val="MaviChar"/>
                <w:b/>
                <w:bCs/>
              </w:rPr>
              <w:t xml:space="preserve">itibaren </w:t>
            </w:r>
            <w:r w:rsidRPr="00A23740">
              <w:rPr>
                <w:rStyle w:val="YELChar"/>
                <w:rFonts w:eastAsia="Calibri"/>
                <w:b/>
                <w:color w:val="0000FF"/>
                <w:lang w:eastAsia="x-none"/>
              </w:rPr>
              <w:t>iki</w:t>
            </w:r>
            <w:r w:rsidRPr="00A23740">
              <w:rPr>
                <w:rStyle w:val="MaviChar"/>
                <w:b/>
                <w:bCs/>
              </w:rPr>
              <w:t xml:space="preserve"> hafta içinde </w:t>
            </w:r>
            <w:r w:rsidR="00F65567" w:rsidRPr="008D10FA">
              <w:rPr>
                <w:rStyle w:val="KonuBalChar"/>
                <w:rFonts w:eastAsia="Calibri"/>
                <w:b/>
                <w:color w:val="0000FF"/>
              </w:rPr>
              <w:t>154 üncü</w:t>
            </w:r>
            <w:r w:rsidRPr="00A23740">
              <w:rPr>
                <w:rStyle w:val="MaviChar"/>
                <w:b/>
                <w:bCs/>
                <w:lang w:val="tr-TR"/>
              </w:rPr>
              <w:t xml:space="preserve"> </w:t>
            </w:r>
            <w:r w:rsidR="00094D74" w:rsidRPr="00A23740">
              <w:rPr>
                <w:rStyle w:val="MaviChar"/>
                <w:b/>
                <w:bCs/>
              </w:rPr>
              <w:t>maddeye</w:t>
            </w:r>
            <w:r w:rsidRPr="00A23740">
              <w:rPr>
                <w:rStyle w:val="MaviChar"/>
                <w:b/>
                <w:bCs/>
              </w:rPr>
              <w:t xml:space="preserve"> </w:t>
            </w:r>
            <w:r w:rsidRPr="00A23740">
              <w:t xml:space="preserve">göre mal </w:t>
            </w:r>
            <w:r w:rsidRPr="00A23740">
              <w:rPr>
                <w:rStyle w:val="MaviChar"/>
                <w:b/>
                <w:bCs/>
                <w:lang w:val="tr-TR"/>
              </w:rPr>
              <w:t>beyanında</w:t>
            </w:r>
            <w:r w:rsidRPr="00A23740">
              <w:rPr>
                <w:rStyle w:val="MAVChar"/>
                <w:rFonts w:eastAsia="Calibri"/>
                <w:b/>
                <w:bCs/>
                <w:u w:val="none"/>
              </w:rPr>
              <w:t xml:space="preserve"> </w:t>
            </w:r>
            <w:r w:rsidRPr="00A23740">
              <w:t>bulunması</w:t>
            </w:r>
            <w:r w:rsidRPr="00A23740">
              <w:rPr>
                <w:rStyle w:val="MaviChar"/>
                <w:b/>
                <w:bCs/>
              </w:rPr>
              <w:t xml:space="preserve"> gerektiği; aksi takdirde </w:t>
            </w:r>
            <w:r w:rsidR="00F65567" w:rsidRPr="008D10FA">
              <w:rPr>
                <w:rStyle w:val="KonuBalChar"/>
                <w:rFonts w:eastAsia="Calibri"/>
                <w:b/>
                <w:color w:val="0000FF"/>
              </w:rPr>
              <w:t>510 uncu</w:t>
            </w:r>
            <w:r w:rsidRPr="00A23740">
              <w:rPr>
                <w:rStyle w:val="MaviChar"/>
                <w:b/>
                <w:bCs/>
                <w:lang w:val="tr-TR"/>
              </w:rPr>
              <w:t xml:space="preserve"> </w:t>
            </w:r>
            <w:r w:rsidRPr="00A23740">
              <w:rPr>
                <w:rStyle w:val="MaviChar"/>
                <w:b/>
                <w:bCs/>
              </w:rPr>
              <w:t xml:space="preserve">maddenin birinci fıkrası uyarınca </w:t>
            </w:r>
            <w:r w:rsidR="00B76889" w:rsidRPr="00A23740">
              <w:rPr>
                <w:rStyle w:val="MaviChar"/>
                <w:b/>
                <w:bCs/>
                <w:lang w:val="tr-TR"/>
              </w:rPr>
              <w:t xml:space="preserve">disiplin </w:t>
            </w:r>
            <w:r w:rsidR="001647D1" w:rsidRPr="008D10FA">
              <w:rPr>
                <w:rStyle w:val="MaviChar"/>
                <w:b/>
                <w:bCs/>
                <w:lang w:val="tr-TR"/>
              </w:rPr>
              <w:t>hapsiyle</w:t>
            </w:r>
            <w:r w:rsidR="00B76889" w:rsidRPr="00A23740">
              <w:rPr>
                <w:rStyle w:val="MaviChar"/>
                <w:b/>
                <w:bCs/>
                <w:lang w:val="tr-TR"/>
              </w:rPr>
              <w:t xml:space="preserve"> </w:t>
            </w:r>
            <w:r w:rsidRPr="00A23740">
              <w:rPr>
                <w:rStyle w:val="MaviChar"/>
                <w:b/>
                <w:bCs/>
              </w:rPr>
              <w:t>cezalandırılacağı.</w:t>
            </w:r>
          </w:p>
          <w:p w:rsidR="00537077" w:rsidRPr="00A23740" w:rsidRDefault="00537077" w:rsidP="009431FF">
            <w:pPr>
              <w:pStyle w:val="Mavi"/>
            </w:pPr>
          </w:p>
          <w:p w:rsidR="00155AF4" w:rsidRPr="00A23740" w:rsidRDefault="00155AF4" w:rsidP="009431FF">
            <w:pPr>
              <w:pStyle w:val="Mavi"/>
              <w:rPr>
                <w:lang w:val="tr-TR"/>
              </w:rPr>
            </w:pPr>
            <w:r w:rsidRPr="00A23740">
              <w:rPr>
                <w:rStyle w:val="MaviChar"/>
                <w:b/>
                <w:bCs/>
              </w:rPr>
              <w:t xml:space="preserve">e) Borçlunun, icra </w:t>
            </w:r>
            <w:r w:rsidR="00A74A57" w:rsidRPr="008D10FA">
              <w:rPr>
                <w:rStyle w:val="MaviChar"/>
                <w:b/>
                <w:bCs/>
              </w:rPr>
              <w:t>ve</w:t>
            </w:r>
            <w:r w:rsidR="00A74A57" w:rsidRPr="00A23740">
              <w:rPr>
                <w:rStyle w:val="MaviChar"/>
                <w:b/>
                <w:bCs/>
                <w:color w:val="538135"/>
              </w:rPr>
              <w:t xml:space="preserve"> </w:t>
            </w:r>
            <w:r w:rsidR="00A74A57" w:rsidRPr="008D10FA">
              <w:rPr>
                <w:rStyle w:val="MaviChar"/>
                <w:b/>
                <w:bCs/>
              </w:rPr>
              <w:t>iflas</w:t>
            </w:r>
            <w:r w:rsidR="00A74A57" w:rsidRPr="00A23740">
              <w:rPr>
                <w:rStyle w:val="MaviChar"/>
                <w:b/>
                <w:bCs/>
                <w:color w:val="538135"/>
              </w:rPr>
              <w:t xml:space="preserve"> </w:t>
            </w:r>
            <w:r w:rsidRPr="00A23740">
              <w:rPr>
                <w:rStyle w:val="MaviChar"/>
                <w:b/>
                <w:bCs/>
              </w:rPr>
              <w:t>dairesine yaptığı mal beyanında malı olmadığını</w:t>
            </w:r>
            <w:r w:rsidRPr="00A23740">
              <w:t xml:space="preserve"> </w:t>
            </w:r>
            <w:r w:rsidRPr="00A23740">
              <w:rPr>
                <w:rStyle w:val="MaviChar"/>
                <w:b/>
                <w:bCs/>
              </w:rPr>
              <w:t xml:space="preserve">bildirmesi veya borcuna yetecek malı göstermemesi ya da </w:t>
            </w:r>
            <w:r w:rsidRPr="00A23740">
              <w:rPr>
                <w:rStyle w:val="YELChar"/>
                <w:rFonts w:eastAsia="Calibri"/>
                <w:b/>
                <w:color w:val="0000FF"/>
                <w:lang w:eastAsia="x-none"/>
              </w:rPr>
              <w:t>mal</w:t>
            </w:r>
            <w:r w:rsidRPr="00A23740">
              <w:rPr>
                <w:rStyle w:val="MaviChar"/>
                <w:b/>
                <w:bCs/>
              </w:rPr>
              <w:t xml:space="preserve"> beyanında</w:t>
            </w:r>
            <w:r w:rsidRPr="00A23740">
              <w:rPr>
                <w:rStyle w:val="MaviChar"/>
                <w:b/>
                <w:bCs/>
                <w:lang w:val="tr-TR"/>
              </w:rPr>
              <w:t>n</w:t>
            </w:r>
            <w:r w:rsidRPr="00A23740">
              <w:rPr>
                <w:rStyle w:val="MaviChar"/>
                <w:b/>
                <w:bCs/>
              </w:rPr>
              <w:t xml:space="preserve"> kaçınması h</w:t>
            </w:r>
            <w:r w:rsidR="002F2BAA" w:rsidRPr="00A23740">
              <w:rPr>
                <w:rStyle w:val="MaviChar"/>
                <w:b/>
                <w:bCs/>
                <w:lang w:val="tr-TR"/>
              </w:rPr>
              <w:t>â</w:t>
            </w:r>
            <w:r w:rsidRPr="00A23740">
              <w:rPr>
                <w:rStyle w:val="MaviChar"/>
                <w:b/>
                <w:bCs/>
              </w:rPr>
              <w:t>lind</w:t>
            </w:r>
            <w:r w:rsidRPr="00A23740">
              <w:t>e,</w:t>
            </w:r>
            <w:r w:rsidRPr="00A23740">
              <w:rPr>
                <w:rStyle w:val="MaviChar"/>
                <w:b/>
                <w:bCs/>
              </w:rPr>
              <w:t xml:space="preserve"> sonradan kazandığı malları </w:t>
            </w:r>
            <w:r w:rsidRPr="00A23740">
              <w:t>ile</w:t>
            </w:r>
            <w:r w:rsidRPr="00A23740">
              <w:rPr>
                <w:rStyle w:val="MaviChar"/>
                <w:b/>
                <w:bCs/>
                <w:lang w:val="tr-TR"/>
              </w:rPr>
              <w:t xml:space="preserve"> </w:t>
            </w:r>
            <w:r w:rsidRPr="00A23740">
              <w:rPr>
                <w:rStyle w:val="MaviChar"/>
                <w:b/>
                <w:bCs/>
              </w:rPr>
              <w:t>kazancında ve gelirinde ortaya çıkan artışlar</w:t>
            </w:r>
            <w:r w:rsidRPr="00D51A11">
              <w:t>ı</w:t>
            </w:r>
            <w:r w:rsidR="00A74A57" w:rsidRPr="00D51A11">
              <w:t>,</w:t>
            </w:r>
            <w:r w:rsidRPr="00A23740">
              <w:rPr>
                <w:rStyle w:val="MaviChar"/>
                <w:b/>
                <w:bCs/>
              </w:rPr>
              <w:t xml:space="preserve"> kazanma veya artış tarihinden itibaren</w:t>
            </w:r>
            <w:r w:rsidRPr="00A23740">
              <w:t xml:space="preserve"> </w:t>
            </w:r>
            <w:r w:rsidR="00315825" w:rsidRPr="00A23740">
              <w:rPr>
                <w:rStyle w:val="YELChar"/>
                <w:rFonts w:eastAsia="Calibri"/>
                <w:b/>
                <w:color w:val="0000FF"/>
                <w:lang w:val="tr-TR" w:eastAsia="x-none"/>
              </w:rPr>
              <w:t>iki</w:t>
            </w:r>
            <w:r w:rsidRPr="00A23740">
              <w:t xml:space="preserve"> </w:t>
            </w:r>
            <w:r w:rsidRPr="00A23740">
              <w:rPr>
                <w:rStyle w:val="MaviChar"/>
                <w:b/>
                <w:bCs/>
              </w:rPr>
              <w:t xml:space="preserve">hafta içinde </w:t>
            </w:r>
            <w:r w:rsidR="004C1DB2" w:rsidRPr="008D10FA">
              <w:rPr>
                <w:rStyle w:val="KonuBalChar"/>
                <w:rFonts w:eastAsia="Calibri"/>
                <w:b/>
                <w:color w:val="0000FF"/>
              </w:rPr>
              <w:t>154 üncü</w:t>
            </w:r>
            <w:r w:rsidR="00094D74" w:rsidRPr="00A23740">
              <w:rPr>
                <w:rStyle w:val="MaviChar"/>
                <w:b/>
                <w:bCs/>
                <w:lang w:val="tr-TR"/>
              </w:rPr>
              <w:t xml:space="preserve"> </w:t>
            </w:r>
            <w:r w:rsidR="00094D74" w:rsidRPr="00A23740">
              <w:rPr>
                <w:rStyle w:val="MaviChar"/>
                <w:b/>
                <w:bCs/>
              </w:rPr>
              <w:t xml:space="preserve">maddeye </w:t>
            </w:r>
            <w:r w:rsidRPr="00A23740">
              <w:rPr>
                <w:rStyle w:val="MaviChar"/>
                <w:b/>
                <w:bCs/>
              </w:rPr>
              <w:t xml:space="preserve">göre icra </w:t>
            </w:r>
            <w:r w:rsidR="00A74A57" w:rsidRPr="008D10FA">
              <w:rPr>
                <w:rStyle w:val="MaviChar"/>
                <w:b/>
                <w:bCs/>
              </w:rPr>
              <w:t>ve iflas</w:t>
            </w:r>
            <w:r w:rsidR="00A74A57" w:rsidRPr="00A23740">
              <w:rPr>
                <w:rStyle w:val="MaviChar"/>
                <w:b/>
                <w:bCs/>
                <w:color w:val="538135"/>
              </w:rPr>
              <w:t xml:space="preserve"> </w:t>
            </w:r>
            <w:r w:rsidRPr="00A23740">
              <w:rPr>
                <w:rStyle w:val="MaviChar"/>
                <w:b/>
                <w:bCs/>
              </w:rPr>
              <w:t xml:space="preserve">dairesine bildirmesi gerektiği; aksi takdirde </w:t>
            </w:r>
            <w:r w:rsidR="004C1DB2" w:rsidRPr="008D10FA">
              <w:rPr>
                <w:rStyle w:val="KonuBalChar"/>
                <w:rFonts w:eastAsia="Calibri"/>
                <w:b/>
                <w:color w:val="0000FF"/>
              </w:rPr>
              <w:t>510 uncu</w:t>
            </w:r>
            <w:r w:rsidR="00D51A11" w:rsidRPr="00D51A11">
              <w:rPr>
                <w:rStyle w:val="KIRMIZIChar"/>
                <w:rFonts w:eastAsia="Calibri"/>
                <w:b/>
                <w:strike w:val="0"/>
              </w:rPr>
              <w:t xml:space="preserve"> </w:t>
            </w:r>
            <w:r w:rsidRPr="00A23740">
              <w:t xml:space="preserve">maddenin ikinci fıkrası uyarınca </w:t>
            </w:r>
            <w:r w:rsidR="00B76889" w:rsidRPr="00A23740">
              <w:rPr>
                <w:rStyle w:val="MaviChar"/>
                <w:b/>
                <w:bCs/>
                <w:lang w:val="tr-TR"/>
              </w:rPr>
              <w:t xml:space="preserve">disiplin </w:t>
            </w:r>
            <w:r w:rsidR="001647D1" w:rsidRPr="008D10FA">
              <w:rPr>
                <w:rStyle w:val="MaviChar"/>
                <w:b/>
                <w:bCs/>
                <w:lang w:val="tr-TR"/>
              </w:rPr>
              <w:t>hapsiyle</w:t>
            </w:r>
            <w:r w:rsidR="00B76889" w:rsidRPr="00A23740">
              <w:rPr>
                <w:rStyle w:val="MaviChar"/>
                <w:b/>
                <w:bCs/>
                <w:lang w:val="tr-TR"/>
              </w:rPr>
              <w:t xml:space="preserve"> </w:t>
            </w:r>
            <w:r w:rsidRPr="00A23740">
              <w:t xml:space="preserve">cezalandırılacağı; </w:t>
            </w:r>
            <w:r w:rsidRPr="00A23740">
              <w:rPr>
                <w:rStyle w:val="MaviChar"/>
                <w:b/>
                <w:bCs/>
              </w:rPr>
              <w:t>gerçeğe</w:t>
            </w:r>
            <w:r w:rsidRPr="00A23740">
              <w:t xml:space="preserve"> aykırı bildirimde bulunması h</w:t>
            </w:r>
            <w:r w:rsidR="002F2BAA" w:rsidRPr="00A23740">
              <w:rPr>
                <w:lang w:val="tr-TR"/>
              </w:rPr>
              <w:t>â</w:t>
            </w:r>
            <w:r w:rsidRPr="00A23740">
              <w:t xml:space="preserve">linde ise </w:t>
            </w:r>
            <w:r w:rsidR="004C1DB2" w:rsidRPr="008D10FA">
              <w:rPr>
                <w:rStyle w:val="KonuBalChar"/>
                <w:rFonts w:eastAsia="Calibri"/>
                <w:b/>
                <w:color w:val="0000FF"/>
              </w:rPr>
              <w:lastRenderedPageBreak/>
              <w:t>518 inci</w:t>
            </w:r>
            <w:r w:rsidRPr="00A23740">
              <w:rPr>
                <w:rStyle w:val="YELChar"/>
                <w:rFonts w:eastAsia="Calibri"/>
                <w:b/>
                <w:color w:val="0000FF"/>
                <w:lang w:val="tr-TR" w:eastAsia="x-none"/>
              </w:rPr>
              <w:t xml:space="preserve"> </w:t>
            </w:r>
            <w:r w:rsidRPr="00A23740">
              <w:rPr>
                <w:rStyle w:val="YELChar"/>
                <w:rFonts w:eastAsia="Calibri"/>
                <w:b/>
                <w:color w:val="0000FF"/>
                <w:lang w:eastAsia="x-none"/>
              </w:rPr>
              <w:t>maddesinin birinci fıkrası uyarınca</w:t>
            </w:r>
            <w:r w:rsidRPr="00A23740">
              <w:t xml:space="preserve"> hapis cezası</w:t>
            </w:r>
            <w:r w:rsidR="0005528D" w:rsidRPr="008D10FA">
              <w:rPr>
                <w:lang w:val="tr-TR"/>
              </w:rPr>
              <w:t>yla</w:t>
            </w:r>
            <w:r w:rsidRPr="00A23740">
              <w:t xml:space="preserve"> cezalandırılacağı</w:t>
            </w:r>
            <w:r w:rsidRPr="00A23740">
              <w:rPr>
                <w:rStyle w:val="MaviChar"/>
                <w:b/>
                <w:bCs/>
              </w:rPr>
              <w:t>.</w:t>
            </w:r>
          </w:p>
          <w:p w:rsidR="00155AF4" w:rsidRPr="00A23740" w:rsidRDefault="00155AF4" w:rsidP="009431FF">
            <w:pPr>
              <w:rPr>
                <w:rFonts w:eastAsia="Times New Roman"/>
                <w:b/>
                <w:bCs/>
                <w:color w:val="FF0000"/>
                <w:szCs w:val="24"/>
                <w:lang w:eastAsia="tr-TR"/>
              </w:rPr>
            </w:pPr>
          </w:p>
          <w:p w:rsidR="00155AF4" w:rsidRPr="00A23740" w:rsidRDefault="00155AF4" w:rsidP="009431FF">
            <w:pPr>
              <w:pStyle w:val="Mavi"/>
            </w:pPr>
            <w:r w:rsidRPr="00A23740">
              <w:t>(2) İlamda yabancı para alacağına hükmedilmesi h</w:t>
            </w:r>
            <w:r w:rsidR="002F2BAA" w:rsidRPr="00A23740">
              <w:rPr>
                <w:lang w:val="tr-TR"/>
              </w:rPr>
              <w:t>â</w:t>
            </w:r>
            <w:r w:rsidRPr="00A23740">
              <w:t xml:space="preserve">linde de </w:t>
            </w:r>
            <w:r w:rsidRPr="00A23740">
              <w:rPr>
                <w:rStyle w:val="MaviChar"/>
                <w:b/>
                <w:bCs/>
                <w:lang w:val="tr-TR"/>
              </w:rPr>
              <w:t xml:space="preserve">56 ncı madde </w:t>
            </w:r>
            <w:r w:rsidRPr="00A23740">
              <w:t>hükümleri uyarınca işlem yapılır.</w:t>
            </w:r>
          </w:p>
          <w:p w:rsidR="00155AF4" w:rsidRPr="00A23740" w:rsidRDefault="00155AF4" w:rsidP="009431FF">
            <w:pPr>
              <w:rPr>
                <w:rFonts w:eastAsia="Times New Roman"/>
                <w:b/>
                <w:bCs/>
                <w:color w:val="0000FF"/>
                <w:szCs w:val="24"/>
                <w:lang w:eastAsia="tr-TR"/>
              </w:rPr>
            </w:pPr>
          </w:p>
        </w:tc>
      </w:tr>
      <w:tr w:rsidR="00155AF4" w:rsidRPr="00A23740" w:rsidTr="009431FF">
        <w:tc>
          <w:tcPr>
            <w:tcW w:w="5000" w:type="pct"/>
            <w:gridSpan w:val="2"/>
            <w:shd w:val="clear" w:color="auto" w:fill="DEEAF6"/>
          </w:tcPr>
          <w:p w:rsidR="00EB02C4" w:rsidRPr="00A23740" w:rsidRDefault="00EB02C4" w:rsidP="009431FF">
            <w:pPr>
              <w:pStyle w:val="Mavi"/>
              <w:ind w:firstLine="709"/>
              <w:rPr>
                <w:color w:val="auto"/>
                <w:lang w:val="tr-TR"/>
              </w:rPr>
            </w:pPr>
          </w:p>
          <w:p w:rsidR="00EB02C4" w:rsidRPr="00A23740" w:rsidRDefault="008E1D8E" w:rsidP="009431FF">
            <w:pPr>
              <w:pStyle w:val="Mavi"/>
              <w:ind w:firstLine="709"/>
              <w:rPr>
                <w:b w:val="0"/>
                <w:color w:val="auto"/>
                <w:lang w:val="tr-TR"/>
              </w:rPr>
            </w:pPr>
            <w:r w:rsidRPr="00A23740">
              <w:rPr>
                <w:color w:val="auto"/>
                <w:lang w:val="tr-TR"/>
              </w:rPr>
              <w:t xml:space="preserve">MADDE 68- </w:t>
            </w:r>
            <w:r w:rsidRPr="00A23740">
              <w:rPr>
                <w:b w:val="0"/>
                <w:color w:val="auto"/>
                <w:lang w:val="tr-TR"/>
              </w:rPr>
              <w:t>Madde</w:t>
            </w:r>
            <w:r w:rsidR="00EB02C4" w:rsidRPr="00A23740">
              <w:rPr>
                <w:b w:val="0"/>
                <w:color w:val="auto"/>
                <w:lang w:val="tr-TR"/>
              </w:rPr>
              <w:t>yle, p</w:t>
            </w:r>
            <w:r w:rsidR="00EB02C4" w:rsidRPr="00A23740">
              <w:rPr>
                <w:b w:val="0"/>
                <w:color w:val="auto"/>
                <w:lang w:eastAsia="tr-TR"/>
              </w:rPr>
              <w:t xml:space="preserve">ara borcunun ödenmesi </w:t>
            </w:r>
            <w:r w:rsidR="005923DE" w:rsidRPr="008D10FA">
              <w:rPr>
                <w:rStyle w:val="YELChar"/>
                <w:color w:val="auto"/>
              </w:rPr>
              <w:t>veya</w:t>
            </w:r>
            <w:r w:rsidR="00EB02C4" w:rsidRPr="008D10FA">
              <w:rPr>
                <w:color w:val="auto"/>
                <w:lang w:eastAsia="tr-TR"/>
              </w:rPr>
              <w:t xml:space="preserve"> </w:t>
            </w:r>
            <w:r w:rsidR="005923DE" w:rsidRPr="008D10FA">
              <w:rPr>
                <w:rStyle w:val="YELChar"/>
                <w:color w:val="auto"/>
              </w:rPr>
              <w:t>teminat</w:t>
            </w:r>
            <w:r w:rsidR="00EB02C4" w:rsidRPr="00A23740">
              <w:rPr>
                <w:b w:val="0"/>
                <w:color w:val="auto"/>
                <w:lang w:eastAsia="tr-TR"/>
              </w:rPr>
              <w:t xml:space="preserve"> verilmesine ilişkin ilamların icrası</w:t>
            </w:r>
            <w:r w:rsidR="00EB02C4" w:rsidRPr="00A23740">
              <w:rPr>
                <w:b w:val="0"/>
                <w:color w:val="auto"/>
                <w:lang w:val="tr-TR" w:eastAsia="tr-TR"/>
              </w:rPr>
              <w:t xml:space="preserve"> düzenlenmektedir. Hüküm, 2004 sayılı Kanunun 32 nci maddesine karşılık gelmektedir.</w:t>
            </w:r>
            <w:r w:rsidR="006A55D8" w:rsidRPr="00A23740">
              <w:rPr>
                <w:b w:val="0"/>
                <w:color w:val="auto"/>
                <w:lang w:val="tr-TR" w:eastAsia="tr-TR"/>
              </w:rPr>
              <w:t xml:space="preserve"> Madde, ilam niteliğindeki belgeleri kapsamamaktadır.</w:t>
            </w:r>
          </w:p>
          <w:p w:rsidR="00EB02C4" w:rsidRPr="00A23740" w:rsidRDefault="00EB02C4" w:rsidP="009431FF">
            <w:pPr>
              <w:pStyle w:val="Mavi"/>
              <w:ind w:firstLine="709"/>
              <w:rPr>
                <w:b w:val="0"/>
                <w:color w:val="auto"/>
                <w:lang w:val="tr-TR"/>
              </w:rPr>
            </w:pPr>
            <w:r w:rsidRPr="00A23740">
              <w:rPr>
                <w:b w:val="0"/>
                <w:color w:val="auto"/>
                <w:lang w:val="tr-TR"/>
              </w:rPr>
              <w:t>Birinci fıkrayla, para borcunun ödenmesi veya teminatın verilmesi hakkındaki ilamların yerine get</w:t>
            </w:r>
            <w:r w:rsidR="004A334E" w:rsidRPr="00A23740">
              <w:rPr>
                <w:b w:val="0"/>
                <w:color w:val="auto"/>
                <w:lang w:val="tr-TR"/>
              </w:rPr>
              <w:t>irilmesine ilişkin icra emrinde</w:t>
            </w:r>
            <w:r w:rsidRPr="00A23740">
              <w:rPr>
                <w:b w:val="0"/>
                <w:color w:val="auto"/>
                <w:lang w:val="tr-TR"/>
              </w:rPr>
              <w:t xml:space="preserve"> yer alacak hususlar</w:t>
            </w:r>
            <w:r w:rsidR="00CD4297" w:rsidRPr="00A23740">
              <w:rPr>
                <w:b w:val="0"/>
                <w:color w:val="auto"/>
                <w:lang w:val="tr-TR"/>
              </w:rPr>
              <w:t xml:space="preserve"> bentler h</w:t>
            </w:r>
            <w:r w:rsidR="002F2BAA" w:rsidRPr="00A23740">
              <w:rPr>
                <w:b w:val="0"/>
                <w:color w:val="auto"/>
                <w:lang w:val="tr-TR"/>
              </w:rPr>
              <w:t>â</w:t>
            </w:r>
            <w:r w:rsidR="00CD4297" w:rsidRPr="00A23740">
              <w:rPr>
                <w:b w:val="0"/>
                <w:color w:val="auto"/>
                <w:lang w:val="tr-TR"/>
              </w:rPr>
              <w:t>linde</w:t>
            </w:r>
            <w:r w:rsidRPr="00A23740">
              <w:rPr>
                <w:b w:val="0"/>
                <w:color w:val="auto"/>
                <w:lang w:val="tr-TR"/>
              </w:rPr>
              <w:t xml:space="preserve"> belirlenmektedir.</w:t>
            </w:r>
            <w:r w:rsidR="00C113F4" w:rsidRPr="00A23740">
              <w:rPr>
                <w:b w:val="0"/>
                <w:color w:val="auto"/>
                <w:lang w:val="tr-TR"/>
              </w:rPr>
              <w:t xml:space="preserve"> İcra emrinin içeriği büyük ölçüde, bu konudaki genel hüküm olan 57 nci maddeye benzemektedir. Ancak bu maddede para borcu düzenlendiği için</w:t>
            </w:r>
            <w:r w:rsidR="006A55D8" w:rsidRPr="00A23740">
              <w:rPr>
                <w:b w:val="0"/>
                <w:color w:val="auto"/>
                <w:lang w:val="tr-TR"/>
              </w:rPr>
              <w:t>,</w:t>
            </w:r>
            <w:r w:rsidR="00C113F4" w:rsidRPr="00A23740">
              <w:rPr>
                <w:b w:val="0"/>
                <w:color w:val="auto"/>
                <w:lang w:val="tr-TR"/>
              </w:rPr>
              <w:t xml:space="preserve"> buna özel bazı durumlar da yer almaktadır.</w:t>
            </w:r>
            <w:r w:rsidR="006A55D8" w:rsidRPr="00A23740">
              <w:rPr>
                <w:b w:val="0"/>
                <w:color w:val="auto"/>
                <w:lang w:val="tr-TR"/>
              </w:rPr>
              <w:t xml:space="preserve"> </w:t>
            </w:r>
          </w:p>
          <w:p w:rsidR="00C113F4" w:rsidRPr="00A23740" w:rsidRDefault="00EC3985" w:rsidP="009431FF">
            <w:pPr>
              <w:pStyle w:val="Mavi"/>
              <w:ind w:firstLine="709"/>
              <w:rPr>
                <w:b w:val="0"/>
                <w:color w:val="auto"/>
                <w:lang w:val="tr-TR"/>
              </w:rPr>
            </w:pPr>
            <w:r w:rsidRPr="00A23740">
              <w:rPr>
                <w:b w:val="0"/>
                <w:bCs w:val="0"/>
                <w:color w:val="auto"/>
                <w:lang w:val="tr-TR"/>
              </w:rPr>
              <w:t xml:space="preserve">(a) </w:t>
            </w:r>
            <w:r w:rsidR="00EB02C4" w:rsidRPr="00A23740">
              <w:rPr>
                <w:b w:val="0"/>
                <w:bCs w:val="0"/>
                <w:color w:val="auto"/>
              </w:rPr>
              <w:t xml:space="preserve">bedinde, icra emrinin tebliğinden itibaren </w:t>
            </w:r>
            <w:r w:rsidR="00EB02C4" w:rsidRPr="00A23740">
              <w:rPr>
                <w:b w:val="0"/>
                <w:bCs w:val="0"/>
                <w:color w:val="auto"/>
                <w:lang w:val="tr-TR"/>
              </w:rPr>
              <w:t>iki hafta</w:t>
            </w:r>
            <w:r w:rsidR="00EB02C4" w:rsidRPr="00A23740">
              <w:rPr>
                <w:b w:val="0"/>
                <w:color w:val="auto"/>
                <w:lang w:val="tr-TR"/>
              </w:rPr>
              <w:t xml:space="preserve"> içinde </w:t>
            </w:r>
            <w:r w:rsidR="00EB02C4" w:rsidRPr="00A23740">
              <w:rPr>
                <w:b w:val="0"/>
                <w:bCs w:val="0"/>
                <w:color w:val="auto"/>
              </w:rPr>
              <w:t>para borcunun</w:t>
            </w:r>
            <w:r w:rsidR="00EB02C4" w:rsidRPr="00A23740">
              <w:rPr>
                <w:b w:val="0"/>
                <w:color w:val="auto"/>
                <w:lang w:val="tr-TR"/>
              </w:rPr>
              <w:t xml:space="preserve"> ödenmesi veya teminat</w:t>
            </w:r>
            <w:r w:rsidR="00EB02C4" w:rsidRPr="00A23740">
              <w:rPr>
                <w:b w:val="0"/>
                <w:bCs w:val="0"/>
                <w:color w:val="auto"/>
                <w:lang w:val="tr-TR"/>
              </w:rPr>
              <w:t>ın</w:t>
            </w:r>
            <w:r w:rsidR="00EB02C4" w:rsidRPr="00A23740">
              <w:rPr>
                <w:b w:val="0"/>
                <w:color w:val="auto"/>
                <w:lang w:val="tr-TR"/>
              </w:rPr>
              <w:t xml:space="preserve"> verilme</w:t>
            </w:r>
            <w:r w:rsidR="00EB02C4" w:rsidRPr="00A23740">
              <w:rPr>
                <w:b w:val="0"/>
                <w:bCs w:val="0"/>
                <w:color w:val="auto"/>
              </w:rPr>
              <w:t xml:space="preserve">si hususu yer almaktadır. </w:t>
            </w:r>
            <w:r w:rsidR="00EB02C4" w:rsidRPr="00A23740">
              <w:rPr>
                <w:b w:val="0"/>
                <w:color w:val="auto"/>
                <w:lang w:val="tr-TR"/>
              </w:rPr>
              <w:t>2004 sayı</w:t>
            </w:r>
            <w:r w:rsidR="00C113F4" w:rsidRPr="00A23740">
              <w:rPr>
                <w:b w:val="0"/>
                <w:color w:val="auto"/>
                <w:lang w:val="tr-TR"/>
              </w:rPr>
              <w:t>lı Kanundaki yedi günlük ödeme süresi</w:t>
            </w:r>
            <w:r w:rsidR="00EB02C4" w:rsidRPr="00A23740">
              <w:rPr>
                <w:b w:val="0"/>
                <w:color w:val="auto"/>
                <w:lang w:val="tr-TR"/>
              </w:rPr>
              <w:t xml:space="preserve"> çok kısa olduğu için h</w:t>
            </w:r>
            <w:r w:rsidR="00EB02C4" w:rsidRPr="00A23740">
              <w:rPr>
                <w:b w:val="0"/>
                <w:bCs w:val="0"/>
                <w:color w:val="auto"/>
              </w:rPr>
              <w:t>ükümle</w:t>
            </w:r>
            <w:r w:rsidR="004A334E" w:rsidRPr="00A23740">
              <w:rPr>
                <w:b w:val="0"/>
                <w:bCs w:val="0"/>
                <w:color w:val="auto"/>
                <w:lang w:val="tr-TR"/>
              </w:rPr>
              <w:t>,</w:t>
            </w:r>
            <w:r w:rsidR="00EB02C4" w:rsidRPr="00A23740">
              <w:rPr>
                <w:b w:val="0"/>
                <w:bCs w:val="0"/>
                <w:color w:val="auto"/>
              </w:rPr>
              <w:t xml:space="preserve"> </w:t>
            </w:r>
            <w:r w:rsidR="00EB02C4" w:rsidRPr="00A23740">
              <w:rPr>
                <w:b w:val="0"/>
                <w:color w:val="auto"/>
                <w:lang w:val="tr-TR"/>
              </w:rPr>
              <w:t>ödeme süresi iki haftaya çıkarılmaktadır.</w:t>
            </w:r>
            <w:r w:rsidR="00C113F4" w:rsidRPr="00A23740">
              <w:rPr>
                <w:b w:val="0"/>
                <w:color w:val="auto"/>
                <w:lang w:val="tr-TR"/>
              </w:rPr>
              <w:t xml:space="preserve"> Özellikle yüksek bir meblağı içeren ilamlar bakımından borçlunun parayı hazır edebilmesi her zaman kolay olamamaktadır. Bu sebeple, alacaklı ve borçlu arasındaki menfaat dengesi de göz önünde bulundurularak borçluya iki haftalık bir süre verilmektedir.</w:t>
            </w:r>
          </w:p>
          <w:p w:rsidR="00EB02C4" w:rsidRPr="008D10FA" w:rsidRDefault="00C113F4" w:rsidP="009431FF">
            <w:pPr>
              <w:pStyle w:val="Mavi"/>
              <w:ind w:firstLine="709"/>
              <w:rPr>
                <w:b w:val="0"/>
                <w:bCs w:val="0"/>
                <w:color w:val="auto"/>
              </w:rPr>
            </w:pPr>
            <w:r w:rsidRPr="00A23740">
              <w:rPr>
                <w:b w:val="0"/>
                <w:bCs w:val="0"/>
                <w:color w:val="auto"/>
                <w:lang w:val="tr-TR"/>
              </w:rPr>
              <w:t>(</w:t>
            </w:r>
            <w:r w:rsidR="00EB02C4" w:rsidRPr="00A23740">
              <w:rPr>
                <w:b w:val="0"/>
                <w:bCs w:val="0"/>
                <w:color w:val="auto"/>
              </w:rPr>
              <w:t xml:space="preserve">b) </w:t>
            </w:r>
            <w:r w:rsidR="00EC3985" w:rsidRPr="00A23740">
              <w:rPr>
                <w:b w:val="0"/>
                <w:bCs w:val="0"/>
                <w:color w:val="auto"/>
                <w:lang w:val="tr-TR"/>
              </w:rPr>
              <w:t xml:space="preserve">bendinde, </w:t>
            </w:r>
            <w:r w:rsidR="00EC3985" w:rsidRPr="00A23740">
              <w:rPr>
                <w:b w:val="0"/>
                <w:bCs w:val="0"/>
                <w:color w:val="auto"/>
              </w:rPr>
              <w:t xml:space="preserve">icra emrinin tebliğinden itibaren </w:t>
            </w:r>
            <w:r w:rsidR="00EC3985" w:rsidRPr="00A23740">
              <w:rPr>
                <w:b w:val="0"/>
                <w:bCs w:val="0"/>
                <w:color w:val="auto"/>
                <w:lang w:val="tr-TR"/>
              </w:rPr>
              <w:t>iki hafta</w:t>
            </w:r>
            <w:r w:rsidR="00EC3985" w:rsidRPr="00A23740">
              <w:rPr>
                <w:b w:val="0"/>
                <w:color w:val="auto"/>
                <w:lang w:val="tr-TR"/>
              </w:rPr>
              <w:t xml:space="preserve"> içinde</w:t>
            </w:r>
            <w:r w:rsidR="00EC3985" w:rsidRPr="00A23740">
              <w:rPr>
                <w:b w:val="0"/>
                <w:bCs w:val="0"/>
                <w:color w:val="auto"/>
              </w:rPr>
              <w:t xml:space="preserve"> </w:t>
            </w:r>
            <w:r w:rsidR="00EB02C4" w:rsidRPr="00A23740">
              <w:rPr>
                <w:b w:val="0"/>
                <w:bCs w:val="0"/>
                <w:color w:val="auto"/>
              </w:rPr>
              <w:t>icra emrinin gereği yerine getirilmezse</w:t>
            </w:r>
            <w:r w:rsidR="00EB02C4" w:rsidRPr="00A23740">
              <w:rPr>
                <w:b w:val="0"/>
                <w:color w:val="auto"/>
                <w:lang w:val="tr-TR"/>
              </w:rPr>
              <w:t xml:space="preserve"> cebr</w:t>
            </w:r>
            <w:r w:rsidR="00070384" w:rsidRPr="00A23740">
              <w:rPr>
                <w:b w:val="0"/>
                <w:color w:val="auto"/>
                <w:lang w:val="tr-TR"/>
              </w:rPr>
              <w:t>î</w:t>
            </w:r>
            <w:r w:rsidR="00EB02C4" w:rsidRPr="00A23740">
              <w:rPr>
                <w:b w:val="0"/>
                <w:color w:val="auto"/>
                <w:lang w:val="tr-TR"/>
              </w:rPr>
              <w:t xml:space="preserve"> icra</w:t>
            </w:r>
            <w:r w:rsidR="00EC3985" w:rsidRPr="00A23740">
              <w:rPr>
                <w:b w:val="0"/>
                <w:bCs w:val="0"/>
                <w:color w:val="auto"/>
              </w:rPr>
              <w:t>ya devam olunacağı ihtarı yer almaktadır.</w:t>
            </w:r>
          </w:p>
          <w:p w:rsidR="00EB02C4" w:rsidRPr="00A23740" w:rsidRDefault="00EC3985" w:rsidP="009431FF">
            <w:pPr>
              <w:pStyle w:val="Mavi"/>
              <w:ind w:firstLine="709"/>
              <w:rPr>
                <w:b w:val="0"/>
                <w:color w:val="auto"/>
                <w:lang w:val="tr-TR"/>
              </w:rPr>
            </w:pPr>
            <w:r w:rsidRPr="008D10FA">
              <w:rPr>
                <w:b w:val="0"/>
                <w:bCs w:val="0"/>
                <w:color w:val="auto"/>
              </w:rPr>
              <w:t>(</w:t>
            </w:r>
            <w:r w:rsidR="00EB02C4" w:rsidRPr="008D10FA">
              <w:rPr>
                <w:b w:val="0"/>
                <w:bCs w:val="0"/>
                <w:color w:val="auto"/>
              </w:rPr>
              <w:t xml:space="preserve">c) </w:t>
            </w:r>
            <w:r w:rsidRPr="008D10FA">
              <w:rPr>
                <w:b w:val="0"/>
                <w:bCs w:val="0"/>
                <w:color w:val="auto"/>
              </w:rPr>
              <w:t xml:space="preserve">bendinde, </w:t>
            </w:r>
            <w:r w:rsidRPr="00A23740">
              <w:rPr>
                <w:b w:val="0"/>
                <w:bCs w:val="0"/>
                <w:color w:val="auto"/>
              </w:rPr>
              <w:t xml:space="preserve">icra emrinin tebliğinden itibaren </w:t>
            </w:r>
            <w:r w:rsidRPr="008D10FA">
              <w:rPr>
                <w:b w:val="0"/>
                <w:bCs w:val="0"/>
                <w:color w:val="auto"/>
              </w:rPr>
              <w:t xml:space="preserve">iki hafta içinde </w:t>
            </w:r>
            <w:r w:rsidR="00EB02C4" w:rsidRPr="008D10FA">
              <w:rPr>
                <w:b w:val="0"/>
                <w:bCs w:val="0"/>
                <w:color w:val="auto"/>
              </w:rPr>
              <w:t>ilama bağlı borcun ferîleriyle birlikte tamamen ödenmesi h</w:t>
            </w:r>
            <w:r w:rsidR="002F2BAA" w:rsidRPr="008D10FA">
              <w:rPr>
                <w:b w:val="0"/>
                <w:bCs w:val="0"/>
                <w:color w:val="auto"/>
              </w:rPr>
              <w:t>â</w:t>
            </w:r>
            <w:r w:rsidR="00EB02C4" w:rsidRPr="008D10FA">
              <w:rPr>
                <w:b w:val="0"/>
                <w:bCs w:val="0"/>
                <w:color w:val="auto"/>
              </w:rPr>
              <w:t>linde borçlunun sadece maktu vek</w:t>
            </w:r>
            <w:r w:rsidR="00407C95" w:rsidRPr="008D10FA">
              <w:rPr>
                <w:b w:val="0"/>
                <w:bCs w:val="0"/>
                <w:color w:val="auto"/>
              </w:rPr>
              <w:t>â</w:t>
            </w:r>
            <w:r w:rsidR="00EB02C4" w:rsidRPr="008D10FA">
              <w:rPr>
                <w:b w:val="0"/>
                <w:bCs w:val="0"/>
                <w:color w:val="auto"/>
              </w:rPr>
              <w:t>let ücreti</w:t>
            </w:r>
            <w:r w:rsidR="005923DE" w:rsidRPr="008D10FA">
              <w:rPr>
                <w:b w:val="0"/>
                <w:bCs w:val="0"/>
                <w:color w:val="auto"/>
              </w:rPr>
              <w:t>yle</w:t>
            </w:r>
            <w:r w:rsidR="00EB02C4" w:rsidRPr="00A23740">
              <w:rPr>
                <w:b w:val="0"/>
                <w:color w:val="auto"/>
                <w:lang w:val="tr-TR"/>
              </w:rPr>
              <w:t xml:space="preserve"> sorumlu olacağı</w:t>
            </w:r>
            <w:r w:rsidRPr="00A23740">
              <w:rPr>
                <w:b w:val="0"/>
                <w:color w:val="auto"/>
                <w:lang w:val="tr-TR"/>
              </w:rPr>
              <w:t xml:space="preserve"> ve</w:t>
            </w:r>
            <w:r w:rsidR="00EB02C4" w:rsidRPr="00A23740">
              <w:rPr>
                <w:b w:val="0"/>
                <w:color w:val="auto"/>
                <w:lang w:val="tr-TR"/>
              </w:rPr>
              <w:t xml:space="preserve"> tahsil harcı ile takip giderle</w:t>
            </w:r>
            <w:r w:rsidRPr="00A23740">
              <w:rPr>
                <w:b w:val="0"/>
                <w:color w:val="auto"/>
                <w:lang w:val="tr-TR"/>
              </w:rPr>
              <w:t xml:space="preserve">rini ödemekten muaf tutulacağı belirtilmektedir. Ancak bu hususu düzenleyen </w:t>
            </w:r>
            <w:r w:rsidR="00163E5A" w:rsidRPr="00A23740">
              <w:rPr>
                <w:b w:val="0"/>
                <w:color w:val="auto"/>
                <w:lang w:val="tr-TR"/>
              </w:rPr>
              <w:t>Taslağın</w:t>
            </w:r>
            <w:r w:rsidRPr="00A23740">
              <w:rPr>
                <w:b w:val="0"/>
                <w:color w:val="auto"/>
                <w:lang w:val="tr-TR"/>
              </w:rPr>
              <w:t xml:space="preserve"> 66 ncı maddesinin ikinci fıkrası gereğince, kanunlarda il</w:t>
            </w:r>
            <w:r w:rsidR="00FA78DD" w:rsidRPr="00A23740">
              <w:rPr>
                <w:b w:val="0"/>
                <w:color w:val="auto"/>
                <w:lang w:val="tr-TR"/>
              </w:rPr>
              <w:t>a</w:t>
            </w:r>
            <w:r w:rsidRPr="00A23740">
              <w:rPr>
                <w:b w:val="0"/>
                <w:color w:val="auto"/>
                <w:lang w:val="tr-TR"/>
              </w:rPr>
              <w:t xml:space="preserve">m niteliğinde olduğu belirtilen belgelere dayalı takiplerde </w:t>
            </w:r>
            <w:r w:rsidR="00CD4297" w:rsidRPr="00A23740">
              <w:rPr>
                <w:b w:val="0"/>
                <w:color w:val="auto"/>
                <w:lang w:val="tr-TR"/>
              </w:rPr>
              <w:t>bu durum söz konusu olmaz</w:t>
            </w:r>
            <w:r w:rsidRPr="00A23740">
              <w:rPr>
                <w:b w:val="0"/>
                <w:color w:val="auto"/>
                <w:lang w:val="tr-TR"/>
              </w:rPr>
              <w:t>.</w:t>
            </w:r>
          </w:p>
          <w:p w:rsidR="00EB02C4" w:rsidRPr="00A23740" w:rsidRDefault="00EC3985" w:rsidP="009431FF">
            <w:pPr>
              <w:pStyle w:val="Mavi"/>
              <w:ind w:firstLine="709"/>
              <w:rPr>
                <w:b w:val="0"/>
                <w:color w:val="auto"/>
                <w:lang w:val="tr-TR"/>
              </w:rPr>
            </w:pPr>
            <w:r w:rsidRPr="00A23740">
              <w:rPr>
                <w:b w:val="0"/>
                <w:color w:val="auto"/>
                <w:lang w:val="tr-TR"/>
              </w:rPr>
              <w:t>(</w:t>
            </w:r>
            <w:r w:rsidR="00EB02C4" w:rsidRPr="00A23740">
              <w:rPr>
                <w:b w:val="0"/>
                <w:color w:val="auto"/>
                <w:lang w:val="tr-TR"/>
              </w:rPr>
              <w:t xml:space="preserve">ç) </w:t>
            </w:r>
            <w:r w:rsidRPr="00A23740">
              <w:rPr>
                <w:b w:val="0"/>
                <w:color w:val="auto"/>
                <w:lang w:val="tr-TR"/>
              </w:rPr>
              <w:t>bendinde, p</w:t>
            </w:r>
            <w:r w:rsidR="00EB02C4" w:rsidRPr="00A23740">
              <w:rPr>
                <w:b w:val="0"/>
                <w:color w:val="auto"/>
                <w:lang w:val="tr-TR"/>
              </w:rPr>
              <w:t>ara borcuna ilişkin ilamın gereğinin süresi</w:t>
            </w:r>
            <w:r w:rsidR="004A334E" w:rsidRPr="00A23740">
              <w:rPr>
                <w:b w:val="0"/>
                <w:color w:val="auto"/>
                <w:lang w:val="tr-TR"/>
              </w:rPr>
              <w:t xml:space="preserve"> içi</w:t>
            </w:r>
            <w:r w:rsidR="00EB02C4" w:rsidRPr="00A23740">
              <w:rPr>
                <w:b w:val="0"/>
                <w:color w:val="auto"/>
                <w:lang w:val="tr-TR"/>
              </w:rPr>
              <w:t>nde yerine getirilmemesi h</w:t>
            </w:r>
            <w:r w:rsidR="002F2BAA" w:rsidRPr="00A23740">
              <w:rPr>
                <w:b w:val="0"/>
                <w:color w:val="auto"/>
                <w:lang w:val="tr-TR"/>
              </w:rPr>
              <w:t>â</w:t>
            </w:r>
            <w:r w:rsidR="00EB02C4" w:rsidRPr="00A23740">
              <w:rPr>
                <w:b w:val="0"/>
                <w:color w:val="auto"/>
                <w:lang w:val="tr-TR"/>
              </w:rPr>
              <w:t>linde borçlu iflasa tabi ise doğrudan doğr</w:t>
            </w:r>
            <w:r w:rsidRPr="00A23740">
              <w:rPr>
                <w:b w:val="0"/>
                <w:color w:val="auto"/>
                <w:lang w:val="tr-TR"/>
              </w:rPr>
              <w:t>uya iflasının da istenebileceği belirtilmektedir.</w:t>
            </w:r>
          </w:p>
          <w:p w:rsidR="007A1CBE" w:rsidRPr="00A23740" w:rsidRDefault="00EC3985" w:rsidP="009431FF">
            <w:pPr>
              <w:pStyle w:val="Mavi"/>
              <w:ind w:firstLine="709"/>
              <w:rPr>
                <w:b w:val="0"/>
                <w:color w:val="auto"/>
                <w:lang w:val="tr-TR"/>
              </w:rPr>
            </w:pPr>
            <w:r w:rsidRPr="00A23740">
              <w:rPr>
                <w:b w:val="0"/>
                <w:color w:val="auto"/>
                <w:lang w:val="tr-TR"/>
              </w:rPr>
              <w:t>(</w:t>
            </w:r>
            <w:r w:rsidR="00EB02C4" w:rsidRPr="00A23740">
              <w:rPr>
                <w:b w:val="0"/>
                <w:color w:val="auto"/>
                <w:lang w:val="tr-TR"/>
              </w:rPr>
              <w:t xml:space="preserve">d) </w:t>
            </w:r>
            <w:r w:rsidR="007A1CBE" w:rsidRPr="00A23740">
              <w:rPr>
                <w:b w:val="0"/>
                <w:color w:val="auto"/>
                <w:lang w:val="tr-TR"/>
              </w:rPr>
              <w:t xml:space="preserve">ve (e) </w:t>
            </w:r>
            <w:r w:rsidRPr="00A23740">
              <w:rPr>
                <w:b w:val="0"/>
                <w:color w:val="auto"/>
                <w:lang w:val="tr-TR"/>
              </w:rPr>
              <w:t>ben</w:t>
            </w:r>
            <w:r w:rsidR="007A1CBE" w:rsidRPr="00A23740">
              <w:rPr>
                <w:b w:val="0"/>
                <w:color w:val="auto"/>
                <w:lang w:val="tr-TR"/>
              </w:rPr>
              <w:t>tlerinde</w:t>
            </w:r>
            <w:r w:rsidR="00CD4297" w:rsidRPr="00A23740">
              <w:rPr>
                <w:b w:val="0"/>
                <w:color w:val="auto"/>
                <w:lang w:val="tr-TR"/>
              </w:rPr>
              <w:t>,</w:t>
            </w:r>
            <w:r w:rsidR="007A1CBE" w:rsidRPr="00A23740">
              <w:rPr>
                <w:b w:val="0"/>
                <w:color w:val="auto"/>
                <w:lang w:val="tr-TR"/>
              </w:rPr>
              <w:t xml:space="preserve"> mal beyanında bulunma süresi ile mal beyanında bulun</w:t>
            </w:r>
            <w:r w:rsidR="00CD4297" w:rsidRPr="00A23740">
              <w:rPr>
                <w:b w:val="0"/>
                <w:color w:val="auto"/>
                <w:lang w:val="tr-TR"/>
              </w:rPr>
              <w:t>ul</w:t>
            </w:r>
            <w:r w:rsidR="007A1CBE" w:rsidRPr="00A23740">
              <w:rPr>
                <w:b w:val="0"/>
                <w:color w:val="auto"/>
                <w:lang w:val="tr-TR"/>
              </w:rPr>
              <w:t>m</w:t>
            </w:r>
            <w:r w:rsidR="00CD4297" w:rsidRPr="00A23740">
              <w:rPr>
                <w:b w:val="0"/>
                <w:color w:val="auto"/>
                <w:lang w:val="tr-TR"/>
              </w:rPr>
              <w:t xml:space="preserve">aması </w:t>
            </w:r>
            <w:r w:rsidR="007A1CBE" w:rsidRPr="00A23740">
              <w:rPr>
                <w:b w:val="0"/>
                <w:color w:val="auto"/>
                <w:lang w:val="tr-TR"/>
              </w:rPr>
              <w:t>h</w:t>
            </w:r>
            <w:r w:rsidR="002F2BAA" w:rsidRPr="00A23740">
              <w:rPr>
                <w:b w:val="0"/>
                <w:color w:val="auto"/>
                <w:lang w:val="tr-TR"/>
              </w:rPr>
              <w:t>â</w:t>
            </w:r>
            <w:r w:rsidR="007A1CBE" w:rsidRPr="00A23740">
              <w:rPr>
                <w:b w:val="0"/>
                <w:color w:val="auto"/>
                <w:lang w:val="tr-TR"/>
              </w:rPr>
              <w:t xml:space="preserve">linde </w:t>
            </w:r>
            <w:r w:rsidR="00CD4297" w:rsidRPr="00A23740">
              <w:rPr>
                <w:b w:val="0"/>
                <w:color w:val="auto"/>
                <w:lang w:val="tr-TR"/>
              </w:rPr>
              <w:t>cezai yaptırımın uygulanacağına ilişkin</w:t>
            </w:r>
            <w:r w:rsidR="007A1CBE" w:rsidRPr="00A23740">
              <w:rPr>
                <w:b w:val="0"/>
                <w:color w:val="auto"/>
                <w:lang w:val="tr-TR"/>
              </w:rPr>
              <w:t xml:space="preserve"> hususlar yer almaktadır.</w:t>
            </w:r>
          </w:p>
          <w:p w:rsidR="008E1D8E" w:rsidRPr="00A23740" w:rsidRDefault="007A1CBE" w:rsidP="009431FF">
            <w:pPr>
              <w:pStyle w:val="Mavi"/>
              <w:ind w:firstLine="709"/>
              <w:rPr>
                <w:color w:val="auto"/>
                <w:lang w:val="tr-TR"/>
              </w:rPr>
            </w:pPr>
            <w:r w:rsidRPr="00A23740">
              <w:rPr>
                <w:b w:val="0"/>
                <w:color w:val="auto"/>
                <w:lang w:val="tr-TR"/>
              </w:rPr>
              <w:t>İkinci fıkrayla,</w:t>
            </w:r>
            <w:r w:rsidR="008E1D8E" w:rsidRPr="00A23740">
              <w:rPr>
                <w:b w:val="0"/>
                <w:color w:val="auto"/>
                <w:lang w:val="tr-TR"/>
              </w:rPr>
              <w:t xml:space="preserve"> </w:t>
            </w:r>
            <w:r w:rsidRPr="00A23740">
              <w:rPr>
                <w:b w:val="0"/>
                <w:color w:val="auto"/>
                <w:lang w:val="tr-TR"/>
              </w:rPr>
              <w:t xml:space="preserve">ilamda </w:t>
            </w:r>
            <w:r w:rsidR="008E1D8E" w:rsidRPr="00A23740">
              <w:rPr>
                <w:b w:val="0"/>
                <w:color w:val="auto"/>
                <w:lang w:val="tr-TR"/>
              </w:rPr>
              <w:t>yabancı para alaca</w:t>
            </w:r>
            <w:r w:rsidRPr="00A23740">
              <w:rPr>
                <w:b w:val="0"/>
                <w:color w:val="auto"/>
                <w:lang w:val="tr-TR"/>
              </w:rPr>
              <w:t>ğına hükmedilmesi h</w:t>
            </w:r>
            <w:r w:rsidR="002F2BAA" w:rsidRPr="00A23740">
              <w:rPr>
                <w:b w:val="0"/>
                <w:color w:val="auto"/>
                <w:lang w:val="tr-TR"/>
              </w:rPr>
              <w:t>â</w:t>
            </w:r>
            <w:r w:rsidRPr="00A23740">
              <w:rPr>
                <w:b w:val="0"/>
                <w:color w:val="auto"/>
                <w:lang w:val="tr-TR"/>
              </w:rPr>
              <w:t xml:space="preserve">linde de 56 </w:t>
            </w:r>
            <w:r w:rsidR="008E1D8E" w:rsidRPr="00A23740">
              <w:rPr>
                <w:b w:val="0"/>
                <w:color w:val="auto"/>
                <w:lang w:val="tr-TR"/>
              </w:rPr>
              <w:t>ncı maddede belirtilen esasların uygulanacağı düzenlenm</w:t>
            </w:r>
            <w:r w:rsidRPr="00A23740">
              <w:rPr>
                <w:b w:val="0"/>
                <w:color w:val="auto"/>
                <w:lang w:val="tr-TR"/>
              </w:rPr>
              <w:t xml:space="preserve">ektedir. </w:t>
            </w:r>
            <w:r w:rsidR="008E1D8E" w:rsidRPr="00A23740">
              <w:rPr>
                <w:b w:val="0"/>
                <w:color w:val="auto"/>
                <w:lang w:val="tr-TR"/>
              </w:rPr>
              <w:t xml:space="preserve">Yani alacağın veya istenen teminatın Türk parasıyla tutarı ve faizli alacaklarda faizin türü, oranı, miktarı ile işlemeye başladığı gün; alacak veya istenen teminat yabancı para ise, harca esas olmak üzere takip talebi tarihindeki Türkiye Cumhuriyet Merkez Bankası efektif </w:t>
            </w:r>
            <w:r w:rsidR="008E1D8E" w:rsidRPr="00A23740">
              <w:rPr>
                <w:b w:val="0"/>
                <w:color w:val="auto"/>
                <w:lang w:val="tr-TR"/>
              </w:rPr>
              <w:lastRenderedPageBreak/>
              <w:t xml:space="preserve">satış kuru üzerinden Türk </w:t>
            </w:r>
            <w:r w:rsidR="004C6F29" w:rsidRPr="00A23740">
              <w:rPr>
                <w:b w:val="0"/>
                <w:color w:val="auto"/>
                <w:lang w:val="tr-TR"/>
              </w:rPr>
              <w:t xml:space="preserve">lirası </w:t>
            </w:r>
            <w:r w:rsidR="008E1D8E" w:rsidRPr="00A23740">
              <w:rPr>
                <w:b w:val="0"/>
                <w:color w:val="auto"/>
                <w:lang w:val="tr-TR"/>
              </w:rPr>
              <w:t>karşılığı ve alacağın hangi tarihteki kur üzerinden talep edildiği ve faizli yabancı para alacaklarında faizin türü, oranı, miktarı ile işlemeye başladığı gün, takip talebine ve icra emrine yazılmak zorundadır.</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Fonts w:eastAsia="Times New Roman"/>
                <w:b/>
                <w:bCs/>
                <w:szCs w:val="24"/>
                <w:lang w:eastAsia="tr-TR"/>
              </w:rPr>
              <w:lastRenderedPageBreak/>
              <w:t>Haciz veya iflas isteme</w:t>
            </w:r>
            <w:r w:rsidRPr="00A23740">
              <w:rPr>
                <w:rFonts w:eastAsia="Times New Roman"/>
                <w:b/>
                <w:bCs/>
                <w:strike/>
                <w:color w:val="FF0000"/>
                <w:szCs w:val="24"/>
                <w:lang w:eastAsia="tr-TR"/>
              </w:rPr>
              <w:t>k</w:t>
            </w:r>
            <w:r w:rsidRPr="00A23740">
              <w:rPr>
                <w:rFonts w:eastAsia="Times New Roman"/>
                <w:b/>
                <w:bCs/>
                <w:szCs w:val="24"/>
                <w:lang w:eastAsia="tr-TR"/>
              </w:rPr>
              <w:t xml:space="preserve"> yetkisi</w:t>
            </w:r>
            <w:r w:rsidRPr="00A23740">
              <w:rPr>
                <w:rFonts w:eastAsia="Times New Roman"/>
                <w:b/>
                <w:bCs/>
                <w:color w:val="FF0000"/>
                <w:szCs w:val="24"/>
                <w:lang w:eastAsia="tr-TR"/>
              </w:rPr>
              <w:t xml:space="preserve"> </w:t>
            </w:r>
            <w:r w:rsidRPr="00A23740">
              <w:rPr>
                <w:rFonts w:eastAsia="Times New Roman"/>
                <w:b/>
                <w:bCs/>
                <w:strike/>
                <w:color w:val="FF0000"/>
                <w:szCs w:val="24"/>
                <w:lang w:eastAsia="tr-TR"/>
              </w:rPr>
              <w:t>:</w:t>
            </w:r>
          </w:p>
          <w:p w:rsidR="00155AF4" w:rsidRPr="00A23740" w:rsidRDefault="00155AF4" w:rsidP="009431FF">
            <w:pPr>
              <w:tabs>
                <w:tab w:val="left" w:pos="567"/>
              </w:tabs>
              <w:rPr>
                <w:rFonts w:eastAsia="Times New Roman"/>
                <w:b/>
                <w:bCs/>
                <w:szCs w:val="24"/>
                <w:lang w:eastAsia="tr-TR"/>
              </w:rPr>
            </w:pPr>
            <w:r w:rsidRPr="00A23740">
              <w:rPr>
                <w:rStyle w:val="KIRMIZIChar"/>
                <w:rFonts w:eastAsia="Calibri"/>
              </w:rPr>
              <w:t>Madde 37</w:t>
            </w:r>
            <w:r w:rsidRPr="00A23740">
              <w:rPr>
                <w:rFonts w:eastAsia="Times New Roman"/>
                <w:b/>
                <w:bCs/>
                <w:strike/>
                <w:color w:val="FF0000"/>
                <w:szCs w:val="24"/>
                <w:lang w:eastAsia="tr-TR"/>
              </w:rPr>
              <w:t xml:space="preserve"> – (1)</w:t>
            </w:r>
            <w:r w:rsidRPr="00A23740">
              <w:rPr>
                <w:rFonts w:eastAsia="Times New Roman"/>
                <w:b/>
                <w:bCs/>
                <w:color w:val="FF0000"/>
                <w:szCs w:val="24"/>
                <w:lang w:eastAsia="tr-TR"/>
              </w:rPr>
              <w:t xml:space="preserve"> </w:t>
            </w:r>
            <w:r w:rsidRPr="00A23740">
              <w:rPr>
                <w:rFonts w:eastAsia="Times New Roman"/>
                <w:szCs w:val="24"/>
                <w:lang w:eastAsia="tr-TR"/>
              </w:rPr>
              <w:t>İcra emrinde yazılı</w:t>
            </w:r>
            <w:r w:rsidRPr="00A23740">
              <w:rPr>
                <w:rFonts w:eastAsia="Times New Roman"/>
                <w:b/>
                <w:bCs/>
                <w:strike/>
                <w:color w:val="FF0000"/>
                <w:szCs w:val="24"/>
                <w:lang w:eastAsia="tr-TR"/>
              </w:rPr>
              <w:t xml:space="preserve"> müddet</w:t>
            </w:r>
            <w:r w:rsidRPr="00A23740">
              <w:rPr>
                <w:rFonts w:eastAsia="Times New Roman"/>
                <w:szCs w:val="24"/>
                <w:lang w:eastAsia="tr-TR"/>
              </w:rPr>
              <w:t xml:space="preserve"> geçtiği halde borcunu </w:t>
            </w:r>
            <w:r w:rsidRPr="00A23740">
              <w:rPr>
                <w:rStyle w:val="KIRMIZIChar"/>
                <w:rFonts w:eastAsia="Calibri"/>
              </w:rPr>
              <w:t>ödemiyenlerin</w:t>
            </w:r>
            <w:r w:rsidRPr="00A23740">
              <w:rPr>
                <w:rFonts w:eastAsia="Times New Roman"/>
                <w:szCs w:val="24"/>
                <w:lang w:eastAsia="tr-TR"/>
              </w:rPr>
              <w:t xml:space="preserve"> </w:t>
            </w:r>
            <w:r w:rsidRPr="00A23740">
              <w:rPr>
                <w:rFonts w:eastAsia="Times New Roman"/>
                <w:b/>
                <w:bCs/>
                <w:strike/>
                <w:color w:val="FF0000"/>
                <w:szCs w:val="24"/>
                <w:lang w:eastAsia="tr-TR"/>
              </w:rPr>
              <w:t>malları haczolunur yahut</w:t>
            </w:r>
            <w:r w:rsidRPr="00A23740">
              <w:rPr>
                <w:rFonts w:eastAsia="Times New Roman"/>
                <w:szCs w:val="24"/>
                <w:lang w:eastAsia="tr-TR"/>
              </w:rPr>
              <w:t xml:space="preserve"> borçlu iflasa tabi </w:t>
            </w:r>
            <w:r w:rsidRPr="00A23740">
              <w:rPr>
                <w:rFonts w:eastAsia="Times New Roman"/>
                <w:b/>
                <w:bCs/>
                <w:strike/>
                <w:color w:val="FF0000"/>
                <w:szCs w:val="24"/>
                <w:lang w:eastAsia="tr-TR"/>
              </w:rPr>
              <w:t xml:space="preserve">eşhastan olupta alacaklı isterse yetkili </w:t>
            </w:r>
            <w:r w:rsidRPr="00A23740">
              <w:rPr>
                <w:rStyle w:val="KIRMIZIChar"/>
                <w:rFonts w:eastAsia="Calibri"/>
              </w:rPr>
              <w:t>ticaret mahkemesince</w:t>
            </w:r>
            <w:r w:rsidRPr="00A23740">
              <w:rPr>
                <w:rFonts w:eastAsia="Times New Roman"/>
                <w:szCs w:val="24"/>
                <w:lang w:eastAsia="tr-TR"/>
              </w:rPr>
              <w:t xml:space="preserve"> iflasına karar veril</w:t>
            </w:r>
            <w:r w:rsidRPr="00A23740">
              <w:rPr>
                <w:rFonts w:eastAsia="Times New Roman"/>
                <w:b/>
                <w:bCs/>
                <w:strike/>
                <w:color w:val="FF0000"/>
                <w:szCs w:val="24"/>
                <w:lang w:eastAsia="tr-TR"/>
              </w:rPr>
              <w:t>ir.</w:t>
            </w:r>
          </w:p>
        </w:tc>
        <w:tc>
          <w:tcPr>
            <w:tcW w:w="2500" w:type="pct"/>
          </w:tcPr>
          <w:p w:rsidR="00155AF4" w:rsidRPr="00A23740" w:rsidRDefault="00155AF4" w:rsidP="009431FF">
            <w:pPr>
              <w:rPr>
                <w:rFonts w:eastAsia="Times New Roman"/>
                <w:b/>
                <w:bCs/>
                <w:szCs w:val="24"/>
                <w:lang w:eastAsia="tr-TR"/>
              </w:rPr>
            </w:pPr>
            <w:r w:rsidRPr="00A23740">
              <w:rPr>
                <w:rFonts w:eastAsia="Times New Roman"/>
                <w:b/>
                <w:bCs/>
                <w:szCs w:val="24"/>
                <w:lang w:eastAsia="tr-TR"/>
              </w:rPr>
              <w:t>Haciz veya iflas isteme yetkisi</w:t>
            </w:r>
          </w:p>
          <w:p w:rsidR="00155AF4" w:rsidRPr="00A23740" w:rsidRDefault="00155AF4" w:rsidP="009431FF">
            <w:pPr>
              <w:tabs>
                <w:tab w:val="left" w:pos="567"/>
              </w:tabs>
              <w:rPr>
                <w:rStyle w:val="MaviChar"/>
              </w:rPr>
            </w:pPr>
            <w:r w:rsidRPr="00A23740">
              <w:rPr>
                <w:rStyle w:val="MaviChar"/>
              </w:rPr>
              <w:t xml:space="preserve">MADDE 69- </w:t>
            </w:r>
            <w:r w:rsidR="00CD4297" w:rsidRPr="00A23740">
              <w:rPr>
                <w:rStyle w:val="MaviChar"/>
              </w:rPr>
              <w:t>(1)</w:t>
            </w:r>
            <w:r w:rsidR="00CD4297" w:rsidRPr="00A23740">
              <w:rPr>
                <w:rFonts w:eastAsia="Times New Roman"/>
                <w:szCs w:val="24"/>
                <w:lang w:eastAsia="tr-TR"/>
              </w:rPr>
              <w:t xml:space="preserve"> İcra emrinde yazılı </w:t>
            </w:r>
            <w:r w:rsidR="00CD4297" w:rsidRPr="00A23740">
              <w:rPr>
                <w:rStyle w:val="MaviChar"/>
              </w:rPr>
              <w:t>süre</w:t>
            </w:r>
            <w:r w:rsidR="00CD4297" w:rsidRPr="00A23740">
              <w:rPr>
                <w:rFonts w:eastAsia="Times New Roman"/>
                <w:szCs w:val="24"/>
                <w:lang w:eastAsia="tr-TR"/>
              </w:rPr>
              <w:t xml:space="preserve"> geçtiği h</w:t>
            </w:r>
            <w:r w:rsidR="000B396B" w:rsidRPr="00A23740">
              <w:rPr>
                <w:rFonts w:eastAsia="Times New Roman"/>
                <w:szCs w:val="24"/>
                <w:lang w:eastAsia="tr-TR"/>
              </w:rPr>
              <w:t>â</w:t>
            </w:r>
            <w:r w:rsidR="00CD4297" w:rsidRPr="00A23740">
              <w:rPr>
                <w:rFonts w:eastAsia="Times New Roman"/>
                <w:szCs w:val="24"/>
                <w:lang w:eastAsia="tr-TR"/>
              </w:rPr>
              <w:t>lde</w:t>
            </w:r>
            <w:r w:rsidR="00A74A57" w:rsidRPr="00A23740">
              <w:rPr>
                <w:rFonts w:eastAsia="Times New Roman"/>
                <w:szCs w:val="24"/>
                <w:lang w:eastAsia="tr-TR"/>
              </w:rPr>
              <w:t xml:space="preserve"> </w:t>
            </w:r>
            <w:r w:rsidR="00A74A57" w:rsidRPr="008D10FA">
              <w:rPr>
                <w:rFonts w:eastAsia="Times New Roman"/>
                <w:b/>
                <w:bCs/>
                <w:color w:val="0000FF"/>
                <w:szCs w:val="24"/>
                <w:lang w:eastAsia="tr-TR"/>
              </w:rPr>
              <w:t>borç</w:t>
            </w:r>
            <w:r w:rsidR="00A74A57" w:rsidRPr="00A23740">
              <w:rPr>
                <w:rFonts w:eastAsia="Times New Roman"/>
                <w:b/>
                <w:bCs/>
                <w:color w:val="538135"/>
                <w:szCs w:val="24"/>
                <w:lang w:eastAsia="tr-TR"/>
              </w:rPr>
              <w:t xml:space="preserve"> </w:t>
            </w:r>
            <w:r w:rsidR="00A74A57" w:rsidRPr="008D10FA">
              <w:rPr>
                <w:rFonts w:eastAsia="Times New Roman"/>
                <w:b/>
                <w:bCs/>
                <w:color w:val="0000FF"/>
                <w:szCs w:val="24"/>
                <w:lang w:eastAsia="tr-TR"/>
              </w:rPr>
              <w:t>ödenmemişse</w:t>
            </w:r>
            <w:r w:rsidR="00CD4297" w:rsidRPr="00A23740">
              <w:rPr>
                <w:rFonts w:eastAsia="Times New Roman"/>
                <w:szCs w:val="24"/>
                <w:lang w:eastAsia="tr-TR"/>
              </w:rPr>
              <w:t xml:space="preserve"> </w:t>
            </w:r>
            <w:r w:rsidR="00CD4297" w:rsidRPr="00A23740">
              <w:rPr>
                <w:rStyle w:val="MaviChar"/>
              </w:rPr>
              <w:t>alacaklı</w:t>
            </w:r>
            <w:r w:rsidR="00CD4297" w:rsidRPr="00A23740">
              <w:rPr>
                <w:rStyle w:val="MaviChar"/>
                <w:lang w:val="tr-TR"/>
              </w:rPr>
              <w:t xml:space="preserve">, </w:t>
            </w:r>
            <w:r w:rsidR="00CD4297" w:rsidRPr="00A23740">
              <w:rPr>
                <w:rStyle w:val="MaviChar"/>
              </w:rPr>
              <w:t xml:space="preserve">haciz talep </w:t>
            </w:r>
            <w:r w:rsidR="00CD4297" w:rsidRPr="00A23740">
              <w:rPr>
                <w:rStyle w:val="MaviChar"/>
                <w:lang w:val="tr-TR"/>
              </w:rPr>
              <w:t>edebilir</w:t>
            </w:r>
            <w:r w:rsidR="00CD4297" w:rsidRPr="00A23740">
              <w:rPr>
                <w:rStyle w:val="MaviChar"/>
              </w:rPr>
              <w:t xml:space="preserve"> veya </w:t>
            </w:r>
            <w:r w:rsidR="00CD4297" w:rsidRPr="00A23740">
              <w:rPr>
                <w:rFonts w:eastAsia="Times New Roman"/>
                <w:szCs w:val="24"/>
                <w:lang w:eastAsia="tr-TR"/>
              </w:rPr>
              <w:t>borçlu iflasa t</w:t>
            </w:r>
            <w:r w:rsidR="000B396B" w:rsidRPr="00A23740">
              <w:rPr>
                <w:rFonts w:eastAsia="Times New Roman"/>
                <w:szCs w:val="24"/>
                <w:lang w:eastAsia="tr-TR"/>
              </w:rPr>
              <w:t>a</w:t>
            </w:r>
            <w:r w:rsidR="00CD4297" w:rsidRPr="00A23740">
              <w:rPr>
                <w:rFonts w:eastAsia="Times New Roman"/>
                <w:szCs w:val="24"/>
                <w:lang w:eastAsia="tr-TR"/>
              </w:rPr>
              <w:t xml:space="preserve">bi </w:t>
            </w:r>
            <w:r w:rsidR="00CD4297" w:rsidRPr="00A23740">
              <w:rPr>
                <w:rStyle w:val="MaviChar"/>
              </w:rPr>
              <w:t xml:space="preserve">kişilerden ise </w:t>
            </w:r>
            <w:r w:rsidR="004C6F29" w:rsidRPr="008D10FA">
              <w:rPr>
                <w:rStyle w:val="KonuBalChar"/>
                <w:rFonts w:eastAsia="Calibri"/>
                <w:color w:val="0000FF"/>
              </w:rPr>
              <w:t>285 inci</w:t>
            </w:r>
            <w:r w:rsidR="00D51A11">
              <w:rPr>
                <w:rStyle w:val="MaviChar"/>
                <w:lang w:val="tr-TR"/>
              </w:rPr>
              <w:t xml:space="preserve"> </w:t>
            </w:r>
            <w:r w:rsidR="00CD4297" w:rsidRPr="00A23740">
              <w:rPr>
                <w:rStyle w:val="MaviChar"/>
              </w:rPr>
              <w:t>madde uyarınca</w:t>
            </w:r>
            <w:r w:rsidR="00CD4297" w:rsidRPr="00A23740">
              <w:rPr>
                <w:rStyle w:val="MaviChar"/>
                <w:lang w:val="tr-TR"/>
              </w:rPr>
              <w:t xml:space="preserve"> borçlunun</w:t>
            </w:r>
            <w:r w:rsidR="00CD4297" w:rsidRPr="00A23740">
              <w:rPr>
                <w:rStyle w:val="MaviChar"/>
              </w:rPr>
              <w:t xml:space="preserve"> </w:t>
            </w:r>
            <w:r w:rsidR="00CD4297" w:rsidRPr="00A23740">
              <w:rPr>
                <w:rFonts w:eastAsia="Times New Roman"/>
                <w:szCs w:val="24"/>
                <w:lang w:eastAsia="tr-TR"/>
              </w:rPr>
              <w:t>iflasına karar</w:t>
            </w:r>
            <w:r w:rsidR="00CD4297" w:rsidRPr="00A23740">
              <w:rPr>
                <w:rFonts w:eastAsia="Times New Roman"/>
                <w:b/>
                <w:bCs/>
                <w:color w:val="0000FF"/>
                <w:szCs w:val="24"/>
                <w:lang w:eastAsia="tr-TR"/>
              </w:rPr>
              <w:t xml:space="preserve"> </w:t>
            </w:r>
            <w:r w:rsidR="00CD4297" w:rsidRPr="00A23740">
              <w:rPr>
                <w:rFonts w:eastAsia="Times New Roman"/>
                <w:szCs w:val="24"/>
                <w:lang w:eastAsia="tr-TR"/>
              </w:rPr>
              <w:t>veril</w:t>
            </w:r>
            <w:r w:rsidR="00CD4297" w:rsidRPr="00A23740">
              <w:rPr>
                <w:rStyle w:val="MaviChar"/>
              </w:rPr>
              <w:t>mesini isteyebilir.</w:t>
            </w:r>
          </w:p>
          <w:p w:rsidR="00FA78DD" w:rsidRPr="00A23740" w:rsidRDefault="00FA78DD" w:rsidP="009431FF">
            <w:pPr>
              <w:tabs>
                <w:tab w:val="left" w:pos="567"/>
              </w:tabs>
              <w:rPr>
                <w:rFonts w:eastAsia="Times New Roman"/>
                <w:b/>
                <w:bCs/>
                <w:color w:val="0000FF"/>
                <w:szCs w:val="24"/>
                <w:lang w:eastAsia="tr-TR"/>
              </w:rPr>
            </w:pPr>
          </w:p>
        </w:tc>
      </w:tr>
      <w:tr w:rsidR="00155AF4" w:rsidRPr="00A23740" w:rsidTr="009431FF">
        <w:tc>
          <w:tcPr>
            <w:tcW w:w="5000" w:type="pct"/>
            <w:gridSpan w:val="2"/>
            <w:shd w:val="clear" w:color="auto" w:fill="DEEAF6"/>
          </w:tcPr>
          <w:p w:rsidR="008E1D8E" w:rsidRPr="00A23740" w:rsidRDefault="008E1D8E" w:rsidP="009431FF">
            <w:pPr>
              <w:pStyle w:val="Mavi"/>
              <w:ind w:firstLine="709"/>
              <w:rPr>
                <w:color w:val="auto"/>
                <w:lang w:val="tr-TR"/>
              </w:rPr>
            </w:pPr>
          </w:p>
          <w:p w:rsidR="004A334E" w:rsidRPr="00A23740" w:rsidRDefault="008E1D8E" w:rsidP="009431FF">
            <w:pPr>
              <w:pStyle w:val="Mavi"/>
              <w:ind w:firstLine="709"/>
              <w:rPr>
                <w:b w:val="0"/>
                <w:color w:val="auto"/>
                <w:lang w:val="tr-TR"/>
              </w:rPr>
            </w:pPr>
            <w:r w:rsidRPr="00A23740">
              <w:rPr>
                <w:color w:val="auto"/>
                <w:lang w:val="tr-TR"/>
              </w:rPr>
              <w:t xml:space="preserve">MADDE 69- </w:t>
            </w:r>
            <w:r w:rsidRPr="00A23740">
              <w:rPr>
                <w:b w:val="0"/>
                <w:color w:val="auto"/>
                <w:lang w:val="tr-TR"/>
              </w:rPr>
              <w:t>Madde</w:t>
            </w:r>
            <w:r w:rsidR="004A334E" w:rsidRPr="00A23740">
              <w:rPr>
                <w:b w:val="0"/>
                <w:color w:val="auto"/>
                <w:lang w:val="tr-TR"/>
              </w:rPr>
              <w:t xml:space="preserve">yle, alacaklının haciz veya iflas isteme yetkisi düzenlenmektedir. Hüküm, 2004 sayılı Kanunun </w:t>
            </w:r>
            <w:r w:rsidR="00EE2655" w:rsidRPr="008D10FA">
              <w:rPr>
                <w:rStyle w:val="KonuBalChar"/>
                <w:rFonts w:eastAsia="Calibri"/>
                <w:color w:val="auto"/>
              </w:rPr>
              <w:t>37</w:t>
            </w:r>
            <w:r w:rsidR="00EE2655" w:rsidRPr="00A23740">
              <w:rPr>
                <w:rStyle w:val="KonuBalChar"/>
                <w:rFonts w:eastAsia="Calibri"/>
                <w:b/>
              </w:rPr>
              <w:t xml:space="preserve"> </w:t>
            </w:r>
            <w:r w:rsidR="00EE2655" w:rsidRPr="008D10FA">
              <w:rPr>
                <w:rStyle w:val="KonuBalChar"/>
                <w:rFonts w:eastAsia="Calibri"/>
                <w:color w:val="auto"/>
              </w:rPr>
              <w:t>nci</w:t>
            </w:r>
            <w:r w:rsidR="00EE2655" w:rsidRPr="00A23740">
              <w:rPr>
                <w:b w:val="0"/>
                <w:color w:val="auto"/>
                <w:lang w:val="tr-TR"/>
              </w:rPr>
              <w:t xml:space="preserve"> </w:t>
            </w:r>
            <w:r w:rsidR="004A334E" w:rsidRPr="00A23740">
              <w:rPr>
                <w:b w:val="0"/>
                <w:color w:val="auto"/>
                <w:lang w:val="tr-TR"/>
              </w:rPr>
              <w:t>maddesine karşılık gelmekte olup dili sadeleştirilmek suretiyle muhafaza edilmektedir.</w:t>
            </w:r>
          </w:p>
          <w:p w:rsidR="004A334E" w:rsidRPr="00A23740" w:rsidRDefault="004A334E" w:rsidP="009431FF">
            <w:pPr>
              <w:pStyle w:val="Mavi"/>
              <w:ind w:firstLine="709"/>
              <w:rPr>
                <w:b w:val="0"/>
                <w:color w:val="auto"/>
                <w:lang w:val="tr-TR"/>
              </w:rPr>
            </w:pPr>
            <w:r w:rsidRPr="00A23740">
              <w:rPr>
                <w:b w:val="0"/>
                <w:color w:val="auto"/>
                <w:lang w:val="tr-TR"/>
              </w:rPr>
              <w:t xml:space="preserve">Birinci fıkraya göre icra emrinin tebliğinden itibaren iki hafta içinde borç ödenmezse alacaklı, borçlu hakkında haciz talep edebilir veya borçlu iflasa tabi kişilerden ise </w:t>
            </w:r>
            <w:r w:rsidR="00163E5A" w:rsidRPr="00A23740">
              <w:rPr>
                <w:b w:val="0"/>
                <w:color w:val="auto"/>
                <w:lang w:val="tr-TR"/>
              </w:rPr>
              <w:t>Taslağın</w:t>
            </w:r>
            <w:r w:rsidRPr="00A23740">
              <w:rPr>
                <w:b w:val="0"/>
                <w:color w:val="auto"/>
                <w:lang w:val="tr-TR"/>
              </w:rPr>
              <w:t xml:space="preserve"> </w:t>
            </w:r>
            <w:r w:rsidR="000B396B" w:rsidRPr="008D10FA">
              <w:rPr>
                <w:rStyle w:val="KonuBalChar"/>
                <w:rFonts w:eastAsia="Calibri"/>
                <w:color w:val="auto"/>
              </w:rPr>
              <w:t>285</w:t>
            </w:r>
            <w:r w:rsidR="000B396B" w:rsidRPr="00A23740">
              <w:rPr>
                <w:rStyle w:val="KonuBalChar"/>
                <w:rFonts w:eastAsia="Calibri"/>
                <w:b/>
              </w:rPr>
              <w:t xml:space="preserve"> </w:t>
            </w:r>
            <w:r w:rsidR="000B396B" w:rsidRPr="008D10FA">
              <w:rPr>
                <w:rStyle w:val="KonuBalChar"/>
                <w:rFonts w:eastAsia="Calibri"/>
                <w:color w:val="auto"/>
              </w:rPr>
              <w:t>inci</w:t>
            </w:r>
            <w:r w:rsidRPr="00A23740">
              <w:rPr>
                <w:rStyle w:val="KIRMIZIChar"/>
                <w:rFonts w:eastAsia="Calibri"/>
                <w:strike w:val="0"/>
              </w:rPr>
              <w:t xml:space="preserve"> </w:t>
            </w:r>
            <w:r w:rsidRPr="00A23740">
              <w:rPr>
                <w:b w:val="0"/>
                <w:color w:val="auto"/>
                <w:lang w:val="tr-TR"/>
              </w:rPr>
              <w:t>maddesi uyarınca</w:t>
            </w:r>
            <w:r w:rsidR="00CD4297" w:rsidRPr="00A23740">
              <w:rPr>
                <w:b w:val="0"/>
                <w:color w:val="auto"/>
                <w:lang w:val="tr-TR"/>
              </w:rPr>
              <w:t xml:space="preserve"> borçlunun</w:t>
            </w:r>
            <w:r w:rsidRPr="00A23740">
              <w:rPr>
                <w:b w:val="0"/>
                <w:color w:val="auto"/>
                <w:lang w:val="tr-TR"/>
              </w:rPr>
              <w:t xml:space="preserve"> iflasına karar verilmesini isteyebilir.</w:t>
            </w:r>
          </w:p>
          <w:p w:rsidR="008E1D8E" w:rsidRPr="00A23740" w:rsidRDefault="008E1D8E"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rPr>
                <w:b/>
                <w:bCs/>
                <w:strike/>
                <w:color w:val="FF0000"/>
                <w:szCs w:val="24"/>
                <w:lang w:eastAsia="tr-TR"/>
              </w:rPr>
            </w:pPr>
          </w:p>
          <w:p w:rsidR="00155AF4" w:rsidRPr="00A23740" w:rsidRDefault="00155AF4" w:rsidP="009431FF">
            <w:pPr>
              <w:rPr>
                <w:b/>
                <w:bCs/>
                <w:strike/>
                <w:color w:val="FF0000"/>
                <w:szCs w:val="24"/>
                <w:lang w:eastAsia="tr-TR"/>
              </w:rPr>
            </w:pPr>
            <w:r w:rsidRPr="00A23740">
              <w:rPr>
                <w:b/>
                <w:bCs/>
                <w:strike/>
                <w:color w:val="FF0000"/>
                <w:szCs w:val="24"/>
                <w:lang w:eastAsia="tr-TR"/>
              </w:rPr>
              <w:t>I. Para ve Teminattan başka Borçlar Hakkında İlamların İcrası:</w:t>
            </w: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r w:rsidRPr="00A23740">
              <w:rPr>
                <w:rFonts w:eastAsia="Times New Roman"/>
                <w:b/>
                <w:bCs/>
                <w:szCs w:val="24"/>
                <w:lang w:eastAsia="tr-TR"/>
              </w:rPr>
              <w:t>Taşınır teslimi</w:t>
            </w:r>
            <w:r w:rsidRPr="00A23740">
              <w:rPr>
                <w:rFonts w:eastAsia="Times New Roman"/>
                <w:b/>
                <w:bCs/>
                <w:strike/>
                <w:color w:val="FF0000"/>
                <w:szCs w:val="24"/>
                <w:lang w:eastAsia="tr-TR"/>
              </w:rPr>
              <w:t>:</w:t>
            </w:r>
          </w:p>
          <w:p w:rsidR="00155AF4" w:rsidRPr="00A23740" w:rsidRDefault="00155AF4" w:rsidP="009431FF">
            <w:pPr>
              <w:tabs>
                <w:tab w:val="left" w:pos="567"/>
              </w:tabs>
              <w:rPr>
                <w:rFonts w:eastAsia="Times New Roman"/>
                <w:b/>
                <w:bCs/>
                <w:szCs w:val="24"/>
                <w:lang w:eastAsia="tr-TR"/>
              </w:rPr>
            </w:pPr>
            <w:r w:rsidRPr="00A23740">
              <w:rPr>
                <w:rStyle w:val="KIRMIZIChar"/>
                <w:rFonts w:eastAsia="Calibri"/>
              </w:rPr>
              <w:t xml:space="preserve">Madde 24 – (1) </w:t>
            </w:r>
            <w:r w:rsidRPr="00A23740">
              <w:rPr>
                <w:rFonts w:eastAsia="Times New Roman"/>
                <w:b/>
                <w:bCs/>
                <w:strike/>
                <w:color w:val="FF0000"/>
                <w:szCs w:val="24"/>
                <w:lang w:eastAsia="tr-TR"/>
              </w:rPr>
              <w:t>(Değişik: 18/2/1965 - 538/14 md.)</w:t>
            </w:r>
          </w:p>
          <w:p w:rsidR="00155AF4" w:rsidRPr="00A23740" w:rsidRDefault="00155AF4" w:rsidP="009431FF">
            <w:pPr>
              <w:rPr>
                <w:rFonts w:eastAsia="Times New Roman"/>
                <w:szCs w:val="24"/>
                <w:lang w:eastAsia="tr-TR"/>
              </w:rPr>
            </w:pPr>
            <w:r w:rsidRPr="00A23740">
              <w:rPr>
                <w:rFonts w:eastAsia="Times New Roman"/>
                <w:b/>
                <w:bCs/>
                <w:strike/>
                <w:color w:val="FF0000"/>
                <w:szCs w:val="24"/>
                <w:lang w:eastAsia="tr-TR"/>
              </w:rPr>
              <w:t>Bir</w:t>
            </w:r>
            <w:r w:rsidRPr="00A23740">
              <w:rPr>
                <w:rStyle w:val="AltKonuBalChar1"/>
                <w:rFonts w:eastAsia="Calibri"/>
                <w:lang w:val="tr-TR"/>
              </w:rPr>
              <w:t xml:space="preserve"> taşınır</w:t>
            </w:r>
            <w:r w:rsidRPr="00A23740">
              <w:rPr>
                <w:rFonts w:eastAsia="Times New Roman"/>
                <w:b/>
                <w:bCs/>
                <w:strike/>
                <w:color w:val="FF0000"/>
                <w:szCs w:val="24"/>
                <w:lang w:eastAsia="tr-TR"/>
              </w:rPr>
              <w:t>ın teslimine dair olan</w:t>
            </w:r>
            <w:r w:rsidRPr="00A23740">
              <w:rPr>
                <w:rStyle w:val="AltKonuBalChar1"/>
                <w:rFonts w:eastAsia="Calibri"/>
                <w:lang w:val="tr-TR"/>
              </w:rPr>
              <w:t xml:space="preserve"> ilâm </w:t>
            </w:r>
            <w:r w:rsidRPr="00A23740">
              <w:rPr>
                <w:rFonts w:eastAsia="Times New Roman"/>
                <w:b/>
                <w:bCs/>
                <w:strike/>
                <w:color w:val="FF0000"/>
                <w:szCs w:val="24"/>
                <w:lang w:eastAsia="tr-TR"/>
              </w:rPr>
              <w:t xml:space="preserve">icra dairesine verilince icra memuru bir </w:t>
            </w:r>
            <w:r w:rsidRPr="00A23740">
              <w:rPr>
                <w:rFonts w:eastAsia="Times New Roman"/>
                <w:szCs w:val="24"/>
                <w:lang w:eastAsia="tr-TR"/>
              </w:rPr>
              <w:t xml:space="preserve">icra </w:t>
            </w:r>
            <w:r w:rsidRPr="00A23740">
              <w:rPr>
                <w:rStyle w:val="AltKonuBalChar1"/>
                <w:rFonts w:eastAsia="Calibri"/>
                <w:lang w:val="tr-TR"/>
              </w:rPr>
              <w:t xml:space="preserve">emri </w:t>
            </w:r>
            <w:r w:rsidRPr="00A23740">
              <w:rPr>
                <w:rStyle w:val="AltKonuBalChar1"/>
                <w:rFonts w:eastAsia="Calibri"/>
                <w:bCs/>
                <w:lang w:val="tr-TR"/>
              </w:rPr>
              <w:t>tebliği</w:t>
            </w:r>
            <w:r w:rsidRPr="00A23740">
              <w:rPr>
                <w:rStyle w:val="KIRMIZIChar"/>
                <w:rFonts w:eastAsia="Calibri"/>
                <w:strike w:val="0"/>
              </w:rPr>
              <w:t xml:space="preserve"> </w:t>
            </w:r>
            <w:r w:rsidRPr="00A23740">
              <w:rPr>
                <w:rStyle w:val="KIRMIZIChar"/>
                <w:rFonts w:eastAsia="Calibri"/>
              </w:rPr>
              <w:t>suretiyle</w:t>
            </w:r>
            <w:r w:rsidRPr="00A23740">
              <w:rPr>
                <w:rFonts w:eastAsia="Times New Roman"/>
                <w:b/>
                <w:bCs/>
                <w:strike/>
                <w:color w:val="FF0000"/>
                <w:szCs w:val="24"/>
                <w:lang w:eastAsia="tr-TR"/>
              </w:rPr>
              <w:t xml:space="preserve"> borçluya yedi gün</w:t>
            </w:r>
            <w:r w:rsidRPr="00A23740">
              <w:rPr>
                <w:rFonts w:eastAsia="Times New Roman"/>
                <w:szCs w:val="24"/>
                <w:lang w:eastAsia="tr-TR"/>
              </w:rPr>
              <w:t xml:space="preserve"> içinde </w:t>
            </w:r>
            <w:r w:rsidRPr="00A23740">
              <w:rPr>
                <w:rFonts w:eastAsia="Times New Roman"/>
                <w:b/>
                <w:bCs/>
                <w:strike/>
                <w:color w:val="FF0000"/>
                <w:szCs w:val="24"/>
                <w:lang w:eastAsia="tr-TR"/>
              </w:rPr>
              <w:t>o şeyin</w:t>
            </w:r>
            <w:r w:rsidRPr="00A23740">
              <w:rPr>
                <w:rFonts w:eastAsia="Times New Roman"/>
                <w:szCs w:val="24"/>
                <w:lang w:eastAsia="tr-TR"/>
              </w:rPr>
              <w:t xml:space="preserve"> teslim</w:t>
            </w:r>
            <w:r w:rsidRPr="00A23740">
              <w:rPr>
                <w:rStyle w:val="KIRMIZIChar"/>
                <w:rFonts w:eastAsia="Calibri"/>
              </w:rPr>
              <w:t>ini emreder</w:t>
            </w:r>
            <w:r w:rsidRPr="00A23740">
              <w:rPr>
                <w:rFonts w:eastAsia="Times New Roman"/>
                <w:b/>
                <w:bCs/>
                <w:strike/>
                <w:color w:val="FF0000"/>
                <w:szCs w:val="24"/>
                <w:lang w:eastAsia="tr-TR"/>
              </w:rPr>
              <w:t>.</w:t>
            </w:r>
            <w:r w:rsidRPr="00A23740">
              <w:rPr>
                <w:rFonts w:eastAsia="Times New Roman"/>
                <w:szCs w:val="24"/>
                <w:lang w:eastAsia="tr-TR"/>
              </w:rPr>
              <w:tab/>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b/>
                <w:bCs/>
                <w:strike/>
                <w:color w:val="FF0000"/>
                <w:szCs w:val="24"/>
                <w:lang w:eastAsia="tr-TR"/>
              </w:rPr>
            </w:pPr>
            <w:r w:rsidRPr="00A23740">
              <w:rPr>
                <w:b/>
                <w:bCs/>
                <w:strike/>
                <w:color w:val="FF0000"/>
                <w:szCs w:val="24"/>
                <w:lang w:eastAsia="tr-TR"/>
              </w:rPr>
              <w:t>(2) İcra emrinde; alacaklı ve borçlunun ve varsa mümessillerinin adları ve soyadları ile şöhret ve yerleşim yerleri hükmü veren mahkemenin ismi ve hükmolunun şeyin neden ibaret olduğu, ilâmın tarih ve numarası ve icra mahkemesinden veya istinaf veya temyiz yahut iadei muhakeme yoliyle ait olduğu mahkemeden icranın geri bırakılması hakkında bir karar getirilmedikçe cebri icraya devam olunacağı yazılır.</w:t>
            </w:r>
          </w:p>
          <w:p w:rsidR="00155AF4" w:rsidRPr="00C20C8B" w:rsidRDefault="00C20C8B" w:rsidP="009431FF">
            <w:pPr>
              <w:tabs>
                <w:tab w:val="left" w:pos="567"/>
              </w:tabs>
              <w:rPr>
                <w:rStyle w:val="KIRMIZIChar"/>
                <w:rFonts w:eastAsia="Calibri"/>
              </w:rPr>
            </w:pPr>
            <w:r>
              <w:rPr>
                <w:rStyle w:val="KIRMIZIChar"/>
                <w:rFonts w:eastAsia="Calibri"/>
              </w:rPr>
              <w:lastRenderedPageBreak/>
              <w:t xml:space="preserve">M.24/4 C.1-2: </w:t>
            </w:r>
            <w:r w:rsidR="00155AF4" w:rsidRPr="00A23740">
              <w:rPr>
                <w:rFonts w:eastAsia="Times New Roman"/>
                <w:b/>
                <w:bCs/>
                <w:strike/>
                <w:color w:val="FF0000"/>
                <w:szCs w:val="24"/>
                <w:lang w:eastAsia="tr-TR"/>
              </w:rPr>
              <w:t>Yedinde</w:t>
            </w:r>
            <w:r w:rsidR="00155AF4" w:rsidRPr="00A23740">
              <w:rPr>
                <w:rFonts w:eastAsia="Times New Roman"/>
                <w:szCs w:val="24"/>
                <w:lang w:eastAsia="tr-TR"/>
              </w:rPr>
              <w:t xml:space="preserve"> bulunma</w:t>
            </w:r>
            <w:r w:rsidR="00155AF4" w:rsidRPr="00A23740">
              <w:rPr>
                <w:rFonts w:eastAsia="Times New Roman"/>
                <w:b/>
                <w:bCs/>
                <w:strike/>
                <w:color w:val="FF0000"/>
                <w:szCs w:val="24"/>
                <w:lang w:eastAsia="tr-TR"/>
              </w:rPr>
              <w:t>zsa</w:t>
            </w:r>
            <w:r w:rsidR="00155AF4" w:rsidRPr="00A23740">
              <w:rPr>
                <w:rFonts w:eastAsia="Times New Roman"/>
                <w:szCs w:val="24"/>
                <w:lang w:eastAsia="tr-TR"/>
              </w:rPr>
              <w:t xml:space="preserve"> ilâmda yazılı değeri </w:t>
            </w:r>
            <w:r w:rsidR="00155AF4" w:rsidRPr="00A23740">
              <w:rPr>
                <w:rStyle w:val="KIRMIZIChar"/>
                <w:rFonts w:eastAsia="Calibri"/>
              </w:rPr>
              <w:t>alınır. Vermezse</w:t>
            </w:r>
            <w:r w:rsidR="00155AF4" w:rsidRPr="00A23740">
              <w:rPr>
                <w:rFonts w:eastAsia="Times New Roman"/>
                <w:szCs w:val="24"/>
                <w:lang w:eastAsia="tr-TR"/>
              </w:rPr>
              <w:t xml:space="preserve"> ayrıca icra emri tebliğine </w:t>
            </w:r>
            <w:r w:rsidR="00155AF4" w:rsidRPr="00A23740">
              <w:rPr>
                <w:rFonts w:eastAsia="Times New Roman"/>
                <w:b/>
                <w:bCs/>
                <w:strike/>
                <w:color w:val="FF0000"/>
                <w:szCs w:val="24"/>
                <w:lang w:eastAsia="tr-TR"/>
              </w:rPr>
              <w:t>hacet</w:t>
            </w:r>
            <w:r w:rsidR="00155AF4" w:rsidRPr="00A23740">
              <w:rPr>
                <w:rFonts w:eastAsia="Times New Roman"/>
                <w:szCs w:val="24"/>
                <w:lang w:eastAsia="tr-TR"/>
              </w:rPr>
              <w:t xml:space="preserve"> kalmaksızın haciz yol</w:t>
            </w:r>
            <w:r w:rsidR="00155AF4" w:rsidRPr="00A23740">
              <w:rPr>
                <w:rFonts w:eastAsia="Times New Roman"/>
                <w:b/>
                <w:bCs/>
                <w:strike/>
                <w:color w:val="FF0000"/>
                <w:szCs w:val="24"/>
                <w:lang w:eastAsia="tr-TR"/>
              </w:rPr>
              <w:t>i</w:t>
            </w:r>
            <w:r w:rsidR="00155AF4" w:rsidRPr="00A23740">
              <w:rPr>
                <w:rFonts w:eastAsia="Times New Roman"/>
                <w:szCs w:val="24"/>
                <w:lang w:eastAsia="tr-TR"/>
              </w:rPr>
              <w:t>yle tahsil olun</w:t>
            </w:r>
            <w:r w:rsidR="00155AF4" w:rsidRPr="00A23740">
              <w:rPr>
                <w:rFonts w:eastAsia="Times New Roman"/>
                <w:b/>
                <w:bCs/>
                <w:strike/>
                <w:color w:val="FF0000"/>
                <w:szCs w:val="24"/>
                <w:lang w:eastAsia="tr-TR"/>
              </w:rPr>
              <w:t>ur</w:t>
            </w:r>
            <w:r w:rsidR="00155AF4" w:rsidRPr="00C20C8B">
              <w:rPr>
                <w:rStyle w:val="KIRMIZIChar"/>
                <w:rFonts w:eastAsia="Calibri"/>
              </w:rPr>
              <w:t xml:space="preserve">. </w:t>
            </w:r>
          </w:p>
          <w:p w:rsidR="000748FC" w:rsidRPr="00A23740" w:rsidRDefault="000748FC" w:rsidP="009431FF">
            <w:pPr>
              <w:tabs>
                <w:tab w:val="left" w:pos="567"/>
              </w:tabs>
              <w:rPr>
                <w:rFonts w:eastAsia="Times New Roman"/>
                <w:b/>
                <w:bCs/>
                <w:strike/>
                <w:color w:val="FF0000"/>
                <w:szCs w:val="24"/>
                <w:lang w:eastAsia="tr-TR"/>
              </w:rPr>
            </w:pPr>
          </w:p>
          <w:p w:rsidR="00155AF4" w:rsidRPr="00A23740" w:rsidRDefault="00C20C8B" w:rsidP="009431FF">
            <w:pPr>
              <w:tabs>
                <w:tab w:val="left" w:pos="567"/>
              </w:tabs>
              <w:rPr>
                <w:rFonts w:eastAsia="Times New Roman"/>
                <w:b/>
                <w:bCs/>
                <w:strike/>
                <w:color w:val="FF0000"/>
                <w:szCs w:val="24"/>
              </w:rPr>
            </w:pPr>
            <w:r w:rsidRPr="00C20C8B">
              <w:rPr>
                <w:rStyle w:val="KIRMIZIChar"/>
                <w:rFonts w:eastAsia="Calibri"/>
              </w:rPr>
              <w:t>M</w:t>
            </w:r>
            <w:r>
              <w:rPr>
                <w:rStyle w:val="KIRMIZIChar"/>
                <w:rFonts w:eastAsia="Calibri"/>
              </w:rPr>
              <w:t>.</w:t>
            </w:r>
            <w:r w:rsidRPr="00C20C8B">
              <w:rPr>
                <w:rStyle w:val="KIRMIZIChar"/>
                <w:rFonts w:eastAsia="Calibri"/>
              </w:rPr>
              <w:t>24</w:t>
            </w:r>
            <w:r>
              <w:rPr>
                <w:rStyle w:val="KIRMIZIChar"/>
                <w:rFonts w:eastAsia="Calibri"/>
              </w:rPr>
              <w:t>/F.3:</w:t>
            </w:r>
            <w:r w:rsidRPr="00A23740">
              <w:rPr>
                <w:rStyle w:val="KIRMIZIChar"/>
                <w:rFonts w:eastAsia="Calibri"/>
              </w:rPr>
              <w:t xml:space="preserve"> </w:t>
            </w:r>
            <w:r w:rsidR="00155AF4" w:rsidRPr="00A23740">
              <w:rPr>
                <w:rStyle w:val="KIRMIZIChar"/>
                <w:rFonts w:eastAsia="Calibri"/>
              </w:rPr>
              <w:t>(3)</w:t>
            </w:r>
            <w:r w:rsidR="00155AF4" w:rsidRPr="00A23740">
              <w:rPr>
                <w:rFonts w:eastAsia="Times New Roman"/>
                <w:szCs w:val="24"/>
                <w:lang w:eastAsia="tr-TR"/>
              </w:rPr>
              <w:t xml:space="preserve"> Borçlu, </w:t>
            </w:r>
            <w:r w:rsidR="00155AF4" w:rsidRPr="00A23740">
              <w:rPr>
                <w:rFonts w:eastAsia="Times New Roman"/>
                <w:b/>
                <w:bCs/>
                <w:strike/>
                <w:color w:val="FF0000"/>
                <w:szCs w:val="24"/>
                <w:lang w:eastAsia="tr-TR"/>
              </w:rPr>
              <w:t>bu</w:t>
            </w:r>
            <w:r w:rsidR="00155AF4" w:rsidRPr="00A23740">
              <w:rPr>
                <w:rFonts w:eastAsia="Times New Roman"/>
                <w:b/>
                <w:bCs/>
                <w:color w:val="FF0000"/>
                <w:szCs w:val="24"/>
                <w:lang w:eastAsia="tr-TR"/>
              </w:rPr>
              <w:t xml:space="preserve"> </w:t>
            </w:r>
            <w:r w:rsidR="00155AF4" w:rsidRPr="00A23740">
              <w:rPr>
                <w:rFonts w:eastAsia="Times New Roman"/>
                <w:szCs w:val="24"/>
                <w:lang w:eastAsia="tr-TR"/>
              </w:rPr>
              <w:t xml:space="preserve">emri </w:t>
            </w:r>
            <w:r w:rsidR="00155AF4" w:rsidRPr="00A23740">
              <w:rPr>
                <w:rFonts w:eastAsia="Times New Roman"/>
                <w:b/>
                <w:bCs/>
                <w:strike/>
                <w:color w:val="FF0000"/>
                <w:szCs w:val="24"/>
                <w:lang w:eastAsia="tr-TR"/>
              </w:rPr>
              <w:t>hiç tutmaz veya eksik bırakır</w:t>
            </w:r>
            <w:r w:rsidR="00155AF4" w:rsidRPr="00A23740">
              <w:rPr>
                <w:rFonts w:eastAsia="Times New Roman"/>
                <w:b/>
                <w:bCs/>
                <w:color w:val="FF0000"/>
                <w:szCs w:val="24"/>
                <w:lang w:eastAsia="tr-TR"/>
              </w:rPr>
              <w:t xml:space="preserve"> </w:t>
            </w:r>
            <w:r w:rsidR="00155AF4" w:rsidRPr="00A23740">
              <w:rPr>
                <w:rFonts w:eastAsia="Times New Roman"/>
                <w:szCs w:val="24"/>
                <w:lang w:eastAsia="tr-TR"/>
              </w:rPr>
              <w:t>ve hükmolunan taşınır veya misli yedinde bulunursa elinden zorla alınıp alacaklıya verilir.</w:t>
            </w:r>
            <w:r w:rsidR="00155AF4" w:rsidRPr="00A23740">
              <w:rPr>
                <w:rFonts w:eastAsia="Times New Roman"/>
                <w:b/>
                <w:bCs/>
                <w:color w:val="FF0000"/>
                <w:szCs w:val="24"/>
                <w:lang w:eastAsia="tr-TR"/>
              </w:rPr>
              <w:t xml:space="preserve"> </w:t>
            </w:r>
          </w:p>
          <w:p w:rsidR="00155AF4" w:rsidRPr="00A23740" w:rsidRDefault="00155AF4" w:rsidP="009431FF">
            <w:pPr>
              <w:tabs>
                <w:tab w:val="left" w:pos="567"/>
              </w:tabs>
              <w:rPr>
                <w:rFonts w:eastAsia="Times New Roman"/>
                <w:szCs w:val="24"/>
                <w:lang w:eastAsia="tr-TR"/>
              </w:rPr>
            </w:pPr>
          </w:p>
          <w:p w:rsidR="00155AF4" w:rsidRPr="00A23740" w:rsidRDefault="00C20C8B" w:rsidP="009431FF">
            <w:pPr>
              <w:tabs>
                <w:tab w:val="left" w:pos="567"/>
              </w:tabs>
              <w:rPr>
                <w:rStyle w:val="MaviChar"/>
                <w:lang w:val="tr-TR"/>
              </w:rPr>
            </w:pPr>
            <w:r w:rsidRPr="00C20C8B">
              <w:rPr>
                <w:rStyle w:val="KIRMIZIChar"/>
                <w:rFonts w:eastAsia="Calibri"/>
              </w:rPr>
              <w:t>M</w:t>
            </w:r>
            <w:r>
              <w:rPr>
                <w:rStyle w:val="KIRMIZIChar"/>
                <w:rFonts w:eastAsia="Calibri"/>
              </w:rPr>
              <w:t>.</w:t>
            </w:r>
            <w:r w:rsidRPr="00C20C8B">
              <w:rPr>
                <w:rStyle w:val="KIRMIZIChar"/>
                <w:rFonts w:eastAsia="Calibri"/>
              </w:rPr>
              <w:t>24/</w:t>
            </w:r>
            <w:r>
              <w:rPr>
                <w:rStyle w:val="KIRMIZIChar"/>
                <w:rFonts w:eastAsia="Calibri"/>
              </w:rPr>
              <w:t xml:space="preserve">F.4 C.3: </w:t>
            </w:r>
            <w:r w:rsidR="00155AF4" w:rsidRPr="00A23740">
              <w:rPr>
                <w:rStyle w:val="KIRMIZIChar"/>
                <w:rFonts w:eastAsia="Calibri"/>
              </w:rPr>
              <w:t>Taşınır malın değeri, ilâmda yazılı olmadığı veya ihtilaflı bulunduğu takdirde, icra memuru tarafından haczin yapıldığı tarihteki rayice göre takdir olunur</w:t>
            </w:r>
            <w:r w:rsidR="00155AF4" w:rsidRPr="00A23740">
              <w:rPr>
                <w:rFonts w:eastAsia="Times New Roman"/>
                <w:b/>
                <w:bCs/>
                <w:strike/>
                <w:color w:val="FF0000"/>
                <w:szCs w:val="24"/>
                <w:lang w:eastAsia="tr-TR"/>
              </w:rPr>
              <w:t xml:space="preserve">. </w:t>
            </w:r>
          </w:p>
          <w:p w:rsidR="00155AF4" w:rsidRPr="00A23740" w:rsidRDefault="00155AF4" w:rsidP="009431FF">
            <w:pPr>
              <w:tabs>
                <w:tab w:val="left" w:pos="567"/>
              </w:tabs>
              <w:rPr>
                <w:b/>
                <w:bCs/>
                <w:color w:val="0000FF"/>
                <w:szCs w:val="24"/>
                <w:lang w:eastAsia="x-none"/>
              </w:rPr>
            </w:pPr>
          </w:p>
          <w:p w:rsidR="00155AF4" w:rsidRPr="00A23740" w:rsidRDefault="00155AF4" w:rsidP="009431FF">
            <w:pPr>
              <w:pStyle w:val="KIRMIZI"/>
              <w:rPr>
                <w:lang w:val="tr-TR"/>
              </w:rPr>
            </w:pPr>
            <w:r w:rsidRPr="00A23740">
              <w:rPr>
                <w:lang w:val="tr-TR"/>
              </w:rPr>
              <w:t>Hükmolunan taşınırın değeri, borsa veya ticaret odalarından, olmıyan yerlerde icra memuru tarafından seçilecek bilirkişiden sorulup alınacak cevaba göre tayin edilir.</w:t>
            </w:r>
          </w:p>
          <w:p w:rsidR="00155AF4" w:rsidRPr="00A23740" w:rsidRDefault="00155AF4" w:rsidP="009431FF">
            <w:pPr>
              <w:pStyle w:val="KIRMIZI"/>
              <w:rPr>
                <w:lang w:val="tr-TR"/>
              </w:rPr>
            </w:pPr>
          </w:p>
          <w:p w:rsidR="00155AF4" w:rsidRPr="00A23740" w:rsidRDefault="00155AF4" w:rsidP="009431FF">
            <w:pPr>
              <w:pStyle w:val="KIRMIZI"/>
              <w:rPr>
                <w:lang w:val="tr-TR"/>
              </w:rPr>
            </w:pPr>
            <w:r w:rsidRPr="00A23740">
              <w:rPr>
                <w:lang w:val="tr-TR"/>
              </w:rPr>
              <w:t>İlgililerin bu hususta icra mahkemesine şikayet hakları vardır.</w:t>
            </w:r>
          </w:p>
          <w:p w:rsidR="00155AF4" w:rsidRPr="00A23740" w:rsidRDefault="00155AF4" w:rsidP="009431FF">
            <w:pPr>
              <w:tabs>
                <w:tab w:val="left" w:pos="567"/>
              </w:tabs>
              <w:rPr>
                <w:rFonts w:eastAsia="Times New Roman"/>
                <w:b/>
                <w:bCs/>
                <w:szCs w:val="24"/>
                <w:lang w:eastAsia="tr-TR"/>
              </w:rPr>
            </w:pPr>
          </w:p>
        </w:tc>
        <w:tc>
          <w:tcPr>
            <w:tcW w:w="2500" w:type="pct"/>
          </w:tcPr>
          <w:p w:rsidR="00155AF4" w:rsidRPr="00A23740" w:rsidRDefault="00155AF4" w:rsidP="009431FF">
            <w:pPr>
              <w:pStyle w:val="Balk4"/>
              <w:rPr>
                <w:lang w:val="tr-TR"/>
              </w:rPr>
            </w:pPr>
            <w:r w:rsidRPr="00A23740">
              <w:rPr>
                <w:lang w:val="tr-TR"/>
              </w:rPr>
              <w:lastRenderedPageBreak/>
              <w:t>DÖRDÜNCÜ AYRIM</w:t>
            </w:r>
          </w:p>
          <w:p w:rsidR="00155AF4" w:rsidRPr="00A23740" w:rsidRDefault="00155AF4" w:rsidP="009431FF">
            <w:pPr>
              <w:pStyle w:val="Balk4"/>
              <w:rPr>
                <w:lang w:val="tr-TR"/>
              </w:rPr>
            </w:pPr>
            <w:r w:rsidRPr="00A23740">
              <w:rPr>
                <w:lang w:val="tr-TR"/>
              </w:rPr>
              <w:t>Taşınırlar Hakkındaki İlamların İcrası</w:t>
            </w: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szCs w:val="24"/>
                <w:lang w:eastAsia="tr-TR"/>
              </w:rPr>
            </w:pPr>
            <w:r w:rsidRPr="00A23740">
              <w:rPr>
                <w:rFonts w:eastAsia="Times New Roman"/>
                <w:b/>
                <w:bCs/>
                <w:szCs w:val="24"/>
                <w:lang w:eastAsia="tr-TR"/>
              </w:rPr>
              <w:t>Taşınır teslimi</w:t>
            </w:r>
            <w:r w:rsidRPr="00A23740">
              <w:rPr>
                <w:rStyle w:val="MaviChar"/>
              </w:rPr>
              <w:t>ne ilişkin ilamların icrası</w:t>
            </w:r>
          </w:p>
          <w:p w:rsidR="00155AF4" w:rsidRPr="00A23740" w:rsidRDefault="00155AF4" w:rsidP="009431FF">
            <w:pPr>
              <w:rPr>
                <w:b/>
                <w:bCs/>
                <w:color w:val="0000FF"/>
                <w:szCs w:val="24"/>
                <w:lang w:eastAsia="x-none"/>
              </w:rPr>
            </w:pPr>
            <w:r w:rsidRPr="00A23740">
              <w:rPr>
                <w:rStyle w:val="MaviChar"/>
              </w:rPr>
              <w:t xml:space="preserve">MADDE 70- </w:t>
            </w:r>
            <w:r w:rsidRPr="00A23740">
              <w:rPr>
                <w:rStyle w:val="MaviChar"/>
                <w:lang w:val="tr-TR"/>
              </w:rPr>
              <w:t>(1)</w:t>
            </w:r>
            <w:r w:rsidRPr="00A23740">
              <w:rPr>
                <w:rStyle w:val="AltKonuBalChar1"/>
                <w:rFonts w:eastAsia="Calibri"/>
                <w:b w:val="0"/>
                <w:bCs/>
                <w:lang w:val="tr-TR"/>
              </w:rPr>
              <w:t xml:space="preserve"> </w:t>
            </w:r>
            <w:r w:rsidRPr="00A23740">
              <w:rPr>
                <w:rStyle w:val="MaviChar"/>
              </w:rPr>
              <w:t>Taşınırlar hakkındaki ilamların yerine getirilmesine ilişkin icra emrinde</w:t>
            </w:r>
            <w:r w:rsidRPr="00A23740">
              <w:rPr>
                <w:rStyle w:val="MaviChar"/>
                <w:lang w:val="tr-TR"/>
              </w:rPr>
              <w:t xml:space="preserve">, </w:t>
            </w:r>
            <w:r w:rsidR="000948B3" w:rsidRPr="00A23740">
              <w:rPr>
                <w:rStyle w:val="MaviChar"/>
                <w:lang w:val="tr-TR"/>
              </w:rPr>
              <w:t xml:space="preserve">57 nci </w:t>
            </w:r>
            <w:r w:rsidRPr="00A23740">
              <w:rPr>
                <w:rStyle w:val="MaviChar"/>
                <w:lang w:val="tr-TR"/>
              </w:rPr>
              <w:t>maddede yazılanlar i</w:t>
            </w:r>
            <w:r w:rsidR="006846DE" w:rsidRPr="00A23740">
              <w:rPr>
                <w:rStyle w:val="MaviChar"/>
                <w:lang w:val="tr-TR"/>
              </w:rPr>
              <w:t>le aşağıdaki hususlar yer alır:</w:t>
            </w:r>
          </w:p>
          <w:p w:rsidR="00155AF4" w:rsidRPr="00A23740" w:rsidRDefault="00155AF4" w:rsidP="009431FF">
            <w:pPr>
              <w:rPr>
                <w:rStyle w:val="MaviChar"/>
              </w:rPr>
            </w:pPr>
            <w:r w:rsidRPr="00A23740">
              <w:rPr>
                <w:rStyle w:val="MaviChar"/>
              </w:rPr>
              <w:t>a) İcra emrinin tebliğinden itibaren iki hafta</w:t>
            </w:r>
            <w:r w:rsidRPr="00A23740">
              <w:rPr>
                <w:rFonts w:eastAsia="Times New Roman"/>
                <w:b/>
                <w:bCs/>
                <w:color w:val="0000FF"/>
                <w:szCs w:val="24"/>
                <w:lang w:eastAsia="tr-TR"/>
              </w:rPr>
              <w:t xml:space="preserve"> </w:t>
            </w:r>
            <w:r w:rsidRPr="00A23740">
              <w:rPr>
                <w:rFonts w:eastAsia="Times New Roman"/>
                <w:szCs w:val="24"/>
                <w:lang w:eastAsia="tr-TR"/>
              </w:rPr>
              <w:t xml:space="preserve">içinde </w:t>
            </w:r>
            <w:r w:rsidRPr="00A23740">
              <w:rPr>
                <w:rStyle w:val="MaviChar"/>
              </w:rPr>
              <w:t>taşınırın</w:t>
            </w:r>
            <w:r w:rsidRPr="00A23740">
              <w:rPr>
                <w:rFonts w:eastAsia="Times New Roman"/>
                <w:b/>
                <w:bCs/>
                <w:color w:val="0000FF"/>
                <w:szCs w:val="24"/>
                <w:lang w:eastAsia="tr-TR"/>
              </w:rPr>
              <w:t xml:space="preserve"> </w:t>
            </w:r>
            <w:r w:rsidRPr="00A23740">
              <w:rPr>
                <w:rFonts w:eastAsia="Times New Roman"/>
                <w:szCs w:val="24"/>
                <w:lang w:eastAsia="tr-TR"/>
              </w:rPr>
              <w:t xml:space="preserve">teslim </w:t>
            </w:r>
            <w:r w:rsidRPr="00A23740">
              <w:rPr>
                <w:rStyle w:val="MaviChar"/>
              </w:rPr>
              <w:t>edilmesi.</w:t>
            </w:r>
          </w:p>
          <w:p w:rsidR="00537077" w:rsidRPr="00A23740" w:rsidRDefault="00537077"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r w:rsidRPr="00A23740">
              <w:rPr>
                <w:rStyle w:val="MaviChar"/>
              </w:rPr>
              <w:t>b)</w:t>
            </w:r>
            <w:r w:rsidRPr="00A23740">
              <w:rPr>
                <w:rFonts w:eastAsia="Times New Roman"/>
                <w:szCs w:val="24"/>
                <w:lang w:eastAsia="tr-TR"/>
              </w:rPr>
              <w:t xml:space="preserve"> </w:t>
            </w:r>
            <w:r w:rsidR="00F04DA5" w:rsidRPr="00A23740">
              <w:rPr>
                <w:rFonts w:eastAsia="Times New Roman"/>
                <w:szCs w:val="24"/>
                <w:lang w:eastAsia="tr-TR"/>
              </w:rPr>
              <w:t xml:space="preserve">Borçlu, </w:t>
            </w:r>
            <w:r w:rsidR="00F04DA5" w:rsidRPr="00A23740">
              <w:rPr>
                <w:rStyle w:val="MaviChar"/>
              </w:rPr>
              <w:t>icra</w:t>
            </w:r>
            <w:r w:rsidR="00F04DA5" w:rsidRPr="00A23740">
              <w:rPr>
                <w:rFonts w:eastAsia="Times New Roman"/>
                <w:b/>
                <w:bCs/>
                <w:color w:val="0000FF"/>
                <w:szCs w:val="24"/>
                <w:lang w:eastAsia="tr-TR"/>
              </w:rPr>
              <w:t xml:space="preserve"> </w:t>
            </w:r>
            <w:r w:rsidR="00F04DA5" w:rsidRPr="00A23740">
              <w:rPr>
                <w:rFonts w:eastAsia="Times New Roman"/>
                <w:szCs w:val="24"/>
                <w:lang w:eastAsia="tr-TR"/>
              </w:rPr>
              <w:t>emri</w:t>
            </w:r>
            <w:r w:rsidR="00F04DA5" w:rsidRPr="00A23740">
              <w:rPr>
                <w:rStyle w:val="MaviChar"/>
              </w:rPr>
              <w:t xml:space="preserve">nin gereğini yerine getirmez </w:t>
            </w:r>
            <w:r w:rsidR="00F04DA5" w:rsidRPr="00A23740">
              <w:rPr>
                <w:rFonts w:eastAsia="Times New Roman"/>
                <w:szCs w:val="24"/>
                <w:lang w:eastAsia="tr-TR"/>
              </w:rPr>
              <w:t xml:space="preserve">veya </w:t>
            </w:r>
            <w:r w:rsidR="00F04DA5" w:rsidRPr="00A23740">
              <w:rPr>
                <w:rStyle w:val="MaviChar"/>
              </w:rPr>
              <w:t xml:space="preserve">eksik </w:t>
            </w:r>
            <w:r w:rsidR="00F04DA5" w:rsidRPr="008D10FA">
              <w:rPr>
                <w:rStyle w:val="MaviChar"/>
              </w:rPr>
              <w:t>şekilde</w:t>
            </w:r>
            <w:r w:rsidR="00F04DA5" w:rsidRPr="00A23740">
              <w:rPr>
                <w:rStyle w:val="MaviChar"/>
                <w:color w:val="538135"/>
              </w:rPr>
              <w:t xml:space="preserve"> </w:t>
            </w:r>
            <w:r w:rsidR="00F04DA5" w:rsidRPr="00A23740">
              <w:rPr>
                <w:rStyle w:val="MaviChar"/>
              </w:rPr>
              <w:t xml:space="preserve">yerine getirirse, </w:t>
            </w:r>
            <w:r w:rsidRPr="00A23740">
              <w:rPr>
                <w:rFonts w:eastAsia="Times New Roman"/>
                <w:szCs w:val="24"/>
                <w:lang w:eastAsia="tr-TR"/>
              </w:rPr>
              <w:t>hükmolunan taşınır veya misli</w:t>
            </w:r>
            <w:r w:rsidRPr="00A23740">
              <w:rPr>
                <w:rStyle w:val="MaviChar"/>
                <w:lang w:val="tr-TR"/>
              </w:rPr>
              <w:t>nin, borçlunun elinde</w:t>
            </w:r>
            <w:r w:rsidRPr="00A23740">
              <w:rPr>
                <w:rFonts w:eastAsia="Times New Roman"/>
                <w:szCs w:val="24"/>
                <w:lang w:eastAsia="tr-TR"/>
              </w:rPr>
              <w:t xml:space="preserve"> bulun</w:t>
            </w:r>
            <w:r w:rsidRPr="00A23740">
              <w:rPr>
                <w:rStyle w:val="MaviChar"/>
                <w:lang w:val="tr-TR"/>
              </w:rPr>
              <w:t>ması h</w:t>
            </w:r>
            <w:r w:rsidR="002F2BAA" w:rsidRPr="00A23740">
              <w:rPr>
                <w:rStyle w:val="MaviChar"/>
                <w:lang w:val="tr-TR"/>
              </w:rPr>
              <w:t>â</w:t>
            </w:r>
            <w:r w:rsidRPr="00A23740">
              <w:rPr>
                <w:rStyle w:val="MaviChar"/>
                <w:lang w:val="tr-TR"/>
              </w:rPr>
              <w:t xml:space="preserve">linde </w:t>
            </w:r>
            <w:r w:rsidRPr="00A23740">
              <w:rPr>
                <w:rFonts w:eastAsia="Times New Roman"/>
                <w:szCs w:val="24"/>
                <w:lang w:eastAsia="tr-TR"/>
              </w:rPr>
              <w:t>zorla alınarak alacaklıya veril</w:t>
            </w:r>
            <w:r w:rsidRPr="00A23740">
              <w:rPr>
                <w:rStyle w:val="MaviChar"/>
              </w:rPr>
              <w:t>eceği</w:t>
            </w:r>
            <w:r w:rsidR="00F04DA5" w:rsidRPr="008D10FA">
              <w:rPr>
                <w:rStyle w:val="MaviChar"/>
              </w:rPr>
              <w:t>;</w:t>
            </w:r>
            <w:r w:rsidR="00F04DA5" w:rsidRPr="008D10FA">
              <w:rPr>
                <w:rFonts w:eastAsia="Times New Roman"/>
                <w:bCs/>
                <w:color w:val="0000FF"/>
                <w:szCs w:val="24"/>
                <w:lang w:eastAsia="tr-TR"/>
              </w:rPr>
              <w:t xml:space="preserve"> </w:t>
            </w:r>
            <w:r w:rsidR="00F04DA5" w:rsidRPr="008D10FA">
              <w:rPr>
                <w:rStyle w:val="MaviChar"/>
              </w:rPr>
              <w:t>t</w:t>
            </w:r>
            <w:r w:rsidRPr="00A23740">
              <w:rPr>
                <w:rStyle w:val="MaviChar"/>
              </w:rPr>
              <w:t>aşınır veya mislinin borçlunun elinde</w:t>
            </w:r>
            <w:r w:rsidRPr="00A23740">
              <w:rPr>
                <w:rFonts w:eastAsia="Times New Roman"/>
                <w:b/>
                <w:bCs/>
                <w:color w:val="0000FF"/>
                <w:szCs w:val="24"/>
                <w:lang w:eastAsia="tr-TR"/>
              </w:rPr>
              <w:t xml:space="preserve"> </w:t>
            </w:r>
            <w:r w:rsidRPr="00A23740">
              <w:rPr>
                <w:rFonts w:eastAsia="Times New Roman"/>
                <w:szCs w:val="24"/>
                <w:lang w:eastAsia="tr-TR"/>
              </w:rPr>
              <w:t>bulunma</w:t>
            </w:r>
            <w:r w:rsidRPr="00A23740">
              <w:rPr>
                <w:rStyle w:val="MaviChar"/>
              </w:rPr>
              <w:t>ması h</w:t>
            </w:r>
            <w:r w:rsidR="002F2BAA" w:rsidRPr="00A23740">
              <w:rPr>
                <w:rStyle w:val="MaviChar"/>
                <w:lang w:val="tr-TR"/>
              </w:rPr>
              <w:t>â</w:t>
            </w:r>
            <w:r w:rsidRPr="00A23740">
              <w:rPr>
                <w:rStyle w:val="MaviChar"/>
              </w:rPr>
              <w:t xml:space="preserve">linde, </w:t>
            </w:r>
            <w:r w:rsidRPr="00A23740">
              <w:rPr>
                <w:rStyle w:val="MaviChar"/>
                <w:lang w:val="tr-TR"/>
              </w:rPr>
              <w:t>hüküm sonucunda belirtilmişse</w:t>
            </w:r>
            <w:r w:rsidRPr="00A23740">
              <w:rPr>
                <w:b/>
                <w:color w:val="FF0066"/>
                <w:szCs w:val="24"/>
              </w:rPr>
              <w:t xml:space="preserve"> </w:t>
            </w:r>
            <w:r w:rsidRPr="00A23740">
              <w:rPr>
                <w:rFonts w:eastAsia="Times New Roman"/>
                <w:szCs w:val="24"/>
                <w:lang w:eastAsia="tr-TR"/>
              </w:rPr>
              <w:t>il</w:t>
            </w:r>
            <w:r w:rsidR="00552583" w:rsidRPr="00A23740">
              <w:rPr>
                <w:rFonts w:eastAsia="Times New Roman"/>
                <w:szCs w:val="24"/>
                <w:lang w:eastAsia="tr-TR"/>
              </w:rPr>
              <w:t>a</w:t>
            </w:r>
            <w:r w:rsidRPr="00A23740">
              <w:rPr>
                <w:rFonts w:eastAsia="Times New Roman"/>
                <w:szCs w:val="24"/>
                <w:lang w:eastAsia="tr-TR"/>
              </w:rPr>
              <w:t>mda yazılı değeri</w:t>
            </w:r>
            <w:r w:rsidRPr="00A23740">
              <w:rPr>
                <w:rStyle w:val="MaviChar"/>
                <w:lang w:val="tr-TR"/>
              </w:rPr>
              <w:t xml:space="preserve">nin; hüküm sonucunda belirtilmemişse icra </w:t>
            </w:r>
            <w:r w:rsidRPr="00A23740">
              <w:rPr>
                <w:rStyle w:val="MaviChar"/>
              </w:rPr>
              <w:t>ve iflas</w:t>
            </w:r>
            <w:r w:rsidRPr="00A23740">
              <w:rPr>
                <w:rStyle w:val="MaviChar"/>
                <w:lang w:val="tr-TR"/>
              </w:rPr>
              <w:t xml:space="preserve"> dairesi tarafından tespit edilecek </w:t>
            </w:r>
            <w:r w:rsidRPr="00A23740">
              <w:rPr>
                <w:rStyle w:val="MaviChar"/>
                <w:lang w:val="tr-TR"/>
              </w:rPr>
              <w:lastRenderedPageBreak/>
              <w:t xml:space="preserve">değerinin </w:t>
            </w:r>
            <w:r w:rsidRPr="00A23740">
              <w:rPr>
                <w:rFonts w:eastAsia="Times New Roman"/>
                <w:szCs w:val="24"/>
                <w:lang w:eastAsia="tr-TR"/>
              </w:rPr>
              <w:t xml:space="preserve">ayrıca icra emri tebliğine </w:t>
            </w:r>
            <w:r w:rsidRPr="00A23740">
              <w:rPr>
                <w:rStyle w:val="MaviChar"/>
                <w:lang w:val="tr-TR"/>
              </w:rPr>
              <w:t>gerek</w:t>
            </w:r>
            <w:r w:rsidRPr="00A23740">
              <w:rPr>
                <w:rFonts w:eastAsia="Times New Roman"/>
                <w:szCs w:val="24"/>
                <w:lang w:eastAsia="tr-TR"/>
              </w:rPr>
              <w:t xml:space="preserve"> kalmaksızın haciz yolu </w:t>
            </w:r>
            <w:r w:rsidRPr="00A23740">
              <w:rPr>
                <w:rStyle w:val="MaviChar"/>
                <w:lang w:val="tr-TR"/>
              </w:rPr>
              <w:t>ile</w:t>
            </w:r>
            <w:r w:rsidRPr="00A23740">
              <w:rPr>
                <w:rFonts w:eastAsia="Times New Roman"/>
                <w:szCs w:val="24"/>
                <w:lang w:eastAsia="tr-TR"/>
              </w:rPr>
              <w:t xml:space="preserve"> tahsil olun</w:t>
            </w:r>
            <w:r w:rsidRPr="00A23740">
              <w:rPr>
                <w:rStyle w:val="MaviChar"/>
              </w:rPr>
              <w:t>acağı.</w:t>
            </w:r>
          </w:p>
          <w:p w:rsidR="00155AF4" w:rsidRPr="00A23740" w:rsidRDefault="00155AF4" w:rsidP="009431FF">
            <w:pPr>
              <w:rPr>
                <w:rFonts w:eastAsia="Times New Roman"/>
                <w:b/>
                <w:bCs/>
                <w:color w:val="0000FF"/>
                <w:szCs w:val="24"/>
                <w:lang w:eastAsia="tr-TR"/>
              </w:rPr>
            </w:pPr>
          </w:p>
          <w:p w:rsidR="00C20C8B" w:rsidRPr="00A23740" w:rsidRDefault="00C20C8B" w:rsidP="009431FF">
            <w:pPr>
              <w:rPr>
                <w:rFonts w:eastAsia="Times New Roman"/>
                <w:b/>
                <w:bCs/>
                <w:color w:val="0000FF"/>
                <w:szCs w:val="24"/>
                <w:lang w:eastAsia="tr-TR"/>
              </w:rPr>
            </w:pPr>
          </w:p>
          <w:p w:rsidR="00155AF4" w:rsidRPr="00A23740" w:rsidRDefault="00155AF4" w:rsidP="009431FF">
            <w:pPr>
              <w:tabs>
                <w:tab w:val="left" w:pos="567"/>
              </w:tabs>
              <w:rPr>
                <w:rFonts w:eastAsia="Times New Roman"/>
                <w:szCs w:val="24"/>
                <w:lang w:eastAsia="tr-TR"/>
              </w:rPr>
            </w:pPr>
            <w:r w:rsidRPr="00A23740">
              <w:rPr>
                <w:rStyle w:val="MaviChar"/>
              </w:rPr>
              <w:t>(2)</w:t>
            </w:r>
            <w:r w:rsidRPr="00A23740">
              <w:rPr>
                <w:rFonts w:eastAsia="Times New Roman"/>
                <w:b/>
                <w:bCs/>
                <w:color w:val="0000FF"/>
                <w:szCs w:val="24"/>
                <w:lang w:eastAsia="tr-TR"/>
              </w:rPr>
              <w:t xml:space="preserve"> </w:t>
            </w:r>
            <w:r w:rsidRPr="00A23740">
              <w:rPr>
                <w:rFonts w:eastAsia="Times New Roman"/>
                <w:szCs w:val="24"/>
                <w:lang w:eastAsia="tr-TR"/>
              </w:rPr>
              <w:t xml:space="preserve">Borçlu, </w:t>
            </w:r>
            <w:r w:rsidRPr="00A23740">
              <w:rPr>
                <w:rStyle w:val="MaviChar"/>
                <w:lang w:val="tr-TR"/>
              </w:rPr>
              <w:t>icra</w:t>
            </w:r>
            <w:r w:rsidRPr="00A23740">
              <w:rPr>
                <w:rFonts w:eastAsia="Times New Roman"/>
                <w:szCs w:val="24"/>
                <w:lang w:eastAsia="tr-TR"/>
              </w:rPr>
              <w:t xml:space="preserve"> emri</w:t>
            </w:r>
            <w:r w:rsidRPr="00A23740">
              <w:rPr>
                <w:rStyle w:val="MaviChar"/>
                <w:lang w:val="tr-TR"/>
              </w:rPr>
              <w:t>nin gereğini yerine getirmez veya eksik</w:t>
            </w:r>
            <w:r w:rsidR="00F04DA5" w:rsidRPr="00A23740">
              <w:rPr>
                <w:rStyle w:val="MaviChar"/>
                <w:lang w:val="tr-TR"/>
              </w:rPr>
              <w:t xml:space="preserve"> </w:t>
            </w:r>
            <w:r w:rsidR="00F04DA5" w:rsidRPr="008D10FA">
              <w:rPr>
                <w:rStyle w:val="MaviChar"/>
                <w:lang w:val="tr-TR"/>
              </w:rPr>
              <w:t>şekilde</w:t>
            </w:r>
            <w:r w:rsidRPr="00A23740">
              <w:rPr>
                <w:rStyle w:val="MaviChar"/>
                <w:color w:val="538135"/>
                <w:lang w:val="tr-TR"/>
              </w:rPr>
              <w:t xml:space="preserve"> </w:t>
            </w:r>
            <w:r w:rsidRPr="00A23740">
              <w:rPr>
                <w:rStyle w:val="MaviChar"/>
                <w:lang w:val="tr-TR"/>
              </w:rPr>
              <w:t xml:space="preserve">yerine getirirse </w:t>
            </w:r>
            <w:r w:rsidRPr="00A23740">
              <w:rPr>
                <w:rFonts w:eastAsia="Times New Roman"/>
                <w:szCs w:val="24"/>
                <w:lang w:eastAsia="tr-TR"/>
              </w:rPr>
              <w:t xml:space="preserve">ve hükmolunan taşınır veya misli </w:t>
            </w:r>
            <w:r w:rsidR="00F04DA5" w:rsidRPr="008D10FA">
              <w:rPr>
                <w:rFonts w:eastAsia="Times New Roman"/>
                <w:b/>
                <w:bCs/>
                <w:color w:val="0000FF"/>
                <w:szCs w:val="24"/>
                <w:lang w:eastAsia="tr-TR"/>
              </w:rPr>
              <w:t>borçlunun</w:t>
            </w:r>
            <w:r w:rsidR="00F04DA5" w:rsidRPr="00A23740">
              <w:rPr>
                <w:rFonts w:eastAsia="Times New Roman"/>
                <w:color w:val="538135"/>
                <w:szCs w:val="24"/>
                <w:lang w:eastAsia="tr-TR"/>
              </w:rPr>
              <w:t xml:space="preserve"> </w:t>
            </w:r>
            <w:r w:rsidRPr="00A23740">
              <w:rPr>
                <w:rFonts w:eastAsia="Times New Roman"/>
                <w:szCs w:val="24"/>
                <w:lang w:eastAsia="tr-TR"/>
              </w:rPr>
              <w:t xml:space="preserve">yedinde bulunursa elinden zorla alınıp alacaklıya verilir. </w:t>
            </w:r>
          </w:p>
          <w:p w:rsidR="00D51A11" w:rsidRPr="00A23740" w:rsidRDefault="00D51A11" w:rsidP="009431FF">
            <w:pPr>
              <w:pStyle w:val="Mavi"/>
            </w:pPr>
          </w:p>
          <w:p w:rsidR="00F04DA5" w:rsidRPr="008D10FA" w:rsidRDefault="00F04DA5" w:rsidP="009431FF">
            <w:pPr>
              <w:pStyle w:val="Mavi"/>
            </w:pPr>
            <w:r w:rsidRPr="008D10FA">
              <w:t xml:space="preserve">(3) Taşınırın veya mislinin borçlunun elinde bulunamaması ve değerinin de ilamda </w:t>
            </w:r>
            <w:r w:rsidRPr="008D10FA">
              <w:rPr>
                <w:rStyle w:val="MaviChar"/>
                <w:b/>
                <w:bCs/>
              </w:rPr>
              <w:t>belirtilmemiş olması h</w:t>
            </w:r>
            <w:r w:rsidRPr="008D10FA">
              <w:rPr>
                <w:rStyle w:val="MaviChar"/>
                <w:b/>
                <w:bCs/>
                <w:lang w:val="tr-TR"/>
              </w:rPr>
              <w:t>â</w:t>
            </w:r>
            <w:r w:rsidRPr="008D10FA">
              <w:rPr>
                <w:rStyle w:val="MaviChar"/>
                <w:b/>
                <w:bCs/>
              </w:rPr>
              <w:t xml:space="preserve">linde icra </w:t>
            </w:r>
            <w:r w:rsidRPr="008D10FA">
              <w:t>ve iflas dairesince</w:t>
            </w:r>
            <w:r w:rsidRPr="008D10FA">
              <w:rPr>
                <w:rStyle w:val="MaviChar"/>
                <w:b/>
                <w:bCs/>
              </w:rPr>
              <w:t xml:space="preserve"> bilirkişi atanır. Bilirkişi tarafından incelemenin yapıldığı tarih itibarıyla belirlenen rayiç değer esas alınarak düzenlenecek rapora göre taşınır malın değeri tespit edilir. Tespit edilen değere karşı şikâyet yoluna</w:t>
            </w:r>
            <w:r w:rsidRPr="008D10FA">
              <w:t xml:space="preserve"> başvurulabilir. </w:t>
            </w:r>
          </w:p>
          <w:p w:rsidR="00155AF4" w:rsidRPr="00A23740" w:rsidRDefault="00155AF4" w:rsidP="009431FF">
            <w:pPr>
              <w:rPr>
                <w:b/>
                <w:bCs/>
                <w:lang w:eastAsia="tr-TR"/>
              </w:rPr>
            </w:pPr>
          </w:p>
        </w:tc>
      </w:tr>
      <w:tr w:rsidR="00155AF4" w:rsidRPr="00A23740" w:rsidTr="009431FF">
        <w:tc>
          <w:tcPr>
            <w:tcW w:w="5000" w:type="pct"/>
            <w:gridSpan w:val="2"/>
            <w:shd w:val="clear" w:color="auto" w:fill="DEEAF6"/>
          </w:tcPr>
          <w:p w:rsidR="004A334E" w:rsidRPr="00A23740" w:rsidRDefault="004A334E" w:rsidP="009431FF">
            <w:pPr>
              <w:pStyle w:val="Mavi"/>
              <w:ind w:firstLine="709"/>
              <w:rPr>
                <w:color w:val="auto"/>
                <w:lang w:val="tr-TR"/>
              </w:rPr>
            </w:pPr>
          </w:p>
          <w:p w:rsidR="004A334E" w:rsidRPr="00A23740" w:rsidRDefault="00BD354D" w:rsidP="009431FF">
            <w:pPr>
              <w:pStyle w:val="Mavi"/>
              <w:ind w:firstLine="709"/>
              <w:rPr>
                <w:b w:val="0"/>
                <w:color w:val="auto"/>
                <w:lang w:val="tr-TR"/>
              </w:rPr>
            </w:pPr>
            <w:r w:rsidRPr="00A23740">
              <w:rPr>
                <w:color w:val="auto"/>
                <w:lang w:val="tr-TR"/>
              </w:rPr>
              <w:t xml:space="preserve">MADDE 70- </w:t>
            </w:r>
            <w:r w:rsidRPr="00A23740">
              <w:rPr>
                <w:b w:val="0"/>
                <w:color w:val="auto"/>
                <w:lang w:val="tr-TR"/>
              </w:rPr>
              <w:t>Madde</w:t>
            </w:r>
            <w:r w:rsidR="004A334E" w:rsidRPr="00A23740">
              <w:rPr>
                <w:b w:val="0"/>
                <w:color w:val="auto"/>
                <w:lang w:val="tr-TR"/>
              </w:rPr>
              <w:t>yle, taşınır teslimine ilişkin ilamların icrası düzenlenmektedir. Hüküm 2004 sayılı Kanunun 24 üncü maddesine karşılık gelmektedir.</w:t>
            </w:r>
          </w:p>
          <w:p w:rsidR="004A334E" w:rsidRPr="00A23740" w:rsidRDefault="004A334E" w:rsidP="009431FF">
            <w:pPr>
              <w:pStyle w:val="Mavi"/>
              <w:ind w:firstLine="709"/>
              <w:rPr>
                <w:b w:val="0"/>
                <w:color w:val="auto"/>
                <w:lang w:val="tr-TR"/>
              </w:rPr>
            </w:pPr>
            <w:r w:rsidRPr="00A23740">
              <w:rPr>
                <w:b w:val="0"/>
                <w:color w:val="auto"/>
                <w:lang w:val="tr-TR"/>
              </w:rPr>
              <w:t>Birinci fıkrayla, taşınırlar hakkındaki ilamların yerine getirilmesine ilişkin icra emrinde yer alacak hususlar</w:t>
            </w:r>
            <w:r w:rsidR="00CD4297" w:rsidRPr="00A23740">
              <w:rPr>
                <w:b w:val="0"/>
                <w:color w:val="auto"/>
                <w:lang w:val="tr-TR"/>
              </w:rPr>
              <w:t xml:space="preserve"> bentler h</w:t>
            </w:r>
            <w:r w:rsidR="002F2BAA" w:rsidRPr="00A23740">
              <w:rPr>
                <w:b w:val="0"/>
                <w:color w:val="auto"/>
                <w:lang w:val="tr-TR"/>
              </w:rPr>
              <w:t>â</w:t>
            </w:r>
            <w:r w:rsidR="00CD4297" w:rsidRPr="00A23740">
              <w:rPr>
                <w:b w:val="0"/>
                <w:color w:val="auto"/>
                <w:lang w:val="tr-TR"/>
              </w:rPr>
              <w:t>linde</w:t>
            </w:r>
            <w:r w:rsidRPr="00A23740">
              <w:rPr>
                <w:b w:val="0"/>
                <w:color w:val="auto"/>
                <w:lang w:val="tr-TR"/>
              </w:rPr>
              <w:t xml:space="preserve"> belirlenmektedir.</w:t>
            </w:r>
          </w:p>
          <w:p w:rsidR="004A334E" w:rsidRPr="00A23740" w:rsidRDefault="004A334E" w:rsidP="009431FF">
            <w:pPr>
              <w:pStyle w:val="Mavi"/>
              <w:ind w:firstLine="709"/>
              <w:rPr>
                <w:b w:val="0"/>
                <w:color w:val="auto"/>
                <w:lang w:val="tr-TR"/>
              </w:rPr>
            </w:pPr>
            <w:r w:rsidRPr="00A23740">
              <w:rPr>
                <w:b w:val="0"/>
                <w:color w:val="auto"/>
                <w:lang w:val="tr-TR"/>
              </w:rPr>
              <w:t>(a) bendinde, icra emrinin tebliğinden itibaren iki hafta i</w:t>
            </w:r>
            <w:r w:rsidR="00D05A57" w:rsidRPr="00A23740">
              <w:rPr>
                <w:b w:val="0"/>
                <w:color w:val="auto"/>
                <w:lang w:val="tr-TR"/>
              </w:rPr>
              <w:t>çinde taşınırın teslim edilmesine ilişkin ihtar yer almaktadır. İlamın yerine getirilmesi süresi, bu madde bakımından da iki haftaya çıkarılmaktadır.</w:t>
            </w:r>
          </w:p>
          <w:p w:rsidR="004A334E" w:rsidRPr="00A23740" w:rsidRDefault="00D05A57" w:rsidP="009431FF">
            <w:pPr>
              <w:pStyle w:val="Mavi"/>
              <w:ind w:firstLine="709"/>
              <w:rPr>
                <w:b w:val="0"/>
                <w:color w:val="auto"/>
                <w:lang w:val="tr-TR"/>
              </w:rPr>
            </w:pPr>
            <w:r w:rsidRPr="00A23740">
              <w:rPr>
                <w:b w:val="0"/>
                <w:color w:val="auto"/>
                <w:lang w:val="tr-TR"/>
              </w:rPr>
              <w:t>(</w:t>
            </w:r>
            <w:r w:rsidR="004A334E" w:rsidRPr="00A23740">
              <w:rPr>
                <w:b w:val="0"/>
                <w:color w:val="auto"/>
                <w:lang w:val="tr-TR"/>
              </w:rPr>
              <w:t xml:space="preserve">b) </w:t>
            </w:r>
            <w:r w:rsidRPr="00A23740">
              <w:rPr>
                <w:b w:val="0"/>
                <w:color w:val="auto"/>
                <w:lang w:val="tr-TR"/>
              </w:rPr>
              <w:t>bendinde b</w:t>
            </w:r>
            <w:r w:rsidR="004A334E" w:rsidRPr="00A23740">
              <w:rPr>
                <w:b w:val="0"/>
                <w:color w:val="auto"/>
                <w:lang w:val="tr-TR"/>
              </w:rPr>
              <w:t>orçlu, icra emrinin gereğini yerine getirmez veya eksik yerine getirirse</w:t>
            </w:r>
            <w:r w:rsidRPr="00A23740">
              <w:rPr>
                <w:b w:val="0"/>
                <w:color w:val="auto"/>
                <w:lang w:val="tr-TR"/>
              </w:rPr>
              <w:t>,</w:t>
            </w:r>
            <w:r w:rsidR="004A334E" w:rsidRPr="00A23740">
              <w:rPr>
                <w:b w:val="0"/>
                <w:color w:val="auto"/>
                <w:lang w:val="tr-TR"/>
              </w:rPr>
              <w:t xml:space="preserve"> hükmolunan taşınır veya mislini</w:t>
            </w:r>
            <w:r w:rsidR="00426874" w:rsidRPr="00A23740">
              <w:rPr>
                <w:b w:val="0"/>
                <w:color w:val="auto"/>
                <w:lang w:val="tr-TR"/>
              </w:rPr>
              <w:t>n, borçlunun elinde bulunması hâ</w:t>
            </w:r>
            <w:r w:rsidR="004A334E" w:rsidRPr="00A23740">
              <w:rPr>
                <w:b w:val="0"/>
                <w:color w:val="auto"/>
                <w:lang w:val="tr-TR"/>
              </w:rPr>
              <w:t>linde zorla</w:t>
            </w:r>
            <w:r w:rsidRPr="00A23740">
              <w:rPr>
                <w:b w:val="0"/>
                <w:color w:val="auto"/>
                <w:lang w:val="tr-TR"/>
              </w:rPr>
              <w:t xml:space="preserve"> alınarak alacaklıya ve</w:t>
            </w:r>
            <w:r w:rsidR="001704EB" w:rsidRPr="00A23740">
              <w:rPr>
                <w:b w:val="0"/>
                <w:color w:val="auto"/>
                <w:lang w:val="tr-TR"/>
              </w:rPr>
              <w:t>rileceği hususu yer almaktadır.</w:t>
            </w:r>
          </w:p>
          <w:p w:rsidR="00D05A57" w:rsidRPr="00A23740" w:rsidRDefault="00D05A57" w:rsidP="009431FF">
            <w:pPr>
              <w:pStyle w:val="Mavi"/>
              <w:ind w:firstLine="709"/>
              <w:rPr>
                <w:b w:val="0"/>
                <w:color w:val="auto"/>
                <w:lang w:val="tr-TR"/>
              </w:rPr>
            </w:pPr>
            <w:r w:rsidRPr="00A23740">
              <w:rPr>
                <w:b w:val="0"/>
                <w:color w:val="auto"/>
                <w:lang w:val="tr-TR"/>
              </w:rPr>
              <w:t>(</w:t>
            </w:r>
            <w:r w:rsidR="004A334E" w:rsidRPr="00A23740">
              <w:rPr>
                <w:b w:val="0"/>
                <w:color w:val="auto"/>
                <w:lang w:val="tr-TR"/>
              </w:rPr>
              <w:t>c)</w:t>
            </w:r>
            <w:r w:rsidRPr="00A23740">
              <w:rPr>
                <w:b w:val="0"/>
                <w:color w:val="auto"/>
                <w:lang w:val="tr-TR"/>
              </w:rPr>
              <w:t xml:space="preserve"> bendinde, t</w:t>
            </w:r>
            <w:r w:rsidR="004A334E" w:rsidRPr="00A23740">
              <w:rPr>
                <w:b w:val="0"/>
                <w:color w:val="auto"/>
                <w:lang w:val="tr-TR"/>
              </w:rPr>
              <w:t>aşınır veya mislinin borçlunun elinde bulunmaması h</w:t>
            </w:r>
            <w:r w:rsidR="002F2BAA" w:rsidRPr="00A23740">
              <w:rPr>
                <w:b w:val="0"/>
                <w:color w:val="auto"/>
                <w:lang w:val="tr-TR"/>
              </w:rPr>
              <w:t>â</w:t>
            </w:r>
            <w:r w:rsidR="004A334E" w:rsidRPr="00A23740">
              <w:rPr>
                <w:b w:val="0"/>
                <w:color w:val="auto"/>
                <w:lang w:val="tr-TR"/>
              </w:rPr>
              <w:t>linde, hüküm sonucunda belirtilmişse il</w:t>
            </w:r>
            <w:r w:rsidR="00F85AB3" w:rsidRPr="00A23740">
              <w:rPr>
                <w:b w:val="0"/>
                <w:color w:val="auto"/>
                <w:lang w:val="tr-TR"/>
              </w:rPr>
              <w:t>a</w:t>
            </w:r>
            <w:r w:rsidR="004A334E" w:rsidRPr="00A23740">
              <w:rPr>
                <w:b w:val="0"/>
                <w:color w:val="auto"/>
                <w:lang w:val="tr-TR"/>
              </w:rPr>
              <w:t>mda yazılı değerinin; hüküm sonucunda belirtilmemişse icra ve iflas dairesi tarafından tespit edilecek değerinin ayrıca icra emri tebliğine gerek kalmaksızın haciz yolu</w:t>
            </w:r>
            <w:r w:rsidRPr="00A23740">
              <w:rPr>
                <w:b w:val="0"/>
                <w:color w:val="auto"/>
                <w:lang w:val="tr-TR"/>
              </w:rPr>
              <w:t>yla tahsil olunacağı belirtilmektedir.</w:t>
            </w:r>
            <w:r w:rsidR="001704EB" w:rsidRPr="00A23740">
              <w:rPr>
                <w:b w:val="0"/>
                <w:color w:val="auto"/>
                <w:lang w:val="tr-TR"/>
              </w:rPr>
              <w:t xml:space="preserve"> B</w:t>
            </w:r>
            <w:r w:rsidR="00521DF8" w:rsidRPr="00A23740">
              <w:rPr>
                <w:b w:val="0"/>
                <w:color w:val="auto"/>
                <w:lang w:val="tr-TR"/>
              </w:rPr>
              <w:t>u b</w:t>
            </w:r>
            <w:r w:rsidR="001704EB" w:rsidRPr="00A23740">
              <w:rPr>
                <w:b w:val="0"/>
                <w:color w:val="auto"/>
                <w:lang w:val="tr-TR"/>
              </w:rPr>
              <w:t>ent uyarınca yapılacak işlemler, üçüncü fıkrada yer almaktadır.</w:t>
            </w:r>
          </w:p>
          <w:p w:rsidR="00521DF8" w:rsidRPr="00A23740" w:rsidRDefault="00D05A57" w:rsidP="009431FF">
            <w:pPr>
              <w:pStyle w:val="Mavi"/>
              <w:ind w:firstLine="709"/>
              <w:rPr>
                <w:b w:val="0"/>
                <w:color w:val="auto"/>
                <w:lang w:val="tr-TR"/>
              </w:rPr>
            </w:pPr>
            <w:r w:rsidRPr="00A23740">
              <w:rPr>
                <w:b w:val="0"/>
                <w:color w:val="auto"/>
                <w:lang w:val="tr-TR"/>
              </w:rPr>
              <w:t>İkinci fıkrayla, borçlu, icra emrinin gereğini yerine getirmez veya eksik yerine getirirse ve hükmolunan taşınır veya misli</w:t>
            </w:r>
            <w:r w:rsidR="00521DF8" w:rsidRPr="00A23740">
              <w:rPr>
                <w:b w:val="0"/>
                <w:color w:val="auto"/>
                <w:lang w:val="tr-TR"/>
              </w:rPr>
              <w:t xml:space="preserve"> elinde</w:t>
            </w:r>
            <w:r w:rsidRPr="00A23740">
              <w:rPr>
                <w:b w:val="0"/>
                <w:color w:val="auto"/>
                <w:lang w:val="tr-TR"/>
              </w:rPr>
              <w:t xml:space="preserve"> bulunursa zorla alınıp alacaklıya verileceği hükme bağlanmaktadır.</w:t>
            </w:r>
            <w:r w:rsidR="00521DF8" w:rsidRPr="00A23740">
              <w:rPr>
                <w:b w:val="0"/>
                <w:color w:val="auto"/>
                <w:lang w:val="tr-TR"/>
              </w:rPr>
              <w:t xml:space="preserve"> 2004 sayılı Kanunun ilgili 24 üncü maddesinin üçüncü fıkrasında yer alan “bu emri hiç </w:t>
            </w:r>
            <w:r w:rsidR="00521DF8" w:rsidRPr="00A23740">
              <w:rPr>
                <w:b w:val="0"/>
                <w:color w:val="auto"/>
                <w:lang w:val="tr-TR"/>
              </w:rPr>
              <w:lastRenderedPageBreak/>
              <w:t>tutmaz veya eksik bırakır” ibaresindeki “eksik bırakır” kavramı yerine, “icra emrinin gereğinin yerine getirilmemesi” kavramı tercih edilmektedir. Zira bu ifade</w:t>
            </w:r>
            <w:r w:rsidR="006A55D8" w:rsidRPr="00A23740">
              <w:rPr>
                <w:b w:val="0"/>
                <w:color w:val="auto"/>
                <w:lang w:val="tr-TR"/>
              </w:rPr>
              <w:t>nin</w:t>
            </w:r>
            <w:r w:rsidR="00521DF8" w:rsidRPr="00A23740">
              <w:rPr>
                <w:b w:val="0"/>
                <w:color w:val="auto"/>
                <w:lang w:val="tr-TR"/>
              </w:rPr>
              <w:t xml:space="preserve">, 2004 sayılı Kanunda kullanılan kavrama göre daha kapsayıcı ve üst kavram </w:t>
            </w:r>
            <w:r w:rsidR="006A55D8" w:rsidRPr="00A23740">
              <w:rPr>
                <w:b w:val="0"/>
                <w:color w:val="auto"/>
                <w:lang w:val="tr-TR"/>
              </w:rPr>
              <w:t>olduğu düşünülmüştür</w:t>
            </w:r>
            <w:r w:rsidR="00521DF8" w:rsidRPr="00A23740">
              <w:rPr>
                <w:b w:val="0"/>
                <w:color w:val="auto"/>
                <w:lang w:val="tr-TR"/>
              </w:rPr>
              <w:t>.</w:t>
            </w:r>
          </w:p>
          <w:p w:rsidR="00E469AC" w:rsidRPr="00A23740" w:rsidRDefault="00D05A57" w:rsidP="009431FF">
            <w:pPr>
              <w:pStyle w:val="Mavi"/>
              <w:ind w:firstLine="709"/>
              <w:rPr>
                <w:color w:val="auto"/>
                <w:lang w:val="tr-TR"/>
              </w:rPr>
            </w:pPr>
            <w:r w:rsidRPr="00A23740">
              <w:rPr>
                <w:b w:val="0"/>
                <w:color w:val="auto"/>
                <w:lang w:val="tr-TR"/>
              </w:rPr>
              <w:t>Üçüncü fıkrayla, taşınırın veya mislinin borçlunun elinde bulunamaması ve değerinin de ilamda belirtilmemiş olması h</w:t>
            </w:r>
            <w:r w:rsidR="002F2BAA" w:rsidRPr="00A23740">
              <w:rPr>
                <w:b w:val="0"/>
                <w:color w:val="auto"/>
                <w:lang w:val="tr-TR"/>
              </w:rPr>
              <w:t>â</w:t>
            </w:r>
            <w:r w:rsidRPr="00A23740">
              <w:rPr>
                <w:b w:val="0"/>
                <w:color w:val="auto"/>
                <w:lang w:val="tr-TR"/>
              </w:rPr>
              <w:t>linde icra ve iflas dairesince</w:t>
            </w:r>
            <w:r w:rsidR="005923DE" w:rsidRPr="00A23740">
              <w:rPr>
                <w:b w:val="0"/>
                <w:color w:val="auto"/>
                <w:lang w:val="tr-TR"/>
              </w:rPr>
              <w:t xml:space="preserve"> </w:t>
            </w:r>
            <w:r w:rsidR="005923DE" w:rsidRPr="008D10FA">
              <w:rPr>
                <w:rStyle w:val="YELChar"/>
                <w:color w:val="auto"/>
              </w:rPr>
              <w:t>bilirkişi</w:t>
            </w:r>
            <w:r w:rsidR="005923DE" w:rsidRPr="00A23740">
              <w:rPr>
                <w:rStyle w:val="YELChar"/>
                <w:b/>
              </w:rPr>
              <w:t xml:space="preserve"> </w:t>
            </w:r>
            <w:r w:rsidR="005923DE" w:rsidRPr="008D10FA">
              <w:rPr>
                <w:rStyle w:val="YELChar"/>
                <w:color w:val="auto"/>
              </w:rPr>
              <w:t>atanacağı</w:t>
            </w:r>
            <w:r w:rsidRPr="00A23740">
              <w:rPr>
                <w:b w:val="0"/>
                <w:color w:val="auto"/>
                <w:lang w:val="tr-TR"/>
              </w:rPr>
              <w:t>,</w:t>
            </w:r>
            <w:r w:rsidR="005923DE" w:rsidRPr="00A23740">
              <w:rPr>
                <w:b w:val="0"/>
                <w:color w:val="auto"/>
                <w:lang w:val="tr-TR"/>
              </w:rPr>
              <w:t xml:space="preserve"> </w:t>
            </w:r>
            <w:r w:rsidRPr="00A23740">
              <w:rPr>
                <w:b w:val="0"/>
                <w:color w:val="auto"/>
                <w:lang w:val="tr-TR"/>
              </w:rPr>
              <w:t>bilirkişi tarafından incelemenin yapıldığı</w:t>
            </w:r>
            <w:r w:rsidR="005923DE" w:rsidRPr="00A23740">
              <w:rPr>
                <w:b w:val="0"/>
                <w:color w:val="auto"/>
                <w:lang w:val="tr-TR"/>
              </w:rPr>
              <w:t xml:space="preserve"> </w:t>
            </w:r>
            <w:r w:rsidR="005923DE" w:rsidRPr="008D10FA">
              <w:rPr>
                <w:rStyle w:val="YELChar"/>
                <w:color w:val="auto"/>
              </w:rPr>
              <w:t>tarih</w:t>
            </w:r>
            <w:r w:rsidR="005923DE" w:rsidRPr="00A23740">
              <w:rPr>
                <w:rStyle w:val="YELChar"/>
                <w:b/>
              </w:rPr>
              <w:t xml:space="preserve"> </w:t>
            </w:r>
            <w:r w:rsidR="005923DE" w:rsidRPr="008D10FA">
              <w:rPr>
                <w:rStyle w:val="YELChar"/>
                <w:color w:val="auto"/>
              </w:rPr>
              <w:t>itibarıyla</w:t>
            </w:r>
            <w:r w:rsidR="005923DE" w:rsidRPr="00A23740">
              <w:rPr>
                <w:rStyle w:val="YELChar"/>
                <w:b/>
                <w:lang w:val="tr-TR"/>
              </w:rPr>
              <w:t xml:space="preserve"> </w:t>
            </w:r>
            <w:r w:rsidR="005923DE" w:rsidRPr="008D10FA">
              <w:rPr>
                <w:rStyle w:val="YELChar"/>
                <w:color w:val="auto"/>
                <w:lang w:val="tr-TR"/>
              </w:rPr>
              <w:t>belirlenen</w:t>
            </w:r>
            <w:r w:rsidRPr="00A23740">
              <w:rPr>
                <w:b w:val="0"/>
                <w:color w:val="auto"/>
                <w:lang w:val="tr-TR"/>
              </w:rPr>
              <w:t xml:space="preserve"> rayiç değer esas alınarak düzenlenecek rapora göre taşınır malın değerinin tespit edileceği düzenlenmektedir. Taşınır malın borçlunun elinde bulunamaması h</w:t>
            </w:r>
            <w:r w:rsidR="002F2BAA" w:rsidRPr="00A23740">
              <w:rPr>
                <w:b w:val="0"/>
                <w:color w:val="auto"/>
                <w:lang w:val="tr-TR"/>
              </w:rPr>
              <w:t>â</w:t>
            </w:r>
            <w:r w:rsidRPr="00A23740">
              <w:rPr>
                <w:b w:val="0"/>
                <w:color w:val="auto"/>
                <w:lang w:val="tr-TR"/>
              </w:rPr>
              <w:t xml:space="preserve">linde değerinin icra ve iflas dairesince tahsil edilip alacaklıya ödeneceği esası korunmaktadır. Ancak 2004 sayılı Kanunun ilgili hükmünün bu konuda yeterince açık olmaması sebebiyle bu değerden ne anlaşılması gerektiği uygulamada bazı sorunlara yol açmaktaydı. Bu yorum farklılığının giderilmesi amacıyla bu kısım, yeniden ve daha açık şekilde kaleme alınmaktadır. Burada dikkat edilmesi gereken önemli bir husus, 2004 sayılı Kanunun aksine değerin haczin yapıldığı değil, bilirkişi incelemesinin yapıldığı tarihe göre belirlenecek olmasıdır. Bu tercihin, hayatın gerçeklerine daha uygun ve objektif olacağı öngörülmektedir. Yine 2004 sayılı Kanunda yer alan, değerin, borsa veya ticaret odalarından alınacak cevaba göre belirlenmesi esasından da vazgeçilmektedir. Uygulamada borsa veya ticaret odalarından gelen değer tespitlerinin gerçek durumu çoğu kez yansıtmadığı dikkate alınarak, </w:t>
            </w:r>
            <w:r w:rsidRPr="008D10FA">
              <w:rPr>
                <w:b w:val="0"/>
                <w:color w:val="auto"/>
                <w:lang w:val="tr-TR"/>
              </w:rPr>
              <w:t xml:space="preserve">icra </w:t>
            </w:r>
            <w:r w:rsidR="001647D1" w:rsidRPr="008D10FA">
              <w:rPr>
                <w:b w:val="0"/>
                <w:color w:val="auto"/>
                <w:lang w:val="tr-TR"/>
              </w:rPr>
              <w:t>ve iflas</w:t>
            </w:r>
            <w:r w:rsidR="001647D1" w:rsidRPr="00A23740">
              <w:rPr>
                <w:b w:val="0"/>
                <w:color w:val="auto"/>
                <w:lang w:val="tr-TR"/>
              </w:rPr>
              <w:t xml:space="preserve"> </w:t>
            </w:r>
            <w:r w:rsidR="00521DF8" w:rsidRPr="00A23740">
              <w:rPr>
                <w:b w:val="0"/>
                <w:color w:val="auto"/>
                <w:lang w:val="tr-TR"/>
              </w:rPr>
              <w:t>dairesinin</w:t>
            </w:r>
            <w:r w:rsidRPr="00A23740">
              <w:rPr>
                <w:b w:val="0"/>
                <w:color w:val="auto"/>
                <w:lang w:val="tr-TR"/>
              </w:rPr>
              <w:t xml:space="preserve"> bilirkişiye başvurmak suretiyle değer tespiti yaptırması esas alınmaktadır</w:t>
            </w:r>
            <w:r w:rsidR="00521DF8" w:rsidRPr="00A23740">
              <w:rPr>
                <w:b w:val="0"/>
                <w:color w:val="auto"/>
                <w:lang w:val="tr-TR"/>
              </w:rPr>
              <w:t>. Burada bilirkişiye başvurma</w:t>
            </w:r>
            <w:r w:rsidRPr="00A23740">
              <w:rPr>
                <w:b w:val="0"/>
                <w:color w:val="auto"/>
                <w:lang w:val="tr-TR"/>
              </w:rPr>
              <w:t xml:space="preserve"> zorunluluğu öngörülmektedir. Hacizde</w:t>
            </w:r>
            <w:r w:rsidR="006A55D8" w:rsidRPr="00A23740">
              <w:rPr>
                <w:b w:val="0"/>
                <w:color w:val="auto"/>
                <w:lang w:val="tr-TR"/>
              </w:rPr>
              <w:t>ki durumun aksine</w:t>
            </w:r>
            <w:r w:rsidRPr="00A23740">
              <w:rPr>
                <w:b w:val="0"/>
                <w:color w:val="auto"/>
                <w:lang w:val="tr-TR"/>
              </w:rPr>
              <w:t xml:space="preserve">, icra </w:t>
            </w:r>
            <w:r w:rsidR="00C11CF3" w:rsidRPr="00C20C8B">
              <w:rPr>
                <w:b w:val="0"/>
                <w:color w:val="auto"/>
                <w:lang w:val="tr-TR"/>
              </w:rPr>
              <w:t>ve iflas</w:t>
            </w:r>
            <w:r w:rsidR="00C11CF3" w:rsidRPr="00A23740">
              <w:rPr>
                <w:b w:val="0"/>
                <w:color w:val="385623"/>
                <w:lang w:val="tr-TR"/>
              </w:rPr>
              <w:t xml:space="preserve"> </w:t>
            </w:r>
            <w:r w:rsidRPr="00A23740">
              <w:rPr>
                <w:b w:val="0"/>
                <w:color w:val="auto"/>
                <w:lang w:val="tr-TR"/>
              </w:rPr>
              <w:t>müdürüne takdir yetkisi verilmemektedir. İlamın yerine getirilmesi söz konusu olduğu için</w:t>
            </w:r>
            <w:r w:rsidR="006A55D8" w:rsidRPr="00A23740">
              <w:rPr>
                <w:b w:val="0"/>
                <w:color w:val="auto"/>
                <w:lang w:val="tr-TR"/>
              </w:rPr>
              <w:t>,</w:t>
            </w:r>
            <w:r w:rsidRPr="00A23740">
              <w:rPr>
                <w:b w:val="0"/>
                <w:color w:val="auto"/>
                <w:lang w:val="tr-TR"/>
              </w:rPr>
              <w:t xml:space="preserve"> mutlaka bilirkişiye başvurulmasının objektif olarak daha doğru olacağı kabul edilmektedir. Tespit edilen değere karşı şikâyet y</w:t>
            </w:r>
            <w:r w:rsidR="009C5516">
              <w:rPr>
                <w:b w:val="0"/>
                <w:color w:val="auto"/>
                <w:lang w:val="tr-TR"/>
              </w:rPr>
              <w:t>olu ise elbette açık olacaktır.</w:t>
            </w:r>
          </w:p>
          <w:p w:rsidR="0025270C" w:rsidRPr="00A23740" w:rsidRDefault="0025270C" w:rsidP="009431FF">
            <w:pPr>
              <w:pStyle w:val="Mavi"/>
              <w:ind w:firstLine="709"/>
              <w:rPr>
                <w:color w:val="FF0000"/>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40"/>
                <w:tab w:val="left" w:pos="567"/>
              </w:tabs>
              <w:rPr>
                <w:rFonts w:eastAsia="Times New Roman"/>
                <w:b/>
                <w:bCs/>
                <w:szCs w:val="24"/>
                <w:lang w:eastAsia="tr-TR"/>
              </w:rPr>
            </w:pPr>
            <w:r w:rsidRPr="00A23740">
              <w:rPr>
                <w:rFonts w:eastAsia="Times New Roman"/>
                <w:b/>
                <w:bCs/>
                <w:szCs w:val="24"/>
                <w:lang w:eastAsia="tr-TR"/>
              </w:rPr>
              <w:lastRenderedPageBreak/>
              <w:t>Taşınmaz tahliye ve teslimi</w:t>
            </w:r>
            <w:r w:rsidRPr="00A23740">
              <w:rPr>
                <w:rFonts w:eastAsia="Times New Roman"/>
                <w:b/>
                <w:bCs/>
                <w:strike/>
                <w:color w:val="FF0000"/>
                <w:szCs w:val="24"/>
                <w:lang w:eastAsia="tr-TR"/>
              </w:rPr>
              <w:t xml:space="preserve"> :</w:t>
            </w:r>
          </w:p>
          <w:p w:rsidR="00155AF4" w:rsidRPr="00A23740" w:rsidRDefault="00155AF4" w:rsidP="009431FF">
            <w:pPr>
              <w:pStyle w:val="KIRMIZI"/>
              <w:rPr>
                <w:lang w:val="tr-TR"/>
              </w:rPr>
            </w:pPr>
            <w:r w:rsidRPr="00A23740">
              <w:rPr>
                <w:lang w:val="tr-TR"/>
              </w:rPr>
              <w:t>1 – Borçlunun elinde ise:</w:t>
            </w:r>
          </w:p>
          <w:p w:rsidR="00155AF4" w:rsidRPr="00A23740" w:rsidRDefault="00155AF4" w:rsidP="009431FF">
            <w:pPr>
              <w:tabs>
                <w:tab w:val="left" w:pos="567"/>
              </w:tabs>
              <w:rPr>
                <w:rFonts w:eastAsia="Times New Roman"/>
                <w:b/>
                <w:bCs/>
                <w:szCs w:val="24"/>
                <w:lang w:eastAsia="tr-TR"/>
              </w:rPr>
            </w:pPr>
            <w:r w:rsidRPr="00A23740">
              <w:rPr>
                <w:rStyle w:val="KIRMIZIChar"/>
                <w:rFonts w:eastAsia="Calibri"/>
              </w:rPr>
              <w:t>Madde 26</w:t>
            </w:r>
            <w:r w:rsidRPr="00A23740">
              <w:rPr>
                <w:rFonts w:eastAsia="Times New Roman"/>
                <w:b/>
                <w:bCs/>
                <w:strike/>
                <w:color w:val="FF0000"/>
                <w:szCs w:val="24"/>
                <w:lang w:eastAsia="tr-TR"/>
              </w:rPr>
              <w:t xml:space="preserve"> – (1) (Değişik: 14/1/2011-6103/41 md.)</w:t>
            </w:r>
          </w:p>
          <w:p w:rsidR="00155AF4" w:rsidRPr="00A23740" w:rsidRDefault="00155AF4" w:rsidP="009431FF">
            <w:pPr>
              <w:tabs>
                <w:tab w:val="left" w:pos="566"/>
              </w:tabs>
              <w:rPr>
                <w:rFonts w:eastAsia="Times New Roman"/>
                <w:b/>
                <w:bCs/>
                <w:strike/>
                <w:color w:val="FF0000"/>
                <w:szCs w:val="24"/>
                <w:lang w:eastAsia="tr-TR"/>
              </w:rPr>
            </w:pPr>
            <w:r w:rsidRPr="00A23740">
              <w:rPr>
                <w:rFonts w:eastAsia="Times New Roman"/>
                <w:b/>
                <w:bCs/>
                <w:strike/>
                <w:color w:val="FF0000"/>
                <w:szCs w:val="24"/>
                <w:lang w:eastAsia="tr-TR"/>
              </w:rPr>
              <w:t xml:space="preserve">Bir taşınmazın tahliye ve teslimine dair olan ilâm, icra dairesine verilince icra müdürü 24 üncü maddede yazılı şekilde bir </w:t>
            </w:r>
            <w:r w:rsidRPr="00A23740">
              <w:rPr>
                <w:rFonts w:eastAsia="ヒラギノ明朝 Pro W3"/>
                <w:szCs w:val="24"/>
                <w:lang w:eastAsia="tr-TR"/>
              </w:rPr>
              <w:t xml:space="preserve">icra emri tebliği </w:t>
            </w:r>
            <w:r w:rsidRPr="00A23740">
              <w:rPr>
                <w:rFonts w:eastAsia="Times New Roman"/>
                <w:b/>
                <w:bCs/>
                <w:strike/>
                <w:color w:val="FF0000"/>
                <w:szCs w:val="24"/>
                <w:lang w:eastAsia="tr-TR"/>
              </w:rPr>
              <w:t>suretiyle borçluya yedi gün</w:t>
            </w:r>
            <w:r w:rsidRPr="00A23740">
              <w:rPr>
                <w:rFonts w:eastAsia="ヒラギノ明朝 Pro W3"/>
                <w:szCs w:val="24"/>
                <w:lang w:eastAsia="tr-TR"/>
              </w:rPr>
              <w:t xml:space="preserve"> içinde </w:t>
            </w:r>
            <w:r w:rsidRPr="00A23740">
              <w:rPr>
                <w:rFonts w:eastAsia="Times New Roman"/>
                <w:b/>
                <w:bCs/>
                <w:strike/>
                <w:color w:val="FF0000"/>
                <w:szCs w:val="24"/>
                <w:lang w:eastAsia="tr-TR"/>
              </w:rPr>
              <w:t>hükmolunan şeyin</w:t>
            </w:r>
            <w:r w:rsidRPr="00A23740">
              <w:rPr>
                <w:rFonts w:eastAsia="ヒラギノ明朝 Pro W3"/>
                <w:szCs w:val="24"/>
                <w:lang w:eastAsia="tr-TR"/>
              </w:rPr>
              <w:t xml:space="preserve"> teslim</w:t>
            </w:r>
            <w:r w:rsidRPr="00A23740">
              <w:rPr>
                <w:rStyle w:val="KIRMIZIChar"/>
                <w:rFonts w:eastAsia="ヒラギノ明朝 Pro W3"/>
              </w:rPr>
              <w:t>ini</w:t>
            </w:r>
            <w:r w:rsidRPr="00A23740">
              <w:rPr>
                <w:rFonts w:eastAsia="ヒラギノ明朝 Pro W3"/>
                <w:szCs w:val="24"/>
                <w:lang w:eastAsia="tr-TR"/>
              </w:rPr>
              <w:t xml:space="preserve"> </w:t>
            </w:r>
            <w:r w:rsidRPr="00A23740">
              <w:rPr>
                <w:rFonts w:eastAsia="Times New Roman"/>
                <w:b/>
                <w:bCs/>
                <w:strike/>
                <w:color w:val="FF0000"/>
                <w:szCs w:val="24"/>
                <w:lang w:eastAsia="tr-TR"/>
              </w:rPr>
              <w:t>emreder.</w:t>
            </w:r>
          </w:p>
          <w:p w:rsidR="00155AF4" w:rsidRPr="00A23740" w:rsidRDefault="00155AF4" w:rsidP="009431FF">
            <w:pPr>
              <w:tabs>
                <w:tab w:val="left" w:pos="566"/>
              </w:tabs>
              <w:rPr>
                <w:rFonts w:eastAsia="Times New Roman"/>
                <w:b/>
                <w:bCs/>
                <w:strike/>
                <w:color w:val="FF0000"/>
                <w:szCs w:val="24"/>
                <w:lang w:eastAsia="tr-TR"/>
              </w:rPr>
            </w:pPr>
          </w:p>
          <w:p w:rsidR="00A82AA4" w:rsidRPr="00A23740" w:rsidRDefault="00A82AA4" w:rsidP="009431FF">
            <w:pPr>
              <w:tabs>
                <w:tab w:val="left" w:pos="566"/>
              </w:tabs>
              <w:rPr>
                <w:rStyle w:val="KIRMIZIChar"/>
                <w:rFonts w:eastAsia="ヒラギノ明朝 Pro W3"/>
              </w:rPr>
            </w:pPr>
          </w:p>
          <w:p w:rsidR="00537077" w:rsidRPr="00A23740" w:rsidRDefault="00537077" w:rsidP="009431FF">
            <w:pPr>
              <w:tabs>
                <w:tab w:val="left" w:pos="566"/>
              </w:tabs>
              <w:rPr>
                <w:rStyle w:val="KIRMIZIChar"/>
                <w:rFonts w:eastAsia="ヒラギノ明朝 Pro W3"/>
              </w:rPr>
            </w:pPr>
          </w:p>
          <w:p w:rsidR="00155AF4" w:rsidRPr="00A23740" w:rsidRDefault="00155AF4" w:rsidP="009431FF">
            <w:pPr>
              <w:tabs>
                <w:tab w:val="left" w:pos="566"/>
              </w:tabs>
              <w:rPr>
                <w:rFonts w:eastAsia="Times New Roman"/>
                <w:b/>
                <w:bCs/>
                <w:strike/>
                <w:color w:val="FF0000"/>
                <w:szCs w:val="24"/>
                <w:lang w:eastAsia="tr-TR"/>
              </w:rPr>
            </w:pPr>
            <w:r w:rsidRPr="00A23740">
              <w:rPr>
                <w:rStyle w:val="KIRMIZIChar"/>
                <w:rFonts w:eastAsia="ヒラギノ明朝 Pro W3"/>
              </w:rPr>
              <w:t>(2)</w:t>
            </w:r>
            <w:r w:rsidRPr="00A23740">
              <w:rPr>
                <w:rFonts w:eastAsia="ヒラギノ明朝 Pro W3"/>
                <w:szCs w:val="24"/>
                <w:lang w:eastAsia="tr-TR"/>
              </w:rPr>
              <w:t xml:space="preserve"> Borçlu taşınmaz</w:t>
            </w:r>
            <w:r w:rsidRPr="00A23740">
              <w:rPr>
                <w:rStyle w:val="KIRMIZIChar"/>
                <w:rFonts w:eastAsia="ヒラギノ明朝 Pro W3"/>
              </w:rPr>
              <w:t xml:space="preserve">ı işgal etmekte iken </w:t>
            </w:r>
            <w:r w:rsidRPr="00A23740">
              <w:rPr>
                <w:rStyle w:val="KIRMIZIChar"/>
                <w:rFonts w:eastAsia="Calibri"/>
              </w:rPr>
              <w:t>bu</w:t>
            </w:r>
            <w:r w:rsidRPr="00A23740">
              <w:rPr>
                <w:rFonts w:eastAsia="ヒラギノ明朝 Pro W3"/>
                <w:szCs w:val="24"/>
                <w:lang w:eastAsia="tr-TR"/>
              </w:rPr>
              <w:t xml:space="preserve"> emri </w:t>
            </w:r>
            <w:r w:rsidRPr="00A23740">
              <w:rPr>
                <w:rFonts w:eastAsia="Times New Roman"/>
                <w:b/>
                <w:bCs/>
                <w:strike/>
                <w:color w:val="FF0000"/>
                <w:szCs w:val="24"/>
                <w:lang w:eastAsia="tr-TR"/>
              </w:rPr>
              <w:t xml:space="preserve">tutmazsa, ilâmın </w:t>
            </w:r>
            <w:r w:rsidRPr="00A23740">
              <w:rPr>
                <w:rStyle w:val="Stil3Char"/>
                <w:rFonts w:eastAsia="Calibri"/>
              </w:rPr>
              <w:t>hükmü</w:t>
            </w:r>
            <w:r w:rsidRPr="00A23740">
              <w:rPr>
                <w:rStyle w:val="Stil3Char"/>
                <w:rFonts w:eastAsia="ヒラギノ明朝 Pro W3"/>
              </w:rPr>
              <w:t xml:space="preserve"> zorla </w:t>
            </w:r>
            <w:r w:rsidRPr="00A23740">
              <w:rPr>
                <w:rStyle w:val="Stil3Char"/>
                <w:rFonts w:eastAsia="Calibri"/>
              </w:rPr>
              <w:t>icra</w:t>
            </w:r>
            <w:r w:rsidR="006846DE" w:rsidRPr="00A23740">
              <w:rPr>
                <w:rFonts w:eastAsia="Times New Roman"/>
                <w:b/>
                <w:bCs/>
                <w:strike/>
                <w:color w:val="FF0000"/>
                <w:szCs w:val="24"/>
                <w:lang w:eastAsia="tr-TR"/>
              </w:rPr>
              <w:t xml:space="preserve"> olunur.</w:t>
            </w:r>
          </w:p>
          <w:p w:rsidR="00537077" w:rsidRPr="00A23740" w:rsidRDefault="00537077" w:rsidP="009431FF">
            <w:pPr>
              <w:tabs>
                <w:tab w:val="left" w:pos="566"/>
              </w:tabs>
              <w:rPr>
                <w:rFonts w:eastAsia="Times New Roman"/>
                <w:b/>
                <w:bCs/>
                <w:strike/>
                <w:color w:val="FF0000"/>
                <w:szCs w:val="24"/>
                <w:lang w:eastAsia="tr-TR"/>
              </w:rPr>
            </w:pPr>
          </w:p>
          <w:p w:rsidR="00155AF4" w:rsidRPr="00A23740" w:rsidRDefault="00155AF4" w:rsidP="009431FF">
            <w:pPr>
              <w:tabs>
                <w:tab w:val="left" w:pos="566"/>
              </w:tabs>
              <w:rPr>
                <w:rFonts w:eastAsia="ヒラギノ明朝 Pro W3"/>
                <w:szCs w:val="24"/>
                <w:lang w:eastAsia="tr-TR"/>
              </w:rPr>
            </w:pPr>
            <w:r w:rsidRPr="00A23740">
              <w:rPr>
                <w:rStyle w:val="KIRMIZIChar"/>
                <w:rFonts w:eastAsia="ヒラギノ明朝 Pro W3"/>
              </w:rPr>
              <w:t>(3)</w:t>
            </w:r>
            <w:r w:rsidRPr="00A23740">
              <w:rPr>
                <w:rFonts w:eastAsia="ヒラギノ明朝 Pro W3"/>
                <w:szCs w:val="24"/>
                <w:lang w:eastAsia="tr-TR"/>
              </w:rPr>
              <w:t xml:space="preserve"> Alacaklıya teslim olunan taşınmaza haklı bir sebep olmaksızın tekrar giren borçlu ayrıca hükm</w:t>
            </w:r>
            <w:r w:rsidRPr="00A23740">
              <w:rPr>
                <w:rStyle w:val="KIRMIZIChar"/>
                <w:rFonts w:eastAsia="ヒラギノ明朝 Pro W3"/>
              </w:rPr>
              <w:t>e</w:t>
            </w:r>
            <w:r w:rsidRPr="00A23740">
              <w:rPr>
                <w:rFonts w:eastAsia="ヒラギノ明朝 Pro W3"/>
                <w:szCs w:val="24"/>
                <w:lang w:eastAsia="tr-TR"/>
              </w:rPr>
              <w:t xml:space="preserve"> </w:t>
            </w:r>
            <w:r w:rsidRPr="00A23740">
              <w:rPr>
                <w:rFonts w:eastAsia="Times New Roman"/>
                <w:b/>
                <w:bCs/>
                <w:strike/>
                <w:color w:val="FF0000"/>
                <w:szCs w:val="24"/>
                <w:lang w:eastAsia="tr-TR"/>
              </w:rPr>
              <w:t>hace</w:t>
            </w:r>
            <w:r w:rsidRPr="00A23740">
              <w:rPr>
                <w:rStyle w:val="KIRMIZIChar"/>
                <w:rFonts w:eastAsia="Calibri"/>
              </w:rPr>
              <w:t>t</w:t>
            </w:r>
            <w:r w:rsidRPr="00A23740">
              <w:rPr>
                <w:rStyle w:val="KIRMIZIChar"/>
                <w:rFonts w:eastAsia="ヒラギノ明朝 Pro W3"/>
              </w:rPr>
              <w:t xml:space="preserve"> kalmadan</w:t>
            </w:r>
            <w:r w:rsidRPr="00A23740">
              <w:rPr>
                <w:rFonts w:eastAsia="ヒラギノ明朝 Pro W3"/>
                <w:szCs w:val="24"/>
                <w:lang w:eastAsia="tr-TR"/>
              </w:rPr>
              <w:t xml:space="preserve"> zorla çıkarıl</w:t>
            </w:r>
            <w:r w:rsidRPr="00A23740">
              <w:rPr>
                <w:rStyle w:val="KIRMIZIChar"/>
                <w:rFonts w:eastAsia="ヒラギノ明朝 Pro W3"/>
              </w:rPr>
              <w:t>ır.</w:t>
            </w:r>
          </w:p>
          <w:p w:rsidR="00155AF4" w:rsidRPr="00A23740" w:rsidRDefault="00155AF4" w:rsidP="009431FF">
            <w:pPr>
              <w:tabs>
                <w:tab w:val="left" w:pos="566"/>
              </w:tabs>
              <w:rPr>
                <w:rFonts w:eastAsia="ヒラギノ明朝 Pro W3"/>
                <w:szCs w:val="24"/>
              </w:rPr>
            </w:pPr>
          </w:p>
          <w:p w:rsidR="00155AF4" w:rsidRPr="00A23740" w:rsidRDefault="00155AF4" w:rsidP="009431FF">
            <w:pPr>
              <w:tabs>
                <w:tab w:val="left" w:pos="566"/>
              </w:tabs>
              <w:rPr>
                <w:rFonts w:eastAsia="ヒラギノ明朝 Pro W3"/>
                <w:szCs w:val="24"/>
              </w:rPr>
            </w:pPr>
          </w:p>
          <w:p w:rsidR="00155AF4" w:rsidRPr="00A23740" w:rsidRDefault="00155AF4" w:rsidP="009431FF">
            <w:pPr>
              <w:tabs>
                <w:tab w:val="left" w:pos="566"/>
              </w:tabs>
              <w:rPr>
                <w:rFonts w:eastAsia="ヒラギノ明朝 Pro W3"/>
                <w:szCs w:val="24"/>
              </w:rPr>
            </w:pPr>
          </w:p>
          <w:p w:rsidR="00155AF4" w:rsidRPr="00A23740" w:rsidRDefault="00155AF4" w:rsidP="009431FF">
            <w:pPr>
              <w:rPr>
                <w:b/>
                <w:bCs/>
                <w:strike/>
                <w:color w:val="FF0000"/>
                <w:szCs w:val="24"/>
                <w:lang w:eastAsia="tr-TR"/>
              </w:rPr>
            </w:pPr>
            <w:r w:rsidRPr="00A23740">
              <w:rPr>
                <w:b/>
                <w:bCs/>
                <w:strike/>
                <w:color w:val="FF0000"/>
                <w:szCs w:val="24"/>
                <w:lang w:eastAsia="tr-TR"/>
              </w:rPr>
              <w:t>(4) Taşınmazın içinde bulunup da ilâmda dahil olmayan eşya çıkarılarak borçluya teslim ve hazır değilse vekiline veya ailesi halkından veyahut müstahdemlerinden reşit bir kimseye tevdi olunur. Bunlardan da kimse bulunmazsa mezkûr eşya masrafı ileride borçluya ödetilmek üzere peşin olarak alacaklıdan alınıp emin bir yerde veya alacaklının yedinde hıfzettirilir ve icra dairesince hemen yapılacak tebligat üzerine borçlu eşyanın bulunduğu mahalde ise beş ve değil ise otuz gün içinde eşyayı almaktan veya masrafı ödemekten imtina eder yahut lüzum görülürse icra müdürü icra mahkemesinin kararıyla bunları satıp tutarından masrafı ifa eder. Fazla kalırsa borçlunun adına, Adalet Bakanlığınca çıkarılan yönetmelikte nitelikleri belirlenen bankalardan birine yatırılır.</w:t>
            </w:r>
          </w:p>
          <w:p w:rsidR="00155AF4" w:rsidRPr="00A23740" w:rsidRDefault="00155AF4" w:rsidP="009431FF">
            <w:pPr>
              <w:tabs>
                <w:tab w:val="left" w:pos="567"/>
              </w:tabs>
              <w:rPr>
                <w:rFonts w:eastAsia="Times New Roman"/>
                <w:b/>
                <w:bCs/>
                <w:szCs w:val="24"/>
                <w:lang w:eastAsia="tr-TR"/>
              </w:rPr>
            </w:pPr>
          </w:p>
        </w:tc>
        <w:tc>
          <w:tcPr>
            <w:tcW w:w="2500" w:type="pct"/>
          </w:tcPr>
          <w:p w:rsidR="00155AF4" w:rsidRPr="00A23740" w:rsidRDefault="00155AF4" w:rsidP="009431FF">
            <w:pPr>
              <w:pStyle w:val="Balk4"/>
              <w:rPr>
                <w:lang w:val="tr-TR"/>
              </w:rPr>
            </w:pPr>
            <w:r w:rsidRPr="00A23740">
              <w:rPr>
                <w:lang w:val="tr-TR"/>
              </w:rPr>
              <w:lastRenderedPageBreak/>
              <w:t>BEŞİNCİ AYRIM</w:t>
            </w:r>
          </w:p>
          <w:p w:rsidR="00155AF4" w:rsidRPr="00A23740" w:rsidRDefault="00155AF4" w:rsidP="009431FF">
            <w:pPr>
              <w:pStyle w:val="Balk4"/>
              <w:rPr>
                <w:lang w:val="tr-TR"/>
              </w:rPr>
            </w:pPr>
            <w:r w:rsidRPr="00A23740">
              <w:rPr>
                <w:rStyle w:val="MaviChar"/>
                <w:b/>
                <w:bCs/>
                <w:szCs w:val="28"/>
                <w:lang w:val="tr-TR" w:eastAsia="en-US"/>
              </w:rPr>
              <w:t>Taşınmazlar Hakkındaki İlamların İcrası</w:t>
            </w: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szCs w:val="24"/>
                <w:lang w:eastAsia="tr-TR"/>
              </w:rPr>
            </w:pPr>
            <w:r w:rsidRPr="00A23740">
              <w:rPr>
                <w:rFonts w:eastAsia="ヒラギノ明朝 Pro W3"/>
                <w:b/>
                <w:szCs w:val="24"/>
                <w:lang w:eastAsia="tr-TR"/>
              </w:rPr>
              <w:t>Taşınmaz</w:t>
            </w:r>
            <w:r w:rsidRPr="00A23740">
              <w:rPr>
                <w:rStyle w:val="MaviChar"/>
                <w:lang w:val="tr-TR"/>
              </w:rPr>
              <w:t>ın</w:t>
            </w:r>
            <w:r w:rsidRPr="00A23740">
              <w:rPr>
                <w:rFonts w:eastAsia="ヒラギノ明朝 Pro W3"/>
                <w:szCs w:val="24"/>
                <w:lang w:eastAsia="tr-TR"/>
              </w:rPr>
              <w:t xml:space="preserve"> </w:t>
            </w:r>
            <w:r w:rsidRPr="00A23740">
              <w:rPr>
                <w:rFonts w:eastAsia="ヒラギノ明朝 Pro W3"/>
                <w:b/>
                <w:szCs w:val="24"/>
                <w:lang w:eastAsia="tr-TR"/>
              </w:rPr>
              <w:t>tahliye ve teslim</w:t>
            </w:r>
            <w:r w:rsidRPr="00A23740">
              <w:rPr>
                <w:rStyle w:val="MaviChar"/>
              </w:rPr>
              <w:t>ine ilişkin ilamların icrası</w:t>
            </w:r>
          </w:p>
          <w:p w:rsidR="00155AF4" w:rsidRPr="00A23740" w:rsidRDefault="00155AF4" w:rsidP="009431FF">
            <w:pPr>
              <w:rPr>
                <w:rFonts w:eastAsia="Times New Roman"/>
                <w:b/>
                <w:bCs/>
                <w:color w:val="0000FF"/>
                <w:szCs w:val="24"/>
                <w:lang w:eastAsia="tr-TR"/>
              </w:rPr>
            </w:pPr>
            <w:r w:rsidRPr="00A23740">
              <w:rPr>
                <w:rStyle w:val="MaviChar"/>
              </w:rPr>
              <w:t>MADDE 71- (</w:t>
            </w:r>
            <w:r w:rsidRPr="00A23740">
              <w:rPr>
                <w:rStyle w:val="MaviChar"/>
                <w:lang w:val="tr-TR"/>
              </w:rPr>
              <w:t xml:space="preserve">1) Taşınmazlar hakkındaki ilamların yerine getirilmesine </w:t>
            </w:r>
            <w:r w:rsidRPr="00A23740">
              <w:rPr>
                <w:rStyle w:val="MaviChar"/>
              </w:rPr>
              <w:t>ilişkin icra emrinde</w:t>
            </w:r>
            <w:r w:rsidRPr="00A23740">
              <w:rPr>
                <w:rStyle w:val="MaviChar"/>
                <w:lang w:val="tr-TR"/>
              </w:rPr>
              <w:t xml:space="preserve">, </w:t>
            </w:r>
            <w:r w:rsidR="000948B3" w:rsidRPr="00A23740">
              <w:rPr>
                <w:rStyle w:val="MaviChar"/>
                <w:lang w:val="tr-TR"/>
              </w:rPr>
              <w:t xml:space="preserve">57 nci </w:t>
            </w:r>
            <w:r w:rsidRPr="00A23740">
              <w:rPr>
                <w:rStyle w:val="MaviChar"/>
                <w:lang w:val="tr-TR"/>
              </w:rPr>
              <w:t>maddede yazılanlar ile aşağıdaki hususlar yer alır:</w:t>
            </w:r>
          </w:p>
          <w:p w:rsidR="00155AF4" w:rsidRPr="00A23740" w:rsidRDefault="00155AF4" w:rsidP="009431FF">
            <w:pPr>
              <w:pStyle w:val="Mavi"/>
            </w:pPr>
            <w:r w:rsidRPr="00A23740">
              <w:t xml:space="preserve">a) </w:t>
            </w:r>
            <w:r w:rsidRPr="00A23740">
              <w:rPr>
                <w:rFonts w:eastAsia="ヒラギノ明朝 Pro W3"/>
              </w:rPr>
              <w:t>İcra emri</w:t>
            </w:r>
            <w:r w:rsidRPr="00A23740">
              <w:t xml:space="preserve">nin </w:t>
            </w:r>
            <w:r w:rsidRPr="00A23740">
              <w:rPr>
                <w:rFonts w:eastAsia="ヒラギノ明朝 Pro W3"/>
              </w:rPr>
              <w:t>tebliği</w:t>
            </w:r>
            <w:r w:rsidRPr="00A23740">
              <w:t>nden itibaren</w:t>
            </w:r>
            <w:r w:rsidRPr="00A23740">
              <w:rPr>
                <w:lang w:val="tr-TR"/>
              </w:rPr>
              <w:t xml:space="preserve"> </w:t>
            </w:r>
            <w:r w:rsidRPr="00A23740">
              <w:t>bir ay</w:t>
            </w:r>
            <w:r w:rsidRPr="00A23740">
              <w:rPr>
                <w:rFonts w:eastAsia="ヒラギノ明朝 Pro W3"/>
              </w:rPr>
              <w:t xml:space="preserve"> içinde </w:t>
            </w:r>
            <w:r w:rsidRPr="00A23740">
              <w:t>taşınmazın tahliye ve</w:t>
            </w:r>
            <w:r w:rsidRPr="00A23740">
              <w:rPr>
                <w:rFonts w:eastAsia="ヒラギノ明朝 Pro W3"/>
              </w:rPr>
              <w:t xml:space="preserve"> teslim</w:t>
            </w:r>
            <w:r w:rsidRPr="00A23740">
              <w:t xml:space="preserve"> edilmesi.</w:t>
            </w:r>
          </w:p>
          <w:p w:rsidR="00537077" w:rsidRPr="00A23740" w:rsidRDefault="00537077" w:rsidP="009431FF">
            <w:pPr>
              <w:pStyle w:val="Mavi"/>
            </w:pPr>
          </w:p>
          <w:p w:rsidR="00155AF4" w:rsidRPr="00A23740" w:rsidRDefault="00155AF4" w:rsidP="009431FF">
            <w:pPr>
              <w:tabs>
                <w:tab w:val="left" w:pos="566"/>
              </w:tabs>
              <w:rPr>
                <w:rStyle w:val="MaviChar"/>
              </w:rPr>
            </w:pPr>
            <w:r w:rsidRPr="00A23740">
              <w:rPr>
                <w:rStyle w:val="MaviChar"/>
              </w:rPr>
              <w:t>b)</w:t>
            </w:r>
            <w:r w:rsidRPr="00A23740">
              <w:rPr>
                <w:rFonts w:eastAsia="Times New Roman"/>
                <w:b/>
                <w:bCs/>
                <w:color w:val="0000FF"/>
                <w:szCs w:val="24"/>
                <w:lang w:eastAsia="tr-TR"/>
              </w:rPr>
              <w:t xml:space="preserve"> </w:t>
            </w:r>
            <w:r w:rsidRPr="00A23740">
              <w:rPr>
                <w:rFonts w:eastAsia="ヒラギノ明朝 Pro W3"/>
                <w:szCs w:val="24"/>
                <w:lang w:eastAsia="tr-TR"/>
              </w:rPr>
              <w:t>Borçlu</w:t>
            </w:r>
            <w:r w:rsidRPr="00A23740">
              <w:rPr>
                <w:rStyle w:val="MaviChar"/>
                <w:lang w:val="tr-TR"/>
              </w:rPr>
              <w:t>, icra</w:t>
            </w:r>
            <w:r w:rsidRPr="00A23740">
              <w:rPr>
                <w:rFonts w:eastAsia="ヒラギノ明朝 Pro W3"/>
                <w:szCs w:val="24"/>
                <w:lang w:eastAsia="tr-TR"/>
              </w:rPr>
              <w:t xml:space="preserve"> emri</w:t>
            </w:r>
            <w:r w:rsidRPr="00A23740">
              <w:rPr>
                <w:rStyle w:val="MaviChar"/>
              </w:rPr>
              <w:t xml:space="preserve">nin gereğini yerine getirmezse </w:t>
            </w:r>
            <w:r w:rsidRPr="00A23740">
              <w:rPr>
                <w:rFonts w:eastAsia="ヒラギノ明朝 Pro W3"/>
                <w:szCs w:val="24"/>
                <w:lang w:eastAsia="tr-TR"/>
              </w:rPr>
              <w:t>taşınmaz</w:t>
            </w:r>
            <w:r w:rsidRPr="00A23740">
              <w:rPr>
                <w:rStyle w:val="MaviChar"/>
              </w:rPr>
              <w:t>ın</w:t>
            </w:r>
            <w:r w:rsidRPr="00A23740">
              <w:rPr>
                <w:rFonts w:eastAsia="ヒラギノ明朝 Pro W3"/>
                <w:szCs w:val="24"/>
                <w:lang w:eastAsia="tr-TR"/>
              </w:rPr>
              <w:t xml:space="preserve"> </w:t>
            </w:r>
            <w:r w:rsidRPr="00A23740">
              <w:rPr>
                <w:rStyle w:val="MaviChar"/>
              </w:rPr>
              <w:t>zorla tahliye edilerek alacaklıya teslim edileceği.</w:t>
            </w:r>
          </w:p>
          <w:p w:rsidR="00537077" w:rsidRPr="00A23740" w:rsidRDefault="00537077" w:rsidP="009431FF">
            <w:pPr>
              <w:tabs>
                <w:tab w:val="left" w:pos="566"/>
              </w:tabs>
              <w:rPr>
                <w:rFonts w:eastAsia="Times New Roman"/>
                <w:b/>
                <w:bCs/>
                <w:color w:val="0000FF"/>
                <w:szCs w:val="24"/>
                <w:lang w:eastAsia="tr-TR"/>
              </w:rPr>
            </w:pPr>
          </w:p>
          <w:p w:rsidR="00155AF4" w:rsidRPr="00A23740" w:rsidRDefault="00155AF4" w:rsidP="009431FF">
            <w:pPr>
              <w:rPr>
                <w:rFonts w:eastAsia="Times New Roman"/>
                <w:b/>
                <w:color w:val="FF0000"/>
                <w:szCs w:val="24"/>
                <w:lang w:eastAsia="tr-TR"/>
              </w:rPr>
            </w:pPr>
            <w:r w:rsidRPr="00A23740">
              <w:rPr>
                <w:rStyle w:val="MaviChar"/>
              </w:rPr>
              <w:t>c)</w:t>
            </w:r>
            <w:r w:rsidRPr="00A23740">
              <w:rPr>
                <w:rFonts w:eastAsia="Times New Roman"/>
                <w:szCs w:val="24"/>
                <w:lang w:eastAsia="tr-TR"/>
              </w:rPr>
              <w:t xml:space="preserve"> Alacaklıya teslim olunan taşınmaza haklı bir sebep olmaksızın tekrar giren borçlu</w:t>
            </w:r>
            <w:r w:rsidRPr="00A23740">
              <w:rPr>
                <w:rStyle w:val="MaviChar"/>
                <w:lang w:val="tr-TR"/>
              </w:rPr>
              <w:t>nun</w:t>
            </w:r>
            <w:r w:rsidRPr="00A23740">
              <w:rPr>
                <w:rFonts w:eastAsia="Times New Roman"/>
                <w:szCs w:val="24"/>
                <w:lang w:eastAsia="tr-TR"/>
              </w:rPr>
              <w:t xml:space="preserve"> ayrıca </w:t>
            </w:r>
            <w:r w:rsidRPr="00A23740">
              <w:rPr>
                <w:rStyle w:val="MaviChar"/>
                <w:lang w:val="tr-TR"/>
              </w:rPr>
              <w:t>mahkeme</w:t>
            </w:r>
            <w:r w:rsidRPr="00A23740">
              <w:rPr>
                <w:rFonts w:eastAsia="Times New Roman"/>
                <w:szCs w:val="24"/>
                <w:lang w:eastAsia="tr-TR"/>
              </w:rPr>
              <w:t xml:space="preserve"> hükm</w:t>
            </w:r>
            <w:r w:rsidRPr="00A23740">
              <w:rPr>
                <w:rStyle w:val="MaviChar"/>
                <w:lang w:val="tr-TR"/>
              </w:rPr>
              <w:t xml:space="preserve">üne gerek olmaksızın icra </w:t>
            </w:r>
            <w:r w:rsidRPr="00A23740">
              <w:rPr>
                <w:rStyle w:val="MaviChar"/>
              </w:rPr>
              <w:t xml:space="preserve">ve </w:t>
            </w:r>
            <w:r w:rsidRPr="00A23740">
              <w:rPr>
                <w:rStyle w:val="MaviChar"/>
              </w:rPr>
              <w:lastRenderedPageBreak/>
              <w:t>iflas dairesince</w:t>
            </w:r>
            <w:r w:rsidRPr="00A23740">
              <w:rPr>
                <w:rFonts w:eastAsia="Times New Roman"/>
                <w:szCs w:val="24"/>
                <w:lang w:eastAsia="tr-TR"/>
              </w:rPr>
              <w:t xml:space="preserve"> </w:t>
            </w:r>
            <w:r w:rsidRPr="00A23740">
              <w:rPr>
                <w:rStyle w:val="MaviChar"/>
              </w:rPr>
              <w:t>taşınmazdan</w:t>
            </w:r>
            <w:r w:rsidRPr="00A23740">
              <w:rPr>
                <w:rStyle w:val="MaviChar"/>
                <w:lang w:val="tr-TR"/>
              </w:rPr>
              <w:t xml:space="preserve"> </w:t>
            </w:r>
            <w:r w:rsidRPr="00A23740">
              <w:rPr>
                <w:rFonts w:eastAsia="Times New Roman"/>
                <w:szCs w:val="24"/>
                <w:lang w:eastAsia="tr-TR"/>
              </w:rPr>
              <w:t>zorla çıkarıl</w:t>
            </w:r>
            <w:r w:rsidRPr="00A23740">
              <w:rPr>
                <w:rStyle w:val="MaviChar"/>
              </w:rPr>
              <w:t>acağı ve ayrıca</w:t>
            </w:r>
            <w:r w:rsidRPr="00A23740">
              <w:rPr>
                <w:rStyle w:val="MaviChar"/>
                <w:lang w:val="tr-TR"/>
              </w:rPr>
              <w:t xml:space="preserve"> </w:t>
            </w:r>
            <w:r w:rsidR="00D661BE" w:rsidRPr="008D10FA">
              <w:rPr>
                <w:rStyle w:val="KonuBalChar"/>
                <w:rFonts w:eastAsia="Calibri"/>
                <w:color w:val="0000FF"/>
              </w:rPr>
              <w:t>521 inci</w:t>
            </w:r>
            <w:r w:rsidRPr="00A23740">
              <w:rPr>
                <w:rStyle w:val="MaviChar"/>
              </w:rPr>
              <w:t xml:space="preserve"> madde g</w:t>
            </w:r>
            <w:r w:rsidR="001216CE" w:rsidRPr="00A23740">
              <w:rPr>
                <w:rStyle w:val="MaviChar"/>
                <w:lang w:val="tr-TR"/>
              </w:rPr>
              <w:t>ereğince hapis cezası</w:t>
            </w:r>
            <w:r w:rsidR="0005528D" w:rsidRPr="008D10FA">
              <w:rPr>
                <w:rStyle w:val="MaviChar"/>
                <w:lang w:val="tr-TR"/>
              </w:rPr>
              <w:t>yla</w:t>
            </w:r>
            <w:r w:rsidR="001216CE" w:rsidRPr="00A23740">
              <w:rPr>
                <w:rStyle w:val="MaviChar"/>
                <w:lang w:val="tr-TR"/>
              </w:rPr>
              <w:t xml:space="preserve"> </w:t>
            </w:r>
            <w:r w:rsidRPr="00A23740">
              <w:rPr>
                <w:rStyle w:val="MaviChar"/>
              </w:rPr>
              <w:t>cezalandırılacağı.</w:t>
            </w:r>
          </w:p>
        </w:tc>
      </w:tr>
      <w:tr w:rsidR="00155AF4" w:rsidRPr="00A23740" w:rsidTr="009431FF">
        <w:tc>
          <w:tcPr>
            <w:tcW w:w="5000" w:type="pct"/>
            <w:gridSpan w:val="2"/>
            <w:shd w:val="clear" w:color="auto" w:fill="DEEAF6"/>
          </w:tcPr>
          <w:p w:rsidR="00DE7486" w:rsidRPr="00A23740" w:rsidRDefault="00DE7486" w:rsidP="009431FF">
            <w:pPr>
              <w:pStyle w:val="Mavi"/>
              <w:ind w:firstLine="709"/>
              <w:rPr>
                <w:color w:val="auto"/>
                <w:lang w:val="tr-TR"/>
              </w:rPr>
            </w:pPr>
          </w:p>
          <w:p w:rsidR="006D041B" w:rsidRPr="00A23740" w:rsidRDefault="00DE7486" w:rsidP="009431FF">
            <w:pPr>
              <w:pStyle w:val="Mavi"/>
              <w:ind w:firstLine="709"/>
              <w:rPr>
                <w:b w:val="0"/>
                <w:color w:val="auto"/>
                <w:lang w:val="tr-TR"/>
              </w:rPr>
            </w:pPr>
            <w:r w:rsidRPr="00A23740">
              <w:rPr>
                <w:color w:val="auto"/>
                <w:lang w:val="tr-TR"/>
              </w:rPr>
              <w:t xml:space="preserve">MADDE 71- </w:t>
            </w:r>
            <w:r w:rsidRPr="00A23740">
              <w:rPr>
                <w:b w:val="0"/>
                <w:color w:val="auto"/>
                <w:lang w:val="tr-TR"/>
              </w:rPr>
              <w:t>Madde</w:t>
            </w:r>
            <w:r w:rsidR="006D041B" w:rsidRPr="00A23740">
              <w:rPr>
                <w:b w:val="0"/>
                <w:color w:val="auto"/>
                <w:lang w:val="tr-TR"/>
              </w:rPr>
              <w:t>yle, taşınmazın tahliye ve teslimine ilişkin ilamların icrası düzenlenmektedir. Hüküm 2004 sayılı Kanunun 26 ncı maddesine karşılık gelmektedir.</w:t>
            </w:r>
          </w:p>
          <w:p w:rsidR="006D041B" w:rsidRPr="00A23740" w:rsidRDefault="006D041B" w:rsidP="009431FF">
            <w:pPr>
              <w:pStyle w:val="Mavi"/>
              <w:ind w:firstLine="709"/>
              <w:rPr>
                <w:b w:val="0"/>
                <w:color w:val="auto"/>
                <w:lang w:val="tr-TR"/>
              </w:rPr>
            </w:pPr>
            <w:r w:rsidRPr="00A23740">
              <w:rPr>
                <w:b w:val="0"/>
                <w:color w:val="auto"/>
                <w:lang w:val="tr-TR"/>
              </w:rPr>
              <w:t>Birinci fıkrayla, taşınmazlar hakkındaki ilamların yerine getirilmesine ilişkin icra emrinde yer alacak hususlar</w:t>
            </w:r>
            <w:r w:rsidR="0043739C" w:rsidRPr="00A23740">
              <w:rPr>
                <w:b w:val="0"/>
                <w:color w:val="auto"/>
                <w:lang w:val="tr-TR"/>
              </w:rPr>
              <w:t xml:space="preserve"> bentler h</w:t>
            </w:r>
            <w:r w:rsidR="002F2BAA" w:rsidRPr="00A23740">
              <w:rPr>
                <w:b w:val="0"/>
                <w:color w:val="auto"/>
                <w:lang w:val="tr-TR"/>
              </w:rPr>
              <w:t>â</w:t>
            </w:r>
            <w:r w:rsidR="0043739C" w:rsidRPr="00A23740">
              <w:rPr>
                <w:b w:val="0"/>
                <w:color w:val="auto"/>
                <w:lang w:val="tr-TR"/>
              </w:rPr>
              <w:t>linde</w:t>
            </w:r>
            <w:r w:rsidRPr="00A23740">
              <w:rPr>
                <w:b w:val="0"/>
                <w:color w:val="auto"/>
                <w:lang w:val="tr-TR"/>
              </w:rPr>
              <w:t xml:space="preserve"> belirlenmektedir.</w:t>
            </w:r>
          </w:p>
          <w:p w:rsidR="006D041B" w:rsidRPr="00A23740" w:rsidRDefault="006D041B" w:rsidP="009431FF">
            <w:pPr>
              <w:pStyle w:val="Mavi"/>
              <w:ind w:firstLine="709"/>
              <w:rPr>
                <w:b w:val="0"/>
                <w:color w:val="auto"/>
                <w:lang w:val="tr-TR"/>
              </w:rPr>
            </w:pPr>
            <w:r w:rsidRPr="00A23740">
              <w:rPr>
                <w:b w:val="0"/>
                <w:color w:val="auto"/>
                <w:lang w:val="tr-TR"/>
              </w:rPr>
              <w:t xml:space="preserve">(a) bendinde, icra emrinin tebliğinden itibaren bir ay içinde taşınmazın tahliye ve teslim edilmesi gerektiği yer almaktadır. 2004 sayılı Kanunda yer alan yedi günlük yerine getirme süresi bir aya çıkarılmaktadır. Bu </w:t>
            </w:r>
            <w:r w:rsidR="0043739C" w:rsidRPr="00A23740">
              <w:rPr>
                <w:b w:val="0"/>
                <w:color w:val="auto"/>
                <w:lang w:val="tr-TR"/>
              </w:rPr>
              <w:t>hükümde</w:t>
            </w:r>
            <w:r w:rsidRPr="00A23740">
              <w:rPr>
                <w:b w:val="0"/>
                <w:color w:val="auto"/>
                <w:lang w:val="tr-TR"/>
              </w:rPr>
              <w:t xml:space="preserve"> icra </w:t>
            </w:r>
            <w:r w:rsidR="007D74DD" w:rsidRPr="00D51A11">
              <w:rPr>
                <w:b w:val="0"/>
                <w:color w:val="auto"/>
                <w:lang w:val="tr-TR"/>
              </w:rPr>
              <w:t>ve iflas</w:t>
            </w:r>
            <w:r w:rsidR="007D74DD" w:rsidRPr="00A23740">
              <w:rPr>
                <w:b w:val="0"/>
                <w:color w:val="385623"/>
                <w:lang w:val="tr-TR"/>
              </w:rPr>
              <w:t xml:space="preserve"> </w:t>
            </w:r>
            <w:r w:rsidRPr="00A23740">
              <w:rPr>
                <w:b w:val="0"/>
                <w:color w:val="auto"/>
                <w:lang w:val="tr-TR"/>
              </w:rPr>
              <w:t xml:space="preserve">müdürüne </w:t>
            </w:r>
            <w:r w:rsidR="0043739C" w:rsidRPr="00A23740">
              <w:rPr>
                <w:b w:val="0"/>
                <w:color w:val="auto"/>
                <w:lang w:val="tr-TR"/>
              </w:rPr>
              <w:t xml:space="preserve">takdir yetkisi verilmesi hususu </w:t>
            </w:r>
            <w:r w:rsidRPr="00A23740">
              <w:rPr>
                <w:b w:val="0"/>
                <w:color w:val="auto"/>
                <w:lang w:val="tr-TR"/>
              </w:rPr>
              <w:t>Bilim Komisyonunda tartışılmış</w:t>
            </w:r>
            <w:r w:rsidR="0043739C" w:rsidRPr="00A23740">
              <w:rPr>
                <w:b w:val="0"/>
                <w:color w:val="auto"/>
                <w:lang w:val="tr-TR"/>
              </w:rPr>
              <w:t>, ancak</w:t>
            </w:r>
            <w:r w:rsidRPr="00A23740">
              <w:rPr>
                <w:b w:val="0"/>
                <w:color w:val="auto"/>
                <w:lang w:val="tr-TR"/>
              </w:rPr>
              <w:t xml:space="preserve"> </w:t>
            </w:r>
            <w:r w:rsidR="0043739C" w:rsidRPr="00A23740">
              <w:rPr>
                <w:b w:val="0"/>
                <w:color w:val="auto"/>
                <w:lang w:val="tr-TR"/>
              </w:rPr>
              <w:t>takdir yetkisinin hangi esaslara göre kullanılacağı hususunda farklı uygulamaların oluşabileceği, şik</w:t>
            </w:r>
            <w:r w:rsidR="00407C95" w:rsidRPr="00A23740">
              <w:rPr>
                <w:b w:val="0"/>
                <w:color w:val="auto"/>
                <w:lang w:val="tr-TR"/>
              </w:rPr>
              <w:t>â</w:t>
            </w:r>
            <w:r w:rsidR="0043739C" w:rsidRPr="00A23740">
              <w:rPr>
                <w:b w:val="0"/>
                <w:color w:val="auto"/>
                <w:lang w:val="tr-TR"/>
              </w:rPr>
              <w:t xml:space="preserve">yetlere neden olabileceği ve sonuçta takip sürecinin yavaşlayabileceği değerlendirilerek </w:t>
            </w:r>
            <w:r w:rsidRPr="00A23740">
              <w:rPr>
                <w:b w:val="0"/>
                <w:color w:val="auto"/>
                <w:lang w:val="tr-TR"/>
              </w:rPr>
              <w:t xml:space="preserve">genel bir sürenin Kanunda düzenlenmesinin daha uygun olacağı </w:t>
            </w:r>
            <w:r w:rsidR="0043739C" w:rsidRPr="00A23740">
              <w:rPr>
                <w:b w:val="0"/>
                <w:color w:val="auto"/>
                <w:lang w:val="tr-TR"/>
              </w:rPr>
              <w:t>esası benimsenmiştir</w:t>
            </w:r>
            <w:r w:rsidRPr="00A23740">
              <w:rPr>
                <w:b w:val="0"/>
                <w:color w:val="auto"/>
                <w:lang w:val="tr-TR"/>
              </w:rPr>
              <w:t>.</w:t>
            </w:r>
          </w:p>
          <w:p w:rsidR="006D041B" w:rsidRPr="00A23740" w:rsidRDefault="006D041B" w:rsidP="009431FF">
            <w:pPr>
              <w:pStyle w:val="Mavi"/>
              <w:ind w:firstLine="709"/>
              <w:rPr>
                <w:b w:val="0"/>
                <w:color w:val="auto"/>
                <w:lang w:val="tr-TR"/>
              </w:rPr>
            </w:pPr>
            <w:r w:rsidRPr="00A23740">
              <w:rPr>
                <w:b w:val="0"/>
                <w:color w:val="auto"/>
                <w:lang w:val="tr-TR"/>
              </w:rPr>
              <w:t>(b) bendinde, borçlu icra emrinin gereğini yerine getirmezse taşınmazın zorla tahliye edilerek alacaklıya teslim edileceği yer almaktadır.</w:t>
            </w:r>
          </w:p>
          <w:p w:rsidR="00DE7486" w:rsidRDefault="006D041B" w:rsidP="009431FF">
            <w:pPr>
              <w:pStyle w:val="Mavi"/>
              <w:ind w:firstLine="709"/>
              <w:rPr>
                <w:b w:val="0"/>
                <w:color w:val="auto"/>
                <w:lang w:val="tr-TR"/>
              </w:rPr>
            </w:pPr>
            <w:r w:rsidRPr="00A23740">
              <w:rPr>
                <w:b w:val="0"/>
                <w:color w:val="auto"/>
                <w:lang w:val="tr-TR"/>
              </w:rPr>
              <w:t>(c) bendinde, alacaklıya teslim olunan taşınmaza haklı bir sebep olmaksızın tekrar giren borçlunun ayrıca mahkeme hükmüne gerek olmaksızın icra ve iflas dairesince taşınmazdan zorla çıkarılacağı</w:t>
            </w:r>
            <w:r w:rsidR="00DB44FC" w:rsidRPr="00A23740">
              <w:rPr>
                <w:b w:val="0"/>
                <w:color w:val="auto"/>
                <w:lang w:val="tr-TR"/>
              </w:rPr>
              <w:t>na</w:t>
            </w:r>
            <w:r w:rsidRPr="00A23740">
              <w:rPr>
                <w:b w:val="0"/>
                <w:color w:val="auto"/>
                <w:lang w:val="tr-TR"/>
              </w:rPr>
              <w:t xml:space="preserve"> ve ayrıca </w:t>
            </w:r>
            <w:r w:rsidR="0043739C" w:rsidRPr="00A23740">
              <w:rPr>
                <w:b w:val="0"/>
                <w:color w:val="auto"/>
                <w:lang w:val="tr-TR"/>
              </w:rPr>
              <w:t xml:space="preserve">hakkında cezai müeyyide uygulanabileceğine </w:t>
            </w:r>
            <w:r w:rsidRPr="00A23740">
              <w:rPr>
                <w:b w:val="0"/>
                <w:color w:val="auto"/>
                <w:lang w:val="tr-TR"/>
              </w:rPr>
              <w:t xml:space="preserve">ilişkin ihtar yer almaktadır. Bu hususlar icra emrinde </w:t>
            </w:r>
            <w:r w:rsidR="00DB44FC" w:rsidRPr="00A23740">
              <w:rPr>
                <w:b w:val="0"/>
                <w:color w:val="auto"/>
                <w:lang w:val="tr-TR"/>
              </w:rPr>
              <w:t>bulunmalı</w:t>
            </w:r>
            <w:r w:rsidR="0043739C" w:rsidRPr="00A23740">
              <w:rPr>
                <w:b w:val="0"/>
                <w:color w:val="auto"/>
                <w:lang w:val="tr-TR"/>
              </w:rPr>
              <w:t xml:space="preserve"> ve borçluya bildirilmelidir.</w:t>
            </w:r>
          </w:p>
          <w:p w:rsidR="009C5516" w:rsidRPr="00A23740" w:rsidRDefault="009C5516" w:rsidP="009431FF">
            <w:pPr>
              <w:pStyle w:val="Mavi"/>
              <w:ind w:firstLine="709"/>
              <w:rPr>
                <w:color w:val="auto"/>
                <w:lang w:val="tr-TR"/>
              </w:rPr>
            </w:pPr>
          </w:p>
          <w:p w:rsidR="00DE7486" w:rsidRPr="00A23740" w:rsidRDefault="00DE7486"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Fonts w:eastAsia="Times New Roman"/>
                <w:b/>
                <w:bCs/>
                <w:strike/>
                <w:color w:val="FF0000"/>
                <w:szCs w:val="24"/>
                <w:lang w:eastAsia="tr-TR"/>
              </w:rPr>
              <w:lastRenderedPageBreak/>
              <w:t>Taşın</w:t>
            </w:r>
            <w:r w:rsidRPr="00A23740">
              <w:rPr>
                <w:rStyle w:val="KIRMIZIChar"/>
                <w:rFonts w:eastAsia="Calibri"/>
              </w:rPr>
              <w:t>maz davalarında hükümlerin</w:t>
            </w:r>
            <w:r w:rsidRPr="00A23740">
              <w:rPr>
                <w:rStyle w:val="KIRMIZIChar"/>
                <w:rFonts w:eastAsia="Calibri"/>
                <w:strike w:val="0"/>
              </w:rPr>
              <w:t xml:space="preserve"> </w:t>
            </w:r>
            <w:r w:rsidRPr="00A23740">
              <w:rPr>
                <w:rFonts w:eastAsia="Times New Roman"/>
                <w:b/>
                <w:bCs/>
                <w:szCs w:val="24"/>
                <w:lang w:eastAsia="tr-TR"/>
              </w:rPr>
              <w:t xml:space="preserve">tapu </w:t>
            </w:r>
            <w:r w:rsidRPr="00A23740">
              <w:rPr>
                <w:rStyle w:val="KIRMIZIChar"/>
                <w:rFonts w:eastAsia="Calibri"/>
              </w:rPr>
              <w:t>sicil dairesine</w:t>
            </w:r>
            <w:r w:rsidRPr="00A23740">
              <w:rPr>
                <w:rFonts w:eastAsia="Times New Roman"/>
                <w:b/>
                <w:bCs/>
                <w:strike/>
                <w:color w:val="FF0000"/>
                <w:szCs w:val="24"/>
                <w:lang w:eastAsia="tr-TR"/>
              </w:rPr>
              <w:t xml:space="preserve"> tebliği:</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28</w:t>
            </w:r>
            <w:r w:rsidRPr="00A23740">
              <w:rPr>
                <w:rFonts w:eastAsia="Times New Roman"/>
                <w:b/>
                <w:bCs/>
                <w:strike/>
                <w:color w:val="FF0000"/>
                <w:szCs w:val="24"/>
                <w:lang w:eastAsia="tr-TR"/>
              </w:rPr>
              <w:t xml:space="preserve"> – (1) (Değişik: 14/1/2011-6103/41 md.)</w:t>
            </w:r>
          </w:p>
          <w:p w:rsidR="00155AF4" w:rsidRPr="00A23740" w:rsidRDefault="00155AF4" w:rsidP="009431FF">
            <w:pPr>
              <w:tabs>
                <w:tab w:val="left" w:pos="566"/>
              </w:tabs>
              <w:rPr>
                <w:rFonts w:eastAsia="ヒラギノ明朝 Pro W3"/>
                <w:szCs w:val="24"/>
                <w:lang w:eastAsia="tr-TR"/>
              </w:rPr>
            </w:pPr>
            <w:r w:rsidRPr="00A23740">
              <w:rPr>
                <w:rFonts w:eastAsia="ヒラギノ明朝 Pro W3"/>
                <w:szCs w:val="24"/>
                <w:lang w:eastAsia="tr-TR"/>
              </w:rPr>
              <w:t>Taşınmaz davalar</w:t>
            </w:r>
            <w:r w:rsidRPr="00A23740">
              <w:rPr>
                <w:rStyle w:val="KIRMIZIChar"/>
                <w:rFonts w:eastAsia="ヒラギノ明朝 Pro W3"/>
              </w:rPr>
              <w:t>ın</w:t>
            </w:r>
            <w:r w:rsidRPr="00A23740">
              <w:rPr>
                <w:rFonts w:eastAsia="ヒラギノ明朝 Pro W3"/>
                <w:szCs w:val="24"/>
                <w:lang w:eastAsia="tr-TR"/>
              </w:rPr>
              <w:t>da davacının lehine hüküm veril</w:t>
            </w:r>
            <w:r w:rsidRPr="00A23740">
              <w:rPr>
                <w:rStyle w:val="KIRMIZIChar"/>
                <w:rFonts w:eastAsia="ヒラギノ明朝 Pro W3"/>
              </w:rPr>
              <w:t xml:space="preserve">diği takdirde </w:t>
            </w:r>
            <w:r w:rsidRPr="00A23740">
              <w:rPr>
                <w:rFonts w:eastAsia="ヒラギノ明朝 Pro W3"/>
                <w:szCs w:val="24"/>
                <w:lang w:eastAsia="tr-TR"/>
              </w:rPr>
              <w:t xml:space="preserve">mahkeme </w:t>
            </w:r>
            <w:r w:rsidRPr="00A23740">
              <w:rPr>
                <w:rStyle w:val="KIRMIZIChar"/>
                <w:rFonts w:eastAsia="ヒラギノ明朝 Pro W3"/>
              </w:rPr>
              <w:t xml:space="preserve">davacının talebine </w:t>
            </w:r>
            <w:r w:rsidRPr="00A23740">
              <w:rPr>
                <w:rStyle w:val="KIRMIZIChar"/>
                <w:rFonts w:eastAsia="Calibri"/>
              </w:rPr>
              <w:t>hacet</w:t>
            </w:r>
            <w:r w:rsidRPr="00A23740">
              <w:rPr>
                <w:rStyle w:val="KIRMIZIChar"/>
                <w:rFonts w:eastAsia="ヒラギノ明朝 Pro W3"/>
              </w:rPr>
              <w:t xml:space="preserve"> kalmaksızın</w:t>
            </w:r>
            <w:r w:rsidRPr="00A23740">
              <w:rPr>
                <w:rFonts w:eastAsia="ヒラギノ明朝 Pro W3"/>
                <w:szCs w:val="24"/>
                <w:lang w:eastAsia="tr-TR"/>
              </w:rPr>
              <w:t xml:space="preserve"> hükmün tefhimi ile beraber </w:t>
            </w:r>
            <w:r w:rsidRPr="00A23740">
              <w:rPr>
                <w:rFonts w:eastAsia="Times New Roman"/>
                <w:b/>
                <w:bCs/>
                <w:strike/>
                <w:color w:val="FF0000"/>
                <w:szCs w:val="24"/>
                <w:lang w:eastAsia="tr-TR"/>
              </w:rPr>
              <w:t>hulasasını</w:t>
            </w:r>
            <w:r w:rsidRPr="00A23740">
              <w:rPr>
                <w:rFonts w:eastAsia="ヒラギノ明朝 Pro W3"/>
                <w:szCs w:val="24"/>
                <w:lang w:eastAsia="tr-TR"/>
              </w:rPr>
              <w:t xml:space="preserve"> tapu </w:t>
            </w:r>
            <w:r w:rsidRPr="00A23740">
              <w:rPr>
                <w:rStyle w:val="KIRMIZIChar"/>
                <w:rFonts w:eastAsia="ヒラギノ明朝 Pro W3"/>
              </w:rPr>
              <w:t>sicil</w:t>
            </w:r>
            <w:r w:rsidRPr="00A23740">
              <w:rPr>
                <w:rStyle w:val="KIRMIZIChar"/>
                <w:rFonts w:eastAsia="Calibri"/>
              </w:rPr>
              <w:t>i dairesine</w:t>
            </w:r>
            <w:r w:rsidRPr="00A23740">
              <w:rPr>
                <w:rFonts w:eastAsia="ヒラギノ明朝 Pro W3"/>
                <w:szCs w:val="24"/>
                <w:lang w:eastAsia="tr-TR"/>
              </w:rPr>
              <w:t xml:space="preserve"> bildirir. </w:t>
            </w:r>
            <w:r w:rsidRPr="00A23740">
              <w:rPr>
                <w:rStyle w:val="KIRMIZIChar"/>
                <w:rFonts w:eastAsia="ヒラギノ明朝 Pro W3"/>
              </w:rPr>
              <w:t xml:space="preserve">İlgili </w:t>
            </w:r>
            <w:r w:rsidRPr="00A23740">
              <w:rPr>
                <w:rStyle w:val="KIRMIZIChar"/>
                <w:rFonts w:eastAsia="Calibri"/>
              </w:rPr>
              <w:t>daire</w:t>
            </w:r>
            <w:r w:rsidRPr="00A23740">
              <w:rPr>
                <w:rStyle w:val="KIRMIZIChar"/>
                <w:rFonts w:eastAsia="ヒラギノ明朝 Pro W3"/>
              </w:rPr>
              <w:t xml:space="preserve"> bu </w:t>
            </w:r>
            <w:r w:rsidRPr="00A23740">
              <w:rPr>
                <w:rStyle w:val="KIRMIZIChar"/>
                <w:rFonts w:eastAsia="Calibri"/>
              </w:rPr>
              <w:t>ciheti</w:t>
            </w:r>
            <w:r w:rsidRPr="00A23740">
              <w:rPr>
                <w:rStyle w:val="KIRMIZIChar"/>
                <w:rFonts w:eastAsia="ヒラギノ明朝 Pro W3"/>
              </w:rPr>
              <w:t xml:space="preserve"> hükmolunan taşınmazın kaydına şerh verir. </w:t>
            </w:r>
            <w:r w:rsidRPr="00A23740">
              <w:rPr>
                <w:rFonts w:eastAsia="ヒラギノ明朝 Pro W3"/>
                <w:szCs w:val="24"/>
                <w:lang w:eastAsia="tr-TR"/>
              </w:rPr>
              <w:t>Bu şerh, Türk Medeni Kanununun 1010 uncu maddesinin ikinci fıkrası hükmüne tâbidir.</w:t>
            </w:r>
          </w:p>
          <w:p w:rsidR="00155AF4" w:rsidRPr="00A23740" w:rsidRDefault="00155AF4" w:rsidP="009431FF">
            <w:pPr>
              <w:tabs>
                <w:tab w:val="left" w:pos="566"/>
              </w:tabs>
              <w:rPr>
                <w:rFonts w:eastAsia="ヒラギノ明朝 Pro W3"/>
                <w:szCs w:val="24"/>
              </w:rPr>
            </w:pPr>
          </w:p>
          <w:p w:rsidR="00155AF4" w:rsidRPr="00A23740" w:rsidRDefault="00155AF4" w:rsidP="009431FF">
            <w:pPr>
              <w:tabs>
                <w:tab w:val="left" w:pos="566"/>
              </w:tabs>
              <w:rPr>
                <w:rFonts w:eastAsia="ヒラギノ明朝 Pro W3"/>
                <w:szCs w:val="24"/>
                <w:lang w:eastAsia="tr-TR"/>
              </w:rPr>
            </w:pPr>
            <w:r w:rsidRPr="00A23740">
              <w:rPr>
                <w:rStyle w:val="KIRMIZIChar"/>
                <w:rFonts w:eastAsia="ヒラギノ明朝 Pro W3"/>
              </w:rPr>
              <w:t>(2)</w:t>
            </w:r>
            <w:r w:rsidRPr="00A23740">
              <w:rPr>
                <w:rFonts w:eastAsia="ヒラギノ明朝 Pro W3"/>
                <w:szCs w:val="24"/>
                <w:lang w:eastAsia="tr-TR"/>
              </w:rPr>
              <w:t xml:space="preserve"> Taşınmaz </w:t>
            </w:r>
            <w:r w:rsidRPr="00A23740">
              <w:rPr>
                <w:rStyle w:val="KIRMIZIChar"/>
                <w:rFonts w:eastAsia="ヒラギノ明朝 Pro W3"/>
              </w:rPr>
              <w:t>davası üzerine</w:t>
            </w:r>
            <w:r w:rsidRPr="00A23740">
              <w:rPr>
                <w:rFonts w:eastAsia="ヒラギノ明朝 Pro W3"/>
                <w:szCs w:val="24"/>
                <w:lang w:eastAsia="tr-TR"/>
              </w:rPr>
              <w:t xml:space="preserve"> verilen </w:t>
            </w:r>
            <w:r w:rsidRPr="00A23740">
              <w:rPr>
                <w:rStyle w:val="KIRMIZIChar"/>
                <w:rFonts w:eastAsia="ヒラギノ明朝 Pro W3"/>
              </w:rPr>
              <w:t xml:space="preserve">karar </w:t>
            </w:r>
            <w:r w:rsidRPr="00A23740">
              <w:rPr>
                <w:rStyle w:val="KIRMIZIChar"/>
                <w:rFonts w:eastAsia="Calibri"/>
              </w:rPr>
              <w:t>ileride</w:t>
            </w:r>
            <w:r w:rsidRPr="00A23740">
              <w:rPr>
                <w:rFonts w:eastAsia="ヒラギノ明朝 Pro W3"/>
                <w:szCs w:val="24"/>
                <w:lang w:eastAsia="tr-TR"/>
              </w:rPr>
              <w:t xml:space="preserve"> davacı</w:t>
            </w:r>
            <w:r w:rsidRPr="00A23740">
              <w:rPr>
                <w:bCs/>
                <w:lang w:eastAsia="tr-TR"/>
              </w:rPr>
              <w:t>nın</w:t>
            </w:r>
            <w:r w:rsidRPr="00A23740">
              <w:rPr>
                <w:rFonts w:eastAsia="ヒラギノ明朝 Pro W3"/>
                <w:szCs w:val="24"/>
                <w:lang w:eastAsia="tr-TR"/>
              </w:rPr>
              <w:t xml:space="preserve"> aleyhine kesinleş</w:t>
            </w:r>
            <w:r w:rsidRPr="00A23740">
              <w:rPr>
                <w:rStyle w:val="KIRMIZIChar"/>
                <w:rFonts w:eastAsia="ヒラギノ明朝 Pro W3"/>
              </w:rPr>
              <w:t>irse</w:t>
            </w:r>
            <w:r w:rsidRPr="00A23740">
              <w:rPr>
                <w:rFonts w:eastAsia="ヒラギノ明朝 Pro W3"/>
                <w:szCs w:val="24"/>
                <w:lang w:eastAsia="tr-TR"/>
              </w:rPr>
              <w:t xml:space="preserve"> mahkeme, derhal bu hükmün </w:t>
            </w:r>
            <w:r w:rsidRPr="00A23740">
              <w:rPr>
                <w:rStyle w:val="KIRMIZIChar"/>
                <w:rFonts w:eastAsia="ヒラギノ明朝 Pro W3"/>
              </w:rPr>
              <w:t>hulasasını</w:t>
            </w:r>
            <w:r w:rsidRPr="00A23740">
              <w:rPr>
                <w:rFonts w:eastAsia="ヒラギノ明朝 Pro W3"/>
                <w:szCs w:val="24"/>
                <w:lang w:eastAsia="tr-TR"/>
              </w:rPr>
              <w:t xml:space="preserve"> </w:t>
            </w:r>
            <w:r w:rsidRPr="00A23740">
              <w:rPr>
                <w:rStyle w:val="KIRMIZIChar"/>
                <w:rFonts w:eastAsia="ヒラギノ明朝 Pro W3"/>
              </w:rPr>
              <w:t>da</w:t>
            </w:r>
            <w:r w:rsidRPr="00A23740">
              <w:rPr>
                <w:rFonts w:eastAsia="ヒラギノ明朝 Pro W3"/>
                <w:szCs w:val="24"/>
                <w:lang w:eastAsia="tr-TR"/>
              </w:rPr>
              <w:t xml:space="preserve"> tapu </w:t>
            </w:r>
            <w:r w:rsidRPr="00A23740">
              <w:rPr>
                <w:rStyle w:val="KIRMIZIChar"/>
                <w:rFonts w:eastAsia="ヒラギノ明朝 Pro W3"/>
              </w:rPr>
              <w:t>sicil</w:t>
            </w:r>
            <w:r w:rsidRPr="00A23740">
              <w:rPr>
                <w:rStyle w:val="KIRMIZIChar"/>
                <w:rFonts w:eastAsia="Calibri"/>
              </w:rPr>
              <w:t>i</w:t>
            </w:r>
            <w:r w:rsidRPr="00A23740">
              <w:rPr>
                <w:rFonts w:eastAsia="Times New Roman"/>
                <w:b/>
                <w:bCs/>
                <w:strike/>
                <w:color w:val="FF0000"/>
                <w:szCs w:val="24"/>
                <w:lang w:eastAsia="tr-TR"/>
              </w:rPr>
              <w:t xml:space="preserve"> dairesine</w:t>
            </w:r>
            <w:r w:rsidRPr="00A23740">
              <w:rPr>
                <w:rFonts w:eastAsia="ヒラギノ明朝 Pro W3"/>
                <w:szCs w:val="24"/>
                <w:lang w:eastAsia="tr-TR"/>
              </w:rPr>
              <w:t xml:space="preserve"> bildirir.</w:t>
            </w:r>
          </w:p>
          <w:p w:rsidR="00155AF4" w:rsidRPr="00A23740" w:rsidRDefault="00155AF4" w:rsidP="009431FF">
            <w:pPr>
              <w:tabs>
                <w:tab w:val="left" w:pos="540"/>
              </w:tabs>
              <w:outlineLvl w:val="0"/>
              <w:rPr>
                <w:rFonts w:eastAsia="Times New Roman"/>
                <w:b/>
                <w:bCs/>
                <w:szCs w:val="24"/>
                <w:lang w:eastAsia="tr-TR"/>
              </w:rPr>
            </w:pPr>
          </w:p>
        </w:tc>
        <w:tc>
          <w:tcPr>
            <w:tcW w:w="2500" w:type="pct"/>
          </w:tcPr>
          <w:p w:rsidR="00155AF4" w:rsidRPr="00A23740" w:rsidRDefault="00155AF4" w:rsidP="009431FF">
            <w:pPr>
              <w:rPr>
                <w:rFonts w:eastAsia="Times New Roman"/>
                <w:b/>
                <w:bCs/>
                <w:color w:val="0000FF"/>
                <w:szCs w:val="24"/>
                <w:lang w:eastAsia="tr-TR"/>
              </w:rPr>
            </w:pPr>
            <w:r w:rsidRPr="00A23740">
              <w:rPr>
                <w:rStyle w:val="MaviChar"/>
              </w:rPr>
              <w:t>Hükmün</w:t>
            </w:r>
            <w:r w:rsidRPr="00A23740">
              <w:rPr>
                <w:rFonts w:eastAsia="Times New Roman"/>
                <w:szCs w:val="24"/>
                <w:lang w:eastAsia="tr-TR"/>
              </w:rPr>
              <w:t xml:space="preserve"> </w:t>
            </w:r>
            <w:r w:rsidRPr="00A23740">
              <w:rPr>
                <w:rFonts w:eastAsia="Times New Roman"/>
                <w:b/>
                <w:szCs w:val="24"/>
                <w:lang w:eastAsia="tr-TR"/>
              </w:rPr>
              <w:t xml:space="preserve">tapu </w:t>
            </w:r>
            <w:r w:rsidRPr="00A23740">
              <w:rPr>
                <w:rStyle w:val="MaviChar"/>
              </w:rPr>
              <w:t>müdürlüğüne bildirilmesi</w:t>
            </w:r>
          </w:p>
          <w:p w:rsidR="00155AF4" w:rsidRPr="00A23740" w:rsidRDefault="00155AF4" w:rsidP="009431FF">
            <w:pPr>
              <w:rPr>
                <w:rFonts w:eastAsia="ヒラギノ明朝 Pro W3"/>
                <w:szCs w:val="24"/>
                <w:lang w:eastAsia="tr-TR"/>
              </w:rPr>
            </w:pPr>
            <w:r w:rsidRPr="00A23740">
              <w:rPr>
                <w:rStyle w:val="MaviChar"/>
              </w:rPr>
              <w:t>MADDE 72- (1)</w:t>
            </w:r>
            <w:r w:rsidRPr="00A23740">
              <w:rPr>
                <w:rFonts w:eastAsia="Times New Roman"/>
                <w:b/>
                <w:bCs/>
                <w:color w:val="0000FF"/>
                <w:szCs w:val="24"/>
                <w:lang w:eastAsia="tr-TR"/>
              </w:rPr>
              <w:t xml:space="preserve"> </w:t>
            </w:r>
            <w:r w:rsidRPr="00A23740">
              <w:rPr>
                <w:rFonts w:eastAsia="Times New Roman"/>
                <w:szCs w:val="24"/>
                <w:lang w:eastAsia="tr-TR"/>
              </w:rPr>
              <w:t>Taşınmaz</w:t>
            </w:r>
            <w:r w:rsidRPr="00A23740">
              <w:rPr>
                <w:rStyle w:val="MaviChar"/>
              </w:rPr>
              <w:t xml:space="preserve">ın aynına ilişkin </w:t>
            </w:r>
            <w:r w:rsidRPr="00A23740">
              <w:rPr>
                <w:rFonts w:eastAsia="Times New Roman"/>
                <w:szCs w:val="24"/>
                <w:lang w:eastAsia="tr-TR"/>
              </w:rPr>
              <w:t>davalarda davacının lehine hüküm veril</w:t>
            </w:r>
            <w:r w:rsidRPr="00A23740">
              <w:rPr>
                <w:rStyle w:val="MaviChar"/>
                <w:lang w:val="tr-TR"/>
              </w:rPr>
              <w:t>mesi h</w:t>
            </w:r>
            <w:r w:rsidR="002F2BAA" w:rsidRPr="00A23740">
              <w:rPr>
                <w:rStyle w:val="MaviChar"/>
                <w:lang w:val="tr-TR"/>
              </w:rPr>
              <w:t>â</w:t>
            </w:r>
            <w:r w:rsidRPr="00A23740">
              <w:rPr>
                <w:rStyle w:val="MaviChar"/>
                <w:lang w:val="tr-TR"/>
              </w:rPr>
              <w:t>linde</w:t>
            </w:r>
            <w:r w:rsidRPr="00A23740">
              <w:rPr>
                <w:rFonts w:eastAsia="Times New Roman"/>
                <w:b/>
                <w:bCs/>
                <w:lang w:eastAsia="tr-TR"/>
              </w:rPr>
              <w:t xml:space="preserve"> </w:t>
            </w:r>
            <w:r w:rsidRPr="00A23740">
              <w:rPr>
                <w:rFonts w:eastAsia="Times New Roman"/>
                <w:szCs w:val="24"/>
                <w:lang w:eastAsia="tr-TR"/>
              </w:rPr>
              <w:t>mahkeme</w:t>
            </w:r>
            <w:r w:rsidR="00E643FC" w:rsidRPr="00A23740">
              <w:rPr>
                <w:rFonts w:eastAsia="Times New Roman"/>
                <w:szCs w:val="24"/>
                <w:lang w:eastAsia="tr-TR"/>
              </w:rPr>
              <w:t>,</w:t>
            </w:r>
            <w:r w:rsidRPr="00A23740">
              <w:rPr>
                <w:rFonts w:eastAsia="Times New Roman"/>
                <w:szCs w:val="24"/>
                <w:lang w:eastAsia="tr-TR"/>
              </w:rPr>
              <w:t xml:space="preserve"> hükmün tefhimi ile beraber </w:t>
            </w:r>
            <w:r w:rsidRPr="00A23740">
              <w:rPr>
                <w:rStyle w:val="MaviChar"/>
                <w:lang w:val="tr-TR"/>
              </w:rPr>
              <w:t>sonucunu</w:t>
            </w:r>
            <w:r w:rsidRPr="00A23740">
              <w:rPr>
                <w:rFonts w:eastAsia="Times New Roman"/>
                <w:szCs w:val="24"/>
                <w:lang w:eastAsia="tr-TR"/>
              </w:rPr>
              <w:t xml:space="preserve">, </w:t>
            </w:r>
            <w:r w:rsidRPr="00A23740">
              <w:rPr>
                <w:rStyle w:val="MaviChar"/>
                <w:lang w:val="tr-TR"/>
              </w:rPr>
              <w:t>ilgili taşınmazın tapu kaydına şerh verilmesi için</w:t>
            </w:r>
            <w:r w:rsidRPr="00A23740">
              <w:rPr>
                <w:rFonts w:eastAsia="Times New Roman"/>
                <w:szCs w:val="24"/>
                <w:lang w:eastAsia="tr-TR"/>
              </w:rPr>
              <w:t xml:space="preserve"> tapu </w:t>
            </w:r>
            <w:r w:rsidRPr="00A23740">
              <w:rPr>
                <w:rStyle w:val="MaviChar"/>
                <w:lang w:val="tr-TR"/>
              </w:rPr>
              <w:t>müdürlüğüne resen</w:t>
            </w:r>
            <w:r w:rsidRPr="00A23740">
              <w:rPr>
                <w:rFonts w:eastAsia="Times New Roman"/>
                <w:szCs w:val="24"/>
                <w:lang w:eastAsia="tr-TR"/>
              </w:rPr>
              <w:t xml:space="preserve"> bildirir. Bu şerh, Türk Medeni Kanununun 1010 uncu maddesinin ikinci fıkrası hükmüne t</w:t>
            </w:r>
            <w:r w:rsidR="00D81869" w:rsidRPr="00A23740">
              <w:rPr>
                <w:rFonts w:eastAsia="Times New Roman"/>
                <w:szCs w:val="24"/>
                <w:lang w:eastAsia="tr-TR"/>
              </w:rPr>
              <w:t>a</w:t>
            </w:r>
            <w:r w:rsidRPr="00A23740">
              <w:rPr>
                <w:rFonts w:eastAsia="Times New Roman"/>
                <w:szCs w:val="24"/>
                <w:lang w:eastAsia="tr-TR"/>
              </w:rPr>
              <w:t xml:space="preserve">bidir. </w:t>
            </w: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p>
          <w:p w:rsidR="00155AF4" w:rsidRPr="00A23740" w:rsidRDefault="00155AF4" w:rsidP="009431FF">
            <w:pPr>
              <w:tabs>
                <w:tab w:val="left" w:pos="566"/>
              </w:tabs>
              <w:rPr>
                <w:rFonts w:eastAsia="ヒラギノ明朝 Pro W3"/>
                <w:szCs w:val="24"/>
                <w:lang w:eastAsia="tr-TR"/>
              </w:rPr>
            </w:pPr>
            <w:r w:rsidRPr="00A23740">
              <w:rPr>
                <w:rStyle w:val="MaviChar"/>
              </w:rPr>
              <w:t>(2)</w:t>
            </w:r>
            <w:r w:rsidRPr="00A23740">
              <w:rPr>
                <w:rFonts w:eastAsia="Times New Roman"/>
                <w:szCs w:val="24"/>
                <w:lang w:eastAsia="tr-TR"/>
              </w:rPr>
              <w:t xml:space="preserve"> </w:t>
            </w:r>
            <w:r w:rsidRPr="00A23740">
              <w:rPr>
                <w:rFonts w:eastAsia="ヒラギノ明朝 Pro W3"/>
                <w:szCs w:val="24"/>
                <w:lang w:eastAsia="tr-TR"/>
              </w:rPr>
              <w:t>Taşınmaz</w:t>
            </w:r>
            <w:r w:rsidRPr="00A23740">
              <w:rPr>
                <w:rStyle w:val="MaviChar"/>
              </w:rPr>
              <w:t xml:space="preserve">ın aynına ilişkin </w:t>
            </w:r>
            <w:r w:rsidR="00163839" w:rsidRPr="00A23740">
              <w:rPr>
                <w:rStyle w:val="MaviChar"/>
                <w:lang w:val="tr-TR"/>
              </w:rPr>
              <w:t xml:space="preserve">davalarda </w:t>
            </w:r>
            <w:r w:rsidR="00163839" w:rsidRPr="00A23740">
              <w:rPr>
                <w:rFonts w:eastAsia="ヒラギノ明朝 Pro W3"/>
                <w:bCs/>
                <w:lang w:eastAsia="tr-TR"/>
              </w:rPr>
              <w:t xml:space="preserve">davacının </w:t>
            </w:r>
            <w:r w:rsidRPr="00A23740">
              <w:rPr>
                <w:rFonts w:eastAsia="ヒラギノ明朝 Pro W3"/>
                <w:szCs w:val="24"/>
                <w:lang w:eastAsia="tr-TR"/>
              </w:rPr>
              <w:t xml:space="preserve">aleyhine </w:t>
            </w:r>
            <w:r w:rsidR="00163839" w:rsidRPr="00A23740">
              <w:rPr>
                <w:rFonts w:eastAsia="ヒラギノ明朝 Pro W3"/>
                <w:bCs/>
                <w:lang w:eastAsia="tr-TR"/>
              </w:rPr>
              <w:t xml:space="preserve">verilen </w:t>
            </w:r>
            <w:r w:rsidR="00163839" w:rsidRPr="00A23740">
              <w:rPr>
                <w:rStyle w:val="MaviChar"/>
              </w:rPr>
              <w:t>hükmün</w:t>
            </w:r>
            <w:r w:rsidR="00163839" w:rsidRPr="00A23740">
              <w:rPr>
                <w:rFonts w:eastAsia="ヒラギノ明朝 Pro W3"/>
                <w:bCs/>
                <w:lang w:eastAsia="tr-TR"/>
              </w:rPr>
              <w:t xml:space="preserve"> kesinleş</w:t>
            </w:r>
            <w:r w:rsidR="00163839" w:rsidRPr="00A23740">
              <w:rPr>
                <w:rStyle w:val="MaviChar"/>
              </w:rPr>
              <w:t>mesi h</w:t>
            </w:r>
            <w:r w:rsidR="002F2BAA" w:rsidRPr="00A23740">
              <w:rPr>
                <w:rStyle w:val="MaviChar"/>
                <w:lang w:val="tr-TR"/>
              </w:rPr>
              <w:t>â</w:t>
            </w:r>
            <w:r w:rsidR="00163839" w:rsidRPr="00A23740">
              <w:rPr>
                <w:rStyle w:val="MaviChar"/>
              </w:rPr>
              <w:t xml:space="preserve">linde </w:t>
            </w:r>
            <w:r w:rsidRPr="00A23740">
              <w:rPr>
                <w:rFonts w:eastAsia="ヒラギノ明朝 Pro W3"/>
                <w:szCs w:val="24"/>
                <w:lang w:eastAsia="tr-TR"/>
              </w:rPr>
              <w:t xml:space="preserve">mahkeme, bu hükmün </w:t>
            </w:r>
            <w:r w:rsidRPr="00A23740">
              <w:rPr>
                <w:rStyle w:val="MaviChar"/>
                <w:lang w:val="tr-TR"/>
              </w:rPr>
              <w:t>sonucunu</w:t>
            </w:r>
            <w:r w:rsidRPr="00A23740">
              <w:rPr>
                <w:rFonts w:eastAsia="ヒラギノ明朝 Pro W3"/>
                <w:szCs w:val="24"/>
                <w:lang w:eastAsia="tr-TR"/>
              </w:rPr>
              <w:t xml:space="preserve"> derh</w:t>
            </w:r>
            <w:r w:rsidR="00DF22A1" w:rsidRPr="00A23740">
              <w:rPr>
                <w:rFonts w:eastAsia="ヒラギノ明朝 Pro W3"/>
                <w:szCs w:val="24"/>
                <w:lang w:eastAsia="tr-TR"/>
              </w:rPr>
              <w:t>â</w:t>
            </w:r>
            <w:r w:rsidRPr="00A23740">
              <w:rPr>
                <w:rFonts w:eastAsia="ヒラギノ明朝 Pro W3"/>
                <w:szCs w:val="24"/>
                <w:lang w:eastAsia="tr-TR"/>
              </w:rPr>
              <w:t xml:space="preserve">l tapu </w:t>
            </w:r>
            <w:r w:rsidRPr="00A23740">
              <w:rPr>
                <w:rStyle w:val="MaviChar"/>
              </w:rPr>
              <w:t>müdürlüğüne</w:t>
            </w:r>
            <w:r w:rsidRPr="00A23740">
              <w:rPr>
                <w:rFonts w:eastAsia="ヒラギノ明朝 Pro W3"/>
                <w:szCs w:val="24"/>
                <w:lang w:eastAsia="tr-TR"/>
              </w:rPr>
              <w:t xml:space="preserve"> bildirir.</w:t>
            </w:r>
          </w:p>
          <w:p w:rsidR="00155AF4" w:rsidRPr="00A23740" w:rsidRDefault="00155AF4" w:rsidP="009431FF">
            <w:pPr>
              <w:rPr>
                <w:rFonts w:eastAsia="ヒラギノ明朝 Pro W3"/>
                <w:b/>
                <w:color w:val="FF0000"/>
                <w:szCs w:val="24"/>
                <w:lang w:eastAsia="tr-TR"/>
              </w:rPr>
            </w:pPr>
          </w:p>
        </w:tc>
      </w:tr>
      <w:tr w:rsidR="00155AF4" w:rsidRPr="00A23740" w:rsidTr="009431FF">
        <w:tc>
          <w:tcPr>
            <w:tcW w:w="5000" w:type="pct"/>
            <w:gridSpan w:val="2"/>
            <w:shd w:val="clear" w:color="auto" w:fill="DEEAF6"/>
          </w:tcPr>
          <w:p w:rsidR="00DE7486" w:rsidRPr="00A23740" w:rsidRDefault="00DE7486" w:rsidP="009431FF">
            <w:pPr>
              <w:pStyle w:val="Mavi"/>
              <w:ind w:firstLine="709"/>
              <w:rPr>
                <w:color w:val="auto"/>
                <w:lang w:val="tr-TR"/>
              </w:rPr>
            </w:pPr>
          </w:p>
          <w:p w:rsidR="00356249" w:rsidRPr="00A23740" w:rsidRDefault="00DE7486" w:rsidP="009431FF">
            <w:pPr>
              <w:pStyle w:val="Mavi"/>
              <w:ind w:firstLine="709"/>
              <w:rPr>
                <w:b w:val="0"/>
                <w:color w:val="auto"/>
                <w:lang w:val="tr-TR"/>
              </w:rPr>
            </w:pPr>
            <w:r w:rsidRPr="00A23740">
              <w:rPr>
                <w:color w:val="auto"/>
                <w:lang w:val="tr-TR"/>
              </w:rPr>
              <w:t xml:space="preserve">MADDE 72- </w:t>
            </w:r>
            <w:r w:rsidRPr="00A23740">
              <w:rPr>
                <w:b w:val="0"/>
                <w:color w:val="auto"/>
                <w:lang w:val="tr-TR"/>
              </w:rPr>
              <w:t>Madde</w:t>
            </w:r>
            <w:r w:rsidR="00356249" w:rsidRPr="00A23740">
              <w:rPr>
                <w:b w:val="0"/>
                <w:color w:val="auto"/>
                <w:lang w:val="tr-TR"/>
              </w:rPr>
              <w:t>yle</w:t>
            </w:r>
            <w:r w:rsidRPr="00A23740">
              <w:rPr>
                <w:b w:val="0"/>
                <w:color w:val="auto"/>
                <w:lang w:val="tr-TR"/>
              </w:rPr>
              <w:t>,</w:t>
            </w:r>
            <w:r w:rsidR="00163839" w:rsidRPr="00A23740">
              <w:rPr>
                <w:b w:val="0"/>
                <w:color w:val="auto"/>
                <w:lang w:val="tr-TR"/>
              </w:rPr>
              <w:t xml:space="preserve"> taşınmazın aynına ilişkin davalarda verilen</w:t>
            </w:r>
            <w:r w:rsidRPr="00A23740">
              <w:rPr>
                <w:b w:val="0"/>
                <w:color w:val="auto"/>
                <w:lang w:val="tr-TR"/>
              </w:rPr>
              <w:t xml:space="preserve"> hükmün tapu </w:t>
            </w:r>
            <w:r w:rsidR="00356249" w:rsidRPr="00A23740">
              <w:rPr>
                <w:b w:val="0"/>
                <w:color w:val="auto"/>
                <w:lang w:val="tr-TR"/>
              </w:rPr>
              <w:t>müdürlüğüne bildirilmesi düzenlenmektedir. Hüküm, 2004 sayılı Kanunun 28 nci maddesine karşılık gelmekte olup dili sadeleştirilmek suretiyle muhafaza edilmektedir.</w:t>
            </w:r>
          </w:p>
          <w:p w:rsidR="00356249" w:rsidRPr="00A23740" w:rsidRDefault="00356249" w:rsidP="009431FF">
            <w:pPr>
              <w:pStyle w:val="Mavi"/>
              <w:ind w:firstLine="709"/>
              <w:rPr>
                <w:b w:val="0"/>
                <w:color w:val="auto"/>
                <w:lang w:val="tr-TR"/>
              </w:rPr>
            </w:pPr>
            <w:r w:rsidRPr="00A23740">
              <w:rPr>
                <w:b w:val="0"/>
                <w:color w:val="auto"/>
                <w:lang w:val="tr-TR"/>
              </w:rPr>
              <w:t>Birinci fıkrayla, taşınmazın aynına ilişkin davalarda davacının lehine hüküm verilmesi h</w:t>
            </w:r>
            <w:r w:rsidR="002F2BAA" w:rsidRPr="00A23740">
              <w:rPr>
                <w:b w:val="0"/>
                <w:color w:val="auto"/>
                <w:lang w:val="tr-TR"/>
              </w:rPr>
              <w:t>â</w:t>
            </w:r>
            <w:r w:rsidRPr="00A23740">
              <w:rPr>
                <w:b w:val="0"/>
                <w:color w:val="auto"/>
                <w:lang w:val="tr-TR"/>
              </w:rPr>
              <w:t xml:space="preserve">linde </w:t>
            </w:r>
            <w:r w:rsidR="00DB44FC" w:rsidRPr="00A23740">
              <w:rPr>
                <w:b w:val="0"/>
                <w:color w:val="auto"/>
                <w:lang w:val="tr-TR"/>
              </w:rPr>
              <w:t xml:space="preserve">kararın </w:t>
            </w:r>
            <w:r w:rsidRPr="00A23740">
              <w:rPr>
                <w:b w:val="0"/>
                <w:color w:val="auto"/>
                <w:lang w:val="tr-TR"/>
              </w:rPr>
              <w:t>tefhimi</w:t>
            </w:r>
            <w:r w:rsidR="00DB44FC" w:rsidRPr="00A23740">
              <w:rPr>
                <w:b w:val="0"/>
                <w:color w:val="auto"/>
                <w:lang w:val="tr-TR"/>
              </w:rPr>
              <w:t>yle</w:t>
            </w:r>
            <w:r w:rsidRPr="00A23740">
              <w:rPr>
                <w:b w:val="0"/>
                <w:color w:val="auto"/>
                <w:lang w:val="tr-TR"/>
              </w:rPr>
              <w:t xml:space="preserve"> beraber sonucunu</w:t>
            </w:r>
            <w:r w:rsidR="00DB44FC" w:rsidRPr="00A23740">
              <w:rPr>
                <w:b w:val="0"/>
                <w:color w:val="auto"/>
                <w:lang w:val="tr-TR"/>
              </w:rPr>
              <w:t>n</w:t>
            </w:r>
            <w:r w:rsidRPr="00A23740">
              <w:rPr>
                <w:b w:val="0"/>
                <w:color w:val="auto"/>
                <w:lang w:val="tr-TR"/>
              </w:rPr>
              <w:t xml:space="preserve"> ilgili taşınmazın tapu kaydına şerh verilmesi için </w:t>
            </w:r>
            <w:r w:rsidR="00DB44FC" w:rsidRPr="00A23740">
              <w:rPr>
                <w:b w:val="0"/>
                <w:color w:val="auto"/>
                <w:lang w:val="tr-TR"/>
              </w:rPr>
              <w:t xml:space="preserve">mahkemece </w:t>
            </w:r>
            <w:r w:rsidRPr="00A23740">
              <w:rPr>
                <w:b w:val="0"/>
                <w:color w:val="auto"/>
                <w:lang w:val="tr-TR"/>
              </w:rPr>
              <w:t>tapu müdürlüğüne resen bildirileceği hükme bağlanmaktadır. Bu şerh, 4721 sayılı</w:t>
            </w:r>
            <w:r w:rsidR="008F75C3" w:rsidRPr="00A23740">
              <w:rPr>
                <w:b w:val="0"/>
                <w:color w:val="auto"/>
                <w:lang w:val="tr-TR"/>
              </w:rPr>
              <w:t xml:space="preserve"> </w:t>
            </w:r>
            <w:r w:rsidR="008F75C3" w:rsidRPr="008D10FA">
              <w:rPr>
                <w:rStyle w:val="KonuBalChar"/>
                <w:rFonts w:eastAsia="Calibri"/>
                <w:color w:val="auto"/>
              </w:rPr>
              <w:t>Kanunun</w:t>
            </w:r>
            <w:r w:rsidRPr="00A23740">
              <w:rPr>
                <w:b w:val="0"/>
                <w:color w:val="auto"/>
                <w:lang w:val="tr-TR"/>
              </w:rPr>
              <w:t xml:space="preserve"> 1010 uncu maddesinin ikinci fıkrası hükmüne t</w:t>
            </w:r>
            <w:r w:rsidR="00D81869" w:rsidRPr="00A23740">
              <w:rPr>
                <w:b w:val="0"/>
                <w:color w:val="auto"/>
                <w:lang w:val="tr-TR"/>
              </w:rPr>
              <w:t>a</w:t>
            </w:r>
            <w:r w:rsidRPr="00A23740">
              <w:rPr>
                <w:b w:val="0"/>
                <w:color w:val="auto"/>
                <w:lang w:val="tr-TR"/>
              </w:rPr>
              <w:t>bidir.</w:t>
            </w:r>
            <w:r w:rsidR="00E24BD2" w:rsidRPr="00A23740">
              <w:rPr>
                <w:b w:val="0"/>
                <w:color w:val="auto"/>
                <w:lang w:val="tr-TR"/>
              </w:rPr>
              <w:t xml:space="preserve"> 2004 sayılı Kanunun 28 inci maddesinin birinci fıkrasında yer alan “taşınmaz davaları” terimi yerine “taşınmazın aynına ilişkin davalar” terimi tercih edilmektedir. Bu terimin kuvvetlendirilmiş şahsi hakları da kapyasacak şekilde geniş yorumlanması gerekir.</w:t>
            </w:r>
            <w:r w:rsidR="00163839" w:rsidRPr="00A23740">
              <w:rPr>
                <w:b w:val="0"/>
                <w:color w:val="auto"/>
                <w:lang w:val="tr-TR"/>
              </w:rPr>
              <w:t xml:space="preserve"> Mahkemenin bildirimi resen yapması gerekmektedir. Hükümde yer alan </w:t>
            </w:r>
            <w:r w:rsidR="00DB44FC" w:rsidRPr="00A23740">
              <w:rPr>
                <w:b w:val="0"/>
                <w:color w:val="auto"/>
                <w:lang w:val="tr-TR"/>
              </w:rPr>
              <w:t>“</w:t>
            </w:r>
            <w:r w:rsidR="00163839" w:rsidRPr="00A23740">
              <w:rPr>
                <w:b w:val="0"/>
                <w:color w:val="auto"/>
                <w:lang w:val="tr-TR"/>
              </w:rPr>
              <w:t>mahkeme</w:t>
            </w:r>
            <w:r w:rsidR="00DB44FC" w:rsidRPr="00A23740">
              <w:rPr>
                <w:b w:val="0"/>
                <w:color w:val="auto"/>
                <w:lang w:val="tr-TR"/>
              </w:rPr>
              <w:t>”</w:t>
            </w:r>
            <w:r w:rsidR="00163839" w:rsidRPr="00A23740">
              <w:rPr>
                <w:b w:val="0"/>
                <w:color w:val="auto"/>
                <w:lang w:val="tr-TR"/>
              </w:rPr>
              <w:t xml:space="preserve"> </w:t>
            </w:r>
            <w:r w:rsidR="00DB44FC" w:rsidRPr="00A23740">
              <w:rPr>
                <w:b w:val="0"/>
                <w:color w:val="auto"/>
                <w:lang w:val="tr-TR"/>
              </w:rPr>
              <w:t xml:space="preserve">terimiyle </w:t>
            </w:r>
            <w:r w:rsidR="00163839" w:rsidRPr="00A23740">
              <w:rPr>
                <w:b w:val="0"/>
                <w:color w:val="auto"/>
                <w:lang w:val="tr-TR"/>
              </w:rPr>
              <w:t>kastedilen ilk derece mahkemeleridir.</w:t>
            </w:r>
            <w:r w:rsidR="00E24BD2" w:rsidRPr="00A23740">
              <w:rPr>
                <w:b w:val="0"/>
                <w:color w:val="auto"/>
                <w:lang w:val="tr-TR"/>
              </w:rPr>
              <w:t xml:space="preserve"> 6100 sayılı Kanunun 302 nci maddesinin beşinci fıkrasında, kanun yollarından geçmek suretiyle kesinleşme kaydı yapılan kararların  yerine getirilmesi için gerekli bildirimlerin ilk derece mahkemesince yapılacağı belirtildiğinden</w:t>
            </w:r>
            <w:r w:rsidR="00656484" w:rsidRPr="00A23740">
              <w:rPr>
                <w:b w:val="0"/>
                <w:color w:val="auto"/>
                <w:lang w:val="tr-TR"/>
              </w:rPr>
              <w:t>,</w:t>
            </w:r>
            <w:r w:rsidR="00E24BD2" w:rsidRPr="00A23740">
              <w:rPr>
                <w:b w:val="0"/>
                <w:color w:val="auto"/>
                <w:lang w:val="tr-TR"/>
              </w:rPr>
              <w:t xml:space="preserve"> bölge adliye mahkemesince verilen kararlar uyarınca bu madde kapsamında yapılması gereken bildirimler de ilk derece mahkemeleri tarafından yerine getirilir.</w:t>
            </w:r>
          </w:p>
          <w:p w:rsidR="00656484" w:rsidRPr="00A23740" w:rsidRDefault="00356249" w:rsidP="009431FF">
            <w:pPr>
              <w:pStyle w:val="Mavi"/>
              <w:ind w:firstLine="709"/>
              <w:rPr>
                <w:b w:val="0"/>
                <w:color w:val="auto"/>
                <w:lang w:val="tr-TR"/>
              </w:rPr>
            </w:pPr>
            <w:r w:rsidRPr="00A23740">
              <w:rPr>
                <w:b w:val="0"/>
                <w:color w:val="auto"/>
                <w:lang w:val="tr-TR"/>
              </w:rPr>
              <w:t xml:space="preserve">İkinci fıkrayla, taşınmazın aynına ilişkin </w:t>
            </w:r>
            <w:r w:rsidR="00163839" w:rsidRPr="00A23740">
              <w:rPr>
                <w:b w:val="0"/>
                <w:color w:val="auto"/>
                <w:lang w:val="tr-TR"/>
              </w:rPr>
              <w:t xml:space="preserve">davalarda davacı aleyhine verilen </w:t>
            </w:r>
            <w:r w:rsidRPr="00A23740">
              <w:rPr>
                <w:b w:val="0"/>
                <w:color w:val="auto"/>
                <w:lang w:val="tr-TR"/>
              </w:rPr>
              <w:t>hükmün kesinleşmesi h</w:t>
            </w:r>
            <w:r w:rsidR="002F2BAA" w:rsidRPr="00A23740">
              <w:rPr>
                <w:b w:val="0"/>
                <w:color w:val="auto"/>
                <w:lang w:val="tr-TR"/>
              </w:rPr>
              <w:t>â</w:t>
            </w:r>
            <w:r w:rsidRPr="00A23740">
              <w:rPr>
                <w:b w:val="0"/>
                <w:color w:val="auto"/>
                <w:lang w:val="tr-TR"/>
              </w:rPr>
              <w:t>linde mahkemenin, bu hükmün sonucunu derh</w:t>
            </w:r>
            <w:r w:rsidR="00DF22A1" w:rsidRPr="00A23740">
              <w:rPr>
                <w:b w:val="0"/>
                <w:color w:val="auto"/>
                <w:lang w:val="tr-TR"/>
              </w:rPr>
              <w:t>â</w:t>
            </w:r>
            <w:r w:rsidRPr="00A23740">
              <w:rPr>
                <w:b w:val="0"/>
                <w:color w:val="auto"/>
                <w:lang w:val="tr-TR"/>
              </w:rPr>
              <w:t xml:space="preserve">l tapu müdürlüğüne bildireceği </w:t>
            </w:r>
            <w:r w:rsidR="00DB44FC" w:rsidRPr="00A23740">
              <w:rPr>
                <w:b w:val="0"/>
                <w:color w:val="auto"/>
                <w:lang w:val="tr-TR"/>
              </w:rPr>
              <w:t xml:space="preserve">hususu </w:t>
            </w:r>
            <w:r w:rsidRPr="00A23740">
              <w:rPr>
                <w:b w:val="0"/>
                <w:color w:val="auto"/>
                <w:lang w:val="tr-TR"/>
              </w:rPr>
              <w:t>düzenlenmektedir.</w:t>
            </w:r>
          </w:p>
          <w:p w:rsidR="00DE7486" w:rsidRPr="00A23740" w:rsidRDefault="00DE7486"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widowControl w:val="0"/>
              <w:rPr>
                <w:lang w:val="tr-TR"/>
              </w:rPr>
            </w:pPr>
            <w:r w:rsidRPr="00A23740">
              <w:rPr>
                <w:lang w:val="tr-TR"/>
              </w:rPr>
              <w:t>Taşınmaz tahliye ve teslimi :</w:t>
            </w:r>
          </w:p>
          <w:p w:rsidR="00155AF4" w:rsidRPr="00A23740" w:rsidRDefault="00155AF4" w:rsidP="009431FF">
            <w:pPr>
              <w:pStyle w:val="KIRMIZI"/>
              <w:widowControl w:val="0"/>
              <w:rPr>
                <w:lang w:val="tr-TR"/>
              </w:rPr>
            </w:pPr>
            <w:r w:rsidRPr="00A23740">
              <w:rPr>
                <w:lang w:val="tr-TR"/>
              </w:rPr>
              <w:t>1 – Borçlunun elinde ise:</w:t>
            </w:r>
          </w:p>
          <w:p w:rsidR="00155AF4" w:rsidRPr="00A23740" w:rsidRDefault="00155AF4" w:rsidP="009431FF">
            <w:pPr>
              <w:pStyle w:val="KIRMIZI"/>
              <w:widowControl w:val="0"/>
              <w:rPr>
                <w:lang w:val="tr-TR"/>
              </w:rPr>
            </w:pPr>
            <w:r w:rsidRPr="00A23740">
              <w:rPr>
                <w:rStyle w:val="KIRMIZIChar"/>
                <w:b/>
                <w:bCs/>
                <w:strike/>
                <w:lang w:val="tr-TR"/>
              </w:rPr>
              <w:t>Madde 26</w:t>
            </w:r>
            <w:r w:rsidRPr="00A23740">
              <w:rPr>
                <w:lang w:val="tr-TR"/>
              </w:rPr>
              <w:t xml:space="preserve"> – (1) (Değişik: 14/1/2011-6103/41 md.)</w:t>
            </w:r>
          </w:p>
          <w:p w:rsidR="00155AF4" w:rsidRPr="00A23740" w:rsidRDefault="00155AF4" w:rsidP="009431FF">
            <w:pPr>
              <w:pStyle w:val="KIRMIZI"/>
              <w:widowControl w:val="0"/>
              <w:rPr>
                <w:lang w:val="tr-TR"/>
              </w:rPr>
            </w:pPr>
            <w:r w:rsidRPr="00A23740">
              <w:rPr>
                <w:lang w:val="tr-TR"/>
              </w:rPr>
              <w:t xml:space="preserve">Bir taşınmazın tahliye ve teslimine dair olan ilâm, icra dairesine verilince icra müdürü 24 üncü maddede yazılı şekilde bir </w:t>
            </w:r>
            <w:r w:rsidRPr="00A23740">
              <w:rPr>
                <w:rFonts w:eastAsia="ヒラギノ明朝 Pro W3"/>
                <w:lang w:val="tr-TR"/>
              </w:rPr>
              <w:t>icra emri tebliğ</w:t>
            </w:r>
            <w:r w:rsidRPr="00A23740">
              <w:rPr>
                <w:lang w:val="tr-TR"/>
              </w:rPr>
              <w:t>i suretiyle borçluya yedi gün</w:t>
            </w:r>
            <w:r w:rsidRPr="00A23740">
              <w:rPr>
                <w:rFonts w:eastAsia="ヒラギノ明朝 Pro W3"/>
                <w:lang w:val="tr-TR"/>
              </w:rPr>
              <w:t xml:space="preserve"> içinde </w:t>
            </w:r>
            <w:r w:rsidRPr="00A23740">
              <w:rPr>
                <w:lang w:val="tr-TR"/>
              </w:rPr>
              <w:t>hükmolunan şeyin</w:t>
            </w:r>
            <w:r w:rsidRPr="00A23740">
              <w:rPr>
                <w:rFonts w:eastAsia="ヒラギノ明朝 Pro W3"/>
                <w:lang w:val="tr-TR"/>
              </w:rPr>
              <w:t xml:space="preserve"> </w:t>
            </w:r>
            <w:r w:rsidRPr="00A23740">
              <w:rPr>
                <w:rFonts w:eastAsia="ヒラギノ明朝 Pro W3"/>
                <w:lang w:val="tr-TR"/>
              </w:rPr>
              <w:lastRenderedPageBreak/>
              <w:t>teslim</w:t>
            </w:r>
            <w:r w:rsidRPr="00A23740">
              <w:rPr>
                <w:rStyle w:val="KIRMIZIChar"/>
                <w:rFonts w:eastAsia="ヒラギノ明朝 Pro W3"/>
                <w:b/>
                <w:bCs/>
                <w:strike/>
                <w:lang w:val="tr-TR"/>
              </w:rPr>
              <w:t>ini</w:t>
            </w:r>
            <w:r w:rsidRPr="00A23740">
              <w:rPr>
                <w:rFonts w:eastAsia="ヒラギノ明朝 Pro W3"/>
                <w:lang w:val="tr-TR"/>
              </w:rPr>
              <w:t xml:space="preserve"> </w:t>
            </w:r>
            <w:r w:rsidRPr="00A23740">
              <w:rPr>
                <w:lang w:val="tr-TR"/>
              </w:rPr>
              <w:t>emreder.</w:t>
            </w:r>
          </w:p>
          <w:p w:rsidR="00155AF4" w:rsidRPr="00A23740" w:rsidRDefault="00155AF4" w:rsidP="009431FF">
            <w:pPr>
              <w:pStyle w:val="KIRMIZI"/>
              <w:widowControl w:val="0"/>
              <w:rPr>
                <w:lang w:val="tr-TR"/>
              </w:rPr>
            </w:pPr>
          </w:p>
          <w:p w:rsidR="00155AF4" w:rsidRPr="00A23740" w:rsidRDefault="00155AF4" w:rsidP="009431FF">
            <w:pPr>
              <w:pStyle w:val="KIRMIZI"/>
              <w:widowControl w:val="0"/>
              <w:rPr>
                <w:lang w:val="tr-TR"/>
              </w:rPr>
            </w:pPr>
            <w:r w:rsidRPr="00A23740">
              <w:rPr>
                <w:rFonts w:eastAsia="ヒラギノ明朝 Pro W3"/>
                <w:lang w:val="tr-TR"/>
              </w:rPr>
              <w:t>(2) Borçlu taşınmaz</w:t>
            </w:r>
            <w:r w:rsidRPr="00A23740">
              <w:rPr>
                <w:rStyle w:val="KIRMIZIChar"/>
                <w:rFonts w:eastAsia="ヒラギノ明朝 Pro W3"/>
                <w:b/>
                <w:bCs/>
                <w:strike/>
                <w:lang w:val="tr-TR"/>
              </w:rPr>
              <w:t xml:space="preserve">ı işgal etmekte iken </w:t>
            </w:r>
            <w:r w:rsidRPr="00A23740">
              <w:rPr>
                <w:rStyle w:val="KIRMIZIChar"/>
                <w:b/>
                <w:bCs/>
                <w:strike/>
                <w:lang w:val="tr-TR"/>
              </w:rPr>
              <w:t>bu</w:t>
            </w:r>
            <w:r w:rsidRPr="00A23740">
              <w:rPr>
                <w:lang w:val="tr-TR"/>
              </w:rPr>
              <w:t xml:space="preserve"> emri tutmazsa, ilâmın hükmü</w:t>
            </w:r>
            <w:r w:rsidRPr="00A23740">
              <w:rPr>
                <w:rFonts w:eastAsia="ヒラギノ明朝 Pro W3"/>
                <w:lang w:val="tr-TR"/>
              </w:rPr>
              <w:t xml:space="preserve"> zorla </w:t>
            </w:r>
            <w:r w:rsidRPr="00A23740">
              <w:rPr>
                <w:lang w:val="tr-TR"/>
              </w:rPr>
              <w:t>icra olunur.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rPr>
            </w:pPr>
            <w:r w:rsidRPr="00A23740">
              <w:rPr>
                <w:rFonts w:eastAsia="ヒラギノ明朝 Pro W3"/>
                <w:lang w:val="tr-TR"/>
              </w:rPr>
              <w:t>(3) Alacaklıya teslim olunan taşınmaza haklı bir sebep olmaksızın tekrar giren borçlu ayrıca hükm</w:t>
            </w:r>
            <w:r w:rsidRPr="00A23740">
              <w:rPr>
                <w:rStyle w:val="KIRMIZIChar"/>
                <w:rFonts w:eastAsia="ヒラギノ明朝 Pro W3"/>
                <w:b/>
                <w:bCs/>
                <w:strike/>
                <w:lang w:val="tr-TR"/>
              </w:rPr>
              <w:t>e</w:t>
            </w:r>
            <w:r w:rsidRPr="00A23740">
              <w:rPr>
                <w:rFonts w:eastAsia="ヒラギノ明朝 Pro W3"/>
                <w:lang w:val="tr-TR"/>
              </w:rPr>
              <w:t xml:space="preserve"> </w:t>
            </w:r>
            <w:r w:rsidRPr="00A23740">
              <w:rPr>
                <w:lang w:val="tr-TR"/>
              </w:rPr>
              <w:t>hace</w:t>
            </w:r>
            <w:r w:rsidRPr="00A23740">
              <w:rPr>
                <w:rStyle w:val="KIRMIZIChar"/>
                <w:b/>
                <w:bCs/>
                <w:strike/>
                <w:lang w:val="tr-TR"/>
              </w:rPr>
              <w:t>t</w:t>
            </w:r>
            <w:r w:rsidRPr="00A23740">
              <w:rPr>
                <w:rStyle w:val="KIRMIZIChar"/>
                <w:rFonts w:eastAsia="ヒラギノ明朝 Pro W3"/>
                <w:b/>
                <w:bCs/>
                <w:strike/>
                <w:lang w:val="tr-TR"/>
              </w:rPr>
              <w:t xml:space="preserve"> kalmadan</w:t>
            </w:r>
            <w:r w:rsidRPr="00A23740">
              <w:rPr>
                <w:rFonts w:eastAsia="ヒラギノ明朝 Pro W3"/>
                <w:lang w:val="tr-TR"/>
              </w:rPr>
              <w:t xml:space="preserve"> zorla çıkarıl</w:t>
            </w:r>
            <w:r w:rsidRPr="00A23740">
              <w:rPr>
                <w:rStyle w:val="KIRMIZIChar"/>
                <w:rFonts w:eastAsia="ヒラギノ明朝 Pro W3"/>
                <w:b/>
                <w:bCs/>
                <w:strike/>
                <w:lang w:val="tr-TR"/>
              </w:rPr>
              <w:t>ır.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lang w:val="tr-TR" w:eastAsia="tr-TR"/>
              </w:rPr>
            </w:pPr>
            <w:r w:rsidRPr="00A23740">
              <w:rPr>
                <w:rFonts w:eastAsia="ヒラギノ明朝 Pro W3"/>
                <w:lang w:val="tr-TR"/>
              </w:rPr>
              <w:t>(4)</w:t>
            </w:r>
            <w:r w:rsidRPr="00C20C8B">
              <w:rPr>
                <w:rFonts w:eastAsia="ヒラギノ明朝 Pro W3"/>
                <w:strike w:val="0"/>
                <w:lang w:val="tr-TR"/>
              </w:rPr>
              <w:t xml:space="preserve"> </w:t>
            </w:r>
            <w:r w:rsidRPr="00A23740">
              <w:rPr>
                <w:rFonts w:eastAsia="ヒラギノ明朝 Pro W3"/>
                <w:b w:val="0"/>
                <w:bCs w:val="0"/>
                <w:strike w:val="0"/>
                <w:color w:val="auto"/>
                <w:lang w:val="tr-TR" w:eastAsia="tr-TR"/>
              </w:rPr>
              <w:t>Taşınmazın içinde bulun</w:t>
            </w:r>
            <w:r w:rsidRPr="00A23740">
              <w:rPr>
                <w:lang w:val="tr-TR" w:eastAsia="tr-TR"/>
              </w:rPr>
              <w:t>up da ilâmda dahil olmayan</w:t>
            </w:r>
            <w:r w:rsidRPr="00A23740">
              <w:rPr>
                <w:rFonts w:eastAsia="ヒラギノ明朝 Pro W3"/>
                <w:b w:val="0"/>
                <w:bCs w:val="0"/>
                <w:strike w:val="0"/>
                <w:color w:val="auto"/>
                <w:lang w:val="tr-TR" w:eastAsia="tr-TR"/>
              </w:rPr>
              <w:t xml:space="preserve"> eşya </w:t>
            </w:r>
            <w:r w:rsidRPr="00A23740">
              <w:rPr>
                <w:lang w:val="tr-TR" w:eastAsia="tr-TR"/>
              </w:rPr>
              <w:t xml:space="preserve">çıkarılarak </w:t>
            </w:r>
            <w:r w:rsidRPr="00A23740">
              <w:rPr>
                <w:rFonts w:eastAsia="ヒラギノ明朝 Pro W3"/>
                <w:b w:val="0"/>
                <w:bCs w:val="0"/>
                <w:strike w:val="0"/>
                <w:color w:val="auto"/>
                <w:lang w:val="tr-TR" w:eastAsia="tr-TR"/>
              </w:rPr>
              <w:t xml:space="preserve">borçluya </w:t>
            </w:r>
            <w:r w:rsidRPr="00A23740">
              <w:rPr>
                <w:lang w:val="tr-TR" w:eastAsia="tr-TR"/>
              </w:rPr>
              <w:t>teslim ve hazır değilse</w:t>
            </w:r>
            <w:r w:rsidRPr="00A23740">
              <w:rPr>
                <w:rFonts w:eastAsia="ヒラギノ明朝 Pro W3"/>
                <w:b w:val="0"/>
                <w:bCs w:val="0"/>
                <w:strike w:val="0"/>
                <w:color w:val="auto"/>
                <w:lang w:val="tr-TR" w:eastAsia="tr-TR"/>
              </w:rPr>
              <w:t xml:space="preserve"> vekiline veya </w:t>
            </w:r>
            <w:r w:rsidRPr="00A23740">
              <w:rPr>
                <w:lang w:val="tr-TR" w:eastAsia="tr-TR"/>
              </w:rPr>
              <w:t xml:space="preserve">ailesi halkından veyahut müstahdemlerinden reşit bir kimseye tevdi olunur. </w:t>
            </w:r>
            <w:r w:rsidRPr="00A23740">
              <w:rPr>
                <w:rFonts w:eastAsia="ヒラギノ明朝 Pro W3"/>
                <w:b w:val="0"/>
                <w:bCs w:val="0"/>
                <w:strike w:val="0"/>
                <w:color w:val="auto"/>
                <w:lang w:val="tr-TR" w:eastAsia="tr-TR"/>
              </w:rPr>
              <w:t xml:space="preserve">Bunlardan </w:t>
            </w:r>
            <w:r w:rsidRPr="00A23740">
              <w:rPr>
                <w:lang w:val="tr-TR" w:eastAsia="tr-TR"/>
              </w:rPr>
              <w:t>da</w:t>
            </w:r>
            <w:r w:rsidRPr="00A23740">
              <w:rPr>
                <w:rFonts w:eastAsia="ヒラギノ明朝 Pro W3"/>
                <w:b w:val="0"/>
                <w:bCs w:val="0"/>
                <w:strike w:val="0"/>
                <w:color w:val="auto"/>
                <w:lang w:val="tr-TR" w:eastAsia="tr-TR"/>
              </w:rPr>
              <w:t xml:space="preserve"> kimse bulun</w:t>
            </w:r>
            <w:r w:rsidRPr="00A23740">
              <w:rPr>
                <w:lang w:val="tr-TR" w:eastAsia="tr-TR"/>
              </w:rPr>
              <w:t>mazsa mezkûr</w:t>
            </w:r>
            <w:r w:rsidRPr="00A23740">
              <w:rPr>
                <w:rFonts w:eastAsia="ヒラギノ明朝 Pro W3"/>
                <w:b w:val="0"/>
                <w:bCs w:val="0"/>
                <w:strike w:val="0"/>
                <w:color w:val="auto"/>
                <w:lang w:val="tr-TR" w:eastAsia="tr-TR"/>
              </w:rPr>
              <w:t xml:space="preserve"> eşya masrafı ileride borçluya ödetilmek üzere peşin </w:t>
            </w:r>
            <w:r w:rsidRPr="00A23740">
              <w:rPr>
                <w:lang w:val="tr-TR" w:eastAsia="tr-TR"/>
              </w:rPr>
              <w:t>olarak</w:t>
            </w:r>
            <w:r w:rsidRPr="00A23740">
              <w:rPr>
                <w:rFonts w:eastAsia="ヒラギノ明朝 Pro W3"/>
                <w:b w:val="0"/>
                <w:bCs w:val="0"/>
                <w:strike w:val="0"/>
                <w:color w:val="auto"/>
                <w:lang w:val="tr-TR" w:eastAsia="tr-TR"/>
              </w:rPr>
              <w:t xml:space="preserve"> alacaklıdan alın</w:t>
            </w:r>
            <w:r w:rsidRPr="00A23740">
              <w:rPr>
                <w:lang w:val="tr-TR" w:eastAsia="tr-TR"/>
              </w:rPr>
              <w:t>ıp emin bir yerde</w:t>
            </w:r>
            <w:r w:rsidRPr="00A23740">
              <w:rPr>
                <w:rFonts w:eastAsia="ヒラギノ明朝 Pro W3"/>
                <w:b w:val="0"/>
                <w:bCs w:val="0"/>
                <w:strike w:val="0"/>
                <w:color w:val="auto"/>
                <w:lang w:val="tr-TR" w:eastAsia="tr-TR"/>
              </w:rPr>
              <w:t xml:space="preserve"> veya alacaklının yedinde </w:t>
            </w:r>
            <w:r w:rsidRPr="00A23740">
              <w:rPr>
                <w:lang w:val="tr-TR" w:eastAsia="tr-TR"/>
              </w:rPr>
              <w:t>hıfzettirilir ve</w:t>
            </w:r>
            <w:r w:rsidRPr="00A23740">
              <w:rPr>
                <w:rFonts w:eastAsia="ヒラギノ明朝 Pro W3"/>
                <w:b w:val="0"/>
                <w:bCs w:val="0"/>
                <w:strike w:val="0"/>
                <w:color w:val="auto"/>
                <w:lang w:val="tr-TR" w:eastAsia="tr-TR"/>
              </w:rPr>
              <w:t xml:space="preserve"> icra dairesince </w:t>
            </w:r>
            <w:r w:rsidRPr="00A23740">
              <w:rPr>
                <w:lang w:val="tr-TR" w:eastAsia="tr-TR"/>
              </w:rPr>
              <w:t>hemen yapılacak</w:t>
            </w:r>
            <w:r w:rsidRPr="00C20C8B">
              <w:rPr>
                <w:strike w:val="0"/>
                <w:lang w:val="tr-TR" w:eastAsia="tr-TR"/>
              </w:rPr>
              <w:t xml:space="preserve"> </w:t>
            </w:r>
            <w:r w:rsidRPr="00A23740">
              <w:rPr>
                <w:rFonts w:eastAsia="ヒラギノ明朝 Pro W3"/>
                <w:b w:val="0"/>
                <w:bCs w:val="0"/>
                <w:strike w:val="0"/>
                <w:color w:val="auto"/>
                <w:lang w:val="tr-TR" w:eastAsia="tr-TR"/>
              </w:rPr>
              <w:t xml:space="preserve">tebligat </w:t>
            </w:r>
            <w:r w:rsidRPr="00A23740">
              <w:rPr>
                <w:lang w:val="tr-TR" w:eastAsia="tr-TR"/>
              </w:rPr>
              <w:t>üzerine borçlu eşyanın bulunduğu mahalde ise beş ve değil ise otuz gün içinde</w:t>
            </w:r>
            <w:r w:rsidRPr="00A23740">
              <w:rPr>
                <w:rFonts w:eastAsia="ヒラギノ明朝 Pro W3"/>
                <w:b w:val="0"/>
                <w:bCs w:val="0"/>
                <w:strike w:val="0"/>
                <w:color w:val="auto"/>
                <w:lang w:val="tr-TR" w:eastAsia="tr-TR"/>
              </w:rPr>
              <w:t xml:space="preserve"> eşyayı </w:t>
            </w:r>
            <w:r w:rsidRPr="00A23740">
              <w:rPr>
                <w:lang w:val="tr-TR" w:eastAsia="tr-TR"/>
              </w:rPr>
              <w:t>almaktan veya masrafı ödemekten imtina eder yahut</w:t>
            </w:r>
            <w:r w:rsidRPr="00A23740">
              <w:rPr>
                <w:rFonts w:eastAsia="ヒラギノ明朝 Pro W3"/>
                <w:b w:val="0"/>
                <w:bCs w:val="0"/>
                <w:strike w:val="0"/>
                <w:color w:val="auto"/>
                <w:lang w:val="tr-TR" w:eastAsia="tr-TR"/>
              </w:rPr>
              <w:t xml:space="preserve"> lüzum </w:t>
            </w:r>
            <w:r w:rsidRPr="00A23740">
              <w:rPr>
                <w:lang w:val="tr-TR" w:eastAsia="tr-TR"/>
              </w:rPr>
              <w:t>görülürse</w:t>
            </w:r>
            <w:r w:rsidRPr="00A23740">
              <w:rPr>
                <w:rFonts w:eastAsia="ヒラギノ明朝 Pro W3"/>
                <w:b w:val="0"/>
                <w:bCs w:val="0"/>
                <w:strike w:val="0"/>
                <w:color w:val="auto"/>
                <w:lang w:val="tr-TR" w:eastAsia="tr-TR"/>
              </w:rPr>
              <w:t xml:space="preserve"> icra </w:t>
            </w:r>
            <w:r w:rsidRPr="00A23740">
              <w:rPr>
                <w:lang w:val="tr-TR" w:eastAsia="tr-TR"/>
              </w:rPr>
              <w:t>müdürü</w:t>
            </w:r>
            <w:r w:rsidRPr="00A23740">
              <w:rPr>
                <w:rFonts w:eastAsia="ヒラギノ明朝 Pro W3"/>
                <w:b w:val="0"/>
                <w:bCs w:val="0"/>
                <w:strike w:val="0"/>
                <w:color w:val="auto"/>
                <w:lang w:val="tr-TR" w:eastAsia="tr-TR"/>
              </w:rPr>
              <w:t xml:space="preserve"> icra mahkemesi</w:t>
            </w:r>
            <w:r w:rsidRPr="00A23740">
              <w:rPr>
                <w:lang w:val="tr-TR" w:eastAsia="tr-TR"/>
              </w:rPr>
              <w:t>nin</w:t>
            </w:r>
            <w:r w:rsidRPr="00A23740">
              <w:rPr>
                <w:rFonts w:eastAsia="ヒラギノ明朝 Pro W3"/>
                <w:b w:val="0"/>
                <w:bCs w:val="0"/>
                <w:strike w:val="0"/>
                <w:color w:val="auto"/>
                <w:lang w:val="tr-TR" w:eastAsia="tr-TR"/>
              </w:rPr>
              <w:t xml:space="preserve"> kararıyla bunları sat</w:t>
            </w:r>
            <w:r w:rsidRPr="00A23740">
              <w:rPr>
                <w:lang w:val="tr-TR" w:eastAsia="tr-TR"/>
              </w:rPr>
              <w:t>ıp tutarından masrafı ifa eder.</w:t>
            </w:r>
            <w:r w:rsidRPr="00A23740">
              <w:rPr>
                <w:rFonts w:eastAsia="ヒラギノ明朝 Pro W3"/>
                <w:b w:val="0"/>
                <w:bCs w:val="0"/>
                <w:strike w:val="0"/>
                <w:color w:val="auto"/>
                <w:lang w:val="tr-TR" w:eastAsia="tr-TR"/>
              </w:rPr>
              <w:t xml:space="preserve"> Fazla </w:t>
            </w:r>
            <w:r w:rsidRPr="00A23740">
              <w:rPr>
                <w:lang w:val="tr-TR" w:eastAsia="tr-TR"/>
              </w:rPr>
              <w:t>kalırsa borçlunun adına,</w:t>
            </w:r>
            <w:r w:rsidRPr="00A23740">
              <w:rPr>
                <w:rFonts w:eastAsia="ヒラギノ明朝 Pro W3"/>
                <w:b w:val="0"/>
                <w:bCs w:val="0"/>
                <w:strike w:val="0"/>
                <w:color w:val="auto"/>
                <w:lang w:val="tr-TR" w:eastAsia="tr-TR"/>
              </w:rPr>
              <w:t xml:space="preserve"> Adalet Bakanlığınca </w:t>
            </w:r>
            <w:r w:rsidRPr="00A23740">
              <w:rPr>
                <w:lang w:val="tr-TR" w:eastAsia="tr-TR"/>
              </w:rPr>
              <w:t xml:space="preserve">çıkarılan yönetmelikte nitelikleri </w:t>
            </w:r>
            <w:r w:rsidRPr="00A23740">
              <w:rPr>
                <w:rFonts w:eastAsia="ヒラギノ明朝 Pro W3"/>
                <w:b w:val="0"/>
                <w:bCs w:val="0"/>
                <w:strike w:val="0"/>
                <w:color w:val="auto"/>
                <w:lang w:val="tr-TR" w:eastAsia="tr-TR"/>
              </w:rPr>
              <w:t>belirlenen bankalardan birine yatırılır.</w:t>
            </w:r>
          </w:p>
          <w:p w:rsidR="00155AF4" w:rsidRPr="00A23740" w:rsidRDefault="00155AF4" w:rsidP="009431FF">
            <w:pPr>
              <w:widowControl w:val="0"/>
              <w:tabs>
                <w:tab w:val="left" w:pos="567"/>
              </w:tabs>
              <w:rPr>
                <w:rFonts w:eastAsia="Times New Roman"/>
                <w:b/>
                <w:bCs/>
                <w:szCs w:val="24"/>
                <w:lang w:eastAsia="tr-TR"/>
              </w:rPr>
            </w:pPr>
          </w:p>
          <w:p w:rsidR="00155AF4" w:rsidRPr="00A23740" w:rsidRDefault="00155AF4" w:rsidP="009431FF">
            <w:pPr>
              <w:widowControl w:val="0"/>
              <w:tabs>
                <w:tab w:val="left" w:pos="567"/>
              </w:tabs>
              <w:rPr>
                <w:rFonts w:eastAsia="Times New Roman"/>
                <w:b/>
                <w:bCs/>
                <w:szCs w:val="24"/>
                <w:lang w:eastAsia="tr-TR"/>
              </w:rPr>
            </w:pPr>
          </w:p>
          <w:p w:rsidR="00155AF4" w:rsidRPr="00A23740" w:rsidRDefault="00155AF4" w:rsidP="009431FF">
            <w:pPr>
              <w:widowControl w:val="0"/>
              <w:tabs>
                <w:tab w:val="left" w:pos="567"/>
              </w:tabs>
              <w:rPr>
                <w:rFonts w:eastAsia="Times New Roman"/>
                <w:b/>
                <w:bCs/>
                <w:szCs w:val="24"/>
                <w:lang w:eastAsia="tr-TR"/>
              </w:rPr>
            </w:pPr>
          </w:p>
          <w:p w:rsidR="00155AF4" w:rsidRPr="00A23740" w:rsidRDefault="00155AF4" w:rsidP="009431FF">
            <w:pPr>
              <w:widowControl w:val="0"/>
              <w:tabs>
                <w:tab w:val="left" w:pos="566"/>
              </w:tabs>
              <w:rPr>
                <w:rFonts w:eastAsia="Times New Roman"/>
                <w:b/>
                <w:bCs/>
                <w:szCs w:val="24"/>
                <w:lang w:eastAsia="tr-TR"/>
              </w:rPr>
            </w:pPr>
          </w:p>
        </w:tc>
        <w:tc>
          <w:tcPr>
            <w:tcW w:w="2500" w:type="pct"/>
          </w:tcPr>
          <w:p w:rsidR="00155AF4" w:rsidRPr="00A23740" w:rsidRDefault="00155AF4" w:rsidP="009431FF">
            <w:pPr>
              <w:widowControl w:val="0"/>
              <w:rPr>
                <w:rStyle w:val="MaviChar"/>
              </w:rPr>
            </w:pPr>
            <w:r w:rsidRPr="00A23740">
              <w:rPr>
                <w:rFonts w:eastAsia="Times New Roman"/>
                <w:b/>
                <w:bCs/>
                <w:szCs w:val="24"/>
                <w:lang w:eastAsia="tr-TR"/>
              </w:rPr>
              <w:lastRenderedPageBreak/>
              <w:t>Taşınmaz</w:t>
            </w:r>
            <w:r w:rsidRPr="00A23740">
              <w:rPr>
                <w:rStyle w:val="MaviChar"/>
              </w:rPr>
              <w:t>ın borçlunun elinde olması</w:t>
            </w:r>
          </w:p>
          <w:p w:rsidR="00155AF4" w:rsidRPr="00A23740" w:rsidRDefault="00155AF4" w:rsidP="009431FF">
            <w:pPr>
              <w:widowControl w:val="0"/>
              <w:rPr>
                <w:rFonts w:eastAsia="Times New Roman"/>
                <w:b/>
                <w:bCs/>
                <w:color w:val="0000FF"/>
                <w:szCs w:val="24"/>
                <w:lang w:eastAsia="tr-TR"/>
              </w:rPr>
            </w:pPr>
            <w:r w:rsidRPr="00A23740">
              <w:rPr>
                <w:rStyle w:val="MaviChar"/>
              </w:rPr>
              <w:t>MADDE 73- (1) Borçlu, icra emrinde verilen süre içinde taşınmazı tahliye ve teslim etmezse taşınmazdan zorla çıkarılarak taşınmaz alacaklıya teslim edilir.</w:t>
            </w: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color w:val="0000FF"/>
                <w:szCs w:val="24"/>
                <w:lang w:eastAsia="tr-TR"/>
              </w:rPr>
            </w:pPr>
            <w:r w:rsidRPr="00A23740">
              <w:rPr>
                <w:rStyle w:val="MaviChar"/>
              </w:rPr>
              <w:t>(2)</w:t>
            </w:r>
            <w:r w:rsidRPr="00A23740">
              <w:rPr>
                <w:rFonts w:eastAsia="ヒラギノ明朝 Pro W3"/>
                <w:szCs w:val="24"/>
                <w:lang w:eastAsia="tr-TR"/>
              </w:rPr>
              <w:t xml:space="preserve"> Taşınmazın içinde bulun</w:t>
            </w:r>
            <w:r w:rsidRPr="00A23740">
              <w:rPr>
                <w:rStyle w:val="MaviChar"/>
              </w:rPr>
              <w:t xml:space="preserve">makla birlikte ilamda belirtilmeyen </w:t>
            </w:r>
            <w:r w:rsidRPr="00A23740">
              <w:rPr>
                <w:rFonts w:eastAsia="ヒラギノ明朝 Pro W3"/>
                <w:szCs w:val="24"/>
                <w:lang w:eastAsia="tr-TR"/>
              </w:rPr>
              <w:t>eşya</w:t>
            </w:r>
            <w:r w:rsidRPr="00A23740">
              <w:rPr>
                <w:rFonts w:eastAsia="Times New Roman"/>
                <w:b/>
                <w:bCs/>
                <w:color w:val="0000FF"/>
                <w:szCs w:val="24"/>
                <w:lang w:eastAsia="tr-TR"/>
              </w:rPr>
              <w:t xml:space="preserve"> </w:t>
            </w:r>
            <w:r w:rsidRPr="00A23740">
              <w:rPr>
                <w:rFonts w:eastAsia="ヒラギノ明朝 Pro W3"/>
                <w:szCs w:val="24"/>
                <w:lang w:eastAsia="tr-TR"/>
              </w:rPr>
              <w:t>borçluya</w:t>
            </w:r>
            <w:r w:rsidRPr="00A23740">
              <w:rPr>
                <w:rStyle w:val="MaviChar"/>
                <w:lang w:val="tr-TR"/>
              </w:rPr>
              <w:t>; borçlunun bulunmaması h</w:t>
            </w:r>
            <w:r w:rsidR="002F2BAA" w:rsidRPr="00A23740">
              <w:rPr>
                <w:rStyle w:val="MaviChar"/>
                <w:lang w:val="tr-TR"/>
              </w:rPr>
              <w:t>â</w:t>
            </w:r>
            <w:r w:rsidRPr="00A23740">
              <w:rPr>
                <w:rStyle w:val="MaviChar"/>
                <w:lang w:val="tr-TR"/>
              </w:rPr>
              <w:t>linde</w:t>
            </w:r>
            <w:r w:rsidRPr="00A23740">
              <w:rPr>
                <w:rFonts w:eastAsia="ヒラギノ明朝 Pro W3"/>
                <w:b/>
                <w:bCs/>
                <w:lang w:eastAsia="tr-TR"/>
              </w:rPr>
              <w:t xml:space="preserve"> </w:t>
            </w:r>
            <w:r w:rsidRPr="00A23740">
              <w:rPr>
                <w:rFonts w:eastAsia="ヒラギノ明朝 Pro W3"/>
                <w:szCs w:val="24"/>
                <w:lang w:eastAsia="tr-TR"/>
              </w:rPr>
              <w:t xml:space="preserve">vekiline veya </w:t>
            </w:r>
            <w:r w:rsidRPr="00A23740">
              <w:rPr>
                <w:rStyle w:val="MaviChar"/>
                <w:lang w:val="tr-TR"/>
              </w:rPr>
              <w:t xml:space="preserve">adına tebligatı kabule yetkili ergin bir kişiye teslim edilir. Bu kişiler teslim almaktan kaçınır </w:t>
            </w:r>
            <w:r w:rsidR="00C876FA" w:rsidRPr="00A23740">
              <w:rPr>
                <w:rStyle w:val="MaviChar"/>
                <w:lang w:val="tr-TR"/>
              </w:rPr>
              <w:t>veya</w:t>
            </w:r>
            <w:r w:rsidRPr="00A23740">
              <w:rPr>
                <w:rFonts w:eastAsia="ヒラギノ明朝 Pro W3"/>
                <w:b/>
                <w:bCs/>
                <w:lang w:eastAsia="tr-TR"/>
              </w:rPr>
              <w:t xml:space="preserve"> </w:t>
            </w:r>
            <w:r w:rsidRPr="00A23740">
              <w:rPr>
                <w:rFonts w:eastAsia="ヒラギノ明朝 Pro W3"/>
                <w:szCs w:val="24"/>
                <w:lang w:eastAsia="tr-TR"/>
              </w:rPr>
              <w:t>bunlardan kimse bulun</w:t>
            </w:r>
            <w:r w:rsidRPr="00A23740">
              <w:rPr>
                <w:rStyle w:val="MaviChar"/>
                <w:lang w:val="tr-TR"/>
              </w:rPr>
              <w:t>amazsa</w:t>
            </w:r>
            <w:r w:rsidR="00F04DA5" w:rsidRPr="00C20C8B">
              <w:rPr>
                <w:rStyle w:val="Balk1Char"/>
                <w:rFonts w:eastAsia="Calibri"/>
              </w:rPr>
              <w:t>,</w:t>
            </w:r>
            <w:r w:rsidRPr="00A23740">
              <w:rPr>
                <w:rFonts w:eastAsia="ヒラギノ明朝 Pro W3"/>
                <w:szCs w:val="24"/>
                <w:lang w:eastAsia="tr-TR"/>
              </w:rPr>
              <w:t xml:space="preserve"> </w:t>
            </w:r>
            <w:r w:rsidRPr="00A23740">
              <w:rPr>
                <w:rStyle w:val="MaviChar"/>
              </w:rPr>
              <w:t xml:space="preserve">kıymet takdiri yapılarak listesi tutulan </w:t>
            </w:r>
            <w:r w:rsidRPr="00A23740">
              <w:rPr>
                <w:rFonts w:eastAsia="ヒラギノ明朝 Pro W3"/>
                <w:szCs w:val="24"/>
                <w:lang w:eastAsia="tr-TR"/>
              </w:rPr>
              <w:t>eşya</w:t>
            </w:r>
            <w:r w:rsidRPr="00A23740">
              <w:rPr>
                <w:rStyle w:val="MaviChar"/>
                <w:lang w:val="tr-TR"/>
              </w:rPr>
              <w:t xml:space="preserve">, </w:t>
            </w:r>
            <w:r w:rsidRPr="00A23740">
              <w:rPr>
                <w:rFonts w:eastAsia="ヒラギノ明朝 Pro W3"/>
                <w:szCs w:val="24"/>
                <w:lang w:eastAsia="tr-TR"/>
              </w:rPr>
              <w:t xml:space="preserve">alacaklının yedinde </w:t>
            </w:r>
            <w:r w:rsidR="00C876FA" w:rsidRPr="00A23740">
              <w:rPr>
                <w:rStyle w:val="MaviChar"/>
              </w:rPr>
              <w:t>ya da</w:t>
            </w:r>
            <w:r w:rsidRPr="00A23740">
              <w:rPr>
                <w:rFonts w:eastAsia="ヒラギノ明朝 Pro W3"/>
                <w:szCs w:val="24"/>
                <w:lang w:eastAsia="tr-TR"/>
              </w:rPr>
              <w:t xml:space="preserve"> </w:t>
            </w:r>
            <w:r w:rsidRPr="00A23740">
              <w:rPr>
                <w:rStyle w:val="MaviChar"/>
              </w:rPr>
              <w:t>giderleri</w:t>
            </w:r>
            <w:r w:rsidRPr="00A23740">
              <w:rPr>
                <w:rFonts w:eastAsia="ヒラギノ明朝 Pro W3"/>
                <w:szCs w:val="24"/>
                <w:lang w:eastAsia="tr-TR"/>
              </w:rPr>
              <w:t xml:space="preserve"> ileride borçluya ödetilmek üzere</w:t>
            </w:r>
            <w:r w:rsidRPr="00A23740">
              <w:rPr>
                <w:rFonts w:eastAsia="ヒラギノ明朝 Pro W3"/>
                <w:b/>
                <w:bCs/>
                <w:lang w:eastAsia="tr-TR"/>
              </w:rPr>
              <w:t xml:space="preserve"> </w:t>
            </w:r>
            <w:r w:rsidRPr="00A23740">
              <w:rPr>
                <w:rStyle w:val="MaviChar"/>
                <w:lang w:val="tr-TR"/>
              </w:rPr>
              <w:t>iki aylık muhafaza gideri</w:t>
            </w:r>
            <w:r w:rsidRPr="00A23740">
              <w:rPr>
                <w:rFonts w:eastAsia="ヒラギノ明朝 Pro W3"/>
                <w:b/>
                <w:bCs/>
                <w:lang w:eastAsia="tr-TR"/>
              </w:rPr>
              <w:t xml:space="preserve"> </w:t>
            </w:r>
            <w:r w:rsidRPr="00A23740">
              <w:rPr>
                <w:rFonts w:eastAsia="ヒラギノ明朝 Pro W3"/>
                <w:szCs w:val="24"/>
                <w:lang w:eastAsia="tr-TR"/>
              </w:rPr>
              <w:t>alacaklıdan peşin alın</w:t>
            </w:r>
            <w:r w:rsidRPr="00A23740">
              <w:rPr>
                <w:rStyle w:val="MaviChar"/>
                <w:lang w:val="tr-TR"/>
              </w:rPr>
              <w:t>arak yediemin deposunda muhafaza edilir.</w:t>
            </w:r>
          </w:p>
          <w:p w:rsidR="006846DE" w:rsidRPr="00A23740" w:rsidRDefault="006846DE" w:rsidP="009431FF">
            <w:pPr>
              <w:widowControl w:val="0"/>
              <w:rPr>
                <w:rFonts w:eastAsia="Times New Roman"/>
                <w:b/>
                <w:bCs/>
                <w:color w:val="0000FF"/>
                <w:szCs w:val="24"/>
                <w:lang w:eastAsia="tr-TR"/>
              </w:rPr>
            </w:pPr>
          </w:p>
          <w:p w:rsidR="00155AF4" w:rsidRDefault="00155AF4" w:rsidP="009431FF">
            <w:pPr>
              <w:widowControl w:val="0"/>
              <w:rPr>
                <w:rStyle w:val="MaviChar"/>
                <w:lang w:val="tr-TR"/>
              </w:rPr>
            </w:pPr>
            <w:r w:rsidRPr="00A23740">
              <w:rPr>
                <w:rStyle w:val="MaviChar"/>
              </w:rPr>
              <w:t>(3)</w:t>
            </w:r>
            <w:r w:rsidRPr="00A23740">
              <w:rPr>
                <w:rFonts w:eastAsia="ヒラギノ明朝 Pro W3"/>
                <w:szCs w:val="24"/>
                <w:lang w:eastAsia="tr-TR"/>
              </w:rPr>
              <w:t xml:space="preserve"> İcra </w:t>
            </w:r>
            <w:r w:rsidRPr="00A23740">
              <w:rPr>
                <w:rStyle w:val="MaviChar"/>
              </w:rPr>
              <w:t>ve iflas</w:t>
            </w:r>
            <w:r w:rsidRPr="00A23740">
              <w:rPr>
                <w:rFonts w:eastAsia="ヒラギノ明朝 Pro W3"/>
                <w:szCs w:val="24"/>
                <w:lang w:eastAsia="tr-TR"/>
              </w:rPr>
              <w:t xml:space="preserve"> dairesince</w:t>
            </w:r>
            <w:r w:rsidRPr="00A23740">
              <w:rPr>
                <w:rStyle w:val="MaviChar"/>
              </w:rPr>
              <w:t>, derh</w:t>
            </w:r>
            <w:r w:rsidR="00DF22A1" w:rsidRPr="00A23740">
              <w:rPr>
                <w:rStyle w:val="MaviChar"/>
                <w:lang w:val="tr-TR"/>
              </w:rPr>
              <w:t>â</w:t>
            </w:r>
            <w:r w:rsidRPr="00A23740">
              <w:rPr>
                <w:rStyle w:val="MaviChar"/>
              </w:rPr>
              <w:t>l borçluya</w:t>
            </w:r>
            <w:r w:rsidRPr="00A23740">
              <w:rPr>
                <w:rFonts w:eastAsia="ヒラギノ明朝 Pro W3"/>
                <w:szCs w:val="24"/>
                <w:lang w:eastAsia="tr-TR"/>
              </w:rPr>
              <w:t xml:space="preserve"> tebligat</w:t>
            </w:r>
            <w:r w:rsidRPr="00A23740">
              <w:rPr>
                <w:rFonts w:eastAsia="Times New Roman"/>
                <w:b/>
                <w:bCs/>
                <w:color w:val="0000FF"/>
                <w:szCs w:val="24"/>
                <w:lang w:eastAsia="tr-TR"/>
              </w:rPr>
              <w:t xml:space="preserve"> </w:t>
            </w:r>
            <w:r w:rsidRPr="00A23740">
              <w:rPr>
                <w:rStyle w:val="MaviChar"/>
              </w:rPr>
              <w:t>çıkarılarak yediemindeki veya alacaklı nezdind</w:t>
            </w:r>
            <w:r w:rsidRPr="00A23740">
              <w:rPr>
                <w:rStyle w:val="MaviChar"/>
                <w:lang w:val="tr-TR"/>
              </w:rPr>
              <w:t>eki</w:t>
            </w:r>
            <w:r w:rsidRPr="00A23740">
              <w:rPr>
                <w:rFonts w:eastAsia="ヒラギノ明朝 Pro W3"/>
                <w:b/>
                <w:bCs/>
                <w:lang w:eastAsia="tr-TR"/>
              </w:rPr>
              <w:t xml:space="preserve"> </w:t>
            </w:r>
            <w:r w:rsidRPr="00A23740">
              <w:rPr>
                <w:rFonts w:eastAsia="ヒラギノ明朝 Pro W3"/>
                <w:szCs w:val="24"/>
                <w:lang w:eastAsia="tr-TR"/>
              </w:rPr>
              <w:t>eşyayı</w:t>
            </w:r>
            <w:r w:rsidRPr="00A23740">
              <w:rPr>
                <w:rFonts w:eastAsia="ヒラギノ明朝 Pro W3"/>
                <w:b/>
                <w:bCs/>
                <w:lang w:eastAsia="tr-TR"/>
              </w:rPr>
              <w:t xml:space="preserve"> </w:t>
            </w:r>
            <w:r w:rsidRPr="00A23740">
              <w:rPr>
                <w:rStyle w:val="MaviChar"/>
                <w:lang w:val="tr-TR"/>
              </w:rPr>
              <w:t>bir ay içinde alması ve muhafaza giderlerini ödemesi, aksi h</w:t>
            </w:r>
            <w:r w:rsidR="002F2BAA" w:rsidRPr="00A23740">
              <w:rPr>
                <w:rStyle w:val="MaviChar"/>
                <w:lang w:val="tr-TR"/>
              </w:rPr>
              <w:t>â</w:t>
            </w:r>
            <w:r w:rsidRPr="00A23740">
              <w:rPr>
                <w:rStyle w:val="MaviChar"/>
                <w:lang w:val="tr-TR"/>
              </w:rPr>
              <w:t xml:space="preserve">lde eşyanın icra hukuk mahkemesi kararıyla satılacağı ihtar edilir. İhtara rağmen borçlu eşyayı teslim almaz veya giderleri ödemekten kaçınırsa </w:t>
            </w:r>
            <w:r w:rsidRPr="00A23740">
              <w:rPr>
                <w:rStyle w:val="MaviChar"/>
              </w:rPr>
              <w:t>ya da</w:t>
            </w:r>
            <w:r w:rsidRPr="00A23740">
              <w:rPr>
                <w:rFonts w:eastAsia="ヒラギノ明朝 Pro W3"/>
                <w:b/>
                <w:bCs/>
                <w:lang w:eastAsia="tr-TR"/>
              </w:rPr>
              <w:t xml:space="preserve"> </w:t>
            </w:r>
            <w:r w:rsidRPr="00A23740">
              <w:rPr>
                <w:rStyle w:val="MaviChar"/>
              </w:rPr>
              <w:t>gerektiğinde</w:t>
            </w:r>
            <w:r w:rsidRPr="00A23740">
              <w:rPr>
                <w:rStyle w:val="MaviChar"/>
                <w:lang w:val="tr-TR"/>
              </w:rPr>
              <w:t xml:space="preserve"> ve özellikle ihtarın borçluya tebliğine kadar eşyanın bozulma olasılığı varsa </w:t>
            </w:r>
            <w:r w:rsidRPr="00A23740">
              <w:rPr>
                <w:rStyle w:val="MaviChar"/>
              </w:rPr>
              <w:t>yahut</w:t>
            </w:r>
            <w:r w:rsidRPr="00A23740">
              <w:rPr>
                <w:rStyle w:val="MaviChar"/>
                <w:lang w:val="tr-TR"/>
              </w:rPr>
              <w:t xml:space="preserve"> muhafaza giderinin eşyanın kıymetine yakın bir değere yükseldiğini görürse</w:t>
            </w:r>
            <w:r w:rsidRPr="00A23740">
              <w:rPr>
                <w:rFonts w:eastAsia="ヒラギノ明朝 Pro W3"/>
                <w:b/>
                <w:bCs/>
                <w:lang w:eastAsia="tr-TR"/>
              </w:rPr>
              <w:t xml:space="preserve"> </w:t>
            </w:r>
            <w:r w:rsidRPr="00A23740">
              <w:rPr>
                <w:rFonts w:eastAsia="ヒラギノ明朝 Pro W3"/>
                <w:szCs w:val="24"/>
                <w:lang w:eastAsia="tr-TR"/>
              </w:rPr>
              <w:t xml:space="preserve">icra </w:t>
            </w:r>
            <w:r w:rsidRPr="00A23740">
              <w:rPr>
                <w:rStyle w:val="MaviChar"/>
              </w:rPr>
              <w:t>ve iflas</w:t>
            </w:r>
            <w:r w:rsidRPr="00A23740">
              <w:rPr>
                <w:rFonts w:eastAsia="ヒラギノ明朝 Pro W3"/>
                <w:b/>
                <w:bCs/>
                <w:lang w:eastAsia="tr-TR"/>
              </w:rPr>
              <w:t xml:space="preserve"> </w:t>
            </w:r>
            <w:r w:rsidRPr="00A23740">
              <w:rPr>
                <w:rStyle w:val="MaviChar"/>
                <w:lang w:val="tr-TR"/>
              </w:rPr>
              <w:t>dairesi,</w:t>
            </w:r>
            <w:r w:rsidRPr="00A23740">
              <w:rPr>
                <w:rFonts w:eastAsia="ヒラギノ明朝 Pro W3"/>
                <w:b/>
                <w:bCs/>
                <w:lang w:eastAsia="tr-TR"/>
              </w:rPr>
              <w:t xml:space="preserve"> </w:t>
            </w:r>
            <w:r w:rsidRPr="00A23740">
              <w:rPr>
                <w:rFonts w:eastAsia="ヒラギノ明朝 Pro W3"/>
                <w:szCs w:val="24"/>
                <w:lang w:eastAsia="tr-TR"/>
              </w:rPr>
              <w:t>icra</w:t>
            </w:r>
            <w:r w:rsidRPr="00A23740">
              <w:rPr>
                <w:rFonts w:eastAsia="ヒラギノ明朝 Pro W3"/>
                <w:b/>
                <w:bCs/>
                <w:lang w:eastAsia="tr-TR"/>
              </w:rPr>
              <w:t xml:space="preserve"> </w:t>
            </w:r>
            <w:r w:rsidRPr="00A23740">
              <w:rPr>
                <w:rStyle w:val="MaviChar"/>
                <w:lang w:val="tr-TR"/>
              </w:rPr>
              <w:t>hukuk</w:t>
            </w:r>
            <w:r w:rsidRPr="00A23740">
              <w:rPr>
                <w:rFonts w:eastAsia="ヒラギノ明朝 Pro W3"/>
                <w:b/>
                <w:bCs/>
                <w:lang w:eastAsia="tr-TR"/>
              </w:rPr>
              <w:t xml:space="preserve"> </w:t>
            </w:r>
            <w:r w:rsidRPr="00A23740">
              <w:rPr>
                <w:rFonts w:eastAsia="ヒラギノ明朝 Pro W3"/>
                <w:szCs w:val="24"/>
                <w:lang w:eastAsia="tr-TR"/>
              </w:rPr>
              <w:t>mahkemesi</w:t>
            </w:r>
            <w:r w:rsidRPr="00A23740">
              <w:rPr>
                <w:rStyle w:val="MaviChar"/>
                <w:lang w:val="tr-TR"/>
              </w:rPr>
              <w:t xml:space="preserve"> </w:t>
            </w:r>
            <w:r w:rsidRPr="00A23740">
              <w:rPr>
                <w:rFonts w:eastAsia="ヒラギノ明朝 Pro W3"/>
                <w:szCs w:val="24"/>
                <w:lang w:eastAsia="tr-TR"/>
              </w:rPr>
              <w:t>kararıyla bunları sat</w:t>
            </w:r>
            <w:r w:rsidRPr="00A23740">
              <w:rPr>
                <w:rStyle w:val="MaviChar"/>
                <w:lang w:val="tr-TR"/>
              </w:rPr>
              <w:t>ar ve satış bedeli ile muhafaza giderlerini, varsa ilamda</w:t>
            </w:r>
            <w:r w:rsidR="00EE5F9F" w:rsidRPr="00A23740">
              <w:rPr>
                <w:rStyle w:val="MaviChar"/>
                <w:lang w:val="tr-TR"/>
              </w:rPr>
              <w:t xml:space="preserve"> hükmedilen ecrimisil alacağı ile</w:t>
            </w:r>
            <w:r w:rsidRPr="00A23740">
              <w:rPr>
                <w:rStyle w:val="MaviChar"/>
                <w:lang w:val="tr-TR"/>
              </w:rPr>
              <w:t xml:space="preserve"> yargılama ve icra giderlerini öder.</w:t>
            </w:r>
            <w:r w:rsidRPr="00A23740">
              <w:rPr>
                <w:rFonts w:eastAsia="ヒラギノ明朝 Pro W3"/>
                <w:b/>
                <w:bCs/>
                <w:lang w:eastAsia="tr-TR"/>
              </w:rPr>
              <w:t xml:space="preserve"> </w:t>
            </w:r>
            <w:r w:rsidRPr="00A23740">
              <w:rPr>
                <w:rFonts w:eastAsia="ヒラギノ明朝 Pro W3"/>
                <w:szCs w:val="24"/>
                <w:lang w:eastAsia="tr-TR"/>
              </w:rPr>
              <w:t>Fazla</w:t>
            </w:r>
            <w:r w:rsidRPr="00A23740">
              <w:rPr>
                <w:rFonts w:eastAsia="ヒラギノ明朝 Pro W3"/>
                <w:b/>
                <w:bCs/>
                <w:lang w:eastAsia="tr-TR"/>
              </w:rPr>
              <w:t xml:space="preserve"> </w:t>
            </w:r>
            <w:r w:rsidRPr="00A23740">
              <w:rPr>
                <w:rStyle w:val="MaviChar"/>
                <w:lang w:val="tr-TR"/>
              </w:rPr>
              <w:t>kalan para borçlunun adına,</w:t>
            </w:r>
            <w:r w:rsidRPr="00A23740">
              <w:rPr>
                <w:rFonts w:eastAsia="ヒラギノ明朝 Pro W3"/>
                <w:b/>
                <w:bCs/>
                <w:lang w:eastAsia="tr-TR"/>
              </w:rPr>
              <w:t xml:space="preserve"> </w:t>
            </w:r>
            <w:r w:rsidRPr="00A23740">
              <w:rPr>
                <w:rFonts w:eastAsia="ヒラギノ明朝 Pro W3"/>
                <w:szCs w:val="24"/>
                <w:lang w:eastAsia="tr-TR"/>
              </w:rPr>
              <w:t xml:space="preserve">Adalet Bakanlığınca belirlenen bankalardan birine yatırılır </w:t>
            </w:r>
            <w:r w:rsidRPr="00A23740">
              <w:rPr>
                <w:rStyle w:val="MaviChar"/>
                <w:lang w:val="tr-TR"/>
              </w:rPr>
              <w:t>ve nemalandırılır.</w:t>
            </w:r>
          </w:p>
          <w:p w:rsidR="009C5516" w:rsidRDefault="009C5516" w:rsidP="009431FF">
            <w:pPr>
              <w:widowControl w:val="0"/>
              <w:rPr>
                <w:rStyle w:val="MaviChar"/>
                <w:lang w:val="tr-TR"/>
              </w:rPr>
            </w:pPr>
          </w:p>
          <w:p w:rsidR="009C5516" w:rsidRPr="00A23740" w:rsidRDefault="009C5516" w:rsidP="009431FF">
            <w:pPr>
              <w:widowControl w:val="0"/>
              <w:rPr>
                <w:rFonts w:eastAsia="Times New Roman"/>
                <w:b/>
                <w:bCs/>
                <w:color w:val="0000FF"/>
                <w:szCs w:val="24"/>
                <w:lang w:eastAsia="tr-TR"/>
              </w:rPr>
            </w:pPr>
          </w:p>
          <w:p w:rsidR="00155AF4" w:rsidRPr="00A23740" w:rsidRDefault="00155AF4" w:rsidP="009431FF">
            <w:pPr>
              <w:widowControl w:val="0"/>
              <w:tabs>
                <w:tab w:val="left" w:pos="566"/>
              </w:tabs>
              <w:rPr>
                <w:rFonts w:eastAsia="Times New Roman"/>
                <w:b/>
                <w:bCs/>
                <w:color w:val="0000FF"/>
                <w:szCs w:val="24"/>
                <w:lang w:eastAsia="tr-TR"/>
              </w:rPr>
            </w:pPr>
          </w:p>
        </w:tc>
      </w:tr>
      <w:tr w:rsidR="00155AF4" w:rsidRPr="00A23740" w:rsidTr="009431FF">
        <w:tc>
          <w:tcPr>
            <w:tcW w:w="5000" w:type="pct"/>
            <w:gridSpan w:val="2"/>
            <w:shd w:val="clear" w:color="auto" w:fill="DEEAF6"/>
          </w:tcPr>
          <w:p w:rsidR="001A0BE9" w:rsidRPr="00A23740" w:rsidRDefault="001A0BE9" w:rsidP="009431FF">
            <w:pPr>
              <w:pStyle w:val="Mavi"/>
              <w:ind w:firstLine="709"/>
              <w:rPr>
                <w:color w:val="auto"/>
                <w:lang w:val="tr-TR"/>
              </w:rPr>
            </w:pPr>
          </w:p>
          <w:p w:rsidR="001A0BE9" w:rsidRPr="00A23740" w:rsidRDefault="000830CF" w:rsidP="009431FF">
            <w:pPr>
              <w:pStyle w:val="Mavi"/>
              <w:ind w:firstLine="709"/>
              <w:rPr>
                <w:b w:val="0"/>
                <w:color w:val="auto"/>
                <w:lang w:val="tr-TR"/>
              </w:rPr>
            </w:pPr>
            <w:r w:rsidRPr="00A23740">
              <w:rPr>
                <w:color w:val="auto"/>
                <w:lang w:val="tr-TR"/>
              </w:rPr>
              <w:t xml:space="preserve">MADDE 73- </w:t>
            </w:r>
            <w:r w:rsidRPr="00A23740">
              <w:rPr>
                <w:b w:val="0"/>
                <w:color w:val="auto"/>
                <w:lang w:val="tr-TR"/>
              </w:rPr>
              <w:t>Madde</w:t>
            </w:r>
            <w:r w:rsidR="001A0BE9" w:rsidRPr="00A23740">
              <w:rPr>
                <w:b w:val="0"/>
                <w:color w:val="auto"/>
                <w:lang w:val="tr-TR"/>
              </w:rPr>
              <w:t>yle,</w:t>
            </w:r>
            <w:r w:rsidRPr="00A23740">
              <w:rPr>
                <w:b w:val="0"/>
                <w:color w:val="auto"/>
                <w:lang w:val="tr-TR"/>
              </w:rPr>
              <w:t xml:space="preserve"> taşınmazın borçlunun elinde olması h</w:t>
            </w:r>
            <w:r w:rsidR="002F2BAA" w:rsidRPr="00A23740">
              <w:rPr>
                <w:b w:val="0"/>
                <w:color w:val="auto"/>
                <w:lang w:val="tr-TR"/>
              </w:rPr>
              <w:t>â</w:t>
            </w:r>
            <w:r w:rsidRPr="00A23740">
              <w:rPr>
                <w:b w:val="0"/>
                <w:color w:val="auto"/>
                <w:lang w:val="tr-TR"/>
              </w:rPr>
              <w:t>linde t</w:t>
            </w:r>
            <w:r w:rsidR="00656484" w:rsidRPr="00A23740">
              <w:rPr>
                <w:b w:val="0"/>
                <w:color w:val="auto"/>
                <w:lang w:val="tr-TR"/>
              </w:rPr>
              <w:t>ahliye ve teslimin nasıl yapılacağı</w:t>
            </w:r>
            <w:r w:rsidRPr="00A23740">
              <w:rPr>
                <w:b w:val="0"/>
                <w:color w:val="auto"/>
                <w:lang w:val="tr-TR"/>
              </w:rPr>
              <w:t xml:space="preserve"> düzenlenmektedir</w:t>
            </w:r>
            <w:r w:rsidR="001A0BE9" w:rsidRPr="00A23740">
              <w:rPr>
                <w:b w:val="0"/>
                <w:color w:val="auto"/>
                <w:lang w:val="tr-TR"/>
              </w:rPr>
              <w:t xml:space="preserve">. Hüküm, </w:t>
            </w:r>
            <w:r w:rsidRPr="00A23740">
              <w:rPr>
                <w:b w:val="0"/>
                <w:color w:val="auto"/>
                <w:lang w:val="tr-TR"/>
              </w:rPr>
              <w:t>büyük ölçüde 2004 sayılı Kanu</w:t>
            </w:r>
            <w:r w:rsidR="00656484" w:rsidRPr="00A23740">
              <w:rPr>
                <w:b w:val="0"/>
                <w:color w:val="auto"/>
                <w:lang w:val="tr-TR"/>
              </w:rPr>
              <w:t>n</w:t>
            </w:r>
            <w:r w:rsidRPr="00A23740">
              <w:rPr>
                <w:b w:val="0"/>
                <w:color w:val="auto"/>
                <w:lang w:val="tr-TR"/>
              </w:rPr>
              <w:t>un 26</w:t>
            </w:r>
            <w:r w:rsidR="001A0BE9" w:rsidRPr="00A23740">
              <w:rPr>
                <w:b w:val="0"/>
                <w:color w:val="auto"/>
                <w:lang w:val="tr-TR"/>
              </w:rPr>
              <w:t xml:space="preserve"> </w:t>
            </w:r>
            <w:r w:rsidRPr="00A23740">
              <w:rPr>
                <w:b w:val="0"/>
                <w:color w:val="auto"/>
                <w:lang w:val="tr-TR"/>
              </w:rPr>
              <w:t>ncı maddesinin dördüncü fıkrasını karşılamaktadır. Madde daha açık ve anlaşılır şekilde kaleme alınm</w:t>
            </w:r>
            <w:r w:rsidR="001A0BE9" w:rsidRPr="00A23740">
              <w:rPr>
                <w:b w:val="0"/>
                <w:color w:val="auto"/>
                <w:lang w:val="tr-TR"/>
              </w:rPr>
              <w:t>akta</w:t>
            </w:r>
            <w:r w:rsidRPr="00A23740">
              <w:rPr>
                <w:b w:val="0"/>
                <w:color w:val="auto"/>
                <w:lang w:val="tr-TR"/>
              </w:rPr>
              <w:t xml:space="preserve"> ve uygulamada sorunlara yol açan hususlara ilişkin olarak metne bazı ilaveler yapılm</w:t>
            </w:r>
            <w:r w:rsidR="001A0BE9" w:rsidRPr="00A23740">
              <w:rPr>
                <w:b w:val="0"/>
                <w:color w:val="auto"/>
                <w:lang w:val="tr-TR"/>
              </w:rPr>
              <w:t xml:space="preserve">aktadır. </w:t>
            </w:r>
            <w:r w:rsidRPr="00A23740">
              <w:rPr>
                <w:b w:val="0"/>
                <w:color w:val="auto"/>
                <w:lang w:val="tr-TR"/>
              </w:rPr>
              <w:t xml:space="preserve">Temel </w:t>
            </w:r>
            <w:r w:rsidR="001A0BE9" w:rsidRPr="00A23740">
              <w:rPr>
                <w:b w:val="0"/>
                <w:color w:val="auto"/>
                <w:lang w:val="tr-TR"/>
              </w:rPr>
              <w:t>ilkelerde</w:t>
            </w:r>
            <w:r w:rsidRPr="00A23740">
              <w:rPr>
                <w:b w:val="0"/>
                <w:color w:val="auto"/>
                <w:lang w:val="tr-TR"/>
              </w:rPr>
              <w:t xml:space="preserve"> bir değişiklik yoktur. </w:t>
            </w:r>
          </w:p>
          <w:p w:rsidR="001A0BE9" w:rsidRPr="00A23740" w:rsidRDefault="001A0BE9" w:rsidP="009431FF">
            <w:pPr>
              <w:pStyle w:val="Mavi"/>
              <w:ind w:firstLine="709"/>
              <w:rPr>
                <w:b w:val="0"/>
                <w:color w:val="auto"/>
                <w:lang w:val="tr-TR"/>
              </w:rPr>
            </w:pPr>
            <w:r w:rsidRPr="00A23740">
              <w:rPr>
                <w:b w:val="0"/>
                <w:color w:val="auto"/>
                <w:lang w:val="tr-TR"/>
              </w:rPr>
              <w:t xml:space="preserve">Birinci fıkrayla, borçlunun, icra </w:t>
            </w:r>
            <w:r w:rsidR="00DB44FC" w:rsidRPr="00A23740">
              <w:rPr>
                <w:b w:val="0"/>
                <w:color w:val="auto"/>
                <w:lang w:val="tr-TR"/>
              </w:rPr>
              <w:t xml:space="preserve">emriyle </w:t>
            </w:r>
            <w:r w:rsidRPr="00A23740">
              <w:rPr>
                <w:b w:val="0"/>
                <w:color w:val="auto"/>
                <w:lang w:val="tr-TR"/>
              </w:rPr>
              <w:t xml:space="preserve">verilen süre içinde taşınmazı tahliye ve teslim </w:t>
            </w:r>
            <w:r w:rsidR="00DB44FC" w:rsidRPr="00A23740">
              <w:rPr>
                <w:b w:val="0"/>
                <w:color w:val="auto"/>
                <w:lang w:val="tr-TR"/>
              </w:rPr>
              <w:t xml:space="preserve">etmemesi hâinde </w:t>
            </w:r>
            <w:r w:rsidRPr="00A23740">
              <w:rPr>
                <w:b w:val="0"/>
                <w:color w:val="auto"/>
                <w:lang w:val="tr-TR"/>
              </w:rPr>
              <w:t>taşınmazdan zorla çıkarılarak taşınmaz</w:t>
            </w:r>
            <w:r w:rsidR="00DB44FC" w:rsidRPr="00A23740">
              <w:rPr>
                <w:b w:val="0"/>
                <w:color w:val="auto"/>
                <w:lang w:val="tr-TR"/>
              </w:rPr>
              <w:t>ın</w:t>
            </w:r>
            <w:r w:rsidRPr="00A23740">
              <w:rPr>
                <w:b w:val="0"/>
                <w:color w:val="auto"/>
                <w:lang w:val="tr-TR"/>
              </w:rPr>
              <w:t xml:space="preserve"> alacaklıya teslim edileceği belirtilmektedir.</w:t>
            </w:r>
          </w:p>
          <w:p w:rsidR="001A0BE9" w:rsidRPr="00A23740" w:rsidRDefault="001A0BE9" w:rsidP="009431FF">
            <w:pPr>
              <w:pStyle w:val="Mavi"/>
              <w:ind w:firstLine="709"/>
              <w:rPr>
                <w:b w:val="0"/>
                <w:color w:val="auto"/>
                <w:lang w:val="tr-TR"/>
              </w:rPr>
            </w:pPr>
            <w:r w:rsidRPr="00A23740">
              <w:rPr>
                <w:b w:val="0"/>
                <w:color w:val="auto"/>
                <w:lang w:val="tr-TR"/>
              </w:rPr>
              <w:t xml:space="preserve">İkinci fıkrayla, taşınmaz içinde bulunan eşya hakkında yapılacak işlemler düzenlenmektedir. </w:t>
            </w:r>
            <w:r w:rsidR="000830CF" w:rsidRPr="00A23740">
              <w:rPr>
                <w:b w:val="0"/>
                <w:color w:val="auto"/>
                <w:lang w:val="tr-TR"/>
              </w:rPr>
              <w:t>Buna göre, taşınmazın içinde bulunmakla birlikte ilamda belirtilmeyen eşya borçluya; borçlunun bulunmaması h</w:t>
            </w:r>
            <w:r w:rsidR="002F2BAA" w:rsidRPr="00A23740">
              <w:rPr>
                <w:b w:val="0"/>
                <w:color w:val="auto"/>
                <w:lang w:val="tr-TR"/>
              </w:rPr>
              <w:t>â</w:t>
            </w:r>
            <w:r w:rsidR="000830CF" w:rsidRPr="00A23740">
              <w:rPr>
                <w:b w:val="0"/>
                <w:color w:val="auto"/>
                <w:lang w:val="tr-TR"/>
              </w:rPr>
              <w:t>linde vekiline veya adına tebligatı kabule yetkili e</w:t>
            </w:r>
            <w:r w:rsidR="00656484" w:rsidRPr="00A23740">
              <w:rPr>
                <w:b w:val="0"/>
                <w:color w:val="auto"/>
                <w:lang w:val="tr-TR"/>
              </w:rPr>
              <w:t>rgin bir kişiye teslim edil</w:t>
            </w:r>
            <w:r w:rsidR="000830CF" w:rsidRPr="00A23740">
              <w:rPr>
                <w:b w:val="0"/>
                <w:color w:val="auto"/>
                <w:lang w:val="tr-TR"/>
              </w:rPr>
              <w:t>ir. Bu kişilerin malları teslim almaktan kaçınması ya da bunlardan kimsenin bulunmaması h</w:t>
            </w:r>
            <w:r w:rsidR="002F2BAA" w:rsidRPr="00A23740">
              <w:rPr>
                <w:b w:val="0"/>
                <w:color w:val="auto"/>
                <w:lang w:val="tr-TR"/>
              </w:rPr>
              <w:t>â</w:t>
            </w:r>
            <w:r w:rsidR="000830CF" w:rsidRPr="00A23740">
              <w:rPr>
                <w:b w:val="0"/>
                <w:color w:val="auto"/>
                <w:lang w:val="tr-TR"/>
              </w:rPr>
              <w:t>linde, kıymet takdiri yapılarak listesi tutulan eşya, alacaklının yedinde veya giderleri ileride borçluya ödetilmek üzere iki aylık muhafaza gideri alacaklıdan peşin alınarak yedie</w:t>
            </w:r>
            <w:r w:rsidR="00656484" w:rsidRPr="00A23740">
              <w:rPr>
                <w:b w:val="0"/>
                <w:color w:val="auto"/>
                <w:lang w:val="tr-TR"/>
              </w:rPr>
              <w:t>min deposunda muhafaza edil</w:t>
            </w:r>
            <w:r w:rsidR="000830CF" w:rsidRPr="00A23740">
              <w:rPr>
                <w:b w:val="0"/>
                <w:color w:val="auto"/>
                <w:lang w:val="tr-TR"/>
              </w:rPr>
              <w:t>ir. Burada önemli bir değişiklik, söz konusu malların listesi tutulurken değer takdirinin de yapılacak olmasıdır. Bu uygulama daha sonra malların paraya çevrilmesi aşamasında kolaylık sağlaya</w:t>
            </w:r>
            <w:r w:rsidR="000A53A0" w:rsidRPr="00A23740">
              <w:rPr>
                <w:b w:val="0"/>
                <w:color w:val="auto"/>
                <w:lang w:val="tr-TR"/>
              </w:rPr>
              <w:t>cağı</w:t>
            </w:r>
            <w:r w:rsidR="000830CF" w:rsidRPr="00A23740">
              <w:rPr>
                <w:b w:val="0"/>
                <w:color w:val="auto"/>
                <w:lang w:val="tr-TR"/>
              </w:rPr>
              <w:t xml:space="preserve"> gibi taşınmazdan çıkartılan malların değerlerinin bilinmesi, muhafaza şartlarının hadiseye uygun olarak belirlenmesinde de ic</w:t>
            </w:r>
            <w:r w:rsidR="00A70D92" w:rsidRPr="00A23740">
              <w:rPr>
                <w:b w:val="0"/>
                <w:color w:val="auto"/>
                <w:lang w:val="tr-TR"/>
              </w:rPr>
              <w:t xml:space="preserve">ra </w:t>
            </w:r>
            <w:r w:rsidR="007D74DD" w:rsidRPr="008D10FA">
              <w:rPr>
                <w:b w:val="0"/>
                <w:color w:val="auto"/>
                <w:lang w:val="tr-TR"/>
              </w:rPr>
              <w:t>ve iflas</w:t>
            </w:r>
            <w:r w:rsidR="007D74DD" w:rsidRPr="00A23740">
              <w:rPr>
                <w:b w:val="0"/>
                <w:color w:val="385623"/>
                <w:lang w:val="tr-TR"/>
              </w:rPr>
              <w:t xml:space="preserve"> </w:t>
            </w:r>
            <w:r w:rsidR="00A70D92" w:rsidRPr="00A23740">
              <w:rPr>
                <w:b w:val="0"/>
                <w:color w:val="auto"/>
                <w:lang w:val="tr-TR"/>
              </w:rPr>
              <w:t>müdürüne yardımcı olacaktır.</w:t>
            </w:r>
          </w:p>
          <w:p w:rsidR="000830CF" w:rsidRPr="00A23740" w:rsidRDefault="000830CF" w:rsidP="009431FF">
            <w:pPr>
              <w:pStyle w:val="Mavi"/>
              <w:ind w:firstLine="709"/>
              <w:rPr>
                <w:color w:val="auto"/>
                <w:lang w:val="tr-TR"/>
              </w:rPr>
            </w:pPr>
            <w:r w:rsidRPr="00A23740">
              <w:rPr>
                <w:b w:val="0"/>
                <w:color w:val="auto"/>
                <w:lang w:val="tr-TR"/>
              </w:rPr>
              <w:t>Üçüncü fıkrada</w:t>
            </w:r>
            <w:r w:rsidR="00656484" w:rsidRPr="00A23740">
              <w:rPr>
                <w:b w:val="0"/>
                <w:color w:val="auto"/>
                <w:lang w:val="tr-TR"/>
              </w:rPr>
              <w:t>,</w:t>
            </w:r>
            <w:r w:rsidRPr="00A23740">
              <w:rPr>
                <w:b w:val="0"/>
                <w:color w:val="auto"/>
                <w:lang w:val="tr-TR"/>
              </w:rPr>
              <w:t xml:space="preserve"> borçluya yapılacak tebligat ve diğer hususlar düzenlenmektedir. </w:t>
            </w:r>
            <w:r w:rsidR="00EE5F9F" w:rsidRPr="00A23740">
              <w:rPr>
                <w:b w:val="0"/>
                <w:color w:val="auto"/>
                <w:lang w:val="tr-TR"/>
              </w:rPr>
              <w:t>Hükme göre icra ve iflas dairesince, derh</w:t>
            </w:r>
            <w:r w:rsidR="00DF22A1" w:rsidRPr="00A23740">
              <w:rPr>
                <w:b w:val="0"/>
                <w:color w:val="auto"/>
                <w:lang w:val="tr-TR"/>
              </w:rPr>
              <w:t>â</w:t>
            </w:r>
            <w:r w:rsidR="00EE5F9F" w:rsidRPr="00A23740">
              <w:rPr>
                <w:b w:val="0"/>
                <w:color w:val="auto"/>
                <w:lang w:val="tr-TR"/>
              </w:rPr>
              <w:t>l borçluya tebligat çıkarılarak yediemindeki veya alacaklı nezdindeki eşyayı bir ay içinde alması ve muhafaza giderlerini ödemesi, aksi h</w:t>
            </w:r>
            <w:r w:rsidR="002F2BAA" w:rsidRPr="00A23740">
              <w:rPr>
                <w:b w:val="0"/>
                <w:color w:val="auto"/>
                <w:lang w:val="tr-TR"/>
              </w:rPr>
              <w:t>â</w:t>
            </w:r>
            <w:r w:rsidR="00EE5F9F" w:rsidRPr="00A23740">
              <w:rPr>
                <w:b w:val="0"/>
                <w:color w:val="auto"/>
                <w:lang w:val="tr-TR"/>
              </w:rPr>
              <w:t>lde eşyanın icra hukuk mahkemesi kararıyla satılacağı ihtar edilir. 2004 sayılı Kanundan farklı olarak borçlunun malları alma ve masrafları ödeme süresi her h</w:t>
            </w:r>
            <w:r w:rsidR="002F2BAA" w:rsidRPr="00A23740">
              <w:rPr>
                <w:b w:val="0"/>
                <w:color w:val="auto"/>
                <w:lang w:val="tr-TR"/>
              </w:rPr>
              <w:t>â</w:t>
            </w:r>
            <w:r w:rsidR="00EE5F9F" w:rsidRPr="00A23740">
              <w:rPr>
                <w:b w:val="0"/>
                <w:color w:val="auto"/>
                <w:lang w:val="tr-TR"/>
              </w:rPr>
              <w:t>lük</w:t>
            </w:r>
            <w:r w:rsidR="002F2BAA" w:rsidRPr="00A23740">
              <w:rPr>
                <w:b w:val="0"/>
                <w:color w:val="auto"/>
                <w:lang w:val="tr-TR"/>
              </w:rPr>
              <w:t>â</w:t>
            </w:r>
            <w:r w:rsidR="00EE5F9F" w:rsidRPr="00A23740">
              <w:rPr>
                <w:b w:val="0"/>
                <w:color w:val="auto"/>
                <w:lang w:val="tr-TR"/>
              </w:rPr>
              <w:t>rda bir ay olarak belirlenmektedir.</w:t>
            </w:r>
            <w:r w:rsidR="008E1E07" w:rsidRPr="00A23740">
              <w:rPr>
                <w:b w:val="0"/>
                <w:color w:val="auto"/>
                <w:lang w:val="tr-TR"/>
              </w:rPr>
              <w:t xml:space="preserve"> </w:t>
            </w:r>
            <w:r w:rsidR="00EE5F9F" w:rsidRPr="00A23740">
              <w:rPr>
                <w:b w:val="0"/>
                <w:color w:val="auto"/>
                <w:lang w:val="tr-TR"/>
              </w:rPr>
              <w:t xml:space="preserve">İhtara rağmen borçlu eşyayı teslim almaz veya giderleri ödemekten kaçınırsa ya da gerektiğinde ve özellikle ihtarın borçluya tebliğine kadar eşyanın bozulma olasılığı varsa yahut muhafaza giderinin eşyanın kıymetine yakın bir değere yükseldiğini görürse icra ve iflas dairesi, icra hukuk mahkemesi kararıyla bunları satar. </w:t>
            </w:r>
            <w:r w:rsidR="00656484" w:rsidRPr="00A23740">
              <w:rPr>
                <w:b w:val="0"/>
                <w:color w:val="auto"/>
                <w:lang w:val="tr-TR"/>
              </w:rPr>
              <w:t>Hükümde anlaşıldığı üzere 2004 sayılı Kanunun 24 üncü maddesinin dördüncü fıkrasında yer alan “</w:t>
            </w:r>
            <w:r w:rsidR="008E1E07" w:rsidRPr="00A23740">
              <w:rPr>
                <w:b w:val="0"/>
                <w:color w:val="auto"/>
                <w:lang w:val="tr-TR"/>
              </w:rPr>
              <w:t>lüzum görülürse</w:t>
            </w:r>
            <w:r w:rsidR="00656484" w:rsidRPr="00A23740">
              <w:rPr>
                <w:b w:val="0"/>
                <w:color w:val="auto"/>
                <w:lang w:val="tr-TR"/>
              </w:rPr>
              <w:t>”</w:t>
            </w:r>
            <w:r w:rsidR="008E1E07" w:rsidRPr="00A23740">
              <w:rPr>
                <w:b w:val="0"/>
                <w:color w:val="auto"/>
                <w:lang w:val="tr-TR"/>
              </w:rPr>
              <w:t xml:space="preserve"> h</w:t>
            </w:r>
            <w:r w:rsidR="002F2BAA" w:rsidRPr="00A23740">
              <w:rPr>
                <w:b w:val="0"/>
                <w:color w:val="auto"/>
                <w:lang w:val="tr-TR"/>
              </w:rPr>
              <w:t>â</w:t>
            </w:r>
            <w:r w:rsidR="008E1E07" w:rsidRPr="00A23740">
              <w:rPr>
                <w:b w:val="0"/>
                <w:color w:val="auto"/>
                <w:lang w:val="tr-TR"/>
              </w:rPr>
              <w:t xml:space="preserve">li </w:t>
            </w:r>
            <w:r w:rsidR="00656484" w:rsidRPr="00A23740">
              <w:rPr>
                <w:b w:val="0"/>
                <w:color w:val="auto"/>
                <w:lang w:val="tr-TR"/>
              </w:rPr>
              <w:t>fıkra</w:t>
            </w:r>
            <w:r w:rsidR="008E1E07" w:rsidRPr="00A23740">
              <w:rPr>
                <w:b w:val="0"/>
                <w:color w:val="auto"/>
                <w:lang w:val="tr-TR"/>
              </w:rPr>
              <w:t xml:space="preserve"> metninde ayrıntılı olarak açıklanmaktadır. </w:t>
            </w:r>
            <w:r w:rsidR="00656484" w:rsidRPr="00A23740">
              <w:rPr>
                <w:b w:val="0"/>
                <w:color w:val="auto"/>
                <w:lang w:val="tr-TR"/>
              </w:rPr>
              <w:t>İcra dairesi satış masraflarından, satış bedeli ve</w:t>
            </w:r>
            <w:r w:rsidR="00EE5F9F" w:rsidRPr="00A23740">
              <w:rPr>
                <w:b w:val="0"/>
                <w:color w:val="auto"/>
                <w:lang w:val="tr-TR"/>
              </w:rPr>
              <w:t xml:space="preserve"> muhafaza giderleri</w:t>
            </w:r>
            <w:r w:rsidR="00656484" w:rsidRPr="00A23740">
              <w:rPr>
                <w:b w:val="0"/>
                <w:color w:val="auto"/>
                <w:lang w:val="tr-TR"/>
              </w:rPr>
              <w:t xml:space="preserve"> ile</w:t>
            </w:r>
            <w:r w:rsidR="00EE5F9F" w:rsidRPr="00A23740">
              <w:rPr>
                <w:b w:val="0"/>
                <w:color w:val="auto"/>
                <w:lang w:val="tr-TR"/>
              </w:rPr>
              <w:t xml:space="preserve"> varsa ilamda hükmedilen ecrimisil alacağı</w:t>
            </w:r>
            <w:r w:rsidR="00656484" w:rsidRPr="00A23740">
              <w:rPr>
                <w:b w:val="0"/>
                <w:color w:val="auto"/>
                <w:lang w:val="tr-TR"/>
              </w:rPr>
              <w:t>,</w:t>
            </w:r>
            <w:r w:rsidR="00EE5F9F" w:rsidRPr="00A23740">
              <w:rPr>
                <w:b w:val="0"/>
                <w:color w:val="auto"/>
                <w:lang w:val="tr-TR"/>
              </w:rPr>
              <w:t xml:space="preserve"> yargılama ve icra giderlerini öder. </w:t>
            </w:r>
            <w:r w:rsidR="009B76E3" w:rsidRPr="00A23740">
              <w:rPr>
                <w:b w:val="0"/>
                <w:color w:val="auto"/>
                <w:lang w:val="tr-TR"/>
              </w:rPr>
              <w:t xml:space="preserve">Görüldüğü üzere masrafların nelerden ibaret olduğu hükümde açıkça ifade edilmektedir. </w:t>
            </w:r>
            <w:r w:rsidR="00EE5F9F" w:rsidRPr="00A23740">
              <w:rPr>
                <w:b w:val="0"/>
                <w:color w:val="auto"/>
                <w:lang w:val="tr-TR"/>
              </w:rPr>
              <w:t xml:space="preserve">Fazla kalan para, borçlu adına Adalet Bakanlığınca belirlenen bankalardan birine yatırılır ve </w:t>
            </w:r>
            <w:r w:rsidR="00A70D92" w:rsidRPr="00A23740">
              <w:rPr>
                <w:b w:val="0"/>
                <w:color w:val="auto"/>
                <w:lang w:val="tr-TR"/>
              </w:rPr>
              <w:t xml:space="preserve">alım gücünün korunması amacıyla </w:t>
            </w:r>
            <w:r w:rsidR="00EE5F9F" w:rsidRPr="00A23740">
              <w:rPr>
                <w:b w:val="0"/>
                <w:color w:val="auto"/>
                <w:lang w:val="tr-TR"/>
              </w:rPr>
              <w:t>nemalandırılır.</w:t>
            </w:r>
          </w:p>
          <w:p w:rsidR="000830CF" w:rsidRPr="00A23740" w:rsidRDefault="000830CF"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Fonts w:eastAsia="Times New Roman"/>
                <w:b/>
                <w:bCs/>
                <w:strike/>
                <w:color w:val="FF0000"/>
                <w:szCs w:val="24"/>
                <w:lang w:eastAsia="tr-TR"/>
              </w:rPr>
              <w:t>2 –</w:t>
            </w:r>
            <w:r w:rsidRPr="00A23740">
              <w:rPr>
                <w:rFonts w:eastAsia="Times New Roman"/>
                <w:b/>
                <w:bCs/>
                <w:szCs w:val="24"/>
                <w:lang w:eastAsia="tr-TR"/>
              </w:rPr>
              <w:t xml:space="preserve"> Taşınmaz üçüncü </w:t>
            </w:r>
            <w:r w:rsidRPr="00A23740">
              <w:rPr>
                <w:rFonts w:eastAsia="Times New Roman"/>
                <w:b/>
                <w:bCs/>
                <w:strike/>
                <w:color w:val="FF0000"/>
                <w:szCs w:val="24"/>
                <w:lang w:eastAsia="tr-TR"/>
              </w:rPr>
              <w:t>şahıs</w:t>
            </w:r>
            <w:r w:rsidRPr="00A23740">
              <w:rPr>
                <w:rFonts w:eastAsia="Times New Roman"/>
                <w:b/>
                <w:bCs/>
                <w:szCs w:val="24"/>
                <w:lang w:eastAsia="tr-TR"/>
              </w:rPr>
              <w:t xml:space="preserve"> elinde</w:t>
            </w:r>
            <w:r w:rsidRPr="00A23740">
              <w:rPr>
                <w:rFonts w:eastAsia="Times New Roman"/>
                <w:b/>
                <w:bCs/>
                <w:color w:val="FF0000"/>
                <w:szCs w:val="24"/>
                <w:lang w:eastAsia="tr-TR"/>
              </w:rPr>
              <w:t xml:space="preserve"> </w:t>
            </w:r>
            <w:r w:rsidRPr="00A23740">
              <w:rPr>
                <w:rFonts w:eastAsia="Times New Roman"/>
                <w:b/>
                <w:bCs/>
                <w:strike/>
                <w:color w:val="FF0000"/>
                <w:szCs w:val="24"/>
                <w:lang w:eastAsia="tr-TR"/>
              </w:rPr>
              <w:t>ise</w:t>
            </w:r>
          </w:p>
          <w:p w:rsidR="00155AF4" w:rsidRPr="00A23740" w:rsidRDefault="00155AF4" w:rsidP="009431FF">
            <w:pPr>
              <w:tabs>
                <w:tab w:val="left" w:pos="567"/>
              </w:tabs>
              <w:rPr>
                <w:rFonts w:eastAsia="Times New Roman"/>
                <w:szCs w:val="24"/>
                <w:lang w:eastAsia="tr-TR"/>
              </w:rPr>
            </w:pPr>
            <w:r w:rsidRPr="00A23740">
              <w:rPr>
                <w:rStyle w:val="KIRMIZIChar"/>
                <w:rFonts w:eastAsia="Calibri"/>
              </w:rPr>
              <w:t>Madde 27 – (1)</w:t>
            </w:r>
            <w:r w:rsidRPr="00A23740">
              <w:rPr>
                <w:rFonts w:eastAsia="Times New Roman"/>
                <w:b/>
                <w:bCs/>
                <w:szCs w:val="24"/>
                <w:lang w:eastAsia="tr-TR"/>
              </w:rPr>
              <w:t xml:space="preserve"> </w:t>
            </w:r>
            <w:r w:rsidRPr="00A23740">
              <w:rPr>
                <w:rFonts w:eastAsia="Times New Roman"/>
                <w:szCs w:val="24"/>
                <w:lang w:eastAsia="tr-TR"/>
              </w:rPr>
              <w:t xml:space="preserve">Taşınmaz, üçüncü </w:t>
            </w:r>
            <w:r w:rsidRPr="00A23740">
              <w:rPr>
                <w:rStyle w:val="KIRMIZIChar"/>
                <w:rFonts w:eastAsia="Calibri"/>
              </w:rPr>
              <w:t>bir şahıs</w:t>
            </w:r>
            <w:r w:rsidRPr="00A23740">
              <w:rPr>
                <w:rFonts w:eastAsia="Times New Roman"/>
                <w:szCs w:val="24"/>
                <w:lang w:eastAsia="tr-TR"/>
              </w:rPr>
              <w:t xml:space="preserve"> tarafından dava</w:t>
            </w:r>
            <w:r w:rsidRPr="00A23740">
              <w:rPr>
                <w:rStyle w:val="KIRMIZIChar"/>
                <w:rFonts w:eastAsia="Calibri"/>
              </w:rPr>
              <w:t>dan</w:t>
            </w:r>
            <w:r w:rsidRPr="00A23740">
              <w:rPr>
                <w:rFonts w:eastAsia="Times New Roman"/>
                <w:szCs w:val="24"/>
                <w:lang w:eastAsia="tr-TR"/>
              </w:rPr>
              <w:t xml:space="preserve"> sonra ve hükümden </w:t>
            </w:r>
            <w:r w:rsidRPr="00A23740">
              <w:rPr>
                <w:rStyle w:val="KIRMIZIChar"/>
                <w:rFonts w:eastAsia="Calibri"/>
              </w:rPr>
              <w:t>evvel</w:t>
            </w:r>
            <w:r w:rsidRPr="00A23740">
              <w:rPr>
                <w:rFonts w:eastAsia="Times New Roman"/>
                <w:szCs w:val="24"/>
                <w:lang w:eastAsia="tr-TR"/>
              </w:rPr>
              <w:t xml:space="preserve"> tapuya tescil edilmiş bir </w:t>
            </w:r>
            <w:r w:rsidRPr="00A23740">
              <w:rPr>
                <w:rFonts w:eastAsia="Times New Roman"/>
                <w:b/>
                <w:bCs/>
                <w:strike/>
                <w:color w:val="FF0000"/>
                <w:szCs w:val="24"/>
                <w:lang w:eastAsia="tr-TR"/>
              </w:rPr>
              <w:t>akte</w:t>
            </w:r>
            <w:r w:rsidRPr="00A23740">
              <w:rPr>
                <w:rFonts w:eastAsia="Times New Roman"/>
                <w:szCs w:val="24"/>
                <w:lang w:eastAsia="tr-TR"/>
              </w:rPr>
              <w:t xml:space="preserve"> </w:t>
            </w:r>
            <w:r w:rsidRPr="00A23740">
              <w:rPr>
                <w:rFonts w:eastAsia="Times New Roman"/>
                <w:b/>
                <w:bCs/>
                <w:strike/>
                <w:color w:val="FF0000"/>
                <w:szCs w:val="24"/>
                <w:lang w:eastAsia="tr-TR"/>
              </w:rPr>
              <w:t>müsteniden</w:t>
            </w:r>
            <w:r w:rsidRPr="00A23740">
              <w:rPr>
                <w:rFonts w:eastAsia="Times New Roman"/>
                <w:szCs w:val="24"/>
                <w:lang w:eastAsia="tr-TR"/>
              </w:rPr>
              <w:t xml:space="preserve"> işgal edilmekte ise alacaklı borçlunun </w:t>
            </w:r>
            <w:r w:rsidRPr="00A23740">
              <w:rPr>
                <w:rStyle w:val="KIRMIZIChar"/>
                <w:rFonts w:eastAsia="Calibri"/>
              </w:rPr>
              <w:t>o şahsa</w:t>
            </w:r>
            <w:r w:rsidRPr="00A23740">
              <w:rPr>
                <w:rFonts w:eastAsia="Times New Roman"/>
                <w:szCs w:val="24"/>
                <w:lang w:eastAsia="tr-TR"/>
              </w:rPr>
              <w:t xml:space="preserve"> karşı </w:t>
            </w:r>
            <w:r w:rsidRPr="00A23740">
              <w:rPr>
                <w:rFonts w:eastAsia="Times New Roman"/>
                <w:b/>
                <w:bCs/>
                <w:strike/>
                <w:color w:val="FF0000"/>
                <w:szCs w:val="24"/>
                <w:lang w:eastAsia="tr-TR"/>
              </w:rPr>
              <w:t>malik</w:t>
            </w:r>
            <w:r w:rsidRPr="00A23740">
              <w:rPr>
                <w:rFonts w:eastAsia="Times New Roman"/>
                <w:szCs w:val="24"/>
                <w:lang w:eastAsia="tr-TR"/>
              </w:rPr>
              <w:t xml:space="preserve"> olduğu hakları haiz olur. </w:t>
            </w:r>
          </w:p>
          <w:p w:rsidR="00155AF4" w:rsidRPr="00A23740" w:rsidRDefault="00155AF4" w:rsidP="009431FF">
            <w:pPr>
              <w:rPr>
                <w:rFonts w:eastAsia="Times New Roman"/>
                <w:szCs w:val="24"/>
                <w:lang w:eastAsia="tr-TR"/>
              </w:rPr>
            </w:pPr>
          </w:p>
          <w:p w:rsidR="00155AF4" w:rsidRPr="00A23740" w:rsidRDefault="00155AF4" w:rsidP="009431FF">
            <w:pPr>
              <w:rPr>
                <w:rFonts w:eastAsia="Times New Roman"/>
                <w:szCs w:val="24"/>
                <w:lang w:eastAsia="tr-TR"/>
              </w:rPr>
            </w:pPr>
          </w:p>
          <w:p w:rsidR="00155AF4" w:rsidRPr="00A23740" w:rsidRDefault="00155AF4" w:rsidP="009431FF">
            <w:pPr>
              <w:tabs>
                <w:tab w:val="left" w:pos="567"/>
              </w:tabs>
              <w:rPr>
                <w:rFonts w:eastAsia="Times New Roman"/>
                <w:szCs w:val="24"/>
                <w:lang w:eastAsia="tr-TR"/>
              </w:rPr>
            </w:pPr>
            <w:r w:rsidRPr="00A23740">
              <w:rPr>
                <w:rStyle w:val="KIRMIZIChar"/>
                <w:rFonts w:eastAsia="Calibri"/>
              </w:rPr>
              <w:lastRenderedPageBreak/>
              <w:t>(2) Bu şıkkı ihtiyar etmezse borçlusuna karşı</w:t>
            </w:r>
            <w:r w:rsidRPr="00A23740">
              <w:rPr>
                <w:rFonts w:eastAsia="Times New Roman"/>
                <w:szCs w:val="24"/>
                <w:lang w:eastAsia="tr-TR"/>
              </w:rPr>
              <w:t xml:space="preserve"> tazminat davası açabilir.</w:t>
            </w:r>
          </w:p>
          <w:p w:rsidR="00155AF4" w:rsidRPr="00A23740" w:rsidRDefault="00155AF4" w:rsidP="009431FF">
            <w:pPr>
              <w:tabs>
                <w:tab w:val="left" w:pos="567"/>
              </w:tabs>
              <w:rPr>
                <w:rFonts w:eastAsia="Times New Roman"/>
                <w:szCs w:val="24"/>
                <w:lang w:eastAsia="tr-TR"/>
              </w:rPr>
            </w:pPr>
          </w:p>
          <w:p w:rsidR="00155AF4" w:rsidRPr="00A23740" w:rsidRDefault="00155AF4" w:rsidP="009431FF">
            <w:pPr>
              <w:tabs>
                <w:tab w:val="left" w:pos="567"/>
              </w:tabs>
              <w:rPr>
                <w:rStyle w:val="KIRMIZIChar"/>
                <w:rFonts w:eastAsia="Calibri"/>
              </w:rPr>
            </w:pPr>
          </w:p>
          <w:p w:rsidR="00155AF4" w:rsidRPr="00A23740" w:rsidRDefault="00155AF4" w:rsidP="009431FF">
            <w:pPr>
              <w:tabs>
                <w:tab w:val="left" w:pos="567"/>
              </w:tabs>
              <w:rPr>
                <w:rFonts w:eastAsia="Times New Roman"/>
                <w:b/>
                <w:bCs/>
                <w:strike/>
                <w:color w:val="FF0000"/>
                <w:szCs w:val="24"/>
                <w:lang w:eastAsia="tr-TR"/>
              </w:rPr>
            </w:pPr>
            <w:r w:rsidRPr="00A23740">
              <w:rPr>
                <w:rStyle w:val="KIRMIZIChar"/>
                <w:rFonts w:eastAsia="Calibri"/>
              </w:rPr>
              <w:t>(3) Şu kadar ki suiniyet sahibi</w:t>
            </w:r>
            <w:r w:rsidRPr="00A23740">
              <w:rPr>
                <w:rFonts w:eastAsia="Times New Roman"/>
                <w:szCs w:val="24"/>
                <w:lang w:eastAsia="tr-TR"/>
              </w:rPr>
              <w:t xml:space="preserve"> üçüncü</w:t>
            </w:r>
            <w:r w:rsidRPr="00A23740">
              <w:rPr>
                <w:rStyle w:val="KIRMIZIChar"/>
                <w:rFonts w:eastAsia="Calibri"/>
                <w:strike w:val="0"/>
              </w:rPr>
              <w:t xml:space="preserve"> </w:t>
            </w:r>
            <w:r w:rsidRPr="00A23740">
              <w:rPr>
                <w:rStyle w:val="KIRMIZIChar"/>
                <w:rFonts w:eastAsia="Calibri"/>
              </w:rPr>
              <w:t>şahıslara</w:t>
            </w:r>
            <w:r w:rsidRPr="00A23740">
              <w:rPr>
                <w:rFonts w:eastAsia="Times New Roman"/>
                <w:szCs w:val="24"/>
                <w:lang w:eastAsia="tr-TR"/>
              </w:rPr>
              <w:t xml:space="preserve"> karşı</w:t>
            </w:r>
            <w:r w:rsidRPr="00A23740">
              <w:rPr>
                <w:rStyle w:val="KIRMIZIChar"/>
                <w:rFonts w:eastAsia="Calibri"/>
                <w:strike w:val="0"/>
              </w:rPr>
              <w:t xml:space="preserve"> </w:t>
            </w:r>
            <w:r w:rsidRPr="00A23740">
              <w:rPr>
                <w:rStyle w:val="KIRMIZIChar"/>
                <w:rFonts w:eastAsia="Calibri"/>
              </w:rPr>
              <w:t>umumi</w:t>
            </w:r>
            <w:r w:rsidRPr="00A23740">
              <w:rPr>
                <w:rFonts w:eastAsia="Times New Roman"/>
                <w:szCs w:val="24"/>
                <w:lang w:eastAsia="tr-TR"/>
              </w:rPr>
              <w:t xml:space="preserve"> hükümler</w:t>
            </w:r>
            <w:r w:rsidRPr="00A23740">
              <w:rPr>
                <w:rStyle w:val="KIRMIZIChar"/>
                <w:rFonts w:eastAsia="Calibri"/>
              </w:rPr>
              <w:t xml:space="preserve"> mahfuzdur.</w:t>
            </w:r>
          </w:p>
          <w:p w:rsidR="00155AF4" w:rsidRPr="00A23740" w:rsidRDefault="00155AF4" w:rsidP="009431FF">
            <w:pPr>
              <w:rPr>
                <w:b/>
                <w:bCs/>
                <w:strike/>
                <w:color w:val="FF0000"/>
                <w:szCs w:val="24"/>
                <w:lang w:eastAsia="tr-TR"/>
              </w:rPr>
            </w:pPr>
          </w:p>
          <w:p w:rsidR="00155AF4" w:rsidRPr="00A23740" w:rsidRDefault="00155AF4" w:rsidP="009431FF">
            <w:pPr>
              <w:rPr>
                <w:b/>
                <w:bCs/>
                <w:strike/>
                <w:color w:val="FF0000"/>
                <w:szCs w:val="24"/>
                <w:lang w:eastAsia="tr-TR"/>
              </w:rPr>
            </w:pPr>
            <w:r w:rsidRPr="00A23740">
              <w:rPr>
                <w:b/>
                <w:bCs/>
                <w:strike/>
                <w:color w:val="FF0000"/>
                <w:szCs w:val="24"/>
                <w:lang w:eastAsia="tr-TR"/>
              </w:rPr>
              <w:t xml:space="preserve">(4) (Ek: 29/6/1956 - 6763/42 md.; Mülga ikinci fıkra: 14/1/2011-6103/41 md.) </w:t>
            </w:r>
          </w:p>
          <w:p w:rsidR="00155AF4" w:rsidRPr="00A23740" w:rsidRDefault="00155AF4" w:rsidP="009431FF">
            <w:pPr>
              <w:tabs>
                <w:tab w:val="left" w:pos="567"/>
              </w:tabs>
              <w:rPr>
                <w:rFonts w:eastAsia="Times New Roman"/>
                <w:szCs w:val="24"/>
                <w:lang w:eastAsia="tr-TR"/>
              </w:rPr>
            </w:pPr>
          </w:p>
          <w:p w:rsidR="00155AF4" w:rsidRPr="00A23740" w:rsidRDefault="00155AF4" w:rsidP="009431FF">
            <w:pPr>
              <w:pStyle w:val="KIRMIZI"/>
              <w:rPr>
                <w:lang w:val="tr-TR"/>
              </w:rPr>
            </w:pPr>
            <w:r w:rsidRPr="00A23740">
              <w:rPr>
                <w:lang w:val="tr-TR"/>
              </w:rPr>
              <w:t xml:space="preserve">Taşınmaz </w:t>
            </w:r>
            <w:r w:rsidRPr="00A23740">
              <w:rPr>
                <w:rStyle w:val="KIRMIZIChar"/>
                <w:b/>
                <w:bCs/>
                <w:strike/>
                <w:lang w:val="tr-TR"/>
              </w:rPr>
              <w:t>hakkındaki hükümden sonra yedin</w:t>
            </w:r>
            <w:r w:rsidRPr="00A23740">
              <w:rPr>
                <w:lang w:val="tr-TR"/>
              </w:rPr>
              <w:t xml:space="preserve"> tebeddülü :</w:t>
            </w:r>
          </w:p>
          <w:p w:rsidR="00155AF4" w:rsidRPr="00A23740" w:rsidRDefault="00155AF4" w:rsidP="009431FF">
            <w:pPr>
              <w:pStyle w:val="KIRMIZI"/>
              <w:rPr>
                <w:lang w:val="tr-TR"/>
              </w:rPr>
            </w:pPr>
            <w:r w:rsidRPr="00A23740">
              <w:rPr>
                <w:rStyle w:val="KIRMIZIChar"/>
                <w:b/>
                <w:bCs/>
                <w:strike/>
                <w:lang w:val="tr-TR"/>
              </w:rPr>
              <w:t>Madde 29 –</w:t>
            </w:r>
            <w:r w:rsidRPr="00A23740">
              <w:rPr>
                <w:lang w:val="tr-TR"/>
              </w:rPr>
              <w:t xml:space="preserve"> (1) (Değişik: 14/1/2011-6103/41 md.)</w:t>
            </w:r>
          </w:p>
          <w:p w:rsidR="00155AF4" w:rsidRPr="00A23740" w:rsidRDefault="00155AF4" w:rsidP="009431FF">
            <w:pPr>
              <w:tabs>
                <w:tab w:val="left" w:pos="566"/>
              </w:tabs>
              <w:rPr>
                <w:rFonts w:eastAsia="ヒラギノ明朝 Pro W3"/>
                <w:szCs w:val="24"/>
                <w:lang w:eastAsia="tr-TR"/>
              </w:rPr>
            </w:pPr>
            <w:r w:rsidRPr="00A23740">
              <w:rPr>
                <w:rFonts w:eastAsia="ヒラギノ明朝 Pro W3"/>
                <w:szCs w:val="24"/>
                <w:lang w:eastAsia="tr-TR"/>
              </w:rPr>
              <w:t xml:space="preserve">Hükmün tapu </w:t>
            </w:r>
            <w:r w:rsidRPr="00A23740">
              <w:rPr>
                <w:rFonts w:eastAsia="Times New Roman"/>
                <w:b/>
                <w:bCs/>
                <w:strike/>
                <w:color w:val="FF0000"/>
                <w:szCs w:val="24"/>
                <w:lang w:eastAsia="tr-TR"/>
              </w:rPr>
              <w:t xml:space="preserve">sicili </w:t>
            </w:r>
            <w:r w:rsidRPr="00A23740">
              <w:rPr>
                <w:rStyle w:val="KIRMIZIChar"/>
                <w:rFonts w:eastAsia="Calibri"/>
              </w:rPr>
              <w:t>dairesine</w:t>
            </w:r>
            <w:r w:rsidRPr="00A23740">
              <w:rPr>
                <w:rStyle w:val="KIRMIZIChar"/>
                <w:rFonts w:eastAsia="ヒラギノ明朝 Pro W3"/>
              </w:rPr>
              <w:t xml:space="preserve"> bildirilmesinden</w:t>
            </w:r>
            <w:r w:rsidRPr="00A23740">
              <w:rPr>
                <w:rFonts w:eastAsia="ヒラギノ明朝 Pro W3"/>
                <w:szCs w:val="24"/>
                <w:lang w:eastAsia="tr-TR"/>
              </w:rPr>
              <w:t xml:space="preserve"> sonra</w:t>
            </w:r>
            <w:r w:rsidRPr="00A23740">
              <w:rPr>
                <w:rStyle w:val="KIRMIZIChar"/>
                <w:rFonts w:eastAsia="ヒラギノ明朝 Pro W3"/>
              </w:rPr>
              <w:t xml:space="preserve">ki </w:t>
            </w:r>
            <w:r w:rsidRPr="00A23740">
              <w:rPr>
                <w:rStyle w:val="KIRMIZIChar"/>
                <w:rFonts w:eastAsia="Calibri"/>
              </w:rPr>
              <w:t>tebeddüllerin</w:t>
            </w:r>
            <w:r w:rsidRPr="00A23740">
              <w:rPr>
                <w:rStyle w:val="KIRMIZIChar"/>
                <w:rFonts w:eastAsia="ヒラギノ明朝 Pro W3"/>
              </w:rPr>
              <w:t xml:space="preserve"> </w:t>
            </w:r>
            <w:r w:rsidRPr="00A23740">
              <w:rPr>
                <w:rFonts w:eastAsia="ヒラギノ明朝 Pro W3"/>
                <w:szCs w:val="24"/>
                <w:lang w:eastAsia="tr-TR"/>
              </w:rPr>
              <w:t xml:space="preserve">icra </w:t>
            </w:r>
            <w:r w:rsidRPr="00A23740">
              <w:rPr>
                <w:rFonts w:eastAsia="Times New Roman"/>
                <w:b/>
                <w:bCs/>
                <w:strike/>
                <w:color w:val="FF0000"/>
                <w:szCs w:val="24"/>
                <w:lang w:eastAsia="tr-TR"/>
              </w:rPr>
              <w:t>muamelelerine tesiri olmaz</w:t>
            </w:r>
            <w:r w:rsidRPr="00A23740">
              <w:rPr>
                <w:rFonts w:eastAsia="ヒラギノ明朝 Pro W3"/>
                <w:szCs w:val="24"/>
                <w:lang w:eastAsia="tr-TR"/>
              </w:rPr>
              <w:t xml:space="preserve">. Hükümde gösterilen </w:t>
            </w:r>
            <w:r w:rsidRPr="00A23740">
              <w:rPr>
                <w:rStyle w:val="KIRMIZIChar"/>
                <w:rFonts w:eastAsia="ヒラギノ明朝 Pro W3"/>
              </w:rPr>
              <w:t>şey</w:t>
            </w:r>
            <w:r w:rsidRPr="00A23740">
              <w:rPr>
                <w:rFonts w:eastAsia="ヒラギノ明朝 Pro W3"/>
                <w:szCs w:val="24"/>
                <w:lang w:eastAsia="tr-TR"/>
              </w:rPr>
              <w:t xml:space="preserve"> kimin elinde ise ondan alınıp alacaklıya teslim </w:t>
            </w:r>
            <w:r w:rsidRPr="00A23740">
              <w:rPr>
                <w:rStyle w:val="KIRMIZIChar"/>
                <w:rFonts w:eastAsia="ヒラギノ明朝 Pro W3"/>
              </w:rPr>
              <w:t>olunur</w:t>
            </w:r>
            <w:r w:rsidRPr="00A23740">
              <w:rPr>
                <w:rFonts w:eastAsia="ヒラギノ明朝 Pro W3"/>
                <w:szCs w:val="24"/>
                <w:lang w:eastAsia="tr-TR"/>
              </w:rPr>
              <w:t xml:space="preserve">. </w:t>
            </w:r>
          </w:p>
          <w:p w:rsidR="00155AF4" w:rsidRPr="00A23740" w:rsidRDefault="00155AF4" w:rsidP="009431FF">
            <w:pPr>
              <w:tabs>
                <w:tab w:val="left" w:pos="566"/>
              </w:tabs>
              <w:rPr>
                <w:rFonts w:eastAsia="ヒラギノ明朝 Pro W3"/>
                <w:szCs w:val="24"/>
                <w:lang w:eastAsia="tr-TR"/>
              </w:rPr>
            </w:pPr>
          </w:p>
          <w:p w:rsidR="00155AF4" w:rsidRPr="00A23740" w:rsidRDefault="00155AF4" w:rsidP="009431FF">
            <w:pPr>
              <w:tabs>
                <w:tab w:val="left" w:pos="566"/>
              </w:tabs>
              <w:rPr>
                <w:rFonts w:eastAsia="Times New Roman"/>
                <w:b/>
                <w:bCs/>
                <w:strike/>
                <w:color w:val="FF0000"/>
                <w:szCs w:val="24"/>
                <w:lang w:eastAsia="tr-TR"/>
              </w:rPr>
            </w:pPr>
            <w:r w:rsidRPr="00A23740">
              <w:rPr>
                <w:rStyle w:val="KIRMIZIChar"/>
                <w:rFonts w:eastAsia="ヒラギノ明朝 Pro W3"/>
              </w:rPr>
              <w:t>(2)</w:t>
            </w:r>
            <w:r w:rsidRPr="00A23740">
              <w:rPr>
                <w:rFonts w:eastAsia="ヒラギノ明朝 Pro W3"/>
                <w:szCs w:val="24"/>
                <w:lang w:eastAsia="tr-TR"/>
              </w:rPr>
              <w:t xml:space="preserve"> Şu kadar ki, o yerde bulunan üçüncü </w:t>
            </w:r>
            <w:r w:rsidRPr="00A23740">
              <w:rPr>
                <w:rFonts w:eastAsia="Times New Roman"/>
                <w:b/>
                <w:bCs/>
                <w:strike/>
                <w:color w:val="FF0000"/>
                <w:szCs w:val="24"/>
                <w:lang w:eastAsia="tr-TR"/>
              </w:rPr>
              <w:t>şahıs bu malı</w:t>
            </w:r>
            <w:r w:rsidRPr="00A23740">
              <w:rPr>
                <w:rFonts w:eastAsia="ヒラギノ明朝 Pro W3"/>
                <w:szCs w:val="24"/>
                <w:lang w:eastAsia="tr-TR"/>
              </w:rPr>
              <w:t xml:space="preserve"> borçludan </w:t>
            </w:r>
            <w:r w:rsidRPr="00A23740">
              <w:rPr>
                <w:rStyle w:val="KIRMIZIChar"/>
                <w:rFonts w:eastAsia="ヒラギノ明朝 Pro W3"/>
              </w:rPr>
              <w:t>teslim almış olmayıp onu</w:t>
            </w:r>
            <w:r w:rsidRPr="00A23740">
              <w:rPr>
                <w:rFonts w:eastAsia="ヒラギノ明朝 Pro W3"/>
                <w:szCs w:val="24"/>
                <w:lang w:eastAsia="tr-TR"/>
              </w:rPr>
              <w:t xml:space="preserve"> doğrudan doğruya işgal </w:t>
            </w:r>
            <w:r w:rsidRPr="00A23740">
              <w:rPr>
                <w:rFonts w:eastAsia="ヒラギノ明朝 Pro W3"/>
                <w:b/>
                <w:bCs/>
                <w:strike/>
                <w:color w:val="FF0000"/>
                <w:szCs w:val="24"/>
              </w:rPr>
              <w:t xml:space="preserve">etmekte bulunduğunu </w:t>
            </w:r>
            <w:r w:rsidRPr="00A23740">
              <w:rPr>
                <w:rStyle w:val="KIRMIZIChar"/>
                <w:rFonts w:eastAsia="ヒラギノ明朝 Pro W3"/>
              </w:rPr>
              <w:t>bildiren bir</w:t>
            </w:r>
            <w:r w:rsidRPr="00A23740">
              <w:rPr>
                <w:rFonts w:eastAsia="ヒラギノ明朝 Pro W3"/>
                <w:szCs w:val="24"/>
                <w:lang w:eastAsia="tr-TR"/>
              </w:rPr>
              <w:t xml:space="preserve"> tapu </w:t>
            </w:r>
            <w:r w:rsidRPr="00A23740">
              <w:rPr>
                <w:rStyle w:val="KIRMIZIChar"/>
                <w:rFonts w:eastAsia="ヒラギノ明朝 Pro W3"/>
              </w:rPr>
              <w:t>sicili</w:t>
            </w:r>
            <w:r w:rsidRPr="00A23740">
              <w:rPr>
                <w:rFonts w:eastAsia="ヒラギノ明朝 Pro W3"/>
                <w:szCs w:val="24"/>
                <w:lang w:eastAsia="tr-TR"/>
              </w:rPr>
              <w:t xml:space="preserve"> kaydı gösterirse</w:t>
            </w:r>
            <w:r w:rsidRPr="00A23740">
              <w:rPr>
                <w:rFonts w:eastAsia="Times New Roman"/>
                <w:szCs w:val="24"/>
                <w:lang w:eastAsia="tr-TR"/>
              </w:rPr>
              <w:t>,</w:t>
            </w:r>
            <w:r w:rsidRPr="00A23740">
              <w:rPr>
                <w:rFonts w:eastAsia="ヒラギノ明朝 Pro W3"/>
                <w:szCs w:val="24"/>
                <w:lang w:eastAsia="tr-TR"/>
              </w:rPr>
              <w:t xml:space="preserve"> mahkeme</w:t>
            </w:r>
            <w:r w:rsidRPr="00A23740">
              <w:rPr>
                <w:rFonts w:eastAsia="Times New Roman"/>
                <w:b/>
                <w:bCs/>
                <w:strike/>
                <w:color w:val="FF0000"/>
                <w:szCs w:val="24"/>
                <w:lang w:eastAsia="tr-TR"/>
              </w:rPr>
              <w:t>ye</w:t>
            </w:r>
            <w:r w:rsidRPr="00A23740">
              <w:rPr>
                <w:rFonts w:eastAsia="ヒラギノ明朝 Pro W3"/>
                <w:szCs w:val="24"/>
                <w:lang w:eastAsia="tr-TR"/>
              </w:rPr>
              <w:t xml:space="preserve"> </w:t>
            </w:r>
            <w:r w:rsidRPr="00A23740">
              <w:rPr>
                <w:rFonts w:eastAsia="Times New Roman"/>
                <w:b/>
                <w:bCs/>
                <w:strike/>
                <w:color w:val="FF0000"/>
                <w:szCs w:val="24"/>
                <w:lang w:eastAsia="tr-TR"/>
              </w:rPr>
              <w:t>müracaatla</w:t>
            </w:r>
            <w:r w:rsidRPr="00A23740">
              <w:rPr>
                <w:rFonts w:eastAsia="ヒラギノ明朝 Pro W3"/>
                <w:szCs w:val="24"/>
                <w:lang w:eastAsia="tr-TR"/>
              </w:rPr>
              <w:t xml:space="preserve"> dava açması için </w:t>
            </w:r>
            <w:r w:rsidRPr="00A23740">
              <w:rPr>
                <w:rStyle w:val="KIRMIZIChar"/>
                <w:rFonts w:eastAsia="ヒラギノ明朝 Pro W3"/>
              </w:rPr>
              <w:t xml:space="preserve">kendisine </w:t>
            </w:r>
            <w:r w:rsidRPr="00A23740">
              <w:rPr>
                <w:rStyle w:val="KIRMIZIChar"/>
                <w:rFonts w:eastAsia="Calibri"/>
              </w:rPr>
              <w:t>yedi</w:t>
            </w:r>
            <w:r w:rsidRPr="00A23740">
              <w:rPr>
                <w:rFonts w:eastAsia="Times New Roman"/>
                <w:b/>
                <w:bCs/>
                <w:strike/>
                <w:color w:val="FF0000"/>
                <w:szCs w:val="24"/>
                <w:lang w:eastAsia="tr-TR"/>
              </w:rPr>
              <w:t xml:space="preserve"> gün mühlet</w:t>
            </w:r>
            <w:r w:rsidRPr="00A23740">
              <w:rPr>
                <w:rFonts w:eastAsia="ヒラギノ明朝 Pro W3"/>
                <w:szCs w:val="24"/>
                <w:lang w:eastAsia="tr-TR"/>
              </w:rPr>
              <w:t xml:space="preserve"> veri</w:t>
            </w:r>
            <w:r w:rsidRPr="00A23740">
              <w:rPr>
                <w:rStyle w:val="KIRMIZIChar"/>
                <w:rFonts w:eastAsia="ヒラギノ明朝 Pro W3"/>
              </w:rPr>
              <w:t>li</w:t>
            </w:r>
            <w:r w:rsidRPr="00A23740">
              <w:rPr>
                <w:rFonts w:eastAsia="ヒラギノ明朝 Pro W3"/>
                <w:szCs w:val="24"/>
                <w:lang w:eastAsia="tr-TR"/>
              </w:rPr>
              <w:t xml:space="preserve">r. Bu </w:t>
            </w:r>
            <w:r w:rsidRPr="00A23740">
              <w:rPr>
                <w:rFonts w:eastAsia="Times New Roman"/>
                <w:b/>
                <w:bCs/>
                <w:strike/>
                <w:color w:val="FF0000"/>
                <w:szCs w:val="24"/>
                <w:lang w:eastAsia="tr-TR"/>
              </w:rPr>
              <w:t>mü</w:t>
            </w:r>
            <w:r w:rsidRPr="00A23740">
              <w:rPr>
                <w:rStyle w:val="KIRMIZIChar"/>
                <w:rFonts w:eastAsia="Calibri"/>
              </w:rPr>
              <w:t>ddet</w:t>
            </w:r>
            <w:r w:rsidRPr="00A23740">
              <w:rPr>
                <w:rStyle w:val="KIRMIZIChar"/>
                <w:rFonts w:eastAsia="ヒラギノ明朝 Pro W3"/>
              </w:rPr>
              <w:t xml:space="preserve"> içinde dava açılırsa icra </w:t>
            </w:r>
            <w:r w:rsidRPr="00A23740">
              <w:rPr>
                <w:rStyle w:val="KIRMIZIChar"/>
                <w:rFonts w:eastAsia="Calibri"/>
              </w:rPr>
              <w:t xml:space="preserve">geri </w:t>
            </w:r>
            <w:r w:rsidRPr="00A23740">
              <w:rPr>
                <w:rFonts w:eastAsia="Times New Roman"/>
                <w:b/>
                <w:bCs/>
                <w:strike/>
                <w:color w:val="FF0000"/>
                <w:szCs w:val="24"/>
                <w:lang w:eastAsia="tr-TR"/>
              </w:rPr>
              <w:t>bırakılır.</w:t>
            </w:r>
          </w:p>
          <w:p w:rsidR="00155AF4" w:rsidRPr="00A23740" w:rsidRDefault="00155AF4" w:rsidP="009431FF">
            <w:pPr>
              <w:pStyle w:val="KIRMIZI"/>
              <w:rPr>
                <w:lang w:val="tr-TR"/>
              </w:rPr>
            </w:pPr>
          </w:p>
        </w:tc>
        <w:tc>
          <w:tcPr>
            <w:tcW w:w="2500" w:type="pct"/>
          </w:tcPr>
          <w:p w:rsidR="00155AF4" w:rsidRPr="00A23740" w:rsidRDefault="00155AF4" w:rsidP="009431FF">
            <w:pPr>
              <w:tabs>
                <w:tab w:val="left" w:pos="567"/>
              </w:tabs>
              <w:rPr>
                <w:rFonts w:eastAsia="Times New Roman"/>
                <w:b/>
                <w:bCs/>
                <w:color w:val="0000FF"/>
                <w:szCs w:val="24"/>
                <w:lang w:eastAsia="tr-TR"/>
              </w:rPr>
            </w:pPr>
            <w:r w:rsidRPr="00A23740">
              <w:rPr>
                <w:rFonts w:eastAsia="Times New Roman"/>
                <w:b/>
                <w:bCs/>
                <w:szCs w:val="24"/>
                <w:lang w:eastAsia="tr-TR"/>
              </w:rPr>
              <w:lastRenderedPageBreak/>
              <w:t>Taşınmaz</w:t>
            </w:r>
            <w:r w:rsidR="002901D7" w:rsidRPr="008D10FA">
              <w:rPr>
                <w:rStyle w:val="YELChar"/>
                <w:color w:val="0000FF"/>
              </w:rPr>
              <w:t>da</w:t>
            </w:r>
            <w:r w:rsidRPr="00A23740">
              <w:rPr>
                <w:rFonts w:eastAsia="Times New Roman"/>
                <w:b/>
                <w:bCs/>
                <w:szCs w:val="24"/>
                <w:lang w:eastAsia="tr-TR"/>
              </w:rPr>
              <w:t xml:space="preserve"> üçüncü</w:t>
            </w:r>
            <w:r w:rsidRPr="00A23740">
              <w:rPr>
                <w:rStyle w:val="MaviChar"/>
              </w:rPr>
              <w:t xml:space="preserve"> kişinin</w:t>
            </w:r>
            <w:r w:rsidR="002901D7" w:rsidRPr="00A23740">
              <w:rPr>
                <w:rStyle w:val="MaviChar"/>
                <w:lang w:val="tr-TR"/>
              </w:rPr>
              <w:t xml:space="preserve"> bulunması</w:t>
            </w:r>
          </w:p>
          <w:p w:rsidR="00155AF4" w:rsidRPr="00A23740" w:rsidRDefault="00155AF4" w:rsidP="009431FF">
            <w:pPr>
              <w:tabs>
                <w:tab w:val="left" w:pos="567"/>
              </w:tabs>
              <w:rPr>
                <w:rFonts w:eastAsia="Times New Roman"/>
                <w:szCs w:val="24"/>
                <w:lang w:eastAsia="tr-TR"/>
              </w:rPr>
            </w:pPr>
            <w:r w:rsidRPr="00A23740">
              <w:rPr>
                <w:rStyle w:val="MaviChar"/>
              </w:rPr>
              <w:t>MADDE 74- (1)</w:t>
            </w:r>
            <w:r w:rsidRPr="00A23740">
              <w:rPr>
                <w:rFonts w:eastAsia="Times New Roman"/>
                <w:b/>
                <w:bCs/>
                <w:color w:val="0000FF"/>
                <w:szCs w:val="24"/>
                <w:lang w:eastAsia="tr-TR"/>
              </w:rPr>
              <w:t xml:space="preserve"> </w:t>
            </w:r>
            <w:r w:rsidRPr="00A23740">
              <w:rPr>
                <w:rFonts w:eastAsia="Times New Roman"/>
                <w:szCs w:val="24"/>
                <w:lang w:eastAsia="tr-TR"/>
              </w:rPr>
              <w:t xml:space="preserve">Taşınmaz, üçüncü </w:t>
            </w:r>
            <w:r w:rsidRPr="00A23740">
              <w:rPr>
                <w:rStyle w:val="MaviChar"/>
                <w:lang w:val="tr-TR"/>
              </w:rPr>
              <w:t>kişi</w:t>
            </w:r>
            <w:r w:rsidRPr="00A23740">
              <w:rPr>
                <w:rFonts w:eastAsia="Times New Roman"/>
                <w:szCs w:val="24"/>
                <w:lang w:eastAsia="tr-TR"/>
              </w:rPr>
              <w:t xml:space="preserve"> tarafından dava</w:t>
            </w:r>
            <w:r w:rsidRPr="00A23740">
              <w:rPr>
                <w:rStyle w:val="MaviChar"/>
                <w:lang w:val="tr-TR"/>
              </w:rPr>
              <w:t>nın</w:t>
            </w:r>
            <w:r w:rsidRPr="00A23740">
              <w:rPr>
                <w:rFonts w:eastAsia="Times New Roman"/>
                <w:szCs w:val="24"/>
                <w:lang w:eastAsia="tr-TR"/>
              </w:rPr>
              <w:t xml:space="preserve"> </w:t>
            </w:r>
            <w:r w:rsidRPr="00A23740">
              <w:rPr>
                <w:rStyle w:val="MaviChar"/>
                <w:lang w:val="tr-TR"/>
              </w:rPr>
              <w:t>açılmasından</w:t>
            </w:r>
            <w:r w:rsidRPr="00A23740">
              <w:rPr>
                <w:rFonts w:eastAsia="Times New Roman"/>
                <w:szCs w:val="24"/>
                <w:lang w:eastAsia="tr-TR"/>
              </w:rPr>
              <w:t xml:space="preserve"> sonra ve hükümden </w:t>
            </w:r>
            <w:r w:rsidRPr="00A23740">
              <w:rPr>
                <w:rStyle w:val="MaviChar"/>
                <w:lang w:val="tr-TR"/>
              </w:rPr>
              <w:t>önce</w:t>
            </w:r>
            <w:r w:rsidRPr="00A23740">
              <w:rPr>
                <w:rFonts w:eastAsia="Times New Roman"/>
                <w:szCs w:val="24"/>
                <w:lang w:eastAsia="tr-TR"/>
              </w:rPr>
              <w:t xml:space="preserve"> tapuya tescil edilmiş </w:t>
            </w:r>
            <w:r w:rsidRPr="00A23740">
              <w:rPr>
                <w:rFonts w:eastAsia="Times New Roman"/>
                <w:bCs/>
                <w:lang w:eastAsia="tr-TR"/>
              </w:rPr>
              <w:t>bir</w:t>
            </w:r>
            <w:r w:rsidRPr="00A23740">
              <w:rPr>
                <w:rStyle w:val="MAVChar"/>
                <w:rFonts w:eastAsia="Calibri"/>
                <w:u w:val="none"/>
              </w:rPr>
              <w:t xml:space="preserve"> </w:t>
            </w:r>
            <w:r w:rsidRPr="00A23740">
              <w:rPr>
                <w:rStyle w:val="MaviChar"/>
              </w:rPr>
              <w:t>ayni</w:t>
            </w:r>
            <w:r w:rsidRPr="00A23740">
              <w:rPr>
                <w:rStyle w:val="MAVChar"/>
                <w:rFonts w:eastAsia="Calibri"/>
                <w:u w:val="none"/>
              </w:rPr>
              <w:t xml:space="preserve"> </w:t>
            </w:r>
            <w:r w:rsidRPr="00A23740">
              <w:rPr>
                <w:rStyle w:val="MaviChar"/>
                <w:lang w:val="tr-TR"/>
              </w:rPr>
              <w:t>hakka dayanarak</w:t>
            </w:r>
            <w:r w:rsidRPr="00A23740">
              <w:rPr>
                <w:rFonts w:eastAsia="Times New Roman"/>
                <w:szCs w:val="24"/>
                <w:lang w:eastAsia="tr-TR"/>
              </w:rPr>
              <w:t xml:space="preserve"> işgal edilmekte ise</w:t>
            </w:r>
            <w:r w:rsidRPr="00A23740">
              <w:rPr>
                <w:rStyle w:val="MaviChar"/>
              </w:rPr>
              <w:t>,</w:t>
            </w:r>
            <w:r w:rsidRPr="00A23740">
              <w:rPr>
                <w:rFonts w:eastAsia="Times New Roman"/>
                <w:szCs w:val="24"/>
                <w:lang w:eastAsia="tr-TR"/>
              </w:rPr>
              <w:t xml:space="preserve"> </w:t>
            </w:r>
            <w:r w:rsidRPr="00A23740">
              <w:rPr>
                <w:rStyle w:val="MaviChar"/>
                <w:lang w:val="tr-TR"/>
              </w:rPr>
              <w:t xml:space="preserve">bu kişi taşınmazdan tahliye edilmez. </w:t>
            </w:r>
            <w:r w:rsidRPr="00A23740">
              <w:rPr>
                <w:rStyle w:val="MaviChar"/>
              </w:rPr>
              <w:t>Bu h</w:t>
            </w:r>
            <w:r w:rsidR="002F2BAA" w:rsidRPr="00A23740">
              <w:rPr>
                <w:rStyle w:val="MaviChar"/>
                <w:lang w:val="tr-TR"/>
              </w:rPr>
              <w:t>â</w:t>
            </w:r>
            <w:r w:rsidRPr="00A23740">
              <w:rPr>
                <w:rStyle w:val="MaviChar"/>
              </w:rPr>
              <w:t>lde</w:t>
            </w:r>
            <w:r w:rsidRPr="00A23740">
              <w:rPr>
                <w:rFonts w:eastAsia="Times New Roman"/>
                <w:szCs w:val="24"/>
                <w:lang w:eastAsia="tr-TR"/>
              </w:rPr>
              <w:t xml:space="preserve"> alacaklı</w:t>
            </w:r>
            <w:r w:rsidRPr="00A23740">
              <w:rPr>
                <w:rStyle w:val="MaviChar"/>
                <w:lang w:val="tr-TR"/>
              </w:rPr>
              <w:t>,</w:t>
            </w:r>
            <w:r w:rsidRPr="00A23740">
              <w:rPr>
                <w:rFonts w:eastAsia="Times New Roman"/>
                <w:szCs w:val="24"/>
                <w:lang w:eastAsia="tr-TR"/>
              </w:rPr>
              <w:t xml:space="preserve"> borçlunun </w:t>
            </w:r>
            <w:r w:rsidRPr="00A23740">
              <w:rPr>
                <w:rStyle w:val="MaviChar"/>
              </w:rPr>
              <w:t>üçüncü kişiye</w:t>
            </w:r>
            <w:r w:rsidRPr="00A23740">
              <w:rPr>
                <w:rFonts w:eastAsia="Times New Roman"/>
                <w:szCs w:val="24"/>
                <w:lang w:eastAsia="tr-TR"/>
              </w:rPr>
              <w:t xml:space="preserve"> karşı </w:t>
            </w:r>
            <w:r w:rsidRPr="00A23740">
              <w:rPr>
                <w:rStyle w:val="MaviChar"/>
              </w:rPr>
              <w:t>sahip</w:t>
            </w:r>
            <w:r w:rsidRPr="00A23740">
              <w:rPr>
                <w:rFonts w:eastAsia="Times New Roman"/>
                <w:szCs w:val="24"/>
                <w:lang w:eastAsia="tr-TR"/>
              </w:rPr>
              <w:t xml:space="preserve"> olduğu hakları </w:t>
            </w:r>
            <w:r w:rsidRPr="00A23740">
              <w:rPr>
                <w:rFonts w:eastAsia="Times New Roman"/>
                <w:bCs/>
                <w:szCs w:val="24"/>
                <w:lang w:eastAsia="tr-TR"/>
              </w:rPr>
              <w:t>haiz</w:t>
            </w:r>
            <w:r w:rsidRPr="00A23740">
              <w:rPr>
                <w:rFonts w:eastAsia="Times New Roman"/>
                <w:szCs w:val="24"/>
                <w:lang w:eastAsia="tr-TR"/>
              </w:rPr>
              <w:t xml:space="preserve"> olur.</w:t>
            </w:r>
          </w:p>
          <w:p w:rsidR="00155AF4" w:rsidRPr="00A23740" w:rsidRDefault="00155AF4" w:rsidP="009431FF">
            <w:pPr>
              <w:rPr>
                <w:rFonts w:eastAsia="Times New Roman"/>
                <w:b/>
                <w:color w:val="FF0000"/>
                <w:szCs w:val="24"/>
                <w:lang w:eastAsia="tr-TR"/>
              </w:rPr>
            </w:pPr>
          </w:p>
          <w:p w:rsidR="00155AF4" w:rsidRPr="00A23740" w:rsidRDefault="00155AF4" w:rsidP="009431FF">
            <w:pPr>
              <w:rPr>
                <w:rFonts w:eastAsia="Times New Roman"/>
                <w:szCs w:val="24"/>
                <w:lang w:eastAsia="tr-TR"/>
              </w:rPr>
            </w:pPr>
            <w:r w:rsidRPr="00A23740">
              <w:rPr>
                <w:rStyle w:val="MaviChar"/>
              </w:rPr>
              <w:lastRenderedPageBreak/>
              <w:t>(2) Alacaklı, borçlunun taşınmazı elinde bulunduran üçüncü</w:t>
            </w:r>
            <w:r w:rsidRPr="00A23740">
              <w:rPr>
                <w:rStyle w:val="MaviChar"/>
                <w:lang w:val="tr-TR"/>
              </w:rPr>
              <w:t xml:space="preserve"> </w:t>
            </w:r>
            <w:r w:rsidRPr="00A23740">
              <w:rPr>
                <w:rStyle w:val="MaviChar"/>
              </w:rPr>
              <w:t>kişiye karşı sahip olduğu hakları kullanmak istemezse</w:t>
            </w:r>
            <w:r w:rsidRPr="00A23740">
              <w:rPr>
                <w:rStyle w:val="MaviChar"/>
                <w:lang w:val="tr-TR"/>
              </w:rPr>
              <w:t xml:space="preserve">, borçluya karşı </w:t>
            </w:r>
            <w:r w:rsidRPr="00A23740">
              <w:rPr>
                <w:rFonts w:eastAsia="Times New Roman"/>
                <w:szCs w:val="24"/>
                <w:lang w:eastAsia="tr-TR"/>
              </w:rPr>
              <w:t>tazminat davası açabilir.</w:t>
            </w:r>
          </w:p>
          <w:p w:rsidR="00155AF4" w:rsidRPr="00A23740" w:rsidRDefault="00155AF4" w:rsidP="009431FF">
            <w:pPr>
              <w:tabs>
                <w:tab w:val="left" w:pos="567"/>
              </w:tabs>
              <w:rPr>
                <w:rFonts w:eastAsia="Times New Roman"/>
                <w:szCs w:val="24"/>
                <w:lang w:eastAsia="tr-TR"/>
              </w:rPr>
            </w:pPr>
          </w:p>
          <w:p w:rsidR="00155AF4" w:rsidRPr="00A23740" w:rsidRDefault="00155AF4" w:rsidP="009431FF">
            <w:pPr>
              <w:rPr>
                <w:rFonts w:eastAsia="Times New Roman"/>
                <w:szCs w:val="24"/>
                <w:lang w:eastAsia="tr-TR"/>
              </w:rPr>
            </w:pPr>
            <w:r w:rsidRPr="00A23740">
              <w:rPr>
                <w:rStyle w:val="MaviChar"/>
              </w:rPr>
              <w:t>(3) Kötüniyetli</w:t>
            </w:r>
            <w:r w:rsidRPr="00A23740">
              <w:rPr>
                <w:rFonts w:eastAsia="Times New Roman"/>
                <w:szCs w:val="24"/>
                <w:lang w:eastAsia="tr-TR"/>
              </w:rPr>
              <w:t xml:space="preserve"> üçüncü </w:t>
            </w:r>
            <w:r w:rsidRPr="00A23740">
              <w:rPr>
                <w:rStyle w:val="MaviChar"/>
              </w:rPr>
              <w:t>kişilere</w:t>
            </w:r>
            <w:r w:rsidRPr="00A23740">
              <w:rPr>
                <w:rFonts w:eastAsia="Times New Roman"/>
                <w:szCs w:val="24"/>
                <w:lang w:eastAsia="tr-TR"/>
              </w:rPr>
              <w:t xml:space="preserve"> karşı </w:t>
            </w:r>
            <w:r w:rsidRPr="00A23740">
              <w:rPr>
                <w:rStyle w:val="MaviChar"/>
              </w:rPr>
              <w:t>genel</w:t>
            </w:r>
            <w:r w:rsidRPr="00A23740">
              <w:rPr>
                <w:rFonts w:eastAsia="Times New Roman"/>
                <w:szCs w:val="24"/>
                <w:lang w:eastAsia="tr-TR"/>
              </w:rPr>
              <w:t xml:space="preserve"> hükümler </w:t>
            </w:r>
            <w:r w:rsidRPr="00A23740">
              <w:rPr>
                <w:rStyle w:val="MaviChar"/>
              </w:rPr>
              <w:t>saklıdır.</w:t>
            </w: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p>
          <w:p w:rsidR="00155AF4" w:rsidRPr="00A23740" w:rsidRDefault="00155AF4" w:rsidP="009431FF">
            <w:pPr>
              <w:rPr>
                <w:rFonts w:eastAsia="Times New Roman"/>
                <w:b/>
                <w:bCs/>
                <w:color w:val="0000FF"/>
                <w:szCs w:val="24"/>
                <w:lang w:eastAsia="tr-TR"/>
              </w:rPr>
            </w:pPr>
          </w:p>
          <w:p w:rsidR="00155AF4" w:rsidRDefault="00155AF4" w:rsidP="009431FF">
            <w:pPr>
              <w:rPr>
                <w:rFonts w:eastAsia="Times New Roman"/>
                <w:b/>
                <w:bCs/>
                <w:color w:val="0000FF"/>
                <w:szCs w:val="24"/>
                <w:lang w:eastAsia="tr-TR"/>
              </w:rPr>
            </w:pPr>
          </w:p>
          <w:p w:rsidR="000748FC" w:rsidRPr="00A23740" w:rsidRDefault="000748FC" w:rsidP="009431FF">
            <w:pPr>
              <w:rPr>
                <w:rFonts w:eastAsia="Times New Roman"/>
                <w:b/>
                <w:bCs/>
                <w:color w:val="0000FF"/>
                <w:szCs w:val="24"/>
                <w:lang w:eastAsia="tr-TR"/>
              </w:rPr>
            </w:pPr>
          </w:p>
          <w:p w:rsidR="00A82AA4" w:rsidRPr="00A23740" w:rsidRDefault="00A82AA4" w:rsidP="009431FF">
            <w:pPr>
              <w:pStyle w:val="KIRMIZI"/>
              <w:rPr>
                <w:rStyle w:val="MaviChar"/>
                <w:b/>
                <w:strike w:val="0"/>
              </w:rPr>
            </w:pPr>
          </w:p>
          <w:p w:rsidR="00155AF4" w:rsidRPr="00A23740" w:rsidRDefault="00155AF4" w:rsidP="009431FF">
            <w:pPr>
              <w:pStyle w:val="KIRMIZI"/>
              <w:rPr>
                <w:strike w:val="0"/>
                <w:color w:val="0000FF"/>
                <w:lang w:val="tr-TR" w:eastAsia="tr-TR"/>
              </w:rPr>
            </w:pPr>
            <w:r w:rsidRPr="00A23740">
              <w:rPr>
                <w:rStyle w:val="MaviChar"/>
                <w:b/>
                <w:strike w:val="0"/>
              </w:rPr>
              <w:t>(4)</w:t>
            </w:r>
            <w:r w:rsidRPr="00A23740">
              <w:rPr>
                <w:b w:val="0"/>
                <w:bCs w:val="0"/>
                <w:strike w:val="0"/>
                <w:color w:val="0000FF"/>
                <w:lang w:val="tr-TR" w:eastAsia="tr-TR"/>
              </w:rPr>
              <w:t xml:space="preserve"> </w:t>
            </w:r>
            <w:r w:rsidRPr="00A23740">
              <w:rPr>
                <w:rFonts w:eastAsia="ヒラギノ明朝 Pro W3"/>
                <w:b w:val="0"/>
                <w:bCs w:val="0"/>
                <w:strike w:val="0"/>
                <w:color w:val="auto"/>
                <w:lang w:val="tr-TR" w:eastAsia="tr-TR"/>
              </w:rPr>
              <w:t>Hükmün tapu</w:t>
            </w:r>
            <w:r w:rsidRPr="00A23740">
              <w:rPr>
                <w:b w:val="0"/>
                <w:bCs w:val="0"/>
                <w:strike w:val="0"/>
                <w:color w:val="0000FF"/>
                <w:lang w:val="tr-TR" w:eastAsia="tr-TR"/>
              </w:rPr>
              <w:t xml:space="preserve"> </w:t>
            </w:r>
            <w:r w:rsidRPr="00A23740">
              <w:rPr>
                <w:rStyle w:val="MaviChar"/>
                <w:b/>
                <w:strike w:val="0"/>
              </w:rPr>
              <w:t>siciline şerh edilmesinden</w:t>
            </w:r>
            <w:r w:rsidRPr="00A23740">
              <w:rPr>
                <w:b w:val="0"/>
                <w:bCs w:val="0"/>
                <w:strike w:val="0"/>
                <w:color w:val="0000FF"/>
                <w:lang w:val="tr-TR" w:eastAsia="tr-TR"/>
              </w:rPr>
              <w:t xml:space="preserve"> </w:t>
            </w:r>
            <w:r w:rsidRPr="00A23740">
              <w:rPr>
                <w:rFonts w:eastAsia="ヒラギノ明朝 Pro W3"/>
                <w:b w:val="0"/>
                <w:bCs w:val="0"/>
                <w:strike w:val="0"/>
                <w:color w:val="auto"/>
                <w:lang w:val="tr-TR" w:eastAsia="tr-TR"/>
              </w:rPr>
              <w:t>sonra</w:t>
            </w:r>
            <w:r w:rsidRPr="00A23740">
              <w:rPr>
                <w:b w:val="0"/>
                <w:bCs w:val="0"/>
                <w:strike w:val="0"/>
                <w:color w:val="0000FF"/>
                <w:lang w:val="tr-TR" w:eastAsia="tr-TR"/>
              </w:rPr>
              <w:t xml:space="preserve"> </w:t>
            </w:r>
            <w:r w:rsidRPr="00A23740">
              <w:rPr>
                <w:rStyle w:val="MaviChar"/>
                <w:b/>
                <w:strike w:val="0"/>
              </w:rPr>
              <w:t>taşınmazın devredilmesi,</w:t>
            </w:r>
            <w:r w:rsidRPr="00A23740">
              <w:rPr>
                <w:b w:val="0"/>
                <w:bCs w:val="0"/>
                <w:strike w:val="0"/>
                <w:color w:val="0000FF"/>
                <w:lang w:val="tr-TR" w:eastAsia="tr-TR"/>
              </w:rPr>
              <w:t xml:space="preserve"> </w:t>
            </w:r>
            <w:r w:rsidRPr="00A23740">
              <w:rPr>
                <w:rFonts w:eastAsia="ヒラギノ明朝 Pro W3"/>
                <w:b w:val="0"/>
                <w:bCs w:val="0"/>
                <w:strike w:val="0"/>
                <w:color w:val="auto"/>
                <w:lang w:val="tr-TR" w:eastAsia="tr-TR"/>
              </w:rPr>
              <w:t>icra</w:t>
            </w:r>
            <w:r w:rsidRPr="00A23740">
              <w:rPr>
                <w:b w:val="0"/>
                <w:bCs w:val="0"/>
                <w:strike w:val="0"/>
                <w:color w:val="0000FF"/>
                <w:lang w:val="tr-TR" w:eastAsia="tr-TR"/>
              </w:rPr>
              <w:t xml:space="preserve"> </w:t>
            </w:r>
            <w:r w:rsidRPr="00A23740">
              <w:rPr>
                <w:rStyle w:val="MaviChar"/>
                <w:b/>
                <w:strike w:val="0"/>
              </w:rPr>
              <w:t>işlemlerini etkilemez</w:t>
            </w:r>
            <w:r w:rsidRPr="00A23740">
              <w:rPr>
                <w:rFonts w:eastAsia="ヒラギノ明朝 Pro W3"/>
                <w:bCs w:val="0"/>
                <w:strike w:val="0"/>
                <w:color w:val="auto"/>
                <w:lang w:val="tr-TR" w:eastAsia="tr-TR"/>
              </w:rPr>
              <w:t>.</w:t>
            </w:r>
            <w:r w:rsidRPr="00A23740">
              <w:rPr>
                <w:rFonts w:eastAsia="ヒラギノ明朝 Pro W3"/>
                <w:b w:val="0"/>
                <w:bCs w:val="0"/>
                <w:strike w:val="0"/>
                <w:color w:val="auto"/>
                <w:lang w:val="tr-TR" w:eastAsia="tr-TR"/>
              </w:rPr>
              <w:t xml:space="preserve"> Hükümde gösterilen </w:t>
            </w:r>
            <w:r w:rsidRPr="00A23740">
              <w:rPr>
                <w:rStyle w:val="MaviChar"/>
                <w:rFonts w:eastAsia="ヒラギノ明朝 Pro W3"/>
                <w:b/>
                <w:strike w:val="0"/>
              </w:rPr>
              <w:t>taşınmaz</w:t>
            </w:r>
            <w:r w:rsidRPr="00A23740">
              <w:rPr>
                <w:rFonts w:eastAsia="ヒラギノ明朝 Pro W3"/>
                <w:b w:val="0"/>
                <w:bCs w:val="0"/>
                <w:strike w:val="0"/>
                <w:color w:val="auto"/>
                <w:lang w:val="tr-TR" w:eastAsia="tr-TR"/>
              </w:rPr>
              <w:t xml:space="preserve"> kimin elinde ise ondan alınıp alacaklıya teslim</w:t>
            </w:r>
            <w:r w:rsidRPr="00A23740">
              <w:rPr>
                <w:rFonts w:eastAsia="ヒラギノ明朝 Pro W3"/>
                <w:strike w:val="0"/>
                <w:lang w:val="tr-TR" w:eastAsia="tr-TR"/>
              </w:rPr>
              <w:t xml:space="preserve"> </w:t>
            </w:r>
            <w:r w:rsidRPr="00A23740">
              <w:rPr>
                <w:rStyle w:val="MaviChar"/>
                <w:rFonts w:eastAsia="ヒラギノ明朝 Pro W3"/>
                <w:b/>
                <w:strike w:val="0"/>
              </w:rPr>
              <w:t>edilir.</w:t>
            </w:r>
            <w:r w:rsidRPr="00A23740">
              <w:rPr>
                <w:rFonts w:eastAsia="ヒラギノ明朝 Pro W3"/>
                <w:b w:val="0"/>
                <w:bCs w:val="0"/>
                <w:strike w:val="0"/>
                <w:color w:val="auto"/>
                <w:lang w:val="tr-TR" w:eastAsia="tr-TR"/>
              </w:rPr>
              <w:t xml:space="preserve"> Şu kadar ki, o yerde bulunan üçüncü </w:t>
            </w:r>
            <w:r w:rsidRPr="00A23740">
              <w:rPr>
                <w:rStyle w:val="MaviChar"/>
                <w:b/>
                <w:strike w:val="0"/>
              </w:rPr>
              <w:t>kişi</w:t>
            </w:r>
            <w:r w:rsidRPr="00A23740">
              <w:rPr>
                <w:rFonts w:eastAsia="ヒラギノ明朝 Pro W3"/>
                <w:b w:val="0"/>
                <w:bCs w:val="0"/>
                <w:strike w:val="0"/>
                <w:color w:val="auto"/>
                <w:lang w:val="tr-TR" w:eastAsia="tr-TR"/>
              </w:rPr>
              <w:t xml:space="preserve">, </w:t>
            </w:r>
            <w:r w:rsidRPr="00A23740">
              <w:rPr>
                <w:rStyle w:val="MaviChar"/>
                <w:b/>
                <w:strike w:val="0"/>
              </w:rPr>
              <w:t>taşınmazı</w:t>
            </w:r>
            <w:r w:rsidRPr="00A23740">
              <w:rPr>
                <w:rFonts w:eastAsia="ヒラギノ明朝 Pro W3"/>
                <w:b w:val="0"/>
                <w:bCs w:val="0"/>
                <w:strike w:val="0"/>
                <w:color w:val="auto"/>
                <w:lang w:val="tr-TR" w:eastAsia="tr-TR"/>
              </w:rPr>
              <w:t xml:space="preserve"> borçludan </w:t>
            </w:r>
            <w:r w:rsidRPr="00A23740">
              <w:rPr>
                <w:rStyle w:val="MaviChar"/>
                <w:b/>
                <w:strike w:val="0"/>
              </w:rPr>
              <w:t>devralmayıp</w:t>
            </w:r>
            <w:r w:rsidRPr="00A23740">
              <w:rPr>
                <w:rFonts w:eastAsia="ヒラギノ明朝 Pro W3"/>
                <w:b w:val="0"/>
                <w:bCs w:val="0"/>
                <w:strike w:val="0"/>
                <w:color w:val="auto"/>
                <w:lang w:val="tr-TR" w:eastAsia="tr-TR"/>
              </w:rPr>
              <w:t xml:space="preserve"> doğrudan doğruya işgal </w:t>
            </w:r>
            <w:r w:rsidRPr="00A23740">
              <w:rPr>
                <w:rStyle w:val="MaviChar"/>
                <w:rFonts w:eastAsia="ヒラギノ明朝 Pro W3"/>
                <w:b/>
                <w:strike w:val="0"/>
              </w:rPr>
              <w:t>ettiğine dair</w:t>
            </w:r>
            <w:r w:rsidRPr="00A23740">
              <w:rPr>
                <w:rFonts w:eastAsia="ヒラギノ明朝 Pro W3"/>
                <w:b w:val="0"/>
                <w:bCs w:val="0"/>
                <w:strike w:val="0"/>
                <w:color w:val="auto"/>
                <w:lang w:val="tr-TR" w:eastAsia="tr-TR"/>
              </w:rPr>
              <w:t xml:space="preserve"> tapu kaydı</w:t>
            </w:r>
            <w:r w:rsidRPr="00A23740">
              <w:rPr>
                <w:rStyle w:val="MaviChar"/>
                <w:rFonts w:eastAsia="ヒラギノ明朝 Pro W3"/>
                <w:b/>
                <w:strike w:val="0"/>
              </w:rPr>
              <w:t>nı ibraz ederse</w:t>
            </w:r>
            <w:r w:rsidR="008517F5" w:rsidRPr="00C20C8B">
              <w:rPr>
                <w:rStyle w:val="Balk1Char"/>
                <w:rFonts w:eastAsia="ヒラギノ明朝 Pro W3"/>
              </w:rPr>
              <w:t>,</w:t>
            </w:r>
            <w:r w:rsidRPr="00A23740">
              <w:rPr>
                <w:rStyle w:val="MaviChar"/>
                <w:rFonts w:eastAsia="ヒラギノ明朝 Pro W3"/>
                <w:b/>
                <w:strike w:val="0"/>
              </w:rPr>
              <w:t xml:space="preserve"> icra ve iflas dairesi genel </w:t>
            </w:r>
            <w:r w:rsidRPr="00A23740">
              <w:rPr>
                <w:rFonts w:eastAsia="ヒラギノ明朝 Pro W3"/>
                <w:b w:val="0"/>
                <w:bCs w:val="0"/>
                <w:strike w:val="0"/>
                <w:color w:val="auto"/>
                <w:lang w:val="tr-TR" w:eastAsia="tr-TR"/>
              </w:rPr>
              <w:t>mahkeme</w:t>
            </w:r>
            <w:r w:rsidRPr="00A23740">
              <w:rPr>
                <w:rStyle w:val="MaviChar"/>
                <w:b/>
                <w:strike w:val="0"/>
              </w:rPr>
              <w:t>de</w:t>
            </w:r>
            <w:r w:rsidRPr="00A23740">
              <w:rPr>
                <w:rFonts w:eastAsia="ヒラギノ明朝 Pro W3"/>
                <w:b w:val="0"/>
                <w:bCs w:val="0"/>
                <w:strike w:val="0"/>
                <w:color w:val="auto"/>
                <w:lang w:val="tr-TR" w:eastAsia="tr-TR"/>
              </w:rPr>
              <w:t xml:space="preserve"> dava açması için </w:t>
            </w:r>
            <w:r w:rsidRPr="00A23740">
              <w:rPr>
                <w:rStyle w:val="MaviChar"/>
                <w:rFonts w:eastAsia="ヒラギノ明朝 Pro W3"/>
                <w:b/>
                <w:strike w:val="0"/>
              </w:rPr>
              <w:t>üçüncü kişiye</w:t>
            </w:r>
            <w:r w:rsidRPr="00A23740">
              <w:rPr>
                <w:rFonts w:eastAsia="ヒラギノ明朝 Pro W3"/>
                <w:b w:val="0"/>
                <w:bCs w:val="0"/>
                <w:strike w:val="0"/>
                <w:color w:val="auto"/>
                <w:lang w:val="tr-TR" w:eastAsia="tr-TR"/>
              </w:rPr>
              <w:t xml:space="preserve"> </w:t>
            </w:r>
            <w:r w:rsidRPr="00A23740">
              <w:rPr>
                <w:rStyle w:val="MaviChar"/>
                <w:rFonts w:eastAsia="Calibri"/>
                <w:b/>
                <w:strike w:val="0"/>
              </w:rPr>
              <w:t>iki hafta süre</w:t>
            </w:r>
            <w:r w:rsidRPr="00A23740">
              <w:rPr>
                <w:rFonts w:eastAsia="ヒラギノ明朝 Pro W3"/>
                <w:b w:val="0"/>
                <w:bCs w:val="0"/>
                <w:strike w:val="0"/>
                <w:color w:val="auto"/>
                <w:lang w:val="tr-TR" w:eastAsia="tr-TR"/>
              </w:rPr>
              <w:t xml:space="preserve"> verir. Bu </w:t>
            </w:r>
            <w:r w:rsidRPr="00A23740">
              <w:rPr>
                <w:rStyle w:val="MaviChar"/>
                <w:b/>
                <w:strike w:val="0"/>
              </w:rPr>
              <w:t>süre</w:t>
            </w:r>
            <w:r w:rsidRPr="00A23740">
              <w:rPr>
                <w:rFonts w:eastAsia="ヒラギノ明朝 Pro W3"/>
                <w:b w:val="0"/>
                <w:bCs w:val="0"/>
                <w:strike w:val="0"/>
                <w:color w:val="auto"/>
                <w:lang w:val="tr-TR" w:eastAsia="tr-TR"/>
              </w:rPr>
              <w:t xml:space="preserve"> içinde </w:t>
            </w:r>
            <w:r w:rsidRPr="00A23740">
              <w:rPr>
                <w:rStyle w:val="MaviChar"/>
                <w:rFonts w:eastAsia="ヒラギノ明朝 Pro W3"/>
                <w:b/>
                <w:strike w:val="0"/>
              </w:rPr>
              <w:t xml:space="preserve">üçüncü kişi dava açtığına dair belgeyi ibraz ederse icra ve iflas dairesi, </w:t>
            </w:r>
            <w:r w:rsidRPr="00A23740">
              <w:rPr>
                <w:rStyle w:val="MaviChar"/>
                <w:b/>
                <w:strike w:val="0"/>
              </w:rPr>
              <w:t xml:space="preserve">hükmün kesinleşmesine kadar </w:t>
            </w:r>
            <w:r w:rsidRPr="00A23740">
              <w:rPr>
                <w:rStyle w:val="MaviChar"/>
                <w:rFonts w:eastAsia="ヒラギノ明朝 Pro W3"/>
                <w:b/>
                <w:strike w:val="0"/>
              </w:rPr>
              <w:t>icra takibini</w:t>
            </w:r>
            <w:r w:rsidRPr="00A23740">
              <w:rPr>
                <w:rStyle w:val="MaviChar"/>
                <w:b/>
                <w:strike w:val="0"/>
              </w:rPr>
              <w:t xml:space="preserve"> </w:t>
            </w:r>
            <w:r w:rsidRPr="00A23740">
              <w:rPr>
                <w:rStyle w:val="MaviChar"/>
                <w:rFonts w:eastAsia="Calibri"/>
                <w:b/>
                <w:strike w:val="0"/>
              </w:rPr>
              <w:t>durdurur</w:t>
            </w:r>
            <w:r w:rsidRPr="00A23740">
              <w:rPr>
                <w:rStyle w:val="MaviChar"/>
                <w:b/>
                <w:strike w:val="0"/>
              </w:rPr>
              <w:t>.</w:t>
            </w:r>
            <w:r w:rsidRPr="00A23740">
              <w:rPr>
                <w:rStyle w:val="MaviChar"/>
                <w:b/>
                <w:strike w:val="0"/>
                <w:lang w:val="tr-TR"/>
              </w:rPr>
              <w:t xml:space="preserve"> </w:t>
            </w:r>
          </w:p>
          <w:p w:rsidR="00155AF4" w:rsidRPr="00A23740" w:rsidRDefault="00155AF4" w:rsidP="009431FF">
            <w:pPr>
              <w:rPr>
                <w:rFonts w:eastAsia="Times New Roman"/>
                <w:b/>
                <w:bCs/>
                <w:color w:val="0000FF"/>
                <w:szCs w:val="24"/>
                <w:lang w:eastAsia="tr-TR"/>
              </w:rPr>
            </w:pPr>
          </w:p>
          <w:p w:rsidR="00155AF4" w:rsidRPr="00A23740" w:rsidRDefault="00155AF4" w:rsidP="009431FF">
            <w:pPr>
              <w:pStyle w:val="Mavi"/>
            </w:pPr>
            <w:r w:rsidRPr="00A23740">
              <w:t>(5) Tahliye ilamı, kira sözleşmesine dayanır ve taşınm</w:t>
            </w:r>
            <w:r w:rsidR="00D51A11">
              <w:t>az üçüncü kişi elinde bulunursa</w:t>
            </w:r>
            <w:r w:rsidR="00D661BE" w:rsidRPr="00A23740">
              <w:rPr>
                <w:rStyle w:val="KonuBalChar"/>
                <w:rFonts w:eastAsia="Calibri"/>
                <w:b/>
              </w:rPr>
              <w:t xml:space="preserve"> </w:t>
            </w:r>
            <w:r w:rsidR="00D661BE" w:rsidRPr="008D10FA">
              <w:rPr>
                <w:rStyle w:val="KonuBalChar"/>
                <w:rFonts w:eastAsia="Calibri"/>
                <w:b/>
                <w:color w:val="0000FF"/>
              </w:rPr>
              <w:t>150</w:t>
            </w:r>
            <w:r w:rsidR="00D661BE" w:rsidRPr="00A23740">
              <w:rPr>
                <w:rStyle w:val="KonuBalChar"/>
                <w:rFonts w:eastAsia="Calibri"/>
                <w:b/>
              </w:rPr>
              <w:t xml:space="preserve"> </w:t>
            </w:r>
            <w:r w:rsidR="00D661BE" w:rsidRPr="008D10FA">
              <w:rPr>
                <w:rStyle w:val="KonuBalChar"/>
                <w:rFonts w:eastAsia="Calibri"/>
                <w:b/>
                <w:color w:val="0000FF"/>
              </w:rPr>
              <w:t>nci</w:t>
            </w:r>
            <w:r w:rsidR="00D661BE" w:rsidRPr="00A23740">
              <w:rPr>
                <w:lang w:val="tr-TR"/>
              </w:rPr>
              <w:t xml:space="preserve"> </w:t>
            </w:r>
            <w:r w:rsidRPr="00A23740">
              <w:t>madde kıyasen uygulanır.</w:t>
            </w:r>
          </w:p>
          <w:p w:rsidR="00155AF4" w:rsidRPr="00A23740" w:rsidRDefault="00155AF4" w:rsidP="009431FF">
            <w:pPr>
              <w:rPr>
                <w:rFonts w:eastAsia="Times New Roman"/>
                <w:color w:val="FF0000"/>
                <w:szCs w:val="24"/>
                <w:lang w:eastAsia="tr-TR"/>
              </w:rPr>
            </w:pPr>
          </w:p>
        </w:tc>
      </w:tr>
      <w:tr w:rsidR="00155AF4" w:rsidRPr="00A23740" w:rsidTr="009431FF">
        <w:tc>
          <w:tcPr>
            <w:tcW w:w="5000" w:type="pct"/>
            <w:gridSpan w:val="2"/>
            <w:shd w:val="clear" w:color="auto" w:fill="DEEAF6"/>
          </w:tcPr>
          <w:p w:rsidR="009B76E3" w:rsidRPr="00A23740" w:rsidRDefault="009B76E3" w:rsidP="009431FF">
            <w:pPr>
              <w:pStyle w:val="Mavi"/>
              <w:ind w:firstLine="709"/>
              <w:rPr>
                <w:color w:val="auto"/>
                <w:lang w:val="tr-TR"/>
              </w:rPr>
            </w:pPr>
          </w:p>
          <w:p w:rsidR="00C9061A" w:rsidRPr="00A23740" w:rsidRDefault="0007419D" w:rsidP="009431FF">
            <w:pPr>
              <w:pStyle w:val="Mavi"/>
              <w:ind w:firstLine="709"/>
              <w:rPr>
                <w:b w:val="0"/>
                <w:color w:val="auto"/>
                <w:lang w:val="tr-TR"/>
              </w:rPr>
            </w:pPr>
            <w:r w:rsidRPr="00A23740">
              <w:rPr>
                <w:color w:val="auto"/>
                <w:lang w:val="tr-TR"/>
              </w:rPr>
              <w:t xml:space="preserve">MADDE 74- </w:t>
            </w:r>
            <w:r w:rsidRPr="00A23740">
              <w:rPr>
                <w:b w:val="0"/>
                <w:color w:val="auto"/>
                <w:lang w:val="tr-TR"/>
              </w:rPr>
              <w:t>Madde</w:t>
            </w:r>
            <w:r w:rsidR="00C9061A" w:rsidRPr="00A23740">
              <w:rPr>
                <w:b w:val="0"/>
                <w:color w:val="auto"/>
                <w:lang w:val="tr-TR"/>
              </w:rPr>
              <w:t xml:space="preserve">yle, </w:t>
            </w:r>
            <w:r w:rsidR="000A3ED3" w:rsidRPr="008D10FA">
              <w:rPr>
                <w:rStyle w:val="YELChar"/>
                <w:color w:val="auto"/>
              </w:rPr>
              <w:t>taşınmazda</w:t>
            </w:r>
            <w:r w:rsidR="00C9061A" w:rsidRPr="00A23740">
              <w:rPr>
                <w:b w:val="0"/>
                <w:color w:val="auto"/>
                <w:lang w:val="tr-TR"/>
              </w:rPr>
              <w:t xml:space="preserve"> üçüncü kişinin </w:t>
            </w:r>
            <w:r w:rsidR="000A3ED3" w:rsidRPr="008D10FA">
              <w:rPr>
                <w:rStyle w:val="YELChar"/>
                <w:color w:val="auto"/>
              </w:rPr>
              <w:t>bulunması</w:t>
            </w:r>
            <w:r w:rsidR="00C9061A" w:rsidRPr="00A23740">
              <w:rPr>
                <w:b w:val="0"/>
                <w:color w:val="auto"/>
                <w:lang w:val="tr-TR"/>
              </w:rPr>
              <w:t xml:space="preserve"> h</w:t>
            </w:r>
            <w:r w:rsidR="002F2BAA" w:rsidRPr="00A23740">
              <w:rPr>
                <w:b w:val="0"/>
                <w:color w:val="auto"/>
                <w:lang w:val="tr-TR"/>
              </w:rPr>
              <w:t>â</w:t>
            </w:r>
            <w:r w:rsidR="00C9061A" w:rsidRPr="00A23740">
              <w:rPr>
                <w:b w:val="0"/>
                <w:color w:val="auto"/>
                <w:lang w:val="tr-TR"/>
              </w:rPr>
              <w:t>linde yapılacak işlemler düzenlenmektedir. Hüküm, 2004 sayılı Kanunun 27 ve 29 uncu maddelerine karşılık gelmektedir.</w:t>
            </w:r>
            <w:r w:rsidR="00CB699D" w:rsidRPr="00A23740">
              <w:rPr>
                <w:b w:val="0"/>
                <w:color w:val="auto"/>
                <w:lang w:val="tr-TR"/>
              </w:rPr>
              <w:t xml:space="preserve"> Kanun hükmünde kullanılan “işgal” kelimesi zaman içinde anlam daralmasına uğramış olup olumsuz bir anlam çağrıştırmaktadır. Komisyon çalışmaları sırasında “işgal” kelimesinin “elde bulundurma” veya benzeri bir ibare ile değiştirilmesi tartışılmış ise de</w:t>
            </w:r>
            <w:r w:rsidR="00DB44FC" w:rsidRPr="00A23740">
              <w:rPr>
                <w:b w:val="0"/>
                <w:color w:val="auto"/>
                <w:lang w:val="tr-TR"/>
              </w:rPr>
              <w:t>,</w:t>
            </w:r>
            <w:r w:rsidR="00CB699D" w:rsidRPr="00A23740">
              <w:rPr>
                <w:b w:val="0"/>
                <w:color w:val="auto"/>
                <w:lang w:val="tr-TR"/>
              </w:rPr>
              <w:t xml:space="preserve"> özellikle kanun hükmünün uygulanması için ayni hakka sahip olan üçüncü kişinin taşınmazda bizzat bulunması gerekmediğinden “işgal” kelimesinin muhafaza edilmesi tercih edilmiştir.</w:t>
            </w:r>
          </w:p>
          <w:p w:rsidR="00B65C2D" w:rsidRPr="00A23740" w:rsidRDefault="00C9061A" w:rsidP="009431FF">
            <w:pPr>
              <w:pStyle w:val="Mavi"/>
              <w:ind w:firstLine="709"/>
              <w:rPr>
                <w:b w:val="0"/>
                <w:color w:val="auto"/>
                <w:lang w:val="tr-TR"/>
              </w:rPr>
            </w:pPr>
            <w:r w:rsidRPr="00A23740">
              <w:rPr>
                <w:b w:val="0"/>
                <w:color w:val="auto"/>
                <w:lang w:val="tr-TR"/>
              </w:rPr>
              <w:lastRenderedPageBreak/>
              <w:t xml:space="preserve">Birinci fıkrayla, </w:t>
            </w:r>
            <w:r w:rsidR="00B65C2D" w:rsidRPr="00A23740">
              <w:rPr>
                <w:b w:val="0"/>
                <w:color w:val="auto"/>
                <w:lang w:val="tr-TR"/>
              </w:rPr>
              <w:t xml:space="preserve">taşınmaz, üçüncü kişi tarafından davanın açılmasından sonra ve hükümden önce tapuya tescil edilmiş bir ayni hakka dayanarak işgal edilmekteyse bu kişinin taşınmazdan tahliye edilmeyeceği düzenlenmektedir. Bu durumda alacaklı, borçlunun üçüncü kişiye karşı sahip olduğu hakları haiz olur. 2004 sayılı Kanunun 27 nci maddesinin birinci fıkrasında yer alan </w:t>
            </w:r>
            <w:r w:rsidR="0007419D" w:rsidRPr="00A23740">
              <w:rPr>
                <w:b w:val="0"/>
                <w:color w:val="auto"/>
                <w:lang w:val="tr-TR"/>
              </w:rPr>
              <w:t>“tapuya tescil edilmiş bir  akde müsteniden” ibaresi bilimsel içtihatlarda anlaşıldığı şekilde “tapuya tescil edilmiş bir ayni hakka dayanarak” olarak değiştirilm</w:t>
            </w:r>
            <w:r w:rsidR="00B65C2D" w:rsidRPr="00A23740">
              <w:rPr>
                <w:b w:val="0"/>
                <w:color w:val="auto"/>
                <w:lang w:val="tr-TR"/>
              </w:rPr>
              <w:t>ektedir</w:t>
            </w:r>
            <w:r w:rsidR="0007419D" w:rsidRPr="00A23740">
              <w:rPr>
                <w:b w:val="0"/>
                <w:color w:val="auto"/>
                <w:lang w:val="tr-TR"/>
              </w:rPr>
              <w:t xml:space="preserve">. Kuvvetlendirilmiş şahsi hakların da bu kapsama girdiği hususu </w:t>
            </w:r>
            <w:r w:rsidR="00B65C2D" w:rsidRPr="00A23740">
              <w:rPr>
                <w:b w:val="0"/>
                <w:color w:val="auto"/>
                <w:lang w:val="tr-TR"/>
              </w:rPr>
              <w:t>4721 sayılı</w:t>
            </w:r>
            <w:r w:rsidR="008F75C3" w:rsidRPr="00A23740">
              <w:rPr>
                <w:b w:val="0"/>
                <w:color w:val="auto"/>
                <w:lang w:val="tr-TR"/>
              </w:rPr>
              <w:t xml:space="preserve"> </w:t>
            </w:r>
            <w:r w:rsidR="00D426F9" w:rsidRPr="008D10FA">
              <w:rPr>
                <w:rStyle w:val="KonuBalChar"/>
                <w:rFonts w:eastAsia="Calibri"/>
                <w:color w:val="auto"/>
              </w:rPr>
              <w:t>Kanun</w:t>
            </w:r>
            <w:r w:rsidR="00B65C2D" w:rsidRPr="00A23740">
              <w:rPr>
                <w:b w:val="0"/>
                <w:color w:val="auto"/>
                <w:lang w:val="tr-TR"/>
              </w:rPr>
              <w:t xml:space="preserve"> </w:t>
            </w:r>
            <w:r w:rsidR="0007419D" w:rsidRPr="00A23740">
              <w:rPr>
                <w:b w:val="0"/>
                <w:color w:val="auto"/>
                <w:lang w:val="tr-TR"/>
              </w:rPr>
              <w:t>hükümlerinden anlaşıldığı için metne bu yönde bir ilave yapılmasına gerek görülmemiştir.</w:t>
            </w:r>
          </w:p>
          <w:p w:rsidR="00B65C2D" w:rsidRPr="00A23740" w:rsidRDefault="00B65C2D" w:rsidP="009431FF">
            <w:pPr>
              <w:pStyle w:val="Mavi"/>
              <w:ind w:firstLine="709"/>
              <w:rPr>
                <w:b w:val="0"/>
                <w:color w:val="auto"/>
                <w:lang w:val="tr-TR"/>
              </w:rPr>
            </w:pPr>
            <w:r w:rsidRPr="00A23740">
              <w:rPr>
                <w:b w:val="0"/>
                <w:color w:val="auto"/>
                <w:lang w:val="tr-TR"/>
              </w:rPr>
              <w:t>İkinci fıkrayla, alacaklının, borçlunun taşınmazı elinde bulunduran üçüncü kişiye karşı sahip olduğu hakları kullanmak istememesi h</w:t>
            </w:r>
            <w:r w:rsidR="002F2BAA" w:rsidRPr="00A23740">
              <w:rPr>
                <w:b w:val="0"/>
                <w:color w:val="auto"/>
                <w:lang w:val="tr-TR"/>
              </w:rPr>
              <w:t>â</w:t>
            </w:r>
            <w:r w:rsidRPr="00A23740">
              <w:rPr>
                <w:b w:val="0"/>
                <w:color w:val="auto"/>
                <w:lang w:val="tr-TR"/>
              </w:rPr>
              <w:t xml:space="preserve">linde borçluya karşı tazminat davası </w:t>
            </w:r>
            <w:r w:rsidR="00DB44FC" w:rsidRPr="00A23740">
              <w:rPr>
                <w:b w:val="0"/>
                <w:color w:val="auto"/>
                <w:lang w:val="tr-TR"/>
              </w:rPr>
              <w:t xml:space="preserve">açabilmesi </w:t>
            </w:r>
            <w:r w:rsidRPr="00A23740">
              <w:rPr>
                <w:b w:val="0"/>
                <w:color w:val="auto"/>
                <w:lang w:val="tr-TR"/>
              </w:rPr>
              <w:t>düzenlenmektedir.</w:t>
            </w:r>
          </w:p>
          <w:p w:rsidR="00B65C2D" w:rsidRPr="00A23740" w:rsidRDefault="00B65C2D" w:rsidP="009431FF">
            <w:pPr>
              <w:pStyle w:val="Mavi"/>
              <w:ind w:firstLine="709"/>
              <w:rPr>
                <w:b w:val="0"/>
                <w:color w:val="auto"/>
                <w:lang w:val="tr-TR"/>
              </w:rPr>
            </w:pPr>
            <w:r w:rsidRPr="00A23740">
              <w:rPr>
                <w:b w:val="0"/>
                <w:color w:val="auto"/>
                <w:lang w:val="tr-TR"/>
              </w:rPr>
              <w:t xml:space="preserve">Üçüncü fıkrada, alacaklının kötüniyetli üçüncü kişilere karşı genel hükümlere göre </w:t>
            </w:r>
            <w:r w:rsidR="00DB44FC" w:rsidRPr="00A23740">
              <w:rPr>
                <w:b w:val="0"/>
                <w:color w:val="auto"/>
                <w:lang w:val="tr-TR"/>
              </w:rPr>
              <w:t xml:space="preserve">sahip bulunduğu </w:t>
            </w:r>
            <w:r w:rsidRPr="00A23740">
              <w:rPr>
                <w:b w:val="0"/>
                <w:color w:val="auto"/>
                <w:lang w:val="tr-TR"/>
              </w:rPr>
              <w:t>hakların saklı olduğu belirtilmektedir.</w:t>
            </w:r>
          </w:p>
          <w:p w:rsidR="00D15614" w:rsidRPr="00A23740" w:rsidRDefault="00D15614" w:rsidP="009431FF">
            <w:pPr>
              <w:pStyle w:val="Mavi"/>
              <w:ind w:firstLine="709"/>
              <w:rPr>
                <w:b w:val="0"/>
                <w:color w:val="auto"/>
                <w:lang w:val="tr-TR"/>
              </w:rPr>
            </w:pPr>
            <w:r w:rsidRPr="00A23740">
              <w:rPr>
                <w:b w:val="0"/>
                <w:color w:val="auto"/>
                <w:lang w:val="tr-TR"/>
              </w:rPr>
              <w:t xml:space="preserve">Dördüncü fıkrada, konuyla doğrudan ilgisi olması sebebiyle, 2004 sayılı Kanunun 29 uncu maddesinde düzenlenmiş olan </w:t>
            </w:r>
            <w:r w:rsidR="00DB44FC" w:rsidRPr="00A23740">
              <w:rPr>
                <w:b w:val="0"/>
                <w:color w:val="auto"/>
                <w:lang w:val="tr-TR"/>
              </w:rPr>
              <w:t xml:space="preserve">ve </w:t>
            </w:r>
            <w:r w:rsidRPr="00A23740">
              <w:rPr>
                <w:b w:val="0"/>
                <w:color w:val="auto"/>
                <w:lang w:val="tr-TR"/>
              </w:rPr>
              <w:t>taşınmazın hükümden sonra devredilmesi</w:t>
            </w:r>
            <w:r w:rsidR="00DB44FC" w:rsidRPr="00A23740">
              <w:rPr>
                <w:b w:val="0"/>
                <w:color w:val="auto"/>
                <w:lang w:val="tr-TR"/>
              </w:rPr>
              <w:t xml:space="preserve">ne ilişkin olan </w:t>
            </w:r>
            <w:r w:rsidRPr="00A23740">
              <w:rPr>
                <w:b w:val="0"/>
                <w:color w:val="auto"/>
                <w:lang w:val="tr-TR"/>
              </w:rPr>
              <w:t>h</w:t>
            </w:r>
            <w:r w:rsidR="002F2BAA" w:rsidRPr="00A23740">
              <w:rPr>
                <w:b w:val="0"/>
                <w:color w:val="auto"/>
                <w:lang w:val="tr-TR"/>
              </w:rPr>
              <w:t>â</w:t>
            </w:r>
            <w:r w:rsidRPr="00A23740">
              <w:rPr>
                <w:b w:val="0"/>
                <w:color w:val="auto"/>
                <w:lang w:val="tr-TR"/>
              </w:rPr>
              <w:t>li muhafaza edilmektedir. Bu hususta esas</w:t>
            </w:r>
            <w:r w:rsidR="00DB44FC" w:rsidRPr="00A23740">
              <w:rPr>
                <w:b w:val="0"/>
                <w:color w:val="auto"/>
                <w:lang w:val="tr-TR"/>
              </w:rPr>
              <w:t xml:space="preserve"> yönünden </w:t>
            </w:r>
            <w:r w:rsidRPr="00A23740">
              <w:rPr>
                <w:b w:val="0"/>
                <w:color w:val="auto"/>
                <w:lang w:val="tr-TR"/>
              </w:rPr>
              <w:t xml:space="preserve"> bir değişiklik yapılmamaktadır. Ancak kullanılan kavramların ner</w:t>
            </w:r>
            <w:r w:rsidR="00DB44FC" w:rsidRPr="00A23740">
              <w:rPr>
                <w:b w:val="0"/>
                <w:color w:val="auto"/>
                <w:lang w:val="tr-TR"/>
              </w:rPr>
              <w:t>e</w:t>
            </w:r>
            <w:r w:rsidRPr="00A23740">
              <w:rPr>
                <w:b w:val="0"/>
                <w:color w:val="auto"/>
                <w:lang w:val="tr-TR"/>
              </w:rPr>
              <w:t xml:space="preserve">deyse tamamı, 2004 sayılı Kanunun ilk metnine sadık kalınarak tekrar gözden geçirilmektedir. </w:t>
            </w:r>
            <w:r w:rsidR="00DB44FC" w:rsidRPr="00A23740">
              <w:rPr>
                <w:b w:val="0"/>
                <w:color w:val="auto"/>
                <w:lang w:val="tr-TR"/>
              </w:rPr>
              <w:t xml:space="preserve">Dördüncü fıkraya </w:t>
            </w:r>
            <w:r w:rsidRPr="00A23740">
              <w:rPr>
                <w:b w:val="0"/>
                <w:color w:val="auto"/>
                <w:lang w:val="tr-TR"/>
              </w:rPr>
              <w:t>göre</w:t>
            </w:r>
            <w:r w:rsidR="00DB44FC" w:rsidRPr="00A23740">
              <w:rPr>
                <w:b w:val="0"/>
                <w:color w:val="auto"/>
                <w:lang w:val="tr-TR"/>
              </w:rPr>
              <w:t>,</w:t>
            </w:r>
            <w:r w:rsidRPr="00A23740">
              <w:rPr>
                <w:b w:val="0"/>
                <w:color w:val="auto"/>
                <w:lang w:val="tr-TR"/>
              </w:rPr>
              <w:t xml:space="preserve"> hükmün tapu siciline şerh edilmesinden sonra taşınmazın devredilmesi, icra işlemlerini etkilemez. Hükümde gösterilen taşınmaz kimin elinde ise</w:t>
            </w:r>
            <w:r w:rsidR="00DB44FC" w:rsidRPr="00A23740">
              <w:rPr>
                <w:b w:val="0"/>
                <w:color w:val="auto"/>
                <w:lang w:val="tr-TR"/>
              </w:rPr>
              <w:t>,</w:t>
            </w:r>
            <w:r w:rsidRPr="00A23740">
              <w:rPr>
                <w:b w:val="0"/>
                <w:color w:val="auto"/>
                <w:lang w:val="tr-TR"/>
              </w:rPr>
              <w:t xml:space="preserve"> ondan alınıp alacaklıya teslim edilir. Ancak, o yerde bulunan üçüncü kişi, taşınmazı borçludan devralmayıp doğrudan doğruya işgal ettiğine dair tapu kaydını ibraz ederse</w:t>
            </w:r>
            <w:r w:rsidR="00DB44FC" w:rsidRPr="00A23740">
              <w:rPr>
                <w:b w:val="0"/>
                <w:color w:val="auto"/>
                <w:lang w:val="tr-TR"/>
              </w:rPr>
              <w:t>,</w:t>
            </w:r>
            <w:r w:rsidRPr="00A23740">
              <w:rPr>
                <w:b w:val="0"/>
                <w:color w:val="auto"/>
                <w:lang w:val="tr-TR"/>
              </w:rPr>
              <w:t xml:space="preserve"> icra ve iflas dairesi genel mahkemede dava açması için üçüncü kişiye iki hafta süre verir.</w:t>
            </w:r>
            <w:r w:rsidR="005D5357" w:rsidRPr="00A23740">
              <w:rPr>
                <w:b w:val="0"/>
                <w:color w:val="auto"/>
                <w:lang w:val="tr-TR"/>
              </w:rPr>
              <w:t xml:space="preserve"> Tereddütlerin giderilmesi amacıyla davanın genel mahkemede açılacağı açıkça ifade edilmekte ve süre iki hafta olarak belirlenmektedir. </w:t>
            </w:r>
            <w:r w:rsidRPr="00A23740">
              <w:rPr>
                <w:b w:val="0"/>
                <w:color w:val="auto"/>
                <w:lang w:val="tr-TR"/>
              </w:rPr>
              <w:t>Bu süre içinde üçüncü kişi dava açtığına dair belgeyi ibraz ederse icra ve iflas dairesi, hükmün kesinleşmesine kadar icra takibini durdurur.</w:t>
            </w:r>
          </w:p>
          <w:p w:rsidR="00155AF4" w:rsidRPr="00A23740" w:rsidRDefault="00D15614" w:rsidP="009431FF">
            <w:pPr>
              <w:pStyle w:val="Mavi"/>
              <w:ind w:firstLine="709"/>
              <w:rPr>
                <w:color w:val="auto"/>
                <w:lang w:val="tr-TR"/>
              </w:rPr>
            </w:pPr>
            <w:r w:rsidRPr="00A23740">
              <w:rPr>
                <w:b w:val="0"/>
                <w:color w:val="auto"/>
                <w:lang w:val="tr-TR"/>
              </w:rPr>
              <w:t>Beşinci fıkrayla, tahliye ilamı</w:t>
            </w:r>
            <w:r w:rsidR="005D5357" w:rsidRPr="00A23740">
              <w:rPr>
                <w:b w:val="0"/>
                <w:color w:val="auto"/>
                <w:lang w:val="tr-TR"/>
              </w:rPr>
              <w:t>nın</w:t>
            </w:r>
            <w:r w:rsidRPr="00A23740">
              <w:rPr>
                <w:b w:val="0"/>
                <w:color w:val="auto"/>
                <w:lang w:val="tr-TR"/>
              </w:rPr>
              <w:t>, kira sözleşmesine da</w:t>
            </w:r>
            <w:r w:rsidR="005D5357" w:rsidRPr="00A23740">
              <w:rPr>
                <w:b w:val="0"/>
                <w:color w:val="auto"/>
                <w:lang w:val="tr-TR"/>
              </w:rPr>
              <w:t>yanması</w:t>
            </w:r>
            <w:r w:rsidRPr="00A23740">
              <w:rPr>
                <w:b w:val="0"/>
                <w:color w:val="auto"/>
                <w:lang w:val="tr-TR"/>
              </w:rPr>
              <w:t xml:space="preserve"> ve taşın</w:t>
            </w:r>
            <w:r w:rsidR="005D5357" w:rsidRPr="00A23740">
              <w:rPr>
                <w:b w:val="0"/>
                <w:color w:val="auto"/>
                <w:lang w:val="tr-TR"/>
              </w:rPr>
              <w:t>maz</w:t>
            </w:r>
            <w:r w:rsidR="00DB44FC" w:rsidRPr="00A23740">
              <w:rPr>
                <w:b w:val="0"/>
                <w:color w:val="auto"/>
                <w:lang w:val="tr-TR"/>
              </w:rPr>
              <w:t>ın</w:t>
            </w:r>
            <w:r w:rsidR="005D5357" w:rsidRPr="00A23740">
              <w:rPr>
                <w:b w:val="0"/>
                <w:color w:val="auto"/>
                <w:lang w:val="tr-TR"/>
              </w:rPr>
              <w:t xml:space="preserve"> üçüncü kişi elinde bulunması h</w:t>
            </w:r>
            <w:r w:rsidR="002F2BAA" w:rsidRPr="00A23740">
              <w:rPr>
                <w:b w:val="0"/>
                <w:color w:val="auto"/>
                <w:lang w:val="tr-TR"/>
              </w:rPr>
              <w:t>â</w:t>
            </w:r>
            <w:r w:rsidR="005D5357" w:rsidRPr="00A23740">
              <w:rPr>
                <w:b w:val="0"/>
                <w:color w:val="auto"/>
                <w:lang w:val="tr-TR"/>
              </w:rPr>
              <w:t xml:space="preserve">linde </w:t>
            </w:r>
            <w:r w:rsidR="00163E5A" w:rsidRPr="00A23740">
              <w:rPr>
                <w:b w:val="0"/>
                <w:color w:val="auto"/>
                <w:lang w:val="tr-TR"/>
              </w:rPr>
              <w:t>Taslağın</w:t>
            </w:r>
            <w:r w:rsidRPr="00A23740">
              <w:rPr>
                <w:color w:val="auto"/>
                <w:lang w:val="tr-TR"/>
              </w:rPr>
              <w:t xml:space="preserve"> </w:t>
            </w:r>
            <w:r w:rsidR="00D661BE" w:rsidRPr="008D10FA">
              <w:rPr>
                <w:rStyle w:val="KonuBalChar"/>
                <w:rFonts w:eastAsia="Calibri"/>
                <w:color w:val="auto"/>
              </w:rPr>
              <w:t>150 nci</w:t>
            </w:r>
            <w:r w:rsidR="00D661BE" w:rsidRPr="00A23740">
              <w:rPr>
                <w:rStyle w:val="KonuBalChar"/>
                <w:rFonts w:eastAsia="Calibri"/>
              </w:rPr>
              <w:t xml:space="preserve"> </w:t>
            </w:r>
            <w:r w:rsidRPr="00A23740">
              <w:rPr>
                <w:b w:val="0"/>
                <w:color w:val="auto"/>
                <w:lang w:val="tr-TR"/>
              </w:rPr>
              <w:t>madde</w:t>
            </w:r>
            <w:r w:rsidR="00CE3B2F" w:rsidRPr="00A23740">
              <w:rPr>
                <w:b w:val="0"/>
                <w:color w:val="auto"/>
                <w:lang w:val="tr-TR"/>
              </w:rPr>
              <w:t>si</w:t>
            </w:r>
            <w:r w:rsidR="005D5357" w:rsidRPr="00A23740">
              <w:rPr>
                <w:b w:val="0"/>
                <w:color w:val="auto"/>
                <w:lang w:val="tr-TR"/>
              </w:rPr>
              <w:t>nin</w:t>
            </w:r>
            <w:r w:rsidRPr="00A23740">
              <w:rPr>
                <w:b w:val="0"/>
                <w:color w:val="auto"/>
                <w:lang w:val="tr-TR"/>
              </w:rPr>
              <w:t xml:space="preserve"> </w:t>
            </w:r>
            <w:r w:rsidR="005D5357" w:rsidRPr="00A23740">
              <w:rPr>
                <w:b w:val="0"/>
                <w:color w:val="auto"/>
                <w:lang w:val="tr-TR"/>
              </w:rPr>
              <w:t xml:space="preserve">kıyasen uygulanacağı açık şekilde düzenlenmektedir. </w:t>
            </w:r>
            <w:r w:rsidR="0007419D" w:rsidRPr="00A23740">
              <w:rPr>
                <w:b w:val="0"/>
                <w:color w:val="auto"/>
                <w:lang w:val="tr-TR"/>
              </w:rPr>
              <w:t>Kanunda esas olarak taşınmaza ilişkin kararların ayni hakka dayanması olasılığı dikkate alınıp düzenleme yapılm</w:t>
            </w:r>
            <w:r w:rsidR="005D5357" w:rsidRPr="00A23740">
              <w:rPr>
                <w:b w:val="0"/>
                <w:color w:val="auto"/>
                <w:lang w:val="tr-TR"/>
              </w:rPr>
              <w:t>amakta</w:t>
            </w:r>
            <w:r w:rsidR="0007419D" w:rsidRPr="00A23740">
              <w:rPr>
                <w:b w:val="0"/>
                <w:color w:val="auto"/>
                <w:lang w:val="tr-TR"/>
              </w:rPr>
              <w:t>, tahliye ilamına yönelik bir hüküm bulunmamakta, ancak hem öğreti hem de içtihatlar</w:t>
            </w:r>
            <w:r w:rsidR="00DB44FC" w:rsidRPr="00A23740">
              <w:rPr>
                <w:b w:val="0"/>
                <w:color w:val="auto"/>
                <w:lang w:val="tr-TR"/>
              </w:rPr>
              <w:t>la</w:t>
            </w:r>
            <w:r w:rsidR="0007419D" w:rsidRPr="00A23740">
              <w:rPr>
                <w:b w:val="0"/>
                <w:color w:val="auto"/>
                <w:lang w:val="tr-TR"/>
              </w:rPr>
              <w:t xml:space="preserve"> 2004 sayılı Kanunun 276</w:t>
            </w:r>
            <w:r w:rsidR="00CE3B2F" w:rsidRPr="00A23740">
              <w:rPr>
                <w:b w:val="0"/>
                <w:color w:val="auto"/>
                <w:lang w:val="tr-TR"/>
              </w:rPr>
              <w:t xml:space="preserve"> </w:t>
            </w:r>
            <w:r w:rsidR="0007419D" w:rsidRPr="00A23740">
              <w:rPr>
                <w:b w:val="0"/>
                <w:color w:val="auto"/>
                <w:lang w:val="tr-TR"/>
              </w:rPr>
              <w:t>ncı maddesinin bu h</w:t>
            </w:r>
            <w:r w:rsidR="002F2BAA" w:rsidRPr="00A23740">
              <w:rPr>
                <w:b w:val="0"/>
                <w:color w:val="auto"/>
                <w:lang w:val="tr-TR"/>
              </w:rPr>
              <w:t>â</w:t>
            </w:r>
            <w:r w:rsidR="0007419D" w:rsidRPr="00A23740">
              <w:rPr>
                <w:b w:val="0"/>
                <w:color w:val="auto"/>
                <w:lang w:val="tr-TR"/>
              </w:rPr>
              <w:t xml:space="preserve">lde de uygulanacağını belirtmektedir. </w:t>
            </w:r>
            <w:r w:rsidR="00DB44FC" w:rsidRPr="00A23740">
              <w:rPr>
                <w:b w:val="0"/>
                <w:color w:val="auto"/>
                <w:lang w:val="tr-TR"/>
              </w:rPr>
              <w:t xml:space="preserve">Ama, </w:t>
            </w:r>
            <w:r w:rsidR="0007419D" w:rsidRPr="00A23740">
              <w:rPr>
                <w:b w:val="0"/>
                <w:color w:val="auto"/>
                <w:lang w:val="tr-TR"/>
              </w:rPr>
              <w:t>yine de</w:t>
            </w:r>
            <w:r w:rsidR="00DB44FC" w:rsidRPr="00A23740">
              <w:rPr>
                <w:b w:val="0"/>
                <w:color w:val="auto"/>
                <w:lang w:val="tr-TR"/>
              </w:rPr>
              <w:t>,</w:t>
            </w:r>
            <w:r w:rsidR="0007419D" w:rsidRPr="00A23740">
              <w:rPr>
                <w:b w:val="0"/>
                <w:color w:val="auto"/>
                <w:lang w:val="tr-TR"/>
              </w:rPr>
              <w:t xml:space="preserve"> bu atfın açıkça yapılması yararlı olacağından bu husus, </w:t>
            </w:r>
            <w:r w:rsidR="005D5357" w:rsidRPr="00A23740">
              <w:rPr>
                <w:b w:val="0"/>
                <w:color w:val="auto"/>
                <w:lang w:val="tr-TR"/>
              </w:rPr>
              <w:t>fıkraya eklenmektedir</w:t>
            </w:r>
            <w:r w:rsidR="0007419D" w:rsidRPr="00A23740">
              <w:rPr>
                <w:b w:val="0"/>
                <w:color w:val="auto"/>
                <w:lang w:val="tr-TR"/>
              </w:rPr>
              <w:t>.</w:t>
            </w:r>
          </w:p>
          <w:p w:rsidR="0007419D" w:rsidRPr="00A23740" w:rsidRDefault="0007419D"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tabs>
                <w:tab w:val="left" w:pos="567"/>
              </w:tabs>
              <w:rPr>
                <w:rFonts w:eastAsia="Times New Roman"/>
                <w:b/>
                <w:bCs/>
                <w:szCs w:val="24"/>
                <w:lang w:eastAsia="tr-TR"/>
              </w:rPr>
            </w:pPr>
            <w:r w:rsidRPr="00A23740">
              <w:rPr>
                <w:rFonts w:eastAsia="Times New Roman"/>
                <w:b/>
                <w:bCs/>
                <w:szCs w:val="24"/>
                <w:lang w:eastAsia="tr-TR"/>
              </w:rPr>
              <w:lastRenderedPageBreak/>
              <w:t xml:space="preserve">İrtifak haklarına </w:t>
            </w:r>
            <w:r w:rsidRPr="00A23740">
              <w:rPr>
                <w:rFonts w:eastAsia="Times New Roman"/>
                <w:b/>
                <w:bCs/>
                <w:strike/>
                <w:color w:val="FF0000"/>
                <w:szCs w:val="24"/>
                <w:lang w:eastAsia="tr-TR"/>
              </w:rPr>
              <w:t>mütedair</w:t>
            </w:r>
            <w:r w:rsidRPr="00A23740">
              <w:rPr>
                <w:rFonts w:eastAsia="Times New Roman"/>
                <w:b/>
                <w:bCs/>
                <w:szCs w:val="24"/>
                <w:lang w:eastAsia="tr-TR"/>
              </w:rPr>
              <w:t xml:space="preserve"> ilâmlar</w:t>
            </w:r>
            <w:r w:rsidRPr="00A23740">
              <w:rPr>
                <w:rFonts w:eastAsia="Times New Roman"/>
                <w:b/>
                <w:bCs/>
                <w:strike/>
                <w:color w:val="FF0000"/>
                <w:szCs w:val="24"/>
                <w:lang w:eastAsia="tr-TR"/>
              </w:rPr>
              <w:t>:</w:t>
            </w:r>
          </w:p>
          <w:p w:rsidR="00155AF4" w:rsidRPr="00A23740" w:rsidRDefault="00155AF4" w:rsidP="009431FF">
            <w:pPr>
              <w:tabs>
                <w:tab w:val="left" w:pos="567"/>
              </w:tabs>
              <w:rPr>
                <w:rFonts w:eastAsia="Times New Roman"/>
                <w:b/>
                <w:bCs/>
                <w:szCs w:val="24"/>
                <w:lang w:eastAsia="tr-TR"/>
              </w:rPr>
            </w:pPr>
            <w:r w:rsidRPr="00A23740">
              <w:rPr>
                <w:rStyle w:val="KIRMIZIChar"/>
                <w:rFonts w:eastAsia="Calibri"/>
              </w:rPr>
              <w:t>Madde 31 – (1) (Değişik</w:t>
            </w:r>
            <w:r w:rsidRPr="00A23740">
              <w:rPr>
                <w:rFonts w:eastAsia="Times New Roman"/>
                <w:b/>
                <w:bCs/>
                <w:strike/>
                <w:color w:val="FF0000"/>
                <w:szCs w:val="24"/>
                <w:lang w:eastAsia="tr-TR"/>
              </w:rPr>
              <w:t>: 14/1/2012-6103/41 md.)</w:t>
            </w:r>
          </w:p>
          <w:p w:rsidR="00155AF4" w:rsidRPr="00A23740" w:rsidRDefault="00155AF4" w:rsidP="009431FF">
            <w:pPr>
              <w:tabs>
                <w:tab w:val="left" w:pos="567"/>
              </w:tabs>
              <w:rPr>
                <w:rFonts w:eastAsia="Times New Roman"/>
                <w:szCs w:val="24"/>
                <w:lang w:eastAsia="tr-TR"/>
              </w:rPr>
            </w:pPr>
            <w:r w:rsidRPr="00A23740">
              <w:rPr>
                <w:rFonts w:eastAsia="Times New Roman"/>
                <w:szCs w:val="24"/>
                <w:lang w:eastAsia="tr-TR"/>
              </w:rPr>
              <w:t xml:space="preserve">Bir irtifak hakkının </w:t>
            </w:r>
            <w:r w:rsidRPr="00A23740">
              <w:rPr>
                <w:rStyle w:val="KIRMIZIChar"/>
                <w:rFonts w:eastAsia="Calibri"/>
              </w:rPr>
              <w:t>kaldırılmasına yahut</w:t>
            </w:r>
            <w:r w:rsidRPr="00A23740">
              <w:rPr>
                <w:rFonts w:eastAsia="Times New Roman"/>
                <w:b/>
                <w:bCs/>
                <w:strike/>
                <w:color w:val="FF0000"/>
                <w:szCs w:val="24"/>
                <w:lang w:eastAsia="tr-TR"/>
              </w:rPr>
              <w:t xml:space="preserve"> </w:t>
            </w:r>
            <w:r w:rsidRPr="00A23740">
              <w:rPr>
                <w:rStyle w:val="KIRMIZIChar"/>
                <w:rFonts w:eastAsia="Calibri"/>
              </w:rPr>
              <w:t>böyle bir hakkın tahmiline</w:t>
            </w:r>
            <w:r w:rsidRPr="00A23740">
              <w:rPr>
                <w:rFonts w:eastAsia="Times New Roman"/>
                <w:b/>
                <w:bCs/>
                <w:strike/>
                <w:color w:val="FF0000"/>
                <w:szCs w:val="24"/>
                <w:lang w:eastAsia="tr-TR"/>
              </w:rPr>
              <w:t xml:space="preserve"> mütedair</w:t>
            </w:r>
            <w:r w:rsidRPr="00A23740">
              <w:rPr>
                <w:rFonts w:eastAsia="Times New Roman"/>
                <w:szCs w:val="24"/>
                <w:lang w:eastAsia="tr-TR"/>
              </w:rPr>
              <w:t xml:space="preserve"> ilâm </w:t>
            </w:r>
            <w:r w:rsidRPr="00A23740">
              <w:rPr>
                <w:rStyle w:val="KIRMIZIChar"/>
                <w:rFonts w:eastAsia="Calibri"/>
              </w:rPr>
              <w:t>icra dairesine verilince icra müdürü 24 üncü</w:t>
            </w:r>
            <w:r w:rsidRPr="00A23740">
              <w:rPr>
                <w:rFonts w:eastAsia="Times New Roman"/>
                <w:szCs w:val="24"/>
                <w:lang w:eastAsia="tr-TR"/>
              </w:rPr>
              <w:t xml:space="preserve"> madde</w:t>
            </w:r>
            <w:r w:rsidRPr="00A23740">
              <w:rPr>
                <w:rStyle w:val="KIRMIZIChar"/>
                <w:rFonts w:eastAsia="Calibri"/>
              </w:rPr>
              <w:t>de</w:t>
            </w:r>
            <w:r w:rsidRPr="00A23740">
              <w:rPr>
                <w:rFonts w:eastAsia="Times New Roman"/>
                <w:szCs w:val="24"/>
                <w:lang w:eastAsia="tr-TR"/>
              </w:rPr>
              <w:t xml:space="preserve"> </w:t>
            </w:r>
            <w:r w:rsidRPr="00A23740">
              <w:rPr>
                <w:rStyle w:val="KIRMIZIChar"/>
                <w:rFonts w:eastAsia="Calibri"/>
              </w:rPr>
              <w:t>yazılı şekilde yedi günlük bir</w:t>
            </w:r>
            <w:r w:rsidRPr="00A23740">
              <w:rPr>
                <w:rFonts w:eastAsia="Times New Roman"/>
                <w:szCs w:val="24"/>
                <w:lang w:eastAsia="tr-TR"/>
              </w:rPr>
              <w:t xml:space="preserve"> icra emri </w:t>
            </w:r>
            <w:r w:rsidRPr="00A23740">
              <w:rPr>
                <w:rStyle w:val="KIRMIZIChar"/>
                <w:rFonts w:eastAsia="Calibri"/>
              </w:rPr>
              <w:t>gönderir. Borçlu muhalefet</w:t>
            </w:r>
            <w:r w:rsidRPr="00A23740">
              <w:rPr>
                <w:rFonts w:eastAsia="Times New Roman"/>
                <w:b/>
                <w:bCs/>
                <w:strike/>
                <w:color w:val="FF0000"/>
                <w:szCs w:val="24"/>
                <w:lang w:eastAsia="tr-TR"/>
              </w:rPr>
              <w:t xml:space="preserve"> ederse</w:t>
            </w:r>
            <w:r w:rsidRPr="00A23740">
              <w:rPr>
                <w:rFonts w:eastAsia="Times New Roman"/>
                <w:szCs w:val="24"/>
                <w:lang w:eastAsia="tr-TR"/>
              </w:rPr>
              <w:t xml:space="preserve"> ilâm</w:t>
            </w:r>
            <w:r w:rsidRPr="00A23740">
              <w:rPr>
                <w:rStyle w:val="KIRMIZIChar"/>
                <w:rFonts w:eastAsia="Calibri"/>
              </w:rPr>
              <w:t>ın</w:t>
            </w:r>
            <w:r w:rsidRPr="00A23740">
              <w:rPr>
                <w:rFonts w:eastAsia="Times New Roman"/>
                <w:szCs w:val="24"/>
                <w:lang w:eastAsia="tr-TR"/>
              </w:rPr>
              <w:t xml:space="preserve"> hükmü </w:t>
            </w:r>
            <w:r w:rsidRPr="00A23740">
              <w:rPr>
                <w:rStyle w:val="KIRMIZIChar"/>
                <w:rFonts w:eastAsia="Calibri"/>
              </w:rPr>
              <w:t>zorla icra</w:t>
            </w:r>
            <w:r w:rsidRPr="00A23740">
              <w:rPr>
                <w:rFonts w:eastAsia="Times New Roman"/>
                <w:b/>
                <w:bCs/>
                <w:strike/>
                <w:color w:val="FF0000"/>
                <w:szCs w:val="24"/>
                <w:lang w:eastAsia="tr-TR"/>
              </w:rPr>
              <w:t xml:space="preserve"> olunur.</w:t>
            </w:r>
          </w:p>
          <w:p w:rsidR="00155AF4" w:rsidRPr="00A23740" w:rsidRDefault="00155AF4" w:rsidP="009431FF">
            <w:pPr>
              <w:rPr>
                <w:rFonts w:eastAsia="Times New Roman"/>
                <w:b/>
                <w:bCs/>
                <w:strike/>
                <w:color w:val="FF0000"/>
                <w:szCs w:val="24"/>
                <w:lang w:eastAsia="tr-TR"/>
              </w:rPr>
            </w:pPr>
          </w:p>
        </w:tc>
        <w:tc>
          <w:tcPr>
            <w:tcW w:w="2500" w:type="pct"/>
          </w:tcPr>
          <w:p w:rsidR="00155AF4" w:rsidRPr="00A23740" w:rsidRDefault="00155AF4" w:rsidP="009431FF">
            <w:pPr>
              <w:rPr>
                <w:rFonts w:eastAsia="Times New Roman"/>
                <w:b/>
                <w:bCs/>
                <w:szCs w:val="24"/>
                <w:lang w:eastAsia="tr-TR"/>
              </w:rPr>
            </w:pPr>
            <w:r w:rsidRPr="00A23740">
              <w:rPr>
                <w:rFonts w:eastAsia="Times New Roman"/>
                <w:b/>
                <w:bCs/>
                <w:szCs w:val="24"/>
                <w:lang w:eastAsia="tr-TR"/>
              </w:rPr>
              <w:t xml:space="preserve">İrtifak haklarına </w:t>
            </w:r>
            <w:r w:rsidRPr="00A23740">
              <w:rPr>
                <w:rStyle w:val="MaviChar"/>
              </w:rPr>
              <w:t>ilişkin</w:t>
            </w:r>
            <w:r w:rsidRPr="00A23740">
              <w:rPr>
                <w:rFonts w:eastAsia="Times New Roman"/>
                <w:b/>
                <w:bCs/>
                <w:szCs w:val="24"/>
                <w:lang w:eastAsia="tr-TR"/>
              </w:rPr>
              <w:t xml:space="preserve"> ilamlar</w:t>
            </w:r>
            <w:r w:rsidRPr="00A23740">
              <w:rPr>
                <w:rStyle w:val="MaviChar"/>
              </w:rPr>
              <w:t>ın icrası</w:t>
            </w:r>
          </w:p>
          <w:p w:rsidR="00155AF4" w:rsidRPr="00A23740" w:rsidRDefault="00155AF4" w:rsidP="009431FF">
            <w:pPr>
              <w:rPr>
                <w:rStyle w:val="MaviChar"/>
                <w:lang w:val="tr-TR"/>
              </w:rPr>
            </w:pPr>
            <w:r w:rsidRPr="00A23740">
              <w:rPr>
                <w:rStyle w:val="MaviChar"/>
              </w:rPr>
              <w:t>MADDE 75- (1)</w:t>
            </w:r>
            <w:r w:rsidRPr="00A23740">
              <w:rPr>
                <w:rStyle w:val="AltKonuBalChar1"/>
                <w:rFonts w:eastAsia="Calibri"/>
                <w:b w:val="0"/>
                <w:bCs/>
                <w:lang w:val="tr-TR"/>
              </w:rPr>
              <w:t xml:space="preserve"> </w:t>
            </w:r>
            <w:r w:rsidRPr="00A23740">
              <w:rPr>
                <w:rFonts w:eastAsia="Times New Roman"/>
                <w:szCs w:val="24"/>
                <w:lang w:eastAsia="tr-TR"/>
              </w:rPr>
              <w:t xml:space="preserve">Bir irtifak hakkının </w:t>
            </w:r>
            <w:r w:rsidRPr="00A23740">
              <w:rPr>
                <w:rStyle w:val="MaviChar"/>
              </w:rPr>
              <w:t>kurulması veya terkini</w:t>
            </w:r>
            <w:r w:rsidRPr="00A23740">
              <w:rPr>
                <w:rStyle w:val="MaviChar"/>
                <w:lang w:val="tr-TR"/>
              </w:rPr>
              <w:t xml:space="preserve"> </w:t>
            </w:r>
            <w:r w:rsidRPr="00A23740">
              <w:rPr>
                <w:rStyle w:val="MaviChar"/>
              </w:rPr>
              <w:t>hakkındaki ilamın yerine getirilmesine ilişkin icra emrinde</w:t>
            </w:r>
            <w:r w:rsidRPr="00A23740">
              <w:rPr>
                <w:rStyle w:val="MaviChar"/>
                <w:lang w:val="tr-TR"/>
              </w:rPr>
              <w:t xml:space="preserve">, </w:t>
            </w:r>
            <w:r w:rsidR="000948B3" w:rsidRPr="00A23740">
              <w:rPr>
                <w:rStyle w:val="MaviChar"/>
                <w:lang w:val="tr-TR"/>
              </w:rPr>
              <w:t xml:space="preserve">57 nci </w:t>
            </w:r>
            <w:r w:rsidRPr="00A23740">
              <w:rPr>
                <w:rFonts w:eastAsia="Times New Roman"/>
                <w:szCs w:val="24"/>
                <w:lang w:eastAsia="tr-TR"/>
              </w:rPr>
              <w:t>madde</w:t>
            </w:r>
            <w:r w:rsidRPr="00A23740">
              <w:rPr>
                <w:rStyle w:val="MaviChar"/>
                <w:lang w:val="tr-TR"/>
              </w:rPr>
              <w:t xml:space="preserve">nin ikinci fıkrasında yazılanlar ile </w:t>
            </w:r>
            <w:r w:rsidRPr="00A23740">
              <w:rPr>
                <w:rStyle w:val="MaviChar"/>
              </w:rPr>
              <w:t xml:space="preserve">irtifak hakkının niteliğine göre </w:t>
            </w:r>
            <w:r w:rsidRPr="00A23740">
              <w:rPr>
                <w:rStyle w:val="MaviChar"/>
                <w:lang w:val="tr-TR"/>
              </w:rPr>
              <w:t xml:space="preserve">aşağıdaki hususlar yer </w:t>
            </w:r>
            <w:r w:rsidRPr="00A23740">
              <w:rPr>
                <w:rStyle w:val="MaviChar"/>
              </w:rPr>
              <w:t>alır</w:t>
            </w:r>
            <w:r w:rsidRPr="00A23740">
              <w:rPr>
                <w:rStyle w:val="MaviChar"/>
                <w:lang w:val="tr-TR"/>
              </w:rPr>
              <w:t xml:space="preserve">: </w:t>
            </w:r>
          </w:p>
          <w:p w:rsidR="00155AF4" w:rsidRPr="00A23740" w:rsidRDefault="00155AF4" w:rsidP="009431FF">
            <w:pPr>
              <w:rPr>
                <w:rStyle w:val="MaviChar"/>
                <w:lang w:val="tr-TR"/>
              </w:rPr>
            </w:pPr>
          </w:p>
          <w:p w:rsidR="00155AF4" w:rsidRPr="00A23740" w:rsidRDefault="00155AF4" w:rsidP="009431FF">
            <w:r w:rsidRPr="00A23740">
              <w:rPr>
                <w:rStyle w:val="MaviChar"/>
              </w:rPr>
              <w:t>a) İlamda belirtilen yükümlülüğün</w:t>
            </w:r>
            <w:r w:rsidRPr="00A23740">
              <w:t xml:space="preserve"> </w:t>
            </w:r>
            <w:r w:rsidRPr="00A23740">
              <w:rPr>
                <w:rFonts w:eastAsia="Times New Roman"/>
                <w:szCs w:val="24"/>
                <w:lang w:eastAsia="tr-TR"/>
              </w:rPr>
              <w:t>icra emrinin tebliğinden itibaren iki hafta içinde yerine getirilmesi.</w:t>
            </w:r>
          </w:p>
          <w:p w:rsidR="00155AF4" w:rsidRPr="00A23740" w:rsidRDefault="00155AF4" w:rsidP="009431FF">
            <w:pPr>
              <w:pStyle w:val="Mavi"/>
              <w:rPr>
                <w:lang w:val="tr-TR"/>
              </w:rPr>
            </w:pPr>
          </w:p>
          <w:p w:rsidR="00155AF4" w:rsidRPr="00A23740" w:rsidRDefault="00155AF4" w:rsidP="009431FF">
            <w:pPr>
              <w:pStyle w:val="Mavi"/>
              <w:rPr>
                <w:lang w:val="tr-TR"/>
              </w:rPr>
            </w:pPr>
            <w:r w:rsidRPr="00A23740">
              <w:rPr>
                <w:lang w:val="tr-TR"/>
              </w:rPr>
              <w:t>b) İcra emrinin gereği yerine getirilmez veya eksik yerine getirilirse ilam</w:t>
            </w:r>
            <w:r w:rsidRPr="00A23740">
              <w:rPr>
                <w:rFonts w:eastAsia="Times New Roman"/>
                <w:b w:val="0"/>
                <w:bCs w:val="0"/>
                <w:color w:val="auto"/>
                <w:lang w:val="tr-TR" w:eastAsia="tr-TR"/>
              </w:rPr>
              <w:t xml:space="preserve"> hükmü</w:t>
            </w:r>
            <w:r w:rsidRPr="00A23740">
              <w:rPr>
                <w:lang w:val="tr-TR"/>
              </w:rPr>
              <w:t xml:space="preserve">nün zorla </w:t>
            </w:r>
            <w:r w:rsidRPr="00A23740">
              <w:rPr>
                <w:rFonts w:eastAsia="Times New Roman"/>
                <w:b w:val="0"/>
                <w:bCs w:val="0"/>
                <w:color w:val="auto"/>
                <w:lang w:val="tr-TR" w:eastAsia="tr-TR"/>
              </w:rPr>
              <w:t xml:space="preserve">icra </w:t>
            </w:r>
            <w:r w:rsidRPr="00A23740">
              <w:rPr>
                <w:lang w:val="tr-TR"/>
              </w:rPr>
              <w:t xml:space="preserve">edileceği ve borçlunun </w:t>
            </w:r>
            <w:r w:rsidR="00BF0CD1" w:rsidRPr="008D10FA">
              <w:rPr>
                <w:rStyle w:val="KonuBalChar"/>
                <w:rFonts w:eastAsia="Calibri"/>
                <w:b/>
                <w:color w:val="0000FF"/>
              </w:rPr>
              <w:t>5</w:t>
            </w:r>
            <w:r w:rsidR="00394AF6" w:rsidRPr="008D10FA">
              <w:rPr>
                <w:rStyle w:val="KonuBalChar"/>
                <w:rFonts w:eastAsia="Calibri"/>
                <w:b/>
                <w:color w:val="0000FF"/>
                <w:lang w:val="tr-TR"/>
              </w:rPr>
              <w:t>1</w:t>
            </w:r>
            <w:r w:rsidR="00BF0CD1" w:rsidRPr="008D10FA">
              <w:rPr>
                <w:rStyle w:val="KonuBalChar"/>
                <w:rFonts w:eastAsia="Calibri"/>
                <w:b/>
                <w:color w:val="0000FF"/>
              </w:rPr>
              <w:t>3 üncü</w:t>
            </w:r>
            <w:r w:rsidRPr="008D10FA">
              <w:rPr>
                <w:rStyle w:val="KIRMIZIChar"/>
                <w:rFonts w:eastAsia="Calibri"/>
                <w:b/>
                <w:strike w:val="0"/>
              </w:rPr>
              <w:t xml:space="preserve"> </w:t>
            </w:r>
            <w:r w:rsidR="00640409" w:rsidRPr="00A23740">
              <w:rPr>
                <w:lang w:val="tr-TR"/>
              </w:rPr>
              <w:t xml:space="preserve">maddenin ikinci fıkrasına </w:t>
            </w:r>
            <w:r w:rsidRPr="00A23740">
              <w:rPr>
                <w:lang w:val="tr-TR"/>
              </w:rPr>
              <w:t xml:space="preserve">göre </w:t>
            </w:r>
            <w:r w:rsidR="00640409" w:rsidRPr="00A23740">
              <w:rPr>
                <w:lang w:val="tr-TR"/>
              </w:rPr>
              <w:t>tazyik hapsi</w:t>
            </w:r>
            <w:r w:rsidR="008517F5" w:rsidRPr="008D10FA">
              <w:rPr>
                <w:lang w:val="tr-TR"/>
              </w:rPr>
              <w:t>yle</w:t>
            </w:r>
            <w:r w:rsidR="00640409" w:rsidRPr="00A23740">
              <w:rPr>
                <w:lang w:val="tr-TR"/>
              </w:rPr>
              <w:t xml:space="preserve"> </w:t>
            </w:r>
            <w:r w:rsidRPr="00A23740">
              <w:rPr>
                <w:lang w:val="tr-TR"/>
              </w:rPr>
              <w:t>cezalandırılacağı.</w:t>
            </w:r>
          </w:p>
          <w:p w:rsidR="00155AF4" w:rsidRPr="00A23740" w:rsidRDefault="00155AF4" w:rsidP="009431FF">
            <w:pPr>
              <w:pStyle w:val="Mavi"/>
              <w:rPr>
                <w:lang w:val="tr-TR"/>
              </w:rPr>
            </w:pPr>
          </w:p>
          <w:p w:rsidR="00155AF4" w:rsidRPr="00A23740" w:rsidRDefault="00155AF4" w:rsidP="009431FF">
            <w:pPr>
              <w:pStyle w:val="Mavi"/>
            </w:pPr>
            <w:r w:rsidRPr="00A23740">
              <w:t xml:space="preserve">(2) Borçlu süresi içinde icra emrinin gereğini yerine getirmez veya ilama muhalefet ederse, ilamın gereği zorla yerine getirilir. </w:t>
            </w:r>
          </w:p>
          <w:p w:rsidR="00155AF4" w:rsidRPr="00A23740" w:rsidRDefault="00155AF4" w:rsidP="009431FF">
            <w:pPr>
              <w:pStyle w:val="AltKonuBal"/>
              <w:rPr>
                <w:b w:val="0"/>
                <w:bCs/>
                <w:lang w:eastAsia="tr-TR"/>
              </w:rPr>
            </w:pPr>
          </w:p>
        </w:tc>
      </w:tr>
      <w:tr w:rsidR="00155AF4" w:rsidRPr="00A23740" w:rsidTr="009431FF">
        <w:tc>
          <w:tcPr>
            <w:tcW w:w="5000" w:type="pct"/>
            <w:gridSpan w:val="2"/>
            <w:shd w:val="clear" w:color="auto" w:fill="DEEAF6"/>
          </w:tcPr>
          <w:p w:rsidR="0007419D" w:rsidRPr="00A23740" w:rsidRDefault="0007419D" w:rsidP="009431FF">
            <w:pPr>
              <w:pStyle w:val="Mavi"/>
              <w:ind w:firstLine="709"/>
              <w:rPr>
                <w:color w:val="auto"/>
                <w:lang w:val="tr-TR"/>
              </w:rPr>
            </w:pPr>
          </w:p>
          <w:p w:rsidR="00DA3FC1" w:rsidRPr="00A23740" w:rsidRDefault="0007419D" w:rsidP="009431FF">
            <w:pPr>
              <w:pStyle w:val="Mavi"/>
              <w:ind w:firstLine="709"/>
              <w:rPr>
                <w:b w:val="0"/>
                <w:color w:val="auto"/>
                <w:lang w:val="tr-TR"/>
              </w:rPr>
            </w:pPr>
            <w:r w:rsidRPr="00A23740">
              <w:rPr>
                <w:color w:val="auto"/>
                <w:lang w:val="tr-TR"/>
              </w:rPr>
              <w:t xml:space="preserve">MADDE 75- </w:t>
            </w:r>
            <w:r w:rsidRPr="00A23740">
              <w:rPr>
                <w:b w:val="0"/>
                <w:color w:val="auto"/>
                <w:lang w:val="tr-TR"/>
              </w:rPr>
              <w:t>Madde</w:t>
            </w:r>
            <w:r w:rsidR="00DA3FC1" w:rsidRPr="00A23740">
              <w:rPr>
                <w:b w:val="0"/>
                <w:color w:val="auto"/>
                <w:lang w:val="tr-TR"/>
              </w:rPr>
              <w:t>yle</w:t>
            </w:r>
            <w:r w:rsidRPr="00A23740">
              <w:rPr>
                <w:b w:val="0"/>
                <w:color w:val="auto"/>
                <w:lang w:val="tr-TR"/>
              </w:rPr>
              <w:t>, irtifak haklarına ilişkin ilamların icrası</w:t>
            </w:r>
            <w:r w:rsidR="00DA3FC1" w:rsidRPr="00A23740">
              <w:rPr>
                <w:b w:val="0"/>
                <w:color w:val="auto"/>
                <w:lang w:val="tr-TR"/>
              </w:rPr>
              <w:t xml:space="preserve"> düzenlenmektedir. Hüküm 2004 sayılı Kanunun 31 inci maddesine karşılık gelmektedir.</w:t>
            </w:r>
          </w:p>
          <w:p w:rsidR="00DA3FC1" w:rsidRPr="00A23740" w:rsidRDefault="00DA3FC1" w:rsidP="009431FF">
            <w:pPr>
              <w:pStyle w:val="Mavi"/>
              <w:ind w:firstLine="709"/>
              <w:rPr>
                <w:b w:val="0"/>
                <w:bCs w:val="0"/>
                <w:color w:val="auto"/>
              </w:rPr>
            </w:pPr>
            <w:r w:rsidRPr="00A23740">
              <w:rPr>
                <w:b w:val="0"/>
                <w:color w:val="auto"/>
                <w:lang w:val="tr-TR"/>
              </w:rPr>
              <w:t xml:space="preserve">Birinci fıkrayla, bir irtifak hakkının kurulması veya terkini hakkındaki ilamın yerine getirilmesine ilişkin icra emrinde, </w:t>
            </w:r>
            <w:r w:rsidR="005E4420" w:rsidRPr="00A23740">
              <w:rPr>
                <w:b w:val="0"/>
                <w:color w:val="auto"/>
                <w:lang w:val="tr-TR"/>
              </w:rPr>
              <w:t>i</w:t>
            </w:r>
            <w:r w:rsidRPr="00A23740">
              <w:rPr>
                <w:b w:val="0"/>
                <w:color w:val="auto"/>
                <w:lang w:val="tr-TR"/>
              </w:rPr>
              <w:t>rtifak hakkının niteliğine göre yer alacak hususlar belirlenmektedir. İrtifak haklarına ilişkin ilamların icrasını düzenleyen hükmün uygulaması</w:t>
            </w:r>
            <w:r w:rsidR="005E4420" w:rsidRPr="00A23740">
              <w:rPr>
                <w:b w:val="0"/>
                <w:color w:val="auto"/>
                <w:lang w:val="tr-TR"/>
              </w:rPr>
              <w:t xml:space="preserve"> yaygın değildir.</w:t>
            </w:r>
            <w:r w:rsidRPr="00A23740">
              <w:rPr>
                <w:b w:val="0"/>
                <w:color w:val="auto"/>
                <w:lang w:val="tr-TR"/>
              </w:rPr>
              <w:t xml:space="preserve"> Bunun sebebi, irtifak hakkının tesisi</w:t>
            </w:r>
            <w:r w:rsidR="00DB44FC" w:rsidRPr="00A23740">
              <w:rPr>
                <w:b w:val="0"/>
                <w:color w:val="auto"/>
                <w:lang w:val="tr-TR"/>
              </w:rPr>
              <w:t>yle</w:t>
            </w:r>
            <w:r w:rsidRPr="00A23740">
              <w:rPr>
                <w:b w:val="0"/>
                <w:color w:val="auto"/>
                <w:lang w:val="tr-TR"/>
              </w:rPr>
              <w:t xml:space="preserve"> ilgili işlerin yapılması ve masrafların karşılanmasının maddi hukuk gereği takip alacaklısına ait olması ve borçlunun esasen bir katlanma yükümlülüğüne tabi olmasıdır. Ancak özellikle irtifak hakkının terkininden sonra borçlunun da işin mahiyetine göre bazı şeyleri yapması gerekebilir. Bu düşünceyle maddenin birinci fıkrasına “irtifak hakkının niteliğine göre” ibaresi eklenmektedir.</w:t>
            </w:r>
          </w:p>
          <w:p w:rsidR="00DA3FC1" w:rsidRPr="00A23740" w:rsidRDefault="00DA3FC1" w:rsidP="009431FF">
            <w:pPr>
              <w:pStyle w:val="Mavi"/>
              <w:ind w:firstLine="709"/>
              <w:rPr>
                <w:b w:val="0"/>
                <w:color w:val="auto"/>
                <w:lang w:val="tr-TR"/>
              </w:rPr>
            </w:pPr>
            <w:r w:rsidRPr="00A23740">
              <w:rPr>
                <w:b w:val="0"/>
                <w:bCs w:val="0"/>
                <w:color w:val="auto"/>
              </w:rPr>
              <w:t>(</w:t>
            </w:r>
            <w:r w:rsidRPr="00A23740">
              <w:rPr>
                <w:b w:val="0"/>
                <w:bCs w:val="0"/>
                <w:color w:val="auto"/>
                <w:lang w:val="tr-TR"/>
              </w:rPr>
              <w:t xml:space="preserve">a) </w:t>
            </w:r>
            <w:r w:rsidRPr="00A23740">
              <w:rPr>
                <w:b w:val="0"/>
                <w:bCs w:val="0"/>
                <w:color w:val="auto"/>
              </w:rPr>
              <w:t>bendinde, i</w:t>
            </w:r>
            <w:r w:rsidRPr="00A23740">
              <w:rPr>
                <w:b w:val="0"/>
                <w:bCs w:val="0"/>
                <w:color w:val="auto"/>
                <w:lang w:val="tr-TR"/>
              </w:rPr>
              <w:t>lamda belirtilen yükümlülüğün</w:t>
            </w:r>
            <w:r w:rsidRPr="00A23740">
              <w:rPr>
                <w:b w:val="0"/>
                <w:color w:val="auto"/>
                <w:lang w:val="tr-TR"/>
              </w:rPr>
              <w:t xml:space="preserve"> icra emrinin tebliğinden itibaren iki hafta içinde yerine getirilmesi gerektiği belirtilmektedir. Diğer hükümlere paralel olarak bu maddede de icra emrinin yerine getirilmesi için borçluya verilen süre artırılm</w:t>
            </w:r>
            <w:r w:rsidR="006D0EB8" w:rsidRPr="00A23740">
              <w:rPr>
                <w:b w:val="0"/>
                <w:color w:val="auto"/>
                <w:lang w:val="tr-TR"/>
              </w:rPr>
              <w:t>akta</w:t>
            </w:r>
            <w:r w:rsidRPr="00A23740">
              <w:rPr>
                <w:b w:val="0"/>
                <w:color w:val="auto"/>
                <w:lang w:val="tr-TR"/>
              </w:rPr>
              <w:t xml:space="preserve"> ve iki haftaya çıkarılm</w:t>
            </w:r>
            <w:r w:rsidR="000948B3" w:rsidRPr="00A23740">
              <w:rPr>
                <w:b w:val="0"/>
                <w:color w:val="auto"/>
                <w:lang w:val="tr-TR"/>
              </w:rPr>
              <w:t>aktadı</w:t>
            </w:r>
            <w:r w:rsidRPr="00A23740">
              <w:rPr>
                <w:b w:val="0"/>
                <w:color w:val="auto"/>
                <w:lang w:val="tr-TR"/>
              </w:rPr>
              <w:t>r.</w:t>
            </w:r>
          </w:p>
          <w:p w:rsidR="00DA3FC1" w:rsidRPr="00A23740" w:rsidRDefault="00DA3FC1" w:rsidP="009431FF">
            <w:pPr>
              <w:pStyle w:val="Mavi"/>
              <w:ind w:firstLine="709"/>
              <w:rPr>
                <w:b w:val="0"/>
                <w:color w:val="auto"/>
                <w:lang w:val="tr-TR"/>
              </w:rPr>
            </w:pPr>
            <w:r w:rsidRPr="00A23740">
              <w:rPr>
                <w:b w:val="0"/>
                <w:color w:val="auto"/>
                <w:lang w:val="tr-TR"/>
              </w:rPr>
              <w:t>(b) bendinde icra emrinin gereği</w:t>
            </w:r>
            <w:r w:rsidR="00DB44FC" w:rsidRPr="00A23740">
              <w:rPr>
                <w:b w:val="0"/>
                <w:color w:val="auto"/>
                <w:lang w:val="tr-TR"/>
              </w:rPr>
              <w:t>nin</w:t>
            </w:r>
            <w:r w:rsidRPr="00A23740">
              <w:rPr>
                <w:b w:val="0"/>
                <w:color w:val="auto"/>
                <w:lang w:val="tr-TR"/>
              </w:rPr>
              <w:t xml:space="preserve"> yerine getirilmemesi veya eksik yerine getirilirmesi h</w:t>
            </w:r>
            <w:r w:rsidR="002F2BAA" w:rsidRPr="00A23740">
              <w:rPr>
                <w:b w:val="0"/>
                <w:color w:val="auto"/>
                <w:lang w:val="tr-TR"/>
              </w:rPr>
              <w:t>â</w:t>
            </w:r>
            <w:r w:rsidRPr="00A23740">
              <w:rPr>
                <w:b w:val="0"/>
                <w:color w:val="auto"/>
                <w:lang w:val="tr-TR"/>
              </w:rPr>
              <w:t xml:space="preserve">linde ilam hükmünün zorla icra edileceği ve borçlunun </w:t>
            </w:r>
            <w:r w:rsidR="00163E5A" w:rsidRPr="00A23740">
              <w:rPr>
                <w:b w:val="0"/>
                <w:color w:val="auto"/>
                <w:lang w:val="tr-TR"/>
              </w:rPr>
              <w:t>Taslağın</w:t>
            </w:r>
            <w:r w:rsidRPr="00A23740">
              <w:rPr>
                <w:b w:val="0"/>
                <w:color w:val="auto"/>
                <w:lang w:val="tr-TR"/>
              </w:rPr>
              <w:t xml:space="preserve"> </w:t>
            </w:r>
            <w:r w:rsidR="00394AF6" w:rsidRPr="008D10FA">
              <w:rPr>
                <w:rStyle w:val="KonuBalChar"/>
                <w:rFonts w:eastAsia="Calibri"/>
                <w:color w:val="auto"/>
              </w:rPr>
              <w:t>5</w:t>
            </w:r>
            <w:r w:rsidR="00394AF6" w:rsidRPr="008D10FA">
              <w:rPr>
                <w:rStyle w:val="KonuBalChar"/>
                <w:rFonts w:eastAsia="Calibri"/>
                <w:color w:val="auto"/>
                <w:lang w:val="tr-TR"/>
              </w:rPr>
              <w:t>1</w:t>
            </w:r>
            <w:r w:rsidR="00394AF6" w:rsidRPr="008D10FA">
              <w:rPr>
                <w:rStyle w:val="KonuBalChar"/>
                <w:rFonts w:eastAsia="Calibri"/>
                <w:color w:val="auto"/>
              </w:rPr>
              <w:t>3 üncü</w:t>
            </w:r>
            <w:r w:rsidRPr="00A23740">
              <w:rPr>
                <w:b w:val="0"/>
                <w:color w:val="auto"/>
                <w:lang w:val="tr-TR"/>
              </w:rPr>
              <w:t xml:space="preserve"> madde</w:t>
            </w:r>
            <w:r w:rsidR="00DB44FC" w:rsidRPr="00A23740">
              <w:rPr>
                <w:b w:val="0"/>
                <w:color w:val="auto"/>
                <w:lang w:val="tr-TR"/>
              </w:rPr>
              <w:t>si</w:t>
            </w:r>
            <w:r w:rsidRPr="00A23740">
              <w:rPr>
                <w:b w:val="0"/>
                <w:color w:val="auto"/>
                <w:lang w:val="tr-TR"/>
              </w:rPr>
              <w:t xml:space="preserve"> uyarınca cezalandırılacağı ihtarı </w:t>
            </w:r>
            <w:r w:rsidR="00DB44FC" w:rsidRPr="00A23740">
              <w:rPr>
                <w:b w:val="0"/>
                <w:color w:val="auto"/>
                <w:lang w:val="tr-TR"/>
              </w:rPr>
              <w:t xml:space="preserve"> düzenlenmektedir</w:t>
            </w:r>
            <w:r w:rsidRPr="00A23740">
              <w:rPr>
                <w:b w:val="0"/>
                <w:color w:val="auto"/>
                <w:lang w:val="tr-TR"/>
              </w:rPr>
              <w:t>.</w:t>
            </w:r>
          </w:p>
          <w:p w:rsidR="00DA3FC1" w:rsidRPr="00A23740" w:rsidRDefault="00DA3FC1" w:rsidP="009431FF">
            <w:pPr>
              <w:pStyle w:val="Mavi"/>
              <w:ind w:firstLine="709"/>
              <w:rPr>
                <w:color w:val="auto"/>
                <w:lang w:val="tr-TR"/>
              </w:rPr>
            </w:pPr>
            <w:r w:rsidRPr="00A23740">
              <w:rPr>
                <w:b w:val="0"/>
                <w:color w:val="auto"/>
                <w:lang w:val="tr-TR"/>
              </w:rPr>
              <w:t>İkinci fıkrayla, borçlunun süresi içinde icra emrinin gereğini yerine getirmemesi veya ilama muhalefet etmesi h</w:t>
            </w:r>
            <w:r w:rsidR="002F2BAA" w:rsidRPr="00A23740">
              <w:rPr>
                <w:b w:val="0"/>
                <w:color w:val="auto"/>
                <w:lang w:val="tr-TR"/>
              </w:rPr>
              <w:t>â</w:t>
            </w:r>
            <w:r w:rsidRPr="00A23740">
              <w:rPr>
                <w:b w:val="0"/>
                <w:color w:val="auto"/>
                <w:lang w:val="tr-TR"/>
              </w:rPr>
              <w:t xml:space="preserve">linde ilamın gereğinin zorla yerine </w:t>
            </w:r>
            <w:r w:rsidR="00DB44FC" w:rsidRPr="00A23740">
              <w:rPr>
                <w:b w:val="0"/>
                <w:color w:val="auto"/>
                <w:lang w:val="tr-TR"/>
              </w:rPr>
              <w:t xml:space="preserve">getirilmesi </w:t>
            </w:r>
            <w:r w:rsidRPr="00A23740">
              <w:rPr>
                <w:b w:val="0"/>
                <w:color w:val="auto"/>
                <w:lang w:val="tr-TR"/>
              </w:rPr>
              <w:t>düzenlenmektedir.</w:t>
            </w:r>
          </w:p>
          <w:p w:rsidR="0007419D" w:rsidRPr="00A23740" w:rsidRDefault="0007419D"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widowControl w:val="0"/>
              <w:rPr>
                <w:rFonts w:eastAsia="ヒラギノ明朝 Pro W3"/>
                <w:lang w:val="tr-TR"/>
              </w:rPr>
            </w:pPr>
            <w:r w:rsidRPr="00A23740">
              <w:rPr>
                <w:rFonts w:eastAsia="ヒラギノ明朝 Pro W3"/>
                <w:lang w:val="tr-TR"/>
              </w:rPr>
              <w:t>Gemilere ve bunlarla ilgili aynî haklara ilişkin ilâmların icrası:</w:t>
            </w:r>
          </w:p>
          <w:p w:rsidR="00155AF4" w:rsidRPr="00A23740" w:rsidRDefault="00155AF4" w:rsidP="009431FF">
            <w:pPr>
              <w:pStyle w:val="KIRMIZI"/>
              <w:widowControl w:val="0"/>
              <w:rPr>
                <w:rFonts w:eastAsia="ヒラギノ明朝 Pro W3"/>
                <w:lang w:val="tr-TR"/>
              </w:rPr>
            </w:pPr>
            <w:r w:rsidRPr="00A23740">
              <w:rPr>
                <w:rFonts w:eastAsia="ヒラギノ明朝 Pro W3"/>
                <w:lang w:val="tr-TR"/>
              </w:rPr>
              <w:t xml:space="preserve">Madde </w:t>
            </w:r>
            <w:r w:rsidRPr="00A23740">
              <w:rPr>
                <w:lang w:val="tr-TR" w:eastAsia="tr-TR"/>
              </w:rPr>
              <w:t>31/a – (1) (Ek: 14/1/2011-6103/41 md.)</w:t>
            </w:r>
          </w:p>
          <w:p w:rsidR="00155AF4" w:rsidRPr="00A23740" w:rsidRDefault="00155AF4" w:rsidP="009431FF">
            <w:pPr>
              <w:pStyle w:val="KIRMIZI"/>
              <w:widowControl w:val="0"/>
              <w:rPr>
                <w:rFonts w:eastAsia="ヒラギノ明朝 Pro W3"/>
                <w:lang w:val="tr-TR"/>
              </w:rPr>
            </w:pPr>
            <w:r w:rsidRPr="00A23740">
              <w:rPr>
                <w:rFonts w:eastAsia="ヒラギノ明朝 Pro W3"/>
                <w:lang w:val="tr-TR"/>
              </w:rPr>
              <w:t>Bayrağına ve sicile kayıtlı olup olmadığına bakılmaksızın bütün gemilere ve bunlarla ilgili aynî haklara ilişkin kararlar, kesinleşmedikçe icra edilemez.</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rPr>
            </w:pPr>
            <w:r w:rsidRPr="00A23740">
              <w:rPr>
                <w:rFonts w:eastAsia="ヒラギノ明朝 Pro W3"/>
                <w:lang w:val="tr-TR"/>
              </w:rPr>
              <w:t xml:space="preserve">(2) Sicile kayıtlı Türk gemilerine ve bunlarla ilgili aynî haklara ilişkin davalarda davacının lehine hüküm verilirse, mahkeme, </w:t>
            </w:r>
            <w:r w:rsidRPr="00A23740">
              <w:rPr>
                <w:rFonts w:eastAsia="ヒラギノ明朝 Pro W3"/>
                <w:lang w:val="tr-TR"/>
              </w:rPr>
              <w:lastRenderedPageBreak/>
              <w:t>davacının istemine gerek kalmaksızın, hükmün tefhimi ile birlikte özetini gemi sicili müdürlüğüne bildirir. Hüküm, gemi siciline şerh edilir. Davada verilen karar ileride davacının aleyhine kesinleşirse, mahkeme, bu hükmün özetini de gemi sicili müdürlüğüne derhal bildirir. Sicile kayıtlı olup olmadığına bakılmaksızın bütün yabancı bayraklı gemiler bakımından mahkeme, bu fıkrada öngörülen bildirimleri, geminin bayrağını taşıdığı devletin en yakın konsolosluğuna yapar. Hükmün gemi siciline şerh edilmesinden sonra geminin zilyetliğini elde eden kişi aleyhine yeni bir ilâm alınmasına gerek olmadan, üçüncü fıkraya göre işlem yapılır.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lang w:val="tr-TR" w:eastAsia="tr-TR"/>
              </w:rPr>
            </w:pPr>
            <w:r w:rsidRPr="00A23740">
              <w:rPr>
                <w:rFonts w:eastAsia="ヒラギノ明朝 Pro W3"/>
                <w:lang w:val="tr-TR" w:eastAsia="tr-TR"/>
              </w:rPr>
              <w:t xml:space="preserve">(2) Bayrağına ve sicile kayıtlı olup olmadığına bakılmaksızın bir geminin tahliye ve teslimine ilişkin ilâm, icra dairesine verilince icra müdürü, bir icra emri tebliği suretiyle borçluya </w:t>
            </w:r>
            <w:r w:rsidRPr="00A23740">
              <w:rPr>
                <w:lang w:val="tr-TR" w:eastAsia="tr-TR"/>
              </w:rPr>
              <w:t>yedi gün</w:t>
            </w:r>
            <w:r w:rsidRPr="00A23740">
              <w:rPr>
                <w:rFonts w:eastAsia="ヒラギノ明朝 Pro W3"/>
                <w:lang w:val="tr-TR" w:eastAsia="tr-TR"/>
              </w:rPr>
              <w:t xml:space="preserve"> içinde o geminin teslimini </w:t>
            </w:r>
            <w:r w:rsidRPr="00A23740">
              <w:rPr>
                <w:lang w:val="tr-TR" w:eastAsia="tr-TR"/>
              </w:rPr>
              <w:t>emreder.</w:t>
            </w:r>
            <w:r w:rsidRPr="00A23740">
              <w:rPr>
                <w:rFonts w:eastAsia="ヒラギノ明朝 Pro W3"/>
                <w:lang w:val="tr-TR" w:eastAsia="tr-TR"/>
              </w:rPr>
              <w:t xml:space="preserve"> </w:t>
            </w:r>
            <w:r w:rsidRPr="00A23740">
              <w:rPr>
                <w:lang w:val="tr-TR" w:eastAsia="tr-TR"/>
              </w:rPr>
              <w:t>İcra emrinde; alacaklı ve borçlunun ve varsa temsilcilerinin adları ve soyadları ile yerleşim yerleri, hükmü veren mahkemenin ismi ile tahliye ve teslimine hükmolunan geminin kimliği, ilâmın tarih ve numarası ve icra mahkemesinden veya istinaf ya da temyiz yahut iadei muhakeme yoluyla görülmekte olduğu mahkemeden icranın geri bırakılması hakkında bir karar getirilmedikçe cebrî icraya devam olunacağı yazılır.</w:t>
            </w:r>
          </w:p>
          <w:p w:rsidR="00155AF4" w:rsidRPr="00A23740" w:rsidRDefault="00155AF4" w:rsidP="009431FF">
            <w:pPr>
              <w:pStyle w:val="KIRMIZI"/>
              <w:widowControl w:val="0"/>
              <w:rPr>
                <w:lang w:val="tr-TR" w:eastAsia="tr-TR"/>
              </w:rPr>
            </w:pPr>
          </w:p>
          <w:p w:rsidR="00155AF4" w:rsidRPr="00A23740" w:rsidRDefault="00155AF4" w:rsidP="009431FF">
            <w:pPr>
              <w:pStyle w:val="KIRMIZI"/>
              <w:widowControl w:val="0"/>
              <w:rPr>
                <w:rFonts w:eastAsia="ヒラギノ明朝 Pro W3"/>
                <w:lang w:val="tr-TR" w:eastAsia="tr-TR"/>
              </w:rPr>
            </w:pPr>
            <w:r w:rsidRPr="00A23740">
              <w:rPr>
                <w:rFonts w:eastAsia="ヒラギノ明朝 Pro W3"/>
                <w:lang w:val="tr-TR" w:eastAsia="tr-TR"/>
              </w:rPr>
              <w:t xml:space="preserve">(3) Borçlu, gemiye zilyet olduğu hâlde bu emri yerine getirmezse, ilâmın hükmü zorla </w:t>
            </w:r>
            <w:r w:rsidRPr="00A23740">
              <w:rPr>
                <w:lang w:val="tr-TR" w:eastAsia="tr-TR"/>
              </w:rPr>
              <w:t>tenfiz</w:t>
            </w:r>
            <w:r w:rsidRPr="00A23740">
              <w:rPr>
                <w:rFonts w:eastAsia="ヒラギノ明朝 Pro W3"/>
                <w:lang w:val="tr-TR" w:eastAsia="tr-TR"/>
              </w:rPr>
              <w:t xml:space="preserve"> olunur. Borçlu geminin zilyedi değilse, alacaklı aşağıda yazılı seçimlik haklardan birini kullanabilir: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eastAsia="tr-TR"/>
              </w:rPr>
            </w:pPr>
            <w:r w:rsidRPr="00A23740">
              <w:rPr>
                <w:lang w:val="tr-TR" w:eastAsia="tr-TR"/>
              </w:rPr>
              <w:t>1.</w:t>
            </w:r>
            <w:r w:rsidRPr="00A23740">
              <w:rPr>
                <w:rFonts w:eastAsia="ヒラギノ明朝 Pro W3"/>
                <w:lang w:val="tr-TR" w:eastAsia="tr-TR"/>
              </w:rPr>
              <w:t xml:space="preserve"> Alacaklı, geminin ilâmda yazılı değerinin alınmasını isteyebilir. Borçlu bu değeri ödemezse ayrıca icra emri tebliğine gerek kalmaksızın, söz konusu değer kendisinden haciz yoluyla tahsil olunur. Geminin değeri, ilâmda yazılı olmadığı ve taraflar bu değer üzerinde anlaşamadıkları takdirde, icra müdürü tarafından </w:t>
            </w:r>
            <w:r w:rsidRPr="00A23740">
              <w:rPr>
                <w:rFonts w:eastAsia="ヒラギノ明朝 Pro W3"/>
                <w:lang w:val="tr-TR" w:eastAsia="tr-TR"/>
              </w:rPr>
              <w:lastRenderedPageBreak/>
              <w:t>seçilecek bilirkişi heyetine tespit ettirilir. Bilirkişi heyeti geminin kıymet takdiri sırasındaki değerini esas alır.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eastAsia="tr-TR"/>
              </w:rPr>
            </w:pPr>
            <w:r w:rsidRPr="00A23740">
              <w:rPr>
                <w:lang w:val="tr-TR" w:eastAsia="tr-TR"/>
              </w:rPr>
              <w:t>2.</w:t>
            </w:r>
            <w:r w:rsidRPr="00A23740">
              <w:rPr>
                <w:rFonts w:eastAsia="ヒラギノ明朝 Pro W3"/>
                <w:lang w:val="tr-TR" w:eastAsia="tr-TR"/>
              </w:rPr>
              <w:t xml:space="preserve"> Alacaklı, gemiye zilyet olan üçüncü kişiye karşı borçlunun sahip olduğu hakları kullanabilir. Şu kadar ki, üçüncü kişi, davadan sonra ve hükümden önce gemi siciline tescil edilmiş bir sözleşmeye dayanarak gemiye zilyet ise (</w:t>
            </w:r>
            <w:r w:rsidRPr="00A23740">
              <w:rPr>
                <w:lang w:val="tr-TR" w:eastAsia="tr-TR"/>
              </w:rPr>
              <w:t xml:space="preserve">1) numaralı </w:t>
            </w:r>
            <w:r w:rsidRPr="00A23740">
              <w:rPr>
                <w:rFonts w:eastAsia="ヒラギノ明朝 Pro W3"/>
                <w:lang w:val="tr-TR" w:eastAsia="tr-TR"/>
              </w:rPr>
              <w:t>ben</w:t>
            </w:r>
            <w:r w:rsidRPr="00A23740">
              <w:rPr>
                <w:lang w:val="tr-TR" w:eastAsia="tr-TR"/>
              </w:rPr>
              <w:t>t</w:t>
            </w:r>
            <w:r w:rsidRPr="00A23740">
              <w:rPr>
                <w:rFonts w:eastAsia="ヒラギノ明朝 Pro W3"/>
                <w:lang w:val="tr-TR" w:eastAsia="tr-TR"/>
              </w:rPr>
              <w:t xml:space="preserve"> </w:t>
            </w:r>
            <w:r w:rsidRPr="00A23740">
              <w:rPr>
                <w:lang w:val="tr-TR" w:eastAsia="tr-TR"/>
              </w:rPr>
              <w:t>hükmü</w:t>
            </w:r>
            <w:r w:rsidRPr="00A23740">
              <w:rPr>
                <w:rFonts w:eastAsia="ヒラギノ明朝 Pro W3"/>
                <w:lang w:val="tr-TR" w:eastAsia="tr-TR"/>
              </w:rPr>
              <w:t xml:space="preserve"> uygulanır.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rPr>
            </w:pPr>
            <w:r w:rsidRPr="00A23740">
              <w:rPr>
                <w:rFonts w:eastAsia="ヒラギノ明朝 Pro W3"/>
                <w:lang w:val="tr-TR"/>
              </w:rPr>
              <w:t>(4) Alacaklıya teslim olunan gemiye haklı bir sebep olmaksızın tekrar giren borçlu veya üçüncü kişi, ayrıca hükme gerek kalmadan zorla çıkarılır.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eastAsia="tr-TR"/>
              </w:rPr>
            </w:pPr>
            <w:r w:rsidRPr="00A23740">
              <w:rPr>
                <w:rFonts w:eastAsia="ヒラギノ明朝 Pro W3"/>
                <w:lang w:val="tr-TR" w:eastAsia="tr-TR"/>
              </w:rPr>
              <w:t xml:space="preserve">(5) Gemide bulunup da ilâma dahil olmayan eşya, çıkarılarak borçluya teslim ve bu kişi hazır değilse vekiline </w:t>
            </w:r>
            <w:r w:rsidRPr="00A23740">
              <w:rPr>
                <w:lang w:val="tr-TR" w:eastAsia="tr-TR"/>
              </w:rPr>
              <w:t>tevdi</w:t>
            </w:r>
            <w:r w:rsidRPr="00A23740">
              <w:rPr>
                <w:rFonts w:eastAsia="ヒラギノ明朝 Pro W3"/>
                <w:lang w:val="tr-TR" w:eastAsia="tr-TR"/>
              </w:rPr>
              <w:t xml:space="preserve"> olunur. Bunlardan </w:t>
            </w:r>
            <w:r w:rsidRPr="00A23740">
              <w:rPr>
                <w:lang w:val="tr-TR" w:eastAsia="tr-TR"/>
              </w:rPr>
              <w:t>hiçbiri bulunmazsa mezkûr</w:t>
            </w:r>
            <w:r w:rsidRPr="00A23740">
              <w:rPr>
                <w:rFonts w:eastAsia="ヒラギノ明朝 Pro W3"/>
                <w:lang w:val="tr-TR" w:eastAsia="tr-TR"/>
              </w:rPr>
              <w:t xml:space="preserve"> eşya, </w:t>
            </w:r>
            <w:r w:rsidRPr="00A23740">
              <w:rPr>
                <w:lang w:val="tr-TR" w:eastAsia="tr-TR"/>
              </w:rPr>
              <w:t>masrafı</w:t>
            </w:r>
            <w:r w:rsidRPr="00A23740">
              <w:rPr>
                <w:rFonts w:eastAsia="ヒラギノ明朝 Pro W3"/>
                <w:lang w:val="tr-TR" w:eastAsia="tr-TR"/>
              </w:rPr>
              <w:t xml:space="preserve"> ileride borçluya ödetilmek üzere peşin olarak alacaklıdan alınıp </w:t>
            </w:r>
            <w:r w:rsidRPr="00A23740">
              <w:rPr>
                <w:lang w:val="tr-TR" w:eastAsia="tr-TR"/>
              </w:rPr>
              <w:t>emin</w:t>
            </w:r>
            <w:r w:rsidRPr="00A23740">
              <w:rPr>
                <w:rFonts w:eastAsia="ヒラギノ明朝 Pro W3"/>
                <w:lang w:val="tr-TR" w:eastAsia="tr-TR"/>
              </w:rPr>
              <w:t xml:space="preserve"> bir yerde veya alacaklının </w:t>
            </w:r>
            <w:r w:rsidRPr="00A23740">
              <w:rPr>
                <w:lang w:val="tr-TR" w:eastAsia="tr-TR"/>
              </w:rPr>
              <w:t>yedinde hıfzettirilir</w:t>
            </w:r>
            <w:r w:rsidRPr="00A23740">
              <w:rPr>
                <w:rFonts w:eastAsia="ヒラギノ明朝 Pro W3"/>
                <w:lang w:val="tr-TR" w:eastAsia="tr-TR"/>
              </w:rPr>
              <w:t xml:space="preserve"> ve icra dairesince </w:t>
            </w:r>
            <w:r w:rsidRPr="00A23740">
              <w:rPr>
                <w:lang w:val="tr-TR" w:eastAsia="tr-TR"/>
              </w:rPr>
              <w:t>hemen yapılacak</w:t>
            </w:r>
            <w:r w:rsidRPr="00A23740">
              <w:rPr>
                <w:rFonts w:eastAsia="ヒラギノ明朝 Pro W3"/>
                <w:lang w:val="tr-TR" w:eastAsia="tr-TR"/>
              </w:rPr>
              <w:t xml:space="preserve"> tebligat üzerine borçlu eşyanın bulunduğu mahalde ise </w:t>
            </w:r>
            <w:r w:rsidRPr="00A23740">
              <w:rPr>
                <w:lang w:val="tr-TR" w:eastAsia="tr-TR"/>
              </w:rPr>
              <w:t>beş</w:t>
            </w:r>
            <w:r w:rsidRPr="00A23740">
              <w:rPr>
                <w:rFonts w:eastAsia="ヒラギノ明朝 Pro W3"/>
                <w:lang w:val="tr-TR" w:eastAsia="tr-TR"/>
              </w:rPr>
              <w:t xml:space="preserve">, değil ise </w:t>
            </w:r>
            <w:r w:rsidRPr="00A23740">
              <w:rPr>
                <w:lang w:val="tr-TR" w:eastAsia="tr-TR"/>
              </w:rPr>
              <w:t>otuz gün</w:t>
            </w:r>
            <w:r w:rsidRPr="00A23740">
              <w:rPr>
                <w:rFonts w:eastAsia="ヒラギノ明朝 Pro W3"/>
                <w:lang w:val="tr-TR" w:eastAsia="tr-TR"/>
              </w:rPr>
              <w:t xml:space="preserve"> içinde eşyayı almaktan veya masrafı ödemekten kaçınırsa yahut gerek görülürse, icra müdürü, icra mahkemesinin karar</w:t>
            </w:r>
            <w:r w:rsidRPr="00A23740">
              <w:rPr>
                <w:lang w:val="tr-TR" w:eastAsia="tr-TR"/>
              </w:rPr>
              <w:t>ıyla</w:t>
            </w:r>
            <w:r w:rsidRPr="00A23740">
              <w:rPr>
                <w:rFonts w:eastAsia="ヒラギノ明朝 Pro W3"/>
                <w:lang w:val="tr-TR" w:eastAsia="tr-TR"/>
              </w:rPr>
              <w:t xml:space="preserve"> bunları satıp tutarından </w:t>
            </w:r>
            <w:r w:rsidRPr="00A23740">
              <w:rPr>
                <w:lang w:val="tr-TR" w:eastAsia="tr-TR"/>
              </w:rPr>
              <w:t>masrafı</w:t>
            </w:r>
            <w:r w:rsidRPr="00A23740">
              <w:rPr>
                <w:rFonts w:eastAsia="ヒラギノ明朝 Pro W3"/>
                <w:lang w:val="tr-TR" w:eastAsia="tr-TR"/>
              </w:rPr>
              <w:t xml:space="preserve"> öder; fazlası kalırsa borçlunun adına, Adalet Bakanlığınca çıkarılan yönetmelikte nitelikleri belirlenen bankalardan birine yatırır.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rPr>
            </w:pPr>
            <w:r w:rsidRPr="00A23740">
              <w:rPr>
                <w:rFonts w:eastAsia="ヒラギノ明朝 Pro W3"/>
                <w:lang w:val="tr-TR"/>
              </w:rPr>
              <w:t>(6) Sicile kayıtlı Türk gemileri üzerinde ipotek veya intifa hakkının kurulmasına veya kaldırılmasına ilişkin ilâm, icra dairesine verilince, icra müdürü, üçüncü fıkrada yazılı şekilde yedi günlük bir icra emri gönderir. Borçlu emri yerine getirmezse, ilâmın hükmü zorla icra olunur.</w:t>
            </w:r>
          </w:p>
          <w:p w:rsidR="00155AF4" w:rsidRPr="00A23740" w:rsidRDefault="00155AF4" w:rsidP="009431FF">
            <w:pPr>
              <w:pStyle w:val="KIRMIZI"/>
              <w:widowControl w:val="0"/>
              <w:rPr>
                <w:rFonts w:eastAsia="ヒラギノ明朝 Pro W3"/>
                <w:lang w:val="tr-TR"/>
              </w:rPr>
            </w:pPr>
          </w:p>
          <w:p w:rsidR="00155AF4" w:rsidRPr="00A23740" w:rsidRDefault="00155AF4" w:rsidP="009431FF">
            <w:pPr>
              <w:pStyle w:val="KIRMIZI"/>
              <w:widowControl w:val="0"/>
              <w:rPr>
                <w:rFonts w:eastAsia="ヒラギノ明朝 Pro W3"/>
                <w:lang w:val="tr-TR" w:eastAsia="tr-TR"/>
              </w:rPr>
            </w:pPr>
            <w:r w:rsidRPr="00A23740">
              <w:rPr>
                <w:rFonts w:eastAsia="ヒラギノ明朝 Pro W3"/>
                <w:lang w:val="tr-TR" w:eastAsia="tr-TR"/>
              </w:rPr>
              <w:t xml:space="preserve">(7) Gemiye ilişkin bir işin yapılmasına veya yapılmamasına dair </w:t>
            </w:r>
            <w:r w:rsidRPr="00A23740">
              <w:rPr>
                <w:rFonts w:eastAsia="ヒラギノ明朝 Pro W3"/>
                <w:lang w:val="tr-TR" w:eastAsia="tr-TR"/>
              </w:rPr>
              <w:lastRenderedPageBreak/>
              <w:t xml:space="preserve">olan ve önceki fıkra hükümlerine girmeyen ilâmların icrası hakkında </w:t>
            </w:r>
            <w:r w:rsidRPr="00A23740">
              <w:rPr>
                <w:lang w:val="tr-TR" w:eastAsia="tr-TR"/>
              </w:rPr>
              <w:t>30 uncu madde</w:t>
            </w:r>
            <w:r w:rsidRPr="00A23740">
              <w:rPr>
                <w:rFonts w:eastAsia="ヒラギノ明朝 Pro W3"/>
                <w:lang w:val="tr-TR" w:eastAsia="tr-TR"/>
              </w:rPr>
              <w:t xml:space="preserve"> uygulanır.</w:t>
            </w:r>
          </w:p>
          <w:p w:rsidR="00155AF4" w:rsidRPr="00A23740" w:rsidRDefault="00155AF4" w:rsidP="009431FF">
            <w:pPr>
              <w:pStyle w:val="KIRMIZI"/>
              <w:widowControl w:val="0"/>
              <w:rPr>
                <w:lang w:val="tr-TR" w:eastAsia="tr-TR"/>
              </w:rPr>
            </w:pPr>
          </w:p>
        </w:tc>
        <w:tc>
          <w:tcPr>
            <w:tcW w:w="2500" w:type="pct"/>
          </w:tcPr>
          <w:p w:rsidR="00155AF4" w:rsidRPr="00A23740" w:rsidRDefault="00155AF4" w:rsidP="009431FF">
            <w:pPr>
              <w:pStyle w:val="KIRMIZI"/>
              <w:widowControl w:val="0"/>
              <w:rPr>
                <w:lang w:val="tr-TR"/>
              </w:rPr>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jc w:val="center"/>
            </w:pPr>
            <w:r w:rsidRPr="00A23740">
              <w:lastRenderedPageBreak/>
              <w:t>İKİNCİ BAP</w:t>
            </w:r>
          </w:p>
          <w:p w:rsidR="00155AF4" w:rsidRPr="00A23740" w:rsidRDefault="00155AF4" w:rsidP="009431FF">
            <w:pPr>
              <w:pStyle w:val="KIRMIZI"/>
              <w:jc w:val="center"/>
            </w:pPr>
            <w:r w:rsidRPr="00A23740">
              <w:t>İlamların İcrası</w:t>
            </w:r>
          </w:p>
          <w:p w:rsidR="00155AF4" w:rsidRPr="00A23740" w:rsidRDefault="00155AF4" w:rsidP="009431FF">
            <w:pPr>
              <w:pStyle w:val="KIRMIZI"/>
            </w:pPr>
          </w:p>
          <w:p w:rsidR="00155AF4" w:rsidRPr="00A23740" w:rsidRDefault="00155AF4" w:rsidP="009431FF">
            <w:pPr>
              <w:pStyle w:val="KIRMIZI"/>
            </w:pPr>
            <w:r w:rsidRPr="00A23740">
              <w:t>Çocuk teslimi:</w:t>
            </w:r>
          </w:p>
          <w:p w:rsidR="00155AF4" w:rsidRPr="00A23740" w:rsidRDefault="00155AF4" w:rsidP="009431FF">
            <w:pPr>
              <w:pStyle w:val="KIRMIZI"/>
            </w:pPr>
            <w:r w:rsidRPr="00A23740">
              <w:t>Madde 25 – (Mülga:24/11/2021-7343/32 md.)</w:t>
            </w:r>
          </w:p>
          <w:p w:rsidR="00155AF4" w:rsidRPr="00A23740" w:rsidRDefault="00155AF4" w:rsidP="009431FF">
            <w:pPr>
              <w:pStyle w:val="KIRMIZI"/>
            </w:pPr>
          </w:p>
        </w:tc>
        <w:tc>
          <w:tcPr>
            <w:tcW w:w="2500" w:type="pct"/>
          </w:tcPr>
          <w:p w:rsidR="00155AF4" w:rsidRPr="00A23740" w:rsidRDefault="00155AF4" w:rsidP="009431FF">
            <w:pPr>
              <w:pStyle w:val="Stil3"/>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pPr>
            <w:r w:rsidRPr="00A23740">
              <w:t>Çocukla şahsi münasebet tesisine dair ilamin icrası:</w:t>
            </w:r>
          </w:p>
          <w:p w:rsidR="00155AF4" w:rsidRPr="00A23740" w:rsidRDefault="00155AF4" w:rsidP="009431FF">
            <w:pPr>
              <w:pStyle w:val="KIRMIZI"/>
            </w:pPr>
            <w:r w:rsidRPr="00A23740">
              <w:t>Madde 25/a – (Ek: 18/2/1965-538/15 md.) (Mülga:24/11/2021-7343/32 md.)</w:t>
            </w:r>
          </w:p>
          <w:p w:rsidR="00155AF4" w:rsidRPr="00A23740" w:rsidRDefault="00155AF4" w:rsidP="009431FF">
            <w:pPr>
              <w:pStyle w:val="KIRMIZI"/>
            </w:pPr>
          </w:p>
        </w:tc>
        <w:tc>
          <w:tcPr>
            <w:tcW w:w="2500" w:type="pct"/>
          </w:tcPr>
          <w:p w:rsidR="00155AF4" w:rsidRPr="00A23740" w:rsidRDefault="00155AF4" w:rsidP="009431FF">
            <w:pPr>
              <w:pStyle w:val="Stil3"/>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pStyle w:val="KIRMIZI"/>
            </w:pPr>
            <w:r w:rsidRPr="00A23740">
              <w:t>Çocuk teslimine ve çocukla kişisel ilişki kurulmasına dair ilâmların icrasında uzman bulundurulması:</w:t>
            </w:r>
          </w:p>
          <w:p w:rsidR="00155AF4" w:rsidRPr="00A23740" w:rsidRDefault="00155AF4" w:rsidP="009431FF">
            <w:pPr>
              <w:pStyle w:val="KIRMIZI"/>
            </w:pPr>
            <w:r w:rsidRPr="00A23740">
              <w:t>Madde 25/b- (Ek: 17/7/2003-4949/7 md.) (Mülga:24/11/2021-7343/32 md.)</w:t>
            </w:r>
          </w:p>
          <w:p w:rsidR="0020463C" w:rsidRPr="00A23740" w:rsidRDefault="0020463C" w:rsidP="009431FF">
            <w:pPr>
              <w:pStyle w:val="KIRMIZI"/>
              <w:rPr>
                <w:strike w:val="0"/>
                <w:lang w:val="tr-TR"/>
              </w:rPr>
            </w:pPr>
          </w:p>
        </w:tc>
        <w:tc>
          <w:tcPr>
            <w:tcW w:w="2500" w:type="pct"/>
          </w:tcPr>
          <w:p w:rsidR="00155AF4" w:rsidRPr="00A23740" w:rsidRDefault="00155AF4" w:rsidP="009431FF">
            <w:pPr>
              <w:pStyle w:val="Stil3"/>
            </w:pPr>
          </w:p>
        </w:tc>
      </w:tr>
      <w:tr w:rsidR="00155AF4" w:rsidRPr="00A23740" w:rsidTr="009431FF">
        <w:tblPrEx>
          <w:tblLook w:val="01E0" w:firstRow="1" w:lastRow="1" w:firstColumn="1" w:lastColumn="1" w:noHBand="0" w:noVBand="0"/>
        </w:tblPrEx>
        <w:tc>
          <w:tcPr>
            <w:tcW w:w="2500" w:type="pct"/>
          </w:tcPr>
          <w:p w:rsidR="00155AF4" w:rsidRPr="00A23740" w:rsidRDefault="00155AF4" w:rsidP="009431FF">
            <w:pPr>
              <w:widowControl w:val="0"/>
              <w:tabs>
                <w:tab w:val="left" w:pos="567"/>
              </w:tabs>
              <w:rPr>
                <w:rFonts w:eastAsia="Times New Roman"/>
                <w:b/>
                <w:bCs/>
                <w:szCs w:val="24"/>
                <w:lang w:eastAsia="tr-TR"/>
              </w:rPr>
            </w:pPr>
          </w:p>
          <w:p w:rsidR="00155AF4" w:rsidRPr="00A23740" w:rsidRDefault="00155AF4" w:rsidP="009431FF">
            <w:pPr>
              <w:widowControl w:val="0"/>
              <w:tabs>
                <w:tab w:val="left" w:pos="567"/>
              </w:tabs>
              <w:rPr>
                <w:rFonts w:eastAsia="Times New Roman"/>
                <w:b/>
                <w:bCs/>
                <w:szCs w:val="24"/>
                <w:lang w:eastAsia="tr-TR"/>
              </w:rPr>
            </w:pPr>
          </w:p>
          <w:p w:rsidR="00155AF4" w:rsidRPr="00A23740" w:rsidRDefault="00155AF4" w:rsidP="009431FF">
            <w:pPr>
              <w:widowControl w:val="0"/>
              <w:tabs>
                <w:tab w:val="left" w:pos="567"/>
              </w:tabs>
              <w:rPr>
                <w:rFonts w:eastAsia="Times New Roman"/>
                <w:b/>
                <w:bCs/>
                <w:szCs w:val="24"/>
                <w:lang w:eastAsia="tr-TR"/>
              </w:rPr>
            </w:pPr>
          </w:p>
          <w:p w:rsidR="00155AF4" w:rsidRPr="00A23740" w:rsidRDefault="00155AF4" w:rsidP="009431FF">
            <w:pPr>
              <w:widowControl w:val="0"/>
              <w:tabs>
                <w:tab w:val="left" w:pos="567"/>
              </w:tabs>
              <w:rPr>
                <w:rFonts w:eastAsia="Times New Roman"/>
                <w:b/>
                <w:bCs/>
                <w:szCs w:val="24"/>
                <w:lang w:eastAsia="tr-TR"/>
              </w:rPr>
            </w:pPr>
            <w:r w:rsidRPr="00A23740">
              <w:rPr>
                <w:rFonts w:eastAsia="Times New Roman"/>
                <w:b/>
                <w:bCs/>
                <w:szCs w:val="24"/>
                <w:lang w:eastAsia="tr-TR"/>
              </w:rPr>
              <w:t xml:space="preserve">Bir işin yapılmasına </w:t>
            </w:r>
            <w:r w:rsidRPr="00A23740">
              <w:rPr>
                <w:rFonts w:eastAsia="Times New Roman"/>
                <w:b/>
                <w:bCs/>
                <w:strike/>
                <w:color w:val="FF0000"/>
                <w:szCs w:val="24"/>
                <w:lang w:eastAsia="tr-TR"/>
              </w:rPr>
              <w:t>veya yapılmamasına dair olan</w:t>
            </w:r>
            <w:r w:rsidRPr="00A23740">
              <w:rPr>
                <w:rFonts w:eastAsia="Times New Roman"/>
                <w:b/>
                <w:bCs/>
                <w:szCs w:val="24"/>
                <w:lang w:eastAsia="tr-TR"/>
              </w:rPr>
              <w:t xml:space="preserve"> ilâmlar</w:t>
            </w:r>
            <w:r w:rsidRPr="00A23740">
              <w:rPr>
                <w:rFonts w:eastAsia="Times New Roman"/>
                <w:b/>
                <w:bCs/>
                <w:strike/>
                <w:color w:val="FF0000"/>
                <w:szCs w:val="24"/>
                <w:lang w:eastAsia="tr-TR"/>
              </w:rPr>
              <w:t xml:space="preserve"> :</w:t>
            </w:r>
          </w:p>
          <w:p w:rsidR="00155AF4" w:rsidRPr="00A23740" w:rsidRDefault="00155AF4" w:rsidP="009431FF">
            <w:pPr>
              <w:widowControl w:val="0"/>
              <w:tabs>
                <w:tab w:val="left" w:pos="567"/>
              </w:tabs>
              <w:rPr>
                <w:rFonts w:eastAsia="Times New Roman"/>
                <w:b/>
                <w:bCs/>
                <w:strike/>
                <w:color w:val="FF0000"/>
                <w:szCs w:val="24"/>
                <w:lang w:eastAsia="tr-TR"/>
              </w:rPr>
            </w:pPr>
            <w:r w:rsidRPr="00A23740">
              <w:rPr>
                <w:rStyle w:val="KIRMIZIChar"/>
                <w:rFonts w:eastAsia="Calibri"/>
              </w:rPr>
              <w:t>Madde 30 – (1)</w:t>
            </w:r>
            <w:r w:rsidRPr="00A23740">
              <w:rPr>
                <w:rFonts w:eastAsia="Times New Roman"/>
                <w:szCs w:val="24"/>
                <w:lang w:eastAsia="tr-TR"/>
              </w:rPr>
              <w:t xml:space="preserve"> Bir işin yapılması</w:t>
            </w:r>
            <w:r w:rsidRPr="00A23740">
              <w:rPr>
                <w:rFonts w:eastAsia="Times New Roman"/>
                <w:b/>
                <w:bCs/>
                <w:strike/>
                <w:color w:val="FF0000"/>
                <w:szCs w:val="24"/>
                <w:lang w:eastAsia="tr-TR"/>
              </w:rPr>
              <w:t>na mütedair</w:t>
            </w:r>
            <w:r w:rsidRPr="00A23740">
              <w:rPr>
                <w:rFonts w:eastAsia="Times New Roman"/>
                <w:szCs w:val="24"/>
                <w:lang w:eastAsia="tr-TR"/>
              </w:rPr>
              <w:t xml:space="preserve"> ilâm </w:t>
            </w:r>
            <w:r w:rsidRPr="00A23740">
              <w:rPr>
                <w:rFonts w:eastAsia="Times New Roman"/>
                <w:b/>
                <w:bCs/>
                <w:strike/>
                <w:color w:val="FF0000"/>
                <w:szCs w:val="24"/>
                <w:lang w:eastAsia="tr-TR"/>
              </w:rPr>
              <w:t>icra dairesine verilince icra memuru 24 üncü maddede yazılı şekilde bir</w:t>
            </w:r>
            <w:r w:rsidRPr="00A23740">
              <w:rPr>
                <w:rFonts w:eastAsia="Times New Roman"/>
                <w:szCs w:val="24"/>
                <w:lang w:eastAsia="tr-TR"/>
              </w:rPr>
              <w:t xml:space="preserve"> icra emri </w:t>
            </w:r>
            <w:r w:rsidRPr="00A23740">
              <w:rPr>
                <w:rFonts w:eastAsia="Times New Roman"/>
                <w:b/>
                <w:bCs/>
                <w:strike/>
                <w:color w:val="FF0000"/>
                <w:szCs w:val="24"/>
                <w:lang w:eastAsia="tr-TR"/>
              </w:rPr>
              <w:t xml:space="preserve">tebliği suretiyle </w:t>
            </w:r>
            <w:r w:rsidRPr="00A23740">
              <w:rPr>
                <w:rStyle w:val="KIRMIZIChar"/>
                <w:rFonts w:eastAsia="Calibri"/>
              </w:rPr>
              <w:t>borçluya</w:t>
            </w:r>
            <w:r w:rsidRPr="00A23740">
              <w:rPr>
                <w:rFonts w:eastAsia="Times New Roman"/>
                <w:szCs w:val="24"/>
                <w:lang w:eastAsia="tr-TR"/>
              </w:rPr>
              <w:t xml:space="preserve"> ilâmda</w:t>
            </w:r>
            <w:r w:rsidRPr="00A23740">
              <w:rPr>
                <w:b/>
                <w:bCs/>
                <w:lang w:eastAsia="tr-TR"/>
              </w:rPr>
              <w:t xml:space="preserve"> </w:t>
            </w:r>
            <w:r w:rsidRPr="00A23740">
              <w:rPr>
                <w:rStyle w:val="KIRMIZIChar"/>
                <w:rFonts w:eastAsia="Calibri"/>
              </w:rPr>
              <w:t>gösterilen müddet</w:t>
            </w:r>
            <w:r w:rsidRPr="00A23740">
              <w:rPr>
                <w:rFonts w:eastAsia="Times New Roman"/>
                <w:szCs w:val="24"/>
                <w:lang w:eastAsia="tr-TR"/>
              </w:rPr>
              <w:t xml:space="preserve"> içinde </w:t>
            </w:r>
            <w:r w:rsidRPr="00A23740">
              <w:rPr>
                <w:rStyle w:val="KIRMIZIChar"/>
                <w:rFonts w:eastAsia="Calibri"/>
              </w:rPr>
              <w:t>ve eğer</w:t>
            </w:r>
            <w:r w:rsidRPr="00A23740">
              <w:rPr>
                <w:rFonts w:eastAsia="Times New Roman"/>
                <w:szCs w:val="24"/>
                <w:lang w:eastAsia="tr-TR"/>
              </w:rPr>
              <w:t xml:space="preserve"> </w:t>
            </w:r>
            <w:r w:rsidRPr="00A23740">
              <w:rPr>
                <w:rFonts w:eastAsia="Times New Roman"/>
                <w:b/>
                <w:bCs/>
                <w:strike/>
                <w:color w:val="FF0000"/>
                <w:szCs w:val="24"/>
                <w:lang w:eastAsia="tr-TR"/>
              </w:rPr>
              <w:t xml:space="preserve">müddet tayin </w:t>
            </w:r>
            <w:r w:rsidRPr="00A23740">
              <w:rPr>
                <w:rStyle w:val="KIRMIZIChar"/>
                <w:rFonts w:eastAsia="Calibri"/>
              </w:rPr>
              <w:t>edilmemişse işin mahiyetine göre başlama ve bitirme</w:t>
            </w:r>
            <w:r w:rsidRPr="00A23740">
              <w:rPr>
                <w:rFonts w:eastAsia="Times New Roman"/>
                <w:szCs w:val="24"/>
                <w:lang w:eastAsia="tr-TR"/>
              </w:rPr>
              <w:t xml:space="preserve"> </w:t>
            </w:r>
            <w:r w:rsidRPr="00A23740">
              <w:rPr>
                <w:rStyle w:val="KIRMIZIChar"/>
                <w:rFonts w:eastAsia="Calibri"/>
              </w:rPr>
              <w:t>zamanlarını tayin</w:t>
            </w:r>
            <w:r w:rsidRPr="00A23740">
              <w:rPr>
                <w:rFonts w:eastAsia="Times New Roman"/>
                <w:b/>
                <w:bCs/>
                <w:strike/>
                <w:color w:val="FF0000"/>
                <w:szCs w:val="24"/>
                <w:lang w:eastAsia="tr-TR"/>
              </w:rPr>
              <w:t xml:space="preserve"> ederek</w:t>
            </w:r>
            <w:r w:rsidRPr="00A23740">
              <w:rPr>
                <w:rFonts w:eastAsia="Times New Roman"/>
                <w:szCs w:val="24"/>
                <w:lang w:eastAsia="tr-TR"/>
              </w:rPr>
              <w:t xml:space="preserve"> işi yap</w:t>
            </w:r>
            <w:r w:rsidRPr="00A23740">
              <w:rPr>
                <w:rStyle w:val="KIRMIZIChar"/>
                <w:rFonts w:eastAsia="Calibri"/>
              </w:rPr>
              <w:t>ma</w:t>
            </w:r>
            <w:r w:rsidRPr="00A23740">
              <w:rPr>
                <w:rFonts w:eastAsia="Times New Roman"/>
                <w:b/>
                <w:bCs/>
                <w:strike/>
                <w:color w:val="FF0000"/>
                <w:szCs w:val="24"/>
                <w:lang w:eastAsia="tr-TR"/>
              </w:rPr>
              <w:t>ğı emreder.</w:t>
            </w:r>
          </w:p>
          <w:p w:rsidR="00155AF4" w:rsidRPr="00A23740" w:rsidRDefault="00155AF4" w:rsidP="009431FF">
            <w:pPr>
              <w:widowControl w:val="0"/>
              <w:tabs>
                <w:tab w:val="left" w:pos="567"/>
              </w:tabs>
              <w:rPr>
                <w:rFonts w:eastAsia="Times New Roman"/>
                <w:b/>
                <w:bCs/>
                <w:strike/>
                <w:color w:val="FF0000"/>
                <w:szCs w:val="24"/>
                <w:lang w:eastAsia="tr-TR"/>
              </w:rPr>
            </w:pPr>
          </w:p>
          <w:p w:rsidR="00155AF4" w:rsidRPr="00A23740" w:rsidRDefault="00155AF4" w:rsidP="009431FF">
            <w:pPr>
              <w:widowControl w:val="0"/>
              <w:tabs>
                <w:tab w:val="left" w:pos="567"/>
              </w:tabs>
              <w:rPr>
                <w:rFonts w:eastAsia="Times New Roman"/>
                <w:b/>
                <w:bCs/>
                <w:strike/>
                <w:color w:val="FF0000"/>
                <w:szCs w:val="24"/>
                <w:lang w:eastAsia="tr-TR"/>
              </w:rPr>
            </w:pPr>
          </w:p>
          <w:p w:rsidR="00155AF4" w:rsidRPr="00A23740" w:rsidRDefault="00155AF4" w:rsidP="009431FF">
            <w:pPr>
              <w:widowControl w:val="0"/>
              <w:tabs>
                <w:tab w:val="left" w:pos="567"/>
              </w:tabs>
              <w:rPr>
                <w:rFonts w:eastAsia="Times New Roman"/>
                <w:b/>
                <w:bCs/>
                <w:strike/>
                <w:color w:val="FF0000"/>
                <w:szCs w:val="24"/>
                <w:lang w:eastAsia="tr-TR"/>
              </w:rPr>
            </w:pPr>
          </w:p>
          <w:p w:rsidR="00155AF4" w:rsidRPr="00A23740" w:rsidRDefault="00155AF4" w:rsidP="009431FF">
            <w:pPr>
              <w:widowControl w:val="0"/>
              <w:tabs>
                <w:tab w:val="left" w:pos="567"/>
              </w:tabs>
              <w:rPr>
                <w:rFonts w:eastAsia="Times New Roman"/>
                <w:szCs w:val="24"/>
                <w:lang w:eastAsia="tr-TR"/>
              </w:rPr>
            </w:pPr>
          </w:p>
          <w:p w:rsidR="00A82AA4" w:rsidRPr="00A23740" w:rsidRDefault="00A82AA4" w:rsidP="009431FF">
            <w:pPr>
              <w:widowControl w:val="0"/>
              <w:tabs>
                <w:tab w:val="left" w:pos="567"/>
              </w:tabs>
              <w:rPr>
                <w:rStyle w:val="KIRMIZIChar"/>
                <w:rFonts w:eastAsia="Calibri"/>
              </w:rPr>
            </w:pPr>
          </w:p>
          <w:p w:rsidR="00155AF4" w:rsidRPr="00A23740" w:rsidRDefault="00155AF4" w:rsidP="009431FF">
            <w:pPr>
              <w:widowControl w:val="0"/>
              <w:tabs>
                <w:tab w:val="left" w:pos="567"/>
              </w:tabs>
              <w:rPr>
                <w:rFonts w:eastAsia="Times New Roman"/>
                <w:szCs w:val="24"/>
                <w:lang w:eastAsia="tr-TR"/>
              </w:rPr>
            </w:pPr>
            <w:r w:rsidRPr="00A23740">
              <w:rPr>
                <w:rStyle w:val="KIRMIZIChar"/>
                <w:rFonts w:eastAsia="Calibri"/>
              </w:rPr>
              <w:lastRenderedPageBreak/>
              <w:t>(2)</w:t>
            </w:r>
            <w:r w:rsidRPr="00A23740">
              <w:rPr>
                <w:rFonts w:eastAsia="Times New Roman"/>
                <w:szCs w:val="24"/>
                <w:lang w:eastAsia="tr-TR"/>
              </w:rPr>
              <w:t xml:space="preserve"> Borçlu </w:t>
            </w:r>
            <w:r w:rsidRPr="00A23740">
              <w:rPr>
                <w:rFonts w:eastAsia="Times New Roman"/>
                <w:b/>
                <w:bCs/>
                <w:strike/>
                <w:color w:val="FF0000"/>
                <w:szCs w:val="24"/>
                <w:lang w:eastAsia="tr-TR"/>
              </w:rPr>
              <w:t>muayyen müddetlerde</w:t>
            </w:r>
            <w:r w:rsidRPr="00A23740">
              <w:rPr>
                <w:rFonts w:eastAsia="Times New Roman"/>
                <w:szCs w:val="24"/>
                <w:lang w:eastAsia="tr-TR"/>
              </w:rPr>
              <w:t xml:space="preserve"> iş</w:t>
            </w:r>
            <w:r w:rsidRPr="00A23740">
              <w:rPr>
                <w:rStyle w:val="KIRMIZIChar"/>
                <w:rFonts w:eastAsia="Calibri"/>
              </w:rPr>
              <w:t>e başlamaz veya bitirmez ve</w:t>
            </w:r>
            <w:r w:rsidRPr="00A23740">
              <w:rPr>
                <w:rFonts w:eastAsia="Times New Roman"/>
                <w:szCs w:val="24"/>
                <w:lang w:eastAsia="tr-TR"/>
              </w:rPr>
              <w:t xml:space="preserve"> iş</w:t>
            </w:r>
            <w:r w:rsidRPr="00A23740">
              <w:rPr>
                <w:rStyle w:val="KIRMIZIChar"/>
                <w:rFonts w:eastAsia="Calibri"/>
                <w:strike w:val="0"/>
              </w:rPr>
              <w:t xml:space="preserve"> </w:t>
            </w:r>
            <w:r w:rsidRPr="00A23740">
              <w:rPr>
                <w:rStyle w:val="KIRMIZIChar"/>
                <w:rFonts w:eastAsia="Calibri"/>
              </w:rPr>
              <w:t>diğer bir kimse</w:t>
            </w:r>
            <w:r w:rsidRPr="00A23740">
              <w:rPr>
                <w:rFonts w:eastAsia="Times New Roman"/>
                <w:szCs w:val="24"/>
                <w:lang w:eastAsia="tr-TR"/>
              </w:rPr>
              <w:t xml:space="preserve"> tarafından yapılabilecek </w:t>
            </w:r>
            <w:r w:rsidRPr="00A23740">
              <w:rPr>
                <w:rFonts w:eastAsia="Times New Roman"/>
                <w:b/>
                <w:bCs/>
                <w:strike/>
                <w:color w:val="FF0000"/>
                <w:szCs w:val="24"/>
                <w:lang w:eastAsia="tr-TR"/>
              </w:rPr>
              <w:t>şeylerden</w:t>
            </w:r>
            <w:r w:rsidRPr="00A23740">
              <w:rPr>
                <w:rFonts w:eastAsia="Times New Roman"/>
                <w:szCs w:val="24"/>
                <w:lang w:eastAsia="tr-TR"/>
              </w:rPr>
              <w:t xml:space="preserve"> ol</w:t>
            </w:r>
            <w:r w:rsidRPr="00A23740">
              <w:rPr>
                <w:rStyle w:val="KIRMIZIChar"/>
                <w:rFonts w:eastAsia="Calibri"/>
              </w:rPr>
              <w:t>ur</w:t>
            </w:r>
            <w:r w:rsidRPr="00A23740">
              <w:rPr>
                <w:rFonts w:eastAsia="Times New Roman"/>
                <w:szCs w:val="24"/>
                <w:lang w:eastAsia="tr-TR"/>
              </w:rPr>
              <w:t xml:space="preserve"> ve alacaklı </w:t>
            </w:r>
            <w:r w:rsidRPr="00A23740">
              <w:rPr>
                <w:rStyle w:val="KIRMIZIChar"/>
                <w:rFonts w:eastAsia="Calibri"/>
              </w:rPr>
              <w:t>da isterse</w:t>
            </w:r>
            <w:r w:rsidRPr="00A23740">
              <w:rPr>
                <w:rFonts w:eastAsia="Times New Roman"/>
                <w:szCs w:val="24"/>
                <w:lang w:eastAsia="tr-TR"/>
              </w:rPr>
              <w:t xml:space="preserve"> yapılması için </w:t>
            </w:r>
            <w:r w:rsidRPr="00A23740">
              <w:rPr>
                <w:rFonts w:eastAsia="Times New Roman"/>
                <w:b/>
                <w:bCs/>
                <w:strike/>
                <w:color w:val="FF0000"/>
                <w:szCs w:val="24"/>
                <w:lang w:eastAsia="tr-TR"/>
              </w:rPr>
              <w:t xml:space="preserve">lazımgelen masraf icra </w:t>
            </w:r>
            <w:r w:rsidRPr="00A23740">
              <w:rPr>
                <w:rStyle w:val="KIRMIZIChar"/>
                <w:rFonts w:eastAsia="Calibri"/>
              </w:rPr>
              <w:t>memuru tarafından ehlivukufa takdir ettirilir. Bu masrafın ilerde</w:t>
            </w:r>
            <w:r w:rsidRPr="00A23740">
              <w:rPr>
                <w:rFonts w:eastAsia="Times New Roman"/>
                <w:szCs w:val="24"/>
                <w:lang w:eastAsia="tr-TR"/>
              </w:rPr>
              <w:t xml:space="preserve"> hükme </w:t>
            </w:r>
            <w:r w:rsidRPr="00A23740">
              <w:rPr>
                <w:rFonts w:eastAsia="Times New Roman"/>
                <w:b/>
                <w:bCs/>
                <w:strike/>
                <w:color w:val="FF0000"/>
                <w:szCs w:val="24"/>
                <w:lang w:eastAsia="tr-TR"/>
              </w:rPr>
              <w:t>hacet</w:t>
            </w:r>
            <w:r w:rsidRPr="00A23740">
              <w:rPr>
                <w:rFonts w:eastAsia="Times New Roman"/>
                <w:szCs w:val="24"/>
                <w:lang w:eastAsia="tr-TR"/>
              </w:rPr>
              <w:t xml:space="preserve"> kalma</w:t>
            </w:r>
            <w:r w:rsidRPr="00A23740">
              <w:rPr>
                <w:rStyle w:val="KIRMIZIChar"/>
                <w:rFonts w:eastAsia="Calibri"/>
              </w:rPr>
              <w:t>ksızın</w:t>
            </w:r>
            <w:r w:rsidRPr="00A23740">
              <w:rPr>
                <w:rFonts w:eastAsia="Times New Roman"/>
                <w:szCs w:val="24"/>
                <w:lang w:eastAsia="tr-TR"/>
              </w:rPr>
              <w:t xml:space="preserve"> borçludan </w:t>
            </w:r>
            <w:r w:rsidRPr="00A23740">
              <w:rPr>
                <w:rFonts w:eastAsia="Times New Roman"/>
                <w:b/>
                <w:bCs/>
                <w:strike/>
                <w:color w:val="FF0000"/>
                <w:szCs w:val="24"/>
                <w:lang w:eastAsia="tr-TR"/>
              </w:rPr>
              <w:t>tahsil olunup</w:t>
            </w:r>
            <w:r w:rsidRPr="00A23740">
              <w:rPr>
                <w:rFonts w:eastAsia="Times New Roman"/>
                <w:szCs w:val="24"/>
                <w:lang w:eastAsia="tr-TR"/>
              </w:rPr>
              <w:t xml:space="preserve"> kendisine verilmek üzere </w:t>
            </w:r>
            <w:r w:rsidRPr="00A23740">
              <w:rPr>
                <w:rFonts w:eastAsia="Times New Roman"/>
                <w:b/>
                <w:bCs/>
                <w:strike/>
                <w:color w:val="FF0000"/>
                <w:szCs w:val="24"/>
                <w:lang w:eastAsia="tr-TR"/>
              </w:rPr>
              <w:t>ifasına</w:t>
            </w:r>
            <w:r w:rsidRPr="00A23740">
              <w:rPr>
                <w:rFonts w:eastAsia="Times New Roman"/>
                <w:szCs w:val="24"/>
                <w:lang w:eastAsia="tr-TR"/>
              </w:rPr>
              <w:t xml:space="preserve"> alacaklı </w:t>
            </w:r>
            <w:r w:rsidRPr="00A23740">
              <w:rPr>
                <w:rStyle w:val="KIRMIZIChar"/>
                <w:rFonts w:eastAsia="Calibri"/>
              </w:rPr>
              <w:t>muvafakat ederse</w:t>
            </w:r>
            <w:r w:rsidRPr="00A23740">
              <w:rPr>
                <w:rFonts w:eastAsia="Times New Roman"/>
                <w:szCs w:val="24"/>
                <w:lang w:eastAsia="tr-TR"/>
              </w:rPr>
              <w:t xml:space="preserve"> alın</w:t>
            </w:r>
            <w:r w:rsidRPr="00A23740">
              <w:rPr>
                <w:rStyle w:val="KIRMIZIChar"/>
                <w:rFonts w:eastAsia="Calibri"/>
              </w:rPr>
              <w:t>ıp</w:t>
            </w:r>
            <w:r w:rsidRPr="00A23740">
              <w:rPr>
                <w:rFonts w:eastAsia="Times New Roman"/>
                <w:szCs w:val="24"/>
                <w:lang w:eastAsia="tr-TR"/>
              </w:rPr>
              <w:t xml:space="preserve"> hükm</w:t>
            </w:r>
            <w:r w:rsidRPr="00A23740">
              <w:rPr>
                <w:rStyle w:val="KIRMIZIChar"/>
                <w:rFonts w:eastAsia="Calibri"/>
              </w:rPr>
              <w:t>olunan</w:t>
            </w:r>
            <w:r w:rsidRPr="00A23740">
              <w:rPr>
                <w:rFonts w:eastAsia="Times New Roman"/>
                <w:szCs w:val="24"/>
                <w:lang w:eastAsia="tr-TR"/>
              </w:rPr>
              <w:t xml:space="preserve"> iş yaptırıl</w:t>
            </w:r>
            <w:r w:rsidRPr="00A23740">
              <w:rPr>
                <w:rFonts w:eastAsia="Times New Roman"/>
                <w:b/>
                <w:bCs/>
                <w:strike/>
                <w:color w:val="FF0000"/>
                <w:szCs w:val="24"/>
                <w:lang w:eastAsia="tr-TR"/>
              </w:rPr>
              <w:t>ır. Muvafakat etmezse</w:t>
            </w:r>
            <w:r w:rsidRPr="00A23740">
              <w:rPr>
                <w:rFonts w:eastAsia="Times New Roman"/>
                <w:szCs w:val="24"/>
                <w:lang w:eastAsia="tr-TR"/>
              </w:rPr>
              <w:t xml:space="preserve"> ayrıca hükme </w:t>
            </w:r>
            <w:r w:rsidRPr="00A23740">
              <w:rPr>
                <w:rFonts w:eastAsia="Times New Roman"/>
                <w:b/>
                <w:bCs/>
                <w:strike/>
                <w:color w:val="FF0000"/>
                <w:szCs w:val="24"/>
                <w:lang w:eastAsia="tr-TR"/>
              </w:rPr>
              <w:t>hacet</w:t>
            </w:r>
            <w:r w:rsidRPr="00A23740">
              <w:rPr>
                <w:rFonts w:eastAsia="Times New Roman"/>
                <w:szCs w:val="24"/>
                <w:lang w:eastAsia="tr-TR"/>
              </w:rPr>
              <w:t xml:space="preserve"> kalmadan borçlunun </w:t>
            </w:r>
            <w:r w:rsidRPr="00A23740">
              <w:rPr>
                <w:rStyle w:val="KIRMIZIChar"/>
                <w:rFonts w:eastAsia="Calibri"/>
              </w:rPr>
              <w:t>kafi miktarda</w:t>
            </w:r>
            <w:r w:rsidRPr="00A23740">
              <w:rPr>
                <w:rFonts w:eastAsia="Times New Roman"/>
                <w:szCs w:val="24"/>
                <w:lang w:eastAsia="tr-TR"/>
              </w:rPr>
              <w:t xml:space="preserve"> malı hac</w:t>
            </w:r>
            <w:r w:rsidRPr="00A23740">
              <w:rPr>
                <w:rStyle w:val="KIRMIZIChar"/>
                <w:rFonts w:eastAsia="Calibri"/>
              </w:rPr>
              <w:t>iz</w:t>
            </w:r>
            <w:r w:rsidRPr="00A23740">
              <w:rPr>
                <w:rFonts w:eastAsia="Times New Roman"/>
                <w:szCs w:val="24"/>
                <w:lang w:eastAsia="tr-TR"/>
              </w:rPr>
              <w:t xml:space="preserve"> </w:t>
            </w:r>
            <w:r w:rsidRPr="00A23740">
              <w:rPr>
                <w:rStyle w:val="KIRMIZIChar"/>
                <w:rFonts w:eastAsia="Calibri"/>
              </w:rPr>
              <w:t>ile</w:t>
            </w:r>
            <w:r w:rsidRPr="00A23740">
              <w:rPr>
                <w:rFonts w:eastAsia="Times New Roman"/>
                <w:szCs w:val="24"/>
                <w:lang w:eastAsia="tr-TR"/>
              </w:rPr>
              <w:t xml:space="preserve"> paraya çevrile</w:t>
            </w:r>
            <w:r w:rsidRPr="00A23740">
              <w:rPr>
                <w:rStyle w:val="KIRMIZIChar"/>
                <w:rFonts w:eastAsia="Calibri"/>
              </w:rPr>
              <w:t xml:space="preserve">rek o </w:t>
            </w:r>
            <w:r w:rsidRPr="00A23740">
              <w:rPr>
                <w:rFonts w:eastAsia="Times New Roman"/>
                <w:szCs w:val="24"/>
                <w:lang w:eastAsia="tr-TR"/>
              </w:rPr>
              <w:t>iş yaptırıl</w:t>
            </w:r>
            <w:r w:rsidRPr="00A23740">
              <w:rPr>
                <w:rStyle w:val="KIRMIZIChar"/>
                <w:rFonts w:eastAsia="Calibri"/>
              </w:rPr>
              <w:t>ır</w:t>
            </w:r>
            <w:r w:rsidRPr="00A23740">
              <w:rPr>
                <w:rFonts w:eastAsia="Times New Roman"/>
                <w:szCs w:val="24"/>
                <w:lang w:eastAsia="tr-TR"/>
              </w:rPr>
              <w:t>.</w:t>
            </w:r>
          </w:p>
          <w:p w:rsidR="00155AF4" w:rsidRPr="00A23740" w:rsidRDefault="00155AF4" w:rsidP="009431FF">
            <w:pPr>
              <w:widowControl w:val="0"/>
              <w:tabs>
                <w:tab w:val="left" w:pos="567"/>
              </w:tabs>
              <w:rPr>
                <w:rFonts w:eastAsia="Times New Roman"/>
                <w:szCs w:val="24"/>
                <w:lang w:eastAsia="tr-TR"/>
              </w:rPr>
            </w:pPr>
          </w:p>
          <w:p w:rsidR="00155AF4" w:rsidRPr="00A23740" w:rsidRDefault="00155AF4" w:rsidP="009431FF">
            <w:pPr>
              <w:widowControl w:val="0"/>
              <w:tabs>
                <w:tab w:val="left" w:pos="567"/>
              </w:tabs>
              <w:rPr>
                <w:rFonts w:eastAsia="Times New Roman"/>
                <w:szCs w:val="24"/>
                <w:lang w:eastAsia="tr-TR"/>
              </w:rPr>
            </w:pPr>
          </w:p>
          <w:p w:rsidR="00155AF4" w:rsidRPr="00A23740" w:rsidRDefault="00155AF4" w:rsidP="009431FF">
            <w:pPr>
              <w:pStyle w:val="KIRMIZI"/>
              <w:widowControl w:val="0"/>
              <w:rPr>
                <w:lang w:val="tr-TR"/>
              </w:rPr>
            </w:pPr>
            <w:r w:rsidRPr="00A23740">
              <w:rPr>
                <w:lang w:val="tr-TR"/>
              </w:rPr>
              <w:t>(3) İlam, bir işin yapılmamasına mütedair olduğu takdirde icra dairesi tarafından ilâmın hükmü borçluya aynı müddetli bir emirle tebliğ olunur.Bu emirde ilâm hükmüne muhalefetin 343 üncü maddedeki cezayı müstelzim olduğu yazılır.</w:t>
            </w:r>
          </w:p>
          <w:p w:rsidR="00155AF4" w:rsidRPr="00A23740" w:rsidRDefault="00155AF4" w:rsidP="009431FF">
            <w:pPr>
              <w:widowControl w:val="0"/>
              <w:tabs>
                <w:tab w:val="left" w:pos="567"/>
              </w:tabs>
              <w:rPr>
                <w:rFonts w:eastAsia="Times New Roman"/>
                <w:szCs w:val="24"/>
                <w:lang w:eastAsia="tr-TR"/>
              </w:rPr>
            </w:pPr>
          </w:p>
          <w:p w:rsidR="00155AF4" w:rsidRPr="00A23740" w:rsidRDefault="00155AF4" w:rsidP="009431FF">
            <w:pPr>
              <w:widowControl w:val="0"/>
              <w:tabs>
                <w:tab w:val="left" w:pos="567"/>
              </w:tabs>
              <w:rPr>
                <w:rFonts w:eastAsia="Times New Roman"/>
                <w:szCs w:val="24"/>
                <w:lang w:eastAsia="tr-TR"/>
              </w:rPr>
            </w:pPr>
            <w:r w:rsidRPr="00A23740">
              <w:rPr>
                <w:rFonts w:eastAsia="Times New Roman"/>
                <w:b/>
                <w:bCs/>
                <w:strike/>
                <w:color w:val="FF0000"/>
                <w:szCs w:val="24"/>
                <w:lang w:eastAsia="tr-TR"/>
              </w:rPr>
              <w:t>(4) (Ek son fıkra: 17/7/2003-4949/9 md.)</w:t>
            </w:r>
            <w:r w:rsidRPr="00A23740">
              <w:rPr>
                <w:rFonts w:eastAsia="Times New Roman"/>
                <w:b/>
                <w:bCs/>
                <w:szCs w:val="24"/>
                <w:lang w:eastAsia="tr-TR"/>
              </w:rPr>
              <w:t xml:space="preserve"> </w:t>
            </w:r>
            <w:r w:rsidRPr="00A23740">
              <w:rPr>
                <w:rFonts w:eastAsia="Times New Roman"/>
                <w:szCs w:val="24"/>
                <w:lang w:eastAsia="tr-TR"/>
              </w:rPr>
              <w:t xml:space="preserve">Bir işin yapılmasına </w:t>
            </w:r>
            <w:r w:rsidRPr="00A23740">
              <w:rPr>
                <w:rStyle w:val="KIRMIZIChar"/>
                <w:rFonts w:eastAsia="Calibri"/>
              </w:rPr>
              <w:t>veya yapılmamasına dair olan</w:t>
            </w:r>
            <w:r w:rsidRPr="00A23740">
              <w:rPr>
                <w:rFonts w:eastAsia="Times New Roman"/>
                <w:szCs w:val="24"/>
                <w:lang w:eastAsia="tr-TR"/>
              </w:rPr>
              <w:t xml:space="preserve"> ilâm hükmü yerine getirildikten sonra borçlu</w:t>
            </w:r>
            <w:r w:rsidRPr="00A23740">
              <w:rPr>
                <w:rStyle w:val="KIRMIZIChar"/>
                <w:rFonts w:eastAsia="Calibri"/>
              </w:rPr>
              <w:t>,</w:t>
            </w:r>
            <w:r w:rsidRPr="00A23740">
              <w:rPr>
                <w:rFonts w:eastAsia="Times New Roman"/>
                <w:szCs w:val="24"/>
                <w:lang w:eastAsia="tr-TR"/>
              </w:rPr>
              <w:t xml:space="preserve"> ilâm </w:t>
            </w:r>
            <w:r w:rsidRPr="00A23740">
              <w:rPr>
                <w:rStyle w:val="KIRMIZIChar"/>
                <w:rFonts w:eastAsia="Calibri"/>
              </w:rPr>
              <w:t>hükmünü</w:t>
            </w:r>
            <w:r w:rsidRPr="00A23740">
              <w:rPr>
                <w:rFonts w:eastAsia="Times New Roman"/>
                <w:szCs w:val="24"/>
                <w:lang w:eastAsia="tr-TR"/>
              </w:rPr>
              <w:t xml:space="preserve"> ortadan kaldıracak </w:t>
            </w:r>
            <w:r w:rsidRPr="00A23740">
              <w:rPr>
                <w:rStyle w:val="KIRMIZIChar"/>
                <w:rFonts w:eastAsia="Calibri"/>
              </w:rPr>
              <w:t>bir</w:t>
            </w:r>
            <w:r w:rsidRPr="00A23740">
              <w:rPr>
                <w:rFonts w:eastAsia="Times New Roman"/>
                <w:szCs w:val="24"/>
                <w:lang w:eastAsia="tr-TR"/>
              </w:rPr>
              <w:t xml:space="preserve"> eylemde bulunursa, mahkemeden ayrıca hüküm almaya gerek kalma</w:t>
            </w:r>
            <w:r w:rsidRPr="00A23740">
              <w:rPr>
                <w:rStyle w:val="KIRMIZIChar"/>
                <w:rFonts w:eastAsia="Calibri"/>
              </w:rPr>
              <w:t>dan, önceki ilâm hükmü</w:t>
            </w:r>
            <w:r w:rsidRPr="00A23740">
              <w:rPr>
                <w:rFonts w:eastAsia="Times New Roman"/>
                <w:szCs w:val="24"/>
                <w:lang w:eastAsia="tr-TR"/>
              </w:rPr>
              <w:t xml:space="preserve"> tekrar zorla yerine getiril</w:t>
            </w:r>
            <w:r w:rsidRPr="00A23740">
              <w:rPr>
                <w:rStyle w:val="KIRMIZIChar"/>
                <w:rFonts w:eastAsia="Calibri"/>
              </w:rPr>
              <w:t>ir</w:t>
            </w:r>
            <w:r w:rsidRPr="00A23740">
              <w:rPr>
                <w:rFonts w:eastAsia="Times New Roman"/>
                <w:szCs w:val="24"/>
                <w:lang w:eastAsia="tr-TR"/>
              </w:rPr>
              <w:t>.</w:t>
            </w:r>
          </w:p>
          <w:p w:rsidR="00155AF4" w:rsidRPr="00A23740" w:rsidRDefault="00155AF4"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40"/>
              </w:tabs>
              <w:outlineLvl w:val="0"/>
              <w:rPr>
                <w:rFonts w:eastAsia="Times New Roman"/>
                <w:b/>
                <w:bCs/>
                <w:szCs w:val="24"/>
                <w:lang w:eastAsia="tr-TR"/>
              </w:rPr>
            </w:pPr>
          </w:p>
          <w:p w:rsidR="00C35637" w:rsidRPr="00A23740" w:rsidRDefault="00C35637"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40"/>
              </w:tabs>
              <w:outlineLvl w:val="0"/>
              <w:rPr>
                <w:rStyle w:val="KIRMIZIChar"/>
                <w:rFonts w:eastAsia="Calibri"/>
              </w:rPr>
            </w:pPr>
            <w:r w:rsidRPr="00A23740">
              <w:rPr>
                <w:rStyle w:val="KIRMIZIChar"/>
                <w:rFonts w:eastAsia="Calibri"/>
              </w:rPr>
              <w:t>(2) Borçlu muayyen müddetlerde işe başlamaz veya bitirmez ve</w:t>
            </w:r>
            <w:r w:rsidRPr="00A23740">
              <w:rPr>
                <w:rStyle w:val="KIRMIZIChar"/>
                <w:rFonts w:eastAsia="Calibri"/>
                <w:lang w:eastAsia="tr-TR"/>
              </w:rPr>
              <w:t xml:space="preserve"> iş</w:t>
            </w:r>
            <w:r w:rsidRPr="00A23740">
              <w:rPr>
                <w:rStyle w:val="KIRMIZIChar"/>
                <w:rFonts w:eastAsia="Calibri"/>
              </w:rPr>
              <w:t xml:space="preserve"> diğer bir kimse tarafından yapılabilecek şeylerden olur ve alacaklı da isterse yapılması için lazımgelen masraf</w:t>
            </w:r>
            <w:r w:rsidRPr="00A23740">
              <w:rPr>
                <w:rFonts w:eastAsia="Times New Roman"/>
                <w:szCs w:val="24"/>
                <w:lang w:eastAsia="tr-TR"/>
              </w:rPr>
              <w:t xml:space="preserve"> icra </w:t>
            </w:r>
            <w:r w:rsidRPr="00A23740">
              <w:rPr>
                <w:rStyle w:val="KIRMIZIChar"/>
                <w:rFonts w:eastAsia="Calibri"/>
              </w:rPr>
              <w:t>memuru tarafından ehlivukufa takdir ettirilir.</w:t>
            </w:r>
            <w:r w:rsidRPr="00A23740">
              <w:rPr>
                <w:rFonts w:eastAsia="Times New Roman"/>
                <w:szCs w:val="24"/>
                <w:lang w:eastAsia="tr-TR"/>
              </w:rPr>
              <w:t xml:space="preserve"> </w:t>
            </w:r>
            <w:r w:rsidRPr="00A23740">
              <w:rPr>
                <w:rStyle w:val="KIRMIZIChar"/>
                <w:rFonts w:eastAsia="Calibri"/>
              </w:rPr>
              <w:t xml:space="preserve">Bu masrafın ilerde hükme hacet </w:t>
            </w:r>
            <w:r w:rsidRPr="00A23740">
              <w:rPr>
                <w:rStyle w:val="KIRMIZIChar"/>
                <w:rFonts w:eastAsia="Calibri"/>
              </w:rPr>
              <w:lastRenderedPageBreak/>
              <w:t>kalmaksızın borçludan tahsil olunup kendisine verilmek üzere ifasına alacaklı muvafakat ederse alınıp hükmolunan iş yaptırılır. Muvafakat etmezse ayrıca hükme hacet kalmadan borçlunun kafi miktarda malı haciz ile paraya çevrilerek o iş yaptırılır.</w:t>
            </w:r>
          </w:p>
          <w:p w:rsidR="00155AF4" w:rsidRPr="00A23740" w:rsidRDefault="00155AF4" w:rsidP="009431FF">
            <w:pPr>
              <w:widowControl w:val="0"/>
              <w:tabs>
                <w:tab w:val="left" w:pos="540"/>
              </w:tabs>
              <w:outlineLvl w:val="0"/>
              <w:rPr>
                <w:rFonts w:eastAsia="Times New Roman"/>
                <w:b/>
                <w:bCs/>
                <w:szCs w:val="24"/>
                <w:lang w:eastAsia="tr-TR"/>
              </w:rPr>
            </w:pPr>
          </w:p>
          <w:p w:rsidR="00155AF4" w:rsidRPr="00A23740" w:rsidRDefault="00155AF4" w:rsidP="009431FF">
            <w:pPr>
              <w:widowControl w:val="0"/>
              <w:tabs>
                <w:tab w:val="left" w:pos="567"/>
              </w:tabs>
              <w:rPr>
                <w:rFonts w:eastAsia="Times New Roman"/>
                <w:b/>
                <w:bCs/>
                <w:szCs w:val="24"/>
                <w:lang w:eastAsia="tr-TR"/>
              </w:rPr>
            </w:pPr>
            <w:r w:rsidRPr="00A23740">
              <w:rPr>
                <w:rStyle w:val="KIRMIZIChar"/>
                <w:rFonts w:eastAsia="Calibri"/>
              </w:rPr>
              <w:t>Madde 30- (4) (Ek son fıkra: 17/7/2003-4949/9 md.)</w:t>
            </w:r>
            <w:r w:rsidRPr="00A23740">
              <w:rPr>
                <w:rFonts w:eastAsia="Times New Roman"/>
                <w:szCs w:val="24"/>
                <w:lang w:eastAsia="tr-TR"/>
              </w:rPr>
              <w:t xml:space="preserve"> Bir işin yapılmasına</w:t>
            </w:r>
            <w:r w:rsidRPr="00A23740">
              <w:rPr>
                <w:b/>
                <w:bCs/>
                <w:lang w:eastAsia="tr-TR"/>
              </w:rPr>
              <w:t xml:space="preserve"> </w:t>
            </w:r>
            <w:r w:rsidRPr="00A23740">
              <w:rPr>
                <w:rStyle w:val="KIRMIZIChar"/>
                <w:rFonts w:eastAsia="Calibri"/>
              </w:rPr>
              <w:t>veya</w:t>
            </w:r>
            <w:r w:rsidRPr="00A23740">
              <w:rPr>
                <w:rFonts w:eastAsia="Times New Roman"/>
                <w:szCs w:val="24"/>
                <w:lang w:eastAsia="tr-TR"/>
              </w:rPr>
              <w:t xml:space="preserve"> </w:t>
            </w:r>
            <w:r w:rsidRPr="00A23740">
              <w:rPr>
                <w:rStyle w:val="KIRMIZIChar"/>
                <w:rFonts w:eastAsia="Calibri"/>
              </w:rPr>
              <w:t>yapılmamasına dair olan</w:t>
            </w:r>
            <w:r w:rsidRPr="00A23740">
              <w:rPr>
                <w:rFonts w:eastAsia="Times New Roman"/>
                <w:szCs w:val="24"/>
                <w:lang w:eastAsia="tr-TR"/>
              </w:rPr>
              <w:t xml:space="preserve"> ilâm hükmü yerine getirildikten sonra borçlu, ilâm hükmün</w:t>
            </w:r>
            <w:r w:rsidRPr="00A23740">
              <w:rPr>
                <w:rStyle w:val="KIRMIZIChar"/>
                <w:rFonts w:eastAsia="Calibri"/>
              </w:rPr>
              <w:t>ü</w:t>
            </w:r>
            <w:r w:rsidRPr="00A23740">
              <w:rPr>
                <w:rFonts w:eastAsia="Times New Roman"/>
                <w:szCs w:val="24"/>
                <w:lang w:eastAsia="tr-TR"/>
              </w:rPr>
              <w:t xml:space="preserve"> ortadan kaldıracak </w:t>
            </w:r>
            <w:r w:rsidRPr="00A23740">
              <w:rPr>
                <w:rStyle w:val="KIRMIZIChar"/>
                <w:rFonts w:eastAsia="Calibri"/>
              </w:rPr>
              <w:t>bir eylemde bulunursa</w:t>
            </w:r>
            <w:r w:rsidRPr="00A23740">
              <w:rPr>
                <w:rFonts w:eastAsia="Times New Roman"/>
                <w:szCs w:val="24"/>
                <w:lang w:eastAsia="tr-TR"/>
              </w:rPr>
              <w:t>, mahkemeden ayrıca hüküm almaya gerek kalma</w:t>
            </w:r>
            <w:r w:rsidRPr="00A23740">
              <w:rPr>
                <w:rStyle w:val="KIRMIZIChar"/>
                <w:rFonts w:eastAsia="Calibri"/>
              </w:rPr>
              <w:t>dan</w:t>
            </w:r>
            <w:r w:rsidRPr="00A23740">
              <w:rPr>
                <w:rFonts w:eastAsia="Times New Roman"/>
                <w:szCs w:val="24"/>
                <w:lang w:eastAsia="tr-TR"/>
              </w:rPr>
              <w:t>, önceki ilâm hükmü tekrar zorla yerine getirilir.</w:t>
            </w:r>
          </w:p>
        </w:tc>
        <w:tc>
          <w:tcPr>
            <w:tcW w:w="2500" w:type="pct"/>
          </w:tcPr>
          <w:p w:rsidR="00155AF4" w:rsidRPr="00A23740" w:rsidRDefault="00155AF4" w:rsidP="009431FF">
            <w:pPr>
              <w:pStyle w:val="Balk4"/>
              <w:keepNext w:val="0"/>
              <w:widowControl w:val="0"/>
              <w:rPr>
                <w:lang w:val="tr-TR"/>
              </w:rPr>
            </w:pPr>
            <w:r w:rsidRPr="00A23740">
              <w:rPr>
                <w:lang w:val="tr-TR"/>
              </w:rPr>
              <w:lastRenderedPageBreak/>
              <w:t>ALTINCI AYRIM</w:t>
            </w:r>
          </w:p>
          <w:p w:rsidR="00155AF4" w:rsidRPr="00A23740" w:rsidRDefault="00155AF4" w:rsidP="009431FF">
            <w:pPr>
              <w:pStyle w:val="Balk4"/>
              <w:keepNext w:val="0"/>
              <w:widowControl w:val="0"/>
              <w:rPr>
                <w:lang w:val="tr-TR"/>
              </w:rPr>
            </w:pPr>
            <w:r w:rsidRPr="00A23740">
              <w:rPr>
                <w:lang w:val="tr-TR"/>
              </w:rPr>
              <w:t>Bir İşin Yapılması veya Yapılmaması Hakkındaki İlamların İcrası</w:t>
            </w: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widowControl w:val="0"/>
              <w:rPr>
                <w:rFonts w:eastAsia="Times New Roman"/>
                <w:b/>
                <w:bCs/>
                <w:szCs w:val="24"/>
                <w:lang w:eastAsia="tr-TR"/>
              </w:rPr>
            </w:pPr>
            <w:r w:rsidRPr="00A23740">
              <w:rPr>
                <w:rFonts w:eastAsia="Times New Roman"/>
                <w:b/>
                <w:bCs/>
                <w:szCs w:val="24"/>
                <w:lang w:eastAsia="tr-TR"/>
              </w:rPr>
              <w:t xml:space="preserve">Bir işin yapılmasına </w:t>
            </w:r>
            <w:r w:rsidRPr="00A23740">
              <w:rPr>
                <w:rStyle w:val="MaviChar"/>
              </w:rPr>
              <w:t>ilişkin</w:t>
            </w:r>
            <w:r w:rsidRPr="00A23740">
              <w:rPr>
                <w:rFonts w:eastAsia="Times New Roman"/>
                <w:b/>
                <w:bCs/>
                <w:szCs w:val="24"/>
                <w:lang w:eastAsia="tr-TR"/>
              </w:rPr>
              <w:t xml:space="preserve"> ilamlar</w:t>
            </w:r>
            <w:r w:rsidRPr="00A23740">
              <w:rPr>
                <w:rStyle w:val="MaviChar"/>
              </w:rPr>
              <w:t>ın icrası</w:t>
            </w:r>
          </w:p>
          <w:p w:rsidR="00155AF4" w:rsidRPr="00A23740" w:rsidRDefault="00155AF4" w:rsidP="009431FF">
            <w:pPr>
              <w:pStyle w:val="MAV"/>
              <w:widowControl w:val="0"/>
              <w:rPr>
                <w:u w:val="none"/>
                <w:lang w:val="tr-TR"/>
              </w:rPr>
            </w:pPr>
            <w:r w:rsidRPr="00A23740">
              <w:rPr>
                <w:szCs w:val="28"/>
                <w:u w:val="none"/>
                <w:lang w:val="tr-TR" w:eastAsia="en-US"/>
              </w:rPr>
              <w:t>MADDE</w:t>
            </w:r>
            <w:r w:rsidRPr="00A23740">
              <w:rPr>
                <w:rStyle w:val="MaviChar"/>
                <w:u w:val="none"/>
              </w:rPr>
              <w:t xml:space="preserve"> </w:t>
            </w:r>
            <w:r w:rsidRPr="00A23740">
              <w:rPr>
                <w:rStyle w:val="MaviChar"/>
                <w:rFonts w:eastAsia="ヒラギノ明朝 Pro W3"/>
                <w:b/>
                <w:u w:val="none"/>
              </w:rPr>
              <w:t>76</w:t>
            </w:r>
            <w:r w:rsidRPr="00A23740">
              <w:rPr>
                <w:b w:val="0"/>
                <w:szCs w:val="28"/>
                <w:u w:val="none"/>
                <w:lang w:val="tr-TR" w:eastAsia="en-US"/>
              </w:rPr>
              <w:t>-</w:t>
            </w:r>
            <w:r w:rsidRPr="00A23740">
              <w:rPr>
                <w:szCs w:val="28"/>
                <w:u w:val="none"/>
                <w:lang w:val="tr-TR" w:eastAsia="en-US"/>
              </w:rPr>
              <w:t xml:space="preserve"> (1)</w:t>
            </w:r>
            <w:r w:rsidRPr="00A23740">
              <w:rPr>
                <w:b w:val="0"/>
                <w:bCs w:val="0"/>
                <w:color w:val="auto"/>
                <w:u w:val="none"/>
                <w:lang w:val="tr-TR" w:eastAsia="tr-TR"/>
              </w:rPr>
              <w:t xml:space="preserve"> Bir işin yapılması </w:t>
            </w:r>
            <w:r w:rsidRPr="00A23740">
              <w:rPr>
                <w:szCs w:val="28"/>
                <w:u w:val="none"/>
                <w:lang w:val="tr-TR" w:eastAsia="en-US"/>
              </w:rPr>
              <w:t>hakkındaki</w:t>
            </w:r>
            <w:r w:rsidRPr="00A23740">
              <w:rPr>
                <w:b w:val="0"/>
                <w:bCs w:val="0"/>
                <w:color w:val="auto"/>
                <w:u w:val="none"/>
                <w:lang w:val="tr-TR" w:eastAsia="tr-TR"/>
              </w:rPr>
              <w:t xml:space="preserve"> ilam</w:t>
            </w:r>
            <w:r w:rsidRPr="00A23740">
              <w:rPr>
                <w:szCs w:val="28"/>
                <w:u w:val="none"/>
                <w:lang w:val="tr-TR" w:eastAsia="en-US"/>
              </w:rPr>
              <w:t>ların</w:t>
            </w:r>
            <w:r w:rsidRPr="00A23740">
              <w:rPr>
                <w:b w:val="0"/>
                <w:bCs w:val="0"/>
                <w:szCs w:val="28"/>
                <w:u w:val="none"/>
                <w:lang w:eastAsia="en-US"/>
              </w:rPr>
              <w:t xml:space="preserve"> </w:t>
            </w:r>
            <w:r w:rsidRPr="00A23740">
              <w:rPr>
                <w:szCs w:val="28"/>
                <w:u w:val="none"/>
                <w:lang w:val="tr-TR" w:eastAsia="en-US"/>
              </w:rPr>
              <w:t>yerine</w:t>
            </w:r>
            <w:r w:rsidRPr="00A23740">
              <w:rPr>
                <w:b w:val="0"/>
                <w:bCs w:val="0"/>
                <w:szCs w:val="28"/>
                <w:u w:val="none"/>
                <w:lang w:eastAsia="en-US"/>
              </w:rPr>
              <w:t xml:space="preserve"> </w:t>
            </w:r>
            <w:r w:rsidRPr="00A23740">
              <w:rPr>
                <w:szCs w:val="28"/>
                <w:u w:val="none"/>
                <w:lang w:val="tr-TR" w:eastAsia="en-US"/>
              </w:rPr>
              <w:t>getirilmesine ilişkin</w:t>
            </w:r>
            <w:r w:rsidRPr="00A23740">
              <w:rPr>
                <w:b w:val="0"/>
                <w:bCs w:val="0"/>
                <w:color w:val="auto"/>
                <w:u w:val="none"/>
                <w:lang w:val="tr-TR" w:eastAsia="tr-TR"/>
              </w:rPr>
              <w:t xml:space="preserve"> icra emri</w:t>
            </w:r>
            <w:r w:rsidRPr="00A23740">
              <w:rPr>
                <w:szCs w:val="28"/>
                <w:u w:val="none"/>
                <w:lang w:val="tr-TR" w:eastAsia="en-US"/>
              </w:rPr>
              <w:t xml:space="preserve">nde, </w:t>
            </w:r>
            <w:r w:rsidR="000948B3" w:rsidRPr="00A23740">
              <w:rPr>
                <w:szCs w:val="28"/>
                <w:u w:val="none"/>
                <w:lang w:val="tr-TR" w:eastAsia="en-US"/>
              </w:rPr>
              <w:t xml:space="preserve">57 nci </w:t>
            </w:r>
            <w:r w:rsidRPr="00A23740">
              <w:rPr>
                <w:szCs w:val="28"/>
                <w:u w:val="none"/>
                <w:lang w:val="tr-TR" w:eastAsia="en-US"/>
              </w:rPr>
              <w:t>maddede yazılanlar ile aşağıdaki hususlar yer alır:</w:t>
            </w:r>
          </w:p>
          <w:p w:rsidR="00155AF4" w:rsidRPr="00A23740" w:rsidRDefault="00155AF4" w:rsidP="009431FF">
            <w:pPr>
              <w:pStyle w:val="MAV"/>
              <w:widowControl w:val="0"/>
              <w:rPr>
                <w:u w:val="none"/>
                <w:lang w:val="tr-TR"/>
              </w:rPr>
            </w:pPr>
          </w:p>
          <w:p w:rsidR="00155AF4" w:rsidRPr="00A23740" w:rsidRDefault="00155AF4" w:rsidP="009431FF">
            <w:pPr>
              <w:pStyle w:val="MAV"/>
              <w:widowControl w:val="0"/>
              <w:rPr>
                <w:u w:val="none"/>
                <w:lang w:val="tr-TR"/>
              </w:rPr>
            </w:pPr>
            <w:r w:rsidRPr="00A23740">
              <w:rPr>
                <w:szCs w:val="28"/>
                <w:u w:val="none"/>
                <w:lang w:val="tr-TR" w:eastAsia="en-US"/>
              </w:rPr>
              <w:t>a)</w:t>
            </w:r>
            <w:r w:rsidRPr="00A23740">
              <w:rPr>
                <w:b w:val="0"/>
                <w:bCs w:val="0"/>
                <w:color w:val="auto"/>
                <w:u w:val="none"/>
                <w:lang w:val="tr-TR" w:eastAsia="tr-TR"/>
              </w:rPr>
              <w:t xml:space="preserve"> İlamda </w:t>
            </w:r>
            <w:r w:rsidRPr="00A23740">
              <w:rPr>
                <w:szCs w:val="28"/>
                <w:u w:val="none"/>
                <w:lang w:val="tr-TR" w:eastAsia="en-US"/>
              </w:rPr>
              <w:t>belirlenen</w:t>
            </w:r>
            <w:r w:rsidRPr="00A23740">
              <w:rPr>
                <w:b w:val="0"/>
                <w:bCs w:val="0"/>
                <w:szCs w:val="28"/>
                <w:u w:val="none"/>
                <w:lang w:val="tr-TR" w:eastAsia="en-US"/>
              </w:rPr>
              <w:t xml:space="preserve"> </w:t>
            </w:r>
            <w:r w:rsidRPr="00A23740">
              <w:rPr>
                <w:szCs w:val="28"/>
                <w:u w:val="none"/>
                <w:lang w:val="tr-TR" w:eastAsia="en-US"/>
              </w:rPr>
              <w:t>süre</w:t>
            </w:r>
            <w:r w:rsidRPr="00A23740">
              <w:rPr>
                <w:b w:val="0"/>
                <w:bCs w:val="0"/>
                <w:color w:val="auto"/>
                <w:u w:val="none"/>
                <w:lang w:val="tr-TR" w:eastAsia="tr-TR"/>
              </w:rPr>
              <w:t xml:space="preserve"> içinde işi</w:t>
            </w:r>
            <w:r w:rsidRPr="00A23740">
              <w:rPr>
                <w:szCs w:val="28"/>
                <w:u w:val="none"/>
                <w:lang w:val="tr-TR" w:eastAsia="en-US"/>
              </w:rPr>
              <w:t>n</w:t>
            </w:r>
            <w:r w:rsidRPr="00A23740">
              <w:rPr>
                <w:b w:val="0"/>
                <w:bCs w:val="0"/>
                <w:color w:val="auto"/>
                <w:u w:val="none"/>
                <w:lang w:val="tr-TR" w:eastAsia="tr-TR"/>
              </w:rPr>
              <w:t xml:space="preserve"> yap</w:t>
            </w:r>
            <w:r w:rsidRPr="00A23740">
              <w:rPr>
                <w:szCs w:val="28"/>
                <w:u w:val="none"/>
                <w:lang w:val="tr-TR" w:eastAsia="en-US"/>
              </w:rPr>
              <w:t>ılması.</w:t>
            </w:r>
          </w:p>
          <w:p w:rsidR="00155AF4" w:rsidRPr="00A23740" w:rsidRDefault="00155AF4" w:rsidP="009431FF">
            <w:pPr>
              <w:pStyle w:val="MAV"/>
              <w:widowControl w:val="0"/>
              <w:rPr>
                <w:u w:val="none"/>
                <w:lang w:val="tr-TR"/>
              </w:rPr>
            </w:pPr>
          </w:p>
          <w:p w:rsidR="00155AF4" w:rsidRPr="00A23740" w:rsidRDefault="00155AF4" w:rsidP="009431FF">
            <w:pPr>
              <w:pStyle w:val="Mavi"/>
              <w:widowControl w:val="0"/>
            </w:pPr>
            <w:r w:rsidRPr="00A23740">
              <w:t>b) İlamda süre belirlenmemişse, ikinci fıkra uyarınca belirlenen süre içinde işin yapılması.</w:t>
            </w:r>
          </w:p>
          <w:p w:rsidR="00155AF4" w:rsidRPr="00A23740" w:rsidRDefault="00155AF4" w:rsidP="009431FF">
            <w:pPr>
              <w:pStyle w:val="MAV"/>
              <w:widowControl w:val="0"/>
              <w:rPr>
                <w:u w:val="none"/>
                <w:lang w:val="tr-TR"/>
              </w:rPr>
            </w:pPr>
          </w:p>
          <w:p w:rsidR="00155AF4" w:rsidRPr="00A23740" w:rsidRDefault="00155AF4" w:rsidP="009431FF">
            <w:pPr>
              <w:pStyle w:val="Mavi"/>
              <w:widowControl w:val="0"/>
              <w:rPr>
                <w:lang w:val="tr-TR"/>
              </w:rPr>
            </w:pPr>
            <w:r w:rsidRPr="00A23740">
              <w:lastRenderedPageBreak/>
              <w:t>c)</w:t>
            </w:r>
            <w:r w:rsidRPr="00A23740">
              <w:rPr>
                <w:b w:val="0"/>
                <w:bCs w:val="0"/>
                <w:color w:val="auto"/>
                <w:lang w:val="tr-TR" w:eastAsia="tr-TR"/>
              </w:rPr>
              <w:t xml:space="preserve"> Borçlu</w:t>
            </w:r>
            <w:r w:rsidRPr="00A23740">
              <w:rPr>
                <w:lang w:val="tr-TR"/>
              </w:rPr>
              <w:t xml:space="preserve"> </w:t>
            </w:r>
            <w:r w:rsidRPr="00A23740">
              <w:t>belirlenen</w:t>
            </w:r>
            <w:r w:rsidRPr="00A23740">
              <w:rPr>
                <w:b w:val="0"/>
                <w:bCs w:val="0"/>
              </w:rPr>
              <w:t xml:space="preserve"> </w:t>
            </w:r>
            <w:r w:rsidRPr="00A23740">
              <w:t>süre</w:t>
            </w:r>
            <w:r w:rsidRPr="00A23740">
              <w:rPr>
                <w:b w:val="0"/>
                <w:bCs w:val="0"/>
              </w:rPr>
              <w:t xml:space="preserve"> </w:t>
            </w:r>
            <w:r w:rsidRPr="00A23740">
              <w:t>içinde</w:t>
            </w:r>
            <w:r w:rsidRPr="00A23740">
              <w:rPr>
                <w:b w:val="0"/>
                <w:bCs w:val="0"/>
                <w:color w:val="auto"/>
                <w:lang w:val="tr-TR" w:eastAsia="tr-TR"/>
              </w:rPr>
              <w:t xml:space="preserve"> iş</w:t>
            </w:r>
            <w:r w:rsidRPr="00A23740">
              <w:rPr>
                <w:lang w:val="tr-TR"/>
              </w:rPr>
              <w:t>i yapmazsa,</w:t>
            </w:r>
            <w:r w:rsidRPr="00A23740">
              <w:rPr>
                <w:b w:val="0"/>
                <w:bCs w:val="0"/>
                <w:color w:val="auto"/>
                <w:lang w:val="tr-TR" w:eastAsia="tr-TR"/>
              </w:rPr>
              <w:t xml:space="preserve"> iş</w:t>
            </w:r>
            <w:r w:rsidRPr="00A23740">
              <w:rPr>
                <w:lang w:val="tr-TR"/>
              </w:rPr>
              <w:t xml:space="preserve">in başkası </w:t>
            </w:r>
            <w:r w:rsidRPr="00A23740">
              <w:rPr>
                <w:b w:val="0"/>
                <w:bCs w:val="0"/>
                <w:color w:val="auto"/>
                <w:lang w:val="tr-TR" w:eastAsia="tr-TR"/>
              </w:rPr>
              <w:t xml:space="preserve">tarafından yapılabilecek </w:t>
            </w:r>
            <w:r w:rsidRPr="00A23740">
              <w:rPr>
                <w:lang w:val="tr-TR"/>
              </w:rPr>
              <w:t>nitelikte</w:t>
            </w:r>
            <w:r w:rsidRPr="00A23740">
              <w:rPr>
                <w:b w:val="0"/>
                <w:bCs w:val="0"/>
                <w:color w:val="auto"/>
                <w:lang w:val="tr-TR" w:eastAsia="tr-TR"/>
              </w:rPr>
              <w:t xml:space="preserve"> ol</w:t>
            </w:r>
            <w:r w:rsidRPr="00A23740">
              <w:rPr>
                <w:lang w:val="tr-TR"/>
              </w:rPr>
              <w:t>ması</w:t>
            </w:r>
            <w:r w:rsidRPr="00A23740">
              <w:rPr>
                <w:b w:val="0"/>
                <w:bCs w:val="0"/>
                <w:color w:val="auto"/>
                <w:lang w:val="tr-TR" w:eastAsia="tr-TR"/>
              </w:rPr>
              <w:t xml:space="preserve"> ve alacaklı</w:t>
            </w:r>
            <w:r w:rsidRPr="00A23740">
              <w:rPr>
                <w:lang w:val="tr-TR"/>
              </w:rPr>
              <w:t>nın talep etmesi h</w:t>
            </w:r>
            <w:r w:rsidR="002F2BAA" w:rsidRPr="00A23740">
              <w:rPr>
                <w:lang w:val="tr-TR"/>
              </w:rPr>
              <w:t>â</w:t>
            </w:r>
            <w:r w:rsidRPr="00A23740">
              <w:rPr>
                <w:lang w:val="tr-TR"/>
              </w:rPr>
              <w:t xml:space="preserve">linde, işin </w:t>
            </w:r>
            <w:r w:rsidRPr="00A23740">
              <w:rPr>
                <w:b w:val="0"/>
                <w:bCs w:val="0"/>
                <w:color w:val="auto"/>
                <w:lang w:val="tr-TR" w:eastAsia="tr-TR"/>
              </w:rPr>
              <w:t xml:space="preserve">yapılması için </w:t>
            </w:r>
            <w:r w:rsidRPr="00A23740">
              <w:rPr>
                <w:lang w:val="tr-TR"/>
              </w:rPr>
              <w:t>gerekli giderlerin</w:t>
            </w:r>
            <w:r w:rsidRPr="00A23740">
              <w:rPr>
                <w:b w:val="0"/>
                <w:bCs w:val="0"/>
                <w:color w:val="auto"/>
                <w:lang w:val="tr-TR" w:eastAsia="tr-TR"/>
              </w:rPr>
              <w:t xml:space="preserve"> hükme </w:t>
            </w:r>
            <w:r w:rsidRPr="00A23740">
              <w:rPr>
                <w:lang w:val="tr-TR"/>
              </w:rPr>
              <w:t>gerek</w:t>
            </w:r>
            <w:r w:rsidRPr="00A23740">
              <w:rPr>
                <w:b w:val="0"/>
                <w:bCs w:val="0"/>
                <w:color w:val="auto"/>
                <w:lang w:val="tr-TR" w:eastAsia="tr-TR"/>
              </w:rPr>
              <w:t xml:space="preserve"> kalma</w:t>
            </w:r>
            <w:r w:rsidRPr="00A23740">
              <w:rPr>
                <w:lang w:val="tr-TR"/>
              </w:rPr>
              <w:t>dan</w:t>
            </w:r>
            <w:r w:rsidRPr="00A23740">
              <w:rPr>
                <w:b w:val="0"/>
                <w:bCs w:val="0"/>
                <w:color w:val="auto"/>
                <w:lang w:val="tr-TR" w:eastAsia="tr-TR"/>
              </w:rPr>
              <w:t xml:space="preserve"> borçludan</w:t>
            </w:r>
            <w:r w:rsidRPr="00A23740">
              <w:rPr>
                <w:lang w:val="tr-TR"/>
              </w:rPr>
              <w:t xml:space="preserve"> </w:t>
            </w:r>
            <w:r w:rsidRPr="00A23740">
              <w:rPr>
                <w:b w:val="0"/>
                <w:bCs w:val="0"/>
                <w:color w:val="auto"/>
                <w:lang w:val="tr-TR" w:eastAsia="tr-TR"/>
              </w:rPr>
              <w:t>alın</w:t>
            </w:r>
            <w:r w:rsidRPr="00A23740">
              <w:rPr>
                <w:lang w:val="tr-TR"/>
              </w:rPr>
              <w:t xml:space="preserve">arak </w:t>
            </w:r>
            <w:r w:rsidRPr="00A23740">
              <w:rPr>
                <w:b w:val="0"/>
                <w:bCs w:val="0"/>
                <w:color w:val="auto"/>
                <w:lang w:val="tr-TR" w:eastAsia="tr-TR"/>
              </w:rPr>
              <w:t>kendisine verilmek üzere</w:t>
            </w:r>
            <w:r w:rsidRPr="00A23740">
              <w:rPr>
                <w:lang w:val="tr-TR"/>
              </w:rPr>
              <w:t xml:space="preserve"> alacaklı tarafından karşılanacağı ve</w:t>
            </w:r>
            <w:r w:rsidRPr="00A23740">
              <w:rPr>
                <w:b w:val="0"/>
                <w:bCs w:val="0"/>
                <w:color w:val="auto"/>
                <w:lang w:val="tr-TR" w:eastAsia="tr-TR"/>
              </w:rPr>
              <w:t xml:space="preserve"> hükm</w:t>
            </w:r>
            <w:r w:rsidRPr="00A23740">
              <w:rPr>
                <w:lang w:val="tr-TR"/>
              </w:rPr>
              <w:t>edilen</w:t>
            </w:r>
            <w:r w:rsidRPr="00A23740">
              <w:rPr>
                <w:b w:val="0"/>
                <w:bCs w:val="0"/>
                <w:color w:val="auto"/>
                <w:lang w:val="tr-TR" w:eastAsia="tr-TR"/>
              </w:rPr>
              <w:t xml:space="preserve"> iş</w:t>
            </w:r>
            <w:r w:rsidRPr="00A23740">
              <w:rPr>
                <w:lang w:val="tr-TR"/>
              </w:rPr>
              <w:t>in üçüncü kişiye</w:t>
            </w:r>
            <w:r w:rsidRPr="00A23740">
              <w:rPr>
                <w:b w:val="0"/>
                <w:bCs w:val="0"/>
                <w:color w:val="auto"/>
                <w:lang w:val="tr-TR" w:eastAsia="tr-TR"/>
              </w:rPr>
              <w:t xml:space="preserve"> yaptırıl</w:t>
            </w:r>
            <w:r w:rsidR="00405D24" w:rsidRPr="00A23740">
              <w:rPr>
                <w:lang w:val="tr-TR"/>
              </w:rPr>
              <w:t>acağı.</w:t>
            </w:r>
          </w:p>
          <w:p w:rsidR="00155AF4" w:rsidRPr="00A23740" w:rsidRDefault="00155AF4" w:rsidP="009431FF">
            <w:pPr>
              <w:pStyle w:val="MAV"/>
              <w:widowControl w:val="0"/>
              <w:rPr>
                <w:u w:val="none"/>
                <w:lang w:val="tr-TR"/>
              </w:rPr>
            </w:pPr>
          </w:p>
          <w:p w:rsidR="00155AF4" w:rsidRPr="00A23740" w:rsidRDefault="00155AF4" w:rsidP="009431FF">
            <w:pPr>
              <w:pStyle w:val="Mavi"/>
              <w:widowControl w:val="0"/>
              <w:rPr>
                <w:lang w:val="tr-TR"/>
              </w:rPr>
            </w:pPr>
            <w:r w:rsidRPr="00A23740">
              <w:rPr>
                <w:lang w:val="tr-TR"/>
              </w:rPr>
              <w:t>ç) Alacaklı giderleri karşılamazsa,</w:t>
            </w:r>
            <w:r w:rsidRPr="00A23740">
              <w:rPr>
                <w:b w:val="0"/>
                <w:bCs w:val="0"/>
                <w:color w:val="auto"/>
                <w:lang w:val="tr-TR" w:eastAsia="tr-TR"/>
              </w:rPr>
              <w:t xml:space="preserve"> ayrıca hükme </w:t>
            </w:r>
            <w:r w:rsidRPr="00A23740">
              <w:rPr>
                <w:lang w:val="tr-TR"/>
              </w:rPr>
              <w:t>gerek</w:t>
            </w:r>
            <w:r w:rsidRPr="00A23740">
              <w:rPr>
                <w:b w:val="0"/>
                <w:bCs w:val="0"/>
                <w:color w:val="auto"/>
                <w:lang w:val="tr-TR" w:eastAsia="tr-TR"/>
              </w:rPr>
              <w:t xml:space="preserve"> kalmadan</w:t>
            </w:r>
            <w:r w:rsidRPr="00A23740">
              <w:rPr>
                <w:rStyle w:val="KIRMIZIChar"/>
                <w:rFonts w:eastAsia="Calibri"/>
              </w:rPr>
              <w:t>,</w:t>
            </w:r>
            <w:r w:rsidRPr="00A23740">
              <w:rPr>
                <w:lang w:val="tr-TR"/>
              </w:rPr>
              <w:t xml:space="preserve"> işin yaptırılması için</w:t>
            </w:r>
            <w:r w:rsidRPr="00A23740">
              <w:rPr>
                <w:b w:val="0"/>
                <w:bCs w:val="0"/>
                <w:color w:val="auto"/>
                <w:lang w:val="tr-TR" w:eastAsia="tr-TR"/>
              </w:rPr>
              <w:t xml:space="preserve"> borçlunun </w:t>
            </w:r>
            <w:r w:rsidRPr="00A23740">
              <w:rPr>
                <w:lang w:val="tr-TR"/>
              </w:rPr>
              <w:t>yeteri kadar</w:t>
            </w:r>
            <w:r w:rsidRPr="00A23740">
              <w:rPr>
                <w:b w:val="0"/>
                <w:bCs w:val="0"/>
                <w:color w:val="auto"/>
                <w:lang w:val="tr-TR" w:eastAsia="tr-TR"/>
              </w:rPr>
              <w:t xml:space="preserve"> malı</w:t>
            </w:r>
            <w:r w:rsidRPr="00A23740">
              <w:t>nın</w:t>
            </w:r>
            <w:r w:rsidRPr="00A23740">
              <w:rPr>
                <w:b w:val="0"/>
                <w:bCs w:val="0"/>
                <w:color w:val="auto"/>
                <w:lang w:val="tr-TR" w:eastAsia="tr-TR"/>
              </w:rPr>
              <w:t xml:space="preserve"> hac</w:t>
            </w:r>
            <w:r w:rsidRPr="00A23740">
              <w:rPr>
                <w:lang w:val="tr-TR"/>
              </w:rPr>
              <w:t>zedilerek</w:t>
            </w:r>
            <w:r w:rsidRPr="00A23740">
              <w:rPr>
                <w:b w:val="0"/>
                <w:bCs w:val="0"/>
                <w:color w:val="auto"/>
                <w:lang w:val="tr-TR" w:eastAsia="tr-TR"/>
              </w:rPr>
              <w:t xml:space="preserve"> paraya çevrile</w:t>
            </w:r>
            <w:r w:rsidRPr="00A23740">
              <w:rPr>
                <w:lang w:val="tr-TR"/>
              </w:rPr>
              <w:t>ceği ve bu şekilde</w:t>
            </w:r>
            <w:r w:rsidRPr="00A23740">
              <w:rPr>
                <w:b w:val="0"/>
                <w:bCs w:val="0"/>
                <w:color w:val="auto"/>
                <w:lang w:val="tr-TR" w:eastAsia="tr-TR"/>
              </w:rPr>
              <w:t xml:space="preserve"> iş</w:t>
            </w:r>
            <w:r w:rsidRPr="00A23740">
              <w:rPr>
                <w:lang w:val="tr-TR"/>
              </w:rPr>
              <w:t>in</w:t>
            </w:r>
            <w:r w:rsidRPr="00A23740">
              <w:rPr>
                <w:b w:val="0"/>
                <w:bCs w:val="0"/>
                <w:color w:val="auto"/>
                <w:lang w:val="tr-TR" w:eastAsia="tr-TR"/>
              </w:rPr>
              <w:t xml:space="preserve"> yaptırıl</w:t>
            </w:r>
            <w:r w:rsidRPr="00A23740">
              <w:rPr>
                <w:lang w:val="tr-TR"/>
              </w:rPr>
              <w:t>acağı.</w:t>
            </w:r>
          </w:p>
          <w:p w:rsidR="00155AF4" w:rsidRPr="00A23740" w:rsidRDefault="00155AF4" w:rsidP="009431FF">
            <w:pPr>
              <w:pStyle w:val="Mavi"/>
              <w:widowControl w:val="0"/>
            </w:pPr>
          </w:p>
          <w:p w:rsidR="00155AF4" w:rsidRPr="00A23740" w:rsidRDefault="00155AF4" w:rsidP="009431FF">
            <w:pPr>
              <w:pStyle w:val="Mavi"/>
              <w:widowControl w:val="0"/>
            </w:pPr>
            <w:r w:rsidRPr="00A23740">
              <w:t xml:space="preserve">d) Yalnız borçlu tarafından yapılabilecek olan bir işin yapılması hakkındaki ilam hükmünün gereğini yerine getirmeyen borçlunun </w:t>
            </w:r>
            <w:r w:rsidR="00C42767" w:rsidRPr="00D51A11">
              <w:t>513 üncü</w:t>
            </w:r>
            <w:r w:rsidR="00C42767" w:rsidRPr="00A23740">
              <w:rPr>
                <w:lang w:val="tr-TR"/>
              </w:rPr>
              <w:t xml:space="preserve"> </w:t>
            </w:r>
            <w:r w:rsidRPr="00A23740">
              <w:t>madd</w:t>
            </w:r>
            <w:r w:rsidR="002824D6" w:rsidRPr="00A23740">
              <w:t xml:space="preserve">enin birinci fıkrasına </w:t>
            </w:r>
            <w:r w:rsidRPr="00A23740">
              <w:t xml:space="preserve">göre </w:t>
            </w:r>
            <w:r w:rsidR="002824D6" w:rsidRPr="00A23740">
              <w:rPr>
                <w:lang w:val="tr-TR"/>
              </w:rPr>
              <w:t xml:space="preserve">tazyik </w:t>
            </w:r>
            <w:r w:rsidR="001647D1" w:rsidRPr="008D10FA">
              <w:rPr>
                <w:rStyle w:val="MaviChar"/>
                <w:b/>
                <w:bCs/>
                <w:lang w:val="tr-TR"/>
              </w:rPr>
              <w:t>hapsiyle</w:t>
            </w:r>
            <w:r w:rsidR="002824D6" w:rsidRPr="00A23740">
              <w:rPr>
                <w:lang w:val="tr-TR"/>
              </w:rPr>
              <w:t xml:space="preserve"> </w:t>
            </w:r>
            <w:r w:rsidRPr="00A23740">
              <w:t>cezalandırılacağı.</w:t>
            </w:r>
          </w:p>
          <w:p w:rsidR="00C20C8B" w:rsidRPr="00A23740" w:rsidRDefault="00C20C8B" w:rsidP="009431FF">
            <w:pPr>
              <w:pStyle w:val="MAV"/>
              <w:widowControl w:val="0"/>
              <w:rPr>
                <w:u w:val="none"/>
                <w:lang w:val="tr-TR"/>
              </w:rPr>
            </w:pPr>
          </w:p>
          <w:p w:rsidR="00155AF4" w:rsidRPr="00A23740" w:rsidRDefault="00155AF4" w:rsidP="009431FF">
            <w:pPr>
              <w:pStyle w:val="Mavi"/>
              <w:widowControl w:val="0"/>
              <w:rPr>
                <w:lang w:val="tr-TR"/>
              </w:rPr>
            </w:pPr>
            <w:r w:rsidRPr="00A23740">
              <w:t xml:space="preserve">e) </w:t>
            </w:r>
            <w:r w:rsidRPr="00A23740">
              <w:rPr>
                <w:b w:val="0"/>
                <w:bCs w:val="0"/>
                <w:color w:val="auto"/>
                <w:lang w:val="tr-TR" w:eastAsia="tr-TR"/>
              </w:rPr>
              <w:t xml:space="preserve">Bir işin yapılmasına </w:t>
            </w:r>
            <w:r w:rsidRPr="00A23740">
              <w:t>ilişkin</w:t>
            </w:r>
            <w:r w:rsidRPr="00A23740">
              <w:rPr>
                <w:b w:val="0"/>
                <w:bCs w:val="0"/>
                <w:color w:val="auto"/>
                <w:lang w:val="tr-TR" w:eastAsia="tr-TR"/>
              </w:rPr>
              <w:t xml:space="preserve"> ilam hükmü yerine getirildikten sonra borçlu ilam</w:t>
            </w:r>
            <w:r w:rsidRPr="00A23740">
              <w:rPr>
                <w:lang w:val="tr-TR"/>
              </w:rPr>
              <w:t>ın sonuçlarını</w:t>
            </w:r>
            <w:r w:rsidRPr="00A23740">
              <w:rPr>
                <w:b w:val="0"/>
                <w:bCs w:val="0"/>
                <w:color w:val="auto"/>
                <w:lang w:val="tr-TR" w:eastAsia="tr-TR"/>
              </w:rPr>
              <w:t xml:space="preserve"> ortadan kaldıracak </w:t>
            </w:r>
            <w:r w:rsidRPr="00A23740">
              <w:rPr>
                <w:rStyle w:val="MaviChar"/>
                <w:b/>
              </w:rPr>
              <w:t>şekilde</w:t>
            </w:r>
            <w:r w:rsidRPr="00A23740">
              <w:rPr>
                <w:b w:val="0"/>
                <w:bCs w:val="0"/>
                <w:color w:val="auto"/>
                <w:lang w:val="tr-TR" w:eastAsia="tr-TR"/>
              </w:rPr>
              <w:t xml:space="preserve"> eylemde bulunursa,</w:t>
            </w:r>
            <w:r w:rsidRPr="00A23740">
              <w:rPr>
                <w:lang w:val="tr-TR"/>
              </w:rPr>
              <w:t xml:space="preserve"> </w:t>
            </w:r>
            <w:r w:rsidRPr="00A23740">
              <w:t>ilam</w:t>
            </w:r>
            <w:r w:rsidRPr="00A23740">
              <w:rPr>
                <w:lang w:val="tr-TR"/>
              </w:rPr>
              <w:t xml:space="preserve"> hükmünün</w:t>
            </w:r>
            <w:r w:rsidRPr="00A23740">
              <w:rPr>
                <w:b w:val="0"/>
                <w:bCs w:val="0"/>
                <w:color w:val="auto"/>
                <w:lang w:val="tr-TR" w:eastAsia="tr-TR"/>
              </w:rPr>
              <w:t xml:space="preserve"> mahkemeden ayrıca hüküm almaya gerek kalma</w:t>
            </w:r>
            <w:r w:rsidRPr="00A23740">
              <w:t>ksızın</w:t>
            </w:r>
            <w:r w:rsidRPr="00A23740">
              <w:rPr>
                <w:b w:val="0"/>
                <w:bCs w:val="0"/>
                <w:color w:val="auto"/>
                <w:lang w:val="tr-TR" w:eastAsia="tr-TR"/>
              </w:rPr>
              <w:t xml:space="preserve"> tekrar zorla yerine getiril</w:t>
            </w:r>
            <w:r w:rsidRPr="00A23740">
              <w:rPr>
                <w:lang w:val="tr-TR"/>
              </w:rPr>
              <w:t xml:space="preserve">eceği ve borçlunun </w:t>
            </w:r>
            <w:r w:rsidR="00C42767" w:rsidRPr="008D10FA">
              <w:rPr>
                <w:rStyle w:val="KonuBalChar"/>
                <w:rFonts w:eastAsia="Calibri"/>
                <w:b/>
                <w:color w:val="0000FF"/>
              </w:rPr>
              <w:t>5</w:t>
            </w:r>
            <w:r w:rsidR="00C42767" w:rsidRPr="008D10FA">
              <w:rPr>
                <w:rStyle w:val="KonuBalChar"/>
                <w:rFonts w:eastAsia="Calibri"/>
                <w:b/>
                <w:color w:val="0000FF"/>
                <w:lang w:val="tr-TR"/>
              </w:rPr>
              <w:t>1</w:t>
            </w:r>
            <w:r w:rsidR="00C42767" w:rsidRPr="008D10FA">
              <w:rPr>
                <w:rStyle w:val="KonuBalChar"/>
                <w:rFonts w:eastAsia="Calibri"/>
                <w:b/>
                <w:color w:val="0000FF"/>
              </w:rPr>
              <w:t>3</w:t>
            </w:r>
            <w:r w:rsidR="00C42767" w:rsidRPr="00A23740">
              <w:rPr>
                <w:rStyle w:val="KonuBalChar"/>
                <w:rFonts w:eastAsia="Calibri"/>
                <w:b/>
              </w:rPr>
              <w:t xml:space="preserve"> </w:t>
            </w:r>
            <w:r w:rsidR="00C42767" w:rsidRPr="008D10FA">
              <w:rPr>
                <w:rStyle w:val="KonuBalChar"/>
                <w:rFonts w:eastAsia="Calibri"/>
                <w:b/>
                <w:color w:val="0000FF"/>
              </w:rPr>
              <w:t>üncü</w:t>
            </w:r>
            <w:r w:rsidR="00C42767" w:rsidRPr="00A23740">
              <w:rPr>
                <w:lang w:val="tr-TR"/>
              </w:rPr>
              <w:t xml:space="preserve"> </w:t>
            </w:r>
            <w:r w:rsidR="002824D6" w:rsidRPr="00A23740">
              <w:t xml:space="preserve"> maddenin birinci fıkrasına göre </w:t>
            </w:r>
            <w:r w:rsidR="002824D6" w:rsidRPr="00A23740">
              <w:rPr>
                <w:lang w:val="tr-TR"/>
              </w:rPr>
              <w:t xml:space="preserve">tazyik </w:t>
            </w:r>
            <w:r w:rsidR="001647D1" w:rsidRPr="008D10FA">
              <w:rPr>
                <w:rStyle w:val="MaviChar"/>
                <w:b/>
                <w:bCs/>
                <w:lang w:val="tr-TR"/>
              </w:rPr>
              <w:t>hapsiyle</w:t>
            </w:r>
            <w:r w:rsidR="001647D1" w:rsidRPr="00A23740">
              <w:rPr>
                <w:rStyle w:val="MaviChar"/>
                <w:b/>
                <w:bCs/>
                <w:lang w:val="tr-TR"/>
              </w:rPr>
              <w:t xml:space="preserve"> </w:t>
            </w:r>
            <w:r w:rsidR="002824D6" w:rsidRPr="00A23740">
              <w:rPr>
                <w:lang w:val="tr-TR"/>
              </w:rPr>
              <w:t>tekrar</w:t>
            </w:r>
            <w:r w:rsidRPr="00A23740">
              <w:rPr>
                <w:lang w:val="tr-TR"/>
              </w:rPr>
              <w:t xml:space="preserve"> cezalandırılacağı.</w:t>
            </w:r>
          </w:p>
          <w:p w:rsidR="00155AF4" w:rsidRPr="00A23740" w:rsidRDefault="00155AF4" w:rsidP="009431FF">
            <w:pPr>
              <w:pStyle w:val="MAV"/>
              <w:widowControl w:val="0"/>
              <w:rPr>
                <w:u w:val="none"/>
                <w:lang w:val="tr-TR"/>
              </w:rPr>
            </w:pPr>
          </w:p>
          <w:p w:rsidR="00155AF4" w:rsidRPr="00A23740" w:rsidRDefault="00155AF4" w:rsidP="009431FF">
            <w:pPr>
              <w:pStyle w:val="Mavi"/>
              <w:widowControl w:val="0"/>
            </w:pPr>
            <w:r w:rsidRPr="00A23740">
              <w:t xml:space="preserve">f) Borçlu belirlenen süre içinde ilamda belirtilen işi </w:t>
            </w:r>
            <w:r w:rsidR="008517F5" w:rsidRPr="00A23740">
              <w:t xml:space="preserve">kusurlu olarak </w:t>
            </w:r>
            <w:r w:rsidRPr="00A23740">
              <w:t xml:space="preserve">yapmazsa veya ilam hükmü yerine getirildikten sonra ilamın sonuçlarını ortadan kaldıracak şekilde eylemde bulunursa, alacaklının talebi üzerine borçlunun 78 </w:t>
            </w:r>
            <w:r w:rsidRPr="00A23740">
              <w:rPr>
                <w:lang w:val="tr-TR"/>
              </w:rPr>
              <w:t>inci</w:t>
            </w:r>
            <w:r w:rsidRPr="00A23740">
              <w:t xml:space="preserve"> maddeye göre icra tazminatı ödemeye mahk</w:t>
            </w:r>
            <w:r w:rsidR="008517F5" w:rsidRPr="00A23740">
              <w:t>û</w:t>
            </w:r>
            <w:r w:rsidRPr="00A23740">
              <w:t>m edileceği.</w:t>
            </w:r>
          </w:p>
          <w:p w:rsidR="00155AF4" w:rsidRPr="00A23740" w:rsidRDefault="00155AF4" w:rsidP="009431FF">
            <w:pPr>
              <w:pStyle w:val="MAV"/>
              <w:widowControl w:val="0"/>
              <w:rPr>
                <w:u w:val="none"/>
                <w:lang w:val="tr-TR"/>
              </w:rPr>
            </w:pPr>
          </w:p>
          <w:p w:rsidR="00155AF4" w:rsidRPr="00A23740" w:rsidRDefault="00155AF4" w:rsidP="009431FF">
            <w:pPr>
              <w:widowControl w:val="0"/>
              <w:rPr>
                <w:rFonts w:eastAsia="Times New Roman"/>
                <w:b/>
                <w:bCs/>
                <w:color w:val="0000FF"/>
                <w:szCs w:val="24"/>
                <w:lang w:eastAsia="tr-TR"/>
              </w:rPr>
            </w:pPr>
            <w:r w:rsidRPr="00A23740">
              <w:rPr>
                <w:rStyle w:val="MaviChar"/>
              </w:rPr>
              <w:t>(2)</w:t>
            </w:r>
            <w:r w:rsidRPr="00A23740">
              <w:rPr>
                <w:rFonts w:eastAsia="Times New Roman"/>
                <w:szCs w:val="24"/>
                <w:lang w:eastAsia="tr-TR"/>
              </w:rPr>
              <w:t xml:space="preserve"> İcra </w:t>
            </w:r>
            <w:r w:rsidRPr="00A23740">
              <w:rPr>
                <w:rStyle w:val="MaviChar"/>
              </w:rPr>
              <w:t>ve iflas dairesi, ilamda belirtilmemişse işin başlama ve bitirme zamanları ile işin yaptırılmasına ilişkin</w:t>
            </w:r>
            <w:r w:rsidRPr="00A23740">
              <w:rPr>
                <w:rStyle w:val="Stil5Char0"/>
              </w:rPr>
              <w:t xml:space="preserve"> </w:t>
            </w:r>
            <w:r w:rsidRPr="00A23740">
              <w:rPr>
                <w:rStyle w:val="MaviChar"/>
              </w:rPr>
              <w:t>giderleri gerektiğinde bilirkişiye başvurmak suretiyle belirler.</w:t>
            </w:r>
            <w:r w:rsidRPr="00A23740">
              <w:rPr>
                <w:rFonts w:eastAsia="Times New Roman"/>
                <w:b/>
                <w:bCs/>
                <w:color w:val="0000FF"/>
                <w:szCs w:val="24"/>
                <w:lang w:eastAsia="tr-TR"/>
              </w:rPr>
              <w:t xml:space="preserve">  </w:t>
            </w:r>
          </w:p>
          <w:p w:rsidR="00155AF4" w:rsidRPr="00A23740" w:rsidRDefault="00155AF4" w:rsidP="009431FF">
            <w:pPr>
              <w:widowControl w:val="0"/>
              <w:rPr>
                <w:rFonts w:eastAsia="Times New Roman"/>
                <w:b/>
                <w:bCs/>
                <w:color w:val="0000FF"/>
                <w:szCs w:val="24"/>
                <w:lang w:eastAsia="tr-TR"/>
              </w:rPr>
            </w:pPr>
          </w:p>
          <w:p w:rsidR="00155AF4" w:rsidRPr="00A23740" w:rsidRDefault="00155AF4" w:rsidP="009431FF">
            <w:pPr>
              <w:pStyle w:val="KIRMIZI"/>
              <w:widowControl w:val="0"/>
              <w:rPr>
                <w:strike w:val="0"/>
                <w:lang w:val="tr-TR" w:eastAsia="tr-TR"/>
              </w:rPr>
            </w:pPr>
          </w:p>
          <w:p w:rsidR="006846DE" w:rsidRPr="00A23740" w:rsidRDefault="006846DE" w:rsidP="009431FF">
            <w:pPr>
              <w:pStyle w:val="KIRMIZI"/>
              <w:widowControl w:val="0"/>
              <w:rPr>
                <w:strike w:val="0"/>
                <w:lang w:val="tr-TR" w:eastAsia="tr-TR"/>
              </w:rPr>
            </w:pPr>
          </w:p>
          <w:p w:rsidR="006846DE" w:rsidRPr="00A23740" w:rsidRDefault="006846DE" w:rsidP="009431FF">
            <w:pPr>
              <w:pStyle w:val="KIRMIZI"/>
              <w:widowControl w:val="0"/>
              <w:rPr>
                <w:strike w:val="0"/>
                <w:lang w:val="tr-TR" w:eastAsia="tr-TR"/>
              </w:rPr>
            </w:pPr>
          </w:p>
          <w:p w:rsidR="006846DE" w:rsidRPr="00A23740" w:rsidRDefault="006846DE" w:rsidP="009431FF">
            <w:pPr>
              <w:pStyle w:val="KIRMIZI"/>
              <w:widowControl w:val="0"/>
              <w:rPr>
                <w:strike w:val="0"/>
                <w:lang w:val="tr-TR" w:eastAsia="tr-TR"/>
              </w:rPr>
            </w:pPr>
          </w:p>
          <w:p w:rsidR="006846DE" w:rsidRPr="00A23740" w:rsidRDefault="006846DE" w:rsidP="009431FF">
            <w:pPr>
              <w:pStyle w:val="KIRMIZI"/>
              <w:widowControl w:val="0"/>
              <w:rPr>
                <w:strike w:val="0"/>
                <w:lang w:val="tr-TR" w:eastAsia="tr-TR"/>
              </w:rPr>
            </w:pPr>
          </w:p>
          <w:p w:rsidR="00155AF4" w:rsidRDefault="00155AF4" w:rsidP="009431FF">
            <w:pPr>
              <w:pStyle w:val="Mavi"/>
              <w:widowControl w:val="0"/>
              <w:rPr>
                <w:rFonts w:eastAsia="Times New Roman"/>
                <w:b w:val="0"/>
                <w:bCs w:val="0"/>
                <w:color w:val="auto"/>
                <w:lang w:val="tr-TR" w:eastAsia="tr-TR"/>
              </w:rPr>
            </w:pPr>
            <w:r w:rsidRPr="00A23740">
              <w:rPr>
                <w:lang w:val="tr-TR"/>
              </w:rPr>
              <w:t>(3)</w:t>
            </w:r>
            <w:r w:rsidRPr="00A23740">
              <w:rPr>
                <w:rFonts w:eastAsia="Times New Roman"/>
                <w:b w:val="0"/>
                <w:bCs w:val="0"/>
                <w:color w:val="auto"/>
                <w:lang w:val="tr-TR" w:eastAsia="tr-TR"/>
              </w:rPr>
              <w:t xml:space="preserve"> Bir işin yapılmasına </w:t>
            </w:r>
            <w:r w:rsidRPr="00A23740">
              <w:rPr>
                <w:lang w:val="tr-TR"/>
              </w:rPr>
              <w:t>ilişkin</w:t>
            </w:r>
            <w:r w:rsidRPr="00A23740">
              <w:rPr>
                <w:rFonts w:eastAsia="Times New Roman"/>
                <w:b w:val="0"/>
                <w:bCs w:val="0"/>
                <w:color w:val="auto"/>
                <w:lang w:val="tr-TR" w:eastAsia="tr-TR"/>
              </w:rPr>
              <w:t xml:space="preserve"> ilam hükmü yerine getirildikten sonra borçlu, ilam hükmün</w:t>
            </w:r>
            <w:r w:rsidRPr="00A23740">
              <w:rPr>
                <w:lang w:val="tr-TR" w:eastAsia="tr-TR"/>
              </w:rPr>
              <w:t xml:space="preserve">e </w:t>
            </w:r>
            <w:r w:rsidRPr="00A23740">
              <w:rPr>
                <w:lang w:val="tr-TR"/>
              </w:rPr>
              <w:t xml:space="preserve">aykırı veya </w:t>
            </w:r>
            <w:r w:rsidRPr="00A23740">
              <w:t>icra edilmiş</w:t>
            </w:r>
            <w:r w:rsidRPr="00A23740">
              <w:rPr>
                <w:lang w:val="tr-TR"/>
              </w:rPr>
              <w:t xml:space="preserve"> ilamın sonuçlarını </w:t>
            </w:r>
            <w:r w:rsidRPr="00A23740">
              <w:rPr>
                <w:rFonts w:eastAsia="Times New Roman"/>
                <w:b w:val="0"/>
                <w:bCs w:val="0"/>
                <w:color w:val="auto"/>
                <w:lang w:val="tr-TR" w:eastAsia="tr-TR"/>
              </w:rPr>
              <w:t xml:space="preserve">ortadan kaldıracak </w:t>
            </w:r>
            <w:r w:rsidRPr="00A23740">
              <w:rPr>
                <w:lang w:val="tr-TR"/>
              </w:rPr>
              <w:t>şekilde davranırsa</w:t>
            </w:r>
            <w:r w:rsidRPr="00A23740">
              <w:rPr>
                <w:rFonts w:eastAsia="Times New Roman"/>
                <w:b w:val="0"/>
                <w:bCs w:val="0"/>
                <w:color w:val="auto"/>
                <w:lang w:val="tr-TR" w:eastAsia="tr-TR"/>
              </w:rPr>
              <w:t>, mahkemeden ayrıca hüküm almaya gerek kalma</w:t>
            </w:r>
            <w:r w:rsidRPr="00A23740">
              <w:rPr>
                <w:lang w:val="tr-TR" w:eastAsia="tr-TR"/>
              </w:rPr>
              <w:t>ksızın</w:t>
            </w:r>
            <w:r w:rsidRPr="00A23740">
              <w:rPr>
                <w:rFonts w:eastAsia="Times New Roman"/>
                <w:b w:val="0"/>
                <w:bCs w:val="0"/>
                <w:color w:val="auto"/>
                <w:lang w:val="tr-TR" w:eastAsia="tr-TR"/>
              </w:rPr>
              <w:t>, önceki il</w:t>
            </w:r>
            <w:r w:rsidRPr="00A23740">
              <w:t>a</w:t>
            </w:r>
            <w:r w:rsidRPr="00A23740">
              <w:rPr>
                <w:rFonts w:eastAsia="Times New Roman"/>
                <w:b w:val="0"/>
                <w:bCs w:val="0"/>
                <w:color w:val="auto"/>
                <w:lang w:val="tr-TR" w:eastAsia="tr-TR"/>
              </w:rPr>
              <w:t>m hükmü tekrar zorla yerine getirilir.</w:t>
            </w:r>
          </w:p>
          <w:p w:rsidR="00C20C8B" w:rsidRPr="00A23740" w:rsidRDefault="00C20C8B" w:rsidP="009431FF">
            <w:pPr>
              <w:pStyle w:val="Mavi"/>
              <w:widowControl w:val="0"/>
              <w:rPr>
                <w:strike/>
                <w:lang w:val="tr-TR" w:eastAsia="tr-TR"/>
              </w:rPr>
            </w:pPr>
          </w:p>
        </w:tc>
      </w:tr>
      <w:tr w:rsidR="00155AF4" w:rsidRPr="00A23740" w:rsidTr="009431FF">
        <w:tc>
          <w:tcPr>
            <w:tcW w:w="5000" w:type="pct"/>
            <w:gridSpan w:val="2"/>
            <w:shd w:val="clear" w:color="auto" w:fill="DEEAF6"/>
          </w:tcPr>
          <w:p w:rsidR="0007419D" w:rsidRPr="00A23740" w:rsidRDefault="0007419D" w:rsidP="009431FF">
            <w:pPr>
              <w:pStyle w:val="Mavi"/>
              <w:ind w:firstLine="709"/>
              <w:rPr>
                <w:color w:val="auto"/>
                <w:lang w:val="tr-TR"/>
              </w:rPr>
            </w:pPr>
          </w:p>
          <w:p w:rsidR="000948B3" w:rsidRPr="00A23740" w:rsidRDefault="0007419D" w:rsidP="009431FF">
            <w:pPr>
              <w:pStyle w:val="Mavi"/>
              <w:ind w:firstLine="709"/>
              <w:rPr>
                <w:b w:val="0"/>
                <w:color w:val="auto"/>
                <w:lang w:val="tr-TR"/>
              </w:rPr>
            </w:pPr>
            <w:r w:rsidRPr="00A23740">
              <w:rPr>
                <w:color w:val="auto"/>
                <w:lang w:val="tr-TR"/>
              </w:rPr>
              <w:t xml:space="preserve">MADDE 76- </w:t>
            </w:r>
            <w:r w:rsidRPr="00A23740">
              <w:rPr>
                <w:b w:val="0"/>
                <w:color w:val="auto"/>
                <w:lang w:val="tr-TR"/>
              </w:rPr>
              <w:t>Madde</w:t>
            </w:r>
            <w:r w:rsidR="000948B3" w:rsidRPr="00A23740">
              <w:rPr>
                <w:b w:val="0"/>
                <w:color w:val="auto"/>
                <w:lang w:val="tr-TR"/>
              </w:rPr>
              <w:t>yle, bir işin yapılmasına ilişkin ilamların icrası düzenlenmektedir. Hüküm 2004 sayılı Kanunun 30 uncu maddesine karşılık gelmektedir.</w:t>
            </w:r>
            <w:r w:rsidR="006D0EB8" w:rsidRPr="00A23740">
              <w:rPr>
                <w:b w:val="0"/>
                <w:color w:val="auto"/>
                <w:lang w:val="tr-TR"/>
              </w:rPr>
              <w:t xml:space="preserve"> Bir işin yerine getirilmesine ilişkin ilamlar bakımından, 2004 sayılı Kanunun 30 uncu maddesinde öngörülen usul büyük ölçüde korunmakta; anlatım ve kavramlar gözden geçirilip metin yeniden kaleme alınmaktadır.</w:t>
            </w:r>
          </w:p>
          <w:p w:rsidR="00AA7843" w:rsidRPr="00A23740" w:rsidRDefault="000948B3" w:rsidP="009431FF">
            <w:pPr>
              <w:pStyle w:val="Mavi"/>
              <w:ind w:firstLine="709"/>
              <w:rPr>
                <w:b w:val="0"/>
                <w:color w:val="auto"/>
                <w:lang w:val="tr-TR"/>
              </w:rPr>
            </w:pPr>
            <w:r w:rsidRPr="00A23740">
              <w:rPr>
                <w:b w:val="0"/>
                <w:color w:val="auto"/>
                <w:lang w:val="tr-TR"/>
              </w:rPr>
              <w:t xml:space="preserve">Birinci fıkrayla, Bir işin yapılması hakkındaki ilamların yerine getirilmesine ilişkin icra emrinde yer alacak hususlar </w:t>
            </w:r>
            <w:r w:rsidR="00AA7843" w:rsidRPr="00A23740">
              <w:rPr>
                <w:b w:val="0"/>
                <w:color w:val="auto"/>
                <w:lang w:val="tr-TR"/>
              </w:rPr>
              <w:t>bentler h</w:t>
            </w:r>
            <w:r w:rsidR="002F2BAA" w:rsidRPr="00A23740">
              <w:rPr>
                <w:b w:val="0"/>
                <w:color w:val="auto"/>
                <w:lang w:val="tr-TR"/>
              </w:rPr>
              <w:t>â</w:t>
            </w:r>
            <w:r w:rsidR="00AA7843" w:rsidRPr="00A23740">
              <w:rPr>
                <w:b w:val="0"/>
                <w:color w:val="auto"/>
                <w:lang w:val="tr-TR"/>
              </w:rPr>
              <w:t xml:space="preserve">linde </w:t>
            </w:r>
            <w:r w:rsidRPr="00A23740">
              <w:rPr>
                <w:b w:val="0"/>
                <w:color w:val="auto"/>
                <w:lang w:val="tr-TR"/>
              </w:rPr>
              <w:t>belirlenmektedir.</w:t>
            </w:r>
          </w:p>
          <w:p w:rsidR="000948B3" w:rsidRPr="00A23740" w:rsidRDefault="000948B3" w:rsidP="009431FF">
            <w:pPr>
              <w:pStyle w:val="Mavi"/>
              <w:ind w:firstLine="709"/>
              <w:rPr>
                <w:b w:val="0"/>
                <w:color w:val="auto"/>
                <w:lang w:val="tr-TR"/>
              </w:rPr>
            </w:pPr>
            <w:r w:rsidRPr="00A23740">
              <w:rPr>
                <w:b w:val="0"/>
                <w:color w:val="auto"/>
                <w:lang w:val="tr-TR"/>
              </w:rPr>
              <w:t xml:space="preserve">(a) bendinde, işin ilamda belirlenen süre içinde yapılması gerektiği </w:t>
            </w:r>
            <w:r w:rsidR="00DB44FC" w:rsidRPr="00A23740">
              <w:rPr>
                <w:b w:val="0"/>
                <w:color w:val="auto"/>
                <w:lang w:val="tr-TR"/>
              </w:rPr>
              <w:t xml:space="preserve">ikazı </w:t>
            </w:r>
            <w:r w:rsidRPr="00A23740">
              <w:rPr>
                <w:b w:val="0"/>
                <w:color w:val="auto"/>
                <w:lang w:val="tr-TR"/>
              </w:rPr>
              <w:t>yer almaktadır.</w:t>
            </w:r>
          </w:p>
          <w:p w:rsidR="000948B3" w:rsidRPr="00A23740" w:rsidRDefault="000948B3" w:rsidP="009431FF">
            <w:pPr>
              <w:pStyle w:val="Mavi"/>
              <w:ind w:firstLine="709"/>
              <w:rPr>
                <w:b w:val="0"/>
                <w:color w:val="auto"/>
                <w:lang w:val="tr-TR"/>
              </w:rPr>
            </w:pPr>
            <w:r w:rsidRPr="00A23740">
              <w:rPr>
                <w:b w:val="0"/>
                <w:color w:val="auto"/>
                <w:lang w:val="tr-TR"/>
              </w:rPr>
              <w:t xml:space="preserve">(b) bendinde, ilamda süre belirlenmemişse ikinci fıkra uyarınca belirlenen süre içinde işin yapılması gerektiği </w:t>
            </w:r>
            <w:r w:rsidR="00DB44FC" w:rsidRPr="00A23740">
              <w:rPr>
                <w:b w:val="0"/>
                <w:color w:val="auto"/>
                <w:lang w:val="tr-TR"/>
              </w:rPr>
              <w:t xml:space="preserve">ikazı </w:t>
            </w:r>
            <w:r w:rsidRPr="00A23740">
              <w:rPr>
                <w:b w:val="0"/>
                <w:color w:val="auto"/>
                <w:lang w:val="tr-TR"/>
              </w:rPr>
              <w:t>yer almaktadır.</w:t>
            </w:r>
          </w:p>
          <w:p w:rsidR="000948B3" w:rsidRPr="00A23740" w:rsidRDefault="000948B3" w:rsidP="009431FF">
            <w:pPr>
              <w:pStyle w:val="Mavi"/>
              <w:ind w:firstLine="709"/>
              <w:rPr>
                <w:b w:val="0"/>
                <w:color w:val="auto"/>
                <w:lang w:val="tr-TR"/>
              </w:rPr>
            </w:pPr>
            <w:r w:rsidRPr="00A23740">
              <w:rPr>
                <w:b w:val="0"/>
                <w:color w:val="auto"/>
                <w:lang w:val="tr-TR"/>
              </w:rPr>
              <w:t>(c) Borçlu belirlenen süre içinde işi yapmazsa, işin başkası tarafından yapılabilecek nitelikte olması ve alacaklının talep etmesi h</w:t>
            </w:r>
            <w:r w:rsidR="002F2BAA" w:rsidRPr="00A23740">
              <w:rPr>
                <w:b w:val="0"/>
                <w:color w:val="auto"/>
                <w:lang w:val="tr-TR"/>
              </w:rPr>
              <w:t>â</w:t>
            </w:r>
            <w:r w:rsidRPr="00A23740">
              <w:rPr>
                <w:b w:val="0"/>
                <w:color w:val="auto"/>
                <w:lang w:val="tr-TR"/>
              </w:rPr>
              <w:t>linde, işin yapılması için gerekli giderlerin hükme gerek kalmadan borçludan alınarak kendisine verilmek üzere alacaklı tarafından karşılanacağı ve hükmedilen işin üçüncü kişiye yaptırılacağına dair ihtar yer almaktadır.</w:t>
            </w:r>
          </w:p>
          <w:p w:rsidR="000948B3" w:rsidRPr="00A23740" w:rsidRDefault="000948B3" w:rsidP="009431FF">
            <w:pPr>
              <w:pStyle w:val="Mavi"/>
              <w:ind w:firstLine="709"/>
              <w:rPr>
                <w:b w:val="0"/>
                <w:color w:val="auto"/>
                <w:lang w:val="tr-TR"/>
              </w:rPr>
            </w:pPr>
            <w:r w:rsidRPr="00A23740">
              <w:rPr>
                <w:b w:val="0"/>
                <w:color w:val="auto"/>
                <w:lang w:val="tr-TR"/>
              </w:rPr>
              <w:t>(ç) bendinde alacaklı giderleri karşılamazsa, ayrıca hükme gerek kalmadan işin yaptırılması için borçlunun yeteri kadar malının haczedilerek paraya çevrileceği ve bu şekilde işin yaptırılacağı husus</w:t>
            </w:r>
            <w:r w:rsidR="00DB44FC" w:rsidRPr="00A23740">
              <w:rPr>
                <w:b w:val="0"/>
                <w:color w:val="auto"/>
                <w:lang w:val="tr-TR"/>
              </w:rPr>
              <w:t>u</w:t>
            </w:r>
            <w:r w:rsidRPr="00A23740">
              <w:rPr>
                <w:b w:val="0"/>
                <w:color w:val="auto"/>
                <w:lang w:val="tr-TR"/>
              </w:rPr>
              <w:t xml:space="preserve"> yer almaktadır.</w:t>
            </w:r>
          </w:p>
          <w:p w:rsidR="00AA7843" w:rsidRPr="00A23740" w:rsidRDefault="000948B3" w:rsidP="009431FF">
            <w:pPr>
              <w:pStyle w:val="Mavi"/>
              <w:ind w:firstLine="709"/>
              <w:rPr>
                <w:b w:val="0"/>
                <w:color w:val="auto"/>
                <w:lang w:val="tr-TR"/>
              </w:rPr>
            </w:pPr>
            <w:r w:rsidRPr="00A23740">
              <w:rPr>
                <w:b w:val="0"/>
                <w:color w:val="auto"/>
                <w:lang w:val="tr-TR"/>
              </w:rPr>
              <w:t xml:space="preserve">(d) </w:t>
            </w:r>
            <w:r w:rsidR="00AA7843" w:rsidRPr="00A23740">
              <w:rPr>
                <w:b w:val="0"/>
                <w:color w:val="auto"/>
                <w:lang w:val="tr-TR"/>
              </w:rPr>
              <w:t>bendinde, bir yenilik olarak</w:t>
            </w:r>
            <w:r w:rsidR="00DB44FC" w:rsidRPr="00A23740">
              <w:rPr>
                <w:b w:val="0"/>
                <w:color w:val="auto"/>
                <w:lang w:val="tr-TR"/>
              </w:rPr>
              <w:t>.</w:t>
            </w:r>
            <w:r w:rsidR="00AA7843" w:rsidRPr="00A23740">
              <w:rPr>
                <w:b w:val="0"/>
                <w:color w:val="auto"/>
                <w:lang w:val="tr-TR"/>
              </w:rPr>
              <w:t xml:space="preserve"> y</w:t>
            </w:r>
            <w:r w:rsidRPr="00A23740">
              <w:rPr>
                <w:b w:val="0"/>
                <w:color w:val="auto"/>
                <w:lang w:val="tr-TR"/>
              </w:rPr>
              <w:t xml:space="preserve">alnız borçlu tarafından yapılabilecek olan bir işin yapılması hakkındaki ilam hükmünün gereğini yerine getirmeyen borçlunun </w:t>
            </w:r>
            <w:r w:rsidR="002824D6" w:rsidRPr="00A23740">
              <w:rPr>
                <w:b w:val="0"/>
                <w:color w:val="auto"/>
                <w:lang w:val="tr-TR"/>
              </w:rPr>
              <w:t xml:space="preserve">Taslağın </w:t>
            </w:r>
            <w:r w:rsidR="00BC4F83" w:rsidRPr="008D10FA">
              <w:rPr>
                <w:rStyle w:val="KonuBalChar"/>
                <w:rFonts w:eastAsia="Calibri"/>
                <w:color w:val="auto"/>
              </w:rPr>
              <w:t>5</w:t>
            </w:r>
            <w:r w:rsidR="00BC4F83" w:rsidRPr="008D10FA">
              <w:rPr>
                <w:rStyle w:val="KonuBalChar"/>
                <w:rFonts w:eastAsia="Calibri"/>
                <w:color w:val="auto"/>
                <w:lang w:val="tr-TR"/>
              </w:rPr>
              <w:t>1</w:t>
            </w:r>
            <w:r w:rsidR="00BC4F83" w:rsidRPr="008D10FA">
              <w:rPr>
                <w:rStyle w:val="KonuBalChar"/>
                <w:rFonts w:eastAsia="Calibri"/>
                <w:color w:val="auto"/>
              </w:rPr>
              <w:t>3</w:t>
            </w:r>
            <w:r w:rsidR="00BC4F83" w:rsidRPr="00A23740">
              <w:rPr>
                <w:rStyle w:val="KonuBalChar"/>
                <w:rFonts w:eastAsia="Calibri"/>
                <w:b/>
              </w:rPr>
              <w:t xml:space="preserve"> </w:t>
            </w:r>
            <w:r w:rsidR="00BC4F83" w:rsidRPr="008D10FA">
              <w:rPr>
                <w:rStyle w:val="KonuBalChar"/>
                <w:rFonts w:eastAsia="Calibri"/>
                <w:color w:val="auto"/>
              </w:rPr>
              <w:t>üncü</w:t>
            </w:r>
            <w:r w:rsidR="00BC4F83" w:rsidRPr="00A23740">
              <w:rPr>
                <w:lang w:val="tr-TR"/>
              </w:rPr>
              <w:t xml:space="preserve"> </w:t>
            </w:r>
            <w:r w:rsidR="002824D6" w:rsidRPr="00A23740">
              <w:rPr>
                <w:b w:val="0"/>
                <w:color w:val="auto"/>
                <w:lang w:val="tr-TR"/>
              </w:rPr>
              <w:t xml:space="preserve">maddesinin birinci fıkrasına göre tazyik </w:t>
            </w:r>
            <w:r w:rsidR="001647D1" w:rsidRPr="008D10FA">
              <w:rPr>
                <w:rStyle w:val="MaviChar"/>
                <w:bCs/>
                <w:color w:val="auto"/>
                <w:lang w:val="tr-TR"/>
              </w:rPr>
              <w:t>hapsiyle</w:t>
            </w:r>
            <w:r w:rsidR="002824D6" w:rsidRPr="00A23740">
              <w:rPr>
                <w:b w:val="0"/>
                <w:color w:val="auto"/>
                <w:lang w:val="tr-TR"/>
              </w:rPr>
              <w:t xml:space="preserve"> </w:t>
            </w:r>
            <w:r w:rsidR="00AA7843" w:rsidRPr="00A23740">
              <w:rPr>
                <w:b w:val="0"/>
                <w:color w:val="auto"/>
                <w:lang w:val="tr-TR"/>
              </w:rPr>
              <w:t>cezalandırılacağı ihtarı yer almaktadır.</w:t>
            </w:r>
          </w:p>
          <w:p w:rsidR="000948B3" w:rsidRPr="00A23740" w:rsidRDefault="00AA7843" w:rsidP="009431FF">
            <w:pPr>
              <w:pStyle w:val="Mavi"/>
              <w:ind w:firstLine="709"/>
              <w:rPr>
                <w:b w:val="0"/>
                <w:color w:val="auto"/>
                <w:lang w:val="tr-TR"/>
              </w:rPr>
            </w:pPr>
            <w:r w:rsidRPr="00A23740">
              <w:rPr>
                <w:b w:val="0"/>
                <w:color w:val="auto"/>
                <w:lang w:val="tr-TR"/>
              </w:rPr>
              <w:t>(</w:t>
            </w:r>
            <w:r w:rsidR="000948B3" w:rsidRPr="00A23740">
              <w:rPr>
                <w:b w:val="0"/>
                <w:color w:val="auto"/>
                <w:lang w:val="tr-TR"/>
              </w:rPr>
              <w:t xml:space="preserve">e) </w:t>
            </w:r>
            <w:r w:rsidRPr="00A23740">
              <w:rPr>
                <w:b w:val="0"/>
                <w:color w:val="auto"/>
                <w:lang w:val="tr-TR"/>
              </w:rPr>
              <w:t>bendinde, b</w:t>
            </w:r>
            <w:r w:rsidR="000948B3" w:rsidRPr="00A23740">
              <w:rPr>
                <w:b w:val="0"/>
                <w:color w:val="auto"/>
                <w:lang w:val="tr-TR"/>
              </w:rPr>
              <w:t xml:space="preserve">ir işin yapılmasına ilişkin ilam hükmü yerine getirildikten sonra borçlu ilamın sonuçlarını ortadan kaldıracak </w:t>
            </w:r>
            <w:r w:rsidR="000948B3" w:rsidRPr="00A23740">
              <w:rPr>
                <w:b w:val="0"/>
                <w:bCs w:val="0"/>
                <w:color w:val="auto"/>
                <w:lang w:val="tr-TR"/>
              </w:rPr>
              <w:t>şekilde</w:t>
            </w:r>
            <w:r w:rsidR="000948B3" w:rsidRPr="00A23740">
              <w:rPr>
                <w:b w:val="0"/>
                <w:color w:val="auto"/>
                <w:lang w:val="tr-TR"/>
              </w:rPr>
              <w:t xml:space="preserve"> eylemde bulunursa, ilam hükmünün mahkemeden ayrıca hüküm almaya gerek kalmaksızın tekrar zorla yerine getirileceği ve borçlunun </w:t>
            </w:r>
            <w:r w:rsidR="00163E5A" w:rsidRPr="00A23740">
              <w:rPr>
                <w:b w:val="0"/>
                <w:color w:val="auto"/>
                <w:lang w:val="tr-TR"/>
              </w:rPr>
              <w:t>Taslağın</w:t>
            </w:r>
            <w:r w:rsidR="000948B3" w:rsidRPr="00A23740">
              <w:rPr>
                <w:b w:val="0"/>
                <w:color w:val="auto"/>
                <w:lang w:val="tr-TR"/>
              </w:rPr>
              <w:t xml:space="preserve"> </w:t>
            </w:r>
            <w:r w:rsidR="00BC4F83" w:rsidRPr="008D10FA">
              <w:rPr>
                <w:rStyle w:val="KonuBalChar"/>
                <w:rFonts w:eastAsia="Calibri"/>
                <w:color w:val="auto"/>
              </w:rPr>
              <w:t>5</w:t>
            </w:r>
            <w:r w:rsidR="00BC4F83" w:rsidRPr="008D10FA">
              <w:rPr>
                <w:rStyle w:val="KonuBalChar"/>
                <w:rFonts w:eastAsia="Calibri"/>
                <w:color w:val="auto"/>
                <w:lang w:val="tr-TR"/>
              </w:rPr>
              <w:t>1</w:t>
            </w:r>
            <w:r w:rsidR="00BC4F83" w:rsidRPr="008D10FA">
              <w:rPr>
                <w:rStyle w:val="KonuBalChar"/>
                <w:rFonts w:eastAsia="Calibri"/>
                <w:color w:val="auto"/>
              </w:rPr>
              <w:t>3</w:t>
            </w:r>
            <w:r w:rsidR="00BC4F83" w:rsidRPr="00A23740">
              <w:rPr>
                <w:rStyle w:val="KonuBalChar"/>
                <w:rFonts w:eastAsia="Calibri"/>
                <w:b/>
              </w:rPr>
              <w:t xml:space="preserve"> </w:t>
            </w:r>
            <w:r w:rsidR="00BC4F83" w:rsidRPr="008D10FA">
              <w:rPr>
                <w:rStyle w:val="KonuBalChar"/>
                <w:rFonts w:eastAsia="Calibri"/>
                <w:color w:val="auto"/>
              </w:rPr>
              <w:t>üncü</w:t>
            </w:r>
            <w:r w:rsidR="00BC4F83" w:rsidRPr="00A23740">
              <w:rPr>
                <w:lang w:val="tr-TR"/>
              </w:rPr>
              <w:t xml:space="preserve"> </w:t>
            </w:r>
            <w:r w:rsidR="002824D6" w:rsidRPr="00A23740">
              <w:rPr>
                <w:b w:val="0"/>
                <w:color w:val="auto"/>
                <w:lang w:val="tr-TR"/>
              </w:rPr>
              <w:t xml:space="preserve">maddesinin birinci fıkrasına göre tazyik </w:t>
            </w:r>
            <w:r w:rsidR="001647D1" w:rsidRPr="008D10FA">
              <w:rPr>
                <w:rStyle w:val="MaviChar"/>
                <w:bCs/>
                <w:color w:val="auto"/>
                <w:lang w:val="tr-TR"/>
              </w:rPr>
              <w:t>hapsiyle</w:t>
            </w:r>
            <w:r w:rsidR="001647D1" w:rsidRPr="00A23740">
              <w:rPr>
                <w:rStyle w:val="MaviChar"/>
                <w:b/>
                <w:bCs/>
                <w:lang w:val="tr-TR"/>
              </w:rPr>
              <w:t xml:space="preserve"> </w:t>
            </w:r>
            <w:r w:rsidRPr="00A23740">
              <w:rPr>
                <w:b w:val="0"/>
                <w:color w:val="auto"/>
                <w:lang w:val="tr-TR"/>
              </w:rPr>
              <w:t>ayrıca cezalandırılacağı ihtarı yer almaktadır.</w:t>
            </w:r>
          </w:p>
          <w:p w:rsidR="00AA7843" w:rsidRPr="00A23740" w:rsidRDefault="00AA7843" w:rsidP="009431FF">
            <w:pPr>
              <w:pStyle w:val="Mavi"/>
              <w:ind w:firstLine="709"/>
              <w:rPr>
                <w:b w:val="0"/>
                <w:color w:val="auto"/>
                <w:lang w:val="tr-TR"/>
              </w:rPr>
            </w:pPr>
            <w:r w:rsidRPr="00A23740">
              <w:rPr>
                <w:b w:val="0"/>
                <w:color w:val="auto"/>
                <w:lang w:val="tr-TR"/>
              </w:rPr>
              <w:t>(</w:t>
            </w:r>
            <w:r w:rsidR="000948B3" w:rsidRPr="00A23740">
              <w:rPr>
                <w:b w:val="0"/>
                <w:color w:val="auto"/>
                <w:lang w:val="tr-TR"/>
              </w:rPr>
              <w:t>f)</w:t>
            </w:r>
            <w:r w:rsidRPr="00A23740">
              <w:rPr>
                <w:b w:val="0"/>
                <w:color w:val="auto"/>
                <w:lang w:val="tr-TR"/>
              </w:rPr>
              <w:t xml:space="preserve"> bendinde, bir yenilik olarak</w:t>
            </w:r>
            <w:r w:rsidR="00DB44FC" w:rsidRPr="00A23740">
              <w:rPr>
                <w:b w:val="0"/>
                <w:color w:val="auto"/>
                <w:lang w:val="tr-TR"/>
              </w:rPr>
              <w:t>,</w:t>
            </w:r>
            <w:r w:rsidRPr="00A23740">
              <w:rPr>
                <w:b w:val="0"/>
                <w:color w:val="auto"/>
                <w:lang w:val="tr-TR"/>
              </w:rPr>
              <w:t xml:space="preserve"> b</w:t>
            </w:r>
            <w:r w:rsidR="000948B3" w:rsidRPr="00A23740">
              <w:rPr>
                <w:b w:val="0"/>
                <w:color w:val="auto"/>
                <w:lang w:val="tr-TR"/>
              </w:rPr>
              <w:t>orçlu</w:t>
            </w:r>
            <w:r w:rsidR="00DB44FC" w:rsidRPr="00A23740">
              <w:rPr>
                <w:b w:val="0"/>
                <w:color w:val="auto"/>
                <w:lang w:val="tr-TR"/>
              </w:rPr>
              <w:t xml:space="preserve">nun, </w:t>
            </w:r>
            <w:r w:rsidR="000948B3" w:rsidRPr="00A23740">
              <w:rPr>
                <w:b w:val="0"/>
                <w:color w:val="auto"/>
                <w:lang w:val="tr-TR"/>
              </w:rPr>
              <w:t xml:space="preserve">belirlenen süre içinde kusurlu olarak ilamda belirtilen işi yapmazsa veya ilam hükmü yerine getirildikten sonra ilamın sonuçlarını ortadan kaldıracak şekilde eylemde bulunursa, alacaklının talebi üzerine, </w:t>
            </w:r>
            <w:r w:rsidR="00163E5A" w:rsidRPr="00A23740">
              <w:rPr>
                <w:b w:val="0"/>
                <w:color w:val="auto"/>
                <w:lang w:val="tr-TR"/>
              </w:rPr>
              <w:t>Taslağın</w:t>
            </w:r>
            <w:r w:rsidRPr="00A23740">
              <w:rPr>
                <w:b w:val="0"/>
                <w:color w:val="auto"/>
                <w:lang w:val="tr-TR"/>
              </w:rPr>
              <w:t xml:space="preserve"> </w:t>
            </w:r>
            <w:r w:rsidR="000948B3" w:rsidRPr="00A23740">
              <w:rPr>
                <w:b w:val="0"/>
                <w:color w:val="auto"/>
                <w:lang w:val="tr-TR"/>
              </w:rPr>
              <w:t>78 inci madde</w:t>
            </w:r>
            <w:r w:rsidRPr="00A23740">
              <w:rPr>
                <w:b w:val="0"/>
                <w:color w:val="auto"/>
                <w:lang w:val="tr-TR"/>
              </w:rPr>
              <w:t>sin</w:t>
            </w:r>
            <w:r w:rsidR="000948B3" w:rsidRPr="00A23740">
              <w:rPr>
                <w:b w:val="0"/>
                <w:color w:val="auto"/>
                <w:lang w:val="tr-TR"/>
              </w:rPr>
              <w:t>e göre icra taz</w:t>
            </w:r>
            <w:r w:rsidRPr="00A23740">
              <w:rPr>
                <w:b w:val="0"/>
                <w:color w:val="auto"/>
                <w:lang w:val="tr-TR"/>
              </w:rPr>
              <w:t>minatı ödemeye mahk</w:t>
            </w:r>
            <w:r w:rsidR="00506C64" w:rsidRPr="00A23740">
              <w:rPr>
                <w:b w:val="0"/>
                <w:color w:val="auto"/>
                <w:lang w:val="tr-TR"/>
              </w:rPr>
              <w:t>û</w:t>
            </w:r>
            <w:r w:rsidRPr="00A23740">
              <w:rPr>
                <w:b w:val="0"/>
                <w:color w:val="auto"/>
                <w:lang w:val="tr-TR"/>
              </w:rPr>
              <w:t>m edileceği ihtarı yer almaktadır.</w:t>
            </w:r>
          </w:p>
          <w:p w:rsidR="00AA7843" w:rsidRPr="00A23740" w:rsidRDefault="00AA7843" w:rsidP="009431FF">
            <w:pPr>
              <w:pStyle w:val="Mavi"/>
              <w:ind w:firstLine="709"/>
              <w:rPr>
                <w:b w:val="0"/>
                <w:bCs w:val="0"/>
                <w:color w:val="auto"/>
                <w:lang w:val="tr-TR"/>
              </w:rPr>
            </w:pPr>
            <w:r w:rsidRPr="00A23740">
              <w:rPr>
                <w:b w:val="0"/>
                <w:bCs w:val="0"/>
                <w:color w:val="auto"/>
              </w:rPr>
              <w:lastRenderedPageBreak/>
              <w:t>İkinci fıkrayla, i</w:t>
            </w:r>
            <w:r w:rsidRPr="00A23740">
              <w:rPr>
                <w:b w:val="0"/>
                <w:color w:val="auto"/>
                <w:lang w:val="tr-TR"/>
              </w:rPr>
              <w:t xml:space="preserve">cra </w:t>
            </w:r>
            <w:r w:rsidRPr="00A23740">
              <w:rPr>
                <w:b w:val="0"/>
                <w:bCs w:val="0"/>
                <w:color w:val="auto"/>
                <w:lang w:val="tr-TR"/>
              </w:rPr>
              <w:t>ve iflas dairesi</w:t>
            </w:r>
            <w:r w:rsidRPr="00A23740">
              <w:rPr>
                <w:b w:val="0"/>
                <w:bCs w:val="0"/>
                <w:color w:val="auto"/>
              </w:rPr>
              <w:t>nin</w:t>
            </w:r>
            <w:r w:rsidRPr="00A23740">
              <w:rPr>
                <w:b w:val="0"/>
                <w:bCs w:val="0"/>
                <w:color w:val="auto"/>
                <w:lang w:val="tr-TR"/>
              </w:rPr>
              <w:t>, ilamda belirtilmemişse işin başlama ve bitirme zamanları ile işin yaptırılmasına ilişkin</w:t>
            </w:r>
            <w:r w:rsidRPr="00A23740">
              <w:rPr>
                <w:b w:val="0"/>
                <w:color w:val="auto"/>
                <w:lang w:val="tr-TR"/>
              </w:rPr>
              <w:t xml:space="preserve"> </w:t>
            </w:r>
            <w:r w:rsidRPr="00A23740">
              <w:rPr>
                <w:b w:val="0"/>
                <w:bCs w:val="0"/>
                <w:color w:val="auto"/>
                <w:lang w:val="tr-TR"/>
              </w:rPr>
              <w:t>giderleri</w:t>
            </w:r>
            <w:r w:rsidRPr="00A23740">
              <w:rPr>
                <w:b w:val="0"/>
                <w:bCs w:val="0"/>
                <w:color w:val="auto"/>
              </w:rPr>
              <w:t>n</w:t>
            </w:r>
            <w:r w:rsidRPr="00A23740">
              <w:rPr>
                <w:b w:val="0"/>
                <w:bCs w:val="0"/>
                <w:color w:val="auto"/>
                <w:lang w:val="tr-TR"/>
              </w:rPr>
              <w:t xml:space="preserve"> gerektiğinde bilirkişiye başvurmak suretiyle belirle</w:t>
            </w:r>
            <w:r w:rsidR="00DB44FC" w:rsidRPr="00A23740">
              <w:rPr>
                <w:b w:val="0"/>
                <w:bCs w:val="0"/>
                <w:color w:val="auto"/>
                <w:lang w:val="tr-TR"/>
              </w:rPr>
              <w:t>y</w:t>
            </w:r>
            <w:r w:rsidRPr="00A23740">
              <w:rPr>
                <w:b w:val="0"/>
                <w:bCs w:val="0"/>
                <w:color w:val="auto"/>
                <w:lang w:val="tr-TR"/>
              </w:rPr>
              <w:t xml:space="preserve">eceği </w:t>
            </w:r>
            <w:r w:rsidR="00DB44FC" w:rsidRPr="00A23740">
              <w:rPr>
                <w:b w:val="0"/>
                <w:bCs w:val="0"/>
                <w:color w:val="auto"/>
                <w:lang w:val="tr-TR"/>
              </w:rPr>
              <w:t xml:space="preserve">hususu </w:t>
            </w:r>
            <w:r w:rsidRPr="00A23740">
              <w:rPr>
                <w:b w:val="0"/>
                <w:bCs w:val="0"/>
                <w:color w:val="auto"/>
                <w:lang w:val="tr-TR"/>
              </w:rPr>
              <w:t>düzenlenmektedir.</w:t>
            </w:r>
            <w:r w:rsidRPr="00A23740">
              <w:rPr>
                <w:b w:val="0"/>
                <w:bCs w:val="0"/>
                <w:color w:val="auto"/>
              </w:rPr>
              <w:t xml:space="preserve"> </w:t>
            </w:r>
            <w:r w:rsidRPr="00A23740">
              <w:rPr>
                <w:b w:val="0"/>
                <w:color w:val="auto"/>
                <w:lang w:val="tr-TR"/>
              </w:rPr>
              <w:t>Eski metinde yer alan “icra memuru tarafından ehlivukufa takdir ettirilir” ifadesi yerine, “gerektiğinde bilirkişiye başvurmak suretiyle belirler” ifadesi kullanılarak, bilirkişiye başvurmanın zorunlu olmadığı belirtilmektedir.</w:t>
            </w:r>
          </w:p>
          <w:p w:rsidR="0007419D" w:rsidRPr="00A23740" w:rsidRDefault="00AA7843" w:rsidP="009431FF">
            <w:pPr>
              <w:pStyle w:val="Mavi"/>
              <w:ind w:firstLine="709"/>
              <w:rPr>
                <w:color w:val="auto"/>
                <w:lang w:val="tr-TR"/>
              </w:rPr>
            </w:pPr>
            <w:r w:rsidRPr="00A23740">
              <w:rPr>
                <w:b w:val="0"/>
                <w:color w:val="auto"/>
                <w:lang w:val="tr-TR"/>
              </w:rPr>
              <w:t>Üçüncü fıkrayla, bir işin yapılmasına ilişkin ilam hükmü yerine getirildikten sonra borçlu, ilam hükmüne aykırı veya icra edilmiş ilamın sonuçlarını ortadan kaldıracak şekilde davranırsa, mahkemeden ayrıca hüküm almaya gerek kalmaksızın, önceki ilam hükmü</w:t>
            </w:r>
            <w:r w:rsidR="00DB44FC" w:rsidRPr="00A23740">
              <w:rPr>
                <w:b w:val="0"/>
                <w:color w:val="auto"/>
                <w:lang w:val="tr-TR"/>
              </w:rPr>
              <w:t>nün</w:t>
            </w:r>
            <w:r w:rsidRPr="00A23740">
              <w:rPr>
                <w:b w:val="0"/>
                <w:color w:val="auto"/>
                <w:lang w:val="tr-TR"/>
              </w:rPr>
              <w:t xml:space="preserve"> tekrar zorla yerine getirileceği hükme bağlanmaktadır.</w:t>
            </w:r>
          </w:p>
          <w:p w:rsidR="0007419D" w:rsidRPr="00A23740" w:rsidRDefault="0007419D"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Borders>
              <w:bottom w:val="single" w:sz="2" w:space="0" w:color="auto"/>
            </w:tcBorders>
          </w:tcPr>
          <w:p w:rsidR="00155AF4" w:rsidRPr="00A23740" w:rsidRDefault="00155AF4" w:rsidP="009431FF">
            <w:pPr>
              <w:tabs>
                <w:tab w:val="left" w:pos="567"/>
              </w:tabs>
              <w:rPr>
                <w:rFonts w:eastAsia="Times New Roman"/>
                <w:b/>
                <w:bCs/>
                <w:szCs w:val="24"/>
                <w:lang w:eastAsia="tr-TR"/>
              </w:rPr>
            </w:pPr>
            <w:r w:rsidRPr="00A23740">
              <w:rPr>
                <w:rFonts w:eastAsia="Times New Roman"/>
                <w:b/>
                <w:bCs/>
                <w:szCs w:val="24"/>
                <w:lang w:eastAsia="tr-TR"/>
              </w:rPr>
              <w:lastRenderedPageBreak/>
              <w:t xml:space="preserve">Bir işin </w:t>
            </w:r>
            <w:r w:rsidRPr="00A23740">
              <w:rPr>
                <w:rFonts w:eastAsia="Times New Roman"/>
                <w:b/>
                <w:bCs/>
                <w:strike/>
                <w:color w:val="FF0000"/>
                <w:szCs w:val="24"/>
                <w:lang w:eastAsia="tr-TR"/>
              </w:rPr>
              <w:t>yapılmasına</w:t>
            </w:r>
            <w:r w:rsidRPr="00A23740">
              <w:rPr>
                <w:rFonts w:eastAsia="Times New Roman"/>
                <w:b/>
                <w:bCs/>
                <w:szCs w:val="24"/>
                <w:lang w:eastAsia="tr-TR"/>
              </w:rPr>
              <w:t xml:space="preserve"> </w:t>
            </w:r>
            <w:r w:rsidRPr="00A23740">
              <w:rPr>
                <w:rFonts w:eastAsia="Times New Roman"/>
                <w:b/>
                <w:bCs/>
                <w:strike/>
                <w:color w:val="FF0000"/>
                <w:szCs w:val="24"/>
                <w:lang w:eastAsia="tr-TR"/>
              </w:rPr>
              <w:t>veya</w:t>
            </w:r>
            <w:r w:rsidRPr="00A23740">
              <w:rPr>
                <w:rFonts w:eastAsia="Times New Roman"/>
                <w:b/>
                <w:bCs/>
                <w:color w:val="FF0000"/>
                <w:szCs w:val="24"/>
                <w:lang w:eastAsia="tr-TR"/>
              </w:rPr>
              <w:t xml:space="preserve"> </w:t>
            </w:r>
            <w:r w:rsidRPr="00A23740">
              <w:rPr>
                <w:rFonts w:eastAsia="Times New Roman"/>
                <w:b/>
                <w:bCs/>
                <w:szCs w:val="24"/>
                <w:lang w:eastAsia="tr-TR"/>
              </w:rPr>
              <w:t xml:space="preserve">yapılmamasına </w:t>
            </w:r>
            <w:r w:rsidRPr="00A23740">
              <w:rPr>
                <w:rStyle w:val="KIRMIZIChar"/>
                <w:rFonts w:eastAsia="Calibri"/>
              </w:rPr>
              <w:t>dair olan</w:t>
            </w:r>
            <w:r w:rsidRPr="00A23740">
              <w:rPr>
                <w:rStyle w:val="KIRMIZIChar"/>
                <w:rFonts w:eastAsia="Calibri"/>
                <w:strike w:val="0"/>
              </w:rPr>
              <w:t xml:space="preserve"> </w:t>
            </w:r>
            <w:r w:rsidRPr="00A23740">
              <w:rPr>
                <w:rFonts w:eastAsia="Times New Roman"/>
                <w:b/>
                <w:bCs/>
                <w:szCs w:val="24"/>
                <w:lang w:eastAsia="tr-TR"/>
              </w:rPr>
              <w:t>ilâmlar</w:t>
            </w:r>
            <w:r w:rsidRPr="00A23740">
              <w:rPr>
                <w:rFonts w:eastAsia="Times New Roman"/>
                <w:b/>
                <w:bCs/>
                <w:strike/>
                <w:color w:val="FF0000"/>
                <w:szCs w:val="24"/>
                <w:lang w:eastAsia="tr-TR"/>
              </w:rPr>
              <w:t xml:space="preserve"> :</w:t>
            </w:r>
          </w:p>
          <w:p w:rsidR="00155AF4" w:rsidRPr="00A23740" w:rsidRDefault="00155AF4" w:rsidP="009431FF">
            <w:pPr>
              <w:tabs>
                <w:tab w:val="left" w:pos="567"/>
              </w:tabs>
              <w:rPr>
                <w:rFonts w:eastAsia="Times New Roman"/>
                <w:b/>
                <w:bCs/>
                <w:strike/>
                <w:color w:val="FF0000"/>
                <w:szCs w:val="24"/>
                <w:lang w:eastAsia="tr-TR"/>
              </w:rPr>
            </w:pPr>
            <w:r w:rsidRPr="00A23740">
              <w:rPr>
                <w:rStyle w:val="KIRMIZIChar"/>
                <w:rFonts w:eastAsia="Calibri"/>
              </w:rPr>
              <w:t>Madde 30 – (3)</w:t>
            </w:r>
            <w:r w:rsidRPr="00A23740">
              <w:rPr>
                <w:rFonts w:eastAsia="Times New Roman"/>
                <w:b/>
                <w:bCs/>
                <w:szCs w:val="24"/>
                <w:lang w:eastAsia="tr-TR"/>
              </w:rPr>
              <w:t xml:space="preserve"> </w:t>
            </w:r>
            <w:r w:rsidRPr="00A23740">
              <w:rPr>
                <w:rFonts w:eastAsia="Times New Roman"/>
                <w:b/>
                <w:bCs/>
                <w:strike/>
                <w:color w:val="FF0000"/>
                <w:szCs w:val="24"/>
                <w:lang w:eastAsia="tr-TR"/>
              </w:rPr>
              <w:t>İlam,</w:t>
            </w:r>
            <w:r w:rsidRPr="00A23740">
              <w:rPr>
                <w:rFonts w:eastAsia="Times New Roman"/>
                <w:szCs w:val="24"/>
                <w:lang w:eastAsia="tr-TR"/>
              </w:rPr>
              <w:t xml:space="preserve"> bir işin yapılmaması</w:t>
            </w:r>
            <w:r w:rsidRPr="00A23740">
              <w:rPr>
                <w:rStyle w:val="KIRMIZIChar"/>
                <w:rFonts w:eastAsia="Calibri"/>
              </w:rPr>
              <w:t xml:space="preserve">na mütedair </w:t>
            </w:r>
            <w:r w:rsidRPr="00A23740">
              <w:rPr>
                <w:rFonts w:eastAsia="Times New Roman"/>
                <w:b/>
                <w:bCs/>
                <w:strike/>
                <w:color w:val="FF0000"/>
                <w:szCs w:val="24"/>
                <w:lang w:eastAsia="tr-TR"/>
              </w:rPr>
              <w:t>olduğu takdirde icra dairesi tarafından</w:t>
            </w:r>
            <w:r w:rsidRPr="00A23740">
              <w:rPr>
                <w:rFonts w:eastAsia="Times New Roman"/>
                <w:szCs w:val="24"/>
                <w:lang w:eastAsia="tr-TR"/>
              </w:rPr>
              <w:t xml:space="preserve"> ilâm</w:t>
            </w:r>
            <w:r w:rsidRPr="00A23740">
              <w:rPr>
                <w:rFonts w:eastAsia="Times New Roman"/>
                <w:b/>
                <w:bCs/>
                <w:strike/>
                <w:color w:val="FF0000"/>
                <w:szCs w:val="24"/>
                <w:lang w:eastAsia="tr-TR"/>
              </w:rPr>
              <w:t>ın hükmü borçluya aynı müddetli bir emirle tebliğ olun</w:t>
            </w:r>
            <w:r w:rsidRPr="00A23740">
              <w:rPr>
                <w:rStyle w:val="KIRMIZIChar"/>
                <w:rFonts w:eastAsia="Calibri"/>
              </w:rPr>
              <w:t>ur.Bu</w:t>
            </w:r>
            <w:r w:rsidRPr="00A23740">
              <w:rPr>
                <w:rFonts w:eastAsia="Times New Roman"/>
                <w:szCs w:val="24"/>
                <w:lang w:eastAsia="tr-TR"/>
              </w:rPr>
              <w:t xml:space="preserve"> emirde ilâm hükmüne </w:t>
            </w:r>
            <w:r w:rsidRPr="00A23740">
              <w:rPr>
                <w:rStyle w:val="KIRMIZIChar"/>
                <w:rFonts w:eastAsia="Calibri"/>
              </w:rPr>
              <w:t>muhalefetin 343 üncü</w:t>
            </w:r>
            <w:r w:rsidRPr="00A23740">
              <w:rPr>
                <w:rFonts w:eastAsia="Times New Roman"/>
                <w:szCs w:val="24"/>
                <w:lang w:eastAsia="tr-TR"/>
              </w:rPr>
              <w:t xml:space="preserve"> madde</w:t>
            </w:r>
            <w:r w:rsidRPr="00A23740">
              <w:rPr>
                <w:rStyle w:val="KIRMIZIChar"/>
                <w:rFonts w:eastAsia="Calibri"/>
              </w:rPr>
              <w:t>deki</w:t>
            </w:r>
            <w:r w:rsidRPr="00A23740">
              <w:rPr>
                <w:rFonts w:eastAsia="Times New Roman"/>
                <w:szCs w:val="24"/>
                <w:lang w:eastAsia="tr-TR"/>
              </w:rPr>
              <w:t xml:space="preserve"> </w:t>
            </w:r>
            <w:r w:rsidRPr="00A23740">
              <w:rPr>
                <w:rStyle w:val="KIRMIZIChar"/>
                <w:rFonts w:eastAsia="Calibri"/>
              </w:rPr>
              <w:t xml:space="preserve">cezayı </w:t>
            </w:r>
            <w:r w:rsidRPr="00A23740">
              <w:rPr>
                <w:rFonts w:eastAsia="Times New Roman"/>
                <w:b/>
                <w:bCs/>
                <w:strike/>
                <w:color w:val="FF0000"/>
                <w:szCs w:val="24"/>
                <w:lang w:eastAsia="tr-TR"/>
              </w:rPr>
              <w:t>müstelzim olduğu yazılır.</w:t>
            </w: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537077" w:rsidRPr="00A23740" w:rsidRDefault="00537077" w:rsidP="009431FF">
            <w:pPr>
              <w:rPr>
                <w:rFonts w:eastAsia="Times New Roman"/>
                <w:i/>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b/>
                <w:bCs/>
                <w:szCs w:val="24"/>
                <w:lang w:eastAsia="tr-TR"/>
              </w:rPr>
            </w:pPr>
          </w:p>
          <w:p w:rsidR="00155AF4" w:rsidRPr="00A23740" w:rsidRDefault="00155AF4" w:rsidP="009431FF">
            <w:pPr>
              <w:tabs>
                <w:tab w:val="left" w:pos="567"/>
              </w:tabs>
              <w:rPr>
                <w:rFonts w:eastAsia="Times New Roman"/>
                <w:szCs w:val="24"/>
                <w:lang w:eastAsia="tr-TR"/>
              </w:rPr>
            </w:pPr>
            <w:r w:rsidRPr="00A23740">
              <w:rPr>
                <w:rStyle w:val="KIRMIZIChar"/>
                <w:rFonts w:eastAsia="Calibri"/>
              </w:rPr>
              <w:lastRenderedPageBreak/>
              <w:t>Madde 30-  (4) (Ek son fıkra: 17/7/2003-4949/9 md.)</w:t>
            </w:r>
            <w:r w:rsidRPr="00A23740">
              <w:rPr>
                <w:rFonts w:eastAsia="Times New Roman"/>
                <w:szCs w:val="24"/>
                <w:lang w:eastAsia="tr-TR"/>
              </w:rPr>
              <w:t xml:space="preserve"> Bir işin </w:t>
            </w:r>
            <w:r w:rsidRPr="00A23740">
              <w:rPr>
                <w:rStyle w:val="KIRMIZIChar"/>
                <w:rFonts w:eastAsia="Calibri"/>
              </w:rPr>
              <w:t>yapılmasına veya</w:t>
            </w:r>
            <w:r w:rsidRPr="00A23740">
              <w:rPr>
                <w:rFonts w:eastAsia="Times New Roman"/>
                <w:szCs w:val="24"/>
                <w:lang w:eastAsia="tr-TR"/>
              </w:rPr>
              <w:t xml:space="preserve"> yapılmamasına </w:t>
            </w:r>
            <w:r w:rsidRPr="00A23740">
              <w:rPr>
                <w:rStyle w:val="KIRMIZIChar"/>
                <w:rFonts w:eastAsia="Calibri"/>
              </w:rPr>
              <w:t>dair olan</w:t>
            </w:r>
            <w:r w:rsidRPr="00A23740">
              <w:rPr>
                <w:rFonts w:eastAsia="Times New Roman"/>
                <w:szCs w:val="24"/>
                <w:lang w:eastAsia="tr-TR"/>
              </w:rPr>
              <w:t xml:space="preserve"> ilâm hükmü yerine getirildikten sonra borçlu, ilâm hükmün</w:t>
            </w:r>
            <w:r w:rsidRPr="00A23740">
              <w:rPr>
                <w:rStyle w:val="KIRMIZIChar"/>
                <w:rFonts w:eastAsia="Calibri"/>
              </w:rPr>
              <w:t>ü</w:t>
            </w:r>
            <w:r w:rsidRPr="00A23740">
              <w:rPr>
                <w:rFonts w:eastAsia="Times New Roman"/>
                <w:szCs w:val="24"/>
                <w:lang w:eastAsia="tr-TR"/>
              </w:rPr>
              <w:t xml:space="preserve"> ortadan kaldıracak </w:t>
            </w:r>
            <w:r w:rsidRPr="00A23740">
              <w:rPr>
                <w:rStyle w:val="KIRMIZIChar"/>
                <w:rFonts w:eastAsia="Calibri"/>
              </w:rPr>
              <w:t>bir eylemde bulunursa</w:t>
            </w:r>
            <w:r w:rsidRPr="00A23740">
              <w:rPr>
                <w:rFonts w:eastAsia="Times New Roman"/>
                <w:szCs w:val="24"/>
                <w:lang w:eastAsia="tr-TR"/>
              </w:rPr>
              <w:t>, mahkemeden ayrıca hüküm almaya gerek kalma</w:t>
            </w:r>
            <w:r w:rsidRPr="00A23740">
              <w:rPr>
                <w:rStyle w:val="KIRMIZIChar"/>
                <w:rFonts w:eastAsia="Calibri"/>
              </w:rPr>
              <w:t>dan</w:t>
            </w:r>
            <w:r w:rsidRPr="00A23740">
              <w:rPr>
                <w:rFonts w:eastAsia="Times New Roman"/>
                <w:szCs w:val="24"/>
                <w:lang w:eastAsia="tr-TR"/>
              </w:rPr>
              <w:t>, önceki ilâm hükmü tekrar zorla yerine getirilir.</w:t>
            </w:r>
          </w:p>
          <w:p w:rsidR="00155AF4" w:rsidRPr="00A23740" w:rsidRDefault="00155AF4" w:rsidP="009431FF">
            <w:pPr>
              <w:tabs>
                <w:tab w:val="left" w:pos="567"/>
              </w:tabs>
              <w:rPr>
                <w:rFonts w:eastAsia="Times New Roman"/>
                <w:b/>
                <w:bCs/>
                <w:szCs w:val="24"/>
                <w:lang w:eastAsia="tr-TR"/>
              </w:rPr>
            </w:pPr>
          </w:p>
        </w:tc>
        <w:tc>
          <w:tcPr>
            <w:tcW w:w="2500" w:type="pct"/>
            <w:tcBorders>
              <w:bottom w:val="single" w:sz="2" w:space="0" w:color="auto"/>
            </w:tcBorders>
          </w:tcPr>
          <w:p w:rsidR="00155AF4" w:rsidRPr="00A23740" w:rsidRDefault="00155AF4" w:rsidP="009431FF">
            <w:pPr>
              <w:rPr>
                <w:rFonts w:eastAsia="Times New Roman"/>
                <w:b/>
                <w:bCs/>
                <w:szCs w:val="24"/>
                <w:lang w:eastAsia="tr-TR"/>
              </w:rPr>
            </w:pPr>
            <w:r w:rsidRPr="00A23740">
              <w:rPr>
                <w:rFonts w:eastAsia="Times New Roman"/>
                <w:b/>
                <w:bCs/>
                <w:szCs w:val="24"/>
                <w:lang w:eastAsia="tr-TR"/>
              </w:rPr>
              <w:lastRenderedPageBreak/>
              <w:t xml:space="preserve">Bir işin yapılmamasına </w:t>
            </w:r>
            <w:r w:rsidRPr="00A23740">
              <w:rPr>
                <w:rStyle w:val="MaviChar"/>
              </w:rPr>
              <w:t>ilişkin</w:t>
            </w:r>
            <w:r w:rsidRPr="00A23740">
              <w:rPr>
                <w:rFonts w:eastAsia="Times New Roman"/>
                <w:b/>
                <w:bCs/>
                <w:szCs w:val="24"/>
                <w:lang w:eastAsia="tr-TR"/>
              </w:rPr>
              <w:t xml:space="preserve"> ilamlar</w:t>
            </w:r>
            <w:r w:rsidRPr="00A23740">
              <w:rPr>
                <w:rStyle w:val="MaviChar"/>
              </w:rPr>
              <w:t xml:space="preserve">ın icrası </w:t>
            </w:r>
          </w:p>
          <w:p w:rsidR="00155AF4" w:rsidRPr="00A23740" w:rsidRDefault="00155AF4" w:rsidP="009431FF">
            <w:pPr>
              <w:pStyle w:val="MAV"/>
              <w:rPr>
                <w:rFonts w:eastAsia="Calibri"/>
                <w:u w:val="none"/>
              </w:rPr>
            </w:pPr>
            <w:r w:rsidRPr="00A23740">
              <w:rPr>
                <w:rStyle w:val="MaviChar"/>
                <w:rFonts w:eastAsia="Calibri"/>
                <w:b/>
                <w:bCs/>
                <w:u w:val="none"/>
              </w:rPr>
              <w:t>MADDE 77- (1)</w:t>
            </w:r>
            <w:r w:rsidRPr="00A23740">
              <w:rPr>
                <w:b w:val="0"/>
                <w:bCs w:val="0"/>
                <w:color w:val="auto"/>
                <w:u w:val="none"/>
                <w:lang w:val="tr-TR" w:eastAsia="tr-TR"/>
              </w:rPr>
              <w:t xml:space="preserve"> Bir işin yapılmaması </w:t>
            </w:r>
            <w:r w:rsidRPr="00A23740">
              <w:rPr>
                <w:rStyle w:val="MaviChar"/>
                <w:rFonts w:eastAsia="Calibri"/>
                <w:b/>
                <w:bCs/>
                <w:u w:val="none"/>
              </w:rPr>
              <w:t>hakkındaki</w:t>
            </w:r>
            <w:r w:rsidRPr="00A23740">
              <w:rPr>
                <w:b w:val="0"/>
                <w:bCs w:val="0"/>
                <w:color w:val="auto"/>
                <w:u w:val="none"/>
                <w:lang w:val="tr-TR" w:eastAsia="tr-TR"/>
              </w:rPr>
              <w:t xml:space="preserve"> ilam</w:t>
            </w:r>
            <w:r w:rsidRPr="00A23740">
              <w:rPr>
                <w:rStyle w:val="MaviChar"/>
                <w:rFonts w:eastAsia="Calibri"/>
                <w:b/>
                <w:bCs/>
                <w:u w:val="none"/>
              </w:rPr>
              <w:t>ların yerine getirilmesine ilişkin</w:t>
            </w:r>
            <w:r w:rsidRPr="00A23740">
              <w:rPr>
                <w:rStyle w:val="MaviChar"/>
                <w:rFonts w:eastAsia="Calibri"/>
                <w:u w:val="none"/>
              </w:rPr>
              <w:t xml:space="preserve"> </w:t>
            </w:r>
            <w:r w:rsidRPr="00A23740">
              <w:rPr>
                <w:b w:val="0"/>
                <w:bCs w:val="0"/>
                <w:color w:val="auto"/>
                <w:u w:val="none"/>
                <w:lang w:val="tr-TR" w:eastAsia="tr-TR"/>
              </w:rPr>
              <w:t>icra emri</w:t>
            </w:r>
            <w:r w:rsidRPr="00A23740">
              <w:rPr>
                <w:rStyle w:val="MaviChar"/>
                <w:rFonts w:eastAsia="Calibri"/>
                <w:b/>
                <w:bCs/>
                <w:u w:val="none"/>
              </w:rPr>
              <w:t>nde, 5</w:t>
            </w:r>
            <w:r w:rsidR="00530885" w:rsidRPr="00A23740">
              <w:rPr>
                <w:rStyle w:val="MaviChar"/>
                <w:rFonts w:eastAsia="Calibri"/>
                <w:b/>
                <w:bCs/>
                <w:u w:val="none"/>
                <w:lang w:val="tr-TR"/>
              </w:rPr>
              <w:t>7</w:t>
            </w:r>
            <w:r w:rsidRPr="00A23740">
              <w:rPr>
                <w:rStyle w:val="MaviChar"/>
                <w:rFonts w:eastAsia="Calibri"/>
                <w:b/>
                <w:bCs/>
                <w:u w:val="none"/>
              </w:rPr>
              <w:t xml:space="preserve"> nc</w:t>
            </w:r>
            <w:r w:rsidR="002E62DB" w:rsidRPr="00A23740">
              <w:rPr>
                <w:rStyle w:val="MaviChar"/>
                <w:rFonts w:eastAsia="Calibri"/>
                <w:b/>
                <w:bCs/>
                <w:u w:val="none"/>
                <w:lang w:val="tr-TR"/>
              </w:rPr>
              <w:t>i</w:t>
            </w:r>
            <w:r w:rsidRPr="00A23740">
              <w:rPr>
                <w:rStyle w:val="MaviChar"/>
                <w:rFonts w:eastAsia="Calibri"/>
                <w:b/>
                <w:bCs/>
                <w:u w:val="none"/>
              </w:rPr>
              <w:t xml:space="preserve"> maddede yazılanlar i</w:t>
            </w:r>
            <w:r w:rsidR="006846DE" w:rsidRPr="00A23740">
              <w:rPr>
                <w:rStyle w:val="MaviChar"/>
                <w:rFonts w:eastAsia="Calibri"/>
                <w:b/>
                <w:bCs/>
                <w:u w:val="none"/>
              </w:rPr>
              <w:t>le aşağıdaki hususlar yer alır:</w:t>
            </w:r>
          </w:p>
          <w:p w:rsidR="00155AF4" w:rsidRPr="00A23740" w:rsidRDefault="00155AF4" w:rsidP="009431FF">
            <w:pPr>
              <w:pStyle w:val="Mavi"/>
            </w:pPr>
            <w:r w:rsidRPr="00A23740">
              <w:t>a) İcra emrinin tebliğinden itibaren, ilam</w:t>
            </w:r>
            <w:r w:rsidR="006846DE" w:rsidRPr="00A23740">
              <w:t>da gösterilen işin yapılmaması.</w:t>
            </w:r>
          </w:p>
          <w:p w:rsidR="00537077" w:rsidRPr="00A23740" w:rsidRDefault="00537077" w:rsidP="009431FF">
            <w:pPr>
              <w:pStyle w:val="Mavi"/>
            </w:pPr>
          </w:p>
          <w:p w:rsidR="00155AF4" w:rsidRPr="00A23740" w:rsidRDefault="00155AF4" w:rsidP="009431FF">
            <w:pPr>
              <w:rPr>
                <w:rFonts w:eastAsia="Times New Roman"/>
                <w:b/>
                <w:bCs/>
                <w:color w:val="0000FF"/>
                <w:szCs w:val="24"/>
                <w:lang w:eastAsia="x-none"/>
              </w:rPr>
            </w:pPr>
            <w:r w:rsidRPr="00A23740">
              <w:rPr>
                <w:rFonts w:eastAsia="Times New Roman"/>
                <w:b/>
                <w:bCs/>
                <w:color w:val="0000FF"/>
                <w:szCs w:val="24"/>
                <w:lang w:eastAsia="x-none"/>
              </w:rPr>
              <w:t>b) İlam hükmüne aykırı davranılması h</w:t>
            </w:r>
            <w:r w:rsidR="002E62DB" w:rsidRPr="00A23740">
              <w:rPr>
                <w:rFonts w:eastAsia="Times New Roman"/>
                <w:b/>
                <w:bCs/>
                <w:color w:val="0000FF"/>
                <w:szCs w:val="24"/>
                <w:lang w:eastAsia="x-none"/>
              </w:rPr>
              <w:t>â</w:t>
            </w:r>
            <w:r w:rsidRPr="00A23740">
              <w:rPr>
                <w:rFonts w:eastAsia="Times New Roman"/>
                <w:b/>
                <w:bCs/>
                <w:color w:val="0000FF"/>
                <w:szCs w:val="24"/>
                <w:lang w:eastAsia="x-none"/>
              </w:rPr>
              <w:t xml:space="preserve">linde, hükmün niteliğine uygun ise ilamın gereğinin zorla yerine getirileceği ve borçlunun </w:t>
            </w:r>
            <w:r w:rsidR="00BC4F83" w:rsidRPr="006D2E3C">
              <w:rPr>
                <w:rStyle w:val="KonuBalChar"/>
                <w:rFonts w:eastAsia="Calibri"/>
                <w:color w:val="0000FF"/>
              </w:rPr>
              <w:t>5</w:t>
            </w:r>
            <w:r w:rsidR="00BC4F83" w:rsidRPr="006D2E3C">
              <w:rPr>
                <w:rStyle w:val="KonuBalChar"/>
                <w:rFonts w:eastAsia="Calibri"/>
                <w:color w:val="0000FF"/>
                <w:lang w:val="tr-TR"/>
              </w:rPr>
              <w:t>1</w:t>
            </w:r>
            <w:r w:rsidR="00BC4F83" w:rsidRPr="006D2E3C">
              <w:rPr>
                <w:rStyle w:val="KonuBalChar"/>
                <w:rFonts w:eastAsia="Calibri"/>
                <w:color w:val="0000FF"/>
              </w:rPr>
              <w:t>3</w:t>
            </w:r>
            <w:r w:rsidR="00BC4F83" w:rsidRPr="00A23740">
              <w:rPr>
                <w:rStyle w:val="KonuBalChar"/>
                <w:rFonts w:eastAsia="Calibri"/>
              </w:rPr>
              <w:t xml:space="preserve"> </w:t>
            </w:r>
            <w:r w:rsidR="00BC4F83" w:rsidRPr="006D2E3C">
              <w:rPr>
                <w:rStyle w:val="KonuBalChar"/>
                <w:rFonts w:eastAsia="Calibri"/>
                <w:color w:val="0000FF"/>
              </w:rPr>
              <w:t>üncü</w:t>
            </w:r>
            <w:r w:rsidR="00BC4F83" w:rsidRPr="00A23740">
              <w:t xml:space="preserve"> </w:t>
            </w:r>
            <w:r w:rsidR="00083C2D" w:rsidRPr="00A23740">
              <w:rPr>
                <w:rFonts w:eastAsia="Times New Roman"/>
                <w:b/>
                <w:bCs/>
                <w:color w:val="0000FF"/>
                <w:szCs w:val="24"/>
                <w:lang w:eastAsia="x-none"/>
              </w:rPr>
              <w:t xml:space="preserve">maddenin </w:t>
            </w:r>
            <w:r w:rsidR="002824D6" w:rsidRPr="00A23740">
              <w:rPr>
                <w:rFonts w:eastAsia="Times New Roman"/>
                <w:b/>
                <w:bCs/>
                <w:color w:val="0000FF"/>
                <w:szCs w:val="24"/>
                <w:lang w:eastAsia="x-none"/>
              </w:rPr>
              <w:t>dördüncü</w:t>
            </w:r>
            <w:r w:rsidR="00083C2D" w:rsidRPr="00A23740">
              <w:rPr>
                <w:rFonts w:eastAsia="Times New Roman"/>
                <w:b/>
                <w:bCs/>
                <w:color w:val="0000FF"/>
                <w:szCs w:val="24"/>
                <w:lang w:eastAsia="x-none"/>
              </w:rPr>
              <w:t xml:space="preserve"> fıkrasına</w:t>
            </w:r>
            <w:r w:rsidRPr="00A23740">
              <w:rPr>
                <w:rFonts w:eastAsia="Times New Roman"/>
                <w:b/>
                <w:bCs/>
                <w:color w:val="0000FF"/>
                <w:szCs w:val="24"/>
                <w:lang w:eastAsia="x-none"/>
              </w:rPr>
              <w:t xml:space="preserve"> göre </w:t>
            </w:r>
            <w:r w:rsidR="00640409" w:rsidRPr="00A23740">
              <w:rPr>
                <w:rFonts w:eastAsia="Times New Roman"/>
                <w:b/>
                <w:bCs/>
                <w:color w:val="0000FF"/>
                <w:szCs w:val="24"/>
                <w:lang w:eastAsia="x-none"/>
              </w:rPr>
              <w:t xml:space="preserve">disiplin </w:t>
            </w:r>
            <w:r w:rsidR="001647D1" w:rsidRPr="006D2E3C">
              <w:rPr>
                <w:rStyle w:val="MaviChar"/>
                <w:bCs w:val="0"/>
                <w:lang w:val="tr-TR"/>
              </w:rPr>
              <w:t>hapsiyle</w:t>
            </w:r>
            <w:r w:rsidR="001647D1" w:rsidRPr="00A23740">
              <w:rPr>
                <w:rStyle w:val="MaviChar"/>
                <w:lang w:val="tr-TR"/>
              </w:rPr>
              <w:t xml:space="preserve"> </w:t>
            </w:r>
            <w:r w:rsidR="006846DE" w:rsidRPr="00A23740">
              <w:rPr>
                <w:rFonts w:eastAsia="Times New Roman"/>
                <w:b/>
                <w:bCs/>
                <w:color w:val="0000FF"/>
                <w:szCs w:val="24"/>
                <w:lang w:eastAsia="x-none"/>
              </w:rPr>
              <w:t>cezalandırılacağı.</w:t>
            </w:r>
          </w:p>
          <w:p w:rsidR="00537077" w:rsidRPr="00A23740" w:rsidRDefault="00537077" w:rsidP="009431FF">
            <w:pPr>
              <w:rPr>
                <w:rFonts w:eastAsia="Times New Roman"/>
                <w:b/>
                <w:bCs/>
                <w:color w:val="0000FF"/>
                <w:szCs w:val="24"/>
                <w:lang w:eastAsia="x-none"/>
              </w:rPr>
            </w:pPr>
          </w:p>
          <w:p w:rsidR="00155AF4" w:rsidRPr="00A23740" w:rsidRDefault="00155AF4" w:rsidP="009431FF">
            <w:pPr>
              <w:pStyle w:val="Mavi"/>
              <w:rPr>
                <w:lang w:val="tr-TR"/>
              </w:rPr>
            </w:pPr>
            <w:r w:rsidRPr="00A23740">
              <w:t>c) Bir işin yapılmamasına ilişkin ilam hükmü yerine getirildikten sonra ilam hükmüne aykırı davranılması h</w:t>
            </w:r>
            <w:r w:rsidR="002E62DB" w:rsidRPr="00A23740">
              <w:rPr>
                <w:lang w:val="tr-TR"/>
              </w:rPr>
              <w:t>â</w:t>
            </w:r>
            <w:r w:rsidRPr="00A23740">
              <w:t xml:space="preserve">linde ilamın gereğinin mahkemeden ayrıca hüküm almaya gerek kalmaksızın tekrar zorla yerine getirileceği ve borçlunun </w:t>
            </w:r>
            <w:r w:rsidR="00BC4F83" w:rsidRPr="006D2E3C">
              <w:rPr>
                <w:rStyle w:val="KonuBalChar"/>
                <w:rFonts w:eastAsia="Calibri"/>
                <w:b/>
                <w:color w:val="0000FF"/>
              </w:rPr>
              <w:t>5</w:t>
            </w:r>
            <w:r w:rsidR="00BC4F83" w:rsidRPr="006D2E3C">
              <w:rPr>
                <w:rStyle w:val="KonuBalChar"/>
                <w:rFonts w:eastAsia="Calibri"/>
                <w:b/>
                <w:color w:val="0000FF"/>
                <w:lang w:val="tr-TR"/>
              </w:rPr>
              <w:t>1</w:t>
            </w:r>
            <w:r w:rsidR="00BC4F83" w:rsidRPr="006D2E3C">
              <w:rPr>
                <w:rStyle w:val="KonuBalChar"/>
                <w:rFonts w:eastAsia="Calibri"/>
                <w:b/>
                <w:color w:val="0000FF"/>
              </w:rPr>
              <w:t>3</w:t>
            </w:r>
            <w:r w:rsidR="00BC4F83" w:rsidRPr="00A23740">
              <w:rPr>
                <w:rStyle w:val="KonuBalChar"/>
                <w:rFonts w:eastAsia="Calibri"/>
                <w:b/>
              </w:rPr>
              <w:t xml:space="preserve"> </w:t>
            </w:r>
            <w:r w:rsidR="00BC4F83" w:rsidRPr="006D2E3C">
              <w:rPr>
                <w:rStyle w:val="KonuBalChar"/>
                <w:rFonts w:eastAsia="Calibri"/>
                <w:b/>
                <w:color w:val="0000FF"/>
              </w:rPr>
              <w:t>üncü</w:t>
            </w:r>
            <w:r w:rsidR="00BC4F83" w:rsidRPr="00A23740">
              <w:rPr>
                <w:lang w:val="tr-TR"/>
              </w:rPr>
              <w:t xml:space="preserve"> </w:t>
            </w:r>
            <w:r w:rsidR="00083C2D" w:rsidRPr="00A23740">
              <w:t>maddenin</w:t>
            </w:r>
            <w:r w:rsidRPr="00A23740">
              <w:t xml:space="preserve"> </w:t>
            </w:r>
            <w:r w:rsidR="00083C2D" w:rsidRPr="00A23740">
              <w:rPr>
                <w:lang w:val="tr-TR"/>
              </w:rPr>
              <w:t xml:space="preserve">dördüncü fıkrasına </w:t>
            </w:r>
            <w:r w:rsidRPr="00A23740">
              <w:t xml:space="preserve">göre </w:t>
            </w:r>
            <w:r w:rsidR="00640409" w:rsidRPr="00A23740">
              <w:rPr>
                <w:lang w:val="tr-TR"/>
              </w:rPr>
              <w:t xml:space="preserve">disiplin </w:t>
            </w:r>
            <w:r w:rsidR="001647D1" w:rsidRPr="006D2E3C">
              <w:rPr>
                <w:rStyle w:val="MaviChar"/>
                <w:b/>
                <w:bCs/>
                <w:lang w:val="tr-TR"/>
              </w:rPr>
              <w:t>hapsiyle</w:t>
            </w:r>
            <w:r w:rsidR="00083C2D" w:rsidRPr="00A23740">
              <w:rPr>
                <w:lang w:val="tr-TR"/>
              </w:rPr>
              <w:t xml:space="preserve"> </w:t>
            </w:r>
            <w:r w:rsidRPr="00A23740">
              <w:t>tekrar cezalandırılacağı</w:t>
            </w:r>
            <w:r w:rsidRPr="00A23740">
              <w:rPr>
                <w:lang w:val="tr-TR"/>
              </w:rPr>
              <w:t>.</w:t>
            </w:r>
          </w:p>
          <w:p w:rsidR="00537077" w:rsidRPr="00A23740" w:rsidRDefault="00537077" w:rsidP="009431FF">
            <w:pPr>
              <w:pStyle w:val="Mavi"/>
              <w:rPr>
                <w:lang w:val="tr-TR"/>
              </w:rPr>
            </w:pPr>
          </w:p>
          <w:p w:rsidR="00155AF4" w:rsidRPr="00A23740" w:rsidRDefault="00155AF4" w:rsidP="009431FF">
            <w:pPr>
              <w:pStyle w:val="Mavi"/>
            </w:pPr>
            <w:r w:rsidRPr="00A23740">
              <w:t>ç) Bir işin yapılmamasına ilişkin ilamda yasaklanan işi yapan veya ilamın gereği yerine getirildikten sonra il</w:t>
            </w:r>
            <w:r w:rsidR="00D72007" w:rsidRPr="00A23740">
              <w:rPr>
                <w:lang w:val="tr-TR"/>
              </w:rPr>
              <w:t>a</w:t>
            </w:r>
            <w:r w:rsidRPr="00A23740">
              <w:t>m hükmüne aykırı davranan borçlunun, alacaklının talebi üzerine 7</w:t>
            </w:r>
            <w:r w:rsidRPr="00A23740">
              <w:rPr>
                <w:lang w:val="tr-TR"/>
              </w:rPr>
              <w:t>8</w:t>
            </w:r>
            <w:r w:rsidRPr="00A23740">
              <w:t xml:space="preserve"> </w:t>
            </w:r>
            <w:r w:rsidRPr="00A23740">
              <w:rPr>
                <w:lang w:val="tr-TR"/>
              </w:rPr>
              <w:t>inci</w:t>
            </w:r>
            <w:r w:rsidRPr="00A23740">
              <w:t xml:space="preserve"> maddeye göre icra tazminatı ödemeye mahkûm edileceği.</w:t>
            </w:r>
          </w:p>
          <w:p w:rsidR="00155AF4" w:rsidRPr="00A23740" w:rsidRDefault="00155AF4" w:rsidP="009431FF">
            <w:pPr>
              <w:pStyle w:val="KIRMIZI"/>
              <w:rPr>
                <w:lang w:val="tr-TR" w:eastAsia="tr-TR"/>
              </w:rPr>
            </w:pPr>
          </w:p>
          <w:p w:rsidR="00155AF4" w:rsidRPr="00A23740" w:rsidRDefault="00155AF4" w:rsidP="009431FF">
            <w:pPr>
              <w:pStyle w:val="Mavi"/>
              <w:rPr>
                <w:lang w:val="tr-TR"/>
              </w:rPr>
            </w:pPr>
            <w:r w:rsidRPr="00A23740">
              <w:rPr>
                <w:lang w:val="tr-TR"/>
              </w:rPr>
              <w:lastRenderedPageBreak/>
              <w:t>(2)</w:t>
            </w:r>
            <w:r w:rsidRPr="00A23740">
              <w:rPr>
                <w:rFonts w:eastAsia="Times New Roman"/>
                <w:b w:val="0"/>
                <w:bCs w:val="0"/>
                <w:color w:val="auto"/>
                <w:lang w:val="tr-TR" w:eastAsia="tr-TR"/>
              </w:rPr>
              <w:t xml:space="preserve"> Bir işin yapılmamasına </w:t>
            </w:r>
            <w:r w:rsidRPr="00A23740">
              <w:rPr>
                <w:lang w:val="tr-TR"/>
              </w:rPr>
              <w:t>ilişkin</w:t>
            </w:r>
            <w:r w:rsidRPr="00A23740">
              <w:rPr>
                <w:rFonts w:eastAsia="Times New Roman"/>
                <w:b w:val="0"/>
                <w:bCs w:val="0"/>
                <w:color w:val="auto"/>
                <w:lang w:val="tr-TR" w:eastAsia="tr-TR"/>
              </w:rPr>
              <w:t xml:space="preserve"> ilam hükmü yerine getirildikten sonra borçlu, ilam hükmün</w:t>
            </w:r>
            <w:r w:rsidRPr="00A23740">
              <w:rPr>
                <w:lang w:val="tr-TR" w:eastAsia="tr-TR"/>
              </w:rPr>
              <w:t xml:space="preserve">e </w:t>
            </w:r>
            <w:r w:rsidRPr="00A23740">
              <w:rPr>
                <w:lang w:val="tr-TR"/>
              </w:rPr>
              <w:t xml:space="preserve">aykırı </w:t>
            </w:r>
            <w:r w:rsidR="008517F5" w:rsidRPr="006D2E3C">
              <w:rPr>
                <w:lang w:val="tr-TR"/>
              </w:rPr>
              <w:t>olacak</w:t>
            </w:r>
            <w:r w:rsidR="008517F5" w:rsidRPr="00A23740">
              <w:rPr>
                <w:color w:val="538135"/>
                <w:lang w:val="tr-TR"/>
              </w:rPr>
              <w:t xml:space="preserve"> </w:t>
            </w:r>
            <w:r w:rsidRPr="00A23740">
              <w:rPr>
                <w:lang w:val="tr-TR"/>
              </w:rPr>
              <w:t xml:space="preserve">veya ilamın sonuçlarını </w:t>
            </w:r>
            <w:r w:rsidRPr="00A23740">
              <w:rPr>
                <w:rFonts w:eastAsia="Times New Roman"/>
                <w:b w:val="0"/>
                <w:bCs w:val="0"/>
                <w:color w:val="auto"/>
                <w:lang w:val="tr-TR" w:eastAsia="tr-TR"/>
              </w:rPr>
              <w:t xml:space="preserve">ortadan kaldıracak </w:t>
            </w:r>
            <w:r w:rsidRPr="00A23740">
              <w:rPr>
                <w:lang w:val="tr-TR"/>
              </w:rPr>
              <w:t>şekilde davranırsa</w:t>
            </w:r>
            <w:r w:rsidRPr="00A23740">
              <w:rPr>
                <w:rFonts w:eastAsia="Times New Roman"/>
                <w:b w:val="0"/>
                <w:bCs w:val="0"/>
                <w:color w:val="auto"/>
                <w:lang w:val="tr-TR" w:eastAsia="tr-TR"/>
              </w:rPr>
              <w:t>, mahkemeden ayrıca hüküm almaya gerek kalma</w:t>
            </w:r>
            <w:r w:rsidRPr="00A23740">
              <w:rPr>
                <w:lang w:val="tr-TR" w:eastAsia="tr-TR"/>
              </w:rPr>
              <w:t>ksızın</w:t>
            </w:r>
            <w:r w:rsidRPr="00A23740">
              <w:rPr>
                <w:rFonts w:eastAsia="Times New Roman"/>
                <w:b w:val="0"/>
                <w:bCs w:val="0"/>
                <w:color w:val="auto"/>
                <w:lang w:val="tr-TR" w:eastAsia="tr-TR"/>
              </w:rPr>
              <w:t>, önceki il</w:t>
            </w:r>
            <w:r w:rsidRPr="00A23740">
              <w:t>a</w:t>
            </w:r>
            <w:r w:rsidRPr="00A23740">
              <w:rPr>
                <w:rFonts w:eastAsia="Times New Roman"/>
                <w:b w:val="0"/>
                <w:bCs w:val="0"/>
                <w:color w:val="auto"/>
                <w:lang w:val="tr-TR" w:eastAsia="tr-TR"/>
              </w:rPr>
              <w:t>m hükmü tekrar zorla yerine getirilir.</w:t>
            </w:r>
          </w:p>
          <w:p w:rsidR="00155AF4" w:rsidRPr="00A23740" w:rsidRDefault="00155AF4" w:rsidP="009431FF">
            <w:pPr>
              <w:pStyle w:val="KIRMIZI"/>
              <w:rPr>
                <w:lang w:val="tr-TR" w:eastAsia="tr-TR"/>
              </w:rPr>
            </w:pPr>
          </w:p>
        </w:tc>
      </w:tr>
      <w:tr w:rsidR="00155AF4" w:rsidRPr="00A23740" w:rsidTr="009431FF">
        <w:tc>
          <w:tcPr>
            <w:tcW w:w="5000" w:type="pct"/>
            <w:gridSpan w:val="2"/>
            <w:shd w:val="clear" w:color="auto" w:fill="DEEAF6"/>
          </w:tcPr>
          <w:p w:rsidR="0007419D" w:rsidRPr="00A23740" w:rsidRDefault="0007419D" w:rsidP="009431FF">
            <w:pPr>
              <w:pStyle w:val="Mavi"/>
              <w:ind w:firstLine="709"/>
              <w:rPr>
                <w:color w:val="auto"/>
                <w:lang w:val="tr-TR"/>
              </w:rPr>
            </w:pPr>
          </w:p>
          <w:p w:rsidR="006D0EB8" w:rsidRPr="00A23740" w:rsidRDefault="0007419D" w:rsidP="009431FF">
            <w:pPr>
              <w:pStyle w:val="Mavi"/>
              <w:ind w:firstLine="709"/>
              <w:rPr>
                <w:b w:val="0"/>
                <w:color w:val="auto"/>
                <w:lang w:val="tr-TR"/>
              </w:rPr>
            </w:pPr>
            <w:r w:rsidRPr="00A23740">
              <w:rPr>
                <w:color w:val="auto"/>
                <w:lang w:val="tr-TR"/>
              </w:rPr>
              <w:t xml:space="preserve">MADDE 77- </w:t>
            </w:r>
            <w:r w:rsidRPr="00A23740">
              <w:rPr>
                <w:b w:val="0"/>
                <w:color w:val="auto"/>
                <w:lang w:val="tr-TR"/>
              </w:rPr>
              <w:t>Madde</w:t>
            </w:r>
            <w:r w:rsidR="006D0EB8" w:rsidRPr="00A23740">
              <w:rPr>
                <w:b w:val="0"/>
                <w:color w:val="auto"/>
                <w:lang w:val="tr-TR"/>
              </w:rPr>
              <w:t>yle, bir işin yapılmamasına ilişkin ilamların icrası düzenlenmektedir.</w:t>
            </w:r>
            <w:r w:rsidR="00681D37" w:rsidRPr="00A23740">
              <w:rPr>
                <w:b w:val="0"/>
                <w:color w:val="auto"/>
                <w:lang w:val="tr-TR"/>
              </w:rPr>
              <w:t xml:space="preserve"> 2004 sayılı Kanunun 30 uncu maddesinin bir işin yapılmamasına ilişkin kısmı bu maddede, </w:t>
            </w:r>
            <w:r w:rsidR="00163E5A" w:rsidRPr="00A23740">
              <w:rPr>
                <w:b w:val="0"/>
                <w:color w:val="auto"/>
                <w:lang w:val="tr-TR"/>
              </w:rPr>
              <w:t>Taslağın</w:t>
            </w:r>
            <w:r w:rsidR="00681D37" w:rsidRPr="00A23740">
              <w:rPr>
                <w:b w:val="0"/>
                <w:color w:val="auto"/>
                <w:lang w:val="tr-TR"/>
              </w:rPr>
              <w:t xml:space="preserve"> 76 ıncı maddesine paralel olarak kaleme</w:t>
            </w:r>
            <w:r w:rsidR="00DB44FC" w:rsidRPr="00A23740">
              <w:rPr>
                <w:b w:val="0"/>
                <w:color w:val="auto"/>
                <w:lang w:val="tr-TR"/>
              </w:rPr>
              <w:t xml:space="preserve"> alınmıştır</w:t>
            </w:r>
            <w:r w:rsidR="00681D37" w:rsidRPr="00A23740">
              <w:rPr>
                <w:b w:val="0"/>
                <w:color w:val="auto"/>
                <w:lang w:val="tr-TR"/>
              </w:rPr>
              <w:t>.</w:t>
            </w:r>
          </w:p>
          <w:p w:rsidR="006D0EB8" w:rsidRPr="00A23740" w:rsidRDefault="006D0EB8" w:rsidP="009431FF">
            <w:pPr>
              <w:pStyle w:val="Mavi"/>
              <w:ind w:firstLine="709"/>
              <w:rPr>
                <w:b w:val="0"/>
                <w:color w:val="auto"/>
                <w:lang w:val="tr-TR"/>
              </w:rPr>
            </w:pPr>
            <w:r w:rsidRPr="00A23740">
              <w:rPr>
                <w:b w:val="0"/>
                <w:color w:val="auto"/>
                <w:lang w:val="tr-TR"/>
              </w:rPr>
              <w:t>Birinci fıkrayla, bir işin yapılmaması hakkındaki ilamların yerine getirilmesine ilişkin icra emrinde yer alacak hususlar bentler h</w:t>
            </w:r>
            <w:r w:rsidR="002F2BAA" w:rsidRPr="00A23740">
              <w:rPr>
                <w:b w:val="0"/>
                <w:color w:val="auto"/>
                <w:lang w:val="tr-TR"/>
              </w:rPr>
              <w:t>â</w:t>
            </w:r>
            <w:r w:rsidRPr="00A23740">
              <w:rPr>
                <w:b w:val="0"/>
                <w:color w:val="auto"/>
                <w:lang w:val="tr-TR"/>
              </w:rPr>
              <w:t>linde belirlenmektedir.</w:t>
            </w:r>
          </w:p>
          <w:p w:rsidR="006D0EB8" w:rsidRPr="00A23740" w:rsidRDefault="0022589A" w:rsidP="009431FF">
            <w:pPr>
              <w:pStyle w:val="Mavi"/>
              <w:ind w:firstLine="709"/>
              <w:rPr>
                <w:b w:val="0"/>
                <w:color w:val="auto"/>
                <w:lang w:val="tr-TR"/>
              </w:rPr>
            </w:pPr>
            <w:r w:rsidRPr="00A23740">
              <w:rPr>
                <w:b w:val="0"/>
                <w:color w:val="auto"/>
                <w:lang w:val="tr-TR"/>
              </w:rPr>
              <w:t>(a) bendinde, i</w:t>
            </w:r>
            <w:r w:rsidR="006D0EB8" w:rsidRPr="00A23740">
              <w:rPr>
                <w:b w:val="0"/>
                <w:color w:val="auto"/>
                <w:lang w:val="tr-TR"/>
              </w:rPr>
              <w:t>cra emrinin tebliğinden itibaren, ila</w:t>
            </w:r>
            <w:r w:rsidRPr="00A23740">
              <w:rPr>
                <w:b w:val="0"/>
                <w:color w:val="auto"/>
                <w:lang w:val="tr-TR"/>
              </w:rPr>
              <w:t>mda gösterilen işin yapılmaması hususu yer almaktadır.</w:t>
            </w:r>
          </w:p>
          <w:p w:rsidR="006D0EB8" w:rsidRPr="00A23740" w:rsidRDefault="0022589A" w:rsidP="009431FF">
            <w:pPr>
              <w:pStyle w:val="Mavi"/>
              <w:ind w:firstLine="709"/>
              <w:rPr>
                <w:b w:val="0"/>
                <w:color w:val="auto"/>
                <w:lang w:val="tr-TR"/>
              </w:rPr>
            </w:pPr>
            <w:r w:rsidRPr="00A23740">
              <w:rPr>
                <w:b w:val="0"/>
                <w:color w:val="auto"/>
                <w:lang w:val="tr-TR"/>
              </w:rPr>
              <w:t>(b) bendinde, i</w:t>
            </w:r>
            <w:r w:rsidR="006D0EB8" w:rsidRPr="00A23740">
              <w:rPr>
                <w:b w:val="0"/>
                <w:color w:val="auto"/>
                <w:lang w:val="tr-TR"/>
              </w:rPr>
              <w:t>lam hükmüne aykırı davranılması h</w:t>
            </w:r>
            <w:r w:rsidR="002F2BAA" w:rsidRPr="00A23740">
              <w:rPr>
                <w:b w:val="0"/>
                <w:color w:val="auto"/>
                <w:lang w:val="tr-TR"/>
              </w:rPr>
              <w:t>â</w:t>
            </w:r>
            <w:r w:rsidR="006D0EB8" w:rsidRPr="00A23740">
              <w:rPr>
                <w:b w:val="0"/>
                <w:color w:val="auto"/>
                <w:lang w:val="tr-TR"/>
              </w:rPr>
              <w:t>linde, hükmün niteliğine uygun ise ilamın gereğinin zorla yerine getirileceği ve borçlunun</w:t>
            </w:r>
            <w:r w:rsidRPr="00A23740">
              <w:rPr>
                <w:b w:val="0"/>
                <w:color w:val="auto"/>
                <w:lang w:val="tr-TR"/>
              </w:rPr>
              <w:t xml:space="preserve"> </w:t>
            </w:r>
            <w:r w:rsidR="00163E5A" w:rsidRPr="00A23740">
              <w:rPr>
                <w:b w:val="0"/>
                <w:color w:val="auto"/>
                <w:lang w:val="tr-TR"/>
              </w:rPr>
              <w:t>Taslağın</w:t>
            </w:r>
            <w:r w:rsidR="006D0EB8" w:rsidRPr="00A23740">
              <w:rPr>
                <w:b w:val="0"/>
                <w:color w:val="auto"/>
                <w:lang w:val="tr-TR"/>
              </w:rPr>
              <w:t xml:space="preserve"> </w:t>
            </w:r>
            <w:r w:rsidR="00BC4F83" w:rsidRPr="006D2E3C">
              <w:rPr>
                <w:rStyle w:val="KonuBalChar"/>
                <w:rFonts w:eastAsia="Calibri"/>
                <w:color w:val="auto"/>
              </w:rPr>
              <w:t>5</w:t>
            </w:r>
            <w:r w:rsidR="00BC4F83" w:rsidRPr="006D2E3C">
              <w:rPr>
                <w:rStyle w:val="KonuBalChar"/>
                <w:rFonts w:eastAsia="Calibri"/>
                <w:color w:val="auto"/>
                <w:lang w:val="tr-TR"/>
              </w:rPr>
              <w:t>1</w:t>
            </w:r>
            <w:r w:rsidR="00BC4F83" w:rsidRPr="006D2E3C">
              <w:rPr>
                <w:rStyle w:val="KonuBalChar"/>
                <w:rFonts w:eastAsia="Calibri"/>
                <w:color w:val="auto"/>
              </w:rPr>
              <w:t>3 üncü</w:t>
            </w:r>
            <w:r w:rsidR="002824D6" w:rsidRPr="00A23740">
              <w:rPr>
                <w:b w:val="0"/>
                <w:color w:val="auto"/>
                <w:lang w:val="tr-TR"/>
              </w:rPr>
              <w:t xml:space="preserve"> maddesinin dördüncü fıkrasına göre </w:t>
            </w:r>
            <w:r w:rsidR="00640409" w:rsidRPr="00A23740">
              <w:rPr>
                <w:b w:val="0"/>
                <w:color w:val="auto"/>
                <w:lang w:val="tr-TR"/>
              </w:rPr>
              <w:t>disiplin</w:t>
            </w:r>
            <w:r w:rsidR="002824D6" w:rsidRPr="00A23740">
              <w:rPr>
                <w:b w:val="0"/>
                <w:color w:val="auto"/>
                <w:lang w:val="tr-TR"/>
              </w:rPr>
              <w:t xml:space="preserve"> </w:t>
            </w:r>
            <w:r w:rsidR="001647D1" w:rsidRPr="006D2E3C">
              <w:rPr>
                <w:rStyle w:val="MaviChar"/>
                <w:bCs/>
                <w:color w:val="auto"/>
                <w:lang w:val="tr-TR"/>
              </w:rPr>
              <w:t>hapsiyle</w:t>
            </w:r>
            <w:r w:rsidR="001647D1" w:rsidRPr="00A23740">
              <w:rPr>
                <w:lang w:val="tr-TR"/>
              </w:rPr>
              <w:t xml:space="preserve"> </w:t>
            </w:r>
            <w:r w:rsidRPr="00A23740">
              <w:rPr>
                <w:b w:val="0"/>
                <w:color w:val="auto"/>
                <w:lang w:val="tr-TR"/>
              </w:rPr>
              <w:t>cezalandırılacağı yer almaktadır. Borçlu tarafından ilam hükmüne aykırı davranılması ve hükmün niteliğine de uygun olması h</w:t>
            </w:r>
            <w:r w:rsidR="002F2BAA" w:rsidRPr="00A23740">
              <w:rPr>
                <w:b w:val="0"/>
                <w:color w:val="auto"/>
                <w:lang w:val="tr-TR"/>
              </w:rPr>
              <w:t>â</w:t>
            </w:r>
            <w:r w:rsidRPr="00A23740">
              <w:rPr>
                <w:b w:val="0"/>
                <w:color w:val="auto"/>
                <w:lang w:val="tr-TR"/>
              </w:rPr>
              <w:t>linde, ilamın gereğinin zorla yerine getirileceği hususu da madde metnine ayrıca eklenmiştir. Bu durum elbette 76</w:t>
            </w:r>
            <w:r w:rsidR="002824D6" w:rsidRPr="00A23740">
              <w:rPr>
                <w:b w:val="0"/>
                <w:color w:val="auto"/>
                <w:lang w:val="tr-TR"/>
              </w:rPr>
              <w:t xml:space="preserve"> </w:t>
            </w:r>
            <w:r w:rsidRPr="00A23740">
              <w:rPr>
                <w:b w:val="0"/>
                <w:color w:val="auto"/>
                <w:lang w:val="tr-TR"/>
              </w:rPr>
              <w:t>ncı maddedeki kadar belirgin değildir. Hükmün niteliğinin zorla yerine getirmeye uygun olup olmadığının icra ve iflas dairesi tarafından tespit edilmesi ve buna göre davranılması gerekecektir.</w:t>
            </w:r>
          </w:p>
          <w:p w:rsidR="006D0EB8" w:rsidRPr="00A23740" w:rsidRDefault="0022589A" w:rsidP="009431FF">
            <w:pPr>
              <w:pStyle w:val="Mavi"/>
              <w:ind w:firstLine="709"/>
              <w:rPr>
                <w:b w:val="0"/>
                <w:color w:val="auto"/>
                <w:lang w:val="tr-TR"/>
              </w:rPr>
            </w:pPr>
            <w:r w:rsidRPr="00A23740">
              <w:rPr>
                <w:b w:val="0"/>
                <w:color w:val="auto"/>
                <w:lang w:val="tr-TR"/>
              </w:rPr>
              <w:t>(c) bendinde, b</w:t>
            </w:r>
            <w:r w:rsidR="006D0EB8" w:rsidRPr="00A23740">
              <w:rPr>
                <w:b w:val="0"/>
                <w:color w:val="auto"/>
                <w:lang w:val="tr-TR"/>
              </w:rPr>
              <w:t>ir işin yapılmamasına ilişkin ilam hükmü yerine getirildikten sonra ilam hükmüne aykırı davranılması h</w:t>
            </w:r>
            <w:r w:rsidR="002F2BAA" w:rsidRPr="00A23740">
              <w:rPr>
                <w:b w:val="0"/>
                <w:color w:val="auto"/>
                <w:lang w:val="tr-TR"/>
              </w:rPr>
              <w:t>â</w:t>
            </w:r>
            <w:r w:rsidR="006D0EB8" w:rsidRPr="00A23740">
              <w:rPr>
                <w:b w:val="0"/>
                <w:color w:val="auto"/>
                <w:lang w:val="tr-TR"/>
              </w:rPr>
              <w:t xml:space="preserve">linde ilamın gereğinin mahkemeden ayrıca hüküm almaya gerek kalmaksızın tekrar zorla yerine getirileceği ve borçlunun </w:t>
            </w:r>
            <w:r w:rsidR="002824D6" w:rsidRPr="00A23740">
              <w:rPr>
                <w:b w:val="0"/>
                <w:color w:val="auto"/>
                <w:lang w:val="tr-TR"/>
              </w:rPr>
              <w:t xml:space="preserve">Taslağın </w:t>
            </w:r>
            <w:r w:rsidR="00BC4F83" w:rsidRPr="006D2E3C">
              <w:rPr>
                <w:rStyle w:val="KonuBalChar"/>
                <w:rFonts w:eastAsia="Calibri"/>
                <w:color w:val="auto"/>
              </w:rPr>
              <w:t>5</w:t>
            </w:r>
            <w:r w:rsidR="00BC4F83" w:rsidRPr="006D2E3C">
              <w:rPr>
                <w:rStyle w:val="KonuBalChar"/>
                <w:rFonts w:eastAsia="Calibri"/>
                <w:color w:val="auto"/>
                <w:lang w:val="tr-TR"/>
              </w:rPr>
              <w:t>1</w:t>
            </w:r>
            <w:r w:rsidR="00BC4F83" w:rsidRPr="006D2E3C">
              <w:rPr>
                <w:rStyle w:val="KonuBalChar"/>
                <w:rFonts w:eastAsia="Calibri"/>
                <w:color w:val="auto"/>
              </w:rPr>
              <w:t>3</w:t>
            </w:r>
            <w:r w:rsidR="00BC4F83" w:rsidRPr="00A23740">
              <w:rPr>
                <w:rStyle w:val="KonuBalChar"/>
                <w:rFonts w:eastAsia="Calibri"/>
                <w:b/>
              </w:rPr>
              <w:t xml:space="preserve"> </w:t>
            </w:r>
            <w:r w:rsidR="00BC4F83" w:rsidRPr="006D2E3C">
              <w:rPr>
                <w:rStyle w:val="KonuBalChar"/>
                <w:rFonts w:eastAsia="Calibri"/>
                <w:color w:val="auto"/>
              </w:rPr>
              <w:t>üncü</w:t>
            </w:r>
            <w:r w:rsidR="00BC4F83" w:rsidRPr="00A23740">
              <w:rPr>
                <w:lang w:val="tr-TR"/>
              </w:rPr>
              <w:t xml:space="preserve"> </w:t>
            </w:r>
            <w:r w:rsidR="002824D6" w:rsidRPr="00A23740">
              <w:rPr>
                <w:b w:val="0"/>
                <w:color w:val="auto"/>
                <w:lang w:val="tr-TR"/>
              </w:rPr>
              <w:t xml:space="preserve">maddesinin dördüncü fıkrasına göre </w:t>
            </w:r>
            <w:r w:rsidR="00640409" w:rsidRPr="00A23740">
              <w:rPr>
                <w:b w:val="0"/>
                <w:color w:val="auto"/>
                <w:lang w:val="tr-TR"/>
              </w:rPr>
              <w:t>disiplin</w:t>
            </w:r>
            <w:r w:rsidR="002824D6" w:rsidRPr="00A23740">
              <w:rPr>
                <w:b w:val="0"/>
                <w:color w:val="auto"/>
                <w:lang w:val="tr-TR"/>
              </w:rPr>
              <w:t xml:space="preserve"> </w:t>
            </w:r>
            <w:r w:rsidR="001647D1" w:rsidRPr="006D2E3C">
              <w:rPr>
                <w:rStyle w:val="MaviChar"/>
                <w:bCs/>
                <w:color w:val="auto"/>
                <w:lang w:val="tr-TR"/>
              </w:rPr>
              <w:t>hapsiyle</w:t>
            </w:r>
            <w:r w:rsidR="001647D1" w:rsidRPr="00A23740">
              <w:rPr>
                <w:lang w:val="tr-TR"/>
              </w:rPr>
              <w:t xml:space="preserve"> </w:t>
            </w:r>
            <w:r w:rsidR="006D0EB8" w:rsidRPr="00A23740">
              <w:rPr>
                <w:b w:val="0"/>
                <w:color w:val="auto"/>
                <w:lang w:val="tr-TR"/>
              </w:rPr>
              <w:t>tekrar cezalandırılacağı</w:t>
            </w:r>
            <w:r w:rsidRPr="00A23740">
              <w:rPr>
                <w:b w:val="0"/>
                <w:color w:val="auto"/>
                <w:lang w:val="tr-TR"/>
              </w:rPr>
              <w:t xml:space="preserve"> </w:t>
            </w:r>
            <w:r w:rsidR="00DB44FC" w:rsidRPr="00A23740">
              <w:rPr>
                <w:b w:val="0"/>
                <w:color w:val="auto"/>
                <w:lang w:val="tr-TR"/>
              </w:rPr>
              <w:t xml:space="preserve">hususu </w:t>
            </w:r>
            <w:r w:rsidRPr="00A23740">
              <w:rPr>
                <w:b w:val="0"/>
                <w:color w:val="auto"/>
                <w:lang w:val="tr-TR"/>
              </w:rPr>
              <w:t>yer almaktadır.</w:t>
            </w:r>
          </w:p>
          <w:p w:rsidR="0022589A" w:rsidRPr="00A23740" w:rsidRDefault="0022589A" w:rsidP="009431FF">
            <w:pPr>
              <w:pStyle w:val="Mavi"/>
              <w:ind w:firstLine="709"/>
              <w:rPr>
                <w:b w:val="0"/>
                <w:color w:val="auto"/>
                <w:lang w:val="tr-TR"/>
              </w:rPr>
            </w:pPr>
            <w:r w:rsidRPr="00A23740">
              <w:rPr>
                <w:b w:val="0"/>
                <w:color w:val="auto"/>
                <w:lang w:val="tr-TR"/>
              </w:rPr>
              <w:t>(</w:t>
            </w:r>
            <w:r w:rsidR="006D0EB8" w:rsidRPr="00A23740">
              <w:rPr>
                <w:b w:val="0"/>
                <w:color w:val="auto"/>
                <w:lang w:val="tr-TR"/>
              </w:rPr>
              <w:t xml:space="preserve">ç) </w:t>
            </w:r>
            <w:r w:rsidRPr="00A23740">
              <w:rPr>
                <w:b w:val="0"/>
                <w:color w:val="auto"/>
                <w:lang w:val="tr-TR"/>
              </w:rPr>
              <w:t>bendinde, b</w:t>
            </w:r>
            <w:r w:rsidR="006D0EB8" w:rsidRPr="00A23740">
              <w:rPr>
                <w:b w:val="0"/>
                <w:color w:val="auto"/>
                <w:lang w:val="tr-TR"/>
              </w:rPr>
              <w:t>ir işin yapılmamasına ilişkin ilamda yasaklanan işi yapan veya ilamın gereği yerine getirildikten sonra il</w:t>
            </w:r>
            <w:r w:rsidR="00D72007" w:rsidRPr="00A23740">
              <w:rPr>
                <w:b w:val="0"/>
                <w:color w:val="auto"/>
                <w:lang w:val="tr-TR"/>
              </w:rPr>
              <w:t>a</w:t>
            </w:r>
            <w:r w:rsidR="006D0EB8" w:rsidRPr="00A23740">
              <w:rPr>
                <w:b w:val="0"/>
                <w:color w:val="auto"/>
                <w:lang w:val="tr-TR"/>
              </w:rPr>
              <w:t>m hükmüne aykırı davranan borçlunun, alacaklının talebi üzerine icra taz</w:t>
            </w:r>
            <w:r w:rsidRPr="00A23740">
              <w:rPr>
                <w:b w:val="0"/>
                <w:color w:val="auto"/>
                <w:lang w:val="tr-TR"/>
              </w:rPr>
              <w:t xml:space="preserve">minatı ödemeye mahkûm edileceği </w:t>
            </w:r>
            <w:r w:rsidR="00DB44FC" w:rsidRPr="00A23740">
              <w:rPr>
                <w:b w:val="0"/>
                <w:color w:val="auto"/>
                <w:lang w:val="tr-TR"/>
              </w:rPr>
              <w:t xml:space="preserve">ikazı </w:t>
            </w:r>
            <w:r w:rsidRPr="00A23740">
              <w:rPr>
                <w:b w:val="0"/>
                <w:color w:val="auto"/>
                <w:lang w:val="tr-TR"/>
              </w:rPr>
              <w:t>yer almaktadır.</w:t>
            </w:r>
          </w:p>
          <w:p w:rsidR="0007419D" w:rsidRPr="00A23740" w:rsidRDefault="0022589A" w:rsidP="009431FF">
            <w:pPr>
              <w:pStyle w:val="Mavi"/>
              <w:ind w:firstLine="709"/>
              <w:rPr>
                <w:color w:val="auto"/>
                <w:lang w:val="tr-TR"/>
              </w:rPr>
            </w:pPr>
            <w:r w:rsidRPr="00A23740">
              <w:rPr>
                <w:b w:val="0"/>
                <w:color w:val="auto"/>
                <w:lang w:val="tr-TR"/>
              </w:rPr>
              <w:t>İkinci fıkrayla, b</w:t>
            </w:r>
            <w:r w:rsidR="006D0EB8" w:rsidRPr="00A23740">
              <w:rPr>
                <w:b w:val="0"/>
                <w:color w:val="auto"/>
                <w:lang w:val="tr-TR"/>
              </w:rPr>
              <w:t>ir işin yapılmamasına ilişkin ilam hükmü yerine getirildikten sonra borçlu, ilam hükmüne aykırı veya ilamın sonuçlarını ortadan kaldıracak şekilde davranırsa, mahkemeden ayrıca hüküm almaya gerek kalmaksızın, önceki ilam hükm</w:t>
            </w:r>
            <w:r w:rsidRPr="00A23740">
              <w:rPr>
                <w:b w:val="0"/>
                <w:color w:val="auto"/>
                <w:lang w:val="tr-TR"/>
              </w:rPr>
              <w:t>ü</w:t>
            </w:r>
            <w:r w:rsidR="00DB44FC" w:rsidRPr="00A23740">
              <w:rPr>
                <w:b w:val="0"/>
                <w:color w:val="auto"/>
                <w:lang w:val="tr-TR"/>
              </w:rPr>
              <w:t>nün</w:t>
            </w:r>
            <w:r w:rsidRPr="00A23740">
              <w:rPr>
                <w:b w:val="0"/>
                <w:color w:val="auto"/>
                <w:lang w:val="tr-TR"/>
              </w:rPr>
              <w:t xml:space="preserve"> tekrar zorla yerine getirileceği </w:t>
            </w:r>
            <w:r w:rsidR="00DB44FC" w:rsidRPr="00A23740">
              <w:rPr>
                <w:b w:val="0"/>
                <w:color w:val="auto"/>
                <w:lang w:val="tr-TR"/>
              </w:rPr>
              <w:t xml:space="preserve">hususu </w:t>
            </w:r>
            <w:r w:rsidRPr="00A23740">
              <w:rPr>
                <w:b w:val="0"/>
                <w:color w:val="auto"/>
                <w:lang w:val="tr-TR"/>
              </w:rPr>
              <w:t>düzenlenmektedir.</w:t>
            </w:r>
          </w:p>
          <w:p w:rsidR="0007419D" w:rsidRPr="00A23740" w:rsidRDefault="0007419D" w:rsidP="009431FF">
            <w:pPr>
              <w:pStyle w:val="Mavi"/>
              <w:ind w:firstLine="709"/>
              <w:rPr>
                <w:color w:val="auto"/>
                <w:lang w:val="tr-TR"/>
              </w:rPr>
            </w:pPr>
          </w:p>
        </w:tc>
      </w:tr>
      <w:tr w:rsidR="00155AF4" w:rsidRPr="00A23740" w:rsidTr="009431FF">
        <w:tblPrEx>
          <w:tblLook w:val="01E0" w:firstRow="1" w:lastRow="1" w:firstColumn="1" w:lastColumn="1" w:noHBand="0" w:noVBand="0"/>
        </w:tblPrEx>
        <w:tc>
          <w:tcPr>
            <w:tcW w:w="2500" w:type="pct"/>
            <w:tcBorders>
              <w:top w:val="single" w:sz="2" w:space="0" w:color="auto"/>
              <w:left w:val="single" w:sz="2" w:space="0" w:color="auto"/>
              <w:bottom w:val="single" w:sz="2" w:space="0" w:color="auto"/>
              <w:right w:val="single" w:sz="2" w:space="0" w:color="auto"/>
            </w:tcBorders>
          </w:tcPr>
          <w:p w:rsidR="00155AF4" w:rsidRPr="00A23740" w:rsidRDefault="00155AF4" w:rsidP="009431FF">
            <w:pPr>
              <w:shd w:val="clear" w:color="auto" w:fill="FFFFFF"/>
              <w:rPr>
                <w:rFonts w:eastAsia="Times New Roman"/>
                <w:b/>
                <w:i/>
                <w:sz w:val="20"/>
                <w:szCs w:val="20"/>
              </w:rPr>
            </w:pPr>
          </w:p>
        </w:tc>
        <w:tc>
          <w:tcPr>
            <w:tcW w:w="2500" w:type="pct"/>
            <w:tcBorders>
              <w:top w:val="single" w:sz="2" w:space="0" w:color="auto"/>
              <w:left w:val="single" w:sz="2" w:space="0" w:color="auto"/>
              <w:bottom w:val="single" w:sz="2" w:space="0" w:color="auto"/>
              <w:right w:val="single" w:sz="2" w:space="0" w:color="auto"/>
            </w:tcBorders>
          </w:tcPr>
          <w:p w:rsidR="00155AF4" w:rsidRPr="00A23740" w:rsidRDefault="00155AF4" w:rsidP="009431FF">
            <w:pPr>
              <w:pStyle w:val="Mavi"/>
            </w:pPr>
            <w:r w:rsidRPr="00A23740">
              <w:t>Bir işin yapılması veya yapılmamasına ilişkin ilamların ihlalinde icra tazminatı</w:t>
            </w:r>
          </w:p>
          <w:p w:rsidR="00155AF4" w:rsidRPr="00A23740" w:rsidRDefault="00155AF4" w:rsidP="009431FF">
            <w:pPr>
              <w:pStyle w:val="MAV"/>
              <w:rPr>
                <w:u w:val="none"/>
                <w:lang w:val="tr-TR" w:eastAsia="tr-TR"/>
              </w:rPr>
            </w:pPr>
            <w:r w:rsidRPr="00A23740">
              <w:rPr>
                <w:rFonts w:eastAsia="Calibri"/>
                <w:u w:val="none"/>
              </w:rPr>
              <w:t>MADDE</w:t>
            </w:r>
            <w:r w:rsidRPr="00A23740">
              <w:rPr>
                <w:rFonts w:eastAsia="Calibri"/>
                <w:b w:val="0"/>
                <w:bCs w:val="0"/>
                <w:u w:val="none"/>
              </w:rPr>
              <w:t xml:space="preserve"> </w:t>
            </w:r>
            <w:r w:rsidRPr="00A23740">
              <w:rPr>
                <w:rStyle w:val="MaviChar"/>
                <w:rFonts w:eastAsia="ヒラギノ明朝 Pro W3"/>
                <w:b/>
                <w:u w:val="none"/>
              </w:rPr>
              <w:t>78</w:t>
            </w:r>
            <w:r w:rsidRPr="00A23740">
              <w:rPr>
                <w:rFonts w:eastAsia="Calibri"/>
                <w:u w:val="none"/>
              </w:rPr>
              <w:t>- (1) Bir işin yapılmasına ilişkin ilamda emredilen işi süresi içinde kusurlu olarak yapmayan, bir işin yapılmamasına ilişkin il</w:t>
            </w:r>
            <w:r w:rsidRPr="00A23740">
              <w:rPr>
                <w:rStyle w:val="MaviChar"/>
                <w:rFonts w:eastAsia="Calibri"/>
                <w:b/>
                <w:u w:val="none"/>
              </w:rPr>
              <w:t>am</w:t>
            </w:r>
            <w:r w:rsidRPr="00A23740">
              <w:rPr>
                <w:rFonts w:eastAsia="Calibri"/>
                <w:u w:val="none"/>
              </w:rPr>
              <w:t xml:space="preserve">da yasaklanan işi yapan veya ilamın sonuçlarını ortadan kaldıracak şekilde davranan borçlu, alacaklının talebi </w:t>
            </w:r>
            <w:r w:rsidRPr="00A23740">
              <w:rPr>
                <w:rFonts w:eastAsia="Calibri"/>
                <w:u w:val="none"/>
              </w:rPr>
              <w:lastRenderedPageBreak/>
              <w:t xml:space="preserve">üzerine icra hukuk mahkemesince ihlalin gerçekleştiği her gün için </w:t>
            </w:r>
            <w:r w:rsidRPr="00A23740">
              <w:rPr>
                <w:rStyle w:val="MaviChar"/>
                <w:rFonts w:eastAsia="Calibri"/>
                <w:b/>
                <w:u w:val="none"/>
              </w:rPr>
              <w:t>bin</w:t>
            </w:r>
            <w:r w:rsidRPr="00A23740">
              <w:rPr>
                <w:rFonts w:eastAsia="Calibri"/>
                <w:u w:val="none"/>
                <w:lang w:val="tr-TR"/>
              </w:rPr>
              <w:t xml:space="preserve"> </w:t>
            </w:r>
            <w:r w:rsidRPr="00A23740">
              <w:rPr>
                <w:rFonts w:eastAsia="Calibri"/>
                <w:u w:val="none"/>
              </w:rPr>
              <w:t xml:space="preserve">Türk </w:t>
            </w:r>
            <w:r w:rsidR="00D73CDF" w:rsidRPr="00A23740">
              <w:rPr>
                <w:rFonts w:eastAsia="Calibri"/>
                <w:u w:val="none"/>
              </w:rPr>
              <w:t>liras</w:t>
            </w:r>
            <w:r w:rsidR="00D73CDF" w:rsidRPr="00A23740">
              <w:rPr>
                <w:rFonts w:eastAsia="Calibri"/>
                <w:u w:val="none"/>
                <w:lang w:val="tr-TR"/>
              </w:rPr>
              <w:t>ı</w:t>
            </w:r>
            <w:r w:rsidR="00D73CDF" w:rsidRPr="00A23740">
              <w:rPr>
                <w:rFonts w:eastAsia="Calibri"/>
                <w:u w:val="none"/>
              </w:rPr>
              <w:t xml:space="preserve">ndan </w:t>
            </w:r>
            <w:r w:rsidRPr="00A23740">
              <w:rPr>
                <w:rFonts w:eastAsia="Calibri"/>
                <w:u w:val="none"/>
              </w:rPr>
              <w:t>aşağı olmamak üzere alacaklıya icra tazminatı ödemeye mahkûm edilir.</w:t>
            </w:r>
          </w:p>
          <w:p w:rsidR="00155AF4" w:rsidRPr="00A23740" w:rsidRDefault="00155AF4" w:rsidP="009431FF">
            <w:pPr>
              <w:pStyle w:val="MAV"/>
              <w:rPr>
                <w:u w:val="none"/>
                <w:lang w:val="tr-TR" w:eastAsia="tr-TR"/>
              </w:rPr>
            </w:pPr>
          </w:p>
          <w:p w:rsidR="00155AF4" w:rsidRPr="00A23740" w:rsidRDefault="00155AF4" w:rsidP="009431FF">
            <w:pPr>
              <w:pStyle w:val="MAV"/>
              <w:rPr>
                <w:u w:val="none"/>
                <w:lang w:val="tr-TR" w:eastAsia="tr-TR"/>
              </w:rPr>
            </w:pPr>
            <w:r w:rsidRPr="00A23740">
              <w:rPr>
                <w:rFonts w:eastAsia="Calibri"/>
                <w:u w:val="none"/>
              </w:rPr>
              <w:t>(2) Mahkeme, takdir edeceği icra tazminatının miktarını, hükmün konusu ile hükmolunan edimin niteliği, i</w:t>
            </w:r>
            <w:r w:rsidRPr="00A23740">
              <w:rPr>
                <w:rStyle w:val="MaviChar"/>
                <w:rFonts w:eastAsia="Calibri"/>
                <w:b/>
                <w:u w:val="none"/>
              </w:rPr>
              <w:t>hlali</w:t>
            </w:r>
            <w:r w:rsidRPr="00A23740">
              <w:rPr>
                <w:rFonts w:eastAsia="Calibri"/>
                <w:u w:val="none"/>
              </w:rPr>
              <w:t>n ağırlığı ve ihlal süresi ile orantılı olacak şekilde belirler.</w:t>
            </w:r>
            <w:r w:rsidRPr="00A23740">
              <w:rPr>
                <w:u w:val="none"/>
                <w:lang w:val="tr-TR" w:eastAsia="tr-TR"/>
              </w:rPr>
              <w:t xml:space="preserve"> </w:t>
            </w:r>
            <w:r w:rsidRPr="00A23740">
              <w:rPr>
                <w:rFonts w:eastAsia="Calibri"/>
                <w:u w:val="none"/>
              </w:rPr>
              <w:t xml:space="preserve">Bu şekilde takdir edilecek tazminatın toplamı </w:t>
            </w:r>
            <w:r w:rsidRPr="00A23740">
              <w:rPr>
                <w:rStyle w:val="MaviChar"/>
                <w:rFonts w:eastAsia="Calibri"/>
                <w:b/>
                <w:u w:val="none"/>
              </w:rPr>
              <w:t>bir milyon</w:t>
            </w:r>
            <w:r w:rsidRPr="00A23740">
              <w:rPr>
                <w:rFonts w:eastAsia="Calibri"/>
                <w:u w:val="none"/>
                <w:lang w:val="tr-TR"/>
              </w:rPr>
              <w:t xml:space="preserve"> </w:t>
            </w:r>
            <w:r w:rsidRPr="00A23740">
              <w:rPr>
                <w:rFonts w:eastAsia="Calibri"/>
                <w:u w:val="none"/>
              </w:rPr>
              <w:t xml:space="preserve">Türk </w:t>
            </w:r>
            <w:r w:rsidR="00D73CDF" w:rsidRPr="00A23740">
              <w:rPr>
                <w:rFonts w:eastAsia="Calibri"/>
                <w:u w:val="none"/>
              </w:rPr>
              <w:t>liras</w:t>
            </w:r>
            <w:r w:rsidR="00D73CDF" w:rsidRPr="00A23740">
              <w:rPr>
                <w:rFonts w:eastAsia="Calibri"/>
                <w:u w:val="none"/>
                <w:lang w:val="tr-TR"/>
              </w:rPr>
              <w:t>ı</w:t>
            </w:r>
            <w:r w:rsidR="00D73CDF" w:rsidRPr="00A23740">
              <w:rPr>
                <w:rFonts w:eastAsia="Calibri"/>
                <w:u w:val="none"/>
              </w:rPr>
              <w:t>n</w:t>
            </w:r>
            <w:r w:rsidR="00D73CDF" w:rsidRPr="00A23740">
              <w:rPr>
                <w:rFonts w:eastAsia="Calibri"/>
                <w:u w:val="none"/>
                <w:lang w:val="tr-TR"/>
              </w:rPr>
              <w:t>ı</w:t>
            </w:r>
            <w:r w:rsidR="00D73CDF" w:rsidRPr="00A23740">
              <w:rPr>
                <w:rFonts w:eastAsia="Calibri"/>
                <w:u w:val="none"/>
              </w:rPr>
              <w:t xml:space="preserve"> </w:t>
            </w:r>
            <w:r w:rsidRPr="00A23740">
              <w:rPr>
                <w:rFonts w:eastAsia="Calibri"/>
                <w:u w:val="none"/>
              </w:rPr>
              <w:t>geçemez.</w:t>
            </w:r>
          </w:p>
          <w:p w:rsidR="006846DE" w:rsidRPr="00A23740" w:rsidRDefault="006846DE" w:rsidP="009431FF">
            <w:pPr>
              <w:pStyle w:val="MAV"/>
              <w:rPr>
                <w:u w:val="none"/>
                <w:lang w:val="tr-TR"/>
              </w:rPr>
            </w:pPr>
          </w:p>
          <w:p w:rsidR="00155AF4" w:rsidRPr="00A23740" w:rsidRDefault="00155AF4" w:rsidP="009431FF">
            <w:pPr>
              <w:pStyle w:val="MAV"/>
              <w:rPr>
                <w:u w:val="none"/>
                <w:lang w:val="tr-TR"/>
              </w:rPr>
            </w:pPr>
            <w:r w:rsidRPr="00A23740">
              <w:rPr>
                <w:rFonts w:eastAsia="Calibri"/>
                <w:u w:val="none"/>
              </w:rPr>
              <w:t xml:space="preserve">(3) </w:t>
            </w:r>
            <w:r w:rsidRPr="00A23740">
              <w:rPr>
                <w:rFonts w:eastAsia="Calibri"/>
                <w:u w:val="none"/>
                <w:lang w:val="tr-TR"/>
              </w:rPr>
              <w:t xml:space="preserve">İcra tazminatı talep </w:t>
            </w:r>
            <w:r w:rsidRPr="00A23740">
              <w:rPr>
                <w:rStyle w:val="MaviChar"/>
                <w:rFonts w:eastAsia="Calibri"/>
                <w:b/>
                <w:u w:val="none"/>
              </w:rPr>
              <w:t>hakkı</w:t>
            </w:r>
            <w:r w:rsidRPr="00A23740">
              <w:rPr>
                <w:rStyle w:val="MaviChar"/>
                <w:rFonts w:eastAsia="ヒラギノ明朝 Pro W3"/>
                <w:b/>
                <w:u w:val="none"/>
              </w:rPr>
              <w:t xml:space="preserve">, bir işin yapılmasına ilişkin </w:t>
            </w:r>
            <w:r w:rsidRPr="00A23740">
              <w:rPr>
                <w:rStyle w:val="MaviChar"/>
                <w:b/>
                <w:u w:val="none"/>
              </w:rPr>
              <w:t xml:space="preserve">icra emrinde verilen sürenin sona ermesinden </w:t>
            </w:r>
            <w:r w:rsidRPr="00A23740">
              <w:rPr>
                <w:rStyle w:val="MaviChar"/>
                <w:rFonts w:eastAsia="ヒラギノ明朝 Pro W3"/>
                <w:b/>
                <w:u w:val="none"/>
              </w:rPr>
              <w:t>veya bir işin yapılmamasına ilişkin icra emrinin tebliğinden</w:t>
            </w:r>
            <w:r w:rsidRPr="00A23740">
              <w:rPr>
                <w:rStyle w:val="MaviChar"/>
                <w:b/>
                <w:u w:val="none"/>
              </w:rPr>
              <w:t xml:space="preserve"> itibaren iki yıl geçmekle </w:t>
            </w:r>
            <w:r w:rsidRPr="00A23740">
              <w:rPr>
                <w:rStyle w:val="MaviChar"/>
                <w:rFonts w:eastAsia="ヒラギノ明朝 Pro W3"/>
                <w:b/>
                <w:u w:val="none"/>
              </w:rPr>
              <w:t>düşer.</w:t>
            </w:r>
            <w:r w:rsidRPr="00A23740">
              <w:rPr>
                <w:u w:val="none"/>
                <w:lang w:val="tr-TR"/>
              </w:rPr>
              <w:t xml:space="preserve"> </w:t>
            </w:r>
            <w:r w:rsidR="0018764D" w:rsidRPr="00A23740">
              <w:rPr>
                <w:rStyle w:val="MaviChar"/>
                <w:rFonts w:eastAsia="ヒラギノ明朝 Pro W3"/>
                <w:b/>
                <w:u w:val="none"/>
              </w:rPr>
              <w:t>Şu kadar ki, icra hukuk mahkemesinden talep edilecek icra tazminatının hak düşümüne uğraması genel mahkemede tazminat talebinin ileri sürülmesine engel teşkil etmez.</w:t>
            </w:r>
          </w:p>
          <w:p w:rsidR="00155AF4" w:rsidRPr="00A23740" w:rsidRDefault="00155AF4" w:rsidP="009431FF">
            <w:pPr>
              <w:pStyle w:val="MAV"/>
              <w:rPr>
                <w:u w:val="none"/>
                <w:lang w:val="tr-TR"/>
              </w:rPr>
            </w:pPr>
          </w:p>
          <w:p w:rsidR="00155AF4" w:rsidRPr="00A23740" w:rsidRDefault="00155AF4" w:rsidP="009431FF">
            <w:pPr>
              <w:pStyle w:val="MAV"/>
              <w:rPr>
                <w:rStyle w:val="MaviChar"/>
                <w:rFonts w:eastAsia="ヒラギノ明朝 Pro W3"/>
                <w:b/>
                <w:strike/>
                <w:color w:val="FF0000"/>
                <w:u w:val="none"/>
              </w:rPr>
            </w:pPr>
            <w:r w:rsidRPr="00A23740">
              <w:rPr>
                <w:u w:val="none"/>
                <w:lang w:val="tr-TR"/>
              </w:rPr>
              <w:t xml:space="preserve">(4) </w:t>
            </w:r>
            <w:r w:rsidRPr="00A23740">
              <w:rPr>
                <w:rStyle w:val="MaviChar"/>
                <w:b/>
                <w:u w:val="none"/>
              </w:rPr>
              <w:t>Alacaklını</w:t>
            </w:r>
            <w:r w:rsidRPr="00D51A11">
              <w:rPr>
                <w:rStyle w:val="MaviChar"/>
                <w:b/>
                <w:u w:val="none"/>
              </w:rPr>
              <w:t>n</w:t>
            </w:r>
            <w:r w:rsidR="006351CA" w:rsidRPr="00D51A11">
              <w:rPr>
                <w:rStyle w:val="MaviChar"/>
                <w:b/>
                <w:u w:val="none"/>
              </w:rPr>
              <w:t>,</w:t>
            </w:r>
            <w:r w:rsidRPr="00A23740">
              <w:rPr>
                <w:rStyle w:val="MaviChar"/>
                <w:b/>
                <w:color w:val="FF0000"/>
                <w:u w:val="none"/>
              </w:rPr>
              <w:t xml:space="preserve"> </w:t>
            </w:r>
            <w:r w:rsidRPr="00A23740">
              <w:rPr>
                <w:rStyle w:val="MaviChar"/>
                <w:b/>
                <w:u w:val="none"/>
                <w:lang w:val="tr-TR"/>
              </w:rPr>
              <w:t>ikinci</w:t>
            </w:r>
            <w:r w:rsidRPr="00A23740">
              <w:rPr>
                <w:rStyle w:val="MaviChar"/>
                <w:b/>
                <w:u w:val="none"/>
              </w:rPr>
              <w:t xml:space="preserve"> fıkra uyarınca takdir edilen miktarı </w:t>
            </w:r>
            <w:r w:rsidRPr="006D2E3C">
              <w:rPr>
                <w:rStyle w:val="MaviChar"/>
                <w:b/>
                <w:u w:val="none"/>
              </w:rPr>
              <w:t>aş</w:t>
            </w:r>
            <w:r w:rsidR="006351CA" w:rsidRPr="006D2E3C">
              <w:rPr>
                <w:rStyle w:val="YELChar"/>
                <w:b/>
                <w:color w:val="0000FF"/>
                <w:u w:val="none"/>
              </w:rPr>
              <w:t>an</w:t>
            </w:r>
            <w:r w:rsidR="006351CA" w:rsidRPr="006D2E3C">
              <w:rPr>
                <w:rStyle w:val="YELChar"/>
                <w:b/>
                <w:color w:val="0000FF"/>
                <w:u w:val="none"/>
                <w:lang w:val="tr-TR"/>
              </w:rPr>
              <w:t xml:space="preserve"> bir zararının oluşması h</w:t>
            </w:r>
            <w:r w:rsidR="002F2BAA" w:rsidRPr="006D2E3C">
              <w:rPr>
                <w:rStyle w:val="YELChar"/>
                <w:b/>
                <w:color w:val="0000FF"/>
                <w:u w:val="none"/>
                <w:lang w:val="tr-TR"/>
              </w:rPr>
              <w:t>â</w:t>
            </w:r>
            <w:r w:rsidR="006351CA" w:rsidRPr="006D2E3C">
              <w:rPr>
                <w:rStyle w:val="YELChar"/>
                <w:b/>
                <w:color w:val="0000FF"/>
                <w:u w:val="none"/>
                <w:lang w:val="tr-TR"/>
              </w:rPr>
              <w:t>linde</w:t>
            </w:r>
            <w:r w:rsidRPr="00A23740">
              <w:rPr>
                <w:rStyle w:val="MaviChar"/>
                <w:b/>
                <w:u w:val="none"/>
              </w:rPr>
              <w:t xml:space="preserve"> </w:t>
            </w:r>
            <w:r w:rsidRPr="00A23740">
              <w:rPr>
                <w:rStyle w:val="MaviChar"/>
                <w:rFonts w:eastAsia="ヒラギノ明朝 Pro W3"/>
                <w:b/>
                <w:u w:val="none"/>
              </w:rPr>
              <w:t xml:space="preserve">veya hak düşürücü sürenin geçmesinden sonraki tazminat talepleri bakımından, </w:t>
            </w:r>
            <w:r w:rsidRPr="00A23740">
              <w:rPr>
                <w:rStyle w:val="MaviChar"/>
                <w:b/>
                <w:u w:val="none"/>
              </w:rPr>
              <w:t>genel hükümlere göre dava açma hakkı saklıdır.</w:t>
            </w:r>
          </w:p>
          <w:p w:rsidR="00155AF4" w:rsidRPr="00A23740" w:rsidRDefault="00155AF4" w:rsidP="009431FF">
            <w:pPr>
              <w:pStyle w:val="MAV"/>
              <w:rPr>
                <w:color w:val="FF0000"/>
                <w:u w:val="none"/>
                <w:lang w:val="tr-TR"/>
              </w:rPr>
            </w:pPr>
          </w:p>
          <w:p w:rsidR="00155AF4" w:rsidRPr="00A23740" w:rsidRDefault="00155AF4" w:rsidP="009431FF">
            <w:pPr>
              <w:pStyle w:val="MAV"/>
              <w:rPr>
                <w:rStyle w:val="Stil3Char"/>
                <w:u w:val="none"/>
              </w:rPr>
            </w:pPr>
            <w:r w:rsidRPr="00A23740">
              <w:rPr>
                <w:rFonts w:eastAsia="Calibri"/>
                <w:u w:val="none"/>
              </w:rPr>
              <w:t xml:space="preserve">(5) </w:t>
            </w:r>
            <w:r w:rsidRPr="00A23740">
              <w:rPr>
                <w:rStyle w:val="MaviChar"/>
                <w:rFonts w:eastAsia="ヒラギノ明朝 Pro W3"/>
                <w:b/>
                <w:u w:val="none"/>
              </w:rPr>
              <w:t>Hükmedilen</w:t>
            </w:r>
            <w:r w:rsidRPr="00A23740">
              <w:rPr>
                <w:rStyle w:val="MaviChar"/>
                <w:rFonts w:eastAsia="Calibri"/>
                <w:b/>
                <w:u w:val="none"/>
              </w:rPr>
              <w:t xml:space="preserve"> icra tazminatı, ilamın icraya konulduğu dosya üzerinden</w:t>
            </w:r>
            <w:r w:rsidRPr="00A23740">
              <w:rPr>
                <w:rStyle w:val="MaviChar"/>
                <w:b/>
                <w:u w:val="none"/>
              </w:rPr>
              <w:t xml:space="preserve"> </w:t>
            </w:r>
            <w:r w:rsidRPr="00A23740">
              <w:rPr>
                <w:rStyle w:val="MaviChar"/>
                <w:rFonts w:eastAsia="ヒラギノ明朝 Pro W3"/>
                <w:b/>
                <w:u w:val="none"/>
              </w:rPr>
              <w:t xml:space="preserve">genel hükümlere göre </w:t>
            </w:r>
            <w:r w:rsidRPr="00A23740">
              <w:rPr>
                <w:rStyle w:val="MaviChar"/>
                <w:rFonts w:eastAsia="Calibri"/>
                <w:b/>
                <w:u w:val="none"/>
              </w:rPr>
              <w:t>icra</w:t>
            </w:r>
            <w:r w:rsidRPr="00A23740">
              <w:rPr>
                <w:rFonts w:eastAsia="Calibri"/>
                <w:u w:val="none"/>
              </w:rPr>
              <w:t xml:space="preserve"> edilir.</w:t>
            </w:r>
            <w:r w:rsidRPr="00A23740">
              <w:rPr>
                <w:u w:val="none"/>
                <w:lang w:val="tr-TR"/>
              </w:rPr>
              <w:t xml:space="preserve"> </w:t>
            </w:r>
          </w:p>
          <w:p w:rsidR="00155AF4" w:rsidRPr="00A23740" w:rsidRDefault="00155AF4" w:rsidP="009431FF">
            <w:pPr>
              <w:pStyle w:val="Mavi"/>
            </w:pPr>
          </w:p>
          <w:p w:rsidR="00155AF4" w:rsidRPr="00A23740" w:rsidRDefault="00155AF4" w:rsidP="009431FF">
            <w:pPr>
              <w:pStyle w:val="Mavi"/>
              <w:rPr>
                <w:rStyle w:val="YELChar"/>
              </w:rPr>
            </w:pPr>
            <w:r w:rsidRPr="00A23740">
              <w:rPr>
                <w:rStyle w:val="MaviChar"/>
                <w:b/>
                <w:bCs/>
              </w:rPr>
              <w:t>(6) Bu madde hükümleri sadece</w:t>
            </w:r>
            <w:r w:rsidRPr="00A23740">
              <w:rPr>
                <w:rStyle w:val="YELChar"/>
                <w:rFonts w:eastAsia="Calibri"/>
                <w:b/>
                <w:color w:val="0000FF"/>
                <w:lang w:eastAsia="x-none"/>
              </w:rPr>
              <w:t xml:space="preserve"> mahkeme</w:t>
            </w:r>
            <w:r w:rsidRPr="00A23740">
              <w:rPr>
                <w:rStyle w:val="MaviChar"/>
                <w:b/>
                <w:bCs/>
              </w:rPr>
              <w:t xml:space="preserve"> ilamları</w:t>
            </w:r>
            <w:r w:rsidRPr="00A23740">
              <w:rPr>
                <w:rStyle w:val="MaviChar"/>
                <w:b/>
              </w:rPr>
              <w:t xml:space="preserve"> ve hakem</w:t>
            </w:r>
            <w:r w:rsidRPr="00A23740">
              <w:t xml:space="preserve"> </w:t>
            </w:r>
            <w:r w:rsidRPr="00A23740">
              <w:rPr>
                <w:rStyle w:val="MaviChar"/>
                <w:b/>
              </w:rPr>
              <w:t>kararları hakkında uygulanır.</w:t>
            </w:r>
            <w:r w:rsidRPr="00A23740">
              <w:t xml:space="preserve"> </w:t>
            </w:r>
          </w:p>
          <w:p w:rsidR="00155AF4" w:rsidRPr="00A23740" w:rsidRDefault="00155AF4" w:rsidP="009431FF">
            <w:pPr>
              <w:pStyle w:val="MAV"/>
              <w:rPr>
                <w:u w:val="none"/>
                <w:lang w:val="tr-TR"/>
              </w:rPr>
            </w:pPr>
          </w:p>
          <w:p w:rsidR="00155AF4" w:rsidRDefault="00155AF4" w:rsidP="009431FF">
            <w:pPr>
              <w:pStyle w:val="Mavi"/>
            </w:pPr>
            <w:r w:rsidRPr="00A23740">
              <w:t xml:space="preserve">(7) Bu madde hükümleri borçlu hakkında </w:t>
            </w:r>
            <w:r w:rsidR="00D73CDF" w:rsidRPr="006D2E3C">
              <w:rPr>
                <w:rStyle w:val="KonuBalChar"/>
                <w:rFonts w:eastAsia="Calibri"/>
                <w:b/>
                <w:color w:val="0000FF"/>
              </w:rPr>
              <w:t>5</w:t>
            </w:r>
            <w:r w:rsidR="00D73CDF" w:rsidRPr="006D2E3C">
              <w:rPr>
                <w:rStyle w:val="KonuBalChar"/>
                <w:rFonts w:eastAsia="Calibri"/>
                <w:b/>
                <w:color w:val="0000FF"/>
                <w:lang w:val="tr-TR"/>
              </w:rPr>
              <w:t>1</w:t>
            </w:r>
            <w:r w:rsidR="00D73CDF" w:rsidRPr="006D2E3C">
              <w:rPr>
                <w:rStyle w:val="KonuBalChar"/>
                <w:rFonts w:eastAsia="Calibri"/>
                <w:b/>
                <w:color w:val="0000FF"/>
              </w:rPr>
              <w:t>3 üncü</w:t>
            </w:r>
            <w:r w:rsidR="00D73CDF" w:rsidRPr="006D2E3C">
              <w:rPr>
                <w:lang w:val="tr-TR"/>
              </w:rPr>
              <w:t xml:space="preserve"> </w:t>
            </w:r>
            <w:r w:rsidRPr="00A23740">
              <w:t>madde uyarınca disiplin ve tazyik hapsi uygulanmasını engellemez.</w:t>
            </w:r>
          </w:p>
          <w:p w:rsidR="009C5516" w:rsidRDefault="009C5516" w:rsidP="009431FF">
            <w:pPr>
              <w:pStyle w:val="Mavi"/>
            </w:pPr>
          </w:p>
          <w:p w:rsidR="009C5516" w:rsidRPr="00A23740" w:rsidRDefault="009C5516" w:rsidP="009431FF">
            <w:pPr>
              <w:pStyle w:val="Mavi"/>
            </w:pPr>
          </w:p>
          <w:p w:rsidR="00155AF4" w:rsidRPr="00A23740" w:rsidRDefault="00155AF4" w:rsidP="009431FF">
            <w:pPr>
              <w:rPr>
                <w:lang w:eastAsia="tr-TR"/>
              </w:rPr>
            </w:pPr>
          </w:p>
        </w:tc>
      </w:tr>
      <w:tr w:rsidR="00155AF4" w:rsidRPr="00A23740" w:rsidTr="009431FF">
        <w:tc>
          <w:tcPr>
            <w:tcW w:w="5000" w:type="pct"/>
            <w:gridSpan w:val="2"/>
            <w:shd w:val="clear" w:color="auto" w:fill="DEEAF6"/>
          </w:tcPr>
          <w:p w:rsidR="000E01C4" w:rsidRPr="00A23740" w:rsidRDefault="000E01C4" w:rsidP="009431FF">
            <w:pPr>
              <w:pStyle w:val="Mavi"/>
              <w:rPr>
                <w:color w:val="auto"/>
                <w:lang w:val="tr-TR"/>
              </w:rPr>
            </w:pPr>
          </w:p>
          <w:p w:rsidR="000E01C4" w:rsidRPr="00A23740" w:rsidRDefault="000E01C4" w:rsidP="009431FF">
            <w:pPr>
              <w:tabs>
                <w:tab w:val="left" w:pos="567"/>
              </w:tabs>
              <w:ind w:firstLine="709"/>
              <w:rPr>
                <w:bCs/>
                <w:szCs w:val="24"/>
                <w:lang w:eastAsia="x-none"/>
              </w:rPr>
            </w:pPr>
            <w:r w:rsidRPr="00A23740">
              <w:rPr>
                <w:b/>
                <w:bCs/>
                <w:szCs w:val="24"/>
                <w:lang w:eastAsia="x-none"/>
              </w:rPr>
              <w:t>MADDE 78-</w:t>
            </w:r>
            <w:r w:rsidRPr="00A23740">
              <w:rPr>
                <w:bCs/>
                <w:szCs w:val="24"/>
                <w:lang w:eastAsia="x-none"/>
              </w:rPr>
              <w:t xml:space="preserve"> Maddeyle, bir işin yapılması veya yapılmamasına ilişkin ilamların ihlalinde icra tazminatı, cebr</w:t>
            </w:r>
            <w:r w:rsidR="00436506" w:rsidRPr="00A23740">
              <w:rPr>
                <w:bCs/>
                <w:szCs w:val="24"/>
                <w:lang w:eastAsia="x-none"/>
              </w:rPr>
              <w:t>î</w:t>
            </w:r>
            <w:r w:rsidRPr="00A23740">
              <w:rPr>
                <w:bCs/>
                <w:szCs w:val="24"/>
                <w:lang w:eastAsia="x-none"/>
              </w:rPr>
              <w:t xml:space="preserve"> icra hukukumuzda yeni bir kurum olarak düzenlenmektedir. </w:t>
            </w:r>
          </w:p>
          <w:p w:rsidR="000E01C4" w:rsidRPr="00A23740" w:rsidRDefault="000E01C4" w:rsidP="009431FF">
            <w:pPr>
              <w:tabs>
                <w:tab w:val="left" w:pos="567"/>
              </w:tabs>
              <w:ind w:firstLine="709"/>
              <w:rPr>
                <w:bCs/>
                <w:szCs w:val="24"/>
                <w:lang w:eastAsia="x-none"/>
              </w:rPr>
            </w:pPr>
            <w:r w:rsidRPr="00A23740">
              <w:rPr>
                <w:bCs/>
                <w:szCs w:val="24"/>
                <w:lang w:eastAsia="x-none"/>
              </w:rPr>
              <w:t>2004 sayılı Kanunda, bir işin yapılması veya yapılmaması hakkındaki ilamların gereğinin yerine getirilmemesi h</w:t>
            </w:r>
            <w:r w:rsidR="002F2BAA" w:rsidRPr="00A23740">
              <w:rPr>
                <w:bCs/>
                <w:szCs w:val="24"/>
                <w:lang w:eastAsia="x-none"/>
              </w:rPr>
              <w:t>â</w:t>
            </w:r>
            <w:r w:rsidRPr="00A23740">
              <w:rPr>
                <w:bCs/>
                <w:szCs w:val="24"/>
                <w:lang w:eastAsia="x-none"/>
              </w:rPr>
              <w:t>linde sadece niteliğine göre zorla yerine getirme ve ceza kurumları öngörülmüştür. Ancak özellikle zorla yerine getirmenin mümkün olmadığı h</w:t>
            </w:r>
            <w:r w:rsidR="002F2BAA" w:rsidRPr="00A23740">
              <w:rPr>
                <w:bCs/>
                <w:szCs w:val="24"/>
                <w:lang w:eastAsia="x-none"/>
              </w:rPr>
              <w:t>â</w:t>
            </w:r>
            <w:r w:rsidRPr="00A23740">
              <w:rPr>
                <w:bCs/>
                <w:szCs w:val="24"/>
                <w:lang w:eastAsia="x-none"/>
              </w:rPr>
              <w:t>llerde, borçlu sadece ceza yaptırımıyla karşılaşmakta; bunun ise alacaklıya doğrudan faydası olmamaktadır. Bu husus, öğreti ve uygulamada haklı eleştirilere maruz kalmaktadır. Bu çerçevede karşılaştırmalı hukukta meseleye getirilen çözümler incelenmiş ve borçlunun, bir işin yapılması veya yapılmamasına ilişkin ilama aykırı davranması h</w:t>
            </w:r>
            <w:r w:rsidR="002F2BAA" w:rsidRPr="00A23740">
              <w:rPr>
                <w:bCs/>
                <w:szCs w:val="24"/>
                <w:lang w:eastAsia="x-none"/>
              </w:rPr>
              <w:t>â</w:t>
            </w:r>
            <w:r w:rsidRPr="00A23740">
              <w:rPr>
                <w:bCs/>
                <w:szCs w:val="24"/>
                <w:lang w:eastAsia="x-none"/>
              </w:rPr>
              <w:t>linde cezalandırılmasının yanı sıra, hukuki sorumluluğunun da doğrudan cebr</w:t>
            </w:r>
            <w:r w:rsidR="00436506" w:rsidRPr="00A23740">
              <w:rPr>
                <w:bCs/>
                <w:szCs w:val="24"/>
                <w:lang w:eastAsia="x-none"/>
              </w:rPr>
              <w:t>î</w:t>
            </w:r>
            <w:r w:rsidRPr="00A23740">
              <w:rPr>
                <w:bCs/>
                <w:szCs w:val="24"/>
                <w:lang w:eastAsia="x-none"/>
              </w:rPr>
              <w:t xml:space="preserve"> icra hukuku içerisinde düzenlenmesi esası bu madde ile kabul edilmiştir (</w:t>
            </w:r>
            <w:r w:rsidR="00F67963" w:rsidRPr="00A23740">
              <w:rPr>
                <w:bCs/>
                <w:szCs w:val="24"/>
                <w:lang w:eastAsia="x-none"/>
              </w:rPr>
              <w:t xml:space="preserve">örneğin </w:t>
            </w:r>
            <w:r w:rsidRPr="00A23740">
              <w:rPr>
                <w:bCs/>
                <w:szCs w:val="24"/>
                <w:lang w:eastAsia="x-none"/>
              </w:rPr>
              <w:t>Alman Medeni Usul Kanunu m</w:t>
            </w:r>
            <w:r w:rsidR="00F67963" w:rsidRPr="00A23740">
              <w:rPr>
                <w:bCs/>
                <w:szCs w:val="24"/>
                <w:lang w:eastAsia="x-none"/>
              </w:rPr>
              <w:t>.</w:t>
            </w:r>
            <w:r w:rsidRPr="00A23740">
              <w:rPr>
                <w:bCs/>
                <w:szCs w:val="24"/>
                <w:lang w:eastAsia="x-none"/>
              </w:rPr>
              <w:t>890-892</w:t>
            </w:r>
            <w:r w:rsidR="00F67963" w:rsidRPr="00A23740">
              <w:rPr>
                <w:bCs/>
                <w:szCs w:val="24"/>
                <w:lang w:eastAsia="x-none"/>
              </w:rPr>
              <w:t>,</w:t>
            </w:r>
            <w:r w:rsidRPr="00A23740">
              <w:rPr>
                <w:bCs/>
                <w:szCs w:val="24"/>
                <w:lang w:eastAsia="x-none"/>
              </w:rPr>
              <w:t xml:space="preserve"> Avusturya İcra Kanunu m</w:t>
            </w:r>
            <w:r w:rsidR="00F67963" w:rsidRPr="00A23740">
              <w:rPr>
                <w:bCs/>
                <w:szCs w:val="24"/>
                <w:lang w:eastAsia="x-none"/>
              </w:rPr>
              <w:t>.</w:t>
            </w:r>
            <w:r w:rsidRPr="00A23740">
              <w:rPr>
                <w:bCs/>
                <w:szCs w:val="24"/>
                <w:lang w:eastAsia="x-none"/>
              </w:rPr>
              <w:t xml:space="preserve"> 355-357, İsviçre </w:t>
            </w:r>
            <w:r w:rsidR="00F67963" w:rsidRPr="00A23740">
              <w:rPr>
                <w:bCs/>
                <w:szCs w:val="24"/>
                <w:lang w:eastAsia="x-none"/>
              </w:rPr>
              <w:t xml:space="preserve">Medeni Usul </w:t>
            </w:r>
            <w:r w:rsidRPr="00A23740">
              <w:rPr>
                <w:bCs/>
                <w:szCs w:val="24"/>
                <w:lang w:eastAsia="x-none"/>
              </w:rPr>
              <w:t>Kanunu m</w:t>
            </w:r>
            <w:r w:rsidR="00F67963" w:rsidRPr="00A23740">
              <w:rPr>
                <w:bCs/>
                <w:szCs w:val="24"/>
                <w:lang w:eastAsia="x-none"/>
              </w:rPr>
              <w:t>.</w:t>
            </w:r>
            <w:r w:rsidRPr="00A23740">
              <w:rPr>
                <w:bCs/>
                <w:szCs w:val="24"/>
                <w:lang w:eastAsia="x-none"/>
              </w:rPr>
              <w:t xml:space="preserve"> 343). Maddede düzenlenmiş olan tazminata, icra tazminatı ismi verilmesi uygun görülmüştür. İcra tazminatı, ilamsız icrada düzenlenmiş olan icra inkâr tazminatına benzer şekilde, zarardan belli bir ölçüye kadar soyutlanmış olan, kısmen cezai nitelikte bir tazminattır. İcra tazminatına hükmedilebilmesi için, alacaklının bir zararının oluşması ve bu zararın ispatı gerekmeyecektir. Borçlunun ilamda emredilen işi süresi içinde kusurlu olarak yapmaması, bir işin yapılmamasına ilişkin ilamda yasaklanan işi yapması veya ilamın sonuçlarını ortadan kaldıracak şekilde davranması, tazminat talebi için yeterli görülmüştür.</w:t>
            </w:r>
          </w:p>
          <w:p w:rsidR="000E01C4" w:rsidRPr="00A23740" w:rsidRDefault="000E01C4" w:rsidP="009431FF">
            <w:pPr>
              <w:tabs>
                <w:tab w:val="left" w:pos="567"/>
              </w:tabs>
              <w:ind w:firstLine="709"/>
              <w:rPr>
                <w:bCs/>
                <w:szCs w:val="24"/>
                <w:lang w:eastAsia="x-none"/>
              </w:rPr>
            </w:pPr>
            <w:r w:rsidRPr="00A23740">
              <w:rPr>
                <w:bCs/>
                <w:szCs w:val="24"/>
                <w:lang w:eastAsia="x-none"/>
              </w:rPr>
              <w:t xml:space="preserve"> Birinci fıkrayla, bir işin yapılmasına ilişkin ilamda emredilen işi süresi içinde kusurlu olarak yapmayan, bir işin yapılmamasına ilişkin il</w:t>
            </w:r>
            <w:r w:rsidRPr="00A23740">
              <w:rPr>
                <w:szCs w:val="24"/>
                <w:lang w:eastAsia="x-none"/>
              </w:rPr>
              <w:t>am</w:t>
            </w:r>
            <w:r w:rsidRPr="00A23740">
              <w:rPr>
                <w:bCs/>
                <w:szCs w:val="24"/>
                <w:lang w:eastAsia="x-none"/>
              </w:rPr>
              <w:t xml:space="preserve">da yasaklanan işi yapan veya ilamın sonuçlarını ortadan kaldıracak şekilde davranan borçlunun, alacaklının talebi üzerine icra hukuk mahkemesince ihlalin gerçekleştiği her gün için </w:t>
            </w:r>
            <w:r w:rsidRPr="00A23740">
              <w:rPr>
                <w:szCs w:val="24"/>
                <w:lang w:eastAsia="x-none"/>
              </w:rPr>
              <w:t>bin</w:t>
            </w:r>
            <w:r w:rsidRPr="00A23740">
              <w:rPr>
                <w:bCs/>
                <w:szCs w:val="24"/>
                <w:lang w:eastAsia="x-none"/>
              </w:rPr>
              <w:t xml:space="preserve"> Türk </w:t>
            </w:r>
            <w:r w:rsidR="00D73CDF" w:rsidRPr="00A23740">
              <w:rPr>
                <w:bCs/>
                <w:szCs w:val="24"/>
                <w:lang w:eastAsia="x-none"/>
              </w:rPr>
              <w:t xml:space="preserve">lirasından </w:t>
            </w:r>
            <w:r w:rsidRPr="00A23740">
              <w:rPr>
                <w:bCs/>
                <w:szCs w:val="24"/>
                <w:lang w:eastAsia="x-none"/>
              </w:rPr>
              <w:t>aşağı olmamak üzere alacaklıya icra tazminatı ödemeye mahkûm edileceği düzenlenmektedir. Bunun için alacaklının talebi gerekmektedir. Mukayeseli hukukta farklı sistemler bulunmakla birlikte, bu tür ilamların gereğinin yerine getirilmesinde her bir gün önemli olduğu için ve ayrıca bu hususun borçluya karşı bir tazyik aracı niteliğinde de olması sebebiyle, tazminatın gün bazlı olarak belirlenmesinin daha uygun ve objektif olacağı kabul görmüştür. Bununla birlikte, günlük tazminat tutarının sabit ol</w:t>
            </w:r>
            <w:r w:rsidR="000E3F90" w:rsidRPr="00A23740">
              <w:rPr>
                <w:bCs/>
                <w:szCs w:val="24"/>
                <w:lang w:eastAsia="x-none"/>
              </w:rPr>
              <w:t>arak Kanunda belirlenmesinin de</w:t>
            </w:r>
            <w:r w:rsidRPr="00A23740">
              <w:rPr>
                <w:bCs/>
                <w:szCs w:val="24"/>
                <w:lang w:eastAsia="x-none"/>
              </w:rPr>
              <w:t xml:space="preserve"> her bir ilamın içeriğinin ve taraflar bakımından değerinin farklı olabilmesi sebebiyle haksız ve orantısız sonuçlara yol açabileceği düşünüldüğünden, bu konuda asgari sınır belirlenmekte ve miktarın takdiri mahkemeye bırakılmaktadır.</w:t>
            </w:r>
          </w:p>
          <w:p w:rsidR="000E01C4" w:rsidRPr="00A23740" w:rsidRDefault="000E01C4" w:rsidP="009431FF">
            <w:pPr>
              <w:tabs>
                <w:tab w:val="left" w:pos="567"/>
              </w:tabs>
              <w:ind w:firstLine="709"/>
              <w:rPr>
                <w:bCs/>
                <w:strike/>
                <w:color w:val="FF0000"/>
                <w:szCs w:val="24"/>
                <w:lang w:eastAsia="x-none"/>
              </w:rPr>
            </w:pPr>
            <w:r w:rsidRPr="00A23740">
              <w:rPr>
                <w:bCs/>
                <w:szCs w:val="24"/>
                <w:lang w:eastAsia="x-none"/>
              </w:rPr>
              <w:t>İkinci fıkrayla, mahkemenin, takdir edeceği icra tazminatının miktarını, hükmün konusu ile hükmolunan edimin niteliği, i</w:t>
            </w:r>
            <w:r w:rsidRPr="00A23740">
              <w:rPr>
                <w:szCs w:val="24"/>
                <w:lang w:eastAsia="x-none"/>
              </w:rPr>
              <w:t>hlali</w:t>
            </w:r>
            <w:r w:rsidRPr="00A23740">
              <w:rPr>
                <w:bCs/>
                <w:szCs w:val="24"/>
                <w:lang w:eastAsia="x-none"/>
              </w:rPr>
              <w:t>n ağırlığı ve ihlal süresi ile orantılı olacak şekilde belirleyeceği</w:t>
            </w:r>
            <w:r w:rsidR="00F67963" w:rsidRPr="00A23740">
              <w:rPr>
                <w:bCs/>
                <w:szCs w:val="24"/>
                <w:lang w:eastAsia="x-none"/>
              </w:rPr>
              <w:t>öngörülmektedir</w:t>
            </w:r>
            <w:r w:rsidRPr="00A23740">
              <w:rPr>
                <w:bCs/>
                <w:szCs w:val="24"/>
                <w:lang w:eastAsia="x-none"/>
              </w:rPr>
              <w:t xml:space="preserve">. Ancak bu şekilde takdir edilecek tazminatın toplamı </w:t>
            </w:r>
            <w:r w:rsidRPr="00A23740">
              <w:rPr>
                <w:szCs w:val="24"/>
                <w:lang w:eastAsia="x-none"/>
              </w:rPr>
              <w:t>bir milyon</w:t>
            </w:r>
            <w:r w:rsidRPr="00A23740">
              <w:rPr>
                <w:bCs/>
                <w:szCs w:val="24"/>
                <w:lang w:eastAsia="x-none"/>
              </w:rPr>
              <w:t xml:space="preserve"> Türk </w:t>
            </w:r>
            <w:r w:rsidR="00D73CDF" w:rsidRPr="00A23740">
              <w:rPr>
                <w:bCs/>
                <w:szCs w:val="24"/>
                <w:lang w:eastAsia="x-none"/>
              </w:rPr>
              <w:t xml:space="preserve">lirasını </w:t>
            </w:r>
            <w:r w:rsidRPr="00A23740">
              <w:rPr>
                <w:bCs/>
                <w:szCs w:val="24"/>
                <w:lang w:eastAsia="x-none"/>
              </w:rPr>
              <w:t>geçemez. Borçlunun ilamın gereğinin yerine getirilmesinden sonra yeniden ilam hükmüne aykırı davranması h</w:t>
            </w:r>
            <w:r w:rsidR="002F2BAA" w:rsidRPr="00A23740">
              <w:rPr>
                <w:bCs/>
                <w:szCs w:val="24"/>
                <w:lang w:eastAsia="x-none"/>
              </w:rPr>
              <w:t>â</w:t>
            </w:r>
            <w:r w:rsidRPr="00A23740">
              <w:rPr>
                <w:bCs/>
                <w:szCs w:val="24"/>
                <w:lang w:eastAsia="x-none"/>
              </w:rPr>
              <w:t xml:space="preserve">li de tazminat hesabında mahkeme tarafından göz önüne alınacaktır. Ancak bu şekilde öngörülen bir tazminatın üst sınırının bulunmaması da yine benzer şekilde haksız ve orantısız sonuçlara yol açabileceğinden, borçlunun mahkeme tarafından mahkûm edilebileceği toplam tazminatın bir milyon Türk </w:t>
            </w:r>
            <w:r w:rsidR="00D73CDF" w:rsidRPr="00A23740">
              <w:rPr>
                <w:bCs/>
                <w:szCs w:val="24"/>
                <w:lang w:eastAsia="x-none"/>
              </w:rPr>
              <w:t xml:space="preserve">lirasını </w:t>
            </w:r>
            <w:r w:rsidRPr="00A23740">
              <w:rPr>
                <w:bCs/>
                <w:szCs w:val="24"/>
                <w:lang w:eastAsia="x-none"/>
              </w:rPr>
              <w:t>geçemeyece</w:t>
            </w:r>
            <w:r w:rsidR="00D51A11">
              <w:rPr>
                <w:bCs/>
                <w:szCs w:val="24"/>
                <w:lang w:eastAsia="x-none"/>
              </w:rPr>
              <w:t>ği de maddede düzenlenmektedir.</w:t>
            </w:r>
          </w:p>
          <w:p w:rsidR="000E01C4" w:rsidRPr="00A23740" w:rsidRDefault="000E01C4" w:rsidP="009431FF">
            <w:pPr>
              <w:tabs>
                <w:tab w:val="left" w:pos="567"/>
              </w:tabs>
              <w:ind w:firstLine="709"/>
              <w:rPr>
                <w:szCs w:val="24"/>
                <w:lang w:eastAsia="x-none"/>
              </w:rPr>
            </w:pPr>
            <w:r w:rsidRPr="00A23740">
              <w:rPr>
                <w:bCs/>
                <w:szCs w:val="24"/>
                <w:lang w:eastAsia="x-none"/>
              </w:rPr>
              <w:t xml:space="preserve">Üçüncü fıkrayla, icra tazminatı talep </w:t>
            </w:r>
            <w:r w:rsidRPr="00A23740">
              <w:rPr>
                <w:szCs w:val="24"/>
                <w:lang w:eastAsia="x-none"/>
              </w:rPr>
              <w:t>hakkının, bir işin yapılmasına ilişkin icra emrinde verilen sürenin sona ermesinden veya bir işin yapılmamasına ilişkin icra emrinin tebliğ</w:t>
            </w:r>
            <w:r w:rsidR="00F67963" w:rsidRPr="00A23740">
              <w:rPr>
                <w:szCs w:val="24"/>
                <w:lang w:eastAsia="x-none"/>
              </w:rPr>
              <w:t xml:space="preserve"> edilmesinden</w:t>
            </w:r>
            <w:r w:rsidRPr="00A23740">
              <w:rPr>
                <w:szCs w:val="24"/>
                <w:lang w:eastAsia="x-none"/>
              </w:rPr>
              <w:t xml:space="preserve"> itibaren iki yıl geçmekle düşeceği düzenlenmektedir. İcra tazminatını talep hakkı, iki yıllık bir hak düşürücü süreye bağlanmaktadır. Bu süre, bir işin yapılmasına ilişkin icra emrinde verilen sürenin sona ermesinden veya bir işin </w:t>
            </w:r>
            <w:r w:rsidRPr="00A23740">
              <w:rPr>
                <w:szCs w:val="24"/>
                <w:lang w:eastAsia="x-none"/>
              </w:rPr>
              <w:lastRenderedPageBreak/>
              <w:t>yapılmamasına ilişkin icra emrinin tebliğ</w:t>
            </w:r>
            <w:r w:rsidR="00F67963" w:rsidRPr="00A23740">
              <w:rPr>
                <w:szCs w:val="24"/>
                <w:lang w:eastAsia="x-none"/>
              </w:rPr>
              <w:t xml:space="preserve"> edilmes</w:t>
            </w:r>
            <w:r w:rsidRPr="00A23740">
              <w:rPr>
                <w:szCs w:val="24"/>
                <w:lang w:eastAsia="x-none"/>
              </w:rPr>
              <w:t xml:space="preserve">inden itibaren </w:t>
            </w:r>
            <w:r w:rsidR="00F67963" w:rsidRPr="00A23740">
              <w:rPr>
                <w:szCs w:val="24"/>
                <w:lang w:eastAsia="x-none"/>
              </w:rPr>
              <w:t xml:space="preserve">işlemeye </w:t>
            </w:r>
            <w:r w:rsidRPr="00A23740">
              <w:rPr>
                <w:szCs w:val="24"/>
                <w:lang w:eastAsia="x-none"/>
              </w:rPr>
              <w:t>başlayacaktır. Şu kadar ki, icra hukuk mahkemesinden talep edilecek icra tazminatının hak düşümüne uğraması genel mahkemede tazminat talebinin ileri sürülmesine engel teşkil etmez.</w:t>
            </w:r>
          </w:p>
          <w:p w:rsidR="000E01C4" w:rsidRPr="00A23740" w:rsidRDefault="000E01C4" w:rsidP="009431FF">
            <w:pPr>
              <w:tabs>
                <w:tab w:val="left" w:pos="567"/>
              </w:tabs>
              <w:ind w:firstLine="709"/>
              <w:rPr>
                <w:bCs/>
                <w:szCs w:val="24"/>
                <w:lang w:eastAsia="x-none"/>
              </w:rPr>
            </w:pPr>
            <w:r w:rsidRPr="00A23740">
              <w:rPr>
                <w:bCs/>
                <w:szCs w:val="24"/>
                <w:lang w:eastAsia="x-none"/>
              </w:rPr>
              <w:t>Dördüncü fıkrayla, al</w:t>
            </w:r>
            <w:r w:rsidRPr="00A23740">
              <w:rPr>
                <w:szCs w:val="24"/>
                <w:lang w:eastAsia="x-none"/>
              </w:rPr>
              <w:t>acaklının ikinci fıkra uyarınca takdir edilen miktarı aşan bir zararının oluşması h</w:t>
            </w:r>
            <w:r w:rsidR="002F2BAA" w:rsidRPr="00A23740">
              <w:rPr>
                <w:szCs w:val="24"/>
                <w:lang w:eastAsia="x-none"/>
              </w:rPr>
              <w:t>â</w:t>
            </w:r>
            <w:r w:rsidRPr="00A23740">
              <w:rPr>
                <w:szCs w:val="24"/>
                <w:lang w:eastAsia="x-none"/>
              </w:rPr>
              <w:t xml:space="preserve">linde veya hak düşürücü sürenin geçmesinden sonraki tazminat talepleri bakımından, genel hükümlere göre dava açma hakkı saklı tutulmuştur. </w:t>
            </w:r>
            <w:r w:rsidRPr="00A23740">
              <w:rPr>
                <w:bCs/>
                <w:szCs w:val="24"/>
                <w:lang w:eastAsia="x-none"/>
              </w:rPr>
              <w:t>Tıpkı ilamsız icra bakımından düzenlenmiş olan icra inkâr tazminatında olduğu gibi, burada da alacaklının bu madde</w:t>
            </w:r>
            <w:r w:rsidR="00F67963" w:rsidRPr="00A23740">
              <w:rPr>
                <w:bCs/>
                <w:szCs w:val="24"/>
                <w:lang w:eastAsia="x-none"/>
              </w:rPr>
              <w:t>de</w:t>
            </w:r>
            <w:r w:rsidRPr="00A23740">
              <w:rPr>
                <w:bCs/>
                <w:szCs w:val="24"/>
                <w:lang w:eastAsia="x-none"/>
              </w:rPr>
              <w:t xml:space="preserve"> öngörülen tazminatı aşan bir zararı oluşabilir. Bu durumda veya hak düşürücü süre dolduktan sonra, alacaklının genel hükümlere göre dava açma hakkı saklı tutulmaktadır. </w:t>
            </w:r>
            <w:r w:rsidR="008B5E92" w:rsidRPr="00A23740">
              <w:rPr>
                <w:bCs/>
                <w:szCs w:val="24"/>
                <w:lang w:eastAsia="x-none"/>
              </w:rPr>
              <w:t>Diğer bir ifadeyle,</w:t>
            </w:r>
            <w:r w:rsidRPr="00A23740">
              <w:rPr>
                <w:bCs/>
                <w:szCs w:val="24"/>
                <w:lang w:eastAsia="x-none"/>
              </w:rPr>
              <w:t xml:space="preserve"> maddede düzenlenen hak düşürücü sürenin dolması, sadece bu maddeye göre tazminat talep edilmesine engel olacaktır.</w:t>
            </w:r>
          </w:p>
          <w:p w:rsidR="000E01C4" w:rsidRPr="00A23740" w:rsidRDefault="000E01C4" w:rsidP="009431FF">
            <w:pPr>
              <w:tabs>
                <w:tab w:val="left" w:pos="567"/>
              </w:tabs>
              <w:ind w:firstLine="709"/>
              <w:rPr>
                <w:bCs/>
                <w:strike/>
                <w:szCs w:val="24"/>
                <w:lang w:eastAsia="x-none"/>
              </w:rPr>
            </w:pPr>
            <w:r w:rsidRPr="00A23740">
              <w:rPr>
                <w:bCs/>
                <w:szCs w:val="24"/>
                <w:lang w:eastAsia="x-none"/>
              </w:rPr>
              <w:t>Beşinci fıkray</w:t>
            </w:r>
            <w:r w:rsidR="00F67963" w:rsidRPr="00A23740">
              <w:rPr>
                <w:bCs/>
                <w:szCs w:val="24"/>
                <w:lang w:eastAsia="x-none"/>
              </w:rPr>
              <w:t>a göre</w:t>
            </w:r>
            <w:r w:rsidRPr="00A23740">
              <w:rPr>
                <w:bCs/>
                <w:szCs w:val="24"/>
                <w:lang w:eastAsia="x-none"/>
              </w:rPr>
              <w:t>, h</w:t>
            </w:r>
            <w:r w:rsidRPr="00A23740">
              <w:rPr>
                <w:szCs w:val="24"/>
                <w:lang w:eastAsia="x-none"/>
              </w:rPr>
              <w:t>ükmedilen icra tazminatı, ilamın icraya konulduğu dosya üzerinden genel hükümlere göre icra</w:t>
            </w:r>
            <w:r w:rsidRPr="00A23740">
              <w:rPr>
                <w:bCs/>
                <w:szCs w:val="24"/>
                <w:lang w:eastAsia="x-none"/>
              </w:rPr>
              <w:t xml:space="preserve"> </w:t>
            </w:r>
            <w:r w:rsidR="00F67963" w:rsidRPr="00A23740">
              <w:rPr>
                <w:bCs/>
                <w:szCs w:val="24"/>
                <w:lang w:eastAsia="x-none"/>
              </w:rPr>
              <w:t xml:space="preserve"> edilecektir </w:t>
            </w:r>
            <w:r w:rsidRPr="00A23740">
              <w:rPr>
                <w:bCs/>
                <w:szCs w:val="24"/>
                <w:lang w:eastAsia="x-none"/>
              </w:rPr>
              <w:t xml:space="preserve">. İcra hukuk mahkemesi tarafından hükmolunan icra tazminatı, ilamın icraya konulduğu dosya üzerinden genel hükümlere göre </w:t>
            </w:r>
            <w:r w:rsidR="00F67963" w:rsidRPr="00A23740">
              <w:rPr>
                <w:bCs/>
                <w:szCs w:val="24"/>
                <w:lang w:eastAsia="x-none"/>
              </w:rPr>
              <w:t xml:space="preserve"> yerine getirilecektir</w:t>
            </w:r>
            <w:r w:rsidRPr="00A23740">
              <w:rPr>
                <w:bCs/>
                <w:szCs w:val="24"/>
                <w:lang w:eastAsia="x-none"/>
              </w:rPr>
              <w:t>.</w:t>
            </w:r>
          </w:p>
          <w:p w:rsidR="000E01C4" w:rsidRPr="00A23740" w:rsidRDefault="000E01C4" w:rsidP="009431FF">
            <w:pPr>
              <w:tabs>
                <w:tab w:val="left" w:pos="567"/>
              </w:tabs>
              <w:ind w:firstLine="709"/>
              <w:rPr>
                <w:bCs/>
                <w:szCs w:val="24"/>
                <w:lang w:eastAsia="x-none"/>
              </w:rPr>
            </w:pPr>
            <w:r w:rsidRPr="00A23740">
              <w:rPr>
                <w:bCs/>
                <w:szCs w:val="24"/>
                <w:lang w:eastAsia="x-none"/>
              </w:rPr>
              <w:t>Altıncı fıkrayla, maddenin sadece mahkeme ilamları</w:t>
            </w:r>
            <w:r w:rsidRPr="00A23740">
              <w:rPr>
                <w:szCs w:val="24"/>
                <w:lang w:eastAsia="x-none"/>
              </w:rPr>
              <w:t xml:space="preserve"> ve hakem</w:t>
            </w:r>
            <w:r w:rsidRPr="00A23740">
              <w:rPr>
                <w:bCs/>
                <w:szCs w:val="24"/>
                <w:lang w:eastAsia="x-none"/>
              </w:rPr>
              <w:t xml:space="preserve"> </w:t>
            </w:r>
            <w:r w:rsidRPr="00A23740">
              <w:rPr>
                <w:szCs w:val="24"/>
                <w:lang w:eastAsia="x-none"/>
              </w:rPr>
              <w:t>kararları hakkında uygulanacağı ifade edilmektedir.</w:t>
            </w:r>
            <w:r w:rsidRPr="00A23740">
              <w:rPr>
                <w:bCs/>
                <w:szCs w:val="24"/>
                <w:lang w:eastAsia="x-none"/>
              </w:rPr>
              <w:t xml:space="preserve"> Buna göre, bir şeyin yapılması veya yapılmaması şeklindeki bir edimi içeren ilam niteliğindeki belgeye, örneğin arabulucu önünde hazırlanan bir anlaşma belgesine dayanılarak yapılan icra takibinde gönderilen icra emrine uymayan borçlu, bu madde hükümlerine göre alacaklıya icra tazminatı ödemeye mahkûm edilemez. Böyle bir durumda alacaklı uğradığı zararı, ancak genel hükümlere göre borçludan talep edebilir.</w:t>
            </w:r>
          </w:p>
          <w:p w:rsidR="000E01C4" w:rsidRPr="00A23740" w:rsidRDefault="000E01C4" w:rsidP="009431FF">
            <w:pPr>
              <w:tabs>
                <w:tab w:val="left" w:pos="567"/>
              </w:tabs>
              <w:ind w:firstLine="709"/>
            </w:pPr>
            <w:r w:rsidRPr="00A23740">
              <w:rPr>
                <w:bCs/>
                <w:szCs w:val="24"/>
                <w:lang w:eastAsia="x-none"/>
              </w:rPr>
              <w:t>Yedinci fıkrayla, oluşabilecek tereddütlerin önüne geçilmesi amacıyla, bu maddeye göre tazminata hükmedilmesinin, borçlu hakkında disiplin ve tazyik hapsi uygulanmasını engellemeyeceği hususu açık şekilde düzenlenmektedir.</w:t>
            </w:r>
          </w:p>
          <w:p w:rsidR="000E01C4" w:rsidRPr="00A23740" w:rsidRDefault="000E01C4" w:rsidP="009431FF">
            <w:pPr>
              <w:pStyle w:val="Mavi"/>
              <w:ind w:firstLine="709"/>
              <w:rPr>
                <w:b w:val="0"/>
                <w:color w:val="auto"/>
                <w:lang w:val="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keepNext/>
              <w:jc w:val="center"/>
              <w:rPr>
                <w:lang w:val="tr-TR" w:eastAsia="tr-TR"/>
              </w:rPr>
            </w:pPr>
            <w:r w:rsidRPr="00A23740">
              <w:rPr>
                <w:lang w:val="tr-TR" w:eastAsia="tr-TR"/>
              </w:rPr>
              <w:lastRenderedPageBreak/>
              <w:t>ÜÇÜNCÜ BAP</w:t>
            </w:r>
          </w:p>
          <w:p w:rsidR="00155AF4" w:rsidRPr="00A23740" w:rsidRDefault="00155AF4" w:rsidP="009431FF">
            <w:pPr>
              <w:pStyle w:val="KIRMIZI"/>
              <w:keepNext/>
              <w:jc w:val="center"/>
              <w:rPr>
                <w:lang w:val="tr-TR" w:eastAsia="tr-TR"/>
              </w:rPr>
            </w:pPr>
            <w:r w:rsidRPr="00A23740">
              <w:rPr>
                <w:lang w:val="tr-TR" w:eastAsia="tr-TR"/>
              </w:rPr>
              <w:t>İlamsız takip</w:t>
            </w:r>
          </w:p>
          <w:p w:rsidR="00155AF4" w:rsidRPr="00A23740" w:rsidRDefault="00155AF4" w:rsidP="009431FF">
            <w:pPr>
              <w:keepNext/>
              <w:tabs>
                <w:tab w:val="left" w:pos="567"/>
              </w:tabs>
              <w:autoSpaceDE w:val="0"/>
              <w:autoSpaceDN w:val="0"/>
              <w:adjustRightInd w:val="0"/>
              <w:rPr>
                <w:b/>
                <w:bCs/>
                <w:i/>
                <w:iCs/>
                <w:szCs w:val="24"/>
              </w:rPr>
            </w:pPr>
          </w:p>
          <w:p w:rsidR="00155AF4" w:rsidRPr="00A23740" w:rsidRDefault="00155AF4" w:rsidP="009431FF">
            <w:pPr>
              <w:keepNext/>
              <w:tabs>
                <w:tab w:val="left" w:pos="567"/>
              </w:tabs>
              <w:autoSpaceDE w:val="0"/>
              <w:autoSpaceDN w:val="0"/>
              <w:adjustRightInd w:val="0"/>
              <w:rPr>
                <w:b/>
                <w:bCs/>
                <w:i/>
                <w:iCs/>
                <w:szCs w:val="24"/>
              </w:rPr>
            </w:pPr>
          </w:p>
          <w:p w:rsidR="00155AF4" w:rsidRPr="00A23740" w:rsidRDefault="00155AF4" w:rsidP="009431FF">
            <w:pPr>
              <w:keepNext/>
              <w:tabs>
                <w:tab w:val="left" w:pos="567"/>
              </w:tabs>
              <w:autoSpaceDE w:val="0"/>
              <w:autoSpaceDN w:val="0"/>
              <w:adjustRightInd w:val="0"/>
              <w:rPr>
                <w:b/>
                <w:bCs/>
                <w:i/>
                <w:iCs/>
                <w:szCs w:val="24"/>
              </w:rPr>
            </w:pPr>
          </w:p>
          <w:p w:rsidR="00155AF4" w:rsidRPr="00A23740" w:rsidRDefault="00155AF4" w:rsidP="009431FF">
            <w:pPr>
              <w:keepNext/>
              <w:tabs>
                <w:tab w:val="left" w:pos="567"/>
              </w:tabs>
              <w:autoSpaceDE w:val="0"/>
              <w:autoSpaceDN w:val="0"/>
              <w:adjustRightInd w:val="0"/>
              <w:rPr>
                <w:b/>
                <w:bCs/>
                <w:i/>
                <w:iCs/>
                <w:szCs w:val="24"/>
              </w:rPr>
            </w:pPr>
          </w:p>
          <w:p w:rsidR="00155AF4" w:rsidRPr="00A23740" w:rsidRDefault="00155AF4" w:rsidP="009431FF">
            <w:pPr>
              <w:keepNext/>
              <w:tabs>
                <w:tab w:val="left" w:pos="567"/>
              </w:tabs>
              <w:autoSpaceDE w:val="0"/>
              <w:autoSpaceDN w:val="0"/>
              <w:adjustRightInd w:val="0"/>
              <w:rPr>
                <w:i/>
                <w:iCs/>
                <w:szCs w:val="24"/>
              </w:rPr>
            </w:pPr>
            <w:r w:rsidRPr="00A23740">
              <w:rPr>
                <w:rStyle w:val="KIRMIZIChar"/>
                <w:rFonts w:eastAsia="Calibri"/>
              </w:rPr>
              <w:t>I.</w:t>
            </w:r>
            <w:r w:rsidRPr="00A23740">
              <w:rPr>
                <w:i/>
                <w:iCs/>
                <w:szCs w:val="24"/>
              </w:rPr>
              <w:t xml:space="preserve"> Takibin </w:t>
            </w:r>
            <w:r w:rsidRPr="00A23740">
              <w:rPr>
                <w:rStyle w:val="karlan--Char"/>
                <w:rFonts w:eastAsia="Calibri"/>
              </w:rPr>
              <w:t>muhtelif tarzları</w:t>
            </w:r>
            <w:r w:rsidRPr="00A23740">
              <w:rPr>
                <w:b/>
                <w:bCs/>
                <w:strike/>
                <w:color w:val="FF0000"/>
                <w:szCs w:val="24"/>
              </w:rPr>
              <w:t xml:space="preserve"> :</w:t>
            </w:r>
          </w:p>
          <w:p w:rsidR="00155AF4" w:rsidRPr="00A23740" w:rsidRDefault="00155AF4" w:rsidP="009431FF">
            <w:pPr>
              <w:pStyle w:val="KIRMIZI"/>
              <w:rPr>
                <w:lang w:val="tr-TR"/>
              </w:rPr>
            </w:pPr>
            <w:r w:rsidRPr="00A23740">
              <w:rPr>
                <w:lang w:val="tr-TR"/>
              </w:rPr>
              <w:t>Para borcu ve teminat için takip :</w:t>
            </w:r>
          </w:p>
          <w:p w:rsidR="00155AF4" w:rsidRPr="00A23740" w:rsidRDefault="00155AF4" w:rsidP="009431FF">
            <w:pPr>
              <w:keepNext/>
              <w:tabs>
                <w:tab w:val="left" w:pos="567"/>
              </w:tabs>
              <w:autoSpaceDE w:val="0"/>
              <w:autoSpaceDN w:val="0"/>
              <w:adjustRightInd w:val="0"/>
              <w:rPr>
                <w:szCs w:val="24"/>
              </w:rPr>
            </w:pPr>
            <w:r w:rsidRPr="00A23740">
              <w:rPr>
                <w:rStyle w:val="KIRMIZIChar"/>
                <w:rFonts w:eastAsia="Calibri"/>
              </w:rPr>
              <w:t>Madde 42 – (1) Bir</w:t>
            </w:r>
            <w:r w:rsidRPr="00A23740">
              <w:rPr>
                <w:szCs w:val="24"/>
              </w:rPr>
              <w:t xml:space="preserve"> para</w:t>
            </w:r>
            <w:r w:rsidRPr="00A23740">
              <w:rPr>
                <w:rStyle w:val="karlan--Char"/>
                <w:rFonts w:eastAsia="Calibri"/>
              </w:rPr>
              <w:t>nın</w:t>
            </w:r>
            <w:r w:rsidRPr="00A23740">
              <w:rPr>
                <w:szCs w:val="24"/>
              </w:rPr>
              <w:t xml:space="preserve"> ödenmesine veya </w:t>
            </w:r>
            <w:r w:rsidRPr="00A23740">
              <w:rPr>
                <w:rStyle w:val="KIRMIZIChar"/>
                <w:rFonts w:eastAsia="Calibri"/>
              </w:rPr>
              <w:t>bir</w:t>
            </w:r>
            <w:r w:rsidRPr="00A23740">
              <w:rPr>
                <w:szCs w:val="24"/>
              </w:rPr>
              <w:t xml:space="preserve"> teminat</w:t>
            </w:r>
            <w:r w:rsidRPr="00A23740">
              <w:rPr>
                <w:rStyle w:val="KIRMIZIChar"/>
                <w:rFonts w:eastAsia="Calibri"/>
              </w:rPr>
              <w:t>ın</w:t>
            </w:r>
            <w:r w:rsidRPr="00A23740">
              <w:rPr>
                <w:szCs w:val="24"/>
              </w:rPr>
              <w:t xml:space="preserve"> </w:t>
            </w:r>
            <w:r w:rsidRPr="00A23740">
              <w:rPr>
                <w:rStyle w:val="KIRMIZIChar"/>
                <w:rFonts w:eastAsia="Calibri"/>
              </w:rPr>
              <w:t>verilmesine dair</w:t>
            </w:r>
            <w:r w:rsidRPr="00A23740">
              <w:rPr>
                <w:szCs w:val="24"/>
              </w:rPr>
              <w:t xml:space="preserve"> olan </w:t>
            </w:r>
            <w:r w:rsidRPr="00A23740">
              <w:rPr>
                <w:rStyle w:val="KIRMIZIChar"/>
                <w:rFonts w:eastAsia="Calibri"/>
              </w:rPr>
              <w:t>cebri</w:t>
            </w:r>
            <w:r w:rsidRPr="00A23740">
              <w:rPr>
                <w:szCs w:val="24"/>
              </w:rPr>
              <w:t xml:space="preserve"> icra</w:t>
            </w:r>
            <w:r w:rsidRPr="00A23740">
              <w:rPr>
                <w:rStyle w:val="KIRMIZIChar"/>
                <w:rFonts w:eastAsia="Calibri"/>
              </w:rPr>
              <w:t>lar</w:t>
            </w:r>
            <w:r w:rsidRPr="00A23740">
              <w:rPr>
                <w:szCs w:val="24"/>
              </w:rPr>
              <w:t xml:space="preserve"> takip talebiyle başlar </w:t>
            </w:r>
            <w:r w:rsidRPr="00A23740">
              <w:rPr>
                <w:rStyle w:val="KIRMIZIChar"/>
                <w:rFonts w:eastAsia="Calibri"/>
              </w:rPr>
              <w:t>ve</w:t>
            </w:r>
            <w:r w:rsidRPr="00A23740">
              <w:rPr>
                <w:szCs w:val="24"/>
              </w:rPr>
              <w:t xml:space="preserve"> haciz </w:t>
            </w:r>
            <w:r w:rsidRPr="00A23740">
              <w:rPr>
                <w:b/>
                <w:bCs/>
                <w:strike/>
                <w:color w:val="FF0000"/>
                <w:szCs w:val="24"/>
              </w:rPr>
              <w:t>yoliyle</w:t>
            </w:r>
            <w:r w:rsidRPr="00A23740">
              <w:rPr>
                <w:szCs w:val="24"/>
              </w:rPr>
              <w:t xml:space="preserve"> veya rehnin paraya çevrilmesi yahut iflas </w:t>
            </w:r>
            <w:r w:rsidRPr="00A23740">
              <w:rPr>
                <w:rStyle w:val="KIRMIZIChar"/>
                <w:rFonts w:eastAsia="Calibri"/>
              </w:rPr>
              <w:t>suretiyle cereyan eder.</w:t>
            </w:r>
          </w:p>
          <w:p w:rsidR="00155AF4" w:rsidRPr="00A23740" w:rsidRDefault="00155AF4" w:rsidP="009431FF">
            <w:pPr>
              <w:keepNext/>
              <w:autoSpaceDE w:val="0"/>
              <w:autoSpaceDN w:val="0"/>
              <w:adjustRightInd w:val="0"/>
              <w:rPr>
                <w:b/>
                <w:bCs/>
                <w:szCs w:val="24"/>
              </w:rPr>
            </w:pPr>
          </w:p>
          <w:p w:rsidR="00155AF4" w:rsidRPr="00A23740" w:rsidRDefault="00155AF4" w:rsidP="009431FF">
            <w:pPr>
              <w:keepNext/>
              <w:autoSpaceDE w:val="0"/>
              <w:autoSpaceDN w:val="0"/>
              <w:adjustRightInd w:val="0"/>
              <w:rPr>
                <w:b/>
                <w:bCs/>
                <w:szCs w:val="24"/>
              </w:rPr>
            </w:pPr>
          </w:p>
          <w:p w:rsidR="00155AF4" w:rsidRPr="00A23740" w:rsidRDefault="00155AF4" w:rsidP="009431FF">
            <w:pPr>
              <w:keepNext/>
              <w:autoSpaceDE w:val="0"/>
              <w:autoSpaceDN w:val="0"/>
              <w:adjustRightInd w:val="0"/>
              <w:rPr>
                <w:b/>
                <w:bCs/>
                <w:szCs w:val="24"/>
              </w:rPr>
            </w:pPr>
          </w:p>
          <w:p w:rsidR="00155AF4" w:rsidRPr="00A23740" w:rsidRDefault="00155AF4" w:rsidP="009431FF">
            <w:pPr>
              <w:keepNext/>
              <w:autoSpaceDE w:val="0"/>
              <w:autoSpaceDN w:val="0"/>
              <w:adjustRightInd w:val="0"/>
              <w:rPr>
                <w:b/>
                <w:bCs/>
                <w:szCs w:val="24"/>
              </w:rPr>
            </w:pPr>
          </w:p>
          <w:p w:rsidR="00155AF4" w:rsidRPr="00A23740" w:rsidRDefault="00155AF4" w:rsidP="009431FF">
            <w:pPr>
              <w:keepNext/>
              <w:autoSpaceDE w:val="0"/>
              <w:autoSpaceDN w:val="0"/>
              <w:adjustRightInd w:val="0"/>
              <w:rPr>
                <w:b/>
                <w:bCs/>
                <w:szCs w:val="24"/>
              </w:rPr>
            </w:pPr>
          </w:p>
          <w:p w:rsidR="00155AF4" w:rsidRPr="00A23740" w:rsidRDefault="00155AF4" w:rsidP="009431FF">
            <w:pPr>
              <w:keepNext/>
              <w:autoSpaceDE w:val="0"/>
              <w:autoSpaceDN w:val="0"/>
              <w:adjustRightInd w:val="0"/>
              <w:rPr>
                <w:b/>
                <w:bCs/>
                <w:szCs w:val="24"/>
              </w:rPr>
            </w:pPr>
          </w:p>
          <w:p w:rsidR="00155AF4" w:rsidRPr="00A23740" w:rsidRDefault="00155AF4" w:rsidP="009431FF">
            <w:pPr>
              <w:keepNext/>
              <w:autoSpaceDE w:val="0"/>
              <w:autoSpaceDN w:val="0"/>
              <w:adjustRightInd w:val="0"/>
              <w:rPr>
                <w:b/>
                <w:bCs/>
                <w:szCs w:val="24"/>
              </w:rPr>
            </w:pPr>
          </w:p>
          <w:p w:rsidR="00205EA2" w:rsidRPr="00A23740" w:rsidRDefault="00205EA2" w:rsidP="009431FF">
            <w:pPr>
              <w:keepNext/>
              <w:autoSpaceDE w:val="0"/>
              <w:autoSpaceDN w:val="0"/>
              <w:adjustRightInd w:val="0"/>
              <w:rPr>
                <w:b/>
                <w:bCs/>
                <w:szCs w:val="24"/>
              </w:rPr>
            </w:pPr>
          </w:p>
          <w:p w:rsidR="00744110" w:rsidRPr="00A23740" w:rsidRDefault="00744110" w:rsidP="009431FF">
            <w:pPr>
              <w:keepNext/>
              <w:autoSpaceDE w:val="0"/>
              <w:autoSpaceDN w:val="0"/>
              <w:adjustRightInd w:val="0"/>
              <w:rPr>
                <w:b/>
                <w:bCs/>
                <w:szCs w:val="24"/>
              </w:rPr>
            </w:pPr>
          </w:p>
          <w:p w:rsidR="00673E11" w:rsidRPr="00A23740" w:rsidRDefault="00673E11" w:rsidP="009431FF">
            <w:pPr>
              <w:keepNext/>
              <w:tabs>
                <w:tab w:val="left" w:pos="567"/>
              </w:tabs>
              <w:autoSpaceDE w:val="0"/>
              <w:autoSpaceDN w:val="0"/>
              <w:adjustRightInd w:val="0"/>
              <w:rPr>
                <w:b/>
                <w:bCs/>
                <w:strike/>
                <w:color w:val="FF0000"/>
                <w:szCs w:val="24"/>
              </w:rPr>
            </w:pPr>
          </w:p>
          <w:p w:rsidR="00155AF4" w:rsidRPr="00A23740" w:rsidRDefault="00155AF4" w:rsidP="009431FF">
            <w:pPr>
              <w:keepNext/>
              <w:tabs>
                <w:tab w:val="left" w:pos="567"/>
              </w:tabs>
              <w:autoSpaceDE w:val="0"/>
              <w:autoSpaceDN w:val="0"/>
              <w:adjustRightInd w:val="0"/>
              <w:rPr>
                <w:szCs w:val="24"/>
              </w:rPr>
            </w:pPr>
            <w:r w:rsidRPr="00A23740">
              <w:rPr>
                <w:b/>
                <w:bCs/>
                <w:strike/>
                <w:color w:val="FF0000"/>
                <w:szCs w:val="24"/>
              </w:rPr>
              <w:t xml:space="preserve">(2) (Ek fıkra: 2/7/2012-6352/8 md.) </w:t>
            </w:r>
            <w:r w:rsidRPr="00A23740">
              <w:rPr>
                <w:szCs w:val="24"/>
              </w:rPr>
              <w:t xml:space="preserve">Yabancı devlet aleyhine ilamsız </w:t>
            </w:r>
            <w:r w:rsidRPr="00A23740">
              <w:rPr>
                <w:rStyle w:val="KIRMIZIChar"/>
                <w:rFonts w:eastAsia="Calibri"/>
              </w:rPr>
              <w:t>takip</w:t>
            </w:r>
            <w:r w:rsidRPr="00A23740">
              <w:rPr>
                <w:szCs w:val="24"/>
              </w:rPr>
              <w:t xml:space="preserve"> yoluna başvurulamaz.</w:t>
            </w:r>
          </w:p>
          <w:p w:rsidR="00155AF4" w:rsidRPr="00A23740" w:rsidRDefault="00155AF4" w:rsidP="009431FF">
            <w:pPr>
              <w:keepNext/>
              <w:tabs>
                <w:tab w:val="left" w:pos="567"/>
              </w:tabs>
              <w:autoSpaceDE w:val="0"/>
              <w:autoSpaceDN w:val="0"/>
              <w:adjustRightInd w:val="0"/>
              <w:rPr>
                <w:szCs w:val="24"/>
              </w:rPr>
            </w:pPr>
          </w:p>
          <w:p w:rsidR="00155AF4" w:rsidRPr="00A23740" w:rsidRDefault="00155AF4" w:rsidP="009431FF">
            <w:pPr>
              <w:keepNext/>
              <w:tabs>
                <w:tab w:val="left" w:pos="567"/>
              </w:tabs>
              <w:autoSpaceDE w:val="0"/>
              <w:autoSpaceDN w:val="0"/>
              <w:adjustRightInd w:val="0"/>
              <w:rPr>
                <w:szCs w:val="24"/>
              </w:rPr>
            </w:pPr>
            <w:r w:rsidRPr="00A23740">
              <w:rPr>
                <w:rStyle w:val="KIRMIZIChar"/>
                <w:rFonts w:eastAsia="Calibri"/>
              </w:rPr>
              <w:t>(3) (Ek fıkra: 15/8/2017-KHK-694/8 md.; Aynen kabul: 1/2/2018-7078/8 md.)</w:t>
            </w:r>
            <w:r w:rsidRPr="00A23740">
              <w:rPr>
                <w:szCs w:val="24"/>
              </w:rPr>
              <w:t xml:space="preserve"> İdari yargının görev alanına giren konularda ilamsız </w:t>
            </w:r>
            <w:r w:rsidRPr="00A23740">
              <w:rPr>
                <w:rStyle w:val="KIRMIZIChar"/>
                <w:rFonts w:eastAsia="Calibri"/>
              </w:rPr>
              <w:t>takip</w:t>
            </w:r>
            <w:r w:rsidRPr="00A23740">
              <w:rPr>
                <w:szCs w:val="24"/>
              </w:rPr>
              <w:t xml:space="preserve"> yoluna başvurulamaz.</w:t>
            </w:r>
          </w:p>
          <w:p w:rsidR="00155AF4" w:rsidRPr="00A23740" w:rsidRDefault="00155AF4" w:rsidP="009431FF">
            <w:pPr>
              <w:keepNext/>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Balk3"/>
              <w:rPr>
                <w:lang w:val="tr-TR"/>
              </w:rPr>
            </w:pPr>
            <w:r w:rsidRPr="00A23740">
              <w:rPr>
                <w:lang w:val="tr-TR"/>
              </w:rPr>
              <w:lastRenderedPageBreak/>
              <w:t>İKİNCİ BÖLÜM</w:t>
            </w:r>
          </w:p>
          <w:p w:rsidR="00155AF4" w:rsidRPr="00A23740" w:rsidRDefault="00155AF4" w:rsidP="009431FF">
            <w:pPr>
              <w:pStyle w:val="Balk3"/>
              <w:rPr>
                <w:lang w:val="tr-TR"/>
              </w:rPr>
            </w:pPr>
            <w:r w:rsidRPr="00A23740">
              <w:rPr>
                <w:lang w:val="tr-TR"/>
              </w:rPr>
              <w:t>İlamsız İcra</w:t>
            </w:r>
          </w:p>
          <w:p w:rsidR="00155AF4" w:rsidRPr="00A23740" w:rsidRDefault="00155AF4" w:rsidP="009431FF">
            <w:pPr>
              <w:pStyle w:val="Mavi"/>
              <w:jc w:val="center"/>
              <w:rPr>
                <w:lang w:val="tr-TR"/>
              </w:rPr>
            </w:pPr>
          </w:p>
          <w:p w:rsidR="00155AF4" w:rsidRPr="00A23740" w:rsidRDefault="00155AF4" w:rsidP="009431FF">
            <w:pPr>
              <w:pStyle w:val="Balk4"/>
              <w:rPr>
                <w:lang w:val="tr-TR"/>
              </w:rPr>
            </w:pPr>
            <w:r w:rsidRPr="00A23740">
              <w:rPr>
                <w:lang w:val="tr-TR"/>
              </w:rPr>
              <w:t>BİRİNCİ AYRIM</w:t>
            </w:r>
          </w:p>
          <w:p w:rsidR="00155AF4" w:rsidRPr="00A23740" w:rsidRDefault="00155AF4" w:rsidP="009431FF">
            <w:pPr>
              <w:pStyle w:val="Balk4"/>
              <w:rPr>
                <w:lang w:val="tr-TR"/>
              </w:rPr>
            </w:pPr>
            <w:r w:rsidRPr="00A23740">
              <w:rPr>
                <w:lang w:val="tr-TR"/>
              </w:rPr>
              <w:t>Takip Türleri</w:t>
            </w:r>
          </w:p>
          <w:p w:rsidR="00155AF4" w:rsidRPr="00A23740" w:rsidRDefault="00155AF4" w:rsidP="009431FF">
            <w:pPr>
              <w:keepNext/>
              <w:tabs>
                <w:tab w:val="left" w:pos="567"/>
              </w:tabs>
              <w:autoSpaceDE w:val="0"/>
              <w:autoSpaceDN w:val="0"/>
              <w:adjustRightInd w:val="0"/>
              <w:rPr>
                <w:b/>
                <w:bCs/>
                <w:i/>
                <w:iCs/>
                <w:szCs w:val="24"/>
              </w:rPr>
            </w:pPr>
          </w:p>
          <w:p w:rsidR="00155AF4" w:rsidRPr="00A23740" w:rsidRDefault="00155AF4" w:rsidP="009431FF">
            <w:pPr>
              <w:keepNext/>
              <w:autoSpaceDE w:val="0"/>
              <w:autoSpaceDN w:val="0"/>
              <w:adjustRightInd w:val="0"/>
              <w:rPr>
                <w:rStyle w:val="Yenieklenen--Char"/>
                <w:rFonts w:eastAsia="Calibri"/>
                <w:u w:val="none"/>
              </w:rPr>
            </w:pPr>
            <w:r w:rsidRPr="00A23740">
              <w:rPr>
                <w:b/>
                <w:szCs w:val="24"/>
              </w:rPr>
              <w:t>Takibin</w:t>
            </w:r>
            <w:r w:rsidRPr="00A23740">
              <w:rPr>
                <w:b/>
                <w:bCs/>
              </w:rPr>
              <w:t xml:space="preserve"> </w:t>
            </w:r>
            <w:r w:rsidRPr="00A23740">
              <w:rPr>
                <w:rStyle w:val="MaviChar"/>
              </w:rPr>
              <w:t>konusu ve türleri</w:t>
            </w:r>
          </w:p>
          <w:p w:rsidR="00155AF4" w:rsidRPr="00A23740" w:rsidRDefault="00155AF4" w:rsidP="009431FF">
            <w:pPr>
              <w:keepNext/>
              <w:autoSpaceDE w:val="0"/>
              <w:autoSpaceDN w:val="0"/>
              <w:adjustRightInd w:val="0"/>
              <w:rPr>
                <w:b/>
                <w:bCs/>
                <w:color w:val="0000FF"/>
                <w:szCs w:val="24"/>
              </w:rPr>
            </w:pPr>
            <w:r w:rsidRPr="00A23740">
              <w:rPr>
                <w:rStyle w:val="MaviChar"/>
                <w:lang w:val="tr-TR"/>
              </w:rPr>
              <w:t xml:space="preserve">MADDE </w:t>
            </w:r>
            <w:r w:rsidRPr="00A23740">
              <w:rPr>
                <w:rStyle w:val="MaviChar"/>
              </w:rPr>
              <w:t>79</w:t>
            </w:r>
            <w:r w:rsidRPr="00A23740">
              <w:rPr>
                <w:rStyle w:val="MaviChar"/>
                <w:lang w:val="tr-TR"/>
              </w:rPr>
              <w:t>- (1)</w:t>
            </w:r>
            <w:r w:rsidRPr="00A23740">
              <w:rPr>
                <w:b/>
                <w:bCs/>
                <w:color w:val="00B050"/>
                <w:szCs w:val="24"/>
              </w:rPr>
              <w:t xml:space="preserve"> </w:t>
            </w:r>
            <w:r w:rsidRPr="00A23740">
              <w:rPr>
                <w:szCs w:val="24"/>
              </w:rPr>
              <w:t xml:space="preserve">Para </w:t>
            </w:r>
            <w:r w:rsidRPr="00A23740">
              <w:rPr>
                <w:rStyle w:val="MaviChar"/>
              </w:rPr>
              <w:t>alacağının</w:t>
            </w:r>
            <w:r w:rsidRPr="00A23740">
              <w:rPr>
                <w:szCs w:val="24"/>
              </w:rPr>
              <w:t xml:space="preserve"> ödenmesine veya teminat  </w:t>
            </w:r>
            <w:r w:rsidRPr="00A23740">
              <w:rPr>
                <w:rStyle w:val="MaviChar"/>
              </w:rPr>
              <w:t>gösterilmesine</w:t>
            </w:r>
            <w:r w:rsidRPr="00A23740">
              <w:rPr>
                <w:szCs w:val="24"/>
              </w:rPr>
              <w:t xml:space="preserve"> </w:t>
            </w:r>
            <w:r w:rsidRPr="00A23740">
              <w:rPr>
                <w:rStyle w:val="MaviChar"/>
              </w:rPr>
              <w:t>ilişkin</w:t>
            </w:r>
            <w:r w:rsidRPr="00A23740">
              <w:rPr>
                <w:szCs w:val="24"/>
              </w:rPr>
              <w:t xml:space="preserve"> olan </w:t>
            </w:r>
            <w:r w:rsidRPr="00A23740">
              <w:rPr>
                <w:rStyle w:val="MaviChar"/>
              </w:rPr>
              <w:t>ilamsız</w:t>
            </w:r>
            <w:r w:rsidRPr="00A23740">
              <w:rPr>
                <w:b/>
                <w:bCs/>
              </w:rPr>
              <w:t xml:space="preserve"> </w:t>
            </w:r>
            <w:r w:rsidRPr="00A23740">
              <w:rPr>
                <w:szCs w:val="24"/>
              </w:rPr>
              <w:t xml:space="preserve">icra </w:t>
            </w:r>
            <w:r w:rsidRPr="00A23740">
              <w:rPr>
                <w:rStyle w:val="MaviChar"/>
                <w:lang w:val="tr-TR"/>
              </w:rPr>
              <w:t>takipleri,</w:t>
            </w:r>
            <w:r w:rsidRPr="00A23740">
              <w:rPr>
                <w:szCs w:val="24"/>
              </w:rPr>
              <w:t xml:space="preserve"> takip talebiyle başlar</w:t>
            </w:r>
            <w:r w:rsidRPr="00A23740">
              <w:rPr>
                <w:rStyle w:val="MaviChar"/>
              </w:rPr>
              <w:t>;</w:t>
            </w:r>
            <w:r w:rsidRPr="00A23740">
              <w:rPr>
                <w:szCs w:val="24"/>
              </w:rPr>
              <w:t xml:space="preserve"> haciz veya rehnin paraya çevrilmesi yahut iflas </w:t>
            </w:r>
            <w:r w:rsidRPr="00A23740">
              <w:rPr>
                <w:rStyle w:val="MaviChar"/>
                <w:lang w:val="tr-TR"/>
              </w:rPr>
              <w:t>yoluyla yürütülür</w:t>
            </w:r>
            <w:r w:rsidRPr="00A23740">
              <w:rPr>
                <w:szCs w:val="24"/>
              </w:rPr>
              <w:t>.</w:t>
            </w:r>
            <w:r w:rsidRPr="00A23740">
              <w:rPr>
                <w:b/>
                <w:bCs/>
                <w:color w:val="0000FF"/>
                <w:szCs w:val="24"/>
              </w:rPr>
              <w:t xml:space="preserve"> </w:t>
            </w:r>
          </w:p>
          <w:p w:rsidR="00155AF4" w:rsidRPr="00A23740" w:rsidRDefault="00155AF4" w:rsidP="009431FF">
            <w:pPr>
              <w:keepNext/>
              <w:autoSpaceDE w:val="0"/>
              <w:autoSpaceDN w:val="0"/>
              <w:adjustRightInd w:val="0"/>
              <w:rPr>
                <w:b/>
                <w:bCs/>
                <w:color w:val="0000FF"/>
                <w:szCs w:val="24"/>
              </w:rPr>
            </w:pPr>
          </w:p>
          <w:p w:rsidR="00155AF4" w:rsidRPr="00A23740" w:rsidRDefault="00155AF4" w:rsidP="009431FF">
            <w:pPr>
              <w:pStyle w:val="Mavi"/>
            </w:pPr>
            <w:r w:rsidRPr="00A23740">
              <w:rPr>
                <w:rStyle w:val="Stil5Char0"/>
                <w:b/>
                <w:color w:val="0000FF"/>
                <w:lang w:eastAsia="x-none"/>
              </w:rPr>
              <w:t>(2)</w:t>
            </w:r>
            <w:r w:rsidRPr="00A23740">
              <w:t xml:space="preserve"> </w:t>
            </w:r>
            <w:r w:rsidRPr="00A23740">
              <w:rPr>
                <w:rStyle w:val="Stil5Char0"/>
                <w:b/>
                <w:color w:val="0000FF"/>
                <w:lang w:eastAsia="x-none"/>
              </w:rPr>
              <w:t>Elinde takip konusu para veya teminat alacağı</w:t>
            </w:r>
            <w:r w:rsidRPr="00A23740">
              <w:rPr>
                <w:rStyle w:val="MaviChar"/>
                <w:b/>
                <w:bCs/>
              </w:rPr>
              <w:t xml:space="preserve"> </w:t>
            </w:r>
            <w:r w:rsidRPr="00A23740">
              <w:rPr>
                <w:rStyle w:val="Stil5Char0"/>
                <w:b/>
                <w:color w:val="0000FF"/>
                <w:lang w:eastAsia="x-none"/>
              </w:rPr>
              <w:t>hakkında</w:t>
            </w:r>
            <w:r w:rsidRPr="00A23740">
              <w:rPr>
                <w:rStyle w:val="MaviChar"/>
                <w:b/>
                <w:bCs/>
              </w:rPr>
              <w:t xml:space="preserve"> </w:t>
            </w:r>
            <w:r w:rsidR="00AD7D81" w:rsidRPr="00A23740">
              <w:rPr>
                <w:rStyle w:val="Stil5Char0"/>
                <w:b/>
                <w:color w:val="0000FF"/>
                <w:lang w:eastAsia="x-none"/>
              </w:rPr>
              <w:t>resm</w:t>
            </w:r>
            <w:r w:rsidR="00AD7D81" w:rsidRPr="00A23740">
              <w:rPr>
                <w:rStyle w:val="Stil5Char0"/>
                <w:b/>
                <w:color w:val="0000FF"/>
                <w:lang w:val="tr-TR" w:eastAsia="x-none"/>
              </w:rPr>
              <w:t>î</w:t>
            </w:r>
            <w:r w:rsidRPr="00A23740">
              <w:rPr>
                <w:rStyle w:val="Stil5Char0"/>
                <w:b/>
                <w:color w:val="0000FF"/>
                <w:lang w:eastAsia="x-none"/>
              </w:rPr>
              <w:t xml:space="preserve"> dairelerin ya da yetkili makamların düzenledikleri yahut onayladıkları</w:t>
            </w:r>
            <w:r w:rsidR="006D34A7" w:rsidRPr="00A23740">
              <w:rPr>
                <w:rStyle w:val="Stil5Char0"/>
                <w:b/>
                <w:color w:val="0000FF"/>
                <w:lang w:val="tr-TR" w:eastAsia="x-none"/>
              </w:rPr>
              <w:t xml:space="preserve"> </w:t>
            </w:r>
            <w:r w:rsidR="006D34A7" w:rsidRPr="006D2E3C">
              <w:rPr>
                <w:rStyle w:val="YELChar"/>
                <w:b/>
                <w:color w:val="0000FF"/>
              </w:rPr>
              <w:t>bir</w:t>
            </w:r>
            <w:r w:rsidRPr="006D2E3C">
              <w:rPr>
                <w:rStyle w:val="Stil5Char0"/>
                <w:b/>
                <w:color w:val="0000FF"/>
                <w:lang w:eastAsia="x-none"/>
              </w:rPr>
              <w:t xml:space="preserve"> belge veyahut</w:t>
            </w:r>
            <w:r w:rsidR="006D34A7" w:rsidRPr="006D2E3C">
              <w:rPr>
                <w:rStyle w:val="Stil5Char0"/>
                <w:b/>
                <w:color w:val="0000FF"/>
                <w:lang w:val="tr-TR" w:eastAsia="x-none"/>
              </w:rPr>
              <w:t xml:space="preserve"> </w:t>
            </w:r>
            <w:r w:rsidR="00744110" w:rsidRPr="006D2E3C">
              <w:rPr>
                <w:rStyle w:val="YELChar"/>
                <w:b/>
                <w:color w:val="0000FF"/>
              </w:rPr>
              <w:t>sözleşmeler dahil,</w:t>
            </w:r>
            <w:r w:rsidR="00744110" w:rsidRPr="006D2E3C">
              <w:rPr>
                <w:rStyle w:val="Stil5Char0"/>
                <w:b/>
                <w:color w:val="0000FF"/>
                <w:lang w:val="tr-TR" w:eastAsia="x-none"/>
              </w:rPr>
              <w:t xml:space="preserve"> </w:t>
            </w:r>
            <w:r w:rsidR="006D34A7" w:rsidRPr="006D2E3C">
              <w:rPr>
                <w:rStyle w:val="YELChar"/>
                <w:b/>
                <w:color w:val="0000FF"/>
              </w:rPr>
              <w:t>alacağı</w:t>
            </w:r>
            <w:r w:rsidR="006D34A7" w:rsidRPr="006D2E3C">
              <w:rPr>
                <w:rStyle w:val="YELChar"/>
                <w:b/>
                <w:color w:val="0000FF"/>
                <w:lang w:val="tr-TR"/>
              </w:rPr>
              <w:t>n doğum sebebi</w:t>
            </w:r>
            <w:r w:rsidR="00744110" w:rsidRPr="006D2E3C">
              <w:rPr>
                <w:rStyle w:val="YELChar"/>
                <w:b/>
                <w:color w:val="0000FF"/>
                <w:lang w:val="tr-TR"/>
              </w:rPr>
              <w:t xml:space="preserve">ni </w:t>
            </w:r>
            <w:r w:rsidR="006D34A7" w:rsidRPr="006D2E3C">
              <w:rPr>
                <w:rStyle w:val="YELChar"/>
                <w:b/>
                <w:color w:val="0000FF"/>
              </w:rPr>
              <w:t xml:space="preserve">ispata elverişli senet </w:t>
            </w:r>
            <w:r w:rsidR="00744110" w:rsidRPr="006D2E3C">
              <w:rPr>
                <w:rStyle w:val="YELChar"/>
                <w:b/>
                <w:color w:val="0000FF"/>
                <w:lang w:val="tr-TR"/>
              </w:rPr>
              <w:t>ya da</w:t>
            </w:r>
            <w:r w:rsidR="00205EA2" w:rsidRPr="006D2E3C">
              <w:rPr>
                <w:rStyle w:val="YELChar"/>
                <w:b/>
                <w:color w:val="0000FF"/>
                <w:lang w:val="tr-TR"/>
              </w:rPr>
              <w:t xml:space="preserve"> iki tarafı da tacir olan icra </w:t>
            </w:r>
            <w:r w:rsidR="00205EA2" w:rsidRPr="006D2E3C">
              <w:rPr>
                <w:rStyle w:val="YELChar"/>
                <w:b/>
                <w:color w:val="0000FF"/>
                <w:lang w:val="tr-TR"/>
              </w:rPr>
              <w:lastRenderedPageBreak/>
              <w:t xml:space="preserve">takiplerinde </w:t>
            </w:r>
            <w:r w:rsidR="006D34A7" w:rsidRPr="006D2E3C">
              <w:rPr>
                <w:rStyle w:val="YELChar"/>
                <w:b/>
                <w:color w:val="0000FF"/>
              </w:rPr>
              <w:t>itiraz edilmemiş fatura</w:t>
            </w:r>
            <w:r w:rsidRPr="00A23740">
              <w:rPr>
                <w:rStyle w:val="Stil5Char0"/>
                <w:b/>
                <w:color w:val="0000FF"/>
                <w:lang w:eastAsia="x-none"/>
              </w:rPr>
              <w:t xml:space="preserve"> bulunmayan alacaklı ilamsız icra yoluna başvuramaz.</w:t>
            </w:r>
          </w:p>
          <w:p w:rsidR="00155AF4" w:rsidRPr="00A23740" w:rsidRDefault="00155AF4" w:rsidP="009431FF">
            <w:pPr>
              <w:keepNext/>
              <w:autoSpaceDE w:val="0"/>
              <w:autoSpaceDN w:val="0"/>
              <w:adjustRightInd w:val="0"/>
              <w:rPr>
                <w:b/>
                <w:bCs/>
                <w:color w:val="0000FF"/>
                <w:szCs w:val="24"/>
              </w:rPr>
            </w:pPr>
          </w:p>
          <w:p w:rsidR="00155AF4" w:rsidRPr="00A23740" w:rsidRDefault="00155AF4" w:rsidP="009431FF">
            <w:pPr>
              <w:pStyle w:val="Mavi"/>
            </w:pPr>
            <w:r w:rsidRPr="00A23740">
              <w:t xml:space="preserve">(3) </w:t>
            </w:r>
            <w:r w:rsidRPr="00A23740">
              <w:rPr>
                <w:lang w:val="tr-TR"/>
              </w:rPr>
              <w:t>T</w:t>
            </w:r>
            <w:r w:rsidRPr="00A23740">
              <w:t xml:space="preserve">aşınmazların </w:t>
            </w:r>
            <w:r w:rsidR="00450662" w:rsidRPr="006D2E3C">
              <w:rPr>
                <w:rStyle w:val="KonuBalChar"/>
                <w:rFonts w:eastAsia="Calibri"/>
                <w:b/>
                <w:color w:val="0000FF"/>
              </w:rPr>
              <w:t>139 uncu</w:t>
            </w:r>
            <w:r w:rsidRPr="00A23740">
              <w:rPr>
                <w:rStyle w:val="KIRMIZIChar"/>
                <w:rFonts w:eastAsia="Calibri"/>
                <w:b/>
                <w:strike w:val="0"/>
              </w:rPr>
              <w:t xml:space="preserve"> </w:t>
            </w:r>
            <w:r w:rsidRPr="00A23740">
              <w:rPr>
                <w:lang w:val="tr-TR"/>
              </w:rPr>
              <w:t xml:space="preserve">madde uyarınca </w:t>
            </w:r>
            <w:r w:rsidRPr="00A23740">
              <w:t>ilamsız icra yoluyla tahliyesi talep edilebilir.</w:t>
            </w:r>
          </w:p>
          <w:p w:rsidR="00155AF4" w:rsidRPr="00A23740" w:rsidRDefault="00155AF4" w:rsidP="009431FF">
            <w:pPr>
              <w:keepNext/>
              <w:autoSpaceDE w:val="0"/>
              <w:autoSpaceDN w:val="0"/>
              <w:adjustRightInd w:val="0"/>
              <w:rPr>
                <w:szCs w:val="24"/>
              </w:rPr>
            </w:pPr>
          </w:p>
          <w:p w:rsidR="00155AF4" w:rsidRPr="00A23740" w:rsidRDefault="00155AF4" w:rsidP="009431FF">
            <w:pPr>
              <w:keepNext/>
              <w:autoSpaceDE w:val="0"/>
              <w:autoSpaceDN w:val="0"/>
              <w:adjustRightInd w:val="0"/>
              <w:rPr>
                <w:szCs w:val="24"/>
              </w:rPr>
            </w:pPr>
            <w:r w:rsidRPr="00A23740">
              <w:rPr>
                <w:rStyle w:val="MaviChar"/>
              </w:rPr>
              <w:t>(4)</w:t>
            </w:r>
            <w:r w:rsidRPr="00A23740">
              <w:rPr>
                <w:szCs w:val="24"/>
              </w:rPr>
              <w:t xml:space="preserve"> Yabancı devlet aleyhine ilamsız </w:t>
            </w:r>
            <w:r w:rsidRPr="00A23740">
              <w:rPr>
                <w:rStyle w:val="MaviChar"/>
              </w:rPr>
              <w:t>icra</w:t>
            </w:r>
            <w:r w:rsidRPr="00A23740">
              <w:rPr>
                <w:szCs w:val="24"/>
              </w:rPr>
              <w:t xml:space="preserve"> yoluna başvurulamaz.</w:t>
            </w:r>
          </w:p>
          <w:p w:rsidR="00155AF4" w:rsidRPr="00A23740" w:rsidRDefault="00155AF4" w:rsidP="009431FF">
            <w:pPr>
              <w:keepNext/>
              <w:autoSpaceDE w:val="0"/>
              <w:autoSpaceDN w:val="0"/>
              <w:adjustRightInd w:val="0"/>
              <w:rPr>
                <w:b/>
                <w:bCs/>
                <w:color w:val="0000FF"/>
                <w:szCs w:val="24"/>
              </w:rPr>
            </w:pPr>
          </w:p>
          <w:p w:rsidR="00155AF4" w:rsidRPr="00A23740" w:rsidRDefault="00155AF4" w:rsidP="009431FF">
            <w:pPr>
              <w:keepNext/>
              <w:autoSpaceDE w:val="0"/>
              <w:autoSpaceDN w:val="0"/>
              <w:adjustRightInd w:val="0"/>
              <w:rPr>
                <w:b/>
                <w:bCs/>
                <w:color w:val="0000FF"/>
                <w:szCs w:val="24"/>
              </w:rPr>
            </w:pPr>
          </w:p>
          <w:p w:rsidR="00155AF4" w:rsidRPr="00A23740" w:rsidRDefault="00155AF4" w:rsidP="009431FF">
            <w:pPr>
              <w:keepNext/>
              <w:autoSpaceDE w:val="0"/>
              <w:autoSpaceDN w:val="0"/>
              <w:adjustRightInd w:val="0"/>
              <w:rPr>
                <w:szCs w:val="24"/>
              </w:rPr>
            </w:pPr>
            <w:r w:rsidRPr="00A23740">
              <w:rPr>
                <w:rStyle w:val="MaviChar"/>
              </w:rPr>
              <w:t>(5)</w:t>
            </w:r>
            <w:r w:rsidRPr="00A23740">
              <w:rPr>
                <w:szCs w:val="24"/>
              </w:rPr>
              <w:t xml:space="preserve"> İdari yargının görev alanına giren konularda ilamsız </w:t>
            </w:r>
            <w:r w:rsidRPr="00A23740">
              <w:rPr>
                <w:rStyle w:val="MaviChar"/>
              </w:rPr>
              <w:t>icra</w:t>
            </w:r>
            <w:r w:rsidRPr="00A23740">
              <w:rPr>
                <w:szCs w:val="24"/>
              </w:rPr>
              <w:t xml:space="preserve"> yoluna başvurulamaz.</w:t>
            </w:r>
          </w:p>
          <w:p w:rsidR="00155AF4" w:rsidRPr="00A23740" w:rsidRDefault="00155AF4" w:rsidP="009431FF">
            <w:pPr>
              <w:keepNext/>
              <w:autoSpaceDE w:val="0"/>
              <w:autoSpaceDN w:val="0"/>
              <w:adjustRightInd w:val="0"/>
              <w:rPr>
                <w:szCs w:val="24"/>
              </w:rPr>
            </w:pPr>
          </w:p>
          <w:p w:rsidR="00155AF4" w:rsidRPr="00A23740" w:rsidRDefault="00155AF4" w:rsidP="009431FF">
            <w:pPr>
              <w:pStyle w:val="Mavi"/>
            </w:pPr>
            <w:r w:rsidRPr="00A23740">
              <w:t>(6) İlama dayalı alacak için ilamsız icra yoluna başvurulamaz.</w:t>
            </w:r>
          </w:p>
          <w:p w:rsidR="00155AF4" w:rsidRPr="00A23740" w:rsidRDefault="00155AF4" w:rsidP="009431FF">
            <w:pPr>
              <w:pStyle w:val="Stil5"/>
            </w:pPr>
          </w:p>
        </w:tc>
      </w:tr>
      <w:tr w:rsidR="00155AF4" w:rsidRPr="00A23740" w:rsidTr="009431FF">
        <w:tc>
          <w:tcPr>
            <w:tcW w:w="5000" w:type="pct"/>
            <w:gridSpan w:val="2"/>
            <w:shd w:val="clear" w:color="auto" w:fill="DEEAF6"/>
          </w:tcPr>
          <w:p w:rsidR="00507310" w:rsidRPr="00A23740" w:rsidRDefault="00507310" w:rsidP="009431FF">
            <w:pPr>
              <w:pStyle w:val="Mavi"/>
              <w:ind w:firstLine="709"/>
              <w:rPr>
                <w:color w:val="auto"/>
                <w:lang w:val="tr-TR"/>
              </w:rPr>
            </w:pPr>
          </w:p>
          <w:p w:rsidR="00507310" w:rsidRPr="00A23740" w:rsidRDefault="00E322A4" w:rsidP="009431FF">
            <w:pPr>
              <w:keepNext/>
              <w:autoSpaceDE w:val="0"/>
              <w:autoSpaceDN w:val="0"/>
              <w:adjustRightInd w:val="0"/>
              <w:ind w:firstLine="709"/>
              <w:rPr>
                <w:szCs w:val="24"/>
              </w:rPr>
            </w:pPr>
            <w:r w:rsidRPr="00A23740">
              <w:rPr>
                <w:b/>
              </w:rPr>
              <w:t>MADDE 79</w:t>
            </w:r>
            <w:r w:rsidR="00155AF4" w:rsidRPr="00A23740">
              <w:t xml:space="preserve">- </w:t>
            </w:r>
            <w:r w:rsidR="00507310" w:rsidRPr="00A23740">
              <w:rPr>
                <w:szCs w:val="24"/>
              </w:rPr>
              <w:t xml:space="preserve">Maddeyle, </w:t>
            </w:r>
            <w:r w:rsidRPr="00A23740">
              <w:rPr>
                <w:szCs w:val="24"/>
              </w:rPr>
              <w:t xml:space="preserve">ilamsız takiplerden takibin </w:t>
            </w:r>
            <w:r w:rsidR="00507310" w:rsidRPr="00A23740">
              <w:rPr>
                <w:szCs w:val="24"/>
              </w:rPr>
              <w:t xml:space="preserve">konusu ve türleri düzenlenmektedir. </w:t>
            </w:r>
            <w:r w:rsidR="00F67963" w:rsidRPr="00A23740">
              <w:rPr>
                <w:szCs w:val="24"/>
              </w:rPr>
              <w:t>Madde hükmü</w:t>
            </w:r>
            <w:r w:rsidR="00507310" w:rsidRPr="00A23740">
              <w:rPr>
                <w:szCs w:val="24"/>
              </w:rPr>
              <w:t xml:space="preserve">, 2004 sayılı Kanunun 42 nci maddesine karşılık gelmektedir. </w:t>
            </w:r>
          </w:p>
          <w:p w:rsidR="00205EA2" w:rsidRPr="00A23740" w:rsidRDefault="00507310" w:rsidP="009431FF">
            <w:pPr>
              <w:keepNext/>
              <w:autoSpaceDE w:val="0"/>
              <w:autoSpaceDN w:val="0"/>
              <w:adjustRightInd w:val="0"/>
              <w:ind w:firstLine="709"/>
              <w:rPr>
                <w:szCs w:val="24"/>
              </w:rPr>
            </w:pPr>
            <w:r w:rsidRPr="00A23740">
              <w:rPr>
                <w:szCs w:val="24"/>
              </w:rPr>
              <w:t>Birinci fıkray</w:t>
            </w:r>
            <w:r w:rsidR="00F67963" w:rsidRPr="00A23740">
              <w:rPr>
                <w:szCs w:val="24"/>
              </w:rPr>
              <w:t>a göre</w:t>
            </w:r>
            <w:r w:rsidRPr="00A23740">
              <w:rPr>
                <w:szCs w:val="24"/>
              </w:rPr>
              <w:t>, para alacağının ödenmesine veya temina</w:t>
            </w:r>
            <w:r w:rsidR="00E322A4" w:rsidRPr="00A23740">
              <w:rPr>
                <w:szCs w:val="24"/>
              </w:rPr>
              <w:t>tın</w:t>
            </w:r>
            <w:r w:rsidRPr="00A23740">
              <w:rPr>
                <w:szCs w:val="24"/>
              </w:rPr>
              <w:t xml:space="preserve"> gösterilmesine ilişkin olan ilamsız icra takipleri, takip talebiyle başlayaca</w:t>
            </w:r>
            <w:r w:rsidR="00F67963" w:rsidRPr="00A23740">
              <w:rPr>
                <w:szCs w:val="24"/>
              </w:rPr>
              <w:t>k</w:t>
            </w:r>
            <w:r w:rsidRPr="00A23740">
              <w:rPr>
                <w:szCs w:val="24"/>
              </w:rPr>
              <w:t>; haciz veya rehnin paraya çevrilmesi yahut iflas yoluy</w:t>
            </w:r>
            <w:r w:rsidR="00205EA2" w:rsidRPr="00A23740">
              <w:rPr>
                <w:szCs w:val="24"/>
              </w:rPr>
              <w:t>la yürütülece</w:t>
            </w:r>
            <w:r w:rsidR="00F67963" w:rsidRPr="00A23740">
              <w:rPr>
                <w:szCs w:val="24"/>
              </w:rPr>
              <w:t>ktir</w:t>
            </w:r>
            <w:r w:rsidR="00205EA2" w:rsidRPr="00A23740">
              <w:rPr>
                <w:szCs w:val="24"/>
              </w:rPr>
              <w:t>.</w:t>
            </w:r>
          </w:p>
          <w:p w:rsidR="00527F77" w:rsidRPr="00A23740" w:rsidRDefault="00507310" w:rsidP="009431FF">
            <w:pPr>
              <w:keepNext/>
              <w:autoSpaceDE w:val="0"/>
              <w:autoSpaceDN w:val="0"/>
              <w:adjustRightInd w:val="0"/>
              <w:ind w:firstLine="709"/>
              <w:rPr>
                <w:color w:val="FF0000"/>
                <w:szCs w:val="24"/>
                <w:lang w:eastAsia="x-none"/>
              </w:rPr>
            </w:pPr>
            <w:r w:rsidRPr="00A23740">
              <w:rPr>
                <w:szCs w:val="24"/>
              </w:rPr>
              <w:t>İkinci fıkrayla, alacak belgesinin kapsamı belirlenmektedir.</w:t>
            </w:r>
            <w:r w:rsidR="00205EA2" w:rsidRPr="00A23740">
              <w:rPr>
                <w:szCs w:val="24"/>
              </w:rPr>
              <w:t xml:space="preserve"> </w:t>
            </w:r>
            <w:r w:rsidR="002001BE" w:rsidRPr="00A23740">
              <w:t>E</w:t>
            </w:r>
            <w:r w:rsidR="00205EA2" w:rsidRPr="00A23740">
              <w:t>linde takip konusu para vey</w:t>
            </w:r>
            <w:r w:rsidR="00AD7D81" w:rsidRPr="00A23740">
              <w:t>a teminat alacağı hakkında resmî</w:t>
            </w:r>
            <w:r w:rsidR="00205EA2" w:rsidRPr="00A23740">
              <w:t xml:space="preserve"> dairelerin ya da yetkili makamların düzenledikleri yahut onayladıkları bir belge veyahut sözleşmeler dahil, alacağın doğum sebebini ispata elverişli senet bulunmayan alacaklı</w:t>
            </w:r>
            <w:r w:rsidR="002001BE" w:rsidRPr="00A23740">
              <w:t>,</w:t>
            </w:r>
            <w:r w:rsidR="00205EA2" w:rsidRPr="00A23740">
              <w:t xml:space="preserve"> ilamsız icra yoluna başvuramayacaktır. Ayrıca iki tarafı da tacir olan icra takiplerinde itiraz edilmemiş faturaya dayanılarak da ilamsız icra takibi yapılabilecektir.</w:t>
            </w:r>
            <w:r w:rsidR="00205EA2" w:rsidRPr="00A23740">
              <w:rPr>
                <w:rStyle w:val="Stil5Char0"/>
                <w:b w:val="0"/>
                <w:color w:val="FF0000"/>
                <w:lang w:eastAsia="x-none"/>
              </w:rPr>
              <w:t xml:space="preserve"> </w:t>
            </w:r>
          </w:p>
          <w:p w:rsidR="00205EA2" w:rsidRPr="00A23740" w:rsidRDefault="00EF5D01" w:rsidP="009431FF">
            <w:pPr>
              <w:keepNext/>
              <w:autoSpaceDE w:val="0"/>
              <w:autoSpaceDN w:val="0"/>
              <w:adjustRightInd w:val="0"/>
              <w:ind w:firstLine="709"/>
              <w:rPr>
                <w:szCs w:val="24"/>
              </w:rPr>
            </w:pPr>
            <w:r w:rsidRPr="00A23740">
              <w:rPr>
                <w:szCs w:val="24"/>
              </w:rPr>
              <w:t xml:space="preserve">Bu şekilde elinde hiçbir </w:t>
            </w:r>
            <w:r w:rsidR="008D4324" w:rsidRPr="00A23740">
              <w:rPr>
                <w:szCs w:val="24"/>
              </w:rPr>
              <w:t xml:space="preserve">yazılı </w:t>
            </w:r>
            <w:r w:rsidRPr="00A23740">
              <w:rPr>
                <w:szCs w:val="24"/>
              </w:rPr>
              <w:t>belge olmayan bir kişinin mahkemeden lehine ilam almaksızın doğrudan doğruya cebr</w:t>
            </w:r>
            <w:r w:rsidR="00436506" w:rsidRPr="00A23740">
              <w:rPr>
                <w:szCs w:val="24"/>
              </w:rPr>
              <w:t>î</w:t>
            </w:r>
            <w:r w:rsidRPr="00A23740">
              <w:rPr>
                <w:szCs w:val="24"/>
              </w:rPr>
              <w:t xml:space="preserve"> icra yoluna başvurması</w:t>
            </w:r>
            <w:r w:rsidR="008D4324" w:rsidRPr="00A23740">
              <w:rPr>
                <w:szCs w:val="24"/>
              </w:rPr>
              <w:t xml:space="preserve">nın doğurabileceği sakıncaları gidermek ve </w:t>
            </w:r>
            <w:r w:rsidRPr="00A23740">
              <w:rPr>
                <w:szCs w:val="24"/>
              </w:rPr>
              <w:t>kişilerin mülkiyet hakkın</w:t>
            </w:r>
            <w:r w:rsidR="008D4324" w:rsidRPr="00A23740">
              <w:rPr>
                <w:szCs w:val="24"/>
              </w:rPr>
              <w:t xml:space="preserve">ı daha etkili bir şekilde korumak </w:t>
            </w:r>
            <w:r w:rsidR="00205EA2" w:rsidRPr="00A23740">
              <w:rPr>
                <w:szCs w:val="24"/>
              </w:rPr>
              <w:t>amaçlanmaktadır.</w:t>
            </w:r>
          </w:p>
          <w:p w:rsidR="00507310" w:rsidRPr="00A23740" w:rsidRDefault="00507310" w:rsidP="009431FF">
            <w:pPr>
              <w:keepNext/>
              <w:autoSpaceDE w:val="0"/>
              <w:autoSpaceDN w:val="0"/>
              <w:adjustRightInd w:val="0"/>
              <w:ind w:firstLine="709"/>
              <w:rPr>
                <w:szCs w:val="24"/>
              </w:rPr>
            </w:pPr>
            <w:r w:rsidRPr="00A23740">
              <w:rPr>
                <w:szCs w:val="24"/>
              </w:rPr>
              <w:t>Üçüncü fıkrayla, tereddütlerin giderilmesi amacıyla taşınmazların ilamsız icra yoluyla tahliyesinin talep edilebileceği</w:t>
            </w:r>
            <w:r w:rsidR="002001BE" w:rsidRPr="00A23740">
              <w:rPr>
                <w:szCs w:val="24"/>
              </w:rPr>
              <w:t>açıklığa kavuşturulmaktadır</w:t>
            </w:r>
            <w:r w:rsidRPr="00A23740">
              <w:rPr>
                <w:szCs w:val="24"/>
              </w:rPr>
              <w:t>.</w:t>
            </w:r>
          </w:p>
          <w:p w:rsidR="00507310" w:rsidRPr="00A23740" w:rsidRDefault="00507310" w:rsidP="009431FF">
            <w:pPr>
              <w:keepNext/>
              <w:autoSpaceDE w:val="0"/>
              <w:autoSpaceDN w:val="0"/>
              <w:adjustRightInd w:val="0"/>
              <w:ind w:firstLine="709"/>
              <w:rPr>
                <w:szCs w:val="24"/>
              </w:rPr>
            </w:pPr>
            <w:r w:rsidRPr="00A23740">
              <w:rPr>
                <w:szCs w:val="24"/>
              </w:rPr>
              <w:t xml:space="preserve">Dördüncü fıkrada yabancı devlet aleyhine ilamsız icra yoluna başvurulamayacağı belirtilmektedir. </w:t>
            </w:r>
          </w:p>
          <w:p w:rsidR="00507310" w:rsidRPr="00A23740" w:rsidRDefault="00507310" w:rsidP="009431FF">
            <w:pPr>
              <w:keepNext/>
              <w:autoSpaceDE w:val="0"/>
              <w:autoSpaceDN w:val="0"/>
              <w:adjustRightInd w:val="0"/>
              <w:ind w:firstLine="709"/>
              <w:rPr>
                <w:szCs w:val="24"/>
              </w:rPr>
            </w:pPr>
            <w:r w:rsidRPr="00A23740">
              <w:rPr>
                <w:szCs w:val="24"/>
              </w:rPr>
              <w:t>Beşinci fıkrayla, idari yargının görev alanına giren konularda ilamsız icra yoluna başvurulamayacağı</w:t>
            </w:r>
            <w:r w:rsidR="002001BE" w:rsidRPr="00A23740">
              <w:rPr>
                <w:szCs w:val="24"/>
              </w:rPr>
              <w:t>açıklanmaktadır</w:t>
            </w:r>
            <w:r w:rsidRPr="00A23740">
              <w:rPr>
                <w:szCs w:val="24"/>
              </w:rPr>
              <w:t>.</w:t>
            </w:r>
          </w:p>
          <w:p w:rsidR="00E91409" w:rsidRPr="00A23740" w:rsidRDefault="00507310" w:rsidP="009431FF">
            <w:pPr>
              <w:keepNext/>
              <w:autoSpaceDE w:val="0"/>
              <w:autoSpaceDN w:val="0"/>
              <w:adjustRightInd w:val="0"/>
              <w:ind w:firstLine="709"/>
              <w:rPr>
                <w:szCs w:val="24"/>
              </w:rPr>
            </w:pPr>
            <w:r w:rsidRPr="00A23740">
              <w:rPr>
                <w:szCs w:val="24"/>
              </w:rPr>
              <w:t xml:space="preserve">Altıncı fıkrada, bir yenilik olarak </w:t>
            </w:r>
            <w:r w:rsidR="00000054" w:rsidRPr="00A23740">
              <w:rPr>
                <w:szCs w:val="24"/>
              </w:rPr>
              <w:t xml:space="preserve">hakem kararları dahil </w:t>
            </w:r>
            <w:r w:rsidRPr="00A23740">
              <w:rPr>
                <w:szCs w:val="24"/>
              </w:rPr>
              <w:t>ilama dayalı alacak</w:t>
            </w:r>
            <w:r w:rsidR="00000054" w:rsidRPr="00A23740">
              <w:rPr>
                <w:szCs w:val="24"/>
              </w:rPr>
              <w:t>lar</w:t>
            </w:r>
            <w:r w:rsidRPr="00A23740">
              <w:rPr>
                <w:szCs w:val="24"/>
              </w:rPr>
              <w:t xml:space="preserve"> iç</w:t>
            </w:r>
            <w:r w:rsidR="00EF5D01" w:rsidRPr="00A23740">
              <w:rPr>
                <w:szCs w:val="24"/>
              </w:rPr>
              <w:t>in ilamsız icra yoluna başvurul</w:t>
            </w:r>
            <w:r w:rsidR="00000054" w:rsidRPr="00A23740">
              <w:rPr>
                <w:szCs w:val="24"/>
              </w:rPr>
              <w:t>amayacağı kuralı getirilmektedir. Bununla birlikte, ilam niteliğindeki belgeler bu hükm</w:t>
            </w:r>
            <w:r w:rsidR="009C5516">
              <w:rPr>
                <w:szCs w:val="24"/>
              </w:rPr>
              <w:t>ün kapsamı dışında kalmaktadır.</w:t>
            </w:r>
          </w:p>
          <w:p w:rsidR="00507310" w:rsidRPr="00A23740" w:rsidRDefault="00507310"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i/>
                <w:iCs/>
                <w:szCs w:val="24"/>
              </w:rPr>
            </w:pPr>
            <w:r w:rsidRPr="00A23740">
              <w:rPr>
                <w:i/>
                <w:iCs/>
                <w:szCs w:val="24"/>
              </w:rPr>
              <w:lastRenderedPageBreak/>
              <w:t xml:space="preserve">İflasa tabi </w:t>
            </w:r>
            <w:r w:rsidRPr="00A23740">
              <w:rPr>
                <w:rStyle w:val="KIRMIZIChar"/>
                <w:rFonts w:eastAsia="Calibri"/>
              </w:rPr>
              <w:t>şahıslar</w:t>
            </w:r>
            <w:r w:rsidRPr="00A23740">
              <w:rPr>
                <w:i/>
                <w:iCs/>
                <w:szCs w:val="24"/>
              </w:rPr>
              <w:t xml:space="preserve"> hakkındaki takip</w:t>
            </w:r>
            <w:r w:rsidRPr="00A23740">
              <w:rPr>
                <w:b/>
                <w:bCs/>
                <w:strike/>
                <w:color w:val="FF0000"/>
                <w:szCs w:val="24"/>
              </w:rPr>
              <w:t xml:space="preserve"> :</w:t>
            </w:r>
          </w:p>
          <w:p w:rsidR="00155AF4" w:rsidRPr="00A23740" w:rsidRDefault="00155AF4" w:rsidP="009431FF">
            <w:pPr>
              <w:tabs>
                <w:tab w:val="left" w:pos="567"/>
              </w:tabs>
              <w:autoSpaceDE w:val="0"/>
              <w:autoSpaceDN w:val="0"/>
              <w:adjustRightInd w:val="0"/>
              <w:rPr>
                <w:b/>
                <w:bCs/>
                <w:szCs w:val="24"/>
              </w:rPr>
            </w:pPr>
            <w:r w:rsidRPr="00A23740">
              <w:rPr>
                <w:rStyle w:val="KIRMIZIChar"/>
                <w:rFonts w:eastAsia="Calibri"/>
              </w:rPr>
              <w:t>Madde 43 – (1) (</w:t>
            </w:r>
            <w:r w:rsidRPr="00A23740">
              <w:rPr>
                <w:b/>
                <w:bCs/>
                <w:strike/>
                <w:color w:val="FF0000"/>
                <w:szCs w:val="24"/>
              </w:rPr>
              <w:t>Değişik 18/2/1965 - 538/21 md.)</w:t>
            </w:r>
          </w:p>
          <w:p w:rsidR="00155AF4" w:rsidRPr="00A23740" w:rsidRDefault="00155AF4" w:rsidP="009431FF">
            <w:pPr>
              <w:tabs>
                <w:tab w:val="left" w:pos="567"/>
              </w:tabs>
              <w:autoSpaceDE w:val="0"/>
              <w:autoSpaceDN w:val="0"/>
              <w:adjustRightInd w:val="0"/>
              <w:rPr>
                <w:szCs w:val="24"/>
              </w:rPr>
            </w:pPr>
            <w:r w:rsidRPr="00A23740">
              <w:rPr>
                <w:szCs w:val="24"/>
              </w:rPr>
              <w:t xml:space="preserve">İflas yolu </w:t>
            </w:r>
            <w:r w:rsidRPr="00A23740">
              <w:rPr>
                <w:rStyle w:val="KIRMIZIChar"/>
                <w:rFonts w:eastAsia="Calibri"/>
              </w:rPr>
              <w:t>ile</w:t>
            </w:r>
            <w:r w:rsidRPr="00A23740">
              <w:rPr>
                <w:szCs w:val="24"/>
              </w:rPr>
              <w:t xml:space="preserve"> takip, ancak Ticaret Kanunu gereğince tacir </w:t>
            </w:r>
            <w:r w:rsidRPr="00A23740">
              <w:rPr>
                <w:rStyle w:val="KIRMIZIChar"/>
                <w:rFonts w:eastAsia="Calibri"/>
              </w:rPr>
              <w:t>sayılan</w:t>
            </w:r>
            <w:r w:rsidRPr="00A23740">
              <w:rPr>
                <w:szCs w:val="24"/>
              </w:rPr>
              <w:t xml:space="preserve"> veya tacirler hakındaki hükümlere tabi bulunanlar ile özel </w:t>
            </w:r>
            <w:r w:rsidRPr="00A23740">
              <w:rPr>
                <w:rStyle w:val="KIRMIZIChar"/>
                <w:rFonts w:eastAsia="Calibri"/>
              </w:rPr>
              <w:t>kanunlarına göre</w:t>
            </w:r>
            <w:r w:rsidRPr="00A23740">
              <w:rPr>
                <w:szCs w:val="24"/>
              </w:rPr>
              <w:t xml:space="preserve"> </w:t>
            </w:r>
            <w:r w:rsidRPr="00A23740">
              <w:rPr>
                <w:rStyle w:val="KIRMIZIChar"/>
                <w:rFonts w:eastAsia="Calibri"/>
              </w:rPr>
              <w:t>tacir olmadıkları halde</w:t>
            </w:r>
            <w:r w:rsidRPr="00A23740">
              <w:rPr>
                <w:szCs w:val="24"/>
              </w:rPr>
              <w:t xml:space="preserve"> iflasa tabi bulundukları </w:t>
            </w:r>
            <w:r w:rsidRPr="00A23740">
              <w:rPr>
                <w:rStyle w:val="KIRMIZIChar"/>
                <w:rFonts w:eastAsia="Calibri"/>
              </w:rPr>
              <w:t>bildirilen hakiki veya hükmi şahıslar</w:t>
            </w:r>
            <w:r w:rsidRPr="00A23740">
              <w:rPr>
                <w:szCs w:val="24"/>
              </w:rPr>
              <w:t xml:space="preserve"> hakkında yapılır. Şu kadar ki, alacaklı bu </w:t>
            </w:r>
            <w:r w:rsidRPr="00A23740">
              <w:rPr>
                <w:rStyle w:val="KIRMIZIChar"/>
                <w:rFonts w:eastAsia="Calibri"/>
              </w:rPr>
              <w:t>kimseler</w:t>
            </w:r>
            <w:r w:rsidRPr="00A23740">
              <w:rPr>
                <w:szCs w:val="24"/>
              </w:rPr>
              <w:t xml:space="preserve"> hakkında haciz yolu </w:t>
            </w:r>
            <w:r w:rsidRPr="00A23740">
              <w:rPr>
                <w:rStyle w:val="KIRMIZIChar"/>
                <w:rFonts w:eastAsia="Calibri"/>
              </w:rPr>
              <w:t>ile de</w:t>
            </w:r>
            <w:r w:rsidRPr="00A23740">
              <w:rPr>
                <w:szCs w:val="24"/>
              </w:rPr>
              <w:t xml:space="preserve"> takip</w:t>
            </w:r>
            <w:r w:rsidRPr="00A23740">
              <w:rPr>
                <w:rStyle w:val="KIRMIZIChar"/>
                <w:rFonts w:eastAsia="Calibri"/>
              </w:rPr>
              <w:t>te bulunabilir</w:t>
            </w:r>
            <w:r w:rsidRPr="00A23740">
              <w:rPr>
                <w:szCs w:val="24"/>
              </w:rPr>
              <w:t>.</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 Bu yollardan</w:t>
            </w:r>
            <w:r w:rsidRPr="00A23740">
              <w:rPr>
                <w:szCs w:val="24"/>
              </w:rPr>
              <w:t xml:space="preserve"> birin</w:t>
            </w:r>
            <w:r w:rsidRPr="00A23740">
              <w:rPr>
                <w:rStyle w:val="KIRMIZIChar"/>
                <w:rFonts w:eastAsia="Calibri"/>
              </w:rPr>
              <w:t>i</w:t>
            </w:r>
            <w:r w:rsidRPr="00A23740">
              <w:rPr>
                <w:szCs w:val="24"/>
              </w:rPr>
              <w:t xml:space="preserve"> </w:t>
            </w:r>
            <w:r w:rsidRPr="00A23740">
              <w:rPr>
                <w:rStyle w:val="KIRMIZIChar"/>
                <w:rFonts w:eastAsia="Calibri"/>
              </w:rPr>
              <w:t>seçen</w:t>
            </w:r>
            <w:r w:rsidRPr="00A23740">
              <w:rPr>
                <w:szCs w:val="24"/>
              </w:rPr>
              <w:t xml:space="preserve"> alacaklı bir defaya mahsus olmak üzere o yolu bırakıp har</w:t>
            </w:r>
            <w:r w:rsidRPr="00A23740">
              <w:rPr>
                <w:b/>
                <w:bCs/>
                <w:strike/>
                <w:color w:val="FF0000"/>
                <w:szCs w:val="24"/>
              </w:rPr>
              <w:t>c</w:t>
            </w:r>
            <w:r w:rsidRPr="00A23740">
              <w:rPr>
                <w:szCs w:val="24"/>
              </w:rPr>
              <w:t xml:space="preserve"> ödemeksizin diğer</w:t>
            </w:r>
            <w:r w:rsidRPr="00A23740">
              <w:rPr>
                <w:rStyle w:val="KIRMIZIChar"/>
                <w:rFonts w:eastAsia="Calibri"/>
              </w:rPr>
              <w:t>ine</w:t>
            </w:r>
            <w:r w:rsidRPr="00A23740">
              <w:rPr>
                <w:szCs w:val="24"/>
              </w:rPr>
              <w:t xml:space="preserve"> yeni </w:t>
            </w:r>
            <w:r w:rsidRPr="00A23740">
              <w:rPr>
                <w:rStyle w:val="KIRMIZIChar"/>
                <w:rFonts w:eastAsia="Calibri"/>
              </w:rPr>
              <w:t>baştan müracaat edebilir</w:t>
            </w:r>
            <w:r w:rsidRPr="00A23740">
              <w:rPr>
                <w:szCs w:val="24"/>
              </w:rPr>
              <w:t>.</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autoSpaceDE w:val="0"/>
              <w:autoSpaceDN w:val="0"/>
              <w:adjustRightInd w:val="0"/>
              <w:rPr>
                <w:b/>
                <w:bCs/>
                <w:color w:val="000000"/>
                <w:szCs w:val="24"/>
              </w:rPr>
            </w:pPr>
            <w:r w:rsidRPr="00A23740">
              <w:rPr>
                <w:b/>
                <w:bCs/>
                <w:color w:val="000000"/>
                <w:szCs w:val="24"/>
              </w:rPr>
              <w:t xml:space="preserve">İflasa tabi </w:t>
            </w:r>
            <w:r w:rsidRPr="00A23740">
              <w:rPr>
                <w:rStyle w:val="MaviChar"/>
              </w:rPr>
              <w:t>kişiler</w:t>
            </w:r>
            <w:r w:rsidR="00744110" w:rsidRPr="00A23740">
              <w:rPr>
                <w:b/>
                <w:bCs/>
                <w:color w:val="000000"/>
                <w:szCs w:val="24"/>
              </w:rPr>
              <w:t xml:space="preserve"> hakkındaki takip</w:t>
            </w:r>
          </w:p>
          <w:p w:rsidR="00155AF4" w:rsidRPr="00A23740" w:rsidRDefault="00155AF4" w:rsidP="009431FF">
            <w:pPr>
              <w:autoSpaceDE w:val="0"/>
              <w:autoSpaceDN w:val="0"/>
              <w:adjustRightInd w:val="0"/>
              <w:rPr>
                <w:szCs w:val="24"/>
              </w:rPr>
            </w:pPr>
            <w:r w:rsidRPr="00A23740">
              <w:rPr>
                <w:rStyle w:val="MaviChar"/>
                <w:lang w:val="tr-TR"/>
              </w:rPr>
              <w:t xml:space="preserve">MADDE </w:t>
            </w:r>
            <w:r w:rsidRPr="00A23740">
              <w:rPr>
                <w:rStyle w:val="MaviChar"/>
              </w:rPr>
              <w:t>80- (1)</w:t>
            </w:r>
            <w:r w:rsidRPr="00A23740">
              <w:rPr>
                <w:b/>
                <w:bCs/>
                <w:color w:val="00B050"/>
                <w:szCs w:val="24"/>
              </w:rPr>
              <w:t xml:space="preserve"> </w:t>
            </w:r>
            <w:r w:rsidRPr="00A23740">
              <w:rPr>
                <w:szCs w:val="24"/>
              </w:rPr>
              <w:t>İflas yolu</w:t>
            </w:r>
            <w:r w:rsidRPr="00A23740">
              <w:rPr>
                <w:rStyle w:val="MaviChar"/>
              </w:rPr>
              <w:t>yla</w:t>
            </w:r>
            <w:r w:rsidRPr="00A23740">
              <w:rPr>
                <w:szCs w:val="24"/>
              </w:rPr>
              <w:t xml:space="preserve"> takip, ancak </w:t>
            </w:r>
            <w:r w:rsidR="00FB4158" w:rsidRPr="006D2E3C">
              <w:rPr>
                <w:rStyle w:val="KonuBalChar"/>
                <w:rFonts w:eastAsia="Calibri"/>
                <w:color w:val="0000FF"/>
              </w:rPr>
              <w:t>13/1/2011 tarihli ve</w:t>
            </w:r>
            <w:r w:rsidR="00FB4158" w:rsidRPr="00A23740">
              <w:rPr>
                <w:szCs w:val="24"/>
              </w:rPr>
              <w:t xml:space="preserve"> </w:t>
            </w:r>
            <w:r w:rsidRPr="00A23740">
              <w:rPr>
                <w:rStyle w:val="MaviChar"/>
              </w:rPr>
              <w:t>6102 sayılı Türk</w:t>
            </w:r>
            <w:r w:rsidRPr="00A23740">
              <w:rPr>
                <w:szCs w:val="24"/>
              </w:rPr>
              <w:t xml:space="preserve"> Ticaret Kanunu gereğince tacir </w:t>
            </w:r>
            <w:r w:rsidRPr="00A23740">
              <w:rPr>
                <w:rStyle w:val="MaviChar"/>
              </w:rPr>
              <w:t xml:space="preserve">olan, tacir sayılan veya tacir gibi sorumlu olan kişiler </w:t>
            </w:r>
            <w:r w:rsidRPr="00A23740">
              <w:rPr>
                <w:szCs w:val="24"/>
              </w:rPr>
              <w:t xml:space="preserve">ile özel </w:t>
            </w:r>
            <w:r w:rsidRPr="00A23740">
              <w:rPr>
                <w:rStyle w:val="MaviChar"/>
              </w:rPr>
              <w:t>kanunlarında</w:t>
            </w:r>
            <w:r w:rsidRPr="00A23740">
              <w:rPr>
                <w:szCs w:val="24"/>
              </w:rPr>
              <w:t xml:space="preserve"> iflasa tabi bulundukları </w:t>
            </w:r>
            <w:r w:rsidRPr="00A23740">
              <w:rPr>
                <w:rStyle w:val="MaviChar"/>
              </w:rPr>
              <w:t>belirtilenler</w:t>
            </w:r>
            <w:r w:rsidR="00F2032D" w:rsidRPr="00A23740">
              <w:rPr>
                <w:szCs w:val="24"/>
              </w:rPr>
              <w:t xml:space="preserve"> hakkında yapılır. Şu kadar ki</w:t>
            </w:r>
            <w:r w:rsidRPr="00A23740">
              <w:rPr>
                <w:szCs w:val="24"/>
              </w:rPr>
              <w:t xml:space="preserve"> alacaklı</w:t>
            </w:r>
            <w:r w:rsidR="00F2032D" w:rsidRPr="00A23740">
              <w:rPr>
                <w:rStyle w:val="MaviChar"/>
              </w:rPr>
              <w:t>,</w:t>
            </w:r>
            <w:r w:rsidRPr="00A23740">
              <w:rPr>
                <w:szCs w:val="24"/>
              </w:rPr>
              <w:t xml:space="preserve"> bu </w:t>
            </w:r>
            <w:r w:rsidRPr="00A23740">
              <w:rPr>
                <w:rStyle w:val="MaviChar"/>
              </w:rPr>
              <w:t>kişiler</w:t>
            </w:r>
            <w:r w:rsidRPr="00A23740">
              <w:rPr>
                <w:szCs w:val="24"/>
              </w:rPr>
              <w:t xml:space="preserve"> hakkında haciz yolu</w:t>
            </w:r>
            <w:r w:rsidRPr="00A23740">
              <w:rPr>
                <w:rStyle w:val="MaviChar"/>
              </w:rPr>
              <w:t xml:space="preserve">yla da </w:t>
            </w:r>
            <w:r w:rsidRPr="00A23740">
              <w:rPr>
                <w:szCs w:val="24"/>
              </w:rPr>
              <w:t>takip</w:t>
            </w:r>
            <w:r w:rsidRPr="00A23740">
              <w:rPr>
                <w:rStyle w:val="KIRMIZIChar"/>
                <w:rFonts w:eastAsia="Calibri"/>
                <w:strike w:val="0"/>
              </w:rPr>
              <w:t xml:space="preserve"> </w:t>
            </w:r>
            <w:r w:rsidRPr="00A23740">
              <w:rPr>
                <w:rStyle w:val="MaviChar"/>
              </w:rPr>
              <w:t>yapabilir</w:t>
            </w:r>
            <w:r w:rsidRPr="00A23740">
              <w:rPr>
                <w:szCs w:val="24"/>
              </w:rPr>
              <w:t>.</w:t>
            </w:r>
          </w:p>
          <w:p w:rsidR="00155AF4" w:rsidRDefault="00155AF4" w:rsidP="009431FF">
            <w:pPr>
              <w:autoSpaceDE w:val="0"/>
              <w:autoSpaceDN w:val="0"/>
              <w:adjustRightInd w:val="0"/>
              <w:rPr>
                <w:szCs w:val="24"/>
              </w:rPr>
            </w:pPr>
          </w:p>
          <w:p w:rsidR="003E5126" w:rsidRPr="00A23740" w:rsidRDefault="003E5126" w:rsidP="009431FF">
            <w:pPr>
              <w:autoSpaceDE w:val="0"/>
              <w:autoSpaceDN w:val="0"/>
              <w:adjustRightInd w:val="0"/>
              <w:rPr>
                <w:szCs w:val="24"/>
              </w:rPr>
            </w:pPr>
          </w:p>
          <w:p w:rsidR="00155AF4" w:rsidRPr="00A23740" w:rsidRDefault="00155AF4" w:rsidP="009431FF">
            <w:pPr>
              <w:tabs>
                <w:tab w:val="left" w:pos="567"/>
              </w:tabs>
              <w:autoSpaceDE w:val="0"/>
              <w:autoSpaceDN w:val="0"/>
              <w:adjustRightInd w:val="0"/>
              <w:rPr>
                <w:rStyle w:val="KIRMIZIChar"/>
                <w:rFonts w:eastAsia="Calibri"/>
              </w:rPr>
            </w:pPr>
            <w:r w:rsidRPr="00A23740">
              <w:rPr>
                <w:rStyle w:val="MaviChar"/>
              </w:rPr>
              <w:t>(2) Haciz veya iflas yoluyla takipten</w:t>
            </w:r>
            <w:r w:rsidRPr="00A23740">
              <w:rPr>
                <w:szCs w:val="24"/>
              </w:rPr>
              <w:t xml:space="preserve"> birin</w:t>
            </w:r>
            <w:r w:rsidRPr="00A23740">
              <w:rPr>
                <w:rStyle w:val="MaviChar"/>
              </w:rPr>
              <w:t xml:space="preserve">e başvuran </w:t>
            </w:r>
            <w:r w:rsidRPr="00A23740">
              <w:rPr>
                <w:szCs w:val="24"/>
              </w:rPr>
              <w:t>alacaklı</w:t>
            </w:r>
            <w:r w:rsidRPr="00A23740">
              <w:rPr>
                <w:rStyle w:val="MaviChar"/>
              </w:rPr>
              <w:t>,</w:t>
            </w:r>
            <w:r w:rsidRPr="00A23740">
              <w:rPr>
                <w:szCs w:val="24"/>
              </w:rPr>
              <w:t xml:space="preserve"> bir defaya mahsus olmak üzere o yolu bırakıp</w:t>
            </w:r>
            <w:r w:rsidRPr="00A23740">
              <w:rPr>
                <w:b/>
                <w:bCs/>
                <w:color w:val="0000FF"/>
                <w:szCs w:val="24"/>
              </w:rPr>
              <w:t xml:space="preserve"> </w:t>
            </w:r>
            <w:r w:rsidRPr="00A23740">
              <w:rPr>
                <w:rStyle w:val="MaviChar"/>
              </w:rPr>
              <w:t>aynı dosya üzerinden</w:t>
            </w:r>
            <w:r w:rsidRPr="00A23740">
              <w:rPr>
                <w:szCs w:val="24"/>
              </w:rPr>
              <w:t xml:space="preserve"> har</w:t>
            </w:r>
            <w:r w:rsidRPr="00A23740">
              <w:rPr>
                <w:rStyle w:val="MaviChar"/>
              </w:rPr>
              <w:t>ç</w:t>
            </w:r>
            <w:r w:rsidRPr="00A23740">
              <w:rPr>
                <w:szCs w:val="24"/>
              </w:rPr>
              <w:t xml:space="preserve"> ödemeksizin diğer </w:t>
            </w:r>
            <w:r w:rsidRPr="00A23740">
              <w:rPr>
                <w:rStyle w:val="MaviChar"/>
              </w:rPr>
              <w:t>takip yoluna</w:t>
            </w:r>
            <w:r w:rsidRPr="00A23740">
              <w:rPr>
                <w:szCs w:val="24"/>
              </w:rPr>
              <w:t xml:space="preserve"> yeni</w:t>
            </w:r>
            <w:r w:rsidRPr="00A23740">
              <w:rPr>
                <w:rStyle w:val="MaviChar"/>
              </w:rPr>
              <w:t>den</w:t>
            </w:r>
            <w:r w:rsidRPr="00A23740">
              <w:rPr>
                <w:szCs w:val="24"/>
              </w:rPr>
              <w:t xml:space="preserve"> </w:t>
            </w:r>
            <w:r w:rsidRPr="00A23740">
              <w:rPr>
                <w:rStyle w:val="MaviChar"/>
              </w:rPr>
              <w:t>başvurabilir.</w:t>
            </w:r>
          </w:p>
          <w:p w:rsidR="00155AF4" w:rsidRPr="00A23740" w:rsidRDefault="00155AF4" w:rsidP="009431FF">
            <w:pPr>
              <w:pStyle w:val="KIRMIZI"/>
              <w:rPr>
                <w:lang w:val="tr-TR"/>
              </w:rPr>
            </w:pPr>
          </w:p>
        </w:tc>
      </w:tr>
      <w:tr w:rsidR="00155AF4" w:rsidRPr="00A23740" w:rsidTr="009431FF">
        <w:tc>
          <w:tcPr>
            <w:tcW w:w="5000" w:type="pct"/>
            <w:gridSpan w:val="2"/>
            <w:shd w:val="clear" w:color="auto" w:fill="DEEAF6"/>
          </w:tcPr>
          <w:p w:rsidR="00155AF4" w:rsidRPr="00A23740" w:rsidRDefault="00155AF4" w:rsidP="009431FF">
            <w:pPr>
              <w:pStyle w:val="Mavi"/>
              <w:jc w:val="center"/>
              <w:rPr>
                <w:color w:val="auto"/>
                <w:lang w:val="tr-TR"/>
              </w:rPr>
            </w:pPr>
          </w:p>
          <w:p w:rsidR="00F2032D" w:rsidRPr="00A23740" w:rsidRDefault="00E322A4" w:rsidP="009431FF">
            <w:pPr>
              <w:pStyle w:val="Mavi"/>
              <w:ind w:firstLine="709"/>
              <w:rPr>
                <w:b w:val="0"/>
                <w:bCs w:val="0"/>
                <w:color w:val="000000"/>
                <w:lang w:val="tr-TR"/>
              </w:rPr>
            </w:pPr>
            <w:r w:rsidRPr="00A23740">
              <w:rPr>
                <w:color w:val="auto"/>
                <w:lang w:val="tr-TR"/>
              </w:rPr>
              <w:t>MADDE 80</w:t>
            </w:r>
            <w:r w:rsidR="00155AF4" w:rsidRPr="00A23740">
              <w:rPr>
                <w:color w:val="auto"/>
                <w:lang w:val="tr-TR"/>
              </w:rPr>
              <w:t xml:space="preserve">- </w:t>
            </w:r>
            <w:r w:rsidR="002B4B32" w:rsidRPr="00A23740">
              <w:rPr>
                <w:b w:val="0"/>
                <w:bCs w:val="0"/>
                <w:color w:val="000000"/>
              </w:rPr>
              <w:t>Maddeyle, i</w:t>
            </w:r>
            <w:r w:rsidR="00A559F9" w:rsidRPr="00A23740">
              <w:rPr>
                <w:b w:val="0"/>
                <w:bCs w:val="0"/>
                <w:color w:val="000000"/>
              </w:rPr>
              <w:t xml:space="preserve">flasa tabi </w:t>
            </w:r>
            <w:r w:rsidR="00A559F9" w:rsidRPr="00A23740">
              <w:rPr>
                <w:b w:val="0"/>
                <w:color w:val="000000"/>
              </w:rPr>
              <w:t>kişiler</w:t>
            </w:r>
            <w:r w:rsidR="002B4B32" w:rsidRPr="00A23740">
              <w:rPr>
                <w:b w:val="0"/>
                <w:bCs w:val="0"/>
                <w:color w:val="000000"/>
              </w:rPr>
              <w:t xml:space="preserve"> hakkındaki takibe ilişkin esaslar düzenlenmektedir.</w:t>
            </w:r>
            <w:r w:rsidR="002B4B32" w:rsidRPr="00A23740">
              <w:rPr>
                <w:b w:val="0"/>
                <w:bCs w:val="0"/>
                <w:color w:val="000000"/>
                <w:lang w:val="tr-TR"/>
              </w:rPr>
              <w:t xml:space="preserve"> Hüküm, 2004 sayılı Kanunun 43 üncü</w:t>
            </w:r>
            <w:r w:rsidR="009A571C" w:rsidRPr="00A23740">
              <w:rPr>
                <w:b w:val="0"/>
                <w:bCs w:val="0"/>
                <w:color w:val="000000"/>
                <w:lang w:val="tr-TR"/>
              </w:rPr>
              <w:t xml:space="preserve"> maddesine karşılık gelmekte olup sadeleştirilmek suretiyle muhafaza edilmektedir.</w:t>
            </w:r>
          </w:p>
          <w:p w:rsidR="00DB2C16" w:rsidRPr="00A23740" w:rsidRDefault="00F2032D" w:rsidP="009431FF">
            <w:pPr>
              <w:pStyle w:val="Mavi"/>
              <w:ind w:firstLine="709"/>
              <w:rPr>
                <w:b w:val="0"/>
                <w:bCs w:val="0"/>
                <w:color w:val="000000"/>
                <w:lang w:val="tr-TR"/>
              </w:rPr>
            </w:pPr>
            <w:r w:rsidRPr="00A23740">
              <w:rPr>
                <w:b w:val="0"/>
                <w:bCs w:val="0"/>
                <w:color w:val="000000"/>
                <w:lang w:val="tr-TR"/>
              </w:rPr>
              <w:t>Birinci fıkra</w:t>
            </w:r>
            <w:r w:rsidR="002001BE" w:rsidRPr="00A23740">
              <w:rPr>
                <w:b w:val="0"/>
                <w:bCs w:val="0"/>
                <w:color w:val="000000"/>
                <w:lang w:val="tr-TR"/>
              </w:rPr>
              <w:t>da</w:t>
            </w:r>
            <w:r w:rsidRPr="00A23740">
              <w:rPr>
                <w:b w:val="0"/>
                <w:bCs w:val="0"/>
                <w:color w:val="000000"/>
                <w:lang w:val="tr-TR"/>
              </w:rPr>
              <w:t xml:space="preserve">, </w:t>
            </w:r>
            <w:r w:rsidR="00DB2C16" w:rsidRPr="00A23740">
              <w:rPr>
                <w:b w:val="0"/>
                <w:bCs w:val="0"/>
                <w:color w:val="000000"/>
                <w:lang w:val="tr-TR"/>
              </w:rPr>
              <w:t xml:space="preserve">“gerçek ve tüzel kişi” ibaresi </w:t>
            </w:r>
            <w:r w:rsidR="002001BE" w:rsidRPr="00A23740">
              <w:rPr>
                <w:b w:val="0"/>
                <w:bCs w:val="0"/>
                <w:color w:val="000000"/>
                <w:lang w:val="tr-TR"/>
              </w:rPr>
              <w:t>kullanılmamış</w:t>
            </w:r>
            <w:r w:rsidR="00DB2C16" w:rsidRPr="00A23740">
              <w:rPr>
                <w:b w:val="0"/>
                <w:bCs w:val="0"/>
                <w:color w:val="000000"/>
                <w:lang w:val="tr-TR"/>
              </w:rPr>
              <w:t xml:space="preserve"> bunun yerine pasif ifadeyle “iflasa tabi olanlar” nitelemesi tercih edilmiştir. Böylece tüzel kişiliği bulunmayan donatma iştiraki ve tereke gibi iflasa tabi özel malvarlı</w:t>
            </w:r>
            <w:r w:rsidR="002001BE" w:rsidRPr="00A23740">
              <w:rPr>
                <w:b w:val="0"/>
                <w:bCs w:val="0"/>
                <w:color w:val="000000"/>
                <w:lang w:val="tr-TR"/>
              </w:rPr>
              <w:t>klar</w:t>
            </w:r>
            <w:r w:rsidR="00DB2C16" w:rsidRPr="00A23740">
              <w:rPr>
                <w:b w:val="0"/>
                <w:bCs w:val="0"/>
                <w:color w:val="000000"/>
                <w:lang w:val="tr-TR"/>
              </w:rPr>
              <w:t xml:space="preserve">ına ilişkin tartışmaların bertaraf </w:t>
            </w:r>
            <w:r w:rsidRPr="00A23740">
              <w:rPr>
                <w:b w:val="0"/>
                <w:bCs w:val="0"/>
                <w:color w:val="000000"/>
                <w:lang w:val="tr-TR"/>
              </w:rPr>
              <w:t>edilmesi amaçlanmıştır. Ayrıca birinci</w:t>
            </w:r>
            <w:r w:rsidR="00DB2C16" w:rsidRPr="00A23740">
              <w:rPr>
                <w:b w:val="0"/>
                <w:bCs w:val="0"/>
                <w:color w:val="000000"/>
                <w:lang w:val="tr-TR"/>
              </w:rPr>
              <w:t xml:space="preserve"> fıkradaki ilk cümlede </w:t>
            </w:r>
            <w:r w:rsidR="00920BEC" w:rsidRPr="006D2E3C">
              <w:rPr>
                <w:rStyle w:val="KonuBalChar"/>
                <w:rFonts w:eastAsia="Calibri"/>
                <w:color w:val="auto"/>
              </w:rPr>
              <w:t>6102 sayılı Kanunun</w:t>
            </w:r>
            <w:r w:rsidR="00920BEC" w:rsidRPr="00A23740">
              <w:rPr>
                <w:b w:val="0"/>
                <w:bCs w:val="0"/>
                <w:color w:val="000000"/>
                <w:lang w:val="tr-TR"/>
              </w:rPr>
              <w:t xml:space="preserve"> </w:t>
            </w:r>
            <w:r w:rsidRPr="00A23740">
              <w:rPr>
                <w:b w:val="0"/>
                <w:bCs w:val="0"/>
                <w:color w:val="000000"/>
                <w:lang w:val="tr-TR"/>
              </w:rPr>
              <w:t xml:space="preserve">12 nci maddesi </w:t>
            </w:r>
            <w:r w:rsidR="00DB2C16" w:rsidRPr="00A23740">
              <w:rPr>
                <w:b w:val="0"/>
                <w:bCs w:val="0"/>
                <w:color w:val="000000"/>
                <w:lang w:val="tr-TR"/>
              </w:rPr>
              <w:t>hükmüne uygun olarak tacir, tacir sayılan ve tacir gibi sorumlu olan terimleri kullan</w:t>
            </w:r>
            <w:r w:rsidRPr="00A23740">
              <w:rPr>
                <w:b w:val="0"/>
                <w:bCs w:val="0"/>
                <w:color w:val="000000"/>
                <w:lang w:val="tr-TR"/>
              </w:rPr>
              <w:t xml:space="preserve">ılmıştır. </w:t>
            </w:r>
          </w:p>
          <w:p w:rsidR="00E91409" w:rsidRPr="00A23740" w:rsidRDefault="00DB2C16" w:rsidP="009431FF">
            <w:pPr>
              <w:pStyle w:val="Mavi"/>
              <w:ind w:firstLine="709"/>
              <w:rPr>
                <w:b w:val="0"/>
                <w:color w:val="000000"/>
              </w:rPr>
            </w:pPr>
            <w:r w:rsidRPr="00A23740">
              <w:rPr>
                <w:b w:val="0"/>
                <w:bCs w:val="0"/>
                <w:color w:val="000000"/>
                <w:lang w:val="tr-TR"/>
              </w:rPr>
              <w:t xml:space="preserve">Maddenin </w:t>
            </w:r>
            <w:r w:rsidR="00F2032D" w:rsidRPr="00A23740">
              <w:rPr>
                <w:b w:val="0"/>
                <w:bCs w:val="0"/>
                <w:color w:val="000000"/>
                <w:lang w:val="tr-TR"/>
              </w:rPr>
              <w:t>ikinci</w:t>
            </w:r>
            <w:r w:rsidRPr="00A23740">
              <w:rPr>
                <w:b w:val="0"/>
                <w:bCs w:val="0"/>
                <w:color w:val="000000"/>
                <w:lang w:val="tr-TR"/>
              </w:rPr>
              <w:t xml:space="preserve"> fıkrasında ise haciz veya iflas yoluyla takipten birine başvuran alacaklı</w:t>
            </w:r>
            <w:r w:rsidR="002001BE" w:rsidRPr="00A23740">
              <w:rPr>
                <w:b w:val="0"/>
                <w:bCs w:val="0"/>
                <w:color w:val="000000"/>
                <w:lang w:val="tr-TR"/>
              </w:rPr>
              <w:t>nın</w:t>
            </w:r>
            <w:r w:rsidRPr="00A23740">
              <w:rPr>
                <w:b w:val="0"/>
                <w:bCs w:val="0"/>
                <w:color w:val="000000"/>
                <w:lang w:val="tr-TR"/>
              </w:rPr>
              <w:t xml:space="preserve">, bir defaya mahsus olmak üzere o yolu bırakıp aynı dosya üzerinden harç ödemeksizin diğer takip yoluna yeniden </w:t>
            </w:r>
            <w:r w:rsidR="002001BE" w:rsidRPr="00A23740">
              <w:rPr>
                <w:b w:val="0"/>
                <w:bCs w:val="0"/>
                <w:color w:val="000000"/>
                <w:lang w:val="tr-TR"/>
              </w:rPr>
              <w:t xml:space="preserve">başvurabilmesi </w:t>
            </w:r>
            <w:r w:rsidRPr="00A23740">
              <w:rPr>
                <w:b w:val="0"/>
                <w:bCs w:val="0"/>
                <w:color w:val="000000"/>
                <w:lang w:val="tr-TR"/>
              </w:rPr>
              <w:t>düzenlenmiştir.</w:t>
            </w:r>
          </w:p>
          <w:p w:rsidR="00F2032D" w:rsidRPr="00A23740" w:rsidRDefault="00F2032D"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i/>
                <w:iCs/>
                <w:szCs w:val="24"/>
              </w:rPr>
            </w:pPr>
            <w:r w:rsidRPr="00A23740">
              <w:rPr>
                <w:i/>
                <w:iCs/>
                <w:szCs w:val="24"/>
              </w:rPr>
              <w:t>Ticareti terk edenler</w:t>
            </w:r>
            <w:r w:rsidRPr="00A23740">
              <w:rPr>
                <w:b/>
                <w:bCs/>
                <w:strike/>
                <w:color w:val="FF0000"/>
                <w:szCs w:val="24"/>
              </w:rPr>
              <w:t>:</w:t>
            </w:r>
          </w:p>
          <w:p w:rsidR="00155AF4" w:rsidRPr="00A23740" w:rsidRDefault="00155AF4" w:rsidP="009431FF">
            <w:pPr>
              <w:tabs>
                <w:tab w:val="left" w:pos="567"/>
              </w:tabs>
              <w:autoSpaceDE w:val="0"/>
              <w:autoSpaceDN w:val="0"/>
              <w:adjustRightInd w:val="0"/>
              <w:rPr>
                <w:b/>
                <w:bCs/>
                <w:szCs w:val="24"/>
              </w:rPr>
            </w:pPr>
            <w:r w:rsidRPr="00A23740">
              <w:rPr>
                <w:rStyle w:val="KIRMIZIChar"/>
                <w:rFonts w:eastAsia="Calibri"/>
              </w:rPr>
              <w:t>Madde 44 – (1) (Değişik</w:t>
            </w:r>
            <w:r w:rsidRPr="00A23740">
              <w:rPr>
                <w:b/>
                <w:bCs/>
                <w:strike/>
                <w:color w:val="FF0000"/>
                <w:szCs w:val="24"/>
              </w:rPr>
              <w:t>: 18/2/1965-538/22 md.)</w:t>
            </w:r>
          </w:p>
          <w:p w:rsidR="00155AF4" w:rsidRPr="00A23740" w:rsidRDefault="00155AF4" w:rsidP="009431FF">
            <w:pPr>
              <w:tabs>
                <w:tab w:val="left" w:pos="567"/>
              </w:tabs>
              <w:autoSpaceDE w:val="0"/>
              <w:autoSpaceDN w:val="0"/>
              <w:adjustRightInd w:val="0"/>
              <w:rPr>
                <w:rStyle w:val="KIRMIZIChar"/>
                <w:rFonts w:eastAsia="Calibri"/>
              </w:rPr>
            </w:pPr>
            <w:r w:rsidRPr="00A23740">
              <w:rPr>
                <w:szCs w:val="24"/>
              </w:rPr>
              <w:t xml:space="preserve">Ticareti terk eden </w:t>
            </w:r>
            <w:r w:rsidRPr="00A23740">
              <w:rPr>
                <w:rStyle w:val="KIRMIZIChar"/>
                <w:rFonts w:eastAsia="Calibri"/>
              </w:rPr>
              <w:t>bir</w:t>
            </w:r>
            <w:r w:rsidRPr="00A23740">
              <w:rPr>
                <w:szCs w:val="24"/>
              </w:rPr>
              <w:t xml:space="preserve"> tacir </w:t>
            </w:r>
            <w:r w:rsidRPr="00A23740">
              <w:rPr>
                <w:rStyle w:val="KIRMIZIChar"/>
                <w:rFonts w:eastAsia="Calibri"/>
              </w:rPr>
              <w:t>15 gün</w:t>
            </w:r>
            <w:r w:rsidRPr="00A23740">
              <w:rPr>
                <w:szCs w:val="24"/>
              </w:rPr>
              <w:t xml:space="preserve"> içinde </w:t>
            </w:r>
            <w:r w:rsidRPr="00A23740">
              <w:rPr>
                <w:rStyle w:val="KIRMIZIChar"/>
                <w:rFonts w:eastAsia="Calibri"/>
              </w:rPr>
              <w:t>keyfiyeti</w:t>
            </w:r>
            <w:r w:rsidRPr="00A23740">
              <w:rPr>
                <w:szCs w:val="24"/>
              </w:rPr>
              <w:t xml:space="preserve"> kayıtlı bulunduğu ticaret sicili</w:t>
            </w:r>
            <w:r w:rsidRPr="00A23740">
              <w:rPr>
                <w:rStyle w:val="KIRMIZIChar"/>
                <w:rFonts w:eastAsia="Calibri"/>
              </w:rPr>
              <w:t>ne</w:t>
            </w:r>
            <w:r w:rsidRPr="00A23740">
              <w:rPr>
                <w:szCs w:val="24"/>
              </w:rPr>
              <w:t xml:space="preserve"> bildirme</w:t>
            </w:r>
            <w:r w:rsidRPr="00A23740">
              <w:rPr>
                <w:rStyle w:val="KIRMIZIChar"/>
                <w:rFonts w:eastAsia="Calibri"/>
              </w:rPr>
              <w:t>ye</w:t>
            </w:r>
            <w:r w:rsidRPr="00A23740">
              <w:rPr>
                <w:szCs w:val="24"/>
              </w:rPr>
              <w:t xml:space="preserve"> ve bütün aktif ve pasifi ile alacaklılarının isim ve adreslerini gösteren bir mal beyanında bulunma</w:t>
            </w:r>
            <w:r w:rsidRPr="00A23740">
              <w:rPr>
                <w:rStyle w:val="KIRMIZIChar"/>
                <w:rFonts w:eastAsia="Calibri"/>
              </w:rPr>
              <w:t>ya mecburdur</w:t>
            </w:r>
            <w:r w:rsidRPr="00A23740">
              <w:rPr>
                <w:szCs w:val="24"/>
              </w:rPr>
              <w:t xml:space="preserve">. </w:t>
            </w:r>
            <w:r w:rsidRPr="00A23740">
              <w:rPr>
                <w:rStyle w:val="KIRMIZIChar"/>
                <w:rFonts w:eastAsia="Calibri"/>
              </w:rPr>
              <w:t>Keyfiyet</w:t>
            </w:r>
            <w:r w:rsidRPr="006D2E3C">
              <w:rPr>
                <w:rStyle w:val="KIRMIZIChar"/>
                <w:rFonts w:eastAsia="Calibri"/>
              </w:rPr>
              <w:t xml:space="preserve"> ticaret sicili </w:t>
            </w:r>
            <w:r w:rsidRPr="00A23740">
              <w:rPr>
                <w:rStyle w:val="KIRMIZIChar"/>
                <w:rFonts w:eastAsia="Calibri"/>
              </w:rPr>
              <w:t>memurluğunca</w:t>
            </w:r>
            <w:r w:rsidRPr="006D2E3C">
              <w:rPr>
                <w:rStyle w:val="KIRMIZIChar"/>
                <w:rFonts w:eastAsia="Calibri"/>
              </w:rPr>
              <w:t xml:space="preserve"> ticaret sicili </w:t>
            </w:r>
            <w:r w:rsidRPr="00A23740">
              <w:rPr>
                <w:rStyle w:val="KIRMIZIChar"/>
                <w:rFonts w:eastAsia="Calibri"/>
              </w:rPr>
              <w:t>ilanlarının yayınlandığı</w:t>
            </w:r>
            <w:r w:rsidRPr="00A23740">
              <w:rPr>
                <w:szCs w:val="24"/>
              </w:rPr>
              <w:t xml:space="preserve"> gazete</w:t>
            </w:r>
            <w:r w:rsidRPr="00A23740">
              <w:rPr>
                <w:rStyle w:val="KIRMIZIChar"/>
                <w:rFonts w:eastAsia="Calibri"/>
              </w:rPr>
              <w:t>'de ve alacaklıların bulunduğu yerlerde de mütat ve münasip vasıtalarla</w:t>
            </w:r>
            <w:r w:rsidRPr="00A23740">
              <w:rPr>
                <w:szCs w:val="24"/>
              </w:rPr>
              <w:t xml:space="preserve"> ilan olunur. </w:t>
            </w:r>
            <w:r w:rsidRPr="00A23740">
              <w:rPr>
                <w:rStyle w:val="KIRMIZIChar"/>
                <w:rFonts w:eastAsia="Calibri"/>
              </w:rPr>
              <w:t>İlan masraflarını ödemiyen tacir beyanda bulunmamış sayılır.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lastRenderedPageBreak/>
              <w:t>(2) Bu</w:t>
            </w:r>
            <w:r w:rsidRPr="00A23740">
              <w:rPr>
                <w:szCs w:val="24"/>
              </w:rPr>
              <w:t xml:space="preserve"> ilan tarihinden itibaren bir </w:t>
            </w:r>
            <w:r w:rsidRPr="00A23740">
              <w:rPr>
                <w:rStyle w:val="KIRMIZIChar"/>
                <w:rFonts w:eastAsia="Calibri"/>
              </w:rPr>
              <w:t>sene</w:t>
            </w:r>
            <w:r w:rsidRPr="00A23740">
              <w:rPr>
                <w:szCs w:val="24"/>
              </w:rPr>
              <w:t xml:space="preserve"> içinde, </w:t>
            </w:r>
            <w:r w:rsidRPr="00A23740">
              <w:rPr>
                <w:rStyle w:val="KIRMIZIChar"/>
                <w:rFonts w:eastAsia="Calibri"/>
              </w:rPr>
              <w:t xml:space="preserve">ticareti terk eden tacir hakkında </w:t>
            </w:r>
            <w:r w:rsidRPr="00A23740">
              <w:rPr>
                <w:szCs w:val="24"/>
              </w:rPr>
              <w:t xml:space="preserve">iflas yolu </w:t>
            </w:r>
            <w:r w:rsidRPr="00A23740">
              <w:rPr>
                <w:rStyle w:val="KIRMIZIChar"/>
                <w:rFonts w:eastAsia="Calibri"/>
              </w:rPr>
              <w:t>ile</w:t>
            </w:r>
            <w:r w:rsidRPr="00A23740">
              <w:rPr>
                <w:szCs w:val="24"/>
              </w:rPr>
              <w:t xml:space="preserve"> takip yapılabilir.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(3)</w:t>
            </w:r>
            <w:r w:rsidRPr="00A23740">
              <w:rPr>
                <w:szCs w:val="24"/>
              </w:rPr>
              <w:t xml:space="preserve"> Ticareti terk eden tacir, mal </w:t>
            </w:r>
            <w:r w:rsidRPr="00A23740">
              <w:rPr>
                <w:rStyle w:val="KIRMIZIChar"/>
                <w:rFonts w:eastAsia="Calibri"/>
              </w:rPr>
              <w:t>beyanının tevdii</w:t>
            </w:r>
            <w:r w:rsidRPr="00A23740">
              <w:rPr>
                <w:szCs w:val="24"/>
              </w:rPr>
              <w:t xml:space="preserve"> tarih</w:t>
            </w:r>
            <w:r w:rsidRPr="00A23740">
              <w:rPr>
                <w:rStyle w:val="KIRMIZIChar"/>
                <w:rFonts w:eastAsia="Calibri"/>
              </w:rPr>
              <w:t>inden</w:t>
            </w:r>
            <w:r w:rsidRPr="00A23740">
              <w:rPr>
                <w:szCs w:val="24"/>
              </w:rPr>
              <w:t xml:space="preserve"> itibaren iki ay </w:t>
            </w:r>
            <w:r w:rsidRPr="00A23740">
              <w:rPr>
                <w:rStyle w:val="KIRMIZIChar"/>
                <w:rFonts w:eastAsia="Calibri"/>
              </w:rPr>
              <w:t>müddetle haczi kabil</w:t>
            </w:r>
            <w:r w:rsidRPr="00A23740">
              <w:rPr>
                <w:szCs w:val="24"/>
              </w:rPr>
              <w:t xml:space="preserve"> mallar</w:t>
            </w:r>
            <w:r w:rsidRPr="00A23740">
              <w:rPr>
                <w:rStyle w:val="KIRMIZIChar"/>
                <w:rFonts w:eastAsia="Calibri"/>
              </w:rPr>
              <w:t>ı</w:t>
            </w:r>
            <w:r w:rsidRPr="00A23740">
              <w:rPr>
                <w:szCs w:val="24"/>
              </w:rPr>
              <w:t xml:space="preserve"> üzerinde tasarruf edemez.</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(4)</w:t>
            </w:r>
            <w:r w:rsidRPr="00A23740">
              <w:rPr>
                <w:szCs w:val="24"/>
              </w:rPr>
              <w:t xml:space="preserve"> Üçüncü </w:t>
            </w:r>
            <w:r w:rsidRPr="00A23740">
              <w:rPr>
                <w:rStyle w:val="KIRMIZIChar"/>
                <w:rFonts w:eastAsia="Calibri"/>
              </w:rPr>
              <w:t>şahısların</w:t>
            </w:r>
            <w:r w:rsidRPr="00A23740">
              <w:rPr>
                <w:szCs w:val="24"/>
              </w:rPr>
              <w:t xml:space="preserve"> zilye</w:t>
            </w:r>
            <w:r w:rsidRPr="00A23740">
              <w:rPr>
                <w:rStyle w:val="KIRMIZIChar"/>
                <w:rFonts w:eastAsia="Calibri"/>
              </w:rPr>
              <w:t>d</w:t>
            </w:r>
            <w:r w:rsidRPr="00A23740">
              <w:rPr>
                <w:szCs w:val="24"/>
              </w:rPr>
              <w:t xml:space="preserve">lik ve tapu sicili </w:t>
            </w:r>
            <w:r w:rsidRPr="00A23740">
              <w:rPr>
                <w:rStyle w:val="KIRMIZIChar"/>
                <w:rFonts w:eastAsia="Calibri"/>
              </w:rPr>
              <w:t>hükümlerine dayanarak</w:t>
            </w:r>
            <w:r w:rsidRPr="00A23740">
              <w:rPr>
                <w:szCs w:val="24"/>
              </w:rPr>
              <w:t xml:space="preserve"> </w:t>
            </w:r>
            <w:r w:rsidRPr="00A23740">
              <w:rPr>
                <w:b/>
                <w:strike/>
                <w:color w:val="FF0000"/>
                <w:szCs w:val="24"/>
              </w:rPr>
              <w:t>iyi niyetle</w:t>
            </w:r>
            <w:r w:rsidRPr="00A23740">
              <w:rPr>
                <w:szCs w:val="24"/>
              </w:rPr>
              <w:t xml:space="preserve"> elde ettiği haklar saklıdır. </w:t>
            </w:r>
            <w:r w:rsidRPr="00A23740">
              <w:rPr>
                <w:rStyle w:val="KIRMIZIChar"/>
                <w:rFonts w:eastAsia="Calibri"/>
              </w:rPr>
              <w:t>Ancak karı ve koca</w:t>
            </w:r>
            <w:r w:rsidRPr="00A23740">
              <w:rPr>
                <w:szCs w:val="24"/>
              </w:rPr>
              <w:t xml:space="preserve"> ile </w:t>
            </w:r>
            <w:r w:rsidRPr="00A23740">
              <w:rPr>
                <w:rStyle w:val="KIRMIZIChar"/>
                <w:rFonts w:eastAsia="Calibri"/>
              </w:rPr>
              <w:t>usul ve füru</w:t>
            </w:r>
            <w:r w:rsidRPr="00A23740">
              <w:rPr>
                <w:szCs w:val="24"/>
              </w:rPr>
              <w:t xml:space="preserve">, </w:t>
            </w:r>
            <w:r w:rsidRPr="00A23740">
              <w:rPr>
                <w:rStyle w:val="KIRMIZIChar"/>
                <w:rFonts w:eastAsia="Calibri"/>
              </w:rPr>
              <w:t>neseben</w:t>
            </w:r>
            <w:r w:rsidRPr="00A23740">
              <w:rPr>
                <w:szCs w:val="24"/>
              </w:rPr>
              <w:t xml:space="preserve"> veya </w:t>
            </w:r>
            <w:r w:rsidRPr="00A23740">
              <w:rPr>
                <w:rStyle w:val="KIRMIZIChar"/>
                <w:rFonts w:eastAsia="Calibri"/>
              </w:rPr>
              <w:t>sıhren ikinci dereceye kadar (Bu derece dahil)</w:t>
            </w:r>
            <w:r w:rsidRPr="00A23740">
              <w:rPr>
                <w:szCs w:val="24"/>
              </w:rPr>
              <w:t xml:space="preserve"> hısımlar</w:t>
            </w:r>
            <w:r w:rsidRPr="00A23740">
              <w:rPr>
                <w:rStyle w:val="KIRMIZIChar"/>
                <w:rFonts w:eastAsia="Calibri"/>
              </w:rPr>
              <w:t>,</w:t>
            </w:r>
            <w:r w:rsidRPr="00A23740">
              <w:rPr>
                <w:szCs w:val="24"/>
              </w:rPr>
              <w:t xml:space="preserve"> evlat edinenle evlatlık arasındaki iktisaplarda </w:t>
            </w:r>
            <w:r w:rsidRPr="00A23740">
              <w:rPr>
                <w:b/>
                <w:strike/>
                <w:color w:val="FF0000"/>
                <w:szCs w:val="24"/>
              </w:rPr>
              <w:t>iyi niyet</w:t>
            </w:r>
            <w:r w:rsidRPr="00A23740">
              <w:rPr>
                <w:szCs w:val="24"/>
              </w:rPr>
              <w:t xml:space="preserve"> </w:t>
            </w:r>
            <w:r w:rsidRPr="00A23740">
              <w:rPr>
                <w:rStyle w:val="KIRMIZIChar"/>
                <w:rFonts w:eastAsia="Calibri"/>
              </w:rPr>
              <w:t>iddiasında bulunulamaz</w:t>
            </w:r>
            <w:r w:rsidRPr="00A23740">
              <w:rPr>
                <w:szCs w:val="24"/>
              </w:rPr>
              <w:t>.</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(5) (Değişik beşinci fıkra: 17/7/2003-4949/11 md.)</w:t>
            </w:r>
            <w:r w:rsidRPr="00A23740">
              <w:rPr>
                <w:b/>
                <w:bCs/>
                <w:szCs w:val="24"/>
              </w:rPr>
              <w:t xml:space="preserve"> </w:t>
            </w:r>
            <w:r w:rsidRPr="00A23740">
              <w:rPr>
                <w:szCs w:val="24"/>
              </w:rPr>
              <w:t xml:space="preserve">Mal beyanını alan </w:t>
            </w:r>
            <w:r w:rsidRPr="00A23740">
              <w:rPr>
                <w:b/>
                <w:bCs/>
                <w:strike/>
                <w:color w:val="FF0000"/>
                <w:szCs w:val="24"/>
              </w:rPr>
              <w:t>icra mahkemesi</w:t>
            </w:r>
            <w:r w:rsidRPr="00A23740">
              <w:rPr>
                <w:szCs w:val="24"/>
              </w:rPr>
              <w:t xml:space="preserve">, </w:t>
            </w:r>
            <w:r w:rsidRPr="00A23740">
              <w:rPr>
                <w:rStyle w:val="KIRMIZIChar"/>
                <w:rFonts w:eastAsia="Calibri"/>
              </w:rPr>
              <w:t>keyfiyeti</w:t>
            </w:r>
            <w:r w:rsidRPr="00A23740">
              <w:rPr>
                <w:szCs w:val="24"/>
              </w:rPr>
              <w:t xml:space="preserve"> tapu veya gemi sicil </w:t>
            </w:r>
            <w:r w:rsidRPr="00A23740">
              <w:rPr>
                <w:rStyle w:val="KIRMIZIChar"/>
                <w:rFonts w:eastAsia="Calibri"/>
              </w:rPr>
              <w:t>daireleri ile Türk Patent Enstitüsüne</w:t>
            </w:r>
            <w:r w:rsidRPr="00A23740">
              <w:rPr>
                <w:szCs w:val="24"/>
              </w:rPr>
              <w:t xml:space="preserve"> bildirir. Bu </w:t>
            </w:r>
            <w:r w:rsidRPr="00A23740">
              <w:rPr>
                <w:rStyle w:val="KIRMIZIChar"/>
                <w:rFonts w:eastAsia="Calibri"/>
              </w:rPr>
              <w:t>bildiri üzerine sicile,</w:t>
            </w:r>
            <w:r w:rsidRPr="00A23740">
              <w:rPr>
                <w:szCs w:val="24"/>
              </w:rPr>
              <w:t xml:space="preserve"> temlik hakkının iki ay süre ile </w:t>
            </w:r>
            <w:r w:rsidRPr="00A23740">
              <w:rPr>
                <w:rStyle w:val="KIRMIZIChar"/>
                <w:rFonts w:eastAsia="Calibri"/>
              </w:rPr>
              <w:t>tahdit edilmiş bulunduğu</w:t>
            </w:r>
            <w:r w:rsidRPr="00A23740">
              <w:rPr>
                <w:szCs w:val="24"/>
              </w:rPr>
              <w:t xml:space="preserve"> şerh</w:t>
            </w:r>
            <w:r w:rsidRPr="00A23740">
              <w:rPr>
                <w:rStyle w:val="KIRMIZIChar"/>
                <w:rFonts w:eastAsia="Calibri"/>
              </w:rPr>
              <w:t>i</w:t>
            </w:r>
            <w:r w:rsidRPr="00A23740">
              <w:rPr>
                <w:szCs w:val="24"/>
              </w:rPr>
              <w:t xml:space="preserve"> verilir. </w:t>
            </w:r>
            <w:r w:rsidRPr="00A23740">
              <w:rPr>
                <w:rStyle w:val="KIRMIZIChar"/>
                <w:rFonts w:eastAsia="Calibri"/>
              </w:rPr>
              <w:t>Keyfiyet</w:t>
            </w:r>
            <w:r w:rsidRPr="00A23740">
              <w:rPr>
                <w:szCs w:val="24"/>
              </w:rPr>
              <w:t xml:space="preserve"> ayrıca Türkiye Bankalar Birliğin</w:t>
            </w:r>
            <w:r w:rsidRPr="00A23740">
              <w:rPr>
                <w:rStyle w:val="KIRMIZIChar"/>
                <w:rFonts w:eastAsia="Calibri"/>
              </w:rPr>
              <w:t>e de</w:t>
            </w:r>
            <w:r w:rsidRPr="00A23740">
              <w:rPr>
                <w:szCs w:val="24"/>
              </w:rPr>
              <w:t xml:space="preserve"> bildirilir.</w:t>
            </w:r>
          </w:p>
          <w:p w:rsidR="00155AF4" w:rsidRPr="00A23740" w:rsidRDefault="00155AF4" w:rsidP="009431FF">
            <w:pPr>
              <w:tabs>
                <w:tab w:val="left" w:pos="567"/>
              </w:tabs>
              <w:autoSpaceDE w:val="0"/>
              <w:autoSpaceDN w:val="0"/>
              <w:adjustRightInd w:val="0"/>
              <w:rPr>
                <w:szCs w:val="24"/>
              </w:rPr>
            </w:pPr>
          </w:p>
          <w:p w:rsidR="006846DE" w:rsidRPr="00A23740" w:rsidRDefault="006846DE"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 xml:space="preserve">(6) </w:t>
            </w:r>
            <w:r w:rsidRPr="00A23740">
              <w:rPr>
                <w:bCs/>
              </w:rPr>
              <w:t>Bozulma</w:t>
            </w:r>
            <w:r w:rsidRPr="00A23740">
              <w:rPr>
                <w:rStyle w:val="KIRMIZIChar"/>
                <w:rFonts w:eastAsia="Calibri"/>
              </w:rPr>
              <w:t>ya maruz veya</w:t>
            </w:r>
            <w:r w:rsidRPr="00A23740">
              <w:rPr>
                <w:szCs w:val="24"/>
              </w:rPr>
              <w:t xml:space="preserve"> muhafazası külfetli olan veya tayin edilen kanuni </w:t>
            </w:r>
            <w:r w:rsidRPr="00A23740">
              <w:rPr>
                <w:rStyle w:val="KIRMIZIChar"/>
                <w:rFonts w:eastAsia="Calibri"/>
              </w:rPr>
              <w:t>müddet</w:t>
            </w:r>
            <w:r w:rsidRPr="00A23740">
              <w:rPr>
                <w:szCs w:val="24"/>
              </w:rPr>
              <w:t xml:space="preserve"> içinde değerinin düşmesi kuvvetle muhtemel bulunan mallar hakkında, tacirin talebi üzerine, </w:t>
            </w:r>
            <w:r w:rsidRPr="00A23740">
              <w:rPr>
                <w:rStyle w:val="KIRMIZIChar"/>
                <w:rFonts w:eastAsia="Calibri"/>
              </w:rPr>
              <w:t>mahkemece</w:t>
            </w:r>
            <w:r w:rsidRPr="00A23740">
              <w:rPr>
                <w:szCs w:val="24"/>
              </w:rPr>
              <w:t xml:space="preserve"> icra </w:t>
            </w:r>
            <w:r w:rsidRPr="00A23740">
              <w:rPr>
                <w:rStyle w:val="KIRMIZIChar"/>
                <w:rFonts w:eastAsia="Calibri"/>
              </w:rPr>
              <w:t>memuru</w:t>
            </w:r>
            <w:r w:rsidRPr="00A23740">
              <w:rPr>
                <w:szCs w:val="24"/>
              </w:rPr>
              <w:t xml:space="preserve"> marifetiyle ve bu kanun hükümleri dairesinde bu malların satılmasına ve bedelinin </w:t>
            </w:r>
            <w:r w:rsidRPr="00A23740">
              <w:rPr>
                <w:rStyle w:val="KIRMIZIChar"/>
                <w:rFonts w:eastAsia="Calibri"/>
              </w:rPr>
              <w:t>9 uncu</w:t>
            </w:r>
            <w:r w:rsidRPr="00A23740">
              <w:rPr>
                <w:szCs w:val="24"/>
              </w:rPr>
              <w:t xml:space="preserve"> maddede yazılı bir bankaya depo edilmesine karar verilebilir.</w:t>
            </w:r>
          </w:p>
          <w:p w:rsidR="00155AF4" w:rsidRPr="00A23740" w:rsidRDefault="00155AF4" w:rsidP="009431FF">
            <w:pPr>
              <w:pStyle w:val="KIRMIZI"/>
              <w:rPr>
                <w:i/>
                <w:iCs/>
                <w:lang w:val="tr-TR"/>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tabs>
                <w:tab w:val="left" w:pos="567"/>
              </w:tabs>
              <w:autoSpaceDE w:val="0"/>
              <w:autoSpaceDN w:val="0"/>
              <w:adjustRightInd w:val="0"/>
              <w:rPr>
                <w:b/>
                <w:bCs/>
                <w:szCs w:val="24"/>
              </w:rPr>
            </w:pPr>
            <w:r w:rsidRPr="00A23740">
              <w:rPr>
                <w:b/>
                <w:bCs/>
                <w:szCs w:val="24"/>
              </w:rPr>
              <w:lastRenderedPageBreak/>
              <w:t>Ticareti terk edenler</w:t>
            </w:r>
          </w:p>
          <w:p w:rsidR="00155AF4" w:rsidRPr="00A23740" w:rsidRDefault="00155AF4" w:rsidP="009431FF">
            <w:pPr>
              <w:autoSpaceDE w:val="0"/>
              <w:autoSpaceDN w:val="0"/>
              <w:adjustRightInd w:val="0"/>
              <w:rPr>
                <w:b/>
                <w:bCs/>
                <w:strike/>
                <w:color w:val="FF0000"/>
                <w:szCs w:val="24"/>
              </w:rPr>
            </w:pPr>
            <w:r w:rsidRPr="00A23740">
              <w:rPr>
                <w:rStyle w:val="MaviChar"/>
                <w:lang w:val="tr-TR"/>
              </w:rPr>
              <w:t xml:space="preserve">MADDE </w:t>
            </w:r>
            <w:r w:rsidRPr="00A23740">
              <w:rPr>
                <w:rStyle w:val="MaviChar"/>
              </w:rPr>
              <w:t>81</w:t>
            </w:r>
            <w:r w:rsidRPr="00A23740">
              <w:rPr>
                <w:rStyle w:val="MaviChar"/>
                <w:lang w:val="tr-TR"/>
              </w:rPr>
              <w:t>- (1</w:t>
            </w:r>
            <w:r w:rsidRPr="00A23740">
              <w:rPr>
                <w:rStyle w:val="MaviChar"/>
              </w:rPr>
              <w:t>)</w:t>
            </w:r>
            <w:r w:rsidRPr="00A23740">
              <w:rPr>
                <w:b/>
                <w:bCs/>
                <w:szCs w:val="24"/>
              </w:rPr>
              <w:t xml:space="preserve"> </w:t>
            </w:r>
            <w:r w:rsidRPr="00A23740">
              <w:rPr>
                <w:szCs w:val="24"/>
              </w:rPr>
              <w:t>Ticareti terk eden tacir</w:t>
            </w:r>
            <w:r w:rsidRPr="00A23740">
              <w:rPr>
                <w:rStyle w:val="MaviChar"/>
              </w:rPr>
              <w:t>, iki hafta</w:t>
            </w:r>
            <w:r w:rsidRPr="00A23740">
              <w:rPr>
                <w:szCs w:val="24"/>
              </w:rPr>
              <w:t xml:space="preserve"> içinde </w:t>
            </w:r>
            <w:r w:rsidRPr="00A23740">
              <w:rPr>
                <w:rStyle w:val="MaviChar"/>
              </w:rPr>
              <w:t>durumu</w:t>
            </w:r>
            <w:r w:rsidRPr="00A23740">
              <w:rPr>
                <w:szCs w:val="24"/>
              </w:rPr>
              <w:t xml:space="preserve"> kayıtlı bulunduğu ticaret sicili </w:t>
            </w:r>
            <w:r w:rsidRPr="00A23740">
              <w:rPr>
                <w:rStyle w:val="MaviChar"/>
              </w:rPr>
              <w:t>müdürlüğüne</w:t>
            </w:r>
            <w:r w:rsidRPr="00A23740">
              <w:rPr>
                <w:szCs w:val="24"/>
              </w:rPr>
              <w:t xml:space="preserve"> bildirme</w:t>
            </w:r>
            <w:r w:rsidRPr="00A23740">
              <w:rPr>
                <w:rStyle w:val="MaviChar"/>
              </w:rPr>
              <w:t>k</w:t>
            </w:r>
            <w:r w:rsidRPr="00A23740">
              <w:rPr>
                <w:szCs w:val="24"/>
              </w:rPr>
              <w:t xml:space="preserve"> ve bütün aktif ve pasifi ile alacaklılarının isim ve adreslerini gösteren bir mal beyanında bulunma</w:t>
            </w:r>
            <w:r w:rsidRPr="00A23740">
              <w:rPr>
                <w:rStyle w:val="MaviChar"/>
              </w:rPr>
              <w:t>k zorundadı</w:t>
            </w:r>
            <w:r w:rsidRPr="00A23740">
              <w:rPr>
                <w:szCs w:val="24"/>
              </w:rPr>
              <w:t>r.</w:t>
            </w:r>
            <w:r w:rsidR="00EF7CAF" w:rsidRPr="00A23740">
              <w:rPr>
                <w:szCs w:val="24"/>
              </w:rPr>
              <w:t xml:space="preserve"> </w:t>
            </w:r>
            <w:r w:rsidR="00EF7CAF" w:rsidRPr="006D2E3C">
              <w:rPr>
                <w:rStyle w:val="YELChar"/>
                <w:color w:val="0000FF"/>
              </w:rPr>
              <w:t>Ticaret sicil müdürlüğü tacirin ticareti terk ettiğini derh</w:t>
            </w:r>
            <w:r w:rsidR="00DF22A1" w:rsidRPr="006D2E3C">
              <w:rPr>
                <w:rStyle w:val="YELChar"/>
                <w:color w:val="0000FF"/>
              </w:rPr>
              <w:t>â</w:t>
            </w:r>
            <w:r w:rsidR="00EF7CAF" w:rsidRPr="006D2E3C">
              <w:rPr>
                <w:rStyle w:val="YELChar"/>
                <w:color w:val="0000FF"/>
              </w:rPr>
              <w:t>l</w:t>
            </w:r>
            <w:r w:rsidR="00CF4FF5">
              <w:rPr>
                <w:rStyle w:val="YELChar"/>
              </w:rPr>
              <w:t xml:space="preserve"> </w:t>
            </w:r>
            <w:r w:rsidRPr="00A23740">
              <w:rPr>
                <w:rStyle w:val="MaviChar"/>
                <w:lang w:val="tr-TR"/>
              </w:rPr>
              <w:t>Türkiye</w:t>
            </w:r>
            <w:r w:rsidRPr="00A23740">
              <w:rPr>
                <w:szCs w:val="24"/>
              </w:rPr>
              <w:t xml:space="preserve"> Ticaret Sicili Gazete</w:t>
            </w:r>
            <w:r w:rsidRPr="00A23740">
              <w:rPr>
                <w:rStyle w:val="MaviChar"/>
              </w:rPr>
              <w:t>sinde</w:t>
            </w:r>
            <w:r w:rsidRPr="00A23740">
              <w:rPr>
                <w:szCs w:val="24"/>
              </w:rPr>
              <w:t xml:space="preserve"> ilan </w:t>
            </w:r>
            <w:r w:rsidR="00EF7CAF" w:rsidRPr="006D2E3C">
              <w:rPr>
                <w:rStyle w:val="YELChar"/>
                <w:color w:val="0000FF"/>
              </w:rPr>
              <w:t>eder</w:t>
            </w:r>
            <w:r w:rsidRPr="00A23740">
              <w:rPr>
                <w:szCs w:val="24"/>
              </w:rPr>
              <w:t xml:space="preserve">. </w:t>
            </w:r>
            <w:r w:rsidRPr="00A23740">
              <w:rPr>
                <w:rStyle w:val="MaviChar"/>
              </w:rPr>
              <w:t>Türk Ticaret Kanununun 545 inci maddesinin ikinci fıkrası hükmü saklıdır.</w:t>
            </w:r>
          </w:p>
          <w:p w:rsidR="00155AF4" w:rsidRPr="00A23740" w:rsidRDefault="00155AF4" w:rsidP="009431FF">
            <w:pPr>
              <w:autoSpaceDE w:val="0"/>
              <w:autoSpaceDN w:val="0"/>
              <w:adjustRightInd w:val="0"/>
              <w:rPr>
                <w:b/>
                <w:bCs/>
                <w:strike/>
                <w:color w:val="FF0000"/>
                <w:szCs w:val="24"/>
              </w:rPr>
            </w:pPr>
          </w:p>
          <w:p w:rsidR="006846DE" w:rsidRPr="00A23740" w:rsidRDefault="006846DE" w:rsidP="009431FF">
            <w:pPr>
              <w:autoSpaceDE w:val="0"/>
              <w:autoSpaceDN w:val="0"/>
              <w:adjustRightInd w:val="0"/>
              <w:rPr>
                <w:b/>
                <w:bCs/>
                <w:strike/>
                <w:color w:val="FF0000"/>
                <w:szCs w:val="24"/>
              </w:rPr>
            </w:pPr>
          </w:p>
          <w:p w:rsidR="00155AF4" w:rsidRPr="00A23740" w:rsidRDefault="00155AF4" w:rsidP="009431FF">
            <w:pPr>
              <w:autoSpaceDE w:val="0"/>
              <w:autoSpaceDN w:val="0"/>
              <w:adjustRightInd w:val="0"/>
              <w:rPr>
                <w:b/>
                <w:bCs/>
                <w:color w:val="0000FF"/>
                <w:szCs w:val="24"/>
              </w:rPr>
            </w:pPr>
            <w:r w:rsidRPr="00A23740">
              <w:rPr>
                <w:rStyle w:val="MaviChar"/>
              </w:rPr>
              <w:lastRenderedPageBreak/>
              <w:t>(</w:t>
            </w:r>
            <w:r w:rsidRPr="00A23740">
              <w:rPr>
                <w:rStyle w:val="MaviChar"/>
                <w:lang w:val="tr-TR"/>
              </w:rPr>
              <w:t xml:space="preserve">2) </w:t>
            </w:r>
            <w:r w:rsidRPr="00A23740">
              <w:rPr>
                <w:rStyle w:val="MaviChar"/>
                <w:bCs w:val="0"/>
                <w:lang w:val="tr-TR" w:eastAsia="en-US"/>
              </w:rPr>
              <w:t>Ticareti terk eden tacir hakkında</w:t>
            </w:r>
            <w:r w:rsidRPr="00A23740">
              <w:rPr>
                <w:rStyle w:val="MaviChar"/>
                <w:lang w:val="tr-TR"/>
              </w:rPr>
              <w:t>,</w:t>
            </w:r>
            <w:r w:rsidRPr="00A23740">
              <w:rPr>
                <w:szCs w:val="24"/>
              </w:rPr>
              <w:t xml:space="preserve"> </w:t>
            </w:r>
            <w:r w:rsidRPr="00A23740">
              <w:rPr>
                <w:rStyle w:val="MaviChar"/>
                <w:lang w:val="tr-TR"/>
              </w:rPr>
              <w:t>birinci fıkradaki</w:t>
            </w:r>
            <w:r w:rsidRPr="00A23740">
              <w:rPr>
                <w:szCs w:val="24"/>
              </w:rPr>
              <w:t xml:space="preserve"> ilan tarihinden itibaren bir </w:t>
            </w:r>
            <w:r w:rsidRPr="00A23740">
              <w:rPr>
                <w:rStyle w:val="MaviChar"/>
              </w:rPr>
              <w:t>yıl</w:t>
            </w:r>
            <w:r w:rsidRPr="00A23740">
              <w:rPr>
                <w:szCs w:val="24"/>
              </w:rPr>
              <w:t xml:space="preserve"> içinde iflas yolu</w:t>
            </w:r>
            <w:r w:rsidRPr="00A23740">
              <w:rPr>
                <w:rStyle w:val="MaviChar"/>
              </w:rPr>
              <w:t>yla</w:t>
            </w:r>
            <w:r w:rsidRPr="00A23740">
              <w:rPr>
                <w:szCs w:val="24"/>
              </w:rPr>
              <w:t xml:space="preserve"> takip yapılabilir.</w:t>
            </w:r>
          </w:p>
          <w:p w:rsidR="00155AF4" w:rsidRPr="00A23740" w:rsidRDefault="00155AF4" w:rsidP="009431FF">
            <w:pPr>
              <w:autoSpaceDE w:val="0"/>
              <w:autoSpaceDN w:val="0"/>
              <w:adjustRightInd w:val="0"/>
              <w:rPr>
                <w:b/>
                <w:bCs/>
                <w:color w:val="FF0000"/>
                <w:szCs w:val="24"/>
              </w:rPr>
            </w:pPr>
          </w:p>
          <w:p w:rsidR="00155AF4" w:rsidRPr="00A23740" w:rsidRDefault="00155AF4" w:rsidP="009431FF">
            <w:pPr>
              <w:autoSpaceDE w:val="0"/>
              <w:autoSpaceDN w:val="0"/>
              <w:adjustRightInd w:val="0"/>
              <w:rPr>
                <w:b/>
                <w:bCs/>
                <w:color w:val="0000FF"/>
                <w:szCs w:val="24"/>
              </w:rPr>
            </w:pPr>
            <w:r w:rsidRPr="00A23740">
              <w:rPr>
                <w:rStyle w:val="MaviChar"/>
              </w:rPr>
              <w:t>(3)</w:t>
            </w:r>
            <w:r w:rsidRPr="00A23740">
              <w:rPr>
                <w:szCs w:val="24"/>
              </w:rPr>
              <w:t xml:space="preserve"> Ticareti terk eden tacir, </w:t>
            </w:r>
            <w:r w:rsidRPr="00A23740">
              <w:rPr>
                <w:rStyle w:val="MaviChar"/>
              </w:rPr>
              <w:t>birinci fıkra</w:t>
            </w:r>
            <w:r w:rsidRPr="00A23740">
              <w:rPr>
                <w:rStyle w:val="MaviChar"/>
                <w:lang w:val="tr-TR"/>
              </w:rPr>
              <w:t>ya</w:t>
            </w:r>
            <w:r w:rsidRPr="00A23740">
              <w:rPr>
                <w:rStyle w:val="MaviChar"/>
              </w:rPr>
              <w:t xml:space="preserve"> göre mal </w:t>
            </w:r>
            <w:r w:rsidRPr="00A23740">
              <w:rPr>
                <w:rStyle w:val="MaviChar"/>
                <w:bCs w:val="0"/>
              </w:rPr>
              <w:t>beyanında</w:t>
            </w:r>
            <w:r w:rsidRPr="00A23740">
              <w:rPr>
                <w:rStyle w:val="MaviChar"/>
                <w:b w:val="0"/>
                <w:bCs w:val="0"/>
              </w:rPr>
              <w:t xml:space="preserve"> </w:t>
            </w:r>
            <w:r w:rsidRPr="00A23740">
              <w:rPr>
                <w:rStyle w:val="MaviChar"/>
              </w:rPr>
              <w:t>bulunduğu</w:t>
            </w:r>
            <w:r w:rsidRPr="00A23740">
              <w:rPr>
                <w:szCs w:val="24"/>
              </w:rPr>
              <w:t xml:space="preserve"> tarih</w:t>
            </w:r>
            <w:r w:rsidRPr="00A23740">
              <w:rPr>
                <w:rStyle w:val="MaviChar"/>
                <w:lang w:val="tr-TR"/>
              </w:rPr>
              <w:t>ten</w:t>
            </w:r>
            <w:r w:rsidRPr="00A23740">
              <w:rPr>
                <w:szCs w:val="24"/>
              </w:rPr>
              <w:t xml:space="preserve"> itibaren iki ay </w:t>
            </w:r>
            <w:r w:rsidRPr="00A23740">
              <w:rPr>
                <w:rStyle w:val="MaviChar"/>
              </w:rPr>
              <w:t>süreyle</w:t>
            </w:r>
            <w:r w:rsidRPr="00A23740">
              <w:rPr>
                <w:szCs w:val="24"/>
              </w:rPr>
              <w:t xml:space="preserve"> bu mallar üzerinde tasarruf edemez </w:t>
            </w:r>
            <w:r w:rsidRPr="00A23740">
              <w:rPr>
                <w:rStyle w:val="MaviChar"/>
              </w:rPr>
              <w:t xml:space="preserve">ve mal </w:t>
            </w:r>
            <w:r w:rsidRPr="00A23740">
              <w:rPr>
                <w:rStyle w:val="MaviChar"/>
                <w:bCs w:val="0"/>
              </w:rPr>
              <w:t>beyanında</w:t>
            </w:r>
            <w:r w:rsidRPr="00A23740">
              <w:rPr>
                <w:rStyle w:val="MaviChar"/>
                <w:b w:val="0"/>
                <w:bCs w:val="0"/>
              </w:rPr>
              <w:t xml:space="preserve"> </w:t>
            </w:r>
            <w:r w:rsidRPr="00A23740">
              <w:rPr>
                <w:rStyle w:val="MaviChar"/>
              </w:rPr>
              <w:t>belirttiği bu malları veya bu malların yerine geçen</w:t>
            </w:r>
            <w:r w:rsidRPr="00A23740">
              <w:rPr>
                <w:rStyle w:val="MaviChar"/>
                <w:lang w:val="tr-TR"/>
              </w:rPr>
              <w:t xml:space="preserve"> </w:t>
            </w:r>
            <w:r w:rsidRPr="00A23740">
              <w:rPr>
                <w:rStyle w:val="MaviChar"/>
              </w:rPr>
              <w:t>değerleri aynı süre içinde vuku bulan haciz veya iflas takibinde gösterme</w:t>
            </w:r>
            <w:r w:rsidRPr="00A23740">
              <w:rPr>
                <w:rStyle w:val="MaviChar"/>
                <w:lang w:val="tr-TR"/>
              </w:rPr>
              <w:t>k zorundadır</w:t>
            </w:r>
            <w:r w:rsidRPr="00A23740">
              <w:rPr>
                <w:rStyle w:val="MaviChar"/>
              </w:rPr>
              <w:t>.</w:t>
            </w:r>
            <w:r w:rsidRPr="00A23740">
              <w:rPr>
                <w:b/>
                <w:bCs/>
                <w:color w:val="0000FF"/>
                <w:szCs w:val="24"/>
              </w:rPr>
              <w:t xml:space="preserve"> </w:t>
            </w:r>
          </w:p>
          <w:p w:rsidR="00155AF4" w:rsidRPr="00A23740" w:rsidRDefault="00155AF4" w:rsidP="009431FF">
            <w:pPr>
              <w:autoSpaceDE w:val="0"/>
              <w:autoSpaceDN w:val="0"/>
              <w:adjustRightInd w:val="0"/>
              <w:rPr>
                <w:b/>
                <w:bCs/>
                <w:color w:val="0000FF"/>
                <w:lang w:eastAsia="x-none"/>
              </w:rPr>
            </w:pPr>
          </w:p>
          <w:p w:rsidR="00155AF4" w:rsidRPr="00A23740" w:rsidRDefault="00155AF4" w:rsidP="009431FF">
            <w:pPr>
              <w:autoSpaceDE w:val="0"/>
              <w:autoSpaceDN w:val="0"/>
              <w:adjustRightInd w:val="0"/>
              <w:rPr>
                <w:b/>
                <w:bCs/>
                <w:color w:val="0000FF"/>
                <w:szCs w:val="24"/>
              </w:rPr>
            </w:pPr>
            <w:r w:rsidRPr="00A23740">
              <w:rPr>
                <w:rStyle w:val="MaviChar"/>
              </w:rPr>
              <w:t>(4)</w:t>
            </w:r>
            <w:r w:rsidRPr="00A23740">
              <w:rPr>
                <w:b/>
                <w:bCs/>
                <w:szCs w:val="24"/>
              </w:rPr>
              <w:t xml:space="preserve"> </w:t>
            </w:r>
            <w:r w:rsidRPr="00A23740">
              <w:rPr>
                <w:szCs w:val="24"/>
              </w:rPr>
              <w:t xml:space="preserve">Üçüncü </w:t>
            </w:r>
            <w:r w:rsidRPr="00A23740">
              <w:rPr>
                <w:rStyle w:val="MaviChar"/>
              </w:rPr>
              <w:t>kişilerin</w:t>
            </w:r>
            <w:r w:rsidRPr="00A23740">
              <w:rPr>
                <w:szCs w:val="24"/>
              </w:rPr>
              <w:t xml:space="preserve"> zilye</w:t>
            </w:r>
            <w:r w:rsidRPr="00A23740">
              <w:rPr>
                <w:rStyle w:val="MaviChar"/>
                <w:lang w:val="tr-TR"/>
              </w:rPr>
              <w:t>t</w:t>
            </w:r>
            <w:r w:rsidRPr="00A23740">
              <w:rPr>
                <w:szCs w:val="24"/>
              </w:rPr>
              <w:t>lik ve tapu sicili</w:t>
            </w:r>
            <w:r w:rsidRPr="00A23740">
              <w:rPr>
                <w:rStyle w:val="MaviChar"/>
              </w:rPr>
              <w:t>ne güvenerek iyiniyetle</w:t>
            </w:r>
            <w:r w:rsidRPr="00A23740">
              <w:rPr>
                <w:szCs w:val="24"/>
              </w:rPr>
              <w:t xml:space="preserve"> elde ettiği haklar saklıdır. </w:t>
            </w:r>
            <w:r w:rsidRPr="00A23740">
              <w:rPr>
                <w:rStyle w:val="MaviChar"/>
              </w:rPr>
              <w:t>Şu kadar ki, eşler</w:t>
            </w:r>
            <w:r w:rsidRPr="00A23740">
              <w:rPr>
                <w:szCs w:val="24"/>
              </w:rPr>
              <w:t xml:space="preserve"> ile </w:t>
            </w:r>
            <w:r w:rsidRPr="00A23740">
              <w:rPr>
                <w:rStyle w:val="MaviChar"/>
              </w:rPr>
              <w:t>altsoy ve üstsoy, üçüncü derece dahil kan</w:t>
            </w:r>
            <w:r w:rsidRPr="00A23740">
              <w:rPr>
                <w:szCs w:val="24"/>
              </w:rPr>
              <w:t xml:space="preserve"> veya </w:t>
            </w:r>
            <w:r w:rsidRPr="00A23740">
              <w:rPr>
                <w:rStyle w:val="MaviChar"/>
              </w:rPr>
              <w:t>kayın</w:t>
            </w:r>
            <w:r w:rsidRPr="00A23740">
              <w:rPr>
                <w:szCs w:val="24"/>
              </w:rPr>
              <w:t xml:space="preserve"> hısımlar</w:t>
            </w:r>
            <w:r w:rsidRPr="00A23740">
              <w:rPr>
                <w:rStyle w:val="MaviChar"/>
              </w:rPr>
              <w:t xml:space="preserve">ı ile </w:t>
            </w:r>
            <w:r w:rsidRPr="00A23740">
              <w:rPr>
                <w:szCs w:val="24"/>
              </w:rPr>
              <w:t xml:space="preserve">evlat edinenle evlatlık arasındaki iktisaplarda </w:t>
            </w:r>
            <w:r w:rsidRPr="00A23740">
              <w:rPr>
                <w:rStyle w:val="MaviChar"/>
                <w:lang w:val="tr-TR"/>
              </w:rPr>
              <w:t>aksi ispat olunmadıkça bu kişilerin borçlunun durumunu bildiği kabul edilir</w:t>
            </w:r>
            <w:r w:rsidRPr="00A23740">
              <w:rPr>
                <w:szCs w:val="24"/>
              </w:rPr>
              <w:t xml:space="preserve">. </w:t>
            </w:r>
          </w:p>
          <w:p w:rsidR="00155AF4" w:rsidRPr="00A23740" w:rsidRDefault="00155AF4" w:rsidP="009431FF">
            <w:pPr>
              <w:autoSpaceDE w:val="0"/>
              <w:autoSpaceDN w:val="0"/>
              <w:adjustRightInd w:val="0"/>
              <w:rPr>
                <w:b/>
                <w:bCs/>
                <w:color w:val="0000FF"/>
                <w:szCs w:val="24"/>
              </w:rPr>
            </w:pPr>
          </w:p>
          <w:p w:rsidR="00155AF4" w:rsidRPr="00A23740" w:rsidRDefault="00155AF4" w:rsidP="009431FF">
            <w:pPr>
              <w:autoSpaceDE w:val="0"/>
              <w:autoSpaceDN w:val="0"/>
              <w:adjustRightInd w:val="0"/>
              <w:rPr>
                <w:szCs w:val="24"/>
              </w:rPr>
            </w:pPr>
            <w:r w:rsidRPr="00A23740">
              <w:rPr>
                <w:rStyle w:val="MaviChar"/>
              </w:rPr>
              <w:t>(5)</w:t>
            </w:r>
            <w:r w:rsidRPr="00A23740">
              <w:rPr>
                <w:b/>
                <w:bCs/>
                <w:szCs w:val="24"/>
              </w:rPr>
              <w:t xml:space="preserve"> </w:t>
            </w:r>
            <w:r w:rsidRPr="00A23740">
              <w:rPr>
                <w:szCs w:val="24"/>
              </w:rPr>
              <w:t xml:space="preserve">Mal beyanını alan </w:t>
            </w:r>
            <w:r w:rsidRPr="00A23740">
              <w:rPr>
                <w:rStyle w:val="MaviChar"/>
              </w:rPr>
              <w:t>ticaret sicili müdürlüğü</w:t>
            </w:r>
            <w:r w:rsidRPr="00A23740">
              <w:rPr>
                <w:szCs w:val="24"/>
              </w:rPr>
              <w:t xml:space="preserve">, </w:t>
            </w:r>
            <w:r w:rsidRPr="00A23740">
              <w:rPr>
                <w:rStyle w:val="MaviChar"/>
              </w:rPr>
              <w:t>durumu</w:t>
            </w:r>
            <w:r w:rsidRPr="00A23740">
              <w:rPr>
                <w:szCs w:val="24"/>
              </w:rPr>
              <w:t xml:space="preserve"> tapu veya gemi sicil</w:t>
            </w:r>
            <w:r w:rsidRPr="00A23740">
              <w:rPr>
                <w:rStyle w:val="MaviChar"/>
              </w:rPr>
              <w:t>i gibi ilgili sicillere</w:t>
            </w:r>
            <w:r w:rsidRPr="00A23740">
              <w:rPr>
                <w:rStyle w:val="MaviChar"/>
                <w:lang w:val="tr-TR"/>
              </w:rPr>
              <w:t xml:space="preserve"> </w:t>
            </w:r>
            <w:r w:rsidRPr="00A23740">
              <w:rPr>
                <w:szCs w:val="24"/>
              </w:rPr>
              <w:t>bildirir. Bu</w:t>
            </w:r>
            <w:r w:rsidRPr="00A23740">
              <w:rPr>
                <w:rStyle w:val="MaviChar"/>
              </w:rPr>
              <w:t xml:space="preserve">nun üzerine </w:t>
            </w:r>
            <w:r w:rsidRPr="00A23740">
              <w:rPr>
                <w:szCs w:val="24"/>
              </w:rPr>
              <w:t xml:space="preserve">temlik hakkının iki ay süre ile </w:t>
            </w:r>
            <w:r w:rsidRPr="00A23740">
              <w:rPr>
                <w:rStyle w:val="MaviChar"/>
              </w:rPr>
              <w:t>kısıtlanmış</w:t>
            </w:r>
            <w:r w:rsidRPr="00A23740">
              <w:rPr>
                <w:szCs w:val="24"/>
              </w:rPr>
              <w:t xml:space="preserve"> </w:t>
            </w:r>
            <w:r w:rsidRPr="00A23740">
              <w:rPr>
                <w:rStyle w:val="MaviChar"/>
              </w:rPr>
              <w:t>olduğu hususu sicile</w:t>
            </w:r>
            <w:r w:rsidRPr="00A23740">
              <w:rPr>
                <w:szCs w:val="24"/>
              </w:rPr>
              <w:t xml:space="preserve"> şerh verilir</w:t>
            </w:r>
            <w:r w:rsidR="00EF7CAF" w:rsidRPr="00A23740">
              <w:rPr>
                <w:szCs w:val="24"/>
              </w:rPr>
              <w:t xml:space="preserve"> </w:t>
            </w:r>
            <w:r w:rsidR="00EF7CAF" w:rsidRPr="006D2E3C">
              <w:rPr>
                <w:rStyle w:val="YELChar"/>
                <w:color w:val="0000FF"/>
              </w:rPr>
              <w:t>ve</w:t>
            </w:r>
            <w:r w:rsidR="00EF7CAF" w:rsidRPr="00A23740">
              <w:rPr>
                <w:szCs w:val="24"/>
              </w:rPr>
              <w:t xml:space="preserve"> </w:t>
            </w:r>
            <w:r w:rsidRPr="00A23740">
              <w:rPr>
                <w:szCs w:val="24"/>
              </w:rPr>
              <w:t xml:space="preserve"> ayrıca Türkiye Bankalar Birliği</w:t>
            </w:r>
            <w:r w:rsidRPr="00A23740">
              <w:rPr>
                <w:rStyle w:val="MaviChar"/>
              </w:rPr>
              <w:t>, Türkiye Katılım Bankaları Birliği, Türkiye Sermaye Piyasaları Birliği ve Finansal Kurumlar Birliği ile diğer ilgili kurum veya kuruluşlara da</w:t>
            </w:r>
            <w:r w:rsidRPr="00A23740">
              <w:rPr>
                <w:szCs w:val="24"/>
              </w:rPr>
              <w:t xml:space="preserve"> bildirilir.</w:t>
            </w:r>
          </w:p>
          <w:p w:rsidR="00155AF4" w:rsidRPr="00A23740" w:rsidRDefault="00155AF4" w:rsidP="009431FF">
            <w:pPr>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MaviChar"/>
              </w:rPr>
              <w:t>(6)</w:t>
            </w:r>
            <w:r w:rsidRPr="00A23740">
              <w:rPr>
                <w:b/>
                <w:bCs/>
                <w:szCs w:val="24"/>
              </w:rPr>
              <w:t xml:space="preserve"> </w:t>
            </w:r>
            <w:r w:rsidRPr="00A23740">
              <w:rPr>
                <w:bCs/>
              </w:rPr>
              <w:t xml:space="preserve">Bozulma </w:t>
            </w:r>
            <w:r w:rsidRPr="00A23740">
              <w:rPr>
                <w:rStyle w:val="MaviChar"/>
              </w:rPr>
              <w:t>ihtimali bulunan,</w:t>
            </w:r>
            <w:r w:rsidRPr="00A23740">
              <w:rPr>
                <w:szCs w:val="24"/>
              </w:rPr>
              <w:t xml:space="preserve"> muhafazası külfetli olan veya tayin edilen kanuni </w:t>
            </w:r>
            <w:r w:rsidRPr="00A23740">
              <w:rPr>
                <w:rStyle w:val="MaviChar"/>
              </w:rPr>
              <w:t>süre</w:t>
            </w:r>
            <w:r w:rsidRPr="00A23740">
              <w:rPr>
                <w:szCs w:val="24"/>
              </w:rPr>
              <w:t xml:space="preserve"> içinde değerinin düşmesi kuvvetle muhtemel bulunan mallar hakkında, tacirin talebi üzerine, </w:t>
            </w:r>
            <w:r w:rsidRPr="00A23740">
              <w:rPr>
                <w:rStyle w:val="MaviChar"/>
              </w:rPr>
              <w:t xml:space="preserve">icra hukuk mahkemesince </w:t>
            </w:r>
            <w:r w:rsidR="008517F5" w:rsidRPr="006D2E3C">
              <w:rPr>
                <w:rStyle w:val="MaviChar"/>
                <w:b w:val="0"/>
                <w:color w:val="auto"/>
              </w:rPr>
              <w:t>bu malların</w:t>
            </w:r>
            <w:r w:rsidR="008517F5" w:rsidRPr="00A23740">
              <w:rPr>
                <w:rStyle w:val="MaviChar"/>
                <w:color w:val="538135"/>
              </w:rPr>
              <w:t xml:space="preserve"> </w:t>
            </w:r>
            <w:r w:rsidRPr="00A23740">
              <w:rPr>
                <w:szCs w:val="24"/>
              </w:rPr>
              <w:t xml:space="preserve">icra </w:t>
            </w:r>
            <w:r w:rsidR="008517F5" w:rsidRPr="006D2E3C">
              <w:rPr>
                <w:b/>
                <w:bCs/>
                <w:color w:val="0000FF"/>
                <w:szCs w:val="24"/>
              </w:rPr>
              <w:t>ve</w:t>
            </w:r>
            <w:r w:rsidR="008517F5" w:rsidRPr="00A23740">
              <w:rPr>
                <w:b/>
                <w:bCs/>
                <w:color w:val="538135"/>
                <w:szCs w:val="24"/>
              </w:rPr>
              <w:t xml:space="preserve"> </w:t>
            </w:r>
            <w:r w:rsidR="008517F5" w:rsidRPr="006D2E3C">
              <w:rPr>
                <w:b/>
                <w:bCs/>
                <w:color w:val="0000FF"/>
                <w:szCs w:val="24"/>
              </w:rPr>
              <w:t>iflas</w:t>
            </w:r>
            <w:r w:rsidR="008517F5" w:rsidRPr="00A23740">
              <w:rPr>
                <w:color w:val="538135"/>
                <w:szCs w:val="24"/>
              </w:rPr>
              <w:t xml:space="preserve"> </w:t>
            </w:r>
            <w:r w:rsidRPr="00A23740">
              <w:rPr>
                <w:rStyle w:val="MaviChar"/>
              </w:rPr>
              <w:t>müdürü</w:t>
            </w:r>
            <w:r w:rsidRPr="00A23740">
              <w:rPr>
                <w:szCs w:val="24"/>
              </w:rPr>
              <w:t xml:space="preserve"> marifetiyle ve bu </w:t>
            </w:r>
            <w:r w:rsidR="008517F5" w:rsidRPr="00A23740">
              <w:rPr>
                <w:szCs w:val="24"/>
              </w:rPr>
              <w:t>K</w:t>
            </w:r>
            <w:r w:rsidRPr="00A23740">
              <w:rPr>
                <w:szCs w:val="24"/>
              </w:rPr>
              <w:t xml:space="preserve">anun hükümleri dairesinde satılmasına ve bedelinin </w:t>
            </w:r>
            <w:r w:rsidRPr="00A23740">
              <w:rPr>
                <w:rStyle w:val="MaviChar"/>
              </w:rPr>
              <w:t>11 inci</w:t>
            </w:r>
            <w:r w:rsidRPr="00A23740">
              <w:rPr>
                <w:szCs w:val="24"/>
              </w:rPr>
              <w:t xml:space="preserve"> maddede yazılı bir bankaya depo edilmesine karar verilebilir.</w:t>
            </w:r>
          </w:p>
          <w:p w:rsidR="006846DE" w:rsidRPr="00A23740" w:rsidRDefault="006846DE" w:rsidP="009431FF">
            <w:pPr>
              <w:tabs>
                <w:tab w:val="left" w:pos="567"/>
              </w:tabs>
              <w:autoSpaceDE w:val="0"/>
              <w:autoSpaceDN w:val="0"/>
              <w:adjustRightInd w:val="0"/>
              <w:rPr>
                <w:szCs w:val="24"/>
              </w:rPr>
            </w:pPr>
          </w:p>
        </w:tc>
      </w:tr>
      <w:tr w:rsidR="00155AF4" w:rsidRPr="00A23740" w:rsidTr="009431FF">
        <w:tc>
          <w:tcPr>
            <w:tcW w:w="5000" w:type="pct"/>
            <w:gridSpan w:val="2"/>
            <w:shd w:val="clear" w:color="auto" w:fill="DEEAF6"/>
          </w:tcPr>
          <w:p w:rsidR="009A571C" w:rsidRPr="00A23740" w:rsidRDefault="009A571C" w:rsidP="009431FF">
            <w:pPr>
              <w:pStyle w:val="Mavi"/>
              <w:ind w:firstLine="709"/>
              <w:rPr>
                <w:color w:val="auto"/>
                <w:lang w:val="tr-TR"/>
              </w:rPr>
            </w:pPr>
          </w:p>
          <w:p w:rsidR="00284D2B" w:rsidRPr="00A23740" w:rsidRDefault="00284D2B" w:rsidP="009431FF">
            <w:pPr>
              <w:pStyle w:val="Mavi"/>
              <w:ind w:firstLine="709"/>
              <w:rPr>
                <w:color w:val="7030A0"/>
              </w:rPr>
            </w:pPr>
            <w:r w:rsidRPr="00A23740">
              <w:rPr>
                <w:color w:val="auto"/>
                <w:lang w:val="tr-TR"/>
              </w:rPr>
              <w:t>MADDE 81</w:t>
            </w:r>
            <w:r w:rsidR="00155AF4" w:rsidRPr="00A23740">
              <w:rPr>
                <w:color w:val="auto"/>
                <w:lang w:val="tr-TR"/>
              </w:rPr>
              <w:t xml:space="preserve">- </w:t>
            </w:r>
            <w:r w:rsidRPr="00A23740">
              <w:rPr>
                <w:b w:val="0"/>
                <w:bCs w:val="0"/>
                <w:color w:val="000000"/>
                <w:lang w:val="tr-TR"/>
              </w:rPr>
              <w:t>Maddeyle, ticareti terk edenler hakkında uygulanacak hususlar düzenlenmektedir. Hüküm, 2004 sayılı Kanunun 44 üncü maddesine karşılık gelmekte</w:t>
            </w:r>
            <w:r w:rsidRPr="00A23740">
              <w:rPr>
                <w:b w:val="0"/>
                <w:bCs w:val="0"/>
                <w:color w:val="000000"/>
              </w:rPr>
              <w:t>dir.</w:t>
            </w:r>
          </w:p>
          <w:p w:rsidR="00DB2C16" w:rsidRPr="00A23740" w:rsidRDefault="00284D2B" w:rsidP="009431FF">
            <w:pPr>
              <w:tabs>
                <w:tab w:val="left" w:pos="567"/>
                <w:tab w:val="left" w:pos="4159"/>
              </w:tabs>
              <w:ind w:firstLine="709"/>
              <w:rPr>
                <w:bCs/>
                <w:color w:val="000000"/>
              </w:rPr>
            </w:pPr>
            <w:r w:rsidRPr="00A23740">
              <w:rPr>
                <w:bCs/>
                <w:color w:val="000000"/>
              </w:rPr>
              <w:lastRenderedPageBreak/>
              <w:t xml:space="preserve">Birinci fıkrada, </w:t>
            </w:r>
            <w:r w:rsidR="00B36EAC" w:rsidRPr="006D2E3C">
              <w:rPr>
                <w:rStyle w:val="KonuBalChar"/>
                <w:rFonts w:eastAsia="Calibri"/>
                <w:b w:val="0"/>
                <w:color w:val="auto"/>
              </w:rPr>
              <w:t>6102 sayılı Kanunun</w:t>
            </w:r>
            <w:r w:rsidR="00DB2C16" w:rsidRPr="00A23740">
              <w:rPr>
                <w:bCs/>
                <w:color w:val="000000"/>
              </w:rPr>
              <w:t xml:space="preserve"> anonim şirketler hakkındaki 545 inci maddesine atıf yapılarak, 81 inci maddenin anonim şirketlerin tasfiyesi hakkında uygulanmayacağı, daha açık bir ifadeyle anonim şirketlerin tasfiyesinin anonim şirket pay sahiplerinin ticareti terk ettiği şeklinde yorumlanarak bu kişiler hakkında 81 inci madde hükmünün uygulanmasının mümkün olmadığı açıklığa kavuşturulmuştur.</w:t>
            </w:r>
          </w:p>
          <w:p w:rsidR="00DB2C16" w:rsidRPr="00A23740" w:rsidRDefault="00DB2C16" w:rsidP="009431FF">
            <w:pPr>
              <w:tabs>
                <w:tab w:val="left" w:pos="567"/>
                <w:tab w:val="left" w:pos="4159"/>
              </w:tabs>
              <w:ind w:firstLine="709"/>
              <w:rPr>
                <w:bCs/>
                <w:color w:val="000000"/>
              </w:rPr>
            </w:pPr>
            <w:r w:rsidRPr="00A23740">
              <w:rPr>
                <w:bCs/>
                <w:color w:val="000000"/>
              </w:rPr>
              <w:t xml:space="preserve">İkinci fıkrayla, ticareti terk eden tacir hakkında, birinci fıkradaki ilan tarihinden itibaren bir yıl içinde iflas yoluyla takip yapılabileceği hükme bağlanmaktadır. </w:t>
            </w:r>
          </w:p>
          <w:p w:rsidR="00284D2B" w:rsidRPr="00A23740" w:rsidRDefault="00284D2B" w:rsidP="009431FF">
            <w:pPr>
              <w:tabs>
                <w:tab w:val="left" w:pos="567"/>
                <w:tab w:val="left" w:pos="4159"/>
              </w:tabs>
              <w:ind w:firstLine="709"/>
              <w:rPr>
                <w:bCs/>
                <w:color w:val="000000"/>
              </w:rPr>
            </w:pPr>
            <w:r w:rsidRPr="00A23740">
              <w:rPr>
                <w:bCs/>
                <w:color w:val="000000"/>
              </w:rPr>
              <w:t xml:space="preserve">Üçüncü </w:t>
            </w:r>
            <w:r w:rsidR="00DB2C16" w:rsidRPr="00A23740">
              <w:rPr>
                <w:bCs/>
                <w:color w:val="000000"/>
              </w:rPr>
              <w:t>fıkrada ticareti terk eden tacirin, birinci fıkraya göre mal beyanında bulunduğu tarihten itibaren iki ay süreyle bu mallar üzerinde tasarruf edemeyeceği hükme bağlandıktan sonra, “mal beyanında belirttiği bu malları veya bu malların yerine geçen değerleri aynı süre içinde vuku bulan haciz veya iflas takibinde göstermek zorunda” olduğu da açıklığa kavuşturulmuştur. Maddede öncelikle tasarruf yasağına yer verildiğine göre, cümlenin sonunda yer alan “beyan edilen malların yerine geçen değerler” ibaresi</w:t>
            </w:r>
            <w:r w:rsidR="00F81AF1" w:rsidRPr="00A23740">
              <w:rPr>
                <w:bCs/>
                <w:color w:val="000000"/>
              </w:rPr>
              <w:t>yle</w:t>
            </w:r>
            <w:r w:rsidR="00DB2C16" w:rsidRPr="00A23740">
              <w:rPr>
                <w:bCs/>
                <w:color w:val="000000"/>
              </w:rPr>
              <w:t xml:space="preserve"> kastedilenin hasara uğrayan malın yerine geçen  sigorta tazminatı gibi değerlerdir.</w:t>
            </w:r>
            <w:r w:rsidRPr="00A23740">
              <w:rPr>
                <w:bCs/>
                <w:color w:val="000000"/>
              </w:rPr>
              <w:t xml:space="preserve"> </w:t>
            </w:r>
          </w:p>
          <w:p w:rsidR="00DB2C16" w:rsidRPr="00A23740" w:rsidRDefault="00284D2B" w:rsidP="009431FF">
            <w:pPr>
              <w:tabs>
                <w:tab w:val="left" w:pos="567"/>
                <w:tab w:val="left" w:pos="4159"/>
              </w:tabs>
              <w:ind w:firstLine="709"/>
              <w:rPr>
                <w:bCs/>
                <w:color w:val="000000"/>
              </w:rPr>
            </w:pPr>
            <w:r w:rsidRPr="00A23740">
              <w:rPr>
                <w:bCs/>
                <w:color w:val="000000"/>
              </w:rPr>
              <w:t>Maddenin dördüncü</w:t>
            </w:r>
            <w:r w:rsidR="00DB2C16" w:rsidRPr="00A23740">
              <w:rPr>
                <w:bCs/>
                <w:color w:val="000000"/>
              </w:rPr>
              <w:t xml:space="preserve"> fıkrasının ikinci cümlesinde iki değişiklik yapılmıştır. Birinci değişiklik</w:t>
            </w:r>
            <w:r w:rsidR="00F81AF1" w:rsidRPr="00A23740">
              <w:rPr>
                <w:bCs/>
                <w:color w:val="000000"/>
              </w:rPr>
              <w:t>;</w:t>
            </w:r>
            <w:r w:rsidR="00DB2C16" w:rsidRPr="00A23740">
              <w:rPr>
                <w:bCs/>
                <w:color w:val="000000"/>
              </w:rPr>
              <w:t xml:space="preserve"> ikinci dereceye kadar olan hısımlı</w:t>
            </w:r>
            <w:r w:rsidR="00F81AF1" w:rsidRPr="00A23740">
              <w:rPr>
                <w:bCs/>
                <w:color w:val="000000"/>
              </w:rPr>
              <w:t>k</w:t>
            </w:r>
            <w:r w:rsidR="00DB2C16" w:rsidRPr="00A23740">
              <w:rPr>
                <w:bCs/>
                <w:color w:val="000000"/>
              </w:rPr>
              <w:t xml:space="preserve"> </w:t>
            </w:r>
            <w:r w:rsidR="00F81AF1" w:rsidRPr="00A23740">
              <w:rPr>
                <w:bCs/>
                <w:color w:val="000000"/>
              </w:rPr>
              <w:t xml:space="preserve">yerine </w:t>
            </w:r>
            <w:r w:rsidR="00DB2C16" w:rsidRPr="00A23740">
              <w:rPr>
                <w:bCs/>
                <w:color w:val="000000"/>
              </w:rPr>
              <w:t>üçüncü derece hısımlığ</w:t>
            </w:r>
            <w:r w:rsidR="00F81AF1" w:rsidRPr="00A23740">
              <w:rPr>
                <w:bCs/>
                <w:color w:val="000000"/>
              </w:rPr>
              <w:t>ın kabul edilmesidir</w:t>
            </w:r>
            <w:r w:rsidR="00DB2C16" w:rsidRPr="00A23740">
              <w:rPr>
                <w:bCs/>
                <w:color w:val="000000"/>
              </w:rPr>
              <w:t>. Bu değişiklik hükmün uygulama alanını genişletmektedir. Yapılan ikinci değişiklik ise cümlenin sonundaki “iyiniyet iddiasında bulunulamaz” (üçüncü fıkradaki tasarruf engelini bilmediğini iddia ve ispat edemez) ibaresinin</w:t>
            </w:r>
            <w:r w:rsidR="00F81AF1" w:rsidRPr="00A23740">
              <w:rPr>
                <w:bCs/>
                <w:color w:val="000000"/>
              </w:rPr>
              <w:t>,</w:t>
            </w:r>
            <w:r w:rsidR="00DB2C16" w:rsidRPr="00A23740">
              <w:rPr>
                <w:bCs/>
                <w:color w:val="000000"/>
              </w:rPr>
              <w:t xml:space="preserve"> “iyiniyetin ispatı gerekir” ibaresi ile değiştirilmesidir. Bu değişikliğin sonucu olarak, üçüncü derece dahil kan ve kayın hısımları da iyiniyetle iktisap imk</w:t>
            </w:r>
            <w:r w:rsidR="00BE53A8" w:rsidRPr="00A23740">
              <w:rPr>
                <w:bCs/>
                <w:color w:val="000000"/>
              </w:rPr>
              <w:t>â</w:t>
            </w:r>
            <w:r w:rsidR="00DB2C16" w:rsidRPr="00A23740">
              <w:rPr>
                <w:bCs/>
                <w:color w:val="000000"/>
              </w:rPr>
              <w:t>nından faydalanabileceklerdir. Fakat diğer üçüncü kişilerden farklı olarak iyiniyetlerini ispat etmek külfeti altında olacaklar</w:t>
            </w:r>
            <w:r w:rsidR="00F81AF1" w:rsidRPr="00A23740">
              <w:rPr>
                <w:bCs/>
                <w:color w:val="000000"/>
              </w:rPr>
              <w:t>,</w:t>
            </w:r>
            <w:r w:rsidR="00DB2C16" w:rsidRPr="00A23740">
              <w:rPr>
                <w:bCs/>
                <w:color w:val="000000"/>
              </w:rPr>
              <w:t xml:space="preserve"> yani </w:t>
            </w:r>
            <w:r w:rsidR="000F4080" w:rsidRPr="006D2E3C">
              <w:rPr>
                <w:rStyle w:val="KonuBalChar"/>
                <w:rFonts w:eastAsia="Calibri"/>
                <w:b w:val="0"/>
                <w:color w:val="auto"/>
              </w:rPr>
              <w:t>4721 sayılı</w:t>
            </w:r>
            <w:r w:rsidR="000F4080" w:rsidRPr="006D2E3C">
              <w:rPr>
                <w:rStyle w:val="KonuBalChar"/>
                <w:rFonts w:eastAsia="Calibri"/>
                <w:b w:val="0"/>
                <w:bCs w:val="0"/>
                <w:color w:val="auto"/>
              </w:rPr>
              <w:t xml:space="preserve"> </w:t>
            </w:r>
            <w:r w:rsidR="008F75C3" w:rsidRPr="006D2E3C">
              <w:rPr>
                <w:rStyle w:val="KonuBalChar"/>
                <w:rFonts w:eastAsia="Calibri"/>
                <w:b w:val="0"/>
                <w:bCs w:val="0"/>
                <w:color w:val="auto"/>
                <w:lang w:val="tr-TR"/>
              </w:rPr>
              <w:t xml:space="preserve">Kanunun </w:t>
            </w:r>
            <w:r w:rsidR="00501CF9" w:rsidRPr="006D2E3C">
              <w:rPr>
                <w:rStyle w:val="KonuBalChar"/>
                <w:rFonts w:eastAsia="Calibri"/>
                <w:b w:val="0"/>
                <w:color w:val="auto"/>
              </w:rPr>
              <w:t>3 üncü maddesindeki</w:t>
            </w:r>
            <w:r w:rsidR="00501CF9" w:rsidRPr="00A23740">
              <w:rPr>
                <w:bCs/>
                <w:color w:val="000000"/>
              </w:rPr>
              <w:t xml:space="preserve"> </w:t>
            </w:r>
            <w:r w:rsidR="00DB2C16" w:rsidRPr="00A23740">
              <w:rPr>
                <w:bCs/>
                <w:color w:val="000000"/>
              </w:rPr>
              <w:t xml:space="preserve">ispat yükü kuralından istifade edemeyeceklerdir. Bu değişiklik yapılırken Anayasa Mahkemesinin, </w:t>
            </w:r>
            <w:r w:rsidR="00681CD4" w:rsidRPr="006D2E3C">
              <w:rPr>
                <w:rStyle w:val="KonuBalChar"/>
                <w:rFonts w:eastAsia="Calibri"/>
                <w:b w:val="0"/>
                <w:color w:val="auto"/>
              </w:rPr>
              <w:t>2004 sayılı Kanunun</w:t>
            </w:r>
            <w:r w:rsidR="00681CD4" w:rsidRPr="006D2E3C">
              <w:rPr>
                <w:rStyle w:val="KIRMIZIChar"/>
                <w:rFonts w:eastAsia="Calibri"/>
                <w:b w:val="0"/>
                <w:strike w:val="0"/>
                <w:color w:val="auto"/>
              </w:rPr>
              <w:t xml:space="preserve"> </w:t>
            </w:r>
            <w:r w:rsidR="00DB2C16" w:rsidRPr="006D2E3C">
              <w:rPr>
                <w:bCs/>
              </w:rPr>
              <w:t>278</w:t>
            </w:r>
            <w:r w:rsidR="00681CD4" w:rsidRPr="006D2E3C">
              <w:rPr>
                <w:b/>
                <w:bCs/>
              </w:rPr>
              <w:t xml:space="preserve"> </w:t>
            </w:r>
            <w:r w:rsidR="00681CD4" w:rsidRPr="006D2E3C">
              <w:rPr>
                <w:rStyle w:val="KonuBalChar"/>
                <w:rFonts w:eastAsia="Calibri"/>
                <w:b w:val="0"/>
                <w:color w:val="auto"/>
              </w:rPr>
              <w:t>inci maddesinin</w:t>
            </w:r>
            <w:r w:rsidR="00DB2C16" w:rsidRPr="006D2E3C">
              <w:rPr>
                <w:b/>
                <w:bCs/>
              </w:rPr>
              <w:t xml:space="preserve"> </w:t>
            </w:r>
            <w:r w:rsidR="00DB2C16" w:rsidRPr="006D2E3C">
              <w:rPr>
                <w:bCs/>
              </w:rPr>
              <w:t>üçüncü</w:t>
            </w:r>
            <w:r w:rsidR="00DB2C16" w:rsidRPr="006D2E3C">
              <w:rPr>
                <w:b/>
                <w:bCs/>
              </w:rPr>
              <w:t xml:space="preserve"> </w:t>
            </w:r>
            <w:r w:rsidR="00DB2C16" w:rsidRPr="006D2E3C">
              <w:rPr>
                <w:bCs/>
              </w:rPr>
              <w:t>fıkra</w:t>
            </w:r>
            <w:r w:rsidR="00681CD4" w:rsidRPr="006D2E3C">
              <w:rPr>
                <w:rStyle w:val="KonuBalChar"/>
                <w:rFonts w:eastAsia="Calibri"/>
                <w:b w:val="0"/>
                <w:color w:val="auto"/>
              </w:rPr>
              <w:t>sının</w:t>
            </w:r>
            <w:r w:rsidR="00DB2C16" w:rsidRPr="006D2E3C">
              <w:rPr>
                <w:b/>
                <w:bCs/>
              </w:rPr>
              <w:t xml:space="preserve"> </w:t>
            </w:r>
            <w:r w:rsidR="00DB2C16" w:rsidRPr="006D2E3C">
              <w:rPr>
                <w:bCs/>
              </w:rPr>
              <w:t>(1)</w:t>
            </w:r>
            <w:r w:rsidR="00DB2C16" w:rsidRPr="006D2E3C">
              <w:rPr>
                <w:b/>
                <w:bCs/>
              </w:rPr>
              <w:t xml:space="preserve"> </w:t>
            </w:r>
            <w:r w:rsidR="00681CD4" w:rsidRPr="006D2E3C">
              <w:rPr>
                <w:rStyle w:val="KonuBalChar"/>
                <w:rFonts w:eastAsia="Calibri"/>
                <w:b w:val="0"/>
                <w:color w:val="auto"/>
              </w:rPr>
              <w:t>numaralı</w:t>
            </w:r>
            <w:r w:rsidR="00681CD4" w:rsidRPr="00A23740">
              <w:rPr>
                <w:bCs/>
                <w:color w:val="000000"/>
              </w:rPr>
              <w:t xml:space="preserve"> </w:t>
            </w:r>
            <w:r w:rsidR="00DB2C16" w:rsidRPr="00A23740">
              <w:rPr>
                <w:bCs/>
                <w:color w:val="000000"/>
              </w:rPr>
              <w:t>bendi ile ilgili, 2021/52 E. 2022/97 K. sayılı ve 16.12.2021 tarihli; 2018/9 E. 2018/84 K. sayılı ve 11.07.2018 tarihli; 2021/9 E. 2022/4 K. sayılı ve 26.01.2022 tarihli ipta</w:t>
            </w:r>
            <w:r w:rsidRPr="00A23740">
              <w:rPr>
                <w:bCs/>
                <w:color w:val="000000"/>
              </w:rPr>
              <w:t>l kararları dikkate alınmıştır.</w:t>
            </w:r>
          </w:p>
          <w:p w:rsidR="00DB2C16" w:rsidRPr="00A23740" w:rsidRDefault="00DB2C16" w:rsidP="009431FF">
            <w:pPr>
              <w:tabs>
                <w:tab w:val="left" w:pos="567"/>
                <w:tab w:val="left" w:pos="4159"/>
              </w:tabs>
              <w:ind w:firstLine="709"/>
              <w:rPr>
                <w:bCs/>
                <w:color w:val="000000"/>
              </w:rPr>
            </w:pPr>
            <w:r w:rsidRPr="00A23740">
              <w:rPr>
                <w:bCs/>
                <w:color w:val="000000"/>
              </w:rPr>
              <w:t xml:space="preserve"> </w:t>
            </w:r>
            <w:r w:rsidR="00284D2B" w:rsidRPr="00A23740">
              <w:rPr>
                <w:bCs/>
                <w:color w:val="000000"/>
              </w:rPr>
              <w:t xml:space="preserve">Beşinci </w:t>
            </w:r>
            <w:r w:rsidRPr="00A23740">
              <w:rPr>
                <w:bCs/>
                <w:color w:val="000000"/>
              </w:rPr>
              <w:t>fıkrayla, ticaret sicili müdürlüğünün yapacağı işlemler belirlenmektedir. Mal beyanını alan ticaret sicili müdürlüğü, durumu tapu veya gemi sicili gibi ilgili sicillere bildirir. Bunun üzerine temlik hakkının iki ay süre ile kısıtlanmış olduğu hususu sicile şerh verilir. Durum ayrıca Türkiye Bankalar Birliği, Türkiye Katılım Bankaları Birliği, Türkiye Sermaye Piyasaları Birliği ve Finansal Kurumlar Birliği ile diğer ilgili kurum veya kuruluşlara da bildirilir. Hükümde bildirimin yapılacağı kurumların sayısı artırılmaktadır.</w:t>
            </w:r>
          </w:p>
          <w:p w:rsidR="00DB2C16" w:rsidRPr="00A23740" w:rsidRDefault="00284D2B" w:rsidP="009431FF">
            <w:pPr>
              <w:tabs>
                <w:tab w:val="left" w:pos="567"/>
                <w:tab w:val="left" w:pos="4159"/>
              </w:tabs>
              <w:ind w:firstLine="709"/>
              <w:rPr>
                <w:b/>
                <w:bCs/>
                <w:color w:val="000000"/>
              </w:rPr>
            </w:pPr>
            <w:r w:rsidRPr="00A23740">
              <w:rPr>
                <w:bCs/>
                <w:color w:val="000000"/>
              </w:rPr>
              <w:t xml:space="preserve">Altıncı </w:t>
            </w:r>
            <w:r w:rsidR="00DB2C16" w:rsidRPr="00A23740">
              <w:rPr>
                <w:bCs/>
                <w:color w:val="000000"/>
              </w:rPr>
              <w:t xml:space="preserve">fıkrayla, mal bildirimine konu malların satılma usulü düzenlenmektedir. Bozulma ihtimali bulunan, muhafazası külfetli olan veya tayin edilen kanuni süre içinde değerinin düşmesi kuvvetle muhtemel bulunan mallar hakkında, tacirin talebi üzerine, icra hukuk mahkemesince </w:t>
            </w:r>
            <w:r w:rsidR="00527F77" w:rsidRPr="006D2E3C">
              <w:rPr>
                <w:rStyle w:val="YELChar"/>
                <w:b w:val="0"/>
                <w:color w:val="auto"/>
              </w:rPr>
              <w:t>bu malların</w:t>
            </w:r>
            <w:r w:rsidR="00527F77" w:rsidRPr="006D2E3C">
              <w:rPr>
                <w:b/>
                <w:bCs/>
              </w:rPr>
              <w:t xml:space="preserve"> </w:t>
            </w:r>
            <w:r w:rsidR="00DB2C16" w:rsidRPr="006D2E3C">
              <w:rPr>
                <w:bCs/>
              </w:rPr>
              <w:t>icra</w:t>
            </w:r>
            <w:r w:rsidR="00DB2C16" w:rsidRPr="006D2E3C">
              <w:rPr>
                <w:b/>
                <w:bCs/>
              </w:rPr>
              <w:t xml:space="preserve"> </w:t>
            </w:r>
            <w:r w:rsidR="00527F77" w:rsidRPr="006D2E3C">
              <w:rPr>
                <w:rStyle w:val="YELChar"/>
                <w:b w:val="0"/>
                <w:color w:val="auto"/>
              </w:rPr>
              <w:t>ve iflas</w:t>
            </w:r>
            <w:r w:rsidR="00527F77" w:rsidRPr="00A23740">
              <w:rPr>
                <w:bCs/>
                <w:color w:val="000000"/>
              </w:rPr>
              <w:t xml:space="preserve"> </w:t>
            </w:r>
            <w:r w:rsidR="00DB2C16" w:rsidRPr="00A23740">
              <w:rPr>
                <w:bCs/>
                <w:color w:val="000000"/>
              </w:rPr>
              <w:t xml:space="preserve">müdürü marifetiyle ve bu </w:t>
            </w:r>
            <w:r w:rsidR="00527F77" w:rsidRPr="00A23740">
              <w:rPr>
                <w:bCs/>
                <w:color w:val="000000"/>
              </w:rPr>
              <w:t>K</w:t>
            </w:r>
            <w:r w:rsidR="00CF4FF5">
              <w:rPr>
                <w:bCs/>
                <w:color w:val="000000"/>
              </w:rPr>
              <w:t>anun hükümleri dairesinde</w:t>
            </w:r>
            <w:r w:rsidR="00DB2C16" w:rsidRPr="00A23740">
              <w:rPr>
                <w:bCs/>
                <w:color w:val="000000"/>
              </w:rPr>
              <w:t xml:space="preserve"> satılmasına ve bedelinin Taslağın </w:t>
            </w:r>
            <w:r w:rsidR="008F1E96" w:rsidRPr="006D2E3C">
              <w:rPr>
                <w:rStyle w:val="MaviChar"/>
                <w:b w:val="0"/>
                <w:color w:val="auto"/>
              </w:rPr>
              <w:t>11 inci</w:t>
            </w:r>
            <w:r w:rsidR="00DB2C16" w:rsidRPr="00A23740">
              <w:rPr>
                <w:bCs/>
                <w:color w:val="000000"/>
              </w:rPr>
              <w:t xml:space="preserve"> maddesinde yazılı bir bankaya depo edilmesine karar verilebilir.</w:t>
            </w:r>
          </w:p>
          <w:p w:rsidR="009A571C" w:rsidRPr="00A23740" w:rsidRDefault="009A571C"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rPr>
                <w:lang w:val="tr-TR"/>
              </w:rPr>
            </w:pPr>
            <w:r w:rsidRPr="00A23740">
              <w:rPr>
                <w:lang w:val="tr-TR"/>
              </w:rPr>
              <w:lastRenderedPageBreak/>
              <w:t>Rehin ve ipotekle temin edilmiş alacaklar:</w:t>
            </w:r>
          </w:p>
          <w:p w:rsidR="00155AF4" w:rsidRPr="00A23740" w:rsidRDefault="00155AF4" w:rsidP="009431FF">
            <w:pPr>
              <w:pStyle w:val="KIRMIZI"/>
              <w:rPr>
                <w:lang w:val="tr-TR"/>
              </w:rPr>
            </w:pPr>
            <w:r w:rsidRPr="00A23740">
              <w:rPr>
                <w:lang w:val="tr-TR"/>
              </w:rPr>
              <w:t xml:space="preserve">Madde 45 – (1) Rehinle temin edilmiş bir alacağın borçlusu iflasa tabi şahıslardan olsa bile alacaklı yalnız rehinin paraya çevrilmesi yoliyle takip yapabilir. Ancak rehinin tutarı borcu ödemeğe </w:t>
            </w:r>
            <w:r w:rsidRPr="00A23740">
              <w:rPr>
                <w:lang w:val="tr-TR"/>
              </w:rPr>
              <w:lastRenderedPageBreak/>
              <w:t>yetmezse alacaklı kalan alacağını iflas veya haciz yoliyle takip edebilir.</w:t>
            </w:r>
          </w:p>
          <w:p w:rsidR="00155AF4" w:rsidRPr="00A23740" w:rsidRDefault="00155AF4" w:rsidP="009431FF">
            <w:pPr>
              <w:pStyle w:val="KIRMIZI"/>
              <w:rPr>
                <w:lang w:val="tr-TR"/>
              </w:rPr>
            </w:pPr>
          </w:p>
          <w:p w:rsidR="00155AF4" w:rsidRPr="00A23740" w:rsidRDefault="00155AF4" w:rsidP="009431FF">
            <w:pPr>
              <w:pStyle w:val="KIRMIZI"/>
              <w:rPr>
                <w:lang w:val="tr-TR"/>
              </w:rPr>
            </w:pPr>
            <w:r w:rsidRPr="00A23740">
              <w:rPr>
                <w:lang w:val="tr-TR"/>
              </w:rPr>
              <w:t>(2) (Ek Fıkra: 21/2/2007-5582/1 md) 2499 sayılı Sermaye Piyasası Kanununun 38/A maddesinin birinci fıkrasında tanımlanan konut finansmanından kaynaklanan rehinle temin edilmiş alacaklar ile Toplu Konut İdaresi Başkanlığının rehinle temin edilmiş alacaklarının takibinde, rehnin paraya çevrilmesi yoluyla takip yapılabilir veya haciz yoluna başvurulabilir.</w:t>
            </w:r>
          </w:p>
          <w:p w:rsidR="00155AF4" w:rsidRPr="00A23740" w:rsidRDefault="00155AF4" w:rsidP="009431FF">
            <w:pPr>
              <w:pStyle w:val="KIRMIZI"/>
              <w:rPr>
                <w:lang w:val="tr-TR"/>
              </w:rPr>
            </w:pPr>
          </w:p>
          <w:p w:rsidR="00155AF4" w:rsidRPr="00A23740" w:rsidRDefault="00155AF4" w:rsidP="009431FF">
            <w:pPr>
              <w:pStyle w:val="KIRMIZI"/>
              <w:rPr>
                <w:lang w:val="tr-TR"/>
              </w:rPr>
            </w:pPr>
            <w:r w:rsidRPr="00A23740">
              <w:rPr>
                <w:lang w:val="tr-TR"/>
              </w:rPr>
              <w:t>(3) Police ve emre muharrer senetlerle çekler hakkındaki 167 nci madde hükmü mahfuzdur.</w:t>
            </w:r>
          </w:p>
          <w:p w:rsidR="00155AF4" w:rsidRPr="00A23740" w:rsidRDefault="00155AF4" w:rsidP="009431FF">
            <w:pPr>
              <w:pStyle w:val="KIRMIZI"/>
              <w:rPr>
                <w:lang w:val="tr-TR"/>
              </w:rPr>
            </w:pPr>
          </w:p>
          <w:p w:rsidR="00155AF4" w:rsidRPr="00A23740" w:rsidRDefault="00155AF4" w:rsidP="009431FF">
            <w:pPr>
              <w:pStyle w:val="KIRMIZI"/>
              <w:rPr>
                <w:lang w:val="tr-TR"/>
              </w:rPr>
            </w:pPr>
            <w:r w:rsidRPr="00A23740">
              <w:rPr>
                <w:lang w:val="tr-TR"/>
              </w:rPr>
              <w:t>(4) İpotekle temin edilmiş faiz ve senelik taksit alacaklarında, alacaklının intihabına ve borçlunun sıfatına göre, rehinin paraya çevrilmesi veya haciz yahut iflas yollarına müracaat olunabilir.</w:t>
            </w:r>
          </w:p>
          <w:p w:rsidR="00155AF4" w:rsidRPr="00A23740" w:rsidRDefault="00155AF4" w:rsidP="009431FF">
            <w:pPr>
              <w:pStyle w:val="KIRMIZI"/>
              <w:rPr>
                <w:lang w:val="tr-TR"/>
              </w:rPr>
            </w:pPr>
            <w:r w:rsidRPr="00A23740">
              <w:rPr>
                <w:lang w:val="tr-TR"/>
              </w:rPr>
              <w:t>(Ek fıkra: 27/5/1933 - 2228/1 md.; Mülga: 29/6/1956 - 6763/42 md.)</w:t>
            </w:r>
          </w:p>
          <w:p w:rsidR="00B12C90" w:rsidRPr="00A23740" w:rsidRDefault="00B12C90" w:rsidP="009431FF">
            <w:pPr>
              <w:pStyle w:val="KIRMIZI"/>
              <w:rPr>
                <w:lang w:val="tr-TR"/>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b/>
                <w:bCs/>
                <w:color w:val="FF0000"/>
                <w:szCs w:val="24"/>
              </w:rPr>
            </w:pPr>
          </w:p>
          <w:p w:rsidR="00155AF4" w:rsidRPr="00A23740" w:rsidRDefault="00155AF4" w:rsidP="009431FF">
            <w:pPr>
              <w:autoSpaceDE w:val="0"/>
              <w:autoSpaceDN w:val="0"/>
              <w:adjustRightInd w:val="0"/>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widowControl w:val="0"/>
              <w:rPr>
                <w:lang w:val="tr-TR"/>
              </w:rPr>
            </w:pPr>
          </w:p>
          <w:p w:rsidR="006846DE" w:rsidRPr="00A23740" w:rsidRDefault="006846DE" w:rsidP="009431FF">
            <w:pPr>
              <w:pStyle w:val="KIRMIZI"/>
              <w:widowControl w:val="0"/>
              <w:rPr>
                <w:lang w:val="tr-TR"/>
              </w:rPr>
            </w:pPr>
          </w:p>
          <w:p w:rsidR="00155AF4" w:rsidRPr="00A23740" w:rsidRDefault="00155AF4" w:rsidP="009431FF">
            <w:pPr>
              <w:pStyle w:val="KIRMIZI"/>
              <w:widowControl w:val="0"/>
              <w:rPr>
                <w:lang w:val="tr-TR"/>
              </w:rPr>
            </w:pPr>
            <w:r w:rsidRPr="00A23740">
              <w:rPr>
                <w:lang w:val="tr-TR"/>
              </w:rPr>
              <w:t>Haciz yoliyle takip:</w:t>
            </w:r>
          </w:p>
          <w:p w:rsidR="00155AF4" w:rsidRPr="00A23740" w:rsidRDefault="00155AF4" w:rsidP="009431FF">
            <w:pPr>
              <w:pStyle w:val="KIRMIZI"/>
              <w:widowControl w:val="0"/>
              <w:rPr>
                <w:lang w:val="tr-TR"/>
              </w:rPr>
            </w:pPr>
            <w:r w:rsidRPr="00A23740">
              <w:rPr>
                <w:lang w:val="tr-TR"/>
              </w:rPr>
              <w:t>1 – Umumiyetle:</w:t>
            </w:r>
          </w:p>
          <w:p w:rsidR="00155AF4" w:rsidRPr="00A23740" w:rsidRDefault="00155AF4" w:rsidP="009431FF">
            <w:pPr>
              <w:pStyle w:val="KIRMIZI"/>
              <w:widowControl w:val="0"/>
              <w:rPr>
                <w:rStyle w:val="KIRMIZIChar"/>
                <w:b/>
                <w:strike/>
                <w:lang w:val="tr-TR"/>
              </w:rPr>
            </w:pPr>
            <w:r w:rsidRPr="00A23740">
              <w:rPr>
                <w:lang w:val="tr-TR"/>
              </w:rPr>
              <w:t>Madde 46 – (1) Takip diğer bütün hallerde haciz yoliyle</w:t>
            </w:r>
            <w:r w:rsidRPr="00A23740">
              <w:rPr>
                <w:strike w:val="0"/>
                <w:lang w:val="tr-TR"/>
              </w:rPr>
              <w:t xml:space="preserve"> </w:t>
            </w:r>
            <w:r w:rsidRPr="00A23740">
              <w:rPr>
                <w:b w:val="0"/>
                <w:strike w:val="0"/>
                <w:color w:val="auto"/>
                <w:lang w:val="tr-TR"/>
              </w:rPr>
              <w:t>yapılır.</w:t>
            </w:r>
            <w:r w:rsidRPr="00A23740">
              <w:rPr>
                <w:rStyle w:val="KIRMIZIChar"/>
                <w:lang w:val="tr-TR"/>
              </w:rPr>
              <w:t xml:space="preserve"> </w:t>
            </w:r>
            <w:r w:rsidRPr="00A23740">
              <w:rPr>
                <w:rStyle w:val="KIRMIZIChar"/>
                <w:b/>
                <w:strike/>
                <w:lang w:val="tr-TR"/>
              </w:rPr>
              <w:t>Borçlu tüccar sıfatını yeni iktisap etmişse bundan evvel aleyhinde talep edilmiş hacizler iflasına hükmolunmadıkça eskisi gibi icra olunur.</w:t>
            </w:r>
          </w:p>
          <w:p w:rsidR="00155AF4" w:rsidRPr="00A23740" w:rsidRDefault="00155AF4" w:rsidP="009431FF">
            <w:pPr>
              <w:widowControl w:val="0"/>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auto" w:fill="auto"/>
          </w:tcPr>
          <w:p w:rsidR="00155AF4" w:rsidRPr="00A23740" w:rsidRDefault="00155AF4" w:rsidP="009431FF">
            <w:pPr>
              <w:pStyle w:val="Balk4"/>
              <w:keepNext w:val="0"/>
              <w:widowControl w:val="0"/>
              <w:rPr>
                <w:lang w:val="tr-TR"/>
              </w:rPr>
            </w:pPr>
            <w:r w:rsidRPr="00A23740">
              <w:rPr>
                <w:lang w:val="tr-TR"/>
              </w:rPr>
              <w:t>İKİNCİ AYRIM</w:t>
            </w:r>
          </w:p>
          <w:p w:rsidR="00155AF4" w:rsidRPr="00A23740" w:rsidRDefault="00155AF4" w:rsidP="009431FF">
            <w:pPr>
              <w:pStyle w:val="Balk4"/>
              <w:keepNext w:val="0"/>
              <w:widowControl w:val="0"/>
              <w:rPr>
                <w:lang w:val="tr-TR"/>
              </w:rPr>
            </w:pPr>
            <w:r w:rsidRPr="00A23740">
              <w:rPr>
                <w:lang w:val="tr-TR"/>
              </w:rPr>
              <w:t>Haciz Yoluyla Takip</w:t>
            </w:r>
          </w:p>
          <w:p w:rsidR="00155AF4" w:rsidRPr="00A23740" w:rsidRDefault="00155AF4" w:rsidP="009431FF">
            <w:pPr>
              <w:widowControl w:val="0"/>
              <w:autoSpaceDE w:val="0"/>
              <w:autoSpaceDN w:val="0"/>
              <w:adjustRightInd w:val="0"/>
              <w:rPr>
                <w:b/>
                <w:bCs/>
                <w:color w:val="FF0000"/>
                <w:szCs w:val="24"/>
              </w:rPr>
            </w:pPr>
          </w:p>
          <w:p w:rsidR="00155AF4" w:rsidRPr="00A23740" w:rsidRDefault="00155AF4" w:rsidP="009431FF">
            <w:pPr>
              <w:pStyle w:val="Mavi"/>
              <w:widowControl w:val="0"/>
            </w:pPr>
            <w:r w:rsidRPr="00A23740">
              <w:t>Takibin konusu</w:t>
            </w:r>
          </w:p>
          <w:p w:rsidR="00A31E1D" w:rsidRPr="00A23740" w:rsidRDefault="00155AF4" w:rsidP="009431FF">
            <w:pPr>
              <w:widowControl w:val="0"/>
              <w:tabs>
                <w:tab w:val="left" w:pos="567"/>
              </w:tabs>
              <w:autoSpaceDE w:val="0"/>
              <w:autoSpaceDN w:val="0"/>
              <w:adjustRightInd w:val="0"/>
              <w:rPr>
                <w:b/>
                <w:bCs/>
                <w:color w:val="0000FF"/>
                <w:szCs w:val="24"/>
                <w:lang w:val="x-none" w:eastAsia="x-none"/>
              </w:rPr>
            </w:pPr>
            <w:r w:rsidRPr="00A23740">
              <w:rPr>
                <w:rStyle w:val="MaviChar"/>
              </w:rPr>
              <w:t>MADDE 82</w:t>
            </w:r>
            <w:r w:rsidRPr="00A23740">
              <w:rPr>
                <w:rStyle w:val="MAVChar"/>
                <w:rFonts w:eastAsia="Calibri"/>
                <w:b w:val="0"/>
                <w:bCs w:val="0"/>
                <w:u w:val="none"/>
              </w:rPr>
              <w:t>-</w:t>
            </w:r>
            <w:r w:rsidRPr="00A23740">
              <w:t xml:space="preserve"> </w:t>
            </w:r>
            <w:r w:rsidRPr="00A23740">
              <w:rPr>
                <w:rStyle w:val="MaviChar"/>
              </w:rPr>
              <w:t>(1) Haciz yoluyla takip, para</w:t>
            </w:r>
            <w:r w:rsidRPr="00A23740">
              <w:t xml:space="preserve"> ve teminat alacakları için</w:t>
            </w:r>
            <w:r w:rsidRPr="00A23740">
              <w:rPr>
                <w:rFonts w:eastAsia="Times New Roman"/>
              </w:rPr>
              <w:t xml:space="preserve"> </w:t>
            </w:r>
            <w:r w:rsidRPr="00A23740">
              <w:t>yapılır.</w:t>
            </w:r>
          </w:p>
        </w:tc>
      </w:tr>
      <w:tr w:rsidR="00155AF4" w:rsidRPr="00A23740" w:rsidTr="009431FF">
        <w:tc>
          <w:tcPr>
            <w:tcW w:w="5000" w:type="pct"/>
            <w:gridSpan w:val="2"/>
            <w:shd w:val="clear" w:color="auto" w:fill="DEEAF6"/>
          </w:tcPr>
          <w:p w:rsidR="00B12C90" w:rsidRPr="00A23740" w:rsidRDefault="00B12C90" w:rsidP="009431FF">
            <w:pPr>
              <w:pStyle w:val="Mavi"/>
              <w:ind w:firstLine="709"/>
              <w:rPr>
                <w:color w:val="auto"/>
                <w:lang w:val="tr-TR"/>
              </w:rPr>
            </w:pPr>
          </w:p>
          <w:p w:rsidR="00DB2C16" w:rsidRPr="00A23740" w:rsidRDefault="00284D2B" w:rsidP="009431FF">
            <w:pPr>
              <w:pStyle w:val="Mavi"/>
              <w:ind w:firstLine="709"/>
              <w:rPr>
                <w:b w:val="0"/>
                <w:bCs w:val="0"/>
                <w:color w:val="000000"/>
                <w:lang w:val="tr-TR"/>
              </w:rPr>
            </w:pPr>
            <w:r w:rsidRPr="00A23740">
              <w:rPr>
                <w:color w:val="auto"/>
                <w:lang w:val="tr-TR"/>
              </w:rPr>
              <w:t>MADDE 82</w:t>
            </w:r>
            <w:r w:rsidR="00B12C90" w:rsidRPr="00A23740">
              <w:rPr>
                <w:color w:val="auto"/>
                <w:lang w:val="tr-TR"/>
              </w:rPr>
              <w:t xml:space="preserve">- </w:t>
            </w:r>
            <w:r w:rsidR="00B12C90" w:rsidRPr="00A23740">
              <w:rPr>
                <w:b w:val="0"/>
                <w:bCs w:val="0"/>
                <w:color w:val="000000"/>
                <w:lang w:val="tr-TR"/>
              </w:rPr>
              <w:t xml:space="preserve">Maddeyle, </w:t>
            </w:r>
            <w:r w:rsidRPr="00A23740">
              <w:rPr>
                <w:b w:val="0"/>
                <w:bCs w:val="0"/>
                <w:color w:val="000000"/>
                <w:lang w:val="tr-TR"/>
              </w:rPr>
              <w:t xml:space="preserve">haciz yoluyla takipte </w:t>
            </w:r>
            <w:r w:rsidR="00B12C90" w:rsidRPr="00A23740">
              <w:rPr>
                <w:b w:val="0"/>
                <w:bCs w:val="0"/>
                <w:color w:val="000000"/>
                <w:lang w:val="tr-TR"/>
              </w:rPr>
              <w:t xml:space="preserve">takibin konusu düzenlenmektedir. </w:t>
            </w:r>
            <w:r w:rsidR="00DB2C16" w:rsidRPr="00A23740">
              <w:rPr>
                <w:b w:val="0"/>
                <w:bCs w:val="0"/>
                <w:color w:val="000000"/>
                <w:lang w:val="tr-TR"/>
              </w:rPr>
              <w:t>Hüküm, 2004 sayılı Kanunun 46 ncı maddesine karşılık gelmekte olup sadeleştirilmek suretiyle muhafaza edilmektedir.</w:t>
            </w:r>
          </w:p>
          <w:p w:rsidR="00DB2C16" w:rsidRPr="00A23740" w:rsidRDefault="00DB2C16" w:rsidP="009431FF">
            <w:pPr>
              <w:pStyle w:val="Mavi"/>
              <w:ind w:firstLine="709"/>
              <w:rPr>
                <w:b w:val="0"/>
                <w:bCs w:val="0"/>
                <w:color w:val="000000"/>
                <w:lang w:val="tr-TR"/>
              </w:rPr>
            </w:pPr>
            <w:r w:rsidRPr="00A23740">
              <w:rPr>
                <w:b w:val="0"/>
                <w:bCs w:val="0"/>
                <w:color w:val="000000"/>
                <w:lang w:val="tr-TR"/>
              </w:rPr>
              <w:t xml:space="preserve">Tek fıkradan ibaret bu maddede  haciz yoluyla takibin, para ve teminat alacakları için yapılacağı belirtilmektedir. Tacirlere karşı icra takiplerinin kural olarak iflas yoluyla açılabildiği İsviçre </w:t>
            </w:r>
            <w:r w:rsidR="00E47822" w:rsidRPr="00A23740">
              <w:rPr>
                <w:b w:val="0"/>
                <w:bCs w:val="0"/>
                <w:color w:val="000000"/>
                <w:lang w:val="tr-TR"/>
              </w:rPr>
              <w:t xml:space="preserve">hukuku </w:t>
            </w:r>
            <w:r w:rsidRPr="00A23740">
              <w:rPr>
                <w:b w:val="0"/>
                <w:bCs w:val="0"/>
                <w:color w:val="000000"/>
                <w:lang w:val="tr-TR"/>
              </w:rPr>
              <w:t>bakımından anlamı olan</w:t>
            </w:r>
            <w:r w:rsidR="00F81AF1" w:rsidRPr="00A23740">
              <w:rPr>
                <w:b w:val="0"/>
                <w:bCs w:val="0"/>
                <w:color w:val="000000"/>
                <w:lang w:val="tr-TR"/>
              </w:rPr>
              <w:t>,</w:t>
            </w:r>
            <w:r w:rsidRPr="00A23740">
              <w:rPr>
                <w:b w:val="0"/>
                <w:bCs w:val="0"/>
                <w:color w:val="000000"/>
                <w:lang w:val="tr-TR"/>
              </w:rPr>
              <w:t xml:space="preserve"> fakat bizim hukukumuz bakımından bir işlevi </w:t>
            </w:r>
            <w:r w:rsidR="00F81AF1" w:rsidRPr="00A23740">
              <w:rPr>
                <w:b w:val="0"/>
                <w:bCs w:val="0"/>
                <w:color w:val="000000"/>
                <w:lang w:val="tr-TR"/>
              </w:rPr>
              <w:lastRenderedPageBreak/>
              <w:t>bulun</w:t>
            </w:r>
            <w:r w:rsidRPr="00A23740">
              <w:rPr>
                <w:b w:val="0"/>
                <w:bCs w:val="0"/>
                <w:color w:val="000000"/>
                <w:lang w:val="tr-TR"/>
              </w:rPr>
              <w:t>mayan “Borçlu tacir sıfatını yeni iktisap etmişse bundan evvel aleyhinde talep edilmiş hacizler iflasına hükmolunmadıkça eskisi gibi icra olunur.” şeklindeki ikinci cümle maddeden çıkarılmıştır.</w:t>
            </w:r>
          </w:p>
          <w:p w:rsidR="00B12C90" w:rsidRPr="00A23740" w:rsidRDefault="00B12C90"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rPr>
                <w:lang w:val="tr-TR"/>
              </w:rPr>
            </w:pPr>
            <w:r w:rsidRPr="00A23740">
              <w:rPr>
                <w:lang w:val="tr-TR"/>
              </w:rPr>
              <w:lastRenderedPageBreak/>
              <w:t>2 – Hukuku amme boçları:</w:t>
            </w:r>
          </w:p>
          <w:p w:rsidR="00155AF4" w:rsidRPr="00A23740" w:rsidRDefault="00155AF4" w:rsidP="009431FF">
            <w:pPr>
              <w:tabs>
                <w:tab w:val="left" w:pos="567"/>
              </w:tabs>
              <w:autoSpaceDE w:val="0"/>
              <w:autoSpaceDN w:val="0"/>
              <w:adjustRightInd w:val="0"/>
              <w:rPr>
                <w:rStyle w:val="KIRMIZIChar"/>
                <w:rFonts w:eastAsia="Calibri"/>
              </w:rPr>
            </w:pPr>
            <w:r w:rsidRPr="00A23740">
              <w:rPr>
                <w:rStyle w:val="KIRMIZIChar"/>
                <w:rFonts w:eastAsia="Calibri"/>
              </w:rPr>
              <w:t>Madde 47 – (1) Para cezasiyle diğer hukuku amme borçlarının</w:t>
            </w:r>
            <w:r w:rsidRPr="00A23740">
              <w:rPr>
                <w:szCs w:val="24"/>
              </w:rPr>
              <w:t xml:space="preserve"> takibi hakkındaki kanun</w:t>
            </w:r>
            <w:r w:rsidRPr="00A23740">
              <w:rPr>
                <w:rStyle w:val="KIRMIZIChar"/>
                <w:rFonts w:eastAsia="Calibri"/>
              </w:rPr>
              <w:t xml:space="preserve">lar </w:t>
            </w:r>
            <w:r w:rsidRPr="00A23740">
              <w:rPr>
                <w:rStyle w:val="karlan--Char"/>
                <w:rFonts w:eastAsia="Calibri"/>
              </w:rPr>
              <w:t xml:space="preserve">hükmü </w:t>
            </w:r>
            <w:r w:rsidRPr="00A23740">
              <w:rPr>
                <w:b/>
                <w:bCs/>
                <w:strike/>
                <w:color w:val="FF0000"/>
                <w:szCs w:val="24"/>
              </w:rPr>
              <w:t>mahfuzdur.</w:t>
            </w:r>
            <w:r w:rsidRPr="00A23740">
              <w:rPr>
                <w:szCs w:val="24"/>
              </w:rPr>
              <w:t xml:space="preserve"> </w:t>
            </w:r>
            <w:r w:rsidRPr="00A23740">
              <w:rPr>
                <w:b/>
                <w:bCs/>
                <w:strike/>
                <w:color w:val="FF0000"/>
                <w:szCs w:val="24"/>
              </w:rPr>
              <w:t xml:space="preserve">Şukadar </w:t>
            </w:r>
            <w:r w:rsidRPr="00A23740">
              <w:rPr>
                <w:rStyle w:val="KIRMIZIChar"/>
                <w:rFonts w:eastAsia="Calibri"/>
              </w:rPr>
              <w:t>ki, Devletin bir</w:t>
            </w:r>
            <w:r w:rsidRPr="00A23740">
              <w:rPr>
                <w:b/>
                <w:bCs/>
                <w:strike/>
                <w:color w:val="FF0000"/>
                <w:szCs w:val="24"/>
              </w:rPr>
              <w:t xml:space="preserve"> akitten veya</w:t>
            </w:r>
            <w:r w:rsidRPr="00A23740">
              <w:rPr>
                <w:szCs w:val="24"/>
              </w:rPr>
              <w:t xml:space="preserve"> </w:t>
            </w:r>
            <w:r w:rsidRPr="00A23740">
              <w:rPr>
                <w:b/>
                <w:bCs/>
                <w:strike/>
                <w:color w:val="FF0000"/>
                <w:szCs w:val="24"/>
              </w:rPr>
              <w:t>haksız bir fiilden</w:t>
            </w:r>
            <w:r w:rsidRPr="00A23740">
              <w:rPr>
                <w:szCs w:val="24"/>
              </w:rPr>
              <w:t xml:space="preserve"> doğan alacakları hakkında </w:t>
            </w:r>
            <w:r w:rsidRPr="00A23740">
              <w:rPr>
                <w:rStyle w:val="KIRMIZIChar"/>
                <w:rFonts w:eastAsia="Calibri"/>
              </w:rPr>
              <w:t>bu</w:t>
            </w:r>
            <w:r w:rsidRPr="00A23740">
              <w:rPr>
                <w:szCs w:val="24"/>
              </w:rPr>
              <w:t xml:space="preserve"> kanunun hükümleri </w:t>
            </w:r>
            <w:r w:rsidRPr="00A23740">
              <w:rPr>
                <w:rStyle w:val="KIRMIZIChar"/>
                <w:rFonts w:eastAsia="Calibri"/>
              </w:rPr>
              <w:t>cereyan eder.</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Mavi"/>
            </w:pPr>
            <w:r w:rsidRPr="00A23740">
              <w:rPr>
                <w:rStyle w:val="Yenieklenen--Char"/>
                <w:rFonts w:eastAsia="Calibri"/>
                <w:b/>
                <w:bCs/>
                <w:u w:val="none"/>
              </w:rPr>
              <w:t>Kamu alacakları</w:t>
            </w:r>
            <w:r w:rsidRPr="00A23740">
              <w:t xml:space="preserve"> </w:t>
            </w:r>
          </w:p>
          <w:p w:rsidR="00155AF4" w:rsidRPr="00A23740" w:rsidRDefault="00155AF4" w:rsidP="009431FF">
            <w:pPr>
              <w:tabs>
                <w:tab w:val="left" w:pos="567"/>
              </w:tabs>
              <w:autoSpaceDE w:val="0"/>
              <w:autoSpaceDN w:val="0"/>
              <w:adjustRightInd w:val="0"/>
              <w:rPr>
                <w:rStyle w:val="MaviChar"/>
              </w:rPr>
            </w:pPr>
            <w:r w:rsidRPr="00A23740">
              <w:rPr>
                <w:rStyle w:val="MaviChar"/>
                <w:lang w:val="tr-TR"/>
              </w:rPr>
              <w:t xml:space="preserve">MADDE </w:t>
            </w:r>
            <w:r w:rsidRPr="00A23740">
              <w:rPr>
                <w:rStyle w:val="MaviChar"/>
              </w:rPr>
              <w:t>8</w:t>
            </w:r>
            <w:r w:rsidRPr="00A23740">
              <w:rPr>
                <w:rStyle w:val="MaviChar"/>
                <w:lang w:val="tr-TR"/>
              </w:rPr>
              <w:t xml:space="preserve">3- (1) </w:t>
            </w:r>
            <w:r w:rsidRPr="00A23740">
              <w:rPr>
                <w:rStyle w:val="MaviChar"/>
              </w:rPr>
              <w:t>Kamu alacaklarının</w:t>
            </w:r>
            <w:r w:rsidRPr="00A23740">
              <w:rPr>
                <w:szCs w:val="24"/>
              </w:rPr>
              <w:t xml:space="preserve"> takibi hakkındaki </w:t>
            </w:r>
            <w:r w:rsidRPr="00A23740">
              <w:rPr>
                <w:rStyle w:val="MaviChar"/>
                <w:lang w:val="tr-TR"/>
              </w:rPr>
              <w:t>özel</w:t>
            </w:r>
            <w:r w:rsidRPr="00A23740">
              <w:rPr>
                <w:szCs w:val="24"/>
              </w:rPr>
              <w:t xml:space="preserve"> kanun </w:t>
            </w:r>
            <w:r w:rsidRPr="00A23740">
              <w:rPr>
                <w:rStyle w:val="MaviChar"/>
              </w:rPr>
              <w:t>hükümleri saklıdır.</w:t>
            </w:r>
          </w:p>
          <w:p w:rsidR="00C20C8B" w:rsidRPr="00A23740" w:rsidRDefault="00C20C8B"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color w:val="0000FF"/>
                <w:szCs w:val="24"/>
              </w:rPr>
            </w:pPr>
            <w:r w:rsidRPr="00A23740">
              <w:rPr>
                <w:rStyle w:val="MaviChar"/>
              </w:rPr>
              <w:t xml:space="preserve">(2) </w:t>
            </w:r>
            <w:r w:rsidR="00284D2B" w:rsidRPr="00A23740">
              <w:rPr>
                <w:rStyle w:val="MaviChar"/>
                <w:lang w:val="tr-TR"/>
              </w:rPr>
              <w:t xml:space="preserve">21/7/1953 tarihli ve </w:t>
            </w:r>
            <w:r w:rsidRPr="00A23740">
              <w:rPr>
                <w:rStyle w:val="MaviChar"/>
              </w:rPr>
              <w:t>6183 sayılı Amme Alacaklarının Tahsil Usulü Hakkında Kanuna t</w:t>
            </w:r>
            <w:r w:rsidR="00AC3A29" w:rsidRPr="00A23740">
              <w:rPr>
                <w:rStyle w:val="MaviChar"/>
                <w:lang w:val="tr-TR"/>
              </w:rPr>
              <w:t>a</w:t>
            </w:r>
            <w:r w:rsidRPr="00A23740">
              <w:rPr>
                <w:rStyle w:val="MaviChar"/>
              </w:rPr>
              <w:t xml:space="preserve">bi kurum ve kuruluşların sözleşmeden, haksız fiilden </w:t>
            </w:r>
            <w:r w:rsidRPr="00A23740">
              <w:rPr>
                <w:rStyle w:val="MaviChar"/>
                <w:lang w:val="tr-TR"/>
              </w:rPr>
              <w:t>veya</w:t>
            </w:r>
            <w:r w:rsidRPr="00A23740">
              <w:rPr>
                <w:rStyle w:val="MaviChar"/>
              </w:rPr>
              <w:t xml:space="preserve"> sebepsiz zenginleşmeden</w:t>
            </w:r>
            <w:r w:rsidRPr="00A23740">
              <w:rPr>
                <w:b/>
                <w:bCs/>
                <w:color w:val="0000FF"/>
                <w:szCs w:val="24"/>
              </w:rPr>
              <w:t xml:space="preserve"> </w:t>
            </w:r>
            <w:r w:rsidRPr="00A23740">
              <w:rPr>
                <w:szCs w:val="24"/>
              </w:rPr>
              <w:t>doğan alacakları hakkında,</w:t>
            </w:r>
            <w:r w:rsidR="00F04ED1" w:rsidRPr="00A23740">
              <w:rPr>
                <w:szCs w:val="24"/>
              </w:rPr>
              <w:t xml:space="preserve"> </w:t>
            </w:r>
            <w:r w:rsidR="00F04ED1" w:rsidRPr="00A23740">
              <w:rPr>
                <w:rStyle w:val="MaviChar"/>
              </w:rPr>
              <w:t>işbu</w:t>
            </w:r>
            <w:r w:rsidR="00F04ED1" w:rsidRPr="00A23740">
              <w:rPr>
                <w:szCs w:val="24"/>
              </w:rPr>
              <w:t xml:space="preserve"> </w:t>
            </w:r>
            <w:r w:rsidR="00F04ED1" w:rsidRPr="00A23740">
              <w:rPr>
                <w:rStyle w:val="MaviChar"/>
              </w:rPr>
              <w:t>Cebr</w:t>
            </w:r>
            <w:r w:rsidR="00940890" w:rsidRPr="00A23740">
              <w:rPr>
                <w:rStyle w:val="MaviChar"/>
                <w:lang w:val="tr-TR"/>
              </w:rPr>
              <w:t>î</w:t>
            </w:r>
            <w:r w:rsidR="00F04ED1" w:rsidRPr="00A23740">
              <w:rPr>
                <w:rStyle w:val="MaviChar"/>
              </w:rPr>
              <w:t xml:space="preserve"> </w:t>
            </w:r>
            <w:r w:rsidR="00F04ED1" w:rsidRPr="00A23740">
              <w:rPr>
                <w:rStyle w:val="MaviChar"/>
                <w:lang w:val="tr-TR"/>
              </w:rPr>
              <w:t>İ</w:t>
            </w:r>
            <w:r w:rsidR="00F04ED1" w:rsidRPr="00A23740">
              <w:rPr>
                <w:rStyle w:val="MaviChar"/>
              </w:rPr>
              <w:t>cra</w:t>
            </w:r>
            <w:r w:rsidR="00F04ED1" w:rsidRPr="00A23740">
              <w:rPr>
                <w:szCs w:val="24"/>
              </w:rPr>
              <w:t xml:space="preserve"> </w:t>
            </w:r>
            <w:r w:rsidRPr="00A23740">
              <w:rPr>
                <w:szCs w:val="24"/>
              </w:rPr>
              <w:t>Kanunu hükümleri</w:t>
            </w:r>
            <w:r w:rsidRPr="00A23740">
              <w:rPr>
                <w:b/>
                <w:bCs/>
                <w:color w:val="0000FF"/>
                <w:szCs w:val="24"/>
              </w:rPr>
              <w:t xml:space="preserve"> </w:t>
            </w:r>
            <w:r w:rsidRPr="00A23740">
              <w:rPr>
                <w:rStyle w:val="MaviChar"/>
              </w:rPr>
              <w:t>uygulanır.</w:t>
            </w:r>
          </w:p>
          <w:p w:rsidR="00155AF4" w:rsidRPr="00A23740" w:rsidRDefault="00155AF4" w:rsidP="009431FF">
            <w:pPr>
              <w:tabs>
                <w:tab w:val="left" w:pos="567"/>
              </w:tabs>
              <w:autoSpaceDE w:val="0"/>
              <w:autoSpaceDN w:val="0"/>
              <w:adjustRightInd w:val="0"/>
              <w:rPr>
                <w:b/>
                <w:bCs/>
                <w:strike/>
                <w:color w:val="FF0000"/>
                <w:szCs w:val="24"/>
              </w:rPr>
            </w:pPr>
          </w:p>
        </w:tc>
      </w:tr>
      <w:tr w:rsidR="00155AF4" w:rsidRPr="00A23740" w:rsidTr="009431FF">
        <w:tc>
          <w:tcPr>
            <w:tcW w:w="5000" w:type="pct"/>
            <w:gridSpan w:val="2"/>
            <w:shd w:val="clear" w:color="auto" w:fill="DEEAF6"/>
          </w:tcPr>
          <w:p w:rsidR="003D0D0A" w:rsidRPr="00A23740" w:rsidRDefault="003D0D0A" w:rsidP="009431FF">
            <w:pPr>
              <w:pStyle w:val="Mavi"/>
              <w:ind w:firstLine="709"/>
              <w:rPr>
                <w:color w:val="auto"/>
                <w:lang w:val="tr-TR"/>
              </w:rPr>
            </w:pPr>
          </w:p>
          <w:p w:rsidR="00DB2C16" w:rsidRPr="00A23740" w:rsidRDefault="00155AF4" w:rsidP="009431FF">
            <w:pPr>
              <w:tabs>
                <w:tab w:val="left" w:pos="567"/>
              </w:tabs>
              <w:autoSpaceDE w:val="0"/>
              <w:autoSpaceDN w:val="0"/>
              <w:adjustRightInd w:val="0"/>
              <w:ind w:firstLine="709"/>
              <w:rPr>
                <w:szCs w:val="24"/>
              </w:rPr>
            </w:pPr>
            <w:r w:rsidRPr="00A23740">
              <w:rPr>
                <w:b/>
              </w:rPr>
              <w:t>M</w:t>
            </w:r>
            <w:r w:rsidR="00F04ED1" w:rsidRPr="00A23740">
              <w:rPr>
                <w:b/>
              </w:rPr>
              <w:t>ADDE 83</w:t>
            </w:r>
            <w:r w:rsidR="003D0D0A" w:rsidRPr="00A23740">
              <w:t xml:space="preserve">- </w:t>
            </w:r>
            <w:r w:rsidR="003D0D0A" w:rsidRPr="00A23740">
              <w:rPr>
                <w:szCs w:val="24"/>
              </w:rPr>
              <w:t xml:space="preserve">Maddeyle, kamu alacaklarının takibi hakkında uygulanacak hükümler düzenlenmektedir. </w:t>
            </w:r>
            <w:r w:rsidR="00DB2C16" w:rsidRPr="00A23740">
              <w:rPr>
                <w:szCs w:val="24"/>
              </w:rPr>
              <w:t>Taslağın 83 üncü maddesi “Kamu alacakları” başlığını taşımakta olup</w:t>
            </w:r>
            <w:r w:rsidR="00940890" w:rsidRPr="00A23740">
              <w:rPr>
                <w:szCs w:val="24"/>
              </w:rPr>
              <w:t>,</w:t>
            </w:r>
            <w:r w:rsidR="00DB2C16" w:rsidRPr="00A23740">
              <w:rPr>
                <w:szCs w:val="24"/>
              </w:rPr>
              <w:t xml:space="preserve"> </w:t>
            </w:r>
            <w:r w:rsidR="00F04ED1" w:rsidRPr="00A23740">
              <w:rPr>
                <w:szCs w:val="24"/>
              </w:rPr>
              <w:t>2004 sayılı K</w:t>
            </w:r>
            <w:r w:rsidR="00DB2C16" w:rsidRPr="00A23740">
              <w:rPr>
                <w:szCs w:val="24"/>
              </w:rPr>
              <w:t xml:space="preserve">anunun 47 nci maddesinin karşılığıdır. </w:t>
            </w:r>
          </w:p>
          <w:p w:rsidR="00DB2C16" w:rsidRPr="00A23740" w:rsidRDefault="00DB2C16" w:rsidP="009431FF">
            <w:pPr>
              <w:tabs>
                <w:tab w:val="left" w:pos="567"/>
              </w:tabs>
              <w:autoSpaceDE w:val="0"/>
              <w:autoSpaceDN w:val="0"/>
              <w:adjustRightInd w:val="0"/>
              <w:ind w:firstLine="709"/>
              <w:rPr>
                <w:szCs w:val="24"/>
              </w:rPr>
            </w:pPr>
            <w:r w:rsidRPr="00A23740">
              <w:rPr>
                <w:szCs w:val="24"/>
              </w:rPr>
              <w:t>Yeniden kaleme alınan maddede esas itibarıyla yürürlükteki hüküm ile farklılık yoktur. Sadece ikinci fıkra h</w:t>
            </w:r>
            <w:r w:rsidR="002F2BAA" w:rsidRPr="00A23740">
              <w:rPr>
                <w:szCs w:val="24"/>
              </w:rPr>
              <w:t>â</w:t>
            </w:r>
            <w:r w:rsidRPr="00A23740">
              <w:rPr>
                <w:szCs w:val="24"/>
              </w:rPr>
              <w:t>line getirilen ikinci cümlede kamu kurum ve kuruluşlarının haksız fiil ve sözleşme yanında sebepsiz zenginleşmeden doğan alacaklarının da Cebr</w:t>
            </w:r>
            <w:r w:rsidR="00940890" w:rsidRPr="00A23740">
              <w:rPr>
                <w:szCs w:val="24"/>
              </w:rPr>
              <w:t>î</w:t>
            </w:r>
            <w:r w:rsidRPr="00A23740">
              <w:rPr>
                <w:szCs w:val="24"/>
              </w:rPr>
              <w:t xml:space="preserve"> İcra Kanununa göre tahsil edileceği açıklığa kavuştu</w:t>
            </w:r>
            <w:r w:rsidR="00F04ED1" w:rsidRPr="00A23740">
              <w:rPr>
                <w:szCs w:val="24"/>
              </w:rPr>
              <w:t>rulmuştur.</w:t>
            </w:r>
          </w:p>
          <w:p w:rsidR="003D0D0A" w:rsidRPr="00A23740" w:rsidRDefault="003D0D0A"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A82AA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Zabıt</w:t>
            </w:r>
            <w:r w:rsidRPr="00A23740">
              <w:rPr>
                <w:i/>
                <w:iCs/>
                <w:szCs w:val="24"/>
              </w:rPr>
              <w:t xml:space="preserve"> ve müsadere edilen eşyanın paraya çevrilmesi</w:t>
            </w:r>
            <w:r w:rsidRPr="00A23740">
              <w:rPr>
                <w:b/>
                <w:bCs/>
                <w:strike/>
                <w:color w:val="FF0000"/>
                <w:szCs w:val="24"/>
              </w:rPr>
              <w:t>:</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 xml:space="preserve">Madde 48 </w:t>
            </w:r>
            <w:r w:rsidRPr="00A23740">
              <w:rPr>
                <w:rStyle w:val="KIRMIZIChar"/>
                <w:rFonts w:eastAsia="Calibri"/>
              </w:rPr>
              <w:t>– (1)</w:t>
            </w:r>
            <w:r w:rsidRPr="00A23740">
              <w:rPr>
                <w:b/>
                <w:bCs/>
                <w:szCs w:val="24"/>
              </w:rPr>
              <w:t xml:space="preserve"> </w:t>
            </w:r>
            <w:r w:rsidRPr="00A23740">
              <w:rPr>
                <w:szCs w:val="24"/>
              </w:rPr>
              <w:t>Devlet</w:t>
            </w:r>
            <w:r w:rsidRPr="00A23740">
              <w:rPr>
                <w:b/>
                <w:bCs/>
                <w:strike/>
                <w:color w:val="FF0000"/>
                <w:szCs w:val="24"/>
              </w:rPr>
              <w:t>in cezai ve mali kanunları mucibince zabıt ve</w:t>
            </w:r>
            <w:r w:rsidRPr="00A23740">
              <w:rPr>
                <w:szCs w:val="24"/>
              </w:rPr>
              <w:t xml:space="preserve"> müsadere </w:t>
            </w:r>
            <w:r w:rsidRPr="00A23740">
              <w:rPr>
                <w:b/>
                <w:bCs/>
                <w:strike/>
                <w:color w:val="FF0000"/>
                <w:szCs w:val="24"/>
              </w:rPr>
              <w:t>edilmiş olan şeylerin</w:t>
            </w:r>
            <w:r w:rsidRPr="00A23740">
              <w:rPr>
                <w:szCs w:val="24"/>
              </w:rPr>
              <w:t xml:space="preserve"> paraya çevrilmesi </w:t>
            </w:r>
            <w:r w:rsidRPr="00A23740">
              <w:rPr>
                <w:b/>
                <w:bCs/>
                <w:strike/>
                <w:color w:val="FF0000"/>
                <w:szCs w:val="24"/>
              </w:rPr>
              <w:t>o</w:t>
            </w:r>
            <w:r w:rsidRPr="00A23740">
              <w:rPr>
                <w:szCs w:val="24"/>
              </w:rPr>
              <w:t xml:space="preserve"> kanun</w:t>
            </w:r>
            <w:r w:rsidRPr="00A23740">
              <w:rPr>
                <w:b/>
                <w:bCs/>
                <w:strike/>
                <w:color w:val="FF0000"/>
                <w:szCs w:val="24"/>
              </w:rPr>
              <w:t>ların</w:t>
            </w:r>
            <w:r w:rsidRPr="00A23740">
              <w:rPr>
                <w:szCs w:val="24"/>
              </w:rPr>
              <w:t xml:space="preserve"> hükümlerine göre yapılır.</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b/>
                <w:bCs/>
                <w:color w:val="0000FF"/>
                <w:szCs w:val="24"/>
              </w:rPr>
            </w:pPr>
            <w:r w:rsidRPr="00A23740">
              <w:rPr>
                <w:rStyle w:val="MaviChar"/>
              </w:rPr>
              <w:t>El konulan</w:t>
            </w:r>
            <w:r w:rsidRPr="00A23740">
              <w:rPr>
                <w:b/>
                <w:bCs/>
                <w:color w:val="0000FF"/>
                <w:szCs w:val="24"/>
              </w:rPr>
              <w:t xml:space="preserve"> </w:t>
            </w:r>
            <w:r w:rsidRPr="00A23740">
              <w:rPr>
                <w:b/>
                <w:bCs/>
                <w:szCs w:val="24"/>
              </w:rPr>
              <w:t>ve müsadere edilen eşyanın paraya çevrilmesi</w:t>
            </w:r>
          </w:p>
          <w:p w:rsidR="00155AF4" w:rsidRPr="00A23740" w:rsidRDefault="00155AF4" w:rsidP="009431FF">
            <w:pPr>
              <w:tabs>
                <w:tab w:val="left" w:pos="567"/>
              </w:tabs>
              <w:autoSpaceDE w:val="0"/>
              <w:autoSpaceDN w:val="0"/>
              <w:adjustRightInd w:val="0"/>
              <w:rPr>
                <w:b/>
                <w:bCs/>
                <w:color w:val="0000FF"/>
                <w:szCs w:val="24"/>
              </w:rPr>
            </w:pPr>
            <w:r w:rsidRPr="00A23740">
              <w:rPr>
                <w:rStyle w:val="MaviChar"/>
              </w:rPr>
              <w:t>MADDE 84- (1)</w:t>
            </w:r>
            <w:r w:rsidRPr="00A23740">
              <w:rPr>
                <w:b/>
                <w:bCs/>
                <w:color w:val="0000FF"/>
                <w:szCs w:val="24"/>
              </w:rPr>
              <w:t xml:space="preserve"> </w:t>
            </w:r>
            <w:r w:rsidRPr="00A23740">
              <w:rPr>
                <w:szCs w:val="24"/>
              </w:rPr>
              <w:t>Devlet</w:t>
            </w:r>
            <w:r w:rsidRPr="00A23740">
              <w:rPr>
                <w:b/>
                <w:bCs/>
                <w:color w:val="0000FF"/>
                <w:szCs w:val="24"/>
              </w:rPr>
              <w:t xml:space="preserve"> </w:t>
            </w:r>
            <w:r w:rsidRPr="00A23740">
              <w:rPr>
                <w:rStyle w:val="MaviChar"/>
              </w:rPr>
              <w:t>tarafından el konulan ve</w:t>
            </w:r>
            <w:r w:rsidRPr="00A23740">
              <w:rPr>
                <w:rStyle w:val="MaviChar"/>
                <w:lang w:val="tr-TR"/>
              </w:rPr>
              <w:t>ya</w:t>
            </w:r>
            <w:r w:rsidRPr="00A23740">
              <w:rPr>
                <w:rStyle w:val="MaviChar"/>
              </w:rPr>
              <w:t xml:space="preserve"> </w:t>
            </w:r>
            <w:r w:rsidRPr="00A23740">
              <w:rPr>
                <w:szCs w:val="24"/>
              </w:rPr>
              <w:t>müsadere</w:t>
            </w:r>
            <w:r w:rsidRPr="00A23740">
              <w:rPr>
                <w:b/>
                <w:bCs/>
                <w:color w:val="0000FF"/>
                <w:szCs w:val="24"/>
              </w:rPr>
              <w:t xml:space="preserve"> </w:t>
            </w:r>
            <w:r w:rsidRPr="00A23740">
              <w:rPr>
                <w:rStyle w:val="MaviChar"/>
              </w:rPr>
              <w:t>edilen eşyanın</w:t>
            </w:r>
            <w:r w:rsidRPr="00A23740">
              <w:rPr>
                <w:b/>
                <w:bCs/>
                <w:color w:val="0000FF"/>
                <w:szCs w:val="24"/>
              </w:rPr>
              <w:t xml:space="preserve"> </w:t>
            </w:r>
            <w:r w:rsidRPr="00A23740">
              <w:rPr>
                <w:szCs w:val="24"/>
              </w:rPr>
              <w:t>paraya çevrilmesi</w:t>
            </w:r>
            <w:r w:rsidRPr="00A23740">
              <w:rPr>
                <w:rStyle w:val="MaviChar"/>
              </w:rPr>
              <w:t>, ilgili</w:t>
            </w:r>
            <w:r w:rsidRPr="00A23740">
              <w:rPr>
                <w:b/>
                <w:bCs/>
                <w:color w:val="0000FF"/>
                <w:szCs w:val="24"/>
              </w:rPr>
              <w:t xml:space="preserve"> </w:t>
            </w:r>
            <w:r w:rsidRPr="00A23740">
              <w:rPr>
                <w:szCs w:val="24"/>
              </w:rPr>
              <w:t>kanun hükümlerine göre yapılır.</w:t>
            </w:r>
          </w:p>
          <w:p w:rsidR="00155AF4" w:rsidRPr="00A23740" w:rsidRDefault="00155AF4" w:rsidP="009431FF">
            <w:pPr>
              <w:autoSpaceDE w:val="0"/>
              <w:autoSpaceDN w:val="0"/>
              <w:adjustRightInd w:val="0"/>
              <w:rPr>
                <w:b/>
                <w:bCs/>
                <w:color w:val="FF0000"/>
                <w:szCs w:val="24"/>
              </w:rPr>
            </w:pPr>
          </w:p>
        </w:tc>
      </w:tr>
      <w:tr w:rsidR="00155AF4" w:rsidRPr="00A23740" w:rsidTr="009431FF">
        <w:tc>
          <w:tcPr>
            <w:tcW w:w="5000" w:type="pct"/>
            <w:gridSpan w:val="2"/>
            <w:shd w:val="clear" w:color="auto" w:fill="DEEAF6"/>
          </w:tcPr>
          <w:p w:rsidR="00D45583" w:rsidRPr="00A23740" w:rsidRDefault="00D45583" w:rsidP="009431FF">
            <w:pPr>
              <w:pStyle w:val="Mavi"/>
              <w:ind w:firstLine="709"/>
              <w:rPr>
                <w:color w:val="auto"/>
                <w:lang w:val="tr-TR"/>
              </w:rPr>
            </w:pPr>
          </w:p>
          <w:p w:rsidR="00DB2C16" w:rsidRPr="00A23740" w:rsidRDefault="00155AF4" w:rsidP="009431FF">
            <w:pPr>
              <w:tabs>
                <w:tab w:val="left" w:pos="567"/>
              </w:tabs>
              <w:autoSpaceDE w:val="0"/>
              <w:autoSpaceDN w:val="0"/>
              <w:adjustRightInd w:val="0"/>
              <w:ind w:firstLine="709"/>
              <w:rPr>
                <w:color w:val="7030A0"/>
                <w:szCs w:val="24"/>
                <w:lang w:eastAsia="x-none"/>
              </w:rPr>
            </w:pPr>
            <w:r w:rsidRPr="00A23740">
              <w:rPr>
                <w:b/>
              </w:rPr>
              <w:t>M</w:t>
            </w:r>
            <w:r w:rsidR="00F04ED1" w:rsidRPr="00A23740">
              <w:rPr>
                <w:b/>
              </w:rPr>
              <w:t>ADDE 84</w:t>
            </w:r>
            <w:r w:rsidR="00D45583" w:rsidRPr="00A23740">
              <w:t>- Maddeyle</w:t>
            </w:r>
            <w:r w:rsidR="00D45583" w:rsidRPr="00A23740">
              <w:rPr>
                <w:szCs w:val="24"/>
              </w:rPr>
              <w:t>, el konulan ve müsadere edi</w:t>
            </w:r>
            <w:r w:rsidR="009754EB" w:rsidRPr="00A23740">
              <w:rPr>
                <w:szCs w:val="24"/>
              </w:rPr>
              <w:t xml:space="preserve">len eşyanın paraya çevrilmesi hususu </w:t>
            </w:r>
            <w:r w:rsidR="00D45583" w:rsidRPr="00A23740">
              <w:rPr>
                <w:szCs w:val="24"/>
              </w:rPr>
              <w:t xml:space="preserve">düzenlenmektedir. </w:t>
            </w:r>
            <w:r w:rsidR="00DB2C16" w:rsidRPr="00A23740">
              <w:rPr>
                <w:bCs/>
              </w:rPr>
              <w:t xml:space="preserve">Taslağın 84 üncü maddesi “El konulan ve müsadere edilen eşyanın paraya çevrilmesi” başlığını taşımakta olup </w:t>
            </w:r>
            <w:r w:rsidR="00940890" w:rsidRPr="006D2E3C">
              <w:rPr>
                <w:rStyle w:val="KonuBalChar"/>
                <w:rFonts w:eastAsia="Calibri"/>
                <w:b w:val="0"/>
                <w:color w:val="auto"/>
              </w:rPr>
              <w:t>2004 sayılı Kanunun</w:t>
            </w:r>
            <w:r w:rsidR="00940890" w:rsidRPr="00A23740">
              <w:rPr>
                <w:bCs/>
              </w:rPr>
              <w:t xml:space="preserve"> </w:t>
            </w:r>
            <w:r w:rsidR="00DB2C16" w:rsidRPr="00A23740">
              <w:rPr>
                <w:bCs/>
              </w:rPr>
              <w:t>48 inci maddesinin karşılığıdır.</w:t>
            </w:r>
          </w:p>
          <w:p w:rsidR="00DB2C16" w:rsidRPr="00A23740" w:rsidRDefault="00DB2C16" w:rsidP="009431FF">
            <w:pPr>
              <w:tabs>
                <w:tab w:val="left" w:pos="567"/>
              </w:tabs>
              <w:autoSpaceDE w:val="0"/>
              <w:autoSpaceDN w:val="0"/>
              <w:adjustRightInd w:val="0"/>
              <w:ind w:firstLine="709"/>
              <w:rPr>
                <w:bCs/>
              </w:rPr>
            </w:pPr>
            <w:r w:rsidRPr="00A23740">
              <w:rPr>
                <w:bCs/>
              </w:rPr>
              <w:t>Tek fıkradan oluşan bu maddede, Devlet tarafından el konulan veya müsadere edilen eşyanın paraya çevrilmesi hakkında, ilgili kanun hükümlerinin u</w:t>
            </w:r>
            <w:r w:rsidR="00F04ED1" w:rsidRPr="00A23740">
              <w:rPr>
                <w:bCs/>
              </w:rPr>
              <w:t>ygulanacağı kabul edilmektedir.</w:t>
            </w:r>
          </w:p>
          <w:p w:rsidR="00D45583" w:rsidRPr="00A23740" w:rsidRDefault="00F04ED1" w:rsidP="009431FF">
            <w:pPr>
              <w:tabs>
                <w:tab w:val="left" w:pos="567"/>
              </w:tabs>
              <w:autoSpaceDE w:val="0"/>
              <w:autoSpaceDN w:val="0"/>
              <w:adjustRightInd w:val="0"/>
              <w:ind w:firstLine="709"/>
            </w:pPr>
            <w:r w:rsidRPr="00A23740">
              <w:rPr>
                <w:bCs/>
              </w:rPr>
              <w:t>Bilim Komisyonu</w:t>
            </w:r>
            <w:r w:rsidR="00DB2C16" w:rsidRPr="00A23740">
              <w:rPr>
                <w:bCs/>
              </w:rPr>
              <w:t xml:space="preserve">nda maddeye </w:t>
            </w:r>
            <w:r w:rsidR="00940890" w:rsidRPr="00A23740">
              <w:rPr>
                <w:bCs/>
              </w:rPr>
              <w:t>“</w:t>
            </w:r>
            <w:r w:rsidR="00DB2C16" w:rsidRPr="00A23740">
              <w:rPr>
                <w:bCs/>
              </w:rPr>
              <w:t>iyiniyetli kişilerin o eşya üzerinde daha önce kazanmış olduğu haklar dikkate alınarak</w:t>
            </w:r>
            <w:r w:rsidR="00940890" w:rsidRPr="00A23740">
              <w:rPr>
                <w:bCs/>
              </w:rPr>
              <w:t>”</w:t>
            </w:r>
            <w:r w:rsidR="00DB2C16" w:rsidRPr="00A23740">
              <w:rPr>
                <w:bCs/>
              </w:rPr>
              <w:t xml:space="preserve"> şeklinde bir ilave yapılması tartışıl</w:t>
            </w:r>
            <w:r w:rsidR="00BD7A48" w:rsidRPr="00A23740">
              <w:rPr>
                <w:bCs/>
              </w:rPr>
              <w:t>mış, fakat bu ilavenin yerinin “</w:t>
            </w:r>
            <w:r w:rsidR="00DB2C16" w:rsidRPr="00A23740">
              <w:rPr>
                <w:bCs/>
              </w:rPr>
              <w:t>ilgili kanunlar</w:t>
            </w:r>
            <w:r w:rsidR="00BD7A48" w:rsidRPr="00A23740">
              <w:rPr>
                <w:bCs/>
              </w:rPr>
              <w:t>”</w:t>
            </w:r>
            <w:r w:rsidR="00DB2C16" w:rsidRPr="00A23740">
              <w:rPr>
                <w:bCs/>
              </w:rPr>
              <w:t xml:space="preserve"> olduğu göz önüne alınarak madde metni</w:t>
            </w:r>
            <w:r w:rsidR="00F81AF1" w:rsidRPr="00A23740">
              <w:rPr>
                <w:bCs/>
              </w:rPr>
              <w:t>,</w:t>
            </w:r>
            <w:r w:rsidR="00DB2C16" w:rsidRPr="00A23740">
              <w:rPr>
                <w:bCs/>
              </w:rPr>
              <w:t xml:space="preserve"> dili sadeleştirilerek aynen muhafaza edilmiştir.</w:t>
            </w: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b/>
                <w:bCs/>
                <w:strike/>
                <w:color w:val="FF0000"/>
                <w:szCs w:val="24"/>
              </w:rPr>
            </w:pPr>
            <w:r w:rsidRPr="00A23740">
              <w:rPr>
                <w:b/>
                <w:bCs/>
                <w:strike/>
                <w:color w:val="FF0000"/>
                <w:szCs w:val="24"/>
              </w:rPr>
              <w:lastRenderedPageBreak/>
              <w:t>Rehin karşılığı ödünç verenler:</w:t>
            </w:r>
          </w:p>
          <w:p w:rsidR="00155AF4" w:rsidRPr="00A23740" w:rsidRDefault="00155AF4" w:rsidP="009431FF">
            <w:pPr>
              <w:autoSpaceDE w:val="0"/>
              <w:autoSpaceDN w:val="0"/>
              <w:adjustRightInd w:val="0"/>
              <w:rPr>
                <w:b/>
                <w:bCs/>
                <w:strike/>
                <w:color w:val="FF0000"/>
                <w:szCs w:val="24"/>
              </w:rPr>
            </w:pPr>
            <w:r w:rsidRPr="00A23740">
              <w:rPr>
                <w:b/>
                <w:bCs/>
                <w:strike/>
                <w:color w:val="FF0000"/>
                <w:szCs w:val="24"/>
              </w:rPr>
              <w:t>Madde 49 – (1) (Değişik: 18/2/1965 - 538/23 md.)</w:t>
            </w:r>
          </w:p>
          <w:p w:rsidR="00155AF4" w:rsidRPr="00A23740" w:rsidRDefault="00155AF4" w:rsidP="009431FF">
            <w:pPr>
              <w:autoSpaceDE w:val="0"/>
              <w:autoSpaceDN w:val="0"/>
              <w:adjustRightInd w:val="0"/>
              <w:rPr>
                <w:b/>
                <w:bCs/>
                <w:strike/>
                <w:color w:val="FF0000"/>
                <w:szCs w:val="24"/>
              </w:rPr>
            </w:pPr>
            <w:r w:rsidRPr="00A23740">
              <w:rPr>
                <w:b/>
                <w:bCs/>
                <w:strike/>
                <w:color w:val="FF0000"/>
                <w:szCs w:val="24"/>
              </w:rPr>
              <w:t>Rehin karşılığı yapılan ödünç verme işlerinde Medeni Kanun ile Türkiye Cumhuriyeti Ziraat Bankası ve Türkiye Emlak Kredi Bankasının özel kanunlarında paraya çevirmeye dair hükümleri saklıdır.</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tabs>
                <w:tab w:val="left" w:pos="567"/>
              </w:tabs>
              <w:autoSpaceDE w:val="0"/>
              <w:autoSpaceDN w:val="0"/>
              <w:adjustRightInd w:val="0"/>
              <w:rPr>
                <w:b/>
                <w:bCs/>
                <w:color w:val="FF0000"/>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Mavi"/>
              <w:rPr>
                <w:lang w:val="tr-TR"/>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Mavi"/>
            </w:pPr>
            <w:r w:rsidRPr="00A23740">
              <w:t>İlamsız takipte teminat gösterilmesi</w:t>
            </w:r>
          </w:p>
          <w:p w:rsidR="00155AF4" w:rsidRPr="00A23740" w:rsidRDefault="00155AF4" w:rsidP="009431FF">
            <w:pPr>
              <w:pStyle w:val="YEL"/>
              <w:rPr>
                <w:lang w:val="tr-TR"/>
              </w:rPr>
            </w:pPr>
            <w:r w:rsidRPr="00A23740">
              <w:rPr>
                <w:bCs/>
                <w:color w:val="0000FF"/>
                <w:lang w:val="tr-TR" w:eastAsia="x-none"/>
              </w:rPr>
              <w:t xml:space="preserve">MADDE </w:t>
            </w:r>
            <w:r w:rsidRPr="00A23740">
              <w:rPr>
                <w:rStyle w:val="MaviChar"/>
                <w:b/>
              </w:rPr>
              <w:t>85- (1) Türkiye’de mutad meskeni olmayan Türk vatandaşının ilamsız icra takibi yapması h</w:t>
            </w:r>
            <w:r w:rsidR="002F2BAA" w:rsidRPr="00A23740">
              <w:rPr>
                <w:rStyle w:val="MaviChar"/>
                <w:b/>
                <w:lang w:val="tr-TR"/>
              </w:rPr>
              <w:t>â</w:t>
            </w:r>
            <w:r w:rsidRPr="00A23740">
              <w:rPr>
                <w:rStyle w:val="MaviChar"/>
                <w:b/>
              </w:rPr>
              <w:t xml:space="preserve">linde Hukuk Muhakemeleri Kanunu; yabancı gerçek ve tüzel kişilerin ilamsız icra takibi </w:t>
            </w:r>
            <w:r w:rsidR="00B65D2E" w:rsidRPr="006D2E3C">
              <w:rPr>
                <w:rStyle w:val="MaviChar"/>
                <w:b/>
              </w:rPr>
              <w:t>yapmaları</w:t>
            </w:r>
            <w:r w:rsidR="00B65D2E" w:rsidRPr="00A23740">
              <w:rPr>
                <w:rStyle w:val="MaviChar"/>
                <w:b/>
                <w:color w:val="538135"/>
              </w:rPr>
              <w:t xml:space="preserve"> </w:t>
            </w:r>
            <w:r w:rsidRPr="00A23740">
              <w:rPr>
                <w:rStyle w:val="MaviChar"/>
                <w:b/>
              </w:rPr>
              <w:t>h</w:t>
            </w:r>
            <w:r w:rsidR="002F2BAA" w:rsidRPr="00A23740">
              <w:rPr>
                <w:rStyle w:val="MaviChar"/>
                <w:b/>
                <w:lang w:val="tr-TR"/>
              </w:rPr>
              <w:t>â</w:t>
            </w:r>
            <w:r w:rsidRPr="00A23740">
              <w:rPr>
                <w:rStyle w:val="MaviChar"/>
                <w:b/>
              </w:rPr>
              <w:t xml:space="preserve">linde ise </w:t>
            </w:r>
            <w:r w:rsidR="00B66AD6" w:rsidRPr="00A23740">
              <w:rPr>
                <w:rStyle w:val="MaviChar"/>
                <w:b/>
                <w:lang w:val="tr-TR"/>
              </w:rPr>
              <w:t xml:space="preserve">27/11/2007 tarihli ve 5718 sayılı </w:t>
            </w:r>
            <w:r w:rsidRPr="00A23740">
              <w:rPr>
                <w:rStyle w:val="MaviChar"/>
                <w:b/>
              </w:rPr>
              <w:t xml:space="preserve">Milletlerarası Özel Hukuk ve Usul Hukuku Hakkında Kanun uyarınca </w:t>
            </w:r>
            <w:r w:rsidR="00B65D2E" w:rsidRPr="006D2E3C">
              <w:rPr>
                <w:rStyle w:val="MaviChar"/>
                <w:b/>
              </w:rPr>
              <w:t>göstermeleri</w:t>
            </w:r>
            <w:r w:rsidR="00B65D2E" w:rsidRPr="00A23740">
              <w:rPr>
                <w:rStyle w:val="MaviChar"/>
                <w:b/>
                <w:color w:val="538135"/>
              </w:rPr>
              <w:t xml:space="preserve"> </w:t>
            </w:r>
            <w:r w:rsidRPr="00A23740">
              <w:rPr>
                <w:rStyle w:val="MaviChar"/>
                <w:b/>
              </w:rPr>
              <w:t>gereken teminatın cins</w:t>
            </w:r>
            <w:r w:rsidR="00821A53" w:rsidRPr="00A23740">
              <w:rPr>
                <w:rStyle w:val="MaviChar"/>
                <w:b/>
                <w:lang w:val="tr-TR"/>
              </w:rPr>
              <w:t>i</w:t>
            </w:r>
            <w:r w:rsidRPr="00A23740">
              <w:rPr>
                <w:rStyle w:val="MaviChar"/>
                <w:b/>
              </w:rPr>
              <w:t>, tutar</w:t>
            </w:r>
            <w:r w:rsidR="00821A53" w:rsidRPr="00A23740">
              <w:rPr>
                <w:rStyle w:val="MaviChar"/>
                <w:b/>
                <w:lang w:val="tr-TR"/>
              </w:rPr>
              <w:t>ı</w:t>
            </w:r>
            <w:r w:rsidRPr="00A23740">
              <w:rPr>
                <w:rStyle w:val="MaviChar"/>
                <w:b/>
              </w:rPr>
              <w:t xml:space="preserve"> ve şekli icra ve iflas</w:t>
            </w:r>
            <w:r w:rsidRPr="00A23740">
              <w:rPr>
                <w:rStyle w:val="MaviChar"/>
                <w:b/>
                <w:lang w:val="tr-TR"/>
              </w:rPr>
              <w:t xml:space="preserve"> </w:t>
            </w:r>
            <w:r w:rsidRPr="00A23740">
              <w:rPr>
                <w:rStyle w:val="MaviChar"/>
                <w:b/>
              </w:rPr>
              <w:t>dairesi tarafından takdir edilir.</w:t>
            </w:r>
          </w:p>
          <w:p w:rsidR="00155AF4" w:rsidRPr="00A23740" w:rsidRDefault="00155AF4" w:rsidP="009431FF">
            <w:pPr>
              <w:pStyle w:val="AltKonuBal"/>
            </w:pPr>
          </w:p>
        </w:tc>
      </w:tr>
      <w:tr w:rsidR="00155AF4" w:rsidRPr="00A23740" w:rsidTr="009431FF">
        <w:tc>
          <w:tcPr>
            <w:tcW w:w="5000" w:type="pct"/>
            <w:gridSpan w:val="2"/>
            <w:shd w:val="clear" w:color="auto" w:fill="DEEAF6"/>
          </w:tcPr>
          <w:p w:rsidR="0043251D" w:rsidRPr="00A23740" w:rsidRDefault="0043251D" w:rsidP="009431FF">
            <w:pPr>
              <w:pStyle w:val="Mavi"/>
              <w:ind w:firstLine="709"/>
              <w:rPr>
                <w:color w:val="auto"/>
                <w:lang w:val="tr-TR"/>
              </w:rPr>
            </w:pPr>
          </w:p>
          <w:p w:rsidR="00155AF4" w:rsidRPr="00A23740" w:rsidRDefault="00821A53" w:rsidP="009431FF">
            <w:pPr>
              <w:tabs>
                <w:tab w:val="left" w:pos="567"/>
              </w:tabs>
              <w:autoSpaceDE w:val="0"/>
              <w:autoSpaceDN w:val="0"/>
              <w:adjustRightInd w:val="0"/>
              <w:ind w:firstLine="709"/>
              <w:rPr>
                <w:szCs w:val="24"/>
              </w:rPr>
            </w:pPr>
            <w:r w:rsidRPr="00A23740">
              <w:rPr>
                <w:b/>
              </w:rPr>
              <w:t>MADDE 85</w:t>
            </w:r>
            <w:r w:rsidR="00155AF4" w:rsidRPr="00A23740">
              <w:t xml:space="preserve">- </w:t>
            </w:r>
            <w:r w:rsidRPr="00A23740">
              <w:rPr>
                <w:szCs w:val="24"/>
              </w:rPr>
              <w:t xml:space="preserve">Maddeyle, ilamsız takip yapabilmek için </w:t>
            </w:r>
            <w:r w:rsidR="0043251D" w:rsidRPr="00A23740">
              <w:rPr>
                <w:szCs w:val="24"/>
              </w:rPr>
              <w:t>teminat gösterilmesi</w:t>
            </w:r>
            <w:r w:rsidRPr="00A23740">
              <w:rPr>
                <w:szCs w:val="24"/>
              </w:rPr>
              <w:t xml:space="preserve"> gereken durumlar </w:t>
            </w:r>
            <w:r w:rsidR="0043251D" w:rsidRPr="00A23740">
              <w:rPr>
                <w:szCs w:val="24"/>
              </w:rPr>
              <w:t>düzenlenmektedir.</w:t>
            </w:r>
          </w:p>
          <w:p w:rsidR="00DB2C16" w:rsidRPr="00A23740" w:rsidRDefault="00DB2C16" w:rsidP="009431FF">
            <w:pPr>
              <w:tabs>
                <w:tab w:val="left" w:pos="567"/>
              </w:tabs>
              <w:autoSpaceDE w:val="0"/>
              <w:autoSpaceDN w:val="0"/>
              <w:adjustRightInd w:val="0"/>
              <w:ind w:firstLine="709"/>
              <w:rPr>
                <w:bCs/>
              </w:rPr>
            </w:pPr>
            <w:r w:rsidRPr="00A23740">
              <w:rPr>
                <w:bCs/>
              </w:rPr>
              <w:t xml:space="preserve">Taslağın 85 inci maddesi Türkiye’de mutad meskeni olmayan Türk vatandaşının ve yabancı gerçek ve tüzel kişilerin ilamsız icra takibi </w:t>
            </w:r>
            <w:r w:rsidR="00527F77" w:rsidRPr="006D2E3C">
              <w:rPr>
                <w:rStyle w:val="MaviChar"/>
                <w:b w:val="0"/>
                <w:color w:val="auto"/>
              </w:rPr>
              <w:t>yapmaları</w:t>
            </w:r>
            <w:r w:rsidR="00527F77" w:rsidRPr="00A23740">
              <w:rPr>
                <w:rStyle w:val="MaviChar"/>
                <w:b w:val="0"/>
                <w:color w:val="538135"/>
              </w:rPr>
              <w:t xml:space="preserve"> </w:t>
            </w:r>
            <w:r w:rsidRPr="00A23740">
              <w:rPr>
                <w:bCs/>
              </w:rPr>
              <w:t>h</w:t>
            </w:r>
            <w:r w:rsidR="002F2BAA" w:rsidRPr="00A23740">
              <w:rPr>
                <w:bCs/>
              </w:rPr>
              <w:t>â</w:t>
            </w:r>
            <w:r w:rsidRPr="00A23740">
              <w:rPr>
                <w:bCs/>
              </w:rPr>
              <w:t xml:space="preserve">linde </w:t>
            </w:r>
            <w:r w:rsidR="00527F77" w:rsidRPr="006D2E3C">
              <w:rPr>
                <w:rStyle w:val="MaviChar"/>
                <w:b w:val="0"/>
                <w:color w:val="auto"/>
              </w:rPr>
              <w:t>göstermeleri</w:t>
            </w:r>
            <w:r w:rsidR="00527F77" w:rsidRPr="00A23740">
              <w:rPr>
                <w:bCs/>
              </w:rPr>
              <w:t xml:space="preserve"> </w:t>
            </w:r>
            <w:r w:rsidRPr="00A23740">
              <w:rPr>
                <w:bCs/>
              </w:rPr>
              <w:t>gereken teminat hakkındadır. Bu madde hükmüne göre anılan teminatın cins</w:t>
            </w:r>
            <w:r w:rsidR="00821A53" w:rsidRPr="00A23740">
              <w:rPr>
                <w:bCs/>
              </w:rPr>
              <w:t>i</w:t>
            </w:r>
            <w:r w:rsidRPr="00A23740">
              <w:rPr>
                <w:bCs/>
              </w:rPr>
              <w:t>, tutar</w:t>
            </w:r>
            <w:r w:rsidR="00821A53" w:rsidRPr="00A23740">
              <w:rPr>
                <w:bCs/>
              </w:rPr>
              <w:t>ı</w:t>
            </w:r>
            <w:r w:rsidRPr="00A23740">
              <w:rPr>
                <w:bCs/>
              </w:rPr>
              <w:t xml:space="preserve"> ve şekli icra ve iflas dairesi tarafından takdir edilecektir. </w:t>
            </w:r>
          </w:p>
          <w:p w:rsidR="00DB2C16" w:rsidRPr="00A23740" w:rsidRDefault="008D0C3C" w:rsidP="009431FF">
            <w:pPr>
              <w:tabs>
                <w:tab w:val="left" w:pos="567"/>
              </w:tabs>
              <w:autoSpaceDE w:val="0"/>
              <w:autoSpaceDN w:val="0"/>
              <w:adjustRightInd w:val="0"/>
              <w:ind w:firstLine="709"/>
              <w:rPr>
                <w:bCs/>
              </w:rPr>
            </w:pPr>
            <w:r w:rsidRPr="006D2E3C">
              <w:rPr>
                <w:rStyle w:val="KonuBalChar"/>
                <w:rFonts w:eastAsia="Calibri"/>
                <w:b w:val="0"/>
                <w:color w:val="auto"/>
              </w:rPr>
              <w:t>5718 sayılı Kanunun</w:t>
            </w:r>
            <w:r w:rsidRPr="00A23740">
              <w:rPr>
                <w:bCs/>
              </w:rPr>
              <w:t xml:space="preserve"> </w:t>
            </w:r>
            <w:r w:rsidR="00821A53" w:rsidRPr="00A23740">
              <w:rPr>
                <w:bCs/>
              </w:rPr>
              <w:t xml:space="preserve">48 inci maddesinin ikinci fıkrasında </w:t>
            </w:r>
            <w:r w:rsidR="00DB2C16" w:rsidRPr="00A23740">
              <w:rPr>
                <w:bCs/>
              </w:rPr>
              <w:t xml:space="preserve">yer alan karşılıklılık şartı ve </w:t>
            </w:r>
            <w:r w:rsidR="003E7FF9" w:rsidRPr="006D2E3C">
              <w:rPr>
                <w:rStyle w:val="KonuBalChar"/>
                <w:rFonts w:eastAsia="Calibri"/>
                <w:b w:val="0"/>
                <w:color w:val="auto"/>
              </w:rPr>
              <w:t>6100 sayılı Kanunun</w:t>
            </w:r>
            <w:r w:rsidR="00821A53" w:rsidRPr="00A23740">
              <w:rPr>
                <w:bCs/>
              </w:rPr>
              <w:t xml:space="preserve"> 85 inci maddesinin birinci fıkrasının (ç) bendinden </w:t>
            </w:r>
            <w:r w:rsidR="00DB2C16" w:rsidRPr="00A23740">
              <w:rPr>
                <w:bCs/>
              </w:rPr>
              <w:t>anlaşılan ilamlı takiplerde teminat aranmayacağı hususu 85 inci maddede tekrar edilmemiştir.</w:t>
            </w:r>
          </w:p>
          <w:p w:rsidR="0009263E" w:rsidRPr="00A23740" w:rsidRDefault="0009263E"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pPr>
            <w:r w:rsidRPr="00A23740">
              <w:t>II. YETKİ</w:t>
            </w:r>
          </w:p>
          <w:p w:rsidR="00155AF4" w:rsidRPr="00A23740" w:rsidRDefault="00155AF4" w:rsidP="009431FF">
            <w:pPr>
              <w:widowControl w:val="0"/>
              <w:tabs>
                <w:tab w:val="left" w:pos="567"/>
              </w:tabs>
              <w:autoSpaceDE w:val="0"/>
              <w:autoSpaceDN w:val="0"/>
              <w:adjustRightInd w:val="0"/>
              <w:rPr>
                <w:i/>
                <w:iCs/>
                <w:szCs w:val="24"/>
              </w:rPr>
            </w:pPr>
            <w:r w:rsidRPr="00A23740">
              <w:rPr>
                <w:i/>
                <w:iCs/>
                <w:szCs w:val="24"/>
              </w:rPr>
              <w:t>Yetki ve itiraz</w:t>
            </w:r>
            <w:r w:rsidRPr="00A23740">
              <w:rPr>
                <w:b/>
                <w:bCs/>
                <w:strike/>
                <w:color w:val="FF0000"/>
                <w:szCs w:val="24"/>
              </w:rPr>
              <w:t>lar</w:t>
            </w:r>
            <w:r w:rsidRPr="00A23740">
              <w:rPr>
                <w:i/>
                <w:iCs/>
                <w:szCs w:val="24"/>
              </w:rPr>
              <w:t>ı</w:t>
            </w:r>
            <w:r w:rsidRPr="00A23740">
              <w:rPr>
                <w:b/>
                <w:bCs/>
                <w:strike/>
                <w:color w:val="FF0000"/>
                <w:szCs w:val="24"/>
              </w:rPr>
              <w:t>:</w:t>
            </w:r>
          </w:p>
          <w:p w:rsidR="00155AF4" w:rsidRPr="00A23740" w:rsidRDefault="00155AF4" w:rsidP="009431FF">
            <w:pPr>
              <w:widowControl w:val="0"/>
              <w:tabs>
                <w:tab w:val="left" w:pos="567"/>
              </w:tabs>
              <w:autoSpaceDE w:val="0"/>
              <w:autoSpaceDN w:val="0"/>
              <w:adjustRightInd w:val="0"/>
              <w:rPr>
                <w:b/>
                <w:bCs/>
                <w:szCs w:val="24"/>
              </w:rPr>
            </w:pPr>
            <w:r w:rsidRPr="00A23740">
              <w:rPr>
                <w:rStyle w:val="KIRMIZIChar"/>
                <w:rFonts w:eastAsia="Calibri"/>
              </w:rPr>
              <w:t>Madde 50 – (1) (Değişik</w:t>
            </w:r>
            <w:r w:rsidRPr="00A23740">
              <w:rPr>
                <w:b/>
                <w:bCs/>
                <w:strike/>
                <w:color w:val="FF0000"/>
                <w:szCs w:val="24"/>
              </w:rPr>
              <w:t>: 3/7/1940 - 3890/1 md.)</w:t>
            </w:r>
          </w:p>
          <w:p w:rsidR="00155AF4" w:rsidRPr="00A23740" w:rsidRDefault="00155AF4" w:rsidP="009431FF">
            <w:pPr>
              <w:widowControl w:val="0"/>
              <w:tabs>
                <w:tab w:val="left" w:pos="567"/>
              </w:tabs>
              <w:autoSpaceDE w:val="0"/>
              <w:autoSpaceDN w:val="0"/>
              <w:adjustRightInd w:val="0"/>
              <w:rPr>
                <w:rStyle w:val="KIRMIZIChar"/>
                <w:rFonts w:eastAsia="Calibri"/>
              </w:rPr>
            </w:pPr>
            <w:r w:rsidRPr="00A23740">
              <w:rPr>
                <w:b/>
                <w:bCs/>
                <w:strike/>
                <w:color w:val="FF0000"/>
                <w:szCs w:val="24"/>
              </w:rPr>
              <w:t>Para veya teminat borcu için</w:t>
            </w:r>
            <w:r w:rsidRPr="00A23740">
              <w:rPr>
                <w:szCs w:val="24"/>
              </w:rPr>
              <w:t xml:space="preserve"> takip </w:t>
            </w:r>
            <w:r w:rsidRPr="00A23740">
              <w:rPr>
                <w:b/>
                <w:bCs/>
                <w:strike/>
                <w:color w:val="FF0000"/>
                <w:szCs w:val="24"/>
              </w:rPr>
              <w:t>hususunda</w:t>
            </w:r>
            <w:r w:rsidRPr="00A23740">
              <w:rPr>
                <w:szCs w:val="24"/>
              </w:rPr>
              <w:t xml:space="preserve"> </w:t>
            </w:r>
            <w:r w:rsidRPr="00A23740">
              <w:rPr>
                <w:b/>
                <w:bCs/>
                <w:strike/>
                <w:color w:val="FF0000"/>
                <w:szCs w:val="24"/>
              </w:rPr>
              <w:t>Hukuk Usulü Muhakemeleri Kanununun</w:t>
            </w:r>
            <w:r w:rsidRPr="00A23740">
              <w:rPr>
                <w:szCs w:val="24"/>
              </w:rPr>
              <w:t xml:space="preserve"> yetkiye </w:t>
            </w:r>
            <w:r w:rsidRPr="00A23740">
              <w:rPr>
                <w:rStyle w:val="KIRMIZIChar"/>
                <w:rFonts w:eastAsia="Calibri"/>
              </w:rPr>
              <w:t>dair</w:t>
            </w:r>
            <w:r w:rsidRPr="00A23740">
              <w:rPr>
                <w:szCs w:val="24"/>
              </w:rPr>
              <w:t xml:space="preserve"> hükümleri kıyas </w:t>
            </w:r>
            <w:r w:rsidRPr="00A23740">
              <w:rPr>
                <w:rStyle w:val="KIRMIZIChar"/>
                <w:rFonts w:eastAsia="Calibri"/>
              </w:rPr>
              <w:t xml:space="preserve">yolu ile </w:t>
            </w:r>
            <w:r w:rsidRPr="00A23740">
              <w:rPr>
                <w:b/>
                <w:bCs/>
                <w:strike/>
                <w:color w:val="FF0000"/>
                <w:szCs w:val="24"/>
              </w:rPr>
              <w:t xml:space="preserve">tatbik </w:t>
            </w:r>
            <w:r w:rsidRPr="00A23740">
              <w:rPr>
                <w:rStyle w:val="KIRMIZIChar"/>
                <w:rFonts w:eastAsia="Calibri"/>
              </w:rPr>
              <w:t>olunur. Şu kadar ki, takibe esas olan akdin yapıldığı icra dairesi de takibe yetkilidir.</w:t>
            </w:r>
          </w:p>
          <w:p w:rsidR="00155AF4" w:rsidRPr="00A23740" w:rsidRDefault="00155AF4" w:rsidP="009431FF">
            <w:pPr>
              <w:widowControl w:val="0"/>
              <w:tabs>
                <w:tab w:val="left" w:pos="567"/>
              </w:tabs>
              <w:autoSpaceDE w:val="0"/>
              <w:autoSpaceDN w:val="0"/>
              <w:adjustRightInd w:val="0"/>
              <w:rPr>
                <w:szCs w:val="24"/>
              </w:rPr>
            </w:pPr>
          </w:p>
          <w:p w:rsidR="00291C18" w:rsidRDefault="00155AF4" w:rsidP="009431FF">
            <w:pPr>
              <w:widowControl w:val="0"/>
              <w:tabs>
                <w:tab w:val="left" w:pos="567"/>
              </w:tabs>
              <w:autoSpaceDE w:val="0"/>
              <w:autoSpaceDN w:val="0"/>
              <w:adjustRightInd w:val="0"/>
              <w:rPr>
                <w:rStyle w:val="KIRMIZIChar"/>
                <w:rFonts w:eastAsia="Calibri"/>
              </w:rPr>
            </w:pPr>
            <w:r w:rsidRPr="00A23740">
              <w:rPr>
                <w:rStyle w:val="KIRMIZIChar"/>
                <w:rFonts w:eastAsia="Calibri"/>
              </w:rPr>
              <w:lastRenderedPageBreak/>
              <w:t>(2)</w:t>
            </w:r>
            <w:r w:rsidRPr="00A23740">
              <w:rPr>
                <w:szCs w:val="24"/>
              </w:rPr>
              <w:t xml:space="preserve"> Yetki itirazı esas hakkındaki itirazla birlikte yapılır. </w:t>
            </w:r>
            <w:r w:rsidRPr="00A23740">
              <w:rPr>
                <w:rStyle w:val="KIRMIZIChar"/>
                <w:rFonts w:eastAsia="Calibri"/>
              </w:rPr>
              <w:t>İcra mahkemesi tarafından önce yetki meselesi tetkik ve kati surette karara raptolunur.</w:t>
            </w:r>
          </w:p>
          <w:p w:rsidR="00551F85" w:rsidRPr="00551F85" w:rsidRDefault="00551F85"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(3) İki icra mahkemesi arasında yetki noktasından ihtilaf çıkarsa Hukuk Usulü Muhakemeleri Kanununun 25 inci maddesi hükmü tatbik olunur.</w:t>
            </w:r>
          </w:p>
          <w:p w:rsidR="00155AF4" w:rsidRPr="00A23740" w:rsidRDefault="00155AF4" w:rsidP="009431FF">
            <w:pPr>
              <w:widowControl w:val="0"/>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551F85" w:rsidRDefault="00551F85" w:rsidP="009431FF">
            <w:pPr>
              <w:widowControl w:val="0"/>
              <w:tabs>
                <w:tab w:val="left" w:pos="567"/>
              </w:tabs>
              <w:autoSpaceDE w:val="0"/>
              <w:autoSpaceDN w:val="0"/>
              <w:adjustRightInd w:val="0"/>
              <w:rPr>
                <w:b/>
                <w:szCs w:val="24"/>
              </w:rPr>
            </w:pPr>
          </w:p>
          <w:p w:rsidR="00155AF4" w:rsidRPr="00A23740" w:rsidRDefault="00155AF4" w:rsidP="009431FF">
            <w:pPr>
              <w:widowControl w:val="0"/>
              <w:tabs>
                <w:tab w:val="left" w:pos="567"/>
              </w:tabs>
              <w:autoSpaceDE w:val="0"/>
              <w:autoSpaceDN w:val="0"/>
              <w:adjustRightInd w:val="0"/>
              <w:rPr>
                <w:b/>
                <w:szCs w:val="24"/>
              </w:rPr>
            </w:pPr>
            <w:r w:rsidRPr="00A23740">
              <w:rPr>
                <w:b/>
                <w:szCs w:val="24"/>
              </w:rPr>
              <w:t xml:space="preserve">Yetki ve </w:t>
            </w:r>
            <w:r w:rsidRPr="00A23740">
              <w:rPr>
                <w:rStyle w:val="MaviChar"/>
              </w:rPr>
              <w:t>yetki</w:t>
            </w:r>
            <w:r w:rsidR="00205EA2" w:rsidRPr="006D2E3C">
              <w:rPr>
                <w:rStyle w:val="YELChar"/>
                <w:color w:val="0000FF"/>
              </w:rPr>
              <w:t>ye</w:t>
            </w:r>
            <w:r w:rsidRPr="00A23740">
              <w:rPr>
                <w:b/>
                <w:szCs w:val="24"/>
              </w:rPr>
              <w:t xml:space="preserve"> itiraz</w:t>
            </w: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rStyle w:val="MaviChar"/>
              </w:rPr>
              <w:t>MADDE 86- (1) İlamsız icra</w:t>
            </w:r>
            <w:r w:rsidRPr="00A23740">
              <w:rPr>
                <w:b/>
                <w:bCs/>
                <w:color w:val="0000FF"/>
                <w:szCs w:val="24"/>
              </w:rPr>
              <w:t xml:space="preserve"> </w:t>
            </w:r>
            <w:r w:rsidRPr="00A23740">
              <w:rPr>
                <w:szCs w:val="24"/>
              </w:rPr>
              <w:t>takip</w:t>
            </w:r>
            <w:r w:rsidRPr="00A23740">
              <w:rPr>
                <w:rStyle w:val="MaviChar"/>
              </w:rPr>
              <w:t>lerinde</w:t>
            </w:r>
            <w:r w:rsidRPr="00A23740">
              <w:rPr>
                <w:rStyle w:val="MaviChar"/>
                <w:lang w:val="tr-TR"/>
              </w:rPr>
              <w:t>,</w:t>
            </w:r>
            <w:r w:rsidRPr="00A23740">
              <w:rPr>
                <w:rStyle w:val="MaviChar"/>
              </w:rPr>
              <w:t xml:space="preserve"> Hukuk Muhakemeleri Kanununun </w:t>
            </w:r>
            <w:r w:rsidRPr="00A23740">
              <w:rPr>
                <w:szCs w:val="24"/>
              </w:rPr>
              <w:t xml:space="preserve">yetkiye </w:t>
            </w:r>
            <w:r w:rsidRPr="00A23740">
              <w:rPr>
                <w:rStyle w:val="MaviChar"/>
              </w:rPr>
              <w:t>ilişkin</w:t>
            </w:r>
            <w:r w:rsidRPr="00A23740">
              <w:rPr>
                <w:szCs w:val="24"/>
              </w:rPr>
              <w:t xml:space="preserve"> hükümleri kıyas</w:t>
            </w:r>
            <w:r w:rsidRPr="00A23740">
              <w:rPr>
                <w:rStyle w:val="MaviChar"/>
              </w:rPr>
              <w:t>en</w:t>
            </w:r>
            <w:r w:rsidRPr="00A23740">
              <w:rPr>
                <w:szCs w:val="24"/>
              </w:rPr>
              <w:t xml:space="preserve"> </w:t>
            </w:r>
            <w:r w:rsidR="00205EA2" w:rsidRPr="00A23740">
              <w:rPr>
                <w:rStyle w:val="MaviChar"/>
              </w:rPr>
              <w:t>uygulanır.</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Default="00155AF4" w:rsidP="009431FF">
            <w:pPr>
              <w:widowControl w:val="0"/>
              <w:tabs>
                <w:tab w:val="left" w:pos="567"/>
              </w:tabs>
              <w:autoSpaceDE w:val="0"/>
              <w:autoSpaceDN w:val="0"/>
              <w:adjustRightInd w:val="0"/>
              <w:rPr>
                <w:b/>
                <w:bCs/>
                <w:color w:val="FF0000"/>
                <w:szCs w:val="24"/>
              </w:rPr>
            </w:pPr>
          </w:p>
          <w:p w:rsidR="00551F85" w:rsidRPr="00A23740" w:rsidRDefault="00551F85" w:rsidP="009431FF">
            <w:pPr>
              <w:widowControl w:val="0"/>
              <w:tabs>
                <w:tab w:val="left" w:pos="567"/>
              </w:tabs>
              <w:autoSpaceDE w:val="0"/>
              <w:autoSpaceDN w:val="0"/>
              <w:adjustRightInd w:val="0"/>
              <w:rPr>
                <w:b/>
                <w:bCs/>
                <w:color w:val="FF0000"/>
                <w:szCs w:val="24"/>
              </w:rPr>
            </w:pPr>
          </w:p>
          <w:p w:rsidR="006846DE" w:rsidRPr="00A23740" w:rsidRDefault="006846DE" w:rsidP="009431FF">
            <w:pPr>
              <w:widowControl w:val="0"/>
              <w:tabs>
                <w:tab w:val="left" w:pos="567"/>
              </w:tabs>
              <w:autoSpaceDE w:val="0"/>
              <w:autoSpaceDN w:val="0"/>
              <w:adjustRightInd w:val="0"/>
              <w:rPr>
                <w:b/>
                <w:bCs/>
                <w:color w:val="0000FF"/>
                <w:szCs w:val="24"/>
              </w:rPr>
            </w:pPr>
          </w:p>
          <w:p w:rsidR="00155AF4" w:rsidRPr="00A23740" w:rsidRDefault="00155AF4" w:rsidP="009431FF">
            <w:pPr>
              <w:widowControl w:val="0"/>
              <w:tabs>
                <w:tab w:val="left" w:pos="567"/>
              </w:tabs>
              <w:autoSpaceDE w:val="0"/>
              <w:autoSpaceDN w:val="0"/>
              <w:adjustRightInd w:val="0"/>
              <w:rPr>
                <w:b/>
                <w:bCs/>
                <w:color w:val="0000FF"/>
                <w:szCs w:val="24"/>
              </w:rPr>
            </w:pPr>
            <w:r w:rsidRPr="00A23740">
              <w:rPr>
                <w:rStyle w:val="MaviChar"/>
              </w:rPr>
              <w:lastRenderedPageBreak/>
              <w:t>(2)</w:t>
            </w:r>
            <w:r w:rsidRPr="00A23740">
              <w:rPr>
                <w:b/>
                <w:bCs/>
                <w:color w:val="0000FF"/>
                <w:szCs w:val="24"/>
              </w:rPr>
              <w:t xml:space="preserve"> </w:t>
            </w:r>
            <w:r w:rsidRPr="00A23740">
              <w:rPr>
                <w:szCs w:val="24"/>
              </w:rPr>
              <w:t>Yetki itirazı</w:t>
            </w:r>
            <w:r w:rsidRPr="00A23740">
              <w:rPr>
                <w:b/>
                <w:bCs/>
                <w:color w:val="0000FF"/>
                <w:szCs w:val="24"/>
              </w:rPr>
              <w:t xml:space="preserve"> </w:t>
            </w:r>
            <w:r w:rsidRPr="00A23740">
              <w:rPr>
                <w:szCs w:val="24"/>
              </w:rPr>
              <w:t>esas hakkındaki itirazla birlikte</w:t>
            </w:r>
            <w:r w:rsidRPr="00A23740">
              <w:rPr>
                <w:b/>
                <w:bCs/>
                <w:color w:val="0000FF"/>
                <w:szCs w:val="24"/>
              </w:rPr>
              <w:t xml:space="preserve"> </w:t>
            </w:r>
            <w:r w:rsidRPr="00A23740">
              <w:rPr>
                <w:rStyle w:val="MaviChar"/>
              </w:rPr>
              <w:t>ve açıkça</w:t>
            </w:r>
            <w:r w:rsidRPr="00A23740">
              <w:rPr>
                <w:b/>
                <w:bCs/>
                <w:color w:val="0000FF"/>
                <w:szCs w:val="24"/>
              </w:rPr>
              <w:t xml:space="preserve"> </w:t>
            </w:r>
            <w:r w:rsidRPr="00A23740">
              <w:rPr>
                <w:szCs w:val="24"/>
              </w:rPr>
              <w:t>yapılır</w:t>
            </w:r>
            <w:r w:rsidRPr="00A23740">
              <w:rPr>
                <w:rStyle w:val="MaviChar"/>
              </w:rPr>
              <w:t>.</w:t>
            </w:r>
            <w:r w:rsidRPr="00A23740">
              <w:rPr>
                <w:b/>
                <w:bCs/>
                <w:color w:val="0000FF"/>
                <w:szCs w:val="24"/>
                <w:lang w:eastAsia="x-none"/>
              </w:rPr>
              <w:t xml:space="preserve"> </w:t>
            </w:r>
          </w:p>
          <w:p w:rsidR="00155AF4" w:rsidRDefault="00155AF4" w:rsidP="009431FF">
            <w:pPr>
              <w:widowControl w:val="0"/>
              <w:tabs>
                <w:tab w:val="left" w:pos="567"/>
              </w:tabs>
              <w:autoSpaceDE w:val="0"/>
              <w:autoSpaceDN w:val="0"/>
              <w:adjustRightInd w:val="0"/>
              <w:rPr>
                <w:b/>
                <w:bCs/>
                <w:color w:val="0000FF"/>
                <w:szCs w:val="24"/>
              </w:rPr>
            </w:pPr>
          </w:p>
          <w:p w:rsidR="00551F85" w:rsidRPr="00A23740" w:rsidRDefault="00551F85" w:rsidP="009431FF">
            <w:pPr>
              <w:widowControl w:val="0"/>
              <w:tabs>
                <w:tab w:val="left" w:pos="567"/>
              </w:tabs>
              <w:autoSpaceDE w:val="0"/>
              <w:autoSpaceDN w:val="0"/>
              <w:adjustRightInd w:val="0"/>
              <w:rPr>
                <w:b/>
                <w:bCs/>
                <w:color w:val="0000FF"/>
                <w:szCs w:val="24"/>
              </w:rPr>
            </w:pPr>
          </w:p>
          <w:p w:rsidR="00155AF4" w:rsidRPr="00A23740" w:rsidRDefault="00155AF4" w:rsidP="009431FF">
            <w:pPr>
              <w:widowControl w:val="0"/>
              <w:tabs>
                <w:tab w:val="left" w:pos="567"/>
              </w:tabs>
              <w:autoSpaceDE w:val="0"/>
              <w:autoSpaceDN w:val="0"/>
              <w:adjustRightInd w:val="0"/>
              <w:rPr>
                <w:b/>
                <w:bCs/>
                <w:color w:val="0000FF"/>
                <w:szCs w:val="24"/>
              </w:rPr>
            </w:pPr>
            <w:r w:rsidRPr="00A23740">
              <w:rPr>
                <w:rStyle w:val="MaviChar"/>
              </w:rPr>
              <w:t>(3) İtiraz üzerine alacaklı, itirazın iptali için öngörülen dava süresi içinde her zaman, diğer h</w:t>
            </w:r>
            <w:r w:rsidR="002F2BAA" w:rsidRPr="00A23740">
              <w:rPr>
                <w:rStyle w:val="MaviChar"/>
                <w:lang w:val="tr-TR"/>
              </w:rPr>
              <w:t>â</w:t>
            </w:r>
            <w:r w:rsidRPr="00A23740">
              <w:rPr>
                <w:rStyle w:val="MaviChar"/>
              </w:rPr>
              <w:t>llerde ise yetkisizlik kararının kesinleşmesinden</w:t>
            </w:r>
            <w:r w:rsidRPr="00A23740">
              <w:rPr>
                <w:rStyle w:val="YELChar"/>
              </w:rPr>
              <w:t xml:space="preserve"> </w:t>
            </w:r>
            <w:r w:rsidRPr="00A23740">
              <w:rPr>
                <w:rStyle w:val="MaviChar"/>
              </w:rPr>
              <w:t>itibaren iki hafta içinde, takibin yapıldığı yer icra ve iflas</w:t>
            </w:r>
            <w:r w:rsidRPr="00A23740">
              <w:rPr>
                <w:rStyle w:val="MaviChar"/>
                <w:lang w:val="tr-TR"/>
              </w:rPr>
              <w:t xml:space="preserve"> </w:t>
            </w:r>
            <w:r w:rsidRPr="00A23740">
              <w:rPr>
                <w:rStyle w:val="MaviChar"/>
              </w:rPr>
              <w:t xml:space="preserve">dairesine başvurarak, </w:t>
            </w:r>
            <w:r w:rsidR="00B65D2E" w:rsidRPr="006D2E3C">
              <w:rPr>
                <w:rStyle w:val="MaviChar"/>
              </w:rPr>
              <w:t>dosyanın</w:t>
            </w:r>
            <w:r w:rsidR="00B65D2E" w:rsidRPr="00A23740">
              <w:rPr>
                <w:rStyle w:val="MaviChar"/>
                <w:color w:val="538135"/>
              </w:rPr>
              <w:t xml:space="preserve"> </w:t>
            </w:r>
            <w:r w:rsidRPr="00A23740">
              <w:rPr>
                <w:rStyle w:val="MaviChar"/>
              </w:rPr>
              <w:t>yetkili icra</w:t>
            </w:r>
            <w:r w:rsidRPr="00A23740">
              <w:rPr>
                <w:rStyle w:val="MaviChar"/>
                <w:lang w:val="tr-TR"/>
              </w:rPr>
              <w:t xml:space="preserve"> </w:t>
            </w:r>
            <w:r w:rsidRPr="00A23740">
              <w:rPr>
                <w:rStyle w:val="MaviChar"/>
              </w:rPr>
              <w:t>ve iflas dairesine gönderilmesini talep edebilir. Aksi takdirde, icra takibi düşer.</w:t>
            </w:r>
          </w:p>
          <w:p w:rsidR="00155AF4" w:rsidRPr="00A23740" w:rsidRDefault="00155AF4" w:rsidP="009431FF">
            <w:pPr>
              <w:widowControl w:val="0"/>
              <w:tabs>
                <w:tab w:val="left" w:pos="567"/>
              </w:tabs>
              <w:autoSpaceDE w:val="0"/>
              <w:autoSpaceDN w:val="0"/>
              <w:adjustRightInd w:val="0"/>
              <w:rPr>
                <w:b/>
                <w:bCs/>
                <w:color w:val="0000FF"/>
                <w:szCs w:val="24"/>
              </w:rPr>
            </w:pPr>
          </w:p>
          <w:p w:rsidR="00155AF4" w:rsidRDefault="00155AF4" w:rsidP="009431FF">
            <w:pPr>
              <w:pStyle w:val="Mavi"/>
              <w:widowControl w:val="0"/>
            </w:pPr>
            <w:r w:rsidRPr="00A23740">
              <w:t>(4) Dosya kendisine gönderilen icra</w:t>
            </w:r>
            <w:r w:rsidRPr="00A23740">
              <w:rPr>
                <w:lang w:val="tr-TR"/>
              </w:rPr>
              <w:t xml:space="preserve"> </w:t>
            </w:r>
            <w:r w:rsidRPr="00A23740">
              <w:t>ve iflas dairesi, borçluy</w:t>
            </w:r>
            <w:r w:rsidR="00205EA2" w:rsidRPr="00A23740">
              <w:t>a yeni bir ödeme emri gönderir.</w:t>
            </w:r>
          </w:p>
          <w:p w:rsidR="00551F85" w:rsidRPr="00A23740" w:rsidRDefault="00551F85" w:rsidP="009431FF">
            <w:pPr>
              <w:pStyle w:val="Mavi"/>
              <w:widowControl w:val="0"/>
              <w:rPr>
                <w:strike/>
                <w:color w:val="FF0000"/>
              </w:rPr>
            </w:pPr>
          </w:p>
        </w:tc>
      </w:tr>
      <w:tr w:rsidR="00155AF4" w:rsidRPr="00A23740" w:rsidTr="009431FF">
        <w:tc>
          <w:tcPr>
            <w:tcW w:w="5000" w:type="pct"/>
            <w:gridSpan w:val="2"/>
            <w:shd w:val="clear" w:color="auto" w:fill="DEEAF6"/>
          </w:tcPr>
          <w:p w:rsidR="006956A8" w:rsidRPr="00A23740" w:rsidRDefault="006956A8" w:rsidP="009431FF">
            <w:pPr>
              <w:pStyle w:val="Mavi"/>
              <w:ind w:firstLine="709"/>
              <w:rPr>
                <w:b w:val="0"/>
                <w:color w:val="auto"/>
                <w:szCs w:val="22"/>
                <w:lang w:val="tr-TR" w:eastAsia="en-US"/>
              </w:rPr>
            </w:pPr>
          </w:p>
          <w:p w:rsidR="00DB2C16" w:rsidRPr="00A23740" w:rsidRDefault="00FD3112" w:rsidP="009431FF">
            <w:pPr>
              <w:pStyle w:val="Mavi"/>
              <w:ind w:firstLine="709"/>
              <w:rPr>
                <w:bCs w:val="0"/>
                <w:color w:val="auto"/>
                <w:szCs w:val="22"/>
                <w:lang w:eastAsia="en-US"/>
              </w:rPr>
            </w:pPr>
            <w:r w:rsidRPr="00A23740">
              <w:rPr>
                <w:color w:val="auto"/>
                <w:szCs w:val="22"/>
                <w:lang w:val="tr-TR" w:eastAsia="en-US"/>
              </w:rPr>
              <w:t>MADDE 86</w:t>
            </w:r>
            <w:r w:rsidR="00155AF4" w:rsidRPr="00A23740">
              <w:rPr>
                <w:color w:val="auto"/>
                <w:szCs w:val="22"/>
                <w:lang w:val="tr-TR" w:eastAsia="en-US"/>
              </w:rPr>
              <w:t>-</w:t>
            </w:r>
            <w:r w:rsidR="00155AF4" w:rsidRPr="00A23740">
              <w:rPr>
                <w:b w:val="0"/>
                <w:color w:val="auto"/>
                <w:szCs w:val="22"/>
                <w:lang w:val="tr-TR" w:eastAsia="en-US"/>
              </w:rPr>
              <w:t xml:space="preserve"> </w:t>
            </w:r>
            <w:r w:rsidR="006956A8" w:rsidRPr="00A23740">
              <w:rPr>
                <w:b w:val="0"/>
                <w:color w:val="auto"/>
                <w:szCs w:val="22"/>
                <w:lang w:val="tr-TR" w:eastAsia="en-US"/>
              </w:rPr>
              <w:t>Maddeyle, ilamsız icra takiplerinde yetki ve yetki itirazına ilişkin hususlar düzenlenmektedir.</w:t>
            </w:r>
            <w:r w:rsidR="00484ED7" w:rsidRPr="00A23740">
              <w:rPr>
                <w:b w:val="0"/>
                <w:color w:val="auto"/>
                <w:szCs w:val="22"/>
                <w:lang w:val="tr-TR" w:eastAsia="en-US"/>
              </w:rPr>
              <w:t xml:space="preserve"> </w:t>
            </w:r>
            <w:r w:rsidR="00DB2C16" w:rsidRPr="00A23740">
              <w:rPr>
                <w:b w:val="0"/>
                <w:bCs w:val="0"/>
                <w:color w:val="auto"/>
                <w:szCs w:val="22"/>
                <w:lang w:eastAsia="en-US"/>
              </w:rPr>
              <w:t xml:space="preserve">Taslağın 86 ncı maddesi </w:t>
            </w:r>
            <w:r w:rsidR="00484ED7" w:rsidRPr="00A23740">
              <w:rPr>
                <w:b w:val="0"/>
                <w:bCs w:val="0"/>
                <w:color w:val="auto"/>
                <w:szCs w:val="22"/>
                <w:lang w:val="tr-TR" w:eastAsia="en-US"/>
              </w:rPr>
              <w:t>2004 sayılı</w:t>
            </w:r>
            <w:r w:rsidR="00484ED7" w:rsidRPr="00A23740">
              <w:rPr>
                <w:b w:val="0"/>
                <w:bCs w:val="0"/>
                <w:color w:val="auto"/>
                <w:szCs w:val="22"/>
                <w:lang w:eastAsia="en-US"/>
              </w:rPr>
              <w:t xml:space="preserve"> </w:t>
            </w:r>
            <w:r w:rsidR="00484ED7" w:rsidRPr="00A23740">
              <w:rPr>
                <w:b w:val="0"/>
                <w:bCs w:val="0"/>
                <w:color w:val="auto"/>
                <w:szCs w:val="22"/>
                <w:lang w:val="tr-TR" w:eastAsia="en-US"/>
              </w:rPr>
              <w:t>K</w:t>
            </w:r>
            <w:r w:rsidR="00DB2C16" w:rsidRPr="00A23740">
              <w:rPr>
                <w:b w:val="0"/>
                <w:bCs w:val="0"/>
                <w:color w:val="auto"/>
                <w:szCs w:val="22"/>
                <w:lang w:eastAsia="en-US"/>
              </w:rPr>
              <w:t>anunun, icra ve iflas dairelerinin yetkisi hakkındaki 50 nci maddesinin karşılığıdır</w:t>
            </w:r>
            <w:r w:rsidR="00DB2C16" w:rsidRPr="00A23740">
              <w:rPr>
                <w:bCs w:val="0"/>
                <w:color w:val="auto"/>
                <w:szCs w:val="22"/>
                <w:lang w:eastAsia="en-US"/>
              </w:rPr>
              <w:t xml:space="preserve">. </w:t>
            </w:r>
          </w:p>
          <w:p w:rsidR="00DB2C16" w:rsidRPr="00A23740" w:rsidRDefault="00DB2C16" w:rsidP="009431FF">
            <w:pPr>
              <w:tabs>
                <w:tab w:val="left" w:pos="567"/>
              </w:tabs>
              <w:ind w:firstLine="709"/>
              <w:rPr>
                <w:bCs/>
              </w:rPr>
            </w:pPr>
            <w:r w:rsidRPr="00A23740">
              <w:rPr>
                <w:bCs/>
              </w:rPr>
              <w:t xml:space="preserve">İcra dairelerinin yer itibarıyla yetkisi </w:t>
            </w:r>
            <w:r w:rsidR="00D81869" w:rsidRPr="006D2E3C">
              <w:rPr>
                <w:rStyle w:val="KonuBalChar"/>
                <w:rFonts w:eastAsia="Calibri"/>
                <w:b w:val="0"/>
                <w:color w:val="auto"/>
              </w:rPr>
              <w:t>bilimsel ve yargısal</w:t>
            </w:r>
            <w:r w:rsidRPr="00A23740">
              <w:rPr>
                <w:bCs/>
              </w:rPr>
              <w:t xml:space="preserve"> içtihatlarımızı çok meşgul eden meselelerden biri olmuştur. Yetki itirazının İsviçre'dekinden farklı olarak bir şikâyet değil, itiraz sebebi olarak görülmesi ve yine İsviçre’dekinden farklı olarak itirazın iptali için açılacak olan davanın alacağın tahsili için açılacak diğer eda davalarından farklı, kendine özgü bir dava olduğu görüşünün </w:t>
            </w:r>
            <w:r w:rsidR="00D81869" w:rsidRPr="006D2E3C">
              <w:rPr>
                <w:bCs/>
              </w:rPr>
              <w:t>yargı</w:t>
            </w:r>
            <w:r w:rsidR="00D81869" w:rsidRPr="006D2E3C">
              <w:rPr>
                <w:b/>
              </w:rPr>
              <w:t xml:space="preserve"> </w:t>
            </w:r>
            <w:r w:rsidR="00D81869" w:rsidRPr="006D2E3C">
              <w:rPr>
                <w:bCs/>
              </w:rPr>
              <w:t>içtihatlarında</w:t>
            </w:r>
            <w:r w:rsidRPr="00A23740">
              <w:rPr>
                <w:bCs/>
              </w:rPr>
              <w:t xml:space="preserve"> kabul </w:t>
            </w:r>
            <w:r w:rsidR="00F81AF1" w:rsidRPr="00A23740">
              <w:rPr>
                <w:bCs/>
              </w:rPr>
              <w:t xml:space="preserve"> görmüş </w:t>
            </w:r>
            <w:r w:rsidRPr="00A23740">
              <w:rPr>
                <w:bCs/>
              </w:rPr>
              <w:t xml:space="preserve">olması bu konuda ortaya çıkan tereddüt ve tartışmaların başlıca sebeplerini teşkil etmektedir. Taslakta bu konuda </w:t>
            </w:r>
            <w:r w:rsidR="00D81869" w:rsidRPr="006D2E3C">
              <w:rPr>
                <w:rStyle w:val="KonuBalChar"/>
                <w:rFonts w:eastAsia="Calibri"/>
                <w:b w:val="0"/>
                <w:color w:val="auto"/>
              </w:rPr>
              <w:t>bilimsel ve yargısal</w:t>
            </w:r>
            <w:r w:rsidRPr="00A23740">
              <w:rPr>
                <w:bCs/>
              </w:rPr>
              <w:t xml:space="preserve"> içtihatlarda bulunan çözüm şekilleri benimsenmiş; bu çözüm şekillerinin kanunlaştırılması ve bazı hususların yine </w:t>
            </w:r>
            <w:r w:rsidR="00D81869" w:rsidRPr="006D2E3C">
              <w:rPr>
                <w:bCs/>
                <w:szCs w:val="52"/>
                <w:lang w:val="x-none" w:eastAsia="x-none"/>
              </w:rPr>
              <w:t>bilimsel</w:t>
            </w:r>
            <w:r w:rsidR="00D81869" w:rsidRPr="00A23740">
              <w:rPr>
                <w:b/>
                <w:bCs/>
                <w:color w:val="00B0F0"/>
                <w:szCs w:val="52"/>
                <w:lang w:val="x-none" w:eastAsia="x-none"/>
              </w:rPr>
              <w:t xml:space="preserve"> </w:t>
            </w:r>
            <w:r w:rsidR="00D81869" w:rsidRPr="006D2E3C">
              <w:rPr>
                <w:bCs/>
                <w:szCs w:val="52"/>
                <w:lang w:val="x-none" w:eastAsia="x-none"/>
              </w:rPr>
              <w:t>ve</w:t>
            </w:r>
            <w:r w:rsidR="00D81869" w:rsidRPr="00A23740">
              <w:rPr>
                <w:b/>
                <w:bCs/>
                <w:color w:val="00B0F0"/>
                <w:szCs w:val="52"/>
                <w:lang w:val="x-none" w:eastAsia="x-none"/>
              </w:rPr>
              <w:t xml:space="preserve"> </w:t>
            </w:r>
            <w:r w:rsidR="00D81869" w:rsidRPr="006D2E3C">
              <w:rPr>
                <w:bCs/>
                <w:szCs w:val="52"/>
                <w:lang w:val="x-none" w:eastAsia="x-none"/>
              </w:rPr>
              <w:t>yargısal</w:t>
            </w:r>
            <w:r w:rsidRPr="00A23740">
              <w:rPr>
                <w:bCs/>
              </w:rPr>
              <w:t xml:space="preserve"> içtihatlara bırakılması yöntemi tercih edilmiştir.</w:t>
            </w:r>
          </w:p>
          <w:p w:rsidR="00DB2C16" w:rsidRPr="00A23740" w:rsidRDefault="00484ED7" w:rsidP="009431FF">
            <w:pPr>
              <w:tabs>
                <w:tab w:val="left" w:pos="567"/>
              </w:tabs>
              <w:ind w:firstLine="709"/>
              <w:rPr>
                <w:bCs/>
              </w:rPr>
            </w:pPr>
            <w:r w:rsidRPr="00A23740">
              <w:rPr>
                <w:bCs/>
              </w:rPr>
              <w:t>Maddenin birinci</w:t>
            </w:r>
            <w:r w:rsidR="00DB2C16" w:rsidRPr="00A23740">
              <w:rPr>
                <w:bCs/>
              </w:rPr>
              <w:t xml:space="preserve"> fıkrasında ilamsız icra takiplerinde</w:t>
            </w:r>
            <w:r w:rsidR="00E47822" w:rsidRPr="00A23740">
              <w:rPr>
                <w:bCs/>
              </w:rPr>
              <w:t xml:space="preserve"> </w:t>
            </w:r>
            <w:r w:rsidR="00E47822" w:rsidRPr="006D2E3C">
              <w:rPr>
                <w:rStyle w:val="KonuBalChar"/>
                <w:rFonts w:eastAsia="Calibri"/>
                <w:b w:val="0"/>
                <w:color w:val="auto"/>
              </w:rPr>
              <w:t>6100</w:t>
            </w:r>
            <w:r w:rsidR="00E47822" w:rsidRPr="00A23740">
              <w:rPr>
                <w:rStyle w:val="KonuBalChar"/>
                <w:rFonts w:eastAsia="Calibri"/>
              </w:rPr>
              <w:t xml:space="preserve"> </w:t>
            </w:r>
            <w:r w:rsidR="00E47822" w:rsidRPr="006D2E3C">
              <w:rPr>
                <w:rStyle w:val="KonuBalChar"/>
                <w:rFonts w:eastAsia="Calibri"/>
                <w:b w:val="0"/>
                <w:color w:val="auto"/>
              </w:rPr>
              <w:t>sayılı</w:t>
            </w:r>
            <w:r w:rsidR="00E47822" w:rsidRPr="00A23740">
              <w:rPr>
                <w:rStyle w:val="KonuBalChar"/>
                <w:rFonts w:eastAsia="Calibri"/>
              </w:rPr>
              <w:t xml:space="preserve"> </w:t>
            </w:r>
            <w:r w:rsidR="00E47822" w:rsidRPr="006D2E3C">
              <w:rPr>
                <w:rStyle w:val="KonuBalChar"/>
                <w:rFonts w:eastAsia="Calibri"/>
                <w:b w:val="0"/>
                <w:color w:val="auto"/>
              </w:rPr>
              <w:t>Kanun</w:t>
            </w:r>
            <w:r w:rsidR="00E47822" w:rsidRPr="006D2E3C">
              <w:rPr>
                <w:rStyle w:val="KonuBalChar"/>
                <w:rFonts w:eastAsia="Calibri"/>
                <w:b w:val="0"/>
                <w:color w:val="auto"/>
                <w:lang w:val="tr-TR"/>
              </w:rPr>
              <w:t>un</w:t>
            </w:r>
            <w:r w:rsidR="00DB2C16" w:rsidRPr="00A23740">
              <w:rPr>
                <w:bCs/>
              </w:rPr>
              <w:t xml:space="preserve"> yetkiye ilişkin hükümlerinin kıyasen uygulanacağı öngörülmektedir. Bu fıkrada, </w:t>
            </w:r>
            <w:r w:rsidR="00AC45AD" w:rsidRPr="006D2E3C">
              <w:rPr>
                <w:rStyle w:val="KonuBalChar"/>
                <w:rFonts w:eastAsia="Calibri"/>
                <w:b w:val="0"/>
                <w:color w:val="auto"/>
              </w:rPr>
              <w:t>2004 sayılı Kanunda</w:t>
            </w:r>
            <w:r w:rsidR="00AC45AD" w:rsidRPr="00A23740">
              <w:rPr>
                <w:bCs/>
              </w:rPr>
              <w:t xml:space="preserve"> </w:t>
            </w:r>
            <w:r w:rsidR="00DB2C16" w:rsidRPr="00A23740">
              <w:rPr>
                <w:bCs/>
              </w:rPr>
              <w:t>da benimsenen</w:t>
            </w:r>
            <w:r w:rsidR="00CF385E" w:rsidRPr="00A23740">
              <w:rPr>
                <w:bCs/>
              </w:rPr>
              <w:t xml:space="preserve"> ve</w:t>
            </w:r>
            <w:r w:rsidR="00DB2C16" w:rsidRPr="00A23740">
              <w:rPr>
                <w:bCs/>
              </w:rPr>
              <w:t xml:space="preserve"> ilamsız icra takiplerinde icra</w:t>
            </w:r>
            <w:r w:rsidR="001647D1" w:rsidRPr="00A23740">
              <w:rPr>
                <w:color w:val="538135"/>
              </w:rPr>
              <w:t xml:space="preserve"> </w:t>
            </w:r>
            <w:r w:rsidR="001647D1" w:rsidRPr="006D2E3C">
              <w:t>ve</w:t>
            </w:r>
            <w:r w:rsidR="001647D1" w:rsidRPr="00A23740">
              <w:rPr>
                <w:b/>
                <w:color w:val="538135"/>
              </w:rPr>
              <w:t xml:space="preserve"> </w:t>
            </w:r>
            <w:r w:rsidR="001647D1" w:rsidRPr="006D2E3C">
              <w:t>iflas</w:t>
            </w:r>
            <w:r w:rsidR="00DB2C16" w:rsidRPr="00A23740">
              <w:rPr>
                <w:b/>
                <w:bCs/>
              </w:rPr>
              <w:t xml:space="preserve"> </w:t>
            </w:r>
            <w:r w:rsidR="00DB2C16" w:rsidRPr="00A23740">
              <w:rPr>
                <w:bCs/>
              </w:rPr>
              <w:t>dairesinin yetkisi belirlen</w:t>
            </w:r>
            <w:r w:rsidR="0062226B" w:rsidRPr="00A23740">
              <w:rPr>
                <w:bCs/>
              </w:rPr>
              <w:t xml:space="preserve">irken </w:t>
            </w:r>
            <w:r w:rsidR="003E7FF9" w:rsidRPr="006D2E3C">
              <w:rPr>
                <w:rStyle w:val="KonuBalChar"/>
                <w:rFonts w:eastAsia="Calibri"/>
                <w:b w:val="0"/>
                <w:color w:val="auto"/>
              </w:rPr>
              <w:t>6100 sayılı Kanunun</w:t>
            </w:r>
            <w:r w:rsidR="003E7FF9" w:rsidRPr="00A23740">
              <w:rPr>
                <w:bCs/>
              </w:rPr>
              <w:t xml:space="preserve"> </w:t>
            </w:r>
            <w:r w:rsidR="00DB2C16" w:rsidRPr="00A23740">
              <w:rPr>
                <w:bCs/>
              </w:rPr>
              <w:t>yetkiye ilişkin hükümlerinin kıyasen uygulanacağı</w:t>
            </w:r>
            <w:r w:rsidR="00CF385E" w:rsidRPr="00A23740">
              <w:rPr>
                <w:bCs/>
              </w:rPr>
              <w:t>na yönelik olan</w:t>
            </w:r>
            <w:r w:rsidR="00DB2C16" w:rsidRPr="00A23740">
              <w:rPr>
                <w:bCs/>
              </w:rPr>
              <w:t xml:space="preserve"> kural ifade edilmiştir. B</w:t>
            </w:r>
            <w:r w:rsidR="0062226B" w:rsidRPr="00A23740">
              <w:rPr>
                <w:bCs/>
              </w:rPr>
              <w:t xml:space="preserve">urada </w:t>
            </w:r>
            <w:r w:rsidR="003E7FF9" w:rsidRPr="006D2E3C">
              <w:rPr>
                <w:rStyle w:val="KonuBalChar"/>
                <w:rFonts w:eastAsia="Calibri"/>
                <w:b w:val="0"/>
                <w:color w:val="auto"/>
              </w:rPr>
              <w:t>6100 sayılı Kanun</w:t>
            </w:r>
            <w:r w:rsidR="003E7FF9" w:rsidRPr="006D2E3C">
              <w:rPr>
                <w:rStyle w:val="KonuBalChar"/>
                <w:rFonts w:eastAsia="Calibri"/>
                <w:b w:val="0"/>
                <w:color w:val="auto"/>
                <w:lang w:val="tr-TR"/>
              </w:rPr>
              <w:t>a</w:t>
            </w:r>
            <w:r w:rsidR="00DB2C16" w:rsidRPr="00A23740">
              <w:rPr>
                <w:bCs/>
              </w:rPr>
              <w:t xml:space="preserve"> yapılan atıf, bu </w:t>
            </w:r>
            <w:r w:rsidR="00EF2FFA" w:rsidRPr="00A23740">
              <w:rPr>
                <w:bCs/>
              </w:rPr>
              <w:t xml:space="preserve">Kanunun </w:t>
            </w:r>
            <w:r w:rsidR="00DB2C16" w:rsidRPr="00A23740">
              <w:rPr>
                <w:bCs/>
              </w:rPr>
              <w:t>da özel kanun hükümlerini saklı tutması nedeniyle mahkemelerin yetkisini düzenleyen bütün kanun hükümlerine yönelik bir atıf şeklinde anlaşılma</w:t>
            </w:r>
            <w:r w:rsidR="00CF385E" w:rsidRPr="00A23740">
              <w:rPr>
                <w:bCs/>
              </w:rPr>
              <w:t>sı lazımdır</w:t>
            </w:r>
            <w:r w:rsidR="00DB2C16" w:rsidRPr="00A23740">
              <w:rPr>
                <w:bCs/>
              </w:rPr>
              <w:t xml:space="preserve">. Yürürlükteki kanunun ilk fıkrasının sözleşmenin ifa edileceği yer mahkemelerinin yetkisi hakkındaki ikinci cümlesi </w:t>
            </w:r>
            <w:r w:rsidR="00E47822" w:rsidRPr="006D2E3C">
              <w:rPr>
                <w:rStyle w:val="KonuBalChar"/>
                <w:rFonts w:eastAsia="Calibri"/>
                <w:b w:val="0"/>
                <w:color w:val="auto"/>
              </w:rPr>
              <w:t>6100 sayılı Kanun</w:t>
            </w:r>
            <w:r w:rsidR="00CF385E" w:rsidRPr="006D2E3C">
              <w:rPr>
                <w:rStyle w:val="KonuBalChar"/>
                <w:rFonts w:eastAsia="Calibri"/>
                <w:b w:val="0"/>
                <w:color w:val="auto"/>
                <w:lang w:val="tr-TR"/>
              </w:rPr>
              <w:t>la</w:t>
            </w:r>
            <w:r w:rsidR="00DB2C16" w:rsidRPr="00A23740">
              <w:rPr>
                <w:bCs/>
              </w:rPr>
              <w:t xml:space="preserve"> uyum sağlamak </w:t>
            </w:r>
            <w:r w:rsidR="00CF385E" w:rsidRPr="00A23740">
              <w:rPr>
                <w:bCs/>
              </w:rPr>
              <w:t xml:space="preserve">için </w:t>
            </w:r>
            <w:r w:rsidR="00DB2C16" w:rsidRPr="00A23740">
              <w:rPr>
                <w:bCs/>
              </w:rPr>
              <w:t xml:space="preserve">Taslağa alınmamıştır. Çünkü, </w:t>
            </w:r>
            <w:r w:rsidR="00CF385E" w:rsidRPr="00A23740">
              <w:rPr>
                <w:bCs/>
              </w:rPr>
              <w:t xml:space="preserve">6100 sayılı Kanunun </w:t>
            </w:r>
            <w:r w:rsidR="00DB2C16" w:rsidRPr="00A23740">
              <w:rPr>
                <w:bCs/>
              </w:rPr>
              <w:t>sözleşmenin ifa yeri mahkemesinin yetkisini düzenleyen 10 uncu maddesi, aynı k</w:t>
            </w:r>
            <w:r w:rsidRPr="00A23740">
              <w:rPr>
                <w:bCs/>
              </w:rPr>
              <w:t>onuyu düzenleyen mülga Hukuk Usulü Muhakemeleri Kanununun</w:t>
            </w:r>
            <w:r w:rsidR="0062226B" w:rsidRPr="00A23740">
              <w:rPr>
                <w:bCs/>
              </w:rPr>
              <w:t xml:space="preserve"> </w:t>
            </w:r>
            <w:r w:rsidR="00DB2C16" w:rsidRPr="00A23740">
              <w:rPr>
                <w:bCs/>
              </w:rPr>
              <w:t>10 uncu maddesi hükmünden farklı olarak sözleşmenin yapıldığı yer m</w:t>
            </w:r>
            <w:r w:rsidRPr="00A23740">
              <w:rPr>
                <w:bCs/>
              </w:rPr>
              <w:t>ahkemesine yetki vermemektedir.</w:t>
            </w:r>
          </w:p>
          <w:p w:rsidR="00DB2C16" w:rsidRPr="00A23740" w:rsidRDefault="00484ED7" w:rsidP="009431FF">
            <w:pPr>
              <w:tabs>
                <w:tab w:val="left" w:pos="567"/>
              </w:tabs>
              <w:ind w:firstLine="709"/>
              <w:rPr>
                <w:bCs/>
              </w:rPr>
            </w:pPr>
            <w:r w:rsidRPr="00A23740">
              <w:rPr>
                <w:bCs/>
              </w:rPr>
              <w:t xml:space="preserve"> İkinci </w:t>
            </w:r>
            <w:r w:rsidR="00DB2C16" w:rsidRPr="00A23740">
              <w:rPr>
                <w:bCs/>
              </w:rPr>
              <w:t>fıkrada ise yetki itirazının esas hakkındaki itirazla birlikte ve açıkça yapılacağı öngörülmüştür. Burada itirazın esas hakkındaki itirazla birlikte yapılması mecburiyeti yalnızca yetki itirazı dışındaki itirazların</w:t>
            </w:r>
            <w:r w:rsidR="00CF385E" w:rsidRPr="00A23740">
              <w:rPr>
                <w:bCs/>
              </w:rPr>
              <w:t xml:space="preserve"> </w:t>
            </w:r>
            <w:r w:rsidR="00DB2C16" w:rsidRPr="00A23740">
              <w:rPr>
                <w:bCs/>
              </w:rPr>
              <w:t>da ileri sürülmüş olması h</w:t>
            </w:r>
            <w:r w:rsidR="002F2BAA" w:rsidRPr="00A23740">
              <w:rPr>
                <w:bCs/>
              </w:rPr>
              <w:t>â</w:t>
            </w:r>
            <w:r w:rsidR="00DB2C16" w:rsidRPr="00A23740">
              <w:rPr>
                <w:bCs/>
              </w:rPr>
              <w:t>li içindir. Başka bir ifade</w:t>
            </w:r>
            <w:r w:rsidR="00CF385E" w:rsidRPr="00A23740">
              <w:rPr>
                <w:bCs/>
              </w:rPr>
              <w:t>yle</w:t>
            </w:r>
            <w:r w:rsidR="00DB2C16" w:rsidRPr="00A23740">
              <w:rPr>
                <w:bCs/>
              </w:rPr>
              <w:t xml:space="preserve"> borçlu, </w:t>
            </w:r>
            <w:r w:rsidR="00DB2C16" w:rsidRPr="00A23740">
              <w:rPr>
                <w:bCs/>
              </w:rPr>
              <w:lastRenderedPageBreak/>
              <w:t>esas hakkında bir itiraz</w:t>
            </w:r>
            <w:r w:rsidR="00CF385E" w:rsidRPr="00A23740">
              <w:rPr>
                <w:bCs/>
              </w:rPr>
              <w:t xml:space="preserve"> ileri sürmese </w:t>
            </w:r>
            <w:r w:rsidR="00DB2C16" w:rsidRPr="00A23740">
              <w:rPr>
                <w:bCs/>
              </w:rPr>
              <w:t>bile yetki itirazında bulunabilir. Ancak hem yetkiye hem de esasa itiraz edecek ise</w:t>
            </w:r>
            <w:r w:rsidR="00CF385E" w:rsidRPr="00A23740">
              <w:rPr>
                <w:bCs/>
              </w:rPr>
              <w:t>,</w:t>
            </w:r>
            <w:r w:rsidR="00DB2C16" w:rsidRPr="00A23740">
              <w:rPr>
                <w:bCs/>
              </w:rPr>
              <w:t xml:space="preserve"> bunları birlikte yapmak zorundadır. Yine </w:t>
            </w:r>
            <w:r w:rsidR="00CF385E" w:rsidRPr="00A23740">
              <w:rPr>
                <w:bCs/>
              </w:rPr>
              <w:t>2004 sayılı K</w:t>
            </w:r>
            <w:r w:rsidR="00DB2C16" w:rsidRPr="00A23740">
              <w:rPr>
                <w:bCs/>
              </w:rPr>
              <w:t>anundan ayrı olarak</w:t>
            </w:r>
            <w:r w:rsidR="00CF385E" w:rsidRPr="00A23740">
              <w:rPr>
                <w:bCs/>
              </w:rPr>
              <w:t>,</w:t>
            </w:r>
            <w:r w:rsidR="00DB2C16" w:rsidRPr="00A23740">
              <w:rPr>
                <w:bCs/>
              </w:rPr>
              <w:t xml:space="preserve"> yetki itirazının açıkça yapılması gerekliliğine de bu fıkrada yer verilmiştir.</w:t>
            </w:r>
          </w:p>
          <w:p w:rsidR="00DB2C16" w:rsidRPr="00A23740" w:rsidRDefault="00484ED7" w:rsidP="009431FF">
            <w:pPr>
              <w:tabs>
                <w:tab w:val="left" w:pos="567"/>
              </w:tabs>
              <w:ind w:firstLine="709"/>
              <w:rPr>
                <w:bCs/>
              </w:rPr>
            </w:pPr>
            <w:r w:rsidRPr="00A23740">
              <w:rPr>
                <w:bCs/>
              </w:rPr>
              <w:t>Maddenin üçüncü</w:t>
            </w:r>
            <w:r w:rsidR="00DB2C16" w:rsidRPr="00A23740">
              <w:rPr>
                <w:bCs/>
              </w:rPr>
              <w:t xml:space="preserve"> fıkrası itiraz üzerine alacaklının, itirazın iptali için öngörülen dava süresi içinde her zaman, diğer h</w:t>
            </w:r>
            <w:r w:rsidR="002F2BAA" w:rsidRPr="00A23740">
              <w:rPr>
                <w:bCs/>
              </w:rPr>
              <w:t>â</w:t>
            </w:r>
            <w:r w:rsidR="00DB2C16" w:rsidRPr="00A23740">
              <w:rPr>
                <w:bCs/>
              </w:rPr>
              <w:t>llerde ise yetkisizlik kararının kesinleşmesinden itibaren iki hafta içinde, takibin yapıldığı yer icra ve iflas dairesine başvurabilece</w:t>
            </w:r>
            <w:r w:rsidR="00CF385E" w:rsidRPr="00A23740">
              <w:rPr>
                <w:bCs/>
              </w:rPr>
              <w:t>ğini</w:t>
            </w:r>
            <w:r w:rsidR="00DB2C16" w:rsidRPr="00A23740">
              <w:rPr>
                <w:bCs/>
              </w:rPr>
              <w:t xml:space="preserve">, </w:t>
            </w:r>
            <w:r w:rsidR="00527F77" w:rsidRPr="00CF4FF5">
              <w:t>dosyanın</w:t>
            </w:r>
            <w:r w:rsidR="00527F77" w:rsidRPr="00A23740">
              <w:rPr>
                <w:b/>
                <w:bCs/>
              </w:rPr>
              <w:t xml:space="preserve"> </w:t>
            </w:r>
            <w:r w:rsidR="00DB2C16" w:rsidRPr="00A23740">
              <w:rPr>
                <w:bCs/>
              </w:rPr>
              <w:t>yetkili icra ve iflas dairesine gönderilmesini talep edebileceğini belirtmektedir. Aksi takdirde icra takibi düşecektir. Bu ifade içinde geçen “diğer h</w:t>
            </w:r>
            <w:r w:rsidR="002F2BAA" w:rsidRPr="00A23740">
              <w:rPr>
                <w:bCs/>
              </w:rPr>
              <w:t>â</w:t>
            </w:r>
            <w:r w:rsidR="00DB2C16" w:rsidRPr="00A23740">
              <w:rPr>
                <w:bCs/>
              </w:rPr>
              <w:t>llerde” sözü</w:t>
            </w:r>
            <w:r w:rsidR="00CF385E" w:rsidRPr="00A23740">
              <w:rPr>
                <w:bCs/>
              </w:rPr>
              <w:t>yle</w:t>
            </w:r>
            <w:r w:rsidR="00DB2C16" w:rsidRPr="00A23740">
              <w:rPr>
                <w:bCs/>
              </w:rPr>
              <w:t xml:space="preserve"> kast edilen h</w:t>
            </w:r>
            <w:r w:rsidR="00C219C2" w:rsidRPr="00A23740">
              <w:rPr>
                <w:bCs/>
              </w:rPr>
              <w:t>âl</w:t>
            </w:r>
            <w:r w:rsidR="00CF385E" w:rsidRPr="00A23740">
              <w:rPr>
                <w:bCs/>
              </w:rPr>
              <w:t>,</w:t>
            </w:r>
            <w:r w:rsidR="00DB2C16" w:rsidRPr="00A23740">
              <w:rPr>
                <w:bCs/>
              </w:rPr>
              <w:t xml:space="preserve"> icra</w:t>
            </w:r>
            <w:r w:rsidR="001647D1" w:rsidRPr="00A23740">
              <w:rPr>
                <w:color w:val="538135"/>
              </w:rPr>
              <w:t xml:space="preserve"> </w:t>
            </w:r>
            <w:r w:rsidR="001647D1" w:rsidRPr="006D2E3C">
              <w:t>ve iflas</w:t>
            </w:r>
            <w:r w:rsidR="00DB2C16" w:rsidRPr="00A23740">
              <w:rPr>
                <w:bCs/>
              </w:rPr>
              <w:t xml:space="preserve"> dairesinin yetkisizliğine mahkeme tarafından karar verilmiş olması h</w:t>
            </w:r>
            <w:r w:rsidR="002F2BAA" w:rsidRPr="00A23740">
              <w:rPr>
                <w:bCs/>
              </w:rPr>
              <w:t>â</w:t>
            </w:r>
            <w:r w:rsidR="00DB2C16" w:rsidRPr="00A23740">
              <w:rPr>
                <w:bCs/>
              </w:rPr>
              <w:t>lidir.</w:t>
            </w:r>
          </w:p>
          <w:p w:rsidR="004B168A" w:rsidRPr="00A23740" w:rsidRDefault="00484ED7" w:rsidP="009431FF">
            <w:pPr>
              <w:pStyle w:val="Mavi"/>
              <w:ind w:firstLine="709"/>
              <w:rPr>
                <w:b w:val="0"/>
                <w:color w:val="auto"/>
                <w:szCs w:val="22"/>
                <w:lang w:val="tr-TR" w:eastAsia="en-US"/>
              </w:rPr>
            </w:pPr>
            <w:r w:rsidRPr="00A23740">
              <w:rPr>
                <w:b w:val="0"/>
                <w:color w:val="auto"/>
                <w:szCs w:val="22"/>
                <w:lang w:val="tr-TR" w:eastAsia="en-US"/>
              </w:rPr>
              <w:t>Maddenin dördüncü</w:t>
            </w:r>
            <w:r w:rsidR="00DB2C16" w:rsidRPr="00A23740">
              <w:rPr>
                <w:b w:val="0"/>
                <w:color w:val="auto"/>
                <w:szCs w:val="22"/>
                <w:lang w:val="tr-TR" w:eastAsia="en-US"/>
              </w:rPr>
              <w:t xml:space="preserve"> ve son fıkrasına göre ise, yetkinin kendisine aidiyeti </w:t>
            </w:r>
            <w:r w:rsidR="00CF385E" w:rsidRPr="00A23740">
              <w:rPr>
                <w:b w:val="0"/>
                <w:color w:val="auto"/>
                <w:szCs w:val="22"/>
                <w:lang w:val="tr-TR" w:eastAsia="en-US"/>
              </w:rPr>
              <w:t xml:space="preserve"> nedeniyle dosyanın </w:t>
            </w:r>
            <w:r w:rsidR="00DB2C16" w:rsidRPr="00A23740">
              <w:rPr>
                <w:b w:val="0"/>
                <w:color w:val="auto"/>
                <w:szCs w:val="22"/>
                <w:lang w:val="tr-TR" w:eastAsia="en-US"/>
              </w:rPr>
              <w:t>gönderildiği icra ve iflas dairesi borçluya yeni bir ödeme emri gönderecektir. Dolayısıyla bu h</w:t>
            </w:r>
            <w:r w:rsidR="002F2BAA" w:rsidRPr="00A23740">
              <w:rPr>
                <w:b w:val="0"/>
                <w:color w:val="auto"/>
                <w:szCs w:val="22"/>
                <w:lang w:val="tr-TR" w:eastAsia="en-US"/>
              </w:rPr>
              <w:t>â</w:t>
            </w:r>
            <w:r w:rsidR="00DB2C16" w:rsidRPr="00A23740">
              <w:rPr>
                <w:b w:val="0"/>
                <w:color w:val="auto"/>
                <w:szCs w:val="22"/>
                <w:lang w:val="tr-TR" w:eastAsia="en-US"/>
              </w:rPr>
              <w:t xml:space="preserve">lde borçluya esas hakkında yeni bir itiraz hakkı doğmaktadır. </w:t>
            </w:r>
            <w:r w:rsidR="00CF385E" w:rsidRPr="00A23740">
              <w:rPr>
                <w:b w:val="0"/>
                <w:color w:val="auto"/>
                <w:szCs w:val="22"/>
                <w:lang w:val="tr-TR" w:eastAsia="en-US"/>
              </w:rPr>
              <w:t xml:space="preserve">Diğer </w:t>
            </w:r>
            <w:r w:rsidR="00DB2C16" w:rsidRPr="00A23740">
              <w:rPr>
                <w:b w:val="0"/>
                <w:color w:val="auto"/>
                <w:szCs w:val="22"/>
                <w:lang w:val="tr-TR" w:eastAsia="en-US"/>
              </w:rPr>
              <w:t>taraftan, icra mahkemeleri basit yargılama usulüne göre yargılama yaptıklarından, yargı yerinin belirlenmesine ilişkin hükümlere tabidirler. Bu sebeple, icra mahkemeleri arasında yetki uyuşmazlığını düzenleyen, 2004 sayılı Kanunun 50 nci maddesinin üçüncü fıkrasına Taslakta yer verilmemektedir.</w:t>
            </w:r>
          </w:p>
          <w:p w:rsidR="00E91409" w:rsidRPr="00A23740" w:rsidRDefault="00E91409" w:rsidP="009431FF">
            <w:pPr>
              <w:keepNext/>
              <w:autoSpaceDE w:val="0"/>
              <w:autoSpaceDN w:val="0"/>
              <w:adjustRightInd w:val="0"/>
              <w:ind w:firstLine="709"/>
              <w:rPr>
                <w:b/>
              </w:rPr>
            </w:pPr>
          </w:p>
        </w:tc>
      </w:tr>
      <w:tr w:rsidR="00703236"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551F85" w:rsidRDefault="00551F85" w:rsidP="009431FF">
            <w:pPr>
              <w:widowControl w:val="0"/>
              <w:tabs>
                <w:tab w:val="left" w:pos="567"/>
              </w:tabs>
              <w:autoSpaceDE w:val="0"/>
              <w:autoSpaceDN w:val="0"/>
              <w:adjustRightInd w:val="0"/>
              <w:rPr>
                <w:rStyle w:val="KIRMIZIChar"/>
                <w:rFonts w:eastAsia="Calibri"/>
              </w:rPr>
            </w:pPr>
          </w:p>
          <w:p w:rsidR="00703236" w:rsidRPr="00A23740" w:rsidRDefault="00703236" w:rsidP="009431FF">
            <w:pPr>
              <w:widowControl w:val="0"/>
              <w:tabs>
                <w:tab w:val="left" w:pos="567"/>
              </w:tabs>
              <w:autoSpaceDE w:val="0"/>
              <w:autoSpaceDN w:val="0"/>
              <w:adjustRightInd w:val="0"/>
              <w:rPr>
                <w:szCs w:val="24"/>
              </w:rPr>
            </w:pPr>
            <w:r w:rsidRPr="00A23740">
              <w:rPr>
                <w:rStyle w:val="KIRMIZIChar"/>
                <w:rFonts w:eastAsia="Calibri"/>
              </w:rPr>
              <w:t>V.</w:t>
            </w:r>
            <w:r w:rsidRPr="00A23740">
              <w:rPr>
                <w:szCs w:val="24"/>
              </w:rPr>
              <w:t xml:space="preserve"> TAKİP TALEBİ</w:t>
            </w: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i/>
                <w:iCs/>
                <w:szCs w:val="24"/>
              </w:rPr>
            </w:pPr>
            <w:r w:rsidRPr="00A23740">
              <w:rPr>
                <w:i/>
                <w:iCs/>
                <w:szCs w:val="24"/>
              </w:rPr>
              <w:t xml:space="preserve">Takip talebi ve </w:t>
            </w:r>
            <w:r w:rsidRPr="00A23740">
              <w:rPr>
                <w:b/>
                <w:bCs/>
                <w:strike/>
                <w:color w:val="FF0000"/>
                <w:szCs w:val="24"/>
              </w:rPr>
              <w:t>muhtevası:</w:t>
            </w:r>
          </w:p>
          <w:p w:rsidR="00703236" w:rsidRPr="00A23740" w:rsidRDefault="00703236" w:rsidP="009431FF">
            <w:pPr>
              <w:widowControl w:val="0"/>
              <w:tabs>
                <w:tab w:val="left" w:pos="567"/>
              </w:tabs>
              <w:autoSpaceDE w:val="0"/>
              <w:autoSpaceDN w:val="0"/>
              <w:adjustRightInd w:val="0"/>
              <w:rPr>
                <w:b/>
                <w:bCs/>
                <w:strike/>
                <w:color w:val="FF0000"/>
                <w:szCs w:val="24"/>
              </w:rPr>
            </w:pPr>
            <w:r w:rsidRPr="00A23740">
              <w:rPr>
                <w:rStyle w:val="KIRMIZIChar"/>
                <w:rFonts w:eastAsia="Calibri"/>
              </w:rPr>
              <w:t>Madde 58 – (1) (Değişik</w:t>
            </w:r>
            <w:r w:rsidRPr="00A23740">
              <w:rPr>
                <w:b/>
                <w:bCs/>
                <w:strike/>
                <w:color w:val="FF0000"/>
                <w:szCs w:val="24"/>
              </w:rPr>
              <w:t>: 18/2/1965 - 538/30 md.)</w:t>
            </w:r>
          </w:p>
          <w:p w:rsidR="00703236" w:rsidRPr="00A23740" w:rsidRDefault="00703236" w:rsidP="009431FF">
            <w:pPr>
              <w:widowControl w:val="0"/>
              <w:tabs>
                <w:tab w:val="left" w:pos="567"/>
              </w:tabs>
              <w:autoSpaceDE w:val="0"/>
              <w:autoSpaceDN w:val="0"/>
              <w:adjustRightInd w:val="0"/>
              <w:rPr>
                <w:b/>
                <w:bCs/>
                <w:szCs w:val="24"/>
              </w:rPr>
            </w:pPr>
            <w:r w:rsidRPr="00A23740">
              <w:rPr>
                <w:b/>
                <w:bCs/>
                <w:strike/>
                <w:color w:val="FF0000"/>
                <w:szCs w:val="24"/>
              </w:rPr>
              <w:t>(Değişik birinci fıkra: 2/7/2012-6352/9 md.)</w:t>
            </w:r>
            <w:r w:rsidRPr="00A23740">
              <w:rPr>
                <w:szCs w:val="24"/>
              </w:rPr>
              <w:t xml:space="preserve"> Takip talebi icra dairesine yazılı veya sözlü olarak </w:t>
            </w:r>
            <w:r w:rsidRPr="00A23740">
              <w:rPr>
                <w:rStyle w:val="KIRMIZIChar"/>
                <w:rFonts w:eastAsia="Calibri"/>
              </w:rPr>
              <w:t>ya da elektronik ortamda</w:t>
            </w:r>
            <w:r w:rsidRPr="00A23740">
              <w:rPr>
                <w:szCs w:val="24"/>
              </w:rPr>
              <w:t xml:space="preserve"> </w:t>
            </w:r>
            <w:r w:rsidRPr="00A23740">
              <w:t>yapılır.</w:t>
            </w:r>
          </w:p>
          <w:p w:rsidR="00291C18" w:rsidRPr="00A23740" w:rsidRDefault="00291C18" w:rsidP="009431FF">
            <w:pPr>
              <w:widowControl w:val="0"/>
              <w:tabs>
                <w:tab w:val="left" w:pos="567"/>
              </w:tabs>
              <w:autoSpaceDE w:val="0"/>
              <w:autoSpaceDN w:val="0"/>
              <w:adjustRightInd w:val="0"/>
              <w:rPr>
                <w:szCs w:val="24"/>
              </w:rPr>
            </w:pPr>
          </w:p>
          <w:p w:rsidR="007D5D98" w:rsidRPr="00A23740" w:rsidRDefault="00703236" w:rsidP="009431FF">
            <w:pPr>
              <w:widowControl w:val="0"/>
              <w:tabs>
                <w:tab w:val="left" w:pos="567"/>
              </w:tabs>
              <w:autoSpaceDE w:val="0"/>
              <w:autoSpaceDN w:val="0"/>
              <w:adjustRightInd w:val="0"/>
              <w:rPr>
                <w:szCs w:val="24"/>
              </w:rPr>
            </w:pPr>
            <w:r w:rsidRPr="00A23740">
              <w:rPr>
                <w:rStyle w:val="KIRMIZIChar"/>
                <w:rFonts w:eastAsia="Calibri"/>
              </w:rPr>
              <w:t>(2) Talepte</w:t>
            </w:r>
            <w:r w:rsidRPr="00A23740">
              <w:rPr>
                <w:bCs/>
                <w:color w:val="FF0000"/>
                <w:szCs w:val="24"/>
              </w:rPr>
              <w:t xml:space="preserve"> </w:t>
            </w:r>
            <w:r w:rsidRPr="00A23740">
              <w:rPr>
                <w:rStyle w:val="KIRMIZIChar"/>
                <w:rFonts w:eastAsia="Calibri"/>
              </w:rPr>
              <w:t>şunlar gösterilir</w:t>
            </w:r>
            <w:r w:rsidR="00291C18" w:rsidRPr="00A23740">
              <w:rPr>
                <w:szCs w:val="24"/>
              </w:rPr>
              <w:t>:</w:t>
            </w:r>
          </w:p>
          <w:p w:rsidR="00291C18" w:rsidRPr="00A23740" w:rsidRDefault="00291C18"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6"/>
              </w:tabs>
              <w:autoSpaceDE w:val="0"/>
              <w:autoSpaceDN w:val="0"/>
              <w:adjustRightInd w:val="0"/>
              <w:rPr>
                <w:b/>
                <w:bCs/>
                <w:strike/>
                <w:color w:val="FF0000"/>
                <w:szCs w:val="24"/>
              </w:rPr>
            </w:pPr>
            <w:r w:rsidRPr="00A23740">
              <w:rPr>
                <w:b/>
                <w:bCs/>
                <w:strike/>
                <w:color w:val="FF0000"/>
                <w:szCs w:val="24"/>
              </w:rPr>
              <w:t>1. (Değişik: 2/7/2012-6352/9 md.)</w:t>
            </w:r>
            <w:r w:rsidRPr="00A23740">
              <w:rPr>
                <w:b/>
                <w:bCs/>
                <w:szCs w:val="24"/>
              </w:rPr>
              <w:t xml:space="preserve"> </w:t>
            </w:r>
            <w:r w:rsidRPr="00A23740">
              <w:rPr>
                <w:szCs w:val="24"/>
              </w:rPr>
              <w:t xml:space="preserve">Alacaklının ve varsa kanuni temsilcisinin ve vekilinin adı, soyadı; alacaklı veya vekili </w:t>
            </w:r>
            <w:r w:rsidRPr="00A23740">
              <w:rPr>
                <w:rStyle w:val="KIRMIZIChar"/>
                <w:rFonts w:eastAsia="Calibri"/>
              </w:rPr>
              <w:t>adına ödemenin yapılacağı</w:t>
            </w:r>
            <w:r w:rsidRPr="00A23740">
              <w:rPr>
                <w:szCs w:val="24"/>
              </w:rPr>
              <w:t xml:space="preserve"> banka adı ile hesap bilgileri; </w:t>
            </w:r>
            <w:r w:rsidRPr="00A23740">
              <w:rPr>
                <w:b/>
                <w:bCs/>
                <w:strike/>
                <w:color w:val="FF0000"/>
                <w:szCs w:val="24"/>
              </w:rPr>
              <w:t>varsa</w:t>
            </w:r>
            <w:r w:rsidRPr="00A23740">
              <w:rPr>
                <w:szCs w:val="24"/>
              </w:rPr>
              <w:t xml:space="preserve"> Türkiye Cumhuriyeti kimlik numarası </w:t>
            </w:r>
            <w:r w:rsidRPr="00A23740">
              <w:rPr>
                <w:rStyle w:val="KIRMIZIChar"/>
                <w:rFonts w:eastAsia="Calibri"/>
              </w:rPr>
              <w:t>veya</w:t>
            </w:r>
            <w:r w:rsidRPr="00A23740">
              <w:rPr>
                <w:szCs w:val="24"/>
              </w:rPr>
              <w:t xml:space="preserve"> vergi kimlik numarası; şöhret ve yerleşim yeri; alacaklı yabancı </w:t>
            </w:r>
            <w:r w:rsidRPr="00A23740">
              <w:rPr>
                <w:rStyle w:val="KIRMIZIChar"/>
                <w:rFonts w:eastAsia="Calibri"/>
              </w:rPr>
              <w:t>memlekette oturuyorsa</w:t>
            </w:r>
            <w:r w:rsidRPr="00A23740">
              <w:rPr>
                <w:szCs w:val="24"/>
              </w:rPr>
              <w:t xml:space="preserve"> Türkiye’de göstereceği </w:t>
            </w:r>
            <w:r w:rsidRPr="00A23740">
              <w:rPr>
                <w:b/>
                <w:bCs/>
                <w:strike/>
                <w:color w:val="FF0000"/>
                <w:szCs w:val="24"/>
              </w:rPr>
              <w:t>yerleşim yeri (Yerleşim yeri gösteremezse icra dairesinin bulunduğu yer yerleşim yeri sayılır.);</w:t>
            </w:r>
          </w:p>
          <w:p w:rsidR="00537077" w:rsidRPr="00A23740" w:rsidRDefault="00537077" w:rsidP="009431FF">
            <w:pPr>
              <w:widowControl w:val="0"/>
              <w:tabs>
                <w:tab w:val="left" w:pos="566"/>
              </w:tabs>
              <w:autoSpaceDE w:val="0"/>
              <w:autoSpaceDN w:val="0"/>
              <w:adjustRightInd w:val="0"/>
              <w:rPr>
                <w:b/>
                <w:bCs/>
                <w:szCs w:val="24"/>
              </w:rPr>
            </w:pPr>
          </w:p>
          <w:p w:rsidR="00703236" w:rsidRPr="00A23740" w:rsidRDefault="00703236" w:rsidP="009431FF">
            <w:pPr>
              <w:widowControl w:val="0"/>
              <w:tabs>
                <w:tab w:val="left" w:pos="566"/>
              </w:tabs>
              <w:autoSpaceDE w:val="0"/>
              <w:autoSpaceDN w:val="0"/>
              <w:adjustRightInd w:val="0"/>
              <w:rPr>
                <w:b/>
                <w:bCs/>
                <w:strike/>
                <w:color w:val="FF0000"/>
                <w:szCs w:val="24"/>
              </w:rPr>
            </w:pPr>
            <w:r w:rsidRPr="00A23740">
              <w:rPr>
                <w:b/>
                <w:bCs/>
                <w:strike/>
                <w:color w:val="FF0000"/>
                <w:szCs w:val="24"/>
              </w:rPr>
              <w:t>2. (Değişik: 2/7/2012-6352/9 md.)</w:t>
            </w:r>
            <w:r w:rsidRPr="00A23740">
              <w:rPr>
                <w:b/>
                <w:bCs/>
                <w:szCs w:val="24"/>
              </w:rPr>
              <w:t xml:space="preserve"> </w:t>
            </w:r>
            <w:r w:rsidRPr="00A23740">
              <w:rPr>
                <w:szCs w:val="24"/>
              </w:rPr>
              <w:t>Borçlunun ve varsa kanuni temsilcisinin adı, soyadı, alacaklı tarafından biliniyorsa Türkiye Cumhuriyeti kimlik numarası veya vergi kimlik numarası</w:t>
            </w:r>
            <w:r w:rsidRPr="00A23740">
              <w:rPr>
                <w:rStyle w:val="KIRMIZIChar"/>
                <w:rFonts w:eastAsia="Calibri"/>
              </w:rPr>
              <w:t>, şöhret</w:t>
            </w:r>
            <w:r w:rsidRPr="00A23740">
              <w:rPr>
                <w:b/>
                <w:bCs/>
                <w:strike/>
                <w:color w:val="FF0000"/>
                <w:szCs w:val="24"/>
              </w:rPr>
              <w:t xml:space="preserve"> ve </w:t>
            </w:r>
            <w:r w:rsidRPr="00A23740">
              <w:rPr>
                <w:b/>
                <w:bCs/>
                <w:strike/>
                <w:color w:val="FF0000"/>
                <w:szCs w:val="24"/>
              </w:rPr>
              <w:lastRenderedPageBreak/>
              <w:t>yerleşim yeri;</w:t>
            </w:r>
          </w:p>
          <w:p w:rsidR="00703236" w:rsidRPr="00A23740" w:rsidRDefault="00703236" w:rsidP="009431FF">
            <w:pPr>
              <w:widowControl w:val="0"/>
              <w:tabs>
                <w:tab w:val="left" w:pos="566"/>
              </w:tabs>
              <w:autoSpaceDE w:val="0"/>
              <w:autoSpaceDN w:val="0"/>
              <w:adjustRightInd w:val="0"/>
              <w:rPr>
                <w:szCs w:val="24"/>
              </w:rPr>
            </w:pPr>
          </w:p>
          <w:p w:rsidR="00703236" w:rsidRPr="00A23740" w:rsidRDefault="00703236" w:rsidP="009431FF">
            <w:pPr>
              <w:pStyle w:val="KIRMIZI"/>
              <w:widowControl w:val="0"/>
              <w:rPr>
                <w:lang w:val="tr-TR"/>
              </w:rPr>
            </w:pPr>
            <w:r w:rsidRPr="00A23740">
              <w:rPr>
                <w:lang w:val="tr-TR"/>
              </w:rPr>
              <w:t>Bir terekeye karşı yapılan taleplerde kendilerine tebligat yapılacak mirasçıların adı, soyadı, biliniyorsa Türkiye Cumhuriyeti kimlik numarası veya vergi kimlik numara</w:t>
            </w:r>
            <w:r w:rsidR="00291C18" w:rsidRPr="00A23740">
              <w:rPr>
                <w:lang w:val="tr-TR"/>
              </w:rPr>
              <w:t>sı, şöhret ve yerleşim yerleri;</w:t>
            </w: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r w:rsidRPr="00A23740">
              <w:rPr>
                <w:b/>
                <w:bCs/>
                <w:strike/>
                <w:color w:val="FF0000"/>
                <w:szCs w:val="24"/>
              </w:rPr>
              <w:t>3. (Değişik: 17/7/2003-4949/12 md.)</w:t>
            </w:r>
            <w:r w:rsidRPr="00A23740">
              <w:rPr>
                <w:b/>
                <w:bCs/>
                <w:szCs w:val="24"/>
              </w:rPr>
              <w:t xml:space="preserve"> </w:t>
            </w:r>
            <w:r w:rsidRPr="00A23740">
              <w:rPr>
                <w:szCs w:val="24"/>
              </w:rPr>
              <w:t>Alacağın veya istenen teminatın Türk parasıyla tutarı ve faizli alacaklarda faizin miktarı ile işlemeye başladığı gün</w:t>
            </w:r>
            <w:r w:rsidRPr="00A23740">
              <w:rPr>
                <w:rStyle w:val="KIRMIZIChar"/>
                <w:rFonts w:eastAsia="Calibri"/>
              </w:rPr>
              <w:t>,</w:t>
            </w:r>
            <w:r w:rsidRPr="00A23740">
              <w:rPr>
                <w:szCs w:val="24"/>
              </w:rPr>
              <w:t xml:space="preserve"> alacak veya teminat yabancı para ise alacağın hangi tarihteki kur üzerinden talep edildiği ve faiz</w:t>
            </w:r>
            <w:r w:rsidRPr="00A23740">
              <w:rPr>
                <w:rStyle w:val="KIRMIZIChar"/>
                <w:rFonts w:eastAsia="Calibri"/>
              </w:rPr>
              <w:t>i;</w:t>
            </w:r>
            <w:r w:rsidRPr="00A23740">
              <w:rPr>
                <w:szCs w:val="24"/>
              </w:rPr>
              <w:t xml:space="preserve">  </w:t>
            </w: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537077" w:rsidRPr="00A23740" w:rsidRDefault="00537077"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537077" w:rsidRPr="00A23740" w:rsidRDefault="00537077"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r w:rsidRPr="00A23740">
              <w:rPr>
                <w:rStyle w:val="KIRMIZIChar"/>
                <w:rFonts w:eastAsia="Calibri"/>
              </w:rPr>
              <w:t>4. Senet</w:t>
            </w:r>
            <w:r w:rsidRPr="00A23740">
              <w:rPr>
                <w:b/>
                <w:bCs/>
                <w:strike/>
                <w:color w:val="FF0000"/>
                <w:szCs w:val="24"/>
              </w:rPr>
              <w:t>, senet yoksa borcun sebebi;</w:t>
            </w: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291C18" w:rsidRPr="00A23740" w:rsidRDefault="00291C18" w:rsidP="009431FF">
            <w:pPr>
              <w:widowControl w:val="0"/>
              <w:tabs>
                <w:tab w:val="left" w:pos="567"/>
              </w:tabs>
              <w:autoSpaceDE w:val="0"/>
              <w:autoSpaceDN w:val="0"/>
              <w:adjustRightInd w:val="0"/>
              <w:rPr>
                <w:szCs w:val="24"/>
              </w:rPr>
            </w:pPr>
          </w:p>
          <w:p w:rsidR="00537077" w:rsidRPr="00A23740" w:rsidRDefault="00537077"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r w:rsidRPr="00A23740">
              <w:rPr>
                <w:b/>
                <w:bCs/>
                <w:strike/>
                <w:color w:val="FF0000"/>
                <w:szCs w:val="24"/>
              </w:rPr>
              <w:t>5</w:t>
            </w:r>
            <w:r w:rsidRPr="00A23740">
              <w:rPr>
                <w:rStyle w:val="KIRMIZIChar"/>
                <w:rFonts w:eastAsia="Calibri"/>
              </w:rPr>
              <w:t>. T</w:t>
            </w:r>
            <w:r w:rsidRPr="00A23740">
              <w:rPr>
                <w:rStyle w:val="KIRMIZIChar"/>
                <w:rFonts w:eastAsia="Calibri"/>
                <w:b w:val="0"/>
                <w:strike w:val="0"/>
                <w:color w:val="000000"/>
              </w:rPr>
              <w:t>akip yollarından hangisinin seçildiği</w:t>
            </w:r>
            <w:r w:rsidRPr="00A23740">
              <w:rPr>
                <w:rStyle w:val="KIRMIZIChar"/>
                <w:rFonts w:eastAsia="Calibri"/>
              </w:rPr>
              <w:t>;</w:t>
            </w:r>
          </w:p>
          <w:p w:rsidR="00703236" w:rsidRPr="00A23740" w:rsidRDefault="00703236" w:rsidP="009431FF">
            <w:pPr>
              <w:widowControl w:val="0"/>
              <w:tabs>
                <w:tab w:val="left" w:pos="567"/>
              </w:tabs>
              <w:autoSpaceDE w:val="0"/>
              <w:autoSpaceDN w:val="0"/>
              <w:adjustRightInd w:val="0"/>
              <w:rPr>
                <w:b/>
                <w:bCs/>
                <w:strike/>
                <w:color w:val="FF0000"/>
                <w:szCs w:val="24"/>
              </w:rPr>
            </w:pPr>
          </w:p>
          <w:p w:rsidR="00703236" w:rsidRPr="00A23740" w:rsidRDefault="00703236" w:rsidP="009431FF">
            <w:pPr>
              <w:widowControl w:val="0"/>
              <w:tabs>
                <w:tab w:val="left" w:pos="567"/>
              </w:tabs>
              <w:autoSpaceDE w:val="0"/>
              <w:autoSpaceDN w:val="0"/>
              <w:adjustRightInd w:val="0"/>
              <w:rPr>
                <w:b/>
                <w:bCs/>
                <w:strike/>
                <w:color w:val="FF0000"/>
                <w:szCs w:val="24"/>
              </w:rPr>
            </w:pPr>
          </w:p>
          <w:p w:rsidR="00703236" w:rsidRPr="00A23740" w:rsidRDefault="00703236" w:rsidP="009431FF">
            <w:pPr>
              <w:widowControl w:val="0"/>
              <w:tabs>
                <w:tab w:val="left" w:pos="567"/>
              </w:tabs>
              <w:autoSpaceDE w:val="0"/>
              <w:autoSpaceDN w:val="0"/>
              <w:adjustRightInd w:val="0"/>
              <w:rPr>
                <w:szCs w:val="24"/>
              </w:rPr>
            </w:pPr>
            <w:r w:rsidRPr="00A23740">
              <w:rPr>
                <w:b/>
                <w:bCs/>
                <w:strike/>
                <w:color w:val="FF0000"/>
                <w:szCs w:val="24"/>
              </w:rPr>
              <w:t>(3) Alacak belgeye dayanmakta ise, belgenin</w:t>
            </w:r>
            <w:r w:rsidRPr="00A23740">
              <w:rPr>
                <w:szCs w:val="24"/>
              </w:rPr>
              <w:t xml:space="preserve"> aslının veya alacaklı yahut </w:t>
            </w:r>
            <w:r w:rsidRPr="00A23740">
              <w:rPr>
                <w:b/>
                <w:bCs/>
                <w:strike/>
                <w:color w:val="FF0000"/>
                <w:szCs w:val="24"/>
              </w:rPr>
              <w:t>mümessili</w:t>
            </w:r>
            <w:r w:rsidRPr="00A23740">
              <w:rPr>
                <w:szCs w:val="24"/>
              </w:rPr>
              <w:t xml:space="preserve"> tarafından </w:t>
            </w:r>
            <w:r w:rsidRPr="00A23740">
              <w:rPr>
                <w:rStyle w:val="KIRMIZIChar"/>
                <w:rFonts w:eastAsia="Calibri"/>
              </w:rPr>
              <w:t>tasdik edilmiş</w:t>
            </w:r>
            <w:r w:rsidRPr="00A23740">
              <w:rPr>
                <w:szCs w:val="24"/>
              </w:rPr>
              <w:t>, borçlu sayısından bir fazla örneğinin takip talebi anında icra dairesine tevdii mecburidir.</w:t>
            </w: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03236" w:rsidRPr="00A23740" w:rsidRDefault="00703236" w:rsidP="009431FF">
            <w:pPr>
              <w:widowControl w:val="0"/>
              <w:tabs>
                <w:tab w:val="left" w:pos="567"/>
              </w:tabs>
              <w:autoSpaceDE w:val="0"/>
              <w:autoSpaceDN w:val="0"/>
              <w:adjustRightInd w:val="0"/>
              <w:rPr>
                <w:szCs w:val="24"/>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D5D98" w:rsidRPr="00A23740" w:rsidRDefault="007D5D98" w:rsidP="009431FF">
            <w:pPr>
              <w:widowControl w:val="0"/>
              <w:tabs>
                <w:tab w:val="left" w:pos="567"/>
              </w:tabs>
              <w:autoSpaceDE w:val="0"/>
              <w:autoSpaceDN w:val="0"/>
              <w:adjustRightInd w:val="0"/>
              <w:rPr>
                <w:rStyle w:val="KIRMIZIChar"/>
                <w:rFonts w:eastAsia="Calibri"/>
              </w:rPr>
            </w:pPr>
          </w:p>
          <w:p w:rsidR="00703236" w:rsidRPr="00A23740" w:rsidRDefault="00703236" w:rsidP="009431FF">
            <w:pPr>
              <w:widowControl w:val="0"/>
              <w:tabs>
                <w:tab w:val="left" w:pos="567"/>
              </w:tabs>
              <w:autoSpaceDE w:val="0"/>
              <w:autoSpaceDN w:val="0"/>
              <w:adjustRightInd w:val="0"/>
              <w:rPr>
                <w:szCs w:val="24"/>
              </w:rPr>
            </w:pPr>
            <w:r w:rsidRPr="00A23740">
              <w:rPr>
                <w:rStyle w:val="KIRMIZIChar"/>
                <w:rFonts w:eastAsia="Calibri"/>
              </w:rPr>
              <w:t>(4)</w:t>
            </w:r>
            <w:r w:rsidRPr="00A23740">
              <w:rPr>
                <w:szCs w:val="24"/>
              </w:rPr>
              <w:t xml:space="preserve"> Alacaklıya takip talebinde bulunduğuna ve verdiği belgelere, talep ve takip </w:t>
            </w:r>
            <w:r w:rsidRPr="00A23740">
              <w:rPr>
                <w:rStyle w:val="KIRMIZIChar"/>
                <w:rFonts w:eastAsia="Calibri"/>
              </w:rPr>
              <w:t>masraflarına</w:t>
            </w:r>
            <w:r w:rsidRPr="00A23740">
              <w:rPr>
                <w:szCs w:val="24"/>
              </w:rPr>
              <w:t xml:space="preserve"> dair </w:t>
            </w:r>
            <w:r w:rsidRPr="00A23740">
              <w:rPr>
                <w:b/>
                <w:bCs/>
                <w:strike/>
                <w:color w:val="FF0000"/>
                <w:szCs w:val="24"/>
              </w:rPr>
              <w:t>bedava ve pulsuz bir makbuz</w:t>
            </w:r>
            <w:r w:rsidRPr="00A23740">
              <w:rPr>
                <w:szCs w:val="24"/>
              </w:rPr>
              <w:t xml:space="preserve"> verilir.</w:t>
            </w:r>
          </w:p>
          <w:p w:rsidR="00703236" w:rsidRPr="00A23740" w:rsidRDefault="00703236" w:rsidP="009431FF">
            <w:pPr>
              <w:widowControl w:val="0"/>
              <w:tabs>
                <w:tab w:val="left" w:pos="1019"/>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703236" w:rsidRPr="00A23740" w:rsidRDefault="00703236" w:rsidP="009431FF">
            <w:pPr>
              <w:pStyle w:val="Balk4"/>
              <w:keepNext w:val="0"/>
              <w:widowControl w:val="0"/>
              <w:rPr>
                <w:lang w:val="tr-TR"/>
              </w:rPr>
            </w:pPr>
            <w:r w:rsidRPr="00A23740">
              <w:rPr>
                <w:lang w:val="tr-TR"/>
              </w:rPr>
              <w:lastRenderedPageBreak/>
              <w:t>ÜÇÜNCÜ AYRIM</w:t>
            </w:r>
          </w:p>
          <w:p w:rsidR="00703236" w:rsidRPr="00A23740" w:rsidRDefault="00703236" w:rsidP="009431FF">
            <w:pPr>
              <w:pStyle w:val="Balk4"/>
              <w:keepNext w:val="0"/>
              <w:widowControl w:val="0"/>
              <w:rPr>
                <w:lang w:val="tr-TR"/>
              </w:rPr>
            </w:pPr>
            <w:r w:rsidRPr="00A23740">
              <w:rPr>
                <w:b w:val="0"/>
                <w:color w:val="auto"/>
                <w:lang w:val="tr-TR"/>
              </w:rPr>
              <w:t>Takip Talebi</w:t>
            </w:r>
            <w:r w:rsidRPr="00A23740">
              <w:rPr>
                <w:lang w:val="tr-TR"/>
              </w:rPr>
              <w:t xml:space="preserve"> ve Ödeme Emri</w:t>
            </w:r>
          </w:p>
          <w:p w:rsidR="00703236" w:rsidRPr="00A23740" w:rsidRDefault="00703236" w:rsidP="009431FF">
            <w:pPr>
              <w:widowControl w:val="0"/>
              <w:autoSpaceDE w:val="0"/>
              <w:autoSpaceDN w:val="0"/>
              <w:adjustRightInd w:val="0"/>
              <w:rPr>
                <w:b/>
                <w:bCs/>
                <w:szCs w:val="24"/>
              </w:rPr>
            </w:pPr>
          </w:p>
          <w:p w:rsidR="00703236" w:rsidRPr="00A23740" w:rsidRDefault="00703236" w:rsidP="009431FF">
            <w:pPr>
              <w:widowControl w:val="0"/>
              <w:autoSpaceDE w:val="0"/>
              <w:autoSpaceDN w:val="0"/>
              <w:adjustRightInd w:val="0"/>
              <w:rPr>
                <w:szCs w:val="24"/>
              </w:rPr>
            </w:pPr>
            <w:r w:rsidRPr="00A23740">
              <w:rPr>
                <w:b/>
                <w:bCs/>
                <w:szCs w:val="24"/>
              </w:rPr>
              <w:t xml:space="preserve">Takip talebi </w:t>
            </w:r>
            <w:r w:rsidRPr="00A23740">
              <w:rPr>
                <w:rStyle w:val="MaviChar"/>
              </w:rPr>
              <w:t>ve alacak belgesi</w:t>
            </w:r>
          </w:p>
          <w:p w:rsidR="00703236" w:rsidRPr="00A23740" w:rsidRDefault="00703236" w:rsidP="009431FF">
            <w:pPr>
              <w:widowControl w:val="0"/>
              <w:autoSpaceDE w:val="0"/>
              <w:autoSpaceDN w:val="0"/>
              <w:adjustRightInd w:val="0"/>
              <w:rPr>
                <w:rStyle w:val="MaviChar"/>
              </w:rPr>
            </w:pPr>
            <w:r w:rsidRPr="00A23740">
              <w:rPr>
                <w:rStyle w:val="MaviChar"/>
              </w:rPr>
              <w:t>MADDE 87- (1)</w:t>
            </w:r>
            <w:r w:rsidRPr="00A23740">
              <w:rPr>
                <w:b/>
                <w:bCs/>
                <w:szCs w:val="24"/>
              </w:rPr>
              <w:t xml:space="preserve"> </w:t>
            </w:r>
            <w:r w:rsidRPr="00A23740">
              <w:rPr>
                <w:szCs w:val="24"/>
              </w:rPr>
              <w:t>Takip talebi</w:t>
            </w:r>
            <w:r w:rsidRPr="00A23740">
              <w:rPr>
                <w:rStyle w:val="MaviChar"/>
              </w:rPr>
              <w:t>,</w:t>
            </w:r>
            <w:r w:rsidRPr="00A23740">
              <w:rPr>
                <w:szCs w:val="24"/>
              </w:rPr>
              <w:t xml:space="preserve"> icra </w:t>
            </w:r>
            <w:r w:rsidRPr="00A23740">
              <w:rPr>
                <w:rStyle w:val="MaviChar"/>
              </w:rPr>
              <w:t>ve iflas</w:t>
            </w:r>
            <w:r w:rsidRPr="00A23740">
              <w:rPr>
                <w:szCs w:val="24"/>
              </w:rPr>
              <w:t xml:space="preserve"> dairesine yazılı veya sözlü olarak yapılır.</w:t>
            </w:r>
          </w:p>
          <w:p w:rsidR="00703236" w:rsidRDefault="00703236" w:rsidP="009431FF">
            <w:pPr>
              <w:pStyle w:val="YEL"/>
              <w:widowControl w:val="0"/>
              <w:rPr>
                <w:lang w:val="tr-TR"/>
              </w:rPr>
            </w:pPr>
          </w:p>
          <w:p w:rsidR="00551F85" w:rsidRPr="00A23740" w:rsidRDefault="00551F85" w:rsidP="009431FF">
            <w:pPr>
              <w:pStyle w:val="YEL"/>
              <w:widowControl w:val="0"/>
              <w:rPr>
                <w:lang w:val="tr-TR"/>
              </w:rPr>
            </w:pPr>
          </w:p>
          <w:p w:rsidR="00703236" w:rsidRPr="00A23740" w:rsidRDefault="00703236" w:rsidP="009431FF">
            <w:pPr>
              <w:pStyle w:val="Mavi"/>
              <w:widowControl w:val="0"/>
            </w:pPr>
            <w:r w:rsidRPr="00A23740">
              <w:t xml:space="preserve">(2) Takip talebinde aşağıdaki hususlar </w:t>
            </w:r>
            <w:r w:rsidRPr="00A23740">
              <w:rPr>
                <w:lang w:val="tr-TR"/>
              </w:rPr>
              <w:t xml:space="preserve">bulunur </w:t>
            </w:r>
            <w:r w:rsidRPr="00A23740">
              <w:t>ve takip talebine aşağıdaki belgeler eklenir:</w:t>
            </w:r>
          </w:p>
          <w:p w:rsidR="00703236" w:rsidRPr="00A23740" w:rsidRDefault="00703236" w:rsidP="009431FF">
            <w:pPr>
              <w:widowControl w:val="0"/>
              <w:autoSpaceDE w:val="0"/>
              <w:autoSpaceDN w:val="0"/>
              <w:adjustRightInd w:val="0"/>
              <w:rPr>
                <w:rStyle w:val="MaviChar"/>
              </w:rPr>
            </w:pPr>
            <w:r w:rsidRPr="00A23740">
              <w:rPr>
                <w:rStyle w:val="MaviChar"/>
              </w:rPr>
              <w:t>a)</w:t>
            </w:r>
            <w:r w:rsidRPr="00A23740">
              <w:rPr>
                <w:b/>
                <w:bCs/>
                <w:szCs w:val="24"/>
              </w:rPr>
              <w:t xml:space="preserve"> </w:t>
            </w:r>
            <w:r w:rsidRPr="00A23740">
              <w:rPr>
                <w:szCs w:val="24"/>
              </w:rPr>
              <w:t xml:space="preserve">Alacaklının ve varsa kanuni temsilcisinin ve vekilinin adı, soyadı, </w:t>
            </w:r>
            <w:r w:rsidR="00330FCE" w:rsidRPr="00A23740">
              <w:rPr>
                <w:rStyle w:val="MaviChar"/>
              </w:rPr>
              <w:t>tüzel kişiyse ü</w:t>
            </w:r>
            <w:r w:rsidRPr="00A23740">
              <w:rPr>
                <w:rStyle w:val="MaviChar"/>
              </w:rPr>
              <w:t>nvanı</w:t>
            </w:r>
            <w:r w:rsidRPr="00A23740">
              <w:rPr>
                <w:szCs w:val="24"/>
              </w:rPr>
              <w:t xml:space="preserve">, </w:t>
            </w:r>
            <w:r w:rsidRPr="00A23740">
              <w:rPr>
                <w:rStyle w:val="MaviChar"/>
              </w:rPr>
              <w:t>adresi;</w:t>
            </w:r>
            <w:r w:rsidRPr="00A23740">
              <w:rPr>
                <w:szCs w:val="24"/>
              </w:rPr>
              <w:t xml:space="preserve"> alacaklı veya </w:t>
            </w:r>
            <w:r w:rsidRPr="00A23740">
              <w:rPr>
                <w:rStyle w:val="MaviChar"/>
              </w:rPr>
              <w:t>vekilinin</w:t>
            </w:r>
            <w:r w:rsidRPr="00A23740">
              <w:rPr>
                <w:szCs w:val="24"/>
              </w:rPr>
              <w:t xml:space="preserve"> banka hesap bilgileri; </w:t>
            </w:r>
            <w:r w:rsidRPr="00A23740">
              <w:rPr>
                <w:rStyle w:val="MaviChar"/>
              </w:rPr>
              <w:t>gerçek kişiler için</w:t>
            </w:r>
            <w:r w:rsidRPr="00A23740">
              <w:rPr>
                <w:szCs w:val="24"/>
              </w:rPr>
              <w:t xml:space="preserve"> Türkiye Cumhuriyeti kimlik numarası, </w:t>
            </w:r>
            <w:r w:rsidRPr="00A23740">
              <w:rPr>
                <w:rStyle w:val="MaviChar"/>
              </w:rPr>
              <w:t>tüzel kişiler için</w:t>
            </w:r>
            <w:r w:rsidRPr="00A23740">
              <w:rPr>
                <w:szCs w:val="24"/>
              </w:rPr>
              <w:t xml:space="preserve"> vergi kimlik numarası </w:t>
            </w:r>
            <w:r w:rsidRPr="00A23740">
              <w:rPr>
                <w:rStyle w:val="MaviChar"/>
              </w:rPr>
              <w:t>ve Merkezi Sicil Kayıt Sistemi numarası veya varsa ilgili sicil numarası</w:t>
            </w:r>
            <w:r w:rsidRPr="00A23740">
              <w:rPr>
                <w:szCs w:val="24"/>
              </w:rPr>
              <w:t>; alacaklı</w:t>
            </w:r>
            <w:r w:rsidRPr="00A23740">
              <w:rPr>
                <w:rStyle w:val="MaviChar"/>
              </w:rPr>
              <w:t>nın yerleşim yerinin</w:t>
            </w:r>
            <w:r w:rsidRPr="00A23740">
              <w:rPr>
                <w:szCs w:val="24"/>
              </w:rPr>
              <w:t xml:space="preserve"> yabancı </w:t>
            </w:r>
            <w:r w:rsidRPr="00A23740">
              <w:rPr>
                <w:rStyle w:val="MaviChar"/>
              </w:rPr>
              <w:t>ülkede</w:t>
            </w:r>
            <w:r w:rsidRPr="00A23740">
              <w:rPr>
                <w:szCs w:val="24"/>
              </w:rPr>
              <w:t xml:space="preserve"> </w:t>
            </w:r>
            <w:r w:rsidRPr="00A23740">
              <w:rPr>
                <w:rStyle w:val="MaviChar"/>
              </w:rPr>
              <w:t>olması h</w:t>
            </w:r>
            <w:r w:rsidR="002F2BAA" w:rsidRPr="00A23740">
              <w:rPr>
                <w:rStyle w:val="MaviChar"/>
                <w:lang w:val="tr-TR"/>
              </w:rPr>
              <w:t>â</w:t>
            </w:r>
            <w:r w:rsidRPr="00A23740">
              <w:rPr>
                <w:rStyle w:val="MaviChar"/>
              </w:rPr>
              <w:t>linde</w:t>
            </w:r>
            <w:r w:rsidRPr="00A23740">
              <w:rPr>
                <w:szCs w:val="24"/>
              </w:rPr>
              <w:t xml:space="preserve"> Türkiye’de göstereceği </w:t>
            </w:r>
            <w:r w:rsidR="00291C18" w:rsidRPr="00A23740">
              <w:rPr>
                <w:rStyle w:val="MaviChar"/>
              </w:rPr>
              <w:t>tebligat adresi.</w:t>
            </w:r>
          </w:p>
          <w:p w:rsidR="00537077" w:rsidRPr="00A23740" w:rsidRDefault="00537077" w:rsidP="009431FF">
            <w:pPr>
              <w:widowControl w:val="0"/>
              <w:autoSpaceDE w:val="0"/>
              <w:autoSpaceDN w:val="0"/>
              <w:adjustRightInd w:val="0"/>
              <w:rPr>
                <w:b/>
                <w:bCs/>
                <w:color w:val="0000FF"/>
                <w:szCs w:val="24"/>
                <w:lang w:val="x-none" w:eastAsia="x-none"/>
              </w:rPr>
            </w:pPr>
          </w:p>
          <w:p w:rsidR="00703236" w:rsidRPr="00A23740" w:rsidRDefault="00703236" w:rsidP="009431FF">
            <w:pPr>
              <w:pStyle w:val="Mavi"/>
              <w:widowControl w:val="0"/>
              <w:rPr>
                <w:lang w:val="tr-TR"/>
              </w:rPr>
            </w:pPr>
            <w:r w:rsidRPr="00A23740">
              <w:rPr>
                <w:lang w:val="tr-TR"/>
              </w:rPr>
              <w:t xml:space="preserve">b) </w:t>
            </w:r>
            <w:r w:rsidRPr="00A23740">
              <w:rPr>
                <w:b w:val="0"/>
                <w:bCs w:val="0"/>
                <w:color w:val="auto"/>
                <w:lang w:val="tr-TR" w:eastAsia="en-US"/>
              </w:rPr>
              <w:t>Borçlunun ve varsa kanuni temsilcisinin adı, soyadı, biliniyorsa Türkiye Cumhuriyeti kimlik numarası</w:t>
            </w:r>
            <w:r w:rsidR="00330FCE" w:rsidRPr="00A23740">
              <w:rPr>
                <w:lang w:val="tr-TR"/>
              </w:rPr>
              <w:t>; tüzel kişi ise ü</w:t>
            </w:r>
            <w:r w:rsidRPr="00A23740">
              <w:rPr>
                <w:lang w:val="tr-TR"/>
              </w:rPr>
              <w:t xml:space="preserve">nvanı, </w:t>
            </w:r>
            <w:r w:rsidRPr="00A23740">
              <w:rPr>
                <w:b w:val="0"/>
                <w:bCs w:val="0"/>
                <w:color w:val="auto"/>
                <w:lang w:val="tr-TR" w:eastAsia="en-US"/>
              </w:rPr>
              <w:t>vergi kimlik numarası,</w:t>
            </w:r>
            <w:r w:rsidRPr="00A23740">
              <w:rPr>
                <w:lang w:val="tr-TR"/>
              </w:rPr>
              <w:t xml:space="preserve"> </w:t>
            </w:r>
            <w:r w:rsidRPr="00A23740">
              <w:t>biliniyorsa</w:t>
            </w:r>
            <w:r w:rsidRPr="00A23740">
              <w:rPr>
                <w:lang w:val="tr-TR"/>
              </w:rPr>
              <w:t xml:space="preserve"> Merkezi Sicil Kayıt Sistemi numarası </w:t>
            </w:r>
            <w:r w:rsidRPr="00A23740">
              <w:rPr>
                <w:b w:val="0"/>
                <w:bCs w:val="0"/>
                <w:color w:val="auto"/>
                <w:lang w:val="tr-TR" w:eastAsia="en-US"/>
              </w:rPr>
              <w:lastRenderedPageBreak/>
              <w:t xml:space="preserve">veya </w:t>
            </w:r>
            <w:r w:rsidRPr="00A23740">
              <w:rPr>
                <w:lang w:val="tr-TR"/>
              </w:rPr>
              <w:t xml:space="preserve">ilgili sicil numarası; </w:t>
            </w:r>
            <w:r w:rsidRPr="00A23740">
              <w:t>biliniyorsa</w:t>
            </w:r>
            <w:r w:rsidR="00291C18" w:rsidRPr="00A23740">
              <w:rPr>
                <w:lang w:val="tr-TR"/>
              </w:rPr>
              <w:t xml:space="preserve"> adresi.</w:t>
            </w:r>
          </w:p>
          <w:p w:rsidR="00291C18" w:rsidRPr="00A23740" w:rsidRDefault="00291C18" w:rsidP="009431FF">
            <w:pPr>
              <w:pStyle w:val="Mavi"/>
              <w:widowControl w:val="0"/>
              <w:rPr>
                <w:lang w:val="tr-TR"/>
              </w:rPr>
            </w:pPr>
          </w:p>
          <w:p w:rsidR="00291C18" w:rsidRPr="00A23740" w:rsidRDefault="00291C18" w:rsidP="009431FF">
            <w:pPr>
              <w:pStyle w:val="Mavi"/>
              <w:widowControl w:val="0"/>
              <w:rPr>
                <w:lang w:val="tr-TR"/>
              </w:rPr>
            </w:pPr>
          </w:p>
          <w:p w:rsidR="00291C18" w:rsidRPr="00A23740" w:rsidRDefault="00291C18" w:rsidP="009431FF">
            <w:pPr>
              <w:pStyle w:val="Mavi"/>
              <w:widowControl w:val="0"/>
              <w:rPr>
                <w:lang w:val="tr-TR"/>
              </w:rPr>
            </w:pPr>
          </w:p>
          <w:p w:rsidR="00291C18" w:rsidRPr="00A23740" w:rsidRDefault="00291C18" w:rsidP="009431FF">
            <w:pPr>
              <w:pStyle w:val="Mavi"/>
              <w:widowControl w:val="0"/>
              <w:rPr>
                <w:lang w:val="tr-TR"/>
              </w:rPr>
            </w:pPr>
          </w:p>
          <w:p w:rsidR="00291C18" w:rsidRPr="00A23740" w:rsidRDefault="00291C18" w:rsidP="009431FF">
            <w:pPr>
              <w:pStyle w:val="Mavi"/>
              <w:widowControl w:val="0"/>
              <w:rPr>
                <w:lang w:val="tr-TR"/>
              </w:rPr>
            </w:pPr>
          </w:p>
          <w:p w:rsidR="00703236" w:rsidRPr="00A23740" w:rsidRDefault="00703236" w:rsidP="009431FF">
            <w:pPr>
              <w:widowControl w:val="0"/>
              <w:autoSpaceDE w:val="0"/>
              <w:autoSpaceDN w:val="0"/>
              <w:adjustRightInd w:val="0"/>
              <w:rPr>
                <w:rStyle w:val="MaviChar"/>
              </w:rPr>
            </w:pPr>
            <w:r w:rsidRPr="00A23740">
              <w:rPr>
                <w:rStyle w:val="MaviChar"/>
              </w:rPr>
              <w:t>c)</w:t>
            </w:r>
            <w:r w:rsidRPr="00A23740">
              <w:rPr>
                <w:szCs w:val="24"/>
              </w:rPr>
              <w:t xml:space="preserve"> Alacağın veya istenen teminatın Türk parasıyla tutarı ve faizli alacaklarda faizin </w:t>
            </w:r>
            <w:r w:rsidRPr="00A23740">
              <w:rPr>
                <w:rStyle w:val="MaviChar"/>
              </w:rPr>
              <w:t>türü, oranı,</w:t>
            </w:r>
            <w:r w:rsidRPr="00A23740">
              <w:rPr>
                <w:szCs w:val="24"/>
              </w:rPr>
              <w:t xml:space="preserve"> miktarı ile işlemeye başladığı gün</w:t>
            </w:r>
            <w:r w:rsidRPr="00A23740">
              <w:rPr>
                <w:rStyle w:val="MaviChar"/>
              </w:rPr>
              <w:t xml:space="preserve">; </w:t>
            </w:r>
            <w:r w:rsidRPr="00A23740">
              <w:rPr>
                <w:szCs w:val="24"/>
              </w:rPr>
              <w:t xml:space="preserve">alacak veya istenen teminat yabancı para ise, </w:t>
            </w:r>
            <w:r w:rsidRPr="00A23740">
              <w:rPr>
                <w:rStyle w:val="MaviChar"/>
              </w:rPr>
              <w:t xml:space="preserve">harca esas olmak üzere takip talebi tarihindeki Türkiye Cumhuriyet Merkez Bankası efektif satış kuru üzerinden Türk </w:t>
            </w:r>
            <w:r w:rsidR="00A53928" w:rsidRPr="00A23740">
              <w:rPr>
                <w:rStyle w:val="MaviChar"/>
              </w:rPr>
              <w:t>liras</w:t>
            </w:r>
            <w:r w:rsidR="00A53928" w:rsidRPr="00A23740">
              <w:rPr>
                <w:rStyle w:val="MaviChar"/>
                <w:lang w:val="tr-TR"/>
              </w:rPr>
              <w:t>ı</w:t>
            </w:r>
            <w:r w:rsidR="00A53928" w:rsidRPr="00A23740">
              <w:rPr>
                <w:rStyle w:val="MaviChar"/>
              </w:rPr>
              <w:t xml:space="preserve"> </w:t>
            </w:r>
            <w:r w:rsidRPr="00A23740">
              <w:rPr>
                <w:rStyle w:val="MaviChar"/>
              </w:rPr>
              <w:t>karşılığı ve</w:t>
            </w:r>
            <w:r w:rsidRPr="00A23740">
              <w:rPr>
                <w:szCs w:val="24"/>
              </w:rPr>
              <w:t xml:space="preserve"> alacağın hangi tarihteki kur üzerinden talep edildiği ve faiz</w:t>
            </w:r>
            <w:r w:rsidRPr="00A23740">
              <w:rPr>
                <w:rStyle w:val="MaviChar"/>
              </w:rPr>
              <w:t>li yabancı para alacaklarında faizin türü, oranı, miktarı ile işlemeye başladığı gün.</w:t>
            </w:r>
          </w:p>
          <w:p w:rsidR="00537077" w:rsidRPr="00A23740" w:rsidRDefault="00537077" w:rsidP="009431FF">
            <w:pPr>
              <w:widowControl w:val="0"/>
              <w:autoSpaceDE w:val="0"/>
              <w:autoSpaceDN w:val="0"/>
              <w:adjustRightInd w:val="0"/>
              <w:rPr>
                <w:rStyle w:val="MAVChar"/>
                <w:rFonts w:eastAsia="Calibri"/>
                <w:b w:val="0"/>
                <w:bCs w:val="0"/>
                <w:color w:val="auto"/>
                <w:u w:val="none"/>
              </w:rPr>
            </w:pPr>
          </w:p>
          <w:p w:rsidR="00703236" w:rsidRPr="00A23740" w:rsidRDefault="00703236" w:rsidP="009431FF">
            <w:pPr>
              <w:widowControl w:val="0"/>
              <w:tabs>
                <w:tab w:val="left" w:pos="567"/>
              </w:tabs>
              <w:autoSpaceDE w:val="0"/>
              <w:autoSpaceDN w:val="0"/>
              <w:adjustRightInd w:val="0"/>
              <w:rPr>
                <w:rStyle w:val="MaviChar"/>
              </w:rPr>
            </w:pPr>
            <w:r w:rsidRPr="00A23740">
              <w:rPr>
                <w:rStyle w:val="MaviChar"/>
              </w:rPr>
              <w:t>ç) Takip konusu para vey</w:t>
            </w:r>
            <w:r w:rsidR="00AD7D81" w:rsidRPr="00A23740">
              <w:rPr>
                <w:rStyle w:val="MaviChar"/>
              </w:rPr>
              <w:t>a teminat alacağı hakkında resm</w:t>
            </w:r>
            <w:r w:rsidR="00AD7D81" w:rsidRPr="00A23740">
              <w:rPr>
                <w:rStyle w:val="MaviChar"/>
                <w:lang w:val="tr-TR"/>
              </w:rPr>
              <w:t>î</w:t>
            </w:r>
            <w:r w:rsidRPr="00A23740">
              <w:rPr>
                <w:rStyle w:val="MaviChar"/>
              </w:rPr>
              <w:t xml:space="preserve"> dairelerin ya da yetkili makamların</w:t>
            </w:r>
            <w:r w:rsidRPr="00A23740">
              <w:rPr>
                <w:rStyle w:val="MAVChar"/>
                <w:rFonts w:eastAsia="Calibri"/>
                <w:color w:val="FF0000"/>
                <w:u w:val="none"/>
              </w:rPr>
              <w:t xml:space="preserve"> </w:t>
            </w:r>
            <w:r w:rsidRPr="00A23740">
              <w:rPr>
                <w:rStyle w:val="MaviChar"/>
              </w:rPr>
              <w:t>düzenledikleri yahut onayladıkları belge veyahut borçlunun tarafı olduğu yazılı sözleşmeler de dahil olmak üzere adi senet veya itiraz edilmemiş fatura.</w:t>
            </w:r>
          </w:p>
          <w:p w:rsidR="00537077" w:rsidRPr="00A23740" w:rsidRDefault="00537077" w:rsidP="009431FF">
            <w:pPr>
              <w:widowControl w:val="0"/>
              <w:tabs>
                <w:tab w:val="left" w:pos="567"/>
              </w:tabs>
              <w:autoSpaceDE w:val="0"/>
              <w:autoSpaceDN w:val="0"/>
              <w:adjustRightInd w:val="0"/>
              <w:rPr>
                <w:rStyle w:val="MaviChar"/>
              </w:rPr>
            </w:pPr>
          </w:p>
          <w:p w:rsidR="00703236" w:rsidRPr="006D2E3C" w:rsidRDefault="00A53928" w:rsidP="009431FF">
            <w:pPr>
              <w:pStyle w:val="Mavi"/>
              <w:widowControl w:val="0"/>
              <w:rPr>
                <w:rStyle w:val="Stil5Char0"/>
                <w:color w:val="0000FF"/>
              </w:rPr>
            </w:pPr>
            <w:r w:rsidRPr="006D2E3C">
              <w:rPr>
                <w:rStyle w:val="Stil5Char0"/>
                <w:b/>
                <w:color w:val="0000FF"/>
                <w:lang w:val="tr-TR"/>
              </w:rPr>
              <w:t>d</w:t>
            </w:r>
            <w:r w:rsidR="00703236" w:rsidRPr="006D2E3C">
              <w:rPr>
                <w:rStyle w:val="Stil5Char0"/>
                <w:b/>
                <w:color w:val="0000FF"/>
              </w:rPr>
              <w:t>)</w:t>
            </w:r>
            <w:r w:rsidR="00703236" w:rsidRPr="006D2E3C">
              <w:rPr>
                <w:b w:val="0"/>
              </w:rPr>
              <w:t xml:space="preserve"> </w:t>
            </w:r>
            <w:r w:rsidR="00703236" w:rsidRPr="006D2E3C">
              <w:rPr>
                <w:rStyle w:val="Stil5Char0"/>
                <w:b/>
                <w:color w:val="0000FF"/>
              </w:rPr>
              <w:t>Takip konusu para veya teminat alacağı</w:t>
            </w:r>
            <w:r w:rsidR="00703236" w:rsidRPr="006D2E3C">
              <w:rPr>
                <w:rStyle w:val="MaviChar"/>
                <w:b/>
              </w:rPr>
              <w:t xml:space="preserve"> </w:t>
            </w:r>
            <w:r w:rsidR="00703236" w:rsidRPr="006D2E3C">
              <w:rPr>
                <w:rStyle w:val="Stil5Char0"/>
                <w:b/>
                <w:color w:val="0000FF"/>
              </w:rPr>
              <w:t>hakkında</w:t>
            </w:r>
            <w:r w:rsidR="00703236" w:rsidRPr="006D2E3C">
              <w:rPr>
                <w:rStyle w:val="MaviChar"/>
                <w:b/>
              </w:rPr>
              <w:t xml:space="preserve"> </w:t>
            </w:r>
            <w:r w:rsidR="00AD7D81" w:rsidRPr="006D2E3C">
              <w:rPr>
                <w:rStyle w:val="Stil5Char0"/>
                <w:b/>
                <w:color w:val="0000FF"/>
              </w:rPr>
              <w:t>resm</w:t>
            </w:r>
            <w:r w:rsidR="00AD7D81" w:rsidRPr="006D2E3C">
              <w:rPr>
                <w:rStyle w:val="Stil5Char0"/>
                <w:b/>
                <w:color w:val="0000FF"/>
                <w:lang w:val="tr-TR"/>
              </w:rPr>
              <w:t>î</w:t>
            </w:r>
            <w:r w:rsidR="00703236" w:rsidRPr="006D2E3C">
              <w:rPr>
                <w:rStyle w:val="Stil5Char0"/>
                <w:b/>
                <w:color w:val="0000FF"/>
              </w:rPr>
              <w:t xml:space="preserve"> dairelerin ya da yetkili makamların düzenledikleri yahut onayladıkları</w:t>
            </w:r>
            <w:r w:rsidR="00703236" w:rsidRPr="006D2E3C">
              <w:rPr>
                <w:rStyle w:val="Stil5Char0"/>
                <w:b/>
                <w:color w:val="0000FF"/>
                <w:lang w:val="tr-TR"/>
              </w:rPr>
              <w:t xml:space="preserve"> </w:t>
            </w:r>
            <w:r w:rsidR="00703236" w:rsidRPr="006D2E3C">
              <w:rPr>
                <w:rStyle w:val="YELChar"/>
                <w:rFonts w:eastAsia="Calibri"/>
                <w:b/>
                <w:color w:val="0000FF"/>
              </w:rPr>
              <w:t>bir</w:t>
            </w:r>
            <w:r w:rsidR="00703236" w:rsidRPr="006D2E3C">
              <w:rPr>
                <w:rStyle w:val="Stil5Char0"/>
                <w:b/>
                <w:color w:val="0000FF"/>
              </w:rPr>
              <w:t xml:space="preserve"> belge veyahut</w:t>
            </w:r>
            <w:r w:rsidR="00703236" w:rsidRPr="006D2E3C">
              <w:rPr>
                <w:rStyle w:val="Stil5Char0"/>
                <w:color w:val="0000FF"/>
                <w:lang w:val="tr-TR"/>
              </w:rPr>
              <w:t xml:space="preserve"> </w:t>
            </w:r>
            <w:r w:rsidR="00703236" w:rsidRPr="006D2E3C">
              <w:rPr>
                <w:rStyle w:val="YELChar"/>
                <w:rFonts w:eastAsia="Calibri"/>
                <w:b/>
                <w:color w:val="0000FF"/>
              </w:rPr>
              <w:t>sözleşmeler dahil,</w:t>
            </w:r>
            <w:r w:rsidR="00703236" w:rsidRPr="006D2E3C">
              <w:rPr>
                <w:rStyle w:val="Stil5Char0"/>
                <w:color w:val="0000FF"/>
                <w:lang w:val="tr-TR"/>
              </w:rPr>
              <w:t xml:space="preserve"> </w:t>
            </w:r>
            <w:r w:rsidR="00703236" w:rsidRPr="006D2E3C">
              <w:rPr>
                <w:rStyle w:val="YELChar"/>
                <w:rFonts w:eastAsia="Calibri"/>
                <w:b/>
                <w:color w:val="0000FF"/>
              </w:rPr>
              <w:t>alacağın doğum sebebini ispata elverişli senet ya da iki tarafı da tacir olan icra takiplerinde itiraz edilmemiş fatura</w:t>
            </w:r>
            <w:r w:rsidR="00703236" w:rsidRPr="006D2E3C">
              <w:rPr>
                <w:rStyle w:val="Stil5Char0"/>
                <w:color w:val="0000FF"/>
              </w:rPr>
              <w:t>.</w:t>
            </w:r>
          </w:p>
          <w:p w:rsidR="00537077" w:rsidRPr="00A23740" w:rsidRDefault="00537077" w:rsidP="009431FF">
            <w:pPr>
              <w:pStyle w:val="Mavi"/>
              <w:widowControl w:val="0"/>
            </w:pPr>
          </w:p>
          <w:p w:rsidR="00703236" w:rsidRPr="00A23740" w:rsidRDefault="00A53928" w:rsidP="009431FF">
            <w:pPr>
              <w:widowControl w:val="0"/>
              <w:autoSpaceDE w:val="0"/>
              <w:autoSpaceDN w:val="0"/>
              <w:adjustRightInd w:val="0"/>
            </w:pPr>
            <w:r w:rsidRPr="00A23740">
              <w:rPr>
                <w:rStyle w:val="MaviChar"/>
                <w:lang w:val="tr-TR"/>
              </w:rPr>
              <w:t>e</w:t>
            </w:r>
            <w:r w:rsidR="00703236" w:rsidRPr="00A23740">
              <w:rPr>
                <w:rStyle w:val="MaviChar"/>
              </w:rPr>
              <w:t>)</w:t>
            </w:r>
            <w:r w:rsidR="00703236" w:rsidRPr="00A23740">
              <w:rPr>
                <w:szCs w:val="24"/>
              </w:rPr>
              <w:t xml:space="preserve"> </w:t>
            </w:r>
            <w:r w:rsidR="00703236" w:rsidRPr="00A23740">
              <w:rPr>
                <w:rStyle w:val="MaviChar"/>
              </w:rPr>
              <w:t>Takip para alacağı veya teminat alacağı hakkında ise t</w:t>
            </w:r>
            <w:r w:rsidR="00703236" w:rsidRPr="00A23740">
              <w:rPr>
                <w:rStyle w:val="MaviChar"/>
                <w:b w:val="0"/>
                <w:color w:val="000000"/>
              </w:rPr>
              <w:t>akip yollarından hangisinin seçildiği</w:t>
            </w:r>
            <w:r w:rsidR="00703236" w:rsidRPr="00A23740">
              <w:rPr>
                <w:rStyle w:val="MaviChar"/>
              </w:rPr>
              <w:t>.</w:t>
            </w:r>
          </w:p>
          <w:p w:rsidR="00703236" w:rsidRPr="00A23740" w:rsidRDefault="00703236" w:rsidP="009431FF">
            <w:pPr>
              <w:widowControl w:val="0"/>
              <w:autoSpaceDE w:val="0"/>
              <w:autoSpaceDN w:val="0"/>
              <w:adjustRightInd w:val="0"/>
              <w:rPr>
                <w:szCs w:val="24"/>
              </w:rPr>
            </w:pPr>
          </w:p>
          <w:p w:rsidR="00703236" w:rsidRPr="00A23740" w:rsidRDefault="00703236" w:rsidP="009431FF">
            <w:pPr>
              <w:widowControl w:val="0"/>
              <w:autoSpaceDE w:val="0"/>
              <w:autoSpaceDN w:val="0"/>
              <w:adjustRightInd w:val="0"/>
              <w:rPr>
                <w:rStyle w:val="YELChar"/>
                <w:rFonts w:eastAsia="Calibri"/>
              </w:rPr>
            </w:pPr>
            <w:r w:rsidRPr="00A23740">
              <w:rPr>
                <w:rStyle w:val="MaviChar"/>
              </w:rPr>
              <w:t>(3) İkinci fıkranın (ç) bendinde sayılan alacak belgesinin</w:t>
            </w:r>
            <w:r w:rsidRPr="00A23740">
              <w:rPr>
                <w:szCs w:val="24"/>
              </w:rPr>
              <w:t xml:space="preserve"> aslının veya </w:t>
            </w:r>
            <w:r w:rsidRPr="00A23740">
              <w:rPr>
                <w:rStyle w:val="MaviChar"/>
              </w:rPr>
              <w:t>onaylanmış</w:t>
            </w:r>
            <w:r w:rsidRPr="00A23740">
              <w:rPr>
                <w:szCs w:val="24"/>
              </w:rPr>
              <w:t xml:space="preserve">, borçlu sayısından bir fazla örneğinin takip </w:t>
            </w:r>
            <w:r w:rsidRPr="00A23740">
              <w:rPr>
                <w:rStyle w:val="MaviChar"/>
              </w:rPr>
              <w:t>talebiyle birlikte</w:t>
            </w:r>
            <w:r w:rsidRPr="00A23740">
              <w:rPr>
                <w:szCs w:val="24"/>
              </w:rPr>
              <w:t xml:space="preserve"> icra </w:t>
            </w:r>
            <w:r w:rsidRPr="00A23740">
              <w:rPr>
                <w:rStyle w:val="MaviChar"/>
              </w:rPr>
              <w:t>ve iflas</w:t>
            </w:r>
            <w:r w:rsidRPr="00A23740">
              <w:rPr>
                <w:szCs w:val="24"/>
              </w:rPr>
              <w:t xml:space="preserve"> dairesine tevdii </w:t>
            </w:r>
            <w:r w:rsidRPr="00A23740">
              <w:rPr>
                <w:rStyle w:val="MaviChar"/>
              </w:rPr>
              <w:t>zorunludur</w:t>
            </w:r>
            <w:r w:rsidRPr="00A23740">
              <w:rPr>
                <w:szCs w:val="24"/>
              </w:rPr>
              <w:t xml:space="preserve">. </w:t>
            </w:r>
            <w:r w:rsidRPr="00A23740">
              <w:rPr>
                <w:rStyle w:val="MaviChar"/>
              </w:rPr>
              <w:t xml:space="preserve">Alacak belgesinin </w:t>
            </w:r>
            <w:r w:rsidRPr="00A23740">
              <w:rPr>
                <w:rStyle w:val="MaviChar"/>
              </w:rPr>
              <w:lastRenderedPageBreak/>
              <w:t xml:space="preserve">iadesi </w:t>
            </w:r>
            <w:r w:rsidR="00A53928" w:rsidRPr="006D2E3C">
              <w:rPr>
                <w:rStyle w:val="KonuBalChar"/>
                <w:rFonts w:eastAsia="Calibri"/>
                <w:color w:val="0000FF"/>
              </w:rPr>
              <w:t>266</w:t>
            </w:r>
            <w:r w:rsidR="00A53928" w:rsidRPr="00A23740">
              <w:rPr>
                <w:rStyle w:val="KonuBalChar"/>
                <w:rFonts w:eastAsia="Calibri"/>
              </w:rPr>
              <w:t xml:space="preserve"> </w:t>
            </w:r>
            <w:r w:rsidR="00A53928" w:rsidRPr="006D2E3C">
              <w:rPr>
                <w:rStyle w:val="KonuBalChar"/>
                <w:rFonts w:eastAsia="Calibri"/>
                <w:color w:val="0000FF"/>
              </w:rPr>
              <w:t>ncı</w:t>
            </w:r>
            <w:r w:rsidRPr="00A23740">
              <w:rPr>
                <w:rStyle w:val="MaviChar"/>
              </w:rPr>
              <w:t xml:space="preserve"> madde uyarınca gerçekleştirilir.</w:t>
            </w:r>
            <w:r w:rsidRPr="00A23740">
              <w:rPr>
                <w:rStyle w:val="YELChar"/>
                <w:rFonts w:eastAsia="Calibri"/>
              </w:rPr>
              <w:t xml:space="preserve"> </w:t>
            </w:r>
            <w:r w:rsidRPr="00A23740">
              <w:rPr>
                <w:rStyle w:val="MaviChar"/>
              </w:rPr>
              <w:t>14/12/2009 tarihli ve 5941 sayılı Çek Kanununun 3 üncü maddesinin altıncı</w:t>
            </w:r>
            <w:r w:rsidR="00B65D2E" w:rsidRPr="00A23740">
              <w:rPr>
                <w:rStyle w:val="MaviChar"/>
              </w:rPr>
              <w:t xml:space="preserve"> </w:t>
            </w:r>
            <w:r w:rsidR="00B65D2E" w:rsidRPr="006D2E3C">
              <w:rPr>
                <w:rStyle w:val="MaviChar"/>
              </w:rPr>
              <w:t>fıkrasının</w:t>
            </w:r>
            <w:r w:rsidRPr="00A23740">
              <w:rPr>
                <w:rStyle w:val="MaviChar"/>
                <w:color w:val="538135"/>
              </w:rPr>
              <w:t xml:space="preserve"> </w:t>
            </w:r>
            <w:r w:rsidRPr="00A23740">
              <w:rPr>
                <w:rStyle w:val="MaviChar"/>
              </w:rPr>
              <w:t xml:space="preserve">kısmi ödemeye ilişkin </w:t>
            </w:r>
            <w:r w:rsidR="00B65D2E" w:rsidRPr="006D2E3C">
              <w:rPr>
                <w:rStyle w:val="MaviChar"/>
              </w:rPr>
              <w:t>olan</w:t>
            </w:r>
            <w:r w:rsidR="00B65D2E" w:rsidRPr="00A23740">
              <w:rPr>
                <w:rStyle w:val="MaviChar"/>
                <w:color w:val="538135"/>
              </w:rPr>
              <w:t xml:space="preserve"> </w:t>
            </w:r>
            <w:r w:rsidR="00B65D2E" w:rsidRPr="006D2E3C">
              <w:rPr>
                <w:rStyle w:val="MaviChar"/>
              </w:rPr>
              <w:t>hükmü</w:t>
            </w:r>
            <w:r w:rsidR="00B65D2E" w:rsidRPr="00A23740">
              <w:rPr>
                <w:rStyle w:val="MaviChar"/>
                <w:color w:val="538135"/>
              </w:rPr>
              <w:t xml:space="preserve"> </w:t>
            </w:r>
            <w:r w:rsidRPr="00A23740">
              <w:rPr>
                <w:rStyle w:val="MaviChar"/>
              </w:rPr>
              <w:t>saklıdır.</w:t>
            </w:r>
          </w:p>
          <w:p w:rsidR="00703236" w:rsidRPr="00A23740" w:rsidRDefault="00703236" w:rsidP="009431FF">
            <w:pPr>
              <w:widowControl w:val="0"/>
              <w:autoSpaceDE w:val="0"/>
              <w:autoSpaceDN w:val="0"/>
              <w:adjustRightInd w:val="0"/>
              <w:rPr>
                <w:b/>
                <w:bCs/>
                <w:color w:val="FF0000"/>
                <w:szCs w:val="24"/>
              </w:rPr>
            </w:pPr>
          </w:p>
          <w:p w:rsidR="00703236" w:rsidRPr="006D2E3C" w:rsidRDefault="00703236" w:rsidP="009431FF">
            <w:pPr>
              <w:pStyle w:val="YEL"/>
              <w:widowControl w:val="0"/>
              <w:rPr>
                <w:color w:val="0000FF"/>
                <w:lang w:val="tr-TR"/>
              </w:rPr>
            </w:pPr>
            <w:r w:rsidRPr="006D2E3C">
              <w:rPr>
                <w:color w:val="0000FF"/>
                <w:lang w:val="tr-TR"/>
              </w:rPr>
              <w:t xml:space="preserve">(4) </w:t>
            </w:r>
            <w:r w:rsidRPr="006D2E3C">
              <w:rPr>
                <w:rStyle w:val="MaviChar"/>
                <w:b/>
                <w:lang w:val="tr-TR" w:eastAsia="en-US"/>
              </w:rPr>
              <w:t>Alacak belgesinin kambiyo senedi olması h</w:t>
            </w:r>
            <w:r w:rsidR="002F2BAA" w:rsidRPr="006D2E3C">
              <w:rPr>
                <w:rStyle w:val="MaviChar"/>
                <w:b/>
                <w:lang w:val="tr-TR" w:eastAsia="en-US"/>
              </w:rPr>
              <w:t>â</w:t>
            </w:r>
            <w:r w:rsidRPr="006D2E3C">
              <w:rPr>
                <w:rStyle w:val="MaviChar"/>
                <w:b/>
                <w:lang w:val="tr-TR" w:eastAsia="en-US"/>
              </w:rPr>
              <w:t>linde, senedin aslının icra ve iflas dairesine tevdi edilmesi zorunludur. Aynı kambiyo senedine dayanılarak birden fazla borçlu hakkında farklı takipler yapılmışsa, diğer takip taleplerine kambiyo senedinin icra ve iflas dairesi tarafından tasdik edilmiş sureti eklenir. İcra ve ifl</w:t>
            </w:r>
            <w:r w:rsidRPr="006D2E3C">
              <w:rPr>
                <w:rStyle w:val="MaviChar"/>
                <w:b/>
                <w:bCs w:val="0"/>
                <w:lang w:val="tr-TR" w:eastAsia="en-US"/>
              </w:rPr>
              <w:t>as dairesi, senedin bu suretlerine</w:t>
            </w:r>
            <w:r w:rsidRPr="006D2E3C">
              <w:rPr>
                <w:rStyle w:val="MaviChar"/>
                <w:b/>
                <w:lang w:val="tr-TR" w:eastAsia="en-US"/>
              </w:rPr>
              <w:t>, senedin aslının kendisinde bulunduğunu yazar.</w:t>
            </w:r>
          </w:p>
          <w:p w:rsidR="00703236" w:rsidRPr="00A23740" w:rsidRDefault="00703236" w:rsidP="009431FF">
            <w:pPr>
              <w:widowControl w:val="0"/>
              <w:autoSpaceDE w:val="0"/>
              <w:autoSpaceDN w:val="0"/>
              <w:adjustRightInd w:val="0"/>
              <w:rPr>
                <w:b/>
                <w:bCs/>
                <w:color w:val="FF0000"/>
                <w:szCs w:val="24"/>
              </w:rPr>
            </w:pPr>
          </w:p>
          <w:p w:rsidR="00703236" w:rsidRPr="00A23740" w:rsidRDefault="00703236" w:rsidP="009431FF">
            <w:pPr>
              <w:widowControl w:val="0"/>
              <w:autoSpaceDE w:val="0"/>
              <w:autoSpaceDN w:val="0"/>
              <w:adjustRightInd w:val="0"/>
              <w:rPr>
                <w:szCs w:val="24"/>
              </w:rPr>
            </w:pPr>
            <w:r w:rsidRPr="00A23740">
              <w:rPr>
                <w:rStyle w:val="MaviChar"/>
              </w:rPr>
              <w:t>(5)</w:t>
            </w:r>
            <w:r w:rsidRPr="00A23740">
              <w:rPr>
                <w:b/>
                <w:bCs/>
                <w:color w:val="0000FF"/>
                <w:szCs w:val="24"/>
              </w:rPr>
              <w:t xml:space="preserve"> </w:t>
            </w:r>
            <w:r w:rsidRPr="00A23740">
              <w:rPr>
                <w:szCs w:val="24"/>
              </w:rPr>
              <w:t xml:space="preserve">Alacaklıya takip talebinde bulunduğuna ve verdiği </w:t>
            </w:r>
            <w:r w:rsidR="002D7675" w:rsidRPr="006D2E3C">
              <w:rPr>
                <w:b/>
                <w:bCs/>
                <w:color w:val="0000FF"/>
                <w:szCs w:val="24"/>
              </w:rPr>
              <w:t>belgeler ile</w:t>
            </w:r>
            <w:r w:rsidR="002D7675" w:rsidRPr="00A23740">
              <w:rPr>
                <w:color w:val="538135"/>
                <w:szCs w:val="24"/>
              </w:rPr>
              <w:t xml:space="preserve"> </w:t>
            </w:r>
            <w:r w:rsidRPr="00A23740">
              <w:rPr>
                <w:szCs w:val="24"/>
              </w:rPr>
              <w:t xml:space="preserve">takip </w:t>
            </w:r>
            <w:r w:rsidRPr="00A23740">
              <w:rPr>
                <w:rStyle w:val="MaviChar"/>
              </w:rPr>
              <w:t>giderlerine</w:t>
            </w:r>
            <w:r w:rsidRPr="00A23740">
              <w:rPr>
                <w:szCs w:val="24"/>
              </w:rPr>
              <w:t xml:space="preserve"> dair </w:t>
            </w:r>
            <w:r w:rsidRPr="00A23740">
              <w:rPr>
                <w:rStyle w:val="MaviChar"/>
              </w:rPr>
              <w:t>ücretsiz bir alındı belgesi</w:t>
            </w:r>
            <w:r w:rsidRPr="00A23740">
              <w:rPr>
                <w:szCs w:val="24"/>
              </w:rPr>
              <w:t xml:space="preserve"> verilir.</w:t>
            </w:r>
          </w:p>
          <w:p w:rsidR="00703236" w:rsidRPr="00A23740" w:rsidRDefault="00703236" w:rsidP="009431FF">
            <w:pPr>
              <w:widowControl w:val="0"/>
              <w:autoSpaceDE w:val="0"/>
              <w:autoSpaceDN w:val="0"/>
              <w:adjustRightInd w:val="0"/>
              <w:rPr>
                <w:szCs w:val="24"/>
              </w:rPr>
            </w:pPr>
          </w:p>
          <w:p w:rsidR="00703236" w:rsidRPr="00A23740" w:rsidRDefault="00703236" w:rsidP="009431FF">
            <w:pPr>
              <w:widowControl w:val="0"/>
              <w:autoSpaceDE w:val="0"/>
              <w:autoSpaceDN w:val="0"/>
              <w:adjustRightInd w:val="0"/>
              <w:rPr>
                <w:rStyle w:val="MaviChar"/>
              </w:rPr>
            </w:pPr>
            <w:r w:rsidRPr="00A23740">
              <w:rPr>
                <w:rStyle w:val="MaviChar"/>
              </w:rPr>
              <w:t>(6) Takip, takip talebinin kaydedildiği tarihte</w:t>
            </w:r>
            <w:r w:rsidRPr="00A23740">
              <w:rPr>
                <w:b/>
                <w:bCs/>
                <w:color w:val="0000FF"/>
                <w:szCs w:val="24"/>
              </w:rPr>
              <w:t xml:space="preserve"> </w:t>
            </w:r>
            <w:r w:rsidRPr="00A23740">
              <w:rPr>
                <w:rStyle w:val="MaviChar"/>
              </w:rPr>
              <w:t>başlatılmış</w:t>
            </w:r>
            <w:r w:rsidRPr="00A23740">
              <w:rPr>
                <w:b/>
                <w:bCs/>
                <w:color w:val="0000FF"/>
                <w:szCs w:val="24"/>
              </w:rPr>
              <w:t xml:space="preserve"> </w:t>
            </w:r>
            <w:r w:rsidRPr="00A23740">
              <w:rPr>
                <w:rStyle w:val="MaviChar"/>
              </w:rPr>
              <w:t>sayılır.</w:t>
            </w:r>
          </w:p>
          <w:p w:rsidR="00703236" w:rsidRPr="00A23740" w:rsidRDefault="00703236" w:rsidP="009431FF">
            <w:pPr>
              <w:widowControl w:val="0"/>
              <w:autoSpaceDE w:val="0"/>
              <w:autoSpaceDN w:val="0"/>
              <w:adjustRightInd w:val="0"/>
              <w:rPr>
                <w:szCs w:val="24"/>
              </w:rPr>
            </w:pPr>
          </w:p>
        </w:tc>
      </w:tr>
      <w:tr w:rsidR="00703236" w:rsidRPr="00A23740" w:rsidTr="009431FF">
        <w:tc>
          <w:tcPr>
            <w:tcW w:w="5000" w:type="pct"/>
            <w:gridSpan w:val="2"/>
            <w:shd w:val="clear" w:color="auto" w:fill="DEEAF6"/>
          </w:tcPr>
          <w:p w:rsidR="00703236" w:rsidRPr="00A23740" w:rsidRDefault="00703236" w:rsidP="009431FF">
            <w:pPr>
              <w:pStyle w:val="Mavi"/>
              <w:ind w:firstLine="709"/>
              <w:rPr>
                <w:color w:val="auto"/>
                <w:lang w:val="tr-TR"/>
              </w:rPr>
            </w:pPr>
          </w:p>
          <w:p w:rsidR="00703236" w:rsidRPr="00A23740" w:rsidRDefault="00703236" w:rsidP="009431FF">
            <w:pPr>
              <w:pStyle w:val="Mavi"/>
              <w:ind w:firstLine="709"/>
              <w:rPr>
                <w:bCs w:val="0"/>
                <w:color w:val="auto"/>
              </w:rPr>
            </w:pPr>
            <w:r w:rsidRPr="00A23740">
              <w:rPr>
                <w:color w:val="auto"/>
                <w:lang w:val="tr-TR"/>
              </w:rPr>
              <w:t xml:space="preserve">MADDE 87- </w:t>
            </w:r>
            <w:r w:rsidRPr="00A23740">
              <w:rPr>
                <w:b w:val="0"/>
                <w:color w:val="auto"/>
                <w:szCs w:val="22"/>
                <w:lang w:val="tr-TR" w:eastAsia="en-US"/>
              </w:rPr>
              <w:t xml:space="preserve">Maddeyle ilamsız takiplerde, takip talebi ve takibe dayanak alacak belgesi düzenlenmektedir. </w:t>
            </w:r>
            <w:r w:rsidRPr="00A23740">
              <w:rPr>
                <w:b w:val="0"/>
                <w:bCs w:val="0"/>
                <w:color w:val="auto"/>
              </w:rPr>
              <w:t xml:space="preserve">Taslağın 87 nci maddesi “Takip talebi </w:t>
            </w:r>
            <w:r w:rsidRPr="00A23740">
              <w:rPr>
                <w:b w:val="0"/>
                <w:bCs w:val="0"/>
                <w:color w:val="auto"/>
                <w:lang w:val="tr-TR"/>
              </w:rPr>
              <w:t>ve alacak belgesi</w:t>
            </w:r>
            <w:r w:rsidRPr="00A23740">
              <w:rPr>
                <w:b w:val="0"/>
                <w:bCs w:val="0"/>
                <w:color w:val="auto"/>
              </w:rPr>
              <w:t xml:space="preserve">” başlığını taşımakta olup </w:t>
            </w:r>
            <w:r w:rsidRPr="00A23740">
              <w:rPr>
                <w:b w:val="0"/>
                <w:bCs w:val="0"/>
                <w:color w:val="auto"/>
                <w:lang w:val="tr-TR"/>
              </w:rPr>
              <w:t>2004 sayılı</w:t>
            </w:r>
            <w:r w:rsidRPr="00A23740">
              <w:rPr>
                <w:b w:val="0"/>
                <w:bCs w:val="0"/>
                <w:color w:val="auto"/>
              </w:rPr>
              <w:t xml:space="preserve"> </w:t>
            </w:r>
            <w:r w:rsidRPr="00A23740">
              <w:rPr>
                <w:b w:val="0"/>
                <w:bCs w:val="0"/>
                <w:color w:val="auto"/>
                <w:lang w:val="tr-TR"/>
              </w:rPr>
              <w:t>K</w:t>
            </w:r>
            <w:r w:rsidRPr="00A23740">
              <w:rPr>
                <w:b w:val="0"/>
                <w:bCs w:val="0"/>
                <w:color w:val="auto"/>
              </w:rPr>
              <w:t xml:space="preserve">anunun 58 inci maddesine karşılık gelmektedir. Bu maddede yapılan değişiklik, ilamsız icra </w:t>
            </w:r>
            <w:r w:rsidR="00CF385E" w:rsidRPr="00A23740">
              <w:rPr>
                <w:b w:val="0"/>
                <w:bCs w:val="0"/>
                <w:color w:val="auto"/>
                <w:lang w:val="tr-TR"/>
              </w:rPr>
              <w:t xml:space="preserve"> sistemimizde </w:t>
            </w:r>
            <w:r w:rsidRPr="00A23740">
              <w:rPr>
                <w:b w:val="0"/>
                <w:bCs w:val="0"/>
                <w:color w:val="auto"/>
              </w:rPr>
              <w:t>önemli bir değişikli</w:t>
            </w:r>
            <w:r w:rsidR="00CF385E" w:rsidRPr="00A23740">
              <w:rPr>
                <w:b w:val="0"/>
                <w:bCs w:val="0"/>
                <w:color w:val="auto"/>
                <w:lang w:val="tr-TR"/>
              </w:rPr>
              <w:t>k</w:t>
            </w:r>
            <w:r w:rsidRPr="00A23740">
              <w:rPr>
                <w:b w:val="0"/>
                <w:bCs w:val="0"/>
                <w:color w:val="auto"/>
              </w:rPr>
              <w:t xml:space="preserve"> meydana getirmektedir.</w:t>
            </w:r>
          </w:p>
          <w:p w:rsidR="00703236" w:rsidRPr="00A23740" w:rsidRDefault="00703236" w:rsidP="009431FF">
            <w:pPr>
              <w:tabs>
                <w:tab w:val="left" w:pos="567"/>
              </w:tabs>
              <w:ind w:firstLine="709"/>
              <w:rPr>
                <w:color w:val="7030A0"/>
                <w:szCs w:val="24"/>
              </w:rPr>
            </w:pPr>
            <w:r w:rsidRPr="00A23740">
              <w:rPr>
                <w:bCs/>
                <w:szCs w:val="24"/>
                <w:lang w:eastAsia="x-none"/>
              </w:rPr>
              <w:t>Maddenin birinci fıkrasında</w:t>
            </w:r>
            <w:r w:rsidR="00EC14A5" w:rsidRPr="00A23740">
              <w:rPr>
                <w:bCs/>
                <w:szCs w:val="24"/>
                <w:lang w:eastAsia="x-none"/>
              </w:rPr>
              <w:t>,</w:t>
            </w:r>
            <w:r w:rsidRPr="00A23740">
              <w:rPr>
                <w:bCs/>
                <w:szCs w:val="24"/>
                <w:lang w:eastAsia="x-none"/>
              </w:rPr>
              <w:t xml:space="preserve"> takip talebinin icra ve iflas dairesine yazılı veya sözlü olarak yapılabileceği düzenlenmektedir. Ülke genelinde okuma yazma oranları yükselmiş olmakla birlikte, özellikle büyükşehirler dışındaki yerlerde hâlâ icra </w:t>
            </w:r>
            <w:r w:rsidR="00BF255B" w:rsidRPr="00551F85">
              <w:rPr>
                <w:bCs/>
                <w:szCs w:val="24"/>
                <w:lang w:eastAsia="x-none"/>
              </w:rPr>
              <w:t xml:space="preserve">ve iflas </w:t>
            </w:r>
            <w:r w:rsidRPr="00A23740">
              <w:rPr>
                <w:bCs/>
                <w:szCs w:val="24"/>
                <w:lang w:eastAsia="x-none"/>
              </w:rPr>
              <w:t>dairelerine sözlü olarak müracaat edenlerin bulunabildiği nazara alınarak sözlü müracaata imk</w:t>
            </w:r>
            <w:r w:rsidR="00BE53A8" w:rsidRPr="00A23740">
              <w:rPr>
                <w:bCs/>
                <w:szCs w:val="24"/>
                <w:lang w:eastAsia="x-none"/>
              </w:rPr>
              <w:t>â</w:t>
            </w:r>
            <w:r w:rsidRPr="00A23740">
              <w:rPr>
                <w:bCs/>
                <w:szCs w:val="24"/>
                <w:lang w:eastAsia="x-none"/>
              </w:rPr>
              <w:t>n veren ibarelerin muhafaza edilmesinin daha doğru olduğu kanaatine varılmış ve fıkrada, “veya sözlü” ibaresi, 2004 sayılı Kanunda olduğu gibi muhafaza edilmiştir. Öte yandan, Taslağın “Elektronik işlemler” başlıklı 45 inci maddesinde, icra</w:t>
            </w:r>
            <w:r w:rsidR="001647D1" w:rsidRPr="00A23740">
              <w:rPr>
                <w:color w:val="538135"/>
              </w:rPr>
              <w:t xml:space="preserve"> </w:t>
            </w:r>
            <w:r w:rsidR="001647D1" w:rsidRPr="006D2E3C">
              <w:t>ve</w:t>
            </w:r>
            <w:r w:rsidR="001647D1" w:rsidRPr="00A23740">
              <w:rPr>
                <w:color w:val="538135"/>
              </w:rPr>
              <w:t xml:space="preserve"> </w:t>
            </w:r>
            <w:r w:rsidR="001647D1" w:rsidRPr="006D2E3C">
              <w:t>iflas</w:t>
            </w:r>
            <w:r w:rsidRPr="00A23740">
              <w:rPr>
                <w:bCs/>
                <w:szCs w:val="24"/>
                <w:lang w:eastAsia="x-none"/>
              </w:rPr>
              <w:t xml:space="preserve"> dairesince ve takibin taraflarınca UYAP </w:t>
            </w:r>
            <w:r w:rsidR="00D9190B" w:rsidRPr="00A23740">
              <w:rPr>
                <w:bCs/>
                <w:szCs w:val="24"/>
                <w:lang w:eastAsia="x-none"/>
              </w:rPr>
              <w:t xml:space="preserve">çerçevesinde </w:t>
            </w:r>
            <w:r w:rsidRPr="00A23740">
              <w:rPr>
                <w:bCs/>
                <w:szCs w:val="24"/>
                <w:lang w:eastAsia="x-none"/>
              </w:rPr>
              <w:t>elektronik ortamda takiple ilgili iş ve işlemleri yapabilecekleri açıkça düzenlendiğinden, bir kısım takip işlemlerinin elektronik ortamda yapılabileceğine ilişkin vurguya gerek olmadığı değerlendirilerek, 2004 sayılı Kanunun 58 inci maddesinin birinci fıkrasında yer alan “elektronik ortamda” ibaresine Taslakta yer verilmemiştir.</w:t>
            </w:r>
          </w:p>
          <w:p w:rsidR="00D9190B" w:rsidRPr="00A23740" w:rsidRDefault="00703236" w:rsidP="009431FF">
            <w:pPr>
              <w:tabs>
                <w:tab w:val="left" w:pos="567"/>
              </w:tabs>
              <w:ind w:firstLine="709"/>
              <w:rPr>
                <w:bCs/>
                <w:szCs w:val="24"/>
                <w:lang w:eastAsia="x-none"/>
              </w:rPr>
            </w:pPr>
            <w:r w:rsidRPr="00A23740">
              <w:rPr>
                <w:bCs/>
                <w:szCs w:val="24"/>
                <w:lang w:eastAsia="x-none"/>
              </w:rPr>
              <w:t>Maddenin ikinci fıkrasında</w:t>
            </w:r>
            <w:r w:rsidR="00EC14A5" w:rsidRPr="00A23740">
              <w:rPr>
                <w:bCs/>
                <w:szCs w:val="24"/>
                <w:lang w:eastAsia="x-none"/>
              </w:rPr>
              <w:t>,</w:t>
            </w:r>
            <w:r w:rsidRPr="00A23740">
              <w:rPr>
                <w:bCs/>
                <w:szCs w:val="24"/>
                <w:lang w:eastAsia="x-none"/>
              </w:rPr>
              <w:t xml:space="preserve"> “Takip talebinde bulunacak hususlar ve takip talebine elenecek belgeler düzenlenmektedir. </w:t>
            </w:r>
          </w:p>
          <w:p w:rsidR="00703236" w:rsidRPr="00A23740" w:rsidRDefault="00703236" w:rsidP="009431FF">
            <w:pPr>
              <w:tabs>
                <w:tab w:val="left" w:pos="567"/>
              </w:tabs>
              <w:ind w:firstLine="709"/>
              <w:rPr>
                <w:bCs/>
                <w:szCs w:val="24"/>
                <w:lang w:eastAsia="x-none"/>
              </w:rPr>
            </w:pPr>
            <w:r w:rsidRPr="00A23740">
              <w:rPr>
                <w:bCs/>
                <w:szCs w:val="24"/>
                <w:lang w:eastAsia="x-none"/>
              </w:rPr>
              <w:t xml:space="preserve">Bu fıkranın </w:t>
            </w:r>
            <w:r w:rsidR="00EC14A5" w:rsidRPr="006D2E3C">
              <w:rPr>
                <w:rStyle w:val="KonuBalChar"/>
                <w:rFonts w:eastAsia="Calibri"/>
                <w:b w:val="0"/>
                <w:color w:val="auto"/>
              </w:rPr>
              <w:t>(</w:t>
            </w:r>
            <w:r w:rsidRPr="006D2E3C">
              <w:rPr>
                <w:rStyle w:val="KonuBalChar"/>
                <w:rFonts w:eastAsia="Calibri"/>
                <w:b w:val="0"/>
                <w:color w:val="auto"/>
              </w:rPr>
              <w:t>a</w:t>
            </w:r>
            <w:r w:rsidR="00EC14A5" w:rsidRPr="006D2E3C">
              <w:rPr>
                <w:rStyle w:val="KonuBalChar"/>
                <w:rFonts w:eastAsia="Calibri"/>
                <w:b w:val="0"/>
                <w:color w:val="auto"/>
              </w:rPr>
              <w:t>)</w:t>
            </w:r>
            <w:r w:rsidRPr="00A23740">
              <w:rPr>
                <w:bCs/>
                <w:szCs w:val="24"/>
                <w:lang w:eastAsia="x-none"/>
              </w:rPr>
              <w:t xml:space="preserve"> bendinde “Alacaklının ve varsa kanuni temsilcisinin ve vekili</w:t>
            </w:r>
            <w:r w:rsidR="00330FCE" w:rsidRPr="00A23740">
              <w:rPr>
                <w:bCs/>
                <w:szCs w:val="24"/>
                <w:lang w:eastAsia="x-none"/>
              </w:rPr>
              <w:t>nin adı, soyadı, tüzel kişiyse ü</w:t>
            </w:r>
            <w:r w:rsidRPr="00A23740">
              <w:rPr>
                <w:bCs/>
                <w:szCs w:val="24"/>
                <w:lang w:eastAsia="x-none"/>
              </w:rPr>
              <w:t xml:space="preserve">nvanı, adresi; alacaklı veya vekilinin banka hesap bilgileri; gerçek kişiler için Türkiye Cumhuriyeti kimlik numarası, tüzel kişiler için vergi kimlik numarası ve Merkezi </w:t>
            </w:r>
            <w:r w:rsidRPr="00A23740">
              <w:rPr>
                <w:bCs/>
                <w:szCs w:val="24"/>
                <w:lang w:eastAsia="x-none"/>
              </w:rPr>
              <w:lastRenderedPageBreak/>
              <w:t>Sicil Kayıt Sistemi numarası veya varsa ilgili sicil numarası; alacaklının yerleşim yerinin yabancı ülkede olması h</w:t>
            </w:r>
            <w:r w:rsidR="002F2BAA" w:rsidRPr="00A23740">
              <w:rPr>
                <w:bCs/>
                <w:szCs w:val="24"/>
                <w:lang w:eastAsia="x-none"/>
              </w:rPr>
              <w:t>â</w:t>
            </w:r>
            <w:r w:rsidRPr="00A23740">
              <w:rPr>
                <w:bCs/>
                <w:szCs w:val="24"/>
                <w:lang w:eastAsia="x-none"/>
              </w:rPr>
              <w:t>linde Türkiye’de göstereceği tebligat adresi.”</w:t>
            </w:r>
            <w:r w:rsidR="00D9190B" w:rsidRPr="00A23740">
              <w:rPr>
                <w:bCs/>
                <w:szCs w:val="24"/>
                <w:lang w:eastAsia="x-none"/>
              </w:rPr>
              <w:t>;</w:t>
            </w:r>
          </w:p>
          <w:p w:rsidR="00703236" w:rsidRPr="00A23740" w:rsidRDefault="00703236" w:rsidP="009431FF">
            <w:pPr>
              <w:tabs>
                <w:tab w:val="left" w:pos="567"/>
              </w:tabs>
              <w:ind w:firstLine="709"/>
              <w:rPr>
                <w:bCs/>
                <w:szCs w:val="24"/>
                <w:lang w:eastAsia="x-none"/>
              </w:rPr>
            </w:pPr>
            <w:r w:rsidRPr="00A23740">
              <w:rPr>
                <w:bCs/>
                <w:szCs w:val="24"/>
                <w:lang w:eastAsia="x-none"/>
              </w:rPr>
              <w:t>(b) bendinde</w:t>
            </w:r>
            <w:r w:rsidR="00EC14A5" w:rsidRPr="00A23740">
              <w:rPr>
                <w:bCs/>
                <w:szCs w:val="24"/>
                <w:lang w:eastAsia="x-none"/>
              </w:rPr>
              <w:t>,</w:t>
            </w:r>
            <w:r w:rsidRPr="00A23740">
              <w:rPr>
                <w:bCs/>
                <w:szCs w:val="24"/>
                <w:lang w:eastAsia="x-none"/>
              </w:rPr>
              <w:t xml:space="preserve"> “Borçlunun ve varsa kanuni temsilcisinin adı, soyadı, biliniyorsa Türkiye Cumhuriyeti k</w:t>
            </w:r>
            <w:r w:rsidR="00330FCE" w:rsidRPr="00A23740">
              <w:rPr>
                <w:bCs/>
                <w:szCs w:val="24"/>
                <w:lang w:eastAsia="x-none"/>
              </w:rPr>
              <w:t>imlik numarası; tüzel kişi ise ü</w:t>
            </w:r>
            <w:r w:rsidRPr="00A23740">
              <w:rPr>
                <w:bCs/>
                <w:szCs w:val="24"/>
                <w:lang w:eastAsia="x-none"/>
              </w:rPr>
              <w:t>nvanı, vergi kimlik numarası, biliniyorsa Merkezi Sicil Kayıt Sistemi numarası veya ilgili sicil numarası; biliniyorsa adresi.”</w:t>
            </w:r>
            <w:r w:rsidR="00D9190B" w:rsidRPr="00A23740">
              <w:rPr>
                <w:bCs/>
                <w:szCs w:val="24"/>
                <w:lang w:eastAsia="x-none"/>
              </w:rPr>
              <w:t xml:space="preserve">nin belirtileecği açıklanmıştır. </w:t>
            </w:r>
            <w:r w:rsidRPr="00A23740">
              <w:rPr>
                <w:bCs/>
                <w:szCs w:val="24"/>
                <w:lang w:eastAsia="x-none"/>
              </w:rPr>
              <w:t xml:space="preserve">Bilim Komisyonu çalışmaları sırasında (b) bendindeki adrese ilişkin </w:t>
            </w:r>
            <w:r w:rsidR="00D9190B" w:rsidRPr="00A23740">
              <w:rPr>
                <w:bCs/>
                <w:szCs w:val="24"/>
                <w:lang w:eastAsia="x-none"/>
              </w:rPr>
              <w:t xml:space="preserve">olarak </w:t>
            </w:r>
            <w:r w:rsidRPr="00A23740">
              <w:rPr>
                <w:bCs/>
                <w:szCs w:val="24"/>
                <w:lang w:eastAsia="x-none"/>
              </w:rPr>
              <w:t>“biliniyorsa” ibaresinin metinden çıkartılması teklif edilmiş ise de</w:t>
            </w:r>
            <w:r w:rsidR="00D9190B" w:rsidRPr="00A23740">
              <w:rPr>
                <w:bCs/>
                <w:szCs w:val="24"/>
                <w:lang w:eastAsia="x-none"/>
              </w:rPr>
              <w:t>,</w:t>
            </w:r>
            <w:r w:rsidRPr="00A23740">
              <w:rPr>
                <w:bCs/>
                <w:szCs w:val="24"/>
                <w:lang w:eastAsia="x-none"/>
              </w:rPr>
              <w:t xml:space="preserve"> özellikle daha önce bir dava süreci yaşanmadığı için borçlunun adresinin alacaklı tarafından bilinmemesi ihtimalinin daha fazla olduğu ilamsız icrada bu ibarenin kaldırılmasının sakıncalı olacağı</w:t>
            </w:r>
            <w:r w:rsidR="00D9190B" w:rsidRPr="00A23740">
              <w:rPr>
                <w:bCs/>
                <w:szCs w:val="24"/>
                <w:lang w:eastAsia="x-none"/>
              </w:rPr>
              <w:t>,</w:t>
            </w:r>
            <w:r w:rsidRPr="00A23740">
              <w:rPr>
                <w:bCs/>
                <w:szCs w:val="24"/>
                <w:lang w:eastAsia="x-none"/>
              </w:rPr>
              <w:t xml:space="preserve"> başka bir ifadeyle alacaklının takip borçlusunun adresini bilmediği h</w:t>
            </w:r>
            <w:r w:rsidR="002F2BAA" w:rsidRPr="00A23740">
              <w:rPr>
                <w:bCs/>
                <w:szCs w:val="24"/>
                <w:lang w:eastAsia="x-none"/>
              </w:rPr>
              <w:t>â</w:t>
            </w:r>
            <w:r w:rsidRPr="00A23740">
              <w:rPr>
                <w:bCs/>
                <w:szCs w:val="24"/>
                <w:lang w:eastAsia="x-none"/>
              </w:rPr>
              <w:t>llerde bu adresi belirtmeden de takip yapabilmesi yolunun kapatılmaması gerektiği yönündeki görüş tercih edilmiştir.</w:t>
            </w:r>
          </w:p>
          <w:p w:rsidR="00703236" w:rsidRPr="00A23740" w:rsidRDefault="00703236" w:rsidP="009431FF">
            <w:pPr>
              <w:tabs>
                <w:tab w:val="left" w:pos="567"/>
              </w:tabs>
              <w:ind w:firstLine="709"/>
              <w:rPr>
                <w:color w:val="7030A0"/>
                <w:szCs w:val="24"/>
              </w:rPr>
            </w:pPr>
            <w:r w:rsidRPr="00A23740">
              <w:rPr>
                <w:bCs/>
                <w:szCs w:val="24"/>
                <w:lang w:eastAsia="x-none"/>
              </w:rPr>
              <w:t>İkinci fıkranın (c) bendinde</w:t>
            </w:r>
            <w:r w:rsidR="00EC14A5" w:rsidRPr="00A23740">
              <w:rPr>
                <w:bCs/>
                <w:szCs w:val="24"/>
                <w:lang w:eastAsia="x-none"/>
              </w:rPr>
              <w:t>,</w:t>
            </w:r>
            <w:r w:rsidRPr="00A23740">
              <w:rPr>
                <w:bCs/>
                <w:szCs w:val="24"/>
                <w:lang w:eastAsia="x-none"/>
              </w:rPr>
              <w:t xml:space="preserve"> “Alacağın veya istenen teminatın Türk parasıyla tutarı ve faizli alacaklarda faizin türü, oranı, miktarı ile işlemeye başladığı gün; alacak veya istenen teminat yabancı para ise, harca esas olmak üzere takip talebi tarihindeki Türkiye Cumhuriyet Merkez Bankası (TCMB) efektif satış kuru üzerinden Türk </w:t>
            </w:r>
            <w:r w:rsidR="00EC14A5" w:rsidRPr="00A23740">
              <w:rPr>
                <w:bCs/>
                <w:szCs w:val="24"/>
                <w:lang w:eastAsia="x-none"/>
              </w:rPr>
              <w:t xml:space="preserve">lirası </w:t>
            </w:r>
            <w:r w:rsidRPr="00A23740">
              <w:rPr>
                <w:bCs/>
                <w:szCs w:val="24"/>
                <w:lang w:eastAsia="x-none"/>
              </w:rPr>
              <w:t xml:space="preserve">karşılığı ve alacağın hangi tarihteki kur üzerinden talep edildiği ve faizli yabancı para alacaklarında faizin türü, oranı, miktarı ile işlemeye başladığı gün.” hakkındaki bilgilerin takip talebinde yer alacağı açıklanmaktadır. </w:t>
            </w:r>
            <w:r w:rsidR="00D9190B" w:rsidRPr="00A23740">
              <w:rPr>
                <w:bCs/>
                <w:szCs w:val="24"/>
                <w:lang w:eastAsia="x-none"/>
              </w:rPr>
              <w:t xml:space="preserve">2004 sayılı Kanunda </w:t>
            </w:r>
            <w:r w:rsidRPr="00A23740">
              <w:rPr>
                <w:bCs/>
                <w:szCs w:val="24"/>
                <w:lang w:eastAsia="x-none"/>
              </w:rPr>
              <w:t xml:space="preserve">cevabı verilmemiş olan “yabancı para alacağının hangi kur üzerinden Türk </w:t>
            </w:r>
            <w:r w:rsidR="00EC14A5" w:rsidRPr="00A23740">
              <w:rPr>
                <w:bCs/>
                <w:szCs w:val="24"/>
                <w:lang w:eastAsia="x-none"/>
              </w:rPr>
              <w:t xml:space="preserve">lirasına </w:t>
            </w:r>
            <w:r w:rsidRPr="00A23740">
              <w:rPr>
                <w:bCs/>
                <w:szCs w:val="24"/>
                <w:lang w:eastAsia="x-none"/>
              </w:rPr>
              <w:t>çevrileceği” sorusuna da bu bent</w:t>
            </w:r>
            <w:r w:rsidR="00D9190B" w:rsidRPr="00A23740">
              <w:rPr>
                <w:bCs/>
                <w:szCs w:val="24"/>
                <w:lang w:eastAsia="x-none"/>
              </w:rPr>
              <w:t>te</w:t>
            </w:r>
            <w:r w:rsidRPr="00A23740">
              <w:rPr>
                <w:bCs/>
                <w:szCs w:val="24"/>
                <w:lang w:eastAsia="x-none"/>
              </w:rPr>
              <w:t xml:space="preserve"> “takip talebi tarihindeki  TCMB efektif satış kuru” şeklinde cevap verilmiştir. Bilim Komisyonu çalışmaları sırasında, mehaz </w:t>
            </w:r>
            <w:r w:rsidR="00D9190B" w:rsidRPr="00A23740">
              <w:rPr>
                <w:bCs/>
                <w:szCs w:val="24"/>
                <w:lang w:eastAsia="x-none"/>
              </w:rPr>
              <w:t>K</w:t>
            </w:r>
            <w:r w:rsidRPr="00A23740">
              <w:rPr>
                <w:bCs/>
                <w:szCs w:val="24"/>
                <w:lang w:eastAsia="x-none"/>
              </w:rPr>
              <w:t>anunun</w:t>
            </w:r>
            <w:r w:rsidR="00D9190B" w:rsidRPr="00A23740">
              <w:rPr>
                <w:bCs/>
                <w:szCs w:val="24"/>
                <w:lang w:eastAsia="x-none"/>
              </w:rPr>
              <w:t xml:space="preserve"> </w:t>
            </w:r>
            <w:r w:rsidRPr="00A23740">
              <w:rPr>
                <w:bCs/>
                <w:szCs w:val="24"/>
                <w:lang w:eastAsia="x-none"/>
              </w:rPr>
              <w:t>88 inci maddesinin dördüncü fıkrasında 1994 yılında yapılan değişiklikle kabul edilen “alacaklının, yabancı para alacağının ülke parasıyla karşılığının haczin istendiği tarihte geçerli olan kurlara göre yenilenebileceği yönündeki düzenlemenin bizim kanunumuza da alınmasının uygun olup olmayacağı tartışılmış, bunun gerekli olmadığı sonucuna varılmıştır.</w:t>
            </w:r>
          </w:p>
          <w:p w:rsidR="00703236" w:rsidRPr="00A23740" w:rsidRDefault="00703236" w:rsidP="009431FF">
            <w:pPr>
              <w:tabs>
                <w:tab w:val="left" w:pos="567"/>
              </w:tabs>
              <w:ind w:firstLine="709"/>
              <w:rPr>
                <w:bCs/>
                <w:szCs w:val="24"/>
                <w:lang w:eastAsia="x-none"/>
              </w:rPr>
            </w:pPr>
            <w:r w:rsidRPr="00A23740">
              <w:rPr>
                <w:bCs/>
                <w:szCs w:val="24"/>
                <w:lang w:eastAsia="x-none"/>
              </w:rPr>
              <w:t>2004 sayılı Kanunda karşılığı olmayan (ç) bendinde</w:t>
            </w:r>
            <w:r w:rsidR="009F40FA" w:rsidRPr="00A23740">
              <w:rPr>
                <w:bCs/>
                <w:szCs w:val="24"/>
                <w:lang w:eastAsia="x-none"/>
              </w:rPr>
              <w:t>,</w:t>
            </w:r>
            <w:r w:rsidRPr="00A23740">
              <w:rPr>
                <w:bCs/>
                <w:szCs w:val="24"/>
                <w:lang w:eastAsia="x-none"/>
              </w:rPr>
              <w:t xml:space="preserve"> “</w:t>
            </w:r>
            <w:r w:rsidRPr="00A23740">
              <w:rPr>
                <w:bCs/>
              </w:rPr>
              <w:t>Takip konusu para veya teminat alacağı</w:t>
            </w:r>
            <w:r w:rsidRPr="00A23740">
              <w:t xml:space="preserve"> </w:t>
            </w:r>
            <w:r w:rsidRPr="00A23740">
              <w:rPr>
                <w:bCs/>
              </w:rPr>
              <w:t>hakkında</w:t>
            </w:r>
            <w:r w:rsidRPr="00A23740">
              <w:t xml:space="preserve"> </w:t>
            </w:r>
            <w:r w:rsidR="00AD7D81" w:rsidRPr="00A23740">
              <w:rPr>
                <w:bCs/>
              </w:rPr>
              <w:t>resmî</w:t>
            </w:r>
            <w:r w:rsidRPr="00A23740">
              <w:rPr>
                <w:bCs/>
              </w:rPr>
              <w:t xml:space="preserve"> dairelerin ya da yetkili makamların düzenledikleri yahut onayladıkları </w:t>
            </w:r>
            <w:r w:rsidRPr="00A23740">
              <w:rPr>
                <w:bCs/>
                <w:lang w:eastAsia="x-none"/>
              </w:rPr>
              <w:t>bir</w:t>
            </w:r>
            <w:r w:rsidRPr="00A23740">
              <w:rPr>
                <w:bCs/>
              </w:rPr>
              <w:t xml:space="preserve"> belge veyahut </w:t>
            </w:r>
            <w:r w:rsidRPr="00A23740">
              <w:rPr>
                <w:bCs/>
                <w:lang w:eastAsia="x-none"/>
              </w:rPr>
              <w:t>sözleşmeler dahil,</w:t>
            </w:r>
            <w:r w:rsidRPr="00A23740">
              <w:rPr>
                <w:bCs/>
              </w:rPr>
              <w:t xml:space="preserve"> </w:t>
            </w:r>
            <w:r w:rsidRPr="00A23740">
              <w:rPr>
                <w:bCs/>
                <w:lang w:eastAsia="x-none"/>
              </w:rPr>
              <w:t>alacağın doğum sebebini ispata elverişli senet ya da iki tarafı da tacir olan icra takiplerinde itiraz edilmemiş fatura</w:t>
            </w:r>
            <w:r w:rsidRPr="00A23740">
              <w:rPr>
                <w:bCs/>
                <w:szCs w:val="24"/>
                <w:lang w:eastAsia="x-none"/>
              </w:rPr>
              <w:t xml:space="preserve">”ya ilişkin bilginin de takip talebinde yer alacağına işaret olunmuştur. Bu düzenleme şekli ilamsız icra usulü ile ilgili önemli bir değişikliği ifade etmektedir. </w:t>
            </w:r>
            <w:r w:rsidR="00371300" w:rsidRPr="006D2E3C">
              <w:rPr>
                <w:rStyle w:val="KonuBalChar"/>
                <w:rFonts w:eastAsia="Calibri"/>
                <w:b w:val="0"/>
                <w:color w:val="auto"/>
              </w:rPr>
              <w:t>2004 sayılı Kanunun</w:t>
            </w:r>
            <w:r w:rsidRPr="00A23740">
              <w:rPr>
                <w:bCs/>
                <w:szCs w:val="24"/>
                <w:lang w:eastAsia="x-none"/>
              </w:rPr>
              <w:t xml:space="preserve"> yürürlüğe girdiği dönemden beri ilamsız icra sistemimizin temelini teşkil eden özelliklerden biri olan “alacaklının elinde hiçbir belge olmasa bile ilamsız icra yoluna başvurabileceği, takip talebinde alacağın sebebinin gösterilmesinin yeterli bulunduğu” yönündeki düzenleme bu kanun hükmüyle değişikliğe tabi tutulmakta; ilamsız icra takibinin mutlaka bir belgeye dayanması gerektiği kabul edilerek bu konuda hangi belgenin kullanılabileceği hususu açıklığa kavuşturulmaktadır. </w:t>
            </w:r>
          </w:p>
          <w:p w:rsidR="009F40FA" w:rsidRPr="006D2E3C" w:rsidRDefault="009F40FA" w:rsidP="009431FF">
            <w:pPr>
              <w:tabs>
                <w:tab w:val="left" w:pos="567"/>
              </w:tabs>
              <w:ind w:firstLine="709"/>
              <w:rPr>
                <w:rStyle w:val="KonuBalChar"/>
                <w:rFonts w:eastAsia="Calibri"/>
                <w:b w:val="0"/>
                <w:color w:val="auto"/>
              </w:rPr>
            </w:pPr>
            <w:r w:rsidRPr="006D2E3C">
              <w:rPr>
                <w:rStyle w:val="KonuBalChar"/>
                <w:rFonts w:eastAsia="Calibri"/>
                <w:b w:val="0"/>
                <w:color w:val="auto"/>
              </w:rPr>
              <w:t>2004 sayılı Kanunda karşılığı olmayan (d) bendinde, takip konusu para vey</w:t>
            </w:r>
            <w:r w:rsidR="00AD7D81" w:rsidRPr="006D2E3C">
              <w:rPr>
                <w:rStyle w:val="KonuBalChar"/>
                <w:rFonts w:eastAsia="Calibri"/>
                <w:b w:val="0"/>
                <w:color w:val="auto"/>
              </w:rPr>
              <w:t>a teminat alacağı hakkında resm</w:t>
            </w:r>
            <w:r w:rsidR="00AD7D81" w:rsidRPr="006D2E3C">
              <w:rPr>
                <w:rStyle w:val="KonuBalChar"/>
                <w:rFonts w:eastAsia="Calibri"/>
                <w:b w:val="0"/>
                <w:color w:val="auto"/>
                <w:lang w:val="tr-TR"/>
              </w:rPr>
              <w:t>î</w:t>
            </w:r>
            <w:r w:rsidRPr="006D2E3C">
              <w:rPr>
                <w:rStyle w:val="KonuBalChar"/>
                <w:rFonts w:eastAsia="Calibri"/>
                <w:b w:val="0"/>
                <w:color w:val="auto"/>
              </w:rPr>
              <w:t xml:space="preserve"> dairelerin ya da yetkili makamların düzenledikleri yahut onayladıkları bir belge veyahut sözleşmeler dahil, alacağın doğum sebebini ispata elverişli senet ya da iki tarafı da tacir olan icra takiplerinde itiraz edilmemiş fatura</w:t>
            </w:r>
            <w:r w:rsidRPr="006D2E3C">
              <w:rPr>
                <w:rStyle w:val="KonuBalChar"/>
                <w:rFonts w:eastAsia="Calibri"/>
                <w:b w:val="0"/>
                <w:color w:val="auto"/>
                <w:lang w:val="tr-TR"/>
              </w:rPr>
              <w:t>nın takip talebine ekleneceği hükme bağlanmaktadır.</w:t>
            </w:r>
          </w:p>
          <w:p w:rsidR="00703236" w:rsidRPr="00A23740" w:rsidRDefault="00703236" w:rsidP="009431FF">
            <w:pPr>
              <w:tabs>
                <w:tab w:val="left" w:pos="567"/>
              </w:tabs>
              <w:ind w:firstLine="709"/>
              <w:rPr>
                <w:bCs/>
                <w:szCs w:val="24"/>
                <w:lang w:eastAsia="x-none"/>
              </w:rPr>
            </w:pPr>
            <w:r w:rsidRPr="00A23740">
              <w:rPr>
                <w:bCs/>
                <w:szCs w:val="24"/>
                <w:lang w:eastAsia="x-none"/>
              </w:rPr>
              <w:t xml:space="preserve">İkinci fıkranın </w:t>
            </w:r>
            <w:r w:rsidRPr="006D2E3C">
              <w:rPr>
                <w:rStyle w:val="KonuBalChar"/>
                <w:rFonts w:eastAsia="Calibri"/>
                <w:b w:val="0"/>
                <w:color w:val="auto"/>
              </w:rPr>
              <w:t>(</w:t>
            </w:r>
            <w:r w:rsidR="009F40FA" w:rsidRPr="006D2E3C">
              <w:rPr>
                <w:rStyle w:val="KonuBalChar"/>
                <w:rFonts w:eastAsia="Calibri"/>
                <w:b w:val="0"/>
                <w:color w:val="auto"/>
              </w:rPr>
              <w:t>e</w:t>
            </w:r>
            <w:r w:rsidRPr="006D2E3C">
              <w:rPr>
                <w:rStyle w:val="KonuBalChar"/>
                <w:rFonts w:eastAsia="Calibri"/>
                <w:b w:val="0"/>
                <w:color w:val="auto"/>
              </w:rPr>
              <w:t>)</w:t>
            </w:r>
            <w:r w:rsidRPr="00A23740">
              <w:rPr>
                <w:bCs/>
                <w:szCs w:val="24"/>
                <w:lang w:eastAsia="x-none"/>
              </w:rPr>
              <w:t xml:space="preserve"> bendinde</w:t>
            </w:r>
            <w:r w:rsidR="009F40FA" w:rsidRPr="00A23740">
              <w:rPr>
                <w:bCs/>
                <w:szCs w:val="24"/>
                <w:lang w:eastAsia="x-none"/>
              </w:rPr>
              <w:t>,</w:t>
            </w:r>
            <w:r w:rsidRPr="00A23740">
              <w:rPr>
                <w:bCs/>
                <w:szCs w:val="24"/>
                <w:lang w:eastAsia="x-none"/>
              </w:rPr>
              <w:t xml:space="preserve"> “Takip para alacağı veya teminat alacağı hakkında ise takip yollarından hangisinin seçildiği”ne ilişkin bilgilerin takip talebinde bulunması gerektiği belirtilmiştir.</w:t>
            </w:r>
          </w:p>
          <w:p w:rsidR="00937EA0" w:rsidRPr="00A23740" w:rsidRDefault="00703236" w:rsidP="009431FF">
            <w:pPr>
              <w:tabs>
                <w:tab w:val="left" w:pos="567"/>
              </w:tabs>
              <w:ind w:firstLine="709"/>
              <w:rPr>
                <w:bCs/>
                <w:szCs w:val="24"/>
                <w:lang w:eastAsia="x-none"/>
              </w:rPr>
            </w:pPr>
            <w:r w:rsidRPr="00A23740">
              <w:rPr>
                <w:bCs/>
                <w:szCs w:val="24"/>
                <w:lang w:eastAsia="x-none"/>
              </w:rPr>
              <w:t xml:space="preserve">Maddenin </w:t>
            </w:r>
            <w:r w:rsidRPr="00A23740">
              <w:rPr>
                <w:rStyle w:val="MaviChar"/>
                <w:b w:val="0"/>
                <w:color w:val="auto"/>
              </w:rPr>
              <w:t>üçüncü</w:t>
            </w:r>
            <w:r w:rsidRPr="00A23740">
              <w:rPr>
                <w:bCs/>
                <w:szCs w:val="24"/>
                <w:lang w:eastAsia="x-none"/>
              </w:rPr>
              <w:t xml:space="preserve"> fıkrasında</w:t>
            </w:r>
            <w:r w:rsidR="009F40FA" w:rsidRPr="00A23740">
              <w:rPr>
                <w:bCs/>
                <w:szCs w:val="24"/>
                <w:lang w:eastAsia="x-none"/>
              </w:rPr>
              <w:t>,</w:t>
            </w:r>
            <w:r w:rsidRPr="00A23740">
              <w:rPr>
                <w:bCs/>
                <w:szCs w:val="24"/>
                <w:lang w:eastAsia="x-none"/>
              </w:rPr>
              <w:t xml:space="preserve"> “İkinci fıkranın (ç) bendinde sayılan alacak belgesinin aslının veya onaylanmış, borçlu sayısından bir fazla örneğinin takip talebiyle birlikte icra ve iflas dairesine tevdii zorunlu tutulmaktadır. Alacak belgesinin iadesi </w:t>
            </w:r>
            <w:r w:rsidR="00D91AC4" w:rsidRPr="006D2E3C">
              <w:rPr>
                <w:rStyle w:val="KonuBalChar"/>
                <w:rFonts w:eastAsia="Calibri"/>
                <w:b w:val="0"/>
                <w:color w:val="auto"/>
              </w:rPr>
              <w:t>266</w:t>
            </w:r>
            <w:r w:rsidR="00D91AC4" w:rsidRPr="00A23740">
              <w:rPr>
                <w:rStyle w:val="KonuBalChar"/>
                <w:rFonts w:eastAsia="Calibri"/>
              </w:rPr>
              <w:t xml:space="preserve"> </w:t>
            </w:r>
            <w:r w:rsidR="00D91AC4" w:rsidRPr="006D2E3C">
              <w:rPr>
                <w:rStyle w:val="KonuBalChar"/>
                <w:rFonts w:eastAsia="Calibri"/>
                <w:b w:val="0"/>
                <w:color w:val="auto"/>
              </w:rPr>
              <w:t>ncı</w:t>
            </w:r>
            <w:r w:rsidR="00D91AC4" w:rsidRPr="00A23740">
              <w:rPr>
                <w:rStyle w:val="MaviChar"/>
              </w:rPr>
              <w:t xml:space="preserve"> </w:t>
            </w:r>
            <w:r w:rsidRPr="00A23740">
              <w:rPr>
                <w:bCs/>
                <w:szCs w:val="24"/>
                <w:lang w:eastAsia="x-none"/>
              </w:rPr>
              <w:t xml:space="preserve">madde uyarınca </w:t>
            </w:r>
            <w:r w:rsidRPr="00A23740">
              <w:rPr>
                <w:bCs/>
                <w:szCs w:val="24"/>
                <w:lang w:eastAsia="x-none"/>
              </w:rPr>
              <w:lastRenderedPageBreak/>
              <w:t>gerçekleştirilebilecek olup, 5941 sayılı Çek Kanununun 3 üncü maddesinin altıncı fıkrasında düzenlenen kısmi ödemeye iliş</w:t>
            </w:r>
            <w:r w:rsidR="00D91AC4" w:rsidRPr="00A23740">
              <w:rPr>
                <w:bCs/>
                <w:szCs w:val="24"/>
                <w:lang w:eastAsia="x-none"/>
              </w:rPr>
              <w:t>kin hüküm saklı” tutulmaktadır.</w:t>
            </w:r>
          </w:p>
          <w:p w:rsidR="00703236" w:rsidRPr="00A23740" w:rsidRDefault="00703236" w:rsidP="009431FF">
            <w:pPr>
              <w:tabs>
                <w:tab w:val="left" w:pos="567"/>
              </w:tabs>
              <w:ind w:firstLine="709"/>
              <w:rPr>
                <w:bCs/>
                <w:szCs w:val="24"/>
                <w:lang w:eastAsia="x-none"/>
              </w:rPr>
            </w:pPr>
            <w:r w:rsidRPr="00A23740">
              <w:rPr>
                <w:bCs/>
                <w:szCs w:val="24"/>
                <w:lang w:eastAsia="x-none"/>
              </w:rPr>
              <w:t>Maddenin dördüncü fıkrasında, alacak belgesinin bir kambiyo senedi olması h</w:t>
            </w:r>
            <w:r w:rsidR="002F2BAA" w:rsidRPr="00A23740">
              <w:rPr>
                <w:bCs/>
                <w:szCs w:val="24"/>
                <w:lang w:eastAsia="x-none"/>
              </w:rPr>
              <w:t>â</w:t>
            </w:r>
            <w:r w:rsidRPr="00A23740">
              <w:rPr>
                <w:bCs/>
                <w:szCs w:val="24"/>
                <w:lang w:eastAsia="x-none"/>
              </w:rPr>
              <w:t>linde, senedin aslının icra ve iflas dairesine verilmesinin zorunlu olduğu düzenlenmiştir. Taslak</w:t>
            </w:r>
            <w:r w:rsidR="004F2E3B" w:rsidRPr="00A23740">
              <w:rPr>
                <w:bCs/>
                <w:szCs w:val="24"/>
                <w:lang w:eastAsia="x-none"/>
              </w:rPr>
              <w:t>la</w:t>
            </w:r>
            <w:r w:rsidRPr="00A23740">
              <w:rPr>
                <w:bCs/>
                <w:szCs w:val="24"/>
                <w:lang w:eastAsia="x-none"/>
              </w:rPr>
              <w:t xml:space="preserve"> kambiyo senetlerine mahsus ta</w:t>
            </w:r>
            <w:r w:rsidR="009F33EC" w:rsidRPr="00A23740">
              <w:rPr>
                <w:bCs/>
                <w:szCs w:val="24"/>
                <w:lang w:eastAsia="x-none"/>
              </w:rPr>
              <w:t>kip yolları kaldırılmış olsa da</w:t>
            </w:r>
            <w:r w:rsidR="004F2E3B" w:rsidRPr="00A23740">
              <w:rPr>
                <w:bCs/>
                <w:szCs w:val="24"/>
                <w:lang w:eastAsia="x-none"/>
              </w:rPr>
              <w:t>,</w:t>
            </w:r>
            <w:r w:rsidRPr="00A23740">
              <w:rPr>
                <w:bCs/>
                <w:szCs w:val="24"/>
                <w:lang w:eastAsia="x-none"/>
              </w:rPr>
              <w:t xml:space="preserve"> borçlu hakkında bir kambiyo senedine dayanılarak haciz veya iflas takibi yapılması </w:t>
            </w:r>
            <w:r w:rsidR="004F2E3B" w:rsidRPr="00A23740">
              <w:rPr>
                <w:bCs/>
                <w:szCs w:val="24"/>
                <w:lang w:eastAsia="x-none"/>
              </w:rPr>
              <w:t xml:space="preserve">hiç kuşkusuz </w:t>
            </w:r>
            <w:r w:rsidRPr="00A23740">
              <w:rPr>
                <w:bCs/>
                <w:szCs w:val="24"/>
                <w:lang w:eastAsia="x-none"/>
              </w:rPr>
              <w:t>yine mümkündür. Kambiyo senetlerinin aslının icra ve iflas dairesine tevdi edilmesi, bu senetlerin ciro kabiliyetini kaldıracağı için</w:t>
            </w:r>
            <w:r w:rsidR="004F2E3B" w:rsidRPr="00A23740">
              <w:rPr>
                <w:bCs/>
                <w:szCs w:val="24"/>
                <w:lang w:eastAsia="x-none"/>
              </w:rPr>
              <w:t>,</w:t>
            </w:r>
            <w:r w:rsidRPr="00A23740">
              <w:rPr>
                <w:bCs/>
                <w:szCs w:val="24"/>
                <w:lang w:eastAsia="x-none"/>
              </w:rPr>
              <w:t xml:space="preserve"> bu hususta ortaya çıkabilecek sorunlar asgariye indirilmiş olacaktır. Fıkranın ikinci cümlesi, 2004 sayılı Kanunun 176/b maddesinin ikinci fıkrasının ikinci cümlesi esas alınarak yazılmıştır. Buna göre, aynı kambiyo senedine dayanarak birden fazla borçlu hakkında farklı takip yapmak isteyen alacaklı, diğer takip taleplerine kambiyo senedinin icra ve iflas dairesi tarafından tasdik edilmiş bir suretini eklemek zorunda olacaktır. İcra ve iflas dairesi, senedin bu suretlerine, senedin aslının kendisinde bulunduğunu yazar.</w:t>
            </w:r>
          </w:p>
          <w:p w:rsidR="00703236" w:rsidRPr="00A23740" w:rsidRDefault="00703236" w:rsidP="009431FF">
            <w:pPr>
              <w:tabs>
                <w:tab w:val="left" w:pos="567"/>
              </w:tabs>
              <w:ind w:firstLine="709"/>
              <w:rPr>
                <w:bCs/>
                <w:szCs w:val="24"/>
                <w:lang w:eastAsia="x-none"/>
              </w:rPr>
            </w:pPr>
            <w:r w:rsidRPr="00A23740">
              <w:rPr>
                <w:bCs/>
                <w:szCs w:val="24"/>
                <w:lang w:eastAsia="x-none"/>
              </w:rPr>
              <w:t xml:space="preserve">Maddenin </w:t>
            </w:r>
            <w:r w:rsidRPr="00A23740">
              <w:rPr>
                <w:szCs w:val="24"/>
                <w:lang w:eastAsia="x-none"/>
              </w:rPr>
              <w:t>beşinci</w:t>
            </w:r>
            <w:r w:rsidRPr="00A23740">
              <w:rPr>
                <w:bCs/>
                <w:szCs w:val="24"/>
                <w:lang w:eastAsia="x-none"/>
              </w:rPr>
              <w:t xml:space="preserve"> fıkrasında “Alacaklıya takip talebinde bulunduğuna ve verdiği </w:t>
            </w:r>
            <w:r w:rsidR="002D7675" w:rsidRPr="006D2E3C">
              <w:rPr>
                <w:szCs w:val="24"/>
                <w:lang w:eastAsia="x-none"/>
              </w:rPr>
              <w:t>belgeler</w:t>
            </w:r>
            <w:r w:rsidR="002D7675" w:rsidRPr="00A23740">
              <w:rPr>
                <w:b/>
                <w:color w:val="538135"/>
                <w:szCs w:val="24"/>
                <w:lang w:eastAsia="x-none"/>
              </w:rPr>
              <w:t xml:space="preserve"> </w:t>
            </w:r>
            <w:r w:rsidR="002D7675" w:rsidRPr="006D2E3C">
              <w:rPr>
                <w:szCs w:val="24"/>
                <w:lang w:eastAsia="x-none"/>
              </w:rPr>
              <w:t>ile</w:t>
            </w:r>
            <w:r w:rsidR="002D7675" w:rsidRPr="00A23740">
              <w:rPr>
                <w:bCs/>
                <w:color w:val="538135"/>
                <w:szCs w:val="24"/>
                <w:lang w:eastAsia="x-none"/>
              </w:rPr>
              <w:t xml:space="preserve"> </w:t>
            </w:r>
            <w:r w:rsidRPr="00A23740">
              <w:rPr>
                <w:bCs/>
                <w:szCs w:val="24"/>
                <w:lang w:eastAsia="x-none"/>
              </w:rPr>
              <w:t xml:space="preserve">takip giderlerine dair ücretsiz bir alındı belgesi verileceği” öngörülmüştür. </w:t>
            </w:r>
          </w:p>
          <w:p w:rsidR="00703236" w:rsidRPr="00A23740" w:rsidRDefault="00703236" w:rsidP="009431FF">
            <w:pPr>
              <w:tabs>
                <w:tab w:val="left" w:pos="567"/>
              </w:tabs>
              <w:ind w:firstLine="709"/>
              <w:rPr>
                <w:b/>
                <w:szCs w:val="24"/>
              </w:rPr>
            </w:pPr>
            <w:r w:rsidRPr="00A23740">
              <w:rPr>
                <w:bCs/>
                <w:szCs w:val="24"/>
                <w:lang w:eastAsia="x-none"/>
              </w:rPr>
              <w:t xml:space="preserve">2004 sayılı Kanunda karşılığı bulunmayan </w:t>
            </w:r>
            <w:r w:rsidRPr="00A23740">
              <w:rPr>
                <w:szCs w:val="24"/>
                <w:lang w:eastAsia="x-none"/>
              </w:rPr>
              <w:t>altıncı</w:t>
            </w:r>
            <w:r w:rsidRPr="00A23740">
              <w:rPr>
                <w:bCs/>
                <w:szCs w:val="24"/>
                <w:lang w:eastAsia="x-none"/>
              </w:rPr>
              <w:t xml:space="preserve"> fıkrada “Takip, takip talebinin kaydedildiği tarihte başlatılmış sayılır” hükmüne yer verilmektedir. Böylece zamanaşımının ne zaman kesilmiş sayılacağı ve temerrüt faizinin hangi tarihten itibaren işletilebileceği gibi sorula</w:t>
            </w:r>
            <w:r w:rsidR="003047A5">
              <w:rPr>
                <w:bCs/>
                <w:szCs w:val="24"/>
                <w:lang w:eastAsia="x-none"/>
              </w:rPr>
              <w:t>ra cevap verilmiş olmaktadır.</w:t>
            </w:r>
          </w:p>
          <w:p w:rsidR="00703236" w:rsidRPr="00A23740" w:rsidRDefault="00703236"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551F85" w:rsidRDefault="00155AF4" w:rsidP="009431FF">
            <w:pPr>
              <w:pStyle w:val="KIRMIZI"/>
            </w:pPr>
            <w:r w:rsidRPr="00551F85">
              <w:lastRenderedPageBreak/>
              <w:t>Takip masrafları:</w:t>
            </w:r>
          </w:p>
          <w:p w:rsidR="00155AF4" w:rsidRPr="00551F85" w:rsidRDefault="00155AF4" w:rsidP="009431FF">
            <w:pPr>
              <w:pStyle w:val="KIRMIZI"/>
            </w:pPr>
            <w:r w:rsidRPr="00551F85">
              <w:rPr>
                <w:rStyle w:val="StilKrmzChar"/>
                <w:b/>
                <w:strike/>
              </w:rPr>
              <w:t>Madde 59</w:t>
            </w:r>
            <w:r w:rsidRPr="00551F85">
              <w:t xml:space="preserve"> – (1) (Değişik: 6/6/1985 - 3222/4 md.)</w:t>
            </w:r>
          </w:p>
          <w:p w:rsidR="00155AF4" w:rsidRPr="00551F85" w:rsidRDefault="00155AF4" w:rsidP="009431FF">
            <w:pPr>
              <w:pStyle w:val="KIRMIZI"/>
            </w:pPr>
            <w:r w:rsidRPr="00551F85">
              <w:rPr>
                <w:rStyle w:val="KIRMIZIChar"/>
                <w:rFonts w:eastAsia="Calibri"/>
                <w:b/>
                <w:bCs/>
                <w:strike/>
              </w:rPr>
              <w:t>Takip masrafları borçluya aittir.</w:t>
            </w:r>
            <w:r w:rsidRPr="00551F85">
              <w:t xml:space="preserve"> Alacaklı, yapılmasını talep ettiği muamelenin masrafını ve ayrıca takip talebinde bulunurken borçlunun 62 nci maddeye göre yapabileceği itirazın kendisine tebliğ masrafını da avans olarak peşinen öder.</w:t>
            </w:r>
          </w:p>
          <w:p w:rsidR="00155AF4" w:rsidRPr="00551F85" w:rsidRDefault="00155AF4" w:rsidP="009431FF">
            <w:pPr>
              <w:pStyle w:val="KIRMIZI"/>
            </w:pPr>
          </w:p>
          <w:p w:rsidR="00155AF4" w:rsidRPr="00551F85" w:rsidRDefault="00155AF4" w:rsidP="009431FF">
            <w:pPr>
              <w:pStyle w:val="KIRMIZI"/>
            </w:pPr>
            <w:r w:rsidRPr="00551F85">
              <w:t>(2) Alacaklı ilk ödenen paradan masraflarını alabilir.</w:t>
            </w:r>
          </w:p>
          <w:p w:rsidR="00155AF4" w:rsidRPr="00551F85" w:rsidRDefault="00155AF4" w:rsidP="009431FF">
            <w:pPr>
              <w:pStyle w:val="KIRMIZI"/>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lang w:eastAsia="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IRMIZI"/>
              <w:rPr>
                <w:lang w:val="tr-TR"/>
              </w:rPr>
            </w:pPr>
            <w:r w:rsidRPr="00A23740">
              <w:rPr>
                <w:rStyle w:val="KIRMIZIChar"/>
                <w:lang w:val="tr-TR"/>
              </w:rPr>
              <w:t>VI.</w:t>
            </w:r>
            <w:r w:rsidRPr="00A23740">
              <w:rPr>
                <w:lang w:val="tr-TR"/>
              </w:rPr>
              <w:t xml:space="preserve"> ÖDEME EMRİ VE İTİRAZ</w:t>
            </w:r>
          </w:p>
          <w:p w:rsidR="00155AF4" w:rsidRPr="00A23740" w:rsidRDefault="00155AF4" w:rsidP="009431FF">
            <w:pPr>
              <w:tabs>
                <w:tab w:val="left" w:pos="567"/>
                <w:tab w:val="center" w:pos="3543"/>
              </w:tabs>
              <w:autoSpaceDE w:val="0"/>
              <w:autoSpaceDN w:val="0"/>
              <w:adjustRightInd w:val="0"/>
              <w:rPr>
                <w:i/>
                <w:iCs/>
                <w:szCs w:val="24"/>
              </w:rPr>
            </w:pPr>
            <w:r w:rsidRPr="00A23740">
              <w:rPr>
                <w:rStyle w:val="KIRMIZIChar"/>
                <w:rFonts w:eastAsia="Calibri"/>
              </w:rPr>
              <w:t>1 –</w:t>
            </w:r>
            <w:r w:rsidRPr="00A23740">
              <w:rPr>
                <w:i/>
                <w:iCs/>
                <w:szCs w:val="24"/>
              </w:rPr>
              <w:t xml:space="preserve"> Ödeme emri </w:t>
            </w:r>
            <w:r w:rsidRPr="00A23740">
              <w:rPr>
                <w:rStyle w:val="KIRMIZIChar"/>
                <w:rFonts w:eastAsia="Calibri"/>
              </w:rPr>
              <w:t>ve muhtevası</w:t>
            </w:r>
            <w:r w:rsidRPr="00A23740">
              <w:rPr>
                <w:b/>
                <w:bCs/>
                <w:strike/>
                <w:color w:val="FF0000"/>
                <w:szCs w:val="24"/>
              </w:rPr>
              <w:t>:</w:t>
            </w:r>
          </w:p>
          <w:p w:rsidR="00155AF4" w:rsidRPr="00A23740" w:rsidRDefault="00155AF4" w:rsidP="009431FF">
            <w:pPr>
              <w:tabs>
                <w:tab w:val="left" w:pos="567"/>
                <w:tab w:val="center" w:pos="3543"/>
              </w:tabs>
              <w:autoSpaceDE w:val="0"/>
              <w:autoSpaceDN w:val="0"/>
              <w:adjustRightInd w:val="0"/>
              <w:rPr>
                <w:b/>
                <w:bCs/>
                <w:strike/>
                <w:color w:val="FF0000"/>
                <w:szCs w:val="24"/>
              </w:rPr>
            </w:pPr>
            <w:r w:rsidRPr="00A23740">
              <w:rPr>
                <w:rStyle w:val="KIRMIZIChar"/>
                <w:rFonts w:eastAsia="Calibri"/>
              </w:rPr>
              <w:t xml:space="preserve">Madde 60 – (1) </w:t>
            </w:r>
            <w:r w:rsidRPr="00A23740">
              <w:rPr>
                <w:b/>
                <w:bCs/>
                <w:strike/>
                <w:color w:val="FF0000"/>
                <w:szCs w:val="24"/>
              </w:rPr>
              <w:t>(Değişik: 18/2/1965 - 538/31 md.)</w:t>
            </w:r>
          </w:p>
          <w:p w:rsidR="00155AF4" w:rsidRPr="00A23740" w:rsidRDefault="00155AF4" w:rsidP="009431FF">
            <w:pPr>
              <w:tabs>
                <w:tab w:val="left" w:pos="567"/>
                <w:tab w:val="center" w:pos="3543"/>
              </w:tabs>
              <w:autoSpaceDE w:val="0"/>
              <w:autoSpaceDN w:val="0"/>
              <w:adjustRightInd w:val="0"/>
              <w:rPr>
                <w:b/>
                <w:bCs/>
                <w:strike/>
                <w:color w:val="FF0000"/>
                <w:szCs w:val="24"/>
              </w:rPr>
            </w:pPr>
            <w:r w:rsidRPr="00A23740">
              <w:rPr>
                <w:b/>
                <w:bCs/>
                <w:strike/>
                <w:color w:val="FF0000"/>
                <w:szCs w:val="24"/>
              </w:rPr>
              <w:t>(Değişik bir</w:t>
            </w:r>
            <w:r w:rsidRPr="00A23740">
              <w:rPr>
                <w:rStyle w:val="KIRMIZIChar"/>
                <w:rFonts w:eastAsia="Calibri"/>
              </w:rPr>
              <w:t>inci fıkra: 2/7/2012-6352/10 md.) İcra müdürü takip talebinin bu Kanunda öngörülen şartları içerdiğine karar verirse ödeme emri düzenler. Talebin kabul edilmemesi halinde verilen karar tutanağa yazılır.</w:t>
            </w:r>
          </w:p>
          <w:p w:rsidR="00155AF4" w:rsidRPr="00A23740" w:rsidRDefault="00155AF4" w:rsidP="009431FF">
            <w:pPr>
              <w:tabs>
                <w:tab w:val="left" w:pos="567"/>
                <w:tab w:val="center" w:pos="3543"/>
              </w:tabs>
              <w:autoSpaceDE w:val="0"/>
              <w:autoSpaceDN w:val="0"/>
              <w:adjustRightInd w:val="0"/>
              <w:rPr>
                <w:b/>
                <w:bCs/>
                <w:szCs w:val="24"/>
              </w:rPr>
            </w:pPr>
          </w:p>
          <w:p w:rsidR="00155AF4" w:rsidRPr="00A23740" w:rsidRDefault="00155AF4" w:rsidP="009431FF">
            <w:pPr>
              <w:tabs>
                <w:tab w:val="left" w:pos="567"/>
              </w:tabs>
              <w:autoSpaceDE w:val="0"/>
              <w:autoSpaceDN w:val="0"/>
              <w:adjustRightInd w:val="0"/>
              <w:rPr>
                <w:strike/>
                <w:color w:val="FF0000"/>
                <w:szCs w:val="24"/>
              </w:rPr>
            </w:pPr>
            <w:r w:rsidRPr="00A23740">
              <w:rPr>
                <w:b/>
                <w:bCs/>
                <w:strike/>
                <w:color w:val="FF0000"/>
                <w:szCs w:val="24"/>
              </w:rPr>
              <w:lastRenderedPageBreak/>
              <w:t>(2) Emir</w:t>
            </w:r>
            <w:r w:rsidRPr="00A23740">
              <w:rPr>
                <w:strike/>
                <w:color w:val="FF0000"/>
                <w:szCs w:val="24"/>
              </w:rPr>
              <w:t>:</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1. (Değişik: 2/7/</w:t>
            </w:r>
            <w:r w:rsidRPr="00A23740">
              <w:rPr>
                <w:rStyle w:val="KIRMIZIChar"/>
                <w:rFonts w:eastAsia="Calibri"/>
              </w:rPr>
              <w:t>2012-6352/10 md.)</w:t>
            </w:r>
            <w:r w:rsidRPr="00A23740">
              <w:rPr>
                <w:rStyle w:val="KIRMIZIChar"/>
                <w:rFonts w:eastAsia="Calibri"/>
                <w:strike w:val="0"/>
              </w:rPr>
              <w:t xml:space="preserve"> </w:t>
            </w:r>
            <w:r w:rsidRPr="00A23740">
              <w:rPr>
                <w:szCs w:val="24"/>
              </w:rPr>
              <w:t>Alacaklının ve</w:t>
            </w:r>
            <w:r w:rsidRPr="00A23740">
              <w:rPr>
                <w:rStyle w:val="KIRMIZIChar"/>
                <w:rFonts w:eastAsia="Calibri"/>
              </w:rPr>
              <w:t>ya</w:t>
            </w:r>
            <w:r w:rsidRPr="00A23740">
              <w:rPr>
                <w:rStyle w:val="KIRMIZIChar"/>
                <w:rFonts w:eastAsia="Calibri"/>
                <w:strike w:val="0"/>
              </w:rPr>
              <w:t xml:space="preserve"> </w:t>
            </w:r>
            <w:r w:rsidRPr="00A23740">
              <w:rPr>
                <w:szCs w:val="24"/>
              </w:rPr>
              <w:t>vekilinin</w:t>
            </w:r>
            <w:r w:rsidRPr="00A23740">
              <w:rPr>
                <w:b/>
                <w:bCs/>
              </w:rPr>
              <w:t xml:space="preserve"> </w:t>
            </w:r>
            <w:r w:rsidRPr="00A23740">
              <w:rPr>
                <w:rStyle w:val="KIRMIZIChar"/>
                <w:rFonts w:eastAsia="Calibri"/>
              </w:rPr>
              <w:t>banka hesap numarası hariç olmak üzere, 58 inci maddeye göre takip talebine yazılması lazım gelen kayıtları,</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042682" w:rsidRPr="00A23740" w:rsidRDefault="00042682" w:rsidP="009431FF">
            <w:pPr>
              <w:tabs>
                <w:tab w:val="left" w:pos="567"/>
              </w:tabs>
              <w:autoSpaceDE w:val="0"/>
              <w:autoSpaceDN w:val="0"/>
              <w:adjustRightInd w:val="0"/>
              <w:rPr>
                <w:szCs w:val="24"/>
              </w:rPr>
            </w:pPr>
          </w:p>
          <w:p w:rsidR="00B06A47" w:rsidRPr="00A23740" w:rsidRDefault="00B06A47" w:rsidP="009431FF">
            <w:pPr>
              <w:autoSpaceDE w:val="0"/>
              <w:autoSpaceDN w:val="0"/>
              <w:adjustRightInd w:val="0"/>
              <w:rPr>
                <w:b/>
                <w:bCs/>
                <w:strike/>
                <w:color w:val="FF0000"/>
                <w:szCs w:val="24"/>
              </w:rPr>
            </w:pPr>
          </w:p>
          <w:p w:rsidR="00155AF4" w:rsidRPr="00A23740" w:rsidRDefault="00155AF4" w:rsidP="009431FF">
            <w:pPr>
              <w:autoSpaceDE w:val="0"/>
              <w:autoSpaceDN w:val="0"/>
              <w:adjustRightInd w:val="0"/>
              <w:rPr>
                <w:szCs w:val="24"/>
              </w:rPr>
            </w:pPr>
            <w:r w:rsidRPr="00A23740">
              <w:rPr>
                <w:b/>
                <w:bCs/>
                <w:strike/>
                <w:color w:val="FF0000"/>
                <w:szCs w:val="24"/>
              </w:rPr>
              <w:t>2. (Değişik: 2/7/2012-6352/10 md.)</w:t>
            </w:r>
            <w:r w:rsidRPr="00A23740">
              <w:rPr>
                <w:b/>
                <w:bCs/>
                <w:szCs w:val="24"/>
              </w:rPr>
              <w:t xml:space="preserve"> </w:t>
            </w:r>
            <w:r w:rsidRPr="00A23740">
              <w:rPr>
                <w:szCs w:val="24"/>
              </w:rPr>
              <w:t xml:space="preserve">Borcun ve </w:t>
            </w:r>
            <w:r w:rsidRPr="00A23740">
              <w:rPr>
                <w:rStyle w:val="KIRMIZIChar"/>
                <w:rFonts w:eastAsia="Calibri"/>
              </w:rPr>
              <w:t>masrafların</w:t>
            </w:r>
            <w:r w:rsidRPr="00A23740">
              <w:rPr>
                <w:b/>
                <w:bCs/>
                <w:color w:val="FF0000"/>
                <w:szCs w:val="24"/>
              </w:rPr>
              <w:t xml:space="preserve"> </w:t>
            </w:r>
            <w:r w:rsidRPr="00A23740">
              <w:rPr>
                <w:b/>
                <w:bCs/>
                <w:strike/>
                <w:color w:val="FF0000"/>
                <w:szCs w:val="24"/>
              </w:rPr>
              <w:t>yedi gün</w:t>
            </w:r>
            <w:r w:rsidRPr="00A23740">
              <w:rPr>
                <w:szCs w:val="24"/>
              </w:rPr>
              <w:t xml:space="preserve"> içinde icra dairesin</w:t>
            </w:r>
            <w:r w:rsidRPr="00A23740">
              <w:rPr>
                <w:b/>
                <w:bCs/>
                <w:strike/>
                <w:color w:val="FF0000"/>
                <w:szCs w:val="24"/>
              </w:rPr>
              <w:t>e ait</w:t>
            </w:r>
            <w:r w:rsidRPr="00A23740">
              <w:rPr>
                <w:b/>
                <w:bCs/>
                <w:color w:val="FF0000"/>
                <w:szCs w:val="24"/>
              </w:rPr>
              <w:t xml:space="preserve"> </w:t>
            </w:r>
            <w:r w:rsidRPr="00A23740">
              <w:rPr>
                <w:szCs w:val="24"/>
              </w:rPr>
              <w:t>ödeme emrinde yazılı olan banka hesabına ödenmesi</w:t>
            </w:r>
            <w:r w:rsidRPr="00A23740">
              <w:rPr>
                <w:rStyle w:val="KIRMIZIChar"/>
                <w:rFonts w:eastAsia="Calibri"/>
              </w:rPr>
              <w:t>,</w:t>
            </w:r>
            <w:r w:rsidRPr="00A23740">
              <w:rPr>
                <w:szCs w:val="24"/>
              </w:rPr>
              <w:t xml:space="preserve"> borç, teminat verilmesi mükellefiyeti ise teminatın bu süre içinde gösterilmesi </w:t>
            </w:r>
            <w:r w:rsidRPr="00A23740">
              <w:rPr>
                <w:b/>
                <w:bCs/>
                <w:strike/>
                <w:color w:val="FF0000"/>
                <w:szCs w:val="24"/>
              </w:rPr>
              <w:t>ihtarını,</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lastRenderedPageBreak/>
              <w:t>3. Takibin dayandığı senet altındaki imza kendisine ait değilse yine bu yedi gün içinde bu cihetin ayrıca ve açıkça bildirilmesi; aksi halde icra takibinde senedin kendisinden sadır sayılacağı,</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 xml:space="preserve">(3) Senet </w:t>
            </w:r>
            <w:r w:rsidRPr="00A23740">
              <w:rPr>
                <w:szCs w:val="24"/>
              </w:rPr>
              <w:t>altındaki imzayı</w:t>
            </w:r>
            <w:r w:rsidRPr="00A23740">
              <w:rPr>
                <w:b/>
                <w:bCs/>
                <w:strike/>
                <w:color w:val="FF0000"/>
                <w:szCs w:val="24"/>
              </w:rPr>
              <w:t xml:space="preserve"> reddettiği takdirde icra mahkemesi önünde yapılacak duruşmada hazır bulunması; buna uymazsa vakı itirazın muvakkaten kaldırılmasına karar verileceği,</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(4)</w:t>
            </w:r>
            <w:r w:rsidRPr="00A23740">
              <w:rPr>
                <w:szCs w:val="24"/>
              </w:rPr>
              <w:t xml:space="preserve"> Borcun tamamına </w:t>
            </w:r>
            <w:r w:rsidRPr="00A23740">
              <w:rPr>
                <w:b/>
                <w:bCs/>
                <w:strike/>
                <w:color w:val="FF0000"/>
                <w:szCs w:val="24"/>
              </w:rPr>
              <w:t>veya</w:t>
            </w:r>
            <w:r w:rsidRPr="00A23740">
              <w:rPr>
                <w:szCs w:val="24"/>
              </w:rPr>
              <w:t xml:space="preserve"> bir kısmına </w:t>
            </w:r>
            <w:r w:rsidRPr="00A23740">
              <w:rPr>
                <w:b/>
                <w:bCs/>
                <w:strike/>
                <w:color w:val="FF0000"/>
                <w:szCs w:val="24"/>
              </w:rPr>
              <w:t>yahut</w:t>
            </w:r>
            <w:r w:rsidRPr="00A23740">
              <w:rPr>
                <w:szCs w:val="24"/>
              </w:rPr>
              <w:t xml:space="preserve"> alacaklının takibat icrası hakkına dair</w:t>
            </w:r>
            <w:r w:rsidRPr="00A23740">
              <w:rPr>
                <w:b/>
                <w:bCs/>
                <w:color w:val="FF0000"/>
                <w:szCs w:val="24"/>
              </w:rPr>
              <w:t xml:space="preserve"> </w:t>
            </w:r>
            <w:r w:rsidRPr="00A23740">
              <w:rPr>
                <w:b/>
                <w:bCs/>
                <w:strike/>
                <w:color w:val="FF0000"/>
                <w:szCs w:val="24"/>
              </w:rPr>
              <w:t>bir</w:t>
            </w:r>
            <w:r w:rsidRPr="00A23740">
              <w:rPr>
                <w:szCs w:val="24"/>
              </w:rPr>
              <w:t xml:space="preserve"> itirazı </w:t>
            </w:r>
            <w:r w:rsidRPr="00A23740">
              <w:rPr>
                <w:b/>
                <w:bCs/>
                <w:strike/>
                <w:color w:val="FF0000"/>
                <w:szCs w:val="24"/>
              </w:rPr>
              <w:t>varsa bunu da aynı süre</w:t>
            </w:r>
            <w:r w:rsidRPr="00A23740">
              <w:rPr>
                <w:b/>
                <w:bCs/>
                <w:color w:val="FF0000"/>
                <w:szCs w:val="24"/>
              </w:rPr>
              <w:t xml:space="preserve"> </w:t>
            </w:r>
            <w:r w:rsidRPr="00A23740">
              <w:rPr>
                <w:szCs w:val="24"/>
              </w:rPr>
              <w:t xml:space="preserve">içinde </w:t>
            </w:r>
            <w:r w:rsidRPr="00A23740">
              <w:rPr>
                <w:b/>
                <w:bCs/>
                <w:strike/>
                <w:color w:val="FF0000"/>
                <w:szCs w:val="24"/>
              </w:rPr>
              <w:t>beyan etmesi,</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İhtarını,</w:t>
            </w:r>
          </w:p>
          <w:p w:rsidR="00537077" w:rsidRPr="00A23740" w:rsidRDefault="00537077"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 xml:space="preserve">4. Senet </w:t>
            </w:r>
            <w:r w:rsidRPr="00A23740">
              <w:rPr>
                <w:rStyle w:val="KIRMIZIChar"/>
                <w:rFonts w:eastAsia="Calibri"/>
              </w:rPr>
              <w:t>veya borca itirazını bildirmediği takdirde yukarda yazılı yedi günlük süre içinde 74 üncü maddeye göre mal beyanında bulunması ve bulunmazsa hapisle tazyik olunacağı; mal beyanında bulunmaz veya hakikate aykırı beyanda bulunursa ayrıca hapisle cezalandırılacağı ihtarını,</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7D5D98" w:rsidRPr="00A23740" w:rsidRDefault="007D5D98" w:rsidP="009431FF">
            <w:pPr>
              <w:tabs>
                <w:tab w:val="left" w:pos="567"/>
              </w:tabs>
              <w:autoSpaceDE w:val="0"/>
              <w:autoSpaceDN w:val="0"/>
              <w:adjustRightInd w:val="0"/>
              <w:rPr>
                <w:szCs w:val="24"/>
              </w:rPr>
            </w:pPr>
          </w:p>
          <w:p w:rsidR="007D5D98" w:rsidRDefault="007D5D98" w:rsidP="009431FF">
            <w:pPr>
              <w:tabs>
                <w:tab w:val="left" w:pos="567"/>
              </w:tabs>
              <w:autoSpaceDE w:val="0"/>
              <w:autoSpaceDN w:val="0"/>
              <w:adjustRightInd w:val="0"/>
              <w:rPr>
                <w:szCs w:val="24"/>
              </w:rPr>
            </w:pPr>
          </w:p>
          <w:p w:rsidR="003047A5" w:rsidRPr="00A23740" w:rsidRDefault="003047A5" w:rsidP="009431FF">
            <w:pPr>
              <w:tabs>
                <w:tab w:val="left" w:pos="567"/>
              </w:tabs>
              <w:autoSpaceDE w:val="0"/>
              <w:autoSpaceDN w:val="0"/>
              <w:adjustRightInd w:val="0"/>
              <w:rPr>
                <w:szCs w:val="24"/>
              </w:rPr>
            </w:pPr>
          </w:p>
          <w:p w:rsidR="007F44E1" w:rsidRPr="00A23740" w:rsidRDefault="007F44E1"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5.</w:t>
            </w:r>
            <w:r w:rsidRPr="00A23740">
              <w:rPr>
                <w:szCs w:val="24"/>
              </w:rPr>
              <w:t xml:space="preserve"> Borç ödenmez ve</w:t>
            </w:r>
            <w:r w:rsidRPr="00A23740">
              <w:rPr>
                <w:b/>
                <w:bCs/>
                <w:strike/>
                <w:color w:val="FF0000"/>
                <w:szCs w:val="24"/>
              </w:rPr>
              <w:t>ya</w:t>
            </w:r>
            <w:r w:rsidRPr="00A23740">
              <w:rPr>
                <w:szCs w:val="24"/>
              </w:rPr>
              <w:t xml:space="preserve"> itiraz olunmazsa cebri icraya devam edileceği </w:t>
            </w:r>
            <w:r w:rsidRPr="00A23740">
              <w:rPr>
                <w:rStyle w:val="KIRMIZIChar"/>
                <w:rFonts w:eastAsia="Calibri"/>
              </w:rPr>
              <w:t>beyanını,</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İhtiva eder.</w:t>
            </w:r>
          </w:p>
          <w:p w:rsidR="00155AF4" w:rsidRPr="00A23740" w:rsidRDefault="00155AF4" w:rsidP="009431FF">
            <w:pPr>
              <w:tabs>
                <w:tab w:val="left" w:pos="567"/>
              </w:tabs>
              <w:autoSpaceDE w:val="0"/>
              <w:autoSpaceDN w:val="0"/>
              <w:adjustRightInd w:val="0"/>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551F85" w:rsidRDefault="00551F85" w:rsidP="009431FF">
            <w:pPr>
              <w:tabs>
                <w:tab w:val="left" w:pos="567"/>
                <w:tab w:val="center" w:pos="3543"/>
              </w:tabs>
              <w:autoSpaceDE w:val="0"/>
              <w:autoSpaceDN w:val="0"/>
              <w:adjustRightInd w:val="0"/>
              <w:rPr>
                <w:b/>
                <w:bCs/>
                <w:szCs w:val="24"/>
              </w:rPr>
            </w:pPr>
          </w:p>
          <w:p w:rsidR="00155AF4" w:rsidRPr="00A23740" w:rsidRDefault="00155AF4" w:rsidP="009431FF">
            <w:pPr>
              <w:tabs>
                <w:tab w:val="left" w:pos="567"/>
                <w:tab w:val="center" w:pos="3543"/>
              </w:tabs>
              <w:autoSpaceDE w:val="0"/>
              <w:autoSpaceDN w:val="0"/>
              <w:adjustRightInd w:val="0"/>
              <w:rPr>
                <w:b/>
                <w:bCs/>
                <w:szCs w:val="24"/>
              </w:rPr>
            </w:pPr>
            <w:r w:rsidRPr="00A23740">
              <w:rPr>
                <w:b/>
                <w:bCs/>
                <w:szCs w:val="24"/>
              </w:rPr>
              <w:t xml:space="preserve">Ödeme emri </w:t>
            </w:r>
          </w:p>
          <w:p w:rsidR="00155AF4" w:rsidRPr="00A23740" w:rsidRDefault="00155AF4" w:rsidP="009431FF">
            <w:pPr>
              <w:autoSpaceDE w:val="0"/>
              <w:autoSpaceDN w:val="0"/>
              <w:adjustRightInd w:val="0"/>
            </w:pPr>
            <w:r w:rsidRPr="00A23740">
              <w:rPr>
                <w:rStyle w:val="MaviChar"/>
                <w:lang w:val="tr-TR"/>
              </w:rPr>
              <w:t xml:space="preserve">MADDE </w:t>
            </w:r>
            <w:r w:rsidRPr="00A23740">
              <w:rPr>
                <w:rStyle w:val="MaviChar"/>
              </w:rPr>
              <w:t>88</w:t>
            </w:r>
            <w:r w:rsidR="00042682" w:rsidRPr="00A23740">
              <w:rPr>
                <w:rStyle w:val="MaviChar"/>
              </w:rPr>
              <w:t>- (1</w:t>
            </w:r>
            <w:r w:rsidRPr="00A23740">
              <w:rPr>
                <w:rStyle w:val="MaviChar"/>
              </w:rPr>
              <w:t>) Ödeme emrinde aşağıdaki hususlar bulunur:</w:t>
            </w:r>
          </w:p>
          <w:p w:rsidR="00155AF4" w:rsidRPr="00A23740" w:rsidRDefault="00155AF4" w:rsidP="009431FF">
            <w:pPr>
              <w:autoSpaceDE w:val="0"/>
              <w:autoSpaceDN w:val="0"/>
              <w:adjustRightInd w:val="0"/>
              <w:rPr>
                <w:szCs w:val="24"/>
              </w:rPr>
            </w:pPr>
          </w:p>
          <w:p w:rsidR="00042682" w:rsidRPr="00A23740" w:rsidRDefault="00042682" w:rsidP="009431FF">
            <w:pPr>
              <w:autoSpaceDE w:val="0"/>
              <w:autoSpaceDN w:val="0"/>
              <w:adjustRightInd w:val="0"/>
              <w:rPr>
                <w:szCs w:val="24"/>
              </w:rPr>
            </w:pPr>
          </w:p>
          <w:p w:rsidR="00042682" w:rsidRPr="00A23740" w:rsidRDefault="00042682" w:rsidP="009431FF">
            <w:pPr>
              <w:autoSpaceDE w:val="0"/>
              <w:autoSpaceDN w:val="0"/>
              <w:adjustRightInd w:val="0"/>
              <w:rPr>
                <w:szCs w:val="24"/>
              </w:rPr>
            </w:pPr>
          </w:p>
          <w:p w:rsidR="00042682" w:rsidRPr="00A23740" w:rsidRDefault="00042682" w:rsidP="009431FF">
            <w:pPr>
              <w:autoSpaceDE w:val="0"/>
              <w:autoSpaceDN w:val="0"/>
              <w:adjustRightInd w:val="0"/>
              <w:rPr>
                <w:szCs w:val="24"/>
              </w:rPr>
            </w:pPr>
          </w:p>
          <w:p w:rsidR="00042682" w:rsidRPr="00A23740" w:rsidRDefault="00042682" w:rsidP="009431FF">
            <w:pPr>
              <w:autoSpaceDE w:val="0"/>
              <w:autoSpaceDN w:val="0"/>
              <w:adjustRightInd w:val="0"/>
              <w:rPr>
                <w:szCs w:val="24"/>
              </w:rPr>
            </w:pPr>
          </w:p>
          <w:p w:rsidR="00042682" w:rsidRPr="00A23740" w:rsidRDefault="00042682" w:rsidP="009431FF">
            <w:pPr>
              <w:autoSpaceDE w:val="0"/>
              <w:autoSpaceDN w:val="0"/>
              <w:adjustRightInd w:val="0"/>
              <w:rPr>
                <w:szCs w:val="24"/>
              </w:rPr>
            </w:pPr>
          </w:p>
          <w:p w:rsidR="00155AF4" w:rsidRPr="00A23740" w:rsidRDefault="00155AF4" w:rsidP="009431FF">
            <w:pPr>
              <w:pStyle w:val="Mavi"/>
              <w:rPr>
                <w:lang w:val="tr-TR"/>
              </w:rPr>
            </w:pPr>
            <w:r w:rsidRPr="00A23740">
              <w:rPr>
                <w:lang w:val="tr-TR"/>
              </w:rPr>
              <w:t xml:space="preserve">a) </w:t>
            </w:r>
            <w:r w:rsidRPr="00A23740">
              <w:rPr>
                <w:b w:val="0"/>
                <w:bCs w:val="0"/>
                <w:color w:val="auto"/>
                <w:lang w:val="tr-TR" w:eastAsia="en-US"/>
              </w:rPr>
              <w:t>Alacaklının ve</w:t>
            </w:r>
            <w:r w:rsidRPr="00A23740">
              <w:rPr>
                <w:lang w:val="tr-TR"/>
              </w:rPr>
              <w:t xml:space="preserve"> varsa kanuni temsilcisinin ve </w:t>
            </w:r>
            <w:r w:rsidRPr="00A23740">
              <w:rPr>
                <w:b w:val="0"/>
                <w:bCs w:val="0"/>
                <w:color w:val="auto"/>
                <w:lang w:val="tr-TR" w:eastAsia="en-US"/>
              </w:rPr>
              <w:t>vekilinin</w:t>
            </w:r>
            <w:r w:rsidR="00330FCE" w:rsidRPr="00A23740">
              <w:rPr>
                <w:lang w:val="tr-TR"/>
              </w:rPr>
              <w:t xml:space="preserve"> adı, soyadı, tüzel kişiyse ü</w:t>
            </w:r>
            <w:r w:rsidRPr="00A23740">
              <w:rPr>
                <w:lang w:val="tr-TR"/>
              </w:rPr>
              <w:t>nvanı, adresi; gerçek kişiler için Türkiye Cumhuriyeti kimlik numarası, tüzel kişiler için vergi kimlik numarası, Merkezi Sicil Kayıt Sistemi numar</w:t>
            </w:r>
            <w:r w:rsidR="00291C18" w:rsidRPr="00A23740">
              <w:rPr>
                <w:lang w:val="tr-TR"/>
              </w:rPr>
              <w:t>ası veya ilgili sicil numarası.</w:t>
            </w:r>
          </w:p>
          <w:p w:rsidR="00537077" w:rsidRPr="00A23740" w:rsidRDefault="00537077" w:rsidP="009431FF">
            <w:pPr>
              <w:pStyle w:val="Mavi"/>
              <w:rPr>
                <w:lang w:val="tr-TR"/>
              </w:rPr>
            </w:pPr>
          </w:p>
          <w:p w:rsidR="00155AF4" w:rsidRPr="00A23740" w:rsidRDefault="00155AF4" w:rsidP="009431FF">
            <w:pPr>
              <w:pStyle w:val="Mavi"/>
              <w:rPr>
                <w:lang w:val="tr-TR"/>
              </w:rPr>
            </w:pPr>
            <w:r w:rsidRPr="00A23740">
              <w:rPr>
                <w:lang w:val="tr-TR"/>
              </w:rPr>
              <w:t>b) Borçlunun ve varsa kanuni temsilcisinin adı, soyadı, biliniyorsa Türkiye Cumhuriyeti k</w:t>
            </w:r>
            <w:r w:rsidR="00330FCE" w:rsidRPr="00A23740">
              <w:rPr>
                <w:lang w:val="tr-TR"/>
              </w:rPr>
              <w:t>imlik numarası; tüzel kişi ise ü</w:t>
            </w:r>
            <w:r w:rsidRPr="00A23740">
              <w:rPr>
                <w:lang w:val="tr-TR"/>
              </w:rPr>
              <w:t xml:space="preserve">nvanı, vergi kimlik numarası, Merkezi Sicil Kayıt Sistemi numarası veya ilgili sicil numarası </w:t>
            </w:r>
            <w:r w:rsidRPr="00A23740">
              <w:t xml:space="preserve">ve </w:t>
            </w:r>
            <w:r w:rsidR="00205429" w:rsidRPr="00A23740">
              <w:rPr>
                <w:lang w:val="tr-TR"/>
              </w:rPr>
              <w:t>adresi.</w:t>
            </w:r>
          </w:p>
          <w:p w:rsidR="00537077" w:rsidRPr="00A23740" w:rsidRDefault="00537077" w:rsidP="009431FF">
            <w:pPr>
              <w:pStyle w:val="Mavi"/>
              <w:rPr>
                <w:lang w:val="tr-TR"/>
              </w:rPr>
            </w:pPr>
          </w:p>
          <w:p w:rsidR="00155AF4" w:rsidRPr="00A23740" w:rsidRDefault="00155AF4" w:rsidP="009431FF">
            <w:pPr>
              <w:pStyle w:val="Mavi"/>
              <w:rPr>
                <w:lang w:val="tr-TR"/>
              </w:rPr>
            </w:pPr>
            <w:r w:rsidRPr="00A23740">
              <w:rPr>
                <w:lang w:val="tr-TR"/>
              </w:rPr>
              <w:t xml:space="preserve">c) İcra </w:t>
            </w:r>
            <w:r w:rsidR="002D7675" w:rsidRPr="006D2E3C">
              <w:rPr>
                <w:b w:val="0"/>
                <w:color w:val="auto"/>
                <w:lang w:val="tr-TR"/>
              </w:rPr>
              <w:t>ve iflas</w:t>
            </w:r>
            <w:r w:rsidR="002D7675" w:rsidRPr="00A23740">
              <w:rPr>
                <w:color w:val="538135"/>
                <w:lang w:val="tr-TR"/>
              </w:rPr>
              <w:t xml:space="preserve"> </w:t>
            </w:r>
            <w:r w:rsidRPr="00A23740">
              <w:rPr>
                <w:lang w:val="tr-TR"/>
              </w:rPr>
              <w:t>d</w:t>
            </w:r>
            <w:r w:rsidR="00291C18" w:rsidRPr="00A23740">
              <w:rPr>
                <w:lang w:val="tr-TR"/>
              </w:rPr>
              <w:t>airesinin banka hesap numarası.</w:t>
            </w:r>
          </w:p>
          <w:p w:rsidR="00537077" w:rsidRPr="00A23740" w:rsidRDefault="00537077" w:rsidP="009431FF">
            <w:pPr>
              <w:pStyle w:val="Mavi"/>
              <w:rPr>
                <w:lang w:val="tr-TR"/>
              </w:rPr>
            </w:pPr>
          </w:p>
          <w:p w:rsidR="00155AF4" w:rsidRPr="00A23740" w:rsidRDefault="00155AF4" w:rsidP="009431FF">
            <w:pPr>
              <w:pStyle w:val="Mavi"/>
              <w:rPr>
                <w:lang w:val="tr-TR"/>
              </w:rPr>
            </w:pPr>
            <w:r w:rsidRPr="00A23740">
              <w:rPr>
                <w:lang w:val="tr-TR"/>
              </w:rPr>
              <w:t xml:space="preserve">ç) </w:t>
            </w:r>
            <w:r w:rsidRPr="00A23740">
              <w:t>Takip</w:t>
            </w:r>
            <w:r w:rsidRPr="00A23740">
              <w:rPr>
                <w:lang w:val="tr-TR"/>
              </w:rPr>
              <w:t xml:space="preserve"> para alacağı veya teminat alacağı hakkında ise takip yo</w:t>
            </w:r>
            <w:r w:rsidR="00291C18" w:rsidRPr="00A23740">
              <w:rPr>
                <w:lang w:val="tr-TR"/>
              </w:rPr>
              <w:t>llarından hangisinin seçildiği.</w:t>
            </w:r>
          </w:p>
          <w:p w:rsidR="00537077" w:rsidRPr="00A23740" w:rsidRDefault="00537077" w:rsidP="009431FF">
            <w:pPr>
              <w:pStyle w:val="Mavi"/>
              <w:rPr>
                <w:lang w:val="tr-TR"/>
              </w:rPr>
            </w:pPr>
          </w:p>
          <w:p w:rsidR="00155AF4" w:rsidRPr="00A23740" w:rsidRDefault="00155AF4" w:rsidP="009431FF">
            <w:pPr>
              <w:autoSpaceDE w:val="0"/>
              <w:autoSpaceDN w:val="0"/>
              <w:adjustRightInd w:val="0"/>
              <w:rPr>
                <w:rStyle w:val="MaviChar"/>
                <w:lang w:val="tr-TR"/>
              </w:rPr>
            </w:pPr>
            <w:r w:rsidRPr="00A23740">
              <w:rPr>
                <w:rStyle w:val="MaviChar"/>
              </w:rPr>
              <w:t>d)</w:t>
            </w:r>
            <w:r w:rsidRPr="00A23740">
              <w:rPr>
                <w:szCs w:val="24"/>
              </w:rPr>
              <w:t xml:space="preserve"> Alacağın veya istenen teminatın Türk parasıyla tutarı ve faizli alacaklarda faizin </w:t>
            </w:r>
            <w:r w:rsidRPr="00A23740">
              <w:rPr>
                <w:rStyle w:val="MaviChar"/>
              </w:rPr>
              <w:t>türü, oranı,</w:t>
            </w:r>
            <w:r w:rsidRPr="00A23740">
              <w:rPr>
                <w:szCs w:val="24"/>
              </w:rPr>
              <w:t xml:space="preserve"> miktarı ile işlemeye başladığı gün</w:t>
            </w:r>
            <w:r w:rsidRPr="00A23740">
              <w:rPr>
                <w:rStyle w:val="MaviChar"/>
                <w:lang w:val="tr-TR"/>
              </w:rPr>
              <w:t xml:space="preserve">; </w:t>
            </w:r>
            <w:r w:rsidRPr="00A23740">
              <w:rPr>
                <w:szCs w:val="24"/>
              </w:rPr>
              <w:t xml:space="preserve">alacak veya istenen teminat yabancı para ise, </w:t>
            </w:r>
            <w:r w:rsidRPr="00A23740">
              <w:rPr>
                <w:rStyle w:val="MaviChar"/>
              </w:rPr>
              <w:t>harca esas olmak üzere takip talebi tarihindeki Türkiye Cumhuriyet Merkez Bankası efektif satış kuru üzerinden</w:t>
            </w:r>
            <w:r w:rsidRPr="00A23740">
              <w:rPr>
                <w:rStyle w:val="MaviChar"/>
                <w:lang w:val="tr-TR"/>
              </w:rPr>
              <w:t xml:space="preserve"> Türk </w:t>
            </w:r>
            <w:r w:rsidR="00BE1FD8" w:rsidRPr="00A23740">
              <w:rPr>
                <w:rStyle w:val="MaviChar"/>
                <w:lang w:val="tr-TR"/>
              </w:rPr>
              <w:t xml:space="preserve">lirası </w:t>
            </w:r>
            <w:r w:rsidRPr="00A23740">
              <w:rPr>
                <w:rStyle w:val="MaviChar"/>
                <w:lang w:val="tr-TR"/>
              </w:rPr>
              <w:t>karşılığı ve</w:t>
            </w:r>
            <w:r w:rsidRPr="00A23740">
              <w:rPr>
                <w:szCs w:val="24"/>
              </w:rPr>
              <w:t xml:space="preserve"> alacağın hangi tarihteki kur üzerinden talep edildiği ve faiz</w:t>
            </w:r>
            <w:r w:rsidRPr="00A23740">
              <w:rPr>
                <w:rStyle w:val="MaviChar"/>
                <w:lang w:val="tr-TR"/>
              </w:rPr>
              <w:t>li yabancı para alacaklarında faizin türü, oranı, miktarı ile işlemeye başladığı gün.</w:t>
            </w:r>
          </w:p>
          <w:p w:rsidR="00537077" w:rsidRPr="00A23740" w:rsidRDefault="00537077" w:rsidP="009431FF">
            <w:pPr>
              <w:autoSpaceDE w:val="0"/>
              <w:autoSpaceDN w:val="0"/>
              <w:adjustRightInd w:val="0"/>
              <w:rPr>
                <w:szCs w:val="24"/>
              </w:rPr>
            </w:pPr>
          </w:p>
          <w:p w:rsidR="00155AF4" w:rsidRPr="00A23740" w:rsidRDefault="00155AF4" w:rsidP="009431FF">
            <w:pPr>
              <w:autoSpaceDE w:val="0"/>
              <w:autoSpaceDN w:val="0"/>
              <w:adjustRightInd w:val="0"/>
              <w:rPr>
                <w:szCs w:val="24"/>
              </w:rPr>
            </w:pPr>
            <w:r w:rsidRPr="00A23740">
              <w:rPr>
                <w:rStyle w:val="MaviChar"/>
              </w:rPr>
              <w:t>e)</w:t>
            </w:r>
            <w:r w:rsidRPr="00A23740">
              <w:rPr>
                <w:szCs w:val="24"/>
              </w:rPr>
              <w:t xml:space="preserve"> Borcun ve </w:t>
            </w:r>
            <w:r w:rsidRPr="00A23740">
              <w:rPr>
                <w:rStyle w:val="MaviChar"/>
              </w:rPr>
              <w:t>giderlerin</w:t>
            </w:r>
            <w:r w:rsidRPr="00A23740">
              <w:rPr>
                <w:szCs w:val="24"/>
              </w:rPr>
              <w:t xml:space="preserve"> </w:t>
            </w:r>
            <w:r w:rsidRPr="00A23740">
              <w:rPr>
                <w:rStyle w:val="MaviChar"/>
              </w:rPr>
              <w:t>ödeme emrinin tebliğinden itibaren iki hafta</w:t>
            </w:r>
            <w:r w:rsidRPr="00A23740">
              <w:rPr>
                <w:szCs w:val="24"/>
              </w:rPr>
              <w:t xml:space="preserve"> içinde icra</w:t>
            </w:r>
            <w:r w:rsidR="002D7675" w:rsidRPr="00A23740">
              <w:rPr>
                <w:szCs w:val="24"/>
              </w:rPr>
              <w:t xml:space="preserve"> </w:t>
            </w:r>
            <w:r w:rsidR="002D7675" w:rsidRPr="006D2E3C">
              <w:rPr>
                <w:bCs/>
                <w:szCs w:val="24"/>
              </w:rPr>
              <w:t>ve iflas</w:t>
            </w:r>
            <w:r w:rsidRPr="00A23740">
              <w:rPr>
                <w:color w:val="538135"/>
                <w:szCs w:val="24"/>
              </w:rPr>
              <w:t xml:space="preserve"> </w:t>
            </w:r>
            <w:r w:rsidRPr="00A23740">
              <w:rPr>
                <w:szCs w:val="24"/>
              </w:rPr>
              <w:t>dairesin</w:t>
            </w:r>
            <w:r w:rsidRPr="00A23740">
              <w:rPr>
                <w:rStyle w:val="MaviChar"/>
              </w:rPr>
              <w:t>in</w:t>
            </w:r>
            <w:r w:rsidRPr="00A23740">
              <w:rPr>
                <w:szCs w:val="24"/>
              </w:rPr>
              <w:t xml:space="preserve"> ödeme emrinde yazılı olan banka hesabına ödenmesi</w:t>
            </w:r>
            <w:r w:rsidRPr="00A23740">
              <w:rPr>
                <w:rStyle w:val="MaviChar"/>
              </w:rPr>
              <w:t>;</w:t>
            </w:r>
            <w:r w:rsidRPr="00A23740">
              <w:rPr>
                <w:szCs w:val="24"/>
              </w:rPr>
              <w:t xml:space="preserve"> borç, teminat verilmesi mükellefiyeti ise teminatın bu süre içinde gösterilmesi</w:t>
            </w:r>
            <w:r w:rsidRPr="00A23740">
              <w:rPr>
                <w:rStyle w:val="MaviChar"/>
              </w:rPr>
              <w:t>.</w:t>
            </w:r>
          </w:p>
          <w:p w:rsidR="00155AF4" w:rsidRPr="00A23740" w:rsidRDefault="00155AF4" w:rsidP="009431FF">
            <w:pPr>
              <w:autoSpaceDE w:val="0"/>
              <w:autoSpaceDN w:val="0"/>
              <w:adjustRightInd w:val="0"/>
              <w:rPr>
                <w:b/>
                <w:bCs/>
                <w:color w:val="0000FF"/>
                <w:szCs w:val="24"/>
              </w:rPr>
            </w:pPr>
          </w:p>
          <w:p w:rsidR="00042682" w:rsidRPr="00A23740" w:rsidRDefault="00042682" w:rsidP="009431FF">
            <w:pPr>
              <w:autoSpaceDE w:val="0"/>
              <w:autoSpaceDN w:val="0"/>
              <w:adjustRightInd w:val="0"/>
              <w:rPr>
                <w:b/>
                <w:bCs/>
                <w:color w:val="0000FF"/>
                <w:szCs w:val="24"/>
              </w:rPr>
            </w:pPr>
          </w:p>
          <w:p w:rsidR="00042682" w:rsidRPr="00A23740" w:rsidRDefault="00042682" w:rsidP="009431FF">
            <w:pPr>
              <w:autoSpaceDE w:val="0"/>
              <w:autoSpaceDN w:val="0"/>
              <w:adjustRightInd w:val="0"/>
              <w:rPr>
                <w:b/>
                <w:bCs/>
                <w:color w:val="0000FF"/>
                <w:szCs w:val="24"/>
              </w:rPr>
            </w:pPr>
          </w:p>
          <w:p w:rsidR="00042682" w:rsidRPr="00A23740" w:rsidRDefault="00042682" w:rsidP="009431FF">
            <w:pPr>
              <w:autoSpaceDE w:val="0"/>
              <w:autoSpaceDN w:val="0"/>
              <w:adjustRightInd w:val="0"/>
              <w:rPr>
                <w:b/>
                <w:bCs/>
                <w:color w:val="0000FF"/>
                <w:szCs w:val="24"/>
              </w:rPr>
            </w:pPr>
          </w:p>
          <w:p w:rsidR="00042682" w:rsidRPr="00A23740" w:rsidRDefault="00042682" w:rsidP="009431FF">
            <w:pPr>
              <w:autoSpaceDE w:val="0"/>
              <w:autoSpaceDN w:val="0"/>
              <w:adjustRightInd w:val="0"/>
              <w:rPr>
                <w:b/>
                <w:bCs/>
                <w:color w:val="0000FF"/>
                <w:szCs w:val="24"/>
              </w:rPr>
            </w:pPr>
          </w:p>
          <w:p w:rsidR="00291C18" w:rsidRPr="00A23740" w:rsidRDefault="00291C18" w:rsidP="009431FF">
            <w:pPr>
              <w:autoSpaceDE w:val="0"/>
              <w:autoSpaceDN w:val="0"/>
              <w:adjustRightInd w:val="0"/>
              <w:rPr>
                <w:b/>
                <w:bCs/>
                <w:color w:val="0000FF"/>
                <w:szCs w:val="24"/>
              </w:rPr>
            </w:pPr>
          </w:p>
          <w:p w:rsidR="00291C18" w:rsidRPr="00A23740" w:rsidRDefault="00291C18" w:rsidP="009431FF">
            <w:pPr>
              <w:autoSpaceDE w:val="0"/>
              <w:autoSpaceDN w:val="0"/>
              <w:adjustRightInd w:val="0"/>
              <w:rPr>
                <w:b/>
                <w:bCs/>
                <w:color w:val="0000FF"/>
                <w:szCs w:val="24"/>
              </w:rPr>
            </w:pPr>
          </w:p>
          <w:p w:rsidR="00291C18" w:rsidRDefault="00291C18" w:rsidP="009431FF">
            <w:pPr>
              <w:autoSpaceDE w:val="0"/>
              <w:autoSpaceDN w:val="0"/>
              <w:adjustRightInd w:val="0"/>
              <w:rPr>
                <w:b/>
                <w:bCs/>
                <w:color w:val="0000FF"/>
                <w:szCs w:val="24"/>
              </w:rPr>
            </w:pPr>
          </w:p>
          <w:p w:rsidR="003047A5" w:rsidRDefault="003047A5" w:rsidP="009431FF">
            <w:pPr>
              <w:autoSpaceDE w:val="0"/>
              <w:autoSpaceDN w:val="0"/>
              <w:adjustRightInd w:val="0"/>
              <w:rPr>
                <w:b/>
                <w:bCs/>
                <w:color w:val="0000FF"/>
                <w:szCs w:val="24"/>
              </w:rPr>
            </w:pPr>
          </w:p>
          <w:p w:rsidR="003047A5" w:rsidRPr="00A23740" w:rsidRDefault="003047A5" w:rsidP="009431FF">
            <w:pPr>
              <w:autoSpaceDE w:val="0"/>
              <w:autoSpaceDN w:val="0"/>
              <w:adjustRightInd w:val="0"/>
              <w:rPr>
                <w:b/>
                <w:bCs/>
                <w:color w:val="0000FF"/>
                <w:szCs w:val="24"/>
              </w:rPr>
            </w:pPr>
          </w:p>
          <w:p w:rsidR="00291C18" w:rsidRPr="00A23740" w:rsidRDefault="00291C18" w:rsidP="009431FF">
            <w:pPr>
              <w:autoSpaceDE w:val="0"/>
              <w:autoSpaceDN w:val="0"/>
              <w:adjustRightInd w:val="0"/>
              <w:rPr>
                <w:b/>
                <w:bCs/>
                <w:color w:val="0000FF"/>
                <w:szCs w:val="24"/>
              </w:rPr>
            </w:pPr>
          </w:p>
          <w:p w:rsidR="00155AF4" w:rsidRPr="00A23740" w:rsidRDefault="00155AF4" w:rsidP="009431FF">
            <w:pPr>
              <w:autoSpaceDE w:val="0"/>
              <w:autoSpaceDN w:val="0"/>
              <w:adjustRightInd w:val="0"/>
              <w:rPr>
                <w:rStyle w:val="MaviChar"/>
              </w:rPr>
            </w:pPr>
            <w:r w:rsidRPr="00A23740">
              <w:rPr>
                <w:rStyle w:val="MaviChar"/>
              </w:rPr>
              <w:t>f) Borçlunun,</w:t>
            </w:r>
            <w:r w:rsidRPr="00A23740">
              <w:rPr>
                <w:b/>
                <w:bCs/>
                <w:color w:val="0000FF"/>
                <w:szCs w:val="24"/>
              </w:rPr>
              <w:t xml:space="preserve"> </w:t>
            </w:r>
            <w:r w:rsidRPr="00A23740">
              <w:rPr>
                <w:szCs w:val="24"/>
              </w:rPr>
              <w:t>borcun tamamına</w:t>
            </w:r>
            <w:r w:rsidRPr="00A23740">
              <w:rPr>
                <w:b/>
                <w:bCs/>
                <w:color w:val="0000FF"/>
                <w:szCs w:val="24"/>
              </w:rPr>
              <w:t xml:space="preserve">, </w:t>
            </w:r>
            <w:r w:rsidRPr="00A23740">
              <w:rPr>
                <w:szCs w:val="24"/>
              </w:rPr>
              <w:t>bir kısmına</w:t>
            </w:r>
            <w:r w:rsidRPr="00A23740">
              <w:rPr>
                <w:rStyle w:val="MaviChar"/>
              </w:rPr>
              <w:t>, alacak belgesi altındaki imzaya</w:t>
            </w:r>
            <w:r w:rsidRPr="00A23740">
              <w:rPr>
                <w:rStyle w:val="KIRMIZIChar"/>
                <w:rFonts w:eastAsia="Calibri"/>
                <w:strike w:val="0"/>
              </w:rPr>
              <w:t xml:space="preserve"> </w:t>
            </w:r>
            <w:r w:rsidRPr="00A23740">
              <w:rPr>
                <w:rStyle w:val="MaviChar"/>
              </w:rPr>
              <w:t>veya</w:t>
            </w:r>
            <w:r w:rsidRPr="00A23740">
              <w:rPr>
                <w:b/>
                <w:bCs/>
                <w:color w:val="0000FF"/>
                <w:szCs w:val="24"/>
              </w:rPr>
              <w:t xml:space="preserve"> </w:t>
            </w:r>
            <w:r w:rsidRPr="00A23740">
              <w:rPr>
                <w:szCs w:val="24"/>
              </w:rPr>
              <w:t>alacaklının takibat icrası hakkına dair</w:t>
            </w:r>
            <w:r w:rsidRPr="00A23740">
              <w:rPr>
                <w:b/>
                <w:bCs/>
                <w:color w:val="0000FF"/>
                <w:szCs w:val="24"/>
              </w:rPr>
              <w:t xml:space="preserve"> </w:t>
            </w:r>
            <w:r w:rsidRPr="00A23740">
              <w:rPr>
                <w:szCs w:val="24"/>
              </w:rPr>
              <w:t>itirazı</w:t>
            </w:r>
            <w:r w:rsidRPr="00A23740">
              <w:rPr>
                <w:rStyle w:val="MaviChar"/>
              </w:rPr>
              <w:t xml:space="preserve">nı, ödeme emrinin tebliğinden itibaren iki hafta </w:t>
            </w:r>
            <w:r w:rsidRPr="00A23740">
              <w:rPr>
                <w:szCs w:val="24"/>
              </w:rPr>
              <w:t>içinde</w:t>
            </w:r>
            <w:r w:rsidRPr="00A23740">
              <w:rPr>
                <w:rStyle w:val="MaviChar"/>
              </w:rPr>
              <w:t xml:space="preserve"> icra </w:t>
            </w:r>
            <w:r w:rsidR="002D7675" w:rsidRPr="006D2E3C">
              <w:rPr>
                <w:rStyle w:val="MaviChar"/>
                <w:b w:val="0"/>
                <w:color w:val="auto"/>
              </w:rPr>
              <w:t>ve iflas</w:t>
            </w:r>
            <w:r w:rsidR="002D7675" w:rsidRPr="00A23740">
              <w:rPr>
                <w:rStyle w:val="MaviChar"/>
                <w:color w:val="538135"/>
              </w:rPr>
              <w:t xml:space="preserve"> </w:t>
            </w:r>
            <w:r w:rsidRPr="00A23740">
              <w:rPr>
                <w:rStyle w:val="MaviChar"/>
              </w:rPr>
              <w:t>dairesine yapması gerektiği.</w:t>
            </w:r>
          </w:p>
          <w:p w:rsidR="00537077" w:rsidRPr="00A23740" w:rsidRDefault="00537077" w:rsidP="009431FF">
            <w:pPr>
              <w:autoSpaceDE w:val="0"/>
              <w:autoSpaceDN w:val="0"/>
              <w:adjustRightInd w:val="0"/>
              <w:rPr>
                <w:b/>
                <w:bCs/>
                <w:color w:val="0000FF"/>
                <w:szCs w:val="24"/>
                <w:lang w:val="x-none" w:eastAsia="x-none"/>
              </w:rPr>
            </w:pPr>
          </w:p>
          <w:p w:rsidR="00155AF4" w:rsidRPr="00A23740" w:rsidRDefault="00155AF4" w:rsidP="009431FF">
            <w:pPr>
              <w:pStyle w:val="Mavi"/>
            </w:pPr>
            <w:r w:rsidRPr="00A23740">
              <w:t>g) Borçlunun,</w:t>
            </w:r>
            <w:r w:rsidRPr="00A23740">
              <w:rPr>
                <w:lang w:val="tr-TR"/>
              </w:rPr>
              <w:t xml:space="preserve"> </w:t>
            </w:r>
            <w:r w:rsidRPr="00A23740">
              <w:t>varsa şik</w:t>
            </w:r>
            <w:r w:rsidR="00407C95" w:rsidRPr="00A23740">
              <w:rPr>
                <w:lang w:val="tr-TR"/>
              </w:rPr>
              <w:t>â</w:t>
            </w:r>
            <w:r w:rsidRPr="00A23740">
              <w:t xml:space="preserve">yetlerini </w:t>
            </w:r>
            <w:r w:rsidRPr="00A23740">
              <w:rPr>
                <w:lang w:val="tr-TR"/>
              </w:rPr>
              <w:t>22</w:t>
            </w:r>
            <w:r w:rsidRPr="00A23740">
              <w:t xml:space="preserve"> ve devamı maddeleri</w:t>
            </w:r>
            <w:r w:rsidRPr="00A23740">
              <w:rPr>
                <w:lang w:val="tr-TR"/>
              </w:rPr>
              <w:t xml:space="preserve"> (mevcut 16)</w:t>
            </w:r>
            <w:r w:rsidRPr="00A23740">
              <w:t xml:space="preserve"> uyarınca icra hukuk mahke</w:t>
            </w:r>
            <w:r w:rsidR="00291C18" w:rsidRPr="00A23740">
              <w:t>mesine yapabileceği.</w:t>
            </w:r>
          </w:p>
          <w:p w:rsidR="00537077" w:rsidRPr="00A23740" w:rsidRDefault="00537077" w:rsidP="009431FF">
            <w:pPr>
              <w:pStyle w:val="Mavi"/>
              <w:rPr>
                <w:rStyle w:val="KIRMIZIChar"/>
                <w:rFonts w:eastAsia="Calibri"/>
                <w:b/>
                <w:bCs/>
                <w:strike w:val="0"/>
                <w:color w:val="0000FF"/>
              </w:rPr>
            </w:pPr>
          </w:p>
          <w:p w:rsidR="0012242D" w:rsidRPr="00A23740" w:rsidRDefault="00155AF4" w:rsidP="009431FF">
            <w:pPr>
              <w:pStyle w:val="Mavi"/>
            </w:pPr>
            <w:r w:rsidRPr="00A23740">
              <w:t>ğ) Ödeme emrinin yurt dışın</w:t>
            </w:r>
            <w:r w:rsidRPr="00A23740">
              <w:rPr>
                <w:lang w:val="tr-TR"/>
              </w:rPr>
              <w:t>d</w:t>
            </w:r>
            <w:r w:rsidRPr="00A23740">
              <w:t>a tebliğ edildiği h</w:t>
            </w:r>
            <w:r w:rsidR="002F2BAA" w:rsidRPr="00A23740">
              <w:rPr>
                <w:lang w:val="tr-TR"/>
              </w:rPr>
              <w:t>â</w:t>
            </w:r>
            <w:r w:rsidRPr="00A23740">
              <w:t>llerde, itiraz etmek isteyen borçlunun itirazla birlikte, itiraz etmeyecek olan borçlunun ise itiraz süresi içinde, dava ve takip işlemlerine esas olmak üzere yurt içinde bir adresi bildirmek zorunda olduğu; yurt</w:t>
            </w:r>
            <w:r w:rsidRPr="00A23740">
              <w:rPr>
                <w:lang w:val="tr-TR"/>
              </w:rPr>
              <w:t xml:space="preserve"> </w:t>
            </w:r>
            <w:r w:rsidRPr="00A23740">
              <w:t>içinde bir adres bildirmediği takdirde kendisine bundan sonra tebliğ edilecek olan evrakın icra dosyası içinde muhafaza edilerek kendisine tebliğ edilmiş sayılacağı ve ayrıca itirazın yapılmamış kabu</w:t>
            </w:r>
            <w:r w:rsidR="007F44E1" w:rsidRPr="00A23740">
              <w:t>l edileceği.</w:t>
            </w:r>
          </w:p>
          <w:p w:rsidR="00537077" w:rsidRPr="00A23740" w:rsidRDefault="00537077" w:rsidP="009431FF">
            <w:pPr>
              <w:pStyle w:val="Mavi"/>
              <w:rPr>
                <w:rFonts w:eastAsia="ヒラギノ明朝 Pro W3"/>
                <w:bCs w:val="0"/>
                <w:color w:val="339933"/>
                <w:lang w:val="tr-TR" w:eastAsia="en-US"/>
              </w:rPr>
            </w:pPr>
          </w:p>
          <w:p w:rsidR="00C15418" w:rsidRPr="00A23740" w:rsidRDefault="00155AF4" w:rsidP="009431FF">
            <w:pPr>
              <w:tabs>
                <w:tab w:val="left" w:pos="567"/>
              </w:tabs>
              <w:autoSpaceDE w:val="0"/>
              <w:autoSpaceDN w:val="0"/>
              <w:adjustRightInd w:val="0"/>
              <w:rPr>
                <w:rStyle w:val="MaviChar"/>
              </w:rPr>
            </w:pPr>
            <w:r w:rsidRPr="00A23740">
              <w:rPr>
                <w:rStyle w:val="MaviChar"/>
              </w:rPr>
              <w:t xml:space="preserve">h) </w:t>
            </w:r>
            <w:r w:rsidRPr="00A23740">
              <w:rPr>
                <w:rStyle w:val="MaviChar"/>
                <w:lang w:val="tr-TR"/>
              </w:rPr>
              <w:t xml:space="preserve">Borçlunun ödeme emrine </w:t>
            </w:r>
            <w:r w:rsidRPr="00A23740">
              <w:rPr>
                <w:rStyle w:val="MaviChar"/>
              </w:rPr>
              <w:t>itiraz etmemesi veya süresi içinde borcunu ödememesi h</w:t>
            </w:r>
            <w:r w:rsidR="002F2BAA" w:rsidRPr="00A23740">
              <w:rPr>
                <w:rStyle w:val="MaviChar"/>
                <w:lang w:val="tr-TR"/>
              </w:rPr>
              <w:t>â</w:t>
            </w:r>
            <w:r w:rsidRPr="00A23740">
              <w:rPr>
                <w:rStyle w:val="MaviChar"/>
              </w:rPr>
              <w:t>linde ödeme emrinin, ödeme emrine itiraz etmesi h</w:t>
            </w:r>
            <w:r w:rsidR="002F2BAA" w:rsidRPr="00A23740">
              <w:rPr>
                <w:rStyle w:val="MaviChar"/>
                <w:lang w:val="tr-TR"/>
              </w:rPr>
              <w:t>â</w:t>
            </w:r>
            <w:r w:rsidRPr="00A23740">
              <w:rPr>
                <w:rStyle w:val="MaviChar"/>
              </w:rPr>
              <w:t>linde ise itirazın iptaline ilişkin</w:t>
            </w:r>
            <w:r w:rsidRPr="00A23740">
              <w:rPr>
                <w:rStyle w:val="MaviChar"/>
                <w:lang w:val="tr-TR"/>
              </w:rPr>
              <w:t xml:space="preserve"> kararın tebliğinden itibaren </w:t>
            </w:r>
            <w:r w:rsidRPr="00A23740">
              <w:rPr>
                <w:rStyle w:val="MaviChar"/>
              </w:rPr>
              <w:t xml:space="preserve">iki hafta içinde </w:t>
            </w:r>
            <w:r w:rsidR="00C03A16" w:rsidRPr="006D2E3C">
              <w:rPr>
                <w:rStyle w:val="KonuBalChar"/>
                <w:rFonts w:eastAsia="Calibri"/>
                <w:color w:val="0000FF"/>
              </w:rPr>
              <w:t>154 üncü</w:t>
            </w:r>
            <w:r w:rsidR="00094D74" w:rsidRPr="00A23740">
              <w:rPr>
                <w:rStyle w:val="KIRMIZIChar"/>
                <w:rFonts w:eastAsia="Calibri"/>
                <w:strike w:val="0"/>
              </w:rPr>
              <w:t xml:space="preserve"> </w:t>
            </w:r>
            <w:r w:rsidRPr="00A23740">
              <w:rPr>
                <w:rStyle w:val="MaviChar"/>
              </w:rPr>
              <w:t>madde</w:t>
            </w:r>
            <w:r w:rsidR="00094D74" w:rsidRPr="00A23740">
              <w:rPr>
                <w:rStyle w:val="MaviChar"/>
              </w:rPr>
              <w:t>ye</w:t>
            </w:r>
            <w:r w:rsidRPr="00A23740">
              <w:rPr>
                <w:rStyle w:val="MaviChar"/>
              </w:rPr>
              <w:t xml:space="preserve"> göre mal beyanında bulunması gerektiği; aksi takdirde </w:t>
            </w:r>
            <w:r w:rsidR="00C03A16" w:rsidRPr="006D2E3C">
              <w:rPr>
                <w:rStyle w:val="KonuBalChar"/>
                <w:rFonts w:eastAsia="Calibri"/>
                <w:color w:val="0000FF"/>
              </w:rPr>
              <w:t>510 uncu</w:t>
            </w:r>
            <w:r w:rsidR="00C03A16" w:rsidRPr="00A23740">
              <w:rPr>
                <w:rStyle w:val="KIRMIZIChar"/>
                <w:rFonts w:eastAsia="Calibri"/>
                <w:strike w:val="0"/>
              </w:rPr>
              <w:t xml:space="preserve"> </w:t>
            </w:r>
            <w:r w:rsidRPr="00A23740">
              <w:rPr>
                <w:rStyle w:val="MaviChar"/>
              </w:rPr>
              <w:t>madde</w:t>
            </w:r>
            <w:r w:rsidR="00094D74" w:rsidRPr="00A23740">
              <w:rPr>
                <w:rStyle w:val="MaviChar"/>
              </w:rPr>
              <w:t>nin birinci fıkrası</w:t>
            </w:r>
            <w:r w:rsidRPr="00A23740">
              <w:rPr>
                <w:rStyle w:val="MaviChar"/>
              </w:rPr>
              <w:t xml:space="preserve"> uyarınca </w:t>
            </w:r>
            <w:r w:rsidR="007600AE" w:rsidRPr="00A23740">
              <w:rPr>
                <w:rStyle w:val="MaviChar"/>
              </w:rPr>
              <w:t>disiplin hapsi</w:t>
            </w:r>
            <w:r w:rsidR="002D7675" w:rsidRPr="006D2E3C">
              <w:rPr>
                <w:rStyle w:val="MaviChar"/>
              </w:rPr>
              <w:t>yle</w:t>
            </w:r>
            <w:r w:rsidR="007600AE" w:rsidRPr="00A23740">
              <w:rPr>
                <w:rStyle w:val="MaviChar"/>
              </w:rPr>
              <w:t xml:space="preserve"> </w:t>
            </w:r>
            <w:r w:rsidRPr="00A23740">
              <w:rPr>
                <w:rStyle w:val="MaviChar"/>
              </w:rPr>
              <w:t>cezalandırılacağı.</w:t>
            </w:r>
          </w:p>
          <w:p w:rsidR="00537077" w:rsidRPr="00A23740" w:rsidRDefault="00537077" w:rsidP="009431FF">
            <w:pPr>
              <w:tabs>
                <w:tab w:val="left" w:pos="567"/>
              </w:tabs>
              <w:autoSpaceDE w:val="0"/>
              <w:autoSpaceDN w:val="0"/>
              <w:adjustRightInd w:val="0"/>
              <w:rPr>
                <w:b/>
                <w:bCs/>
                <w:color w:val="0000FF"/>
                <w:szCs w:val="24"/>
                <w:lang w:eastAsia="x-none"/>
              </w:rPr>
            </w:pPr>
          </w:p>
          <w:p w:rsidR="00155AF4" w:rsidRPr="00A23740" w:rsidRDefault="00155AF4" w:rsidP="009431FF">
            <w:pPr>
              <w:tabs>
                <w:tab w:val="left" w:pos="567"/>
              </w:tabs>
              <w:autoSpaceDE w:val="0"/>
              <w:autoSpaceDN w:val="0"/>
              <w:adjustRightInd w:val="0"/>
              <w:rPr>
                <w:rStyle w:val="MaviChar"/>
              </w:rPr>
            </w:pPr>
            <w:r w:rsidRPr="00A23740">
              <w:rPr>
                <w:rStyle w:val="MaviChar"/>
                <w:lang w:val="tr-TR"/>
              </w:rPr>
              <w:lastRenderedPageBreak/>
              <w:t xml:space="preserve">ı) Borçlunun, icra </w:t>
            </w:r>
            <w:r w:rsidRPr="00A23740">
              <w:rPr>
                <w:rStyle w:val="MaviChar"/>
              </w:rPr>
              <w:t>ve iflas</w:t>
            </w:r>
            <w:r w:rsidRPr="00A23740">
              <w:rPr>
                <w:rStyle w:val="MaviChar"/>
                <w:lang w:val="tr-TR"/>
              </w:rPr>
              <w:t xml:space="preserve"> dairesine </w:t>
            </w:r>
            <w:r w:rsidRPr="00A23740">
              <w:rPr>
                <w:rStyle w:val="MaviChar"/>
              </w:rPr>
              <w:t xml:space="preserve">yaptığı </w:t>
            </w:r>
            <w:r w:rsidRPr="00A23740">
              <w:rPr>
                <w:rStyle w:val="MaviChar"/>
                <w:lang w:val="tr-TR"/>
              </w:rPr>
              <w:t xml:space="preserve">mal </w:t>
            </w:r>
            <w:r w:rsidRPr="00A23740">
              <w:rPr>
                <w:rStyle w:val="MaviChar"/>
                <w:bCs w:val="0"/>
              </w:rPr>
              <w:t>beyanında</w:t>
            </w:r>
            <w:r w:rsidRPr="00A23740">
              <w:rPr>
                <w:rStyle w:val="MaviChar"/>
                <w:lang w:val="tr-TR"/>
              </w:rPr>
              <w:t xml:space="preserve"> </w:t>
            </w:r>
            <w:r w:rsidRPr="00A23740">
              <w:rPr>
                <w:rStyle w:val="MaviChar"/>
              </w:rPr>
              <w:t>malı olmadığını</w:t>
            </w:r>
            <w:r w:rsidRPr="00A23740">
              <w:rPr>
                <w:rFonts w:eastAsia="Times New Roman"/>
                <w:b/>
                <w:color w:val="0000FF"/>
                <w:szCs w:val="24"/>
                <w:lang w:eastAsia="tr-TR"/>
              </w:rPr>
              <w:t xml:space="preserve"> </w:t>
            </w:r>
            <w:r w:rsidRPr="00A23740">
              <w:rPr>
                <w:rStyle w:val="MaviChar"/>
              </w:rPr>
              <w:t>bildirmesi</w:t>
            </w:r>
            <w:r w:rsidRPr="00A23740">
              <w:rPr>
                <w:rStyle w:val="MaviChar"/>
                <w:lang w:val="tr-TR"/>
              </w:rPr>
              <w:t xml:space="preserve"> veya </w:t>
            </w:r>
            <w:r w:rsidRPr="00A23740">
              <w:rPr>
                <w:rStyle w:val="MaviChar"/>
              </w:rPr>
              <w:t>borcuna yetecek mal</w:t>
            </w:r>
            <w:r w:rsidRPr="00A23740">
              <w:rPr>
                <w:rStyle w:val="MaviChar"/>
                <w:lang w:val="tr-TR"/>
              </w:rPr>
              <w:t>ı göstermemesi</w:t>
            </w:r>
            <w:r w:rsidRPr="00A23740">
              <w:rPr>
                <w:rStyle w:val="MaviChar"/>
              </w:rPr>
              <w:t xml:space="preserve"> </w:t>
            </w:r>
            <w:r w:rsidRPr="00A23740">
              <w:rPr>
                <w:rStyle w:val="MaviChar"/>
                <w:lang w:val="tr-TR"/>
              </w:rPr>
              <w:t xml:space="preserve">ya da </w:t>
            </w:r>
            <w:r w:rsidRPr="00A23740">
              <w:rPr>
                <w:rStyle w:val="MaviChar"/>
              </w:rPr>
              <w:t>mal</w:t>
            </w:r>
            <w:r w:rsidRPr="00A23740">
              <w:rPr>
                <w:rStyle w:val="MaviChar"/>
                <w:lang w:val="tr-TR"/>
              </w:rPr>
              <w:t xml:space="preserve"> </w:t>
            </w:r>
            <w:r w:rsidRPr="00A23740">
              <w:rPr>
                <w:rStyle w:val="MaviChar"/>
                <w:bCs w:val="0"/>
              </w:rPr>
              <w:t>beyanında</w:t>
            </w:r>
            <w:r w:rsidRPr="00A23740">
              <w:rPr>
                <w:rStyle w:val="MaviChar"/>
                <w:bCs w:val="0"/>
                <w:lang w:val="tr-TR"/>
              </w:rPr>
              <w:t>n</w:t>
            </w:r>
            <w:r w:rsidRPr="00A23740">
              <w:rPr>
                <w:rStyle w:val="MaviChar"/>
                <w:b w:val="0"/>
                <w:bCs w:val="0"/>
              </w:rPr>
              <w:t xml:space="preserve"> </w:t>
            </w:r>
            <w:r w:rsidRPr="00A23740">
              <w:rPr>
                <w:rStyle w:val="MaviChar"/>
              </w:rPr>
              <w:t>kaçınması h</w:t>
            </w:r>
            <w:r w:rsidR="002F2BAA" w:rsidRPr="00A23740">
              <w:rPr>
                <w:rStyle w:val="MaviChar"/>
                <w:lang w:val="tr-TR"/>
              </w:rPr>
              <w:t>â</w:t>
            </w:r>
            <w:r w:rsidRPr="00A23740">
              <w:rPr>
                <w:rStyle w:val="MaviChar"/>
              </w:rPr>
              <w:t>linde sonradan kazandığı malları ile</w:t>
            </w:r>
            <w:r w:rsidRPr="00A23740">
              <w:rPr>
                <w:rStyle w:val="MaviChar"/>
                <w:lang w:val="tr-TR"/>
              </w:rPr>
              <w:t xml:space="preserve"> </w:t>
            </w:r>
            <w:r w:rsidRPr="00A23740">
              <w:rPr>
                <w:rStyle w:val="MaviChar"/>
              </w:rPr>
              <w:t>kazancı</w:t>
            </w:r>
            <w:r w:rsidRPr="00A23740">
              <w:rPr>
                <w:rStyle w:val="MaviChar"/>
                <w:lang w:val="tr-TR"/>
              </w:rPr>
              <w:t xml:space="preserve">nda ve </w:t>
            </w:r>
            <w:r w:rsidRPr="00A23740">
              <w:rPr>
                <w:rStyle w:val="MaviChar"/>
              </w:rPr>
              <w:t xml:space="preserve">gelirinde ortaya çıkan artışları kazanma veya artış tarihinden itibaren </w:t>
            </w:r>
            <w:r w:rsidR="00315825" w:rsidRPr="00A23740">
              <w:rPr>
                <w:rStyle w:val="MaviChar"/>
              </w:rPr>
              <w:t>iki</w:t>
            </w:r>
            <w:r w:rsidRPr="00A23740">
              <w:rPr>
                <w:rStyle w:val="MaviChar"/>
              </w:rPr>
              <w:t xml:space="preserve"> hafta içinde </w:t>
            </w:r>
            <w:r w:rsidR="00C54D6E" w:rsidRPr="006D2E3C">
              <w:rPr>
                <w:rStyle w:val="KonuBalChar"/>
                <w:rFonts w:eastAsia="Calibri"/>
                <w:color w:val="0000FF"/>
              </w:rPr>
              <w:t>154</w:t>
            </w:r>
            <w:r w:rsidR="00C54D6E" w:rsidRPr="00A23740">
              <w:rPr>
                <w:rStyle w:val="KonuBalChar"/>
                <w:rFonts w:eastAsia="Calibri"/>
              </w:rPr>
              <w:t xml:space="preserve"> </w:t>
            </w:r>
            <w:r w:rsidR="00C54D6E" w:rsidRPr="006D2E3C">
              <w:rPr>
                <w:rStyle w:val="KonuBalChar"/>
                <w:rFonts w:eastAsia="Calibri"/>
                <w:color w:val="0000FF"/>
              </w:rPr>
              <w:t>üncü</w:t>
            </w:r>
            <w:r w:rsidR="00C54D6E" w:rsidRPr="00A23740">
              <w:rPr>
                <w:rStyle w:val="KIRMIZIChar"/>
                <w:rFonts w:eastAsia="Calibri"/>
                <w:strike w:val="0"/>
              </w:rPr>
              <w:t xml:space="preserve"> </w:t>
            </w:r>
            <w:r w:rsidRPr="00A23740">
              <w:rPr>
                <w:rStyle w:val="MaviChar"/>
              </w:rPr>
              <w:t>madde</w:t>
            </w:r>
            <w:r w:rsidR="00094D74" w:rsidRPr="00A23740">
              <w:rPr>
                <w:rStyle w:val="MaviChar"/>
              </w:rPr>
              <w:t>ye</w:t>
            </w:r>
            <w:r w:rsidRPr="00A23740">
              <w:rPr>
                <w:rStyle w:val="MaviChar"/>
              </w:rPr>
              <w:t xml:space="preserve"> göre icra</w:t>
            </w:r>
            <w:r w:rsidR="001647D1" w:rsidRPr="00A23740">
              <w:rPr>
                <w:color w:val="538135"/>
              </w:rPr>
              <w:t xml:space="preserve"> </w:t>
            </w:r>
            <w:r w:rsidR="001647D1" w:rsidRPr="006D2E3C">
              <w:rPr>
                <w:b/>
                <w:color w:val="0000FF"/>
              </w:rPr>
              <w:t>ve</w:t>
            </w:r>
            <w:r w:rsidR="001647D1" w:rsidRPr="00A23740">
              <w:rPr>
                <w:b/>
                <w:color w:val="538135"/>
              </w:rPr>
              <w:t xml:space="preserve"> </w:t>
            </w:r>
            <w:r w:rsidR="001647D1" w:rsidRPr="006D2E3C">
              <w:rPr>
                <w:b/>
                <w:color w:val="0000FF"/>
              </w:rPr>
              <w:t>iflas</w:t>
            </w:r>
            <w:r w:rsidRPr="00A23740">
              <w:rPr>
                <w:rStyle w:val="MaviChar"/>
              </w:rPr>
              <w:t xml:space="preserve"> dairesine bildirmesi gerektiği; aksi takdirde </w:t>
            </w:r>
            <w:r w:rsidR="00C54D6E" w:rsidRPr="006D2E3C">
              <w:rPr>
                <w:rStyle w:val="KonuBalChar"/>
                <w:rFonts w:eastAsia="Calibri"/>
                <w:color w:val="0000FF"/>
              </w:rPr>
              <w:t>510</w:t>
            </w:r>
            <w:r w:rsidR="00C54D6E" w:rsidRPr="00A23740">
              <w:rPr>
                <w:rStyle w:val="KonuBalChar"/>
                <w:rFonts w:eastAsia="Calibri"/>
              </w:rPr>
              <w:t xml:space="preserve"> </w:t>
            </w:r>
            <w:r w:rsidR="00C54D6E" w:rsidRPr="006D2E3C">
              <w:rPr>
                <w:rStyle w:val="KonuBalChar"/>
                <w:rFonts w:eastAsia="Calibri"/>
                <w:color w:val="0000FF"/>
              </w:rPr>
              <w:t>uncu</w:t>
            </w:r>
            <w:r w:rsidR="00C54D6E" w:rsidRPr="00A23740">
              <w:rPr>
                <w:rStyle w:val="KIRMIZIChar"/>
                <w:rFonts w:eastAsia="Calibri"/>
                <w:strike w:val="0"/>
              </w:rPr>
              <w:t xml:space="preserve"> </w:t>
            </w:r>
            <w:r w:rsidRPr="00A23740">
              <w:rPr>
                <w:rStyle w:val="MaviChar"/>
              </w:rPr>
              <w:t xml:space="preserve"> maddenin ikinci fıkrası uyarınca </w:t>
            </w:r>
            <w:r w:rsidR="007600AE" w:rsidRPr="00A23740">
              <w:rPr>
                <w:rStyle w:val="MaviChar"/>
              </w:rPr>
              <w:t xml:space="preserve">disiplin </w:t>
            </w:r>
            <w:r w:rsidR="001647D1" w:rsidRPr="006D2E3C">
              <w:rPr>
                <w:rStyle w:val="MaviChar"/>
                <w:bCs w:val="0"/>
                <w:lang w:val="tr-TR"/>
              </w:rPr>
              <w:t>hapsiyle</w:t>
            </w:r>
            <w:r w:rsidR="001647D1" w:rsidRPr="00A23740">
              <w:t xml:space="preserve"> </w:t>
            </w:r>
            <w:r w:rsidRPr="00A23740">
              <w:rPr>
                <w:rStyle w:val="MaviChar"/>
              </w:rPr>
              <w:t>cezalandırılacağı; gerçeğe aykırı bildirimde bulunması h</w:t>
            </w:r>
            <w:r w:rsidR="002F2BAA" w:rsidRPr="00A23740">
              <w:rPr>
                <w:rStyle w:val="MaviChar"/>
                <w:lang w:val="tr-TR"/>
              </w:rPr>
              <w:t>â</w:t>
            </w:r>
            <w:r w:rsidRPr="00A23740">
              <w:rPr>
                <w:rStyle w:val="MaviChar"/>
              </w:rPr>
              <w:t xml:space="preserve">linde ise </w:t>
            </w:r>
            <w:r w:rsidR="00C54D6E" w:rsidRPr="006D2E3C">
              <w:rPr>
                <w:rStyle w:val="KonuBalChar"/>
                <w:rFonts w:eastAsia="Calibri"/>
                <w:color w:val="0000FF"/>
              </w:rPr>
              <w:t>518</w:t>
            </w:r>
            <w:r w:rsidR="00C54D6E" w:rsidRPr="00A23740">
              <w:rPr>
                <w:rStyle w:val="KonuBalChar"/>
                <w:rFonts w:eastAsia="Calibri"/>
              </w:rPr>
              <w:t xml:space="preserve"> </w:t>
            </w:r>
            <w:r w:rsidR="00C54D6E" w:rsidRPr="006D2E3C">
              <w:rPr>
                <w:rStyle w:val="KonuBalChar"/>
                <w:rFonts w:eastAsia="Calibri"/>
                <w:color w:val="0000FF"/>
              </w:rPr>
              <w:t>inci</w:t>
            </w:r>
            <w:r w:rsidRPr="00A23740">
              <w:rPr>
                <w:rStyle w:val="KIRMIZIChar"/>
                <w:rFonts w:eastAsia="Calibri"/>
                <w:strike w:val="0"/>
              </w:rPr>
              <w:t xml:space="preserve"> </w:t>
            </w:r>
            <w:r w:rsidRPr="00A23740">
              <w:rPr>
                <w:rStyle w:val="MaviChar"/>
              </w:rPr>
              <w:t>madde uyarınca hapis cezası</w:t>
            </w:r>
            <w:r w:rsidR="002D7675" w:rsidRPr="006D2E3C">
              <w:rPr>
                <w:rStyle w:val="MaviChar"/>
              </w:rPr>
              <w:t>yla</w:t>
            </w:r>
            <w:r w:rsidRPr="00A23740">
              <w:rPr>
                <w:rStyle w:val="MaviChar"/>
              </w:rPr>
              <w:t xml:space="preserve"> cezalandırılacağı.</w:t>
            </w:r>
          </w:p>
          <w:p w:rsidR="00537077" w:rsidRPr="00A23740" w:rsidRDefault="00537077" w:rsidP="009431FF">
            <w:pPr>
              <w:tabs>
                <w:tab w:val="left" w:pos="567"/>
              </w:tabs>
              <w:autoSpaceDE w:val="0"/>
              <w:autoSpaceDN w:val="0"/>
              <w:adjustRightInd w:val="0"/>
              <w:rPr>
                <w:b/>
                <w:bCs/>
                <w:color w:val="0000FF"/>
                <w:szCs w:val="24"/>
                <w:lang w:val="x-none" w:eastAsia="x-none"/>
              </w:rPr>
            </w:pPr>
          </w:p>
          <w:p w:rsidR="00155AF4" w:rsidRPr="00A23740" w:rsidRDefault="00155AF4" w:rsidP="009431FF">
            <w:pPr>
              <w:autoSpaceDE w:val="0"/>
              <w:autoSpaceDN w:val="0"/>
              <w:adjustRightInd w:val="0"/>
              <w:rPr>
                <w:szCs w:val="24"/>
              </w:rPr>
            </w:pPr>
            <w:r w:rsidRPr="00A23740">
              <w:rPr>
                <w:b/>
                <w:bCs/>
                <w:color w:val="0000FF"/>
                <w:szCs w:val="24"/>
              </w:rPr>
              <w:t>i)</w:t>
            </w:r>
            <w:r w:rsidRPr="00A23740">
              <w:rPr>
                <w:szCs w:val="24"/>
              </w:rPr>
              <w:t xml:space="preserve"> Borç ödenmez ve itiraz </w:t>
            </w:r>
            <w:r w:rsidRPr="00A23740">
              <w:rPr>
                <w:rStyle w:val="MaviChar"/>
              </w:rPr>
              <w:t>edilmezse</w:t>
            </w:r>
            <w:r w:rsidRPr="00A23740">
              <w:rPr>
                <w:szCs w:val="24"/>
              </w:rPr>
              <w:t xml:space="preserve"> cebr</w:t>
            </w:r>
            <w:r w:rsidR="00436506" w:rsidRPr="00A23740">
              <w:rPr>
                <w:szCs w:val="24"/>
              </w:rPr>
              <w:t>î</w:t>
            </w:r>
            <w:r w:rsidRPr="00A23740">
              <w:rPr>
                <w:szCs w:val="24"/>
              </w:rPr>
              <w:t xml:space="preserve"> icraya devam edileceği</w:t>
            </w:r>
            <w:r w:rsidRPr="00A23740">
              <w:rPr>
                <w:rStyle w:val="Yenieklenen--Char"/>
                <w:rFonts w:eastAsia="Calibri"/>
                <w:u w:val="none"/>
              </w:rPr>
              <w:t>.</w:t>
            </w:r>
          </w:p>
          <w:p w:rsidR="00155AF4" w:rsidRPr="00A23740" w:rsidRDefault="00155AF4" w:rsidP="009431FF">
            <w:pPr>
              <w:autoSpaceDE w:val="0"/>
              <w:autoSpaceDN w:val="0"/>
              <w:adjustRightInd w:val="0"/>
              <w:rPr>
                <w:szCs w:val="24"/>
              </w:rPr>
            </w:pPr>
          </w:p>
        </w:tc>
      </w:tr>
      <w:tr w:rsidR="00155AF4" w:rsidRPr="00A23740" w:rsidTr="009431FF">
        <w:tc>
          <w:tcPr>
            <w:tcW w:w="5000" w:type="pct"/>
            <w:gridSpan w:val="2"/>
            <w:shd w:val="clear" w:color="auto" w:fill="DEEAF6"/>
          </w:tcPr>
          <w:p w:rsidR="00E91409" w:rsidRPr="00A23740" w:rsidRDefault="00E91409" w:rsidP="009431FF">
            <w:pPr>
              <w:tabs>
                <w:tab w:val="left" w:pos="567"/>
              </w:tabs>
              <w:autoSpaceDE w:val="0"/>
              <w:autoSpaceDN w:val="0"/>
              <w:adjustRightInd w:val="0"/>
              <w:ind w:firstLine="709"/>
              <w:rPr>
                <w:szCs w:val="24"/>
              </w:rPr>
            </w:pPr>
          </w:p>
          <w:p w:rsidR="00DB2C16" w:rsidRPr="00A23740" w:rsidRDefault="00DB2C16" w:rsidP="009431FF">
            <w:pPr>
              <w:tabs>
                <w:tab w:val="left" w:pos="567"/>
              </w:tabs>
              <w:autoSpaceDE w:val="0"/>
              <w:autoSpaceDN w:val="0"/>
              <w:adjustRightInd w:val="0"/>
              <w:ind w:firstLine="709"/>
              <w:rPr>
                <w:szCs w:val="24"/>
              </w:rPr>
            </w:pPr>
            <w:r w:rsidRPr="00A23740">
              <w:rPr>
                <w:b/>
                <w:szCs w:val="24"/>
              </w:rPr>
              <w:t>MADDE 88-</w:t>
            </w:r>
            <w:r w:rsidRPr="00A23740">
              <w:rPr>
                <w:szCs w:val="24"/>
              </w:rPr>
              <w:t xml:space="preserve"> </w:t>
            </w:r>
            <w:r w:rsidR="0076565B" w:rsidRPr="00A23740">
              <w:rPr>
                <w:szCs w:val="24"/>
              </w:rPr>
              <w:t xml:space="preserve">Maddeyle, ilamsız takiplerde ödeme emri düzenlenmektedir. </w:t>
            </w:r>
            <w:r w:rsidRPr="00A23740">
              <w:rPr>
                <w:szCs w:val="24"/>
              </w:rPr>
              <w:t>Taslağın 88 nci maddesi “Ödeme emri” başlığını taşımakta olup</w:t>
            </w:r>
            <w:r w:rsidR="004F2E3B" w:rsidRPr="00A23740">
              <w:rPr>
                <w:szCs w:val="24"/>
              </w:rPr>
              <w:t>,</w:t>
            </w:r>
            <w:r w:rsidRPr="00A23740">
              <w:rPr>
                <w:szCs w:val="24"/>
              </w:rPr>
              <w:t xml:space="preserve"> </w:t>
            </w:r>
            <w:r w:rsidR="0076565B" w:rsidRPr="00A23740">
              <w:rPr>
                <w:szCs w:val="24"/>
              </w:rPr>
              <w:t>2004 sayılı K</w:t>
            </w:r>
            <w:r w:rsidRPr="00A23740">
              <w:rPr>
                <w:szCs w:val="24"/>
              </w:rPr>
              <w:t xml:space="preserve">anunun 60 </w:t>
            </w:r>
            <w:r w:rsidR="0076565B" w:rsidRPr="00A23740">
              <w:rPr>
                <w:szCs w:val="24"/>
              </w:rPr>
              <w:t>ı</w:t>
            </w:r>
            <w:r w:rsidRPr="00A23740">
              <w:rPr>
                <w:szCs w:val="24"/>
              </w:rPr>
              <w:t>ncı maddesine karşılık gelmektedir.</w:t>
            </w:r>
          </w:p>
          <w:p w:rsidR="004F2E3B"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76565B" w:rsidRPr="00A23740">
              <w:rPr>
                <w:szCs w:val="24"/>
              </w:rPr>
              <w:t>birinci</w:t>
            </w:r>
            <w:r w:rsidRPr="00A23740">
              <w:rPr>
                <w:szCs w:val="24"/>
              </w:rPr>
              <w:t xml:space="preserve"> fıkrasında</w:t>
            </w:r>
            <w:r w:rsidR="00320D17" w:rsidRPr="00A23740">
              <w:rPr>
                <w:szCs w:val="24"/>
              </w:rPr>
              <w:t>,</w:t>
            </w:r>
            <w:r w:rsidRPr="00A23740">
              <w:rPr>
                <w:szCs w:val="24"/>
              </w:rPr>
              <w:t xml:space="preserve"> ödeme emrinde bulunacak hususlar düzenlenmektedir. Bu madde bentler h</w:t>
            </w:r>
            <w:r w:rsidR="002F2BAA" w:rsidRPr="00A23740">
              <w:rPr>
                <w:szCs w:val="24"/>
              </w:rPr>
              <w:t>â</w:t>
            </w:r>
            <w:r w:rsidRPr="00A23740">
              <w:rPr>
                <w:szCs w:val="24"/>
              </w:rPr>
              <w:t>linde kaleme alınmıştır</w:t>
            </w:r>
            <w:r w:rsidR="004F2E3B" w:rsidRPr="00A23740">
              <w:rPr>
                <w:szCs w:val="24"/>
              </w:rPr>
              <w:t>.</w:t>
            </w:r>
            <w:r w:rsidRPr="00A23740">
              <w:rPr>
                <w:szCs w:val="24"/>
              </w:rPr>
              <w:t xml:space="preserve"> </w:t>
            </w:r>
          </w:p>
          <w:p w:rsidR="00DB2C16" w:rsidRPr="00A23740" w:rsidRDefault="004F2E3B" w:rsidP="009431FF">
            <w:pPr>
              <w:tabs>
                <w:tab w:val="left" w:pos="567"/>
              </w:tabs>
              <w:autoSpaceDE w:val="0"/>
              <w:autoSpaceDN w:val="0"/>
              <w:adjustRightInd w:val="0"/>
              <w:ind w:firstLine="709"/>
              <w:rPr>
                <w:szCs w:val="24"/>
              </w:rPr>
            </w:pPr>
            <w:r w:rsidRPr="00A23740">
              <w:rPr>
                <w:szCs w:val="24"/>
              </w:rPr>
              <w:t>B</w:t>
            </w:r>
            <w:r w:rsidR="00DB2C16" w:rsidRPr="00A23740">
              <w:rPr>
                <w:szCs w:val="24"/>
              </w:rPr>
              <w:t xml:space="preserve">una göre: </w:t>
            </w:r>
            <w:r w:rsidR="0076565B" w:rsidRPr="00A23740">
              <w:rPr>
                <w:szCs w:val="24"/>
              </w:rPr>
              <w:t>(</w:t>
            </w:r>
            <w:r w:rsidR="00DB2C16" w:rsidRPr="00A23740">
              <w:rPr>
                <w:szCs w:val="24"/>
              </w:rPr>
              <w:t>a</w:t>
            </w:r>
            <w:r w:rsidR="0076565B" w:rsidRPr="00A23740">
              <w:rPr>
                <w:szCs w:val="24"/>
              </w:rPr>
              <w:t>)</w:t>
            </w:r>
            <w:r w:rsidR="00DB2C16" w:rsidRPr="00A23740">
              <w:rPr>
                <w:szCs w:val="24"/>
              </w:rPr>
              <w:t xml:space="preserve"> bendinde “Alacaklının ve varsa kanuni temsilcisinin ve vekili</w:t>
            </w:r>
            <w:r w:rsidR="00330FCE" w:rsidRPr="00A23740">
              <w:rPr>
                <w:szCs w:val="24"/>
              </w:rPr>
              <w:t>nin adı, soyadı, tüzel kişiyse ü</w:t>
            </w:r>
            <w:r w:rsidR="00DB2C16" w:rsidRPr="00A23740">
              <w:rPr>
                <w:szCs w:val="24"/>
              </w:rPr>
              <w:t>nvanı, adresi; gerçek kişiler için Türkiye Cumhuriyeti kimlik numarası, tüzel kişiler için vergi kimlik numarası, Merkezi Sicil Kayıt Sistemi numarası veya ilgili sicil numarası” hakkındaki bilgilerin ödeme emrinde bulu</w:t>
            </w:r>
            <w:r w:rsidR="0076565B" w:rsidRPr="00A23740">
              <w:rPr>
                <w:szCs w:val="24"/>
              </w:rPr>
              <w:t>nması gerektiği düzenlenmiştir.</w:t>
            </w:r>
          </w:p>
          <w:p w:rsidR="00DB2C16" w:rsidRPr="00A23740" w:rsidRDefault="0076565B" w:rsidP="009431FF">
            <w:pPr>
              <w:tabs>
                <w:tab w:val="left" w:pos="567"/>
              </w:tabs>
              <w:autoSpaceDE w:val="0"/>
              <w:autoSpaceDN w:val="0"/>
              <w:adjustRightInd w:val="0"/>
              <w:ind w:firstLine="709"/>
              <w:rPr>
                <w:szCs w:val="24"/>
              </w:rPr>
            </w:pPr>
            <w:r w:rsidRPr="00A23740">
              <w:rPr>
                <w:szCs w:val="24"/>
              </w:rPr>
              <w:t>M</w:t>
            </w:r>
            <w:r w:rsidR="00DB2C16" w:rsidRPr="00A23740">
              <w:rPr>
                <w:szCs w:val="24"/>
              </w:rPr>
              <w:t>ad</w:t>
            </w:r>
            <w:r w:rsidRPr="00A23740">
              <w:rPr>
                <w:szCs w:val="24"/>
              </w:rPr>
              <w:t>d</w:t>
            </w:r>
            <w:r w:rsidR="00DB2C16" w:rsidRPr="00A23740">
              <w:rPr>
                <w:szCs w:val="24"/>
              </w:rPr>
              <w:t xml:space="preserve">enin </w:t>
            </w:r>
            <w:r w:rsidRPr="00A23740">
              <w:rPr>
                <w:szCs w:val="24"/>
              </w:rPr>
              <w:t>birinci fıkrasının (</w:t>
            </w:r>
            <w:r w:rsidR="00DB2C16" w:rsidRPr="00A23740">
              <w:rPr>
                <w:szCs w:val="24"/>
              </w:rPr>
              <w:t>b</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“Borçlunun ve varsa kanuni temsilcisinin adı, soyadı, biliniyorsa Türkiye Cumhuriyeti k</w:t>
            </w:r>
            <w:r w:rsidR="00330FCE" w:rsidRPr="00A23740">
              <w:rPr>
                <w:szCs w:val="24"/>
              </w:rPr>
              <w:t>imlik numarası; tüzel kişi ise ü</w:t>
            </w:r>
            <w:r w:rsidR="00DB2C16" w:rsidRPr="00A23740">
              <w:rPr>
                <w:szCs w:val="24"/>
              </w:rPr>
              <w:t>nvanı, vergi kimlik numarası, Merkezi Sicil Kayıt Sistemi numarası veya ilgili sicil numarası ve adresi”</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c</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w:t>
            </w:r>
            <w:r w:rsidR="00DB2C16" w:rsidRPr="006D2E3C">
              <w:rPr>
                <w:szCs w:val="24"/>
              </w:rPr>
              <w:t xml:space="preserve">İcra </w:t>
            </w:r>
            <w:r w:rsidR="00527F77" w:rsidRPr="006D2E3C">
              <w:t>ve iflas</w:t>
            </w:r>
            <w:r w:rsidR="00527F77" w:rsidRPr="00A23740">
              <w:rPr>
                <w:szCs w:val="24"/>
              </w:rPr>
              <w:t xml:space="preserve"> </w:t>
            </w:r>
            <w:r w:rsidR="00DB2C16" w:rsidRPr="00A23740">
              <w:rPr>
                <w:szCs w:val="24"/>
              </w:rPr>
              <w:t>dairesinin banka hesap numarası”</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ç</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“Takip para alacağı veya teminat alacağı hakkında ise takip yollarından hangisinin seçildiği”</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d</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“Alacağın veya istenen teminatın Türk parasıyla tutarı ve faizli alacaklarda faizin türü, oranı, miktarı ile işlemeye başladığı gün; alacak veya istenen teminat yabancı para ise, harca esas olmak üzere takip talebi tarihindeki Türkiye Cumhuriyet Merkez Bankası efektif satış kuru üzerinden Türk </w:t>
            </w:r>
            <w:r w:rsidR="004F2E3B" w:rsidRPr="00A23740">
              <w:rPr>
                <w:szCs w:val="24"/>
              </w:rPr>
              <w:t>L</w:t>
            </w:r>
            <w:r w:rsidR="001511A1" w:rsidRPr="00A23740">
              <w:rPr>
                <w:szCs w:val="24"/>
              </w:rPr>
              <w:t xml:space="preserve">irası </w:t>
            </w:r>
            <w:r w:rsidR="00DB2C16" w:rsidRPr="00A23740">
              <w:rPr>
                <w:szCs w:val="24"/>
              </w:rPr>
              <w:t>karşılığı ve alacağın hangi tarihteki kur üzerinden talep edildiği ve faizli yabancı para alacaklarında faizin türü, oranı, miktarı ile işlemeye başladığı gün”</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e</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“Borcun ve giderlerin ödeme emrinin tebliğinden itibaren iki hafta içinde icra</w:t>
            </w:r>
            <w:r w:rsidR="00527F77" w:rsidRPr="00A23740">
              <w:rPr>
                <w:szCs w:val="24"/>
              </w:rPr>
              <w:t xml:space="preserve"> </w:t>
            </w:r>
            <w:r w:rsidR="00527F77" w:rsidRPr="006D2E3C">
              <w:rPr>
                <w:szCs w:val="24"/>
              </w:rPr>
              <w:t>ve iflas</w:t>
            </w:r>
            <w:r w:rsidR="00DB2C16" w:rsidRPr="00A23740">
              <w:rPr>
                <w:szCs w:val="24"/>
              </w:rPr>
              <w:t xml:space="preserve"> dairesinin ödeme emrinde yazılı olan banka hesabına ödenmesi; borç, teminat verilmesi mükellefiyeti ise teminatın bu süre içinde gösterilmesi”</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lastRenderedPageBreak/>
              <w:t>Maddenin birinci fıkrasının (</w:t>
            </w:r>
            <w:r w:rsidR="00DB2C16" w:rsidRPr="00A23740">
              <w:rPr>
                <w:szCs w:val="24"/>
              </w:rPr>
              <w:t>f</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“Borçlunun, borcun tamamına, bir kısmına, alacak belgesi altındaki imzaya veya alacaklının takibat icrası hakkına dair itirazını, ödeme emrinin tebliğinden itibaren iki hafta içinde icra</w:t>
            </w:r>
            <w:r w:rsidR="00DB2C16" w:rsidRPr="006D2E3C">
              <w:rPr>
                <w:szCs w:val="24"/>
              </w:rPr>
              <w:t xml:space="preserve"> </w:t>
            </w:r>
            <w:r w:rsidR="001647D1" w:rsidRPr="006D2E3C">
              <w:rPr>
                <w:szCs w:val="24"/>
              </w:rPr>
              <w:t>ve iflas</w:t>
            </w:r>
            <w:r w:rsidR="001647D1" w:rsidRPr="00A23740">
              <w:rPr>
                <w:szCs w:val="24"/>
              </w:rPr>
              <w:t xml:space="preserve"> </w:t>
            </w:r>
            <w:r w:rsidR="00DB2C16" w:rsidRPr="00A23740">
              <w:rPr>
                <w:szCs w:val="24"/>
              </w:rPr>
              <w:t>dairesine yapması gerektiği”</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g</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“Borçlunun, varsa şik</w:t>
            </w:r>
            <w:r w:rsidR="00407C95" w:rsidRPr="00A23740">
              <w:rPr>
                <w:szCs w:val="24"/>
              </w:rPr>
              <w:t>â</w:t>
            </w:r>
            <w:r w:rsidR="00DB2C16" w:rsidRPr="00A23740">
              <w:rPr>
                <w:szCs w:val="24"/>
              </w:rPr>
              <w:t>yetlerini 22 ve devamı maddeleri uyarınca icra hukuk mahkemesine yapabileceği”</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ğ</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“Ödeme emrinin yurt dışında tebliğ edildiği h</w:t>
            </w:r>
            <w:r w:rsidR="002F2BAA" w:rsidRPr="00A23740">
              <w:rPr>
                <w:szCs w:val="24"/>
              </w:rPr>
              <w:t>â</w:t>
            </w:r>
            <w:r w:rsidR="00DB2C16" w:rsidRPr="00A23740">
              <w:rPr>
                <w:szCs w:val="24"/>
              </w:rPr>
              <w:t>llerde, itiraz etmek isteyen borçlunun itirazla birlikte, itiraz etmeyecek olan borçlunun ise itiraz süresi içinde, dava ve takip işlemlerine esas olmak üzere yurt içinde bir adresi bildirmek zorunda olduğu; yurt içinde bir adres bildirmediği takdirde kendisine bundan sonra tebliğ edilecek olan evrakın icra dosyası içinde muhafaza edilerek kendisine tebliğ edilmiş sayılacağı ve ayrıca itirazın yapılmamış kabul edileceği”</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h</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“Borçlunun ödeme emrine itiraz etmemesi veya sü</w:t>
            </w:r>
            <w:r w:rsidR="00E676D6" w:rsidRPr="00A23740">
              <w:rPr>
                <w:szCs w:val="24"/>
              </w:rPr>
              <w:t>resi içinde borcunu ödememesi hâ</w:t>
            </w:r>
            <w:r w:rsidR="00DB2C16" w:rsidRPr="00A23740">
              <w:rPr>
                <w:szCs w:val="24"/>
              </w:rPr>
              <w:t>linde ödeme emrinin, ödeme emrine itiraz etmesi h</w:t>
            </w:r>
            <w:r w:rsidR="002F2BAA" w:rsidRPr="00A23740">
              <w:rPr>
                <w:szCs w:val="24"/>
              </w:rPr>
              <w:t>â</w:t>
            </w:r>
            <w:r w:rsidR="00DB2C16" w:rsidRPr="00A23740">
              <w:rPr>
                <w:szCs w:val="24"/>
              </w:rPr>
              <w:t xml:space="preserve">linde ise itirazın iptaline ilişkin kararın tebliğinden itibaren iki hafta içinde </w:t>
            </w:r>
            <w:r w:rsidR="001511A1" w:rsidRPr="006D2E3C">
              <w:rPr>
                <w:szCs w:val="24"/>
              </w:rPr>
              <w:t>154</w:t>
            </w:r>
            <w:r w:rsidR="001511A1" w:rsidRPr="00A23740">
              <w:rPr>
                <w:rStyle w:val="KonuBalChar"/>
                <w:rFonts w:eastAsia="Calibri"/>
              </w:rPr>
              <w:t xml:space="preserve"> </w:t>
            </w:r>
            <w:r w:rsidR="001511A1" w:rsidRPr="006D2E3C">
              <w:rPr>
                <w:szCs w:val="24"/>
              </w:rPr>
              <w:t>üncü</w:t>
            </w:r>
            <w:r w:rsidR="001511A1" w:rsidRPr="00A23740">
              <w:rPr>
                <w:rStyle w:val="KIRMIZIChar"/>
                <w:rFonts w:eastAsia="Calibri"/>
                <w:strike w:val="0"/>
              </w:rPr>
              <w:t xml:space="preserve"> </w:t>
            </w:r>
            <w:r w:rsidR="00DB2C16" w:rsidRPr="00A23740">
              <w:rPr>
                <w:szCs w:val="24"/>
              </w:rPr>
              <w:t xml:space="preserve">madde hükümlerine göre mal beyanında bulunması gerektiği; aksi takdirde </w:t>
            </w:r>
            <w:r w:rsidR="00320D17" w:rsidRPr="00CF4FF5">
              <w:t>510 uncu</w:t>
            </w:r>
            <w:r w:rsidR="00320D17" w:rsidRPr="00A23740">
              <w:rPr>
                <w:rStyle w:val="KIRMIZIChar"/>
                <w:rFonts w:eastAsia="Calibri"/>
                <w:strike w:val="0"/>
              </w:rPr>
              <w:t xml:space="preserve"> </w:t>
            </w:r>
            <w:r w:rsidR="00DB2C16" w:rsidRPr="00A23740">
              <w:rPr>
                <w:szCs w:val="24"/>
              </w:rPr>
              <w:t>madde uyarınca disiplin hapsi</w:t>
            </w:r>
            <w:r w:rsidR="005F30CB" w:rsidRPr="006D2E3C">
              <w:rPr>
                <w:szCs w:val="24"/>
              </w:rPr>
              <w:t>yle</w:t>
            </w:r>
            <w:r w:rsidR="00DB2C16" w:rsidRPr="00A23740">
              <w:rPr>
                <w:szCs w:val="24"/>
              </w:rPr>
              <w:t xml:space="preserve"> cezalandırılacağı”</w:t>
            </w:r>
            <w:r w:rsidR="004F2E3B" w:rsidRPr="00A23740">
              <w:rPr>
                <w:szCs w:val="24"/>
              </w:rPr>
              <w:t>;</w:t>
            </w:r>
          </w:p>
          <w:p w:rsidR="00DB2C16"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ı</w:t>
            </w:r>
            <w:r w:rsidRPr="00A23740">
              <w:rPr>
                <w:szCs w:val="24"/>
              </w:rPr>
              <w:t>)</w:t>
            </w:r>
            <w:r w:rsidR="00DB2C16" w:rsidRPr="00A23740">
              <w:rPr>
                <w:szCs w:val="24"/>
              </w:rPr>
              <w:t xml:space="preserve"> bendinde</w:t>
            </w:r>
            <w:r w:rsidR="00320D17" w:rsidRPr="00A23740">
              <w:rPr>
                <w:szCs w:val="24"/>
              </w:rPr>
              <w:t>,</w:t>
            </w:r>
            <w:r w:rsidR="00DB2C16" w:rsidRPr="00A23740">
              <w:rPr>
                <w:szCs w:val="24"/>
              </w:rPr>
              <w:t xml:space="preserve"> “Borçlunun, icra ve iflas dairesine yaptığı mal beyanında malı olmadığını bildirmesi veya borcuna yetecek malı göstermemesi ya da mal beyanından kaçınması h</w:t>
            </w:r>
            <w:r w:rsidR="002F2BAA" w:rsidRPr="00A23740">
              <w:rPr>
                <w:szCs w:val="24"/>
              </w:rPr>
              <w:t>â</w:t>
            </w:r>
            <w:r w:rsidR="00DB2C16" w:rsidRPr="00A23740">
              <w:rPr>
                <w:szCs w:val="24"/>
              </w:rPr>
              <w:t>linde sonradan kazandığı malları ile kazancında ve gelirinde ortaya çıkan artışları kazanma veya artış tarih</w:t>
            </w:r>
            <w:r w:rsidR="00562C1C">
              <w:rPr>
                <w:szCs w:val="24"/>
              </w:rPr>
              <w:t>inden itibaren bir hafta içinde</w:t>
            </w:r>
            <w:r w:rsidR="00320D17" w:rsidRPr="00A23740">
              <w:rPr>
                <w:rStyle w:val="KIRMIZIChar"/>
                <w:rFonts w:eastAsia="Calibri"/>
                <w:strike w:val="0"/>
              </w:rPr>
              <w:t xml:space="preserve"> </w:t>
            </w:r>
            <w:r w:rsidR="00320D17" w:rsidRPr="006D2E3C">
              <w:rPr>
                <w:szCs w:val="24"/>
              </w:rPr>
              <w:t>154</w:t>
            </w:r>
            <w:r w:rsidR="00320D17" w:rsidRPr="00A23740">
              <w:rPr>
                <w:rStyle w:val="KonuBalChar"/>
                <w:rFonts w:eastAsia="Calibri"/>
              </w:rPr>
              <w:t xml:space="preserve"> </w:t>
            </w:r>
            <w:r w:rsidR="00320D17" w:rsidRPr="006D2E3C">
              <w:rPr>
                <w:szCs w:val="24"/>
              </w:rPr>
              <w:t>üncü</w:t>
            </w:r>
            <w:r w:rsidR="00320D17" w:rsidRPr="00A23740">
              <w:rPr>
                <w:rStyle w:val="KIRMIZIChar"/>
                <w:rFonts w:eastAsia="Calibri"/>
                <w:strike w:val="0"/>
              </w:rPr>
              <w:t xml:space="preserve"> </w:t>
            </w:r>
            <w:r w:rsidR="00DB2C16" w:rsidRPr="00A23740">
              <w:rPr>
                <w:szCs w:val="24"/>
              </w:rPr>
              <w:t xml:space="preserve">madde hükümlerine göre icra </w:t>
            </w:r>
            <w:r w:rsidR="005F30CB" w:rsidRPr="006D2E3C">
              <w:rPr>
                <w:szCs w:val="24"/>
              </w:rPr>
              <w:t>ve</w:t>
            </w:r>
            <w:r w:rsidR="005F30CB" w:rsidRPr="006D2E3C">
              <w:rPr>
                <w:b/>
              </w:rPr>
              <w:t xml:space="preserve"> </w:t>
            </w:r>
            <w:r w:rsidR="005F30CB" w:rsidRPr="006D2E3C">
              <w:rPr>
                <w:szCs w:val="24"/>
              </w:rPr>
              <w:t>iflas</w:t>
            </w:r>
            <w:r w:rsidR="005F30CB" w:rsidRPr="00A23740">
              <w:rPr>
                <w:rStyle w:val="YELChar"/>
              </w:rPr>
              <w:t xml:space="preserve"> </w:t>
            </w:r>
            <w:r w:rsidR="00DB2C16" w:rsidRPr="00A23740">
              <w:rPr>
                <w:szCs w:val="24"/>
              </w:rPr>
              <w:t xml:space="preserve">dairesine bildirmesi gerektiği; aksi takdirde </w:t>
            </w:r>
            <w:r w:rsidR="00320D17" w:rsidRPr="006D2E3C">
              <w:rPr>
                <w:szCs w:val="24"/>
              </w:rPr>
              <w:t>510</w:t>
            </w:r>
            <w:r w:rsidR="00320D17" w:rsidRPr="00A23740">
              <w:rPr>
                <w:rStyle w:val="KonuBalChar"/>
                <w:rFonts w:eastAsia="Calibri"/>
              </w:rPr>
              <w:t xml:space="preserve"> </w:t>
            </w:r>
            <w:r w:rsidR="00320D17" w:rsidRPr="006D2E3C">
              <w:rPr>
                <w:szCs w:val="24"/>
              </w:rPr>
              <w:t>uncu</w:t>
            </w:r>
            <w:r w:rsidR="00320D17" w:rsidRPr="00A23740">
              <w:rPr>
                <w:rStyle w:val="KIRMIZIChar"/>
                <w:rFonts w:eastAsia="Calibri"/>
                <w:strike w:val="0"/>
              </w:rPr>
              <w:t xml:space="preserve"> </w:t>
            </w:r>
            <w:r w:rsidR="00DB2C16" w:rsidRPr="00A23740">
              <w:rPr>
                <w:szCs w:val="24"/>
              </w:rPr>
              <w:t>maddenin ikinci fıkrası uyarınca disiplin hapsi</w:t>
            </w:r>
            <w:r w:rsidR="005F30CB" w:rsidRPr="006D2E3C">
              <w:rPr>
                <w:szCs w:val="24"/>
              </w:rPr>
              <w:t>yle</w:t>
            </w:r>
            <w:r w:rsidR="00DB2C16" w:rsidRPr="00A23740">
              <w:rPr>
                <w:szCs w:val="24"/>
              </w:rPr>
              <w:t xml:space="preserve"> cezalandırılacağı; gerçeğe aykırı bildirimde bulunması h</w:t>
            </w:r>
            <w:r w:rsidR="002F2BAA" w:rsidRPr="00A23740">
              <w:rPr>
                <w:szCs w:val="24"/>
              </w:rPr>
              <w:t>â</w:t>
            </w:r>
            <w:r w:rsidR="00DB2C16" w:rsidRPr="00A23740">
              <w:rPr>
                <w:szCs w:val="24"/>
              </w:rPr>
              <w:t xml:space="preserve">linde ise </w:t>
            </w:r>
            <w:r w:rsidR="00320D17" w:rsidRPr="006D2E3C">
              <w:rPr>
                <w:szCs w:val="24"/>
              </w:rPr>
              <w:t>518</w:t>
            </w:r>
            <w:r w:rsidR="00320D17" w:rsidRPr="00A23740">
              <w:rPr>
                <w:rStyle w:val="KonuBalChar"/>
                <w:rFonts w:eastAsia="Calibri"/>
              </w:rPr>
              <w:t xml:space="preserve"> </w:t>
            </w:r>
            <w:r w:rsidR="00320D17" w:rsidRPr="006D2E3C">
              <w:rPr>
                <w:szCs w:val="24"/>
              </w:rPr>
              <w:t>inci</w:t>
            </w:r>
            <w:r w:rsidR="00320D17" w:rsidRPr="00A23740">
              <w:rPr>
                <w:rStyle w:val="KIRMIZIChar"/>
                <w:rFonts w:eastAsia="Calibri"/>
                <w:strike w:val="0"/>
              </w:rPr>
              <w:t xml:space="preserve"> </w:t>
            </w:r>
            <w:r w:rsidR="00DB2C16" w:rsidRPr="00A23740">
              <w:rPr>
                <w:szCs w:val="24"/>
              </w:rPr>
              <w:t>madde uyarınca hapis cez</w:t>
            </w:r>
            <w:r w:rsidR="00DB2C16" w:rsidRPr="00562C1C">
              <w:t>ası</w:t>
            </w:r>
            <w:r w:rsidR="0005528D" w:rsidRPr="00562C1C">
              <w:t>yla</w:t>
            </w:r>
            <w:r w:rsidR="00DB2C16" w:rsidRPr="00A23740">
              <w:rPr>
                <w:szCs w:val="24"/>
              </w:rPr>
              <w:t xml:space="preserve"> cezalandırılacağı”</w:t>
            </w:r>
            <w:r w:rsidR="004F2E3B" w:rsidRPr="00A23740">
              <w:rPr>
                <w:szCs w:val="24"/>
              </w:rPr>
              <w:t>;</w:t>
            </w:r>
          </w:p>
          <w:p w:rsidR="004F2E3B" w:rsidRPr="00A23740" w:rsidRDefault="0076565B" w:rsidP="009431FF">
            <w:pPr>
              <w:tabs>
                <w:tab w:val="left" w:pos="567"/>
              </w:tabs>
              <w:autoSpaceDE w:val="0"/>
              <w:autoSpaceDN w:val="0"/>
              <w:adjustRightInd w:val="0"/>
              <w:ind w:firstLine="709"/>
              <w:rPr>
                <w:szCs w:val="24"/>
              </w:rPr>
            </w:pPr>
            <w:r w:rsidRPr="00A23740">
              <w:rPr>
                <w:szCs w:val="24"/>
              </w:rPr>
              <w:t>Maddenin birinci fıkrasının (</w:t>
            </w:r>
            <w:r w:rsidR="00DB2C16" w:rsidRPr="00A23740">
              <w:rPr>
                <w:szCs w:val="24"/>
              </w:rPr>
              <w:t>i</w:t>
            </w:r>
            <w:r w:rsidRPr="00A23740">
              <w:rPr>
                <w:szCs w:val="24"/>
              </w:rPr>
              <w:t>)</w:t>
            </w:r>
            <w:r w:rsidR="00DB2C16" w:rsidRPr="00A23740">
              <w:rPr>
                <w:szCs w:val="24"/>
              </w:rPr>
              <w:t xml:space="preserve"> bendinde</w:t>
            </w:r>
            <w:r w:rsidR="00F6373B" w:rsidRPr="00A23740">
              <w:rPr>
                <w:szCs w:val="24"/>
              </w:rPr>
              <w:t>,</w:t>
            </w:r>
            <w:r w:rsidR="00DB2C16" w:rsidRPr="00A23740">
              <w:rPr>
                <w:szCs w:val="24"/>
              </w:rPr>
              <w:t xml:space="preserve"> “Borç ödenmez ve itiraz edilmezse cebr</w:t>
            </w:r>
            <w:r w:rsidR="00436506" w:rsidRPr="00A23740">
              <w:rPr>
                <w:szCs w:val="24"/>
              </w:rPr>
              <w:t>î</w:t>
            </w:r>
            <w:r w:rsidR="00DB2C16" w:rsidRPr="00A23740">
              <w:rPr>
                <w:szCs w:val="24"/>
              </w:rPr>
              <w:t xml:space="preserve"> icraya devam edileceği” </w:t>
            </w:r>
          </w:p>
          <w:p w:rsidR="00DB2C16" w:rsidRPr="00A23740" w:rsidRDefault="00DB2C16" w:rsidP="009431FF">
            <w:pPr>
              <w:tabs>
                <w:tab w:val="left" w:pos="567"/>
              </w:tabs>
              <w:autoSpaceDE w:val="0"/>
              <w:autoSpaceDN w:val="0"/>
              <w:adjustRightInd w:val="0"/>
              <w:rPr>
                <w:szCs w:val="24"/>
              </w:rPr>
            </w:pPr>
            <w:r w:rsidRPr="00A23740">
              <w:rPr>
                <w:szCs w:val="24"/>
              </w:rPr>
              <w:t xml:space="preserve">hususları düzenlenmiştir. </w:t>
            </w:r>
          </w:p>
          <w:p w:rsidR="00DB2C16" w:rsidRPr="00A23740" w:rsidRDefault="00DB2C16" w:rsidP="009431FF">
            <w:pPr>
              <w:tabs>
                <w:tab w:val="left" w:pos="567"/>
              </w:tabs>
              <w:autoSpaceDE w:val="0"/>
              <w:autoSpaceDN w:val="0"/>
              <w:adjustRightInd w:val="0"/>
              <w:ind w:firstLine="709"/>
              <w:rPr>
                <w:szCs w:val="24"/>
              </w:rPr>
            </w:pPr>
            <w:r w:rsidRPr="00A23740">
              <w:rPr>
                <w:szCs w:val="24"/>
              </w:rPr>
              <w:t>Bilim Komisyonu çalışmaları sırasında borçlunun, takibe ödeme emri tebliğ edilmeden itiraz etmesi h</w:t>
            </w:r>
            <w:r w:rsidR="002F2BAA" w:rsidRPr="00A23740">
              <w:rPr>
                <w:szCs w:val="24"/>
              </w:rPr>
              <w:t>â</w:t>
            </w:r>
            <w:r w:rsidRPr="00A23740">
              <w:rPr>
                <w:szCs w:val="24"/>
              </w:rPr>
              <w:t xml:space="preserve">linde, buna ne gibi sonuçlar bağlanması gerektiği ve bağlanabilecek sonuçların madde metninde yer alması gerekip gerekmediği tartışılmış, sonuç itibarıyla bu konunun yargı organının takdirine bırakılmasının doğru olacağı </w:t>
            </w:r>
            <w:r w:rsidR="004F2E3B" w:rsidRPr="00A23740">
              <w:rPr>
                <w:szCs w:val="24"/>
              </w:rPr>
              <w:t xml:space="preserve">kanaatine </w:t>
            </w:r>
            <w:r w:rsidR="001511A1" w:rsidRPr="00A23740">
              <w:rPr>
                <w:szCs w:val="24"/>
              </w:rPr>
              <w:t>varılmıştır.</w:t>
            </w:r>
          </w:p>
          <w:p w:rsidR="00DB2C16" w:rsidRPr="00A23740" w:rsidRDefault="0076565B" w:rsidP="009431FF">
            <w:pPr>
              <w:tabs>
                <w:tab w:val="left" w:pos="567"/>
              </w:tabs>
              <w:autoSpaceDE w:val="0"/>
              <w:autoSpaceDN w:val="0"/>
              <w:adjustRightInd w:val="0"/>
              <w:ind w:firstLine="709"/>
              <w:rPr>
                <w:szCs w:val="24"/>
              </w:rPr>
            </w:pPr>
            <w:r w:rsidRPr="00A23740">
              <w:rPr>
                <w:szCs w:val="24"/>
              </w:rPr>
              <w:t>Birinci</w:t>
            </w:r>
            <w:r w:rsidR="00DB2C16" w:rsidRPr="00A23740">
              <w:rPr>
                <w:szCs w:val="24"/>
              </w:rPr>
              <w:t xml:space="preserve"> fıkranın </w:t>
            </w:r>
            <w:r w:rsidRPr="00A23740">
              <w:rPr>
                <w:szCs w:val="24"/>
              </w:rPr>
              <w:t>(</w:t>
            </w:r>
            <w:r w:rsidR="00DB2C16" w:rsidRPr="00A23740">
              <w:rPr>
                <w:szCs w:val="24"/>
              </w:rPr>
              <w:t>f</w:t>
            </w:r>
            <w:r w:rsidRPr="00A23740">
              <w:rPr>
                <w:szCs w:val="24"/>
              </w:rPr>
              <w:t>)</w:t>
            </w:r>
            <w:r w:rsidR="00DB2C16" w:rsidRPr="00A23740">
              <w:rPr>
                <w:szCs w:val="24"/>
              </w:rPr>
              <w:t xml:space="preserve"> bendi bağlamında</w:t>
            </w:r>
            <w:r w:rsidR="00F6373B" w:rsidRPr="00A23740">
              <w:rPr>
                <w:szCs w:val="24"/>
              </w:rPr>
              <w:t>,</w:t>
            </w:r>
            <w:r w:rsidR="00DB2C16" w:rsidRPr="00A23740">
              <w:rPr>
                <w:szCs w:val="24"/>
              </w:rPr>
              <w:t xml:space="preserve"> alacaklının takibat icrası hakkına dair itirazına örnek olarak yetki itirazı ve yeni mal iktisap edilmediği itirazı gösterilebilir (bkz</w:t>
            </w:r>
            <w:r w:rsidRPr="00A23740">
              <w:rPr>
                <w:szCs w:val="24"/>
              </w:rPr>
              <w:t>. Baki Kuru, El Kitabı</w:t>
            </w:r>
            <w:r w:rsidR="004F2E3B" w:rsidRPr="00A23740">
              <w:rPr>
                <w:szCs w:val="24"/>
              </w:rPr>
              <w:t>,</w:t>
            </w:r>
            <w:r w:rsidRPr="00A23740">
              <w:rPr>
                <w:szCs w:val="24"/>
              </w:rPr>
              <w:t xml:space="preserve"> s. 216).</w:t>
            </w:r>
          </w:p>
          <w:p w:rsidR="00E91409" w:rsidRPr="00A23740" w:rsidRDefault="0076565B" w:rsidP="009431FF">
            <w:pPr>
              <w:tabs>
                <w:tab w:val="left" w:pos="567"/>
              </w:tabs>
              <w:autoSpaceDE w:val="0"/>
              <w:autoSpaceDN w:val="0"/>
              <w:adjustRightInd w:val="0"/>
              <w:ind w:firstLine="709"/>
              <w:rPr>
                <w:szCs w:val="24"/>
              </w:rPr>
            </w:pPr>
            <w:r w:rsidRPr="00A23740">
              <w:rPr>
                <w:szCs w:val="24"/>
              </w:rPr>
              <w:t xml:space="preserve">Birinci </w:t>
            </w:r>
            <w:r w:rsidR="00DB2C16" w:rsidRPr="00A23740">
              <w:rPr>
                <w:szCs w:val="24"/>
              </w:rPr>
              <w:t xml:space="preserve">fıkranın </w:t>
            </w:r>
            <w:r w:rsidRPr="00A23740">
              <w:rPr>
                <w:szCs w:val="24"/>
              </w:rPr>
              <w:t>(</w:t>
            </w:r>
            <w:r w:rsidR="00DB2C16" w:rsidRPr="00A23740">
              <w:rPr>
                <w:szCs w:val="24"/>
              </w:rPr>
              <w:t>f</w:t>
            </w:r>
            <w:r w:rsidRPr="00A23740">
              <w:rPr>
                <w:szCs w:val="24"/>
              </w:rPr>
              <w:t>)</w:t>
            </w:r>
            <w:r w:rsidR="00DB2C16" w:rsidRPr="00A23740">
              <w:rPr>
                <w:szCs w:val="24"/>
              </w:rPr>
              <w:t xml:space="preserve"> bendinde</w:t>
            </w:r>
            <w:r w:rsidR="00F6373B" w:rsidRPr="00A23740">
              <w:rPr>
                <w:szCs w:val="24"/>
              </w:rPr>
              <w:t>,</w:t>
            </w:r>
            <w:r w:rsidR="00DB2C16" w:rsidRPr="00A23740">
              <w:rPr>
                <w:szCs w:val="24"/>
              </w:rPr>
              <w:t xml:space="preserve"> borçlunun itiraz edebileceği hususlar arasında “alacak belgesi altındaki imza” da yer almaktadır. Taslakta </w:t>
            </w:r>
            <w:r w:rsidR="004F2E3B" w:rsidRPr="00A23740">
              <w:rPr>
                <w:szCs w:val="24"/>
              </w:rPr>
              <w:t xml:space="preserve">2004 sayılı Kanundan </w:t>
            </w:r>
            <w:r w:rsidR="00DB2C16" w:rsidRPr="00A23740">
              <w:rPr>
                <w:szCs w:val="24"/>
              </w:rPr>
              <w:t>farklı olarak adi haciz yolu ile ilamsız takipte “borca itiraz – imzaya itiraz” ayrımına yer verilmemekte; borçlunun imzaya itirazı da borca itiraz gibi takibin durması sonucunu doğurmakta ve itirazın bertaraf edilerek takibin devamının sağlanması hususunda da “borca itiraz” h</w:t>
            </w:r>
            <w:r w:rsidR="002F2BAA" w:rsidRPr="00A23740">
              <w:rPr>
                <w:szCs w:val="24"/>
              </w:rPr>
              <w:t>â</w:t>
            </w:r>
            <w:r w:rsidR="00DB2C16" w:rsidRPr="00A23740">
              <w:rPr>
                <w:szCs w:val="24"/>
              </w:rPr>
              <w:t>li ile “imzaya itiraz” h</w:t>
            </w:r>
            <w:r w:rsidR="002F2BAA" w:rsidRPr="00A23740">
              <w:rPr>
                <w:szCs w:val="24"/>
              </w:rPr>
              <w:t>â</w:t>
            </w:r>
            <w:r w:rsidR="00DB2C16" w:rsidRPr="00A23740">
              <w:rPr>
                <w:szCs w:val="24"/>
              </w:rPr>
              <w:t xml:space="preserve">li arasında bir ayrım mevcut bulunmamaktadır. Buna bağlı olarak </w:t>
            </w:r>
            <w:r w:rsidR="004F2E3B" w:rsidRPr="00A23740">
              <w:rPr>
                <w:szCs w:val="24"/>
              </w:rPr>
              <w:t xml:space="preserve">2004 sayılı Kanunda </w:t>
            </w:r>
            <w:r w:rsidR="00DB2C16" w:rsidRPr="00A23740">
              <w:rPr>
                <w:szCs w:val="24"/>
              </w:rPr>
              <w:t>mevcut olan itirazın geçici olarak kaldırılması kavramı ile borçtan kurtulma davasına ilişkin düzenlemeler</w:t>
            </w:r>
            <w:r w:rsidR="004F2E3B" w:rsidRPr="00A23740">
              <w:rPr>
                <w:szCs w:val="24"/>
              </w:rPr>
              <w:t xml:space="preserve"> </w:t>
            </w:r>
            <w:r w:rsidR="00DB2C16" w:rsidRPr="00A23740">
              <w:rPr>
                <w:szCs w:val="24"/>
              </w:rPr>
              <w:t xml:space="preserve">de </w:t>
            </w:r>
            <w:r w:rsidR="004F2E3B" w:rsidRPr="00A23740">
              <w:rPr>
                <w:szCs w:val="24"/>
              </w:rPr>
              <w:t>K</w:t>
            </w:r>
            <w:r w:rsidR="00DB2C16" w:rsidRPr="00A23740">
              <w:rPr>
                <w:szCs w:val="24"/>
              </w:rPr>
              <w:t xml:space="preserve">anunun sisteminden çıkartılmış bulunmaktadır. Bu değişiklik yapılırken, </w:t>
            </w:r>
            <w:r w:rsidR="004F2E3B" w:rsidRPr="00A23740">
              <w:rPr>
                <w:szCs w:val="24"/>
              </w:rPr>
              <w:t>2004 sayılı K</w:t>
            </w:r>
            <w:r w:rsidR="00DB2C16" w:rsidRPr="00A23740">
              <w:rPr>
                <w:szCs w:val="24"/>
              </w:rPr>
              <w:t>anunda yer alan ve imzaya itiraz h</w:t>
            </w:r>
            <w:r w:rsidR="002F2BAA" w:rsidRPr="00A23740">
              <w:rPr>
                <w:szCs w:val="24"/>
              </w:rPr>
              <w:t>â</w:t>
            </w:r>
            <w:r w:rsidR="00DB2C16" w:rsidRPr="00A23740">
              <w:rPr>
                <w:szCs w:val="24"/>
              </w:rPr>
              <w:t>linde borçtan kurtulma davası açılmasına imk</w:t>
            </w:r>
            <w:r w:rsidR="00BE53A8" w:rsidRPr="00A23740">
              <w:rPr>
                <w:szCs w:val="24"/>
              </w:rPr>
              <w:t>â</w:t>
            </w:r>
            <w:r w:rsidR="00DB2C16" w:rsidRPr="00A23740">
              <w:rPr>
                <w:szCs w:val="24"/>
              </w:rPr>
              <w:t>n veren düzenlemenin, aynı imza incelemesinin, aynı usuller uygulanarak, lüzumsuz yere iki kez yapılması sonucunu doğurması şeklindeki sakınca gözetildiği gibi; itirazın bertaraf edilmesi için, “itirazın kaldırılması” yoluyla icra mahkemesine müracaat edilmesi hakkındaki düzenleme ilga edilerek bu konudaki görevi</w:t>
            </w:r>
            <w:r w:rsidR="004F2E3B" w:rsidRPr="00A23740">
              <w:rPr>
                <w:szCs w:val="24"/>
              </w:rPr>
              <w:t>n</w:t>
            </w:r>
            <w:r w:rsidR="00DB2C16" w:rsidRPr="00A23740">
              <w:rPr>
                <w:szCs w:val="24"/>
              </w:rPr>
              <w:t xml:space="preserve"> genel mahkemelere bırakılmış olması etkili olmuştur.</w:t>
            </w: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 w:val="center" w:pos="3543"/>
              </w:tabs>
              <w:autoSpaceDE w:val="0"/>
              <w:autoSpaceDN w:val="0"/>
              <w:adjustRightInd w:val="0"/>
              <w:rPr>
                <w:i/>
                <w:iCs/>
                <w:szCs w:val="24"/>
              </w:rPr>
            </w:pPr>
            <w:r w:rsidRPr="00A23740">
              <w:rPr>
                <w:rStyle w:val="KIRMIZIChar"/>
                <w:rFonts w:eastAsia="Calibri"/>
              </w:rPr>
              <w:lastRenderedPageBreak/>
              <w:t>1 –</w:t>
            </w:r>
            <w:r w:rsidRPr="00A23740">
              <w:rPr>
                <w:i/>
                <w:iCs/>
                <w:szCs w:val="24"/>
              </w:rPr>
              <w:t xml:space="preserve"> Ödeme emri </w:t>
            </w:r>
            <w:r w:rsidRPr="00A23740">
              <w:rPr>
                <w:rStyle w:val="KIRMIZIChar"/>
                <w:rFonts w:eastAsia="Calibri"/>
              </w:rPr>
              <w:t>ve muhtevası</w:t>
            </w:r>
            <w:r w:rsidRPr="00A23740">
              <w:rPr>
                <w:b/>
                <w:bCs/>
                <w:strike/>
                <w:color w:val="FF0000"/>
                <w:szCs w:val="24"/>
              </w:rPr>
              <w:t>:</w:t>
            </w:r>
          </w:p>
          <w:p w:rsidR="00042682" w:rsidRPr="00A23740" w:rsidRDefault="00155AF4" w:rsidP="009431FF">
            <w:pPr>
              <w:tabs>
                <w:tab w:val="left" w:pos="567"/>
                <w:tab w:val="center" w:pos="3543"/>
              </w:tabs>
              <w:autoSpaceDE w:val="0"/>
              <w:autoSpaceDN w:val="0"/>
              <w:adjustRightInd w:val="0"/>
              <w:rPr>
                <w:b/>
                <w:bCs/>
                <w:strike/>
                <w:color w:val="FF0000"/>
                <w:szCs w:val="24"/>
              </w:rPr>
            </w:pPr>
            <w:r w:rsidRPr="00A23740">
              <w:rPr>
                <w:rStyle w:val="KIRMIZIChar"/>
                <w:rFonts w:eastAsia="Calibri"/>
              </w:rPr>
              <w:t xml:space="preserve">Madde 60 – </w:t>
            </w:r>
            <w:r w:rsidR="00042682" w:rsidRPr="00A23740">
              <w:rPr>
                <w:rStyle w:val="KIRMIZIChar"/>
                <w:rFonts w:eastAsia="Calibri"/>
              </w:rPr>
              <w:t xml:space="preserve">(1) </w:t>
            </w:r>
            <w:r w:rsidR="00042682" w:rsidRPr="00A23740">
              <w:rPr>
                <w:b/>
                <w:bCs/>
                <w:strike/>
                <w:color w:val="FF0000"/>
                <w:szCs w:val="24"/>
              </w:rPr>
              <w:t>(Değişik: 18/2/1965 - 538/31 md.)</w:t>
            </w:r>
          </w:p>
          <w:p w:rsidR="00042682" w:rsidRPr="00A23740" w:rsidRDefault="00042682" w:rsidP="009431FF">
            <w:pPr>
              <w:tabs>
                <w:tab w:val="left" w:pos="567"/>
                <w:tab w:val="center" w:pos="3543"/>
              </w:tabs>
              <w:autoSpaceDE w:val="0"/>
              <w:autoSpaceDN w:val="0"/>
              <w:adjustRightInd w:val="0"/>
              <w:rPr>
                <w:b/>
                <w:bCs/>
                <w:szCs w:val="24"/>
              </w:rPr>
            </w:pPr>
            <w:r w:rsidRPr="00A23740">
              <w:rPr>
                <w:b/>
                <w:bCs/>
                <w:strike/>
                <w:color w:val="FF0000"/>
                <w:szCs w:val="24"/>
              </w:rPr>
              <w:t>(Değişik birinci fıkra: 2/7/2012-6352/10 md</w:t>
            </w:r>
            <w:r w:rsidRPr="00A23740">
              <w:rPr>
                <w:rStyle w:val="KIRMIZIChar"/>
                <w:rFonts w:eastAsia="Calibri"/>
              </w:rPr>
              <w:t>.) İcra müdürü</w:t>
            </w:r>
            <w:r w:rsidRPr="00A23740">
              <w:rPr>
                <w:szCs w:val="24"/>
              </w:rPr>
              <w:t xml:space="preserve"> takip talebinin bu Kanunda öngörülen şartları içerdiğine karar </w:t>
            </w:r>
            <w:r w:rsidRPr="00A23740">
              <w:rPr>
                <w:rStyle w:val="KIRMIZIChar"/>
                <w:rFonts w:eastAsia="Calibri"/>
              </w:rPr>
              <w:t>verirse</w:t>
            </w:r>
            <w:r w:rsidRPr="00A23740">
              <w:rPr>
                <w:szCs w:val="24"/>
              </w:rPr>
              <w:t xml:space="preserve"> ödeme emri düzenle</w:t>
            </w:r>
            <w:r w:rsidRPr="00A23740">
              <w:rPr>
                <w:b/>
                <w:bCs/>
                <w:strike/>
                <w:color w:val="FF0000"/>
                <w:szCs w:val="24"/>
              </w:rPr>
              <w:t>r</w:t>
            </w:r>
            <w:r w:rsidRPr="00A23740">
              <w:rPr>
                <w:szCs w:val="24"/>
              </w:rPr>
              <w:t>. Talebin kabul edilmemesi halinde verilen karar tutanağa yazılır</w:t>
            </w:r>
            <w:r w:rsidRPr="00A23740">
              <w:rPr>
                <w:b/>
                <w:bCs/>
                <w:strike/>
                <w:color w:val="FF0000"/>
                <w:szCs w:val="24"/>
              </w:rPr>
              <w:t>.</w:t>
            </w:r>
          </w:p>
          <w:p w:rsidR="0012242D" w:rsidRPr="00A23740" w:rsidRDefault="0012242D" w:rsidP="009431FF">
            <w:pPr>
              <w:tabs>
                <w:tab w:val="left" w:pos="567"/>
              </w:tabs>
              <w:autoSpaceDE w:val="0"/>
              <w:autoSpaceDN w:val="0"/>
              <w:adjustRightInd w:val="0"/>
              <w:rPr>
                <w:rStyle w:val="KIRMIZIChar"/>
                <w:rFonts w:eastAsia="Calibri"/>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(3)</w:t>
            </w:r>
            <w:r w:rsidRPr="00A23740">
              <w:rPr>
                <w:szCs w:val="24"/>
              </w:rPr>
              <w:t xml:space="preserve"> Ödeme emri </w:t>
            </w:r>
            <w:r w:rsidRPr="00A23740">
              <w:rPr>
                <w:rStyle w:val="KIRMIZIChar"/>
                <w:rFonts w:eastAsia="Calibri"/>
              </w:rPr>
              <w:t>iki</w:t>
            </w:r>
            <w:r w:rsidRPr="00A23740">
              <w:rPr>
                <w:szCs w:val="24"/>
              </w:rPr>
              <w:t xml:space="preserve"> nüsha olarak düzenlenir. Bir nüshası borçluya gönderilir, diğeri icra dosyasına konulur.</w:t>
            </w:r>
            <w:r w:rsidRPr="00A23740">
              <w:rPr>
                <w:rStyle w:val="KIRMIZIChar"/>
                <w:rFonts w:eastAsia="Calibri"/>
              </w:rPr>
              <w:t xml:space="preserve"> Alacaklı isterse kendisine ayrıca tasdikli bir nüsha verilir.</w:t>
            </w:r>
            <w:r w:rsidRPr="00A23740">
              <w:rPr>
                <w:szCs w:val="24"/>
              </w:rPr>
              <w:t xml:space="preserve"> Nüshalar arasında fark bulunduğu takdirde borçludaki </w:t>
            </w:r>
            <w:r w:rsidRPr="00A23740">
              <w:rPr>
                <w:rStyle w:val="karlan--Char"/>
                <w:rFonts w:eastAsia="Calibri"/>
              </w:rPr>
              <w:t>muteber</w:t>
            </w:r>
            <w:r w:rsidRPr="00A23740">
              <w:rPr>
                <w:szCs w:val="24"/>
              </w:rPr>
              <w:t xml:space="preserve"> sayılır.</w:t>
            </w:r>
          </w:p>
          <w:p w:rsidR="00155AF4" w:rsidRPr="00A23740" w:rsidRDefault="00155AF4" w:rsidP="009431FF">
            <w:pPr>
              <w:tabs>
                <w:tab w:val="left" w:pos="567"/>
              </w:tabs>
              <w:autoSpaceDE w:val="0"/>
              <w:autoSpaceDN w:val="0"/>
              <w:adjustRightInd w:val="0"/>
              <w:rPr>
                <w:szCs w:val="24"/>
              </w:rPr>
            </w:pPr>
          </w:p>
          <w:p w:rsidR="000E11D9" w:rsidRPr="00A23740" w:rsidRDefault="00551F85" w:rsidP="009431FF">
            <w:pPr>
              <w:tabs>
                <w:tab w:val="left" w:pos="567"/>
              </w:tabs>
              <w:autoSpaceDE w:val="0"/>
              <w:autoSpaceDN w:val="0"/>
              <w:adjustRightInd w:val="0"/>
              <w:rPr>
                <w:rStyle w:val="KIRMIZIChar"/>
                <w:rFonts w:eastAsia="Calibri"/>
              </w:rPr>
            </w:pPr>
            <w:r>
              <w:rPr>
                <w:rStyle w:val="KIRMIZIChar"/>
                <w:rFonts w:eastAsia="Calibri"/>
              </w:rPr>
              <w:t>M.60/</w:t>
            </w:r>
            <w:r w:rsidR="000E11D9" w:rsidRPr="00A23740">
              <w:rPr>
                <w:rStyle w:val="KIRMIZIChar"/>
                <w:rFonts w:eastAsia="Calibri"/>
              </w:rPr>
              <w:t>F3.C3</w:t>
            </w:r>
            <w:r>
              <w:rPr>
                <w:rStyle w:val="KIRMIZIChar"/>
                <w:rFonts w:eastAsia="Calibri"/>
              </w:rPr>
              <w:t>:</w:t>
            </w:r>
            <w:r w:rsidR="00155AF4" w:rsidRPr="00A23740">
              <w:rPr>
                <w:szCs w:val="24"/>
              </w:rPr>
              <w:t xml:space="preserve"> </w:t>
            </w:r>
            <w:r w:rsidR="000E11D9" w:rsidRPr="00A23740">
              <w:t>Alacaklı</w:t>
            </w:r>
            <w:r w:rsidR="000E11D9" w:rsidRPr="00A23740">
              <w:rPr>
                <w:rStyle w:val="KIRMIZIChar"/>
                <w:rFonts w:eastAsia="Calibri"/>
                <w:strike w:val="0"/>
              </w:rPr>
              <w:t xml:space="preserve"> </w:t>
            </w:r>
            <w:r w:rsidR="000E11D9" w:rsidRPr="00A23740">
              <w:rPr>
                <w:rStyle w:val="KIRMIZIChar"/>
                <w:rFonts w:eastAsia="Calibri"/>
              </w:rPr>
              <w:t>isterse</w:t>
            </w:r>
            <w:r w:rsidR="000E11D9" w:rsidRPr="00A23740">
              <w:rPr>
                <w:rStyle w:val="KIRMIZIChar"/>
                <w:rFonts w:eastAsia="Calibri"/>
                <w:strike w:val="0"/>
              </w:rPr>
              <w:t xml:space="preserve"> </w:t>
            </w:r>
            <w:r w:rsidR="000E11D9" w:rsidRPr="00A23740">
              <w:rPr>
                <w:rStyle w:val="KIRMIZIChar"/>
                <w:rFonts w:eastAsia="Calibri"/>
                <w:b w:val="0"/>
                <w:strike w:val="0"/>
                <w:color w:val="000000"/>
              </w:rPr>
              <w:t>kendisine</w:t>
            </w:r>
            <w:r w:rsidR="000E11D9" w:rsidRPr="00A23740">
              <w:rPr>
                <w:rStyle w:val="KIRMIZIChar"/>
                <w:rFonts w:eastAsia="Calibri"/>
                <w:strike w:val="0"/>
              </w:rPr>
              <w:t xml:space="preserve"> </w:t>
            </w:r>
            <w:r w:rsidR="000E11D9" w:rsidRPr="00A23740">
              <w:rPr>
                <w:rStyle w:val="KIRMIZIChar"/>
                <w:rFonts w:eastAsia="Calibri"/>
              </w:rPr>
              <w:t>ayrıca tasdikli bir nüsha verilir.</w:t>
            </w:r>
          </w:p>
          <w:p w:rsidR="00155AF4" w:rsidRPr="00A23740" w:rsidRDefault="000E11D9" w:rsidP="009431FF">
            <w:pPr>
              <w:tabs>
                <w:tab w:val="left" w:pos="567"/>
              </w:tabs>
              <w:autoSpaceDE w:val="0"/>
              <w:autoSpaceDN w:val="0"/>
              <w:adjustRightInd w:val="0"/>
              <w:rPr>
                <w:szCs w:val="24"/>
              </w:rPr>
            </w:pPr>
            <w:r w:rsidRPr="00A23740">
              <w:rPr>
                <w:rStyle w:val="KIRMIZIChar"/>
                <w:rFonts w:eastAsia="Calibri"/>
              </w:rPr>
              <w:t xml:space="preserve">(4) </w:t>
            </w:r>
            <w:r w:rsidR="00155AF4" w:rsidRPr="00A23740">
              <w:rPr>
                <w:rStyle w:val="KIRMIZIChar"/>
                <w:rFonts w:eastAsia="Calibri"/>
              </w:rPr>
              <w:t>Alacaklıya verilen</w:t>
            </w:r>
            <w:r w:rsidR="00155AF4" w:rsidRPr="00A23740">
              <w:rPr>
                <w:szCs w:val="24"/>
              </w:rPr>
              <w:t xml:space="preserve"> nüsha hiçbir </w:t>
            </w:r>
            <w:r w:rsidR="00155AF4" w:rsidRPr="00A23740">
              <w:rPr>
                <w:b/>
                <w:bCs/>
                <w:strike/>
                <w:color w:val="FF0000"/>
                <w:szCs w:val="24"/>
              </w:rPr>
              <w:t>resim</w:t>
            </w:r>
            <w:r w:rsidR="00155AF4" w:rsidRPr="00A23740">
              <w:rPr>
                <w:szCs w:val="24"/>
              </w:rPr>
              <w:t xml:space="preserve"> ve harca tabi değildir.</w:t>
            </w:r>
          </w:p>
          <w:p w:rsidR="00155AF4" w:rsidRPr="00A23740" w:rsidRDefault="00155AF4" w:rsidP="009431FF">
            <w:pPr>
              <w:tabs>
                <w:tab w:val="left" w:pos="567"/>
              </w:tabs>
              <w:autoSpaceDE w:val="0"/>
              <w:autoSpaceDN w:val="0"/>
              <w:adjustRightInd w:val="0"/>
              <w:rPr>
                <w:rStyle w:val="KIRMIZIChar"/>
                <w:rFonts w:eastAsia="Calibri"/>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Mavi"/>
            </w:pPr>
            <w:r w:rsidRPr="00551F85">
              <w:rPr>
                <w:color w:val="auto"/>
              </w:rPr>
              <w:t>Ödeme emri</w:t>
            </w:r>
            <w:r w:rsidRPr="00A23740">
              <w:t>nin düzenlenmesi</w:t>
            </w:r>
          </w:p>
          <w:p w:rsidR="000E11D9" w:rsidRPr="00A23740" w:rsidRDefault="00155AF4" w:rsidP="009431FF">
            <w:pPr>
              <w:autoSpaceDE w:val="0"/>
              <w:autoSpaceDN w:val="0"/>
              <w:adjustRightInd w:val="0"/>
              <w:rPr>
                <w:b/>
                <w:bCs/>
                <w:color w:val="0000FF"/>
                <w:szCs w:val="24"/>
                <w:lang w:val="x-none" w:eastAsia="x-none"/>
              </w:rPr>
            </w:pPr>
            <w:r w:rsidRPr="00A23740">
              <w:rPr>
                <w:rStyle w:val="YELChar"/>
                <w:rFonts w:eastAsia="Calibri"/>
                <w:color w:val="0000FF"/>
                <w:lang w:eastAsia="x-none"/>
              </w:rPr>
              <w:t>MADDE 89-</w:t>
            </w:r>
            <w:r w:rsidRPr="00A23740">
              <w:rPr>
                <w:rStyle w:val="YELChar"/>
                <w:rFonts w:eastAsia="Calibri"/>
                <w:b w:val="0"/>
                <w:color w:val="0000FF"/>
                <w:lang w:eastAsia="x-none"/>
              </w:rPr>
              <w:t xml:space="preserve"> </w:t>
            </w:r>
            <w:r w:rsidR="00042682" w:rsidRPr="00A23740">
              <w:rPr>
                <w:rStyle w:val="MaviChar"/>
              </w:rPr>
              <w:t>(1)</w:t>
            </w:r>
            <w:r w:rsidR="00042682" w:rsidRPr="00A23740">
              <w:rPr>
                <w:b/>
                <w:bCs/>
                <w:color w:val="0000FF"/>
                <w:szCs w:val="24"/>
              </w:rPr>
              <w:t xml:space="preserve"> İcra </w:t>
            </w:r>
            <w:r w:rsidR="00CC2465" w:rsidRPr="006D2E3C">
              <w:rPr>
                <w:b/>
                <w:bCs/>
                <w:color w:val="0000FF"/>
                <w:szCs w:val="24"/>
              </w:rPr>
              <w:t>ve</w:t>
            </w:r>
            <w:r w:rsidR="00CC2465" w:rsidRPr="00A23740">
              <w:rPr>
                <w:b/>
                <w:bCs/>
                <w:color w:val="538135"/>
                <w:szCs w:val="24"/>
              </w:rPr>
              <w:t xml:space="preserve"> </w:t>
            </w:r>
            <w:r w:rsidR="00CC2465" w:rsidRPr="006D2E3C">
              <w:rPr>
                <w:b/>
                <w:bCs/>
                <w:color w:val="0000FF"/>
                <w:szCs w:val="24"/>
              </w:rPr>
              <w:t>iflas</w:t>
            </w:r>
            <w:r w:rsidR="00CC2465" w:rsidRPr="00A23740">
              <w:rPr>
                <w:b/>
                <w:bCs/>
                <w:color w:val="538135"/>
                <w:szCs w:val="24"/>
              </w:rPr>
              <w:t xml:space="preserve"> </w:t>
            </w:r>
            <w:r w:rsidR="00042682" w:rsidRPr="00A23740">
              <w:rPr>
                <w:b/>
                <w:bCs/>
                <w:color w:val="0000FF"/>
                <w:szCs w:val="24"/>
              </w:rPr>
              <w:t xml:space="preserve">dairesi, </w:t>
            </w:r>
            <w:r w:rsidR="00042682" w:rsidRPr="00A23740">
              <w:rPr>
                <w:szCs w:val="24"/>
              </w:rPr>
              <w:t xml:space="preserve">takip talebinin bu Kanunda öngörülen şartları içerdiğine karar </w:t>
            </w:r>
            <w:r w:rsidR="00042682" w:rsidRPr="00A23740">
              <w:rPr>
                <w:rStyle w:val="MaviChar"/>
              </w:rPr>
              <w:t>verirse,</w:t>
            </w:r>
            <w:r w:rsidR="00042682" w:rsidRPr="00A23740">
              <w:rPr>
                <w:szCs w:val="24"/>
              </w:rPr>
              <w:t xml:space="preserve"> ödeme emri düzenler.</w:t>
            </w:r>
            <w:r w:rsidR="00042682" w:rsidRPr="00A23740">
              <w:rPr>
                <w:b/>
                <w:bCs/>
                <w:color w:val="FF0000"/>
                <w:szCs w:val="24"/>
              </w:rPr>
              <w:t xml:space="preserve"> </w:t>
            </w:r>
            <w:r w:rsidR="00042682" w:rsidRPr="00A23740">
              <w:rPr>
                <w:szCs w:val="24"/>
              </w:rPr>
              <w:t>Talebin kabul edilmemesi h</w:t>
            </w:r>
            <w:r w:rsidR="002F2BAA" w:rsidRPr="00A23740">
              <w:rPr>
                <w:szCs w:val="24"/>
              </w:rPr>
              <w:t>â</w:t>
            </w:r>
            <w:r w:rsidR="00042682" w:rsidRPr="00A23740">
              <w:rPr>
                <w:szCs w:val="24"/>
              </w:rPr>
              <w:t>linde verilen karar</w:t>
            </w:r>
            <w:r w:rsidR="00042682" w:rsidRPr="00A23740">
              <w:rPr>
                <w:rStyle w:val="MaviChar"/>
              </w:rPr>
              <w:t>,</w:t>
            </w:r>
            <w:r w:rsidR="00042682" w:rsidRPr="00A23740">
              <w:rPr>
                <w:szCs w:val="24"/>
              </w:rPr>
              <w:t xml:space="preserve"> tutanağa yazılır </w:t>
            </w:r>
            <w:r w:rsidR="00042682" w:rsidRPr="00A23740">
              <w:rPr>
                <w:rStyle w:val="MaviChar"/>
              </w:rPr>
              <w:t>ve derh</w:t>
            </w:r>
            <w:r w:rsidR="00DF22A1" w:rsidRPr="00A23740">
              <w:rPr>
                <w:rStyle w:val="MaviChar"/>
                <w:lang w:val="tr-TR"/>
              </w:rPr>
              <w:t>â</w:t>
            </w:r>
            <w:r w:rsidR="00042682" w:rsidRPr="00A23740">
              <w:rPr>
                <w:rStyle w:val="MaviChar"/>
              </w:rPr>
              <w:t xml:space="preserve">l alacaklıya tebliğ edilir. Bu işlemler, </w:t>
            </w:r>
            <w:r w:rsidR="00CC2465" w:rsidRPr="006D2E3C">
              <w:rPr>
                <w:rStyle w:val="MaviChar"/>
              </w:rPr>
              <w:t>takip talebinden</w:t>
            </w:r>
            <w:r w:rsidR="00CC2465" w:rsidRPr="00A23740">
              <w:rPr>
                <w:rStyle w:val="MaviChar"/>
                <w:color w:val="538135"/>
              </w:rPr>
              <w:t xml:space="preserve"> </w:t>
            </w:r>
            <w:r w:rsidR="00CC2465" w:rsidRPr="006D2E3C">
              <w:rPr>
                <w:rStyle w:val="MaviChar"/>
              </w:rPr>
              <w:t>itibaren</w:t>
            </w:r>
            <w:r w:rsidR="00CC2465" w:rsidRPr="00A23740">
              <w:rPr>
                <w:rStyle w:val="MaviChar"/>
                <w:color w:val="538135"/>
              </w:rPr>
              <w:t xml:space="preserve"> </w:t>
            </w:r>
            <w:r w:rsidR="00042682" w:rsidRPr="00A23740">
              <w:rPr>
                <w:rStyle w:val="MaviChar"/>
              </w:rPr>
              <w:t>en geç üç gün içinde yerine getirilir.</w:t>
            </w:r>
          </w:p>
          <w:p w:rsidR="00042682" w:rsidRPr="00A23740" w:rsidRDefault="00042682" w:rsidP="009431FF">
            <w:pPr>
              <w:pStyle w:val="Mavi"/>
              <w:rPr>
                <w:rStyle w:val="YELChar"/>
                <w:rFonts w:eastAsia="Calibri"/>
                <w:b/>
                <w:color w:val="0000FF"/>
                <w:lang w:eastAsia="x-none"/>
              </w:rPr>
            </w:pPr>
          </w:p>
          <w:p w:rsidR="00155AF4" w:rsidRPr="00A23740" w:rsidRDefault="00042682" w:rsidP="009431FF">
            <w:pPr>
              <w:pStyle w:val="Mavi"/>
            </w:pPr>
            <w:r w:rsidRPr="00A23740">
              <w:rPr>
                <w:rStyle w:val="YELChar"/>
                <w:rFonts w:eastAsia="Calibri"/>
                <w:b/>
                <w:color w:val="0000FF"/>
                <w:lang w:eastAsia="x-none"/>
              </w:rPr>
              <w:t>(2</w:t>
            </w:r>
            <w:r w:rsidR="00155AF4" w:rsidRPr="00A23740">
              <w:rPr>
                <w:rStyle w:val="YELChar"/>
                <w:rFonts w:eastAsia="Calibri"/>
                <w:b/>
                <w:color w:val="0000FF"/>
                <w:lang w:eastAsia="x-none"/>
              </w:rPr>
              <w:t>)</w:t>
            </w:r>
            <w:r w:rsidR="00155AF4" w:rsidRPr="00A23740">
              <w:t xml:space="preserve"> </w:t>
            </w:r>
            <w:r w:rsidR="00155AF4" w:rsidRPr="00A23740">
              <w:rPr>
                <w:b w:val="0"/>
                <w:bCs w:val="0"/>
                <w:color w:val="auto"/>
                <w:lang w:val="tr-TR" w:eastAsia="en-US"/>
              </w:rPr>
              <w:t>Ödeme emri</w:t>
            </w:r>
            <w:r w:rsidR="00E550F2" w:rsidRPr="00A23740">
              <w:rPr>
                <w:b w:val="0"/>
                <w:bCs w:val="0"/>
                <w:color w:val="auto"/>
                <w:lang w:val="tr-TR" w:eastAsia="en-US"/>
              </w:rPr>
              <w:t xml:space="preserve"> </w:t>
            </w:r>
            <w:r w:rsidR="00E550F2" w:rsidRPr="00A23740">
              <w:t>borçlu sayısından bir fazla</w:t>
            </w:r>
            <w:r w:rsidR="00155AF4" w:rsidRPr="00A23740">
              <w:rPr>
                <w:b w:val="0"/>
                <w:bCs w:val="0"/>
                <w:color w:val="auto"/>
                <w:lang w:val="tr-TR" w:eastAsia="en-US"/>
              </w:rPr>
              <w:t xml:space="preserve"> nüsha olarak düzenlenir. Bir nüshası borçluya gönderilir, diğeri icra dosyasına konulur. Nüshalar arasında fark bulunduğu takdirde borçludaki </w:t>
            </w:r>
            <w:r w:rsidR="00155AF4" w:rsidRPr="00A23740">
              <w:t>nüsha</w:t>
            </w:r>
            <w:r w:rsidR="00155AF4" w:rsidRPr="00A23740">
              <w:rPr>
                <w:b w:val="0"/>
                <w:bCs w:val="0"/>
                <w:color w:val="auto"/>
                <w:lang w:val="tr-TR" w:eastAsia="en-US"/>
              </w:rPr>
              <w:t xml:space="preserve"> </w:t>
            </w:r>
            <w:r w:rsidR="00155AF4" w:rsidRPr="00A23740">
              <w:rPr>
                <w:lang w:val="tr-TR" w:eastAsia="en-US"/>
              </w:rPr>
              <w:t>geçerli</w:t>
            </w:r>
            <w:r w:rsidR="00155AF4" w:rsidRPr="00A23740">
              <w:rPr>
                <w:b w:val="0"/>
                <w:bCs w:val="0"/>
                <w:color w:val="auto"/>
                <w:lang w:val="tr-TR" w:eastAsia="en-US"/>
              </w:rPr>
              <w:t xml:space="preserve"> sayılır.</w:t>
            </w:r>
          </w:p>
          <w:p w:rsidR="000E11D9" w:rsidRPr="00A23740" w:rsidRDefault="000E11D9" w:rsidP="009431FF">
            <w:pPr>
              <w:pStyle w:val="Mavi"/>
              <w:rPr>
                <w:lang w:val="tr-TR"/>
              </w:rPr>
            </w:pPr>
          </w:p>
          <w:p w:rsidR="0012242D" w:rsidRPr="00A23740" w:rsidRDefault="0012242D" w:rsidP="009431FF">
            <w:pPr>
              <w:tabs>
                <w:tab w:val="left" w:pos="567"/>
              </w:tabs>
              <w:autoSpaceDE w:val="0"/>
              <w:autoSpaceDN w:val="0"/>
              <w:adjustRightInd w:val="0"/>
              <w:rPr>
                <w:rStyle w:val="MaviChar"/>
              </w:rPr>
            </w:pPr>
          </w:p>
          <w:p w:rsidR="00155AF4" w:rsidRPr="00A23740" w:rsidRDefault="00042682" w:rsidP="009431FF">
            <w:pPr>
              <w:tabs>
                <w:tab w:val="left" w:pos="567"/>
              </w:tabs>
              <w:autoSpaceDE w:val="0"/>
              <w:autoSpaceDN w:val="0"/>
              <w:adjustRightInd w:val="0"/>
              <w:rPr>
                <w:szCs w:val="24"/>
              </w:rPr>
            </w:pPr>
            <w:r w:rsidRPr="00A23740">
              <w:rPr>
                <w:rStyle w:val="MaviChar"/>
              </w:rPr>
              <w:t>(3</w:t>
            </w:r>
            <w:r w:rsidR="00155AF4" w:rsidRPr="00A23740">
              <w:rPr>
                <w:rStyle w:val="MaviChar"/>
              </w:rPr>
              <w:t>)</w:t>
            </w:r>
            <w:r w:rsidR="00155AF4" w:rsidRPr="00A23740">
              <w:rPr>
                <w:szCs w:val="24"/>
              </w:rPr>
              <w:t xml:space="preserve"> </w:t>
            </w:r>
            <w:r w:rsidR="00155AF4" w:rsidRPr="00A23740">
              <w:t>Alacaklı</w:t>
            </w:r>
            <w:r w:rsidR="00155AF4" w:rsidRPr="00A23740">
              <w:rPr>
                <w:szCs w:val="24"/>
              </w:rPr>
              <w:t xml:space="preserve"> </w:t>
            </w:r>
            <w:r w:rsidR="000E11D9" w:rsidRPr="00A23740">
              <w:rPr>
                <w:rStyle w:val="MaviChar"/>
              </w:rPr>
              <w:t>talep ederse</w:t>
            </w:r>
            <w:r w:rsidR="00CC2465" w:rsidRPr="00551F85">
              <w:rPr>
                <w:rStyle w:val="Balk1Char"/>
                <w:rFonts w:eastAsia="Calibri"/>
              </w:rPr>
              <w:t>,</w:t>
            </w:r>
            <w:r w:rsidR="000E11D9" w:rsidRPr="00A23740">
              <w:rPr>
                <w:szCs w:val="24"/>
              </w:rPr>
              <w:t xml:space="preserve"> </w:t>
            </w:r>
            <w:r w:rsidR="00155AF4" w:rsidRPr="00A23740">
              <w:rPr>
                <w:szCs w:val="24"/>
              </w:rPr>
              <w:t>kendisine</w:t>
            </w:r>
            <w:r w:rsidR="000E11D9" w:rsidRPr="00A23740">
              <w:rPr>
                <w:szCs w:val="24"/>
              </w:rPr>
              <w:t xml:space="preserve"> ödeme emrinin</w:t>
            </w:r>
            <w:r w:rsidR="00155AF4" w:rsidRPr="00A23740">
              <w:rPr>
                <w:szCs w:val="24"/>
              </w:rPr>
              <w:t xml:space="preserve"> </w:t>
            </w:r>
            <w:r w:rsidR="00155AF4" w:rsidRPr="00A23740">
              <w:rPr>
                <w:rStyle w:val="MaviChar"/>
              </w:rPr>
              <w:t>onaylı</w:t>
            </w:r>
            <w:r w:rsidR="00155AF4" w:rsidRPr="00A23740">
              <w:rPr>
                <w:szCs w:val="24"/>
              </w:rPr>
              <w:t xml:space="preserve"> bir nüsha</w:t>
            </w:r>
            <w:r w:rsidR="000E11D9" w:rsidRPr="00A23740">
              <w:rPr>
                <w:szCs w:val="24"/>
              </w:rPr>
              <w:t>sı</w:t>
            </w:r>
            <w:r w:rsidR="00155AF4" w:rsidRPr="00A23740">
              <w:rPr>
                <w:szCs w:val="24"/>
              </w:rPr>
              <w:t xml:space="preserve"> verilir.</w:t>
            </w:r>
            <w:r w:rsidR="000E11D9" w:rsidRPr="00A23740">
              <w:rPr>
                <w:szCs w:val="24"/>
              </w:rPr>
              <w:t xml:space="preserve"> </w:t>
            </w:r>
            <w:r w:rsidR="000E11D9" w:rsidRPr="00A23740">
              <w:rPr>
                <w:rStyle w:val="MaviChar"/>
              </w:rPr>
              <w:t>Bu</w:t>
            </w:r>
            <w:r w:rsidR="000E11D9" w:rsidRPr="00A23740">
              <w:rPr>
                <w:szCs w:val="24"/>
              </w:rPr>
              <w:t xml:space="preserve"> nüsha</w:t>
            </w:r>
            <w:r w:rsidR="000E11D9" w:rsidRPr="00A23740">
              <w:rPr>
                <w:rStyle w:val="MaviChar"/>
              </w:rPr>
              <w:t>,</w:t>
            </w:r>
            <w:r w:rsidR="00155AF4" w:rsidRPr="00A23740">
              <w:rPr>
                <w:szCs w:val="24"/>
              </w:rPr>
              <w:t xml:space="preserve"> hiçbir </w:t>
            </w:r>
            <w:r w:rsidR="00155AF4" w:rsidRPr="00A23740">
              <w:rPr>
                <w:rStyle w:val="MaviChar"/>
                <w:lang w:val="tr-TR"/>
              </w:rPr>
              <w:t>gider</w:t>
            </w:r>
            <w:r w:rsidR="00155AF4" w:rsidRPr="00A23740">
              <w:rPr>
                <w:szCs w:val="24"/>
              </w:rPr>
              <w:t xml:space="preserve"> ve harca tabi değildir.</w:t>
            </w:r>
          </w:p>
          <w:p w:rsidR="00155AF4" w:rsidRPr="00A23740" w:rsidRDefault="00155AF4" w:rsidP="009431FF">
            <w:pPr>
              <w:tabs>
                <w:tab w:val="left" w:pos="567"/>
              </w:tabs>
              <w:autoSpaceDE w:val="0"/>
              <w:autoSpaceDN w:val="0"/>
              <w:adjustRightInd w:val="0"/>
              <w:rPr>
                <w:b/>
                <w:bCs/>
                <w:szCs w:val="24"/>
              </w:rPr>
            </w:pPr>
          </w:p>
        </w:tc>
      </w:tr>
      <w:tr w:rsidR="00155AF4" w:rsidRPr="00A23740" w:rsidTr="009431FF">
        <w:tc>
          <w:tcPr>
            <w:tcW w:w="5000" w:type="pct"/>
            <w:gridSpan w:val="2"/>
            <w:shd w:val="clear" w:color="auto" w:fill="DEEAF6"/>
          </w:tcPr>
          <w:p w:rsidR="00E550F2" w:rsidRPr="00A23740" w:rsidRDefault="00E550F2" w:rsidP="009431FF">
            <w:pPr>
              <w:pStyle w:val="Mavi"/>
              <w:jc w:val="center"/>
              <w:rPr>
                <w:color w:val="auto"/>
                <w:lang w:val="tr-TR"/>
              </w:rPr>
            </w:pPr>
          </w:p>
          <w:p w:rsidR="00DB2C16" w:rsidRPr="00A23740" w:rsidRDefault="00E550F2" w:rsidP="009431FF">
            <w:pPr>
              <w:pStyle w:val="Mavi"/>
              <w:ind w:firstLine="709"/>
              <w:rPr>
                <w:b w:val="0"/>
                <w:color w:val="auto"/>
                <w:lang w:val="tr-TR"/>
              </w:rPr>
            </w:pPr>
            <w:r w:rsidRPr="00A23740">
              <w:rPr>
                <w:color w:val="auto"/>
                <w:lang w:val="tr-TR"/>
              </w:rPr>
              <w:t>MADDE 89</w:t>
            </w:r>
            <w:r w:rsidR="00155AF4" w:rsidRPr="00A23740">
              <w:rPr>
                <w:color w:val="auto"/>
                <w:lang w:val="tr-TR"/>
              </w:rPr>
              <w:t xml:space="preserve">- </w:t>
            </w:r>
            <w:r w:rsidRPr="00A23740">
              <w:rPr>
                <w:b w:val="0"/>
                <w:color w:val="auto"/>
                <w:lang w:val="tr-TR"/>
              </w:rPr>
              <w:t>Maddeyle, ilamsız takiplerde ödeme emri düzenlenmektedir.</w:t>
            </w:r>
            <w:r w:rsidR="00DB2C16" w:rsidRPr="00A23740">
              <w:rPr>
                <w:b w:val="0"/>
                <w:color w:val="auto"/>
                <w:lang w:val="tr-TR"/>
              </w:rPr>
              <w:t xml:space="preserve">Taslağın 89 uncu maddesi “Ödeme emrinin düzenlenmesi” başlığını taşımakta olup </w:t>
            </w:r>
            <w:r w:rsidRPr="00A23740">
              <w:rPr>
                <w:b w:val="0"/>
                <w:color w:val="auto"/>
                <w:lang w:val="tr-TR"/>
              </w:rPr>
              <w:t>2004 sayılı Kanunun</w:t>
            </w:r>
            <w:r w:rsidR="00DB2C16" w:rsidRPr="00A23740">
              <w:rPr>
                <w:b w:val="0"/>
                <w:color w:val="auto"/>
                <w:lang w:val="tr-TR"/>
              </w:rPr>
              <w:t xml:space="preserve"> 60 </w:t>
            </w:r>
            <w:r w:rsidRPr="00A23740">
              <w:rPr>
                <w:b w:val="0"/>
                <w:color w:val="auto"/>
                <w:lang w:val="tr-TR"/>
              </w:rPr>
              <w:t>ı</w:t>
            </w:r>
            <w:r w:rsidR="00DB2C16" w:rsidRPr="00A23740">
              <w:rPr>
                <w:b w:val="0"/>
                <w:color w:val="auto"/>
                <w:lang w:val="tr-TR"/>
              </w:rPr>
              <w:t xml:space="preserve">ncı maddesine karşılık gelmektedir. </w:t>
            </w:r>
          </w:p>
          <w:p w:rsidR="00DB2C16" w:rsidRPr="00A23740" w:rsidRDefault="00E550F2" w:rsidP="009431FF">
            <w:pPr>
              <w:pStyle w:val="Mavi"/>
              <w:ind w:firstLine="709"/>
              <w:rPr>
                <w:b w:val="0"/>
                <w:color w:val="auto"/>
                <w:lang w:val="tr-TR"/>
              </w:rPr>
            </w:pPr>
            <w:r w:rsidRPr="00A23740">
              <w:rPr>
                <w:b w:val="0"/>
                <w:color w:val="auto"/>
                <w:lang w:val="tr-TR"/>
              </w:rPr>
              <w:t xml:space="preserve">Maddenin birinci </w:t>
            </w:r>
            <w:r w:rsidR="00DB2C16" w:rsidRPr="00A23740">
              <w:rPr>
                <w:b w:val="0"/>
                <w:color w:val="auto"/>
                <w:lang w:val="tr-TR"/>
              </w:rPr>
              <w:t>fıkrasında</w:t>
            </w:r>
            <w:r w:rsidR="00766163" w:rsidRPr="00A23740">
              <w:rPr>
                <w:b w:val="0"/>
                <w:color w:val="auto"/>
                <w:lang w:val="tr-TR"/>
              </w:rPr>
              <w:t>,</w:t>
            </w:r>
            <w:r w:rsidR="00DB2C16" w:rsidRPr="00A23740">
              <w:rPr>
                <w:b w:val="0"/>
                <w:color w:val="auto"/>
                <w:lang w:val="tr-TR"/>
              </w:rPr>
              <w:t xml:space="preserve"> icra </w:t>
            </w:r>
            <w:r w:rsidR="005F30CB" w:rsidRPr="006D2E3C">
              <w:rPr>
                <w:b w:val="0"/>
                <w:color w:val="auto"/>
                <w:lang w:val="tr-TR"/>
              </w:rPr>
              <w:t>ve iflas</w:t>
            </w:r>
            <w:r w:rsidR="005F30CB" w:rsidRPr="00A23740">
              <w:rPr>
                <w:b w:val="0"/>
                <w:color w:val="auto"/>
                <w:lang w:val="tr-TR"/>
              </w:rPr>
              <w:t xml:space="preserve"> </w:t>
            </w:r>
            <w:r w:rsidR="00DB2C16" w:rsidRPr="00A23740">
              <w:rPr>
                <w:b w:val="0"/>
                <w:color w:val="auto"/>
                <w:lang w:val="tr-TR"/>
              </w:rPr>
              <w:t>dairesinin takip talebinin bu Kanunda öngörülen şartları içerdiğine karar verdikten sonra ödeme emri düzenleyeceği; talebin kabul edilmemesi h</w:t>
            </w:r>
            <w:r w:rsidR="002F2BAA" w:rsidRPr="00A23740">
              <w:rPr>
                <w:b w:val="0"/>
                <w:color w:val="auto"/>
                <w:lang w:val="tr-TR"/>
              </w:rPr>
              <w:t>â</w:t>
            </w:r>
            <w:r w:rsidR="00DB2C16" w:rsidRPr="00A23740">
              <w:rPr>
                <w:b w:val="0"/>
                <w:color w:val="auto"/>
                <w:lang w:val="tr-TR"/>
              </w:rPr>
              <w:t xml:space="preserve">linde ise verilen kararın, </w:t>
            </w:r>
            <w:r w:rsidR="004F2E3B" w:rsidRPr="00A23740">
              <w:rPr>
                <w:b w:val="0"/>
                <w:color w:val="auto"/>
                <w:lang w:val="tr-TR"/>
              </w:rPr>
              <w:t xml:space="preserve">(tabii, gerekçesiyle birikte) </w:t>
            </w:r>
            <w:r w:rsidR="00DB2C16" w:rsidRPr="00A23740">
              <w:rPr>
                <w:b w:val="0"/>
                <w:color w:val="auto"/>
                <w:lang w:val="tr-TR"/>
              </w:rPr>
              <w:t>tutanağa yazılacağı ve derh</w:t>
            </w:r>
            <w:r w:rsidR="00DF22A1" w:rsidRPr="00A23740">
              <w:rPr>
                <w:b w:val="0"/>
                <w:color w:val="auto"/>
                <w:lang w:val="tr-TR"/>
              </w:rPr>
              <w:t>â</w:t>
            </w:r>
            <w:r w:rsidR="00DB2C16" w:rsidRPr="00A23740">
              <w:rPr>
                <w:b w:val="0"/>
                <w:color w:val="auto"/>
                <w:lang w:val="tr-TR"/>
              </w:rPr>
              <w:t>l alacaklıya tebliğ edileceği; bu işlemlerin,</w:t>
            </w:r>
            <w:r w:rsidR="005F30CB" w:rsidRPr="00A23740">
              <w:rPr>
                <w:b w:val="0"/>
                <w:color w:val="auto"/>
                <w:lang w:val="tr-TR"/>
              </w:rPr>
              <w:t xml:space="preserve"> </w:t>
            </w:r>
            <w:r w:rsidR="005F30CB" w:rsidRPr="006D2E3C">
              <w:rPr>
                <w:b w:val="0"/>
                <w:color w:val="auto"/>
                <w:lang w:val="tr-TR"/>
              </w:rPr>
              <w:t>takip talebinden itibaren</w:t>
            </w:r>
            <w:r w:rsidR="00DB2C16" w:rsidRPr="006D2E3C">
              <w:rPr>
                <w:b w:val="0"/>
                <w:color w:val="auto"/>
                <w:lang w:val="tr-TR"/>
              </w:rPr>
              <w:t xml:space="preserve"> </w:t>
            </w:r>
            <w:r w:rsidR="00DB2C16" w:rsidRPr="00A23740">
              <w:rPr>
                <w:b w:val="0"/>
                <w:color w:val="auto"/>
                <w:lang w:val="tr-TR"/>
              </w:rPr>
              <w:t xml:space="preserve">en geç üç gün içinde yerine getirileceği hususları hükme bağlanmıştır. </w:t>
            </w:r>
          </w:p>
          <w:p w:rsidR="00DB2C16" w:rsidRPr="00A23740" w:rsidRDefault="0011712E" w:rsidP="009431FF">
            <w:pPr>
              <w:pStyle w:val="Mavi"/>
              <w:ind w:firstLine="709"/>
              <w:rPr>
                <w:b w:val="0"/>
                <w:color w:val="auto"/>
                <w:lang w:val="tr-TR"/>
              </w:rPr>
            </w:pPr>
            <w:r w:rsidRPr="00A23740">
              <w:rPr>
                <w:b w:val="0"/>
                <w:color w:val="auto"/>
                <w:lang w:val="tr-TR"/>
              </w:rPr>
              <w:t>Uygulamada</w:t>
            </w:r>
            <w:r w:rsidR="00DB2C16" w:rsidRPr="00A23740">
              <w:rPr>
                <w:b w:val="0"/>
                <w:color w:val="auto"/>
                <w:lang w:val="tr-TR"/>
              </w:rPr>
              <w:t xml:space="preserve">, kendisi hakkında bir icra takibi başlatıldığını, ödeme emrini tebellüğ etmeden, başka surette öğrenmiş olan borçluların itiraz yoluna başvurdukları </w:t>
            </w:r>
            <w:r w:rsidRPr="00A23740">
              <w:rPr>
                <w:b w:val="0"/>
                <w:color w:val="auto"/>
                <w:lang w:val="tr-TR"/>
              </w:rPr>
              <w:t>görülebilmektedir</w:t>
            </w:r>
            <w:r w:rsidR="00DB2C16" w:rsidRPr="00A23740">
              <w:rPr>
                <w:b w:val="0"/>
                <w:color w:val="auto"/>
                <w:lang w:val="tr-TR"/>
              </w:rPr>
              <w:t xml:space="preserve">. Böyle bir durumda takibe yapılan itiraza ne gibi sonuçlar bağlanması gerektiği ve bu sonuçların madde metninde yer almasının gerekli olup olmadığı Bilim Komisyonu çalışmaları sırasında tartışılmış; bu konunun yargı organının takdirine bırakılmasının doğru </w:t>
            </w:r>
            <w:r w:rsidR="008840C4" w:rsidRPr="00A23740">
              <w:rPr>
                <w:b w:val="0"/>
                <w:color w:val="auto"/>
                <w:lang w:val="tr-TR"/>
              </w:rPr>
              <w:t>olacağı neticesine varılmıştır.</w:t>
            </w:r>
          </w:p>
          <w:p w:rsidR="00DB2C16" w:rsidRPr="00A23740" w:rsidRDefault="00E550F2" w:rsidP="009431FF">
            <w:pPr>
              <w:pStyle w:val="Mavi"/>
              <w:ind w:firstLine="709"/>
              <w:rPr>
                <w:b w:val="0"/>
                <w:color w:val="auto"/>
                <w:lang w:val="tr-TR"/>
              </w:rPr>
            </w:pPr>
            <w:r w:rsidRPr="00A23740">
              <w:rPr>
                <w:b w:val="0"/>
                <w:color w:val="auto"/>
                <w:lang w:val="tr-TR"/>
              </w:rPr>
              <w:t>Maddenin ikinci</w:t>
            </w:r>
            <w:r w:rsidR="00DB2C16" w:rsidRPr="00A23740">
              <w:rPr>
                <w:b w:val="0"/>
                <w:color w:val="auto"/>
                <w:lang w:val="tr-TR"/>
              </w:rPr>
              <w:t xml:space="preserve"> fıkrasında</w:t>
            </w:r>
            <w:r w:rsidR="00766163" w:rsidRPr="00A23740">
              <w:rPr>
                <w:b w:val="0"/>
                <w:color w:val="auto"/>
                <w:lang w:val="tr-TR"/>
              </w:rPr>
              <w:t>,</w:t>
            </w:r>
            <w:r w:rsidR="00DB2C16" w:rsidRPr="00A23740">
              <w:rPr>
                <w:b w:val="0"/>
                <w:color w:val="auto"/>
                <w:lang w:val="tr-TR"/>
              </w:rPr>
              <w:t xml:space="preserve"> ise ödeme emrinin iki nüsha olarak düzenleneceği, bir nüshasının borçluya gönderileceği, diğerinin icra dosyasına konulacağı ve nüshalar arasında fark bulunması h</w:t>
            </w:r>
            <w:r w:rsidR="002F2BAA" w:rsidRPr="00A23740">
              <w:rPr>
                <w:b w:val="0"/>
                <w:color w:val="auto"/>
                <w:lang w:val="tr-TR"/>
              </w:rPr>
              <w:t>â</w:t>
            </w:r>
            <w:r w:rsidR="00DB2C16" w:rsidRPr="00A23740">
              <w:rPr>
                <w:b w:val="0"/>
                <w:color w:val="auto"/>
                <w:lang w:val="tr-TR"/>
              </w:rPr>
              <w:t>linde borçludaki nüshanın geçerli sayılacağı</w:t>
            </w:r>
            <w:r w:rsidR="0011712E" w:rsidRPr="00A23740">
              <w:rPr>
                <w:b w:val="0"/>
                <w:color w:val="auto"/>
                <w:lang w:val="tr-TR"/>
              </w:rPr>
              <w:t xml:space="preserve"> açıklanmıştır</w:t>
            </w:r>
            <w:r w:rsidR="00DB2C16" w:rsidRPr="00A23740">
              <w:rPr>
                <w:b w:val="0"/>
                <w:color w:val="auto"/>
                <w:lang w:val="tr-TR"/>
              </w:rPr>
              <w:t>.</w:t>
            </w:r>
          </w:p>
          <w:p w:rsidR="00E91409" w:rsidRDefault="00E550F2" w:rsidP="009431FF">
            <w:pPr>
              <w:pStyle w:val="Mavi"/>
              <w:ind w:firstLine="709"/>
              <w:rPr>
                <w:b w:val="0"/>
                <w:color w:val="auto"/>
                <w:lang w:val="tr-TR"/>
              </w:rPr>
            </w:pPr>
            <w:r w:rsidRPr="00A23740">
              <w:rPr>
                <w:b w:val="0"/>
                <w:color w:val="auto"/>
                <w:lang w:val="tr-TR"/>
              </w:rPr>
              <w:t xml:space="preserve">Maddenin üçüncü </w:t>
            </w:r>
            <w:r w:rsidR="00DB2C16" w:rsidRPr="00A23740">
              <w:rPr>
                <w:b w:val="0"/>
                <w:color w:val="auto"/>
                <w:lang w:val="tr-TR"/>
              </w:rPr>
              <w:t>fıkrasına göre</w:t>
            </w:r>
            <w:r w:rsidR="0011712E" w:rsidRPr="00A23740">
              <w:rPr>
                <w:b w:val="0"/>
                <w:color w:val="auto"/>
                <w:lang w:val="tr-TR"/>
              </w:rPr>
              <w:t>,</w:t>
            </w:r>
            <w:r w:rsidR="00DB2C16" w:rsidRPr="00A23740">
              <w:rPr>
                <w:b w:val="0"/>
                <w:color w:val="auto"/>
                <w:lang w:val="tr-TR"/>
              </w:rPr>
              <w:t xml:space="preserve"> alacaklı talep ederse kendisine ödeme emrinin onaylı bir nüshası verilir. Bu nüsha, hiçbir gider ve harca tabi olmayacaktır.</w:t>
            </w:r>
          </w:p>
          <w:p w:rsidR="003047A5" w:rsidRDefault="003047A5" w:rsidP="009431FF">
            <w:pPr>
              <w:pStyle w:val="Mavi"/>
              <w:ind w:firstLine="709"/>
              <w:rPr>
                <w:b w:val="0"/>
                <w:color w:val="auto"/>
                <w:lang w:val="tr-TR"/>
              </w:rPr>
            </w:pPr>
          </w:p>
          <w:p w:rsidR="003047A5" w:rsidRPr="00A23740" w:rsidRDefault="003047A5" w:rsidP="009431FF">
            <w:pPr>
              <w:pStyle w:val="Mavi"/>
              <w:ind w:firstLine="709"/>
              <w:rPr>
                <w:color w:val="auto"/>
                <w:lang w:val="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i/>
                <w:iCs/>
                <w:szCs w:val="24"/>
              </w:rPr>
            </w:pPr>
            <w:r w:rsidRPr="00A23740">
              <w:rPr>
                <w:rStyle w:val="KIRMIZIChar"/>
                <w:rFonts w:eastAsia="Calibri"/>
              </w:rPr>
              <w:lastRenderedPageBreak/>
              <w:t>2 –</w:t>
            </w:r>
            <w:r w:rsidRPr="00A23740">
              <w:rPr>
                <w:i/>
                <w:iCs/>
                <w:szCs w:val="24"/>
              </w:rPr>
              <w:t xml:space="preserve"> Ödeme emrinin tebliği</w:t>
            </w:r>
            <w:r w:rsidRPr="00A23740">
              <w:rPr>
                <w:b/>
                <w:bCs/>
                <w:strike/>
                <w:color w:val="FF0000"/>
                <w:szCs w:val="24"/>
              </w:rPr>
              <w:t>:</w:t>
            </w:r>
          </w:p>
          <w:p w:rsidR="00155AF4" w:rsidRPr="00A23740" w:rsidRDefault="00155AF4" w:rsidP="009431FF">
            <w:pPr>
              <w:tabs>
                <w:tab w:val="left" w:pos="567"/>
              </w:tabs>
              <w:autoSpaceDE w:val="0"/>
              <w:autoSpaceDN w:val="0"/>
              <w:adjustRightInd w:val="0"/>
              <w:rPr>
                <w:b/>
                <w:bCs/>
                <w:szCs w:val="24"/>
              </w:rPr>
            </w:pPr>
            <w:r w:rsidRPr="00A23740">
              <w:rPr>
                <w:rStyle w:val="KIRMIZIChar"/>
                <w:rFonts w:eastAsia="Calibri"/>
              </w:rPr>
              <w:t>Madde 61 – (1)</w:t>
            </w:r>
            <w:r w:rsidRPr="00A23740">
              <w:rPr>
                <w:b/>
                <w:bCs/>
                <w:szCs w:val="24"/>
              </w:rPr>
              <w:t xml:space="preserve"> </w:t>
            </w:r>
            <w:r w:rsidRPr="00A23740">
              <w:rPr>
                <w:rStyle w:val="KIRMIZIChar"/>
                <w:rFonts w:eastAsia="Calibri"/>
              </w:rPr>
              <w:t>(Değişik: 18/2/1965 - 538/32 md.)</w:t>
            </w:r>
          </w:p>
          <w:p w:rsidR="00155AF4" w:rsidRPr="00A23740" w:rsidRDefault="00155AF4" w:rsidP="009431FF">
            <w:pPr>
              <w:tabs>
                <w:tab w:val="left" w:pos="567"/>
              </w:tabs>
              <w:autoSpaceDE w:val="0"/>
              <w:autoSpaceDN w:val="0"/>
              <w:adjustRightInd w:val="0"/>
              <w:rPr>
                <w:rStyle w:val="StilKrmzChar"/>
                <w:rFonts w:eastAsia="Calibri"/>
                <w:lang w:val="tr-TR"/>
              </w:rPr>
            </w:pPr>
            <w:r w:rsidRPr="00A23740">
              <w:rPr>
                <w:szCs w:val="24"/>
              </w:rPr>
              <w:t xml:space="preserve">Ödeme emri borçluya takip talebinden itibaren </w:t>
            </w:r>
            <w:r w:rsidRPr="00A23740">
              <w:rPr>
                <w:rStyle w:val="StilKrmzChar"/>
                <w:rFonts w:eastAsia="Calibri"/>
                <w:lang w:val="tr-TR"/>
              </w:rPr>
              <w:t>nihayet 3</w:t>
            </w:r>
            <w:r w:rsidRPr="00A23740">
              <w:rPr>
                <w:szCs w:val="24"/>
              </w:rPr>
              <w:t xml:space="preserve"> gün içinde</w:t>
            </w:r>
            <w:r w:rsidRPr="00A23740">
              <w:rPr>
                <w:rStyle w:val="Normal--Char"/>
                <w:rFonts w:eastAsia="Calibri"/>
              </w:rPr>
              <w:t xml:space="preserve"> </w:t>
            </w:r>
            <w:r w:rsidRPr="00A23740">
              <w:rPr>
                <w:szCs w:val="24"/>
              </w:rPr>
              <w:t xml:space="preserve">tebliğe gönderilir. </w:t>
            </w:r>
            <w:r w:rsidRPr="00A23740">
              <w:rPr>
                <w:b/>
                <w:bCs/>
                <w:strike/>
                <w:color w:val="FF0000"/>
                <w:szCs w:val="24"/>
              </w:rPr>
              <w:t>Takip belgeye</w:t>
            </w:r>
            <w:r w:rsidRPr="00A23740">
              <w:rPr>
                <w:szCs w:val="24"/>
              </w:rPr>
              <w:t xml:space="preserve"> </w:t>
            </w:r>
            <w:r w:rsidRPr="00A23740">
              <w:rPr>
                <w:rStyle w:val="StilKrmzChar"/>
                <w:rFonts w:eastAsia="Calibri"/>
                <w:lang w:val="tr-TR"/>
              </w:rPr>
              <w:t>dayanıyorsa, belgenin tasdikli bir örneği ödeme emrine bağlanır.</w:t>
            </w:r>
          </w:p>
          <w:p w:rsidR="00A73007" w:rsidRPr="00A23740" w:rsidRDefault="00A73007" w:rsidP="009431FF">
            <w:pPr>
              <w:tabs>
                <w:tab w:val="left" w:pos="567"/>
              </w:tabs>
              <w:autoSpaceDE w:val="0"/>
              <w:autoSpaceDN w:val="0"/>
              <w:adjustRightInd w:val="0"/>
              <w:rPr>
                <w:rStyle w:val="KIRMIZIChar"/>
                <w:rFonts w:eastAsia="Calibri"/>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(2)</w:t>
            </w:r>
            <w:r w:rsidRPr="00A23740">
              <w:rPr>
                <w:szCs w:val="24"/>
              </w:rPr>
              <w:t xml:space="preserve"> Müşterek borçlular aynı zamanda takip ediliyorlarsa hepsinin veya bir kısmının</w:t>
            </w:r>
            <w:r w:rsidRPr="00A23740">
              <w:rPr>
                <w:b/>
                <w:bCs/>
                <w:color w:val="FF0000"/>
                <w:szCs w:val="24"/>
              </w:rPr>
              <w:t xml:space="preserve"> </w:t>
            </w:r>
            <w:r w:rsidRPr="00A23740">
              <w:rPr>
                <w:szCs w:val="24"/>
              </w:rPr>
              <w:t xml:space="preserve">bir </w:t>
            </w:r>
            <w:r w:rsidRPr="00A23740">
              <w:rPr>
                <w:b/>
                <w:bCs/>
                <w:strike/>
                <w:color w:val="FF0000"/>
                <w:szCs w:val="24"/>
              </w:rPr>
              <w:t>mümessil</w:t>
            </w:r>
            <w:r w:rsidRPr="00A23740">
              <w:rPr>
                <w:b/>
                <w:bCs/>
                <w:color w:val="FF0000"/>
                <w:szCs w:val="24"/>
              </w:rPr>
              <w:t xml:space="preserve"> </w:t>
            </w:r>
            <w:r w:rsidRPr="00A23740">
              <w:rPr>
                <w:szCs w:val="24"/>
              </w:rPr>
              <w:t>tarafından temsil edilmeleri hali</w:t>
            </w:r>
            <w:r w:rsidRPr="00A23740">
              <w:rPr>
                <w:b/>
                <w:bCs/>
                <w:color w:val="FF0000"/>
                <w:szCs w:val="24"/>
              </w:rPr>
              <w:t xml:space="preserve"> </w:t>
            </w:r>
            <w:r w:rsidRPr="00A23740">
              <w:rPr>
                <w:b/>
                <w:bCs/>
                <w:strike/>
                <w:color w:val="FF0000"/>
                <w:szCs w:val="24"/>
              </w:rPr>
              <w:t xml:space="preserve">müstesna </w:t>
            </w:r>
            <w:r w:rsidRPr="00A23740">
              <w:rPr>
                <w:szCs w:val="24"/>
              </w:rPr>
              <w:t xml:space="preserve">olmak üzere her birine ayrı ayrı ödeme emri tebliğ </w:t>
            </w:r>
            <w:r w:rsidRPr="00A23740">
              <w:rPr>
                <w:b/>
                <w:bCs/>
                <w:strike/>
                <w:color w:val="FF0000"/>
                <w:szCs w:val="24"/>
              </w:rPr>
              <w:t>edilmek lazımdır</w:t>
            </w:r>
            <w:r w:rsidRPr="00A23740">
              <w:rPr>
                <w:szCs w:val="24"/>
              </w:rPr>
              <w:t>.</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(3)</w:t>
            </w:r>
            <w:r w:rsidRPr="00A23740">
              <w:rPr>
                <w:szCs w:val="24"/>
              </w:rPr>
              <w:t xml:space="preserve"> Bir borçlu hakkında aynı günde birden </w:t>
            </w:r>
            <w:r w:rsidRPr="00A23740">
              <w:rPr>
                <w:rStyle w:val="karlan--Char"/>
                <w:rFonts w:eastAsia="Calibri"/>
              </w:rPr>
              <w:t>ziyade</w:t>
            </w:r>
            <w:r w:rsidRPr="00A23740">
              <w:rPr>
                <w:szCs w:val="24"/>
              </w:rPr>
              <w:t xml:space="preserve"> takip talebi varsa icra dairesi bunların ödeme emirlerini aynı zamanda tebliğe gönderir.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(4) Kanunen eklenmesi gereken müddetler saklıdır.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rStyle w:val="KIRMIZIChar"/>
                <w:rFonts w:eastAsia="Calibri"/>
              </w:rPr>
              <w:t>(5)</w:t>
            </w:r>
            <w:r w:rsidRPr="00A23740">
              <w:rPr>
                <w:szCs w:val="24"/>
              </w:rPr>
              <w:t xml:space="preserve"> Borçlu hakkında bir icra dairesinde ayrı ayrı günlerde birden </w:t>
            </w:r>
            <w:r w:rsidRPr="00A23740">
              <w:rPr>
                <w:b/>
                <w:bCs/>
                <w:strike/>
                <w:color w:val="FF0000"/>
                <w:szCs w:val="24"/>
              </w:rPr>
              <w:t>ziyade</w:t>
            </w:r>
            <w:r w:rsidRPr="00A23740">
              <w:rPr>
                <w:szCs w:val="24"/>
              </w:rPr>
              <w:t xml:space="preserve"> takip talebinde bulunulmuş ise bunlardan hiçbirinde kendisinden daha eski olan talepten önce ödeme emri tebliğe gönderilemez.</w:t>
            </w: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zCs w:val="24"/>
              </w:rPr>
            </w:pPr>
            <w:r w:rsidRPr="00A23740">
              <w:rPr>
                <w:b/>
                <w:bCs/>
                <w:szCs w:val="24"/>
              </w:rPr>
              <w:t>Ödeme emrinin tebliği</w:t>
            </w:r>
          </w:p>
          <w:p w:rsidR="00155AF4" w:rsidRPr="00A23740" w:rsidRDefault="00155AF4" w:rsidP="009431FF">
            <w:pPr>
              <w:autoSpaceDE w:val="0"/>
              <w:autoSpaceDN w:val="0"/>
              <w:adjustRightInd w:val="0"/>
              <w:rPr>
                <w:b/>
                <w:bCs/>
                <w:color w:val="0000FF"/>
                <w:szCs w:val="24"/>
              </w:rPr>
            </w:pPr>
            <w:r w:rsidRPr="00A23740">
              <w:rPr>
                <w:rStyle w:val="MaviChar"/>
                <w:lang w:val="tr-TR"/>
              </w:rPr>
              <w:t xml:space="preserve">MADDE </w:t>
            </w:r>
            <w:r w:rsidRPr="00A23740">
              <w:rPr>
                <w:rStyle w:val="MaviChar"/>
              </w:rPr>
              <w:t>90- (1)</w:t>
            </w:r>
            <w:r w:rsidRPr="00A23740">
              <w:rPr>
                <w:szCs w:val="24"/>
              </w:rPr>
              <w:t xml:space="preserve"> Ödeme emri</w:t>
            </w:r>
            <w:r w:rsidRPr="00A23740">
              <w:rPr>
                <w:rStyle w:val="MaviChar"/>
              </w:rPr>
              <w:t>,</w:t>
            </w:r>
            <w:r w:rsidRPr="00A23740">
              <w:rPr>
                <w:szCs w:val="24"/>
              </w:rPr>
              <w:t xml:space="preserve"> </w:t>
            </w:r>
            <w:r w:rsidRPr="00A23740">
              <w:rPr>
                <w:rStyle w:val="MaviChar"/>
              </w:rPr>
              <w:t>takibin dayanağı olan belgelerin okunaklı ve onaylı bir örneğiyle birlikte</w:t>
            </w:r>
            <w:r w:rsidRPr="00A23740">
              <w:rPr>
                <w:b/>
                <w:bCs/>
                <w:color w:val="0000FF"/>
                <w:szCs w:val="24"/>
              </w:rPr>
              <w:t xml:space="preserve"> </w:t>
            </w:r>
            <w:r w:rsidRPr="00A23740">
              <w:rPr>
                <w:rStyle w:val="MaviChar"/>
              </w:rPr>
              <w:t>takibin başlatılmasından</w:t>
            </w:r>
            <w:r w:rsidRPr="00A23740">
              <w:rPr>
                <w:rStyle w:val="Normal--Char"/>
                <w:rFonts w:eastAsia="Calibri"/>
              </w:rPr>
              <w:t xml:space="preserve"> </w:t>
            </w:r>
            <w:r w:rsidRPr="00A23740">
              <w:rPr>
                <w:szCs w:val="24"/>
              </w:rPr>
              <w:t>itibaren</w:t>
            </w:r>
            <w:r w:rsidRPr="00A23740">
              <w:rPr>
                <w:rStyle w:val="Normal--Char"/>
                <w:rFonts w:eastAsia="Calibri"/>
              </w:rPr>
              <w:t xml:space="preserve"> </w:t>
            </w:r>
            <w:r w:rsidRPr="00A23740">
              <w:rPr>
                <w:rStyle w:val="MaviChar"/>
              </w:rPr>
              <w:t>en geç üç</w:t>
            </w:r>
            <w:r w:rsidRPr="00A23740">
              <w:rPr>
                <w:szCs w:val="24"/>
              </w:rPr>
              <w:t xml:space="preserve"> gün içinde </w:t>
            </w:r>
            <w:r w:rsidRPr="00A23740">
              <w:rPr>
                <w:rStyle w:val="MaviChar"/>
              </w:rPr>
              <w:t>borçluya</w:t>
            </w:r>
            <w:r w:rsidRPr="00A23740">
              <w:t xml:space="preserve"> </w:t>
            </w:r>
            <w:r w:rsidRPr="00A23740">
              <w:rPr>
                <w:szCs w:val="24"/>
              </w:rPr>
              <w:t>tebliğe gönderilir.</w:t>
            </w:r>
          </w:p>
          <w:p w:rsidR="00155AF4" w:rsidRPr="00A23740" w:rsidRDefault="00155AF4" w:rsidP="009431FF">
            <w:pPr>
              <w:tabs>
                <w:tab w:val="left" w:pos="567"/>
              </w:tabs>
              <w:autoSpaceDE w:val="0"/>
              <w:autoSpaceDN w:val="0"/>
              <w:adjustRightInd w:val="0"/>
              <w:rPr>
                <w:b/>
                <w:bCs/>
                <w:color w:val="0000FF"/>
                <w:szCs w:val="24"/>
              </w:rPr>
            </w:pPr>
          </w:p>
          <w:p w:rsidR="00291C18" w:rsidRPr="00A23740" w:rsidRDefault="00291C18" w:rsidP="009431FF">
            <w:pPr>
              <w:tabs>
                <w:tab w:val="left" w:pos="567"/>
              </w:tabs>
              <w:autoSpaceDE w:val="0"/>
              <w:autoSpaceDN w:val="0"/>
              <w:adjustRightInd w:val="0"/>
              <w:rPr>
                <w:b/>
                <w:bCs/>
                <w:color w:val="0000FF"/>
                <w:szCs w:val="24"/>
              </w:rPr>
            </w:pPr>
          </w:p>
          <w:p w:rsidR="00155AF4" w:rsidRPr="00A23740" w:rsidRDefault="00155AF4" w:rsidP="009431FF">
            <w:pPr>
              <w:autoSpaceDE w:val="0"/>
              <w:autoSpaceDN w:val="0"/>
              <w:adjustRightInd w:val="0"/>
              <w:rPr>
                <w:szCs w:val="24"/>
              </w:rPr>
            </w:pPr>
            <w:r w:rsidRPr="00A23740">
              <w:rPr>
                <w:rStyle w:val="MaviChar"/>
              </w:rPr>
              <w:t>(2)</w:t>
            </w:r>
            <w:r w:rsidRPr="00A23740">
              <w:rPr>
                <w:szCs w:val="24"/>
              </w:rPr>
              <w:t xml:space="preserve"> Müşterek borçlular aynı zamanda takip ediliyorlarsa</w:t>
            </w:r>
            <w:r w:rsidRPr="00A23740">
              <w:rPr>
                <w:rStyle w:val="MaviChar"/>
              </w:rPr>
              <w:t>,</w:t>
            </w:r>
            <w:r w:rsidRPr="00A23740">
              <w:rPr>
                <w:szCs w:val="24"/>
              </w:rPr>
              <w:t xml:space="preserve"> hepsinin veya bir kısmının bir </w:t>
            </w:r>
            <w:r w:rsidRPr="00A23740">
              <w:rPr>
                <w:rStyle w:val="MaviChar"/>
              </w:rPr>
              <w:t>temsilci</w:t>
            </w:r>
            <w:r w:rsidRPr="00A23740">
              <w:rPr>
                <w:szCs w:val="24"/>
              </w:rPr>
              <w:t xml:space="preserve"> tarafından temsil edilmeleri h</w:t>
            </w:r>
            <w:r w:rsidR="002F2BAA" w:rsidRPr="00A23740">
              <w:rPr>
                <w:szCs w:val="24"/>
              </w:rPr>
              <w:t>â</w:t>
            </w:r>
            <w:r w:rsidRPr="00A23740">
              <w:rPr>
                <w:szCs w:val="24"/>
              </w:rPr>
              <w:t xml:space="preserve">li </w:t>
            </w:r>
            <w:r w:rsidRPr="00A23740">
              <w:rPr>
                <w:rStyle w:val="MaviChar"/>
              </w:rPr>
              <w:t>hariç</w:t>
            </w:r>
            <w:r w:rsidRPr="00A23740">
              <w:rPr>
                <w:szCs w:val="24"/>
              </w:rPr>
              <w:t xml:space="preserve"> olmak üzere, her birine ayrı ayrı ödeme emri tebliğ </w:t>
            </w:r>
            <w:r w:rsidRPr="00A23740">
              <w:rPr>
                <w:rStyle w:val="MaviChar"/>
              </w:rPr>
              <w:t>edilir</w:t>
            </w:r>
            <w:r w:rsidRPr="00A23740">
              <w:rPr>
                <w:szCs w:val="24"/>
              </w:rPr>
              <w:t xml:space="preserve">. </w:t>
            </w:r>
          </w:p>
          <w:p w:rsidR="00155AF4" w:rsidRPr="00A23740" w:rsidRDefault="00155AF4" w:rsidP="009431FF">
            <w:pPr>
              <w:autoSpaceDE w:val="0"/>
              <w:autoSpaceDN w:val="0"/>
              <w:adjustRightInd w:val="0"/>
              <w:rPr>
                <w:szCs w:val="24"/>
              </w:rPr>
            </w:pPr>
          </w:p>
          <w:p w:rsidR="00155AF4" w:rsidRPr="00A23740" w:rsidRDefault="00155AF4" w:rsidP="009431FF">
            <w:pPr>
              <w:autoSpaceDE w:val="0"/>
              <w:autoSpaceDN w:val="0"/>
              <w:adjustRightInd w:val="0"/>
              <w:rPr>
                <w:szCs w:val="24"/>
              </w:rPr>
            </w:pPr>
            <w:r w:rsidRPr="00A23740">
              <w:rPr>
                <w:rStyle w:val="MaviChar"/>
              </w:rPr>
              <w:t>(3)</w:t>
            </w:r>
            <w:r w:rsidRPr="00A23740">
              <w:rPr>
                <w:rStyle w:val="Normal--Char"/>
                <w:rFonts w:eastAsia="Calibri"/>
              </w:rPr>
              <w:t xml:space="preserve"> </w:t>
            </w:r>
            <w:r w:rsidRPr="00A23740">
              <w:rPr>
                <w:szCs w:val="24"/>
              </w:rPr>
              <w:t xml:space="preserve">Bir borçlu hakkında aynı günde birden </w:t>
            </w:r>
            <w:r w:rsidRPr="00A23740">
              <w:rPr>
                <w:rStyle w:val="MaviChar"/>
              </w:rPr>
              <w:t>fazla</w:t>
            </w:r>
            <w:r w:rsidRPr="00A23740">
              <w:rPr>
                <w:szCs w:val="24"/>
              </w:rPr>
              <w:t xml:space="preserve"> takip talebi varsa</w:t>
            </w:r>
            <w:r w:rsidRPr="00A23740">
              <w:rPr>
                <w:rStyle w:val="MaviChar"/>
              </w:rPr>
              <w:t>,</w:t>
            </w:r>
            <w:r w:rsidRPr="00A23740">
              <w:rPr>
                <w:szCs w:val="24"/>
              </w:rPr>
              <w:t xml:space="preserve"> icra </w:t>
            </w:r>
            <w:r w:rsidRPr="00A23740">
              <w:rPr>
                <w:rStyle w:val="MaviChar"/>
              </w:rPr>
              <w:t>ve iflas</w:t>
            </w:r>
            <w:r w:rsidRPr="00A23740">
              <w:rPr>
                <w:szCs w:val="24"/>
              </w:rPr>
              <w:t xml:space="preserve"> dairesi bunların ödeme emirlerini aynı zamanda tebliğe gönderir.</w:t>
            </w:r>
          </w:p>
          <w:p w:rsidR="00155AF4" w:rsidRPr="00A23740" w:rsidRDefault="00155AF4" w:rsidP="009431FF">
            <w:pPr>
              <w:autoSpaceDE w:val="0"/>
              <w:autoSpaceDN w:val="0"/>
              <w:adjustRightInd w:val="0"/>
              <w:rPr>
                <w:szCs w:val="24"/>
              </w:rPr>
            </w:pPr>
          </w:p>
          <w:p w:rsidR="00155AF4" w:rsidRPr="00A23740" w:rsidRDefault="00155AF4" w:rsidP="009431FF">
            <w:pPr>
              <w:autoSpaceDE w:val="0"/>
              <w:autoSpaceDN w:val="0"/>
              <w:adjustRightInd w:val="0"/>
              <w:rPr>
                <w:szCs w:val="24"/>
              </w:rPr>
            </w:pPr>
          </w:p>
          <w:p w:rsidR="00155AF4" w:rsidRPr="00A23740" w:rsidRDefault="00155AF4" w:rsidP="009431FF">
            <w:pPr>
              <w:autoSpaceDE w:val="0"/>
              <w:autoSpaceDN w:val="0"/>
              <w:adjustRightInd w:val="0"/>
              <w:rPr>
                <w:szCs w:val="24"/>
              </w:rPr>
            </w:pPr>
            <w:r w:rsidRPr="00A23740">
              <w:rPr>
                <w:rStyle w:val="MaviChar"/>
              </w:rPr>
              <w:t>(4)</w:t>
            </w:r>
            <w:r w:rsidRPr="00A23740">
              <w:rPr>
                <w:b/>
                <w:bCs/>
                <w:color w:val="0000FF"/>
                <w:szCs w:val="24"/>
              </w:rPr>
              <w:t xml:space="preserve"> </w:t>
            </w:r>
            <w:r w:rsidRPr="00A23740">
              <w:rPr>
                <w:szCs w:val="24"/>
              </w:rPr>
              <w:t xml:space="preserve">Borçlu hakkında bir icra </w:t>
            </w:r>
            <w:r w:rsidRPr="00A23740">
              <w:rPr>
                <w:rStyle w:val="MaviChar"/>
              </w:rPr>
              <w:t>ve iflas</w:t>
            </w:r>
            <w:r w:rsidRPr="00A23740">
              <w:rPr>
                <w:szCs w:val="24"/>
              </w:rPr>
              <w:t xml:space="preserve"> dairesinde ayrı ayrı günlerde birden </w:t>
            </w:r>
            <w:r w:rsidRPr="00A23740">
              <w:rPr>
                <w:rStyle w:val="MaviChar"/>
              </w:rPr>
              <w:t>çok</w:t>
            </w:r>
            <w:r w:rsidRPr="00A23740">
              <w:rPr>
                <w:szCs w:val="24"/>
              </w:rPr>
              <w:t xml:space="preserve"> takip talebinde bulunulmuş ise</w:t>
            </w:r>
            <w:r w:rsidRPr="00A23740">
              <w:rPr>
                <w:rStyle w:val="MaviChar"/>
              </w:rPr>
              <w:t>,</w:t>
            </w:r>
            <w:r w:rsidRPr="00A23740">
              <w:rPr>
                <w:szCs w:val="24"/>
              </w:rPr>
              <w:t xml:space="preserve"> bunlardan hiçbirinde kendisinden daha eski olan talepten önce ödeme emri tebliğe gönderilemez.</w:t>
            </w:r>
          </w:p>
          <w:p w:rsidR="00155AF4" w:rsidRPr="00A23740" w:rsidRDefault="00155AF4" w:rsidP="009431FF">
            <w:pPr>
              <w:tabs>
                <w:tab w:val="left" w:pos="1331"/>
              </w:tabs>
              <w:autoSpaceDE w:val="0"/>
              <w:autoSpaceDN w:val="0"/>
              <w:adjustRightInd w:val="0"/>
              <w:rPr>
                <w:szCs w:val="24"/>
              </w:rPr>
            </w:pPr>
          </w:p>
        </w:tc>
      </w:tr>
      <w:tr w:rsidR="00155AF4" w:rsidRPr="00A23740" w:rsidTr="009431FF">
        <w:tc>
          <w:tcPr>
            <w:tcW w:w="5000" w:type="pct"/>
            <w:gridSpan w:val="2"/>
            <w:shd w:val="clear" w:color="auto" w:fill="DEEAF6"/>
          </w:tcPr>
          <w:p w:rsidR="00E550F2" w:rsidRPr="00A23740" w:rsidRDefault="00E550F2" w:rsidP="009431FF">
            <w:pPr>
              <w:pStyle w:val="Mavi"/>
              <w:ind w:firstLine="709"/>
              <w:rPr>
                <w:color w:val="auto"/>
                <w:lang w:val="tr-TR"/>
              </w:rPr>
            </w:pPr>
          </w:p>
          <w:p w:rsidR="00E550F2" w:rsidRPr="00A23740" w:rsidRDefault="00E550F2" w:rsidP="009431FF">
            <w:pPr>
              <w:pStyle w:val="Mavi"/>
              <w:ind w:firstLine="709"/>
              <w:rPr>
                <w:b w:val="0"/>
                <w:color w:val="auto"/>
                <w:lang w:val="tr-TR"/>
              </w:rPr>
            </w:pPr>
            <w:r w:rsidRPr="00A23740">
              <w:rPr>
                <w:color w:val="auto"/>
                <w:lang w:val="tr-TR"/>
              </w:rPr>
              <w:t>MADDE 90</w:t>
            </w:r>
            <w:r w:rsidR="00155AF4" w:rsidRPr="00A23740">
              <w:rPr>
                <w:color w:val="auto"/>
                <w:lang w:val="tr-TR"/>
              </w:rPr>
              <w:t xml:space="preserve">- </w:t>
            </w:r>
            <w:r w:rsidRPr="00A23740">
              <w:rPr>
                <w:b w:val="0"/>
                <w:color w:val="auto"/>
                <w:lang w:val="tr-TR"/>
              </w:rPr>
              <w:t xml:space="preserve">Maddeyle, ilamsız takiplerde ödeme emrinin tebliği düzenlenmektedir. </w:t>
            </w:r>
            <w:r w:rsidR="00DB2C16" w:rsidRPr="00A23740">
              <w:rPr>
                <w:b w:val="0"/>
                <w:color w:val="auto"/>
                <w:lang w:eastAsia="en-US"/>
              </w:rPr>
              <w:t>Taslağın 90 ıncı maddesi “</w:t>
            </w:r>
            <w:r w:rsidR="00DB2C16" w:rsidRPr="00A23740">
              <w:rPr>
                <w:b w:val="0"/>
                <w:color w:val="auto"/>
              </w:rPr>
              <w:t>Ödeme emrinin tebliği” başlığını taşımakta olup</w:t>
            </w:r>
            <w:r w:rsidR="0011712E" w:rsidRPr="00A23740">
              <w:rPr>
                <w:b w:val="0"/>
                <w:color w:val="auto"/>
                <w:lang w:val="tr-TR"/>
              </w:rPr>
              <w:t>,</w:t>
            </w:r>
            <w:r w:rsidR="00DB2C16" w:rsidRPr="00A23740">
              <w:rPr>
                <w:b w:val="0"/>
                <w:color w:val="auto"/>
              </w:rPr>
              <w:t xml:space="preserve"> </w:t>
            </w:r>
            <w:r w:rsidRPr="00A23740">
              <w:rPr>
                <w:b w:val="0"/>
                <w:color w:val="auto"/>
                <w:lang w:val="tr-TR"/>
              </w:rPr>
              <w:t>2004 sayılı Kanunun</w:t>
            </w:r>
            <w:r w:rsidR="00DB2C16" w:rsidRPr="00A23740">
              <w:rPr>
                <w:b w:val="0"/>
                <w:color w:val="auto"/>
              </w:rPr>
              <w:t xml:space="preserve"> 61 inci maddesine karşılık gelmektedir.</w:t>
            </w:r>
            <w:r w:rsidRPr="00A23740">
              <w:rPr>
                <w:b w:val="0"/>
                <w:color w:val="auto"/>
                <w:lang w:val="tr-TR"/>
              </w:rPr>
              <w:t xml:space="preserve"> </w:t>
            </w:r>
          </w:p>
          <w:p w:rsidR="00E550F2" w:rsidRPr="00A23740" w:rsidRDefault="00E550F2" w:rsidP="009431FF">
            <w:pPr>
              <w:pStyle w:val="Mavi"/>
              <w:ind w:firstLine="709"/>
              <w:rPr>
                <w:b w:val="0"/>
                <w:color w:val="auto"/>
              </w:rPr>
            </w:pPr>
            <w:r w:rsidRPr="00A23740">
              <w:rPr>
                <w:b w:val="0"/>
                <w:color w:val="auto"/>
                <w:lang w:eastAsia="en-US"/>
              </w:rPr>
              <w:t>Maddenin bir</w:t>
            </w:r>
            <w:r w:rsidR="00DB2C16" w:rsidRPr="00A23740">
              <w:rPr>
                <w:b w:val="0"/>
                <w:color w:val="auto"/>
                <w:lang w:eastAsia="en-US"/>
              </w:rPr>
              <w:t>inci fıkrasında</w:t>
            </w:r>
            <w:r w:rsidR="00C16049" w:rsidRPr="00A23740">
              <w:rPr>
                <w:b w:val="0"/>
                <w:color w:val="auto"/>
                <w:lang w:val="tr-TR" w:eastAsia="en-US"/>
              </w:rPr>
              <w:t>,</w:t>
            </w:r>
            <w:r w:rsidR="00DB2C16" w:rsidRPr="00A23740">
              <w:rPr>
                <w:b w:val="0"/>
                <w:color w:val="auto"/>
              </w:rPr>
              <w:t xml:space="preserve"> ödeme emrinin</w:t>
            </w:r>
            <w:r w:rsidR="00DB2C16" w:rsidRPr="00A23740">
              <w:rPr>
                <w:b w:val="0"/>
                <w:color w:val="auto"/>
                <w:lang w:val="tr-TR" w:eastAsia="en-US"/>
              </w:rPr>
              <w:t>,</w:t>
            </w:r>
            <w:r w:rsidR="00DB2C16" w:rsidRPr="00A23740">
              <w:rPr>
                <w:b w:val="0"/>
                <w:color w:val="auto"/>
              </w:rPr>
              <w:t xml:space="preserve"> </w:t>
            </w:r>
            <w:r w:rsidR="00DB2C16" w:rsidRPr="00A23740">
              <w:rPr>
                <w:b w:val="0"/>
                <w:color w:val="auto"/>
                <w:lang w:val="tr-TR" w:eastAsia="en-US"/>
              </w:rPr>
              <w:t>takibin dayanağı olan belgelerin okunaklı ve onaylı bir örneğiyle birlikte</w:t>
            </w:r>
            <w:r w:rsidR="00DB2C16" w:rsidRPr="00A23740">
              <w:rPr>
                <w:b w:val="0"/>
                <w:color w:val="auto"/>
              </w:rPr>
              <w:t xml:space="preserve"> </w:t>
            </w:r>
            <w:r w:rsidR="00DB2C16" w:rsidRPr="00A23740">
              <w:rPr>
                <w:b w:val="0"/>
                <w:color w:val="auto"/>
                <w:lang w:val="tr-TR" w:eastAsia="en-US"/>
              </w:rPr>
              <w:t>takibin başlatılmasından</w:t>
            </w:r>
            <w:r w:rsidR="00DB2C16" w:rsidRPr="00A23740">
              <w:rPr>
                <w:b w:val="0"/>
                <w:color w:val="auto"/>
              </w:rPr>
              <w:t xml:space="preserve"> itibaren </w:t>
            </w:r>
            <w:r w:rsidR="00DB2C16" w:rsidRPr="00A23740">
              <w:rPr>
                <w:b w:val="0"/>
                <w:color w:val="auto"/>
                <w:lang w:val="tr-TR" w:eastAsia="en-US"/>
              </w:rPr>
              <w:t>en geç üç</w:t>
            </w:r>
            <w:r w:rsidR="00DB2C16" w:rsidRPr="00A23740">
              <w:rPr>
                <w:b w:val="0"/>
                <w:color w:val="auto"/>
              </w:rPr>
              <w:t xml:space="preserve"> gün içinde </w:t>
            </w:r>
            <w:r w:rsidR="00DB2C16" w:rsidRPr="00A23740">
              <w:rPr>
                <w:b w:val="0"/>
                <w:color w:val="auto"/>
                <w:lang w:val="tr-TR" w:eastAsia="en-US"/>
              </w:rPr>
              <w:t>borçluya</w:t>
            </w:r>
            <w:r w:rsidR="00DB2C16" w:rsidRPr="00A23740">
              <w:rPr>
                <w:b w:val="0"/>
                <w:color w:val="auto"/>
              </w:rPr>
              <w:t xml:space="preserve"> tebliğe gönderileceği öngörülmüştür. </w:t>
            </w:r>
          </w:p>
          <w:p w:rsidR="00E550F2" w:rsidRPr="006D2E3C" w:rsidRDefault="00DB2C16" w:rsidP="009431FF">
            <w:pPr>
              <w:pStyle w:val="Mavi"/>
              <w:ind w:firstLine="709"/>
              <w:rPr>
                <w:b w:val="0"/>
                <w:color w:val="auto"/>
              </w:rPr>
            </w:pPr>
            <w:r w:rsidRPr="00A23740">
              <w:rPr>
                <w:b w:val="0"/>
                <w:color w:val="auto"/>
              </w:rPr>
              <w:t xml:space="preserve">Maddenin </w:t>
            </w:r>
            <w:r w:rsidR="00E550F2" w:rsidRPr="006D2E3C">
              <w:rPr>
                <w:b w:val="0"/>
                <w:color w:val="auto"/>
              </w:rPr>
              <w:t>iki</w:t>
            </w:r>
            <w:r w:rsidRPr="00A23740">
              <w:rPr>
                <w:b w:val="0"/>
                <w:color w:val="auto"/>
              </w:rPr>
              <w:t xml:space="preserve">nci fıkrasına göre ise müşterek borçlular aynı zamanda takip ediliyorlarsa, hepsinin veya bir kısmının bir </w:t>
            </w:r>
            <w:r w:rsidRPr="006D2E3C">
              <w:rPr>
                <w:b w:val="0"/>
                <w:color w:val="auto"/>
              </w:rPr>
              <w:t>temsilci</w:t>
            </w:r>
            <w:r w:rsidRPr="00A23740">
              <w:rPr>
                <w:b w:val="0"/>
                <w:color w:val="auto"/>
              </w:rPr>
              <w:t xml:space="preserve"> tarafından temsil edilmeleri h</w:t>
            </w:r>
            <w:r w:rsidR="002F2BAA" w:rsidRPr="006D2E3C">
              <w:rPr>
                <w:b w:val="0"/>
                <w:color w:val="auto"/>
              </w:rPr>
              <w:t>â</w:t>
            </w:r>
            <w:r w:rsidRPr="00A23740">
              <w:rPr>
                <w:b w:val="0"/>
                <w:color w:val="auto"/>
              </w:rPr>
              <w:t xml:space="preserve">li </w:t>
            </w:r>
            <w:r w:rsidRPr="006D2E3C">
              <w:rPr>
                <w:b w:val="0"/>
                <w:color w:val="auto"/>
              </w:rPr>
              <w:t>hariç</w:t>
            </w:r>
            <w:r w:rsidRPr="00A23740">
              <w:rPr>
                <w:b w:val="0"/>
                <w:color w:val="auto"/>
              </w:rPr>
              <w:t xml:space="preserve"> olmak üzere, her birine ayrı ayrı ödeme emri tebliğ </w:t>
            </w:r>
            <w:r w:rsidRPr="006D2E3C">
              <w:rPr>
                <w:b w:val="0"/>
                <w:color w:val="auto"/>
              </w:rPr>
              <w:t>edil</w:t>
            </w:r>
            <w:r w:rsidRPr="00A23740">
              <w:rPr>
                <w:b w:val="0"/>
                <w:color w:val="auto"/>
              </w:rPr>
              <w:t>ecekt</w:t>
            </w:r>
            <w:r w:rsidRPr="006D2E3C">
              <w:rPr>
                <w:b w:val="0"/>
                <w:color w:val="auto"/>
              </w:rPr>
              <w:t>ir</w:t>
            </w:r>
            <w:r w:rsidRPr="00A23740">
              <w:rPr>
                <w:b w:val="0"/>
                <w:color w:val="auto"/>
              </w:rPr>
              <w:t xml:space="preserve">. </w:t>
            </w:r>
            <w:r w:rsidR="00BA6EAE" w:rsidRPr="006D2E3C">
              <w:rPr>
                <w:b w:val="0"/>
                <w:color w:val="auto"/>
              </w:rPr>
              <w:t>Müşterek borçlulardan kimlerin kastedildiği konusunda Taslağın 314 üncü madde gerekçesinde ayrıntılı açıklamalar yer almaktadır.</w:t>
            </w:r>
          </w:p>
          <w:p w:rsidR="00DB2C16" w:rsidRPr="00A23740" w:rsidRDefault="00DB2C16" w:rsidP="009431FF">
            <w:pPr>
              <w:pStyle w:val="Mavi"/>
              <w:ind w:firstLine="709"/>
              <w:rPr>
                <w:color w:val="7030A0"/>
              </w:rPr>
            </w:pPr>
            <w:r w:rsidRPr="00A23740">
              <w:rPr>
                <w:b w:val="0"/>
                <w:color w:val="auto"/>
              </w:rPr>
              <w:t xml:space="preserve">Maddenin </w:t>
            </w:r>
            <w:r w:rsidR="00E550F2" w:rsidRPr="006D2E3C">
              <w:rPr>
                <w:b w:val="0"/>
                <w:color w:val="auto"/>
              </w:rPr>
              <w:t>üç</w:t>
            </w:r>
            <w:r w:rsidRPr="00A23740">
              <w:rPr>
                <w:b w:val="0"/>
                <w:color w:val="auto"/>
              </w:rPr>
              <w:t>üncü fıkrasında</w:t>
            </w:r>
            <w:r w:rsidR="00C16049" w:rsidRPr="006D2E3C">
              <w:rPr>
                <w:b w:val="0"/>
                <w:color w:val="auto"/>
              </w:rPr>
              <w:t>,</w:t>
            </w:r>
            <w:r w:rsidRPr="00A23740">
              <w:rPr>
                <w:b w:val="0"/>
                <w:color w:val="auto"/>
              </w:rPr>
              <w:t xml:space="preserve"> bir borçlu hakkında aynı günde birden </w:t>
            </w:r>
            <w:r w:rsidRPr="006D2E3C">
              <w:rPr>
                <w:b w:val="0"/>
                <w:color w:val="auto"/>
              </w:rPr>
              <w:t>fazla</w:t>
            </w:r>
            <w:r w:rsidRPr="00A23740">
              <w:rPr>
                <w:b w:val="0"/>
                <w:color w:val="auto"/>
              </w:rPr>
              <w:t xml:space="preserve"> takip talebi varsa</w:t>
            </w:r>
            <w:r w:rsidRPr="00A23740">
              <w:rPr>
                <w:b w:val="0"/>
                <w:color w:val="auto"/>
                <w:lang w:val="tr-TR" w:eastAsia="en-US"/>
              </w:rPr>
              <w:t>,</w:t>
            </w:r>
            <w:r w:rsidRPr="00A23740">
              <w:rPr>
                <w:b w:val="0"/>
                <w:color w:val="auto"/>
              </w:rPr>
              <w:t xml:space="preserve"> icra </w:t>
            </w:r>
            <w:r w:rsidRPr="00A23740">
              <w:rPr>
                <w:b w:val="0"/>
                <w:color w:val="auto"/>
                <w:lang w:val="tr-TR" w:eastAsia="en-US"/>
              </w:rPr>
              <w:t>ve iflas</w:t>
            </w:r>
            <w:r w:rsidRPr="00A23740">
              <w:rPr>
                <w:b w:val="0"/>
                <w:color w:val="auto"/>
              </w:rPr>
              <w:t xml:space="preserve"> dairesi</w:t>
            </w:r>
            <w:r w:rsidR="0011712E" w:rsidRPr="00A23740">
              <w:rPr>
                <w:b w:val="0"/>
                <w:color w:val="auto"/>
                <w:lang w:val="tr-TR"/>
              </w:rPr>
              <w:t>nin</w:t>
            </w:r>
            <w:r w:rsidRPr="00A23740">
              <w:rPr>
                <w:b w:val="0"/>
                <w:color w:val="auto"/>
              </w:rPr>
              <w:t xml:space="preserve"> bunların ödeme emirlerini aynı zamanda tebliğe </w:t>
            </w:r>
            <w:r w:rsidR="0011712E" w:rsidRPr="00A23740">
              <w:rPr>
                <w:b w:val="0"/>
                <w:color w:val="auto"/>
                <w:lang w:val="tr-TR"/>
              </w:rPr>
              <w:t xml:space="preserve"> göndermesi </w:t>
            </w:r>
            <w:r w:rsidRPr="00A23740">
              <w:rPr>
                <w:b w:val="0"/>
                <w:color w:val="auto"/>
              </w:rPr>
              <w:t>esası kabul edilmiştir.</w:t>
            </w:r>
          </w:p>
          <w:p w:rsidR="00E91409" w:rsidRPr="00A23740" w:rsidRDefault="00DB2C16" w:rsidP="009431FF">
            <w:pPr>
              <w:pStyle w:val="Mavi"/>
              <w:ind w:firstLine="709"/>
              <w:rPr>
                <w:color w:val="auto"/>
                <w:lang w:val="tr-TR"/>
              </w:rPr>
            </w:pPr>
            <w:r w:rsidRPr="00A23740">
              <w:rPr>
                <w:b w:val="0"/>
                <w:color w:val="auto"/>
              </w:rPr>
              <w:t xml:space="preserve">Maddenin </w:t>
            </w:r>
            <w:r w:rsidR="00E550F2" w:rsidRPr="00A23740">
              <w:rPr>
                <w:b w:val="0"/>
                <w:color w:val="auto"/>
              </w:rPr>
              <w:t>dördüncü</w:t>
            </w:r>
            <w:r w:rsidRPr="00A23740">
              <w:rPr>
                <w:b w:val="0"/>
                <w:color w:val="auto"/>
              </w:rPr>
              <w:t xml:space="preserve"> fıkrasında</w:t>
            </w:r>
            <w:r w:rsidR="00C16049" w:rsidRPr="00A23740">
              <w:rPr>
                <w:b w:val="0"/>
                <w:color w:val="auto"/>
                <w:lang w:val="tr-TR"/>
              </w:rPr>
              <w:t>,</w:t>
            </w:r>
            <w:r w:rsidRPr="00A23740">
              <w:rPr>
                <w:b w:val="0"/>
                <w:color w:val="auto"/>
              </w:rPr>
              <w:t xml:space="preserve"> borçlu hakkında aynı icra ve iflas dairesinde ayrı ayrı günlerde birden çok takip talebinde bulunulmuş ise, bunlardan hiçbirinde kendisinden daha eski olan talepten önce ödeme emrinin tebliğe g</w:t>
            </w:r>
            <w:r w:rsidR="003047A5">
              <w:rPr>
                <w:b w:val="0"/>
                <w:color w:val="auto"/>
              </w:rPr>
              <w:t>önderilemeyeceği öngörülmüştür.</w:t>
            </w:r>
          </w:p>
          <w:p w:rsidR="00C16049" w:rsidRPr="00A23740" w:rsidRDefault="00C16049" w:rsidP="009431FF">
            <w:pPr>
              <w:keepNext/>
              <w:autoSpaceDE w:val="0"/>
              <w:autoSpaceDN w:val="0"/>
              <w:adjustRightInd w:val="0"/>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szCs w:val="24"/>
              </w:rPr>
              <w:t>İTİRAZ</w:t>
            </w:r>
          </w:p>
          <w:p w:rsidR="00155AF4" w:rsidRPr="00A23740" w:rsidRDefault="00155AF4" w:rsidP="009431FF">
            <w:pPr>
              <w:widowControl w:val="0"/>
              <w:tabs>
                <w:tab w:val="left" w:pos="567"/>
              </w:tabs>
              <w:autoSpaceDE w:val="0"/>
              <w:autoSpaceDN w:val="0"/>
              <w:adjustRightInd w:val="0"/>
              <w:rPr>
                <w:i/>
                <w:iCs/>
                <w:szCs w:val="24"/>
              </w:rPr>
            </w:pPr>
            <w:r w:rsidRPr="00A23740">
              <w:rPr>
                <w:i/>
                <w:iCs/>
                <w:szCs w:val="24"/>
              </w:rPr>
              <w:t>1 – Süresi ve şekli</w:t>
            </w:r>
            <w:r w:rsidRPr="00A23740">
              <w:rPr>
                <w:b/>
                <w:bCs/>
                <w:strike/>
                <w:color w:val="FF0000"/>
                <w:szCs w:val="24"/>
              </w:rPr>
              <w:t>:</w:t>
            </w:r>
          </w:p>
          <w:p w:rsidR="00155AF4" w:rsidRPr="00A23740" w:rsidRDefault="00155AF4" w:rsidP="009431FF">
            <w:pPr>
              <w:widowControl w:val="0"/>
              <w:tabs>
                <w:tab w:val="left" w:pos="567"/>
              </w:tabs>
              <w:autoSpaceDE w:val="0"/>
              <w:autoSpaceDN w:val="0"/>
              <w:adjustRightInd w:val="0"/>
              <w:rPr>
                <w:b/>
                <w:bCs/>
                <w:szCs w:val="24"/>
              </w:rPr>
            </w:pPr>
            <w:r w:rsidRPr="00A23740">
              <w:rPr>
                <w:b/>
                <w:bCs/>
                <w:strike/>
                <w:color w:val="FF0000"/>
                <w:szCs w:val="24"/>
              </w:rPr>
              <w:t>Madde 62 –</w:t>
            </w:r>
            <w:r w:rsidRPr="00A23740">
              <w:rPr>
                <w:rStyle w:val="KIRMIZIChar"/>
                <w:rFonts w:eastAsia="Calibri"/>
              </w:rPr>
              <w:t xml:space="preserve"> (1) </w:t>
            </w:r>
            <w:r w:rsidRPr="00A23740">
              <w:rPr>
                <w:b/>
                <w:bCs/>
                <w:strike/>
                <w:color w:val="FF0000"/>
                <w:szCs w:val="24"/>
              </w:rPr>
              <w:t>(Değişik: 18/2/1965 - 538/33 md.)</w:t>
            </w:r>
          </w:p>
          <w:p w:rsidR="00155AF4" w:rsidRPr="00A23740" w:rsidRDefault="00155AF4" w:rsidP="009431FF">
            <w:pPr>
              <w:widowControl w:val="0"/>
              <w:tabs>
                <w:tab w:val="left" w:pos="567"/>
                <w:tab w:val="left" w:pos="2340"/>
              </w:tabs>
              <w:autoSpaceDE w:val="0"/>
              <w:autoSpaceDN w:val="0"/>
              <w:adjustRightInd w:val="0"/>
              <w:rPr>
                <w:szCs w:val="24"/>
              </w:rPr>
            </w:pPr>
            <w:r w:rsidRPr="00A23740">
              <w:rPr>
                <w:szCs w:val="24"/>
              </w:rPr>
              <w:t>İtiraz etmek ist</w:t>
            </w:r>
            <w:r w:rsidRPr="00A23740">
              <w:rPr>
                <w:b/>
                <w:bCs/>
                <w:strike/>
                <w:color w:val="FF0000"/>
                <w:szCs w:val="24"/>
              </w:rPr>
              <w:t>i</w:t>
            </w:r>
            <w:r w:rsidRPr="00A23740">
              <w:rPr>
                <w:szCs w:val="24"/>
              </w:rPr>
              <w:t xml:space="preserve">yen borçlu, itirazını, ödeme emrinin tebliği tarihinden itibaren </w:t>
            </w:r>
            <w:r w:rsidRPr="00A23740">
              <w:rPr>
                <w:b/>
                <w:bCs/>
                <w:strike/>
                <w:color w:val="FF0000"/>
                <w:szCs w:val="24"/>
              </w:rPr>
              <w:t>yedi gün</w:t>
            </w:r>
            <w:r w:rsidRPr="00A23740">
              <w:rPr>
                <w:szCs w:val="24"/>
              </w:rPr>
              <w:t xml:space="preserve"> içinde </w:t>
            </w:r>
            <w:r w:rsidRPr="00A23740">
              <w:rPr>
                <w:b/>
                <w:bCs/>
                <w:strike/>
                <w:color w:val="FF0000"/>
                <w:szCs w:val="24"/>
              </w:rPr>
              <w:t>dilekçe ile</w:t>
            </w:r>
            <w:r w:rsidRPr="00A23740">
              <w:rPr>
                <w:b/>
                <w:bCs/>
                <w:color w:val="FF0000"/>
                <w:szCs w:val="24"/>
              </w:rPr>
              <w:t xml:space="preserve"> </w:t>
            </w:r>
            <w:r w:rsidRPr="00A23740">
              <w:rPr>
                <w:szCs w:val="24"/>
              </w:rPr>
              <w:t>veya sözlü olarak icra dairesine bildirme</w:t>
            </w:r>
            <w:r w:rsidRPr="00A23740">
              <w:rPr>
                <w:rStyle w:val="KIRMIZIChar"/>
                <w:rFonts w:eastAsia="Calibri"/>
              </w:rPr>
              <w:t>ye mecburdur</w:t>
            </w:r>
            <w:r w:rsidRPr="00A23740">
              <w:rPr>
                <w:szCs w:val="24"/>
              </w:rPr>
              <w:t xml:space="preserve">. </w:t>
            </w:r>
            <w:r w:rsidRPr="00A23740">
              <w:rPr>
                <w:b/>
                <w:bCs/>
                <w:strike/>
                <w:color w:val="FF0000"/>
                <w:szCs w:val="24"/>
              </w:rPr>
              <w:t>(Değişik ikinci cümle: 17/7/2003-4949/13 md.)</w:t>
            </w:r>
            <w:r w:rsidRPr="00A23740">
              <w:rPr>
                <w:b/>
                <w:bCs/>
                <w:szCs w:val="24"/>
              </w:rPr>
              <w:t xml:space="preserve"> </w:t>
            </w:r>
            <w:r w:rsidRPr="00A23740">
              <w:rPr>
                <w:szCs w:val="24"/>
              </w:rPr>
              <w:t xml:space="preserve">İtiraz, takibi yapan icra dairesinden başka bir icra dairesine yapıldığı takdirde bu daire gereken </w:t>
            </w:r>
            <w:r w:rsidRPr="00A23740">
              <w:rPr>
                <w:rStyle w:val="KIRMIZIChar"/>
                <w:rFonts w:eastAsia="Calibri"/>
              </w:rPr>
              <w:t>masrafı</w:t>
            </w:r>
            <w:r w:rsidRPr="00A23740">
              <w:rPr>
                <w:szCs w:val="24"/>
              </w:rPr>
              <w:t xml:space="preserve"> itirazla birlikte alarak itirazı derhal yetkili icra dairesine gönderir; alınmayan </w:t>
            </w:r>
            <w:r w:rsidRPr="00A23740">
              <w:rPr>
                <w:rStyle w:val="KIRMIZIChar"/>
                <w:rFonts w:eastAsia="Calibri"/>
              </w:rPr>
              <w:t>masraftan</w:t>
            </w:r>
            <w:r w:rsidRPr="00A23740">
              <w:rPr>
                <w:szCs w:val="24"/>
              </w:rPr>
              <w:t xml:space="preserve"> </w:t>
            </w:r>
            <w:r w:rsidRPr="00A23740">
              <w:rPr>
                <w:rStyle w:val="karlan--Char"/>
                <w:rFonts w:eastAsia="Calibri"/>
              </w:rPr>
              <w:t>memur</w:t>
            </w:r>
            <w:r w:rsidRPr="00A23740">
              <w:rPr>
                <w:szCs w:val="24"/>
              </w:rPr>
              <w:t xml:space="preserve"> şahsen sorumludur.</w:t>
            </w:r>
          </w:p>
          <w:p w:rsidR="00155AF4" w:rsidRPr="00A23740" w:rsidRDefault="00155AF4" w:rsidP="009431FF">
            <w:pPr>
              <w:widowControl w:val="0"/>
              <w:tabs>
                <w:tab w:val="left" w:pos="567"/>
                <w:tab w:val="left" w:pos="2340"/>
              </w:tabs>
              <w:autoSpaceDE w:val="0"/>
              <w:autoSpaceDN w:val="0"/>
              <w:adjustRightInd w:val="0"/>
              <w:rPr>
                <w:szCs w:val="24"/>
              </w:rPr>
            </w:pPr>
          </w:p>
          <w:p w:rsidR="00155AF4" w:rsidRPr="00A23740" w:rsidRDefault="00155AF4" w:rsidP="009431FF">
            <w:pPr>
              <w:widowControl w:val="0"/>
              <w:tabs>
                <w:tab w:val="left" w:pos="567"/>
                <w:tab w:val="left" w:pos="2340"/>
              </w:tabs>
              <w:autoSpaceDE w:val="0"/>
              <w:autoSpaceDN w:val="0"/>
              <w:adjustRightInd w:val="0"/>
              <w:rPr>
                <w:szCs w:val="24"/>
              </w:rPr>
            </w:pPr>
          </w:p>
          <w:p w:rsidR="00155AF4" w:rsidRPr="00A23740" w:rsidRDefault="00155AF4" w:rsidP="009431FF">
            <w:pPr>
              <w:widowControl w:val="0"/>
              <w:tabs>
                <w:tab w:val="left" w:pos="567"/>
                <w:tab w:val="left" w:pos="2340"/>
              </w:tabs>
              <w:autoSpaceDE w:val="0"/>
              <w:autoSpaceDN w:val="0"/>
              <w:adjustRightInd w:val="0"/>
              <w:rPr>
                <w:szCs w:val="24"/>
              </w:rPr>
            </w:pPr>
          </w:p>
          <w:p w:rsidR="00155AF4" w:rsidRPr="00A23740" w:rsidRDefault="00155AF4" w:rsidP="009431FF">
            <w:pPr>
              <w:widowControl w:val="0"/>
              <w:tabs>
                <w:tab w:val="left" w:pos="567"/>
                <w:tab w:val="left" w:pos="2340"/>
              </w:tabs>
              <w:autoSpaceDE w:val="0"/>
              <w:autoSpaceDN w:val="0"/>
              <w:adjustRightInd w:val="0"/>
              <w:rPr>
                <w:szCs w:val="24"/>
              </w:rPr>
            </w:pPr>
          </w:p>
          <w:p w:rsidR="00155AF4" w:rsidRPr="00A23740" w:rsidRDefault="00155AF4" w:rsidP="009431FF">
            <w:pPr>
              <w:widowControl w:val="0"/>
              <w:tabs>
                <w:tab w:val="left" w:pos="567"/>
                <w:tab w:val="left" w:pos="2340"/>
              </w:tabs>
              <w:autoSpaceDE w:val="0"/>
              <w:autoSpaceDN w:val="0"/>
              <w:adjustRightInd w:val="0"/>
              <w:rPr>
                <w:szCs w:val="24"/>
              </w:rPr>
            </w:pPr>
          </w:p>
          <w:p w:rsidR="00155AF4" w:rsidRPr="00A23740" w:rsidRDefault="00155AF4" w:rsidP="009431FF">
            <w:pPr>
              <w:widowControl w:val="0"/>
              <w:tabs>
                <w:tab w:val="left" w:pos="567"/>
                <w:tab w:val="left" w:pos="2340"/>
              </w:tabs>
              <w:autoSpaceDE w:val="0"/>
              <w:autoSpaceDN w:val="0"/>
              <w:adjustRightInd w:val="0"/>
              <w:rPr>
                <w:szCs w:val="24"/>
              </w:rPr>
            </w:pPr>
          </w:p>
          <w:p w:rsidR="00155AF4" w:rsidRPr="00A23740" w:rsidRDefault="00155AF4" w:rsidP="009431FF">
            <w:pPr>
              <w:widowControl w:val="0"/>
              <w:tabs>
                <w:tab w:val="left" w:pos="567"/>
                <w:tab w:val="left" w:pos="2340"/>
              </w:tabs>
              <w:autoSpaceDE w:val="0"/>
              <w:autoSpaceDN w:val="0"/>
              <w:adjustRightInd w:val="0"/>
              <w:rPr>
                <w:szCs w:val="24"/>
              </w:rPr>
            </w:pPr>
          </w:p>
          <w:p w:rsidR="00155AF4" w:rsidRPr="00551F85" w:rsidRDefault="00155AF4" w:rsidP="009431FF">
            <w:pPr>
              <w:pStyle w:val="KIRMIZI"/>
            </w:pPr>
            <w:r w:rsidRPr="00551F85">
              <w:t>(2) (Değişik fıkra: 17/7/2003-4949/13 md.</w:t>
            </w:r>
            <w:r w:rsidRPr="00551F85">
              <w:rPr>
                <w:rStyle w:val="karlan--Char"/>
                <w:rFonts w:eastAsia="Calibri"/>
                <w:b/>
                <w:bCs/>
                <w:strike/>
              </w:rPr>
              <w:t xml:space="preserve">) </w:t>
            </w:r>
            <w:r w:rsidRPr="00551F85">
              <w:t xml:space="preserve">Takibe itiraz edildiği, </w:t>
            </w:r>
            <w:r w:rsidRPr="00551F85">
              <w:rPr>
                <w:rStyle w:val="KIRMIZIChar"/>
                <w:rFonts w:eastAsia="Calibri"/>
                <w:b/>
                <w:bCs/>
                <w:strike/>
              </w:rPr>
              <w:t>59 uncu</w:t>
            </w:r>
            <w:r w:rsidRPr="00551F85">
              <w:t xml:space="preserve"> maddeye göre alacaklının yatırdığı avanstan karşılanmak suretiyle üç gün içinde bir muhtıra ile alacaklıya tebliğ edilir.</w:t>
            </w:r>
          </w:p>
          <w:p w:rsidR="00155AF4" w:rsidRPr="00A23740" w:rsidRDefault="00155AF4" w:rsidP="009431FF">
            <w:pPr>
              <w:widowControl w:val="0"/>
              <w:tabs>
                <w:tab w:val="left" w:pos="567"/>
                <w:tab w:val="left" w:pos="2340"/>
              </w:tabs>
              <w:autoSpaceDE w:val="0"/>
              <w:autoSpaceDN w:val="0"/>
              <w:adjustRightInd w:val="0"/>
              <w:rPr>
                <w:szCs w:val="24"/>
              </w:rPr>
            </w:pPr>
          </w:p>
          <w:p w:rsidR="00155AF4" w:rsidRPr="00A23740" w:rsidRDefault="00155AF4" w:rsidP="009431FF">
            <w:pPr>
              <w:widowControl w:val="0"/>
              <w:tabs>
                <w:tab w:val="left" w:pos="567"/>
                <w:tab w:val="left" w:pos="2340"/>
              </w:tabs>
              <w:autoSpaceDE w:val="0"/>
              <w:autoSpaceDN w:val="0"/>
              <w:adjustRightInd w:val="0"/>
              <w:rPr>
                <w:szCs w:val="24"/>
              </w:rPr>
            </w:pPr>
            <w:r w:rsidRPr="00A23740">
              <w:rPr>
                <w:b/>
                <w:bCs/>
                <w:strike/>
                <w:color w:val="FF0000"/>
                <w:szCs w:val="24"/>
              </w:rPr>
              <w:t>(3) (Ek fıkra: 17/7/2003-4949/13 md.)</w:t>
            </w:r>
            <w:r w:rsidRPr="00A23740">
              <w:rPr>
                <w:b/>
                <w:bCs/>
                <w:szCs w:val="24"/>
              </w:rPr>
              <w:t xml:space="preserve"> </w:t>
            </w:r>
            <w:r w:rsidRPr="00A23740">
              <w:rPr>
                <w:b/>
                <w:bCs/>
                <w:strike/>
                <w:color w:val="FF0000"/>
                <w:szCs w:val="24"/>
              </w:rPr>
              <w:t>Borçlu veya vekili, dava ve takip işlemlerine esas olmak üzere borçluya ait</w:t>
            </w:r>
            <w:r w:rsidRPr="00A23740">
              <w:rPr>
                <w:szCs w:val="24"/>
              </w:rPr>
              <w:t xml:space="preserve"> yurt içinde bir adres</w:t>
            </w:r>
            <w:r w:rsidRPr="00A23740">
              <w:rPr>
                <w:bCs/>
                <w:color w:val="000000"/>
                <w:szCs w:val="24"/>
              </w:rPr>
              <w:t>i</w:t>
            </w:r>
            <w:r w:rsidRPr="00A23740">
              <w:rPr>
                <w:szCs w:val="24"/>
              </w:rPr>
              <w:t xml:space="preserve"> </w:t>
            </w:r>
            <w:r w:rsidRPr="00A23740">
              <w:rPr>
                <w:rStyle w:val="KIRMIZIChar"/>
                <w:rFonts w:eastAsia="Calibri"/>
              </w:rPr>
              <w:t>itirazla birlikte</w:t>
            </w:r>
            <w:r w:rsidRPr="00A23740">
              <w:rPr>
                <w:szCs w:val="24"/>
              </w:rPr>
              <w:t xml:space="preserve"> bildirmek zorundadır. </w:t>
            </w:r>
            <w:r w:rsidRPr="00A23740">
              <w:rPr>
                <w:b/>
                <w:bCs/>
                <w:strike/>
                <w:color w:val="FF0000"/>
                <w:szCs w:val="24"/>
              </w:rPr>
              <w:t>Adresini değiştiren borçlu yurt içinde yeni adres bildirmediği ve tebliğ memurunca yurt içinde yeni adresi tespit edilemediği takdirde, takip talebinde gösterilen adrese çıkarılacak tebligat borçlunun kendisine yapılmış sayılır.</w:t>
            </w:r>
            <w:r w:rsidRPr="00A23740">
              <w:rPr>
                <w:szCs w:val="24"/>
              </w:rPr>
              <w:t xml:space="preserve">   </w:t>
            </w:r>
          </w:p>
          <w:p w:rsidR="00155AF4" w:rsidRPr="00A23740" w:rsidRDefault="00155AF4" w:rsidP="009431FF">
            <w:pPr>
              <w:widowControl w:val="0"/>
              <w:tabs>
                <w:tab w:val="left" w:pos="567"/>
              </w:tabs>
              <w:autoSpaceDE w:val="0"/>
              <w:autoSpaceDN w:val="0"/>
              <w:adjustRightInd w:val="0"/>
              <w:rPr>
                <w:szCs w:val="24"/>
              </w:rPr>
            </w:pPr>
          </w:p>
          <w:p w:rsidR="00BC348B" w:rsidRPr="00A23740" w:rsidRDefault="00BC348B" w:rsidP="009431FF">
            <w:pPr>
              <w:widowControl w:val="0"/>
              <w:tabs>
                <w:tab w:val="left" w:pos="567"/>
              </w:tabs>
              <w:autoSpaceDE w:val="0"/>
              <w:autoSpaceDN w:val="0"/>
              <w:adjustRightInd w:val="0"/>
              <w:rPr>
                <w:szCs w:val="24"/>
              </w:rPr>
            </w:pPr>
          </w:p>
          <w:p w:rsidR="00155AF4" w:rsidRPr="00A23740" w:rsidRDefault="00155AF4" w:rsidP="009431FF">
            <w:pPr>
              <w:pStyle w:val="KIRMIZI"/>
              <w:widowControl w:val="0"/>
            </w:pPr>
            <w:r w:rsidRPr="00A23740">
              <w:t xml:space="preserve">(4) Borcun bir kısmına itiraz eden borçlunun o kısman cihet ve </w:t>
            </w:r>
            <w:r w:rsidRPr="00A23740">
              <w:lastRenderedPageBreak/>
              <w:t>miktarını açıkca göstermesi lazımdır. Aksi takdirde itiraz edilmemiş sayılır.</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(5) (Mülga dördüncü fıkra: 17/7/2003-4949/103 md.)</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(6) Borçlu takibin müstenidi olan senet altındaki imzayı reddediyorsa, bunu itirazında ayrıca ve açıkça beyan etmelidir. Aksi takdirde icra takibi yönünden senetteki imzayı kabul etmiş sayılır.</w:t>
            </w:r>
          </w:p>
          <w:p w:rsidR="00155AF4" w:rsidRPr="00551F85" w:rsidRDefault="00155AF4" w:rsidP="009431FF">
            <w:pPr>
              <w:pStyle w:val="KIRMIZI"/>
            </w:pPr>
          </w:p>
          <w:p w:rsidR="00155AF4" w:rsidRPr="00551F85" w:rsidRDefault="00155AF4" w:rsidP="009431FF">
            <w:pPr>
              <w:pStyle w:val="KIRMIZI"/>
            </w:pPr>
            <w:r w:rsidRPr="00551F85">
              <w:rPr>
                <w:rStyle w:val="KIRMIZIChar"/>
                <w:rFonts w:eastAsia="Calibri"/>
                <w:b/>
                <w:bCs/>
                <w:strike/>
              </w:rPr>
              <w:t>(7)</w:t>
            </w:r>
            <w:r w:rsidRPr="00551F85">
              <w:t xml:space="preserve"> Borçluya, itiraz eylediğine dair bedava ve pulsuz bir belge verilir.</w:t>
            </w:r>
          </w:p>
          <w:p w:rsidR="00291C18" w:rsidRPr="00A23740" w:rsidRDefault="00291C18" w:rsidP="009431FF">
            <w:pPr>
              <w:pStyle w:val="KIRMIZI"/>
              <w:widowControl w:val="0"/>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pStyle w:val="Balk4"/>
              <w:keepNext w:val="0"/>
              <w:widowControl w:val="0"/>
              <w:rPr>
                <w:lang w:val="tr-TR"/>
              </w:rPr>
            </w:pPr>
            <w:r w:rsidRPr="00A23740">
              <w:rPr>
                <w:lang w:val="tr-TR"/>
              </w:rPr>
              <w:lastRenderedPageBreak/>
              <w:t>DÖRDÜNCÜ AYRIM</w:t>
            </w:r>
          </w:p>
          <w:p w:rsidR="00155AF4" w:rsidRPr="00551F85" w:rsidRDefault="00155AF4" w:rsidP="009431FF">
            <w:pPr>
              <w:pStyle w:val="Balk4"/>
              <w:keepNext w:val="0"/>
              <w:widowControl w:val="0"/>
              <w:rPr>
                <w:color w:val="auto"/>
                <w:lang w:val="tr-TR"/>
              </w:rPr>
            </w:pPr>
            <w:r w:rsidRPr="00551F85">
              <w:rPr>
                <w:color w:val="auto"/>
                <w:lang w:val="tr-TR"/>
              </w:rPr>
              <w:t>İtiraz</w:t>
            </w:r>
          </w:p>
          <w:p w:rsidR="00155AF4" w:rsidRPr="00A23740" w:rsidRDefault="00155AF4" w:rsidP="009431FF">
            <w:pPr>
              <w:widowControl w:val="0"/>
              <w:tabs>
                <w:tab w:val="left" w:pos="567"/>
              </w:tabs>
              <w:autoSpaceDE w:val="0"/>
              <w:autoSpaceDN w:val="0"/>
              <w:adjustRightInd w:val="0"/>
              <w:jc w:val="center"/>
              <w:rPr>
                <w:b/>
                <w:bCs/>
                <w:color w:val="FF66CC"/>
                <w:szCs w:val="24"/>
              </w:rPr>
            </w:pPr>
          </w:p>
          <w:p w:rsidR="00155AF4" w:rsidRPr="00A23740" w:rsidRDefault="00155AF4" w:rsidP="009431FF">
            <w:pPr>
              <w:widowControl w:val="0"/>
              <w:tabs>
                <w:tab w:val="left" w:pos="567"/>
              </w:tabs>
              <w:autoSpaceDE w:val="0"/>
              <w:autoSpaceDN w:val="0"/>
              <w:adjustRightInd w:val="0"/>
              <w:rPr>
                <w:b/>
                <w:bCs/>
                <w:szCs w:val="24"/>
              </w:rPr>
            </w:pPr>
            <w:r w:rsidRPr="00A23740">
              <w:rPr>
                <w:rStyle w:val="MaviChar"/>
              </w:rPr>
              <w:t>İtirazın</w:t>
            </w:r>
            <w:r w:rsidRPr="00A23740">
              <w:rPr>
                <w:b/>
                <w:bCs/>
                <w:szCs w:val="24"/>
              </w:rPr>
              <w:t xml:space="preserve"> süresi ve şekli</w:t>
            </w:r>
          </w:p>
          <w:p w:rsidR="00155AF4" w:rsidRPr="00A23740" w:rsidRDefault="00155AF4" w:rsidP="009431FF">
            <w:pPr>
              <w:widowControl w:val="0"/>
              <w:autoSpaceDE w:val="0"/>
              <w:autoSpaceDN w:val="0"/>
              <w:adjustRightInd w:val="0"/>
              <w:rPr>
                <w:szCs w:val="24"/>
              </w:rPr>
            </w:pPr>
            <w:r w:rsidRPr="00A23740">
              <w:rPr>
                <w:rStyle w:val="MaviChar"/>
              </w:rPr>
              <w:t>MADDE</w:t>
            </w:r>
            <w:r w:rsidRPr="00A23740">
              <w:rPr>
                <w:rStyle w:val="MAVChar"/>
                <w:rFonts w:eastAsia="Calibri"/>
                <w:u w:val="none"/>
              </w:rPr>
              <w:t xml:space="preserve"> 91-</w:t>
            </w:r>
            <w:r w:rsidRPr="00A23740">
              <w:rPr>
                <w:b/>
                <w:bCs/>
                <w:szCs w:val="24"/>
              </w:rPr>
              <w:t xml:space="preserve"> </w:t>
            </w:r>
            <w:r w:rsidRPr="00A23740">
              <w:rPr>
                <w:rStyle w:val="MaviChar"/>
              </w:rPr>
              <w:t>(1)</w:t>
            </w:r>
            <w:r w:rsidRPr="00A23740">
              <w:rPr>
                <w:rStyle w:val="Normal--Char"/>
                <w:rFonts w:eastAsia="Calibri"/>
              </w:rPr>
              <w:t xml:space="preserve"> </w:t>
            </w:r>
            <w:r w:rsidRPr="00A23740">
              <w:rPr>
                <w:szCs w:val="24"/>
              </w:rPr>
              <w:t>İtiraz etmek ist</w:t>
            </w:r>
            <w:r w:rsidRPr="00A23740">
              <w:rPr>
                <w:rStyle w:val="MaviChar"/>
              </w:rPr>
              <w:t>e</w:t>
            </w:r>
            <w:r w:rsidRPr="00A23740">
              <w:rPr>
                <w:szCs w:val="24"/>
              </w:rPr>
              <w:t xml:space="preserve">yen borçlu, itirazını, ödeme emrinin tebliği tarihinden itibaren </w:t>
            </w:r>
            <w:r w:rsidRPr="00A23740">
              <w:rPr>
                <w:rStyle w:val="MaviChar"/>
              </w:rPr>
              <w:t>iki hafta</w:t>
            </w:r>
            <w:r w:rsidRPr="00A23740">
              <w:rPr>
                <w:szCs w:val="24"/>
              </w:rPr>
              <w:t xml:space="preserve"> içinde </w:t>
            </w:r>
            <w:r w:rsidRPr="00A23740">
              <w:rPr>
                <w:rStyle w:val="MaviChar"/>
              </w:rPr>
              <w:t>yazılı</w:t>
            </w:r>
            <w:r w:rsidRPr="00A23740">
              <w:rPr>
                <w:szCs w:val="24"/>
              </w:rPr>
              <w:t xml:space="preserve"> veya</w:t>
            </w:r>
            <w:r w:rsidRPr="00A23740">
              <w:rPr>
                <w:b/>
                <w:bCs/>
                <w:color w:val="0000FF"/>
                <w:szCs w:val="24"/>
              </w:rPr>
              <w:t xml:space="preserve"> </w:t>
            </w:r>
            <w:r w:rsidRPr="00A23740">
              <w:rPr>
                <w:szCs w:val="24"/>
              </w:rPr>
              <w:t xml:space="preserve">sözlü olarak icra </w:t>
            </w:r>
            <w:r w:rsidRPr="00A23740">
              <w:rPr>
                <w:rStyle w:val="MaviChar"/>
              </w:rPr>
              <w:t>ve iflas</w:t>
            </w:r>
            <w:r w:rsidRPr="00A23740">
              <w:rPr>
                <w:szCs w:val="24"/>
              </w:rPr>
              <w:t xml:space="preserve"> dairesine bildirme</w:t>
            </w:r>
            <w:r w:rsidRPr="00A23740">
              <w:rPr>
                <w:rStyle w:val="MaviChar"/>
              </w:rPr>
              <w:t>k zorundadır</w:t>
            </w:r>
            <w:r w:rsidR="00926666" w:rsidRPr="00A23740">
              <w:rPr>
                <w:szCs w:val="24"/>
              </w:rPr>
              <w:t>.</w:t>
            </w:r>
          </w:p>
          <w:p w:rsidR="00155AF4" w:rsidRPr="00A23740" w:rsidRDefault="00155AF4" w:rsidP="009431FF">
            <w:pPr>
              <w:widowControl w:val="0"/>
              <w:autoSpaceDE w:val="0"/>
              <w:autoSpaceDN w:val="0"/>
              <w:adjustRightInd w:val="0"/>
              <w:rPr>
                <w:szCs w:val="24"/>
              </w:rPr>
            </w:pPr>
          </w:p>
          <w:p w:rsidR="00155AF4" w:rsidRPr="00A23740" w:rsidRDefault="00155AF4" w:rsidP="009431FF">
            <w:pPr>
              <w:widowControl w:val="0"/>
              <w:autoSpaceDE w:val="0"/>
              <w:autoSpaceDN w:val="0"/>
              <w:adjustRightInd w:val="0"/>
              <w:rPr>
                <w:rStyle w:val="Yenieklenen--Char"/>
                <w:rFonts w:eastAsia="Calibri"/>
                <w:u w:val="none"/>
              </w:rPr>
            </w:pPr>
            <w:r w:rsidRPr="00A23740">
              <w:rPr>
                <w:rStyle w:val="MaviChar"/>
              </w:rPr>
              <w:t>(2)</w:t>
            </w:r>
            <w:r w:rsidRPr="00A23740">
              <w:rPr>
                <w:szCs w:val="24"/>
              </w:rPr>
              <w:t xml:space="preserve"> İtiraz, takibi yapan icra </w:t>
            </w:r>
            <w:r w:rsidRPr="00A23740">
              <w:rPr>
                <w:rStyle w:val="MaviChar"/>
              </w:rPr>
              <w:t>ve iflas</w:t>
            </w:r>
            <w:r w:rsidRPr="00A23740">
              <w:rPr>
                <w:szCs w:val="24"/>
              </w:rPr>
              <w:t xml:space="preserve"> dairesinden başka bir icra </w:t>
            </w:r>
            <w:r w:rsidRPr="00A23740">
              <w:rPr>
                <w:rStyle w:val="MaviChar"/>
              </w:rPr>
              <w:t>ve iflas</w:t>
            </w:r>
            <w:r w:rsidRPr="00A23740">
              <w:rPr>
                <w:szCs w:val="24"/>
              </w:rPr>
              <w:t xml:space="preserve"> dairesine yapıldığı takdirde bu daire gereken </w:t>
            </w:r>
            <w:r w:rsidRPr="00A23740">
              <w:rPr>
                <w:rStyle w:val="MaviChar"/>
              </w:rPr>
              <w:t>gideri</w:t>
            </w:r>
            <w:r w:rsidRPr="00A23740">
              <w:rPr>
                <w:szCs w:val="24"/>
              </w:rPr>
              <w:t xml:space="preserve"> itirazla birlikte alarak itirazı derh</w:t>
            </w:r>
            <w:r w:rsidR="00DF22A1" w:rsidRPr="00A23740">
              <w:rPr>
                <w:szCs w:val="24"/>
              </w:rPr>
              <w:t>â</w:t>
            </w:r>
            <w:r w:rsidRPr="00A23740">
              <w:rPr>
                <w:szCs w:val="24"/>
              </w:rPr>
              <w:t xml:space="preserve">l yetkili icra </w:t>
            </w:r>
            <w:r w:rsidRPr="00A23740">
              <w:rPr>
                <w:rStyle w:val="MaviChar"/>
              </w:rPr>
              <w:t>ve iflas</w:t>
            </w:r>
            <w:r w:rsidRPr="00A23740">
              <w:rPr>
                <w:szCs w:val="24"/>
              </w:rPr>
              <w:t xml:space="preserve"> dairesine gönderir; </w:t>
            </w:r>
            <w:r w:rsidRPr="00A23740">
              <w:rPr>
                <w:rStyle w:val="MaviChar"/>
              </w:rPr>
              <w:t xml:space="preserve">itirazı alan icra </w:t>
            </w:r>
            <w:r w:rsidR="007D74DD" w:rsidRPr="006D2E3C">
              <w:rPr>
                <w:b/>
                <w:color w:val="0000FF"/>
              </w:rPr>
              <w:t>ve</w:t>
            </w:r>
            <w:r w:rsidR="007D74DD" w:rsidRPr="00A23740">
              <w:rPr>
                <w:b/>
                <w:color w:val="385623"/>
              </w:rPr>
              <w:t xml:space="preserve"> </w:t>
            </w:r>
            <w:r w:rsidR="007D74DD" w:rsidRPr="006D2E3C">
              <w:rPr>
                <w:b/>
                <w:color w:val="0000FF"/>
              </w:rPr>
              <w:t>iflas</w:t>
            </w:r>
            <w:r w:rsidR="007D74DD" w:rsidRPr="00A23740">
              <w:rPr>
                <w:b/>
                <w:color w:val="385623"/>
              </w:rPr>
              <w:t xml:space="preserve"> </w:t>
            </w:r>
            <w:r w:rsidRPr="00A23740">
              <w:rPr>
                <w:rStyle w:val="MaviChar"/>
                <w:lang w:val="tr-TR"/>
              </w:rPr>
              <w:t>müdürü</w:t>
            </w:r>
            <w:r w:rsidRPr="00A23740">
              <w:rPr>
                <w:szCs w:val="24"/>
              </w:rPr>
              <w:t xml:space="preserve"> alınmayan </w:t>
            </w:r>
            <w:r w:rsidRPr="00A23740">
              <w:rPr>
                <w:rStyle w:val="MaviChar"/>
              </w:rPr>
              <w:t>giderden</w:t>
            </w:r>
            <w:r w:rsidRPr="00A23740">
              <w:rPr>
                <w:szCs w:val="24"/>
              </w:rPr>
              <w:t xml:space="preserve"> şahsen sorumludur. </w:t>
            </w:r>
            <w:r w:rsidRPr="00A23740">
              <w:rPr>
                <w:rStyle w:val="MaviChar"/>
                <w:lang w:val="tr-TR"/>
              </w:rPr>
              <w:t>İ</w:t>
            </w:r>
            <w:r w:rsidRPr="00A23740">
              <w:rPr>
                <w:rStyle w:val="MaviChar"/>
              </w:rPr>
              <w:t>cra ve iflas</w:t>
            </w:r>
            <w:r w:rsidRPr="00A23740">
              <w:rPr>
                <w:rStyle w:val="MaviChar"/>
                <w:lang w:val="tr-TR"/>
              </w:rPr>
              <w:t xml:space="preserve"> </w:t>
            </w:r>
            <w:r w:rsidRPr="00A23740">
              <w:rPr>
                <w:rStyle w:val="MaviChar"/>
              </w:rPr>
              <w:t>dairesi</w:t>
            </w:r>
            <w:r w:rsidRPr="00A23740">
              <w:rPr>
                <w:rStyle w:val="MaviChar"/>
                <w:lang w:val="tr-TR"/>
              </w:rPr>
              <w:t>,</w:t>
            </w:r>
            <w:r w:rsidRPr="00A23740">
              <w:rPr>
                <w:rStyle w:val="MaviChar"/>
              </w:rPr>
              <w:t xml:space="preserve"> itirazı derh</w:t>
            </w:r>
            <w:r w:rsidR="00DF22A1" w:rsidRPr="00A23740">
              <w:rPr>
                <w:rStyle w:val="MaviChar"/>
                <w:lang w:val="tr-TR"/>
              </w:rPr>
              <w:t>â</w:t>
            </w:r>
            <w:r w:rsidRPr="00A23740">
              <w:rPr>
                <w:rStyle w:val="MaviChar"/>
              </w:rPr>
              <w:t>l UYAP’a aktarma</w:t>
            </w:r>
            <w:r w:rsidRPr="00A23740">
              <w:rPr>
                <w:rStyle w:val="MaviChar"/>
                <w:lang w:val="tr-TR"/>
              </w:rPr>
              <w:t>k</w:t>
            </w:r>
            <w:r w:rsidRPr="00A23740">
              <w:rPr>
                <w:rStyle w:val="MaviChar"/>
              </w:rPr>
              <w:t xml:space="preserve"> </w:t>
            </w:r>
            <w:r w:rsidRPr="00A23740">
              <w:rPr>
                <w:rStyle w:val="MaviChar"/>
                <w:lang w:val="tr-TR"/>
              </w:rPr>
              <w:t>zorundadır</w:t>
            </w:r>
            <w:r w:rsidRPr="00A23740">
              <w:rPr>
                <w:rStyle w:val="MaviChar"/>
              </w:rPr>
              <w:t>.</w:t>
            </w:r>
          </w:p>
          <w:p w:rsidR="00155AF4" w:rsidRPr="00A23740" w:rsidRDefault="00155AF4" w:rsidP="009431FF">
            <w:pPr>
              <w:widowControl w:val="0"/>
              <w:autoSpaceDE w:val="0"/>
              <w:autoSpaceDN w:val="0"/>
              <w:adjustRightInd w:val="0"/>
              <w:rPr>
                <w:b/>
                <w:bCs/>
                <w:color w:val="0000FF"/>
                <w:szCs w:val="24"/>
              </w:rPr>
            </w:pPr>
          </w:p>
          <w:p w:rsidR="00155AF4" w:rsidRPr="00A23740" w:rsidRDefault="00155AF4" w:rsidP="009431FF">
            <w:pPr>
              <w:pStyle w:val="Mavi"/>
              <w:widowControl w:val="0"/>
            </w:pPr>
            <w:r w:rsidRPr="00A23740">
              <w:t>(3) Alacaklının talebi üzerine aynı ödeme emri farklı</w:t>
            </w:r>
            <w:r w:rsidRPr="00A23740">
              <w:rPr>
                <w:lang w:val="tr-TR"/>
              </w:rPr>
              <w:t xml:space="preserve"> </w:t>
            </w:r>
            <w:r w:rsidRPr="00A23740">
              <w:t xml:space="preserve">adreslere tebliğe çıkarılmış ise, itiraz süresi en son tarihli tebliğden itibaren </w:t>
            </w:r>
            <w:r w:rsidR="00CC2465" w:rsidRPr="006D2E3C">
              <w:t>işlemeye</w:t>
            </w:r>
            <w:r w:rsidR="00CC2465" w:rsidRPr="00A23740">
              <w:rPr>
                <w:color w:val="538135"/>
              </w:rPr>
              <w:t xml:space="preserve"> </w:t>
            </w:r>
            <w:r w:rsidRPr="00A23740">
              <w:t>başlar.</w:t>
            </w:r>
          </w:p>
          <w:p w:rsidR="00155AF4" w:rsidRDefault="00155AF4" w:rsidP="009431FF">
            <w:pPr>
              <w:widowControl w:val="0"/>
              <w:autoSpaceDE w:val="0"/>
              <w:autoSpaceDN w:val="0"/>
              <w:adjustRightInd w:val="0"/>
              <w:rPr>
                <w:rStyle w:val="KIRMIZIChar"/>
                <w:rFonts w:eastAsia="Calibri"/>
              </w:rPr>
            </w:pPr>
          </w:p>
          <w:p w:rsidR="00562C1C" w:rsidRDefault="00562C1C" w:rsidP="009431FF">
            <w:pPr>
              <w:widowControl w:val="0"/>
              <w:autoSpaceDE w:val="0"/>
              <w:autoSpaceDN w:val="0"/>
              <w:adjustRightInd w:val="0"/>
              <w:rPr>
                <w:rStyle w:val="KIRMIZIChar"/>
                <w:rFonts w:eastAsia="Calibri"/>
              </w:rPr>
            </w:pPr>
          </w:p>
          <w:p w:rsidR="00562C1C" w:rsidRDefault="00562C1C" w:rsidP="009431FF">
            <w:pPr>
              <w:widowControl w:val="0"/>
              <w:autoSpaceDE w:val="0"/>
              <w:autoSpaceDN w:val="0"/>
              <w:adjustRightInd w:val="0"/>
              <w:rPr>
                <w:rStyle w:val="KIRMIZIChar"/>
                <w:rFonts w:eastAsia="Calibri"/>
              </w:rPr>
            </w:pPr>
          </w:p>
          <w:p w:rsidR="00562C1C" w:rsidRDefault="00562C1C" w:rsidP="009431FF">
            <w:pPr>
              <w:widowControl w:val="0"/>
              <w:autoSpaceDE w:val="0"/>
              <w:autoSpaceDN w:val="0"/>
              <w:adjustRightInd w:val="0"/>
              <w:rPr>
                <w:rStyle w:val="KIRMIZIChar"/>
                <w:rFonts w:eastAsia="Calibri"/>
              </w:rPr>
            </w:pPr>
          </w:p>
          <w:p w:rsidR="00562C1C" w:rsidRPr="00A23740" w:rsidRDefault="00562C1C" w:rsidP="009431FF">
            <w:pPr>
              <w:widowControl w:val="0"/>
              <w:autoSpaceDE w:val="0"/>
              <w:autoSpaceDN w:val="0"/>
              <w:adjustRightInd w:val="0"/>
              <w:rPr>
                <w:rStyle w:val="KIRMIZIChar"/>
                <w:rFonts w:eastAsia="Calibri"/>
              </w:rPr>
            </w:pPr>
          </w:p>
          <w:p w:rsidR="00155AF4" w:rsidRPr="00A23740" w:rsidRDefault="00E550F2" w:rsidP="009431FF">
            <w:pPr>
              <w:pStyle w:val="Mavi"/>
              <w:widowControl w:val="0"/>
              <w:rPr>
                <w:rStyle w:val="YELChar"/>
                <w:rFonts w:eastAsia="Calibri"/>
                <w:b/>
                <w:color w:val="0000FF"/>
                <w:lang w:eastAsia="x-none"/>
              </w:rPr>
            </w:pPr>
            <w:r w:rsidRPr="00A23740">
              <w:rPr>
                <w:rStyle w:val="YELChar"/>
                <w:rFonts w:eastAsia="Calibri"/>
                <w:b/>
                <w:color w:val="0000FF"/>
                <w:lang w:eastAsia="x-none"/>
              </w:rPr>
              <w:t>(4</w:t>
            </w:r>
            <w:r w:rsidR="00155AF4" w:rsidRPr="00A23740">
              <w:rPr>
                <w:rStyle w:val="YELChar"/>
                <w:rFonts w:eastAsia="Calibri"/>
                <w:b/>
                <w:color w:val="0000FF"/>
                <w:lang w:eastAsia="x-none"/>
              </w:rPr>
              <w:t>)</w:t>
            </w:r>
            <w:r w:rsidR="00155AF4" w:rsidRPr="00A23740">
              <w:t xml:space="preserve"> </w:t>
            </w:r>
            <w:r w:rsidR="00155AF4" w:rsidRPr="00A23740">
              <w:rPr>
                <w:rStyle w:val="YELChar"/>
                <w:rFonts w:eastAsia="Calibri"/>
                <w:b/>
                <w:color w:val="0000FF"/>
                <w:lang w:eastAsia="x-none"/>
              </w:rPr>
              <w:t>Ödeme emrinin yurt dışın</w:t>
            </w:r>
            <w:r w:rsidR="00155AF4" w:rsidRPr="00A23740">
              <w:rPr>
                <w:rStyle w:val="YELChar"/>
                <w:rFonts w:eastAsia="Calibri"/>
                <w:b/>
                <w:color w:val="0000FF"/>
                <w:lang w:val="tr-TR" w:eastAsia="x-none"/>
              </w:rPr>
              <w:t>d</w:t>
            </w:r>
            <w:r w:rsidR="00155AF4" w:rsidRPr="00A23740">
              <w:rPr>
                <w:rStyle w:val="YELChar"/>
                <w:rFonts w:eastAsia="Calibri"/>
                <w:b/>
                <w:color w:val="0000FF"/>
                <w:lang w:eastAsia="x-none"/>
              </w:rPr>
              <w:t>a tebliğ edildiği h</w:t>
            </w:r>
            <w:r w:rsidR="002F2BAA" w:rsidRPr="00A23740">
              <w:rPr>
                <w:rStyle w:val="YELChar"/>
                <w:rFonts w:eastAsia="Calibri"/>
                <w:b/>
                <w:color w:val="0000FF"/>
                <w:lang w:val="tr-TR" w:eastAsia="x-none"/>
              </w:rPr>
              <w:t>â</w:t>
            </w:r>
            <w:r w:rsidR="00155AF4" w:rsidRPr="00A23740">
              <w:rPr>
                <w:rStyle w:val="YELChar"/>
                <w:rFonts w:eastAsia="Calibri"/>
                <w:b/>
                <w:color w:val="0000FF"/>
                <w:lang w:eastAsia="x-none"/>
              </w:rPr>
              <w:t xml:space="preserve">llerde, itiraz etmek isteyen borçlu itirazla birlikte, itiraz etmeyecek olan borçlu ise itiraz süresi içinde, dava ve takip işlemlerine esas olmak üzere </w:t>
            </w:r>
            <w:r w:rsidR="00155AF4" w:rsidRPr="00A23740">
              <w:rPr>
                <w:rStyle w:val="YELChar"/>
                <w:rFonts w:eastAsia="Calibri"/>
                <w:color w:val="000000"/>
                <w:lang w:eastAsia="x-none"/>
              </w:rPr>
              <w:t>yurt içinde bir adresi</w:t>
            </w:r>
            <w:r w:rsidR="00155AF4" w:rsidRPr="00A23740">
              <w:rPr>
                <w:rStyle w:val="YELChar"/>
                <w:rFonts w:eastAsia="Calibri"/>
                <w:b/>
                <w:color w:val="0000FF"/>
                <w:lang w:eastAsia="x-none"/>
              </w:rPr>
              <w:t xml:space="preserve"> </w:t>
            </w:r>
            <w:r w:rsidR="00155AF4" w:rsidRPr="00A23740">
              <w:rPr>
                <w:rStyle w:val="YELChar"/>
                <w:rFonts w:eastAsia="Calibri"/>
                <w:color w:val="000000"/>
                <w:lang w:eastAsia="x-none"/>
              </w:rPr>
              <w:t>bildirmek zorundadır.</w:t>
            </w:r>
            <w:r w:rsidR="00155AF4" w:rsidRPr="00A23740">
              <w:rPr>
                <w:rStyle w:val="YELChar"/>
                <w:rFonts w:eastAsia="Calibri"/>
                <w:b/>
                <w:color w:val="0000FF"/>
                <w:lang w:eastAsia="x-none"/>
              </w:rPr>
              <w:t xml:space="preserve"> Borçlu, yurt</w:t>
            </w:r>
            <w:r w:rsidR="00155AF4" w:rsidRPr="00A23740">
              <w:rPr>
                <w:rStyle w:val="YELChar"/>
                <w:rFonts w:eastAsia="Calibri"/>
                <w:b/>
                <w:color w:val="0000FF"/>
                <w:lang w:val="tr-TR" w:eastAsia="x-none"/>
              </w:rPr>
              <w:t xml:space="preserve"> </w:t>
            </w:r>
            <w:r w:rsidR="00155AF4" w:rsidRPr="00A23740">
              <w:rPr>
                <w:rStyle w:val="YELChar"/>
                <w:rFonts w:eastAsia="Calibri"/>
                <w:b/>
                <w:color w:val="0000FF"/>
                <w:lang w:eastAsia="x-none"/>
              </w:rPr>
              <w:t>içinde bir adres bildirmediği takdirde</w:t>
            </w:r>
            <w:r w:rsidR="00CC2465" w:rsidRPr="00A23740">
              <w:rPr>
                <w:rStyle w:val="YELChar"/>
                <w:rFonts w:eastAsia="Calibri"/>
                <w:b/>
                <w:color w:val="538135"/>
                <w:lang w:eastAsia="x-none"/>
              </w:rPr>
              <w:t>,</w:t>
            </w:r>
            <w:r w:rsidR="00155AF4" w:rsidRPr="00A23740">
              <w:rPr>
                <w:rStyle w:val="YELChar"/>
                <w:rFonts w:eastAsia="Calibri"/>
                <w:b/>
                <w:color w:val="0000FF"/>
                <w:lang w:eastAsia="x-none"/>
              </w:rPr>
              <w:t xml:space="preserve"> kendisine bundan sonra tebliğ edilecek olan evrak icra dosyası içinde muhafaza edilerek kendisine tebliğ edilmiş sayılır ve ayrıca itiraz yapılmamış kabul edilir.</w:t>
            </w:r>
          </w:p>
          <w:p w:rsidR="00291C18" w:rsidRPr="00A23740" w:rsidRDefault="00291C18" w:rsidP="009431FF">
            <w:pPr>
              <w:widowControl w:val="0"/>
              <w:tabs>
                <w:tab w:val="left" w:pos="567"/>
                <w:tab w:val="left" w:pos="2340"/>
              </w:tabs>
              <w:autoSpaceDE w:val="0"/>
              <w:autoSpaceDN w:val="0"/>
              <w:adjustRightInd w:val="0"/>
              <w:rPr>
                <w:b/>
                <w:bCs/>
                <w:color w:val="0000FF"/>
                <w:szCs w:val="24"/>
              </w:rPr>
            </w:pPr>
          </w:p>
          <w:p w:rsidR="00155AF4" w:rsidRPr="00A23740" w:rsidRDefault="00155AF4" w:rsidP="009431FF">
            <w:pPr>
              <w:widowControl w:val="0"/>
              <w:autoSpaceDE w:val="0"/>
              <w:autoSpaceDN w:val="0"/>
              <w:adjustRightInd w:val="0"/>
              <w:rPr>
                <w:szCs w:val="24"/>
              </w:rPr>
            </w:pPr>
          </w:p>
          <w:p w:rsidR="00291C18" w:rsidRPr="00A23740" w:rsidRDefault="00291C18" w:rsidP="009431FF">
            <w:pPr>
              <w:widowControl w:val="0"/>
              <w:autoSpaceDE w:val="0"/>
              <w:autoSpaceDN w:val="0"/>
              <w:adjustRightInd w:val="0"/>
              <w:rPr>
                <w:szCs w:val="24"/>
              </w:rPr>
            </w:pPr>
          </w:p>
          <w:p w:rsidR="00291C18" w:rsidRPr="00A23740" w:rsidRDefault="00291C18" w:rsidP="009431FF">
            <w:pPr>
              <w:widowControl w:val="0"/>
              <w:autoSpaceDE w:val="0"/>
              <w:autoSpaceDN w:val="0"/>
              <w:adjustRightInd w:val="0"/>
              <w:rPr>
                <w:szCs w:val="24"/>
              </w:rPr>
            </w:pPr>
          </w:p>
          <w:p w:rsidR="00291C18" w:rsidRPr="00A23740" w:rsidRDefault="00291C18" w:rsidP="009431FF">
            <w:pPr>
              <w:widowControl w:val="0"/>
              <w:autoSpaceDE w:val="0"/>
              <w:autoSpaceDN w:val="0"/>
              <w:adjustRightInd w:val="0"/>
              <w:rPr>
                <w:szCs w:val="24"/>
              </w:rPr>
            </w:pPr>
          </w:p>
          <w:p w:rsidR="00291C18" w:rsidRPr="00A23740" w:rsidRDefault="00291C18" w:rsidP="009431FF">
            <w:pPr>
              <w:widowControl w:val="0"/>
              <w:autoSpaceDE w:val="0"/>
              <w:autoSpaceDN w:val="0"/>
              <w:adjustRightInd w:val="0"/>
              <w:rPr>
                <w:szCs w:val="24"/>
              </w:rPr>
            </w:pPr>
          </w:p>
          <w:p w:rsidR="00291C18" w:rsidRPr="00A23740" w:rsidRDefault="00291C18" w:rsidP="009431FF">
            <w:pPr>
              <w:widowControl w:val="0"/>
              <w:autoSpaceDE w:val="0"/>
              <w:autoSpaceDN w:val="0"/>
              <w:adjustRightInd w:val="0"/>
              <w:rPr>
                <w:szCs w:val="24"/>
              </w:rPr>
            </w:pPr>
          </w:p>
          <w:p w:rsidR="00291C18" w:rsidRPr="00A23740" w:rsidRDefault="00291C18" w:rsidP="009431FF">
            <w:pPr>
              <w:widowControl w:val="0"/>
              <w:autoSpaceDE w:val="0"/>
              <w:autoSpaceDN w:val="0"/>
              <w:adjustRightInd w:val="0"/>
              <w:rPr>
                <w:szCs w:val="24"/>
              </w:rPr>
            </w:pPr>
          </w:p>
          <w:p w:rsidR="00155AF4" w:rsidRPr="00A23740" w:rsidRDefault="00155AF4" w:rsidP="009431FF">
            <w:pPr>
              <w:pStyle w:val="KIRMIZI"/>
              <w:widowControl w:val="0"/>
            </w:pPr>
          </w:p>
        </w:tc>
      </w:tr>
      <w:tr w:rsidR="00155AF4" w:rsidRPr="00A23740" w:rsidTr="009431FF">
        <w:tc>
          <w:tcPr>
            <w:tcW w:w="5000" w:type="pct"/>
            <w:gridSpan w:val="2"/>
            <w:shd w:val="clear" w:color="auto" w:fill="DEEAF6"/>
          </w:tcPr>
          <w:p w:rsidR="00E550F2" w:rsidRPr="00A23740" w:rsidRDefault="00E550F2" w:rsidP="009431FF">
            <w:pPr>
              <w:pStyle w:val="Mavi"/>
              <w:ind w:firstLine="709"/>
              <w:rPr>
                <w:color w:val="auto"/>
                <w:lang w:val="tr-TR"/>
              </w:rPr>
            </w:pPr>
          </w:p>
          <w:p w:rsidR="00E550F2" w:rsidRPr="00A23740" w:rsidRDefault="00E550F2" w:rsidP="009431FF">
            <w:pPr>
              <w:pStyle w:val="Mavi"/>
              <w:ind w:firstLine="709"/>
              <w:rPr>
                <w:b w:val="0"/>
                <w:color w:val="auto"/>
                <w:lang w:val="tr-TR"/>
              </w:rPr>
            </w:pPr>
            <w:r w:rsidRPr="00A23740">
              <w:rPr>
                <w:color w:val="auto"/>
                <w:lang w:val="tr-TR"/>
              </w:rPr>
              <w:t>MADDE 91</w:t>
            </w:r>
            <w:r w:rsidR="00155AF4" w:rsidRPr="00A23740">
              <w:rPr>
                <w:color w:val="auto"/>
                <w:lang w:val="tr-TR"/>
              </w:rPr>
              <w:t xml:space="preserve">- </w:t>
            </w:r>
            <w:r w:rsidRPr="00A23740">
              <w:rPr>
                <w:b w:val="0"/>
                <w:color w:val="auto"/>
                <w:lang w:val="tr-TR"/>
              </w:rPr>
              <w:t xml:space="preserve">Maddeyle, ilamsız takiplerde itirazın süresi ve şekli düzenlenmektedir. </w:t>
            </w:r>
            <w:r w:rsidR="00DB2C16" w:rsidRPr="00A23740">
              <w:rPr>
                <w:b w:val="0"/>
                <w:color w:val="auto"/>
                <w:lang w:eastAsia="en-US"/>
              </w:rPr>
              <w:t>Taslağın 91 inci maddesi “</w:t>
            </w:r>
            <w:r w:rsidR="00DB2C16" w:rsidRPr="00A23740">
              <w:rPr>
                <w:b w:val="0"/>
                <w:color w:val="auto"/>
                <w:lang w:val="tr-TR" w:eastAsia="en-US"/>
              </w:rPr>
              <w:t>İtirazın</w:t>
            </w:r>
            <w:r w:rsidR="00DB2C16" w:rsidRPr="00A23740">
              <w:rPr>
                <w:b w:val="0"/>
                <w:color w:val="auto"/>
              </w:rPr>
              <w:t xml:space="preserve"> süresi ve şekli” başlığını taşımakta olup</w:t>
            </w:r>
            <w:r w:rsidR="0011712E" w:rsidRPr="00A23740">
              <w:rPr>
                <w:b w:val="0"/>
                <w:color w:val="auto"/>
                <w:lang w:val="tr-TR"/>
              </w:rPr>
              <w:t>,</w:t>
            </w:r>
            <w:r w:rsidR="00DB2C16" w:rsidRPr="00A23740">
              <w:rPr>
                <w:b w:val="0"/>
                <w:color w:val="auto"/>
              </w:rPr>
              <w:t xml:space="preserve"> </w:t>
            </w:r>
            <w:r w:rsidRPr="00A23740">
              <w:rPr>
                <w:b w:val="0"/>
                <w:color w:val="auto"/>
                <w:lang w:val="tr-TR"/>
              </w:rPr>
              <w:t>2004 sayılı Kanunun</w:t>
            </w:r>
            <w:r w:rsidR="00DB2C16" w:rsidRPr="00A23740">
              <w:rPr>
                <w:b w:val="0"/>
                <w:color w:val="auto"/>
              </w:rPr>
              <w:t xml:space="preserve"> 62 nci maddesine karşılık gelmektedir.</w:t>
            </w:r>
            <w:r w:rsidRPr="00A23740">
              <w:rPr>
                <w:b w:val="0"/>
                <w:color w:val="auto"/>
                <w:lang w:val="tr-TR"/>
              </w:rPr>
              <w:t xml:space="preserve"> </w:t>
            </w:r>
          </w:p>
          <w:p w:rsidR="00E550F2" w:rsidRPr="00A23740" w:rsidRDefault="00E550F2" w:rsidP="009431FF">
            <w:pPr>
              <w:pStyle w:val="Mavi"/>
              <w:ind w:firstLine="709"/>
              <w:rPr>
                <w:b w:val="0"/>
                <w:color w:val="auto"/>
                <w:lang w:val="tr-TR"/>
              </w:rPr>
            </w:pPr>
            <w:r w:rsidRPr="00A23740">
              <w:rPr>
                <w:b w:val="0"/>
                <w:color w:val="auto"/>
                <w:lang w:val="tr-TR"/>
              </w:rPr>
              <w:t xml:space="preserve">Maddenin birinci </w:t>
            </w:r>
            <w:r w:rsidR="00DB2C16" w:rsidRPr="00A23740">
              <w:rPr>
                <w:b w:val="0"/>
                <w:color w:val="auto"/>
                <w:lang w:val="tr-TR"/>
              </w:rPr>
              <w:t>fıkrasında</w:t>
            </w:r>
            <w:r w:rsidR="0011712E" w:rsidRPr="00A23740">
              <w:rPr>
                <w:b w:val="0"/>
                <w:color w:val="auto"/>
                <w:lang w:val="tr-TR"/>
              </w:rPr>
              <w:t>,</w:t>
            </w:r>
            <w:r w:rsidR="00DB2C16" w:rsidRPr="00A23740">
              <w:rPr>
                <w:b w:val="0"/>
                <w:color w:val="auto"/>
                <w:lang w:val="tr-TR"/>
              </w:rPr>
              <w:t xml:space="preserve"> itiraz etmek isteyen borçlunun, bu itirazını, ödeme emrinin tebliği tarihinden itibaren iki hafta içinde yazılı veya sözlü olarak icra ve iflas dairesine bildirmek zorunda olduğu</w:t>
            </w:r>
            <w:r w:rsidR="0011712E" w:rsidRPr="00A23740">
              <w:rPr>
                <w:b w:val="0"/>
                <w:color w:val="auto"/>
                <w:lang w:val="tr-TR"/>
              </w:rPr>
              <w:t xml:space="preserve"> açıklanmaktadır</w:t>
            </w:r>
            <w:r w:rsidR="00DB2C16" w:rsidRPr="00A23740">
              <w:rPr>
                <w:b w:val="0"/>
                <w:color w:val="auto"/>
                <w:lang w:val="tr-TR"/>
              </w:rPr>
              <w:t xml:space="preserve">. </w:t>
            </w:r>
            <w:r w:rsidRPr="00A23740">
              <w:rPr>
                <w:b w:val="0"/>
                <w:color w:val="auto"/>
                <w:lang w:val="tr-TR"/>
              </w:rPr>
              <w:t>2004 sayılı Kanunda</w:t>
            </w:r>
            <w:r w:rsidR="00DB2C16" w:rsidRPr="00A23740">
              <w:rPr>
                <w:b w:val="0"/>
                <w:color w:val="auto"/>
                <w:lang w:val="tr-TR"/>
              </w:rPr>
              <w:t xml:space="preserve"> bir hafta olarak düzenlenmiş olan bu süre</w:t>
            </w:r>
            <w:r w:rsidR="0011712E" w:rsidRPr="00A23740">
              <w:rPr>
                <w:b w:val="0"/>
                <w:color w:val="auto"/>
                <w:lang w:val="tr-TR"/>
              </w:rPr>
              <w:t>,</w:t>
            </w:r>
            <w:r w:rsidR="00DB2C16" w:rsidRPr="00A23740">
              <w:rPr>
                <w:b w:val="0"/>
                <w:color w:val="auto"/>
                <w:lang w:val="tr-TR"/>
              </w:rPr>
              <w:t xml:space="preserve"> araya hafta sonu ve resm</w:t>
            </w:r>
            <w:r w:rsidR="00292560" w:rsidRPr="00A23740">
              <w:rPr>
                <w:b w:val="0"/>
                <w:color w:val="auto"/>
                <w:lang w:val="tr-TR"/>
              </w:rPr>
              <w:t>î</w:t>
            </w:r>
            <w:r w:rsidR="00DB2C16" w:rsidRPr="00A23740">
              <w:rPr>
                <w:b w:val="0"/>
                <w:color w:val="auto"/>
                <w:lang w:val="tr-TR"/>
              </w:rPr>
              <w:t xml:space="preserve"> tatil günlerinin girmesi h</w:t>
            </w:r>
            <w:r w:rsidR="002F2BAA" w:rsidRPr="00A23740">
              <w:rPr>
                <w:b w:val="0"/>
                <w:color w:val="auto"/>
                <w:lang w:val="tr-TR"/>
              </w:rPr>
              <w:t>â</w:t>
            </w:r>
            <w:r w:rsidR="00DB2C16" w:rsidRPr="00A23740">
              <w:rPr>
                <w:b w:val="0"/>
                <w:color w:val="auto"/>
                <w:lang w:val="tr-TR"/>
              </w:rPr>
              <w:t>linde borçlu için çok kısa ol</w:t>
            </w:r>
            <w:r w:rsidR="00D41DBE" w:rsidRPr="00A23740">
              <w:rPr>
                <w:b w:val="0"/>
                <w:color w:val="auto"/>
                <w:lang w:val="tr-TR"/>
              </w:rPr>
              <w:t>abilmektedir. Kanun</w:t>
            </w:r>
            <w:r w:rsidR="00DB2C16" w:rsidRPr="00A23740">
              <w:rPr>
                <w:b w:val="0"/>
                <w:color w:val="auto"/>
                <w:lang w:val="tr-TR"/>
              </w:rPr>
              <w:t>daki sürelerin tamamının gözden geçirilmesi ve bu süreler</w:t>
            </w:r>
            <w:r w:rsidR="0011712E" w:rsidRPr="00A23740">
              <w:rPr>
                <w:b w:val="0"/>
                <w:color w:val="auto"/>
                <w:lang w:val="tr-TR"/>
              </w:rPr>
              <w:t>in</w:t>
            </w:r>
            <w:r w:rsidR="00DB2C16" w:rsidRPr="00A23740">
              <w:rPr>
                <w:b w:val="0"/>
                <w:color w:val="auto"/>
                <w:lang w:val="tr-TR"/>
              </w:rPr>
              <w:t xml:space="preserve"> mümkün olduğunca hafta olarak gösterilmesi şeklindeki uygulama dolayısıyla ödeme emrine itiraz süresi de iki hafta olarak değiştirilmiştir. </w:t>
            </w:r>
          </w:p>
          <w:p w:rsidR="00E550F2" w:rsidRPr="00A23740" w:rsidRDefault="00DB2C16" w:rsidP="009431FF">
            <w:pPr>
              <w:pStyle w:val="Mavi"/>
              <w:ind w:firstLine="709"/>
              <w:rPr>
                <w:b w:val="0"/>
                <w:color w:val="auto"/>
                <w:lang w:val="tr-TR"/>
              </w:rPr>
            </w:pPr>
            <w:r w:rsidRPr="00A23740">
              <w:rPr>
                <w:b w:val="0"/>
                <w:color w:val="auto"/>
                <w:lang w:val="tr-TR"/>
              </w:rPr>
              <w:t xml:space="preserve">Maddenin </w:t>
            </w:r>
            <w:r w:rsidR="00E550F2" w:rsidRPr="00A23740">
              <w:rPr>
                <w:b w:val="0"/>
                <w:color w:val="auto"/>
                <w:lang w:val="tr-TR"/>
              </w:rPr>
              <w:t xml:space="preserve">ikinci </w:t>
            </w:r>
            <w:r w:rsidRPr="00A23740">
              <w:rPr>
                <w:b w:val="0"/>
                <w:color w:val="auto"/>
                <w:lang w:val="tr-TR"/>
              </w:rPr>
              <w:t>fıkrasında itirazın, takibi yapan icra ve iflas dairesinden başka bir icra ve iflas dairesine yapılması h</w:t>
            </w:r>
            <w:r w:rsidR="00292560" w:rsidRPr="00A23740">
              <w:rPr>
                <w:b w:val="0"/>
                <w:color w:val="auto"/>
                <w:lang w:val="tr-TR"/>
              </w:rPr>
              <w:t>â</w:t>
            </w:r>
            <w:r w:rsidRPr="00A23740">
              <w:rPr>
                <w:b w:val="0"/>
                <w:color w:val="auto"/>
                <w:lang w:val="tr-TR"/>
              </w:rPr>
              <w:t>linde bu dairenin gereken gideri itirazla birlikte alarak itirazı derh</w:t>
            </w:r>
            <w:r w:rsidR="00DF22A1" w:rsidRPr="00A23740">
              <w:rPr>
                <w:b w:val="0"/>
                <w:color w:val="auto"/>
                <w:lang w:val="tr-TR"/>
              </w:rPr>
              <w:t>â</w:t>
            </w:r>
            <w:r w:rsidRPr="00A23740">
              <w:rPr>
                <w:b w:val="0"/>
                <w:color w:val="auto"/>
                <w:lang w:val="tr-TR"/>
              </w:rPr>
              <w:t xml:space="preserve">l yetkili icra ve iflas dairesine göndereceği; itirazı alan icra </w:t>
            </w:r>
            <w:r w:rsidR="007D74DD" w:rsidRPr="00551F85">
              <w:rPr>
                <w:b w:val="0"/>
                <w:color w:val="auto"/>
                <w:lang w:val="tr-TR"/>
              </w:rPr>
              <w:t>ve iflas</w:t>
            </w:r>
            <w:r w:rsidR="007D74DD" w:rsidRPr="00A23740">
              <w:rPr>
                <w:b w:val="0"/>
                <w:color w:val="385623"/>
                <w:lang w:val="tr-TR"/>
              </w:rPr>
              <w:t xml:space="preserve"> </w:t>
            </w:r>
            <w:r w:rsidRPr="00A23740">
              <w:rPr>
                <w:b w:val="0"/>
                <w:color w:val="auto"/>
                <w:lang w:val="tr-TR"/>
              </w:rPr>
              <w:t>müdürünün alınmayan giderlerden şahsen sorumlu olacağı düzenlenmiştir. Bu fıkraya yürürlükteki kanunda mevcut olmayan “İcra ve iflas dairesi, itirazı derh</w:t>
            </w:r>
            <w:r w:rsidR="00DF22A1" w:rsidRPr="00A23740">
              <w:rPr>
                <w:b w:val="0"/>
                <w:color w:val="auto"/>
                <w:lang w:val="tr-TR"/>
              </w:rPr>
              <w:t>â</w:t>
            </w:r>
            <w:r w:rsidRPr="00A23740">
              <w:rPr>
                <w:b w:val="0"/>
                <w:color w:val="auto"/>
                <w:lang w:val="tr-TR"/>
              </w:rPr>
              <w:t xml:space="preserve">l UYAP’a aktarmak zorundadır.” şeklinde bir cümle de eklenmiştir. </w:t>
            </w:r>
          </w:p>
          <w:p w:rsidR="00E550F2" w:rsidRPr="00A23740" w:rsidRDefault="00E550F2" w:rsidP="009431FF">
            <w:pPr>
              <w:pStyle w:val="Mavi"/>
              <w:ind w:firstLine="709"/>
              <w:rPr>
                <w:b w:val="0"/>
                <w:color w:val="auto"/>
                <w:lang w:val="tr-TR"/>
              </w:rPr>
            </w:pPr>
            <w:r w:rsidRPr="00A23740">
              <w:rPr>
                <w:b w:val="0"/>
                <w:color w:val="auto"/>
                <w:lang w:val="tr-TR"/>
              </w:rPr>
              <w:t>Maddenin üç</w:t>
            </w:r>
            <w:r w:rsidR="00DB2C16" w:rsidRPr="00A23740">
              <w:rPr>
                <w:b w:val="0"/>
                <w:color w:val="auto"/>
                <w:lang w:val="tr-TR"/>
              </w:rPr>
              <w:t>üncü fıkrasında uygulamada ortaya çıkan, ödeme emrinin birden fazla adrese gönderilmesi h</w:t>
            </w:r>
            <w:r w:rsidR="002F2BAA" w:rsidRPr="00A23740">
              <w:rPr>
                <w:b w:val="0"/>
                <w:color w:val="auto"/>
                <w:lang w:val="tr-TR"/>
              </w:rPr>
              <w:t>â</w:t>
            </w:r>
            <w:r w:rsidR="00DB2C16" w:rsidRPr="00A23740">
              <w:rPr>
                <w:b w:val="0"/>
                <w:color w:val="auto"/>
                <w:lang w:val="tr-TR"/>
              </w:rPr>
              <w:t>lleri dikkate alınarak, aynı ödeme emrinin alacaklının talebi üzerine, farklı adreslere tebliğe çıkarılmış olduğu h</w:t>
            </w:r>
            <w:r w:rsidR="00292560" w:rsidRPr="00A23740">
              <w:rPr>
                <w:b w:val="0"/>
                <w:color w:val="auto"/>
                <w:lang w:val="tr-TR"/>
              </w:rPr>
              <w:t>â</w:t>
            </w:r>
            <w:r w:rsidR="00DB2C16" w:rsidRPr="00A23740">
              <w:rPr>
                <w:b w:val="0"/>
                <w:color w:val="auto"/>
                <w:lang w:val="tr-TR"/>
              </w:rPr>
              <w:t>llerde, itiraz süresi</w:t>
            </w:r>
            <w:r w:rsidR="0011712E" w:rsidRPr="00A23740">
              <w:rPr>
                <w:b w:val="0"/>
                <w:color w:val="auto"/>
                <w:lang w:val="tr-TR"/>
              </w:rPr>
              <w:t>nin</w:t>
            </w:r>
            <w:r w:rsidR="00DB2C16" w:rsidRPr="00A23740">
              <w:rPr>
                <w:b w:val="0"/>
                <w:color w:val="auto"/>
                <w:lang w:val="tr-TR"/>
              </w:rPr>
              <w:t xml:space="preserve"> en son tarihli tebliğden itibaren </w:t>
            </w:r>
            <w:r w:rsidR="005F30CB" w:rsidRPr="006D2E3C">
              <w:rPr>
                <w:b w:val="0"/>
                <w:color w:val="auto"/>
                <w:lang w:val="tr-TR"/>
              </w:rPr>
              <w:t>işlemeye</w:t>
            </w:r>
            <w:r w:rsidR="005F30CB" w:rsidRPr="00A23740">
              <w:rPr>
                <w:b w:val="0"/>
                <w:color w:val="auto"/>
                <w:lang w:val="tr-TR"/>
              </w:rPr>
              <w:t xml:space="preserve"> </w:t>
            </w:r>
            <w:r w:rsidR="00DB2C16" w:rsidRPr="00A23740">
              <w:rPr>
                <w:b w:val="0"/>
                <w:color w:val="auto"/>
                <w:lang w:val="tr-TR"/>
              </w:rPr>
              <w:t xml:space="preserve">başlayacağı öngörülmüştür. </w:t>
            </w:r>
            <w:r w:rsidR="00D41DBE" w:rsidRPr="00A23740">
              <w:rPr>
                <w:b w:val="0"/>
                <w:color w:val="auto"/>
                <w:lang w:val="tr-TR"/>
              </w:rPr>
              <w:t>2004 sayılı Kanunda</w:t>
            </w:r>
            <w:r w:rsidR="00DB2C16" w:rsidRPr="00A23740">
              <w:rPr>
                <w:b w:val="0"/>
                <w:color w:val="auto"/>
                <w:lang w:val="tr-TR"/>
              </w:rPr>
              <w:t xml:space="preserve"> </w:t>
            </w:r>
            <w:r w:rsidR="0011712E" w:rsidRPr="00A23740">
              <w:rPr>
                <w:b w:val="0"/>
                <w:color w:val="auto"/>
                <w:lang w:val="tr-TR"/>
              </w:rPr>
              <w:t xml:space="preserve">bulunmayan </w:t>
            </w:r>
            <w:r w:rsidR="00DB2C16" w:rsidRPr="00A23740">
              <w:rPr>
                <w:b w:val="0"/>
                <w:color w:val="auto"/>
                <w:lang w:val="tr-TR"/>
              </w:rPr>
              <w:t xml:space="preserve">bu fıkra, itiraz etmemenin olumsuz sonuçlarına katlanacak olan borçlunun kendisine en son tebliğ edilen ödeme emrindeki son itiraz gününü dikkate alabileceği düşünülerek </w:t>
            </w:r>
            <w:r w:rsidR="00292560" w:rsidRPr="006D2E3C">
              <w:rPr>
                <w:b w:val="0"/>
                <w:color w:val="auto"/>
                <w:lang w:val="tr-TR"/>
              </w:rPr>
              <w:t>Taslağa</w:t>
            </w:r>
            <w:r w:rsidR="00292560" w:rsidRPr="00A23740">
              <w:rPr>
                <w:b w:val="0"/>
                <w:color w:val="auto"/>
                <w:lang w:val="tr-TR"/>
              </w:rPr>
              <w:t xml:space="preserve"> </w:t>
            </w:r>
            <w:r w:rsidR="00DB2C16" w:rsidRPr="00A23740">
              <w:rPr>
                <w:b w:val="0"/>
                <w:color w:val="auto"/>
                <w:lang w:val="tr-TR"/>
              </w:rPr>
              <w:t>eklenmiştir.</w:t>
            </w:r>
          </w:p>
          <w:p w:rsidR="00E91409" w:rsidRPr="00A23740" w:rsidRDefault="00E550F2" w:rsidP="009431FF">
            <w:pPr>
              <w:pStyle w:val="Mavi"/>
              <w:ind w:firstLine="709"/>
              <w:rPr>
                <w:color w:val="auto"/>
                <w:lang w:val="tr-TR"/>
              </w:rPr>
            </w:pPr>
            <w:r w:rsidRPr="00A23740">
              <w:rPr>
                <w:b w:val="0"/>
                <w:color w:val="auto"/>
                <w:lang w:val="tr-TR"/>
              </w:rPr>
              <w:t>Maddenin dörd</w:t>
            </w:r>
            <w:r w:rsidR="00DB2C16" w:rsidRPr="00A23740">
              <w:rPr>
                <w:b w:val="0"/>
                <w:color w:val="auto"/>
                <w:lang w:val="tr-TR"/>
              </w:rPr>
              <w:t>üncü fıkrasında ödeme emrinin yurtdışında tebliğ edildiği h</w:t>
            </w:r>
            <w:r w:rsidR="00292560" w:rsidRPr="00A23740">
              <w:rPr>
                <w:b w:val="0"/>
                <w:color w:val="auto"/>
                <w:lang w:val="tr-TR"/>
              </w:rPr>
              <w:t>â</w:t>
            </w:r>
            <w:r w:rsidR="00DB2C16" w:rsidRPr="00A23740">
              <w:rPr>
                <w:b w:val="0"/>
                <w:color w:val="auto"/>
                <w:lang w:val="tr-TR"/>
              </w:rPr>
              <w:t>llerde, itiraz etmek isteyen borçlunun itirazla birlikte, itiraz etmeyecek olan borçlunun ise itiraz süresi içinde, dava ve takip işlemlerine esas olmak üzere yurt içinde bir adres bildirmek zorunda olduğu</w:t>
            </w:r>
            <w:r w:rsidR="0011712E" w:rsidRPr="00A23740">
              <w:rPr>
                <w:b w:val="0"/>
                <w:color w:val="auto"/>
                <w:lang w:val="tr-TR"/>
              </w:rPr>
              <w:t xml:space="preserve"> belirtilmiştir</w:t>
            </w:r>
            <w:r w:rsidR="00DB2C16" w:rsidRPr="00A23740">
              <w:rPr>
                <w:b w:val="0"/>
                <w:color w:val="auto"/>
                <w:lang w:val="tr-TR"/>
              </w:rPr>
              <w:t>. Borçlu yurt içinde bir adres bildirmediği takdirde</w:t>
            </w:r>
            <w:r w:rsidR="0011712E" w:rsidRPr="00A23740">
              <w:rPr>
                <w:b w:val="0"/>
                <w:color w:val="auto"/>
                <w:lang w:val="tr-TR"/>
              </w:rPr>
              <w:t>,</w:t>
            </w:r>
            <w:r w:rsidR="00DB2C16" w:rsidRPr="00A23740">
              <w:rPr>
                <w:b w:val="0"/>
                <w:color w:val="auto"/>
                <w:lang w:val="tr-TR"/>
              </w:rPr>
              <w:t xml:space="preserve"> kendisine daha sonra tebliğ edilecek evrak icra dosyası içinde muhafaza edilerek </w:t>
            </w:r>
            <w:r w:rsidR="00DB2C16" w:rsidRPr="00A23740">
              <w:rPr>
                <w:b w:val="0"/>
                <w:color w:val="auto"/>
                <w:lang w:val="tr-TR"/>
              </w:rPr>
              <w:lastRenderedPageBreak/>
              <w:t>kendisine tebliğ edilmiş sayılacak ve ayrıca itiraz yapılmamış kabul edilecektir. Bu fıkra</w:t>
            </w:r>
            <w:r w:rsidR="00292560" w:rsidRPr="006D2E3C">
              <w:rPr>
                <w:bCs w:val="0"/>
                <w:color w:val="auto"/>
                <w:lang w:val="tr-TR"/>
              </w:rPr>
              <w:t>,</w:t>
            </w:r>
            <w:r w:rsidR="006E24BA" w:rsidRPr="006D2E3C">
              <w:rPr>
                <w:bCs w:val="0"/>
                <w:color w:val="auto"/>
                <w:lang w:val="tr-TR"/>
              </w:rPr>
              <w:t xml:space="preserve"> </w:t>
            </w:r>
            <w:r w:rsidR="006E24BA" w:rsidRPr="006D2E3C">
              <w:rPr>
                <w:b w:val="0"/>
                <w:color w:val="auto"/>
                <w:lang w:val="tr-TR"/>
              </w:rPr>
              <w:t>Taslağın</w:t>
            </w:r>
            <w:r w:rsidR="00DB2C16" w:rsidRPr="00A23740">
              <w:rPr>
                <w:b w:val="0"/>
                <w:color w:val="auto"/>
                <w:lang w:val="tr-TR"/>
              </w:rPr>
              <w:t xml:space="preserve"> 88 inci maddenin </w:t>
            </w:r>
            <w:r w:rsidR="006E24BA" w:rsidRPr="006D2E3C">
              <w:rPr>
                <w:b w:val="0"/>
                <w:color w:val="auto"/>
                <w:lang w:val="tr-TR"/>
              </w:rPr>
              <w:t>birinci</w:t>
            </w:r>
            <w:r w:rsidR="006E24BA" w:rsidRPr="00A23740">
              <w:rPr>
                <w:b w:val="0"/>
                <w:color w:val="auto"/>
                <w:lang w:val="tr-TR"/>
              </w:rPr>
              <w:t xml:space="preserve"> </w:t>
            </w:r>
            <w:r w:rsidR="00DB2C16" w:rsidRPr="00A23740">
              <w:rPr>
                <w:b w:val="0"/>
                <w:color w:val="auto"/>
                <w:lang w:val="tr-TR"/>
              </w:rPr>
              <w:t>fıkrasının (ğ) bendindeki değişikliğe uyum sağlanmak amacıyla kaleme alınmıştır.</w:t>
            </w:r>
          </w:p>
          <w:p w:rsidR="00551F85" w:rsidRPr="00A23740" w:rsidRDefault="00551F85" w:rsidP="009431FF">
            <w:pPr>
              <w:keepNext/>
              <w:autoSpaceDE w:val="0"/>
              <w:autoSpaceDN w:val="0"/>
              <w:adjustRightInd w:val="0"/>
              <w:ind w:firstLine="709"/>
              <w:rPr>
                <w:b/>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szCs w:val="24"/>
              </w:rPr>
            </w:pPr>
            <w:r w:rsidRPr="00551F85">
              <w:rPr>
                <w:rStyle w:val="KIRMIZIChar"/>
                <w:rFonts w:eastAsia="Calibri"/>
              </w:rPr>
              <w:lastRenderedPageBreak/>
              <w:t>2 –</w:t>
            </w:r>
            <w:r w:rsidRPr="00A23740">
              <w:rPr>
                <w:szCs w:val="24"/>
              </w:rPr>
              <w:t xml:space="preserve"> İtiraz sebepleri</w:t>
            </w:r>
            <w:r w:rsidRPr="00A23740">
              <w:rPr>
                <w:b/>
                <w:bCs/>
                <w:strike/>
                <w:color w:val="FF0000"/>
                <w:szCs w:val="24"/>
              </w:rPr>
              <w:t>:</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6</w:t>
            </w:r>
            <w:r w:rsidRPr="00A23740">
              <w:rPr>
                <w:rStyle w:val="KIRMIZIChar"/>
                <w:rFonts w:eastAsia="Calibri"/>
              </w:rPr>
              <w:t>3 – (1) (</w:t>
            </w:r>
            <w:r w:rsidRPr="00A23740">
              <w:rPr>
                <w:b/>
                <w:bCs/>
                <w:strike/>
                <w:color w:val="FF0000"/>
                <w:szCs w:val="24"/>
              </w:rPr>
              <w:t>Değişik: 17/7/2003-4949/14 md.)</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(2) İtiraz eden</w:t>
            </w:r>
            <w:r w:rsidRPr="00A23740">
              <w:rPr>
                <w:szCs w:val="24"/>
              </w:rPr>
              <w:t xml:space="preserve"> borçlu, </w:t>
            </w:r>
            <w:r w:rsidRPr="00A23740">
              <w:rPr>
                <w:b/>
                <w:bCs/>
                <w:strike/>
                <w:color w:val="FF0000"/>
                <w:szCs w:val="24"/>
              </w:rPr>
              <w:t>itirazın kaldırılması duruşmasında, alacaklının dayandığı senet metninden anlaşılanlar dışında, itiraz sebeplerini değiştiremez ve genişletemez.</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zCs w:val="24"/>
              </w:rPr>
            </w:pPr>
            <w:r w:rsidRPr="00A23740">
              <w:rPr>
                <w:b/>
                <w:bCs/>
                <w:szCs w:val="24"/>
              </w:rPr>
              <w:t>İtiraz sebepleri</w:t>
            </w:r>
          </w:p>
          <w:p w:rsidR="00155AF4" w:rsidRPr="00A23740" w:rsidRDefault="00155AF4" w:rsidP="009431FF">
            <w:pPr>
              <w:pStyle w:val="Mavi"/>
              <w:rPr>
                <w:lang w:val="tr-TR"/>
              </w:rPr>
            </w:pPr>
            <w:r w:rsidRPr="00A23740">
              <w:t>MADDE 92- (1) İtiraz, maddi hukuka veya takip hukukuna ilişkin olabilir.</w:t>
            </w:r>
          </w:p>
          <w:p w:rsidR="00155AF4" w:rsidRPr="00A23740" w:rsidRDefault="00155AF4" w:rsidP="009431FF">
            <w:pPr>
              <w:autoSpaceDE w:val="0"/>
              <w:autoSpaceDN w:val="0"/>
              <w:adjustRightInd w:val="0"/>
              <w:rPr>
                <w:b/>
                <w:bCs/>
                <w:color w:val="0000FF"/>
                <w:szCs w:val="24"/>
              </w:rPr>
            </w:pPr>
          </w:p>
          <w:p w:rsidR="00155AF4" w:rsidRPr="00A23740" w:rsidRDefault="00155AF4" w:rsidP="009431FF">
            <w:pPr>
              <w:autoSpaceDE w:val="0"/>
              <w:autoSpaceDN w:val="0"/>
              <w:adjustRightInd w:val="0"/>
              <w:rPr>
                <w:b/>
                <w:bCs/>
                <w:color w:val="0000FF"/>
                <w:szCs w:val="24"/>
              </w:rPr>
            </w:pPr>
            <w:r w:rsidRPr="00A23740">
              <w:rPr>
                <w:rStyle w:val="MaviChar"/>
              </w:rPr>
              <w:t>(2)</w:t>
            </w:r>
            <w:r w:rsidRPr="00A23740">
              <w:rPr>
                <w:rStyle w:val="Normal--Char"/>
                <w:rFonts w:eastAsia="Calibri"/>
              </w:rPr>
              <w:t xml:space="preserve"> </w:t>
            </w:r>
            <w:r w:rsidRPr="00A23740">
              <w:rPr>
                <w:szCs w:val="24"/>
              </w:rPr>
              <w:t xml:space="preserve">Borçlu, </w:t>
            </w:r>
            <w:r w:rsidRPr="00A23740">
              <w:rPr>
                <w:rStyle w:val="MaviChar"/>
              </w:rPr>
              <w:t>itirazında bildirdiği maddi hukuka ilişkin itiraz sebepleriyle bağlı değildir. Ancak, borçlu takip hukukuna ilişkin itiraz sebeplerini itiraz süresi içinde bildirmek zorunda olup</w:t>
            </w:r>
            <w:r w:rsidRPr="00A23740">
              <w:rPr>
                <w:rStyle w:val="Balk1Char"/>
                <w:rFonts w:eastAsia="Calibri"/>
              </w:rPr>
              <w:t>,</w:t>
            </w:r>
            <w:r w:rsidRPr="00A23740">
              <w:rPr>
                <w:rStyle w:val="MaviChar"/>
              </w:rPr>
              <w:t xml:space="preserve"> bu itiraz sebepleriyle bağlıdır.</w:t>
            </w:r>
          </w:p>
          <w:p w:rsidR="00155AF4" w:rsidRPr="00A23740" w:rsidRDefault="00155AF4" w:rsidP="009431FF">
            <w:pPr>
              <w:autoSpaceDE w:val="0"/>
              <w:autoSpaceDN w:val="0"/>
              <w:adjustRightInd w:val="0"/>
              <w:rPr>
                <w:b/>
                <w:bCs/>
                <w:color w:val="0000FF"/>
                <w:szCs w:val="24"/>
              </w:rPr>
            </w:pPr>
          </w:p>
        </w:tc>
      </w:tr>
      <w:tr w:rsidR="00155AF4" w:rsidRPr="00A23740" w:rsidTr="009431FF">
        <w:tc>
          <w:tcPr>
            <w:tcW w:w="5000" w:type="pct"/>
            <w:gridSpan w:val="2"/>
            <w:shd w:val="clear" w:color="auto" w:fill="DEEAF6"/>
          </w:tcPr>
          <w:p w:rsidR="00D41DBE" w:rsidRPr="00A23740" w:rsidRDefault="00D41DBE" w:rsidP="009431FF">
            <w:pPr>
              <w:tabs>
                <w:tab w:val="left" w:pos="567"/>
              </w:tabs>
              <w:autoSpaceDE w:val="0"/>
              <w:autoSpaceDN w:val="0"/>
              <w:adjustRightInd w:val="0"/>
              <w:ind w:firstLine="709"/>
              <w:rPr>
                <w:szCs w:val="24"/>
              </w:rPr>
            </w:pPr>
          </w:p>
          <w:p w:rsidR="00DB2C16" w:rsidRPr="00A23740" w:rsidRDefault="00DB2C16" w:rsidP="009431FF">
            <w:pPr>
              <w:tabs>
                <w:tab w:val="left" w:pos="567"/>
              </w:tabs>
              <w:autoSpaceDE w:val="0"/>
              <w:autoSpaceDN w:val="0"/>
              <w:adjustRightInd w:val="0"/>
              <w:ind w:firstLine="709"/>
              <w:rPr>
                <w:szCs w:val="24"/>
              </w:rPr>
            </w:pPr>
            <w:r w:rsidRPr="00A23740">
              <w:rPr>
                <w:b/>
                <w:szCs w:val="24"/>
              </w:rPr>
              <w:t>MADDE 92-</w:t>
            </w:r>
            <w:r w:rsidRPr="00A23740">
              <w:rPr>
                <w:szCs w:val="24"/>
              </w:rPr>
              <w:t xml:space="preserve"> </w:t>
            </w:r>
            <w:r w:rsidR="00D41DBE" w:rsidRPr="00A23740">
              <w:rPr>
                <w:szCs w:val="24"/>
              </w:rPr>
              <w:t xml:space="preserve">Maddeyle, ilamsız takiplerde itiraz sebepleri düzenlenmektedir. </w:t>
            </w:r>
            <w:r w:rsidRPr="00A23740">
              <w:rPr>
                <w:szCs w:val="24"/>
              </w:rPr>
              <w:t xml:space="preserve">Taslağın 92 nci maddesi “İtiraz sebepleri” başlığını taşımakta olup </w:t>
            </w:r>
            <w:r w:rsidR="00D41DBE" w:rsidRPr="00A23740">
              <w:rPr>
                <w:szCs w:val="24"/>
              </w:rPr>
              <w:t>2004 sayılı K</w:t>
            </w:r>
            <w:r w:rsidRPr="00A23740">
              <w:rPr>
                <w:szCs w:val="24"/>
              </w:rPr>
              <w:t xml:space="preserve">anunun 63 üncü </w:t>
            </w:r>
            <w:r w:rsidR="00441BEF" w:rsidRPr="00A23740">
              <w:rPr>
                <w:szCs w:val="24"/>
              </w:rPr>
              <w:t>maddesine karşılık gelmektedir.</w:t>
            </w:r>
          </w:p>
          <w:p w:rsidR="00DB2C16" w:rsidRPr="00A23740" w:rsidRDefault="00D41DBE" w:rsidP="009431FF">
            <w:pPr>
              <w:tabs>
                <w:tab w:val="left" w:pos="567"/>
              </w:tabs>
              <w:autoSpaceDE w:val="0"/>
              <w:autoSpaceDN w:val="0"/>
              <w:adjustRightInd w:val="0"/>
              <w:ind w:firstLine="709"/>
              <w:rPr>
                <w:szCs w:val="24"/>
              </w:rPr>
            </w:pPr>
            <w:r w:rsidRPr="00A23740">
              <w:rPr>
                <w:szCs w:val="24"/>
              </w:rPr>
              <w:t xml:space="preserve">Maddenin birinci </w:t>
            </w:r>
            <w:r w:rsidR="00DB2C16" w:rsidRPr="00A23740">
              <w:rPr>
                <w:szCs w:val="24"/>
              </w:rPr>
              <w:t xml:space="preserve">fıkrasında, </w:t>
            </w:r>
            <w:r w:rsidRPr="00A23740">
              <w:rPr>
                <w:szCs w:val="24"/>
              </w:rPr>
              <w:t>2004 sayılı Kanun</w:t>
            </w:r>
            <w:r w:rsidR="0011712E" w:rsidRPr="00A23740">
              <w:rPr>
                <w:szCs w:val="24"/>
              </w:rPr>
              <w:t>dan</w:t>
            </w:r>
            <w:r w:rsidR="00DB2C16" w:rsidRPr="00A23740">
              <w:rPr>
                <w:szCs w:val="24"/>
              </w:rPr>
              <w:t xml:space="preserve"> farklı olarak ve kurala açıklık getirmek amacıyla, itirazın, maddi hukuka ilişkin itiraz ve def’ilere ilişkin olabileceği gibi, yetki itirazında veya hakkında iflas tasfiyesi sonucunda aciz vesikası düzenlenmiş olan borçlunun yeni mal iktisap etmediği itirazında olduğu gibi  takip hukukuna ilişkin de olabileceği belirtilmiştir.</w:t>
            </w:r>
          </w:p>
          <w:p w:rsidR="00D41DBE" w:rsidRPr="00A23740" w:rsidRDefault="00D41DBE" w:rsidP="009431FF">
            <w:pPr>
              <w:tabs>
                <w:tab w:val="left" w:pos="567"/>
              </w:tabs>
              <w:autoSpaceDE w:val="0"/>
              <w:autoSpaceDN w:val="0"/>
              <w:adjustRightInd w:val="0"/>
              <w:ind w:firstLine="709"/>
              <w:rPr>
                <w:szCs w:val="24"/>
              </w:rPr>
            </w:pPr>
            <w:r w:rsidRPr="00A23740">
              <w:rPr>
                <w:szCs w:val="24"/>
              </w:rPr>
              <w:t>2004 sayılı Kanunun</w:t>
            </w:r>
            <w:r w:rsidR="00DB2C16" w:rsidRPr="00A23740">
              <w:rPr>
                <w:szCs w:val="24"/>
              </w:rPr>
              <w:t xml:space="preserve"> 63 üncü maddesinde yer alan</w:t>
            </w:r>
            <w:r w:rsidR="0011712E" w:rsidRPr="00A23740">
              <w:rPr>
                <w:szCs w:val="24"/>
              </w:rPr>
              <w:t xml:space="preserve"> ve</w:t>
            </w:r>
            <w:r w:rsidR="00DB2C16" w:rsidRPr="00A23740">
              <w:rPr>
                <w:szCs w:val="24"/>
              </w:rPr>
              <w:t xml:space="preserve"> itiraz eden borçlunun itirazın kaldırılması duruşmasında, alacaklının dayandığı senet metninden anlaşılanlar dışında, itiraz sebeplerini değiştiremeyeceği ve genişletemeyeceği şeklinde </w:t>
            </w:r>
            <w:r w:rsidR="0011712E" w:rsidRPr="00A23740">
              <w:rPr>
                <w:szCs w:val="24"/>
              </w:rPr>
              <w:t xml:space="preserve">olan </w:t>
            </w:r>
            <w:r w:rsidR="00DB2C16" w:rsidRPr="00A23740">
              <w:rPr>
                <w:szCs w:val="24"/>
              </w:rPr>
              <w:t>kural</w:t>
            </w:r>
            <w:r w:rsidR="0011712E" w:rsidRPr="00A23740">
              <w:rPr>
                <w:szCs w:val="24"/>
              </w:rPr>
              <w:t>,</w:t>
            </w:r>
            <w:r w:rsidR="00DB2C16" w:rsidRPr="00A23740">
              <w:rPr>
                <w:szCs w:val="24"/>
              </w:rPr>
              <w:t xml:space="preserve"> Taslakta borçlunun itirazında bildirdiği maddi hukuka ilişkin itiraz sebepleriyle bağlı olmadığı; ancak,  takip hukukuna ilişkin itiraz sebeplerini itiraz süresi içinde bildirmek zorunda olduğu ve bu itiraz sebepleriyle bağlı bulunduğu şeklinde yeniden düzenlenmiştir. Maddi hukuka ilişkin itiraz sebeplerinin “senet metninden anlaşılan itiraz sebepleri” ve “diğer itiraz sebepleri” şeklinde bir ayrıma tabi tutulmadan değiştirilebileceği ve genişletilebileceği</w:t>
            </w:r>
            <w:r w:rsidR="00551F85">
              <w:rPr>
                <w:szCs w:val="24"/>
              </w:rPr>
              <w:t xml:space="preserve"> kabul edildikten sonra,</w:t>
            </w:r>
            <w:r w:rsidR="00DB2C16" w:rsidRPr="00A23740">
              <w:rPr>
                <w:szCs w:val="24"/>
              </w:rPr>
              <w:t xml:space="preserve"> maddi hukuka ilişkin haklılık durumuyla ilgili bulunmayan “takip hukukuna ilişkin itiraz sebepleri”nin, takibin süratle yürütülmesi bakımından, takibin başında, gecikmeden icra ve iflas dairesine bildirilmesi menfaatler dengesine</w:t>
            </w:r>
            <w:r w:rsidRPr="00A23740">
              <w:rPr>
                <w:szCs w:val="24"/>
              </w:rPr>
              <w:t xml:space="preserve"> uygun bir düzenleme şeklidir.</w:t>
            </w:r>
          </w:p>
          <w:p w:rsidR="00E91409" w:rsidRPr="00A23740" w:rsidRDefault="00E91409" w:rsidP="009431FF">
            <w:pPr>
              <w:tabs>
                <w:tab w:val="left" w:pos="567"/>
              </w:tabs>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3 – Alacaklıya verilecek nüsha:</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64 – (1) (Değişik: 3/7/1940  - 3890/1 md.)</w:t>
            </w:r>
          </w:p>
          <w:p w:rsidR="00155AF4" w:rsidRPr="00A23740" w:rsidRDefault="00155AF4" w:rsidP="009431FF">
            <w:pPr>
              <w:tabs>
                <w:tab w:val="left" w:pos="567"/>
              </w:tabs>
              <w:autoSpaceDE w:val="0"/>
              <w:autoSpaceDN w:val="0"/>
              <w:adjustRightInd w:val="0"/>
              <w:rPr>
                <w:szCs w:val="24"/>
              </w:rPr>
            </w:pPr>
            <w:r w:rsidRPr="00A23740">
              <w:rPr>
                <w:szCs w:val="24"/>
              </w:rPr>
              <w:t xml:space="preserve">İtiraz, </w:t>
            </w:r>
            <w:r w:rsidRPr="00A23740">
              <w:rPr>
                <w:b/>
                <w:bCs/>
                <w:strike/>
                <w:color w:val="FF0000"/>
                <w:szCs w:val="24"/>
              </w:rPr>
              <w:t>alacaklıya mahsus ödeme emri nüshasına</w:t>
            </w:r>
            <w:r w:rsidRPr="00A23740">
              <w:rPr>
                <w:szCs w:val="24"/>
              </w:rPr>
              <w:t xml:space="preserve"> kaydedilir</w:t>
            </w:r>
            <w:r w:rsidRPr="00551F85">
              <w:rPr>
                <w:rStyle w:val="KIRMIZIChar"/>
                <w:rFonts w:eastAsia="Calibri"/>
              </w:rPr>
              <w:t>. İtiraz</w:t>
            </w:r>
            <w:r w:rsidRPr="00A23740">
              <w:rPr>
                <w:szCs w:val="24"/>
              </w:rPr>
              <w:t xml:space="preserve"> </w:t>
            </w:r>
            <w:r w:rsidRPr="00A23740">
              <w:rPr>
                <w:b/>
                <w:bCs/>
                <w:strike/>
                <w:color w:val="FF0000"/>
                <w:szCs w:val="24"/>
              </w:rPr>
              <w:t>vakı olmazsa bu husus dahi işaret olunur.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 Bu nüsha itirazdan sonra veya itiraz müddetinin bitmesi üzerine</w:t>
            </w:r>
            <w:r w:rsidRPr="00A23740">
              <w:rPr>
                <w:szCs w:val="24"/>
              </w:rPr>
              <w:t xml:space="preserve"> alacaklıya </w:t>
            </w:r>
            <w:r w:rsidRPr="00A23740">
              <w:rPr>
                <w:b/>
                <w:bCs/>
                <w:strike/>
                <w:color w:val="FF0000"/>
                <w:szCs w:val="24"/>
              </w:rPr>
              <w:t>verilir</w:t>
            </w:r>
            <w:r w:rsidRPr="00A23740">
              <w:rPr>
                <w:szCs w:val="24"/>
              </w:rPr>
              <w:t>.</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Mavi"/>
            </w:pPr>
            <w:r w:rsidRPr="00A23740">
              <w:lastRenderedPageBreak/>
              <w:t>İtiraz üzerine yapılacak işlem</w:t>
            </w:r>
          </w:p>
          <w:p w:rsidR="00155AF4" w:rsidRPr="00A23740" w:rsidRDefault="00155AF4" w:rsidP="009431FF">
            <w:pPr>
              <w:pStyle w:val="Mavi"/>
            </w:pPr>
            <w:r w:rsidRPr="00A23740">
              <w:t xml:space="preserve">MADDE 93- (1) </w:t>
            </w:r>
            <w:r w:rsidRPr="00551F85">
              <w:rPr>
                <w:b w:val="0"/>
                <w:color w:val="auto"/>
              </w:rPr>
              <w:t>İtiraz,</w:t>
            </w:r>
            <w:r w:rsidRPr="00551F85">
              <w:rPr>
                <w:color w:val="auto"/>
              </w:rPr>
              <w:t xml:space="preserve"> </w:t>
            </w:r>
            <w:r w:rsidRPr="00A23740">
              <w:t xml:space="preserve">tutanağa bağlanarak icra dosyasına </w:t>
            </w:r>
            <w:r w:rsidRPr="00551F85">
              <w:rPr>
                <w:b w:val="0"/>
                <w:color w:val="auto"/>
              </w:rPr>
              <w:t>kaydedilir</w:t>
            </w:r>
            <w:r w:rsidRPr="00551F85">
              <w:rPr>
                <w:color w:val="auto"/>
              </w:rPr>
              <w:t xml:space="preserve"> </w:t>
            </w:r>
            <w:r w:rsidRPr="00A23740">
              <w:t>ve itirazın bir örneği</w:t>
            </w:r>
            <w:r w:rsidRPr="00A23740">
              <w:rPr>
                <w:rStyle w:val="Stil5Char0"/>
                <w:b/>
              </w:rPr>
              <w:t xml:space="preserve"> </w:t>
            </w:r>
            <w:r w:rsidRPr="00A23740">
              <w:t>51 inci maddeye göre alacaklının yatırdığı</w:t>
            </w:r>
            <w:r w:rsidRPr="00A23740">
              <w:rPr>
                <w:rStyle w:val="Stil5Char0"/>
                <w:b/>
              </w:rPr>
              <w:t xml:space="preserve"> </w:t>
            </w:r>
            <w:r w:rsidRPr="00A23740">
              <w:t>gider avansından karşılanmak suretiyle üç gün içinde alacaklıya tebliğe çıkarılır.</w:t>
            </w:r>
          </w:p>
          <w:p w:rsidR="00155AF4" w:rsidRPr="00A23740" w:rsidRDefault="00155AF4" w:rsidP="009431FF">
            <w:pPr>
              <w:autoSpaceDE w:val="0"/>
              <w:autoSpaceDN w:val="0"/>
              <w:adjustRightInd w:val="0"/>
              <w:rPr>
                <w:b/>
                <w:bCs/>
                <w:color w:val="0000FF"/>
                <w:szCs w:val="24"/>
              </w:rPr>
            </w:pPr>
          </w:p>
          <w:p w:rsidR="00155AF4" w:rsidRPr="00A23740" w:rsidRDefault="00155AF4" w:rsidP="009431FF">
            <w:pPr>
              <w:pStyle w:val="Mavi"/>
            </w:pPr>
            <w:r w:rsidRPr="00A23740">
              <w:lastRenderedPageBreak/>
              <w:t>(2) Borçluya, itiraz ettiğine ilişkin olarak itiraz tarihini de gösterir bir belgenin derh</w:t>
            </w:r>
            <w:r w:rsidR="00DF22A1" w:rsidRPr="00A23740">
              <w:rPr>
                <w:lang w:val="tr-TR"/>
              </w:rPr>
              <w:t>â</w:t>
            </w:r>
            <w:r w:rsidRPr="00A23740">
              <w:t>l verilmesi zorunludur. Bu belgenin bir nüshası icra takip dosyasında muhafaza edilir.</w:t>
            </w:r>
          </w:p>
          <w:p w:rsidR="00155AF4" w:rsidRPr="00A23740" w:rsidRDefault="00155AF4" w:rsidP="009431FF">
            <w:pPr>
              <w:autoSpaceDE w:val="0"/>
              <w:autoSpaceDN w:val="0"/>
              <w:adjustRightInd w:val="0"/>
              <w:rPr>
                <w:b/>
                <w:bCs/>
                <w:color w:val="0000FF"/>
                <w:szCs w:val="24"/>
              </w:rPr>
            </w:pPr>
          </w:p>
          <w:p w:rsidR="00155AF4" w:rsidRPr="00A23740" w:rsidRDefault="00155AF4" w:rsidP="009431FF">
            <w:pPr>
              <w:autoSpaceDE w:val="0"/>
              <w:autoSpaceDN w:val="0"/>
              <w:adjustRightInd w:val="0"/>
              <w:rPr>
                <w:b/>
                <w:bCs/>
                <w:color w:val="0000FF"/>
                <w:szCs w:val="24"/>
              </w:rPr>
            </w:pPr>
            <w:r w:rsidRPr="00A23740">
              <w:rPr>
                <w:rStyle w:val="MaviChar"/>
              </w:rPr>
              <w:t xml:space="preserve">(3) İtiraz </w:t>
            </w:r>
            <w:r w:rsidR="00CC2465" w:rsidRPr="006D2E3C">
              <w:rPr>
                <w:rStyle w:val="MaviChar"/>
              </w:rPr>
              <w:t>olunmazsa</w:t>
            </w:r>
            <w:r w:rsidR="00CC2465" w:rsidRPr="00551F85">
              <w:rPr>
                <w:rStyle w:val="Balk1Char"/>
                <w:rFonts w:eastAsia="Calibri"/>
              </w:rPr>
              <w:t>,</w:t>
            </w:r>
            <w:r w:rsidR="00CC2465" w:rsidRPr="00A23740">
              <w:rPr>
                <w:rStyle w:val="MaviChar"/>
              </w:rPr>
              <w:t xml:space="preserve"> </w:t>
            </w:r>
            <w:r w:rsidRPr="00A23740">
              <w:rPr>
                <w:rStyle w:val="MaviChar"/>
              </w:rPr>
              <w:t>talep h</w:t>
            </w:r>
            <w:r w:rsidR="006E24BA" w:rsidRPr="00A23740">
              <w:rPr>
                <w:rStyle w:val="MaviChar"/>
                <w:lang w:val="tr-TR"/>
              </w:rPr>
              <w:t>â</w:t>
            </w:r>
            <w:r w:rsidRPr="00A23740">
              <w:rPr>
                <w:rStyle w:val="MaviChar"/>
              </w:rPr>
              <w:t xml:space="preserve">linde bu durum tutanağa bağlanır ve </w:t>
            </w:r>
            <w:r w:rsidR="00CC2465" w:rsidRPr="006D2E3C">
              <w:rPr>
                <w:rStyle w:val="MaviChar"/>
              </w:rPr>
              <w:t>tutanağın</w:t>
            </w:r>
            <w:r w:rsidR="00CC2465" w:rsidRPr="00A23740">
              <w:rPr>
                <w:rStyle w:val="MaviChar"/>
                <w:color w:val="538135"/>
              </w:rPr>
              <w:t xml:space="preserve"> </w:t>
            </w:r>
            <w:r w:rsidRPr="00A23740">
              <w:rPr>
                <w:rStyle w:val="MaviChar"/>
              </w:rPr>
              <w:t>bir nüshası</w:t>
            </w:r>
            <w:r w:rsidRPr="00A23740">
              <w:rPr>
                <w:rStyle w:val="Normal--Char"/>
                <w:rFonts w:eastAsia="Calibri"/>
              </w:rPr>
              <w:t xml:space="preserve"> alacaklıya </w:t>
            </w:r>
            <w:r w:rsidRPr="00A23740">
              <w:rPr>
                <w:rStyle w:val="MaviChar"/>
              </w:rPr>
              <w:t>verilir.</w:t>
            </w:r>
          </w:p>
          <w:p w:rsidR="00155AF4" w:rsidRPr="00A23740" w:rsidRDefault="00155AF4" w:rsidP="009431FF">
            <w:pPr>
              <w:autoSpaceDE w:val="0"/>
              <w:autoSpaceDN w:val="0"/>
              <w:adjustRightInd w:val="0"/>
              <w:rPr>
                <w:szCs w:val="24"/>
              </w:rPr>
            </w:pPr>
          </w:p>
        </w:tc>
      </w:tr>
      <w:tr w:rsidR="00155AF4" w:rsidRPr="00A23740" w:rsidTr="009431FF">
        <w:tc>
          <w:tcPr>
            <w:tcW w:w="5000" w:type="pct"/>
            <w:gridSpan w:val="2"/>
            <w:shd w:val="clear" w:color="auto" w:fill="DEEAF6"/>
          </w:tcPr>
          <w:p w:rsidR="00D41DBE" w:rsidRPr="00A23740" w:rsidRDefault="00D41DBE" w:rsidP="009431FF">
            <w:pPr>
              <w:tabs>
                <w:tab w:val="left" w:pos="567"/>
              </w:tabs>
              <w:autoSpaceDE w:val="0"/>
              <w:autoSpaceDN w:val="0"/>
              <w:adjustRightInd w:val="0"/>
              <w:ind w:firstLine="709"/>
              <w:rPr>
                <w:szCs w:val="24"/>
              </w:rPr>
            </w:pPr>
          </w:p>
          <w:p w:rsidR="00DB2C16" w:rsidRPr="00A23740" w:rsidRDefault="00DB2C16" w:rsidP="009431FF">
            <w:pPr>
              <w:tabs>
                <w:tab w:val="left" w:pos="567"/>
              </w:tabs>
              <w:autoSpaceDE w:val="0"/>
              <w:autoSpaceDN w:val="0"/>
              <w:adjustRightInd w:val="0"/>
              <w:ind w:firstLine="709"/>
              <w:rPr>
                <w:szCs w:val="24"/>
              </w:rPr>
            </w:pPr>
            <w:r w:rsidRPr="00A23740">
              <w:rPr>
                <w:b/>
                <w:szCs w:val="24"/>
              </w:rPr>
              <w:t>MADDE 93-</w:t>
            </w:r>
            <w:r w:rsidRPr="00A23740">
              <w:rPr>
                <w:szCs w:val="24"/>
              </w:rPr>
              <w:t xml:space="preserve"> </w:t>
            </w:r>
            <w:r w:rsidR="00D41DBE" w:rsidRPr="00A23740">
              <w:rPr>
                <w:szCs w:val="24"/>
              </w:rPr>
              <w:t xml:space="preserve">Maddeyle, ilamsız takiplerde itiraz üzerine yapılacak işlem düzenlenmektedir. </w:t>
            </w:r>
            <w:r w:rsidRPr="00A23740">
              <w:rPr>
                <w:szCs w:val="24"/>
              </w:rPr>
              <w:t xml:space="preserve">Taslağın 93 üncü maddesi “İtiraz üzerine yapılacak işlem” başlığını taşımakta olup </w:t>
            </w:r>
            <w:r w:rsidR="00D41DBE" w:rsidRPr="00A23740">
              <w:rPr>
                <w:szCs w:val="24"/>
              </w:rPr>
              <w:t>2004 sayılı Kanunun</w:t>
            </w:r>
            <w:r w:rsidRPr="00A23740">
              <w:rPr>
                <w:szCs w:val="24"/>
              </w:rPr>
              <w:t xml:space="preserve"> 64 üncü maddesine karşılı</w:t>
            </w:r>
            <w:r w:rsidR="00D41DBE" w:rsidRPr="00A23740">
              <w:rPr>
                <w:szCs w:val="24"/>
              </w:rPr>
              <w:t xml:space="preserve">k gelmektedir. </w:t>
            </w:r>
            <w:r w:rsidRPr="00A23740">
              <w:rPr>
                <w:szCs w:val="24"/>
              </w:rPr>
              <w:t>Bu</w:t>
            </w:r>
            <w:r w:rsidR="006E24BA" w:rsidRPr="00A23740">
              <w:rPr>
                <w:szCs w:val="24"/>
              </w:rPr>
              <w:t xml:space="preserve"> </w:t>
            </w:r>
            <w:r w:rsidR="006E24BA" w:rsidRPr="006D2E3C">
              <w:rPr>
                <w:szCs w:val="24"/>
              </w:rPr>
              <w:t>Taslak</w:t>
            </w:r>
            <w:r w:rsidRPr="00A23740">
              <w:rPr>
                <w:szCs w:val="24"/>
              </w:rPr>
              <w:t xml:space="preserve"> hükmünde yapılan değişiklikler dilin sadeleştirilmesi</w:t>
            </w:r>
            <w:r w:rsidR="00F63BB3" w:rsidRPr="00A23740">
              <w:rPr>
                <w:szCs w:val="24"/>
              </w:rPr>
              <w:t>ne</w:t>
            </w:r>
            <w:r w:rsidRPr="00A23740">
              <w:rPr>
                <w:szCs w:val="24"/>
              </w:rPr>
              <w:t xml:space="preserve"> ve </w:t>
            </w:r>
            <w:r w:rsidR="00F63BB3" w:rsidRPr="00A23740">
              <w:rPr>
                <w:szCs w:val="24"/>
              </w:rPr>
              <w:t xml:space="preserve">içeriğin </w:t>
            </w:r>
            <w:r w:rsidRPr="00A23740">
              <w:rPr>
                <w:szCs w:val="24"/>
              </w:rPr>
              <w:t>açık</w:t>
            </w:r>
            <w:r w:rsidR="00F63BB3" w:rsidRPr="00A23740">
              <w:rPr>
                <w:szCs w:val="24"/>
              </w:rPr>
              <w:t xml:space="preserve"> olmasını</w:t>
            </w:r>
            <w:r w:rsidRPr="00A23740">
              <w:rPr>
                <w:szCs w:val="24"/>
              </w:rPr>
              <w:t xml:space="preserve"> sağlamaya yönelik olup, maddede esasa ilişkin bir değişiklik yapılmamıştır.</w:t>
            </w:r>
          </w:p>
          <w:p w:rsidR="00DB2C16" w:rsidRPr="00A23740" w:rsidRDefault="00D41DBE" w:rsidP="009431FF">
            <w:pPr>
              <w:tabs>
                <w:tab w:val="left" w:pos="567"/>
              </w:tabs>
              <w:autoSpaceDE w:val="0"/>
              <w:autoSpaceDN w:val="0"/>
              <w:adjustRightInd w:val="0"/>
              <w:ind w:firstLine="709"/>
              <w:rPr>
                <w:szCs w:val="24"/>
              </w:rPr>
            </w:pPr>
            <w:r w:rsidRPr="00A23740">
              <w:rPr>
                <w:szCs w:val="24"/>
              </w:rPr>
              <w:t>Maddenin bir</w:t>
            </w:r>
            <w:r w:rsidR="00DB2C16" w:rsidRPr="00A23740">
              <w:rPr>
                <w:szCs w:val="24"/>
              </w:rPr>
              <w:t>inci fıkrasında itirazın tutanağa bağlanarak icra dosyasına kaydedileceği ve itirazın bir örneğinin 51 inci maddeye göre alacaklının yatırdığı gider avansından karşılanmak suretiyle üç gün içinde alacaklıya tebliğe çıkarılacağı öngörülmüştür.</w:t>
            </w:r>
          </w:p>
          <w:p w:rsidR="00DB2C16" w:rsidRPr="00A23740" w:rsidRDefault="00D41DBE" w:rsidP="009431FF">
            <w:pPr>
              <w:tabs>
                <w:tab w:val="left" w:pos="567"/>
              </w:tabs>
              <w:autoSpaceDE w:val="0"/>
              <w:autoSpaceDN w:val="0"/>
              <w:adjustRightInd w:val="0"/>
              <w:ind w:firstLine="709"/>
              <w:rPr>
                <w:szCs w:val="24"/>
              </w:rPr>
            </w:pPr>
            <w:r w:rsidRPr="00A23740">
              <w:rPr>
                <w:szCs w:val="24"/>
              </w:rPr>
              <w:t>Maddenin iki</w:t>
            </w:r>
            <w:r w:rsidR="00DB2C16" w:rsidRPr="00A23740">
              <w:rPr>
                <w:szCs w:val="24"/>
              </w:rPr>
              <w:t>nci fıkrasında ise borçluya, itiraz ettiğine ilişkin olarak itiraz tarihini de gösterir bir belgenin derh</w:t>
            </w:r>
            <w:r w:rsidR="00694D30" w:rsidRPr="00A23740">
              <w:rPr>
                <w:szCs w:val="24"/>
              </w:rPr>
              <w:t>â</w:t>
            </w:r>
            <w:r w:rsidR="00DB2C16" w:rsidRPr="00A23740">
              <w:rPr>
                <w:szCs w:val="24"/>
              </w:rPr>
              <w:t>l verilmesi ve bu belgenin bir nüshası</w:t>
            </w:r>
            <w:r w:rsidR="00F63BB3" w:rsidRPr="00A23740">
              <w:rPr>
                <w:szCs w:val="24"/>
              </w:rPr>
              <w:t>nın</w:t>
            </w:r>
            <w:r w:rsidR="00DB2C16" w:rsidRPr="00A23740">
              <w:rPr>
                <w:szCs w:val="24"/>
              </w:rPr>
              <w:t xml:space="preserve"> icra takip dosyasında muhafaza edilmesi öngörülmüştür.</w:t>
            </w:r>
          </w:p>
          <w:p w:rsidR="00E91409"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D41DBE" w:rsidRPr="00A23740">
              <w:rPr>
                <w:szCs w:val="24"/>
              </w:rPr>
              <w:t>üç</w:t>
            </w:r>
            <w:r w:rsidRPr="00A23740">
              <w:rPr>
                <w:szCs w:val="24"/>
              </w:rPr>
              <w:t>üncü fıkrası</w:t>
            </w:r>
            <w:r w:rsidR="00F63BB3" w:rsidRPr="00A23740">
              <w:rPr>
                <w:szCs w:val="24"/>
              </w:rPr>
              <w:t>nda,</w:t>
            </w:r>
            <w:r w:rsidRPr="00A23740">
              <w:rPr>
                <w:szCs w:val="24"/>
              </w:rPr>
              <w:t xml:space="preserve"> itiraz </w:t>
            </w:r>
            <w:r w:rsidR="005F30CB" w:rsidRPr="006D2E3C">
              <w:rPr>
                <w:szCs w:val="24"/>
              </w:rPr>
              <w:t>olunmazsa,</w:t>
            </w:r>
            <w:r w:rsidR="005F30CB" w:rsidRPr="006D2E3C">
              <w:rPr>
                <w:bCs/>
              </w:rPr>
              <w:t xml:space="preserve"> </w:t>
            </w:r>
            <w:r w:rsidRPr="00A23740">
              <w:rPr>
                <w:szCs w:val="24"/>
              </w:rPr>
              <w:t>talep h</w:t>
            </w:r>
            <w:r w:rsidR="002F2BAA" w:rsidRPr="00A23740">
              <w:rPr>
                <w:szCs w:val="24"/>
              </w:rPr>
              <w:t>â</w:t>
            </w:r>
            <w:r w:rsidRPr="00A23740">
              <w:rPr>
                <w:szCs w:val="24"/>
              </w:rPr>
              <w:t xml:space="preserve">linde bu durumun da tutanağa bağlanacağı ve </w:t>
            </w:r>
            <w:r w:rsidR="005F30CB" w:rsidRPr="006D2E3C">
              <w:t>tutanağın</w:t>
            </w:r>
            <w:r w:rsidR="005F30CB" w:rsidRPr="00A23740">
              <w:rPr>
                <w:szCs w:val="24"/>
              </w:rPr>
              <w:t xml:space="preserve"> </w:t>
            </w:r>
            <w:r w:rsidRPr="00A23740">
              <w:rPr>
                <w:szCs w:val="24"/>
              </w:rPr>
              <w:t>bir nüshasının alacak</w:t>
            </w:r>
            <w:r w:rsidR="003047A5">
              <w:rPr>
                <w:szCs w:val="24"/>
              </w:rPr>
              <w:t>lıya verileceği belirtilmiştir.</w:t>
            </w:r>
          </w:p>
          <w:p w:rsidR="00E91409" w:rsidRPr="00A23740" w:rsidRDefault="00E91409" w:rsidP="009431FF">
            <w:pPr>
              <w:tabs>
                <w:tab w:val="left" w:pos="567"/>
              </w:tabs>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autoSpaceDE w:val="0"/>
              <w:autoSpaceDN w:val="0"/>
              <w:adjustRightInd w:val="0"/>
              <w:rPr>
                <w:i/>
                <w:iCs/>
                <w:szCs w:val="24"/>
              </w:rPr>
            </w:pPr>
            <w:r w:rsidRPr="00A23740">
              <w:rPr>
                <w:b/>
                <w:bCs/>
                <w:strike/>
                <w:color w:val="FF0000"/>
                <w:szCs w:val="24"/>
              </w:rPr>
              <w:t>4 –</w:t>
            </w:r>
            <w:r w:rsidRPr="00A23740">
              <w:rPr>
                <w:i/>
                <w:iCs/>
                <w:szCs w:val="24"/>
              </w:rPr>
              <w:t xml:space="preserve"> Gecikmiş itiraz</w:t>
            </w:r>
            <w:r w:rsidRPr="00A23740">
              <w:rPr>
                <w:b/>
                <w:bCs/>
                <w:strike/>
                <w:color w:val="FF0000"/>
                <w:szCs w:val="24"/>
              </w:rPr>
              <w:t>:</w:t>
            </w:r>
          </w:p>
          <w:p w:rsidR="00155AF4" w:rsidRPr="00A23740" w:rsidRDefault="00155AF4" w:rsidP="009431FF">
            <w:pPr>
              <w:widowControl w:val="0"/>
              <w:tabs>
                <w:tab w:val="left" w:pos="567"/>
              </w:tabs>
              <w:autoSpaceDE w:val="0"/>
              <w:autoSpaceDN w:val="0"/>
              <w:adjustRightInd w:val="0"/>
              <w:rPr>
                <w:b/>
                <w:bCs/>
                <w:szCs w:val="24"/>
              </w:rPr>
            </w:pPr>
            <w:r w:rsidRPr="00A23740">
              <w:rPr>
                <w:b/>
                <w:bCs/>
                <w:strike/>
                <w:color w:val="FF0000"/>
                <w:szCs w:val="24"/>
              </w:rPr>
              <w:t>Madde 65 – (1) (Değişik: 18/2/1965 - 538/35 md.)</w:t>
            </w:r>
          </w:p>
          <w:p w:rsidR="00155AF4" w:rsidRPr="00A23740" w:rsidRDefault="00155AF4" w:rsidP="009431FF">
            <w:pPr>
              <w:widowControl w:val="0"/>
              <w:tabs>
                <w:tab w:val="left" w:pos="567"/>
              </w:tabs>
              <w:autoSpaceDE w:val="0"/>
              <w:autoSpaceDN w:val="0"/>
              <w:adjustRightInd w:val="0"/>
              <w:rPr>
                <w:szCs w:val="24"/>
              </w:rPr>
            </w:pPr>
            <w:r w:rsidRPr="00A23740">
              <w:rPr>
                <w:szCs w:val="24"/>
              </w:rPr>
              <w:t xml:space="preserve">Borçlu kusuru olmaksızın bir </w:t>
            </w:r>
            <w:r w:rsidRPr="00A23740">
              <w:rPr>
                <w:b/>
                <w:bCs/>
                <w:strike/>
                <w:color w:val="FF0000"/>
                <w:szCs w:val="24"/>
              </w:rPr>
              <w:t>mani</w:t>
            </w:r>
            <w:r w:rsidRPr="00A23740">
              <w:rPr>
                <w:szCs w:val="24"/>
              </w:rPr>
              <w:t xml:space="preserve"> sebebiyle </w:t>
            </w:r>
            <w:r w:rsidRPr="00A23740">
              <w:rPr>
                <w:b/>
                <w:bCs/>
                <w:strike/>
                <w:color w:val="FF0000"/>
                <w:szCs w:val="24"/>
              </w:rPr>
              <w:t>müddeti</w:t>
            </w:r>
            <w:r w:rsidRPr="00A23740">
              <w:rPr>
                <w:szCs w:val="24"/>
              </w:rPr>
              <w:t xml:space="preserve"> içinde itiraz edememiş ise paraya çevirme </w:t>
            </w:r>
            <w:r w:rsidRPr="00A23740">
              <w:rPr>
                <w:b/>
                <w:bCs/>
                <w:strike/>
                <w:color w:val="FF0000"/>
                <w:szCs w:val="24"/>
              </w:rPr>
              <w:t>muamelesi</w:t>
            </w:r>
            <w:r w:rsidRPr="00A23740">
              <w:rPr>
                <w:szCs w:val="24"/>
              </w:rPr>
              <w:t xml:space="preserve"> bitinceye kadar itiraz edebilir.</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b/>
                <w:bCs/>
                <w:strike/>
                <w:color w:val="FF0000"/>
                <w:szCs w:val="24"/>
              </w:rPr>
              <w:t>(2)</w:t>
            </w:r>
            <w:r w:rsidRPr="00A23740">
              <w:rPr>
                <w:szCs w:val="24"/>
              </w:rPr>
              <w:t xml:space="preserve"> </w:t>
            </w:r>
            <w:r w:rsidRPr="00A23740">
              <w:rPr>
                <w:rStyle w:val="KIRMIZIChar"/>
                <w:rFonts w:eastAsia="Calibri"/>
              </w:rPr>
              <w:t>Ancak</w:t>
            </w:r>
            <w:r w:rsidRPr="00A23740">
              <w:rPr>
                <w:b/>
                <w:bCs/>
                <w:color w:val="FF0000"/>
                <w:szCs w:val="24"/>
              </w:rPr>
              <w:t xml:space="preserve"> </w:t>
            </w:r>
            <w:r w:rsidRPr="00A23740">
              <w:rPr>
                <w:szCs w:val="24"/>
              </w:rPr>
              <w:t xml:space="preserve">borçlu, </w:t>
            </w:r>
            <w:r w:rsidRPr="00A23740">
              <w:rPr>
                <w:b/>
                <w:bCs/>
                <w:strike/>
                <w:color w:val="FF0000"/>
                <w:szCs w:val="24"/>
              </w:rPr>
              <w:t>maniin</w:t>
            </w:r>
            <w:r w:rsidRPr="00A23740">
              <w:rPr>
                <w:szCs w:val="24"/>
              </w:rPr>
              <w:t xml:space="preserve"> kalktığı günden itibaren </w:t>
            </w:r>
            <w:r w:rsidRPr="00A23740">
              <w:rPr>
                <w:b/>
                <w:bCs/>
                <w:strike/>
                <w:color w:val="FF0000"/>
                <w:szCs w:val="24"/>
              </w:rPr>
              <w:t>üç gün</w:t>
            </w:r>
            <w:r w:rsidRPr="00A23740">
              <w:rPr>
                <w:szCs w:val="24"/>
              </w:rPr>
              <w:t xml:space="preserve"> içinde, mazeretini gösterir delillerle birlikte </w:t>
            </w:r>
            <w:r w:rsidRPr="00A23740">
              <w:rPr>
                <w:b/>
                <w:bCs/>
                <w:strike/>
                <w:color w:val="FF0000"/>
                <w:szCs w:val="24"/>
              </w:rPr>
              <w:t>itiraz ve sebeplerini ve müstenidatını</w:t>
            </w:r>
            <w:r w:rsidRPr="00A23740">
              <w:rPr>
                <w:szCs w:val="24"/>
              </w:rPr>
              <w:t xml:space="preserve"> </w:t>
            </w:r>
            <w:r w:rsidRPr="00A23740">
              <w:rPr>
                <w:rStyle w:val="KIRMIZIChar"/>
                <w:rFonts w:eastAsia="Calibri"/>
              </w:rPr>
              <w:t>bildirmeye</w:t>
            </w:r>
            <w:r w:rsidRPr="00A23740">
              <w:rPr>
                <w:szCs w:val="24"/>
              </w:rPr>
              <w:t xml:space="preserve"> ve </w:t>
            </w:r>
            <w:r w:rsidRPr="00A23740">
              <w:rPr>
                <w:b/>
                <w:bCs/>
                <w:strike/>
                <w:color w:val="FF0000"/>
                <w:szCs w:val="24"/>
              </w:rPr>
              <w:t>mütaakıp</w:t>
            </w:r>
            <w:r w:rsidRPr="00A23740">
              <w:rPr>
                <w:szCs w:val="24"/>
              </w:rPr>
              <w:t xml:space="preserve"> fıkra </w:t>
            </w:r>
            <w:r w:rsidRPr="00A23740">
              <w:rPr>
                <w:b/>
                <w:bCs/>
                <w:strike/>
                <w:color w:val="FF0000"/>
                <w:szCs w:val="24"/>
              </w:rPr>
              <w:t>için</w:t>
            </w:r>
            <w:r w:rsidRPr="00A23740">
              <w:rPr>
                <w:szCs w:val="24"/>
              </w:rPr>
              <w:t xml:space="preserve"> yapılacak duruşma</w:t>
            </w:r>
            <w:r w:rsidRPr="00A23740">
              <w:rPr>
                <w:b/>
                <w:bCs/>
                <w:strike/>
                <w:color w:val="FF0000"/>
                <w:szCs w:val="24"/>
              </w:rPr>
              <w:t>ya</w:t>
            </w:r>
            <w:r w:rsidRPr="00A23740">
              <w:rPr>
                <w:szCs w:val="24"/>
              </w:rPr>
              <w:t xml:space="preserve"> </w:t>
            </w:r>
            <w:r w:rsidRPr="00A23740">
              <w:rPr>
                <w:b/>
                <w:bCs/>
                <w:strike/>
                <w:color w:val="FF0000"/>
                <w:szCs w:val="24"/>
              </w:rPr>
              <w:t>taallük eden</w:t>
            </w:r>
            <w:r w:rsidRPr="00A23740">
              <w:rPr>
                <w:szCs w:val="24"/>
              </w:rPr>
              <w:t xml:space="preserve"> harç ve </w:t>
            </w:r>
            <w:r w:rsidRPr="00A23740">
              <w:rPr>
                <w:rStyle w:val="KIRMIZIChar"/>
                <w:rFonts w:eastAsia="Calibri"/>
              </w:rPr>
              <w:t>masrafları</w:t>
            </w:r>
            <w:r w:rsidRPr="00A23740">
              <w:rPr>
                <w:szCs w:val="24"/>
              </w:rPr>
              <w:t xml:space="preserve"> </w:t>
            </w:r>
            <w:r w:rsidRPr="00A23740">
              <w:rPr>
                <w:rStyle w:val="KIRMIZIChar"/>
                <w:rFonts w:eastAsia="Calibri"/>
              </w:rPr>
              <w:t>ödemeye</w:t>
            </w:r>
            <w:r w:rsidRPr="00A23740">
              <w:rPr>
                <w:szCs w:val="24"/>
              </w:rPr>
              <w:t xml:space="preserve"> </w:t>
            </w:r>
            <w:r w:rsidRPr="00A23740">
              <w:rPr>
                <w:rStyle w:val="KIRMIZIChar"/>
                <w:rFonts w:eastAsia="Calibri"/>
              </w:rPr>
              <w:t>mecburdur</w:t>
            </w:r>
            <w:r w:rsidRPr="00A23740">
              <w:rPr>
                <w:szCs w:val="24"/>
              </w:rPr>
              <w:t>.</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rStyle w:val="KIRMIZIChar"/>
                <w:rFonts w:eastAsia="Calibri"/>
              </w:rPr>
              <w:t>(3)</w:t>
            </w:r>
            <w:r w:rsidRPr="00A23740">
              <w:rPr>
                <w:szCs w:val="24"/>
              </w:rPr>
              <w:t xml:space="preserve"> İtiraz üzerine icra mahkemesi </w:t>
            </w:r>
            <w:r w:rsidRPr="00A23740">
              <w:rPr>
                <w:b/>
                <w:bCs/>
                <w:strike/>
                <w:color w:val="FF0000"/>
                <w:szCs w:val="24"/>
              </w:rPr>
              <w:t>ancak</w:t>
            </w:r>
            <w:r w:rsidRPr="00A23740">
              <w:rPr>
                <w:szCs w:val="24"/>
              </w:rPr>
              <w:t xml:space="preserve"> gecikme sebebinin </w:t>
            </w:r>
            <w:r w:rsidRPr="00A23740">
              <w:rPr>
                <w:rStyle w:val="KIRMIZIChar"/>
                <w:rFonts w:eastAsia="Calibri"/>
              </w:rPr>
              <w:t>mahiyetine</w:t>
            </w:r>
            <w:r w:rsidRPr="00A23740">
              <w:rPr>
                <w:szCs w:val="24"/>
              </w:rPr>
              <w:t xml:space="preserve"> ve </w:t>
            </w:r>
            <w:r w:rsidRPr="00A23740">
              <w:rPr>
                <w:rStyle w:val="KIRMIZIChar"/>
                <w:rFonts w:eastAsia="Calibri"/>
              </w:rPr>
              <w:t>hadisenin</w:t>
            </w:r>
            <w:r w:rsidRPr="00A23740">
              <w:rPr>
                <w:szCs w:val="24"/>
              </w:rPr>
              <w:t xml:space="preserve"> özelliklerine göre takibin </w:t>
            </w:r>
            <w:r w:rsidRPr="00A23740">
              <w:rPr>
                <w:b/>
                <w:bCs/>
                <w:strike/>
                <w:color w:val="FF0000"/>
                <w:szCs w:val="24"/>
              </w:rPr>
              <w:t>tatilini tensip edebilir</w:t>
            </w:r>
            <w:r w:rsidRPr="00A23740">
              <w:rPr>
                <w:szCs w:val="24"/>
              </w:rPr>
              <w:t xml:space="preserve">. </w:t>
            </w:r>
            <w:r w:rsidRPr="00A23740">
              <w:rPr>
                <w:rStyle w:val="KIRMIZIChar"/>
                <w:rFonts w:eastAsia="Calibri"/>
              </w:rPr>
              <w:t>İcra</w:t>
            </w:r>
            <w:r w:rsidRPr="00A23740">
              <w:rPr>
                <w:szCs w:val="24"/>
              </w:rPr>
              <w:t xml:space="preserve"> </w:t>
            </w:r>
            <w:r w:rsidRPr="00A23740">
              <w:rPr>
                <w:rStyle w:val="KIRMIZIChar"/>
                <w:rFonts w:eastAsia="Calibri"/>
              </w:rPr>
              <w:t>mahkemesi</w:t>
            </w:r>
            <w:r w:rsidRPr="00A23740">
              <w:rPr>
                <w:szCs w:val="24"/>
              </w:rPr>
              <w:t xml:space="preserve">, </w:t>
            </w:r>
            <w:r w:rsidRPr="00A23740">
              <w:rPr>
                <w:b/>
                <w:bCs/>
                <w:strike/>
                <w:color w:val="FF0000"/>
                <w:szCs w:val="24"/>
              </w:rPr>
              <w:t>tetkikatını</w:t>
            </w:r>
            <w:r w:rsidRPr="00A23740">
              <w:rPr>
                <w:szCs w:val="24"/>
              </w:rPr>
              <w:t xml:space="preserve"> evrak üzerinde yapar. </w:t>
            </w:r>
            <w:r w:rsidRPr="00A23740">
              <w:rPr>
                <w:rStyle w:val="KIRMIZIChar"/>
                <w:rFonts w:eastAsia="Calibri"/>
              </w:rPr>
              <w:t>Lüzumu</w:t>
            </w:r>
            <w:r w:rsidRPr="00A23740">
              <w:rPr>
                <w:szCs w:val="24"/>
              </w:rPr>
              <w:t xml:space="preserve"> </w:t>
            </w:r>
            <w:r w:rsidRPr="00A23740">
              <w:rPr>
                <w:rStyle w:val="KIRMIZIChar"/>
                <w:rFonts w:eastAsia="Calibri"/>
              </w:rPr>
              <w:lastRenderedPageBreak/>
              <w:t>halinde</w:t>
            </w:r>
            <w:r w:rsidRPr="00A23740">
              <w:rPr>
                <w:szCs w:val="24"/>
              </w:rPr>
              <w:t xml:space="preserve"> iki tarafı hemen </w:t>
            </w:r>
            <w:r w:rsidRPr="00A23740">
              <w:rPr>
                <w:rStyle w:val="KIRMIZIChar"/>
                <w:rFonts w:eastAsia="Calibri"/>
              </w:rPr>
              <w:t>davetle</w:t>
            </w:r>
            <w:r w:rsidRPr="00A23740">
              <w:rPr>
                <w:szCs w:val="24"/>
              </w:rPr>
              <w:t xml:space="preserve"> mazeretin kabul</w:t>
            </w:r>
            <w:r w:rsidRPr="00A23740">
              <w:rPr>
                <w:rStyle w:val="KIRMIZIChar"/>
                <w:rFonts w:eastAsia="Calibri"/>
              </w:rPr>
              <w:t>e şayan</w:t>
            </w:r>
            <w:r w:rsidRPr="00A23740">
              <w:rPr>
                <w:rStyle w:val="KIRMIZIChar"/>
                <w:rFonts w:eastAsia="Calibri"/>
                <w:strike w:val="0"/>
              </w:rPr>
              <w:t xml:space="preserve"> </w:t>
            </w:r>
            <w:r w:rsidRPr="00A23740">
              <w:rPr>
                <w:szCs w:val="24"/>
              </w:rPr>
              <w:t>olup olmadığına karar verir. Duruşma</w:t>
            </w:r>
            <w:r w:rsidRPr="00A23740">
              <w:rPr>
                <w:rStyle w:val="KIRMIZIChar"/>
                <w:rFonts w:eastAsia="Calibri"/>
              </w:rPr>
              <w:t>ya</w:t>
            </w:r>
            <w:r w:rsidRPr="00A23740">
              <w:rPr>
                <w:szCs w:val="24"/>
              </w:rPr>
              <w:t xml:space="preserve"> karar verilmemesi halinde borçludan alınan </w:t>
            </w:r>
            <w:r w:rsidRPr="00A23740">
              <w:rPr>
                <w:rStyle w:val="KIRMIZIChar"/>
                <w:rFonts w:eastAsia="Calibri"/>
              </w:rPr>
              <w:t>masraflar</w:t>
            </w:r>
            <w:r w:rsidRPr="00A23740">
              <w:rPr>
                <w:szCs w:val="24"/>
              </w:rPr>
              <w:t xml:space="preserve"> kendisine iade olunur.</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rStyle w:val="KIRMIZIChar"/>
                <w:rFonts w:eastAsia="Calibri"/>
              </w:rPr>
              <w:t>(4)</w:t>
            </w:r>
            <w:r w:rsidRPr="00A23740">
              <w:rPr>
                <w:szCs w:val="24"/>
              </w:rPr>
              <w:t xml:space="preserve"> Mazeretin kabulü halinde icra takibi durur. </w:t>
            </w:r>
            <w:r w:rsidRPr="00A23740">
              <w:rPr>
                <w:b/>
                <w:bCs/>
                <w:strike/>
                <w:color w:val="FF0000"/>
                <w:szCs w:val="24"/>
              </w:rPr>
              <w:t>Aynı celsede alacaklı itirazın kaldırılmasını sözlü olarak da istiyebilir. Bu takdirde tahkikata devam olunarak gerekli karar verilir.</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rStyle w:val="KIRMIZIChar"/>
                <w:rFonts w:eastAsia="Calibri"/>
              </w:rPr>
              <w:t>(5)</w:t>
            </w:r>
            <w:r w:rsidRPr="00A23740">
              <w:rPr>
                <w:szCs w:val="24"/>
              </w:rPr>
              <w:t xml:space="preserve"> Daha önce borçlunun mallarına haciz konulmuşsa mazeretin kabulü kararının tefhim veya tebliği tarihinden itibaren </w:t>
            </w:r>
            <w:r w:rsidRPr="00A23740">
              <w:rPr>
                <w:rStyle w:val="KIRMIZIChar"/>
                <w:rFonts w:eastAsia="Calibri"/>
              </w:rPr>
              <w:t>alacaklı</w:t>
            </w:r>
            <w:r w:rsidRPr="00A23740">
              <w:rPr>
                <w:szCs w:val="24"/>
              </w:rPr>
              <w:t xml:space="preserve"> </w:t>
            </w:r>
            <w:r w:rsidRPr="00A23740">
              <w:rPr>
                <w:b/>
                <w:bCs/>
                <w:strike/>
                <w:color w:val="FF0000"/>
                <w:szCs w:val="24"/>
              </w:rPr>
              <w:t>yedi gün</w:t>
            </w:r>
            <w:r w:rsidRPr="00A23740">
              <w:rPr>
                <w:szCs w:val="24"/>
              </w:rPr>
              <w:t xml:space="preserve"> içinde</w:t>
            </w:r>
            <w:r w:rsidRPr="00A23740">
              <w:rPr>
                <w:rStyle w:val="KIRMIZIChar"/>
                <w:rFonts w:eastAsia="Calibri"/>
              </w:rPr>
              <w:t>, i</w:t>
            </w:r>
            <w:r w:rsidRPr="00A23740">
              <w:rPr>
                <w:b/>
                <w:bCs/>
                <w:strike/>
                <w:color w:val="FF0000"/>
                <w:szCs w:val="24"/>
              </w:rPr>
              <w:t>cra mahkemesinden</w:t>
            </w:r>
            <w:r w:rsidRPr="00A23740">
              <w:rPr>
                <w:szCs w:val="24"/>
              </w:rPr>
              <w:t xml:space="preserve"> itirazın </w:t>
            </w:r>
            <w:r w:rsidRPr="00A23740">
              <w:rPr>
                <w:b/>
                <w:bCs/>
                <w:strike/>
                <w:color w:val="FF0000"/>
                <w:szCs w:val="24"/>
              </w:rPr>
              <w:t>kaldırılmasını</w:t>
            </w:r>
            <w:r w:rsidRPr="00A23740">
              <w:rPr>
                <w:szCs w:val="24"/>
              </w:rPr>
              <w:t xml:space="preserve"> istemez </w:t>
            </w:r>
            <w:r w:rsidRPr="00A23740">
              <w:rPr>
                <w:b/>
                <w:bCs/>
                <w:strike/>
                <w:color w:val="FF0000"/>
                <w:szCs w:val="24"/>
              </w:rPr>
              <w:t>veya aynı süre içinde 67 nci maddeye göre mahkemeye başvurmazsa</w:t>
            </w:r>
            <w:r w:rsidRPr="00A23740">
              <w:rPr>
                <w:szCs w:val="24"/>
              </w:rPr>
              <w:t xml:space="preserve"> haciz kalkar.</w:t>
            </w:r>
          </w:p>
          <w:p w:rsidR="007D5D98" w:rsidRPr="00A23740" w:rsidRDefault="007D5D98" w:rsidP="009431FF">
            <w:pPr>
              <w:widowControl w:val="0"/>
              <w:tabs>
                <w:tab w:val="left" w:pos="567"/>
              </w:tabs>
              <w:autoSpaceDE w:val="0"/>
              <w:autoSpaceDN w:val="0"/>
              <w:adjustRightInd w:val="0"/>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autoSpaceDE w:val="0"/>
              <w:autoSpaceDN w:val="0"/>
              <w:adjustRightInd w:val="0"/>
              <w:rPr>
                <w:b/>
                <w:bCs/>
                <w:szCs w:val="24"/>
              </w:rPr>
            </w:pPr>
            <w:r w:rsidRPr="00A23740">
              <w:rPr>
                <w:b/>
                <w:bCs/>
                <w:szCs w:val="24"/>
              </w:rPr>
              <w:lastRenderedPageBreak/>
              <w:t>Gecikmiş itiraz</w:t>
            </w:r>
          </w:p>
          <w:p w:rsidR="00155AF4" w:rsidRPr="00A23740" w:rsidRDefault="00155AF4" w:rsidP="009431FF">
            <w:pPr>
              <w:widowControl w:val="0"/>
              <w:autoSpaceDE w:val="0"/>
              <w:autoSpaceDN w:val="0"/>
              <w:adjustRightInd w:val="0"/>
              <w:rPr>
                <w:szCs w:val="24"/>
              </w:rPr>
            </w:pPr>
            <w:r w:rsidRPr="00A23740">
              <w:rPr>
                <w:rStyle w:val="MaviChar"/>
              </w:rPr>
              <w:t>MADDE 94- (1)</w:t>
            </w:r>
            <w:r w:rsidRPr="00A23740">
              <w:rPr>
                <w:b/>
                <w:bCs/>
                <w:color w:val="0000FF"/>
                <w:szCs w:val="24"/>
              </w:rPr>
              <w:t xml:space="preserve"> </w:t>
            </w:r>
            <w:r w:rsidRPr="00A23740">
              <w:rPr>
                <w:szCs w:val="24"/>
              </w:rPr>
              <w:t>Borçlu</w:t>
            </w:r>
            <w:r w:rsidRPr="00A23740">
              <w:rPr>
                <w:b/>
                <w:bCs/>
                <w:color w:val="0000FF"/>
                <w:szCs w:val="24"/>
              </w:rPr>
              <w:t>,</w:t>
            </w:r>
            <w:r w:rsidRPr="00A23740">
              <w:rPr>
                <w:szCs w:val="24"/>
              </w:rPr>
              <w:t xml:space="preserve"> kusuru olmaksızın</w:t>
            </w:r>
            <w:r w:rsidRPr="00A23740">
              <w:rPr>
                <w:rStyle w:val="MaviChar"/>
              </w:rPr>
              <w:t xml:space="preserve">, </w:t>
            </w:r>
            <w:r w:rsidRPr="00A23740">
              <w:rPr>
                <w:szCs w:val="24"/>
              </w:rPr>
              <w:t xml:space="preserve">bir </w:t>
            </w:r>
            <w:r w:rsidRPr="00A23740">
              <w:rPr>
                <w:rStyle w:val="MaviChar"/>
              </w:rPr>
              <w:t>engel</w:t>
            </w:r>
            <w:r w:rsidRPr="00A23740">
              <w:rPr>
                <w:szCs w:val="24"/>
              </w:rPr>
              <w:t xml:space="preserve"> sebebiyle </w:t>
            </w:r>
            <w:r w:rsidRPr="00A23740">
              <w:rPr>
                <w:rStyle w:val="MaviChar"/>
              </w:rPr>
              <w:t>süresi</w:t>
            </w:r>
            <w:r w:rsidRPr="00A23740">
              <w:rPr>
                <w:szCs w:val="24"/>
              </w:rPr>
              <w:t xml:space="preserve"> içinde itiraz edememiş ise paraya çevirme </w:t>
            </w:r>
            <w:r w:rsidRPr="00A23740">
              <w:rPr>
                <w:rStyle w:val="MaviChar"/>
              </w:rPr>
              <w:t>işlemleri</w:t>
            </w:r>
            <w:r w:rsidRPr="00A23740">
              <w:rPr>
                <w:szCs w:val="24"/>
              </w:rPr>
              <w:t xml:space="preserve"> bitinceye kadar itiraz edebilir. </w:t>
            </w:r>
            <w:r w:rsidRPr="00A23740">
              <w:rPr>
                <w:rStyle w:val="MaviChar"/>
              </w:rPr>
              <w:t>Bu takdirde</w:t>
            </w:r>
            <w:r w:rsidRPr="00A23740">
              <w:rPr>
                <w:szCs w:val="24"/>
              </w:rPr>
              <w:t xml:space="preserve"> borçlu, </w:t>
            </w:r>
            <w:r w:rsidRPr="00A23740">
              <w:rPr>
                <w:rStyle w:val="MaviChar"/>
              </w:rPr>
              <w:t>engelin</w:t>
            </w:r>
            <w:r w:rsidRPr="00A23740">
              <w:rPr>
                <w:szCs w:val="24"/>
              </w:rPr>
              <w:t xml:space="preserve"> kalktığı günden itibaren </w:t>
            </w:r>
            <w:r w:rsidRPr="00A23740">
              <w:rPr>
                <w:rStyle w:val="MaviChar"/>
              </w:rPr>
              <w:t>bir hafta</w:t>
            </w:r>
            <w:r w:rsidRPr="00A23740">
              <w:rPr>
                <w:szCs w:val="24"/>
              </w:rPr>
              <w:t xml:space="preserve"> içinde, mazeretini göster</w:t>
            </w:r>
            <w:r w:rsidRPr="00A23740">
              <w:rPr>
                <w:rStyle w:val="MaviChar"/>
              </w:rPr>
              <w:t>en</w:t>
            </w:r>
            <w:r w:rsidRPr="00A23740">
              <w:rPr>
                <w:szCs w:val="24"/>
              </w:rPr>
              <w:t xml:space="preserve"> </w:t>
            </w:r>
            <w:r w:rsidRPr="00A23740">
              <w:rPr>
                <w:rStyle w:val="MaviChar"/>
              </w:rPr>
              <w:t>sebep ve</w:t>
            </w:r>
            <w:r w:rsidRPr="00A23740">
              <w:rPr>
                <w:szCs w:val="24"/>
              </w:rPr>
              <w:t xml:space="preserve"> delillerle </w:t>
            </w:r>
            <w:r w:rsidRPr="00A23740">
              <w:rPr>
                <w:bCs/>
              </w:rPr>
              <w:t>birlikte</w:t>
            </w:r>
            <w:r w:rsidRPr="00A23740">
              <w:rPr>
                <w:rStyle w:val="MaviChar"/>
              </w:rPr>
              <w:t xml:space="preserve"> itirazını da icra hukuk mahkemesine</w:t>
            </w:r>
            <w:r w:rsidRPr="00A23740">
              <w:rPr>
                <w:szCs w:val="24"/>
              </w:rPr>
              <w:t xml:space="preserve"> </w:t>
            </w:r>
            <w:r w:rsidRPr="00A23740">
              <w:rPr>
                <w:rStyle w:val="MaviChar"/>
              </w:rPr>
              <w:t>bildirmek</w:t>
            </w:r>
            <w:r w:rsidRPr="00A23740">
              <w:rPr>
                <w:szCs w:val="24"/>
              </w:rPr>
              <w:t xml:space="preserve"> ve </w:t>
            </w:r>
            <w:r w:rsidRPr="00A23740">
              <w:rPr>
                <w:rStyle w:val="MaviChar"/>
              </w:rPr>
              <w:t>ikinci</w:t>
            </w:r>
            <w:r w:rsidRPr="00A23740">
              <w:rPr>
                <w:szCs w:val="24"/>
              </w:rPr>
              <w:t xml:space="preserve"> fıkra </w:t>
            </w:r>
            <w:r w:rsidRPr="00A23740">
              <w:rPr>
                <w:rStyle w:val="MaviChar"/>
              </w:rPr>
              <w:t>uyarınca</w:t>
            </w:r>
            <w:r w:rsidRPr="00A23740">
              <w:rPr>
                <w:szCs w:val="24"/>
              </w:rPr>
              <w:t xml:space="preserve"> yapılacak duruşma </w:t>
            </w:r>
            <w:r w:rsidRPr="00A23740">
              <w:rPr>
                <w:rStyle w:val="MaviChar"/>
              </w:rPr>
              <w:t>için gerekli</w:t>
            </w:r>
            <w:r w:rsidRPr="00A23740">
              <w:rPr>
                <w:szCs w:val="24"/>
              </w:rPr>
              <w:t xml:space="preserve"> harç ve </w:t>
            </w:r>
            <w:r w:rsidRPr="00A23740">
              <w:rPr>
                <w:rStyle w:val="MaviChar"/>
              </w:rPr>
              <w:t>giderleri</w:t>
            </w:r>
            <w:r w:rsidRPr="00A23740">
              <w:rPr>
                <w:szCs w:val="24"/>
              </w:rPr>
              <w:t xml:space="preserve"> </w:t>
            </w:r>
            <w:r w:rsidRPr="00A23740">
              <w:rPr>
                <w:rStyle w:val="MaviChar"/>
              </w:rPr>
              <w:t>ödemek</w:t>
            </w:r>
            <w:r w:rsidRPr="00A23740">
              <w:rPr>
                <w:szCs w:val="24"/>
              </w:rPr>
              <w:t xml:space="preserve"> </w:t>
            </w:r>
            <w:r w:rsidRPr="00A23740">
              <w:rPr>
                <w:rStyle w:val="MaviChar"/>
              </w:rPr>
              <w:t>zorundadır</w:t>
            </w:r>
            <w:r w:rsidRPr="00A23740">
              <w:rPr>
                <w:szCs w:val="24"/>
              </w:rPr>
              <w:t>.</w:t>
            </w:r>
          </w:p>
          <w:p w:rsidR="00155AF4" w:rsidRPr="00A23740" w:rsidRDefault="00155AF4" w:rsidP="009431FF">
            <w:pPr>
              <w:widowControl w:val="0"/>
              <w:autoSpaceDE w:val="0"/>
              <w:autoSpaceDN w:val="0"/>
              <w:adjustRightInd w:val="0"/>
              <w:rPr>
                <w:szCs w:val="24"/>
              </w:rPr>
            </w:pPr>
          </w:p>
          <w:p w:rsidR="007D5D98" w:rsidRPr="00A23740" w:rsidRDefault="007D5D98" w:rsidP="009431FF">
            <w:pPr>
              <w:widowControl w:val="0"/>
              <w:autoSpaceDE w:val="0"/>
              <w:autoSpaceDN w:val="0"/>
              <w:adjustRightInd w:val="0"/>
              <w:rPr>
                <w:szCs w:val="24"/>
              </w:rPr>
            </w:pPr>
          </w:p>
          <w:p w:rsidR="00C346BD" w:rsidRPr="00A23740" w:rsidRDefault="00C346BD" w:rsidP="009431FF">
            <w:pPr>
              <w:widowControl w:val="0"/>
              <w:autoSpaceDE w:val="0"/>
              <w:autoSpaceDN w:val="0"/>
              <w:adjustRightInd w:val="0"/>
              <w:rPr>
                <w:szCs w:val="24"/>
              </w:rPr>
            </w:pPr>
          </w:p>
          <w:p w:rsidR="00C346BD" w:rsidRPr="00A23740" w:rsidRDefault="00C346BD" w:rsidP="009431FF">
            <w:pPr>
              <w:widowControl w:val="0"/>
              <w:autoSpaceDE w:val="0"/>
              <w:autoSpaceDN w:val="0"/>
              <w:adjustRightInd w:val="0"/>
              <w:rPr>
                <w:szCs w:val="24"/>
              </w:rPr>
            </w:pPr>
          </w:p>
          <w:p w:rsidR="00155AF4" w:rsidRPr="00A23740" w:rsidRDefault="00155AF4" w:rsidP="009431FF">
            <w:pPr>
              <w:widowControl w:val="0"/>
              <w:autoSpaceDE w:val="0"/>
              <w:autoSpaceDN w:val="0"/>
              <w:adjustRightInd w:val="0"/>
              <w:rPr>
                <w:szCs w:val="24"/>
              </w:rPr>
            </w:pPr>
            <w:r w:rsidRPr="00A23740">
              <w:rPr>
                <w:rStyle w:val="MaviChar"/>
              </w:rPr>
              <w:t>(2) Gecikmiş</w:t>
            </w:r>
            <w:r w:rsidRPr="00A23740">
              <w:rPr>
                <w:rStyle w:val="Normal--Char"/>
                <w:rFonts w:eastAsia="Calibri"/>
              </w:rPr>
              <w:t xml:space="preserve"> </w:t>
            </w:r>
            <w:r w:rsidRPr="00A23740">
              <w:rPr>
                <w:szCs w:val="24"/>
              </w:rPr>
              <w:t xml:space="preserve">itiraz üzerine icra </w:t>
            </w:r>
            <w:r w:rsidRPr="00A23740">
              <w:rPr>
                <w:rStyle w:val="MaviChar"/>
              </w:rPr>
              <w:t>hukuk</w:t>
            </w:r>
            <w:r w:rsidRPr="00A23740">
              <w:rPr>
                <w:szCs w:val="24"/>
              </w:rPr>
              <w:t xml:space="preserve"> mahkemesi</w:t>
            </w:r>
            <w:r w:rsidR="00D41DBE" w:rsidRPr="00A23740">
              <w:rPr>
                <w:rStyle w:val="MaviChar"/>
              </w:rPr>
              <w:t>,</w:t>
            </w:r>
            <w:r w:rsidRPr="00A23740">
              <w:rPr>
                <w:szCs w:val="24"/>
              </w:rPr>
              <w:t xml:space="preserve"> gecikme sebebinin </w:t>
            </w:r>
            <w:r w:rsidRPr="00A23740">
              <w:rPr>
                <w:rStyle w:val="MaviChar"/>
              </w:rPr>
              <w:t>niteliğine</w:t>
            </w:r>
            <w:r w:rsidRPr="00A23740">
              <w:rPr>
                <w:szCs w:val="24"/>
              </w:rPr>
              <w:t xml:space="preserve"> ve </w:t>
            </w:r>
            <w:r w:rsidRPr="00A23740">
              <w:rPr>
                <w:rStyle w:val="MaviChar"/>
              </w:rPr>
              <w:t>olayın</w:t>
            </w:r>
            <w:r w:rsidRPr="00A23740">
              <w:rPr>
                <w:szCs w:val="24"/>
              </w:rPr>
              <w:t xml:space="preserve"> özelliklerine göre takibin </w:t>
            </w:r>
            <w:r w:rsidRPr="00A23740">
              <w:rPr>
                <w:rStyle w:val="MaviChar"/>
              </w:rPr>
              <w:t>geçici olarak durdurulmasına karar verebilir</w:t>
            </w:r>
            <w:r w:rsidRPr="00A23740">
              <w:rPr>
                <w:szCs w:val="24"/>
              </w:rPr>
              <w:t xml:space="preserve">. </w:t>
            </w:r>
            <w:r w:rsidRPr="00A23740">
              <w:rPr>
                <w:rStyle w:val="MaviChar"/>
              </w:rPr>
              <w:t>Mahkeme</w:t>
            </w:r>
            <w:r w:rsidRPr="00A23740">
              <w:rPr>
                <w:szCs w:val="24"/>
              </w:rPr>
              <w:t xml:space="preserve">, </w:t>
            </w:r>
            <w:r w:rsidRPr="00A23740">
              <w:rPr>
                <w:rStyle w:val="MaviChar"/>
              </w:rPr>
              <w:t>incelemesini</w:t>
            </w:r>
            <w:r w:rsidRPr="00A23740">
              <w:rPr>
                <w:rStyle w:val="Normal--Char"/>
                <w:rFonts w:eastAsia="Calibri"/>
              </w:rPr>
              <w:t xml:space="preserve"> </w:t>
            </w:r>
            <w:r w:rsidRPr="00A23740">
              <w:rPr>
                <w:szCs w:val="24"/>
              </w:rPr>
              <w:t xml:space="preserve">evrak </w:t>
            </w:r>
            <w:r w:rsidRPr="00A23740">
              <w:rPr>
                <w:szCs w:val="24"/>
              </w:rPr>
              <w:lastRenderedPageBreak/>
              <w:t xml:space="preserve">üzerinde yapar </w:t>
            </w:r>
            <w:r w:rsidRPr="00A23740">
              <w:rPr>
                <w:rStyle w:val="MaviChar"/>
              </w:rPr>
              <w:t>ve</w:t>
            </w:r>
            <w:r w:rsidRPr="00A23740">
              <w:rPr>
                <w:szCs w:val="24"/>
              </w:rPr>
              <w:t xml:space="preserve"> </w:t>
            </w:r>
            <w:r w:rsidRPr="00A23740">
              <w:rPr>
                <w:rStyle w:val="MaviChar"/>
              </w:rPr>
              <w:t>gerek görürse,</w:t>
            </w:r>
            <w:r w:rsidRPr="00A23740">
              <w:rPr>
                <w:rStyle w:val="YELChar"/>
              </w:rPr>
              <w:t xml:space="preserve"> </w:t>
            </w:r>
            <w:r w:rsidRPr="00A23740">
              <w:rPr>
                <w:szCs w:val="24"/>
              </w:rPr>
              <w:t xml:space="preserve">iki tarafı hemen </w:t>
            </w:r>
            <w:r w:rsidRPr="00A23740">
              <w:rPr>
                <w:rStyle w:val="MaviChar"/>
              </w:rPr>
              <w:t>davet ederek</w:t>
            </w:r>
            <w:r w:rsidRPr="00A23740">
              <w:rPr>
                <w:szCs w:val="24"/>
              </w:rPr>
              <w:t xml:space="preserve"> mazeretin kabul </w:t>
            </w:r>
            <w:r w:rsidRPr="00A23740">
              <w:rPr>
                <w:rStyle w:val="MaviChar"/>
              </w:rPr>
              <w:t>edilebilir</w:t>
            </w:r>
            <w:r w:rsidRPr="00A23740">
              <w:rPr>
                <w:szCs w:val="24"/>
              </w:rPr>
              <w:t xml:space="preserve"> olup olmadığına karar verir. Duruşma</w:t>
            </w:r>
            <w:r w:rsidRPr="00A23740">
              <w:rPr>
                <w:rStyle w:val="KIRMIZIChar"/>
                <w:rFonts w:eastAsia="Calibri"/>
                <w:strike w:val="0"/>
              </w:rPr>
              <w:t xml:space="preserve"> </w:t>
            </w:r>
            <w:r w:rsidRPr="00A23740">
              <w:rPr>
                <w:rStyle w:val="MaviChar"/>
              </w:rPr>
              <w:t>yapılmasına</w:t>
            </w:r>
            <w:r w:rsidRPr="00A23740">
              <w:rPr>
                <w:szCs w:val="24"/>
              </w:rPr>
              <w:t xml:space="preserve"> karar verilmemesi h</w:t>
            </w:r>
            <w:r w:rsidR="006E24BA" w:rsidRPr="00A23740">
              <w:rPr>
                <w:szCs w:val="24"/>
              </w:rPr>
              <w:t>â</w:t>
            </w:r>
            <w:r w:rsidRPr="00A23740">
              <w:rPr>
                <w:szCs w:val="24"/>
              </w:rPr>
              <w:t xml:space="preserve">linde borçludan alınan </w:t>
            </w:r>
            <w:r w:rsidRPr="00A23740">
              <w:rPr>
                <w:rStyle w:val="MaviChar"/>
              </w:rPr>
              <w:t>giderler</w:t>
            </w:r>
            <w:r w:rsidRPr="00A23740">
              <w:rPr>
                <w:szCs w:val="24"/>
              </w:rPr>
              <w:t xml:space="preserve"> kendisine iade olunur.</w:t>
            </w:r>
          </w:p>
          <w:p w:rsidR="00155AF4" w:rsidRPr="00A23740" w:rsidRDefault="00155AF4" w:rsidP="009431FF">
            <w:pPr>
              <w:widowControl w:val="0"/>
              <w:autoSpaceDE w:val="0"/>
              <w:autoSpaceDN w:val="0"/>
              <w:adjustRightInd w:val="0"/>
              <w:rPr>
                <w:szCs w:val="24"/>
              </w:rPr>
            </w:pPr>
          </w:p>
          <w:p w:rsidR="00155AF4" w:rsidRPr="00A23740" w:rsidRDefault="00155AF4" w:rsidP="009431FF">
            <w:pPr>
              <w:widowControl w:val="0"/>
              <w:autoSpaceDE w:val="0"/>
              <w:autoSpaceDN w:val="0"/>
              <w:adjustRightInd w:val="0"/>
              <w:rPr>
                <w:rStyle w:val="KIRMIZIChar"/>
                <w:rFonts w:eastAsia="Calibri"/>
              </w:rPr>
            </w:pPr>
            <w:r w:rsidRPr="00A23740">
              <w:rPr>
                <w:rStyle w:val="MaviChar"/>
              </w:rPr>
              <w:t>(3)</w:t>
            </w:r>
            <w:r w:rsidRPr="00A23740">
              <w:rPr>
                <w:rStyle w:val="Normal--Char"/>
                <w:rFonts w:eastAsia="Calibri"/>
              </w:rPr>
              <w:t xml:space="preserve"> </w:t>
            </w:r>
            <w:r w:rsidRPr="00A23740">
              <w:rPr>
                <w:szCs w:val="24"/>
              </w:rPr>
              <w:t>Mazeretin kabulü h</w:t>
            </w:r>
            <w:r w:rsidR="006E24BA" w:rsidRPr="00A23740">
              <w:rPr>
                <w:szCs w:val="24"/>
              </w:rPr>
              <w:t>â</w:t>
            </w:r>
            <w:r w:rsidRPr="00A23740">
              <w:rPr>
                <w:szCs w:val="24"/>
              </w:rPr>
              <w:t xml:space="preserve">linde icra takibi durur. </w:t>
            </w:r>
            <w:r w:rsidRPr="00A23740">
              <w:rPr>
                <w:rStyle w:val="MaviChar"/>
              </w:rPr>
              <w:t>Altı aylık itirazın iptali davası açma süresi</w:t>
            </w:r>
            <w:r w:rsidRPr="00A23740">
              <w:rPr>
                <w:rStyle w:val="MaviChar"/>
                <w:lang w:val="tr-TR"/>
              </w:rPr>
              <w:t>,</w:t>
            </w:r>
            <w:r w:rsidRPr="00A23740">
              <w:rPr>
                <w:rStyle w:val="MaviChar"/>
              </w:rPr>
              <w:t xml:space="preserve"> mazeretin kabulü kararının alacaklıya tebliğinden itibaren işlemeye başlar.</w:t>
            </w:r>
          </w:p>
          <w:p w:rsidR="00155AF4" w:rsidRPr="00A23740" w:rsidRDefault="00155AF4" w:rsidP="009431FF">
            <w:pPr>
              <w:widowControl w:val="0"/>
              <w:autoSpaceDE w:val="0"/>
              <w:autoSpaceDN w:val="0"/>
              <w:adjustRightInd w:val="0"/>
              <w:rPr>
                <w:b/>
                <w:bCs/>
                <w:color w:val="0000FF"/>
                <w:szCs w:val="24"/>
              </w:rPr>
            </w:pPr>
          </w:p>
          <w:p w:rsidR="00155AF4" w:rsidRPr="00A23740" w:rsidRDefault="00155AF4" w:rsidP="009431FF">
            <w:pPr>
              <w:widowControl w:val="0"/>
              <w:autoSpaceDE w:val="0"/>
              <w:autoSpaceDN w:val="0"/>
              <w:adjustRightInd w:val="0"/>
              <w:rPr>
                <w:szCs w:val="24"/>
              </w:rPr>
            </w:pPr>
            <w:r w:rsidRPr="00A23740">
              <w:rPr>
                <w:rStyle w:val="MaviChar"/>
              </w:rPr>
              <w:t xml:space="preserve">(4) </w:t>
            </w:r>
            <w:r w:rsidRPr="00A23740">
              <w:rPr>
                <w:szCs w:val="24"/>
              </w:rPr>
              <w:t>Daha önce borçlunun mallarına haciz konulmuşsa</w:t>
            </w:r>
            <w:r w:rsidRPr="00A23740">
              <w:rPr>
                <w:rStyle w:val="MaviChar"/>
              </w:rPr>
              <w:t>, alacaklı</w:t>
            </w:r>
            <w:r w:rsidRPr="00A23740">
              <w:rPr>
                <w:szCs w:val="24"/>
              </w:rPr>
              <w:t xml:space="preserve"> mazeretin kabulü kararının tebliği tarihinden itibaren </w:t>
            </w:r>
            <w:r w:rsidRPr="00A23740">
              <w:rPr>
                <w:rStyle w:val="MaviChar"/>
              </w:rPr>
              <w:t xml:space="preserve">iki hafta </w:t>
            </w:r>
            <w:r w:rsidRPr="00A23740">
              <w:rPr>
                <w:szCs w:val="24"/>
              </w:rPr>
              <w:t>içinde itirazın</w:t>
            </w:r>
            <w:r w:rsidRPr="00A23740">
              <w:rPr>
                <w:b/>
                <w:bCs/>
                <w:color w:val="0000FF"/>
                <w:szCs w:val="24"/>
              </w:rPr>
              <w:t xml:space="preserve"> </w:t>
            </w:r>
            <w:r w:rsidRPr="00A23740">
              <w:rPr>
                <w:rStyle w:val="MaviChar"/>
              </w:rPr>
              <w:t xml:space="preserve">iptalini </w:t>
            </w:r>
            <w:r w:rsidRPr="00A23740">
              <w:rPr>
                <w:szCs w:val="24"/>
              </w:rPr>
              <w:t>istemez</w:t>
            </w:r>
            <w:r w:rsidRPr="00A23740">
              <w:rPr>
                <w:rStyle w:val="MaviChar"/>
              </w:rPr>
              <w:t>se, bu</w:t>
            </w:r>
            <w:r w:rsidRPr="00A23740">
              <w:rPr>
                <w:szCs w:val="24"/>
              </w:rPr>
              <w:t xml:space="preserve"> haciz</w:t>
            </w:r>
            <w:r w:rsidRPr="00A23740">
              <w:rPr>
                <w:rStyle w:val="MaviChar"/>
              </w:rPr>
              <w:t xml:space="preserve">ler </w:t>
            </w:r>
            <w:r w:rsidRPr="00A23740">
              <w:rPr>
                <w:szCs w:val="24"/>
              </w:rPr>
              <w:t>kalkar.</w:t>
            </w:r>
          </w:p>
          <w:p w:rsidR="00155AF4" w:rsidRPr="00A23740" w:rsidRDefault="00155AF4" w:rsidP="009431FF">
            <w:pPr>
              <w:pStyle w:val="Mavi"/>
              <w:widowControl w:val="0"/>
            </w:pPr>
          </w:p>
        </w:tc>
      </w:tr>
      <w:tr w:rsidR="00155AF4" w:rsidRPr="00A23740" w:rsidTr="009431FF">
        <w:tc>
          <w:tcPr>
            <w:tcW w:w="5000" w:type="pct"/>
            <w:gridSpan w:val="2"/>
            <w:shd w:val="clear" w:color="auto" w:fill="DEEAF6"/>
          </w:tcPr>
          <w:p w:rsidR="00D0657E" w:rsidRPr="00A23740" w:rsidRDefault="00D0657E" w:rsidP="009431FF">
            <w:pPr>
              <w:tabs>
                <w:tab w:val="left" w:pos="567"/>
              </w:tabs>
              <w:autoSpaceDE w:val="0"/>
              <w:autoSpaceDN w:val="0"/>
              <w:adjustRightInd w:val="0"/>
              <w:ind w:firstLine="709"/>
              <w:rPr>
                <w:szCs w:val="24"/>
              </w:rPr>
            </w:pPr>
          </w:p>
          <w:p w:rsidR="00DB2C16" w:rsidRPr="00A23740" w:rsidRDefault="00DB2C16" w:rsidP="009431FF">
            <w:pPr>
              <w:tabs>
                <w:tab w:val="left" w:pos="567"/>
              </w:tabs>
              <w:autoSpaceDE w:val="0"/>
              <w:autoSpaceDN w:val="0"/>
              <w:adjustRightInd w:val="0"/>
              <w:ind w:firstLine="709"/>
              <w:rPr>
                <w:szCs w:val="24"/>
              </w:rPr>
            </w:pPr>
            <w:r w:rsidRPr="00A23740">
              <w:rPr>
                <w:b/>
                <w:szCs w:val="24"/>
              </w:rPr>
              <w:t>MADDE 94-</w:t>
            </w:r>
            <w:r w:rsidRPr="00A23740">
              <w:rPr>
                <w:szCs w:val="24"/>
              </w:rPr>
              <w:t xml:space="preserve"> </w:t>
            </w:r>
            <w:r w:rsidR="00D0657E" w:rsidRPr="00A23740">
              <w:rPr>
                <w:szCs w:val="24"/>
              </w:rPr>
              <w:t xml:space="preserve">Maddeyle, icra takiplerinde gecikmiş itiraz düzenlenmektedir. </w:t>
            </w:r>
            <w:r w:rsidRPr="00A23740">
              <w:rPr>
                <w:szCs w:val="24"/>
              </w:rPr>
              <w:t xml:space="preserve">Taslağın 94 üncü maddesi “Gecikmiş itiraz” başlığını taşımakta olup </w:t>
            </w:r>
            <w:r w:rsidR="00D0657E" w:rsidRPr="00A23740">
              <w:rPr>
                <w:szCs w:val="24"/>
              </w:rPr>
              <w:t>2004 sayılı Kanunun</w:t>
            </w:r>
            <w:r w:rsidRPr="00A23740">
              <w:rPr>
                <w:szCs w:val="24"/>
              </w:rPr>
              <w:t xml:space="preserve"> 65 inci maddesine karşılık gelmektedir. </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D0657E" w:rsidRPr="00A23740">
              <w:rPr>
                <w:szCs w:val="24"/>
              </w:rPr>
              <w:t>birinci</w:t>
            </w:r>
            <w:r w:rsidRPr="00A23740">
              <w:rPr>
                <w:szCs w:val="24"/>
              </w:rPr>
              <w:t xml:space="preserve"> fıkrasında borçlunun, kusuru olmaksızın, bir engel sebebiyle süresi içinde itiraz edememiş olması h</w:t>
            </w:r>
            <w:r w:rsidR="006E24BA" w:rsidRPr="00A23740">
              <w:rPr>
                <w:szCs w:val="24"/>
              </w:rPr>
              <w:t>â</w:t>
            </w:r>
            <w:r w:rsidRPr="00A23740">
              <w:rPr>
                <w:szCs w:val="24"/>
              </w:rPr>
              <w:t>linde paraya çevirme işlemleri bitinceye kadar itiraz edebileceği;  bu takdirde, borçlu</w:t>
            </w:r>
            <w:r w:rsidR="00F63BB3" w:rsidRPr="00A23740">
              <w:rPr>
                <w:szCs w:val="24"/>
              </w:rPr>
              <w:t>nun</w:t>
            </w:r>
            <w:r w:rsidRPr="00A23740">
              <w:rPr>
                <w:szCs w:val="24"/>
              </w:rPr>
              <w:t xml:space="preserve">, engelin kalktığı günden itibaren bir hafta içinde, mazeretini gösteren sebep ve delillerle birlikte itirazını da icra hukuk mahkemesine bildirmek ve ikinci fıkra uyarınca yapılacak duruşma için gerekli harç ve giderleri ödemek zorunda olduğu düzenlenmiştir. </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D0657E" w:rsidRPr="00A23740">
              <w:rPr>
                <w:szCs w:val="24"/>
              </w:rPr>
              <w:t xml:space="preserve">ikinci </w:t>
            </w:r>
            <w:r w:rsidRPr="00A23740">
              <w:rPr>
                <w:szCs w:val="24"/>
              </w:rPr>
              <w:t>fıkrasında ise gecikmiş itiraz üzerine icra hukuk mahkemesinin gecikme sebebinin niteliğine ve olayın özelliklerine göre takibin geçici olarak durdurulmasına karar verebileceği; mahkemenin incelemesini evrak üzerinde yapacağı ve gerek görürse, iki tarafı hemen davet ederek mazeretin kabul edilebilir olup olmadığına karar vereceği; duruşma yapılmasına karar verilmemesi h</w:t>
            </w:r>
            <w:r w:rsidR="002F2BAA" w:rsidRPr="00A23740">
              <w:rPr>
                <w:szCs w:val="24"/>
              </w:rPr>
              <w:t>â</w:t>
            </w:r>
            <w:r w:rsidRPr="00A23740">
              <w:rPr>
                <w:szCs w:val="24"/>
              </w:rPr>
              <w:t>linde borçludan alınan giderlerin kendisine iade olunacağı öngörülmüştür.</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D0657E" w:rsidRPr="00A23740">
              <w:rPr>
                <w:szCs w:val="24"/>
              </w:rPr>
              <w:t>üç</w:t>
            </w:r>
            <w:r w:rsidRPr="00A23740">
              <w:rPr>
                <w:szCs w:val="24"/>
              </w:rPr>
              <w:t>üncü fıkrasına göre ise mazeretin kabulü h</w:t>
            </w:r>
            <w:r w:rsidR="006E24BA" w:rsidRPr="00A23740">
              <w:rPr>
                <w:szCs w:val="24"/>
              </w:rPr>
              <w:t>â</w:t>
            </w:r>
            <w:r w:rsidRPr="00A23740">
              <w:rPr>
                <w:szCs w:val="24"/>
              </w:rPr>
              <w:t>linde icra takibinin duracağı ve altı aylık itirazın iptali davası açma süresinin mazeretin kabulü kararının alacaklıya tebliğinden itibaren işlemeye başlayacağı belirtilmiştir.</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D0657E" w:rsidRPr="00A23740">
              <w:rPr>
                <w:szCs w:val="24"/>
              </w:rPr>
              <w:t>dörd</w:t>
            </w:r>
            <w:r w:rsidRPr="00A23740">
              <w:rPr>
                <w:szCs w:val="24"/>
              </w:rPr>
              <w:t>üncü fıkrasında, daha önce borçlunun mallarına haciz konulmuşsa, alacakl</w:t>
            </w:r>
            <w:r w:rsidR="004A0C51" w:rsidRPr="00A23740">
              <w:rPr>
                <w:szCs w:val="24"/>
              </w:rPr>
              <w:t>ı</w:t>
            </w:r>
            <w:r w:rsidR="00F63BB3" w:rsidRPr="00A23740">
              <w:rPr>
                <w:szCs w:val="24"/>
              </w:rPr>
              <w:t>nın</w:t>
            </w:r>
            <w:r w:rsidRPr="00A23740">
              <w:rPr>
                <w:szCs w:val="24"/>
              </w:rPr>
              <w:t xml:space="preserve"> mazeretin kabulü kararının tebliği tarihinden itibaren iki hafta içinde itirazın iptalini</w:t>
            </w:r>
            <w:r w:rsidR="00F63BB3" w:rsidRPr="00A23740">
              <w:rPr>
                <w:szCs w:val="24"/>
              </w:rPr>
              <w:t xml:space="preserve"> istememesi durumunda</w:t>
            </w:r>
            <w:r w:rsidRPr="00A23740">
              <w:rPr>
                <w:szCs w:val="24"/>
              </w:rPr>
              <w:t xml:space="preserve"> bu hacizlerin kalkacağı hükme bağlanmıştır.</w:t>
            </w:r>
          </w:p>
          <w:p w:rsidR="00E91409" w:rsidRDefault="00DB2C16" w:rsidP="009431FF">
            <w:pPr>
              <w:tabs>
                <w:tab w:val="left" w:pos="567"/>
              </w:tabs>
              <w:autoSpaceDE w:val="0"/>
              <w:autoSpaceDN w:val="0"/>
              <w:adjustRightInd w:val="0"/>
              <w:ind w:firstLine="709"/>
              <w:rPr>
                <w:szCs w:val="24"/>
              </w:rPr>
            </w:pPr>
            <w:r w:rsidRPr="00A23740">
              <w:rPr>
                <w:szCs w:val="24"/>
              </w:rPr>
              <w:t xml:space="preserve">Bu </w:t>
            </w:r>
            <w:r w:rsidR="006E24BA" w:rsidRPr="006D2E3C">
              <w:rPr>
                <w:bCs/>
                <w:szCs w:val="24"/>
              </w:rPr>
              <w:t>hüküm</w:t>
            </w:r>
            <w:r w:rsidR="006E24BA" w:rsidRPr="00A23740">
              <w:rPr>
                <w:b/>
                <w:szCs w:val="24"/>
              </w:rPr>
              <w:t xml:space="preserve"> </w:t>
            </w:r>
            <w:r w:rsidRPr="00A23740">
              <w:rPr>
                <w:szCs w:val="24"/>
              </w:rPr>
              <w:t xml:space="preserve">kaleme alınırken </w:t>
            </w:r>
            <w:r w:rsidR="004A0C51" w:rsidRPr="00A23740">
              <w:rPr>
                <w:szCs w:val="24"/>
              </w:rPr>
              <w:t>2004 sayılı K</w:t>
            </w:r>
            <w:r w:rsidRPr="00A23740">
              <w:rPr>
                <w:szCs w:val="24"/>
              </w:rPr>
              <w:t>anun maddesinin dilinin sadeleştirilmesi yanında</w:t>
            </w:r>
            <w:r w:rsidR="00F63BB3" w:rsidRPr="00A23740">
              <w:rPr>
                <w:szCs w:val="24"/>
              </w:rPr>
              <w:t xml:space="preserve">, içeriğe </w:t>
            </w:r>
            <w:r w:rsidRPr="00A23740">
              <w:rPr>
                <w:szCs w:val="24"/>
              </w:rPr>
              <w:t xml:space="preserve">ilişkin üç değişiklik yapılmıştır. Bu değişikliklerden ikisi sürelere ilişkin olup </w:t>
            </w:r>
            <w:r w:rsidR="004A0C51" w:rsidRPr="00A23740">
              <w:rPr>
                <w:szCs w:val="24"/>
              </w:rPr>
              <w:t xml:space="preserve">2004 sayılı Kanunda </w:t>
            </w:r>
            <w:r w:rsidRPr="00A23740">
              <w:rPr>
                <w:szCs w:val="24"/>
              </w:rPr>
              <w:t xml:space="preserve">üç gün olarak belirlenmiş olan gecikmiş itiraz yoluna başvurma süresi, bir hafta </w:t>
            </w:r>
            <w:r w:rsidRPr="00A23740">
              <w:rPr>
                <w:szCs w:val="24"/>
              </w:rPr>
              <w:lastRenderedPageBreak/>
              <w:t>olarak; borçlunun mazeretinin kabulünden evvel borçlunun mallarının haczedilmiş bulunması h</w:t>
            </w:r>
            <w:r w:rsidR="006E24BA" w:rsidRPr="00A23740">
              <w:rPr>
                <w:szCs w:val="24"/>
              </w:rPr>
              <w:t>â</w:t>
            </w:r>
            <w:r w:rsidRPr="00A23740">
              <w:rPr>
                <w:szCs w:val="24"/>
              </w:rPr>
              <w:t>linde, bu hacizlerin kendiliğinden kalkmaması için öngörülen itirazın hükümden düşürülmesi yoluna başvurma süresi ise yedi gün yerine iki hafta olarak değiştirilmiştir. Üçüncü olarak da üçüncü fıkraya ilave edilen bir ibare</w:t>
            </w:r>
            <w:r w:rsidR="00F63BB3" w:rsidRPr="00A23740">
              <w:rPr>
                <w:szCs w:val="24"/>
              </w:rPr>
              <w:t>yle</w:t>
            </w:r>
            <w:r w:rsidRPr="00A23740">
              <w:rPr>
                <w:szCs w:val="24"/>
              </w:rPr>
              <w:t xml:space="preserve"> itirazın hükümden düşürülmesi için öngörülen sürenin mazeretin kabulü kararının alacaklıya tebliğinden itibaren işlemeye başlayacağı açıklığa kavuşturulmuştur.</w:t>
            </w:r>
          </w:p>
          <w:p w:rsidR="003047A5" w:rsidRPr="00A23740" w:rsidRDefault="003047A5" w:rsidP="009431FF">
            <w:pPr>
              <w:tabs>
                <w:tab w:val="left" w:pos="567"/>
              </w:tabs>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autoSpaceDE w:val="0"/>
              <w:autoSpaceDN w:val="0"/>
              <w:adjustRightInd w:val="0"/>
              <w:rPr>
                <w:i/>
                <w:iCs/>
                <w:szCs w:val="24"/>
              </w:rPr>
            </w:pPr>
            <w:r w:rsidRPr="00A23740">
              <w:rPr>
                <w:b/>
                <w:bCs/>
                <w:strike/>
                <w:color w:val="FF0000"/>
                <w:szCs w:val="24"/>
              </w:rPr>
              <w:lastRenderedPageBreak/>
              <w:t>5 –</w:t>
            </w:r>
            <w:r w:rsidRPr="00A23740">
              <w:rPr>
                <w:i/>
                <w:iCs/>
                <w:szCs w:val="24"/>
              </w:rPr>
              <w:t xml:space="preserve"> İtirazın hükmü</w:t>
            </w:r>
            <w:r w:rsidRPr="00A23740">
              <w:rPr>
                <w:b/>
                <w:bCs/>
                <w:strike/>
                <w:color w:val="FF0000"/>
                <w:szCs w:val="24"/>
              </w:rPr>
              <w:t xml:space="preserve"> :</w:t>
            </w:r>
          </w:p>
          <w:p w:rsidR="00155AF4" w:rsidRPr="00A23740" w:rsidRDefault="00155AF4" w:rsidP="009431FF">
            <w:pPr>
              <w:widowControl w:val="0"/>
              <w:tabs>
                <w:tab w:val="left" w:pos="567"/>
              </w:tabs>
              <w:autoSpaceDE w:val="0"/>
              <w:autoSpaceDN w:val="0"/>
              <w:adjustRightInd w:val="0"/>
              <w:rPr>
                <w:b/>
                <w:bCs/>
                <w:szCs w:val="24"/>
              </w:rPr>
            </w:pPr>
            <w:r w:rsidRPr="00A23740">
              <w:rPr>
                <w:b/>
                <w:bCs/>
                <w:strike/>
                <w:color w:val="FF0000"/>
                <w:szCs w:val="24"/>
              </w:rPr>
              <w:t>Madde 66 – (1) (Değişik: 18/2/1965 - 538/36 md.)</w:t>
            </w:r>
          </w:p>
          <w:p w:rsidR="00155AF4" w:rsidRPr="00A23740" w:rsidRDefault="00155AF4" w:rsidP="009431FF">
            <w:pPr>
              <w:widowControl w:val="0"/>
              <w:tabs>
                <w:tab w:val="left" w:pos="567"/>
              </w:tabs>
              <w:autoSpaceDE w:val="0"/>
              <w:autoSpaceDN w:val="0"/>
              <w:adjustRightInd w:val="0"/>
              <w:rPr>
                <w:szCs w:val="24"/>
              </w:rPr>
            </w:pPr>
            <w:r w:rsidRPr="00A23740">
              <w:rPr>
                <w:b/>
                <w:bCs/>
                <w:strike/>
                <w:color w:val="FF0000"/>
                <w:szCs w:val="24"/>
              </w:rPr>
              <w:t>Müddeti</w:t>
            </w:r>
            <w:r w:rsidRPr="00A23740">
              <w:rPr>
                <w:szCs w:val="24"/>
              </w:rPr>
              <w:t xml:space="preserve"> içinde yapılan itiraz takibi durdurur. İtiraz </w:t>
            </w:r>
            <w:r w:rsidRPr="00A23740">
              <w:rPr>
                <w:b/>
                <w:bCs/>
                <w:strike/>
                <w:color w:val="FF0000"/>
                <w:szCs w:val="24"/>
              </w:rPr>
              <w:t>müddetinde</w:t>
            </w:r>
            <w:r w:rsidRPr="00A23740">
              <w:rPr>
                <w:szCs w:val="24"/>
              </w:rPr>
              <w:t xml:space="preserve"> değilse alacaklının talebi üzerine </w:t>
            </w:r>
            <w:r w:rsidRPr="00A23740">
              <w:rPr>
                <w:b/>
                <w:bCs/>
                <w:strike/>
                <w:color w:val="FF0000"/>
                <w:szCs w:val="24"/>
              </w:rPr>
              <w:t>icra memuru</w:t>
            </w:r>
            <w:r w:rsidRPr="00A23740">
              <w:rPr>
                <w:szCs w:val="24"/>
              </w:rPr>
              <w:t xml:space="preserve"> takip </w:t>
            </w:r>
            <w:r w:rsidRPr="00A23740">
              <w:rPr>
                <w:b/>
                <w:bCs/>
                <w:strike/>
                <w:color w:val="FF0000"/>
                <w:szCs w:val="24"/>
              </w:rPr>
              <w:t>muamelelerine</w:t>
            </w:r>
            <w:r w:rsidRPr="00A23740">
              <w:rPr>
                <w:szCs w:val="24"/>
              </w:rPr>
              <w:t xml:space="preserve"> alacağın tamamı için devam </w:t>
            </w:r>
            <w:r w:rsidRPr="00A23740">
              <w:rPr>
                <w:b/>
                <w:bCs/>
                <w:strike/>
                <w:color w:val="FF0000"/>
                <w:szCs w:val="24"/>
              </w:rPr>
              <w:t>eder.</w:t>
            </w:r>
            <w:r w:rsidRPr="00A23740">
              <w:rPr>
                <w:szCs w:val="24"/>
              </w:rPr>
              <w:t xml:space="preserve"> Borçlu, borcun yalnız bir kısmına itirazda bulunmuşsa </w:t>
            </w:r>
            <w:r w:rsidRPr="00A23740">
              <w:rPr>
                <w:b/>
                <w:bCs/>
                <w:strike/>
                <w:color w:val="FF0000"/>
                <w:szCs w:val="24"/>
              </w:rPr>
              <w:t>takibe, kabul ettiği</w:t>
            </w:r>
            <w:r w:rsidRPr="00A23740">
              <w:rPr>
                <w:szCs w:val="24"/>
              </w:rPr>
              <w:t xml:space="preserve"> miktar için devam olunur.</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7D5D98" w:rsidRPr="00A23740" w:rsidRDefault="007D5D98"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rStyle w:val="KIRMIZIChar"/>
                <w:rFonts w:eastAsia="Calibri"/>
              </w:rPr>
              <w:t>(2)</w:t>
            </w:r>
            <w:r w:rsidRPr="00A23740">
              <w:rPr>
                <w:szCs w:val="24"/>
              </w:rPr>
              <w:t xml:space="preserve"> Borçlu itirazında imzayı reddetmişse alacaklı </w:t>
            </w:r>
            <w:r w:rsidRPr="00A23740">
              <w:rPr>
                <w:rStyle w:val="KIRMIZIChar"/>
                <w:rFonts w:eastAsia="Calibri"/>
              </w:rPr>
              <w:t>derhal</w:t>
            </w:r>
            <w:r w:rsidRPr="00A23740">
              <w:rPr>
                <w:szCs w:val="24"/>
              </w:rPr>
              <w:t xml:space="preserve"> icra dairesinden </w:t>
            </w:r>
            <w:r w:rsidRPr="00A23740">
              <w:rPr>
                <w:rStyle w:val="KIRMIZIChar"/>
                <w:rFonts w:eastAsia="Calibri"/>
              </w:rPr>
              <w:t>tatbika medar</w:t>
            </w:r>
            <w:r w:rsidRPr="00A23740">
              <w:rPr>
                <w:szCs w:val="24"/>
              </w:rPr>
              <w:t xml:space="preserve"> imzaların </w:t>
            </w:r>
            <w:r w:rsidRPr="00A23740">
              <w:rPr>
                <w:rStyle w:val="KIRMIZIChar"/>
                <w:rFonts w:eastAsia="Calibri"/>
              </w:rPr>
              <w:t>celbini</w:t>
            </w:r>
            <w:r w:rsidRPr="00A23740">
              <w:rPr>
                <w:szCs w:val="24"/>
              </w:rPr>
              <w:t xml:space="preserve"> ist</w:t>
            </w:r>
            <w:r w:rsidRPr="00A23740">
              <w:rPr>
                <w:rStyle w:val="KIRMIZIChar"/>
                <w:rFonts w:eastAsia="Calibri"/>
              </w:rPr>
              <w:t>i</w:t>
            </w:r>
            <w:r w:rsidRPr="00A23740">
              <w:rPr>
                <w:szCs w:val="24"/>
              </w:rPr>
              <w:t>yebilir.</w:t>
            </w:r>
          </w:p>
          <w:p w:rsidR="00155AF4" w:rsidRPr="00A23740" w:rsidRDefault="00155AF4" w:rsidP="009431FF">
            <w:pPr>
              <w:widowControl w:val="0"/>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autoSpaceDE w:val="0"/>
              <w:autoSpaceDN w:val="0"/>
              <w:adjustRightInd w:val="0"/>
              <w:rPr>
                <w:b/>
                <w:bCs/>
                <w:szCs w:val="24"/>
              </w:rPr>
            </w:pPr>
            <w:r w:rsidRPr="00A23740">
              <w:rPr>
                <w:b/>
                <w:bCs/>
                <w:szCs w:val="24"/>
              </w:rPr>
              <w:t>İtirazın hükmü</w:t>
            </w:r>
          </w:p>
          <w:p w:rsidR="00155AF4" w:rsidRPr="00A23740" w:rsidRDefault="00155AF4" w:rsidP="009431FF">
            <w:pPr>
              <w:widowControl w:val="0"/>
              <w:autoSpaceDE w:val="0"/>
              <w:autoSpaceDN w:val="0"/>
              <w:adjustRightInd w:val="0"/>
              <w:rPr>
                <w:szCs w:val="24"/>
              </w:rPr>
            </w:pPr>
            <w:r w:rsidRPr="00A23740">
              <w:rPr>
                <w:rStyle w:val="MaviChar"/>
              </w:rPr>
              <w:t>MADDE 95- (1) Süresi</w:t>
            </w:r>
            <w:r w:rsidRPr="00A23740">
              <w:rPr>
                <w:szCs w:val="24"/>
              </w:rPr>
              <w:t xml:space="preserve"> içinde yapılan itiraz takibi durdurur. İtiraz </w:t>
            </w:r>
            <w:r w:rsidRPr="00A23740">
              <w:rPr>
                <w:rStyle w:val="MaviChar"/>
              </w:rPr>
              <w:t>edilmezse veya yapılan itiraz</w:t>
            </w:r>
            <w:r w:rsidRPr="00A23740">
              <w:rPr>
                <w:szCs w:val="24"/>
              </w:rPr>
              <w:t xml:space="preserve"> </w:t>
            </w:r>
            <w:r w:rsidRPr="00A23740">
              <w:rPr>
                <w:rStyle w:val="MaviChar"/>
              </w:rPr>
              <w:t>süresinde</w:t>
            </w:r>
            <w:r w:rsidRPr="00A23740">
              <w:rPr>
                <w:szCs w:val="24"/>
              </w:rPr>
              <w:t xml:space="preserve"> değilse</w:t>
            </w:r>
            <w:r w:rsidRPr="00A23740">
              <w:rPr>
                <w:rStyle w:val="MaviChar"/>
              </w:rPr>
              <w:t>,</w:t>
            </w:r>
            <w:r w:rsidRPr="00A23740">
              <w:rPr>
                <w:szCs w:val="24"/>
              </w:rPr>
              <w:t xml:space="preserve"> alacaklının talebi üzerine takip </w:t>
            </w:r>
            <w:r w:rsidRPr="00A23740">
              <w:rPr>
                <w:rStyle w:val="MaviChar"/>
              </w:rPr>
              <w:t>işlemlerine</w:t>
            </w:r>
            <w:r w:rsidRPr="00A23740">
              <w:rPr>
                <w:szCs w:val="24"/>
              </w:rPr>
              <w:t xml:space="preserve"> alacağın tamamı için devam </w:t>
            </w:r>
            <w:r w:rsidRPr="00A23740">
              <w:rPr>
                <w:rStyle w:val="MaviChar"/>
              </w:rPr>
              <w:t>olunu</w:t>
            </w:r>
            <w:r w:rsidRPr="00551F85">
              <w:rPr>
                <w:rStyle w:val="Balk1Char"/>
                <w:rFonts w:eastAsia="Calibri"/>
              </w:rPr>
              <w:t>r.</w:t>
            </w:r>
            <w:r w:rsidRPr="00A23740">
              <w:rPr>
                <w:szCs w:val="24"/>
              </w:rPr>
              <w:t xml:space="preserve"> Borçlu, borcun yalnız bir kısmına itirazda bulunmuşsa</w:t>
            </w:r>
            <w:r w:rsidRPr="00A23740">
              <w:rPr>
                <w:rStyle w:val="MaviChar"/>
              </w:rPr>
              <w:t>,</w:t>
            </w:r>
            <w:r w:rsidRPr="00A23740">
              <w:rPr>
                <w:szCs w:val="24"/>
              </w:rPr>
              <w:t xml:space="preserve"> </w:t>
            </w:r>
            <w:r w:rsidRPr="00A23740">
              <w:rPr>
                <w:rStyle w:val="MaviChar"/>
              </w:rPr>
              <w:t>itiraz edilmeyen</w:t>
            </w:r>
            <w:r w:rsidRPr="00A23740">
              <w:rPr>
                <w:szCs w:val="24"/>
              </w:rPr>
              <w:t xml:space="preserve"> miktar için </w:t>
            </w:r>
            <w:r w:rsidRPr="00A23740">
              <w:rPr>
                <w:rStyle w:val="MaviChar"/>
              </w:rPr>
              <w:t>takibe</w:t>
            </w:r>
            <w:r w:rsidRPr="00A23740">
              <w:rPr>
                <w:rStyle w:val="Normal--Char"/>
                <w:rFonts w:eastAsia="Calibri"/>
              </w:rPr>
              <w:t xml:space="preserve"> </w:t>
            </w:r>
            <w:r w:rsidRPr="00A23740">
              <w:rPr>
                <w:szCs w:val="24"/>
              </w:rPr>
              <w:t>devam olunur.</w:t>
            </w:r>
          </w:p>
          <w:p w:rsidR="00155AF4" w:rsidRPr="00A23740" w:rsidRDefault="00155AF4" w:rsidP="009431FF">
            <w:pPr>
              <w:widowControl w:val="0"/>
              <w:autoSpaceDE w:val="0"/>
              <w:autoSpaceDN w:val="0"/>
              <w:adjustRightInd w:val="0"/>
              <w:rPr>
                <w:szCs w:val="24"/>
              </w:rPr>
            </w:pPr>
          </w:p>
          <w:p w:rsidR="00155AF4" w:rsidRPr="00A23740" w:rsidRDefault="00155AF4" w:rsidP="009431FF">
            <w:pPr>
              <w:pStyle w:val="Mavi"/>
              <w:widowControl w:val="0"/>
            </w:pPr>
            <w:r w:rsidRPr="00A23740">
              <w:rPr>
                <w:rStyle w:val="MaviChar"/>
                <w:b/>
                <w:bCs/>
              </w:rPr>
              <w:t>(2) Asıl alacağın veya faizin ya da diğer fer</w:t>
            </w:r>
            <w:r w:rsidR="00EB2D14" w:rsidRPr="00A23740">
              <w:rPr>
                <w:rStyle w:val="MaviChar"/>
                <w:b/>
                <w:bCs/>
                <w:lang w:val="tr-TR"/>
              </w:rPr>
              <w:t>i</w:t>
            </w:r>
            <w:r w:rsidRPr="00A23740">
              <w:rPr>
                <w:rStyle w:val="MaviChar"/>
                <w:b/>
                <w:bCs/>
              </w:rPr>
              <w:t>lerin bir</w:t>
            </w:r>
            <w:r w:rsidRPr="00A23740">
              <w:t xml:space="preserve"> kısmına itiraz eden borçlu, itiraz ettiği kısm</w:t>
            </w:r>
            <w:r w:rsidRPr="00A23740">
              <w:rPr>
                <w:rStyle w:val="MaviChar"/>
                <w:b/>
                <w:bCs/>
              </w:rPr>
              <w:t>ı</w:t>
            </w:r>
            <w:r w:rsidRPr="00A23740">
              <w:t xml:space="preserve">n </w:t>
            </w:r>
            <w:r w:rsidRPr="00A23740">
              <w:rPr>
                <w:rStyle w:val="MaviChar"/>
                <w:b/>
                <w:bCs/>
              </w:rPr>
              <w:t>tür veya miktar ya da oranını</w:t>
            </w:r>
            <w:r w:rsidRPr="00A23740">
              <w:t xml:space="preserve"> açık</w:t>
            </w:r>
            <w:r w:rsidRPr="00A23740">
              <w:rPr>
                <w:rStyle w:val="MaviChar"/>
                <w:b/>
                <w:bCs/>
              </w:rPr>
              <w:t>ç</w:t>
            </w:r>
            <w:r w:rsidRPr="00A23740">
              <w:t xml:space="preserve">a göstermezse, </w:t>
            </w:r>
            <w:r w:rsidRPr="00A23740">
              <w:rPr>
                <w:rStyle w:val="MaviChar"/>
                <w:b/>
                <w:bCs/>
              </w:rPr>
              <w:t>asıl borcun veya fer</w:t>
            </w:r>
            <w:r w:rsidR="00EB2D14" w:rsidRPr="00A23740">
              <w:rPr>
                <w:rStyle w:val="MaviChar"/>
                <w:b/>
                <w:bCs/>
                <w:lang w:val="tr-TR"/>
              </w:rPr>
              <w:t>i</w:t>
            </w:r>
            <w:r w:rsidRPr="00A23740">
              <w:rPr>
                <w:rStyle w:val="MaviChar"/>
                <w:b/>
                <w:bCs/>
              </w:rPr>
              <w:t>lerin tamamına itiraz etmiş</w:t>
            </w:r>
            <w:r w:rsidRPr="00A23740">
              <w:t xml:space="preserve"> sayılır.</w:t>
            </w:r>
          </w:p>
          <w:p w:rsidR="00155AF4" w:rsidRPr="00A23740" w:rsidRDefault="00155AF4" w:rsidP="009431FF">
            <w:pPr>
              <w:widowControl w:val="0"/>
              <w:autoSpaceDE w:val="0"/>
              <w:autoSpaceDN w:val="0"/>
              <w:adjustRightInd w:val="0"/>
              <w:rPr>
                <w:szCs w:val="24"/>
              </w:rPr>
            </w:pPr>
          </w:p>
          <w:p w:rsidR="00155AF4" w:rsidRPr="00A23740" w:rsidRDefault="00155AF4" w:rsidP="009431FF">
            <w:pPr>
              <w:widowControl w:val="0"/>
              <w:autoSpaceDE w:val="0"/>
              <w:autoSpaceDN w:val="0"/>
              <w:adjustRightInd w:val="0"/>
              <w:rPr>
                <w:szCs w:val="24"/>
              </w:rPr>
            </w:pPr>
            <w:r w:rsidRPr="00A23740">
              <w:rPr>
                <w:rStyle w:val="MaviChar"/>
              </w:rPr>
              <w:t>(3)</w:t>
            </w:r>
            <w:r w:rsidRPr="00A23740">
              <w:rPr>
                <w:szCs w:val="24"/>
              </w:rPr>
              <w:t xml:space="preserve"> Borçlu itirazında imzayı reddetmişse</w:t>
            </w:r>
            <w:r w:rsidRPr="00A23740">
              <w:rPr>
                <w:rStyle w:val="MaviChar"/>
                <w:lang w:val="tr-TR" w:eastAsia="en-US"/>
              </w:rPr>
              <w:t>,</w:t>
            </w:r>
            <w:r w:rsidRPr="00A23740">
              <w:rPr>
                <w:szCs w:val="24"/>
              </w:rPr>
              <w:t xml:space="preserve"> alacaklı icra </w:t>
            </w:r>
            <w:r w:rsidRPr="00A23740">
              <w:rPr>
                <w:rStyle w:val="MaviChar"/>
              </w:rPr>
              <w:t>ve iflas</w:t>
            </w:r>
            <w:r w:rsidRPr="00A23740">
              <w:rPr>
                <w:rStyle w:val="Stil5Char0"/>
              </w:rPr>
              <w:t xml:space="preserve"> </w:t>
            </w:r>
            <w:r w:rsidRPr="00A23740">
              <w:rPr>
                <w:szCs w:val="24"/>
              </w:rPr>
              <w:t xml:space="preserve">dairesinden </w:t>
            </w:r>
            <w:r w:rsidRPr="00A23740">
              <w:rPr>
                <w:rStyle w:val="MaviChar"/>
              </w:rPr>
              <w:t>derh</w:t>
            </w:r>
            <w:r w:rsidR="00694D30" w:rsidRPr="00A23740">
              <w:rPr>
                <w:rStyle w:val="MaviChar"/>
                <w:lang w:val="tr-TR"/>
              </w:rPr>
              <w:t>â</w:t>
            </w:r>
            <w:r w:rsidRPr="00A23740">
              <w:rPr>
                <w:rStyle w:val="MaviChar"/>
              </w:rPr>
              <w:t xml:space="preserve">l </w:t>
            </w:r>
            <w:r w:rsidR="00EB2D14" w:rsidRPr="006D2E3C">
              <w:rPr>
                <w:rStyle w:val="YELChar"/>
                <w:color w:val="0000FF"/>
              </w:rPr>
              <w:t>karşılaştırma</w:t>
            </w:r>
            <w:r w:rsidR="00EB2D14" w:rsidRPr="00A23740">
              <w:rPr>
                <w:rStyle w:val="YELChar"/>
              </w:rPr>
              <w:t xml:space="preserve"> </w:t>
            </w:r>
            <w:r w:rsidR="00EB2D14" w:rsidRPr="006D2E3C">
              <w:rPr>
                <w:rStyle w:val="YELChar"/>
                <w:color w:val="0000FF"/>
              </w:rPr>
              <w:t>yapmaya</w:t>
            </w:r>
            <w:r w:rsidRPr="00A23740">
              <w:rPr>
                <w:rStyle w:val="MaviChar"/>
              </w:rPr>
              <w:t xml:space="preserve"> elverişli</w:t>
            </w:r>
            <w:r w:rsidR="00EB2D14" w:rsidRPr="00A23740">
              <w:rPr>
                <w:rStyle w:val="MaviChar"/>
                <w:lang w:val="tr-TR"/>
              </w:rPr>
              <w:t xml:space="preserve"> </w:t>
            </w:r>
            <w:r w:rsidR="00EB2D14" w:rsidRPr="006D2E3C">
              <w:rPr>
                <w:rStyle w:val="YELChar"/>
                <w:color w:val="0000FF"/>
              </w:rPr>
              <w:t>yazı</w:t>
            </w:r>
            <w:r w:rsidR="00EB2D14" w:rsidRPr="00A23740">
              <w:rPr>
                <w:rStyle w:val="YELChar"/>
              </w:rPr>
              <w:t xml:space="preserve"> </w:t>
            </w:r>
            <w:r w:rsidR="00EB2D14" w:rsidRPr="006D2E3C">
              <w:rPr>
                <w:rStyle w:val="YELChar"/>
                <w:color w:val="0000FF"/>
              </w:rPr>
              <w:t>ve</w:t>
            </w:r>
            <w:r w:rsidRPr="00A23740">
              <w:rPr>
                <w:szCs w:val="24"/>
              </w:rPr>
              <w:t xml:space="preserve"> imzaların </w:t>
            </w:r>
            <w:r w:rsidRPr="00A23740">
              <w:rPr>
                <w:rStyle w:val="MaviChar"/>
              </w:rPr>
              <w:t>getirtilmesini</w:t>
            </w:r>
            <w:r w:rsidRPr="00A23740">
              <w:rPr>
                <w:szCs w:val="24"/>
              </w:rPr>
              <w:t xml:space="preserve"> ist</w:t>
            </w:r>
            <w:r w:rsidRPr="00A23740">
              <w:rPr>
                <w:rStyle w:val="MaviChar"/>
              </w:rPr>
              <w:t>e</w:t>
            </w:r>
            <w:r w:rsidRPr="00A23740">
              <w:rPr>
                <w:szCs w:val="24"/>
              </w:rPr>
              <w:t>yebilir.</w:t>
            </w:r>
          </w:p>
          <w:p w:rsidR="00EB2D14" w:rsidRPr="00A23740" w:rsidRDefault="00EB2D14" w:rsidP="009431FF">
            <w:pPr>
              <w:pStyle w:val="AltKonuBal"/>
              <w:widowControl w:val="0"/>
            </w:pPr>
          </w:p>
        </w:tc>
      </w:tr>
      <w:tr w:rsidR="00155AF4" w:rsidRPr="00A23740" w:rsidTr="009431FF">
        <w:tc>
          <w:tcPr>
            <w:tcW w:w="5000" w:type="pct"/>
            <w:gridSpan w:val="2"/>
            <w:shd w:val="clear" w:color="auto" w:fill="DEEAF6"/>
          </w:tcPr>
          <w:p w:rsidR="00A521C0" w:rsidRPr="00A23740" w:rsidRDefault="00A521C0" w:rsidP="009431FF">
            <w:pPr>
              <w:tabs>
                <w:tab w:val="left" w:pos="567"/>
              </w:tabs>
              <w:autoSpaceDE w:val="0"/>
              <w:autoSpaceDN w:val="0"/>
              <w:adjustRightInd w:val="0"/>
              <w:ind w:firstLine="709"/>
              <w:rPr>
                <w:b/>
                <w:szCs w:val="24"/>
              </w:rPr>
            </w:pPr>
          </w:p>
          <w:p w:rsidR="00DB2C16" w:rsidRPr="00A23740" w:rsidRDefault="00DB2C16" w:rsidP="009431FF">
            <w:pPr>
              <w:tabs>
                <w:tab w:val="left" w:pos="567"/>
              </w:tabs>
              <w:autoSpaceDE w:val="0"/>
              <w:autoSpaceDN w:val="0"/>
              <w:adjustRightInd w:val="0"/>
              <w:ind w:firstLine="709"/>
              <w:rPr>
                <w:szCs w:val="24"/>
              </w:rPr>
            </w:pPr>
            <w:r w:rsidRPr="00A23740">
              <w:rPr>
                <w:b/>
                <w:szCs w:val="24"/>
              </w:rPr>
              <w:t>MADDE 95-</w:t>
            </w:r>
            <w:r w:rsidR="00A521C0" w:rsidRPr="00A23740">
              <w:rPr>
                <w:b/>
                <w:szCs w:val="24"/>
              </w:rPr>
              <w:t xml:space="preserve"> </w:t>
            </w:r>
            <w:r w:rsidR="00A521C0" w:rsidRPr="00A23740">
              <w:rPr>
                <w:szCs w:val="24"/>
              </w:rPr>
              <w:t>Maddeyle, ilamsız takiplerde takibe itirazın sonuçları düzenlenmektedir. Taslağın 95 inci maddesi “</w:t>
            </w:r>
            <w:r w:rsidRPr="00A23740">
              <w:rPr>
                <w:szCs w:val="24"/>
              </w:rPr>
              <w:t xml:space="preserve">İtirazın hükmü” başlığını taşımakta olup </w:t>
            </w:r>
            <w:r w:rsidR="00A521C0" w:rsidRPr="00A23740">
              <w:rPr>
                <w:szCs w:val="24"/>
              </w:rPr>
              <w:t>2004 sayılı Kanunun</w:t>
            </w:r>
            <w:r w:rsidRPr="00A23740">
              <w:rPr>
                <w:szCs w:val="24"/>
              </w:rPr>
              <w:t xml:space="preserve"> 66 ncı maddesi</w:t>
            </w:r>
            <w:r w:rsidR="00A521C0" w:rsidRPr="00A23740">
              <w:rPr>
                <w:szCs w:val="24"/>
              </w:rPr>
              <w:t>ne karşılık gelmektedir. T</w:t>
            </w:r>
            <w:r w:rsidRPr="00A23740">
              <w:rPr>
                <w:szCs w:val="24"/>
              </w:rPr>
              <w:t>aslak</w:t>
            </w:r>
            <w:r w:rsidR="00A521C0" w:rsidRPr="00A23740">
              <w:rPr>
                <w:szCs w:val="24"/>
              </w:rPr>
              <w:t>la</w:t>
            </w:r>
            <w:r w:rsidRPr="00A23740">
              <w:rPr>
                <w:szCs w:val="24"/>
              </w:rPr>
              <w:t>,</w:t>
            </w:r>
            <w:r w:rsidR="00A521C0" w:rsidRPr="00A23740">
              <w:rPr>
                <w:szCs w:val="24"/>
              </w:rPr>
              <w:t xml:space="preserve"> bu maddede önemli değişiklikler yapılmaktadır.</w:t>
            </w:r>
          </w:p>
          <w:p w:rsidR="00DB2C16" w:rsidRPr="00A23740" w:rsidRDefault="00A521C0" w:rsidP="009431FF">
            <w:pPr>
              <w:tabs>
                <w:tab w:val="left" w:pos="567"/>
              </w:tabs>
              <w:autoSpaceDE w:val="0"/>
              <w:autoSpaceDN w:val="0"/>
              <w:adjustRightInd w:val="0"/>
              <w:ind w:firstLine="709"/>
              <w:rPr>
                <w:szCs w:val="24"/>
              </w:rPr>
            </w:pPr>
            <w:r w:rsidRPr="00A23740">
              <w:rPr>
                <w:szCs w:val="24"/>
              </w:rPr>
              <w:t>Maddenin bir</w:t>
            </w:r>
            <w:r w:rsidR="00DB2C16" w:rsidRPr="00A23740">
              <w:rPr>
                <w:szCs w:val="24"/>
              </w:rPr>
              <w:t>inci fıkrasında</w:t>
            </w:r>
            <w:r w:rsidR="00F63BB3" w:rsidRPr="00A23740">
              <w:rPr>
                <w:szCs w:val="24"/>
              </w:rPr>
              <w:t>,</w:t>
            </w:r>
            <w:r w:rsidR="00DB2C16" w:rsidRPr="00A23740">
              <w:rPr>
                <w:szCs w:val="24"/>
              </w:rPr>
              <w:t xml:space="preserve"> süresi içinde yapılan </w:t>
            </w:r>
            <w:r w:rsidRPr="00A23740">
              <w:rPr>
                <w:szCs w:val="24"/>
              </w:rPr>
              <w:t xml:space="preserve">itirazın takibi durduracağı ve </w:t>
            </w:r>
            <w:r w:rsidR="00DB2C16" w:rsidRPr="00A23740">
              <w:rPr>
                <w:szCs w:val="24"/>
              </w:rPr>
              <w:t>itiraz edilmezse veya yapılan itiraz süresinde değilse, alacaklının talebi üzerine takip işlemlerine alacağın tamamı için devam olunacağı belirtildikten sonra, borçlunun borcun yalnız bir kısmına itirazda bulunduğu h</w:t>
            </w:r>
            <w:r w:rsidR="006E24BA" w:rsidRPr="00A23740">
              <w:rPr>
                <w:szCs w:val="24"/>
              </w:rPr>
              <w:t>â</w:t>
            </w:r>
            <w:r w:rsidR="00DB2C16" w:rsidRPr="00A23740">
              <w:rPr>
                <w:szCs w:val="24"/>
              </w:rPr>
              <w:t>llerde, itiraz edilmeyen miktar için takibe devam olunacağı</w:t>
            </w:r>
            <w:r w:rsidR="00F63BB3" w:rsidRPr="00A23740">
              <w:rPr>
                <w:szCs w:val="24"/>
              </w:rPr>
              <w:t xml:space="preserve"> açıklığa kavuşturulmaktadır</w:t>
            </w:r>
            <w:r w:rsidR="00DB2C16" w:rsidRPr="00A23740">
              <w:rPr>
                <w:szCs w:val="24"/>
              </w:rPr>
              <w:t xml:space="preserve">. </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A521C0" w:rsidRPr="00A23740">
              <w:rPr>
                <w:szCs w:val="24"/>
              </w:rPr>
              <w:t xml:space="preserve">ikinci </w:t>
            </w:r>
            <w:r w:rsidRPr="00A23740">
              <w:rPr>
                <w:szCs w:val="24"/>
              </w:rPr>
              <w:t>fıkrasında ise “Asıl alacağın veya faizin ya da diğer fer</w:t>
            </w:r>
            <w:r w:rsidR="00EB2D14" w:rsidRPr="00A23740">
              <w:rPr>
                <w:szCs w:val="24"/>
              </w:rPr>
              <w:t>i</w:t>
            </w:r>
            <w:r w:rsidRPr="00A23740">
              <w:rPr>
                <w:szCs w:val="24"/>
              </w:rPr>
              <w:t>lerin bir kısmına itiraz eden borçlu, itiraz ettiği kısmın tür veya miktar ya da oranını açıkça göstermezse, asıl borcun veya fer</w:t>
            </w:r>
            <w:r w:rsidR="00EB2D14" w:rsidRPr="00A23740">
              <w:rPr>
                <w:szCs w:val="24"/>
              </w:rPr>
              <w:t>i</w:t>
            </w:r>
            <w:r w:rsidRPr="00A23740">
              <w:rPr>
                <w:szCs w:val="24"/>
              </w:rPr>
              <w:t xml:space="preserve">lerin tamamına itiraz etmiş sayılır.” hükmüne yer verilmiştir. Bu değişiklikle </w:t>
            </w:r>
            <w:r w:rsidR="00A521C0" w:rsidRPr="00A23740">
              <w:rPr>
                <w:szCs w:val="24"/>
              </w:rPr>
              <w:t>2004 sayılı Kanunda</w:t>
            </w:r>
            <w:r w:rsidRPr="00A23740">
              <w:rPr>
                <w:szCs w:val="24"/>
              </w:rPr>
              <w:t xml:space="preserve"> </w:t>
            </w:r>
            <w:r w:rsidR="00A521C0" w:rsidRPr="00A23740">
              <w:rPr>
                <w:szCs w:val="24"/>
              </w:rPr>
              <w:t>yer alan “Bu kadar borcum yoktur”</w:t>
            </w:r>
            <w:r w:rsidRPr="00A23740">
              <w:rPr>
                <w:szCs w:val="24"/>
              </w:rPr>
              <w:t xml:space="preserve"> örneğinde olduğu gibi</w:t>
            </w:r>
            <w:r w:rsidR="00F63BB3" w:rsidRPr="00A23740">
              <w:rPr>
                <w:szCs w:val="24"/>
              </w:rPr>
              <w:t>,</w:t>
            </w:r>
            <w:r w:rsidRPr="00A23740">
              <w:rPr>
                <w:szCs w:val="24"/>
              </w:rPr>
              <w:t xml:space="preserve"> miktarı açıkça belli edilmeden yapılan itirazın hükümsüz sayılması hakkındaki düzenleme şekli terk edilerek, bu türlü itiraz h</w:t>
            </w:r>
            <w:r w:rsidR="006E24BA" w:rsidRPr="00A23740">
              <w:rPr>
                <w:szCs w:val="24"/>
              </w:rPr>
              <w:t>â</w:t>
            </w:r>
            <w:r w:rsidRPr="00A23740">
              <w:rPr>
                <w:szCs w:val="24"/>
              </w:rPr>
              <w:t xml:space="preserve">linde borçlunun alacağın tamamına itiraz etmiş </w:t>
            </w:r>
            <w:r w:rsidR="00CA4FE8" w:rsidRPr="00A23740">
              <w:rPr>
                <w:szCs w:val="24"/>
              </w:rPr>
              <w:t>s</w:t>
            </w:r>
            <w:r w:rsidRPr="00A23740">
              <w:rPr>
                <w:szCs w:val="24"/>
              </w:rPr>
              <w:t xml:space="preserve">ayılacağı hakkındaki </w:t>
            </w:r>
            <w:r w:rsidR="00F63BB3" w:rsidRPr="00A23740">
              <w:rPr>
                <w:szCs w:val="24"/>
              </w:rPr>
              <w:t>m</w:t>
            </w:r>
            <w:r w:rsidRPr="00A23740">
              <w:rPr>
                <w:szCs w:val="24"/>
              </w:rPr>
              <w:t>ehaz Kanun</w:t>
            </w:r>
            <w:r w:rsidR="00CA4FE8" w:rsidRPr="00A23740">
              <w:rPr>
                <w:szCs w:val="24"/>
              </w:rPr>
              <w:t>un 74 üncü maddesinin ikinci fıkra</w:t>
            </w:r>
            <w:r w:rsidRPr="00A23740">
              <w:rPr>
                <w:szCs w:val="24"/>
              </w:rPr>
              <w:t xml:space="preserve"> </w:t>
            </w:r>
            <w:r w:rsidR="00A521C0" w:rsidRPr="00A23740">
              <w:rPr>
                <w:szCs w:val="24"/>
              </w:rPr>
              <w:t>düzenlemesi benimsenmiştir.</w:t>
            </w:r>
          </w:p>
          <w:p w:rsidR="00A521C0" w:rsidRPr="00A23740" w:rsidRDefault="00DB2C16" w:rsidP="009431FF">
            <w:pPr>
              <w:tabs>
                <w:tab w:val="left" w:pos="567"/>
              </w:tabs>
              <w:autoSpaceDE w:val="0"/>
              <w:autoSpaceDN w:val="0"/>
              <w:adjustRightInd w:val="0"/>
              <w:ind w:firstLine="709"/>
              <w:rPr>
                <w:szCs w:val="24"/>
              </w:rPr>
            </w:pPr>
            <w:r w:rsidRPr="00A23740">
              <w:rPr>
                <w:szCs w:val="24"/>
              </w:rPr>
              <w:t>Her ne kadar Taslak</w:t>
            </w:r>
            <w:r w:rsidR="00EB2D14" w:rsidRPr="00A23740">
              <w:rPr>
                <w:szCs w:val="24"/>
              </w:rPr>
              <w:t>ta</w:t>
            </w:r>
            <w:r w:rsidRPr="00A23740">
              <w:rPr>
                <w:szCs w:val="24"/>
              </w:rPr>
              <w:t xml:space="preserve"> itirazın kaldırılması prosedürü</w:t>
            </w:r>
            <w:r w:rsidR="000E3F90" w:rsidRPr="00A23740">
              <w:rPr>
                <w:szCs w:val="24"/>
              </w:rPr>
              <w:t xml:space="preserve"> yürürlükten kaldırılmış ise de</w:t>
            </w:r>
            <w:r w:rsidR="00F63BB3" w:rsidRPr="00A23740">
              <w:rPr>
                <w:szCs w:val="24"/>
              </w:rPr>
              <w:t>,</w:t>
            </w:r>
            <w:r w:rsidRPr="00A23740">
              <w:rPr>
                <w:szCs w:val="24"/>
              </w:rPr>
              <w:t xml:space="preserve"> imza inkârı h</w:t>
            </w:r>
            <w:r w:rsidR="002F2BAA" w:rsidRPr="00A23740">
              <w:rPr>
                <w:szCs w:val="24"/>
              </w:rPr>
              <w:t>â</w:t>
            </w:r>
            <w:r w:rsidRPr="00A23740">
              <w:rPr>
                <w:szCs w:val="24"/>
              </w:rPr>
              <w:t xml:space="preserve">linde </w:t>
            </w:r>
            <w:r w:rsidR="00EB2D14" w:rsidRPr="00A23740">
              <w:rPr>
                <w:szCs w:val="24"/>
              </w:rPr>
              <w:t>karşılaştırma yapmaya elverişli</w:t>
            </w:r>
            <w:r w:rsidRPr="00A23740">
              <w:rPr>
                <w:szCs w:val="24"/>
              </w:rPr>
              <w:t xml:space="preserve"> imzaların derh</w:t>
            </w:r>
            <w:r w:rsidR="00694D30" w:rsidRPr="00A23740">
              <w:rPr>
                <w:szCs w:val="24"/>
              </w:rPr>
              <w:t>â</w:t>
            </w:r>
            <w:r w:rsidRPr="00A23740">
              <w:rPr>
                <w:szCs w:val="24"/>
              </w:rPr>
              <w:t xml:space="preserve">l tedarik edilmesi genel mahkemede itirazın iptali davasının daha süratli yürütülmesi bakımından yararlı olacağı için, </w:t>
            </w:r>
            <w:r w:rsidR="00A521C0" w:rsidRPr="00A23740">
              <w:rPr>
                <w:szCs w:val="24"/>
              </w:rPr>
              <w:t>2004 sayılı Kanunda</w:t>
            </w:r>
            <w:r w:rsidRPr="00A23740">
              <w:rPr>
                <w:szCs w:val="24"/>
              </w:rPr>
              <w:t xml:space="preserve"> yer alan “borçlunun itirazında imzayı reddetmesi h</w:t>
            </w:r>
            <w:r w:rsidR="006E24BA" w:rsidRPr="00A23740">
              <w:rPr>
                <w:szCs w:val="24"/>
              </w:rPr>
              <w:t>â</w:t>
            </w:r>
            <w:r w:rsidRPr="00A23740">
              <w:rPr>
                <w:szCs w:val="24"/>
              </w:rPr>
              <w:t>linde alacaklının, icra ve iflas dairesinden derh</w:t>
            </w:r>
            <w:r w:rsidR="00694D30" w:rsidRPr="00A23740">
              <w:rPr>
                <w:szCs w:val="24"/>
              </w:rPr>
              <w:t>â</w:t>
            </w:r>
            <w:r w:rsidRPr="00A23740">
              <w:rPr>
                <w:szCs w:val="24"/>
              </w:rPr>
              <w:t>l uygulamaya elverişli imzaların getirtilmesini isteyebileceği” şeklindeki hükü</w:t>
            </w:r>
            <w:r w:rsidR="00CA4FE8" w:rsidRPr="00A23740">
              <w:rPr>
                <w:szCs w:val="24"/>
              </w:rPr>
              <w:t xml:space="preserve">m Taslağın 95 inci maddesinin üçüncü </w:t>
            </w:r>
            <w:r w:rsidRPr="00A23740">
              <w:rPr>
                <w:szCs w:val="24"/>
              </w:rPr>
              <w:t>fıkrasında da muhafaza edilmiştir.</w:t>
            </w:r>
          </w:p>
          <w:p w:rsidR="00E91409" w:rsidRPr="00A23740" w:rsidRDefault="00E91409" w:rsidP="009431FF">
            <w:pPr>
              <w:tabs>
                <w:tab w:val="left" w:pos="567"/>
              </w:tabs>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6- İtirazın hükümden düşürülmesi:</w:t>
            </w:r>
          </w:p>
          <w:p w:rsidR="00155AF4" w:rsidRPr="00A23740" w:rsidRDefault="00155AF4" w:rsidP="009431FF">
            <w:pPr>
              <w:widowControl w:val="0"/>
              <w:tabs>
                <w:tab w:val="left" w:pos="567"/>
              </w:tabs>
              <w:autoSpaceDE w:val="0"/>
              <w:autoSpaceDN w:val="0"/>
              <w:adjustRightInd w:val="0"/>
              <w:rPr>
                <w:i/>
                <w:iCs/>
                <w:szCs w:val="24"/>
              </w:rPr>
            </w:pPr>
            <w:r w:rsidRPr="00A23740">
              <w:rPr>
                <w:b/>
                <w:bCs/>
                <w:strike/>
                <w:color w:val="FF0000"/>
                <w:szCs w:val="24"/>
              </w:rPr>
              <w:t>a)</w:t>
            </w:r>
            <w:r w:rsidRPr="00A23740">
              <w:rPr>
                <w:i/>
                <w:iCs/>
                <w:szCs w:val="24"/>
              </w:rPr>
              <w:t xml:space="preserve"> İtirazın iptali :</w:t>
            </w: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rStyle w:val="KIRMIZIChar"/>
                <w:rFonts w:eastAsia="Calibri"/>
              </w:rPr>
              <w:t>Madde 67 – (1) (Değişik</w:t>
            </w:r>
            <w:r w:rsidRPr="00A23740">
              <w:rPr>
                <w:b/>
                <w:bCs/>
                <w:strike/>
                <w:color w:val="FF0000"/>
                <w:szCs w:val="24"/>
              </w:rPr>
              <w:t>: 18/2/1965 - 538/37 md.)</w:t>
            </w:r>
          </w:p>
          <w:p w:rsidR="00155AF4" w:rsidRPr="00A23740" w:rsidRDefault="00155AF4" w:rsidP="009431FF">
            <w:pPr>
              <w:widowControl w:val="0"/>
              <w:tabs>
                <w:tab w:val="left" w:pos="567"/>
              </w:tabs>
              <w:autoSpaceDE w:val="0"/>
              <w:autoSpaceDN w:val="0"/>
              <w:adjustRightInd w:val="0"/>
              <w:rPr>
                <w:b/>
                <w:bCs/>
                <w:szCs w:val="24"/>
              </w:rPr>
            </w:pPr>
            <w:r w:rsidRPr="00A23740">
              <w:rPr>
                <w:b/>
                <w:bCs/>
                <w:strike/>
                <w:color w:val="FF0000"/>
                <w:szCs w:val="24"/>
              </w:rPr>
              <w:t>(Değişik birinci fıkra: 17/7/2003-4949/15 md.)</w:t>
            </w:r>
            <w:r w:rsidRPr="00A23740">
              <w:rPr>
                <w:szCs w:val="24"/>
              </w:rPr>
              <w:t xml:space="preserve"> Takip talebine itiraz edilen alacaklı, itirazın tebliği tarihinden itibaren </w:t>
            </w:r>
            <w:r w:rsidRPr="00A23740">
              <w:rPr>
                <w:b/>
                <w:bCs/>
                <w:strike/>
                <w:color w:val="FF0000"/>
                <w:szCs w:val="24"/>
              </w:rPr>
              <w:t>bir sene</w:t>
            </w:r>
            <w:r w:rsidRPr="00A23740">
              <w:rPr>
                <w:szCs w:val="24"/>
              </w:rPr>
              <w:t xml:space="preserve"> içinde mahkemeye başvurarak, genel hükümler </w:t>
            </w:r>
            <w:r w:rsidRPr="00A23740">
              <w:rPr>
                <w:b/>
                <w:bCs/>
                <w:strike/>
                <w:color w:val="FF0000"/>
                <w:szCs w:val="24"/>
              </w:rPr>
              <w:t>dairesinde alacağının varlığını ispat suretiyle</w:t>
            </w:r>
            <w:r w:rsidRPr="00A23740">
              <w:rPr>
                <w:szCs w:val="24"/>
              </w:rPr>
              <w:t xml:space="preserve"> itirazın </w:t>
            </w:r>
            <w:r w:rsidRPr="00A23740">
              <w:rPr>
                <w:rStyle w:val="Normal--Char"/>
                <w:rFonts w:eastAsia="Calibri"/>
              </w:rPr>
              <w:t>iptali</w:t>
            </w:r>
            <w:r w:rsidRPr="00A23740">
              <w:rPr>
                <w:rStyle w:val="karlan--Char"/>
                <w:rFonts w:eastAsia="Calibri"/>
              </w:rPr>
              <w:t>ni</w:t>
            </w:r>
            <w:r w:rsidRPr="00A23740">
              <w:rPr>
                <w:szCs w:val="24"/>
              </w:rPr>
              <w:t xml:space="preserve"> dava </w:t>
            </w:r>
            <w:r w:rsidRPr="00A23740">
              <w:rPr>
                <w:rStyle w:val="karlan--Char"/>
                <w:rFonts w:eastAsia="Calibri"/>
              </w:rPr>
              <w:t>edebilir</w:t>
            </w:r>
            <w:r w:rsidRPr="00A23740">
              <w:rPr>
                <w:szCs w:val="24"/>
              </w:rPr>
              <w:t>.</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vertAlign w:val="superscript"/>
              </w:rPr>
            </w:pPr>
            <w:r w:rsidRPr="00A23740">
              <w:rPr>
                <w:b/>
                <w:bCs/>
                <w:strike/>
                <w:color w:val="FF0000"/>
                <w:szCs w:val="24"/>
              </w:rPr>
              <w:t>(2) (Değişik: 9/11/1988 - 3494/1 md.)</w:t>
            </w:r>
            <w:r w:rsidRPr="00A23740">
              <w:rPr>
                <w:szCs w:val="24"/>
              </w:rPr>
              <w:t xml:space="preserve"> </w:t>
            </w:r>
            <w:r w:rsidRPr="00A23740">
              <w:rPr>
                <w:rStyle w:val="KIRMIZIChar"/>
                <w:rFonts w:eastAsia="Calibri"/>
              </w:rPr>
              <w:t>Bu davada</w:t>
            </w:r>
            <w:r w:rsidRPr="00A23740">
              <w:rPr>
                <w:szCs w:val="24"/>
              </w:rPr>
              <w:t xml:space="preserve"> </w:t>
            </w:r>
            <w:r w:rsidRPr="00A23740">
              <w:rPr>
                <w:rStyle w:val="KIRMIZIChar"/>
                <w:rFonts w:eastAsia="Calibri"/>
              </w:rPr>
              <w:t>borçlunun</w:t>
            </w:r>
            <w:r w:rsidRPr="00A23740">
              <w:rPr>
                <w:szCs w:val="24"/>
              </w:rPr>
              <w:t xml:space="preserve"> itirazının haksızlığına karar </w:t>
            </w:r>
            <w:r w:rsidRPr="00A23740">
              <w:rPr>
                <w:rStyle w:val="KIRMIZIChar"/>
                <w:rFonts w:eastAsia="Calibri"/>
              </w:rPr>
              <w:t>verilirse</w:t>
            </w:r>
            <w:r w:rsidRPr="00A23740">
              <w:rPr>
                <w:szCs w:val="24"/>
              </w:rPr>
              <w:t xml:space="preserve"> borçlu</w:t>
            </w:r>
            <w:r w:rsidRPr="00A23740">
              <w:rPr>
                <w:rStyle w:val="KIRMIZIChar"/>
                <w:rFonts w:eastAsia="Calibri"/>
              </w:rPr>
              <w:t>;</w:t>
            </w:r>
            <w:r w:rsidRPr="00A23740">
              <w:rPr>
                <w:szCs w:val="24"/>
              </w:rPr>
              <w:t xml:space="preserve"> takibinde haksız ve kötü niyetli görülürse alacaklı</w:t>
            </w:r>
            <w:r w:rsidRPr="00A23740">
              <w:rPr>
                <w:rStyle w:val="KIRMIZIChar"/>
                <w:rFonts w:eastAsia="Calibri"/>
              </w:rPr>
              <w:t>;</w:t>
            </w:r>
            <w:r w:rsidRPr="00A23740">
              <w:rPr>
                <w:szCs w:val="24"/>
              </w:rPr>
              <w:t xml:space="preserve"> </w:t>
            </w:r>
            <w:r w:rsidRPr="00A23740">
              <w:rPr>
                <w:rStyle w:val="KIRMIZIChar"/>
                <w:rFonts w:eastAsia="Calibri"/>
              </w:rPr>
              <w:t>diğer tarafın</w:t>
            </w:r>
            <w:r w:rsidRPr="00A23740">
              <w:rPr>
                <w:szCs w:val="24"/>
              </w:rPr>
              <w:t xml:space="preserve"> talebi üzerine iki tarafın durumuna, davanın ve hükmolunan şeyin </w:t>
            </w:r>
            <w:r w:rsidRPr="00A23740">
              <w:rPr>
                <w:b/>
                <w:bCs/>
                <w:strike/>
                <w:color w:val="FF0000"/>
                <w:szCs w:val="24"/>
              </w:rPr>
              <w:t>tahammülüne</w:t>
            </w:r>
            <w:r w:rsidRPr="00A23740">
              <w:rPr>
                <w:szCs w:val="24"/>
              </w:rPr>
              <w:t xml:space="preserve"> göre, </w:t>
            </w:r>
            <w:r w:rsidRPr="00A23740">
              <w:rPr>
                <w:rStyle w:val="KIRMIZIChar"/>
                <w:rFonts w:eastAsia="Calibri"/>
              </w:rPr>
              <w:t>red veya hükmolunan meblağın</w:t>
            </w:r>
            <w:r w:rsidRPr="00A23740">
              <w:rPr>
                <w:szCs w:val="24"/>
              </w:rPr>
              <w:t xml:space="preserve"> yüzde yirmisinden aşağı olmamak üzere</w:t>
            </w:r>
            <w:r w:rsidRPr="00A23740">
              <w:rPr>
                <w:rStyle w:val="KIRMIZIChar"/>
                <w:rFonts w:eastAsia="Calibri"/>
              </w:rPr>
              <w:t>,</w:t>
            </w:r>
            <w:r w:rsidRPr="00A23740">
              <w:rPr>
                <w:szCs w:val="24"/>
              </w:rPr>
              <w:t xml:space="preserve"> </w:t>
            </w:r>
            <w:r w:rsidRPr="00A23740">
              <w:rPr>
                <w:rStyle w:val="KIRMIZIChar"/>
                <w:rFonts w:eastAsia="Calibri"/>
              </w:rPr>
              <w:t>uygun bir tazminatla</w:t>
            </w:r>
            <w:r w:rsidRPr="00A23740">
              <w:rPr>
                <w:szCs w:val="24"/>
              </w:rPr>
              <w:t xml:space="preserve"> mahkum edilir.</w:t>
            </w:r>
          </w:p>
          <w:p w:rsidR="006E24BA" w:rsidRPr="00A23740" w:rsidRDefault="006E24BA"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b/>
                <w:bCs/>
                <w:strike/>
                <w:color w:val="FF0000"/>
                <w:szCs w:val="24"/>
              </w:rPr>
              <w:t>(3) (Ek fıkra: 2/7/2012-6352/11 md.)</w:t>
            </w:r>
            <w:r w:rsidRPr="00A23740">
              <w:rPr>
                <w:b/>
                <w:bCs/>
                <w:szCs w:val="24"/>
              </w:rPr>
              <w:t xml:space="preserve"> </w:t>
            </w:r>
            <w:r w:rsidRPr="00A23740">
              <w:rPr>
                <w:szCs w:val="24"/>
              </w:rPr>
              <w:t xml:space="preserve">Bu Kanunda öngörülen icra inkar tazminatı, kötü niyet tazminatı ve benzeri tazminatların tespitinde, takip talebi </w:t>
            </w:r>
            <w:r w:rsidRPr="00A23740">
              <w:rPr>
                <w:b/>
                <w:bCs/>
                <w:strike/>
                <w:color w:val="FF0000"/>
                <w:szCs w:val="24"/>
              </w:rPr>
              <w:t>veya davadaki talep</w:t>
            </w:r>
            <w:r w:rsidRPr="00A23740">
              <w:rPr>
                <w:szCs w:val="24"/>
              </w:rPr>
              <w:t xml:space="preserve"> esas alınır.</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p>
          <w:p w:rsidR="00C346BD" w:rsidRPr="00A23740" w:rsidRDefault="00C346BD" w:rsidP="009431FF">
            <w:pPr>
              <w:widowControl w:val="0"/>
              <w:tabs>
                <w:tab w:val="left" w:pos="567"/>
              </w:tabs>
              <w:autoSpaceDE w:val="0"/>
              <w:autoSpaceDN w:val="0"/>
              <w:adjustRightInd w:val="0"/>
              <w:rPr>
                <w:szCs w:val="24"/>
              </w:rPr>
            </w:pPr>
          </w:p>
          <w:p w:rsidR="00C346BD" w:rsidRPr="00A23740" w:rsidRDefault="00C346BD" w:rsidP="009431FF">
            <w:pPr>
              <w:widowControl w:val="0"/>
              <w:tabs>
                <w:tab w:val="left" w:pos="567"/>
              </w:tabs>
              <w:autoSpaceDE w:val="0"/>
              <w:autoSpaceDN w:val="0"/>
              <w:adjustRightInd w:val="0"/>
              <w:rPr>
                <w:szCs w:val="24"/>
              </w:rPr>
            </w:pPr>
          </w:p>
          <w:p w:rsidR="00C346BD" w:rsidRPr="00A23740" w:rsidRDefault="00C346BD" w:rsidP="009431FF">
            <w:pPr>
              <w:widowControl w:val="0"/>
              <w:tabs>
                <w:tab w:val="left" w:pos="567"/>
              </w:tabs>
              <w:autoSpaceDE w:val="0"/>
              <w:autoSpaceDN w:val="0"/>
              <w:adjustRightInd w:val="0"/>
              <w:rPr>
                <w:szCs w:val="24"/>
              </w:rPr>
            </w:pPr>
          </w:p>
          <w:p w:rsidR="00A5328F" w:rsidRPr="00A23740" w:rsidRDefault="00A5328F" w:rsidP="009431FF">
            <w:pPr>
              <w:widowControl w:val="0"/>
              <w:tabs>
                <w:tab w:val="left" w:pos="567"/>
              </w:tabs>
              <w:autoSpaceDE w:val="0"/>
              <w:autoSpaceDN w:val="0"/>
              <w:adjustRightInd w:val="0"/>
              <w:rPr>
                <w:rStyle w:val="KIRMIZIChar"/>
                <w:rFonts w:eastAsia="Calibri"/>
              </w:rPr>
            </w:pPr>
          </w:p>
          <w:p w:rsidR="00155AF4" w:rsidRPr="00A23740" w:rsidRDefault="00155AF4" w:rsidP="009431FF">
            <w:pPr>
              <w:widowControl w:val="0"/>
              <w:tabs>
                <w:tab w:val="left" w:pos="567"/>
              </w:tabs>
              <w:autoSpaceDE w:val="0"/>
              <w:autoSpaceDN w:val="0"/>
              <w:adjustRightInd w:val="0"/>
              <w:rPr>
                <w:szCs w:val="24"/>
              </w:rPr>
            </w:pPr>
            <w:r w:rsidRPr="00A23740">
              <w:rPr>
                <w:rStyle w:val="KIRMIZIChar"/>
                <w:rFonts w:eastAsia="Calibri"/>
              </w:rPr>
              <w:t>(4)</w:t>
            </w:r>
            <w:r w:rsidRPr="00A23740">
              <w:rPr>
                <w:szCs w:val="24"/>
              </w:rPr>
              <w:t xml:space="preserve"> İtiraz eden veli, vasi veya mirasçı ise, borçlu hakkında tazminat hükmolunması kötü niyetin </w:t>
            </w:r>
            <w:r w:rsidRPr="00A23740">
              <w:rPr>
                <w:rStyle w:val="karlan--Char"/>
                <w:rFonts w:eastAsia="Calibri"/>
              </w:rPr>
              <w:t>sübutuna</w:t>
            </w:r>
            <w:r w:rsidRPr="00A23740">
              <w:rPr>
                <w:szCs w:val="24"/>
              </w:rPr>
              <w:t xml:space="preserve"> bağlıdır.</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(5) (Mülga dördüncü fıkra: 17/7/2003-4949/103 md.)</w:t>
            </w:r>
          </w:p>
          <w:p w:rsidR="00155AF4" w:rsidRPr="00A23740" w:rsidRDefault="00155AF4" w:rsidP="009431FF">
            <w:pPr>
              <w:widowControl w:val="0"/>
              <w:tabs>
                <w:tab w:val="left" w:pos="567"/>
              </w:tabs>
              <w:autoSpaceDE w:val="0"/>
              <w:autoSpaceDN w:val="0"/>
              <w:adjustRightInd w:val="0"/>
              <w:rPr>
                <w:szCs w:val="24"/>
              </w:rPr>
            </w:pPr>
          </w:p>
          <w:p w:rsidR="00155AF4" w:rsidRPr="00A23740" w:rsidRDefault="00155AF4" w:rsidP="009431FF">
            <w:pPr>
              <w:widowControl w:val="0"/>
              <w:tabs>
                <w:tab w:val="left" w:pos="567"/>
              </w:tabs>
              <w:autoSpaceDE w:val="0"/>
              <w:autoSpaceDN w:val="0"/>
              <w:adjustRightInd w:val="0"/>
              <w:rPr>
                <w:szCs w:val="24"/>
              </w:rPr>
            </w:pPr>
            <w:r w:rsidRPr="00A23740">
              <w:rPr>
                <w:rStyle w:val="KIRMIZIChar"/>
                <w:rFonts w:eastAsia="Calibri"/>
              </w:rPr>
              <w:t>(6)</w:t>
            </w:r>
            <w:r w:rsidRPr="00A23740">
              <w:rPr>
                <w:szCs w:val="24"/>
              </w:rPr>
              <w:t xml:space="preserve"> Birinci fıkrada yazılı itirazın</w:t>
            </w:r>
            <w:r w:rsidRPr="00A23740">
              <w:rPr>
                <w:b/>
                <w:bCs/>
                <w:color w:val="FF0000"/>
                <w:szCs w:val="24"/>
              </w:rPr>
              <w:t xml:space="preserve"> </w:t>
            </w:r>
            <w:r w:rsidRPr="00A23740">
              <w:rPr>
                <w:rStyle w:val="Normal--Char"/>
                <w:rFonts w:eastAsia="Calibri"/>
              </w:rPr>
              <w:t xml:space="preserve">iptali </w:t>
            </w:r>
            <w:r w:rsidRPr="00A23740">
              <w:rPr>
                <w:szCs w:val="24"/>
              </w:rPr>
              <w:t>süresini geçiren alacaklının</w:t>
            </w:r>
            <w:r w:rsidRPr="00A23740">
              <w:rPr>
                <w:b/>
                <w:bCs/>
                <w:strike/>
                <w:color w:val="FF0000"/>
                <w:szCs w:val="24"/>
              </w:rPr>
              <w:t xml:space="preserve"> umumi </w:t>
            </w:r>
            <w:r w:rsidRPr="00A23740">
              <w:rPr>
                <w:szCs w:val="24"/>
              </w:rPr>
              <w:t>hükümler dairesinde alacağını dava etmek hakkı saklıdır.</w:t>
            </w:r>
          </w:p>
          <w:p w:rsidR="00155AF4" w:rsidRPr="00A23740" w:rsidRDefault="00155AF4" w:rsidP="009431FF">
            <w:pPr>
              <w:widowControl w:val="0"/>
              <w:tabs>
                <w:tab w:val="left" w:pos="567"/>
              </w:tabs>
              <w:autoSpaceDE w:val="0"/>
              <w:autoSpaceDN w:val="0"/>
              <w:adjustRightInd w:val="0"/>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autoSpaceDE w:val="0"/>
              <w:autoSpaceDN w:val="0"/>
              <w:adjustRightInd w:val="0"/>
              <w:rPr>
                <w:b/>
                <w:szCs w:val="24"/>
              </w:rPr>
            </w:pPr>
          </w:p>
          <w:p w:rsidR="00155AF4" w:rsidRPr="00A23740" w:rsidRDefault="00155AF4" w:rsidP="009431FF">
            <w:pPr>
              <w:widowControl w:val="0"/>
              <w:autoSpaceDE w:val="0"/>
              <w:autoSpaceDN w:val="0"/>
              <w:adjustRightInd w:val="0"/>
              <w:rPr>
                <w:i/>
                <w:iCs/>
                <w:szCs w:val="24"/>
              </w:rPr>
            </w:pPr>
            <w:r w:rsidRPr="00A23740">
              <w:rPr>
                <w:b/>
                <w:szCs w:val="24"/>
              </w:rPr>
              <w:t>İtirazın</w:t>
            </w:r>
            <w:r w:rsidRPr="00A23740">
              <w:rPr>
                <w:i/>
                <w:iCs/>
                <w:szCs w:val="24"/>
              </w:rPr>
              <w:t xml:space="preserve"> </w:t>
            </w:r>
            <w:r w:rsidRPr="00A23740">
              <w:rPr>
                <w:rStyle w:val="Normal--Char"/>
                <w:rFonts w:eastAsia="Calibri"/>
                <w:b/>
              </w:rPr>
              <w:t>iptali</w:t>
            </w:r>
          </w:p>
          <w:p w:rsidR="00155AF4" w:rsidRPr="00A23740" w:rsidRDefault="00155AF4" w:rsidP="009431FF">
            <w:pPr>
              <w:widowControl w:val="0"/>
              <w:tabs>
                <w:tab w:val="left" w:pos="567"/>
              </w:tabs>
              <w:autoSpaceDE w:val="0"/>
              <w:autoSpaceDN w:val="0"/>
              <w:adjustRightInd w:val="0"/>
              <w:rPr>
                <w:b/>
                <w:bCs/>
                <w:color w:val="FF0000"/>
                <w:szCs w:val="24"/>
              </w:rPr>
            </w:pPr>
            <w:r w:rsidRPr="00A23740">
              <w:rPr>
                <w:rStyle w:val="MaviChar"/>
              </w:rPr>
              <w:t xml:space="preserve">MADDE 96- (1) </w:t>
            </w:r>
            <w:r w:rsidRPr="00A23740">
              <w:rPr>
                <w:szCs w:val="24"/>
              </w:rPr>
              <w:t>Taki</w:t>
            </w:r>
            <w:r w:rsidRPr="00A23740">
              <w:rPr>
                <w:rStyle w:val="MaviChar"/>
              </w:rPr>
              <w:t>bine</w:t>
            </w:r>
            <w:r w:rsidRPr="00A23740">
              <w:rPr>
                <w:szCs w:val="24"/>
              </w:rPr>
              <w:t xml:space="preserve"> itiraz edilen alacaklı, itirazın tebliği tarihinden itibaren </w:t>
            </w:r>
            <w:r w:rsidRPr="00A23740">
              <w:rPr>
                <w:rStyle w:val="MaviChar"/>
              </w:rPr>
              <w:t xml:space="preserve">altı ay </w:t>
            </w:r>
            <w:r w:rsidRPr="00A23740">
              <w:rPr>
                <w:szCs w:val="24"/>
              </w:rPr>
              <w:t>içinde mahkemeye başvurarak genel hükümler</w:t>
            </w:r>
            <w:r w:rsidRPr="00A23740">
              <w:rPr>
                <w:rStyle w:val="MaviChar"/>
              </w:rPr>
              <w:t xml:space="preserve">e göre </w:t>
            </w:r>
            <w:r w:rsidRPr="00A23740">
              <w:rPr>
                <w:szCs w:val="24"/>
              </w:rPr>
              <w:t xml:space="preserve">itirazın </w:t>
            </w:r>
            <w:r w:rsidRPr="00A23740">
              <w:rPr>
                <w:rStyle w:val="Normal--Char"/>
                <w:rFonts w:eastAsia="Calibri"/>
              </w:rPr>
              <w:t xml:space="preserve">iptali </w:t>
            </w:r>
            <w:r w:rsidRPr="00A23740">
              <w:rPr>
                <w:rStyle w:val="MaviChar"/>
              </w:rPr>
              <w:t>için</w:t>
            </w:r>
            <w:r w:rsidRPr="00A23740">
              <w:rPr>
                <w:rStyle w:val="Normal--Char"/>
                <w:rFonts w:eastAsia="Calibri"/>
              </w:rPr>
              <w:t xml:space="preserve"> </w:t>
            </w:r>
            <w:r w:rsidRPr="00A23740">
              <w:rPr>
                <w:szCs w:val="24"/>
              </w:rPr>
              <w:t xml:space="preserve">dava </w:t>
            </w:r>
            <w:r w:rsidRPr="00A23740">
              <w:rPr>
                <w:rStyle w:val="MaviChar"/>
              </w:rPr>
              <w:t>açabilir</w:t>
            </w:r>
            <w:r w:rsidRPr="00A23740">
              <w:rPr>
                <w:szCs w:val="24"/>
              </w:rPr>
              <w:t>.</w:t>
            </w:r>
          </w:p>
          <w:p w:rsidR="00155AF4" w:rsidRPr="00A23740" w:rsidRDefault="00155AF4" w:rsidP="009431FF">
            <w:pPr>
              <w:pStyle w:val="KIRMIZI"/>
              <w:widowControl w:val="0"/>
              <w:rPr>
                <w:lang w:val="tr-TR"/>
              </w:rPr>
            </w:pPr>
          </w:p>
          <w:p w:rsidR="00155AF4" w:rsidRPr="00A23740" w:rsidRDefault="00155AF4" w:rsidP="009431FF">
            <w:pPr>
              <w:pStyle w:val="KIRMIZI"/>
              <w:widowControl w:val="0"/>
              <w:rPr>
                <w:lang w:val="tr-TR"/>
              </w:rPr>
            </w:pPr>
          </w:p>
          <w:p w:rsidR="006E24BA" w:rsidRPr="00A23740" w:rsidRDefault="006E24BA" w:rsidP="009431FF">
            <w:pPr>
              <w:pStyle w:val="KIRMIZI"/>
              <w:widowControl w:val="0"/>
              <w:rPr>
                <w:lang w:val="tr-TR"/>
              </w:rPr>
            </w:pPr>
          </w:p>
          <w:p w:rsidR="00155AF4" w:rsidRPr="00A23740" w:rsidRDefault="00155AF4" w:rsidP="009431FF">
            <w:pPr>
              <w:pStyle w:val="Mavi"/>
              <w:widowControl w:val="0"/>
            </w:pPr>
            <w:r w:rsidRPr="00A23740">
              <w:t>(2) İtirazın iptali davası</w:t>
            </w:r>
            <w:r w:rsidRPr="00A23740">
              <w:rPr>
                <w:lang w:val="tr-TR"/>
              </w:rPr>
              <w:t>, takibin yapıldığı</w:t>
            </w:r>
            <w:r w:rsidRPr="00A23740">
              <w:t xml:space="preserve"> icra</w:t>
            </w:r>
            <w:r w:rsidRPr="00A23740">
              <w:rPr>
                <w:lang w:val="tr-TR"/>
              </w:rPr>
              <w:t xml:space="preserve"> </w:t>
            </w:r>
            <w:r w:rsidRPr="00A23740">
              <w:t xml:space="preserve">ve iflas dairesinin bulunduğu yer </w:t>
            </w:r>
            <w:r w:rsidRPr="00A23740">
              <w:rPr>
                <w:lang w:val="tr-TR"/>
              </w:rPr>
              <w:t xml:space="preserve">veya </w:t>
            </w:r>
            <w:r w:rsidRPr="00A23740">
              <w:t>davalının yerleşim yeri mahkemesinde açılabilir. Görevli mahkeme, genel hükümlere göre belirlenir.</w:t>
            </w:r>
          </w:p>
          <w:p w:rsidR="00155AF4" w:rsidRPr="00A23740" w:rsidRDefault="00155AF4" w:rsidP="009431FF">
            <w:pPr>
              <w:widowControl w:val="0"/>
              <w:tabs>
                <w:tab w:val="left" w:pos="567"/>
              </w:tabs>
              <w:autoSpaceDE w:val="0"/>
              <w:autoSpaceDN w:val="0"/>
              <w:adjustRightInd w:val="0"/>
              <w:rPr>
                <w:b/>
                <w:bCs/>
                <w:color w:val="FF0000"/>
                <w:szCs w:val="24"/>
              </w:rPr>
            </w:pPr>
          </w:p>
          <w:p w:rsidR="00155AF4" w:rsidRPr="00A23740" w:rsidRDefault="00155AF4" w:rsidP="009431FF">
            <w:pPr>
              <w:pStyle w:val="Mavi"/>
              <w:widowControl w:val="0"/>
            </w:pPr>
            <w:r w:rsidRPr="00A23740">
              <w:t>(3)</w:t>
            </w:r>
            <w:r w:rsidRPr="00A23740">
              <w:rPr>
                <w:rStyle w:val="MaviChar"/>
              </w:rPr>
              <w:t xml:space="preserve"> </w:t>
            </w:r>
            <w:r w:rsidRPr="00A23740">
              <w:t>İtirazın iptali davasında</w:t>
            </w:r>
            <w:r w:rsidRPr="00A23740">
              <w:rPr>
                <w:color w:val="auto"/>
                <w:lang w:val="tr-TR" w:eastAsia="en-US"/>
              </w:rPr>
              <w:t xml:space="preserve"> </w:t>
            </w:r>
            <w:r w:rsidRPr="00A23740">
              <w:t xml:space="preserve">esas yönünden </w:t>
            </w:r>
            <w:r w:rsidRPr="00A23740">
              <w:rPr>
                <w:b w:val="0"/>
                <w:bCs w:val="0"/>
                <w:color w:val="auto"/>
                <w:lang w:val="tr-TR" w:eastAsia="en-US"/>
              </w:rPr>
              <w:t>itirazının</w:t>
            </w:r>
            <w:r w:rsidRPr="00A23740">
              <w:t xml:space="preserve"> </w:t>
            </w:r>
            <w:r w:rsidRPr="00A23740">
              <w:rPr>
                <w:b w:val="0"/>
                <w:bCs w:val="0"/>
                <w:color w:val="auto"/>
                <w:lang w:val="tr-TR" w:eastAsia="en-US"/>
              </w:rPr>
              <w:t>haksızlığına karar</w:t>
            </w:r>
            <w:r w:rsidRPr="00A23740">
              <w:t xml:space="preserve"> verilen </w:t>
            </w:r>
            <w:r w:rsidRPr="00A23740">
              <w:rPr>
                <w:b w:val="0"/>
                <w:bCs w:val="0"/>
                <w:color w:val="auto"/>
                <w:lang w:val="tr-TR" w:eastAsia="en-US"/>
              </w:rPr>
              <w:t>borçlu</w:t>
            </w:r>
            <w:r w:rsidRPr="00A23740">
              <w:rPr>
                <w:lang w:val="tr-TR" w:eastAsia="en-US"/>
              </w:rPr>
              <w:t>,</w:t>
            </w:r>
            <w:r w:rsidRPr="00A23740">
              <w:t xml:space="preserve"> alacaklının talebi üzerine, hükmolunan alacak miktarının yüzde </w:t>
            </w:r>
            <w:r w:rsidR="00403FEB" w:rsidRPr="006D2E3C">
              <w:t>yirmisinden</w:t>
            </w:r>
            <w:r w:rsidRPr="00A23740">
              <w:rPr>
                <w:lang w:val="tr-TR"/>
              </w:rPr>
              <w:t xml:space="preserve"> </w:t>
            </w:r>
            <w:r w:rsidRPr="00A23740">
              <w:t>aşağı olmamak üzere icra ink</w:t>
            </w:r>
            <w:r w:rsidR="0016673E" w:rsidRPr="00A23740">
              <w:rPr>
                <w:lang w:val="tr-TR"/>
              </w:rPr>
              <w:t>â</w:t>
            </w:r>
            <w:r w:rsidRPr="00A23740">
              <w:t xml:space="preserve">r tazminatına mahkûm edilir. Bu davada </w:t>
            </w:r>
            <w:r w:rsidRPr="00A23740">
              <w:rPr>
                <w:b w:val="0"/>
                <w:bCs w:val="0"/>
                <w:color w:val="auto"/>
                <w:lang w:val="tr-TR" w:eastAsia="en-US"/>
              </w:rPr>
              <w:t xml:space="preserve">takibinde haksız ve </w:t>
            </w:r>
            <w:r w:rsidRPr="00A23740">
              <w:t xml:space="preserve">kötüniyetli olduğu </w:t>
            </w:r>
            <w:r w:rsidRPr="00A23740">
              <w:rPr>
                <w:b w:val="0"/>
                <w:bCs w:val="0"/>
                <w:color w:val="auto"/>
                <w:lang w:val="tr-TR" w:eastAsia="en-US"/>
              </w:rPr>
              <w:t>görülürse alacaklı</w:t>
            </w:r>
            <w:r w:rsidRPr="00A23740">
              <w:rPr>
                <w:lang w:val="tr-TR" w:eastAsia="en-US"/>
              </w:rPr>
              <w:t>,</w:t>
            </w:r>
            <w:r w:rsidRPr="00A23740">
              <w:t xml:space="preserve"> borçlunun </w:t>
            </w:r>
            <w:r w:rsidRPr="00A23740">
              <w:rPr>
                <w:b w:val="0"/>
                <w:bCs w:val="0"/>
                <w:color w:val="auto"/>
                <w:lang w:val="tr-TR" w:eastAsia="en-US"/>
              </w:rPr>
              <w:t>talebi üzerine</w:t>
            </w:r>
            <w:r w:rsidRPr="00A23740">
              <w:rPr>
                <w:lang w:val="tr-TR" w:eastAsia="en-US"/>
              </w:rPr>
              <w:t>,</w:t>
            </w:r>
            <w:r w:rsidRPr="00A23740">
              <w:t xml:space="preserve"> reddedilen alacak miktarının </w:t>
            </w:r>
            <w:r w:rsidRPr="00A23740">
              <w:rPr>
                <w:b w:val="0"/>
                <w:bCs w:val="0"/>
                <w:color w:val="auto"/>
                <w:lang w:val="tr-TR" w:eastAsia="en-US"/>
              </w:rPr>
              <w:t>yüzde yirmisinden</w:t>
            </w:r>
            <w:r w:rsidR="00143F89" w:rsidRPr="00A23740">
              <w:rPr>
                <w:b w:val="0"/>
                <w:bCs w:val="0"/>
                <w:color w:val="auto"/>
                <w:lang w:val="tr-TR" w:eastAsia="en-US"/>
              </w:rPr>
              <w:t xml:space="preserve"> </w:t>
            </w:r>
            <w:r w:rsidRPr="00A23740">
              <w:rPr>
                <w:b w:val="0"/>
                <w:bCs w:val="0"/>
                <w:color w:val="auto"/>
                <w:lang w:val="tr-TR" w:eastAsia="en-US"/>
              </w:rPr>
              <w:t>aşağı olmamak üzere</w:t>
            </w:r>
            <w:r w:rsidRPr="00A23740">
              <w:t xml:space="preserve"> kötüniyet tazminatına </w:t>
            </w:r>
            <w:r w:rsidRPr="00A23740">
              <w:rPr>
                <w:b w:val="0"/>
                <w:bCs w:val="0"/>
                <w:color w:val="auto"/>
                <w:lang w:val="tr-TR" w:eastAsia="en-US"/>
              </w:rPr>
              <w:t>mahk</w:t>
            </w:r>
            <w:r w:rsidR="00506C64" w:rsidRPr="00A23740">
              <w:rPr>
                <w:b w:val="0"/>
                <w:bCs w:val="0"/>
                <w:color w:val="auto"/>
                <w:lang w:val="tr-TR" w:eastAsia="en-US"/>
              </w:rPr>
              <w:t>û</w:t>
            </w:r>
            <w:r w:rsidRPr="00A23740">
              <w:rPr>
                <w:b w:val="0"/>
                <w:bCs w:val="0"/>
                <w:color w:val="auto"/>
                <w:lang w:val="tr-TR" w:eastAsia="en-US"/>
              </w:rPr>
              <w:t>m edilir.</w:t>
            </w:r>
          </w:p>
          <w:p w:rsidR="00403FEB" w:rsidRPr="00A23740" w:rsidRDefault="00403FEB" w:rsidP="009431FF">
            <w:pPr>
              <w:widowControl w:val="0"/>
              <w:autoSpaceDE w:val="0"/>
              <w:autoSpaceDN w:val="0"/>
              <w:adjustRightInd w:val="0"/>
              <w:rPr>
                <w:b/>
                <w:bCs/>
                <w:color w:val="0000FF"/>
                <w:szCs w:val="24"/>
              </w:rPr>
            </w:pPr>
          </w:p>
          <w:p w:rsidR="00155AF4" w:rsidRPr="00A23740" w:rsidRDefault="00155AF4" w:rsidP="009431FF">
            <w:pPr>
              <w:widowControl w:val="0"/>
              <w:autoSpaceDE w:val="0"/>
              <w:autoSpaceDN w:val="0"/>
              <w:adjustRightInd w:val="0"/>
              <w:rPr>
                <w:szCs w:val="24"/>
              </w:rPr>
            </w:pPr>
            <w:r w:rsidRPr="00A23740">
              <w:rPr>
                <w:rStyle w:val="MaviChar"/>
              </w:rPr>
              <w:t>(4)</w:t>
            </w:r>
            <w:r w:rsidRPr="00A23740">
              <w:rPr>
                <w:szCs w:val="24"/>
              </w:rPr>
              <w:t xml:space="preserve"> Bu Kanunda öngörülen icra </w:t>
            </w:r>
            <w:r w:rsidR="0016673E" w:rsidRPr="00A23740">
              <w:rPr>
                <w:szCs w:val="24"/>
              </w:rPr>
              <w:t xml:space="preserve">inkâr </w:t>
            </w:r>
            <w:r w:rsidRPr="00A23740">
              <w:rPr>
                <w:szCs w:val="24"/>
              </w:rPr>
              <w:t xml:space="preserve">tazminatı, kötü niyet tazminatı ve benzeri tazminatların tespitinde, </w:t>
            </w:r>
            <w:r w:rsidRPr="00A23740">
              <w:rPr>
                <w:rStyle w:val="MaviChar"/>
              </w:rPr>
              <w:t xml:space="preserve">borçluya yüklenecek </w:t>
            </w:r>
            <w:r w:rsidRPr="00A23740">
              <w:rPr>
                <w:rStyle w:val="MaviChar"/>
                <w:lang w:val="tr-TR"/>
              </w:rPr>
              <w:t xml:space="preserve">icra </w:t>
            </w:r>
            <w:r w:rsidRPr="00A23740">
              <w:rPr>
                <w:rStyle w:val="MaviChar"/>
              </w:rPr>
              <w:t>ink</w:t>
            </w:r>
            <w:r w:rsidR="0016673E" w:rsidRPr="00A23740">
              <w:rPr>
                <w:rStyle w:val="MaviChar"/>
                <w:lang w:val="tr-TR"/>
              </w:rPr>
              <w:t>â</w:t>
            </w:r>
            <w:r w:rsidRPr="00A23740">
              <w:rPr>
                <w:rStyle w:val="MaviChar"/>
              </w:rPr>
              <w:t>r tazminatı bakımından itiraz tarihinde</w:t>
            </w:r>
            <w:r w:rsidRPr="00A23740">
              <w:rPr>
                <w:rStyle w:val="MaviChar"/>
                <w:lang w:val="tr-TR"/>
              </w:rPr>
              <w:t xml:space="preserve"> </w:t>
            </w:r>
            <w:r w:rsidRPr="00A23740">
              <w:rPr>
                <w:rStyle w:val="MaviChar"/>
              </w:rPr>
              <w:t>itiraz ettiği miktar; alacaklıya yüklenecek kötü niyet tazminatı bakımından</w:t>
            </w:r>
            <w:r w:rsidRPr="00A23740">
              <w:rPr>
                <w:rStyle w:val="MaviChar"/>
                <w:lang w:val="tr-TR"/>
              </w:rPr>
              <w:t xml:space="preserve"> ise</w:t>
            </w:r>
            <w:r w:rsidRPr="00A23740">
              <w:rPr>
                <w:szCs w:val="24"/>
              </w:rPr>
              <w:t xml:space="preserve"> takip talebi</w:t>
            </w:r>
            <w:r w:rsidRPr="00A23740">
              <w:rPr>
                <w:b/>
                <w:bCs/>
                <w:color w:val="0000FF"/>
                <w:szCs w:val="24"/>
              </w:rPr>
              <w:t xml:space="preserve"> </w:t>
            </w:r>
            <w:r w:rsidRPr="00A23740">
              <w:rPr>
                <w:rStyle w:val="MaviChar"/>
              </w:rPr>
              <w:t>tarihindeki asıl alacak</w:t>
            </w:r>
            <w:r w:rsidRPr="00A23740">
              <w:rPr>
                <w:b/>
                <w:bCs/>
                <w:color w:val="0000FF"/>
                <w:szCs w:val="24"/>
              </w:rPr>
              <w:t xml:space="preserve"> </w:t>
            </w:r>
            <w:r w:rsidR="00CC2465" w:rsidRPr="006D2E3C">
              <w:rPr>
                <w:b/>
                <w:bCs/>
                <w:color w:val="0000FF"/>
                <w:szCs w:val="24"/>
              </w:rPr>
              <w:t>miktarı</w:t>
            </w:r>
            <w:r w:rsidR="00CC2465" w:rsidRPr="00A23740">
              <w:rPr>
                <w:b/>
                <w:bCs/>
                <w:color w:val="538135"/>
                <w:szCs w:val="24"/>
              </w:rPr>
              <w:t xml:space="preserve"> </w:t>
            </w:r>
            <w:r w:rsidRPr="00A23740">
              <w:rPr>
                <w:szCs w:val="24"/>
              </w:rPr>
              <w:t>esas alınır.</w:t>
            </w:r>
          </w:p>
          <w:p w:rsidR="001D405E" w:rsidRPr="00A23740" w:rsidRDefault="001D405E" w:rsidP="009431FF">
            <w:pPr>
              <w:widowControl w:val="0"/>
              <w:autoSpaceDE w:val="0"/>
              <w:autoSpaceDN w:val="0"/>
              <w:adjustRightInd w:val="0"/>
              <w:rPr>
                <w:b/>
                <w:bCs/>
                <w:color w:val="0000FF"/>
                <w:szCs w:val="24"/>
              </w:rPr>
            </w:pPr>
          </w:p>
          <w:p w:rsidR="00155AF4" w:rsidRPr="00A23740" w:rsidRDefault="00155AF4" w:rsidP="009431FF">
            <w:pPr>
              <w:pStyle w:val="Mavi"/>
              <w:widowControl w:val="0"/>
            </w:pPr>
            <w:r w:rsidRPr="00A23740">
              <w:t>(5) İtirazın iptali davası, itiraz tarihindeki haklılık durumuna göre karara bağlanır. İtirazdan sonra icra ve iflas</w:t>
            </w:r>
            <w:r w:rsidRPr="00A23740">
              <w:rPr>
                <w:lang w:val="tr-TR"/>
              </w:rPr>
              <w:t xml:space="preserve"> </w:t>
            </w:r>
            <w:r w:rsidRPr="00A23740">
              <w:t>dairesine yapılmış olan ödemeler icra</w:t>
            </w:r>
            <w:r w:rsidRPr="00A23740">
              <w:rPr>
                <w:lang w:val="tr-TR"/>
              </w:rPr>
              <w:t xml:space="preserve"> </w:t>
            </w:r>
            <w:r w:rsidRPr="00A23740">
              <w:t>ve iflas dairesi</w:t>
            </w:r>
            <w:r w:rsidR="00C346BD" w:rsidRPr="00A23740">
              <w:t xml:space="preserve"> tarafından dikkate alınır.</w:t>
            </w:r>
          </w:p>
          <w:p w:rsidR="00C346BD" w:rsidRPr="00A23740" w:rsidRDefault="00C346BD" w:rsidP="009431FF">
            <w:pPr>
              <w:pStyle w:val="Mavi"/>
              <w:widowControl w:val="0"/>
            </w:pPr>
          </w:p>
          <w:p w:rsidR="00155AF4" w:rsidRPr="00A23740" w:rsidRDefault="00155AF4" w:rsidP="009431FF">
            <w:pPr>
              <w:widowControl w:val="0"/>
              <w:autoSpaceDE w:val="0"/>
              <w:autoSpaceDN w:val="0"/>
              <w:adjustRightInd w:val="0"/>
              <w:rPr>
                <w:szCs w:val="24"/>
              </w:rPr>
            </w:pPr>
            <w:r w:rsidRPr="00A23740">
              <w:rPr>
                <w:rStyle w:val="MaviChar"/>
              </w:rPr>
              <w:t>(6)</w:t>
            </w:r>
            <w:r w:rsidRPr="00A23740">
              <w:rPr>
                <w:rStyle w:val="Normal--Char"/>
                <w:rFonts w:eastAsia="Calibri"/>
              </w:rPr>
              <w:t xml:space="preserve"> </w:t>
            </w:r>
            <w:r w:rsidRPr="00A23740">
              <w:rPr>
                <w:szCs w:val="24"/>
              </w:rPr>
              <w:t xml:space="preserve">İtiraz eden </w:t>
            </w:r>
            <w:r w:rsidR="00CC2465" w:rsidRPr="006D2E3C">
              <w:rPr>
                <w:b/>
                <w:bCs/>
                <w:color w:val="0000FF"/>
                <w:szCs w:val="24"/>
              </w:rPr>
              <w:t>kişi</w:t>
            </w:r>
            <w:r w:rsidR="00CC2465" w:rsidRPr="00A23740">
              <w:rPr>
                <w:color w:val="538135"/>
                <w:szCs w:val="24"/>
              </w:rPr>
              <w:t xml:space="preserve"> </w:t>
            </w:r>
            <w:r w:rsidRPr="00A23740">
              <w:rPr>
                <w:szCs w:val="24"/>
              </w:rPr>
              <w:t>veli, vasi veya mirasçı ise, borçlu hakkında tazminat</w:t>
            </w:r>
            <w:r w:rsidRPr="00A23740">
              <w:rPr>
                <w:rStyle w:val="MaviChar"/>
              </w:rPr>
              <w:t>a</w:t>
            </w:r>
            <w:r w:rsidRPr="00A23740">
              <w:rPr>
                <w:szCs w:val="24"/>
              </w:rPr>
              <w:t xml:space="preserve"> hükmolunması </w:t>
            </w:r>
            <w:r w:rsidRPr="00A23740">
              <w:rPr>
                <w:rStyle w:val="MaviChar"/>
              </w:rPr>
              <w:t>kötüniyetin</w:t>
            </w:r>
            <w:r w:rsidRPr="00A23740">
              <w:rPr>
                <w:szCs w:val="24"/>
              </w:rPr>
              <w:t xml:space="preserve"> </w:t>
            </w:r>
            <w:r w:rsidRPr="00A23740">
              <w:rPr>
                <w:rStyle w:val="MaviChar"/>
              </w:rPr>
              <w:t>ispat edilmesine</w:t>
            </w:r>
            <w:r w:rsidRPr="00A23740">
              <w:rPr>
                <w:szCs w:val="24"/>
              </w:rPr>
              <w:t xml:space="preserve"> bağlıdır.</w:t>
            </w:r>
          </w:p>
          <w:p w:rsidR="00ED361D" w:rsidRPr="00A23740" w:rsidRDefault="00ED361D" w:rsidP="009431FF">
            <w:pPr>
              <w:widowControl w:val="0"/>
              <w:autoSpaceDE w:val="0"/>
              <w:autoSpaceDN w:val="0"/>
              <w:adjustRightInd w:val="0"/>
              <w:rPr>
                <w:b/>
                <w:bCs/>
                <w:strike/>
                <w:color w:val="0000FF"/>
                <w:szCs w:val="24"/>
              </w:rPr>
            </w:pPr>
          </w:p>
          <w:p w:rsidR="00C346BD" w:rsidRPr="00A23740" w:rsidRDefault="00C346BD" w:rsidP="009431FF">
            <w:pPr>
              <w:widowControl w:val="0"/>
              <w:autoSpaceDE w:val="0"/>
              <w:autoSpaceDN w:val="0"/>
              <w:adjustRightInd w:val="0"/>
              <w:rPr>
                <w:b/>
                <w:bCs/>
                <w:strike/>
                <w:color w:val="0000FF"/>
                <w:szCs w:val="24"/>
              </w:rPr>
            </w:pPr>
          </w:p>
          <w:p w:rsidR="00C346BD" w:rsidRPr="00A23740" w:rsidRDefault="00C346BD" w:rsidP="009431FF">
            <w:pPr>
              <w:widowControl w:val="0"/>
              <w:autoSpaceDE w:val="0"/>
              <w:autoSpaceDN w:val="0"/>
              <w:adjustRightInd w:val="0"/>
              <w:rPr>
                <w:b/>
                <w:bCs/>
                <w:strike/>
                <w:color w:val="0000FF"/>
                <w:szCs w:val="24"/>
              </w:rPr>
            </w:pPr>
          </w:p>
          <w:p w:rsidR="00155AF4" w:rsidRPr="00A23740" w:rsidRDefault="00155AF4" w:rsidP="009431FF">
            <w:pPr>
              <w:widowControl w:val="0"/>
              <w:autoSpaceDE w:val="0"/>
              <w:autoSpaceDN w:val="0"/>
              <w:adjustRightInd w:val="0"/>
              <w:rPr>
                <w:b/>
                <w:bCs/>
                <w:color w:val="0000FF"/>
                <w:szCs w:val="24"/>
              </w:rPr>
            </w:pPr>
            <w:r w:rsidRPr="00A23740">
              <w:rPr>
                <w:rStyle w:val="MaviChar"/>
              </w:rPr>
              <w:t>(7)</w:t>
            </w:r>
            <w:r w:rsidRPr="00A23740">
              <w:rPr>
                <w:b/>
                <w:bCs/>
                <w:color w:val="0000FF"/>
                <w:szCs w:val="24"/>
              </w:rPr>
              <w:t xml:space="preserve"> </w:t>
            </w:r>
            <w:r w:rsidRPr="00A23740">
              <w:rPr>
                <w:rStyle w:val="Normal--Char"/>
                <w:rFonts w:eastAsia="Calibri"/>
              </w:rPr>
              <w:t xml:space="preserve">Birinci fıkrada yazılı itirazın iptali süresini geçiren alacaklının, </w:t>
            </w:r>
            <w:r w:rsidRPr="00A23740">
              <w:rPr>
                <w:rStyle w:val="MaviChar"/>
              </w:rPr>
              <w:t>genel</w:t>
            </w:r>
            <w:r w:rsidRPr="00A23740">
              <w:rPr>
                <w:rStyle w:val="Normal--Char"/>
                <w:rFonts w:eastAsia="Calibri"/>
              </w:rPr>
              <w:t xml:space="preserve"> hükümler dairesinde alacağını dava etme hakkı saklıdır.</w:t>
            </w:r>
          </w:p>
          <w:p w:rsidR="00155AF4" w:rsidRPr="00A23740" w:rsidRDefault="00155AF4" w:rsidP="009431FF">
            <w:pPr>
              <w:widowControl w:val="0"/>
              <w:autoSpaceDE w:val="0"/>
              <w:autoSpaceDN w:val="0"/>
              <w:adjustRightInd w:val="0"/>
              <w:rPr>
                <w:b/>
                <w:bCs/>
                <w:color w:val="0000FF"/>
                <w:szCs w:val="24"/>
              </w:rPr>
            </w:pPr>
          </w:p>
          <w:p w:rsidR="00155AF4" w:rsidRPr="00A23740" w:rsidRDefault="00155AF4" w:rsidP="009431FF">
            <w:pPr>
              <w:pStyle w:val="Mavi"/>
              <w:widowControl w:val="0"/>
            </w:pPr>
            <w:r w:rsidRPr="00A23740">
              <w:t>(8) Süresi içinde itirazın iptali istenilmediği takdirde</w:t>
            </w:r>
            <w:r w:rsidRPr="00A23740">
              <w:rPr>
                <w:lang w:val="tr-TR"/>
              </w:rPr>
              <w:t xml:space="preserve"> </w:t>
            </w:r>
            <w:r w:rsidRPr="00A23740">
              <w:t>takip düşer ve yeniden ilamsız takip yapılamaz.</w:t>
            </w:r>
          </w:p>
          <w:p w:rsidR="00155AF4" w:rsidRPr="00A23740" w:rsidRDefault="00155AF4" w:rsidP="009431FF">
            <w:pPr>
              <w:widowControl w:val="0"/>
              <w:autoSpaceDE w:val="0"/>
              <w:autoSpaceDN w:val="0"/>
              <w:adjustRightInd w:val="0"/>
              <w:rPr>
                <w:b/>
                <w:bCs/>
                <w:color w:val="0000FF"/>
                <w:szCs w:val="24"/>
              </w:rPr>
            </w:pPr>
          </w:p>
          <w:p w:rsidR="00155AF4" w:rsidRPr="00A23740" w:rsidRDefault="00155AF4" w:rsidP="009431FF">
            <w:pPr>
              <w:pStyle w:val="Mavi"/>
              <w:widowControl w:val="0"/>
              <w:rPr>
                <w:lang w:val="tr-TR"/>
              </w:rPr>
            </w:pPr>
            <w:r w:rsidRPr="00A23740">
              <w:t>(9) Mahkemece itirazın iptaline karar verilmesi h</w:t>
            </w:r>
            <w:r w:rsidR="006E24BA" w:rsidRPr="00A23740">
              <w:rPr>
                <w:lang w:val="tr-TR"/>
              </w:rPr>
              <w:t>â</w:t>
            </w:r>
            <w:r w:rsidRPr="00A23740">
              <w:t xml:space="preserve">linde, </w:t>
            </w:r>
            <w:r w:rsidR="00C21C2C" w:rsidRPr="006D2E3C">
              <w:t>borçlu</w:t>
            </w:r>
            <w:r w:rsidR="00C21C2C" w:rsidRPr="00A23740">
              <w:rPr>
                <w:color w:val="538135"/>
              </w:rPr>
              <w:t xml:space="preserve"> </w:t>
            </w:r>
            <w:r w:rsidRPr="00A23740">
              <w:t xml:space="preserve">bu kararın </w:t>
            </w:r>
            <w:r w:rsidR="00C21C2C" w:rsidRPr="006D2E3C">
              <w:t>kendisine</w:t>
            </w:r>
            <w:r w:rsidR="00C21C2C" w:rsidRPr="00A23740">
              <w:rPr>
                <w:color w:val="538135"/>
              </w:rPr>
              <w:t xml:space="preserve"> </w:t>
            </w:r>
            <w:r w:rsidRPr="00A23740">
              <w:t xml:space="preserve">tebliğinden itibaren iki hafta içinde </w:t>
            </w:r>
            <w:r w:rsidR="006E24BA" w:rsidRPr="006D2E3C">
              <w:rPr>
                <w:rStyle w:val="KonuBalChar"/>
                <w:rFonts w:eastAsia="Calibri"/>
                <w:b/>
                <w:color w:val="0000FF"/>
              </w:rPr>
              <w:t>154</w:t>
            </w:r>
            <w:r w:rsidR="006E24BA" w:rsidRPr="00A23740">
              <w:rPr>
                <w:rStyle w:val="KonuBalChar"/>
                <w:rFonts w:eastAsia="Calibri"/>
                <w:b/>
              </w:rPr>
              <w:t xml:space="preserve"> </w:t>
            </w:r>
            <w:r w:rsidR="006E24BA" w:rsidRPr="006D2E3C">
              <w:rPr>
                <w:rStyle w:val="KonuBalChar"/>
                <w:rFonts w:eastAsia="Calibri"/>
                <w:b/>
                <w:color w:val="0000FF"/>
              </w:rPr>
              <w:t>üncü</w:t>
            </w:r>
            <w:r w:rsidRPr="00A23740">
              <w:t xml:space="preserve"> </w:t>
            </w:r>
            <w:r w:rsidRPr="00A23740">
              <w:rPr>
                <w:rStyle w:val="KIRMIZIChar"/>
                <w:rFonts w:eastAsia="Calibri"/>
                <w:b/>
                <w:strike w:val="0"/>
              </w:rPr>
              <w:t xml:space="preserve"> </w:t>
            </w:r>
            <w:r w:rsidRPr="00A23740">
              <w:t>madde</w:t>
            </w:r>
            <w:r w:rsidR="00094D74" w:rsidRPr="00A23740">
              <w:t xml:space="preserve">ye </w:t>
            </w:r>
            <w:r w:rsidRPr="00A23740">
              <w:t xml:space="preserve">göre mal </w:t>
            </w:r>
            <w:r w:rsidRPr="00A23740">
              <w:rPr>
                <w:rStyle w:val="MaviChar"/>
                <w:b/>
                <w:bCs/>
              </w:rPr>
              <w:t>beyanında</w:t>
            </w:r>
            <w:r w:rsidRPr="00A23740">
              <w:t xml:space="preserve"> bulunmak zorundadır.</w:t>
            </w:r>
            <w:r w:rsidR="00D91B03" w:rsidRPr="00A23740">
              <w:rPr>
                <w:lang w:val="tr-TR"/>
              </w:rPr>
              <w:t xml:space="preserve"> </w:t>
            </w:r>
          </w:p>
          <w:p w:rsidR="00155AF4" w:rsidRPr="00A23740" w:rsidRDefault="00155AF4" w:rsidP="009431FF">
            <w:pPr>
              <w:widowControl w:val="0"/>
              <w:autoSpaceDE w:val="0"/>
              <w:autoSpaceDN w:val="0"/>
              <w:adjustRightInd w:val="0"/>
              <w:rPr>
                <w:b/>
                <w:bCs/>
                <w:szCs w:val="24"/>
              </w:rPr>
            </w:pPr>
          </w:p>
        </w:tc>
      </w:tr>
      <w:tr w:rsidR="00155AF4" w:rsidRPr="00A23740" w:rsidTr="009431FF">
        <w:tc>
          <w:tcPr>
            <w:tcW w:w="5000" w:type="pct"/>
            <w:gridSpan w:val="2"/>
            <w:shd w:val="clear" w:color="auto" w:fill="DEEAF6"/>
          </w:tcPr>
          <w:p w:rsidR="00793B44" w:rsidRPr="00A23740" w:rsidRDefault="00793B44" w:rsidP="009431FF">
            <w:pPr>
              <w:tabs>
                <w:tab w:val="left" w:pos="567"/>
              </w:tabs>
              <w:autoSpaceDE w:val="0"/>
              <w:autoSpaceDN w:val="0"/>
              <w:adjustRightInd w:val="0"/>
              <w:rPr>
                <w:szCs w:val="24"/>
              </w:rPr>
            </w:pPr>
          </w:p>
          <w:p w:rsidR="00DB2C16" w:rsidRPr="00A23740" w:rsidRDefault="00E80F7E" w:rsidP="009431FF">
            <w:pPr>
              <w:tabs>
                <w:tab w:val="left" w:pos="567"/>
              </w:tabs>
              <w:autoSpaceDE w:val="0"/>
              <w:autoSpaceDN w:val="0"/>
              <w:adjustRightInd w:val="0"/>
              <w:ind w:firstLine="709"/>
              <w:rPr>
                <w:szCs w:val="24"/>
              </w:rPr>
            </w:pPr>
            <w:r w:rsidRPr="00A23740">
              <w:rPr>
                <w:b/>
                <w:szCs w:val="24"/>
              </w:rPr>
              <w:t>MADDE 96</w:t>
            </w:r>
            <w:r w:rsidR="00155AF4" w:rsidRPr="00A23740">
              <w:rPr>
                <w:b/>
                <w:szCs w:val="24"/>
              </w:rPr>
              <w:t>-</w:t>
            </w:r>
            <w:r w:rsidR="00155AF4" w:rsidRPr="00A23740">
              <w:rPr>
                <w:szCs w:val="24"/>
              </w:rPr>
              <w:t xml:space="preserve"> </w:t>
            </w:r>
            <w:r w:rsidRPr="00A23740">
              <w:rPr>
                <w:szCs w:val="24"/>
              </w:rPr>
              <w:t xml:space="preserve">Maddeyle, ilamsız takipte itirazın iptali düzenlenmektedir. </w:t>
            </w:r>
            <w:r w:rsidR="00DB2C16" w:rsidRPr="00A23740">
              <w:rPr>
                <w:szCs w:val="24"/>
              </w:rPr>
              <w:t xml:space="preserve">Taslağın 96 ncı maddesi “İtirazın iptali” başlığını taşımakta olup </w:t>
            </w:r>
            <w:r w:rsidRPr="00A23740">
              <w:rPr>
                <w:szCs w:val="24"/>
              </w:rPr>
              <w:t>2004 sayılı Kanunun</w:t>
            </w:r>
            <w:r w:rsidR="00DB2C16" w:rsidRPr="00A23740">
              <w:rPr>
                <w:szCs w:val="24"/>
              </w:rPr>
              <w:t xml:space="preserve"> 67 nci maddesine karşılık gelmektedir. Ancak bu kanun hükmünde es</w:t>
            </w:r>
            <w:r w:rsidRPr="00A23740">
              <w:rPr>
                <w:szCs w:val="24"/>
              </w:rPr>
              <w:t>aslı değişiklikler yapılmıştır.</w:t>
            </w:r>
          </w:p>
          <w:p w:rsidR="00DB2C16" w:rsidRPr="00A23740" w:rsidRDefault="00DB2C16" w:rsidP="009431FF">
            <w:pPr>
              <w:tabs>
                <w:tab w:val="left" w:pos="567"/>
              </w:tabs>
              <w:autoSpaceDE w:val="0"/>
              <w:autoSpaceDN w:val="0"/>
              <w:adjustRightInd w:val="0"/>
              <w:ind w:firstLine="709"/>
              <w:rPr>
                <w:szCs w:val="24"/>
              </w:rPr>
            </w:pPr>
            <w:r w:rsidRPr="00A23740">
              <w:rPr>
                <w:szCs w:val="24"/>
              </w:rPr>
              <w:t>İtirazın iptali davası, Taslak</w:t>
            </w:r>
            <w:r w:rsidR="00AA2E45" w:rsidRPr="006D2E3C">
              <w:rPr>
                <w:szCs w:val="24"/>
              </w:rPr>
              <w:t>ta</w:t>
            </w:r>
            <w:r w:rsidRPr="00A23740">
              <w:rPr>
                <w:szCs w:val="24"/>
              </w:rPr>
              <w:t xml:space="preserve"> borçlunun itirazının hükümden düşürülmesi, başka bir ifadeyle borçlunun itirazıyla duran takibin yeniden harekete geçirilerek haciz talep edilebilmesi için başvurulabilecek tek yol h</w:t>
            </w:r>
            <w:r w:rsidR="00AA2E45" w:rsidRPr="00A23740">
              <w:rPr>
                <w:szCs w:val="24"/>
              </w:rPr>
              <w:t>â</w:t>
            </w:r>
            <w:r w:rsidRPr="00A23740">
              <w:rPr>
                <w:szCs w:val="24"/>
              </w:rPr>
              <w:t xml:space="preserve">line gelmekte; </w:t>
            </w:r>
            <w:r w:rsidR="00E41AAB" w:rsidRPr="00A23740">
              <w:rPr>
                <w:szCs w:val="24"/>
              </w:rPr>
              <w:t xml:space="preserve">2004 sayılı Kanunda </w:t>
            </w:r>
            <w:r w:rsidRPr="00A23740">
              <w:rPr>
                <w:szCs w:val="24"/>
              </w:rPr>
              <w:t>yer alan itirazın icra hukuk mahkemesi kararıyla kaldırılması usulü ilga edilmektedir.</w:t>
            </w:r>
          </w:p>
          <w:p w:rsidR="00DB2C16" w:rsidRPr="00A23740" w:rsidRDefault="00E80F7E" w:rsidP="009431FF">
            <w:pPr>
              <w:tabs>
                <w:tab w:val="left" w:pos="567"/>
              </w:tabs>
              <w:autoSpaceDE w:val="0"/>
              <w:autoSpaceDN w:val="0"/>
              <w:adjustRightInd w:val="0"/>
              <w:ind w:firstLine="709"/>
              <w:rPr>
                <w:szCs w:val="24"/>
              </w:rPr>
            </w:pPr>
            <w:r w:rsidRPr="00A23740">
              <w:rPr>
                <w:szCs w:val="24"/>
              </w:rPr>
              <w:t>İlk olarak maddenin bir</w:t>
            </w:r>
            <w:r w:rsidR="00DB2C16" w:rsidRPr="00A23740">
              <w:rPr>
                <w:szCs w:val="24"/>
              </w:rPr>
              <w:t>inci fıkrasında takibine itiraz edilen alacaklının, itirazın tebliği tarihinden itibaren altı ay içinde mahkemeye başvurarak genel hükümlere göre itirazın iptali için dava açabileceği düzenlenmiştir ki, böylece itirazın tebliğinden itibaren bir yıl olan itirazın iptali davası s</w:t>
            </w:r>
            <w:r w:rsidRPr="00A23740">
              <w:rPr>
                <w:szCs w:val="24"/>
              </w:rPr>
              <w:t>üresi altı aya indirilmektedir.</w:t>
            </w:r>
          </w:p>
          <w:p w:rsidR="00DB2C16" w:rsidRPr="00A23740" w:rsidRDefault="00E80F7E" w:rsidP="009431FF">
            <w:pPr>
              <w:tabs>
                <w:tab w:val="left" w:pos="567"/>
              </w:tabs>
              <w:autoSpaceDE w:val="0"/>
              <w:autoSpaceDN w:val="0"/>
              <w:adjustRightInd w:val="0"/>
              <w:ind w:firstLine="709"/>
              <w:rPr>
                <w:szCs w:val="24"/>
              </w:rPr>
            </w:pPr>
            <w:r w:rsidRPr="00A23740">
              <w:rPr>
                <w:szCs w:val="24"/>
              </w:rPr>
              <w:t>Maddenin ikinci</w:t>
            </w:r>
            <w:r w:rsidR="00DB2C16" w:rsidRPr="00A23740">
              <w:rPr>
                <w:szCs w:val="24"/>
              </w:rPr>
              <w:t xml:space="preserve"> fıkrasında itirazın iptali davasının, takibin yapıldığı icra ve iflas dairesinin bulunduğu yer veya davalının yerleşim yeri mahkemesinde açılabileceği ve görevli mahkemenin, genel hükümlere göre belirleneceği açıklığa kavuşturulmuştur. Bu hükme nazaran, itirazın iptali davasında görevli mahkeme, </w:t>
            </w:r>
            <w:r w:rsidR="00E41AAB" w:rsidRPr="00A23740">
              <w:rPr>
                <w:szCs w:val="24"/>
              </w:rPr>
              <w:t>2004 sayılı Kanun</w:t>
            </w:r>
            <w:r w:rsidR="00F63BB3" w:rsidRPr="00A23740">
              <w:rPr>
                <w:szCs w:val="24"/>
              </w:rPr>
              <w:t xml:space="preserve">a ilişkin </w:t>
            </w:r>
            <w:r w:rsidR="00DB2C16" w:rsidRPr="00A23740">
              <w:rPr>
                <w:szCs w:val="24"/>
              </w:rPr>
              <w:t>uygulamada olduğu gibi, sulh hukuk mahkemesi, asliye hukuk mahkemesi veya asliye ticaret mahkemesi ya da diğer özel görevli mahkemelerden biri olabilecektir.</w:t>
            </w:r>
          </w:p>
          <w:p w:rsidR="00DB2C16" w:rsidRPr="00A23740" w:rsidRDefault="00E80F7E" w:rsidP="009431FF">
            <w:pPr>
              <w:tabs>
                <w:tab w:val="left" w:pos="567"/>
              </w:tabs>
              <w:autoSpaceDE w:val="0"/>
              <w:autoSpaceDN w:val="0"/>
              <w:adjustRightInd w:val="0"/>
              <w:ind w:firstLine="709"/>
              <w:rPr>
                <w:szCs w:val="24"/>
              </w:rPr>
            </w:pPr>
            <w:r w:rsidRPr="00A23740">
              <w:rPr>
                <w:szCs w:val="24"/>
              </w:rPr>
              <w:t>Maddenin üç</w:t>
            </w:r>
            <w:r w:rsidR="00DB2C16" w:rsidRPr="00A23740">
              <w:rPr>
                <w:szCs w:val="24"/>
              </w:rPr>
              <w:t xml:space="preserve">üncü fıkrasında itirazın iptali davasında esas yönünden itirazının haksızlığına karar verilen borçlunun, alacaklının talebi üzerine, hükmolunan alacak miktarının yüzde </w:t>
            </w:r>
            <w:r w:rsidR="00403FEB" w:rsidRPr="00D3397C">
              <w:rPr>
                <w:szCs w:val="24"/>
              </w:rPr>
              <w:t>yimisinden</w:t>
            </w:r>
            <w:r w:rsidR="00403FEB" w:rsidRPr="00A23740">
              <w:rPr>
                <w:b/>
                <w:szCs w:val="24"/>
              </w:rPr>
              <w:t xml:space="preserve"> </w:t>
            </w:r>
            <w:r w:rsidR="00DB2C16" w:rsidRPr="00A23740">
              <w:rPr>
                <w:szCs w:val="24"/>
              </w:rPr>
              <w:t>aşağı olmamak üzere icra ink</w:t>
            </w:r>
            <w:r w:rsidR="0016673E" w:rsidRPr="00A23740">
              <w:rPr>
                <w:szCs w:val="24"/>
              </w:rPr>
              <w:t>â</w:t>
            </w:r>
            <w:r w:rsidR="00DB2C16" w:rsidRPr="00A23740">
              <w:rPr>
                <w:szCs w:val="24"/>
              </w:rPr>
              <w:t xml:space="preserve">r tazminatına mahkûm edileceği; bu davada takibinde haksız ve kötüniyetli olduğu görülen alacaklının </w:t>
            </w:r>
            <w:r w:rsidR="00143F89" w:rsidRPr="00A23740">
              <w:rPr>
                <w:szCs w:val="24"/>
              </w:rPr>
              <w:t>da</w:t>
            </w:r>
            <w:r w:rsidR="00DB2C16" w:rsidRPr="00A23740">
              <w:rPr>
                <w:szCs w:val="24"/>
              </w:rPr>
              <w:t xml:space="preserve"> borçlunun talebi üzerine, reddedilen alacak miktarının </w:t>
            </w:r>
            <w:r w:rsidR="00143F89" w:rsidRPr="00A23740">
              <w:rPr>
                <w:szCs w:val="24"/>
              </w:rPr>
              <w:t xml:space="preserve">yine </w:t>
            </w:r>
            <w:r w:rsidR="00DB2C16" w:rsidRPr="00A23740">
              <w:rPr>
                <w:szCs w:val="24"/>
              </w:rPr>
              <w:t>yüzde</w:t>
            </w:r>
            <w:r w:rsidR="00143F89" w:rsidRPr="00A23740">
              <w:rPr>
                <w:szCs w:val="24"/>
              </w:rPr>
              <w:t xml:space="preserve"> </w:t>
            </w:r>
            <w:r w:rsidR="00403FEB" w:rsidRPr="00D3397C">
              <w:t>yirmisinden</w:t>
            </w:r>
            <w:r w:rsidR="00403FEB" w:rsidRPr="00A23740">
              <w:rPr>
                <w:szCs w:val="24"/>
              </w:rPr>
              <w:t xml:space="preserve"> </w:t>
            </w:r>
            <w:r w:rsidR="00DB2C16" w:rsidRPr="00A23740">
              <w:rPr>
                <w:szCs w:val="24"/>
              </w:rPr>
              <w:t>aşağı olmamak üzere kötüniyet tazminatına mahk</w:t>
            </w:r>
            <w:r w:rsidR="00506C64" w:rsidRPr="00A23740">
              <w:rPr>
                <w:szCs w:val="24"/>
              </w:rPr>
              <w:t>û</w:t>
            </w:r>
            <w:r w:rsidR="00DB2C16" w:rsidRPr="00A23740">
              <w:rPr>
                <w:szCs w:val="24"/>
              </w:rPr>
              <w:t xml:space="preserve">m </w:t>
            </w:r>
            <w:r w:rsidR="00F63BB3" w:rsidRPr="00A23740">
              <w:rPr>
                <w:szCs w:val="24"/>
              </w:rPr>
              <w:t xml:space="preserve">edilmesi </w:t>
            </w:r>
            <w:r w:rsidR="00DB2C16" w:rsidRPr="00A23740">
              <w:rPr>
                <w:szCs w:val="24"/>
              </w:rPr>
              <w:t xml:space="preserve">öngörülmüştür. İlk cümlenin lafzından da anlaşılacağı üzere bu kanun hükmündeki tazminatlar davanın esasa ilişkin bir </w:t>
            </w:r>
            <w:r w:rsidR="006245E8" w:rsidRPr="00A23740">
              <w:rPr>
                <w:szCs w:val="24"/>
              </w:rPr>
              <w:t xml:space="preserve">hükümle </w:t>
            </w:r>
            <w:r w:rsidR="00DB2C16" w:rsidRPr="00A23740">
              <w:rPr>
                <w:szCs w:val="24"/>
              </w:rPr>
              <w:t>sona erdiği h</w:t>
            </w:r>
            <w:r w:rsidR="00AA2E45" w:rsidRPr="00A23740">
              <w:rPr>
                <w:szCs w:val="24"/>
              </w:rPr>
              <w:t>â</w:t>
            </w:r>
            <w:r w:rsidR="00DB2C16" w:rsidRPr="00A23740">
              <w:rPr>
                <w:szCs w:val="24"/>
              </w:rPr>
              <w:t>llere özgü olup, itirazın esasa ilişkin olmayan görevsizlik, yetkisizlik, davanın açılmamış sayılması gibi sebeplerle iptal edilmesi h</w:t>
            </w:r>
            <w:r w:rsidR="00AA2E45" w:rsidRPr="00A23740">
              <w:rPr>
                <w:szCs w:val="24"/>
              </w:rPr>
              <w:t>â</w:t>
            </w:r>
            <w:r w:rsidR="00DB2C16" w:rsidRPr="00A23740">
              <w:rPr>
                <w:szCs w:val="24"/>
              </w:rPr>
              <w:t>linde, mahkeme tazminata karar vermeyecektir.</w:t>
            </w:r>
          </w:p>
          <w:p w:rsidR="00DB2C16" w:rsidRPr="00A23740" w:rsidRDefault="00E80F7E" w:rsidP="009431FF">
            <w:pPr>
              <w:tabs>
                <w:tab w:val="left" w:pos="567"/>
              </w:tabs>
              <w:autoSpaceDE w:val="0"/>
              <w:autoSpaceDN w:val="0"/>
              <w:adjustRightInd w:val="0"/>
              <w:ind w:firstLine="709"/>
              <w:rPr>
                <w:szCs w:val="24"/>
              </w:rPr>
            </w:pPr>
            <w:r w:rsidRPr="00A23740">
              <w:rPr>
                <w:szCs w:val="24"/>
              </w:rPr>
              <w:t>Maddenin dörd</w:t>
            </w:r>
            <w:r w:rsidR="00DB2C16" w:rsidRPr="00A23740">
              <w:rPr>
                <w:szCs w:val="24"/>
              </w:rPr>
              <w:t xml:space="preserve">üncü fıkrasında, </w:t>
            </w:r>
            <w:r w:rsidR="00AA2E45" w:rsidRPr="00D3397C">
              <w:rPr>
                <w:szCs w:val="24"/>
              </w:rPr>
              <w:t>Taslakta</w:t>
            </w:r>
            <w:r w:rsidR="00AA2E45" w:rsidRPr="00A23740">
              <w:rPr>
                <w:szCs w:val="24"/>
              </w:rPr>
              <w:t xml:space="preserve"> </w:t>
            </w:r>
            <w:r w:rsidR="00DB2C16" w:rsidRPr="00A23740">
              <w:rPr>
                <w:szCs w:val="24"/>
              </w:rPr>
              <w:t>öngörülen icra ink</w:t>
            </w:r>
            <w:r w:rsidR="0016673E" w:rsidRPr="00A23740">
              <w:rPr>
                <w:szCs w:val="24"/>
              </w:rPr>
              <w:t>â</w:t>
            </w:r>
            <w:r w:rsidR="00DB2C16" w:rsidRPr="00A23740">
              <w:rPr>
                <w:szCs w:val="24"/>
              </w:rPr>
              <w:t>r tazminatı, kötüniyet tazminatı ve benzeri tazminatların tespitinde, borçluya yüklenecek icra ink</w:t>
            </w:r>
            <w:r w:rsidR="0016673E" w:rsidRPr="00A23740">
              <w:rPr>
                <w:szCs w:val="24"/>
              </w:rPr>
              <w:t>â</w:t>
            </w:r>
            <w:r w:rsidR="00DB2C16" w:rsidRPr="00A23740">
              <w:rPr>
                <w:szCs w:val="24"/>
              </w:rPr>
              <w:t xml:space="preserve">r tazminatı bakımından </w:t>
            </w:r>
            <w:r w:rsidR="006245E8" w:rsidRPr="00A23740">
              <w:rPr>
                <w:szCs w:val="24"/>
              </w:rPr>
              <w:t xml:space="preserve">itiraz konusu alacağın </w:t>
            </w:r>
            <w:r w:rsidR="00DB2C16" w:rsidRPr="00A23740">
              <w:rPr>
                <w:szCs w:val="24"/>
              </w:rPr>
              <w:t>itiraz tarihindeki miktarın</w:t>
            </w:r>
            <w:r w:rsidR="006245E8" w:rsidRPr="00A23740">
              <w:rPr>
                <w:szCs w:val="24"/>
              </w:rPr>
              <w:t>ın</w:t>
            </w:r>
            <w:r w:rsidR="00DB2C16" w:rsidRPr="00A23740">
              <w:rPr>
                <w:szCs w:val="24"/>
              </w:rPr>
              <w:t>; alacaklıya yüklenecek kötüniyet tazminatı bakımından ise takip talebi tarihindeki asıl alacak tutarının esas alınacağı açıklığa kavuşturulmuştur.</w:t>
            </w:r>
          </w:p>
          <w:p w:rsidR="00DB2C16" w:rsidRPr="00A23740" w:rsidRDefault="00E80F7E" w:rsidP="009431FF">
            <w:pPr>
              <w:tabs>
                <w:tab w:val="left" w:pos="567"/>
              </w:tabs>
              <w:autoSpaceDE w:val="0"/>
              <w:autoSpaceDN w:val="0"/>
              <w:adjustRightInd w:val="0"/>
              <w:ind w:firstLine="709"/>
              <w:rPr>
                <w:szCs w:val="24"/>
              </w:rPr>
            </w:pPr>
            <w:r w:rsidRPr="00A23740">
              <w:rPr>
                <w:szCs w:val="24"/>
              </w:rPr>
              <w:t>Maddenin beş</w:t>
            </w:r>
            <w:r w:rsidR="00DB2C16" w:rsidRPr="00A23740">
              <w:rPr>
                <w:szCs w:val="24"/>
              </w:rPr>
              <w:t xml:space="preserve">inci fıkrası itirazın iptali davası sürerken icra ve iflas dairesine yapılan ödemeler ve bu ödemelerin derdest davada verilen </w:t>
            </w:r>
            <w:r w:rsidR="006245E8" w:rsidRPr="00A23740">
              <w:rPr>
                <w:szCs w:val="24"/>
              </w:rPr>
              <w:t xml:space="preserve">kararda </w:t>
            </w:r>
            <w:r w:rsidR="00DB2C16" w:rsidRPr="00A23740">
              <w:rPr>
                <w:szCs w:val="24"/>
              </w:rPr>
              <w:t>dikkate alınıp alınmayacağı</w:t>
            </w:r>
            <w:r w:rsidR="006245E8" w:rsidRPr="00A23740">
              <w:rPr>
                <w:szCs w:val="24"/>
              </w:rPr>
              <w:t>yla</w:t>
            </w:r>
            <w:r w:rsidR="00DB2C16" w:rsidRPr="00A23740">
              <w:rPr>
                <w:szCs w:val="24"/>
              </w:rPr>
              <w:t xml:space="preserve"> ilgili olup</w:t>
            </w:r>
            <w:r w:rsidR="006245E8" w:rsidRPr="00A23740">
              <w:rPr>
                <w:szCs w:val="24"/>
              </w:rPr>
              <w:t>,</w:t>
            </w:r>
            <w:r w:rsidR="00DB2C16" w:rsidRPr="00A23740">
              <w:rPr>
                <w:szCs w:val="24"/>
              </w:rPr>
              <w:t xml:space="preserve"> bu hükümde itirazın iptali davasının, itiraz tarihindeki haklılık durumuna göre karara bağlanacağı; itirazdan sonra icra ve iflas dairesine yapılmış olan ödemelerin haciz ve paraya çevirme işlemlerini yapan icra ve iflas dairesi tarafından dikkate alınacağı </w:t>
            </w:r>
            <w:r w:rsidR="006245E8" w:rsidRPr="00A23740">
              <w:rPr>
                <w:szCs w:val="24"/>
              </w:rPr>
              <w:t>açıklığa kavuşturulmaktadır</w:t>
            </w:r>
            <w:r w:rsidR="00DB2C16" w:rsidRPr="00A23740">
              <w:rPr>
                <w:szCs w:val="24"/>
              </w:rPr>
              <w:t>. Davanın devam</w:t>
            </w:r>
            <w:r w:rsidR="006245E8" w:rsidRPr="00A23740">
              <w:rPr>
                <w:szCs w:val="24"/>
              </w:rPr>
              <w:t>ı</w:t>
            </w:r>
            <w:r w:rsidR="00DB2C16" w:rsidRPr="00A23740">
              <w:rPr>
                <w:szCs w:val="24"/>
              </w:rPr>
              <w:t xml:space="preserve"> </w:t>
            </w:r>
            <w:r w:rsidR="006245E8" w:rsidRPr="00A23740">
              <w:rPr>
                <w:szCs w:val="24"/>
              </w:rPr>
              <w:t xml:space="preserve">sırasında </w:t>
            </w:r>
            <w:r w:rsidR="00DB2C16" w:rsidRPr="00A23740">
              <w:rPr>
                <w:szCs w:val="24"/>
              </w:rPr>
              <w:t>veya hükme bağlanmasından sonra vuku bulabilecek haricen (icra</w:t>
            </w:r>
            <w:r w:rsidR="001647D1" w:rsidRPr="00A23740">
              <w:rPr>
                <w:color w:val="538135"/>
              </w:rPr>
              <w:t xml:space="preserve"> </w:t>
            </w:r>
            <w:r w:rsidR="001647D1" w:rsidRPr="00D3397C">
              <w:rPr>
                <w:szCs w:val="24"/>
              </w:rPr>
              <w:t>ve iflas</w:t>
            </w:r>
            <w:r w:rsidR="00DB2C16" w:rsidRPr="00A23740">
              <w:rPr>
                <w:szCs w:val="24"/>
              </w:rPr>
              <w:t xml:space="preserve"> dairesi dışında) ödemelerin ne şekilde dikkate alınacağı meselesinin çözümü ise içtihatlara bırakılmıştır.</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E80F7E" w:rsidRPr="00A23740">
              <w:rPr>
                <w:szCs w:val="24"/>
              </w:rPr>
              <w:t>altı</w:t>
            </w:r>
            <w:r w:rsidRPr="00A23740">
              <w:rPr>
                <w:szCs w:val="24"/>
              </w:rPr>
              <w:t xml:space="preserve">ncı fıkrasında </w:t>
            </w:r>
            <w:r w:rsidR="00E41AAB" w:rsidRPr="00A23740">
              <w:rPr>
                <w:szCs w:val="24"/>
              </w:rPr>
              <w:t xml:space="preserve">2004 sayılı Kanunda </w:t>
            </w:r>
            <w:r w:rsidRPr="00A23740">
              <w:rPr>
                <w:szCs w:val="24"/>
              </w:rPr>
              <w:t>olduğu gibi, ödeme emrine itiraz edenin veli, vasi veya mirasçı olması h</w:t>
            </w:r>
            <w:r w:rsidR="0016673E" w:rsidRPr="00A23740">
              <w:rPr>
                <w:szCs w:val="24"/>
              </w:rPr>
              <w:t>â</w:t>
            </w:r>
            <w:r w:rsidRPr="00A23740">
              <w:rPr>
                <w:szCs w:val="24"/>
              </w:rPr>
              <w:t>linde, borçlu hakkında tazminata hükmolunmasının kötüniyetin ispat edilmesine bağlı olduğu belirtilmektedir.</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E80F7E" w:rsidRPr="00A23740">
              <w:rPr>
                <w:szCs w:val="24"/>
              </w:rPr>
              <w:t>yedi</w:t>
            </w:r>
            <w:r w:rsidRPr="00A23740">
              <w:rPr>
                <w:szCs w:val="24"/>
              </w:rPr>
              <w:t>nci fıkrasında altı aylık itirazın iptali süresini geçiren alacaklının, genel hükümler dairesinde alacağını dava etme hakkının saklı oldu</w:t>
            </w:r>
            <w:r w:rsidR="00E80F7E" w:rsidRPr="00A23740">
              <w:rPr>
                <w:szCs w:val="24"/>
              </w:rPr>
              <w:t>ğu</w:t>
            </w:r>
            <w:r w:rsidR="006245E8" w:rsidRPr="00A23740">
              <w:rPr>
                <w:szCs w:val="24"/>
              </w:rPr>
              <w:t xml:space="preserve"> açıklanmaktadır</w:t>
            </w:r>
            <w:r w:rsidR="00E80F7E" w:rsidRPr="00A23740">
              <w:rPr>
                <w:szCs w:val="24"/>
              </w:rPr>
              <w:t>.</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E80F7E" w:rsidRPr="00A23740">
              <w:rPr>
                <w:szCs w:val="24"/>
              </w:rPr>
              <w:t>sekiz</w:t>
            </w:r>
            <w:r w:rsidRPr="00A23740">
              <w:rPr>
                <w:szCs w:val="24"/>
              </w:rPr>
              <w:t>inci fıkrasında ise altı aylık süre içinde itirazın iptali istenilmediği takdirde takibin düşeceği ve yeniden ilamsız takip yapılamayacağı hükme bağlanmaktadır ki</w:t>
            </w:r>
            <w:r w:rsidR="006245E8" w:rsidRPr="00A23740">
              <w:rPr>
                <w:szCs w:val="24"/>
              </w:rPr>
              <w:t>,</w:t>
            </w:r>
            <w:r w:rsidRPr="00A23740">
              <w:rPr>
                <w:szCs w:val="24"/>
              </w:rPr>
              <w:t xml:space="preserve"> bu hüküm, </w:t>
            </w:r>
            <w:r w:rsidR="00E41AAB" w:rsidRPr="00A23740">
              <w:rPr>
                <w:szCs w:val="24"/>
              </w:rPr>
              <w:t xml:space="preserve">2004 sayılı Kanunun </w:t>
            </w:r>
            <w:r w:rsidRPr="00A23740">
              <w:rPr>
                <w:szCs w:val="24"/>
              </w:rPr>
              <w:t>itirazın kaldırılması</w:t>
            </w:r>
            <w:r w:rsidR="006245E8" w:rsidRPr="00A23740">
              <w:rPr>
                <w:szCs w:val="24"/>
              </w:rPr>
              <w:t>yla</w:t>
            </w:r>
            <w:r w:rsidRPr="00A23740">
              <w:rPr>
                <w:szCs w:val="24"/>
              </w:rPr>
              <w:t xml:space="preserve"> ilgili </w:t>
            </w:r>
            <w:r w:rsidR="00E41AAB" w:rsidRPr="00A23740">
              <w:rPr>
                <w:szCs w:val="24"/>
              </w:rPr>
              <w:t>68 inci madde</w:t>
            </w:r>
            <w:r w:rsidR="006245E8" w:rsidRPr="00A23740">
              <w:rPr>
                <w:szCs w:val="24"/>
              </w:rPr>
              <w:t>si</w:t>
            </w:r>
            <w:r w:rsidR="00E41AAB" w:rsidRPr="00A23740">
              <w:rPr>
                <w:szCs w:val="24"/>
              </w:rPr>
              <w:t xml:space="preserve">nin birinci fıkrasındaki </w:t>
            </w:r>
            <w:r w:rsidRPr="00A23740">
              <w:rPr>
                <w:szCs w:val="24"/>
              </w:rPr>
              <w:t xml:space="preserve">kuralın </w:t>
            </w:r>
            <w:r w:rsidR="006245E8" w:rsidRPr="00A23740">
              <w:rPr>
                <w:szCs w:val="24"/>
              </w:rPr>
              <w:t xml:space="preserve">Taslak </w:t>
            </w:r>
            <w:r w:rsidRPr="00A23740">
              <w:rPr>
                <w:szCs w:val="24"/>
              </w:rPr>
              <w:t>sistemine uyarlanmış şeklini ifade etmektedir.</w:t>
            </w:r>
          </w:p>
          <w:p w:rsidR="00E91409" w:rsidRDefault="00E80F7E" w:rsidP="009431FF">
            <w:pPr>
              <w:tabs>
                <w:tab w:val="left" w:pos="567"/>
              </w:tabs>
              <w:autoSpaceDE w:val="0"/>
              <w:autoSpaceDN w:val="0"/>
              <w:adjustRightInd w:val="0"/>
              <w:ind w:firstLine="709"/>
              <w:rPr>
                <w:szCs w:val="24"/>
              </w:rPr>
            </w:pPr>
            <w:r w:rsidRPr="00A23740">
              <w:rPr>
                <w:szCs w:val="24"/>
              </w:rPr>
              <w:t xml:space="preserve">2004 sayılı Kanunda </w:t>
            </w:r>
            <w:r w:rsidR="00DB2C16" w:rsidRPr="00A23740">
              <w:rPr>
                <w:szCs w:val="24"/>
              </w:rPr>
              <w:t xml:space="preserve">karşılığı bulunmayan </w:t>
            </w:r>
            <w:r w:rsidRPr="00A23740">
              <w:rPr>
                <w:szCs w:val="24"/>
              </w:rPr>
              <w:t>dokuzuncu</w:t>
            </w:r>
            <w:r w:rsidR="00DB2C16" w:rsidRPr="00A23740">
              <w:rPr>
                <w:szCs w:val="24"/>
              </w:rPr>
              <w:t xml:space="preserve"> fıkrada mahkemece itirazın iptaline karar verilmesi h</w:t>
            </w:r>
            <w:r w:rsidR="00AA2E45" w:rsidRPr="00A23740">
              <w:rPr>
                <w:szCs w:val="24"/>
              </w:rPr>
              <w:t>â</w:t>
            </w:r>
            <w:r w:rsidR="00DB2C16" w:rsidRPr="00A23740">
              <w:rPr>
                <w:szCs w:val="24"/>
              </w:rPr>
              <w:t xml:space="preserve">linde, borçlunun kararın </w:t>
            </w:r>
            <w:r w:rsidR="005F30CB" w:rsidRPr="00D3397C">
              <w:rPr>
                <w:szCs w:val="24"/>
              </w:rPr>
              <w:t>kendisine</w:t>
            </w:r>
            <w:r w:rsidR="005F30CB" w:rsidRPr="00A23740">
              <w:rPr>
                <w:szCs w:val="24"/>
              </w:rPr>
              <w:t xml:space="preserve"> </w:t>
            </w:r>
            <w:r w:rsidR="00DB2C16" w:rsidRPr="00A23740">
              <w:rPr>
                <w:szCs w:val="24"/>
              </w:rPr>
              <w:t xml:space="preserve">tebliğinden itibaren iki hafta içinde </w:t>
            </w:r>
            <w:r w:rsidR="00AA2E45" w:rsidRPr="00D3397C">
              <w:rPr>
                <w:szCs w:val="24"/>
              </w:rPr>
              <w:t>154</w:t>
            </w:r>
            <w:r w:rsidR="00AA2E45" w:rsidRPr="00D3397C">
              <w:rPr>
                <w:b/>
                <w:bCs/>
                <w:szCs w:val="24"/>
              </w:rPr>
              <w:t xml:space="preserve"> </w:t>
            </w:r>
            <w:r w:rsidR="00AA2E45" w:rsidRPr="00D3397C">
              <w:rPr>
                <w:szCs w:val="24"/>
              </w:rPr>
              <w:t>üncü</w:t>
            </w:r>
            <w:r w:rsidR="00AA2E45" w:rsidRPr="00A23740">
              <w:rPr>
                <w:szCs w:val="24"/>
              </w:rPr>
              <w:t xml:space="preserve"> </w:t>
            </w:r>
            <w:r w:rsidR="00DB2C16" w:rsidRPr="00A23740">
              <w:rPr>
                <w:szCs w:val="24"/>
              </w:rPr>
              <w:t>ve</w:t>
            </w:r>
            <w:r w:rsidR="00793B44" w:rsidRPr="00A23740">
              <w:rPr>
                <w:szCs w:val="24"/>
              </w:rPr>
              <w:t xml:space="preserve"> </w:t>
            </w:r>
            <w:r w:rsidR="00793B44" w:rsidRPr="00D3397C">
              <w:rPr>
                <w:szCs w:val="24"/>
              </w:rPr>
              <w:t>155</w:t>
            </w:r>
            <w:r w:rsidR="00793B44" w:rsidRPr="00D3397C">
              <w:rPr>
                <w:b/>
                <w:bCs/>
                <w:szCs w:val="24"/>
              </w:rPr>
              <w:t xml:space="preserve"> </w:t>
            </w:r>
            <w:r w:rsidR="00793B44" w:rsidRPr="00D3397C">
              <w:rPr>
                <w:szCs w:val="24"/>
              </w:rPr>
              <w:t>inci</w:t>
            </w:r>
            <w:r w:rsidR="00DB2C16" w:rsidRPr="00A23740">
              <w:rPr>
                <w:szCs w:val="24"/>
              </w:rPr>
              <w:t xml:space="preserve"> madde</w:t>
            </w:r>
            <w:r w:rsidR="006245E8" w:rsidRPr="00A23740">
              <w:rPr>
                <w:szCs w:val="24"/>
              </w:rPr>
              <w:t>ler</w:t>
            </w:r>
            <w:r w:rsidR="00DB2C16" w:rsidRPr="00A23740">
              <w:rPr>
                <w:szCs w:val="24"/>
              </w:rPr>
              <w:t xml:space="preserve"> hükümlerine göre mal beyanında bulunmak zorunda olduğu ifade olunmaktadır.</w:t>
            </w:r>
          </w:p>
          <w:p w:rsidR="003047A5" w:rsidRPr="00A23740" w:rsidRDefault="003047A5" w:rsidP="009431FF">
            <w:pPr>
              <w:tabs>
                <w:tab w:val="left" w:pos="567"/>
              </w:tabs>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b) İtirazın kesin olarak kaldırılması:</w:t>
            </w: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Madde 68 – (1) (Değişik: 18/2/1965 - 538/38 md.)</w:t>
            </w: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(Değişik birinci fıkra: 17/7/2003-4949/16 md.) Talebine itiraz edilen alacaklının takibi, imzası ikrar veya noterlikçe tasdik edilen borç ikrarını içeren bir senede yahut resmî dairelerin veya yetkili makamların yetkileri dahilinde ve usulüne göre verdikleri bir makbuz veya belgeye müstenitse, alacaklı itirazın kendisine tebliği tarihinden itibaren altı ay içinde itirazın kaldırılmasını isteyebilir. Bu süre içerisinde itirazın kaldırılması istenilmediği takdirde yeniden ilâmsız takip yapılamaz.</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(2) Borçlu itirazını varit gösterecek hiçbir belge ibraz edemezse icra mahkemesi itirazın kaldırılmasına karar verir.</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(3) İtiraz birinci fıkrada gösterilen senet veya makbuz yahut belgeye müstenit ise itirazın kaldırılması talebi reddolunur.</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(4) Borçlu murisine ait bir alacak için takibedilmekte olup da, terekenin borca batık olduğunu ileri sürerse bu hususta ilam getirmesi için kendisine münasip bir mühlet verilir. Bunun dışında itirazın kaldırılması talebinin kabul veya reddi için ileri sürülen iddia ve savunmalar bekletici mesele yapılamaz.</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(5) (Değişik: 9/11/1988 - 3494/2 md.) Borçlunun gösterdiği belge altındaki imza alacaklı tarafından inkar edilirse hakim, 68/a maddesinde  yazılı usule göre yaptığı inceleme neticesinde imzanın alacaklıya ait olduğuna kanaat getirdiği takdirde alacaklının itirazın kaldırılması talebini reddeder ve alacaklıyı sözü edilen belgenin taalluk ettiği değer veya miktarın yüzde onu oranında para cezasına mahkum eder. Alacaklı genel mahkemede dava açarsa bu para cezasının infazı dava sonuna kadar tehir olunur ve alacaklı bu davada alacağını ve imzanın kendisine ait olmadığını ispat ederse bu ceza kalkar.</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(6) Alacaklı duruşmada bizzat bulunmayıp da imza vekili tarafından reddolunduğu takdirde vekil mütaakıp oturumda müvekkilini imza tatbikatı için hazır bulundurmaya veya masraflarını vererek davetiye tebliğ ettirmeye mecburdur. Kabule değer mazereti olmadan gelmiyen alacaklı borçlunun dayandığı belgede yazılı miktar hakkındaki itirazın kaldırılması talebinden vazgeçmiş sayılır.</w:t>
            </w:r>
          </w:p>
          <w:p w:rsidR="00155AF4" w:rsidRPr="00A23740" w:rsidRDefault="00155AF4" w:rsidP="009431FF">
            <w:pPr>
              <w:widowControl w:val="0"/>
              <w:tabs>
                <w:tab w:val="left" w:pos="567"/>
              </w:tabs>
              <w:autoSpaceDE w:val="0"/>
              <w:autoSpaceDN w:val="0"/>
              <w:adjustRightInd w:val="0"/>
              <w:rPr>
                <w:b/>
                <w:bCs/>
                <w:strike/>
                <w:color w:val="FF0000"/>
                <w:szCs w:val="24"/>
              </w:rPr>
            </w:pPr>
          </w:p>
          <w:p w:rsidR="00155AF4" w:rsidRPr="00A23740" w:rsidRDefault="00155AF4" w:rsidP="009431FF">
            <w:pPr>
              <w:widowControl w:val="0"/>
              <w:tabs>
                <w:tab w:val="left" w:pos="567"/>
              </w:tabs>
              <w:autoSpaceDE w:val="0"/>
              <w:autoSpaceDN w:val="0"/>
              <w:adjustRightInd w:val="0"/>
              <w:rPr>
                <w:b/>
                <w:bCs/>
                <w:strike/>
                <w:color w:val="FF0000"/>
                <w:szCs w:val="24"/>
              </w:rPr>
            </w:pPr>
            <w:r w:rsidRPr="00A23740">
              <w:rPr>
                <w:b/>
                <w:bCs/>
                <w:strike/>
                <w:color w:val="FF0000"/>
                <w:szCs w:val="24"/>
              </w:rPr>
              <w:t>(7) (Ek fıkra: 6/6/1985 - 3222/6 md.; Değişik: 9/11/1988 - 3494/2 md.) (Değişik birinci cümle: 17/7/2003-4949/16 md.) İtirazın kaldırılması talebinin esasa ilişkin nedenlerle kabulü hâlinde borçlu, talebin aynı nedenlerle reddi hâlinde ise alacaklı, diğer tarafın talebi üzerine yüzde yirmiden  aşağı olmamak üzere tazminata mahkûm edilir.   Borçlu, menfi tespit ve istirdat davası açarsa, yahut alacaklı genel mahkemede dava açarsa, hükmolunan tazminatın tahsili dava sonuna kadar tehir olunur ve dava lehine sonuçlanan taraf için, daha önce hükmedilmiş olan tazminat kalkar.</w:t>
            </w:r>
          </w:p>
          <w:p w:rsidR="00155AF4" w:rsidRPr="00A23740" w:rsidRDefault="00155AF4" w:rsidP="009431FF">
            <w:pPr>
              <w:widowControl w:val="0"/>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widowControl w:val="0"/>
              <w:autoSpaceDE w:val="0"/>
              <w:autoSpaceDN w:val="0"/>
              <w:adjustRightInd w:val="0"/>
              <w:rPr>
                <w:b/>
                <w:szCs w:val="24"/>
              </w:rPr>
            </w:pPr>
          </w:p>
          <w:p w:rsidR="00155AF4" w:rsidRPr="00A23740" w:rsidRDefault="00155AF4" w:rsidP="009431FF">
            <w:pPr>
              <w:widowControl w:val="0"/>
              <w:autoSpaceDE w:val="0"/>
              <w:autoSpaceDN w:val="0"/>
              <w:adjustRightInd w:val="0"/>
              <w:rPr>
                <w:b/>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c) İtirazın geçici olarak kaldırılması</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Madde 68/a – (1) (Ek: 18/2/1965 - 538/39 md.)</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(Değişik birinci fıkra: 17/7/2003-4949/17 md.) Takibin dayandığı senet hususî olup, imza itiraz sırasında borçlu tarafından reddedilmişse, alacaklı itirazın kendisine tebliği tarihinden itibaren altı ay içinde itirazın geçici olarak kaldırılmasını isteyebilir. Bu hâlde icra hâkimi iki taraftan izahat alır.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(2) Senet altındaki imzayı reddeden borçlu takibi yapan icra dairesinin yetki çevresi içinde ise, itirazın kaldırılması için icra mahkemesi önünde yapılacak duruşmada, mazeretini daha önce bildirip tevsik etmediği takdirde, bizzat bulunmaya mecburdur. İcra dairesinin yetki çevresi dışında ödeme emri tebliğ edilen borçlu, istinabe yolu ile isticvabına karar verilmesi halinde, aynı mecburiyete tabidir.</w:t>
            </w:r>
          </w:p>
          <w:p w:rsidR="00155AF4" w:rsidRPr="00A23740" w:rsidRDefault="00155AF4" w:rsidP="009431FF">
            <w:pPr>
              <w:tabs>
                <w:tab w:val="left" w:pos="567"/>
              </w:tabs>
              <w:autoSpaceDE w:val="0"/>
              <w:autoSpaceDN w:val="0"/>
              <w:adjustRightInd w:val="0"/>
              <w:rPr>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(3) Tatbika medar imza mevcutsa bununla, yoksa borçluya yazdıracağı yazı ve attıracağı imza ile yapılacak mükayese ve incelemelerden veya diğer delil ve karinelerden icra mahkemesi, reddedilen imzanın borçluya aidiyetine kanaat getirirse itirazın muvakkaten kaldırılmasına karar verir. Hakim lüzum görürse, oturumun bir defadan fazla talikine meydan vermiyecek surette, bilirkişi incelemesi de yaptırabilir.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(4) İmza tatbikında Hukuk Usulü Muhakemeleri Kanununun bilirkişiye ait hükümleri ile 309 uncu maddesinin 2 nci, 3 üncü ve 4 üncü fıkraları ve 310, 311 ve 312 nci maddeleri hükümleri uygulanır.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(5) (Değişik: 9/11/1988 - 3494/3 md.) Yapılacak duruşmada, yukarıda yazılı mazerete dayanmaksızın, borçlunun hazır bulunmaması halinde icra mahkemesince başka bir cihet tetkik edilmeksizin itirazın muvakkaten kaldırılmasına ve borçlunun sözü edilen senede dayanan takip konusu alacağın yüzde onu oranında para cezasına mahkumiyetine karar verilir. Duruşmaya gelmeyen borçlunun itirazının muvakkaten kaldırılmasına ve hakkında para cezasına karar verilebilmesi için keyfiyetin davetiyeye yazılması şarttır.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(6) (Değişik: 9/11/1988 - 3494/3 md.) İcra hakimi, imzanın borçluya aidiyetine karar verdiği takdirde borçluyu sözü edilen senede dayanan takip konusuna alacağın yüzde onu oranında para cezasına mahkum eder. Borçlu, borçtan kurtulma, menfi tespit veya istirdat davası açarsa, bu para cezasının infazı dava sonuna kadar tehir olunur ve borçlu açtığı davayı kazanırsa bu ceza kalkar.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(7) Borçlu inkar ettiği imzayı, itirazın kaldırılması duruşmasında ve en geç alacaklının senedin aslını ibraz ettiği celsede kabul ederse, hakkında para cezası hükmolunmaz ve kendisine yargılama giderleri yükletilmez. Şu kadar ki, kötü niyetle takibe sebebiyet veren borçlu yargılama giderleri ile mülzem olur. Senedin aslı takip talebi anında icra dairesine tevdi edilmiş ise, icra dairesinin yetki çevresi içinde  ödeme emri tebliğ edilen borçlu hakkında bu fıkra hükmü uygulanmaz.</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(8) (Ek: 6/6/1985 - 3222/7 md.; Değişik: 9/11/1988 - 3494/3 md.) İtirazın muvakkaten kaldırılması talebinin kabulü halinde borçlu, bu talebin reddi halinde ise alacaklı, diğer tarafın talebi üzerine yüzde yirmiden aşağı olmamak üzere tazminata mahkum edilir. Borçlu, borçtan kurtulma, menfi tespit veya istirdat davası açarsa, yahut alacaklı genel mahkemede dava açarsa hükmolunan tazminatın tahsili dava sonuna kadar tehir olunur ve dava lehine sonuçlanan taraf için, daha önce hükmedilmiş olan tazminat kalkar.</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Borçlu cari hesap veya kısa, orta, uzun vadeli kredi şeklinde işleyen kredilerde itirazın kesin olarak kaldırılması:</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Madde 68/b – (1) (Ek: 9/11/1988 - 3494/4 md.)</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Borçlu cari hesap veya kısa, orta, uzun vadeli kredi şeklinde işleyen kredilerde krediyi kullandıran taraf, krediyi kullanan tarafın kredi sözleşmesinde belirttiği adresine, borçlu cari hesap sözleşmesinde belirtilen dönemleri veya kısa, orta, uzun vadeli kredi sözleşmelerinde yazılı faiz tahakkuk dönemlerini takip eden onbeş gün içinde bir hesap özetini noter aracılığı ile göndermek zorundadır. (Değişik son cümle: 17/7/2003-4949/18 md.) Sözleşmede gösterilen adresin değiştirilmesi, yurt içinde bir adresin noter aracılığıyla krediyi kullandıran tarafa bildirilmesi hâlinde sonuç doğurur; yeni adresin bu şekilde bildirilmemesi hâlinde hesap özetinin eski adrese ulaştığı tarih tebliğ tarihi sayılır.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(2) Süresi içinde gönderilen hesap özetinin muhtevasına, alındığından itibaren bir ay içinde itiraz etmeyen krediyi kullanan taraf, hesap özetinin gerçeğe aykırılığını ancak borcunu ödedikten sonra dava edebilir.</w:t>
            </w:r>
          </w:p>
          <w:p w:rsidR="00155AF4" w:rsidRPr="00A23740" w:rsidRDefault="00155AF4" w:rsidP="009431FF">
            <w:pPr>
              <w:tabs>
                <w:tab w:val="left" w:pos="567"/>
              </w:tabs>
              <w:autoSpaceDE w:val="0"/>
              <w:autoSpaceDN w:val="0"/>
              <w:adjustRightInd w:val="0"/>
              <w:rPr>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(3) Kredi sözleşmeleri ve bunlarla ilgili süresinde itiraz edilmemiş hesap özetleri ile ihtarnameler ve krediyi kullandıran tarafından usulüne uygun düzenlenmiş diğer belge ve makbuzlar bu Kanunun 68 inci maddesinin birinci fıkrasında belirtilen belgelerden sayılırlar. Krediyi kullanan taraf, itiraz etmediği hesap özetinin dayandığı belgelerde kendisine izafe edilen imzayı kabul etmiş sayılır. Bu hüküm bu Kanunun 150/a maddesinin söz konusu olduğu hallerde de aynen uygulanır.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(4) (Ek fıkra: 17/7/2003-4949/18 md.) Krediyi kullanan tarafın kredi hesabının kesilmesine veya borcun ödenmesine ilişkin ihtarname içeriğine itiraz etmiş olması, kredi hesabının kesilmesi ve borcun ödenmesine ilişkin ihtarnameden önce tebliğ edilen ve itiraz edilmeyerek kesinleşmiş bulunan faiz tahakkuk dönemlerine ilişkin hesap özetlerinin muhtevasına itiraz edilmemiş olmasının sonuçlarını ortadan kaldırmaz. Bu durumda, önceki dönemlere ilişkin kesinleşmiş hesap özetleri hakkında ikinci fıkra hükümleri uygulanır.</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İtirazın muvakkaten kaldırılmasının hükümleri:</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Madde 69 – (1) (Değişik: 18/2/1965 - 538/40 md.)</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İtirazın muvakkaten kaldırılmasına karar verilir ve ödeme emrindeki müddet geçmiş bulunursa alacaklının talebi ile borçlunun malları üzerine muvakkat haciz konur.</w:t>
            </w:r>
          </w:p>
          <w:p w:rsidR="00155AF4" w:rsidRPr="00A23740" w:rsidRDefault="00155AF4" w:rsidP="009431FF">
            <w:pPr>
              <w:tabs>
                <w:tab w:val="left" w:pos="567"/>
              </w:tabs>
              <w:autoSpaceDE w:val="0"/>
              <w:autoSpaceDN w:val="0"/>
              <w:adjustRightInd w:val="0"/>
              <w:rPr>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(2) İtirazın muvakkaten kaldırılması kararının tefhim veya tebliğinden itibaren yedi gün içinde borçlu, takibin yapıldığı mahal veya alacaklının yerleşim yeri mahkemesinde borçtan kurtulma davası açabilir. Bu davanın dinlenebilmesi için borçlunun dava konusu alacağın yüzde 15 ini  ilk  duruşma  gününe kadar mahkeme veznesine nakden depo etmesi veya mahkemece kabul edilecek aynı değerde esham ve tahvilat veya banka teminat mektubu tevdi etmesi şarttır. Aksi takdirde dava reddolunur.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(3) Borçlu yukarda yazılı müddet içinde dava etmez veya davası reddolunursa itirazın kaldırılması kararı ve varsa muvakkat haciz kesinleşir.</w:t>
            </w: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(4) Davanın reddi hakkındaki karara karşı istinaf  yoluna başvuran borçlu, ayrıca 36 ncı madde hükümlerini yerine getirmek şartiyle, icra dairesinden mühlet istiyebilir.</w:t>
            </w:r>
          </w:p>
          <w:p w:rsidR="00155AF4" w:rsidRPr="00A23740" w:rsidRDefault="00155AF4" w:rsidP="009431FF">
            <w:pPr>
              <w:tabs>
                <w:tab w:val="left" w:pos="567"/>
              </w:tabs>
              <w:autoSpaceDE w:val="0"/>
              <w:autoSpaceDN w:val="0"/>
              <w:adjustRightInd w:val="0"/>
              <w:rPr>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(5) (Değişik: 9/11/1988 - 3494/5 md.) Borçtan kurtulma davasında haksız çıkan taraf, dava veya hükmolunan şeyin yüzde yirmisinden  aşağı olmamak üzere münasip bir tazminatla mahkum edilir.</w:t>
            </w:r>
          </w:p>
          <w:p w:rsidR="00155AF4" w:rsidRPr="00A23740" w:rsidRDefault="00155AF4" w:rsidP="009431FF">
            <w:pPr>
              <w:tabs>
                <w:tab w:val="left" w:pos="1522"/>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pStyle w:val="karlan--"/>
              <w:rPr>
                <w:lang w:val="tr-TR" w:eastAsia="tr-TR"/>
              </w:rPr>
            </w:pPr>
            <w:r w:rsidRPr="00A23740">
              <w:rPr>
                <w:lang w:val="tr-TR" w:eastAsia="tr-TR"/>
              </w:rPr>
              <w:t>Karar ve müddet</w:t>
            </w:r>
          </w:p>
          <w:p w:rsidR="00155AF4" w:rsidRPr="00A23740" w:rsidRDefault="00155AF4" w:rsidP="009431FF">
            <w:pPr>
              <w:pStyle w:val="karlan--"/>
              <w:rPr>
                <w:lang w:val="tr-TR" w:eastAsia="tr-TR"/>
              </w:rPr>
            </w:pPr>
            <w:r w:rsidRPr="00A23740">
              <w:rPr>
                <w:lang w:val="tr-TR" w:eastAsia="tr-TR"/>
              </w:rPr>
              <w:t>Madde 70 – (1) (Değişik: 18/2/1965 - 538/41 md.)</w:t>
            </w:r>
          </w:p>
          <w:p w:rsidR="00155AF4" w:rsidRPr="00A23740" w:rsidRDefault="00155AF4" w:rsidP="009431FF">
            <w:pPr>
              <w:pStyle w:val="karlan--"/>
              <w:rPr>
                <w:lang w:val="tr-TR" w:eastAsia="tr-TR"/>
              </w:rPr>
            </w:pPr>
            <w:r w:rsidRPr="00A23740">
              <w:rPr>
                <w:lang w:val="tr-TR" w:eastAsia="tr-TR"/>
              </w:rPr>
              <w:t>İcra mahkemesi, itirazın kaldırılması hakkındaki talep üzerine iki tarafı davet eder ve 18 inci madde hükmüne göre kararını verir.</w:t>
            </w:r>
          </w:p>
          <w:p w:rsidR="00155AF4" w:rsidRPr="00A23740" w:rsidRDefault="00155AF4"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autoSpaceDE w:val="0"/>
              <w:autoSpaceDN w:val="0"/>
              <w:adjustRightInd w:val="0"/>
              <w:rPr>
                <w:b/>
                <w:color w:val="FF0000"/>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jc w:val="right"/>
              <w:rPr>
                <w:i/>
                <w:iCs/>
                <w:szCs w:val="24"/>
              </w:rPr>
            </w:pPr>
          </w:p>
          <w:p w:rsidR="00155AF4" w:rsidRPr="00A23740" w:rsidRDefault="00155AF4" w:rsidP="009431FF">
            <w:pPr>
              <w:tabs>
                <w:tab w:val="left" w:pos="567"/>
              </w:tabs>
              <w:autoSpaceDE w:val="0"/>
              <w:autoSpaceDN w:val="0"/>
              <w:adjustRightInd w:val="0"/>
              <w:rPr>
                <w:i/>
                <w:iCs/>
                <w:szCs w:val="24"/>
              </w:rPr>
            </w:pPr>
          </w:p>
          <w:p w:rsidR="00155AF4" w:rsidRPr="00A23740" w:rsidRDefault="00155AF4" w:rsidP="009431FF">
            <w:pPr>
              <w:tabs>
                <w:tab w:val="left" w:pos="567"/>
              </w:tabs>
              <w:autoSpaceDE w:val="0"/>
              <w:autoSpaceDN w:val="0"/>
              <w:adjustRightInd w:val="0"/>
              <w:rPr>
                <w:i/>
                <w:iCs/>
                <w:szCs w:val="24"/>
              </w:rPr>
            </w:pPr>
          </w:p>
          <w:p w:rsidR="00155AF4" w:rsidRPr="00A23740" w:rsidRDefault="00155AF4" w:rsidP="009431FF">
            <w:pPr>
              <w:tabs>
                <w:tab w:val="left" w:pos="567"/>
              </w:tabs>
              <w:autoSpaceDE w:val="0"/>
              <w:autoSpaceDN w:val="0"/>
              <w:adjustRightInd w:val="0"/>
              <w:rPr>
                <w:i/>
                <w:iCs/>
                <w:szCs w:val="24"/>
              </w:rPr>
            </w:pPr>
            <w:r w:rsidRPr="00A23740">
              <w:rPr>
                <w:i/>
                <w:iCs/>
                <w:szCs w:val="24"/>
              </w:rPr>
              <w:t>İcra mahkemesinin karar</w:t>
            </w:r>
            <w:r w:rsidRPr="00A23740">
              <w:rPr>
                <w:b/>
                <w:bCs/>
                <w:strike/>
                <w:color w:val="FF0000"/>
                <w:szCs w:val="24"/>
              </w:rPr>
              <w:t>i</w:t>
            </w:r>
            <w:r w:rsidRPr="00A23740">
              <w:rPr>
                <w:i/>
                <w:iCs/>
                <w:szCs w:val="24"/>
              </w:rPr>
              <w:t xml:space="preserve">yle takibin </w:t>
            </w:r>
            <w:r w:rsidRPr="00A23740">
              <w:rPr>
                <w:b/>
                <w:bCs/>
                <w:strike/>
                <w:color w:val="FF0000"/>
                <w:szCs w:val="24"/>
              </w:rPr>
              <w:t>talik</w:t>
            </w:r>
            <w:r w:rsidRPr="00A23740">
              <w:rPr>
                <w:i/>
                <w:iCs/>
                <w:szCs w:val="24"/>
              </w:rPr>
              <w:t xml:space="preserve"> veya iptali</w:t>
            </w:r>
            <w:r w:rsidRPr="00A23740">
              <w:rPr>
                <w:b/>
                <w:bCs/>
                <w:strike/>
                <w:color w:val="FF0000"/>
                <w:szCs w:val="24"/>
              </w:rPr>
              <w:t>:</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71 – (1) (Değişik: 18/2/1965 - 538/42 md.)</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Borçlu, takibin kesinleşmesinden sonraki devrede borcun ve ferilerinin itfa edildiğini yahut alacaklının kendisine bir mühlet verdiğini noterden tasdikli veya imzası ikrar edilmiş bir belge ile ispat ederse, takibin iptal veya talikini her zaman icra mahkemesinden istiyebilir.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Default="00155AF4" w:rsidP="009431FF">
            <w:pPr>
              <w:tabs>
                <w:tab w:val="left" w:pos="567"/>
              </w:tabs>
              <w:autoSpaceDE w:val="0"/>
              <w:autoSpaceDN w:val="0"/>
              <w:adjustRightInd w:val="0"/>
              <w:rPr>
                <w:szCs w:val="24"/>
              </w:rPr>
            </w:pPr>
          </w:p>
          <w:p w:rsidR="003E5126" w:rsidRPr="00A23740" w:rsidRDefault="003E5126" w:rsidP="009431FF">
            <w:pPr>
              <w:tabs>
                <w:tab w:val="left" w:pos="567"/>
              </w:tabs>
              <w:autoSpaceDE w:val="0"/>
              <w:autoSpaceDN w:val="0"/>
              <w:adjustRightInd w:val="0"/>
              <w:rPr>
                <w:szCs w:val="24"/>
              </w:rPr>
            </w:pPr>
          </w:p>
          <w:p w:rsidR="00060393" w:rsidRPr="00A23740" w:rsidRDefault="00060393"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(2)</w:t>
            </w:r>
            <w:r w:rsidRPr="00A23740">
              <w:rPr>
                <w:szCs w:val="24"/>
              </w:rPr>
              <w:t xml:space="preserve"> Borçlu, takibin kesinleşmesinden sonra</w:t>
            </w:r>
            <w:r w:rsidRPr="00A23740">
              <w:rPr>
                <w:b/>
                <w:strike/>
                <w:color w:val="FF0000"/>
                <w:szCs w:val="24"/>
              </w:rPr>
              <w:t>ki devrede</w:t>
            </w:r>
            <w:r w:rsidRPr="00A23740">
              <w:rPr>
                <w:szCs w:val="24"/>
              </w:rPr>
              <w:t xml:space="preserve"> borcun zamanaşımına uğradığını </w:t>
            </w:r>
            <w:r w:rsidRPr="00A23740">
              <w:rPr>
                <w:b/>
                <w:bCs/>
                <w:strike/>
                <w:color w:val="FF0000"/>
                <w:szCs w:val="24"/>
              </w:rPr>
              <w:t>ileri sürecek olursa, 33 a. m</w:t>
            </w:r>
            <w:r w:rsidR="00C346BD" w:rsidRPr="00A23740">
              <w:rPr>
                <w:b/>
                <w:bCs/>
                <w:strike/>
                <w:color w:val="FF0000"/>
                <w:szCs w:val="24"/>
              </w:rPr>
              <w:t>addesi hükmü kıyasen uygulanır.</w:t>
            </w: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BEŞİNCİ AYRIM</w:t>
            </w:r>
          </w:p>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 xml:space="preserve">Takibin </w:t>
            </w:r>
            <w:r w:rsidRPr="00A23740">
              <w:rPr>
                <w:rFonts w:eastAsia="ヒラギノ明朝 Pro W3"/>
                <w:b/>
                <w:color w:val="0000FF"/>
                <w:kern w:val="32"/>
                <w:szCs w:val="32"/>
              </w:rPr>
              <w:t>Geri Bırakılması</w:t>
            </w:r>
            <w:r w:rsidRPr="00A23740">
              <w:rPr>
                <w:rFonts w:eastAsia="Times New Roman"/>
                <w:b/>
                <w:bCs/>
                <w:color w:val="0000FF"/>
                <w:szCs w:val="28"/>
              </w:rPr>
              <w:t xml:space="preserve"> </w:t>
            </w:r>
            <w:r w:rsidRPr="00A23740">
              <w:rPr>
                <w:b/>
                <w:color w:val="0000FF"/>
                <w:szCs w:val="24"/>
                <w:lang w:val="x-none" w:eastAsia="x-none"/>
              </w:rPr>
              <w:t>veya</w:t>
            </w:r>
            <w:r w:rsidRPr="00A23740">
              <w:rPr>
                <w:rFonts w:eastAsia="Times New Roman"/>
                <w:b/>
                <w:color w:val="0000FF"/>
                <w:szCs w:val="24"/>
                <w:lang w:val="x-none" w:eastAsia="x-none"/>
              </w:rPr>
              <w:t xml:space="preserve"> </w:t>
            </w:r>
            <w:r w:rsidRPr="00A23740">
              <w:rPr>
                <w:rFonts w:eastAsia="Times New Roman"/>
                <w:b/>
                <w:bCs/>
                <w:color w:val="0000FF"/>
                <w:szCs w:val="28"/>
              </w:rPr>
              <w:t xml:space="preserve">İptali </w:t>
            </w:r>
          </w:p>
          <w:p w:rsidR="00155AF4" w:rsidRPr="00A23740" w:rsidRDefault="00155AF4" w:rsidP="009431FF">
            <w:pPr>
              <w:autoSpaceDE w:val="0"/>
              <w:autoSpaceDN w:val="0"/>
              <w:adjustRightInd w:val="0"/>
              <w:rPr>
                <w:szCs w:val="24"/>
              </w:rPr>
            </w:pPr>
          </w:p>
          <w:p w:rsidR="00155AF4" w:rsidRPr="00A23740" w:rsidRDefault="00155AF4" w:rsidP="009431FF">
            <w:pPr>
              <w:autoSpaceDE w:val="0"/>
              <w:autoSpaceDN w:val="0"/>
              <w:adjustRightInd w:val="0"/>
              <w:rPr>
                <w:szCs w:val="24"/>
              </w:rPr>
            </w:pPr>
            <w:r w:rsidRPr="00A23740">
              <w:rPr>
                <w:szCs w:val="24"/>
              </w:rPr>
              <w:t xml:space="preserve">İcra </w:t>
            </w:r>
            <w:r w:rsidRPr="00A23740">
              <w:rPr>
                <w:b/>
                <w:bCs/>
                <w:color w:val="0000FF"/>
                <w:szCs w:val="24"/>
                <w:lang w:val="x-none" w:eastAsia="x-none"/>
              </w:rPr>
              <w:t>hukuk</w:t>
            </w:r>
            <w:r w:rsidRPr="00A23740">
              <w:rPr>
                <w:szCs w:val="24"/>
              </w:rPr>
              <w:t xml:space="preserve"> mahkemesi karar</w:t>
            </w:r>
            <w:r w:rsidRPr="00A23740">
              <w:rPr>
                <w:b/>
                <w:bCs/>
                <w:color w:val="0000FF"/>
                <w:szCs w:val="24"/>
                <w:lang w:val="x-none" w:eastAsia="x-none"/>
              </w:rPr>
              <w:t>ı</w:t>
            </w:r>
            <w:r w:rsidRPr="00A23740">
              <w:rPr>
                <w:szCs w:val="24"/>
              </w:rPr>
              <w:t>yl</w:t>
            </w:r>
            <w:r w:rsidRPr="00A23740">
              <w:rPr>
                <w:b/>
                <w:bCs/>
                <w:color w:val="0000FF"/>
                <w:szCs w:val="24"/>
                <w:lang w:val="x-none" w:eastAsia="x-none"/>
              </w:rPr>
              <w:t>a</w:t>
            </w:r>
            <w:r w:rsidRPr="00A23740">
              <w:rPr>
                <w:szCs w:val="24"/>
              </w:rPr>
              <w:t xml:space="preserve"> takibin </w:t>
            </w:r>
            <w:r w:rsidRPr="00A23740">
              <w:rPr>
                <w:b/>
                <w:bCs/>
                <w:color w:val="0000FF"/>
                <w:szCs w:val="24"/>
                <w:lang w:val="x-none" w:eastAsia="x-none"/>
              </w:rPr>
              <w:t>geri bırakılması</w:t>
            </w:r>
            <w:r w:rsidR="00143F89" w:rsidRPr="00A23740">
              <w:rPr>
                <w:szCs w:val="24"/>
              </w:rPr>
              <w:t xml:space="preserve"> veya iptali</w:t>
            </w: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MADDE 97- (1) İmzası noterlikçe onaylanmış bir belgeye dayanan borçlu, takibin kesinleşmesinden sonra borcun ve fer</w:t>
            </w:r>
            <w:r w:rsidR="00143F89" w:rsidRPr="00A23740">
              <w:rPr>
                <w:b/>
                <w:bCs/>
                <w:color w:val="0000FF"/>
                <w:szCs w:val="24"/>
                <w:lang w:eastAsia="x-none"/>
              </w:rPr>
              <w:t>i</w:t>
            </w:r>
            <w:r w:rsidRPr="00A23740">
              <w:rPr>
                <w:b/>
                <w:bCs/>
                <w:color w:val="0000FF"/>
                <w:szCs w:val="24"/>
                <w:lang w:val="x-none" w:eastAsia="x-none"/>
              </w:rPr>
              <w:t xml:space="preserve">lerinin itfa edildiğini </w:t>
            </w:r>
            <w:r w:rsidR="00E41AAB" w:rsidRPr="00A23740">
              <w:rPr>
                <w:b/>
                <w:bCs/>
                <w:color w:val="0000FF"/>
                <w:szCs w:val="24"/>
                <w:lang w:eastAsia="x-none"/>
              </w:rPr>
              <w:t xml:space="preserve">veya </w:t>
            </w:r>
            <w:r w:rsidRPr="00A23740">
              <w:rPr>
                <w:b/>
                <w:bCs/>
                <w:color w:val="0000FF"/>
                <w:szCs w:val="24"/>
                <w:lang w:val="x-none" w:eastAsia="x-none"/>
              </w:rPr>
              <w:t>alacaklının kendisine bir mühlet verdiğini ileri sürerek icra hukuk mahkemesinden takibin geri bırakılmasını</w:t>
            </w:r>
            <w:r w:rsidRPr="00A23740">
              <w:rPr>
                <w:b/>
                <w:bCs/>
                <w:color w:val="0000FF"/>
                <w:szCs w:val="24"/>
                <w:lang w:eastAsia="x-none"/>
              </w:rPr>
              <w:t xml:space="preserve"> </w:t>
            </w:r>
            <w:r w:rsidR="00E41AAB" w:rsidRPr="00A23740">
              <w:rPr>
                <w:b/>
                <w:bCs/>
                <w:color w:val="0000FF"/>
                <w:szCs w:val="24"/>
                <w:lang w:eastAsia="x-none"/>
              </w:rPr>
              <w:t>ya da</w:t>
            </w:r>
            <w:r w:rsidRPr="00A23740">
              <w:rPr>
                <w:b/>
                <w:bCs/>
                <w:color w:val="0000FF"/>
                <w:szCs w:val="24"/>
                <w:lang w:val="x-none" w:eastAsia="x-none"/>
              </w:rPr>
              <w:t xml:space="preserve"> iptalini her zaman talep edebilir.</w:t>
            </w:r>
          </w:p>
          <w:p w:rsidR="00155AF4" w:rsidRPr="00A23740" w:rsidRDefault="00155AF4" w:rsidP="009431FF">
            <w:pPr>
              <w:autoSpaceDE w:val="0"/>
              <w:autoSpaceDN w:val="0"/>
              <w:adjustRightInd w:val="0"/>
              <w:rPr>
                <w:b/>
                <w:bCs/>
                <w:color w:val="0000FF"/>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(2) Alacaklı tarafından imzalandığı iddia edilen ancak noterlikçe onaylanmamış olan bir belgeye dayanılarak takibin geri bırakılması </w:t>
            </w:r>
            <w:r w:rsidRPr="00A23740">
              <w:rPr>
                <w:b/>
                <w:bCs/>
                <w:color w:val="0000FF"/>
                <w:szCs w:val="24"/>
                <w:lang w:eastAsia="x-none"/>
              </w:rPr>
              <w:t xml:space="preserve">veya </w:t>
            </w:r>
            <w:r w:rsidRPr="00A23740">
              <w:rPr>
                <w:b/>
                <w:bCs/>
                <w:color w:val="0000FF"/>
                <w:szCs w:val="24"/>
                <w:lang w:val="x-none" w:eastAsia="x-none"/>
              </w:rPr>
              <w:t>iptali</w:t>
            </w:r>
            <w:r w:rsidRPr="00A23740">
              <w:rPr>
                <w:b/>
                <w:bCs/>
                <w:color w:val="0000FF"/>
                <w:szCs w:val="24"/>
                <w:lang w:eastAsia="x-none"/>
              </w:rPr>
              <w:t xml:space="preserve"> </w:t>
            </w:r>
            <w:r w:rsidRPr="00A23740">
              <w:rPr>
                <w:b/>
                <w:bCs/>
                <w:color w:val="0000FF"/>
                <w:szCs w:val="24"/>
                <w:lang w:val="x-none" w:eastAsia="x-none"/>
              </w:rPr>
              <w:t>istenildiği</w:t>
            </w:r>
            <w:r w:rsidRPr="00A23740">
              <w:rPr>
                <w:b/>
                <w:bCs/>
                <w:color w:val="0000FF"/>
                <w:szCs w:val="24"/>
                <w:lang w:eastAsia="x-none"/>
              </w:rPr>
              <w:t xml:space="preserve"> </w:t>
            </w:r>
            <w:r w:rsidRPr="00A23740">
              <w:rPr>
                <w:b/>
                <w:bCs/>
                <w:color w:val="0000FF"/>
                <w:szCs w:val="24"/>
                <w:lang w:val="x-none" w:eastAsia="x-none"/>
              </w:rPr>
              <w:t>takdirde</w:t>
            </w:r>
            <w:r w:rsidR="00C21C2C" w:rsidRPr="00A9175D">
              <w:rPr>
                <w:rStyle w:val="Balk1Char"/>
                <w:rFonts w:eastAsia="Calibri"/>
              </w:rPr>
              <w:t>,</w:t>
            </w:r>
            <w:r w:rsidRPr="00A23740">
              <w:rPr>
                <w:b/>
                <w:bCs/>
                <w:color w:val="0000FF"/>
                <w:szCs w:val="24"/>
                <w:lang w:val="x-none" w:eastAsia="x-none"/>
              </w:rPr>
              <w:t xml:space="preserve"> mahkeme alacaklıya ihtarlı davetiye gönderir. Bu davetiyede</w:t>
            </w:r>
            <w:r w:rsidRPr="00A23740">
              <w:rPr>
                <w:b/>
                <w:bCs/>
                <w:color w:val="0000FF"/>
                <w:szCs w:val="24"/>
                <w:lang w:eastAsia="x-none"/>
              </w:rPr>
              <w:t>,</w:t>
            </w:r>
            <w:r w:rsidRPr="00A23740">
              <w:rPr>
                <w:b/>
                <w:bCs/>
                <w:color w:val="0000FF"/>
                <w:szCs w:val="24"/>
                <w:lang w:val="x-none" w:eastAsia="x-none"/>
              </w:rPr>
              <w:t xml:space="preserve"> belirtilen günde hazır bulunmaz veya hazır bulunup da imzasını açıkça ink</w:t>
            </w:r>
            <w:r w:rsidR="0016673E" w:rsidRPr="00A23740">
              <w:rPr>
                <w:b/>
                <w:bCs/>
                <w:color w:val="0000FF"/>
                <w:szCs w:val="24"/>
                <w:lang w:eastAsia="x-none"/>
              </w:rPr>
              <w:t>â</w:t>
            </w:r>
            <w:r w:rsidRPr="00A23740">
              <w:rPr>
                <w:b/>
                <w:bCs/>
                <w:color w:val="0000FF"/>
                <w:szCs w:val="24"/>
                <w:lang w:val="x-none" w:eastAsia="x-none"/>
              </w:rPr>
              <w:t>r etmezse belgedeki imzayı ikrar etmiş sayılacağı ihtar edilir. Alacaklı duruşmaya gelip de imzasını açıkça ink</w:t>
            </w:r>
            <w:r w:rsidR="0016673E" w:rsidRPr="00A23740">
              <w:rPr>
                <w:b/>
                <w:bCs/>
                <w:color w:val="0000FF"/>
                <w:szCs w:val="24"/>
                <w:lang w:eastAsia="x-none"/>
              </w:rPr>
              <w:t>â</w:t>
            </w:r>
            <w:r w:rsidRPr="00A23740">
              <w:rPr>
                <w:b/>
                <w:bCs/>
                <w:color w:val="0000FF"/>
                <w:szCs w:val="24"/>
                <w:lang w:val="x-none" w:eastAsia="x-none"/>
              </w:rPr>
              <w:t>r etmez veya duruşmaya gelmezse borçlunun talebi kabul edilir. Alacaklı duruşmaya gelip de imzasını açıkça ink</w:t>
            </w:r>
            <w:r w:rsidR="0016673E" w:rsidRPr="00A23740">
              <w:rPr>
                <w:b/>
                <w:bCs/>
                <w:color w:val="0000FF"/>
                <w:szCs w:val="24"/>
                <w:lang w:eastAsia="x-none"/>
              </w:rPr>
              <w:t>â</w:t>
            </w:r>
            <w:r w:rsidRPr="00A23740">
              <w:rPr>
                <w:b/>
                <w:bCs/>
                <w:color w:val="0000FF"/>
                <w:szCs w:val="24"/>
                <w:lang w:val="x-none" w:eastAsia="x-none"/>
              </w:rPr>
              <w:t>r ettiği takdirde borçlunun talebi reddedilir. Bu durumda mahkeme imza incelemesi yapmaz.</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rPr>
                <w:b/>
                <w:bCs/>
                <w:color w:val="0000FF"/>
                <w:szCs w:val="24"/>
                <w:lang w:val="x-none" w:eastAsia="x-none"/>
              </w:rPr>
            </w:pPr>
            <w:r w:rsidRPr="00A23740">
              <w:rPr>
                <w:b/>
                <w:bCs/>
                <w:color w:val="0000FF"/>
                <w:szCs w:val="24"/>
                <w:lang w:val="x-none" w:eastAsia="x-none"/>
              </w:rPr>
              <w:t>(3)</w:t>
            </w:r>
            <w:r w:rsidRPr="00A23740">
              <w:rPr>
                <w:b/>
                <w:bCs/>
                <w:color w:val="0000FF"/>
                <w:szCs w:val="24"/>
              </w:rPr>
              <w:t xml:space="preserve"> </w:t>
            </w:r>
            <w:r w:rsidRPr="00A23740">
              <w:rPr>
                <w:szCs w:val="24"/>
              </w:rPr>
              <w:t>Borçlu, takibin kesinleşmesinden sonra borcun zamanaşımına uğradığını</w:t>
            </w:r>
            <w:r w:rsidRPr="00A23740">
              <w:rPr>
                <w:b/>
                <w:bCs/>
                <w:color w:val="0000FF"/>
                <w:szCs w:val="24"/>
              </w:rPr>
              <w:t xml:space="preserve"> </w:t>
            </w:r>
            <w:r w:rsidRPr="00A23740">
              <w:rPr>
                <w:b/>
                <w:bCs/>
                <w:color w:val="0000FF"/>
                <w:szCs w:val="24"/>
                <w:lang w:val="x-none" w:eastAsia="x-none"/>
              </w:rPr>
              <w:t xml:space="preserve">icra hukuk mahkemesinde </w:t>
            </w:r>
            <w:r w:rsidR="00060393" w:rsidRPr="00A23740">
              <w:rPr>
                <w:b/>
                <w:bCs/>
                <w:color w:val="0000FF"/>
                <w:szCs w:val="24"/>
                <w:lang w:val="x-none" w:eastAsia="x-none"/>
              </w:rPr>
              <w:t xml:space="preserve">her zaman </w:t>
            </w:r>
            <w:r w:rsidRPr="00A23740">
              <w:rPr>
                <w:b/>
                <w:bCs/>
                <w:color w:val="0000FF"/>
                <w:szCs w:val="24"/>
                <w:lang w:val="x-none" w:eastAsia="x-none"/>
              </w:rPr>
              <w:t xml:space="preserve">ileri sürerek takibin iptalini talep edebilir. </w:t>
            </w:r>
            <w:r w:rsidR="00060393" w:rsidRPr="00D3397C">
              <w:rPr>
                <w:rStyle w:val="YELChar"/>
                <w:color w:val="0000FF"/>
              </w:rPr>
              <w:t>Borcun</w:t>
            </w:r>
            <w:r w:rsidRPr="00A23740">
              <w:rPr>
                <w:b/>
                <w:bCs/>
                <w:color w:val="0000FF"/>
                <w:szCs w:val="24"/>
                <w:lang w:val="x-none" w:eastAsia="x-none"/>
              </w:rPr>
              <w:t xml:space="preserve"> zamanaşımına uğradığı veya zamanaşımının kesildiği ya da durduğu iddiaları, resm</w:t>
            </w:r>
            <w:r w:rsidR="0016673E" w:rsidRPr="00A23740">
              <w:rPr>
                <w:b/>
                <w:bCs/>
                <w:color w:val="0000FF"/>
                <w:szCs w:val="24"/>
                <w:lang w:eastAsia="x-none"/>
              </w:rPr>
              <w:t>î</w:t>
            </w:r>
            <w:r w:rsidRPr="00A23740">
              <w:rPr>
                <w:b/>
                <w:bCs/>
                <w:color w:val="0000FF"/>
                <w:szCs w:val="24"/>
                <w:lang w:val="x-none" w:eastAsia="x-none"/>
              </w:rPr>
              <w:t xml:space="preserve"> belgelere dayanılarak ispat edilir.</w:t>
            </w:r>
          </w:p>
          <w:p w:rsidR="00DC6658" w:rsidRPr="00A23740" w:rsidRDefault="00DC6658" w:rsidP="009431FF">
            <w:pPr>
              <w:rPr>
                <w:rFonts w:eastAsia="Times New Roman"/>
                <w:b/>
                <w:bCs/>
                <w:color w:val="0000FF"/>
                <w:szCs w:val="24"/>
                <w:lang w:eastAsia="tr-TR"/>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(4) Tarafların genel hükümlere göre dava açma hakkı saklıdır.</w:t>
            </w:r>
          </w:p>
          <w:p w:rsidR="00155AF4" w:rsidRPr="00A23740" w:rsidRDefault="00155AF4" w:rsidP="009431FF">
            <w:pPr>
              <w:outlineLvl w:val="1"/>
              <w:rPr>
                <w:szCs w:val="24"/>
              </w:rPr>
            </w:pPr>
          </w:p>
        </w:tc>
      </w:tr>
      <w:tr w:rsidR="00155AF4" w:rsidRPr="00A23740" w:rsidTr="009431FF">
        <w:tc>
          <w:tcPr>
            <w:tcW w:w="5000" w:type="pct"/>
            <w:gridSpan w:val="2"/>
            <w:shd w:val="clear" w:color="auto" w:fill="DEEAF6"/>
          </w:tcPr>
          <w:p w:rsidR="00E41AAB" w:rsidRPr="00A23740" w:rsidRDefault="00E41AAB" w:rsidP="009431FF">
            <w:pPr>
              <w:autoSpaceDE w:val="0"/>
              <w:autoSpaceDN w:val="0"/>
              <w:adjustRightInd w:val="0"/>
              <w:ind w:firstLine="709"/>
              <w:rPr>
                <w:szCs w:val="24"/>
              </w:rPr>
            </w:pPr>
          </w:p>
          <w:p w:rsidR="00DB2C16" w:rsidRPr="00A23740" w:rsidRDefault="00DB2C16" w:rsidP="009431FF">
            <w:pPr>
              <w:autoSpaceDE w:val="0"/>
              <w:autoSpaceDN w:val="0"/>
              <w:adjustRightInd w:val="0"/>
              <w:ind w:firstLine="709"/>
              <w:rPr>
                <w:szCs w:val="24"/>
              </w:rPr>
            </w:pPr>
            <w:r w:rsidRPr="00A23740">
              <w:rPr>
                <w:b/>
                <w:szCs w:val="24"/>
              </w:rPr>
              <w:t>MADDE 97-</w:t>
            </w:r>
            <w:r w:rsidRPr="00A23740">
              <w:rPr>
                <w:szCs w:val="24"/>
              </w:rPr>
              <w:t xml:space="preserve"> </w:t>
            </w:r>
            <w:r w:rsidR="00E41AAB" w:rsidRPr="00A23740">
              <w:rPr>
                <w:szCs w:val="24"/>
              </w:rPr>
              <w:t xml:space="preserve">Maddeyle, icra hukuk mahkemesinin kararıyla takibin geri bırakılması veya iptali </w:t>
            </w:r>
            <w:r w:rsidR="00DB16A4" w:rsidRPr="00A23740">
              <w:rPr>
                <w:szCs w:val="24"/>
              </w:rPr>
              <w:t xml:space="preserve">düzenlenmektedir. </w:t>
            </w:r>
            <w:r w:rsidRPr="00A23740">
              <w:rPr>
                <w:szCs w:val="24"/>
              </w:rPr>
              <w:t>Taslağın 97 nci maddesi “İcra hukuk mahkemesinin kararıyla takibin geri bırakılması veya iptali” başlığını taşımakta olup</w:t>
            </w:r>
            <w:r w:rsidR="006245E8" w:rsidRPr="00A23740">
              <w:rPr>
                <w:szCs w:val="24"/>
              </w:rPr>
              <w:t>,</w:t>
            </w:r>
            <w:r w:rsidRPr="00A23740">
              <w:rPr>
                <w:szCs w:val="24"/>
              </w:rPr>
              <w:t xml:space="preserve"> </w:t>
            </w:r>
            <w:r w:rsidR="00E41AAB" w:rsidRPr="00A23740">
              <w:rPr>
                <w:szCs w:val="24"/>
              </w:rPr>
              <w:t xml:space="preserve">2004 sayılı Kanunun </w:t>
            </w:r>
            <w:r w:rsidRPr="00A23740">
              <w:rPr>
                <w:szCs w:val="24"/>
              </w:rPr>
              <w:t>71 inci maddesine karşılık gelmektedir.</w:t>
            </w:r>
          </w:p>
          <w:p w:rsidR="00DB2C16" w:rsidRPr="00A23740" w:rsidRDefault="00E41AAB" w:rsidP="009431FF">
            <w:pPr>
              <w:tabs>
                <w:tab w:val="left" w:pos="567"/>
              </w:tabs>
              <w:autoSpaceDE w:val="0"/>
              <w:autoSpaceDN w:val="0"/>
              <w:adjustRightInd w:val="0"/>
              <w:ind w:firstLine="709"/>
              <w:rPr>
                <w:szCs w:val="24"/>
              </w:rPr>
            </w:pPr>
            <w:r w:rsidRPr="00A23740">
              <w:rPr>
                <w:szCs w:val="24"/>
              </w:rPr>
              <w:t>Maddenin bir</w:t>
            </w:r>
            <w:r w:rsidR="00DB2C16" w:rsidRPr="00A23740">
              <w:rPr>
                <w:szCs w:val="24"/>
              </w:rPr>
              <w:t>inci fıkrasında imzası noterlikçe onaylanmış bir belgeye dayanan borçlunun, takibin kesinleşmesinden sonra borcun ve fer</w:t>
            </w:r>
            <w:r w:rsidR="00F816DE" w:rsidRPr="00A23740">
              <w:t>î</w:t>
            </w:r>
            <w:r w:rsidR="00DB2C16" w:rsidRPr="00A23740">
              <w:rPr>
                <w:szCs w:val="24"/>
              </w:rPr>
              <w:t>lerinin itfa edildiğini yahut alacaklının kendisine bir mühlet verdiğini ileri sürerek icra hukuk mahkemesinden takibin geri bırakılmasını veya iptalini her zaman talep edebileceği öngör</w:t>
            </w:r>
            <w:r w:rsidR="006245E8" w:rsidRPr="00A23740">
              <w:rPr>
                <w:szCs w:val="24"/>
              </w:rPr>
              <w:t>ül</w:t>
            </w:r>
            <w:r w:rsidR="00DB2C16" w:rsidRPr="00A23740">
              <w:rPr>
                <w:szCs w:val="24"/>
              </w:rPr>
              <w:t>mektedir.</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Maddenin </w:t>
            </w:r>
            <w:r w:rsidR="00E41AAB" w:rsidRPr="00A23740">
              <w:rPr>
                <w:szCs w:val="24"/>
              </w:rPr>
              <w:t>iki</w:t>
            </w:r>
            <w:r w:rsidRPr="00A23740">
              <w:rPr>
                <w:szCs w:val="24"/>
              </w:rPr>
              <w:t>nci fıkrasına göre ise</w:t>
            </w:r>
            <w:r w:rsidR="006245E8" w:rsidRPr="00A23740">
              <w:rPr>
                <w:szCs w:val="24"/>
              </w:rPr>
              <w:t>,</w:t>
            </w:r>
            <w:r w:rsidRPr="00A23740">
              <w:rPr>
                <w:szCs w:val="24"/>
              </w:rPr>
              <w:t xml:space="preserve"> alacaklı tarafından imzalandığı iddia edilen ancak noterlikçe onaylanmamış olan bir belgeye dayanılarak takibin geri bırakılması veya iptali istenildiği  takdirde</w:t>
            </w:r>
            <w:r w:rsidR="006245E8" w:rsidRPr="00A23740">
              <w:rPr>
                <w:szCs w:val="24"/>
              </w:rPr>
              <w:t>,</w:t>
            </w:r>
            <w:r w:rsidRPr="00A23740">
              <w:rPr>
                <w:szCs w:val="24"/>
              </w:rPr>
              <w:t xml:space="preserve"> mahkeme alacaklıya ihtarlı davetiye gönderecek ve bu davetiyede, belirtilen günde hazır bulunmaz veya hazır bulunup da imzasını açıkça ink</w:t>
            </w:r>
            <w:r w:rsidR="0016673E" w:rsidRPr="00A23740">
              <w:rPr>
                <w:szCs w:val="24"/>
              </w:rPr>
              <w:t>â</w:t>
            </w:r>
            <w:r w:rsidRPr="00A23740">
              <w:rPr>
                <w:szCs w:val="24"/>
              </w:rPr>
              <w:t xml:space="preserve">r etmezse belgedeki imzayı ikrar etmiş sayılacağı; alacaklı duruşmaya gelip de imzasını açıkça </w:t>
            </w:r>
            <w:r w:rsidR="0016673E" w:rsidRPr="00A23740">
              <w:rPr>
                <w:szCs w:val="24"/>
              </w:rPr>
              <w:t xml:space="preserve">inkâr </w:t>
            </w:r>
            <w:r w:rsidRPr="00A23740">
              <w:rPr>
                <w:szCs w:val="24"/>
              </w:rPr>
              <w:t xml:space="preserve">etmez veya duruşmaya gelmezse borçlunun talebinin kabul edileceği; buna karşılık alacaklının duruşmaya gelip de imzasını açıkça </w:t>
            </w:r>
            <w:r w:rsidR="0016673E" w:rsidRPr="00A23740">
              <w:rPr>
                <w:szCs w:val="24"/>
              </w:rPr>
              <w:t xml:space="preserve">inkâr </w:t>
            </w:r>
            <w:r w:rsidRPr="00A23740">
              <w:rPr>
                <w:szCs w:val="24"/>
              </w:rPr>
              <w:t>ettiği h</w:t>
            </w:r>
            <w:r w:rsidR="00AD7D81" w:rsidRPr="00A23740">
              <w:rPr>
                <w:szCs w:val="24"/>
              </w:rPr>
              <w:t>â</w:t>
            </w:r>
            <w:r w:rsidRPr="00A23740">
              <w:rPr>
                <w:szCs w:val="24"/>
              </w:rPr>
              <w:t>llerde de borçlunun talebinin reddedileceği ve bu durumda mahkeme</w:t>
            </w:r>
            <w:r w:rsidR="00A84F1B" w:rsidRPr="00A23740">
              <w:rPr>
                <w:szCs w:val="24"/>
              </w:rPr>
              <w:t>nin</w:t>
            </w:r>
            <w:r w:rsidRPr="00A23740">
              <w:rPr>
                <w:szCs w:val="24"/>
              </w:rPr>
              <w:t xml:space="preserve"> imza incelemesi yapmayacağı </w:t>
            </w:r>
            <w:r w:rsidR="00A84F1B" w:rsidRPr="00A23740">
              <w:rPr>
                <w:szCs w:val="24"/>
              </w:rPr>
              <w:t xml:space="preserve"> belirtilecektir</w:t>
            </w:r>
            <w:r w:rsidRPr="00A23740">
              <w:rPr>
                <w:szCs w:val="24"/>
              </w:rPr>
              <w:t>.</w:t>
            </w:r>
          </w:p>
          <w:p w:rsidR="00DB2C16" w:rsidRPr="00A23740" w:rsidRDefault="00DB2C16" w:rsidP="009431FF">
            <w:pPr>
              <w:tabs>
                <w:tab w:val="left" w:pos="567"/>
              </w:tabs>
              <w:autoSpaceDE w:val="0"/>
              <w:autoSpaceDN w:val="0"/>
              <w:adjustRightInd w:val="0"/>
              <w:ind w:firstLine="709"/>
              <w:rPr>
                <w:szCs w:val="24"/>
              </w:rPr>
            </w:pPr>
            <w:r w:rsidRPr="00A23740">
              <w:rPr>
                <w:szCs w:val="24"/>
              </w:rPr>
              <w:t xml:space="preserve">Buna göre, </w:t>
            </w:r>
            <w:r w:rsidR="00A84F1B" w:rsidRPr="00A23740">
              <w:rPr>
                <w:szCs w:val="24"/>
              </w:rPr>
              <w:t xml:space="preserve">Taslağın </w:t>
            </w:r>
            <w:r w:rsidR="00DB16A4" w:rsidRPr="00A23740">
              <w:rPr>
                <w:szCs w:val="24"/>
              </w:rPr>
              <w:t xml:space="preserve">2004 sayılı Kanunun </w:t>
            </w:r>
            <w:r w:rsidRPr="00A23740">
              <w:rPr>
                <w:szCs w:val="24"/>
              </w:rPr>
              <w:t>71 inci maddesine karşılık gelen 97 nci maddesindeki farklılıklar şunlardır:</w:t>
            </w:r>
          </w:p>
          <w:p w:rsidR="00DB2C16" w:rsidRPr="00A23740" w:rsidRDefault="00DB2C16" w:rsidP="009431FF">
            <w:pPr>
              <w:tabs>
                <w:tab w:val="left" w:pos="567"/>
              </w:tabs>
              <w:autoSpaceDE w:val="0"/>
              <w:autoSpaceDN w:val="0"/>
              <w:adjustRightInd w:val="0"/>
              <w:ind w:firstLine="709"/>
              <w:rPr>
                <w:szCs w:val="24"/>
              </w:rPr>
            </w:pPr>
            <w:r w:rsidRPr="00A23740">
              <w:rPr>
                <w:szCs w:val="24"/>
              </w:rPr>
              <w:t>Yargıtay içtihatlarına uygun olarak maddede ikinci fıkrada “inkâr edilmemiş” ibaresi konulmuştur. Ayrıca bu son durumda borçlunun ibraz etmiş olduğu belge altındaki imza hakkında imza incelemesi yapılmayacağı tasrih edilmiştir. Alacaklının duruşmaya gelmediği h</w:t>
            </w:r>
            <w:r w:rsidR="00AD7D81" w:rsidRPr="00A23740">
              <w:rPr>
                <w:szCs w:val="24"/>
              </w:rPr>
              <w:t>â</w:t>
            </w:r>
            <w:r w:rsidRPr="00A23740">
              <w:rPr>
                <w:szCs w:val="24"/>
              </w:rPr>
              <w:t>lde de imzasını ikrar etmiş sayılacağı şeklindeki son cümle metne ilave edilmiştir.</w:t>
            </w:r>
          </w:p>
          <w:p w:rsidR="00E91409" w:rsidRPr="00A23740" w:rsidRDefault="00DB2C16" w:rsidP="009431FF">
            <w:pPr>
              <w:tabs>
                <w:tab w:val="left" w:pos="567"/>
              </w:tabs>
              <w:autoSpaceDE w:val="0"/>
              <w:autoSpaceDN w:val="0"/>
              <w:adjustRightInd w:val="0"/>
              <w:ind w:firstLine="709"/>
              <w:rPr>
                <w:szCs w:val="24"/>
              </w:rPr>
            </w:pPr>
            <w:r w:rsidRPr="00A23740">
              <w:rPr>
                <w:szCs w:val="24"/>
              </w:rPr>
              <w:t xml:space="preserve">Ayrıca </w:t>
            </w:r>
            <w:r w:rsidR="00DB16A4" w:rsidRPr="00A23740">
              <w:rPr>
                <w:szCs w:val="24"/>
              </w:rPr>
              <w:t>2004 sayılı K</w:t>
            </w:r>
            <w:r w:rsidRPr="00A23740">
              <w:rPr>
                <w:szCs w:val="24"/>
              </w:rPr>
              <w:t xml:space="preserve">anunun 33 ve 33/a maddelerine tekabül eden </w:t>
            </w:r>
            <w:r w:rsidR="00AD7D81" w:rsidRPr="00D3397C">
              <w:rPr>
                <w:szCs w:val="24"/>
              </w:rPr>
              <w:t>61</w:t>
            </w:r>
            <w:r w:rsidR="00AD7D81" w:rsidRPr="00D3397C">
              <w:rPr>
                <w:b/>
                <w:bCs/>
                <w:szCs w:val="24"/>
              </w:rPr>
              <w:t xml:space="preserve"> </w:t>
            </w:r>
            <w:r w:rsidR="00AD7D81" w:rsidRPr="00D3397C">
              <w:rPr>
                <w:szCs w:val="24"/>
              </w:rPr>
              <w:t>inci</w:t>
            </w:r>
            <w:r w:rsidR="00AD7D81" w:rsidRPr="00A23740">
              <w:rPr>
                <w:szCs w:val="24"/>
              </w:rPr>
              <w:t xml:space="preserve"> </w:t>
            </w:r>
            <w:r w:rsidRPr="00A23740">
              <w:rPr>
                <w:szCs w:val="24"/>
              </w:rPr>
              <w:t xml:space="preserve">maddeden farklı olarak işbu </w:t>
            </w:r>
            <w:r w:rsidR="00AD7D81" w:rsidRPr="00D3397C">
              <w:rPr>
                <w:szCs w:val="24"/>
              </w:rPr>
              <w:t>97</w:t>
            </w:r>
            <w:r w:rsidR="00AD7D81" w:rsidRPr="00A23740">
              <w:rPr>
                <w:rStyle w:val="KonuBalChar"/>
                <w:rFonts w:eastAsia="Calibri"/>
              </w:rPr>
              <w:t xml:space="preserve"> </w:t>
            </w:r>
            <w:r w:rsidR="00AD7D81" w:rsidRPr="00D3397C">
              <w:rPr>
                <w:szCs w:val="24"/>
              </w:rPr>
              <w:t>nci</w:t>
            </w:r>
            <w:r w:rsidR="00AD7D81" w:rsidRPr="00A23740">
              <w:rPr>
                <w:szCs w:val="24"/>
              </w:rPr>
              <w:t xml:space="preserve"> </w:t>
            </w:r>
            <w:r w:rsidRPr="00A23740">
              <w:rPr>
                <w:szCs w:val="24"/>
              </w:rPr>
              <w:t>maddede genel hükümlere göre inceleme yapmayan icra mahkemesinin kararı kesin hüküm teşkil etmeyeceğinden, genel hükümlere göre ve bir ispat sınırlaması olmadan hakk</w:t>
            </w:r>
            <w:r w:rsidR="00AD7D81" w:rsidRPr="00A23740">
              <w:rPr>
                <w:szCs w:val="24"/>
              </w:rPr>
              <w:t xml:space="preserve">ını </w:t>
            </w:r>
            <w:r w:rsidRPr="00A23740">
              <w:rPr>
                <w:szCs w:val="24"/>
              </w:rPr>
              <w:t>arama yolunu açık tutmak için borçlunun genel hükümlere göre dava açma hakk</w:t>
            </w:r>
            <w:r w:rsidR="00AD7D81" w:rsidRPr="00A23740">
              <w:rPr>
                <w:szCs w:val="24"/>
              </w:rPr>
              <w:t>ı</w:t>
            </w:r>
            <w:r w:rsidRPr="00A23740">
              <w:rPr>
                <w:szCs w:val="24"/>
              </w:rPr>
              <w:t xml:space="preserve"> saklı tutulmuştur.  </w:t>
            </w:r>
          </w:p>
          <w:p w:rsidR="00E91409" w:rsidRPr="00A23740" w:rsidRDefault="00E91409" w:rsidP="009431FF">
            <w:pPr>
              <w:keepNext/>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6"/>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szCs w:val="24"/>
              </w:rPr>
              <w:t xml:space="preserve">Menfi </w:t>
            </w:r>
            <w:r w:rsidRPr="00A9175D">
              <w:rPr>
                <w:rStyle w:val="KIRMIZIChar"/>
                <w:rFonts w:eastAsia="Calibri"/>
              </w:rPr>
              <w:t>tesbit ve is</w:t>
            </w:r>
            <w:r w:rsidRPr="00A23740">
              <w:rPr>
                <w:b/>
                <w:bCs/>
                <w:strike/>
                <w:color w:val="FF0000"/>
                <w:szCs w:val="24"/>
              </w:rPr>
              <w:t>tirdat</w:t>
            </w:r>
            <w:r w:rsidRPr="00A23740">
              <w:rPr>
                <w:szCs w:val="24"/>
              </w:rPr>
              <w:t xml:space="preserve"> </w:t>
            </w:r>
            <w:r w:rsidRPr="00A9175D">
              <w:rPr>
                <w:rStyle w:val="KIRMIZIChar"/>
                <w:rFonts w:eastAsia="Calibri"/>
              </w:rPr>
              <w:t>davaları:</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Madde 72 – (1) (Değişik: 18/2/1965 - 538/43 md.)</w:t>
            </w:r>
          </w:p>
          <w:p w:rsidR="00155AF4" w:rsidRPr="00A23740" w:rsidRDefault="00155AF4" w:rsidP="009431FF">
            <w:pPr>
              <w:tabs>
                <w:tab w:val="left" w:pos="567"/>
              </w:tabs>
              <w:autoSpaceDE w:val="0"/>
              <w:autoSpaceDN w:val="0"/>
              <w:adjustRightInd w:val="0"/>
              <w:rPr>
                <w:szCs w:val="24"/>
              </w:rPr>
            </w:pPr>
            <w:r w:rsidRPr="00A23740">
              <w:rPr>
                <w:szCs w:val="24"/>
              </w:rPr>
              <w:t xml:space="preserve">Borçlu, icra takibinden önce veya takip sırasında borçlu bulunmadığını </w:t>
            </w:r>
            <w:r w:rsidRPr="00A23740">
              <w:rPr>
                <w:b/>
                <w:bCs/>
                <w:strike/>
                <w:color w:val="FF0000"/>
                <w:szCs w:val="24"/>
              </w:rPr>
              <w:t>ispat</w:t>
            </w:r>
            <w:r w:rsidRPr="00A23740">
              <w:rPr>
                <w:szCs w:val="24"/>
              </w:rPr>
              <w:t xml:space="preserve"> için </w:t>
            </w:r>
            <w:r w:rsidRPr="00A23740">
              <w:rPr>
                <w:b/>
                <w:bCs/>
                <w:strike/>
                <w:color w:val="FF0000"/>
                <w:szCs w:val="24"/>
              </w:rPr>
              <w:t>menfi</w:t>
            </w:r>
            <w:r w:rsidRPr="00A23740">
              <w:rPr>
                <w:szCs w:val="24"/>
              </w:rPr>
              <w:t xml:space="preserve"> </w:t>
            </w:r>
            <w:r w:rsidRPr="00A23740">
              <w:rPr>
                <w:b/>
                <w:bCs/>
                <w:strike/>
                <w:color w:val="FF0000"/>
                <w:szCs w:val="24"/>
              </w:rPr>
              <w:t>tesbit</w:t>
            </w:r>
            <w:r w:rsidRPr="00A23740">
              <w:rPr>
                <w:szCs w:val="24"/>
              </w:rPr>
              <w:t xml:space="preserve"> dava</w:t>
            </w:r>
            <w:r w:rsidRPr="00A23740">
              <w:rPr>
                <w:b/>
                <w:bCs/>
                <w:strike/>
                <w:color w:val="FF0000"/>
                <w:szCs w:val="24"/>
              </w:rPr>
              <w:t>sı</w:t>
            </w:r>
            <w:r w:rsidRPr="00A23740">
              <w:rPr>
                <w:szCs w:val="24"/>
              </w:rPr>
              <w:t xml:space="preserve"> açabilir.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w:t>
            </w:r>
            <w:r w:rsidRPr="00A23740">
              <w:rPr>
                <w:szCs w:val="24"/>
              </w:rPr>
              <w:t xml:space="preserve"> İcra takibinden önce açılan menfi tes</w:t>
            </w:r>
            <w:r w:rsidRPr="00A23740">
              <w:rPr>
                <w:b/>
                <w:bCs/>
                <w:strike/>
                <w:color w:val="FF0000"/>
                <w:szCs w:val="24"/>
              </w:rPr>
              <w:t>b</w:t>
            </w:r>
            <w:r w:rsidRPr="00A23740">
              <w:rPr>
                <w:szCs w:val="24"/>
              </w:rPr>
              <w:t xml:space="preserve">it davasına </w:t>
            </w:r>
            <w:r w:rsidRPr="00A23740">
              <w:rPr>
                <w:b/>
                <w:bCs/>
                <w:strike/>
                <w:color w:val="FF0000"/>
                <w:szCs w:val="24"/>
              </w:rPr>
              <w:t>bakan</w:t>
            </w:r>
            <w:r w:rsidRPr="00A23740">
              <w:rPr>
                <w:szCs w:val="24"/>
              </w:rPr>
              <w:t xml:space="preserve"> mahkeme, talep üzerine </w:t>
            </w:r>
            <w:r w:rsidRPr="00A23740">
              <w:rPr>
                <w:b/>
                <w:bCs/>
                <w:strike/>
                <w:color w:val="FF0000"/>
                <w:szCs w:val="24"/>
              </w:rPr>
              <w:t>alacağın yüzde onbeşinden aşağı olmamak üzere gösterilecek teminat mukabilinde,</w:t>
            </w:r>
            <w:r w:rsidRPr="00A23740">
              <w:rPr>
                <w:b/>
                <w:bCs/>
                <w:color w:val="FF0000"/>
                <w:szCs w:val="24"/>
              </w:rPr>
              <w:t xml:space="preserve"> </w:t>
            </w:r>
            <w:r w:rsidRPr="00A23740">
              <w:rPr>
                <w:szCs w:val="24"/>
              </w:rPr>
              <w:t xml:space="preserve">icra takibinin </w:t>
            </w:r>
            <w:r w:rsidRPr="00A23740">
              <w:rPr>
                <w:b/>
                <w:bCs/>
                <w:strike/>
                <w:color w:val="FF0000"/>
                <w:szCs w:val="24"/>
              </w:rPr>
              <w:t>durdurulması</w:t>
            </w:r>
            <w:r w:rsidRPr="00A23740">
              <w:rPr>
                <w:szCs w:val="24"/>
              </w:rPr>
              <w:t xml:space="preserve"> hakkında ihtiyati tedbir kararı verebilir.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(3)</w:t>
            </w:r>
            <w:r w:rsidRPr="00A23740">
              <w:rPr>
                <w:szCs w:val="24"/>
              </w:rPr>
              <w:t xml:space="preserve"> İcra takibinden sonra açılan menfi tes</w:t>
            </w:r>
            <w:r w:rsidRPr="00A23740">
              <w:rPr>
                <w:b/>
                <w:bCs/>
                <w:strike/>
                <w:color w:val="FF0000"/>
                <w:szCs w:val="24"/>
              </w:rPr>
              <w:t>b</w:t>
            </w:r>
            <w:r w:rsidRPr="00A23740">
              <w:rPr>
                <w:szCs w:val="24"/>
              </w:rPr>
              <w:t xml:space="preserve">it davasında </w:t>
            </w:r>
            <w:r w:rsidRPr="00A23740">
              <w:rPr>
                <w:b/>
                <w:bCs/>
                <w:strike/>
                <w:color w:val="FF0000"/>
                <w:szCs w:val="24"/>
              </w:rPr>
              <w:t>ihtiyati tedbir yolu ile takibin durdurulmasına karar verilemez. Ancak, borçlu gecikmeden doğan zararları karşılamak ve alacağın yüzde onbeşinden aşağı olmamak üzere göstereceği teminat karşılığında, mahkemeden ihtiyati tedbir yoluyle icra veznesindeki paranın alacaklıya verilmemesini istiyebilir.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537077" w:rsidRPr="00A23740" w:rsidRDefault="00537077"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rPr>
                <w:rFonts w:eastAsia="Times New Roman"/>
                <w:b/>
                <w:bCs/>
                <w:strike/>
                <w:color w:val="FF0000"/>
                <w:szCs w:val="24"/>
                <w:lang w:eastAsia="x-none"/>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ALTINCI AYRIM</w:t>
            </w:r>
          </w:p>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Menfi Tespit ve İstirdat Davaları</w:t>
            </w:r>
          </w:p>
          <w:p w:rsidR="00155AF4" w:rsidRPr="00A23740" w:rsidRDefault="00155AF4" w:rsidP="009431FF">
            <w:pPr>
              <w:autoSpaceDE w:val="0"/>
              <w:autoSpaceDN w:val="0"/>
              <w:adjustRightInd w:val="0"/>
              <w:rPr>
                <w:b/>
                <w:bCs/>
                <w:szCs w:val="24"/>
              </w:rPr>
            </w:pPr>
          </w:p>
          <w:p w:rsidR="00155AF4" w:rsidRPr="00A23740" w:rsidRDefault="00155AF4" w:rsidP="009431FF">
            <w:pPr>
              <w:autoSpaceDE w:val="0"/>
              <w:autoSpaceDN w:val="0"/>
              <w:adjustRightInd w:val="0"/>
              <w:rPr>
                <w:b/>
                <w:bCs/>
                <w:szCs w:val="24"/>
              </w:rPr>
            </w:pPr>
            <w:r w:rsidRPr="00A23740">
              <w:rPr>
                <w:b/>
                <w:bCs/>
                <w:szCs w:val="24"/>
              </w:rPr>
              <w:t xml:space="preserve">Menfi </w:t>
            </w:r>
            <w:r w:rsidRPr="00A9175D">
              <w:rPr>
                <w:rStyle w:val="Balk1Char"/>
                <w:rFonts w:eastAsia="Calibri"/>
              </w:rPr>
              <w:t>tespit</w:t>
            </w:r>
            <w:r w:rsidRPr="00A23740">
              <w:rPr>
                <w:b/>
                <w:bCs/>
                <w:szCs w:val="24"/>
              </w:rPr>
              <w:t xml:space="preserve"> </w:t>
            </w:r>
            <w:r w:rsidRPr="00A9175D">
              <w:rPr>
                <w:rStyle w:val="Balk1Char"/>
                <w:rFonts w:eastAsia="Calibri"/>
              </w:rPr>
              <w:t>davası</w:t>
            </w:r>
          </w:p>
          <w:p w:rsidR="00155AF4" w:rsidRPr="00A23740" w:rsidRDefault="00155AF4" w:rsidP="009431FF">
            <w:pPr>
              <w:autoSpaceDE w:val="0"/>
              <w:autoSpaceDN w:val="0"/>
              <w:adjustRightInd w:val="0"/>
            </w:pPr>
            <w:r w:rsidRPr="00A23740">
              <w:rPr>
                <w:b/>
                <w:bCs/>
                <w:color w:val="0000FF"/>
                <w:szCs w:val="24"/>
                <w:lang w:val="x-none" w:eastAsia="x-none"/>
              </w:rPr>
              <w:t>MADDE 98- (1) Bir borca ilişkin olarak, takip alacaklısına veya takip başlatılmamış ise alacaklı olduğunu iddia edebilecek kişiye karşı menfi tespit davası  açılabilir.</w:t>
            </w:r>
          </w:p>
          <w:p w:rsidR="00155AF4" w:rsidRPr="00A23740" w:rsidRDefault="00155AF4" w:rsidP="009431FF">
            <w:pPr>
              <w:autoSpaceDE w:val="0"/>
              <w:autoSpaceDN w:val="0"/>
              <w:adjustRightInd w:val="0"/>
              <w:rPr>
                <w:b/>
                <w:bCs/>
                <w:color w:val="0000FF"/>
                <w:szCs w:val="24"/>
              </w:rPr>
            </w:pPr>
          </w:p>
          <w:p w:rsidR="00155AF4" w:rsidRPr="00A23740" w:rsidRDefault="00155AF4" w:rsidP="009431FF">
            <w:pPr>
              <w:autoSpaceDE w:val="0"/>
              <w:autoSpaceDN w:val="0"/>
              <w:adjustRightInd w:val="0"/>
              <w:rPr>
                <w:b/>
                <w:bCs/>
                <w:color w:val="0000FF"/>
                <w:szCs w:val="24"/>
                <w:lang w:val="x-none" w:eastAsia="x-none"/>
              </w:rPr>
            </w:pPr>
            <w:r w:rsidRPr="00A23740">
              <w:rPr>
                <w:b/>
                <w:bCs/>
                <w:color w:val="0000FF"/>
                <w:szCs w:val="24"/>
                <w:lang w:val="x-none" w:eastAsia="x-none"/>
              </w:rPr>
              <w:t>(2)</w:t>
            </w:r>
            <w:r w:rsidRPr="00A23740">
              <w:rPr>
                <w:b/>
                <w:bCs/>
                <w:color w:val="0000FF"/>
                <w:szCs w:val="24"/>
              </w:rPr>
              <w:t xml:space="preserve"> </w:t>
            </w:r>
            <w:r w:rsidRPr="00A23740">
              <w:rPr>
                <w:szCs w:val="24"/>
              </w:rPr>
              <w:t>İcra takibinden önce açılan menfi tes</w:t>
            </w:r>
            <w:r w:rsidRPr="00A23740">
              <w:rPr>
                <w:b/>
                <w:bCs/>
                <w:color w:val="0000FF"/>
                <w:szCs w:val="24"/>
                <w:lang w:val="x-none" w:eastAsia="x-none"/>
              </w:rPr>
              <w:t>p</w:t>
            </w:r>
            <w:r w:rsidRPr="00A23740">
              <w:rPr>
                <w:szCs w:val="24"/>
              </w:rPr>
              <w:t xml:space="preserve">it davasında mahkeme, talep üzerine icra takibinin </w:t>
            </w:r>
            <w:r w:rsidRPr="00A23740">
              <w:rPr>
                <w:b/>
                <w:bCs/>
                <w:color w:val="0000FF"/>
                <w:szCs w:val="24"/>
                <w:lang w:val="x-none" w:eastAsia="x-none"/>
              </w:rPr>
              <w:t>yapılmaması; icra takibi başlamışsa bunun</w:t>
            </w:r>
            <w:r w:rsidRPr="00A23740">
              <w:rPr>
                <w:rFonts w:eastAsia="ヒラギノ明朝 Pro W3"/>
                <w:b/>
                <w:color w:val="339933"/>
                <w:szCs w:val="24"/>
              </w:rPr>
              <w:t xml:space="preserve"> </w:t>
            </w:r>
            <w:r w:rsidRPr="00A23740">
              <w:rPr>
                <w:b/>
                <w:bCs/>
                <w:color w:val="0000FF"/>
                <w:szCs w:val="24"/>
                <w:lang w:val="x-none" w:eastAsia="x-none"/>
              </w:rPr>
              <w:t>durdurulması</w:t>
            </w:r>
            <w:r w:rsidRPr="00A23740">
              <w:rPr>
                <w:color w:val="FF0000"/>
                <w:szCs w:val="24"/>
              </w:rPr>
              <w:t xml:space="preserve"> </w:t>
            </w:r>
            <w:r w:rsidRPr="00A23740">
              <w:rPr>
                <w:szCs w:val="24"/>
              </w:rPr>
              <w:t>hakkında</w:t>
            </w:r>
            <w:r w:rsidRPr="00A23740">
              <w:rPr>
                <w:b/>
                <w:bCs/>
                <w:color w:val="0000FF"/>
                <w:szCs w:val="24"/>
                <w:lang w:val="x-none" w:eastAsia="x-none"/>
              </w:rPr>
              <w:t>, teminatlı veya teminatsız olarak</w:t>
            </w:r>
            <w:r w:rsidRPr="00A23740">
              <w:rPr>
                <w:rFonts w:eastAsia="ヒラギノ明朝 Pro W3"/>
                <w:b/>
                <w:color w:val="339933"/>
                <w:szCs w:val="24"/>
              </w:rPr>
              <w:t xml:space="preserve"> </w:t>
            </w:r>
            <w:r w:rsidRPr="00A23740">
              <w:rPr>
                <w:szCs w:val="24"/>
              </w:rPr>
              <w:t>ihtiyati tedbir kararı verebilir.</w:t>
            </w:r>
            <w:r w:rsidRPr="00A23740">
              <w:rPr>
                <w:b/>
                <w:bCs/>
                <w:color w:val="0000FF"/>
                <w:szCs w:val="24"/>
                <w:lang w:val="x-none" w:eastAsia="x-none"/>
              </w:rPr>
              <w:t xml:space="preserve"> Bu h</w:t>
            </w:r>
            <w:r w:rsidR="00AD7D81" w:rsidRPr="00A23740">
              <w:rPr>
                <w:b/>
                <w:bCs/>
                <w:color w:val="0000FF"/>
                <w:szCs w:val="24"/>
                <w:lang w:eastAsia="x-none"/>
              </w:rPr>
              <w:t>â</w:t>
            </w:r>
            <w:r w:rsidRPr="00A23740">
              <w:rPr>
                <w:b/>
                <w:bCs/>
                <w:color w:val="0000FF"/>
                <w:szCs w:val="24"/>
                <w:lang w:val="x-none" w:eastAsia="x-none"/>
              </w:rPr>
              <w:t>lde alacaklı ancak menfi tespit davasının açıldığı mahkemeden ihtiyati haciz talebinde bulunabilir.</w:t>
            </w:r>
          </w:p>
          <w:p w:rsidR="00155AF4" w:rsidRPr="00A23740" w:rsidRDefault="00155AF4" w:rsidP="009431FF">
            <w:pPr>
              <w:tabs>
                <w:tab w:val="left" w:pos="567"/>
              </w:tabs>
              <w:autoSpaceDE w:val="0"/>
              <w:autoSpaceDN w:val="0"/>
              <w:adjustRightInd w:val="0"/>
              <w:rPr>
                <w:color w:val="0000FF"/>
                <w:szCs w:val="24"/>
              </w:rPr>
            </w:pPr>
          </w:p>
          <w:p w:rsidR="00155AF4" w:rsidRPr="00A23740" w:rsidRDefault="00155AF4" w:rsidP="009431FF">
            <w:pPr>
              <w:autoSpaceDE w:val="0"/>
              <w:autoSpaceDN w:val="0"/>
              <w:adjustRightInd w:val="0"/>
              <w:rPr>
                <w:b/>
                <w:bCs/>
                <w:color w:val="0000FF"/>
                <w:szCs w:val="24"/>
              </w:rPr>
            </w:pPr>
            <w:r w:rsidRPr="00A23740">
              <w:rPr>
                <w:b/>
                <w:bCs/>
                <w:color w:val="0000FF"/>
                <w:szCs w:val="24"/>
                <w:lang w:val="x-none" w:eastAsia="x-none"/>
              </w:rPr>
              <w:t>(3)</w:t>
            </w:r>
            <w:r w:rsidRPr="00A23740">
              <w:rPr>
                <w:szCs w:val="24"/>
              </w:rPr>
              <w:t xml:space="preserve"> İcra takibinden sonra açılan menfi tes</w:t>
            </w:r>
            <w:r w:rsidRPr="00A23740">
              <w:rPr>
                <w:b/>
                <w:bCs/>
                <w:color w:val="0000FF"/>
                <w:szCs w:val="24"/>
                <w:lang w:val="x-none" w:eastAsia="x-none"/>
              </w:rPr>
              <w:t>p</w:t>
            </w:r>
            <w:r w:rsidRPr="00A23740">
              <w:rPr>
                <w:szCs w:val="24"/>
              </w:rPr>
              <w:t xml:space="preserve">it davasında, </w:t>
            </w:r>
            <w:r w:rsidRPr="00A23740">
              <w:rPr>
                <w:b/>
                <w:bCs/>
                <w:color w:val="0000FF"/>
                <w:szCs w:val="24"/>
                <w:lang w:val="x-none" w:eastAsia="x-none"/>
              </w:rPr>
              <w:t>icra takibinin dayanağı olan belgenin sahteliğinin ileri sürülmesi h</w:t>
            </w:r>
            <w:r w:rsidR="00AD7D81" w:rsidRPr="00A23740">
              <w:rPr>
                <w:b/>
                <w:bCs/>
                <w:color w:val="0000FF"/>
                <w:szCs w:val="24"/>
                <w:lang w:eastAsia="x-none"/>
              </w:rPr>
              <w:t>â</w:t>
            </w:r>
            <w:r w:rsidRPr="00A23740">
              <w:rPr>
                <w:b/>
                <w:bCs/>
                <w:color w:val="0000FF"/>
                <w:szCs w:val="24"/>
                <w:lang w:val="x-none" w:eastAsia="x-none"/>
              </w:rPr>
              <w:t xml:space="preserve">linde mahkeme, teminatlı veya teminatsız olarak icra takibinin durdurulması ve kesin olarak veya ihtiyaten haczedilen malların muhafaza altına alınmaması, muhafaza altına alınan malların iadesi veya satışın durdurulması yahut icra </w:t>
            </w:r>
            <w:r w:rsidR="001647D1" w:rsidRPr="00D3397C">
              <w:rPr>
                <w:b/>
                <w:color w:val="0000FF"/>
              </w:rPr>
              <w:t>ve</w:t>
            </w:r>
            <w:r w:rsidR="001647D1" w:rsidRPr="00A23740">
              <w:rPr>
                <w:b/>
                <w:color w:val="538135"/>
              </w:rPr>
              <w:t xml:space="preserve"> </w:t>
            </w:r>
            <w:r w:rsidR="001647D1" w:rsidRPr="00D3397C">
              <w:rPr>
                <w:b/>
                <w:color w:val="0000FF"/>
              </w:rPr>
              <w:t>iflas</w:t>
            </w:r>
            <w:r w:rsidR="001647D1" w:rsidRPr="00A23740">
              <w:rPr>
                <w:b/>
                <w:bCs/>
                <w:color w:val="0000FF"/>
                <w:szCs w:val="24"/>
                <w:lang w:val="x-none" w:eastAsia="x-none"/>
              </w:rPr>
              <w:t xml:space="preserve"> </w:t>
            </w:r>
            <w:r w:rsidRPr="00A23740">
              <w:rPr>
                <w:b/>
                <w:bCs/>
                <w:color w:val="0000FF"/>
                <w:szCs w:val="24"/>
                <w:lang w:val="x-none" w:eastAsia="x-none"/>
              </w:rPr>
              <w:t>dairesinin banka hesabına ödenen paranın alacaklıya verilmemesi hakkında ihtiyati tedbir kararı verebilir.</w:t>
            </w:r>
          </w:p>
          <w:p w:rsidR="00155AF4" w:rsidRPr="00A23740" w:rsidRDefault="00155AF4" w:rsidP="009431FF">
            <w:pPr>
              <w:autoSpaceDE w:val="0"/>
              <w:autoSpaceDN w:val="0"/>
              <w:adjustRightInd w:val="0"/>
              <w:rPr>
                <w:b/>
                <w:bCs/>
                <w:color w:val="FF0000"/>
                <w:szCs w:val="24"/>
              </w:rPr>
            </w:pPr>
          </w:p>
          <w:p w:rsidR="00155AF4" w:rsidRPr="00A9175D" w:rsidRDefault="00155AF4" w:rsidP="009431FF">
            <w:pPr>
              <w:tabs>
                <w:tab w:val="left" w:pos="567"/>
              </w:tabs>
              <w:rPr>
                <w:b/>
                <w:bCs/>
                <w:color w:val="0000FF"/>
                <w:szCs w:val="24"/>
                <w:lang w:eastAsia="x-none"/>
              </w:rPr>
            </w:pPr>
            <w:r w:rsidRPr="00A23740">
              <w:rPr>
                <w:b/>
                <w:bCs/>
                <w:color w:val="0000FF"/>
                <w:szCs w:val="24"/>
                <w:lang w:val="x-none" w:eastAsia="x-none"/>
              </w:rPr>
              <w:t>(4) İcra takibinden sonra açılan menfi tespit davasında, icra takibinin dayanağı olan belgenin sahteliğinin ileri sürülmesi dışındaki h</w:t>
            </w:r>
            <w:r w:rsidR="00AD7D81" w:rsidRPr="00A23740">
              <w:rPr>
                <w:b/>
                <w:bCs/>
                <w:color w:val="0000FF"/>
                <w:szCs w:val="24"/>
                <w:lang w:eastAsia="x-none"/>
              </w:rPr>
              <w:t>â</w:t>
            </w:r>
            <w:r w:rsidRPr="00A23740">
              <w:rPr>
                <w:b/>
                <w:bCs/>
                <w:color w:val="0000FF"/>
                <w:szCs w:val="24"/>
                <w:lang w:val="x-none" w:eastAsia="x-none"/>
              </w:rPr>
              <w:t>llerde mahkeme;</w:t>
            </w: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a) Alacağın yüzde yirmisinden aşağı olmamak üzere gösterilecek teminat karşılığında, icra</w:t>
            </w:r>
            <w:r w:rsidR="001647D1" w:rsidRPr="00A23740">
              <w:rPr>
                <w:b/>
                <w:color w:val="538135"/>
              </w:rPr>
              <w:t xml:space="preserve"> </w:t>
            </w:r>
            <w:r w:rsidR="001647D1" w:rsidRPr="00D3397C">
              <w:rPr>
                <w:b/>
                <w:color w:val="0000FF"/>
              </w:rPr>
              <w:t>ve iflas</w:t>
            </w:r>
            <w:r w:rsidRPr="00A23740">
              <w:rPr>
                <w:b/>
                <w:bCs/>
                <w:color w:val="0000FF"/>
                <w:szCs w:val="24"/>
                <w:lang w:val="x-none" w:eastAsia="x-none"/>
              </w:rPr>
              <w:t xml:space="preserve"> dairesinin banka hesabına ödenen paranın alacaklıya verilmemesine,</w:t>
            </w:r>
          </w:p>
          <w:p w:rsidR="00537077" w:rsidRPr="00A23740" w:rsidRDefault="00537077"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b) Alacağın yüzde kırkından aşağı olmamak üzere gösterilecek teminat karşılığında, haczedilen malların muhafaza altına alınmaması, muhafaza altına alınan malların iadesi veya satışın durdurulması tedbirlerine,</w:t>
            </w: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talep üzerine karar verebilir.</w:t>
            </w:r>
          </w:p>
          <w:p w:rsidR="00217988" w:rsidRPr="00A23740" w:rsidRDefault="00217988" w:rsidP="009431FF">
            <w:pPr>
              <w:pStyle w:val="YEL"/>
              <w:rPr>
                <w:lang w:val="tr-TR"/>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(5) Mahkeme, menfi tespit davasının icra takibinden önce veya sonra açıldığına bakmaksızın, borçlunun alacağın tamamını karşılayan banka teminat mektubu göstermesi veya alacağın tamamını icra </w:t>
            </w:r>
            <w:r w:rsidR="00C21C2C" w:rsidRPr="00D3397C">
              <w:rPr>
                <w:b/>
                <w:bCs/>
                <w:color w:val="0000FF"/>
                <w:szCs w:val="24"/>
                <w:lang w:val="x-none" w:eastAsia="x-none"/>
              </w:rPr>
              <w:t>ve iflas</w:t>
            </w:r>
            <w:r w:rsidR="00C21C2C" w:rsidRPr="00A23740">
              <w:rPr>
                <w:b/>
                <w:bCs/>
                <w:color w:val="538135"/>
                <w:szCs w:val="24"/>
                <w:lang w:val="x-none" w:eastAsia="x-none"/>
              </w:rPr>
              <w:t xml:space="preserve"> </w:t>
            </w:r>
            <w:r w:rsidRPr="00A23740">
              <w:rPr>
                <w:b/>
                <w:bCs/>
                <w:color w:val="0000FF"/>
                <w:szCs w:val="24"/>
                <w:lang w:val="x-none" w:eastAsia="x-none"/>
              </w:rPr>
              <w:t>dairesinin banka hesabına ödemesi ve ayrıca alacağın yüzde yirmisinden aşağı olmamak üzere teminat göstermesi karşılığında icra takibinin durdurulması ve yapılmış olan hacizlerin kaldırılması hakkında ihtiyati tedbir kararı verir.</w:t>
            </w:r>
          </w:p>
          <w:p w:rsidR="00155AF4" w:rsidRPr="00A23740" w:rsidRDefault="00155AF4" w:rsidP="009431FF">
            <w:pPr>
              <w:outlineLvl w:val="1"/>
              <w:rPr>
                <w:szCs w:val="24"/>
              </w:rPr>
            </w:pPr>
          </w:p>
        </w:tc>
      </w:tr>
      <w:tr w:rsidR="00155AF4" w:rsidRPr="00A23740" w:rsidTr="009431FF">
        <w:tc>
          <w:tcPr>
            <w:tcW w:w="5000" w:type="pct"/>
            <w:gridSpan w:val="2"/>
            <w:shd w:val="clear" w:color="auto" w:fill="DEEAF6"/>
          </w:tcPr>
          <w:p w:rsidR="006F7E8D" w:rsidRPr="00A23740" w:rsidRDefault="006F7E8D" w:rsidP="009431FF">
            <w:pPr>
              <w:widowControl w:val="0"/>
              <w:autoSpaceDE w:val="0"/>
              <w:autoSpaceDN w:val="0"/>
              <w:adjustRightInd w:val="0"/>
              <w:ind w:firstLine="709"/>
              <w:rPr>
                <w:szCs w:val="24"/>
              </w:rPr>
            </w:pPr>
          </w:p>
          <w:p w:rsidR="00DB2C16" w:rsidRPr="00A23740" w:rsidRDefault="00DB2C16" w:rsidP="009431FF">
            <w:pPr>
              <w:widowControl w:val="0"/>
              <w:autoSpaceDE w:val="0"/>
              <w:autoSpaceDN w:val="0"/>
              <w:adjustRightInd w:val="0"/>
              <w:ind w:firstLine="709"/>
              <w:rPr>
                <w:szCs w:val="24"/>
              </w:rPr>
            </w:pPr>
            <w:r w:rsidRPr="00A23740">
              <w:rPr>
                <w:b/>
                <w:szCs w:val="24"/>
              </w:rPr>
              <w:t>MADDE 98-</w:t>
            </w:r>
            <w:r w:rsidRPr="00A23740">
              <w:rPr>
                <w:szCs w:val="24"/>
              </w:rPr>
              <w:t xml:space="preserve"> </w:t>
            </w:r>
            <w:r w:rsidR="006F7E8D" w:rsidRPr="00A23740">
              <w:rPr>
                <w:szCs w:val="24"/>
              </w:rPr>
              <w:t xml:space="preserve">Maddeyle, menfi tespit davasına ilişkin hususlar düzenlenmektedir. </w:t>
            </w:r>
            <w:r w:rsidR="00BC4136" w:rsidRPr="00A23740">
              <w:rPr>
                <w:szCs w:val="24"/>
              </w:rPr>
              <w:t>Taslağın 98 inci maddesi,</w:t>
            </w:r>
            <w:r w:rsidR="006F7E8D" w:rsidRPr="00A23740">
              <w:rPr>
                <w:szCs w:val="24"/>
              </w:rPr>
              <w:t xml:space="preserve"> 2004 sayılı Kanunun 72 nci maddesine kısmen karşılık gelmektedir. 2004 sayılı Kanunun </w:t>
            </w:r>
            <w:r w:rsidRPr="00A23740">
              <w:rPr>
                <w:szCs w:val="24"/>
              </w:rPr>
              <w:t xml:space="preserve">72 nci maddesinin yedinci fıkrası </w:t>
            </w:r>
            <w:r w:rsidR="00A84F1B" w:rsidRPr="00A23740">
              <w:rPr>
                <w:szCs w:val="24"/>
              </w:rPr>
              <w:t xml:space="preserve">Taslakta </w:t>
            </w:r>
            <w:r w:rsidRPr="00A23740">
              <w:rPr>
                <w:szCs w:val="24"/>
              </w:rPr>
              <w:t>“İstirdat davası” kenar başlıklı yeni bir madde olarak, son fıkrası ise “Menfi tespit ve istirdat davalarında yetkili mahkeme” kenar başlıklı yeni bir madde olarak düzenlenmiştir.</w:t>
            </w:r>
          </w:p>
          <w:p w:rsidR="00DB2C16" w:rsidRPr="00A23740" w:rsidRDefault="006F7E8D" w:rsidP="009431FF">
            <w:pPr>
              <w:widowControl w:val="0"/>
              <w:autoSpaceDE w:val="0"/>
              <w:autoSpaceDN w:val="0"/>
              <w:adjustRightInd w:val="0"/>
              <w:ind w:firstLine="709"/>
              <w:rPr>
                <w:szCs w:val="24"/>
              </w:rPr>
            </w:pPr>
            <w:r w:rsidRPr="00A23740">
              <w:rPr>
                <w:szCs w:val="24"/>
              </w:rPr>
              <w:t>Maddenin bir</w:t>
            </w:r>
            <w:r w:rsidR="00DB2C16" w:rsidRPr="00A23740">
              <w:rPr>
                <w:szCs w:val="24"/>
              </w:rPr>
              <w:t>inci fıkrasında bir borca ilişkin olarak, takip alacaklısına veya takip başlatılmamış ise alacaklı olduğunu iddia edebilecek kişiye karşı menfi tespit davası açılabileceği tasrih olunmuştur.</w:t>
            </w:r>
          </w:p>
          <w:p w:rsidR="00DB2C16" w:rsidRPr="00A23740" w:rsidRDefault="006F7E8D" w:rsidP="009431FF">
            <w:pPr>
              <w:widowControl w:val="0"/>
              <w:autoSpaceDE w:val="0"/>
              <w:autoSpaceDN w:val="0"/>
              <w:adjustRightInd w:val="0"/>
              <w:ind w:firstLine="709"/>
              <w:rPr>
                <w:szCs w:val="24"/>
              </w:rPr>
            </w:pPr>
            <w:r w:rsidRPr="00A23740">
              <w:rPr>
                <w:szCs w:val="24"/>
              </w:rPr>
              <w:t>Bu bağlamda 6100 sayılı Kanunun 209 uncu maddesi</w:t>
            </w:r>
            <w:r w:rsidR="00DB2C16" w:rsidRPr="00A23740">
              <w:rPr>
                <w:szCs w:val="24"/>
              </w:rPr>
              <w:t xml:space="preserve"> </w:t>
            </w:r>
            <w:r w:rsidRPr="00A23740">
              <w:rPr>
                <w:szCs w:val="24"/>
              </w:rPr>
              <w:t>hükmü ile mülga Hukuk Usulü Muhakemeleri Kanununun 314 üncü maddesi</w:t>
            </w:r>
            <w:r w:rsidR="00DB2C16" w:rsidRPr="00A23740">
              <w:rPr>
                <w:szCs w:val="24"/>
              </w:rPr>
              <w:t xml:space="preserve"> arasındaki farklılık dikkate alınarak ve bu konudaki ta</w:t>
            </w:r>
            <w:r w:rsidRPr="00A23740">
              <w:rPr>
                <w:szCs w:val="24"/>
              </w:rPr>
              <w:t xml:space="preserve">rtışmalara son vermek üzere, 6100 sayılı Kanunun 209 uncu maddesi </w:t>
            </w:r>
            <w:r w:rsidR="00DB2C16" w:rsidRPr="00A23740">
              <w:rPr>
                <w:szCs w:val="24"/>
              </w:rPr>
              <w:t>hükmünün sahtelik iddiasının takibi kendiliğinden durduracağına ilişkin olan yönü itibariyle zımnen ilga edildiği kabul edilmiş olmaktadır.</w:t>
            </w:r>
          </w:p>
          <w:p w:rsidR="00DB2C16" w:rsidRPr="00A23740" w:rsidRDefault="00DB2C16" w:rsidP="009431FF">
            <w:pPr>
              <w:widowControl w:val="0"/>
              <w:autoSpaceDE w:val="0"/>
              <w:autoSpaceDN w:val="0"/>
              <w:adjustRightInd w:val="0"/>
              <w:ind w:firstLine="709"/>
              <w:outlineLvl w:val="1"/>
              <w:rPr>
                <w:szCs w:val="24"/>
              </w:rPr>
            </w:pPr>
            <w:r w:rsidRPr="00A23740">
              <w:rPr>
                <w:szCs w:val="24"/>
              </w:rPr>
              <w:t>Madde</w:t>
            </w:r>
            <w:r w:rsidR="006F7E8D" w:rsidRPr="00A23740">
              <w:rPr>
                <w:szCs w:val="24"/>
              </w:rPr>
              <w:t>nin iki</w:t>
            </w:r>
            <w:r w:rsidRPr="00A23740">
              <w:rPr>
                <w:szCs w:val="24"/>
              </w:rPr>
              <w:t>nci fıkrasında icra takibinden önce açılan menfi tespit davasında mahkemenin, talep üzerine icra takibinin yapılmaması; icra takibi başlamışsa bunun durdurulması hakkında, teminatlı veya teminatsız olarak ihtiyati tedbir kararı verebileceği ve bu h</w:t>
            </w:r>
            <w:r w:rsidR="00F906A7" w:rsidRPr="00A23740">
              <w:rPr>
                <w:szCs w:val="24"/>
              </w:rPr>
              <w:t>â</w:t>
            </w:r>
            <w:r w:rsidRPr="00A23740">
              <w:rPr>
                <w:szCs w:val="24"/>
              </w:rPr>
              <w:t>lde alacaklının ancak menfi tespit davasının açıldığı mahkemeden ihtiyati haciz talebinde bulunabileceği düzenlenmiştir.</w:t>
            </w:r>
            <w:r w:rsidR="006F7E8D" w:rsidRPr="00A23740">
              <w:rPr>
                <w:szCs w:val="24"/>
              </w:rPr>
              <w:t xml:space="preserve"> </w:t>
            </w:r>
            <w:r w:rsidRPr="00A23740">
              <w:rPr>
                <w:szCs w:val="24"/>
              </w:rPr>
              <w:t xml:space="preserve">Bu düzenleme yapılırken </w:t>
            </w:r>
            <w:r w:rsidR="006F7E8D" w:rsidRPr="00A23740">
              <w:rPr>
                <w:szCs w:val="24"/>
              </w:rPr>
              <w:t xml:space="preserve">6100 sayılı Kanunun 392 nci maddesi </w:t>
            </w:r>
            <w:r w:rsidRPr="00A23740">
              <w:rPr>
                <w:szCs w:val="24"/>
              </w:rPr>
              <w:t>hükmü uyarınca h</w:t>
            </w:r>
            <w:r w:rsidR="00407C95" w:rsidRPr="00A23740">
              <w:t>â</w:t>
            </w:r>
            <w:r w:rsidRPr="00A23740">
              <w:rPr>
                <w:szCs w:val="24"/>
              </w:rPr>
              <w:t>kimin durum ve koşullar gerektiriyorsa teminatsız da ihtiyati tedbir kararı verebileceği dikkate alınmıştır.</w:t>
            </w:r>
          </w:p>
          <w:p w:rsidR="00DB2C16" w:rsidRPr="00D3397C" w:rsidRDefault="006F7E8D" w:rsidP="009431FF">
            <w:pPr>
              <w:widowControl w:val="0"/>
              <w:autoSpaceDE w:val="0"/>
              <w:autoSpaceDN w:val="0"/>
              <w:adjustRightInd w:val="0"/>
              <w:ind w:firstLine="709"/>
              <w:outlineLvl w:val="1"/>
              <w:rPr>
                <w:szCs w:val="24"/>
              </w:rPr>
            </w:pPr>
            <w:r w:rsidRPr="00A23740">
              <w:rPr>
                <w:szCs w:val="24"/>
              </w:rPr>
              <w:t>Maddenin üç</w:t>
            </w:r>
            <w:r w:rsidR="00DB2C16" w:rsidRPr="00A23740">
              <w:rPr>
                <w:szCs w:val="24"/>
              </w:rPr>
              <w:t>üncü fıkrasında icra takibinden sonra açılan menfi tespit davasında, icra takibinin dayanağı olan belgenin sahteliğinin ileri sürülmesi h</w:t>
            </w:r>
            <w:r w:rsidR="00F906A7" w:rsidRPr="00A23740">
              <w:rPr>
                <w:szCs w:val="24"/>
              </w:rPr>
              <w:t>â</w:t>
            </w:r>
            <w:r w:rsidR="00DB2C16" w:rsidRPr="00A23740">
              <w:rPr>
                <w:szCs w:val="24"/>
              </w:rPr>
              <w:t xml:space="preserve">linde mahkemenin, teminatlı veya teminatsız olarak icra takibinin durdurulması </w:t>
            </w:r>
            <w:r w:rsidR="00DB2C16" w:rsidRPr="00D3397C">
              <w:rPr>
                <w:szCs w:val="24"/>
              </w:rPr>
              <w:t>ve</w:t>
            </w:r>
            <w:r w:rsidR="00DB2C16" w:rsidRPr="00A23740">
              <w:rPr>
                <w:szCs w:val="24"/>
              </w:rPr>
              <w:t xml:space="preserve"> kesin olarak veya ihtiyaten haczedilen malların muhafaza altına alınmaması, muhafaza altına alınan malların iadesi veya satışın durdurulması yahut </w:t>
            </w:r>
            <w:r w:rsidR="00DB2C16" w:rsidRPr="00D3397C">
              <w:rPr>
                <w:szCs w:val="24"/>
              </w:rPr>
              <w:t>icra</w:t>
            </w:r>
            <w:r w:rsidR="001647D1" w:rsidRPr="00D3397C">
              <w:rPr>
                <w:szCs w:val="24"/>
              </w:rPr>
              <w:t xml:space="preserve"> ve iflas</w:t>
            </w:r>
            <w:r w:rsidR="00DB2C16" w:rsidRPr="00D3397C">
              <w:rPr>
                <w:szCs w:val="24"/>
              </w:rPr>
              <w:t xml:space="preserve"> dairesinin banka hesabına ödenen paranın alacaklıya verilmemesi hakkında ihtiyati tedbir kararı verebileceği düzenlenmiştir.</w:t>
            </w:r>
          </w:p>
          <w:p w:rsidR="00DB2C16" w:rsidRPr="00D3397C" w:rsidRDefault="006F7E8D" w:rsidP="009431FF">
            <w:pPr>
              <w:widowControl w:val="0"/>
              <w:autoSpaceDE w:val="0"/>
              <w:autoSpaceDN w:val="0"/>
              <w:adjustRightInd w:val="0"/>
              <w:ind w:firstLine="709"/>
              <w:outlineLvl w:val="1"/>
              <w:rPr>
                <w:szCs w:val="24"/>
              </w:rPr>
            </w:pPr>
            <w:r w:rsidRPr="00D3397C">
              <w:rPr>
                <w:szCs w:val="24"/>
              </w:rPr>
              <w:t xml:space="preserve">Maddenin dördüncü </w:t>
            </w:r>
            <w:r w:rsidR="00DB2C16" w:rsidRPr="00D3397C">
              <w:rPr>
                <w:szCs w:val="24"/>
              </w:rPr>
              <w:t>fıkrasına göre ise icra takibinden sonra açılan menfi tespit davasında, icra takibinin dayanağı olan belgenin sahteliğinin ileri sürülmesi dışındaki h</w:t>
            </w:r>
            <w:r w:rsidR="00F906A7" w:rsidRPr="00D3397C">
              <w:rPr>
                <w:szCs w:val="24"/>
              </w:rPr>
              <w:t>â</w:t>
            </w:r>
            <w:r w:rsidR="00DB2C16" w:rsidRPr="00D3397C">
              <w:rPr>
                <w:szCs w:val="24"/>
              </w:rPr>
              <w:t>llerde mahkeme, talep üzerine</w:t>
            </w:r>
            <w:r w:rsidRPr="00D3397C">
              <w:rPr>
                <w:szCs w:val="24"/>
              </w:rPr>
              <w:t xml:space="preserve">; </w:t>
            </w:r>
          </w:p>
          <w:p w:rsidR="00DB2C16" w:rsidRPr="00D3397C" w:rsidRDefault="00DB2C16" w:rsidP="009431FF">
            <w:pPr>
              <w:widowControl w:val="0"/>
              <w:autoSpaceDE w:val="0"/>
              <w:autoSpaceDN w:val="0"/>
              <w:adjustRightInd w:val="0"/>
              <w:ind w:firstLine="709"/>
              <w:outlineLvl w:val="1"/>
              <w:rPr>
                <w:szCs w:val="24"/>
              </w:rPr>
            </w:pPr>
            <w:r w:rsidRPr="00D3397C">
              <w:rPr>
                <w:szCs w:val="24"/>
              </w:rPr>
              <w:t xml:space="preserve">Alacağın yüzde yirmisinden aşağı olmamak üzere gösterilecek teminat karşılığında, icra </w:t>
            </w:r>
            <w:r w:rsidR="001647D1" w:rsidRPr="00D3397C">
              <w:rPr>
                <w:szCs w:val="24"/>
              </w:rPr>
              <w:t xml:space="preserve">ve iflas </w:t>
            </w:r>
            <w:r w:rsidRPr="00D3397C">
              <w:rPr>
                <w:szCs w:val="24"/>
              </w:rPr>
              <w:t>dairesinin banka hesabına ödenen paranın alacaklıya verilmemesine,</w:t>
            </w:r>
          </w:p>
          <w:p w:rsidR="003E5126" w:rsidRDefault="00DB2C16" w:rsidP="009431FF">
            <w:pPr>
              <w:widowControl w:val="0"/>
              <w:tabs>
                <w:tab w:val="left" w:pos="567"/>
              </w:tabs>
              <w:autoSpaceDE w:val="0"/>
              <w:autoSpaceDN w:val="0"/>
              <w:adjustRightInd w:val="0"/>
              <w:ind w:firstLine="709"/>
              <w:rPr>
                <w:szCs w:val="24"/>
              </w:rPr>
            </w:pPr>
            <w:r w:rsidRPr="00A23740">
              <w:rPr>
                <w:szCs w:val="24"/>
              </w:rPr>
              <w:t>Alacağın yüzde kırkından aşağı olmamak üzere gösterilecek teminat karşılığında, haczedilen malların muhafaza altına alınmaması, muhafaza altına alınan malların iadesi veya satışın durdurulması tedbirlerine,</w:t>
            </w:r>
          </w:p>
          <w:p w:rsidR="00DB2C16" w:rsidRPr="00A23740" w:rsidRDefault="00DB2C16" w:rsidP="009431FF">
            <w:pPr>
              <w:widowControl w:val="0"/>
              <w:tabs>
                <w:tab w:val="left" w:pos="567"/>
              </w:tabs>
              <w:autoSpaceDE w:val="0"/>
              <w:autoSpaceDN w:val="0"/>
              <w:adjustRightInd w:val="0"/>
              <w:ind w:firstLine="709"/>
              <w:rPr>
                <w:szCs w:val="24"/>
              </w:rPr>
            </w:pPr>
            <w:r w:rsidRPr="00A23740">
              <w:rPr>
                <w:szCs w:val="24"/>
              </w:rPr>
              <w:t>karar verebilecektir.</w:t>
            </w:r>
            <w:r w:rsidR="00E05113" w:rsidRPr="00A23740">
              <w:rPr>
                <w:szCs w:val="24"/>
              </w:rPr>
              <w:t xml:space="preserve"> </w:t>
            </w:r>
          </w:p>
          <w:p w:rsidR="00E91409" w:rsidRPr="00A23740" w:rsidRDefault="00DB2C16" w:rsidP="009431FF">
            <w:pPr>
              <w:widowControl w:val="0"/>
              <w:tabs>
                <w:tab w:val="left" w:pos="567"/>
              </w:tabs>
              <w:autoSpaceDE w:val="0"/>
              <w:autoSpaceDN w:val="0"/>
              <w:adjustRightInd w:val="0"/>
              <w:ind w:firstLine="709"/>
              <w:rPr>
                <w:szCs w:val="24"/>
              </w:rPr>
            </w:pPr>
            <w:r w:rsidRPr="00A23740">
              <w:rPr>
                <w:szCs w:val="24"/>
              </w:rPr>
              <w:t xml:space="preserve">Maddenin </w:t>
            </w:r>
            <w:r w:rsidR="006F7E8D" w:rsidRPr="00A23740">
              <w:rPr>
                <w:szCs w:val="24"/>
              </w:rPr>
              <w:t xml:space="preserve">beşinci </w:t>
            </w:r>
            <w:r w:rsidRPr="00A23740">
              <w:rPr>
                <w:szCs w:val="24"/>
              </w:rPr>
              <w:t xml:space="preserve">fıkrasında mahkemenin, menfi tespit davasının icra takibinden önce veya sonra açıldığına bakmaksızın, borçlunun alacağın tamamını karşılayan banka teminat mektubu göstermesi veya alacağın tamamını icra </w:t>
            </w:r>
            <w:r w:rsidR="005F30CB" w:rsidRPr="00D3397C">
              <w:t>ve iflas</w:t>
            </w:r>
            <w:r w:rsidR="005F30CB" w:rsidRPr="00A23740">
              <w:rPr>
                <w:szCs w:val="24"/>
              </w:rPr>
              <w:t xml:space="preserve"> </w:t>
            </w:r>
            <w:r w:rsidRPr="00A23740">
              <w:rPr>
                <w:szCs w:val="24"/>
              </w:rPr>
              <w:t>dairesinin banka hesabına ödemesi ve ayrıca alacağın yüzde yirmisinden aşağı olmamak üzere teminat göstermesi karşılığında icra takibinin durdurulması ve yapılmış olan hacizlerin kaldırılması hakkında ihtiyati tedbir kararı verebileceği öngör</w:t>
            </w:r>
            <w:r w:rsidR="00A84F1B" w:rsidRPr="00A23740">
              <w:rPr>
                <w:szCs w:val="24"/>
              </w:rPr>
              <w:t>ül</w:t>
            </w:r>
            <w:r w:rsidRPr="00A23740">
              <w:rPr>
                <w:szCs w:val="24"/>
              </w:rPr>
              <w:t>mektedir. Mahkemenin bu son fikra uyarınca icra takibini durdurması veya hacizlerin kaldırılmasına karar vermesi bakımından bir takdir yet</w:t>
            </w:r>
            <w:r w:rsidR="00AD7D81" w:rsidRPr="00A23740">
              <w:rPr>
                <w:szCs w:val="24"/>
              </w:rPr>
              <w:t>kisi bulunmayı</w:t>
            </w:r>
            <w:r w:rsidRPr="00A23740">
              <w:rPr>
                <w:szCs w:val="24"/>
              </w:rPr>
              <w:t>p maddede öngörülen koşullar yerine getirildiğinde bu yönd</w:t>
            </w:r>
            <w:r w:rsidR="006F7E8D" w:rsidRPr="00A23740">
              <w:rPr>
                <w:szCs w:val="24"/>
              </w:rPr>
              <w:t>e karar vermesi zorunludur.</w:t>
            </w:r>
          </w:p>
          <w:p w:rsidR="00E91409" w:rsidRPr="00A23740" w:rsidRDefault="00E91409" w:rsidP="009431FF">
            <w:pPr>
              <w:widowControl w:val="0"/>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6"/>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szCs w:val="24"/>
              </w:rPr>
            </w:pPr>
            <w:r w:rsidRPr="00A23740">
              <w:rPr>
                <w:szCs w:val="24"/>
              </w:rPr>
              <w:t xml:space="preserve">Menfi </w:t>
            </w:r>
            <w:r w:rsidRPr="00A9175D">
              <w:rPr>
                <w:rStyle w:val="KIRMIZIChar"/>
                <w:rFonts w:eastAsia="Calibri"/>
              </w:rPr>
              <w:t>tesbit ve</w:t>
            </w:r>
            <w:r w:rsidRPr="00A23740">
              <w:rPr>
                <w:b/>
                <w:bCs/>
                <w:strike/>
                <w:color w:val="FF0000"/>
                <w:szCs w:val="24"/>
              </w:rPr>
              <w:t xml:space="preserve"> istirda</w:t>
            </w:r>
            <w:r w:rsidRPr="00A9175D">
              <w:rPr>
                <w:rStyle w:val="KIRMIZIChar"/>
                <w:rFonts w:eastAsia="Calibri"/>
              </w:rPr>
              <w:t>t davaları:</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 xml:space="preserve">Madde 72 – </w:t>
            </w:r>
          </w:p>
          <w:p w:rsidR="00155AF4" w:rsidRPr="00A23740" w:rsidRDefault="00155AF4" w:rsidP="009431FF">
            <w:pPr>
              <w:tabs>
                <w:tab w:val="left" w:pos="567"/>
              </w:tabs>
              <w:autoSpaceDE w:val="0"/>
              <w:autoSpaceDN w:val="0"/>
              <w:adjustRightInd w:val="0"/>
              <w:rPr>
                <w:szCs w:val="24"/>
              </w:rPr>
            </w:pPr>
            <w:r w:rsidRPr="00A23740">
              <w:rPr>
                <w:szCs w:val="24"/>
              </w:rPr>
              <w:t>(…)</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(4) (Değişik: 9/11/1988 - 3494/6 md.)</w:t>
            </w:r>
            <w:r w:rsidRPr="00A23740">
              <w:rPr>
                <w:szCs w:val="24"/>
              </w:rPr>
              <w:t xml:space="preserve"> Dava alacaklı lehine </w:t>
            </w:r>
            <w:r w:rsidRPr="00A23740">
              <w:rPr>
                <w:b/>
                <w:strike/>
                <w:color w:val="FF0000"/>
                <w:szCs w:val="24"/>
                <w:lang w:eastAsia="x-none"/>
              </w:rPr>
              <w:t>neticelenirse</w:t>
            </w:r>
            <w:r w:rsidRPr="00A23740">
              <w:rPr>
                <w:szCs w:val="24"/>
              </w:rPr>
              <w:t xml:space="preserve"> ihtiyati tedbir kararı kalkar</w:t>
            </w:r>
            <w:r w:rsidRPr="00A23740">
              <w:rPr>
                <w:b/>
                <w:strike/>
                <w:color w:val="FF0000"/>
                <w:szCs w:val="24"/>
                <w:lang w:eastAsia="x-none"/>
              </w:rPr>
              <w:t>.</w:t>
            </w:r>
            <w:r w:rsidRPr="00A23740">
              <w:rPr>
                <w:szCs w:val="24"/>
              </w:rPr>
              <w:t xml:space="preserve"> Buna dair hükmün kesinleşmesi halinde alacaklı ihtiyati tedbir dolayısıyla alacağını geç almış bulunmaktan doğan zararlarını gösterilen teminattan alır. Alacaklının uğradığı zarar aynı davada takdir olunarak karara bağlanır. Bu zarar </w:t>
            </w:r>
            <w:r w:rsidRPr="00A23740">
              <w:rPr>
                <w:b/>
                <w:strike/>
                <w:color w:val="FF0000"/>
                <w:szCs w:val="24"/>
                <w:lang w:eastAsia="x-none"/>
              </w:rPr>
              <w:t>herhalde</w:t>
            </w:r>
            <w:r w:rsidRPr="00A23740">
              <w:rPr>
                <w:szCs w:val="24"/>
              </w:rPr>
              <w:t xml:space="preserve"> yüzde </w:t>
            </w:r>
            <w:r w:rsidRPr="00A23740">
              <w:rPr>
                <w:b/>
                <w:bCs/>
                <w:strike/>
                <w:color w:val="FF0000"/>
                <w:szCs w:val="24"/>
              </w:rPr>
              <w:t>yirmiden</w:t>
            </w:r>
            <w:r w:rsidRPr="00A23740">
              <w:rPr>
                <w:szCs w:val="24"/>
              </w:rPr>
              <w:t xml:space="preserve"> aşağı tayin edilemez.</w:t>
            </w:r>
          </w:p>
          <w:p w:rsidR="00155AF4" w:rsidRPr="00A23740" w:rsidRDefault="00155AF4" w:rsidP="009431FF">
            <w:pPr>
              <w:tabs>
                <w:tab w:val="left" w:pos="567"/>
              </w:tabs>
              <w:autoSpaceDE w:val="0"/>
              <w:autoSpaceDN w:val="0"/>
              <w:adjustRightInd w:val="0"/>
              <w:rPr>
                <w:szCs w:val="24"/>
              </w:rPr>
            </w:pPr>
          </w:p>
          <w:p w:rsidR="007D5D98" w:rsidRPr="00A23740" w:rsidRDefault="007D5D98"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(5) (Değişik: 9/11/1988 - 3494/6 md.)</w:t>
            </w:r>
            <w:r w:rsidRPr="00A23740">
              <w:rPr>
                <w:szCs w:val="24"/>
              </w:rPr>
              <w:t xml:space="preserve"> Dava borçlu </w:t>
            </w:r>
            <w:r w:rsidRPr="00A23740">
              <w:rPr>
                <w:b/>
                <w:strike/>
                <w:color w:val="FF0000"/>
                <w:szCs w:val="24"/>
                <w:lang w:eastAsia="x-none"/>
              </w:rPr>
              <w:t>lehine hükme bağlanırsa</w:t>
            </w:r>
            <w:r w:rsidRPr="00A23740">
              <w:rPr>
                <w:szCs w:val="24"/>
              </w:rPr>
              <w:t xml:space="preserve"> derhal takip durur. İlamın kesinleşmesi üzerine </w:t>
            </w:r>
            <w:r w:rsidRPr="00A23740">
              <w:rPr>
                <w:b/>
                <w:strike/>
                <w:color w:val="FF0000"/>
                <w:szCs w:val="24"/>
                <w:lang w:eastAsia="x-none"/>
              </w:rPr>
              <w:t>münderecatına göre ve</w:t>
            </w:r>
            <w:r w:rsidRPr="00A23740">
              <w:rPr>
                <w:szCs w:val="24"/>
              </w:rPr>
              <w:t xml:space="preserve"> ayrıca hükme </w:t>
            </w:r>
            <w:r w:rsidRPr="00A23740">
              <w:rPr>
                <w:b/>
                <w:bCs/>
                <w:strike/>
                <w:color w:val="FF0000"/>
                <w:szCs w:val="24"/>
              </w:rPr>
              <w:t>hacet</w:t>
            </w:r>
            <w:r w:rsidRPr="00A23740">
              <w:rPr>
                <w:szCs w:val="24"/>
              </w:rPr>
              <w:t xml:space="preserve"> kalma</w:t>
            </w:r>
            <w:r w:rsidRPr="00A23740">
              <w:rPr>
                <w:b/>
                <w:bCs/>
                <w:strike/>
                <w:color w:val="FF0000"/>
                <w:szCs w:val="24"/>
              </w:rPr>
              <w:t>dan</w:t>
            </w:r>
            <w:r w:rsidRPr="00A23740">
              <w:rPr>
                <w:szCs w:val="24"/>
              </w:rPr>
              <w:t xml:space="preserve"> icra kısmen veya tamamen eski hale iade edilir. Borçluyu menfi tespit davası açmaya zorlayan takibin haksız ve kötü niyetli olduğu anlaşılırşa, talebi üzerine, borçlunun dava sebebi </w:t>
            </w:r>
            <w:r w:rsidRPr="00A23740">
              <w:rPr>
                <w:rStyle w:val="KIRMIZIChar"/>
                <w:rFonts w:eastAsia="Calibri"/>
              </w:rPr>
              <w:t>ile</w:t>
            </w:r>
            <w:r w:rsidRPr="00A23740">
              <w:rPr>
                <w:szCs w:val="24"/>
              </w:rPr>
              <w:t xml:space="preserve"> uğradığı zararın da alacaklıdan tahsiline karar verilir. </w:t>
            </w:r>
            <w:r w:rsidRPr="00A23740">
              <w:rPr>
                <w:b/>
                <w:bCs/>
                <w:strike/>
                <w:color w:val="FF0000"/>
                <w:szCs w:val="24"/>
              </w:rPr>
              <w:t>Takdir edilecek</w:t>
            </w:r>
            <w:r w:rsidRPr="00A23740">
              <w:rPr>
                <w:szCs w:val="24"/>
              </w:rPr>
              <w:t xml:space="preserve"> zarar, </w:t>
            </w:r>
            <w:r w:rsidRPr="00A23740">
              <w:rPr>
                <w:b/>
                <w:bCs/>
                <w:strike/>
                <w:color w:val="FF0000"/>
                <w:szCs w:val="24"/>
              </w:rPr>
              <w:t>haksızlığı anlaşılan takip konusu</w:t>
            </w:r>
            <w:r w:rsidRPr="00A23740">
              <w:rPr>
                <w:szCs w:val="24"/>
              </w:rPr>
              <w:t xml:space="preserve"> alacağın yüzde yirmisinden </w:t>
            </w:r>
            <w:r w:rsidRPr="00A23740">
              <w:rPr>
                <w:b/>
                <w:bCs/>
                <w:strike/>
                <w:color w:val="FF0000"/>
                <w:szCs w:val="24"/>
              </w:rPr>
              <w:t>aşağı olamaz</w:t>
            </w:r>
            <w:r w:rsidRPr="00A23740">
              <w:rPr>
                <w:szCs w:val="24"/>
              </w:rPr>
              <w:t>.</w:t>
            </w:r>
          </w:p>
          <w:p w:rsidR="003E5126" w:rsidRPr="00A23740" w:rsidRDefault="003E5126"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(6)</w:t>
            </w:r>
            <w:r w:rsidRPr="00A23740">
              <w:rPr>
                <w:szCs w:val="24"/>
              </w:rPr>
              <w:t xml:space="preserve"> Borçlu, menfi tesbit davası </w:t>
            </w:r>
            <w:r w:rsidRPr="00A23740">
              <w:rPr>
                <w:b/>
                <w:bCs/>
                <w:strike/>
                <w:color w:val="FF0000"/>
                <w:szCs w:val="24"/>
              </w:rPr>
              <w:t>zımmında</w:t>
            </w:r>
            <w:r w:rsidRPr="00A23740">
              <w:rPr>
                <w:szCs w:val="24"/>
              </w:rPr>
              <w:t xml:space="preserve"> tedbir kararı almamış ve borç da ödenmiş olursa, davaya istirdat davası olarak devam edilir.</w:t>
            </w:r>
          </w:p>
          <w:p w:rsidR="00155AF4" w:rsidRPr="00A23740" w:rsidRDefault="00155AF4" w:rsidP="009431FF">
            <w:pPr>
              <w:tabs>
                <w:tab w:val="left" w:pos="567"/>
              </w:tabs>
              <w:autoSpaceDE w:val="0"/>
              <w:autoSpaceDN w:val="0"/>
              <w:adjustRightInd w:val="0"/>
              <w:rPr>
                <w:szCs w:val="24"/>
              </w:rPr>
            </w:pPr>
          </w:p>
          <w:p w:rsidR="00C346BD" w:rsidRDefault="00C346BD" w:rsidP="009431FF">
            <w:pPr>
              <w:tabs>
                <w:tab w:val="left" w:pos="567"/>
              </w:tabs>
              <w:autoSpaceDE w:val="0"/>
              <w:autoSpaceDN w:val="0"/>
              <w:adjustRightInd w:val="0"/>
              <w:rPr>
                <w:szCs w:val="24"/>
              </w:rPr>
            </w:pPr>
          </w:p>
          <w:p w:rsidR="00A9175D" w:rsidRPr="00A23740" w:rsidRDefault="00A9175D" w:rsidP="009431FF">
            <w:pPr>
              <w:tabs>
                <w:tab w:val="left" w:pos="567"/>
              </w:tabs>
              <w:autoSpaceDE w:val="0"/>
              <w:autoSpaceDN w:val="0"/>
              <w:adjustRightInd w:val="0"/>
              <w:rPr>
                <w:szCs w:val="24"/>
              </w:rPr>
            </w:pPr>
          </w:p>
          <w:p w:rsidR="00155AF4" w:rsidRPr="00A23740" w:rsidRDefault="00155AF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(7) Takibe itiraz etmemiş veya itirazının kaldırılmış olması yüzünden borçlu olmadığı bir parayı tamamen ödemek mecburiyetinde kalan şahıs, ödediği tarihten itibaren bir sene içinde, umumi hükümler dairesinde mahkemeye başvurarak paranın geriye alınmasını istiyebilir.</w:t>
            </w:r>
          </w:p>
          <w:p w:rsidR="00155AF4" w:rsidRPr="00A23740" w:rsidRDefault="00155AF4" w:rsidP="009431FF">
            <w:pPr>
              <w:tabs>
                <w:tab w:val="left" w:pos="567"/>
              </w:tabs>
              <w:autoSpaceDE w:val="0"/>
              <w:autoSpaceDN w:val="0"/>
              <w:adjustRightInd w:val="0"/>
              <w:rPr>
                <w:szCs w:val="24"/>
              </w:rPr>
            </w:pPr>
          </w:p>
          <w:p w:rsidR="00155AF4" w:rsidRDefault="00155AF4" w:rsidP="009431FF">
            <w:pPr>
              <w:pStyle w:val="KIRMIZI"/>
            </w:pPr>
            <w:r w:rsidRPr="00A23740">
              <w:t>(8) Menfi tesbit ve istirdat davaları, takibi yapan icra dairesinin bulunduğu yer mahkemesinde açılabileceği gibi, davalının yerleşim yeri mahkemesinde de açılabilir. Davacı istirdat davasında yalnız paranın verilmesi lazımgelmediğini ispata mecburdur.</w:t>
            </w:r>
          </w:p>
          <w:p w:rsidR="003047A5" w:rsidRDefault="003047A5" w:rsidP="009431FF">
            <w:pPr>
              <w:pStyle w:val="KIRMIZI"/>
            </w:pPr>
          </w:p>
          <w:p w:rsidR="003047A5" w:rsidRPr="00A23740" w:rsidRDefault="003047A5" w:rsidP="009431FF">
            <w:pPr>
              <w:pStyle w:val="KIRMIZI"/>
            </w:pPr>
          </w:p>
          <w:p w:rsidR="007D5D98" w:rsidRPr="00A23740" w:rsidRDefault="007D5D98" w:rsidP="009431FF">
            <w:pPr>
              <w:pStyle w:val="KIRMIZI"/>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rPr>
                <w:b/>
                <w:bCs/>
                <w:color w:val="0000FF"/>
                <w:szCs w:val="24"/>
                <w:lang w:val="x-none" w:eastAsia="x-none"/>
              </w:rPr>
            </w:pPr>
            <w:r w:rsidRPr="00A9175D">
              <w:rPr>
                <w:b/>
                <w:bCs/>
                <w:szCs w:val="24"/>
                <w:lang w:val="x-none" w:eastAsia="x-none"/>
              </w:rPr>
              <w:t xml:space="preserve">Menfi </w:t>
            </w:r>
            <w:r w:rsidRPr="00A23740">
              <w:rPr>
                <w:b/>
                <w:bCs/>
                <w:color w:val="0000FF"/>
                <w:szCs w:val="24"/>
                <w:lang w:val="x-none" w:eastAsia="x-none"/>
              </w:rPr>
              <w:t>tespit davasının sonuçları</w:t>
            </w:r>
          </w:p>
          <w:p w:rsidR="00155AF4" w:rsidRPr="00A23740" w:rsidRDefault="00155AF4" w:rsidP="009431FF">
            <w:pPr>
              <w:autoSpaceDE w:val="0"/>
              <w:autoSpaceDN w:val="0"/>
              <w:adjustRightInd w:val="0"/>
              <w:rPr>
                <w:szCs w:val="24"/>
              </w:rPr>
            </w:pPr>
            <w:r w:rsidRPr="00A23740">
              <w:rPr>
                <w:b/>
                <w:bCs/>
                <w:color w:val="0000FF"/>
                <w:szCs w:val="24"/>
                <w:lang w:val="x-none" w:eastAsia="x-none"/>
              </w:rPr>
              <w:t>MADDE 99-</w:t>
            </w:r>
            <w:r w:rsidRPr="00A23740">
              <w:rPr>
                <w:b/>
                <w:bCs/>
                <w:color w:val="0000FF"/>
                <w:szCs w:val="24"/>
                <w:lang w:eastAsia="x-none"/>
              </w:rPr>
              <w:t xml:space="preserve"> </w:t>
            </w:r>
            <w:r w:rsidRPr="00A23740">
              <w:rPr>
                <w:b/>
                <w:bCs/>
                <w:color w:val="0000FF"/>
                <w:szCs w:val="24"/>
                <w:lang w:val="x-none" w:eastAsia="x-none"/>
              </w:rPr>
              <w:t xml:space="preserve">(1) Menfi tespit </w:t>
            </w:r>
            <w:r w:rsidRPr="00A23740">
              <w:rPr>
                <w:szCs w:val="24"/>
              </w:rPr>
              <w:t>dava</w:t>
            </w:r>
            <w:r w:rsidRPr="00A23740">
              <w:rPr>
                <w:b/>
                <w:bCs/>
                <w:color w:val="0000FF"/>
                <w:szCs w:val="24"/>
                <w:lang w:val="x-none" w:eastAsia="x-none"/>
              </w:rPr>
              <w:t xml:space="preserve">sı, </w:t>
            </w:r>
            <w:r w:rsidRPr="00A23740">
              <w:rPr>
                <w:szCs w:val="24"/>
              </w:rPr>
              <w:t xml:space="preserve">alacaklı lehine </w:t>
            </w:r>
            <w:r w:rsidRPr="00A23740">
              <w:rPr>
                <w:b/>
                <w:bCs/>
                <w:color w:val="0000FF"/>
                <w:szCs w:val="24"/>
                <w:lang w:val="x-none" w:eastAsia="x-none"/>
              </w:rPr>
              <w:t xml:space="preserve">sonuçlanırsa </w:t>
            </w:r>
            <w:r w:rsidRPr="00A23740">
              <w:rPr>
                <w:szCs w:val="24"/>
              </w:rPr>
              <w:t>ihtiyati tedbir kararı kalkar</w:t>
            </w:r>
            <w:r w:rsidRPr="00A23740">
              <w:rPr>
                <w:b/>
                <w:bCs/>
                <w:color w:val="0000FF"/>
                <w:szCs w:val="24"/>
                <w:lang w:eastAsia="x-none"/>
              </w:rPr>
              <w:t xml:space="preserve">; </w:t>
            </w:r>
            <w:r w:rsidRPr="00A23740">
              <w:rPr>
                <w:b/>
                <w:bCs/>
                <w:color w:val="0000FF"/>
                <w:szCs w:val="24"/>
                <w:lang w:val="x-none" w:eastAsia="x-none"/>
              </w:rPr>
              <w:t>şu kadar ki davanın reddi hakkındaki karara karşı kanun yoluna başvuran borçlu, icra</w:t>
            </w:r>
            <w:r w:rsidR="00C21C2C" w:rsidRPr="00A23740">
              <w:rPr>
                <w:b/>
                <w:bCs/>
                <w:color w:val="0000FF"/>
                <w:szCs w:val="24"/>
                <w:lang w:val="x-none" w:eastAsia="x-none"/>
              </w:rPr>
              <w:t xml:space="preserve"> </w:t>
            </w:r>
            <w:r w:rsidR="00C21C2C" w:rsidRPr="00D3397C">
              <w:rPr>
                <w:b/>
                <w:bCs/>
                <w:color w:val="0000FF"/>
                <w:szCs w:val="24"/>
                <w:lang w:val="x-none" w:eastAsia="x-none"/>
              </w:rPr>
              <w:t>ve iflas</w:t>
            </w:r>
            <w:r w:rsidRPr="00A23740">
              <w:rPr>
                <w:b/>
                <w:bCs/>
                <w:color w:val="538135"/>
                <w:szCs w:val="24"/>
                <w:lang w:val="x-none" w:eastAsia="x-none"/>
              </w:rPr>
              <w:t xml:space="preserve"> </w:t>
            </w:r>
            <w:r w:rsidRPr="00A23740">
              <w:rPr>
                <w:b/>
                <w:bCs/>
                <w:color w:val="0000FF"/>
                <w:szCs w:val="24"/>
                <w:lang w:val="x-none" w:eastAsia="x-none"/>
              </w:rPr>
              <w:t xml:space="preserve">dairesinden </w:t>
            </w:r>
            <w:r w:rsidRPr="00A23740">
              <w:rPr>
                <w:b/>
                <w:bCs/>
                <w:color w:val="0000FF"/>
                <w:szCs w:val="24"/>
                <w:lang w:eastAsia="x-none"/>
              </w:rPr>
              <w:t xml:space="preserve">55 inci </w:t>
            </w:r>
            <w:r w:rsidRPr="00A23740">
              <w:rPr>
                <w:b/>
                <w:bCs/>
                <w:color w:val="0000FF"/>
                <w:szCs w:val="24"/>
                <w:lang w:val="x-none" w:eastAsia="x-none"/>
              </w:rPr>
              <w:t xml:space="preserve">maddeye göre mühlet isteyebilir. </w:t>
            </w:r>
            <w:r w:rsidRPr="00A23740">
              <w:rPr>
                <w:szCs w:val="24"/>
              </w:rPr>
              <w:t>Buna dair hükmün kesinleşmesi h</w:t>
            </w:r>
            <w:r w:rsidR="000A20F1" w:rsidRPr="00A23740">
              <w:rPr>
                <w:szCs w:val="24"/>
              </w:rPr>
              <w:t>â</w:t>
            </w:r>
            <w:r w:rsidRPr="00A23740">
              <w:rPr>
                <w:szCs w:val="24"/>
              </w:rPr>
              <w:t xml:space="preserve">linde alacaklı, ihtiyati tedbir dolayısıyla alacağını geç almış bulunmaktan doğan zararlarını, </w:t>
            </w:r>
            <w:r w:rsidRPr="00A23740">
              <w:rPr>
                <w:b/>
                <w:bCs/>
                <w:color w:val="0000FF"/>
                <w:szCs w:val="24"/>
                <w:lang w:val="x-none" w:eastAsia="x-none"/>
              </w:rPr>
              <w:t>gösterilmiş olması h</w:t>
            </w:r>
            <w:r w:rsidR="00DF22A1" w:rsidRPr="00A23740">
              <w:rPr>
                <w:b/>
                <w:bCs/>
                <w:color w:val="0000FF"/>
                <w:szCs w:val="24"/>
                <w:lang w:eastAsia="x-none"/>
              </w:rPr>
              <w:t>â</w:t>
            </w:r>
            <w:r w:rsidRPr="00A23740">
              <w:rPr>
                <w:b/>
                <w:bCs/>
                <w:color w:val="0000FF"/>
                <w:szCs w:val="24"/>
                <w:lang w:val="x-none" w:eastAsia="x-none"/>
              </w:rPr>
              <w:t xml:space="preserve">linde </w:t>
            </w:r>
            <w:r w:rsidRPr="00A23740">
              <w:rPr>
                <w:szCs w:val="24"/>
              </w:rPr>
              <w:t xml:space="preserve">teminattan alır. Alacaklının uğradığı zarar, </w:t>
            </w:r>
            <w:r w:rsidRPr="00A23740">
              <w:rPr>
                <w:b/>
                <w:bCs/>
                <w:color w:val="0000FF"/>
                <w:szCs w:val="24"/>
                <w:lang w:val="x-none" w:eastAsia="x-none"/>
              </w:rPr>
              <w:t>talep üzerine,</w:t>
            </w:r>
            <w:r w:rsidRPr="00A23740">
              <w:rPr>
                <w:szCs w:val="24"/>
              </w:rPr>
              <w:t xml:space="preserve"> aynı davada takdir olunarak karara bağlanır. Bu zarar </w:t>
            </w:r>
            <w:r w:rsidRPr="00A23740">
              <w:rPr>
                <w:b/>
                <w:bCs/>
                <w:color w:val="0000FF"/>
                <w:szCs w:val="24"/>
                <w:lang w:val="x-none" w:eastAsia="x-none"/>
              </w:rPr>
              <w:t xml:space="preserve">için ödenecek tazminat, alacağın </w:t>
            </w:r>
            <w:r w:rsidRPr="00A23740">
              <w:rPr>
                <w:szCs w:val="24"/>
              </w:rPr>
              <w:t>yüzde yirmisi</w:t>
            </w:r>
            <w:r w:rsidRPr="00A23740">
              <w:rPr>
                <w:b/>
                <w:bCs/>
                <w:color w:val="0000FF"/>
                <w:szCs w:val="24"/>
                <w:lang w:val="x-none" w:eastAsia="x-none"/>
              </w:rPr>
              <w:t>n</w:t>
            </w:r>
            <w:r w:rsidRPr="00A23740">
              <w:rPr>
                <w:szCs w:val="24"/>
              </w:rPr>
              <w:t>den</w:t>
            </w:r>
            <w:r w:rsidRPr="00A23740">
              <w:rPr>
                <w:b/>
                <w:bCs/>
                <w:color w:val="0000FF"/>
                <w:szCs w:val="24"/>
                <w:lang w:val="x-none" w:eastAsia="x-none"/>
              </w:rPr>
              <w:t>,</w:t>
            </w:r>
            <w:r w:rsidR="00D752E8" w:rsidRPr="00A23740">
              <w:rPr>
                <w:b/>
                <w:bCs/>
                <w:color w:val="0000FF"/>
                <w:szCs w:val="24"/>
                <w:lang w:eastAsia="x-none"/>
              </w:rPr>
              <w:t xml:space="preserve"> </w:t>
            </w:r>
            <w:r w:rsidR="00D752E8" w:rsidRPr="00D3397C">
              <w:rPr>
                <w:rStyle w:val="YELChar"/>
                <w:color w:val="0000FF"/>
              </w:rPr>
              <w:t>98 inci</w:t>
            </w:r>
            <w:r w:rsidR="00D752E8" w:rsidRPr="00A23740">
              <w:rPr>
                <w:rStyle w:val="YELChar"/>
              </w:rPr>
              <w:t xml:space="preserve"> </w:t>
            </w:r>
            <w:r w:rsidR="00D752E8" w:rsidRPr="00D3397C">
              <w:rPr>
                <w:b/>
                <w:bCs/>
                <w:color w:val="0000FF"/>
                <w:szCs w:val="24"/>
                <w:lang w:val="x-none" w:eastAsia="x-none"/>
              </w:rPr>
              <w:t>maddenin</w:t>
            </w:r>
            <w:r w:rsidR="00D752E8" w:rsidRPr="00A23740">
              <w:rPr>
                <w:b/>
                <w:bCs/>
                <w:color w:val="0000FF"/>
                <w:szCs w:val="24"/>
                <w:lang w:eastAsia="x-none"/>
              </w:rPr>
              <w:t xml:space="preserve"> </w:t>
            </w:r>
            <w:r w:rsidRPr="00A23740">
              <w:rPr>
                <w:b/>
                <w:bCs/>
                <w:color w:val="0000FF"/>
                <w:szCs w:val="24"/>
                <w:lang w:val="x-none" w:eastAsia="x-none"/>
              </w:rPr>
              <w:t>üçüncü fıkra</w:t>
            </w:r>
            <w:r w:rsidR="00D752E8" w:rsidRPr="00D3397C">
              <w:rPr>
                <w:b/>
                <w:bCs/>
                <w:color w:val="0000FF"/>
                <w:szCs w:val="24"/>
                <w:lang w:val="x-none" w:eastAsia="x-none"/>
              </w:rPr>
              <w:t>sın</w:t>
            </w:r>
            <w:r w:rsidR="00D752E8" w:rsidRPr="00A23740">
              <w:rPr>
                <w:b/>
                <w:bCs/>
                <w:color w:val="0000FF"/>
                <w:szCs w:val="24"/>
                <w:lang w:eastAsia="x-none"/>
              </w:rPr>
              <w:t>d</w:t>
            </w:r>
            <w:r w:rsidRPr="00A23740">
              <w:rPr>
                <w:b/>
                <w:bCs/>
                <w:color w:val="0000FF"/>
                <w:szCs w:val="24"/>
                <w:lang w:val="x-none" w:eastAsia="x-none"/>
              </w:rPr>
              <w:t>aki h</w:t>
            </w:r>
            <w:r w:rsidR="00DF22A1" w:rsidRPr="00A23740">
              <w:rPr>
                <w:b/>
                <w:bCs/>
                <w:color w:val="0000FF"/>
                <w:szCs w:val="24"/>
                <w:lang w:eastAsia="x-none"/>
              </w:rPr>
              <w:t>â</w:t>
            </w:r>
            <w:r w:rsidRPr="00A23740">
              <w:rPr>
                <w:b/>
                <w:bCs/>
                <w:color w:val="0000FF"/>
                <w:szCs w:val="24"/>
                <w:lang w:val="x-none" w:eastAsia="x-none"/>
              </w:rPr>
              <w:t xml:space="preserve">llerde ise yüzde kırkından </w:t>
            </w:r>
            <w:r w:rsidRPr="00A23740">
              <w:rPr>
                <w:szCs w:val="24"/>
              </w:rPr>
              <w:t>aşağı tayin edilemez.</w:t>
            </w:r>
          </w:p>
          <w:p w:rsidR="00155AF4" w:rsidRPr="00A23740" w:rsidRDefault="00155AF4" w:rsidP="009431FF">
            <w:pPr>
              <w:autoSpaceDE w:val="0"/>
              <w:autoSpaceDN w:val="0"/>
              <w:adjustRightInd w:val="0"/>
              <w:rPr>
                <w:szCs w:val="24"/>
              </w:rPr>
            </w:pPr>
          </w:p>
          <w:p w:rsidR="00155AF4" w:rsidRPr="00A23740" w:rsidRDefault="00155AF4" w:rsidP="009431FF">
            <w:pPr>
              <w:autoSpaceDE w:val="0"/>
              <w:autoSpaceDN w:val="0"/>
              <w:adjustRightInd w:val="0"/>
              <w:rPr>
                <w:szCs w:val="24"/>
              </w:rPr>
            </w:pPr>
            <w:r w:rsidRPr="00A23740">
              <w:rPr>
                <w:b/>
                <w:bCs/>
                <w:color w:val="0000FF"/>
                <w:szCs w:val="24"/>
                <w:lang w:val="x-none" w:eastAsia="x-none"/>
              </w:rPr>
              <w:t xml:space="preserve">(2) Menfi tespit </w:t>
            </w:r>
            <w:r w:rsidRPr="00A23740">
              <w:rPr>
                <w:szCs w:val="24"/>
              </w:rPr>
              <w:t>dava</w:t>
            </w:r>
            <w:r w:rsidRPr="00A23740">
              <w:rPr>
                <w:b/>
                <w:bCs/>
                <w:color w:val="0000FF"/>
                <w:szCs w:val="24"/>
                <w:lang w:val="x-none" w:eastAsia="x-none"/>
              </w:rPr>
              <w:t>sı</w:t>
            </w:r>
            <w:r w:rsidRPr="00A23740">
              <w:rPr>
                <w:szCs w:val="24"/>
              </w:rPr>
              <w:t xml:space="preserve"> borçlu lehine </w:t>
            </w:r>
            <w:r w:rsidRPr="00A23740">
              <w:rPr>
                <w:b/>
                <w:bCs/>
                <w:color w:val="0000FF"/>
                <w:szCs w:val="24"/>
                <w:lang w:val="x-none" w:eastAsia="x-none"/>
              </w:rPr>
              <w:t xml:space="preserve">sonuçlanırsa </w:t>
            </w:r>
            <w:r w:rsidRPr="00A23740">
              <w:rPr>
                <w:szCs w:val="24"/>
              </w:rPr>
              <w:t>takip derh</w:t>
            </w:r>
            <w:r w:rsidR="00DF22A1" w:rsidRPr="00A23740">
              <w:rPr>
                <w:szCs w:val="24"/>
              </w:rPr>
              <w:t>â</w:t>
            </w:r>
            <w:r w:rsidRPr="00A23740">
              <w:rPr>
                <w:szCs w:val="24"/>
              </w:rPr>
              <w:t xml:space="preserve">l durur. İlamın kesinleşmesi üzerine ayrıca hükme </w:t>
            </w:r>
            <w:r w:rsidRPr="00A23740">
              <w:rPr>
                <w:b/>
                <w:bCs/>
                <w:color w:val="0000FF"/>
                <w:szCs w:val="24"/>
                <w:lang w:val="x-none" w:eastAsia="x-none"/>
              </w:rPr>
              <w:t xml:space="preserve">gerek </w:t>
            </w:r>
            <w:r w:rsidRPr="00A23740">
              <w:rPr>
                <w:szCs w:val="24"/>
              </w:rPr>
              <w:t>kalma</w:t>
            </w:r>
            <w:r w:rsidRPr="00A23740">
              <w:rPr>
                <w:b/>
                <w:bCs/>
                <w:color w:val="0000FF"/>
                <w:szCs w:val="24"/>
                <w:lang w:val="x-none" w:eastAsia="x-none"/>
              </w:rPr>
              <w:t>ksızın</w:t>
            </w:r>
            <w:r w:rsidRPr="00A23740">
              <w:rPr>
                <w:szCs w:val="24"/>
              </w:rPr>
              <w:t xml:space="preserve"> icra kısmen veya tamamen eski h</w:t>
            </w:r>
            <w:r w:rsidR="00DF22A1" w:rsidRPr="00A23740">
              <w:rPr>
                <w:szCs w:val="24"/>
              </w:rPr>
              <w:t>â</w:t>
            </w:r>
            <w:r w:rsidRPr="00A23740">
              <w:rPr>
                <w:szCs w:val="24"/>
              </w:rPr>
              <w:t>le iade edilir. Borçluyu menfi tespit davası açmaya zorlayan takibin haksız ve kötü niyetli olduğu anlaşılırsa, talep</w:t>
            </w:r>
            <w:r w:rsidR="00BC4136" w:rsidRPr="00A23740">
              <w:rPr>
                <w:szCs w:val="24"/>
              </w:rPr>
              <w:t xml:space="preserve"> üzerine, borçlunun dava sebebi</w:t>
            </w:r>
            <w:r w:rsidR="00BC4136" w:rsidRPr="00A23740">
              <w:rPr>
                <w:rStyle w:val="MaviChar"/>
              </w:rPr>
              <w:t>yle</w:t>
            </w:r>
            <w:r w:rsidR="00BC4136" w:rsidRPr="00A23740">
              <w:rPr>
                <w:szCs w:val="24"/>
              </w:rPr>
              <w:t xml:space="preserve"> </w:t>
            </w:r>
            <w:r w:rsidRPr="00A23740">
              <w:rPr>
                <w:szCs w:val="24"/>
              </w:rPr>
              <w:t xml:space="preserve">uğradığı zararın da alacaklıdan tahsiline karar verilir. </w:t>
            </w:r>
            <w:r w:rsidRPr="00A23740">
              <w:rPr>
                <w:b/>
                <w:bCs/>
                <w:color w:val="0000FF"/>
                <w:szCs w:val="24"/>
                <w:lang w:val="x-none" w:eastAsia="x-none"/>
              </w:rPr>
              <w:t xml:space="preserve">Bu </w:t>
            </w:r>
            <w:r w:rsidRPr="00A23740">
              <w:rPr>
                <w:szCs w:val="24"/>
              </w:rPr>
              <w:t xml:space="preserve">zarar </w:t>
            </w:r>
            <w:r w:rsidRPr="00A23740">
              <w:rPr>
                <w:b/>
                <w:bCs/>
                <w:color w:val="0000FF"/>
                <w:szCs w:val="24"/>
                <w:lang w:val="x-none" w:eastAsia="x-none"/>
              </w:rPr>
              <w:t>için ödenecek tazminat</w:t>
            </w:r>
            <w:r w:rsidRPr="00A23740">
              <w:rPr>
                <w:szCs w:val="24"/>
              </w:rPr>
              <w:t>, alacağın yüzde yirmisi</w:t>
            </w:r>
            <w:r w:rsidRPr="00A23740">
              <w:rPr>
                <w:b/>
                <w:bCs/>
                <w:color w:val="0000FF"/>
                <w:szCs w:val="24"/>
                <w:lang w:val="x-none" w:eastAsia="x-none"/>
              </w:rPr>
              <w:t xml:space="preserve">nden, </w:t>
            </w:r>
            <w:r w:rsidR="00D752E8" w:rsidRPr="00D3397C">
              <w:rPr>
                <w:rStyle w:val="YELChar"/>
                <w:color w:val="0000FF"/>
              </w:rPr>
              <w:t>98 inci maddenin</w:t>
            </w:r>
            <w:r w:rsidR="00D752E8" w:rsidRPr="00D3397C">
              <w:rPr>
                <w:b/>
                <w:bCs/>
                <w:color w:val="0000FF"/>
                <w:szCs w:val="24"/>
                <w:lang w:eastAsia="x-none"/>
              </w:rPr>
              <w:t xml:space="preserve"> </w:t>
            </w:r>
            <w:r w:rsidR="00D752E8" w:rsidRPr="00D3397C">
              <w:rPr>
                <w:b/>
                <w:bCs/>
                <w:color w:val="0000FF"/>
                <w:szCs w:val="24"/>
                <w:lang w:val="x-none" w:eastAsia="x-none"/>
              </w:rPr>
              <w:t>üçüncü fıkra</w:t>
            </w:r>
            <w:r w:rsidR="00D752E8" w:rsidRPr="00D3397C">
              <w:rPr>
                <w:rStyle w:val="YELChar"/>
                <w:color w:val="0000FF"/>
              </w:rPr>
              <w:t>sın</w:t>
            </w:r>
            <w:r w:rsidR="00D752E8" w:rsidRPr="00A23740">
              <w:rPr>
                <w:b/>
                <w:bCs/>
                <w:color w:val="0000FF"/>
                <w:szCs w:val="24"/>
                <w:lang w:eastAsia="x-none"/>
              </w:rPr>
              <w:t>d</w:t>
            </w:r>
            <w:r w:rsidR="00D752E8" w:rsidRPr="00A23740">
              <w:rPr>
                <w:b/>
                <w:bCs/>
                <w:color w:val="0000FF"/>
                <w:szCs w:val="24"/>
                <w:lang w:val="x-none" w:eastAsia="x-none"/>
              </w:rPr>
              <w:t xml:space="preserve">aki </w:t>
            </w:r>
            <w:r w:rsidRPr="00A23740">
              <w:rPr>
                <w:b/>
                <w:bCs/>
                <w:color w:val="0000FF"/>
                <w:szCs w:val="24"/>
                <w:lang w:val="x-none" w:eastAsia="x-none"/>
              </w:rPr>
              <w:t>h</w:t>
            </w:r>
            <w:r w:rsidR="00DF22A1" w:rsidRPr="00A23740">
              <w:rPr>
                <w:b/>
                <w:bCs/>
                <w:color w:val="0000FF"/>
                <w:szCs w:val="24"/>
                <w:lang w:eastAsia="x-none"/>
              </w:rPr>
              <w:t>â</w:t>
            </w:r>
            <w:r w:rsidRPr="00A23740">
              <w:rPr>
                <w:b/>
                <w:bCs/>
                <w:color w:val="0000FF"/>
                <w:szCs w:val="24"/>
                <w:lang w:val="x-none" w:eastAsia="x-none"/>
              </w:rPr>
              <w:t xml:space="preserve">llerde ise yüzde kırkından </w:t>
            </w:r>
            <w:r w:rsidRPr="00A23740">
              <w:rPr>
                <w:szCs w:val="24"/>
              </w:rPr>
              <w:t xml:space="preserve">aşağı </w:t>
            </w:r>
            <w:r w:rsidRPr="00A23740">
              <w:rPr>
                <w:b/>
                <w:bCs/>
                <w:color w:val="0000FF"/>
                <w:szCs w:val="24"/>
                <w:lang w:val="x-none" w:eastAsia="x-none"/>
              </w:rPr>
              <w:t>tayin edilemez.</w:t>
            </w:r>
          </w:p>
          <w:p w:rsidR="00A9175D" w:rsidRPr="00A23740" w:rsidRDefault="00A9175D" w:rsidP="009431FF">
            <w:pPr>
              <w:tabs>
                <w:tab w:val="left" w:pos="567"/>
              </w:tabs>
              <w:autoSpaceDE w:val="0"/>
              <w:autoSpaceDN w:val="0"/>
              <w:adjustRightInd w:val="0"/>
              <w:rPr>
                <w:color w:val="FF0000"/>
                <w:szCs w:val="24"/>
              </w:rPr>
            </w:pPr>
          </w:p>
          <w:p w:rsidR="00155AF4" w:rsidRPr="00A23740" w:rsidRDefault="00155AF4" w:rsidP="009431FF">
            <w:pPr>
              <w:tabs>
                <w:tab w:val="left" w:pos="567"/>
              </w:tabs>
              <w:autoSpaceDE w:val="0"/>
              <w:autoSpaceDN w:val="0"/>
              <w:adjustRightInd w:val="0"/>
              <w:rPr>
                <w:b/>
                <w:bCs/>
                <w:szCs w:val="24"/>
              </w:rPr>
            </w:pPr>
            <w:r w:rsidRPr="00A23740">
              <w:rPr>
                <w:b/>
                <w:bCs/>
                <w:color w:val="0000FF"/>
                <w:szCs w:val="24"/>
                <w:lang w:val="x-none" w:eastAsia="x-none"/>
              </w:rPr>
              <w:t>(3)</w:t>
            </w:r>
            <w:r w:rsidRPr="00A23740">
              <w:rPr>
                <w:b/>
                <w:bCs/>
                <w:color w:val="0000FF"/>
                <w:szCs w:val="24"/>
              </w:rPr>
              <w:t xml:space="preserve"> </w:t>
            </w:r>
            <w:r w:rsidRPr="00A23740">
              <w:rPr>
                <w:szCs w:val="24"/>
              </w:rPr>
              <w:t>Borçlu, menfi tespit davası</w:t>
            </w:r>
            <w:r w:rsidRPr="00A23740">
              <w:rPr>
                <w:b/>
                <w:bCs/>
                <w:color w:val="0000FF"/>
                <w:szCs w:val="24"/>
              </w:rPr>
              <w:t xml:space="preserve"> </w:t>
            </w:r>
            <w:r w:rsidRPr="00A23740">
              <w:rPr>
                <w:b/>
                <w:bCs/>
                <w:color w:val="0000FF"/>
                <w:szCs w:val="24"/>
                <w:lang w:val="x-none" w:eastAsia="x-none"/>
              </w:rPr>
              <w:t>kapsamında</w:t>
            </w:r>
            <w:r w:rsidRPr="00A23740">
              <w:rPr>
                <w:b/>
                <w:bCs/>
                <w:color w:val="0000FF"/>
                <w:szCs w:val="24"/>
              </w:rPr>
              <w:t xml:space="preserve"> </w:t>
            </w:r>
            <w:r w:rsidRPr="00A23740">
              <w:rPr>
                <w:szCs w:val="24"/>
              </w:rPr>
              <w:t>tedbir kararı almamış ve borç da ödenmiş olursa, davaya istirdat davası olarak devam edilir.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(4) Bu maddede öngörülen teminat ve tazminatların tespitinde borçlu olunmadığı iddia edilen asıl alacak miktarı esas alınır.</w:t>
            </w:r>
          </w:p>
          <w:p w:rsidR="00155AF4" w:rsidRPr="00A23740" w:rsidRDefault="00155AF4" w:rsidP="009431FF">
            <w:pPr>
              <w:autoSpaceDE w:val="0"/>
              <w:autoSpaceDN w:val="0"/>
              <w:adjustRightInd w:val="0"/>
              <w:rPr>
                <w:b/>
                <w:bCs/>
                <w:color w:val="FF0000"/>
                <w:szCs w:val="24"/>
              </w:rPr>
            </w:pPr>
          </w:p>
          <w:p w:rsidR="00155AF4" w:rsidRPr="00A23740" w:rsidRDefault="00155AF4" w:rsidP="009431FF">
            <w:pPr>
              <w:autoSpaceDE w:val="0"/>
              <w:autoSpaceDN w:val="0"/>
              <w:adjustRightInd w:val="0"/>
              <w:rPr>
                <w:rFonts w:eastAsia="Times New Roman"/>
                <w:b/>
                <w:bCs/>
                <w:color w:val="0000FF"/>
                <w:szCs w:val="28"/>
              </w:rPr>
            </w:pPr>
          </w:p>
        </w:tc>
      </w:tr>
      <w:tr w:rsidR="00155AF4" w:rsidRPr="00A23740" w:rsidTr="009431FF">
        <w:tc>
          <w:tcPr>
            <w:tcW w:w="5000" w:type="pct"/>
            <w:gridSpan w:val="2"/>
            <w:shd w:val="clear" w:color="auto" w:fill="DEEAF6"/>
          </w:tcPr>
          <w:p w:rsidR="00BC4136" w:rsidRPr="00A23740" w:rsidRDefault="00BC4136" w:rsidP="009431FF">
            <w:pPr>
              <w:tabs>
                <w:tab w:val="left" w:pos="567"/>
              </w:tabs>
              <w:autoSpaceDE w:val="0"/>
              <w:autoSpaceDN w:val="0"/>
              <w:adjustRightInd w:val="0"/>
              <w:ind w:firstLine="709"/>
              <w:rPr>
                <w:szCs w:val="24"/>
              </w:rPr>
            </w:pPr>
          </w:p>
          <w:p w:rsidR="00DB2C16" w:rsidRPr="00D6648F" w:rsidRDefault="00DB2C16" w:rsidP="009431FF">
            <w:pPr>
              <w:tabs>
                <w:tab w:val="left" w:pos="567"/>
              </w:tabs>
              <w:autoSpaceDE w:val="0"/>
              <w:autoSpaceDN w:val="0"/>
              <w:adjustRightInd w:val="0"/>
              <w:ind w:firstLine="709"/>
              <w:rPr>
                <w:szCs w:val="24"/>
              </w:rPr>
            </w:pPr>
            <w:r w:rsidRPr="00D6648F">
              <w:rPr>
                <w:b/>
                <w:szCs w:val="24"/>
              </w:rPr>
              <w:t>MADDE 99-</w:t>
            </w:r>
            <w:r w:rsidRPr="00D6648F">
              <w:rPr>
                <w:szCs w:val="24"/>
              </w:rPr>
              <w:t xml:space="preserve"> </w:t>
            </w:r>
            <w:r w:rsidR="00BC4136" w:rsidRPr="00D6648F">
              <w:rPr>
                <w:szCs w:val="24"/>
              </w:rPr>
              <w:t xml:space="preserve">Maddeyle, menfi tespit davasının sonuçlarına ilişkin hususlar düzenlenmektedir. </w:t>
            </w:r>
            <w:r w:rsidRPr="00D6648F">
              <w:rPr>
                <w:szCs w:val="24"/>
              </w:rPr>
              <w:t>Taslağın 99 uncu maddesi “Menfi tespit davasının sonuçları” başlığını taşımakta olup</w:t>
            </w:r>
            <w:r w:rsidR="00A84F1B" w:rsidRPr="00D6648F">
              <w:rPr>
                <w:szCs w:val="24"/>
              </w:rPr>
              <w:t>,</w:t>
            </w:r>
            <w:r w:rsidRPr="00D6648F">
              <w:rPr>
                <w:szCs w:val="24"/>
              </w:rPr>
              <w:t xml:space="preserve"> </w:t>
            </w:r>
            <w:r w:rsidR="00BC4136" w:rsidRPr="00D6648F">
              <w:rPr>
                <w:szCs w:val="24"/>
              </w:rPr>
              <w:t>2004 sayılı Kanunun 72 nci maddesin</w:t>
            </w:r>
            <w:r w:rsidRPr="00D6648F">
              <w:rPr>
                <w:szCs w:val="24"/>
              </w:rPr>
              <w:t>deki hükümlerin bi</w:t>
            </w:r>
            <w:r w:rsidR="00BC4136" w:rsidRPr="00D6648F">
              <w:rPr>
                <w:szCs w:val="24"/>
              </w:rPr>
              <w:t>r kısmına karşılık gelmektedir.</w:t>
            </w:r>
          </w:p>
          <w:p w:rsidR="00BC4136" w:rsidRPr="00D6648F" w:rsidRDefault="00BC4136" w:rsidP="009431FF">
            <w:pPr>
              <w:ind w:firstLine="709"/>
              <w:rPr>
                <w:szCs w:val="24"/>
              </w:rPr>
            </w:pPr>
            <w:r w:rsidRPr="00D6648F">
              <w:rPr>
                <w:szCs w:val="24"/>
              </w:rPr>
              <w:t xml:space="preserve">Maddenin birinci </w:t>
            </w:r>
            <w:r w:rsidR="00DB2C16" w:rsidRPr="00D6648F">
              <w:rPr>
                <w:szCs w:val="24"/>
              </w:rPr>
              <w:t>fıkrasında</w:t>
            </w:r>
            <w:r w:rsidR="00A84F1B" w:rsidRPr="00D6648F">
              <w:rPr>
                <w:szCs w:val="24"/>
              </w:rPr>
              <w:t>,</w:t>
            </w:r>
            <w:r w:rsidR="00DB2C16" w:rsidRPr="00D6648F">
              <w:rPr>
                <w:szCs w:val="24"/>
              </w:rPr>
              <w:t xml:space="preserve"> menfi tespit davasının alacaklı lehine sonuçlanması h</w:t>
            </w:r>
            <w:r w:rsidR="00F906A7" w:rsidRPr="00D6648F">
              <w:rPr>
                <w:szCs w:val="24"/>
              </w:rPr>
              <w:t>â</w:t>
            </w:r>
            <w:r w:rsidR="00DB2C16" w:rsidRPr="00D6648F">
              <w:rPr>
                <w:szCs w:val="24"/>
              </w:rPr>
              <w:t xml:space="preserve">linde ihtiyati tedbir kararının kalkacağı; ancak, davanın reddi hakkındaki karara karşı kanun yoluna başvuran borçlunun, icra </w:t>
            </w:r>
            <w:r w:rsidR="005F30CB" w:rsidRPr="00D6648F">
              <w:rPr>
                <w:szCs w:val="24"/>
              </w:rPr>
              <w:t>ve</w:t>
            </w:r>
            <w:r w:rsidR="005F30CB" w:rsidRPr="00D6648F">
              <w:rPr>
                <w:b/>
              </w:rPr>
              <w:t xml:space="preserve"> </w:t>
            </w:r>
            <w:r w:rsidR="005F30CB" w:rsidRPr="00D6648F">
              <w:rPr>
                <w:szCs w:val="24"/>
              </w:rPr>
              <w:t xml:space="preserve">iflas </w:t>
            </w:r>
            <w:r w:rsidR="00DB2C16" w:rsidRPr="00D6648F">
              <w:rPr>
                <w:szCs w:val="24"/>
              </w:rPr>
              <w:t>dairesinden 55 inci (mevcut 36)</w:t>
            </w:r>
            <w:r w:rsidRPr="00D6648F">
              <w:rPr>
                <w:szCs w:val="24"/>
              </w:rPr>
              <w:t xml:space="preserve"> </w:t>
            </w:r>
            <w:r w:rsidR="00DB2C16" w:rsidRPr="00D6648F">
              <w:rPr>
                <w:szCs w:val="24"/>
              </w:rPr>
              <w:t>maddeye göre mühlet isteyebileceği; buna dair hükmün kesinleşmesi h</w:t>
            </w:r>
            <w:r w:rsidR="00F906A7" w:rsidRPr="00D6648F">
              <w:rPr>
                <w:szCs w:val="24"/>
              </w:rPr>
              <w:t>â</w:t>
            </w:r>
            <w:r w:rsidR="00DB2C16" w:rsidRPr="00D6648F">
              <w:rPr>
                <w:szCs w:val="24"/>
              </w:rPr>
              <w:t>linde alacaklının, ihtiyati tedbir dolayısıyla alacağını geç almış bulunmaktan doğan za</w:t>
            </w:r>
            <w:r w:rsidR="00E676D6" w:rsidRPr="00D6648F">
              <w:rPr>
                <w:szCs w:val="24"/>
              </w:rPr>
              <w:t>rarlarını, gösterilmiş olması hâ</w:t>
            </w:r>
            <w:r w:rsidR="00DB2C16" w:rsidRPr="00D6648F">
              <w:rPr>
                <w:szCs w:val="24"/>
              </w:rPr>
              <w:t xml:space="preserve">linde teminattan alacağı; alacaklının uğradığı zararın, talep üzerine, aynı davada takdir olunarak karara bağlanacağı ve  bu zarar için ödenecek tazminatın, alacağın yüzde yirmisinden, </w:t>
            </w:r>
            <w:r w:rsidR="00D752E8" w:rsidRPr="00D6648F">
              <w:rPr>
                <w:szCs w:val="24"/>
              </w:rPr>
              <w:t>98 inci maddenin üçüncü fıkrasındaki</w:t>
            </w:r>
            <w:r w:rsidR="00DB2C16" w:rsidRPr="00D6648F">
              <w:rPr>
                <w:szCs w:val="24"/>
              </w:rPr>
              <w:t xml:space="preserve"> h</w:t>
            </w:r>
            <w:r w:rsidR="000A20F1" w:rsidRPr="00D6648F">
              <w:rPr>
                <w:szCs w:val="24"/>
              </w:rPr>
              <w:t>â</w:t>
            </w:r>
            <w:r w:rsidR="00DB2C16" w:rsidRPr="00D6648F">
              <w:rPr>
                <w:szCs w:val="24"/>
              </w:rPr>
              <w:t>llerde ise yüzde kırkından aşağı tayin edilemeyeceği belirtilmiştir.</w:t>
            </w:r>
            <w:r w:rsidR="00EC2685" w:rsidRPr="00D6648F">
              <w:rPr>
                <w:szCs w:val="24"/>
              </w:rPr>
              <w:t xml:space="preserve"> Hükmün son kısmında sahte olmadığı sonucuna varılan senetle ilgili olarak getirilen farklı düzenleme, yersiz sahtelik iddiası üzerine takibin haksız surette durdurulmasının özel bir yaptırımı olarak görülmelidir.</w:t>
            </w:r>
          </w:p>
          <w:p w:rsidR="00DB2C16" w:rsidRPr="00D6648F" w:rsidRDefault="00DB2C16" w:rsidP="009431FF">
            <w:pPr>
              <w:ind w:firstLine="709"/>
              <w:rPr>
                <w:szCs w:val="24"/>
              </w:rPr>
            </w:pPr>
            <w:r w:rsidRPr="00D6648F">
              <w:rPr>
                <w:szCs w:val="24"/>
              </w:rPr>
              <w:t xml:space="preserve">Maddenin </w:t>
            </w:r>
            <w:r w:rsidR="00BC4136" w:rsidRPr="00D6648F">
              <w:rPr>
                <w:szCs w:val="24"/>
              </w:rPr>
              <w:t>ikinci</w:t>
            </w:r>
            <w:r w:rsidRPr="00D6648F">
              <w:rPr>
                <w:szCs w:val="24"/>
              </w:rPr>
              <w:t xml:space="preserve"> fıkrasında menfi tespit davasın</w:t>
            </w:r>
            <w:r w:rsidR="00E676D6" w:rsidRPr="00D6648F">
              <w:rPr>
                <w:szCs w:val="24"/>
              </w:rPr>
              <w:t>ın borçlu lehine sonuçlanması hâ</w:t>
            </w:r>
            <w:r w:rsidRPr="00D6648F">
              <w:rPr>
                <w:szCs w:val="24"/>
              </w:rPr>
              <w:t>linde takibin derh</w:t>
            </w:r>
            <w:r w:rsidR="00DF22A1" w:rsidRPr="00D6648F">
              <w:rPr>
                <w:szCs w:val="24"/>
              </w:rPr>
              <w:t>â</w:t>
            </w:r>
            <w:r w:rsidRPr="00D6648F">
              <w:rPr>
                <w:szCs w:val="24"/>
              </w:rPr>
              <w:t>l duracağı; ilamın kesinleşmesi üzerine ayrıca hükme gerek kalmaksızın icra</w:t>
            </w:r>
            <w:r w:rsidR="00AC36D3" w:rsidRPr="00D6648F">
              <w:rPr>
                <w:szCs w:val="24"/>
              </w:rPr>
              <w:t>nın</w:t>
            </w:r>
            <w:r w:rsidRPr="00D6648F">
              <w:rPr>
                <w:szCs w:val="24"/>
              </w:rPr>
              <w:t xml:space="preserve"> kısmen veya tamamen eski h</w:t>
            </w:r>
            <w:r w:rsidR="00F906A7" w:rsidRPr="00D6648F">
              <w:rPr>
                <w:szCs w:val="24"/>
              </w:rPr>
              <w:t>â</w:t>
            </w:r>
            <w:r w:rsidRPr="00D6648F">
              <w:rPr>
                <w:szCs w:val="24"/>
              </w:rPr>
              <w:t>le iade edileceği; borçluyu menfi tespit davası açmaya zorlayan takibin haksız ve kötü niyetli olduğunun anlaşılması h</w:t>
            </w:r>
            <w:r w:rsidR="00F906A7" w:rsidRPr="00D6648F">
              <w:rPr>
                <w:szCs w:val="24"/>
              </w:rPr>
              <w:t>â</w:t>
            </w:r>
            <w:r w:rsidRPr="00D6648F">
              <w:rPr>
                <w:szCs w:val="24"/>
              </w:rPr>
              <w:t>linde ise, talep üzerine, borçlunun dava sebebi</w:t>
            </w:r>
            <w:r w:rsidR="00AC36D3" w:rsidRPr="00D6648F">
              <w:rPr>
                <w:szCs w:val="24"/>
              </w:rPr>
              <w:t>yle</w:t>
            </w:r>
            <w:r w:rsidRPr="00D6648F">
              <w:rPr>
                <w:szCs w:val="24"/>
              </w:rPr>
              <w:t xml:space="preserve"> uğradığı zararın da alacaklıdan tahsiline karar verileceği ve bu zarar için ödenecek tazminatın, alacağın yüzde yirmisinden, </w:t>
            </w:r>
            <w:r w:rsidR="00D752E8" w:rsidRPr="00D6648F">
              <w:rPr>
                <w:szCs w:val="24"/>
              </w:rPr>
              <w:t>98 inci maddenin üçüncü fıkrasındaki</w:t>
            </w:r>
            <w:r w:rsidRPr="00D6648F">
              <w:rPr>
                <w:szCs w:val="24"/>
              </w:rPr>
              <w:t xml:space="preserve"> h</w:t>
            </w:r>
            <w:r w:rsidR="00F906A7" w:rsidRPr="00D6648F">
              <w:rPr>
                <w:szCs w:val="24"/>
              </w:rPr>
              <w:t>â</w:t>
            </w:r>
            <w:r w:rsidRPr="00D6648F">
              <w:rPr>
                <w:szCs w:val="24"/>
              </w:rPr>
              <w:t>llerde ise yüzde kırkından aşağı tayin edilemeyeceği öngörülmüştür</w:t>
            </w:r>
            <w:r w:rsidR="00EC2685" w:rsidRPr="00D6648F">
              <w:rPr>
                <w:szCs w:val="24"/>
              </w:rPr>
              <w:t>. Hükmün son kısmında bu kez sahte olduğu sonucuna varılan senetle ilgili olarak getirilen farklı düzenleme, sahte senedin kullanılmasının özel bir yaptırımı olarak görülmelidir.</w:t>
            </w:r>
          </w:p>
          <w:p w:rsidR="00DB2C16" w:rsidRPr="00D6648F" w:rsidRDefault="00DB2C16" w:rsidP="009431FF">
            <w:pPr>
              <w:ind w:firstLine="709"/>
              <w:rPr>
                <w:szCs w:val="24"/>
              </w:rPr>
            </w:pPr>
            <w:r w:rsidRPr="00D6648F">
              <w:rPr>
                <w:szCs w:val="24"/>
              </w:rPr>
              <w:t xml:space="preserve">Maddenin  </w:t>
            </w:r>
            <w:r w:rsidR="00BC4136" w:rsidRPr="00D6648F">
              <w:rPr>
                <w:szCs w:val="24"/>
              </w:rPr>
              <w:t>üç</w:t>
            </w:r>
            <w:r w:rsidRPr="00D6648F">
              <w:rPr>
                <w:szCs w:val="24"/>
              </w:rPr>
              <w:t>ün</w:t>
            </w:r>
            <w:r w:rsidR="00BC4136" w:rsidRPr="00D6648F">
              <w:rPr>
                <w:szCs w:val="24"/>
              </w:rPr>
              <w:t>c</w:t>
            </w:r>
            <w:r w:rsidRPr="00D6648F">
              <w:rPr>
                <w:szCs w:val="24"/>
              </w:rPr>
              <w:t>ü fıkrasına göre borçlu, menfi tespit davası kapsamında tedbir kararı almamış ve borç da ödenmiş olursa, davaya istirdat davası olarak devam edilir.</w:t>
            </w:r>
          </w:p>
          <w:p w:rsidR="00E91409" w:rsidRPr="00D6648F" w:rsidRDefault="00DB2C16" w:rsidP="009431FF">
            <w:pPr>
              <w:tabs>
                <w:tab w:val="left" w:pos="567"/>
              </w:tabs>
              <w:autoSpaceDE w:val="0"/>
              <w:autoSpaceDN w:val="0"/>
              <w:adjustRightInd w:val="0"/>
              <w:ind w:firstLine="709"/>
              <w:rPr>
                <w:szCs w:val="24"/>
              </w:rPr>
            </w:pPr>
            <w:r w:rsidRPr="00D6648F">
              <w:rPr>
                <w:szCs w:val="24"/>
              </w:rPr>
              <w:t xml:space="preserve">Maddenin </w:t>
            </w:r>
            <w:r w:rsidR="00BC4136" w:rsidRPr="00D6648F">
              <w:rPr>
                <w:szCs w:val="24"/>
              </w:rPr>
              <w:t>dördüncü</w:t>
            </w:r>
            <w:r w:rsidRPr="00D6648F">
              <w:rPr>
                <w:szCs w:val="24"/>
              </w:rPr>
              <w:t xml:space="preserve"> fıkrasında bu maddede öngörülen teminat ve tazminatların tespitinde</w:t>
            </w:r>
            <w:r w:rsidR="00AC36D3" w:rsidRPr="00D6648F">
              <w:rPr>
                <w:szCs w:val="24"/>
              </w:rPr>
              <w:t>,</w:t>
            </w:r>
            <w:r w:rsidRPr="00D6648F">
              <w:rPr>
                <w:szCs w:val="24"/>
              </w:rPr>
              <w:t xml:space="preserve"> borçlu olunmadığı iddia edilen asıl alacağın miktarının esas alınacağı açıklanmıştır. Fıkradaki “asıl alacak” borçlar hukukunda kullanıldığı anlamıyla, anaparaya eklenen faiz gibi fer</w:t>
            </w:r>
            <w:r w:rsidR="00F816DE" w:rsidRPr="00D6648F">
              <w:t>î</w:t>
            </w:r>
            <w:r w:rsidRPr="00D6648F">
              <w:rPr>
                <w:szCs w:val="24"/>
              </w:rPr>
              <w:t>ler dışındaki alacağı ifade etmektedir.</w:t>
            </w:r>
          </w:p>
          <w:p w:rsidR="00E91409" w:rsidRPr="00A23740" w:rsidRDefault="00E91409" w:rsidP="009431FF">
            <w:pPr>
              <w:keepNext/>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Menfi tesbit ve</w:t>
            </w:r>
            <w:r w:rsidRPr="00A23740">
              <w:rPr>
                <w:szCs w:val="24"/>
              </w:rPr>
              <w:t xml:space="preserve"> istirdat </w:t>
            </w:r>
            <w:r w:rsidRPr="00A9175D">
              <w:rPr>
                <w:rStyle w:val="KIRMIZIChar"/>
                <w:rFonts w:eastAsia="Calibri"/>
              </w:rPr>
              <w:t>davaları:</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Madde 72 – (1) (Değişik: 18/2/1965 - 538/43 md.)</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Takibe itiraz etmemiş veya itirazının kaldırılmış olması yüzünden</w:t>
            </w:r>
            <w:r w:rsidRPr="00A23740">
              <w:rPr>
                <w:szCs w:val="24"/>
              </w:rPr>
              <w:t xml:space="preserve"> borçlu olmadığı </w:t>
            </w:r>
            <w:r w:rsidRPr="00A23740">
              <w:rPr>
                <w:b/>
                <w:bCs/>
                <w:strike/>
                <w:color w:val="FF0000"/>
                <w:szCs w:val="24"/>
              </w:rPr>
              <w:t>bir parayı tamamen ödemek mecburiyetinde</w:t>
            </w:r>
            <w:r w:rsidRPr="00A23740">
              <w:rPr>
                <w:szCs w:val="24"/>
              </w:rPr>
              <w:t xml:space="preserve"> kalan </w:t>
            </w:r>
            <w:r w:rsidRPr="00A23740">
              <w:rPr>
                <w:b/>
                <w:bCs/>
                <w:strike/>
                <w:color w:val="FF0000"/>
                <w:szCs w:val="24"/>
              </w:rPr>
              <w:t>şahıs</w:t>
            </w:r>
            <w:r w:rsidRPr="00A23740">
              <w:rPr>
                <w:szCs w:val="24"/>
              </w:rPr>
              <w:t xml:space="preserve">, ödediği tarihten itibaren </w:t>
            </w:r>
            <w:r w:rsidRPr="00A23740">
              <w:rPr>
                <w:b/>
                <w:bCs/>
                <w:strike/>
                <w:color w:val="FF0000"/>
                <w:szCs w:val="24"/>
              </w:rPr>
              <w:t>bir sene</w:t>
            </w:r>
            <w:r w:rsidRPr="00A23740">
              <w:rPr>
                <w:szCs w:val="24"/>
              </w:rPr>
              <w:t xml:space="preserve"> içinde, </w:t>
            </w:r>
            <w:r w:rsidRPr="00A23740">
              <w:rPr>
                <w:b/>
                <w:bCs/>
                <w:strike/>
                <w:color w:val="FF0000"/>
                <w:szCs w:val="24"/>
              </w:rPr>
              <w:t>umumi</w:t>
            </w:r>
            <w:r w:rsidRPr="00A23740">
              <w:rPr>
                <w:szCs w:val="24"/>
              </w:rPr>
              <w:t xml:space="preserve"> hükümler </w:t>
            </w:r>
            <w:r w:rsidRPr="00A23740">
              <w:rPr>
                <w:b/>
                <w:bCs/>
                <w:strike/>
                <w:color w:val="FF0000"/>
                <w:szCs w:val="24"/>
              </w:rPr>
              <w:t>dairesinde</w:t>
            </w:r>
            <w:r w:rsidRPr="00A23740">
              <w:rPr>
                <w:szCs w:val="24"/>
              </w:rPr>
              <w:t xml:space="preserve"> mahkemeye başvurarak paranın geri</w:t>
            </w:r>
            <w:r w:rsidRPr="00A23740">
              <w:rPr>
                <w:b/>
                <w:bCs/>
                <w:strike/>
                <w:color w:val="FF0000"/>
                <w:szCs w:val="24"/>
              </w:rPr>
              <w:t>ye</w:t>
            </w:r>
            <w:r w:rsidRPr="00A23740">
              <w:rPr>
                <w:szCs w:val="24"/>
              </w:rPr>
              <w:t xml:space="preserve"> </w:t>
            </w:r>
            <w:r w:rsidRPr="00A23740">
              <w:rPr>
                <w:b/>
                <w:bCs/>
                <w:strike/>
                <w:color w:val="FF0000"/>
                <w:szCs w:val="24"/>
              </w:rPr>
              <w:t>alınmasını</w:t>
            </w:r>
            <w:r w:rsidRPr="00A23740">
              <w:rPr>
                <w:szCs w:val="24"/>
              </w:rPr>
              <w:t xml:space="preserve"> ist</w:t>
            </w:r>
            <w:r w:rsidRPr="00A23740">
              <w:rPr>
                <w:b/>
                <w:bCs/>
                <w:strike/>
                <w:color w:val="FF0000"/>
                <w:szCs w:val="24"/>
              </w:rPr>
              <w:t>i</w:t>
            </w:r>
            <w:r w:rsidRPr="00A23740">
              <w:rPr>
                <w:szCs w:val="24"/>
              </w:rPr>
              <w:t>yebilir.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 Menfi tesbit ve istirdat davaları, takibi yapan icra dairesinin bulunduğu yer mahkemesinde açılabileceği gibi, davalının yerleşim yeri mahkemesinde de açılabilir.</w:t>
            </w:r>
            <w:r w:rsidRPr="00A23740">
              <w:rPr>
                <w:szCs w:val="24"/>
              </w:rPr>
              <w:t xml:space="preserve"> Davacı istirdat davasında </w:t>
            </w:r>
            <w:r w:rsidRPr="00A23740">
              <w:rPr>
                <w:b/>
                <w:bCs/>
                <w:strike/>
                <w:color w:val="FF0000"/>
                <w:szCs w:val="24"/>
              </w:rPr>
              <w:t>yalnız</w:t>
            </w:r>
            <w:r w:rsidRPr="00A23740">
              <w:rPr>
                <w:szCs w:val="24"/>
              </w:rPr>
              <w:t xml:space="preserve"> paranın </w:t>
            </w:r>
            <w:r w:rsidRPr="00A23740">
              <w:rPr>
                <w:b/>
                <w:bCs/>
                <w:strike/>
                <w:color w:val="FF0000"/>
                <w:szCs w:val="24"/>
              </w:rPr>
              <w:t>verilmesi</w:t>
            </w:r>
            <w:r w:rsidRPr="00A23740">
              <w:rPr>
                <w:szCs w:val="24"/>
              </w:rPr>
              <w:t xml:space="preserve"> </w:t>
            </w:r>
            <w:r w:rsidRPr="00A23740">
              <w:rPr>
                <w:b/>
                <w:bCs/>
                <w:strike/>
                <w:color w:val="FF0000"/>
                <w:szCs w:val="24"/>
              </w:rPr>
              <w:t>lazımgelmediğini</w:t>
            </w:r>
            <w:r w:rsidRPr="00A23740">
              <w:rPr>
                <w:szCs w:val="24"/>
              </w:rPr>
              <w:t xml:space="preserve"> ispat</w:t>
            </w:r>
            <w:r w:rsidRPr="00A23740">
              <w:rPr>
                <w:b/>
                <w:bCs/>
                <w:strike/>
                <w:color w:val="FF0000"/>
                <w:szCs w:val="24"/>
              </w:rPr>
              <w:t>a</w:t>
            </w:r>
            <w:r w:rsidRPr="00A23740">
              <w:rPr>
                <w:szCs w:val="24"/>
              </w:rPr>
              <w:t xml:space="preserve"> </w:t>
            </w:r>
            <w:r w:rsidRPr="00A23740">
              <w:rPr>
                <w:b/>
                <w:bCs/>
                <w:strike/>
                <w:color w:val="FF0000"/>
                <w:szCs w:val="24"/>
              </w:rPr>
              <w:t>mecburdur</w:t>
            </w:r>
            <w:r w:rsidRPr="00A23740">
              <w:rPr>
                <w:szCs w:val="24"/>
              </w:rPr>
              <w:t>.</w:t>
            </w:r>
          </w:p>
          <w:p w:rsidR="00155AF4" w:rsidRPr="00A23740" w:rsidRDefault="00155AF4" w:rsidP="009431FF">
            <w:pPr>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tabs>
                <w:tab w:val="left" w:pos="567"/>
              </w:tabs>
              <w:autoSpaceDE w:val="0"/>
              <w:autoSpaceDN w:val="0"/>
              <w:adjustRightInd w:val="0"/>
              <w:rPr>
                <w:b/>
                <w:bCs/>
                <w:color w:val="0000FF"/>
                <w:szCs w:val="24"/>
              </w:rPr>
            </w:pPr>
            <w:r w:rsidRPr="00A23740">
              <w:rPr>
                <w:b/>
                <w:bCs/>
                <w:szCs w:val="24"/>
              </w:rPr>
              <w:t xml:space="preserve">İstirdat </w:t>
            </w:r>
            <w:r w:rsidRPr="00A9175D">
              <w:rPr>
                <w:rStyle w:val="Balk1Char"/>
                <w:rFonts w:eastAsia="Calibri"/>
              </w:rPr>
              <w:t>davası</w:t>
            </w:r>
          </w:p>
          <w:p w:rsidR="00155AF4" w:rsidRPr="00A23740" w:rsidRDefault="00155AF4" w:rsidP="009431FF">
            <w:pPr>
              <w:autoSpaceDE w:val="0"/>
              <w:autoSpaceDN w:val="0"/>
              <w:adjustRightInd w:val="0"/>
              <w:rPr>
                <w:szCs w:val="24"/>
              </w:rPr>
            </w:pPr>
            <w:r w:rsidRPr="00A23740">
              <w:rPr>
                <w:b/>
                <w:bCs/>
                <w:color w:val="0000FF"/>
                <w:szCs w:val="24"/>
                <w:lang w:val="x-none" w:eastAsia="x-none"/>
              </w:rPr>
              <w:t>MADDE 100- (1)</w:t>
            </w:r>
            <w:r w:rsidRPr="00A23740">
              <w:rPr>
                <w:b/>
                <w:bCs/>
                <w:color w:val="0000FF"/>
                <w:szCs w:val="24"/>
              </w:rPr>
              <w:t xml:space="preserve"> </w:t>
            </w:r>
            <w:r w:rsidRPr="00A23740">
              <w:rPr>
                <w:szCs w:val="24"/>
              </w:rPr>
              <w:t xml:space="preserve">Borçlu olmadığı </w:t>
            </w:r>
            <w:r w:rsidRPr="00A23740">
              <w:rPr>
                <w:b/>
                <w:bCs/>
                <w:color w:val="0000FF"/>
                <w:szCs w:val="24"/>
                <w:lang w:eastAsia="x-none"/>
              </w:rPr>
              <w:t>h</w:t>
            </w:r>
            <w:r w:rsidR="000A20F1" w:rsidRPr="00A23740">
              <w:rPr>
                <w:b/>
                <w:bCs/>
                <w:color w:val="0000FF"/>
                <w:szCs w:val="24"/>
                <w:lang w:eastAsia="x-none"/>
              </w:rPr>
              <w:t>â</w:t>
            </w:r>
            <w:r w:rsidRPr="00A23740">
              <w:rPr>
                <w:b/>
                <w:bCs/>
                <w:color w:val="0000FF"/>
                <w:szCs w:val="24"/>
                <w:lang w:eastAsia="x-none"/>
              </w:rPr>
              <w:t>lde cebr</w:t>
            </w:r>
            <w:r w:rsidR="00436506" w:rsidRPr="00A23740">
              <w:rPr>
                <w:b/>
                <w:bCs/>
                <w:color w:val="0000FF"/>
                <w:szCs w:val="24"/>
                <w:lang w:eastAsia="x-none"/>
              </w:rPr>
              <w:t>î</w:t>
            </w:r>
            <w:r w:rsidRPr="00A23740">
              <w:rPr>
                <w:b/>
                <w:bCs/>
                <w:color w:val="0000FF"/>
                <w:szCs w:val="24"/>
                <w:lang w:eastAsia="x-none"/>
              </w:rPr>
              <w:t xml:space="preserve"> icra tehdidi altında ödeme yapmak zorunda</w:t>
            </w:r>
            <w:r w:rsidRPr="00A23740">
              <w:rPr>
                <w:szCs w:val="24"/>
              </w:rPr>
              <w:t xml:space="preserve"> kalan </w:t>
            </w:r>
            <w:r w:rsidRPr="00A23740">
              <w:rPr>
                <w:b/>
                <w:bCs/>
                <w:color w:val="0000FF"/>
                <w:szCs w:val="24"/>
                <w:lang w:eastAsia="x-none"/>
              </w:rPr>
              <w:t>kişi, borcu tamamen</w:t>
            </w:r>
            <w:r w:rsidRPr="00A23740">
              <w:rPr>
                <w:szCs w:val="24"/>
              </w:rPr>
              <w:t xml:space="preserve"> ödediği tarihten itibaren </w:t>
            </w:r>
            <w:r w:rsidRPr="00A23740">
              <w:rPr>
                <w:b/>
                <w:bCs/>
                <w:color w:val="0000FF"/>
                <w:szCs w:val="24"/>
                <w:lang w:val="x-none" w:eastAsia="x-none"/>
              </w:rPr>
              <w:t xml:space="preserve">iki yıl </w:t>
            </w:r>
            <w:r w:rsidRPr="00A23740">
              <w:rPr>
                <w:szCs w:val="24"/>
              </w:rPr>
              <w:t xml:space="preserve">içinde, </w:t>
            </w:r>
            <w:r w:rsidRPr="00A23740">
              <w:rPr>
                <w:b/>
                <w:bCs/>
                <w:color w:val="0000FF"/>
                <w:szCs w:val="24"/>
                <w:lang w:val="x-none" w:eastAsia="x-none"/>
              </w:rPr>
              <w:t xml:space="preserve">genel </w:t>
            </w:r>
            <w:r w:rsidRPr="00A23740">
              <w:rPr>
                <w:szCs w:val="24"/>
              </w:rPr>
              <w:t xml:space="preserve">hükümler </w:t>
            </w:r>
            <w:r w:rsidRPr="00A23740">
              <w:rPr>
                <w:b/>
                <w:bCs/>
                <w:color w:val="0000FF"/>
                <w:szCs w:val="24"/>
                <w:lang w:val="x-none" w:eastAsia="x-none"/>
              </w:rPr>
              <w:t xml:space="preserve">uyarınca </w:t>
            </w:r>
            <w:r w:rsidRPr="00A23740">
              <w:rPr>
                <w:szCs w:val="24"/>
              </w:rPr>
              <w:t xml:space="preserve">mahkemeye başvurarak paranın </w:t>
            </w:r>
            <w:r w:rsidRPr="00A23740">
              <w:rPr>
                <w:b/>
                <w:bCs/>
                <w:color w:val="0000FF"/>
                <w:szCs w:val="24"/>
                <w:lang w:val="x-none" w:eastAsia="x-none"/>
              </w:rPr>
              <w:t xml:space="preserve">geri verilmesini </w:t>
            </w:r>
            <w:r w:rsidRPr="00A23740">
              <w:rPr>
                <w:szCs w:val="24"/>
              </w:rPr>
              <w:t>ist</w:t>
            </w:r>
            <w:r w:rsidRPr="00A23740">
              <w:rPr>
                <w:b/>
                <w:bCs/>
                <w:color w:val="0000FF"/>
                <w:szCs w:val="24"/>
                <w:lang w:val="x-none" w:eastAsia="x-none"/>
              </w:rPr>
              <w:t>e</w:t>
            </w:r>
            <w:r w:rsidRPr="00A23740">
              <w:rPr>
                <w:szCs w:val="24"/>
              </w:rPr>
              <w:t>yebilir.</w:t>
            </w:r>
          </w:p>
          <w:p w:rsidR="00155AF4" w:rsidRDefault="00155AF4" w:rsidP="009431FF">
            <w:pPr>
              <w:autoSpaceDE w:val="0"/>
              <w:autoSpaceDN w:val="0"/>
              <w:adjustRightInd w:val="0"/>
              <w:rPr>
                <w:szCs w:val="24"/>
              </w:rPr>
            </w:pPr>
          </w:p>
          <w:p w:rsidR="003047A5" w:rsidRPr="00A23740" w:rsidRDefault="003047A5" w:rsidP="009431FF">
            <w:pPr>
              <w:autoSpaceDE w:val="0"/>
              <w:autoSpaceDN w:val="0"/>
              <w:adjustRightInd w:val="0"/>
              <w:rPr>
                <w:szCs w:val="24"/>
              </w:rPr>
            </w:pPr>
          </w:p>
          <w:p w:rsidR="00155AF4" w:rsidRPr="00A23740" w:rsidRDefault="00155AF4" w:rsidP="009431FF">
            <w:pPr>
              <w:tabs>
                <w:tab w:val="left" w:pos="567"/>
              </w:tabs>
              <w:autoSpaceDE w:val="0"/>
              <w:autoSpaceDN w:val="0"/>
              <w:adjustRightInd w:val="0"/>
              <w:rPr>
                <w:b/>
                <w:bCs/>
                <w:color w:val="0000FF"/>
                <w:szCs w:val="24"/>
              </w:rPr>
            </w:pPr>
          </w:p>
          <w:p w:rsidR="00155AF4" w:rsidRPr="00A23740" w:rsidRDefault="00155AF4" w:rsidP="009431FF">
            <w:pPr>
              <w:autoSpaceDE w:val="0"/>
              <w:autoSpaceDN w:val="0"/>
              <w:adjustRightInd w:val="0"/>
              <w:rPr>
                <w:szCs w:val="24"/>
              </w:rPr>
            </w:pPr>
            <w:r w:rsidRPr="00A23740">
              <w:rPr>
                <w:b/>
                <w:bCs/>
                <w:color w:val="0000FF"/>
                <w:szCs w:val="24"/>
                <w:lang w:val="x-none" w:eastAsia="x-none"/>
              </w:rPr>
              <w:t>(2)</w:t>
            </w:r>
            <w:r w:rsidRPr="00A23740">
              <w:rPr>
                <w:szCs w:val="24"/>
              </w:rPr>
              <w:t xml:space="preserve"> Davacı, istirdat davasında </w:t>
            </w:r>
            <w:r w:rsidRPr="00A23740">
              <w:rPr>
                <w:b/>
                <w:bCs/>
                <w:color w:val="0000FF"/>
                <w:szCs w:val="24"/>
                <w:lang w:val="x-none" w:eastAsia="x-none"/>
              </w:rPr>
              <w:t>sadece</w:t>
            </w:r>
            <w:r w:rsidRPr="00A23740">
              <w:rPr>
                <w:szCs w:val="24"/>
              </w:rPr>
              <w:t xml:space="preserve"> paranın </w:t>
            </w:r>
            <w:r w:rsidRPr="00A23740">
              <w:rPr>
                <w:b/>
                <w:bCs/>
                <w:color w:val="0000FF"/>
                <w:szCs w:val="24"/>
                <w:lang w:val="x-none" w:eastAsia="x-none"/>
              </w:rPr>
              <w:t>ödenmesi</w:t>
            </w:r>
            <w:r w:rsidRPr="00A23740">
              <w:rPr>
                <w:szCs w:val="24"/>
              </w:rPr>
              <w:t xml:space="preserve"> </w:t>
            </w:r>
            <w:r w:rsidRPr="00A23740">
              <w:rPr>
                <w:b/>
                <w:bCs/>
                <w:color w:val="0000FF"/>
                <w:szCs w:val="24"/>
                <w:lang w:val="x-none" w:eastAsia="x-none"/>
              </w:rPr>
              <w:t>gerekmediğini</w:t>
            </w:r>
            <w:r w:rsidRPr="00A23740">
              <w:rPr>
                <w:szCs w:val="24"/>
              </w:rPr>
              <w:t xml:space="preserve"> ispat</w:t>
            </w:r>
            <w:r w:rsidRPr="00A23740">
              <w:rPr>
                <w:rFonts w:eastAsia="ヒラギノ明朝 Pro W3"/>
                <w:b/>
                <w:color w:val="339933"/>
                <w:szCs w:val="24"/>
              </w:rPr>
              <w:t xml:space="preserve"> </w:t>
            </w:r>
            <w:r w:rsidRPr="00A23740">
              <w:rPr>
                <w:b/>
                <w:bCs/>
                <w:color w:val="0000FF"/>
                <w:szCs w:val="24"/>
                <w:lang w:val="x-none" w:eastAsia="x-none"/>
              </w:rPr>
              <w:t>etmelidir.</w:t>
            </w:r>
          </w:p>
          <w:p w:rsidR="00155AF4" w:rsidRPr="00A23740" w:rsidRDefault="00155AF4" w:rsidP="009431FF">
            <w:pPr>
              <w:autoSpaceDE w:val="0"/>
              <w:autoSpaceDN w:val="0"/>
              <w:adjustRightInd w:val="0"/>
              <w:rPr>
                <w:szCs w:val="24"/>
              </w:rPr>
            </w:pPr>
          </w:p>
          <w:p w:rsidR="00155AF4" w:rsidRPr="00A23740" w:rsidRDefault="00155AF4" w:rsidP="009431FF">
            <w:pPr>
              <w:autoSpaceDE w:val="0"/>
              <w:autoSpaceDN w:val="0"/>
              <w:adjustRightInd w:val="0"/>
              <w:rPr>
                <w:szCs w:val="24"/>
              </w:rPr>
            </w:pPr>
          </w:p>
        </w:tc>
      </w:tr>
      <w:tr w:rsidR="00155AF4" w:rsidRPr="00A23740" w:rsidTr="009431FF">
        <w:tc>
          <w:tcPr>
            <w:tcW w:w="5000" w:type="pct"/>
            <w:gridSpan w:val="2"/>
            <w:shd w:val="clear" w:color="auto" w:fill="DEEAF6"/>
          </w:tcPr>
          <w:p w:rsidR="00BC4136" w:rsidRPr="00A23740" w:rsidRDefault="00BC4136" w:rsidP="009431FF">
            <w:pPr>
              <w:tabs>
                <w:tab w:val="left" w:pos="567"/>
              </w:tabs>
              <w:autoSpaceDE w:val="0"/>
              <w:autoSpaceDN w:val="0"/>
              <w:adjustRightInd w:val="0"/>
              <w:ind w:firstLine="709"/>
              <w:rPr>
                <w:b/>
                <w:szCs w:val="24"/>
              </w:rPr>
            </w:pPr>
          </w:p>
          <w:p w:rsidR="00DB2C16" w:rsidRPr="00A23740" w:rsidRDefault="00DB2C16" w:rsidP="009431FF">
            <w:pPr>
              <w:tabs>
                <w:tab w:val="left" w:pos="567"/>
              </w:tabs>
              <w:autoSpaceDE w:val="0"/>
              <w:autoSpaceDN w:val="0"/>
              <w:adjustRightInd w:val="0"/>
              <w:ind w:firstLine="709"/>
              <w:rPr>
                <w:szCs w:val="24"/>
              </w:rPr>
            </w:pPr>
            <w:r w:rsidRPr="00A23740">
              <w:rPr>
                <w:b/>
                <w:szCs w:val="24"/>
              </w:rPr>
              <w:t>MADDE 100-</w:t>
            </w:r>
            <w:r w:rsidRPr="00A23740">
              <w:rPr>
                <w:szCs w:val="24"/>
              </w:rPr>
              <w:t xml:space="preserve"> </w:t>
            </w:r>
            <w:r w:rsidR="00BC4136" w:rsidRPr="00A23740">
              <w:rPr>
                <w:szCs w:val="24"/>
              </w:rPr>
              <w:t xml:space="preserve">Maddeyle, istirdat davasına ilişkin hususlar düzenlenmektedir. </w:t>
            </w:r>
            <w:r w:rsidRPr="00A23740">
              <w:rPr>
                <w:szCs w:val="24"/>
              </w:rPr>
              <w:t>Taslağın 100 üncü maddesi</w:t>
            </w:r>
            <w:r w:rsidR="00BC4136" w:rsidRPr="00A23740">
              <w:rPr>
                <w:szCs w:val="24"/>
              </w:rPr>
              <w:t>,</w:t>
            </w:r>
            <w:r w:rsidRPr="00A23740">
              <w:rPr>
                <w:szCs w:val="24"/>
              </w:rPr>
              <w:t xml:space="preserve"> “İstirdat davası” başlığını taşımakta olup</w:t>
            </w:r>
            <w:r w:rsidR="00F554FA" w:rsidRPr="00A23740">
              <w:rPr>
                <w:szCs w:val="24"/>
              </w:rPr>
              <w:t>,</w:t>
            </w:r>
            <w:r w:rsidRPr="00A23740">
              <w:rPr>
                <w:szCs w:val="24"/>
              </w:rPr>
              <w:t xml:space="preserve"> </w:t>
            </w:r>
            <w:r w:rsidR="00BC4136" w:rsidRPr="00A23740">
              <w:rPr>
                <w:szCs w:val="24"/>
              </w:rPr>
              <w:t>2004 sayılı Kanunun</w:t>
            </w:r>
            <w:r w:rsidRPr="00A23740">
              <w:rPr>
                <w:szCs w:val="24"/>
              </w:rPr>
              <w:t xml:space="preserve"> 72 nci maddesinin son fıkrasına karşılık gelmektedir.  Esasen itirazın hükümden düşürülmesi yeni sistemde her zaman genel hükümlere göre olacağından</w:t>
            </w:r>
            <w:r w:rsidR="00F554FA" w:rsidRPr="00A23740">
              <w:rPr>
                <w:szCs w:val="24"/>
              </w:rPr>
              <w:t>,</w:t>
            </w:r>
            <w:r w:rsidRPr="00A23740">
              <w:rPr>
                <w:szCs w:val="24"/>
              </w:rPr>
              <w:t xml:space="preserve"> kural olarak</w:t>
            </w:r>
            <w:r w:rsidR="00F554FA" w:rsidRPr="00A23740">
              <w:rPr>
                <w:szCs w:val="24"/>
              </w:rPr>
              <w:t>,</w:t>
            </w:r>
            <w:r w:rsidRPr="00A23740">
              <w:rPr>
                <w:szCs w:val="24"/>
              </w:rPr>
              <w:t xml:space="preserve"> verilen karar maddi anlamda kesin hüküm teşkil edecektir ve istirdat davasına yer olmayacaktır. Ancak takibe itiraz edilmemiş olması sebebiyle veya yetki itirazının reddi gibi sebeplerle takibin kesinleştiği h</w:t>
            </w:r>
            <w:r w:rsidR="000A20F1" w:rsidRPr="00A23740">
              <w:rPr>
                <w:szCs w:val="24"/>
              </w:rPr>
              <w:t>â</w:t>
            </w:r>
            <w:r w:rsidRPr="00A23740">
              <w:rPr>
                <w:szCs w:val="24"/>
              </w:rPr>
              <w:t xml:space="preserve">llerde </w:t>
            </w:r>
            <w:r w:rsidR="00BC4136" w:rsidRPr="00A23740">
              <w:rPr>
                <w:szCs w:val="24"/>
              </w:rPr>
              <w:t>istirdat davası açılabilecekir.</w:t>
            </w:r>
          </w:p>
          <w:p w:rsidR="00DB2C16" w:rsidRPr="00A23740" w:rsidRDefault="00DB2C16" w:rsidP="009431FF">
            <w:pPr>
              <w:tabs>
                <w:tab w:val="left" w:pos="567"/>
              </w:tabs>
              <w:autoSpaceDE w:val="0"/>
              <w:autoSpaceDN w:val="0"/>
              <w:adjustRightInd w:val="0"/>
              <w:ind w:firstLine="709"/>
              <w:rPr>
                <w:szCs w:val="24"/>
              </w:rPr>
            </w:pPr>
            <w:r w:rsidRPr="00A23740">
              <w:rPr>
                <w:szCs w:val="24"/>
              </w:rPr>
              <w:t>M</w:t>
            </w:r>
            <w:r w:rsidR="00BC4136" w:rsidRPr="00A23740">
              <w:rPr>
                <w:szCs w:val="24"/>
              </w:rPr>
              <w:t>addenin bir</w:t>
            </w:r>
            <w:r w:rsidRPr="00A23740">
              <w:rPr>
                <w:szCs w:val="24"/>
              </w:rPr>
              <w:t>inci fıkrasında borçlu olmadığı h</w:t>
            </w:r>
            <w:r w:rsidR="000A20F1" w:rsidRPr="00A23740">
              <w:rPr>
                <w:szCs w:val="24"/>
              </w:rPr>
              <w:t>â</w:t>
            </w:r>
            <w:r w:rsidRPr="00A23740">
              <w:rPr>
                <w:szCs w:val="24"/>
              </w:rPr>
              <w:t>lde cebr</w:t>
            </w:r>
            <w:r w:rsidR="00436506" w:rsidRPr="00A23740">
              <w:rPr>
                <w:szCs w:val="24"/>
              </w:rPr>
              <w:t>î</w:t>
            </w:r>
            <w:r w:rsidRPr="00A23740">
              <w:rPr>
                <w:szCs w:val="24"/>
              </w:rPr>
              <w:t xml:space="preserve"> icra tehdidi altında ödeme yapmak zorunda kalan kişinin borcu tamamen ödediği tarihten itibaren iki yıl içinde, genel hükümler uyarınca mahkemeye başvurarak paranın geri verilmesini isteyebileceği belirtilmiştir. Böylece zamanaşımı süresi bakımından </w:t>
            </w:r>
            <w:r w:rsidR="00BC4136" w:rsidRPr="00A23740">
              <w:rPr>
                <w:szCs w:val="24"/>
              </w:rPr>
              <w:t xml:space="preserve">6098 sayılı </w:t>
            </w:r>
            <w:r w:rsidR="006F16CF" w:rsidRPr="00D6648F">
              <w:rPr>
                <w:szCs w:val="24"/>
              </w:rPr>
              <w:t>Kanunun</w:t>
            </w:r>
            <w:r w:rsidR="006F16CF" w:rsidRPr="00A23740">
              <w:t xml:space="preserve"> </w:t>
            </w:r>
            <w:r w:rsidRPr="00A23740">
              <w:rPr>
                <w:szCs w:val="24"/>
              </w:rPr>
              <w:t xml:space="preserve">82 </w:t>
            </w:r>
            <w:r w:rsidR="00BC4136" w:rsidRPr="00A23740">
              <w:rPr>
                <w:szCs w:val="24"/>
              </w:rPr>
              <w:t xml:space="preserve">nci maddesi </w:t>
            </w:r>
            <w:r w:rsidRPr="00A23740">
              <w:rPr>
                <w:szCs w:val="24"/>
              </w:rPr>
              <w:t>ile de uyum sağlanmış olmaktadır.</w:t>
            </w:r>
          </w:p>
          <w:p w:rsidR="00E91409" w:rsidRPr="00A23740" w:rsidRDefault="00DB2C16" w:rsidP="009431FF">
            <w:pPr>
              <w:tabs>
                <w:tab w:val="left" w:pos="567"/>
              </w:tabs>
              <w:autoSpaceDE w:val="0"/>
              <w:autoSpaceDN w:val="0"/>
              <w:adjustRightInd w:val="0"/>
              <w:ind w:firstLine="709"/>
              <w:rPr>
                <w:szCs w:val="24"/>
              </w:rPr>
            </w:pPr>
            <w:r w:rsidRPr="00A23740">
              <w:rPr>
                <w:szCs w:val="24"/>
              </w:rPr>
              <w:t>Madd</w:t>
            </w:r>
            <w:r w:rsidR="00BC4136" w:rsidRPr="00A23740">
              <w:rPr>
                <w:szCs w:val="24"/>
              </w:rPr>
              <w:t>enin iki</w:t>
            </w:r>
            <w:r w:rsidRPr="00A23740">
              <w:rPr>
                <w:szCs w:val="24"/>
              </w:rPr>
              <w:t xml:space="preserve">nci fıkrasında ise davacının, istirdat davasında sadece paranın ödenmesi gerekmediğini ispat etmesinin yeterli olacağı, </w:t>
            </w:r>
            <w:r w:rsidR="00BC4136" w:rsidRPr="00A23740">
              <w:rPr>
                <w:szCs w:val="24"/>
              </w:rPr>
              <w:t xml:space="preserve">6098 sayılı Kanunun 78 inci maddesindeki </w:t>
            </w:r>
            <w:r w:rsidRPr="00A23740">
              <w:rPr>
                <w:szCs w:val="24"/>
              </w:rPr>
              <w:t>h</w:t>
            </w:r>
            <w:r w:rsidR="000A20F1" w:rsidRPr="00A23740">
              <w:rPr>
                <w:szCs w:val="24"/>
              </w:rPr>
              <w:t>â</w:t>
            </w:r>
            <w:r w:rsidRPr="00A23740">
              <w:rPr>
                <w:szCs w:val="24"/>
              </w:rPr>
              <w:t>lin aksine, ödemeyi “kendisini borçlu sanarak” yaptığını ispat etmesinin gerekmediği açıklanmıştır.</w:t>
            </w:r>
          </w:p>
          <w:p w:rsidR="00E91409" w:rsidRPr="00A23740" w:rsidRDefault="00E91409" w:rsidP="009431FF">
            <w:pPr>
              <w:keepNext/>
              <w:autoSpaceDE w:val="0"/>
              <w:autoSpaceDN w:val="0"/>
              <w:adjustRightInd w:val="0"/>
              <w:ind w:firstLine="709"/>
              <w:rPr>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9175D" w:rsidRDefault="00155AF4" w:rsidP="009431FF">
            <w:pPr>
              <w:tabs>
                <w:tab w:val="left" w:pos="567"/>
              </w:tabs>
              <w:autoSpaceDE w:val="0"/>
              <w:autoSpaceDN w:val="0"/>
              <w:adjustRightInd w:val="0"/>
              <w:rPr>
                <w:rStyle w:val="KIRMIZIChar"/>
                <w:rFonts w:eastAsia="Calibri"/>
              </w:rPr>
            </w:pPr>
            <w:r w:rsidRPr="00A23740">
              <w:rPr>
                <w:szCs w:val="24"/>
              </w:rPr>
              <w:t xml:space="preserve">Menfi </w:t>
            </w:r>
            <w:r w:rsidRPr="00A9175D">
              <w:rPr>
                <w:rStyle w:val="KIRMIZIChar"/>
                <w:rFonts w:eastAsia="Calibri"/>
              </w:rPr>
              <w:t>tesbit</w:t>
            </w:r>
            <w:r w:rsidRPr="00A23740">
              <w:rPr>
                <w:szCs w:val="24"/>
              </w:rPr>
              <w:t xml:space="preserve"> ve istirdat </w:t>
            </w:r>
            <w:r w:rsidRPr="00A9175D">
              <w:rPr>
                <w:rStyle w:val="KIRMIZIChar"/>
                <w:rFonts w:eastAsia="Calibri"/>
              </w:rPr>
              <w:t>davaları:</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Madde 72 – (1) (Değişik: 18/2/1965 - 538/43 md.)</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Menfi tesbit ve istirdat davaları, takibi yapan icra dairesinin bulunduğu yer mahkemesinde açılabileceği gibi, davalının yerleşim yeri mahkemesinde de açılabilir. Davacı istirdat davasında yalnız paranın verilmesi lazımgelmediğini ispata mecburdur.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rPr>
                <w:b/>
                <w:bCs/>
                <w:color w:val="0000FF"/>
                <w:szCs w:val="24"/>
                <w:lang w:val="x-none" w:eastAsia="x-none"/>
              </w:rPr>
            </w:pPr>
            <w:r w:rsidRPr="00A9175D">
              <w:rPr>
                <w:b/>
                <w:bCs/>
                <w:szCs w:val="24"/>
                <w:lang w:val="x-none" w:eastAsia="x-none"/>
              </w:rPr>
              <w:t xml:space="preserve">Menfi </w:t>
            </w:r>
            <w:r w:rsidRPr="00A23740">
              <w:rPr>
                <w:b/>
                <w:bCs/>
                <w:color w:val="0000FF"/>
                <w:szCs w:val="24"/>
                <w:lang w:val="x-none" w:eastAsia="x-none"/>
              </w:rPr>
              <w:t xml:space="preserve">tespit ve </w:t>
            </w:r>
            <w:r w:rsidRPr="00A9175D">
              <w:rPr>
                <w:b/>
                <w:bCs/>
                <w:szCs w:val="24"/>
                <w:lang w:val="x-none" w:eastAsia="x-none"/>
              </w:rPr>
              <w:t xml:space="preserve">istirdat </w:t>
            </w:r>
            <w:r w:rsidRPr="00A23740">
              <w:rPr>
                <w:b/>
                <w:bCs/>
                <w:color w:val="0000FF"/>
                <w:szCs w:val="24"/>
                <w:lang w:val="x-none" w:eastAsia="x-none"/>
              </w:rPr>
              <w:t>davalarında yetkili mahkeme</w:t>
            </w: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MADDE 101- (1) Takipten önce açılan menfi tespit davalarında yetkili mahkeme Hukuk Muhakemeleri Kanunu hükümlerine göre belirlenir. </w:t>
            </w:r>
          </w:p>
          <w:p w:rsidR="00155AF4" w:rsidRPr="00A23740" w:rsidRDefault="00155AF4" w:rsidP="009431FF">
            <w:pPr>
              <w:tabs>
                <w:tab w:val="left" w:pos="567"/>
              </w:tabs>
              <w:rPr>
                <w:b/>
                <w:bCs/>
                <w:color w:val="0000FF"/>
                <w:szCs w:val="24"/>
                <w:lang w:val="x-none" w:eastAsia="x-none"/>
              </w:rPr>
            </w:pPr>
          </w:p>
          <w:p w:rsidR="00C346BD" w:rsidRPr="00A23740" w:rsidRDefault="00C346BD" w:rsidP="009431FF">
            <w:pPr>
              <w:tabs>
                <w:tab w:val="left" w:pos="567"/>
              </w:tabs>
              <w:rPr>
                <w:b/>
                <w:bCs/>
                <w:color w:val="0000FF"/>
                <w:szCs w:val="24"/>
                <w:lang w:val="x-none" w:eastAsia="x-none"/>
              </w:rPr>
            </w:pPr>
          </w:p>
          <w:p w:rsidR="00C346BD" w:rsidRPr="00A23740" w:rsidRDefault="00C346BD"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(2) İstirdat davaları ile takipten sonra açılan menfi tespit davalarında takibi yapan icra </w:t>
            </w:r>
            <w:r w:rsidR="00C21C2C" w:rsidRPr="00D6648F">
              <w:rPr>
                <w:b/>
                <w:bCs/>
                <w:color w:val="0000FF"/>
                <w:szCs w:val="24"/>
                <w:lang w:val="x-none" w:eastAsia="x-none"/>
              </w:rPr>
              <w:t>ve iflas</w:t>
            </w:r>
            <w:r w:rsidR="00C21C2C" w:rsidRPr="00A23740">
              <w:rPr>
                <w:b/>
                <w:bCs/>
                <w:color w:val="538135"/>
                <w:szCs w:val="24"/>
                <w:lang w:val="x-none" w:eastAsia="x-none"/>
              </w:rPr>
              <w:t xml:space="preserve"> </w:t>
            </w:r>
            <w:r w:rsidRPr="00A23740">
              <w:rPr>
                <w:b/>
                <w:bCs/>
                <w:color w:val="0000FF"/>
                <w:szCs w:val="24"/>
                <w:lang w:val="x-none" w:eastAsia="x-none"/>
              </w:rPr>
              <w:t>dairesinin bulunduğu yer mahkemesi de yetkilidir.</w:t>
            </w:r>
          </w:p>
          <w:p w:rsidR="00155AF4" w:rsidRPr="00A23740" w:rsidRDefault="00155AF4" w:rsidP="009431FF">
            <w:pPr>
              <w:tabs>
                <w:tab w:val="left" w:pos="567"/>
              </w:tabs>
              <w:autoSpaceDE w:val="0"/>
              <w:autoSpaceDN w:val="0"/>
              <w:adjustRightInd w:val="0"/>
              <w:rPr>
                <w:szCs w:val="24"/>
              </w:rPr>
            </w:pPr>
          </w:p>
        </w:tc>
      </w:tr>
      <w:tr w:rsidR="00155AF4" w:rsidRPr="00A23740" w:rsidTr="009431FF">
        <w:tc>
          <w:tcPr>
            <w:tcW w:w="5000" w:type="pct"/>
            <w:gridSpan w:val="2"/>
            <w:shd w:val="clear" w:color="auto" w:fill="DEEAF6"/>
          </w:tcPr>
          <w:p w:rsidR="00842F98" w:rsidRPr="00A23740" w:rsidRDefault="00842F98" w:rsidP="009431FF">
            <w:pPr>
              <w:autoSpaceDE w:val="0"/>
              <w:autoSpaceDN w:val="0"/>
              <w:adjustRightInd w:val="0"/>
              <w:ind w:firstLine="709"/>
              <w:rPr>
                <w:b/>
                <w:szCs w:val="24"/>
              </w:rPr>
            </w:pPr>
          </w:p>
          <w:p w:rsidR="00DB2C16" w:rsidRPr="00A23740" w:rsidRDefault="00DB2C16" w:rsidP="009431FF">
            <w:pPr>
              <w:autoSpaceDE w:val="0"/>
              <w:autoSpaceDN w:val="0"/>
              <w:adjustRightInd w:val="0"/>
              <w:ind w:firstLine="709"/>
              <w:rPr>
                <w:szCs w:val="24"/>
              </w:rPr>
            </w:pPr>
            <w:r w:rsidRPr="00A23740">
              <w:rPr>
                <w:b/>
                <w:szCs w:val="24"/>
              </w:rPr>
              <w:t>MADDE 101-</w:t>
            </w:r>
            <w:r w:rsidRPr="00A23740">
              <w:rPr>
                <w:szCs w:val="24"/>
              </w:rPr>
              <w:t xml:space="preserve">  </w:t>
            </w:r>
            <w:r w:rsidR="00BC4136" w:rsidRPr="00A23740">
              <w:rPr>
                <w:szCs w:val="24"/>
              </w:rPr>
              <w:t xml:space="preserve">Maddeyle, menfi tespit ve istirdat davalarında yetkili mahkeme belirlenmektedir. </w:t>
            </w:r>
            <w:r w:rsidRPr="00A23740">
              <w:rPr>
                <w:szCs w:val="24"/>
              </w:rPr>
              <w:t xml:space="preserve">Taslağın 101 </w:t>
            </w:r>
            <w:r w:rsidR="00BC4136" w:rsidRPr="00A23740">
              <w:rPr>
                <w:szCs w:val="24"/>
              </w:rPr>
              <w:t>i</w:t>
            </w:r>
            <w:r w:rsidRPr="00A23740">
              <w:rPr>
                <w:szCs w:val="24"/>
              </w:rPr>
              <w:t>nci maddesi “Menfi tespit ve istirdat davalarında yetkili mahkeme” başlığını taşımakta olup</w:t>
            </w:r>
            <w:r w:rsidR="00907224" w:rsidRPr="00A23740">
              <w:rPr>
                <w:szCs w:val="24"/>
              </w:rPr>
              <w:t>,</w:t>
            </w:r>
            <w:r w:rsidRPr="00A23740">
              <w:rPr>
                <w:szCs w:val="24"/>
              </w:rPr>
              <w:t xml:space="preserve"> </w:t>
            </w:r>
            <w:r w:rsidR="00BC4136" w:rsidRPr="00A23740">
              <w:rPr>
                <w:szCs w:val="24"/>
              </w:rPr>
              <w:t>2004 sayılı Kanunun 72 nci maddesinin sekizinci</w:t>
            </w:r>
            <w:r w:rsidRPr="00A23740">
              <w:rPr>
                <w:szCs w:val="24"/>
              </w:rPr>
              <w:t xml:space="preserve"> </w:t>
            </w:r>
            <w:r w:rsidR="00BC4136" w:rsidRPr="00A23740">
              <w:rPr>
                <w:szCs w:val="24"/>
              </w:rPr>
              <w:t>fıkrasına karşılık gelmektedir.</w:t>
            </w:r>
          </w:p>
          <w:p w:rsidR="00DB2C16" w:rsidRPr="00A23740" w:rsidRDefault="00BC4136" w:rsidP="009431FF">
            <w:pPr>
              <w:autoSpaceDE w:val="0"/>
              <w:autoSpaceDN w:val="0"/>
              <w:adjustRightInd w:val="0"/>
              <w:ind w:firstLine="709"/>
              <w:rPr>
                <w:szCs w:val="24"/>
              </w:rPr>
            </w:pPr>
            <w:r w:rsidRPr="00A23740">
              <w:rPr>
                <w:szCs w:val="24"/>
              </w:rPr>
              <w:t>Maddenin bir</w:t>
            </w:r>
            <w:r w:rsidR="00DB2C16" w:rsidRPr="00A23740">
              <w:rPr>
                <w:szCs w:val="24"/>
              </w:rPr>
              <w:t xml:space="preserve">inci fıkrasında takipten önce açılan menfi tespit davalarında yetkili mahkemenin </w:t>
            </w:r>
            <w:r w:rsidRPr="00A23740">
              <w:rPr>
                <w:szCs w:val="24"/>
              </w:rPr>
              <w:t>6100 sayılı Kanun</w:t>
            </w:r>
            <w:r w:rsidR="00DB2C16" w:rsidRPr="00A23740">
              <w:rPr>
                <w:szCs w:val="24"/>
              </w:rPr>
              <w:t xml:space="preserve"> hükümlerine göre belirleneceği belirtilmiştir.</w:t>
            </w:r>
          </w:p>
          <w:p w:rsidR="00E91409" w:rsidRPr="00A23740" w:rsidRDefault="00DB2C16" w:rsidP="009431FF">
            <w:pPr>
              <w:autoSpaceDE w:val="0"/>
              <w:autoSpaceDN w:val="0"/>
              <w:adjustRightInd w:val="0"/>
              <w:ind w:firstLine="709"/>
              <w:rPr>
                <w:szCs w:val="24"/>
              </w:rPr>
            </w:pPr>
            <w:r w:rsidRPr="00A23740">
              <w:rPr>
                <w:szCs w:val="24"/>
              </w:rPr>
              <w:t xml:space="preserve">Maddenin </w:t>
            </w:r>
            <w:r w:rsidR="00BC4136" w:rsidRPr="00A23740">
              <w:rPr>
                <w:szCs w:val="24"/>
              </w:rPr>
              <w:t>ikinci</w:t>
            </w:r>
            <w:r w:rsidRPr="00A23740">
              <w:rPr>
                <w:szCs w:val="24"/>
              </w:rPr>
              <w:t xml:space="preserve"> fıkrasında istirdat davaları ile takipten sonra açılan menfi tespit davalarında takibi yapan icra</w:t>
            </w:r>
            <w:r w:rsidR="005F30CB" w:rsidRPr="00A23740">
              <w:rPr>
                <w:szCs w:val="24"/>
              </w:rPr>
              <w:t xml:space="preserve"> </w:t>
            </w:r>
            <w:r w:rsidR="005F30CB" w:rsidRPr="00D6648F">
              <w:rPr>
                <w:szCs w:val="24"/>
              </w:rPr>
              <w:t>ve</w:t>
            </w:r>
            <w:r w:rsidR="005F30CB" w:rsidRPr="00D6648F">
              <w:rPr>
                <w:b/>
              </w:rPr>
              <w:t xml:space="preserve"> </w:t>
            </w:r>
            <w:r w:rsidR="005F30CB" w:rsidRPr="00D6648F">
              <w:rPr>
                <w:szCs w:val="24"/>
              </w:rPr>
              <w:t>iflas</w:t>
            </w:r>
            <w:r w:rsidRPr="00A23740">
              <w:rPr>
                <w:szCs w:val="24"/>
              </w:rPr>
              <w:t xml:space="preserve"> dairesinin bulunduğu yer mahkemesinin de yetkili olduğu açıklanmaktadır.</w:t>
            </w:r>
          </w:p>
          <w:p w:rsidR="000A20F1" w:rsidRPr="00A23740" w:rsidRDefault="000A20F1" w:rsidP="009431FF">
            <w:pPr>
              <w:keepNext/>
              <w:autoSpaceDE w:val="0"/>
              <w:autoSpaceDN w:val="0"/>
              <w:adjustRightInd w:val="0"/>
              <w:ind w:firstLine="709"/>
              <w:rPr>
                <w:b/>
                <w:szCs w:val="24"/>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jc w:val="center"/>
              <w:rPr>
                <w:rFonts w:eastAsia="Times New Roman"/>
                <w:color w:val="000000"/>
                <w:szCs w:val="24"/>
                <w:lang w:eastAsia="tr-TR"/>
              </w:rPr>
            </w:pPr>
            <w:r w:rsidRPr="00A23740">
              <w:rPr>
                <w:rFonts w:eastAsia="Times New Roman"/>
                <w:b/>
                <w:bCs/>
                <w:color w:val="000000"/>
                <w:szCs w:val="24"/>
                <w:lang w:eastAsia="tr-TR"/>
              </w:rPr>
              <w:t xml:space="preserve">ABONELİK SÖZLEŞMESİNDEN KAYNAKLANAN PARA ALACAKLARINA İLİŞKİN </w:t>
            </w:r>
            <w:r w:rsidRPr="00A9175D">
              <w:rPr>
                <w:rStyle w:val="KIRMIZIChar"/>
                <w:rFonts w:eastAsia="Calibri"/>
              </w:rPr>
              <w:t>TAKİBİN BA</w:t>
            </w:r>
            <w:r w:rsidRPr="00A23740">
              <w:rPr>
                <w:rStyle w:val="KIRMIZIChar"/>
                <w:rFonts w:eastAsia="Calibri"/>
              </w:rPr>
              <w:t>ŞLATILMASI USULÜ HAKKINDA KANUN</w:t>
            </w:r>
          </w:p>
          <w:p w:rsidR="00155AF4" w:rsidRPr="00A23740" w:rsidRDefault="00155AF4" w:rsidP="009431FF">
            <w:pPr>
              <w:rPr>
                <w:rFonts w:eastAsia="Times New Roman"/>
                <w:b/>
                <w:bCs/>
                <w:color w:val="000000"/>
                <w:szCs w:val="24"/>
                <w:lang w:eastAsia="tr-TR"/>
              </w:rPr>
            </w:pPr>
          </w:p>
          <w:p w:rsidR="00155AF4" w:rsidRPr="00A23740" w:rsidRDefault="00155AF4" w:rsidP="009431FF">
            <w:pPr>
              <w:rPr>
                <w:rFonts w:eastAsia="Times New Roman"/>
                <w:b/>
                <w:bCs/>
                <w:color w:val="000000"/>
                <w:szCs w:val="24"/>
                <w:lang w:eastAsia="tr-TR"/>
              </w:rPr>
            </w:pPr>
          </w:p>
          <w:p w:rsidR="00155AF4" w:rsidRPr="00A9175D" w:rsidRDefault="00155AF4" w:rsidP="009431FF">
            <w:pPr>
              <w:rPr>
                <w:rFonts w:eastAsia="Times New Roman"/>
                <w:strike/>
                <w:szCs w:val="24"/>
                <w:lang w:eastAsia="tr-TR"/>
              </w:rPr>
            </w:pPr>
            <w:r w:rsidRPr="00A9175D">
              <w:rPr>
                <w:rStyle w:val="KIRMIZIChar"/>
                <w:rFonts w:eastAsia="Calibri"/>
                <w:strike w:val="0"/>
                <w:color w:val="auto"/>
                <w:lang w:eastAsia="tr-TR"/>
              </w:rPr>
              <w:t>Kapsam</w:t>
            </w:r>
          </w:p>
          <w:p w:rsidR="00155AF4" w:rsidRPr="00A23740" w:rsidRDefault="00155AF4" w:rsidP="009431FF">
            <w:pPr>
              <w:rPr>
                <w:rFonts w:eastAsia="Times New Roman"/>
                <w:color w:val="000000"/>
                <w:szCs w:val="24"/>
                <w:lang w:eastAsia="tr-TR"/>
              </w:rPr>
            </w:pPr>
            <w:r w:rsidRPr="00A9175D">
              <w:rPr>
                <w:rStyle w:val="KIRMIZIChar"/>
                <w:rFonts w:eastAsia="Calibri"/>
              </w:rPr>
              <w:t>MADDE 2- </w:t>
            </w:r>
            <w:r w:rsidRPr="00A9175D">
              <w:rPr>
                <w:rStyle w:val="KIRMIZIChar"/>
                <w:rFonts w:eastAsia="Calibri"/>
                <w:b w:val="0"/>
                <w:strike w:val="0"/>
                <w:color w:val="auto"/>
              </w:rPr>
              <w:t>(1)</w:t>
            </w:r>
            <w:r w:rsidRPr="00A9175D">
              <w:rPr>
                <w:rStyle w:val="KIRMIZIChar"/>
                <w:rFonts w:eastAsia="Calibri"/>
                <w:strike w:val="0"/>
                <w:color w:val="auto"/>
              </w:rPr>
              <w:t xml:space="preserve"> </w:t>
            </w:r>
            <w:r w:rsidRPr="00A9175D">
              <w:rPr>
                <w:rStyle w:val="KIRMIZIChar"/>
                <w:rFonts w:eastAsia="Calibri"/>
              </w:rPr>
              <w:t>Bu</w:t>
            </w:r>
            <w:r w:rsidRPr="00A23740">
              <w:rPr>
                <w:rStyle w:val="KIRMIZIChar"/>
                <w:rFonts w:eastAsia="Calibri"/>
              </w:rPr>
              <w:t xml:space="preserve"> Kanun,</w:t>
            </w:r>
            <w:r w:rsidRPr="00A23740">
              <w:rPr>
                <w:rFonts w:eastAsia="Times New Roman"/>
                <w:color w:val="000000"/>
                <w:szCs w:val="24"/>
                <w:lang w:eastAsia="tr-TR"/>
              </w:rPr>
              <w:t xml:space="preserve"> 7/11/2013 tarihli ve 6502 sayılı Tüketicinin Korunması Hakkında Kanunda ve diğer mevzuatta düzenlenen abonelik sözleşmeleri ile bu sözleşmelerin ifası amacıyla tüketiciye sunulup bedeli faturaya yansıtılan mal veya hizmetten kaynaklanan ve avukatla takip edilen para alacaklarına ilişkin </w:t>
            </w:r>
            <w:r w:rsidRPr="00A23740">
              <w:rPr>
                <w:rStyle w:val="KIRMIZIChar"/>
                <w:rFonts w:eastAsia="Calibri"/>
              </w:rPr>
              <w:t>icra takiplerini kapsar.</w:t>
            </w:r>
          </w:p>
          <w:p w:rsidR="00155AF4" w:rsidRPr="00A23740" w:rsidRDefault="00155AF4" w:rsidP="009431FF">
            <w:pPr>
              <w:rPr>
                <w:rFonts w:eastAsia="Times New Roman"/>
                <w:color w:val="000000"/>
                <w:szCs w:val="24"/>
                <w:lang w:eastAsia="tr-TR"/>
              </w:rPr>
            </w:pPr>
            <w:r w:rsidRPr="00A23740">
              <w:rPr>
                <w:rStyle w:val="KIRMIZIChar"/>
                <w:rFonts w:eastAsia="Calibri"/>
              </w:rPr>
              <w:t>(2</w:t>
            </w:r>
            <w:r w:rsidRPr="00A9175D">
              <w:rPr>
                <w:rStyle w:val="KIRMIZIChar"/>
                <w:rFonts w:eastAsia="Calibri"/>
              </w:rPr>
              <w:t>) B</w:t>
            </w:r>
            <w:r w:rsidRPr="00A23740">
              <w:rPr>
                <w:rStyle w:val="KIRMIZIChar"/>
                <w:rFonts w:eastAsia="Calibri"/>
              </w:rPr>
              <w:t>irinci fıkra kapsamındaki</w:t>
            </w:r>
            <w:r w:rsidRPr="00A23740">
              <w:rPr>
                <w:rFonts w:eastAsia="Times New Roman"/>
                <w:color w:val="000000"/>
                <w:szCs w:val="24"/>
                <w:lang w:eastAsia="tr-TR"/>
              </w:rPr>
              <w:t xml:space="preserve"> icra takipleri ancak bu </w:t>
            </w:r>
            <w:r w:rsidRPr="00A23740">
              <w:rPr>
                <w:rStyle w:val="KIRMIZIChar"/>
                <w:rFonts w:eastAsia="Calibri"/>
              </w:rPr>
              <w:t>Kanunda</w:t>
            </w:r>
            <w:r w:rsidRPr="00A23740">
              <w:rPr>
                <w:rFonts w:eastAsia="Times New Roman"/>
                <w:color w:val="000000"/>
                <w:szCs w:val="24"/>
                <w:lang w:eastAsia="tr-TR"/>
              </w:rPr>
              <w:t xml:space="preserve"> belirlenen </w:t>
            </w:r>
            <w:r w:rsidRPr="00A23740">
              <w:rPr>
                <w:rStyle w:val="KIRMIZIChar"/>
                <w:rFonts w:eastAsia="Calibri"/>
              </w:rPr>
              <w:t>yöntemle</w:t>
            </w:r>
            <w:r w:rsidRPr="00A23740">
              <w:rPr>
                <w:rFonts w:eastAsia="Times New Roman"/>
                <w:color w:val="000000"/>
                <w:szCs w:val="24"/>
                <w:lang w:eastAsia="tr-TR"/>
              </w:rPr>
              <w:t xml:space="preserve"> başlatılabilir. Aksi hâlde icra dairesi takip talebini reddeder.</w:t>
            </w:r>
          </w:p>
          <w:p w:rsidR="00155AF4" w:rsidRDefault="00155AF4" w:rsidP="009431FF">
            <w:pPr>
              <w:rPr>
                <w:rFonts w:eastAsia="Times New Roman"/>
                <w:color w:val="000000"/>
                <w:szCs w:val="24"/>
                <w:lang w:eastAsia="tr-TR"/>
              </w:rPr>
            </w:pPr>
          </w:p>
          <w:p w:rsidR="003E5126" w:rsidRPr="00A23740" w:rsidRDefault="003E5126" w:rsidP="009431FF">
            <w:pPr>
              <w:rPr>
                <w:rFonts w:eastAsia="Times New Roman"/>
                <w:color w:val="000000"/>
                <w:szCs w:val="24"/>
                <w:lang w:eastAsia="tr-TR"/>
              </w:rPr>
            </w:pPr>
          </w:p>
          <w:p w:rsidR="00155AF4" w:rsidRPr="00A23740" w:rsidRDefault="00155AF4" w:rsidP="009431FF">
            <w:pPr>
              <w:pStyle w:val="KIRMIZI"/>
            </w:pPr>
            <w:r w:rsidRPr="00A23740">
              <w:rPr>
                <w:rStyle w:val="KIRMIZIChar"/>
                <w:rFonts w:eastAsia="Calibri"/>
                <w:b/>
                <w:bCs/>
                <w:strike/>
              </w:rPr>
              <w:t>Amaç</w:t>
            </w:r>
          </w:p>
          <w:p w:rsidR="00155AF4" w:rsidRPr="00A23740" w:rsidRDefault="00155AF4" w:rsidP="009431FF">
            <w:pPr>
              <w:pStyle w:val="KIRMIZI"/>
              <w:rPr>
                <w:color w:val="000000"/>
              </w:rPr>
            </w:pPr>
            <w:r w:rsidRPr="00A23740">
              <w:t xml:space="preserve">MADDE </w:t>
            </w:r>
            <w:r w:rsidRPr="00A23740">
              <w:rPr>
                <w:rStyle w:val="KIRMIZIChar"/>
                <w:rFonts w:eastAsia="Calibri"/>
                <w:b/>
                <w:bCs/>
                <w:strike/>
              </w:rPr>
              <w:t>1</w:t>
            </w:r>
            <w:r w:rsidRPr="00A23740">
              <w:t>- (1) Bu Kanunun amacı; abonelik sözleşmelerinden ve bu sözleşmelerin ifası amacıyla tüketiciye sunulup bedeli faturaya yansıtılan mal veya hizmetten kaynaklanan para alacaklarına ilişkin haciz yoluyla ilamsız icra takiplerinin, Ulusal Yargı Ağı Bilişim Sistemi (UYAP) bünyesinde oluşturulan Merkezî Takip Sistemi üzerinden başlatılmasına ve haciz aşamasına kadar yürütülmesine</w:t>
            </w:r>
            <w:r w:rsidRPr="00A23740">
              <w:rPr>
                <w:b w:val="0"/>
                <w:strike w:val="0"/>
                <w:color w:val="000000"/>
              </w:rPr>
              <w:t xml:space="preserve"> </w:t>
            </w:r>
            <w:r w:rsidRPr="00A23740">
              <w:t>ilişkin usul ve esasları düzenlemektir.</w:t>
            </w:r>
          </w:p>
          <w:p w:rsidR="00155AF4" w:rsidRPr="00A23740" w:rsidRDefault="00155AF4" w:rsidP="009431FF">
            <w:pPr>
              <w:tabs>
                <w:tab w:val="left" w:pos="567"/>
              </w:tabs>
              <w:autoSpaceDE w:val="0"/>
              <w:autoSpaceDN w:val="0"/>
              <w:adjustRightInd w:val="0"/>
              <w:rPr>
                <w:rFonts w:eastAsia="Times New Roman"/>
                <w:color w:val="000000"/>
                <w:szCs w:val="24"/>
                <w:lang w:eastAsia="tr-TR"/>
              </w:rPr>
            </w:pPr>
          </w:p>
          <w:p w:rsidR="00155AF4" w:rsidRPr="00A23740" w:rsidRDefault="00155AF4" w:rsidP="009431FF">
            <w:pPr>
              <w:pStyle w:val="KIRMIZI"/>
            </w:pPr>
            <w:r w:rsidRPr="00A23740">
              <w:t>Merkezî Takip Sistemi</w:t>
            </w:r>
          </w:p>
          <w:p w:rsidR="00155AF4" w:rsidRPr="00A23740" w:rsidRDefault="00155AF4" w:rsidP="009431FF">
            <w:pPr>
              <w:rPr>
                <w:rFonts w:eastAsia="Times New Roman"/>
                <w:color w:val="000000"/>
                <w:szCs w:val="24"/>
                <w:lang w:eastAsia="tr-TR"/>
              </w:rPr>
            </w:pPr>
            <w:r w:rsidRPr="00A23740">
              <w:rPr>
                <w:rStyle w:val="KIRMIZIChar"/>
                <w:rFonts w:eastAsia="Calibri"/>
              </w:rPr>
              <w:t>MADDE 3- (1)</w:t>
            </w:r>
            <w:r w:rsidRPr="00A23740">
              <w:rPr>
                <w:rFonts w:eastAsia="Times New Roman"/>
                <w:color w:val="000000"/>
                <w:szCs w:val="24"/>
                <w:lang w:eastAsia="tr-TR"/>
              </w:rPr>
              <w:t xml:space="preserve"> </w:t>
            </w:r>
            <w:r w:rsidRPr="00A23740">
              <w:rPr>
                <w:rStyle w:val="KIRMIZIChar"/>
                <w:rFonts w:eastAsia="Calibri"/>
              </w:rPr>
              <w:t>Bu Kanunda</w:t>
            </w:r>
            <w:r w:rsidRPr="00A23740">
              <w:rPr>
                <w:rFonts w:eastAsia="Times New Roman"/>
                <w:color w:val="000000"/>
                <w:szCs w:val="24"/>
                <w:lang w:eastAsia="tr-TR"/>
              </w:rPr>
              <w:t xml:space="preserve"> </w:t>
            </w:r>
            <w:r w:rsidRPr="00A23740">
              <w:rPr>
                <w:rStyle w:val="KIRMIZIChar"/>
                <w:rFonts w:eastAsia="Calibri"/>
              </w:rPr>
              <w:t>belirtilen</w:t>
            </w:r>
            <w:r w:rsidRPr="00A23740">
              <w:rPr>
                <w:rFonts w:eastAsia="Times New Roman"/>
                <w:color w:val="000000"/>
                <w:szCs w:val="24"/>
                <w:lang w:eastAsia="tr-TR"/>
              </w:rPr>
              <w:t xml:space="preserve"> takip işlemlerinin elektronik ortamda </w:t>
            </w:r>
            <w:r w:rsidRPr="00A23740">
              <w:rPr>
                <w:rStyle w:val="KIRMIZIChar"/>
                <w:rFonts w:eastAsia="Calibri"/>
              </w:rPr>
              <w:t>yapılmasını</w:t>
            </w:r>
            <w:r w:rsidRPr="00A23740">
              <w:rPr>
                <w:rFonts w:eastAsia="Times New Roman"/>
                <w:color w:val="000000"/>
                <w:szCs w:val="24"/>
                <w:lang w:eastAsia="tr-TR"/>
              </w:rPr>
              <w:t xml:space="preserve"> sağlamak amacıyla UYAP bünyesinde Merkezî Takip Sistemi oluşturulur.</w:t>
            </w:r>
          </w:p>
          <w:p w:rsidR="00155AF4" w:rsidRPr="00A23740" w:rsidRDefault="00155AF4" w:rsidP="009431FF">
            <w:pPr>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6A5345" w:rsidP="009431FF">
            <w:pPr>
              <w:pStyle w:val="Balk4"/>
              <w:rPr>
                <w:rStyle w:val="MaviChar"/>
                <w:b/>
                <w:bCs/>
                <w:szCs w:val="28"/>
                <w:lang w:val="tr-TR" w:eastAsia="en-US"/>
              </w:rPr>
            </w:pPr>
            <w:r w:rsidRPr="00A23740">
              <w:rPr>
                <w:rStyle w:val="Balk1Char"/>
                <w:b/>
                <w:lang w:val="tr-TR"/>
              </w:rPr>
              <w:t>YEDİNCİ</w:t>
            </w:r>
            <w:r w:rsidRPr="00A23740">
              <w:rPr>
                <w:rStyle w:val="Balk1Char"/>
                <w:lang w:val="tr-TR"/>
              </w:rPr>
              <w:t xml:space="preserve"> </w:t>
            </w:r>
            <w:r w:rsidR="00155AF4" w:rsidRPr="00A23740">
              <w:rPr>
                <w:rStyle w:val="MaviChar"/>
                <w:b/>
                <w:bCs/>
                <w:szCs w:val="28"/>
                <w:lang w:val="tr-TR" w:eastAsia="en-US"/>
              </w:rPr>
              <w:t>AYRIM</w:t>
            </w:r>
          </w:p>
          <w:p w:rsidR="00155AF4" w:rsidRPr="00A23740" w:rsidRDefault="00155AF4" w:rsidP="009431FF">
            <w:pPr>
              <w:pStyle w:val="Balk4"/>
              <w:rPr>
                <w:rStyle w:val="MaviChar"/>
                <w:b/>
                <w:bCs/>
                <w:szCs w:val="28"/>
                <w:lang w:val="tr-TR" w:eastAsia="en-US"/>
              </w:rPr>
            </w:pPr>
            <w:r w:rsidRPr="00A9175D">
              <w:rPr>
                <w:rStyle w:val="MaviChar"/>
                <w:b/>
                <w:bCs/>
                <w:color w:val="auto"/>
                <w:szCs w:val="28"/>
                <w:lang w:val="tr-TR" w:eastAsia="en-US"/>
              </w:rPr>
              <w:t>Abonelik Sözleşmesinden Kaynaklanan Para Alacaklarına İlişkin</w:t>
            </w:r>
            <w:r w:rsidRPr="00A23740">
              <w:rPr>
                <w:rStyle w:val="MaviChar"/>
                <w:b/>
                <w:bCs/>
                <w:szCs w:val="28"/>
                <w:lang w:val="tr-TR" w:eastAsia="en-US"/>
              </w:rPr>
              <w:t xml:space="preserve"> Haciz Yoluyla</w:t>
            </w:r>
            <w:r w:rsidRPr="00A23740">
              <w:rPr>
                <w:rStyle w:val="MaviChar"/>
                <w:b/>
              </w:rPr>
              <w:t xml:space="preserve"> </w:t>
            </w:r>
            <w:r w:rsidRPr="00A23740">
              <w:rPr>
                <w:rStyle w:val="MaviChar"/>
                <w:rFonts w:eastAsia="ヒラギノ明朝 Pro W3"/>
                <w:b/>
              </w:rPr>
              <w:t>İlamsız</w:t>
            </w:r>
            <w:r w:rsidRPr="00A23740">
              <w:rPr>
                <w:rStyle w:val="MaviChar"/>
                <w:b/>
                <w:bCs/>
                <w:szCs w:val="28"/>
                <w:lang w:val="tr-TR" w:eastAsia="en-US"/>
              </w:rPr>
              <w:t xml:space="preserve"> Takip </w:t>
            </w:r>
          </w:p>
          <w:p w:rsidR="00155AF4" w:rsidRPr="00A23740" w:rsidRDefault="00155AF4" w:rsidP="009431FF">
            <w:pPr>
              <w:pStyle w:val="YEL"/>
              <w:rPr>
                <w:rStyle w:val="MaviChar"/>
                <w:b/>
                <w:color w:val="008000"/>
                <w:lang w:val="tr-TR" w:eastAsia="en-US"/>
              </w:rPr>
            </w:pPr>
          </w:p>
          <w:p w:rsidR="00155AF4" w:rsidRPr="00A23740" w:rsidRDefault="00155AF4" w:rsidP="009431FF">
            <w:pPr>
              <w:pStyle w:val="YEL"/>
              <w:rPr>
                <w:rStyle w:val="MaviChar"/>
                <w:b/>
                <w:color w:val="008000"/>
                <w:lang w:val="tr-TR" w:eastAsia="en-US"/>
              </w:rPr>
            </w:pPr>
          </w:p>
          <w:p w:rsidR="00155AF4" w:rsidRPr="00A23740" w:rsidRDefault="00155AF4" w:rsidP="009431FF">
            <w:pPr>
              <w:pStyle w:val="Mavi"/>
            </w:pPr>
            <w:r w:rsidRPr="00A9175D">
              <w:rPr>
                <w:color w:val="auto"/>
              </w:rPr>
              <w:t xml:space="preserve">Kapsam </w:t>
            </w:r>
            <w:r w:rsidRPr="00A23740">
              <w:t>ve</w:t>
            </w:r>
            <w:r w:rsidRPr="00A23740">
              <w:rPr>
                <w:lang w:val="tr-TR"/>
              </w:rPr>
              <w:t xml:space="preserve"> </w:t>
            </w:r>
            <w:r w:rsidRPr="00A23740">
              <w:t>Merkezî Takip Sistemi</w:t>
            </w:r>
          </w:p>
          <w:p w:rsidR="00155AF4" w:rsidRPr="00A23740" w:rsidRDefault="00280D33" w:rsidP="009431FF">
            <w:pPr>
              <w:rPr>
                <w:rFonts w:eastAsia="Times New Roman"/>
                <w:color w:val="000000"/>
                <w:szCs w:val="24"/>
                <w:lang w:eastAsia="tr-TR"/>
              </w:rPr>
            </w:pPr>
            <w:r w:rsidRPr="00A23740">
              <w:rPr>
                <w:rStyle w:val="Balk1Char"/>
                <w:rFonts w:eastAsia="Calibri"/>
              </w:rPr>
              <w:t>MADDE 102</w:t>
            </w:r>
            <w:r w:rsidR="00155AF4" w:rsidRPr="00A23740">
              <w:rPr>
                <w:rStyle w:val="Balk1Char"/>
                <w:rFonts w:eastAsia="Calibri"/>
              </w:rPr>
              <w:t>-</w:t>
            </w:r>
            <w:r w:rsidR="00155AF4" w:rsidRPr="00A23740">
              <w:rPr>
                <w:rFonts w:eastAsia="Times New Roman"/>
                <w:color w:val="000000"/>
                <w:szCs w:val="24"/>
                <w:lang w:eastAsia="tr-TR"/>
              </w:rPr>
              <w:t> </w:t>
            </w:r>
            <w:r w:rsidR="00155AF4" w:rsidRPr="00A9175D">
              <w:rPr>
                <w:bCs/>
                <w:szCs w:val="24"/>
                <w:lang w:val="x-none" w:eastAsia="x-none"/>
              </w:rPr>
              <w:t>(1</w:t>
            </w:r>
            <w:r w:rsidR="00155AF4" w:rsidRPr="00A9175D">
              <w:rPr>
                <w:bCs/>
                <w:szCs w:val="24"/>
                <w:lang w:val="x-none" w:eastAsia="tr-TR"/>
              </w:rPr>
              <w:t>)</w:t>
            </w:r>
            <w:r w:rsidR="00155AF4" w:rsidRPr="00A9175D">
              <w:rPr>
                <w:rFonts w:eastAsia="Times New Roman"/>
                <w:szCs w:val="24"/>
                <w:lang w:eastAsia="tr-TR"/>
              </w:rPr>
              <w:t xml:space="preserve"> </w:t>
            </w:r>
            <w:r w:rsidR="00155AF4" w:rsidRPr="00A23740">
              <w:rPr>
                <w:rFonts w:eastAsia="Times New Roman"/>
                <w:color w:val="000000"/>
                <w:szCs w:val="24"/>
                <w:lang w:eastAsia="tr-TR"/>
              </w:rPr>
              <w:t xml:space="preserve">7/11/2013 tarihli ve 6502 sayılı Tüketicinin Korunması Hakkında Kanunda ve diğer mevzuatta düzenlenen abonelik sözleşmeleri ile bu sözleşmelerin ifası amacıyla tüketiciye sunulup bedeli faturaya yansıtılan mal veya hizmetten kaynaklanan ve </w:t>
            </w:r>
            <w:r w:rsidR="00604F34" w:rsidRPr="00A23740">
              <w:rPr>
                <w:rStyle w:val="Balk1Char"/>
                <w:rFonts w:eastAsia="Calibri"/>
              </w:rPr>
              <w:t>vekille</w:t>
            </w:r>
            <w:r w:rsidR="00155AF4" w:rsidRPr="00A23740">
              <w:rPr>
                <w:rFonts w:eastAsia="Times New Roman"/>
                <w:color w:val="000000"/>
                <w:szCs w:val="24"/>
                <w:lang w:eastAsia="tr-TR"/>
              </w:rPr>
              <w:t xml:space="preserve"> takip edilen para alacaklarına ilişkin </w:t>
            </w:r>
            <w:r w:rsidR="00155AF4" w:rsidRPr="00A23740">
              <w:rPr>
                <w:b/>
                <w:bCs/>
                <w:color w:val="0000FF"/>
                <w:szCs w:val="24"/>
                <w:lang w:val="x-none" w:eastAsia="x-none"/>
              </w:rPr>
              <w:t>haciz yoluyla ilamsız</w:t>
            </w:r>
            <w:r w:rsidR="00155AF4" w:rsidRPr="00A23740">
              <w:rPr>
                <w:rFonts w:eastAsia="Times New Roman"/>
                <w:color w:val="000000"/>
                <w:szCs w:val="24"/>
                <w:lang w:eastAsia="tr-TR"/>
              </w:rPr>
              <w:t xml:space="preserve"> icra takipleri</w:t>
            </w:r>
            <w:r w:rsidR="00155AF4" w:rsidRPr="00A23740">
              <w:rPr>
                <w:b/>
                <w:bCs/>
                <w:color w:val="0000FF"/>
                <w:szCs w:val="24"/>
                <w:lang w:val="x-none" w:eastAsia="x-none"/>
              </w:rPr>
              <w:t>,</w:t>
            </w:r>
            <w:r w:rsidR="00155AF4" w:rsidRPr="00A23740">
              <w:rPr>
                <w:rFonts w:eastAsia="Times New Roman"/>
                <w:color w:val="000000"/>
                <w:szCs w:val="24"/>
                <w:lang w:eastAsia="tr-TR"/>
              </w:rPr>
              <w:t xml:space="preserve"> ancak bu </w:t>
            </w:r>
            <w:r w:rsidR="00155AF4" w:rsidRPr="00A23740">
              <w:rPr>
                <w:b/>
                <w:bCs/>
                <w:color w:val="0000FF"/>
                <w:szCs w:val="24"/>
                <w:lang w:val="x-none" w:eastAsia="x-none"/>
              </w:rPr>
              <w:t>Ayrımda</w:t>
            </w:r>
            <w:r w:rsidR="00155AF4" w:rsidRPr="00A23740">
              <w:rPr>
                <w:rFonts w:eastAsia="Times New Roman"/>
                <w:color w:val="000000"/>
                <w:szCs w:val="24"/>
                <w:lang w:eastAsia="tr-TR"/>
              </w:rPr>
              <w:t xml:space="preserve"> belirlenen </w:t>
            </w:r>
            <w:r w:rsidR="00155AF4" w:rsidRPr="00A23740">
              <w:rPr>
                <w:rStyle w:val="MaviChar"/>
              </w:rPr>
              <w:t>usulle</w:t>
            </w:r>
            <w:r w:rsidR="00155AF4" w:rsidRPr="00A23740">
              <w:rPr>
                <w:rFonts w:eastAsia="Times New Roman"/>
                <w:color w:val="000000"/>
                <w:szCs w:val="24"/>
                <w:lang w:eastAsia="tr-TR"/>
              </w:rPr>
              <w:t xml:space="preserve"> başlatılabilir. Aksi hâlde icra </w:t>
            </w:r>
            <w:r w:rsidR="001647D1" w:rsidRPr="00D6648F">
              <w:rPr>
                <w:b/>
                <w:bCs/>
                <w:color w:val="0000FF"/>
                <w:szCs w:val="24"/>
                <w:lang w:val="x-none" w:eastAsia="x-none"/>
              </w:rPr>
              <w:t>ve</w:t>
            </w:r>
            <w:r w:rsidR="001647D1" w:rsidRPr="00A23740">
              <w:rPr>
                <w:b/>
                <w:color w:val="538135"/>
              </w:rPr>
              <w:t xml:space="preserve"> </w:t>
            </w:r>
            <w:r w:rsidR="001647D1" w:rsidRPr="00D6648F">
              <w:rPr>
                <w:b/>
                <w:bCs/>
                <w:color w:val="0000FF"/>
                <w:szCs w:val="24"/>
                <w:lang w:val="x-none" w:eastAsia="x-none"/>
              </w:rPr>
              <w:t>iflas</w:t>
            </w:r>
            <w:r w:rsidR="001647D1" w:rsidRPr="00A23740">
              <w:rPr>
                <w:b/>
                <w:bCs/>
                <w:color w:val="0000FF"/>
                <w:szCs w:val="24"/>
                <w:lang w:val="x-none" w:eastAsia="x-none"/>
              </w:rPr>
              <w:t xml:space="preserve"> </w:t>
            </w:r>
            <w:r w:rsidR="00155AF4" w:rsidRPr="00A23740">
              <w:rPr>
                <w:rFonts w:eastAsia="Times New Roman"/>
                <w:color w:val="000000"/>
                <w:szCs w:val="24"/>
                <w:lang w:eastAsia="tr-TR"/>
              </w:rPr>
              <w:t>dairesi takip talebini reddeder.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Default="00155AF4" w:rsidP="009431FF">
            <w:pPr>
              <w:rPr>
                <w:rFonts w:eastAsia="Times New Roman"/>
                <w:color w:val="000000"/>
                <w:szCs w:val="24"/>
                <w:lang w:eastAsia="tr-TR"/>
              </w:rPr>
            </w:pPr>
          </w:p>
          <w:p w:rsidR="003047A5" w:rsidRPr="00A23740" w:rsidRDefault="003047A5"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b/>
                <w:bCs/>
                <w:color w:val="0000FF"/>
                <w:szCs w:val="24"/>
                <w:lang w:eastAsia="x-none"/>
              </w:rPr>
              <w:t xml:space="preserve">(2) Birinci fıkra kapsamındaki </w:t>
            </w:r>
            <w:r w:rsidRPr="00A23740">
              <w:rPr>
                <w:rFonts w:eastAsia="Times New Roman"/>
                <w:color w:val="000000"/>
                <w:szCs w:val="24"/>
                <w:lang w:eastAsia="tr-TR"/>
              </w:rPr>
              <w:t>takip işlemlerinin elektronik ortamda</w:t>
            </w:r>
            <w:r w:rsidRPr="00A23740">
              <w:rPr>
                <w:b/>
                <w:bCs/>
                <w:color w:val="0000FF"/>
                <w:szCs w:val="24"/>
                <w:lang w:eastAsia="x-none"/>
              </w:rPr>
              <w:t xml:space="preserve"> </w:t>
            </w:r>
            <w:r w:rsidRPr="00A23740">
              <w:rPr>
                <w:rStyle w:val="MaviChar"/>
                <w:lang w:eastAsia="tr-TR"/>
              </w:rPr>
              <w:t>başlatılmas</w:t>
            </w:r>
            <w:r w:rsidRPr="00F46904">
              <w:rPr>
                <w:rStyle w:val="MaviChar"/>
              </w:rPr>
              <w:t>ı</w:t>
            </w:r>
            <w:r w:rsidR="00C21C2C" w:rsidRPr="00F46904">
              <w:rPr>
                <w:rStyle w:val="MaviChar"/>
              </w:rPr>
              <w:t>nı</w:t>
            </w:r>
            <w:r w:rsidRPr="00A23740">
              <w:rPr>
                <w:rStyle w:val="MaviChar"/>
                <w:lang w:eastAsia="tr-TR"/>
              </w:rPr>
              <w:t xml:space="preserve"> ve haciz aşamasına kadar yürütülmesini</w:t>
            </w:r>
            <w:r w:rsidRPr="00A23740">
              <w:rPr>
                <w:b/>
                <w:bCs/>
                <w:color w:val="0000FF"/>
                <w:szCs w:val="24"/>
                <w:lang w:eastAsia="x-none"/>
              </w:rPr>
              <w:t xml:space="preserve"> </w:t>
            </w:r>
            <w:r w:rsidRPr="00A23740">
              <w:rPr>
                <w:rFonts w:eastAsia="Times New Roman"/>
                <w:color w:val="000000"/>
                <w:szCs w:val="24"/>
                <w:lang w:eastAsia="tr-TR"/>
              </w:rPr>
              <w:t>sağlamak</w:t>
            </w:r>
            <w:r w:rsidRPr="00A23740">
              <w:rPr>
                <w:b/>
                <w:bCs/>
                <w:color w:val="0000FF"/>
                <w:szCs w:val="24"/>
                <w:lang w:eastAsia="x-none"/>
              </w:rPr>
              <w:t xml:space="preserve"> </w:t>
            </w:r>
            <w:r w:rsidRPr="00A23740">
              <w:rPr>
                <w:rFonts w:eastAsia="Times New Roman"/>
                <w:color w:val="000000"/>
                <w:szCs w:val="24"/>
                <w:lang w:eastAsia="tr-TR"/>
              </w:rPr>
              <w:t>amacıyla UYAP bünyesinde Merkezî Takip Sistemi oluşturulur.</w:t>
            </w:r>
          </w:p>
          <w:p w:rsidR="00155AF4" w:rsidRPr="00A23740" w:rsidRDefault="00155AF4" w:rsidP="009431FF"/>
        </w:tc>
      </w:tr>
      <w:tr w:rsidR="00D119D5"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D119D5" w:rsidRPr="00A23740" w:rsidRDefault="00D119D5" w:rsidP="009431FF">
            <w:pPr>
              <w:pStyle w:val="Balk4"/>
              <w:ind w:firstLine="709"/>
              <w:jc w:val="both"/>
              <w:rPr>
                <w:color w:val="000000"/>
                <w:szCs w:val="24"/>
                <w:lang w:val="tr-TR" w:eastAsia="tr-TR"/>
              </w:rPr>
            </w:pPr>
          </w:p>
          <w:p w:rsidR="009F1BAC" w:rsidRPr="00D6648F" w:rsidRDefault="00604F34" w:rsidP="009431FF">
            <w:pPr>
              <w:pStyle w:val="Balk4"/>
              <w:ind w:firstLine="709"/>
              <w:jc w:val="both"/>
              <w:rPr>
                <w:b w:val="0"/>
                <w:bCs w:val="0"/>
                <w:color w:val="000000"/>
                <w:szCs w:val="24"/>
                <w:lang w:val="tr-TR" w:eastAsia="tr-TR"/>
              </w:rPr>
            </w:pPr>
            <w:r w:rsidRPr="00A23740">
              <w:rPr>
                <w:color w:val="000000"/>
                <w:szCs w:val="24"/>
                <w:lang w:val="tr-TR" w:eastAsia="tr-TR"/>
              </w:rPr>
              <w:t>MADDE 102</w:t>
            </w:r>
            <w:r w:rsidR="00D119D5" w:rsidRPr="00A23740">
              <w:rPr>
                <w:color w:val="000000"/>
                <w:szCs w:val="24"/>
                <w:lang w:val="tr-TR" w:eastAsia="tr-TR"/>
              </w:rPr>
              <w:t>-</w:t>
            </w:r>
            <w:r w:rsidR="0030673A" w:rsidRPr="00A23740">
              <w:rPr>
                <w:b w:val="0"/>
                <w:bCs w:val="0"/>
                <w:color w:val="000000"/>
                <w:szCs w:val="24"/>
                <w:lang w:val="tr-TR" w:eastAsia="tr-TR"/>
              </w:rPr>
              <w:t xml:space="preserve"> 6/12/2018 tarihli ve 7155 sayılı Abonelik Sözleşmesinden Kaynaklanan Para Alacaklarına İlişkin Takibin Başlatılması Usulü Hakkında Kanun </w:t>
            </w:r>
            <w:r w:rsidR="0030673A" w:rsidRPr="00D6648F">
              <w:rPr>
                <w:b w:val="0"/>
                <w:bCs w:val="0"/>
                <w:color w:val="000000"/>
                <w:szCs w:val="24"/>
                <w:lang w:val="tr-TR" w:eastAsia="tr-TR"/>
              </w:rPr>
              <w:t>hükümleri</w:t>
            </w:r>
            <w:r w:rsidR="0030673A" w:rsidRPr="00A23740">
              <w:rPr>
                <w:b w:val="0"/>
                <w:bCs w:val="0"/>
                <w:color w:val="000000"/>
                <w:szCs w:val="24"/>
                <w:lang w:val="tr-TR" w:eastAsia="tr-TR"/>
              </w:rPr>
              <w:t xml:space="preserve"> bu </w:t>
            </w:r>
            <w:r w:rsidR="0030673A" w:rsidRPr="00D6648F">
              <w:rPr>
                <w:b w:val="0"/>
                <w:bCs w:val="0"/>
                <w:color w:val="000000"/>
                <w:szCs w:val="24"/>
                <w:lang w:val="tr-TR" w:eastAsia="tr-TR"/>
              </w:rPr>
              <w:t>Ayrıma</w:t>
            </w:r>
            <w:r w:rsidR="0030673A" w:rsidRPr="00D6648F">
              <w:rPr>
                <w:color w:val="000000"/>
                <w:szCs w:val="24"/>
                <w:lang w:val="tr-TR" w:eastAsia="tr-TR"/>
              </w:rPr>
              <w:t xml:space="preserve"> </w:t>
            </w:r>
            <w:r w:rsidR="0030673A" w:rsidRPr="00D6648F">
              <w:rPr>
                <w:b w:val="0"/>
                <w:bCs w:val="0"/>
                <w:color w:val="000000"/>
                <w:szCs w:val="24"/>
                <w:lang w:val="tr-TR" w:eastAsia="tr-TR"/>
              </w:rPr>
              <w:t>alınmaktadır</w:t>
            </w:r>
            <w:r w:rsidR="0030673A" w:rsidRPr="00D6648F">
              <w:rPr>
                <w:color w:val="000000"/>
                <w:szCs w:val="24"/>
                <w:lang w:eastAsia="tr-TR"/>
              </w:rPr>
              <w:t>.</w:t>
            </w:r>
            <w:r w:rsidR="0030673A" w:rsidRPr="00A23740">
              <w:rPr>
                <w:b w:val="0"/>
                <w:bCs w:val="0"/>
                <w:color w:val="000000"/>
                <w:szCs w:val="24"/>
                <w:lang w:val="tr-TR" w:eastAsia="tr-TR"/>
              </w:rPr>
              <w:t xml:space="preserve"> </w:t>
            </w:r>
            <w:r w:rsidR="0030673A" w:rsidRPr="00D6648F">
              <w:rPr>
                <w:b w:val="0"/>
                <w:bCs w:val="0"/>
                <w:color w:val="000000"/>
                <w:szCs w:val="24"/>
                <w:lang w:val="tr-TR" w:eastAsia="tr-TR"/>
              </w:rPr>
              <w:t>Maddede,</w:t>
            </w:r>
            <w:r w:rsidR="0030673A" w:rsidRPr="00A23740">
              <w:rPr>
                <w:b w:val="0"/>
                <w:color w:val="000000"/>
                <w:szCs w:val="24"/>
                <w:lang w:val="tr-TR" w:eastAsia="tr-TR"/>
              </w:rPr>
              <w:t xml:space="preserve"> </w:t>
            </w:r>
            <w:r w:rsidR="00D119D5" w:rsidRPr="00A23740">
              <w:rPr>
                <w:b w:val="0"/>
                <w:color w:val="000000"/>
                <w:szCs w:val="24"/>
                <w:lang w:val="tr-TR" w:eastAsia="tr-TR"/>
              </w:rPr>
              <w:t>abonelik sözleşmesinden kaynaklanan para alacaklarına ilişkin haciz yoluyla ilamsız takibin kapsamı ve Merkezî Takip Sistemi düzenlenmektedir.</w:t>
            </w:r>
            <w:r w:rsidR="0030673A" w:rsidRPr="00A23740">
              <w:rPr>
                <w:b w:val="0"/>
                <w:color w:val="000000"/>
                <w:szCs w:val="24"/>
                <w:lang w:val="tr-TR" w:eastAsia="tr-TR"/>
              </w:rPr>
              <w:t xml:space="preserve"> </w:t>
            </w:r>
            <w:r w:rsidR="0030673A" w:rsidRPr="00D6648F">
              <w:rPr>
                <w:b w:val="0"/>
                <w:bCs w:val="0"/>
                <w:color w:val="000000"/>
                <w:szCs w:val="24"/>
                <w:lang w:val="tr-TR" w:eastAsia="tr-TR"/>
              </w:rPr>
              <w:t xml:space="preserve">Madde, 7155 sayılı Kanunun </w:t>
            </w:r>
            <w:r w:rsidR="0039673B" w:rsidRPr="00D6648F">
              <w:rPr>
                <w:b w:val="0"/>
                <w:bCs w:val="0"/>
                <w:color w:val="000000"/>
                <w:szCs w:val="24"/>
                <w:lang w:val="tr-TR" w:eastAsia="tr-TR"/>
              </w:rPr>
              <w:t>2 nci</w:t>
            </w:r>
            <w:r w:rsidR="0030673A" w:rsidRPr="00D6648F">
              <w:rPr>
                <w:b w:val="0"/>
                <w:bCs w:val="0"/>
                <w:color w:val="000000"/>
                <w:szCs w:val="24"/>
                <w:lang w:val="tr-TR" w:eastAsia="tr-TR"/>
              </w:rPr>
              <w:t xml:space="preserve"> ve </w:t>
            </w:r>
            <w:r w:rsidR="0039673B" w:rsidRPr="00D6648F">
              <w:rPr>
                <w:b w:val="0"/>
                <w:bCs w:val="0"/>
                <w:color w:val="000000"/>
                <w:szCs w:val="24"/>
                <w:lang w:val="tr-TR" w:eastAsia="tr-TR"/>
              </w:rPr>
              <w:t xml:space="preserve">3 üncü </w:t>
            </w:r>
            <w:r w:rsidR="0030673A" w:rsidRPr="00D6648F">
              <w:rPr>
                <w:b w:val="0"/>
                <w:bCs w:val="0"/>
                <w:color w:val="000000"/>
                <w:szCs w:val="24"/>
                <w:lang w:val="tr-TR" w:eastAsia="tr-TR"/>
              </w:rPr>
              <w:t>maddelerine karşılık gelmektedir.</w:t>
            </w:r>
          </w:p>
          <w:p w:rsidR="00861DBE" w:rsidRPr="00A23740" w:rsidRDefault="009F1BAC" w:rsidP="009431FF">
            <w:pPr>
              <w:ind w:firstLine="709"/>
            </w:pPr>
            <w:r w:rsidRPr="00A23740">
              <w:t>Birinci fıkrayla, A</w:t>
            </w:r>
            <w:r w:rsidR="00825550" w:rsidRPr="00A23740">
              <w:t xml:space="preserve">yrımın kapsamı belirlenmektedir. </w:t>
            </w:r>
            <w:r w:rsidRPr="00A23740">
              <w:t xml:space="preserve">Ayrımın kapsamına, abonelik sözleşmelerinden kaynaklanan para alacakları ile bu sözleşmelerin ifası amacıyla tüketiciye sunulup bedeli faturaya yansıtılan mal veya hizmetten kaynaklanan ve </w:t>
            </w:r>
            <w:r w:rsidR="00C90DEB" w:rsidRPr="00A23740">
              <w:t>vekille</w:t>
            </w:r>
            <w:r w:rsidRPr="00A23740">
              <w:t xml:space="preserve"> takip edilen para alacakları girmektedir. Yapılan düzenleme uyarınca, abonelik sözleşmelerin</w:t>
            </w:r>
            <w:r w:rsidR="00907224" w:rsidRPr="00A23740">
              <w:t>in</w:t>
            </w:r>
            <w:r w:rsidRPr="00A23740">
              <w:t xml:space="preserve"> ifası amacıyla tüketiciye bedeli mukabilinde verilip karşılığı faturaya yansıtılan para alacakları</w:t>
            </w:r>
            <w:r w:rsidR="00A9175D">
              <w:t xml:space="preserve"> </w:t>
            </w:r>
            <w:r w:rsidRPr="00A23740">
              <w:t>avukat marifetiyle takip ediliyorsa</w:t>
            </w:r>
            <w:r w:rsidR="00907224" w:rsidRPr="00A23740">
              <w:t>,</w:t>
            </w:r>
            <w:r w:rsidRPr="00A23740">
              <w:t xml:space="preserve"> bu Ayrımda gösterilen usulle </w:t>
            </w:r>
            <w:r w:rsidR="00907224" w:rsidRPr="00A23740">
              <w:t xml:space="preserve">tahsil </w:t>
            </w:r>
            <w:r w:rsidRPr="00A23740">
              <w:t>edilebilecektir. Belir</w:t>
            </w:r>
            <w:r w:rsidR="000A20F1" w:rsidRPr="00A23740">
              <w:t>telim ki, alacak türü itibarıyla</w:t>
            </w:r>
            <w:r w:rsidRPr="00A23740">
              <w:t xml:space="preserve"> bu Ayrım kapsamına girmekle birlikte </w:t>
            </w:r>
            <w:r w:rsidR="00C90DEB" w:rsidRPr="00A23740">
              <w:t>vekil</w:t>
            </w:r>
            <w:r w:rsidRPr="00A23740">
              <w:t xml:space="preserve"> marifetiyle takip edilmeyen alacaklar</w:t>
            </w:r>
            <w:r w:rsidR="00907224" w:rsidRPr="00A23740">
              <w:t xml:space="preserve"> ancak</w:t>
            </w:r>
            <w:r w:rsidRPr="00A23740">
              <w:t xml:space="preserve"> bu </w:t>
            </w:r>
            <w:r w:rsidR="00EF2FFA" w:rsidRPr="00D6648F">
              <w:rPr>
                <w:rStyle w:val="KonuBalChar"/>
                <w:rFonts w:eastAsia="Calibri"/>
                <w:b w:val="0"/>
                <w:color w:val="auto"/>
              </w:rPr>
              <w:t>Taslağın</w:t>
            </w:r>
            <w:r w:rsidRPr="00A23740">
              <w:t xml:space="preserve"> genel hükümlerine göre </w:t>
            </w:r>
            <w:r w:rsidR="00907224" w:rsidRPr="00A23740">
              <w:t xml:space="preserve"> takibe konu olabilecektir</w:t>
            </w:r>
            <w:r w:rsidRPr="00A23740">
              <w:t xml:space="preserve">. Bir başka anlatımla, bir icra takibinin bu Ayrımda düzenlenen usulle başlatılıp yürütülebilmesi için; alacağın, tür </w:t>
            </w:r>
            <w:r w:rsidR="00A9175D">
              <w:t>itibarıyla</w:t>
            </w:r>
            <w:r w:rsidRPr="00A23740">
              <w:t xml:space="preserve"> maddede tanımlanan para alacaklarından olması ve ayrıca bu alacağın avukat marifetiyle takip edilmesi gerekmektedir. </w:t>
            </w:r>
            <w:r w:rsidR="00C90DEB" w:rsidRPr="00A23740">
              <w:t>Kanundaki terim birliğini sağlamak için bu maddede ve devam eden maddelerde geçen “avukat” ibaresi yerine “vekil” ibaresi tercih edilmiştir.</w:t>
            </w:r>
          </w:p>
          <w:p w:rsidR="00E91409" w:rsidRPr="00A23740" w:rsidRDefault="00BD1639" w:rsidP="009431FF">
            <w:pPr>
              <w:ind w:firstLine="709"/>
            </w:pPr>
            <w:r w:rsidRPr="00A23740">
              <w:t xml:space="preserve">İkinci fıkrayla, </w:t>
            </w:r>
            <w:r w:rsidR="00825550" w:rsidRPr="00A23740">
              <w:t>takibin yapılabilmesi a</w:t>
            </w:r>
            <w:r w:rsidR="00861DBE" w:rsidRPr="00A23740">
              <w:t xml:space="preserve">macıyla UYAP bünyesinde Merkezî </w:t>
            </w:r>
            <w:r w:rsidR="00825550" w:rsidRPr="00A23740">
              <w:t xml:space="preserve">Takip Sistemi adıyla yeni bir sistem oluşturulmaktadır. Sistem sayesinde, takipler elektronik ortamda başlatılacak ve yürütülecektir. Bu şekilde </w:t>
            </w:r>
            <w:r w:rsidR="00825550" w:rsidRPr="00D6648F">
              <w:t xml:space="preserve">icra </w:t>
            </w:r>
            <w:r w:rsidR="00BF255B" w:rsidRPr="00D6648F">
              <w:t>ve iflas</w:t>
            </w:r>
            <w:r w:rsidR="00BF255B" w:rsidRPr="00A23740">
              <w:rPr>
                <w:color w:val="385623"/>
              </w:rPr>
              <w:t xml:space="preserve"> </w:t>
            </w:r>
            <w:r w:rsidR="00825550" w:rsidRPr="00A23740">
              <w:t xml:space="preserve">dairelerinin </w:t>
            </w:r>
            <w:r w:rsidR="009F1BAC" w:rsidRPr="00A23740">
              <w:t>iş yükünün azaltılması, bu Ayrım</w:t>
            </w:r>
            <w:r w:rsidR="00825550" w:rsidRPr="00A23740">
              <w:t xml:space="preserve"> kapsamına giren takiplerin daha az emek ve mesai sarfıyla daha hızlı ve ekonomik bir şekilde yerine getirilmesi sağlanacaktır.</w:t>
            </w:r>
          </w:p>
          <w:p w:rsidR="00D119D5" w:rsidRPr="00A23740" w:rsidRDefault="00D119D5" w:rsidP="009431FF">
            <w:pPr>
              <w:ind w:firstLine="709"/>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Takip talebi</w:t>
            </w:r>
          </w:p>
          <w:p w:rsidR="00155AF4" w:rsidRPr="00A23740" w:rsidRDefault="00155AF4" w:rsidP="009431FF">
            <w:pPr>
              <w:rPr>
                <w:rFonts w:eastAsia="Times New Roman"/>
                <w:color w:val="000000"/>
                <w:szCs w:val="24"/>
                <w:lang w:eastAsia="tr-TR"/>
              </w:rPr>
            </w:pPr>
            <w:r w:rsidRPr="00A9175D">
              <w:rPr>
                <w:rStyle w:val="KIRMIZIChar"/>
                <w:rFonts w:eastAsia="Calibri"/>
              </w:rPr>
              <w:t>MADDE 4-</w:t>
            </w:r>
            <w:r w:rsidRPr="00A23740">
              <w:rPr>
                <w:rFonts w:eastAsia="Times New Roman"/>
                <w:color w:val="000000"/>
                <w:szCs w:val="24"/>
                <w:lang w:eastAsia="tr-TR"/>
              </w:rPr>
              <w:t> (1) Alacaklı avukatı, icra takibini başlatmak için Merkezî Takip Sisteminde yer alan takip talebini doldurur.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(2) Takip talebinde aşağıdaki hususlar yer alır:</w:t>
            </w: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a) Alacaklının ve varsa kanuni temsilcisi ile avukatının adı ve soyadı, Türkiye Cumhuriyeti kimlik numarası; tüzel kişi ise unvanı, vergi kimlik numarası, ticaret sicil numarası ve Merkezi Sicil Kayıt Sistemi numarası; adresi, telefonu ve elektronik iletişim bilgileri</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b) Alacaklının veya avukatının münhasıran Merkezî Takip Sistemi ile ilişkilendirilmiş hesap numarası</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pacing w:val="-4"/>
                <w:szCs w:val="24"/>
                <w:lang w:eastAsia="tr-TR"/>
              </w:rPr>
            </w:pPr>
            <w:r w:rsidRPr="00A23740">
              <w:rPr>
                <w:rFonts w:eastAsia="Times New Roman"/>
                <w:color w:val="000000"/>
                <w:spacing w:val="-4"/>
                <w:szCs w:val="24"/>
                <w:lang w:eastAsia="tr-TR"/>
              </w:rPr>
              <w:t>c) Borçlunun ve varsa kanuni temsilcisinin adı ve soyadı, Türkiye Cumhuriyeti kimlik numarası; tüzel kişi ise unvanı, vergi kimlik numarası, biliniyorsa ticaret sicil numarası ve Merkezi Sicil Kayıt Sistemi numarası; adresi, biliniyorsa telefonu ve elektronik iletişim bilgileri</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ç) Terekeye karşı yapılan takiplerde kendilerine tebligat yapılacak mirasçıların adı ve soyadı, Türkiye Cumhuriyeti kimlik numarası ile adresi</w:t>
            </w:r>
          </w:p>
          <w:p w:rsidR="00EE0AAC" w:rsidRPr="00A23740" w:rsidRDefault="00EE0AAC" w:rsidP="009431FF">
            <w:pPr>
              <w:rPr>
                <w:rFonts w:eastAsia="Times New Roman"/>
                <w:color w:val="000000"/>
                <w:szCs w:val="24"/>
                <w:lang w:eastAsia="tr-TR"/>
              </w:rPr>
            </w:pPr>
          </w:p>
          <w:p w:rsidR="00155AF4" w:rsidRPr="00A23740" w:rsidRDefault="00155AF4" w:rsidP="009431FF">
            <w:pPr>
              <w:rPr>
                <w:rFonts w:eastAsia="Times New Roman"/>
                <w:color w:val="000000"/>
                <w:spacing w:val="-3"/>
                <w:szCs w:val="24"/>
                <w:lang w:eastAsia="tr-TR"/>
              </w:rPr>
            </w:pPr>
            <w:r w:rsidRPr="00A23740">
              <w:rPr>
                <w:rFonts w:eastAsia="Times New Roman"/>
                <w:color w:val="000000"/>
                <w:spacing w:val="-3"/>
                <w:szCs w:val="24"/>
                <w:lang w:eastAsia="tr-TR"/>
              </w:rPr>
              <w:t>d) Alacağın tutarı ve faizli alacaklarda faizin türü, oranı, miktarı ve işlemeye başladığı gün; alacak yabancı para ise harca esas olmak üzere takip tarihindeki Türkiye Cumhuriyet Merkez Bankası efektif satış kuru üzerinden Türk lirası karşılığı, alacağın hangi tarihteki kur üzerinden talep edildiği ve faizli alacaklarda faizin türü, oranı, miktarı ve işlemeye başladığı gün</w:t>
            </w:r>
          </w:p>
          <w:p w:rsidR="00EE0AAC" w:rsidRPr="00A23740" w:rsidRDefault="00EE0AAC" w:rsidP="009431FF">
            <w:pPr>
              <w:rPr>
                <w:rFonts w:eastAsia="Times New Roman"/>
                <w:color w:val="000000"/>
                <w:spacing w:val="-3"/>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e) Takip dayanağı belgelerin tarih ve numarası ile alacağın son ödeme tarihi</w:t>
            </w:r>
          </w:p>
          <w:p w:rsidR="00C346BD" w:rsidRPr="00A23740" w:rsidRDefault="00C346BD"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f) Haciz ve müteakip işlemler için yetkili icra dairesi</w:t>
            </w:r>
          </w:p>
          <w:p w:rsidR="00C346BD" w:rsidRPr="00A23740" w:rsidRDefault="00C346BD"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(3) Son ödeme tarihi belirtilen alacağa ilişkin fatura veya benzeri belgeler sisteme yüklenir.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(4) Takip talebi ikinci fıkra uyarınca doldurulduktan, ilgili belgeler taranıp sisteme yüklendikten ve takip harç ve </w:t>
            </w:r>
            <w:r w:rsidRPr="00A23740">
              <w:rPr>
                <w:rStyle w:val="KIRMIZIChar"/>
                <w:rFonts w:eastAsia="Calibri"/>
              </w:rPr>
              <w:t>masrafları</w:t>
            </w:r>
            <w:r w:rsidRPr="00A23740">
              <w:rPr>
                <w:rFonts w:eastAsia="Times New Roman"/>
                <w:color w:val="000000"/>
                <w:szCs w:val="24"/>
                <w:lang w:eastAsia="tr-TR"/>
              </w:rPr>
              <w:t xml:space="preserve"> elektronik ortamda ödendikten sonra, güvenli elektronik imzayla onaylanır, sisteme kaydedilir ve takip, Merkezî Takip Numarası alır. İcra takibi, sisteme kaydedilmekle başlar.</w:t>
            </w:r>
          </w:p>
          <w:p w:rsidR="00155AF4" w:rsidRPr="00A23740" w:rsidRDefault="00155AF4" w:rsidP="009431FF">
            <w:pPr>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Takip talebi</w:t>
            </w:r>
          </w:p>
          <w:p w:rsidR="00155AF4" w:rsidRPr="00A23740" w:rsidRDefault="00604F34" w:rsidP="009431FF">
            <w:pPr>
              <w:rPr>
                <w:rFonts w:eastAsia="Times New Roman"/>
                <w:color w:val="000000"/>
                <w:szCs w:val="24"/>
                <w:lang w:eastAsia="tr-TR"/>
              </w:rPr>
            </w:pPr>
            <w:r w:rsidRPr="00A23740">
              <w:rPr>
                <w:rStyle w:val="Balk1Char"/>
                <w:rFonts w:eastAsia="Calibri"/>
              </w:rPr>
              <w:t>MADDE 103</w:t>
            </w:r>
            <w:r w:rsidR="00155AF4" w:rsidRPr="00A23740">
              <w:rPr>
                <w:rStyle w:val="Balk1Char"/>
                <w:rFonts w:eastAsia="Calibri"/>
              </w:rPr>
              <w:t>-</w:t>
            </w:r>
            <w:r w:rsidR="00155AF4" w:rsidRPr="00A23740">
              <w:rPr>
                <w:rFonts w:eastAsia="Times New Roman"/>
                <w:color w:val="000000"/>
                <w:szCs w:val="24"/>
                <w:lang w:eastAsia="tr-TR"/>
              </w:rPr>
              <w:t xml:space="preserve"> (1) Alacaklı </w:t>
            </w:r>
            <w:r w:rsidRPr="00A23740">
              <w:rPr>
                <w:rStyle w:val="Balk1Char"/>
                <w:rFonts w:eastAsia="Calibri"/>
              </w:rPr>
              <w:t>vekili</w:t>
            </w:r>
            <w:r w:rsidR="00C90DEB" w:rsidRPr="00A23740">
              <w:rPr>
                <w:rStyle w:val="Balk1Char"/>
                <w:rFonts w:eastAsia="Calibri"/>
              </w:rPr>
              <w:t>,</w:t>
            </w:r>
            <w:r w:rsidRPr="00A23740">
              <w:rPr>
                <w:rFonts w:eastAsia="Times New Roman"/>
                <w:color w:val="000000"/>
                <w:szCs w:val="24"/>
                <w:lang w:eastAsia="tr-TR"/>
              </w:rPr>
              <w:t xml:space="preserve"> </w:t>
            </w:r>
            <w:r w:rsidR="00155AF4" w:rsidRPr="00A23740">
              <w:rPr>
                <w:rFonts w:eastAsia="Times New Roman"/>
                <w:color w:val="000000"/>
                <w:szCs w:val="24"/>
                <w:lang w:eastAsia="tr-TR"/>
              </w:rPr>
              <w:t>icra takibini başlatmak için Merkezî Takip Sisteminde yer alan takip talebini doldurur.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(2) Takip talebinde aşağıdaki hususlar </w:t>
            </w:r>
            <w:r w:rsidR="00C21C2C" w:rsidRPr="00D6648F">
              <w:rPr>
                <w:rFonts w:eastAsia="Times New Roman"/>
                <w:b/>
                <w:bCs/>
                <w:color w:val="0000FF"/>
                <w:szCs w:val="24"/>
                <w:lang w:eastAsia="tr-TR"/>
              </w:rPr>
              <w:t>bulunur:</w:t>
            </w:r>
            <w:r w:rsidR="00C21C2C" w:rsidRPr="00A23740">
              <w:rPr>
                <w:rFonts w:eastAsia="Times New Roman"/>
                <w:color w:val="000000"/>
                <w:szCs w:val="24"/>
                <w:lang w:eastAsia="tr-TR"/>
              </w:rPr>
              <w:t xml:space="preserve"> </w:t>
            </w:r>
          </w:p>
          <w:p w:rsidR="00155AF4" w:rsidRPr="00A23740" w:rsidRDefault="00155AF4" w:rsidP="009431FF">
            <w:pPr>
              <w:rPr>
                <w:rStyle w:val="MaviChar"/>
              </w:rPr>
            </w:pPr>
            <w:r w:rsidRPr="00A23740">
              <w:rPr>
                <w:rFonts w:eastAsia="Times New Roman"/>
                <w:color w:val="000000"/>
                <w:szCs w:val="24"/>
                <w:lang w:eastAsia="tr-TR"/>
              </w:rPr>
              <w:t xml:space="preserve">a) Alacaklının ve varsa kanuni temsilcisi ile </w:t>
            </w:r>
            <w:r w:rsidR="00C90DEB" w:rsidRPr="00A23740">
              <w:rPr>
                <w:rStyle w:val="Balk1Char"/>
                <w:rFonts w:eastAsia="Calibri"/>
              </w:rPr>
              <w:t>vekilinin</w:t>
            </w:r>
            <w:r w:rsidRPr="00A23740">
              <w:rPr>
                <w:rFonts w:eastAsia="Times New Roman"/>
                <w:color w:val="000000"/>
                <w:szCs w:val="24"/>
                <w:lang w:eastAsia="tr-TR"/>
              </w:rPr>
              <w:t xml:space="preserve"> adı ve soyadı, </w:t>
            </w:r>
            <w:r w:rsidRPr="00A23740">
              <w:rPr>
                <w:rStyle w:val="MaviChar"/>
              </w:rPr>
              <w:t>gerçek kişiler için</w:t>
            </w:r>
            <w:r w:rsidRPr="00A23740">
              <w:rPr>
                <w:rFonts w:eastAsia="Times New Roman"/>
                <w:color w:val="000000"/>
                <w:szCs w:val="24"/>
                <w:lang w:eastAsia="tr-TR"/>
              </w:rPr>
              <w:t xml:space="preserve"> Türkiye Cumhuriyeti k</w:t>
            </w:r>
            <w:r w:rsidR="00C90DEB" w:rsidRPr="00A23740">
              <w:rPr>
                <w:rFonts w:eastAsia="Times New Roman"/>
                <w:color w:val="000000"/>
                <w:szCs w:val="24"/>
                <w:lang w:eastAsia="tr-TR"/>
              </w:rPr>
              <w:t>imlik numarası; tüzel kişi ise ü</w:t>
            </w:r>
            <w:r w:rsidRPr="00A23740">
              <w:rPr>
                <w:rFonts w:eastAsia="Times New Roman"/>
                <w:color w:val="000000"/>
                <w:szCs w:val="24"/>
                <w:lang w:eastAsia="tr-TR"/>
              </w:rPr>
              <w:t xml:space="preserve">nvanı, vergi kimlik numarası, ticaret sicil numarası ve Merkezi Sicil Kayıt Sistemi numarası </w:t>
            </w:r>
            <w:r w:rsidRPr="00A23740">
              <w:rPr>
                <w:rStyle w:val="MaviChar"/>
              </w:rPr>
              <w:t>veya</w:t>
            </w:r>
            <w:r w:rsidRPr="00A23740">
              <w:rPr>
                <w:rStyle w:val="MaviChar"/>
                <w:lang w:val="tr-TR"/>
              </w:rPr>
              <w:t xml:space="preserve"> varsa ilgili sicil numarası</w:t>
            </w:r>
            <w:r w:rsidRPr="00A23740">
              <w:rPr>
                <w:rFonts w:eastAsia="Times New Roman"/>
                <w:color w:val="000000"/>
                <w:szCs w:val="24"/>
                <w:lang w:eastAsia="tr-TR"/>
              </w:rPr>
              <w:t xml:space="preserve">; adresi, </w:t>
            </w:r>
            <w:r w:rsidR="00C21C2C" w:rsidRPr="00D6648F">
              <w:rPr>
                <w:rFonts w:eastAsia="Times New Roman"/>
                <w:b/>
                <w:bCs/>
                <w:color w:val="0000FF"/>
                <w:szCs w:val="24"/>
                <w:lang w:eastAsia="tr-TR"/>
              </w:rPr>
              <w:t>telefon</w:t>
            </w:r>
            <w:r w:rsidR="00C21C2C" w:rsidRPr="00A23740">
              <w:rPr>
                <w:rFonts w:eastAsia="Times New Roman"/>
                <w:b/>
                <w:bCs/>
                <w:color w:val="538135"/>
                <w:szCs w:val="24"/>
                <w:lang w:eastAsia="tr-TR"/>
              </w:rPr>
              <w:t xml:space="preserve"> </w:t>
            </w:r>
            <w:r w:rsidR="00C21C2C" w:rsidRPr="00D6648F">
              <w:rPr>
                <w:rFonts w:eastAsia="Times New Roman"/>
                <w:b/>
                <w:bCs/>
                <w:color w:val="0000FF"/>
                <w:szCs w:val="24"/>
                <w:lang w:eastAsia="tr-TR"/>
              </w:rPr>
              <w:t>numarası</w:t>
            </w:r>
            <w:r w:rsidR="00C21C2C" w:rsidRPr="00A23740">
              <w:rPr>
                <w:rFonts w:eastAsia="Times New Roman"/>
                <w:color w:val="000000"/>
                <w:szCs w:val="24"/>
                <w:lang w:eastAsia="tr-TR"/>
              </w:rPr>
              <w:t xml:space="preserve"> </w:t>
            </w:r>
            <w:r w:rsidRPr="00A23740">
              <w:rPr>
                <w:rFonts w:eastAsia="Times New Roman"/>
                <w:color w:val="000000"/>
                <w:szCs w:val="24"/>
                <w:lang w:eastAsia="tr-TR"/>
              </w:rPr>
              <w:t>ve elektronik iletişim bilgileri</w:t>
            </w:r>
            <w:r w:rsidRPr="00A23740">
              <w:rPr>
                <w:rStyle w:val="MaviChar"/>
              </w:rPr>
              <w:t>.</w:t>
            </w:r>
          </w:p>
          <w:p w:rsidR="00155AF4" w:rsidRPr="00A23740" w:rsidRDefault="00155AF4" w:rsidP="009431FF">
            <w:pPr>
              <w:rPr>
                <w:rStyle w:val="MaviChar"/>
              </w:rPr>
            </w:pPr>
          </w:p>
          <w:p w:rsidR="00155AF4" w:rsidRPr="00A23740" w:rsidRDefault="00155AF4" w:rsidP="009431FF">
            <w:pPr>
              <w:rPr>
                <w:rStyle w:val="MaviChar"/>
              </w:rPr>
            </w:pPr>
            <w:r w:rsidRPr="00A23740">
              <w:rPr>
                <w:rFonts w:eastAsia="Times New Roman"/>
                <w:color w:val="000000"/>
                <w:szCs w:val="24"/>
                <w:lang w:eastAsia="tr-TR"/>
              </w:rPr>
              <w:t xml:space="preserve">b) Alacaklının veya </w:t>
            </w:r>
            <w:r w:rsidR="00C90DEB" w:rsidRPr="00A23740">
              <w:rPr>
                <w:rStyle w:val="Balk1Char"/>
                <w:rFonts w:eastAsia="Calibri"/>
              </w:rPr>
              <w:t>vekilinin</w:t>
            </w:r>
            <w:r w:rsidRPr="00A23740">
              <w:rPr>
                <w:rFonts w:eastAsia="Times New Roman"/>
                <w:color w:val="000000"/>
                <w:szCs w:val="24"/>
                <w:lang w:eastAsia="tr-TR"/>
              </w:rPr>
              <w:t xml:space="preserve"> münhasıran Merkezî Takip Sistemi ile ilişkilendirilmiş hesap numarası</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Style w:val="MaviChar"/>
                <w:lang w:val="tr-TR"/>
              </w:rPr>
            </w:pPr>
            <w:r w:rsidRPr="00A23740">
              <w:rPr>
                <w:rFonts w:eastAsia="Times New Roman"/>
                <w:color w:val="000000"/>
                <w:spacing w:val="-4"/>
                <w:szCs w:val="24"/>
                <w:lang w:eastAsia="tr-TR"/>
              </w:rPr>
              <w:t>c) Borçlunun ve varsa kanuni temsilcisinin adı ve soyadı, Türkiye Cumhuriyeti k</w:t>
            </w:r>
            <w:r w:rsidR="00C90DEB" w:rsidRPr="00A23740">
              <w:rPr>
                <w:rFonts w:eastAsia="Times New Roman"/>
                <w:color w:val="000000"/>
                <w:spacing w:val="-4"/>
                <w:szCs w:val="24"/>
                <w:lang w:eastAsia="tr-TR"/>
              </w:rPr>
              <w:t>imlik numarası; tüzel kişi ise ü</w:t>
            </w:r>
            <w:r w:rsidRPr="00A23740">
              <w:rPr>
                <w:rFonts w:eastAsia="Times New Roman"/>
                <w:color w:val="000000"/>
                <w:spacing w:val="-4"/>
                <w:szCs w:val="24"/>
                <w:lang w:eastAsia="tr-TR"/>
              </w:rPr>
              <w:t xml:space="preserve">nvanı, vergi kimlik numarası, biliniyorsa ticaret sicil numarası ve Merkezi Sicil Kayıt Sistemi numarası </w:t>
            </w:r>
            <w:r w:rsidRPr="00A23740">
              <w:rPr>
                <w:rStyle w:val="MaviChar"/>
              </w:rPr>
              <w:t>veya ilgili sicil numarası</w:t>
            </w:r>
            <w:r w:rsidRPr="00A23740">
              <w:rPr>
                <w:rFonts w:eastAsia="Times New Roman"/>
                <w:color w:val="000000"/>
                <w:spacing w:val="-4"/>
                <w:szCs w:val="24"/>
                <w:lang w:eastAsia="tr-TR"/>
              </w:rPr>
              <w:t xml:space="preserve">; adresi, biliniyorsa </w:t>
            </w:r>
            <w:r w:rsidR="00C21C2C" w:rsidRPr="00D6648F">
              <w:rPr>
                <w:rFonts w:eastAsia="Times New Roman"/>
                <w:b/>
                <w:bCs/>
                <w:color w:val="0000FF"/>
                <w:spacing w:val="-4"/>
                <w:szCs w:val="24"/>
                <w:lang w:eastAsia="tr-TR"/>
              </w:rPr>
              <w:t>telefon</w:t>
            </w:r>
            <w:r w:rsidR="00C21C2C" w:rsidRPr="00A23740">
              <w:rPr>
                <w:rFonts w:eastAsia="Times New Roman"/>
                <w:b/>
                <w:bCs/>
                <w:color w:val="538135"/>
                <w:spacing w:val="-4"/>
                <w:szCs w:val="24"/>
                <w:lang w:eastAsia="tr-TR"/>
              </w:rPr>
              <w:t xml:space="preserve"> </w:t>
            </w:r>
            <w:r w:rsidR="00C21C2C" w:rsidRPr="00D6648F">
              <w:rPr>
                <w:rFonts w:eastAsia="Times New Roman"/>
                <w:b/>
                <w:bCs/>
                <w:color w:val="0000FF"/>
                <w:spacing w:val="-4"/>
                <w:szCs w:val="24"/>
                <w:lang w:eastAsia="tr-TR"/>
              </w:rPr>
              <w:t>numarası</w:t>
            </w:r>
            <w:r w:rsidR="00C21C2C" w:rsidRPr="00A23740">
              <w:rPr>
                <w:rFonts w:eastAsia="Times New Roman"/>
                <w:color w:val="000000"/>
                <w:spacing w:val="-4"/>
                <w:szCs w:val="24"/>
                <w:lang w:eastAsia="tr-TR"/>
              </w:rPr>
              <w:t xml:space="preserve"> </w:t>
            </w:r>
            <w:r w:rsidRPr="00A23740">
              <w:rPr>
                <w:rFonts w:eastAsia="Times New Roman"/>
                <w:color w:val="000000"/>
                <w:spacing w:val="-4"/>
                <w:szCs w:val="24"/>
                <w:lang w:eastAsia="tr-TR"/>
              </w:rPr>
              <w:t>ve elektronik iletişim bilgileri</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Style w:val="MaviChar"/>
              </w:rPr>
            </w:pPr>
            <w:r w:rsidRPr="00A23740">
              <w:rPr>
                <w:rFonts w:eastAsia="Times New Roman"/>
                <w:color w:val="000000"/>
                <w:szCs w:val="24"/>
                <w:lang w:eastAsia="tr-TR"/>
              </w:rPr>
              <w:t>ç) Terekeye karşı yapılan takiplerde kendilerine tebligat yapılacak mirasçıların adı ve soyadı, Türkiye Cumhuriyeti kimlik numarası ile adresi</w:t>
            </w:r>
            <w:r w:rsidRPr="00A23740">
              <w:rPr>
                <w:rStyle w:val="MaviChar"/>
              </w:rPr>
              <w:t>.</w:t>
            </w:r>
          </w:p>
          <w:p w:rsidR="00EE0AAC" w:rsidRPr="00A23740" w:rsidRDefault="00EE0AAC" w:rsidP="009431FF">
            <w:pPr>
              <w:rPr>
                <w:b/>
                <w:bCs/>
                <w:color w:val="0000FF"/>
                <w:szCs w:val="24"/>
                <w:lang w:val="x-none" w:eastAsia="x-none"/>
              </w:rPr>
            </w:pPr>
          </w:p>
          <w:p w:rsidR="00155AF4" w:rsidRPr="00A23740" w:rsidRDefault="00155AF4" w:rsidP="009431FF">
            <w:pPr>
              <w:rPr>
                <w:rStyle w:val="MaviChar"/>
              </w:rPr>
            </w:pPr>
            <w:r w:rsidRPr="00A23740">
              <w:rPr>
                <w:rFonts w:eastAsia="Times New Roman"/>
                <w:color w:val="000000"/>
                <w:spacing w:val="-3"/>
                <w:szCs w:val="24"/>
                <w:lang w:eastAsia="tr-TR"/>
              </w:rPr>
              <w:t>d) Alacağın tutarı ve faizli alacaklarda faizin türü, oranı, miktarı ve işlemeye başladığı gün; alacak yabancı para ise harca esas olmak üzere takip tarihindeki Türkiye Cumhuriyet Merkez Bankası efektif satış kuru üzerinden Türk lirası karşılığı, alacağın hangi tarihteki kur üzerinden talep edildiği ve faizli alacaklarda faizin türü, oranı, miktarı ve işlemeye başladığı gün</w:t>
            </w:r>
            <w:r w:rsidRPr="00A23740">
              <w:rPr>
                <w:rStyle w:val="MaviChar"/>
              </w:rPr>
              <w:t>.</w:t>
            </w:r>
          </w:p>
          <w:p w:rsidR="00EE0AAC" w:rsidRPr="00A23740" w:rsidRDefault="00EE0AAC" w:rsidP="009431FF">
            <w:pPr>
              <w:rPr>
                <w:b/>
                <w:bCs/>
                <w:color w:val="0000FF"/>
                <w:szCs w:val="24"/>
                <w:lang w:val="x-none" w:eastAsia="x-none"/>
              </w:rPr>
            </w:pPr>
          </w:p>
          <w:p w:rsidR="00155AF4" w:rsidRPr="00A23740" w:rsidRDefault="00155AF4" w:rsidP="009431FF">
            <w:pPr>
              <w:rPr>
                <w:rStyle w:val="MaviChar"/>
              </w:rPr>
            </w:pPr>
            <w:r w:rsidRPr="00A23740">
              <w:rPr>
                <w:rFonts w:eastAsia="Times New Roman"/>
                <w:color w:val="000000"/>
                <w:szCs w:val="24"/>
                <w:lang w:eastAsia="tr-TR"/>
              </w:rPr>
              <w:t>e) Takip dayanağı belgelerin tarih ve numarası ile alacağın son ödeme tarihi</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Style w:val="MaviChar"/>
              </w:rPr>
            </w:pPr>
            <w:r w:rsidRPr="00A23740">
              <w:rPr>
                <w:rFonts w:eastAsia="Times New Roman"/>
                <w:color w:val="000000"/>
                <w:szCs w:val="24"/>
                <w:lang w:eastAsia="tr-TR"/>
              </w:rPr>
              <w:t xml:space="preserve">f) Haciz ve </w:t>
            </w:r>
            <w:r w:rsidR="00B65310" w:rsidRPr="00F46904">
              <w:rPr>
                <w:rStyle w:val="MaviChar"/>
              </w:rPr>
              <w:t>takip eden</w:t>
            </w:r>
            <w:r w:rsidR="00B65310" w:rsidRPr="00A23740">
              <w:rPr>
                <w:rFonts w:eastAsia="Times New Roman"/>
                <w:color w:val="385623"/>
                <w:szCs w:val="24"/>
                <w:lang w:eastAsia="tr-TR"/>
              </w:rPr>
              <w:t xml:space="preserve"> </w:t>
            </w:r>
            <w:r w:rsidRPr="00A23740">
              <w:rPr>
                <w:rFonts w:eastAsia="Times New Roman"/>
                <w:color w:val="000000"/>
                <w:szCs w:val="24"/>
                <w:lang w:eastAsia="tr-TR"/>
              </w:rPr>
              <w:t xml:space="preserve">işlemler için yetkili icra </w:t>
            </w:r>
            <w:r w:rsidR="001647D1" w:rsidRPr="00F46904">
              <w:rPr>
                <w:rStyle w:val="MaviChar"/>
              </w:rPr>
              <w:t>ve iflas</w:t>
            </w:r>
            <w:r w:rsidR="001647D1" w:rsidRPr="00A23740">
              <w:rPr>
                <w:b/>
                <w:bCs/>
                <w:color w:val="0000FF"/>
                <w:szCs w:val="24"/>
                <w:lang w:val="x-none" w:eastAsia="x-none"/>
              </w:rPr>
              <w:t xml:space="preserve"> </w:t>
            </w:r>
            <w:r w:rsidRPr="00A23740">
              <w:rPr>
                <w:rFonts w:eastAsia="Times New Roman"/>
                <w:color w:val="000000"/>
                <w:szCs w:val="24"/>
                <w:lang w:eastAsia="tr-TR"/>
              </w:rPr>
              <w:t>dairesi</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(3) Son ödeme tarihi belirtilen alacağa ilişkin fatura veya benzeri belgeler sisteme yüklenir.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(4) Takip talebi ikinci fıkra uyarınca doldurulduktan, ilgili belgeler taranıp sisteme yüklendikten ve takip harç ve </w:t>
            </w:r>
            <w:r w:rsidRPr="00A23740">
              <w:rPr>
                <w:rStyle w:val="MaviChar"/>
              </w:rPr>
              <w:t>giderleri</w:t>
            </w:r>
            <w:r w:rsidRPr="00A23740">
              <w:rPr>
                <w:rFonts w:eastAsia="Times New Roman"/>
                <w:color w:val="000000"/>
                <w:szCs w:val="24"/>
                <w:lang w:eastAsia="tr-TR"/>
              </w:rPr>
              <w:t xml:space="preserve"> elektronik ortamda ödendikten sonra,</w:t>
            </w:r>
            <w:r w:rsidR="00C21C2C" w:rsidRPr="00A23740">
              <w:rPr>
                <w:rFonts w:eastAsia="Times New Roman"/>
                <w:color w:val="000000"/>
                <w:szCs w:val="24"/>
                <w:lang w:eastAsia="tr-TR"/>
              </w:rPr>
              <w:t xml:space="preserve"> </w:t>
            </w:r>
            <w:r w:rsidR="00C21C2C" w:rsidRPr="00D6648F">
              <w:rPr>
                <w:rFonts w:eastAsia="Times New Roman"/>
                <w:b/>
                <w:bCs/>
                <w:color w:val="0000FF"/>
                <w:szCs w:val="24"/>
                <w:lang w:eastAsia="tr-TR"/>
              </w:rPr>
              <w:t>takip</w:t>
            </w:r>
            <w:r w:rsidR="00C21C2C" w:rsidRPr="00A23740">
              <w:rPr>
                <w:rFonts w:eastAsia="Times New Roman"/>
                <w:b/>
                <w:bCs/>
                <w:color w:val="538135"/>
                <w:szCs w:val="24"/>
                <w:lang w:eastAsia="tr-TR"/>
              </w:rPr>
              <w:t xml:space="preserve"> </w:t>
            </w:r>
            <w:r w:rsidR="00C21C2C" w:rsidRPr="00D6648F">
              <w:rPr>
                <w:rFonts w:eastAsia="Times New Roman"/>
                <w:b/>
                <w:bCs/>
                <w:color w:val="0000FF"/>
                <w:szCs w:val="24"/>
                <w:lang w:eastAsia="tr-TR"/>
              </w:rPr>
              <w:t>talebi</w:t>
            </w:r>
            <w:r w:rsidRPr="00A23740">
              <w:rPr>
                <w:rFonts w:eastAsia="Times New Roman"/>
                <w:color w:val="538135"/>
                <w:szCs w:val="24"/>
                <w:lang w:eastAsia="tr-TR"/>
              </w:rPr>
              <w:t xml:space="preserve"> </w:t>
            </w:r>
            <w:r w:rsidRPr="00A23740">
              <w:rPr>
                <w:rFonts w:eastAsia="Times New Roman"/>
                <w:color w:val="000000"/>
                <w:szCs w:val="24"/>
                <w:lang w:eastAsia="tr-TR"/>
              </w:rPr>
              <w:t xml:space="preserve">güvenli elektronik imzayla </w:t>
            </w:r>
            <w:r w:rsidR="00C21C2C" w:rsidRPr="00D6648F">
              <w:rPr>
                <w:rFonts w:eastAsia="Times New Roman"/>
                <w:b/>
                <w:bCs/>
                <w:color w:val="0000FF"/>
                <w:szCs w:val="24"/>
                <w:lang w:eastAsia="tr-TR"/>
              </w:rPr>
              <w:t>onaylanıp</w:t>
            </w:r>
            <w:r w:rsidR="00C21C2C" w:rsidRPr="00A23740">
              <w:rPr>
                <w:rFonts w:eastAsia="Times New Roman"/>
                <w:color w:val="538135"/>
                <w:szCs w:val="24"/>
                <w:lang w:eastAsia="tr-TR"/>
              </w:rPr>
              <w:t xml:space="preserve"> </w:t>
            </w:r>
            <w:r w:rsidRPr="00A23740">
              <w:rPr>
                <w:rFonts w:eastAsia="Times New Roman"/>
                <w:color w:val="000000"/>
                <w:szCs w:val="24"/>
                <w:lang w:eastAsia="tr-TR"/>
              </w:rPr>
              <w:t>sisteme kaydedilir ve takip, Merkezî Takip Numarası alır. İcra takibi, sisteme kaydedilmekle başlar.</w:t>
            </w:r>
          </w:p>
          <w:p w:rsidR="00155AF4" w:rsidRPr="00A23740" w:rsidRDefault="00155AF4" w:rsidP="009431FF">
            <w:pPr>
              <w:pStyle w:val="Balk4"/>
              <w:jc w:val="both"/>
              <w:rPr>
                <w:lang w:val="tr-TR"/>
              </w:rPr>
            </w:pPr>
          </w:p>
        </w:tc>
      </w:tr>
      <w:tr w:rsidR="00825550"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9F1BAC" w:rsidRPr="00A23740" w:rsidRDefault="009F1BAC" w:rsidP="009431FF">
            <w:pPr>
              <w:pStyle w:val="Balk4"/>
              <w:ind w:firstLine="709"/>
              <w:jc w:val="both"/>
              <w:rPr>
                <w:bCs w:val="0"/>
                <w:color w:val="000000"/>
                <w:szCs w:val="24"/>
                <w:lang w:val="tr-TR" w:eastAsia="tr-TR"/>
              </w:rPr>
            </w:pPr>
          </w:p>
          <w:p w:rsidR="00825550" w:rsidRPr="00A23740" w:rsidRDefault="00FC7A09" w:rsidP="009431FF">
            <w:pPr>
              <w:pStyle w:val="Balk4"/>
              <w:ind w:firstLine="709"/>
              <w:jc w:val="both"/>
              <w:rPr>
                <w:b w:val="0"/>
                <w:bCs w:val="0"/>
                <w:color w:val="000000"/>
                <w:szCs w:val="24"/>
                <w:lang w:val="tr-TR" w:eastAsia="tr-TR"/>
              </w:rPr>
            </w:pPr>
            <w:r w:rsidRPr="00A23740">
              <w:rPr>
                <w:bCs w:val="0"/>
                <w:color w:val="000000"/>
                <w:szCs w:val="24"/>
                <w:lang w:val="tr-TR" w:eastAsia="tr-TR"/>
              </w:rPr>
              <w:t>MADDE 103</w:t>
            </w:r>
            <w:r w:rsidR="00825550" w:rsidRPr="00A23740">
              <w:rPr>
                <w:bCs w:val="0"/>
                <w:color w:val="000000"/>
                <w:szCs w:val="24"/>
                <w:lang w:val="tr-TR" w:eastAsia="tr-TR"/>
              </w:rPr>
              <w:t xml:space="preserve">- </w:t>
            </w:r>
            <w:r w:rsidR="00825550" w:rsidRPr="00A23740">
              <w:rPr>
                <w:b w:val="0"/>
                <w:bCs w:val="0"/>
                <w:color w:val="000000"/>
                <w:szCs w:val="24"/>
                <w:lang w:val="tr-TR" w:eastAsia="tr-TR"/>
              </w:rPr>
              <w:t>Maddeyle</w:t>
            </w:r>
            <w:r w:rsidR="0042739A" w:rsidRPr="00A23740">
              <w:rPr>
                <w:b w:val="0"/>
                <w:bCs w:val="0"/>
                <w:color w:val="000000"/>
                <w:szCs w:val="24"/>
                <w:lang w:val="tr-TR" w:eastAsia="tr-TR"/>
              </w:rPr>
              <w:t>,</w:t>
            </w:r>
            <w:r w:rsidR="00825550" w:rsidRPr="00A23740">
              <w:rPr>
                <w:b w:val="0"/>
                <w:bCs w:val="0"/>
                <w:color w:val="000000"/>
                <w:szCs w:val="24"/>
                <w:lang w:val="tr-TR" w:eastAsia="tr-TR"/>
              </w:rPr>
              <w:t xml:space="preserve"> </w:t>
            </w:r>
            <w:r w:rsidR="00907224" w:rsidRPr="00A23740">
              <w:rPr>
                <w:b w:val="0"/>
                <w:bCs w:val="0"/>
                <w:color w:val="000000"/>
                <w:szCs w:val="24"/>
                <w:lang w:val="tr-TR" w:eastAsia="tr-TR"/>
              </w:rPr>
              <w:t xml:space="preserve">bu Ayrıma giren alacakların tahsiline yönelik </w:t>
            </w:r>
            <w:r w:rsidR="00825550" w:rsidRPr="00A23740">
              <w:rPr>
                <w:b w:val="0"/>
                <w:bCs w:val="0"/>
                <w:color w:val="000000"/>
                <w:szCs w:val="24"/>
                <w:lang w:val="tr-TR" w:eastAsia="tr-TR"/>
              </w:rPr>
              <w:t>takip talebi düzenlenmektedir.</w:t>
            </w:r>
            <w:r w:rsidR="009F1BAC" w:rsidRPr="00A23740">
              <w:rPr>
                <w:b w:val="0"/>
                <w:bCs w:val="0"/>
                <w:color w:val="000000"/>
                <w:szCs w:val="24"/>
                <w:lang w:val="tr-TR" w:eastAsia="tr-TR"/>
              </w:rPr>
              <w:t xml:space="preserve"> </w:t>
            </w:r>
            <w:r w:rsidR="009A3519" w:rsidRPr="00A23740">
              <w:rPr>
                <w:b w:val="0"/>
                <w:bCs w:val="0"/>
                <w:color w:val="000000"/>
                <w:szCs w:val="24"/>
                <w:lang w:val="tr-TR" w:eastAsia="tr-TR"/>
              </w:rPr>
              <w:t>Bu madde, 7155 sayılı Kanunun 4 üncü maddesine karşılık gelmektedir.</w:t>
            </w:r>
          </w:p>
          <w:p w:rsidR="00756226" w:rsidRPr="00A23740" w:rsidRDefault="009F1BAC" w:rsidP="009431FF">
            <w:pPr>
              <w:ind w:firstLine="709"/>
            </w:pPr>
            <w:r w:rsidRPr="00A23740">
              <w:t xml:space="preserve">Birinci fıkrayla, icra takibinin başlatılabilmesi için alacaklı </w:t>
            </w:r>
            <w:r w:rsidR="00604F34" w:rsidRPr="00A23740">
              <w:t>vekilinin</w:t>
            </w:r>
            <w:r w:rsidRPr="00A23740">
              <w:t xml:space="preserve"> Merkezî Takip Sisteminde yer alan takip talebini doldurması gerektiği hükme bağlanmaktadır.</w:t>
            </w:r>
            <w:r w:rsidR="00604F34" w:rsidRPr="00A23740">
              <w:t xml:space="preserve"> </w:t>
            </w:r>
          </w:p>
          <w:p w:rsidR="00783596" w:rsidRPr="00A23740" w:rsidRDefault="00783596" w:rsidP="009431FF">
            <w:pPr>
              <w:ind w:firstLine="709"/>
            </w:pPr>
            <w:r w:rsidRPr="00A23740">
              <w:t xml:space="preserve">İkinci fıkrayla, </w:t>
            </w:r>
            <w:r w:rsidR="00825550" w:rsidRPr="00A23740">
              <w:t>takip talebinde bulunması gereken hususlar ayrıntılı bir şekilde düzenlenmektedir. Alacaklının veya avukatının, sistemle ilişkilendirmiş hesap numarasını takip talebine yazması zorunlu h</w:t>
            </w:r>
            <w:r w:rsidR="000A20F1" w:rsidRPr="00A23740">
              <w:t>â</w:t>
            </w:r>
            <w:r w:rsidR="00825550" w:rsidRPr="00A23740">
              <w:t xml:space="preserve">le getirilerek, bu şekilde borçlunun icra </w:t>
            </w:r>
            <w:r w:rsidR="005F30CB" w:rsidRPr="00D6648F">
              <w:t>ve</w:t>
            </w:r>
            <w:r w:rsidR="005F30CB" w:rsidRPr="00D6648F">
              <w:rPr>
                <w:b/>
              </w:rPr>
              <w:t xml:space="preserve"> </w:t>
            </w:r>
            <w:r w:rsidR="005F30CB" w:rsidRPr="00D6648F">
              <w:t>iflas</w:t>
            </w:r>
            <w:r w:rsidR="005F30CB" w:rsidRPr="00A23740">
              <w:t xml:space="preserve"> </w:t>
            </w:r>
            <w:r w:rsidR="00825550" w:rsidRPr="00A23740">
              <w:t>dairesine gitmeden, sistem üzerinden hesaplanan güncel borç miktarını, bu hesap numarasına ödemek suretiyle borcundan kurtulması imk</w:t>
            </w:r>
            <w:r w:rsidR="00BE53A8" w:rsidRPr="00A23740">
              <w:t>â</w:t>
            </w:r>
            <w:r w:rsidR="00825550" w:rsidRPr="00A23740">
              <w:t xml:space="preserve">nı getirilmektedir. </w:t>
            </w:r>
            <w:r w:rsidR="00756226" w:rsidRPr="00A23740">
              <w:t>Bu fıkrada, takipte sürati sağlamak ve gerektiğinde kullanılmak üzere alacaklı vekilinin elektronik iletişim bilgilerine de yer ver</w:t>
            </w:r>
            <w:r w:rsidR="00907224" w:rsidRPr="00A23740">
              <w:t>il</w:t>
            </w:r>
            <w:r w:rsidR="00756226" w:rsidRPr="00A23740">
              <w:t>mesi öngörülmüştür. Ancak bu unsur takip talebinin zorunlu bir unsuru olmayıp, takip talebinde bulunmaması takibin geçerliliğini etkilemeyecektir.</w:t>
            </w:r>
          </w:p>
          <w:p w:rsidR="00783596" w:rsidRPr="00A23740" w:rsidRDefault="00783596" w:rsidP="009431FF">
            <w:pPr>
              <w:ind w:firstLine="709"/>
            </w:pPr>
            <w:r w:rsidRPr="00A23740">
              <w:t xml:space="preserve">Üçüncü fıkrayla, </w:t>
            </w:r>
            <w:r w:rsidR="00825550" w:rsidRPr="00A23740">
              <w:t>alacağın son ödeme tarihi takip talebine işlenmek zorunda olduğundan</w:t>
            </w:r>
            <w:r w:rsidR="00907224" w:rsidRPr="00A23740">
              <w:t>,</w:t>
            </w:r>
            <w:r w:rsidR="00825550" w:rsidRPr="00A23740">
              <w:t xml:space="preserve"> alacağı tevsik eden fatura veya benzeri belgelerin si</w:t>
            </w:r>
            <w:r w:rsidRPr="00A23740">
              <w:t>steme yüklenmesi öngörülmektedir</w:t>
            </w:r>
            <w:r w:rsidR="00861DBE" w:rsidRPr="00A23740">
              <w:t>.</w:t>
            </w:r>
          </w:p>
          <w:p w:rsidR="00E91409" w:rsidRPr="00A23740" w:rsidRDefault="00783596" w:rsidP="009431FF">
            <w:pPr>
              <w:ind w:firstLine="709"/>
              <w:rPr>
                <w:rFonts w:eastAsia="Times New Roman"/>
                <w:color w:val="000000"/>
                <w:szCs w:val="24"/>
                <w:lang w:eastAsia="tr-TR"/>
              </w:rPr>
            </w:pPr>
            <w:r w:rsidRPr="00A23740">
              <w:t xml:space="preserve">Dördüncü fıkrayla, </w:t>
            </w:r>
            <w:r w:rsidRPr="00A23740">
              <w:rPr>
                <w:rFonts w:eastAsia="Times New Roman"/>
                <w:color w:val="000000"/>
                <w:szCs w:val="24"/>
                <w:lang w:eastAsia="tr-TR"/>
              </w:rPr>
              <w:t>t</w:t>
            </w:r>
            <w:r w:rsidR="00BA76C0" w:rsidRPr="00A23740">
              <w:rPr>
                <w:rFonts w:eastAsia="Times New Roman"/>
                <w:color w:val="000000"/>
                <w:szCs w:val="24"/>
                <w:lang w:eastAsia="tr-TR"/>
              </w:rPr>
              <w:t xml:space="preserve">akip talebinin </w:t>
            </w:r>
            <w:r w:rsidRPr="00A23740">
              <w:rPr>
                <w:rFonts w:eastAsia="Times New Roman"/>
                <w:color w:val="000000"/>
                <w:szCs w:val="24"/>
                <w:lang w:eastAsia="tr-TR"/>
              </w:rPr>
              <w:t xml:space="preserve">ikinci fıkra uyarınca doldurulduktan, ilgili belgeler taranıp sisteme yüklendikten ve takip harç ve </w:t>
            </w:r>
            <w:r w:rsidRPr="00A23740">
              <w:rPr>
                <w:rFonts w:eastAsia="Times New Roman"/>
                <w:bCs/>
                <w:color w:val="000000"/>
                <w:lang w:eastAsia="tr-TR"/>
              </w:rPr>
              <w:t>giderleri</w:t>
            </w:r>
            <w:r w:rsidRPr="00A23740">
              <w:rPr>
                <w:rFonts w:eastAsia="Times New Roman"/>
                <w:color w:val="000000"/>
                <w:szCs w:val="24"/>
                <w:lang w:eastAsia="tr-TR"/>
              </w:rPr>
              <w:t xml:space="preserve"> elektronik ortamda ödendikten sonra, güvenli ele</w:t>
            </w:r>
            <w:r w:rsidR="00BA76C0" w:rsidRPr="00A23740">
              <w:rPr>
                <w:rFonts w:eastAsia="Times New Roman"/>
                <w:color w:val="000000"/>
                <w:szCs w:val="24"/>
                <w:lang w:eastAsia="tr-TR"/>
              </w:rPr>
              <w:t>ktronik imzayla onaylanacağı, sisteme kaydedileceği ve takibin, Merkezî Takip Numarası alacağı</w:t>
            </w:r>
            <w:r w:rsidR="00907224" w:rsidRPr="00A23740">
              <w:rPr>
                <w:rFonts w:eastAsia="Times New Roman"/>
                <w:color w:val="000000"/>
                <w:szCs w:val="24"/>
                <w:lang w:eastAsia="tr-TR"/>
              </w:rPr>
              <w:t xml:space="preserve"> açıklanmaktadır</w:t>
            </w:r>
            <w:r w:rsidRPr="00A23740">
              <w:rPr>
                <w:rFonts w:eastAsia="Times New Roman"/>
                <w:color w:val="000000"/>
                <w:szCs w:val="24"/>
                <w:lang w:eastAsia="tr-TR"/>
              </w:rPr>
              <w:t>.</w:t>
            </w:r>
            <w:r w:rsidR="00BA76C0" w:rsidRPr="00A23740">
              <w:rPr>
                <w:rFonts w:eastAsia="Times New Roman"/>
                <w:color w:val="000000"/>
                <w:szCs w:val="24"/>
                <w:lang w:eastAsia="tr-TR"/>
              </w:rPr>
              <w:t xml:space="preserve"> </w:t>
            </w:r>
            <w:r w:rsidR="00A46F35" w:rsidRPr="00A23740">
              <w:rPr>
                <w:rFonts w:eastAsia="Times New Roman"/>
                <w:color w:val="000000"/>
                <w:szCs w:val="24"/>
                <w:lang w:eastAsia="tr-TR"/>
              </w:rPr>
              <w:t>Bu y</w:t>
            </w:r>
            <w:r w:rsidR="00BA76C0" w:rsidRPr="00A23740">
              <w:rPr>
                <w:rFonts w:eastAsia="Times New Roman"/>
                <w:color w:val="000000"/>
                <w:szCs w:val="24"/>
                <w:lang w:eastAsia="tr-TR"/>
              </w:rPr>
              <w:t>apılan kayıtla birlikte i</w:t>
            </w:r>
            <w:r w:rsidR="00A46F35" w:rsidRPr="00A23740">
              <w:rPr>
                <w:rFonts w:eastAsia="Times New Roman"/>
                <w:color w:val="000000"/>
                <w:szCs w:val="24"/>
                <w:lang w:eastAsia="tr-TR"/>
              </w:rPr>
              <w:t>cra takibi başlamış olacaktır.</w:t>
            </w:r>
          </w:p>
          <w:p w:rsidR="00825550" w:rsidRPr="00A23740" w:rsidRDefault="00825550" w:rsidP="009431FF">
            <w:pPr>
              <w:ind w:firstLine="709"/>
              <w:rPr>
                <w:lang w:eastAsia="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w:t>
            </w:r>
          </w:p>
          <w:p w:rsidR="00155AF4" w:rsidRPr="00A23740" w:rsidRDefault="00155AF4" w:rsidP="009431FF">
            <w:pPr>
              <w:rPr>
                <w:rFonts w:eastAsia="Times New Roman"/>
                <w:color w:val="000000"/>
                <w:szCs w:val="24"/>
                <w:lang w:eastAsia="tr-TR"/>
              </w:rPr>
            </w:pPr>
            <w:r w:rsidRPr="00A9175D">
              <w:rPr>
                <w:rStyle w:val="KIRMIZIChar"/>
                <w:rFonts w:eastAsia="Calibri"/>
              </w:rPr>
              <w:t>MADDE 5</w:t>
            </w:r>
            <w:r w:rsidRPr="00A23740">
              <w:rPr>
                <w:rFonts w:eastAsia="Times New Roman"/>
                <w:b/>
                <w:bCs/>
                <w:color w:val="000000"/>
                <w:szCs w:val="24"/>
                <w:lang w:eastAsia="tr-TR"/>
              </w:rPr>
              <w:t>-</w:t>
            </w:r>
            <w:r w:rsidRPr="00A23740">
              <w:rPr>
                <w:rFonts w:eastAsia="Times New Roman"/>
                <w:color w:val="000000"/>
                <w:szCs w:val="24"/>
                <w:lang w:eastAsia="tr-TR"/>
              </w:rPr>
              <w:t> (1) Takip talebinin sisteme kaydedilmesinden sonra sistem tarafından ödeme emri düzenlenir. Ödeme emrinde, takip talebinde yer alan bilgiler yanında aşağıdaki hususlar yer alır: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a) Toplam borç miktarı ile takip harç ve </w:t>
            </w:r>
            <w:r w:rsidRPr="00A23740">
              <w:rPr>
                <w:rStyle w:val="KIRMIZIChar"/>
                <w:rFonts w:eastAsia="Calibri"/>
              </w:rPr>
              <w:t>masraflarının</w:t>
            </w:r>
            <w:r w:rsidRPr="00A23740">
              <w:rPr>
                <w:rFonts w:eastAsia="Times New Roman"/>
                <w:color w:val="000000"/>
                <w:szCs w:val="24"/>
                <w:lang w:eastAsia="tr-TR"/>
              </w:rPr>
              <w:t>, tebliğden itibaren yedi gün içinde alacaklının veya avukatının Merkezî Takip Sistemi ile ilişkilendirilmiş hesap numarasına ödenmesi gerektiği</w:t>
            </w:r>
          </w:p>
          <w:p w:rsidR="00EE0AAC" w:rsidRPr="00A23740" w:rsidRDefault="00EE0AAC"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b) Yetkiye, borcun tamamına veya bir kısmına ya da alacaklının takibat icrası hakkına dair bir itirazı varsa bunun da aynı süre içinde beyan edilmesi gerektiği</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c) Sadece yetkiye itiraz hâlinde yeniden ödeme emri tebliğ edilmeksizin alacaklının talebi üzerine, yetki itirazında gösterilen veya mahkemece yetkili görülen icra dairesinden haciz işlemlerinin başlatılacağı</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ç) İtirazların, herhangi bir icra dairesi aracılığıyla veya güvenli elektronik imza kullanılarak Merkezî Takip Sistemi üzerinden yapılabileceği</w:t>
            </w:r>
          </w:p>
          <w:p w:rsidR="00756226" w:rsidRPr="00A23740" w:rsidRDefault="00756226"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d) Borç ödenmez veya itiraz olunmazsa yetkili icra dairesi aracılığıyla cebrî icraya devam edileceği</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(2) Bu </w:t>
            </w:r>
            <w:r w:rsidRPr="00A23740">
              <w:rPr>
                <w:rStyle w:val="KIRMIZIChar"/>
                <w:rFonts w:eastAsia="Calibri"/>
              </w:rPr>
              <w:t>Kanun</w:t>
            </w:r>
            <w:r w:rsidRPr="00A23740">
              <w:rPr>
                <w:rFonts w:eastAsia="Times New Roman"/>
                <w:color w:val="000000"/>
                <w:szCs w:val="24"/>
                <w:lang w:eastAsia="tr-TR"/>
              </w:rPr>
              <w:t xml:space="preserve"> kapsamındaki takiplerde Merkezî Takip Sistemi harcı alınır; ayrıca icraya başvurma harcı ile tahsil harcı alınmaz.</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(3) Merkezî Takip Numarası alan ödeme emri ile tebliğ mazbatalı kapalı zarfa ilişkin bilgiler, sistem üzerinden ilgili Posta ve Telgraf Teşkilatı Anonim Şirketi (PTT) birimine iletilir.</w:t>
            </w:r>
          </w:p>
          <w:p w:rsidR="00155AF4" w:rsidRPr="00A23740" w:rsidRDefault="00155AF4" w:rsidP="009431FF">
            <w:pPr>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w:t>
            </w:r>
          </w:p>
          <w:p w:rsidR="00155AF4" w:rsidRPr="00A23740" w:rsidRDefault="00756226" w:rsidP="009431FF">
            <w:pPr>
              <w:rPr>
                <w:rFonts w:eastAsia="Times New Roman"/>
                <w:color w:val="000000"/>
                <w:szCs w:val="24"/>
                <w:lang w:eastAsia="tr-TR"/>
              </w:rPr>
            </w:pPr>
            <w:r w:rsidRPr="00A23740">
              <w:rPr>
                <w:rStyle w:val="Balk1Char"/>
                <w:rFonts w:eastAsia="Calibri"/>
              </w:rPr>
              <w:t>MADDE 104</w:t>
            </w:r>
            <w:r w:rsidR="00155AF4" w:rsidRPr="00A23740">
              <w:rPr>
                <w:rStyle w:val="Balk1Char"/>
                <w:rFonts w:eastAsia="Calibri"/>
              </w:rPr>
              <w:t>-</w:t>
            </w:r>
            <w:r w:rsidR="00155AF4" w:rsidRPr="00A23740">
              <w:rPr>
                <w:rFonts w:eastAsia="Times New Roman"/>
                <w:color w:val="000000"/>
                <w:szCs w:val="24"/>
                <w:lang w:eastAsia="tr-TR"/>
              </w:rPr>
              <w:t> (1) Takip talebinin sisteme kaydedilmesinden sonra sistem tarafından ödeme emri düzenlenir. Ödeme emrinde, takip talebinde</w:t>
            </w:r>
            <w:r w:rsidRPr="00A23740">
              <w:rPr>
                <w:rStyle w:val="Balk1Char"/>
                <w:rFonts w:eastAsia="Calibri"/>
              </w:rPr>
              <w:t>ki</w:t>
            </w:r>
            <w:r w:rsidR="00155AF4" w:rsidRPr="00A23740">
              <w:rPr>
                <w:rFonts w:eastAsia="Times New Roman"/>
                <w:color w:val="000000"/>
                <w:szCs w:val="24"/>
                <w:lang w:eastAsia="tr-TR"/>
              </w:rPr>
              <w:t xml:space="preserve"> bilgiler yanında aşağıdaki hususlar yer alır:</w:t>
            </w:r>
          </w:p>
          <w:p w:rsidR="00155AF4" w:rsidRPr="00A23740" w:rsidRDefault="00155AF4" w:rsidP="009431FF">
            <w:pPr>
              <w:rPr>
                <w:rFonts w:eastAsia="Times New Roman"/>
                <w:color w:val="000000"/>
                <w:szCs w:val="24"/>
                <w:lang w:eastAsia="tr-TR"/>
              </w:rPr>
            </w:pPr>
          </w:p>
          <w:p w:rsidR="00155AF4" w:rsidRPr="00A23740" w:rsidRDefault="00155AF4" w:rsidP="009431FF">
            <w:pPr>
              <w:rPr>
                <w:rStyle w:val="MaviChar"/>
              </w:rPr>
            </w:pPr>
            <w:r w:rsidRPr="00A23740">
              <w:rPr>
                <w:rFonts w:eastAsia="Times New Roman"/>
                <w:color w:val="000000"/>
                <w:szCs w:val="24"/>
                <w:lang w:eastAsia="tr-TR"/>
              </w:rPr>
              <w:t xml:space="preserve">a) Toplam borç miktarı ile takip harç ve </w:t>
            </w:r>
            <w:r w:rsidRPr="00A23740">
              <w:rPr>
                <w:rStyle w:val="MaviChar"/>
              </w:rPr>
              <w:t>giderlerinin</w:t>
            </w:r>
            <w:r w:rsidRPr="00A23740">
              <w:rPr>
                <w:rFonts w:eastAsia="Times New Roman"/>
                <w:color w:val="000000"/>
                <w:szCs w:val="24"/>
                <w:lang w:eastAsia="tr-TR"/>
              </w:rPr>
              <w:t xml:space="preserve">, tebliğden itibaren yedi gün içinde alacaklının veya </w:t>
            </w:r>
            <w:r w:rsidR="00756226" w:rsidRPr="00A23740">
              <w:rPr>
                <w:rStyle w:val="Balk1Char"/>
                <w:rFonts w:eastAsia="Calibri"/>
              </w:rPr>
              <w:t>vekilinin</w:t>
            </w:r>
            <w:r w:rsidRPr="00A23740">
              <w:rPr>
                <w:rFonts w:eastAsia="Times New Roman"/>
                <w:color w:val="000000"/>
                <w:szCs w:val="24"/>
                <w:lang w:eastAsia="tr-TR"/>
              </w:rPr>
              <w:t xml:space="preserve"> Merkezî Takip Sistemi ile ilişkilendirilmiş hesap numarasına ödenmesi gerektiği</w:t>
            </w:r>
            <w:r w:rsidRPr="00A23740">
              <w:rPr>
                <w:rStyle w:val="MaviChar"/>
              </w:rPr>
              <w:t>.</w:t>
            </w:r>
          </w:p>
          <w:p w:rsidR="00155AF4" w:rsidRPr="00A23740" w:rsidRDefault="00155AF4" w:rsidP="009431FF">
            <w:pPr>
              <w:rPr>
                <w:rStyle w:val="MaviCha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b) Yetkiye, borcun tamamına veya bir kısmına ya da alacaklının takibat icrası hakkına dair bir itirazı varsa bunun da aynı süre içinde beyan edilmesi gerektiği</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c) Sadece yetkiye itiraz hâlinde yeniden ödeme emri tebliğ edilmeksizin alacaklının talebi üzerine, yetki itirazında gösterilen veya mahkemece yetkili görülen icra </w:t>
            </w:r>
            <w:r w:rsidR="00C21C2C" w:rsidRPr="00D6648F">
              <w:rPr>
                <w:rFonts w:eastAsia="Times New Roman"/>
                <w:b/>
                <w:bCs/>
                <w:color w:val="0000FF"/>
                <w:szCs w:val="24"/>
                <w:lang w:eastAsia="tr-TR"/>
              </w:rPr>
              <w:t>ve iflas</w:t>
            </w:r>
            <w:r w:rsidR="00C21C2C" w:rsidRPr="00A23740">
              <w:rPr>
                <w:rFonts w:eastAsia="Times New Roman"/>
                <w:color w:val="000000"/>
                <w:szCs w:val="24"/>
                <w:lang w:eastAsia="tr-TR"/>
              </w:rPr>
              <w:t xml:space="preserve"> </w:t>
            </w:r>
            <w:r w:rsidRPr="00A23740">
              <w:rPr>
                <w:rFonts w:eastAsia="Times New Roman"/>
                <w:color w:val="000000"/>
                <w:szCs w:val="24"/>
                <w:lang w:eastAsia="tr-TR"/>
              </w:rPr>
              <w:t>dairesinde haciz işlemlerinin başlatılacağı</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ç) İtirazların, herhangi bir icra </w:t>
            </w:r>
            <w:r w:rsidR="00C21C2C" w:rsidRPr="00D6648F">
              <w:rPr>
                <w:rFonts w:eastAsia="Times New Roman"/>
                <w:b/>
                <w:bCs/>
                <w:color w:val="0000FF"/>
                <w:szCs w:val="24"/>
                <w:lang w:eastAsia="tr-TR"/>
              </w:rPr>
              <w:t>ve iflas</w:t>
            </w:r>
            <w:r w:rsidR="00C21C2C" w:rsidRPr="00A23740">
              <w:rPr>
                <w:rFonts w:eastAsia="Times New Roman"/>
                <w:color w:val="538135"/>
                <w:szCs w:val="24"/>
                <w:lang w:eastAsia="tr-TR"/>
              </w:rPr>
              <w:t xml:space="preserve"> </w:t>
            </w:r>
            <w:r w:rsidRPr="00A23740">
              <w:rPr>
                <w:rFonts w:eastAsia="Times New Roman"/>
                <w:color w:val="000000"/>
                <w:szCs w:val="24"/>
                <w:lang w:eastAsia="tr-TR"/>
              </w:rPr>
              <w:t>dairesi aracılığıyla veya güvenli elektronik imza kullanılarak Merkezî Takip Sistemi üzerinden yapılabileceği</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Style w:val="MaviChar"/>
              </w:rPr>
            </w:pPr>
            <w:r w:rsidRPr="00A23740">
              <w:rPr>
                <w:rFonts w:eastAsia="Times New Roman"/>
                <w:color w:val="000000"/>
                <w:szCs w:val="24"/>
                <w:lang w:eastAsia="tr-TR"/>
              </w:rPr>
              <w:t>d) Borç ödenmez veya itiraz olunmazsa yetkili</w:t>
            </w:r>
            <w:r w:rsidR="00814F15" w:rsidRPr="00A23740">
              <w:rPr>
                <w:rFonts w:eastAsia="Times New Roman"/>
                <w:color w:val="000000"/>
                <w:szCs w:val="24"/>
                <w:lang w:eastAsia="tr-TR"/>
              </w:rPr>
              <w:t xml:space="preserve"> icra</w:t>
            </w:r>
            <w:r w:rsidR="00C21C2C" w:rsidRPr="00A23740">
              <w:rPr>
                <w:rFonts w:eastAsia="Times New Roman"/>
                <w:color w:val="000000"/>
                <w:szCs w:val="24"/>
                <w:lang w:eastAsia="tr-TR"/>
              </w:rPr>
              <w:t xml:space="preserve"> </w:t>
            </w:r>
            <w:r w:rsidR="00C21C2C" w:rsidRPr="00D6648F">
              <w:rPr>
                <w:rFonts w:eastAsia="Times New Roman"/>
                <w:b/>
                <w:bCs/>
                <w:color w:val="0000FF"/>
                <w:szCs w:val="24"/>
                <w:lang w:eastAsia="tr-TR"/>
              </w:rPr>
              <w:t>ve iflas</w:t>
            </w:r>
            <w:r w:rsidR="00814F15" w:rsidRPr="00A23740">
              <w:rPr>
                <w:rFonts w:eastAsia="Times New Roman"/>
                <w:color w:val="538135"/>
                <w:szCs w:val="24"/>
                <w:lang w:eastAsia="tr-TR"/>
              </w:rPr>
              <w:t xml:space="preserve"> </w:t>
            </w:r>
            <w:r w:rsidR="00814F15" w:rsidRPr="00A23740">
              <w:rPr>
                <w:rFonts w:eastAsia="Times New Roman"/>
                <w:color w:val="000000"/>
                <w:szCs w:val="24"/>
                <w:lang w:eastAsia="tr-TR"/>
              </w:rPr>
              <w:t>dairesi aracılığıyla cebrî</w:t>
            </w:r>
            <w:r w:rsidRPr="00A23740">
              <w:rPr>
                <w:rFonts w:eastAsia="Times New Roman"/>
                <w:color w:val="000000"/>
                <w:szCs w:val="24"/>
                <w:lang w:eastAsia="tr-TR"/>
              </w:rPr>
              <w:t xml:space="preserve"> icraya devam edileceği</w:t>
            </w:r>
            <w:r w:rsidRPr="00A23740">
              <w:rPr>
                <w:rStyle w:val="MaviChar"/>
              </w:rPr>
              <w:t>.</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(2) Bu </w:t>
            </w:r>
            <w:r w:rsidRPr="00A23740">
              <w:rPr>
                <w:rStyle w:val="MaviChar"/>
              </w:rPr>
              <w:t>Ayrım</w:t>
            </w:r>
            <w:r w:rsidRPr="00A23740">
              <w:rPr>
                <w:rFonts w:eastAsia="Times New Roman"/>
                <w:color w:val="000000"/>
                <w:szCs w:val="24"/>
                <w:lang w:eastAsia="tr-TR"/>
              </w:rPr>
              <w:t xml:space="preserve"> kapsamındaki takiplerde Merkezî Takip Sistemi harcı alınır; ayrıca icraya başvurma harcı ile tahsil harcı alınmaz.</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(3) Merkezî </w:t>
            </w:r>
            <w:r w:rsidR="00756226" w:rsidRPr="00A23740">
              <w:rPr>
                <w:rFonts w:eastAsia="Times New Roman"/>
                <w:color w:val="000000"/>
                <w:szCs w:val="24"/>
                <w:lang w:eastAsia="tr-TR"/>
              </w:rPr>
              <w:t xml:space="preserve">Takip Numarası </w:t>
            </w:r>
            <w:r w:rsidRPr="00A23740">
              <w:rPr>
                <w:rFonts w:eastAsia="Times New Roman"/>
                <w:color w:val="000000"/>
                <w:szCs w:val="24"/>
                <w:lang w:eastAsia="tr-TR"/>
              </w:rPr>
              <w:t>alan ödeme emri ile tebliğ mazbatalı kapalı zarfa ilişkin bilgiler, sistem üzerinden Posta ve Telgraf Teşkilatı Anonim Şirketi</w:t>
            </w:r>
            <w:r w:rsidR="00814F15" w:rsidRPr="00A23740">
              <w:rPr>
                <w:rStyle w:val="Balk1Char"/>
                <w:rFonts w:eastAsia="Calibri"/>
              </w:rPr>
              <w:t>nin</w:t>
            </w:r>
            <w:r w:rsidRPr="00A23740">
              <w:rPr>
                <w:rFonts w:eastAsia="Times New Roman"/>
                <w:color w:val="000000"/>
                <w:szCs w:val="24"/>
                <w:lang w:eastAsia="tr-TR"/>
              </w:rPr>
              <w:t xml:space="preserve"> (PTT) </w:t>
            </w:r>
            <w:r w:rsidR="00814F15" w:rsidRPr="00A23740">
              <w:rPr>
                <w:rStyle w:val="Balk1Char"/>
                <w:rFonts w:eastAsia="Calibri"/>
              </w:rPr>
              <w:t>ilgili</w:t>
            </w:r>
            <w:r w:rsidR="00814F15" w:rsidRPr="00A23740">
              <w:rPr>
                <w:rFonts w:eastAsia="Times New Roman"/>
                <w:color w:val="000000"/>
                <w:szCs w:val="24"/>
                <w:lang w:eastAsia="tr-TR"/>
              </w:rPr>
              <w:t xml:space="preserve"> </w:t>
            </w:r>
            <w:r w:rsidRPr="00A23740">
              <w:rPr>
                <w:rFonts w:eastAsia="Times New Roman"/>
                <w:color w:val="000000"/>
                <w:szCs w:val="24"/>
                <w:lang w:eastAsia="tr-TR"/>
              </w:rPr>
              <w:t>birimine iletilir.</w:t>
            </w:r>
          </w:p>
          <w:p w:rsidR="00BC755F" w:rsidRPr="00A23740" w:rsidRDefault="00BC755F" w:rsidP="009431FF">
            <w:pPr>
              <w:pStyle w:val="KIRMIZI"/>
            </w:pPr>
          </w:p>
        </w:tc>
      </w:tr>
      <w:tr w:rsidR="00825550"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6D1B9D" w:rsidRPr="00A23740" w:rsidRDefault="006D1B9D" w:rsidP="009431FF">
            <w:pPr>
              <w:ind w:firstLine="709"/>
              <w:rPr>
                <w:b/>
                <w:bCs/>
                <w:color w:val="000000"/>
                <w:szCs w:val="24"/>
                <w:lang w:eastAsia="tr-TR"/>
              </w:rPr>
            </w:pPr>
          </w:p>
          <w:p w:rsidR="006D1B9D" w:rsidRPr="00A23740" w:rsidRDefault="00814F15" w:rsidP="009431FF">
            <w:pPr>
              <w:ind w:firstLine="709"/>
            </w:pPr>
            <w:r w:rsidRPr="00A23740">
              <w:rPr>
                <w:b/>
                <w:bCs/>
                <w:color w:val="000000"/>
                <w:szCs w:val="24"/>
                <w:lang w:eastAsia="tr-TR"/>
              </w:rPr>
              <w:t>MADDE 104</w:t>
            </w:r>
            <w:r w:rsidR="00825550" w:rsidRPr="00A23740">
              <w:rPr>
                <w:b/>
                <w:bCs/>
                <w:color w:val="000000"/>
                <w:szCs w:val="24"/>
                <w:lang w:eastAsia="tr-TR"/>
              </w:rPr>
              <w:t>-</w:t>
            </w:r>
            <w:r w:rsidR="00825550" w:rsidRPr="00A23740">
              <w:t xml:space="preserve"> Maddeyle, </w:t>
            </w:r>
            <w:r w:rsidR="006D1B9D" w:rsidRPr="00A23740">
              <w:t>ödeme emri düzenlenmektedir.</w:t>
            </w:r>
            <w:r w:rsidR="009A3519" w:rsidRPr="00A23740">
              <w:t xml:space="preserve"> </w:t>
            </w:r>
            <w:r w:rsidR="009A3519" w:rsidRPr="00A23740">
              <w:rPr>
                <w:bCs/>
                <w:color w:val="000000"/>
                <w:szCs w:val="24"/>
                <w:lang w:eastAsia="tr-TR"/>
              </w:rPr>
              <w:t>Bu madde, 7155 sayılı Kanunun 5 inci maddesine karşılık gelmektedir.</w:t>
            </w:r>
          </w:p>
          <w:p w:rsidR="006D1B9D" w:rsidRPr="00A23740" w:rsidRDefault="006D1B9D" w:rsidP="009431FF">
            <w:pPr>
              <w:ind w:firstLine="709"/>
            </w:pPr>
            <w:r w:rsidRPr="00A23740">
              <w:t xml:space="preserve">Birinci fıkrayla, </w:t>
            </w:r>
            <w:r w:rsidR="00825550" w:rsidRPr="00A23740">
              <w:t xml:space="preserve">ödeme emrinde bulunması gereken hususlar </w:t>
            </w:r>
            <w:r w:rsidRPr="00A23740">
              <w:t>ve öd</w:t>
            </w:r>
            <w:r w:rsidR="00825550" w:rsidRPr="00A23740">
              <w:t xml:space="preserve">eme emrinin tebliği üzerine borçlunun ödemeyi ya da itirazını ne şekilde yapacağı hükme bağlanmaktadır. </w:t>
            </w:r>
          </w:p>
          <w:p w:rsidR="006D1B9D" w:rsidRPr="00A23740" w:rsidRDefault="006D1B9D" w:rsidP="009431FF">
            <w:pPr>
              <w:ind w:firstLine="709"/>
            </w:pPr>
            <w:r w:rsidRPr="00A23740">
              <w:t xml:space="preserve">İkinci fıkrayla, </w:t>
            </w:r>
            <w:r w:rsidR="00825550" w:rsidRPr="00A23740">
              <w:t xml:space="preserve">bu </w:t>
            </w:r>
            <w:r w:rsidRPr="00A23740">
              <w:t>Ayrım</w:t>
            </w:r>
            <w:r w:rsidR="00825550" w:rsidRPr="00A23740">
              <w:t xml:space="preserve"> uyarınca başla</w:t>
            </w:r>
            <w:r w:rsidR="00814F15" w:rsidRPr="00A23740">
              <w:t>tılan icra takiplerinde, Merkezî</w:t>
            </w:r>
            <w:r w:rsidR="00825550" w:rsidRPr="00A23740">
              <w:t xml:space="preserve"> Takip Sistemi harcının alınması</w:t>
            </w:r>
            <w:r w:rsidR="00907224" w:rsidRPr="00A23740">
              <w:t>;</w:t>
            </w:r>
            <w:r w:rsidR="00825550" w:rsidRPr="00A23740">
              <w:t xml:space="preserve"> buna karşılık icraya başvurma harcı</w:t>
            </w:r>
            <w:r w:rsidR="00907224" w:rsidRPr="00A23740">
              <w:t>yla</w:t>
            </w:r>
            <w:r w:rsidR="00825550" w:rsidRPr="00A23740">
              <w:t xml:space="preserve"> tahsil harcının alınmaması hükme bağlanmaktadır. </w:t>
            </w:r>
            <w:r w:rsidR="002C1252" w:rsidRPr="00A23740">
              <w:t>492 sayılı Harçlar Kanununun 29/A maddesi uyarınca Merkezî Takip Sistemi harcı peşin alınacaktır.</w:t>
            </w:r>
          </w:p>
          <w:p w:rsidR="00825550" w:rsidRPr="00A23740" w:rsidRDefault="006D1B9D" w:rsidP="009431FF">
            <w:pPr>
              <w:ind w:firstLine="709"/>
              <w:rPr>
                <w:rFonts w:eastAsia="Times New Roman"/>
                <w:b/>
                <w:bCs/>
                <w:color w:val="000000"/>
                <w:szCs w:val="24"/>
                <w:lang w:eastAsia="tr-TR"/>
              </w:rPr>
            </w:pPr>
            <w:r w:rsidRPr="00A23740">
              <w:t>Üçüncü fıkrayla, Merkezî</w:t>
            </w:r>
            <w:r w:rsidR="00825550" w:rsidRPr="00A23740">
              <w:t xml:space="preserve"> Takip Numarası alan ödeme emri ile tebliğ mazbatalı kapalı zarfa ilişkin bilgilerin sistem üzerinden PTT</w:t>
            </w:r>
            <w:r w:rsidR="005F30CB" w:rsidRPr="00A23740">
              <w:t>’</w:t>
            </w:r>
            <w:r w:rsidR="005F30CB" w:rsidRPr="00D6648F">
              <w:t>nin ilgili</w:t>
            </w:r>
            <w:r w:rsidR="00825550" w:rsidRPr="00A23740">
              <w:t xml:space="preserve"> birimine ilet</w:t>
            </w:r>
            <w:r w:rsidRPr="00A23740">
              <w:t>ilmesi düzenlenmektedir.</w:t>
            </w:r>
          </w:p>
          <w:p w:rsidR="00E91409" w:rsidRPr="00A23740" w:rsidRDefault="00E91409" w:rsidP="009431FF">
            <w:pPr>
              <w:ind w:firstLine="709"/>
              <w:rPr>
                <w:rFonts w:eastAsia="Times New Roman"/>
                <w:b/>
                <w:bCs/>
                <w:color w:val="000000"/>
                <w:szCs w:val="24"/>
                <w:lang w:eastAsia="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emrinin tebliği ve borcun ödenmesi</w:t>
            </w:r>
          </w:p>
          <w:p w:rsidR="00155AF4" w:rsidRPr="00A23740" w:rsidRDefault="00155AF4" w:rsidP="009431FF">
            <w:pPr>
              <w:rPr>
                <w:rFonts w:eastAsia="Times New Roman"/>
                <w:color w:val="000000"/>
                <w:szCs w:val="24"/>
                <w:lang w:eastAsia="tr-TR"/>
              </w:rPr>
            </w:pPr>
            <w:r w:rsidRPr="00A9175D">
              <w:rPr>
                <w:rStyle w:val="KIRMIZIChar"/>
                <w:rFonts w:eastAsia="Calibri"/>
              </w:rPr>
              <w:t>MADDE 6-</w:t>
            </w:r>
            <w:r w:rsidRPr="00A23740">
              <w:rPr>
                <w:rFonts w:eastAsia="Times New Roman"/>
                <w:color w:val="000000"/>
                <w:szCs w:val="24"/>
                <w:lang w:eastAsia="tr-TR"/>
              </w:rPr>
              <w:t xml:space="preserve"> (1) Ödeme emrini sistem üzerinden alan PTT birimi, ödeme emrinin ve tebliğ mazbatalı kapalı zarfın çıktısını alır ve </w:t>
            </w:r>
            <w:r w:rsidRPr="00A23740">
              <w:rPr>
                <w:rStyle w:val="KIRMIZIChar"/>
                <w:rFonts w:eastAsia="Calibri"/>
              </w:rPr>
              <w:t>11/2/1959 tarihli ve 7201 sayılı</w:t>
            </w:r>
            <w:r w:rsidRPr="00A23740">
              <w:rPr>
                <w:rFonts w:eastAsia="Times New Roman"/>
                <w:color w:val="000000"/>
                <w:szCs w:val="24"/>
                <w:lang w:eastAsia="tr-TR"/>
              </w:rPr>
              <w:t xml:space="preserve"> Tebligat Kanunu hükümleri uyarınca borçluya tebliğ eder.</w:t>
            </w:r>
          </w:p>
          <w:p w:rsidR="00155AF4" w:rsidRDefault="00155AF4" w:rsidP="009431FF">
            <w:pPr>
              <w:rPr>
                <w:rFonts w:eastAsia="Times New Roman"/>
                <w:color w:val="000000"/>
                <w:szCs w:val="24"/>
                <w:lang w:eastAsia="tr-TR"/>
              </w:rPr>
            </w:pPr>
          </w:p>
          <w:p w:rsidR="003047A5" w:rsidRPr="00A23740" w:rsidRDefault="003047A5"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(2) Borçlu, tebligatın elektronik yolla yapılması zorunlu olan kişilerden ise zorunlu elektronik tebligata ilişkin hükümler uygulanır.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(3) Tebliğ durumunu belgeleyen mazbata, ilgili PTT birimi tarafından sisteme yüklenir ve mazbatanın aslı, alacaklı avukatının takip talebinde bildirdiği icra dairesine gönderilir. Alacaklı avukatı, buna ilişkin gideri, takibi başlatırken yatırmak zorundadır.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(4) Adresin tebligata elverişli olmadığının anlaşılması veya tebligat yapılamaması hâlinde, takibe devam etmek isteyen alacaklı avukatı, sistem üzerinden, borçlunun adres kayıt sisteminde yer alan yerleşim yeri adresine tebligat çıkarılmasını sağlar.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(5) Borçluya dördüncü fıkra uyarınca da tebligat yapılamaması veya borçlunun yerleşim yeri adresinin yurt dışında bulunduğunun anlaşılması hâlinde, alacaklı avukatının talebi üzerine, harçlar ikmal edilerek icra dairesinde takibe devam edilir. Bu durumda sistem üzerindeki takip kapatılır.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(6) Takip konusu borç, takip harç ve </w:t>
            </w:r>
            <w:r w:rsidRPr="00A23740">
              <w:rPr>
                <w:rStyle w:val="KIRMIZIChar"/>
                <w:rFonts w:eastAsia="Calibri"/>
              </w:rPr>
              <w:t>masrafları</w:t>
            </w:r>
            <w:r w:rsidRPr="00A23740">
              <w:rPr>
                <w:rFonts w:eastAsia="Times New Roman"/>
                <w:color w:val="000000"/>
                <w:szCs w:val="24"/>
                <w:lang w:eastAsia="tr-TR"/>
              </w:rPr>
              <w:t xml:space="preserve"> ile birlikte, ödeme emrinde belirtilen hesap numarasına ödendiğinde takip sona erer.</w:t>
            </w:r>
          </w:p>
          <w:p w:rsidR="00155AF4" w:rsidRPr="00A23740" w:rsidRDefault="00155AF4" w:rsidP="009431FF">
            <w:pPr>
              <w:rPr>
                <w:rFonts w:eastAsia="Times New Roman"/>
                <w:color w:val="000000"/>
                <w:szCs w:val="24"/>
                <w:lang w:eastAsia="tr-TR"/>
              </w:rPr>
            </w:pPr>
          </w:p>
          <w:p w:rsidR="00155AF4" w:rsidRPr="00A23740" w:rsidRDefault="00155AF4" w:rsidP="009431FF">
            <w:pPr>
              <w:rPr>
                <w:szCs w:val="24"/>
              </w:rPr>
            </w:pPr>
            <w:r w:rsidRPr="00A23740">
              <w:rPr>
                <w:rFonts w:eastAsia="Times New Roman"/>
                <w:color w:val="000000"/>
                <w:szCs w:val="24"/>
                <w:lang w:eastAsia="tr-TR"/>
              </w:rPr>
              <w:t>(7) Ödenen para, 30/6/1934 tarihli ve 2548 sayılı Ceza Evleriyle Mahkeme Binaları İnşası Karşılığı Olarak Alınacak Harçlar ve Mahkûmlara Ödettirilecek Yiyecek Bedelleri Hakkında Kanun uyarınca alacaklıdan alınması gereken harç miktarı ayrıldıktan sonra ilgili hesaba aktarılır.</w:t>
            </w:r>
          </w:p>
        </w:tc>
        <w:tc>
          <w:tcPr>
            <w:tcW w:w="250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emrinin tebliği ve borcun ödenmesi</w:t>
            </w:r>
          </w:p>
          <w:p w:rsidR="00155AF4" w:rsidRPr="00A23740" w:rsidRDefault="00814F15" w:rsidP="009431FF">
            <w:pPr>
              <w:rPr>
                <w:rFonts w:eastAsia="Times New Roman"/>
                <w:color w:val="000000"/>
                <w:szCs w:val="24"/>
                <w:lang w:eastAsia="tr-TR"/>
              </w:rPr>
            </w:pPr>
            <w:r w:rsidRPr="00A23740">
              <w:rPr>
                <w:rStyle w:val="Balk1Char"/>
                <w:rFonts w:eastAsia="Calibri"/>
              </w:rPr>
              <w:t>MADDE 105</w:t>
            </w:r>
            <w:r w:rsidR="00155AF4" w:rsidRPr="00A23740">
              <w:rPr>
                <w:rStyle w:val="Balk1Char"/>
                <w:rFonts w:eastAsia="Calibri"/>
              </w:rPr>
              <w:t>-</w:t>
            </w:r>
            <w:r w:rsidR="00155AF4" w:rsidRPr="00A23740">
              <w:rPr>
                <w:rFonts w:eastAsia="Times New Roman"/>
                <w:color w:val="000000"/>
                <w:szCs w:val="24"/>
                <w:lang w:eastAsia="tr-TR"/>
              </w:rPr>
              <w:t> (1) Ödeme emrini sistem üzerinden alan PTT birimi, ödeme emrinin ve tebliğ mazbatalı kapalı zarfın çıktısını alır ve Tebligat Kanunu hükümleri uyarınca borçluya tebliğ eder.</w:t>
            </w:r>
          </w:p>
          <w:p w:rsidR="00155AF4" w:rsidRPr="00A23740" w:rsidRDefault="00155AF4" w:rsidP="009431FF">
            <w:pPr>
              <w:rPr>
                <w:rFonts w:eastAsia="Times New Roman"/>
                <w:color w:val="000000"/>
                <w:szCs w:val="24"/>
                <w:lang w:eastAsia="tr-TR"/>
              </w:rPr>
            </w:pPr>
          </w:p>
          <w:p w:rsidR="009230C2" w:rsidRPr="00A23740" w:rsidRDefault="009230C2" w:rsidP="009431FF">
            <w:pPr>
              <w:rPr>
                <w:rFonts w:eastAsia="Times New Roman"/>
                <w:color w:val="000000"/>
                <w:szCs w:val="24"/>
                <w:lang w:eastAsia="tr-TR"/>
              </w:rPr>
            </w:pPr>
            <w:r w:rsidRPr="00A23740">
              <w:rPr>
                <w:rFonts w:eastAsia="Times New Roman"/>
                <w:color w:val="000000"/>
                <w:szCs w:val="24"/>
                <w:lang w:eastAsia="tr-TR"/>
              </w:rPr>
              <w:t xml:space="preserve">(2) Borçlu, tebligatın elektronik yolla yapılması </w:t>
            </w:r>
            <w:r w:rsidR="00814F15" w:rsidRPr="00A23740">
              <w:rPr>
                <w:rStyle w:val="Balk1Char"/>
                <w:rFonts w:eastAsia="Calibri"/>
              </w:rPr>
              <w:t>gerekli</w:t>
            </w:r>
            <w:r w:rsidRPr="00A23740">
              <w:rPr>
                <w:rFonts w:eastAsia="Times New Roman"/>
                <w:color w:val="000000"/>
                <w:szCs w:val="24"/>
                <w:lang w:eastAsia="tr-TR"/>
              </w:rPr>
              <w:t xml:space="preserve"> olan kişilerden ise zorunlu elektronik tebligata ilişkin hükümler uygulanır.</w:t>
            </w:r>
          </w:p>
          <w:p w:rsidR="009230C2" w:rsidRPr="00A23740" w:rsidRDefault="009230C2"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(3) Tebliğ durumunu belgeleyen mazbata, ilgili PTT birimi tarafından sisteme yüklenir ve mazbatanın aslı, alacaklı </w:t>
            </w:r>
            <w:r w:rsidR="00814F15" w:rsidRPr="00A23740">
              <w:rPr>
                <w:rStyle w:val="Balk1Char"/>
                <w:rFonts w:eastAsia="Calibri"/>
              </w:rPr>
              <w:t>vekilinin</w:t>
            </w:r>
            <w:r w:rsidR="00814F15" w:rsidRPr="00A23740">
              <w:rPr>
                <w:rFonts w:eastAsia="Times New Roman"/>
                <w:color w:val="000000"/>
                <w:szCs w:val="24"/>
                <w:lang w:eastAsia="tr-TR"/>
              </w:rPr>
              <w:t xml:space="preserve"> </w:t>
            </w:r>
            <w:r w:rsidRPr="00A23740">
              <w:rPr>
                <w:rFonts w:eastAsia="Times New Roman"/>
                <w:color w:val="000000"/>
                <w:szCs w:val="24"/>
                <w:lang w:eastAsia="tr-TR"/>
              </w:rPr>
              <w:t xml:space="preserve">takip talebinde bildirdiği icra </w:t>
            </w:r>
            <w:r w:rsidR="00C21C2C" w:rsidRPr="00D6648F">
              <w:rPr>
                <w:rFonts w:eastAsia="Times New Roman"/>
                <w:b/>
                <w:bCs/>
                <w:color w:val="0000FF"/>
                <w:szCs w:val="24"/>
                <w:lang w:eastAsia="tr-TR"/>
              </w:rPr>
              <w:t>ve iflas</w:t>
            </w:r>
            <w:r w:rsidR="00C21C2C" w:rsidRPr="00A23740">
              <w:rPr>
                <w:rFonts w:eastAsia="Times New Roman"/>
                <w:color w:val="538135"/>
                <w:szCs w:val="24"/>
                <w:lang w:eastAsia="tr-TR"/>
              </w:rPr>
              <w:t xml:space="preserve"> </w:t>
            </w:r>
            <w:r w:rsidRPr="00A23740">
              <w:rPr>
                <w:rFonts w:eastAsia="Times New Roman"/>
                <w:color w:val="000000"/>
                <w:szCs w:val="24"/>
                <w:lang w:eastAsia="tr-TR"/>
              </w:rPr>
              <w:t>dairesine gönderilir. Alacaklı</w:t>
            </w:r>
            <w:r w:rsidR="00814F15" w:rsidRPr="00A23740">
              <w:rPr>
                <w:rFonts w:eastAsia="Times New Roman"/>
                <w:color w:val="000000"/>
                <w:szCs w:val="24"/>
                <w:lang w:eastAsia="tr-TR"/>
              </w:rPr>
              <w:t xml:space="preserve"> </w:t>
            </w:r>
            <w:r w:rsidR="00814F15" w:rsidRPr="00A23740">
              <w:rPr>
                <w:rStyle w:val="Balk1Char"/>
                <w:rFonts w:eastAsia="Calibri"/>
              </w:rPr>
              <w:t>vekili</w:t>
            </w:r>
            <w:r w:rsidRPr="00A23740">
              <w:rPr>
                <w:rFonts w:eastAsia="Times New Roman"/>
                <w:color w:val="000000"/>
                <w:szCs w:val="24"/>
                <w:lang w:eastAsia="tr-TR"/>
              </w:rPr>
              <w:t xml:space="preserve"> buna ilişkin gideri, takibi başlatırken yatırmak zorundadır.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(4) Adresin tebligata elverişli olmadığının anlaşılması veya tebligat yapılamaması hâlinde, takibe devam etmek isteyen alacaklı</w:t>
            </w:r>
            <w:r w:rsidR="00814F15" w:rsidRPr="00A23740">
              <w:rPr>
                <w:rFonts w:eastAsia="Times New Roman"/>
                <w:color w:val="000000"/>
                <w:szCs w:val="24"/>
                <w:lang w:eastAsia="tr-TR"/>
              </w:rPr>
              <w:t xml:space="preserve"> </w:t>
            </w:r>
            <w:r w:rsidR="00814F15" w:rsidRPr="00A23740">
              <w:rPr>
                <w:rStyle w:val="Balk1Char"/>
                <w:rFonts w:eastAsia="Calibri"/>
              </w:rPr>
              <w:t>vekili,</w:t>
            </w:r>
            <w:r w:rsidR="00814F15" w:rsidRPr="00A23740">
              <w:rPr>
                <w:rFonts w:eastAsia="Times New Roman"/>
                <w:color w:val="000000"/>
                <w:szCs w:val="24"/>
                <w:lang w:eastAsia="tr-TR"/>
              </w:rPr>
              <w:t xml:space="preserve"> </w:t>
            </w:r>
            <w:r w:rsidRPr="00A23740">
              <w:rPr>
                <w:rFonts w:eastAsia="Times New Roman"/>
                <w:color w:val="000000"/>
                <w:szCs w:val="24"/>
                <w:lang w:eastAsia="tr-TR"/>
              </w:rPr>
              <w:t xml:space="preserve"> sistem üzerinden, borçlunun adres kayıt sisteminde yer alan yerleşim yeri adresine tebligat çıkarılmasını sağlar.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(5) Borçluya dördüncü fıkra uyarınca da tebligat yapılamaması veya borçlunun yerleşim yeri adresinin yurt dışında bulunduğunun anlaşılması hâlinde, alacaklı </w:t>
            </w:r>
            <w:r w:rsidR="00814F15" w:rsidRPr="00A23740">
              <w:rPr>
                <w:rStyle w:val="Balk1Char"/>
                <w:rFonts w:eastAsia="Calibri"/>
              </w:rPr>
              <w:t>vekilinin</w:t>
            </w:r>
            <w:r w:rsidR="00814F15" w:rsidRPr="00A23740">
              <w:rPr>
                <w:rFonts w:eastAsia="Times New Roman"/>
                <w:color w:val="000000"/>
                <w:szCs w:val="24"/>
                <w:lang w:eastAsia="tr-TR"/>
              </w:rPr>
              <w:t xml:space="preserve"> </w:t>
            </w:r>
            <w:r w:rsidRPr="00A23740">
              <w:rPr>
                <w:rFonts w:eastAsia="Times New Roman"/>
                <w:color w:val="000000"/>
                <w:szCs w:val="24"/>
                <w:lang w:eastAsia="tr-TR"/>
              </w:rPr>
              <w:t xml:space="preserve">talebi üzerine, harçlar ikmal edilerek icra </w:t>
            </w:r>
            <w:r w:rsidR="00C21C2C" w:rsidRPr="00D6648F">
              <w:rPr>
                <w:rFonts w:eastAsia="Times New Roman"/>
                <w:b/>
                <w:bCs/>
                <w:color w:val="0000FF"/>
                <w:szCs w:val="24"/>
                <w:lang w:eastAsia="tr-TR"/>
              </w:rPr>
              <w:t>ve iflas</w:t>
            </w:r>
            <w:r w:rsidR="00C21C2C" w:rsidRPr="00A23740">
              <w:rPr>
                <w:rFonts w:eastAsia="Times New Roman"/>
                <w:color w:val="538135"/>
                <w:szCs w:val="24"/>
                <w:lang w:eastAsia="tr-TR"/>
              </w:rPr>
              <w:t xml:space="preserve"> </w:t>
            </w:r>
            <w:r w:rsidRPr="00A23740">
              <w:rPr>
                <w:rFonts w:eastAsia="Times New Roman"/>
                <w:color w:val="000000"/>
                <w:szCs w:val="24"/>
                <w:lang w:eastAsia="tr-TR"/>
              </w:rPr>
              <w:t>dairesinde takibe devam edilir. Bu durumda sistem üzerindeki takip kapatılır.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(6) Takip konusu borç, takip harç ve </w:t>
            </w:r>
            <w:r w:rsidRPr="00A23740">
              <w:rPr>
                <w:rStyle w:val="MaviChar"/>
              </w:rPr>
              <w:t>giderleri</w:t>
            </w:r>
            <w:r w:rsidRPr="00A23740">
              <w:rPr>
                <w:rFonts w:eastAsia="Times New Roman"/>
                <w:color w:val="000000"/>
                <w:szCs w:val="24"/>
                <w:lang w:eastAsia="tr-TR"/>
              </w:rPr>
              <w:t xml:space="preserve"> ile birlikte, ödeme emrinde belirtilen hesap numarasına ödendiğinde takip sona erer.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(7) Ödenen para, 30/6/1934 tarihli ve 2548 sayılı Ceza Evleriyle Mahkeme Binaları İnşası Karşılığı Olarak Alınacak Harçlar ve Mahkûmlara Ödettirilecek Yiyecek Bedelleri Hakkında Kanun uyarınca alacaklıdan alınması gereken harç miktarı ayrıldıktan sonra ilgili hesaba aktarılır.</w:t>
            </w:r>
          </w:p>
          <w:p w:rsidR="002F2983" w:rsidRPr="00A23740" w:rsidRDefault="002F2983" w:rsidP="009431FF"/>
        </w:tc>
      </w:tr>
      <w:tr w:rsidR="00825550"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2F2983" w:rsidRPr="00A23740" w:rsidRDefault="002F2983" w:rsidP="009431FF">
            <w:pPr>
              <w:ind w:firstLine="709"/>
              <w:rPr>
                <w:b/>
                <w:bCs/>
                <w:color w:val="000000"/>
                <w:szCs w:val="24"/>
                <w:lang w:eastAsia="tr-TR"/>
              </w:rPr>
            </w:pPr>
          </w:p>
          <w:p w:rsidR="002F2983" w:rsidRPr="00A23740" w:rsidRDefault="00814F15" w:rsidP="009431FF">
            <w:pPr>
              <w:ind w:firstLine="709"/>
            </w:pPr>
            <w:r w:rsidRPr="00A23740">
              <w:rPr>
                <w:b/>
                <w:bCs/>
                <w:color w:val="000000"/>
                <w:szCs w:val="24"/>
                <w:lang w:eastAsia="tr-TR"/>
              </w:rPr>
              <w:t>MADDE 105</w:t>
            </w:r>
            <w:r w:rsidR="00825550" w:rsidRPr="00A23740">
              <w:rPr>
                <w:b/>
                <w:bCs/>
                <w:color w:val="000000"/>
                <w:szCs w:val="24"/>
                <w:lang w:eastAsia="tr-TR"/>
              </w:rPr>
              <w:t xml:space="preserve">- </w:t>
            </w:r>
            <w:r w:rsidR="00825550" w:rsidRPr="00A23740">
              <w:t>Maddeyle, ödeme emrinin tebliği ve borcun ödenmesi</w:t>
            </w:r>
            <w:r w:rsidR="002C1252" w:rsidRPr="00A23740">
              <w:t>ne ilişkin esaslar</w:t>
            </w:r>
            <w:r w:rsidR="00825550" w:rsidRPr="00A23740">
              <w:t xml:space="preserve"> düzenlenmektedir. </w:t>
            </w:r>
            <w:r w:rsidR="009A3519" w:rsidRPr="00A23740">
              <w:rPr>
                <w:bCs/>
                <w:color w:val="000000"/>
                <w:szCs w:val="24"/>
                <w:lang w:eastAsia="tr-TR"/>
              </w:rPr>
              <w:t>Bu madde, 7155 sayılı Kanunun 6 ncı maddesine karşılık gelmektedir.</w:t>
            </w:r>
          </w:p>
          <w:p w:rsidR="002F2983" w:rsidRPr="00A23740" w:rsidRDefault="002F2983" w:rsidP="009431FF">
            <w:pPr>
              <w:ind w:firstLine="709"/>
              <w:rPr>
                <w:rFonts w:eastAsia="Times New Roman"/>
                <w:color w:val="000000"/>
                <w:szCs w:val="24"/>
                <w:lang w:eastAsia="tr-TR"/>
              </w:rPr>
            </w:pPr>
            <w:r w:rsidRPr="00A23740">
              <w:t xml:space="preserve">Birinci fıkrayla, </w:t>
            </w:r>
            <w:r w:rsidRPr="00A23740">
              <w:rPr>
                <w:rFonts w:eastAsia="Times New Roman"/>
                <w:color w:val="000000"/>
                <w:szCs w:val="24"/>
                <w:lang w:eastAsia="tr-TR"/>
              </w:rPr>
              <w:t xml:space="preserve">ödeme emrini sistem üzerinden alan PTT biriminin, ödeme emrinin ve tebliğ mazbatalı kapalı zarfın çıktısını alıp Tebligat Kanunu hükümleri uyarınca borçluya tebliğ edeceği hükme bağlanmaktadır. </w:t>
            </w:r>
          </w:p>
          <w:p w:rsidR="00B74895" w:rsidRPr="00A23740" w:rsidRDefault="002F2983" w:rsidP="009431FF">
            <w:pPr>
              <w:ind w:firstLine="709"/>
              <w:rPr>
                <w:rFonts w:eastAsia="Times New Roman"/>
                <w:color w:val="000000"/>
                <w:szCs w:val="24"/>
                <w:lang w:eastAsia="tr-TR"/>
              </w:rPr>
            </w:pPr>
            <w:r w:rsidRPr="00A23740">
              <w:rPr>
                <w:rFonts w:eastAsia="Times New Roman"/>
                <w:color w:val="000000"/>
                <w:szCs w:val="24"/>
                <w:lang w:eastAsia="tr-TR"/>
              </w:rPr>
              <w:t>İkinci fıkrayla, borçlunun tebligatın elektronik yolla yapılması zorunlu olan kişilerden olması</w:t>
            </w:r>
            <w:r w:rsidR="009230C2" w:rsidRPr="00A23740">
              <w:rPr>
                <w:rFonts w:eastAsia="Times New Roman"/>
                <w:color w:val="000000"/>
                <w:szCs w:val="24"/>
                <w:lang w:eastAsia="tr-TR"/>
              </w:rPr>
              <w:t xml:space="preserve"> h</w:t>
            </w:r>
            <w:r w:rsidR="00BC755F" w:rsidRPr="00A23740">
              <w:rPr>
                <w:rFonts w:eastAsia="Times New Roman"/>
                <w:color w:val="000000"/>
                <w:szCs w:val="24"/>
                <w:lang w:eastAsia="tr-TR"/>
              </w:rPr>
              <w:t>â</w:t>
            </w:r>
            <w:r w:rsidR="009230C2" w:rsidRPr="00A23740">
              <w:rPr>
                <w:rFonts w:eastAsia="Times New Roman"/>
                <w:color w:val="000000"/>
                <w:szCs w:val="24"/>
                <w:lang w:eastAsia="tr-TR"/>
              </w:rPr>
              <w:t>linde Tebligat Kanununun 7/a maddesi uyarınca ödeme emrinin tebliğinin elektronik yolla yapılması gerektiği düzenlenmektedir.</w:t>
            </w:r>
            <w:r w:rsidR="00B74895" w:rsidRPr="00A23740">
              <w:rPr>
                <w:rFonts w:eastAsia="Times New Roman"/>
                <w:color w:val="000000"/>
                <w:szCs w:val="24"/>
                <w:lang w:eastAsia="tr-TR"/>
              </w:rPr>
              <w:t xml:space="preserve"> Buna göre </w:t>
            </w:r>
            <w:r w:rsidR="00B74895" w:rsidRPr="00A23740">
              <w:t>zorunlu elektronik tebligata tabi olanlar bakımından tebligat daha kolay ve hızlı bir şekilde elektronik ortamda yapılacaktır.</w:t>
            </w:r>
          </w:p>
          <w:p w:rsidR="00D673F1" w:rsidRPr="00A23740" w:rsidRDefault="009230C2" w:rsidP="009431FF">
            <w:pPr>
              <w:ind w:firstLine="709"/>
              <w:rPr>
                <w:rFonts w:eastAsia="Times New Roman"/>
                <w:color w:val="000000"/>
                <w:szCs w:val="24"/>
                <w:lang w:eastAsia="tr-TR"/>
              </w:rPr>
            </w:pPr>
            <w:r w:rsidRPr="00A23740">
              <w:t xml:space="preserve">Üçüncü fıkrayla, </w:t>
            </w:r>
            <w:r w:rsidRPr="00A23740">
              <w:rPr>
                <w:rFonts w:eastAsia="Times New Roman"/>
                <w:color w:val="000000"/>
                <w:szCs w:val="24"/>
                <w:lang w:eastAsia="tr-TR"/>
              </w:rPr>
              <w:t>tebliğ durumunu belg</w:t>
            </w:r>
            <w:r w:rsidR="00D673F1" w:rsidRPr="00A23740">
              <w:rPr>
                <w:rFonts w:eastAsia="Times New Roman"/>
                <w:color w:val="000000"/>
                <w:szCs w:val="24"/>
                <w:lang w:eastAsia="tr-TR"/>
              </w:rPr>
              <w:t xml:space="preserve">eleyen mazbatanın </w:t>
            </w:r>
            <w:r w:rsidRPr="00A23740">
              <w:rPr>
                <w:rFonts w:eastAsia="Times New Roman"/>
                <w:color w:val="000000"/>
                <w:szCs w:val="24"/>
                <w:lang w:eastAsia="tr-TR"/>
              </w:rPr>
              <w:t>ilgili PTT birimi tarafından sisteme yüklen</w:t>
            </w:r>
            <w:r w:rsidR="00B26965" w:rsidRPr="00A23740">
              <w:rPr>
                <w:rFonts w:eastAsia="Times New Roman"/>
                <w:color w:val="000000"/>
                <w:szCs w:val="24"/>
                <w:lang w:eastAsia="tr-TR"/>
              </w:rPr>
              <w:t>e</w:t>
            </w:r>
            <w:r w:rsidRPr="00A23740">
              <w:rPr>
                <w:rFonts w:eastAsia="Times New Roman"/>
                <w:color w:val="000000"/>
                <w:szCs w:val="24"/>
                <w:lang w:eastAsia="tr-TR"/>
              </w:rPr>
              <w:t>ceği</w:t>
            </w:r>
            <w:r w:rsidR="00D673F1" w:rsidRPr="00A23740">
              <w:rPr>
                <w:rFonts w:eastAsia="Times New Roman"/>
                <w:color w:val="000000"/>
                <w:szCs w:val="24"/>
                <w:lang w:eastAsia="tr-TR"/>
              </w:rPr>
              <w:t xml:space="preserve"> ve </w:t>
            </w:r>
            <w:r w:rsidRPr="00A23740">
              <w:rPr>
                <w:rFonts w:eastAsia="Times New Roman"/>
                <w:color w:val="000000"/>
                <w:szCs w:val="24"/>
                <w:lang w:eastAsia="tr-TR"/>
              </w:rPr>
              <w:t xml:space="preserve">aslının, alacaklı </w:t>
            </w:r>
            <w:r w:rsidR="00814F15" w:rsidRPr="00D6648F">
              <w:rPr>
                <w:rFonts w:eastAsia="Times New Roman"/>
                <w:color w:val="000000"/>
                <w:szCs w:val="24"/>
                <w:lang w:eastAsia="tr-TR"/>
              </w:rPr>
              <w:t>vekilinin</w:t>
            </w:r>
            <w:r w:rsidR="00814F15" w:rsidRPr="00A23740">
              <w:rPr>
                <w:rFonts w:eastAsia="Times New Roman"/>
                <w:color w:val="000000"/>
                <w:szCs w:val="24"/>
                <w:lang w:eastAsia="tr-TR"/>
              </w:rPr>
              <w:t xml:space="preserve"> </w:t>
            </w:r>
            <w:r w:rsidRPr="00A23740">
              <w:rPr>
                <w:rFonts w:eastAsia="Times New Roman"/>
                <w:color w:val="000000"/>
                <w:szCs w:val="24"/>
                <w:lang w:eastAsia="tr-TR"/>
              </w:rPr>
              <w:t>takip talebinde bildirdi</w:t>
            </w:r>
            <w:r w:rsidR="00B26965" w:rsidRPr="00A23740">
              <w:rPr>
                <w:rFonts w:eastAsia="Times New Roman"/>
                <w:color w:val="000000"/>
                <w:szCs w:val="24"/>
                <w:lang w:eastAsia="tr-TR"/>
              </w:rPr>
              <w:t xml:space="preserve">ği icra </w:t>
            </w:r>
            <w:r w:rsidR="001647D1" w:rsidRPr="00D6648F">
              <w:rPr>
                <w:rFonts w:eastAsia="Times New Roman"/>
                <w:color w:val="000000"/>
                <w:szCs w:val="24"/>
                <w:lang w:eastAsia="tr-TR"/>
              </w:rPr>
              <w:t xml:space="preserve">ve iflas </w:t>
            </w:r>
            <w:r w:rsidR="00B26965" w:rsidRPr="00A23740">
              <w:rPr>
                <w:rFonts w:eastAsia="Times New Roman"/>
                <w:color w:val="000000"/>
                <w:szCs w:val="24"/>
                <w:lang w:eastAsia="tr-TR"/>
              </w:rPr>
              <w:t xml:space="preserve">dairesine gönderileceği ve </w:t>
            </w:r>
            <w:r w:rsidRPr="00A23740">
              <w:rPr>
                <w:rFonts w:eastAsia="Times New Roman"/>
                <w:color w:val="000000"/>
                <w:szCs w:val="24"/>
                <w:lang w:eastAsia="tr-TR"/>
              </w:rPr>
              <w:t>buna ilişkin gideri</w:t>
            </w:r>
            <w:r w:rsidR="00B26965" w:rsidRPr="00A23740">
              <w:rPr>
                <w:rFonts w:eastAsia="Times New Roman"/>
                <w:color w:val="000000"/>
                <w:szCs w:val="24"/>
                <w:lang w:eastAsia="tr-TR"/>
              </w:rPr>
              <w:t>n</w:t>
            </w:r>
            <w:r w:rsidRPr="00A23740">
              <w:rPr>
                <w:rFonts w:eastAsia="Times New Roman"/>
                <w:color w:val="000000"/>
                <w:szCs w:val="24"/>
                <w:lang w:eastAsia="tr-TR"/>
              </w:rPr>
              <w:t>,</w:t>
            </w:r>
            <w:r w:rsidR="00D673F1" w:rsidRPr="00A23740">
              <w:rPr>
                <w:rFonts w:eastAsia="Times New Roman"/>
                <w:color w:val="000000"/>
                <w:szCs w:val="24"/>
                <w:lang w:eastAsia="tr-TR"/>
              </w:rPr>
              <w:t xml:space="preserve"> takip</w:t>
            </w:r>
            <w:r w:rsidRPr="00A23740">
              <w:rPr>
                <w:rFonts w:eastAsia="Times New Roman"/>
                <w:color w:val="000000"/>
                <w:szCs w:val="24"/>
                <w:lang w:eastAsia="tr-TR"/>
              </w:rPr>
              <w:t xml:space="preserve"> başlatı</w:t>
            </w:r>
            <w:r w:rsidR="00D673F1" w:rsidRPr="00A23740">
              <w:rPr>
                <w:rFonts w:eastAsia="Times New Roman"/>
                <w:color w:val="000000"/>
                <w:szCs w:val="24"/>
                <w:lang w:eastAsia="tr-TR"/>
              </w:rPr>
              <w:t>lı</w:t>
            </w:r>
            <w:r w:rsidRPr="00A23740">
              <w:rPr>
                <w:rFonts w:eastAsia="Times New Roman"/>
                <w:color w:val="000000"/>
                <w:szCs w:val="24"/>
                <w:lang w:eastAsia="tr-TR"/>
              </w:rPr>
              <w:t>rken</w:t>
            </w:r>
            <w:r w:rsidR="00D673F1" w:rsidRPr="00A23740">
              <w:rPr>
                <w:rFonts w:eastAsia="Times New Roman"/>
                <w:color w:val="000000"/>
                <w:szCs w:val="24"/>
                <w:lang w:eastAsia="tr-TR"/>
              </w:rPr>
              <w:t xml:space="preserve"> alacaklı </w:t>
            </w:r>
            <w:r w:rsidR="00814F15" w:rsidRPr="00D6648F">
              <w:rPr>
                <w:rFonts w:eastAsia="Times New Roman"/>
                <w:color w:val="000000"/>
                <w:szCs w:val="24"/>
                <w:lang w:eastAsia="tr-TR"/>
              </w:rPr>
              <w:t>vekili</w:t>
            </w:r>
            <w:r w:rsidR="00814F15" w:rsidRPr="00A23740">
              <w:rPr>
                <w:rFonts w:eastAsia="Times New Roman"/>
                <w:color w:val="000000"/>
                <w:szCs w:val="24"/>
                <w:lang w:eastAsia="tr-TR"/>
              </w:rPr>
              <w:t xml:space="preserve"> </w:t>
            </w:r>
            <w:r w:rsidR="00D673F1" w:rsidRPr="00A23740">
              <w:rPr>
                <w:rFonts w:eastAsia="Times New Roman"/>
                <w:color w:val="000000"/>
                <w:szCs w:val="24"/>
                <w:lang w:eastAsia="tr-TR"/>
              </w:rPr>
              <w:t>tarafından yatırılması gerektiği hükme bağlanmaktadır.</w:t>
            </w:r>
          </w:p>
          <w:p w:rsidR="00D673F1" w:rsidRPr="00A23740" w:rsidRDefault="00D673F1" w:rsidP="009431FF">
            <w:pPr>
              <w:ind w:firstLine="709"/>
              <w:rPr>
                <w:rFonts w:eastAsia="Times New Roman"/>
                <w:color w:val="000000"/>
                <w:szCs w:val="24"/>
                <w:lang w:eastAsia="tr-TR"/>
              </w:rPr>
            </w:pPr>
            <w:r w:rsidRPr="00A23740">
              <w:t>Dördüncü fıkrayla,</w:t>
            </w:r>
            <w:r w:rsidRPr="00A23740">
              <w:rPr>
                <w:rFonts w:eastAsia="Times New Roman"/>
                <w:color w:val="000000"/>
                <w:szCs w:val="24"/>
                <w:lang w:eastAsia="tr-TR"/>
              </w:rPr>
              <w:t xml:space="preserve"> ödeme emrinin tebliğe çıkarıldığı adresin tebligata elverişli olmadığının anlaşılması veya bu adrese tebligat yapılamaması hâlinde</w:t>
            </w:r>
            <w:r w:rsidR="005865AE" w:rsidRPr="00A23740">
              <w:rPr>
                <w:rFonts w:eastAsia="Times New Roman"/>
                <w:color w:val="000000"/>
                <w:szCs w:val="24"/>
                <w:lang w:eastAsia="tr-TR"/>
              </w:rPr>
              <w:t>,</w:t>
            </w:r>
            <w:r w:rsidRPr="00A23740">
              <w:rPr>
                <w:rFonts w:eastAsia="Times New Roman"/>
                <w:color w:val="000000"/>
                <w:szCs w:val="24"/>
                <w:lang w:eastAsia="tr-TR"/>
              </w:rPr>
              <w:t xml:space="preserve"> takibe devam etmek isteyen alacaklı </w:t>
            </w:r>
            <w:r w:rsidR="00814F15" w:rsidRPr="00D6648F">
              <w:rPr>
                <w:rFonts w:eastAsia="Times New Roman"/>
                <w:color w:val="000000"/>
                <w:szCs w:val="24"/>
                <w:lang w:eastAsia="tr-TR"/>
              </w:rPr>
              <w:t>vekilinin,</w:t>
            </w:r>
            <w:r w:rsidR="00814F15" w:rsidRPr="00A23740">
              <w:rPr>
                <w:rFonts w:eastAsia="Times New Roman"/>
                <w:color w:val="000000"/>
                <w:szCs w:val="24"/>
                <w:lang w:eastAsia="tr-TR"/>
              </w:rPr>
              <w:t xml:space="preserve"> </w:t>
            </w:r>
            <w:r w:rsidRPr="00A23740">
              <w:rPr>
                <w:rFonts w:eastAsia="Times New Roman"/>
                <w:color w:val="000000"/>
                <w:szCs w:val="24"/>
                <w:lang w:eastAsia="tr-TR"/>
              </w:rPr>
              <w:t>sistem üzerinden borçlunun adres kayıt sisteminde yer alan yerleşim yeri adresine tebligat çıkarılmasını sağlayacağı düzenlenmektedir.</w:t>
            </w:r>
          </w:p>
          <w:p w:rsidR="00B74895" w:rsidRPr="00A23740" w:rsidRDefault="00D673F1" w:rsidP="009431FF">
            <w:pPr>
              <w:ind w:firstLine="709"/>
              <w:rPr>
                <w:rFonts w:eastAsia="Times New Roman"/>
                <w:color w:val="000000"/>
                <w:szCs w:val="24"/>
                <w:lang w:eastAsia="tr-TR"/>
              </w:rPr>
            </w:pPr>
            <w:r w:rsidRPr="00A23740">
              <w:rPr>
                <w:rFonts w:eastAsia="Times New Roman"/>
                <w:color w:val="000000"/>
                <w:szCs w:val="24"/>
                <w:lang w:eastAsia="tr-TR"/>
              </w:rPr>
              <w:t xml:space="preserve">Beşinci fıkrayla, </w:t>
            </w:r>
            <w:r w:rsidR="00810FA5" w:rsidRPr="00A23740">
              <w:rPr>
                <w:rFonts w:eastAsia="Times New Roman"/>
                <w:color w:val="000000"/>
                <w:szCs w:val="24"/>
                <w:lang w:eastAsia="tr-TR"/>
              </w:rPr>
              <w:t xml:space="preserve">borçluya dördüncü fıkra uyarınca </w:t>
            </w:r>
            <w:r w:rsidRPr="00A23740">
              <w:rPr>
                <w:rFonts w:eastAsia="Times New Roman"/>
                <w:color w:val="000000"/>
                <w:szCs w:val="24"/>
                <w:lang w:eastAsia="tr-TR"/>
              </w:rPr>
              <w:t xml:space="preserve">tebligat yapılamaması veya borçlunun yerleşim yeri adresinin yurt dışında bulunduğunun anlaşılması hâlinde alacaklı </w:t>
            </w:r>
            <w:r w:rsidR="00814F15" w:rsidRPr="00D6648F">
              <w:rPr>
                <w:rFonts w:eastAsia="Times New Roman"/>
                <w:color w:val="000000"/>
                <w:szCs w:val="24"/>
                <w:lang w:eastAsia="tr-TR"/>
              </w:rPr>
              <w:t>vekilinin</w:t>
            </w:r>
            <w:r w:rsidR="00814F15" w:rsidRPr="00A23740">
              <w:rPr>
                <w:rFonts w:eastAsia="Times New Roman"/>
                <w:color w:val="000000"/>
                <w:szCs w:val="24"/>
                <w:lang w:eastAsia="tr-TR"/>
              </w:rPr>
              <w:t xml:space="preserve"> </w:t>
            </w:r>
            <w:r w:rsidRPr="00A23740">
              <w:rPr>
                <w:rFonts w:eastAsia="Times New Roman"/>
                <w:color w:val="000000"/>
                <w:szCs w:val="24"/>
                <w:lang w:eastAsia="tr-TR"/>
              </w:rPr>
              <w:t xml:space="preserve">talebi üzerine, </w:t>
            </w:r>
            <w:r w:rsidR="00E67764" w:rsidRPr="00A23740">
              <w:rPr>
                <w:rFonts w:eastAsia="Times New Roman"/>
                <w:color w:val="000000"/>
                <w:szCs w:val="24"/>
                <w:lang w:eastAsia="tr-TR"/>
              </w:rPr>
              <w:t xml:space="preserve">gerekli harçlar </w:t>
            </w:r>
            <w:r w:rsidRPr="00A23740">
              <w:rPr>
                <w:rFonts w:eastAsia="Times New Roman"/>
                <w:color w:val="000000"/>
                <w:szCs w:val="24"/>
                <w:lang w:eastAsia="tr-TR"/>
              </w:rPr>
              <w:t>ikmal edilerek icr</w:t>
            </w:r>
            <w:r w:rsidR="00810FA5" w:rsidRPr="00A23740">
              <w:rPr>
                <w:rFonts w:eastAsia="Times New Roman"/>
                <w:color w:val="000000"/>
                <w:szCs w:val="24"/>
                <w:lang w:eastAsia="tr-TR"/>
              </w:rPr>
              <w:t xml:space="preserve">a </w:t>
            </w:r>
            <w:r w:rsidR="005F30CB" w:rsidRPr="00D6648F">
              <w:rPr>
                <w:rFonts w:eastAsia="Times New Roman"/>
                <w:color w:val="000000"/>
                <w:szCs w:val="24"/>
                <w:lang w:eastAsia="tr-TR"/>
              </w:rPr>
              <w:t>ve iflas</w:t>
            </w:r>
            <w:r w:rsidR="005F30CB" w:rsidRPr="00A23740">
              <w:rPr>
                <w:rFonts w:eastAsia="Times New Roman"/>
                <w:color w:val="000000"/>
                <w:szCs w:val="24"/>
                <w:lang w:eastAsia="tr-TR"/>
              </w:rPr>
              <w:t xml:space="preserve"> </w:t>
            </w:r>
            <w:r w:rsidR="00810FA5" w:rsidRPr="00A23740">
              <w:rPr>
                <w:rFonts w:eastAsia="Times New Roman"/>
                <w:color w:val="000000"/>
                <w:szCs w:val="24"/>
                <w:lang w:eastAsia="tr-TR"/>
              </w:rPr>
              <w:t>dairesinde takibe devam edilebileceği ve bu durumda Merkezî Takip Sistemi üzerindeki takibin kapatılacağı hükme bağlanmaktadır</w:t>
            </w:r>
            <w:r w:rsidRPr="00A23740">
              <w:rPr>
                <w:rFonts w:eastAsia="Times New Roman"/>
                <w:color w:val="000000"/>
                <w:szCs w:val="24"/>
                <w:lang w:eastAsia="tr-TR"/>
              </w:rPr>
              <w:t>.</w:t>
            </w:r>
            <w:r w:rsidR="00810FA5" w:rsidRPr="00A23740">
              <w:rPr>
                <w:rFonts w:eastAsia="Times New Roman"/>
                <w:color w:val="000000"/>
                <w:szCs w:val="24"/>
                <w:lang w:eastAsia="tr-TR"/>
              </w:rPr>
              <w:t xml:space="preserve"> </w:t>
            </w:r>
            <w:r w:rsidR="00B74895" w:rsidRPr="00A23740">
              <w:t>Merkez</w:t>
            </w:r>
            <w:r w:rsidR="00814F15" w:rsidRPr="00A23740">
              <w:t>î</w:t>
            </w:r>
            <w:r w:rsidR="00B74895" w:rsidRPr="00A23740">
              <w:t xml:space="preserve"> Takip Sistemi üzerinden yapılan icra takiplerinde, borçlunun adresinin kolluk marifetiyle veya diğer yöntemlerle araştırılması mümkün olmadığı gibi</w:t>
            </w:r>
            <w:r w:rsidR="005865AE" w:rsidRPr="00A23740">
              <w:t>,</w:t>
            </w:r>
            <w:r w:rsidR="00B74895" w:rsidRPr="00A23740">
              <w:t xml:space="preserve"> borçluya ilanen tebligat da yapılamayacaktır. Alacaklının takip talebinde bildirdiği ya da süreç içinde bildirilen veya öğrenilen yeni adrese tebligatın yapılamaması durumunda</w:t>
            </w:r>
            <w:r w:rsidR="005865AE" w:rsidRPr="00A23740">
              <w:t>,</w:t>
            </w:r>
            <w:r w:rsidR="00B74895" w:rsidRPr="00A23740">
              <w:t xml:space="preserve"> varsa borçlunun adres kayıt sisteminde yer alan adresine tebligat yapılacak; bu yöntemle de tebligatın yapılamaması h</w:t>
            </w:r>
            <w:r w:rsidR="00BC755F" w:rsidRPr="00A23740">
              <w:t>â</w:t>
            </w:r>
            <w:r w:rsidR="00B74895" w:rsidRPr="00A23740">
              <w:t xml:space="preserve">linde takibe devam etmek isteyen alacaklı, bu </w:t>
            </w:r>
            <w:r w:rsidR="00803DCC" w:rsidRPr="00D6648F">
              <w:rPr>
                <w:rFonts w:eastAsia="Times New Roman"/>
                <w:color w:val="000000"/>
                <w:szCs w:val="24"/>
                <w:lang w:eastAsia="tr-TR"/>
              </w:rPr>
              <w:t>Taslağın</w:t>
            </w:r>
            <w:r w:rsidR="00B74895" w:rsidRPr="00A23740">
              <w:t xml:space="preserve"> genel hükümleri çerçevesinde icra </w:t>
            </w:r>
            <w:r w:rsidR="00BA30A1" w:rsidRPr="00D6648F">
              <w:rPr>
                <w:rFonts w:eastAsia="Times New Roman"/>
                <w:color w:val="000000"/>
                <w:szCs w:val="24"/>
                <w:lang w:eastAsia="tr-TR"/>
              </w:rPr>
              <w:t>ve</w:t>
            </w:r>
            <w:r w:rsidR="00BA30A1" w:rsidRPr="00A23740">
              <w:rPr>
                <w:rStyle w:val="YELChar"/>
              </w:rPr>
              <w:t xml:space="preserve"> </w:t>
            </w:r>
            <w:r w:rsidR="00BA30A1" w:rsidRPr="00D6648F">
              <w:rPr>
                <w:rFonts w:eastAsia="Times New Roman"/>
                <w:color w:val="000000"/>
                <w:szCs w:val="24"/>
                <w:lang w:eastAsia="tr-TR"/>
              </w:rPr>
              <w:t>iflas</w:t>
            </w:r>
            <w:r w:rsidR="00BA30A1" w:rsidRPr="00A23740">
              <w:t xml:space="preserve"> </w:t>
            </w:r>
            <w:r w:rsidR="00B74895" w:rsidRPr="00A23740">
              <w:t>dairesine başvurabilecektir. Özetle borçluya tebligat yapılamaması veya borçlunun yerleşim yeri adresinin yurtdışında bulunduğunun anlaşılması h</w:t>
            </w:r>
            <w:r w:rsidR="00F906A7" w:rsidRPr="00A23740">
              <w:t>â</w:t>
            </w:r>
            <w:r w:rsidR="00B74895" w:rsidRPr="00A23740">
              <w:t xml:space="preserve">linde alacaklı, harçları ikmal ederek icra </w:t>
            </w:r>
            <w:r w:rsidR="00BA30A1" w:rsidRPr="00D6648F">
              <w:rPr>
                <w:rFonts w:eastAsia="Times New Roman"/>
                <w:color w:val="000000"/>
                <w:lang w:eastAsia="tr-TR"/>
              </w:rPr>
              <w:t>ve</w:t>
            </w:r>
            <w:r w:rsidR="00BA30A1" w:rsidRPr="00A23740">
              <w:rPr>
                <w:rStyle w:val="YELChar"/>
                <w:b w:val="0"/>
              </w:rPr>
              <w:t xml:space="preserve"> </w:t>
            </w:r>
            <w:r w:rsidR="00BA30A1" w:rsidRPr="00D6648F">
              <w:rPr>
                <w:rFonts w:eastAsia="Times New Roman"/>
                <w:color w:val="000000"/>
                <w:lang w:eastAsia="tr-TR"/>
              </w:rPr>
              <w:t>iflas</w:t>
            </w:r>
            <w:r w:rsidR="00BA30A1" w:rsidRPr="00A23740">
              <w:t xml:space="preserve"> </w:t>
            </w:r>
            <w:r w:rsidR="00B74895" w:rsidRPr="00A23740">
              <w:t xml:space="preserve">dairesinden takibe devam edilmesini talep edebilecek ve bu kapsamda doğrudan adres tahkiki isteyebilecektir. İcra </w:t>
            </w:r>
            <w:r w:rsidR="00BA30A1" w:rsidRPr="00D6648F">
              <w:rPr>
                <w:rFonts w:eastAsia="Times New Roman"/>
                <w:color w:val="000000"/>
                <w:szCs w:val="24"/>
                <w:lang w:eastAsia="tr-TR"/>
              </w:rPr>
              <w:t>ve</w:t>
            </w:r>
            <w:r w:rsidR="00BA30A1" w:rsidRPr="00A23740">
              <w:rPr>
                <w:rStyle w:val="YELChar"/>
              </w:rPr>
              <w:t xml:space="preserve"> </w:t>
            </w:r>
            <w:r w:rsidR="00BA30A1" w:rsidRPr="00D6648F">
              <w:rPr>
                <w:rFonts w:eastAsia="Times New Roman"/>
                <w:color w:val="000000"/>
                <w:szCs w:val="24"/>
                <w:lang w:eastAsia="tr-TR"/>
              </w:rPr>
              <w:t>iflas</w:t>
            </w:r>
            <w:r w:rsidR="00BA30A1" w:rsidRPr="00A23740">
              <w:t xml:space="preserve"> </w:t>
            </w:r>
            <w:r w:rsidR="00B74895" w:rsidRPr="00A23740">
              <w:t>dairesinin araştırması sonucunda borçlunun yeni bir adresi tespit edilirse</w:t>
            </w:r>
            <w:r w:rsidR="005865AE" w:rsidRPr="00A23740">
              <w:t>,</w:t>
            </w:r>
            <w:r w:rsidR="00B74895" w:rsidRPr="00A23740">
              <w:t xml:space="preserve"> bu adrese </w:t>
            </w:r>
            <w:r w:rsidR="00803DCC" w:rsidRPr="00D6648F">
              <w:rPr>
                <w:rFonts w:eastAsia="Times New Roman"/>
                <w:color w:val="000000"/>
                <w:szCs w:val="24"/>
                <w:lang w:eastAsia="tr-TR"/>
              </w:rPr>
              <w:t>Taslağın</w:t>
            </w:r>
            <w:r w:rsidR="00803DCC" w:rsidRPr="00A23740">
              <w:t xml:space="preserve"> </w:t>
            </w:r>
            <w:r w:rsidR="00B95DC1" w:rsidRPr="00A23740">
              <w:t>haciz yoluyla takibe ilişkin</w:t>
            </w:r>
            <w:r w:rsidR="00B74895" w:rsidRPr="00A23740">
              <w:t xml:space="preserve"> hükümleri uyarınca ödeme emri çıkarılabilecektir. Bu aşamada genel hükümler uyarınca ilanen tebligat yöntemine gidilmesi de mümkündür.</w:t>
            </w:r>
            <w:r w:rsidR="00B95DC1" w:rsidRPr="00A23740">
              <w:t xml:space="preserve"> </w:t>
            </w:r>
            <w:r w:rsidR="00B74895" w:rsidRPr="00A23740">
              <w:t>Bu durumda Me</w:t>
            </w:r>
            <w:r w:rsidR="00B95DC1" w:rsidRPr="00A23740">
              <w:t>rkezî</w:t>
            </w:r>
            <w:r w:rsidR="00B74895" w:rsidRPr="00A23740">
              <w:t xml:space="preserve"> Takip Sistemi üzerinden açılan dosya kapatılacaktır. </w:t>
            </w:r>
            <w:r w:rsidR="00B95DC1" w:rsidRPr="00A23740">
              <w:t>Diğer taraftan, hükümde yer alan “h</w:t>
            </w:r>
            <w:r w:rsidR="00B74895" w:rsidRPr="00A23740">
              <w:t>arcın ikmal edilmesinden</w:t>
            </w:r>
            <w:r w:rsidR="00B95DC1" w:rsidRPr="00A23740">
              <w:t>”</w:t>
            </w:r>
            <w:r w:rsidR="00B74895" w:rsidRPr="00A23740">
              <w:t xml:space="preserve"> maksat, 492 sayılı Harçlar Kanunu</w:t>
            </w:r>
            <w:r w:rsidR="005865AE" w:rsidRPr="00A23740">
              <w:t>na</w:t>
            </w:r>
            <w:r w:rsidR="00B74895" w:rsidRPr="00A23740">
              <w:t xml:space="preserve"> göre ilamsız icra takibine başlarken </w:t>
            </w:r>
            <w:r w:rsidR="00B95DC1" w:rsidRPr="00A23740">
              <w:t>alınması gereken harçtan Merkezî</w:t>
            </w:r>
            <w:r w:rsidR="00B74895" w:rsidRPr="00A23740">
              <w:t xml:space="preserve"> Takip Sistemi harcının mahsubu sonrasında kalan bakiye harcın yatırılmasıdır. </w:t>
            </w:r>
          </w:p>
          <w:p w:rsidR="00810FA5" w:rsidRPr="00A23740" w:rsidRDefault="00810FA5" w:rsidP="009431FF">
            <w:pPr>
              <w:ind w:firstLine="709"/>
              <w:rPr>
                <w:rFonts w:eastAsia="Times New Roman"/>
                <w:color w:val="000000"/>
                <w:szCs w:val="24"/>
                <w:lang w:eastAsia="tr-TR"/>
              </w:rPr>
            </w:pPr>
            <w:r w:rsidRPr="00A23740">
              <w:rPr>
                <w:rFonts w:eastAsia="Times New Roman"/>
                <w:color w:val="000000"/>
                <w:szCs w:val="24"/>
                <w:lang w:eastAsia="tr-TR"/>
              </w:rPr>
              <w:t>Altıncı fıkrayla, takip konusu borcun</w:t>
            </w:r>
            <w:r w:rsidR="00D673F1" w:rsidRPr="00A23740">
              <w:rPr>
                <w:rFonts w:eastAsia="Times New Roman"/>
                <w:color w:val="000000"/>
                <w:szCs w:val="24"/>
                <w:lang w:eastAsia="tr-TR"/>
              </w:rPr>
              <w:t xml:space="preserve">, takip harç ve </w:t>
            </w:r>
            <w:r w:rsidR="00D673F1" w:rsidRPr="00A23740">
              <w:rPr>
                <w:rFonts w:eastAsia="Times New Roman"/>
                <w:bCs/>
                <w:color w:val="000000"/>
                <w:lang w:eastAsia="tr-TR"/>
              </w:rPr>
              <w:t>giderleri</w:t>
            </w:r>
            <w:r w:rsidRPr="00A23740">
              <w:rPr>
                <w:rFonts w:eastAsia="Times New Roman"/>
                <w:color w:val="000000"/>
                <w:szCs w:val="24"/>
                <w:lang w:eastAsia="tr-TR"/>
              </w:rPr>
              <w:t xml:space="preserve">yle birlikte </w:t>
            </w:r>
            <w:r w:rsidR="00D673F1" w:rsidRPr="00A23740">
              <w:rPr>
                <w:rFonts w:eastAsia="Times New Roman"/>
                <w:color w:val="000000"/>
                <w:szCs w:val="24"/>
                <w:lang w:eastAsia="tr-TR"/>
              </w:rPr>
              <w:t xml:space="preserve">ödeme emrinde belirtilen hesap numarasına </w:t>
            </w:r>
            <w:r w:rsidRPr="00A23740">
              <w:rPr>
                <w:rFonts w:eastAsia="Times New Roman"/>
                <w:color w:val="000000"/>
                <w:szCs w:val="24"/>
                <w:lang w:eastAsia="tr-TR"/>
              </w:rPr>
              <w:t>ödenmesi h</w:t>
            </w:r>
            <w:r w:rsidR="00BC755F" w:rsidRPr="00A23740">
              <w:rPr>
                <w:rFonts w:eastAsia="Times New Roman"/>
                <w:color w:val="000000"/>
                <w:szCs w:val="24"/>
                <w:lang w:eastAsia="tr-TR"/>
              </w:rPr>
              <w:t>â</w:t>
            </w:r>
            <w:r w:rsidRPr="00A23740">
              <w:rPr>
                <w:rFonts w:eastAsia="Times New Roman"/>
                <w:color w:val="000000"/>
                <w:szCs w:val="24"/>
                <w:lang w:eastAsia="tr-TR"/>
              </w:rPr>
              <w:t>linde takibin sona ereceği düzenlenmektedir.</w:t>
            </w:r>
          </w:p>
          <w:p w:rsidR="00E91409" w:rsidRPr="00A23740" w:rsidRDefault="00810FA5" w:rsidP="009431FF">
            <w:pPr>
              <w:ind w:firstLine="709"/>
              <w:rPr>
                <w:rFonts w:eastAsia="Times New Roman"/>
                <w:b/>
                <w:bCs/>
                <w:color w:val="000000"/>
                <w:szCs w:val="24"/>
                <w:lang w:eastAsia="tr-TR"/>
              </w:rPr>
            </w:pPr>
            <w:r w:rsidRPr="00A23740">
              <w:rPr>
                <w:rFonts w:eastAsia="Times New Roman"/>
                <w:color w:val="000000"/>
                <w:szCs w:val="24"/>
                <w:lang w:eastAsia="tr-TR"/>
              </w:rPr>
              <w:t xml:space="preserve">Yedinci fıkrayla, </w:t>
            </w:r>
            <w:r w:rsidR="00E67764" w:rsidRPr="00A23740">
              <w:rPr>
                <w:rFonts w:eastAsia="Times New Roman"/>
                <w:color w:val="000000"/>
                <w:szCs w:val="24"/>
                <w:lang w:eastAsia="tr-TR"/>
              </w:rPr>
              <w:t>altıncı fıkra uyarınca ödenen paranın</w:t>
            </w:r>
            <w:r w:rsidRPr="00A23740">
              <w:rPr>
                <w:rFonts w:eastAsia="Times New Roman"/>
                <w:color w:val="000000"/>
                <w:szCs w:val="24"/>
                <w:lang w:eastAsia="tr-TR"/>
              </w:rPr>
              <w:t>, 2548 sayılı Ceza Evleriyle Mahkeme Binaları İnşası Karşılığı Olarak Alınacak Harçlar ve Mahkûmlara Ödettirilecek Yiyecek Bedelleri Hakkında Kanun uyarınca alacaklıdan alınması gereken harç miktarı ayrıldıkta</w:t>
            </w:r>
            <w:r w:rsidR="00E67764" w:rsidRPr="00A23740">
              <w:rPr>
                <w:rFonts w:eastAsia="Times New Roman"/>
                <w:color w:val="000000"/>
                <w:szCs w:val="24"/>
                <w:lang w:eastAsia="tr-TR"/>
              </w:rPr>
              <w:t>n sonra ilgili hesaba aktarılacağı hükme bağlanmaktadır.</w:t>
            </w: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emrine itiraz</w:t>
            </w:r>
          </w:p>
          <w:p w:rsidR="00155AF4" w:rsidRPr="00A23740" w:rsidRDefault="00155AF4" w:rsidP="009431FF">
            <w:pPr>
              <w:rPr>
                <w:rFonts w:eastAsia="Times New Roman"/>
                <w:color w:val="000000"/>
                <w:szCs w:val="24"/>
                <w:lang w:eastAsia="tr-TR"/>
              </w:rPr>
            </w:pPr>
            <w:r w:rsidRPr="00A9175D">
              <w:rPr>
                <w:rStyle w:val="KIRMIZIChar"/>
                <w:rFonts w:eastAsia="Calibri"/>
              </w:rPr>
              <w:t>MADDE 7-</w:t>
            </w:r>
            <w:r w:rsidRPr="00A23740">
              <w:rPr>
                <w:rFonts w:eastAsia="Times New Roman"/>
                <w:color w:val="000000"/>
                <w:szCs w:val="24"/>
                <w:lang w:eastAsia="tr-TR"/>
              </w:rPr>
              <w:t xml:space="preserve"> (1) Borçlu, ödeme emrinin tebliğinden itibaren </w:t>
            </w:r>
            <w:r w:rsidRPr="00A23740">
              <w:rPr>
                <w:rStyle w:val="KIRMIZIChar"/>
                <w:rFonts w:eastAsia="Calibri"/>
              </w:rPr>
              <w:t>yedi gün</w:t>
            </w:r>
            <w:r w:rsidRPr="00A23740">
              <w:rPr>
                <w:rFonts w:eastAsia="Times New Roman"/>
                <w:color w:val="000000"/>
                <w:szCs w:val="24"/>
                <w:lang w:eastAsia="tr-TR"/>
              </w:rPr>
              <w:t xml:space="preserve"> içinde, herhangi bir icra dairesine başvurarak ödeme emrine itiraz edebilir. İcra dairesi, itiraza ilişkin evrakı, en geç </w:t>
            </w:r>
            <w:r w:rsidRPr="00A23740">
              <w:rPr>
                <w:rStyle w:val="KIRMIZIChar"/>
                <w:rFonts w:eastAsia="Calibri"/>
              </w:rPr>
              <w:t>iki</w:t>
            </w:r>
            <w:r w:rsidRPr="00A23740">
              <w:rPr>
                <w:rFonts w:eastAsia="Times New Roman"/>
                <w:color w:val="000000"/>
                <w:szCs w:val="24"/>
                <w:lang w:eastAsia="tr-TR"/>
              </w:rPr>
              <w:t xml:space="preserve"> iş günü içinde sisteme yükler, aslını alacaklının takip talebinde bildirdiği icra dairesine gönderir. Borçluya, itiraz ettiğine ilişkin ücretsiz bir alındı belgesi verilir.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(2) Merkezî Takip Sistemi üzerinden güvenli elektronik imza kullanılarak da itiraz edilebilir.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(3) Süresi içinde borca yapılan itiraz üzerine icra takibi durur. Duran takip hakkında, </w:t>
            </w:r>
            <w:r w:rsidRPr="00A23740">
              <w:rPr>
                <w:rStyle w:val="KIRMIZIChar"/>
                <w:rFonts w:eastAsia="Calibri"/>
              </w:rPr>
              <w:t>9/6/1932 tarihli ve 2004 sayılı</w:t>
            </w:r>
            <w:r w:rsidRPr="00A23740">
              <w:rPr>
                <w:rFonts w:eastAsia="Times New Roman"/>
                <w:color w:val="000000"/>
                <w:szCs w:val="24"/>
                <w:lang w:eastAsia="tr-TR"/>
              </w:rPr>
              <w:t xml:space="preserve"> </w:t>
            </w:r>
            <w:r w:rsidRPr="00A23740">
              <w:rPr>
                <w:rStyle w:val="KIRMIZIChar"/>
                <w:rFonts w:eastAsia="Calibri"/>
              </w:rPr>
              <w:t>İcra ve İflas</w:t>
            </w:r>
            <w:r w:rsidRPr="00A23740">
              <w:rPr>
                <w:rFonts w:eastAsia="Times New Roman"/>
                <w:color w:val="000000"/>
                <w:szCs w:val="24"/>
                <w:lang w:eastAsia="tr-TR"/>
              </w:rPr>
              <w:t xml:space="preserve"> Kanunun</w:t>
            </w:r>
            <w:r w:rsidRPr="00A23740">
              <w:rPr>
                <w:rStyle w:val="KIRMIZIChar"/>
                <w:rFonts w:eastAsia="Calibri"/>
              </w:rPr>
              <w:t>un</w:t>
            </w:r>
            <w:r w:rsidRPr="00A23740">
              <w:rPr>
                <w:rFonts w:eastAsia="Times New Roman"/>
                <w:color w:val="000000"/>
                <w:szCs w:val="24"/>
                <w:lang w:eastAsia="tr-TR"/>
              </w:rPr>
              <w:t xml:space="preserve"> ilgili hükümleri uygulanır.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(4) İtiraz, itirazın sisteme yüklendiği tarihi izleyen beşinci günün sonunda alacaklı avukatına tebliğ edilmiş sayılır.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(5) Sadece yetkiye itiraz hâlinde alacaklı avukatı, yetki itirazında gösterilen icra dairesinde haciz işlemlerini başlatabilir. Takip talebinde belirtilen icra dairesinde haciz işlemlerinin başlatılabilmesi için bu dairenin bağlı bulunduğu mahkemede yetki itirazının kaldırılması şarttır. Mahkeme, yetki itirazını dosya üzerinden inceleyip kesin olarak karara bağlar. Mahkemenin yetkili gördüğü icra dairesinde haciz işlemlerinin başlatılabilmesi için yeniden ödeme emri tebliği gerekmez.</w:t>
            </w:r>
          </w:p>
          <w:p w:rsidR="00155AF4" w:rsidRPr="00A23740" w:rsidRDefault="00155AF4" w:rsidP="009431FF">
            <w:pPr>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emrine itiraz</w:t>
            </w:r>
          </w:p>
          <w:p w:rsidR="00155AF4" w:rsidRPr="00A23740" w:rsidRDefault="00155AF4" w:rsidP="009431FF">
            <w:pPr>
              <w:rPr>
                <w:rFonts w:eastAsia="Times New Roman"/>
                <w:color w:val="000000"/>
                <w:szCs w:val="24"/>
                <w:lang w:eastAsia="tr-TR"/>
              </w:rPr>
            </w:pPr>
            <w:r w:rsidRPr="00A23740">
              <w:rPr>
                <w:rStyle w:val="Balk1Char"/>
                <w:rFonts w:eastAsia="Calibri"/>
              </w:rPr>
              <w:t xml:space="preserve">MADDE </w:t>
            </w:r>
            <w:r w:rsidR="00814F15" w:rsidRPr="00A23740">
              <w:rPr>
                <w:rStyle w:val="Balk1Char"/>
                <w:rFonts w:eastAsia="Calibri"/>
              </w:rPr>
              <w:t>106</w:t>
            </w:r>
            <w:r w:rsidRPr="00A23740">
              <w:rPr>
                <w:rStyle w:val="Balk1Char"/>
                <w:rFonts w:eastAsia="Calibri"/>
              </w:rPr>
              <w:t>-</w:t>
            </w:r>
            <w:r w:rsidRPr="00A23740">
              <w:rPr>
                <w:rFonts w:eastAsia="Times New Roman"/>
                <w:color w:val="000000"/>
                <w:szCs w:val="24"/>
                <w:lang w:eastAsia="tr-TR"/>
              </w:rPr>
              <w:t xml:space="preserve"> (1) Borçlu, ödeme emrinin tebliğinden itibaren </w:t>
            </w:r>
            <w:r w:rsidRPr="00A23740">
              <w:rPr>
                <w:rStyle w:val="MaviChar"/>
              </w:rPr>
              <w:t>iki</w:t>
            </w:r>
            <w:r w:rsidRPr="00A23740">
              <w:rPr>
                <w:rStyle w:val="YELChar"/>
              </w:rPr>
              <w:t xml:space="preserve"> </w:t>
            </w:r>
            <w:r w:rsidRPr="00A23740">
              <w:rPr>
                <w:rStyle w:val="MaviChar"/>
              </w:rPr>
              <w:t>hafta</w:t>
            </w:r>
            <w:r w:rsidRPr="00A23740">
              <w:rPr>
                <w:rFonts w:eastAsia="Times New Roman"/>
                <w:color w:val="000000"/>
                <w:szCs w:val="24"/>
                <w:lang w:eastAsia="tr-TR"/>
              </w:rPr>
              <w:t xml:space="preserve"> içinde, herhangi bir icra </w:t>
            </w:r>
            <w:r w:rsidRPr="00A23740">
              <w:rPr>
                <w:rStyle w:val="MaviChar"/>
              </w:rPr>
              <w:t>ve iflas</w:t>
            </w:r>
            <w:r w:rsidRPr="00A23740">
              <w:rPr>
                <w:rFonts w:eastAsia="Times New Roman"/>
                <w:color w:val="000000"/>
                <w:szCs w:val="24"/>
                <w:lang w:eastAsia="tr-TR"/>
              </w:rPr>
              <w:t xml:space="preserve"> dairesine başvurarak ödeme emrine itiraz edebilir. İcra </w:t>
            </w:r>
            <w:r w:rsidRPr="00A23740">
              <w:rPr>
                <w:rStyle w:val="MaviChar"/>
              </w:rPr>
              <w:t>ve iflas</w:t>
            </w:r>
            <w:r w:rsidRPr="00A23740">
              <w:rPr>
                <w:rFonts w:eastAsia="Times New Roman"/>
                <w:color w:val="000000"/>
                <w:szCs w:val="24"/>
                <w:lang w:eastAsia="tr-TR"/>
              </w:rPr>
              <w:t xml:space="preserve"> dairesi, itiraza ilişkin evrakı en geç </w:t>
            </w:r>
            <w:r w:rsidRPr="00A23740">
              <w:rPr>
                <w:rStyle w:val="MaviChar"/>
              </w:rPr>
              <w:t>üç</w:t>
            </w:r>
            <w:r w:rsidRPr="00A23740">
              <w:rPr>
                <w:rFonts w:eastAsia="Times New Roman"/>
                <w:color w:val="000000"/>
                <w:szCs w:val="24"/>
                <w:lang w:eastAsia="tr-TR"/>
              </w:rPr>
              <w:t xml:space="preserve"> iş günü içinde sisteme </w:t>
            </w:r>
            <w:r w:rsidR="00C21C2C" w:rsidRPr="00D6648F">
              <w:rPr>
                <w:rFonts w:eastAsia="Times New Roman"/>
                <w:b/>
                <w:bCs/>
                <w:color w:val="0000FF"/>
                <w:szCs w:val="24"/>
                <w:lang w:eastAsia="tr-TR"/>
              </w:rPr>
              <w:t>yükleyip</w:t>
            </w:r>
            <w:r w:rsidR="00C21C2C" w:rsidRPr="00A23740">
              <w:rPr>
                <w:rFonts w:eastAsia="Times New Roman"/>
                <w:color w:val="538135"/>
                <w:szCs w:val="24"/>
                <w:lang w:eastAsia="tr-TR"/>
              </w:rPr>
              <w:t xml:space="preserve"> </w:t>
            </w:r>
            <w:r w:rsidRPr="00A23740">
              <w:rPr>
                <w:rFonts w:eastAsia="Times New Roman"/>
                <w:color w:val="000000"/>
                <w:szCs w:val="24"/>
                <w:lang w:eastAsia="tr-TR"/>
              </w:rPr>
              <w:t xml:space="preserve">aslını alacaklının takip talebinde bildirdiği icra </w:t>
            </w:r>
            <w:r w:rsidRPr="00A23740">
              <w:rPr>
                <w:rStyle w:val="MaviChar"/>
              </w:rPr>
              <w:t>ve iflas</w:t>
            </w:r>
            <w:r w:rsidRPr="00A23740">
              <w:rPr>
                <w:rFonts w:eastAsia="Times New Roman"/>
                <w:color w:val="000000"/>
                <w:szCs w:val="24"/>
                <w:lang w:eastAsia="tr-TR"/>
              </w:rPr>
              <w:t xml:space="preserve"> dairesine gönderir. Borçluya, itiraz ettiğine ilişkin ücretsiz bir alındı belgesi verilir.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(2) Merkezî Takip Sistemi üzerinden güvenli elektronik imza kullanılarak da itiraz edilebilir.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(3) Süresi içinde borca yapılan itiraz üzerine icra takibi durur. Duran takip hakkında, bu Kanunun ilgili hükümleri uygulanır.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(4) İtiraz, itirazın sisteme yüklendiği tarihi izleyen beşinci günün sonunda alacaklı </w:t>
            </w:r>
            <w:r w:rsidR="00541F7A" w:rsidRPr="00A23740">
              <w:rPr>
                <w:rStyle w:val="Balk1Char"/>
                <w:rFonts w:eastAsia="Calibri"/>
              </w:rPr>
              <w:t>vekiline</w:t>
            </w:r>
            <w:r w:rsidRPr="00A23740">
              <w:rPr>
                <w:rFonts w:eastAsia="Times New Roman"/>
                <w:color w:val="000000"/>
                <w:szCs w:val="24"/>
                <w:lang w:eastAsia="tr-TR"/>
              </w:rPr>
              <w:t xml:space="preserve"> tebliğ edilmiş sayılır.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(5) Sadece yetkiye itiraz hâlinde alacaklı </w:t>
            </w:r>
            <w:r w:rsidR="00541F7A" w:rsidRPr="00A23740">
              <w:rPr>
                <w:rStyle w:val="Balk1Char"/>
                <w:rFonts w:eastAsia="Calibri"/>
              </w:rPr>
              <w:t>vekili,</w:t>
            </w:r>
            <w:r w:rsidR="00541F7A" w:rsidRPr="00A23740">
              <w:rPr>
                <w:rFonts w:eastAsia="Times New Roman"/>
                <w:color w:val="000000"/>
                <w:szCs w:val="24"/>
                <w:lang w:eastAsia="tr-TR"/>
              </w:rPr>
              <w:t xml:space="preserve"> </w:t>
            </w:r>
            <w:r w:rsidRPr="00A23740">
              <w:rPr>
                <w:rFonts w:eastAsia="Times New Roman"/>
                <w:color w:val="000000"/>
                <w:szCs w:val="24"/>
                <w:lang w:eastAsia="tr-TR"/>
              </w:rPr>
              <w:t xml:space="preserve">yetki itirazında gösterilen icra </w:t>
            </w:r>
            <w:r w:rsidRPr="00A23740">
              <w:rPr>
                <w:rStyle w:val="MaviChar"/>
              </w:rPr>
              <w:t>ve iflas</w:t>
            </w:r>
            <w:r w:rsidRPr="00A23740">
              <w:rPr>
                <w:rFonts w:eastAsia="Times New Roman"/>
                <w:color w:val="000000"/>
                <w:szCs w:val="24"/>
                <w:lang w:eastAsia="tr-TR"/>
              </w:rPr>
              <w:t xml:space="preserve"> dairesinde haciz işlemlerini başlatabilir. Takip talebinde belirtilen icra </w:t>
            </w:r>
            <w:r w:rsidRPr="00A23740">
              <w:rPr>
                <w:rStyle w:val="MaviChar"/>
              </w:rPr>
              <w:t>ve iflas</w:t>
            </w:r>
            <w:r w:rsidRPr="00A23740">
              <w:rPr>
                <w:rFonts w:eastAsia="Times New Roman"/>
                <w:color w:val="000000"/>
                <w:szCs w:val="24"/>
                <w:lang w:eastAsia="tr-TR"/>
              </w:rPr>
              <w:t xml:space="preserve"> dairesinde haciz işlemlerinin başlatılabilmesi için bu dairenin bağlı bulunduğu mahkemede yetki itirazının kaldırılması şarttır. Mahkeme, yetki itirazını dosya üzerinden inceleyip kesin olarak karara bağlar. Mahkemenin yetkili gördüğü icra </w:t>
            </w:r>
            <w:r w:rsidRPr="00A23740">
              <w:rPr>
                <w:rStyle w:val="MaviChar"/>
              </w:rPr>
              <w:t>ve iflas</w:t>
            </w:r>
            <w:r w:rsidRPr="00A23740">
              <w:rPr>
                <w:rFonts w:eastAsia="Times New Roman"/>
                <w:color w:val="000000"/>
                <w:szCs w:val="24"/>
                <w:lang w:eastAsia="tr-TR"/>
              </w:rPr>
              <w:t xml:space="preserve"> dairesinde haciz işlemlerinin başlatılabilmesi için yeniden ödeme emri tebliği gerekmez.</w:t>
            </w:r>
          </w:p>
          <w:p w:rsidR="00155AF4" w:rsidRPr="00A23740" w:rsidRDefault="00155AF4" w:rsidP="009431FF">
            <w:pPr>
              <w:tabs>
                <w:tab w:val="left" w:pos="567"/>
              </w:tabs>
              <w:autoSpaceDE w:val="0"/>
              <w:autoSpaceDN w:val="0"/>
              <w:adjustRightInd w:val="0"/>
              <w:rPr>
                <w:szCs w:val="24"/>
              </w:rPr>
            </w:pPr>
          </w:p>
        </w:tc>
      </w:tr>
      <w:tr w:rsidR="00825550"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E67764" w:rsidRPr="00A23740" w:rsidRDefault="00E67764" w:rsidP="009431FF">
            <w:pPr>
              <w:ind w:firstLine="709"/>
              <w:rPr>
                <w:b/>
                <w:bCs/>
                <w:color w:val="000000"/>
                <w:szCs w:val="24"/>
                <w:lang w:eastAsia="tr-TR"/>
              </w:rPr>
            </w:pPr>
          </w:p>
          <w:p w:rsidR="00B95DC1" w:rsidRPr="00A23740" w:rsidRDefault="00541F7A" w:rsidP="009431FF">
            <w:pPr>
              <w:ind w:firstLine="709"/>
            </w:pPr>
            <w:r w:rsidRPr="00A23740">
              <w:rPr>
                <w:b/>
                <w:bCs/>
                <w:color w:val="000000"/>
                <w:szCs w:val="24"/>
                <w:lang w:eastAsia="tr-TR"/>
              </w:rPr>
              <w:t>MADDE 106</w:t>
            </w:r>
            <w:r w:rsidR="00825550" w:rsidRPr="00A23740">
              <w:rPr>
                <w:b/>
                <w:bCs/>
                <w:color w:val="000000"/>
                <w:szCs w:val="24"/>
                <w:lang w:eastAsia="tr-TR"/>
              </w:rPr>
              <w:t xml:space="preserve">- </w:t>
            </w:r>
            <w:r w:rsidR="00825550" w:rsidRPr="00A23740">
              <w:t>Maddeyle, ödeme emrine</w:t>
            </w:r>
            <w:r w:rsidR="00B95DC1" w:rsidRPr="00A23740">
              <w:t xml:space="preserve"> itiraz usulü düzenlenmektedir.</w:t>
            </w:r>
            <w:r w:rsidR="009A3519" w:rsidRPr="00A23740">
              <w:t xml:space="preserve"> </w:t>
            </w:r>
            <w:r w:rsidR="009A3519" w:rsidRPr="00A23740">
              <w:rPr>
                <w:bCs/>
                <w:color w:val="000000"/>
                <w:szCs w:val="24"/>
                <w:lang w:eastAsia="tr-TR"/>
              </w:rPr>
              <w:t>Bu madde, 7155 sayılı Kanunun 7 nci maddesine karşılık gelmektedir.</w:t>
            </w:r>
          </w:p>
          <w:p w:rsidR="00F871EB" w:rsidRPr="00A23740" w:rsidRDefault="00B95DC1" w:rsidP="009431FF">
            <w:pPr>
              <w:ind w:firstLine="709"/>
            </w:pPr>
            <w:r w:rsidRPr="00A23740">
              <w:t xml:space="preserve">Birinci fıkrayla, </w:t>
            </w:r>
            <w:r w:rsidR="00825550" w:rsidRPr="00A23740">
              <w:t>borçlu,</w:t>
            </w:r>
            <w:r w:rsidR="00F871EB" w:rsidRPr="00A23740">
              <w:t xml:space="preserve"> ödeme emrinin tebliğinden itibaren iki hafta içinde</w:t>
            </w:r>
            <w:r w:rsidR="00825550" w:rsidRPr="00A23740">
              <w:t xml:space="preserve"> herhangi bir icra </w:t>
            </w:r>
            <w:r w:rsidR="00BC755F" w:rsidRPr="00D6648F">
              <w:rPr>
                <w:bCs/>
              </w:rPr>
              <w:t>ve iflas</w:t>
            </w:r>
            <w:r w:rsidR="00BC755F" w:rsidRPr="00A23740">
              <w:t xml:space="preserve"> </w:t>
            </w:r>
            <w:r w:rsidR="00825550" w:rsidRPr="00A23740">
              <w:t xml:space="preserve">dairesine başvurarak, </w:t>
            </w:r>
            <w:r w:rsidR="00F871EB" w:rsidRPr="00A23740">
              <w:t xml:space="preserve">ödeme emrine </w:t>
            </w:r>
            <w:r w:rsidR="00825550" w:rsidRPr="00A23740">
              <w:t>itiraz edebile</w:t>
            </w:r>
            <w:r w:rsidR="00F871EB" w:rsidRPr="00A23740">
              <w:t>cektir. İtiraz evrakı</w:t>
            </w:r>
            <w:r w:rsidR="0002326B" w:rsidRPr="00A23740">
              <w:t>,</w:t>
            </w:r>
            <w:r w:rsidR="00F871EB" w:rsidRPr="00A23740">
              <w:t xml:space="preserve"> en geç üç</w:t>
            </w:r>
            <w:r w:rsidR="00825550" w:rsidRPr="00A23740">
              <w:t xml:space="preserve"> iş günü içinde sisteme yüklenecek ve evrak aslı alacaklının takip talebinde bildirdiği icra</w:t>
            </w:r>
            <w:r w:rsidR="001647D1" w:rsidRPr="00A23740">
              <w:rPr>
                <w:b/>
                <w:color w:val="538135"/>
              </w:rPr>
              <w:t xml:space="preserve"> </w:t>
            </w:r>
            <w:r w:rsidR="001647D1" w:rsidRPr="00D6648F">
              <w:t>ve iflas</w:t>
            </w:r>
            <w:r w:rsidR="00825550" w:rsidRPr="00A23740">
              <w:t xml:space="preserve"> </w:t>
            </w:r>
            <w:r w:rsidR="00861DBE" w:rsidRPr="00A23740">
              <w:t>dairesine gönderilecektir.</w:t>
            </w:r>
          </w:p>
          <w:p w:rsidR="00F871EB" w:rsidRPr="00A23740" w:rsidRDefault="00F871EB" w:rsidP="009431FF">
            <w:pPr>
              <w:ind w:firstLine="709"/>
              <w:rPr>
                <w:rFonts w:eastAsia="Times New Roman"/>
                <w:color w:val="000000"/>
                <w:szCs w:val="24"/>
                <w:lang w:eastAsia="tr-TR"/>
              </w:rPr>
            </w:pPr>
            <w:r w:rsidRPr="00A23740">
              <w:t xml:space="preserve">İkinci fıkrayla, borçlunun </w:t>
            </w:r>
            <w:r w:rsidRPr="00A23740">
              <w:rPr>
                <w:rFonts w:eastAsia="Times New Roman"/>
                <w:color w:val="000000"/>
                <w:szCs w:val="24"/>
                <w:lang w:eastAsia="tr-TR"/>
              </w:rPr>
              <w:t xml:space="preserve">Merkezî Takip Sistemi üzerinden </w:t>
            </w:r>
            <w:r w:rsidR="0002326B" w:rsidRPr="00A23740">
              <w:rPr>
                <w:rFonts w:eastAsia="Times New Roman"/>
                <w:color w:val="000000"/>
                <w:szCs w:val="24"/>
                <w:lang w:eastAsia="tr-TR"/>
              </w:rPr>
              <w:t>güvenli elektronik imza kullan</w:t>
            </w:r>
            <w:r w:rsidRPr="00A23740">
              <w:rPr>
                <w:rFonts w:eastAsia="Times New Roman"/>
                <w:color w:val="000000"/>
                <w:szCs w:val="24"/>
                <w:lang w:eastAsia="tr-TR"/>
              </w:rPr>
              <w:t>arak da ödeme emrine itiraz edileb</w:t>
            </w:r>
            <w:r w:rsidR="0002326B" w:rsidRPr="00A23740">
              <w:rPr>
                <w:rFonts w:eastAsia="Times New Roman"/>
                <w:color w:val="000000"/>
                <w:szCs w:val="24"/>
                <w:lang w:eastAsia="tr-TR"/>
              </w:rPr>
              <w:t>ileceği düzenlenmektedir.</w:t>
            </w:r>
          </w:p>
          <w:p w:rsidR="005C5BA8" w:rsidRPr="00A23740" w:rsidRDefault="00F871EB" w:rsidP="009431FF">
            <w:pPr>
              <w:ind w:firstLine="709"/>
              <w:rPr>
                <w:rFonts w:eastAsia="Times New Roman"/>
                <w:color w:val="000000"/>
                <w:szCs w:val="24"/>
                <w:lang w:eastAsia="tr-TR"/>
              </w:rPr>
            </w:pPr>
            <w:r w:rsidRPr="00A23740">
              <w:t xml:space="preserve">Üçüncü fıkrayla, </w:t>
            </w:r>
            <w:r w:rsidRPr="00A23740">
              <w:rPr>
                <w:rFonts w:eastAsia="Times New Roman"/>
                <w:color w:val="000000"/>
                <w:szCs w:val="24"/>
                <w:lang w:eastAsia="tr-TR"/>
              </w:rPr>
              <w:t xml:space="preserve">süresi içinde borca yapılan itiraz üzerine icra takibinin duracağı ve duran takip hakkında, </w:t>
            </w:r>
            <w:r w:rsidR="00803DCC" w:rsidRPr="00D6648F">
              <w:t>Taslağın</w:t>
            </w:r>
            <w:r w:rsidR="00803DCC" w:rsidRPr="00A23740">
              <w:rPr>
                <w:rFonts w:eastAsia="Times New Roman"/>
                <w:color w:val="000000"/>
                <w:szCs w:val="24"/>
                <w:lang w:eastAsia="tr-TR"/>
              </w:rPr>
              <w:t xml:space="preserve"> </w:t>
            </w:r>
            <w:r w:rsidRPr="00A23740">
              <w:rPr>
                <w:rFonts w:eastAsia="Times New Roman"/>
                <w:color w:val="000000"/>
                <w:szCs w:val="24"/>
                <w:lang w:eastAsia="tr-TR"/>
              </w:rPr>
              <w:t>haciz yoluyla takibe ilişkin hükümlerinin uygulanacağı hükme bağlanmaktadır.</w:t>
            </w:r>
            <w:r w:rsidR="005C5BA8" w:rsidRPr="00A23740">
              <w:rPr>
                <w:rFonts w:eastAsia="Times New Roman"/>
                <w:color w:val="000000"/>
                <w:szCs w:val="24"/>
                <w:lang w:eastAsia="tr-TR"/>
              </w:rPr>
              <w:t xml:space="preserve"> Buna göre itiraz giderildikten sonra takibe devam edilebilecektir. </w:t>
            </w:r>
          </w:p>
          <w:p w:rsidR="005C5BA8" w:rsidRPr="00A23740" w:rsidRDefault="00F871EB" w:rsidP="009431FF">
            <w:pPr>
              <w:ind w:firstLine="709"/>
              <w:rPr>
                <w:rFonts w:eastAsia="Times New Roman"/>
                <w:color w:val="000000"/>
                <w:szCs w:val="24"/>
                <w:lang w:eastAsia="tr-TR"/>
              </w:rPr>
            </w:pPr>
            <w:r w:rsidRPr="00A23740">
              <w:t xml:space="preserve">Dördüncü fıkrayla, </w:t>
            </w:r>
            <w:r w:rsidR="005C5BA8" w:rsidRPr="00A23740">
              <w:t xml:space="preserve">ödeme emrine </w:t>
            </w:r>
            <w:r w:rsidR="005C5BA8" w:rsidRPr="00A23740">
              <w:rPr>
                <w:rFonts w:eastAsia="Times New Roman"/>
                <w:color w:val="000000"/>
                <w:szCs w:val="24"/>
                <w:lang w:eastAsia="tr-TR"/>
              </w:rPr>
              <w:t>itirazın</w:t>
            </w:r>
            <w:r w:rsidR="0002326B" w:rsidRPr="00A23740">
              <w:rPr>
                <w:rFonts w:eastAsia="Times New Roman"/>
                <w:color w:val="000000"/>
                <w:szCs w:val="24"/>
                <w:lang w:eastAsia="tr-TR"/>
              </w:rPr>
              <w:t>,</w:t>
            </w:r>
            <w:r w:rsidR="005C5BA8" w:rsidRPr="00A23740">
              <w:rPr>
                <w:rFonts w:eastAsia="Times New Roman"/>
                <w:color w:val="000000"/>
                <w:szCs w:val="24"/>
                <w:lang w:eastAsia="tr-TR"/>
              </w:rPr>
              <w:t xml:space="preserve"> sisteme yüklendiği tarihi izleyen beşinci günün sonunda alacaklı </w:t>
            </w:r>
            <w:r w:rsidR="00541F7A" w:rsidRPr="00A9175D">
              <w:rPr>
                <w:rStyle w:val="Balk1Char"/>
                <w:rFonts w:eastAsia="Calibri"/>
                <w:b w:val="0"/>
                <w:color w:val="auto"/>
              </w:rPr>
              <w:t>vekiline</w:t>
            </w:r>
            <w:r w:rsidR="00541F7A" w:rsidRPr="00A9175D">
              <w:rPr>
                <w:rFonts w:eastAsia="Times New Roman"/>
                <w:szCs w:val="24"/>
                <w:lang w:eastAsia="tr-TR"/>
              </w:rPr>
              <w:t xml:space="preserve"> </w:t>
            </w:r>
            <w:r w:rsidR="005C5BA8" w:rsidRPr="00A23740">
              <w:rPr>
                <w:rFonts w:eastAsia="Times New Roman"/>
                <w:color w:val="000000"/>
                <w:szCs w:val="24"/>
                <w:lang w:eastAsia="tr-TR"/>
              </w:rPr>
              <w:t xml:space="preserve">tebliğ edilmiş sayılacağı kabul edilmektedir. </w:t>
            </w:r>
          </w:p>
          <w:p w:rsidR="00E91409" w:rsidRPr="00A23740" w:rsidRDefault="005C5BA8" w:rsidP="009431FF">
            <w:pPr>
              <w:ind w:firstLine="709"/>
              <w:rPr>
                <w:rFonts w:eastAsia="Times New Roman"/>
                <w:b/>
                <w:bCs/>
                <w:color w:val="000000"/>
                <w:szCs w:val="24"/>
                <w:lang w:eastAsia="tr-TR"/>
              </w:rPr>
            </w:pPr>
            <w:r w:rsidRPr="00A23740">
              <w:rPr>
                <w:rFonts w:eastAsia="Times New Roman"/>
                <w:color w:val="000000"/>
                <w:szCs w:val="24"/>
                <w:lang w:eastAsia="tr-TR"/>
              </w:rPr>
              <w:t>Beşinci fıkra</w:t>
            </w:r>
            <w:r w:rsidR="005865AE" w:rsidRPr="00A23740">
              <w:rPr>
                <w:rFonts w:eastAsia="Times New Roman"/>
                <w:color w:val="000000"/>
                <w:szCs w:val="24"/>
                <w:lang w:eastAsia="tr-TR"/>
              </w:rPr>
              <w:t>da</w:t>
            </w:r>
            <w:r w:rsidRPr="00A23740">
              <w:rPr>
                <w:rFonts w:eastAsia="Times New Roman"/>
                <w:color w:val="000000"/>
                <w:szCs w:val="24"/>
                <w:lang w:eastAsia="tr-TR"/>
              </w:rPr>
              <w:t>, yetkiye itiraz edilmesi h</w:t>
            </w:r>
            <w:r w:rsidR="00F906A7" w:rsidRPr="00A23740">
              <w:rPr>
                <w:rFonts w:eastAsia="Times New Roman"/>
                <w:color w:val="000000"/>
                <w:szCs w:val="24"/>
                <w:lang w:eastAsia="tr-TR"/>
              </w:rPr>
              <w:t>â</w:t>
            </w:r>
            <w:r w:rsidRPr="00A23740">
              <w:rPr>
                <w:rFonts w:eastAsia="Times New Roman"/>
                <w:color w:val="000000"/>
                <w:szCs w:val="24"/>
                <w:lang w:eastAsia="tr-TR"/>
              </w:rPr>
              <w:t xml:space="preserve">linde yapılacak işlemler belirlenmektedir. Hükme göre, </w:t>
            </w:r>
            <w:r w:rsidRPr="00A23740">
              <w:t>s</w:t>
            </w:r>
            <w:r w:rsidR="00825550" w:rsidRPr="00A23740">
              <w:t>adece yetkiye itiraz edilmesi h</w:t>
            </w:r>
            <w:r w:rsidR="00F906A7" w:rsidRPr="00A23740">
              <w:t>â</w:t>
            </w:r>
            <w:r w:rsidR="00825550" w:rsidRPr="00A23740">
              <w:t xml:space="preserve">linde alacaklı </w:t>
            </w:r>
            <w:r w:rsidR="00541F7A" w:rsidRPr="00D6648F">
              <w:t>vekili,</w:t>
            </w:r>
            <w:r w:rsidR="00541F7A" w:rsidRPr="00A23740">
              <w:t xml:space="preserve"> </w:t>
            </w:r>
            <w:r w:rsidR="00825550" w:rsidRPr="00A23740">
              <w:t xml:space="preserve">yetki itirazında gösterilen icra </w:t>
            </w:r>
            <w:r w:rsidR="00BC755F" w:rsidRPr="00D6648F">
              <w:rPr>
                <w:bCs/>
              </w:rPr>
              <w:t>ve iflas</w:t>
            </w:r>
            <w:r w:rsidR="00BC755F" w:rsidRPr="00A23740">
              <w:t xml:space="preserve"> </w:t>
            </w:r>
            <w:r w:rsidR="00825550" w:rsidRPr="00A23740">
              <w:t xml:space="preserve">dairesinde haciz işlemlerini başlatabilecektir. Takip talebinde belirtilen icra </w:t>
            </w:r>
            <w:r w:rsidR="00BC755F" w:rsidRPr="00D6648F">
              <w:rPr>
                <w:bCs/>
              </w:rPr>
              <w:t>ve iflas</w:t>
            </w:r>
            <w:r w:rsidR="00BC755F" w:rsidRPr="00D6648F">
              <w:t xml:space="preserve"> </w:t>
            </w:r>
            <w:r w:rsidR="00825550" w:rsidRPr="00A23740">
              <w:t xml:space="preserve">dairesinde haciz işlemlerinin başlatılabilmesi için bu dairenin bağlı bulunduğu mahkemede yetki itirazının kaldırılması gerekmektedir. Mahkeme, yetki itirazını dosya üzerinden inceleyip kesin olarak karara bağlayacaktır. Mahkemenin yetkili gördüğü icra </w:t>
            </w:r>
            <w:r w:rsidR="00BC755F" w:rsidRPr="00D6648F">
              <w:t>ve</w:t>
            </w:r>
            <w:r w:rsidR="00BC755F" w:rsidRPr="00D6648F">
              <w:rPr>
                <w:b/>
                <w:bCs/>
              </w:rPr>
              <w:t xml:space="preserve"> </w:t>
            </w:r>
            <w:r w:rsidR="00BC755F" w:rsidRPr="00D6648F">
              <w:t>iflas</w:t>
            </w:r>
            <w:r w:rsidR="00BC755F" w:rsidRPr="00A23740">
              <w:t xml:space="preserve"> </w:t>
            </w:r>
            <w:r w:rsidR="00825550" w:rsidRPr="00A23740">
              <w:t>dairesinde haciz işlemlerinin başlatılabilmesi için yeniden ödeme emri tebliği gerekmeyecektir. Bu tür takiplerde, haciz aşamasına kadar olan işlemlerin Merkez</w:t>
            </w:r>
            <w:r w:rsidR="00541F7A" w:rsidRPr="00A23740">
              <w:t>î</w:t>
            </w:r>
            <w:r w:rsidR="00825550" w:rsidRPr="00A23740">
              <w:t xml:space="preserve"> Takip Sistemi üzerinden, bir başka ifadeyle tek bir merkezden yapılacağı dikkate alındığında yetki kuralının, yapılan işlemler bakımından herhangi bir etkisinin bulunmadığı açıktır. Borçluya yetki itirazında bulunma hakkı verilmesi, takibin kesinleşmesinden sonra yapılacak cebr</w:t>
            </w:r>
            <w:r w:rsidR="00541F7A" w:rsidRPr="00A23740">
              <w:t>î</w:t>
            </w:r>
            <w:r w:rsidR="00825550" w:rsidRPr="00A23740">
              <w:t xml:space="preserve"> icra işlemlerinin yürütüleceği yer icra </w:t>
            </w:r>
            <w:r w:rsidR="00BC755F" w:rsidRPr="00D6648F">
              <w:rPr>
                <w:bCs/>
              </w:rPr>
              <w:t>ve iflas</w:t>
            </w:r>
            <w:r w:rsidR="00BC755F" w:rsidRPr="00A23740">
              <w:t xml:space="preserve"> </w:t>
            </w:r>
            <w:r w:rsidR="00825550" w:rsidRPr="00A23740">
              <w:t>dairesi bakımından önem arz etmektedir.</w:t>
            </w:r>
          </w:p>
          <w:p w:rsidR="00541F7A" w:rsidRPr="00A23740" w:rsidRDefault="00541F7A" w:rsidP="009431FF">
            <w:pPr>
              <w:rPr>
                <w:rFonts w:eastAsia="Times New Roman"/>
                <w:b/>
                <w:bCs/>
                <w:color w:val="000000"/>
                <w:szCs w:val="24"/>
                <w:lang w:eastAsia="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emrine itiraz edilmemesi veya itirazın hükümden düşürülmesi</w:t>
            </w:r>
          </w:p>
          <w:p w:rsidR="00155AF4" w:rsidRPr="00A23740" w:rsidRDefault="00155AF4" w:rsidP="009431FF">
            <w:pPr>
              <w:rPr>
                <w:rFonts w:eastAsia="Times New Roman"/>
                <w:color w:val="000000"/>
                <w:szCs w:val="24"/>
                <w:lang w:eastAsia="tr-TR"/>
              </w:rPr>
            </w:pPr>
            <w:r w:rsidRPr="00A9175D">
              <w:rPr>
                <w:rStyle w:val="KIRMIZIChar"/>
                <w:rFonts w:eastAsia="Calibri"/>
              </w:rPr>
              <w:t>MADDE 8-</w:t>
            </w:r>
            <w:r w:rsidRPr="00A23740">
              <w:rPr>
                <w:rFonts w:eastAsia="Times New Roman"/>
                <w:color w:val="000000"/>
                <w:szCs w:val="24"/>
                <w:lang w:eastAsia="tr-TR"/>
              </w:rPr>
              <w:t xml:space="preserve"> (1) Ödeme emrine itiraz edilmemesi veya itirazın hükümden düşürülmesine rağmen süresi içinde ödeme yapılmaması hâlinde, alacaklının yetkili icra dairesi nezdinde yapacağı talep üzerine </w:t>
            </w:r>
            <w:r w:rsidRPr="00A23740">
              <w:rPr>
                <w:rStyle w:val="KIRMIZIChar"/>
                <w:rFonts w:eastAsia="Calibri"/>
              </w:rPr>
              <w:t>2004 sayılı</w:t>
            </w:r>
            <w:r w:rsidRPr="00A23740">
              <w:rPr>
                <w:rFonts w:eastAsia="Times New Roman"/>
                <w:color w:val="000000"/>
                <w:szCs w:val="24"/>
                <w:lang w:eastAsia="tr-TR"/>
              </w:rPr>
              <w:t xml:space="preserve"> Kanunun ilgili hükümleri uyarınca cebrî icraya devam olunur.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(2) İcra müdürü, cebrî icraya devam edilmesi talep edildiğinde; alacağın bu </w:t>
            </w:r>
            <w:r w:rsidRPr="00A23740">
              <w:rPr>
                <w:rStyle w:val="KIRMIZIChar"/>
                <w:rFonts w:eastAsia="Calibri"/>
              </w:rPr>
              <w:t>Kanun</w:t>
            </w:r>
            <w:r w:rsidRPr="00A23740">
              <w:rPr>
                <w:rFonts w:eastAsia="Times New Roman"/>
                <w:color w:val="000000"/>
                <w:szCs w:val="24"/>
                <w:lang w:eastAsia="tr-TR"/>
              </w:rPr>
              <w:t xml:space="preserve"> kapsamında bulunduğunu, ödeme emrinin tebliğ edildiğini, takibe itiraz edilmediğini veya itirazın hükümden düşürüldüğünü tespit ederse cebrî icra işlemlerine devam eder. Aksi hâlde gerekçesini belirterek talebi reddeder. Verilen kararlara karşı alacaklı veya borçlu şikâyet yoluna başvurabilir.</w:t>
            </w:r>
          </w:p>
          <w:p w:rsidR="00155AF4" w:rsidRPr="00A23740" w:rsidRDefault="00155AF4" w:rsidP="009431FF">
            <w:pPr>
              <w:rPr>
                <w:rFonts w:eastAsia="Times New Roman"/>
                <w:color w:val="000000"/>
                <w:szCs w:val="24"/>
                <w:lang w:eastAsia="tr-TR"/>
              </w:rPr>
            </w:pPr>
          </w:p>
          <w:p w:rsidR="00155AF4" w:rsidRPr="00A23740" w:rsidRDefault="00155AF4" w:rsidP="009431FF">
            <w:pPr>
              <w:rPr>
                <w:rStyle w:val="KIRMIZIChar"/>
                <w:rFonts w:eastAsia="Calibri"/>
                <w:lang w:eastAsia="tr-TR"/>
              </w:rPr>
            </w:pPr>
            <w:r w:rsidRPr="00A23740">
              <w:rPr>
                <w:rFonts w:eastAsia="Times New Roman"/>
                <w:color w:val="000000"/>
                <w:szCs w:val="24"/>
                <w:lang w:eastAsia="tr-TR"/>
              </w:rPr>
              <w:t xml:space="preserve">(3) İkinci fıkra uyarınca cebrî icra işlemlerine devam edilmesinin mümkün olduğu hâllerde, alacaklı avukatı dilerse haciz talebinde bulunmaksızın </w:t>
            </w:r>
            <w:r w:rsidRPr="00A23740">
              <w:rPr>
                <w:rStyle w:val="KIRMIZIChar"/>
                <w:rFonts w:eastAsia="Calibri"/>
              </w:rPr>
              <w:t>UYAP üzerinden, bu sisteme entegre bilişim sistemleri vasıtasıyla</w:t>
            </w:r>
            <w:r w:rsidRPr="00A23740">
              <w:rPr>
                <w:rFonts w:eastAsia="Times New Roman"/>
                <w:color w:val="000000"/>
                <w:szCs w:val="24"/>
                <w:lang w:eastAsia="tr-TR"/>
              </w:rPr>
              <w:t xml:space="preserve"> borçlunun mal, hak veya alacağı olup olmadığını sorgulayabilir. </w:t>
            </w:r>
            <w:r w:rsidRPr="00A23740">
              <w:rPr>
                <w:rStyle w:val="KIRMIZIChar"/>
                <w:rFonts w:eastAsia="Calibri"/>
                <w:lang w:eastAsia="tr-TR"/>
              </w:rPr>
              <w:t>(Mülga cümleler:22/7/2020-7251/62 md.) (…)</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(4) Ödeme emrinin tebliği tarihinden itibaren beş yıl içinde haciz talep edilmezse takip düşer. İtirazın hükümden düşürülmesi</w:t>
            </w:r>
            <w:r w:rsidRPr="00A23740">
              <w:rPr>
                <w:rStyle w:val="KIRMIZIChar"/>
                <w:rFonts w:eastAsia="Calibri"/>
              </w:rPr>
              <w:t>ne ilişkin</w:t>
            </w:r>
            <w:r w:rsidRPr="00A23740">
              <w:rPr>
                <w:rFonts w:eastAsia="Times New Roman"/>
                <w:color w:val="000000"/>
                <w:szCs w:val="24"/>
                <w:lang w:eastAsia="tr-TR"/>
              </w:rPr>
              <w:t xml:space="preserve"> dava açılması hâlinde davanın açıldığı tarihten hükmün kesinleşmesine kadar geçen süre hesaba katılmaz.</w:t>
            </w:r>
          </w:p>
          <w:p w:rsidR="00155AF4" w:rsidRPr="00A23740" w:rsidRDefault="00155AF4" w:rsidP="009431FF">
            <w:pPr>
              <w:rPr>
                <w:rFonts w:eastAsia="Times New Roman"/>
                <w:b/>
                <w:bCs/>
                <w:color w:val="000000"/>
                <w:szCs w:val="24"/>
                <w:lang w:eastAsia="tr-TR"/>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Ödeme emrine itiraz edilmemesi veya itirazın hükümden düşürülmesi</w:t>
            </w:r>
          </w:p>
          <w:p w:rsidR="00155AF4" w:rsidRPr="00A23740" w:rsidRDefault="00155AF4" w:rsidP="009431FF">
            <w:pPr>
              <w:rPr>
                <w:rFonts w:eastAsia="Times New Roman"/>
                <w:color w:val="000000"/>
                <w:szCs w:val="24"/>
                <w:lang w:eastAsia="tr-TR"/>
              </w:rPr>
            </w:pPr>
            <w:r w:rsidRPr="00A23740">
              <w:rPr>
                <w:rStyle w:val="Balk1Char"/>
                <w:rFonts w:eastAsia="Calibri"/>
              </w:rPr>
              <w:t xml:space="preserve">MADDE </w:t>
            </w:r>
            <w:r w:rsidR="00541F7A" w:rsidRPr="00A23740">
              <w:rPr>
                <w:rStyle w:val="Balk1Char"/>
                <w:rFonts w:eastAsia="Calibri"/>
              </w:rPr>
              <w:t>107</w:t>
            </w:r>
            <w:r w:rsidRPr="00A23740">
              <w:rPr>
                <w:rStyle w:val="Balk1Char"/>
                <w:rFonts w:eastAsia="Calibri"/>
              </w:rPr>
              <w:t>-</w:t>
            </w:r>
            <w:r w:rsidRPr="00A23740">
              <w:rPr>
                <w:rFonts w:eastAsia="Times New Roman"/>
                <w:color w:val="000000"/>
                <w:szCs w:val="24"/>
                <w:lang w:eastAsia="tr-TR"/>
              </w:rPr>
              <w:t xml:space="preserve"> (1) Ödeme emrine itiraz edilmemesi veya itirazın hükümden düşürülmesine rağmen süresi içinde ödeme yapılmaması hâlinde, alacaklının yetkili icra </w:t>
            </w:r>
            <w:r w:rsidRPr="00A23740">
              <w:rPr>
                <w:rStyle w:val="MaviChar"/>
              </w:rPr>
              <w:t>ve iflas</w:t>
            </w:r>
            <w:r w:rsidRPr="00A23740">
              <w:rPr>
                <w:rFonts w:eastAsia="Times New Roman"/>
                <w:color w:val="000000"/>
                <w:szCs w:val="24"/>
                <w:lang w:eastAsia="tr-TR"/>
              </w:rPr>
              <w:t xml:space="preserve"> dairesi nezdinde yapacağı talep üzerine </w:t>
            </w:r>
            <w:r w:rsidRPr="00A23740">
              <w:rPr>
                <w:rStyle w:val="MaviChar"/>
              </w:rPr>
              <w:t>bu</w:t>
            </w:r>
            <w:r w:rsidRPr="00A23740">
              <w:rPr>
                <w:rFonts w:eastAsia="Times New Roman"/>
                <w:color w:val="000000"/>
                <w:szCs w:val="24"/>
                <w:lang w:eastAsia="tr-TR"/>
              </w:rPr>
              <w:t xml:space="preserve"> Kanunun ilgili hükümleri uyarınca cebrî icraya devam olunur.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(2) İcra </w:t>
            </w:r>
            <w:r w:rsidR="00F466A3" w:rsidRPr="00D6648F">
              <w:rPr>
                <w:rFonts w:eastAsia="Times New Roman"/>
                <w:b/>
                <w:bCs/>
                <w:color w:val="0000FF"/>
                <w:szCs w:val="24"/>
                <w:lang w:eastAsia="tr-TR"/>
              </w:rPr>
              <w:t>ve iflas</w:t>
            </w:r>
            <w:r w:rsidR="00F466A3" w:rsidRPr="00A23740">
              <w:rPr>
                <w:rFonts w:eastAsia="Times New Roman"/>
                <w:color w:val="000000"/>
                <w:szCs w:val="24"/>
                <w:lang w:eastAsia="tr-TR"/>
              </w:rPr>
              <w:t xml:space="preserve"> </w:t>
            </w:r>
            <w:r w:rsidRPr="00A23740">
              <w:rPr>
                <w:rFonts w:eastAsia="Times New Roman"/>
                <w:color w:val="000000"/>
                <w:szCs w:val="24"/>
                <w:lang w:eastAsia="tr-TR"/>
              </w:rPr>
              <w:t xml:space="preserve">müdürü, cebrî icraya devam edilmesi talep edildiğinde; alacağın bu </w:t>
            </w:r>
            <w:r w:rsidRPr="00A23740">
              <w:rPr>
                <w:rStyle w:val="MaviChar"/>
              </w:rPr>
              <w:t>Ayrım</w:t>
            </w:r>
            <w:r w:rsidRPr="00A23740">
              <w:rPr>
                <w:rFonts w:eastAsia="Times New Roman"/>
                <w:color w:val="000000"/>
                <w:szCs w:val="24"/>
                <w:lang w:eastAsia="tr-TR"/>
              </w:rPr>
              <w:t xml:space="preserve"> kapsamında bulunduğunu, ödeme emrinin tebliğ edildiğini, takibe itiraz edilmediğini veya itirazın hükümden düşürüldüğünü tespit ederse cebrî icra işlemlerine devam eder. Aksi hâlde gerekçesini belirterek talebi reddeder. Verilen kararlara karşı alacaklı veya borçlu şikâyet yoluna başvurabilir.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(3) İkinci fıkra uyarınca cebrî icra işlemlerine devam edilmesinin mümkün olduğu hâllerde, alacaklı </w:t>
            </w:r>
            <w:r w:rsidR="00541F7A" w:rsidRPr="00A23740">
              <w:rPr>
                <w:rStyle w:val="Balk1Char"/>
                <w:rFonts w:eastAsia="Calibri"/>
              </w:rPr>
              <w:t>vekili</w:t>
            </w:r>
            <w:r w:rsidR="00541F7A" w:rsidRPr="00A23740">
              <w:rPr>
                <w:rFonts w:eastAsia="Times New Roman"/>
                <w:color w:val="000000"/>
                <w:szCs w:val="24"/>
                <w:lang w:eastAsia="tr-TR"/>
              </w:rPr>
              <w:t xml:space="preserve"> </w:t>
            </w:r>
            <w:r w:rsidRPr="00A23740">
              <w:rPr>
                <w:rFonts w:eastAsia="Times New Roman"/>
                <w:color w:val="000000"/>
                <w:szCs w:val="24"/>
                <w:lang w:eastAsia="tr-TR"/>
              </w:rPr>
              <w:t xml:space="preserve">dilerse haciz talebinde bulunmaksızın </w:t>
            </w:r>
            <w:r w:rsidR="00BC755F" w:rsidRPr="00D6648F">
              <w:rPr>
                <w:rStyle w:val="KonuBalChar"/>
                <w:rFonts w:eastAsia="Calibri"/>
                <w:color w:val="0000FF"/>
              </w:rPr>
              <w:t>156</w:t>
            </w:r>
            <w:r w:rsidR="00BC755F" w:rsidRPr="00A23740">
              <w:rPr>
                <w:rStyle w:val="KonuBalChar"/>
                <w:rFonts w:eastAsia="Calibri"/>
              </w:rPr>
              <w:t xml:space="preserve"> </w:t>
            </w:r>
            <w:r w:rsidR="00BC755F" w:rsidRPr="00D6648F">
              <w:rPr>
                <w:rStyle w:val="KonuBalChar"/>
                <w:rFonts w:eastAsia="Calibri"/>
                <w:color w:val="0000FF"/>
              </w:rPr>
              <w:t>ncı</w:t>
            </w:r>
            <w:r w:rsidR="00BC755F" w:rsidRPr="00A23740">
              <w:rPr>
                <w:rStyle w:val="MaviChar"/>
                <w:lang w:val="tr-TR"/>
              </w:rPr>
              <w:t xml:space="preserve"> </w:t>
            </w:r>
            <w:r w:rsidRPr="00A23740">
              <w:rPr>
                <w:rStyle w:val="MaviChar"/>
              </w:rPr>
              <w:t>madde uyarınca</w:t>
            </w:r>
            <w:r w:rsidRPr="00A23740">
              <w:rPr>
                <w:rFonts w:eastAsia="Times New Roman"/>
                <w:color w:val="000000"/>
                <w:szCs w:val="24"/>
                <w:lang w:eastAsia="tr-TR"/>
              </w:rPr>
              <w:t xml:space="preserve"> borçlunun mal, hak veya alacağı olup olmadığını sorgulayabilir. </w:t>
            </w:r>
          </w:p>
          <w:p w:rsidR="00155AF4" w:rsidRDefault="00155AF4" w:rsidP="009431FF">
            <w:pPr>
              <w:rPr>
                <w:rFonts w:eastAsia="Times New Roman"/>
                <w:color w:val="000000"/>
                <w:szCs w:val="24"/>
                <w:lang w:eastAsia="tr-TR"/>
              </w:rPr>
            </w:pPr>
          </w:p>
          <w:p w:rsidR="003E5126" w:rsidRPr="00A23740" w:rsidRDefault="003E5126"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(4) Ödeme emrinin tebliği tarihinden itibaren beş yıl içinde haciz talep edilmezse takip düşer. İtirazın hükümden düşürülmesi </w:t>
            </w:r>
            <w:r w:rsidRPr="00A23740">
              <w:rPr>
                <w:rStyle w:val="MaviChar"/>
              </w:rPr>
              <w:t>için</w:t>
            </w:r>
            <w:r w:rsidRPr="00A23740">
              <w:rPr>
                <w:rStyle w:val="YELChar"/>
              </w:rPr>
              <w:t xml:space="preserve"> </w:t>
            </w:r>
            <w:r w:rsidRPr="00A23740">
              <w:rPr>
                <w:rFonts w:eastAsia="Times New Roman"/>
                <w:color w:val="000000"/>
                <w:szCs w:val="24"/>
                <w:lang w:eastAsia="tr-TR"/>
              </w:rPr>
              <w:t>dava açılması hâlinde</w:t>
            </w:r>
            <w:r w:rsidRPr="00A23740">
              <w:rPr>
                <w:rStyle w:val="MaviChar"/>
              </w:rPr>
              <w:t xml:space="preserve">, </w:t>
            </w:r>
            <w:r w:rsidRPr="00A23740">
              <w:rPr>
                <w:rFonts w:eastAsia="Times New Roman"/>
                <w:color w:val="000000"/>
                <w:szCs w:val="24"/>
                <w:lang w:eastAsia="tr-TR"/>
              </w:rPr>
              <w:t>davanın açıldığı tarihten hükmün kesinleşmesine kadar geçen süre hesaba katılmaz.</w:t>
            </w:r>
          </w:p>
          <w:p w:rsidR="00155AF4" w:rsidRPr="00A23740" w:rsidRDefault="00155AF4" w:rsidP="009431FF">
            <w:pPr>
              <w:rPr>
                <w:rFonts w:eastAsia="Times New Roman"/>
                <w:b/>
                <w:bCs/>
                <w:color w:val="000000"/>
                <w:szCs w:val="24"/>
                <w:lang w:eastAsia="tr-TR"/>
              </w:rPr>
            </w:pPr>
          </w:p>
        </w:tc>
      </w:tr>
      <w:tr w:rsidR="00825550"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A9175D" w:rsidRDefault="00A9175D" w:rsidP="009431FF">
            <w:pPr>
              <w:ind w:firstLine="709"/>
              <w:rPr>
                <w:b/>
                <w:bCs/>
                <w:color w:val="000000"/>
                <w:szCs w:val="24"/>
                <w:lang w:eastAsia="tr-TR"/>
              </w:rPr>
            </w:pPr>
          </w:p>
          <w:p w:rsidR="005C5BA8" w:rsidRPr="00A23740" w:rsidRDefault="00541F7A" w:rsidP="009431FF">
            <w:pPr>
              <w:ind w:firstLine="709"/>
            </w:pPr>
            <w:r w:rsidRPr="00A23740">
              <w:rPr>
                <w:b/>
                <w:bCs/>
                <w:color w:val="000000"/>
                <w:szCs w:val="24"/>
                <w:lang w:eastAsia="tr-TR"/>
              </w:rPr>
              <w:t>MADDE 107</w:t>
            </w:r>
            <w:r w:rsidR="00825550" w:rsidRPr="00A23740">
              <w:rPr>
                <w:b/>
                <w:bCs/>
                <w:color w:val="000000"/>
                <w:szCs w:val="24"/>
                <w:lang w:eastAsia="tr-TR"/>
              </w:rPr>
              <w:t xml:space="preserve">- </w:t>
            </w:r>
            <w:r w:rsidR="00825550" w:rsidRPr="00A23740">
              <w:t>Maddeyle, ödeme emrine itiraz edilmemesi veya itirazın hükümden düşürülmesi h</w:t>
            </w:r>
            <w:r w:rsidR="00BC755F" w:rsidRPr="00A23740">
              <w:t>â</w:t>
            </w:r>
            <w:r w:rsidR="00825550" w:rsidRPr="00A23740">
              <w:t xml:space="preserve">li düzenlenmektedir. </w:t>
            </w:r>
            <w:r w:rsidR="005C5BA8" w:rsidRPr="00A23740">
              <w:rPr>
                <w:bCs/>
                <w:color w:val="000000"/>
                <w:szCs w:val="24"/>
                <w:lang w:eastAsia="tr-TR"/>
              </w:rPr>
              <w:t>Bu madde, 7155 sayılı Kanunun 8 inci maddesine karşılık gelmektedir.</w:t>
            </w:r>
          </w:p>
          <w:p w:rsidR="00FA1372" w:rsidRPr="00A23740" w:rsidRDefault="005C5BA8" w:rsidP="009431FF">
            <w:pPr>
              <w:ind w:firstLine="709"/>
              <w:rPr>
                <w:rFonts w:eastAsia="Times New Roman"/>
                <w:color w:val="000000"/>
                <w:szCs w:val="24"/>
                <w:lang w:eastAsia="tr-TR"/>
              </w:rPr>
            </w:pPr>
            <w:r w:rsidRPr="00A23740">
              <w:t xml:space="preserve">Birinci fıkrayla, </w:t>
            </w:r>
            <w:r w:rsidRPr="00A23740">
              <w:rPr>
                <w:rFonts w:eastAsia="Times New Roman"/>
                <w:color w:val="000000"/>
                <w:szCs w:val="24"/>
                <w:lang w:eastAsia="tr-TR"/>
              </w:rPr>
              <w:t xml:space="preserve">ödeme emrine itiraz edilmemesi veya itirazın hükümden düşürülmesine rağmen süresi içinde ödeme yapılmaması hâlinde, alacaklının yetkili icra </w:t>
            </w:r>
            <w:r w:rsidRPr="00A23740">
              <w:rPr>
                <w:rFonts w:eastAsia="Times New Roman"/>
                <w:bCs/>
                <w:color w:val="000000"/>
                <w:lang w:eastAsia="tr-TR"/>
              </w:rPr>
              <w:t>ve iflas</w:t>
            </w:r>
            <w:r w:rsidRPr="00A23740">
              <w:rPr>
                <w:rFonts w:eastAsia="Times New Roman"/>
                <w:color w:val="000000"/>
                <w:szCs w:val="24"/>
                <w:lang w:eastAsia="tr-TR"/>
              </w:rPr>
              <w:t xml:space="preserve"> dairesi nezdinde yapacağı talep üzerine </w:t>
            </w:r>
            <w:r w:rsidR="00803DCC" w:rsidRPr="00D6648F">
              <w:rPr>
                <w:rFonts w:eastAsia="Times New Roman"/>
                <w:bCs/>
                <w:color w:val="000000"/>
                <w:szCs w:val="24"/>
                <w:lang w:eastAsia="tr-TR"/>
              </w:rPr>
              <w:t>Taslağın</w:t>
            </w:r>
            <w:r w:rsidR="00803DCC" w:rsidRPr="00A23740">
              <w:rPr>
                <w:rFonts w:eastAsia="Times New Roman"/>
                <w:color w:val="000000"/>
                <w:szCs w:val="24"/>
                <w:lang w:eastAsia="tr-TR"/>
              </w:rPr>
              <w:t xml:space="preserve"> </w:t>
            </w:r>
            <w:r w:rsidRPr="00A23740">
              <w:rPr>
                <w:rFonts w:eastAsia="Times New Roman"/>
                <w:color w:val="000000"/>
                <w:szCs w:val="24"/>
                <w:lang w:eastAsia="tr-TR"/>
              </w:rPr>
              <w:t>hacze ilişkin hükümleri uyarınca cebrî icraya devam olunacağı hükme bağlanmaktadır.</w:t>
            </w:r>
          </w:p>
          <w:p w:rsidR="00FA1372" w:rsidRPr="00A23740" w:rsidRDefault="005C5BA8" w:rsidP="009431FF">
            <w:pPr>
              <w:ind w:firstLine="709"/>
            </w:pPr>
            <w:r w:rsidRPr="00A23740">
              <w:t>İkinci fıkra</w:t>
            </w:r>
            <w:r w:rsidR="005865AE" w:rsidRPr="00A23740">
              <w:t>da</w:t>
            </w:r>
            <w:r w:rsidRPr="00A23740">
              <w:t xml:space="preserve">, </w:t>
            </w:r>
            <w:r w:rsidR="00FA1372" w:rsidRPr="00A23740">
              <w:t xml:space="preserve">icra </w:t>
            </w:r>
            <w:r w:rsidR="00BA30A1" w:rsidRPr="00D6648F">
              <w:t>ve iflas</w:t>
            </w:r>
            <w:r w:rsidR="00BA30A1" w:rsidRPr="00A23740">
              <w:rPr>
                <w:rStyle w:val="YELChar"/>
                <w:b w:val="0"/>
              </w:rPr>
              <w:t xml:space="preserve"> </w:t>
            </w:r>
            <w:r w:rsidR="00FA1372" w:rsidRPr="00A23740">
              <w:t xml:space="preserve">müdürünün yapacağı işlemler düzenlenmektedir. </w:t>
            </w:r>
            <w:r w:rsidR="00825550" w:rsidRPr="00A23740">
              <w:t>Alacaklı cebr</w:t>
            </w:r>
            <w:r w:rsidR="00BC755F" w:rsidRPr="00A23740">
              <w:t>î</w:t>
            </w:r>
            <w:r w:rsidR="00825550" w:rsidRPr="00A23740">
              <w:t xml:space="preserve"> icraya devam olunması</w:t>
            </w:r>
            <w:r w:rsidR="00CA10FF" w:rsidRPr="00A23740">
              <w:t xml:space="preserve">nı talep ettiğinde, icra </w:t>
            </w:r>
            <w:r w:rsidR="007D74DD" w:rsidRPr="00A9175D">
              <w:t>ve iflas</w:t>
            </w:r>
            <w:r w:rsidR="007D74DD" w:rsidRPr="00A23740">
              <w:rPr>
                <w:b/>
                <w:color w:val="385623"/>
              </w:rPr>
              <w:t xml:space="preserve"> </w:t>
            </w:r>
            <w:r w:rsidR="00CA10FF" w:rsidRPr="00A23740">
              <w:t>müdürü</w:t>
            </w:r>
            <w:r w:rsidR="00825550" w:rsidRPr="00A23740">
              <w:t xml:space="preserve"> </w:t>
            </w:r>
            <w:r w:rsidR="00FA1372" w:rsidRPr="00A23740">
              <w:t>Merkezî</w:t>
            </w:r>
            <w:r w:rsidR="00825550" w:rsidRPr="00A23740">
              <w:t xml:space="preserve"> Takip Sistemindeki kayıtları esas alarak; alacağın bu </w:t>
            </w:r>
            <w:r w:rsidR="00FA1372" w:rsidRPr="00A23740">
              <w:t>Ayrım</w:t>
            </w:r>
            <w:r w:rsidR="00825550" w:rsidRPr="00A23740">
              <w:t xml:space="preserve"> kapsamında bulunduğunu, ödeme emrinin tebliğ edildiğini, takibe itiraz edilmediğini veya itirazın hükümden düşürüldüğünü ve borcun ödenmediğini tespit ederse</w:t>
            </w:r>
            <w:r w:rsidR="005865AE" w:rsidRPr="00A23740">
              <w:t>,</w:t>
            </w:r>
            <w:r w:rsidR="00825550" w:rsidRPr="00A23740">
              <w:t xml:space="preserve"> cebr</w:t>
            </w:r>
            <w:r w:rsidR="00BC755F" w:rsidRPr="00A23740">
              <w:t>î</w:t>
            </w:r>
            <w:r w:rsidR="00825550" w:rsidRPr="00A23740">
              <w:t xml:space="preserve"> icra işlemlerine devam edecektir. Bu şartlardan herhangi birinin gerçekleşmediğini tespit eden icra </w:t>
            </w:r>
            <w:r w:rsidR="007D74DD" w:rsidRPr="00A9175D">
              <w:t>ve iflas</w:t>
            </w:r>
            <w:r w:rsidR="007D74DD" w:rsidRPr="00A23740">
              <w:rPr>
                <w:b/>
                <w:color w:val="385623"/>
              </w:rPr>
              <w:t xml:space="preserve"> </w:t>
            </w:r>
            <w:r w:rsidR="00825550" w:rsidRPr="00A23740">
              <w:t>müdürü, gerekçesini belirterek haciz talebini reddedecektir. Verilen kararlara kar</w:t>
            </w:r>
            <w:r w:rsidR="00FA1372" w:rsidRPr="00A23740">
              <w:t>şı şikâyet yolu açık olacaktır.</w:t>
            </w:r>
          </w:p>
          <w:p w:rsidR="00FA1372" w:rsidRPr="00A23740" w:rsidRDefault="00FA1372" w:rsidP="009431FF">
            <w:pPr>
              <w:ind w:firstLine="709"/>
            </w:pPr>
            <w:r w:rsidRPr="00A23740">
              <w:t>Üçüncü fıkra</w:t>
            </w:r>
            <w:r w:rsidR="005865AE" w:rsidRPr="00A23740">
              <w:t>da</w:t>
            </w:r>
            <w:r w:rsidRPr="00A23740">
              <w:t xml:space="preserve">, alacaklı avukatının </w:t>
            </w:r>
            <w:r w:rsidR="00CA10FF" w:rsidRPr="00A23740">
              <w:t xml:space="preserve">sorgulama yapma yetkisi </w:t>
            </w:r>
            <w:r w:rsidRPr="00A23740">
              <w:t xml:space="preserve">düzenlenmektedir. Hükme göre, ikinci fıkra uyarınca cebrî icra işlemlerine devam edilmesinin mümkün olduğu hâllerde </w:t>
            </w:r>
            <w:r w:rsidR="00825550" w:rsidRPr="00A23740">
              <w:t>alacaklı</w:t>
            </w:r>
            <w:r w:rsidR="00541F7A" w:rsidRPr="00A23740">
              <w:t xml:space="preserve"> </w:t>
            </w:r>
            <w:r w:rsidR="00541F7A" w:rsidRPr="00D6648F">
              <w:t>vekili,</w:t>
            </w:r>
            <w:r w:rsidR="00825550" w:rsidRPr="00A23740">
              <w:t xml:space="preserve"> dilerse haciz talebinde bulunmaksızın</w:t>
            </w:r>
            <w:r w:rsidRPr="00A23740">
              <w:t xml:space="preserve"> </w:t>
            </w:r>
            <w:r w:rsidR="00803DCC" w:rsidRPr="00D6648F">
              <w:t>Taslağın</w:t>
            </w:r>
            <w:r w:rsidR="00F46904" w:rsidRPr="00F46904">
              <w:rPr>
                <w:rStyle w:val="AralkYokChar"/>
                <w:strike w:val="0"/>
                <w:lang w:val="tr-TR"/>
              </w:rPr>
              <w:t xml:space="preserve"> </w:t>
            </w:r>
            <w:r w:rsidR="00BC755F" w:rsidRPr="00D6648F">
              <w:t>156</w:t>
            </w:r>
            <w:r w:rsidR="00BC755F" w:rsidRPr="00A23740">
              <w:rPr>
                <w:rStyle w:val="KonuBalChar"/>
                <w:rFonts w:eastAsia="Calibri"/>
              </w:rPr>
              <w:t xml:space="preserve"> </w:t>
            </w:r>
            <w:r w:rsidR="00BC755F" w:rsidRPr="00D6648F">
              <w:t>ncı</w:t>
            </w:r>
            <w:r w:rsidRPr="00A23740">
              <w:t xml:space="preserve"> madde</w:t>
            </w:r>
            <w:r w:rsidR="00CA10FF" w:rsidRPr="00A23740">
              <w:t>sin</w:t>
            </w:r>
            <w:r w:rsidRPr="00A23740">
              <w:t>de düzenlenen esaslar uyarınca</w:t>
            </w:r>
            <w:r w:rsidR="00825550" w:rsidRPr="00A23740">
              <w:t xml:space="preserve"> borçlunun mal, hak veya alacağının olup </w:t>
            </w:r>
            <w:r w:rsidR="00CA10FF" w:rsidRPr="00A23740">
              <w:t>olmadığını sorgulayabilecektir.</w:t>
            </w:r>
          </w:p>
          <w:p w:rsidR="00E91409" w:rsidRDefault="00FA1372" w:rsidP="009431FF">
            <w:pPr>
              <w:ind w:firstLine="709"/>
              <w:rPr>
                <w:rFonts w:eastAsia="Times New Roman"/>
                <w:color w:val="000000"/>
                <w:szCs w:val="24"/>
                <w:lang w:eastAsia="tr-TR"/>
              </w:rPr>
            </w:pPr>
            <w:r w:rsidRPr="00A23740">
              <w:t xml:space="preserve">Dördüncü fıkrayla, </w:t>
            </w:r>
            <w:r w:rsidRPr="00A23740">
              <w:rPr>
                <w:rFonts w:eastAsia="Times New Roman"/>
                <w:color w:val="000000"/>
                <w:szCs w:val="24"/>
                <w:lang w:eastAsia="tr-TR"/>
              </w:rPr>
              <w:t>ödeme emrinin tebliği tarihinden itibaren beş yıl içinde haciz talep edilmezse</w:t>
            </w:r>
            <w:r w:rsidR="00541F7A" w:rsidRPr="00A23740">
              <w:rPr>
                <w:rFonts w:eastAsia="Times New Roman"/>
                <w:color w:val="000000"/>
                <w:szCs w:val="24"/>
                <w:lang w:eastAsia="tr-TR"/>
              </w:rPr>
              <w:t xml:space="preserve"> </w:t>
            </w:r>
            <w:r w:rsidRPr="00A23740">
              <w:rPr>
                <w:rFonts w:eastAsia="Times New Roman"/>
                <w:color w:val="000000"/>
                <w:szCs w:val="24"/>
                <w:lang w:eastAsia="tr-TR"/>
              </w:rPr>
              <w:t>takibin düşeceği</w:t>
            </w:r>
            <w:r w:rsidR="005865AE" w:rsidRPr="00A23740">
              <w:rPr>
                <w:rFonts w:eastAsia="Times New Roman"/>
                <w:color w:val="000000"/>
                <w:szCs w:val="24"/>
                <w:lang w:eastAsia="tr-TR"/>
              </w:rPr>
              <w:t xml:space="preserve"> hususu açıklığa kavuşturulmaktadır</w:t>
            </w:r>
            <w:r w:rsidRPr="00A23740">
              <w:rPr>
                <w:rFonts w:eastAsia="Times New Roman"/>
                <w:color w:val="000000"/>
                <w:szCs w:val="24"/>
                <w:lang w:eastAsia="tr-TR"/>
              </w:rPr>
              <w:t>.</w:t>
            </w:r>
            <w:r w:rsidR="00541F7A" w:rsidRPr="00A23740">
              <w:rPr>
                <w:rFonts w:eastAsia="Times New Roman"/>
                <w:color w:val="000000"/>
                <w:szCs w:val="24"/>
                <w:lang w:eastAsia="tr-TR"/>
              </w:rPr>
              <w:t xml:space="preserve"> </w:t>
            </w:r>
            <w:r w:rsidR="00541F7A" w:rsidRPr="00D6648F">
              <w:t>Alacağın niteliği dikkate alınarak haczi talep</w:t>
            </w:r>
            <w:r w:rsidRPr="00D6648F">
              <w:t xml:space="preserve"> </w:t>
            </w:r>
            <w:r w:rsidR="00541F7A" w:rsidRPr="00D6648F">
              <w:t xml:space="preserve">süresi genel hükümlerden ayrılarak, beş yıl olarak kabul edilmiştir. </w:t>
            </w:r>
            <w:r w:rsidRPr="00D6648F">
              <w:t>Ancak itirazın hükümden dü</w:t>
            </w:r>
            <w:r w:rsidRPr="00A23740">
              <w:rPr>
                <w:rFonts w:eastAsia="Times New Roman"/>
                <w:color w:val="000000"/>
                <w:szCs w:val="24"/>
                <w:lang w:eastAsia="tr-TR"/>
              </w:rPr>
              <w:t xml:space="preserve">şürülmesi </w:t>
            </w:r>
            <w:r w:rsidRPr="00A23740">
              <w:rPr>
                <w:rFonts w:eastAsia="Times New Roman"/>
                <w:bCs/>
                <w:color w:val="000000"/>
                <w:lang w:eastAsia="tr-TR"/>
              </w:rPr>
              <w:t>için</w:t>
            </w:r>
            <w:r w:rsidRPr="00A23740">
              <w:rPr>
                <w:rFonts w:eastAsia="Times New Roman"/>
                <w:color w:val="000000"/>
                <w:lang w:eastAsia="tr-TR"/>
              </w:rPr>
              <w:t xml:space="preserve"> </w:t>
            </w:r>
            <w:r w:rsidRPr="00A23740">
              <w:rPr>
                <w:rFonts w:eastAsia="Times New Roman"/>
                <w:color w:val="000000"/>
                <w:szCs w:val="24"/>
                <w:lang w:eastAsia="tr-TR"/>
              </w:rPr>
              <w:t>dava açılması hâlinde</w:t>
            </w:r>
            <w:r w:rsidRPr="00A23740">
              <w:rPr>
                <w:rFonts w:eastAsia="Times New Roman"/>
                <w:bCs/>
                <w:color w:val="000000"/>
                <w:lang w:eastAsia="tr-TR"/>
              </w:rPr>
              <w:t>,</w:t>
            </w:r>
            <w:r w:rsidRPr="00A23740">
              <w:rPr>
                <w:rStyle w:val="MaviChar"/>
              </w:rPr>
              <w:t xml:space="preserve"> </w:t>
            </w:r>
            <w:r w:rsidRPr="00A23740">
              <w:rPr>
                <w:rFonts w:eastAsia="Times New Roman"/>
                <w:color w:val="000000"/>
                <w:szCs w:val="24"/>
                <w:lang w:eastAsia="tr-TR"/>
              </w:rPr>
              <w:t>davanın açıldığı tarihten hükmün kesinleşmesine kadar geçen süre hesaba katılmayacaktır.</w:t>
            </w:r>
            <w:r w:rsidR="00541F7A" w:rsidRPr="00A23740">
              <w:rPr>
                <w:rFonts w:eastAsia="Times New Roman"/>
                <w:color w:val="000000"/>
                <w:szCs w:val="24"/>
                <w:lang w:eastAsia="tr-TR"/>
              </w:rPr>
              <w:t xml:space="preserve"> </w:t>
            </w:r>
          </w:p>
          <w:p w:rsidR="003047A5" w:rsidRDefault="003047A5" w:rsidP="009431FF">
            <w:pPr>
              <w:ind w:firstLine="709"/>
              <w:rPr>
                <w:b/>
              </w:rPr>
            </w:pPr>
          </w:p>
          <w:p w:rsidR="00E91409" w:rsidRPr="00A23740" w:rsidRDefault="00E91409" w:rsidP="009431FF">
            <w:pPr>
              <w:ind w:firstLine="709"/>
              <w:rPr>
                <w:rFonts w:eastAsia="Times New Roman"/>
                <w:b/>
                <w:bCs/>
                <w:color w:val="000000"/>
                <w:szCs w:val="24"/>
                <w:lang w:eastAsia="tr-TR"/>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Hüküm bulunmayan hâller ve yönetmelik</w:t>
            </w:r>
          </w:p>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 xml:space="preserve">MADDE </w:t>
            </w:r>
            <w:r w:rsidRPr="00A23740">
              <w:rPr>
                <w:rStyle w:val="KIRMIZIChar"/>
                <w:rFonts w:eastAsia="Calibri"/>
              </w:rPr>
              <w:t>9-</w:t>
            </w:r>
            <w:r w:rsidRPr="00A23740">
              <w:rPr>
                <w:rFonts w:eastAsia="Times New Roman"/>
                <w:color w:val="000000"/>
                <w:szCs w:val="24"/>
                <w:lang w:eastAsia="tr-TR"/>
              </w:rPr>
              <w:t xml:space="preserve"> (1) Bu </w:t>
            </w:r>
            <w:r w:rsidRPr="00A23740">
              <w:rPr>
                <w:rStyle w:val="KIRMIZIChar"/>
                <w:rFonts w:eastAsia="Calibri"/>
              </w:rPr>
              <w:t>Kanunda</w:t>
            </w:r>
            <w:r w:rsidRPr="00A23740">
              <w:rPr>
                <w:rFonts w:eastAsia="Times New Roman"/>
                <w:color w:val="000000"/>
                <w:szCs w:val="24"/>
                <w:lang w:eastAsia="tr-TR"/>
              </w:rPr>
              <w:t xml:space="preserve"> hüküm bulunmayan hâllerde </w:t>
            </w:r>
            <w:r w:rsidRPr="00A23740">
              <w:rPr>
                <w:rStyle w:val="KIRMIZIChar"/>
                <w:rFonts w:eastAsia="Calibri"/>
              </w:rPr>
              <w:t>2004 sayılı</w:t>
            </w:r>
            <w:r w:rsidRPr="00A23740">
              <w:rPr>
                <w:rFonts w:eastAsia="Times New Roman"/>
                <w:color w:val="000000"/>
                <w:szCs w:val="24"/>
                <w:lang w:eastAsia="tr-TR"/>
              </w:rPr>
              <w:t xml:space="preserve"> Kanun hükümleri uygulanır.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(2) Bu </w:t>
            </w:r>
            <w:r w:rsidRPr="00A23740">
              <w:rPr>
                <w:rStyle w:val="KIRMIZIChar"/>
                <w:rFonts w:eastAsia="Calibri"/>
              </w:rPr>
              <w:t>Kanunun</w:t>
            </w:r>
            <w:r w:rsidRPr="00A23740">
              <w:rPr>
                <w:rFonts w:eastAsia="Times New Roman"/>
                <w:color w:val="000000"/>
                <w:szCs w:val="24"/>
                <w:lang w:eastAsia="tr-TR"/>
              </w:rPr>
              <w:t xml:space="preserve"> uygulanmasına ilişkin hususlar Adalet Bakanlığınca </w:t>
            </w:r>
            <w:r w:rsidRPr="00A23740">
              <w:rPr>
                <w:rStyle w:val="KIRMIZIChar"/>
                <w:rFonts w:eastAsia="Calibri"/>
              </w:rPr>
              <w:t>yürürlüğe konulan</w:t>
            </w:r>
            <w:r w:rsidRPr="00A23740">
              <w:rPr>
                <w:rFonts w:eastAsia="Times New Roman"/>
                <w:color w:val="000000"/>
                <w:szCs w:val="24"/>
                <w:lang w:eastAsia="tr-TR"/>
              </w:rPr>
              <w:t xml:space="preserve"> yönetmelikle düzenlenir.</w:t>
            </w:r>
          </w:p>
          <w:p w:rsidR="00155AF4" w:rsidRPr="00A23740" w:rsidRDefault="00155AF4" w:rsidP="009431FF">
            <w:pPr>
              <w:tabs>
                <w:tab w:val="left" w:pos="567"/>
              </w:tabs>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rPr>
                <w:rFonts w:eastAsia="Times New Roman"/>
                <w:color w:val="000000"/>
                <w:szCs w:val="24"/>
                <w:lang w:eastAsia="tr-TR"/>
              </w:rPr>
            </w:pPr>
            <w:r w:rsidRPr="00A23740">
              <w:rPr>
                <w:rFonts w:eastAsia="Times New Roman"/>
                <w:b/>
                <w:bCs/>
                <w:color w:val="000000"/>
                <w:szCs w:val="24"/>
                <w:lang w:eastAsia="tr-TR"/>
              </w:rPr>
              <w:t>Hüküm bulunmayan hâller ve yönetmelik</w:t>
            </w:r>
          </w:p>
          <w:p w:rsidR="00155AF4" w:rsidRPr="00A23740" w:rsidRDefault="00155AF4" w:rsidP="009431FF">
            <w:pPr>
              <w:rPr>
                <w:rFonts w:eastAsia="Times New Roman"/>
                <w:color w:val="000000"/>
                <w:szCs w:val="24"/>
                <w:lang w:eastAsia="tr-TR"/>
              </w:rPr>
            </w:pPr>
            <w:r w:rsidRPr="00A23740">
              <w:rPr>
                <w:rStyle w:val="Balk1Char"/>
                <w:rFonts w:eastAsia="Calibri"/>
              </w:rPr>
              <w:t xml:space="preserve">MADDE </w:t>
            </w:r>
            <w:r w:rsidR="00541F7A" w:rsidRPr="00A23740">
              <w:rPr>
                <w:rStyle w:val="Balk1Char"/>
                <w:rFonts w:eastAsia="Calibri"/>
              </w:rPr>
              <w:t>108</w:t>
            </w:r>
            <w:r w:rsidRPr="00A23740">
              <w:rPr>
                <w:rStyle w:val="Balk1Char"/>
                <w:rFonts w:eastAsia="Calibri"/>
              </w:rPr>
              <w:t>-</w:t>
            </w:r>
            <w:r w:rsidRPr="00A23740">
              <w:rPr>
                <w:rFonts w:eastAsia="Times New Roman"/>
                <w:color w:val="000000"/>
                <w:szCs w:val="24"/>
                <w:lang w:eastAsia="tr-TR"/>
              </w:rPr>
              <w:t xml:space="preserve"> (1) Bu </w:t>
            </w:r>
            <w:r w:rsidRPr="00A23740">
              <w:rPr>
                <w:rStyle w:val="MaviChar"/>
              </w:rPr>
              <w:t>Ayrımda</w:t>
            </w:r>
            <w:r w:rsidRPr="00A23740">
              <w:rPr>
                <w:rFonts w:eastAsia="Times New Roman"/>
                <w:color w:val="000000"/>
                <w:szCs w:val="24"/>
                <w:lang w:eastAsia="tr-TR"/>
              </w:rPr>
              <w:t xml:space="preserve"> hüküm bulunmayan hâllerde </w:t>
            </w:r>
            <w:r w:rsidRPr="00A23740">
              <w:rPr>
                <w:rStyle w:val="MaviChar"/>
              </w:rPr>
              <w:t>bu</w:t>
            </w:r>
            <w:r w:rsidRPr="00A23740">
              <w:rPr>
                <w:rFonts w:eastAsia="Times New Roman"/>
                <w:color w:val="000000"/>
                <w:szCs w:val="24"/>
                <w:lang w:eastAsia="tr-TR"/>
              </w:rPr>
              <w:t xml:space="preserve"> Kanun</w:t>
            </w:r>
            <w:r w:rsidRPr="00A23740">
              <w:rPr>
                <w:rStyle w:val="MaviChar"/>
              </w:rPr>
              <w:t>un</w:t>
            </w:r>
            <w:r w:rsidRPr="00A23740">
              <w:rPr>
                <w:rFonts w:eastAsia="Times New Roman"/>
                <w:color w:val="000000"/>
                <w:szCs w:val="24"/>
                <w:lang w:eastAsia="tr-TR"/>
              </w:rPr>
              <w:t xml:space="preserve"> </w:t>
            </w:r>
            <w:r w:rsidRPr="00A23740">
              <w:rPr>
                <w:rStyle w:val="MaviChar"/>
              </w:rPr>
              <w:t xml:space="preserve">diğer </w:t>
            </w:r>
            <w:r w:rsidRPr="00A23740">
              <w:rPr>
                <w:rFonts w:eastAsia="Times New Roman"/>
                <w:color w:val="000000"/>
                <w:szCs w:val="24"/>
                <w:lang w:eastAsia="tr-TR"/>
              </w:rPr>
              <w:t>hükümleri uygulanır.</w:t>
            </w:r>
          </w:p>
          <w:p w:rsidR="00155AF4" w:rsidRPr="00A23740" w:rsidRDefault="00155AF4"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rFonts w:eastAsia="Times New Roman"/>
                <w:color w:val="000000"/>
                <w:szCs w:val="24"/>
                <w:lang w:eastAsia="tr-TR"/>
              </w:rPr>
              <w:t xml:space="preserve">(2) Bu </w:t>
            </w:r>
            <w:r w:rsidRPr="00A23740">
              <w:rPr>
                <w:rStyle w:val="MaviChar"/>
              </w:rPr>
              <w:t>Ayrımın</w:t>
            </w:r>
            <w:r w:rsidRPr="00A23740">
              <w:rPr>
                <w:rFonts w:eastAsia="Times New Roman"/>
                <w:color w:val="000000"/>
                <w:szCs w:val="24"/>
                <w:lang w:eastAsia="tr-TR"/>
              </w:rPr>
              <w:t xml:space="preserve"> uygulanmasına ilişkin hususlar Adalet Bakanlığınca </w:t>
            </w:r>
            <w:r w:rsidRPr="00A23740">
              <w:rPr>
                <w:rStyle w:val="MaviChar"/>
              </w:rPr>
              <w:t>çıkarılacak</w:t>
            </w:r>
            <w:r w:rsidRPr="00A23740">
              <w:rPr>
                <w:rFonts w:eastAsia="Times New Roman"/>
                <w:color w:val="000000"/>
                <w:szCs w:val="24"/>
                <w:lang w:eastAsia="tr-TR"/>
              </w:rPr>
              <w:t xml:space="preserve"> yönetmelikle düzenlenir.</w:t>
            </w:r>
          </w:p>
          <w:p w:rsidR="00155AF4" w:rsidRPr="00A23740" w:rsidRDefault="00155AF4" w:rsidP="009431FF">
            <w:pPr>
              <w:rPr>
                <w:szCs w:val="24"/>
              </w:rPr>
            </w:pPr>
          </w:p>
        </w:tc>
      </w:tr>
      <w:tr w:rsidR="00825550"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5000" w:type="pct"/>
            <w:gridSpan w:val="2"/>
            <w:tcBorders>
              <w:top w:val="single" w:sz="3" w:space="0" w:color="000000"/>
              <w:left w:val="single" w:sz="3" w:space="0" w:color="000000"/>
              <w:bottom w:val="single" w:sz="3" w:space="0" w:color="000000"/>
              <w:right w:val="single" w:sz="3" w:space="0" w:color="000000"/>
            </w:tcBorders>
            <w:shd w:val="clear" w:color="auto" w:fill="DEEAF6"/>
          </w:tcPr>
          <w:p w:rsidR="00FA1372" w:rsidRPr="00A23740" w:rsidRDefault="00FA1372" w:rsidP="009431FF">
            <w:pPr>
              <w:ind w:firstLine="709"/>
              <w:rPr>
                <w:b/>
                <w:bCs/>
                <w:color w:val="000000"/>
                <w:szCs w:val="24"/>
                <w:lang w:eastAsia="tr-TR"/>
              </w:rPr>
            </w:pPr>
          </w:p>
          <w:p w:rsidR="00E91409" w:rsidRPr="00A23740" w:rsidRDefault="00975E26" w:rsidP="009431FF">
            <w:pPr>
              <w:ind w:firstLine="709"/>
              <w:rPr>
                <w:rFonts w:eastAsia="Times New Roman"/>
                <w:b/>
                <w:bCs/>
                <w:color w:val="000000"/>
                <w:szCs w:val="24"/>
                <w:lang w:eastAsia="tr-TR"/>
              </w:rPr>
            </w:pPr>
            <w:r w:rsidRPr="00A23740">
              <w:rPr>
                <w:b/>
                <w:bCs/>
                <w:color w:val="000000"/>
                <w:szCs w:val="24"/>
                <w:lang w:eastAsia="tr-TR"/>
              </w:rPr>
              <w:t>MADDE 108</w:t>
            </w:r>
            <w:r w:rsidR="00825550" w:rsidRPr="00A23740">
              <w:rPr>
                <w:b/>
                <w:bCs/>
                <w:color w:val="000000"/>
                <w:szCs w:val="24"/>
                <w:lang w:eastAsia="tr-TR"/>
              </w:rPr>
              <w:t xml:space="preserve">- </w:t>
            </w:r>
            <w:r w:rsidR="00825550" w:rsidRPr="00A23740">
              <w:t xml:space="preserve">Maddeyle, </w:t>
            </w:r>
            <w:r w:rsidR="00CA10FF" w:rsidRPr="00A23740">
              <w:t xml:space="preserve">bu Ayrımda </w:t>
            </w:r>
            <w:r w:rsidR="005529D6" w:rsidRPr="00A23740">
              <w:t>hüküm bulunmayan hâ</w:t>
            </w:r>
            <w:r w:rsidR="00FA1372" w:rsidRPr="00A23740">
              <w:t>ller</w:t>
            </w:r>
            <w:r w:rsidR="005529D6" w:rsidRPr="00A23740">
              <w:t xml:space="preserve">de </w:t>
            </w:r>
            <w:r w:rsidR="00803DCC" w:rsidRPr="00D6648F">
              <w:t>Taslağın</w:t>
            </w:r>
            <w:r w:rsidR="00803DCC" w:rsidRPr="00A23740">
              <w:t xml:space="preserve"> </w:t>
            </w:r>
            <w:r w:rsidR="005529D6" w:rsidRPr="00A23740">
              <w:t>diğer hükümlerinin uygulanacağı</w:t>
            </w:r>
            <w:r w:rsidR="00FA1372" w:rsidRPr="00A23740">
              <w:t xml:space="preserve"> ve</w:t>
            </w:r>
            <w:r w:rsidR="005529D6" w:rsidRPr="00A23740">
              <w:t xml:space="preserve"> bu Ayrımın uygulanmasına ilişkin hususların Adalet Bakanlığınca çıkarılacak</w:t>
            </w:r>
            <w:r w:rsidR="00FA1372" w:rsidRPr="00A23740">
              <w:t xml:space="preserve"> yönetmelik</w:t>
            </w:r>
            <w:r w:rsidR="005529D6" w:rsidRPr="00A23740">
              <w:t>le düzenleneceği hükme bağlanmaktadır</w:t>
            </w:r>
            <w:r w:rsidR="00FA1372" w:rsidRPr="00A23740">
              <w:t xml:space="preserve">. </w:t>
            </w:r>
            <w:r w:rsidR="00FA1372" w:rsidRPr="00A23740">
              <w:rPr>
                <w:bCs/>
                <w:color w:val="000000"/>
                <w:szCs w:val="24"/>
                <w:lang w:eastAsia="tr-TR"/>
              </w:rPr>
              <w:t>Bu madde, 7155 sayılı Kanunun 9 uncu maddesine karşılık gelmektedir.</w:t>
            </w:r>
          </w:p>
          <w:p w:rsidR="00E91409" w:rsidRPr="00A23740" w:rsidRDefault="00E91409" w:rsidP="009431FF">
            <w:pPr>
              <w:ind w:firstLine="709"/>
              <w:rPr>
                <w:rFonts w:eastAsia="Times New Roman"/>
                <w:b/>
                <w:bCs/>
                <w:color w:val="000000"/>
                <w:szCs w:val="24"/>
                <w:lang w:eastAsia="tr-TR"/>
              </w:rPr>
            </w:pPr>
          </w:p>
        </w:tc>
      </w:tr>
      <w:tr w:rsidR="00FC7A09"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auto" w:fill="auto"/>
          </w:tcPr>
          <w:p w:rsidR="00634220" w:rsidRDefault="00634220" w:rsidP="009431FF">
            <w:pPr>
              <w:tabs>
                <w:tab w:val="left" w:pos="567"/>
              </w:tabs>
              <w:autoSpaceDE w:val="0"/>
              <w:autoSpaceDN w:val="0"/>
              <w:adjustRightInd w:val="0"/>
              <w:rPr>
                <w:b/>
                <w:bCs/>
                <w:strike/>
                <w:color w:val="FF0000"/>
                <w:szCs w:val="24"/>
              </w:rPr>
            </w:pPr>
          </w:p>
          <w:p w:rsidR="00FC7A09" w:rsidRPr="00A23740" w:rsidRDefault="00FC7A09" w:rsidP="009431FF">
            <w:pPr>
              <w:tabs>
                <w:tab w:val="left" w:pos="567"/>
              </w:tabs>
              <w:autoSpaceDE w:val="0"/>
              <w:autoSpaceDN w:val="0"/>
              <w:adjustRightInd w:val="0"/>
              <w:rPr>
                <w:i/>
                <w:iCs/>
                <w:szCs w:val="24"/>
              </w:rPr>
            </w:pPr>
            <w:r w:rsidRPr="00A23740">
              <w:rPr>
                <w:b/>
                <w:bCs/>
                <w:strike/>
                <w:color w:val="FF0000"/>
                <w:szCs w:val="24"/>
              </w:rPr>
              <w:t>Hususi</w:t>
            </w:r>
            <w:r w:rsidRPr="00A23740">
              <w:rPr>
                <w:i/>
                <w:iCs/>
                <w:szCs w:val="24"/>
              </w:rPr>
              <w:t xml:space="preserve"> hükümler:</w:t>
            </w:r>
          </w:p>
          <w:p w:rsidR="00FC7A09" w:rsidRPr="00A23740" w:rsidRDefault="00FC7A09" w:rsidP="009431FF">
            <w:pPr>
              <w:tabs>
                <w:tab w:val="left" w:pos="567"/>
              </w:tabs>
              <w:autoSpaceDE w:val="0"/>
              <w:autoSpaceDN w:val="0"/>
              <w:adjustRightInd w:val="0"/>
              <w:rPr>
                <w:b/>
                <w:bCs/>
                <w:szCs w:val="24"/>
              </w:rPr>
            </w:pPr>
            <w:r w:rsidRPr="00A23740">
              <w:rPr>
                <w:b/>
                <w:bCs/>
                <w:strike/>
                <w:color w:val="FF0000"/>
                <w:szCs w:val="24"/>
              </w:rPr>
              <w:t>Madde 73 – (1) (Değişik: 18/2/1965 - 538/44 md.)</w:t>
            </w:r>
          </w:p>
          <w:p w:rsidR="000C120D" w:rsidRPr="00A23740" w:rsidRDefault="00FC7A09" w:rsidP="009431FF">
            <w:pPr>
              <w:tabs>
                <w:tab w:val="left" w:pos="567"/>
              </w:tabs>
              <w:autoSpaceDE w:val="0"/>
              <w:autoSpaceDN w:val="0"/>
              <w:adjustRightInd w:val="0"/>
              <w:rPr>
                <w:szCs w:val="24"/>
              </w:rPr>
            </w:pPr>
            <w:r w:rsidRPr="00A23740">
              <w:rPr>
                <w:szCs w:val="24"/>
              </w:rPr>
              <w:t xml:space="preserve">Rehnin paraya çevrilmesi </w:t>
            </w:r>
            <w:r w:rsidRPr="00A23740">
              <w:rPr>
                <w:rStyle w:val="KIRMIZIChar"/>
                <w:rFonts w:eastAsia="Calibri"/>
              </w:rPr>
              <w:t>yoliyle</w:t>
            </w:r>
            <w:r w:rsidRPr="00A23740">
              <w:rPr>
                <w:szCs w:val="24"/>
              </w:rPr>
              <w:t xml:space="preserve"> takipteki ödeme emirleri </w:t>
            </w:r>
            <w:r w:rsidRPr="00A23740">
              <w:rPr>
                <w:b/>
                <w:bCs/>
                <w:strike/>
                <w:color w:val="FF0000"/>
                <w:szCs w:val="24"/>
              </w:rPr>
              <w:t>için</w:t>
            </w:r>
            <w:r w:rsidRPr="00A23740">
              <w:rPr>
                <w:szCs w:val="24"/>
              </w:rPr>
              <w:t xml:space="preserve"> </w:t>
            </w:r>
            <w:r w:rsidRPr="00A23740">
              <w:rPr>
                <w:b/>
                <w:bCs/>
                <w:strike/>
                <w:color w:val="FF0000"/>
                <w:szCs w:val="24"/>
              </w:rPr>
              <w:t>146, 147, 149 b, 150, 150 a; i</w:t>
            </w:r>
            <w:r w:rsidRPr="00A23740">
              <w:rPr>
                <w:szCs w:val="24"/>
              </w:rPr>
              <w:t>flas yol</w:t>
            </w:r>
            <w:r w:rsidRPr="00A23740">
              <w:rPr>
                <w:b/>
                <w:bCs/>
                <w:strike/>
                <w:color w:val="FF0000"/>
                <w:szCs w:val="24"/>
              </w:rPr>
              <w:t>i</w:t>
            </w:r>
            <w:r w:rsidRPr="00A23740">
              <w:rPr>
                <w:szCs w:val="24"/>
              </w:rPr>
              <w:t>yl</w:t>
            </w:r>
            <w:r w:rsidRPr="00A23740">
              <w:rPr>
                <w:b/>
                <w:bCs/>
                <w:strike/>
                <w:color w:val="FF0000"/>
                <w:szCs w:val="24"/>
              </w:rPr>
              <w:t>e</w:t>
            </w:r>
            <w:r w:rsidRPr="00A23740">
              <w:rPr>
                <w:szCs w:val="24"/>
              </w:rPr>
              <w:t xml:space="preserve"> adi takipteki ödeme emirleri </w:t>
            </w:r>
            <w:r w:rsidRPr="00A23740">
              <w:rPr>
                <w:b/>
                <w:bCs/>
                <w:strike/>
                <w:color w:val="FF0000"/>
                <w:szCs w:val="24"/>
              </w:rPr>
              <w:t>için</w:t>
            </w:r>
            <w:r w:rsidRPr="00A23740">
              <w:rPr>
                <w:szCs w:val="24"/>
              </w:rPr>
              <w:t xml:space="preserve"> </w:t>
            </w:r>
            <w:r w:rsidRPr="00A23740">
              <w:rPr>
                <w:b/>
                <w:bCs/>
                <w:strike/>
                <w:color w:val="FF0000"/>
                <w:szCs w:val="24"/>
              </w:rPr>
              <w:t>155</w:t>
            </w:r>
            <w:r w:rsidRPr="00A23740">
              <w:rPr>
                <w:szCs w:val="24"/>
              </w:rPr>
              <w:t xml:space="preserve"> ve </w:t>
            </w:r>
            <w:r w:rsidRPr="00A23740">
              <w:rPr>
                <w:b/>
                <w:bCs/>
                <w:strike/>
                <w:color w:val="FF0000"/>
                <w:szCs w:val="24"/>
              </w:rPr>
              <w:t>156</w:t>
            </w:r>
            <w:r w:rsidRPr="00A23740">
              <w:rPr>
                <w:szCs w:val="24"/>
              </w:rPr>
              <w:t xml:space="preserve"> </w:t>
            </w:r>
            <w:r w:rsidRPr="00A23740">
              <w:rPr>
                <w:b/>
                <w:bCs/>
                <w:strike/>
                <w:color w:val="FF0000"/>
                <w:szCs w:val="24"/>
              </w:rPr>
              <w:t>ve kambiyo senetleri hakkındaki hususi takip usullerindeki ödeme emirleri için 168 ila 170 ve 171 ve 172 nci</w:t>
            </w:r>
            <w:r w:rsidRPr="00A23740">
              <w:rPr>
                <w:szCs w:val="24"/>
              </w:rPr>
              <w:t xml:space="preserve"> </w:t>
            </w:r>
            <w:r w:rsidRPr="00A23740">
              <w:rPr>
                <w:b/>
                <w:bCs/>
                <w:strike/>
                <w:color w:val="FF0000"/>
                <w:szCs w:val="24"/>
              </w:rPr>
              <w:t>maddelerdeki</w:t>
            </w:r>
            <w:r w:rsidRPr="00A23740">
              <w:rPr>
                <w:szCs w:val="24"/>
              </w:rPr>
              <w:t xml:space="preserve"> </w:t>
            </w:r>
            <w:r w:rsidRPr="00A23740">
              <w:rPr>
                <w:b/>
                <w:bCs/>
                <w:strike/>
                <w:color w:val="FF0000"/>
                <w:szCs w:val="24"/>
              </w:rPr>
              <w:t>hususi</w:t>
            </w:r>
            <w:r w:rsidRPr="00A23740">
              <w:rPr>
                <w:szCs w:val="24"/>
              </w:rPr>
              <w:t xml:space="preserve"> </w:t>
            </w:r>
            <w:r w:rsidRPr="00A23740">
              <w:rPr>
                <w:b/>
                <w:bCs/>
                <w:strike/>
                <w:color w:val="FF0000"/>
                <w:szCs w:val="24"/>
              </w:rPr>
              <w:t>hükümler</w:t>
            </w:r>
            <w:r w:rsidRPr="00A23740">
              <w:rPr>
                <w:szCs w:val="24"/>
              </w:rPr>
              <w:t xml:space="preserve"> uygulanır.</w:t>
            </w:r>
          </w:p>
          <w:p w:rsidR="00FC7A09" w:rsidRPr="00A23740" w:rsidRDefault="00FC7A09" w:rsidP="009431FF">
            <w:pPr>
              <w:autoSpaceDE w:val="0"/>
              <w:autoSpaceDN w:val="0"/>
              <w:adjustRightInd w:val="0"/>
              <w:rPr>
                <w:szCs w:val="24"/>
              </w:rPr>
            </w:pPr>
          </w:p>
        </w:tc>
        <w:tc>
          <w:tcPr>
            <w:tcW w:w="2500" w:type="pct"/>
            <w:tcBorders>
              <w:top w:val="single" w:sz="3" w:space="0" w:color="000000"/>
              <w:left w:val="single" w:sz="3" w:space="0" w:color="000000"/>
              <w:bottom w:val="single" w:sz="3" w:space="0" w:color="000000"/>
              <w:right w:val="single" w:sz="3" w:space="0" w:color="000000"/>
            </w:tcBorders>
            <w:shd w:val="clear" w:color="auto" w:fill="auto"/>
            <w:vAlign w:val="center"/>
          </w:tcPr>
          <w:p w:rsidR="00FC7A09" w:rsidRPr="00A23740" w:rsidRDefault="006A5345" w:rsidP="009431FF">
            <w:pPr>
              <w:pStyle w:val="Balk4"/>
              <w:rPr>
                <w:lang w:val="tr-TR"/>
              </w:rPr>
            </w:pPr>
            <w:r w:rsidRPr="00A23740">
              <w:rPr>
                <w:lang w:val="tr-TR"/>
              </w:rPr>
              <w:t>SEKİZİNCİ</w:t>
            </w:r>
            <w:r w:rsidR="00FC7A09" w:rsidRPr="00A23740">
              <w:rPr>
                <w:lang w:val="tr-TR"/>
              </w:rPr>
              <w:t xml:space="preserve"> AYRIM</w:t>
            </w:r>
          </w:p>
          <w:p w:rsidR="00FC7A09" w:rsidRPr="00A23740" w:rsidRDefault="00FC7A09" w:rsidP="009431FF">
            <w:pPr>
              <w:pStyle w:val="Balk4"/>
              <w:rPr>
                <w:lang w:val="tr-TR"/>
              </w:rPr>
            </w:pPr>
            <w:r w:rsidRPr="00A23740">
              <w:rPr>
                <w:lang w:val="tr-TR"/>
              </w:rPr>
              <w:t>Özel Hükümler</w:t>
            </w:r>
          </w:p>
          <w:p w:rsidR="00FC7A09" w:rsidRPr="00A23740" w:rsidRDefault="00FC7A09" w:rsidP="009431FF">
            <w:pPr>
              <w:tabs>
                <w:tab w:val="left" w:pos="567"/>
              </w:tabs>
              <w:autoSpaceDE w:val="0"/>
              <w:autoSpaceDN w:val="0"/>
              <w:adjustRightInd w:val="0"/>
              <w:rPr>
                <w:b/>
                <w:bCs/>
                <w:color w:val="0000FF"/>
                <w:szCs w:val="24"/>
                <w:lang w:val="x-none" w:eastAsia="x-none"/>
              </w:rPr>
            </w:pPr>
          </w:p>
          <w:p w:rsidR="00FC7A09" w:rsidRPr="00A23740" w:rsidRDefault="00FC7A09" w:rsidP="009431FF">
            <w:pPr>
              <w:tabs>
                <w:tab w:val="left" w:pos="567"/>
              </w:tabs>
              <w:autoSpaceDE w:val="0"/>
              <w:autoSpaceDN w:val="0"/>
              <w:adjustRightInd w:val="0"/>
              <w:rPr>
                <w:b/>
                <w:bCs/>
                <w:szCs w:val="24"/>
              </w:rPr>
            </w:pPr>
            <w:r w:rsidRPr="00A23740">
              <w:rPr>
                <w:rStyle w:val="MaviChar"/>
              </w:rPr>
              <w:t>Rehinli takipler ve iflas takipleri hakkında</w:t>
            </w:r>
            <w:r w:rsidRPr="00A23740">
              <w:rPr>
                <w:b/>
                <w:bCs/>
                <w:color w:val="0000FF"/>
                <w:szCs w:val="24"/>
                <w:lang w:eastAsia="x-none"/>
              </w:rPr>
              <w:t xml:space="preserve"> ö</w:t>
            </w:r>
            <w:r w:rsidRPr="00A23740">
              <w:rPr>
                <w:b/>
                <w:bCs/>
                <w:color w:val="0000FF"/>
                <w:szCs w:val="24"/>
                <w:lang w:val="x-none" w:eastAsia="x-none"/>
              </w:rPr>
              <w:t>zel</w:t>
            </w:r>
            <w:r w:rsidRPr="00A23740">
              <w:rPr>
                <w:b/>
                <w:bCs/>
                <w:szCs w:val="24"/>
              </w:rPr>
              <w:t xml:space="preserve"> hükümler</w:t>
            </w:r>
          </w:p>
          <w:p w:rsidR="00FC7A09" w:rsidRPr="00A23740" w:rsidRDefault="00FC7A09" w:rsidP="009431FF">
            <w:pPr>
              <w:autoSpaceDE w:val="0"/>
              <w:autoSpaceDN w:val="0"/>
              <w:adjustRightInd w:val="0"/>
              <w:rPr>
                <w:szCs w:val="24"/>
              </w:rPr>
            </w:pPr>
            <w:r w:rsidRPr="00A23740">
              <w:rPr>
                <w:b/>
                <w:bCs/>
                <w:color w:val="0000FF"/>
                <w:szCs w:val="24"/>
                <w:lang w:val="x-none" w:eastAsia="x-none"/>
              </w:rPr>
              <w:t>MADDE 109- (1)</w:t>
            </w:r>
            <w:r w:rsidRPr="00A23740">
              <w:rPr>
                <w:b/>
                <w:bCs/>
                <w:color w:val="0000FF"/>
                <w:szCs w:val="24"/>
              </w:rPr>
              <w:t xml:space="preserve"> </w:t>
            </w:r>
            <w:r w:rsidRPr="00A23740">
              <w:rPr>
                <w:szCs w:val="24"/>
              </w:rPr>
              <w:t xml:space="preserve">Rehnin paraya çevrilmesi </w:t>
            </w:r>
            <w:r w:rsidRPr="00A23740">
              <w:rPr>
                <w:rStyle w:val="Balk1Char"/>
                <w:rFonts w:eastAsia="Calibri"/>
              </w:rPr>
              <w:t>yoluyla</w:t>
            </w:r>
            <w:r w:rsidRPr="00A23740">
              <w:rPr>
                <w:szCs w:val="24"/>
              </w:rPr>
              <w:t xml:space="preserve"> takipteki ödeme emirleri </w:t>
            </w:r>
            <w:r w:rsidRPr="00A23740">
              <w:rPr>
                <w:b/>
                <w:bCs/>
                <w:color w:val="0000FF"/>
                <w:szCs w:val="24"/>
                <w:lang w:val="x-none" w:eastAsia="x-none"/>
              </w:rPr>
              <w:t>hakkında</w:t>
            </w:r>
            <w:r w:rsidR="004D159F" w:rsidRPr="00A23740">
              <w:rPr>
                <w:b/>
                <w:bCs/>
                <w:color w:val="0000FF"/>
                <w:szCs w:val="24"/>
                <w:lang w:eastAsia="x-none"/>
              </w:rPr>
              <w:t xml:space="preserve"> </w:t>
            </w:r>
            <w:r w:rsidR="004D159F" w:rsidRPr="00D6648F">
              <w:rPr>
                <w:rStyle w:val="KonuBalChar"/>
                <w:rFonts w:eastAsia="Calibri"/>
                <w:color w:val="0000FF"/>
              </w:rPr>
              <w:t>115</w:t>
            </w:r>
            <w:r w:rsidRPr="00A23740">
              <w:rPr>
                <w:b/>
                <w:bCs/>
                <w:color w:val="0000FF"/>
                <w:szCs w:val="24"/>
                <w:lang w:val="x-none" w:eastAsia="x-none"/>
              </w:rPr>
              <w:t>,</w:t>
            </w:r>
            <w:r w:rsidR="004D159F" w:rsidRPr="00A23740">
              <w:rPr>
                <w:b/>
                <w:bCs/>
                <w:color w:val="0000FF"/>
                <w:szCs w:val="24"/>
                <w:lang w:eastAsia="x-none"/>
              </w:rPr>
              <w:t xml:space="preserve"> </w:t>
            </w:r>
            <w:r w:rsidR="004D159F" w:rsidRPr="00D6648F">
              <w:rPr>
                <w:rStyle w:val="KonuBalChar"/>
                <w:rFonts w:eastAsia="Calibri"/>
                <w:color w:val="0000FF"/>
              </w:rPr>
              <w:t>117</w:t>
            </w:r>
            <w:r w:rsidRPr="00A23740">
              <w:rPr>
                <w:b/>
                <w:bCs/>
                <w:color w:val="0000FF"/>
                <w:szCs w:val="24"/>
                <w:lang w:val="x-none" w:eastAsia="x-none"/>
              </w:rPr>
              <w:t>,</w:t>
            </w:r>
            <w:r w:rsidR="004D159F" w:rsidRPr="00A23740">
              <w:rPr>
                <w:b/>
                <w:bCs/>
                <w:color w:val="0000FF"/>
                <w:szCs w:val="24"/>
                <w:lang w:eastAsia="x-none"/>
              </w:rPr>
              <w:t xml:space="preserve"> </w:t>
            </w:r>
            <w:r w:rsidR="004D159F" w:rsidRPr="00D6648F">
              <w:rPr>
                <w:rStyle w:val="KonuBalChar"/>
                <w:rFonts w:eastAsia="Calibri"/>
                <w:color w:val="0000FF"/>
              </w:rPr>
              <w:t>122</w:t>
            </w:r>
            <w:r w:rsidR="00707A8F" w:rsidRPr="00A23740">
              <w:rPr>
                <w:rStyle w:val="Balk1Char"/>
                <w:rFonts w:eastAsia="Calibri"/>
              </w:rPr>
              <w:t>,</w:t>
            </w:r>
            <w:r w:rsidRPr="00A23740">
              <w:rPr>
                <w:b/>
                <w:bCs/>
                <w:color w:val="0000FF"/>
                <w:szCs w:val="24"/>
                <w:lang w:eastAsia="x-none"/>
              </w:rPr>
              <w:t xml:space="preserve"> </w:t>
            </w:r>
            <w:r w:rsidR="00707A8F" w:rsidRPr="00D6648F">
              <w:rPr>
                <w:rStyle w:val="KonuBalChar"/>
                <w:rFonts w:eastAsia="Calibri"/>
                <w:color w:val="0000FF"/>
              </w:rPr>
              <w:t>123</w:t>
            </w:r>
            <w:r w:rsidR="00707A8F" w:rsidRPr="00A23740">
              <w:rPr>
                <w:b/>
                <w:bCs/>
                <w:color w:val="0000FF"/>
                <w:szCs w:val="24"/>
                <w:lang w:val="x-none" w:eastAsia="x-none"/>
              </w:rPr>
              <w:t xml:space="preserve"> </w:t>
            </w:r>
            <w:r w:rsidRPr="00A23740">
              <w:rPr>
                <w:b/>
                <w:bCs/>
                <w:color w:val="0000FF"/>
                <w:szCs w:val="24"/>
                <w:lang w:eastAsia="x-none"/>
              </w:rPr>
              <w:t>ve</w:t>
            </w:r>
            <w:r w:rsidR="004D159F" w:rsidRPr="00A23740">
              <w:rPr>
                <w:b/>
                <w:bCs/>
                <w:color w:val="0000FF"/>
                <w:szCs w:val="24"/>
                <w:lang w:eastAsia="x-none"/>
              </w:rPr>
              <w:t xml:space="preserve"> </w:t>
            </w:r>
            <w:r w:rsidR="004D159F" w:rsidRPr="00D6648F">
              <w:rPr>
                <w:rStyle w:val="KonuBalChar"/>
                <w:rFonts w:eastAsia="Calibri"/>
                <w:color w:val="0000FF"/>
              </w:rPr>
              <w:t>124</w:t>
            </w:r>
            <w:r w:rsidR="004D159F" w:rsidRPr="00A23740">
              <w:rPr>
                <w:rStyle w:val="KonuBalChar"/>
                <w:rFonts w:eastAsia="Calibri"/>
                <w:lang w:val="tr-TR"/>
              </w:rPr>
              <w:t xml:space="preserve"> </w:t>
            </w:r>
            <w:r w:rsidR="004D159F" w:rsidRPr="00D6648F">
              <w:rPr>
                <w:rStyle w:val="KonuBalChar"/>
                <w:rFonts w:eastAsia="Calibri"/>
                <w:color w:val="0000FF"/>
                <w:lang w:val="tr-TR"/>
              </w:rPr>
              <w:t>üncü</w:t>
            </w:r>
            <w:r w:rsidR="004D159F" w:rsidRPr="00A23740">
              <w:rPr>
                <w:b/>
                <w:bCs/>
                <w:color w:val="0000FF"/>
                <w:szCs w:val="24"/>
                <w:lang w:eastAsia="x-none"/>
              </w:rPr>
              <w:t xml:space="preserve"> </w:t>
            </w:r>
            <w:r w:rsidRPr="00A23740">
              <w:rPr>
                <w:szCs w:val="24"/>
              </w:rPr>
              <w:t xml:space="preserve"> </w:t>
            </w:r>
            <w:r w:rsidRPr="00A23740">
              <w:rPr>
                <w:b/>
                <w:bCs/>
                <w:color w:val="0000FF"/>
                <w:szCs w:val="24"/>
                <w:lang w:eastAsia="x-none"/>
              </w:rPr>
              <w:t xml:space="preserve">maddeler </w:t>
            </w:r>
            <w:r w:rsidRPr="00A23740">
              <w:rPr>
                <w:szCs w:val="24"/>
              </w:rPr>
              <w:t>uygulanır.</w:t>
            </w:r>
          </w:p>
          <w:p w:rsidR="00C5698F" w:rsidRPr="00A23740" w:rsidRDefault="00C5698F" w:rsidP="009431FF">
            <w:pPr>
              <w:pStyle w:val="KonuBal"/>
            </w:pPr>
          </w:p>
          <w:p w:rsidR="00FC7A09" w:rsidRPr="00A23740" w:rsidRDefault="00FC7A09" w:rsidP="009431FF">
            <w:pPr>
              <w:autoSpaceDE w:val="0"/>
              <w:autoSpaceDN w:val="0"/>
              <w:adjustRightInd w:val="0"/>
              <w:rPr>
                <w:szCs w:val="24"/>
              </w:rPr>
            </w:pPr>
            <w:r w:rsidRPr="00A23740">
              <w:rPr>
                <w:b/>
                <w:bCs/>
                <w:color w:val="0000FF"/>
                <w:szCs w:val="24"/>
                <w:lang w:val="x-none" w:eastAsia="x-none"/>
              </w:rPr>
              <w:t>(2)</w:t>
            </w:r>
            <w:r w:rsidRPr="00A23740">
              <w:rPr>
                <w:b/>
                <w:bCs/>
                <w:color w:val="0000FF"/>
                <w:szCs w:val="24"/>
              </w:rPr>
              <w:t xml:space="preserve"> İ</w:t>
            </w:r>
            <w:r w:rsidRPr="00A23740">
              <w:rPr>
                <w:szCs w:val="24"/>
              </w:rPr>
              <w:t>flas yol</w:t>
            </w:r>
            <w:r w:rsidRPr="00A23740">
              <w:rPr>
                <w:b/>
                <w:bCs/>
                <w:color w:val="0000FF"/>
                <w:szCs w:val="24"/>
                <w:lang w:val="x-none" w:eastAsia="x-none"/>
              </w:rPr>
              <w:t>u</w:t>
            </w:r>
            <w:r w:rsidRPr="00A23740">
              <w:rPr>
                <w:szCs w:val="24"/>
              </w:rPr>
              <w:t>yl</w:t>
            </w:r>
            <w:r w:rsidRPr="00A23740">
              <w:rPr>
                <w:b/>
                <w:bCs/>
                <w:color w:val="0000FF"/>
                <w:szCs w:val="24"/>
                <w:lang w:val="x-none" w:eastAsia="x-none"/>
              </w:rPr>
              <w:t>a</w:t>
            </w:r>
            <w:r w:rsidRPr="00A23740">
              <w:rPr>
                <w:szCs w:val="24"/>
              </w:rPr>
              <w:t xml:space="preserve"> adi takipteki ödeme emirleri </w:t>
            </w:r>
            <w:r w:rsidRPr="00A23740">
              <w:rPr>
                <w:b/>
                <w:bCs/>
                <w:color w:val="0000FF"/>
                <w:szCs w:val="24"/>
                <w:lang w:val="x-none" w:eastAsia="x-none"/>
              </w:rPr>
              <w:t>hakkında</w:t>
            </w:r>
            <w:r w:rsidR="004D159F" w:rsidRPr="00A23740">
              <w:rPr>
                <w:b/>
                <w:bCs/>
                <w:color w:val="0000FF"/>
                <w:szCs w:val="24"/>
                <w:lang w:eastAsia="x-none"/>
              </w:rPr>
              <w:t xml:space="preserve"> </w:t>
            </w:r>
            <w:r w:rsidR="004D159F" w:rsidRPr="00D6648F">
              <w:rPr>
                <w:rStyle w:val="KonuBalChar"/>
                <w:rFonts w:eastAsia="Calibri"/>
                <w:color w:val="0000FF"/>
              </w:rPr>
              <w:t>270</w:t>
            </w:r>
            <w:r w:rsidR="004D159F" w:rsidRPr="00A23740">
              <w:rPr>
                <w:rStyle w:val="KonuBalChar"/>
                <w:rFonts w:eastAsia="Calibri"/>
                <w:lang w:val="tr-TR"/>
              </w:rPr>
              <w:t xml:space="preserve"> </w:t>
            </w:r>
            <w:r w:rsidRPr="00A23740">
              <w:rPr>
                <w:b/>
                <w:bCs/>
                <w:color w:val="0000FF"/>
                <w:szCs w:val="24"/>
                <w:lang w:val="x-none" w:eastAsia="x-none"/>
              </w:rPr>
              <w:t>ve</w:t>
            </w:r>
            <w:r w:rsidR="004D159F" w:rsidRPr="00A23740">
              <w:rPr>
                <w:b/>
                <w:bCs/>
                <w:color w:val="0000FF"/>
                <w:szCs w:val="24"/>
                <w:lang w:eastAsia="x-none"/>
              </w:rPr>
              <w:t xml:space="preserve"> </w:t>
            </w:r>
            <w:r w:rsidR="004D159F" w:rsidRPr="00D6648F">
              <w:rPr>
                <w:rStyle w:val="KonuBalChar"/>
                <w:rFonts w:eastAsia="Calibri"/>
                <w:color w:val="0000FF"/>
              </w:rPr>
              <w:t>272</w:t>
            </w:r>
            <w:r w:rsidR="004D159F" w:rsidRPr="00A23740">
              <w:rPr>
                <w:rStyle w:val="KonuBalChar"/>
                <w:rFonts w:eastAsia="Calibri"/>
              </w:rPr>
              <w:t xml:space="preserve"> </w:t>
            </w:r>
            <w:r w:rsidR="004D159F" w:rsidRPr="00D6648F">
              <w:rPr>
                <w:rStyle w:val="KonuBalChar"/>
                <w:rFonts w:eastAsia="Calibri"/>
                <w:color w:val="0000FF"/>
              </w:rPr>
              <w:t>nci</w:t>
            </w:r>
            <w:r w:rsidRPr="00A23740">
              <w:rPr>
                <w:b/>
                <w:bCs/>
                <w:color w:val="0000FF"/>
                <w:szCs w:val="24"/>
                <w:lang w:val="x-none" w:eastAsia="x-none"/>
              </w:rPr>
              <w:t xml:space="preserve"> maddeler</w:t>
            </w:r>
            <w:r w:rsidRPr="00A23740">
              <w:rPr>
                <w:szCs w:val="24"/>
              </w:rPr>
              <w:t xml:space="preserve"> uygulanır.</w:t>
            </w:r>
          </w:p>
          <w:p w:rsidR="00FC7A09" w:rsidRPr="00A23740" w:rsidRDefault="00FC7A09" w:rsidP="009431FF">
            <w:pPr>
              <w:pStyle w:val="KIRMIZI"/>
              <w:rPr>
                <w:b w:val="0"/>
                <w:bCs w:val="0"/>
              </w:rPr>
            </w:pPr>
          </w:p>
        </w:tc>
      </w:tr>
      <w:tr w:rsidR="00FC7A09" w:rsidRPr="00A23740" w:rsidTr="009431FF">
        <w:tc>
          <w:tcPr>
            <w:tcW w:w="5000" w:type="pct"/>
            <w:gridSpan w:val="2"/>
            <w:shd w:val="clear" w:color="auto" w:fill="DEEAF6"/>
          </w:tcPr>
          <w:p w:rsidR="00FC7A09" w:rsidRPr="00A23740" w:rsidRDefault="00FC7A09" w:rsidP="009431FF">
            <w:pPr>
              <w:tabs>
                <w:tab w:val="left" w:pos="567"/>
              </w:tabs>
              <w:ind w:firstLine="709"/>
              <w:rPr>
                <w:b/>
                <w:bCs/>
                <w:szCs w:val="24"/>
                <w:lang w:eastAsia="x-none"/>
              </w:rPr>
            </w:pPr>
          </w:p>
          <w:p w:rsidR="00FC7A09" w:rsidRPr="00A23740" w:rsidRDefault="00FC7A09" w:rsidP="009431FF">
            <w:pPr>
              <w:tabs>
                <w:tab w:val="left" w:pos="567"/>
              </w:tabs>
              <w:ind w:firstLine="709"/>
              <w:rPr>
                <w:rFonts w:eastAsia="Times New Roman"/>
                <w:color w:val="000000"/>
                <w:szCs w:val="24"/>
                <w:lang w:eastAsia="tr-TR"/>
              </w:rPr>
            </w:pPr>
            <w:r w:rsidRPr="00A23740">
              <w:rPr>
                <w:b/>
                <w:bCs/>
                <w:szCs w:val="24"/>
                <w:lang w:eastAsia="x-none"/>
              </w:rPr>
              <w:t xml:space="preserve">MADDE 109- </w:t>
            </w:r>
            <w:r w:rsidRPr="00A23740">
              <w:rPr>
                <w:bCs/>
                <w:szCs w:val="24"/>
                <w:lang w:eastAsia="x-none"/>
              </w:rPr>
              <w:t>Maddeyle, rehinli takipler ve iflas takipleri hakkında özel hükümler düzenlenmektedir.</w:t>
            </w:r>
            <w:r w:rsidRPr="00A23740">
              <w:rPr>
                <w:b/>
                <w:bCs/>
                <w:szCs w:val="24"/>
                <w:lang w:eastAsia="x-none"/>
              </w:rPr>
              <w:t xml:space="preserve"> </w:t>
            </w:r>
            <w:r w:rsidRPr="00A23740">
              <w:rPr>
                <w:rFonts w:eastAsia="Times New Roman"/>
                <w:color w:val="000000"/>
                <w:szCs w:val="24"/>
                <w:lang w:eastAsia="tr-TR"/>
              </w:rPr>
              <w:t>Taslağın 102 nci maddesi, 2004 sayılı Kanunun 73 üncü maddesine karşılık gelmektedir.</w:t>
            </w:r>
          </w:p>
          <w:p w:rsidR="004D159F" w:rsidRPr="00A23740" w:rsidRDefault="00FC7A09"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 xml:space="preserve">Maddenin birinci fıkrasına göre, rehnin paraya çevrilmesi yoluyla takipteki ödeme emirleri hakkında </w:t>
            </w:r>
            <w:r w:rsidR="004D159F" w:rsidRPr="00D6648F">
              <w:rPr>
                <w:rStyle w:val="KonuBalChar"/>
                <w:rFonts w:eastAsia="Calibri"/>
                <w:b w:val="0"/>
                <w:color w:val="auto"/>
              </w:rPr>
              <w:t>115</w:t>
            </w:r>
            <w:r w:rsidR="004D159F" w:rsidRPr="00D6648F">
              <w:rPr>
                <w:rFonts w:eastAsia="Times New Roman"/>
                <w:color w:val="000000"/>
                <w:szCs w:val="24"/>
                <w:lang w:eastAsia="tr-TR"/>
              </w:rPr>
              <w:t>,</w:t>
            </w:r>
            <w:r w:rsidR="004D159F" w:rsidRPr="00A23740">
              <w:rPr>
                <w:b/>
                <w:bCs/>
                <w:color w:val="0000FF"/>
                <w:szCs w:val="24"/>
                <w:lang w:eastAsia="x-none"/>
              </w:rPr>
              <w:t xml:space="preserve"> </w:t>
            </w:r>
            <w:r w:rsidR="004D159F" w:rsidRPr="00D6648F">
              <w:rPr>
                <w:rStyle w:val="KonuBalChar"/>
                <w:rFonts w:eastAsia="Calibri"/>
                <w:b w:val="0"/>
                <w:color w:val="auto"/>
              </w:rPr>
              <w:t>117</w:t>
            </w:r>
            <w:r w:rsidR="004D159F" w:rsidRPr="00D6648F">
              <w:rPr>
                <w:bCs/>
                <w:szCs w:val="24"/>
                <w:lang w:val="x-none" w:eastAsia="x-none"/>
              </w:rPr>
              <w:t>,</w:t>
            </w:r>
            <w:r w:rsidR="004D159F" w:rsidRPr="00A23740">
              <w:rPr>
                <w:b/>
                <w:bCs/>
                <w:color w:val="0000FF"/>
                <w:szCs w:val="24"/>
                <w:lang w:eastAsia="x-none"/>
              </w:rPr>
              <w:t xml:space="preserve"> </w:t>
            </w:r>
            <w:r w:rsidR="004D159F" w:rsidRPr="00D6648F">
              <w:rPr>
                <w:rStyle w:val="KonuBalChar"/>
                <w:rFonts w:eastAsia="Calibri"/>
                <w:b w:val="0"/>
                <w:color w:val="auto"/>
              </w:rPr>
              <w:t>123</w:t>
            </w:r>
            <w:r w:rsidR="004D159F" w:rsidRPr="00D6648F">
              <w:rPr>
                <w:rFonts w:eastAsia="Times New Roman"/>
                <w:color w:val="000000"/>
                <w:szCs w:val="24"/>
                <w:lang w:eastAsia="tr-TR"/>
              </w:rPr>
              <w:t>,</w:t>
            </w:r>
            <w:r w:rsidR="004D159F" w:rsidRPr="00A23740">
              <w:rPr>
                <w:b/>
                <w:bCs/>
                <w:color w:val="0000FF"/>
                <w:szCs w:val="24"/>
                <w:lang w:eastAsia="x-none"/>
              </w:rPr>
              <w:t xml:space="preserve"> </w:t>
            </w:r>
            <w:r w:rsidR="004D159F" w:rsidRPr="00D6648F">
              <w:rPr>
                <w:rStyle w:val="KonuBalChar"/>
                <w:rFonts w:eastAsia="Calibri"/>
                <w:b w:val="0"/>
                <w:color w:val="auto"/>
              </w:rPr>
              <w:t>122</w:t>
            </w:r>
            <w:r w:rsidR="004D159F" w:rsidRPr="00A23740">
              <w:rPr>
                <w:b/>
                <w:bCs/>
                <w:color w:val="0000FF"/>
                <w:szCs w:val="24"/>
                <w:lang w:eastAsia="x-none"/>
              </w:rPr>
              <w:t xml:space="preserve"> </w:t>
            </w:r>
            <w:r w:rsidR="004D159F" w:rsidRPr="00D6648F">
              <w:rPr>
                <w:rFonts w:eastAsia="Times New Roman"/>
                <w:color w:val="000000"/>
                <w:szCs w:val="24"/>
                <w:lang w:eastAsia="tr-TR"/>
              </w:rPr>
              <w:t>ve</w:t>
            </w:r>
            <w:r w:rsidR="004D159F" w:rsidRPr="00A23740">
              <w:rPr>
                <w:b/>
                <w:bCs/>
                <w:color w:val="0000FF"/>
                <w:szCs w:val="24"/>
                <w:lang w:eastAsia="x-none"/>
              </w:rPr>
              <w:t xml:space="preserve"> </w:t>
            </w:r>
            <w:r w:rsidR="004D159F" w:rsidRPr="00D6648F">
              <w:rPr>
                <w:rStyle w:val="KonuBalChar"/>
                <w:rFonts w:eastAsia="Calibri"/>
                <w:b w:val="0"/>
                <w:color w:val="auto"/>
              </w:rPr>
              <w:t>124</w:t>
            </w:r>
            <w:r w:rsidR="004D159F" w:rsidRPr="00A23740">
              <w:rPr>
                <w:rStyle w:val="KonuBalChar"/>
                <w:rFonts w:eastAsia="Calibri"/>
                <w:lang w:val="tr-TR"/>
              </w:rPr>
              <w:t xml:space="preserve"> </w:t>
            </w:r>
            <w:r w:rsidR="004D159F" w:rsidRPr="00D6648F">
              <w:rPr>
                <w:rStyle w:val="KonuBalChar"/>
                <w:rFonts w:eastAsia="Calibri"/>
                <w:b w:val="0"/>
                <w:color w:val="auto"/>
                <w:lang w:val="tr-TR"/>
              </w:rPr>
              <w:t>üncü</w:t>
            </w:r>
            <w:r w:rsidR="004D159F" w:rsidRPr="00A23740">
              <w:rPr>
                <w:b/>
                <w:bCs/>
                <w:color w:val="0000FF"/>
                <w:szCs w:val="24"/>
                <w:lang w:eastAsia="x-none"/>
              </w:rPr>
              <w:t xml:space="preserve"> </w:t>
            </w:r>
            <w:r w:rsidR="004D159F" w:rsidRPr="00D6648F">
              <w:rPr>
                <w:rFonts w:eastAsia="Times New Roman"/>
                <w:color w:val="000000"/>
                <w:szCs w:val="24"/>
                <w:lang w:eastAsia="tr-TR"/>
              </w:rPr>
              <w:t>maddeleri</w:t>
            </w:r>
            <w:r w:rsidRPr="00A23740">
              <w:rPr>
                <w:rFonts w:eastAsia="Times New Roman"/>
                <w:color w:val="000000"/>
                <w:szCs w:val="24"/>
                <w:lang w:eastAsia="tr-TR"/>
              </w:rPr>
              <w:t xml:space="preserve"> uygulanır.</w:t>
            </w:r>
          </w:p>
          <w:p w:rsidR="00FC7A09" w:rsidRPr="00A23740" w:rsidRDefault="00FC7A09"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 xml:space="preserve">Maddenin ikinci fıkrasında iflas yoluyla adi takipteki ödeme emirleri hakkında </w:t>
            </w:r>
            <w:r w:rsidR="00C5698F" w:rsidRPr="00D6648F">
              <w:rPr>
                <w:rStyle w:val="KonuBalChar"/>
                <w:rFonts w:eastAsia="Calibri"/>
                <w:b w:val="0"/>
                <w:color w:val="auto"/>
              </w:rPr>
              <w:t>270</w:t>
            </w:r>
            <w:r w:rsidR="00C5698F" w:rsidRPr="00A23740">
              <w:rPr>
                <w:rStyle w:val="KonuBalChar"/>
                <w:rFonts w:eastAsia="Calibri"/>
                <w:lang w:val="tr-TR"/>
              </w:rPr>
              <w:t xml:space="preserve"> </w:t>
            </w:r>
            <w:r w:rsidR="00C5698F" w:rsidRPr="00D6648F">
              <w:rPr>
                <w:rFonts w:eastAsia="Times New Roman"/>
                <w:color w:val="000000"/>
                <w:szCs w:val="24"/>
                <w:lang w:eastAsia="tr-TR"/>
              </w:rPr>
              <w:t>ve</w:t>
            </w:r>
            <w:r w:rsidR="00C5698F" w:rsidRPr="00A23740">
              <w:rPr>
                <w:b/>
                <w:bCs/>
                <w:color w:val="0000FF"/>
                <w:szCs w:val="24"/>
                <w:lang w:eastAsia="x-none"/>
              </w:rPr>
              <w:t xml:space="preserve"> </w:t>
            </w:r>
            <w:r w:rsidR="00C5698F" w:rsidRPr="00D6648F">
              <w:rPr>
                <w:rStyle w:val="KonuBalChar"/>
                <w:rFonts w:eastAsia="Calibri"/>
                <w:b w:val="0"/>
                <w:color w:val="auto"/>
              </w:rPr>
              <w:t>272</w:t>
            </w:r>
            <w:r w:rsidR="00C5698F" w:rsidRPr="00A23740">
              <w:rPr>
                <w:rStyle w:val="KonuBalChar"/>
                <w:rFonts w:eastAsia="Calibri"/>
              </w:rPr>
              <w:t xml:space="preserve"> </w:t>
            </w:r>
            <w:r w:rsidR="00C5698F" w:rsidRPr="00D6648F">
              <w:rPr>
                <w:rStyle w:val="KonuBalChar"/>
                <w:rFonts w:eastAsia="Calibri"/>
                <w:b w:val="0"/>
                <w:color w:val="auto"/>
              </w:rPr>
              <w:t>nci</w:t>
            </w:r>
            <w:r w:rsidR="00C5698F" w:rsidRPr="00A23740">
              <w:rPr>
                <w:b/>
                <w:bCs/>
                <w:color w:val="0000FF"/>
                <w:szCs w:val="24"/>
                <w:lang w:val="x-none" w:eastAsia="x-none"/>
              </w:rPr>
              <w:t xml:space="preserve"> </w:t>
            </w:r>
            <w:r w:rsidRPr="00A23740">
              <w:rPr>
                <w:rFonts w:eastAsia="Times New Roman"/>
                <w:color w:val="000000"/>
                <w:szCs w:val="24"/>
                <w:lang w:eastAsia="tr-TR"/>
              </w:rPr>
              <w:t>maddeler uygulanır.</w:t>
            </w:r>
            <w:r w:rsidR="003A0B3E" w:rsidRPr="00A23740">
              <w:rPr>
                <w:rFonts w:eastAsia="Times New Roman"/>
                <w:color w:val="000000"/>
                <w:szCs w:val="24"/>
                <w:lang w:eastAsia="tr-TR"/>
              </w:rPr>
              <w:t>Kambiyo senetlerine mahsus iflas yoluyla takip usulü, bu usul hamile süre kısaltma dışında ka</w:t>
            </w:r>
            <w:r w:rsidR="007C1ED9" w:rsidRPr="00A23740">
              <w:rPr>
                <w:rFonts w:eastAsia="Times New Roman"/>
                <w:color w:val="000000"/>
                <w:szCs w:val="24"/>
                <w:lang w:eastAsia="tr-TR"/>
              </w:rPr>
              <w:t>y</w:t>
            </w:r>
            <w:r w:rsidR="003A0B3E" w:rsidRPr="00A23740">
              <w:rPr>
                <w:rFonts w:eastAsia="Times New Roman"/>
                <w:color w:val="000000"/>
                <w:szCs w:val="24"/>
                <w:lang w:eastAsia="tr-TR"/>
              </w:rPr>
              <w:t xml:space="preserve">da değer bir avantaj sağlamadığı için </w:t>
            </w:r>
            <w:r w:rsidR="007C1ED9" w:rsidRPr="00A23740">
              <w:rPr>
                <w:rFonts w:eastAsia="Times New Roman"/>
                <w:color w:val="000000"/>
                <w:szCs w:val="24"/>
                <w:lang w:eastAsia="tr-TR"/>
              </w:rPr>
              <w:t>kaldırılmış ve elinde kambiyo senedi bulunan hamilin, tıpkı elinde adi bir senet varmışcasına iflas ödeme emri göndererek genel hükümlere göre takip yapması kabul edilmiş, fıkra buna göre düzeltilmiştir.</w:t>
            </w:r>
          </w:p>
          <w:p w:rsidR="000267DF" w:rsidRDefault="00FC7A09"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Maddenin bu yeni düzenleme şekline göre kambiyo senetlerine özgü takip yoluna ilişkin özel hükümler kanunun sisteminden çıkartılmaktadır.</w:t>
            </w:r>
          </w:p>
          <w:p w:rsidR="003047A5" w:rsidRPr="00A23740" w:rsidRDefault="003047A5" w:rsidP="009431FF">
            <w:pPr>
              <w:tabs>
                <w:tab w:val="left" w:pos="567"/>
              </w:tabs>
              <w:ind w:firstLine="709"/>
              <w:rPr>
                <w:b/>
                <w:bCs/>
                <w:szCs w:val="24"/>
                <w:lang w:eastAsia="x-none"/>
              </w:rPr>
            </w:pPr>
          </w:p>
        </w:tc>
      </w:tr>
      <w:tr w:rsidR="00155AF4" w:rsidRPr="00A23740" w:rsidTr="009431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
        </w:trPr>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Kanundaki Istılahlar:</w:t>
            </w:r>
          </w:p>
          <w:p w:rsidR="00155AF4" w:rsidRPr="00A23740" w:rsidRDefault="00155AF4" w:rsidP="009431FF">
            <w:pPr>
              <w:tabs>
                <w:tab w:val="left" w:pos="567"/>
              </w:tabs>
              <w:autoSpaceDE w:val="0"/>
              <w:autoSpaceDN w:val="0"/>
              <w:adjustRightInd w:val="0"/>
              <w:rPr>
                <w:b/>
                <w:bCs/>
                <w:strike/>
                <w:color w:val="FF0000"/>
                <w:szCs w:val="24"/>
              </w:rPr>
            </w:pPr>
            <w:r w:rsidRPr="00A23740">
              <w:rPr>
                <w:b/>
                <w:bCs/>
                <w:strike/>
                <w:color w:val="FF0000"/>
                <w:szCs w:val="24"/>
              </w:rPr>
              <w:t>Madde 23 – (1) (Değişik: 14/1/2011-6103/41 md.)</w:t>
            </w:r>
          </w:p>
          <w:p w:rsidR="00155AF4" w:rsidRPr="00A23740" w:rsidRDefault="00155AF4" w:rsidP="009431FF">
            <w:pPr>
              <w:rPr>
                <w:rFonts w:eastAsia="Times New Roman"/>
                <w:szCs w:val="24"/>
                <w:lang w:eastAsia="tr-TR"/>
              </w:rPr>
            </w:pPr>
            <w:r w:rsidRPr="00A23740">
              <w:rPr>
                <w:rFonts w:eastAsia="Times New Roman"/>
                <w:szCs w:val="24"/>
                <w:lang w:eastAsia="tr-TR"/>
              </w:rPr>
              <w:t>Bu Kanunun uygulanmasında;</w:t>
            </w:r>
          </w:p>
          <w:p w:rsidR="00155AF4" w:rsidRPr="00A23740" w:rsidRDefault="00155AF4" w:rsidP="009431FF">
            <w:pPr>
              <w:tabs>
                <w:tab w:val="left" w:pos="566"/>
              </w:tabs>
              <w:autoSpaceDE w:val="0"/>
              <w:autoSpaceDN w:val="0"/>
              <w:adjustRightInd w:val="0"/>
              <w:rPr>
                <w:b/>
                <w:bCs/>
                <w:strike/>
                <w:color w:val="FF0000"/>
                <w:szCs w:val="24"/>
              </w:rPr>
            </w:pPr>
            <w:r w:rsidRPr="00A23740">
              <w:rPr>
                <w:b/>
                <w:bCs/>
                <w:strike/>
                <w:color w:val="FF0000"/>
                <w:szCs w:val="24"/>
              </w:rPr>
              <w:t>1.</w:t>
            </w:r>
            <w:r w:rsidRPr="00A23740">
              <w:rPr>
                <w:b/>
                <w:bCs/>
                <w:color w:val="FF0000"/>
                <w:szCs w:val="24"/>
              </w:rPr>
              <w:t xml:space="preserve"> </w:t>
            </w:r>
            <w:r w:rsidRPr="00A23740">
              <w:rPr>
                <w:rFonts w:eastAsia="Times New Roman"/>
                <w:szCs w:val="24"/>
                <w:lang w:eastAsia="tr-TR"/>
              </w:rPr>
              <w:t>“İpotek”</w:t>
            </w:r>
            <w:r w:rsidRPr="00A23740">
              <w:rPr>
                <w:b/>
                <w:bCs/>
                <w:color w:val="FF0000"/>
                <w:szCs w:val="24"/>
              </w:rPr>
              <w:t xml:space="preserve"> </w:t>
            </w:r>
            <w:r w:rsidRPr="00A23740">
              <w:rPr>
                <w:b/>
                <w:bCs/>
                <w:strike/>
                <w:color w:val="FF0000"/>
                <w:szCs w:val="24"/>
              </w:rPr>
              <w:t>tabiri</w:t>
            </w:r>
            <w:r w:rsidRPr="00A23740">
              <w:rPr>
                <w:b/>
                <w:bCs/>
                <w:color w:val="FF0000"/>
                <w:szCs w:val="24"/>
              </w:rPr>
              <w:t xml:space="preserve"> </w:t>
            </w:r>
            <w:r w:rsidRPr="00A23740">
              <w:rPr>
                <w:rFonts w:eastAsia="Times New Roman"/>
                <w:szCs w:val="24"/>
                <w:lang w:eastAsia="tr-TR"/>
              </w:rPr>
              <w:t>ipotekleri, ipotekli borç senetlerini, irat senetlerini,</w:t>
            </w:r>
            <w:r w:rsidRPr="00A23740">
              <w:rPr>
                <w:b/>
                <w:bCs/>
                <w:strike/>
                <w:color w:val="FF0000"/>
                <w:szCs w:val="24"/>
              </w:rPr>
              <w:t xml:space="preserve"> </w:t>
            </w:r>
            <w:r w:rsidRPr="00A23740">
              <w:rPr>
                <w:rFonts w:eastAsia="Times New Roman"/>
                <w:szCs w:val="24"/>
                <w:lang w:eastAsia="tr-TR"/>
              </w:rPr>
              <w:t>eski hukuk hükümlerine göre</w:t>
            </w:r>
            <w:r w:rsidRPr="00A23740">
              <w:rPr>
                <w:b/>
                <w:bCs/>
                <w:color w:val="FF0000"/>
                <w:szCs w:val="24"/>
              </w:rPr>
              <w:t xml:space="preserve"> </w:t>
            </w:r>
            <w:r w:rsidRPr="00A23740">
              <w:rPr>
                <w:b/>
                <w:bCs/>
                <w:strike/>
                <w:color w:val="FF0000"/>
                <w:szCs w:val="24"/>
              </w:rPr>
              <w:t>tesis edilmiş</w:t>
            </w:r>
            <w:r w:rsidRPr="00A23740">
              <w:rPr>
                <w:b/>
                <w:bCs/>
                <w:color w:val="FF0000"/>
                <w:szCs w:val="24"/>
              </w:rPr>
              <w:t xml:space="preserve"> </w:t>
            </w:r>
            <w:r w:rsidRPr="00A23740">
              <w:rPr>
                <w:rFonts w:eastAsia="Times New Roman"/>
                <w:szCs w:val="24"/>
                <w:lang w:eastAsia="tr-TR"/>
              </w:rPr>
              <w:t>taşınmaz rehinlerini,</w:t>
            </w:r>
            <w:r w:rsidRPr="00A23740">
              <w:rPr>
                <w:b/>
                <w:bCs/>
                <w:strike/>
                <w:color w:val="FF0000"/>
                <w:szCs w:val="24"/>
              </w:rPr>
              <w:t xml:space="preserve"> </w:t>
            </w:r>
            <w:r w:rsidRPr="00A23740">
              <w:rPr>
                <w:rFonts w:eastAsia="Times New Roman"/>
                <w:szCs w:val="24"/>
                <w:lang w:eastAsia="tr-TR"/>
              </w:rPr>
              <w:t>taşınmaz</w:t>
            </w:r>
            <w:r w:rsidRPr="00A23740">
              <w:rPr>
                <w:b/>
                <w:bCs/>
                <w:color w:val="FF0000"/>
                <w:szCs w:val="24"/>
              </w:rPr>
              <w:t xml:space="preserve"> </w:t>
            </w:r>
            <w:r w:rsidRPr="00A23740">
              <w:rPr>
                <w:b/>
                <w:bCs/>
                <w:strike/>
                <w:color w:val="FF0000"/>
                <w:szCs w:val="24"/>
              </w:rPr>
              <w:t>mükellefiyetlerini, bazı taşınmazlar üzerindeki hususî imtiyazları</w:t>
            </w:r>
            <w:r w:rsidRPr="00A23740">
              <w:rPr>
                <w:b/>
                <w:bCs/>
                <w:color w:val="FF0000"/>
                <w:szCs w:val="24"/>
              </w:rPr>
              <w:t xml:space="preserve"> </w:t>
            </w:r>
            <w:r w:rsidRPr="00A23740">
              <w:rPr>
                <w:rFonts w:eastAsia="Times New Roman"/>
                <w:szCs w:val="24"/>
                <w:lang w:eastAsia="tr-TR"/>
              </w:rPr>
              <w:t>ve taşınmaz eklenti üzerin</w:t>
            </w:r>
            <w:r w:rsidRPr="00A23740">
              <w:rPr>
                <w:b/>
                <w:bCs/>
                <w:strike/>
                <w:color w:val="FF0000"/>
                <w:szCs w:val="24"/>
              </w:rPr>
              <w:t>e</w:t>
            </w:r>
            <w:r w:rsidRPr="00A23740">
              <w:rPr>
                <w:b/>
                <w:bCs/>
                <w:color w:val="FF0000"/>
                <w:szCs w:val="24"/>
              </w:rPr>
              <w:t xml:space="preserve"> </w:t>
            </w:r>
            <w:r w:rsidRPr="00A23740">
              <w:rPr>
                <w:rFonts w:eastAsia="Times New Roman"/>
                <w:szCs w:val="24"/>
                <w:lang w:eastAsia="tr-TR"/>
              </w:rPr>
              <w:t xml:space="preserve">rehin </w:t>
            </w:r>
            <w:r w:rsidRPr="00A23740">
              <w:rPr>
                <w:b/>
                <w:strike/>
                <w:color w:val="FF0000"/>
                <w:szCs w:val="24"/>
                <w:lang w:val="x-none" w:eastAsia="x-none"/>
              </w:rPr>
              <w:t>muamelelerini</w:t>
            </w:r>
            <w:r w:rsidRPr="00A23740">
              <w:rPr>
                <w:rFonts w:eastAsia="Times New Roman"/>
                <w:szCs w:val="24"/>
                <w:lang w:eastAsia="tr-TR"/>
              </w:rPr>
              <w:t>,</w:t>
            </w:r>
          </w:p>
          <w:p w:rsidR="003047A5" w:rsidRDefault="003047A5" w:rsidP="009431FF">
            <w:pPr>
              <w:tabs>
                <w:tab w:val="left" w:pos="566"/>
              </w:tabs>
              <w:autoSpaceDE w:val="0"/>
              <w:autoSpaceDN w:val="0"/>
              <w:adjustRightInd w:val="0"/>
              <w:rPr>
                <w:b/>
                <w:bCs/>
                <w:strike/>
                <w:color w:val="FF0000"/>
                <w:szCs w:val="24"/>
              </w:rPr>
            </w:pPr>
          </w:p>
          <w:p w:rsidR="003047A5" w:rsidRPr="00A23740" w:rsidRDefault="003047A5" w:rsidP="009431FF">
            <w:pPr>
              <w:tabs>
                <w:tab w:val="left" w:pos="566"/>
              </w:tabs>
              <w:autoSpaceDE w:val="0"/>
              <w:autoSpaceDN w:val="0"/>
              <w:adjustRightInd w:val="0"/>
              <w:rPr>
                <w:b/>
                <w:bCs/>
                <w:strike/>
                <w:color w:val="FF0000"/>
                <w:szCs w:val="24"/>
              </w:rPr>
            </w:pPr>
          </w:p>
          <w:p w:rsidR="00155AF4" w:rsidRPr="00A23740" w:rsidRDefault="00155AF4" w:rsidP="009431FF">
            <w:pPr>
              <w:tabs>
                <w:tab w:val="left" w:pos="566"/>
              </w:tabs>
              <w:autoSpaceDE w:val="0"/>
              <w:autoSpaceDN w:val="0"/>
              <w:adjustRightInd w:val="0"/>
              <w:rPr>
                <w:rFonts w:eastAsia="Times New Roman"/>
                <w:szCs w:val="24"/>
                <w:lang w:eastAsia="tr-TR"/>
              </w:rPr>
            </w:pPr>
            <w:r w:rsidRPr="00A23740">
              <w:rPr>
                <w:b/>
                <w:bCs/>
                <w:strike/>
                <w:color w:val="FF0000"/>
                <w:szCs w:val="24"/>
              </w:rPr>
              <w:t>2.</w:t>
            </w:r>
            <w:r w:rsidRPr="00A23740">
              <w:rPr>
                <w:b/>
                <w:bCs/>
                <w:color w:val="FF0000"/>
                <w:szCs w:val="24"/>
              </w:rPr>
              <w:t xml:space="preserve"> </w:t>
            </w:r>
            <w:r w:rsidRPr="00A23740">
              <w:rPr>
                <w:rFonts w:eastAsia="Times New Roman"/>
                <w:szCs w:val="24"/>
                <w:lang w:eastAsia="tr-TR"/>
              </w:rPr>
              <w:t>“Taşınır rehni”</w:t>
            </w:r>
            <w:r w:rsidRPr="00A23740">
              <w:rPr>
                <w:b/>
                <w:bCs/>
                <w:color w:val="FF0000"/>
                <w:szCs w:val="24"/>
              </w:rPr>
              <w:t xml:space="preserve"> </w:t>
            </w:r>
            <w:r w:rsidRPr="00A23740">
              <w:rPr>
                <w:b/>
                <w:bCs/>
                <w:strike/>
                <w:color w:val="FF0000"/>
                <w:szCs w:val="24"/>
              </w:rPr>
              <w:t>tabiri</w:t>
            </w:r>
            <w:r w:rsidRPr="00A23740">
              <w:rPr>
                <w:rFonts w:eastAsia="Times New Roman"/>
                <w:szCs w:val="24"/>
                <w:lang w:eastAsia="tr-TR"/>
              </w:rPr>
              <w:t>, teslime bağlı rehinleri,</w:t>
            </w:r>
            <w:r w:rsidRPr="00A23740">
              <w:rPr>
                <w:b/>
                <w:bCs/>
                <w:color w:val="FF0000"/>
                <w:szCs w:val="24"/>
              </w:rPr>
              <w:t xml:space="preserve"> </w:t>
            </w:r>
            <w:r w:rsidRPr="00A23740">
              <w:rPr>
                <w:rFonts w:eastAsia="Times New Roman"/>
                <w:szCs w:val="24"/>
                <w:lang w:eastAsia="tr-TR"/>
              </w:rPr>
              <w:t>Türk Medenî Kanununun 940 ıncı maddesinde öngörülen rehinleri, ticarî işletme rehnini, hapis hakkını, alacak ve sair haklar üzerindeki rehinler</w:t>
            </w:r>
            <w:r w:rsidRPr="00A23740">
              <w:rPr>
                <w:b/>
                <w:strike/>
                <w:color w:val="FF0000"/>
                <w:szCs w:val="24"/>
                <w:lang w:val="x-none" w:eastAsia="x-none"/>
              </w:rPr>
              <w:t>i,</w:t>
            </w:r>
          </w:p>
          <w:p w:rsidR="00155AF4" w:rsidRPr="00A23740" w:rsidRDefault="00155AF4" w:rsidP="009431FF">
            <w:pPr>
              <w:tabs>
                <w:tab w:val="left" w:pos="566"/>
              </w:tabs>
              <w:autoSpaceDE w:val="0"/>
              <w:autoSpaceDN w:val="0"/>
              <w:adjustRightInd w:val="0"/>
              <w:rPr>
                <w:b/>
                <w:bCs/>
                <w:strike/>
                <w:color w:val="FF0000"/>
                <w:szCs w:val="24"/>
              </w:rPr>
            </w:pPr>
          </w:p>
          <w:p w:rsidR="00155AF4" w:rsidRPr="00A23740" w:rsidRDefault="00155AF4" w:rsidP="009431FF">
            <w:pPr>
              <w:tabs>
                <w:tab w:val="left" w:pos="566"/>
              </w:tabs>
              <w:autoSpaceDE w:val="0"/>
              <w:autoSpaceDN w:val="0"/>
              <w:adjustRightInd w:val="0"/>
              <w:rPr>
                <w:b/>
                <w:bCs/>
                <w:strike/>
                <w:color w:val="FF0000"/>
                <w:szCs w:val="24"/>
              </w:rPr>
            </w:pPr>
          </w:p>
          <w:p w:rsidR="00155AF4" w:rsidRPr="00A23740" w:rsidRDefault="00155AF4" w:rsidP="009431FF">
            <w:pPr>
              <w:tabs>
                <w:tab w:val="left" w:pos="566"/>
              </w:tabs>
              <w:autoSpaceDE w:val="0"/>
              <w:autoSpaceDN w:val="0"/>
              <w:adjustRightInd w:val="0"/>
              <w:rPr>
                <w:b/>
                <w:bCs/>
                <w:strike/>
                <w:color w:val="FF0000"/>
                <w:szCs w:val="24"/>
              </w:rPr>
            </w:pPr>
          </w:p>
          <w:p w:rsidR="00155AF4" w:rsidRPr="00A23740" w:rsidRDefault="00155AF4" w:rsidP="009431FF">
            <w:pPr>
              <w:tabs>
                <w:tab w:val="left" w:pos="566"/>
              </w:tabs>
              <w:autoSpaceDE w:val="0"/>
              <w:autoSpaceDN w:val="0"/>
              <w:adjustRightInd w:val="0"/>
              <w:rPr>
                <w:b/>
                <w:bCs/>
                <w:strike/>
                <w:color w:val="FF0000"/>
                <w:szCs w:val="24"/>
              </w:rPr>
            </w:pPr>
          </w:p>
          <w:p w:rsidR="00155AF4" w:rsidRPr="00A23740" w:rsidRDefault="00155AF4" w:rsidP="009431FF">
            <w:pPr>
              <w:tabs>
                <w:tab w:val="left" w:pos="566"/>
              </w:tabs>
              <w:autoSpaceDE w:val="0"/>
              <w:autoSpaceDN w:val="0"/>
              <w:adjustRightInd w:val="0"/>
              <w:rPr>
                <w:rFonts w:eastAsia="Times New Roman"/>
                <w:szCs w:val="24"/>
                <w:lang w:eastAsia="tr-TR"/>
              </w:rPr>
            </w:pPr>
            <w:r w:rsidRPr="00A23740">
              <w:rPr>
                <w:b/>
                <w:bCs/>
                <w:strike/>
                <w:color w:val="FF0000"/>
                <w:szCs w:val="24"/>
              </w:rPr>
              <w:t>3.</w:t>
            </w:r>
            <w:r w:rsidRPr="00A23740">
              <w:rPr>
                <w:b/>
                <w:bCs/>
                <w:color w:val="FF0000"/>
                <w:szCs w:val="24"/>
              </w:rPr>
              <w:t xml:space="preserve"> </w:t>
            </w:r>
            <w:r w:rsidRPr="00A23740">
              <w:rPr>
                <w:rFonts w:eastAsia="Times New Roman"/>
                <w:szCs w:val="24"/>
                <w:lang w:eastAsia="tr-TR"/>
              </w:rPr>
              <w:t>Sadece “Rehin”</w:t>
            </w:r>
            <w:r w:rsidRPr="00A23740">
              <w:rPr>
                <w:b/>
                <w:bCs/>
                <w:color w:val="FF0000"/>
                <w:szCs w:val="24"/>
              </w:rPr>
              <w:t xml:space="preserve"> </w:t>
            </w:r>
            <w:r w:rsidRPr="00A23740">
              <w:rPr>
                <w:b/>
                <w:bCs/>
                <w:strike/>
                <w:color w:val="FF0000"/>
                <w:szCs w:val="24"/>
              </w:rPr>
              <w:t>tabiri</w:t>
            </w:r>
            <w:r w:rsidRPr="00A23740">
              <w:rPr>
                <w:rFonts w:eastAsia="Times New Roman"/>
                <w:szCs w:val="24"/>
                <w:lang w:eastAsia="tr-TR"/>
              </w:rPr>
              <w:t xml:space="preserve">, “ipotek” ve “taşınır rehni” </w:t>
            </w:r>
            <w:r w:rsidRPr="00A23740">
              <w:rPr>
                <w:b/>
                <w:bCs/>
                <w:strike/>
                <w:color w:val="FF0000"/>
                <w:szCs w:val="24"/>
              </w:rPr>
              <w:t>tabirlerine</w:t>
            </w:r>
            <w:r w:rsidRPr="00A23740">
              <w:rPr>
                <w:b/>
                <w:bCs/>
                <w:color w:val="FF0000"/>
                <w:szCs w:val="24"/>
              </w:rPr>
              <w:t xml:space="preserve"> </w:t>
            </w:r>
            <w:r w:rsidRPr="00A23740">
              <w:rPr>
                <w:rFonts w:eastAsia="Times New Roman"/>
                <w:szCs w:val="24"/>
                <w:lang w:eastAsia="tr-TR"/>
              </w:rPr>
              <w:t>giren bütün taşınır ve taşınmaz rehinlerini,</w:t>
            </w:r>
          </w:p>
          <w:p w:rsidR="00155AF4" w:rsidRPr="00A23740" w:rsidRDefault="00155AF4" w:rsidP="009431FF">
            <w:pPr>
              <w:tabs>
                <w:tab w:val="left" w:pos="566"/>
              </w:tabs>
              <w:autoSpaceDE w:val="0"/>
              <w:autoSpaceDN w:val="0"/>
              <w:adjustRightInd w:val="0"/>
              <w:rPr>
                <w:b/>
                <w:bCs/>
                <w:strike/>
                <w:color w:val="FF0000"/>
                <w:szCs w:val="24"/>
              </w:rPr>
            </w:pPr>
            <w:r w:rsidRPr="00A23740">
              <w:rPr>
                <w:b/>
                <w:bCs/>
                <w:strike/>
                <w:color w:val="FF0000"/>
                <w:szCs w:val="24"/>
              </w:rPr>
              <w:t>ihtiva</w:t>
            </w:r>
            <w:r w:rsidRPr="00A23740">
              <w:rPr>
                <w:b/>
                <w:bCs/>
                <w:color w:val="FF0000"/>
                <w:szCs w:val="24"/>
              </w:rPr>
              <w:t xml:space="preserve"> </w:t>
            </w:r>
            <w:r w:rsidRPr="00A23740">
              <w:rPr>
                <w:rFonts w:eastAsia="Times New Roman"/>
                <w:szCs w:val="24"/>
                <w:lang w:eastAsia="tr-TR"/>
              </w:rPr>
              <w:t>eder.</w:t>
            </w:r>
          </w:p>
          <w:p w:rsidR="00155AF4" w:rsidRPr="00A23740" w:rsidRDefault="00155AF4" w:rsidP="009431FF">
            <w:pPr>
              <w:tabs>
                <w:tab w:val="left" w:pos="566"/>
              </w:tabs>
              <w:autoSpaceDE w:val="0"/>
              <w:autoSpaceDN w:val="0"/>
              <w:adjustRightInd w:val="0"/>
              <w:rPr>
                <w:b/>
                <w:bCs/>
                <w:strike/>
                <w:color w:val="FF0000"/>
                <w:szCs w:val="24"/>
              </w:rPr>
            </w:pPr>
          </w:p>
          <w:p w:rsidR="00155AF4" w:rsidRPr="00A23740" w:rsidRDefault="00155AF4" w:rsidP="009431FF">
            <w:pPr>
              <w:tabs>
                <w:tab w:val="left" w:pos="566"/>
              </w:tabs>
              <w:autoSpaceDE w:val="0"/>
              <w:autoSpaceDN w:val="0"/>
              <w:adjustRightInd w:val="0"/>
              <w:rPr>
                <w:b/>
                <w:bCs/>
                <w:strike/>
                <w:color w:val="FF0000"/>
                <w:szCs w:val="24"/>
              </w:rPr>
            </w:pPr>
            <w:r w:rsidRPr="00A23740">
              <w:rPr>
                <w:b/>
                <w:bCs/>
                <w:strike/>
                <w:color w:val="FF0000"/>
                <w:szCs w:val="24"/>
              </w:rPr>
              <w:t>(2) Açıkça öngörülen istisnalar dışında, bayrağına ve bir sicile kayıtlı olup olmadığına bakılmaksızın bütün gemiler hakkında bu Kanunun taşınırlara ilişkin hükümleri uygulanır. Bu Kanun uyarınca gemi siciline verilecek şerhler, Türk Ticaret Kanununun 977 nci maddesi hükmüne tâbidir.</w:t>
            </w:r>
          </w:p>
          <w:p w:rsidR="00155AF4" w:rsidRPr="00A23740" w:rsidRDefault="00155AF4" w:rsidP="009431FF">
            <w:pPr>
              <w:tabs>
                <w:tab w:val="left" w:pos="566"/>
              </w:tabs>
              <w:autoSpaceDE w:val="0"/>
              <w:autoSpaceDN w:val="0"/>
              <w:adjustRightInd w:val="0"/>
              <w:rPr>
                <w:b/>
                <w:bCs/>
                <w:strike/>
                <w:color w:val="FF0000"/>
                <w:szCs w:val="24"/>
              </w:rPr>
            </w:pPr>
          </w:p>
        </w:tc>
        <w:tc>
          <w:tcPr>
            <w:tcW w:w="2500" w:type="pct"/>
            <w:tcBorders>
              <w:top w:val="single" w:sz="3" w:space="0" w:color="000000"/>
              <w:left w:val="single" w:sz="3" w:space="0" w:color="000000"/>
              <w:bottom w:val="single" w:sz="3" w:space="0" w:color="000000"/>
              <w:right w:val="single" w:sz="3" w:space="0" w:color="000000"/>
            </w:tcBorders>
            <w:shd w:val="clear" w:color="000000" w:fill="FFFFFF"/>
          </w:tcPr>
          <w:p w:rsidR="00155AF4" w:rsidRPr="00A23740" w:rsidRDefault="00155AF4" w:rsidP="009431FF">
            <w:pPr>
              <w:keepNext/>
              <w:jc w:val="center"/>
              <w:rPr>
                <w:rFonts w:eastAsia="Times New Roman"/>
                <w:b/>
                <w:bCs/>
                <w:color w:val="0000FF"/>
                <w:szCs w:val="26"/>
                <w:lang w:eastAsia="tr-TR"/>
              </w:rPr>
            </w:pPr>
            <w:r w:rsidRPr="00A23740">
              <w:rPr>
                <w:rFonts w:eastAsia="Times New Roman"/>
                <w:b/>
                <w:bCs/>
                <w:color w:val="0000FF"/>
                <w:szCs w:val="26"/>
                <w:lang w:eastAsia="tr-TR"/>
              </w:rPr>
              <w:t>ÜÇÜNCÜ BÖLÜM</w:t>
            </w:r>
          </w:p>
          <w:p w:rsidR="00155AF4" w:rsidRPr="00A23740" w:rsidRDefault="00155AF4" w:rsidP="009431FF">
            <w:pPr>
              <w:keepNext/>
              <w:jc w:val="center"/>
              <w:rPr>
                <w:rFonts w:eastAsia="Times New Roman"/>
                <w:b/>
                <w:bCs/>
                <w:color w:val="FF0000"/>
                <w:szCs w:val="26"/>
              </w:rPr>
            </w:pPr>
            <w:r w:rsidRPr="00A23740">
              <w:rPr>
                <w:rFonts w:eastAsia="Times New Roman"/>
                <w:b/>
                <w:bCs/>
                <w:color w:val="0000FF"/>
                <w:szCs w:val="26"/>
                <w:lang w:eastAsia="tr-TR"/>
              </w:rPr>
              <w:t>Rehnin Paraya Çevrilmesi</w:t>
            </w:r>
          </w:p>
          <w:p w:rsidR="00155AF4" w:rsidRPr="00A23740" w:rsidRDefault="00155AF4" w:rsidP="009431FF">
            <w:pPr>
              <w:tabs>
                <w:tab w:val="left" w:pos="566"/>
              </w:tabs>
              <w:autoSpaceDE w:val="0"/>
              <w:autoSpaceDN w:val="0"/>
              <w:adjustRightInd w:val="0"/>
              <w:jc w:val="center"/>
              <w:rPr>
                <w:rFonts w:eastAsia="Times New Roman"/>
                <w:b/>
                <w:color w:val="FF0066"/>
                <w:szCs w:val="24"/>
                <w:lang w:eastAsia="tr-TR"/>
              </w:rPr>
            </w:pPr>
          </w:p>
          <w:p w:rsidR="00155AF4" w:rsidRPr="00A23740" w:rsidRDefault="00155AF4" w:rsidP="009431FF">
            <w:pPr>
              <w:keepNext/>
              <w:jc w:val="center"/>
              <w:rPr>
                <w:rFonts w:eastAsia="Times New Roman"/>
                <w:b/>
                <w:bCs/>
                <w:color w:val="0000FF"/>
                <w:szCs w:val="28"/>
              </w:rPr>
            </w:pPr>
            <w:r w:rsidRPr="00A23740">
              <w:rPr>
                <w:rFonts w:eastAsia="Times New Roman"/>
                <w:b/>
                <w:bCs/>
                <w:color w:val="0000FF"/>
                <w:szCs w:val="28"/>
              </w:rPr>
              <w:t>BİRİNCİ AYRIM</w:t>
            </w:r>
          </w:p>
          <w:p w:rsidR="00155AF4" w:rsidRPr="00A23740" w:rsidRDefault="00155AF4" w:rsidP="009431FF">
            <w:pPr>
              <w:keepNext/>
              <w:jc w:val="center"/>
              <w:rPr>
                <w:rFonts w:eastAsia="Times New Roman"/>
                <w:b/>
                <w:bCs/>
                <w:color w:val="0000FF"/>
                <w:szCs w:val="28"/>
              </w:rPr>
            </w:pPr>
            <w:r w:rsidRPr="00A23740">
              <w:rPr>
                <w:rFonts w:eastAsia="ヒラギノ明朝 Pro W3"/>
                <w:b/>
                <w:color w:val="0000FF"/>
                <w:szCs w:val="24"/>
                <w:lang w:val="x-none" w:eastAsia="x-none"/>
              </w:rPr>
              <w:t>Rehin Hakkındaki Terimler ve</w:t>
            </w:r>
            <w:r w:rsidRPr="00A23740">
              <w:rPr>
                <w:rFonts w:eastAsia="Times New Roman"/>
                <w:b/>
                <w:color w:val="0000FF"/>
                <w:szCs w:val="24"/>
                <w:lang w:val="x-none" w:eastAsia="x-none"/>
              </w:rPr>
              <w:t xml:space="preserve"> Önce</w:t>
            </w:r>
            <w:r w:rsidRPr="00A23740">
              <w:rPr>
                <w:rFonts w:eastAsia="Times New Roman"/>
                <w:b/>
                <w:bCs/>
                <w:color w:val="0000FF"/>
                <w:szCs w:val="28"/>
              </w:rPr>
              <w:t xml:space="preserve"> Rehne Başvurma Kuralı</w:t>
            </w:r>
          </w:p>
          <w:p w:rsidR="00155AF4" w:rsidRPr="00A23740" w:rsidRDefault="00155AF4" w:rsidP="009431FF">
            <w:pPr>
              <w:autoSpaceDE w:val="0"/>
              <w:autoSpaceDN w:val="0"/>
              <w:adjustRightInd w:val="0"/>
              <w:rPr>
                <w:b/>
                <w:bCs/>
                <w:color w:val="0000FF"/>
                <w:szCs w:val="24"/>
              </w:rPr>
            </w:pPr>
          </w:p>
          <w:p w:rsidR="00155AF4" w:rsidRPr="00A23740" w:rsidRDefault="00F466A3" w:rsidP="009431FF">
            <w:pPr>
              <w:pStyle w:val="KIRMIZI"/>
            </w:pPr>
            <w:r w:rsidRPr="00D6648F">
              <w:rPr>
                <w:strike w:val="0"/>
                <w:color w:val="0000FF"/>
              </w:rPr>
              <w:t>Terminoloji</w:t>
            </w:r>
          </w:p>
          <w:p w:rsidR="00155AF4" w:rsidRPr="00A23740" w:rsidRDefault="00FC7A09" w:rsidP="009431FF">
            <w:pPr>
              <w:autoSpaceDE w:val="0"/>
              <w:autoSpaceDN w:val="0"/>
              <w:adjustRightInd w:val="0"/>
              <w:rPr>
                <w:b/>
                <w:bCs/>
                <w:color w:val="0000FF"/>
                <w:szCs w:val="24"/>
              </w:rPr>
            </w:pPr>
            <w:r w:rsidRPr="00A23740">
              <w:rPr>
                <w:b/>
                <w:bCs/>
                <w:color w:val="0000FF"/>
                <w:szCs w:val="24"/>
                <w:lang w:val="x-none" w:eastAsia="x-none"/>
              </w:rPr>
              <w:t>MADDE 110</w:t>
            </w:r>
            <w:r w:rsidR="00155AF4" w:rsidRPr="00A23740">
              <w:rPr>
                <w:b/>
                <w:bCs/>
                <w:color w:val="0000FF"/>
                <w:szCs w:val="24"/>
                <w:lang w:val="x-none" w:eastAsia="x-none"/>
              </w:rPr>
              <w:t>- (1)</w:t>
            </w:r>
            <w:r w:rsidR="00155AF4" w:rsidRPr="00A23740">
              <w:rPr>
                <w:b/>
                <w:bCs/>
                <w:color w:val="0000FF"/>
                <w:szCs w:val="24"/>
              </w:rPr>
              <w:t xml:space="preserve"> </w:t>
            </w:r>
            <w:r w:rsidR="00155AF4" w:rsidRPr="00A23740">
              <w:rPr>
                <w:rFonts w:eastAsia="Times New Roman"/>
                <w:szCs w:val="24"/>
                <w:lang w:eastAsia="tr-TR"/>
              </w:rPr>
              <w:t>Bu Kanunun uygulanmasında;</w:t>
            </w:r>
          </w:p>
          <w:p w:rsidR="00155AF4" w:rsidRPr="00A23740" w:rsidRDefault="00155AF4" w:rsidP="009431FF">
            <w:pPr>
              <w:tabs>
                <w:tab w:val="left" w:pos="566"/>
              </w:tabs>
              <w:autoSpaceDE w:val="0"/>
              <w:autoSpaceDN w:val="0"/>
              <w:adjustRightInd w:val="0"/>
              <w:rPr>
                <w:b/>
                <w:strike/>
                <w:color w:val="FF0000"/>
                <w:szCs w:val="24"/>
                <w:lang w:val="x-none" w:eastAsia="x-none"/>
              </w:rPr>
            </w:pPr>
            <w:r w:rsidRPr="00A23740">
              <w:rPr>
                <w:b/>
                <w:bCs/>
                <w:color w:val="0000FF"/>
                <w:szCs w:val="24"/>
                <w:lang w:val="x-none" w:eastAsia="x-none"/>
              </w:rPr>
              <w:t>a)</w:t>
            </w:r>
            <w:r w:rsidRPr="00A23740">
              <w:rPr>
                <w:b/>
                <w:bCs/>
                <w:color w:val="0000FF"/>
                <w:szCs w:val="24"/>
              </w:rPr>
              <w:t xml:space="preserve"> </w:t>
            </w:r>
            <w:r w:rsidRPr="00A23740">
              <w:rPr>
                <w:rFonts w:eastAsia="Times New Roman"/>
                <w:szCs w:val="24"/>
                <w:lang w:eastAsia="tr-TR"/>
              </w:rPr>
              <w:t>“İpotek”</w:t>
            </w:r>
            <w:r w:rsidRPr="00A23740">
              <w:rPr>
                <w:b/>
                <w:bCs/>
                <w:color w:val="0000FF"/>
                <w:szCs w:val="24"/>
              </w:rPr>
              <w:t xml:space="preserve"> </w:t>
            </w:r>
            <w:r w:rsidRPr="00A23740">
              <w:rPr>
                <w:b/>
                <w:bCs/>
                <w:color w:val="0000FF"/>
                <w:szCs w:val="24"/>
                <w:lang w:val="x-none" w:eastAsia="x-none"/>
              </w:rPr>
              <w:t>terimi;</w:t>
            </w:r>
            <w:r w:rsidRPr="00A23740">
              <w:rPr>
                <w:b/>
                <w:bCs/>
                <w:color w:val="0000FF"/>
                <w:szCs w:val="24"/>
              </w:rPr>
              <w:t xml:space="preserve"> </w:t>
            </w:r>
            <w:r w:rsidRPr="00A23740">
              <w:rPr>
                <w:rFonts w:eastAsia="Times New Roman"/>
                <w:szCs w:val="24"/>
                <w:lang w:eastAsia="tr-TR"/>
              </w:rPr>
              <w:t xml:space="preserve">ipotekleri, ipotekli borç senetlerini, irat senetlerini, eski hukuk hükümlerine göre </w:t>
            </w:r>
            <w:r w:rsidRPr="00A23740">
              <w:rPr>
                <w:b/>
                <w:bCs/>
                <w:color w:val="0000FF"/>
                <w:szCs w:val="24"/>
                <w:lang w:val="x-none" w:eastAsia="x-none"/>
              </w:rPr>
              <w:t>kurulmuş</w:t>
            </w:r>
            <w:r w:rsidRPr="00A23740">
              <w:rPr>
                <w:b/>
                <w:bCs/>
                <w:color w:val="0000FF"/>
                <w:szCs w:val="24"/>
              </w:rPr>
              <w:t xml:space="preserve"> </w:t>
            </w:r>
            <w:r w:rsidRPr="00A23740">
              <w:rPr>
                <w:rFonts w:eastAsia="Times New Roman"/>
                <w:szCs w:val="24"/>
                <w:lang w:eastAsia="tr-TR"/>
              </w:rPr>
              <w:t xml:space="preserve">taşınmaz rehinlerini, taşınmaz </w:t>
            </w:r>
            <w:r w:rsidRPr="00A23740">
              <w:rPr>
                <w:b/>
                <w:bCs/>
                <w:color w:val="0000FF"/>
                <w:szCs w:val="24"/>
                <w:lang w:val="x-none" w:eastAsia="x-none"/>
              </w:rPr>
              <w:t>yüklerini</w:t>
            </w:r>
            <w:r w:rsidRPr="00A23740">
              <w:rPr>
                <w:b/>
                <w:bCs/>
                <w:color w:val="0000FF"/>
                <w:szCs w:val="24"/>
              </w:rPr>
              <w:t xml:space="preserve"> </w:t>
            </w:r>
            <w:r w:rsidRPr="00A23740">
              <w:rPr>
                <w:rFonts w:eastAsia="Times New Roman"/>
                <w:szCs w:val="24"/>
                <w:lang w:eastAsia="tr-TR"/>
              </w:rPr>
              <w:t>ve taşınmaz eklenti</w:t>
            </w:r>
            <w:r w:rsidRPr="00A23740">
              <w:rPr>
                <w:b/>
                <w:bCs/>
                <w:color w:val="0000FF"/>
                <w:szCs w:val="24"/>
                <w:lang w:val="x-none" w:eastAsia="x-none"/>
              </w:rPr>
              <w:t xml:space="preserve">leri </w:t>
            </w:r>
            <w:r w:rsidRPr="00A23740">
              <w:rPr>
                <w:rFonts w:eastAsia="Times New Roman"/>
                <w:szCs w:val="24"/>
                <w:lang w:eastAsia="tr-TR"/>
              </w:rPr>
              <w:t>üzerin</w:t>
            </w:r>
            <w:r w:rsidRPr="00A23740">
              <w:rPr>
                <w:b/>
                <w:bCs/>
                <w:color w:val="0000FF"/>
                <w:szCs w:val="24"/>
                <w:lang w:val="x-none" w:eastAsia="x-none"/>
              </w:rPr>
              <w:t>deki</w:t>
            </w:r>
            <w:r w:rsidRPr="00A23740">
              <w:rPr>
                <w:b/>
                <w:bCs/>
                <w:color w:val="0000FF"/>
                <w:szCs w:val="24"/>
              </w:rPr>
              <w:t xml:space="preserve"> </w:t>
            </w:r>
            <w:r w:rsidRPr="00A23740">
              <w:rPr>
                <w:rFonts w:eastAsia="Times New Roman"/>
                <w:szCs w:val="24"/>
                <w:lang w:eastAsia="tr-TR"/>
              </w:rPr>
              <w:t xml:space="preserve">rehin </w:t>
            </w:r>
            <w:r w:rsidRPr="00A23740">
              <w:rPr>
                <w:b/>
                <w:bCs/>
                <w:color w:val="0000FF"/>
                <w:szCs w:val="24"/>
                <w:lang w:val="x-none" w:eastAsia="x-none"/>
              </w:rPr>
              <w:t>işlemlerini</w:t>
            </w:r>
            <w:r w:rsidRPr="00A23740">
              <w:rPr>
                <w:rFonts w:eastAsia="Times New Roman"/>
                <w:lang w:eastAsia="tr-TR"/>
              </w:rPr>
              <w:t>,</w:t>
            </w:r>
          </w:p>
          <w:p w:rsidR="00155AF4" w:rsidRPr="00A23740" w:rsidRDefault="00155AF4" w:rsidP="009431FF">
            <w:pPr>
              <w:tabs>
                <w:tab w:val="left" w:pos="566"/>
              </w:tabs>
              <w:autoSpaceDE w:val="0"/>
              <w:autoSpaceDN w:val="0"/>
              <w:adjustRightInd w:val="0"/>
              <w:rPr>
                <w:b/>
                <w:bCs/>
                <w:color w:val="0000FF"/>
                <w:szCs w:val="24"/>
              </w:rPr>
            </w:pPr>
          </w:p>
          <w:p w:rsidR="00155AF4" w:rsidRDefault="00155AF4" w:rsidP="009431FF">
            <w:pPr>
              <w:autoSpaceDE w:val="0"/>
              <w:autoSpaceDN w:val="0"/>
              <w:adjustRightInd w:val="0"/>
              <w:rPr>
                <w:b/>
                <w:bCs/>
                <w:color w:val="0000FF"/>
                <w:szCs w:val="24"/>
              </w:rPr>
            </w:pPr>
          </w:p>
          <w:p w:rsidR="009431FF" w:rsidRPr="00A23740" w:rsidRDefault="009431FF" w:rsidP="009431FF">
            <w:pPr>
              <w:autoSpaceDE w:val="0"/>
              <w:autoSpaceDN w:val="0"/>
              <w:adjustRightInd w:val="0"/>
              <w:rPr>
                <w:b/>
                <w:bCs/>
                <w:color w:val="0000FF"/>
                <w:szCs w:val="24"/>
              </w:rPr>
            </w:pPr>
          </w:p>
          <w:p w:rsidR="00155AF4" w:rsidRPr="00A23740" w:rsidRDefault="00155AF4" w:rsidP="009431FF">
            <w:pPr>
              <w:tabs>
                <w:tab w:val="left" w:pos="566"/>
              </w:tabs>
              <w:autoSpaceDE w:val="0"/>
              <w:autoSpaceDN w:val="0"/>
              <w:adjustRightInd w:val="0"/>
              <w:rPr>
                <w:b/>
                <w:bCs/>
                <w:color w:val="0000FF"/>
                <w:szCs w:val="24"/>
                <w:lang w:val="x-none" w:eastAsia="x-none"/>
              </w:rPr>
            </w:pPr>
            <w:r w:rsidRPr="00A23740">
              <w:rPr>
                <w:b/>
                <w:bCs/>
                <w:color w:val="0000FF"/>
                <w:szCs w:val="24"/>
                <w:lang w:val="x-none" w:eastAsia="x-none"/>
              </w:rPr>
              <w:t>b)</w:t>
            </w:r>
            <w:r w:rsidRPr="00A23740">
              <w:rPr>
                <w:b/>
                <w:bCs/>
                <w:color w:val="0000FF"/>
                <w:szCs w:val="24"/>
              </w:rPr>
              <w:t xml:space="preserve"> </w:t>
            </w:r>
            <w:r w:rsidRPr="00A23740">
              <w:rPr>
                <w:rFonts w:eastAsia="Times New Roman"/>
                <w:szCs w:val="24"/>
                <w:lang w:eastAsia="tr-TR"/>
              </w:rPr>
              <w:t>“Taşınır rehni”</w:t>
            </w:r>
            <w:r w:rsidRPr="00A23740">
              <w:rPr>
                <w:b/>
                <w:bCs/>
                <w:color w:val="0000FF"/>
                <w:szCs w:val="24"/>
              </w:rPr>
              <w:t xml:space="preserve"> </w:t>
            </w:r>
            <w:r w:rsidRPr="00A23740">
              <w:rPr>
                <w:b/>
                <w:bCs/>
                <w:color w:val="0000FF"/>
                <w:szCs w:val="24"/>
                <w:lang w:val="x-none" w:eastAsia="x-none"/>
              </w:rPr>
              <w:t>terimi</w:t>
            </w:r>
            <w:r w:rsidRPr="00A23740">
              <w:rPr>
                <w:rFonts w:eastAsia="Times New Roman"/>
                <w:szCs w:val="24"/>
                <w:lang w:eastAsia="tr-TR"/>
              </w:rPr>
              <w:t>, teslime bağlı rehinleri,</w:t>
            </w:r>
            <w:r w:rsidRPr="00A23740">
              <w:rPr>
                <w:b/>
                <w:bCs/>
                <w:color w:val="0000FF"/>
                <w:szCs w:val="24"/>
              </w:rPr>
              <w:t xml:space="preserve"> </w:t>
            </w:r>
            <w:r w:rsidR="00C5698F" w:rsidRPr="00A23740">
              <w:rPr>
                <w:rFonts w:eastAsia="Times New Roman"/>
                <w:szCs w:val="24"/>
                <w:lang w:eastAsia="tr-TR"/>
              </w:rPr>
              <w:t>Türk Meden</w:t>
            </w:r>
            <w:r w:rsidR="000E3F90" w:rsidRPr="00A23740">
              <w:rPr>
                <w:rFonts w:eastAsia="Times New Roman"/>
                <w:szCs w:val="24"/>
                <w:lang w:eastAsia="tr-TR"/>
              </w:rPr>
              <w:t>i</w:t>
            </w:r>
            <w:r w:rsidRPr="00A23740">
              <w:rPr>
                <w:rFonts w:eastAsia="Times New Roman"/>
                <w:szCs w:val="24"/>
                <w:lang w:eastAsia="tr-TR"/>
              </w:rPr>
              <w:t xml:space="preserve"> Kanunun</w:t>
            </w:r>
            <w:r w:rsidRPr="00A23740">
              <w:rPr>
                <w:rStyle w:val="MaviChar"/>
              </w:rPr>
              <w:t>un</w:t>
            </w:r>
            <w:r w:rsidRPr="00A23740">
              <w:rPr>
                <w:rFonts w:eastAsia="Times New Roman"/>
                <w:szCs w:val="24"/>
                <w:lang w:eastAsia="tr-TR"/>
              </w:rPr>
              <w:t xml:space="preserve"> 940 ıncı maddesinde öngörülen rehinleri, </w:t>
            </w:r>
            <w:r w:rsidRPr="00A23740">
              <w:rPr>
                <w:b/>
                <w:bCs/>
                <w:color w:val="0000FF"/>
                <w:szCs w:val="24"/>
                <w:lang w:val="x-none" w:eastAsia="x-none"/>
              </w:rPr>
              <w:t>21/7/1971 tarihli ve 1447 sayılı mülga Ticari İşletme Rehni Kanununa göre kurulan</w:t>
            </w:r>
            <w:r w:rsidRPr="00A23740">
              <w:rPr>
                <w:b/>
                <w:bCs/>
                <w:color w:val="0000FF"/>
                <w:szCs w:val="24"/>
              </w:rPr>
              <w:t xml:space="preserve"> </w:t>
            </w:r>
            <w:r w:rsidR="00C5698F" w:rsidRPr="00A23740">
              <w:rPr>
                <w:rFonts w:eastAsia="Times New Roman"/>
                <w:szCs w:val="24"/>
                <w:lang w:eastAsia="tr-TR"/>
              </w:rPr>
              <w:t>ticari</w:t>
            </w:r>
            <w:r w:rsidRPr="00A23740">
              <w:rPr>
                <w:rFonts w:eastAsia="Times New Roman"/>
                <w:szCs w:val="24"/>
                <w:lang w:eastAsia="tr-TR"/>
              </w:rPr>
              <w:t xml:space="preserve"> işletme rehnini, hapis hakkını, alacak ve sair haklar üzerindeki rehinler </w:t>
            </w:r>
            <w:r w:rsidRPr="00A23740">
              <w:rPr>
                <w:b/>
                <w:bCs/>
                <w:color w:val="0000FF"/>
                <w:szCs w:val="24"/>
                <w:lang w:val="x-none" w:eastAsia="x-none"/>
              </w:rPr>
              <w:t>ile özel kanunlarda taşınırlar üzerinde kurulması öngörülen diğer rehinler</w:t>
            </w:r>
            <w:r w:rsidRPr="00A23740">
              <w:rPr>
                <w:b/>
                <w:bCs/>
                <w:color w:val="0000FF"/>
                <w:szCs w:val="24"/>
                <w:lang w:eastAsia="x-none"/>
              </w:rPr>
              <w:t>i</w:t>
            </w:r>
            <w:r w:rsidRPr="00A23740">
              <w:rPr>
                <w:b/>
                <w:bCs/>
                <w:color w:val="0000FF"/>
                <w:szCs w:val="24"/>
                <w:lang w:val="x-none" w:eastAsia="x-none"/>
              </w:rPr>
              <w:t>,</w:t>
            </w:r>
          </w:p>
          <w:p w:rsidR="00155AF4" w:rsidRPr="00A23740" w:rsidRDefault="00155AF4" w:rsidP="009431FF">
            <w:pPr>
              <w:autoSpaceDE w:val="0"/>
              <w:autoSpaceDN w:val="0"/>
              <w:adjustRightInd w:val="0"/>
              <w:rPr>
                <w:b/>
                <w:bCs/>
                <w:color w:val="0000FF"/>
                <w:szCs w:val="24"/>
              </w:rPr>
            </w:pPr>
          </w:p>
          <w:p w:rsidR="00155AF4" w:rsidRPr="00A23740" w:rsidRDefault="00155AF4" w:rsidP="009431FF">
            <w:pPr>
              <w:autoSpaceDE w:val="0"/>
              <w:autoSpaceDN w:val="0"/>
              <w:adjustRightInd w:val="0"/>
              <w:rPr>
                <w:rFonts w:eastAsia="Times New Roman"/>
                <w:szCs w:val="24"/>
                <w:lang w:eastAsia="tr-TR"/>
              </w:rPr>
            </w:pPr>
            <w:r w:rsidRPr="00A23740">
              <w:rPr>
                <w:b/>
                <w:bCs/>
                <w:color w:val="0000FF"/>
                <w:szCs w:val="24"/>
                <w:lang w:val="x-none" w:eastAsia="x-none"/>
              </w:rPr>
              <w:t>c)</w:t>
            </w:r>
            <w:r w:rsidRPr="00A23740">
              <w:rPr>
                <w:b/>
                <w:bCs/>
                <w:color w:val="0000FF"/>
                <w:szCs w:val="24"/>
              </w:rPr>
              <w:t xml:space="preserve"> </w:t>
            </w:r>
            <w:r w:rsidRPr="00A23740">
              <w:rPr>
                <w:rFonts w:eastAsia="Times New Roman"/>
                <w:szCs w:val="24"/>
                <w:lang w:eastAsia="tr-TR"/>
              </w:rPr>
              <w:t>Sadece “rehin”</w:t>
            </w:r>
            <w:r w:rsidRPr="00A23740">
              <w:rPr>
                <w:b/>
                <w:bCs/>
                <w:color w:val="0000FF"/>
                <w:szCs w:val="24"/>
                <w:lang w:val="x-none" w:eastAsia="x-none"/>
              </w:rPr>
              <w:t xml:space="preserve"> terimi</w:t>
            </w:r>
            <w:r w:rsidRPr="00A23740">
              <w:rPr>
                <w:rFonts w:eastAsia="Times New Roman"/>
                <w:szCs w:val="24"/>
                <w:lang w:eastAsia="tr-TR"/>
              </w:rPr>
              <w:t xml:space="preserve">, “ipotek” ve “taşınır rehni” </w:t>
            </w:r>
            <w:r w:rsidRPr="00A23740">
              <w:rPr>
                <w:rStyle w:val="MaviChar"/>
              </w:rPr>
              <w:t>kapsamına</w:t>
            </w:r>
            <w:r w:rsidRPr="00A23740">
              <w:rPr>
                <w:b/>
                <w:bCs/>
                <w:color w:val="0000FF"/>
                <w:szCs w:val="24"/>
              </w:rPr>
              <w:t xml:space="preserve"> </w:t>
            </w:r>
            <w:r w:rsidRPr="00A23740">
              <w:rPr>
                <w:rFonts w:eastAsia="Times New Roman"/>
                <w:szCs w:val="24"/>
                <w:lang w:eastAsia="tr-TR"/>
              </w:rPr>
              <w:t>giren bütün taşınır ve taşınmaz rehinlerini,</w:t>
            </w:r>
          </w:p>
          <w:p w:rsidR="00155AF4" w:rsidRPr="00A23740" w:rsidRDefault="00155AF4" w:rsidP="009431FF">
            <w:pPr>
              <w:tabs>
                <w:tab w:val="left" w:pos="566"/>
              </w:tabs>
              <w:autoSpaceDE w:val="0"/>
              <w:autoSpaceDN w:val="0"/>
              <w:adjustRightInd w:val="0"/>
              <w:rPr>
                <w:b/>
                <w:bCs/>
                <w:color w:val="0000FF"/>
                <w:szCs w:val="24"/>
              </w:rPr>
            </w:pPr>
            <w:r w:rsidRPr="00A23740">
              <w:rPr>
                <w:b/>
                <w:bCs/>
                <w:color w:val="0000FF"/>
                <w:szCs w:val="24"/>
                <w:lang w:val="x-none" w:eastAsia="x-none"/>
              </w:rPr>
              <w:t>ifade</w:t>
            </w:r>
            <w:r w:rsidRPr="00A23740">
              <w:rPr>
                <w:b/>
                <w:bCs/>
                <w:color w:val="0000FF"/>
                <w:szCs w:val="24"/>
              </w:rPr>
              <w:t xml:space="preserve"> </w:t>
            </w:r>
            <w:r w:rsidRPr="00A23740">
              <w:rPr>
                <w:rFonts w:eastAsia="Times New Roman"/>
                <w:szCs w:val="24"/>
                <w:lang w:eastAsia="tr-TR"/>
              </w:rPr>
              <w:t>eder.</w:t>
            </w:r>
          </w:p>
          <w:p w:rsidR="00155AF4" w:rsidRPr="00A23740" w:rsidRDefault="00155AF4" w:rsidP="009431FF">
            <w:pPr>
              <w:autoSpaceDE w:val="0"/>
              <w:autoSpaceDN w:val="0"/>
              <w:adjustRightInd w:val="0"/>
              <w:rPr>
                <w:strike/>
              </w:rPr>
            </w:pPr>
            <w:r w:rsidRPr="00A23740">
              <w:rPr>
                <w:b/>
                <w:bCs/>
                <w:color w:val="FF0000"/>
                <w:szCs w:val="24"/>
              </w:rPr>
              <w:t xml:space="preserve"> </w:t>
            </w:r>
          </w:p>
        </w:tc>
      </w:tr>
      <w:tr w:rsidR="00155AF4" w:rsidRPr="00A23740" w:rsidTr="009431FF">
        <w:tc>
          <w:tcPr>
            <w:tcW w:w="5000" w:type="pct"/>
            <w:gridSpan w:val="2"/>
            <w:shd w:val="clear" w:color="auto" w:fill="DEEAF6"/>
          </w:tcPr>
          <w:p w:rsidR="00155AF4" w:rsidRPr="00A23740" w:rsidRDefault="00155AF4" w:rsidP="009431FF">
            <w:pPr>
              <w:tabs>
                <w:tab w:val="left" w:pos="567"/>
              </w:tabs>
              <w:ind w:firstLine="709"/>
              <w:jc w:val="center"/>
              <w:rPr>
                <w:b/>
                <w:bCs/>
                <w:szCs w:val="24"/>
                <w:lang w:eastAsia="x-none"/>
              </w:rPr>
            </w:pPr>
          </w:p>
          <w:p w:rsidR="00F75417" w:rsidRPr="00A23740" w:rsidRDefault="00FC7A09" w:rsidP="009431FF">
            <w:pPr>
              <w:autoSpaceDE w:val="0"/>
              <w:autoSpaceDN w:val="0"/>
              <w:adjustRightInd w:val="0"/>
              <w:ind w:firstLine="709"/>
              <w:rPr>
                <w:rFonts w:eastAsia="Times New Roman"/>
                <w:szCs w:val="24"/>
                <w:lang w:eastAsia="tr-TR"/>
              </w:rPr>
            </w:pPr>
            <w:r w:rsidRPr="00A23740">
              <w:rPr>
                <w:b/>
                <w:bCs/>
                <w:szCs w:val="24"/>
                <w:lang w:eastAsia="x-none"/>
              </w:rPr>
              <w:t>MADDE 110</w:t>
            </w:r>
            <w:r w:rsidR="00155AF4" w:rsidRPr="00A23740">
              <w:rPr>
                <w:rFonts w:eastAsia="Times New Roman"/>
                <w:szCs w:val="24"/>
                <w:lang w:eastAsia="tr-TR"/>
              </w:rPr>
              <w:t>-</w:t>
            </w:r>
            <w:r w:rsidR="00F75417" w:rsidRPr="00A23740">
              <w:rPr>
                <w:rFonts w:eastAsia="Times New Roman"/>
                <w:szCs w:val="24"/>
                <w:lang w:eastAsia="tr-TR"/>
              </w:rPr>
              <w:t xml:space="preserve"> Maddeyle, rehin hakkındaki terimler belirtilmektedir. </w:t>
            </w:r>
            <w:r w:rsidR="00975E26" w:rsidRPr="00A23740">
              <w:rPr>
                <w:rFonts w:eastAsia="Times New Roman"/>
                <w:szCs w:val="24"/>
                <w:lang w:eastAsia="tr-TR"/>
              </w:rPr>
              <w:t>Taslağın</w:t>
            </w:r>
            <w:r w:rsidR="00A47328" w:rsidRPr="00A23740">
              <w:rPr>
                <w:rFonts w:eastAsia="Times New Roman"/>
                <w:szCs w:val="24"/>
                <w:lang w:eastAsia="tr-TR"/>
              </w:rPr>
              <w:t xml:space="preserve"> </w:t>
            </w:r>
            <w:r w:rsidR="00A47328" w:rsidRPr="00D6648F">
              <w:rPr>
                <w:rFonts w:eastAsia="Times New Roman"/>
                <w:szCs w:val="24"/>
                <w:lang w:eastAsia="tr-TR"/>
              </w:rPr>
              <w:t>110</w:t>
            </w:r>
            <w:r w:rsidR="00975E26" w:rsidRPr="00A23740">
              <w:rPr>
                <w:rFonts w:eastAsia="Times New Roman"/>
                <w:szCs w:val="24"/>
                <w:lang w:eastAsia="tr-TR"/>
              </w:rPr>
              <w:t xml:space="preserve"> uncu</w:t>
            </w:r>
            <w:r w:rsidR="007F2779" w:rsidRPr="00A23740">
              <w:rPr>
                <w:rFonts w:eastAsia="Times New Roman"/>
                <w:szCs w:val="24"/>
                <w:lang w:eastAsia="tr-TR"/>
              </w:rPr>
              <w:t xml:space="preserve"> maddesi</w:t>
            </w:r>
            <w:r w:rsidR="00F75417" w:rsidRPr="00A23740">
              <w:rPr>
                <w:rFonts w:eastAsia="Times New Roman"/>
                <w:szCs w:val="24"/>
                <w:lang w:eastAsia="tr-TR"/>
              </w:rPr>
              <w:t>, 2004 sayılı Kanunun</w:t>
            </w:r>
            <w:r w:rsidR="007F2779" w:rsidRPr="00A23740">
              <w:rPr>
                <w:rFonts w:eastAsia="Times New Roman"/>
                <w:szCs w:val="24"/>
                <w:lang w:eastAsia="tr-TR"/>
              </w:rPr>
              <w:t xml:space="preserve"> 23 üncü </w:t>
            </w:r>
            <w:r w:rsidR="00F75417" w:rsidRPr="00A23740">
              <w:rPr>
                <w:rFonts w:eastAsia="Times New Roman"/>
                <w:szCs w:val="24"/>
                <w:lang w:eastAsia="tr-TR"/>
              </w:rPr>
              <w:t>maddesine karşılık gelmektedir.</w:t>
            </w:r>
          </w:p>
          <w:p w:rsidR="007F2779" w:rsidRPr="00A23740" w:rsidRDefault="007F2779" w:rsidP="009431FF">
            <w:pPr>
              <w:autoSpaceDE w:val="0"/>
              <w:autoSpaceDN w:val="0"/>
              <w:adjustRightInd w:val="0"/>
              <w:ind w:firstLine="709"/>
              <w:rPr>
                <w:rFonts w:eastAsia="Times New Roman"/>
                <w:szCs w:val="24"/>
                <w:lang w:eastAsia="tr-TR"/>
              </w:rPr>
            </w:pPr>
            <w:r w:rsidRPr="00A23740">
              <w:rPr>
                <w:rFonts w:eastAsia="Times New Roman"/>
                <w:szCs w:val="24"/>
                <w:lang w:eastAsia="tr-TR"/>
              </w:rPr>
              <w:t xml:space="preserve">Maddenin </w:t>
            </w:r>
            <w:r w:rsidR="00F75417" w:rsidRPr="00A23740">
              <w:rPr>
                <w:rFonts w:eastAsia="Times New Roman"/>
                <w:szCs w:val="24"/>
                <w:lang w:eastAsia="tr-TR"/>
              </w:rPr>
              <w:t>bir</w:t>
            </w:r>
            <w:r w:rsidRPr="00A23740">
              <w:rPr>
                <w:rFonts w:eastAsia="Times New Roman"/>
                <w:szCs w:val="24"/>
                <w:lang w:eastAsia="tr-TR"/>
              </w:rPr>
              <w:t xml:space="preserve">inci fıkrasının </w:t>
            </w:r>
            <w:r w:rsidR="00F75417" w:rsidRPr="00A23740">
              <w:rPr>
                <w:rFonts w:eastAsia="Times New Roman"/>
                <w:szCs w:val="24"/>
                <w:lang w:eastAsia="tr-TR"/>
              </w:rPr>
              <w:t>(</w:t>
            </w:r>
            <w:r w:rsidRPr="00A23740">
              <w:rPr>
                <w:rFonts w:eastAsia="Times New Roman"/>
                <w:szCs w:val="24"/>
                <w:lang w:eastAsia="tr-TR"/>
              </w:rPr>
              <w:t>a</w:t>
            </w:r>
            <w:r w:rsidR="00F75417" w:rsidRPr="00A23740">
              <w:rPr>
                <w:rFonts w:eastAsia="Times New Roman"/>
                <w:szCs w:val="24"/>
                <w:lang w:eastAsia="tr-TR"/>
              </w:rPr>
              <w:t>)</w:t>
            </w:r>
            <w:r w:rsidRPr="00A23740">
              <w:rPr>
                <w:rFonts w:eastAsia="Times New Roman"/>
                <w:szCs w:val="24"/>
                <w:lang w:eastAsia="tr-TR"/>
              </w:rPr>
              <w:t xml:space="preserve"> bendinde kanunun uygulanmasında “ipotek” teriminin</w:t>
            </w:r>
            <w:r w:rsidR="007C1ED9" w:rsidRPr="00A23740">
              <w:rPr>
                <w:rFonts w:eastAsia="Times New Roman"/>
                <w:szCs w:val="24"/>
                <w:lang w:eastAsia="tr-TR"/>
              </w:rPr>
              <w:t>,</w:t>
            </w:r>
            <w:r w:rsidRPr="00A23740">
              <w:rPr>
                <w:rFonts w:eastAsia="Times New Roman"/>
                <w:szCs w:val="24"/>
                <w:lang w:eastAsia="tr-TR"/>
              </w:rPr>
              <w:t xml:space="preserve"> ipotekleri, ipotekli borç senetlerini, irat senetlerini, eski hukuk hükümlerine göre kurulmuş taşınmaz rehinlerini, taşınmaz yüklerini ve taşınmaz eklentileri üzerindeki rehin işlemlerini;</w:t>
            </w:r>
          </w:p>
          <w:p w:rsidR="007F2779" w:rsidRPr="00A23740" w:rsidRDefault="00F75417" w:rsidP="009431FF">
            <w:pPr>
              <w:autoSpaceDE w:val="0"/>
              <w:autoSpaceDN w:val="0"/>
              <w:adjustRightInd w:val="0"/>
              <w:ind w:firstLine="709"/>
              <w:rPr>
                <w:rFonts w:eastAsia="Times New Roman"/>
                <w:szCs w:val="24"/>
                <w:lang w:eastAsia="tr-TR"/>
              </w:rPr>
            </w:pPr>
            <w:r w:rsidRPr="00A23740">
              <w:rPr>
                <w:rFonts w:eastAsia="Times New Roman"/>
                <w:szCs w:val="24"/>
                <w:lang w:eastAsia="tr-TR"/>
              </w:rPr>
              <w:t>(</w:t>
            </w:r>
            <w:r w:rsidR="007F2779" w:rsidRPr="00A23740">
              <w:rPr>
                <w:rFonts w:eastAsia="Times New Roman"/>
                <w:szCs w:val="24"/>
                <w:lang w:eastAsia="tr-TR"/>
              </w:rPr>
              <w:t>b</w:t>
            </w:r>
            <w:r w:rsidRPr="00A23740">
              <w:rPr>
                <w:rFonts w:eastAsia="Times New Roman"/>
                <w:szCs w:val="24"/>
                <w:lang w:eastAsia="tr-TR"/>
              </w:rPr>
              <w:t xml:space="preserve">) </w:t>
            </w:r>
            <w:r w:rsidR="00975E26" w:rsidRPr="00A23740">
              <w:rPr>
                <w:rFonts w:eastAsia="Times New Roman"/>
                <w:szCs w:val="24"/>
                <w:lang w:eastAsia="tr-TR"/>
              </w:rPr>
              <w:t>bendinde  “taşınır rehni”</w:t>
            </w:r>
            <w:r w:rsidR="007F2779" w:rsidRPr="00A23740">
              <w:rPr>
                <w:rFonts w:eastAsia="Times New Roman"/>
                <w:szCs w:val="24"/>
                <w:lang w:eastAsia="tr-TR"/>
              </w:rPr>
              <w:t xml:space="preserve"> teriminin, tesl</w:t>
            </w:r>
            <w:r w:rsidR="00A47328" w:rsidRPr="00A23740">
              <w:rPr>
                <w:rFonts w:eastAsia="Times New Roman"/>
                <w:szCs w:val="24"/>
                <w:lang w:eastAsia="tr-TR"/>
              </w:rPr>
              <w:t>ime bağlı rehinleri, Türk Meden</w:t>
            </w:r>
            <w:r w:rsidR="000E3F90" w:rsidRPr="00A23740">
              <w:rPr>
                <w:rFonts w:eastAsia="Times New Roman"/>
                <w:szCs w:val="24"/>
                <w:lang w:eastAsia="tr-TR"/>
              </w:rPr>
              <w:t>i</w:t>
            </w:r>
            <w:r w:rsidR="007F2779" w:rsidRPr="00A23740">
              <w:rPr>
                <w:rFonts w:eastAsia="Times New Roman"/>
                <w:szCs w:val="24"/>
                <w:lang w:eastAsia="tr-TR"/>
              </w:rPr>
              <w:t xml:space="preserve"> Kanununun 940 ıncı maddesinde öngörülen rehinleri, 21/7/1971 tarihli ve 1447 sayılı mülga Ticari İşletme Rehni Kanununa göre kurulan ticarî işletme rehnini, hapis hakkını, alacak ve sair haklar üzerindeki rehinler ile özel kanunlarda taşınırlar üzerinde kurul</w:t>
            </w:r>
            <w:r w:rsidR="00975E26" w:rsidRPr="00A23740">
              <w:rPr>
                <w:rFonts w:eastAsia="Times New Roman"/>
                <w:szCs w:val="24"/>
                <w:lang w:eastAsia="tr-TR"/>
              </w:rPr>
              <w:t>ması öngörülen diğer rehinleri,</w:t>
            </w:r>
          </w:p>
          <w:p w:rsidR="007F2779" w:rsidRPr="00A23740" w:rsidRDefault="00F75417" w:rsidP="009431FF">
            <w:pPr>
              <w:autoSpaceDE w:val="0"/>
              <w:autoSpaceDN w:val="0"/>
              <w:adjustRightInd w:val="0"/>
              <w:ind w:firstLine="709"/>
              <w:rPr>
                <w:rFonts w:eastAsia="Times New Roman"/>
                <w:szCs w:val="24"/>
                <w:lang w:eastAsia="tr-TR"/>
              </w:rPr>
            </w:pPr>
            <w:r w:rsidRPr="00A23740">
              <w:rPr>
                <w:rFonts w:eastAsia="Times New Roman"/>
                <w:szCs w:val="24"/>
                <w:lang w:eastAsia="tr-TR"/>
              </w:rPr>
              <w:t>(</w:t>
            </w:r>
            <w:r w:rsidR="007F2779" w:rsidRPr="00A23740">
              <w:rPr>
                <w:rFonts w:eastAsia="Times New Roman"/>
                <w:szCs w:val="24"/>
                <w:lang w:eastAsia="tr-TR"/>
              </w:rPr>
              <w:t>c</w:t>
            </w:r>
            <w:r w:rsidRPr="00A23740">
              <w:rPr>
                <w:rFonts w:eastAsia="Times New Roman"/>
                <w:szCs w:val="24"/>
                <w:lang w:eastAsia="tr-TR"/>
              </w:rPr>
              <w:t>)</w:t>
            </w:r>
            <w:r w:rsidR="007F2779" w:rsidRPr="00A23740">
              <w:rPr>
                <w:rFonts w:eastAsia="Times New Roman"/>
                <w:szCs w:val="24"/>
                <w:lang w:eastAsia="tr-TR"/>
              </w:rPr>
              <w:t xml:space="preserve"> bendinde ise sadece “rehin” teriminin, “ipotek” ve “taşınır rehni” kapsamına giren bütün taşınır ve taşınmaz rehinlerini,</w:t>
            </w:r>
          </w:p>
          <w:p w:rsidR="007F2779" w:rsidRPr="00A23740" w:rsidRDefault="007F2779" w:rsidP="009431FF">
            <w:pPr>
              <w:autoSpaceDE w:val="0"/>
              <w:autoSpaceDN w:val="0"/>
              <w:adjustRightInd w:val="0"/>
              <w:rPr>
                <w:rFonts w:eastAsia="Times New Roman"/>
                <w:szCs w:val="24"/>
                <w:lang w:eastAsia="tr-TR"/>
              </w:rPr>
            </w:pPr>
            <w:r w:rsidRPr="00A23740">
              <w:rPr>
                <w:rFonts w:eastAsia="Times New Roman"/>
                <w:szCs w:val="24"/>
                <w:lang w:eastAsia="tr-TR"/>
              </w:rPr>
              <w:t>ifade edeceği</w:t>
            </w:r>
            <w:r w:rsidR="007C1ED9" w:rsidRPr="00A23740">
              <w:rPr>
                <w:rFonts w:eastAsia="Times New Roman"/>
                <w:szCs w:val="24"/>
                <w:lang w:eastAsia="tr-TR"/>
              </w:rPr>
              <w:t xml:space="preserve"> açıklanmıştır</w:t>
            </w:r>
            <w:r w:rsidRPr="00A23740">
              <w:rPr>
                <w:rFonts w:eastAsia="Times New Roman"/>
                <w:szCs w:val="24"/>
                <w:lang w:eastAsia="tr-TR"/>
              </w:rPr>
              <w:t>.</w:t>
            </w:r>
          </w:p>
          <w:p w:rsidR="007F2779" w:rsidRPr="00A23740" w:rsidRDefault="007F2779" w:rsidP="009431FF">
            <w:pPr>
              <w:autoSpaceDE w:val="0"/>
              <w:autoSpaceDN w:val="0"/>
              <w:adjustRightInd w:val="0"/>
              <w:ind w:firstLine="709"/>
              <w:rPr>
                <w:rFonts w:eastAsia="Times New Roman"/>
                <w:szCs w:val="24"/>
                <w:lang w:eastAsia="tr-TR"/>
              </w:rPr>
            </w:pPr>
            <w:r w:rsidRPr="00A23740">
              <w:rPr>
                <w:rFonts w:eastAsia="Times New Roman"/>
                <w:szCs w:val="24"/>
                <w:lang w:eastAsia="tr-TR"/>
              </w:rPr>
              <w:t xml:space="preserve">Maddenin (a) bendinin kaleme alınmasında </w:t>
            </w:r>
            <w:r w:rsidR="00F75417" w:rsidRPr="00A23740">
              <w:rPr>
                <w:rFonts w:eastAsia="Times New Roman"/>
                <w:szCs w:val="24"/>
                <w:lang w:eastAsia="tr-TR"/>
              </w:rPr>
              <w:t>2004 sayılı</w:t>
            </w:r>
            <w:r w:rsidRPr="00A23740">
              <w:rPr>
                <w:rFonts w:eastAsia="Times New Roman"/>
                <w:szCs w:val="24"/>
                <w:lang w:eastAsia="tr-TR"/>
              </w:rPr>
              <w:t xml:space="preserve"> Kanunun 23 üncü maddesinde kullanılan “eski hukuk hükümlerine göre tesis edilmiş taşınmaz rehinleri” ibaresinin yeni kanunda muhafaza edilmesinin gerekli olup olmadığı hazırlık çalışmaları sırasında değerlendirilmiştir. </w:t>
            </w:r>
          </w:p>
          <w:p w:rsidR="007F2779" w:rsidRPr="00A23740" w:rsidRDefault="007F2779" w:rsidP="009431FF">
            <w:pPr>
              <w:autoSpaceDE w:val="0"/>
              <w:autoSpaceDN w:val="0"/>
              <w:adjustRightInd w:val="0"/>
              <w:ind w:firstLine="709"/>
              <w:rPr>
                <w:rFonts w:eastAsia="Times New Roman"/>
                <w:szCs w:val="24"/>
                <w:lang w:eastAsia="tr-TR"/>
              </w:rPr>
            </w:pPr>
            <w:r w:rsidRPr="00A23740">
              <w:rPr>
                <w:rFonts w:eastAsia="Times New Roman"/>
                <w:szCs w:val="24"/>
                <w:lang w:eastAsia="tr-TR"/>
              </w:rPr>
              <w:t>864 say</w:t>
            </w:r>
            <w:r w:rsidR="00A47328" w:rsidRPr="00A23740">
              <w:rPr>
                <w:rFonts w:eastAsia="Times New Roman"/>
                <w:szCs w:val="24"/>
                <w:lang w:eastAsia="tr-TR"/>
              </w:rPr>
              <w:t>ılı Kanunu Medenînin Sureti Mer’iyet ve Şekli Tatbiki</w:t>
            </w:r>
            <w:r w:rsidRPr="00A23740">
              <w:rPr>
                <w:rFonts w:eastAsia="Times New Roman"/>
                <w:szCs w:val="24"/>
                <w:lang w:eastAsia="tr-TR"/>
              </w:rPr>
              <w:t xml:space="preserve"> Hakkında Kanunun 2 nci maddesinin </w:t>
            </w:r>
            <w:r w:rsidR="00F75417" w:rsidRPr="00A23740">
              <w:rPr>
                <w:rFonts w:eastAsia="Times New Roman"/>
                <w:szCs w:val="24"/>
                <w:lang w:eastAsia="tr-TR"/>
              </w:rPr>
              <w:t>bir</w:t>
            </w:r>
            <w:r w:rsidRPr="00A23740">
              <w:rPr>
                <w:rFonts w:eastAsia="Times New Roman"/>
                <w:szCs w:val="24"/>
                <w:lang w:eastAsia="tr-TR"/>
              </w:rPr>
              <w:t>inci fıkrası şöyledir: “Kanunu Meden</w:t>
            </w:r>
            <w:r w:rsidR="00A47328" w:rsidRPr="00A23740">
              <w:rPr>
                <w:rFonts w:eastAsia="Times New Roman"/>
                <w:szCs w:val="24"/>
                <w:lang w:eastAsia="tr-TR"/>
              </w:rPr>
              <w:t>î</w:t>
            </w:r>
            <w:r w:rsidRPr="00A23740">
              <w:rPr>
                <w:rFonts w:eastAsia="Times New Roman"/>
                <w:szCs w:val="24"/>
                <w:lang w:eastAsia="tr-TR"/>
              </w:rPr>
              <w:t>nin mer’i olmağa başladığı tarihte mevcut gayrimenkul rehinlerinde alacaklı ile borçlunun hukuk ve mükellefiyetleri akitten neşet etmiş bulund</w:t>
            </w:r>
            <w:r w:rsidR="00975E26" w:rsidRPr="00A23740">
              <w:rPr>
                <w:rFonts w:eastAsia="Times New Roman"/>
                <w:szCs w:val="24"/>
                <w:lang w:eastAsia="tr-TR"/>
              </w:rPr>
              <w:t>ukça eski kanuna tabi olur</w:t>
            </w:r>
            <w:r w:rsidRPr="00A23740">
              <w:rPr>
                <w:rFonts w:eastAsia="Times New Roman"/>
                <w:szCs w:val="24"/>
                <w:lang w:eastAsia="tr-TR"/>
              </w:rPr>
              <w:t>”</w:t>
            </w:r>
            <w:r w:rsidR="00975E26" w:rsidRPr="00A23740">
              <w:rPr>
                <w:rFonts w:eastAsia="Times New Roman"/>
                <w:szCs w:val="24"/>
                <w:lang w:eastAsia="tr-TR"/>
              </w:rPr>
              <w:t>.</w:t>
            </w:r>
            <w:r w:rsidRPr="00A23740">
              <w:rPr>
                <w:rFonts w:eastAsia="Times New Roman"/>
                <w:szCs w:val="24"/>
                <w:lang w:eastAsia="tr-TR"/>
              </w:rPr>
              <w:t xml:space="preserve"> Bu </w:t>
            </w:r>
            <w:r w:rsidR="00A47328" w:rsidRPr="00A23740">
              <w:rPr>
                <w:rFonts w:eastAsia="Times New Roman"/>
                <w:szCs w:val="24"/>
                <w:lang w:eastAsia="tr-TR"/>
              </w:rPr>
              <w:t>K</w:t>
            </w:r>
            <w:r w:rsidRPr="00A23740">
              <w:rPr>
                <w:rFonts w:eastAsia="Times New Roman"/>
                <w:szCs w:val="24"/>
                <w:lang w:eastAsia="tr-TR"/>
              </w:rPr>
              <w:t>anun hükmünde söz konusu olan eski rehin hükümleri 1331 (1913) tarihli “Emvali Gayrimenkulenin Deyn Mukabilinde Teminat Olarak İraesine Dair Kanunu Muvakkat”te yer ala</w:t>
            </w:r>
            <w:r w:rsidR="00A47328" w:rsidRPr="00A23740">
              <w:rPr>
                <w:rFonts w:eastAsia="Times New Roman"/>
                <w:szCs w:val="24"/>
                <w:lang w:eastAsia="tr-TR"/>
              </w:rPr>
              <w:t>n hükümlerdir.</w:t>
            </w:r>
            <w:r w:rsidRPr="00A23740">
              <w:rPr>
                <w:rFonts w:eastAsia="Times New Roman"/>
                <w:szCs w:val="24"/>
                <w:lang w:eastAsia="tr-TR"/>
              </w:rPr>
              <w:t xml:space="preserve"> 864 say</w:t>
            </w:r>
            <w:r w:rsidR="00A47328" w:rsidRPr="00A23740">
              <w:rPr>
                <w:rFonts w:eastAsia="Times New Roman"/>
                <w:szCs w:val="24"/>
                <w:lang w:eastAsia="tr-TR"/>
              </w:rPr>
              <w:t>ılı Kanunu Medenînin Sureti Mer’iyet ve Şekli Tatbiki</w:t>
            </w:r>
            <w:r w:rsidRPr="00A23740">
              <w:rPr>
                <w:rFonts w:eastAsia="Times New Roman"/>
                <w:szCs w:val="24"/>
                <w:lang w:eastAsia="tr-TR"/>
              </w:rPr>
              <w:t xml:space="preserve"> Hakkında Kanun yeni Medeni Kanuna ait 4722 sayılı yürürlük kanunu ile yürürlükten kaldırılmış olmasına rağmen</w:t>
            </w:r>
            <w:r w:rsidR="00975E26" w:rsidRPr="00A23740">
              <w:rPr>
                <w:rFonts w:eastAsia="Times New Roman"/>
                <w:szCs w:val="24"/>
                <w:lang w:eastAsia="tr-TR"/>
              </w:rPr>
              <w:t>,</w:t>
            </w:r>
            <w:r w:rsidRPr="00A23740">
              <w:rPr>
                <w:rFonts w:eastAsia="Times New Roman"/>
                <w:szCs w:val="24"/>
                <w:lang w:eastAsia="tr-TR"/>
              </w:rPr>
              <w:t xml:space="preserve"> kanun hükümlerinin geriye yürümeyeceği hakkındaki 4722 sayılı Kanunun 1 inci maddesinde de benimsenmiş olan ilkeye göre 864 say</w:t>
            </w:r>
            <w:r w:rsidR="00A47328" w:rsidRPr="00A23740">
              <w:rPr>
                <w:rFonts w:eastAsia="Times New Roman"/>
                <w:szCs w:val="24"/>
                <w:lang w:eastAsia="tr-TR"/>
              </w:rPr>
              <w:t>ılı Kanunu Medenînin Sureti Mer’iyet ve Şekli Tatbiki</w:t>
            </w:r>
            <w:r w:rsidRPr="00A23740">
              <w:rPr>
                <w:rFonts w:eastAsia="Times New Roman"/>
                <w:szCs w:val="24"/>
                <w:lang w:eastAsia="tr-TR"/>
              </w:rPr>
              <w:t xml:space="preserve"> Hakkında Kanunun eski hukuka göre tesis edilmiş rehin haklarını geçerliliğini muhafaza edeceği hakkındaki (bu eski rehinlerinin geçerliliğini muhafaza edeceği sonucunu doğurmuş olan) 27 nci maddesi hükmünün  geçmişe etkili olarak sonuçsuz sayılamayacağı dikkate alınarak</w:t>
            </w:r>
            <w:r w:rsidR="00B7502D" w:rsidRPr="00A23740">
              <w:rPr>
                <w:rFonts w:eastAsia="Times New Roman"/>
                <w:szCs w:val="24"/>
                <w:lang w:eastAsia="tr-TR"/>
              </w:rPr>
              <w:t>,</w:t>
            </w:r>
            <w:r w:rsidRPr="00A23740">
              <w:rPr>
                <w:rFonts w:eastAsia="Times New Roman"/>
                <w:szCs w:val="24"/>
                <w:lang w:eastAsia="tr-TR"/>
              </w:rPr>
              <w:t> uygulamada çok nadir şekilde ortaya çıkması muhtemel olmakla birlikte eski hukuka ait taşınmaz rehinlerinin bugün de icra takiplerine konu olabileceği değerlendirilmiş ve söz konusu “eski hukuk hükümlerine göre tesis edilmiş taşınmaz rehinleri” ibaresinin yeni kanunda da muhaf</w:t>
            </w:r>
            <w:r w:rsidR="00F75417" w:rsidRPr="00A23740">
              <w:rPr>
                <w:rFonts w:eastAsia="Times New Roman"/>
                <w:szCs w:val="24"/>
                <w:lang w:eastAsia="tr-TR"/>
              </w:rPr>
              <w:t>aza edilmesi uygun görülmüştür.</w:t>
            </w:r>
          </w:p>
          <w:p w:rsidR="007F2779" w:rsidRPr="00A23740" w:rsidRDefault="007F2779" w:rsidP="009431FF">
            <w:pPr>
              <w:autoSpaceDE w:val="0"/>
              <w:autoSpaceDN w:val="0"/>
              <w:adjustRightInd w:val="0"/>
              <w:ind w:firstLine="709"/>
              <w:rPr>
                <w:rFonts w:eastAsia="Times New Roman"/>
                <w:szCs w:val="24"/>
                <w:lang w:eastAsia="tr-TR"/>
              </w:rPr>
            </w:pPr>
            <w:r w:rsidRPr="00A23740">
              <w:rPr>
                <w:rFonts w:eastAsia="Times New Roman"/>
                <w:szCs w:val="24"/>
                <w:lang w:eastAsia="tr-TR"/>
              </w:rPr>
              <w:t>Maddenin (b) bendi bakımından başka kanunlarda da taşınır rehni tesisine yer verilmiş old</w:t>
            </w:r>
            <w:r w:rsidR="00B7502D" w:rsidRPr="00A23740">
              <w:rPr>
                <w:rFonts w:eastAsia="Times New Roman"/>
                <w:szCs w:val="24"/>
                <w:lang w:eastAsia="tr-TR"/>
              </w:rPr>
              <w:t>uğu müşahe</w:t>
            </w:r>
            <w:r w:rsidRPr="00A23740">
              <w:rPr>
                <w:rFonts w:eastAsia="Times New Roman"/>
                <w:szCs w:val="24"/>
                <w:lang w:eastAsia="tr-TR"/>
              </w:rPr>
              <w:t>de edildiğinden</w:t>
            </w:r>
            <w:r w:rsidR="00B7502D" w:rsidRPr="00A23740">
              <w:rPr>
                <w:rFonts w:eastAsia="Times New Roman"/>
                <w:szCs w:val="24"/>
                <w:lang w:eastAsia="tr-TR"/>
              </w:rPr>
              <w:t>,</w:t>
            </w:r>
            <w:r w:rsidRPr="00A23740">
              <w:rPr>
                <w:rFonts w:eastAsia="Times New Roman"/>
                <w:szCs w:val="24"/>
                <w:lang w:eastAsia="tr-TR"/>
              </w:rPr>
              <w:t xml:space="preserve"> bu husus hükme ilave edilmiştir.</w:t>
            </w:r>
          </w:p>
          <w:p w:rsidR="00F75417" w:rsidRPr="00A23740" w:rsidRDefault="00F75417" w:rsidP="009431FF">
            <w:pPr>
              <w:autoSpaceDE w:val="0"/>
              <w:autoSpaceDN w:val="0"/>
              <w:adjustRightInd w:val="0"/>
              <w:ind w:firstLine="709"/>
              <w:rPr>
                <w:rFonts w:eastAsia="Times New Roman"/>
                <w:szCs w:val="24"/>
                <w:lang w:eastAsia="tr-TR"/>
              </w:rPr>
            </w:pPr>
            <w:r w:rsidRPr="00A23740">
              <w:rPr>
                <w:rFonts w:eastAsia="Times New Roman"/>
                <w:szCs w:val="24"/>
                <w:lang w:eastAsia="tr-TR"/>
              </w:rPr>
              <w:t>2004 sayılı</w:t>
            </w:r>
            <w:r w:rsidR="007F2779" w:rsidRPr="00A23740">
              <w:rPr>
                <w:rFonts w:eastAsia="Times New Roman"/>
                <w:szCs w:val="24"/>
                <w:lang w:eastAsia="tr-TR"/>
              </w:rPr>
              <w:t xml:space="preserve"> </w:t>
            </w:r>
            <w:r w:rsidRPr="00A23740">
              <w:rPr>
                <w:rFonts w:eastAsia="Times New Roman"/>
                <w:szCs w:val="24"/>
                <w:lang w:eastAsia="tr-TR"/>
              </w:rPr>
              <w:t xml:space="preserve">Kanunun </w:t>
            </w:r>
            <w:r w:rsidR="007F2779" w:rsidRPr="00A23740">
              <w:rPr>
                <w:rFonts w:eastAsia="Times New Roman"/>
                <w:szCs w:val="24"/>
                <w:lang w:eastAsia="tr-TR"/>
              </w:rPr>
              <w:t>d</w:t>
            </w:r>
            <w:r w:rsidR="000267DF">
              <w:rPr>
                <w:rFonts w:eastAsia="Times New Roman"/>
                <w:szCs w:val="24"/>
                <w:lang w:eastAsia="tr-TR"/>
              </w:rPr>
              <w:t xml:space="preserve">eniz icra hukukunu ilgilendiren </w:t>
            </w:r>
            <w:r w:rsidR="00A47328" w:rsidRPr="00D6648F">
              <w:rPr>
                <w:rFonts w:eastAsia="Times New Roman"/>
                <w:szCs w:val="24"/>
                <w:lang w:eastAsia="tr-TR"/>
              </w:rPr>
              <w:t>ikinci</w:t>
            </w:r>
            <w:r w:rsidR="00A47328" w:rsidRPr="00A23740">
              <w:rPr>
                <w:rFonts w:eastAsia="Times New Roman"/>
                <w:szCs w:val="24"/>
                <w:lang w:eastAsia="tr-TR"/>
              </w:rPr>
              <w:t xml:space="preserve"> </w:t>
            </w:r>
            <w:r w:rsidR="007F2779" w:rsidRPr="00A23740">
              <w:rPr>
                <w:rFonts w:eastAsia="Times New Roman"/>
                <w:szCs w:val="24"/>
                <w:lang w:eastAsia="tr-TR"/>
              </w:rPr>
              <w:t xml:space="preserve">fıkrası Deniz İcra </w:t>
            </w:r>
            <w:r w:rsidR="00A47328" w:rsidRPr="00A23740">
              <w:rPr>
                <w:rFonts w:eastAsia="Times New Roman"/>
                <w:szCs w:val="24"/>
                <w:lang w:eastAsia="tr-TR"/>
              </w:rPr>
              <w:t>K</w:t>
            </w:r>
            <w:r w:rsidR="007F2779" w:rsidRPr="00A23740">
              <w:rPr>
                <w:rFonts w:eastAsia="Times New Roman"/>
                <w:szCs w:val="24"/>
                <w:lang w:eastAsia="tr-TR"/>
              </w:rPr>
              <w:t>itabının “Uygulanacak Hükümler” başlıklı 459 uncu maddesine taşınmıştır.</w:t>
            </w:r>
          </w:p>
          <w:p w:rsidR="00F75417" w:rsidRPr="00A23740" w:rsidRDefault="00F75417" w:rsidP="009431FF">
            <w:pPr>
              <w:autoSpaceDE w:val="0"/>
              <w:autoSpaceDN w:val="0"/>
              <w:adjustRightInd w:val="0"/>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vAlign w:val="center"/>
          </w:tcPr>
          <w:p w:rsidR="00155AF4" w:rsidRPr="00A23740" w:rsidRDefault="00155AF4" w:rsidP="009431FF">
            <w:pPr>
              <w:tabs>
                <w:tab w:val="left" w:pos="567"/>
              </w:tabs>
              <w:rPr>
                <w:rFonts w:eastAsia="Times New Roman"/>
                <w:b/>
                <w:bCs/>
                <w:strike/>
                <w:color w:val="FF0000"/>
                <w:szCs w:val="24"/>
                <w:lang w:eastAsia="tr-TR"/>
              </w:rPr>
            </w:pPr>
            <w:r w:rsidRPr="00A23740">
              <w:rPr>
                <w:rFonts w:eastAsia="Times New Roman"/>
                <w:b/>
                <w:bCs/>
                <w:strike/>
                <w:color w:val="FF0000"/>
                <w:szCs w:val="24"/>
                <w:lang w:eastAsia="tr-TR"/>
              </w:rPr>
              <w:t xml:space="preserve">Rehin </w:t>
            </w:r>
            <w:r w:rsidRPr="00A23740">
              <w:rPr>
                <w:b/>
                <w:bCs/>
                <w:strike/>
                <w:color w:val="FF0000"/>
                <w:szCs w:val="24"/>
                <w:lang w:eastAsia="x-none"/>
              </w:rPr>
              <w:t>ve ipotekle temin edilmiş</w:t>
            </w:r>
            <w:r w:rsidRPr="00A23740">
              <w:rPr>
                <w:rFonts w:eastAsia="Times New Roman"/>
                <w:b/>
                <w:bCs/>
                <w:strike/>
                <w:color w:val="FF0000"/>
                <w:szCs w:val="24"/>
                <w:lang w:eastAsia="tr-TR"/>
              </w:rPr>
              <w:t xml:space="preserve"> alacaklar</w:t>
            </w:r>
            <w:r w:rsidRPr="00A23740">
              <w:rPr>
                <w:b/>
                <w:bCs/>
                <w:strike/>
                <w:color w:val="FF0000"/>
                <w:szCs w:val="24"/>
                <w:lang w:eastAsia="x-none"/>
              </w:rPr>
              <w:t>:</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Madde 45 – (1)</w:t>
            </w:r>
            <w:r w:rsidRPr="00A23740">
              <w:rPr>
                <w:b/>
                <w:bCs/>
                <w:szCs w:val="24"/>
              </w:rPr>
              <w:t xml:space="preserve"> </w:t>
            </w:r>
            <w:r w:rsidRPr="00A23740">
              <w:rPr>
                <w:szCs w:val="24"/>
              </w:rPr>
              <w:t xml:space="preserve">Rehinle temin </w:t>
            </w:r>
            <w:r w:rsidRPr="00A23740">
              <w:rPr>
                <w:b/>
                <w:strike/>
                <w:color w:val="FF0000"/>
                <w:szCs w:val="24"/>
              </w:rPr>
              <w:t>edilmiş</w:t>
            </w:r>
            <w:r w:rsidRPr="00A23740">
              <w:rPr>
                <w:szCs w:val="24"/>
              </w:rPr>
              <w:t xml:space="preserve"> bir alaca</w:t>
            </w:r>
            <w:r w:rsidRPr="00A23740">
              <w:rPr>
                <w:b/>
                <w:bCs/>
                <w:color w:val="FF0000"/>
                <w:szCs w:val="24"/>
                <w:lang w:eastAsia="x-none"/>
              </w:rPr>
              <w:t xml:space="preserve">ğın borçlusu iflasa </w:t>
            </w:r>
            <w:r w:rsidRPr="00A23740">
              <w:rPr>
                <w:b/>
                <w:strike/>
                <w:color w:val="FF0000"/>
                <w:szCs w:val="24"/>
              </w:rPr>
              <w:t xml:space="preserve">tabi şahıslardan olsa </w:t>
            </w:r>
            <w:r w:rsidRPr="00A23740">
              <w:rPr>
                <w:b/>
                <w:bCs/>
                <w:strike/>
                <w:color w:val="FF0000"/>
                <w:szCs w:val="24"/>
              </w:rPr>
              <w:t>bile alacaklı</w:t>
            </w:r>
            <w:r w:rsidRPr="00A23740">
              <w:rPr>
                <w:szCs w:val="24"/>
              </w:rPr>
              <w:t xml:space="preserve"> yalnız reh</w:t>
            </w:r>
            <w:r w:rsidRPr="00A23740">
              <w:rPr>
                <w:b/>
                <w:strike/>
                <w:color w:val="FF0000"/>
                <w:szCs w:val="24"/>
              </w:rPr>
              <w:t>i</w:t>
            </w:r>
            <w:r w:rsidRPr="00A23740">
              <w:rPr>
                <w:szCs w:val="24"/>
              </w:rPr>
              <w:t>nin paraya çevrilmesi yol</w:t>
            </w:r>
            <w:r w:rsidRPr="00A23740">
              <w:rPr>
                <w:b/>
                <w:strike/>
                <w:color w:val="FF0000"/>
                <w:szCs w:val="24"/>
              </w:rPr>
              <w:t>i</w:t>
            </w:r>
            <w:r w:rsidRPr="00A23740">
              <w:rPr>
                <w:szCs w:val="24"/>
              </w:rPr>
              <w:t>yl</w:t>
            </w:r>
            <w:r w:rsidRPr="00A23740">
              <w:rPr>
                <w:b/>
                <w:strike/>
                <w:color w:val="FF0000"/>
                <w:szCs w:val="24"/>
              </w:rPr>
              <w:t>e</w:t>
            </w:r>
            <w:r w:rsidRPr="00A23740">
              <w:rPr>
                <w:szCs w:val="24"/>
              </w:rPr>
              <w:t xml:space="preserve"> takip yapabilir. Ancak reh</w:t>
            </w:r>
            <w:r w:rsidRPr="00A23740">
              <w:rPr>
                <w:b/>
                <w:strike/>
                <w:color w:val="FF0000"/>
                <w:szCs w:val="24"/>
              </w:rPr>
              <w:t>i</w:t>
            </w:r>
            <w:r w:rsidRPr="00A23740">
              <w:rPr>
                <w:szCs w:val="24"/>
              </w:rPr>
              <w:t>nin tutarı borcu ödeme</w:t>
            </w:r>
            <w:r w:rsidRPr="00A23740">
              <w:rPr>
                <w:b/>
                <w:strike/>
                <w:color w:val="FF0000"/>
                <w:szCs w:val="24"/>
              </w:rPr>
              <w:t>ğ</w:t>
            </w:r>
            <w:r w:rsidRPr="00A23740">
              <w:rPr>
                <w:szCs w:val="24"/>
              </w:rPr>
              <w:t>e yetmezse alacaklı kalan alacağını iflas veya haciz yol</w:t>
            </w:r>
            <w:r w:rsidRPr="00A23740">
              <w:rPr>
                <w:b/>
                <w:strike/>
                <w:color w:val="FF0000"/>
                <w:szCs w:val="24"/>
              </w:rPr>
              <w:t>i</w:t>
            </w:r>
            <w:r w:rsidRPr="00A23740">
              <w:rPr>
                <w:szCs w:val="24"/>
              </w:rPr>
              <w:t>yl</w:t>
            </w:r>
            <w:r w:rsidRPr="00A23740">
              <w:rPr>
                <w:b/>
                <w:strike/>
                <w:color w:val="FF0000"/>
                <w:szCs w:val="24"/>
              </w:rPr>
              <w:t>e</w:t>
            </w:r>
            <w:r w:rsidRPr="00A23740">
              <w:rPr>
                <w:szCs w:val="24"/>
              </w:rPr>
              <w:t xml:space="preserve"> takip edebilir.</w:t>
            </w:r>
          </w:p>
          <w:p w:rsidR="00B7502D" w:rsidRPr="00A23740" w:rsidRDefault="00B7502D" w:rsidP="009431FF">
            <w:pPr>
              <w:tabs>
                <w:tab w:val="left" w:pos="567"/>
              </w:tabs>
              <w:autoSpaceDE w:val="0"/>
              <w:autoSpaceDN w:val="0"/>
              <w:adjustRightInd w:val="0"/>
              <w:rPr>
                <w:szCs w:val="24"/>
              </w:rPr>
            </w:pPr>
          </w:p>
          <w:p w:rsidR="00155AF4" w:rsidRPr="00A23740" w:rsidRDefault="000C120D" w:rsidP="009431FF">
            <w:pPr>
              <w:tabs>
                <w:tab w:val="left" w:pos="567"/>
              </w:tabs>
              <w:autoSpaceDE w:val="0"/>
              <w:autoSpaceDN w:val="0"/>
              <w:adjustRightInd w:val="0"/>
              <w:rPr>
                <w:szCs w:val="24"/>
              </w:rPr>
            </w:pPr>
            <w:r>
              <w:rPr>
                <w:b/>
                <w:color w:val="FF0000"/>
                <w:szCs w:val="24"/>
                <w:lang w:val="x-none" w:eastAsia="x-none"/>
              </w:rPr>
              <w:t>F</w:t>
            </w:r>
            <w:r w:rsidR="00155AF4" w:rsidRPr="00A23740">
              <w:rPr>
                <w:b/>
                <w:color w:val="FF0000"/>
                <w:szCs w:val="24"/>
                <w:lang w:val="x-none" w:eastAsia="x-none"/>
              </w:rPr>
              <w:t>1</w:t>
            </w:r>
            <w:r>
              <w:rPr>
                <w:b/>
                <w:color w:val="FF0000"/>
                <w:szCs w:val="24"/>
                <w:lang w:eastAsia="x-none"/>
              </w:rPr>
              <w:t>.</w:t>
            </w:r>
            <w:r w:rsidR="00155AF4" w:rsidRPr="00A23740">
              <w:rPr>
                <w:b/>
                <w:color w:val="FF0000"/>
                <w:szCs w:val="24"/>
                <w:lang w:val="x-none" w:eastAsia="x-none"/>
              </w:rPr>
              <w:t>C2:</w:t>
            </w:r>
            <w:r w:rsidR="00155AF4" w:rsidRPr="00A23740">
              <w:rPr>
                <w:b/>
                <w:bCs/>
                <w:color w:val="FF0000"/>
                <w:szCs w:val="24"/>
              </w:rPr>
              <w:t xml:space="preserve"> </w:t>
            </w:r>
            <w:r w:rsidR="00155AF4" w:rsidRPr="00A23740">
              <w:rPr>
                <w:b/>
                <w:bCs/>
                <w:strike/>
                <w:color w:val="FF0000"/>
                <w:szCs w:val="24"/>
              </w:rPr>
              <w:t>(1)</w:t>
            </w:r>
            <w:r w:rsidR="00155AF4" w:rsidRPr="00A23740">
              <w:rPr>
                <w:b/>
                <w:bCs/>
                <w:szCs w:val="24"/>
              </w:rPr>
              <w:t xml:space="preserve"> </w:t>
            </w:r>
            <w:r w:rsidR="00155AF4" w:rsidRPr="00A23740">
              <w:rPr>
                <w:szCs w:val="24"/>
              </w:rPr>
              <w:t>Ancak reh</w:t>
            </w:r>
            <w:r w:rsidR="00155AF4" w:rsidRPr="00A23740">
              <w:rPr>
                <w:b/>
                <w:strike/>
                <w:color w:val="FF0000"/>
                <w:szCs w:val="24"/>
              </w:rPr>
              <w:t>i</w:t>
            </w:r>
            <w:r w:rsidR="00155AF4" w:rsidRPr="00A23740">
              <w:rPr>
                <w:szCs w:val="24"/>
              </w:rPr>
              <w:t>nin tutarı borcu ödeme</w:t>
            </w:r>
            <w:r w:rsidR="00155AF4" w:rsidRPr="00A23740">
              <w:rPr>
                <w:b/>
                <w:strike/>
                <w:color w:val="FF0000"/>
                <w:szCs w:val="24"/>
              </w:rPr>
              <w:t>ğ</w:t>
            </w:r>
            <w:r w:rsidR="00155AF4" w:rsidRPr="00A23740">
              <w:rPr>
                <w:szCs w:val="24"/>
              </w:rPr>
              <w:t xml:space="preserve">e yetmezse alacaklı kalan alacağını </w:t>
            </w:r>
            <w:r w:rsidR="00155AF4" w:rsidRPr="00A23740">
              <w:rPr>
                <w:rStyle w:val="KIRMIZIChar"/>
                <w:rFonts w:eastAsia="Calibri"/>
              </w:rPr>
              <w:t>iflas</w:t>
            </w:r>
            <w:r w:rsidR="00155AF4" w:rsidRPr="00A23740">
              <w:rPr>
                <w:szCs w:val="24"/>
              </w:rPr>
              <w:t xml:space="preserve"> veya </w:t>
            </w:r>
            <w:r w:rsidR="00155AF4" w:rsidRPr="00A23740">
              <w:rPr>
                <w:rStyle w:val="KIRMIZIChar"/>
                <w:rFonts w:eastAsia="Calibri"/>
              </w:rPr>
              <w:t>haciz</w:t>
            </w:r>
            <w:r w:rsidR="00155AF4" w:rsidRPr="00A23740">
              <w:rPr>
                <w:szCs w:val="24"/>
              </w:rPr>
              <w:t xml:space="preserve"> yol</w:t>
            </w:r>
            <w:r w:rsidR="00155AF4" w:rsidRPr="00A23740">
              <w:rPr>
                <w:b/>
                <w:strike/>
                <w:color w:val="FF0000"/>
                <w:szCs w:val="24"/>
              </w:rPr>
              <w:t>i</w:t>
            </w:r>
            <w:r w:rsidR="00155AF4" w:rsidRPr="00A23740">
              <w:rPr>
                <w:szCs w:val="24"/>
              </w:rPr>
              <w:t>yl</w:t>
            </w:r>
            <w:r w:rsidR="00155AF4" w:rsidRPr="00A23740">
              <w:rPr>
                <w:b/>
                <w:strike/>
                <w:color w:val="FF0000"/>
                <w:szCs w:val="24"/>
              </w:rPr>
              <w:t>e</w:t>
            </w:r>
            <w:r w:rsidR="00155AF4" w:rsidRPr="00A23740">
              <w:rPr>
                <w:szCs w:val="24"/>
              </w:rPr>
              <w:t xml:space="preserve"> </w:t>
            </w:r>
            <w:r w:rsidR="00155AF4" w:rsidRPr="00A23740">
              <w:rPr>
                <w:rStyle w:val="KIRMIZIChar"/>
                <w:rFonts w:eastAsia="Calibri"/>
              </w:rPr>
              <w:t>takip</w:t>
            </w:r>
            <w:r w:rsidR="00155AF4" w:rsidRPr="00A23740">
              <w:rPr>
                <w:szCs w:val="24"/>
              </w:rPr>
              <w:t xml:space="preserve"> edebilir.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(2) (Ek Fıkra: 21/2/2007-5582/1 md) 2499 sayılı Sermaye Piyasası Kanununun 38/A maddesinin birinci fıkrasında tanımlanan konut finansmanından kaynaklanan rehinle temin edilmiş alacaklar ile Toplu Konut İdaresi Başkanlığının rehinle temin edilmiş alacaklarının takibinde, rehnin paraya çevrilmesi yoluyla takip yapılabilir veya haciz yoluna başvurulabilir.</w:t>
            </w:r>
          </w:p>
          <w:p w:rsidR="00155AF4" w:rsidRPr="00A23740" w:rsidRDefault="00155AF4" w:rsidP="009431FF">
            <w:pPr>
              <w:tabs>
                <w:tab w:val="left" w:pos="567"/>
              </w:tabs>
              <w:rPr>
                <w:rFonts w:eastAsia="Times New Roman"/>
                <w:b/>
                <w:bCs/>
                <w:strike/>
                <w:color w:val="FF0000"/>
                <w:szCs w:val="24"/>
                <w:lang w:eastAsia="x-none"/>
              </w:rPr>
            </w:pPr>
          </w:p>
          <w:p w:rsidR="00155AF4" w:rsidRPr="00A23740" w:rsidRDefault="00155AF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(3) Police ve emre muharrer senetlerle çekler hakkındaki 167 nci madde hükmü mahfuzdur.</w:t>
            </w:r>
          </w:p>
          <w:p w:rsidR="00727F81" w:rsidRPr="00A23740" w:rsidRDefault="00727F81" w:rsidP="009431FF">
            <w:pPr>
              <w:rPr>
                <w:rFonts w:eastAsia="Times New Roman"/>
                <w:color w:val="000000"/>
                <w:szCs w:val="24"/>
                <w:lang w:eastAsia="tr-TR"/>
              </w:rPr>
            </w:pPr>
          </w:p>
          <w:p w:rsidR="00155AF4" w:rsidRPr="00A23740" w:rsidRDefault="00155AF4" w:rsidP="009431FF">
            <w:pPr>
              <w:rPr>
                <w:rFonts w:eastAsia="Times New Roman"/>
                <w:color w:val="000000"/>
                <w:szCs w:val="24"/>
                <w:lang w:eastAsia="tr-TR"/>
              </w:rPr>
            </w:pPr>
            <w:r w:rsidRPr="00A23740">
              <w:rPr>
                <w:b/>
                <w:bCs/>
                <w:strike/>
                <w:color w:val="FF0000"/>
                <w:szCs w:val="24"/>
                <w:lang w:eastAsia="tr-TR"/>
              </w:rPr>
              <w:t>(4) İpotekle temin edilmiş</w:t>
            </w:r>
            <w:r w:rsidRPr="00A23740">
              <w:rPr>
                <w:rFonts w:eastAsia="Times New Roman"/>
                <w:color w:val="000000"/>
                <w:szCs w:val="24"/>
                <w:lang w:eastAsia="tr-TR"/>
              </w:rPr>
              <w:t xml:space="preserve"> faiz ve </w:t>
            </w:r>
            <w:r w:rsidRPr="00A23740">
              <w:rPr>
                <w:b/>
                <w:bCs/>
                <w:strike/>
                <w:color w:val="FF0000"/>
                <w:szCs w:val="24"/>
                <w:lang w:eastAsia="tr-TR"/>
              </w:rPr>
              <w:t>senelik</w:t>
            </w:r>
            <w:r w:rsidRPr="00A23740">
              <w:rPr>
                <w:rFonts w:eastAsia="Times New Roman"/>
                <w:color w:val="000000"/>
                <w:szCs w:val="24"/>
                <w:lang w:eastAsia="tr-TR"/>
              </w:rPr>
              <w:t xml:space="preserve"> taksit </w:t>
            </w:r>
            <w:r w:rsidRPr="00A23740">
              <w:rPr>
                <w:b/>
                <w:bCs/>
                <w:strike/>
                <w:color w:val="FF0000"/>
                <w:szCs w:val="24"/>
                <w:lang w:eastAsia="tr-TR"/>
              </w:rPr>
              <w:t>alacaklarında, alacaklının intihabına ve borçlunun sıfatına göre,</w:t>
            </w:r>
            <w:r w:rsidRPr="00A23740">
              <w:rPr>
                <w:rFonts w:eastAsia="Times New Roman"/>
                <w:color w:val="000000"/>
                <w:szCs w:val="24"/>
                <w:lang w:eastAsia="tr-TR"/>
              </w:rPr>
              <w:t xml:space="preserve"> reh</w:t>
            </w:r>
            <w:r w:rsidRPr="00A23740">
              <w:rPr>
                <w:b/>
                <w:bCs/>
                <w:strike/>
                <w:color w:val="FF0000"/>
                <w:szCs w:val="24"/>
                <w:lang w:eastAsia="tr-TR"/>
              </w:rPr>
              <w:t>i</w:t>
            </w:r>
            <w:r w:rsidRPr="00A23740">
              <w:rPr>
                <w:rFonts w:eastAsia="Times New Roman"/>
                <w:color w:val="000000"/>
                <w:szCs w:val="24"/>
                <w:lang w:eastAsia="tr-TR"/>
              </w:rPr>
              <w:t xml:space="preserve">nin paraya çevrilmesi </w:t>
            </w:r>
            <w:r w:rsidRPr="00A23740">
              <w:rPr>
                <w:b/>
                <w:bCs/>
                <w:strike/>
                <w:color w:val="FF0000"/>
                <w:szCs w:val="24"/>
                <w:lang w:eastAsia="tr-TR"/>
              </w:rPr>
              <w:t>veya</w:t>
            </w:r>
            <w:r w:rsidRPr="00A23740">
              <w:rPr>
                <w:rFonts w:eastAsia="Times New Roman"/>
                <w:color w:val="000000"/>
                <w:szCs w:val="24"/>
                <w:lang w:eastAsia="tr-TR"/>
              </w:rPr>
              <w:t xml:space="preserve"> haciz </w:t>
            </w:r>
            <w:r w:rsidRPr="00A23740">
              <w:rPr>
                <w:b/>
                <w:bCs/>
                <w:strike/>
                <w:color w:val="FF0000"/>
                <w:szCs w:val="24"/>
                <w:lang w:eastAsia="tr-TR"/>
              </w:rPr>
              <w:t>yahut iflas yollarına müracaat olunabilir</w:t>
            </w:r>
            <w:r w:rsidRPr="00A23740">
              <w:rPr>
                <w:rFonts w:eastAsia="Times New Roman"/>
                <w:color w:val="000000"/>
                <w:szCs w:val="24"/>
                <w:lang w:eastAsia="tr-TR"/>
              </w:rPr>
              <w:t>.</w:t>
            </w:r>
          </w:p>
          <w:p w:rsidR="00155AF4" w:rsidRPr="00A23740" w:rsidRDefault="00155AF4" w:rsidP="009431FF">
            <w:pPr>
              <w:rPr>
                <w:rFonts w:eastAsia="Times New Roman"/>
                <w:color w:val="000000"/>
                <w:szCs w:val="24"/>
                <w:lang w:eastAsia="tr-TR"/>
              </w:rPr>
            </w:pPr>
          </w:p>
          <w:p w:rsidR="00155AF4" w:rsidRPr="00A23740" w:rsidRDefault="00155AF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(5) (Ek fıkra: 27/5/1933-2228/1 md.; Mülga: 29/6/1956-6763/42 md.)</w:t>
            </w:r>
          </w:p>
          <w:p w:rsidR="00155AF4" w:rsidRPr="00A23740" w:rsidRDefault="00155AF4" w:rsidP="009431FF">
            <w:pPr>
              <w:tabs>
                <w:tab w:val="left" w:pos="567"/>
              </w:tabs>
              <w:rPr>
                <w:rFonts w:eastAsia="Times New Roman"/>
                <w:b/>
                <w:bCs/>
                <w:strike/>
                <w:color w:val="FF0000"/>
                <w:szCs w:val="24"/>
                <w:lang w:eastAsia="x-none"/>
              </w:rPr>
            </w:pPr>
          </w:p>
          <w:p w:rsidR="00155AF4" w:rsidRPr="00A23740" w:rsidRDefault="00155AF4" w:rsidP="009431FF">
            <w:pPr>
              <w:tabs>
                <w:tab w:val="left" w:pos="567"/>
              </w:tabs>
              <w:rPr>
                <w:rFonts w:eastAsia="Times New Roman"/>
                <w:b/>
                <w:bCs/>
                <w:strike/>
                <w:color w:val="FF0000"/>
                <w:szCs w:val="24"/>
                <w:lang w:eastAsia="x-none"/>
              </w:rPr>
            </w:pPr>
          </w:p>
          <w:p w:rsidR="00155AF4" w:rsidRPr="00A23740" w:rsidRDefault="00155AF4" w:rsidP="009431FF">
            <w:pPr>
              <w:tabs>
                <w:tab w:val="left" w:pos="567"/>
              </w:tabs>
              <w:rPr>
                <w:rFonts w:eastAsia="Times New Roman"/>
                <w:b/>
                <w:bCs/>
                <w:strike/>
                <w:color w:val="FF0000"/>
                <w:szCs w:val="24"/>
                <w:lang w:eastAsia="x-none"/>
              </w:rPr>
            </w:pPr>
          </w:p>
          <w:p w:rsidR="00155AF4" w:rsidRPr="00A23740" w:rsidRDefault="00155AF4" w:rsidP="009431FF">
            <w:pPr>
              <w:tabs>
                <w:tab w:val="left" w:pos="567"/>
              </w:tabs>
              <w:rPr>
                <w:rFonts w:eastAsia="Times New Roman"/>
                <w:b/>
                <w:bCs/>
                <w:strike/>
                <w:color w:val="FF0000"/>
                <w:szCs w:val="24"/>
                <w:lang w:eastAsia="x-none"/>
              </w:rPr>
            </w:pPr>
          </w:p>
          <w:p w:rsidR="00EE0AAC" w:rsidRPr="00A23740" w:rsidRDefault="00EE0AAC" w:rsidP="009431FF">
            <w:pPr>
              <w:tabs>
                <w:tab w:val="left" w:pos="567"/>
              </w:tabs>
              <w:rPr>
                <w:rFonts w:eastAsia="Times New Roman"/>
                <w:b/>
                <w:bCs/>
                <w:strike/>
                <w:color w:val="FF0000"/>
                <w:szCs w:val="24"/>
                <w:lang w:eastAsia="x-none"/>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jc w:val="center"/>
              <w:rPr>
                <w:szCs w:val="24"/>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Önce rehne başvurma kuralı</w:t>
            </w:r>
          </w:p>
          <w:p w:rsidR="00155AF4" w:rsidRPr="00A23740" w:rsidRDefault="00FC7A09" w:rsidP="009431FF">
            <w:pPr>
              <w:tabs>
                <w:tab w:val="left" w:pos="567"/>
              </w:tabs>
              <w:autoSpaceDE w:val="0"/>
              <w:autoSpaceDN w:val="0"/>
              <w:adjustRightInd w:val="0"/>
              <w:rPr>
                <w:b/>
                <w:bCs/>
                <w:color w:val="0000FF"/>
                <w:szCs w:val="24"/>
                <w:lang w:eastAsia="x-none"/>
              </w:rPr>
            </w:pPr>
            <w:r w:rsidRPr="00A23740">
              <w:rPr>
                <w:b/>
                <w:bCs/>
                <w:color w:val="0000FF"/>
                <w:szCs w:val="24"/>
                <w:lang w:val="x-none" w:eastAsia="x-none"/>
              </w:rPr>
              <w:t>MADDE 111</w:t>
            </w:r>
            <w:r w:rsidR="00155AF4" w:rsidRPr="00A23740">
              <w:rPr>
                <w:b/>
                <w:bCs/>
                <w:color w:val="0000FF"/>
                <w:szCs w:val="24"/>
                <w:lang w:eastAsia="x-none"/>
              </w:rPr>
              <w:t>-</w:t>
            </w:r>
            <w:r w:rsidR="00155AF4" w:rsidRPr="00A23740">
              <w:rPr>
                <w:b/>
                <w:bCs/>
                <w:szCs w:val="24"/>
              </w:rPr>
              <w:t xml:space="preserve"> </w:t>
            </w:r>
            <w:r w:rsidR="00155AF4" w:rsidRPr="00A23740">
              <w:rPr>
                <w:b/>
                <w:bCs/>
                <w:color w:val="0000FF"/>
                <w:szCs w:val="24"/>
                <w:lang w:val="x-none" w:eastAsia="x-none"/>
              </w:rPr>
              <w:t>(1)</w:t>
            </w:r>
            <w:r w:rsidR="00155AF4" w:rsidRPr="00A23740">
              <w:rPr>
                <w:b/>
                <w:bCs/>
                <w:color w:val="0000FF"/>
                <w:szCs w:val="24"/>
                <w:lang w:eastAsia="x-none"/>
              </w:rPr>
              <w:t xml:space="preserve"> </w:t>
            </w:r>
            <w:r w:rsidR="00155AF4" w:rsidRPr="00A23740">
              <w:rPr>
                <w:szCs w:val="24"/>
              </w:rPr>
              <w:t>Rehinle temin</w:t>
            </w:r>
            <w:r w:rsidR="00155AF4" w:rsidRPr="00A23740">
              <w:rPr>
                <w:b/>
                <w:bCs/>
                <w:color w:val="0000FF"/>
                <w:szCs w:val="24"/>
                <w:lang w:val="x-none" w:eastAsia="x-none"/>
              </w:rPr>
              <w:t xml:space="preserve">at altına alınmış </w:t>
            </w:r>
            <w:r w:rsidR="00155AF4" w:rsidRPr="00A23740">
              <w:rPr>
                <w:szCs w:val="24"/>
              </w:rPr>
              <w:t>bir alaca</w:t>
            </w:r>
            <w:r w:rsidR="00155AF4" w:rsidRPr="00A23740">
              <w:rPr>
                <w:b/>
                <w:bCs/>
                <w:color w:val="0000FF"/>
                <w:szCs w:val="24"/>
                <w:lang w:eastAsia="x-none"/>
              </w:rPr>
              <w:t>k hakkında</w:t>
            </w:r>
            <w:r w:rsidR="00707A8F" w:rsidRPr="00A23740">
              <w:rPr>
                <w:b/>
                <w:bCs/>
                <w:color w:val="0000FF"/>
                <w:szCs w:val="24"/>
                <w:lang w:eastAsia="x-none"/>
              </w:rPr>
              <w:t xml:space="preserve"> </w:t>
            </w:r>
            <w:r w:rsidR="00707A8F" w:rsidRPr="000267DF">
              <w:rPr>
                <w:rStyle w:val="MaviChar"/>
              </w:rPr>
              <w:t>önce</w:t>
            </w:r>
            <w:r w:rsidR="00155AF4" w:rsidRPr="00A23740">
              <w:rPr>
                <w:color w:val="538135"/>
                <w:szCs w:val="24"/>
              </w:rPr>
              <w:t xml:space="preserve"> </w:t>
            </w:r>
            <w:r w:rsidR="00155AF4" w:rsidRPr="00A23740">
              <w:rPr>
                <w:szCs w:val="24"/>
              </w:rPr>
              <w:t>rehnin paraya çevrilmesi yol</w:t>
            </w:r>
            <w:r w:rsidR="00155AF4" w:rsidRPr="00A23740">
              <w:rPr>
                <w:b/>
                <w:bCs/>
                <w:color w:val="0000FF"/>
                <w:szCs w:val="24"/>
                <w:lang w:val="x-none" w:eastAsia="x-none"/>
              </w:rPr>
              <w:t>u</w:t>
            </w:r>
            <w:r w:rsidR="00155AF4" w:rsidRPr="00A23740">
              <w:rPr>
                <w:szCs w:val="24"/>
              </w:rPr>
              <w:t>yl</w:t>
            </w:r>
            <w:r w:rsidR="00155AF4" w:rsidRPr="00A23740">
              <w:rPr>
                <w:b/>
                <w:bCs/>
                <w:color w:val="0000FF"/>
                <w:szCs w:val="24"/>
                <w:lang w:val="x-none" w:eastAsia="x-none"/>
              </w:rPr>
              <w:t>a</w:t>
            </w:r>
            <w:r w:rsidR="00155AF4" w:rsidRPr="00A23740">
              <w:rPr>
                <w:szCs w:val="24"/>
              </w:rPr>
              <w:t xml:space="preserve"> </w:t>
            </w:r>
            <w:r w:rsidR="00155AF4" w:rsidRPr="00A23740">
              <w:rPr>
                <w:b/>
                <w:bCs/>
                <w:color w:val="0000FF"/>
                <w:szCs w:val="24"/>
                <w:lang w:val="x-none" w:eastAsia="x-none"/>
              </w:rPr>
              <w:t>takip yapılması</w:t>
            </w:r>
            <w:r w:rsidR="00155AF4" w:rsidRPr="00A23740">
              <w:rPr>
                <w:szCs w:val="24"/>
              </w:rPr>
              <w:t xml:space="preserve"> zorunludur. </w:t>
            </w:r>
            <w:r w:rsidR="00155AF4" w:rsidRPr="00A23740">
              <w:rPr>
                <w:b/>
                <w:bCs/>
                <w:color w:val="0000FF"/>
                <w:szCs w:val="24"/>
                <w:lang w:val="x-none" w:eastAsia="x-none"/>
              </w:rPr>
              <w:t>Bunun aksine yapılan sözleşmeler hükümsüzdür.</w:t>
            </w:r>
            <w:r w:rsidR="00155AF4" w:rsidRPr="00A23740">
              <w:rPr>
                <w:b/>
                <w:bCs/>
                <w:color w:val="0000FF"/>
                <w:szCs w:val="24"/>
                <w:lang w:eastAsia="x-none"/>
              </w:rPr>
              <w:t xml:space="preserve"> </w:t>
            </w:r>
          </w:p>
          <w:p w:rsidR="00155AF4" w:rsidRPr="00A23740" w:rsidRDefault="00155AF4" w:rsidP="009431FF">
            <w:pPr>
              <w:tabs>
                <w:tab w:val="left" w:pos="567"/>
              </w:tabs>
              <w:autoSpaceDE w:val="0"/>
              <w:autoSpaceDN w:val="0"/>
              <w:adjustRightInd w:val="0"/>
              <w:rPr>
                <w:b/>
                <w:bCs/>
                <w:color w:val="0000FF"/>
                <w:szCs w:val="24"/>
                <w:lang w:val="x-none" w:eastAsia="x-none"/>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(2)</w:t>
            </w:r>
            <w:r w:rsidRPr="00A23740">
              <w:rPr>
                <w:szCs w:val="24"/>
              </w:rPr>
              <w:t xml:space="preserve"> </w:t>
            </w:r>
            <w:r w:rsidR="004E3A16" w:rsidRPr="00A23740">
              <w:rPr>
                <w:b/>
                <w:bCs/>
                <w:color w:val="0000FF"/>
                <w:szCs w:val="24"/>
                <w:lang w:eastAsia="x-none"/>
              </w:rPr>
              <w:t>K</w:t>
            </w:r>
            <w:r w:rsidRPr="00A23740">
              <w:rPr>
                <w:b/>
                <w:bCs/>
                <w:color w:val="0000FF"/>
                <w:szCs w:val="24"/>
                <w:lang w:val="x-none" w:eastAsia="x-none"/>
              </w:rPr>
              <w:t>esinleşen kıymet takdirine göre</w:t>
            </w:r>
            <w:r w:rsidR="004E3A16" w:rsidRPr="00A23740">
              <w:rPr>
                <w:b/>
                <w:bCs/>
                <w:color w:val="0000FF"/>
                <w:szCs w:val="24"/>
                <w:lang w:eastAsia="x-none"/>
              </w:rPr>
              <w:t xml:space="preserve"> rehinli malın</w:t>
            </w:r>
            <w:r w:rsidRPr="00A23740">
              <w:rPr>
                <w:b/>
                <w:bCs/>
                <w:color w:val="0000FF"/>
                <w:szCs w:val="24"/>
                <w:lang w:val="x-none" w:eastAsia="x-none"/>
              </w:rPr>
              <w:t xml:space="preserve"> tahmin edilen </w:t>
            </w:r>
            <w:r w:rsidR="00E56D84" w:rsidRPr="00D6648F">
              <w:rPr>
                <w:rStyle w:val="KIRMIZIChar"/>
                <w:rFonts w:eastAsia="Calibri"/>
                <w:strike w:val="0"/>
                <w:color w:val="0000FF"/>
              </w:rPr>
              <w:t>kıymetinin</w:t>
            </w:r>
            <w:r w:rsidRPr="00A23740">
              <w:rPr>
                <w:b/>
                <w:bCs/>
                <w:color w:val="538135"/>
                <w:szCs w:val="24"/>
                <w:lang w:val="x-none" w:eastAsia="x-none"/>
              </w:rPr>
              <w:t xml:space="preserve"> </w:t>
            </w:r>
            <w:r w:rsidRPr="00A23740">
              <w:rPr>
                <w:b/>
                <w:bCs/>
                <w:color w:val="0000FF"/>
                <w:szCs w:val="24"/>
                <w:lang w:val="x-none" w:eastAsia="x-none"/>
              </w:rPr>
              <w:t xml:space="preserve">alacağı karşılamayacağı </w:t>
            </w:r>
            <w:r w:rsidR="00E23F7E" w:rsidRPr="00D6648F">
              <w:rPr>
                <w:b/>
                <w:bCs/>
                <w:color w:val="0000FF"/>
                <w:szCs w:val="24"/>
                <w:lang w:val="x-none" w:eastAsia="x-none"/>
              </w:rPr>
              <w:t>anlaşılırsa,</w:t>
            </w:r>
            <w:r w:rsidR="000267DF">
              <w:rPr>
                <w:b/>
                <w:bCs/>
                <w:color w:val="0000FF"/>
                <w:szCs w:val="24"/>
                <w:lang w:val="x-none" w:eastAsia="x-none"/>
              </w:rPr>
              <w:t xml:space="preserve"> </w:t>
            </w:r>
            <w:r w:rsidRPr="00A23740">
              <w:rPr>
                <w:szCs w:val="24"/>
              </w:rPr>
              <w:t xml:space="preserve">alacaklı </w:t>
            </w:r>
            <w:r w:rsidR="004E3A16" w:rsidRPr="00A23740">
              <w:rPr>
                <w:rStyle w:val="Balk1Char"/>
                <w:rFonts w:eastAsia="Calibri"/>
              </w:rPr>
              <w:t>karşılanamayan</w:t>
            </w:r>
            <w:r w:rsidR="004E3A16" w:rsidRPr="00A23740">
              <w:rPr>
                <w:szCs w:val="24"/>
              </w:rPr>
              <w:t xml:space="preserve"> </w:t>
            </w:r>
            <w:r w:rsidRPr="00A23740">
              <w:rPr>
                <w:szCs w:val="24"/>
              </w:rPr>
              <w:t xml:space="preserve">alacağını </w:t>
            </w:r>
            <w:r w:rsidRPr="00A23740">
              <w:rPr>
                <w:rStyle w:val="MaviChar"/>
              </w:rPr>
              <w:t>haciz</w:t>
            </w:r>
            <w:r w:rsidRPr="00A23740">
              <w:rPr>
                <w:szCs w:val="24"/>
              </w:rPr>
              <w:t xml:space="preserve"> veya </w:t>
            </w:r>
            <w:r w:rsidRPr="00A23740">
              <w:rPr>
                <w:rStyle w:val="MaviChar"/>
                <w:lang w:val="tr-TR" w:eastAsia="en-US"/>
              </w:rPr>
              <w:t>iflas</w:t>
            </w:r>
            <w:r w:rsidRPr="00A23740">
              <w:rPr>
                <w:szCs w:val="24"/>
              </w:rPr>
              <w:t xml:space="preserve"> yol</w:t>
            </w:r>
            <w:r w:rsidRPr="00A23740">
              <w:rPr>
                <w:b/>
                <w:bCs/>
                <w:color w:val="0000FF"/>
                <w:szCs w:val="24"/>
                <w:lang w:val="x-none" w:eastAsia="x-none"/>
              </w:rPr>
              <w:t>u</w:t>
            </w:r>
            <w:r w:rsidRPr="00A23740">
              <w:rPr>
                <w:szCs w:val="24"/>
              </w:rPr>
              <w:t>yl</w:t>
            </w:r>
            <w:r w:rsidRPr="00A23740">
              <w:rPr>
                <w:b/>
                <w:bCs/>
                <w:color w:val="0000FF"/>
                <w:szCs w:val="24"/>
                <w:lang w:val="x-none" w:eastAsia="x-none"/>
              </w:rPr>
              <w:t>a talep</w:t>
            </w:r>
            <w:r w:rsidRPr="00A23740">
              <w:rPr>
                <w:szCs w:val="24"/>
              </w:rPr>
              <w:t xml:space="preserve"> edebilir. </w:t>
            </w:r>
          </w:p>
          <w:p w:rsidR="00155AF4" w:rsidRPr="00A23740" w:rsidRDefault="00155AF4"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Default="00EE0AAC" w:rsidP="009431FF">
            <w:pPr>
              <w:tabs>
                <w:tab w:val="left" w:pos="567"/>
              </w:tabs>
              <w:rPr>
                <w:b/>
                <w:bCs/>
                <w:color w:val="FF0000"/>
                <w:szCs w:val="24"/>
                <w:lang w:val="x-none" w:eastAsia="x-none"/>
              </w:rPr>
            </w:pPr>
          </w:p>
          <w:p w:rsidR="000267DF" w:rsidRPr="00A23740" w:rsidRDefault="000267DF"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EE0AAC" w:rsidRPr="00A23740" w:rsidRDefault="00EE0AAC" w:rsidP="009431FF">
            <w:pPr>
              <w:tabs>
                <w:tab w:val="left" w:pos="567"/>
              </w:tabs>
              <w:rPr>
                <w:b/>
                <w:bCs/>
                <w:color w:val="FF0000"/>
                <w:szCs w:val="24"/>
                <w:lang w:val="x-none" w:eastAsia="x-none"/>
              </w:rPr>
            </w:pPr>
          </w:p>
          <w:p w:rsidR="00155AF4" w:rsidRPr="00A23740" w:rsidRDefault="00155AF4" w:rsidP="009431FF">
            <w:pPr>
              <w:tabs>
                <w:tab w:val="left" w:pos="567"/>
              </w:tabs>
              <w:rPr>
                <w:b/>
                <w:strike/>
                <w:color w:val="0000FF"/>
                <w:szCs w:val="24"/>
                <w:lang w:eastAsia="tr-TR"/>
              </w:rPr>
            </w:pPr>
            <w:r w:rsidRPr="00A23740">
              <w:rPr>
                <w:b/>
                <w:bCs/>
                <w:color w:val="0000FF"/>
                <w:szCs w:val="24"/>
                <w:lang w:val="x-none" w:eastAsia="x-none"/>
              </w:rPr>
              <w:t xml:space="preserve">(3) Rehinle teminat altına alınmış </w:t>
            </w:r>
            <w:r w:rsidRPr="00A23740">
              <w:rPr>
                <w:rStyle w:val="Balk1Char"/>
                <w:rFonts w:eastAsia="Calibri"/>
              </w:rPr>
              <w:t>bir</w:t>
            </w:r>
            <w:r w:rsidRPr="00A23740">
              <w:rPr>
                <w:b/>
                <w:bCs/>
                <w:color w:val="0000FF"/>
                <w:szCs w:val="24"/>
                <w:lang w:val="x-none" w:eastAsia="x-none"/>
              </w:rPr>
              <w:t xml:space="preserve"> </w:t>
            </w:r>
            <w:r w:rsidR="00727F81" w:rsidRPr="00A23740">
              <w:rPr>
                <w:b/>
                <w:bCs/>
                <w:color w:val="0000FF"/>
                <w:szCs w:val="24"/>
                <w:lang w:val="x-none" w:eastAsia="x-none"/>
              </w:rPr>
              <w:t xml:space="preserve">alacak </w:t>
            </w:r>
            <w:r w:rsidR="00727F81" w:rsidRPr="00A23740">
              <w:rPr>
                <w:b/>
                <w:bCs/>
                <w:color w:val="0000FF"/>
                <w:szCs w:val="24"/>
                <w:lang w:eastAsia="x-none"/>
              </w:rPr>
              <w:t>hakkında</w:t>
            </w:r>
            <w:r w:rsidR="00727F81" w:rsidRPr="00A23740">
              <w:rPr>
                <w:b/>
                <w:bCs/>
                <w:color w:val="0000FF"/>
                <w:szCs w:val="24"/>
                <w:lang w:val="x-none" w:eastAsia="x-none"/>
              </w:rPr>
              <w:t>, asıl alacağın</w:t>
            </w:r>
            <w:r w:rsidRPr="00A23740">
              <w:rPr>
                <w:b/>
                <w:bCs/>
                <w:color w:val="0000FF"/>
                <w:szCs w:val="24"/>
                <w:lang w:val="x-none" w:eastAsia="x-none"/>
              </w:rPr>
              <w:t xml:space="preserve"> yüzde yirmisini aşmayan</w:t>
            </w:r>
            <w:r w:rsidRPr="00A23740">
              <w:rPr>
                <w:b/>
                <w:color w:val="0000FF"/>
                <w:szCs w:val="24"/>
                <w:lang w:eastAsia="tr-TR"/>
              </w:rPr>
              <w:t xml:space="preserve"> </w:t>
            </w:r>
            <w:r w:rsidRPr="00A23740">
              <w:rPr>
                <w:color w:val="000000"/>
                <w:szCs w:val="24"/>
                <w:lang w:eastAsia="tr-TR"/>
              </w:rPr>
              <w:t>taksit ve</w:t>
            </w:r>
            <w:r w:rsidRPr="00A23740">
              <w:rPr>
                <w:b/>
                <w:color w:val="0000FF"/>
                <w:szCs w:val="24"/>
                <w:lang w:eastAsia="tr-TR"/>
              </w:rPr>
              <w:t xml:space="preserve"> </w:t>
            </w:r>
            <w:r w:rsidRPr="00A23740">
              <w:rPr>
                <w:color w:val="000000"/>
                <w:szCs w:val="24"/>
                <w:lang w:eastAsia="tr-TR"/>
              </w:rPr>
              <w:t>faiz</w:t>
            </w:r>
            <w:r w:rsidRPr="00A23740">
              <w:rPr>
                <w:rStyle w:val="Balk1Char"/>
                <w:rFonts w:eastAsia="Calibri"/>
              </w:rPr>
              <w:t>ler</w:t>
            </w:r>
            <w:r w:rsidRPr="00A23740">
              <w:rPr>
                <w:b/>
                <w:bCs/>
                <w:color w:val="0000FF"/>
                <w:szCs w:val="24"/>
                <w:lang w:val="x-none" w:eastAsia="x-none"/>
              </w:rPr>
              <w:t xml:space="preserve"> için, </w:t>
            </w:r>
            <w:r w:rsidRPr="00A23740">
              <w:rPr>
                <w:color w:val="000000"/>
                <w:szCs w:val="24"/>
                <w:lang w:eastAsia="tr-TR"/>
              </w:rPr>
              <w:t>rehnin paraya çevrilmesi</w:t>
            </w:r>
            <w:r w:rsidRPr="00A23740">
              <w:rPr>
                <w:b/>
                <w:color w:val="0000FF"/>
                <w:szCs w:val="24"/>
                <w:lang w:eastAsia="tr-TR"/>
              </w:rPr>
              <w:t xml:space="preserve"> </w:t>
            </w:r>
            <w:r w:rsidRPr="00A23740">
              <w:rPr>
                <w:b/>
                <w:bCs/>
                <w:color w:val="0000FF"/>
                <w:szCs w:val="24"/>
                <w:lang w:val="x-none" w:eastAsia="x-none"/>
              </w:rPr>
              <w:t xml:space="preserve">yoluyla takip yerine </w:t>
            </w:r>
            <w:r w:rsidRPr="00A23740">
              <w:rPr>
                <w:color w:val="000000"/>
                <w:szCs w:val="26"/>
              </w:rPr>
              <w:t>haciz</w:t>
            </w:r>
            <w:r w:rsidRPr="00A23740">
              <w:rPr>
                <w:color w:val="0000FF"/>
                <w:szCs w:val="24"/>
                <w:lang w:val="x-none" w:eastAsia="x-none"/>
              </w:rPr>
              <w:t xml:space="preserve"> </w:t>
            </w:r>
            <w:r w:rsidRPr="00A23740">
              <w:rPr>
                <w:b/>
                <w:bCs/>
                <w:color w:val="0000FF"/>
                <w:szCs w:val="24"/>
                <w:lang w:val="x-none" w:eastAsia="x-none"/>
              </w:rPr>
              <w:t>yoluyla takip de yapılabilir.</w:t>
            </w:r>
            <w:r w:rsidRPr="00A23740">
              <w:rPr>
                <w:b/>
                <w:bCs/>
                <w:color w:val="0000FF"/>
                <w:szCs w:val="24"/>
                <w:lang w:eastAsia="x-none"/>
              </w:rPr>
              <w:t xml:space="preserve"> </w:t>
            </w:r>
          </w:p>
          <w:p w:rsidR="00155AF4" w:rsidRPr="00A23740" w:rsidRDefault="00155AF4" w:rsidP="009431FF">
            <w:pPr>
              <w:tabs>
                <w:tab w:val="left" w:pos="567"/>
              </w:tabs>
              <w:rPr>
                <w:b/>
                <w:bCs/>
                <w:color w:val="0000FF"/>
                <w:szCs w:val="24"/>
                <w:lang w:val="x-none" w:eastAsia="x-none"/>
              </w:rPr>
            </w:pPr>
          </w:p>
          <w:p w:rsidR="002B6C6C" w:rsidRPr="00D6648F" w:rsidRDefault="00155AF4" w:rsidP="009431FF">
            <w:pPr>
              <w:tabs>
                <w:tab w:val="left" w:pos="567"/>
              </w:tabs>
              <w:rPr>
                <w:b/>
                <w:bCs/>
                <w:color w:val="0000FF"/>
                <w:szCs w:val="24"/>
                <w:lang w:eastAsia="x-none"/>
              </w:rPr>
            </w:pPr>
            <w:r w:rsidRPr="00A23740">
              <w:rPr>
                <w:b/>
                <w:bCs/>
                <w:color w:val="0000FF"/>
                <w:szCs w:val="24"/>
                <w:lang w:val="x-none" w:eastAsia="x-none"/>
              </w:rPr>
              <w:t>(4)</w:t>
            </w:r>
            <w:r w:rsidR="009D1338" w:rsidRPr="00A23740">
              <w:rPr>
                <w:b/>
                <w:bCs/>
                <w:color w:val="0000FF"/>
                <w:szCs w:val="24"/>
                <w:lang w:eastAsia="x-none"/>
              </w:rPr>
              <w:t xml:space="preserve"> </w:t>
            </w:r>
            <w:r w:rsidR="000E3F90" w:rsidRPr="00D6648F">
              <w:rPr>
                <w:rStyle w:val="KonuBalChar"/>
                <w:rFonts w:eastAsia="Calibri"/>
                <w:color w:val="0000FF"/>
              </w:rPr>
              <w:t>Kiraya</w:t>
            </w:r>
            <w:r w:rsidR="000E3F90" w:rsidRPr="00A23740">
              <w:rPr>
                <w:rStyle w:val="KonuBalChar"/>
                <w:rFonts w:eastAsia="Calibri"/>
              </w:rPr>
              <w:t xml:space="preserve"> </w:t>
            </w:r>
            <w:r w:rsidR="000E3F90" w:rsidRPr="00D6648F">
              <w:rPr>
                <w:rStyle w:val="KonuBalChar"/>
                <w:rFonts w:eastAsia="Calibri"/>
                <w:color w:val="0000FF"/>
              </w:rPr>
              <w:t>verenin</w:t>
            </w:r>
            <w:r w:rsidR="009D1338" w:rsidRPr="00A23740">
              <w:rPr>
                <w:b/>
                <w:bCs/>
                <w:color w:val="0000FF"/>
                <w:szCs w:val="24"/>
                <w:lang w:val="x-none" w:eastAsia="x-none"/>
              </w:rPr>
              <w:t xml:space="preserve"> h</w:t>
            </w:r>
            <w:r w:rsidRPr="00A23740">
              <w:rPr>
                <w:b/>
                <w:bCs/>
                <w:color w:val="0000FF"/>
                <w:szCs w:val="24"/>
                <w:lang w:val="x-none" w:eastAsia="x-none"/>
              </w:rPr>
              <w:t>apis hakkı</w:t>
            </w:r>
            <w:r w:rsidR="009D1338" w:rsidRPr="00A23740">
              <w:rPr>
                <w:b/>
                <w:bCs/>
                <w:color w:val="0000FF"/>
                <w:szCs w:val="24"/>
                <w:lang w:eastAsia="x-none"/>
              </w:rPr>
              <w:t>,</w:t>
            </w:r>
            <w:r w:rsidRPr="00A23740">
              <w:rPr>
                <w:b/>
                <w:bCs/>
                <w:color w:val="0000FF"/>
                <w:szCs w:val="24"/>
                <w:lang w:val="x-none" w:eastAsia="x-none"/>
              </w:rPr>
              <w:t xml:space="preserve"> </w:t>
            </w:r>
            <w:r w:rsidR="009D1338" w:rsidRPr="00D6648F">
              <w:rPr>
                <w:b/>
                <w:bCs/>
                <w:color w:val="0000FF"/>
                <w:szCs w:val="24"/>
                <w:lang w:eastAsia="x-none"/>
              </w:rPr>
              <w:t xml:space="preserve">kira alacağı </w:t>
            </w:r>
            <w:r w:rsidRPr="00D6648F">
              <w:rPr>
                <w:b/>
                <w:bCs/>
                <w:color w:val="0000FF"/>
                <w:szCs w:val="24"/>
                <w:lang w:val="x-none" w:eastAsia="x-none"/>
              </w:rPr>
              <w:t>için</w:t>
            </w:r>
            <w:r w:rsidR="0030043C" w:rsidRPr="00A23740">
              <w:rPr>
                <w:b/>
                <w:bCs/>
                <w:color w:val="0000FF"/>
                <w:szCs w:val="24"/>
                <w:lang w:eastAsia="x-none"/>
              </w:rPr>
              <w:t>,</w:t>
            </w:r>
            <w:r w:rsidRPr="00A23740">
              <w:rPr>
                <w:b/>
                <w:bCs/>
                <w:color w:val="0000FF"/>
                <w:szCs w:val="24"/>
                <w:lang w:val="x-none" w:eastAsia="x-none"/>
              </w:rPr>
              <w:t xml:space="preserve"> haciz veya iflas yoluyla takibe</w:t>
            </w:r>
            <w:r w:rsidR="009D1338" w:rsidRPr="00A23740">
              <w:rPr>
                <w:b/>
                <w:bCs/>
                <w:color w:val="0000FF"/>
                <w:szCs w:val="24"/>
                <w:lang w:eastAsia="x-none"/>
              </w:rPr>
              <w:t xml:space="preserve"> </w:t>
            </w:r>
            <w:r w:rsidR="009D1338" w:rsidRPr="00D6648F">
              <w:rPr>
                <w:b/>
                <w:bCs/>
                <w:color w:val="0000FF"/>
                <w:szCs w:val="24"/>
                <w:lang w:eastAsia="x-none"/>
              </w:rPr>
              <w:t>başvurulmasına engel oluşturmaz.</w:t>
            </w:r>
            <w:r w:rsidR="002B6C6C" w:rsidRPr="00A23740">
              <w:rPr>
                <w:b/>
                <w:bCs/>
                <w:color w:val="0000FF"/>
                <w:szCs w:val="24"/>
                <w:lang w:eastAsia="x-none"/>
              </w:rPr>
              <w:t xml:space="preserve"> </w:t>
            </w:r>
            <w:r w:rsidR="009D1338" w:rsidRPr="00D6648F">
              <w:rPr>
                <w:b/>
                <w:bCs/>
                <w:color w:val="0000FF"/>
                <w:szCs w:val="24"/>
                <w:lang w:eastAsia="x-none"/>
              </w:rPr>
              <w:t>Şu kadar ki a</w:t>
            </w:r>
            <w:r w:rsidR="002B6C6C" w:rsidRPr="00D6648F">
              <w:rPr>
                <w:b/>
                <w:bCs/>
                <w:color w:val="0000FF"/>
                <w:szCs w:val="24"/>
                <w:lang w:eastAsia="x-none"/>
              </w:rPr>
              <w:t>lacaklı, hapis hakkı için defter tutulduktan sonra, haciz veya iflas yoluyla takibe başvurursa defteri tutulan mallar üzerindeki hapis hakkından feragat etmiş sayılır.</w:t>
            </w:r>
          </w:p>
          <w:p w:rsidR="0080239A" w:rsidRDefault="0080239A" w:rsidP="009431FF">
            <w:pPr>
              <w:tabs>
                <w:tab w:val="left" w:pos="567"/>
              </w:tabs>
              <w:rPr>
                <w:b/>
                <w:bCs/>
                <w:color w:val="0000FF"/>
                <w:szCs w:val="24"/>
                <w:lang w:val="x-none" w:eastAsia="x-none"/>
              </w:rPr>
            </w:pPr>
          </w:p>
          <w:p w:rsidR="0030043C" w:rsidRDefault="00155AF4" w:rsidP="009431FF">
            <w:pPr>
              <w:tabs>
                <w:tab w:val="left" w:pos="567"/>
              </w:tabs>
              <w:rPr>
                <w:b/>
                <w:bCs/>
                <w:color w:val="0000FF"/>
                <w:szCs w:val="24"/>
                <w:lang w:val="x-none" w:eastAsia="x-none"/>
              </w:rPr>
            </w:pPr>
            <w:r w:rsidRPr="00A23740">
              <w:rPr>
                <w:b/>
                <w:bCs/>
                <w:color w:val="0000FF"/>
                <w:szCs w:val="24"/>
                <w:lang w:val="x-none" w:eastAsia="x-none"/>
              </w:rPr>
              <w:t>(5) Rehinli malın yurtdışında bulunduğu h</w:t>
            </w:r>
            <w:r w:rsidR="00FA0C35" w:rsidRPr="00A23740">
              <w:rPr>
                <w:b/>
                <w:bCs/>
                <w:color w:val="0000FF"/>
                <w:szCs w:val="24"/>
                <w:lang w:eastAsia="x-none"/>
              </w:rPr>
              <w:t>â</w:t>
            </w:r>
            <w:r w:rsidRPr="00A23740">
              <w:rPr>
                <w:b/>
                <w:bCs/>
                <w:color w:val="0000FF"/>
                <w:szCs w:val="24"/>
                <w:lang w:val="x-none" w:eastAsia="x-none"/>
              </w:rPr>
              <w:t>llerde önce rehne başvurma kuralı uygul</w:t>
            </w:r>
            <w:r w:rsidR="00EE0AAC" w:rsidRPr="00A23740">
              <w:rPr>
                <w:b/>
                <w:bCs/>
                <w:color w:val="0000FF"/>
                <w:szCs w:val="24"/>
                <w:lang w:val="x-none" w:eastAsia="x-none"/>
              </w:rPr>
              <w:t>anmaz.</w:t>
            </w:r>
          </w:p>
          <w:p w:rsidR="0080239A" w:rsidRPr="00A23740" w:rsidRDefault="0080239A" w:rsidP="009431FF">
            <w:pPr>
              <w:tabs>
                <w:tab w:val="left" w:pos="567"/>
              </w:tabs>
              <w:rPr>
                <w:b/>
                <w:bCs/>
                <w:color w:val="0000FF"/>
                <w:szCs w:val="24"/>
                <w:lang w:val="x-none" w:eastAsia="x-none"/>
              </w:rPr>
            </w:pPr>
          </w:p>
        </w:tc>
      </w:tr>
      <w:tr w:rsidR="00155AF4" w:rsidRPr="00A23740" w:rsidTr="009431FF">
        <w:tc>
          <w:tcPr>
            <w:tcW w:w="5000" w:type="pct"/>
            <w:gridSpan w:val="2"/>
            <w:shd w:val="clear" w:color="auto" w:fill="DEEAF6"/>
          </w:tcPr>
          <w:p w:rsidR="00F75417" w:rsidRPr="00A23740" w:rsidRDefault="00F75417" w:rsidP="009431FF">
            <w:pPr>
              <w:tabs>
                <w:tab w:val="left" w:pos="567"/>
              </w:tabs>
              <w:ind w:firstLine="709"/>
              <w:rPr>
                <w:b/>
                <w:bCs/>
                <w:szCs w:val="24"/>
                <w:lang w:eastAsia="x-none"/>
              </w:rPr>
            </w:pPr>
          </w:p>
          <w:p w:rsidR="007F2779" w:rsidRPr="00A23740" w:rsidRDefault="00FC7A09" w:rsidP="009431FF">
            <w:pPr>
              <w:tabs>
                <w:tab w:val="left" w:pos="567"/>
              </w:tabs>
              <w:ind w:firstLine="709"/>
              <w:rPr>
                <w:color w:val="000000"/>
                <w:szCs w:val="26"/>
              </w:rPr>
            </w:pPr>
            <w:r w:rsidRPr="00A23740">
              <w:rPr>
                <w:b/>
                <w:bCs/>
                <w:szCs w:val="24"/>
                <w:lang w:eastAsia="x-none"/>
              </w:rPr>
              <w:t>MADDE 111</w:t>
            </w:r>
            <w:r w:rsidR="00155AF4" w:rsidRPr="00A23740">
              <w:rPr>
                <w:b/>
                <w:bCs/>
                <w:szCs w:val="24"/>
                <w:lang w:eastAsia="x-none"/>
              </w:rPr>
              <w:t xml:space="preserve">- </w:t>
            </w:r>
            <w:r w:rsidR="00F75417" w:rsidRPr="00A23740">
              <w:rPr>
                <w:bCs/>
                <w:szCs w:val="24"/>
                <w:lang w:eastAsia="x-none"/>
              </w:rPr>
              <w:t>Maddeyle,</w:t>
            </w:r>
            <w:r w:rsidR="00F75417" w:rsidRPr="00A23740">
              <w:rPr>
                <w:b/>
                <w:bCs/>
                <w:szCs w:val="24"/>
                <w:lang w:eastAsia="x-none"/>
              </w:rPr>
              <w:t xml:space="preserve"> </w:t>
            </w:r>
            <w:r w:rsidR="00F75417" w:rsidRPr="00A23740">
              <w:rPr>
                <w:bCs/>
                <w:szCs w:val="24"/>
                <w:lang w:eastAsia="x-none"/>
              </w:rPr>
              <w:t>önce rehne başvurma kuralına ilişkin esaslar düzenlenmektedir.</w:t>
            </w:r>
            <w:r w:rsidR="00F75417" w:rsidRPr="00A23740">
              <w:rPr>
                <w:b/>
                <w:bCs/>
                <w:szCs w:val="24"/>
                <w:lang w:eastAsia="x-none"/>
              </w:rPr>
              <w:t xml:space="preserve"> </w:t>
            </w:r>
            <w:r w:rsidR="007F2779" w:rsidRPr="00A23740">
              <w:rPr>
                <w:color w:val="000000"/>
                <w:szCs w:val="26"/>
              </w:rPr>
              <w:t>Taslağın</w:t>
            </w:r>
            <w:r w:rsidR="00FA0C35" w:rsidRPr="00A23740">
              <w:rPr>
                <w:color w:val="000000"/>
                <w:szCs w:val="26"/>
              </w:rPr>
              <w:t xml:space="preserve"> </w:t>
            </w:r>
            <w:r w:rsidR="00FA0C35" w:rsidRPr="00D6648F">
              <w:rPr>
                <w:bCs/>
                <w:szCs w:val="24"/>
                <w:lang w:eastAsia="x-none"/>
              </w:rPr>
              <w:t>111</w:t>
            </w:r>
            <w:r w:rsidR="00FA0C35" w:rsidRPr="00A23740">
              <w:rPr>
                <w:rStyle w:val="KonuBalChar"/>
                <w:rFonts w:eastAsia="Calibri"/>
              </w:rPr>
              <w:t xml:space="preserve"> </w:t>
            </w:r>
            <w:r w:rsidR="00FA0C35" w:rsidRPr="00D6648F">
              <w:rPr>
                <w:bCs/>
                <w:szCs w:val="24"/>
                <w:lang w:eastAsia="x-none"/>
              </w:rPr>
              <w:t>inci</w:t>
            </w:r>
            <w:r w:rsidR="007F2779" w:rsidRPr="00A23740">
              <w:rPr>
                <w:color w:val="000000"/>
                <w:szCs w:val="26"/>
              </w:rPr>
              <w:t xml:space="preserve"> maddesi</w:t>
            </w:r>
            <w:r w:rsidR="00F75417" w:rsidRPr="00A23740">
              <w:rPr>
                <w:color w:val="000000"/>
                <w:szCs w:val="26"/>
              </w:rPr>
              <w:t>, 2004 sayılı Kanunun</w:t>
            </w:r>
            <w:r w:rsidR="007F2779" w:rsidRPr="00A23740">
              <w:rPr>
                <w:color w:val="000000"/>
                <w:szCs w:val="26"/>
              </w:rPr>
              <w:t xml:space="preserve"> 45 inci </w:t>
            </w:r>
            <w:r w:rsidR="002E0466" w:rsidRPr="00A23740">
              <w:rPr>
                <w:color w:val="000000"/>
                <w:szCs w:val="26"/>
              </w:rPr>
              <w:t>maddesine karşılık gelmektedir.</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F75417" w:rsidRPr="00A23740">
              <w:rPr>
                <w:color w:val="000000"/>
                <w:szCs w:val="26"/>
              </w:rPr>
              <w:t>bir</w:t>
            </w:r>
            <w:r w:rsidRPr="00A23740">
              <w:rPr>
                <w:color w:val="000000"/>
                <w:szCs w:val="26"/>
              </w:rPr>
              <w:t>inci fıkrasında</w:t>
            </w:r>
            <w:r w:rsidR="007C1ED9" w:rsidRPr="00A23740">
              <w:rPr>
                <w:color w:val="000000"/>
                <w:szCs w:val="26"/>
              </w:rPr>
              <w:t>,</w:t>
            </w:r>
            <w:r w:rsidRPr="00A23740">
              <w:rPr>
                <w:color w:val="000000"/>
                <w:szCs w:val="26"/>
              </w:rPr>
              <w:t xml:space="preserve"> rehinle teminat altına alınmış bir alacak hakkında </w:t>
            </w:r>
            <w:r w:rsidR="00BA30A1" w:rsidRPr="00D6648F">
              <w:rPr>
                <w:bCs/>
                <w:szCs w:val="24"/>
                <w:lang w:eastAsia="x-none"/>
              </w:rPr>
              <w:t>önce</w:t>
            </w:r>
            <w:r w:rsidR="00BA30A1" w:rsidRPr="00A23740">
              <w:rPr>
                <w:color w:val="000000"/>
                <w:szCs w:val="26"/>
              </w:rPr>
              <w:t xml:space="preserve"> </w:t>
            </w:r>
            <w:r w:rsidRPr="00A23740">
              <w:rPr>
                <w:color w:val="000000"/>
                <w:szCs w:val="26"/>
              </w:rPr>
              <w:t>rehnin paraya çevrilmesi yoluyla takip yapılmasının zorunlu olduğu; bunun aksine yapılan sözleşmelerin hükümsüz olduğu belirtilmektedir.</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F75417" w:rsidRPr="00A23740">
              <w:rPr>
                <w:color w:val="000000"/>
                <w:szCs w:val="26"/>
              </w:rPr>
              <w:t>iki</w:t>
            </w:r>
            <w:r w:rsidRPr="00A23740">
              <w:rPr>
                <w:color w:val="000000"/>
                <w:szCs w:val="26"/>
              </w:rPr>
              <w:t xml:space="preserve">nci fıkrasında rehnin kesinleşen kıymet takdirine göre rehinli malın tahmin edilen </w:t>
            </w:r>
            <w:r w:rsidR="00E56D84" w:rsidRPr="00D6648F">
              <w:rPr>
                <w:bCs/>
                <w:szCs w:val="24"/>
                <w:lang w:eastAsia="x-none"/>
              </w:rPr>
              <w:t>kıymetinin</w:t>
            </w:r>
            <w:r w:rsidR="00E56D84" w:rsidRPr="00A23740">
              <w:rPr>
                <w:b/>
                <w:bCs/>
                <w:color w:val="538135"/>
                <w:szCs w:val="24"/>
                <w:lang w:val="x-none" w:eastAsia="x-none"/>
              </w:rPr>
              <w:t xml:space="preserve"> </w:t>
            </w:r>
            <w:r w:rsidRPr="00A23740">
              <w:rPr>
                <w:color w:val="000000"/>
                <w:szCs w:val="26"/>
              </w:rPr>
              <w:t>alacağı karşılamayacağının anlaşıldığı h</w:t>
            </w:r>
            <w:r w:rsidR="00FA0C35" w:rsidRPr="00A23740">
              <w:rPr>
                <w:color w:val="000000"/>
                <w:szCs w:val="26"/>
              </w:rPr>
              <w:t>â</w:t>
            </w:r>
            <w:r w:rsidRPr="00A23740">
              <w:rPr>
                <w:color w:val="000000"/>
                <w:szCs w:val="26"/>
              </w:rPr>
              <w:t>llerde, alacaklınım kalan alacağını haciz veya iflas yoluyla talep edebileceği öngörülmüştür.</w:t>
            </w:r>
          </w:p>
          <w:p w:rsidR="00043AD9" w:rsidRPr="00D6648F" w:rsidRDefault="007F2779" w:rsidP="009431FF">
            <w:pPr>
              <w:tabs>
                <w:tab w:val="left" w:pos="567"/>
              </w:tabs>
              <w:ind w:firstLine="709"/>
              <w:rPr>
                <w:bCs/>
                <w:szCs w:val="24"/>
                <w:lang w:eastAsia="x-none"/>
              </w:rPr>
            </w:pPr>
            <w:r w:rsidRPr="00A23740">
              <w:rPr>
                <w:color w:val="000000"/>
                <w:szCs w:val="26"/>
              </w:rPr>
              <w:t xml:space="preserve">Maddenin </w:t>
            </w:r>
            <w:r w:rsidR="00F75417" w:rsidRPr="00A23740">
              <w:rPr>
                <w:color w:val="000000"/>
                <w:szCs w:val="26"/>
              </w:rPr>
              <w:t>üç</w:t>
            </w:r>
            <w:r w:rsidRPr="00A23740">
              <w:rPr>
                <w:color w:val="000000"/>
                <w:szCs w:val="26"/>
              </w:rPr>
              <w:t xml:space="preserve">üncü fıkrasında rehinle </w:t>
            </w:r>
            <w:r w:rsidRPr="00D6648F">
              <w:rPr>
                <w:bCs/>
                <w:szCs w:val="24"/>
                <w:lang w:eastAsia="x-none"/>
              </w:rPr>
              <w:t>tem</w:t>
            </w:r>
            <w:r w:rsidR="00727F81" w:rsidRPr="00D6648F">
              <w:rPr>
                <w:bCs/>
                <w:szCs w:val="24"/>
                <w:lang w:eastAsia="x-none"/>
              </w:rPr>
              <w:t>inat altına alınmış bir alacağın tahsili için asıl alacağın</w:t>
            </w:r>
            <w:r w:rsidRPr="00D6648F">
              <w:rPr>
                <w:bCs/>
                <w:szCs w:val="24"/>
                <w:lang w:eastAsia="x-none"/>
              </w:rPr>
              <w:t xml:space="preserve"> yüzde yirmisini aşmayan taksit ve faizler </w:t>
            </w:r>
            <w:r w:rsidR="00727F81" w:rsidRPr="00D6648F">
              <w:rPr>
                <w:bCs/>
                <w:szCs w:val="24"/>
                <w:lang w:eastAsia="x-none"/>
              </w:rPr>
              <w:t>bakımından</w:t>
            </w:r>
            <w:r w:rsidRPr="00D6648F">
              <w:rPr>
                <w:bCs/>
                <w:szCs w:val="24"/>
                <w:lang w:eastAsia="x-none"/>
              </w:rPr>
              <w:t>, rehnin paraya çevrilmesi yoluyla takip yerine haciz yoluyla takip d</w:t>
            </w:r>
            <w:r w:rsidR="00043AD9" w:rsidRPr="00D6648F">
              <w:rPr>
                <w:bCs/>
                <w:szCs w:val="24"/>
                <w:lang w:eastAsia="x-none"/>
              </w:rPr>
              <w:t>e yapılabileceği öngörülmüştür.</w:t>
            </w:r>
          </w:p>
          <w:p w:rsidR="007F2779" w:rsidRPr="00A23740" w:rsidRDefault="007F2779" w:rsidP="009431FF">
            <w:pPr>
              <w:tabs>
                <w:tab w:val="left" w:pos="567"/>
              </w:tabs>
              <w:ind w:firstLine="709"/>
            </w:pPr>
            <w:r w:rsidRPr="00D6648F">
              <w:rPr>
                <w:bCs/>
                <w:szCs w:val="24"/>
                <w:lang w:eastAsia="x-none"/>
              </w:rPr>
              <w:t xml:space="preserve">Maddenin </w:t>
            </w:r>
            <w:r w:rsidR="00F75417" w:rsidRPr="00D6648F">
              <w:rPr>
                <w:bCs/>
                <w:szCs w:val="24"/>
                <w:lang w:eastAsia="x-none"/>
              </w:rPr>
              <w:t>dörd</w:t>
            </w:r>
            <w:r w:rsidRPr="00D6648F">
              <w:rPr>
                <w:bCs/>
                <w:szCs w:val="24"/>
                <w:lang w:eastAsia="x-none"/>
              </w:rPr>
              <w:t xml:space="preserve">üncü fıkrası hapis hakkı için </w:t>
            </w:r>
            <w:r w:rsidR="009D1338" w:rsidRPr="00D6648F">
              <w:rPr>
                <w:bCs/>
                <w:szCs w:val="24"/>
                <w:lang w:eastAsia="x-none"/>
              </w:rPr>
              <w:t>defter tutulduktan sonra alacaklının hapis hakkı</w:t>
            </w:r>
            <w:r w:rsidR="007C1ED9" w:rsidRPr="00D6648F">
              <w:rPr>
                <w:bCs/>
                <w:szCs w:val="24"/>
                <w:lang w:eastAsia="x-none"/>
              </w:rPr>
              <w:t>,</w:t>
            </w:r>
            <w:r w:rsidR="009D1338" w:rsidRPr="00D6648F">
              <w:rPr>
                <w:bCs/>
                <w:szCs w:val="24"/>
                <w:lang w:eastAsia="x-none"/>
              </w:rPr>
              <w:t xml:space="preserve"> yani rehne rağmen haciz veya iflas yoluyla</w:t>
            </w:r>
            <w:r w:rsidR="00FA0C35" w:rsidRPr="00D6648F">
              <w:rPr>
                <w:bCs/>
                <w:szCs w:val="24"/>
                <w:lang w:eastAsia="x-none"/>
              </w:rPr>
              <w:t xml:space="preserve"> </w:t>
            </w:r>
            <w:r w:rsidR="009D1338" w:rsidRPr="00D6648F">
              <w:rPr>
                <w:bCs/>
                <w:szCs w:val="24"/>
                <w:lang w:eastAsia="x-none"/>
              </w:rPr>
              <w:t xml:space="preserve">takibe başvurabileceğini belirtmektedir </w:t>
            </w:r>
            <w:r w:rsidR="00043AD9" w:rsidRPr="00D6648F">
              <w:rPr>
                <w:bCs/>
                <w:szCs w:val="24"/>
                <w:lang w:eastAsia="x-none"/>
              </w:rPr>
              <w:t>(Burhan Gürdoğan,</w:t>
            </w:r>
            <w:r w:rsidR="00FA0C35" w:rsidRPr="00D6648F">
              <w:rPr>
                <w:bCs/>
                <w:szCs w:val="24"/>
                <w:lang w:eastAsia="x-none"/>
              </w:rPr>
              <w:t xml:space="preserve"> </w:t>
            </w:r>
            <w:r w:rsidR="00043AD9" w:rsidRPr="00D6648F">
              <w:rPr>
                <w:bCs/>
                <w:szCs w:val="24"/>
                <w:lang w:eastAsia="x-none"/>
              </w:rPr>
              <w:t>Rehnin</w:t>
            </w:r>
            <w:r w:rsidR="00FA0C35" w:rsidRPr="00D6648F">
              <w:rPr>
                <w:bCs/>
                <w:szCs w:val="24"/>
                <w:lang w:eastAsia="x-none"/>
              </w:rPr>
              <w:t xml:space="preserve"> </w:t>
            </w:r>
            <w:r w:rsidR="00043AD9" w:rsidRPr="00D6648F">
              <w:rPr>
                <w:bCs/>
                <w:szCs w:val="24"/>
                <w:lang w:eastAsia="x-none"/>
              </w:rPr>
              <w:t>Paraya</w:t>
            </w:r>
            <w:r w:rsidR="00FA0C35" w:rsidRPr="00D6648F">
              <w:rPr>
                <w:bCs/>
                <w:szCs w:val="24"/>
                <w:lang w:eastAsia="x-none"/>
              </w:rPr>
              <w:t xml:space="preserve"> </w:t>
            </w:r>
            <w:r w:rsidR="00043AD9" w:rsidRPr="00D6648F">
              <w:rPr>
                <w:bCs/>
                <w:szCs w:val="24"/>
                <w:lang w:eastAsia="x-none"/>
              </w:rPr>
              <w:t>Çevrilmesi,</w:t>
            </w:r>
            <w:r w:rsidR="00FA0C35" w:rsidRPr="00D6648F">
              <w:rPr>
                <w:bCs/>
                <w:szCs w:val="24"/>
                <w:lang w:eastAsia="x-none"/>
              </w:rPr>
              <w:t xml:space="preserve"> </w:t>
            </w:r>
            <w:r w:rsidR="00043AD9" w:rsidRPr="00D6648F">
              <w:rPr>
                <w:bCs/>
                <w:szCs w:val="24"/>
                <w:lang w:eastAsia="x-none"/>
              </w:rPr>
              <w:t>s.23;</w:t>
            </w:r>
            <w:r w:rsidR="00FA0C35" w:rsidRPr="00D6648F">
              <w:rPr>
                <w:bCs/>
                <w:szCs w:val="24"/>
                <w:lang w:eastAsia="x-none"/>
              </w:rPr>
              <w:t xml:space="preserve"> </w:t>
            </w:r>
            <w:r w:rsidR="00043AD9" w:rsidRPr="00D6648F">
              <w:rPr>
                <w:bCs/>
                <w:szCs w:val="24"/>
                <w:lang w:eastAsia="x-none"/>
              </w:rPr>
              <w:t>Ali</w:t>
            </w:r>
            <w:r w:rsidR="00FA0C35" w:rsidRPr="00D6648F">
              <w:rPr>
                <w:bCs/>
                <w:szCs w:val="24"/>
                <w:lang w:eastAsia="x-none"/>
              </w:rPr>
              <w:t xml:space="preserve"> </w:t>
            </w:r>
            <w:r w:rsidR="00043AD9" w:rsidRPr="00D6648F">
              <w:rPr>
                <w:bCs/>
                <w:szCs w:val="24"/>
                <w:lang w:eastAsia="x-none"/>
              </w:rPr>
              <w:t>Cem</w:t>
            </w:r>
            <w:r w:rsidR="00FA0C35" w:rsidRPr="00D6648F">
              <w:rPr>
                <w:bCs/>
                <w:szCs w:val="24"/>
                <w:lang w:eastAsia="x-none"/>
              </w:rPr>
              <w:t xml:space="preserve"> </w:t>
            </w:r>
            <w:r w:rsidR="00043AD9" w:rsidRPr="00D6648F">
              <w:rPr>
                <w:bCs/>
                <w:szCs w:val="24"/>
                <w:lang w:eastAsia="x-none"/>
              </w:rPr>
              <w:t>Budak,</w:t>
            </w:r>
            <w:r w:rsidR="00FA0C35" w:rsidRPr="00D6648F">
              <w:rPr>
                <w:bCs/>
                <w:szCs w:val="24"/>
                <w:lang w:eastAsia="x-none"/>
              </w:rPr>
              <w:t xml:space="preserve"> </w:t>
            </w:r>
            <w:r w:rsidR="00043AD9" w:rsidRPr="00D6648F">
              <w:rPr>
                <w:bCs/>
                <w:szCs w:val="24"/>
                <w:lang w:eastAsia="x-none"/>
              </w:rPr>
              <w:t>Kiralayanın</w:t>
            </w:r>
            <w:r w:rsidR="00FA0C35" w:rsidRPr="00D6648F">
              <w:rPr>
                <w:bCs/>
                <w:szCs w:val="24"/>
                <w:lang w:eastAsia="x-none"/>
              </w:rPr>
              <w:t xml:space="preserve"> </w:t>
            </w:r>
            <w:r w:rsidR="00043AD9" w:rsidRPr="00D6648F">
              <w:rPr>
                <w:bCs/>
                <w:szCs w:val="24"/>
                <w:lang w:eastAsia="x-none"/>
              </w:rPr>
              <w:t>Hapis</w:t>
            </w:r>
            <w:r w:rsidR="00FA0C35" w:rsidRPr="00D6648F">
              <w:rPr>
                <w:bCs/>
                <w:szCs w:val="24"/>
                <w:lang w:eastAsia="x-none"/>
              </w:rPr>
              <w:t xml:space="preserve"> </w:t>
            </w:r>
            <w:r w:rsidR="00043AD9" w:rsidRPr="00D6648F">
              <w:rPr>
                <w:bCs/>
                <w:szCs w:val="24"/>
                <w:lang w:eastAsia="x-none"/>
              </w:rPr>
              <w:t>Hakkının</w:t>
            </w:r>
            <w:r w:rsidR="00FA0C35" w:rsidRPr="00D6648F">
              <w:rPr>
                <w:bCs/>
                <w:szCs w:val="24"/>
                <w:lang w:eastAsia="x-none"/>
              </w:rPr>
              <w:t xml:space="preserve"> </w:t>
            </w:r>
            <w:r w:rsidR="00043AD9" w:rsidRPr="00D6648F">
              <w:rPr>
                <w:bCs/>
                <w:szCs w:val="24"/>
                <w:lang w:eastAsia="x-none"/>
              </w:rPr>
              <w:t>Korunması,</w:t>
            </w:r>
            <w:r w:rsidR="00FA0C35" w:rsidRPr="00D6648F">
              <w:rPr>
                <w:bCs/>
                <w:szCs w:val="24"/>
                <w:lang w:eastAsia="x-none"/>
              </w:rPr>
              <w:t xml:space="preserve"> </w:t>
            </w:r>
            <w:r w:rsidR="00043AD9" w:rsidRPr="00D6648F">
              <w:rPr>
                <w:bCs/>
                <w:szCs w:val="24"/>
                <w:lang w:eastAsia="x-none"/>
              </w:rPr>
              <w:t>İstanbul</w:t>
            </w:r>
            <w:r w:rsidR="00FA0C35" w:rsidRPr="00D6648F">
              <w:rPr>
                <w:bCs/>
                <w:szCs w:val="24"/>
                <w:lang w:eastAsia="x-none"/>
              </w:rPr>
              <w:t xml:space="preserve"> </w:t>
            </w:r>
            <w:r w:rsidR="00043AD9" w:rsidRPr="00D6648F">
              <w:rPr>
                <w:bCs/>
                <w:szCs w:val="24"/>
                <w:lang w:eastAsia="x-none"/>
              </w:rPr>
              <w:t> 2003,</w:t>
            </w:r>
            <w:r w:rsidR="00FA0C35" w:rsidRPr="00D6648F">
              <w:rPr>
                <w:bCs/>
                <w:szCs w:val="24"/>
                <w:lang w:eastAsia="x-none"/>
              </w:rPr>
              <w:t xml:space="preserve"> </w:t>
            </w:r>
            <w:r w:rsidR="00043AD9" w:rsidRPr="00D6648F">
              <w:rPr>
                <w:bCs/>
                <w:szCs w:val="24"/>
                <w:lang w:eastAsia="x-none"/>
              </w:rPr>
              <w:t>s.</w:t>
            </w:r>
            <w:r w:rsidR="00FA0C35" w:rsidRPr="00D6648F">
              <w:rPr>
                <w:bCs/>
                <w:szCs w:val="24"/>
                <w:lang w:eastAsia="x-none"/>
              </w:rPr>
              <w:t xml:space="preserve"> </w:t>
            </w:r>
            <w:r w:rsidR="00043AD9" w:rsidRPr="00D6648F">
              <w:rPr>
                <w:bCs/>
                <w:szCs w:val="24"/>
                <w:lang w:eastAsia="x-none"/>
              </w:rPr>
              <w:t>77;</w:t>
            </w:r>
            <w:r w:rsidR="00FA0C35" w:rsidRPr="00D6648F">
              <w:rPr>
                <w:bCs/>
                <w:szCs w:val="24"/>
                <w:lang w:eastAsia="x-none"/>
              </w:rPr>
              <w:t xml:space="preserve"> </w:t>
            </w:r>
            <w:r w:rsidR="00043AD9" w:rsidRPr="00D6648F">
              <w:rPr>
                <w:bCs/>
                <w:szCs w:val="24"/>
                <w:lang w:eastAsia="x-none"/>
              </w:rPr>
              <w:t>B</w:t>
            </w:r>
            <w:r w:rsidR="00FA0C35" w:rsidRPr="00D6648F">
              <w:rPr>
                <w:bCs/>
                <w:szCs w:val="24"/>
                <w:lang w:eastAsia="x-none"/>
              </w:rPr>
              <w:t xml:space="preserve">aki </w:t>
            </w:r>
            <w:r w:rsidR="00043AD9" w:rsidRPr="00D6648F">
              <w:rPr>
                <w:bCs/>
                <w:szCs w:val="24"/>
                <w:lang w:eastAsia="x-none"/>
              </w:rPr>
              <w:t>Kuru,</w:t>
            </w:r>
            <w:r w:rsidR="00FA0C35" w:rsidRPr="00D6648F">
              <w:rPr>
                <w:bCs/>
                <w:szCs w:val="24"/>
                <w:lang w:eastAsia="x-none"/>
              </w:rPr>
              <w:t xml:space="preserve"> </w:t>
            </w:r>
            <w:r w:rsidR="00043AD9" w:rsidRPr="00D6648F">
              <w:rPr>
                <w:bCs/>
                <w:szCs w:val="24"/>
                <w:lang w:eastAsia="x-none"/>
              </w:rPr>
              <w:t>İcra</w:t>
            </w:r>
            <w:r w:rsidR="00FA0C35" w:rsidRPr="00D6648F">
              <w:rPr>
                <w:bCs/>
                <w:szCs w:val="24"/>
                <w:lang w:eastAsia="x-none"/>
              </w:rPr>
              <w:t xml:space="preserve"> </w:t>
            </w:r>
            <w:r w:rsidR="00043AD9" w:rsidRPr="00D6648F">
              <w:rPr>
                <w:bCs/>
                <w:szCs w:val="24"/>
                <w:lang w:eastAsia="x-none"/>
              </w:rPr>
              <w:t>ve</w:t>
            </w:r>
            <w:r w:rsidR="00FA0C35" w:rsidRPr="00D6648F">
              <w:rPr>
                <w:bCs/>
                <w:szCs w:val="24"/>
                <w:lang w:eastAsia="x-none"/>
              </w:rPr>
              <w:t xml:space="preserve"> </w:t>
            </w:r>
            <w:r w:rsidR="00043AD9" w:rsidRPr="00D6648F">
              <w:rPr>
                <w:bCs/>
                <w:szCs w:val="24"/>
                <w:lang w:eastAsia="x-none"/>
              </w:rPr>
              <w:t>İflas</w:t>
            </w:r>
            <w:r w:rsidR="00FA0C35" w:rsidRPr="00D6648F">
              <w:rPr>
                <w:bCs/>
                <w:szCs w:val="24"/>
                <w:lang w:eastAsia="x-none"/>
              </w:rPr>
              <w:t xml:space="preserve"> </w:t>
            </w:r>
            <w:r w:rsidR="00043AD9" w:rsidRPr="00D6648F">
              <w:rPr>
                <w:bCs/>
                <w:szCs w:val="24"/>
                <w:lang w:eastAsia="x-none"/>
              </w:rPr>
              <w:t>Hukuku,</w:t>
            </w:r>
            <w:r w:rsidR="00FA0C35" w:rsidRPr="00D6648F">
              <w:rPr>
                <w:bCs/>
                <w:szCs w:val="24"/>
                <w:lang w:eastAsia="x-none"/>
              </w:rPr>
              <w:t xml:space="preserve"> C </w:t>
            </w:r>
            <w:r w:rsidR="00043AD9" w:rsidRPr="00D6648F">
              <w:rPr>
                <w:bCs/>
                <w:szCs w:val="24"/>
                <w:lang w:eastAsia="x-none"/>
              </w:rPr>
              <w:t>II,</w:t>
            </w:r>
            <w:r w:rsidR="00FA0C35" w:rsidRPr="00D6648F">
              <w:rPr>
                <w:bCs/>
                <w:szCs w:val="24"/>
                <w:lang w:eastAsia="x-none"/>
              </w:rPr>
              <w:t xml:space="preserve"> </w:t>
            </w:r>
            <w:r w:rsidR="00043AD9" w:rsidRPr="00D6648F">
              <w:rPr>
                <w:bCs/>
                <w:szCs w:val="24"/>
                <w:lang w:eastAsia="x-none"/>
              </w:rPr>
              <w:t>s.2061;</w:t>
            </w:r>
            <w:r w:rsidR="00FA0C35" w:rsidRPr="00D6648F">
              <w:rPr>
                <w:bCs/>
                <w:szCs w:val="24"/>
                <w:lang w:eastAsia="x-none"/>
              </w:rPr>
              <w:t xml:space="preserve"> </w:t>
            </w:r>
            <w:r w:rsidR="007C1ED9" w:rsidRPr="00D6648F">
              <w:rPr>
                <w:bCs/>
                <w:szCs w:val="24"/>
                <w:lang w:eastAsia="x-none"/>
              </w:rPr>
              <w:t xml:space="preserve">Müjgan </w:t>
            </w:r>
            <w:r w:rsidR="00043AD9" w:rsidRPr="00D6648F">
              <w:rPr>
                <w:bCs/>
                <w:szCs w:val="24"/>
                <w:lang w:eastAsia="x-none"/>
              </w:rPr>
              <w:t>Tunç</w:t>
            </w:r>
            <w:r w:rsidR="00FA0C35" w:rsidRPr="00D6648F">
              <w:rPr>
                <w:bCs/>
                <w:szCs w:val="24"/>
                <w:lang w:eastAsia="x-none"/>
              </w:rPr>
              <w:t xml:space="preserve"> </w:t>
            </w:r>
            <w:r w:rsidR="00043AD9" w:rsidRPr="00D6648F">
              <w:rPr>
                <w:bCs/>
                <w:szCs w:val="24"/>
                <w:lang w:eastAsia="x-none"/>
              </w:rPr>
              <w:t>Yücel,</w:t>
            </w:r>
            <w:r w:rsidR="00FA0C35" w:rsidRPr="00D6648F">
              <w:rPr>
                <w:bCs/>
                <w:szCs w:val="24"/>
                <w:lang w:eastAsia="x-none"/>
              </w:rPr>
              <w:t xml:space="preserve"> </w:t>
            </w:r>
            <w:r w:rsidR="00043AD9" w:rsidRPr="00D6648F">
              <w:rPr>
                <w:bCs/>
                <w:szCs w:val="24"/>
                <w:lang w:eastAsia="x-none"/>
              </w:rPr>
              <w:t>Banka</w:t>
            </w:r>
            <w:r w:rsidR="00FA0C35" w:rsidRPr="00D6648F">
              <w:rPr>
                <w:bCs/>
                <w:szCs w:val="24"/>
                <w:lang w:eastAsia="x-none"/>
              </w:rPr>
              <w:t xml:space="preserve"> </w:t>
            </w:r>
            <w:r w:rsidR="00043AD9" w:rsidRPr="00D6648F">
              <w:rPr>
                <w:bCs/>
                <w:szCs w:val="24"/>
                <w:lang w:eastAsia="x-none"/>
              </w:rPr>
              <w:t>Alacaklarının</w:t>
            </w:r>
            <w:r w:rsidR="00FA0C35" w:rsidRPr="00D6648F">
              <w:rPr>
                <w:bCs/>
                <w:szCs w:val="24"/>
                <w:lang w:eastAsia="x-none"/>
              </w:rPr>
              <w:t xml:space="preserve"> </w:t>
            </w:r>
            <w:r w:rsidR="00043AD9" w:rsidRPr="00D6648F">
              <w:rPr>
                <w:bCs/>
                <w:szCs w:val="24"/>
                <w:lang w:eastAsia="x-none"/>
              </w:rPr>
              <w:t>İpoteğin</w:t>
            </w:r>
            <w:r w:rsidR="00FA0C35" w:rsidRPr="00D6648F">
              <w:rPr>
                <w:bCs/>
                <w:szCs w:val="24"/>
                <w:lang w:eastAsia="x-none"/>
              </w:rPr>
              <w:t xml:space="preserve"> </w:t>
            </w:r>
            <w:r w:rsidR="00043AD9" w:rsidRPr="00D6648F">
              <w:rPr>
                <w:bCs/>
                <w:szCs w:val="24"/>
                <w:lang w:eastAsia="x-none"/>
              </w:rPr>
              <w:t>Paraya Çevrilmesi Yoluyla Takibi</w:t>
            </w:r>
            <w:r w:rsidR="007C1ED9" w:rsidRPr="00D6648F">
              <w:rPr>
                <w:bCs/>
                <w:szCs w:val="24"/>
                <w:lang w:eastAsia="x-none"/>
              </w:rPr>
              <w:t>,İstanbul 2010</w:t>
            </w:r>
            <w:r w:rsidR="00043AD9" w:rsidRPr="00D6648F">
              <w:rPr>
                <w:bCs/>
                <w:szCs w:val="24"/>
                <w:lang w:eastAsia="x-none"/>
              </w:rPr>
              <w:t>)</w:t>
            </w:r>
            <w:r w:rsidR="007C1ED9" w:rsidRPr="00D6648F">
              <w:rPr>
                <w:bCs/>
                <w:szCs w:val="24"/>
                <w:lang w:eastAsia="x-none"/>
              </w:rPr>
              <w:t>.</w:t>
            </w:r>
            <w:r w:rsidR="00043AD9" w:rsidRPr="00D6648F">
              <w:rPr>
                <w:bCs/>
                <w:szCs w:val="24"/>
                <w:lang w:eastAsia="x-none"/>
              </w:rPr>
              <w:t xml:space="preserve"> Ancak bu h</w:t>
            </w:r>
            <w:r w:rsidR="00FA0C35" w:rsidRPr="00D6648F">
              <w:rPr>
                <w:bCs/>
                <w:szCs w:val="24"/>
                <w:lang w:eastAsia="x-none"/>
              </w:rPr>
              <w:t>â</w:t>
            </w:r>
            <w:r w:rsidR="00043AD9" w:rsidRPr="00D6648F">
              <w:rPr>
                <w:bCs/>
                <w:szCs w:val="24"/>
                <w:lang w:eastAsia="x-none"/>
              </w:rPr>
              <w:t xml:space="preserve">lde alacaklının defteri tutulan mallar üzerindeki hapis hakkından feragat ettiği kabul edilecektir. </w:t>
            </w:r>
            <w:r w:rsidRPr="000267DF">
              <w:tab/>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F75417" w:rsidRPr="00A23740">
              <w:rPr>
                <w:color w:val="000000"/>
                <w:szCs w:val="26"/>
              </w:rPr>
              <w:t>beş</w:t>
            </w:r>
            <w:r w:rsidRPr="00A23740">
              <w:rPr>
                <w:color w:val="000000"/>
                <w:szCs w:val="26"/>
              </w:rPr>
              <w:t xml:space="preserve">inci fıkrası ise İsviçre </w:t>
            </w:r>
            <w:r w:rsidR="004E3A16" w:rsidRPr="00A23740">
              <w:rPr>
                <w:color w:val="000000"/>
                <w:szCs w:val="26"/>
              </w:rPr>
              <w:t>bilimsel ve yargısal içtihatlar</w:t>
            </w:r>
            <w:r w:rsidR="0020244B" w:rsidRPr="00A23740">
              <w:rPr>
                <w:color w:val="000000"/>
                <w:szCs w:val="26"/>
              </w:rPr>
              <w:t>ın</w:t>
            </w:r>
            <w:r w:rsidRPr="00A23740">
              <w:rPr>
                <w:color w:val="000000"/>
                <w:szCs w:val="26"/>
              </w:rPr>
              <w:t>da kabul edilen görüşü benimseyerek, önce rehne başvurma kuralının rehinli malın yurtdışında bulunduğu h</w:t>
            </w:r>
            <w:r w:rsidR="00FA0C35" w:rsidRPr="00A23740">
              <w:rPr>
                <w:color w:val="000000"/>
                <w:szCs w:val="26"/>
              </w:rPr>
              <w:t>â</w:t>
            </w:r>
            <w:r w:rsidRPr="00A23740">
              <w:rPr>
                <w:color w:val="000000"/>
                <w:szCs w:val="26"/>
              </w:rPr>
              <w:t>llerde uygulanmayacağını öngörmektedir. (</w:t>
            </w:r>
            <w:r w:rsidR="0020244B" w:rsidRPr="00A23740">
              <w:rPr>
                <w:color w:val="000000"/>
                <w:szCs w:val="26"/>
              </w:rPr>
              <w:t xml:space="preserve">Ali Cem </w:t>
            </w:r>
            <w:r w:rsidRPr="00A23740">
              <w:rPr>
                <w:color w:val="000000"/>
                <w:szCs w:val="26"/>
              </w:rPr>
              <w:t>Budak, İpoteğin Paraya Çevrilmesi Yoluyla Takip, 2. Bası, İstanbul 2008, s.33 ).</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F75417" w:rsidRPr="00A23740">
              <w:rPr>
                <w:color w:val="000000"/>
                <w:szCs w:val="26"/>
              </w:rPr>
              <w:t>bir</w:t>
            </w:r>
            <w:r w:rsidRPr="00A23740">
              <w:rPr>
                <w:color w:val="000000"/>
                <w:szCs w:val="26"/>
              </w:rPr>
              <w:t>inci fıkrasına son h</w:t>
            </w:r>
            <w:r w:rsidR="00FA0C35" w:rsidRPr="00A23740">
              <w:rPr>
                <w:color w:val="000000"/>
                <w:szCs w:val="26"/>
              </w:rPr>
              <w:t>â</w:t>
            </w:r>
            <w:r w:rsidRPr="00A23740">
              <w:rPr>
                <w:color w:val="000000"/>
                <w:szCs w:val="26"/>
              </w:rPr>
              <w:t>li verilirken alacak rehinle teminat altına alındığında kural olarak rehnin paraya çevrilmesi yoluyla takibe başvurmanın zorunlu olduğu göz önünde bulundurulmuş ve “önce” kelimesi metinden çıkarılmıştır. Zira “önce” ibaresi hükmün lafzında yer aldığında uygulamada öncelikle rehnin paraya çevrilmesi yoluyla takip başlatıldıktan sonra, koşulları oluşmadığı h</w:t>
            </w:r>
            <w:r w:rsidR="00F906A7" w:rsidRPr="00A23740">
              <w:rPr>
                <w:color w:val="000000"/>
                <w:szCs w:val="26"/>
              </w:rPr>
              <w:t>â</w:t>
            </w:r>
            <w:r w:rsidRPr="00A23740">
              <w:rPr>
                <w:color w:val="000000"/>
                <w:szCs w:val="26"/>
              </w:rPr>
              <w:t xml:space="preserve">lde diğer takip yollarına da başvurulabileceği gibi bir algının oluşmaması amaçlanmıştır. </w:t>
            </w:r>
          </w:p>
          <w:p w:rsidR="007F2779" w:rsidRPr="00A23740" w:rsidRDefault="007F2779" w:rsidP="009431FF">
            <w:pPr>
              <w:tabs>
                <w:tab w:val="left" w:pos="567"/>
              </w:tabs>
              <w:ind w:firstLine="709"/>
              <w:rPr>
                <w:color w:val="000000"/>
                <w:szCs w:val="26"/>
              </w:rPr>
            </w:pPr>
            <w:r w:rsidRPr="00A23740">
              <w:rPr>
                <w:color w:val="000000"/>
                <w:szCs w:val="26"/>
              </w:rPr>
              <w:t xml:space="preserve">Bu madde kaleme alınırken </w:t>
            </w:r>
            <w:r w:rsidR="00FA0C35" w:rsidRPr="00D6648F">
              <w:rPr>
                <w:bCs/>
                <w:szCs w:val="24"/>
                <w:lang w:eastAsia="x-none"/>
              </w:rPr>
              <w:t>2004 sayılı</w:t>
            </w:r>
            <w:r w:rsidR="00FA0C35" w:rsidRPr="00A23740">
              <w:rPr>
                <w:color w:val="000000"/>
                <w:szCs w:val="26"/>
              </w:rPr>
              <w:t xml:space="preserve"> </w:t>
            </w:r>
            <w:r w:rsidR="0020244B" w:rsidRPr="00A23740">
              <w:rPr>
                <w:color w:val="000000"/>
                <w:szCs w:val="26"/>
              </w:rPr>
              <w:t>K</w:t>
            </w:r>
            <w:r w:rsidRPr="00A23740">
              <w:rPr>
                <w:color w:val="000000"/>
                <w:szCs w:val="26"/>
              </w:rPr>
              <w:t xml:space="preserve">anunun 45 inci maddesinin </w:t>
            </w:r>
            <w:r w:rsidR="0020244B" w:rsidRPr="00A23740">
              <w:rPr>
                <w:color w:val="000000"/>
                <w:szCs w:val="26"/>
              </w:rPr>
              <w:t>birinci</w:t>
            </w:r>
            <w:r w:rsidRPr="00A23740">
              <w:rPr>
                <w:color w:val="000000"/>
                <w:szCs w:val="26"/>
              </w:rPr>
              <w:t xml:space="preserve"> fıkrasında yer alan </w:t>
            </w:r>
            <w:r w:rsidR="0020244B" w:rsidRPr="00A23740">
              <w:rPr>
                <w:color w:val="000000"/>
                <w:szCs w:val="26"/>
              </w:rPr>
              <w:t>ikinci</w:t>
            </w:r>
            <w:r w:rsidRPr="00A23740">
              <w:rPr>
                <w:color w:val="000000"/>
                <w:szCs w:val="26"/>
              </w:rPr>
              <w:t xml:space="preserve"> cümle fıkradan çıkarılmış, cümlede yer alan hususun</w:t>
            </w:r>
            <w:r w:rsidR="0020244B" w:rsidRPr="00A23740">
              <w:rPr>
                <w:color w:val="000000"/>
                <w:szCs w:val="26"/>
              </w:rPr>
              <w:t xml:space="preserve"> </w:t>
            </w:r>
            <w:r w:rsidRPr="00A23740">
              <w:rPr>
                <w:color w:val="000000"/>
                <w:szCs w:val="26"/>
              </w:rPr>
              <w:t xml:space="preserve">ayrı bir fıkra olarak düzenlenmesi uygun görülmüştür. Fıkrada geçen ifade rehnin paraya çevrilmesi yoluyla takipte diğer takip yollarının kapalı olduğunu ifade etmek amacıyla daha kesin bir ifadeyle kaleme alınmıştır. Üçüncü fıkrada yer alan </w:t>
            </w:r>
            <w:r w:rsidR="007C1ED9" w:rsidRPr="00A23740">
              <w:rPr>
                <w:color w:val="000000"/>
                <w:szCs w:val="26"/>
              </w:rPr>
              <w:t>“</w:t>
            </w:r>
            <w:r w:rsidRPr="00A23740">
              <w:rPr>
                <w:color w:val="000000"/>
                <w:szCs w:val="26"/>
              </w:rPr>
              <w:t>önce rehne başvurma</w:t>
            </w:r>
            <w:r w:rsidR="007C1ED9" w:rsidRPr="00A23740">
              <w:rPr>
                <w:color w:val="000000"/>
                <w:szCs w:val="26"/>
              </w:rPr>
              <w:t>”</w:t>
            </w:r>
            <w:r w:rsidRPr="00A23740">
              <w:rPr>
                <w:color w:val="000000"/>
                <w:szCs w:val="26"/>
              </w:rPr>
              <w:t xml:space="preserve"> kuralının aksine sözleşme yapılamayacağı hükmü de birinci fıkraya, kuralın hemen arkasına alınmıştır.</w:t>
            </w:r>
          </w:p>
          <w:p w:rsidR="007F2779" w:rsidRPr="00A23740" w:rsidRDefault="007F2779" w:rsidP="009431FF">
            <w:pPr>
              <w:tabs>
                <w:tab w:val="left" w:pos="567"/>
              </w:tabs>
              <w:ind w:firstLine="709"/>
              <w:rPr>
                <w:color w:val="000000"/>
                <w:szCs w:val="26"/>
              </w:rPr>
            </w:pPr>
            <w:r w:rsidRPr="00A23740">
              <w:rPr>
                <w:color w:val="000000"/>
                <w:szCs w:val="26"/>
              </w:rPr>
              <w:t>Yukarıdaki ikinci fıkra hükmünün amacı yalnızca önce rehne kurala başvurma kuralının istisnalarından birini belirtmekten ibarettir. Bu fıkra hükmü</w:t>
            </w:r>
            <w:r w:rsidR="00FA0C35" w:rsidRPr="00A23740">
              <w:rPr>
                <w:color w:val="000000"/>
                <w:szCs w:val="26"/>
              </w:rPr>
              <w:t xml:space="preserve"> </w:t>
            </w:r>
            <w:r w:rsidR="00FA0C35" w:rsidRPr="00D6648F">
              <w:rPr>
                <w:bCs/>
                <w:szCs w:val="24"/>
                <w:lang w:eastAsia="x-none"/>
              </w:rPr>
              <w:t>Taslağın</w:t>
            </w:r>
            <w:r w:rsidR="00FA0C35" w:rsidRPr="00D6648F">
              <w:rPr>
                <w:b/>
                <w:szCs w:val="24"/>
              </w:rPr>
              <w:t xml:space="preserve"> </w:t>
            </w:r>
            <w:r w:rsidR="00FA0C35" w:rsidRPr="00D6648F">
              <w:rPr>
                <w:bCs/>
                <w:szCs w:val="24"/>
                <w:lang w:eastAsia="x-none"/>
              </w:rPr>
              <w:t>130</w:t>
            </w:r>
            <w:r w:rsidR="00FA0C35" w:rsidRPr="00D6648F">
              <w:rPr>
                <w:b/>
                <w:szCs w:val="24"/>
              </w:rPr>
              <w:t xml:space="preserve"> </w:t>
            </w:r>
            <w:r w:rsidR="00FA0C35" w:rsidRPr="00D6648F">
              <w:rPr>
                <w:bCs/>
                <w:szCs w:val="24"/>
                <w:lang w:eastAsia="x-none"/>
              </w:rPr>
              <w:t>uncu</w:t>
            </w:r>
            <w:r w:rsidR="00FA0C35" w:rsidRPr="00D6648F">
              <w:rPr>
                <w:b/>
                <w:szCs w:val="24"/>
              </w:rPr>
              <w:t xml:space="preserve"> </w:t>
            </w:r>
            <w:r w:rsidR="00FA0C35" w:rsidRPr="00D6648F">
              <w:rPr>
                <w:bCs/>
                <w:szCs w:val="24"/>
                <w:lang w:eastAsia="x-none"/>
              </w:rPr>
              <w:t>maddesi</w:t>
            </w:r>
            <w:r w:rsidRPr="00A23740">
              <w:rPr>
                <w:color w:val="000000"/>
                <w:szCs w:val="26"/>
              </w:rPr>
              <w:t xml:space="preserve"> hükmü</w:t>
            </w:r>
            <w:r w:rsidR="007C1ED9" w:rsidRPr="00A23740">
              <w:rPr>
                <w:color w:val="000000"/>
                <w:szCs w:val="26"/>
              </w:rPr>
              <w:t>yle</w:t>
            </w:r>
            <w:r w:rsidRPr="00A23740">
              <w:rPr>
                <w:color w:val="000000"/>
                <w:szCs w:val="26"/>
              </w:rPr>
              <w:t xml:space="preserve"> birlikte değerlendirilmelidir. Buna göre kıymet takdirinin kesinleştiği</w:t>
            </w:r>
            <w:r w:rsidR="007C1ED9" w:rsidRPr="00A23740">
              <w:rPr>
                <w:color w:val="000000"/>
                <w:szCs w:val="26"/>
              </w:rPr>
              <w:t>,</w:t>
            </w:r>
            <w:r w:rsidRPr="00A23740">
              <w:rPr>
                <w:color w:val="000000"/>
                <w:szCs w:val="26"/>
              </w:rPr>
              <w:t xml:space="preserve"> fakat henüz takibin kesinleşmediği safhada müstakil bir haciz yoluyla takip yapılabilecek, takibin dahi kesinleştiği aşamadan sonra ise ayni (rehnin paraya çevrilmesi yoluyla) takip dosyası üzerinden haciz istenebilecektir.</w:t>
            </w:r>
          </w:p>
          <w:p w:rsidR="002E0466" w:rsidRPr="00A23740" w:rsidRDefault="007F2779" w:rsidP="009431FF">
            <w:pPr>
              <w:tabs>
                <w:tab w:val="left" w:pos="567"/>
              </w:tabs>
              <w:ind w:firstLine="709"/>
              <w:rPr>
                <w:color w:val="000000"/>
                <w:szCs w:val="26"/>
              </w:rPr>
            </w:pPr>
            <w:r w:rsidRPr="00A23740">
              <w:rPr>
                <w:color w:val="000000"/>
                <w:szCs w:val="26"/>
              </w:rPr>
              <w:t>Kambiyo senetlerine özgü haciz veya iflas yoluyla takip yapılması imkânı Taslakta kaldırıldığı için alacaklı artık elde kambiyo senedi bulunan h</w:t>
            </w:r>
            <w:r w:rsidR="00F906A7" w:rsidRPr="00A23740">
              <w:rPr>
                <w:color w:val="000000"/>
                <w:szCs w:val="26"/>
              </w:rPr>
              <w:t>â</w:t>
            </w:r>
            <w:r w:rsidRPr="00A23740">
              <w:rPr>
                <w:color w:val="000000"/>
                <w:szCs w:val="26"/>
              </w:rPr>
              <w:t xml:space="preserve">llerde de rehnin paraya çevrilmesi yoluyla takip yapmaya mecbur kalacaktır. Öte yandan konut finansmanından kaynaklanan rehinli alacaklar ile TOKİ’nin rehinle temin edilmiş alacaklarının takibinde sadece rehnin paraya çevrilmesi yoluyla takip yapılabilmesi imkânı öngörülmüş, </w:t>
            </w:r>
            <w:r w:rsidR="00FA0C35" w:rsidRPr="00D6648F">
              <w:rPr>
                <w:bCs/>
                <w:szCs w:val="24"/>
                <w:lang w:eastAsia="x-none"/>
              </w:rPr>
              <w:t>2004</w:t>
            </w:r>
            <w:r w:rsidR="00FA0C35" w:rsidRPr="00A23740">
              <w:rPr>
                <w:rStyle w:val="KonuBalChar"/>
                <w:rFonts w:eastAsia="Calibri"/>
              </w:rPr>
              <w:t xml:space="preserve"> </w:t>
            </w:r>
            <w:r w:rsidR="00FA0C35" w:rsidRPr="00D6648F">
              <w:rPr>
                <w:bCs/>
                <w:szCs w:val="24"/>
                <w:lang w:eastAsia="x-none"/>
              </w:rPr>
              <w:t>sayılı</w:t>
            </w:r>
            <w:r w:rsidR="00FA0C35" w:rsidRPr="00A23740">
              <w:rPr>
                <w:color w:val="000000"/>
                <w:szCs w:val="26"/>
              </w:rPr>
              <w:t xml:space="preserve"> </w:t>
            </w:r>
            <w:r w:rsidR="0020244B" w:rsidRPr="00A23740">
              <w:rPr>
                <w:color w:val="000000"/>
                <w:szCs w:val="26"/>
              </w:rPr>
              <w:t>K</w:t>
            </w:r>
            <w:r w:rsidRPr="00A23740">
              <w:rPr>
                <w:color w:val="000000"/>
                <w:szCs w:val="26"/>
              </w:rPr>
              <w:t xml:space="preserve">anunun verdiği haciz yoluna başvuru imkânı böylece kaldırılmıştır. Bu kapsamda </w:t>
            </w:r>
            <w:r w:rsidR="00FA0C35" w:rsidRPr="00D6648F">
              <w:rPr>
                <w:bCs/>
                <w:szCs w:val="24"/>
                <w:lang w:eastAsia="x-none"/>
              </w:rPr>
              <w:t>2004</w:t>
            </w:r>
            <w:r w:rsidR="00FA0C35" w:rsidRPr="00A23740">
              <w:rPr>
                <w:rStyle w:val="KonuBalChar"/>
                <w:rFonts w:eastAsia="Calibri"/>
              </w:rPr>
              <w:t xml:space="preserve"> </w:t>
            </w:r>
            <w:r w:rsidR="00FA0C35" w:rsidRPr="00D6648F">
              <w:rPr>
                <w:bCs/>
                <w:szCs w:val="24"/>
                <w:lang w:eastAsia="x-none"/>
              </w:rPr>
              <w:t>sayılı</w:t>
            </w:r>
            <w:r w:rsidR="00FA0C35" w:rsidRPr="00A23740">
              <w:rPr>
                <w:color w:val="000000"/>
                <w:szCs w:val="26"/>
              </w:rPr>
              <w:t xml:space="preserve"> </w:t>
            </w:r>
            <w:r w:rsidR="0020244B" w:rsidRPr="00A23740">
              <w:rPr>
                <w:color w:val="000000"/>
                <w:szCs w:val="26"/>
              </w:rPr>
              <w:t>K</w:t>
            </w:r>
            <w:r w:rsidRPr="00A23740">
              <w:rPr>
                <w:color w:val="000000"/>
                <w:szCs w:val="26"/>
              </w:rPr>
              <w:t xml:space="preserve">anunun 45 inci maddesinin ikinci ve üçüncü fıkraları </w:t>
            </w:r>
            <w:r w:rsidR="0020244B" w:rsidRPr="00A23740">
              <w:rPr>
                <w:color w:val="000000"/>
                <w:szCs w:val="26"/>
              </w:rPr>
              <w:t>T</w:t>
            </w:r>
            <w:r w:rsidRPr="00A23740">
              <w:rPr>
                <w:color w:val="000000"/>
                <w:szCs w:val="26"/>
              </w:rPr>
              <w:t>aslağa alınmamıştır.</w:t>
            </w:r>
          </w:p>
          <w:p w:rsidR="007F2779" w:rsidRPr="00A23740" w:rsidRDefault="007F2779"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szCs w:val="24"/>
              </w:rPr>
            </w:pPr>
          </w:p>
        </w:tc>
        <w:tc>
          <w:tcPr>
            <w:tcW w:w="2500" w:type="pct"/>
            <w:shd w:val="clear" w:color="auto" w:fill="auto"/>
          </w:tcPr>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İKİNCİ AYRIM</w:t>
            </w:r>
          </w:p>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Taşınır Rehninin Paraya Çevrilmesi</w:t>
            </w:r>
          </w:p>
          <w:p w:rsidR="00155AF4" w:rsidRPr="00A23740" w:rsidRDefault="00155AF4" w:rsidP="009431FF">
            <w:pPr>
              <w:tabs>
                <w:tab w:val="left" w:pos="566"/>
              </w:tabs>
              <w:autoSpaceDE w:val="0"/>
              <w:autoSpaceDN w:val="0"/>
              <w:adjustRightInd w:val="0"/>
              <w:rPr>
                <w:rFonts w:eastAsia="Times New Roman"/>
                <w:b/>
                <w:color w:val="0000FF"/>
                <w:szCs w:val="24"/>
                <w:lang w:eastAsia="tr-TR"/>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Taşınır rehninin ilamsız icra yoluyla paraya çevrilmesi</w:t>
            </w:r>
          </w:p>
          <w:p w:rsidR="00155AF4" w:rsidRPr="00A23740" w:rsidRDefault="00FC7A09" w:rsidP="009431FF">
            <w:pPr>
              <w:tabs>
                <w:tab w:val="left" w:pos="567"/>
              </w:tabs>
              <w:rPr>
                <w:b/>
                <w:bCs/>
                <w:color w:val="0000FF"/>
                <w:szCs w:val="24"/>
                <w:lang w:val="x-none" w:eastAsia="x-none"/>
              </w:rPr>
            </w:pPr>
            <w:r w:rsidRPr="00A23740">
              <w:rPr>
                <w:b/>
                <w:bCs/>
                <w:color w:val="0000FF"/>
                <w:szCs w:val="24"/>
                <w:lang w:val="x-none" w:eastAsia="x-none"/>
              </w:rPr>
              <w:t>MADDE 112</w:t>
            </w:r>
            <w:r w:rsidR="00155AF4" w:rsidRPr="00A23740">
              <w:rPr>
                <w:b/>
                <w:bCs/>
                <w:color w:val="0000FF"/>
                <w:szCs w:val="24"/>
                <w:lang w:val="x-none" w:eastAsia="x-none"/>
              </w:rPr>
              <w:t xml:space="preserve">- (1) Taşınır rehninin ilamsız icra yoluyla paraya çevrilmesinin talep </w:t>
            </w:r>
            <w:r w:rsidR="00155AF4" w:rsidRPr="00A23740">
              <w:rPr>
                <w:b/>
                <w:bCs/>
                <w:color w:val="0000FF"/>
                <w:szCs w:val="24"/>
                <w:lang w:eastAsia="x-none"/>
              </w:rPr>
              <w:t>e</w:t>
            </w:r>
            <w:r w:rsidR="00155AF4" w:rsidRPr="00A23740">
              <w:rPr>
                <w:b/>
                <w:bCs/>
                <w:color w:val="0000FF"/>
                <w:szCs w:val="24"/>
                <w:lang w:val="x-none" w:eastAsia="x-none"/>
              </w:rPr>
              <w:t xml:space="preserve">dilebilmesi için rehin hakkının veya alacağın </w:t>
            </w:r>
            <w:r w:rsidR="00155AF4" w:rsidRPr="00A23740">
              <w:rPr>
                <w:b/>
                <w:bCs/>
                <w:color w:val="0000FF"/>
                <w:szCs w:val="24"/>
                <w:lang w:eastAsia="x-none"/>
              </w:rPr>
              <w:t>87</w:t>
            </w:r>
            <w:r w:rsidR="00155AF4" w:rsidRPr="00A23740">
              <w:rPr>
                <w:b/>
                <w:bCs/>
                <w:color w:val="0000FF"/>
                <w:szCs w:val="24"/>
                <w:lang w:val="x-none" w:eastAsia="x-none"/>
              </w:rPr>
              <w:t xml:space="preserve"> nci </w:t>
            </w:r>
            <w:r w:rsidR="00155AF4" w:rsidRPr="00A23740">
              <w:rPr>
                <w:b/>
                <w:bCs/>
                <w:color w:val="0000FF"/>
                <w:szCs w:val="24"/>
                <w:lang w:eastAsia="x-none"/>
              </w:rPr>
              <w:t xml:space="preserve">maddenin ikinci fıkrasının (ç) bendinde </w:t>
            </w:r>
            <w:r w:rsidR="00155AF4" w:rsidRPr="00A23740">
              <w:rPr>
                <w:b/>
                <w:bCs/>
                <w:color w:val="0000FF"/>
                <w:szCs w:val="24"/>
                <w:lang w:val="x-none" w:eastAsia="x-none"/>
              </w:rPr>
              <w:t xml:space="preserve">sayılan belgelerden birine bağlanmış olması </w:t>
            </w:r>
            <w:r w:rsidR="00155AF4" w:rsidRPr="00A23740">
              <w:rPr>
                <w:b/>
                <w:bCs/>
                <w:color w:val="0000FF"/>
                <w:szCs w:val="24"/>
                <w:lang w:eastAsia="x-none"/>
              </w:rPr>
              <w:t>zorunludur</w:t>
            </w:r>
            <w:r w:rsidR="00155AF4" w:rsidRPr="00A23740">
              <w:rPr>
                <w:b/>
                <w:bCs/>
                <w:color w:val="0000FF"/>
                <w:szCs w:val="24"/>
                <w:lang w:val="x-none" w:eastAsia="x-none"/>
              </w:rPr>
              <w:t xml:space="preserve">. </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eastAsia="x-none"/>
              </w:rPr>
              <w:t xml:space="preserve">(2) </w:t>
            </w:r>
            <w:r w:rsidRPr="00A23740">
              <w:rPr>
                <w:b/>
                <w:bCs/>
                <w:color w:val="0000FF"/>
                <w:szCs w:val="24"/>
                <w:lang w:val="x-none" w:eastAsia="x-none"/>
              </w:rPr>
              <w:t>Kanundan doğan rehin</w:t>
            </w:r>
            <w:r w:rsidR="00EE0AAC" w:rsidRPr="00A23740">
              <w:rPr>
                <w:b/>
                <w:bCs/>
                <w:color w:val="0000FF"/>
                <w:szCs w:val="24"/>
                <w:lang w:val="x-none" w:eastAsia="x-none"/>
              </w:rPr>
              <w:t xml:space="preserve"> hakları saklıdır.</w:t>
            </w:r>
          </w:p>
          <w:p w:rsidR="00EE0AAC" w:rsidRPr="00A23740" w:rsidRDefault="00EE0AAC" w:rsidP="009431FF">
            <w:pPr>
              <w:tabs>
                <w:tab w:val="left" w:pos="567"/>
              </w:tabs>
              <w:rPr>
                <w:b/>
                <w:bCs/>
                <w:color w:val="0000FF"/>
                <w:szCs w:val="24"/>
                <w:lang w:val="x-none" w:eastAsia="x-none"/>
              </w:rPr>
            </w:pPr>
          </w:p>
        </w:tc>
      </w:tr>
      <w:tr w:rsidR="00155AF4" w:rsidRPr="00A23740" w:rsidTr="009431FF">
        <w:tc>
          <w:tcPr>
            <w:tcW w:w="5000" w:type="pct"/>
            <w:gridSpan w:val="2"/>
            <w:shd w:val="clear" w:color="auto" w:fill="DEEAF6"/>
          </w:tcPr>
          <w:p w:rsidR="0074467F" w:rsidRPr="00A23740" w:rsidRDefault="0074467F" w:rsidP="009431FF">
            <w:pPr>
              <w:tabs>
                <w:tab w:val="left" w:pos="567"/>
              </w:tabs>
              <w:rPr>
                <w:b/>
                <w:bCs/>
                <w:szCs w:val="24"/>
                <w:lang w:eastAsia="x-none"/>
              </w:rPr>
            </w:pPr>
          </w:p>
          <w:p w:rsidR="0074467F" w:rsidRPr="00A23740" w:rsidRDefault="00FC7A09" w:rsidP="009431FF">
            <w:pPr>
              <w:tabs>
                <w:tab w:val="left" w:pos="567"/>
              </w:tabs>
              <w:ind w:firstLine="709"/>
              <w:rPr>
                <w:color w:val="000000"/>
                <w:szCs w:val="26"/>
              </w:rPr>
            </w:pPr>
            <w:r w:rsidRPr="00A23740">
              <w:rPr>
                <w:b/>
                <w:bCs/>
                <w:szCs w:val="24"/>
                <w:lang w:eastAsia="x-none"/>
              </w:rPr>
              <w:t>MADDE 112</w:t>
            </w:r>
            <w:r w:rsidR="00155AF4" w:rsidRPr="00A23740">
              <w:rPr>
                <w:b/>
                <w:bCs/>
                <w:szCs w:val="24"/>
                <w:lang w:eastAsia="x-none"/>
              </w:rPr>
              <w:t xml:space="preserve">- </w:t>
            </w:r>
            <w:r w:rsidR="0074467F" w:rsidRPr="00A23740">
              <w:rPr>
                <w:color w:val="000000"/>
                <w:szCs w:val="26"/>
              </w:rPr>
              <w:t>Maddeyle, taşınır rehninin ilamsız icra yoluyla paraya çevrilmesine ilişkin hususlar düzenlenmektedir.</w:t>
            </w:r>
          </w:p>
          <w:p w:rsidR="007F2779" w:rsidRPr="00A23740" w:rsidRDefault="0074467F" w:rsidP="009431FF">
            <w:pPr>
              <w:tabs>
                <w:tab w:val="left" w:pos="567"/>
              </w:tabs>
              <w:ind w:firstLine="709"/>
              <w:rPr>
                <w:color w:val="000000"/>
                <w:szCs w:val="26"/>
              </w:rPr>
            </w:pPr>
            <w:r w:rsidRPr="00A23740">
              <w:rPr>
                <w:color w:val="000000"/>
                <w:szCs w:val="26"/>
              </w:rPr>
              <w:t xml:space="preserve">Maddenin birinci fıkrasında, </w:t>
            </w:r>
            <w:r w:rsidR="007F2779" w:rsidRPr="00A23740">
              <w:rPr>
                <w:color w:val="000000"/>
                <w:szCs w:val="26"/>
              </w:rPr>
              <w:t>taşınır rehninin ilamsız icra yoluyla paraya çevrilmesinin talep edilebilmesi için rehin hakkının veya alacağın 87 nci maddenin</w:t>
            </w:r>
            <w:r w:rsidR="00E73C48">
              <w:rPr>
                <w:color w:val="000000"/>
                <w:szCs w:val="26"/>
              </w:rPr>
              <w:t xml:space="preserve"> ikinci fıkrasının (ç) bendinde</w:t>
            </w:r>
            <w:r w:rsidR="007F2779" w:rsidRPr="00A23740">
              <w:rPr>
                <w:color w:val="000000"/>
                <w:szCs w:val="26"/>
              </w:rPr>
              <w:t xml:space="preserve"> sayılan belgelerden birine bağlanmış olmasının zorunlu olduğu belirtilmektedir. Böylece haciz yoluyla ilamsız icraya ilişkin hükümlerle paralel olarak taşınır rehninin ilamsız icrayla paraya çevrilmesinde de rehin hakkının belgeye bağlanmış olması aranmaktadır.</w:t>
            </w:r>
          </w:p>
          <w:p w:rsidR="0074467F" w:rsidRPr="00A23740" w:rsidRDefault="007F2779" w:rsidP="009431FF">
            <w:pPr>
              <w:tabs>
                <w:tab w:val="left" w:pos="567"/>
              </w:tabs>
              <w:ind w:firstLine="709"/>
              <w:rPr>
                <w:color w:val="000000"/>
                <w:szCs w:val="26"/>
              </w:rPr>
            </w:pPr>
            <w:r w:rsidRPr="00A23740">
              <w:rPr>
                <w:color w:val="000000"/>
                <w:szCs w:val="26"/>
              </w:rPr>
              <w:t xml:space="preserve">Maddenin </w:t>
            </w:r>
            <w:r w:rsidR="0074467F" w:rsidRPr="00A23740">
              <w:rPr>
                <w:color w:val="000000"/>
                <w:szCs w:val="26"/>
              </w:rPr>
              <w:t>iki</w:t>
            </w:r>
            <w:r w:rsidRPr="00A23740">
              <w:rPr>
                <w:color w:val="000000"/>
                <w:szCs w:val="26"/>
              </w:rPr>
              <w:t>nci fıkrasında ise hapis hakkı gibi kanundan doğan rehin hakları saklı tutulmakta, başka bir ifadeyle kanundan doğan rehin haklarına dayalı olarak yapılacak taşınır rehninin paraya çevrilmesi yoluya takipte rehin hakkının belgeye bağlanmış olması aranmamaktadır.</w:t>
            </w:r>
          </w:p>
          <w:p w:rsidR="00155AF4" w:rsidRPr="00A23740" w:rsidRDefault="00155AF4"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jc w:val="center"/>
              <w:rPr>
                <w:szCs w:val="24"/>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Yetkili icra</w:t>
            </w:r>
            <w:r w:rsidR="00E23F7E" w:rsidRPr="00A23740">
              <w:rPr>
                <w:b/>
                <w:bCs/>
                <w:color w:val="0000FF"/>
                <w:szCs w:val="24"/>
                <w:lang w:val="x-none" w:eastAsia="x-none"/>
              </w:rPr>
              <w:t xml:space="preserve"> </w:t>
            </w:r>
            <w:r w:rsidR="00E23F7E" w:rsidRPr="00D6648F">
              <w:rPr>
                <w:b/>
                <w:bCs/>
                <w:color w:val="0000FF"/>
                <w:szCs w:val="24"/>
                <w:lang w:val="x-none" w:eastAsia="x-none"/>
              </w:rPr>
              <w:t>ve</w:t>
            </w:r>
            <w:r w:rsidR="00E23F7E" w:rsidRPr="00A23740">
              <w:rPr>
                <w:b/>
                <w:bCs/>
                <w:color w:val="538135"/>
                <w:szCs w:val="24"/>
                <w:lang w:val="x-none" w:eastAsia="x-none"/>
              </w:rPr>
              <w:t xml:space="preserve"> </w:t>
            </w:r>
            <w:r w:rsidR="00E23F7E" w:rsidRPr="00D6648F">
              <w:rPr>
                <w:b/>
                <w:bCs/>
                <w:color w:val="0000FF"/>
                <w:szCs w:val="24"/>
                <w:lang w:val="x-none" w:eastAsia="x-none"/>
              </w:rPr>
              <w:t>iflas</w:t>
            </w:r>
            <w:r w:rsidRPr="00A23740">
              <w:rPr>
                <w:b/>
                <w:bCs/>
                <w:color w:val="538135"/>
                <w:szCs w:val="24"/>
                <w:lang w:val="x-none" w:eastAsia="x-none"/>
              </w:rPr>
              <w:t xml:space="preserve"> </w:t>
            </w:r>
            <w:r w:rsidRPr="00A23740">
              <w:rPr>
                <w:b/>
                <w:bCs/>
                <w:color w:val="0000FF"/>
                <w:szCs w:val="24"/>
                <w:lang w:val="x-none" w:eastAsia="x-none"/>
              </w:rPr>
              <w:t>dairesi</w:t>
            </w:r>
          </w:p>
          <w:p w:rsidR="00155AF4" w:rsidRDefault="00FC7A09" w:rsidP="009431FF">
            <w:pPr>
              <w:tabs>
                <w:tab w:val="left" w:pos="567"/>
              </w:tabs>
              <w:rPr>
                <w:b/>
                <w:bCs/>
                <w:color w:val="0000FF"/>
                <w:szCs w:val="24"/>
                <w:lang w:val="x-none" w:eastAsia="x-none"/>
              </w:rPr>
            </w:pPr>
            <w:r w:rsidRPr="00A23740">
              <w:rPr>
                <w:b/>
                <w:bCs/>
                <w:color w:val="0000FF"/>
                <w:szCs w:val="24"/>
                <w:lang w:val="x-none" w:eastAsia="x-none"/>
              </w:rPr>
              <w:t>MADDE 113</w:t>
            </w:r>
            <w:r w:rsidR="00155AF4" w:rsidRPr="00A23740">
              <w:rPr>
                <w:b/>
                <w:bCs/>
                <w:color w:val="0000FF"/>
                <w:szCs w:val="24"/>
                <w:lang w:val="x-none" w:eastAsia="x-none"/>
              </w:rPr>
              <w:t xml:space="preserve">- (1) Taşınır rehninin paraya çevrilmesi yoluyla ilamsız takiplerde </w:t>
            </w:r>
            <w:r w:rsidR="00155AF4" w:rsidRPr="00A23740">
              <w:rPr>
                <w:b/>
                <w:bCs/>
                <w:color w:val="0000FF"/>
                <w:szCs w:val="24"/>
                <w:lang w:eastAsia="x-none"/>
              </w:rPr>
              <w:t>86</w:t>
            </w:r>
            <w:r w:rsidR="00155AF4" w:rsidRPr="00A23740">
              <w:rPr>
                <w:b/>
                <w:bCs/>
                <w:color w:val="0000FF"/>
                <w:szCs w:val="24"/>
                <w:lang w:val="x-none" w:eastAsia="x-none"/>
              </w:rPr>
              <w:t xml:space="preserve"> ncı </w:t>
            </w:r>
            <w:r w:rsidR="00E23F7E" w:rsidRPr="00D6648F">
              <w:rPr>
                <w:b/>
                <w:bCs/>
                <w:color w:val="0000FF"/>
                <w:szCs w:val="24"/>
                <w:lang w:val="x-none" w:eastAsia="x-none"/>
              </w:rPr>
              <w:t>maddenin</w:t>
            </w:r>
            <w:r w:rsidR="00E23F7E" w:rsidRPr="00A23740">
              <w:rPr>
                <w:b/>
                <w:bCs/>
                <w:color w:val="538135"/>
                <w:szCs w:val="24"/>
                <w:lang w:val="x-none" w:eastAsia="x-none"/>
              </w:rPr>
              <w:t xml:space="preserve"> </w:t>
            </w:r>
            <w:r w:rsidR="00155AF4" w:rsidRPr="00A23740">
              <w:rPr>
                <w:b/>
                <w:bCs/>
                <w:color w:val="0000FF"/>
                <w:szCs w:val="24"/>
                <w:lang w:val="x-none" w:eastAsia="x-none"/>
              </w:rPr>
              <w:t>yetkiye ilişkin hükümler</w:t>
            </w:r>
            <w:r w:rsidR="00E23F7E" w:rsidRPr="00A23740">
              <w:rPr>
                <w:b/>
                <w:bCs/>
                <w:color w:val="0000FF"/>
                <w:szCs w:val="24"/>
                <w:lang w:val="x-none" w:eastAsia="x-none"/>
              </w:rPr>
              <w:t>i</w:t>
            </w:r>
            <w:r w:rsidR="00155AF4" w:rsidRPr="00A23740">
              <w:rPr>
                <w:b/>
                <w:bCs/>
                <w:color w:val="0000FF"/>
                <w:szCs w:val="24"/>
                <w:lang w:val="x-none" w:eastAsia="x-none"/>
              </w:rPr>
              <w:t xml:space="preserve"> uygulanır.</w:t>
            </w:r>
          </w:p>
          <w:p w:rsidR="0080239A" w:rsidRPr="00A23740" w:rsidRDefault="0080239A" w:rsidP="009431FF">
            <w:pPr>
              <w:tabs>
                <w:tab w:val="left" w:pos="567"/>
              </w:tabs>
              <w:rPr>
                <w:b/>
                <w:bCs/>
                <w:color w:val="0000FF"/>
                <w:szCs w:val="24"/>
                <w:lang w:eastAsia="x-none"/>
              </w:rPr>
            </w:pPr>
          </w:p>
          <w:p w:rsidR="00155AF4" w:rsidRPr="00A23740" w:rsidRDefault="00155AF4" w:rsidP="009431FF">
            <w:pPr>
              <w:tabs>
                <w:tab w:val="left" w:pos="566"/>
              </w:tabs>
              <w:autoSpaceDE w:val="0"/>
              <w:autoSpaceDN w:val="0"/>
              <w:adjustRightInd w:val="0"/>
              <w:rPr>
                <w:rFonts w:eastAsia="Times New Roman"/>
                <w:b/>
                <w:color w:val="0000FF"/>
                <w:szCs w:val="24"/>
                <w:lang w:eastAsia="tr-TR"/>
              </w:rPr>
            </w:pPr>
          </w:p>
        </w:tc>
      </w:tr>
      <w:tr w:rsidR="00155AF4" w:rsidRPr="00A23740" w:rsidTr="009431FF">
        <w:tc>
          <w:tcPr>
            <w:tcW w:w="5000" w:type="pct"/>
            <w:gridSpan w:val="2"/>
            <w:shd w:val="clear" w:color="auto" w:fill="DEEAF6"/>
          </w:tcPr>
          <w:p w:rsidR="0074467F" w:rsidRPr="00A23740" w:rsidRDefault="0074467F" w:rsidP="009431FF">
            <w:pPr>
              <w:tabs>
                <w:tab w:val="left" w:pos="567"/>
              </w:tabs>
              <w:ind w:firstLine="709"/>
              <w:rPr>
                <w:b/>
                <w:bCs/>
                <w:szCs w:val="24"/>
                <w:lang w:eastAsia="x-none"/>
              </w:rPr>
            </w:pPr>
          </w:p>
          <w:p w:rsidR="00A0261A" w:rsidRPr="00A23740" w:rsidRDefault="00FC7A09" w:rsidP="009431FF">
            <w:pPr>
              <w:tabs>
                <w:tab w:val="left" w:pos="567"/>
              </w:tabs>
              <w:ind w:firstLine="709"/>
              <w:rPr>
                <w:color w:val="000000"/>
                <w:szCs w:val="26"/>
              </w:rPr>
            </w:pPr>
            <w:r w:rsidRPr="00A23740">
              <w:rPr>
                <w:b/>
                <w:bCs/>
                <w:szCs w:val="24"/>
                <w:lang w:eastAsia="x-none"/>
              </w:rPr>
              <w:t>MADDE 113</w:t>
            </w:r>
            <w:r w:rsidR="00155AF4" w:rsidRPr="00A23740">
              <w:rPr>
                <w:b/>
                <w:bCs/>
                <w:szCs w:val="24"/>
                <w:lang w:eastAsia="x-none"/>
              </w:rPr>
              <w:t>-</w:t>
            </w:r>
            <w:r w:rsidR="007F2779" w:rsidRPr="00A23740">
              <w:rPr>
                <w:bCs/>
                <w:color w:val="7030A0"/>
                <w:szCs w:val="24"/>
                <w:lang w:eastAsia="x-none"/>
              </w:rPr>
              <w:t xml:space="preserve"> </w:t>
            </w:r>
            <w:r w:rsidR="00A02186" w:rsidRPr="00A23740">
              <w:rPr>
                <w:color w:val="000000"/>
                <w:szCs w:val="26"/>
              </w:rPr>
              <w:t xml:space="preserve">Maddeyle taşınır rehninin paraya çevrilmesi yoluyla ilamsız takiplerde yetkili icra </w:t>
            </w:r>
            <w:r w:rsidR="00BA30A1" w:rsidRPr="00D6648F">
              <w:rPr>
                <w:rStyle w:val="YELChar"/>
                <w:b w:val="0"/>
                <w:color w:val="auto"/>
              </w:rPr>
              <w:t>ve</w:t>
            </w:r>
            <w:r w:rsidR="00BA30A1" w:rsidRPr="00A23740">
              <w:rPr>
                <w:rStyle w:val="YELChar"/>
                <w:b w:val="0"/>
              </w:rPr>
              <w:t xml:space="preserve"> </w:t>
            </w:r>
            <w:r w:rsidR="00BA30A1" w:rsidRPr="00D6648F">
              <w:rPr>
                <w:rStyle w:val="YELChar"/>
                <w:b w:val="0"/>
                <w:color w:val="auto"/>
              </w:rPr>
              <w:t>iflas</w:t>
            </w:r>
            <w:r w:rsidR="00BA30A1" w:rsidRPr="00A23740">
              <w:rPr>
                <w:color w:val="000000"/>
                <w:szCs w:val="26"/>
              </w:rPr>
              <w:t xml:space="preserve"> </w:t>
            </w:r>
            <w:r w:rsidR="00A02186" w:rsidRPr="00A23740">
              <w:rPr>
                <w:color w:val="000000"/>
                <w:szCs w:val="26"/>
              </w:rPr>
              <w:t>dairesi düzenlenmektedir.</w:t>
            </w:r>
            <w:r w:rsidR="00A02186" w:rsidRPr="00A23740">
              <w:rPr>
                <w:bCs/>
                <w:color w:val="7030A0"/>
                <w:szCs w:val="24"/>
                <w:lang w:eastAsia="x-none"/>
              </w:rPr>
              <w:t xml:space="preserve"> </w:t>
            </w:r>
            <w:r w:rsidR="007F2779" w:rsidRPr="00A23740">
              <w:rPr>
                <w:color w:val="000000"/>
                <w:szCs w:val="26"/>
              </w:rPr>
              <w:t>Taslağın</w:t>
            </w:r>
            <w:r w:rsidR="00EC5D70" w:rsidRPr="00A23740">
              <w:rPr>
                <w:color w:val="000000"/>
                <w:szCs w:val="26"/>
              </w:rPr>
              <w:t xml:space="preserve"> </w:t>
            </w:r>
            <w:r w:rsidR="00EC5D70" w:rsidRPr="00D6648F">
              <w:rPr>
                <w:rStyle w:val="KonuBalChar"/>
                <w:rFonts w:eastAsia="Calibri"/>
                <w:b w:val="0"/>
                <w:color w:val="auto"/>
              </w:rPr>
              <w:t>113</w:t>
            </w:r>
            <w:r w:rsidR="00EC5D70" w:rsidRPr="00A23740">
              <w:rPr>
                <w:rStyle w:val="KonuBalChar"/>
                <w:rFonts w:eastAsia="Calibri"/>
              </w:rPr>
              <w:t xml:space="preserve"> </w:t>
            </w:r>
            <w:r w:rsidR="00EC5D70" w:rsidRPr="00D6648F">
              <w:rPr>
                <w:rStyle w:val="KonuBalChar"/>
                <w:rFonts w:eastAsia="Calibri"/>
                <w:b w:val="0"/>
                <w:color w:val="auto"/>
              </w:rPr>
              <w:t>üncü</w:t>
            </w:r>
            <w:r w:rsidR="007F2779" w:rsidRPr="00A23740">
              <w:rPr>
                <w:color w:val="000000"/>
                <w:szCs w:val="26"/>
              </w:rPr>
              <w:t xml:space="preserve"> maddesi “Yetkili icra </w:t>
            </w:r>
            <w:r w:rsidR="00BA30A1" w:rsidRPr="00D6648F">
              <w:rPr>
                <w:rStyle w:val="YELChar"/>
                <w:b w:val="0"/>
                <w:color w:val="auto"/>
              </w:rPr>
              <w:t>ve</w:t>
            </w:r>
            <w:r w:rsidR="00BA30A1" w:rsidRPr="00A23740">
              <w:rPr>
                <w:rStyle w:val="YELChar"/>
              </w:rPr>
              <w:t xml:space="preserve"> </w:t>
            </w:r>
            <w:r w:rsidR="00BA30A1" w:rsidRPr="00D6648F">
              <w:rPr>
                <w:rStyle w:val="YELChar"/>
                <w:b w:val="0"/>
                <w:color w:val="auto"/>
              </w:rPr>
              <w:t>iflas</w:t>
            </w:r>
            <w:r w:rsidR="00BA30A1" w:rsidRPr="00A23740">
              <w:rPr>
                <w:color w:val="000000"/>
                <w:szCs w:val="26"/>
              </w:rPr>
              <w:t xml:space="preserve"> </w:t>
            </w:r>
            <w:r w:rsidR="007F2779" w:rsidRPr="00A23740">
              <w:rPr>
                <w:color w:val="000000"/>
                <w:szCs w:val="26"/>
              </w:rPr>
              <w:t>dairesi” başlığını taşımakta olup taşınır rehninin paraya çevrilmesi yoluyla ilamsız takiplerde</w:t>
            </w:r>
            <w:r w:rsidR="00A02186" w:rsidRPr="00A23740">
              <w:rPr>
                <w:color w:val="000000"/>
                <w:szCs w:val="26"/>
              </w:rPr>
              <w:t xml:space="preserve"> </w:t>
            </w:r>
            <w:r w:rsidR="00E73C48">
              <w:rPr>
                <w:color w:val="000000"/>
                <w:szCs w:val="26"/>
              </w:rPr>
              <w:t>86 ncı</w:t>
            </w:r>
            <w:r w:rsidR="007F2779" w:rsidRPr="00A23740">
              <w:rPr>
                <w:color w:val="000000"/>
                <w:szCs w:val="26"/>
              </w:rPr>
              <w:t xml:space="preserve"> </w:t>
            </w:r>
            <w:r w:rsidR="00BA30A1" w:rsidRPr="00D6648F">
              <w:rPr>
                <w:rStyle w:val="YELChar"/>
                <w:b w:val="0"/>
                <w:color w:val="auto"/>
              </w:rPr>
              <w:t>maddenin</w:t>
            </w:r>
            <w:r w:rsidR="00BA30A1" w:rsidRPr="00A23740">
              <w:rPr>
                <w:color w:val="000000"/>
                <w:szCs w:val="26"/>
              </w:rPr>
              <w:t xml:space="preserve"> </w:t>
            </w:r>
            <w:r w:rsidR="007F2779" w:rsidRPr="00A23740">
              <w:rPr>
                <w:color w:val="000000"/>
                <w:szCs w:val="26"/>
              </w:rPr>
              <w:t>yetkiye ilişkin hükümlerin</w:t>
            </w:r>
            <w:r w:rsidR="00BA30A1" w:rsidRPr="00D6648F">
              <w:rPr>
                <w:rStyle w:val="YELChar"/>
                <w:b w:val="0"/>
                <w:color w:val="auto"/>
              </w:rPr>
              <w:t>in</w:t>
            </w:r>
            <w:r w:rsidR="007F2779" w:rsidRPr="00A23740">
              <w:rPr>
                <w:color w:val="000000"/>
                <w:szCs w:val="26"/>
              </w:rPr>
              <w:t xml:space="preserve"> uygulanacağını açıklığa kavuşturmaktadır.</w:t>
            </w:r>
          </w:p>
          <w:p w:rsidR="00155AF4" w:rsidRPr="00A23740" w:rsidRDefault="00155AF4"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jc w:val="center"/>
              <w:rPr>
                <w:rFonts w:eastAsia="Times New Roman"/>
                <w:b/>
                <w:bCs/>
                <w:strike/>
                <w:color w:val="FF0000"/>
                <w:szCs w:val="24"/>
                <w:lang w:eastAsia="x-none"/>
              </w:rPr>
            </w:pPr>
            <w:r w:rsidRPr="00A23740">
              <w:rPr>
                <w:rFonts w:eastAsia="Times New Roman"/>
                <w:b/>
                <w:bCs/>
                <w:strike/>
                <w:color w:val="FF0000"/>
                <w:szCs w:val="24"/>
                <w:lang w:eastAsia="x-none"/>
              </w:rPr>
              <w:t>BEŞİNCİ BAP</w:t>
            </w:r>
          </w:p>
          <w:p w:rsidR="00155AF4" w:rsidRPr="00A23740" w:rsidRDefault="00155AF4" w:rsidP="009431FF">
            <w:pPr>
              <w:tabs>
                <w:tab w:val="left" w:pos="567"/>
              </w:tabs>
              <w:jc w:val="center"/>
              <w:rPr>
                <w:rFonts w:eastAsia="Times New Roman"/>
                <w:b/>
                <w:bCs/>
                <w:strike/>
                <w:color w:val="FF0000"/>
                <w:szCs w:val="24"/>
                <w:lang w:eastAsia="x-none"/>
              </w:rPr>
            </w:pPr>
            <w:r w:rsidRPr="00A23740">
              <w:rPr>
                <w:rFonts w:eastAsia="Times New Roman"/>
                <w:b/>
                <w:bCs/>
                <w:strike/>
                <w:color w:val="FF0000"/>
                <w:szCs w:val="24"/>
                <w:lang w:eastAsia="x-none"/>
              </w:rPr>
              <w:t>I - TAŞINIR REHNİNİN PARAYA ÇEVRİLMESİ</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Takip talebi:</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Madde 145 – (1) (Değişik</w:t>
            </w:r>
            <w:r w:rsidRPr="00A23740">
              <w:rPr>
                <w:b/>
                <w:strike/>
                <w:color w:val="FF0000"/>
                <w:szCs w:val="24"/>
                <w:lang w:eastAsia="tr-TR"/>
              </w:rPr>
              <w:t>: 18/2/1965 - 538/65 md.)</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Alacağı taşınır rehni ile sağlanmış alacaklı, takip talebinde 58 inci maddede yazılı hususlardan başka merhunun ne olduğunu ve merhun üçüncü şahıs tarafından verilmiş veya merhunun mülkiyeti üçüncü şahsa geçmiş ise onun ve merhun üzerinde sonra gelen rehin hakkı mevcut ise bu hakka sahip olan şahsın ismini de bildirir.</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p>
          <w:p w:rsidR="00537077" w:rsidRPr="00A23740" w:rsidRDefault="00537077" w:rsidP="009431FF">
            <w:pPr>
              <w:tabs>
                <w:tab w:val="left" w:pos="566"/>
              </w:tabs>
              <w:autoSpaceDE w:val="0"/>
              <w:autoSpaceDN w:val="0"/>
              <w:adjustRightInd w:val="0"/>
              <w:rPr>
                <w:rFonts w:eastAsia="Times New Roman"/>
                <w:b/>
                <w:strike/>
                <w:color w:val="FF0000"/>
                <w:szCs w:val="24"/>
                <w:lang w:eastAsia="tr-TR"/>
              </w:rPr>
            </w:pPr>
          </w:p>
          <w:p w:rsidR="00155AF4" w:rsidRPr="00A23740" w:rsidRDefault="00155AF4" w:rsidP="009431FF">
            <w:pPr>
              <w:rPr>
                <w:b/>
                <w:color w:val="FF3399"/>
                <w:szCs w:val="24"/>
              </w:rPr>
            </w:pPr>
          </w:p>
          <w:p w:rsidR="00537077" w:rsidRPr="00A23740" w:rsidRDefault="00537077" w:rsidP="009431FF">
            <w:pPr>
              <w:rPr>
                <w:b/>
                <w:color w:val="FF3399"/>
                <w:szCs w:val="24"/>
              </w:rPr>
            </w:pPr>
          </w:p>
        </w:tc>
        <w:tc>
          <w:tcPr>
            <w:tcW w:w="2500" w:type="pct"/>
            <w:shd w:val="clear" w:color="auto" w:fill="auto"/>
          </w:tcPr>
          <w:p w:rsidR="00155AF4" w:rsidRPr="00A23740" w:rsidRDefault="00155AF4" w:rsidP="009431FF">
            <w:pPr>
              <w:tabs>
                <w:tab w:val="left" w:pos="567"/>
              </w:tabs>
              <w:rPr>
                <w:b/>
                <w:bCs/>
                <w:color w:val="0000FF"/>
                <w:szCs w:val="24"/>
                <w:lang w:eastAsia="x-none"/>
              </w:rPr>
            </w:pPr>
            <w:r w:rsidRPr="00A23740">
              <w:rPr>
                <w:b/>
                <w:bCs/>
                <w:color w:val="0000FF"/>
                <w:szCs w:val="24"/>
                <w:lang w:val="x-none" w:eastAsia="x-none"/>
              </w:rPr>
              <w:t>Takip talebi</w:t>
            </w:r>
          </w:p>
          <w:p w:rsidR="00155AF4" w:rsidRPr="00A23740" w:rsidRDefault="00FC7A09" w:rsidP="009431FF">
            <w:pPr>
              <w:tabs>
                <w:tab w:val="left" w:pos="567"/>
              </w:tabs>
              <w:rPr>
                <w:b/>
                <w:bCs/>
                <w:color w:val="0000FF"/>
                <w:szCs w:val="24"/>
                <w:lang w:val="x-none" w:eastAsia="x-none"/>
              </w:rPr>
            </w:pPr>
            <w:r w:rsidRPr="00A23740">
              <w:rPr>
                <w:b/>
                <w:bCs/>
                <w:color w:val="0000FF"/>
                <w:szCs w:val="24"/>
                <w:lang w:val="x-none" w:eastAsia="x-none"/>
              </w:rPr>
              <w:t>MADDE 114</w:t>
            </w:r>
            <w:r w:rsidR="00155AF4" w:rsidRPr="00A23740">
              <w:rPr>
                <w:b/>
                <w:bCs/>
                <w:color w:val="0000FF"/>
                <w:szCs w:val="24"/>
                <w:lang w:val="x-none" w:eastAsia="x-none"/>
              </w:rPr>
              <w:t>- (1) Takip talebi</w:t>
            </w:r>
            <w:r w:rsidR="00155AF4" w:rsidRPr="00A23740">
              <w:rPr>
                <w:color w:val="0000FF"/>
                <w:szCs w:val="24"/>
                <w:lang w:eastAsia="x-none"/>
              </w:rPr>
              <w:t>,</w:t>
            </w:r>
            <w:r w:rsidR="00155AF4" w:rsidRPr="00A23740">
              <w:rPr>
                <w:b/>
                <w:bCs/>
                <w:color w:val="0000FF"/>
                <w:szCs w:val="24"/>
                <w:lang w:val="x-none" w:eastAsia="x-none"/>
              </w:rPr>
              <w:t xml:space="preserve"> </w:t>
            </w:r>
            <w:r w:rsidR="00155AF4" w:rsidRPr="00D6648F">
              <w:rPr>
                <w:b/>
                <w:bCs/>
                <w:color w:val="0000FF"/>
                <w:szCs w:val="24"/>
                <w:lang w:val="x-none" w:eastAsia="x-none"/>
              </w:rPr>
              <w:t xml:space="preserve">icra </w:t>
            </w:r>
            <w:r w:rsidR="00E23F7E" w:rsidRPr="00D6648F">
              <w:rPr>
                <w:b/>
                <w:bCs/>
                <w:color w:val="0000FF"/>
                <w:szCs w:val="24"/>
                <w:lang w:val="x-none" w:eastAsia="x-none"/>
              </w:rPr>
              <w:t>ve iflas</w:t>
            </w:r>
            <w:r w:rsidR="00E23F7E" w:rsidRPr="00A23740">
              <w:rPr>
                <w:b/>
                <w:bCs/>
                <w:color w:val="0000FF"/>
                <w:szCs w:val="24"/>
                <w:lang w:val="x-none" w:eastAsia="x-none"/>
              </w:rPr>
              <w:t xml:space="preserve"> </w:t>
            </w:r>
            <w:r w:rsidR="00155AF4" w:rsidRPr="00A23740">
              <w:rPr>
                <w:b/>
                <w:bCs/>
                <w:color w:val="0000FF"/>
                <w:szCs w:val="24"/>
                <w:lang w:val="x-none" w:eastAsia="x-none"/>
              </w:rPr>
              <w:t>dairesine yazılı veya sözlü olarak yapılır.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eastAsia="x-none"/>
              </w:rPr>
            </w:pPr>
            <w:r w:rsidRPr="00A23740">
              <w:rPr>
                <w:b/>
                <w:bCs/>
                <w:color w:val="0000FF"/>
                <w:szCs w:val="24"/>
                <w:lang w:val="x-none" w:eastAsia="x-none"/>
              </w:rPr>
              <w:t xml:space="preserve">(2) Takip talebinde aşağıdaki hususlar </w:t>
            </w:r>
            <w:r w:rsidRPr="00A23740">
              <w:rPr>
                <w:b/>
                <w:bCs/>
                <w:color w:val="0000FF"/>
                <w:szCs w:val="24"/>
                <w:lang w:eastAsia="x-none"/>
              </w:rPr>
              <w:t xml:space="preserve">bulunur </w:t>
            </w:r>
            <w:r w:rsidRPr="00A23740">
              <w:rPr>
                <w:b/>
                <w:bCs/>
                <w:color w:val="0000FF"/>
                <w:szCs w:val="24"/>
                <w:lang w:val="x-none" w:eastAsia="x-none"/>
              </w:rPr>
              <w:t xml:space="preserve">ve takip talebine aşağıdaki belgeler eklenir: </w:t>
            </w:r>
            <w:r w:rsidR="00EE0AAC" w:rsidRPr="00A23740">
              <w:rPr>
                <w:b/>
                <w:bCs/>
                <w:color w:val="0000FF"/>
                <w:szCs w:val="24"/>
                <w:lang w:eastAsia="x-none"/>
              </w:rPr>
              <w:t xml:space="preserve"> </w:t>
            </w:r>
          </w:p>
          <w:p w:rsidR="00155AF4" w:rsidRPr="00A23740" w:rsidRDefault="00155AF4" w:rsidP="009431FF">
            <w:pPr>
              <w:tabs>
                <w:tab w:val="left" w:pos="567"/>
              </w:tabs>
              <w:rPr>
                <w:b/>
                <w:bCs/>
                <w:color w:val="0000FF"/>
                <w:szCs w:val="24"/>
                <w:lang w:eastAsia="x-none"/>
              </w:rPr>
            </w:pPr>
            <w:r w:rsidRPr="00A23740">
              <w:rPr>
                <w:b/>
                <w:bCs/>
                <w:color w:val="0000FF"/>
                <w:szCs w:val="24"/>
                <w:lang w:val="x-none" w:eastAsia="x-none"/>
              </w:rPr>
              <w:t xml:space="preserve">a) </w:t>
            </w:r>
            <w:r w:rsidRPr="00A23740">
              <w:rPr>
                <w:b/>
                <w:bCs/>
                <w:color w:val="0000FF"/>
                <w:szCs w:val="24"/>
                <w:lang w:eastAsia="x-none"/>
              </w:rPr>
              <w:t xml:space="preserve">87 nci </w:t>
            </w:r>
            <w:r w:rsidRPr="00A23740">
              <w:rPr>
                <w:b/>
                <w:bCs/>
                <w:color w:val="0000FF"/>
                <w:szCs w:val="24"/>
                <w:lang w:val="x-none" w:eastAsia="x-none"/>
              </w:rPr>
              <w:t>maddenin ikinci fıkrasında yazılanlar</w:t>
            </w:r>
            <w:r w:rsidR="00EE0AAC" w:rsidRPr="00A23740">
              <w:rPr>
                <w:b/>
                <w:bCs/>
                <w:color w:val="0000FF"/>
                <w:szCs w:val="24"/>
                <w:lang w:eastAsia="x-none"/>
              </w:rPr>
              <w:t>.</w:t>
            </w:r>
          </w:p>
          <w:p w:rsidR="00537077" w:rsidRPr="00A23740" w:rsidRDefault="00537077" w:rsidP="009431FF">
            <w:pPr>
              <w:tabs>
                <w:tab w:val="left" w:pos="567"/>
              </w:tabs>
              <w:rPr>
                <w:b/>
                <w:bCs/>
                <w:color w:val="0000FF"/>
                <w:szCs w:val="24"/>
                <w:lang w:eastAsia="x-none"/>
              </w:rPr>
            </w:pPr>
          </w:p>
          <w:p w:rsidR="00155AF4" w:rsidRPr="00A23740" w:rsidRDefault="00155AF4" w:rsidP="009431FF">
            <w:pPr>
              <w:pStyle w:val="Mavi"/>
            </w:pPr>
            <w:r w:rsidRPr="00A23740">
              <w:t>b) Rehinli malın ne olduğu</w:t>
            </w:r>
            <w:r w:rsidR="00A473EA" w:rsidRPr="00A23740">
              <w:rPr>
                <w:lang w:val="tr-TR"/>
              </w:rPr>
              <w:t>,</w:t>
            </w:r>
            <w:r w:rsidRPr="00A23740">
              <w:t xml:space="preserve"> rehinli mal üçüncü kişi tarafından verilmiş veya mülkiyeti üçüncü kişiye geçmiş ise bu üçüncü kişinin</w:t>
            </w:r>
            <w:r w:rsidR="00A473EA" w:rsidRPr="00A23740">
              <w:rPr>
                <w:lang w:val="tr-TR"/>
              </w:rPr>
              <w:t xml:space="preserve"> ve</w:t>
            </w:r>
            <w:r w:rsidRPr="00A23740">
              <w:t xml:space="preserve"> rehinli mal üzerinde sonra gelen rehin hakkı bulunması h</w:t>
            </w:r>
            <w:r w:rsidR="008B2FCA" w:rsidRPr="00A23740">
              <w:rPr>
                <w:lang w:val="tr-TR"/>
              </w:rPr>
              <w:t>â</w:t>
            </w:r>
            <w:r w:rsidRPr="00A23740">
              <w:t xml:space="preserve">linde ise sonra gelen rehin hakkına sahip olanın </w:t>
            </w:r>
            <w:r w:rsidR="00EC5D70" w:rsidRPr="00A23740">
              <w:rPr>
                <w:bCs w:val="0"/>
              </w:rPr>
              <w:t xml:space="preserve">87 nci </w:t>
            </w:r>
            <w:r w:rsidRPr="00A23740">
              <w:t>maddenin ikinci fıkrasının (b)</w:t>
            </w:r>
            <w:r w:rsidR="00EE0AAC" w:rsidRPr="00A23740">
              <w:t xml:space="preserve"> bendinde belirtilen bilgileri.</w:t>
            </w:r>
          </w:p>
          <w:p w:rsidR="00537077" w:rsidRPr="00A23740" w:rsidRDefault="00537077" w:rsidP="009431FF">
            <w:pPr>
              <w:pStyle w:val="Mavi"/>
            </w:pPr>
          </w:p>
          <w:p w:rsidR="00155AF4" w:rsidRPr="00A23740" w:rsidRDefault="00155AF4" w:rsidP="009431FF">
            <w:pPr>
              <w:tabs>
                <w:tab w:val="left" w:pos="567"/>
              </w:tabs>
              <w:rPr>
                <w:b/>
                <w:bCs/>
                <w:color w:val="0000FF"/>
                <w:szCs w:val="24"/>
                <w:lang w:val="x-none" w:eastAsia="x-none"/>
              </w:rPr>
            </w:pPr>
            <w:r w:rsidRPr="00A23740">
              <w:rPr>
                <w:b/>
                <w:bCs/>
                <w:color w:val="0000FF"/>
                <w:szCs w:val="24"/>
                <w:lang w:eastAsia="x-none"/>
              </w:rPr>
              <w:t>c)</w:t>
            </w:r>
            <w:r w:rsidRPr="00A23740">
              <w:rPr>
                <w:b/>
                <w:bCs/>
                <w:color w:val="0000FF"/>
                <w:szCs w:val="24"/>
                <w:lang w:val="x-none" w:eastAsia="x-none"/>
              </w:rPr>
              <w:t xml:space="preserve"> Takibin dayanağı olan belgenin aslı veya onaylanmış örneği.</w:t>
            </w:r>
          </w:p>
          <w:p w:rsidR="00397EF8" w:rsidRPr="00A23740" w:rsidRDefault="00397EF8" w:rsidP="009431FF">
            <w:pPr>
              <w:tabs>
                <w:tab w:val="left" w:pos="566"/>
              </w:tabs>
              <w:autoSpaceDE w:val="0"/>
              <w:autoSpaceDN w:val="0"/>
              <w:adjustRightInd w:val="0"/>
              <w:rPr>
                <w:rFonts w:eastAsia="Times New Roman"/>
                <w:b/>
                <w:color w:val="0000FF"/>
                <w:szCs w:val="24"/>
                <w:lang w:eastAsia="tr-TR"/>
              </w:rPr>
            </w:pPr>
          </w:p>
          <w:p w:rsidR="00155AF4" w:rsidRPr="00A23740" w:rsidRDefault="00155AF4" w:rsidP="009431FF">
            <w:pPr>
              <w:autoSpaceDE w:val="0"/>
              <w:autoSpaceDN w:val="0"/>
              <w:adjustRightInd w:val="0"/>
              <w:rPr>
                <w:rFonts w:eastAsia="ヒラギノ明朝 Pro W3"/>
                <w:b/>
                <w:color w:val="339933"/>
                <w:szCs w:val="24"/>
              </w:rPr>
            </w:pPr>
            <w:r w:rsidRPr="00A23740">
              <w:rPr>
                <w:b/>
                <w:bCs/>
                <w:color w:val="0000FF"/>
                <w:szCs w:val="24"/>
                <w:lang w:val="x-none" w:eastAsia="x-none"/>
              </w:rPr>
              <w:t xml:space="preserve">(3) </w:t>
            </w:r>
            <w:r w:rsidRPr="00A23740">
              <w:rPr>
                <w:rStyle w:val="MaviChar"/>
              </w:rPr>
              <w:t xml:space="preserve">İkinci fıkranın (c) bendinde sayılan belgenin aslının veya onaylanmış, borçlu sayısından bir fazla örneğinin takip talebiyle birlikte icra </w:t>
            </w:r>
            <w:r w:rsidR="00E23F7E" w:rsidRPr="00D6648F">
              <w:rPr>
                <w:rStyle w:val="MaviChar"/>
              </w:rPr>
              <w:t>ve iflas</w:t>
            </w:r>
            <w:r w:rsidR="00E23F7E" w:rsidRPr="00A23740">
              <w:rPr>
                <w:rStyle w:val="MaviChar"/>
                <w:color w:val="538135"/>
              </w:rPr>
              <w:t xml:space="preserve"> </w:t>
            </w:r>
            <w:r w:rsidRPr="00A23740">
              <w:rPr>
                <w:rStyle w:val="MaviChar"/>
              </w:rPr>
              <w:t>dairesine verilmesi zorunludur. Alacak belgesinin iadesi</w:t>
            </w:r>
            <w:r w:rsidR="00EC5D70" w:rsidRPr="00A23740">
              <w:rPr>
                <w:rStyle w:val="MaviChar"/>
                <w:lang w:val="tr-TR"/>
              </w:rPr>
              <w:t xml:space="preserve"> </w:t>
            </w:r>
            <w:r w:rsidR="00EC5D70" w:rsidRPr="00D6648F">
              <w:rPr>
                <w:rStyle w:val="KonuBalChar"/>
                <w:rFonts w:eastAsia="Calibri"/>
                <w:color w:val="0000FF"/>
              </w:rPr>
              <w:t>267</w:t>
            </w:r>
            <w:r w:rsidR="00EC5D70" w:rsidRPr="00A23740">
              <w:rPr>
                <w:rStyle w:val="KonuBalChar"/>
                <w:rFonts w:eastAsia="Calibri"/>
              </w:rPr>
              <w:t xml:space="preserve"> </w:t>
            </w:r>
            <w:r w:rsidR="00EC5D70" w:rsidRPr="00D6648F">
              <w:rPr>
                <w:rStyle w:val="KonuBalChar"/>
                <w:rFonts w:eastAsia="Calibri"/>
                <w:color w:val="0000FF"/>
              </w:rPr>
              <w:t>nci</w:t>
            </w:r>
            <w:r w:rsidRPr="00A23740">
              <w:rPr>
                <w:rStyle w:val="MaviChar"/>
              </w:rPr>
              <w:t xml:space="preserve"> </w:t>
            </w:r>
            <w:r w:rsidR="00E23F7E" w:rsidRPr="00D6648F">
              <w:rPr>
                <w:rStyle w:val="MaviChar"/>
              </w:rPr>
              <w:t>maddesi</w:t>
            </w:r>
            <w:r w:rsidR="00E23F7E" w:rsidRPr="00A23740">
              <w:rPr>
                <w:rStyle w:val="MaviChar"/>
                <w:color w:val="538135"/>
              </w:rPr>
              <w:t xml:space="preserve"> </w:t>
            </w:r>
            <w:r w:rsidRPr="00A23740">
              <w:rPr>
                <w:rStyle w:val="MaviChar"/>
              </w:rPr>
              <w:t>uyarınca gerçekleştirilir.</w:t>
            </w:r>
          </w:p>
          <w:p w:rsidR="00155AF4" w:rsidRPr="00A23740" w:rsidRDefault="00155AF4" w:rsidP="009431FF">
            <w:pPr>
              <w:autoSpaceDE w:val="0"/>
              <w:autoSpaceDN w:val="0"/>
              <w:adjustRightInd w:val="0"/>
              <w:rPr>
                <w:b/>
                <w:bCs/>
                <w:color w:val="FF0000"/>
                <w:szCs w:val="24"/>
              </w:rPr>
            </w:pPr>
          </w:p>
          <w:p w:rsidR="00155AF4" w:rsidRPr="00A23740" w:rsidRDefault="00155AF4" w:rsidP="009431FF">
            <w:pPr>
              <w:pStyle w:val="Mavi"/>
            </w:pPr>
            <w:r w:rsidRPr="00A23740">
              <w:t>(4) Alacaklıya takip talebinde bulunduğuna ve verdiği</w:t>
            </w:r>
            <w:r w:rsidR="00E23F7E" w:rsidRPr="00A23740">
              <w:t xml:space="preserve"> </w:t>
            </w:r>
            <w:r w:rsidR="00E23F7E" w:rsidRPr="00D6648F">
              <w:t>belgeler</w:t>
            </w:r>
            <w:r w:rsidR="00E23F7E" w:rsidRPr="00A23740">
              <w:rPr>
                <w:color w:val="538135"/>
              </w:rPr>
              <w:t xml:space="preserve"> </w:t>
            </w:r>
            <w:r w:rsidR="00E23F7E" w:rsidRPr="00D6648F">
              <w:t>ile</w:t>
            </w:r>
            <w:r w:rsidRPr="00A23740">
              <w:rPr>
                <w:color w:val="538135"/>
              </w:rPr>
              <w:t xml:space="preserve"> </w:t>
            </w:r>
            <w:r w:rsidRPr="00A23740">
              <w:t xml:space="preserve">takip </w:t>
            </w:r>
            <w:r w:rsidRPr="00A23740">
              <w:rPr>
                <w:lang w:val="tr-TR"/>
              </w:rPr>
              <w:t>giderlerine</w:t>
            </w:r>
            <w:r w:rsidRPr="00A23740">
              <w:t xml:space="preserve"> dair ücretsiz bir alındı belgesi verilir.</w:t>
            </w:r>
          </w:p>
          <w:p w:rsidR="00155AF4" w:rsidRPr="00A23740" w:rsidRDefault="00155AF4" w:rsidP="009431FF">
            <w:pPr>
              <w:autoSpaceDE w:val="0"/>
              <w:autoSpaceDN w:val="0"/>
              <w:adjustRightInd w:val="0"/>
              <w:rPr>
                <w:szCs w:val="24"/>
              </w:rPr>
            </w:pPr>
          </w:p>
          <w:p w:rsidR="00155AF4" w:rsidRDefault="00155AF4" w:rsidP="009431FF">
            <w:pPr>
              <w:autoSpaceDE w:val="0"/>
              <w:autoSpaceDN w:val="0"/>
              <w:adjustRightInd w:val="0"/>
              <w:rPr>
                <w:b/>
                <w:bCs/>
                <w:color w:val="0000FF"/>
                <w:szCs w:val="24"/>
                <w:lang w:val="x-none" w:eastAsia="x-none"/>
              </w:rPr>
            </w:pPr>
            <w:r w:rsidRPr="00A23740">
              <w:rPr>
                <w:b/>
                <w:bCs/>
                <w:color w:val="0000FF"/>
                <w:szCs w:val="24"/>
                <w:lang w:val="x-none" w:eastAsia="x-none"/>
              </w:rPr>
              <w:t>(5) Takip, takip talebinin kaydedildiği tarihte başlatılmış sayılır.</w:t>
            </w:r>
          </w:p>
          <w:p w:rsidR="0080239A" w:rsidRPr="00A23740" w:rsidRDefault="0080239A" w:rsidP="009431FF">
            <w:pPr>
              <w:autoSpaceDE w:val="0"/>
              <w:autoSpaceDN w:val="0"/>
              <w:adjustRightInd w:val="0"/>
              <w:rPr>
                <w:b/>
                <w:bCs/>
                <w:color w:val="0000FF"/>
                <w:szCs w:val="24"/>
                <w:lang w:val="x-none" w:eastAsia="x-none"/>
              </w:rPr>
            </w:pPr>
          </w:p>
          <w:p w:rsidR="00155AF4" w:rsidRPr="00A23740" w:rsidRDefault="00155AF4" w:rsidP="009431FF">
            <w:pPr>
              <w:pStyle w:val="KIRMIZI"/>
              <w:rPr>
                <w:b w:val="0"/>
                <w:color w:val="0000FF"/>
                <w:lang w:eastAsia="tr-TR"/>
              </w:rPr>
            </w:pPr>
          </w:p>
        </w:tc>
      </w:tr>
      <w:tr w:rsidR="00155AF4" w:rsidRPr="00A23740" w:rsidTr="009431FF">
        <w:tc>
          <w:tcPr>
            <w:tcW w:w="5000" w:type="pct"/>
            <w:gridSpan w:val="2"/>
            <w:shd w:val="clear" w:color="auto" w:fill="DEEAF6"/>
          </w:tcPr>
          <w:p w:rsidR="00A02186" w:rsidRPr="00A23740" w:rsidRDefault="00A02186" w:rsidP="009431FF">
            <w:pPr>
              <w:tabs>
                <w:tab w:val="left" w:pos="567"/>
              </w:tabs>
              <w:ind w:firstLine="709"/>
              <w:rPr>
                <w:b/>
                <w:bCs/>
                <w:szCs w:val="24"/>
                <w:lang w:eastAsia="x-none"/>
              </w:rPr>
            </w:pPr>
          </w:p>
          <w:p w:rsidR="007F2779" w:rsidRPr="00A23740" w:rsidRDefault="00FC7A09" w:rsidP="009431FF">
            <w:pPr>
              <w:tabs>
                <w:tab w:val="left" w:pos="567"/>
              </w:tabs>
              <w:ind w:firstLine="709"/>
              <w:rPr>
                <w:color w:val="000000"/>
                <w:szCs w:val="26"/>
              </w:rPr>
            </w:pPr>
            <w:r w:rsidRPr="00A23740">
              <w:rPr>
                <w:b/>
                <w:bCs/>
                <w:szCs w:val="24"/>
                <w:lang w:eastAsia="x-none"/>
              </w:rPr>
              <w:t>MADDE 114</w:t>
            </w:r>
            <w:r w:rsidR="00155AF4" w:rsidRPr="00A23740">
              <w:rPr>
                <w:b/>
                <w:bCs/>
                <w:szCs w:val="24"/>
                <w:lang w:eastAsia="x-none"/>
              </w:rPr>
              <w:t xml:space="preserve">- </w:t>
            </w:r>
            <w:r w:rsidR="009E3644" w:rsidRPr="00A23740">
              <w:rPr>
                <w:bCs/>
                <w:szCs w:val="24"/>
                <w:lang w:eastAsia="x-none"/>
              </w:rPr>
              <w:t>Maddeyle, rehnin paraya çevrilmesi yoluyla ilamsız takipte takip talebine ilişkin hususlar düzenlenmiştir.</w:t>
            </w:r>
            <w:r w:rsidR="009E3644" w:rsidRPr="00A23740">
              <w:rPr>
                <w:b/>
                <w:bCs/>
                <w:szCs w:val="24"/>
                <w:lang w:eastAsia="x-none"/>
              </w:rPr>
              <w:t xml:space="preserve"> </w:t>
            </w:r>
            <w:r w:rsidR="007F2779" w:rsidRPr="00A23740">
              <w:rPr>
                <w:color w:val="000000"/>
                <w:szCs w:val="26"/>
              </w:rPr>
              <w:t>Taslağın</w:t>
            </w:r>
            <w:r w:rsidR="00EC5D70" w:rsidRPr="00A23740">
              <w:rPr>
                <w:color w:val="000000"/>
                <w:szCs w:val="26"/>
              </w:rPr>
              <w:t xml:space="preserve"> </w:t>
            </w:r>
            <w:r w:rsidR="00EC5D70" w:rsidRPr="00D6648F">
              <w:rPr>
                <w:color w:val="000000"/>
                <w:szCs w:val="26"/>
              </w:rPr>
              <w:t>114</w:t>
            </w:r>
            <w:r w:rsidR="00EC5D70" w:rsidRPr="00A23740">
              <w:rPr>
                <w:rStyle w:val="KonuBalChar"/>
                <w:rFonts w:eastAsia="Calibri"/>
              </w:rPr>
              <w:t xml:space="preserve"> </w:t>
            </w:r>
            <w:r w:rsidR="00EC5D70" w:rsidRPr="00D6648F">
              <w:rPr>
                <w:color w:val="000000"/>
                <w:szCs w:val="26"/>
              </w:rPr>
              <w:t>üncü</w:t>
            </w:r>
            <w:r w:rsidR="007F2779" w:rsidRPr="00A23740">
              <w:rPr>
                <w:color w:val="000000"/>
                <w:szCs w:val="26"/>
              </w:rPr>
              <w:t xml:space="preserve"> maddesi “Takip talebi” başlığını taşımakta olup </w:t>
            </w:r>
            <w:r w:rsidR="009E3644" w:rsidRPr="00A23740">
              <w:rPr>
                <w:color w:val="000000"/>
                <w:szCs w:val="26"/>
              </w:rPr>
              <w:t xml:space="preserve">2004 sayılı Kanunun </w:t>
            </w:r>
            <w:r w:rsidR="007F2779" w:rsidRPr="00A23740">
              <w:rPr>
                <w:color w:val="000000"/>
                <w:szCs w:val="26"/>
              </w:rPr>
              <w:t>145 inci maddesine karşılık gelmektedir. Bu madde kaleme alınırken ilamsız icra takibine ilişkin takip talebinin düzenlendiği Taslağın 86</w:t>
            </w:r>
            <w:r w:rsidR="00EC5D70" w:rsidRPr="00A23740">
              <w:rPr>
                <w:color w:val="000000"/>
                <w:szCs w:val="26"/>
              </w:rPr>
              <w:t xml:space="preserve"> ncı</w:t>
            </w:r>
            <w:r w:rsidR="007F2779" w:rsidRPr="00A23740">
              <w:rPr>
                <w:color w:val="000000"/>
                <w:szCs w:val="26"/>
              </w:rPr>
              <w:t xml:space="preserve"> maddesinde kabul edilen yazım şekli bu maddeye aktarılmıştır</w:t>
            </w:r>
            <w:r w:rsidR="002103A1" w:rsidRPr="00A23740">
              <w:rPr>
                <w:color w:val="000000"/>
                <w:szCs w:val="26"/>
              </w:rPr>
              <w:t>.</w:t>
            </w:r>
            <w:r w:rsidR="007F2779" w:rsidRPr="00A23740">
              <w:rPr>
                <w:color w:val="000000"/>
                <w:szCs w:val="26"/>
              </w:rPr>
              <w:t xml:space="preserve"> </w:t>
            </w:r>
            <w:r w:rsidR="002103A1" w:rsidRPr="00A23740">
              <w:rPr>
                <w:color w:val="000000"/>
                <w:szCs w:val="26"/>
              </w:rPr>
              <w:t>B</w:t>
            </w:r>
            <w:r w:rsidR="007F2779" w:rsidRPr="00A23740">
              <w:rPr>
                <w:color w:val="000000"/>
                <w:szCs w:val="26"/>
              </w:rPr>
              <w:t>una göre:</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A02186" w:rsidRPr="00A23740">
              <w:rPr>
                <w:color w:val="000000"/>
                <w:szCs w:val="26"/>
              </w:rPr>
              <w:t>bir</w:t>
            </w:r>
            <w:r w:rsidRPr="00A23740">
              <w:rPr>
                <w:color w:val="000000"/>
                <w:szCs w:val="26"/>
              </w:rPr>
              <w:t xml:space="preserve">inci fıkrasında takip talebinin, icra </w:t>
            </w:r>
            <w:r w:rsidR="00BA30A1" w:rsidRPr="00D6648F">
              <w:rPr>
                <w:color w:val="000000"/>
                <w:szCs w:val="26"/>
              </w:rPr>
              <w:t>ve</w:t>
            </w:r>
            <w:r w:rsidR="00BA30A1" w:rsidRPr="00D6648F">
              <w:rPr>
                <w:b/>
                <w:color w:val="000000"/>
                <w:szCs w:val="26"/>
              </w:rPr>
              <w:t xml:space="preserve"> </w:t>
            </w:r>
            <w:r w:rsidR="00BA30A1" w:rsidRPr="00D6648F">
              <w:rPr>
                <w:color w:val="000000"/>
                <w:szCs w:val="26"/>
              </w:rPr>
              <w:t>iflas</w:t>
            </w:r>
            <w:r w:rsidR="00BA30A1" w:rsidRPr="00A23740">
              <w:rPr>
                <w:color w:val="000000"/>
                <w:szCs w:val="26"/>
              </w:rPr>
              <w:t xml:space="preserve"> </w:t>
            </w:r>
            <w:r w:rsidRPr="00A23740">
              <w:rPr>
                <w:color w:val="000000"/>
                <w:szCs w:val="26"/>
              </w:rPr>
              <w:t>dairesine yazılı veya sözlü olarak verileceği;</w:t>
            </w:r>
          </w:p>
          <w:p w:rsidR="00CB2A61" w:rsidRPr="00A23740" w:rsidRDefault="007F2779" w:rsidP="009431FF">
            <w:pPr>
              <w:tabs>
                <w:tab w:val="left" w:pos="566"/>
              </w:tabs>
              <w:ind w:firstLine="709"/>
              <w:rPr>
                <w:color w:val="000000"/>
                <w:szCs w:val="26"/>
              </w:rPr>
            </w:pPr>
            <w:r w:rsidRPr="00A23740">
              <w:rPr>
                <w:color w:val="000000"/>
                <w:szCs w:val="26"/>
              </w:rPr>
              <w:t xml:space="preserve">Maddenin </w:t>
            </w:r>
            <w:r w:rsidR="009E3644" w:rsidRPr="00A23740">
              <w:rPr>
                <w:color w:val="000000"/>
                <w:szCs w:val="26"/>
              </w:rPr>
              <w:t>iki</w:t>
            </w:r>
            <w:r w:rsidRPr="00A23740">
              <w:rPr>
                <w:color w:val="000000"/>
                <w:szCs w:val="26"/>
              </w:rPr>
              <w:t>nci fıkrasında</w:t>
            </w:r>
            <w:r w:rsidR="002103A1" w:rsidRPr="00A23740">
              <w:rPr>
                <w:color w:val="000000"/>
                <w:szCs w:val="26"/>
              </w:rPr>
              <w:t>,</w:t>
            </w:r>
            <w:r w:rsidRPr="00A23740">
              <w:rPr>
                <w:color w:val="000000"/>
                <w:szCs w:val="26"/>
              </w:rPr>
              <w:t xml:space="preserve"> takip talebinde bulunacak bilgiler ve takip talebine eklenecek belgeler harf sırasına göre bentler h</w:t>
            </w:r>
            <w:r w:rsidR="00F906A7" w:rsidRPr="00A23740">
              <w:rPr>
                <w:color w:val="000000"/>
                <w:szCs w:val="26"/>
              </w:rPr>
              <w:t>â</w:t>
            </w:r>
            <w:r w:rsidRPr="00A23740">
              <w:rPr>
                <w:color w:val="000000"/>
                <w:szCs w:val="26"/>
              </w:rPr>
              <w:t xml:space="preserve">linde listelenmiş olup, </w:t>
            </w:r>
            <w:r w:rsidR="009E3644" w:rsidRPr="00A23740">
              <w:rPr>
                <w:color w:val="000000"/>
                <w:szCs w:val="26"/>
              </w:rPr>
              <w:t>(</w:t>
            </w:r>
            <w:r w:rsidRPr="00A23740">
              <w:rPr>
                <w:color w:val="000000"/>
                <w:szCs w:val="26"/>
              </w:rPr>
              <w:t>a</w:t>
            </w:r>
            <w:r w:rsidR="009E3644" w:rsidRPr="00A23740">
              <w:rPr>
                <w:color w:val="000000"/>
                <w:szCs w:val="26"/>
              </w:rPr>
              <w:t>)</w:t>
            </w:r>
            <w:r w:rsidRPr="00A23740">
              <w:rPr>
                <w:color w:val="000000"/>
                <w:szCs w:val="26"/>
              </w:rPr>
              <w:t xml:space="preserve"> bendinde “</w:t>
            </w:r>
            <w:r w:rsidR="00EC5D70" w:rsidRPr="00D6648F">
              <w:rPr>
                <w:color w:val="000000"/>
                <w:szCs w:val="26"/>
              </w:rPr>
              <w:t>87</w:t>
            </w:r>
            <w:r w:rsidR="00EC5D70" w:rsidRPr="00D6648F">
              <w:rPr>
                <w:b/>
                <w:bCs/>
                <w:color w:val="000000"/>
                <w:szCs w:val="26"/>
              </w:rPr>
              <w:t xml:space="preserve"> </w:t>
            </w:r>
            <w:r w:rsidR="00EC5D70" w:rsidRPr="00D6648F">
              <w:rPr>
                <w:color w:val="000000"/>
                <w:szCs w:val="26"/>
              </w:rPr>
              <w:t>nci</w:t>
            </w:r>
            <w:r w:rsidR="00EC5D70" w:rsidRPr="00A23740">
              <w:rPr>
                <w:b/>
                <w:bCs/>
                <w:color w:val="FFFF00"/>
                <w:szCs w:val="24"/>
                <w:lang w:eastAsia="x-none"/>
              </w:rPr>
              <w:t xml:space="preserve"> </w:t>
            </w:r>
            <w:r w:rsidRPr="00A23740">
              <w:rPr>
                <w:color w:val="000000"/>
                <w:szCs w:val="26"/>
              </w:rPr>
              <w:t xml:space="preserve">maddenin ikinci fıkrasında yazılanlar”, </w:t>
            </w:r>
            <w:r w:rsidR="009E3644" w:rsidRPr="00A23740">
              <w:rPr>
                <w:color w:val="000000"/>
                <w:szCs w:val="26"/>
              </w:rPr>
              <w:t>(</w:t>
            </w:r>
            <w:r w:rsidRPr="00A23740">
              <w:rPr>
                <w:color w:val="000000"/>
                <w:szCs w:val="26"/>
              </w:rPr>
              <w:t>b</w:t>
            </w:r>
            <w:r w:rsidR="009E3644" w:rsidRPr="00A23740">
              <w:rPr>
                <w:color w:val="000000"/>
                <w:szCs w:val="26"/>
              </w:rPr>
              <w:t>)</w:t>
            </w:r>
            <w:r w:rsidRPr="00A23740">
              <w:rPr>
                <w:color w:val="000000"/>
                <w:szCs w:val="26"/>
              </w:rPr>
              <w:t xml:space="preserve"> bendinde “Rehinli malın ne olduğu ve rehinli mal üçüncü kişi tarafından verilmiş veya mülkiyeti üçüncü kişiye geçmiş ise bu üçüncü kişinin, rehinli mal üzerinde sonra gelen rehin hakkı bulunması h</w:t>
            </w:r>
            <w:r w:rsidR="00F906A7" w:rsidRPr="00A23740">
              <w:rPr>
                <w:color w:val="000000"/>
                <w:szCs w:val="26"/>
              </w:rPr>
              <w:t>â</w:t>
            </w:r>
            <w:r w:rsidRPr="00A23740">
              <w:rPr>
                <w:color w:val="000000"/>
                <w:szCs w:val="26"/>
              </w:rPr>
              <w:t xml:space="preserve">linde ise sonra gelen rehin hakkına sahip olanın </w:t>
            </w:r>
            <w:r w:rsidR="00EC5D70" w:rsidRPr="00D6648F">
              <w:rPr>
                <w:color w:val="000000"/>
                <w:szCs w:val="26"/>
              </w:rPr>
              <w:t>87</w:t>
            </w:r>
            <w:r w:rsidR="00EC5D70" w:rsidRPr="00A23740">
              <w:rPr>
                <w:rStyle w:val="KonuBalChar"/>
                <w:rFonts w:eastAsia="Calibri"/>
              </w:rPr>
              <w:t xml:space="preserve"> </w:t>
            </w:r>
            <w:r w:rsidR="00EC5D70" w:rsidRPr="00D6648F">
              <w:rPr>
                <w:color w:val="000000"/>
                <w:szCs w:val="26"/>
              </w:rPr>
              <w:t>nci</w:t>
            </w:r>
            <w:r w:rsidR="00EC5D70" w:rsidRPr="00A23740">
              <w:rPr>
                <w:b/>
                <w:bCs/>
                <w:color w:val="FFFF00"/>
                <w:szCs w:val="24"/>
                <w:lang w:eastAsia="x-none"/>
              </w:rPr>
              <w:t xml:space="preserve"> </w:t>
            </w:r>
            <w:r w:rsidRPr="00A23740">
              <w:rPr>
                <w:color w:val="000000"/>
                <w:szCs w:val="26"/>
              </w:rPr>
              <w:t xml:space="preserve">maddenin ikinci fıkrasının (b) bendinde belirtilen bilgileri”, </w:t>
            </w:r>
            <w:r w:rsidR="009E3644" w:rsidRPr="00A23740">
              <w:rPr>
                <w:color w:val="000000"/>
                <w:szCs w:val="26"/>
              </w:rPr>
              <w:t>(</w:t>
            </w:r>
            <w:r w:rsidRPr="00A23740">
              <w:rPr>
                <w:color w:val="000000"/>
                <w:szCs w:val="26"/>
              </w:rPr>
              <w:t>c</w:t>
            </w:r>
            <w:r w:rsidR="009E3644" w:rsidRPr="00A23740">
              <w:rPr>
                <w:color w:val="000000"/>
                <w:szCs w:val="26"/>
              </w:rPr>
              <w:t>)</w:t>
            </w:r>
            <w:r w:rsidRPr="00A23740">
              <w:rPr>
                <w:color w:val="000000"/>
                <w:szCs w:val="26"/>
              </w:rPr>
              <w:t xml:space="preserve"> bendinde “Takibin dayanağı olan belgenin aslı veya onaylanmış örneği” </w:t>
            </w:r>
            <w:r w:rsidR="002103A1" w:rsidRPr="00A23740">
              <w:rPr>
                <w:color w:val="000000"/>
                <w:szCs w:val="26"/>
              </w:rPr>
              <w:t xml:space="preserve">şeklinde bu belge ve bilgiler </w:t>
            </w:r>
            <w:r w:rsidRPr="00A23740">
              <w:rPr>
                <w:color w:val="000000"/>
                <w:szCs w:val="26"/>
              </w:rPr>
              <w:t>sıralanmıştır.</w:t>
            </w:r>
            <w:r w:rsidR="00EC5D70" w:rsidRPr="00A23740">
              <w:rPr>
                <w:color w:val="000000"/>
                <w:szCs w:val="26"/>
              </w:rPr>
              <w:t xml:space="preserve"> </w:t>
            </w:r>
          </w:p>
          <w:p w:rsidR="00CB2A61" w:rsidRPr="00D6648F" w:rsidRDefault="00EC5D70" w:rsidP="009431FF">
            <w:pPr>
              <w:tabs>
                <w:tab w:val="left" w:pos="566"/>
              </w:tabs>
              <w:ind w:firstLine="709"/>
              <w:rPr>
                <w:bCs/>
                <w:color w:val="000000"/>
                <w:szCs w:val="26"/>
              </w:rPr>
            </w:pPr>
            <w:r w:rsidRPr="00D6648F">
              <w:rPr>
                <w:bCs/>
                <w:color w:val="000000"/>
                <w:szCs w:val="26"/>
              </w:rPr>
              <w:t>Takibin dayanağı ol</w:t>
            </w:r>
            <w:r w:rsidR="00CB2A61" w:rsidRPr="00D6648F">
              <w:rPr>
                <w:bCs/>
                <w:color w:val="000000"/>
                <w:szCs w:val="26"/>
              </w:rPr>
              <w:t>an belgenin onaylanmış örneğinden maksat,</w:t>
            </w:r>
            <w:r w:rsidRPr="00D6648F">
              <w:rPr>
                <w:bCs/>
                <w:color w:val="000000"/>
                <w:szCs w:val="26"/>
              </w:rPr>
              <w:t xml:space="preserve"> avukatlar</w:t>
            </w:r>
            <w:r w:rsidR="00CB2A61" w:rsidRPr="00D6648F">
              <w:rPr>
                <w:bCs/>
                <w:color w:val="000000"/>
                <w:szCs w:val="26"/>
              </w:rPr>
              <w:t>ın</w:t>
            </w:r>
            <w:r w:rsidRPr="00D6648F">
              <w:rPr>
                <w:bCs/>
                <w:color w:val="000000"/>
                <w:szCs w:val="26"/>
              </w:rPr>
              <w:t xml:space="preserve"> Avukatlık Kanunu hükümleri</w:t>
            </w:r>
            <w:r w:rsidR="00CB2A61" w:rsidRPr="00D6648F">
              <w:rPr>
                <w:bCs/>
                <w:color w:val="000000"/>
                <w:szCs w:val="26"/>
              </w:rPr>
              <w:t>ne göre belgeyi onaylaması, a</w:t>
            </w:r>
            <w:r w:rsidRPr="00D6648F">
              <w:rPr>
                <w:bCs/>
                <w:color w:val="000000"/>
                <w:szCs w:val="26"/>
              </w:rPr>
              <w:t>vukat</w:t>
            </w:r>
            <w:r w:rsidR="00CB2A61" w:rsidRPr="00D6648F">
              <w:rPr>
                <w:bCs/>
                <w:color w:val="000000"/>
                <w:szCs w:val="26"/>
              </w:rPr>
              <w:t>lar haricindeki</w:t>
            </w:r>
            <w:r w:rsidRPr="00D6648F">
              <w:rPr>
                <w:bCs/>
                <w:color w:val="000000"/>
                <w:szCs w:val="26"/>
              </w:rPr>
              <w:t xml:space="preserve"> kişiler </w:t>
            </w:r>
            <w:r w:rsidR="00CB2A61" w:rsidRPr="00D6648F">
              <w:rPr>
                <w:bCs/>
                <w:color w:val="000000"/>
                <w:szCs w:val="26"/>
              </w:rPr>
              <w:t xml:space="preserve">bakımından </w:t>
            </w:r>
            <w:r w:rsidRPr="00D6648F">
              <w:rPr>
                <w:bCs/>
                <w:color w:val="000000"/>
                <w:szCs w:val="26"/>
              </w:rPr>
              <w:t xml:space="preserve">ise kural olarak noter tarafından onaylanmış </w:t>
            </w:r>
            <w:r w:rsidR="00CB2A61" w:rsidRPr="00D6648F">
              <w:rPr>
                <w:bCs/>
                <w:color w:val="000000"/>
                <w:szCs w:val="26"/>
              </w:rPr>
              <w:t xml:space="preserve">belge </w:t>
            </w:r>
            <w:r w:rsidRPr="00D6648F">
              <w:rPr>
                <w:bCs/>
                <w:color w:val="000000"/>
                <w:szCs w:val="26"/>
              </w:rPr>
              <w:t>örnek</w:t>
            </w:r>
            <w:r w:rsidR="00CB2A61" w:rsidRPr="00D6648F">
              <w:rPr>
                <w:bCs/>
                <w:color w:val="000000"/>
                <w:szCs w:val="26"/>
              </w:rPr>
              <w:t>leri anlaşılmalıdır.</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9E3644" w:rsidRPr="00A23740">
              <w:rPr>
                <w:color w:val="000000"/>
                <w:szCs w:val="26"/>
              </w:rPr>
              <w:t>üçü</w:t>
            </w:r>
            <w:r w:rsidRPr="00A23740">
              <w:rPr>
                <w:color w:val="000000"/>
                <w:szCs w:val="26"/>
              </w:rPr>
              <w:t>ncü fıkrasında</w:t>
            </w:r>
            <w:r w:rsidR="00EC5D70" w:rsidRPr="00A23740">
              <w:rPr>
                <w:color w:val="000000"/>
                <w:szCs w:val="26"/>
              </w:rPr>
              <w:t>,</w:t>
            </w:r>
            <w:r w:rsidRPr="00A23740">
              <w:rPr>
                <w:color w:val="000000"/>
                <w:szCs w:val="26"/>
              </w:rPr>
              <w:t xml:space="preserve"> ikinci fıkranın (c) bendinde sayılan belgenin aslının veya borçlu sayısından bir fazla </w:t>
            </w:r>
            <w:r w:rsidR="002103A1" w:rsidRPr="00A23740">
              <w:rPr>
                <w:color w:val="000000"/>
                <w:szCs w:val="26"/>
              </w:rPr>
              <w:t xml:space="preserve">onaylanmış </w:t>
            </w:r>
            <w:r w:rsidRPr="00A23740">
              <w:rPr>
                <w:color w:val="000000"/>
                <w:szCs w:val="26"/>
              </w:rPr>
              <w:t>örneğinin takip talebiyle birlikte icra</w:t>
            </w:r>
            <w:r w:rsidR="001647D1" w:rsidRPr="00A23740">
              <w:rPr>
                <w:b/>
                <w:color w:val="538135"/>
              </w:rPr>
              <w:t xml:space="preserve"> </w:t>
            </w:r>
            <w:r w:rsidR="001647D1" w:rsidRPr="00D6648F">
              <w:rPr>
                <w:color w:val="000000"/>
                <w:szCs w:val="26"/>
              </w:rPr>
              <w:t>ve</w:t>
            </w:r>
            <w:r w:rsidR="001647D1" w:rsidRPr="00A23740">
              <w:rPr>
                <w:color w:val="538135"/>
              </w:rPr>
              <w:t xml:space="preserve"> </w:t>
            </w:r>
            <w:r w:rsidR="001647D1" w:rsidRPr="00D6648F">
              <w:rPr>
                <w:color w:val="000000"/>
                <w:szCs w:val="26"/>
              </w:rPr>
              <w:t>iflas</w:t>
            </w:r>
            <w:r w:rsidRPr="00A23740">
              <w:rPr>
                <w:color w:val="000000"/>
                <w:szCs w:val="26"/>
              </w:rPr>
              <w:t xml:space="preserve"> dairesine verilmesinin zorunlu olduğu ve alacak belgesinin iadesinin </w:t>
            </w:r>
            <w:r w:rsidR="00EC5D70" w:rsidRPr="00D6648F">
              <w:rPr>
                <w:color w:val="000000"/>
                <w:szCs w:val="26"/>
              </w:rPr>
              <w:t>267</w:t>
            </w:r>
            <w:r w:rsidR="00EC5D70" w:rsidRPr="00A23740">
              <w:rPr>
                <w:rStyle w:val="KonuBalChar"/>
                <w:rFonts w:eastAsia="Calibri"/>
              </w:rPr>
              <w:t xml:space="preserve"> </w:t>
            </w:r>
            <w:r w:rsidR="00EC5D70" w:rsidRPr="00D6648F">
              <w:rPr>
                <w:color w:val="000000"/>
                <w:szCs w:val="26"/>
              </w:rPr>
              <w:t>nci</w:t>
            </w:r>
            <w:r w:rsidR="00EC5D70" w:rsidRPr="00A23740">
              <w:rPr>
                <w:rStyle w:val="MaviChar"/>
              </w:rPr>
              <w:t xml:space="preserve"> </w:t>
            </w:r>
            <w:r w:rsidR="00BA30A1" w:rsidRPr="00D6648F">
              <w:rPr>
                <w:color w:val="000000"/>
                <w:szCs w:val="26"/>
              </w:rPr>
              <w:t>madde</w:t>
            </w:r>
            <w:r w:rsidR="00BA30A1" w:rsidRPr="00A23740">
              <w:rPr>
                <w:color w:val="000000"/>
                <w:szCs w:val="26"/>
              </w:rPr>
              <w:t xml:space="preserve"> </w:t>
            </w:r>
            <w:r w:rsidRPr="00A23740">
              <w:rPr>
                <w:color w:val="000000"/>
                <w:szCs w:val="26"/>
              </w:rPr>
              <w:t>uyarınca gerçekleştirileceği belirtilmiştir.</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905C61" w:rsidRPr="00A23740">
              <w:rPr>
                <w:color w:val="000000"/>
                <w:szCs w:val="26"/>
              </w:rPr>
              <w:t>dördü</w:t>
            </w:r>
            <w:r w:rsidR="001A019A" w:rsidRPr="00A23740">
              <w:rPr>
                <w:color w:val="000000"/>
                <w:szCs w:val="26"/>
              </w:rPr>
              <w:t>ncü fıkrasına göre</w:t>
            </w:r>
            <w:r w:rsidRPr="00A23740">
              <w:rPr>
                <w:color w:val="000000"/>
                <w:szCs w:val="26"/>
              </w:rPr>
              <w:t xml:space="preserve"> alacaklıya takip talebinde bulunduğuna ve verdiği </w:t>
            </w:r>
            <w:r w:rsidR="00BA30A1" w:rsidRPr="00D6648F">
              <w:rPr>
                <w:color w:val="000000"/>
                <w:szCs w:val="26"/>
              </w:rPr>
              <w:t>belgeler</w:t>
            </w:r>
            <w:r w:rsidR="00BA30A1" w:rsidRPr="00A23740">
              <w:rPr>
                <w:color w:val="538135"/>
              </w:rPr>
              <w:t xml:space="preserve"> </w:t>
            </w:r>
            <w:r w:rsidR="00BA30A1" w:rsidRPr="00D6648F">
              <w:rPr>
                <w:color w:val="000000"/>
                <w:szCs w:val="26"/>
              </w:rPr>
              <w:t>ile</w:t>
            </w:r>
            <w:r w:rsidR="00BA30A1" w:rsidRPr="00A23740">
              <w:rPr>
                <w:b/>
                <w:color w:val="538135"/>
              </w:rPr>
              <w:t xml:space="preserve"> </w:t>
            </w:r>
            <w:r w:rsidRPr="00A23740">
              <w:rPr>
                <w:color w:val="000000"/>
                <w:szCs w:val="26"/>
              </w:rPr>
              <w:t>takip giderlerine dair ücretsiz bir alındı belgesi verilecektir.</w:t>
            </w:r>
            <w:r w:rsidR="00BA30A1" w:rsidRPr="00A23740">
              <w:rPr>
                <w:color w:val="000000"/>
                <w:szCs w:val="26"/>
              </w:rPr>
              <w:t xml:space="preserve"> </w:t>
            </w:r>
          </w:p>
          <w:p w:rsidR="00905C61" w:rsidRPr="00A23740" w:rsidRDefault="007F2779" w:rsidP="009431FF">
            <w:pPr>
              <w:tabs>
                <w:tab w:val="left" w:pos="567"/>
              </w:tabs>
              <w:ind w:firstLine="709"/>
              <w:rPr>
                <w:color w:val="000000"/>
                <w:szCs w:val="26"/>
              </w:rPr>
            </w:pPr>
            <w:r w:rsidRPr="00A23740">
              <w:rPr>
                <w:color w:val="000000"/>
                <w:szCs w:val="26"/>
              </w:rPr>
              <w:t xml:space="preserve">Maddenin </w:t>
            </w:r>
            <w:r w:rsidR="00905C61" w:rsidRPr="00A23740">
              <w:rPr>
                <w:color w:val="000000"/>
                <w:szCs w:val="26"/>
              </w:rPr>
              <w:t>beş</w:t>
            </w:r>
            <w:r w:rsidRPr="00A23740">
              <w:rPr>
                <w:color w:val="000000"/>
                <w:szCs w:val="26"/>
              </w:rPr>
              <w:t>inci fıkrası takibin, takip talebinin kaydedildiği tarihte başlatılmış sayılacağını ifade etmektedir.</w:t>
            </w:r>
          </w:p>
          <w:p w:rsidR="007F2779" w:rsidRPr="00A23740" w:rsidRDefault="007F2779"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Ödeme emri :</w:t>
            </w: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Madde 146 – (1) (Değişik: 18/2/1965 - 538/66 md.)</w:t>
            </w: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Takip talebi üzerine, icra dairesi, keyfiyeti merhun üzerinde sonra gelen rehin hakkı sahibine bir ihbarname ile bildirir ve borçlu ile rehin maliki üçüncü şahsa aşağıdaki kayıtlara uygun olmak üzere birer ödeme emri gönderir:</w:t>
            </w:r>
          </w:p>
          <w:p w:rsidR="00155AF4" w:rsidRPr="00A23740" w:rsidRDefault="00155AF4" w:rsidP="009431FF">
            <w:pPr>
              <w:tabs>
                <w:tab w:val="left" w:pos="567"/>
              </w:tabs>
              <w:autoSpaceDE w:val="0"/>
              <w:autoSpaceDN w:val="0"/>
              <w:adjustRightInd w:val="0"/>
              <w:rPr>
                <w:b/>
                <w:strike/>
                <w:color w:val="FF0000"/>
                <w:szCs w:val="24"/>
                <w:lang w:eastAsia="tr-TR"/>
              </w:rPr>
            </w:pP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1. Ödeme müddeti onbeş gündür.</w:t>
            </w:r>
          </w:p>
          <w:p w:rsidR="00155AF4" w:rsidRPr="00A23740" w:rsidRDefault="00155AF4" w:rsidP="009431FF">
            <w:pPr>
              <w:tabs>
                <w:tab w:val="left" w:pos="567"/>
              </w:tabs>
              <w:autoSpaceDE w:val="0"/>
              <w:autoSpaceDN w:val="0"/>
              <w:adjustRightInd w:val="0"/>
              <w:rPr>
                <w:b/>
                <w:strike/>
                <w:color w:val="FF0000"/>
                <w:szCs w:val="24"/>
                <w:lang w:eastAsia="tr-TR"/>
              </w:rPr>
            </w:pP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2. Yedi gün içinde itiraz olunmaz ve 1 numaralı bendde yazılı müddet içinde borç ödenmezse rehnin satılacağı bildirilir.</w:t>
            </w:r>
          </w:p>
          <w:p w:rsidR="00155AF4" w:rsidRPr="00A23740" w:rsidRDefault="00155AF4" w:rsidP="009431FF">
            <w:pPr>
              <w:rPr>
                <w:rFonts w:eastAsia="Times New Roman"/>
                <w:b/>
                <w:bCs/>
                <w:color w:val="0000FF"/>
                <w:szCs w:val="24"/>
                <w:lang w:eastAsia="tr-TR"/>
              </w:rPr>
            </w:pPr>
          </w:p>
          <w:p w:rsidR="00537077" w:rsidRPr="00A23740" w:rsidRDefault="00537077" w:rsidP="009431FF">
            <w:pPr>
              <w:rPr>
                <w:rFonts w:eastAsia="Times New Roman"/>
                <w:b/>
                <w:bCs/>
                <w:color w:val="0000FF"/>
                <w:szCs w:val="24"/>
                <w:lang w:eastAsia="tr-TR"/>
              </w:rPr>
            </w:pPr>
          </w:p>
          <w:p w:rsidR="00537077" w:rsidRPr="00A23740" w:rsidRDefault="00537077" w:rsidP="009431FF">
            <w:pPr>
              <w:rPr>
                <w:rFonts w:eastAsia="Times New Roman"/>
                <w:b/>
                <w:bCs/>
                <w:color w:val="0000FF"/>
                <w:szCs w:val="24"/>
                <w:lang w:eastAsia="tr-TR"/>
              </w:rPr>
            </w:pPr>
          </w:p>
          <w:p w:rsidR="00537077" w:rsidRPr="00A23740" w:rsidRDefault="00537077" w:rsidP="009431FF">
            <w:pPr>
              <w:rPr>
                <w:rFonts w:eastAsia="Times New Roman"/>
                <w:b/>
                <w:bCs/>
                <w:color w:val="0000FF"/>
                <w:szCs w:val="24"/>
                <w:lang w:eastAsia="tr-TR"/>
              </w:rPr>
            </w:pPr>
          </w:p>
          <w:p w:rsidR="00537077" w:rsidRPr="00A23740" w:rsidRDefault="00537077" w:rsidP="009431FF">
            <w:pPr>
              <w:rPr>
                <w:rFonts w:eastAsia="Times New Roman"/>
                <w:b/>
                <w:bCs/>
                <w:color w:val="0000FF"/>
                <w:szCs w:val="24"/>
                <w:lang w:eastAsia="tr-TR"/>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Ödeme emri</w:t>
            </w:r>
          </w:p>
          <w:p w:rsidR="00155AF4" w:rsidRPr="00A23740" w:rsidRDefault="00FC7A09" w:rsidP="009431FF">
            <w:pPr>
              <w:tabs>
                <w:tab w:val="left" w:pos="567"/>
              </w:tabs>
              <w:rPr>
                <w:b/>
                <w:bCs/>
                <w:color w:val="0000FF"/>
                <w:szCs w:val="24"/>
                <w:lang w:val="x-none" w:eastAsia="x-none"/>
              </w:rPr>
            </w:pPr>
            <w:r w:rsidRPr="00A23740">
              <w:rPr>
                <w:b/>
                <w:bCs/>
                <w:color w:val="0000FF"/>
                <w:szCs w:val="24"/>
                <w:lang w:val="x-none" w:eastAsia="x-none"/>
              </w:rPr>
              <w:t>MADDE 115</w:t>
            </w:r>
            <w:r w:rsidR="00155AF4" w:rsidRPr="00A23740">
              <w:rPr>
                <w:b/>
                <w:bCs/>
                <w:color w:val="0000FF"/>
                <w:szCs w:val="24"/>
                <w:lang w:val="x-none" w:eastAsia="x-none"/>
              </w:rPr>
              <w:t xml:space="preserve">- (1) </w:t>
            </w:r>
            <w:r w:rsidR="00155AF4" w:rsidRPr="00A23740">
              <w:rPr>
                <w:b/>
                <w:bCs/>
                <w:color w:val="0000FF"/>
                <w:szCs w:val="24"/>
                <w:lang w:eastAsia="x-none"/>
              </w:rPr>
              <w:t>Takip talebinin bu Kanunda öngörülen şartları içerdiğine karar verilmesi h</w:t>
            </w:r>
            <w:r w:rsidR="001A019A" w:rsidRPr="00A23740">
              <w:rPr>
                <w:b/>
                <w:bCs/>
                <w:color w:val="0000FF"/>
                <w:szCs w:val="24"/>
                <w:lang w:eastAsia="x-none"/>
              </w:rPr>
              <w:t>â</w:t>
            </w:r>
            <w:r w:rsidR="00155AF4" w:rsidRPr="00A23740">
              <w:rPr>
                <w:b/>
                <w:bCs/>
                <w:color w:val="0000FF"/>
                <w:szCs w:val="24"/>
                <w:lang w:eastAsia="x-none"/>
              </w:rPr>
              <w:t xml:space="preserve">linde icra </w:t>
            </w:r>
            <w:r w:rsidR="00155AF4" w:rsidRPr="00A23740">
              <w:rPr>
                <w:rStyle w:val="MaviChar"/>
              </w:rPr>
              <w:t>ve iflas dairesi</w:t>
            </w:r>
            <w:r w:rsidR="00155AF4" w:rsidRPr="00A23740">
              <w:rPr>
                <w:b/>
                <w:bCs/>
                <w:color w:val="0000FF"/>
                <w:szCs w:val="24"/>
                <w:lang w:eastAsia="x-none"/>
              </w:rPr>
              <w:t xml:space="preserve"> tarafından ödeme emri düzenlenir. Ödeme </w:t>
            </w:r>
            <w:r w:rsidR="00155AF4" w:rsidRPr="00A23740">
              <w:rPr>
                <w:b/>
                <w:bCs/>
                <w:color w:val="0000FF"/>
                <w:szCs w:val="24"/>
                <w:lang w:val="x-none" w:eastAsia="x-none"/>
              </w:rPr>
              <w:t xml:space="preserve">emri ile takibin dayanağı olan alacağa veya rehnin kurulduğuna ilişkin belge, borçluya ve rehinli malın maliki olan üçüncü kişiye tebliğ edilir. </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(2) Talebin kabul edilmemesi h</w:t>
            </w:r>
            <w:r w:rsidR="00F906A7" w:rsidRPr="00A23740">
              <w:rPr>
                <w:b/>
                <w:bCs/>
                <w:color w:val="0000FF"/>
                <w:szCs w:val="24"/>
                <w:lang w:eastAsia="x-none"/>
              </w:rPr>
              <w:t>â</w:t>
            </w:r>
            <w:r w:rsidRPr="00A23740">
              <w:rPr>
                <w:b/>
                <w:bCs/>
                <w:color w:val="0000FF"/>
                <w:szCs w:val="24"/>
                <w:lang w:val="x-none" w:eastAsia="x-none"/>
              </w:rPr>
              <w:t>linde verilen karar, gerekçesiyle birlikte</w:t>
            </w:r>
            <w:r w:rsidR="00E23F7E" w:rsidRPr="0080239A">
              <w:rPr>
                <w:b/>
                <w:bCs/>
                <w:color w:val="0000FF"/>
                <w:szCs w:val="24"/>
                <w:lang w:val="x-none" w:eastAsia="x-none"/>
              </w:rPr>
              <w:t>,</w:t>
            </w:r>
            <w:r w:rsidRPr="00A23740">
              <w:rPr>
                <w:b/>
                <w:bCs/>
                <w:color w:val="0000FF"/>
                <w:szCs w:val="24"/>
                <w:lang w:val="x-none" w:eastAsia="x-none"/>
              </w:rPr>
              <w:t xml:space="preserve"> tutanağa yazılır ve derh</w:t>
            </w:r>
            <w:r w:rsidR="00DF22A1" w:rsidRPr="00A23740">
              <w:rPr>
                <w:b/>
                <w:bCs/>
                <w:color w:val="0000FF"/>
                <w:szCs w:val="24"/>
                <w:lang w:eastAsia="x-none"/>
              </w:rPr>
              <w:t>â</w:t>
            </w:r>
            <w:r w:rsidRPr="00A23740">
              <w:rPr>
                <w:b/>
                <w:bCs/>
                <w:color w:val="0000FF"/>
                <w:szCs w:val="24"/>
                <w:lang w:val="x-none" w:eastAsia="x-none"/>
              </w:rPr>
              <w:t>l alacaklıya tebliğ edilir. Bu işlemler, en geç üç gün içinde yerine getirilir.</w:t>
            </w:r>
          </w:p>
          <w:p w:rsidR="00155AF4" w:rsidRPr="00A23740" w:rsidRDefault="00155AF4" w:rsidP="009431FF">
            <w:pPr>
              <w:rPr>
                <w:b/>
                <w:bCs/>
                <w:color w:val="4BACC6"/>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(3) Ödeme emrinde aşağıdaki hususlar bulunur:</w:t>
            </w: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a) Alacaklının veya vekilinin banka hesap numarası hariç olmak üzere, takip talebinde yer alan hususlar.</w:t>
            </w:r>
          </w:p>
          <w:p w:rsidR="00537077" w:rsidRPr="00A23740" w:rsidRDefault="00537077"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b) Ödeme emrinin tebliğinden itibaren iki hafta içinde borcun ödenmesi ihtarı.</w:t>
            </w:r>
          </w:p>
          <w:p w:rsidR="00537077" w:rsidRPr="00A23740" w:rsidRDefault="00537077"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c) Ödeme emrine itiraz olunmaz ve borç ödenmezse rehnin paraya çevrileceği ihtarı.</w:t>
            </w:r>
          </w:p>
          <w:p w:rsidR="00537077" w:rsidRPr="00A23740" w:rsidRDefault="00537077"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ç) Rehin hakkına açıkça itiraz edilmezse, rehin hakkının bu takip bakımından kabul edilmiş sayılacağı. </w:t>
            </w:r>
          </w:p>
          <w:p w:rsidR="00537077" w:rsidRPr="00A23740" w:rsidRDefault="00537077" w:rsidP="009431FF">
            <w:pPr>
              <w:tabs>
                <w:tab w:val="left" w:pos="567"/>
              </w:tabs>
              <w:rPr>
                <w:b/>
                <w:bCs/>
                <w:color w:val="0000FF"/>
                <w:szCs w:val="24"/>
                <w:lang w:val="x-none" w:eastAsia="x-none"/>
              </w:rPr>
            </w:pPr>
          </w:p>
          <w:p w:rsidR="00165DF3"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d) Sadece rehin hakkına itiraz edildiği takdirde</w:t>
            </w:r>
            <w:r w:rsidRPr="00A23740">
              <w:rPr>
                <w:rStyle w:val="KIRMIZIChar"/>
                <w:rFonts w:eastAsia="Calibri"/>
              </w:rPr>
              <w:t>,</w:t>
            </w:r>
            <w:r w:rsidRPr="00A23740">
              <w:rPr>
                <w:b/>
                <w:bCs/>
                <w:color w:val="0000FF"/>
                <w:szCs w:val="24"/>
                <w:lang w:val="x-none" w:eastAsia="x-none"/>
              </w:rPr>
              <w:t xml:space="preserve"> alacaklının</w:t>
            </w:r>
            <w:r w:rsidRPr="00A23740">
              <w:rPr>
                <w:rStyle w:val="KIRMIZIChar"/>
                <w:rFonts w:eastAsia="Calibri"/>
              </w:rPr>
              <w:t>,</w:t>
            </w:r>
            <w:r w:rsidRPr="00A23740">
              <w:rPr>
                <w:b/>
                <w:bCs/>
                <w:color w:val="0000FF"/>
                <w:szCs w:val="24"/>
                <w:lang w:val="x-none" w:eastAsia="x-none"/>
              </w:rPr>
              <w:t xml:space="preserve"> rehnin paraya çevrilmesi yoluyla takipten vazgeçerek, takibe haciz yoluyla devam edil</w:t>
            </w:r>
            <w:r w:rsidR="00165DF3" w:rsidRPr="00A23740">
              <w:rPr>
                <w:b/>
                <w:bCs/>
                <w:color w:val="0000FF"/>
                <w:szCs w:val="24"/>
                <w:lang w:val="x-none" w:eastAsia="x-none"/>
              </w:rPr>
              <w:t>mesini isteyebileceği.</w:t>
            </w:r>
          </w:p>
          <w:p w:rsidR="00537077" w:rsidRPr="00A23740" w:rsidRDefault="00537077" w:rsidP="009431FF">
            <w:pPr>
              <w:tabs>
                <w:tab w:val="left" w:pos="567"/>
              </w:tabs>
              <w:rPr>
                <w:b/>
                <w:bCs/>
                <w:color w:val="0000FF"/>
                <w:szCs w:val="24"/>
                <w:lang w:val="x-none" w:eastAsia="x-none"/>
              </w:rPr>
            </w:pPr>
          </w:p>
          <w:p w:rsidR="00165DF3" w:rsidRPr="00A23740" w:rsidRDefault="00165DF3" w:rsidP="009431FF">
            <w:pPr>
              <w:tabs>
                <w:tab w:val="left" w:pos="567"/>
              </w:tabs>
              <w:rPr>
                <w:b/>
                <w:bCs/>
                <w:color w:val="0000FF"/>
                <w:szCs w:val="24"/>
                <w:lang w:eastAsia="x-none"/>
              </w:rPr>
            </w:pPr>
            <w:r w:rsidRPr="00A23740">
              <w:rPr>
                <w:b/>
                <w:bCs/>
                <w:color w:val="0000FF"/>
                <w:szCs w:val="24"/>
                <w:lang w:eastAsia="x-none"/>
              </w:rPr>
              <w:t>e)</w:t>
            </w:r>
            <w:r w:rsidR="00155AF4" w:rsidRPr="00A23740">
              <w:rPr>
                <w:b/>
                <w:bCs/>
                <w:color w:val="0000FF"/>
                <w:szCs w:val="24"/>
                <w:lang w:val="x-none" w:eastAsia="x-none"/>
              </w:rPr>
              <w:t xml:space="preserve"> </w:t>
            </w:r>
            <w:r w:rsidRPr="00A23740">
              <w:rPr>
                <w:b/>
                <w:bCs/>
                <w:color w:val="0000FF"/>
                <w:szCs w:val="24"/>
                <w:lang w:eastAsia="x-none"/>
              </w:rPr>
              <w:t>Alacaklının talebi üzerine takibe haciz yoluyla devam edilmesi h</w:t>
            </w:r>
            <w:r w:rsidR="001A019A" w:rsidRPr="00A23740">
              <w:rPr>
                <w:b/>
                <w:bCs/>
                <w:color w:val="0000FF"/>
                <w:szCs w:val="24"/>
                <w:lang w:eastAsia="x-none"/>
              </w:rPr>
              <w:t>â</w:t>
            </w:r>
            <w:r w:rsidRPr="00A23740">
              <w:rPr>
                <w:b/>
                <w:bCs/>
                <w:color w:val="0000FF"/>
                <w:szCs w:val="24"/>
                <w:lang w:eastAsia="x-none"/>
              </w:rPr>
              <w:t xml:space="preserve">linde icra </w:t>
            </w:r>
            <w:r w:rsidR="00E23F7E" w:rsidRPr="00D6648F">
              <w:rPr>
                <w:b/>
                <w:bCs/>
                <w:color w:val="0000FF"/>
                <w:szCs w:val="24"/>
                <w:lang w:eastAsia="x-none"/>
              </w:rPr>
              <w:t>ve iflas</w:t>
            </w:r>
            <w:r w:rsidR="00E23F7E" w:rsidRPr="00A23740">
              <w:rPr>
                <w:b/>
                <w:bCs/>
                <w:color w:val="538135"/>
                <w:szCs w:val="24"/>
                <w:lang w:eastAsia="x-none"/>
              </w:rPr>
              <w:t xml:space="preserve"> </w:t>
            </w:r>
            <w:r w:rsidRPr="00A23740">
              <w:rPr>
                <w:b/>
                <w:bCs/>
                <w:color w:val="0000FF"/>
                <w:szCs w:val="24"/>
                <w:lang w:eastAsia="x-none"/>
              </w:rPr>
              <w:t>dairesince gönderilecek muhtıranın tebliğinden itibaren iki hafta içinde borçlunun</w:t>
            </w:r>
            <w:r w:rsidR="001A019A" w:rsidRPr="00A23740">
              <w:rPr>
                <w:b/>
                <w:bCs/>
                <w:color w:val="0000FF"/>
                <w:szCs w:val="24"/>
                <w:lang w:eastAsia="x-none"/>
              </w:rPr>
              <w:t xml:space="preserve"> </w:t>
            </w:r>
            <w:r w:rsidR="001A019A" w:rsidRPr="00D6648F">
              <w:rPr>
                <w:rStyle w:val="KonuBalChar"/>
                <w:rFonts w:eastAsia="Calibri"/>
                <w:color w:val="0000FF"/>
              </w:rPr>
              <w:t>154</w:t>
            </w:r>
            <w:r w:rsidR="001A019A" w:rsidRPr="00A23740">
              <w:rPr>
                <w:rStyle w:val="KonuBalChar"/>
                <w:rFonts w:eastAsia="Calibri"/>
              </w:rPr>
              <w:t xml:space="preserve"> </w:t>
            </w:r>
            <w:r w:rsidR="001A019A" w:rsidRPr="00D6648F">
              <w:rPr>
                <w:rStyle w:val="KonuBalChar"/>
                <w:rFonts w:eastAsia="Calibri"/>
                <w:color w:val="0000FF"/>
              </w:rPr>
              <w:t>üncü</w:t>
            </w:r>
            <w:r w:rsidRPr="00A23740">
              <w:rPr>
                <w:b/>
                <w:bCs/>
                <w:color w:val="0000FF"/>
                <w:szCs w:val="24"/>
                <w:lang w:eastAsia="x-none"/>
              </w:rPr>
              <w:t xml:space="preserve"> maddeye göre mal beyanında bulunması gerektiği, aksi tak</w:t>
            </w:r>
            <w:r w:rsidR="00397EF8" w:rsidRPr="00A23740">
              <w:rPr>
                <w:b/>
                <w:bCs/>
                <w:color w:val="0000FF"/>
                <w:szCs w:val="24"/>
                <w:lang w:eastAsia="x-none"/>
              </w:rPr>
              <w:t>d</w:t>
            </w:r>
            <w:r w:rsidRPr="00A23740">
              <w:rPr>
                <w:b/>
                <w:bCs/>
                <w:color w:val="0000FF"/>
                <w:szCs w:val="24"/>
                <w:lang w:eastAsia="x-none"/>
              </w:rPr>
              <w:t xml:space="preserve">irde </w:t>
            </w:r>
            <w:r w:rsidR="001A019A" w:rsidRPr="00D6648F">
              <w:rPr>
                <w:rStyle w:val="KonuBalChar"/>
                <w:rFonts w:eastAsia="Calibri"/>
                <w:color w:val="0000FF"/>
              </w:rPr>
              <w:t>510</w:t>
            </w:r>
            <w:r w:rsidR="001A019A" w:rsidRPr="00A23740">
              <w:rPr>
                <w:rStyle w:val="KonuBalChar"/>
                <w:rFonts w:eastAsia="Calibri"/>
              </w:rPr>
              <w:t xml:space="preserve"> </w:t>
            </w:r>
            <w:r w:rsidR="001A019A" w:rsidRPr="00D6648F">
              <w:rPr>
                <w:rStyle w:val="KonuBalChar"/>
                <w:rFonts w:eastAsia="Calibri"/>
                <w:color w:val="0000FF"/>
              </w:rPr>
              <w:t>uncu</w:t>
            </w:r>
            <w:r w:rsidR="001A019A" w:rsidRPr="00A23740">
              <w:rPr>
                <w:rStyle w:val="MaviChar"/>
              </w:rPr>
              <w:t xml:space="preserve"> </w:t>
            </w:r>
            <w:r w:rsidRPr="00A23740">
              <w:rPr>
                <w:b/>
                <w:bCs/>
                <w:color w:val="0000FF"/>
                <w:szCs w:val="24"/>
                <w:lang w:eastAsia="x-none"/>
              </w:rPr>
              <w:t xml:space="preserve">maddenin birinci fıkrası uyarınca disiplin </w:t>
            </w:r>
            <w:r w:rsidR="001647D1" w:rsidRPr="00D6648F">
              <w:rPr>
                <w:rStyle w:val="MaviChar"/>
                <w:bCs w:val="0"/>
                <w:lang w:val="tr-TR"/>
              </w:rPr>
              <w:t>hapsiyle</w:t>
            </w:r>
            <w:r w:rsidRPr="00A23740">
              <w:rPr>
                <w:b/>
                <w:bCs/>
                <w:color w:val="0000FF"/>
                <w:szCs w:val="24"/>
                <w:lang w:eastAsia="x-none"/>
              </w:rPr>
              <w:t xml:space="preserve"> cezalandırılacağı; </w:t>
            </w:r>
            <w:r w:rsidRPr="00A23740">
              <w:rPr>
                <w:rStyle w:val="MaviChar"/>
                <w:lang w:val="tr-TR"/>
              </w:rPr>
              <w:t xml:space="preserve">borçlunun, icra </w:t>
            </w:r>
            <w:r w:rsidRPr="00A23740">
              <w:rPr>
                <w:rStyle w:val="MaviChar"/>
              </w:rPr>
              <w:t>ve iflas</w:t>
            </w:r>
            <w:r w:rsidRPr="00A23740">
              <w:rPr>
                <w:rStyle w:val="MaviChar"/>
                <w:lang w:val="tr-TR"/>
              </w:rPr>
              <w:t xml:space="preserve"> dairesine </w:t>
            </w:r>
            <w:r w:rsidRPr="00A23740">
              <w:rPr>
                <w:rStyle w:val="MaviChar"/>
              </w:rPr>
              <w:t xml:space="preserve">yaptığı </w:t>
            </w:r>
            <w:r w:rsidRPr="00A23740">
              <w:rPr>
                <w:rStyle w:val="MaviChar"/>
                <w:lang w:val="tr-TR"/>
              </w:rPr>
              <w:t xml:space="preserve">mal </w:t>
            </w:r>
            <w:r w:rsidRPr="00A23740">
              <w:rPr>
                <w:rStyle w:val="MaviChar"/>
                <w:bCs w:val="0"/>
              </w:rPr>
              <w:t>beyanında</w:t>
            </w:r>
            <w:r w:rsidRPr="00A23740">
              <w:rPr>
                <w:rStyle w:val="MaviChar"/>
                <w:lang w:val="tr-TR"/>
              </w:rPr>
              <w:t xml:space="preserve"> </w:t>
            </w:r>
            <w:r w:rsidRPr="00A23740">
              <w:rPr>
                <w:rStyle w:val="MaviChar"/>
              </w:rPr>
              <w:t>malı olmadığını</w:t>
            </w:r>
            <w:r w:rsidRPr="00A23740">
              <w:rPr>
                <w:rFonts w:eastAsia="Times New Roman"/>
                <w:b/>
                <w:color w:val="0000FF"/>
                <w:szCs w:val="24"/>
                <w:lang w:eastAsia="tr-TR"/>
              </w:rPr>
              <w:t xml:space="preserve"> </w:t>
            </w:r>
            <w:r w:rsidRPr="00A23740">
              <w:rPr>
                <w:rStyle w:val="MaviChar"/>
              </w:rPr>
              <w:t>bildirmesi</w:t>
            </w:r>
            <w:r w:rsidRPr="00A23740">
              <w:rPr>
                <w:rStyle w:val="MaviChar"/>
                <w:lang w:val="tr-TR"/>
              </w:rPr>
              <w:t xml:space="preserve"> veya </w:t>
            </w:r>
            <w:r w:rsidRPr="00A23740">
              <w:rPr>
                <w:rStyle w:val="MaviChar"/>
              </w:rPr>
              <w:t>borcuna yetecek mal</w:t>
            </w:r>
            <w:r w:rsidRPr="00A23740">
              <w:rPr>
                <w:rStyle w:val="MaviChar"/>
                <w:lang w:val="tr-TR"/>
              </w:rPr>
              <w:t>ı göstermemesi</w:t>
            </w:r>
            <w:r w:rsidRPr="00A23740">
              <w:rPr>
                <w:rStyle w:val="MaviChar"/>
              </w:rPr>
              <w:t xml:space="preserve"> </w:t>
            </w:r>
            <w:r w:rsidRPr="00A23740">
              <w:rPr>
                <w:rStyle w:val="MaviChar"/>
                <w:lang w:val="tr-TR"/>
              </w:rPr>
              <w:t xml:space="preserve">ya da </w:t>
            </w:r>
            <w:r w:rsidRPr="00A23740">
              <w:rPr>
                <w:rStyle w:val="MaviChar"/>
              </w:rPr>
              <w:t>mal</w:t>
            </w:r>
            <w:r w:rsidRPr="00A23740">
              <w:rPr>
                <w:rStyle w:val="MaviChar"/>
                <w:lang w:val="tr-TR"/>
              </w:rPr>
              <w:t xml:space="preserve"> </w:t>
            </w:r>
            <w:r w:rsidRPr="00A23740">
              <w:rPr>
                <w:rStyle w:val="MaviChar"/>
                <w:bCs w:val="0"/>
              </w:rPr>
              <w:t>beyanında</w:t>
            </w:r>
            <w:r w:rsidRPr="00A23740">
              <w:rPr>
                <w:rStyle w:val="MaviChar"/>
                <w:bCs w:val="0"/>
                <w:lang w:val="tr-TR"/>
              </w:rPr>
              <w:t>n</w:t>
            </w:r>
            <w:r w:rsidRPr="00A23740">
              <w:rPr>
                <w:rStyle w:val="MaviChar"/>
                <w:b w:val="0"/>
                <w:bCs w:val="0"/>
              </w:rPr>
              <w:t xml:space="preserve"> </w:t>
            </w:r>
            <w:r w:rsidRPr="00A23740">
              <w:rPr>
                <w:rStyle w:val="MaviChar"/>
              </w:rPr>
              <w:t>kaçınması h</w:t>
            </w:r>
            <w:r w:rsidR="001A019A" w:rsidRPr="00A23740">
              <w:rPr>
                <w:rStyle w:val="MaviChar"/>
                <w:lang w:val="tr-TR"/>
              </w:rPr>
              <w:t>â</w:t>
            </w:r>
            <w:r w:rsidRPr="00A23740">
              <w:rPr>
                <w:rStyle w:val="MaviChar"/>
              </w:rPr>
              <w:t>linde</w:t>
            </w:r>
            <w:r w:rsidR="00E23F7E" w:rsidRPr="00A23740">
              <w:rPr>
                <w:rStyle w:val="MaviChar"/>
                <w:color w:val="538135"/>
              </w:rPr>
              <w:t>,</w:t>
            </w:r>
            <w:r w:rsidRPr="00A23740">
              <w:rPr>
                <w:rStyle w:val="MaviChar"/>
              </w:rPr>
              <w:t xml:space="preserve"> sonradan kazandığı malları ile</w:t>
            </w:r>
            <w:r w:rsidRPr="00A23740">
              <w:rPr>
                <w:rStyle w:val="MaviChar"/>
                <w:lang w:val="tr-TR"/>
              </w:rPr>
              <w:t xml:space="preserve"> </w:t>
            </w:r>
            <w:r w:rsidRPr="00A23740">
              <w:rPr>
                <w:rStyle w:val="MaviChar"/>
              </w:rPr>
              <w:t>kazancı</w:t>
            </w:r>
            <w:r w:rsidRPr="00A23740">
              <w:rPr>
                <w:rStyle w:val="MaviChar"/>
                <w:lang w:val="tr-TR"/>
              </w:rPr>
              <w:t xml:space="preserve">nda ve </w:t>
            </w:r>
            <w:r w:rsidRPr="00A23740">
              <w:rPr>
                <w:rStyle w:val="MaviChar"/>
              </w:rPr>
              <w:t xml:space="preserve">gelirinde ortaya çıkan artışları kazanma veya artış tarihinden itibaren iki hafta içinde </w:t>
            </w:r>
            <w:r w:rsidR="001A019A" w:rsidRPr="00D6648F">
              <w:rPr>
                <w:rStyle w:val="KonuBalChar"/>
                <w:rFonts w:eastAsia="Calibri"/>
                <w:color w:val="0000FF"/>
              </w:rPr>
              <w:t>154</w:t>
            </w:r>
            <w:r w:rsidR="001A019A" w:rsidRPr="00A23740">
              <w:rPr>
                <w:rStyle w:val="KonuBalChar"/>
                <w:rFonts w:eastAsia="Calibri"/>
              </w:rPr>
              <w:t xml:space="preserve"> </w:t>
            </w:r>
            <w:r w:rsidR="001A019A" w:rsidRPr="00D6648F">
              <w:rPr>
                <w:rStyle w:val="KonuBalChar"/>
                <w:rFonts w:eastAsia="Calibri"/>
                <w:color w:val="0000FF"/>
              </w:rPr>
              <w:t>üncü</w:t>
            </w:r>
            <w:r w:rsidR="001A019A" w:rsidRPr="00A23740">
              <w:rPr>
                <w:b/>
                <w:bCs/>
                <w:color w:val="0000FF"/>
                <w:szCs w:val="24"/>
                <w:lang w:eastAsia="x-none"/>
              </w:rPr>
              <w:t xml:space="preserve"> </w:t>
            </w:r>
            <w:r w:rsidRPr="00A23740">
              <w:rPr>
                <w:rStyle w:val="MaviChar"/>
              </w:rPr>
              <w:t xml:space="preserve"> maddeye göre icra </w:t>
            </w:r>
            <w:r w:rsidR="00E23F7E" w:rsidRPr="00D6648F">
              <w:rPr>
                <w:rStyle w:val="MaviChar"/>
              </w:rPr>
              <w:t>ve</w:t>
            </w:r>
            <w:r w:rsidR="00E23F7E" w:rsidRPr="00A23740">
              <w:rPr>
                <w:rStyle w:val="MaviChar"/>
                <w:color w:val="538135"/>
              </w:rPr>
              <w:t xml:space="preserve"> </w:t>
            </w:r>
            <w:r w:rsidR="00E23F7E" w:rsidRPr="00D6648F">
              <w:rPr>
                <w:rStyle w:val="MaviChar"/>
              </w:rPr>
              <w:t>iflas</w:t>
            </w:r>
            <w:r w:rsidR="00E23F7E" w:rsidRPr="00A23740">
              <w:rPr>
                <w:rStyle w:val="MaviChar"/>
                <w:color w:val="538135"/>
              </w:rPr>
              <w:t xml:space="preserve"> </w:t>
            </w:r>
            <w:r w:rsidRPr="00A23740">
              <w:rPr>
                <w:rStyle w:val="MaviChar"/>
              </w:rPr>
              <w:t>dairesine bildirmesi gerektiği</w:t>
            </w:r>
            <w:r w:rsidR="00AF52D2" w:rsidRPr="00A23740">
              <w:rPr>
                <w:rStyle w:val="MaviChar"/>
              </w:rPr>
              <w:t>,</w:t>
            </w:r>
            <w:r w:rsidRPr="00A23740">
              <w:rPr>
                <w:rStyle w:val="MaviChar"/>
              </w:rPr>
              <w:t xml:space="preserve"> aksi takdirde</w:t>
            </w:r>
            <w:r w:rsidR="001A019A" w:rsidRPr="00A23740">
              <w:rPr>
                <w:rStyle w:val="MaviChar"/>
                <w:lang w:val="tr-TR"/>
              </w:rPr>
              <w:t xml:space="preserve"> </w:t>
            </w:r>
            <w:r w:rsidR="001A019A" w:rsidRPr="00D6648F">
              <w:rPr>
                <w:rStyle w:val="KonuBalChar"/>
                <w:rFonts w:eastAsia="Calibri"/>
                <w:color w:val="0000FF"/>
              </w:rPr>
              <w:t>510</w:t>
            </w:r>
            <w:r w:rsidR="001A019A" w:rsidRPr="00A23740">
              <w:rPr>
                <w:rStyle w:val="KonuBalChar"/>
                <w:rFonts w:eastAsia="Calibri"/>
              </w:rPr>
              <w:t xml:space="preserve"> </w:t>
            </w:r>
            <w:r w:rsidR="001A019A" w:rsidRPr="00D6648F">
              <w:rPr>
                <w:rStyle w:val="KonuBalChar"/>
                <w:rFonts w:eastAsia="Calibri"/>
                <w:color w:val="0000FF"/>
              </w:rPr>
              <w:t>uncu</w:t>
            </w:r>
            <w:r w:rsidRPr="00A23740">
              <w:rPr>
                <w:rStyle w:val="MaviChar"/>
              </w:rPr>
              <w:t xml:space="preserve"> maddenin ikinci fıkrası uyarınca disiplin hapsi</w:t>
            </w:r>
            <w:r w:rsidR="00E23F7E" w:rsidRPr="00D6648F">
              <w:rPr>
                <w:rStyle w:val="MaviChar"/>
              </w:rPr>
              <w:t>yle</w:t>
            </w:r>
            <w:r w:rsidRPr="00A23740">
              <w:rPr>
                <w:rStyle w:val="MaviChar"/>
              </w:rPr>
              <w:t xml:space="preserve"> </w:t>
            </w:r>
            <w:r w:rsidR="00AF52D2" w:rsidRPr="00A23740">
              <w:rPr>
                <w:rStyle w:val="MaviChar"/>
              </w:rPr>
              <w:t>cezalandırılacağı,</w:t>
            </w:r>
            <w:r w:rsidRPr="00A23740">
              <w:rPr>
                <w:rStyle w:val="MaviChar"/>
              </w:rPr>
              <w:t xml:space="preserve"> gerçeğe aykırı bildirimde bulunması h</w:t>
            </w:r>
            <w:r w:rsidR="001A019A" w:rsidRPr="00A23740">
              <w:rPr>
                <w:rStyle w:val="MaviChar"/>
                <w:lang w:val="tr-TR"/>
              </w:rPr>
              <w:t>â</w:t>
            </w:r>
            <w:r w:rsidRPr="00A23740">
              <w:rPr>
                <w:rStyle w:val="MaviChar"/>
              </w:rPr>
              <w:t xml:space="preserve">linde ise </w:t>
            </w:r>
            <w:r w:rsidR="001A019A" w:rsidRPr="00D6648F">
              <w:rPr>
                <w:rStyle w:val="KonuBalChar"/>
                <w:rFonts w:eastAsia="Calibri"/>
                <w:color w:val="0000FF"/>
              </w:rPr>
              <w:t>518</w:t>
            </w:r>
            <w:r w:rsidR="001A019A" w:rsidRPr="00A23740">
              <w:rPr>
                <w:rStyle w:val="KonuBalChar"/>
                <w:rFonts w:eastAsia="Calibri"/>
              </w:rPr>
              <w:t xml:space="preserve"> </w:t>
            </w:r>
            <w:r w:rsidR="001A019A" w:rsidRPr="00D6648F">
              <w:rPr>
                <w:rStyle w:val="KonuBalChar"/>
                <w:rFonts w:eastAsia="Calibri"/>
                <w:color w:val="0000FF"/>
              </w:rPr>
              <w:t>inci</w:t>
            </w:r>
            <w:r w:rsidR="001A019A" w:rsidRPr="00A23740">
              <w:rPr>
                <w:rStyle w:val="MaviChar"/>
                <w:lang w:val="tr-TR"/>
              </w:rPr>
              <w:t xml:space="preserve"> </w:t>
            </w:r>
            <w:r w:rsidRPr="00A23740">
              <w:rPr>
                <w:rStyle w:val="MaviChar"/>
              </w:rPr>
              <w:t>madde uyarınca hapis cezası</w:t>
            </w:r>
            <w:r w:rsidR="00E23F7E" w:rsidRPr="00D6648F">
              <w:rPr>
                <w:rStyle w:val="MaviChar"/>
              </w:rPr>
              <w:t>yla</w:t>
            </w:r>
            <w:r w:rsidRPr="00A23740">
              <w:rPr>
                <w:rStyle w:val="MaviChar"/>
              </w:rPr>
              <w:t xml:space="preserve"> cezalandırılacağı.</w:t>
            </w:r>
          </w:p>
          <w:p w:rsidR="00165DF3" w:rsidRPr="00A23740" w:rsidRDefault="00165DF3" w:rsidP="009431FF">
            <w:pPr>
              <w:tabs>
                <w:tab w:val="left" w:pos="567"/>
              </w:tabs>
              <w:rPr>
                <w:b/>
                <w:bCs/>
                <w:color w:val="0000FF"/>
                <w:szCs w:val="24"/>
                <w:lang w:eastAsia="x-none"/>
              </w:rPr>
            </w:pPr>
          </w:p>
          <w:p w:rsidR="00155AF4"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(4) İcra </w:t>
            </w:r>
            <w:r w:rsidRPr="00A23740">
              <w:rPr>
                <w:rStyle w:val="MaviChar"/>
              </w:rPr>
              <w:t>ve iflas</w:t>
            </w:r>
            <w:r w:rsidRPr="00A23740">
              <w:rPr>
                <w:b/>
                <w:bCs/>
                <w:color w:val="0000FF"/>
                <w:szCs w:val="24"/>
                <w:lang w:eastAsia="x-none"/>
              </w:rPr>
              <w:t xml:space="preserve"> </w:t>
            </w:r>
            <w:r w:rsidRPr="00A23740">
              <w:rPr>
                <w:b/>
                <w:bCs/>
                <w:color w:val="0000FF"/>
                <w:szCs w:val="24"/>
                <w:lang w:val="x-none" w:eastAsia="x-none"/>
              </w:rPr>
              <w:t>dairesi rehnin paraya çevrilmesi yoluyla takip başlatıldığı hususunu</w:t>
            </w:r>
            <w:r w:rsidRPr="00A23740">
              <w:rPr>
                <w:rStyle w:val="MaviChar"/>
              </w:rPr>
              <w:t>,</w:t>
            </w:r>
            <w:r w:rsidRPr="00A23740">
              <w:rPr>
                <w:b/>
                <w:bCs/>
                <w:color w:val="0000FF"/>
                <w:szCs w:val="24"/>
                <w:lang w:val="x-none" w:eastAsia="x-none"/>
              </w:rPr>
              <w:t xml:space="preserve"> rehinli mal üzerinde sonra gelen rehin hakkı sahibine yazılı olarak bildirir.</w:t>
            </w:r>
          </w:p>
          <w:p w:rsidR="00634220" w:rsidRPr="00A23740" w:rsidRDefault="00634220" w:rsidP="009431FF">
            <w:pPr>
              <w:tabs>
                <w:tab w:val="left" w:pos="567"/>
              </w:tabs>
              <w:rPr>
                <w:rFonts w:eastAsia="Times New Roman"/>
                <w:b/>
                <w:color w:val="0000FF"/>
                <w:szCs w:val="24"/>
                <w:lang w:eastAsia="tr-TR"/>
              </w:rPr>
            </w:pPr>
          </w:p>
        </w:tc>
      </w:tr>
      <w:tr w:rsidR="00155AF4" w:rsidRPr="00A23740" w:rsidTr="009431FF">
        <w:tc>
          <w:tcPr>
            <w:tcW w:w="5000" w:type="pct"/>
            <w:gridSpan w:val="2"/>
            <w:shd w:val="clear" w:color="auto" w:fill="DEEAF6"/>
          </w:tcPr>
          <w:p w:rsidR="003F6963" w:rsidRPr="00A23740" w:rsidRDefault="003F6963" w:rsidP="009431FF">
            <w:pPr>
              <w:tabs>
                <w:tab w:val="left" w:pos="567"/>
              </w:tabs>
              <w:ind w:firstLine="709"/>
              <w:rPr>
                <w:b/>
                <w:bCs/>
                <w:szCs w:val="24"/>
                <w:lang w:eastAsia="x-none"/>
              </w:rPr>
            </w:pPr>
          </w:p>
          <w:p w:rsidR="007F2779" w:rsidRPr="00A23740" w:rsidRDefault="00FC7A09" w:rsidP="009431FF">
            <w:pPr>
              <w:tabs>
                <w:tab w:val="left" w:pos="567"/>
              </w:tabs>
              <w:ind w:firstLine="709"/>
              <w:rPr>
                <w:bCs/>
                <w:color w:val="7030A0"/>
                <w:szCs w:val="24"/>
                <w:lang w:val="x-none" w:eastAsia="x-none"/>
              </w:rPr>
            </w:pPr>
            <w:r w:rsidRPr="00A23740">
              <w:rPr>
                <w:b/>
                <w:bCs/>
                <w:szCs w:val="24"/>
                <w:lang w:eastAsia="x-none"/>
              </w:rPr>
              <w:t>MADDE 115</w:t>
            </w:r>
            <w:r w:rsidR="00155AF4" w:rsidRPr="00A23740">
              <w:rPr>
                <w:b/>
                <w:bCs/>
                <w:szCs w:val="24"/>
                <w:lang w:eastAsia="x-none"/>
              </w:rPr>
              <w:t xml:space="preserve">- </w:t>
            </w:r>
            <w:r w:rsidR="00A6754F" w:rsidRPr="00A23740">
              <w:rPr>
                <w:color w:val="000000"/>
                <w:szCs w:val="26"/>
              </w:rPr>
              <w:t xml:space="preserve">Maddeyle, rehnin paraya çevrilmesi yoluyla ilamsız takipte ödeme emri düzenlenmektedir. </w:t>
            </w:r>
            <w:r w:rsidR="007F2779" w:rsidRPr="00A23740">
              <w:rPr>
                <w:color w:val="000000"/>
                <w:szCs w:val="26"/>
              </w:rPr>
              <w:t>Taslağın</w:t>
            </w:r>
            <w:r w:rsidR="001A019A" w:rsidRPr="00A23740">
              <w:rPr>
                <w:color w:val="000000"/>
                <w:szCs w:val="26"/>
              </w:rPr>
              <w:t xml:space="preserve"> </w:t>
            </w:r>
            <w:r w:rsidR="001A019A" w:rsidRPr="00D6648F">
              <w:rPr>
                <w:color w:val="000000"/>
                <w:szCs w:val="26"/>
              </w:rPr>
              <w:t>115</w:t>
            </w:r>
            <w:r w:rsidR="001A019A" w:rsidRPr="00D6648F">
              <w:rPr>
                <w:b/>
                <w:bCs/>
                <w:color w:val="000000"/>
                <w:szCs w:val="26"/>
              </w:rPr>
              <w:t xml:space="preserve"> </w:t>
            </w:r>
            <w:r w:rsidR="001A019A" w:rsidRPr="00D6648F">
              <w:rPr>
                <w:color w:val="000000"/>
                <w:szCs w:val="26"/>
              </w:rPr>
              <w:t>inci</w:t>
            </w:r>
            <w:r w:rsidR="007F2779" w:rsidRPr="00A23740">
              <w:rPr>
                <w:color w:val="000000"/>
                <w:szCs w:val="26"/>
              </w:rPr>
              <w:t xml:space="preserve"> maddesi “Ödeme emri” başlığını taşımakta</w:t>
            </w:r>
            <w:r w:rsidR="00A6754F" w:rsidRPr="00A23740">
              <w:rPr>
                <w:color w:val="000000"/>
                <w:szCs w:val="26"/>
              </w:rPr>
              <w:t xml:space="preserve"> olup</w:t>
            </w:r>
            <w:r w:rsidR="001A019A" w:rsidRPr="00A23740">
              <w:rPr>
                <w:color w:val="000000"/>
                <w:szCs w:val="26"/>
              </w:rPr>
              <w:t>,</w:t>
            </w:r>
            <w:r w:rsidR="00A6754F" w:rsidRPr="00A23740">
              <w:rPr>
                <w:color w:val="000000"/>
                <w:szCs w:val="26"/>
              </w:rPr>
              <w:t xml:space="preserve"> 2004 sayılı Kanunun 146 </w:t>
            </w:r>
            <w:r w:rsidR="007F2779" w:rsidRPr="00A23740">
              <w:rPr>
                <w:color w:val="000000"/>
                <w:szCs w:val="26"/>
              </w:rPr>
              <w:t>ncı maddesine karşılık gelmektedir.</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A6754F" w:rsidRPr="00A23740">
              <w:rPr>
                <w:color w:val="000000"/>
                <w:szCs w:val="26"/>
              </w:rPr>
              <w:t>bir</w:t>
            </w:r>
            <w:r w:rsidRPr="00A23740">
              <w:rPr>
                <w:color w:val="000000"/>
                <w:szCs w:val="26"/>
              </w:rPr>
              <w:t>inci fıkrasına göre takip talebinin bu Kanunda öngörülen şartları içerdiğine karar verilmesi h</w:t>
            </w:r>
            <w:r w:rsidR="00F906A7" w:rsidRPr="00A23740">
              <w:rPr>
                <w:color w:val="000000"/>
                <w:szCs w:val="26"/>
              </w:rPr>
              <w:t>â</w:t>
            </w:r>
            <w:r w:rsidRPr="00A23740">
              <w:rPr>
                <w:color w:val="000000"/>
                <w:szCs w:val="26"/>
              </w:rPr>
              <w:t xml:space="preserve">linde icra ve iflas dairesi tarafından ödeme emri düzenlenir. Bu ödeme emri ile takibin dayanağı olan alacağa veya rehnin kurulduğuna ilişkin belge, borçluya ve rehinli malın maliki olan üçüncü kişiye tebliğ edilir. </w:t>
            </w:r>
          </w:p>
          <w:p w:rsidR="007F2779" w:rsidRPr="00A23740" w:rsidRDefault="007F2779" w:rsidP="009431FF">
            <w:pPr>
              <w:tabs>
                <w:tab w:val="left" w:pos="567"/>
              </w:tabs>
              <w:ind w:firstLine="709"/>
              <w:rPr>
                <w:color w:val="000000"/>
                <w:szCs w:val="26"/>
              </w:rPr>
            </w:pPr>
            <w:r w:rsidRPr="00A23740">
              <w:rPr>
                <w:color w:val="000000"/>
                <w:szCs w:val="26"/>
              </w:rPr>
              <w:t xml:space="preserve">Maddenin </w:t>
            </w:r>
            <w:r w:rsidR="00A6754F" w:rsidRPr="00A23740">
              <w:rPr>
                <w:color w:val="000000"/>
                <w:szCs w:val="26"/>
              </w:rPr>
              <w:t>iki</w:t>
            </w:r>
            <w:r w:rsidRPr="00A23740">
              <w:rPr>
                <w:color w:val="000000"/>
                <w:szCs w:val="26"/>
              </w:rPr>
              <w:t>nci fıkrası ise talebin kabul edilmemesi h</w:t>
            </w:r>
            <w:r w:rsidR="001A019A" w:rsidRPr="00A23740">
              <w:rPr>
                <w:color w:val="000000"/>
                <w:szCs w:val="26"/>
              </w:rPr>
              <w:t>â</w:t>
            </w:r>
            <w:r w:rsidRPr="00A23740">
              <w:rPr>
                <w:color w:val="000000"/>
                <w:szCs w:val="26"/>
              </w:rPr>
              <w:t xml:space="preserve">linde verilen kararın, gerekçesiyle birlikte tutanağa yazılacağını ve </w:t>
            </w:r>
            <w:r w:rsidR="00DF22A1" w:rsidRPr="00A23740">
              <w:rPr>
                <w:szCs w:val="24"/>
              </w:rPr>
              <w:t xml:space="preserve">derhâl </w:t>
            </w:r>
            <w:r w:rsidRPr="00A23740">
              <w:rPr>
                <w:color w:val="000000"/>
                <w:szCs w:val="26"/>
              </w:rPr>
              <w:t>alacaklıya tebliğ edileceğini; bu işlemlerin en geç üç gün içinde yerine getirileceğini öngörmektedir.</w:t>
            </w:r>
          </w:p>
          <w:p w:rsidR="007F2779" w:rsidRPr="00A23740" w:rsidRDefault="007F2779" w:rsidP="009431FF">
            <w:pPr>
              <w:tabs>
                <w:tab w:val="left" w:pos="567"/>
              </w:tabs>
              <w:ind w:firstLine="709"/>
              <w:rPr>
                <w:color w:val="000000"/>
                <w:szCs w:val="26"/>
              </w:rPr>
            </w:pPr>
            <w:r w:rsidRPr="00A23740">
              <w:rPr>
                <w:color w:val="000000"/>
                <w:szCs w:val="26"/>
              </w:rPr>
              <w:t>Üçüncü fıkra ödeme emrinde hangi hususların bulunacağını harf sırasına göre yapılmış bir liste h</w:t>
            </w:r>
            <w:r w:rsidR="001A019A" w:rsidRPr="00A23740">
              <w:rPr>
                <w:color w:val="000000"/>
                <w:szCs w:val="26"/>
              </w:rPr>
              <w:t>â</w:t>
            </w:r>
            <w:r w:rsidRPr="00A23740">
              <w:rPr>
                <w:color w:val="000000"/>
                <w:szCs w:val="26"/>
              </w:rPr>
              <w:t>linde göstermektedir; buna göre ödeme emrinde “alacaklının veya vekilinin banka hesap numarası hariç olmak üzere, takip talebinde yer alan hususlar”, “Ödeme emrinin tebliğinden itibaren iki hafta içinde borcun ödenmesi ihtarı”, “Ödeme emrine itiraz olunmaz ve borç ödenmezse rehnin paraya çevrileceği ihtarı”, “Rehin hakkına açıkça itiraz edilmezse, rehin hakkının bu takip bakımından kabul edilmiş sayılacağ”, “Sadece rehin hakkına itiraz edildiği takdirde, alacaklının, rehnin paraya çevrilmesi yoluyla takipten vazgeçerek, takibe haciz yoluyla devam edilmesini isteyebileceği, bu takdirde borçluya mal beyanında bulunması için bir hafta süre verileceği” hususları yer alacaktır.</w:t>
            </w:r>
          </w:p>
          <w:p w:rsidR="007F2779" w:rsidRPr="00A23740" w:rsidRDefault="007F2779" w:rsidP="009431FF">
            <w:pPr>
              <w:tabs>
                <w:tab w:val="left" w:pos="567"/>
              </w:tabs>
              <w:ind w:firstLine="709"/>
              <w:rPr>
                <w:color w:val="000000"/>
                <w:szCs w:val="26"/>
              </w:rPr>
            </w:pPr>
            <w:r w:rsidRPr="00A23740">
              <w:rPr>
                <w:color w:val="000000"/>
                <w:szCs w:val="26"/>
              </w:rPr>
              <w:t>Maddenin dördüncü fıkrasına göre icra ve iflas dairesi rehnin paraya çevrilmesi yoluyla takip başlatıldığı hususunu, rehinli mal üzerinde sonra gelen rehin hakkı sahibine yazılı olarak bildirecektir.</w:t>
            </w:r>
          </w:p>
          <w:p w:rsidR="00A6754F" w:rsidRPr="00A23740" w:rsidRDefault="007F2779" w:rsidP="009431FF">
            <w:pPr>
              <w:tabs>
                <w:tab w:val="left" w:pos="567"/>
              </w:tabs>
              <w:ind w:firstLine="709"/>
              <w:rPr>
                <w:color w:val="000000"/>
                <w:szCs w:val="26"/>
              </w:rPr>
            </w:pPr>
            <w:r w:rsidRPr="00A23740">
              <w:rPr>
                <w:color w:val="000000"/>
                <w:szCs w:val="26"/>
              </w:rPr>
              <w:t>Bu maddede rehnin paraya çevrilmesi yoluyla takipte alacak veya rehin hakkından birinin belgeye bağlanmış olması yeterli görülmüştür. Rehnin kuruluşuna ilişkin maddi hukuk hükümleri teslim şartlı rehin dışında zaten yazılı şekil şartını içerdiğinden mesele sadece teslim şartlı rehinler bakımından bir önem taşımaktadır.</w:t>
            </w:r>
          </w:p>
          <w:p w:rsidR="007F2779" w:rsidRPr="00A23740" w:rsidRDefault="007F2779"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jc w:val="center"/>
              <w:rPr>
                <w:szCs w:val="24"/>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Sicile bildirim</w:t>
            </w:r>
          </w:p>
          <w:p w:rsidR="00155AF4" w:rsidRPr="00A23740" w:rsidRDefault="00FC7A09" w:rsidP="009431FF">
            <w:pPr>
              <w:tabs>
                <w:tab w:val="left" w:pos="567"/>
              </w:tabs>
              <w:rPr>
                <w:b/>
                <w:bCs/>
                <w:color w:val="0000FF"/>
                <w:szCs w:val="24"/>
                <w:lang w:val="x-none" w:eastAsia="x-none"/>
              </w:rPr>
            </w:pPr>
            <w:r w:rsidRPr="00A23740">
              <w:rPr>
                <w:b/>
                <w:bCs/>
                <w:color w:val="0000FF"/>
                <w:szCs w:val="24"/>
                <w:lang w:val="x-none" w:eastAsia="x-none"/>
              </w:rPr>
              <w:t>MADDE 116</w:t>
            </w:r>
            <w:r w:rsidR="00155AF4" w:rsidRPr="00A23740">
              <w:rPr>
                <w:b/>
                <w:bCs/>
                <w:color w:val="0000FF"/>
                <w:szCs w:val="24"/>
                <w:lang w:val="x-none" w:eastAsia="x-none"/>
              </w:rPr>
              <w:t>- (1) İcra</w:t>
            </w:r>
            <w:r w:rsidR="00155AF4" w:rsidRPr="00A23740">
              <w:rPr>
                <w:b/>
                <w:bCs/>
                <w:color w:val="0000FF"/>
                <w:szCs w:val="24"/>
                <w:lang w:eastAsia="x-none"/>
              </w:rPr>
              <w:t xml:space="preserve"> </w:t>
            </w:r>
            <w:r w:rsidR="00155AF4" w:rsidRPr="00A23740">
              <w:rPr>
                <w:rStyle w:val="MaviChar"/>
              </w:rPr>
              <w:t>ve iflas dairesi</w:t>
            </w:r>
            <w:r w:rsidR="00155AF4" w:rsidRPr="00A23740">
              <w:rPr>
                <w:b/>
                <w:bCs/>
                <w:color w:val="0000FF"/>
                <w:szCs w:val="24"/>
                <w:lang w:val="x-none" w:eastAsia="x-none"/>
              </w:rPr>
              <w:t xml:space="preserve">, rehnin paraya çevrilmesi </w:t>
            </w:r>
            <w:r w:rsidR="00E23F7E" w:rsidRPr="00D6648F">
              <w:rPr>
                <w:b/>
                <w:bCs/>
                <w:color w:val="0000FF"/>
                <w:szCs w:val="24"/>
                <w:lang w:val="x-none" w:eastAsia="x-none"/>
              </w:rPr>
              <w:t>yoluyla</w:t>
            </w:r>
            <w:r w:rsidR="00E23F7E" w:rsidRPr="00A23740">
              <w:rPr>
                <w:b/>
                <w:bCs/>
                <w:color w:val="538135"/>
                <w:szCs w:val="24"/>
                <w:lang w:val="x-none" w:eastAsia="x-none"/>
              </w:rPr>
              <w:t xml:space="preserve"> </w:t>
            </w:r>
            <w:r w:rsidR="00155AF4" w:rsidRPr="00A23740">
              <w:rPr>
                <w:b/>
                <w:bCs/>
                <w:color w:val="0000FF"/>
                <w:szCs w:val="24"/>
                <w:lang w:val="x-none" w:eastAsia="x-none"/>
              </w:rPr>
              <w:t>takibin başladığını</w:t>
            </w:r>
            <w:r w:rsidR="00155AF4" w:rsidRPr="00A23740">
              <w:rPr>
                <w:b/>
                <w:bCs/>
                <w:color w:val="0000FF"/>
                <w:szCs w:val="24"/>
                <w:lang w:eastAsia="x-none"/>
              </w:rPr>
              <w:t>,</w:t>
            </w:r>
            <w:r w:rsidR="00155AF4" w:rsidRPr="00A23740">
              <w:rPr>
                <w:b/>
                <w:bCs/>
                <w:color w:val="0000FF"/>
                <w:szCs w:val="24"/>
                <w:lang w:val="x-none" w:eastAsia="x-none"/>
              </w:rPr>
              <w:t xml:space="preserve"> varsa </w:t>
            </w:r>
            <w:r w:rsidR="00155AF4" w:rsidRPr="00A23740">
              <w:rPr>
                <w:b/>
                <w:bCs/>
                <w:color w:val="0000FF"/>
                <w:szCs w:val="24"/>
                <w:lang w:eastAsia="x-none"/>
              </w:rPr>
              <w:t xml:space="preserve">malın kayıtlı olduğu </w:t>
            </w:r>
            <w:r w:rsidR="00155AF4" w:rsidRPr="00A23740">
              <w:rPr>
                <w:b/>
                <w:bCs/>
                <w:color w:val="0000FF"/>
                <w:szCs w:val="24"/>
                <w:lang w:val="x-none" w:eastAsia="x-none"/>
              </w:rPr>
              <w:t xml:space="preserve">sicile bildirir </w:t>
            </w:r>
            <w:r w:rsidR="00155AF4" w:rsidRPr="00A23740">
              <w:rPr>
                <w:rStyle w:val="MaviChar"/>
              </w:rPr>
              <w:t>ve durum derh</w:t>
            </w:r>
            <w:r w:rsidR="00DF22A1" w:rsidRPr="00A23740">
              <w:rPr>
                <w:rStyle w:val="MaviChar"/>
                <w:lang w:val="tr-TR"/>
              </w:rPr>
              <w:t>â</w:t>
            </w:r>
            <w:r w:rsidR="00155AF4" w:rsidRPr="00A23740">
              <w:rPr>
                <w:rStyle w:val="MaviChar"/>
              </w:rPr>
              <w:t>l sicile şerh verilir.</w:t>
            </w:r>
            <w:r w:rsidR="00155AF4" w:rsidRPr="00A23740">
              <w:rPr>
                <w:b/>
                <w:bCs/>
                <w:color w:val="0000FF"/>
                <w:szCs w:val="24"/>
                <w:lang w:val="x-none" w:eastAsia="x-none"/>
              </w:rPr>
              <w:t xml:space="preserve"> </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eastAsia="x-none"/>
              </w:rPr>
              <w:t xml:space="preserve">(2) </w:t>
            </w:r>
            <w:r w:rsidRPr="00A23740">
              <w:rPr>
                <w:b/>
                <w:bCs/>
                <w:color w:val="0000FF"/>
                <w:szCs w:val="24"/>
                <w:lang w:val="x-none" w:eastAsia="x-none"/>
              </w:rPr>
              <w:t xml:space="preserve">Taşınırı bu şerh tarihinden sonra iktisap edenlere ödeme emri </w:t>
            </w:r>
            <w:r w:rsidRPr="00A23740">
              <w:rPr>
                <w:b/>
                <w:bCs/>
                <w:color w:val="0000FF"/>
                <w:szCs w:val="24"/>
                <w:lang w:eastAsia="x-none"/>
              </w:rPr>
              <w:t>gönderilmez</w:t>
            </w:r>
            <w:r w:rsidRPr="00A23740">
              <w:rPr>
                <w:b/>
                <w:bCs/>
                <w:color w:val="0000FF"/>
                <w:szCs w:val="24"/>
                <w:lang w:val="x-none" w:eastAsia="x-none"/>
              </w:rPr>
              <w:t>.</w:t>
            </w:r>
          </w:p>
          <w:p w:rsidR="00155AF4" w:rsidRPr="00A23740" w:rsidRDefault="00155AF4" w:rsidP="009431FF">
            <w:pPr>
              <w:tabs>
                <w:tab w:val="left" w:pos="566"/>
              </w:tabs>
              <w:autoSpaceDE w:val="0"/>
              <w:autoSpaceDN w:val="0"/>
              <w:adjustRightInd w:val="0"/>
              <w:rPr>
                <w:rFonts w:eastAsia="Times New Roman"/>
                <w:b/>
                <w:color w:val="0000FF"/>
                <w:szCs w:val="24"/>
                <w:lang w:eastAsia="tr-TR"/>
              </w:rPr>
            </w:pPr>
          </w:p>
        </w:tc>
      </w:tr>
      <w:tr w:rsidR="00155AF4" w:rsidRPr="00A23740" w:rsidTr="009431FF">
        <w:tc>
          <w:tcPr>
            <w:tcW w:w="5000" w:type="pct"/>
            <w:gridSpan w:val="2"/>
            <w:shd w:val="clear" w:color="auto" w:fill="DEEAF6"/>
          </w:tcPr>
          <w:p w:rsidR="00A6754F" w:rsidRPr="00A23740" w:rsidRDefault="00A6754F" w:rsidP="009431FF">
            <w:pPr>
              <w:tabs>
                <w:tab w:val="left" w:pos="567"/>
              </w:tabs>
              <w:ind w:firstLine="709"/>
              <w:rPr>
                <w:b/>
                <w:bCs/>
                <w:szCs w:val="24"/>
                <w:lang w:eastAsia="x-none"/>
              </w:rPr>
            </w:pPr>
          </w:p>
          <w:p w:rsidR="00A6754F" w:rsidRPr="00A23740" w:rsidRDefault="00FC7A09" w:rsidP="009431FF">
            <w:pPr>
              <w:tabs>
                <w:tab w:val="left" w:pos="567"/>
              </w:tabs>
              <w:ind w:firstLine="709"/>
              <w:rPr>
                <w:szCs w:val="24"/>
              </w:rPr>
            </w:pPr>
            <w:r w:rsidRPr="00A23740">
              <w:rPr>
                <w:b/>
                <w:bCs/>
                <w:szCs w:val="24"/>
                <w:lang w:eastAsia="x-none"/>
              </w:rPr>
              <w:t>MADDE 116</w:t>
            </w:r>
            <w:r w:rsidR="00155AF4" w:rsidRPr="00A23740">
              <w:rPr>
                <w:b/>
                <w:bCs/>
                <w:szCs w:val="24"/>
                <w:lang w:eastAsia="x-none"/>
              </w:rPr>
              <w:t xml:space="preserve">- </w:t>
            </w:r>
            <w:r w:rsidR="00A6754F" w:rsidRPr="00A23740">
              <w:rPr>
                <w:bCs/>
                <w:szCs w:val="24"/>
                <w:lang w:eastAsia="x-none"/>
              </w:rPr>
              <w:t>Maddeyle, rehnin paraya çevrilmesi yoluyla ilamsız takipte sicile bildirim düzenlenmektedir.</w:t>
            </w:r>
            <w:r w:rsidR="00A6754F" w:rsidRPr="00A23740">
              <w:rPr>
                <w:b/>
                <w:bCs/>
                <w:szCs w:val="24"/>
                <w:lang w:eastAsia="x-none"/>
              </w:rPr>
              <w:t xml:space="preserve"> </w:t>
            </w:r>
            <w:r w:rsidR="007F2779" w:rsidRPr="00A23740">
              <w:rPr>
                <w:szCs w:val="24"/>
              </w:rPr>
              <w:t>Taslağın “Sicile bildirim” başlıklı</w:t>
            </w:r>
            <w:r w:rsidR="001A019A" w:rsidRPr="00A23740">
              <w:rPr>
                <w:szCs w:val="24"/>
              </w:rPr>
              <w:t xml:space="preserve"> </w:t>
            </w:r>
            <w:r w:rsidR="001A019A" w:rsidRPr="00D6648F">
              <w:rPr>
                <w:szCs w:val="24"/>
              </w:rPr>
              <w:t>116</w:t>
            </w:r>
            <w:r w:rsidR="001A019A" w:rsidRPr="00D6648F">
              <w:rPr>
                <w:b/>
                <w:bCs/>
                <w:szCs w:val="24"/>
              </w:rPr>
              <w:t xml:space="preserve"> </w:t>
            </w:r>
            <w:r w:rsidR="001A019A" w:rsidRPr="00D6648F">
              <w:rPr>
                <w:szCs w:val="24"/>
              </w:rPr>
              <w:t>ncı</w:t>
            </w:r>
            <w:r w:rsidR="007F2779" w:rsidRPr="00A23740">
              <w:rPr>
                <w:szCs w:val="24"/>
              </w:rPr>
              <w:t xml:space="preserve"> maddesi</w:t>
            </w:r>
            <w:r w:rsidR="0035236C" w:rsidRPr="00A23740">
              <w:rPr>
                <w:szCs w:val="24"/>
              </w:rPr>
              <w:t>yle</w:t>
            </w:r>
            <w:r w:rsidR="007F2779" w:rsidRPr="00A23740">
              <w:rPr>
                <w:szCs w:val="24"/>
              </w:rPr>
              <w:t xml:space="preserve"> </w:t>
            </w:r>
            <w:r w:rsidR="0035236C" w:rsidRPr="00A23740">
              <w:rPr>
                <w:szCs w:val="24"/>
              </w:rPr>
              <w:t xml:space="preserve">2004 sayılı Kanunun </w:t>
            </w:r>
            <w:r w:rsidR="007F2779" w:rsidRPr="00A23740">
              <w:rPr>
                <w:szCs w:val="24"/>
              </w:rPr>
              <w:t xml:space="preserve">ipoteğin paraya çevrilmesi yoluyla </w:t>
            </w:r>
            <w:r w:rsidR="0035236C" w:rsidRPr="00A23740">
              <w:rPr>
                <w:szCs w:val="24"/>
              </w:rPr>
              <w:t xml:space="preserve">takibe ilişkin </w:t>
            </w:r>
            <w:r w:rsidR="007F2779" w:rsidRPr="00A23740">
              <w:rPr>
                <w:szCs w:val="24"/>
              </w:rPr>
              <w:t xml:space="preserve">150/c maddesi benzeri bir hüküm sicile kayıtlı taşınır rehinleri bakımından da kabul edilmektedir. Maddenin </w:t>
            </w:r>
            <w:r w:rsidR="00A6754F" w:rsidRPr="00A23740">
              <w:rPr>
                <w:szCs w:val="24"/>
              </w:rPr>
              <w:t>bir</w:t>
            </w:r>
            <w:r w:rsidR="007F2779" w:rsidRPr="00A23740">
              <w:rPr>
                <w:szCs w:val="24"/>
              </w:rPr>
              <w:t xml:space="preserve">inci fıkrasına göre </w:t>
            </w:r>
            <w:r w:rsidR="00A6754F" w:rsidRPr="00A23740">
              <w:rPr>
                <w:szCs w:val="24"/>
              </w:rPr>
              <w:t xml:space="preserve">icra </w:t>
            </w:r>
            <w:r w:rsidR="007F2779" w:rsidRPr="00A23740">
              <w:rPr>
                <w:szCs w:val="24"/>
              </w:rPr>
              <w:t xml:space="preserve">ve iflas dairesi, rehnin paraya çevrilmesi hakkındaki takibin başladığını, varsa malın kayıtlı olduğu ilgili sicile bildirir ve durum </w:t>
            </w:r>
            <w:r w:rsidR="00DF22A1" w:rsidRPr="00A23740">
              <w:rPr>
                <w:szCs w:val="24"/>
              </w:rPr>
              <w:t xml:space="preserve">derhâl </w:t>
            </w:r>
            <w:r w:rsidR="007F2779" w:rsidRPr="00A23740">
              <w:rPr>
                <w:szCs w:val="24"/>
              </w:rPr>
              <w:t xml:space="preserve">sicile şerh verilir. </w:t>
            </w:r>
            <w:r w:rsidR="00A6754F" w:rsidRPr="00A23740">
              <w:rPr>
                <w:szCs w:val="24"/>
              </w:rPr>
              <w:t xml:space="preserve">İkinci </w:t>
            </w:r>
            <w:r w:rsidR="007F2779" w:rsidRPr="00A23740">
              <w:rPr>
                <w:szCs w:val="24"/>
              </w:rPr>
              <w:t>fıkraya göre ise taşınırı bu şerh tarihinden sonra iktisap edenlere ödeme emri gönderilmez.</w:t>
            </w:r>
          </w:p>
          <w:p w:rsidR="007F2779" w:rsidRPr="00A23740" w:rsidRDefault="007F2779"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 xml:space="preserve">Ödeme emrine itiraz </w:t>
            </w:r>
            <w:r w:rsidRPr="00A23740">
              <w:rPr>
                <w:b/>
                <w:strike/>
                <w:color w:val="FF0000"/>
                <w:szCs w:val="24"/>
                <w:lang w:eastAsia="tr-TR"/>
              </w:rPr>
              <w:t>:</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147 – (1) (Değişik</w:t>
            </w:r>
            <w:r w:rsidRPr="00A23740">
              <w:rPr>
                <w:b/>
                <w:strike/>
                <w:color w:val="FF0000"/>
                <w:szCs w:val="24"/>
                <w:lang w:eastAsia="tr-TR"/>
              </w:rPr>
              <w:t>: 18/2/1965 - 538/67 md.)</w:t>
            </w:r>
          </w:p>
          <w:p w:rsidR="00155AF4" w:rsidRPr="00A23740" w:rsidRDefault="00155AF4" w:rsidP="009431FF">
            <w:pPr>
              <w:tabs>
                <w:tab w:val="left" w:pos="567"/>
              </w:tabs>
              <w:autoSpaceDE w:val="0"/>
              <w:autoSpaceDN w:val="0"/>
              <w:adjustRightInd w:val="0"/>
              <w:rPr>
                <w:b/>
                <w:bCs/>
                <w:strike/>
                <w:color w:val="FF0000"/>
                <w:szCs w:val="24"/>
              </w:rPr>
            </w:pPr>
            <w:r w:rsidRPr="00A23740">
              <w:rPr>
                <w:szCs w:val="24"/>
              </w:rPr>
              <w:t xml:space="preserve">Ödeme emrine itiraz hakkında </w:t>
            </w:r>
            <w:r w:rsidRPr="00A23740">
              <w:rPr>
                <w:b/>
                <w:bCs/>
                <w:strike/>
                <w:color w:val="FF0000"/>
                <w:szCs w:val="24"/>
              </w:rPr>
              <w:t>62</w:t>
            </w:r>
            <w:r w:rsidRPr="00A23740">
              <w:rPr>
                <w:szCs w:val="24"/>
              </w:rPr>
              <w:t xml:space="preserve"> den 72 nci madde</w:t>
            </w:r>
            <w:r w:rsidRPr="00A23740">
              <w:rPr>
                <w:b/>
                <w:bCs/>
                <w:strike/>
                <w:color w:val="FF0000"/>
                <w:szCs w:val="24"/>
              </w:rPr>
              <w:t xml:space="preserve">ye kadar olan hükümler </w:t>
            </w:r>
            <w:r w:rsidRPr="00A23740">
              <w:rPr>
                <w:szCs w:val="24"/>
              </w:rPr>
              <w:t xml:space="preserve">uygulanır. </w:t>
            </w:r>
            <w:r w:rsidRPr="00A23740">
              <w:rPr>
                <w:b/>
                <w:bCs/>
                <w:strike/>
                <w:color w:val="FF0000"/>
                <w:szCs w:val="24"/>
              </w:rPr>
              <w:t>Ancak;</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1.</w:t>
            </w:r>
            <w:r w:rsidRPr="00A23740">
              <w:rPr>
                <w:szCs w:val="24"/>
              </w:rPr>
              <w:t xml:space="preserve"> Rehin hakkına açıkça itiraz </w:t>
            </w:r>
            <w:r w:rsidRPr="00A23740">
              <w:rPr>
                <w:b/>
                <w:bCs/>
                <w:strike/>
                <w:color w:val="FF0000"/>
                <w:szCs w:val="24"/>
              </w:rPr>
              <w:t>edilmemişse</w:t>
            </w:r>
            <w:r w:rsidRPr="00A23740">
              <w:rPr>
                <w:szCs w:val="24"/>
              </w:rPr>
              <w:t xml:space="preserve">, </w:t>
            </w:r>
            <w:r w:rsidRPr="00A23740">
              <w:rPr>
                <w:b/>
                <w:bCs/>
                <w:strike/>
                <w:color w:val="FF0000"/>
                <w:szCs w:val="24"/>
              </w:rPr>
              <w:t>alacaklının</w:t>
            </w:r>
            <w:r w:rsidRPr="00A23740">
              <w:rPr>
                <w:szCs w:val="24"/>
              </w:rPr>
              <w:t xml:space="preserve"> rehin hakkı takip </w:t>
            </w:r>
            <w:r w:rsidRPr="00A23740">
              <w:rPr>
                <w:b/>
                <w:bCs/>
                <w:strike/>
                <w:color w:val="FF0000"/>
                <w:szCs w:val="24"/>
              </w:rPr>
              <w:t>safhası içinde artık tartışma konusu olamaz</w:t>
            </w:r>
            <w:r w:rsidRPr="00A23740">
              <w:rPr>
                <w:szCs w:val="24"/>
              </w:rPr>
              <w:t>.</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2.</w:t>
            </w:r>
            <w:r w:rsidRPr="00A23740">
              <w:rPr>
                <w:szCs w:val="24"/>
              </w:rPr>
              <w:t xml:space="preserve"> </w:t>
            </w:r>
            <w:r w:rsidRPr="00A23740">
              <w:rPr>
                <w:b/>
                <w:bCs/>
                <w:strike/>
                <w:color w:val="FF0000"/>
                <w:szCs w:val="24"/>
              </w:rPr>
              <w:t>Sırf</w:t>
            </w:r>
            <w:r w:rsidRPr="00A23740">
              <w:rPr>
                <w:szCs w:val="24"/>
              </w:rPr>
              <w:t xml:space="preserve"> rehin hakkına itiraz </w:t>
            </w:r>
            <w:r w:rsidRPr="00A23740">
              <w:rPr>
                <w:b/>
                <w:bCs/>
                <w:strike/>
                <w:color w:val="FF0000"/>
                <w:szCs w:val="24"/>
              </w:rPr>
              <w:t>olunduğu</w:t>
            </w:r>
            <w:r w:rsidRPr="00A23740">
              <w:rPr>
                <w:szCs w:val="24"/>
              </w:rPr>
              <w:t xml:space="preserve"> takdirde, alacaklı, rehnin paraya çevrilmesi yol</w:t>
            </w:r>
            <w:r w:rsidRPr="00A23740">
              <w:rPr>
                <w:b/>
                <w:strike/>
                <w:color w:val="FF0000"/>
                <w:szCs w:val="24"/>
                <w:lang w:eastAsia="tr-TR"/>
              </w:rPr>
              <w:t>i</w:t>
            </w:r>
            <w:r w:rsidRPr="00A23740">
              <w:rPr>
                <w:szCs w:val="24"/>
              </w:rPr>
              <w:t>yl</w:t>
            </w:r>
            <w:r w:rsidRPr="00A23740">
              <w:rPr>
                <w:b/>
                <w:strike/>
                <w:color w:val="FF0000"/>
                <w:szCs w:val="24"/>
                <w:lang w:eastAsia="tr-TR"/>
              </w:rPr>
              <w:t>e</w:t>
            </w:r>
            <w:r w:rsidRPr="00A23740">
              <w:rPr>
                <w:szCs w:val="24"/>
              </w:rPr>
              <w:t xml:space="preserve"> takipten vazgeçerek, takib</w:t>
            </w:r>
            <w:r w:rsidRPr="00A23740">
              <w:rPr>
                <w:b/>
                <w:bCs/>
                <w:strike/>
                <w:color w:val="FF0000"/>
                <w:szCs w:val="24"/>
              </w:rPr>
              <w:t>in</w:t>
            </w:r>
            <w:r w:rsidRPr="00A23740">
              <w:rPr>
                <w:szCs w:val="24"/>
              </w:rPr>
              <w:t xml:space="preserve"> haciz yolu </w:t>
            </w:r>
            <w:r w:rsidRPr="00A23740">
              <w:rPr>
                <w:b/>
                <w:strike/>
                <w:color w:val="FF0000"/>
                <w:szCs w:val="24"/>
                <w:lang w:eastAsia="tr-TR"/>
              </w:rPr>
              <w:t>ile</w:t>
            </w:r>
            <w:r w:rsidRPr="00A23740">
              <w:rPr>
                <w:szCs w:val="24"/>
              </w:rPr>
              <w:t xml:space="preserve"> devam</w:t>
            </w:r>
            <w:r w:rsidRPr="00A23740">
              <w:rPr>
                <w:b/>
                <w:bCs/>
                <w:strike/>
                <w:color w:val="FF0000"/>
                <w:szCs w:val="24"/>
              </w:rPr>
              <w:t>ını</w:t>
            </w:r>
            <w:r w:rsidRPr="00A23740">
              <w:rPr>
                <w:szCs w:val="24"/>
              </w:rPr>
              <w:t xml:space="preserve"> ist</w:t>
            </w:r>
            <w:r w:rsidRPr="00A23740">
              <w:rPr>
                <w:b/>
                <w:strike/>
                <w:color w:val="FF0000"/>
                <w:szCs w:val="24"/>
                <w:lang w:eastAsia="tr-TR"/>
              </w:rPr>
              <w:t>i</w:t>
            </w:r>
            <w:r w:rsidRPr="00A23740">
              <w:rPr>
                <w:szCs w:val="24"/>
              </w:rPr>
              <w:t>yebilir. Bu takdirde</w:t>
            </w:r>
            <w:r w:rsidRPr="00A23740">
              <w:rPr>
                <w:rStyle w:val="KIRMIZIChar"/>
                <w:rFonts w:eastAsia="Calibri"/>
              </w:rPr>
              <w:t>, borçluya mal beyanında bulunması için yedi gün mühlet verilir.</w:t>
            </w: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b/>
                <w:bCs/>
                <w:szCs w:val="24"/>
              </w:rPr>
            </w:pPr>
            <w:r w:rsidRPr="00A23740">
              <w:rPr>
                <w:b/>
                <w:bCs/>
                <w:szCs w:val="24"/>
              </w:rPr>
              <w:t>Ödeme emrine itiraz</w:t>
            </w:r>
          </w:p>
          <w:p w:rsidR="00155AF4" w:rsidRPr="00A23740" w:rsidRDefault="00FC7A09" w:rsidP="009431FF">
            <w:pPr>
              <w:tabs>
                <w:tab w:val="left" w:pos="567"/>
              </w:tabs>
              <w:autoSpaceDE w:val="0"/>
              <w:autoSpaceDN w:val="0"/>
              <w:adjustRightInd w:val="0"/>
              <w:rPr>
                <w:b/>
                <w:bCs/>
                <w:color w:val="0000FF"/>
                <w:szCs w:val="24"/>
                <w:lang w:val="x-none" w:eastAsia="x-none"/>
              </w:rPr>
            </w:pPr>
            <w:r w:rsidRPr="00A23740">
              <w:rPr>
                <w:b/>
                <w:bCs/>
                <w:color w:val="0000FF"/>
                <w:szCs w:val="24"/>
                <w:lang w:val="x-none" w:eastAsia="x-none"/>
              </w:rPr>
              <w:t>MADDE 117</w:t>
            </w:r>
            <w:r w:rsidR="00155AF4" w:rsidRPr="00A23740">
              <w:rPr>
                <w:b/>
                <w:bCs/>
                <w:color w:val="0000FF"/>
                <w:szCs w:val="24"/>
                <w:lang w:val="x-none" w:eastAsia="x-none"/>
              </w:rPr>
              <w:t xml:space="preserve">- </w:t>
            </w:r>
            <w:r w:rsidR="00155AF4" w:rsidRPr="00A23740">
              <w:rPr>
                <w:b/>
                <w:bCs/>
                <w:color w:val="0000FF"/>
                <w:szCs w:val="24"/>
                <w:lang w:eastAsia="x-none"/>
              </w:rPr>
              <w:t xml:space="preserve">(1) </w:t>
            </w:r>
            <w:r w:rsidR="00155AF4" w:rsidRPr="00A23740">
              <w:rPr>
                <w:b/>
                <w:bCs/>
                <w:color w:val="0000FF"/>
                <w:szCs w:val="24"/>
                <w:lang w:val="x-none" w:eastAsia="x-none"/>
              </w:rPr>
              <w:t>İtiraz, icra</w:t>
            </w:r>
            <w:r w:rsidR="00155AF4" w:rsidRPr="00A23740">
              <w:rPr>
                <w:b/>
                <w:bCs/>
                <w:color w:val="0000FF"/>
                <w:szCs w:val="24"/>
                <w:lang w:eastAsia="x-none"/>
              </w:rPr>
              <w:t xml:space="preserve"> </w:t>
            </w:r>
            <w:r w:rsidR="00155AF4" w:rsidRPr="00A23740">
              <w:rPr>
                <w:rStyle w:val="MaviChar"/>
              </w:rPr>
              <w:t>ve iflas</w:t>
            </w:r>
            <w:r w:rsidR="00155AF4" w:rsidRPr="00A23740">
              <w:rPr>
                <w:b/>
                <w:bCs/>
                <w:color w:val="0000FF"/>
                <w:szCs w:val="24"/>
                <w:lang w:val="x-none" w:eastAsia="x-none"/>
              </w:rPr>
              <w:t xml:space="preserve"> dairesinin yetkisine, borca, imzaya veya alacağın rehin hakkı kapsamında olmadığı iddiası da dahil olmak üzere rehin hakkına ilişkin olabilir.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(2) Rehinli malın maliki olan üçüncü kişi de ödeme emrine itiraz edebilir.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(3)</w:t>
            </w:r>
            <w:r w:rsidRPr="00A23740">
              <w:rPr>
                <w:szCs w:val="24"/>
              </w:rPr>
              <w:t xml:space="preserve"> Rehin hakkına açıkça itiraz </w:t>
            </w:r>
            <w:r w:rsidRPr="00A23740">
              <w:rPr>
                <w:b/>
                <w:bCs/>
                <w:color w:val="0000FF"/>
                <w:szCs w:val="24"/>
                <w:lang w:eastAsia="x-none"/>
              </w:rPr>
              <w:t>edilmezse</w:t>
            </w:r>
            <w:r w:rsidRPr="00A23740">
              <w:rPr>
                <w:szCs w:val="24"/>
              </w:rPr>
              <w:t xml:space="preserve">, rehin hakkı </w:t>
            </w:r>
            <w:r w:rsidRPr="00A23740">
              <w:rPr>
                <w:b/>
                <w:bCs/>
                <w:color w:val="0000FF"/>
                <w:szCs w:val="24"/>
                <w:lang w:eastAsia="x-none"/>
              </w:rPr>
              <w:t>bu</w:t>
            </w:r>
            <w:r w:rsidRPr="00A23740">
              <w:rPr>
                <w:szCs w:val="24"/>
              </w:rPr>
              <w:t xml:space="preserve"> takip </w:t>
            </w:r>
            <w:r w:rsidRPr="00A23740">
              <w:rPr>
                <w:b/>
                <w:bCs/>
                <w:color w:val="0000FF"/>
                <w:szCs w:val="24"/>
                <w:lang w:eastAsia="x-none"/>
              </w:rPr>
              <w:t xml:space="preserve">bakımından </w:t>
            </w:r>
            <w:r w:rsidRPr="00A23740">
              <w:rPr>
                <w:b/>
                <w:bCs/>
                <w:color w:val="0000FF"/>
                <w:szCs w:val="24"/>
                <w:lang w:val="x-none" w:eastAsia="x-none"/>
              </w:rPr>
              <w:t>kabul edilmiş sayılır.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bCs/>
                <w:color w:val="0000FF"/>
                <w:szCs w:val="24"/>
                <w:lang w:val="x-none" w:eastAsia="x-none"/>
              </w:rPr>
            </w:pPr>
            <w:r w:rsidRPr="00A23740">
              <w:rPr>
                <w:b/>
                <w:bCs/>
                <w:color w:val="0000FF"/>
                <w:szCs w:val="24"/>
                <w:lang w:val="x-none" w:eastAsia="x-none"/>
              </w:rPr>
              <w:t>(4) Sadece</w:t>
            </w:r>
            <w:r w:rsidRPr="00A23740">
              <w:rPr>
                <w:szCs w:val="24"/>
              </w:rPr>
              <w:t xml:space="preserve"> rehin hakkına itiraz </w:t>
            </w:r>
            <w:r w:rsidRPr="00A23740">
              <w:rPr>
                <w:b/>
                <w:bCs/>
                <w:color w:val="0000FF"/>
                <w:szCs w:val="24"/>
                <w:lang w:eastAsia="x-none"/>
              </w:rPr>
              <w:t>edildiği</w:t>
            </w:r>
            <w:r w:rsidRPr="00A23740">
              <w:rPr>
                <w:szCs w:val="24"/>
              </w:rPr>
              <w:t xml:space="preserve"> takdirde, alacaklı, rehnin paraya çevrilmesi yol</w:t>
            </w:r>
            <w:r w:rsidRPr="00A23740">
              <w:rPr>
                <w:b/>
                <w:bCs/>
                <w:color w:val="0000FF"/>
                <w:szCs w:val="24"/>
                <w:lang w:val="x-none" w:eastAsia="x-none"/>
              </w:rPr>
              <w:t>u</w:t>
            </w:r>
            <w:r w:rsidRPr="00A23740">
              <w:rPr>
                <w:szCs w:val="24"/>
              </w:rPr>
              <w:t>yl</w:t>
            </w:r>
            <w:r w:rsidRPr="00A23740">
              <w:rPr>
                <w:b/>
                <w:bCs/>
                <w:color w:val="0000FF"/>
                <w:szCs w:val="24"/>
                <w:lang w:val="x-none" w:eastAsia="x-none"/>
              </w:rPr>
              <w:t>a</w:t>
            </w:r>
            <w:r w:rsidRPr="00A23740">
              <w:rPr>
                <w:szCs w:val="24"/>
              </w:rPr>
              <w:t xml:space="preserve"> takipten vazgeçerek, takib</w:t>
            </w:r>
            <w:r w:rsidRPr="00A23740">
              <w:rPr>
                <w:b/>
                <w:bCs/>
                <w:color w:val="0000FF"/>
                <w:szCs w:val="24"/>
                <w:lang w:eastAsia="x-none"/>
              </w:rPr>
              <w:t>e</w:t>
            </w:r>
            <w:r w:rsidRPr="00A23740">
              <w:rPr>
                <w:szCs w:val="24"/>
              </w:rPr>
              <w:t xml:space="preserve"> haciz yolu</w:t>
            </w:r>
            <w:r w:rsidRPr="00A23740">
              <w:rPr>
                <w:b/>
                <w:bCs/>
                <w:color w:val="0000FF"/>
                <w:szCs w:val="24"/>
                <w:lang w:eastAsia="x-none"/>
              </w:rPr>
              <w:t>yla</w:t>
            </w:r>
            <w:r w:rsidRPr="00A23740">
              <w:rPr>
                <w:szCs w:val="24"/>
              </w:rPr>
              <w:t xml:space="preserve"> devam </w:t>
            </w:r>
            <w:r w:rsidRPr="00A23740">
              <w:rPr>
                <w:b/>
                <w:bCs/>
                <w:color w:val="0000FF"/>
                <w:szCs w:val="24"/>
                <w:lang w:eastAsia="x-none"/>
              </w:rPr>
              <w:t xml:space="preserve">edilmesini </w:t>
            </w:r>
            <w:r w:rsidRPr="00A23740">
              <w:rPr>
                <w:szCs w:val="24"/>
              </w:rPr>
              <w:t>ist</w:t>
            </w:r>
            <w:r w:rsidRPr="00A23740">
              <w:rPr>
                <w:b/>
                <w:bCs/>
                <w:color w:val="0000FF"/>
                <w:szCs w:val="24"/>
                <w:lang w:val="x-none" w:eastAsia="x-none"/>
              </w:rPr>
              <w:t>e</w:t>
            </w:r>
            <w:r w:rsidRPr="00A23740">
              <w:rPr>
                <w:szCs w:val="24"/>
              </w:rPr>
              <w:t>yebilir. Bu takdirde</w:t>
            </w:r>
            <w:r w:rsidR="000C4918" w:rsidRPr="00A23740">
              <w:rPr>
                <w:szCs w:val="24"/>
              </w:rPr>
              <w:t xml:space="preserve"> </w:t>
            </w:r>
            <w:r w:rsidR="000C4918" w:rsidRPr="00D6648F">
              <w:rPr>
                <w:rStyle w:val="KonuBalChar"/>
                <w:rFonts w:eastAsia="Calibri"/>
                <w:color w:val="0000FF"/>
              </w:rPr>
              <w:t>115</w:t>
            </w:r>
            <w:r w:rsidR="000C4918" w:rsidRPr="00A23740">
              <w:rPr>
                <w:rStyle w:val="KonuBalChar"/>
                <w:rFonts w:eastAsia="Calibri"/>
              </w:rPr>
              <w:t xml:space="preserve"> </w:t>
            </w:r>
            <w:r w:rsidR="000C4918" w:rsidRPr="00D6648F">
              <w:rPr>
                <w:rStyle w:val="KonuBalChar"/>
                <w:rFonts w:eastAsia="Calibri"/>
                <w:color w:val="0000FF"/>
              </w:rPr>
              <w:t>inci</w:t>
            </w:r>
            <w:r w:rsidR="000C4918" w:rsidRPr="00A23740">
              <w:rPr>
                <w:szCs w:val="24"/>
              </w:rPr>
              <w:t xml:space="preserve"> </w:t>
            </w:r>
            <w:r w:rsidRPr="00A23740">
              <w:rPr>
                <w:szCs w:val="24"/>
              </w:rPr>
              <w:t xml:space="preserve"> </w:t>
            </w:r>
            <w:r w:rsidR="00C207DB" w:rsidRPr="00A23740">
              <w:rPr>
                <w:rStyle w:val="MaviChar"/>
              </w:rPr>
              <w:t xml:space="preserve">maddenin üçüncü fıkrasının (e) bendi </w:t>
            </w:r>
            <w:r w:rsidR="00C207DB" w:rsidRPr="00A23740">
              <w:rPr>
                <w:rStyle w:val="MaviChar"/>
                <w:lang w:val="tr-TR"/>
              </w:rPr>
              <w:t>uygulanır.</w:t>
            </w:r>
          </w:p>
          <w:p w:rsidR="009814A3" w:rsidRPr="00A23740" w:rsidRDefault="009814A3" w:rsidP="009431FF">
            <w:pPr>
              <w:tabs>
                <w:tab w:val="left" w:pos="567"/>
              </w:tabs>
              <w:autoSpaceDE w:val="0"/>
              <w:autoSpaceDN w:val="0"/>
              <w:adjustRightInd w:val="0"/>
              <w:rPr>
                <w:b/>
                <w:bCs/>
                <w:color w:val="0000FF"/>
                <w:szCs w:val="24"/>
                <w:lang w:val="x-none" w:eastAsia="x-none"/>
              </w:rPr>
            </w:pPr>
          </w:p>
          <w:p w:rsidR="00155AF4" w:rsidRPr="00A23740" w:rsidRDefault="00C207DB" w:rsidP="009431FF">
            <w:pPr>
              <w:pStyle w:val="Mavi"/>
            </w:pPr>
            <w:r w:rsidRPr="00A23740">
              <w:t>(5</w:t>
            </w:r>
            <w:r w:rsidR="00155AF4" w:rsidRPr="00A23740">
              <w:t xml:space="preserve">) Ödeme emrine itiraz hakkında, 86 </w:t>
            </w:r>
            <w:r w:rsidR="009A156D" w:rsidRPr="00A23740">
              <w:rPr>
                <w:lang w:val="tr-TR"/>
              </w:rPr>
              <w:t>ncı</w:t>
            </w:r>
            <w:r w:rsidR="00155AF4" w:rsidRPr="00A23740">
              <w:rPr>
                <w:b w:val="0"/>
              </w:rPr>
              <w:t>,</w:t>
            </w:r>
            <w:r w:rsidR="00155AF4" w:rsidRPr="00A23740">
              <w:t xml:space="preserve"> </w:t>
            </w:r>
            <w:r w:rsidR="00155AF4" w:rsidRPr="00A23740">
              <w:rPr>
                <w:lang w:val="tr-TR"/>
              </w:rPr>
              <w:t xml:space="preserve">90 </w:t>
            </w:r>
            <w:r w:rsidR="009A156D" w:rsidRPr="00A23740">
              <w:rPr>
                <w:lang w:val="tr-TR"/>
              </w:rPr>
              <w:t>il</w:t>
            </w:r>
            <w:r w:rsidR="00F25FDB" w:rsidRPr="00A23740">
              <w:rPr>
                <w:lang w:val="tr-TR"/>
              </w:rPr>
              <w:t>a</w:t>
            </w:r>
            <w:r w:rsidR="009A156D" w:rsidRPr="00A23740">
              <w:rPr>
                <w:lang w:val="tr-TR"/>
              </w:rPr>
              <w:t xml:space="preserve"> 101 inci </w:t>
            </w:r>
            <w:r w:rsidR="00155AF4" w:rsidRPr="00A23740">
              <w:t>maddeler uygulanır.</w:t>
            </w:r>
          </w:p>
          <w:p w:rsidR="00155AF4" w:rsidRPr="00A23740" w:rsidRDefault="00155AF4" w:rsidP="009431FF">
            <w:pPr>
              <w:outlineLvl w:val="1"/>
              <w:rPr>
                <w:b/>
                <w:iCs/>
                <w:color w:val="4BACC6"/>
                <w:szCs w:val="24"/>
              </w:rPr>
            </w:pPr>
          </w:p>
        </w:tc>
      </w:tr>
      <w:tr w:rsidR="00155AF4" w:rsidRPr="00A23740" w:rsidTr="009431FF">
        <w:tc>
          <w:tcPr>
            <w:tcW w:w="5000" w:type="pct"/>
            <w:gridSpan w:val="2"/>
            <w:shd w:val="clear" w:color="auto" w:fill="DEEAF6"/>
          </w:tcPr>
          <w:p w:rsidR="005D29AE" w:rsidRPr="00A23740" w:rsidRDefault="005D29AE" w:rsidP="009431FF">
            <w:pPr>
              <w:tabs>
                <w:tab w:val="left" w:pos="567"/>
              </w:tabs>
              <w:ind w:firstLine="709"/>
              <w:rPr>
                <w:b/>
                <w:bCs/>
                <w:szCs w:val="24"/>
                <w:lang w:eastAsia="x-none"/>
              </w:rPr>
            </w:pPr>
          </w:p>
          <w:p w:rsidR="007F2779" w:rsidRPr="00A23740" w:rsidRDefault="00155AF4" w:rsidP="009431FF">
            <w:pPr>
              <w:tabs>
                <w:tab w:val="left" w:pos="567"/>
              </w:tabs>
              <w:ind w:firstLine="709"/>
              <w:rPr>
                <w:bCs/>
                <w:szCs w:val="24"/>
                <w:lang w:eastAsia="x-none"/>
              </w:rPr>
            </w:pPr>
            <w:r w:rsidRPr="00A23740">
              <w:rPr>
                <w:b/>
                <w:bCs/>
                <w:szCs w:val="24"/>
                <w:lang w:eastAsia="x-none"/>
              </w:rPr>
              <w:t>MADDE 1</w:t>
            </w:r>
            <w:r w:rsidR="00FC7A09" w:rsidRPr="00A23740">
              <w:rPr>
                <w:b/>
                <w:bCs/>
                <w:szCs w:val="24"/>
                <w:lang w:eastAsia="x-none"/>
              </w:rPr>
              <w:t>17</w:t>
            </w:r>
            <w:r w:rsidRPr="00A23740">
              <w:rPr>
                <w:b/>
                <w:bCs/>
                <w:szCs w:val="24"/>
                <w:lang w:eastAsia="x-none"/>
              </w:rPr>
              <w:t>-</w:t>
            </w:r>
            <w:r w:rsidR="005D29AE" w:rsidRPr="00A23740">
              <w:rPr>
                <w:b/>
                <w:bCs/>
                <w:szCs w:val="24"/>
                <w:lang w:eastAsia="x-none"/>
              </w:rPr>
              <w:t xml:space="preserve"> </w:t>
            </w:r>
            <w:r w:rsidR="005D29AE" w:rsidRPr="00A23740">
              <w:rPr>
                <w:bCs/>
                <w:szCs w:val="24"/>
                <w:lang w:eastAsia="x-none"/>
              </w:rPr>
              <w:t>Maddeyle, rehnin paraya çevrilmesi yoluyla ilamsız takipte ödeme emrine itiraz düzenlenmektedir.</w:t>
            </w:r>
            <w:r w:rsidR="005D29AE" w:rsidRPr="00A23740">
              <w:rPr>
                <w:b/>
                <w:bCs/>
                <w:szCs w:val="24"/>
                <w:lang w:eastAsia="x-none"/>
              </w:rPr>
              <w:t xml:space="preserve"> </w:t>
            </w:r>
            <w:r w:rsidR="007F2779" w:rsidRPr="00A23740">
              <w:rPr>
                <w:bCs/>
                <w:szCs w:val="24"/>
                <w:lang w:eastAsia="x-none"/>
              </w:rPr>
              <w:t xml:space="preserve">Taslağın </w:t>
            </w:r>
            <w:r w:rsidR="000C4918" w:rsidRPr="00D6648F">
              <w:rPr>
                <w:bCs/>
                <w:szCs w:val="24"/>
                <w:lang w:eastAsia="x-none"/>
              </w:rPr>
              <w:t>117</w:t>
            </w:r>
            <w:r w:rsidR="000C4918" w:rsidRPr="00A23740">
              <w:rPr>
                <w:rStyle w:val="KonuBalChar"/>
                <w:rFonts w:eastAsia="Calibri"/>
              </w:rPr>
              <w:t xml:space="preserve"> </w:t>
            </w:r>
            <w:r w:rsidR="000C4918" w:rsidRPr="00D6648F">
              <w:rPr>
                <w:bCs/>
                <w:szCs w:val="24"/>
                <w:lang w:eastAsia="x-none"/>
              </w:rPr>
              <w:t>nci</w:t>
            </w:r>
            <w:r w:rsidR="000C4918" w:rsidRPr="00A23740">
              <w:rPr>
                <w:bCs/>
                <w:szCs w:val="24"/>
                <w:lang w:eastAsia="x-none"/>
              </w:rPr>
              <w:t xml:space="preserve"> </w:t>
            </w:r>
            <w:r w:rsidR="007F2779" w:rsidRPr="00A23740">
              <w:rPr>
                <w:bCs/>
                <w:szCs w:val="24"/>
                <w:lang w:eastAsia="x-none"/>
              </w:rPr>
              <w:t>maddesi “</w:t>
            </w:r>
            <w:r w:rsidR="007F2779" w:rsidRPr="00A23740">
              <w:rPr>
                <w:bCs/>
                <w:szCs w:val="24"/>
                <w:lang w:val="x-none" w:eastAsia="x-none"/>
              </w:rPr>
              <w:t>Ödeme emri</w:t>
            </w:r>
            <w:r w:rsidR="005D29AE" w:rsidRPr="00A23740">
              <w:rPr>
                <w:bCs/>
                <w:szCs w:val="24"/>
                <w:lang w:eastAsia="x-none"/>
              </w:rPr>
              <w:t>ne itiraz</w:t>
            </w:r>
            <w:r w:rsidR="007F2779" w:rsidRPr="00A23740">
              <w:rPr>
                <w:bCs/>
                <w:szCs w:val="24"/>
                <w:lang w:eastAsia="x-none"/>
              </w:rPr>
              <w:t>” başlığını taşımakta olup</w:t>
            </w:r>
            <w:r w:rsidR="0035236C" w:rsidRPr="00A23740">
              <w:rPr>
                <w:bCs/>
                <w:szCs w:val="24"/>
                <w:lang w:eastAsia="x-none"/>
              </w:rPr>
              <w:t>,</w:t>
            </w:r>
            <w:r w:rsidR="007F2779" w:rsidRPr="00A23740">
              <w:rPr>
                <w:bCs/>
                <w:szCs w:val="24"/>
                <w:lang w:eastAsia="x-none"/>
              </w:rPr>
              <w:t xml:space="preserve"> </w:t>
            </w:r>
            <w:r w:rsidR="005D29AE" w:rsidRPr="00A23740">
              <w:rPr>
                <w:bCs/>
                <w:szCs w:val="24"/>
                <w:lang w:eastAsia="x-none"/>
              </w:rPr>
              <w:t>2004 sayılı</w:t>
            </w:r>
            <w:r w:rsidR="007F2779" w:rsidRPr="00A23740">
              <w:rPr>
                <w:bCs/>
                <w:szCs w:val="24"/>
                <w:lang w:eastAsia="x-none"/>
              </w:rPr>
              <w:t xml:space="preserve"> </w:t>
            </w:r>
            <w:r w:rsidR="005D29AE" w:rsidRPr="00A23740">
              <w:rPr>
                <w:bCs/>
                <w:szCs w:val="24"/>
                <w:lang w:eastAsia="x-none"/>
              </w:rPr>
              <w:t xml:space="preserve">Kanunun </w:t>
            </w:r>
            <w:r w:rsidR="007F2779" w:rsidRPr="00A23740">
              <w:rPr>
                <w:bCs/>
                <w:szCs w:val="24"/>
                <w:lang w:eastAsia="x-none"/>
              </w:rPr>
              <w:t>147 nci maddesine karşılık gelmektedir.</w:t>
            </w:r>
          </w:p>
          <w:p w:rsidR="007F2779" w:rsidRPr="00A23740" w:rsidRDefault="007F2779" w:rsidP="009431FF">
            <w:pPr>
              <w:tabs>
                <w:tab w:val="left" w:pos="567"/>
              </w:tabs>
              <w:autoSpaceDE w:val="0"/>
              <w:autoSpaceDN w:val="0"/>
              <w:adjustRightInd w:val="0"/>
              <w:ind w:firstLine="709"/>
              <w:rPr>
                <w:szCs w:val="24"/>
              </w:rPr>
            </w:pPr>
            <w:r w:rsidRPr="00A23740">
              <w:rPr>
                <w:bCs/>
                <w:szCs w:val="24"/>
                <w:lang w:eastAsia="x-none"/>
              </w:rPr>
              <w:t xml:space="preserve">Maddenin </w:t>
            </w:r>
            <w:r w:rsidR="005D29AE" w:rsidRPr="00A23740">
              <w:rPr>
                <w:bCs/>
                <w:szCs w:val="24"/>
                <w:lang w:eastAsia="x-none"/>
              </w:rPr>
              <w:t>bir</w:t>
            </w:r>
            <w:r w:rsidRPr="00A23740">
              <w:rPr>
                <w:bCs/>
                <w:szCs w:val="24"/>
                <w:lang w:eastAsia="x-none"/>
              </w:rPr>
              <w:t>inci fıkrasına göre i</w:t>
            </w:r>
            <w:r w:rsidRPr="00A23740">
              <w:rPr>
                <w:bCs/>
                <w:szCs w:val="24"/>
                <w:lang w:val="x-none" w:eastAsia="x-none"/>
              </w:rPr>
              <w:t>tiraz, icra</w:t>
            </w:r>
            <w:r w:rsidRPr="00A23740">
              <w:rPr>
                <w:bCs/>
                <w:szCs w:val="24"/>
                <w:lang w:eastAsia="x-none"/>
              </w:rPr>
              <w:t xml:space="preserve"> </w:t>
            </w:r>
            <w:r w:rsidRPr="00A23740">
              <w:rPr>
                <w:bCs/>
                <w:szCs w:val="24"/>
                <w:lang w:val="x-none" w:eastAsia="x-none"/>
              </w:rPr>
              <w:t>ve iflas dairesinin yetkisine, borca, imzaya veya alacağın rehin hakkı kapsamında olmadığı iddiası da dahil olmak üzere rehin hakkına ilişkin olabilir.</w:t>
            </w:r>
            <w:r w:rsidRPr="00A23740">
              <w:rPr>
                <w:bCs/>
                <w:szCs w:val="24"/>
                <w:lang w:eastAsia="x-none"/>
              </w:rPr>
              <w:t xml:space="preserve"> Bu fıkrada, </w:t>
            </w:r>
            <w:r w:rsidR="005D29AE" w:rsidRPr="00A23740">
              <w:rPr>
                <w:bCs/>
                <w:szCs w:val="24"/>
                <w:lang w:eastAsia="x-none"/>
              </w:rPr>
              <w:t>2004 sayılı</w:t>
            </w:r>
            <w:r w:rsidRPr="00A23740">
              <w:rPr>
                <w:bCs/>
                <w:szCs w:val="24"/>
                <w:lang w:eastAsia="x-none"/>
              </w:rPr>
              <w:t xml:space="preserve"> </w:t>
            </w:r>
            <w:r w:rsidR="005D29AE" w:rsidRPr="00A23740">
              <w:rPr>
                <w:bCs/>
                <w:szCs w:val="24"/>
                <w:lang w:eastAsia="x-none"/>
              </w:rPr>
              <w:t xml:space="preserve">Kanunun </w:t>
            </w:r>
            <w:r w:rsidRPr="00A23740">
              <w:rPr>
                <w:bCs/>
                <w:szCs w:val="24"/>
                <w:lang w:eastAsia="x-none"/>
              </w:rPr>
              <w:t>147 nci maddesinden farklı olarak y</w:t>
            </w:r>
            <w:r w:rsidRPr="00A23740">
              <w:rPr>
                <w:rFonts w:eastAsia="Times New Roman"/>
                <w:szCs w:val="24"/>
                <w:lang w:val="x-none" w:eastAsia="x-none"/>
              </w:rPr>
              <w:t xml:space="preserve">etki itirazına ilişkin ibare </w:t>
            </w:r>
            <w:r w:rsidRPr="00A23740">
              <w:rPr>
                <w:rFonts w:eastAsia="Times New Roman"/>
                <w:szCs w:val="24"/>
                <w:lang w:eastAsia="x-none"/>
              </w:rPr>
              <w:t xml:space="preserve">de </w:t>
            </w:r>
            <w:r w:rsidRPr="00A23740">
              <w:rPr>
                <w:rFonts w:eastAsia="Times New Roman"/>
                <w:szCs w:val="24"/>
                <w:lang w:val="x-none" w:eastAsia="x-none"/>
              </w:rPr>
              <w:t>eklen</w:t>
            </w:r>
            <w:r w:rsidRPr="00A23740">
              <w:rPr>
                <w:rFonts w:eastAsia="Times New Roman"/>
                <w:szCs w:val="24"/>
                <w:lang w:eastAsia="x-none"/>
              </w:rPr>
              <w:t>erek açıklık sağlanmıştır.</w:t>
            </w:r>
            <w:r w:rsidRPr="00A23740">
              <w:rPr>
                <w:rFonts w:eastAsia="Times New Roman"/>
                <w:szCs w:val="24"/>
                <w:lang w:val="x-none" w:eastAsia="x-none"/>
              </w:rPr>
              <w:t xml:space="preserve"> </w:t>
            </w:r>
          </w:p>
          <w:p w:rsidR="007F2779" w:rsidRPr="00A23740" w:rsidRDefault="005D29AE" w:rsidP="009431FF">
            <w:pPr>
              <w:tabs>
                <w:tab w:val="left" w:pos="567"/>
              </w:tabs>
              <w:autoSpaceDE w:val="0"/>
              <w:autoSpaceDN w:val="0"/>
              <w:adjustRightInd w:val="0"/>
              <w:ind w:firstLine="709"/>
              <w:rPr>
                <w:szCs w:val="24"/>
              </w:rPr>
            </w:pPr>
            <w:r w:rsidRPr="00A23740">
              <w:rPr>
                <w:bCs/>
                <w:szCs w:val="24"/>
                <w:lang w:eastAsia="x-none"/>
              </w:rPr>
              <w:t>İki</w:t>
            </w:r>
            <w:r w:rsidR="007F2779" w:rsidRPr="00A23740">
              <w:rPr>
                <w:bCs/>
                <w:szCs w:val="24"/>
                <w:lang w:eastAsia="x-none"/>
              </w:rPr>
              <w:t>nci fıkraya göre r</w:t>
            </w:r>
            <w:r w:rsidR="007F2779" w:rsidRPr="00A23740">
              <w:rPr>
                <w:bCs/>
                <w:szCs w:val="24"/>
                <w:lang w:val="x-none" w:eastAsia="x-none"/>
              </w:rPr>
              <w:t>ehinli malın maliki olan üçüncü kişi de ödeme emrine itiraz edebilir.</w:t>
            </w:r>
          </w:p>
          <w:p w:rsidR="007F2779" w:rsidRPr="00A23740" w:rsidRDefault="005D29AE" w:rsidP="009431FF">
            <w:pPr>
              <w:tabs>
                <w:tab w:val="left" w:pos="567"/>
              </w:tabs>
              <w:autoSpaceDE w:val="0"/>
              <w:autoSpaceDN w:val="0"/>
              <w:adjustRightInd w:val="0"/>
              <w:ind w:firstLine="709"/>
              <w:rPr>
                <w:szCs w:val="24"/>
              </w:rPr>
            </w:pPr>
            <w:r w:rsidRPr="00A23740">
              <w:rPr>
                <w:bCs/>
                <w:szCs w:val="24"/>
                <w:lang w:eastAsia="x-none"/>
              </w:rPr>
              <w:t>Üç</w:t>
            </w:r>
            <w:r w:rsidR="007F2779" w:rsidRPr="00A23740">
              <w:rPr>
                <w:bCs/>
                <w:szCs w:val="24"/>
                <w:lang w:eastAsia="x-none"/>
              </w:rPr>
              <w:t>üncü fıkrada re</w:t>
            </w:r>
            <w:r w:rsidR="007F2779" w:rsidRPr="00A23740">
              <w:rPr>
                <w:szCs w:val="24"/>
              </w:rPr>
              <w:t xml:space="preserve">hin hakkına açıkça itiraz </w:t>
            </w:r>
            <w:r w:rsidR="007F2779" w:rsidRPr="00A23740">
              <w:rPr>
                <w:bCs/>
                <w:szCs w:val="24"/>
                <w:lang w:eastAsia="x-none"/>
              </w:rPr>
              <w:t>edilmezse</w:t>
            </w:r>
            <w:r w:rsidR="007F2779" w:rsidRPr="00A23740">
              <w:rPr>
                <w:szCs w:val="24"/>
              </w:rPr>
              <w:t>, rehin hakkı</w:t>
            </w:r>
            <w:r w:rsidR="0035236C" w:rsidRPr="00A23740">
              <w:rPr>
                <w:szCs w:val="24"/>
              </w:rPr>
              <w:t>nın</w:t>
            </w:r>
            <w:r w:rsidR="007F2779" w:rsidRPr="00A23740">
              <w:rPr>
                <w:szCs w:val="24"/>
              </w:rPr>
              <w:t xml:space="preserve"> </w:t>
            </w:r>
            <w:r w:rsidR="007F2779" w:rsidRPr="00A23740">
              <w:rPr>
                <w:bCs/>
                <w:szCs w:val="24"/>
                <w:lang w:eastAsia="x-none"/>
              </w:rPr>
              <w:t>bu</w:t>
            </w:r>
            <w:r w:rsidR="007F2779" w:rsidRPr="00A23740">
              <w:rPr>
                <w:szCs w:val="24"/>
              </w:rPr>
              <w:t xml:space="preserve"> takip </w:t>
            </w:r>
            <w:r w:rsidR="007F2779" w:rsidRPr="00A23740">
              <w:rPr>
                <w:bCs/>
                <w:szCs w:val="24"/>
                <w:lang w:eastAsia="x-none"/>
              </w:rPr>
              <w:t xml:space="preserve">bakımından </w:t>
            </w:r>
            <w:r w:rsidR="007F2779" w:rsidRPr="00A23740">
              <w:rPr>
                <w:bCs/>
                <w:szCs w:val="24"/>
                <w:lang w:val="x-none" w:eastAsia="x-none"/>
              </w:rPr>
              <w:t>kabul edilmiş sayıl</w:t>
            </w:r>
            <w:r w:rsidR="007F2779" w:rsidRPr="00A23740">
              <w:rPr>
                <w:bCs/>
                <w:szCs w:val="24"/>
                <w:lang w:eastAsia="x-none"/>
              </w:rPr>
              <w:t>acağı düzenlenmiştir</w:t>
            </w:r>
            <w:r w:rsidR="007F2779" w:rsidRPr="00A23740">
              <w:rPr>
                <w:bCs/>
                <w:szCs w:val="24"/>
                <w:lang w:val="x-none" w:eastAsia="x-none"/>
              </w:rPr>
              <w:t>.</w:t>
            </w:r>
          </w:p>
          <w:p w:rsidR="007F2779" w:rsidRPr="00A23740" w:rsidRDefault="007F2779" w:rsidP="009431FF">
            <w:pPr>
              <w:tabs>
                <w:tab w:val="left" w:pos="567"/>
              </w:tabs>
              <w:autoSpaceDE w:val="0"/>
              <w:autoSpaceDN w:val="0"/>
              <w:adjustRightInd w:val="0"/>
              <w:ind w:firstLine="709"/>
              <w:rPr>
                <w:bCs/>
                <w:szCs w:val="24"/>
                <w:lang w:val="x-none" w:eastAsia="x-none"/>
              </w:rPr>
            </w:pPr>
            <w:r w:rsidRPr="00A23740">
              <w:rPr>
                <w:bCs/>
                <w:szCs w:val="24"/>
                <w:lang w:eastAsia="x-none"/>
              </w:rPr>
              <w:t xml:space="preserve">Maddenin </w:t>
            </w:r>
            <w:r w:rsidR="005D29AE" w:rsidRPr="00A23740">
              <w:rPr>
                <w:bCs/>
                <w:szCs w:val="24"/>
                <w:lang w:eastAsia="x-none"/>
              </w:rPr>
              <w:t>dörd</w:t>
            </w:r>
            <w:r w:rsidRPr="00A23740">
              <w:rPr>
                <w:bCs/>
                <w:szCs w:val="24"/>
                <w:lang w:eastAsia="x-none"/>
              </w:rPr>
              <w:t>üncü fıkrasına göre s</w:t>
            </w:r>
            <w:r w:rsidRPr="00A23740">
              <w:rPr>
                <w:bCs/>
                <w:szCs w:val="24"/>
                <w:lang w:val="x-none" w:eastAsia="x-none"/>
              </w:rPr>
              <w:t>adece</w:t>
            </w:r>
            <w:r w:rsidRPr="00A23740">
              <w:rPr>
                <w:szCs w:val="24"/>
              </w:rPr>
              <w:t xml:space="preserve"> rehin hakkına itiraz </w:t>
            </w:r>
            <w:r w:rsidRPr="00A23740">
              <w:rPr>
                <w:bCs/>
                <w:szCs w:val="24"/>
                <w:lang w:eastAsia="x-none"/>
              </w:rPr>
              <w:t>edildiği</w:t>
            </w:r>
            <w:r w:rsidRPr="00A23740">
              <w:rPr>
                <w:szCs w:val="24"/>
              </w:rPr>
              <w:t xml:space="preserve"> takdirde, alacaklı, rehnin paraya çevrilmesi yol</w:t>
            </w:r>
            <w:r w:rsidRPr="00A23740">
              <w:rPr>
                <w:bCs/>
                <w:szCs w:val="24"/>
                <w:lang w:val="x-none" w:eastAsia="x-none"/>
              </w:rPr>
              <w:t>u</w:t>
            </w:r>
            <w:r w:rsidRPr="00A23740">
              <w:rPr>
                <w:szCs w:val="24"/>
              </w:rPr>
              <w:t>yl</w:t>
            </w:r>
            <w:r w:rsidRPr="00A23740">
              <w:rPr>
                <w:bCs/>
                <w:szCs w:val="24"/>
                <w:lang w:val="x-none" w:eastAsia="x-none"/>
              </w:rPr>
              <w:t>a</w:t>
            </w:r>
            <w:r w:rsidRPr="00A23740">
              <w:rPr>
                <w:szCs w:val="24"/>
              </w:rPr>
              <w:t xml:space="preserve"> takipten vazgeçerek, takib</w:t>
            </w:r>
            <w:r w:rsidRPr="00A23740">
              <w:rPr>
                <w:bCs/>
                <w:szCs w:val="24"/>
                <w:lang w:eastAsia="x-none"/>
              </w:rPr>
              <w:t>e</w:t>
            </w:r>
            <w:r w:rsidRPr="00A23740">
              <w:rPr>
                <w:szCs w:val="24"/>
              </w:rPr>
              <w:t xml:space="preserve"> haciz yolu</w:t>
            </w:r>
            <w:r w:rsidRPr="00A23740">
              <w:rPr>
                <w:bCs/>
                <w:szCs w:val="24"/>
                <w:lang w:eastAsia="x-none"/>
              </w:rPr>
              <w:t>yla</w:t>
            </w:r>
            <w:r w:rsidRPr="00A23740">
              <w:rPr>
                <w:szCs w:val="24"/>
              </w:rPr>
              <w:t xml:space="preserve"> devam </w:t>
            </w:r>
            <w:r w:rsidRPr="00A23740">
              <w:rPr>
                <w:bCs/>
                <w:szCs w:val="24"/>
                <w:lang w:eastAsia="x-none"/>
              </w:rPr>
              <w:t xml:space="preserve">edilmesini </w:t>
            </w:r>
            <w:r w:rsidRPr="00A23740">
              <w:rPr>
                <w:szCs w:val="24"/>
              </w:rPr>
              <w:t>ist</w:t>
            </w:r>
            <w:r w:rsidRPr="00A23740">
              <w:rPr>
                <w:bCs/>
                <w:szCs w:val="24"/>
                <w:lang w:val="x-none" w:eastAsia="x-none"/>
              </w:rPr>
              <w:t>e</w:t>
            </w:r>
            <w:r w:rsidRPr="00A23740">
              <w:rPr>
                <w:szCs w:val="24"/>
              </w:rPr>
              <w:t>yebilir ve bu takdirde</w:t>
            </w:r>
            <w:r w:rsidRPr="00A23740">
              <w:rPr>
                <w:bCs/>
                <w:strike/>
                <w:szCs w:val="24"/>
              </w:rPr>
              <w:t>,</w:t>
            </w:r>
            <w:r w:rsidRPr="00A23740">
              <w:rPr>
                <w:szCs w:val="24"/>
              </w:rPr>
              <w:t xml:space="preserve"> borçluya mal beyanında bulunması için </w:t>
            </w:r>
            <w:r w:rsidRPr="00A23740">
              <w:rPr>
                <w:bCs/>
                <w:szCs w:val="24"/>
                <w:lang w:val="x-none" w:eastAsia="x-none"/>
              </w:rPr>
              <w:t>bir hafta süre verilir.</w:t>
            </w:r>
            <w:r w:rsidRPr="00A23740">
              <w:rPr>
                <w:bCs/>
                <w:szCs w:val="24"/>
                <w:lang w:eastAsia="x-none"/>
              </w:rPr>
              <w:t xml:space="preserve"> B</w:t>
            </w:r>
            <w:r w:rsidRPr="00A23740">
              <w:rPr>
                <w:rFonts w:eastAsia="Times New Roman"/>
                <w:szCs w:val="24"/>
                <w:lang w:val="x-none" w:eastAsia="x-none"/>
              </w:rPr>
              <w:t xml:space="preserve">orçluya verilecek olan süre alacaklının takibe haciz yoluyla devam etmek istediğinin borçluya tebliğinden itibaren </w:t>
            </w:r>
            <w:r w:rsidRPr="00A23740">
              <w:rPr>
                <w:rFonts w:eastAsia="Times New Roman"/>
                <w:szCs w:val="24"/>
                <w:lang w:eastAsia="x-none"/>
              </w:rPr>
              <w:t>işleyecektir.</w:t>
            </w:r>
            <w:r w:rsidRPr="00A23740">
              <w:rPr>
                <w:rFonts w:eastAsia="Times New Roman"/>
                <w:szCs w:val="24"/>
                <w:lang w:val="x-none" w:eastAsia="x-none"/>
              </w:rPr>
              <w:t xml:space="preserve"> </w:t>
            </w:r>
          </w:p>
          <w:p w:rsidR="005D29AE" w:rsidRPr="00A23740" w:rsidRDefault="005D29AE" w:rsidP="009431FF">
            <w:pPr>
              <w:tabs>
                <w:tab w:val="left" w:pos="567"/>
              </w:tabs>
              <w:ind w:firstLine="709"/>
              <w:rPr>
                <w:bCs/>
                <w:szCs w:val="24"/>
                <w:lang w:eastAsia="x-none"/>
              </w:rPr>
            </w:pPr>
            <w:r w:rsidRPr="00A23740">
              <w:rPr>
                <w:bCs/>
                <w:szCs w:val="24"/>
                <w:lang w:eastAsia="x-none"/>
              </w:rPr>
              <w:t>Beş</w:t>
            </w:r>
            <w:r w:rsidR="007F2779" w:rsidRPr="00A23740">
              <w:rPr>
                <w:bCs/>
                <w:szCs w:val="24"/>
                <w:lang w:eastAsia="x-none"/>
              </w:rPr>
              <w:t>inci fıkraya göre ö</w:t>
            </w:r>
            <w:r w:rsidR="007F2779" w:rsidRPr="00A23740">
              <w:rPr>
                <w:bCs/>
                <w:szCs w:val="24"/>
                <w:lang w:val="x-none" w:eastAsia="x-none"/>
              </w:rPr>
              <w:t xml:space="preserve">deme emrine itiraz hakkında, </w:t>
            </w:r>
            <w:r w:rsidR="000C4918" w:rsidRPr="00D6648F">
              <w:rPr>
                <w:bCs/>
                <w:szCs w:val="24"/>
                <w:lang w:eastAsia="x-none"/>
              </w:rPr>
              <w:t>86</w:t>
            </w:r>
            <w:r w:rsidR="000C4918" w:rsidRPr="00A23740">
              <w:rPr>
                <w:rStyle w:val="Balk1Char"/>
                <w:rFonts w:eastAsia="Calibri"/>
              </w:rPr>
              <w:t xml:space="preserve"> </w:t>
            </w:r>
            <w:r w:rsidR="000C4918" w:rsidRPr="00D6648F">
              <w:rPr>
                <w:bCs/>
                <w:szCs w:val="24"/>
                <w:lang w:eastAsia="x-none"/>
              </w:rPr>
              <w:t>ncı</w:t>
            </w:r>
            <w:r w:rsidR="000C4918" w:rsidRPr="00A23740">
              <w:t xml:space="preserve">, </w:t>
            </w:r>
            <w:r w:rsidR="000C4918" w:rsidRPr="00D6648F">
              <w:rPr>
                <w:bCs/>
                <w:szCs w:val="24"/>
                <w:lang w:eastAsia="x-none"/>
              </w:rPr>
              <w:t>90</w:t>
            </w:r>
            <w:r w:rsidR="000C4918" w:rsidRPr="00D6648F">
              <w:rPr>
                <w:b/>
                <w:szCs w:val="24"/>
                <w:lang w:eastAsia="x-none"/>
              </w:rPr>
              <w:t xml:space="preserve"> </w:t>
            </w:r>
            <w:r w:rsidR="000C4918" w:rsidRPr="00D6648F">
              <w:rPr>
                <w:bCs/>
                <w:szCs w:val="24"/>
                <w:lang w:eastAsia="x-none"/>
              </w:rPr>
              <w:t>il</w:t>
            </w:r>
            <w:r w:rsidR="00F25FDB" w:rsidRPr="00D6648F">
              <w:rPr>
                <w:bCs/>
                <w:szCs w:val="24"/>
                <w:lang w:eastAsia="x-none"/>
              </w:rPr>
              <w:t>a</w:t>
            </w:r>
            <w:r w:rsidR="000C4918" w:rsidRPr="00D6648F">
              <w:rPr>
                <w:b/>
                <w:szCs w:val="24"/>
                <w:lang w:eastAsia="x-none"/>
              </w:rPr>
              <w:t xml:space="preserve"> </w:t>
            </w:r>
            <w:r w:rsidR="000C4918" w:rsidRPr="00D6648F">
              <w:rPr>
                <w:bCs/>
                <w:szCs w:val="24"/>
                <w:lang w:eastAsia="x-none"/>
              </w:rPr>
              <w:t>101</w:t>
            </w:r>
            <w:r w:rsidR="000C4918" w:rsidRPr="00D6648F">
              <w:rPr>
                <w:b/>
                <w:szCs w:val="24"/>
                <w:lang w:eastAsia="x-none"/>
              </w:rPr>
              <w:t xml:space="preserve"> </w:t>
            </w:r>
            <w:r w:rsidR="000C4918" w:rsidRPr="00D6648F">
              <w:rPr>
                <w:bCs/>
                <w:szCs w:val="24"/>
                <w:lang w:eastAsia="x-none"/>
              </w:rPr>
              <w:t>inci</w:t>
            </w:r>
            <w:r w:rsidR="000C4918" w:rsidRPr="00A23740">
              <w:t xml:space="preserve"> </w:t>
            </w:r>
            <w:r w:rsidR="007F2779" w:rsidRPr="00A23740">
              <w:rPr>
                <w:bCs/>
                <w:szCs w:val="24"/>
                <w:lang w:val="x-none" w:eastAsia="x-none"/>
              </w:rPr>
              <w:t>maddeler uygulan</w:t>
            </w:r>
            <w:r w:rsidR="007F2779" w:rsidRPr="00A23740">
              <w:rPr>
                <w:bCs/>
                <w:szCs w:val="24"/>
                <w:lang w:eastAsia="x-none"/>
              </w:rPr>
              <w:t>acaktır.</w:t>
            </w:r>
          </w:p>
          <w:p w:rsidR="00155AF4" w:rsidRPr="00A23740" w:rsidRDefault="00155AF4"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jc w:val="center"/>
              <w:rPr>
                <w:szCs w:val="24"/>
              </w:rPr>
            </w:pPr>
            <w:r w:rsidRPr="00A23740">
              <w:rPr>
                <w:b/>
                <w:bCs/>
                <w:strike/>
                <w:color w:val="FF0000"/>
                <w:szCs w:val="24"/>
              </w:rPr>
              <w:t>II -</w:t>
            </w:r>
            <w:r w:rsidRPr="00A23740">
              <w:rPr>
                <w:b/>
                <w:szCs w:val="24"/>
              </w:rPr>
              <w:t xml:space="preserve"> İPOTEĞİN PARAYA ÇEVRİLMESİ</w:t>
            </w:r>
          </w:p>
          <w:p w:rsidR="00155AF4" w:rsidRPr="00A23740" w:rsidRDefault="00155AF4" w:rsidP="009431FF">
            <w:pPr>
              <w:tabs>
                <w:tab w:val="left" w:pos="566"/>
              </w:tabs>
              <w:autoSpaceDE w:val="0"/>
              <w:autoSpaceDN w:val="0"/>
              <w:adjustRightInd w:val="0"/>
              <w:rPr>
                <w:b/>
                <w:szCs w:val="24"/>
              </w:rPr>
            </w:pPr>
          </w:p>
          <w:p w:rsidR="00155AF4" w:rsidRPr="00A23740" w:rsidRDefault="00155AF4" w:rsidP="009431FF">
            <w:pPr>
              <w:tabs>
                <w:tab w:val="left" w:pos="566"/>
              </w:tabs>
              <w:autoSpaceDE w:val="0"/>
              <w:autoSpaceDN w:val="0"/>
              <w:adjustRightInd w:val="0"/>
              <w:rPr>
                <w:rFonts w:eastAsia="Times New Roman"/>
                <w:b/>
                <w:iCs/>
                <w:strike/>
                <w:color w:val="FF0000"/>
                <w:szCs w:val="24"/>
                <w:lang w:eastAsia="tr-TR"/>
              </w:rPr>
            </w:pPr>
            <w:r w:rsidRPr="00A23740">
              <w:rPr>
                <w:b/>
                <w:szCs w:val="24"/>
              </w:rPr>
              <w:t>Takip talebi</w:t>
            </w:r>
            <w:r w:rsidRPr="00A23740">
              <w:rPr>
                <w:rFonts w:eastAsia="Times New Roman"/>
                <w:b/>
                <w:strike/>
                <w:color w:val="FF0000"/>
                <w:szCs w:val="24"/>
                <w:lang w:eastAsia="tr-TR"/>
              </w:rPr>
              <w:t xml:space="preserve"> :</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148 – (1) (Değişik</w:t>
            </w:r>
            <w:r w:rsidRPr="00A23740">
              <w:rPr>
                <w:b/>
                <w:strike/>
                <w:color w:val="FF0000"/>
                <w:szCs w:val="24"/>
                <w:lang w:eastAsia="tr-TR"/>
              </w:rPr>
              <w:t>: 18/2/1965 - 538/68 md.)</w:t>
            </w: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Taşınmaz</w:t>
            </w:r>
            <w:r w:rsidRPr="00A23740">
              <w:rPr>
                <w:szCs w:val="24"/>
              </w:rPr>
              <w:t xml:space="preserve"> </w:t>
            </w:r>
            <w:r w:rsidRPr="00A23740">
              <w:rPr>
                <w:b/>
                <w:strike/>
                <w:color w:val="FF0000"/>
                <w:szCs w:val="24"/>
                <w:lang w:eastAsia="tr-TR"/>
              </w:rPr>
              <w:t xml:space="preserve">ipotek alacaklısı, </w:t>
            </w:r>
            <w:r w:rsidRPr="00A23740">
              <w:rPr>
                <w:b/>
                <w:strike/>
                <w:color w:val="FF0000"/>
                <w:szCs w:val="24"/>
              </w:rPr>
              <w:t xml:space="preserve">yetkili veya taşınmazın bulunduğu yer icra dairesine elindeki ipotek </w:t>
            </w:r>
            <w:r w:rsidRPr="00A23740">
              <w:rPr>
                <w:b/>
                <w:strike/>
                <w:color w:val="FF0000"/>
                <w:szCs w:val="24"/>
                <w:lang w:eastAsia="tr-TR"/>
              </w:rPr>
              <w:t xml:space="preserve">belgesinin akit tablosunun tapu idaresince verilmiş resmi </w:t>
            </w:r>
            <w:r w:rsidRPr="00A23740">
              <w:rPr>
                <w:b/>
                <w:strike/>
                <w:color w:val="FF0000"/>
                <w:szCs w:val="24"/>
              </w:rPr>
              <w:t>bir örneğini</w:t>
            </w:r>
            <w:r w:rsidRPr="00A23740">
              <w:rPr>
                <w:b/>
                <w:strike/>
                <w:color w:val="FF0000"/>
                <w:szCs w:val="24"/>
                <w:lang w:eastAsia="tr-TR"/>
              </w:rPr>
              <w:t xml:space="preserve"> ibrazla alacağın miktarını bildirir ve 58 </w:t>
            </w:r>
            <w:r w:rsidRPr="00A23740">
              <w:rPr>
                <w:b/>
                <w:strike/>
                <w:color w:val="FF0000"/>
                <w:szCs w:val="24"/>
              </w:rPr>
              <w:t>inci maddeye göre takip talebinde bulunur.</w:t>
            </w: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rPr>
                <w:b/>
                <w:iCs/>
                <w:color w:val="FF3399"/>
                <w:szCs w:val="24"/>
              </w:rPr>
            </w:pPr>
          </w:p>
        </w:tc>
        <w:tc>
          <w:tcPr>
            <w:tcW w:w="2500" w:type="pct"/>
            <w:shd w:val="clear" w:color="auto" w:fill="auto"/>
          </w:tcPr>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ÜÇÜNCÜ AYRIM</w:t>
            </w:r>
          </w:p>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İpoteğin Paraya Çevrilmesi</w:t>
            </w:r>
          </w:p>
          <w:p w:rsidR="00155AF4" w:rsidRPr="00A23740" w:rsidRDefault="00155AF4" w:rsidP="009431FF">
            <w:pPr>
              <w:tabs>
                <w:tab w:val="left" w:pos="567"/>
              </w:tabs>
              <w:autoSpaceDE w:val="0"/>
              <w:autoSpaceDN w:val="0"/>
              <w:adjustRightInd w:val="0"/>
              <w:jc w:val="center"/>
              <w:rPr>
                <w:szCs w:val="24"/>
              </w:rPr>
            </w:pPr>
          </w:p>
          <w:p w:rsidR="00155AF4" w:rsidRPr="00A23740" w:rsidRDefault="00155AF4" w:rsidP="009431FF">
            <w:pPr>
              <w:tabs>
                <w:tab w:val="left" w:pos="567"/>
              </w:tabs>
              <w:autoSpaceDE w:val="0"/>
              <w:autoSpaceDN w:val="0"/>
              <w:adjustRightInd w:val="0"/>
              <w:rPr>
                <w:b/>
                <w:szCs w:val="24"/>
              </w:rPr>
            </w:pPr>
            <w:r w:rsidRPr="00A23740">
              <w:rPr>
                <w:b/>
                <w:szCs w:val="24"/>
              </w:rPr>
              <w:t>Takip talebi</w:t>
            </w:r>
          </w:p>
          <w:p w:rsidR="00155AF4" w:rsidRPr="00A23740" w:rsidRDefault="00FC7A09" w:rsidP="009431FF">
            <w:pPr>
              <w:tabs>
                <w:tab w:val="left" w:pos="567"/>
              </w:tabs>
              <w:rPr>
                <w:b/>
                <w:bCs/>
                <w:color w:val="0000FF"/>
                <w:szCs w:val="24"/>
                <w:lang w:val="x-none" w:eastAsia="x-none"/>
              </w:rPr>
            </w:pPr>
            <w:r w:rsidRPr="00A23740">
              <w:rPr>
                <w:b/>
                <w:bCs/>
                <w:color w:val="0000FF"/>
                <w:szCs w:val="24"/>
                <w:lang w:val="x-none" w:eastAsia="x-none"/>
              </w:rPr>
              <w:t>MADDE 118</w:t>
            </w:r>
            <w:r w:rsidR="00155AF4" w:rsidRPr="00A23740">
              <w:rPr>
                <w:b/>
                <w:bCs/>
                <w:color w:val="0000FF"/>
                <w:szCs w:val="24"/>
                <w:lang w:val="x-none" w:eastAsia="x-none"/>
              </w:rPr>
              <w:t>- (1) Takip talebi</w:t>
            </w:r>
            <w:r w:rsidR="00155AF4" w:rsidRPr="00A23740">
              <w:rPr>
                <w:color w:val="0000FF"/>
                <w:szCs w:val="24"/>
                <w:lang w:eastAsia="x-none"/>
              </w:rPr>
              <w:t>,</w:t>
            </w:r>
            <w:r w:rsidR="00155AF4" w:rsidRPr="00A23740">
              <w:rPr>
                <w:b/>
                <w:bCs/>
                <w:color w:val="0000FF"/>
                <w:szCs w:val="24"/>
                <w:lang w:val="x-none" w:eastAsia="x-none"/>
              </w:rPr>
              <w:t xml:space="preserve"> icra</w:t>
            </w:r>
            <w:r w:rsidR="00155AF4" w:rsidRPr="00A23740">
              <w:rPr>
                <w:b/>
                <w:bCs/>
                <w:color w:val="0000FF"/>
                <w:szCs w:val="24"/>
                <w:lang w:eastAsia="x-none"/>
              </w:rPr>
              <w:t xml:space="preserve"> </w:t>
            </w:r>
            <w:r w:rsidR="00155AF4" w:rsidRPr="00A23740">
              <w:rPr>
                <w:rStyle w:val="MaviChar"/>
              </w:rPr>
              <w:t>ve iflas</w:t>
            </w:r>
            <w:r w:rsidR="00155AF4" w:rsidRPr="00A23740">
              <w:rPr>
                <w:b/>
                <w:bCs/>
                <w:color w:val="0000FF"/>
                <w:szCs w:val="24"/>
                <w:lang w:val="x-none" w:eastAsia="x-none"/>
              </w:rPr>
              <w:t xml:space="preserve"> dairesine yazılı veya sözlü olarak yapılır.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eastAsia="x-none"/>
              </w:rPr>
            </w:pPr>
            <w:r w:rsidRPr="00A23740">
              <w:rPr>
                <w:b/>
                <w:bCs/>
                <w:color w:val="0000FF"/>
                <w:szCs w:val="24"/>
                <w:lang w:val="x-none" w:eastAsia="x-none"/>
              </w:rPr>
              <w:t xml:space="preserve">(2) Takip talebinde aşağıdaki hususlar </w:t>
            </w:r>
            <w:r w:rsidRPr="00A23740">
              <w:rPr>
                <w:b/>
                <w:bCs/>
                <w:color w:val="0000FF"/>
                <w:szCs w:val="24"/>
                <w:lang w:eastAsia="x-none"/>
              </w:rPr>
              <w:t xml:space="preserve">bulunur </w:t>
            </w:r>
            <w:r w:rsidRPr="00A23740">
              <w:rPr>
                <w:b/>
                <w:bCs/>
                <w:color w:val="0000FF"/>
                <w:szCs w:val="24"/>
                <w:lang w:val="x-none" w:eastAsia="x-none"/>
              </w:rPr>
              <w:t>ve takip taleb</w:t>
            </w:r>
            <w:r w:rsidR="00A9499F" w:rsidRPr="00A23740">
              <w:rPr>
                <w:b/>
                <w:bCs/>
                <w:color w:val="0000FF"/>
                <w:szCs w:val="24"/>
                <w:lang w:val="x-none" w:eastAsia="x-none"/>
              </w:rPr>
              <w:t>ine aşağıdaki belgeler eklenir:</w:t>
            </w:r>
          </w:p>
          <w:p w:rsidR="00155AF4" w:rsidRPr="00A23740" w:rsidRDefault="00155AF4" w:rsidP="009431FF">
            <w:pPr>
              <w:tabs>
                <w:tab w:val="left" w:pos="567"/>
              </w:tabs>
              <w:rPr>
                <w:b/>
                <w:bCs/>
                <w:color w:val="0000FF"/>
                <w:szCs w:val="24"/>
                <w:lang w:eastAsia="x-none"/>
              </w:rPr>
            </w:pPr>
            <w:r w:rsidRPr="00A23740">
              <w:rPr>
                <w:b/>
                <w:bCs/>
                <w:color w:val="0000FF"/>
                <w:szCs w:val="24"/>
                <w:lang w:val="x-none" w:eastAsia="x-none"/>
              </w:rPr>
              <w:t xml:space="preserve">a) </w:t>
            </w:r>
            <w:r w:rsidRPr="00A23740">
              <w:rPr>
                <w:b/>
                <w:bCs/>
                <w:color w:val="0000FF"/>
                <w:szCs w:val="24"/>
                <w:lang w:eastAsia="x-none"/>
              </w:rPr>
              <w:t xml:space="preserve">87 nci </w:t>
            </w:r>
            <w:r w:rsidRPr="00A23740">
              <w:rPr>
                <w:b/>
                <w:bCs/>
                <w:color w:val="0000FF"/>
                <w:szCs w:val="24"/>
                <w:lang w:val="x-none" w:eastAsia="x-none"/>
              </w:rPr>
              <w:t>maddenin ikinci fıkrasında yazılanlar</w:t>
            </w:r>
            <w:r w:rsidRPr="00A23740">
              <w:rPr>
                <w:b/>
                <w:bCs/>
                <w:color w:val="0000FF"/>
                <w:szCs w:val="24"/>
                <w:lang w:eastAsia="x-none"/>
              </w:rPr>
              <w:t>.</w:t>
            </w:r>
          </w:p>
          <w:p w:rsidR="00537077" w:rsidRPr="00A23740" w:rsidRDefault="00537077" w:rsidP="009431FF">
            <w:pPr>
              <w:tabs>
                <w:tab w:val="left" w:pos="567"/>
              </w:tabs>
              <w:rPr>
                <w:b/>
                <w:bCs/>
                <w:color w:val="0000FF"/>
                <w:szCs w:val="24"/>
                <w:lang w:eastAsia="x-none"/>
              </w:rPr>
            </w:pPr>
          </w:p>
          <w:p w:rsidR="00155AF4" w:rsidRPr="00A23740" w:rsidRDefault="00155AF4" w:rsidP="009431FF">
            <w:pPr>
              <w:pStyle w:val="Mavi"/>
            </w:pPr>
            <w:r w:rsidRPr="00A23740">
              <w:t>b) İpotekli taşınmazın ne olduğu ve ipotek üçüncü kişiye ait bir taşınmaz üzerinde tesis edilmiş veya ipotekli taşınmazın mülkiyeti üçüncü kişi</w:t>
            </w:r>
            <w:r w:rsidR="00A9499F" w:rsidRPr="00A23740">
              <w:t>ye geçmiş</w:t>
            </w:r>
            <w:r w:rsidR="00E23F7E" w:rsidRPr="00D6648F">
              <w:t>se,</w:t>
            </w:r>
            <w:r w:rsidR="00A9499F" w:rsidRPr="00A23740">
              <w:rPr>
                <w:color w:val="538135"/>
              </w:rPr>
              <w:t xml:space="preserve"> </w:t>
            </w:r>
            <w:r w:rsidR="00A9499F" w:rsidRPr="00A23740">
              <w:t>bu üçüncü kişinin ve</w:t>
            </w:r>
            <w:r w:rsidRPr="00A23740">
              <w:t xml:space="preserve"> ipotekli mal üzerinde sonraki sırada ipotek bulunması h</w:t>
            </w:r>
            <w:r w:rsidR="00F906A7" w:rsidRPr="00A23740">
              <w:rPr>
                <w:lang w:val="tr-TR"/>
              </w:rPr>
              <w:t>â</w:t>
            </w:r>
            <w:r w:rsidRPr="00A23740">
              <w:t>linde ise sonraki sırada ipotek hakkına sahip olanın 87 nci maddenin ikinci fıkrasının (b) bendinde belirtilen bil</w:t>
            </w:r>
            <w:r w:rsidR="00EE0AAC" w:rsidRPr="00A23740">
              <w:t>gileri.</w:t>
            </w:r>
          </w:p>
          <w:p w:rsidR="00537077" w:rsidRPr="00A23740" w:rsidRDefault="00537077" w:rsidP="009431FF">
            <w:pPr>
              <w:pStyle w:val="Mavi"/>
            </w:pPr>
          </w:p>
          <w:p w:rsidR="00155AF4" w:rsidRPr="00A23740" w:rsidRDefault="00155AF4" w:rsidP="009431FF">
            <w:pPr>
              <w:tabs>
                <w:tab w:val="left" w:pos="567"/>
              </w:tabs>
              <w:rPr>
                <w:b/>
                <w:bCs/>
                <w:color w:val="0000FF"/>
                <w:szCs w:val="24"/>
                <w:lang w:eastAsia="x-none"/>
              </w:rPr>
            </w:pPr>
            <w:r w:rsidRPr="00A23740">
              <w:rPr>
                <w:b/>
                <w:bCs/>
                <w:color w:val="0000FF"/>
                <w:szCs w:val="24"/>
                <w:lang w:eastAsia="x-none"/>
              </w:rPr>
              <w:t>c)</w:t>
            </w:r>
            <w:r w:rsidRPr="00A23740">
              <w:rPr>
                <w:b/>
                <w:bCs/>
                <w:color w:val="0000FF"/>
                <w:szCs w:val="24"/>
                <w:lang w:val="x-none" w:eastAsia="x-none"/>
              </w:rPr>
              <w:t xml:space="preserve"> </w:t>
            </w:r>
            <w:r w:rsidRPr="00A23740">
              <w:rPr>
                <w:b/>
                <w:bCs/>
                <w:color w:val="0000FF"/>
                <w:szCs w:val="24"/>
                <w:lang w:eastAsia="x-none"/>
              </w:rPr>
              <w:t>İ</w:t>
            </w:r>
            <w:r w:rsidRPr="00A23740">
              <w:rPr>
                <w:b/>
                <w:bCs/>
                <w:color w:val="0000FF"/>
                <w:szCs w:val="24"/>
                <w:lang w:val="x-none" w:eastAsia="x-none"/>
              </w:rPr>
              <w:t>potekli taşınmaz aile konutu ise eşin adı, soyadı</w:t>
            </w:r>
            <w:r w:rsidRPr="00A23740">
              <w:rPr>
                <w:b/>
                <w:bCs/>
                <w:color w:val="0000FF"/>
                <w:szCs w:val="24"/>
                <w:lang w:eastAsia="x-none"/>
              </w:rPr>
              <w:t>,</w:t>
            </w:r>
            <w:r w:rsidRPr="00A23740">
              <w:rPr>
                <w:b/>
                <w:bCs/>
                <w:color w:val="0000FF"/>
                <w:szCs w:val="24"/>
                <w:lang w:val="x-none" w:eastAsia="x-none"/>
              </w:rPr>
              <w:t xml:space="preserve"> biliniyorsa Türkiye Cumhuriyeti kimlik numarası</w:t>
            </w:r>
            <w:r w:rsidRPr="00A23740">
              <w:rPr>
                <w:b/>
                <w:bCs/>
                <w:color w:val="0000FF"/>
                <w:szCs w:val="24"/>
                <w:lang w:eastAsia="x-none"/>
              </w:rPr>
              <w:t>.</w:t>
            </w:r>
          </w:p>
          <w:p w:rsidR="00537077" w:rsidRPr="00A23740" w:rsidRDefault="00537077" w:rsidP="009431FF">
            <w:pPr>
              <w:tabs>
                <w:tab w:val="left" w:pos="567"/>
              </w:tabs>
              <w:rPr>
                <w:b/>
                <w:bCs/>
                <w:color w:val="0000FF"/>
                <w:szCs w:val="24"/>
                <w:lang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eastAsia="x-none"/>
              </w:rPr>
              <w:t>ç)</w:t>
            </w:r>
            <w:r w:rsidRPr="00A23740">
              <w:rPr>
                <w:b/>
                <w:bCs/>
                <w:color w:val="0000FF"/>
                <w:szCs w:val="24"/>
                <w:lang w:val="x-none" w:eastAsia="x-none"/>
              </w:rPr>
              <w:t xml:space="preserve"> Takibin dayanağı olan ipotek sözleşmesini </w:t>
            </w:r>
            <w:r w:rsidR="00D80D00" w:rsidRPr="00A23740">
              <w:rPr>
                <w:b/>
                <w:bCs/>
                <w:color w:val="0000FF"/>
                <w:szCs w:val="24"/>
                <w:lang w:eastAsia="x-none"/>
              </w:rPr>
              <w:t xml:space="preserve">içeren resmî senedin tapu </w:t>
            </w:r>
            <w:r w:rsidRPr="00A23740">
              <w:rPr>
                <w:b/>
                <w:bCs/>
                <w:color w:val="0000FF"/>
                <w:szCs w:val="24"/>
                <w:lang w:val="x-none" w:eastAsia="x-none"/>
              </w:rPr>
              <w:t>idares</w:t>
            </w:r>
            <w:r w:rsidR="007C1875" w:rsidRPr="00A23740">
              <w:rPr>
                <w:b/>
                <w:bCs/>
                <w:color w:val="0000FF"/>
                <w:szCs w:val="24"/>
                <w:lang w:val="x-none" w:eastAsia="x-none"/>
              </w:rPr>
              <w:t>ince verilmiş bir örneği.</w:t>
            </w:r>
          </w:p>
          <w:p w:rsidR="00C75513" w:rsidRPr="00A23740" w:rsidRDefault="00C75513" w:rsidP="009431FF">
            <w:pPr>
              <w:tabs>
                <w:tab w:val="left" w:pos="567"/>
              </w:tabs>
              <w:autoSpaceDE w:val="0"/>
              <w:autoSpaceDN w:val="0"/>
              <w:adjustRightInd w:val="0"/>
              <w:rPr>
                <w:szCs w:val="24"/>
              </w:rPr>
            </w:pPr>
          </w:p>
          <w:p w:rsidR="00155AF4" w:rsidRPr="00A23740" w:rsidRDefault="00155AF4" w:rsidP="009431FF">
            <w:pPr>
              <w:pStyle w:val="Mavi"/>
            </w:pPr>
            <w:r w:rsidRPr="00A23740">
              <w:t xml:space="preserve">(3) İkinci fıkranın (ç) bendinde </w:t>
            </w:r>
            <w:r w:rsidR="002D2588" w:rsidRPr="00A23740">
              <w:rPr>
                <w:lang w:val="tr-TR"/>
              </w:rPr>
              <w:t xml:space="preserve">belirtilen </w:t>
            </w:r>
            <w:r w:rsidRPr="00A23740">
              <w:t>belge</w:t>
            </w:r>
            <w:r w:rsidR="002D2588" w:rsidRPr="00A23740">
              <w:rPr>
                <w:lang w:val="tr-TR"/>
              </w:rPr>
              <w:t xml:space="preserve"> </w:t>
            </w:r>
            <w:r w:rsidR="00337BD1" w:rsidRPr="00D6648F">
              <w:t>ile</w:t>
            </w:r>
            <w:r w:rsidR="00337BD1" w:rsidRPr="00A23740">
              <w:rPr>
                <w:color w:val="538135"/>
              </w:rPr>
              <w:t xml:space="preserve"> </w:t>
            </w:r>
            <w:r w:rsidRPr="00A23740">
              <w:t xml:space="preserve">borçlu sayısı kadar </w:t>
            </w:r>
            <w:r w:rsidR="00337BD1" w:rsidRPr="00D6648F">
              <w:t>onaylanmış</w:t>
            </w:r>
            <w:r w:rsidR="00337BD1" w:rsidRPr="00A23740">
              <w:rPr>
                <w:color w:val="538135"/>
              </w:rPr>
              <w:t xml:space="preserve"> </w:t>
            </w:r>
            <w:r w:rsidRPr="00A23740">
              <w:t xml:space="preserve">örneğinin takip talebiyle birlikte icra </w:t>
            </w:r>
            <w:r w:rsidRPr="00A23740">
              <w:rPr>
                <w:rStyle w:val="MaviChar"/>
                <w:b/>
                <w:bCs/>
              </w:rPr>
              <w:t>ve iflas</w:t>
            </w:r>
            <w:r w:rsidRPr="00A23740">
              <w:t xml:space="preserve"> dairesine </w:t>
            </w:r>
            <w:r w:rsidRPr="00A23740">
              <w:rPr>
                <w:rStyle w:val="MaviChar"/>
                <w:b/>
                <w:bCs/>
              </w:rPr>
              <w:t>verilmesi</w:t>
            </w:r>
            <w:r w:rsidRPr="00A23740">
              <w:t xml:space="preserve"> zorunludur. İpotek sözleşmesini </w:t>
            </w:r>
            <w:r w:rsidR="002D2588" w:rsidRPr="00A23740">
              <w:rPr>
                <w:lang w:val="tr-TR"/>
              </w:rPr>
              <w:t xml:space="preserve">içeren resmî senedin örneğinin </w:t>
            </w:r>
            <w:r w:rsidRPr="00A23740">
              <w:t>iadesi</w:t>
            </w:r>
            <w:r w:rsidR="000C4918" w:rsidRPr="00A23740">
              <w:rPr>
                <w:lang w:val="tr-TR"/>
              </w:rPr>
              <w:t xml:space="preserve"> </w:t>
            </w:r>
            <w:r w:rsidR="000C4918" w:rsidRPr="00D6648F">
              <w:rPr>
                <w:rStyle w:val="KonuBalChar"/>
                <w:rFonts w:eastAsia="Calibri"/>
                <w:b/>
                <w:color w:val="0000FF"/>
              </w:rPr>
              <w:t>266</w:t>
            </w:r>
            <w:r w:rsidR="000C4918" w:rsidRPr="00A23740">
              <w:rPr>
                <w:rStyle w:val="KonuBalChar"/>
                <w:rFonts w:eastAsia="Calibri"/>
                <w:b/>
              </w:rPr>
              <w:t xml:space="preserve"> </w:t>
            </w:r>
            <w:r w:rsidR="000C4918" w:rsidRPr="00D6648F">
              <w:rPr>
                <w:rStyle w:val="KonuBalChar"/>
                <w:rFonts w:eastAsia="Calibri"/>
                <w:b/>
                <w:color w:val="0000FF"/>
              </w:rPr>
              <w:t>ncı</w:t>
            </w:r>
            <w:r w:rsidRPr="00A23740">
              <w:t xml:space="preserve"> madde hükmü uyarınca gerçekleştirilir.</w:t>
            </w:r>
          </w:p>
          <w:p w:rsidR="00F05011" w:rsidRPr="00A23740" w:rsidRDefault="00F05011" w:rsidP="009431FF">
            <w:pPr>
              <w:autoSpaceDE w:val="0"/>
              <w:autoSpaceDN w:val="0"/>
              <w:adjustRightInd w:val="0"/>
              <w:rPr>
                <w:b/>
                <w:bCs/>
                <w:color w:val="FF0000"/>
                <w:szCs w:val="24"/>
              </w:rPr>
            </w:pPr>
          </w:p>
          <w:p w:rsidR="00155AF4" w:rsidRPr="00A23740" w:rsidRDefault="00155AF4" w:rsidP="009431FF">
            <w:pPr>
              <w:pStyle w:val="Mavi"/>
            </w:pPr>
            <w:r w:rsidRPr="00A23740">
              <w:t>(4) Alacaklıya takip talebinde bulunduğuna ve verdiği</w:t>
            </w:r>
            <w:r w:rsidR="00BA30A1" w:rsidRPr="00A23740">
              <w:rPr>
                <w:lang w:val="tr-TR"/>
              </w:rPr>
              <w:t xml:space="preserve"> </w:t>
            </w:r>
            <w:r w:rsidR="00BA30A1" w:rsidRPr="00D6648F">
              <w:t>belgeler</w:t>
            </w:r>
            <w:r w:rsidR="00BA30A1" w:rsidRPr="00A23740">
              <w:rPr>
                <w:color w:val="538135"/>
              </w:rPr>
              <w:t xml:space="preserve"> </w:t>
            </w:r>
            <w:r w:rsidR="00BA30A1" w:rsidRPr="00D6648F">
              <w:t>ile</w:t>
            </w:r>
            <w:r w:rsidRPr="00A23740">
              <w:t xml:space="preserve"> takip </w:t>
            </w:r>
            <w:r w:rsidRPr="00A23740">
              <w:rPr>
                <w:lang w:val="tr-TR"/>
              </w:rPr>
              <w:t>giderlerine</w:t>
            </w:r>
            <w:r w:rsidRPr="00A23740">
              <w:t xml:space="preserve"> dair ücretsiz bir alındı belgesi verilir.</w:t>
            </w:r>
          </w:p>
          <w:p w:rsidR="00155AF4" w:rsidRPr="00A23740" w:rsidRDefault="00155AF4" w:rsidP="009431FF">
            <w:pPr>
              <w:autoSpaceDE w:val="0"/>
              <w:autoSpaceDN w:val="0"/>
              <w:adjustRightInd w:val="0"/>
              <w:rPr>
                <w:szCs w:val="24"/>
              </w:rPr>
            </w:pPr>
          </w:p>
          <w:p w:rsidR="00155AF4" w:rsidRPr="00A23740" w:rsidRDefault="00155AF4" w:rsidP="009431FF">
            <w:pPr>
              <w:autoSpaceDE w:val="0"/>
              <w:autoSpaceDN w:val="0"/>
              <w:adjustRightInd w:val="0"/>
              <w:rPr>
                <w:b/>
                <w:bCs/>
                <w:color w:val="0000FF"/>
                <w:szCs w:val="24"/>
                <w:lang w:val="x-none" w:eastAsia="x-none"/>
              </w:rPr>
            </w:pPr>
            <w:r w:rsidRPr="00A23740">
              <w:rPr>
                <w:b/>
                <w:bCs/>
                <w:color w:val="0000FF"/>
                <w:szCs w:val="24"/>
                <w:lang w:val="x-none" w:eastAsia="x-none"/>
              </w:rPr>
              <w:t>(5) Takip, takip talebinin kaydedildiği tarihte başlatılmış sayılır.</w:t>
            </w:r>
          </w:p>
          <w:p w:rsidR="005E7DF7" w:rsidRPr="00A23740" w:rsidRDefault="005E7DF7" w:rsidP="009431FF">
            <w:pPr>
              <w:tabs>
                <w:tab w:val="left" w:pos="566"/>
              </w:tabs>
              <w:autoSpaceDE w:val="0"/>
              <w:autoSpaceDN w:val="0"/>
              <w:adjustRightInd w:val="0"/>
              <w:rPr>
                <w:rFonts w:eastAsia="Times New Roman"/>
                <w:b/>
                <w:color w:val="0000FF"/>
                <w:szCs w:val="24"/>
                <w:lang w:eastAsia="tr-TR"/>
              </w:rPr>
            </w:pPr>
          </w:p>
        </w:tc>
      </w:tr>
      <w:tr w:rsidR="00895D8A" w:rsidRPr="00A23740" w:rsidTr="009431FF">
        <w:tc>
          <w:tcPr>
            <w:tcW w:w="5000" w:type="pct"/>
            <w:gridSpan w:val="2"/>
            <w:shd w:val="clear" w:color="auto" w:fill="DEEAF6"/>
          </w:tcPr>
          <w:p w:rsidR="00FB229B" w:rsidRPr="00A23740" w:rsidRDefault="00FB229B" w:rsidP="009431FF">
            <w:pPr>
              <w:tabs>
                <w:tab w:val="left" w:pos="567"/>
              </w:tabs>
              <w:ind w:firstLine="567"/>
              <w:rPr>
                <w:b/>
                <w:bCs/>
                <w:szCs w:val="24"/>
                <w:lang w:eastAsia="x-none"/>
              </w:rPr>
            </w:pPr>
          </w:p>
          <w:p w:rsidR="00895D8A" w:rsidRPr="00A23740" w:rsidRDefault="00895D8A" w:rsidP="009431FF">
            <w:pPr>
              <w:tabs>
                <w:tab w:val="left" w:pos="567"/>
              </w:tabs>
              <w:ind w:firstLine="567"/>
              <w:rPr>
                <w:bCs/>
                <w:szCs w:val="24"/>
                <w:lang w:val="x-none" w:eastAsia="x-none"/>
              </w:rPr>
            </w:pPr>
            <w:r w:rsidRPr="00A23740">
              <w:rPr>
                <w:b/>
                <w:bCs/>
                <w:szCs w:val="24"/>
                <w:lang w:eastAsia="x-none"/>
              </w:rPr>
              <w:t>MADDE 11</w:t>
            </w:r>
            <w:r w:rsidR="00FC7A09" w:rsidRPr="00A23740">
              <w:rPr>
                <w:b/>
                <w:bCs/>
                <w:szCs w:val="24"/>
                <w:lang w:eastAsia="x-none"/>
              </w:rPr>
              <w:t>8</w:t>
            </w:r>
            <w:r w:rsidRPr="00A23740">
              <w:rPr>
                <w:b/>
                <w:bCs/>
                <w:szCs w:val="24"/>
                <w:lang w:eastAsia="x-none"/>
              </w:rPr>
              <w:t>-</w:t>
            </w:r>
            <w:r w:rsidRPr="00A23740">
              <w:rPr>
                <w:bCs/>
                <w:szCs w:val="24"/>
                <w:lang w:eastAsia="x-none"/>
              </w:rPr>
              <w:t xml:space="preserve"> Maddeyle, ipoteğin paraya çevrilmesi yoluyla takipte takip talebi düzenlenmektedir. İ</w:t>
            </w:r>
            <w:r w:rsidRPr="00A23740">
              <w:rPr>
                <w:bCs/>
                <w:szCs w:val="24"/>
                <w:lang w:val="x-none" w:eastAsia="x-none"/>
              </w:rPr>
              <w:t>poteğin paraya çevrilmesi yoluyla takipte takip talebini düzenleyen madde uyarınca takip talebinin yazılı olarak verilmesi yanında sözlü olarak takip talebinde bulunulması imk</w:t>
            </w:r>
            <w:r w:rsidR="00BE53A8" w:rsidRPr="00A23740">
              <w:rPr>
                <w:bCs/>
                <w:szCs w:val="24"/>
                <w:lang w:eastAsia="x-none"/>
              </w:rPr>
              <w:t>â</w:t>
            </w:r>
            <w:r w:rsidRPr="00A23740">
              <w:rPr>
                <w:bCs/>
                <w:szCs w:val="24"/>
                <w:lang w:val="x-none" w:eastAsia="x-none"/>
              </w:rPr>
              <w:t xml:space="preserve">nı da muhafaza edilmiştir. </w:t>
            </w:r>
            <w:r w:rsidR="00F05011" w:rsidRPr="00D6648F">
              <w:rPr>
                <w:szCs w:val="24"/>
              </w:rPr>
              <w:t>Taslağın</w:t>
            </w:r>
            <w:r w:rsidR="00F05011" w:rsidRPr="00A23740">
              <w:rPr>
                <w:rStyle w:val="KonuBalChar"/>
                <w:rFonts w:eastAsia="Calibri"/>
                <w:b w:val="0"/>
                <w:lang w:val="tr-TR"/>
              </w:rPr>
              <w:t xml:space="preserve"> </w:t>
            </w:r>
            <w:r w:rsidR="00F05011" w:rsidRPr="00A23740">
              <w:rPr>
                <w:bCs/>
                <w:szCs w:val="24"/>
                <w:lang w:eastAsia="x-none"/>
              </w:rPr>
              <w:t>e</w:t>
            </w:r>
            <w:r w:rsidRPr="00A23740">
              <w:rPr>
                <w:bCs/>
                <w:szCs w:val="24"/>
                <w:lang w:val="x-none" w:eastAsia="x-none"/>
              </w:rPr>
              <w:t xml:space="preserve">lektronik işlemler başlıklı </w:t>
            </w:r>
            <w:r w:rsidR="00F05011" w:rsidRPr="00D6648F">
              <w:rPr>
                <w:bCs/>
                <w:szCs w:val="24"/>
                <w:lang w:val="x-none" w:eastAsia="x-none"/>
              </w:rPr>
              <w:t>46</w:t>
            </w:r>
            <w:r w:rsidR="00F05011" w:rsidRPr="00A23740">
              <w:rPr>
                <w:rStyle w:val="KonuBalChar"/>
                <w:rFonts w:eastAsia="Calibri"/>
              </w:rPr>
              <w:t xml:space="preserve"> </w:t>
            </w:r>
            <w:r w:rsidR="00F05011" w:rsidRPr="00D6648F">
              <w:rPr>
                <w:bCs/>
                <w:szCs w:val="24"/>
                <w:lang w:val="x-none" w:eastAsia="x-none"/>
              </w:rPr>
              <w:t>ncı</w:t>
            </w:r>
            <w:r w:rsidR="00F05011" w:rsidRPr="00A23740">
              <w:rPr>
                <w:bCs/>
                <w:szCs w:val="24"/>
                <w:lang w:eastAsia="x-none"/>
              </w:rPr>
              <w:t xml:space="preserve"> </w:t>
            </w:r>
            <w:r w:rsidRPr="00A23740">
              <w:rPr>
                <w:bCs/>
                <w:szCs w:val="24"/>
                <w:lang w:val="x-none" w:eastAsia="x-none"/>
              </w:rPr>
              <w:t>madde</w:t>
            </w:r>
            <w:r w:rsidR="007A03A1" w:rsidRPr="00A23740">
              <w:rPr>
                <w:bCs/>
                <w:szCs w:val="24"/>
                <w:lang w:eastAsia="x-none"/>
              </w:rPr>
              <w:t>sin</w:t>
            </w:r>
            <w:r w:rsidRPr="00A23740">
              <w:rPr>
                <w:bCs/>
                <w:szCs w:val="24"/>
                <w:lang w:val="x-none" w:eastAsia="x-none"/>
              </w:rPr>
              <w:t xml:space="preserve">de icra </w:t>
            </w:r>
            <w:r w:rsidR="00BA30A1" w:rsidRPr="00D6648F">
              <w:rPr>
                <w:bCs/>
                <w:szCs w:val="24"/>
                <w:lang w:val="x-none" w:eastAsia="x-none"/>
              </w:rPr>
              <w:t>ve</w:t>
            </w:r>
            <w:r w:rsidR="00BA30A1" w:rsidRPr="00D6648F">
              <w:rPr>
                <w:b/>
                <w:bCs/>
                <w:lang w:val="x-none" w:eastAsia="x-none"/>
              </w:rPr>
              <w:t xml:space="preserve"> </w:t>
            </w:r>
            <w:r w:rsidR="00BA30A1" w:rsidRPr="00D6648F">
              <w:rPr>
                <w:bCs/>
                <w:szCs w:val="24"/>
                <w:lang w:val="x-none" w:eastAsia="x-none"/>
              </w:rPr>
              <w:t xml:space="preserve">iflas </w:t>
            </w:r>
            <w:r w:rsidRPr="00A23740">
              <w:rPr>
                <w:bCs/>
                <w:szCs w:val="24"/>
                <w:lang w:val="x-none" w:eastAsia="x-none"/>
              </w:rPr>
              <w:t>dairesince veya takibin taraflarınca elektronik ortamda takiple ilgili iş ve işlemlerin yapılabileceği açıkça düzenlendiğinden</w:t>
            </w:r>
            <w:r w:rsidR="0035236C" w:rsidRPr="00A23740">
              <w:rPr>
                <w:bCs/>
                <w:szCs w:val="24"/>
                <w:lang w:eastAsia="x-none"/>
              </w:rPr>
              <w:t>,</w:t>
            </w:r>
            <w:r w:rsidRPr="00A23740">
              <w:rPr>
                <w:bCs/>
                <w:szCs w:val="24"/>
                <w:lang w:val="x-none" w:eastAsia="x-none"/>
              </w:rPr>
              <w:t xml:space="preserve"> bazı işlemlerin elektronik ortamda da yapılabileceği vurgusuna gerek olmadığı </w:t>
            </w:r>
            <w:r w:rsidR="002D2588" w:rsidRPr="00A23740">
              <w:rPr>
                <w:bCs/>
                <w:szCs w:val="24"/>
                <w:lang w:eastAsia="x-none"/>
              </w:rPr>
              <w:t>anlaşılmıştır</w:t>
            </w:r>
            <w:r w:rsidRPr="00A23740">
              <w:rPr>
                <w:bCs/>
                <w:szCs w:val="24"/>
                <w:lang w:eastAsia="x-none"/>
              </w:rPr>
              <w:t>. Bu bağlamda, elektronik ortamda da ipoteğin paraya çevrilmesi yoluyla takip talebinde bulunulabileceğine şüphe yoktur.</w:t>
            </w:r>
          </w:p>
          <w:p w:rsidR="00895D8A" w:rsidRPr="00A23740" w:rsidRDefault="00895D8A" w:rsidP="009431FF">
            <w:pPr>
              <w:tabs>
                <w:tab w:val="left" w:pos="567"/>
              </w:tabs>
              <w:ind w:firstLine="567"/>
              <w:rPr>
                <w:bCs/>
                <w:szCs w:val="24"/>
                <w:lang w:eastAsia="x-none"/>
              </w:rPr>
            </w:pPr>
            <w:r w:rsidRPr="00D6648F">
              <w:rPr>
                <w:bCs/>
                <w:szCs w:val="24"/>
                <w:lang w:val="x-none" w:eastAsia="x-none"/>
              </w:rPr>
              <w:t xml:space="preserve">Metinde, </w:t>
            </w:r>
            <w:r w:rsidR="007A03A1" w:rsidRPr="00D6648F">
              <w:rPr>
                <w:szCs w:val="24"/>
              </w:rPr>
              <w:t>2004</w:t>
            </w:r>
            <w:r w:rsidR="007A03A1" w:rsidRPr="00D6648F">
              <w:rPr>
                <w:b/>
                <w:szCs w:val="24"/>
              </w:rPr>
              <w:t xml:space="preserve"> </w:t>
            </w:r>
            <w:r w:rsidR="007A03A1" w:rsidRPr="00D6648F">
              <w:rPr>
                <w:bCs/>
                <w:szCs w:val="24"/>
                <w:lang w:val="x-none" w:eastAsia="x-none"/>
              </w:rPr>
              <w:t>sayılı</w:t>
            </w:r>
            <w:r w:rsidR="007A03A1" w:rsidRPr="00D6648F">
              <w:rPr>
                <w:b/>
                <w:szCs w:val="24"/>
              </w:rPr>
              <w:t xml:space="preserve"> </w:t>
            </w:r>
            <w:r w:rsidRPr="00D6648F">
              <w:rPr>
                <w:bCs/>
                <w:szCs w:val="24"/>
                <w:lang w:val="x-none" w:eastAsia="x-none"/>
              </w:rPr>
              <w:t>Kanunun 148 inci maddesinde kullanılması tercih edilen “ipotek akit tablosu” ibaresi yerine “</w:t>
            </w:r>
            <w:r w:rsidR="002D2588" w:rsidRPr="00D6648F">
              <w:rPr>
                <w:bCs/>
                <w:szCs w:val="24"/>
                <w:lang w:val="x-none" w:eastAsia="x-none"/>
              </w:rPr>
              <w:t>ipotek sözleşmesini içeren resmî senedin tapu idaresince verilmiş bir örneği</w:t>
            </w:r>
            <w:r w:rsidRPr="00D6648F">
              <w:rPr>
                <w:bCs/>
                <w:szCs w:val="24"/>
                <w:lang w:val="x-none" w:eastAsia="x-none"/>
              </w:rPr>
              <w:t>”</w:t>
            </w:r>
            <w:r w:rsidRPr="00A23740">
              <w:rPr>
                <w:bCs/>
                <w:szCs w:val="24"/>
                <w:lang w:eastAsia="x-none"/>
              </w:rPr>
              <w:t xml:space="preserve"> terimi kullanılmış (ayrıca </w:t>
            </w:r>
            <w:r w:rsidRPr="00A23740">
              <w:rPr>
                <w:bCs/>
                <w:i/>
                <w:szCs w:val="24"/>
                <w:lang w:eastAsia="x-none"/>
              </w:rPr>
              <w:t>bkz</w:t>
            </w:r>
            <w:r w:rsidRPr="00A23740">
              <w:rPr>
                <w:bCs/>
                <w:szCs w:val="24"/>
                <w:lang w:eastAsia="x-none"/>
              </w:rPr>
              <w:t xml:space="preserve">. </w:t>
            </w:r>
            <w:r w:rsidR="000F4080" w:rsidRPr="00D6648F">
              <w:rPr>
                <w:bCs/>
                <w:szCs w:val="24"/>
                <w:lang w:val="x-none" w:eastAsia="x-none"/>
              </w:rPr>
              <w:t>4721</w:t>
            </w:r>
            <w:r w:rsidR="000F4080" w:rsidRPr="00D6648F">
              <w:rPr>
                <w:b/>
                <w:szCs w:val="24"/>
              </w:rPr>
              <w:t xml:space="preserve"> </w:t>
            </w:r>
            <w:r w:rsidR="000F4080" w:rsidRPr="00D6648F">
              <w:rPr>
                <w:bCs/>
                <w:szCs w:val="24"/>
                <w:lang w:val="x-none" w:eastAsia="x-none"/>
              </w:rPr>
              <w:t>sayılı</w:t>
            </w:r>
            <w:r w:rsidR="000F4080" w:rsidRPr="00D6648F">
              <w:rPr>
                <w:b/>
                <w:szCs w:val="24"/>
              </w:rPr>
              <w:t xml:space="preserve"> </w:t>
            </w:r>
            <w:r w:rsidR="000F4080" w:rsidRPr="00D6648F">
              <w:rPr>
                <w:bCs/>
                <w:szCs w:val="24"/>
                <w:lang w:val="x-none" w:eastAsia="x-none"/>
              </w:rPr>
              <w:t>Kanun</w:t>
            </w:r>
            <w:r w:rsidRPr="00D6648F">
              <w:rPr>
                <w:bCs/>
                <w:szCs w:val="24"/>
                <w:lang w:val="x-none" w:eastAsia="x-none"/>
              </w:rPr>
              <w:t xml:space="preserve"> m. </w:t>
            </w:r>
            <w:r w:rsidR="005E7DF7" w:rsidRPr="00D6648F">
              <w:rPr>
                <w:bCs/>
                <w:szCs w:val="24"/>
                <w:lang w:val="x-none" w:eastAsia="x-none"/>
              </w:rPr>
              <w:t>856/II; Tapu Müdürlüklerince Düzenlenen Resmî Senetlere İlişkin Usul ve Esaslar Hakkında Yönetmelik</w:t>
            </w:r>
            <w:r w:rsidRPr="00D6648F">
              <w:rPr>
                <w:bCs/>
                <w:szCs w:val="24"/>
                <w:lang w:val="x-none" w:eastAsia="x-none"/>
              </w:rPr>
              <w:t xml:space="preserve"> m. 6/II) ve bu resm</w:t>
            </w:r>
            <w:r w:rsidR="002D2588" w:rsidRPr="00D6648F">
              <w:rPr>
                <w:bCs/>
                <w:szCs w:val="24"/>
                <w:lang w:val="x-none" w:eastAsia="x-none"/>
              </w:rPr>
              <w:t>î</w:t>
            </w:r>
            <w:r w:rsidRPr="00A23740">
              <w:rPr>
                <w:bCs/>
                <w:szCs w:val="24"/>
                <w:lang w:eastAsia="x-none"/>
              </w:rPr>
              <w:t xml:space="preserve"> sözleşmenin tapu idaresince verilmiş örneğinin takip</w:t>
            </w:r>
            <w:r w:rsidR="002D2588" w:rsidRPr="00A23740">
              <w:rPr>
                <w:bCs/>
                <w:szCs w:val="24"/>
                <w:lang w:eastAsia="x-none"/>
              </w:rPr>
              <w:t xml:space="preserve"> talebinin ekinde icra </w:t>
            </w:r>
            <w:r w:rsidR="00BA30A1" w:rsidRPr="00D6648F">
              <w:rPr>
                <w:b/>
                <w:bCs/>
                <w:lang w:val="x-none" w:eastAsia="x-none"/>
              </w:rPr>
              <w:t xml:space="preserve">ve </w:t>
            </w:r>
            <w:r w:rsidR="00BA30A1" w:rsidRPr="00D6648F">
              <w:rPr>
                <w:bCs/>
                <w:szCs w:val="24"/>
                <w:lang w:val="x-none" w:eastAsia="x-none"/>
              </w:rPr>
              <w:t xml:space="preserve">iflas </w:t>
            </w:r>
            <w:r w:rsidR="002D2588" w:rsidRPr="00D6648F">
              <w:rPr>
                <w:bCs/>
                <w:szCs w:val="24"/>
                <w:lang w:val="x-none" w:eastAsia="x-none"/>
              </w:rPr>
              <w:t>dairesine</w:t>
            </w:r>
            <w:r w:rsidR="002D2588" w:rsidRPr="00A23740">
              <w:rPr>
                <w:bCs/>
                <w:szCs w:val="24"/>
                <w:lang w:eastAsia="x-none"/>
              </w:rPr>
              <w:t xml:space="preserve"> verilmesi şart koşulmuştur.</w:t>
            </w:r>
            <w:r w:rsidRPr="00A23740">
              <w:rPr>
                <w:bCs/>
                <w:szCs w:val="24"/>
                <w:lang w:eastAsia="x-none"/>
              </w:rPr>
              <w:t xml:space="preserve"> İpotek sözleşmesinin resm</w:t>
            </w:r>
            <w:r w:rsidR="002D2588" w:rsidRPr="00A23740">
              <w:rPr>
                <w:bCs/>
                <w:szCs w:val="24"/>
                <w:lang w:eastAsia="x-none"/>
              </w:rPr>
              <w:t>î</w:t>
            </w:r>
            <w:r w:rsidRPr="00A23740">
              <w:rPr>
                <w:bCs/>
                <w:szCs w:val="24"/>
                <w:lang w:eastAsia="x-none"/>
              </w:rPr>
              <w:t xml:space="preserve"> örneği dışında takip talebinin ekinde ayrıca borçlu sayısı kadar onaylı örneğinin de bu kez hazırlanacak ödeme emrine esas olmak üzere </w:t>
            </w:r>
            <w:r w:rsidRPr="00D6648F">
              <w:rPr>
                <w:bCs/>
                <w:szCs w:val="24"/>
                <w:lang w:val="x-none" w:eastAsia="x-none"/>
              </w:rPr>
              <w:t xml:space="preserve">icra </w:t>
            </w:r>
            <w:r w:rsidR="001647D1" w:rsidRPr="00D6648F">
              <w:rPr>
                <w:bCs/>
                <w:szCs w:val="24"/>
                <w:lang w:val="x-none" w:eastAsia="x-none"/>
              </w:rPr>
              <w:t>ve iflas</w:t>
            </w:r>
            <w:r w:rsidR="001647D1" w:rsidRPr="00A23740">
              <w:rPr>
                <w:bCs/>
                <w:color w:val="0000FF"/>
                <w:szCs w:val="24"/>
                <w:lang w:val="x-none" w:eastAsia="x-none"/>
              </w:rPr>
              <w:t xml:space="preserve"> </w:t>
            </w:r>
            <w:r w:rsidRPr="00A23740">
              <w:rPr>
                <w:bCs/>
                <w:szCs w:val="24"/>
                <w:lang w:eastAsia="x-none"/>
              </w:rPr>
              <w:t xml:space="preserve">dairesine verilmesi, şarttır. </w:t>
            </w:r>
          </w:p>
          <w:p w:rsidR="00895D8A" w:rsidRPr="00A23740" w:rsidRDefault="00895D8A" w:rsidP="009431FF">
            <w:pPr>
              <w:tabs>
                <w:tab w:val="left" w:pos="567"/>
              </w:tabs>
              <w:ind w:firstLine="567"/>
              <w:rPr>
                <w:bCs/>
                <w:szCs w:val="24"/>
                <w:lang w:eastAsia="x-none"/>
              </w:rPr>
            </w:pPr>
            <w:r w:rsidRPr="00A23740">
              <w:rPr>
                <w:bCs/>
                <w:szCs w:val="24"/>
                <w:lang w:eastAsia="x-none"/>
              </w:rPr>
              <w:t xml:space="preserve">Eldeki </w:t>
            </w:r>
            <w:r w:rsidR="00EB38C8" w:rsidRPr="00D6648F">
              <w:rPr>
                <w:szCs w:val="24"/>
                <w:lang w:val="x-none" w:eastAsia="x-none"/>
              </w:rPr>
              <w:t>Taslak</w:t>
            </w:r>
            <w:r w:rsidR="00EB38C8" w:rsidRPr="00A23740">
              <w:rPr>
                <w:b/>
                <w:bCs/>
                <w:szCs w:val="24"/>
                <w:lang w:eastAsia="x-none"/>
              </w:rPr>
              <w:t xml:space="preserve"> </w:t>
            </w:r>
            <w:r w:rsidR="00EB38C8" w:rsidRPr="00D6648F">
              <w:rPr>
                <w:szCs w:val="24"/>
                <w:lang w:val="x-none" w:eastAsia="x-none"/>
              </w:rPr>
              <w:t>metinle</w:t>
            </w:r>
            <w:r w:rsidR="00EB38C8" w:rsidRPr="00A23740">
              <w:rPr>
                <w:bCs/>
                <w:szCs w:val="24"/>
                <w:lang w:eastAsia="x-none"/>
              </w:rPr>
              <w:t xml:space="preserve"> </w:t>
            </w:r>
            <w:r w:rsidRPr="00A23740">
              <w:rPr>
                <w:bCs/>
                <w:szCs w:val="24"/>
                <w:lang w:eastAsia="x-none"/>
              </w:rPr>
              <w:t>getirilen en büyük değişiklik, ipotekli taşınmazın bir aile konusu olması h</w:t>
            </w:r>
            <w:r w:rsidR="00F906A7" w:rsidRPr="00A23740">
              <w:rPr>
                <w:bCs/>
                <w:szCs w:val="24"/>
                <w:lang w:eastAsia="x-none"/>
              </w:rPr>
              <w:t>â</w:t>
            </w:r>
            <w:r w:rsidRPr="00A23740">
              <w:rPr>
                <w:bCs/>
                <w:szCs w:val="24"/>
                <w:lang w:eastAsia="x-none"/>
              </w:rPr>
              <w:t xml:space="preserve">linde, taşınmaz malikinin eşinin kimliğine ait bilgilerin de takip talebinde artık yer almasının gerekmesidir. Söz konusu bilginin kullanım yeri, </w:t>
            </w:r>
            <w:r w:rsidR="00EB38C8" w:rsidRPr="00D6648F">
              <w:rPr>
                <w:szCs w:val="24"/>
                <w:lang w:val="x-none" w:eastAsia="x-none"/>
              </w:rPr>
              <w:t>Taslağın</w:t>
            </w:r>
            <w:r w:rsidR="007A03A1" w:rsidRPr="00A23740">
              <w:rPr>
                <w:rStyle w:val="Balk1Char"/>
                <w:rFonts w:eastAsia="Calibri"/>
                <w:b w:val="0"/>
              </w:rPr>
              <w:t xml:space="preserve"> </w:t>
            </w:r>
            <w:r w:rsidR="007A03A1" w:rsidRPr="00D6648F">
              <w:rPr>
                <w:bCs/>
                <w:szCs w:val="24"/>
                <w:lang w:val="x-none" w:eastAsia="x-none"/>
              </w:rPr>
              <w:t>120</w:t>
            </w:r>
            <w:r w:rsidR="007A03A1" w:rsidRPr="00A23740">
              <w:rPr>
                <w:rStyle w:val="KonuBalChar"/>
                <w:rFonts w:eastAsia="Calibri"/>
              </w:rPr>
              <w:t xml:space="preserve"> </w:t>
            </w:r>
            <w:r w:rsidR="007A03A1" w:rsidRPr="00D6648F">
              <w:rPr>
                <w:bCs/>
                <w:szCs w:val="24"/>
                <w:lang w:val="x-none" w:eastAsia="x-none"/>
              </w:rPr>
              <w:t>nci</w:t>
            </w:r>
            <w:r w:rsidR="00EB38C8" w:rsidRPr="00A23740">
              <w:rPr>
                <w:bCs/>
                <w:szCs w:val="24"/>
                <w:lang w:eastAsia="x-none"/>
              </w:rPr>
              <w:t xml:space="preserve"> </w:t>
            </w:r>
            <w:r w:rsidRPr="00A23740">
              <w:rPr>
                <w:bCs/>
                <w:szCs w:val="24"/>
                <w:lang w:eastAsia="x-none"/>
              </w:rPr>
              <w:t xml:space="preserve">ve </w:t>
            </w:r>
            <w:r w:rsidR="007A03A1" w:rsidRPr="00D6648F">
              <w:rPr>
                <w:bCs/>
                <w:szCs w:val="24"/>
                <w:lang w:val="x-none" w:eastAsia="x-none"/>
              </w:rPr>
              <w:t>123</w:t>
            </w:r>
            <w:r w:rsidR="007A03A1" w:rsidRPr="00A23740">
              <w:rPr>
                <w:rStyle w:val="KonuBalChar"/>
                <w:rFonts w:eastAsia="Calibri"/>
              </w:rPr>
              <w:t xml:space="preserve"> </w:t>
            </w:r>
            <w:r w:rsidR="007A03A1" w:rsidRPr="00D6648F">
              <w:rPr>
                <w:bCs/>
                <w:szCs w:val="24"/>
                <w:lang w:val="x-none" w:eastAsia="x-none"/>
              </w:rPr>
              <w:t>üncü</w:t>
            </w:r>
            <w:r w:rsidR="007A03A1" w:rsidRPr="00A23740">
              <w:rPr>
                <w:rStyle w:val="KonuBalChar"/>
                <w:rFonts w:eastAsia="Calibri"/>
                <w:lang w:val="tr-TR"/>
              </w:rPr>
              <w:t xml:space="preserve"> </w:t>
            </w:r>
            <w:r w:rsidRPr="00A23740">
              <w:rPr>
                <w:bCs/>
                <w:szCs w:val="24"/>
                <w:lang w:eastAsia="x-none"/>
              </w:rPr>
              <w:t>maddelerine göre hazırlanacak icra ve ödeme emirleri olup</w:t>
            </w:r>
            <w:r w:rsidR="0035236C" w:rsidRPr="00A23740">
              <w:rPr>
                <w:bCs/>
                <w:szCs w:val="24"/>
                <w:lang w:eastAsia="x-none"/>
              </w:rPr>
              <w:t>,</w:t>
            </w:r>
            <w:r w:rsidRPr="00A23740">
              <w:rPr>
                <w:bCs/>
                <w:szCs w:val="24"/>
                <w:lang w:eastAsia="x-none"/>
              </w:rPr>
              <w:t xml:space="preserve"> bunların</w:t>
            </w:r>
            <w:r w:rsidR="00EB38C8" w:rsidRPr="00A23740">
              <w:rPr>
                <w:bCs/>
                <w:szCs w:val="24"/>
                <w:lang w:eastAsia="x-none"/>
              </w:rPr>
              <w:t>,</w:t>
            </w:r>
            <w:r w:rsidRPr="00A23740">
              <w:rPr>
                <w:bCs/>
                <w:szCs w:val="24"/>
                <w:lang w:eastAsia="x-none"/>
              </w:rPr>
              <w:t xml:space="preserve"> borçlu ve taşınmaz maliki üçüncü kişi dışında </w:t>
            </w:r>
            <w:r w:rsidR="00EB38C8" w:rsidRPr="00D6648F">
              <w:rPr>
                <w:szCs w:val="24"/>
                <w:lang w:val="x-none" w:eastAsia="x-none"/>
              </w:rPr>
              <w:t>eşe de</w:t>
            </w:r>
            <w:r w:rsidR="00EB38C8" w:rsidRPr="00D6648F">
              <w:rPr>
                <w:bCs/>
                <w:szCs w:val="24"/>
                <w:lang w:val="x-none" w:eastAsia="x-none"/>
              </w:rPr>
              <w:t xml:space="preserve"> </w:t>
            </w:r>
            <w:r w:rsidRPr="00D6648F">
              <w:rPr>
                <w:bCs/>
                <w:szCs w:val="24"/>
                <w:lang w:val="x-none" w:eastAsia="x-none"/>
              </w:rPr>
              <w:t>ayrıca</w:t>
            </w:r>
            <w:r w:rsidRPr="00A23740">
              <w:rPr>
                <w:bCs/>
                <w:szCs w:val="24"/>
                <w:lang w:eastAsia="x-none"/>
              </w:rPr>
              <w:t xml:space="preserve"> tebliği gerekecektir.</w:t>
            </w:r>
          </w:p>
          <w:p w:rsidR="00895D8A" w:rsidRPr="00A23740" w:rsidRDefault="00895D8A" w:rsidP="0080239A">
            <w:pPr>
              <w:tabs>
                <w:tab w:val="left" w:pos="567"/>
              </w:tabs>
              <w:ind w:firstLine="567"/>
              <w:rPr>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6"/>
              </w:tabs>
              <w:autoSpaceDE w:val="0"/>
              <w:autoSpaceDN w:val="0"/>
              <w:adjustRightInd w:val="0"/>
              <w:rPr>
                <w:rFonts w:eastAsia="Times New Roman"/>
                <w:b/>
                <w:iCs/>
                <w:strike/>
                <w:color w:val="FF0000"/>
                <w:szCs w:val="24"/>
                <w:lang w:eastAsia="tr-TR"/>
              </w:rPr>
            </w:pPr>
            <w:r w:rsidRPr="00A23740">
              <w:rPr>
                <w:b/>
                <w:szCs w:val="24"/>
              </w:rPr>
              <w:t>Takip talebi</w:t>
            </w:r>
            <w:r w:rsidRPr="00A23740">
              <w:rPr>
                <w:rFonts w:eastAsia="Times New Roman"/>
                <w:b/>
                <w:strike/>
                <w:color w:val="FF0000"/>
                <w:szCs w:val="24"/>
                <w:lang w:eastAsia="tr-TR"/>
              </w:rPr>
              <w:t xml:space="preserve"> :</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148 – (1) (Değişik</w:t>
            </w:r>
            <w:r w:rsidRPr="00A23740">
              <w:rPr>
                <w:b/>
                <w:strike/>
                <w:color w:val="FF0000"/>
                <w:szCs w:val="24"/>
                <w:lang w:eastAsia="tr-TR"/>
              </w:rPr>
              <w:t>: 18/2/1965 - 538/68 md.)</w:t>
            </w: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Taşınmaz</w:t>
            </w:r>
            <w:r w:rsidRPr="00A23740">
              <w:rPr>
                <w:szCs w:val="24"/>
              </w:rPr>
              <w:t xml:space="preserve"> </w:t>
            </w:r>
            <w:r w:rsidRPr="00A23740">
              <w:rPr>
                <w:b/>
                <w:strike/>
                <w:color w:val="FF0000"/>
                <w:szCs w:val="24"/>
                <w:lang w:eastAsia="tr-TR"/>
              </w:rPr>
              <w:t xml:space="preserve">ipotek alacaklısı, </w:t>
            </w:r>
            <w:r w:rsidRPr="00A23740">
              <w:rPr>
                <w:b/>
                <w:strike/>
                <w:color w:val="FF0000"/>
                <w:szCs w:val="24"/>
              </w:rPr>
              <w:t xml:space="preserve">yetkili veya taşınmazın bulunduğu yer icra dairesine elindeki ipotek </w:t>
            </w:r>
            <w:r w:rsidRPr="00A23740">
              <w:rPr>
                <w:b/>
                <w:strike/>
                <w:color w:val="FF0000"/>
                <w:szCs w:val="24"/>
                <w:lang w:eastAsia="tr-TR"/>
              </w:rPr>
              <w:t xml:space="preserve">belgesinin akit tablosunun tapu idaresince verilmiş resmi </w:t>
            </w:r>
            <w:r w:rsidRPr="00A23740">
              <w:rPr>
                <w:b/>
                <w:strike/>
                <w:color w:val="FF0000"/>
                <w:szCs w:val="24"/>
              </w:rPr>
              <w:t>bir örneğini</w:t>
            </w:r>
            <w:r w:rsidRPr="00A23740">
              <w:rPr>
                <w:b/>
                <w:strike/>
                <w:color w:val="FF0000"/>
                <w:szCs w:val="24"/>
                <w:lang w:eastAsia="tr-TR"/>
              </w:rPr>
              <w:t xml:space="preserve"> ibrazla alacağın miktarını bildirir ve 58 </w:t>
            </w:r>
            <w:r w:rsidRPr="00A23740">
              <w:rPr>
                <w:b/>
                <w:strike/>
                <w:color w:val="FF0000"/>
                <w:szCs w:val="24"/>
              </w:rPr>
              <w:t>inci maddeye göre takip talebinde bulunur.</w:t>
            </w:r>
          </w:p>
          <w:p w:rsidR="00155AF4" w:rsidRPr="00A23740" w:rsidRDefault="00155AF4" w:rsidP="009431FF">
            <w:pPr>
              <w:tabs>
                <w:tab w:val="left" w:pos="567"/>
              </w:tabs>
              <w:autoSpaceDE w:val="0"/>
              <w:autoSpaceDN w:val="0"/>
              <w:adjustRightInd w:val="0"/>
              <w:rPr>
                <w:b/>
                <w:bCs/>
                <w:strike/>
                <w:color w:val="FF0000"/>
                <w:szCs w:val="24"/>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Yetkili icra </w:t>
            </w:r>
            <w:r w:rsidR="00EB38C8" w:rsidRPr="00A23740">
              <w:rPr>
                <w:b/>
                <w:bCs/>
                <w:color w:val="0000FF"/>
                <w:szCs w:val="24"/>
                <w:lang w:eastAsia="x-none"/>
              </w:rPr>
              <w:t xml:space="preserve">ve iflas </w:t>
            </w:r>
            <w:r w:rsidRPr="00A23740">
              <w:rPr>
                <w:b/>
                <w:bCs/>
                <w:color w:val="0000FF"/>
                <w:szCs w:val="24"/>
                <w:lang w:val="x-none" w:eastAsia="x-none"/>
              </w:rPr>
              <w:t>dairesi</w:t>
            </w:r>
          </w:p>
          <w:p w:rsidR="00155AF4" w:rsidRPr="00A23740" w:rsidRDefault="00FC7A09" w:rsidP="009431FF">
            <w:pPr>
              <w:tabs>
                <w:tab w:val="left" w:pos="567"/>
              </w:tabs>
              <w:rPr>
                <w:b/>
                <w:bCs/>
                <w:color w:val="0000FF"/>
                <w:szCs w:val="24"/>
                <w:lang w:val="x-none" w:eastAsia="x-none"/>
              </w:rPr>
            </w:pPr>
            <w:r w:rsidRPr="00A23740">
              <w:rPr>
                <w:b/>
                <w:bCs/>
                <w:color w:val="0000FF"/>
                <w:szCs w:val="24"/>
                <w:lang w:val="x-none" w:eastAsia="x-none"/>
              </w:rPr>
              <w:t>MADDE 119</w:t>
            </w:r>
            <w:r w:rsidR="00155AF4" w:rsidRPr="00A23740">
              <w:rPr>
                <w:b/>
                <w:bCs/>
                <w:color w:val="0000FF"/>
                <w:szCs w:val="24"/>
                <w:lang w:val="x-none" w:eastAsia="x-none"/>
              </w:rPr>
              <w:t xml:space="preserve">- (1) İpoteğin paraya çevrilmesi yoluyla takiplerde taşınmazın bulunduğu yer icra </w:t>
            </w:r>
            <w:r w:rsidR="00155AF4" w:rsidRPr="00A23740">
              <w:rPr>
                <w:rStyle w:val="MaviChar"/>
              </w:rPr>
              <w:t>ve iflas</w:t>
            </w:r>
            <w:r w:rsidR="00155AF4" w:rsidRPr="00A23740">
              <w:rPr>
                <w:b/>
                <w:bCs/>
                <w:color w:val="0000FF"/>
                <w:szCs w:val="24"/>
                <w:lang w:eastAsia="x-none"/>
              </w:rPr>
              <w:t xml:space="preserve"> </w:t>
            </w:r>
            <w:r w:rsidR="00155AF4" w:rsidRPr="00A23740">
              <w:rPr>
                <w:b/>
                <w:bCs/>
                <w:color w:val="0000FF"/>
                <w:szCs w:val="24"/>
                <w:lang w:val="x-none" w:eastAsia="x-none"/>
              </w:rPr>
              <w:t>dairesi kesin yetkilidir.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(2) İcra takibi birden fazla taşınmaza ilişkin ise taşınmazlardan birinin bulunduğu yerde, diğerleri hakkında da takip yapılabilir.</w:t>
            </w:r>
          </w:p>
          <w:p w:rsidR="00155AF4" w:rsidRPr="00A23740" w:rsidRDefault="00155AF4" w:rsidP="009431FF">
            <w:pPr>
              <w:tabs>
                <w:tab w:val="left" w:pos="566"/>
              </w:tabs>
              <w:autoSpaceDE w:val="0"/>
              <w:autoSpaceDN w:val="0"/>
              <w:adjustRightInd w:val="0"/>
              <w:rPr>
                <w:b/>
                <w:color w:val="FF0066"/>
                <w:szCs w:val="24"/>
              </w:rPr>
            </w:pPr>
          </w:p>
        </w:tc>
      </w:tr>
      <w:tr w:rsidR="00895D8A" w:rsidRPr="00A23740" w:rsidTr="009431FF">
        <w:tc>
          <w:tcPr>
            <w:tcW w:w="5000" w:type="pct"/>
            <w:gridSpan w:val="2"/>
            <w:shd w:val="clear" w:color="auto" w:fill="DEEAF6"/>
          </w:tcPr>
          <w:p w:rsidR="00895D8A" w:rsidRPr="00A23740" w:rsidRDefault="00895D8A" w:rsidP="009431FF">
            <w:pPr>
              <w:tabs>
                <w:tab w:val="left" w:pos="566"/>
              </w:tabs>
              <w:autoSpaceDE w:val="0"/>
              <w:autoSpaceDN w:val="0"/>
              <w:adjustRightInd w:val="0"/>
              <w:ind w:firstLine="567"/>
              <w:rPr>
                <w:b/>
                <w:bCs/>
                <w:szCs w:val="24"/>
                <w:lang w:eastAsia="x-none"/>
              </w:rPr>
            </w:pPr>
          </w:p>
          <w:p w:rsidR="00895D8A" w:rsidRPr="00D6648F" w:rsidRDefault="00895D8A" w:rsidP="009431FF">
            <w:pPr>
              <w:tabs>
                <w:tab w:val="left" w:pos="566"/>
              </w:tabs>
              <w:ind w:firstLine="709"/>
              <w:rPr>
                <w:bCs/>
                <w:szCs w:val="24"/>
                <w:lang w:eastAsia="x-none"/>
              </w:rPr>
            </w:pPr>
            <w:r w:rsidRPr="00A23740">
              <w:rPr>
                <w:b/>
                <w:bCs/>
                <w:szCs w:val="24"/>
                <w:lang w:eastAsia="x-none"/>
              </w:rPr>
              <w:t>MADDE 11</w:t>
            </w:r>
            <w:r w:rsidR="00FC7A09" w:rsidRPr="00A23740">
              <w:rPr>
                <w:b/>
                <w:bCs/>
                <w:szCs w:val="24"/>
                <w:lang w:eastAsia="x-none"/>
              </w:rPr>
              <w:t>9</w:t>
            </w:r>
            <w:r w:rsidRPr="00A23740">
              <w:rPr>
                <w:b/>
                <w:bCs/>
                <w:szCs w:val="24"/>
                <w:lang w:eastAsia="x-none"/>
              </w:rPr>
              <w:t xml:space="preserve">- </w:t>
            </w:r>
            <w:r w:rsidRPr="00A23740">
              <w:rPr>
                <w:bCs/>
                <w:szCs w:val="24"/>
                <w:lang w:eastAsia="x-none"/>
              </w:rPr>
              <w:t>Maddeyle, ipoteğin paraya çevrilmesi yoluyla takipte yetkili icra ve iflas dairesi düzenlenmektedir.</w:t>
            </w:r>
            <w:r w:rsidRPr="00A23740">
              <w:rPr>
                <w:b/>
                <w:bCs/>
                <w:szCs w:val="24"/>
                <w:lang w:eastAsia="x-none"/>
              </w:rPr>
              <w:t xml:space="preserve"> </w:t>
            </w:r>
            <w:r w:rsidRPr="00A23740">
              <w:rPr>
                <w:szCs w:val="24"/>
                <w:lang w:eastAsia="x-none"/>
              </w:rPr>
              <w:t xml:space="preserve">İpoteğin paraya çevrilmesi yoluyla takipte </w:t>
            </w:r>
            <w:r w:rsidRPr="00D6648F">
              <w:rPr>
                <w:bCs/>
                <w:szCs w:val="24"/>
                <w:lang w:eastAsia="x-none"/>
              </w:rPr>
              <w:t xml:space="preserve">yetkili icra </w:t>
            </w:r>
            <w:r w:rsidR="001647D1" w:rsidRPr="00D6648F">
              <w:rPr>
                <w:bCs/>
                <w:szCs w:val="24"/>
                <w:lang w:eastAsia="x-none"/>
              </w:rPr>
              <w:t xml:space="preserve">ve iflas </w:t>
            </w:r>
            <w:r w:rsidRPr="00D6648F">
              <w:rPr>
                <w:bCs/>
                <w:szCs w:val="24"/>
                <w:lang w:eastAsia="x-none"/>
              </w:rPr>
              <w:t>dairesi 2004 sayılı Kanundan farklı olarak bağımsız bir madde olarak düzenlenmiştir. Yine 2004 sayılı Kanundan farklı olarak bu takipte taşınmazın bulunduğu yer icra</w:t>
            </w:r>
            <w:r w:rsidR="001647D1" w:rsidRPr="00D6648F">
              <w:rPr>
                <w:bCs/>
                <w:szCs w:val="24"/>
                <w:lang w:eastAsia="x-none"/>
              </w:rPr>
              <w:t xml:space="preserve"> ve iflas</w:t>
            </w:r>
            <w:r w:rsidRPr="00D6648F">
              <w:rPr>
                <w:bCs/>
                <w:szCs w:val="24"/>
                <w:lang w:eastAsia="x-none"/>
              </w:rPr>
              <w:t xml:space="preserve"> dairesinin yetkisi kesin yetki olarak düzenlenmiştir. İcra takibinin başlatıldığı icra </w:t>
            </w:r>
            <w:r w:rsidR="00B73523" w:rsidRPr="00D6648F">
              <w:rPr>
                <w:bCs/>
                <w:szCs w:val="24"/>
                <w:lang w:eastAsia="x-none"/>
              </w:rPr>
              <w:t xml:space="preserve">ve iflas </w:t>
            </w:r>
            <w:r w:rsidRPr="00D6648F">
              <w:rPr>
                <w:bCs/>
                <w:szCs w:val="24"/>
                <w:lang w:eastAsia="x-none"/>
              </w:rPr>
              <w:t>dairesinin taşınmazın paraya çevrilmesinde de yetkili olmasında görülen yarar sebebiyle</w:t>
            </w:r>
            <w:r w:rsidR="0035236C" w:rsidRPr="00D6648F">
              <w:rPr>
                <w:bCs/>
                <w:szCs w:val="24"/>
                <w:lang w:eastAsia="x-none"/>
              </w:rPr>
              <w:t>,</w:t>
            </w:r>
            <w:r w:rsidRPr="00D6648F">
              <w:rPr>
                <w:bCs/>
                <w:szCs w:val="24"/>
                <w:lang w:eastAsia="x-none"/>
              </w:rPr>
              <w:t xml:space="preserve"> ipoteğin paraya çevrilmesi yoluyla takibin ister ilamlı ister ilamsız olsun taşınmazın bulunduğu yer icra</w:t>
            </w:r>
            <w:r w:rsidR="00B73523" w:rsidRPr="00D6648F">
              <w:rPr>
                <w:bCs/>
                <w:szCs w:val="24"/>
                <w:lang w:eastAsia="x-none"/>
              </w:rPr>
              <w:t xml:space="preserve"> ve iflas</w:t>
            </w:r>
            <w:r w:rsidRPr="00D6648F">
              <w:rPr>
                <w:bCs/>
                <w:szCs w:val="24"/>
                <w:lang w:eastAsia="x-none"/>
              </w:rPr>
              <w:t xml:space="preserve"> dairesinde başlatılması kuralı benimsenmiştir.</w:t>
            </w:r>
          </w:p>
          <w:p w:rsidR="00895D8A" w:rsidRPr="00A23740" w:rsidRDefault="00895D8A" w:rsidP="009431FF">
            <w:pPr>
              <w:tabs>
                <w:tab w:val="left" w:pos="567"/>
              </w:tabs>
              <w:ind w:firstLine="709"/>
              <w:rPr>
                <w:bCs/>
                <w:szCs w:val="24"/>
                <w:lang w:eastAsia="x-none"/>
              </w:rPr>
            </w:pPr>
            <w:r w:rsidRPr="00A23740">
              <w:rPr>
                <w:bCs/>
                <w:szCs w:val="24"/>
                <w:lang w:eastAsia="x-none"/>
              </w:rPr>
              <w:t xml:space="preserve">Söz konusu yetki kuralı, içinde bulunduğu </w:t>
            </w:r>
            <w:r w:rsidR="0035236C" w:rsidRPr="00A23740">
              <w:rPr>
                <w:bCs/>
                <w:szCs w:val="24"/>
                <w:lang w:eastAsia="x-none"/>
              </w:rPr>
              <w:t>A</w:t>
            </w:r>
            <w:r w:rsidRPr="00A23740">
              <w:rPr>
                <w:bCs/>
                <w:szCs w:val="24"/>
                <w:lang w:eastAsia="x-none"/>
              </w:rPr>
              <w:t>yrımda düzenlenen tüm takipler için geçerli, ortak hüküm olup ipoteğin sadece il</w:t>
            </w:r>
            <w:r w:rsidR="00D72007" w:rsidRPr="00A23740">
              <w:rPr>
                <w:bCs/>
                <w:szCs w:val="24"/>
                <w:lang w:eastAsia="x-none"/>
              </w:rPr>
              <w:t>a</w:t>
            </w:r>
            <w:r w:rsidRPr="00A23740">
              <w:rPr>
                <w:bCs/>
                <w:szCs w:val="24"/>
                <w:lang w:eastAsia="x-none"/>
              </w:rPr>
              <w:t>msız değil; il</w:t>
            </w:r>
            <w:r w:rsidR="00D72007" w:rsidRPr="00A23740">
              <w:rPr>
                <w:bCs/>
                <w:szCs w:val="24"/>
                <w:lang w:eastAsia="x-none"/>
              </w:rPr>
              <w:t>a</w:t>
            </w:r>
            <w:r w:rsidRPr="00A23740">
              <w:rPr>
                <w:bCs/>
                <w:szCs w:val="24"/>
                <w:lang w:eastAsia="x-none"/>
              </w:rPr>
              <w:t>m</w:t>
            </w:r>
            <w:r w:rsidR="0035236C" w:rsidRPr="00A23740">
              <w:rPr>
                <w:bCs/>
                <w:szCs w:val="24"/>
                <w:lang w:eastAsia="x-none"/>
              </w:rPr>
              <w:t>l</w:t>
            </w:r>
            <w:r w:rsidRPr="00A23740">
              <w:rPr>
                <w:bCs/>
                <w:szCs w:val="24"/>
                <w:lang w:eastAsia="x-none"/>
              </w:rPr>
              <w:t>ı yol</w:t>
            </w:r>
            <w:r w:rsidR="0035236C" w:rsidRPr="00A23740">
              <w:rPr>
                <w:bCs/>
                <w:szCs w:val="24"/>
                <w:lang w:eastAsia="x-none"/>
              </w:rPr>
              <w:t>la</w:t>
            </w:r>
            <w:r w:rsidRPr="00A23740">
              <w:rPr>
                <w:bCs/>
                <w:szCs w:val="24"/>
                <w:lang w:eastAsia="x-none"/>
              </w:rPr>
              <w:t xml:space="preserve"> paraya çevrilmesi hakkında yapılacak takiplerde de uygulanacaktır. Aksi hâlde</w:t>
            </w:r>
            <w:r w:rsidR="0035236C" w:rsidRPr="00A23740">
              <w:rPr>
                <w:bCs/>
                <w:szCs w:val="24"/>
                <w:lang w:eastAsia="x-none"/>
              </w:rPr>
              <w:t>,</w:t>
            </w:r>
            <w:r w:rsidRPr="00A23740">
              <w:rPr>
                <w:bCs/>
                <w:szCs w:val="24"/>
                <w:lang w:eastAsia="x-none"/>
              </w:rPr>
              <w:t xml:space="preserve"> satışın yeri geldiğinde istinabe suretiyle yapılacak olması karşısında, bir icra takibinin kaçınılmaz olarak iki farklı yer icra </w:t>
            </w:r>
            <w:r w:rsidR="00B73523" w:rsidRPr="00D6648F">
              <w:rPr>
                <w:bCs/>
                <w:szCs w:val="24"/>
                <w:lang w:eastAsia="x-none"/>
              </w:rPr>
              <w:t xml:space="preserve">ve iflas </w:t>
            </w:r>
            <w:r w:rsidRPr="00A23740">
              <w:rPr>
                <w:bCs/>
                <w:szCs w:val="24"/>
                <w:lang w:eastAsia="x-none"/>
              </w:rPr>
              <w:t xml:space="preserve">dairesi tarafından iki dosyasının tutulup yürütülmesi, usul ekonomisiyle bağdaşır bulunmamıştır. </w:t>
            </w:r>
          </w:p>
          <w:p w:rsidR="00895D8A" w:rsidRPr="00D6648F" w:rsidRDefault="00895D8A" w:rsidP="009431FF">
            <w:pPr>
              <w:tabs>
                <w:tab w:val="left" w:pos="567"/>
              </w:tabs>
              <w:ind w:firstLine="709"/>
              <w:rPr>
                <w:bCs/>
                <w:szCs w:val="24"/>
                <w:lang w:eastAsia="x-none"/>
              </w:rPr>
            </w:pPr>
            <w:r w:rsidRPr="00D6648F">
              <w:rPr>
                <w:bCs/>
                <w:szCs w:val="24"/>
                <w:lang w:eastAsia="x-none"/>
              </w:rPr>
              <w:t>Bilindiği üzere icra</w:t>
            </w:r>
            <w:r w:rsidR="00B73523" w:rsidRPr="00D6648F">
              <w:rPr>
                <w:bCs/>
                <w:szCs w:val="24"/>
                <w:lang w:eastAsia="x-none"/>
              </w:rPr>
              <w:t xml:space="preserve"> ve iflas</w:t>
            </w:r>
            <w:r w:rsidRPr="00D6648F">
              <w:rPr>
                <w:bCs/>
                <w:szCs w:val="24"/>
                <w:lang w:eastAsia="x-none"/>
              </w:rPr>
              <w:t xml:space="preserve"> dairesinin yetkisi kural olarak kesin değildir. </w:t>
            </w:r>
            <w:r w:rsidR="00EB38C8" w:rsidRPr="00D6648F">
              <w:rPr>
                <w:bCs/>
                <w:szCs w:val="24"/>
                <w:lang w:eastAsia="x-none"/>
              </w:rPr>
              <w:t>Ama b</w:t>
            </w:r>
            <w:r w:rsidRPr="00D6648F">
              <w:rPr>
                <w:bCs/>
                <w:szCs w:val="24"/>
                <w:lang w:eastAsia="x-none"/>
              </w:rPr>
              <w:t>urada icra hukukunda icra</w:t>
            </w:r>
            <w:r w:rsidR="00B73523" w:rsidRPr="00D6648F">
              <w:rPr>
                <w:bCs/>
                <w:szCs w:val="24"/>
                <w:lang w:eastAsia="x-none"/>
              </w:rPr>
              <w:t xml:space="preserve"> ve iflas</w:t>
            </w:r>
            <w:r w:rsidRPr="00D6648F">
              <w:rPr>
                <w:bCs/>
                <w:szCs w:val="24"/>
                <w:lang w:eastAsia="x-none"/>
              </w:rPr>
              <w:t xml:space="preserve"> dairesinin yetkisi konusundaki kurala bir istisna getirilmektedir. Ayrıca bu kesin yetki</w:t>
            </w:r>
            <w:r w:rsidR="0063188D" w:rsidRPr="00D6648F">
              <w:rPr>
                <w:szCs w:val="24"/>
              </w:rPr>
              <w:t>nin</w:t>
            </w:r>
            <w:r w:rsidR="00FB229B" w:rsidRPr="00D6648F">
              <w:rPr>
                <w:bCs/>
                <w:szCs w:val="24"/>
                <w:lang w:eastAsia="x-none"/>
              </w:rPr>
              <w:t xml:space="preserve"> </w:t>
            </w:r>
            <w:r w:rsidRPr="00D6648F">
              <w:rPr>
                <w:bCs/>
                <w:szCs w:val="24"/>
                <w:lang w:eastAsia="x-none"/>
              </w:rPr>
              <w:t>icra ve iflas müdürü tarafından resen nazara alı</w:t>
            </w:r>
            <w:r w:rsidR="00FB229B" w:rsidRPr="00D6648F">
              <w:rPr>
                <w:bCs/>
                <w:szCs w:val="24"/>
                <w:lang w:eastAsia="x-none"/>
              </w:rPr>
              <w:t>nması</w:t>
            </w:r>
            <w:r w:rsidRPr="00D6648F">
              <w:rPr>
                <w:bCs/>
                <w:szCs w:val="24"/>
                <w:lang w:eastAsia="x-none"/>
              </w:rPr>
              <w:t xml:space="preserve"> gerekecektir. Böylece</w:t>
            </w:r>
            <w:r w:rsidR="00EB38C8" w:rsidRPr="00D6648F">
              <w:rPr>
                <w:bCs/>
                <w:szCs w:val="24"/>
                <w:lang w:eastAsia="x-none"/>
              </w:rPr>
              <w:t xml:space="preserve"> süresiz</w:t>
            </w:r>
            <w:r w:rsidRPr="00D6648F">
              <w:rPr>
                <w:bCs/>
                <w:szCs w:val="24"/>
                <w:lang w:eastAsia="x-none"/>
              </w:rPr>
              <w:t xml:space="preserve"> bir şik</w:t>
            </w:r>
            <w:r w:rsidR="00407C95" w:rsidRPr="00D6648F">
              <w:rPr>
                <w:bCs/>
                <w:szCs w:val="24"/>
                <w:lang w:eastAsia="x-none"/>
              </w:rPr>
              <w:t>â</w:t>
            </w:r>
            <w:r w:rsidRPr="00D6648F">
              <w:rPr>
                <w:bCs/>
                <w:szCs w:val="24"/>
                <w:lang w:eastAsia="x-none"/>
              </w:rPr>
              <w:t>yet sebebi de ihdas edilmektedir.</w:t>
            </w:r>
          </w:p>
          <w:p w:rsidR="005E7DF7" w:rsidRPr="00A23740" w:rsidRDefault="00895D8A" w:rsidP="0080239A">
            <w:pPr>
              <w:tabs>
                <w:tab w:val="left" w:pos="567"/>
              </w:tabs>
              <w:ind w:firstLine="709"/>
              <w:rPr>
                <w:b/>
                <w:bCs/>
                <w:szCs w:val="24"/>
                <w:lang w:eastAsia="x-none"/>
              </w:rPr>
            </w:pPr>
            <w:r w:rsidRPr="00A23740">
              <w:t xml:space="preserve">İkinci fıkrada ise, kesin yetki </w:t>
            </w:r>
            <w:r w:rsidR="00EB38C8" w:rsidRPr="00E73C48">
              <w:t>kuralı,</w:t>
            </w:r>
            <w:r w:rsidR="00EB38C8" w:rsidRPr="00A23740">
              <w:t xml:space="preserve"> </w:t>
            </w:r>
            <w:r w:rsidRPr="00A23740">
              <w:t>takibin birden fazla taşınmazın paraya çevrilmesine ilişkin olması h</w:t>
            </w:r>
            <w:r w:rsidR="00F906A7" w:rsidRPr="00A23740">
              <w:t>â</w:t>
            </w:r>
            <w:r w:rsidRPr="00A23740">
              <w:t>linde bunlardan birinin bulunduğu yerde takibin yapılabileceği kabul edilerek yumuşatılmıştır.</w:t>
            </w:r>
          </w:p>
          <w:p w:rsidR="00895D8A" w:rsidRPr="00A23740" w:rsidRDefault="00895D8A" w:rsidP="0080239A">
            <w:pPr>
              <w:ind w:firstLine="567"/>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Adres gösterme zorunluluğu:</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p>
          <w:p w:rsidR="00155AF4" w:rsidRPr="00A23740" w:rsidRDefault="00155AF4" w:rsidP="009431FF">
            <w:pPr>
              <w:tabs>
                <w:tab w:val="left" w:pos="566"/>
              </w:tabs>
              <w:autoSpaceDE w:val="0"/>
              <w:autoSpaceDN w:val="0"/>
              <w:adjustRightInd w:val="0"/>
              <w:rPr>
                <w:rFonts w:eastAsia="Times New Roman"/>
                <w:b/>
                <w:bCs/>
                <w:strike/>
                <w:color w:val="FF0000"/>
                <w:szCs w:val="24"/>
                <w:lang w:eastAsia="tr-TR"/>
              </w:rPr>
            </w:pPr>
            <w:r w:rsidRPr="00A23740">
              <w:rPr>
                <w:rFonts w:eastAsia="Times New Roman"/>
                <w:b/>
                <w:bCs/>
                <w:strike/>
                <w:color w:val="FF0000"/>
                <w:szCs w:val="24"/>
                <w:lang w:eastAsia="tr-TR"/>
              </w:rPr>
              <w:t xml:space="preserve">Madde 148/a- (1) </w:t>
            </w:r>
            <w:r w:rsidRPr="00A23740">
              <w:rPr>
                <w:rFonts w:eastAsia="Times New Roman"/>
                <w:b/>
                <w:strike/>
                <w:color w:val="FF0000"/>
                <w:szCs w:val="24"/>
                <w:lang w:eastAsia="tr-TR"/>
              </w:rPr>
              <w:t>(Ek: 17/7/2003-4949/41 md.)</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İpotek sözleşmesinin tarafları veya ipotekli taşınmazı daha sonra satın alanlar  ya da bunların halefleri, tapu sicili müdürlüğüne yurt içinde bir tebligat adresi bildirmek zorundadırlar. Aksi takdirde ilgililerin tescil talebi, tapu sicili müdürlüğünce reddolunur.</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p>
          <w:p w:rsidR="00155AF4"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(2) Adresin değiştirilmesi tapu sicil müdürlüğüne bildirilmesi hâlinde sonuç doğurur. Yeni adresin bildirilmemesi hâlinde tebligatların eski adrese ulaştığı tarih tebellüğ tarihi sayılır.</w:t>
            </w:r>
          </w:p>
          <w:p w:rsidR="0080239A" w:rsidRPr="00A23740" w:rsidRDefault="0080239A" w:rsidP="009431FF">
            <w:pPr>
              <w:tabs>
                <w:tab w:val="left" w:pos="566"/>
              </w:tabs>
              <w:autoSpaceDE w:val="0"/>
              <w:autoSpaceDN w:val="0"/>
              <w:adjustRightInd w:val="0"/>
              <w:rPr>
                <w:rFonts w:eastAsia="Times New Roman"/>
                <w:b/>
                <w:strike/>
                <w:color w:val="FF0000"/>
                <w:szCs w:val="24"/>
                <w:lang w:eastAsia="tr-TR"/>
              </w:rPr>
            </w:pPr>
          </w:p>
          <w:p w:rsidR="00155AF4" w:rsidRPr="00A23740" w:rsidRDefault="00155AF4" w:rsidP="009431FF">
            <w:pPr>
              <w:tabs>
                <w:tab w:val="left" w:pos="567"/>
              </w:tabs>
              <w:autoSpaceDE w:val="0"/>
              <w:autoSpaceDN w:val="0"/>
              <w:adjustRightInd w:val="0"/>
              <w:rPr>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b/>
                <w:strike/>
                <w:color w:val="FF0000"/>
                <w:szCs w:val="24"/>
              </w:rPr>
            </w:pPr>
            <w:r w:rsidRPr="00A23740">
              <w:rPr>
                <w:b/>
                <w:strike/>
                <w:color w:val="FF0000"/>
                <w:szCs w:val="24"/>
              </w:rPr>
              <w:t xml:space="preserve"> </w:t>
            </w:r>
          </w:p>
          <w:p w:rsidR="00155AF4" w:rsidRPr="00A23740" w:rsidRDefault="00155AF4" w:rsidP="009431FF">
            <w:pPr>
              <w:tabs>
                <w:tab w:val="left" w:pos="567"/>
              </w:tabs>
              <w:autoSpaceDE w:val="0"/>
              <w:autoSpaceDN w:val="0"/>
              <w:adjustRightInd w:val="0"/>
              <w:rPr>
                <w:szCs w:val="24"/>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6"/>
              </w:tabs>
              <w:autoSpaceDE w:val="0"/>
              <w:autoSpaceDN w:val="0"/>
              <w:adjustRightInd w:val="0"/>
              <w:rPr>
                <w:rFonts w:eastAsia="Times New Roman"/>
                <w:b/>
                <w:iCs/>
                <w:strike/>
                <w:color w:val="FF0000"/>
                <w:szCs w:val="24"/>
                <w:lang w:eastAsia="tr-TR"/>
              </w:rPr>
            </w:pPr>
            <w:r w:rsidRPr="00A23740">
              <w:rPr>
                <w:rFonts w:eastAsia="Times New Roman"/>
                <w:b/>
                <w:strike/>
                <w:color w:val="FF0000"/>
                <w:szCs w:val="24"/>
                <w:lang w:eastAsia="tr-TR"/>
              </w:rPr>
              <w:t>1 –</w:t>
            </w:r>
            <w:r w:rsidRPr="00A23740">
              <w:rPr>
                <w:szCs w:val="24"/>
                <w:shd w:val="clear" w:color="auto" w:fill="FFFFFF"/>
              </w:rPr>
              <w:t xml:space="preserve"> İcra emri</w:t>
            </w:r>
            <w:r w:rsidRPr="00A23740">
              <w:rPr>
                <w:rFonts w:eastAsia="Times New Roman"/>
                <w:b/>
                <w:strike/>
                <w:color w:val="FF0000"/>
                <w:szCs w:val="24"/>
                <w:lang w:eastAsia="tr-TR"/>
              </w:rPr>
              <w:t>:</w:t>
            </w: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149 – (1) (</w:t>
            </w:r>
            <w:r w:rsidRPr="00A23740">
              <w:rPr>
                <w:b/>
                <w:strike/>
                <w:color w:val="FF0000"/>
                <w:szCs w:val="24"/>
                <w:lang w:eastAsia="tr-TR"/>
              </w:rPr>
              <w:t>Değişik: 18/2/1965 - 538/69 md.)</w:t>
            </w:r>
          </w:p>
          <w:p w:rsidR="00155AF4" w:rsidRPr="00A23740" w:rsidRDefault="00155AF4" w:rsidP="009431FF">
            <w:pPr>
              <w:tabs>
                <w:tab w:val="left" w:pos="567"/>
              </w:tabs>
              <w:autoSpaceDE w:val="0"/>
              <w:autoSpaceDN w:val="0"/>
              <w:adjustRightInd w:val="0"/>
              <w:rPr>
                <w:szCs w:val="24"/>
              </w:rPr>
            </w:pPr>
            <w:r w:rsidRPr="00A23740">
              <w:rPr>
                <w:szCs w:val="24"/>
              </w:rPr>
              <w:t xml:space="preserve">İcra </w:t>
            </w:r>
            <w:r w:rsidRPr="00A23740">
              <w:rPr>
                <w:b/>
                <w:bCs/>
                <w:strike/>
                <w:color w:val="FF0000"/>
                <w:szCs w:val="24"/>
              </w:rPr>
              <w:t>memuru, ibraz edilen akit tablosunun</w:t>
            </w:r>
            <w:r w:rsidRPr="00A23740">
              <w:rPr>
                <w:szCs w:val="24"/>
              </w:rPr>
              <w:t xml:space="preserve"> kayıtsız şartsız bir para borcu ikrarını ihtiva ettiğini ve alacağın muaccel olduğunu </w:t>
            </w:r>
            <w:r w:rsidRPr="00A23740">
              <w:rPr>
                <w:b/>
                <w:strike/>
                <w:color w:val="FF0000"/>
                <w:szCs w:val="24"/>
                <w:lang w:eastAsia="tr-TR"/>
              </w:rPr>
              <w:t>anlarsa</w:t>
            </w:r>
            <w:r w:rsidRPr="00A23740">
              <w:rPr>
                <w:szCs w:val="24"/>
              </w:rPr>
              <w:t xml:space="preserve">, borçluya </w:t>
            </w:r>
            <w:r w:rsidRPr="00A23740">
              <w:rPr>
                <w:b/>
                <w:bCs/>
                <w:strike/>
                <w:color w:val="FF0000"/>
                <w:szCs w:val="24"/>
              </w:rPr>
              <w:t>ve</w:t>
            </w:r>
            <w:r w:rsidRPr="00A23740">
              <w:rPr>
                <w:szCs w:val="24"/>
              </w:rPr>
              <w:t xml:space="preserve"> taşınmaz üçüncü </w:t>
            </w:r>
            <w:r w:rsidRPr="00A23740">
              <w:rPr>
                <w:b/>
                <w:strike/>
                <w:color w:val="FF0000"/>
                <w:szCs w:val="24"/>
                <w:lang w:eastAsia="tr-TR"/>
              </w:rPr>
              <w:t>şahıs</w:t>
            </w:r>
            <w:r w:rsidRPr="00A23740">
              <w:rPr>
                <w:szCs w:val="24"/>
              </w:rPr>
              <w:t xml:space="preserve"> tarafından </w:t>
            </w:r>
            <w:r w:rsidRPr="00A23740">
              <w:rPr>
                <w:b/>
                <w:bCs/>
                <w:strike/>
                <w:color w:val="FF0000"/>
                <w:szCs w:val="24"/>
              </w:rPr>
              <w:t>rehnedilmiş</w:t>
            </w:r>
            <w:r w:rsidRPr="00A23740">
              <w:rPr>
                <w:szCs w:val="24"/>
              </w:rPr>
              <w:t xml:space="preserve"> veya taşınmazın mülkiyeti üçüncü </w:t>
            </w:r>
            <w:r w:rsidRPr="00A23740">
              <w:rPr>
                <w:b/>
                <w:strike/>
                <w:color w:val="FF0000"/>
                <w:szCs w:val="24"/>
                <w:lang w:eastAsia="tr-TR"/>
              </w:rPr>
              <w:t>şahsa</w:t>
            </w:r>
            <w:r w:rsidRPr="00A23740">
              <w:rPr>
                <w:szCs w:val="24"/>
              </w:rPr>
              <w:t xml:space="preserve"> geçmişse </w:t>
            </w:r>
            <w:r w:rsidRPr="00A23740">
              <w:rPr>
                <w:b/>
                <w:bCs/>
                <w:strike/>
                <w:color w:val="FF0000"/>
                <w:szCs w:val="24"/>
              </w:rPr>
              <w:t>ayrıca</w:t>
            </w:r>
            <w:r w:rsidRPr="00A23740">
              <w:rPr>
                <w:szCs w:val="24"/>
              </w:rPr>
              <w:t xml:space="preserve"> bunlara </w:t>
            </w:r>
            <w:r w:rsidRPr="00A23740">
              <w:rPr>
                <w:b/>
                <w:strike/>
                <w:color w:val="FF0000"/>
                <w:szCs w:val="24"/>
                <w:lang w:eastAsia="tr-TR"/>
              </w:rPr>
              <w:t>birer</w:t>
            </w:r>
            <w:r w:rsidRPr="00A23740">
              <w:rPr>
                <w:szCs w:val="24"/>
              </w:rPr>
              <w:t xml:space="preserve"> icra emri gönderir.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5269E6" w:rsidRPr="00A23740" w:rsidRDefault="005269E6"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(2) Bu</w:t>
            </w:r>
            <w:r w:rsidRPr="00A23740">
              <w:rPr>
                <w:szCs w:val="24"/>
              </w:rPr>
              <w:t xml:space="preserve"> icra emrin</w:t>
            </w:r>
            <w:r w:rsidRPr="00A23740">
              <w:rPr>
                <w:b/>
                <w:strike/>
                <w:color w:val="FF0000"/>
                <w:szCs w:val="24"/>
                <w:lang w:eastAsia="tr-TR"/>
              </w:rPr>
              <w:t>de</w:t>
            </w:r>
            <w:r w:rsidRPr="00A23740">
              <w:rPr>
                <w:szCs w:val="24"/>
              </w:rPr>
              <w:t xml:space="preserve"> </w:t>
            </w:r>
            <w:r w:rsidRPr="00A23740">
              <w:rPr>
                <w:b/>
                <w:strike/>
                <w:color w:val="FF0000"/>
                <w:szCs w:val="24"/>
                <w:lang w:eastAsia="tr-TR"/>
              </w:rPr>
              <w:t>borcun otuz gün</w:t>
            </w:r>
            <w:r w:rsidRPr="00A23740">
              <w:rPr>
                <w:szCs w:val="24"/>
              </w:rPr>
              <w:t xml:space="preserve"> içinde ödenmesi </w:t>
            </w:r>
            <w:r w:rsidRPr="00A23740">
              <w:rPr>
                <w:b/>
                <w:strike/>
                <w:color w:val="FF0000"/>
                <w:szCs w:val="24"/>
                <w:lang w:eastAsia="tr-TR"/>
              </w:rPr>
              <w:t>ve bu müddet</w:t>
            </w:r>
            <w:r w:rsidRPr="00A23740">
              <w:rPr>
                <w:szCs w:val="24"/>
              </w:rPr>
              <w:t xml:space="preserve"> </w:t>
            </w:r>
            <w:r w:rsidRPr="00A23740">
              <w:rPr>
                <w:b/>
                <w:strike/>
                <w:color w:val="FF0000"/>
                <w:szCs w:val="24"/>
                <w:lang w:eastAsia="tr-TR"/>
              </w:rPr>
              <w:t>içinde b</w:t>
            </w:r>
            <w:r w:rsidRPr="00A23740">
              <w:rPr>
                <w:szCs w:val="24"/>
              </w:rPr>
              <w:t>orç ödenmez ve mahkeme</w:t>
            </w:r>
            <w:r w:rsidRPr="00A23740">
              <w:rPr>
                <w:b/>
                <w:strike/>
                <w:color w:val="FF0000"/>
                <w:szCs w:val="24"/>
                <w:lang w:eastAsia="tr-TR"/>
              </w:rPr>
              <w:t>sin</w:t>
            </w:r>
            <w:r w:rsidRPr="00A23740">
              <w:rPr>
                <w:szCs w:val="24"/>
              </w:rPr>
              <w:t xml:space="preserve">den </w:t>
            </w:r>
            <w:r w:rsidRPr="00A23740">
              <w:rPr>
                <w:b/>
                <w:strike/>
                <w:color w:val="FF0000"/>
                <w:szCs w:val="24"/>
                <w:lang w:eastAsia="tr-TR"/>
              </w:rPr>
              <w:t>icranın geri bırakılmasına</w:t>
            </w:r>
            <w:r w:rsidRPr="00A23740">
              <w:rPr>
                <w:szCs w:val="24"/>
              </w:rPr>
              <w:t xml:space="preserve"> dair bir karar getirilmezse, alacaklının taşınmazın satışını ist</w:t>
            </w:r>
            <w:r w:rsidRPr="00A23740">
              <w:rPr>
                <w:b/>
                <w:strike/>
                <w:color w:val="FF0000"/>
                <w:szCs w:val="24"/>
                <w:lang w:eastAsia="tr-TR"/>
              </w:rPr>
              <w:t>i</w:t>
            </w:r>
            <w:r w:rsidRPr="00A23740">
              <w:rPr>
                <w:szCs w:val="24"/>
              </w:rPr>
              <w:t xml:space="preserve">yebileceği </w:t>
            </w:r>
            <w:r w:rsidRPr="00A23740">
              <w:rPr>
                <w:b/>
                <w:strike/>
                <w:color w:val="FF0000"/>
                <w:szCs w:val="24"/>
                <w:lang w:eastAsia="tr-TR"/>
              </w:rPr>
              <w:t>bildirilir.</w:t>
            </w:r>
          </w:p>
          <w:p w:rsidR="00155AF4" w:rsidRPr="00A23740" w:rsidRDefault="00155AF4" w:rsidP="009431FF">
            <w:pPr>
              <w:tabs>
                <w:tab w:val="left" w:pos="567"/>
              </w:tabs>
              <w:rPr>
                <w:b/>
                <w:bCs/>
                <w:iCs/>
                <w:color w:val="0000FF"/>
                <w:szCs w:val="24"/>
                <w:lang w:val="x-none" w:eastAsia="x-none"/>
              </w:rPr>
            </w:pPr>
          </w:p>
        </w:tc>
        <w:tc>
          <w:tcPr>
            <w:tcW w:w="2500" w:type="pct"/>
            <w:shd w:val="clear" w:color="auto" w:fill="auto"/>
          </w:tcPr>
          <w:p w:rsidR="00155AF4" w:rsidRPr="00A23740" w:rsidRDefault="007B6B38" w:rsidP="009431FF">
            <w:pPr>
              <w:tabs>
                <w:tab w:val="left" w:pos="566"/>
              </w:tabs>
              <w:autoSpaceDE w:val="0"/>
              <w:autoSpaceDN w:val="0"/>
              <w:adjustRightInd w:val="0"/>
              <w:rPr>
                <w:rFonts w:eastAsia="Times New Roman"/>
                <w:b/>
                <w:color w:val="0000FF"/>
                <w:szCs w:val="24"/>
                <w:lang w:eastAsia="tr-TR"/>
              </w:rPr>
            </w:pPr>
            <w:r w:rsidRPr="00A23740">
              <w:rPr>
                <w:b/>
                <w:bCs/>
                <w:color w:val="0000FF"/>
                <w:szCs w:val="24"/>
                <w:lang w:eastAsia="x-none"/>
              </w:rPr>
              <w:t>İpoteğin paraya çevrilmesine ilişkin</w:t>
            </w:r>
            <w:r w:rsidR="00155AF4" w:rsidRPr="00A23740">
              <w:rPr>
                <w:szCs w:val="24"/>
                <w:shd w:val="clear" w:color="auto" w:fill="FFFFFF"/>
              </w:rPr>
              <w:t xml:space="preserve"> icra emri</w:t>
            </w:r>
          </w:p>
          <w:p w:rsidR="00155AF4" w:rsidRPr="00A23740" w:rsidRDefault="00FC7A09" w:rsidP="009431FF">
            <w:pPr>
              <w:rPr>
                <w:szCs w:val="24"/>
              </w:rPr>
            </w:pPr>
            <w:r w:rsidRPr="00A23740">
              <w:rPr>
                <w:b/>
                <w:bCs/>
                <w:color w:val="0000FF"/>
                <w:szCs w:val="24"/>
                <w:lang w:val="x-none" w:eastAsia="x-none"/>
              </w:rPr>
              <w:t>MADDE 120</w:t>
            </w:r>
            <w:r w:rsidR="00155AF4" w:rsidRPr="00A23740">
              <w:rPr>
                <w:b/>
                <w:bCs/>
                <w:color w:val="0000FF"/>
                <w:szCs w:val="24"/>
                <w:lang w:val="x-none" w:eastAsia="x-none"/>
              </w:rPr>
              <w:t>- (1)</w:t>
            </w:r>
            <w:r w:rsidR="00155AF4" w:rsidRPr="00A23740">
              <w:rPr>
                <w:b/>
                <w:bCs/>
                <w:szCs w:val="24"/>
              </w:rPr>
              <w:t xml:space="preserve"> </w:t>
            </w:r>
            <w:r w:rsidR="00155AF4" w:rsidRPr="00A23740">
              <w:rPr>
                <w:szCs w:val="24"/>
                <w:shd w:val="clear" w:color="auto" w:fill="FFFFFF"/>
              </w:rPr>
              <w:t xml:space="preserve">İcra </w:t>
            </w:r>
            <w:r w:rsidR="00155AF4" w:rsidRPr="00A23740">
              <w:rPr>
                <w:rStyle w:val="MaviChar"/>
              </w:rPr>
              <w:t>ve iflas dairesi</w:t>
            </w:r>
            <w:r w:rsidR="00155AF4" w:rsidRPr="00A23740">
              <w:rPr>
                <w:szCs w:val="24"/>
                <w:shd w:val="clear" w:color="auto" w:fill="FFFFFF"/>
              </w:rPr>
              <w:t xml:space="preserve">, </w:t>
            </w:r>
            <w:r w:rsidR="00155AF4" w:rsidRPr="00A23740">
              <w:rPr>
                <w:b/>
                <w:bCs/>
                <w:color w:val="0000FF"/>
                <w:szCs w:val="24"/>
                <w:lang w:val="x-none" w:eastAsia="x-none"/>
              </w:rPr>
              <w:t>takibin dayanağı ipotek sözleşmesinin</w:t>
            </w:r>
            <w:r w:rsidR="00155AF4" w:rsidRPr="00A23740">
              <w:rPr>
                <w:b/>
                <w:bCs/>
                <w:color w:val="0000FF"/>
                <w:szCs w:val="24"/>
                <w:shd w:val="clear" w:color="auto" w:fill="FFFFFF"/>
              </w:rPr>
              <w:t xml:space="preserve"> </w:t>
            </w:r>
            <w:r w:rsidR="00155AF4" w:rsidRPr="00A23740">
              <w:rPr>
                <w:szCs w:val="24"/>
                <w:shd w:val="clear" w:color="auto" w:fill="FFFFFF"/>
              </w:rPr>
              <w:t xml:space="preserve">kayıtsız </w:t>
            </w:r>
            <w:r w:rsidR="00155AF4" w:rsidRPr="00A23740">
              <w:rPr>
                <w:b/>
                <w:bCs/>
                <w:color w:val="0000FF"/>
                <w:szCs w:val="24"/>
                <w:lang w:val="x-none" w:eastAsia="x-none"/>
              </w:rPr>
              <w:t>ve</w:t>
            </w:r>
            <w:r w:rsidR="00155AF4" w:rsidRPr="00A23740">
              <w:rPr>
                <w:szCs w:val="24"/>
                <w:shd w:val="clear" w:color="auto" w:fill="FFFFFF"/>
              </w:rPr>
              <w:t xml:space="preserve"> şartsız bir para borcu ikrarını </w:t>
            </w:r>
            <w:r w:rsidR="00B77274" w:rsidRPr="005574AB">
              <w:rPr>
                <w:b/>
                <w:bCs/>
                <w:color w:val="0000FF"/>
                <w:szCs w:val="24"/>
                <w:shd w:val="clear" w:color="auto" w:fill="FFFFFF"/>
              </w:rPr>
              <w:t>içerdiğini</w:t>
            </w:r>
            <w:r w:rsidR="00B77274" w:rsidRPr="00A23740">
              <w:rPr>
                <w:szCs w:val="24"/>
                <w:shd w:val="clear" w:color="auto" w:fill="FFFFFF"/>
              </w:rPr>
              <w:t xml:space="preserve"> </w:t>
            </w:r>
            <w:r w:rsidR="00155AF4" w:rsidRPr="00A23740">
              <w:rPr>
                <w:szCs w:val="24"/>
                <w:shd w:val="clear" w:color="auto" w:fill="FFFFFF"/>
              </w:rPr>
              <w:t xml:space="preserve">ve alacağın muaccel olduğunu </w:t>
            </w:r>
            <w:r w:rsidR="00155AF4" w:rsidRPr="00A23740">
              <w:rPr>
                <w:b/>
                <w:bCs/>
                <w:color w:val="0000FF"/>
                <w:szCs w:val="24"/>
                <w:lang w:val="x-none" w:eastAsia="x-none"/>
              </w:rPr>
              <w:t>görürse,</w:t>
            </w:r>
            <w:r w:rsidR="00155AF4" w:rsidRPr="00A23740">
              <w:rPr>
                <w:szCs w:val="24"/>
                <w:shd w:val="clear" w:color="auto" w:fill="FFFFFF"/>
              </w:rPr>
              <w:t xml:space="preserve"> borçluya</w:t>
            </w:r>
            <w:r w:rsidR="00B77274" w:rsidRPr="00A23740">
              <w:rPr>
                <w:b/>
                <w:bCs/>
                <w:color w:val="0000FF"/>
                <w:szCs w:val="24"/>
                <w:shd w:val="clear" w:color="auto" w:fill="FFFFFF"/>
              </w:rPr>
              <w:t>;</w:t>
            </w:r>
            <w:r w:rsidR="00155AF4" w:rsidRPr="00A23740">
              <w:rPr>
                <w:szCs w:val="24"/>
                <w:shd w:val="clear" w:color="auto" w:fill="FFFFFF"/>
              </w:rPr>
              <w:t xml:space="preserve"> taşınmaz üçüncü </w:t>
            </w:r>
            <w:r w:rsidR="00155AF4" w:rsidRPr="00A23740">
              <w:rPr>
                <w:b/>
                <w:bCs/>
                <w:color w:val="0000FF"/>
                <w:szCs w:val="24"/>
                <w:lang w:val="x-none" w:eastAsia="x-none"/>
              </w:rPr>
              <w:t>kişi</w:t>
            </w:r>
            <w:r w:rsidR="00155AF4" w:rsidRPr="00A23740">
              <w:rPr>
                <w:szCs w:val="24"/>
                <w:shd w:val="clear" w:color="auto" w:fill="FFFFFF"/>
              </w:rPr>
              <w:t xml:space="preserve"> tarafından </w:t>
            </w:r>
            <w:r w:rsidR="00155AF4" w:rsidRPr="00A23740">
              <w:rPr>
                <w:b/>
                <w:bCs/>
                <w:color w:val="0000FF"/>
                <w:szCs w:val="24"/>
                <w:lang w:val="x-none" w:eastAsia="x-none"/>
              </w:rPr>
              <w:t>ipotek edilmiş</w:t>
            </w:r>
            <w:r w:rsidR="00155AF4" w:rsidRPr="00A23740">
              <w:rPr>
                <w:szCs w:val="24"/>
                <w:shd w:val="clear" w:color="auto" w:fill="FFFFFF"/>
              </w:rPr>
              <w:t xml:space="preserve"> veya taşınmazın mülkiyeti üçüncü </w:t>
            </w:r>
            <w:r w:rsidR="00155AF4" w:rsidRPr="00A23740">
              <w:rPr>
                <w:b/>
                <w:bCs/>
                <w:color w:val="0000FF"/>
                <w:szCs w:val="24"/>
                <w:lang w:val="x-none" w:eastAsia="x-none"/>
              </w:rPr>
              <w:t>kişiye</w:t>
            </w:r>
            <w:r w:rsidR="00155AF4" w:rsidRPr="00A23740">
              <w:rPr>
                <w:szCs w:val="24"/>
                <w:shd w:val="clear" w:color="auto" w:fill="FFFFFF"/>
              </w:rPr>
              <w:t xml:space="preserve"> geçmişse</w:t>
            </w:r>
            <w:r w:rsidR="00155AF4" w:rsidRPr="00A23740">
              <w:rPr>
                <w:szCs w:val="24"/>
              </w:rPr>
              <w:t xml:space="preserve"> bunlara </w:t>
            </w:r>
            <w:r w:rsidR="00155AF4" w:rsidRPr="00A23740">
              <w:rPr>
                <w:b/>
                <w:bCs/>
                <w:color w:val="0000FF"/>
                <w:szCs w:val="24"/>
                <w:lang w:val="x-none" w:eastAsia="x-none"/>
              </w:rPr>
              <w:t xml:space="preserve">ve ipotekli mal aile konutu ise eşe, ipotek sözleşmesini </w:t>
            </w:r>
            <w:r w:rsidR="005A7587" w:rsidRPr="00A23740">
              <w:rPr>
                <w:b/>
                <w:bCs/>
                <w:color w:val="0000FF"/>
                <w:szCs w:val="24"/>
                <w:lang w:eastAsia="x-none"/>
              </w:rPr>
              <w:t xml:space="preserve">içeren resmî senedin bir örneği ile </w:t>
            </w:r>
            <w:r w:rsidR="00155AF4" w:rsidRPr="00A23740">
              <w:rPr>
                <w:b/>
                <w:bCs/>
                <w:color w:val="0000FF"/>
                <w:szCs w:val="24"/>
                <w:lang w:val="x-none" w:eastAsia="x-none"/>
              </w:rPr>
              <w:t>birlikte</w:t>
            </w:r>
            <w:r w:rsidR="00013C95" w:rsidRPr="00A23740">
              <w:rPr>
                <w:b/>
                <w:bCs/>
                <w:color w:val="0000FF"/>
                <w:szCs w:val="24"/>
                <w:lang w:eastAsia="x-none"/>
              </w:rPr>
              <w:t xml:space="preserve"> takip tarihinden itibaren</w:t>
            </w:r>
            <w:r w:rsidR="00155AF4" w:rsidRPr="00A23740">
              <w:rPr>
                <w:b/>
                <w:bCs/>
                <w:color w:val="0000FF"/>
                <w:szCs w:val="24"/>
                <w:lang w:eastAsia="x-none"/>
              </w:rPr>
              <w:t xml:space="preserve"> </w:t>
            </w:r>
            <w:r w:rsidR="00155AF4" w:rsidRPr="00A23740">
              <w:rPr>
                <w:b/>
                <w:bCs/>
                <w:color w:val="0000FF"/>
                <w:szCs w:val="24"/>
                <w:lang w:val="x-none" w:eastAsia="x-none"/>
              </w:rPr>
              <w:t>üç gün içinde</w:t>
            </w:r>
            <w:r w:rsidR="00155AF4" w:rsidRPr="00A23740">
              <w:rPr>
                <w:b/>
                <w:bCs/>
                <w:color w:val="0000FF"/>
                <w:szCs w:val="24"/>
              </w:rPr>
              <w:t xml:space="preserve"> </w:t>
            </w:r>
            <w:r w:rsidR="00155AF4" w:rsidRPr="00A23740">
              <w:rPr>
                <w:szCs w:val="24"/>
              </w:rPr>
              <w:t>icra emri gönderir.</w:t>
            </w:r>
          </w:p>
          <w:p w:rsidR="0062254F" w:rsidRPr="00A23740" w:rsidRDefault="0062254F" w:rsidP="009431FF">
            <w:pPr>
              <w:rPr>
                <w:szCs w:val="24"/>
              </w:rPr>
            </w:pPr>
          </w:p>
          <w:p w:rsidR="00155AF4" w:rsidRPr="00A23740" w:rsidRDefault="00155AF4" w:rsidP="009431FF">
            <w:pPr>
              <w:rPr>
                <w:b/>
                <w:bCs/>
                <w:color w:val="0000FF"/>
                <w:szCs w:val="24"/>
              </w:rPr>
            </w:pPr>
            <w:r w:rsidRPr="00A23740">
              <w:rPr>
                <w:b/>
                <w:bCs/>
                <w:color w:val="0000FF"/>
                <w:szCs w:val="24"/>
                <w:lang w:val="x-none" w:eastAsia="x-none"/>
              </w:rPr>
              <w:t xml:space="preserve">(2) Takip talebi kabul edilmeyerek icra emrinin gönderilmemesi </w:t>
            </w:r>
            <w:r w:rsidRPr="00A23740">
              <w:rPr>
                <w:b/>
                <w:bCs/>
                <w:strike/>
                <w:color w:val="FF0000"/>
                <w:szCs w:val="24"/>
              </w:rPr>
              <w:t xml:space="preserve"> </w:t>
            </w:r>
            <w:r w:rsidRPr="00A23740">
              <w:rPr>
                <w:b/>
                <w:bCs/>
                <w:color w:val="0000FF"/>
                <w:szCs w:val="24"/>
                <w:lang w:val="x-none" w:eastAsia="x-none"/>
              </w:rPr>
              <w:t>h</w:t>
            </w:r>
            <w:r w:rsidR="00F906A7" w:rsidRPr="00A23740">
              <w:rPr>
                <w:b/>
                <w:bCs/>
                <w:color w:val="0000FF"/>
                <w:szCs w:val="24"/>
                <w:lang w:eastAsia="x-none"/>
              </w:rPr>
              <w:t>â</w:t>
            </w:r>
            <w:r w:rsidRPr="00A23740">
              <w:rPr>
                <w:b/>
                <w:bCs/>
                <w:color w:val="0000FF"/>
                <w:szCs w:val="24"/>
                <w:lang w:val="x-none" w:eastAsia="x-none"/>
              </w:rPr>
              <w:t>linde</w:t>
            </w:r>
            <w:r w:rsidR="00B77274" w:rsidRPr="00A23740">
              <w:rPr>
                <w:b/>
                <w:bCs/>
                <w:color w:val="0000FF"/>
                <w:szCs w:val="24"/>
                <w:lang w:val="x-none" w:eastAsia="x-none"/>
              </w:rPr>
              <w:t>,</w:t>
            </w:r>
            <w:r w:rsidRPr="00A23740">
              <w:rPr>
                <w:b/>
                <w:bCs/>
                <w:color w:val="0000FF"/>
                <w:szCs w:val="24"/>
                <w:lang w:val="x-none" w:eastAsia="x-none"/>
              </w:rPr>
              <w:t xml:space="preserve"> verilen karar tutanağa yazılır ve derh</w:t>
            </w:r>
            <w:r w:rsidR="00DF22A1" w:rsidRPr="00A23740">
              <w:rPr>
                <w:b/>
                <w:bCs/>
                <w:color w:val="0000FF"/>
                <w:szCs w:val="24"/>
                <w:lang w:eastAsia="x-none"/>
              </w:rPr>
              <w:t>â</w:t>
            </w:r>
            <w:r w:rsidRPr="00A23740">
              <w:rPr>
                <w:b/>
                <w:bCs/>
                <w:color w:val="0000FF"/>
                <w:szCs w:val="24"/>
                <w:lang w:val="x-none" w:eastAsia="x-none"/>
              </w:rPr>
              <w:t xml:space="preserve">l alacaklıya tebliğ edilir. İcra </w:t>
            </w:r>
            <w:r w:rsidR="00B77274" w:rsidRPr="005574AB">
              <w:rPr>
                <w:b/>
                <w:bCs/>
                <w:color w:val="0000FF"/>
                <w:szCs w:val="24"/>
                <w:lang w:val="x-none" w:eastAsia="x-none"/>
              </w:rPr>
              <w:t>ve</w:t>
            </w:r>
            <w:r w:rsidR="00B77274" w:rsidRPr="00A23740">
              <w:rPr>
                <w:b/>
                <w:bCs/>
                <w:color w:val="538135"/>
                <w:szCs w:val="24"/>
                <w:lang w:val="x-none" w:eastAsia="x-none"/>
              </w:rPr>
              <w:t xml:space="preserve"> </w:t>
            </w:r>
            <w:r w:rsidR="00B77274" w:rsidRPr="005574AB">
              <w:rPr>
                <w:b/>
                <w:bCs/>
                <w:color w:val="0000FF"/>
                <w:szCs w:val="24"/>
                <w:lang w:val="x-none" w:eastAsia="x-none"/>
              </w:rPr>
              <w:t>iflas</w:t>
            </w:r>
            <w:r w:rsidR="00B77274" w:rsidRPr="00A23740">
              <w:rPr>
                <w:b/>
                <w:bCs/>
                <w:color w:val="538135"/>
                <w:szCs w:val="24"/>
                <w:lang w:val="x-none" w:eastAsia="x-none"/>
              </w:rPr>
              <w:t xml:space="preserve"> </w:t>
            </w:r>
            <w:r w:rsidRPr="00A23740">
              <w:rPr>
                <w:b/>
                <w:bCs/>
                <w:color w:val="0000FF"/>
                <w:szCs w:val="24"/>
                <w:lang w:val="x-none" w:eastAsia="x-none"/>
              </w:rPr>
              <w:t>müdürü bu işlemleri en geç üç gün içinde yapar.</w:t>
            </w:r>
          </w:p>
          <w:p w:rsidR="00155AF4" w:rsidRPr="00A23740" w:rsidRDefault="00155AF4" w:rsidP="009431FF">
            <w:pPr>
              <w:rPr>
                <w:b/>
                <w:color w:val="FF0000"/>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(3) İcra emri</w:t>
            </w:r>
            <w:r w:rsidR="00EE0AAC" w:rsidRPr="00A23740">
              <w:rPr>
                <w:b/>
                <w:bCs/>
                <w:color w:val="0000FF"/>
                <w:szCs w:val="24"/>
                <w:lang w:val="x-none" w:eastAsia="x-none"/>
              </w:rPr>
              <w:t>nde aşağıdaki hususlar bulunur:</w:t>
            </w:r>
          </w:p>
          <w:p w:rsidR="00155AF4" w:rsidRPr="00A23740" w:rsidRDefault="00155AF4" w:rsidP="009431FF">
            <w:pPr>
              <w:tabs>
                <w:tab w:val="left" w:pos="566"/>
              </w:tabs>
              <w:rPr>
                <w:b/>
                <w:bCs/>
                <w:color w:val="0000FF"/>
                <w:szCs w:val="24"/>
                <w:lang w:val="x-none" w:eastAsia="x-none"/>
              </w:rPr>
            </w:pPr>
            <w:r w:rsidRPr="00A23740">
              <w:rPr>
                <w:b/>
                <w:bCs/>
                <w:color w:val="0000FF"/>
                <w:szCs w:val="24"/>
                <w:lang w:val="x-none" w:eastAsia="x-none"/>
              </w:rPr>
              <w:t>a) Alacaklının veya vekilinin banka hesap numarası hariç olmak üzere, tak</w:t>
            </w:r>
            <w:r w:rsidR="00EE0AAC" w:rsidRPr="00A23740">
              <w:rPr>
                <w:b/>
                <w:bCs/>
                <w:color w:val="0000FF"/>
                <w:szCs w:val="24"/>
                <w:lang w:val="x-none" w:eastAsia="x-none"/>
              </w:rPr>
              <w:t>ip talebinde yer alan hususlar.</w:t>
            </w:r>
          </w:p>
          <w:p w:rsidR="00EE0AAC" w:rsidRPr="00A23740" w:rsidRDefault="00EE0AAC" w:rsidP="009431FF">
            <w:pPr>
              <w:tabs>
                <w:tab w:val="left" w:pos="566"/>
              </w:tabs>
              <w:rPr>
                <w:b/>
                <w:bCs/>
                <w:color w:val="0000FF"/>
                <w:szCs w:val="24"/>
                <w:lang w:val="x-none" w:eastAsia="x-none"/>
              </w:rPr>
            </w:pPr>
          </w:p>
          <w:p w:rsidR="00155AF4" w:rsidRPr="00A23740" w:rsidRDefault="00155AF4" w:rsidP="009431FF">
            <w:pPr>
              <w:rPr>
                <w:b/>
                <w:color w:val="0000FF"/>
                <w:szCs w:val="24"/>
                <w:lang w:eastAsia="tr-TR"/>
              </w:rPr>
            </w:pPr>
            <w:r w:rsidRPr="00A23740">
              <w:rPr>
                <w:b/>
                <w:bCs/>
                <w:color w:val="0000FF"/>
                <w:szCs w:val="24"/>
                <w:lang w:val="x-none" w:eastAsia="x-none"/>
              </w:rPr>
              <w:t>b) İ</w:t>
            </w:r>
            <w:r w:rsidRPr="00A23740">
              <w:rPr>
                <w:szCs w:val="24"/>
              </w:rPr>
              <w:t>cra emrin</w:t>
            </w:r>
            <w:r w:rsidRPr="00A23740">
              <w:rPr>
                <w:b/>
                <w:bCs/>
                <w:color w:val="0000FF"/>
                <w:szCs w:val="24"/>
                <w:lang w:val="x-none" w:eastAsia="x-none"/>
              </w:rPr>
              <w:t xml:space="preserve">in tebliğinden itibaren iki ay </w:t>
            </w:r>
            <w:r w:rsidRPr="00A23740">
              <w:rPr>
                <w:szCs w:val="24"/>
              </w:rPr>
              <w:t xml:space="preserve">içinde </w:t>
            </w:r>
            <w:r w:rsidRPr="00A23740">
              <w:rPr>
                <w:b/>
                <w:bCs/>
                <w:color w:val="0000FF"/>
                <w:szCs w:val="24"/>
                <w:lang w:val="x-none" w:eastAsia="x-none"/>
              </w:rPr>
              <w:t xml:space="preserve">borcun </w:t>
            </w:r>
            <w:r w:rsidRPr="00A23740">
              <w:rPr>
                <w:szCs w:val="24"/>
              </w:rPr>
              <w:t>ödenmesi</w:t>
            </w:r>
            <w:r w:rsidRPr="00A23740">
              <w:rPr>
                <w:b/>
                <w:color w:val="0000FF"/>
                <w:szCs w:val="24"/>
                <w:lang w:eastAsia="tr-TR"/>
              </w:rPr>
              <w:t>.</w:t>
            </w:r>
          </w:p>
          <w:p w:rsidR="00EE0AAC" w:rsidRPr="00A23740" w:rsidRDefault="00EE0AAC" w:rsidP="009431FF">
            <w:pPr>
              <w:rPr>
                <w:szCs w:val="24"/>
              </w:rPr>
            </w:pPr>
          </w:p>
          <w:p w:rsidR="00C15418" w:rsidRPr="00A23740" w:rsidRDefault="00155AF4" w:rsidP="009431FF">
            <w:pPr>
              <w:rPr>
                <w:szCs w:val="24"/>
              </w:rPr>
            </w:pPr>
            <w:r w:rsidRPr="00A23740">
              <w:rPr>
                <w:b/>
                <w:bCs/>
                <w:color w:val="0000FF"/>
                <w:szCs w:val="24"/>
                <w:lang w:val="x-none" w:eastAsia="x-none"/>
              </w:rPr>
              <w:t>c) B</w:t>
            </w:r>
            <w:r w:rsidRPr="00A23740">
              <w:rPr>
                <w:szCs w:val="24"/>
              </w:rPr>
              <w:t xml:space="preserve">orç </w:t>
            </w:r>
            <w:r w:rsidRPr="00A23740">
              <w:rPr>
                <w:b/>
                <w:bCs/>
                <w:color w:val="0000FF"/>
                <w:szCs w:val="24"/>
                <w:lang w:val="x-none" w:eastAsia="x-none"/>
              </w:rPr>
              <w:t xml:space="preserve">bu süre içinde </w:t>
            </w:r>
            <w:r w:rsidRPr="00A23740">
              <w:rPr>
                <w:szCs w:val="24"/>
              </w:rPr>
              <w:t>ödenmez ve</w:t>
            </w:r>
            <w:r w:rsidRPr="00A23740">
              <w:rPr>
                <w:b/>
                <w:bCs/>
                <w:color w:val="0000FF"/>
                <w:szCs w:val="24"/>
                <w:lang w:val="x-none" w:eastAsia="x-none"/>
              </w:rPr>
              <w:t>ya</w:t>
            </w:r>
            <w:r w:rsidRPr="00A23740">
              <w:rPr>
                <w:szCs w:val="24"/>
              </w:rPr>
              <w:t xml:space="preserve"> </w:t>
            </w:r>
            <w:r w:rsidR="000E3CB4" w:rsidRPr="00A23740">
              <w:rPr>
                <w:rStyle w:val="Balk1Char"/>
                <w:rFonts w:eastAsia="Calibri"/>
              </w:rPr>
              <w:t xml:space="preserve">icra emrinin tebliğinden </w:t>
            </w:r>
            <w:r w:rsidR="00B77274" w:rsidRPr="005574AB">
              <w:rPr>
                <w:rStyle w:val="Balk1Char"/>
                <w:rFonts w:eastAsia="Calibri"/>
              </w:rPr>
              <w:t xml:space="preserve">itibaren </w:t>
            </w:r>
            <w:r w:rsidR="000E3CB4" w:rsidRPr="00A23740">
              <w:rPr>
                <w:rStyle w:val="Balk1Char"/>
                <w:rFonts w:eastAsia="Calibri"/>
              </w:rPr>
              <w:t xml:space="preserve">iki hafta içinde mahkemeden takibin iptaline veya icranın geri bırakılmasına </w:t>
            </w:r>
            <w:r w:rsidR="000E3CB4" w:rsidRPr="00A23740">
              <w:rPr>
                <w:szCs w:val="24"/>
              </w:rPr>
              <w:t xml:space="preserve"> </w:t>
            </w:r>
            <w:r w:rsidRPr="00A23740">
              <w:rPr>
                <w:szCs w:val="24"/>
              </w:rPr>
              <w:t>dair bir karar getirilmezse, alacaklının taşınmazın satışını ist</w:t>
            </w:r>
            <w:r w:rsidRPr="00A23740">
              <w:rPr>
                <w:b/>
                <w:bCs/>
                <w:color w:val="0000FF"/>
                <w:szCs w:val="24"/>
                <w:lang w:val="x-none" w:eastAsia="x-none"/>
              </w:rPr>
              <w:t>e</w:t>
            </w:r>
            <w:r w:rsidR="0062254F" w:rsidRPr="00A23740">
              <w:rPr>
                <w:szCs w:val="24"/>
              </w:rPr>
              <w:t>yebileceği.</w:t>
            </w:r>
          </w:p>
          <w:p w:rsidR="00EE0AAC" w:rsidRPr="00A23740" w:rsidRDefault="00EE0AAC" w:rsidP="009431FF">
            <w:pPr>
              <w:rPr>
                <w:szCs w:val="24"/>
              </w:rPr>
            </w:pPr>
          </w:p>
          <w:p w:rsidR="00624497" w:rsidRDefault="00624497" w:rsidP="009431FF">
            <w:pPr>
              <w:tabs>
                <w:tab w:val="left" w:pos="567"/>
              </w:tabs>
              <w:rPr>
                <w:b/>
                <w:bCs/>
                <w:color w:val="0000FF"/>
                <w:szCs w:val="24"/>
                <w:lang w:val="x-none" w:eastAsia="x-none"/>
              </w:rPr>
            </w:pPr>
            <w:r w:rsidRPr="00A23740">
              <w:rPr>
                <w:b/>
                <w:bCs/>
                <w:color w:val="0000FF"/>
                <w:szCs w:val="24"/>
                <w:lang w:val="x-none" w:eastAsia="x-none"/>
              </w:rPr>
              <w:t xml:space="preserve">ç) Borç ödenmezse, </w:t>
            </w:r>
            <w:r w:rsidRPr="00A23740">
              <w:rPr>
                <w:rStyle w:val="MaviChar"/>
              </w:rPr>
              <w:t>borçlunun,</w:t>
            </w:r>
            <w:r w:rsidRPr="00A23740">
              <w:rPr>
                <w:b/>
                <w:bCs/>
                <w:color w:val="0000FF"/>
                <w:szCs w:val="24"/>
                <w:lang w:eastAsia="x-none"/>
              </w:rPr>
              <w:t xml:space="preserve"> </w:t>
            </w:r>
            <w:r w:rsidRPr="00A23740">
              <w:rPr>
                <w:b/>
                <w:bCs/>
                <w:color w:val="0000FF"/>
                <w:szCs w:val="24"/>
                <w:lang w:val="x-none" w:eastAsia="x-none"/>
              </w:rPr>
              <w:t>aynı süre içinde, varsa taşınmazdaki kiracıya ait bilgiler ile kira alacağı miktarını bildirmesi</w:t>
            </w:r>
            <w:r w:rsidRPr="00A23740">
              <w:rPr>
                <w:rStyle w:val="MaviChar"/>
              </w:rPr>
              <w:t>;</w:t>
            </w:r>
            <w:r w:rsidRPr="00A23740">
              <w:rPr>
                <w:b/>
                <w:bCs/>
                <w:color w:val="0000FF"/>
                <w:szCs w:val="24"/>
                <w:lang w:val="x-none" w:eastAsia="x-none"/>
              </w:rPr>
              <w:t xml:space="preserve"> aksi</w:t>
            </w:r>
            <w:r w:rsidRPr="00A23740">
              <w:rPr>
                <w:b/>
                <w:bCs/>
                <w:color w:val="0000FF"/>
                <w:szCs w:val="24"/>
                <w:lang w:eastAsia="x-none"/>
              </w:rPr>
              <w:t xml:space="preserve"> </w:t>
            </w:r>
            <w:r w:rsidRPr="00A23740">
              <w:rPr>
                <w:rStyle w:val="MaviChar"/>
              </w:rPr>
              <w:t>takdirde</w:t>
            </w:r>
            <w:r w:rsidRPr="00A23740">
              <w:rPr>
                <w:b/>
                <w:bCs/>
                <w:color w:val="0000FF"/>
                <w:szCs w:val="24"/>
                <w:lang w:val="x-none" w:eastAsia="x-none"/>
              </w:rPr>
              <w:t xml:space="preserve"> </w:t>
            </w:r>
            <w:r w:rsidR="00E5689F" w:rsidRPr="005574AB">
              <w:rPr>
                <w:rStyle w:val="KonuBalChar"/>
                <w:rFonts w:eastAsia="Calibri"/>
                <w:color w:val="0000FF"/>
              </w:rPr>
              <w:t>511 inci</w:t>
            </w:r>
            <w:r w:rsidR="00E5689F" w:rsidRPr="005574AB">
              <w:rPr>
                <w:rStyle w:val="KIRMIZIChar"/>
                <w:rFonts w:eastAsia="Calibri"/>
                <w:strike w:val="0"/>
                <w:color w:val="0000FF"/>
              </w:rPr>
              <w:t xml:space="preserve"> </w:t>
            </w:r>
            <w:r w:rsidRPr="00A23740">
              <w:rPr>
                <w:b/>
                <w:bCs/>
                <w:color w:val="0000FF"/>
                <w:szCs w:val="24"/>
                <w:lang w:val="x-none" w:eastAsia="x-none"/>
              </w:rPr>
              <w:t>maddeye göre</w:t>
            </w:r>
            <w:r w:rsidRPr="00A23740">
              <w:rPr>
                <w:b/>
                <w:bCs/>
                <w:color w:val="0000FF"/>
                <w:szCs w:val="24"/>
                <w:lang w:eastAsia="x-none"/>
              </w:rPr>
              <w:t xml:space="preserve"> disiplin hapsi</w:t>
            </w:r>
            <w:r w:rsidR="00B77274" w:rsidRPr="005574AB">
              <w:rPr>
                <w:b/>
                <w:bCs/>
                <w:color w:val="0000FF"/>
                <w:szCs w:val="24"/>
                <w:lang w:eastAsia="x-none"/>
              </w:rPr>
              <w:t>yle</w:t>
            </w:r>
            <w:r w:rsidRPr="00A23740">
              <w:rPr>
                <w:b/>
                <w:bCs/>
                <w:color w:val="0000FF"/>
                <w:szCs w:val="24"/>
                <w:lang w:eastAsia="x-none"/>
              </w:rPr>
              <w:t xml:space="preserve"> </w:t>
            </w:r>
            <w:r w:rsidRPr="00A23740">
              <w:rPr>
                <w:b/>
                <w:bCs/>
                <w:color w:val="0000FF"/>
                <w:szCs w:val="24"/>
                <w:lang w:val="x-none" w:eastAsia="x-none"/>
              </w:rPr>
              <w:t>cezalandırılacağı; gerçeğe aykırı bildirimde bulunması h</w:t>
            </w:r>
            <w:r w:rsidR="00F906A7" w:rsidRPr="00A23740">
              <w:rPr>
                <w:b/>
                <w:bCs/>
                <w:color w:val="0000FF"/>
                <w:szCs w:val="24"/>
                <w:lang w:eastAsia="x-none"/>
              </w:rPr>
              <w:t>â</w:t>
            </w:r>
            <w:r w:rsidRPr="00A23740">
              <w:rPr>
                <w:b/>
                <w:bCs/>
                <w:color w:val="0000FF"/>
                <w:szCs w:val="24"/>
                <w:lang w:val="x-none" w:eastAsia="x-none"/>
              </w:rPr>
              <w:t>linde ise</w:t>
            </w:r>
            <w:r w:rsidR="00B77274" w:rsidRPr="00A23740">
              <w:rPr>
                <w:b/>
                <w:bCs/>
                <w:color w:val="0000FF"/>
                <w:szCs w:val="24"/>
                <w:lang w:val="x-none" w:eastAsia="x-none"/>
              </w:rPr>
              <w:t>,</w:t>
            </w:r>
            <w:r w:rsidRPr="00A23740">
              <w:rPr>
                <w:b/>
                <w:bCs/>
                <w:color w:val="0000FF"/>
                <w:szCs w:val="24"/>
                <w:lang w:val="x-none" w:eastAsia="x-none"/>
              </w:rPr>
              <w:t xml:space="preserve"> </w:t>
            </w:r>
            <w:r w:rsidR="00E5689F" w:rsidRPr="005574AB">
              <w:rPr>
                <w:rStyle w:val="KonuBalChar"/>
                <w:rFonts w:eastAsia="Calibri"/>
                <w:color w:val="0000FF"/>
              </w:rPr>
              <w:t>518 inci</w:t>
            </w:r>
            <w:r w:rsidR="00E5689F" w:rsidRPr="005574AB">
              <w:rPr>
                <w:b/>
                <w:bCs/>
                <w:color w:val="0000FF"/>
                <w:szCs w:val="24"/>
                <w:lang w:eastAsia="x-none"/>
              </w:rPr>
              <w:t xml:space="preserve"> </w:t>
            </w:r>
            <w:r w:rsidRPr="00A23740">
              <w:rPr>
                <w:b/>
                <w:bCs/>
                <w:color w:val="0000FF"/>
                <w:szCs w:val="24"/>
                <w:lang w:val="x-none" w:eastAsia="x-none"/>
              </w:rPr>
              <w:t xml:space="preserve"> madde uyarınca hapis cezası</w:t>
            </w:r>
            <w:r w:rsidR="00B77274" w:rsidRPr="005574AB">
              <w:rPr>
                <w:b/>
                <w:bCs/>
                <w:color w:val="0000FF"/>
                <w:szCs w:val="24"/>
                <w:lang w:val="x-none" w:eastAsia="x-none"/>
              </w:rPr>
              <w:t>yla</w:t>
            </w:r>
            <w:r w:rsidRPr="00A23740">
              <w:rPr>
                <w:b/>
                <w:bCs/>
                <w:color w:val="0000FF"/>
                <w:szCs w:val="24"/>
                <w:lang w:val="x-none" w:eastAsia="x-none"/>
              </w:rPr>
              <w:t xml:space="preserve"> cezalandırılacağı belirtilir.</w:t>
            </w:r>
          </w:p>
          <w:p w:rsidR="0080239A" w:rsidRPr="00A23740" w:rsidRDefault="0080239A" w:rsidP="009431FF">
            <w:pPr>
              <w:tabs>
                <w:tab w:val="left" w:pos="567"/>
              </w:tabs>
              <w:rPr>
                <w:b/>
                <w:bCs/>
                <w:color w:val="0000FF"/>
                <w:szCs w:val="24"/>
                <w:lang w:eastAsia="x-none"/>
              </w:rPr>
            </w:pPr>
          </w:p>
          <w:p w:rsidR="00155AF4" w:rsidRPr="00A23740" w:rsidRDefault="00155AF4" w:rsidP="009431FF">
            <w:pPr>
              <w:rPr>
                <w:b/>
                <w:iCs/>
                <w:color w:val="008000"/>
                <w:szCs w:val="24"/>
              </w:rPr>
            </w:pPr>
          </w:p>
        </w:tc>
      </w:tr>
      <w:tr w:rsidR="00895D8A" w:rsidRPr="00A23740" w:rsidTr="009431FF">
        <w:tc>
          <w:tcPr>
            <w:tcW w:w="5000" w:type="pct"/>
            <w:gridSpan w:val="2"/>
            <w:shd w:val="clear" w:color="auto" w:fill="DEEAF6"/>
          </w:tcPr>
          <w:p w:rsidR="00895D8A" w:rsidRPr="00A23740" w:rsidRDefault="00895D8A" w:rsidP="009431FF">
            <w:pPr>
              <w:ind w:firstLine="567"/>
              <w:rPr>
                <w:b/>
                <w:bCs/>
                <w:szCs w:val="24"/>
                <w:lang w:eastAsia="x-none"/>
              </w:rPr>
            </w:pPr>
          </w:p>
          <w:p w:rsidR="00895D8A" w:rsidRPr="00A23740" w:rsidRDefault="00FC7A09" w:rsidP="009431FF">
            <w:pPr>
              <w:ind w:firstLine="567"/>
              <w:rPr>
                <w:szCs w:val="24"/>
              </w:rPr>
            </w:pPr>
            <w:r w:rsidRPr="00A23740">
              <w:rPr>
                <w:b/>
                <w:bCs/>
                <w:szCs w:val="24"/>
                <w:lang w:eastAsia="x-none"/>
              </w:rPr>
              <w:t>MADDE 120</w:t>
            </w:r>
            <w:r w:rsidR="00895D8A" w:rsidRPr="00A23740">
              <w:rPr>
                <w:b/>
                <w:bCs/>
                <w:szCs w:val="24"/>
                <w:lang w:eastAsia="x-none"/>
              </w:rPr>
              <w:t xml:space="preserve">- </w:t>
            </w:r>
            <w:r w:rsidR="00895D8A" w:rsidRPr="00A23740">
              <w:rPr>
                <w:bCs/>
                <w:szCs w:val="24"/>
                <w:lang w:eastAsia="x-none"/>
              </w:rPr>
              <w:t xml:space="preserve">Maddeyle, kayıtsız ve şartsız bir para borcunu içeren ipotek sözleşmesine dayanılarak yapılan takipte icra emri düzenlenmektedir. </w:t>
            </w:r>
            <w:r w:rsidR="00895D8A" w:rsidRPr="00A23740">
              <w:rPr>
                <w:szCs w:val="24"/>
              </w:rPr>
              <w:t>İpoteğin türüne bağlı olarak ipotek sözleşmesinin kayıtsız şartsız bir para borcunu havi olması h</w:t>
            </w:r>
            <w:r w:rsidR="00F906A7" w:rsidRPr="00A23740">
              <w:rPr>
                <w:szCs w:val="24"/>
              </w:rPr>
              <w:t>â</w:t>
            </w:r>
            <w:r w:rsidR="00895D8A" w:rsidRPr="00A23740">
              <w:rPr>
                <w:szCs w:val="24"/>
              </w:rPr>
              <w:t>linde icra ve iflas müdürü alacağın muaccel olduğunu da tespit ederse</w:t>
            </w:r>
            <w:r w:rsidR="00D958FA" w:rsidRPr="00A23740">
              <w:rPr>
                <w:szCs w:val="24"/>
              </w:rPr>
              <w:t>,</w:t>
            </w:r>
            <w:r w:rsidR="00895D8A" w:rsidRPr="00A23740">
              <w:rPr>
                <w:szCs w:val="24"/>
              </w:rPr>
              <w:t xml:space="preserve"> bir icra emri düzenleyecektir. İcra ve iflas müdürü, takip talebi verildikten ve alacağın muaccel olduğunu da tespit ettikten sonra en geç üç gün içinde bu icra emrini asıl borçluya, varsa ipotekli taşınmazın maliki üçüncü kişiye (ki bu malik taşınmazı ipotek kurulduktan sonra da devralmış olabilir) ve ipotekli taşınmaz bir aile konutu ise eşe gönderecektir. Söz konusu icra emrine, takip talebi ile birlikte verilmiş olan ipotek sözleşmesinin bir örneği de eklenecektir. Bu h</w:t>
            </w:r>
            <w:r w:rsidR="00F906A7" w:rsidRPr="00A23740">
              <w:rPr>
                <w:szCs w:val="24"/>
              </w:rPr>
              <w:t>â</w:t>
            </w:r>
            <w:r w:rsidR="00895D8A" w:rsidRPr="00A23740">
              <w:rPr>
                <w:szCs w:val="24"/>
              </w:rPr>
              <w:t xml:space="preserve">lde kendisine icra emri tebliğ edilen eşin durumu borçtan sorumlu olmayan taşınmaz maliki üçüncü kişinin durumu gibidir. </w:t>
            </w:r>
          </w:p>
          <w:p w:rsidR="00895D8A" w:rsidRPr="00A23740" w:rsidRDefault="00895D8A" w:rsidP="009431FF">
            <w:pPr>
              <w:ind w:firstLine="567"/>
              <w:rPr>
                <w:szCs w:val="24"/>
              </w:rPr>
            </w:pPr>
            <w:r w:rsidRPr="00A23740">
              <w:rPr>
                <w:szCs w:val="24"/>
              </w:rPr>
              <w:t xml:space="preserve">İcra ve iflas müdürü, taşınmazın aile konutu olduğu tapu kaydından anlaşılıyor ise resen eşe de tebligat yapacaktır. </w:t>
            </w:r>
            <w:r w:rsidR="000E3CB4" w:rsidRPr="005574AB">
              <w:rPr>
                <w:szCs w:val="24"/>
              </w:rPr>
              <w:t>T</w:t>
            </w:r>
            <w:r w:rsidRPr="00A23740">
              <w:rPr>
                <w:szCs w:val="24"/>
              </w:rPr>
              <w:t>aşınmazın aile konutu olduğu</w:t>
            </w:r>
            <w:r w:rsidR="000E3CB4" w:rsidRPr="005574AB">
              <w:rPr>
                <w:szCs w:val="24"/>
              </w:rPr>
              <w:t>nun</w:t>
            </w:r>
            <w:r w:rsidRPr="00A23740">
              <w:rPr>
                <w:szCs w:val="24"/>
              </w:rPr>
              <w:t xml:space="preserve"> tapu kaydından </w:t>
            </w:r>
            <w:r w:rsidR="000E3CB4" w:rsidRPr="005574AB">
              <w:rPr>
                <w:bCs/>
                <w:szCs w:val="24"/>
              </w:rPr>
              <w:t>anlaşılamaması</w:t>
            </w:r>
            <w:r w:rsidR="000E3CB4" w:rsidRPr="00A23740">
              <w:rPr>
                <w:rStyle w:val="Balk1Char"/>
                <w:rFonts w:eastAsia="Calibri"/>
                <w:b w:val="0"/>
              </w:rPr>
              <w:t xml:space="preserve"> </w:t>
            </w:r>
            <w:r w:rsidR="000E3CB4" w:rsidRPr="005574AB">
              <w:rPr>
                <w:bCs/>
                <w:szCs w:val="24"/>
              </w:rPr>
              <w:t>h</w:t>
            </w:r>
            <w:r w:rsidR="00F906A7" w:rsidRPr="005574AB">
              <w:rPr>
                <w:bCs/>
                <w:szCs w:val="24"/>
              </w:rPr>
              <w:t>â</w:t>
            </w:r>
            <w:r w:rsidR="000E3CB4" w:rsidRPr="005574AB">
              <w:rPr>
                <w:bCs/>
                <w:szCs w:val="24"/>
              </w:rPr>
              <w:t>linde</w:t>
            </w:r>
            <w:r w:rsidR="000E3CB4" w:rsidRPr="00A23740">
              <w:rPr>
                <w:szCs w:val="24"/>
              </w:rPr>
              <w:t xml:space="preserve"> </w:t>
            </w:r>
            <w:r w:rsidRPr="00A23740">
              <w:rPr>
                <w:szCs w:val="24"/>
              </w:rPr>
              <w:t>dahi</w:t>
            </w:r>
            <w:r w:rsidR="000E3CB4" w:rsidRPr="005574AB">
              <w:rPr>
                <w:b/>
                <w:bCs/>
                <w:szCs w:val="24"/>
              </w:rPr>
              <w:t>,</w:t>
            </w:r>
            <w:r w:rsidRPr="00A23740">
              <w:rPr>
                <w:szCs w:val="24"/>
              </w:rPr>
              <w:t xml:space="preserve"> borçlunun evli olması ve ipotekli taşınmazın tapuda mesken niteliğinde kayıtlı olması </w:t>
            </w:r>
            <w:r w:rsidR="000E3CB4" w:rsidRPr="005574AB">
              <w:rPr>
                <w:bCs/>
                <w:szCs w:val="24"/>
              </w:rPr>
              <w:t>durumunda</w:t>
            </w:r>
            <w:r w:rsidR="000E3CB4" w:rsidRPr="00A23740">
              <w:rPr>
                <w:b/>
                <w:szCs w:val="24"/>
              </w:rPr>
              <w:t xml:space="preserve"> </w:t>
            </w:r>
            <w:r w:rsidRPr="00A23740">
              <w:rPr>
                <w:szCs w:val="24"/>
              </w:rPr>
              <w:t>yine tebligat yapılacaktır. Bu hususlar yönetmelikte düzenlenecektir.</w:t>
            </w:r>
          </w:p>
          <w:p w:rsidR="00895D8A" w:rsidRPr="00A23740" w:rsidRDefault="00895D8A" w:rsidP="009431FF">
            <w:pPr>
              <w:ind w:firstLine="567"/>
              <w:rPr>
                <w:bCs/>
                <w:szCs w:val="24"/>
              </w:rPr>
            </w:pPr>
            <w:r w:rsidRPr="00A23740">
              <w:rPr>
                <w:bCs/>
                <w:szCs w:val="24"/>
              </w:rPr>
              <w:t>Eş</w:t>
            </w:r>
            <w:r w:rsidR="000E3CB4" w:rsidRPr="005574AB">
              <w:rPr>
                <w:szCs w:val="24"/>
              </w:rPr>
              <w:t>,</w:t>
            </w:r>
            <w:r w:rsidRPr="005574AB">
              <w:rPr>
                <w:szCs w:val="24"/>
              </w:rPr>
              <w:t xml:space="preserve"> takip</w:t>
            </w:r>
            <w:r w:rsidRPr="00A23740">
              <w:rPr>
                <w:bCs/>
                <w:szCs w:val="24"/>
              </w:rPr>
              <w:t xml:space="preserve"> arkadaşı olarak, </w:t>
            </w:r>
            <w:r w:rsidR="000E3CB4" w:rsidRPr="005574AB">
              <w:rPr>
                <w:bCs/>
                <w:szCs w:val="24"/>
              </w:rPr>
              <w:t>taşınmazın maliki olan</w:t>
            </w:r>
            <w:r w:rsidR="000E3CB4" w:rsidRPr="00A23740">
              <w:rPr>
                <w:bCs/>
                <w:szCs w:val="24"/>
              </w:rPr>
              <w:t xml:space="preserve"> </w:t>
            </w:r>
            <w:r w:rsidRPr="00A23740">
              <w:rPr>
                <w:bCs/>
                <w:szCs w:val="24"/>
              </w:rPr>
              <w:t xml:space="preserve">diğer eşin </w:t>
            </w:r>
            <w:r w:rsidR="000E3CB4" w:rsidRPr="005574AB">
              <w:rPr>
                <w:bCs/>
                <w:szCs w:val="24"/>
              </w:rPr>
              <w:t>dayanabileceği</w:t>
            </w:r>
            <w:r w:rsidR="000E3CB4" w:rsidRPr="00A23740">
              <w:rPr>
                <w:bCs/>
                <w:szCs w:val="24"/>
              </w:rPr>
              <w:t xml:space="preserve"> </w:t>
            </w:r>
            <w:r w:rsidRPr="00A23740">
              <w:rPr>
                <w:bCs/>
                <w:szCs w:val="24"/>
              </w:rPr>
              <w:t xml:space="preserve">icranın geri bırakılması ve iptali sebepleri ile şikâyet </w:t>
            </w:r>
            <w:r w:rsidR="000E3CB4" w:rsidRPr="005574AB">
              <w:rPr>
                <w:szCs w:val="24"/>
              </w:rPr>
              <w:t>sebeplerini</w:t>
            </w:r>
            <w:r w:rsidR="000E3CB4" w:rsidRPr="00A23740">
              <w:rPr>
                <w:bCs/>
                <w:szCs w:val="24"/>
              </w:rPr>
              <w:t xml:space="preserve"> </w:t>
            </w:r>
            <w:r w:rsidRPr="00A23740">
              <w:rPr>
                <w:bCs/>
                <w:szCs w:val="24"/>
              </w:rPr>
              <w:t>ileri sürebilecektir. İpoteğin aile konutu olması ve eşin muvafakatinin alınmamış olması sebebiyle geçersizliği iddiası ise ancak mahkemede dava yoluyla ileri sürülebilecektir.</w:t>
            </w:r>
          </w:p>
          <w:p w:rsidR="00895D8A" w:rsidRPr="00A23740" w:rsidRDefault="00895D8A" w:rsidP="009431FF">
            <w:pPr>
              <w:ind w:firstLine="567"/>
              <w:rPr>
                <w:bCs/>
                <w:szCs w:val="24"/>
              </w:rPr>
            </w:pPr>
            <w:r w:rsidRPr="00A23740">
              <w:rPr>
                <w:bCs/>
                <w:szCs w:val="24"/>
              </w:rPr>
              <w:t xml:space="preserve">Takip talebi kabul edilmediğinde izlenecek prosedür de açıklığa kavuşturulmuş ve </w:t>
            </w:r>
            <w:r w:rsidRPr="005574AB">
              <w:rPr>
                <w:szCs w:val="24"/>
              </w:rPr>
              <w:t xml:space="preserve">icra </w:t>
            </w:r>
            <w:r w:rsidR="001557D2" w:rsidRPr="005574AB">
              <w:t>ve iflas</w:t>
            </w:r>
            <w:r w:rsidR="001557D2" w:rsidRPr="00A23740">
              <w:rPr>
                <w:bCs/>
                <w:szCs w:val="24"/>
              </w:rPr>
              <w:t xml:space="preserve"> </w:t>
            </w:r>
            <w:r w:rsidRPr="00A23740">
              <w:rPr>
                <w:bCs/>
                <w:szCs w:val="24"/>
              </w:rPr>
              <w:t>müdürü tarafından yapılacak işlemler hüküm altına alınmıştır.</w:t>
            </w:r>
          </w:p>
          <w:p w:rsidR="00895D8A" w:rsidRPr="00A23740" w:rsidRDefault="00895D8A" w:rsidP="009431FF">
            <w:pPr>
              <w:ind w:firstLine="567"/>
              <w:rPr>
                <w:b/>
                <w:bCs/>
                <w:szCs w:val="24"/>
                <w:lang w:eastAsia="x-none"/>
              </w:rPr>
            </w:pPr>
            <w:r w:rsidRPr="00A23740">
              <w:rPr>
                <w:bCs/>
                <w:szCs w:val="24"/>
              </w:rPr>
              <w:t>Üçüncü fıkrada icra emrinin içeriği ayrıntılı olarak düzenlenmiştir. Buna göre borcun iki ay içinde ödenmesi yahut (</w:t>
            </w:r>
            <w:r w:rsidR="00AC60C7" w:rsidRPr="005574AB">
              <w:rPr>
                <w:szCs w:val="24"/>
              </w:rPr>
              <w:t>T</w:t>
            </w:r>
            <w:r w:rsidR="009E2A41" w:rsidRPr="005574AB">
              <w:rPr>
                <w:szCs w:val="24"/>
              </w:rPr>
              <w:t>aslak</w:t>
            </w:r>
            <w:r w:rsidR="009E2A41" w:rsidRPr="00A23740">
              <w:rPr>
                <w:rStyle w:val="KonuBalChar"/>
                <w:rFonts w:eastAsia="Calibri"/>
                <w:b w:val="0"/>
                <w:bCs w:val="0"/>
              </w:rPr>
              <w:t xml:space="preserve"> </w:t>
            </w:r>
            <w:r w:rsidR="009E2A41" w:rsidRPr="005574AB">
              <w:rPr>
                <w:szCs w:val="24"/>
              </w:rPr>
              <w:t>121/1</w:t>
            </w:r>
            <w:r w:rsidR="00AC60C7" w:rsidRPr="00A23740">
              <w:rPr>
                <w:bCs/>
                <w:szCs w:val="24"/>
              </w:rPr>
              <w:t xml:space="preserve"> </w:t>
            </w:r>
            <w:r w:rsidRPr="005574AB">
              <w:rPr>
                <w:szCs w:val="24"/>
              </w:rPr>
              <w:t xml:space="preserve">uyarınca) </w:t>
            </w:r>
            <w:r w:rsidR="001557D2" w:rsidRPr="005574AB">
              <w:rPr>
                <w:szCs w:val="24"/>
              </w:rPr>
              <w:t>icra emrinin tebliğinden itibaren</w:t>
            </w:r>
            <w:r w:rsidR="001557D2" w:rsidRPr="005574AB">
              <w:rPr>
                <w:b/>
              </w:rPr>
              <w:t xml:space="preserve"> </w:t>
            </w:r>
            <w:r w:rsidRPr="005574AB">
              <w:rPr>
                <w:szCs w:val="24"/>
              </w:rPr>
              <w:t>iki hafta</w:t>
            </w:r>
            <w:r w:rsidRPr="00A23740">
              <w:rPr>
                <w:bCs/>
                <w:szCs w:val="24"/>
              </w:rPr>
              <w:t xml:space="preserve"> içinde icranın geri bırakılması veya iptali hakkında karar </w:t>
            </w:r>
            <w:r w:rsidRPr="005574AB">
              <w:rPr>
                <w:szCs w:val="24"/>
              </w:rPr>
              <w:t>getirilmezse</w:t>
            </w:r>
            <w:r w:rsidR="00801489" w:rsidRPr="005574AB">
              <w:rPr>
                <w:b/>
                <w:bCs/>
                <w:szCs w:val="24"/>
              </w:rPr>
              <w:t>,</w:t>
            </w:r>
            <w:r w:rsidRPr="005574AB">
              <w:rPr>
                <w:szCs w:val="24"/>
              </w:rPr>
              <w:t xml:space="preserve"> ala</w:t>
            </w:r>
            <w:r w:rsidRPr="00A23740">
              <w:rPr>
                <w:bCs/>
                <w:szCs w:val="24"/>
              </w:rPr>
              <w:t>caklının satış isteyebileceği borçluya bildirilecektir. Bu h</w:t>
            </w:r>
            <w:r w:rsidR="00F906A7" w:rsidRPr="00A23740">
              <w:rPr>
                <w:bCs/>
                <w:szCs w:val="24"/>
              </w:rPr>
              <w:t>â</w:t>
            </w:r>
            <w:r w:rsidRPr="00A23740">
              <w:rPr>
                <w:bCs/>
                <w:szCs w:val="24"/>
              </w:rPr>
              <w:t xml:space="preserve">lde borçlunun, varsa taşınmazdaki kiracıya ait </w:t>
            </w:r>
            <w:r w:rsidRPr="005574AB">
              <w:rPr>
                <w:szCs w:val="24"/>
              </w:rPr>
              <w:t>bilgiler</w:t>
            </w:r>
            <w:r w:rsidR="00801489" w:rsidRPr="005574AB">
              <w:rPr>
                <w:szCs w:val="24"/>
              </w:rPr>
              <w:t>i</w:t>
            </w:r>
            <w:r w:rsidRPr="005574AB">
              <w:rPr>
                <w:szCs w:val="24"/>
              </w:rPr>
              <w:t xml:space="preserve"> v</w:t>
            </w:r>
            <w:r w:rsidRPr="00A23740">
              <w:rPr>
                <w:bCs/>
                <w:szCs w:val="24"/>
              </w:rPr>
              <w:t>e kira alacağının miktarını bildirmek zorunda olduğu, aks</w:t>
            </w:r>
            <w:r w:rsidR="00801489" w:rsidRPr="00A23740">
              <w:rPr>
                <w:bCs/>
                <w:szCs w:val="24"/>
              </w:rPr>
              <w:t>i</w:t>
            </w:r>
            <w:r w:rsidRPr="00A23740">
              <w:rPr>
                <w:bCs/>
                <w:szCs w:val="24"/>
              </w:rPr>
              <w:t xml:space="preserve"> h</w:t>
            </w:r>
            <w:r w:rsidR="00801489" w:rsidRPr="00A23740">
              <w:rPr>
                <w:bCs/>
                <w:szCs w:val="24"/>
              </w:rPr>
              <w:t>â</w:t>
            </w:r>
            <w:r w:rsidRPr="00A23740">
              <w:rPr>
                <w:bCs/>
                <w:szCs w:val="24"/>
              </w:rPr>
              <w:t xml:space="preserve">lde </w:t>
            </w:r>
            <w:r w:rsidR="00E5689F" w:rsidRPr="005574AB">
              <w:rPr>
                <w:bCs/>
                <w:szCs w:val="24"/>
              </w:rPr>
              <w:t>511</w:t>
            </w:r>
            <w:r w:rsidR="00E5689F" w:rsidRPr="00A23740">
              <w:rPr>
                <w:rStyle w:val="KonuBalChar"/>
                <w:rFonts w:eastAsia="Calibri"/>
                <w:b w:val="0"/>
              </w:rPr>
              <w:t xml:space="preserve"> </w:t>
            </w:r>
            <w:r w:rsidR="00E5689F" w:rsidRPr="005574AB">
              <w:rPr>
                <w:bCs/>
                <w:szCs w:val="24"/>
              </w:rPr>
              <w:t>inci</w:t>
            </w:r>
            <w:r w:rsidR="00E5689F" w:rsidRPr="00A23740">
              <w:rPr>
                <w:rStyle w:val="KIRMIZIChar"/>
                <w:rFonts w:eastAsia="Calibri"/>
                <w:strike w:val="0"/>
              </w:rPr>
              <w:t xml:space="preserve"> </w:t>
            </w:r>
            <w:r w:rsidRPr="00A23740">
              <w:rPr>
                <w:bCs/>
                <w:szCs w:val="24"/>
              </w:rPr>
              <w:t>maddeye göre</w:t>
            </w:r>
            <w:r w:rsidR="00AC60C7" w:rsidRPr="00A23740">
              <w:rPr>
                <w:bCs/>
                <w:szCs w:val="24"/>
              </w:rPr>
              <w:t xml:space="preserve">; </w:t>
            </w:r>
            <w:r w:rsidR="00AC60C7" w:rsidRPr="005574AB">
              <w:rPr>
                <w:szCs w:val="24"/>
              </w:rPr>
              <w:t>gerçeğe aykırı bildirimde bulunması h</w:t>
            </w:r>
            <w:r w:rsidR="00F906A7" w:rsidRPr="005574AB">
              <w:rPr>
                <w:szCs w:val="24"/>
              </w:rPr>
              <w:t>â</w:t>
            </w:r>
            <w:r w:rsidR="00AC60C7" w:rsidRPr="005574AB">
              <w:rPr>
                <w:szCs w:val="24"/>
              </w:rPr>
              <w:t>linde ise</w:t>
            </w:r>
            <w:r w:rsidR="00AC60C7" w:rsidRPr="00A23740">
              <w:rPr>
                <w:b/>
                <w:bCs/>
                <w:color w:val="0000FF"/>
                <w:szCs w:val="24"/>
                <w:lang w:val="x-none" w:eastAsia="x-none"/>
              </w:rPr>
              <w:t xml:space="preserve"> </w:t>
            </w:r>
            <w:r w:rsidR="00AC60C7" w:rsidRPr="005574AB">
              <w:rPr>
                <w:bCs/>
                <w:szCs w:val="24"/>
              </w:rPr>
              <w:t>518</w:t>
            </w:r>
            <w:r w:rsidR="00AC60C7" w:rsidRPr="00A23740">
              <w:rPr>
                <w:rStyle w:val="KonuBalChar"/>
                <w:rFonts w:eastAsia="Calibri"/>
                <w:b w:val="0"/>
              </w:rPr>
              <w:t xml:space="preserve"> </w:t>
            </w:r>
            <w:r w:rsidR="00AC60C7" w:rsidRPr="005574AB">
              <w:rPr>
                <w:bCs/>
                <w:szCs w:val="24"/>
              </w:rPr>
              <w:t>inci</w:t>
            </w:r>
            <w:r w:rsidR="00AC60C7" w:rsidRPr="00A23740">
              <w:rPr>
                <w:b/>
                <w:bCs/>
                <w:color w:val="0000FF"/>
                <w:szCs w:val="24"/>
                <w:lang w:eastAsia="x-none"/>
              </w:rPr>
              <w:t xml:space="preserve"> </w:t>
            </w:r>
            <w:r w:rsidR="00AC60C7" w:rsidRPr="005574AB">
              <w:rPr>
                <w:szCs w:val="24"/>
              </w:rPr>
              <w:t>madde uyarınca hapis cezası</w:t>
            </w:r>
            <w:r w:rsidR="001557D2" w:rsidRPr="005574AB">
              <w:t>yla</w:t>
            </w:r>
            <w:r w:rsidR="001557D2" w:rsidRPr="005574AB">
              <w:rPr>
                <w:b/>
                <w:szCs w:val="24"/>
              </w:rPr>
              <w:t xml:space="preserve"> </w:t>
            </w:r>
            <w:r w:rsidRPr="005574AB">
              <w:rPr>
                <w:szCs w:val="24"/>
              </w:rPr>
              <w:t>cezalandırılacağı</w:t>
            </w:r>
            <w:r w:rsidRPr="00A23740">
              <w:rPr>
                <w:bCs/>
                <w:szCs w:val="24"/>
              </w:rPr>
              <w:t xml:space="preserve"> ihtarına da yer verilecektir.</w:t>
            </w:r>
          </w:p>
          <w:p w:rsidR="00895D8A" w:rsidRPr="00A23740" w:rsidRDefault="00801489" w:rsidP="009431FF">
            <w:pPr>
              <w:ind w:firstLine="567"/>
              <w:rPr>
                <w:bCs/>
                <w:szCs w:val="24"/>
                <w:lang w:eastAsia="x-none"/>
              </w:rPr>
            </w:pPr>
            <w:r w:rsidRPr="005574AB">
              <w:rPr>
                <w:szCs w:val="24"/>
              </w:rPr>
              <w:t>Taslağın</w:t>
            </w:r>
            <w:r w:rsidRPr="00A23740">
              <w:rPr>
                <w:bCs/>
                <w:szCs w:val="24"/>
                <w:lang w:eastAsia="x-none"/>
              </w:rPr>
              <w:t xml:space="preserve"> </w:t>
            </w:r>
            <w:r w:rsidR="00895D8A" w:rsidRPr="00A23740">
              <w:rPr>
                <w:bCs/>
                <w:szCs w:val="24"/>
                <w:lang w:eastAsia="x-none"/>
              </w:rPr>
              <w:t>bu hükmünde, ilk fıkrada getirilen en büyük yenilik, ipotekli taşınmazın aile konutu olması h</w:t>
            </w:r>
            <w:r w:rsidR="00F906A7" w:rsidRPr="00A23740">
              <w:rPr>
                <w:bCs/>
                <w:szCs w:val="24"/>
                <w:lang w:eastAsia="x-none"/>
              </w:rPr>
              <w:t>â</w:t>
            </w:r>
            <w:r w:rsidR="00895D8A" w:rsidRPr="00A23740">
              <w:rPr>
                <w:bCs/>
                <w:szCs w:val="24"/>
                <w:lang w:eastAsia="x-none"/>
              </w:rPr>
              <w:t>linde, eşe de ayrıca bir icra emrinin gönderilecek olmasıdır. Paraya çevrilmesi ihtim</w:t>
            </w:r>
            <w:r w:rsidRPr="00A23740">
              <w:rPr>
                <w:bCs/>
                <w:szCs w:val="24"/>
                <w:lang w:eastAsia="x-none"/>
              </w:rPr>
              <w:t>a</w:t>
            </w:r>
            <w:r w:rsidR="00895D8A" w:rsidRPr="00A23740">
              <w:rPr>
                <w:bCs/>
                <w:szCs w:val="24"/>
                <w:lang w:eastAsia="x-none"/>
              </w:rPr>
              <w:t>li beliren taşınmazın aile konutu olması h</w:t>
            </w:r>
            <w:r w:rsidR="00F906A7" w:rsidRPr="00A23740">
              <w:rPr>
                <w:bCs/>
                <w:szCs w:val="24"/>
                <w:lang w:eastAsia="x-none"/>
              </w:rPr>
              <w:t>â</w:t>
            </w:r>
            <w:r w:rsidR="00895D8A" w:rsidRPr="00A23740">
              <w:rPr>
                <w:bCs/>
                <w:szCs w:val="24"/>
                <w:lang w:eastAsia="x-none"/>
              </w:rPr>
              <w:t>linde, borcun borçlusu olmasa dahi eşe, birtakım haklarını savunabilmek bakımından imkân verilmelidir. Burada, eşin sadece takipten haberdar edilmesi hedeflenmemiş; tıpkı takip borçluları gibi</w:t>
            </w:r>
            <w:r w:rsidRPr="005574AB">
              <w:rPr>
                <w:szCs w:val="24"/>
              </w:rPr>
              <w:t>,</w:t>
            </w:r>
            <w:r w:rsidR="00895D8A" w:rsidRPr="00A23740">
              <w:rPr>
                <w:bCs/>
                <w:szCs w:val="24"/>
                <w:lang w:eastAsia="x-none"/>
              </w:rPr>
              <w:t xml:space="preserve"> </w:t>
            </w:r>
            <w:r w:rsidR="00895D8A" w:rsidRPr="005574AB">
              <w:rPr>
                <w:szCs w:val="24"/>
              </w:rPr>
              <w:t>gönderilen</w:t>
            </w:r>
            <w:r w:rsidR="00895D8A" w:rsidRPr="00A23740">
              <w:rPr>
                <w:bCs/>
                <w:szCs w:val="24"/>
                <w:lang w:eastAsia="x-none"/>
              </w:rPr>
              <w:t xml:space="preserve"> örneğin icra emrine karşı mümkün olan hukuki çareleri (şikâyet, takibin geri bırakılması, iptali) de kullanabilmesi istenmiştir. </w:t>
            </w:r>
            <w:r w:rsidRPr="005574AB">
              <w:rPr>
                <w:szCs w:val="24"/>
              </w:rPr>
              <w:t>Y</w:t>
            </w:r>
            <w:r w:rsidR="00895D8A" w:rsidRPr="005574AB">
              <w:rPr>
                <w:szCs w:val="24"/>
              </w:rPr>
              <w:t>apılabilecek</w:t>
            </w:r>
            <w:r w:rsidR="00895D8A" w:rsidRPr="00A23740">
              <w:rPr>
                <w:bCs/>
                <w:szCs w:val="24"/>
                <w:lang w:eastAsia="x-none"/>
              </w:rPr>
              <w:t xml:space="preserve"> satışın aile konutuna ilişkin olması, eşin kurulan ipoteğin sıhhati hakkında, bilhassa aile hukukundan ileri gelen kimi özellikli hususları, takip içerisinde veya takibin çok da ilerlemesine imkân verilmeden mahkemeler önünde bir savunma olarak ileri sürebilmesini haklı ve zorunlu kılmaktadır. H</w:t>
            </w:r>
            <w:r w:rsidR="00F906A7" w:rsidRPr="00A23740">
              <w:rPr>
                <w:bCs/>
                <w:szCs w:val="24"/>
                <w:lang w:eastAsia="x-none"/>
              </w:rPr>
              <w:t>â</w:t>
            </w:r>
            <w:r w:rsidR="00895D8A" w:rsidRPr="00A23740">
              <w:rPr>
                <w:bCs/>
                <w:szCs w:val="24"/>
                <w:lang w:eastAsia="x-none"/>
              </w:rPr>
              <w:t xml:space="preserve">lihazırda mevcut uygulama dikkate alındığında; eşin takipte taraf olmaması, ilk icra takip işlemden haberdar olamamasına ve ancak takibin çok ileriki safhalarında, hatta çoğu kez de satış aşamasında söz konusu takibe karşı birtakım hususları ileri sürebilmesine yol açmaktaydı. Bunun aile konutuyla ilgili meselelerde, eşe etkin bir hukuki himayeyi sağlamadığı açık olup bu yönde </w:t>
            </w:r>
            <w:r w:rsidR="00E47822" w:rsidRPr="005574AB">
              <w:rPr>
                <w:bCs/>
                <w:szCs w:val="24"/>
              </w:rPr>
              <w:t>İsviçre’nin Borç İçin Takip ve İflas Hakkında Federal Kanunu</w:t>
            </w:r>
            <w:r w:rsidR="00E47822" w:rsidRPr="005574AB">
              <w:rPr>
                <w:szCs w:val="24"/>
              </w:rPr>
              <w:t xml:space="preserve"> </w:t>
            </w:r>
            <w:r w:rsidR="00895D8A" w:rsidRPr="005574AB">
              <w:rPr>
                <w:szCs w:val="24"/>
              </w:rPr>
              <w:t>m.</w:t>
            </w:r>
            <w:r w:rsidR="00895D8A" w:rsidRPr="00A23740">
              <w:rPr>
                <w:bCs/>
                <w:szCs w:val="24"/>
                <w:lang w:eastAsia="x-none"/>
              </w:rPr>
              <w:t xml:space="preserve"> 153, II, II</w:t>
            </w:r>
            <w:r w:rsidR="00895D8A" w:rsidRPr="00A23740">
              <w:rPr>
                <w:bCs/>
                <w:i/>
                <w:szCs w:val="24"/>
                <w:lang w:eastAsia="x-none"/>
              </w:rPr>
              <w:t>bis</w:t>
            </w:r>
            <w:r w:rsidR="00895D8A" w:rsidRPr="00A23740">
              <w:rPr>
                <w:bCs/>
                <w:szCs w:val="24"/>
                <w:lang w:eastAsia="x-none"/>
              </w:rPr>
              <w:t xml:space="preserve"> hükümlerinin iktibası uygun bulunmuştur. </w:t>
            </w:r>
            <w:r w:rsidRPr="005574AB">
              <w:rPr>
                <w:bCs/>
                <w:szCs w:val="24"/>
              </w:rPr>
              <w:t>Taslağın</w:t>
            </w:r>
            <w:r w:rsidRPr="00A23740">
              <w:rPr>
                <w:b/>
                <w:bCs/>
                <w:szCs w:val="24"/>
                <w:lang w:eastAsia="x-none"/>
              </w:rPr>
              <w:t xml:space="preserve"> </w:t>
            </w:r>
            <w:r w:rsidR="00895D8A" w:rsidRPr="00A23740">
              <w:rPr>
                <w:bCs/>
                <w:szCs w:val="24"/>
                <w:lang w:eastAsia="x-none"/>
              </w:rPr>
              <w:t>bu hükmünün yine</w:t>
            </w:r>
            <w:r w:rsidRPr="00A23740">
              <w:rPr>
                <w:bCs/>
                <w:szCs w:val="24"/>
                <w:lang w:eastAsia="x-none"/>
              </w:rPr>
              <w:t xml:space="preserve"> </w:t>
            </w:r>
            <w:r w:rsidRPr="005574AB">
              <w:rPr>
                <w:bCs/>
                <w:szCs w:val="24"/>
              </w:rPr>
              <w:t>Taslağın</w:t>
            </w:r>
            <w:r w:rsidR="00895D8A" w:rsidRPr="00A23740">
              <w:rPr>
                <w:bCs/>
                <w:szCs w:val="24"/>
                <w:lang w:eastAsia="x-none"/>
              </w:rPr>
              <w:t xml:space="preserve"> bu kez 120 nci maddesiyle birlikte ele alınıp uygul</w:t>
            </w:r>
            <w:r w:rsidR="00CC5DC2" w:rsidRPr="00A23740">
              <w:rPr>
                <w:bCs/>
                <w:szCs w:val="24"/>
                <w:lang w:eastAsia="x-none"/>
              </w:rPr>
              <w:t>anmasının gerekeceği de açıktır</w:t>
            </w:r>
            <w:r w:rsidR="00895D8A" w:rsidRPr="00A23740">
              <w:rPr>
                <w:bCs/>
                <w:szCs w:val="24"/>
                <w:lang w:eastAsia="x-none"/>
              </w:rPr>
              <w:t>Zira, borçlu ile taşınmaz maliki üçüncü kişi arasında bugüne kadar kurulan ilişki, artık yeri geldiğinde eş için de kurulmuş olmakta; takibin aile konutuna ilişkin olması durumunda eşin yokluğunda ve ona rağmen yürüt</w:t>
            </w:r>
            <w:r w:rsidRPr="00A23740">
              <w:rPr>
                <w:bCs/>
                <w:szCs w:val="24"/>
                <w:lang w:eastAsia="x-none"/>
              </w:rPr>
              <w:t xml:space="preserve">ülmesi mümkün bulunmamaktadır. </w:t>
            </w:r>
          </w:p>
          <w:p w:rsidR="005E7DF7" w:rsidRPr="00A23740" w:rsidRDefault="00895D8A" w:rsidP="0080239A">
            <w:pPr>
              <w:ind w:firstLine="567"/>
              <w:rPr>
                <w:b/>
                <w:bCs/>
                <w:color w:val="FF0000"/>
                <w:szCs w:val="24"/>
                <w:lang w:eastAsia="x-none"/>
              </w:rPr>
            </w:pPr>
            <w:r w:rsidRPr="00A23740">
              <w:rPr>
                <w:bCs/>
                <w:szCs w:val="24"/>
                <w:lang w:eastAsia="x-none"/>
              </w:rPr>
              <w:t xml:space="preserve">Takip talebine uygun olarak ve onu esas alarak hazırlanacak icra emrinin içeriği, hükmün üçüncü fıkrasında düzenlenmiştir: İpotekli takiplerde, borcun </w:t>
            </w:r>
            <w:r w:rsidR="00991CE5" w:rsidRPr="00A23740">
              <w:rPr>
                <w:bCs/>
                <w:szCs w:val="24"/>
                <w:lang w:eastAsia="x-none"/>
              </w:rPr>
              <w:t xml:space="preserve">büyük bir ihtimalle </w:t>
            </w:r>
            <w:r w:rsidRPr="00A23740">
              <w:rPr>
                <w:bCs/>
                <w:szCs w:val="24"/>
                <w:lang w:eastAsia="x-none"/>
              </w:rPr>
              <w:t>yüksek bir tutarda olmasına binaen ödeme süresi, iki ay olarak belirlenmiştir. İcra emrine karşı geçerli hukuki çareler, üçüncü fıkranın (c) bendinde düzenlenmiş olup</w:t>
            </w:r>
            <w:r w:rsidR="00991CE5" w:rsidRPr="00A23740">
              <w:rPr>
                <w:bCs/>
                <w:szCs w:val="24"/>
                <w:lang w:eastAsia="x-none"/>
              </w:rPr>
              <w:t>,</w:t>
            </w:r>
            <w:r w:rsidRPr="00A23740">
              <w:rPr>
                <w:bCs/>
                <w:szCs w:val="24"/>
                <w:lang w:eastAsia="x-none"/>
              </w:rPr>
              <w:t xml:space="preserve"> (ç) bendiyle </w:t>
            </w:r>
            <w:r w:rsidRPr="005574AB">
              <w:rPr>
                <w:szCs w:val="24"/>
              </w:rPr>
              <w:t>birlikte</w:t>
            </w:r>
            <w:r w:rsidRPr="00A23740">
              <w:rPr>
                <w:bCs/>
                <w:szCs w:val="24"/>
                <w:lang w:eastAsia="x-none"/>
              </w:rPr>
              <w:t xml:space="preserve"> borcun ödenmeyecek olması durumunda, varsa taşınmazdaki kiracıya ve kira miktarına ait bilgilerin de sair cezai sonuçları yanında </w:t>
            </w:r>
            <w:r w:rsidRPr="005574AB">
              <w:rPr>
                <w:szCs w:val="24"/>
              </w:rPr>
              <w:t xml:space="preserve">icra </w:t>
            </w:r>
            <w:r w:rsidR="005A63D3" w:rsidRPr="005574AB">
              <w:rPr>
                <w:szCs w:val="24"/>
              </w:rPr>
              <w:t>ve</w:t>
            </w:r>
            <w:r w:rsidR="005A63D3" w:rsidRPr="005574AB">
              <w:rPr>
                <w:b/>
              </w:rPr>
              <w:t xml:space="preserve"> </w:t>
            </w:r>
            <w:r w:rsidR="005A63D3" w:rsidRPr="005574AB">
              <w:rPr>
                <w:szCs w:val="24"/>
              </w:rPr>
              <w:t>iflas</w:t>
            </w:r>
            <w:r w:rsidR="005A63D3" w:rsidRPr="005574AB">
              <w:rPr>
                <w:b/>
              </w:rPr>
              <w:t xml:space="preserve"> </w:t>
            </w:r>
            <w:r w:rsidRPr="005574AB">
              <w:rPr>
                <w:szCs w:val="24"/>
              </w:rPr>
              <w:t>dairesine</w:t>
            </w:r>
            <w:r w:rsidRPr="00A23740">
              <w:rPr>
                <w:bCs/>
                <w:szCs w:val="24"/>
                <w:lang w:eastAsia="x-none"/>
              </w:rPr>
              <w:t xml:space="preserve"> bildirilmesi yükümlülüğü, getirilmiştir.</w:t>
            </w:r>
          </w:p>
          <w:p w:rsidR="00895D8A" w:rsidRPr="00A23740" w:rsidRDefault="00895D8A" w:rsidP="0080239A">
            <w:pPr>
              <w:tabs>
                <w:tab w:val="left" w:pos="567"/>
              </w:tabs>
              <w:ind w:firstLine="709"/>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İcranın geri bırakılması:</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149/a – (1) (Ek</w:t>
            </w:r>
            <w:r w:rsidRPr="00A23740">
              <w:rPr>
                <w:b/>
                <w:strike/>
                <w:color w:val="FF0000"/>
                <w:szCs w:val="24"/>
                <w:lang w:eastAsia="tr-TR"/>
              </w:rPr>
              <w:t>: 18/2/1965 - 538/70 md.)</w:t>
            </w: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İcranın geri bırakılması</w:t>
            </w:r>
            <w:r w:rsidRPr="00A23740">
              <w:rPr>
                <w:szCs w:val="24"/>
              </w:rPr>
              <w:t xml:space="preserve"> hakkında </w:t>
            </w:r>
            <w:r w:rsidRPr="00A23740">
              <w:rPr>
                <w:b/>
                <w:bCs/>
                <w:strike/>
                <w:color w:val="FF0000"/>
                <w:szCs w:val="24"/>
              </w:rPr>
              <w:t>33 üncü</w:t>
            </w:r>
            <w:r w:rsidRPr="00A23740">
              <w:rPr>
                <w:szCs w:val="24"/>
              </w:rPr>
              <w:t xml:space="preserve"> maddenin </w:t>
            </w:r>
            <w:r w:rsidRPr="00A23740">
              <w:rPr>
                <w:b/>
                <w:bCs/>
                <w:strike/>
                <w:color w:val="FF0000"/>
                <w:szCs w:val="24"/>
              </w:rPr>
              <w:t>1</w:t>
            </w:r>
            <w:r w:rsidRPr="00A23740">
              <w:rPr>
                <w:szCs w:val="24"/>
              </w:rPr>
              <w:t xml:space="preserve">, </w:t>
            </w:r>
            <w:r w:rsidRPr="00A23740">
              <w:rPr>
                <w:b/>
                <w:bCs/>
                <w:strike/>
                <w:color w:val="FF0000"/>
                <w:szCs w:val="24"/>
              </w:rPr>
              <w:t>2</w:t>
            </w:r>
            <w:r w:rsidRPr="00A23740">
              <w:rPr>
                <w:szCs w:val="24"/>
              </w:rPr>
              <w:t xml:space="preserve"> ve </w:t>
            </w:r>
            <w:r w:rsidRPr="00A23740">
              <w:rPr>
                <w:b/>
                <w:bCs/>
                <w:strike/>
                <w:color w:val="FF0000"/>
                <w:szCs w:val="24"/>
              </w:rPr>
              <w:t>4 üncü</w:t>
            </w:r>
            <w:r w:rsidRPr="00A23740">
              <w:rPr>
                <w:szCs w:val="24"/>
              </w:rPr>
              <w:t xml:space="preserve"> fıkraları uygulanır.</w:t>
            </w: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DD634E" w:rsidRDefault="00DD634E" w:rsidP="009431FF">
            <w:pPr>
              <w:tabs>
                <w:tab w:val="left" w:pos="567"/>
              </w:tabs>
              <w:autoSpaceDE w:val="0"/>
              <w:autoSpaceDN w:val="0"/>
              <w:adjustRightInd w:val="0"/>
              <w:rPr>
                <w:szCs w:val="24"/>
              </w:rPr>
            </w:pPr>
          </w:p>
          <w:p w:rsidR="0080239A" w:rsidRDefault="0080239A" w:rsidP="009431FF">
            <w:pPr>
              <w:tabs>
                <w:tab w:val="left" w:pos="567"/>
              </w:tabs>
              <w:autoSpaceDE w:val="0"/>
              <w:autoSpaceDN w:val="0"/>
              <w:adjustRightInd w:val="0"/>
              <w:rPr>
                <w:szCs w:val="24"/>
              </w:rPr>
            </w:pPr>
          </w:p>
          <w:p w:rsidR="00DD634E" w:rsidRPr="00A23740" w:rsidRDefault="00DD634E"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(2) (Değişik ikinci fıkra: 2/3/2005-5311/10 md.)</w:t>
            </w:r>
            <w:r w:rsidRPr="00A23740">
              <w:rPr>
                <w:b/>
                <w:bCs/>
                <w:szCs w:val="24"/>
              </w:rPr>
              <w:t xml:space="preserve"> </w:t>
            </w:r>
            <w:r w:rsidRPr="00A23740">
              <w:rPr>
                <w:szCs w:val="24"/>
              </w:rPr>
              <w:t xml:space="preserve">İcra mahkemesinin </w:t>
            </w:r>
            <w:r w:rsidRPr="00A23740">
              <w:rPr>
                <w:b/>
                <w:strike/>
                <w:color w:val="FF0000"/>
                <w:szCs w:val="24"/>
                <w:lang w:eastAsia="tr-TR"/>
              </w:rPr>
              <w:t xml:space="preserve">geri bırakılma </w:t>
            </w:r>
            <w:r w:rsidRPr="00A23740">
              <w:rPr>
                <w:b/>
                <w:bCs/>
                <w:strike/>
                <w:color w:val="FF0000"/>
                <w:szCs w:val="24"/>
                <w:lang w:eastAsia="tr-TR"/>
              </w:rPr>
              <w:t>isteminin</w:t>
            </w:r>
            <w:r w:rsidRPr="00A23740">
              <w:rPr>
                <w:szCs w:val="24"/>
              </w:rPr>
              <w:t xml:space="preserve"> reddine ilişkin kararına karşı istinaf yoluna başvur</w:t>
            </w:r>
            <w:r w:rsidRPr="00A23740">
              <w:rPr>
                <w:b/>
                <w:bCs/>
                <w:strike/>
                <w:color w:val="FF0000"/>
                <w:szCs w:val="24"/>
                <w:lang w:eastAsia="tr-TR"/>
              </w:rPr>
              <w:t xml:space="preserve">an borçlu veya üçüncü </w:t>
            </w:r>
            <w:r w:rsidRPr="00A23740">
              <w:rPr>
                <w:b/>
                <w:strike/>
                <w:color w:val="FF0000"/>
                <w:szCs w:val="24"/>
                <w:lang w:eastAsia="tr-TR"/>
              </w:rPr>
              <w:t>şahıs,</w:t>
            </w:r>
            <w:r w:rsidRPr="00A23740">
              <w:rPr>
                <w:szCs w:val="24"/>
              </w:rPr>
              <w:t xml:space="preserve"> takip konusu alacağın yüzde </w:t>
            </w:r>
            <w:r w:rsidRPr="00A23740">
              <w:rPr>
                <w:b/>
                <w:bCs/>
                <w:strike/>
                <w:color w:val="FF0000"/>
                <w:szCs w:val="24"/>
                <w:lang w:eastAsia="tr-TR"/>
              </w:rPr>
              <w:t>onbeşi</w:t>
            </w:r>
            <w:r w:rsidRPr="00A23740">
              <w:rPr>
                <w:szCs w:val="24"/>
              </w:rPr>
              <w:t xml:space="preserve"> </w:t>
            </w:r>
            <w:r w:rsidRPr="00A23740">
              <w:rPr>
                <w:b/>
                <w:strike/>
                <w:color w:val="FF0000"/>
                <w:szCs w:val="24"/>
                <w:lang w:eastAsia="tr-TR"/>
              </w:rPr>
              <w:t>nispetinde</w:t>
            </w:r>
            <w:r w:rsidRPr="00A23740">
              <w:rPr>
                <w:szCs w:val="24"/>
              </w:rPr>
              <w:t xml:space="preserve"> teminat yatırmadığı takdirde satış durmaz. </w:t>
            </w:r>
            <w:r w:rsidRPr="00A23740">
              <w:rPr>
                <w:b/>
                <w:strike/>
                <w:color w:val="FF0000"/>
                <w:szCs w:val="24"/>
                <w:lang w:eastAsia="tr-TR"/>
              </w:rPr>
              <w:t>Bölge adliye mahkemesince t</w:t>
            </w:r>
            <w:r w:rsidRPr="00A23740">
              <w:rPr>
                <w:szCs w:val="24"/>
              </w:rPr>
              <w:t>alebin reddi hâlinde bu teminat, ayrıca hükme hacet kalmaksızın alacaklıya tazminat olarak ödenir.</w:t>
            </w:r>
          </w:p>
          <w:p w:rsidR="00155AF4" w:rsidRDefault="00155AF4" w:rsidP="009431FF">
            <w:pPr>
              <w:tabs>
                <w:tab w:val="left" w:pos="567"/>
              </w:tabs>
              <w:autoSpaceDE w:val="0"/>
              <w:autoSpaceDN w:val="0"/>
              <w:adjustRightInd w:val="0"/>
              <w:rPr>
                <w:szCs w:val="24"/>
              </w:rPr>
            </w:pPr>
          </w:p>
          <w:p w:rsidR="00A54927" w:rsidRPr="00A23740" w:rsidRDefault="00A54927"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(3) (Ek fıkra: 21/2/2007-5582/5 md.) 2499 sayılı Sermaye Piyasası Kanununun 38/A maddesinin birinci fıkrasında tanımlanan konut finansmanından kaynaklanan alacaklar ile Toplu Konut İdaresi Başkanlığının rehinle temin edilmiş alacaklarının takibinde, ikinci fıkrada yer alan oran yüzde otuz olarak uygulanır. İstinaf talebinin reddi halinde, teminat olarak alınan tutarın yarısı tazminat olarak alacaklıya ödenir. Alacaklının satış talebinden sonra takdir edilen ve kesinleşen kıymete göre, merhunun alacağı karşılamayacağı anlaşılırsa kalan tutar teminatın geriye kalan kısmından karşılanır, varsa teminatın kalan kısmı teminatı yatırana iade edilir.</w:t>
            </w: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46229B" w:rsidRPr="00A23740" w:rsidRDefault="00155AF4" w:rsidP="009431FF">
            <w:pPr>
              <w:tabs>
                <w:tab w:val="left" w:pos="567"/>
              </w:tabs>
            </w:pPr>
            <w:r w:rsidRPr="00A23740">
              <w:rPr>
                <w:b/>
                <w:bCs/>
                <w:color w:val="0000FF"/>
                <w:szCs w:val="24"/>
                <w:lang w:val="x-none" w:eastAsia="x-none"/>
              </w:rPr>
              <w:t>Takibin</w:t>
            </w:r>
            <w:r w:rsidRPr="00A23740">
              <w:rPr>
                <w:b/>
                <w:bCs/>
                <w:color w:val="0000FF"/>
                <w:szCs w:val="24"/>
                <w:lang w:eastAsia="x-none"/>
              </w:rPr>
              <w:t xml:space="preserve"> </w:t>
            </w:r>
            <w:r w:rsidR="00B83411" w:rsidRPr="00A23740">
              <w:rPr>
                <w:b/>
                <w:bCs/>
                <w:color w:val="0000FF"/>
                <w:szCs w:val="24"/>
                <w:lang w:eastAsia="x-none"/>
              </w:rPr>
              <w:t xml:space="preserve">iptali ve icranın </w:t>
            </w:r>
            <w:r w:rsidRPr="00A23740">
              <w:rPr>
                <w:b/>
                <w:bCs/>
                <w:color w:val="0000FF"/>
                <w:szCs w:val="24"/>
                <w:lang w:val="x-none" w:eastAsia="x-none"/>
              </w:rPr>
              <w:t xml:space="preserve">geri bırakılması </w:t>
            </w:r>
          </w:p>
          <w:p w:rsidR="0046229B" w:rsidRPr="00A23740" w:rsidRDefault="0046229B" w:rsidP="009431FF">
            <w:pPr>
              <w:pStyle w:val="Mavi"/>
            </w:pPr>
            <w:r w:rsidRPr="00A23740">
              <w:t>MADDE 12</w:t>
            </w:r>
            <w:r w:rsidR="00053A43" w:rsidRPr="00A23740">
              <w:rPr>
                <w:lang w:val="tr-TR"/>
              </w:rPr>
              <w:t>1</w:t>
            </w:r>
            <w:r w:rsidRPr="00A23740">
              <w:t xml:space="preserve">- (1) </w:t>
            </w:r>
            <w:bookmarkStart w:id="1" w:name="_Hlk166274239"/>
            <w:r w:rsidRPr="00A23740">
              <w:t>Borçlu, ipotekli taşınmazın maliki üçüncü kişi veya ipotekli taşınmaz aile konutu ise eş</w:t>
            </w:r>
            <w:bookmarkEnd w:id="1"/>
            <w:r w:rsidRPr="00A23740">
              <w:t>, hüküm tarihinden sonra ve icra emrinin tebliğinden önce borcun itfa edildiği veya alacaklı tarafından borçluya süre verildiği iddiasında ise icra emrinin tebliğinden itibaren iki hafta içinde; icra emrinin tebliğinden sonra borcun itfa edildiği veya alacaklı tarafından borçluya süre verildiği iddiasında ise her zaman, dilekçeyle, icra hukuk mahkemesine başvurarak takibin iptalini veya icranın geri bırakılmasını isteyebilir.</w:t>
            </w:r>
          </w:p>
          <w:p w:rsidR="0046229B" w:rsidRPr="00A23740" w:rsidRDefault="0046229B" w:rsidP="009431FF">
            <w:pPr>
              <w:pStyle w:val="Mavi"/>
            </w:pPr>
          </w:p>
          <w:p w:rsidR="0046229B" w:rsidRPr="00A23740" w:rsidRDefault="0046229B" w:rsidP="009431FF">
            <w:pPr>
              <w:pStyle w:val="Mavi"/>
            </w:pPr>
            <w:r w:rsidRPr="00A23740">
              <w:t>(2) Talep h</w:t>
            </w:r>
            <w:r w:rsidR="00F906A7" w:rsidRPr="00A23740">
              <w:rPr>
                <w:lang w:val="tr-TR"/>
              </w:rPr>
              <w:t>â</w:t>
            </w:r>
            <w:r w:rsidRPr="00A23740">
              <w:t xml:space="preserve">linde icra hukuk mahkemesi </w:t>
            </w:r>
            <w:r w:rsidRPr="00A23740">
              <w:rPr>
                <w:rStyle w:val="Balk1Char"/>
                <w:rFonts w:eastAsia="Calibri"/>
                <w:b/>
                <w:bCs/>
              </w:rPr>
              <w:t>ihtiyati</w:t>
            </w:r>
            <w:r w:rsidRPr="00A23740">
              <w:t xml:space="preserve"> tedbir yoluyla takibi durdurabilir. İptal veya erteleme talebi yetkili mercilerce resen düzenlenmiş</w:t>
            </w:r>
            <w:r w:rsidR="00B77274" w:rsidRPr="00A23740">
              <w:t xml:space="preserve"> </w:t>
            </w:r>
            <w:r w:rsidR="00B77274" w:rsidRPr="005574AB">
              <w:t>veya</w:t>
            </w:r>
            <w:r w:rsidRPr="00A23740">
              <w:t xml:space="preserve"> usulüne göre onaylanmış</w:t>
            </w:r>
            <w:r w:rsidR="00B77274" w:rsidRPr="00A23740">
              <w:rPr>
                <w:rStyle w:val="KIRMIZIChar"/>
                <w:rFonts w:eastAsia="Calibri"/>
                <w:strike w:val="0"/>
              </w:rPr>
              <w:t xml:space="preserve"> </w:t>
            </w:r>
            <w:r w:rsidR="00B77274" w:rsidRPr="005574AB">
              <w:t>ya</w:t>
            </w:r>
            <w:r w:rsidR="00B77274" w:rsidRPr="00A23740">
              <w:rPr>
                <w:color w:val="538135"/>
              </w:rPr>
              <w:t xml:space="preserve"> </w:t>
            </w:r>
            <w:r w:rsidR="00B77274" w:rsidRPr="005574AB">
              <w:t>da</w:t>
            </w:r>
            <w:r w:rsidRPr="00A23740">
              <w:t xml:space="preserve"> icra ve iflas dairesi </w:t>
            </w:r>
            <w:r w:rsidR="00B77274" w:rsidRPr="005574AB">
              <w:t>yahut</w:t>
            </w:r>
            <w:r w:rsidR="00B77274" w:rsidRPr="00A23740">
              <w:rPr>
                <w:color w:val="538135"/>
              </w:rPr>
              <w:t xml:space="preserve"> </w:t>
            </w:r>
            <w:r w:rsidRPr="00A23740">
              <w:t xml:space="preserve">mahkeme önünde ikrar edilmiş belgeye dayandığı takdirde, mahkeme talep </w:t>
            </w:r>
            <w:r w:rsidR="00B77274" w:rsidRPr="005574AB">
              <w:t>üzerine</w:t>
            </w:r>
            <w:r w:rsidR="00B77274" w:rsidRPr="00A23740">
              <w:rPr>
                <w:color w:val="538135"/>
              </w:rPr>
              <w:t xml:space="preserve"> </w:t>
            </w:r>
            <w:r w:rsidRPr="00A23740">
              <w:t>takibi durdurur.</w:t>
            </w:r>
          </w:p>
          <w:p w:rsidR="0046229B" w:rsidRPr="00A23740" w:rsidRDefault="0046229B" w:rsidP="009431FF">
            <w:pPr>
              <w:pStyle w:val="Mavi"/>
            </w:pPr>
          </w:p>
          <w:p w:rsidR="0046229B" w:rsidRPr="00A23740" w:rsidRDefault="0046229B" w:rsidP="009431FF">
            <w:pPr>
              <w:pStyle w:val="Mavi"/>
            </w:pPr>
            <w:r w:rsidRPr="00A23740">
              <w:t>(3) Takibin iptali veya icranın geri bırakılması talebi genel hükümler çerçevesinde incelenir.</w:t>
            </w:r>
          </w:p>
          <w:p w:rsidR="0046229B" w:rsidRPr="00A23740" w:rsidRDefault="0046229B" w:rsidP="009431FF">
            <w:pPr>
              <w:pStyle w:val="Mavi"/>
            </w:pPr>
          </w:p>
          <w:p w:rsidR="0046229B" w:rsidRPr="00A23740" w:rsidRDefault="0046229B" w:rsidP="009431FF">
            <w:pPr>
              <w:pStyle w:val="Mavi"/>
            </w:pPr>
            <w:r w:rsidRPr="00A23740">
              <w:t xml:space="preserve">(4) İtfa veya alacaklı tarafından takipten </w:t>
            </w:r>
            <w:r w:rsidR="00265E23" w:rsidRPr="00A23740">
              <w:rPr>
                <w:lang w:val="tr-TR"/>
              </w:rPr>
              <w:t>önce</w:t>
            </w:r>
            <w:r w:rsidRPr="00A23740">
              <w:t xml:space="preserve"> borçluya sür</w:t>
            </w:r>
            <w:r w:rsidR="00E676D6" w:rsidRPr="00A23740">
              <w:t>e verildiği iddiasının ispatı h</w:t>
            </w:r>
            <w:r w:rsidR="00E676D6" w:rsidRPr="00A23740">
              <w:rPr>
                <w:lang w:val="tr-TR"/>
              </w:rPr>
              <w:t>â</w:t>
            </w:r>
            <w:r w:rsidRPr="00A23740">
              <w:t>linde takip mahkeme tarafından iptal edilir. Takipten sonra borçluya süre verildiği iddiasının ispatı h</w:t>
            </w:r>
            <w:r w:rsidR="00F906A7" w:rsidRPr="00A23740">
              <w:rPr>
                <w:lang w:val="tr-TR"/>
              </w:rPr>
              <w:t>â</w:t>
            </w:r>
            <w:r w:rsidRPr="00A23740">
              <w:t>linde ise icranın geri bırakılmasına karar verilir; bu takdirde icranın ne kadar süreyle geri bırakıldığı</w:t>
            </w:r>
            <w:r w:rsidR="00B77274" w:rsidRPr="00A23740">
              <w:t xml:space="preserve"> </w:t>
            </w:r>
            <w:r w:rsidR="00B77274" w:rsidRPr="005574AB">
              <w:t>hususu</w:t>
            </w:r>
            <w:r w:rsidRPr="005574AB">
              <w:t>na</w:t>
            </w:r>
            <w:r w:rsidRPr="00A23740">
              <w:rPr>
                <w:color w:val="538135"/>
              </w:rPr>
              <w:t xml:space="preserve"> </w:t>
            </w:r>
            <w:r w:rsidRPr="00A23740">
              <w:t>da kararda yer verilir.</w:t>
            </w:r>
          </w:p>
          <w:p w:rsidR="0046229B" w:rsidRPr="00A23740" w:rsidRDefault="0046229B" w:rsidP="009431FF">
            <w:pPr>
              <w:pStyle w:val="Mavi"/>
            </w:pPr>
          </w:p>
          <w:p w:rsidR="0046229B" w:rsidRPr="00A23740" w:rsidRDefault="0046229B" w:rsidP="009431FF">
            <w:pPr>
              <w:pStyle w:val="Mavi"/>
            </w:pPr>
            <w:r w:rsidRPr="00A23740">
              <w:t>(5) İcra hukuk mahkemesinin takibin iptali veya icranın geri bırakılması kararının kesinleşmesi üzerine, icranın iadesine ilişkin hükümler uygulanır.</w:t>
            </w:r>
          </w:p>
          <w:p w:rsidR="0046229B" w:rsidRPr="00A23740" w:rsidRDefault="0046229B" w:rsidP="009431FF">
            <w:pPr>
              <w:tabs>
                <w:tab w:val="left" w:pos="567"/>
              </w:tabs>
              <w:autoSpaceDE w:val="0"/>
              <w:autoSpaceDN w:val="0"/>
              <w:adjustRightInd w:val="0"/>
              <w:rPr>
                <w:szCs w:val="24"/>
              </w:rPr>
            </w:pPr>
          </w:p>
          <w:p w:rsidR="00155AF4" w:rsidRPr="00A23740" w:rsidRDefault="00265E23" w:rsidP="009431FF">
            <w:pPr>
              <w:tabs>
                <w:tab w:val="left" w:pos="567"/>
              </w:tabs>
              <w:autoSpaceDE w:val="0"/>
              <w:autoSpaceDN w:val="0"/>
              <w:adjustRightInd w:val="0"/>
              <w:rPr>
                <w:szCs w:val="24"/>
              </w:rPr>
            </w:pPr>
            <w:r w:rsidRPr="00A23740">
              <w:rPr>
                <w:b/>
                <w:bCs/>
                <w:color w:val="0000FF"/>
                <w:szCs w:val="24"/>
                <w:lang w:val="x-none" w:eastAsia="x-none"/>
              </w:rPr>
              <w:t>(6</w:t>
            </w:r>
            <w:r w:rsidR="00155AF4" w:rsidRPr="00A23740">
              <w:rPr>
                <w:b/>
                <w:bCs/>
                <w:color w:val="0000FF"/>
                <w:szCs w:val="24"/>
                <w:lang w:val="x-none" w:eastAsia="x-none"/>
              </w:rPr>
              <w:t xml:space="preserve">) </w:t>
            </w:r>
            <w:r w:rsidR="00155AF4" w:rsidRPr="00A23740">
              <w:rPr>
                <w:szCs w:val="24"/>
              </w:rPr>
              <w:t xml:space="preserve">İcra </w:t>
            </w:r>
            <w:r w:rsidR="00155AF4" w:rsidRPr="00A23740">
              <w:rPr>
                <w:b/>
                <w:bCs/>
                <w:color w:val="0000FF"/>
                <w:szCs w:val="24"/>
                <w:lang w:val="x-none" w:eastAsia="x-none"/>
              </w:rPr>
              <w:t xml:space="preserve">hukuk </w:t>
            </w:r>
            <w:r w:rsidR="00155AF4" w:rsidRPr="00A23740">
              <w:rPr>
                <w:szCs w:val="24"/>
              </w:rPr>
              <w:t xml:space="preserve">mahkemesinin </w:t>
            </w:r>
            <w:r w:rsidR="00155AF4" w:rsidRPr="00A23740">
              <w:rPr>
                <w:b/>
                <w:bCs/>
                <w:color w:val="0000FF"/>
                <w:szCs w:val="24"/>
                <w:lang w:val="x-none" w:eastAsia="x-none"/>
              </w:rPr>
              <w:t>takibin</w:t>
            </w:r>
            <w:r w:rsidR="00B83411" w:rsidRPr="00A23740">
              <w:rPr>
                <w:b/>
                <w:bCs/>
                <w:color w:val="0000FF"/>
                <w:szCs w:val="24"/>
                <w:lang w:eastAsia="x-none"/>
              </w:rPr>
              <w:t xml:space="preserve"> iptali ve icranın</w:t>
            </w:r>
            <w:r w:rsidR="00155AF4" w:rsidRPr="00A23740">
              <w:rPr>
                <w:b/>
                <w:bCs/>
                <w:color w:val="0000FF"/>
                <w:szCs w:val="24"/>
                <w:lang w:val="x-none" w:eastAsia="x-none"/>
              </w:rPr>
              <w:t xml:space="preserve"> geri bırakılması talebinin</w:t>
            </w:r>
            <w:r w:rsidR="00155AF4" w:rsidRPr="00A23740">
              <w:rPr>
                <w:szCs w:val="24"/>
              </w:rPr>
              <w:t xml:space="preserve"> reddine ilişkin kararına karşı istinaf yoluna başvur</w:t>
            </w:r>
            <w:r w:rsidR="00155AF4" w:rsidRPr="00A23740">
              <w:rPr>
                <w:b/>
                <w:bCs/>
                <w:color w:val="0000FF"/>
                <w:szCs w:val="24"/>
                <w:lang w:val="x-none" w:eastAsia="x-none"/>
              </w:rPr>
              <w:t>ulması</w:t>
            </w:r>
            <w:r w:rsidR="00155AF4" w:rsidRPr="00A23740">
              <w:rPr>
                <w:b/>
                <w:color w:val="0000FF"/>
                <w:szCs w:val="24"/>
                <w:lang w:eastAsia="tr-TR"/>
              </w:rPr>
              <w:t xml:space="preserve"> </w:t>
            </w:r>
            <w:r w:rsidRPr="00A23740">
              <w:rPr>
                <w:b/>
                <w:bCs/>
                <w:color w:val="0000FF"/>
                <w:szCs w:val="24"/>
                <w:lang w:val="x-none" w:eastAsia="x-none"/>
              </w:rPr>
              <w:t>h</w:t>
            </w:r>
            <w:r w:rsidRPr="00A23740">
              <w:rPr>
                <w:b/>
                <w:bCs/>
                <w:color w:val="0000FF"/>
                <w:szCs w:val="24"/>
                <w:lang w:eastAsia="x-none"/>
              </w:rPr>
              <w:t>â</w:t>
            </w:r>
            <w:r w:rsidR="00155AF4" w:rsidRPr="00A23740">
              <w:rPr>
                <w:b/>
                <w:bCs/>
                <w:color w:val="0000FF"/>
                <w:szCs w:val="24"/>
                <w:lang w:val="x-none" w:eastAsia="x-none"/>
              </w:rPr>
              <w:t>linde</w:t>
            </w:r>
            <w:r w:rsidR="00155AF4" w:rsidRPr="00A23740">
              <w:rPr>
                <w:b/>
                <w:bCs/>
                <w:color w:val="0000FF"/>
                <w:szCs w:val="24"/>
                <w:lang w:eastAsia="x-none"/>
              </w:rPr>
              <w:t xml:space="preserve"> </w:t>
            </w:r>
            <w:r w:rsidR="00155AF4" w:rsidRPr="00A23740">
              <w:rPr>
                <w:b/>
                <w:bCs/>
                <w:color w:val="0000FF"/>
                <w:szCs w:val="24"/>
                <w:lang w:val="x-none" w:eastAsia="x-none"/>
              </w:rPr>
              <w:t xml:space="preserve">teminat olarak </w:t>
            </w:r>
            <w:r w:rsidR="00155AF4" w:rsidRPr="00A23740">
              <w:rPr>
                <w:szCs w:val="24"/>
              </w:rPr>
              <w:t xml:space="preserve">takip konusu alacağın yüzde </w:t>
            </w:r>
            <w:r w:rsidR="00155AF4" w:rsidRPr="00A23740">
              <w:rPr>
                <w:b/>
                <w:bCs/>
                <w:color w:val="0000FF"/>
                <w:szCs w:val="24"/>
                <w:lang w:val="x-none" w:eastAsia="x-none"/>
              </w:rPr>
              <w:t>onu oranında</w:t>
            </w:r>
            <w:r w:rsidR="00155AF4" w:rsidRPr="00A23740">
              <w:rPr>
                <w:b/>
                <w:bCs/>
                <w:color w:val="0000FF"/>
                <w:szCs w:val="24"/>
                <w:lang w:eastAsia="x-none"/>
              </w:rPr>
              <w:t xml:space="preserve"> </w:t>
            </w:r>
            <w:r w:rsidR="00155AF4" w:rsidRPr="00A23740">
              <w:rPr>
                <w:b/>
                <w:bCs/>
                <w:color w:val="0000FF"/>
                <w:szCs w:val="24"/>
                <w:lang w:val="x-none" w:eastAsia="x-none"/>
              </w:rPr>
              <w:t>nakit veya teminat mektubu gösterilirse</w:t>
            </w:r>
            <w:r w:rsidR="007256A9" w:rsidRPr="00A23740">
              <w:rPr>
                <w:b/>
                <w:bCs/>
                <w:color w:val="0000FF"/>
                <w:szCs w:val="24"/>
                <w:lang w:eastAsia="x-none"/>
              </w:rPr>
              <w:t>,</w:t>
            </w:r>
            <w:r w:rsidR="00155AF4" w:rsidRPr="00A23740">
              <w:rPr>
                <w:b/>
                <w:bCs/>
                <w:color w:val="0000FF"/>
                <w:szCs w:val="24"/>
                <w:lang w:eastAsia="x-none"/>
              </w:rPr>
              <w:t xml:space="preserve"> </w:t>
            </w:r>
            <w:r w:rsidR="00155AF4" w:rsidRPr="00A23740">
              <w:rPr>
                <w:b/>
                <w:bCs/>
                <w:color w:val="0000FF"/>
                <w:szCs w:val="24"/>
                <w:lang w:val="x-none" w:eastAsia="x-none"/>
              </w:rPr>
              <w:t>icra hukuk mahkemesi satışı durdurur.</w:t>
            </w:r>
            <w:r w:rsidR="00155AF4" w:rsidRPr="00A23740">
              <w:t xml:space="preserve"> </w:t>
            </w:r>
            <w:r w:rsidR="00155AF4" w:rsidRPr="00A23740">
              <w:rPr>
                <w:b/>
                <w:bCs/>
                <w:color w:val="0000FF"/>
                <w:szCs w:val="24"/>
                <w:lang w:val="x-none" w:eastAsia="x-none"/>
              </w:rPr>
              <w:t>İcranın geri bırakılması veya iptali talebinin bölge adliye mahkemesi tarafından</w:t>
            </w:r>
            <w:r w:rsidR="00155AF4" w:rsidRPr="00A23740">
              <w:rPr>
                <w:szCs w:val="24"/>
              </w:rPr>
              <w:t xml:space="preserve"> reddi </w:t>
            </w:r>
            <w:r w:rsidRPr="00A23740">
              <w:rPr>
                <w:b/>
                <w:bCs/>
                <w:color w:val="0000FF"/>
                <w:szCs w:val="24"/>
                <w:lang w:val="x-none" w:eastAsia="x-none"/>
              </w:rPr>
              <w:t>h</w:t>
            </w:r>
            <w:r w:rsidRPr="00A23740">
              <w:rPr>
                <w:b/>
                <w:bCs/>
                <w:color w:val="0000FF"/>
                <w:szCs w:val="24"/>
                <w:lang w:eastAsia="x-none"/>
              </w:rPr>
              <w:t>â</w:t>
            </w:r>
            <w:r w:rsidR="00155AF4" w:rsidRPr="00A23740">
              <w:rPr>
                <w:b/>
                <w:bCs/>
                <w:color w:val="0000FF"/>
                <w:szCs w:val="24"/>
                <w:lang w:val="x-none" w:eastAsia="x-none"/>
              </w:rPr>
              <w:t>linde, buna ilişkin</w:t>
            </w:r>
            <w:r w:rsidR="00155AF4" w:rsidRPr="00A23740">
              <w:rPr>
                <w:szCs w:val="24"/>
              </w:rPr>
              <w:t xml:space="preserve"> </w:t>
            </w:r>
            <w:r w:rsidR="00155AF4" w:rsidRPr="00A23740">
              <w:rPr>
                <w:b/>
                <w:bCs/>
                <w:color w:val="0000FF"/>
                <w:szCs w:val="24"/>
                <w:lang w:val="x-none" w:eastAsia="x-none"/>
              </w:rPr>
              <w:t>kararın kesinleşmesi</w:t>
            </w:r>
            <w:r w:rsidR="00155AF4" w:rsidRPr="00A23740">
              <w:rPr>
                <w:b/>
                <w:color w:val="0000FF"/>
                <w:szCs w:val="24"/>
                <w:lang w:eastAsia="tr-TR"/>
              </w:rPr>
              <w:t xml:space="preserve"> üzerine </w:t>
            </w:r>
            <w:r w:rsidR="00155AF4" w:rsidRPr="00A23740">
              <w:rPr>
                <w:szCs w:val="24"/>
              </w:rPr>
              <w:t xml:space="preserve">bu teminat, ayrıca hükme </w:t>
            </w:r>
            <w:r w:rsidR="00155AF4" w:rsidRPr="00A23740">
              <w:rPr>
                <w:b/>
                <w:bCs/>
                <w:color w:val="0000FF"/>
                <w:szCs w:val="24"/>
                <w:lang w:val="x-none" w:eastAsia="x-none"/>
              </w:rPr>
              <w:t>gerek</w:t>
            </w:r>
            <w:r w:rsidR="00155AF4" w:rsidRPr="00A23740">
              <w:rPr>
                <w:szCs w:val="24"/>
              </w:rPr>
              <w:t xml:space="preserve"> kalmaksızın alacaklıya tazminat olarak ödenir.</w:t>
            </w:r>
          </w:p>
          <w:p w:rsidR="00155AF4" w:rsidRPr="00A23740" w:rsidRDefault="00155AF4" w:rsidP="009431FF">
            <w:pPr>
              <w:tabs>
                <w:tab w:val="left" w:pos="567"/>
              </w:tabs>
              <w:autoSpaceDE w:val="0"/>
              <w:autoSpaceDN w:val="0"/>
              <w:adjustRightInd w:val="0"/>
              <w:rPr>
                <w:iCs/>
                <w:szCs w:val="24"/>
              </w:rPr>
            </w:pPr>
          </w:p>
        </w:tc>
      </w:tr>
      <w:tr w:rsidR="00895D8A" w:rsidRPr="00A23740" w:rsidTr="009431FF">
        <w:tc>
          <w:tcPr>
            <w:tcW w:w="5000" w:type="pct"/>
            <w:gridSpan w:val="2"/>
            <w:shd w:val="clear" w:color="auto" w:fill="DEEAF6"/>
          </w:tcPr>
          <w:p w:rsidR="003526F6" w:rsidRPr="00A23740" w:rsidRDefault="003526F6" w:rsidP="009431FF">
            <w:pPr>
              <w:tabs>
                <w:tab w:val="left" w:pos="567"/>
              </w:tabs>
              <w:rPr>
                <w:b/>
                <w:bCs/>
                <w:szCs w:val="24"/>
                <w:lang w:eastAsia="x-none"/>
              </w:rPr>
            </w:pPr>
          </w:p>
          <w:p w:rsidR="003526F6" w:rsidRPr="00A23740" w:rsidRDefault="003526F6" w:rsidP="009431FF">
            <w:pPr>
              <w:tabs>
                <w:tab w:val="left" w:pos="567"/>
              </w:tabs>
              <w:ind w:firstLine="567"/>
              <w:rPr>
                <w:szCs w:val="24"/>
                <w:lang w:eastAsia="x-none"/>
              </w:rPr>
            </w:pPr>
            <w:r w:rsidRPr="00A23740">
              <w:rPr>
                <w:b/>
                <w:bCs/>
                <w:szCs w:val="24"/>
                <w:lang w:eastAsia="x-none"/>
              </w:rPr>
              <w:t xml:space="preserve">MADDE 121- </w:t>
            </w:r>
            <w:r w:rsidRPr="00A23740">
              <w:rPr>
                <w:szCs w:val="24"/>
                <w:lang w:eastAsia="x-none"/>
              </w:rPr>
              <w:t>Maddeyle, ipoteğin ilamların icrası yoluyla paraya çevrilmesinde takibin iptali ve icranın geri bırakılması düzenlenmektedir</w:t>
            </w:r>
            <w:r w:rsidRPr="00A23740">
              <w:rPr>
                <w:bCs/>
                <w:szCs w:val="24"/>
                <w:lang w:eastAsia="x-none"/>
              </w:rPr>
              <w:t>.</w:t>
            </w:r>
            <w:r w:rsidRPr="00A23740">
              <w:rPr>
                <w:b/>
                <w:bCs/>
                <w:szCs w:val="24"/>
                <w:lang w:eastAsia="x-none"/>
              </w:rPr>
              <w:t xml:space="preserve"> </w:t>
            </w:r>
            <w:r w:rsidRPr="00A23740">
              <w:rPr>
                <w:szCs w:val="24"/>
                <w:lang w:eastAsia="x-none"/>
              </w:rPr>
              <w:t xml:space="preserve">Kayıtsız şartsız para borcu ikrarını havi ipotek sözleşmesine dayanılarak yapılan ipoteğin paraya çevrilmesi yoluyla takipte takibin iptali ve icranın geri bırakılması hakkındaki usul büyük ölçüde genel hükümlere </w:t>
            </w:r>
            <w:r w:rsidRPr="005574AB">
              <w:rPr>
                <w:szCs w:val="24"/>
                <w:lang w:eastAsia="x-none"/>
              </w:rPr>
              <w:t>(</w:t>
            </w:r>
            <w:r w:rsidR="00EA2020" w:rsidRPr="005574AB">
              <w:rPr>
                <w:szCs w:val="24"/>
                <w:lang w:eastAsia="x-none"/>
              </w:rPr>
              <w:t>Tasla</w:t>
            </w:r>
            <w:r w:rsidR="00991CE5" w:rsidRPr="005574AB">
              <w:rPr>
                <w:szCs w:val="24"/>
                <w:lang w:eastAsia="x-none"/>
              </w:rPr>
              <w:t>k</w:t>
            </w:r>
            <w:r w:rsidR="00EA2020" w:rsidRPr="005574AB">
              <w:rPr>
                <w:szCs w:val="24"/>
                <w:lang w:eastAsia="x-none"/>
              </w:rPr>
              <w:t xml:space="preserve"> </w:t>
            </w:r>
            <w:r w:rsidRPr="00A23740">
              <w:rPr>
                <w:szCs w:val="24"/>
                <w:lang w:eastAsia="x-none"/>
              </w:rPr>
              <w:t xml:space="preserve">m. 61) paralel şekilde düzenlenmiştir. Ancak </w:t>
            </w:r>
            <w:r w:rsidR="00EA2020" w:rsidRPr="005574AB">
              <w:rPr>
                <w:szCs w:val="24"/>
                <w:lang w:eastAsia="x-none"/>
              </w:rPr>
              <w:t>Taslağın</w:t>
            </w:r>
            <w:r w:rsidR="00EA2020" w:rsidRPr="00A23740">
              <w:rPr>
                <w:szCs w:val="24"/>
                <w:lang w:eastAsia="x-none"/>
              </w:rPr>
              <w:t xml:space="preserve"> </w:t>
            </w:r>
            <w:r w:rsidRPr="00A23740">
              <w:rPr>
                <w:szCs w:val="24"/>
                <w:lang w:eastAsia="x-none"/>
              </w:rPr>
              <w:t>61 inci madde</w:t>
            </w:r>
            <w:r w:rsidR="00991CE5" w:rsidRPr="00A23740">
              <w:rPr>
                <w:szCs w:val="24"/>
                <w:lang w:eastAsia="x-none"/>
              </w:rPr>
              <w:t>si</w:t>
            </w:r>
            <w:r w:rsidRPr="00A23740">
              <w:rPr>
                <w:szCs w:val="24"/>
                <w:lang w:eastAsia="x-none"/>
              </w:rPr>
              <w:t>nin takibin geri bırakılması talebinin reddi h</w:t>
            </w:r>
            <w:r w:rsidR="00F906A7" w:rsidRPr="00A23740">
              <w:rPr>
                <w:szCs w:val="24"/>
                <w:lang w:eastAsia="x-none"/>
              </w:rPr>
              <w:t>â</w:t>
            </w:r>
            <w:r w:rsidRPr="00A23740">
              <w:rPr>
                <w:szCs w:val="24"/>
                <w:lang w:eastAsia="x-none"/>
              </w:rPr>
              <w:t>linde istinaf ve temyize başvuru sürecinde alacağı karşılayacak miktarda teminata ilişkin altıncı fıkrası hükmü, h</w:t>
            </w:r>
            <w:r w:rsidR="00F906A7" w:rsidRPr="00A23740">
              <w:rPr>
                <w:szCs w:val="24"/>
                <w:lang w:eastAsia="x-none"/>
              </w:rPr>
              <w:t>â</w:t>
            </w:r>
            <w:r w:rsidRPr="00A23740">
              <w:rPr>
                <w:szCs w:val="24"/>
                <w:lang w:eastAsia="x-none"/>
              </w:rPr>
              <w:t>lihazırda bir ipotek teminatı mevcut olduğundan ipoteğin paraya çevrilmesi yoluyla ilamlı takip bakımından maddede ayrıca düzenlenmiştir. Ayrıca ipotekler zamanaşımına uğramadığından ve takibin iptali ve icranın geri bırakılması borçlu dışındaki kişilerce de yapılabileceğinden, atıf usulü yerine yeni bir madde ihdas edilmesi uygun görülmüştür.</w:t>
            </w:r>
          </w:p>
          <w:p w:rsidR="003526F6" w:rsidRPr="00A23740" w:rsidRDefault="003526F6" w:rsidP="009431FF">
            <w:pPr>
              <w:pStyle w:val="Mavi"/>
              <w:ind w:firstLine="709"/>
              <w:rPr>
                <w:b w:val="0"/>
                <w:color w:val="auto"/>
                <w:lang w:val="tr-TR"/>
              </w:rPr>
            </w:pPr>
            <w:r w:rsidRPr="00A23740">
              <w:rPr>
                <w:rFonts w:eastAsia="Times New Roman"/>
                <w:b w:val="0"/>
                <w:bCs w:val="0"/>
                <w:color w:val="auto"/>
                <w:lang w:val="tr-TR" w:eastAsia="tr-TR"/>
              </w:rPr>
              <w:t>Birinci fıkrayla, ipoteğin ilamların icrası usulüyle paraya çevrilmesinde, takibin iptali ve icranın geri bırakılması talebine ilişkin</w:t>
            </w:r>
            <w:r w:rsidRPr="00A23740">
              <w:rPr>
                <w:b w:val="0"/>
                <w:color w:val="auto"/>
                <w:lang w:val="tr-TR"/>
              </w:rPr>
              <w:t xml:space="preserve"> esaslar belirlenmektedir. Hükme göre borçlu, ipotekli taşınmazın maliki üçüncü kişi veya ipotekli taşınmaz aile konutu ise eş, hüküm tarihinden sonra ve icra emrinin tebliğinden önce borcun itfa edildiği veya alacaklı tarafından borçluya süre verildiği iddiasında ise</w:t>
            </w:r>
            <w:r w:rsidR="00991CE5" w:rsidRPr="00A23740">
              <w:rPr>
                <w:b w:val="0"/>
                <w:color w:val="auto"/>
                <w:lang w:val="tr-TR"/>
              </w:rPr>
              <w:t>,</w:t>
            </w:r>
            <w:r w:rsidRPr="00A23740">
              <w:rPr>
                <w:b w:val="0"/>
                <w:color w:val="auto"/>
                <w:lang w:val="tr-TR"/>
              </w:rPr>
              <w:t xml:space="preserve"> icra emrinin tebliğinden itibaren iki hafta içinde; icra emrinin tebliğinden sonra borcun itfa edildiği veya alacaklı tarafından borçluya süre verildiği iddiasında ise her zaman takibin iptalini veya icranın geri bırakılmasını isteyebilir. Talep hakkında icra hukuk mahkemesince karar verilir. İcra emrinin tebliğinden önceki h</w:t>
            </w:r>
            <w:r w:rsidR="00F906A7" w:rsidRPr="00A23740">
              <w:rPr>
                <w:b w:val="0"/>
                <w:color w:val="auto"/>
                <w:lang w:val="tr-TR"/>
              </w:rPr>
              <w:t>â</w:t>
            </w:r>
            <w:r w:rsidRPr="00A23740">
              <w:rPr>
                <w:b w:val="0"/>
                <w:color w:val="auto"/>
                <w:lang w:val="tr-TR"/>
              </w:rPr>
              <w:t>ller için sebebin hüküm tarihinden sonra gerçekleşmiş olması gereği, metne açık bir şekilde yazılmaktadır. 2004 sayılı Kanundan farklı olarak başvuru süresi yedi günden iki haftaya çıkarılmaktadır.</w:t>
            </w:r>
          </w:p>
          <w:p w:rsidR="003526F6" w:rsidRPr="00A23740" w:rsidRDefault="003526F6" w:rsidP="009431FF">
            <w:pPr>
              <w:pStyle w:val="Mavi"/>
              <w:ind w:firstLine="709"/>
              <w:rPr>
                <w:b w:val="0"/>
                <w:color w:val="auto"/>
                <w:lang w:val="tr-TR"/>
              </w:rPr>
            </w:pPr>
            <w:r w:rsidRPr="00A23740">
              <w:rPr>
                <w:b w:val="0"/>
                <w:color w:val="auto"/>
                <w:lang w:val="tr-TR"/>
              </w:rPr>
              <w:t xml:space="preserve">İkinci fıkrayla, icra hukuk mahkemesinin, talep </w:t>
            </w:r>
            <w:r w:rsidR="005A63D3" w:rsidRPr="005574AB">
              <w:rPr>
                <w:rStyle w:val="YELChar"/>
                <w:color w:val="auto"/>
              </w:rPr>
              <w:t>üzerine</w:t>
            </w:r>
            <w:r w:rsidR="005A63D3" w:rsidRPr="00A23740">
              <w:rPr>
                <w:b w:val="0"/>
                <w:color w:val="auto"/>
                <w:lang w:val="tr-TR"/>
              </w:rPr>
              <w:t xml:space="preserve"> </w:t>
            </w:r>
            <w:r w:rsidRPr="00A23740">
              <w:rPr>
                <w:b w:val="0"/>
                <w:color w:val="auto"/>
                <w:lang w:val="tr-TR"/>
              </w:rPr>
              <w:t>ihtiyati tedbir yoluyla takibi durdurabileceği açıkça düzenlenmektedir. Bu talep bakımından kural olarak mahkemenin takdir yetkisi olmakla birlikte, iptal veya erteleme talebi yetkili mercilerce resen düzenlenmiş, usulüne göre onaylanmış, icra ve iflas dairesi veya mahkeme önünde ikrar edilmiş bir belgeye dayanıyorsa, mahkeme takibi durdurmak zorundadır.</w:t>
            </w:r>
          </w:p>
          <w:p w:rsidR="003526F6" w:rsidRPr="005574AB" w:rsidRDefault="003526F6" w:rsidP="009431FF">
            <w:pPr>
              <w:pStyle w:val="Mavi"/>
              <w:ind w:firstLine="709"/>
              <w:rPr>
                <w:b w:val="0"/>
                <w:color w:val="auto"/>
                <w:lang w:val="tr-TR"/>
              </w:rPr>
            </w:pPr>
            <w:r w:rsidRPr="00A23740">
              <w:rPr>
                <w:b w:val="0"/>
                <w:color w:val="auto"/>
                <w:lang w:val="tr-TR"/>
              </w:rPr>
              <w:t>Üçüncü fıkrayla, icra hukuk mahkemesinin her h</w:t>
            </w:r>
            <w:r w:rsidR="00F906A7" w:rsidRPr="00A23740">
              <w:rPr>
                <w:b w:val="0"/>
                <w:color w:val="auto"/>
                <w:lang w:val="tr-TR"/>
              </w:rPr>
              <w:t>â</w:t>
            </w:r>
            <w:r w:rsidRPr="00A23740">
              <w:rPr>
                <w:b w:val="0"/>
                <w:color w:val="auto"/>
                <w:lang w:val="tr-TR"/>
              </w:rPr>
              <w:t>lde genel hükümlere göre yargılama yapacağı ifade edilmektedir. Yeni düzenlemedeki en önemli farklılık, taleplerin artık genel hükümler çerçevesinde inceleneceği hususudur. Başvuru her ne kadar yine icra hukuk mahkemesine yapılacak olsa da</w:t>
            </w:r>
            <w:r w:rsidR="00991CE5" w:rsidRPr="00A23740">
              <w:rPr>
                <w:b w:val="0"/>
                <w:color w:val="auto"/>
                <w:lang w:val="tr-TR"/>
              </w:rPr>
              <w:t>,</w:t>
            </w:r>
            <w:r w:rsidRPr="00A23740">
              <w:rPr>
                <w:b w:val="0"/>
                <w:color w:val="auto"/>
                <w:lang w:val="tr-TR"/>
              </w:rPr>
              <w:t xml:space="preserve"> mahkeme bu başvuruyu genel hükümlere göre inceleyeceğinden, artık delil sınırlaması da bulunmayacaktır. Borçlu, ipotekli taşınmazın maliki üçüncü kişi veya ipotekli taşınmaz aile konutu ise eş ve alacaklı, ispat faaliyetini genel hükümlere göre gerçekleştirecektir. Bu bağlamda icra hukuk mahkemesinin iptal ve geri bırakma talepleriyle ilgili olarak esastan vereceği her türlü karar maddi anlamda kesin hüküm oluşturur.</w:t>
            </w:r>
            <w:r w:rsidRPr="005574AB">
              <w:rPr>
                <w:b w:val="0"/>
                <w:color w:val="auto"/>
                <w:lang w:val="tr-TR"/>
              </w:rPr>
              <w:t xml:space="preserve"> </w:t>
            </w:r>
            <w:r w:rsidRPr="005574AB">
              <w:rPr>
                <w:b w:val="0"/>
                <w:color w:val="auto"/>
              </w:rPr>
              <w:t>İlamlı icra bakımından durum bu olmakla birlikte, ilamsız icra bakımından takibin iptali</w:t>
            </w:r>
            <w:r w:rsidR="00EA2020" w:rsidRPr="005574AB">
              <w:rPr>
                <w:b w:val="0"/>
                <w:color w:val="auto"/>
              </w:rPr>
              <w:t xml:space="preserve"> ve icranın geri bırakılmasında, 2004 sayılı Kanunda olduğu gibi, </w:t>
            </w:r>
            <w:r w:rsidRPr="005574AB">
              <w:rPr>
                <w:b w:val="0"/>
                <w:color w:val="auto"/>
              </w:rPr>
              <w:t>sınırlı sayıda belge üzerinden inceleme yap</w:t>
            </w:r>
            <w:r w:rsidRPr="005574AB">
              <w:rPr>
                <w:b w:val="0"/>
                <w:color w:val="auto"/>
                <w:lang w:val="tr-TR"/>
              </w:rPr>
              <w:t>ıl</w:t>
            </w:r>
            <w:r w:rsidRPr="005574AB">
              <w:rPr>
                <w:b w:val="0"/>
                <w:color w:val="auto"/>
              </w:rPr>
              <w:t>acağı esası devam ettirilmektedir (</w:t>
            </w:r>
            <w:r w:rsidR="00EA2020" w:rsidRPr="005574AB">
              <w:rPr>
                <w:rStyle w:val="KonuBalChar"/>
                <w:rFonts w:eastAsia="Calibri"/>
                <w:color w:val="auto"/>
              </w:rPr>
              <w:t>Taslak</w:t>
            </w:r>
            <w:r w:rsidR="00EA2020" w:rsidRPr="005574AB">
              <w:rPr>
                <w:b w:val="0"/>
                <w:color w:val="auto"/>
                <w:lang w:val="tr-TR"/>
              </w:rPr>
              <w:t xml:space="preserve"> </w:t>
            </w:r>
            <w:r w:rsidRPr="005574AB">
              <w:rPr>
                <w:b w:val="0"/>
                <w:color w:val="auto"/>
              </w:rPr>
              <w:t>m. 97).</w:t>
            </w:r>
            <w:r w:rsidRPr="00A23740">
              <w:rPr>
                <w:b w:val="0"/>
              </w:rPr>
              <w:t xml:space="preserve"> </w:t>
            </w:r>
            <w:r w:rsidRPr="005574AB">
              <w:rPr>
                <w:b w:val="0"/>
                <w:color w:val="auto"/>
              </w:rPr>
              <w:t>Bu bağlamda, ilamlı icradaki ve ilamsız icradaki takibin iptali ve icranın geri bırakılması taleplerinin incelenme usulü bakımından önemli bir farklılık meydana getirilmiş olduğu dikkate alınmalıdır.</w:t>
            </w:r>
          </w:p>
          <w:p w:rsidR="003526F6" w:rsidRPr="00A23740" w:rsidRDefault="003526F6" w:rsidP="009431FF">
            <w:pPr>
              <w:pStyle w:val="Mavi"/>
              <w:ind w:firstLine="709"/>
              <w:rPr>
                <w:b w:val="0"/>
                <w:color w:val="auto"/>
                <w:lang w:val="tr-TR"/>
              </w:rPr>
            </w:pPr>
            <w:r w:rsidRPr="00A23740">
              <w:rPr>
                <w:b w:val="0"/>
                <w:color w:val="auto"/>
                <w:lang w:val="tr-TR"/>
              </w:rPr>
              <w:t>Dördüncü fıkra</w:t>
            </w:r>
            <w:r w:rsidR="00991CE5" w:rsidRPr="00A23740">
              <w:rPr>
                <w:b w:val="0"/>
                <w:color w:val="auto"/>
                <w:lang w:val="tr-TR"/>
              </w:rPr>
              <w:t>da</w:t>
            </w:r>
            <w:r w:rsidRPr="00A23740">
              <w:rPr>
                <w:b w:val="0"/>
                <w:color w:val="auto"/>
                <w:lang w:val="tr-TR"/>
              </w:rPr>
              <w:t>, icra hukuk mahkemesinin vereceği kararlar düzenlenmektedir. Hükme göre itfa veya alacaklı tarafından takipten evvel borçluya süre verildiği iddiasının ispatı h</w:t>
            </w:r>
            <w:r w:rsidR="00F906A7" w:rsidRPr="00A23740">
              <w:rPr>
                <w:b w:val="0"/>
                <w:color w:val="auto"/>
                <w:lang w:val="tr-TR"/>
              </w:rPr>
              <w:t>â</w:t>
            </w:r>
            <w:r w:rsidRPr="00A23740">
              <w:rPr>
                <w:b w:val="0"/>
                <w:color w:val="auto"/>
                <w:lang w:val="tr-TR"/>
              </w:rPr>
              <w:t xml:space="preserve">linde mahkeme takibi iptal eder. Takipten sonra borçluya süre verildiği iddiasının ispatı durumunda ise </w:t>
            </w:r>
            <w:r w:rsidR="00991CE5" w:rsidRPr="00A23740">
              <w:rPr>
                <w:b w:val="0"/>
                <w:color w:val="auto"/>
                <w:lang w:val="tr-TR"/>
              </w:rPr>
              <w:t xml:space="preserve">mahkeme </w:t>
            </w:r>
            <w:r w:rsidRPr="00A23740">
              <w:rPr>
                <w:b w:val="0"/>
                <w:color w:val="auto"/>
                <w:lang w:val="tr-TR"/>
              </w:rPr>
              <w:t>icranın geri bırakılmasına karar verir. Bu h</w:t>
            </w:r>
            <w:r w:rsidR="00F906A7" w:rsidRPr="00A23740">
              <w:rPr>
                <w:b w:val="0"/>
                <w:color w:val="auto"/>
                <w:lang w:val="tr-TR"/>
              </w:rPr>
              <w:t>â</w:t>
            </w:r>
            <w:r w:rsidRPr="00A23740">
              <w:rPr>
                <w:b w:val="0"/>
                <w:color w:val="auto"/>
                <w:lang w:val="tr-TR"/>
              </w:rPr>
              <w:t>lde icranın ne kadar süreyle geri bırakıldığı hususu kararda gösterilir. Maddenin kurgusunda geri bırakma kavramı dar anlamda kullanılmakta; mahkemenin, itfa h</w:t>
            </w:r>
            <w:r w:rsidR="00F906A7" w:rsidRPr="00A23740">
              <w:rPr>
                <w:b w:val="0"/>
                <w:color w:val="auto"/>
                <w:lang w:val="tr-TR"/>
              </w:rPr>
              <w:t>â</w:t>
            </w:r>
            <w:r w:rsidRPr="00A23740">
              <w:rPr>
                <w:b w:val="0"/>
                <w:color w:val="auto"/>
                <w:lang w:val="tr-TR"/>
              </w:rPr>
              <w:t>linde iptal; sadece süre verilme h</w:t>
            </w:r>
            <w:r w:rsidR="00F906A7" w:rsidRPr="00A23740">
              <w:rPr>
                <w:b w:val="0"/>
                <w:color w:val="auto"/>
                <w:lang w:val="tr-TR"/>
              </w:rPr>
              <w:t>â</w:t>
            </w:r>
            <w:r w:rsidRPr="00A23740">
              <w:rPr>
                <w:b w:val="0"/>
                <w:color w:val="auto"/>
                <w:lang w:val="tr-TR"/>
              </w:rPr>
              <w:t>linde ise geri bırakma kararı verebileceği açık şekilde düzenlenmektedir.</w:t>
            </w:r>
          </w:p>
          <w:p w:rsidR="003526F6" w:rsidRPr="00A23740" w:rsidRDefault="003526F6" w:rsidP="009431FF">
            <w:pPr>
              <w:pStyle w:val="Mavi"/>
              <w:ind w:firstLine="709"/>
              <w:rPr>
                <w:b w:val="0"/>
                <w:color w:val="auto"/>
                <w:lang w:val="tr-TR"/>
              </w:rPr>
            </w:pPr>
            <w:r w:rsidRPr="00A23740">
              <w:rPr>
                <w:b w:val="0"/>
                <w:color w:val="auto"/>
                <w:lang w:val="tr-TR"/>
              </w:rPr>
              <w:t>Beşinci fıkrada, icra hukuk mahkemesinin iptal veya icranın geri bırakılması kararının kesinleşmesi üzerine, icranın iadesine ilişkin hükümlerin uygulanacağı belirtilmektedir. Hükümle, uygulamada oluşabilecek tereddütlerin giderilmesi amaçlanmaktadır.</w:t>
            </w:r>
          </w:p>
          <w:p w:rsidR="003526F6" w:rsidRPr="00A23740" w:rsidRDefault="003526F6" w:rsidP="009431FF">
            <w:pPr>
              <w:tabs>
                <w:tab w:val="left" w:pos="567"/>
              </w:tabs>
              <w:ind w:firstLine="567"/>
              <w:rPr>
                <w:szCs w:val="24"/>
              </w:rPr>
            </w:pPr>
            <w:r w:rsidRPr="00A23740">
              <w:rPr>
                <w:szCs w:val="24"/>
                <w:lang w:eastAsia="x-none"/>
              </w:rPr>
              <w:t>Altıncı fıkrada</w:t>
            </w:r>
            <w:r w:rsidRPr="00A23740">
              <w:rPr>
                <w:szCs w:val="24"/>
              </w:rPr>
              <w:t xml:space="preserve"> icra </w:t>
            </w:r>
            <w:r w:rsidRPr="00A23740">
              <w:rPr>
                <w:szCs w:val="24"/>
                <w:lang w:val="x-none" w:eastAsia="x-none"/>
              </w:rPr>
              <w:t xml:space="preserve">hukuk </w:t>
            </w:r>
            <w:r w:rsidRPr="00A23740">
              <w:rPr>
                <w:szCs w:val="24"/>
              </w:rPr>
              <w:t xml:space="preserve">mahkemesinin </w:t>
            </w:r>
            <w:r w:rsidRPr="00A23740">
              <w:rPr>
                <w:szCs w:val="24"/>
                <w:lang w:val="x-none" w:eastAsia="x-none"/>
              </w:rPr>
              <w:t>takibin geri bırakılması veya</w:t>
            </w:r>
            <w:r w:rsidRPr="00A23740">
              <w:rPr>
                <w:szCs w:val="24"/>
                <w:lang w:eastAsia="x-none"/>
              </w:rPr>
              <w:t xml:space="preserve"> </w:t>
            </w:r>
            <w:r w:rsidRPr="00A23740">
              <w:rPr>
                <w:szCs w:val="24"/>
                <w:lang w:val="x-none" w:eastAsia="x-none"/>
              </w:rPr>
              <w:t>iptali talebinin</w:t>
            </w:r>
            <w:r w:rsidRPr="00A23740">
              <w:rPr>
                <w:szCs w:val="24"/>
              </w:rPr>
              <w:t xml:space="preserve"> reddine ilişkin kararına karşı istinaf yoluna başvur</w:t>
            </w:r>
            <w:r w:rsidRPr="00A23740">
              <w:rPr>
                <w:szCs w:val="24"/>
                <w:lang w:val="x-none" w:eastAsia="x-none"/>
              </w:rPr>
              <w:t>ulması</w:t>
            </w:r>
            <w:r w:rsidRPr="00A23740">
              <w:rPr>
                <w:szCs w:val="24"/>
                <w:lang w:eastAsia="tr-TR"/>
              </w:rPr>
              <w:t xml:space="preserve"> </w:t>
            </w:r>
            <w:r w:rsidRPr="00A23740">
              <w:rPr>
                <w:szCs w:val="24"/>
                <w:lang w:val="x-none" w:eastAsia="x-none"/>
              </w:rPr>
              <w:t>h</w:t>
            </w:r>
            <w:r w:rsidR="00F906A7" w:rsidRPr="00A23740">
              <w:rPr>
                <w:szCs w:val="24"/>
                <w:lang w:eastAsia="x-none"/>
              </w:rPr>
              <w:t>â</w:t>
            </w:r>
            <w:r w:rsidRPr="00A23740">
              <w:rPr>
                <w:szCs w:val="24"/>
                <w:lang w:val="x-none" w:eastAsia="x-none"/>
              </w:rPr>
              <w:t>linde</w:t>
            </w:r>
            <w:r w:rsidRPr="00A23740">
              <w:rPr>
                <w:szCs w:val="24"/>
                <w:lang w:eastAsia="x-none"/>
              </w:rPr>
              <w:t xml:space="preserve"> </w:t>
            </w:r>
            <w:r w:rsidRPr="00A23740">
              <w:rPr>
                <w:szCs w:val="24"/>
                <w:lang w:val="x-none" w:eastAsia="x-none"/>
              </w:rPr>
              <w:t xml:space="preserve">teminat olarak </w:t>
            </w:r>
            <w:r w:rsidRPr="00A23740">
              <w:rPr>
                <w:szCs w:val="24"/>
              </w:rPr>
              <w:t xml:space="preserve">takip konusu alacağın yüzde </w:t>
            </w:r>
            <w:r w:rsidRPr="00A23740">
              <w:rPr>
                <w:szCs w:val="24"/>
                <w:lang w:val="x-none" w:eastAsia="x-none"/>
              </w:rPr>
              <w:t>onu oranında</w:t>
            </w:r>
            <w:r w:rsidRPr="00A23740">
              <w:rPr>
                <w:szCs w:val="24"/>
                <w:lang w:eastAsia="x-none"/>
              </w:rPr>
              <w:t xml:space="preserve"> </w:t>
            </w:r>
            <w:r w:rsidRPr="00A23740">
              <w:rPr>
                <w:szCs w:val="24"/>
                <w:lang w:val="x-none" w:eastAsia="x-none"/>
              </w:rPr>
              <w:t>nakit veya teminat mektubu gösterilirse</w:t>
            </w:r>
            <w:r w:rsidRPr="00A23740">
              <w:rPr>
                <w:szCs w:val="24"/>
                <w:lang w:eastAsia="x-none"/>
              </w:rPr>
              <w:t xml:space="preserve"> </w:t>
            </w:r>
            <w:r w:rsidRPr="00A23740">
              <w:rPr>
                <w:szCs w:val="24"/>
                <w:lang w:val="x-none" w:eastAsia="x-none"/>
              </w:rPr>
              <w:t>icra hukuk mahkemesi</w:t>
            </w:r>
            <w:r w:rsidRPr="00A23740">
              <w:rPr>
                <w:szCs w:val="24"/>
                <w:lang w:eastAsia="x-none"/>
              </w:rPr>
              <w:t>nin</w:t>
            </w:r>
            <w:r w:rsidRPr="00A23740">
              <w:rPr>
                <w:szCs w:val="24"/>
                <w:lang w:val="x-none" w:eastAsia="x-none"/>
              </w:rPr>
              <w:t xml:space="preserve"> satışı durduracağı</w:t>
            </w:r>
            <w:r w:rsidR="00991CE5" w:rsidRPr="00A23740">
              <w:rPr>
                <w:szCs w:val="24"/>
                <w:lang w:eastAsia="x-none"/>
              </w:rPr>
              <w:t>;</w:t>
            </w:r>
            <w:r w:rsidRPr="00A23740">
              <w:rPr>
                <w:szCs w:val="24"/>
                <w:lang w:val="x-none" w:eastAsia="x-none"/>
              </w:rPr>
              <w:t xml:space="preserve"> bu teminatın icranın geri bırakılması veya iptali talebinin bölge adliye mahkemesi tarafından</w:t>
            </w:r>
            <w:r w:rsidRPr="00A23740">
              <w:rPr>
                <w:szCs w:val="24"/>
              </w:rPr>
              <w:t xml:space="preserve"> reddi </w:t>
            </w:r>
            <w:r w:rsidRPr="00A23740">
              <w:rPr>
                <w:szCs w:val="24"/>
                <w:lang w:val="x-none" w:eastAsia="x-none"/>
              </w:rPr>
              <w:t>h</w:t>
            </w:r>
            <w:r w:rsidR="00F906A7" w:rsidRPr="00A23740">
              <w:rPr>
                <w:szCs w:val="24"/>
                <w:lang w:eastAsia="x-none"/>
              </w:rPr>
              <w:t>â</w:t>
            </w:r>
            <w:r w:rsidRPr="00A23740">
              <w:rPr>
                <w:szCs w:val="24"/>
                <w:lang w:val="x-none" w:eastAsia="x-none"/>
              </w:rPr>
              <w:t>linde değil, red kararının kesinleşmesi</w:t>
            </w:r>
            <w:r w:rsidRPr="00A23740">
              <w:rPr>
                <w:szCs w:val="24"/>
                <w:lang w:eastAsia="tr-TR"/>
              </w:rPr>
              <w:t xml:space="preserve"> üzerine </w:t>
            </w:r>
            <w:r w:rsidRPr="00A23740">
              <w:rPr>
                <w:szCs w:val="24"/>
              </w:rPr>
              <w:t>alacaklıya tazminat olarak ödeneceği hüküm altına alınmıştır. Şu h</w:t>
            </w:r>
            <w:r w:rsidR="00F906A7" w:rsidRPr="00A23740">
              <w:rPr>
                <w:szCs w:val="24"/>
              </w:rPr>
              <w:t>â</w:t>
            </w:r>
            <w:r w:rsidRPr="00A23740">
              <w:rPr>
                <w:szCs w:val="24"/>
              </w:rPr>
              <w:t>lde teminatın alacaklıya ödenmesi, bölge adliye mahkemesinin red kararının kesinleşmesi aşamasına ertelenerek uygulamadaki karışıklıkların önüne geçilmesi amaçlanmıştır.</w:t>
            </w:r>
          </w:p>
          <w:p w:rsidR="00895D8A" w:rsidRPr="00A23740" w:rsidRDefault="00895D8A" w:rsidP="0080239A">
            <w:pPr>
              <w:tabs>
                <w:tab w:val="left" w:pos="567"/>
              </w:tabs>
              <w:ind w:firstLine="567"/>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vAlign w:val="center"/>
          </w:tcPr>
          <w:p w:rsidR="00155AF4" w:rsidRPr="00A23740" w:rsidRDefault="00155AF4" w:rsidP="009431FF">
            <w:pPr>
              <w:rPr>
                <w:szCs w:val="24"/>
              </w:rPr>
            </w:pPr>
          </w:p>
          <w:p w:rsidR="00155AF4" w:rsidRPr="00A23740" w:rsidRDefault="00155AF4" w:rsidP="009431FF">
            <w:pPr>
              <w:rPr>
                <w:szCs w:val="24"/>
              </w:rPr>
            </w:pPr>
          </w:p>
          <w:p w:rsidR="00155AF4" w:rsidRPr="00A23740" w:rsidRDefault="00155AF4" w:rsidP="009431FF">
            <w:pPr>
              <w:rPr>
                <w:szCs w:val="24"/>
              </w:rPr>
            </w:pPr>
          </w:p>
          <w:p w:rsidR="00155AF4" w:rsidRPr="00A23740" w:rsidRDefault="00155AF4" w:rsidP="009431FF">
            <w:pPr>
              <w:rPr>
                <w:szCs w:val="24"/>
              </w:rPr>
            </w:pPr>
          </w:p>
          <w:p w:rsidR="00155AF4" w:rsidRPr="00A23740" w:rsidRDefault="00155AF4" w:rsidP="009431FF">
            <w:pPr>
              <w:rPr>
                <w:szCs w:val="24"/>
              </w:rPr>
            </w:pPr>
          </w:p>
          <w:p w:rsidR="00155AF4" w:rsidRPr="00A23740" w:rsidRDefault="00155AF4" w:rsidP="009431FF">
            <w:pPr>
              <w:rPr>
                <w:szCs w:val="24"/>
              </w:rPr>
            </w:pPr>
          </w:p>
          <w:p w:rsidR="00155AF4" w:rsidRPr="00A23740" w:rsidRDefault="00155AF4" w:rsidP="009431FF">
            <w:pPr>
              <w:rPr>
                <w:szCs w:val="24"/>
              </w:rPr>
            </w:pPr>
          </w:p>
          <w:p w:rsidR="00155AF4" w:rsidRPr="00A23740" w:rsidRDefault="00155AF4" w:rsidP="009431FF">
            <w:pPr>
              <w:rPr>
                <w:b/>
                <w:color w:val="FF3399"/>
                <w:szCs w:val="24"/>
              </w:rPr>
            </w:pPr>
          </w:p>
        </w:tc>
        <w:tc>
          <w:tcPr>
            <w:tcW w:w="2500" w:type="pct"/>
            <w:shd w:val="clear" w:color="auto" w:fill="auto"/>
          </w:tcPr>
          <w:p w:rsidR="00155AF4" w:rsidRPr="00A23740" w:rsidRDefault="00BA4CCB" w:rsidP="009431FF">
            <w:pPr>
              <w:tabs>
                <w:tab w:val="left" w:pos="567"/>
              </w:tabs>
              <w:rPr>
                <w:b/>
                <w:bCs/>
                <w:color w:val="0000FF"/>
                <w:szCs w:val="24"/>
                <w:lang w:val="x-none" w:eastAsia="x-none"/>
              </w:rPr>
            </w:pPr>
            <w:r w:rsidRPr="00A23740">
              <w:rPr>
                <w:b/>
                <w:bCs/>
                <w:color w:val="0000FF"/>
                <w:szCs w:val="24"/>
                <w:lang w:val="x-none" w:eastAsia="x-none"/>
              </w:rPr>
              <w:t>Şikâyet</w:t>
            </w:r>
          </w:p>
          <w:p w:rsidR="00155AF4" w:rsidRPr="00A23740" w:rsidRDefault="00FC7A09" w:rsidP="009431FF">
            <w:pPr>
              <w:tabs>
                <w:tab w:val="left" w:pos="567"/>
              </w:tabs>
              <w:rPr>
                <w:b/>
                <w:bCs/>
                <w:color w:val="0000FF"/>
                <w:szCs w:val="24"/>
                <w:lang w:val="x-none" w:eastAsia="x-none"/>
              </w:rPr>
            </w:pPr>
            <w:r w:rsidRPr="00A23740">
              <w:rPr>
                <w:b/>
                <w:bCs/>
                <w:color w:val="0000FF"/>
                <w:szCs w:val="24"/>
                <w:lang w:val="x-none" w:eastAsia="x-none"/>
              </w:rPr>
              <w:t>MADDE 122</w:t>
            </w:r>
            <w:r w:rsidR="00155AF4" w:rsidRPr="00A23740">
              <w:rPr>
                <w:b/>
                <w:bCs/>
                <w:color w:val="0000FF"/>
                <w:szCs w:val="24"/>
                <w:lang w:val="x-none" w:eastAsia="x-none"/>
              </w:rPr>
              <w:t xml:space="preserve">- (1) İpotek sözleşmesinin kayıtsız </w:t>
            </w:r>
            <w:r w:rsidR="00155AF4" w:rsidRPr="00A23740">
              <w:rPr>
                <w:b/>
                <w:bCs/>
                <w:color w:val="0000FF"/>
                <w:szCs w:val="24"/>
                <w:lang w:eastAsia="x-none"/>
              </w:rPr>
              <w:t xml:space="preserve">ve </w:t>
            </w:r>
            <w:r w:rsidR="00155AF4" w:rsidRPr="00A23740">
              <w:rPr>
                <w:b/>
                <w:bCs/>
                <w:color w:val="0000FF"/>
                <w:szCs w:val="24"/>
                <w:lang w:val="x-none" w:eastAsia="x-none"/>
              </w:rPr>
              <w:t xml:space="preserve">şartsız bir borç ikrarına ilişkin olmaması veya borcun muaccel olmaması ya da alacak ve rehin hakkının bir ilam veya ilam niteliğindeki belgeye bağlanmamış bulunması </w:t>
            </w:r>
            <w:r w:rsidR="006801E3" w:rsidRPr="00A23740">
              <w:rPr>
                <w:b/>
                <w:bCs/>
                <w:color w:val="0000FF"/>
                <w:szCs w:val="24"/>
                <w:lang w:val="x-none" w:eastAsia="x-none"/>
              </w:rPr>
              <w:t>h</w:t>
            </w:r>
            <w:r w:rsidR="006801E3" w:rsidRPr="00A23740">
              <w:rPr>
                <w:b/>
                <w:bCs/>
                <w:color w:val="0000FF"/>
                <w:szCs w:val="24"/>
                <w:lang w:eastAsia="x-none"/>
              </w:rPr>
              <w:t>â</w:t>
            </w:r>
            <w:r w:rsidR="00155AF4" w:rsidRPr="00A23740">
              <w:rPr>
                <w:b/>
                <w:bCs/>
                <w:color w:val="0000FF"/>
                <w:szCs w:val="24"/>
                <w:lang w:val="x-none" w:eastAsia="x-none"/>
              </w:rPr>
              <w:t>ller</w:t>
            </w:r>
            <w:r w:rsidR="006801E3" w:rsidRPr="00A23740">
              <w:rPr>
                <w:b/>
                <w:bCs/>
                <w:color w:val="0000FF"/>
                <w:szCs w:val="24"/>
                <w:lang w:eastAsia="x-none"/>
              </w:rPr>
              <w:t>in</w:t>
            </w:r>
            <w:r w:rsidR="00155AF4" w:rsidRPr="00A23740">
              <w:rPr>
                <w:b/>
                <w:bCs/>
                <w:color w:val="0000FF"/>
                <w:szCs w:val="24"/>
                <w:lang w:val="x-none" w:eastAsia="x-none"/>
              </w:rPr>
              <w:t>de icra emri gönderilirse borçlu, icra emrinin iptali için süresiz şikâyet yoluna başvurabilir.</w:t>
            </w:r>
          </w:p>
          <w:p w:rsidR="00155AF4" w:rsidRPr="00A23740" w:rsidRDefault="00155AF4" w:rsidP="009431FF">
            <w:pPr>
              <w:tabs>
                <w:tab w:val="left" w:pos="567"/>
              </w:tabs>
              <w:rPr>
                <w:rFonts w:eastAsia="Times New Roman"/>
                <w:b/>
                <w:bCs/>
                <w:strike/>
                <w:color w:val="FF0000"/>
                <w:szCs w:val="24"/>
                <w:lang w:val="x-none" w:eastAsia="x-none"/>
              </w:rPr>
            </w:pPr>
          </w:p>
          <w:p w:rsidR="00155AF4" w:rsidRPr="00A23740" w:rsidRDefault="00155AF4" w:rsidP="009431FF">
            <w:pPr>
              <w:pStyle w:val="Mavi"/>
            </w:pPr>
            <w:r w:rsidRPr="00A23740">
              <w:t>(2) Birinci fıkrada belirtilen h</w:t>
            </w:r>
            <w:r w:rsidR="00F906A7" w:rsidRPr="00A23740">
              <w:rPr>
                <w:lang w:val="tr-TR"/>
              </w:rPr>
              <w:t>â</w:t>
            </w:r>
            <w:r w:rsidRPr="00A23740">
              <w:t>llerde ipotek üçüncü kişiye ait bir taşınmaz üzerinde tesis edilmiş veya ipotekli taşınmazın mülkiyeti üçüncü kişiye geçmiş ise, bu ipotek hakkına sahip olan kişi; ipotekli taşınmazın aile konutu olması h</w:t>
            </w:r>
            <w:r w:rsidR="006801E3" w:rsidRPr="00A23740">
              <w:rPr>
                <w:lang w:val="tr-TR"/>
              </w:rPr>
              <w:t>â</w:t>
            </w:r>
            <w:r w:rsidRPr="00A23740">
              <w:t>linde ise</w:t>
            </w:r>
            <w:r w:rsidR="006801E3" w:rsidRPr="00A23740">
              <w:rPr>
                <w:lang w:val="tr-TR"/>
              </w:rPr>
              <w:t xml:space="preserve"> bu taşınmazın maliki olan</w:t>
            </w:r>
            <w:r w:rsidRPr="00A23740">
              <w:t xml:space="preserve"> borçlunun eşi, icra emrinin iptali için süresiz şikâyet yoluna başvurabilir.</w:t>
            </w:r>
          </w:p>
          <w:p w:rsidR="00155AF4" w:rsidRPr="00A23740" w:rsidRDefault="00155AF4" w:rsidP="009431FF">
            <w:pPr>
              <w:tabs>
                <w:tab w:val="left" w:pos="566"/>
              </w:tabs>
              <w:rPr>
                <w:b/>
                <w:bCs/>
                <w:color w:val="FF0000"/>
                <w:szCs w:val="24"/>
              </w:rPr>
            </w:pPr>
          </w:p>
        </w:tc>
      </w:tr>
      <w:tr w:rsidR="00895D8A" w:rsidRPr="00A23740" w:rsidTr="009431FF">
        <w:tc>
          <w:tcPr>
            <w:tcW w:w="5000" w:type="pct"/>
            <w:gridSpan w:val="2"/>
            <w:shd w:val="clear" w:color="auto" w:fill="DEEAF6"/>
          </w:tcPr>
          <w:p w:rsidR="00895D8A" w:rsidRPr="00A23740" w:rsidRDefault="00895D8A" w:rsidP="009431FF">
            <w:pPr>
              <w:tabs>
                <w:tab w:val="left" w:pos="567"/>
              </w:tabs>
              <w:ind w:firstLine="567"/>
              <w:rPr>
                <w:b/>
                <w:bCs/>
                <w:szCs w:val="24"/>
                <w:lang w:eastAsia="x-none"/>
              </w:rPr>
            </w:pPr>
          </w:p>
          <w:p w:rsidR="00412CAA" w:rsidRPr="00A23740" w:rsidRDefault="00FC7A09" w:rsidP="009431FF">
            <w:pPr>
              <w:tabs>
                <w:tab w:val="left" w:pos="567"/>
              </w:tabs>
              <w:ind w:firstLine="567"/>
              <w:rPr>
                <w:bCs/>
                <w:szCs w:val="24"/>
                <w:lang w:eastAsia="x-none"/>
              </w:rPr>
            </w:pPr>
            <w:r w:rsidRPr="00A23740">
              <w:rPr>
                <w:b/>
                <w:bCs/>
                <w:szCs w:val="24"/>
                <w:lang w:eastAsia="x-none"/>
              </w:rPr>
              <w:t>MADDE 122</w:t>
            </w:r>
            <w:r w:rsidR="00895D8A" w:rsidRPr="00A23740">
              <w:rPr>
                <w:b/>
                <w:bCs/>
                <w:szCs w:val="24"/>
                <w:lang w:eastAsia="x-none"/>
              </w:rPr>
              <w:t xml:space="preserve">- </w:t>
            </w:r>
            <w:r w:rsidR="00895D8A" w:rsidRPr="00A23740">
              <w:rPr>
                <w:bCs/>
                <w:szCs w:val="24"/>
                <w:lang w:eastAsia="x-none"/>
              </w:rPr>
              <w:t xml:space="preserve">Maddeyle, ipoteğin paraya çevrilmesi yoluyla takipte şikâyet hususu düzenlenmektedir. </w:t>
            </w:r>
          </w:p>
          <w:p w:rsidR="00895D8A" w:rsidRPr="00A23740" w:rsidRDefault="00895D8A" w:rsidP="009431FF">
            <w:pPr>
              <w:tabs>
                <w:tab w:val="left" w:pos="567"/>
              </w:tabs>
              <w:ind w:firstLine="567"/>
              <w:rPr>
                <w:szCs w:val="24"/>
                <w:lang w:val="x-none" w:eastAsia="x-none"/>
              </w:rPr>
            </w:pPr>
            <w:r w:rsidRPr="00A23740">
              <w:rPr>
                <w:szCs w:val="24"/>
                <w:lang w:val="x-none" w:eastAsia="x-none"/>
              </w:rPr>
              <w:t xml:space="preserve">Maddenin birinci fıkrasıyla, ipotek sözleşmesi kayıtsız </w:t>
            </w:r>
            <w:r w:rsidRPr="00A23740">
              <w:rPr>
                <w:szCs w:val="24"/>
                <w:lang w:eastAsia="x-none"/>
              </w:rPr>
              <w:t xml:space="preserve">ve </w:t>
            </w:r>
            <w:r w:rsidRPr="00A23740">
              <w:rPr>
                <w:szCs w:val="24"/>
                <w:lang w:val="x-none" w:eastAsia="x-none"/>
              </w:rPr>
              <w:t>şartsız bir borç ikrarına ilişkin olmadığı veya borç muaccel olmadığı ya da alacak ve rehin hakkı</w:t>
            </w:r>
            <w:r w:rsidR="003116D6" w:rsidRPr="00A23740">
              <w:rPr>
                <w:szCs w:val="24"/>
                <w:lang w:eastAsia="x-none"/>
              </w:rPr>
              <w:t>nın</w:t>
            </w:r>
            <w:r w:rsidRPr="00A23740">
              <w:rPr>
                <w:szCs w:val="24"/>
                <w:lang w:val="x-none" w:eastAsia="x-none"/>
              </w:rPr>
              <w:t xml:space="preserve"> bir ilam veya ilam niteliğindeki belgeye bağlanmamış olduğu h</w:t>
            </w:r>
            <w:r w:rsidR="00F906A7" w:rsidRPr="00A23740">
              <w:rPr>
                <w:szCs w:val="24"/>
                <w:lang w:eastAsia="x-none"/>
              </w:rPr>
              <w:t>â</w:t>
            </w:r>
            <w:r w:rsidRPr="00A23740">
              <w:rPr>
                <w:szCs w:val="24"/>
                <w:lang w:val="x-none" w:eastAsia="x-none"/>
              </w:rPr>
              <w:t xml:space="preserve">lde </w:t>
            </w:r>
            <w:r w:rsidRPr="00A23740">
              <w:rPr>
                <w:bCs/>
                <w:szCs w:val="24"/>
                <w:lang w:eastAsia="x-none"/>
              </w:rPr>
              <w:t>veya ipotekli taşınmaz maliki için T</w:t>
            </w:r>
            <w:r w:rsidR="00412CAA" w:rsidRPr="00A23740">
              <w:rPr>
                <w:bCs/>
                <w:szCs w:val="24"/>
                <w:lang w:eastAsia="x-none"/>
              </w:rPr>
              <w:t>ürk Meden</w:t>
            </w:r>
            <w:r w:rsidR="000E3F90" w:rsidRPr="00A23740">
              <w:rPr>
                <w:bCs/>
                <w:szCs w:val="24"/>
                <w:lang w:eastAsia="x-none"/>
              </w:rPr>
              <w:t>i</w:t>
            </w:r>
            <w:r w:rsidR="00412CAA" w:rsidRPr="00A23740">
              <w:rPr>
                <w:bCs/>
                <w:szCs w:val="24"/>
                <w:lang w:eastAsia="x-none"/>
              </w:rPr>
              <w:t xml:space="preserve"> </w:t>
            </w:r>
            <w:r w:rsidR="00AB0B9C" w:rsidRPr="00A23740">
              <w:rPr>
                <w:bCs/>
                <w:szCs w:val="24"/>
                <w:lang w:eastAsia="x-none"/>
              </w:rPr>
              <w:t xml:space="preserve">Kanununun </w:t>
            </w:r>
            <w:r w:rsidRPr="00A23740">
              <w:rPr>
                <w:bCs/>
                <w:szCs w:val="24"/>
                <w:lang w:eastAsia="x-none"/>
              </w:rPr>
              <w:t>887</w:t>
            </w:r>
            <w:r w:rsidR="00AB0B9C" w:rsidRPr="00A23740">
              <w:rPr>
                <w:bCs/>
                <w:szCs w:val="24"/>
                <w:lang w:eastAsia="x-none"/>
              </w:rPr>
              <w:t xml:space="preserve"> nci maddesi</w:t>
            </w:r>
            <w:r w:rsidRPr="00A23740">
              <w:rPr>
                <w:bCs/>
                <w:szCs w:val="24"/>
                <w:lang w:eastAsia="x-none"/>
              </w:rPr>
              <w:t xml:space="preserve"> hükmünün gereğinin yerine getirilmemiş olması</w:t>
            </w:r>
            <w:r w:rsidR="003116D6" w:rsidRPr="00A23740">
              <w:rPr>
                <w:bCs/>
                <w:szCs w:val="24"/>
                <w:lang w:eastAsia="x-none"/>
              </w:rPr>
              <w:t xml:space="preserve"> durumunda</w:t>
            </w:r>
            <w:r w:rsidRPr="00A23740">
              <w:rPr>
                <w:bCs/>
                <w:szCs w:val="24"/>
                <w:lang w:eastAsia="x-none"/>
              </w:rPr>
              <w:t>,</w:t>
            </w:r>
            <w:r w:rsidRPr="00A23740">
              <w:rPr>
                <w:b/>
                <w:bCs/>
                <w:szCs w:val="24"/>
                <w:lang w:eastAsia="x-none"/>
              </w:rPr>
              <w:t xml:space="preserve"> </w:t>
            </w:r>
            <w:r w:rsidRPr="00A23740">
              <w:rPr>
                <w:szCs w:val="24"/>
                <w:lang w:val="x-none" w:eastAsia="x-none"/>
              </w:rPr>
              <w:t>kendisine icra emri gönderilen borçlunun, icra emrinin iptali için süresiz şikâyet yoluna başvurabileceği yönünde bir hüküm ihdas edilmiştir. Uzun yıllardır yerleşik içtihatlar doğrultusunda ihdas edilen bu hükümle bir kısmı</w:t>
            </w:r>
            <w:r w:rsidR="00412CAA" w:rsidRPr="00A23740">
              <w:rPr>
                <w:szCs w:val="24"/>
                <w:lang w:eastAsia="x-none"/>
              </w:rPr>
              <w:t xml:space="preserve"> </w:t>
            </w:r>
            <w:r w:rsidR="00412CAA" w:rsidRPr="005574AB">
              <w:rPr>
                <w:szCs w:val="24"/>
                <w:lang w:val="x-none" w:eastAsia="x-none"/>
              </w:rPr>
              <w:t>Taslağın</w:t>
            </w:r>
            <w:r w:rsidRPr="00A23740">
              <w:rPr>
                <w:szCs w:val="24"/>
                <w:lang w:val="x-none" w:eastAsia="x-none"/>
              </w:rPr>
              <w:t xml:space="preserve"> 30 uncu madde</w:t>
            </w:r>
            <w:r w:rsidR="00412CAA" w:rsidRPr="00A23740">
              <w:rPr>
                <w:szCs w:val="24"/>
                <w:lang w:eastAsia="x-none"/>
              </w:rPr>
              <w:t>si</w:t>
            </w:r>
            <w:r w:rsidRPr="00A23740">
              <w:rPr>
                <w:szCs w:val="24"/>
                <w:lang w:val="x-none" w:eastAsia="x-none"/>
              </w:rPr>
              <w:t xml:space="preserve"> kapsamında hükümsüz işleml</w:t>
            </w:r>
            <w:r w:rsidR="006801E3" w:rsidRPr="00A23740">
              <w:rPr>
                <w:szCs w:val="24"/>
                <w:lang w:val="x-none" w:eastAsia="x-none"/>
              </w:rPr>
              <w:t>erden olan söz konusu h</w:t>
            </w:r>
            <w:r w:rsidR="00F906A7" w:rsidRPr="00A23740">
              <w:rPr>
                <w:szCs w:val="24"/>
                <w:lang w:eastAsia="x-none"/>
              </w:rPr>
              <w:t>â</w:t>
            </w:r>
            <w:r w:rsidR="006801E3" w:rsidRPr="00A23740">
              <w:rPr>
                <w:szCs w:val="24"/>
                <w:lang w:val="x-none" w:eastAsia="x-none"/>
              </w:rPr>
              <w:t xml:space="preserve">llerin </w:t>
            </w:r>
            <w:r w:rsidRPr="00A23740">
              <w:rPr>
                <w:szCs w:val="24"/>
                <w:lang w:val="x-none" w:eastAsia="x-none"/>
              </w:rPr>
              <w:t>süresiz şik</w:t>
            </w:r>
            <w:r w:rsidR="006801E3" w:rsidRPr="00A23740">
              <w:rPr>
                <w:szCs w:val="24"/>
                <w:lang w:eastAsia="x-none"/>
              </w:rPr>
              <w:t>â</w:t>
            </w:r>
            <w:r w:rsidRPr="00A23740">
              <w:rPr>
                <w:szCs w:val="24"/>
                <w:lang w:val="x-none" w:eastAsia="x-none"/>
              </w:rPr>
              <w:t>yet konusu olacağı açıkça hükme bağlanmıştır. Bu h</w:t>
            </w:r>
            <w:r w:rsidR="00F906A7" w:rsidRPr="00A23740">
              <w:rPr>
                <w:szCs w:val="24"/>
                <w:lang w:eastAsia="x-none"/>
              </w:rPr>
              <w:t>â</w:t>
            </w:r>
            <w:r w:rsidRPr="00A23740">
              <w:rPr>
                <w:szCs w:val="24"/>
                <w:lang w:val="x-none" w:eastAsia="x-none"/>
              </w:rPr>
              <w:t xml:space="preserve">ller bakımından, uygulamada </w:t>
            </w:r>
            <w:r w:rsidR="003116D6" w:rsidRPr="00A23740">
              <w:rPr>
                <w:szCs w:val="24"/>
                <w:lang w:eastAsia="x-none"/>
              </w:rPr>
              <w:t xml:space="preserve">şikayetin süresi hakkında </w:t>
            </w:r>
            <w:r w:rsidRPr="00A23740">
              <w:rPr>
                <w:szCs w:val="24"/>
                <w:lang w:val="x-none" w:eastAsia="x-none"/>
              </w:rPr>
              <w:t>süregelentereddütlerin ortadan kaldırılması ve yeknesak</w:t>
            </w:r>
            <w:r w:rsidR="00412CAA" w:rsidRPr="00A23740">
              <w:rPr>
                <w:szCs w:val="24"/>
                <w:lang w:val="x-none" w:eastAsia="x-none"/>
              </w:rPr>
              <w:t>lık sağlanması amaçlanmıştır.</w:t>
            </w:r>
          </w:p>
          <w:p w:rsidR="00895D8A" w:rsidRPr="00A23740" w:rsidRDefault="00895D8A" w:rsidP="009431FF">
            <w:pPr>
              <w:tabs>
                <w:tab w:val="left" w:pos="567"/>
              </w:tabs>
              <w:ind w:firstLine="567"/>
              <w:rPr>
                <w:b/>
                <w:bCs/>
                <w:szCs w:val="24"/>
                <w:lang w:eastAsia="x-none"/>
              </w:rPr>
            </w:pPr>
            <w:r w:rsidRPr="00A23740">
              <w:rPr>
                <w:szCs w:val="24"/>
                <w:lang w:val="x-none" w:eastAsia="x-none"/>
              </w:rPr>
              <w:t>İkinci fıkrada söz konusu işlemler bakımından şik</w:t>
            </w:r>
            <w:r w:rsidR="006801E3" w:rsidRPr="00A23740">
              <w:rPr>
                <w:szCs w:val="24"/>
                <w:lang w:eastAsia="x-none"/>
              </w:rPr>
              <w:t>â</w:t>
            </w:r>
            <w:r w:rsidRPr="00A23740">
              <w:rPr>
                <w:szCs w:val="24"/>
                <w:lang w:val="x-none" w:eastAsia="x-none"/>
              </w:rPr>
              <w:t>yet yoluna başvurabilecek olan ilgililer, asıl borçlu, taşınmaz maliki üçüncü kişi (ki</w:t>
            </w:r>
            <w:r w:rsidR="003116D6" w:rsidRPr="00A23740">
              <w:rPr>
                <w:szCs w:val="24"/>
                <w:lang w:eastAsia="x-none"/>
              </w:rPr>
              <w:t>,</w:t>
            </w:r>
            <w:r w:rsidRPr="00A23740">
              <w:rPr>
                <w:szCs w:val="24"/>
                <w:lang w:val="x-none" w:eastAsia="x-none"/>
              </w:rPr>
              <w:t xml:space="preserve"> mülkiyeti ipotek tesis edildikten sonra da kazanmış olabilir) ve taşınmazın aile konutu olması h</w:t>
            </w:r>
            <w:r w:rsidR="00F906A7" w:rsidRPr="00A23740">
              <w:rPr>
                <w:szCs w:val="24"/>
                <w:lang w:eastAsia="x-none"/>
              </w:rPr>
              <w:t>â</w:t>
            </w:r>
            <w:r w:rsidRPr="00A23740">
              <w:rPr>
                <w:szCs w:val="24"/>
                <w:lang w:val="x-none" w:eastAsia="x-none"/>
              </w:rPr>
              <w:t>linde eş olarak tespit edilmiştir.</w:t>
            </w:r>
          </w:p>
          <w:p w:rsidR="006801E3" w:rsidRPr="00A23740" w:rsidRDefault="006801E3" w:rsidP="0080239A">
            <w:pPr>
              <w:tabs>
                <w:tab w:val="left" w:pos="567"/>
              </w:tabs>
              <w:ind w:firstLine="567"/>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6"/>
              </w:tabs>
              <w:autoSpaceDE w:val="0"/>
              <w:autoSpaceDN w:val="0"/>
              <w:adjustRightInd w:val="0"/>
              <w:rPr>
                <w:rFonts w:eastAsia="Times New Roman"/>
                <w:b/>
                <w:iCs/>
                <w:strike/>
                <w:color w:val="FF0000"/>
                <w:szCs w:val="24"/>
                <w:lang w:eastAsia="tr-TR"/>
              </w:rPr>
            </w:pPr>
            <w:r w:rsidRPr="00A23740">
              <w:rPr>
                <w:rFonts w:eastAsia="Times New Roman"/>
                <w:b/>
                <w:strike/>
                <w:color w:val="FF0000"/>
                <w:szCs w:val="24"/>
                <w:lang w:eastAsia="tr-TR"/>
              </w:rPr>
              <w:t>2 – Ödeme emri:</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149/b – (1) (Ek:</w:t>
            </w:r>
            <w:r w:rsidRPr="00A23740">
              <w:rPr>
                <w:b/>
                <w:strike/>
                <w:color w:val="FF0000"/>
                <w:szCs w:val="24"/>
                <w:lang w:eastAsia="tr-TR"/>
              </w:rPr>
              <w:t xml:space="preserve"> 18/2/1965 - 538/70 md.)</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149 uncu</w:t>
            </w:r>
            <w:r w:rsidRPr="00A23740">
              <w:rPr>
                <w:rFonts w:eastAsia="Times New Roman"/>
                <w:szCs w:val="24"/>
                <w:lang w:eastAsia="tr-TR"/>
              </w:rPr>
              <w:t xml:space="preserve"> maddede yazılı haller dışında</w:t>
            </w:r>
            <w:r w:rsidRPr="00A23740">
              <w:rPr>
                <w:rFonts w:eastAsia="Times New Roman"/>
                <w:b/>
                <w:strike/>
                <w:color w:val="FF0000"/>
                <w:szCs w:val="24"/>
                <w:lang w:eastAsia="tr-TR"/>
              </w:rPr>
              <w:t>ki muaccel alacaklar için icra memuru, borçluya ve varsa taşınmaz sahibi üçüncü şahsa aşağıdaki kayıtlara uygun olmak üzere 60 ıncı maddeye göre birer ödeme gönderir.</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1. Ödeme müddeti otuz gündür.</w:t>
            </w: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p>
          <w:p w:rsidR="00155AF4" w:rsidRPr="00A23740" w:rsidRDefault="00155AF4" w:rsidP="009431FF">
            <w:pPr>
              <w:tabs>
                <w:tab w:val="left" w:pos="566"/>
              </w:tabs>
              <w:autoSpaceDE w:val="0"/>
              <w:autoSpaceDN w:val="0"/>
              <w:adjustRightInd w:val="0"/>
              <w:rPr>
                <w:rFonts w:eastAsia="Times New Roman"/>
                <w:b/>
                <w:strike/>
                <w:color w:val="FF0000"/>
                <w:szCs w:val="24"/>
                <w:lang w:eastAsia="tr-TR"/>
              </w:rPr>
            </w:pPr>
            <w:r w:rsidRPr="00A23740">
              <w:rPr>
                <w:rFonts w:eastAsia="Times New Roman"/>
                <w:b/>
                <w:strike/>
                <w:color w:val="FF0000"/>
                <w:szCs w:val="24"/>
                <w:lang w:eastAsia="tr-TR"/>
              </w:rPr>
              <w:t>2. Yedi gün içinde itiraz olunmaz ve 1 numaralı bendde yazılı müddet içinde borç ödenmezse alacaklının taşınmazın satışını istiyebileceği bildirilir.</w:t>
            </w:r>
          </w:p>
          <w:p w:rsidR="00155AF4" w:rsidRPr="00A23740" w:rsidRDefault="00155AF4" w:rsidP="009431FF">
            <w:pPr>
              <w:tabs>
                <w:tab w:val="left" w:pos="567"/>
              </w:tabs>
              <w:autoSpaceDE w:val="0"/>
              <w:autoSpaceDN w:val="0"/>
              <w:adjustRightInd w:val="0"/>
              <w:rPr>
                <w:szCs w:val="24"/>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İpoteğin paraya çevrilmesine ilişkin ödeme emri</w:t>
            </w:r>
          </w:p>
          <w:p w:rsidR="00155AF4" w:rsidRPr="00A23740" w:rsidRDefault="00CF4049" w:rsidP="009431FF">
            <w:pPr>
              <w:rPr>
                <w:b/>
                <w:bCs/>
                <w:color w:val="0000FF"/>
                <w:szCs w:val="24"/>
                <w:lang w:val="x-none" w:eastAsia="x-none"/>
              </w:rPr>
            </w:pPr>
            <w:r w:rsidRPr="00A23740">
              <w:rPr>
                <w:b/>
                <w:bCs/>
                <w:color w:val="0000FF"/>
                <w:szCs w:val="24"/>
                <w:lang w:val="x-none" w:eastAsia="x-none"/>
              </w:rPr>
              <w:t xml:space="preserve">MADDE </w:t>
            </w:r>
            <w:r w:rsidR="00594A10" w:rsidRPr="00A23740">
              <w:rPr>
                <w:b/>
                <w:bCs/>
                <w:color w:val="0000FF"/>
                <w:szCs w:val="24"/>
                <w:lang w:val="x-none" w:eastAsia="x-none"/>
              </w:rPr>
              <w:t>123</w:t>
            </w:r>
            <w:r w:rsidR="00155AF4" w:rsidRPr="00A23740">
              <w:rPr>
                <w:b/>
                <w:bCs/>
                <w:color w:val="0000FF"/>
                <w:szCs w:val="24"/>
                <w:lang w:val="x-none" w:eastAsia="x-none"/>
              </w:rPr>
              <w:t>- (1) İcra</w:t>
            </w:r>
            <w:r w:rsidR="00155AF4" w:rsidRPr="00A23740">
              <w:rPr>
                <w:b/>
                <w:bCs/>
                <w:color w:val="0000FF"/>
                <w:szCs w:val="24"/>
                <w:lang w:eastAsia="x-none"/>
              </w:rPr>
              <w:t xml:space="preserve"> </w:t>
            </w:r>
            <w:r w:rsidR="00155AF4" w:rsidRPr="00A23740">
              <w:rPr>
                <w:rStyle w:val="MaviChar"/>
              </w:rPr>
              <w:t>ve iflas dairesi</w:t>
            </w:r>
            <w:r w:rsidR="00155AF4" w:rsidRPr="00A23740">
              <w:rPr>
                <w:b/>
                <w:bCs/>
                <w:color w:val="0000FF"/>
                <w:szCs w:val="24"/>
                <w:lang w:val="x-none" w:eastAsia="x-none"/>
              </w:rPr>
              <w:t xml:space="preserve">, </w:t>
            </w:r>
            <w:r w:rsidR="00412CAA" w:rsidRPr="005574AB">
              <w:rPr>
                <w:rStyle w:val="KonuBalChar"/>
                <w:rFonts w:eastAsia="Calibri"/>
                <w:color w:val="0000FF"/>
              </w:rPr>
              <w:t>120</w:t>
            </w:r>
            <w:r w:rsidR="00412CAA" w:rsidRPr="00A23740">
              <w:rPr>
                <w:rStyle w:val="KonuBalChar"/>
                <w:rFonts w:eastAsia="Calibri"/>
              </w:rPr>
              <w:t xml:space="preserve"> </w:t>
            </w:r>
            <w:r w:rsidR="00412CAA" w:rsidRPr="005574AB">
              <w:rPr>
                <w:rStyle w:val="KonuBalChar"/>
                <w:rFonts w:eastAsia="Calibri"/>
                <w:color w:val="0000FF"/>
              </w:rPr>
              <w:t>inci</w:t>
            </w:r>
            <w:r w:rsidR="00412CAA" w:rsidRPr="00A23740">
              <w:rPr>
                <w:b/>
                <w:bCs/>
                <w:color w:val="0000FF"/>
                <w:szCs w:val="24"/>
                <w:lang w:eastAsia="x-none"/>
              </w:rPr>
              <w:t xml:space="preserve"> </w:t>
            </w:r>
            <w:r w:rsidR="00155AF4" w:rsidRPr="00A23740">
              <w:rPr>
                <w:szCs w:val="24"/>
              </w:rPr>
              <w:t>maddede yazılı h</w:t>
            </w:r>
            <w:r w:rsidR="00F906A7" w:rsidRPr="00A23740">
              <w:rPr>
                <w:szCs w:val="24"/>
              </w:rPr>
              <w:t>â</w:t>
            </w:r>
            <w:r w:rsidR="00155AF4" w:rsidRPr="00A23740">
              <w:rPr>
                <w:szCs w:val="24"/>
              </w:rPr>
              <w:t xml:space="preserve">ller dışında </w:t>
            </w:r>
            <w:r w:rsidR="00155AF4" w:rsidRPr="00A23740">
              <w:rPr>
                <w:b/>
                <w:bCs/>
                <w:color w:val="0000FF"/>
                <w:szCs w:val="24"/>
                <w:lang w:val="x-none" w:eastAsia="x-none"/>
              </w:rPr>
              <w:t>borçluya, varsa taşınmaz maliki üçüncü kişiye ve ipotekli mal aile konutu ise eşe, en geç üç gün içinde ipotek sözleşmesinin tapu müdürlüğünce verilmiş resm</w:t>
            </w:r>
            <w:r w:rsidR="007256A9" w:rsidRPr="00A23740">
              <w:rPr>
                <w:b/>
                <w:bCs/>
                <w:color w:val="0000FF"/>
                <w:szCs w:val="24"/>
                <w:lang w:eastAsia="x-none"/>
              </w:rPr>
              <w:t>î</w:t>
            </w:r>
            <w:r w:rsidR="00155AF4" w:rsidRPr="00A23740">
              <w:rPr>
                <w:b/>
                <w:bCs/>
                <w:color w:val="0000FF"/>
                <w:szCs w:val="24"/>
                <w:lang w:val="x-none" w:eastAsia="x-none"/>
              </w:rPr>
              <w:t xml:space="preserve"> bir örneğiyle birlikte ödeme emri gönderir.</w:t>
            </w:r>
          </w:p>
          <w:p w:rsidR="00155AF4" w:rsidRPr="00A23740" w:rsidRDefault="00155AF4" w:rsidP="009431FF">
            <w:pPr>
              <w:rPr>
                <w:b/>
                <w:bCs/>
                <w:color w:val="0000FF"/>
                <w:szCs w:val="24"/>
                <w:lang w:val="x-none" w:eastAsia="x-none"/>
              </w:rPr>
            </w:pPr>
          </w:p>
          <w:p w:rsidR="00155AF4" w:rsidRPr="00A23740" w:rsidRDefault="00155AF4" w:rsidP="009431FF">
            <w:pPr>
              <w:rPr>
                <w:b/>
                <w:bCs/>
                <w:color w:val="0000FF"/>
                <w:szCs w:val="24"/>
                <w:lang w:val="x-none" w:eastAsia="x-none"/>
              </w:rPr>
            </w:pPr>
            <w:r w:rsidRPr="00A23740">
              <w:rPr>
                <w:b/>
                <w:bCs/>
                <w:color w:val="0000FF"/>
                <w:szCs w:val="24"/>
                <w:lang w:val="x-none" w:eastAsia="x-none"/>
              </w:rPr>
              <w:t xml:space="preserve">(2) Takip talebi kabul edilmeyerek </w:t>
            </w:r>
            <w:r w:rsidR="00635E2E" w:rsidRPr="00A23740">
              <w:rPr>
                <w:b/>
                <w:bCs/>
                <w:color w:val="0000FF"/>
                <w:szCs w:val="24"/>
                <w:lang w:eastAsia="x-none"/>
              </w:rPr>
              <w:t>ödeme</w:t>
            </w:r>
            <w:r w:rsidRPr="00A23740">
              <w:rPr>
                <w:b/>
                <w:bCs/>
                <w:color w:val="0000FF"/>
                <w:szCs w:val="24"/>
                <w:lang w:val="x-none" w:eastAsia="x-none"/>
              </w:rPr>
              <w:t xml:space="preserve"> emrinin gönderilmemesi </w:t>
            </w:r>
            <w:r w:rsidRPr="00A23740">
              <w:rPr>
                <w:b/>
                <w:bCs/>
                <w:strike/>
                <w:color w:val="FF0000"/>
                <w:szCs w:val="24"/>
              </w:rPr>
              <w:t xml:space="preserve"> </w:t>
            </w:r>
            <w:r w:rsidRPr="00A23740">
              <w:rPr>
                <w:b/>
                <w:bCs/>
                <w:color w:val="0000FF"/>
                <w:szCs w:val="24"/>
                <w:lang w:val="x-none" w:eastAsia="x-none"/>
              </w:rPr>
              <w:t>h</w:t>
            </w:r>
            <w:r w:rsidR="00F906A7" w:rsidRPr="00A23740">
              <w:rPr>
                <w:b/>
                <w:bCs/>
                <w:color w:val="0000FF"/>
                <w:szCs w:val="24"/>
                <w:lang w:eastAsia="x-none"/>
              </w:rPr>
              <w:t>â</w:t>
            </w:r>
            <w:r w:rsidRPr="00A23740">
              <w:rPr>
                <w:b/>
                <w:bCs/>
                <w:color w:val="0000FF"/>
                <w:szCs w:val="24"/>
                <w:lang w:val="x-none" w:eastAsia="x-none"/>
              </w:rPr>
              <w:t>lind</w:t>
            </w:r>
            <w:r w:rsidRPr="00A23740">
              <w:rPr>
                <w:rStyle w:val="MaviChar"/>
              </w:rPr>
              <w:t>e,</w:t>
            </w:r>
            <w:r w:rsidRPr="00A23740">
              <w:rPr>
                <w:b/>
                <w:bCs/>
                <w:color w:val="0000FF"/>
                <w:szCs w:val="24"/>
                <w:lang w:val="x-none" w:eastAsia="x-none"/>
              </w:rPr>
              <w:t xml:space="preserve"> verilen karar tutanağa yazılır ve derh</w:t>
            </w:r>
            <w:r w:rsidR="00DF22A1" w:rsidRPr="00A23740">
              <w:rPr>
                <w:b/>
                <w:bCs/>
                <w:color w:val="0000FF"/>
                <w:szCs w:val="24"/>
                <w:lang w:eastAsia="x-none"/>
              </w:rPr>
              <w:t>â</w:t>
            </w:r>
            <w:r w:rsidRPr="00A23740">
              <w:rPr>
                <w:b/>
                <w:bCs/>
                <w:color w:val="0000FF"/>
                <w:szCs w:val="24"/>
                <w:lang w:val="x-none" w:eastAsia="x-none"/>
              </w:rPr>
              <w:t>l alacaklıya tebliğ edilir. İcra</w:t>
            </w:r>
            <w:r w:rsidRPr="00A23740">
              <w:rPr>
                <w:b/>
                <w:bCs/>
                <w:color w:val="0000FF"/>
                <w:szCs w:val="24"/>
                <w:lang w:eastAsia="x-none"/>
              </w:rPr>
              <w:t xml:space="preserve"> </w:t>
            </w:r>
            <w:r w:rsidRPr="00A23740">
              <w:rPr>
                <w:rStyle w:val="MaviChar"/>
              </w:rPr>
              <w:t>ve iflas dairesi</w:t>
            </w:r>
            <w:r w:rsidRPr="00A23740">
              <w:rPr>
                <w:b/>
                <w:bCs/>
                <w:color w:val="0000FF"/>
                <w:szCs w:val="24"/>
                <w:lang w:val="x-none" w:eastAsia="x-none"/>
              </w:rPr>
              <w:t xml:space="preserve"> bu işlemleri</w:t>
            </w:r>
            <w:r w:rsidR="00635E2E" w:rsidRPr="00A23740">
              <w:rPr>
                <w:b/>
                <w:bCs/>
                <w:color w:val="0000FF"/>
                <w:szCs w:val="24"/>
                <w:lang w:eastAsia="x-none"/>
              </w:rPr>
              <w:t xml:space="preserve"> takip tarihinden itibaren</w:t>
            </w:r>
            <w:r w:rsidRPr="00A23740">
              <w:rPr>
                <w:b/>
                <w:bCs/>
                <w:color w:val="0000FF"/>
                <w:szCs w:val="24"/>
                <w:lang w:val="x-none" w:eastAsia="x-none"/>
              </w:rPr>
              <w:t xml:space="preserve"> en geç üç gün içinde yapar.</w:t>
            </w:r>
          </w:p>
          <w:p w:rsidR="00155AF4" w:rsidRPr="00A23740" w:rsidRDefault="00155AF4" w:rsidP="009431FF">
            <w:pPr>
              <w:rPr>
                <w:b/>
                <w:bCs/>
                <w:strike/>
                <w:color w:val="FF0000"/>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(3) Ödeme emrinde aşağıdaki hususlar bulunur: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a) Alacaklının veya vekilinin banka hesap numarası hariç olmak üzere, takip talebinde yer alan kayıtlar.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b) Ödeme emrinin tebliğinden itibaren iki ay içinde borcun ödenmesi gerektiği.</w:t>
            </w:r>
          </w:p>
          <w:p w:rsidR="007A7390" w:rsidRPr="00A23740" w:rsidRDefault="007A7390" w:rsidP="009431FF">
            <w:pPr>
              <w:tabs>
                <w:tab w:val="left" w:pos="567"/>
              </w:tabs>
              <w:rPr>
                <w:b/>
                <w:bCs/>
                <w:color w:val="0000FF"/>
                <w:szCs w:val="24"/>
                <w:lang w:val="x-none" w:eastAsia="x-none"/>
              </w:rPr>
            </w:pPr>
          </w:p>
          <w:p w:rsidR="007A7390" w:rsidRPr="00A23740" w:rsidRDefault="007A7390" w:rsidP="009431FF">
            <w:pPr>
              <w:tabs>
                <w:tab w:val="left" w:pos="567"/>
              </w:tabs>
              <w:rPr>
                <w:b/>
                <w:bCs/>
                <w:color w:val="0000FF"/>
                <w:szCs w:val="24"/>
                <w:lang w:eastAsia="x-none"/>
              </w:rPr>
            </w:pPr>
            <w:r w:rsidRPr="00A23740">
              <w:rPr>
                <w:b/>
                <w:bCs/>
                <w:color w:val="0000FF"/>
                <w:szCs w:val="24"/>
                <w:lang w:eastAsia="x-none"/>
              </w:rPr>
              <w:t>c) Ödeme emrinin tebliğinden itibaren iki hafta içinde 124 üncü madde uyarınca ödeme emrine itiraz edilebileceği.</w:t>
            </w:r>
          </w:p>
          <w:p w:rsidR="00155AF4" w:rsidRPr="00A23740" w:rsidRDefault="00155AF4" w:rsidP="009431FF">
            <w:pPr>
              <w:tabs>
                <w:tab w:val="left" w:pos="567"/>
              </w:tabs>
              <w:rPr>
                <w:b/>
                <w:bCs/>
                <w:color w:val="0000FF"/>
                <w:szCs w:val="24"/>
                <w:lang w:val="x-none" w:eastAsia="x-none"/>
              </w:rPr>
            </w:pPr>
          </w:p>
          <w:p w:rsidR="00155AF4" w:rsidRPr="00A23740" w:rsidRDefault="007A7390" w:rsidP="009431FF">
            <w:pPr>
              <w:tabs>
                <w:tab w:val="left" w:pos="567"/>
              </w:tabs>
              <w:rPr>
                <w:b/>
                <w:bCs/>
                <w:color w:val="0000FF"/>
                <w:szCs w:val="24"/>
                <w:lang w:eastAsia="x-none"/>
              </w:rPr>
            </w:pPr>
            <w:r w:rsidRPr="00A23740">
              <w:rPr>
                <w:b/>
                <w:bCs/>
                <w:color w:val="0000FF"/>
                <w:szCs w:val="24"/>
                <w:lang w:val="x-none" w:eastAsia="x-none"/>
              </w:rPr>
              <w:t>ç</w:t>
            </w:r>
            <w:r w:rsidR="00155AF4" w:rsidRPr="00A23740">
              <w:rPr>
                <w:b/>
                <w:bCs/>
                <w:color w:val="0000FF"/>
                <w:szCs w:val="24"/>
                <w:lang w:val="x-none" w:eastAsia="x-none"/>
              </w:rPr>
              <w:t>) Borç ödenmez ve tebliğinden itibaren iki hafta</w:t>
            </w:r>
            <w:r w:rsidR="00155AF4" w:rsidRPr="00A23740">
              <w:rPr>
                <w:b/>
                <w:bCs/>
                <w:color w:val="0000FF"/>
                <w:szCs w:val="24"/>
                <w:lang w:eastAsia="x-none"/>
              </w:rPr>
              <w:t xml:space="preserve"> </w:t>
            </w:r>
            <w:r w:rsidR="00155AF4" w:rsidRPr="00A23740">
              <w:rPr>
                <w:b/>
                <w:bCs/>
                <w:color w:val="0000FF"/>
                <w:szCs w:val="24"/>
                <w:lang w:val="x-none" w:eastAsia="x-none"/>
              </w:rPr>
              <w:t>içinde ödeme emrine itiraz</w:t>
            </w:r>
            <w:r w:rsidRPr="00A23740">
              <w:rPr>
                <w:b/>
                <w:bCs/>
                <w:color w:val="0000FF"/>
                <w:szCs w:val="24"/>
                <w:lang w:eastAsia="x-none"/>
              </w:rPr>
              <w:t xml:space="preserve"> edilmezse,</w:t>
            </w:r>
            <w:r w:rsidR="00155AF4" w:rsidRPr="00A23740">
              <w:rPr>
                <w:b/>
                <w:bCs/>
                <w:color w:val="0000FF"/>
                <w:szCs w:val="24"/>
                <w:lang w:val="x-none" w:eastAsia="x-none"/>
              </w:rPr>
              <w:t xml:space="preserve"> </w:t>
            </w:r>
            <w:r w:rsidRPr="00A23740">
              <w:rPr>
                <w:rStyle w:val="Balk1Char"/>
                <w:rFonts w:eastAsia="Calibri"/>
              </w:rPr>
              <w:t>taşınmazın satışını</w:t>
            </w:r>
            <w:r w:rsidR="004A1F89" w:rsidRPr="00A23740">
              <w:rPr>
                <w:rStyle w:val="Balk1Char"/>
                <w:rFonts w:eastAsia="Calibri"/>
              </w:rPr>
              <w:t>n istenebileceği.</w:t>
            </w:r>
          </w:p>
          <w:p w:rsidR="00C15418" w:rsidRPr="00A23740" w:rsidRDefault="00C15418" w:rsidP="009431FF">
            <w:pPr>
              <w:tabs>
                <w:tab w:val="left" w:pos="567"/>
              </w:tabs>
              <w:rPr>
                <w:b/>
                <w:bCs/>
                <w:color w:val="0000FF"/>
                <w:szCs w:val="24"/>
                <w:lang w:val="x-none" w:eastAsia="x-none"/>
              </w:rPr>
            </w:pPr>
          </w:p>
          <w:p w:rsidR="00624497" w:rsidRDefault="007A7390" w:rsidP="009431FF">
            <w:pPr>
              <w:tabs>
                <w:tab w:val="left" w:pos="567"/>
              </w:tabs>
              <w:rPr>
                <w:b/>
                <w:bCs/>
                <w:color w:val="0000FF"/>
                <w:szCs w:val="24"/>
                <w:lang w:val="x-none" w:eastAsia="x-none"/>
              </w:rPr>
            </w:pPr>
            <w:r w:rsidRPr="00A23740">
              <w:rPr>
                <w:b/>
                <w:bCs/>
                <w:color w:val="0000FF"/>
                <w:szCs w:val="24"/>
                <w:lang w:val="x-none" w:eastAsia="x-none"/>
              </w:rPr>
              <w:t>d</w:t>
            </w:r>
            <w:r w:rsidR="00624497" w:rsidRPr="00A23740">
              <w:rPr>
                <w:b/>
                <w:bCs/>
                <w:color w:val="0000FF"/>
                <w:szCs w:val="24"/>
                <w:lang w:val="x-none" w:eastAsia="x-none"/>
              </w:rPr>
              <w:t>)</w:t>
            </w:r>
            <w:r w:rsidR="00624497" w:rsidRPr="00A23740">
              <w:rPr>
                <w:b/>
                <w:bCs/>
                <w:color w:val="0000FF"/>
                <w:szCs w:val="24"/>
                <w:lang w:eastAsia="x-none"/>
              </w:rPr>
              <w:t xml:space="preserve"> Borç</w:t>
            </w:r>
            <w:r w:rsidR="00624497" w:rsidRPr="00A23740">
              <w:rPr>
                <w:b/>
                <w:bCs/>
                <w:color w:val="0000FF"/>
                <w:szCs w:val="24"/>
                <w:lang w:val="x-none" w:eastAsia="x-none"/>
              </w:rPr>
              <w:t xml:space="preserve"> ödenmezse,</w:t>
            </w:r>
            <w:r w:rsidR="00624497" w:rsidRPr="00A23740">
              <w:rPr>
                <w:b/>
                <w:bCs/>
                <w:color w:val="0000FF"/>
                <w:szCs w:val="24"/>
                <w:lang w:eastAsia="x-none"/>
              </w:rPr>
              <w:t xml:space="preserve"> </w:t>
            </w:r>
            <w:r w:rsidR="00624497" w:rsidRPr="00A23740">
              <w:rPr>
                <w:rStyle w:val="MaviChar"/>
              </w:rPr>
              <w:t>borçlunun</w:t>
            </w:r>
            <w:r w:rsidR="00624497" w:rsidRPr="00A23740">
              <w:rPr>
                <w:b/>
                <w:bCs/>
                <w:color w:val="0000FF"/>
                <w:szCs w:val="24"/>
                <w:lang w:val="x-none" w:eastAsia="x-none"/>
              </w:rPr>
              <w:t xml:space="preserve"> aynı süre içinde, varsa taşınmazdaki kiracıya ait bilgiler ile kira alacağı miktarını bildirmesi, aksi h</w:t>
            </w:r>
            <w:r w:rsidR="007256A9" w:rsidRPr="00A23740">
              <w:rPr>
                <w:b/>
                <w:bCs/>
                <w:color w:val="0000FF"/>
                <w:szCs w:val="24"/>
                <w:lang w:eastAsia="x-none"/>
              </w:rPr>
              <w:t>â</w:t>
            </w:r>
            <w:r w:rsidR="00624497" w:rsidRPr="00A23740">
              <w:rPr>
                <w:b/>
                <w:bCs/>
                <w:color w:val="0000FF"/>
                <w:szCs w:val="24"/>
                <w:lang w:val="x-none" w:eastAsia="x-none"/>
              </w:rPr>
              <w:t>lde</w:t>
            </w:r>
            <w:r w:rsidR="00624497" w:rsidRPr="00A23740">
              <w:rPr>
                <w:b/>
                <w:bCs/>
                <w:color w:val="0000FF"/>
                <w:szCs w:val="24"/>
                <w:lang w:eastAsia="x-none"/>
              </w:rPr>
              <w:t xml:space="preserve"> </w:t>
            </w:r>
            <w:r w:rsidR="00412CAA" w:rsidRPr="005574AB">
              <w:rPr>
                <w:rStyle w:val="KonuBalChar"/>
                <w:rFonts w:eastAsia="Calibri"/>
                <w:color w:val="0000FF"/>
              </w:rPr>
              <w:t>511 inci</w:t>
            </w:r>
            <w:r w:rsidR="00412CAA" w:rsidRPr="005574AB">
              <w:rPr>
                <w:b/>
                <w:bCs/>
                <w:color w:val="0000FF"/>
                <w:szCs w:val="24"/>
                <w:lang w:eastAsia="x-none"/>
              </w:rPr>
              <w:t xml:space="preserve"> </w:t>
            </w:r>
            <w:r w:rsidR="00624497" w:rsidRPr="00A23740">
              <w:rPr>
                <w:b/>
                <w:bCs/>
                <w:color w:val="0000FF"/>
                <w:szCs w:val="24"/>
                <w:lang w:val="x-none" w:eastAsia="x-none"/>
              </w:rPr>
              <w:t xml:space="preserve">maddeye göre </w:t>
            </w:r>
            <w:r w:rsidR="00624497" w:rsidRPr="00A23740">
              <w:rPr>
                <w:b/>
                <w:bCs/>
                <w:color w:val="0000FF"/>
                <w:szCs w:val="24"/>
                <w:lang w:eastAsia="x-none"/>
              </w:rPr>
              <w:t>disiplin hapsi</w:t>
            </w:r>
            <w:r w:rsidR="00B77274" w:rsidRPr="005574AB">
              <w:rPr>
                <w:b/>
                <w:bCs/>
                <w:color w:val="0000FF"/>
                <w:szCs w:val="24"/>
                <w:lang w:eastAsia="x-none"/>
              </w:rPr>
              <w:t>yle</w:t>
            </w:r>
            <w:r w:rsidR="00624497" w:rsidRPr="00A23740">
              <w:rPr>
                <w:b/>
                <w:bCs/>
                <w:color w:val="0000FF"/>
                <w:szCs w:val="24"/>
                <w:lang w:eastAsia="x-none"/>
              </w:rPr>
              <w:t xml:space="preserve"> </w:t>
            </w:r>
            <w:r w:rsidR="00624497" w:rsidRPr="00A23740">
              <w:rPr>
                <w:b/>
                <w:bCs/>
                <w:color w:val="0000FF"/>
                <w:szCs w:val="24"/>
                <w:lang w:val="x-none" w:eastAsia="x-none"/>
              </w:rPr>
              <w:t>cezalandırılacağı</w:t>
            </w:r>
            <w:r w:rsidR="00624497" w:rsidRPr="00A23740">
              <w:rPr>
                <w:b/>
                <w:bCs/>
                <w:color w:val="0000FF"/>
                <w:szCs w:val="24"/>
                <w:lang w:eastAsia="x-none"/>
              </w:rPr>
              <w:t>;</w:t>
            </w:r>
            <w:r w:rsidR="00624497" w:rsidRPr="00A23740">
              <w:rPr>
                <w:b/>
                <w:bCs/>
                <w:color w:val="0000FF"/>
                <w:szCs w:val="24"/>
                <w:lang w:val="x-none" w:eastAsia="x-none"/>
              </w:rPr>
              <w:t xml:space="preserve"> gerçeğe aykırı bildirimde bulunması h</w:t>
            </w:r>
            <w:r w:rsidR="007256A9" w:rsidRPr="00A23740">
              <w:rPr>
                <w:b/>
                <w:bCs/>
                <w:color w:val="0000FF"/>
                <w:szCs w:val="24"/>
                <w:lang w:eastAsia="x-none"/>
              </w:rPr>
              <w:t>â</w:t>
            </w:r>
            <w:r w:rsidR="00624497" w:rsidRPr="00A23740">
              <w:rPr>
                <w:b/>
                <w:bCs/>
                <w:color w:val="0000FF"/>
                <w:szCs w:val="24"/>
                <w:lang w:val="x-none" w:eastAsia="x-none"/>
              </w:rPr>
              <w:t xml:space="preserve">linde ise </w:t>
            </w:r>
            <w:r w:rsidR="00412CAA" w:rsidRPr="005574AB">
              <w:rPr>
                <w:rStyle w:val="KonuBalChar"/>
                <w:rFonts w:eastAsia="Calibri"/>
                <w:color w:val="0000FF"/>
              </w:rPr>
              <w:t>518 inci</w:t>
            </w:r>
            <w:r w:rsidR="00412CAA" w:rsidRPr="005574AB">
              <w:rPr>
                <w:rStyle w:val="KIRMIZIChar"/>
                <w:rFonts w:eastAsia="Calibri"/>
                <w:strike w:val="0"/>
                <w:color w:val="0000FF"/>
              </w:rPr>
              <w:t xml:space="preserve"> </w:t>
            </w:r>
            <w:r w:rsidR="00624497" w:rsidRPr="00A23740">
              <w:rPr>
                <w:b/>
                <w:bCs/>
                <w:color w:val="0000FF"/>
                <w:szCs w:val="24"/>
                <w:lang w:val="x-none" w:eastAsia="x-none"/>
              </w:rPr>
              <w:t>madde uyarınca hapis cezası</w:t>
            </w:r>
            <w:r w:rsidR="00B77274" w:rsidRPr="005574AB">
              <w:rPr>
                <w:b/>
                <w:bCs/>
                <w:color w:val="0000FF"/>
                <w:szCs w:val="24"/>
                <w:lang w:val="x-none" w:eastAsia="x-none"/>
              </w:rPr>
              <w:t>yla</w:t>
            </w:r>
            <w:r w:rsidR="00624497" w:rsidRPr="00A23740">
              <w:rPr>
                <w:b/>
                <w:bCs/>
                <w:color w:val="0000FF"/>
                <w:szCs w:val="24"/>
                <w:lang w:val="x-none" w:eastAsia="x-none"/>
              </w:rPr>
              <w:t xml:space="preserve"> cezalandırılacağı</w:t>
            </w:r>
            <w:r w:rsidR="00B77274" w:rsidRPr="00A23740">
              <w:rPr>
                <w:b/>
                <w:bCs/>
                <w:color w:val="0000FF"/>
                <w:szCs w:val="24"/>
                <w:lang w:val="x-none" w:eastAsia="x-none"/>
              </w:rPr>
              <w:t>.</w:t>
            </w:r>
            <w:r w:rsidR="00624497" w:rsidRPr="00A23740">
              <w:rPr>
                <w:b/>
                <w:bCs/>
                <w:color w:val="0000FF"/>
                <w:szCs w:val="24"/>
                <w:lang w:val="x-none" w:eastAsia="x-none"/>
              </w:rPr>
              <w:t xml:space="preserve"> </w:t>
            </w:r>
          </w:p>
          <w:p w:rsidR="0080239A" w:rsidRDefault="0080239A" w:rsidP="009431FF">
            <w:pPr>
              <w:tabs>
                <w:tab w:val="left" w:pos="567"/>
              </w:tabs>
              <w:rPr>
                <w:b/>
                <w:bCs/>
                <w:color w:val="0000FF"/>
                <w:szCs w:val="24"/>
                <w:lang w:val="x-none" w:eastAsia="x-none"/>
              </w:rPr>
            </w:pPr>
          </w:p>
          <w:p w:rsidR="0080239A" w:rsidRDefault="0080239A" w:rsidP="009431FF">
            <w:pPr>
              <w:tabs>
                <w:tab w:val="left" w:pos="567"/>
              </w:tabs>
              <w:rPr>
                <w:b/>
                <w:bCs/>
                <w:color w:val="0000FF"/>
                <w:szCs w:val="24"/>
                <w:lang w:val="x-none" w:eastAsia="x-none"/>
              </w:rPr>
            </w:pPr>
          </w:p>
          <w:p w:rsidR="0080239A" w:rsidRDefault="0080239A" w:rsidP="009431FF">
            <w:pPr>
              <w:tabs>
                <w:tab w:val="left" w:pos="567"/>
              </w:tabs>
              <w:rPr>
                <w:b/>
                <w:bCs/>
                <w:color w:val="0000FF"/>
                <w:szCs w:val="24"/>
                <w:lang w:val="x-none" w:eastAsia="x-none"/>
              </w:rPr>
            </w:pPr>
          </w:p>
          <w:p w:rsidR="00155AF4" w:rsidRPr="00A23740" w:rsidRDefault="00155AF4" w:rsidP="009431FF">
            <w:pPr>
              <w:tabs>
                <w:tab w:val="left" w:pos="566"/>
              </w:tabs>
              <w:rPr>
                <w:rFonts w:eastAsia="ヒラギノ明朝 Pro W3"/>
                <w:b/>
                <w:color w:val="339933"/>
                <w:szCs w:val="24"/>
              </w:rPr>
            </w:pPr>
          </w:p>
        </w:tc>
      </w:tr>
      <w:tr w:rsidR="00895D8A" w:rsidRPr="00A23740" w:rsidTr="009431FF">
        <w:tc>
          <w:tcPr>
            <w:tcW w:w="5000" w:type="pct"/>
            <w:gridSpan w:val="2"/>
            <w:shd w:val="clear" w:color="auto" w:fill="DEEAF6"/>
          </w:tcPr>
          <w:p w:rsidR="0080239A" w:rsidRDefault="0080239A" w:rsidP="009431FF">
            <w:pPr>
              <w:ind w:firstLine="567"/>
              <w:rPr>
                <w:b/>
                <w:bCs/>
                <w:szCs w:val="24"/>
                <w:lang w:eastAsia="x-none"/>
              </w:rPr>
            </w:pPr>
          </w:p>
          <w:p w:rsidR="00895D8A" w:rsidRPr="00A23740" w:rsidRDefault="004A1F89" w:rsidP="009431FF">
            <w:pPr>
              <w:ind w:firstLine="567"/>
              <w:rPr>
                <w:szCs w:val="24"/>
              </w:rPr>
            </w:pPr>
            <w:r w:rsidRPr="00A23740">
              <w:rPr>
                <w:b/>
                <w:bCs/>
                <w:szCs w:val="24"/>
                <w:lang w:eastAsia="x-none"/>
              </w:rPr>
              <w:t>MADDE 123</w:t>
            </w:r>
            <w:r w:rsidR="00895D8A" w:rsidRPr="00A23740">
              <w:rPr>
                <w:b/>
                <w:bCs/>
                <w:szCs w:val="24"/>
                <w:lang w:eastAsia="x-none"/>
              </w:rPr>
              <w:t xml:space="preserve">- </w:t>
            </w:r>
            <w:r w:rsidR="00895D8A" w:rsidRPr="00A23740">
              <w:rPr>
                <w:bCs/>
                <w:szCs w:val="24"/>
                <w:lang w:eastAsia="x-none"/>
              </w:rPr>
              <w:t xml:space="preserve">Maddeyle, ipoteğin paraya çevrilmesine ilişkin takipte ödeme emrine ilişkin hususlar düzenlenmektedir. </w:t>
            </w:r>
            <w:r w:rsidR="00895D8A" w:rsidRPr="00A23740">
              <w:rPr>
                <w:szCs w:val="24"/>
              </w:rPr>
              <w:t>İpoteğin türüne bağlı olarak ipotek sözleşmesinin kayıtsız şartsız bir para borcunu havi olmaması h</w:t>
            </w:r>
            <w:r w:rsidR="00F906A7" w:rsidRPr="00A23740">
              <w:rPr>
                <w:szCs w:val="24"/>
              </w:rPr>
              <w:t>â</w:t>
            </w:r>
            <w:r w:rsidR="00895D8A" w:rsidRPr="00A23740">
              <w:rPr>
                <w:szCs w:val="24"/>
              </w:rPr>
              <w:t>linde icra ve iflas müdürü takip talebi üzerine bir ödeme emri düzenleyecektir.</w:t>
            </w:r>
          </w:p>
          <w:p w:rsidR="00895D8A" w:rsidRPr="00A23740" w:rsidRDefault="00895D8A" w:rsidP="009431FF">
            <w:pPr>
              <w:ind w:firstLine="567"/>
              <w:rPr>
                <w:szCs w:val="24"/>
              </w:rPr>
            </w:pPr>
            <w:r w:rsidRPr="00A23740">
              <w:rPr>
                <w:szCs w:val="24"/>
              </w:rPr>
              <w:t>2004 sayılı Kanunun 149/b maddesinde yer alan “muaccel alacaklar” ibaresi, ilmi içtihatlardaki hâkim görüş doğrultusunda yeni kanuna alınmamıştır. Şu h</w:t>
            </w:r>
            <w:r w:rsidR="00F906A7" w:rsidRPr="00A23740">
              <w:rPr>
                <w:szCs w:val="24"/>
              </w:rPr>
              <w:t>â</w:t>
            </w:r>
            <w:r w:rsidRPr="00A23740">
              <w:rPr>
                <w:szCs w:val="24"/>
              </w:rPr>
              <w:t xml:space="preserve">lde ipoteğin paraya çevrilmesi yoluyla ilamsız takip talebini alan icra </w:t>
            </w:r>
            <w:r w:rsidR="007D74DD" w:rsidRPr="00A23740">
              <w:rPr>
                <w:color w:val="385623"/>
              </w:rPr>
              <w:t>ve iflas</w:t>
            </w:r>
            <w:r w:rsidR="007D74DD" w:rsidRPr="00A23740">
              <w:rPr>
                <w:b/>
                <w:color w:val="385623"/>
              </w:rPr>
              <w:t xml:space="preserve"> </w:t>
            </w:r>
            <w:r w:rsidRPr="00A23740">
              <w:rPr>
                <w:szCs w:val="24"/>
              </w:rPr>
              <w:t>müdürünün alacağın muaccel olup olmadığını araştırması gerekmemektedir ve mümkün değildir. Zira ipotek sözleşmesinin kayıtsız şartsız borç ikrarını ihtiva ettiği h</w:t>
            </w:r>
            <w:r w:rsidR="00F906A7" w:rsidRPr="00A23740">
              <w:rPr>
                <w:szCs w:val="24"/>
              </w:rPr>
              <w:t>â</w:t>
            </w:r>
            <w:r w:rsidRPr="00A23740">
              <w:rPr>
                <w:szCs w:val="24"/>
              </w:rPr>
              <w:t>llerin aksine ipoteğin paraya çevrilmesi yoluyla ilamsız takip yapılan h</w:t>
            </w:r>
            <w:r w:rsidR="00F906A7" w:rsidRPr="00A23740">
              <w:rPr>
                <w:szCs w:val="24"/>
              </w:rPr>
              <w:t>â</w:t>
            </w:r>
            <w:r w:rsidRPr="00A23740">
              <w:rPr>
                <w:szCs w:val="24"/>
              </w:rPr>
              <w:t>llerde ipotek sözleşmesinden alacağın muaccel olup olmadığı anlaşılmayacak, çoğu zaman bu hususun aydınlatılması yargılamayı gerektirecektir</w:t>
            </w:r>
            <w:r w:rsidR="00AB0B9C" w:rsidRPr="00A23740">
              <w:rPr>
                <w:szCs w:val="24"/>
              </w:rPr>
              <w:t>.</w:t>
            </w:r>
          </w:p>
          <w:p w:rsidR="00895D8A" w:rsidRPr="00A23740" w:rsidRDefault="00895D8A" w:rsidP="009431FF">
            <w:pPr>
              <w:ind w:firstLine="567"/>
              <w:rPr>
                <w:szCs w:val="24"/>
              </w:rPr>
            </w:pPr>
            <w:r w:rsidRPr="00A23740">
              <w:rPr>
                <w:szCs w:val="24"/>
              </w:rPr>
              <w:t>İcra müdürü bu ödeme emrini, takip talebinin verilmesinden itibaren en geç üç gün içinde, asıl borçluya, varsa ipotekli taşınmazın maliki üçüncü kişiye (ki</w:t>
            </w:r>
            <w:r w:rsidR="003116D6" w:rsidRPr="00A23740">
              <w:rPr>
                <w:szCs w:val="24"/>
              </w:rPr>
              <w:t>,</w:t>
            </w:r>
            <w:r w:rsidRPr="00A23740">
              <w:rPr>
                <w:szCs w:val="24"/>
              </w:rPr>
              <w:t xml:space="preserve"> bu malik taşınmazı ipotek kurulduktan sonra da devralmış olabilir) ve ipotekli taşınmaz bir aile konutu ise eşe gönderecektir. Söz konusu ödeme emrine, takip talebi ile birlikte verilmiş olan ipotek sözleşmesinin b</w:t>
            </w:r>
            <w:r w:rsidR="004A1F89" w:rsidRPr="00A23740">
              <w:rPr>
                <w:szCs w:val="24"/>
              </w:rPr>
              <w:t>ir örneği de eklenecektir. Bu hâ</w:t>
            </w:r>
            <w:r w:rsidRPr="00A23740">
              <w:rPr>
                <w:szCs w:val="24"/>
              </w:rPr>
              <w:t xml:space="preserve">lde kendisine ödeme emri tebliğ edilen eşin durumu borçtan sorumlu olmayan taşınmaz maliki üçüncü kişinin durumu gibidir. </w:t>
            </w:r>
          </w:p>
          <w:p w:rsidR="00895D8A" w:rsidRPr="00A23740" w:rsidRDefault="00895D8A" w:rsidP="009431FF">
            <w:pPr>
              <w:ind w:firstLine="567"/>
              <w:rPr>
                <w:szCs w:val="24"/>
              </w:rPr>
            </w:pPr>
            <w:r w:rsidRPr="00A23740">
              <w:rPr>
                <w:szCs w:val="24"/>
              </w:rPr>
              <w:t>İcra ve iflas müdürü, taşınmazın aile konutu olduğu tapu kaydından anlaşılıyor</w:t>
            </w:r>
            <w:r w:rsidR="003116D6" w:rsidRPr="00A23740">
              <w:rPr>
                <w:szCs w:val="24"/>
              </w:rPr>
              <w:t>sa</w:t>
            </w:r>
            <w:r w:rsidRPr="00A23740">
              <w:rPr>
                <w:szCs w:val="24"/>
              </w:rPr>
              <w:t xml:space="preserve"> resen eşe de tebligat yapacaktır. Buna mukabil, taşınmazın aile konutu olduğu tapu kaydından anlaşılmıyorsa dahi</w:t>
            </w:r>
            <w:r w:rsidR="004A1F89" w:rsidRPr="00A23740">
              <w:rPr>
                <w:szCs w:val="24"/>
              </w:rPr>
              <w:t>,</w:t>
            </w:r>
            <w:r w:rsidRPr="00A23740">
              <w:rPr>
                <w:szCs w:val="24"/>
              </w:rPr>
              <w:t xml:space="preserve"> borçlunun evli olması ve ipotekli taşınmazın tapuda mesk</w:t>
            </w:r>
            <w:r w:rsidR="003526F6" w:rsidRPr="00A23740">
              <w:rPr>
                <w:szCs w:val="24"/>
              </w:rPr>
              <w:t xml:space="preserve">en </w:t>
            </w:r>
            <w:r w:rsidR="003116D6" w:rsidRPr="00A23740">
              <w:rPr>
                <w:szCs w:val="24"/>
              </w:rPr>
              <w:t xml:space="preserve"> olarak </w:t>
            </w:r>
            <w:r w:rsidR="003526F6" w:rsidRPr="00A23740">
              <w:rPr>
                <w:szCs w:val="24"/>
              </w:rPr>
              <w:t>kayıtlı olması hâ</w:t>
            </w:r>
            <w:r w:rsidRPr="00A23740">
              <w:rPr>
                <w:szCs w:val="24"/>
              </w:rPr>
              <w:t xml:space="preserve">linde </w:t>
            </w:r>
            <w:r w:rsidR="003526F6" w:rsidRPr="005574AB">
              <w:rPr>
                <w:bCs/>
                <w:szCs w:val="24"/>
              </w:rPr>
              <w:t>de</w:t>
            </w:r>
            <w:r w:rsidR="003526F6" w:rsidRPr="00A23740">
              <w:rPr>
                <w:rStyle w:val="Balk1Char"/>
                <w:rFonts w:eastAsia="Calibri"/>
                <w:b w:val="0"/>
              </w:rPr>
              <w:t xml:space="preserve"> </w:t>
            </w:r>
            <w:r w:rsidR="003526F6" w:rsidRPr="005574AB">
              <w:rPr>
                <w:bCs/>
                <w:szCs w:val="24"/>
              </w:rPr>
              <w:t>eşe</w:t>
            </w:r>
            <w:r w:rsidR="003526F6" w:rsidRPr="00A23740">
              <w:rPr>
                <w:szCs w:val="24"/>
              </w:rPr>
              <w:t xml:space="preserve"> </w:t>
            </w:r>
            <w:r w:rsidRPr="00A23740">
              <w:rPr>
                <w:szCs w:val="24"/>
              </w:rPr>
              <w:t>tebligat yapılacaktır. Bu hususlar yönetmelikte düzenlenecektir.</w:t>
            </w:r>
          </w:p>
          <w:p w:rsidR="00895D8A" w:rsidRPr="00A23740" w:rsidRDefault="00895D8A" w:rsidP="009431FF">
            <w:pPr>
              <w:ind w:firstLine="567"/>
              <w:rPr>
                <w:bCs/>
                <w:szCs w:val="24"/>
              </w:rPr>
            </w:pPr>
            <w:r w:rsidRPr="00A23740">
              <w:rPr>
                <w:bCs/>
                <w:szCs w:val="24"/>
              </w:rPr>
              <w:t>Eş takip arkadaşı olarak, diğer eşin ileri sürebileceği itiraz ve şikâyetleri ileri sürebilecektir. İpoteğin aile konutu olması ve eşin muvafakatinin alınmamış olması sebebiyle geçersizliği iddiası ise ancak mahkemede dava yoluyla ileri sürülebilecektir.</w:t>
            </w:r>
          </w:p>
          <w:p w:rsidR="00895D8A" w:rsidRPr="00A23740" w:rsidRDefault="00895D8A" w:rsidP="009431FF">
            <w:pPr>
              <w:ind w:firstLine="567"/>
              <w:rPr>
                <w:bCs/>
                <w:szCs w:val="24"/>
              </w:rPr>
            </w:pPr>
            <w:r w:rsidRPr="00A23740">
              <w:rPr>
                <w:bCs/>
                <w:szCs w:val="24"/>
              </w:rPr>
              <w:t xml:space="preserve">Takip talebi kabul edilmediğinde izlenecek prosedür de açıklığa kavuşturulmuş ve icra </w:t>
            </w:r>
            <w:r w:rsidR="005A63D3" w:rsidRPr="005574AB">
              <w:t>ve</w:t>
            </w:r>
            <w:r w:rsidR="005A63D3" w:rsidRPr="005574AB">
              <w:rPr>
                <w:b/>
              </w:rPr>
              <w:t xml:space="preserve"> </w:t>
            </w:r>
            <w:r w:rsidR="005A63D3" w:rsidRPr="005574AB">
              <w:rPr>
                <w:szCs w:val="24"/>
              </w:rPr>
              <w:t>iflas</w:t>
            </w:r>
            <w:r w:rsidR="005A63D3" w:rsidRPr="00A23740">
              <w:rPr>
                <w:bCs/>
                <w:szCs w:val="24"/>
              </w:rPr>
              <w:t xml:space="preserve"> </w:t>
            </w:r>
            <w:r w:rsidRPr="00A23740">
              <w:rPr>
                <w:bCs/>
                <w:szCs w:val="24"/>
              </w:rPr>
              <w:t>müdürü tarafından yapılacak işlemler hüküm altına alınmıştır.</w:t>
            </w:r>
          </w:p>
          <w:p w:rsidR="00895D8A" w:rsidRPr="00A23740" w:rsidRDefault="00895D8A" w:rsidP="0080239A">
            <w:pPr>
              <w:ind w:firstLine="567"/>
              <w:rPr>
                <w:b/>
                <w:bCs/>
                <w:szCs w:val="24"/>
                <w:lang w:eastAsia="x-none"/>
              </w:rPr>
            </w:pPr>
            <w:r w:rsidRPr="00A23740">
              <w:rPr>
                <w:bCs/>
                <w:szCs w:val="24"/>
              </w:rPr>
              <w:t xml:space="preserve">Üçüncü fıkrada ödeme emrinin içeriği ayrıntılı olarak düzenlenmiştir. Buna göre </w:t>
            </w:r>
            <w:r w:rsidR="004A1F89" w:rsidRPr="005574AB">
              <w:rPr>
                <w:bCs/>
                <w:szCs w:val="24"/>
              </w:rPr>
              <w:t>borç</w:t>
            </w:r>
            <w:r w:rsidR="004A1F89" w:rsidRPr="00A23740">
              <w:rPr>
                <w:bCs/>
                <w:szCs w:val="24"/>
              </w:rPr>
              <w:t xml:space="preserve"> </w:t>
            </w:r>
            <w:r w:rsidRPr="00A23740">
              <w:rPr>
                <w:bCs/>
                <w:szCs w:val="24"/>
              </w:rPr>
              <w:t xml:space="preserve">iki ay içinde </w:t>
            </w:r>
            <w:r w:rsidR="004A1F89" w:rsidRPr="005574AB">
              <w:rPr>
                <w:bCs/>
                <w:szCs w:val="24"/>
              </w:rPr>
              <w:t>ödenmez</w:t>
            </w:r>
            <w:r w:rsidR="004A1F89" w:rsidRPr="00A23740">
              <w:rPr>
                <w:bCs/>
                <w:szCs w:val="24"/>
              </w:rPr>
              <w:t xml:space="preserve"> </w:t>
            </w:r>
            <w:r w:rsidRPr="00A23740">
              <w:rPr>
                <w:bCs/>
                <w:szCs w:val="24"/>
              </w:rPr>
              <w:t>yahut iki hafta içinde ödeme emrine itiraz edilmezse</w:t>
            </w:r>
            <w:r w:rsidR="004A1F89" w:rsidRPr="005574AB">
              <w:rPr>
                <w:bCs/>
                <w:szCs w:val="24"/>
              </w:rPr>
              <w:t>,</w:t>
            </w:r>
            <w:r w:rsidRPr="00A23740">
              <w:rPr>
                <w:bCs/>
                <w:szCs w:val="24"/>
              </w:rPr>
              <w:t xml:space="preserve"> </w:t>
            </w:r>
            <w:r w:rsidR="004A1F89" w:rsidRPr="00A23740">
              <w:rPr>
                <w:bCs/>
                <w:szCs w:val="24"/>
              </w:rPr>
              <w:t xml:space="preserve">satış </w:t>
            </w:r>
            <w:r w:rsidR="004A1F89" w:rsidRPr="005574AB">
              <w:rPr>
                <w:bCs/>
                <w:szCs w:val="24"/>
              </w:rPr>
              <w:t>istenebileceği</w:t>
            </w:r>
            <w:r w:rsidR="004A1F89" w:rsidRPr="00A23740">
              <w:rPr>
                <w:bCs/>
                <w:szCs w:val="24"/>
              </w:rPr>
              <w:t xml:space="preserve"> </w:t>
            </w:r>
            <w:r w:rsidRPr="00A23740">
              <w:rPr>
                <w:bCs/>
                <w:szCs w:val="24"/>
              </w:rPr>
              <w:t>borçluya bildirilecektir. Bu h</w:t>
            </w:r>
            <w:r w:rsidR="00F906A7" w:rsidRPr="00A23740">
              <w:rPr>
                <w:bCs/>
                <w:szCs w:val="24"/>
              </w:rPr>
              <w:t>â</w:t>
            </w:r>
            <w:r w:rsidRPr="00A23740">
              <w:rPr>
                <w:bCs/>
                <w:szCs w:val="24"/>
              </w:rPr>
              <w:t xml:space="preserve">lde borçlunun, varsa taşınmazdaki </w:t>
            </w:r>
            <w:r w:rsidRPr="005574AB">
              <w:rPr>
                <w:szCs w:val="24"/>
              </w:rPr>
              <w:t>kiracıya</w:t>
            </w:r>
            <w:r w:rsidRPr="00A23740">
              <w:rPr>
                <w:bCs/>
                <w:szCs w:val="24"/>
              </w:rPr>
              <w:t xml:space="preserve"> ait bilgiler ve kira alacağının miktarını bildirmek zorunda olduğu, aksi h</w:t>
            </w:r>
            <w:r w:rsidR="00F906A7" w:rsidRPr="00A23740">
              <w:rPr>
                <w:bCs/>
                <w:szCs w:val="24"/>
              </w:rPr>
              <w:t>â</w:t>
            </w:r>
            <w:r w:rsidRPr="00A23740">
              <w:rPr>
                <w:bCs/>
                <w:szCs w:val="24"/>
              </w:rPr>
              <w:t xml:space="preserve">lde </w:t>
            </w:r>
            <w:r w:rsidR="00F34DDE" w:rsidRPr="005574AB">
              <w:rPr>
                <w:bCs/>
                <w:szCs w:val="24"/>
              </w:rPr>
              <w:t>511</w:t>
            </w:r>
            <w:r w:rsidR="00F34DDE" w:rsidRPr="00A23740">
              <w:rPr>
                <w:rStyle w:val="KonuBalChar"/>
                <w:rFonts w:eastAsia="Calibri"/>
                <w:b w:val="0"/>
              </w:rPr>
              <w:t xml:space="preserve"> </w:t>
            </w:r>
            <w:r w:rsidR="00F34DDE" w:rsidRPr="005574AB">
              <w:rPr>
                <w:bCs/>
                <w:szCs w:val="24"/>
              </w:rPr>
              <w:t>inci</w:t>
            </w:r>
            <w:r w:rsidR="00F34DDE" w:rsidRPr="00A23740">
              <w:rPr>
                <w:b/>
                <w:bCs/>
                <w:color w:val="0000FF"/>
                <w:szCs w:val="24"/>
                <w:lang w:eastAsia="x-none"/>
              </w:rPr>
              <w:t xml:space="preserve"> </w:t>
            </w:r>
            <w:r w:rsidRPr="00A23740">
              <w:rPr>
                <w:bCs/>
                <w:szCs w:val="24"/>
              </w:rPr>
              <w:t>maddeye göre</w:t>
            </w:r>
            <w:r w:rsidR="00F34DDE" w:rsidRPr="00A23740">
              <w:rPr>
                <w:bCs/>
                <w:szCs w:val="24"/>
              </w:rPr>
              <w:t xml:space="preserve">; </w:t>
            </w:r>
            <w:r w:rsidR="00F34DDE" w:rsidRPr="005574AB">
              <w:rPr>
                <w:bCs/>
                <w:szCs w:val="24"/>
              </w:rPr>
              <w:t>gerçeğe aykırı bildirimde bulunması hâlinde ise</w:t>
            </w:r>
            <w:r w:rsidR="00F34DDE" w:rsidRPr="005574AB">
              <w:rPr>
                <w:szCs w:val="24"/>
              </w:rPr>
              <w:t xml:space="preserve"> </w:t>
            </w:r>
            <w:r w:rsidR="00F34DDE" w:rsidRPr="005574AB">
              <w:rPr>
                <w:bCs/>
                <w:szCs w:val="24"/>
              </w:rPr>
              <w:t>518 inci</w:t>
            </w:r>
            <w:r w:rsidR="00F34DDE" w:rsidRPr="00A23740">
              <w:rPr>
                <w:rStyle w:val="KIRMIZIChar"/>
                <w:rFonts w:eastAsia="Calibri"/>
                <w:b w:val="0"/>
                <w:strike w:val="0"/>
              </w:rPr>
              <w:t xml:space="preserve"> </w:t>
            </w:r>
            <w:r w:rsidR="00F34DDE" w:rsidRPr="005574AB">
              <w:rPr>
                <w:bCs/>
                <w:szCs w:val="24"/>
              </w:rPr>
              <w:t>madde</w:t>
            </w:r>
            <w:r w:rsidR="00F34DDE" w:rsidRPr="00A23740">
              <w:rPr>
                <w:rStyle w:val="KonuBalChar"/>
                <w:rFonts w:eastAsia="Calibri"/>
                <w:b w:val="0"/>
              </w:rPr>
              <w:t xml:space="preserve"> </w:t>
            </w:r>
            <w:r w:rsidR="00F34DDE" w:rsidRPr="005574AB">
              <w:rPr>
                <w:bCs/>
                <w:szCs w:val="24"/>
              </w:rPr>
              <w:t>uyarınca</w:t>
            </w:r>
            <w:r w:rsidR="00F34DDE" w:rsidRPr="00A23740">
              <w:rPr>
                <w:rStyle w:val="KonuBalChar"/>
                <w:rFonts w:eastAsia="Calibri"/>
                <w:b w:val="0"/>
              </w:rPr>
              <w:t xml:space="preserve"> </w:t>
            </w:r>
            <w:r w:rsidR="00F34DDE" w:rsidRPr="005574AB">
              <w:rPr>
                <w:bCs/>
                <w:szCs w:val="24"/>
              </w:rPr>
              <w:t>hapis</w:t>
            </w:r>
            <w:r w:rsidR="00F34DDE" w:rsidRPr="00A23740">
              <w:rPr>
                <w:rStyle w:val="KonuBalChar"/>
                <w:rFonts w:eastAsia="Calibri"/>
                <w:b w:val="0"/>
              </w:rPr>
              <w:t xml:space="preserve"> </w:t>
            </w:r>
            <w:r w:rsidR="00F34DDE" w:rsidRPr="005574AB">
              <w:rPr>
                <w:bCs/>
                <w:szCs w:val="24"/>
              </w:rPr>
              <w:t>cezası</w:t>
            </w:r>
            <w:r w:rsidR="005A63D3" w:rsidRPr="005574AB">
              <w:rPr>
                <w:bCs/>
                <w:szCs w:val="24"/>
              </w:rPr>
              <w:t>yla</w:t>
            </w:r>
            <w:r w:rsidR="00F34DDE" w:rsidRPr="00A23740">
              <w:rPr>
                <w:rStyle w:val="KonuBalChar"/>
                <w:rFonts w:eastAsia="Calibri"/>
              </w:rPr>
              <w:t xml:space="preserve"> </w:t>
            </w:r>
            <w:r w:rsidRPr="00A23740">
              <w:rPr>
                <w:bCs/>
                <w:szCs w:val="24"/>
              </w:rPr>
              <w:t xml:space="preserve">cezalandırılacağı ihtarına da </w:t>
            </w:r>
            <w:r w:rsidR="003116D6" w:rsidRPr="00A23740">
              <w:rPr>
                <w:bCs/>
                <w:szCs w:val="24"/>
              </w:rPr>
              <w:t xml:space="preserve">ödeme emrinde </w:t>
            </w:r>
            <w:r w:rsidRPr="00A23740">
              <w:rPr>
                <w:bCs/>
                <w:szCs w:val="24"/>
              </w:rPr>
              <w:t>yer verilecektir.</w:t>
            </w:r>
          </w:p>
          <w:p w:rsidR="00895D8A" w:rsidRPr="00A23740" w:rsidRDefault="00895D8A" w:rsidP="0080239A">
            <w:pPr>
              <w:tabs>
                <w:tab w:val="left" w:pos="567"/>
              </w:tabs>
              <w:ind w:firstLine="567"/>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Ödeme emrine itiraz</w:t>
            </w:r>
            <w:r w:rsidRPr="00A23740">
              <w:rPr>
                <w:b/>
                <w:strike/>
                <w:color w:val="FF0000"/>
                <w:szCs w:val="24"/>
                <w:lang w:eastAsia="tr-TR"/>
              </w:rPr>
              <w:t>:</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Madde 150 – (1) (Değişik</w:t>
            </w:r>
            <w:r w:rsidRPr="00A23740">
              <w:rPr>
                <w:b/>
                <w:strike/>
                <w:color w:val="FF0000"/>
                <w:szCs w:val="24"/>
                <w:lang w:eastAsia="tr-TR"/>
              </w:rPr>
              <w:t xml:space="preserve">: 18/2/1965 - 538/71 md.) </w:t>
            </w:r>
          </w:p>
          <w:p w:rsidR="00155AF4" w:rsidRPr="00A23740" w:rsidRDefault="00155AF4" w:rsidP="009431FF">
            <w:pPr>
              <w:tabs>
                <w:tab w:val="left" w:pos="567"/>
              </w:tabs>
              <w:autoSpaceDE w:val="0"/>
              <w:autoSpaceDN w:val="0"/>
              <w:adjustRightInd w:val="0"/>
              <w:rPr>
                <w:szCs w:val="24"/>
              </w:rPr>
            </w:pPr>
            <w:r w:rsidRPr="00A23740">
              <w:rPr>
                <w:szCs w:val="24"/>
              </w:rPr>
              <w:t xml:space="preserve">Borçlu </w:t>
            </w:r>
            <w:r w:rsidRPr="00A23740">
              <w:rPr>
                <w:b/>
                <w:strike/>
                <w:color w:val="FF0000"/>
                <w:szCs w:val="24"/>
                <w:lang w:eastAsia="tr-TR"/>
              </w:rPr>
              <w:t>veya</w:t>
            </w:r>
            <w:r w:rsidRPr="00A23740">
              <w:rPr>
                <w:szCs w:val="24"/>
              </w:rPr>
              <w:t xml:space="preserve"> üçüncü </w:t>
            </w:r>
            <w:r w:rsidRPr="00A23740">
              <w:rPr>
                <w:b/>
                <w:strike/>
                <w:color w:val="FF0000"/>
                <w:szCs w:val="24"/>
                <w:lang w:eastAsia="tr-TR"/>
              </w:rPr>
              <w:t>şahıs</w:t>
            </w:r>
            <w:r w:rsidRPr="00A23740">
              <w:rPr>
                <w:szCs w:val="24"/>
              </w:rPr>
              <w:t xml:space="preserve"> ödeme emrinin tebliğinden itibaren </w:t>
            </w:r>
            <w:r w:rsidRPr="00A23740">
              <w:rPr>
                <w:b/>
                <w:strike/>
                <w:color w:val="FF0000"/>
                <w:szCs w:val="24"/>
                <w:lang w:eastAsia="tr-TR"/>
              </w:rPr>
              <w:t>yedi gün</w:t>
            </w:r>
            <w:r w:rsidRPr="00A23740">
              <w:rPr>
                <w:szCs w:val="24"/>
              </w:rPr>
              <w:t xml:space="preserve"> içinde itirazda bulunabilir</w:t>
            </w:r>
            <w:r w:rsidRPr="00A23740">
              <w:rPr>
                <w:b/>
                <w:bCs/>
                <w:strike/>
                <w:color w:val="FF0000"/>
                <w:szCs w:val="24"/>
              </w:rPr>
              <w:t>ler</w:t>
            </w:r>
            <w:r w:rsidRPr="00A23740">
              <w:rPr>
                <w:szCs w:val="24"/>
              </w:rPr>
              <w:t xml:space="preserve">. </w:t>
            </w:r>
            <w:r w:rsidRPr="00A23740">
              <w:rPr>
                <w:b/>
                <w:bCs/>
                <w:strike/>
                <w:color w:val="FF0000"/>
                <w:szCs w:val="24"/>
              </w:rPr>
              <w:t>Ancak, rehin hakkı itiraz konusu yapılamaz. İpoteğin iptali hakkında dava açılması halinde 72 nci madde hükümleri kıyasen uygulanır.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w:t>
            </w:r>
            <w:r w:rsidRPr="00A23740">
              <w:rPr>
                <w:szCs w:val="24"/>
              </w:rPr>
              <w:t xml:space="preserve"> Ödeme emrine itiraz </w:t>
            </w:r>
            <w:r w:rsidRPr="00A23740">
              <w:t>hakkında</w:t>
            </w:r>
            <w:r w:rsidRPr="00A23740">
              <w:rPr>
                <w:szCs w:val="24"/>
              </w:rPr>
              <w:t xml:space="preserve"> </w:t>
            </w:r>
            <w:r w:rsidRPr="00A23740">
              <w:rPr>
                <w:b/>
                <w:bCs/>
                <w:strike/>
                <w:color w:val="FF0000"/>
                <w:szCs w:val="24"/>
              </w:rPr>
              <w:t>62 den 72</w:t>
            </w:r>
            <w:r w:rsidRPr="00A23740">
              <w:rPr>
                <w:szCs w:val="24"/>
              </w:rPr>
              <w:t xml:space="preserve"> nci madde</w:t>
            </w:r>
            <w:r w:rsidRPr="00A23740">
              <w:rPr>
                <w:b/>
                <w:bCs/>
                <w:strike/>
                <w:color w:val="FF0000"/>
                <w:szCs w:val="24"/>
              </w:rPr>
              <w:t xml:space="preserve">ye kadar olan </w:t>
            </w:r>
            <w:r w:rsidRPr="00A23740">
              <w:rPr>
                <w:szCs w:val="24"/>
              </w:rPr>
              <w:t>hükümler uygulanır.</w:t>
            </w:r>
          </w:p>
          <w:p w:rsidR="00155AF4" w:rsidRDefault="00155AF4" w:rsidP="009431FF">
            <w:pPr>
              <w:tabs>
                <w:tab w:val="left" w:pos="567"/>
              </w:tabs>
              <w:autoSpaceDE w:val="0"/>
              <w:autoSpaceDN w:val="0"/>
              <w:adjustRightInd w:val="0"/>
              <w:rPr>
                <w:szCs w:val="24"/>
              </w:rPr>
            </w:pPr>
            <w:r w:rsidRPr="00A23740">
              <w:rPr>
                <w:szCs w:val="24"/>
              </w:rPr>
              <w:t>(150/a maddesinin birinci fıkrasının birinci cümlesi)</w:t>
            </w:r>
          </w:p>
          <w:p w:rsidR="00155AF4" w:rsidRPr="00A23740" w:rsidRDefault="00155AF4" w:rsidP="009431FF">
            <w:pPr>
              <w:tabs>
                <w:tab w:val="left" w:pos="567"/>
              </w:tabs>
              <w:autoSpaceDE w:val="0"/>
              <w:autoSpaceDN w:val="0"/>
              <w:adjustRightInd w:val="0"/>
              <w:rPr>
                <w:szCs w:val="24"/>
              </w:rPr>
            </w:pPr>
          </w:p>
          <w:p w:rsidR="00155AF4" w:rsidRPr="00A23740" w:rsidRDefault="000C120D" w:rsidP="009431FF">
            <w:pPr>
              <w:tabs>
                <w:tab w:val="left" w:pos="567"/>
              </w:tabs>
              <w:autoSpaceDE w:val="0"/>
              <w:autoSpaceDN w:val="0"/>
              <w:adjustRightInd w:val="0"/>
              <w:rPr>
                <w:szCs w:val="24"/>
              </w:rPr>
            </w:pPr>
            <w:r>
              <w:rPr>
                <w:b/>
                <w:bCs/>
                <w:color w:val="FF0000"/>
                <w:szCs w:val="24"/>
              </w:rPr>
              <w:t>(M.150/F1.</w:t>
            </w:r>
            <w:r w:rsidR="00155AF4" w:rsidRPr="00A23740">
              <w:rPr>
                <w:b/>
                <w:bCs/>
                <w:color w:val="FF0000"/>
                <w:szCs w:val="24"/>
              </w:rPr>
              <w:t>C2-3)</w:t>
            </w:r>
            <w:r w:rsidR="00155AF4" w:rsidRPr="00A23740">
              <w:rPr>
                <w:szCs w:val="24"/>
              </w:rPr>
              <w:t xml:space="preserve"> Ancak, rehin hakkı itiraz konusu yapılamaz. İpoteğin iptali hakkında dava açılması halinde 72 nci madde hükümleri kıyasen uygulanır.</w:t>
            </w: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 xml:space="preserve">Ödeme emrine itiraz </w:t>
            </w:r>
            <w:r w:rsidRPr="00A23740">
              <w:rPr>
                <w:b/>
                <w:bCs/>
                <w:color w:val="0000FF"/>
                <w:szCs w:val="24"/>
                <w:lang w:val="x-none" w:eastAsia="x-none"/>
              </w:rPr>
              <w:t>ve itirazın iptali</w:t>
            </w:r>
          </w:p>
          <w:p w:rsidR="00155AF4" w:rsidRPr="00A23740" w:rsidRDefault="00155AF4" w:rsidP="009431FF">
            <w:pPr>
              <w:tabs>
                <w:tab w:val="left" w:pos="567"/>
              </w:tabs>
              <w:autoSpaceDE w:val="0"/>
              <w:autoSpaceDN w:val="0"/>
              <w:adjustRightInd w:val="0"/>
              <w:rPr>
                <w:szCs w:val="24"/>
              </w:rPr>
            </w:pPr>
            <w:r w:rsidRPr="00A23740">
              <w:rPr>
                <w:b/>
                <w:bCs/>
                <w:color w:val="0000FF"/>
                <w:szCs w:val="24"/>
                <w:lang w:eastAsia="x-none"/>
              </w:rPr>
              <w:t xml:space="preserve">MADDE </w:t>
            </w:r>
            <w:r w:rsidR="003526F6" w:rsidRPr="00A23740">
              <w:rPr>
                <w:b/>
                <w:bCs/>
                <w:color w:val="0000FF"/>
                <w:szCs w:val="24"/>
                <w:lang w:val="x-none" w:eastAsia="x-none"/>
              </w:rPr>
              <w:t>124</w:t>
            </w:r>
            <w:r w:rsidRPr="00A23740">
              <w:rPr>
                <w:b/>
                <w:bCs/>
                <w:color w:val="0000FF"/>
                <w:szCs w:val="24"/>
                <w:lang w:val="x-none" w:eastAsia="x-none"/>
              </w:rPr>
              <w:t>-</w:t>
            </w:r>
            <w:r w:rsidRPr="00A23740">
              <w:rPr>
                <w:b/>
                <w:bCs/>
                <w:color w:val="0000FF"/>
                <w:szCs w:val="24"/>
                <w:lang w:eastAsia="x-none"/>
              </w:rPr>
              <w:t xml:space="preserve"> (</w:t>
            </w:r>
            <w:r w:rsidRPr="00A23740">
              <w:rPr>
                <w:b/>
                <w:bCs/>
                <w:color w:val="0000FF"/>
                <w:szCs w:val="24"/>
                <w:lang w:val="x-none" w:eastAsia="x-none"/>
              </w:rPr>
              <w:t>1)</w:t>
            </w:r>
            <w:r w:rsidRPr="00A23740">
              <w:rPr>
                <w:b/>
                <w:bCs/>
                <w:szCs w:val="24"/>
              </w:rPr>
              <w:t xml:space="preserve"> </w:t>
            </w:r>
            <w:r w:rsidRPr="00A23740">
              <w:rPr>
                <w:szCs w:val="24"/>
              </w:rPr>
              <w:t xml:space="preserve">Borçlu </w:t>
            </w:r>
            <w:r w:rsidRPr="00A23740">
              <w:rPr>
                <w:rStyle w:val="MaviChar"/>
              </w:rPr>
              <w:t>veya</w:t>
            </w:r>
            <w:r w:rsidRPr="00A23740">
              <w:rPr>
                <w:szCs w:val="24"/>
              </w:rPr>
              <w:t xml:space="preserve"> </w:t>
            </w:r>
            <w:r w:rsidRPr="00A23740">
              <w:rPr>
                <w:b/>
                <w:bCs/>
                <w:color w:val="0000FF"/>
                <w:szCs w:val="24"/>
                <w:lang w:val="x-none" w:eastAsia="x-none"/>
              </w:rPr>
              <w:t>ipotekli taşınmazın maliki olan</w:t>
            </w:r>
            <w:r w:rsidRPr="00A23740">
              <w:rPr>
                <w:szCs w:val="24"/>
              </w:rPr>
              <w:t xml:space="preserve"> üçüncü </w:t>
            </w:r>
            <w:r w:rsidRPr="00A23740">
              <w:rPr>
                <w:b/>
                <w:bCs/>
                <w:color w:val="0000FF"/>
                <w:szCs w:val="24"/>
                <w:lang w:val="x-none" w:eastAsia="x-none"/>
              </w:rPr>
              <w:t xml:space="preserve">kişi </w:t>
            </w:r>
            <w:r w:rsidRPr="00A23740">
              <w:rPr>
                <w:rStyle w:val="MaviChar"/>
              </w:rPr>
              <w:t>yahut</w:t>
            </w:r>
            <w:r w:rsidRPr="00A23740">
              <w:rPr>
                <w:b/>
                <w:bCs/>
                <w:color w:val="0000FF"/>
                <w:szCs w:val="24"/>
                <w:lang w:eastAsia="x-none"/>
              </w:rPr>
              <w:t xml:space="preserve"> </w:t>
            </w:r>
            <w:r w:rsidRPr="00A23740">
              <w:rPr>
                <w:b/>
                <w:bCs/>
                <w:color w:val="0000FF"/>
                <w:szCs w:val="24"/>
                <w:lang w:val="x-none" w:eastAsia="x-none"/>
              </w:rPr>
              <w:t xml:space="preserve">ipotekli taşınmaz aile konutu ise eş, </w:t>
            </w:r>
            <w:r w:rsidRPr="00A23740">
              <w:rPr>
                <w:szCs w:val="24"/>
              </w:rPr>
              <w:t xml:space="preserve">ödeme emrinin tebliğinden itibaren </w:t>
            </w:r>
            <w:r w:rsidRPr="00A23740">
              <w:rPr>
                <w:b/>
                <w:bCs/>
                <w:color w:val="0000FF"/>
                <w:szCs w:val="24"/>
                <w:lang w:val="x-none" w:eastAsia="x-none"/>
              </w:rPr>
              <w:t>iki hafta</w:t>
            </w:r>
            <w:r w:rsidRPr="00A23740">
              <w:rPr>
                <w:szCs w:val="24"/>
              </w:rPr>
              <w:t xml:space="preserve"> içinde itirazda bulunabilir.</w:t>
            </w:r>
          </w:p>
          <w:p w:rsidR="00155AF4" w:rsidRPr="00A23740" w:rsidRDefault="00155AF4" w:rsidP="009431FF">
            <w:pPr>
              <w:tabs>
                <w:tab w:val="left" w:pos="567"/>
              </w:tabs>
              <w:autoSpaceDE w:val="0"/>
              <w:autoSpaceDN w:val="0"/>
              <w:adjustRightInd w:val="0"/>
              <w:rPr>
                <w:szCs w:val="24"/>
              </w:rPr>
            </w:pPr>
            <w:r w:rsidRPr="00A23740">
              <w:rPr>
                <w:szCs w:val="24"/>
              </w:rPr>
              <w:br/>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(2)</w:t>
            </w:r>
            <w:r w:rsidRPr="00A23740">
              <w:rPr>
                <w:szCs w:val="24"/>
              </w:rPr>
              <w:t xml:space="preserve"> Ödeme emrine itiraz hakkında</w:t>
            </w:r>
            <w:r w:rsidRPr="00A23740">
              <w:rPr>
                <w:b/>
                <w:bCs/>
                <w:color w:val="0000FF"/>
                <w:szCs w:val="24"/>
                <w:lang w:val="x-none" w:eastAsia="x-none"/>
              </w:rPr>
              <w:t xml:space="preserve">, </w:t>
            </w:r>
            <w:r w:rsidR="008E1368" w:rsidRPr="00A23740">
              <w:rPr>
                <w:b/>
                <w:bCs/>
                <w:color w:val="0000FF"/>
                <w:szCs w:val="24"/>
                <w:lang w:eastAsia="x-none"/>
              </w:rPr>
              <w:t xml:space="preserve">niteliğine uygun düştüğü ölçüde, </w:t>
            </w:r>
            <w:r w:rsidRPr="00A23740">
              <w:rPr>
                <w:b/>
                <w:bCs/>
                <w:color w:val="0000FF"/>
                <w:szCs w:val="24"/>
                <w:lang w:val="x-none" w:eastAsia="x-none"/>
              </w:rPr>
              <w:t>86</w:t>
            </w:r>
            <w:r w:rsidRPr="00A23740">
              <w:rPr>
                <w:b/>
                <w:bCs/>
                <w:color w:val="0000FF"/>
                <w:szCs w:val="24"/>
                <w:lang w:eastAsia="x-none"/>
              </w:rPr>
              <w:t xml:space="preserve"> ve </w:t>
            </w:r>
            <w:r w:rsidRPr="00A23740">
              <w:rPr>
                <w:b/>
                <w:color w:val="0000FF"/>
                <w:lang w:eastAsia="x-none"/>
              </w:rPr>
              <w:t xml:space="preserve">90 </w:t>
            </w:r>
            <w:r w:rsidRPr="00A23740">
              <w:rPr>
                <w:rStyle w:val="MaviChar"/>
              </w:rPr>
              <w:t>il</w:t>
            </w:r>
            <w:r w:rsidR="00F25FDB" w:rsidRPr="00A23740">
              <w:rPr>
                <w:rStyle w:val="MaviChar"/>
                <w:lang w:val="tr-TR"/>
              </w:rPr>
              <w:t>a</w:t>
            </w:r>
            <w:r w:rsidRPr="00A23740">
              <w:rPr>
                <w:b/>
                <w:bCs/>
                <w:color w:val="0000FF"/>
                <w:szCs w:val="24"/>
                <w:lang w:eastAsia="x-none"/>
              </w:rPr>
              <w:t xml:space="preserve"> </w:t>
            </w:r>
            <w:r w:rsidRPr="00A23740">
              <w:rPr>
                <w:b/>
                <w:bCs/>
                <w:color w:val="0000FF"/>
                <w:lang w:eastAsia="x-none"/>
              </w:rPr>
              <w:t>101 inci</w:t>
            </w:r>
            <w:r w:rsidR="00A54927" w:rsidRPr="00A54927">
              <w:rPr>
                <w:rStyle w:val="KIRMIZIChar"/>
                <w:rFonts w:eastAsia="Calibri"/>
                <w:strike w:val="0"/>
              </w:rPr>
              <w:t xml:space="preserve"> </w:t>
            </w:r>
            <w:r w:rsidRPr="00A23740">
              <w:rPr>
                <w:szCs w:val="24"/>
              </w:rPr>
              <w:t>madde</w:t>
            </w:r>
            <w:r w:rsidRPr="00A23740">
              <w:rPr>
                <w:b/>
                <w:bCs/>
                <w:color w:val="0000FF"/>
                <w:szCs w:val="24"/>
                <w:lang w:val="x-none" w:eastAsia="x-none"/>
              </w:rPr>
              <w:t>ler</w:t>
            </w:r>
            <w:r w:rsidRPr="00A23740">
              <w:rPr>
                <w:szCs w:val="24"/>
              </w:rPr>
              <w:t xml:space="preserve"> uygulanır.</w:t>
            </w:r>
          </w:p>
          <w:p w:rsidR="00A478A6" w:rsidRPr="00A23740" w:rsidRDefault="00A478A6"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Default="00155AF4" w:rsidP="009431FF">
            <w:pPr>
              <w:tabs>
                <w:tab w:val="left" w:pos="567"/>
              </w:tabs>
              <w:autoSpaceDE w:val="0"/>
              <w:autoSpaceDN w:val="0"/>
              <w:adjustRightInd w:val="0"/>
              <w:rPr>
                <w:b/>
                <w:bCs/>
                <w:color w:val="0000FF"/>
                <w:szCs w:val="24"/>
                <w:lang w:val="x-none" w:eastAsia="x-none"/>
              </w:rPr>
            </w:pPr>
            <w:r w:rsidRPr="00A23740">
              <w:rPr>
                <w:b/>
                <w:bCs/>
                <w:color w:val="0000FF"/>
                <w:szCs w:val="24"/>
                <w:lang w:val="x-none" w:eastAsia="x-none"/>
              </w:rPr>
              <w:t>(3) Alacaklının</w:t>
            </w:r>
            <w:r w:rsidRPr="00A23740">
              <w:rPr>
                <w:szCs w:val="24"/>
              </w:rPr>
              <w:t xml:space="preserve"> rehin hakkı, itiraz konusu yapılamaz. İpoteğin </w:t>
            </w:r>
            <w:r w:rsidRPr="00A23740">
              <w:rPr>
                <w:b/>
                <w:bCs/>
                <w:color w:val="0000FF"/>
                <w:szCs w:val="24"/>
                <w:lang w:val="x-none" w:eastAsia="x-none"/>
              </w:rPr>
              <w:t>terkini</w:t>
            </w:r>
            <w:r w:rsidRPr="00A23740">
              <w:rPr>
                <w:szCs w:val="24"/>
              </w:rPr>
              <w:t xml:space="preserve"> hakkında dava açılması h</w:t>
            </w:r>
            <w:r w:rsidR="00F906A7" w:rsidRPr="00A23740">
              <w:rPr>
                <w:szCs w:val="24"/>
              </w:rPr>
              <w:t>â</w:t>
            </w:r>
            <w:r w:rsidRPr="00A23740">
              <w:rPr>
                <w:szCs w:val="24"/>
              </w:rPr>
              <w:t xml:space="preserve">linde </w:t>
            </w:r>
            <w:r w:rsidR="00E56D84" w:rsidRPr="005574AB">
              <w:rPr>
                <w:b/>
                <w:bCs/>
                <w:color w:val="0000FF"/>
                <w:szCs w:val="24"/>
                <w:lang w:eastAsia="x-none"/>
              </w:rPr>
              <w:t>m</w:t>
            </w:r>
            <w:r w:rsidRPr="00A23740">
              <w:rPr>
                <w:b/>
                <w:bCs/>
                <w:color w:val="0000FF"/>
                <w:szCs w:val="24"/>
                <w:lang w:val="x-none" w:eastAsia="x-none"/>
              </w:rPr>
              <w:t>ahkeme</w:t>
            </w:r>
            <w:r w:rsidRPr="00A23740">
              <w:rPr>
                <w:b/>
                <w:bCs/>
                <w:color w:val="0000FF"/>
                <w:szCs w:val="24"/>
                <w:lang w:eastAsia="x-none"/>
              </w:rPr>
              <w:t>,</w:t>
            </w:r>
            <w:r w:rsidRPr="00A23740">
              <w:rPr>
                <w:b/>
                <w:bCs/>
                <w:color w:val="0000FF"/>
                <w:szCs w:val="24"/>
                <w:lang w:val="x-none" w:eastAsia="x-none"/>
              </w:rPr>
              <w:t xml:space="preserve"> talep h</w:t>
            </w:r>
            <w:r w:rsidR="00F906A7" w:rsidRPr="00A23740">
              <w:rPr>
                <w:b/>
                <w:bCs/>
                <w:color w:val="0000FF"/>
                <w:szCs w:val="24"/>
                <w:lang w:eastAsia="x-none"/>
              </w:rPr>
              <w:t>â</w:t>
            </w:r>
            <w:r w:rsidRPr="00A23740">
              <w:rPr>
                <w:b/>
                <w:bCs/>
                <w:color w:val="0000FF"/>
                <w:szCs w:val="24"/>
                <w:lang w:val="x-none" w:eastAsia="x-none"/>
              </w:rPr>
              <w:t>linde</w:t>
            </w:r>
            <w:r w:rsidRPr="00A23740">
              <w:rPr>
                <w:b/>
                <w:bCs/>
                <w:color w:val="0000FF"/>
                <w:szCs w:val="24"/>
                <w:lang w:eastAsia="x-none"/>
              </w:rPr>
              <w:t xml:space="preserve"> </w:t>
            </w:r>
            <w:r w:rsidRPr="00A23740">
              <w:rPr>
                <w:b/>
                <w:bCs/>
                <w:color w:val="0000FF"/>
                <w:szCs w:val="24"/>
                <w:lang w:val="x-none" w:eastAsia="x-none"/>
              </w:rPr>
              <w:t>alacağın yüzde yirmisinden aşağı olmamak üzere gösterilecek teminat karşılığında icra takibinin durdurulması hakkında ihtiyati tedbir kararı verebilir.</w:t>
            </w:r>
          </w:p>
          <w:p w:rsidR="000C120D" w:rsidRPr="00A23740" w:rsidRDefault="000C120D" w:rsidP="009431FF">
            <w:pPr>
              <w:tabs>
                <w:tab w:val="left" w:pos="567"/>
              </w:tabs>
              <w:autoSpaceDE w:val="0"/>
              <w:autoSpaceDN w:val="0"/>
              <w:adjustRightInd w:val="0"/>
              <w:rPr>
                <w:b/>
                <w:iCs/>
                <w:color w:val="FF0000"/>
                <w:szCs w:val="24"/>
              </w:rPr>
            </w:pPr>
          </w:p>
        </w:tc>
      </w:tr>
      <w:tr w:rsidR="00895D8A" w:rsidRPr="00A23740" w:rsidTr="009431FF">
        <w:tc>
          <w:tcPr>
            <w:tcW w:w="5000" w:type="pct"/>
            <w:gridSpan w:val="2"/>
            <w:shd w:val="clear" w:color="auto" w:fill="DEEAF6"/>
          </w:tcPr>
          <w:p w:rsidR="00895D8A" w:rsidRPr="00A23740" w:rsidRDefault="00895D8A" w:rsidP="009431FF">
            <w:pPr>
              <w:tabs>
                <w:tab w:val="left" w:pos="567"/>
              </w:tabs>
              <w:ind w:firstLine="709"/>
              <w:rPr>
                <w:b/>
                <w:bCs/>
                <w:szCs w:val="24"/>
                <w:lang w:eastAsia="x-none"/>
              </w:rPr>
            </w:pPr>
          </w:p>
          <w:p w:rsidR="00895D8A" w:rsidRPr="00A23740" w:rsidRDefault="008E1368" w:rsidP="009431FF">
            <w:pPr>
              <w:tabs>
                <w:tab w:val="left" w:pos="567"/>
              </w:tabs>
              <w:ind w:firstLine="709"/>
              <w:rPr>
                <w:bCs/>
                <w:szCs w:val="24"/>
                <w:lang w:eastAsia="x-none"/>
              </w:rPr>
            </w:pPr>
            <w:r w:rsidRPr="00A23740">
              <w:rPr>
                <w:b/>
                <w:bCs/>
                <w:szCs w:val="24"/>
                <w:lang w:eastAsia="x-none"/>
              </w:rPr>
              <w:t>MADDE 124</w:t>
            </w:r>
            <w:r w:rsidR="00895D8A" w:rsidRPr="00A23740">
              <w:rPr>
                <w:b/>
                <w:bCs/>
                <w:szCs w:val="24"/>
                <w:lang w:eastAsia="x-none"/>
              </w:rPr>
              <w:t xml:space="preserve">- </w:t>
            </w:r>
            <w:r w:rsidR="00895D8A" w:rsidRPr="00A23740">
              <w:rPr>
                <w:bCs/>
                <w:szCs w:val="24"/>
                <w:lang w:eastAsia="x-none"/>
              </w:rPr>
              <w:t>Maddeyle, ipoteğin paraya çevrilmesi yoluyla takipte ödeme emrine itiraz ve itirazın iptali hususu düzenlenmektedir.</w:t>
            </w:r>
          </w:p>
          <w:p w:rsidR="00895D8A" w:rsidRPr="00A23740" w:rsidRDefault="00895D8A" w:rsidP="009431FF">
            <w:pPr>
              <w:tabs>
                <w:tab w:val="left" w:pos="567"/>
              </w:tabs>
              <w:ind w:firstLine="709"/>
              <w:rPr>
                <w:szCs w:val="24"/>
                <w:lang w:eastAsia="x-none"/>
              </w:rPr>
            </w:pPr>
            <w:r w:rsidRPr="00A23740">
              <w:rPr>
                <w:szCs w:val="24"/>
                <w:lang w:eastAsia="x-none"/>
              </w:rPr>
              <w:t>Maddenin birinci fıkrasında, asıl borçlu ile ipotekli malın maliki üçüncü kişi yanında, ipotekli malın aile konutu olması h</w:t>
            </w:r>
            <w:r w:rsidR="00F906A7" w:rsidRPr="00A23740">
              <w:rPr>
                <w:szCs w:val="24"/>
                <w:lang w:eastAsia="x-none"/>
              </w:rPr>
              <w:t>â</w:t>
            </w:r>
            <w:r w:rsidRPr="00A23740">
              <w:rPr>
                <w:szCs w:val="24"/>
                <w:lang w:eastAsia="x-none"/>
              </w:rPr>
              <w:t xml:space="preserve">linde eşin de itirazda bulunabileceği açıkça hüküm altına alınmıştır. İtiraz süresi iki haftadır. </w:t>
            </w:r>
          </w:p>
          <w:p w:rsidR="00895D8A" w:rsidRPr="00A23740" w:rsidRDefault="00895D8A" w:rsidP="009431FF">
            <w:pPr>
              <w:tabs>
                <w:tab w:val="left" w:pos="567"/>
              </w:tabs>
              <w:ind w:firstLine="709"/>
              <w:rPr>
                <w:szCs w:val="24"/>
                <w:lang w:eastAsia="x-none"/>
              </w:rPr>
            </w:pPr>
            <w:r w:rsidRPr="00A23740">
              <w:rPr>
                <w:szCs w:val="24"/>
                <w:lang w:eastAsia="x-none"/>
              </w:rPr>
              <w:t xml:space="preserve">İkinci fıkrada icra </w:t>
            </w:r>
            <w:r w:rsidR="00B73523" w:rsidRPr="005574AB">
              <w:rPr>
                <w:szCs w:val="24"/>
                <w:lang w:eastAsia="x-none"/>
              </w:rPr>
              <w:t>ve iflas</w:t>
            </w:r>
            <w:r w:rsidR="00B73523" w:rsidRPr="00A23740">
              <w:rPr>
                <w:b/>
                <w:bCs/>
                <w:color w:val="0000FF"/>
                <w:szCs w:val="24"/>
                <w:lang w:val="x-none" w:eastAsia="x-none"/>
              </w:rPr>
              <w:t xml:space="preserve"> </w:t>
            </w:r>
            <w:r w:rsidRPr="00A23740">
              <w:rPr>
                <w:szCs w:val="24"/>
                <w:lang w:eastAsia="x-none"/>
              </w:rPr>
              <w:t>dairesinin yetkisine itiraz hakkındaki 86 ncı madde hükmüne açıkça atıf yapılmıştır. Ödeme emrine itiraz bakımından 90  il</w:t>
            </w:r>
            <w:r w:rsidR="00F25FDB" w:rsidRPr="00A23740">
              <w:rPr>
                <w:szCs w:val="24"/>
                <w:lang w:eastAsia="x-none"/>
              </w:rPr>
              <w:t>a</w:t>
            </w:r>
            <w:r w:rsidRPr="00A23740">
              <w:rPr>
                <w:szCs w:val="24"/>
                <w:lang w:eastAsia="x-none"/>
              </w:rPr>
              <w:t xml:space="preserve"> 101 inci maddeler </w:t>
            </w:r>
            <w:r w:rsidR="00123FA6" w:rsidRPr="005574AB">
              <w:rPr>
                <w:bCs/>
                <w:szCs w:val="24"/>
                <w:lang w:eastAsia="x-none"/>
              </w:rPr>
              <w:t>niteliğine uygun düştüğü ölçüde</w:t>
            </w:r>
            <w:r w:rsidR="00123FA6" w:rsidRPr="00A23740">
              <w:rPr>
                <w:b/>
                <w:szCs w:val="24"/>
                <w:lang w:eastAsia="x-none"/>
              </w:rPr>
              <w:t xml:space="preserve"> </w:t>
            </w:r>
            <w:r w:rsidRPr="00A23740">
              <w:rPr>
                <w:szCs w:val="24"/>
                <w:lang w:eastAsia="x-none"/>
              </w:rPr>
              <w:t>uygulama alanı bulacaktır.</w:t>
            </w:r>
          </w:p>
          <w:p w:rsidR="005E7DF7" w:rsidRPr="00A23740" w:rsidRDefault="00895D8A" w:rsidP="0080239A">
            <w:pPr>
              <w:tabs>
                <w:tab w:val="left" w:pos="567"/>
              </w:tabs>
              <w:ind w:firstLine="709"/>
              <w:rPr>
                <w:bCs/>
                <w:iCs/>
                <w:szCs w:val="24"/>
              </w:rPr>
            </w:pPr>
            <w:r w:rsidRPr="00A23740">
              <w:rPr>
                <w:bCs/>
                <w:iCs/>
                <w:szCs w:val="24"/>
              </w:rPr>
              <w:t>Üçüncü fıkrada, rehin hakkının (resm</w:t>
            </w:r>
            <w:r w:rsidR="00AD7D81" w:rsidRPr="00A23740">
              <w:rPr>
                <w:bCs/>
                <w:iCs/>
                <w:szCs w:val="24"/>
              </w:rPr>
              <w:t>î</w:t>
            </w:r>
            <w:r w:rsidRPr="00A23740">
              <w:rPr>
                <w:bCs/>
                <w:iCs/>
                <w:szCs w:val="24"/>
              </w:rPr>
              <w:t xml:space="preserve"> senede dayandığından) itiraz konusu yapılamayacağı açıklığa kavuşturulmuş, bu hususun ipoteğin terkini davasının (</w:t>
            </w:r>
            <w:r w:rsidR="008F75C3" w:rsidRPr="005574AB">
              <w:rPr>
                <w:bCs/>
                <w:szCs w:val="24"/>
              </w:rPr>
              <w:t>4721 sayılı Kanunun</w:t>
            </w:r>
            <w:r w:rsidR="00AB0B9C" w:rsidRPr="00A23740">
              <w:rPr>
                <w:b/>
                <w:bCs/>
                <w:iCs/>
                <w:szCs w:val="24"/>
              </w:rPr>
              <w:t xml:space="preserve"> </w:t>
            </w:r>
            <w:r w:rsidR="00AB0B9C" w:rsidRPr="00A23740">
              <w:rPr>
                <w:bCs/>
                <w:iCs/>
                <w:szCs w:val="24"/>
              </w:rPr>
              <w:t>883 üncü ve 1025 inci maddeleri</w:t>
            </w:r>
            <w:r w:rsidRPr="00A23740">
              <w:rPr>
                <w:bCs/>
                <w:iCs/>
                <w:szCs w:val="24"/>
              </w:rPr>
              <w:t>) konusu olması h</w:t>
            </w:r>
            <w:r w:rsidR="00F906A7" w:rsidRPr="00A23740">
              <w:rPr>
                <w:bCs/>
                <w:iCs/>
                <w:szCs w:val="24"/>
              </w:rPr>
              <w:t>â</w:t>
            </w:r>
            <w:r w:rsidRPr="00A23740">
              <w:rPr>
                <w:bCs/>
                <w:iCs/>
                <w:szCs w:val="24"/>
              </w:rPr>
              <w:t xml:space="preserve">linde ise </w:t>
            </w:r>
            <w:r w:rsidR="00123FA6" w:rsidRPr="005574AB">
              <w:rPr>
                <w:bCs/>
                <w:szCs w:val="24"/>
                <w:lang w:eastAsia="x-none"/>
              </w:rPr>
              <w:t>ikinci</w:t>
            </w:r>
            <w:r w:rsidR="00123FA6" w:rsidRPr="00A23740">
              <w:rPr>
                <w:rStyle w:val="Balk1Char"/>
                <w:rFonts w:eastAsia="Calibri"/>
                <w:b w:val="0"/>
              </w:rPr>
              <w:t xml:space="preserve"> </w:t>
            </w:r>
            <w:r w:rsidR="00123FA6" w:rsidRPr="005574AB">
              <w:rPr>
                <w:bCs/>
                <w:szCs w:val="24"/>
                <w:lang w:eastAsia="x-none"/>
              </w:rPr>
              <w:t>fıkrada</w:t>
            </w:r>
            <w:r w:rsidR="00123FA6" w:rsidRPr="00A23740">
              <w:rPr>
                <w:rStyle w:val="Balk1Char"/>
                <w:rFonts w:eastAsia="Calibri"/>
                <w:b w:val="0"/>
              </w:rPr>
              <w:t xml:space="preserve"> </w:t>
            </w:r>
            <w:r w:rsidR="00123FA6" w:rsidRPr="005574AB">
              <w:rPr>
                <w:bCs/>
                <w:szCs w:val="24"/>
                <w:lang w:eastAsia="x-none"/>
              </w:rPr>
              <w:t>belirtildiği üzere</w:t>
            </w:r>
            <w:r w:rsidR="00123FA6" w:rsidRPr="00A23740">
              <w:rPr>
                <w:bCs/>
                <w:iCs/>
                <w:szCs w:val="24"/>
              </w:rPr>
              <w:t xml:space="preserve"> </w:t>
            </w:r>
            <w:r w:rsidR="00F34DDE" w:rsidRPr="00A23740">
              <w:rPr>
                <w:bCs/>
                <w:iCs/>
                <w:szCs w:val="24"/>
              </w:rPr>
              <w:t>98 il</w:t>
            </w:r>
            <w:r w:rsidR="00F25FDB" w:rsidRPr="00A23740">
              <w:rPr>
                <w:bCs/>
                <w:iCs/>
                <w:szCs w:val="24"/>
              </w:rPr>
              <w:t>a</w:t>
            </w:r>
            <w:r w:rsidRPr="00A23740">
              <w:rPr>
                <w:bCs/>
                <w:iCs/>
                <w:szCs w:val="24"/>
              </w:rPr>
              <w:t xml:space="preserve"> 101 inci maddelerde düzenlenmiş olan menfi tespit davası hükümlerinin kıyasen uygulanacağı kabul edilmiştir. Ancak ipoteğin paraya çevrilmesi yoluyla ilamsız takipten sonra açılacak ipoteğin iptali davasında davacının, alacağın yüzde yirmisinden aşağı olmayacak bir teminat göstererek icra takibinin durdurulmasını </w:t>
            </w:r>
            <w:r w:rsidR="00956F78" w:rsidRPr="00A23740">
              <w:rPr>
                <w:bCs/>
                <w:iCs/>
                <w:szCs w:val="24"/>
              </w:rPr>
              <w:t xml:space="preserve"> sağlayabilmesine imkan tanınmıştır</w:t>
            </w:r>
            <w:r w:rsidRPr="00A23740">
              <w:rPr>
                <w:bCs/>
                <w:iCs/>
                <w:szCs w:val="24"/>
              </w:rPr>
              <w:t xml:space="preserve">. Haciz yoluyla takipten farklı olarak, alacak esasen ipotekle teminat altına </w:t>
            </w:r>
            <w:r w:rsidRPr="005574AB">
              <w:rPr>
                <w:szCs w:val="24"/>
                <w:lang w:eastAsia="x-none"/>
              </w:rPr>
              <w:t>alınmış</w:t>
            </w:r>
            <w:r w:rsidRPr="00A23740">
              <w:rPr>
                <w:bCs/>
                <w:iCs/>
                <w:szCs w:val="24"/>
              </w:rPr>
              <w:t xml:space="preserve"> olduğundan, ayrıca takip konusu alacak miktarı kadar teminat gösterilmesine, ipoteğin paraya çevrilmesi yoluyla takip kapsamında açılacak menfi tespit davası bakımından gerek görülmemiştir. Bu fıkrada </w:t>
            </w:r>
            <w:r w:rsidR="008F75C3" w:rsidRPr="005574AB">
              <w:rPr>
                <w:bCs/>
                <w:szCs w:val="24"/>
              </w:rPr>
              <w:t>4721 sayılı</w:t>
            </w:r>
            <w:r w:rsidR="008F75C3" w:rsidRPr="00A23740">
              <w:rPr>
                <w:rStyle w:val="KonuBalChar"/>
                <w:rFonts w:eastAsia="Calibri"/>
                <w:b w:val="0"/>
              </w:rPr>
              <w:t xml:space="preserve"> </w:t>
            </w:r>
            <w:r w:rsidR="008F75C3" w:rsidRPr="005574AB">
              <w:rPr>
                <w:bCs/>
                <w:szCs w:val="24"/>
              </w:rPr>
              <w:t>Kanunun</w:t>
            </w:r>
            <w:r w:rsidR="008F75C3" w:rsidRPr="00A23740">
              <w:rPr>
                <w:rFonts w:eastAsia="ヒラギノ明朝 Pro W3"/>
                <w:bCs/>
                <w:szCs w:val="24"/>
              </w:rPr>
              <w:t xml:space="preserve"> </w:t>
            </w:r>
            <w:r w:rsidRPr="00A23740">
              <w:rPr>
                <w:rFonts w:eastAsia="ヒラギノ明朝 Pro W3"/>
                <w:bCs/>
                <w:szCs w:val="24"/>
              </w:rPr>
              <w:t>883 üncü maddesinde kullanılan ifadeye uygun olarak “ipoteğin terkini” ibaresi, terim birliği sağlamak amacıyla tercih edilmiştir.</w:t>
            </w:r>
          </w:p>
          <w:p w:rsidR="00895D8A" w:rsidRPr="00A23740" w:rsidRDefault="00895D8A" w:rsidP="0080239A">
            <w:pPr>
              <w:tabs>
                <w:tab w:val="left" w:pos="567"/>
              </w:tabs>
              <w:ind w:firstLine="567"/>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İtirazın incelenmesi usulü ve hükümleri:</w:t>
            </w:r>
          </w:p>
          <w:p w:rsidR="00155AF4" w:rsidRPr="00A23740" w:rsidRDefault="00155AF4" w:rsidP="009431FF">
            <w:pPr>
              <w:tabs>
                <w:tab w:val="left" w:pos="567"/>
              </w:tabs>
              <w:autoSpaceDE w:val="0"/>
              <w:autoSpaceDN w:val="0"/>
              <w:adjustRightInd w:val="0"/>
              <w:rPr>
                <w:b/>
                <w:strike/>
                <w:color w:val="FF0000"/>
                <w:szCs w:val="24"/>
                <w:lang w:eastAsia="tr-TR"/>
              </w:rPr>
            </w:pPr>
          </w:p>
          <w:p w:rsidR="00155AF4" w:rsidRPr="00A23740" w:rsidRDefault="00155AF4" w:rsidP="009431FF">
            <w:pPr>
              <w:tabs>
                <w:tab w:val="left" w:pos="567"/>
              </w:tabs>
              <w:autoSpaceDE w:val="0"/>
              <w:autoSpaceDN w:val="0"/>
              <w:adjustRightInd w:val="0"/>
              <w:rPr>
                <w:strike/>
                <w:color w:val="FF0000"/>
                <w:szCs w:val="24"/>
                <w:lang w:eastAsia="tr-TR"/>
              </w:rPr>
            </w:pPr>
            <w:r w:rsidRPr="00A23740">
              <w:rPr>
                <w:b/>
                <w:strike/>
                <w:color w:val="FF0000"/>
                <w:szCs w:val="24"/>
                <w:lang w:eastAsia="tr-TR"/>
              </w:rPr>
              <w:t>Madde 150/a – (1) (Ek: 18/2/1965 - 538/72 md.)</w:t>
            </w: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Ödeme emrine itiraz hakkında 62 den 72 nci maddeye kadar olan hükümler uygulanır. Ancak;</w:t>
            </w:r>
          </w:p>
          <w:p w:rsidR="00155AF4" w:rsidRPr="00A23740" w:rsidRDefault="00155AF4" w:rsidP="009431FF">
            <w:pPr>
              <w:tabs>
                <w:tab w:val="left" w:pos="567"/>
              </w:tabs>
              <w:autoSpaceDE w:val="0"/>
              <w:autoSpaceDN w:val="0"/>
              <w:adjustRightInd w:val="0"/>
              <w:rPr>
                <w:b/>
                <w:strike/>
                <w:color w:val="FF0000"/>
                <w:szCs w:val="24"/>
                <w:lang w:eastAsia="tr-TR"/>
              </w:rPr>
            </w:pP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1. İpotek, bir cari hesap veya işleyecek kredi vesaire gibi bir mukavelenin teminatı olarak verilmişse, icra mahkemesi bu mukavele ve bununla ilgili sair belge ve makbuzları 68 inci maddedeki esaslara göre incelemek yetkisini haizdir.</w:t>
            </w:r>
          </w:p>
          <w:p w:rsidR="00155AF4" w:rsidRPr="00A23740" w:rsidRDefault="00155AF4" w:rsidP="009431FF">
            <w:pPr>
              <w:tabs>
                <w:tab w:val="left" w:pos="567"/>
              </w:tabs>
              <w:autoSpaceDE w:val="0"/>
              <w:autoSpaceDN w:val="0"/>
              <w:adjustRightInd w:val="0"/>
              <w:rPr>
                <w:b/>
                <w:strike/>
                <w:color w:val="FF0000"/>
                <w:szCs w:val="24"/>
                <w:lang w:eastAsia="tr-TR"/>
              </w:rPr>
            </w:pP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2. (Değişik: 2/3/2005-5311/11 md.) İtirazın kaldırılması kararına karşı istinaf yoluna başvurulması hâlinde 149/a maddesinin ikinci fıkrası hükmü kıyas yoluyla uygulanır.</w:t>
            </w:r>
          </w:p>
        </w:tc>
        <w:tc>
          <w:tcPr>
            <w:tcW w:w="2500" w:type="pct"/>
            <w:shd w:val="clear" w:color="auto" w:fill="auto"/>
          </w:tcPr>
          <w:p w:rsidR="00155AF4" w:rsidRPr="00A23740" w:rsidRDefault="00155AF4" w:rsidP="009431FF">
            <w:pPr>
              <w:tabs>
                <w:tab w:val="left" w:pos="567"/>
              </w:tabs>
              <w:autoSpaceDE w:val="0"/>
              <w:autoSpaceDN w:val="0"/>
              <w:adjustRightInd w:val="0"/>
              <w:rPr>
                <w:iCs/>
                <w:szCs w:val="24"/>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pStyle w:val="KIRMIZI"/>
            </w:pPr>
            <w:r w:rsidRPr="00A23740">
              <w:rPr>
                <w:iCs/>
              </w:rPr>
              <w:t xml:space="preserve">Kiracılara </w:t>
            </w:r>
            <w:r w:rsidRPr="00A23740">
              <w:t>haber verme:</w:t>
            </w:r>
          </w:p>
          <w:p w:rsidR="00155AF4" w:rsidRPr="00A23740" w:rsidRDefault="00155AF4" w:rsidP="009431FF">
            <w:pPr>
              <w:pStyle w:val="KIRMIZI"/>
            </w:pPr>
            <w:r w:rsidRPr="00A23740">
              <w:t>Madde 150/b – (1) Ek</w:t>
            </w:r>
            <w:r w:rsidRPr="00A23740">
              <w:rPr>
                <w:lang w:eastAsia="tr-TR"/>
              </w:rPr>
              <w:t>: 18/2/1965 - 538/72 md.; Değişik: 6/6/1985 - 3222/18 md.)</w:t>
            </w:r>
          </w:p>
          <w:p w:rsidR="00155AF4" w:rsidRPr="00A23740" w:rsidRDefault="00155AF4" w:rsidP="009431FF">
            <w:pPr>
              <w:pStyle w:val="KIRMIZI"/>
            </w:pPr>
            <w:r w:rsidRPr="00A23740">
              <w:t xml:space="preserve">Rehin, kiraya verilmiş bir taşınmaz ise icra memuru, alacaklının talebi üzerine takibin kesinleşmesini beklemeden kiracıları da takipten haberdar eder ve işleyecek kiraların icra dairesine ödenmesini emreder. (Ek cümle: 17/7/2003-4949/42 md.) Şu kadar ki, bu şekilde işlem yapılması 132 ve 135 inci maddelerdeki hakları ortadan kaldırmaz. Kiracı ihtara rağmen kira </w:t>
            </w:r>
            <w:r w:rsidRPr="00A23740">
              <w:rPr>
                <w:lang w:eastAsia="tr-TR"/>
              </w:rPr>
              <w:t>paralarını</w:t>
            </w:r>
            <w:r w:rsidRPr="00A23740">
              <w:t xml:space="preserve"> icra dairesine yatırmaz</w:t>
            </w:r>
            <w:r w:rsidRPr="00A23740">
              <w:rPr>
                <w:lang w:eastAsia="tr-TR"/>
              </w:rPr>
              <w:t>sa</w:t>
            </w:r>
            <w:r w:rsidRPr="00A23740">
              <w:t xml:space="preserve"> </w:t>
            </w:r>
            <w:r w:rsidRPr="00A23740">
              <w:rPr>
                <w:lang w:eastAsia="tr-TR"/>
              </w:rPr>
              <w:t>hakkında 356 ncı madde hükmü kıyasen uygulanır.</w:t>
            </w: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23FA6" w:rsidP="009431FF">
            <w:pPr>
              <w:tabs>
                <w:tab w:val="left" w:pos="567"/>
              </w:tabs>
              <w:rPr>
                <w:b/>
                <w:bCs/>
                <w:color w:val="0000FF"/>
                <w:szCs w:val="24"/>
                <w:lang w:val="x-none" w:eastAsia="x-none"/>
              </w:rPr>
            </w:pPr>
            <w:r w:rsidRPr="00A23740">
              <w:rPr>
                <w:b/>
                <w:bCs/>
                <w:color w:val="0000FF"/>
                <w:szCs w:val="24"/>
                <w:lang w:val="x-none" w:eastAsia="x-none"/>
              </w:rPr>
              <w:t>Kiracılara bildirim</w:t>
            </w:r>
            <w:r w:rsidRPr="00A23740">
              <w:rPr>
                <w:b/>
                <w:bCs/>
                <w:color w:val="0000FF"/>
                <w:szCs w:val="24"/>
                <w:lang w:val="x-none" w:eastAsia="x-none"/>
              </w:rPr>
              <w:cr/>
              <w:t>MADDE 125</w:t>
            </w:r>
            <w:r w:rsidR="00155AF4" w:rsidRPr="00A23740">
              <w:rPr>
                <w:b/>
                <w:bCs/>
                <w:color w:val="0000FF"/>
                <w:szCs w:val="24"/>
                <w:lang w:val="x-none" w:eastAsia="x-none"/>
              </w:rPr>
              <w:t>- (1) Rehinli mal, kiraya verilmiş bir taşınmaz ise icra</w:t>
            </w:r>
            <w:r w:rsidR="00155AF4" w:rsidRPr="00A23740">
              <w:rPr>
                <w:b/>
                <w:bCs/>
                <w:color w:val="0000FF"/>
                <w:szCs w:val="24"/>
                <w:lang w:eastAsia="x-none"/>
              </w:rPr>
              <w:t xml:space="preserve"> </w:t>
            </w:r>
            <w:r w:rsidR="00155AF4" w:rsidRPr="00A23740">
              <w:rPr>
                <w:rStyle w:val="MaviChar"/>
              </w:rPr>
              <w:t>ve iflas dairesi,</w:t>
            </w:r>
            <w:r w:rsidR="00155AF4" w:rsidRPr="00A23740">
              <w:rPr>
                <w:b/>
                <w:bCs/>
                <w:color w:val="0000FF"/>
                <w:szCs w:val="24"/>
                <w:lang w:val="x-none" w:eastAsia="x-none"/>
              </w:rPr>
              <w:t xml:space="preserve"> alacaklının talebi üzerine</w:t>
            </w:r>
            <w:r w:rsidRPr="00A23740">
              <w:rPr>
                <w:b/>
                <w:bCs/>
                <w:color w:val="0000FF"/>
                <w:szCs w:val="24"/>
                <w:lang w:eastAsia="x-none"/>
              </w:rPr>
              <w:t>,</w:t>
            </w:r>
            <w:r w:rsidR="00155AF4" w:rsidRPr="00A23740">
              <w:rPr>
                <w:b/>
                <w:bCs/>
                <w:color w:val="0000FF"/>
                <w:szCs w:val="24"/>
                <w:lang w:eastAsia="x-none"/>
              </w:rPr>
              <w:t xml:space="preserve"> takibi</w:t>
            </w:r>
            <w:r w:rsidR="00155AF4" w:rsidRPr="00A23740">
              <w:rPr>
                <w:b/>
                <w:bCs/>
                <w:color w:val="0000FF"/>
                <w:szCs w:val="24"/>
                <w:lang w:val="x-none" w:eastAsia="x-none"/>
              </w:rPr>
              <w:t xml:space="preserve"> kiracılara bildirir ve bildirimin tebliğ edildiği tarihten</w:t>
            </w:r>
            <w:r w:rsidR="00155AF4" w:rsidRPr="00A23740">
              <w:rPr>
                <w:b/>
                <w:bCs/>
                <w:color w:val="0000FF"/>
                <w:szCs w:val="24"/>
                <w:lang w:eastAsia="x-none"/>
              </w:rPr>
              <w:t xml:space="preserve"> </w:t>
            </w:r>
            <w:r w:rsidR="00E56D84" w:rsidRPr="005574AB">
              <w:rPr>
                <w:b/>
                <w:bCs/>
                <w:color w:val="0000FF"/>
                <w:szCs w:val="24"/>
                <w:lang w:eastAsia="x-none"/>
              </w:rPr>
              <w:t>başlayarak</w:t>
            </w:r>
            <w:r w:rsidR="00E56D84" w:rsidRPr="00A23740">
              <w:rPr>
                <w:b/>
                <w:bCs/>
                <w:color w:val="538135"/>
                <w:szCs w:val="24"/>
                <w:lang w:eastAsia="x-none"/>
              </w:rPr>
              <w:t xml:space="preserve"> </w:t>
            </w:r>
            <w:r w:rsidR="00155AF4" w:rsidRPr="00A23740">
              <w:rPr>
                <w:b/>
                <w:bCs/>
                <w:color w:val="0000FF"/>
                <w:szCs w:val="24"/>
                <w:lang w:val="x-none" w:eastAsia="x-none"/>
              </w:rPr>
              <w:t>ipoteğin paraya çevrileceği ana kadar işleyecek kiraların icra</w:t>
            </w:r>
            <w:r w:rsidR="00155AF4" w:rsidRPr="00A23740">
              <w:rPr>
                <w:b/>
                <w:bCs/>
                <w:color w:val="0000FF"/>
                <w:szCs w:val="24"/>
                <w:lang w:eastAsia="x-none"/>
              </w:rPr>
              <w:t xml:space="preserve"> </w:t>
            </w:r>
            <w:r w:rsidR="00155AF4" w:rsidRPr="00A23740">
              <w:rPr>
                <w:rStyle w:val="MaviChar"/>
              </w:rPr>
              <w:t>ve iflas</w:t>
            </w:r>
            <w:r w:rsidR="00155AF4" w:rsidRPr="00A23740">
              <w:rPr>
                <w:b/>
                <w:bCs/>
                <w:color w:val="0000FF"/>
                <w:szCs w:val="24"/>
                <w:lang w:val="x-none" w:eastAsia="x-none"/>
              </w:rPr>
              <w:t xml:space="preserve"> dairesi</w:t>
            </w:r>
            <w:r w:rsidRPr="00A23740">
              <w:rPr>
                <w:b/>
                <w:bCs/>
                <w:color w:val="0000FF"/>
                <w:szCs w:val="24"/>
                <w:lang w:eastAsia="x-none"/>
              </w:rPr>
              <w:t>nin banka</w:t>
            </w:r>
            <w:r w:rsidR="00155AF4" w:rsidRPr="00A23740">
              <w:rPr>
                <w:b/>
                <w:bCs/>
                <w:color w:val="0000FF"/>
                <w:szCs w:val="24"/>
                <w:lang w:val="x-none" w:eastAsia="x-none"/>
              </w:rPr>
              <w:t xml:space="preserve"> hesabına ödenmesini</w:t>
            </w:r>
            <w:r w:rsidR="00155AF4" w:rsidRPr="00A23740">
              <w:rPr>
                <w:b/>
                <w:bCs/>
                <w:color w:val="0000FF"/>
                <w:szCs w:val="24"/>
                <w:lang w:eastAsia="x-none"/>
              </w:rPr>
              <w:t xml:space="preserve"> </w:t>
            </w:r>
            <w:r w:rsidR="00155AF4" w:rsidRPr="00A23740">
              <w:rPr>
                <w:rStyle w:val="MaviChar"/>
              </w:rPr>
              <w:t>ihtar eder</w:t>
            </w:r>
            <w:r w:rsidR="00155AF4" w:rsidRPr="00A23740">
              <w:rPr>
                <w:b/>
                <w:bCs/>
                <w:color w:val="0000FF"/>
                <w:szCs w:val="24"/>
                <w:lang w:val="x-none" w:eastAsia="x-none"/>
              </w:rPr>
              <w:t>. Bildi</w:t>
            </w:r>
            <w:r w:rsidR="006E00D7" w:rsidRPr="00A23740">
              <w:rPr>
                <w:b/>
                <w:bCs/>
                <w:color w:val="0000FF"/>
                <w:szCs w:val="24"/>
                <w:lang w:val="x-none" w:eastAsia="x-none"/>
              </w:rPr>
              <w:t>rimde ikinci ve üçüncü fıkrada</w:t>
            </w:r>
            <w:r w:rsidR="00155AF4" w:rsidRPr="00A23740">
              <w:rPr>
                <w:b/>
                <w:bCs/>
                <w:color w:val="0000FF"/>
                <w:szCs w:val="24"/>
                <w:lang w:val="x-none" w:eastAsia="x-none"/>
              </w:rPr>
              <w:t xml:space="preserve"> belirtilen hususlar da yer alır.</w:t>
            </w:r>
          </w:p>
          <w:p w:rsidR="00155AF4" w:rsidRPr="00A23740" w:rsidRDefault="00155AF4" w:rsidP="009431FF">
            <w:pPr>
              <w:tabs>
                <w:tab w:val="left" w:pos="566"/>
              </w:tabs>
              <w:rPr>
                <w:rFonts w:eastAsia="ヒラギノ明朝 Pro W3"/>
                <w:b/>
                <w:color w:val="339933"/>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(2) Kiracı tarafından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w:t>
            </w:r>
            <w:r w:rsidR="00123FA6" w:rsidRPr="00A23740">
              <w:rPr>
                <w:b/>
                <w:bCs/>
                <w:color w:val="0000FF"/>
                <w:szCs w:val="24"/>
                <w:lang w:eastAsia="x-none"/>
              </w:rPr>
              <w:t>nin banka</w:t>
            </w:r>
            <w:r w:rsidRPr="00A23740">
              <w:rPr>
                <w:b/>
                <w:bCs/>
                <w:color w:val="0000FF"/>
                <w:szCs w:val="24"/>
                <w:lang w:val="x-none" w:eastAsia="x-none"/>
              </w:rPr>
              <w:t xml:space="preserve"> hesabına yatırılan para hak sahibine ödeninceye kadar bankada nemalandırılır.</w:t>
            </w:r>
          </w:p>
          <w:p w:rsidR="00155AF4" w:rsidRPr="00A23740" w:rsidRDefault="00155AF4" w:rsidP="009431FF">
            <w:pPr>
              <w:tabs>
                <w:tab w:val="left" w:pos="566"/>
              </w:tabs>
              <w:rPr>
                <w:rFonts w:eastAsia="ヒラギノ明朝 Pro W3"/>
                <w:b/>
                <w:color w:val="339933"/>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(3) Kiracı, kendisine yapılan bildirim tarihinden itibaren iki hafta içinde icra</w:t>
            </w:r>
            <w:r w:rsidRPr="00A23740">
              <w:rPr>
                <w:b/>
                <w:bCs/>
                <w:color w:val="0000FF"/>
                <w:szCs w:val="24"/>
                <w:lang w:eastAsia="x-none"/>
              </w:rPr>
              <w:t xml:space="preserve"> </w:t>
            </w:r>
            <w:r w:rsidRPr="00A23740">
              <w:rPr>
                <w:rStyle w:val="MaviChar"/>
              </w:rPr>
              <w:t>ve iflas dairesine</w:t>
            </w:r>
            <w:r w:rsidRPr="00A23740">
              <w:rPr>
                <w:b/>
                <w:bCs/>
                <w:color w:val="0000FF"/>
                <w:szCs w:val="24"/>
                <w:lang w:val="x-none" w:eastAsia="x-none"/>
              </w:rPr>
              <w:t xml:space="preserve"> kiracı olmadığı, kirayı ödemiş olduğu veya kira miktarının muhtırada bildirilen kadar bulunmadığı gibi bir itirazda bulunursa alacaklı, icra</w:t>
            </w:r>
            <w:r w:rsidRPr="00A23740">
              <w:rPr>
                <w:b/>
                <w:bCs/>
                <w:color w:val="0000FF"/>
                <w:szCs w:val="24"/>
                <w:lang w:eastAsia="x-none"/>
              </w:rPr>
              <w:t xml:space="preserve"> </w:t>
            </w:r>
            <w:r w:rsidRPr="00A23740">
              <w:rPr>
                <w:rStyle w:val="MaviChar"/>
              </w:rPr>
              <w:t>ve iflas dairesinden</w:t>
            </w:r>
            <w:r w:rsidRPr="00A23740">
              <w:rPr>
                <w:b/>
                <w:bCs/>
                <w:color w:val="0000FF"/>
                <w:szCs w:val="24"/>
                <w:lang w:val="x-none" w:eastAsia="x-none"/>
              </w:rPr>
              <w:t xml:space="preserve"> talep edeceği yetki belgesine dayanarak sulh hukuk mahkemesinde kira alacağının varlığının ve miktarının tespiti için dava açabilir. Mahkeme, uyuşmazlığı Türk Medeni Kanununun 863 üncü maddesinin üçüncü fıkrasını da dikkate alarak genel hükümlere göre karara bağlar.</w:t>
            </w:r>
          </w:p>
          <w:p w:rsidR="00155AF4" w:rsidRPr="00A23740" w:rsidRDefault="00155AF4" w:rsidP="009431FF">
            <w:pPr>
              <w:tabs>
                <w:tab w:val="left" w:pos="566"/>
              </w:tabs>
              <w:rPr>
                <w:rFonts w:eastAsia="ヒラギノ明朝 Pro W3"/>
                <w:b/>
                <w:bCs/>
                <w:strike/>
                <w:color w:val="FF0000"/>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(4) Kiracı, ihtara rağmen süresi içinde itiraz etmez ve kira bedelini icra</w:t>
            </w:r>
            <w:r w:rsidRPr="00A23740">
              <w:rPr>
                <w:b/>
                <w:bCs/>
                <w:color w:val="0000FF"/>
                <w:szCs w:val="24"/>
                <w:lang w:eastAsia="x-none"/>
              </w:rPr>
              <w:t xml:space="preserve"> </w:t>
            </w:r>
            <w:r w:rsidRPr="00A23740">
              <w:rPr>
                <w:rStyle w:val="MaviChar"/>
              </w:rPr>
              <w:t>ve iflas</w:t>
            </w:r>
            <w:r w:rsidR="00123FA6" w:rsidRPr="00A23740">
              <w:rPr>
                <w:b/>
                <w:bCs/>
                <w:color w:val="0000FF"/>
                <w:szCs w:val="24"/>
                <w:lang w:val="x-none" w:eastAsia="x-none"/>
              </w:rPr>
              <w:t xml:space="preserve"> dairesinin banka hesabına</w:t>
            </w:r>
            <w:r w:rsidRPr="00A23740">
              <w:rPr>
                <w:b/>
                <w:bCs/>
                <w:color w:val="0000FF"/>
                <w:szCs w:val="24"/>
                <w:lang w:val="x-none" w:eastAsia="x-none"/>
              </w:rPr>
              <w:t xml:space="preserve"> yatırmazsa, kira alacağı icra </w:t>
            </w:r>
            <w:r w:rsidRPr="00A23740">
              <w:rPr>
                <w:rStyle w:val="MaviChar"/>
              </w:rPr>
              <w:t>ve iflas</w:t>
            </w:r>
            <w:r w:rsidRPr="00A23740">
              <w:rPr>
                <w:b/>
                <w:bCs/>
                <w:color w:val="0000FF"/>
                <w:szCs w:val="24"/>
                <w:lang w:eastAsia="x-none"/>
              </w:rPr>
              <w:t xml:space="preserve"> </w:t>
            </w:r>
            <w:r w:rsidRPr="00A23740">
              <w:rPr>
                <w:b/>
                <w:bCs/>
                <w:color w:val="0000FF"/>
                <w:szCs w:val="24"/>
                <w:lang w:val="x-none" w:eastAsia="x-none"/>
              </w:rPr>
              <w:t>dairesince kiracının mal, hak ve alacaklarının haczi suretiyle tahsil olunur.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(5) İcra </w:t>
            </w:r>
            <w:r w:rsidRPr="00A23740">
              <w:rPr>
                <w:rStyle w:val="MaviChar"/>
              </w:rPr>
              <w:t>ve iflas</w:t>
            </w:r>
            <w:r w:rsidRPr="00A23740">
              <w:rPr>
                <w:b/>
                <w:bCs/>
                <w:color w:val="0000FF"/>
                <w:szCs w:val="24"/>
                <w:lang w:eastAsia="x-none"/>
              </w:rPr>
              <w:t xml:space="preserve"> </w:t>
            </w:r>
            <w:r w:rsidRPr="00A23740">
              <w:rPr>
                <w:b/>
                <w:bCs/>
                <w:color w:val="0000FF"/>
                <w:szCs w:val="24"/>
                <w:lang w:val="x-none" w:eastAsia="x-none"/>
              </w:rPr>
              <w:t>dairesi,</w:t>
            </w:r>
            <w:r w:rsidRPr="00A23740">
              <w:rPr>
                <w:b/>
                <w:bCs/>
                <w:color w:val="0000FF"/>
                <w:szCs w:val="24"/>
                <w:lang w:eastAsia="x-none"/>
              </w:rPr>
              <w:t xml:space="preserve"> borçlu veya malik için</w:t>
            </w:r>
            <w:r w:rsidRPr="00A23740">
              <w:rPr>
                <w:b/>
                <w:bCs/>
                <w:color w:val="0000FF"/>
                <w:szCs w:val="24"/>
                <w:lang w:val="x-none" w:eastAsia="x-none"/>
              </w:rPr>
              <w:t xml:space="preserve"> kira alacağının tahsilini güvence altına almak </w:t>
            </w:r>
            <w:r w:rsidRPr="00A23740">
              <w:rPr>
                <w:b/>
                <w:bCs/>
                <w:color w:val="0000FF"/>
                <w:szCs w:val="24"/>
                <w:lang w:eastAsia="x-none"/>
              </w:rPr>
              <w:t xml:space="preserve">amacıyla </w:t>
            </w:r>
            <w:r w:rsidRPr="00A23740">
              <w:rPr>
                <w:b/>
                <w:bCs/>
                <w:color w:val="0000FF"/>
                <w:szCs w:val="24"/>
                <w:lang w:val="x-none" w:eastAsia="x-none"/>
              </w:rPr>
              <w:t>bütün tedbirleri almakla yükümlüdür.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(6) İcra takibinde ödeme emrine itiraz edilirse alacaklı, itirazın kendisine tebliğinden itibaren iki hafta içinde itirazın</w:t>
            </w:r>
            <w:r w:rsidRPr="00A23740">
              <w:rPr>
                <w:rFonts w:eastAsia="ヒラギノ明朝 Pro W3"/>
                <w:b/>
                <w:color w:val="FF0000"/>
                <w:szCs w:val="24"/>
                <w:lang w:val="x-none" w:eastAsia="x-none"/>
              </w:rPr>
              <w:t xml:space="preserve"> </w:t>
            </w:r>
            <w:r w:rsidRPr="00A23740">
              <w:rPr>
                <w:b/>
                <w:bCs/>
                <w:color w:val="0000FF"/>
                <w:szCs w:val="24"/>
                <w:lang w:val="x-none" w:eastAsia="x-none"/>
              </w:rPr>
              <w:t>iptalini talep etmezse kiracılara yapılan</w:t>
            </w:r>
            <w:r w:rsidRPr="00A23740">
              <w:rPr>
                <w:rStyle w:val="MaviChar"/>
              </w:rPr>
              <w:t xml:space="preserve"> bildirim</w:t>
            </w:r>
            <w:r w:rsidRPr="00A23740">
              <w:rPr>
                <w:b/>
                <w:bCs/>
                <w:color w:val="0000FF"/>
                <w:szCs w:val="24"/>
                <w:lang w:val="x-none" w:eastAsia="x-none"/>
              </w:rPr>
              <w:t xml:space="preserve"> geri alınır.</w:t>
            </w:r>
          </w:p>
          <w:p w:rsidR="00155AF4" w:rsidRPr="00A23740" w:rsidRDefault="00155AF4" w:rsidP="009431FF">
            <w:pPr>
              <w:tabs>
                <w:tab w:val="left" w:pos="566"/>
              </w:tabs>
              <w:rPr>
                <w:rFonts w:eastAsia="ヒラギノ明朝 Pro W3"/>
                <w:b/>
                <w:color w:val="339933"/>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(7) </w:t>
            </w:r>
            <w:r w:rsidR="00F34DDE" w:rsidRPr="005574AB">
              <w:rPr>
                <w:rStyle w:val="KonuBalChar"/>
                <w:rFonts w:eastAsia="Calibri"/>
                <w:color w:val="0000FF"/>
              </w:rPr>
              <w:t>140</w:t>
            </w:r>
            <w:r w:rsidR="00F34DDE" w:rsidRPr="00A23740">
              <w:rPr>
                <w:b/>
                <w:bCs/>
                <w:color w:val="0000FF"/>
                <w:szCs w:val="24"/>
                <w:lang w:eastAsia="x-none"/>
              </w:rPr>
              <w:t xml:space="preserve"> </w:t>
            </w:r>
            <w:r w:rsidRPr="00A23740">
              <w:rPr>
                <w:b/>
                <w:bCs/>
                <w:color w:val="0000FF"/>
                <w:szCs w:val="24"/>
                <w:lang w:val="x-none" w:eastAsia="x-none"/>
              </w:rPr>
              <w:t>ve</w:t>
            </w:r>
            <w:r w:rsidR="00F34DDE" w:rsidRPr="00A23740">
              <w:rPr>
                <w:b/>
                <w:bCs/>
                <w:color w:val="0000FF"/>
                <w:szCs w:val="24"/>
                <w:lang w:eastAsia="x-none"/>
              </w:rPr>
              <w:t xml:space="preserve"> </w:t>
            </w:r>
            <w:r w:rsidR="00F34DDE" w:rsidRPr="005574AB">
              <w:rPr>
                <w:rStyle w:val="KonuBalChar"/>
                <w:rFonts w:eastAsia="Calibri"/>
                <w:color w:val="0000FF"/>
              </w:rPr>
              <w:t>144 üncü</w:t>
            </w:r>
            <w:r w:rsidRPr="00A23740">
              <w:rPr>
                <w:b/>
                <w:bCs/>
                <w:color w:val="0000FF"/>
                <w:szCs w:val="24"/>
                <w:lang w:val="x-none" w:eastAsia="x-none"/>
              </w:rPr>
              <w:t xml:space="preserve"> maddelerdeki hükümler saklıdır.</w:t>
            </w:r>
          </w:p>
          <w:p w:rsidR="00155AF4" w:rsidRPr="00A23740" w:rsidRDefault="00155AF4" w:rsidP="009431FF">
            <w:pPr>
              <w:tabs>
                <w:tab w:val="left" w:pos="566"/>
              </w:tabs>
              <w:rPr>
                <w:rFonts w:eastAsia="Times New Roman"/>
                <w:b/>
                <w:bCs/>
                <w:iCs/>
                <w:strike/>
                <w:color w:val="FF0000"/>
                <w:szCs w:val="24"/>
                <w:lang w:val="x-none" w:eastAsia="x-none"/>
              </w:rPr>
            </w:pPr>
          </w:p>
        </w:tc>
      </w:tr>
      <w:tr w:rsidR="00895D8A" w:rsidRPr="00A23740" w:rsidTr="009431FF">
        <w:tc>
          <w:tcPr>
            <w:tcW w:w="5000" w:type="pct"/>
            <w:gridSpan w:val="2"/>
            <w:shd w:val="clear" w:color="auto" w:fill="DEEAF6"/>
          </w:tcPr>
          <w:p w:rsidR="005E7DF7" w:rsidRPr="00A23740" w:rsidRDefault="005E7DF7" w:rsidP="009431FF">
            <w:pPr>
              <w:tabs>
                <w:tab w:val="left" w:pos="567"/>
              </w:tabs>
              <w:ind w:firstLine="567"/>
              <w:rPr>
                <w:b/>
                <w:bCs/>
                <w:szCs w:val="24"/>
                <w:lang w:eastAsia="x-none"/>
              </w:rPr>
            </w:pPr>
          </w:p>
          <w:p w:rsidR="0042739A" w:rsidRPr="00A23740" w:rsidRDefault="00F977B1" w:rsidP="009431FF">
            <w:pPr>
              <w:tabs>
                <w:tab w:val="left" w:pos="567"/>
              </w:tabs>
              <w:ind w:firstLine="567"/>
              <w:rPr>
                <w:bCs/>
                <w:szCs w:val="24"/>
                <w:lang w:eastAsia="x-none"/>
              </w:rPr>
            </w:pPr>
            <w:r w:rsidRPr="00A23740">
              <w:rPr>
                <w:b/>
                <w:bCs/>
                <w:szCs w:val="24"/>
                <w:lang w:eastAsia="x-none"/>
              </w:rPr>
              <w:t>MADDE 125</w:t>
            </w:r>
            <w:r w:rsidR="00895D8A" w:rsidRPr="00A23740">
              <w:rPr>
                <w:b/>
                <w:bCs/>
                <w:szCs w:val="24"/>
                <w:lang w:eastAsia="x-none"/>
              </w:rPr>
              <w:t xml:space="preserve">- </w:t>
            </w:r>
            <w:r w:rsidR="0042739A" w:rsidRPr="00A23740">
              <w:rPr>
                <w:bCs/>
                <w:szCs w:val="24"/>
                <w:lang w:eastAsia="x-none"/>
              </w:rPr>
              <w:t xml:space="preserve">Maddeyle, ipoteğin paraya çevrilmesi yoluyla takipte </w:t>
            </w:r>
            <w:r w:rsidR="00956F78" w:rsidRPr="00A23740">
              <w:rPr>
                <w:bCs/>
                <w:szCs w:val="24"/>
                <w:lang w:eastAsia="x-none"/>
              </w:rPr>
              <w:t>k</w:t>
            </w:r>
            <w:r w:rsidR="0042739A" w:rsidRPr="00A23740">
              <w:rPr>
                <w:bCs/>
                <w:szCs w:val="24"/>
                <w:lang w:eastAsia="x-none"/>
              </w:rPr>
              <w:t>iracılara bildirime ilişkin hususlar düzenlenmektedir.</w:t>
            </w:r>
          </w:p>
          <w:p w:rsidR="00895D8A" w:rsidRPr="00A23740" w:rsidRDefault="00895D8A" w:rsidP="009431FF">
            <w:pPr>
              <w:tabs>
                <w:tab w:val="left" w:pos="567"/>
              </w:tabs>
              <w:ind w:firstLine="567"/>
              <w:rPr>
                <w:bCs/>
                <w:szCs w:val="24"/>
                <w:lang w:eastAsia="x-none"/>
              </w:rPr>
            </w:pPr>
            <w:r w:rsidRPr="00A23740">
              <w:rPr>
                <w:bCs/>
                <w:szCs w:val="24"/>
                <w:lang w:eastAsia="x-none"/>
              </w:rPr>
              <w:t>İpoteğin paraya çevrilmesi sırasında gerek icra emrinde gerekse ödeme emrinde ihtar edildiği üzere ipotek konusu taşınmazın kiraya verilmiş olması durumunda, icra ve iflas dairesi, alacaklının talebi üzerine takipten kiracıları haberdar eder ve ipoteğin paraya çevrilmesine kadar kira bedellerini, icra ve ifl</w:t>
            </w:r>
            <w:r w:rsidR="00F977B1" w:rsidRPr="00A23740">
              <w:rPr>
                <w:bCs/>
                <w:szCs w:val="24"/>
                <w:lang w:eastAsia="x-none"/>
              </w:rPr>
              <w:t>a</w:t>
            </w:r>
            <w:r w:rsidRPr="00A23740">
              <w:rPr>
                <w:bCs/>
                <w:szCs w:val="24"/>
                <w:lang w:eastAsia="x-none"/>
              </w:rPr>
              <w:t>s dairesinin</w:t>
            </w:r>
            <w:r w:rsidR="00F977B1" w:rsidRPr="00A23740">
              <w:rPr>
                <w:bCs/>
                <w:szCs w:val="24"/>
                <w:lang w:eastAsia="x-none"/>
              </w:rPr>
              <w:t xml:space="preserve"> </w:t>
            </w:r>
            <w:r w:rsidR="00F977B1" w:rsidRPr="005574AB">
              <w:rPr>
                <w:szCs w:val="24"/>
                <w:lang w:eastAsia="x-none"/>
              </w:rPr>
              <w:t>banka</w:t>
            </w:r>
            <w:r w:rsidRPr="00A23740">
              <w:rPr>
                <w:b/>
                <w:bCs/>
                <w:szCs w:val="24"/>
                <w:lang w:eastAsia="x-none"/>
              </w:rPr>
              <w:t xml:space="preserve"> </w:t>
            </w:r>
            <w:r w:rsidRPr="00A23740">
              <w:rPr>
                <w:bCs/>
                <w:szCs w:val="24"/>
                <w:lang w:eastAsia="x-none"/>
              </w:rPr>
              <w:t>hesabına ödemesini kendilerine ihtar eder. Yazılı bildirimde, hükmün ikinci ve üçüncü fıkrasında yazılı hususlara da ayrıca yer verilir. Paraya çevrilmeyle kastedilen ise taşınmazın yapılan ihalesinin</w:t>
            </w:r>
            <w:r w:rsidR="00956F78" w:rsidRPr="00A23740">
              <w:rPr>
                <w:bCs/>
                <w:szCs w:val="24"/>
                <w:lang w:eastAsia="x-none"/>
              </w:rPr>
              <w:t xml:space="preserve"> </w:t>
            </w:r>
            <w:r w:rsidRPr="00A23740">
              <w:rPr>
                <w:bCs/>
                <w:szCs w:val="24"/>
                <w:lang w:eastAsia="x-none"/>
              </w:rPr>
              <w:t xml:space="preserve">kesinleşmesi anıdır. </w:t>
            </w:r>
          </w:p>
          <w:p w:rsidR="00895D8A" w:rsidRPr="00A23740" w:rsidRDefault="00F977B1" w:rsidP="009431FF">
            <w:pPr>
              <w:tabs>
                <w:tab w:val="left" w:pos="567"/>
              </w:tabs>
              <w:ind w:firstLine="567"/>
              <w:rPr>
                <w:bCs/>
                <w:szCs w:val="24"/>
                <w:lang w:eastAsia="x-none"/>
              </w:rPr>
            </w:pPr>
            <w:r w:rsidRPr="005574AB">
              <w:rPr>
                <w:szCs w:val="24"/>
                <w:lang w:eastAsia="x-none"/>
              </w:rPr>
              <w:t>Taslağın</w:t>
            </w:r>
            <w:r w:rsidRPr="00A23740">
              <w:rPr>
                <w:b/>
                <w:bCs/>
                <w:szCs w:val="24"/>
                <w:lang w:eastAsia="x-none"/>
              </w:rPr>
              <w:t xml:space="preserve"> </w:t>
            </w:r>
            <w:r w:rsidR="00895D8A" w:rsidRPr="00A23740">
              <w:rPr>
                <w:bCs/>
                <w:szCs w:val="24"/>
                <w:lang w:eastAsia="x-none"/>
              </w:rPr>
              <w:t xml:space="preserve">üçüncü fıkrasıyla kiracıya, böyle bir bildirim karşısında savunma ve karşı koyma imkânı tanınmakta; bunun üzerine alacaklının da sulh hukuk mahkemesine başvurarak kira alacağının varlığının ve miktarının tespitini isteyebileceği düzenlemektedir. Bu hâlde genel hükümlere tabi yargılama bakımından elde edilecek hükmün icrası, </w:t>
            </w:r>
            <w:r w:rsidRPr="005574AB">
              <w:rPr>
                <w:szCs w:val="24"/>
                <w:lang w:eastAsia="x-none"/>
              </w:rPr>
              <w:t>Taslakta</w:t>
            </w:r>
            <w:r w:rsidRPr="00A23740">
              <w:rPr>
                <w:bCs/>
                <w:szCs w:val="24"/>
                <w:lang w:eastAsia="x-none"/>
              </w:rPr>
              <w:t xml:space="preserve"> </w:t>
            </w:r>
            <w:r w:rsidR="00895D8A" w:rsidRPr="00A23740">
              <w:rPr>
                <w:bCs/>
                <w:szCs w:val="24"/>
                <w:lang w:eastAsia="x-none"/>
              </w:rPr>
              <w:t>il</w:t>
            </w:r>
            <w:r w:rsidR="00D72007" w:rsidRPr="00A23740">
              <w:rPr>
                <w:bCs/>
                <w:szCs w:val="24"/>
                <w:lang w:eastAsia="x-none"/>
              </w:rPr>
              <w:t>a</w:t>
            </w:r>
            <w:r w:rsidR="00895D8A" w:rsidRPr="00A23740">
              <w:rPr>
                <w:bCs/>
                <w:szCs w:val="24"/>
                <w:lang w:eastAsia="x-none"/>
              </w:rPr>
              <w:t xml:space="preserve">mların icrası hakkında geçerli genel ilke ve kurallara tabi olacak, yani istinaf denetiminden geçmeden icrası istenemeyecektir. </w:t>
            </w:r>
          </w:p>
          <w:p w:rsidR="00895D8A" w:rsidRPr="00A23740" w:rsidRDefault="00895D8A" w:rsidP="009431FF">
            <w:pPr>
              <w:tabs>
                <w:tab w:val="left" w:pos="567"/>
              </w:tabs>
              <w:ind w:firstLine="567"/>
              <w:rPr>
                <w:bCs/>
                <w:szCs w:val="24"/>
                <w:lang w:eastAsia="x-none"/>
              </w:rPr>
            </w:pPr>
            <w:r w:rsidRPr="00A23740">
              <w:rPr>
                <w:bCs/>
                <w:szCs w:val="24"/>
                <w:lang w:eastAsia="x-none"/>
              </w:rPr>
              <w:t>Kesinleşen bedel bakımından bunun kiracı nezdinde gereğinde cebren tahsili mümkün olup</w:t>
            </w:r>
            <w:r w:rsidR="00956F78" w:rsidRPr="00A23740">
              <w:rPr>
                <w:bCs/>
                <w:szCs w:val="24"/>
                <w:lang w:eastAsia="x-none"/>
              </w:rPr>
              <w:t>,</w:t>
            </w:r>
            <w:r w:rsidRPr="00A23740">
              <w:rPr>
                <w:bCs/>
                <w:szCs w:val="24"/>
                <w:lang w:eastAsia="x-none"/>
              </w:rPr>
              <w:t xml:space="preserve"> </w:t>
            </w:r>
            <w:r w:rsidR="00956F78" w:rsidRPr="00A23740">
              <w:rPr>
                <w:bCs/>
                <w:szCs w:val="24"/>
                <w:lang w:eastAsia="x-none"/>
              </w:rPr>
              <w:t>maddenin</w:t>
            </w:r>
            <w:r w:rsidR="00956F78" w:rsidRPr="00A23740">
              <w:rPr>
                <w:b/>
                <w:bCs/>
                <w:szCs w:val="24"/>
                <w:lang w:eastAsia="x-none"/>
              </w:rPr>
              <w:t xml:space="preserve"> </w:t>
            </w:r>
            <w:r w:rsidRPr="00A23740">
              <w:rPr>
                <w:bCs/>
                <w:szCs w:val="24"/>
                <w:lang w:eastAsia="x-none"/>
              </w:rPr>
              <w:t>dördüncü ve beşinci fıkra</w:t>
            </w:r>
            <w:r w:rsidR="00956F78" w:rsidRPr="00A23740">
              <w:rPr>
                <w:bCs/>
                <w:szCs w:val="24"/>
                <w:lang w:eastAsia="x-none"/>
              </w:rPr>
              <w:t>sı</w:t>
            </w:r>
            <w:r w:rsidRPr="00A23740">
              <w:rPr>
                <w:bCs/>
                <w:szCs w:val="24"/>
                <w:lang w:eastAsia="x-none"/>
              </w:rPr>
              <w:t xml:space="preserve"> hükümleri, bu ihtimali gözeterek kaleme alınmıştır. Yapılan itiraz üzerine duran takip bakımından söz konusu ihtaratın geçerliliğini koruyup hüküm ve sonuçlarını doğurabilmesi, alacaklının itirazın kendisine tebliğinden itibaren iki hafta içinde itirazın iptali davasını açmış olmasına bağlıdır. </w:t>
            </w:r>
          </w:p>
          <w:p w:rsidR="00895D8A" w:rsidRPr="00A23740" w:rsidRDefault="00895D8A" w:rsidP="009431FF">
            <w:pPr>
              <w:tabs>
                <w:tab w:val="left" w:pos="567"/>
              </w:tabs>
              <w:ind w:firstLine="567"/>
              <w:rPr>
                <w:b/>
                <w:bCs/>
                <w:szCs w:val="24"/>
                <w:lang w:eastAsia="x-none"/>
              </w:rPr>
            </w:pPr>
            <w:r w:rsidRPr="00A23740">
              <w:rPr>
                <w:bCs/>
                <w:szCs w:val="24"/>
                <w:lang w:eastAsia="x-none"/>
              </w:rPr>
              <w:t xml:space="preserve">Söz konusu ihtaratı takiben </w:t>
            </w:r>
            <w:r w:rsidR="00F977B1" w:rsidRPr="005574AB">
              <w:rPr>
                <w:szCs w:val="24"/>
                <w:lang w:eastAsia="x-none"/>
              </w:rPr>
              <w:t>Taslağın</w:t>
            </w:r>
            <w:r w:rsidR="00F977B1" w:rsidRPr="00A23740">
              <w:rPr>
                <w:bCs/>
                <w:szCs w:val="24"/>
                <w:lang w:eastAsia="x-none"/>
              </w:rPr>
              <w:t xml:space="preserve"> </w:t>
            </w:r>
            <w:r w:rsidRPr="00A23740">
              <w:rPr>
                <w:bCs/>
                <w:szCs w:val="24"/>
                <w:lang w:eastAsia="x-none"/>
              </w:rPr>
              <w:t xml:space="preserve">yeri geldiğinde </w:t>
            </w:r>
            <w:r w:rsidR="00F34DDE" w:rsidRPr="005574AB">
              <w:rPr>
                <w:szCs w:val="24"/>
              </w:rPr>
              <w:t>140</w:t>
            </w:r>
            <w:r w:rsidR="00F34DDE" w:rsidRPr="00A23740">
              <w:rPr>
                <w:b/>
                <w:bCs/>
                <w:color w:val="0000FF"/>
                <w:szCs w:val="24"/>
                <w:lang w:eastAsia="x-none"/>
              </w:rPr>
              <w:t xml:space="preserve"> </w:t>
            </w:r>
            <w:r w:rsidR="00F34DDE" w:rsidRPr="005574AB">
              <w:rPr>
                <w:bCs/>
                <w:szCs w:val="24"/>
                <w:lang w:eastAsia="x-none"/>
              </w:rPr>
              <w:t>ve</w:t>
            </w:r>
            <w:r w:rsidR="00F34DDE" w:rsidRPr="00A23740">
              <w:rPr>
                <w:bCs/>
                <w:color w:val="0000FF"/>
                <w:szCs w:val="24"/>
                <w:lang w:eastAsia="x-none"/>
              </w:rPr>
              <w:t xml:space="preserve"> </w:t>
            </w:r>
            <w:r w:rsidR="00F34DDE" w:rsidRPr="005574AB">
              <w:rPr>
                <w:szCs w:val="24"/>
              </w:rPr>
              <w:t>144 üncü</w:t>
            </w:r>
            <w:r w:rsidR="00F34DDE" w:rsidRPr="00A23740">
              <w:rPr>
                <w:b/>
                <w:bCs/>
                <w:color w:val="0000FF"/>
                <w:szCs w:val="24"/>
                <w:lang w:val="x-none" w:eastAsia="x-none"/>
              </w:rPr>
              <w:t xml:space="preserve"> </w:t>
            </w:r>
            <w:r w:rsidRPr="00A23740">
              <w:rPr>
                <w:bCs/>
                <w:szCs w:val="24"/>
                <w:lang w:eastAsia="x-none"/>
              </w:rPr>
              <w:t>madde</w:t>
            </w:r>
            <w:r w:rsidR="00956F78" w:rsidRPr="00A23740">
              <w:rPr>
                <w:bCs/>
                <w:szCs w:val="24"/>
                <w:lang w:eastAsia="x-none"/>
              </w:rPr>
              <w:t xml:space="preserve">leri uygulanmasına </w:t>
            </w:r>
            <w:r w:rsidRPr="00A23740">
              <w:rPr>
                <w:bCs/>
                <w:szCs w:val="24"/>
                <w:lang w:eastAsia="x-none"/>
              </w:rPr>
              <w:t xml:space="preserve"> ilişkin hükümler saklı ve bakidir.</w:t>
            </w:r>
          </w:p>
          <w:p w:rsidR="00895D8A" w:rsidRPr="00A23740" w:rsidRDefault="00895D8A" w:rsidP="0080239A">
            <w:pPr>
              <w:tabs>
                <w:tab w:val="left" w:pos="567"/>
              </w:tabs>
              <w:ind w:firstLine="567"/>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 xml:space="preserve">Tapu </w:t>
            </w:r>
            <w:r w:rsidRPr="00A23740">
              <w:rPr>
                <w:b/>
                <w:bCs/>
                <w:strike/>
                <w:color w:val="FF0000"/>
                <w:szCs w:val="24"/>
              </w:rPr>
              <w:t>idaresine haber verme:</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150/c – (1) (Ek: 18</w:t>
            </w:r>
            <w:r w:rsidRPr="00A23740">
              <w:rPr>
                <w:b/>
                <w:strike/>
                <w:color w:val="FF0000"/>
                <w:szCs w:val="24"/>
                <w:lang w:eastAsia="tr-TR"/>
              </w:rPr>
              <w:t>/2/1965 - 538/72 md.)</w:t>
            </w:r>
          </w:p>
          <w:p w:rsidR="00155AF4" w:rsidRPr="00A23740" w:rsidRDefault="00155AF4" w:rsidP="009431FF">
            <w:pPr>
              <w:tabs>
                <w:tab w:val="left" w:pos="567"/>
              </w:tabs>
              <w:autoSpaceDE w:val="0"/>
              <w:autoSpaceDN w:val="0"/>
              <w:adjustRightInd w:val="0"/>
              <w:rPr>
                <w:szCs w:val="24"/>
              </w:rPr>
            </w:pPr>
            <w:r w:rsidRPr="00A23740">
              <w:rPr>
                <w:szCs w:val="24"/>
              </w:rPr>
              <w:t xml:space="preserve">İcra </w:t>
            </w:r>
            <w:r w:rsidRPr="00A23740">
              <w:rPr>
                <w:b/>
                <w:strike/>
                <w:color w:val="FF0000"/>
                <w:szCs w:val="24"/>
                <w:lang w:eastAsia="tr-TR"/>
              </w:rPr>
              <w:t>memuru</w:t>
            </w:r>
            <w:r w:rsidRPr="00A23740">
              <w:t>,</w:t>
            </w:r>
            <w:r w:rsidRPr="00A23740">
              <w:rPr>
                <w:szCs w:val="24"/>
              </w:rPr>
              <w:t xml:space="preserve"> ipoteğin paraya çevrilmesi hakkında</w:t>
            </w:r>
            <w:r w:rsidRPr="00A23740">
              <w:rPr>
                <w:b/>
                <w:bCs/>
                <w:strike/>
                <w:color w:val="FF0000"/>
                <w:szCs w:val="24"/>
              </w:rPr>
              <w:t>ki</w:t>
            </w:r>
            <w:r w:rsidRPr="00A23740">
              <w:rPr>
                <w:szCs w:val="24"/>
              </w:rPr>
              <w:t xml:space="preserve"> takibin başladığını tapu </w:t>
            </w:r>
            <w:r w:rsidRPr="00A23740">
              <w:rPr>
                <w:b/>
                <w:strike/>
                <w:color w:val="FF0000"/>
                <w:szCs w:val="24"/>
                <w:lang w:eastAsia="tr-TR"/>
              </w:rPr>
              <w:t>idaresine</w:t>
            </w:r>
            <w:r w:rsidRPr="00A23740">
              <w:rPr>
                <w:szCs w:val="24"/>
              </w:rPr>
              <w:t xml:space="preserve"> </w:t>
            </w:r>
            <w:r w:rsidRPr="00A23740">
              <w:rPr>
                <w:b/>
                <w:bCs/>
                <w:strike/>
                <w:color w:val="FF0000"/>
                <w:szCs w:val="24"/>
              </w:rPr>
              <w:t>haber vermeye</w:t>
            </w:r>
            <w:r w:rsidRPr="00A23740">
              <w:rPr>
                <w:b/>
                <w:strike/>
                <w:color w:val="FF0000"/>
                <w:szCs w:val="24"/>
                <w:lang w:eastAsia="tr-TR"/>
              </w:rPr>
              <w:t xml:space="preserve"> mecburdur.</w:t>
            </w:r>
            <w:r w:rsidRPr="00A23740">
              <w:rPr>
                <w:szCs w:val="24"/>
              </w:rPr>
              <w:t xml:space="preserve"> Tapu </w:t>
            </w:r>
            <w:r w:rsidRPr="00A23740">
              <w:rPr>
                <w:b/>
                <w:bCs/>
                <w:strike/>
                <w:color w:val="FF0000"/>
                <w:szCs w:val="24"/>
              </w:rPr>
              <w:t>memuru</w:t>
            </w:r>
            <w:r w:rsidRPr="00A23740">
              <w:rPr>
                <w:szCs w:val="24"/>
              </w:rPr>
              <w:t xml:space="preserve">, </w:t>
            </w:r>
            <w:r w:rsidRPr="00A23740">
              <w:rPr>
                <w:b/>
                <w:strike/>
                <w:color w:val="FF0000"/>
                <w:szCs w:val="24"/>
                <w:lang w:eastAsia="tr-TR"/>
              </w:rPr>
              <w:t>keyfiyeti</w:t>
            </w:r>
            <w:r w:rsidRPr="00A23740">
              <w:rPr>
                <w:szCs w:val="24"/>
              </w:rPr>
              <w:t xml:space="preserve"> taşınmazın siciline şerh verir. Taşınmazı bu şerh tarihinden sonra iktisap edenlere icra veya ödeme emri tebliğ </w:t>
            </w:r>
            <w:r w:rsidRPr="00A23740">
              <w:rPr>
                <w:b/>
                <w:strike/>
                <w:color w:val="FF0000"/>
                <w:szCs w:val="24"/>
                <w:lang w:eastAsia="tr-TR"/>
              </w:rPr>
              <w:t>olunmaz</w:t>
            </w:r>
            <w:r w:rsidRPr="00A23740">
              <w:rPr>
                <w:szCs w:val="24"/>
              </w:rPr>
              <w:t>.</w:t>
            </w:r>
          </w:p>
          <w:p w:rsidR="00155AF4" w:rsidRPr="00A23740" w:rsidRDefault="00155AF4" w:rsidP="009431FF">
            <w:pPr>
              <w:tabs>
                <w:tab w:val="left" w:pos="567"/>
              </w:tabs>
              <w:autoSpaceDE w:val="0"/>
              <w:autoSpaceDN w:val="0"/>
              <w:adjustRightInd w:val="0"/>
              <w:rPr>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b/>
                <w:bCs/>
                <w:szCs w:val="24"/>
              </w:rPr>
              <w:t>Tapu</w:t>
            </w:r>
            <w:r w:rsidRPr="00A23740">
              <w:rPr>
                <w:iCs/>
                <w:szCs w:val="24"/>
              </w:rPr>
              <w:t xml:space="preserve"> </w:t>
            </w:r>
            <w:r w:rsidRPr="00A23740">
              <w:rPr>
                <w:b/>
                <w:bCs/>
                <w:color w:val="0000FF"/>
                <w:szCs w:val="24"/>
                <w:lang w:val="x-none" w:eastAsia="x-none"/>
              </w:rPr>
              <w:t>müdürlüğüne</w:t>
            </w:r>
            <w:r w:rsidRPr="00A23740">
              <w:rPr>
                <w:b/>
                <w:bCs/>
                <w:color w:val="0000FF"/>
                <w:szCs w:val="24"/>
                <w:lang w:eastAsia="x-none"/>
              </w:rPr>
              <w:t xml:space="preserve"> </w:t>
            </w:r>
            <w:r w:rsidRPr="00A23740">
              <w:rPr>
                <w:b/>
                <w:bCs/>
                <w:color w:val="0000FF"/>
                <w:szCs w:val="24"/>
                <w:lang w:val="x-none" w:eastAsia="x-none"/>
              </w:rPr>
              <w:t>bildirim</w:t>
            </w:r>
          </w:p>
          <w:p w:rsidR="00155AF4" w:rsidRPr="00A23740" w:rsidRDefault="00155AF4" w:rsidP="009431FF">
            <w:pPr>
              <w:tabs>
                <w:tab w:val="left" w:pos="567"/>
              </w:tabs>
              <w:autoSpaceDE w:val="0"/>
              <w:autoSpaceDN w:val="0"/>
              <w:adjustRightInd w:val="0"/>
              <w:rPr>
                <w:szCs w:val="24"/>
              </w:rPr>
            </w:pPr>
            <w:r w:rsidRPr="00A23740">
              <w:rPr>
                <w:b/>
                <w:bCs/>
                <w:color w:val="0000FF"/>
                <w:szCs w:val="24"/>
                <w:lang w:eastAsia="x-none"/>
              </w:rPr>
              <w:t xml:space="preserve">MADDE </w:t>
            </w:r>
            <w:r w:rsidR="00F977B1" w:rsidRPr="00A23740">
              <w:rPr>
                <w:b/>
                <w:bCs/>
                <w:color w:val="0000FF"/>
                <w:szCs w:val="24"/>
                <w:lang w:val="x-none" w:eastAsia="x-none"/>
              </w:rPr>
              <w:t>126</w:t>
            </w:r>
            <w:r w:rsidRPr="00A23740">
              <w:rPr>
                <w:b/>
                <w:bCs/>
                <w:color w:val="0000FF"/>
                <w:szCs w:val="24"/>
                <w:lang w:val="x-none" w:eastAsia="x-none"/>
              </w:rPr>
              <w:t>-</w:t>
            </w:r>
            <w:r w:rsidRPr="00A23740">
              <w:rPr>
                <w:b/>
                <w:bCs/>
                <w:color w:val="0000FF"/>
                <w:szCs w:val="24"/>
                <w:lang w:eastAsia="x-none"/>
              </w:rPr>
              <w:t xml:space="preserve"> (1)</w:t>
            </w:r>
            <w:r w:rsidRPr="00A23740">
              <w:rPr>
                <w:szCs w:val="24"/>
              </w:rPr>
              <w:t xml:space="preserve"> İcra </w:t>
            </w:r>
            <w:r w:rsidRPr="00A23740">
              <w:rPr>
                <w:rStyle w:val="MaviChar"/>
              </w:rPr>
              <w:t xml:space="preserve">ve iflas dairesi, </w:t>
            </w:r>
            <w:r w:rsidRPr="00A23740">
              <w:rPr>
                <w:b/>
                <w:bCs/>
                <w:color w:val="0000FF"/>
                <w:szCs w:val="24"/>
                <w:lang w:val="x-none" w:eastAsia="x-none"/>
              </w:rPr>
              <w:t>Türk Medeni Kanununun 883 üncü maddesinin ikinci fıkrasındaki süreyi de dikkate alarak</w:t>
            </w:r>
            <w:r w:rsidRPr="00A23740">
              <w:rPr>
                <w:b/>
                <w:bCs/>
                <w:color w:val="0000FF"/>
                <w:szCs w:val="24"/>
                <w:lang w:eastAsia="x-none"/>
              </w:rPr>
              <w:t>,</w:t>
            </w:r>
            <w:r w:rsidRPr="00A23740">
              <w:rPr>
                <w:b/>
                <w:color w:val="0000FF"/>
                <w:szCs w:val="24"/>
              </w:rPr>
              <w:t xml:space="preserve"> </w:t>
            </w:r>
            <w:r w:rsidRPr="00A23740">
              <w:rPr>
                <w:szCs w:val="24"/>
              </w:rPr>
              <w:t>ipoteğin paraya çevrilmesi hakkında takibin başla</w:t>
            </w:r>
            <w:r w:rsidRPr="00A23740">
              <w:rPr>
                <w:b/>
                <w:bCs/>
                <w:color w:val="0000FF"/>
                <w:szCs w:val="24"/>
                <w:lang w:val="x-none" w:eastAsia="x-none"/>
              </w:rPr>
              <w:t>tıl</w:t>
            </w:r>
            <w:r w:rsidRPr="00A23740">
              <w:rPr>
                <w:szCs w:val="24"/>
              </w:rPr>
              <w:t xml:space="preserve">dığını tapu </w:t>
            </w:r>
            <w:r w:rsidRPr="00A23740">
              <w:rPr>
                <w:b/>
                <w:bCs/>
                <w:color w:val="0000FF"/>
                <w:szCs w:val="24"/>
                <w:lang w:val="x-none" w:eastAsia="x-none"/>
              </w:rPr>
              <w:t>müdürlüğüne</w:t>
            </w:r>
            <w:r w:rsidRPr="00A23740">
              <w:rPr>
                <w:b/>
                <w:bCs/>
                <w:color w:val="0000FF"/>
                <w:szCs w:val="24"/>
                <w:lang w:eastAsia="x-none"/>
              </w:rPr>
              <w:t xml:space="preserve"> derh</w:t>
            </w:r>
            <w:r w:rsidR="00DF22A1" w:rsidRPr="00A23740">
              <w:rPr>
                <w:b/>
                <w:bCs/>
                <w:color w:val="0000FF"/>
                <w:szCs w:val="24"/>
                <w:lang w:eastAsia="x-none"/>
              </w:rPr>
              <w:t>â</w:t>
            </w:r>
            <w:r w:rsidRPr="00A23740">
              <w:rPr>
                <w:b/>
                <w:bCs/>
                <w:color w:val="0000FF"/>
                <w:szCs w:val="24"/>
                <w:lang w:eastAsia="x-none"/>
              </w:rPr>
              <w:t>l</w:t>
            </w:r>
            <w:r w:rsidRPr="00A23740">
              <w:rPr>
                <w:szCs w:val="24"/>
              </w:rPr>
              <w:t xml:space="preserve"> </w:t>
            </w:r>
            <w:r w:rsidRPr="00A23740">
              <w:rPr>
                <w:b/>
                <w:bCs/>
                <w:color w:val="0000FF"/>
                <w:szCs w:val="24"/>
                <w:lang w:val="x-none" w:eastAsia="x-none"/>
              </w:rPr>
              <w:t>bildir</w:t>
            </w:r>
            <w:r w:rsidRPr="00A23740">
              <w:rPr>
                <w:b/>
                <w:bCs/>
                <w:color w:val="0000FF"/>
                <w:szCs w:val="24"/>
                <w:lang w:eastAsia="x-none"/>
              </w:rPr>
              <w:t>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(2)</w:t>
            </w:r>
            <w:r w:rsidRPr="00A23740">
              <w:rPr>
                <w:szCs w:val="24"/>
              </w:rPr>
              <w:t xml:space="preserve"> Tapu </w:t>
            </w:r>
            <w:r w:rsidRPr="00A23740">
              <w:rPr>
                <w:b/>
                <w:bCs/>
                <w:color w:val="0000FF"/>
                <w:szCs w:val="24"/>
                <w:lang w:val="x-none" w:eastAsia="x-none"/>
              </w:rPr>
              <w:t>müdürü</w:t>
            </w:r>
            <w:r w:rsidRPr="00A23740">
              <w:rPr>
                <w:szCs w:val="24"/>
              </w:rPr>
              <w:t xml:space="preserve">, </w:t>
            </w:r>
            <w:r w:rsidRPr="00A23740">
              <w:rPr>
                <w:b/>
                <w:bCs/>
                <w:color w:val="0000FF"/>
                <w:szCs w:val="24"/>
                <w:lang w:val="x-none" w:eastAsia="x-none"/>
              </w:rPr>
              <w:t>durumu</w:t>
            </w:r>
            <w:r w:rsidRPr="00A23740">
              <w:rPr>
                <w:b/>
                <w:bCs/>
                <w:color w:val="0000FF"/>
                <w:szCs w:val="24"/>
                <w:lang w:eastAsia="x-none"/>
              </w:rPr>
              <w:t xml:space="preserve"> </w:t>
            </w:r>
            <w:r w:rsidRPr="00A23740">
              <w:rPr>
                <w:rStyle w:val="MaviChar"/>
              </w:rPr>
              <w:t>hemen</w:t>
            </w:r>
            <w:r w:rsidRPr="00A23740">
              <w:rPr>
                <w:szCs w:val="24"/>
              </w:rPr>
              <w:t xml:space="preserve"> taşınmazın siciline şerh verir. Taşınmazı bu şerh tarihinden sonra iktisap edenlere icra veya ödeme emri tebliğ </w:t>
            </w:r>
            <w:r w:rsidRPr="00A23740">
              <w:rPr>
                <w:b/>
                <w:bCs/>
                <w:color w:val="0000FF"/>
                <w:szCs w:val="24"/>
                <w:lang w:val="x-none" w:eastAsia="x-none"/>
              </w:rPr>
              <w:t>edilmez</w:t>
            </w:r>
            <w:r w:rsidRPr="00A23740">
              <w:rPr>
                <w:szCs w:val="24"/>
              </w:rPr>
              <w:t>.</w:t>
            </w:r>
          </w:p>
          <w:p w:rsidR="00155AF4" w:rsidRPr="00A23740" w:rsidRDefault="00155AF4" w:rsidP="009431FF">
            <w:pPr>
              <w:tabs>
                <w:tab w:val="left" w:pos="567"/>
              </w:tabs>
              <w:autoSpaceDE w:val="0"/>
              <w:autoSpaceDN w:val="0"/>
              <w:adjustRightInd w:val="0"/>
              <w:rPr>
                <w:szCs w:val="24"/>
              </w:rPr>
            </w:pPr>
          </w:p>
        </w:tc>
      </w:tr>
      <w:tr w:rsidR="00895D8A" w:rsidRPr="00A23740" w:rsidTr="009431FF">
        <w:tc>
          <w:tcPr>
            <w:tcW w:w="5000" w:type="pct"/>
            <w:gridSpan w:val="2"/>
            <w:shd w:val="clear" w:color="auto" w:fill="DEEAF6"/>
          </w:tcPr>
          <w:p w:rsidR="00895D8A" w:rsidRPr="00A23740" w:rsidRDefault="00895D8A" w:rsidP="009431FF">
            <w:pPr>
              <w:tabs>
                <w:tab w:val="left" w:pos="567"/>
              </w:tabs>
              <w:ind w:firstLine="567"/>
              <w:rPr>
                <w:b/>
                <w:bCs/>
                <w:szCs w:val="24"/>
                <w:lang w:eastAsia="x-none"/>
              </w:rPr>
            </w:pPr>
          </w:p>
          <w:p w:rsidR="00895D8A" w:rsidRPr="00A23740" w:rsidRDefault="00F977B1" w:rsidP="009431FF">
            <w:pPr>
              <w:tabs>
                <w:tab w:val="left" w:pos="567"/>
              </w:tabs>
              <w:ind w:firstLine="567"/>
              <w:rPr>
                <w:szCs w:val="24"/>
                <w:lang w:eastAsia="x-none"/>
              </w:rPr>
            </w:pPr>
            <w:r w:rsidRPr="00A23740">
              <w:rPr>
                <w:b/>
                <w:bCs/>
                <w:szCs w:val="24"/>
                <w:lang w:eastAsia="x-none"/>
              </w:rPr>
              <w:t>MADDE 126</w:t>
            </w:r>
            <w:r w:rsidR="00895D8A" w:rsidRPr="00A23740">
              <w:rPr>
                <w:b/>
                <w:bCs/>
                <w:szCs w:val="24"/>
                <w:lang w:eastAsia="x-none"/>
              </w:rPr>
              <w:t xml:space="preserve">- </w:t>
            </w:r>
            <w:r w:rsidR="00895D8A" w:rsidRPr="00A23740">
              <w:rPr>
                <w:bCs/>
                <w:szCs w:val="24"/>
                <w:lang w:eastAsia="x-none"/>
              </w:rPr>
              <w:t xml:space="preserve">Maddeyle, ipoteğin paraya çevrilmesi yoluyla takipte tapu müdürlüğüne bildirime ilişkin esaslar belirtilmektedir. </w:t>
            </w:r>
            <w:r w:rsidR="00895D8A" w:rsidRPr="00A23740">
              <w:rPr>
                <w:szCs w:val="24"/>
                <w:lang w:eastAsia="x-none"/>
              </w:rPr>
              <w:t>İpoteğin paraya çevrilmesi yoluyla takip başlatıldığında</w:t>
            </w:r>
            <w:r w:rsidR="00956F78" w:rsidRPr="00A23740">
              <w:rPr>
                <w:szCs w:val="24"/>
                <w:lang w:eastAsia="x-none"/>
              </w:rPr>
              <w:t>,</w:t>
            </w:r>
            <w:r w:rsidR="00895D8A" w:rsidRPr="00A23740">
              <w:rPr>
                <w:szCs w:val="24"/>
                <w:lang w:eastAsia="x-none"/>
              </w:rPr>
              <w:t xml:space="preserve"> bu durum icra ve iflas dairesince </w:t>
            </w:r>
            <w:r w:rsidR="00DF22A1" w:rsidRPr="00A23740">
              <w:rPr>
                <w:szCs w:val="24"/>
              </w:rPr>
              <w:t xml:space="preserve">derhâl </w:t>
            </w:r>
            <w:r w:rsidR="00895D8A" w:rsidRPr="00A23740">
              <w:rPr>
                <w:szCs w:val="24"/>
                <w:lang w:eastAsia="x-none"/>
              </w:rPr>
              <w:t xml:space="preserve">tapu idaresine haber verilir, bu bildirimin amacı tapu idaresince sicile </w:t>
            </w:r>
            <w:r w:rsidR="00956F78" w:rsidRPr="00A23740">
              <w:rPr>
                <w:szCs w:val="24"/>
                <w:lang w:eastAsia="x-none"/>
              </w:rPr>
              <w:t xml:space="preserve">gerekli </w:t>
            </w:r>
            <w:r w:rsidR="00895D8A" w:rsidRPr="00A23740">
              <w:rPr>
                <w:szCs w:val="24"/>
                <w:lang w:eastAsia="x-none"/>
              </w:rPr>
              <w:t xml:space="preserve">şerhin konulmasıdır. </w:t>
            </w:r>
            <w:r w:rsidR="008F75C3" w:rsidRPr="005574AB">
              <w:rPr>
                <w:bCs/>
                <w:szCs w:val="24"/>
              </w:rPr>
              <w:t>4721 sayılı Kanunun</w:t>
            </w:r>
            <w:r w:rsidR="008F75C3" w:rsidRPr="00A23740">
              <w:rPr>
                <w:b/>
                <w:szCs w:val="24"/>
                <w:lang w:eastAsia="x-none"/>
              </w:rPr>
              <w:t xml:space="preserve"> </w:t>
            </w:r>
            <w:r w:rsidR="00895D8A" w:rsidRPr="00A23740">
              <w:rPr>
                <w:szCs w:val="24"/>
                <w:lang w:eastAsia="x-none"/>
              </w:rPr>
              <w:t>883 üncü maddesinin ikinci fıkrası süreli ipotekler bakımından bu sürenin bitiminden itibaren otuz gün içinde şerh konulmaması h</w:t>
            </w:r>
            <w:r w:rsidR="00F906A7" w:rsidRPr="00A23740">
              <w:rPr>
                <w:szCs w:val="24"/>
                <w:lang w:eastAsia="x-none"/>
              </w:rPr>
              <w:t>â</w:t>
            </w:r>
            <w:r w:rsidR="00895D8A" w:rsidRPr="00A23740">
              <w:rPr>
                <w:szCs w:val="24"/>
                <w:lang w:eastAsia="x-none"/>
              </w:rPr>
              <w:t>linde ipoteğin terkin edileceğini amirdir. İşte bu h</w:t>
            </w:r>
            <w:r w:rsidR="00F906A7" w:rsidRPr="00A23740">
              <w:rPr>
                <w:szCs w:val="24"/>
                <w:lang w:eastAsia="x-none"/>
              </w:rPr>
              <w:t>â</w:t>
            </w:r>
            <w:r w:rsidR="00895D8A" w:rsidRPr="00A23740">
              <w:rPr>
                <w:szCs w:val="24"/>
                <w:lang w:eastAsia="x-none"/>
              </w:rPr>
              <w:t>lde, ipoteğin paraya çevrilmesi yoluyla takip başlatılmış olsa dahi şerhin söz konusu süre içinde konulmamış olması hak kayıplarına yol açacağından</w:t>
            </w:r>
            <w:r w:rsidR="00956F78" w:rsidRPr="00A23740">
              <w:rPr>
                <w:szCs w:val="24"/>
                <w:lang w:eastAsia="x-none"/>
              </w:rPr>
              <w:t>,</w:t>
            </w:r>
            <w:r w:rsidR="00895D8A" w:rsidRPr="00A23740">
              <w:rPr>
                <w:szCs w:val="24"/>
                <w:lang w:eastAsia="x-none"/>
              </w:rPr>
              <w:t xml:space="preserve"> icra ve iflas müdürlüğü tarafından bu sürenin göz </w:t>
            </w:r>
            <w:r w:rsidR="00956F78" w:rsidRPr="00A23740">
              <w:rPr>
                <w:szCs w:val="24"/>
                <w:lang w:eastAsia="x-none"/>
              </w:rPr>
              <w:t xml:space="preserve"> önüne alınması </w:t>
            </w:r>
            <w:r w:rsidR="00895D8A" w:rsidRPr="00A23740">
              <w:rPr>
                <w:szCs w:val="24"/>
                <w:lang w:eastAsia="x-none"/>
              </w:rPr>
              <w:t xml:space="preserve">gereğine dikkat çekilmiştir. Burada dikkat edilecek bir </w:t>
            </w:r>
            <w:r w:rsidR="00956F78" w:rsidRPr="00A23740">
              <w:rPr>
                <w:szCs w:val="24"/>
                <w:lang w:eastAsia="x-none"/>
              </w:rPr>
              <w:t xml:space="preserve">diğer </w:t>
            </w:r>
            <w:r w:rsidR="00895D8A" w:rsidRPr="00A23740">
              <w:rPr>
                <w:szCs w:val="24"/>
                <w:lang w:eastAsia="x-none"/>
              </w:rPr>
              <w:t xml:space="preserve">husus da ipoteğin paraya çevrilmesi yoluyla takibin süreli ipoteğin sona ermesinden önce başlatılmış olmasıdır. </w:t>
            </w:r>
          </w:p>
          <w:p w:rsidR="005E7DF7" w:rsidRPr="00A23740" w:rsidRDefault="00895D8A" w:rsidP="009431FF">
            <w:pPr>
              <w:tabs>
                <w:tab w:val="left" w:pos="567"/>
              </w:tabs>
              <w:ind w:firstLine="567"/>
              <w:rPr>
                <w:szCs w:val="24"/>
                <w:lang w:eastAsia="x-none"/>
              </w:rPr>
            </w:pPr>
            <w:r w:rsidRPr="00A23740">
              <w:rPr>
                <w:szCs w:val="24"/>
                <w:lang w:eastAsia="x-none"/>
              </w:rPr>
              <w:t xml:space="preserve">İkinci fıkra uyarınca, kendisine takibin başladığı bildirilmiş olan tapu müdürü, bu durumu </w:t>
            </w:r>
            <w:r w:rsidR="00DF22A1" w:rsidRPr="00A23740">
              <w:rPr>
                <w:szCs w:val="24"/>
              </w:rPr>
              <w:t xml:space="preserve">derhâl </w:t>
            </w:r>
            <w:r w:rsidRPr="00A23740">
              <w:rPr>
                <w:szCs w:val="24"/>
                <w:lang w:eastAsia="x-none"/>
              </w:rPr>
              <w:t>taşınmazın siciline şerh edecektir. Şerh tarihinden sonra taşınmazı iktisap etmek mümkün olmakla birlikte</w:t>
            </w:r>
            <w:r w:rsidR="00956F78" w:rsidRPr="00A23740">
              <w:rPr>
                <w:szCs w:val="24"/>
                <w:lang w:eastAsia="x-none"/>
              </w:rPr>
              <w:t>,</w:t>
            </w:r>
            <w:r w:rsidRPr="00A23740">
              <w:rPr>
                <w:szCs w:val="24"/>
                <w:lang w:eastAsia="x-none"/>
              </w:rPr>
              <w:t xml:space="preserve"> bu tarihten sonra taşınmazı iktisap edenler söz konusu taşınmaz hakkında ipoteğin paraya çevrilmesi yoluyla takibin başlamış olduğu hakkında bilgi sahibi olmuş sayılacak ve kendilerine ödeme emri tebliğ edilmeyecek, dolayısıyla ödeme emrine itiraz hakları da olmayacaktır.</w:t>
            </w:r>
          </w:p>
          <w:p w:rsidR="00895D8A" w:rsidRPr="00A23740" w:rsidRDefault="00895D8A" w:rsidP="0080239A">
            <w:pPr>
              <w:tabs>
                <w:tab w:val="left" w:pos="567"/>
              </w:tabs>
              <w:ind w:firstLine="567"/>
              <w:rPr>
                <w:b/>
                <w:bCs/>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vAlign w:val="center"/>
          </w:tcPr>
          <w:p w:rsidR="00155AF4" w:rsidRPr="00A23740" w:rsidRDefault="00155AF4" w:rsidP="009431FF">
            <w:pPr>
              <w:tabs>
                <w:tab w:val="left" w:pos="567"/>
                <w:tab w:val="left" w:pos="840"/>
              </w:tabs>
              <w:autoSpaceDE w:val="0"/>
              <w:autoSpaceDN w:val="0"/>
              <w:adjustRightInd w:val="0"/>
              <w:rPr>
                <w:szCs w:val="24"/>
              </w:rPr>
            </w:pPr>
          </w:p>
          <w:p w:rsidR="00155AF4" w:rsidRPr="00A23740" w:rsidRDefault="00155AF4" w:rsidP="009431FF">
            <w:pPr>
              <w:tabs>
                <w:tab w:val="left" w:pos="567"/>
                <w:tab w:val="left" w:pos="840"/>
              </w:tabs>
              <w:autoSpaceDE w:val="0"/>
              <w:autoSpaceDN w:val="0"/>
              <w:adjustRightInd w:val="0"/>
              <w:rPr>
                <w:szCs w:val="24"/>
              </w:rPr>
            </w:pPr>
          </w:p>
          <w:p w:rsidR="00155AF4" w:rsidRPr="00A23740" w:rsidRDefault="00155AF4" w:rsidP="009431FF">
            <w:pPr>
              <w:tabs>
                <w:tab w:val="left" w:pos="567"/>
                <w:tab w:val="left" w:pos="840"/>
              </w:tabs>
              <w:autoSpaceDE w:val="0"/>
              <w:autoSpaceDN w:val="0"/>
              <w:adjustRightInd w:val="0"/>
              <w:rPr>
                <w:szCs w:val="24"/>
              </w:rPr>
            </w:pPr>
          </w:p>
          <w:p w:rsidR="00155AF4" w:rsidRPr="00A23740" w:rsidRDefault="00155AF4" w:rsidP="009431FF">
            <w:pPr>
              <w:tabs>
                <w:tab w:val="left" w:pos="567"/>
                <w:tab w:val="left" w:pos="840"/>
              </w:tabs>
              <w:autoSpaceDE w:val="0"/>
              <w:autoSpaceDN w:val="0"/>
              <w:adjustRightInd w:val="0"/>
              <w:rPr>
                <w:szCs w:val="24"/>
              </w:rPr>
            </w:pPr>
          </w:p>
          <w:p w:rsidR="00155AF4" w:rsidRPr="00A23740" w:rsidRDefault="00155AF4" w:rsidP="009431FF">
            <w:pPr>
              <w:tabs>
                <w:tab w:val="left" w:pos="567"/>
                <w:tab w:val="left" w:pos="840"/>
              </w:tabs>
              <w:autoSpaceDE w:val="0"/>
              <w:autoSpaceDN w:val="0"/>
              <w:adjustRightInd w:val="0"/>
              <w:rPr>
                <w:szCs w:val="24"/>
              </w:rPr>
            </w:pPr>
          </w:p>
          <w:p w:rsidR="00155AF4" w:rsidRPr="00A23740" w:rsidRDefault="00155AF4" w:rsidP="009431FF">
            <w:pPr>
              <w:rPr>
                <w:b/>
                <w:color w:val="FF3399"/>
                <w:szCs w:val="24"/>
              </w:rPr>
            </w:pPr>
          </w:p>
        </w:tc>
        <w:tc>
          <w:tcPr>
            <w:tcW w:w="2500" w:type="pct"/>
            <w:shd w:val="clear" w:color="auto" w:fill="auto"/>
          </w:tcPr>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DÖRDÜNCÜ AYRIM</w:t>
            </w:r>
          </w:p>
          <w:p w:rsidR="00155AF4" w:rsidRPr="00A23740" w:rsidRDefault="00155AF4" w:rsidP="009431FF">
            <w:pPr>
              <w:keepNext/>
              <w:jc w:val="center"/>
              <w:outlineLvl w:val="3"/>
              <w:rPr>
                <w:rFonts w:eastAsia="Times New Roman"/>
                <w:b/>
                <w:bCs/>
                <w:color w:val="0000FF"/>
                <w:szCs w:val="28"/>
              </w:rPr>
            </w:pPr>
            <w:r w:rsidRPr="00A23740">
              <w:rPr>
                <w:rFonts w:eastAsia="Times New Roman"/>
                <w:b/>
                <w:bCs/>
                <w:color w:val="0000FF"/>
                <w:szCs w:val="28"/>
              </w:rPr>
              <w:t>Müşterek Hükümler</w:t>
            </w:r>
          </w:p>
          <w:p w:rsidR="00155AF4" w:rsidRPr="00A23740" w:rsidRDefault="00155AF4" w:rsidP="009431FF">
            <w:pPr>
              <w:tabs>
                <w:tab w:val="left" w:pos="567"/>
              </w:tabs>
              <w:autoSpaceDE w:val="0"/>
              <w:autoSpaceDN w:val="0"/>
              <w:adjustRightInd w:val="0"/>
              <w:jc w:val="center"/>
              <w:rPr>
                <w:b/>
                <w:color w:val="0000FF"/>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Zorunlu takip arkadaşlığı</w:t>
            </w:r>
          </w:p>
          <w:p w:rsidR="00155AF4" w:rsidRPr="00A23740" w:rsidRDefault="00F977B1" w:rsidP="009431FF">
            <w:pPr>
              <w:tabs>
                <w:tab w:val="left" w:pos="567"/>
              </w:tabs>
              <w:rPr>
                <w:b/>
              </w:rPr>
            </w:pPr>
            <w:r w:rsidRPr="00A23740">
              <w:rPr>
                <w:b/>
                <w:bCs/>
                <w:color w:val="0000FF"/>
                <w:szCs w:val="24"/>
                <w:lang w:val="x-none" w:eastAsia="x-none"/>
              </w:rPr>
              <w:t>MADDE 127</w:t>
            </w:r>
            <w:r w:rsidR="00155AF4" w:rsidRPr="00A23740">
              <w:rPr>
                <w:b/>
                <w:bCs/>
                <w:color w:val="0000FF"/>
                <w:szCs w:val="24"/>
                <w:lang w:val="x-none" w:eastAsia="x-none"/>
              </w:rPr>
              <w:t xml:space="preserve">- </w:t>
            </w:r>
            <w:r w:rsidR="00155AF4" w:rsidRPr="00A23740">
              <w:rPr>
                <w:rStyle w:val="MaviChar"/>
              </w:rPr>
              <w:t>(1) Takibin, rehinli malın üçüncü kişiye ait olması h</w:t>
            </w:r>
            <w:r w:rsidR="00487EF4" w:rsidRPr="00A23740">
              <w:rPr>
                <w:rStyle w:val="MaviChar"/>
                <w:lang w:val="tr-TR"/>
              </w:rPr>
              <w:t>â</w:t>
            </w:r>
            <w:r w:rsidR="00155AF4" w:rsidRPr="00A23740">
              <w:rPr>
                <w:rStyle w:val="MaviChar"/>
              </w:rPr>
              <w:t>linde borçlu ve üçüncü kişiye karşı; aile konutu olması h</w:t>
            </w:r>
            <w:r w:rsidR="00487EF4" w:rsidRPr="00A23740">
              <w:rPr>
                <w:rStyle w:val="MaviChar"/>
                <w:lang w:val="tr-TR"/>
              </w:rPr>
              <w:t>â</w:t>
            </w:r>
            <w:r w:rsidR="00155AF4" w:rsidRPr="00A23740">
              <w:rPr>
                <w:rStyle w:val="MaviChar"/>
              </w:rPr>
              <w:t>linde borçlu ve eşine karşı; üçüncü kişiye ait bir aile konutu olması h</w:t>
            </w:r>
            <w:r w:rsidR="00487EF4" w:rsidRPr="00A23740">
              <w:rPr>
                <w:rStyle w:val="MaviChar"/>
                <w:lang w:val="tr-TR"/>
              </w:rPr>
              <w:t>â</w:t>
            </w:r>
            <w:r w:rsidR="00155AF4" w:rsidRPr="00A23740">
              <w:rPr>
                <w:rStyle w:val="MaviChar"/>
              </w:rPr>
              <w:t>linde ise borçlu, üçüncü kişi ve üçüncü kişinin eşine karşı birlikte yapılması zorunludur.</w:t>
            </w:r>
          </w:p>
          <w:p w:rsidR="006E00D7" w:rsidRPr="00A23740" w:rsidRDefault="006E00D7" w:rsidP="009431FF">
            <w:pPr>
              <w:tabs>
                <w:tab w:val="left" w:pos="566"/>
              </w:tabs>
              <w:rPr>
                <w:b/>
                <w:color w:val="FF0000"/>
                <w:szCs w:val="24"/>
              </w:rPr>
            </w:pPr>
          </w:p>
        </w:tc>
      </w:tr>
      <w:tr w:rsidR="005E7DF7" w:rsidRPr="00A23740" w:rsidTr="009431FF">
        <w:tc>
          <w:tcPr>
            <w:tcW w:w="5000" w:type="pct"/>
            <w:gridSpan w:val="2"/>
            <w:shd w:val="clear" w:color="auto" w:fill="DEEAF6"/>
          </w:tcPr>
          <w:p w:rsidR="005E7DF7" w:rsidRPr="00A23740" w:rsidRDefault="005E7DF7" w:rsidP="009431FF">
            <w:pPr>
              <w:tabs>
                <w:tab w:val="left" w:pos="567"/>
              </w:tabs>
              <w:ind w:firstLine="567"/>
              <w:rPr>
                <w:b/>
                <w:bCs/>
                <w:color w:val="000000"/>
                <w:szCs w:val="24"/>
                <w:lang w:eastAsia="x-none"/>
              </w:rPr>
            </w:pPr>
          </w:p>
          <w:p w:rsidR="00C600E1" w:rsidRPr="00A23740" w:rsidRDefault="00F977B1" w:rsidP="009431FF">
            <w:pPr>
              <w:tabs>
                <w:tab w:val="left" w:pos="567"/>
              </w:tabs>
              <w:ind w:firstLine="567"/>
              <w:rPr>
                <w:color w:val="000000"/>
                <w:szCs w:val="24"/>
              </w:rPr>
            </w:pPr>
            <w:r w:rsidRPr="00A23740">
              <w:rPr>
                <w:b/>
                <w:bCs/>
                <w:color w:val="000000"/>
                <w:szCs w:val="24"/>
                <w:lang w:eastAsia="x-none"/>
              </w:rPr>
              <w:t>MADDE 127</w:t>
            </w:r>
            <w:r w:rsidR="00155AF4" w:rsidRPr="00A23740">
              <w:rPr>
                <w:b/>
                <w:bCs/>
                <w:color w:val="000000"/>
                <w:szCs w:val="24"/>
                <w:lang w:eastAsia="x-none"/>
              </w:rPr>
              <w:t>-</w:t>
            </w:r>
            <w:r w:rsidR="00C600E1" w:rsidRPr="00A23740">
              <w:rPr>
                <w:b/>
                <w:bCs/>
                <w:color w:val="000000"/>
                <w:szCs w:val="24"/>
                <w:lang w:eastAsia="x-none"/>
              </w:rPr>
              <w:t xml:space="preserve"> </w:t>
            </w:r>
            <w:r w:rsidR="00C600E1" w:rsidRPr="00A23740">
              <w:rPr>
                <w:bCs/>
                <w:color w:val="000000"/>
                <w:szCs w:val="24"/>
                <w:lang w:eastAsia="x-none"/>
              </w:rPr>
              <w:t>Maddeyle, z</w:t>
            </w:r>
            <w:r w:rsidR="00C600E1" w:rsidRPr="00A23740">
              <w:rPr>
                <w:bCs/>
                <w:color w:val="000000"/>
                <w:szCs w:val="24"/>
                <w:lang w:val="x-none" w:eastAsia="x-none"/>
              </w:rPr>
              <w:t>orunlu takip arkadaşlığı</w:t>
            </w:r>
            <w:r w:rsidR="00C600E1" w:rsidRPr="00A23740">
              <w:rPr>
                <w:bCs/>
                <w:color w:val="000000"/>
                <w:szCs w:val="24"/>
                <w:lang w:eastAsia="x-none"/>
              </w:rPr>
              <w:t xml:space="preserve"> </w:t>
            </w:r>
            <w:r w:rsidR="00C600E1" w:rsidRPr="00A23740">
              <w:rPr>
                <w:color w:val="000000"/>
                <w:szCs w:val="24"/>
              </w:rPr>
              <w:t>hakkında uygulana</w:t>
            </w:r>
            <w:r w:rsidR="005E7DF7" w:rsidRPr="00A23740">
              <w:rPr>
                <w:color w:val="000000"/>
                <w:szCs w:val="24"/>
              </w:rPr>
              <w:t xml:space="preserve">cak hükümler düzenlenmektedir. </w:t>
            </w:r>
          </w:p>
          <w:p w:rsidR="00D8122F" w:rsidRPr="00A23740" w:rsidRDefault="00C600E1" w:rsidP="0080239A">
            <w:pPr>
              <w:tabs>
                <w:tab w:val="left" w:pos="567"/>
              </w:tabs>
              <w:ind w:firstLine="567"/>
              <w:rPr>
                <w:b/>
                <w:bCs/>
                <w:color w:val="000000"/>
                <w:szCs w:val="24"/>
                <w:lang w:eastAsia="x-none"/>
              </w:rPr>
            </w:pPr>
            <w:r w:rsidRPr="00A23740">
              <w:rPr>
                <w:bCs/>
                <w:color w:val="000000"/>
                <w:szCs w:val="24"/>
                <w:lang w:eastAsia="x-none"/>
              </w:rPr>
              <w:t>Maddenin birinci fıkrasında</w:t>
            </w:r>
            <w:r w:rsidRPr="00A23740">
              <w:rPr>
                <w:b/>
                <w:bCs/>
                <w:color w:val="000000"/>
                <w:szCs w:val="24"/>
                <w:lang w:eastAsia="x-none"/>
              </w:rPr>
              <w:t xml:space="preserve"> </w:t>
            </w:r>
            <w:r w:rsidRPr="00A23740">
              <w:rPr>
                <w:rStyle w:val="MaviChar"/>
                <w:b w:val="0"/>
                <w:color w:val="000000"/>
              </w:rPr>
              <w:t xml:space="preserve"> </w:t>
            </w:r>
            <w:r w:rsidRPr="00A23740">
              <w:rPr>
                <w:rStyle w:val="MaviChar"/>
                <w:b w:val="0"/>
                <w:color w:val="000000"/>
                <w:lang w:val="tr-TR"/>
              </w:rPr>
              <w:t>t</w:t>
            </w:r>
            <w:r w:rsidRPr="00A23740">
              <w:rPr>
                <w:rStyle w:val="MaviChar"/>
                <w:b w:val="0"/>
                <w:color w:val="000000"/>
              </w:rPr>
              <w:t>akibin, rehinli malın üçüncü kişiye ait olması h</w:t>
            </w:r>
            <w:r w:rsidR="00487EF4" w:rsidRPr="00A23740">
              <w:rPr>
                <w:rStyle w:val="MaviChar"/>
                <w:b w:val="0"/>
                <w:color w:val="000000"/>
                <w:lang w:val="tr-TR"/>
              </w:rPr>
              <w:t>â</w:t>
            </w:r>
            <w:r w:rsidRPr="00A23740">
              <w:rPr>
                <w:rStyle w:val="MaviChar"/>
                <w:b w:val="0"/>
                <w:color w:val="000000"/>
              </w:rPr>
              <w:t>linde borçlu ve üçüncü kişiye karşı; aile konutu olması h</w:t>
            </w:r>
            <w:r w:rsidR="00487EF4" w:rsidRPr="00A23740">
              <w:rPr>
                <w:rStyle w:val="MaviChar"/>
                <w:b w:val="0"/>
                <w:color w:val="000000"/>
                <w:lang w:val="tr-TR"/>
              </w:rPr>
              <w:t>â</w:t>
            </w:r>
            <w:r w:rsidRPr="00A23740">
              <w:rPr>
                <w:rStyle w:val="MaviChar"/>
                <w:b w:val="0"/>
                <w:color w:val="000000"/>
              </w:rPr>
              <w:t>linde borçlu ve eşine karşı; üçüncü kişiye ait bir aile konutu olması h</w:t>
            </w:r>
            <w:r w:rsidR="00487EF4" w:rsidRPr="00A23740">
              <w:rPr>
                <w:rStyle w:val="MaviChar"/>
                <w:b w:val="0"/>
                <w:color w:val="000000"/>
                <w:lang w:val="tr-TR"/>
              </w:rPr>
              <w:t>â</w:t>
            </w:r>
            <w:r w:rsidRPr="00A23740">
              <w:rPr>
                <w:rStyle w:val="MaviChar"/>
                <w:b w:val="0"/>
                <w:color w:val="000000"/>
              </w:rPr>
              <w:t>linde ise borçlu, üçüncü kişi ve üçüncü kişinin eşine karşı birlikte yapılması</w:t>
            </w:r>
            <w:r w:rsidRPr="00A23740">
              <w:rPr>
                <w:rStyle w:val="MaviChar"/>
                <w:b w:val="0"/>
                <w:color w:val="000000"/>
                <w:lang w:val="tr-TR"/>
              </w:rPr>
              <w:t>nın</w:t>
            </w:r>
            <w:r w:rsidRPr="00A23740">
              <w:rPr>
                <w:rStyle w:val="MaviChar"/>
                <w:b w:val="0"/>
                <w:color w:val="000000"/>
              </w:rPr>
              <w:t xml:space="preserve"> zorunlu</w:t>
            </w:r>
            <w:r w:rsidRPr="00A23740">
              <w:rPr>
                <w:rStyle w:val="MaviChar"/>
                <w:b w:val="0"/>
                <w:color w:val="000000"/>
                <w:lang w:val="tr-TR"/>
              </w:rPr>
              <w:t xml:space="preserve"> olduğu hükme bağlanmaktadır. Buna göre takibin borçlu tarafındaki bu zorunlu takip arkadaşlığı dikkate alınmaksızın </w:t>
            </w:r>
            <w:r w:rsidR="0025669E" w:rsidRPr="00A23740">
              <w:rPr>
                <w:rStyle w:val="MaviChar"/>
                <w:b w:val="0"/>
                <w:color w:val="000000"/>
                <w:lang w:val="tr-TR"/>
              </w:rPr>
              <w:t xml:space="preserve"> yapılması halinde</w:t>
            </w:r>
            <w:r w:rsidRPr="00A23740">
              <w:rPr>
                <w:rStyle w:val="MaviChar"/>
                <w:b w:val="0"/>
                <w:color w:val="000000"/>
                <w:lang w:val="tr-TR"/>
              </w:rPr>
              <w:t xml:space="preserve">, takip talebi </w:t>
            </w:r>
            <w:r w:rsidRPr="005574AB">
              <w:rPr>
                <w:lang w:val="x-none"/>
              </w:rPr>
              <w:t xml:space="preserve">icra </w:t>
            </w:r>
            <w:r w:rsidR="007D74DD" w:rsidRPr="005574AB">
              <w:rPr>
                <w:bCs/>
                <w:color w:val="000000"/>
                <w:szCs w:val="24"/>
                <w:lang w:val="x-none" w:eastAsia="x-none"/>
              </w:rPr>
              <w:t xml:space="preserve">ve iflas </w:t>
            </w:r>
            <w:r w:rsidRPr="005574AB">
              <w:rPr>
                <w:lang w:val="x-none"/>
              </w:rPr>
              <w:t>müdürü</w:t>
            </w:r>
            <w:r w:rsidRPr="00A23740">
              <w:rPr>
                <w:rStyle w:val="MaviChar"/>
                <w:b w:val="0"/>
                <w:color w:val="000000"/>
                <w:lang w:val="tr-TR"/>
              </w:rPr>
              <w:t xml:space="preserve"> tarafından reddedilecek; takip talebinde gösterilen borçlulara ödeme emri veya icra emri tebliğ edilmeyecektir. Bu husus gözden kaçırılarak, başka bir ifadeyle zorunlu takip arkadaşlarının tümü takip talebinde gösterilmeden düzenlenen ödeme emri veya icra emrinin gönderilmesi h</w:t>
            </w:r>
            <w:r w:rsidR="00F906A7" w:rsidRPr="00A23740">
              <w:rPr>
                <w:rStyle w:val="MaviChar"/>
                <w:b w:val="0"/>
                <w:color w:val="000000"/>
                <w:lang w:val="tr-TR"/>
              </w:rPr>
              <w:t>â</w:t>
            </w:r>
            <w:r w:rsidRPr="00A23740">
              <w:rPr>
                <w:rStyle w:val="MaviChar"/>
                <w:b w:val="0"/>
                <w:color w:val="000000"/>
                <w:lang w:val="tr-TR"/>
              </w:rPr>
              <w:t>linde ise ödeme emri veya icra emri</w:t>
            </w:r>
            <w:r w:rsidR="0025669E" w:rsidRPr="00A23740">
              <w:rPr>
                <w:rStyle w:val="MaviChar"/>
                <w:b w:val="0"/>
                <w:color w:val="000000"/>
                <w:lang w:val="tr-TR"/>
              </w:rPr>
              <w:t>nin</w:t>
            </w:r>
            <w:r w:rsidRPr="00A23740">
              <w:rPr>
                <w:rStyle w:val="MaviChar"/>
                <w:b w:val="0"/>
                <w:color w:val="000000"/>
                <w:lang w:val="tr-TR"/>
              </w:rPr>
              <w:t xml:space="preserve"> iptali şik</w:t>
            </w:r>
            <w:r w:rsidR="00407C95" w:rsidRPr="00A23740">
              <w:rPr>
                <w:rStyle w:val="MaviChar"/>
                <w:b w:val="0"/>
                <w:color w:val="000000"/>
                <w:lang w:val="tr-TR"/>
              </w:rPr>
              <w:t>â</w:t>
            </w:r>
            <w:r w:rsidRPr="00A23740">
              <w:rPr>
                <w:rStyle w:val="MaviChar"/>
                <w:b w:val="0"/>
                <w:color w:val="000000"/>
                <w:lang w:val="tr-TR"/>
              </w:rPr>
              <w:t>yet</w:t>
            </w:r>
            <w:r w:rsidR="000779D1" w:rsidRPr="00A23740">
              <w:rPr>
                <w:rStyle w:val="MaviChar"/>
                <w:b w:val="0"/>
                <w:color w:val="000000"/>
                <w:lang w:val="tr-TR"/>
              </w:rPr>
              <w:t xml:space="preserve"> yoluyla talep edilebilecektir.</w:t>
            </w:r>
          </w:p>
          <w:p w:rsidR="005E7DF7" w:rsidRPr="00A23740" w:rsidRDefault="005E7DF7" w:rsidP="0080239A">
            <w:pPr>
              <w:tabs>
                <w:tab w:val="left" w:pos="567"/>
              </w:tabs>
              <w:ind w:firstLine="567"/>
              <w:rPr>
                <w:b/>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Satış hazırlıkları</w:t>
            </w:r>
            <w:r w:rsidRPr="00A23740">
              <w:rPr>
                <w:b/>
                <w:strike/>
                <w:color w:val="FF0000"/>
                <w:szCs w:val="24"/>
                <w:lang w:eastAsia="tr-TR"/>
              </w:rPr>
              <w:t>:</w:t>
            </w: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Madde 150/d – (1) (Ek:</w:t>
            </w:r>
            <w:r w:rsidRPr="00A23740">
              <w:rPr>
                <w:b/>
                <w:strike/>
                <w:color w:val="FF0000"/>
                <w:szCs w:val="24"/>
                <w:lang w:eastAsia="tr-TR"/>
              </w:rPr>
              <w:t xml:space="preserve"> 18/2/1965 - 538/72 md.;Değişik: 9/11/1988 - 3494/23 md.)</w:t>
            </w:r>
          </w:p>
          <w:p w:rsidR="00155AF4" w:rsidRPr="00A23740" w:rsidRDefault="00155AF4" w:rsidP="009431FF">
            <w:pPr>
              <w:tabs>
                <w:tab w:val="left" w:pos="567"/>
              </w:tabs>
              <w:autoSpaceDE w:val="0"/>
              <w:autoSpaceDN w:val="0"/>
              <w:adjustRightInd w:val="0"/>
              <w:rPr>
                <w:szCs w:val="24"/>
              </w:rPr>
            </w:pPr>
            <w:r w:rsidRPr="00A23740">
              <w:rPr>
                <w:szCs w:val="24"/>
              </w:rPr>
              <w:t>İcra dairesi</w:t>
            </w:r>
            <w:r w:rsidRPr="00A23740">
              <w:rPr>
                <w:b/>
                <w:bCs/>
                <w:strike/>
                <w:color w:val="FF0000"/>
                <w:szCs w:val="24"/>
              </w:rPr>
              <w:t>,</w:t>
            </w:r>
            <w:r w:rsidRPr="00A23740">
              <w:rPr>
                <w:szCs w:val="24"/>
              </w:rPr>
              <w:t xml:space="preserve"> takip talebi üzerine satış hazırlıklarına başlar</w:t>
            </w:r>
            <w:r w:rsidRPr="00A23740">
              <w:rPr>
                <w:b/>
                <w:bCs/>
                <w:strike/>
                <w:color w:val="FF0000"/>
                <w:szCs w:val="24"/>
              </w:rPr>
              <w:t>.</w:t>
            </w:r>
            <w:r w:rsidRPr="00A23740">
              <w:rPr>
                <w:szCs w:val="24"/>
              </w:rPr>
              <w:t xml:space="preserve"> Bu </w:t>
            </w:r>
            <w:r w:rsidRPr="00A23740">
              <w:rPr>
                <w:b/>
                <w:bCs/>
                <w:strike/>
                <w:color w:val="FF0000"/>
                <w:szCs w:val="24"/>
              </w:rPr>
              <w:t>maksatla</w:t>
            </w:r>
            <w:r w:rsidRPr="00A23740">
              <w:rPr>
                <w:szCs w:val="24"/>
              </w:rPr>
              <w:t xml:space="preserve"> </w:t>
            </w:r>
            <w:r w:rsidRPr="00A23740">
              <w:rPr>
                <w:b/>
                <w:bCs/>
                <w:strike/>
                <w:color w:val="FF0000"/>
                <w:szCs w:val="24"/>
              </w:rPr>
              <w:t>tapudan</w:t>
            </w:r>
            <w:r w:rsidRPr="00A23740">
              <w:rPr>
                <w:szCs w:val="24"/>
              </w:rPr>
              <w:t xml:space="preserve"> kayıt örneklerini ve belediyeden imar durumunu getirtir</w:t>
            </w:r>
            <w:r w:rsidRPr="00A23740">
              <w:rPr>
                <w:b/>
                <w:bCs/>
                <w:strike/>
                <w:color w:val="FF0000"/>
                <w:szCs w:val="24"/>
              </w:rPr>
              <w:t>,</w:t>
            </w:r>
            <w:r w:rsidRPr="00A23740">
              <w:rPr>
                <w:szCs w:val="24"/>
              </w:rPr>
              <w:t xml:space="preserve"> takibin kesinleşmesini beklemeden kıymet takdirini yaptırır.</w:t>
            </w: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b/>
                <w:bCs/>
                <w:szCs w:val="24"/>
              </w:rPr>
            </w:pPr>
            <w:r w:rsidRPr="00A23740">
              <w:rPr>
                <w:b/>
                <w:bCs/>
                <w:szCs w:val="24"/>
              </w:rPr>
              <w:t>Satış hazırlıkları</w:t>
            </w:r>
          </w:p>
          <w:p w:rsidR="00155AF4" w:rsidRPr="00A23740" w:rsidRDefault="00155AF4" w:rsidP="009431FF">
            <w:pPr>
              <w:tabs>
                <w:tab w:val="left" w:pos="567"/>
              </w:tabs>
              <w:autoSpaceDE w:val="0"/>
              <w:autoSpaceDN w:val="0"/>
              <w:adjustRightInd w:val="0"/>
              <w:rPr>
                <w:szCs w:val="24"/>
              </w:rPr>
            </w:pPr>
            <w:r w:rsidRPr="00A23740">
              <w:rPr>
                <w:b/>
                <w:bCs/>
                <w:color w:val="0000FF"/>
                <w:szCs w:val="24"/>
                <w:lang w:eastAsia="x-none"/>
              </w:rPr>
              <w:t xml:space="preserve">MADDE </w:t>
            </w:r>
            <w:r w:rsidRPr="00A23740">
              <w:rPr>
                <w:b/>
                <w:bCs/>
                <w:color w:val="0000FF"/>
                <w:szCs w:val="24"/>
                <w:lang w:val="x-none" w:eastAsia="x-none"/>
              </w:rPr>
              <w:t>1</w:t>
            </w:r>
            <w:r w:rsidR="00F977B1" w:rsidRPr="00A23740">
              <w:rPr>
                <w:b/>
                <w:bCs/>
                <w:color w:val="0000FF"/>
                <w:szCs w:val="24"/>
                <w:lang w:eastAsia="x-none"/>
              </w:rPr>
              <w:t>28</w:t>
            </w:r>
            <w:r w:rsidRPr="00A23740">
              <w:rPr>
                <w:b/>
                <w:bCs/>
                <w:color w:val="0000FF"/>
                <w:szCs w:val="24"/>
                <w:lang w:val="x-none" w:eastAsia="x-none"/>
              </w:rPr>
              <w:t>-</w:t>
            </w:r>
            <w:r w:rsidRPr="00A23740">
              <w:rPr>
                <w:b/>
                <w:bCs/>
                <w:color w:val="0000FF"/>
                <w:szCs w:val="24"/>
                <w:lang w:eastAsia="x-none"/>
              </w:rPr>
              <w:t xml:space="preserve"> (1)</w:t>
            </w:r>
            <w:r w:rsidRPr="00A23740">
              <w:rPr>
                <w:b/>
                <w:color w:val="0000FF"/>
                <w:szCs w:val="24"/>
              </w:rPr>
              <w:t xml:space="preserve"> </w:t>
            </w:r>
            <w:r w:rsidRPr="00A23740">
              <w:rPr>
                <w:szCs w:val="24"/>
              </w:rPr>
              <w:t xml:space="preserve">İcra </w:t>
            </w:r>
            <w:r w:rsidRPr="00A23740">
              <w:rPr>
                <w:rStyle w:val="MaviChar"/>
              </w:rPr>
              <w:t>ve iflas</w:t>
            </w:r>
            <w:r w:rsidRPr="00A23740">
              <w:rPr>
                <w:szCs w:val="24"/>
              </w:rPr>
              <w:t xml:space="preserve"> dairesi</w:t>
            </w:r>
            <w:r w:rsidRPr="00A23740">
              <w:rPr>
                <w:b/>
                <w:bCs/>
                <w:color w:val="0000FF"/>
                <w:szCs w:val="24"/>
                <w:lang w:val="x-none" w:eastAsia="x-none"/>
              </w:rPr>
              <w:t>;</w:t>
            </w:r>
            <w:r w:rsidRPr="00A23740">
              <w:rPr>
                <w:szCs w:val="24"/>
              </w:rPr>
              <w:t xml:space="preserve"> takip talebi üzerine satış hazırlıklarına başlar</w:t>
            </w:r>
            <w:r w:rsidRPr="00A23740">
              <w:rPr>
                <w:b/>
                <w:bCs/>
                <w:color w:val="0000FF"/>
                <w:szCs w:val="24"/>
                <w:lang w:val="x-none" w:eastAsia="x-none"/>
              </w:rPr>
              <w:t>,</w:t>
            </w:r>
            <w:r w:rsidRPr="00A23740">
              <w:rPr>
                <w:szCs w:val="24"/>
              </w:rPr>
              <w:t xml:space="preserve"> </w:t>
            </w:r>
            <w:r w:rsidR="00E56D84" w:rsidRPr="005574AB">
              <w:rPr>
                <w:b/>
                <w:bCs/>
                <w:color w:val="0000FF"/>
                <w:szCs w:val="24"/>
              </w:rPr>
              <w:t>bu amaçla</w:t>
            </w:r>
            <w:r w:rsidR="00E56D84" w:rsidRPr="00A23740">
              <w:rPr>
                <w:szCs w:val="24"/>
              </w:rPr>
              <w:t xml:space="preserve"> </w:t>
            </w:r>
            <w:r w:rsidRPr="00A23740">
              <w:rPr>
                <w:b/>
                <w:bCs/>
                <w:color w:val="0000FF"/>
                <w:szCs w:val="24"/>
                <w:lang w:val="x-none" w:eastAsia="x-none"/>
              </w:rPr>
              <w:t>ilgili sicilden</w:t>
            </w:r>
            <w:r w:rsidRPr="00A23740">
              <w:rPr>
                <w:b/>
                <w:bCs/>
                <w:color w:val="0000FF"/>
                <w:szCs w:val="24"/>
                <w:lang w:eastAsia="x-none"/>
              </w:rPr>
              <w:t xml:space="preserve"> malın </w:t>
            </w:r>
            <w:r w:rsidRPr="00A23740">
              <w:rPr>
                <w:szCs w:val="24"/>
              </w:rPr>
              <w:t>kayıt örneklerini</w:t>
            </w:r>
            <w:r w:rsidR="00E56D84" w:rsidRPr="00A23740">
              <w:rPr>
                <w:b/>
                <w:bCs/>
                <w:color w:val="538135"/>
                <w:szCs w:val="24"/>
              </w:rPr>
              <w:t>,</w:t>
            </w:r>
            <w:r w:rsidRPr="00A23740">
              <w:rPr>
                <w:szCs w:val="24"/>
              </w:rPr>
              <w:t xml:space="preserve"> belediyeden </w:t>
            </w:r>
            <w:r w:rsidRPr="00A23740">
              <w:rPr>
                <w:b/>
                <w:bCs/>
                <w:color w:val="0000FF"/>
                <w:szCs w:val="24"/>
                <w:lang w:val="x-none" w:eastAsia="x-none"/>
              </w:rPr>
              <w:t>taşınmazın</w:t>
            </w:r>
            <w:r w:rsidRPr="00A23740">
              <w:rPr>
                <w:szCs w:val="24"/>
              </w:rPr>
              <w:t xml:space="preserve"> imar durumunu getirtir </w:t>
            </w:r>
            <w:r w:rsidRPr="00A23740">
              <w:rPr>
                <w:b/>
                <w:bCs/>
                <w:color w:val="0000FF"/>
                <w:szCs w:val="24"/>
                <w:lang w:val="x-none" w:eastAsia="x-none"/>
              </w:rPr>
              <w:t>ve</w:t>
            </w:r>
            <w:r w:rsidRPr="00A23740">
              <w:rPr>
                <w:szCs w:val="24"/>
              </w:rPr>
              <w:t xml:space="preserve"> </w:t>
            </w:r>
            <w:r w:rsidRPr="00A23740">
              <w:rPr>
                <w:b/>
                <w:bCs/>
                <w:color w:val="0000FF"/>
                <w:szCs w:val="24"/>
                <w:lang w:val="x-none" w:eastAsia="x-none"/>
              </w:rPr>
              <w:t>t</w:t>
            </w:r>
            <w:r w:rsidRPr="00A23740">
              <w:rPr>
                <w:szCs w:val="24"/>
              </w:rPr>
              <w:t>akibin kesinleşmesini beklemeden kıymet takdirini yaptırır.</w:t>
            </w:r>
          </w:p>
          <w:p w:rsidR="00155AF4" w:rsidRPr="00A23740" w:rsidRDefault="00155AF4" w:rsidP="009431FF">
            <w:pPr>
              <w:tabs>
                <w:tab w:val="left" w:pos="566"/>
              </w:tabs>
              <w:rPr>
                <w:iCs/>
                <w:szCs w:val="24"/>
              </w:rPr>
            </w:pPr>
          </w:p>
        </w:tc>
      </w:tr>
      <w:tr w:rsidR="00D8122F" w:rsidRPr="00A23740" w:rsidTr="009431FF">
        <w:tc>
          <w:tcPr>
            <w:tcW w:w="5000" w:type="pct"/>
            <w:gridSpan w:val="2"/>
            <w:shd w:val="clear" w:color="auto" w:fill="DEEAF6"/>
          </w:tcPr>
          <w:p w:rsidR="004C3E2C" w:rsidRPr="00A23740" w:rsidRDefault="004C3E2C" w:rsidP="009431FF">
            <w:pPr>
              <w:tabs>
                <w:tab w:val="left" w:pos="567"/>
              </w:tabs>
              <w:autoSpaceDE w:val="0"/>
              <w:autoSpaceDN w:val="0"/>
              <w:adjustRightInd w:val="0"/>
              <w:ind w:firstLine="567"/>
              <w:rPr>
                <w:b/>
                <w:bCs/>
                <w:color w:val="000000"/>
                <w:szCs w:val="24"/>
                <w:lang w:eastAsia="x-none"/>
              </w:rPr>
            </w:pPr>
          </w:p>
          <w:p w:rsidR="009510DD" w:rsidRPr="00A23740" w:rsidRDefault="00F977B1" w:rsidP="009431FF">
            <w:pPr>
              <w:tabs>
                <w:tab w:val="left" w:pos="567"/>
              </w:tabs>
              <w:autoSpaceDE w:val="0"/>
              <w:autoSpaceDN w:val="0"/>
              <w:adjustRightInd w:val="0"/>
              <w:ind w:firstLine="567"/>
              <w:rPr>
                <w:bCs/>
                <w:color w:val="000000"/>
                <w:szCs w:val="24"/>
              </w:rPr>
            </w:pPr>
            <w:r w:rsidRPr="00A23740">
              <w:rPr>
                <w:b/>
                <w:bCs/>
                <w:color w:val="000000"/>
                <w:szCs w:val="24"/>
                <w:lang w:eastAsia="x-none"/>
              </w:rPr>
              <w:t>MADDE 128</w:t>
            </w:r>
            <w:r w:rsidR="00D8122F" w:rsidRPr="00A23740">
              <w:rPr>
                <w:b/>
                <w:bCs/>
                <w:color w:val="000000"/>
                <w:szCs w:val="24"/>
                <w:lang w:eastAsia="x-none"/>
              </w:rPr>
              <w:t>-</w:t>
            </w:r>
            <w:r w:rsidR="009510DD" w:rsidRPr="00A23740">
              <w:rPr>
                <w:b/>
                <w:bCs/>
                <w:color w:val="000000"/>
                <w:szCs w:val="24"/>
                <w:lang w:eastAsia="x-none"/>
              </w:rPr>
              <w:t xml:space="preserve"> </w:t>
            </w:r>
            <w:r w:rsidR="0042739A" w:rsidRPr="00A23740">
              <w:rPr>
                <w:bCs/>
                <w:color w:val="000000"/>
              </w:rPr>
              <w:t xml:space="preserve">Maddeyle, satış hazırlıklarına ilişkin hususlar düzenlenmektedir. </w:t>
            </w:r>
            <w:r w:rsidR="009510DD" w:rsidRPr="00A23740">
              <w:rPr>
                <w:bCs/>
                <w:color w:val="000000"/>
              </w:rPr>
              <w:t xml:space="preserve">Taslağın </w:t>
            </w:r>
            <w:r w:rsidR="000779D1" w:rsidRPr="005574AB">
              <w:rPr>
                <w:color w:val="000000"/>
                <w:szCs w:val="24"/>
              </w:rPr>
              <w:t>128</w:t>
            </w:r>
            <w:r w:rsidR="000779D1" w:rsidRPr="00A23740">
              <w:rPr>
                <w:bCs/>
                <w:color w:val="000000"/>
              </w:rPr>
              <w:t xml:space="preserve"> </w:t>
            </w:r>
            <w:r w:rsidR="009510DD" w:rsidRPr="00A23740">
              <w:rPr>
                <w:bCs/>
                <w:color w:val="000000"/>
              </w:rPr>
              <w:t>inci maddesi “</w:t>
            </w:r>
            <w:r w:rsidR="009510DD" w:rsidRPr="00A23740">
              <w:rPr>
                <w:bCs/>
                <w:color w:val="000000"/>
                <w:szCs w:val="24"/>
              </w:rPr>
              <w:t>satış hazırlıkları</w:t>
            </w:r>
            <w:r w:rsidR="009510DD" w:rsidRPr="00A23740">
              <w:rPr>
                <w:bCs/>
                <w:color w:val="000000"/>
              </w:rPr>
              <w:t>” başlığını taşımakta olup</w:t>
            </w:r>
            <w:r w:rsidR="0025669E" w:rsidRPr="00A23740">
              <w:rPr>
                <w:bCs/>
                <w:color w:val="000000"/>
              </w:rPr>
              <w:t>,</w:t>
            </w:r>
            <w:r w:rsidR="009510DD" w:rsidRPr="00A23740">
              <w:rPr>
                <w:bCs/>
                <w:color w:val="000000"/>
              </w:rPr>
              <w:t xml:space="preserve"> </w:t>
            </w:r>
            <w:r w:rsidR="000779D1" w:rsidRPr="005574AB">
              <w:rPr>
                <w:bCs/>
                <w:color w:val="000000"/>
                <w:szCs w:val="24"/>
              </w:rPr>
              <w:t>2004 sayılı Kanunun</w:t>
            </w:r>
            <w:r w:rsidR="000779D1" w:rsidRPr="00A23740">
              <w:rPr>
                <w:rFonts w:eastAsia="ヒラギノ明朝 Pro W3"/>
                <w:b/>
                <w:color w:val="FF0000"/>
                <w:szCs w:val="24"/>
              </w:rPr>
              <w:t xml:space="preserve"> </w:t>
            </w:r>
            <w:r w:rsidR="009510DD" w:rsidRPr="00A23740">
              <w:rPr>
                <w:bCs/>
                <w:color w:val="000000"/>
              </w:rPr>
              <w:t>150/d maddesinin karşılığıdır.</w:t>
            </w:r>
          </w:p>
          <w:p w:rsidR="009510DD" w:rsidRPr="00A23740" w:rsidRDefault="009510DD" w:rsidP="009431FF">
            <w:pPr>
              <w:tabs>
                <w:tab w:val="left" w:pos="567"/>
              </w:tabs>
              <w:autoSpaceDE w:val="0"/>
              <w:autoSpaceDN w:val="0"/>
              <w:adjustRightInd w:val="0"/>
              <w:ind w:firstLine="567"/>
              <w:rPr>
                <w:color w:val="000000"/>
                <w:szCs w:val="24"/>
              </w:rPr>
            </w:pPr>
            <w:r w:rsidRPr="00A23740">
              <w:rPr>
                <w:bCs/>
                <w:color w:val="000000"/>
                <w:szCs w:val="24"/>
                <w:lang w:eastAsia="x-none"/>
              </w:rPr>
              <w:t>Maddenin birinci fırkasında</w:t>
            </w:r>
            <w:r w:rsidRPr="00A23740">
              <w:rPr>
                <w:color w:val="000000"/>
                <w:szCs w:val="24"/>
              </w:rPr>
              <w:t xml:space="preserve"> </w:t>
            </w:r>
            <w:r w:rsidR="0042739A" w:rsidRPr="00A23740">
              <w:rPr>
                <w:color w:val="000000"/>
                <w:szCs w:val="24"/>
              </w:rPr>
              <w:t>i</w:t>
            </w:r>
            <w:r w:rsidRPr="00A23740">
              <w:rPr>
                <w:color w:val="000000"/>
                <w:szCs w:val="24"/>
              </w:rPr>
              <w:t xml:space="preserve">cra </w:t>
            </w:r>
            <w:r w:rsidRPr="00A23740">
              <w:rPr>
                <w:rStyle w:val="MaviChar"/>
                <w:b w:val="0"/>
                <w:color w:val="000000"/>
              </w:rPr>
              <w:t>ve</w:t>
            </w:r>
            <w:r w:rsidRPr="00A23740">
              <w:rPr>
                <w:rStyle w:val="MaviChar"/>
                <w:color w:val="000000"/>
              </w:rPr>
              <w:t xml:space="preserve"> </w:t>
            </w:r>
            <w:r w:rsidRPr="00A23740">
              <w:rPr>
                <w:rStyle w:val="MaviChar"/>
                <w:b w:val="0"/>
                <w:color w:val="000000"/>
              </w:rPr>
              <w:t>iflas</w:t>
            </w:r>
            <w:r w:rsidRPr="00A23740">
              <w:rPr>
                <w:color w:val="000000"/>
                <w:szCs w:val="24"/>
              </w:rPr>
              <w:t xml:space="preserve"> dairesi</w:t>
            </w:r>
            <w:r w:rsidRPr="00A23740">
              <w:rPr>
                <w:bCs/>
                <w:color w:val="000000"/>
                <w:szCs w:val="24"/>
                <w:lang w:val="x-none" w:eastAsia="x-none"/>
              </w:rPr>
              <w:t>;</w:t>
            </w:r>
            <w:r w:rsidRPr="00A23740">
              <w:rPr>
                <w:color w:val="000000"/>
                <w:szCs w:val="24"/>
              </w:rPr>
              <w:t xml:space="preserve"> takip talebi üzerine satış hazırlıklarına başlar</w:t>
            </w:r>
            <w:r w:rsidRPr="00A23740">
              <w:rPr>
                <w:bCs/>
                <w:color w:val="000000"/>
                <w:szCs w:val="24"/>
                <w:lang w:val="x-none" w:eastAsia="x-none"/>
              </w:rPr>
              <w:t>,</w:t>
            </w:r>
            <w:r w:rsidRPr="00A23740">
              <w:rPr>
                <w:color w:val="000000"/>
                <w:szCs w:val="24"/>
              </w:rPr>
              <w:t xml:space="preserve"> </w:t>
            </w:r>
            <w:r w:rsidR="005A63D3" w:rsidRPr="005574AB">
              <w:rPr>
                <w:color w:val="000000"/>
                <w:szCs w:val="24"/>
              </w:rPr>
              <w:t>bu</w:t>
            </w:r>
            <w:r w:rsidR="005A63D3" w:rsidRPr="005574AB">
              <w:rPr>
                <w:b/>
                <w:color w:val="000000"/>
              </w:rPr>
              <w:t xml:space="preserve"> </w:t>
            </w:r>
            <w:r w:rsidR="005A63D3" w:rsidRPr="005574AB">
              <w:rPr>
                <w:color w:val="000000"/>
                <w:szCs w:val="24"/>
              </w:rPr>
              <w:t>amaçla</w:t>
            </w:r>
            <w:r w:rsidR="005A63D3" w:rsidRPr="00A23740">
              <w:rPr>
                <w:color w:val="000000"/>
                <w:szCs w:val="24"/>
              </w:rPr>
              <w:t xml:space="preserve"> </w:t>
            </w:r>
            <w:r w:rsidRPr="00A23740">
              <w:rPr>
                <w:bCs/>
                <w:color w:val="000000"/>
                <w:szCs w:val="24"/>
                <w:lang w:val="x-none" w:eastAsia="x-none"/>
              </w:rPr>
              <w:t>ilgili sicilden</w:t>
            </w:r>
            <w:r w:rsidRPr="00A23740">
              <w:rPr>
                <w:bCs/>
                <w:color w:val="000000"/>
                <w:szCs w:val="24"/>
                <w:lang w:eastAsia="x-none"/>
              </w:rPr>
              <w:t xml:space="preserve"> malın </w:t>
            </w:r>
            <w:r w:rsidRPr="00A23740">
              <w:rPr>
                <w:color w:val="000000"/>
                <w:szCs w:val="24"/>
              </w:rPr>
              <w:t xml:space="preserve">kayıt örneklerini ve belediyeden </w:t>
            </w:r>
            <w:r w:rsidRPr="00A23740">
              <w:rPr>
                <w:bCs/>
                <w:color w:val="000000"/>
                <w:szCs w:val="24"/>
                <w:lang w:val="x-none" w:eastAsia="x-none"/>
              </w:rPr>
              <w:t>taşınmazın</w:t>
            </w:r>
            <w:r w:rsidRPr="00A23740">
              <w:rPr>
                <w:color w:val="000000"/>
                <w:szCs w:val="24"/>
              </w:rPr>
              <w:t xml:space="preserve"> imar durumunu getirtir </w:t>
            </w:r>
            <w:r w:rsidRPr="00A23740">
              <w:rPr>
                <w:bCs/>
                <w:color w:val="000000"/>
                <w:szCs w:val="24"/>
                <w:lang w:val="x-none" w:eastAsia="x-none"/>
              </w:rPr>
              <w:t>ve</w:t>
            </w:r>
            <w:r w:rsidRPr="00A23740">
              <w:rPr>
                <w:color w:val="000000"/>
                <w:szCs w:val="24"/>
              </w:rPr>
              <w:t xml:space="preserve"> </w:t>
            </w:r>
            <w:r w:rsidRPr="00A23740">
              <w:rPr>
                <w:bCs/>
                <w:color w:val="000000"/>
                <w:szCs w:val="24"/>
                <w:lang w:val="x-none" w:eastAsia="x-none"/>
              </w:rPr>
              <w:t>t</w:t>
            </w:r>
            <w:r w:rsidRPr="00A23740">
              <w:rPr>
                <w:color w:val="000000"/>
                <w:szCs w:val="24"/>
              </w:rPr>
              <w:t>akibin kesinleşmesini beklemeden kıymet takdirini yaptırır.</w:t>
            </w:r>
          </w:p>
          <w:p w:rsidR="00D8122F" w:rsidRPr="00A23740" w:rsidRDefault="0042739A" w:rsidP="0080239A">
            <w:pPr>
              <w:tabs>
                <w:tab w:val="left" w:pos="567"/>
              </w:tabs>
              <w:autoSpaceDE w:val="0"/>
              <w:autoSpaceDN w:val="0"/>
              <w:adjustRightInd w:val="0"/>
              <w:ind w:firstLine="567"/>
              <w:rPr>
                <w:b/>
                <w:bCs/>
                <w:color w:val="000000"/>
                <w:szCs w:val="24"/>
                <w:lang w:eastAsia="x-none"/>
              </w:rPr>
            </w:pPr>
            <w:r w:rsidRPr="00A23740">
              <w:rPr>
                <w:rFonts w:eastAsia="ヒラギノ明朝 Pro W3"/>
                <w:color w:val="000000"/>
                <w:szCs w:val="24"/>
              </w:rPr>
              <w:t xml:space="preserve">2004 sayılı Kanunun </w:t>
            </w:r>
            <w:r w:rsidR="009510DD" w:rsidRPr="00A23740">
              <w:rPr>
                <w:rFonts w:eastAsia="ヒラギノ明朝 Pro W3"/>
                <w:color w:val="000000"/>
                <w:szCs w:val="24"/>
              </w:rPr>
              <w:t>150/d</w:t>
            </w:r>
            <w:r w:rsidRPr="00A23740">
              <w:rPr>
                <w:rFonts w:eastAsia="ヒラギノ明朝 Pro W3"/>
                <w:color w:val="000000"/>
                <w:szCs w:val="24"/>
              </w:rPr>
              <w:t xml:space="preserve"> maddesi</w:t>
            </w:r>
            <w:r w:rsidR="0025669E" w:rsidRPr="00A23740">
              <w:rPr>
                <w:rFonts w:eastAsia="ヒラギノ明朝 Pro W3"/>
                <w:color w:val="000000"/>
                <w:szCs w:val="24"/>
              </w:rPr>
              <w:t>nde</w:t>
            </w:r>
            <w:r w:rsidR="009510DD" w:rsidRPr="00A23740">
              <w:rPr>
                <w:rFonts w:eastAsia="ヒラギノ明朝 Pro W3"/>
                <w:color w:val="000000"/>
                <w:szCs w:val="24"/>
              </w:rPr>
              <w:t xml:space="preserve"> sadece ipoteğin paraya çevrilmesi yoluyla takip talebi üzerine satış hazırlıklarına başlanacağı öngörülmüşken, </w:t>
            </w:r>
            <w:r w:rsidR="00F977B1" w:rsidRPr="00A23740">
              <w:rPr>
                <w:rFonts w:eastAsia="ヒラギノ明朝 Pro W3"/>
                <w:color w:val="000000"/>
                <w:szCs w:val="24"/>
              </w:rPr>
              <w:t>T</w:t>
            </w:r>
            <w:r w:rsidR="009510DD" w:rsidRPr="00A23740">
              <w:rPr>
                <w:rFonts w:eastAsia="ヒラギノ明朝 Pro W3"/>
                <w:color w:val="000000"/>
                <w:szCs w:val="24"/>
              </w:rPr>
              <w:t>aslaktaki hükümde, rehinli malın taşınır ya da taşınmaz olmasına bakılmadan, takip talebini alan icra</w:t>
            </w:r>
            <w:r w:rsidR="00B73523" w:rsidRPr="00A23740">
              <w:rPr>
                <w:b/>
                <w:color w:val="538135"/>
              </w:rPr>
              <w:t xml:space="preserve"> </w:t>
            </w:r>
            <w:r w:rsidR="00B73523" w:rsidRPr="005574AB">
              <w:rPr>
                <w:color w:val="000000"/>
                <w:szCs w:val="24"/>
              </w:rPr>
              <w:t>ve</w:t>
            </w:r>
            <w:r w:rsidR="00B73523" w:rsidRPr="00A23740">
              <w:rPr>
                <w:b/>
                <w:color w:val="538135"/>
              </w:rPr>
              <w:t xml:space="preserve"> </w:t>
            </w:r>
            <w:r w:rsidR="00B73523" w:rsidRPr="005574AB">
              <w:rPr>
                <w:color w:val="000000"/>
                <w:szCs w:val="24"/>
              </w:rPr>
              <w:t>iflas</w:t>
            </w:r>
            <w:r w:rsidR="009510DD" w:rsidRPr="00A23740">
              <w:rPr>
                <w:rFonts w:eastAsia="ヒラギノ明朝 Pro W3"/>
                <w:color w:val="000000"/>
                <w:szCs w:val="24"/>
              </w:rPr>
              <w:t xml:space="preserve"> dairesinin satış hazırlıklarına başlayacağı öngörülmektedir.</w:t>
            </w:r>
          </w:p>
          <w:p w:rsidR="005738C4" w:rsidRPr="00A23740" w:rsidRDefault="005738C4" w:rsidP="0080239A">
            <w:pPr>
              <w:tabs>
                <w:tab w:val="left" w:pos="567"/>
              </w:tabs>
              <w:ind w:firstLine="567"/>
              <w:rPr>
                <w:b/>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 xml:space="preserve">Paraya çevirme </w:t>
            </w:r>
            <w:r w:rsidRPr="00A23740">
              <w:rPr>
                <w:b/>
                <w:strike/>
                <w:color w:val="FF0000"/>
                <w:szCs w:val="24"/>
                <w:lang w:eastAsia="tr-TR"/>
              </w:rPr>
              <w:t>müddeti:</w:t>
            </w: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bCs/>
                <w:strike/>
                <w:color w:val="FF0000"/>
                <w:szCs w:val="24"/>
              </w:rPr>
              <w:t>Madde 150/e – (1) (Ek</w:t>
            </w:r>
            <w:r w:rsidRPr="00A23740">
              <w:rPr>
                <w:b/>
                <w:strike/>
                <w:color w:val="FF0000"/>
                <w:szCs w:val="24"/>
                <w:lang w:eastAsia="tr-TR"/>
              </w:rPr>
              <w:t>: 18/2/1965 - 538/72 md.)</w:t>
            </w: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(Değişik birinci fıkra: 2/7/2012-6352/32 md.)</w:t>
            </w:r>
            <w:r w:rsidRPr="00A23740">
              <w:rPr>
                <w:b/>
                <w:bCs/>
                <w:szCs w:val="24"/>
              </w:rPr>
              <w:t xml:space="preserve"> </w:t>
            </w:r>
            <w:r w:rsidRPr="00A23740">
              <w:rPr>
                <w:szCs w:val="24"/>
              </w:rPr>
              <w:t>Alacaklı,</w:t>
            </w:r>
            <w:r w:rsidRPr="00A23740">
              <w:rPr>
                <w:b/>
                <w:bCs/>
                <w:color w:val="FF0000"/>
                <w:szCs w:val="24"/>
              </w:rPr>
              <w:t xml:space="preserve"> </w:t>
            </w:r>
            <w:r w:rsidRPr="00A23740">
              <w:rPr>
                <w:b/>
                <w:bCs/>
                <w:strike/>
                <w:color w:val="FF0000"/>
                <w:szCs w:val="24"/>
              </w:rPr>
              <w:t>t</w:t>
            </w:r>
            <w:r w:rsidRPr="00A23740">
              <w:rPr>
                <w:b/>
                <w:strike/>
                <w:color w:val="FF0000"/>
                <w:szCs w:val="24"/>
                <w:lang w:eastAsia="tr-TR"/>
              </w:rPr>
              <w:t>aşınır rehnin</w:t>
            </w:r>
            <w:r w:rsidRPr="00A23740">
              <w:rPr>
                <w:szCs w:val="24"/>
              </w:rPr>
              <w:t xml:space="preserve"> satışını ödeme veya icra emrinin tebliğinden itibaren </w:t>
            </w:r>
            <w:r w:rsidRPr="00A23740">
              <w:rPr>
                <w:b/>
                <w:bCs/>
                <w:strike/>
                <w:color w:val="FF0000"/>
                <w:szCs w:val="24"/>
              </w:rPr>
              <w:t>altı ay içinde, taşınmaz rehnin satışını da aynı tarihten itibaren</w:t>
            </w:r>
            <w:r w:rsidRPr="00A23740">
              <w:rPr>
                <w:szCs w:val="24"/>
              </w:rPr>
              <w:t xml:space="preserve"> bir yıl içinde isteyebilir.</w:t>
            </w:r>
          </w:p>
          <w:p w:rsidR="00155AF4" w:rsidRDefault="00155AF4" w:rsidP="009431FF">
            <w:pPr>
              <w:tabs>
                <w:tab w:val="left" w:pos="567"/>
              </w:tabs>
              <w:autoSpaceDE w:val="0"/>
              <w:autoSpaceDN w:val="0"/>
              <w:adjustRightInd w:val="0"/>
              <w:rPr>
                <w:szCs w:val="24"/>
              </w:rPr>
            </w:pPr>
          </w:p>
          <w:p w:rsidR="0080239A" w:rsidRPr="00A23740" w:rsidRDefault="0080239A"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w:t>
            </w:r>
            <w:r w:rsidRPr="00A23740">
              <w:rPr>
                <w:szCs w:val="24"/>
              </w:rPr>
              <w:t xml:space="preserve"> Satış yukarıdaki fıkrada gösterilen </w:t>
            </w:r>
            <w:r w:rsidRPr="00A23740">
              <w:rPr>
                <w:b/>
                <w:strike/>
                <w:color w:val="FF0000"/>
                <w:szCs w:val="24"/>
                <w:lang w:eastAsia="tr-TR"/>
              </w:rPr>
              <w:t>müddetler</w:t>
            </w:r>
            <w:r w:rsidRPr="00A23740">
              <w:rPr>
                <w:szCs w:val="24"/>
              </w:rPr>
              <w:t xml:space="preserve"> içinde istenmez veya talep geri alınıp da bu </w:t>
            </w:r>
            <w:r w:rsidRPr="00A23740">
              <w:rPr>
                <w:b/>
                <w:strike/>
                <w:color w:val="FF0000"/>
                <w:szCs w:val="24"/>
                <w:lang w:eastAsia="tr-TR"/>
              </w:rPr>
              <w:t>müddetler</w:t>
            </w:r>
            <w:r w:rsidRPr="00A23740">
              <w:rPr>
                <w:szCs w:val="24"/>
              </w:rPr>
              <w:t xml:space="preserve"> içinde </w:t>
            </w:r>
            <w:r w:rsidRPr="00A23740">
              <w:rPr>
                <w:b/>
                <w:bCs/>
                <w:strike/>
                <w:color w:val="FF0000"/>
                <w:szCs w:val="24"/>
              </w:rPr>
              <w:t>yenilenmezse</w:t>
            </w:r>
            <w:r w:rsidR="009D7972" w:rsidRPr="00A23740">
              <w:rPr>
                <w:szCs w:val="24"/>
              </w:rPr>
              <w:t xml:space="preserve"> takip düşer.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(3)</w:t>
            </w:r>
            <w:r w:rsidRPr="00A23740">
              <w:rPr>
                <w:szCs w:val="24"/>
              </w:rPr>
              <w:t xml:space="preserve"> 78 inci maddenin </w:t>
            </w:r>
            <w:r w:rsidRPr="00A23740">
              <w:rPr>
                <w:b/>
                <w:strike/>
                <w:color w:val="FF0000"/>
                <w:szCs w:val="24"/>
                <w:lang w:eastAsia="tr-TR"/>
              </w:rPr>
              <w:t>2 nci</w:t>
            </w:r>
            <w:r w:rsidRPr="00A23740">
              <w:rPr>
                <w:szCs w:val="24"/>
              </w:rPr>
              <w:t xml:space="preserve"> fıkrası </w:t>
            </w:r>
            <w:r w:rsidRPr="00A23740">
              <w:rPr>
                <w:b/>
                <w:strike/>
                <w:color w:val="FF0000"/>
                <w:szCs w:val="24"/>
                <w:lang w:eastAsia="tr-TR"/>
              </w:rPr>
              <w:t>hükmü</w:t>
            </w:r>
            <w:r w:rsidRPr="00A23740">
              <w:rPr>
                <w:szCs w:val="24"/>
              </w:rPr>
              <w:t xml:space="preserve"> rehnin paraya çevrilmesi yol</w:t>
            </w:r>
            <w:r w:rsidRPr="00A23740">
              <w:rPr>
                <w:b/>
                <w:strike/>
                <w:color w:val="FF0000"/>
                <w:szCs w:val="24"/>
                <w:lang w:eastAsia="tr-TR"/>
              </w:rPr>
              <w:t>i</w:t>
            </w:r>
            <w:r w:rsidRPr="00A23740">
              <w:rPr>
                <w:szCs w:val="24"/>
              </w:rPr>
              <w:t>yle takipte de kıyasen uygulanır.</w:t>
            </w: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rPr>
                <w:b/>
                <w:bCs/>
                <w:iCs/>
                <w:color w:val="0000FF"/>
                <w:szCs w:val="24"/>
                <w:lang w:val="x-none" w:eastAsia="x-none"/>
              </w:rPr>
            </w:pPr>
          </w:p>
        </w:tc>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b/>
                <w:bCs/>
                <w:szCs w:val="24"/>
              </w:rPr>
              <w:t>Paraya çevirme</w:t>
            </w:r>
            <w:r w:rsidRPr="00A23740">
              <w:rPr>
                <w:iCs/>
                <w:szCs w:val="24"/>
              </w:rPr>
              <w:t xml:space="preserve"> </w:t>
            </w:r>
            <w:r w:rsidRPr="00A23740">
              <w:rPr>
                <w:b/>
                <w:bCs/>
                <w:color w:val="0000FF"/>
                <w:szCs w:val="24"/>
                <w:lang w:val="x-none" w:eastAsia="x-none"/>
              </w:rPr>
              <w:t>süresi</w:t>
            </w:r>
          </w:p>
          <w:p w:rsidR="00155AF4" w:rsidRPr="00A23740" w:rsidRDefault="00F977B1" w:rsidP="009431FF">
            <w:pPr>
              <w:tabs>
                <w:tab w:val="left" w:pos="567"/>
              </w:tabs>
              <w:autoSpaceDE w:val="0"/>
              <w:autoSpaceDN w:val="0"/>
              <w:adjustRightInd w:val="0"/>
              <w:rPr>
                <w:b/>
                <w:bCs/>
                <w:strike/>
              </w:rPr>
            </w:pPr>
            <w:r w:rsidRPr="00A23740">
              <w:rPr>
                <w:b/>
                <w:bCs/>
                <w:color w:val="0000FF"/>
                <w:szCs w:val="24"/>
                <w:lang w:val="x-none" w:eastAsia="x-none"/>
              </w:rPr>
              <w:t>MADDE 129</w:t>
            </w:r>
            <w:r w:rsidR="00155AF4" w:rsidRPr="00A23740">
              <w:rPr>
                <w:b/>
                <w:bCs/>
                <w:color w:val="0000FF"/>
                <w:szCs w:val="24"/>
                <w:lang w:val="x-none" w:eastAsia="x-none"/>
              </w:rPr>
              <w:t>- (1)</w:t>
            </w:r>
            <w:r w:rsidR="00155AF4" w:rsidRPr="00A23740">
              <w:rPr>
                <w:color w:val="FF0000"/>
                <w:szCs w:val="24"/>
                <w:lang w:eastAsia="tr-TR"/>
              </w:rPr>
              <w:t xml:space="preserve"> </w:t>
            </w:r>
            <w:r w:rsidR="00155AF4" w:rsidRPr="00A23740">
              <w:rPr>
                <w:szCs w:val="24"/>
              </w:rPr>
              <w:t xml:space="preserve">Alacaklı, </w:t>
            </w:r>
            <w:r w:rsidR="00155AF4" w:rsidRPr="00A23740">
              <w:rPr>
                <w:b/>
                <w:bCs/>
                <w:color w:val="0000FF"/>
                <w:szCs w:val="24"/>
                <w:lang w:val="x-none" w:eastAsia="x-none"/>
              </w:rPr>
              <w:t>borçlu veya</w:t>
            </w:r>
            <w:r w:rsidR="00155AF4" w:rsidRPr="00A23740">
              <w:rPr>
                <w:szCs w:val="24"/>
              </w:rPr>
              <w:t xml:space="preserve"> </w:t>
            </w:r>
            <w:r w:rsidR="00155AF4" w:rsidRPr="00A23740">
              <w:rPr>
                <w:b/>
                <w:bCs/>
                <w:color w:val="0000FF"/>
                <w:szCs w:val="24"/>
                <w:lang w:eastAsia="x-none"/>
              </w:rPr>
              <w:t xml:space="preserve">rehinli malın </w:t>
            </w:r>
            <w:r w:rsidR="00155AF4" w:rsidRPr="00A23740">
              <w:rPr>
                <w:b/>
                <w:bCs/>
                <w:color w:val="0000FF"/>
                <w:szCs w:val="24"/>
                <w:lang w:val="x-none" w:eastAsia="x-none"/>
              </w:rPr>
              <w:t>maliki üçüncü kişi</w:t>
            </w:r>
            <w:r w:rsidR="00155AF4" w:rsidRPr="00A23740">
              <w:rPr>
                <w:b/>
                <w:bCs/>
                <w:color w:val="0000FF"/>
                <w:szCs w:val="24"/>
                <w:lang w:eastAsia="x-none"/>
              </w:rPr>
              <w:t>,</w:t>
            </w:r>
            <w:r w:rsidR="00155AF4" w:rsidRPr="00A23740">
              <w:rPr>
                <w:b/>
                <w:bCs/>
                <w:color w:val="0000FF"/>
                <w:szCs w:val="24"/>
                <w:lang w:val="x-none" w:eastAsia="x-none"/>
              </w:rPr>
              <w:t xml:space="preserve"> rehinli malın </w:t>
            </w:r>
            <w:r w:rsidR="00155AF4" w:rsidRPr="00A23740">
              <w:rPr>
                <w:szCs w:val="24"/>
              </w:rPr>
              <w:t>satışını</w:t>
            </w:r>
            <w:r w:rsidR="00155AF4" w:rsidRPr="00A23740">
              <w:rPr>
                <w:b/>
                <w:color w:val="CC00CC"/>
                <w:szCs w:val="24"/>
              </w:rPr>
              <w:t xml:space="preserve"> </w:t>
            </w:r>
            <w:r w:rsidR="00155AF4" w:rsidRPr="00A23740">
              <w:rPr>
                <w:szCs w:val="24"/>
              </w:rPr>
              <w:t>ödeme veya icra emrinin tebliğinden itibaren bir yıl içinde isteyebilir.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6"/>
              </w:tabs>
              <w:rPr>
                <w:rFonts w:eastAsia="ヒラギノ明朝 Pro W3"/>
                <w:b/>
                <w:strike/>
                <w:color w:val="FF0000"/>
                <w:szCs w:val="24"/>
              </w:rPr>
            </w:pPr>
          </w:p>
          <w:p w:rsidR="0080239A" w:rsidRDefault="0080239A" w:rsidP="009431FF">
            <w:pPr>
              <w:tabs>
                <w:tab w:val="left" w:pos="567"/>
              </w:tabs>
              <w:autoSpaceDE w:val="0"/>
              <w:autoSpaceDN w:val="0"/>
              <w:adjustRightInd w:val="0"/>
              <w:rPr>
                <w:b/>
                <w:bCs/>
                <w:color w:val="0000FF"/>
                <w:szCs w:val="24"/>
                <w:lang w:val="x-none" w:eastAsia="x-none"/>
              </w:rPr>
            </w:pPr>
          </w:p>
          <w:p w:rsidR="00155AF4" w:rsidRPr="00A23740" w:rsidRDefault="00155AF4" w:rsidP="009431FF">
            <w:pPr>
              <w:tabs>
                <w:tab w:val="left" w:pos="567"/>
              </w:tabs>
              <w:autoSpaceDE w:val="0"/>
              <w:autoSpaceDN w:val="0"/>
              <w:adjustRightInd w:val="0"/>
              <w:rPr>
                <w:b/>
                <w:bCs/>
                <w:color w:val="0000FF"/>
                <w:szCs w:val="24"/>
                <w:lang w:val="x-none" w:eastAsia="x-none"/>
              </w:rPr>
            </w:pPr>
            <w:r w:rsidRPr="00A23740">
              <w:rPr>
                <w:b/>
                <w:bCs/>
                <w:color w:val="0000FF"/>
                <w:szCs w:val="24"/>
                <w:lang w:val="x-none" w:eastAsia="x-none"/>
              </w:rPr>
              <w:t xml:space="preserve">(2) </w:t>
            </w:r>
            <w:r w:rsidRPr="00A23740">
              <w:rPr>
                <w:szCs w:val="24"/>
              </w:rPr>
              <w:t xml:space="preserve">Satış yukarıdaki fıkrada gösterilen </w:t>
            </w:r>
            <w:r w:rsidRPr="00A23740">
              <w:rPr>
                <w:b/>
                <w:bCs/>
                <w:color w:val="0000FF"/>
                <w:szCs w:val="24"/>
                <w:lang w:val="x-none" w:eastAsia="x-none"/>
              </w:rPr>
              <w:t xml:space="preserve">süre </w:t>
            </w:r>
            <w:r w:rsidRPr="00A23740">
              <w:rPr>
                <w:szCs w:val="24"/>
              </w:rPr>
              <w:t xml:space="preserve">içinde </w:t>
            </w:r>
            <w:r w:rsidRPr="00A23740">
              <w:rPr>
                <w:b/>
                <w:bCs/>
                <w:color w:val="0000FF"/>
                <w:szCs w:val="24"/>
                <w:lang w:val="x-none" w:eastAsia="x-none"/>
              </w:rPr>
              <w:t>istenmezse</w:t>
            </w:r>
            <w:r w:rsidRPr="00A23740">
              <w:rPr>
                <w:szCs w:val="24"/>
              </w:rPr>
              <w:t xml:space="preserve"> takip düşer. </w:t>
            </w:r>
            <w:r w:rsidRPr="00A23740">
              <w:rPr>
                <w:b/>
                <w:bCs/>
                <w:color w:val="0000FF"/>
                <w:szCs w:val="24"/>
                <w:lang w:val="x-none" w:eastAsia="x-none"/>
              </w:rPr>
              <w:t>Satış talebinin yapılıp geri alınması arasında geçen süre bir yıllık süreye eklenmez.</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(3) Talep süresinin işlemeyeceği h</w:t>
            </w:r>
            <w:r w:rsidR="00A9749A" w:rsidRPr="00A23740">
              <w:rPr>
                <w:b/>
                <w:bCs/>
                <w:color w:val="0000FF"/>
                <w:szCs w:val="24"/>
                <w:lang w:eastAsia="x-none"/>
              </w:rPr>
              <w:t>â</w:t>
            </w:r>
            <w:r w:rsidRPr="00A23740">
              <w:rPr>
                <w:b/>
                <w:bCs/>
                <w:color w:val="0000FF"/>
                <w:szCs w:val="24"/>
                <w:lang w:val="x-none" w:eastAsia="x-none"/>
              </w:rPr>
              <w:t>ller bakımından</w:t>
            </w:r>
            <w:r w:rsidR="000779D1" w:rsidRPr="00A23740">
              <w:rPr>
                <w:b/>
                <w:bCs/>
                <w:color w:val="0000FF"/>
                <w:szCs w:val="24"/>
                <w:lang w:eastAsia="x-none"/>
              </w:rPr>
              <w:t xml:space="preserve"> </w:t>
            </w:r>
            <w:r w:rsidR="000779D1" w:rsidRPr="005574AB">
              <w:rPr>
                <w:rStyle w:val="KonuBalChar"/>
                <w:rFonts w:eastAsia="Calibri"/>
                <w:color w:val="0000FF"/>
              </w:rPr>
              <w:t>156 ncı</w:t>
            </w:r>
            <w:r w:rsidRPr="005574AB">
              <w:rPr>
                <w:b/>
                <w:bCs/>
                <w:color w:val="0000FF"/>
                <w:szCs w:val="24"/>
                <w:lang w:val="x-none" w:eastAsia="x-none"/>
              </w:rPr>
              <w:t xml:space="preserve"> </w:t>
            </w:r>
            <w:r w:rsidRPr="00A23740">
              <w:rPr>
                <w:szCs w:val="24"/>
              </w:rPr>
              <w:t xml:space="preserve">maddenin </w:t>
            </w:r>
            <w:r w:rsidR="000779D1" w:rsidRPr="005574AB">
              <w:rPr>
                <w:rStyle w:val="KonuBalChar"/>
                <w:rFonts w:eastAsia="Calibri"/>
                <w:color w:val="0000FF"/>
              </w:rPr>
              <w:t>yedinci</w:t>
            </w:r>
            <w:r w:rsidR="000779D1" w:rsidRPr="005574AB">
              <w:rPr>
                <w:b/>
                <w:bCs/>
                <w:color w:val="0000FF"/>
                <w:szCs w:val="24"/>
                <w:lang w:eastAsia="x-none"/>
              </w:rPr>
              <w:t xml:space="preserve"> </w:t>
            </w:r>
            <w:r w:rsidRPr="00A23740">
              <w:rPr>
                <w:szCs w:val="24"/>
              </w:rPr>
              <w:t>fıkrası</w:t>
            </w:r>
            <w:r w:rsidRPr="00A23740">
              <w:rPr>
                <w:b/>
                <w:bCs/>
                <w:color w:val="0000FF"/>
                <w:szCs w:val="24"/>
                <w:lang w:val="x-none" w:eastAsia="x-none"/>
              </w:rPr>
              <w:t>,</w:t>
            </w:r>
            <w:r w:rsidRPr="00A23740">
              <w:rPr>
                <w:szCs w:val="24"/>
              </w:rPr>
              <w:t xml:space="preserve"> rehnin paraya çevrilmesi yol</w:t>
            </w:r>
            <w:r w:rsidRPr="005574AB">
              <w:rPr>
                <w:b/>
                <w:bCs/>
                <w:color w:val="0000FF"/>
                <w:szCs w:val="24"/>
                <w:lang w:val="x-none" w:eastAsia="x-none"/>
              </w:rPr>
              <w:t>u</w:t>
            </w:r>
            <w:r w:rsidRPr="00A23740">
              <w:rPr>
                <w:szCs w:val="24"/>
              </w:rPr>
              <w:t>yla takipte de kıyasen uygulanır.</w:t>
            </w:r>
          </w:p>
          <w:p w:rsidR="00155AF4" w:rsidRPr="00A23740" w:rsidRDefault="00155AF4" w:rsidP="009431FF">
            <w:pPr>
              <w:tabs>
                <w:tab w:val="left" w:pos="567"/>
              </w:tabs>
              <w:autoSpaceDE w:val="0"/>
              <w:autoSpaceDN w:val="0"/>
              <w:adjustRightInd w:val="0"/>
              <w:rPr>
                <w:b/>
                <w:iCs/>
                <w:color w:val="FF0000"/>
                <w:szCs w:val="24"/>
              </w:rPr>
            </w:pPr>
          </w:p>
          <w:p w:rsidR="00155AF4" w:rsidRPr="00A23740" w:rsidRDefault="00155AF4" w:rsidP="009431FF">
            <w:pPr>
              <w:tabs>
                <w:tab w:val="left" w:pos="567"/>
              </w:tabs>
              <w:rPr>
                <w:b/>
                <w:bCs/>
                <w:color w:val="0000FF"/>
                <w:szCs w:val="24"/>
                <w:lang w:eastAsia="x-none"/>
              </w:rPr>
            </w:pPr>
            <w:r w:rsidRPr="00A23740">
              <w:rPr>
                <w:b/>
                <w:bCs/>
                <w:color w:val="0000FF"/>
                <w:szCs w:val="24"/>
                <w:lang w:val="x-none" w:eastAsia="x-none"/>
              </w:rPr>
              <w:t>(4) Artırmada alıcı çıkmazsa veya</w:t>
            </w:r>
            <w:r w:rsidR="00085C28" w:rsidRPr="00A23740">
              <w:rPr>
                <w:b/>
                <w:bCs/>
                <w:color w:val="0000FF"/>
                <w:szCs w:val="24"/>
                <w:lang w:eastAsia="x-none"/>
              </w:rPr>
              <w:t xml:space="preserve"> </w:t>
            </w:r>
            <w:r w:rsidR="00085C28" w:rsidRPr="005574AB">
              <w:rPr>
                <w:b/>
                <w:bCs/>
                <w:color w:val="0000FF"/>
                <w:szCs w:val="24"/>
                <w:lang w:val="x-none" w:eastAsia="x-none"/>
              </w:rPr>
              <w:t>236</w:t>
            </w:r>
            <w:r w:rsidR="00085C28" w:rsidRPr="00A23740">
              <w:rPr>
                <w:rStyle w:val="KonuBalChar"/>
                <w:rFonts w:eastAsia="Calibri"/>
              </w:rPr>
              <w:t xml:space="preserve"> </w:t>
            </w:r>
            <w:r w:rsidR="00085C28" w:rsidRPr="005574AB">
              <w:rPr>
                <w:b/>
                <w:bCs/>
                <w:color w:val="0000FF"/>
                <w:szCs w:val="24"/>
                <w:lang w:val="x-none" w:eastAsia="x-none"/>
              </w:rPr>
              <w:t>ncı</w:t>
            </w:r>
            <w:r w:rsidRPr="00A23740">
              <w:rPr>
                <w:b/>
                <w:bCs/>
                <w:color w:val="0000FF"/>
                <w:szCs w:val="24"/>
                <w:lang w:val="x-none" w:eastAsia="x-none"/>
              </w:rPr>
              <w:t xml:space="preserve"> maddenin birinci fıkrasında yazılı şartların gerçekleşmemesi sebebiyle satış yapılamazsa veya ihale iptal edilirs</w:t>
            </w:r>
            <w:r w:rsidRPr="00A23740">
              <w:rPr>
                <w:rStyle w:val="MaviChar"/>
              </w:rPr>
              <w:t>e,</w:t>
            </w:r>
            <w:r w:rsidRPr="00A23740">
              <w:rPr>
                <w:b/>
                <w:bCs/>
                <w:color w:val="0000FF"/>
                <w:szCs w:val="24"/>
                <w:lang w:val="x-none" w:eastAsia="x-none"/>
              </w:rPr>
              <w:t xml:space="preserve"> satış talebi düşer. Alacaklı, önceki satış talebiyle durmuş olan satış isteme süresi içinde yeniden satış talebinde bulunabilir. Satış isteme süresi satış talebiyle birlikte durur ve duran bu süre satışın gerçekleşmediği tarihten itibaren kaldığı yerden işlemeye</w:t>
            </w:r>
            <w:r w:rsidRPr="00A23740">
              <w:rPr>
                <w:b/>
                <w:bCs/>
                <w:color w:val="0000FF"/>
                <w:szCs w:val="24"/>
                <w:lang w:eastAsia="x-none"/>
              </w:rPr>
              <w:t xml:space="preserve"> </w:t>
            </w:r>
            <w:r w:rsidRPr="00A23740">
              <w:rPr>
                <w:rStyle w:val="MaviChar"/>
              </w:rPr>
              <w:t>devam eder</w:t>
            </w:r>
            <w:r w:rsidRPr="00A23740">
              <w:rPr>
                <w:b/>
                <w:bCs/>
                <w:color w:val="0000FF"/>
                <w:szCs w:val="24"/>
                <w:lang w:val="x-none" w:eastAsia="x-none"/>
              </w:rPr>
              <w:t>. Bu ihtimalde, kalan süre içinde satış günü verilmesi istenmezse veya satış istenip de kalan süre içinde aynı sebeplerle satış gerçekleşmezse takip düşer. Bu h</w:t>
            </w:r>
            <w:r w:rsidR="00F906A7" w:rsidRPr="00A23740">
              <w:rPr>
                <w:b/>
                <w:bCs/>
                <w:color w:val="0000FF"/>
                <w:szCs w:val="24"/>
                <w:lang w:eastAsia="x-none"/>
              </w:rPr>
              <w:t>â</w:t>
            </w:r>
            <w:r w:rsidRPr="00A23740">
              <w:rPr>
                <w:b/>
                <w:bCs/>
                <w:color w:val="0000FF"/>
                <w:szCs w:val="24"/>
                <w:lang w:val="x-none" w:eastAsia="x-none"/>
              </w:rPr>
              <w:t>lde alacaklıya</w:t>
            </w:r>
            <w:r w:rsidR="00085C28" w:rsidRPr="00A23740">
              <w:rPr>
                <w:b/>
                <w:bCs/>
                <w:color w:val="0000FF"/>
                <w:szCs w:val="24"/>
                <w:lang w:eastAsia="x-none"/>
              </w:rPr>
              <w:t xml:space="preserve"> </w:t>
            </w:r>
            <w:r w:rsidR="00085C28" w:rsidRPr="005574AB">
              <w:rPr>
                <w:b/>
                <w:bCs/>
                <w:color w:val="0000FF"/>
                <w:szCs w:val="24"/>
                <w:lang w:val="x-none" w:eastAsia="x-none"/>
              </w:rPr>
              <w:t>130</w:t>
            </w:r>
            <w:r w:rsidR="00085C28" w:rsidRPr="00A23740">
              <w:rPr>
                <w:rStyle w:val="KonuBalChar"/>
                <w:rFonts w:eastAsia="Calibri"/>
              </w:rPr>
              <w:t xml:space="preserve"> </w:t>
            </w:r>
            <w:r w:rsidR="00085C28" w:rsidRPr="005574AB">
              <w:rPr>
                <w:b/>
                <w:bCs/>
                <w:color w:val="0000FF"/>
                <w:szCs w:val="24"/>
                <w:lang w:val="x-none" w:eastAsia="x-none"/>
              </w:rPr>
              <w:t>uncu</w:t>
            </w:r>
            <w:r w:rsidRPr="00A23740">
              <w:rPr>
                <w:b/>
                <w:bCs/>
                <w:color w:val="0000FF"/>
                <w:szCs w:val="24"/>
                <w:lang w:val="x-none" w:eastAsia="x-none"/>
              </w:rPr>
              <w:t xml:space="preserve"> madde uyarınca rehin açığı belgesi verilir.</w:t>
            </w:r>
          </w:p>
          <w:p w:rsidR="00155AF4" w:rsidRPr="00A23740" w:rsidRDefault="00155AF4" w:rsidP="009431FF">
            <w:pPr>
              <w:tabs>
                <w:tab w:val="left" w:pos="567"/>
              </w:tabs>
              <w:autoSpaceDE w:val="0"/>
              <w:autoSpaceDN w:val="0"/>
              <w:adjustRightInd w:val="0"/>
              <w:rPr>
                <w:b/>
                <w:iCs/>
                <w:strike/>
                <w:color w:val="FF0000"/>
                <w:szCs w:val="24"/>
              </w:rPr>
            </w:pPr>
          </w:p>
        </w:tc>
      </w:tr>
      <w:tr w:rsidR="00D8122F" w:rsidRPr="00A23740" w:rsidTr="009431FF">
        <w:tc>
          <w:tcPr>
            <w:tcW w:w="5000" w:type="pct"/>
            <w:gridSpan w:val="2"/>
            <w:shd w:val="clear" w:color="auto" w:fill="DEEAF6"/>
          </w:tcPr>
          <w:p w:rsidR="004C3E2C" w:rsidRPr="00A23740" w:rsidRDefault="004C3E2C" w:rsidP="009431FF">
            <w:pPr>
              <w:tabs>
                <w:tab w:val="left" w:pos="567"/>
              </w:tabs>
              <w:autoSpaceDE w:val="0"/>
              <w:autoSpaceDN w:val="0"/>
              <w:adjustRightInd w:val="0"/>
              <w:ind w:firstLine="567"/>
              <w:rPr>
                <w:b/>
                <w:bCs/>
                <w:color w:val="000000"/>
                <w:szCs w:val="24"/>
                <w:lang w:eastAsia="x-none"/>
              </w:rPr>
            </w:pPr>
          </w:p>
          <w:p w:rsidR="009510DD" w:rsidRPr="00A23740" w:rsidRDefault="00A9749A" w:rsidP="009431FF">
            <w:pPr>
              <w:tabs>
                <w:tab w:val="left" w:pos="567"/>
              </w:tabs>
              <w:autoSpaceDE w:val="0"/>
              <w:autoSpaceDN w:val="0"/>
              <w:adjustRightInd w:val="0"/>
              <w:ind w:firstLine="567"/>
              <w:rPr>
                <w:bCs/>
                <w:color w:val="000000"/>
              </w:rPr>
            </w:pPr>
            <w:r w:rsidRPr="00A23740">
              <w:rPr>
                <w:b/>
                <w:bCs/>
                <w:color w:val="000000"/>
                <w:szCs w:val="24"/>
                <w:lang w:eastAsia="x-none"/>
              </w:rPr>
              <w:t>MADDE 129</w:t>
            </w:r>
            <w:r w:rsidR="00D8122F" w:rsidRPr="00A23740">
              <w:rPr>
                <w:b/>
                <w:bCs/>
                <w:color w:val="000000"/>
                <w:szCs w:val="24"/>
                <w:lang w:eastAsia="x-none"/>
              </w:rPr>
              <w:t>-</w:t>
            </w:r>
            <w:r w:rsidR="009510DD" w:rsidRPr="00A23740">
              <w:rPr>
                <w:b/>
                <w:bCs/>
                <w:color w:val="000000"/>
                <w:szCs w:val="24"/>
                <w:lang w:eastAsia="x-none"/>
              </w:rPr>
              <w:t xml:space="preserve"> </w:t>
            </w:r>
            <w:r w:rsidR="00A03F65" w:rsidRPr="00A23740">
              <w:rPr>
                <w:bCs/>
                <w:color w:val="000000"/>
              </w:rPr>
              <w:t xml:space="preserve">Maddeyle, </w:t>
            </w:r>
            <w:r w:rsidR="0006664F" w:rsidRPr="00A23740">
              <w:rPr>
                <w:bCs/>
                <w:color w:val="000000"/>
              </w:rPr>
              <w:t>p</w:t>
            </w:r>
            <w:r w:rsidR="00A03F65" w:rsidRPr="00A23740">
              <w:rPr>
                <w:bCs/>
                <w:color w:val="000000"/>
              </w:rPr>
              <w:t xml:space="preserve">araya çevirme süresine ilişkin hususlar düzenlenmektedir. </w:t>
            </w:r>
            <w:r w:rsidR="009510DD" w:rsidRPr="00A23740">
              <w:rPr>
                <w:bCs/>
                <w:color w:val="000000"/>
              </w:rPr>
              <w:t xml:space="preserve">Taslağın </w:t>
            </w:r>
            <w:r w:rsidR="00085C28" w:rsidRPr="005574AB">
              <w:rPr>
                <w:color w:val="000000"/>
              </w:rPr>
              <w:t>129</w:t>
            </w:r>
            <w:r w:rsidR="00085C28" w:rsidRPr="00A23740">
              <w:rPr>
                <w:rStyle w:val="KonuBalChar"/>
                <w:rFonts w:eastAsia="Calibri"/>
                <w:b w:val="0"/>
              </w:rPr>
              <w:t xml:space="preserve"> </w:t>
            </w:r>
            <w:r w:rsidR="00085C28" w:rsidRPr="005574AB">
              <w:rPr>
                <w:color w:val="000000"/>
              </w:rPr>
              <w:t>uncu</w:t>
            </w:r>
            <w:r w:rsidR="00085C28" w:rsidRPr="00A23740">
              <w:rPr>
                <w:b/>
                <w:bCs/>
                <w:color w:val="000000"/>
              </w:rPr>
              <w:t xml:space="preserve"> </w:t>
            </w:r>
            <w:r w:rsidR="009510DD" w:rsidRPr="00A23740">
              <w:rPr>
                <w:bCs/>
                <w:color w:val="000000"/>
              </w:rPr>
              <w:t>maddesi “</w:t>
            </w:r>
            <w:r w:rsidR="009510DD" w:rsidRPr="00A23740">
              <w:rPr>
                <w:bCs/>
                <w:color w:val="000000"/>
                <w:szCs w:val="24"/>
              </w:rPr>
              <w:t>Paraya çevirme</w:t>
            </w:r>
            <w:r w:rsidR="009510DD" w:rsidRPr="00A23740">
              <w:rPr>
                <w:iCs/>
                <w:color w:val="000000"/>
                <w:szCs w:val="24"/>
              </w:rPr>
              <w:t xml:space="preserve"> </w:t>
            </w:r>
            <w:r w:rsidR="009510DD" w:rsidRPr="00A23740">
              <w:rPr>
                <w:bCs/>
                <w:color w:val="000000"/>
                <w:szCs w:val="24"/>
                <w:lang w:val="x-none" w:eastAsia="x-none"/>
              </w:rPr>
              <w:t>süresi</w:t>
            </w:r>
            <w:r w:rsidR="009510DD" w:rsidRPr="00A23740">
              <w:rPr>
                <w:bCs/>
                <w:color w:val="000000"/>
              </w:rPr>
              <w:t>” başlığını taşımakta olup</w:t>
            </w:r>
            <w:r w:rsidR="0025669E" w:rsidRPr="00A23740">
              <w:rPr>
                <w:bCs/>
                <w:color w:val="000000"/>
              </w:rPr>
              <w:t>,</w:t>
            </w:r>
            <w:r w:rsidR="009510DD" w:rsidRPr="00A23740">
              <w:rPr>
                <w:bCs/>
                <w:color w:val="000000"/>
              </w:rPr>
              <w:t xml:space="preserve"> yürürlükteki </w:t>
            </w:r>
            <w:r w:rsidR="0006664F" w:rsidRPr="00A23740">
              <w:rPr>
                <w:bCs/>
                <w:color w:val="000000"/>
              </w:rPr>
              <w:t>K</w:t>
            </w:r>
            <w:r w:rsidR="009510DD" w:rsidRPr="00A23740">
              <w:rPr>
                <w:bCs/>
                <w:color w:val="000000"/>
              </w:rPr>
              <w:t>anunun</w:t>
            </w:r>
            <w:r w:rsidR="004C3E2C" w:rsidRPr="00A23740">
              <w:rPr>
                <w:bCs/>
                <w:color w:val="000000"/>
              </w:rPr>
              <w:t xml:space="preserve"> 150/c maddesinin karşılığıdır.</w:t>
            </w:r>
          </w:p>
          <w:p w:rsidR="009510DD" w:rsidRPr="00A23740" w:rsidRDefault="009510DD" w:rsidP="009431FF">
            <w:pPr>
              <w:tabs>
                <w:tab w:val="left" w:pos="567"/>
              </w:tabs>
              <w:autoSpaceDE w:val="0"/>
              <w:autoSpaceDN w:val="0"/>
              <w:adjustRightInd w:val="0"/>
              <w:ind w:firstLine="567"/>
              <w:rPr>
                <w:color w:val="000000"/>
                <w:szCs w:val="24"/>
              </w:rPr>
            </w:pPr>
            <w:r w:rsidRPr="00A23740">
              <w:rPr>
                <w:bCs/>
                <w:color w:val="000000"/>
              </w:rPr>
              <w:t>Maddenin birinci fık</w:t>
            </w:r>
            <w:r w:rsidR="0006664F" w:rsidRPr="00A23740">
              <w:rPr>
                <w:bCs/>
                <w:color w:val="000000"/>
              </w:rPr>
              <w:t>rasına</w:t>
            </w:r>
            <w:r w:rsidRPr="00A23740">
              <w:rPr>
                <w:bCs/>
                <w:color w:val="000000"/>
              </w:rPr>
              <w:t xml:space="preserve"> </w:t>
            </w:r>
            <w:r w:rsidR="0025669E" w:rsidRPr="00A23740">
              <w:rPr>
                <w:bCs/>
                <w:color w:val="000000"/>
              </w:rPr>
              <w:t xml:space="preserve">göre, </w:t>
            </w:r>
            <w:r w:rsidRPr="00A23740">
              <w:rPr>
                <w:color w:val="000000"/>
                <w:szCs w:val="24"/>
              </w:rPr>
              <w:t xml:space="preserve">alacaklı, </w:t>
            </w:r>
            <w:r w:rsidRPr="00A23740">
              <w:rPr>
                <w:bCs/>
                <w:color w:val="000000"/>
                <w:szCs w:val="24"/>
                <w:lang w:val="x-none" w:eastAsia="x-none"/>
              </w:rPr>
              <w:t>borçlu veya</w:t>
            </w:r>
            <w:r w:rsidRPr="00A23740">
              <w:rPr>
                <w:color w:val="000000"/>
                <w:szCs w:val="24"/>
              </w:rPr>
              <w:t xml:space="preserve"> </w:t>
            </w:r>
            <w:r w:rsidRPr="00A23740">
              <w:rPr>
                <w:bCs/>
                <w:color w:val="000000"/>
                <w:szCs w:val="24"/>
                <w:lang w:eastAsia="x-none"/>
              </w:rPr>
              <w:t xml:space="preserve">rehinli malın </w:t>
            </w:r>
            <w:r w:rsidRPr="00A23740">
              <w:rPr>
                <w:bCs/>
                <w:color w:val="000000"/>
                <w:szCs w:val="24"/>
                <w:lang w:val="x-none" w:eastAsia="x-none"/>
              </w:rPr>
              <w:t>maliki</w:t>
            </w:r>
            <w:r w:rsidRPr="00A23740">
              <w:rPr>
                <w:bCs/>
                <w:color w:val="000000"/>
                <w:szCs w:val="24"/>
                <w:lang w:eastAsia="x-none"/>
              </w:rPr>
              <w:t xml:space="preserve"> olan</w:t>
            </w:r>
            <w:r w:rsidRPr="00A23740">
              <w:rPr>
                <w:bCs/>
                <w:color w:val="000000"/>
                <w:szCs w:val="24"/>
                <w:lang w:val="x-none" w:eastAsia="x-none"/>
              </w:rPr>
              <w:t xml:space="preserve"> üçüncü kişi</w:t>
            </w:r>
            <w:r w:rsidRPr="00A23740">
              <w:rPr>
                <w:bCs/>
                <w:color w:val="000000"/>
                <w:szCs w:val="24"/>
                <w:lang w:eastAsia="x-none"/>
              </w:rPr>
              <w:t>,</w:t>
            </w:r>
            <w:r w:rsidRPr="00A23740">
              <w:rPr>
                <w:bCs/>
                <w:color w:val="000000"/>
                <w:szCs w:val="24"/>
                <w:lang w:val="x-none" w:eastAsia="x-none"/>
              </w:rPr>
              <w:t xml:space="preserve"> rehinli malın </w:t>
            </w:r>
            <w:r w:rsidRPr="00A23740">
              <w:rPr>
                <w:color w:val="000000"/>
                <w:szCs w:val="24"/>
              </w:rPr>
              <w:t>satışını ödeme veya icra emrinin tebliğinden itibaren bir yıl içinde isteyebilece</w:t>
            </w:r>
            <w:r w:rsidR="0025669E" w:rsidRPr="00A23740">
              <w:rPr>
                <w:color w:val="000000"/>
                <w:szCs w:val="24"/>
              </w:rPr>
              <w:t>ktir</w:t>
            </w:r>
            <w:r w:rsidRPr="00A23740">
              <w:rPr>
                <w:color w:val="000000"/>
                <w:szCs w:val="24"/>
              </w:rPr>
              <w:t xml:space="preserve">. Bu fıkrada yürürlükteki </w:t>
            </w:r>
            <w:r w:rsidR="0006664F" w:rsidRPr="00A23740">
              <w:rPr>
                <w:color w:val="000000"/>
                <w:szCs w:val="24"/>
              </w:rPr>
              <w:t xml:space="preserve">Kanunun </w:t>
            </w:r>
            <w:r w:rsidRPr="00A23740">
              <w:rPr>
                <w:color w:val="000000"/>
                <w:szCs w:val="24"/>
              </w:rPr>
              <w:t>düzenlemesinden farklı olarak, haciz yoluyla takiplerde olduğu gibi rehnin paraya çevrilmesi yoluyla takiplerde de borçluya satış talep etme yetkisi</w:t>
            </w:r>
            <w:r w:rsidR="004C3E2C" w:rsidRPr="00A23740">
              <w:rPr>
                <w:color w:val="000000"/>
                <w:szCs w:val="24"/>
              </w:rPr>
              <w:t xml:space="preserve"> verilmesi kabul edilmektedir. </w:t>
            </w:r>
          </w:p>
          <w:p w:rsidR="009510DD" w:rsidRPr="00A23740" w:rsidRDefault="009510DD" w:rsidP="009431FF">
            <w:pPr>
              <w:tabs>
                <w:tab w:val="left" w:pos="567"/>
              </w:tabs>
              <w:autoSpaceDE w:val="0"/>
              <w:autoSpaceDN w:val="0"/>
              <w:adjustRightInd w:val="0"/>
              <w:ind w:firstLine="567"/>
              <w:rPr>
                <w:bCs/>
                <w:color w:val="000000"/>
                <w:szCs w:val="24"/>
                <w:lang w:eastAsia="x-none"/>
              </w:rPr>
            </w:pPr>
            <w:r w:rsidRPr="00A23740">
              <w:rPr>
                <w:color w:val="000000"/>
                <w:szCs w:val="24"/>
              </w:rPr>
              <w:t xml:space="preserve">Maddenin ikinci fıkrasında </w:t>
            </w:r>
            <w:r w:rsidRPr="00A23740">
              <w:rPr>
                <w:bCs/>
                <w:color w:val="000000"/>
                <w:szCs w:val="24"/>
                <w:lang w:val="x-none" w:eastAsia="x-none"/>
              </w:rPr>
              <w:t xml:space="preserve"> </w:t>
            </w:r>
            <w:r w:rsidRPr="00A23740">
              <w:rPr>
                <w:color w:val="000000"/>
                <w:szCs w:val="24"/>
              </w:rPr>
              <w:t xml:space="preserve">satışın birinci fıkrada gösterilen </w:t>
            </w:r>
            <w:r w:rsidRPr="00A23740">
              <w:rPr>
                <w:bCs/>
                <w:color w:val="000000"/>
                <w:szCs w:val="24"/>
                <w:lang w:val="x-none" w:eastAsia="x-none"/>
              </w:rPr>
              <w:t xml:space="preserve">süre </w:t>
            </w:r>
            <w:r w:rsidRPr="00A23740">
              <w:rPr>
                <w:color w:val="000000"/>
                <w:szCs w:val="24"/>
              </w:rPr>
              <w:t xml:space="preserve">içinde </w:t>
            </w:r>
            <w:r w:rsidRPr="00A23740">
              <w:rPr>
                <w:bCs/>
                <w:color w:val="000000"/>
                <w:szCs w:val="24"/>
                <w:lang w:val="x-none" w:eastAsia="x-none"/>
              </w:rPr>
              <w:t>istenme</w:t>
            </w:r>
            <w:r w:rsidRPr="00A23740">
              <w:rPr>
                <w:bCs/>
                <w:color w:val="000000"/>
                <w:szCs w:val="24"/>
                <w:lang w:eastAsia="x-none"/>
              </w:rPr>
              <w:t>mesi h</w:t>
            </w:r>
            <w:r w:rsidR="00F906A7" w:rsidRPr="00A23740">
              <w:rPr>
                <w:bCs/>
                <w:color w:val="000000"/>
                <w:szCs w:val="24"/>
                <w:lang w:eastAsia="x-none"/>
              </w:rPr>
              <w:t>â</w:t>
            </w:r>
            <w:r w:rsidRPr="00A23740">
              <w:rPr>
                <w:bCs/>
                <w:color w:val="000000"/>
                <w:szCs w:val="24"/>
                <w:lang w:eastAsia="x-none"/>
              </w:rPr>
              <w:t xml:space="preserve">linde </w:t>
            </w:r>
            <w:r w:rsidRPr="00A23740">
              <w:rPr>
                <w:color w:val="000000"/>
                <w:szCs w:val="24"/>
              </w:rPr>
              <w:t>takibin düşeceği; satış</w:t>
            </w:r>
            <w:r w:rsidRPr="00A23740">
              <w:rPr>
                <w:bCs/>
                <w:color w:val="000000"/>
                <w:szCs w:val="24"/>
                <w:lang w:val="x-none" w:eastAsia="x-none"/>
              </w:rPr>
              <w:t xml:space="preserve"> talebinin yapılıp geri alınması arasında geçen süre</w:t>
            </w:r>
            <w:r w:rsidRPr="00A23740">
              <w:rPr>
                <w:bCs/>
                <w:color w:val="000000"/>
                <w:szCs w:val="24"/>
                <w:lang w:eastAsia="x-none"/>
              </w:rPr>
              <w:t>nin söz konusu</w:t>
            </w:r>
            <w:r w:rsidRPr="00A23740">
              <w:rPr>
                <w:bCs/>
                <w:color w:val="000000"/>
                <w:szCs w:val="24"/>
                <w:lang w:val="x-none" w:eastAsia="x-none"/>
              </w:rPr>
              <w:t xml:space="preserve"> bir yıllık süreye eklenme</w:t>
            </w:r>
            <w:r w:rsidRPr="00A23740">
              <w:rPr>
                <w:bCs/>
                <w:color w:val="000000"/>
                <w:szCs w:val="24"/>
                <w:lang w:eastAsia="x-none"/>
              </w:rPr>
              <w:t xml:space="preserve">yeceği hükme bağlanmaktadır. </w:t>
            </w:r>
            <w:r w:rsidR="0006664F" w:rsidRPr="005574AB">
              <w:rPr>
                <w:color w:val="000000"/>
              </w:rPr>
              <w:t>Bilimsel</w:t>
            </w:r>
            <w:r w:rsidR="0006664F" w:rsidRPr="00A23740">
              <w:rPr>
                <w:rStyle w:val="Balk1Char"/>
                <w:rFonts w:eastAsia="Calibri"/>
                <w:b w:val="0"/>
              </w:rPr>
              <w:t xml:space="preserve"> </w:t>
            </w:r>
            <w:r w:rsidR="0006664F" w:rsidRPr="005574AB">
              <w:rPr>
                <w:color w:val="000000"/>
              </w:rPr>
              <w:t>ve</w:t>
            </w:r>
            <w:r w:rsidR="0006664F" w:rsidRPr="00A23740">
              <w:rPr>
                <w:rStyle w:val="Balk1Char"/>
                <w:rFonts w:eastAsia="Calibri"/>
                <w:b w:val="0"/>
              </w:rPr>
              <w:t xml:space="preserve"> </w:t>
            </w:r>
            <w:r w:rsidR="0006664F" w:rsidRPr="005574AB">
              <w:rPr>
                <w:color w:val="000000"/>
              </w:rPr>
              <w:t>yargısal</w:t>
            </w:r>
            <w:r w:rsidR="0006664F" w:rsidRPr="00A23740">
              <w:rPr>
                <w:bCs/>
                <w:color w:val="000000"/>
                <w:szCs w:val="24"/>
                <w:lang w:eastAsia="x-none"/>
              </w:rPr>
              <w:t xml:space="preserve"> </w:t>
            </w:r>
            <w:r w:rsidRPr="00A23740">
              <w:rPr>
                <w:bCs/>
                <w:color w:val="000000"/>
                <w:szCs w:val="24"/>
                <w:lang w:eastAsia="x-none"/>
              </w:rPr>
              <w:t>içtihatlarda satış talebinin geri alınması h</w:t>
            </w:r>
            <w:r w:rsidR="00F906A7" w:rsidRPr="00A23740">
              <w:rPr>
                <w:bCs/>
                <w:color w:val="000000"/>
                <w:szCs w:val="24"/>
                <w:lang w:eastAsia="x-none"/>
              </w:rPr>
              <w:t>â</w:t>
            </w:r>
            <w:r w:rsidRPr="00A23740">
              <w:rPr>
                <w:bCs/>
                <w:color w:val="000000"/>
                <w:szCs w:val="24"/>
                <w:lang w:eastAsia="x-none"/>
              </w:rPr>
              <w:t>linde yeniden satış talebinde bulunabilmek için geçerli olan sürenin ne şekilde hesap edileceği tartışma konusu olmuş; yeniden satış talebinin ancak ilk satış talebine kadar geçmiş olan süre indirildikten sonra, geriye kalan süre içinde yapılabileceğini kabul eden bir görüş bulunduğu gibi</w:t>
            </w:r>
            <w:r w:rsidR="0025669E" w:rsidRPr="00A23740">
              <w:rPr>
                <w:bCs/>
                <w:color w:val="000000"/>
                <w:szCs w:val="24"/>
                <w:lang w:eastAsia="x-none"/>
              </w:rPr>
              <w:t>,</w:t>
            </w:r>
            <w:r w:rsidRPr="00A23740">
              <w:rPr>
                <w:bCs/>
                <w:color w:val="000000"/>
                <w:szCs w:val="24"/>
                <w:lang w:eastAsia="x-none"/>
              </w:rPr>
              <w:t xml:space="preserve"> ikinci satış talebi için yeni bir bir yıllık sürenin  işlemeye başlayacağını kabul eden bir görüş de ileri sürülmüştür. Ayrıca satış talebinin geri alınmasınyla yeniden yapılması arasında geçen sürenin yapılacak hesaba dahil edilip edilmeyece</w:t>
            </w:r>
            <w:r w:rsidR="004569CD">
              <w:rPr>
                <w:bCs/>
                <w:color w:val="000000"/>
                <w:szCs w:val="24"/>
                <w:lang w:eastAsia="x-none"/>
              </w:rPr>
              <w:t xml:space="preserve">ği de tartışma konusu olmuştur. </w:t>
            </w:r>
            <w:r w:rsidR="0006664F" w:rsidRPr="005574AB">
              <w:rPr>
                <w:color w:val="000000"/>
              </w:rPr>
              <w:t>Taslak</w:t>
            </w:r>
            <w:r w:rsidR="004569CD">
              <w:rPr>
                <w:bCs/>
                <w:color w:val="000000"/>
                <w:szCs w:val="24"/>
                <w:lang w:eastAsia="x-none"/>
              </w:rPr>
              <w:t xml:space="preserve"> </w:t>
            </w:r>
            <w:r w:rsidRPr="00A23740">
              <w:rPr>
                <w:bCs/>
                <w:color w:val="000000"/>
                <w:szCs w:val="24"/>
                <w:lang w:eastAsia="x-none"/>
              </w:rPr>
              <w:t>hükmünde bu konudaki tartışmaları sona erdirecek şekilde ikinci talebin sadece ilk talepten geriye kalan süre içinde yapılabileceği ve talebin geri alınması h</w:t>
            </w:r>
            <w:r w:rsidR="00F906A7" w:rsidRPr="00A23740">
              <w:rPr>
                <w:bCs/>
                <w:color w:val="000000"/>
                <w:szCs w:val="24"/>
                <w:lang w:eastAsia="x-none"/>
              </w:rPr>
              <w:t>â</w:t>
            </w:r>
            <w:r w:rsidRPr="00A23740">
              <w:rPr>
                <w:bCs/>
                <w:color w:val="000000"/>
                <w:szCs w:val="24"/>
                <w:lang w:eastAsia="x-none"/>
              </w:rPr>
              <w:t xml:space="preserve">linde geri alma tarihi ile yeniden satış talebinde bulunulan tarih arasında geçen sürenin bir yıldan ibaret olan süreye ilave edilmeyeceği görüşü benimsenmiştir. Başka bir ifadeyle maddenin </w:t>
            </w:r>
            <w:r w:rsidR="004C3E2C" w:rsidRPr="00A23740">
              <w:rPr>
                <w:bCs/>
                <w:color w:val="000000"/>
                <w:szCs w:val="24"/>
                <w:lang w:eastAsia="x-none"/>
              </w:rPr>
              <w:t>biri</w:t>
            </w:r>
            <w:r w:rsidRPr="00A23740">
              <w:rPr>
                <w:bCs/>
                <w:color w:val="000000"/>
                <w:szCs w:val="24"/>
                <w:lang w:eastAsia="x-none"/>
              </w:rPr>
              <w:t>nci fıkrasındaki bir yıllık süre satış talebinin geri alınması ve tekrar satış talebinde bulunulması h</w:t>
            </w:r>
            <w:r w:rsidR="00F906A7" w:rsidRPr="00A23740">
              <w:rPr>
                <w:bCs/>
                <w:color w:val="000000"/>
                <w:szCs w:val="24"/>
                <w:lang w:eastAsia="x-none"/>
              </w:rPr>
              <w:t>â</w:t>
            </w:r>
            <w:r w:rsidRPr="00A23740">
              <w:rPr>
                <w:bCs/>
                <w:color w:val="000000"/>
                <w:szCs w:val="24"/>
                <w:lang w:eastAsia="x-none"/>
              </w:rPr>
              <w:t>llerinden etkilenmeyecek olup</w:t>
            </w:r>
            <w:r w:rsidR="0025669E" w:rsidRPr="00A23740">
              <w:rPr>
                <w:bCs/>
                <w:color w:val="000000"/>
                <w:szCs w:val="24"/>
                <w:lang w:eastAsia="x-none"/>
              </w:rPr>
              <w:t>,</w:t>
            </w:r>
            <w:r w:rsidRPr="00A23740">
              <w:rPr>
                <w:bCs/>
                <w:color w:val="000000"/>
                <w:szCs w:val="24"/>
                <w:lang w:eastAsia="x-none"/>
              </w:rPr>
              <w:t>, yapılacak satış talebinin, ilk talep mi yoksa geri almayı takiben yapılacak ikinci bir talep mi olduğuna bakılmaksızın, ödeme emri veya icra emrinin tebliğinden itibaren işleyecek bir yıllık süre içinde y</w:t>
            </w:r>
            <w:r w:rsidR="004C3E2C" w:rsidRPr="00A23740">
              <w:rPr>
                <w:bCs/>
                <w:color w:val="000000"/>
                <w:szCs w:val="24"/>
                <w:lang w:eastAsia="x-none"/>
              </w:rPr>
              <w:t>apılması zorunlu kılınmaktadır.</w:t>
            </w:r>
          </w:p>
          <w:p w:rsidR="009510DD" w:rsidRPr="00A23740" w:rsidRDefault="009510DD" w:rsidP="009431FF">
            <w:pPr>
              <w:tabs>
                <w:tab w:val="left" w:pos="567"/>
              </w:tabs>
              <w:autoSpaceDE w:val="0"/>
              <w:autoSpaceDN w:val="0"/>
              <w:adjustRightInd w:val="0"/>
              <w:ind w:firstLine="567"/>
              <w:rPr>
                <w:color w:val="000000"/>
                <w:szCs w:val="24"/>
              </w:rPr>
            </w:pPr>
            <w:r w:rsidRPr="00A23740">
              <w:rPr>
                <w:bCs/>
                <w:color w:val="000000"/>
                <w:szCs w:val="24"/>
                <w:lang w:eastAsia="x-none"/>
              </w:rPr>
              <w:t>Maddenin üçüncü fıkrasında, t</w:t>
            </w:r>
            <w:r w:rsidRPr="00A23740">
              <w:rPr>
                <w:bCs/>
                <w:color w:val="000000"/>
                <w:szCs w:val="24"/>
                <w:lang w:val="x-none" w:eastAsia="x-none"/>
              </w:rPr>
              <w:t>alep süresinin işlemeyeceği h</w:t>
            </w:r>
            <w:r w:rsidR="00F906A7" w:rsidRPr="00A23740">
              <w:rPr>
                <w:bCs/>
                <w:color w:val="000000"/>
                <w:szCs w:val="24"/>
                <w:lang w:eastAsia="x-none"/>
              </w:rPr>
              <w:t>â</w:t>
            </w:r>
            <w:r w:rsidRPr="00A23740">
              <w:rPr>
                <w:bCs/>
                <w:color w:val="000000"/>
                <w:szCs w:val="24"/>
                <w:lang w:val="x-none" w:eastAsia="x-none"/>
              </w:rPr>
              <w:t>ller bakımından</w:t>
            </w:r>
            <w:r w:rsidRPr="00A23740">
              <w:rPr>
                <w:bCs/>
                <w:color w:val="000000"/>
                <w:szCs w:val="24"/>
                <w:lang w:eastAsia="x-none"/>
              </w:rPr>
              <w:t>,</w:t>
            </w:r>
            <w:r w:rsidRPr="00A23740">
              <w:rPr>
                <w:bCs/>
                <w:color w:val="000000"/>
                <w:szCs w:val="24"/>
                <w:lang w:val="x-none" w:eastAsia="x-none"/>
              </w:rPr>
              <w:t xml:space="preserve"> </w:t>
            </w:r>
            <w:r w:rsidR="00160975" w:rsidRPr="005574AB">
              <w:rPr>
                <w:color w:val="000000"/>
              </w:rPr>
              <w:t>156</w:t>
            </w:r>
            <w:r w:rsidR="00160975" w:rsidRPr="00A23740">
              <w:rPr>
                <w:rStyle w:val="KonuBalChar"/>
                <w:rFonts w:eastAsia="Calibri"/>
                <w:b w:val="0"/>
              </w:rPr>
              <w:t xml:space="preserve"> </w:t>
            </w:r>
            <w:r w:rsidR="00160975" w:rsidRPr="005574AB">
              <w:rPr>
                <w:color w:val="000000"/>
              </w:rPr>
              <w:t>ncı</w:t>
            </w:r>
            <w:r w:rsidR="00160975" w:rsidRPr="00A23740">
              <w:rPr>
                <w:bCs/>
                <w:color w:val="000000"/>
                <w:szCs w:val="24"/>
                <w:lang w:eastAsia="x-none"/>
              </w:rPr>
              <w:t xml:space="preserve"> </w:t>
            </w:r>
            <w:r w:rsidRPr="00A23740">
              <w:rPr>
                <w:color w:val="000000"/>
                <w:szCs w:val="24"/>
              </w:rPr>
              <w:t xml:space="preserve">maddenin </w:t>
            </w:r>
            <w:r w:rsidRPr="00A23740">
              <w:rPr>
                <w:bCs/>
                <w:color w:val="000000"/>
                <w:szCs w:val="24"/>
                <w:lang w:val="x-none" w:eastAsia="x-none"/>
              </w:rPr>
              <w:t xml:space="preserve">ikinci </w:t>
            </w:r>
            <w:r w:rsidRPr="00A23740">
              <w:rPr>
                <w:color w:val="000000"/>
                <w:szCs w:val="24"/>
              </w:rPr>
              <w:t>fıkrasının</w:t>
            </w:r>
            <w:r w:rsidRPr="00A23740">
              <w:rPr>
                <w:bCs/>
                <w:color w:val="000000"/>
                <w:szCs w:val="24"/>
                <w:lang w:val="x-none" w:eastAsia="x-none"/>
              </w:rPr>
              <w:t>,</w:t>
            </w:r>
            <w:r w:rsidRPr="00A23740">
              <w:rPr>
                <w:color w:val="000000"/>
                <w:szCs w:val="24"/>
              </w:rPr>
              <w:t xml:space="preserve"> rehnin paraya çevrilmesi yol</w:t>
            </w:r>
            <w:r w:rsidRPr="00A23740">
              <w:rPr>
                <w:bCs/>
                <w:color w:val="000000"/>
                <w:szCs w:val="24"/>
                <w:lang w:val="x-none" w:eastAsia="x-none"/>
              </w:rPr>
              <w:t>u</w:t>
            </w:r>
            <w:r w:rsidRPr="00A23740">
              <w:rPr>
                <w:color w:val="000000"/>
                <w:szCs w:val="24"/>
              </w:rPr>
              <w:t xml:space="preserve">yla takipte de kıyasen </w:t>
            </w:r>
            <w:r w:rsidR="0025669E" w:rsidRPr="00A23740">
              <w:rPr>
                <w:color w:val="000000"/>
                <w:szCs w:val="24"/>
              </w:rPr>
              <w:t xml:space="preserve">uygulanması </w:t>
            </w:r>
            <w:r w:rsidR="00160975" w:rsidRPr="00A23740">
              <w:rPr>
                <w:color w:val="000000"/>
                <w:szCs w:val="24"/>
              </w:rPr>
              <w:t>kabul edilmişitir.</w:t>
            </w:r>
          </w:p>
          <w:p w:rsidR="00D8122F" w:rsidRPr="00A23740" w:rsidRDefault="00A77883" w:rsidP="0080239A">
            <w:pPr>
              <w:tabs>
                <w:tab w:val="left" w:pos="567"/>
              </w:tabs>
              <w:autoSpaceDE w:val="0"/>
              <w:autoSpaceDN w:val="0"/>
              <w:adjustRightInd w:val="0"/>
              <w:ind w:firstLine="567"/>
              <w:rPr>
                <w:b/>
                <w:bCs/>
                <w:color w:val="000000"/>
                <w:szCs w:val="24"/>
                <w:lang w:eastAsia="x-none"/>
              </w:rPr>
            </w:pPr>
            <w:r w:rsidRPr="00A23740">
              <w:rPr>
                <w:bCs/>
                <w:color w:val="000000"/>
                <w:szCs w:val="24"/>
                <w:lang w:eastAsia="x-none"/>
              </w:rPr>
              <w:t>Maddenin dördüncü fıkrasında</w:t>
            </w:r>
            <w:r w:rsidR="009510DD" w:rsidRPr="00A23740">
              <w:rPr>
                <w:bCs/>
                <w:color w:val="000000"/>
                <w:szCs w:val="24"/>
                <w:lang w:eastAsia="x-none"/>
              </w:rPr>
              <w:t xml:space="preserve"> ise a</w:t>
            </w:r>
            <w:r w:rsidR="009510DD" w:rsidRPr="00A23740">
              <w:rPr>
                <w:bCs/>
                <w:color w:val="000000"/>
                <w:szCs w:val="24"/>
                <w:lang w:val="x-none" w:eastAsia="x-none"/>
              </w:rPr>
              <w:t xml:space="preserve">rtırmada alıcı çıkmazsa veya </w:t>
            </w:r>
            <w:r w:rsidR="009510DD" w:rsidRPr="00A23740">
              <w:rPr>
                <w:bCs/>
                <w:color w:val="000000"/>
                <w:szCs w:val="24"/>
                <w:lang w:eastAsia="x-none"/>
              </w:rPr>
              <w:t xml:space="preserve">kanunda </w:t>
            </w:r>
            <w:r w:rsidR="009510DD" w:rsidRPr="00A23740">
              <w:rPr>
                <w:bCs/>
                <w:color w:val="000000"/>
                <w:szCs w:val="24"/>
                <w:lang w:val="x-none" w:eastAsia="x-none"/>
              </w:rPr>
              <w:t xml:space="preserve">yazılı şartların gerçekleşmemesi sebebiyle satış yapılamazsa </w:t>
            </w:r>
            <w:r w:rsidR="009510DD" w:rsidRPr="00A23740">
              <w:rPr>
                <w:bCs/>
                <w:color w:val="000000"/>
                <w:szCs w:val="24"/>
                <w:lang w:eastAsia="x-none"/>
              </w:rPr>
              <w:t xml:space="preserve">ya da  </w:t>
            </w:r>
            <w:r w:rsidR="009510DD" w:rsidRPr="00A23740">
              <w:rPr>
                <w:bCs/>
                <w:color w:val="000000"/>
                <w:szCs w:val="24"/>
                <w:lang w:val="x-none" w:eastAsia="x-none"/>
              </w:rPr>
              <w:t xml:space="preserve"> ihale iptal edilirs</w:t>
            </w:r>
            <w:r w:rsidR="009510DD" w:rsidRPr="00A23740">
              <w:rPr>
                <w:rStyle w:val="MaviChar"/>
                <w:b w:val="0"/>
                <w:color w:val="000000"/>
              </w:rPr>
              <w:t>e,</w:t>
            </w:r>
            <w:r w:rsidR="009510DD" w:rsidRPr="00A23740">
              <w:rPr>
                <w:bCs/>
                <w:color w:val="000000"/>
                <w:szCs w:val="24"/>
                <w:lang w:val="x-none" w:eastAsia="x-none"/>
              </w:rPr>
              <w:t xml:space="preserve"> satış talebi</w:t>
            </w:r>
            <w:r w:rsidR="009510DD" w:rsidRPr="00A23740">
              <w:rPr>
                <w:bCs/>
                <w:color w:val="000000"/>
                <w:szCs w:val="24"/>
                <w:lang w:eastAsia="x-none"/>
              </w:rPr>
              <w:t xml:space="preserve">nin </w:t>
            </w:r>
            <w:r w:rsidR="009510DD" w:rsidRPr="00A23740">
              <w:rPr>
                <w:bCs/>
                <w:color w:val="000000"/>
                <w:szCs w:val="24"/>
                <w:lang w:val="x-none" w:eastAsia="x-none"/>
              </w:rPr>
              <w:t xml:space="preserve"> düşe</w:t>
            </w:r>
            <w:r w:rsidR="009510DD" w:rsidRPr="00A23740">
              <w:rPr>
                <w:bCs/>
                <w:color w:val="000000"/>
                <w:szCs w:val="24"/>
                <w:lang w:eastAsia="x-none"/>
              </w:rPr>
              <w:t>ceği; a</w:t>
            </w:r>
            <w:r w:rsidR="009510DD" w:rsidRPr="00A23740">
              <w:rPr>
                <w:bCs/>
                <w:color w:val="000000"/>
                <w:szCs w:val="24"/>
                <w:lang w:val="x-none" w:eastAsia="x-none"/>
              </w:rPr>
              <w:t>lacaklı</w:t>
            </w:r>
            <w:r w:rsidR="009510DD" w:rsidRPr="00A23740">
              <w:rPr>
                <w:bCs/>
                <w:color w:val="000000"/>
                <w:szCs w:val="24"/>
                <w:lang w:eastAsia="x-none"/>
              </w:rPr>
              <w:t>nın</w:t>
            </w:r>
            <w:r w:rsidR="009510DD" w:rsidRPr="00A23740">
              <w:rPr>
                <w:bCs/>
                <w:color w:val="000000"/>
                <w:szCs w:val="24"/>
                <w:lang w:val="x-none" w:eastAsia="x-none"/>
              </w:rPr>
              <w:t>, önceki satış talebiyle durmuş olan satış isteme süresi içinde yeniden satış talebinde bulunabil</w:t>
            </w:r>
            <w:r w:rsidR="009510DD" w:rsidRPr="00A23740">
              <w:rPr>
                <w:bCs/>
                <w:color w:val="000000"/>
                <w:szCs w:val="24"/>
                <w:lang w:eastAsia="x-none"/>
              </w:rPr>
              <w:t>eceği kabul edilmiştir. Aynı fıkra hükmüne göre</w:t>
            </w:r>
            <w:r w:rsidR="0025669E" w:rsidRPr="00A23740">
              <w:rPr>
                <w:bCs/>
                <w:color w:val="000000"/>
                <w:szCs w:val="24"/>
                <w:lang w:eastAsia="x-none"/>
              </w:rPr>
              <w:t>,</w:t>
            </w:r>
            <w:r w:rsidR="009510DD" w:rsidRPr="00A23740">
              <w:rPr>
                <w:bCs/>
                <w:color w:val="000000"/>
                <w:szCs w:val="24"/>
                <w:lang w:eastAsia="x-none"/>
              </w:rPr>
              <w:t xml:space="preserve"> s</w:t>
            </w:r>
            <w:r w:rsidR="009510DD" w:rsidRPr="00A23740">
              <w:rPr>
                <w:bCs/>
                <w:color w:val="000000"/>
                <w:szCs w:val="24"/>
                <w:lang w:val="x-none" w:eastAsia="x-none"/>
              </w:rPr>
              <w:t>atış isteme süresi satış talebiyle birlikte dur</w:t>
            </w:r>
            <w:r w:rsidR="009510DD" w:rsidRPr="00A23740">
              <w:rPr>
                <w:bCs/>
                <w:color w:val="000000"/>
                <w:szCs w:val="24"/>
                <w:lang w:eastAsia="x-none"/>
              </w:rPr>
              <w:t>acak</w:t>
            </w:r>
            <w:r w:rsidR="009510DD" w:rsidRPr="00A23740">
              <w:rPr>
                <w:bCs/>
                <w:color w:val="000000"/>
                <w:szCs w:val="24"/>
                <w:lang w:val="x-none" w:eastAsia="x-none"/>
              </w:rPr>
              <w:t xml:space="preserve"> ve duran bu süre satışın gerçekleşmediği tarihten itibaren kaldığı yerden işlemeye</w:t>
            </w:r>
            <w:r w:rsidR="009510DD" w:rsidRPr="00A23740">
              <w:rPr>
                <w:bCs/>
                <w:color w:val="000000"/>
                <w:szCs w:val="24"/>
                <w:lang w:eastAsia="x-none"/>
              </w:rPr>
              <w:t xml:space="preserve"> </w:t>
            </w:r>
            <w:r w:rsidR="009510DD" w:rsidRPr="00A23740">
              <w:rPr>
                <w:rStyle w:val="MaviChar"/>
                <w:b w:val="0"/>
                <w:color w:val="000000"/>
              </w:rPr>
              <w:t>devam</w:t>
            </w:r>
            <w:r w:rsidR="009510DD" w:rsidRPr="00A23740">
              <w:rPr>
                <w:rStyle w:val="MaviChar"/>
                <w:color w:val="000000"/>
              </w:rPr>
              <w:t xml:space="preserve"> </w:t>
            </w:r>
            <w:r w:rsidR="009510DD" w:rsidRPr="00A23740">
              <w:rPr>
                <w:rStyle w:val="MaviChar"/>
                <w:b w:val="0"/>
                <w:color w:val="000000"/>
              </w:rPr>
              <w:t>ede</w:t>
            </w:r>
            <w:r w:rsidR="009510DD" w:rsidRPr="00A23740">
              <w:rPr>
                <w:rStyle w:val="MaviChar"/>
                <w:b w:val="0"/>
                <w:color w:val="000000"/>
                <w:lang w:val="tr-TR"/>
              </w:rPr>
              <w:t>cektir.</w:t>
            </w:r>
            <w:r w:rsidR="009510DD" w:rsidRPr="00A23740">
              <w:rPr>
                <w:bCs/>
                <w:color w:val="000000"/>
                <w:szCs w:val="24"/>
                <w:lang w:val="x-none" w:eastAsia="x-none"/>
              </w:rPr>
              <w:t xml:space="preserve"> Bu ihtimalde, kalan süre içinde satış günü verilmesi istenmezse veya satış istenip de kalan süre içinde aynı sebeplerle satış gerçekleşmezse takip düşe</w:t>
            </w:r>
            <w:r w:rsidR="009510DD" w:rsidRPr="00A23740">
              <w:rPr>
                <w:bCs/>
                <w:color w:val="000000"/>
                <w:szCs w:val="24"/>
                <w:lang w:eastAsia="x-none"/>
              </w:rPr>
              <w:t>cek; b</w:t>
            </w:r>
            <w:r w:rsidR="009510DD" w:rsidRPr="00A23740">
              <w:rPr>
                <w:bCs/>
                <w:color w:val="000000"/>
                <w:szCs w:val="24"/>
                <w:lang w:val="x-none" w:eastAsia="x-none"/>
              </w:rPr>
              <w:t>u h</w:t>
            </w:r>
            <w:r w:rsidR="00F906A7" w:rsidRPr="00A23740">
              <w:rPr>
                <w:bCs/>
                <w:color w:val="000000"/>
                <w:szCs w:val="24"/>
                <w:lang w:eastAsia="x-none"/>
              </w:rPr>
              <w:t>â</w:t>
            </w:r>
            <w:r w:rsidR="009510DD" w:rsidRPr="00A23740">
              <w:rPr>
                <w:bCs/>
                <w:color w:val="000000"/>
                <w:szCs w:val="24"/>
                <w:lang w:val="x-none" w:eastAsia="x-none"/>
              </w:rPr>
              <w:t xml:space="preserve">lde alacaklıya </w:t>
            </w:r>
            <w:r w:rsidR="00D334CC" w:rsidRPr="00A23740">
              <w:rPr>
                <w:b/>
                <w:bCs/>
                <w:color w:val="0000FF"/>
                <w:szCs w:val="24"/>
                <w:lang w:eastAsia="x-none"/>
              </w:rPr>
              <w:t xml:space="preserve"> </w:t>
            </w:r>
            <w:r w:rsidR="00D334CC" w:rsidRPr="005574AB">
              <w:rPr>
                <w:color w:val="000000"/>
              </w:rPr>
              <w:t>130</w:t>
            </w:r>
            <w:r w:rsidR="00D334CC" w:rsidRPr="00A23740">
              <w:rPr>
                <w:rStyle w:val="KonuBalChar"/>
                <w:rFonts w:eastAsia="Calibri"/>
                <w:b w:val="0"/>
              </w:rPr>
              <w:t xml:space="preserve"> </w:t>
            </w:r>
            <w:r w:rsidR="00D334CC" w:rsidRPr="005574AB">
              <w:rPr>
                <w:color w:val="000000"/>
              </w:rPr>
              <w:t>uncu</w:t>
            </w:r>
            <w:r w:rsidR="00D334CC" w:rsidRPr="00A23740">
              <w:rPr>
                <w:b/>
                <w:bCs/>
                <w:color w:val="0000FF"/>
                <w:szCs w:val="24"/>
                <w:lang w:val="x-none" w:eastAsia="x-none"/>
              </w:rPr>
              <w:t xml:space="preserve"> </w:t>
            </w:r>
            <w:r w:rsidR="009510DD" w:rsidRPr="00A23740">
              <w:rPr>
                <w:bCs/>
                <w:color w:val="000000"/>
                <w:szCs w:val="24"/>
                <w:lang w:val="x-none" w:eastAsia="x-none"/>
              </w:rPr>
              <w:t>madde uyarınca rehin açığı belgesi veril</w:t>
            </w:r>
            <w:r w:rsidR="009510DD" w:rsidRPr="00A23740">
              <w:rPr>
                <w:bCs/>
                <w:color w:val="000000"/>
                <w:szCs w:val="24"/>
                <w:lang w:eastAsia="x-none"/>
              </w:rPr>
              <w:t>ecektir.</w:t>
            </w:r>
          </w:p>
          <w:p w:rsidR="004C3E2C" w:rsidRPr="00A23740" w:rsidRDefault="004C3E2C" w:rsidP="0080239A">
            <w:pPr>
              <w:tabs>
                <w:tab w:val="left" w:pos="567"/>
              </w:tabs>
              <w:ind w:firstLine="567"/>
              <w:rPr>
                <w:b/>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b/>
                <w:strike/>
                <w:color w:val="FF0000"/>
                <w:szCs w:val="24"/>
                <w:lang w:eastAsia="tr-TR"/>
              </w:rPr>
              <w:t>Muvakkat</w:t>
            </w:r>
            <w:r w:rsidRPr="00A23740">
              <w:rPr>
                <w:iCs/>
                <w:szCs w:val="24"/>
              </w:rPr>
              <w:t xml:space="preserve"> rehin açığı belgesi</w:t>
            </w:r>
            <w:r w:rsidRPr="00A23740">
              <w:rPr>
                <w:b/>
                <w:strike/>
                <w:color w:val="FF0000"/>
                <w:szCs w:val="24"/>
                <w:lang w:eastAsia="tr-TR"/>
              </w:rPr>
              <w:t>:</w:t>
            </w:r>
          </w:p>
          <w:p w:rsidR="00155AF4" w:rsidRPr="00A23740" w:rsidRDefault="00155AF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Madde 150/f – (1) (Ek: 18/2/1965 - 538/72 md.)</w:t>
            </w:r>
          </w:p>
          <w:p w:rsidR="00155AF4" w:rsidRPr="00A23740" w:rsidRDefault="00155AF4" w:rsidP="009431FF">
            <w:pPr>
              <w:tabs>
                <w:tab w:val="left" w:pos="567"/>
              </w:tabs>
              <w:autoSpaceDE w:val="0"/>
              <w:autoSpaceDN w:val="0"/>
              <w:adjustRightInd w:val="0"/>
              <w:rPr>
                <w:szCs w:val="24"/>
              </w:rPr>
            </w:pPr>
            <w:r w:rsidRPr="00A23740">
              <w:rPr>
                <w:b/>
                <w:strike/>
                <w:color w:val="FF0000"/>
                <w:szCs w:val="24"/>
                <w:lang w:eastAsia="tr-TR"/>
              </w:rPr>
              <w:t xml:space="preserve">Alacaklının satış talebinden sonra takdir edilen </w:t>
            </w:r>
            <w:r w:rsidRPr="00A23740">
              <w:rPr>
                <w:b/>
                <w:bCs/>
                <w:strike/>
                <w:color w:val="FF0000"/>
                <w:szCs w:val="24"/>
              </w:rPr>
              <w:t>ve k</w:t>
            </w:r>
            <w:r w:rsidRPr="00A23740">
              <w:rPr>
                <w:szCs w:val="24"/>
              </w:rPr>
              <w:t>esinleşen kıymet</w:t>
            </w:r>
            <w:r w:rsidRPr="00A23740">
              <w:rPr>
                <w:b/>
                <w:strike/>
                <w:color w:val="FF0000"/>
                <w:szCs w:val="24"/>
                <w:lang w:eastAsia="tr-TR"/>
              </w:rPr>
              <w:t>e</w:t>
            </w:r>
            <w:r w:rsidRPr="00A23740">
              <w:rPr>
                <w:b/>
                <w:color w:val="FF0000"/>
                <w:szCs w:val="24"/>
                <w:lang w:eastAsia="tr-TR"/>
              </w:rPr>
              <w:t xml:space="preserve"> </w:t>
            </w:r>
            <w:r w:rsidRPr="00A23740">
              <w:rPr>
                <w:szCs w:val="24"/>
              </w:rPr>
              <w:t xml:space="preserve">göre </w:t>
            </w:r>
            <w:r w:rsidRPr="00A23740">
              <w:rPr>
                <w:b/>
                <w:strike/>
                <w:color w:val="FF0000"/>
                <w:szCs w:val="24"/>
                <w:lang w:eastAsia="tr-TR"/>
              </w:rPr>
              <w:t>merhunun</w:t>
            </w:r>
            <w:r w:rsidRPr="00A23740">
              <w:rPr>
                <w:szCs w:val="24"/>
              </w:rPr>
              <w:t xml:space="preserve"> alacağı karşılam</w:t>
            </w:r>
            <w:r w:rsidRPr="00A23740">
              <w:rPr>
                <w:b/>
                <w:strike/>
                <w:color w:val="FF0000"/>
                <w:szCs w:val="24"/>
                <w:lang w:eastAsia="tr-TR"/>
              </w:rPr>
              <w:t>ı</w:t>
            </w:r>
            <w:r w:rsidRPr="00A23740">
              <w:rPr>
                <w:szCs w:val="24"/>
              </w:rPr>
              <w:t xml:space="preserve">yacağı </w:t>
            </w:r>
            <w:r w:rsidRPr="00A23740">
              <w:rPr>
                <w:b/>
                <w:strike/>
                <w:color w:val="FF0000"/>
                <w:szCs w:val="24"/>
                <w:lang w:eastAsia="tr-TR"/>
              </w:rPr>
              <w:t>anlaşılırsa</w:t>
            </w:r>
            <w:r w:rsidRPr="00A23740">
              <w:rPr>
                <w:szCs w:val="24"/>
              </w:rPr>
              <w:t xml:space="preserve">, alacaklının talebi üzerine kendisine açık kalan miktar için bir </w:t>
            </w:r>
            <w:r w:rsidRPr="00A23740">
              <w:rPr>
                <w:b/>
                <w:strike/>
                <w:color w:val="FF0000"/>
                <w:szCs w:val="24"/>
                <w:lang w:eastAsia="tr-TR"/>
              </w:rPr>
              <w:t>muvakkat</w:t>
            </w:r>
            <w:r w:rsidRPr="00A23740">
              <w:rPr>
                <w:szCs w:val="24"/>
              </w:rPr>
              <w:t xml:space="preserve"> rehin açığı belgesi verilir.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w:t>
            </w:r>
            <w:r w:rsidRPr="00A23740">
              <w:rPr>
                <w:szCs w:val="24"/>
              </w:rPr>
              <w:t xml:space="preserve"> Alacaklı, bu belgeye dayanarak borçlunun diğer mallarının haczini </w:t>
            </w:r>
            <w:r w:rsidRPr="00A23740">
              <w:rPr>
                <w:b/>
                <w:strike/>
                <w:color w:val="FF0000"/>
                <w:szCs w:val="24"/>
                <w:lang w:eastAsia="tr-TR"/>
              </w:rPr>
              <w:t>icra memurundan talebedebilir</w:t>
            </w:r>
            <w:r w:rsidRPr="00A23740">
              <w:rPr>
                <w:szCs w:val="24"/>
              </w:rPr>
              <w:t xml:space="preserve"> ve </w:t>
            </w:r>
            <w:r w:rsidRPr="00A23740">
              <w:rPr>
                <w:b/>
                <w:bCs/>
                <w:strike/>
                <w:color w:val="FF0000"/>
                <w:szCs w:val="24"/>
              </w:rPr>
              <w:t>100</w:t>
            </w:r>
            <w:r w:rsidRPr="00A23740">
              <w:rPr>
                <w:szCs w:val="24"/>
              </w:rPr>
              <w:t xml:space="preserve"> </w:t>
            </w:r>
            <w:r w:rsidRPr="00A23740">
              <w:rPr>
                <w:b/>
                <w:bCs/>
                <w:strike/>
                <w:color w:val="FF0000"/>
                <w:szCs w:val="24"/>
              </w:rPr>
              <w:t>üncü</w:t>
            </w:r>
            <w:r w:rsidRPr="00A23740">
              <w:rPr>
                <w:szCs w:val="24"/>
              </w:rPr>
              <w:t xml:space="preserve"> maddedeki esaslar dahilinde diğer alacaklıların haczine iştirak edebilir. Bu takdirde alacaklı, rehnin satışı neticesinde, alacağının tahsil edilem</w:t>
            </w:r>
            <w:r w:rsidRPr="00A23740">
              <w:rPr>
                <w:b/>
                <w:strike/>
                <w:color w:val="FF0000"/>
                <w:szCs w:val="24"/>
                <w:lang w:eastAsia="tr-TR"/>
              </w:rPr>
              <w:t>i</w:t>
            </w:r>
            <w:r w:rsidRPr="00A23740">
              <w:rPr>
                <w:szCs w:val="24"/>
              </w:rPr>
              <w:t xml:space="preserve">yen kısmını borçlunun diğer </w:t>
            </w:r>
            <w:r w:rsidRPr="00A23740">
              <w:rPr>
                <w:b/>
                <w:strike/>
                <w:color w:val="FF0000"/>
                <w:szCs w:val="24"/>
                <w:lang w:eastAsia="tr-TR"/>
              </w:rPr>
              <w:t>mahcuz</w:t>
            </w:r>
            <w:r w:rsidRPr="00A23740">
              <w:rPr>
                <w:szCs w:val="24"/>
              </w:rPr>
              <w:t xml:space="preserve"> mallarından rüçhansız olarak alır.</w:t>
            </w:r>
          </w:p>
          <w:p w:rsidR="00155AF4" w:rsidRPr="00A23740" w:rsidRDefault="00155AF4" w:rsidP="009431FF">
            <w:pPr>
              <w:tabs>
                <w:tab w:val="left" w:pos="567"/>
              </w:tabs>
              <w:autoSpaceDE w:val="0"/>
              <w:autoSpaceDN w:val="0"/>
              <w:adjustRightInd w:val="0"/>
              <w:rPr>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b/>
                <w:bCs/>
                <w:color w:val="0000FF"/>
                <w:szCs w:val="24"/>
                <w:lang w:val="x-none" w:eastAsia="x-none"/>
              </w:rPr>
              <w:t>Geçici</w:t>
            </w:r>
            <w:r w:rsidRPr="00A23740">
              <w:rPr>
                <w:iCs/>
                <w:szCs w:val="24"/>
              </w:rPr>
              <w:t xml:space="preserve"> </w:t>
            </w:r>
            <w:r w:rsidRPr="00A23740">
              <w:rPr>
                <w:b/>
                <w:bCs/>
                <w:szCs w:val="24"/>
              </w:rPr>
              <w:t>rehin açığı belgesi</w:t>
            </w:r>
          </w:p>
          <w:p w:rsidR="00155AF4" w:rsidRPr="00A23740" w:rsidRDefault="00155AF4" w:rsidP="009431FF">
            <w:pPr>
              <w:tabs>
                <w:tab w:val="left" w:pos="567"/>
              </w:tabs>
              <w:autoSpaceDE w:val="0"/>
              <w:autoSpaceDN w:val="0"/>
              <w:adjustRightInd w:val="0"/>
              <w:rPr>
                <w:b/>
                <w:bCs/>
                <w:strike/>
                <w:color w:val="FF0000"/>
                <w:szCs w:val="24"/>
              </w:rPr>
            </w:pPr>
            <w:r w:rsidRPr="00A23740">
              <w:rPr>
                <w:b/>
                <w:bCs/>
                <w:color w:val="0000FF"/>
                <w:szCs w:val="24"/>
                <w:lang w:eastAsia="x-none"/>
              </w:rPr>
              <w:t xml:space="preserve">MADDE </w:t>
            </w:r>
            <w:r w:rsidR="00A9749A" w:rsidRPr="00A23740">
              <w:rPr>
                <w:b/>
                <w:bCs/>
                <w:color w:val="0000FF"/>
                <w:szCs w:val="24"/>
                <w:lang w:val="x-none" w:eastAsia="x-none"/>
              </w:rPr>
              <w:t>130</w:t>
            </w:r>
            <w:r w:rsidRPr="00A23740">
              <w:rPr>
                <w:b/>
                <w:bCs/>
                <w:color w:val="0000FF"/>
                <w:szCs w:val="24"/>
                <w:lang w:val="x-none" w:eastAsia="x-none"/>
              </w:rPr>
              <w:t>-</w:t>
            </w:r>
            <w:r w:rsidRPr="00A23740">
              <w:rPr>
                <w:b/>
                <w:bCs/>
                <w:color w:val="0000FF"/>
                <w:szCs w:val="24"/>
                <w:lang w:eastAsia="x-none"/>
              </w:rPr>
              <w:t xml:space="preserve"> (1) K</w:t>
            </w:r>
            <w:r w:rsidRPr="00A23740">
              <w:rPr>
                <w:szCs w:val="24"/>
              </w:rPr>
              <w:t xml:space="preserve">esinleşen kıymet </w:t>
            </w:r>
            <w:r w:rsidRPr="00A23740">
              <w:rPr>
                <w:b/>
                <w:bCs/>
                <w:color w:val="0000FF"/>
                <w:szCs w:val="24"/>
                <w:lang w:val="x-none" w:eastAsia="x-none"/>
              </w:rPr>
              <w:t>takdirine</w:t>
            </w:r>
            <w:r w:rsidRPr="00A23740">
              <w:rPr>
                <w:szCs w:val="24"/>
              </w:rPr>
              <w:t xml:space="preserve"> göre </w:t>
            </w:r>
            <w:r w:rsidRPr="00A23740">
              <w:rPr>
                <w:b/>
                <w:bCs/>
                <w:color w:val="0000FF"/>
                <w:szCs w:val="24"/>
                <w:lang w:val="x-none" w:eastAsia="x-none"/>
              </w:rPr>
              <w:t xml:space="preserve">rehinli malın tahmin edilen </w:t>
            </w:r>
            <w:r w:rsidR="00E56D84" w:rsidRPr="005574AB">
              <w:rPr>
                <w:b/>
                <w:bCs/>
                <w:color w:val="0000FF"/>
                <w:szCs w:val="24"/>
              </w:rPr>
              <w:t>kıymetinin</w:t>
            </w:r>
            <w:r w:rsidR="00E56D84" w:rsidRPr="00A23740">
              <w:rPr>
                <w:color w:val="538135"/>
                <w:szCs w:val="24"/>
              </w:rPr>
              <w:t xml:space="preserve"> </w:t>
            </w:r>
            <w:r w:rsidRPr="00A23740">
              <w:rPr>
                <w:szCs w:val="24"/>
              </w:rPr>
              <w:t>alacağı karşılam</w:t>
            </w:r>
            <w:r w:rsidRPr="00A23740">
              <w:rPr>
                <w:b/>
                <w:bCs/>
                <w:color w:val="0000FF"/>
                <w:szCs w:val="24"/>
                <w:lang w:val="x-none" w:eastAsia="x-none"/>
              </w:rPr>
              <w:t>a</w:t>
            </w:r>
            <w:r w:rsidRPr="00A23740">
              <w:rPr>
                <w:szCs w:val="24"/>
              </w:rPr>
              <w:t>yacağı</w:t>
            </w:r>
            <w:r w:rsidR="00E56D84" w:rsidRPr="00A23740">
              <w:rPr>
                <w:szCs w:val="24"/>
              </w:rPr>
              <w:t xml:space="preserve"> </w:t>
            </w:r>
            <w:r w:rsidR="00E56D84" w:rsidRPr="005574AB">
              <w:rPr>
                <w:b/>
                <w:bCs/>
                <w:color w:val="0000FF"/>
                <w:szCs w:val="24"/>
              </w:rPr>
              <w:t>anlaşılırs</w:t>
            </w:r>
            <w:r w:rsidR="00E56D84" w:rsidRPr="004569CD">
              <w:rPr>
                <w:rStyle w:val="MaviChar"/>
              </w:rPr>
              <w:t>a,</w:t>
            </w:r>
            <w:r w:rsidRPr="00A23740">
              <w:rPr>
                <w:szCs w:val="24"/>
              </w:rPr>
              <w:t xml:space="preserve"> </w:t>
            </w:r>
            <w:r w:rsidRPr="00A23740">
              <w:rPr>
                <w:b/>
                <w:bCs/>
                <w:color w:val="0000FF"/>
                <w:szCs w:val="24"/>
                <w:lang w:val="x-none" w:eastAsia="x-none"/>
              </w:rPr>
              <w:t xml:space="preserve">satış isteme hakkının </w:t>
            </w:r>
            <w:r w:rsidRPr="005574AB">
              <w:rPr>
                <w:rStyle w:val="Balk1Char"/>
                <w:rFonts w:eastAsia="Calibri"/>
              </w:rPr>
              <w:t>doğduğu</w:t>
            </w:r>
            <w:r w:rsidRPr="00A23740">
              <w:rPr>
                <w:rStyle w:val="Balk1Char"/>
                <w:rFonts w:eastAsia="Calibri"/>
                <w:color w:val="538135"/>
              </w:rPr>
              <w:t xml:space="preserve"> </w:t>
            </w:r>
            <w:r w:rsidRPr="005574AB">
              <w:rPr>
                <w:rStyle w:val="Balk1Char"/>
                <w:rFonts w:eastAsia="Calibri"/>
              </w:rPr>
              <w:t>andan itibaren</w:t>
            </w:r>
            <w:r w:rsidRPr="00A23740">
              <w:rPr>
                <w:b/>
                <w:bCs/>
                <w:color w:val="FF0000"/>
                <w:szCs w:val="24"/>
              </w:rPr>
              <w:t xml:space="preserve"> </w:t>
            </w:r>
            <w:r w:rsidRPr="00A23740">
              <w:rPr>
                <w:szCs w:val="24"/>
              </w:rPr>
              <w:t xml:space="preserve">alacaklının talebi üzerine açık kalan miktar için </w:t>
            </w:r>
            <w:r w:rsidR="00441033" w:rsidRPr="00A23740">
              <w:rPr>
                <w:rStyle w:val="Balk1Char"/>
                <w:rFonts w:eastAsia="Calibri"/>
              </w:rPr>
              <w:t>kendisine</w:t>
            </w:r>
            <w:r w:rsidR="00441033" w:rsidRPr="00A23740">
              <w:rPr>
                <w:szCs w:val="24"/>
              </w:rPr>
              <w:t xml:space="preserve"> </w:t>
            </w:r>
            <w:r w:rsidRPr="00A23740">
              <w:rPr>
                <w:b/>
                <w:bCs/>
                <w:color w:val="0000FF"/>
                <w:szCs w:val="24"/>
                <w:lang w:val="x-none" w:eastAsia="x-none"/>
              </w:rPr>
              <w:t>geçici</w:t>
            </w:r>
            <w:r w:rsidR="00AE2A3D" w:rsidRPr="00A23740">
              <w:rPr>
                <w:szCs w:val="24"/>
              </w:rPr>
              <w:t xml:space="preserve"> rehin açığı belgesi verilir.</w:t>
            </w:r>
            <w:r w:rsidRPr="00A23740">
              <w:rPr>
                <w:szCs w:val="24"/>
              </w:rPr>
              <w:t xml:space="preserve"> </w:t>
            </w:r>
          </w:p>
          <w:p w:rsidR="00155AF4" w:rsidRDefault="00155AF4" w:rsidP="009431FF">
            <w:pPr>
              <w:tabs>
                <w:tab w:val="left" w:pos="567"/>
              </w:tabs>
              <w:autoSpaceDE w:val="0"/>
              <w:autoSpaceDN w:val="0"/>
              <w:adjustRightInd w:val="0"/>
              <w:rPr>
                <w:szCs w:val="24"/>
              </w:rPr>
            </w:pPr>
          </w:p>
          <w:p w:rsidR="004569CD" w:rsidRPr="00A23740" w:rsidRDefault="004569CD" w:rsidP="009431FF">
            <w:pPr>
              <w:tabs>
                <w:tab w:val="left" w:pos="567"/>
              </w:tabs>
              <w:autoSpaceDE w:val="0"/>
              <w:autoSpaceDN w:val="0"/>
              <w:adjustRightInd w:val="0"/>
              <w:rPr>
                <w:szCs w:val="24"/>
              </w:rPr>
            </w:pPr>
          </w:p>
          <w:p w:rsidR="00155AF4" w:rsidRDefault="00155AF4" w:rsidP="009431FF">
            <w:pPr>
              <w:tabs>
                <w:tab w:val="left" w:pos="567"/>
              </w:tabs>
              <w:autoSpaceDE w:val="0"/>
              <w:autoSpaceDN w:val="0"/>
              <w:adjustRightInd w:val="0"/>
              <w:rPr>
                <w:szCs w:val="24"/>
              </w:rPr>
            </w:pPr>
            <w:r w:rsidRPr="00A23740">
              <w:rPr>
                <w:b/>
                <w:bCs/>
                <w:color w:val="0000FF"/>
                <w:szCs w:val="24"/>
                <w:lang w:val="x-none" w:eastAsia="x-none"/>
              </w:rPr>
              <w:t xml:space="preserve">(2) </w:t>
            </w:r>
            <w:r w:rsidRPr="00A23740">
              <w:rPr>
                <w:szCs w:val="24"/>
              </w:rPr>
              <w:t>Alacaklı, bu belgeye dayanarak borçlunun diğer mallarının haczini</w:t>
            </w:r>
            <w:r w:rsidRPr="00A23740">
              <w:rPr>
                <w:b/>
                <w:bCs/>
                <w:color w:val="0000FF"/>
                <w:szCs w:val="24"/>
              </w:rPr>
              <w:t xml:space="preserve">, </w:t>
            </w:r>
            <w:r w:rsidRPr="00A23740">
              <w:rPr>
                <w:b/>
                <w:bCs/>
                <w:color w:val="0000FF"/>
                <w:szCs w:val="24"/>
                <w:lang w:val="x-none" w:eastAsia="x-none"/>
              </w:rPr>
              <w:t xml:space="preserve">rehnin paraya çevrilmesi yoluyla takip yaptığı dosyadan talep edebilir </w:t>
            </w:r>
            <w:r w:rsidRPr="00A23740">
              <w:rPr>
                <w:szCs w:val="24"/>
              </w:rPr>
              <w:t>ve</w:t>
            </w:r>
            <w:r w:rsidR="00132A64" w:rsidRPr="00A23740">
              <w:rPr>
                <w:szCs w:val="24"/>
              </w:rPr>
              <w:t xml:space="preserve"> </w:t>
            </w:r>
            <w:r w:rsidR="00132A64" w:rsidRPr="005574AB">
              <w:rPr>
                <w:rStyle w:val="KonuBalChar"/>
                <w:rFonts w:eastAsia="Calibri"/>
                <w:color w:val="0000FF"/>
              </w:rPr>
              <w:t>198</w:t>
            </w:r>
            <w:r w:rsidR="00132A64" w:rsidRPr="00A23740">
              <w:rPr>
                <w:rStyle w:val="KonuBalChar"/>
                <w:rFonts w:eastAsia="Calibri"/>
              </w:rPr>
              <w:t xml:space="preserve"> </w:t>
            </w:r>
            <w:r w:rsidR="00132A64" w:rsidRPr="005574AB">
              <w:rPr>
                <w:rStyle w:val="KonuBalChar"/>
                <w:rFonts w:eastAsia="Calibri"/>
                <w:color w:val="0000FF"/>
              </w:rPr>
              <w:t>inci</w:t>
            </w:r>
            <w:r w:rsidRPr="00A23740">
              <w:rPr>
                <w:szCs w:val="24"/>
              </w:rPr>
              <w:t xml:space="preserve"> maddedeki esaslar dahilinde diğer alacaklıların haczine </w:t>
            </w:r>
            <w:r w:rsidRPr="00A23740">
              <w:rPr>
                <w:b/>
                <w:bCs/>
                <w:color w:val="0000FF"/>
                <w:szCs w:val="24"/>
                <w:lang w:val="x-none" w:eastAsia="x-none"/>
              </w:rPr>
              <w:t>geçici olarak</w:t>
            </w:r>
            <w:r w:rsidRPr="00A23740">
              <w:rPr>
                <w:szCs w:val="24"/>
              </w:rPr>
              <w:t xml:space="preserve"> iştirak edebilir. </w:t>
            </w:r>
            <w:r w:rsidRPr="00A23740">
              <w:rPr>
                <w:b/>
                <w:bCs/>
                <w:color w:val="0000FF"/>
                <w:szCs w:val="24"/>
                <w:lang w:val="x-none" w:eastAsia="x-none"/>
              </w:rPr>
              <w:t>Şu kadar ki</w:t>
            </w:r>
            <w:r w:rsidR="00441033" w:rsidRPr="00A23740">
              <w:rPr>
                <w:b/>
                <w:bCs/>
                <w:color w:val="0000FF"/>
                <w:szCs w:val="24"/>
                <w:lang w:eastAsia="x-none"/>
              </w:rPr>
              <w:t>,</w:t>
            </w:r>
            <w:r w:rsidRPr="00A23740">
              <w:rPr>
                <w:b/>
                <w:bCs/>
                <w:color w:val="0000FF"/>
                <w:szCs w:val="24"/>
                <w:lang w:val="x-none" w:eastAsia="x-none"/>
              </w:rPr>
              <w:t xml:space="preserve"> alacaklı </w:t>
            </w:r>
            <w:r w:rsidR="00132A64" w:rsidRPr="00A23740">
              <w:rPr>
                <w:b/>
                <w:bCs/>
                <w:color w:val="0000FF"/>
                <w:szCs w:val="24"/>
                <w:lang w:eastAsia="x-none"/>
              </w:rPr>
              <w:t xml:space="preserve"> </w:t>
            </w:r>
            <w:r w:rsidR="00132A64" w:rsidRPr="005574AB">
              <w:rPr>
                <w:rStyle w:val="KonuBalChar"/>
                <w:rFonts w:eastAsia="Calibri"/>
                <w:color w:val="0000FF"/>
              </w:rPr>
              <w:t>130</w:t>
            </w:r>
            <w:r w:rsidR="00132A64" w:rsidRPr="00A23740">
              <w:rPr>
                <w:rStyle w:val="KonuBalChar"/>
                <w:rFonts w:eastAsia="Calibri"/>
              </w:rPr>
              <w:t xml:space="preserve"> </w:t>
            </w:r>
            <w:r w:rsidR="00132A64" w:rsidRPr="005574AB">
              <w:rPr>
                <w:rStyle w:val="KonuBalChar"/>
                <w:rFonts w:eastAsia="Calibri"/>
                <w:color w:val="0000FF"/>
              </w:rPr>
              <w:t>uncu</w:t>
            </w:r>
            <w:r w:rsidR="00132A64" w:rsidRPr="00A23740">
              <w:rPr>
                <w:b/>
                <w:bCs/>
                <w:color w:val="0000FF"/>
                <w:szCs w:val="24"/>
                <w:lang w:val="x-none" w:eastAsia="x-none"/>
              </w:rPr>
              <w:t xml:space="preserve">  </w:t>
            </w:r>
            <w:r w:rsidRPr="00A23740">
              <w:rPr>
                <w:b/>
                <w:bCs/>
                <w:color w:val="0000FF"/>
                <w:szCs w:val="24"/>
                <w:lang w:eastAsia="x-none"/>
              </w:rPr>
              <w:t xml:space="preserve">madde </w:t>
            </w:r>
            <w:r w:rsidRPr="00A23740">
              <w:rPr>
                <w:b/>
                <w:bCs/>
                <w:color w:val="0000FF"/>
                <w:szCs w:val="24"/>
                <w:lang w:val="x-none" w:eastAsia="x-none"/>
              </w:rPr>
              <w:t>uyarınca</w:t>
            </w:r>
            <w:r w:rsidR="00132A64" w:rsidRPr="00A23740">
              <w:rPr>
                <w:b/>
                <w:bCs/>
                <w:color w:val="0000FF"/>
                <w:szCs w:val="24"/>
                <w:lang w:eastAsia="x-none"/>
              </w:rPr>
              <w:t xml:space="preserve"> </w:t>
            </w:r>
            <w:r w:rsidR="00132A64" w:rsidRPr="005574AB">
              <w:rPr>
                <w:rStyle w:val="KonuBalChar"/>
                <w:rFonts w:eastAsia="Calibri"/>
                <w:color w:val="0000FF"/>
              </w:rPr>
              <w:t>geçici</w:t>
            </w:r>
            <w:r w:rsidRPr="00A23740">
              <w:rPr>
                <w:b/>
                <w:bCs/>
                <w:color w:val="0000FF"/>
                <w:szCs w:val="24"/>
                <w:lang w:val="x-none" w:eastAsia="x-none"/>
              </w:rPr>
              <w:t xml:space="preserve"> rehin açığı belgesi düzenlenmeden satış talep edemez.</w:t>
            </w:r>
            <w:r w:rsidRPr="00A23740">
              <w:rPr>
                <w:szCs w:val="24"/>
              </w:rPr>
              <w:t xml:space="preserve"> Bu takdirde alacaklı, rehnin satışı neticesinde, alacağının tahsil edilem</w:t>
            </w:r>
            <w:r w:rsidRPr="00A23740">
              <w:rPr>
                <w:b/>
                <w:bCs/>
                <w:color w:val="0000FF"/>
                <w:szCs w:val="24"/>
                <w:lang w:val="x-none" w:eastAsia="x-none"/>
              </w:rPr>
              <w:t>e</w:t>
            </w:r>
            <w:r w:rsidRPr="00A23740">
              <w:rPr>
                <w:szCs w:val="24"/>
              </w:rPr>
              <w:t xml:space="preserve">yen kısmını borçlunun diğer </w:t>
            </w:r>
            <w:r w:rsidRPr="00A23740">
              <w:rPr>
                <w:b/>
                <w:bCs/>
                <w:color w:val="0000FF"/>
                <w:szCs w:val="24"/>
                <w:lang w:val="x-none" w:eastAsia="x-none"/>
              </w:rPr>
              <w:t xml:space="preserve">hacizli </w:t>
            </w:r>
            <w:r w:rsidRPr="00A23740">
              <w:rPr>
                <w:szCs w:val="24"/>
              </w:rPr>
              <w:t>mallarından rüçhansız olarak alır.</w:t>
            </w:r>
          </w:p>
          <w:p w:rsidR="0080239A" w:rsidRPr="00A23740" w:rsidRDefault="0080239A" w:rsidP="009431FF">
            <w:pPr>
              <w:tabs>
                <w:tab w:val="left" w:pos="567"/>
              </w:tabs>
              <w:autoSpaceDE w:val="0"/>
              <w:autoSpaceDN w:val="0"/>
              <w:adjustRightInd w:val="0"/>
              <w:rPr>
                <w:szCs w:val="24"/>
              </w:rPr>
            </w:pPr>
          </w:p>
          <w:p w:rsidR="00F338E7" w:rsidRPr="00A23740" w:rsidRDefault="00F338E7" w:rsidP="009431FF">
            <w:pPr>
              <w:tabs>
                <w:tab w:val="left" w:pos="566"/>
              </w:tabs>
              <w:rPr>
                <w:szCs w:val="24"/>
              </w:rPr>
            </w:pPr>
          </w:p>
        </w:tc>
      </w:tr>
      <w:tr w:rsidR="00D8122F" w:rsidRPr="00A23740" w:rsidTr="009431FF">
        <w:tc>
          <w:tcPr>
            <w:tcW w:w="5000" w:type="pct"/>
            <w:gridSpan w:val="2"/>
            <w:shd w:val="clear" w:color="auto" w:fill="DEEAF6"/>
          </w:tcPr>
          <w:p w:rsidR="00A77883" w:rsidRPr="00A23740" w:rsidRDefault="00A77883" w:rsidP="009431FF">
            <w:pPr>
              <w:tabs>
                <w:tab w:val="left" w:pos="567"/>
              </w:tabs>
              <w:autoSpaceDE w:val="0"/>
              <w:autoSpaceDN w:val="0"/>
              <w:adjustRightInd w:val="0"/>
              <w:ind w:firstLine="567"/>
              <w:rPr>
                <w:b/>
                <w:bCs/>
                <w:color w:val="000000"/>
                <w:szCs w:val="24"/>
                <w:lang w:eastAsia="x-none"/>
              </w:rPr>
            </w:pPr>
          </w:p>
          <w:p w:rsidR="009510DD" w:rsidRPr="00A23740" w:rsidRDefault="00A9749A" w:rsidP="009431FF">
            <w:pPr>
              <w:tabs>
                <w:tab w:val="left" w:pos="567"/>
              </w:tabs>
              <w:autoSpaceDE w:val="0"/>
              <w:autoSpaceDN w:val="0"/>
              <w:adjustRightInd w:val="0"/>
              <w:ind w:firstLine="567"/>
              <w:rPr>
                <w:iCs/>
                <w:color w:val="000000"/>
                <w:szCs w:val="24"/>
              </w:rPr>
            </w:pPr>
            <w:r w:rsidRPr="00A23740">
              <w:rPr>
                <w:b/>
                <w:bCs/>
                <w:color w:val="000000"/>
                <w:szCs w:val="24"/>
                <w:lang w:eastAsia="x-none"/>
              </w:rPr>
              <w:t>MADDE 130</w:t>
            </w:r>
            <w:r w:rsidR="00D8122F" w:rsidRPr="00A23740">
              <w:rPr>
                <w:b/>
                <w:bCs/>
                <w:color w:val="000000"/>
                <w:szCs w:val="24"/>
                <w:lang w:eastAsia="x-none"/>
              </w:rPr>
              <w:t>-</w:t>
            </w:r>
            <w:r w:rsidR="009510DD" w:rsidRPr="00A23740">
              <w:rPr>
                <w:b/>
                <w:bCs/>
                <w:color w:val="000000"/>
                <w:szCs w:val="24"/>
                <w:lang w:eastAsia="x-none"/>
              </w:rPr>
              <w:t xml:space="preserve"> </w:t>
            </w:r>
            <w:r w:rsidR="00A03F65" w:rsidRPr="00A23740">
              <w:rPr>
                <w:bCs/>
                <w:color w:val="000000"/>
              </w:rPr>
              <w:t xml:space="preserve">Maddeyle, </w:t>
            </w:r>
            <w:r w:rsidR="00441033" w:rsidRPr="00A23740">
              <w:rPr>
                <w:bCs/>
                <w:color w:val="000000"/>
              </w:rPr>
              <w:t>g</w:t>
            </w:r>
            <w:r w:rsidR="00A03F65" w:rsidRPr="00A23740">
              <w:rPr>
                <w:bCs/>
                <w:color w:val="000000"/>
              </w:rPr>
              <w:t xml:space="preserve">eçici rehin açığı belgesine ilişkin hususlar düzenlenmektedir. </w:t>
            </w:r>
            <w:r w:rsidR="009510DD" w:rsidRPr="00A23740">
              <w:rPr>
                <w:bCs/>
                <w:color w:val="000000"/>
              </w:rPr>
              <w:t xml:space="preserve">Taslağın </w:t>
            </w:r>
            <w:r w:rsidR="00132A64" w:rsidRPr="005574AB">
              <w:rPr>
                <w:color w:val="000000"/>
              </w:rPr>
              <w:t>130 uncu</w:t>
            </w:r>
            <w:r w:rsidR="00132A64" w:rsidRPr="00A23740">
              <w:rPr>
                <w:bCs/>
                <w:color w:val="000000"/>
              </w:rPr>
              <w:t xml:space="preserve"> </w:t>
            </w:r>
            <w:r w:rsidR="009510DD" w:rsidRPr="00A23740">
              <w:rPr>
                <w:bCs/>
                <w:color w:val="000000"/>
              </w:rPr>
              <w:t>maddesi “Geçici rehin açığı belgesi” başlığını taşımakta olup</w:t>
            </w:r>
            <w:r w:rsidR="0025669E" w:rsidRPr="00A23740">
              <w:rPr>
                <w:bCs/>
                <w:color w:val="000000"/>
              </w:rPr>
              <w:t>,</w:t>
            </w:r>
            <w:r w:rsidR="009510DD" w:rsidRPr="00A23740">
              <w:rPr>
                <w:bCs/>
                <w:color w:val="000000"/>
              </w:rPr>
              <w:t xml:space="preserve"> </w:t>
            </w:r>
            <w:r w:rsidR="00A77883" w:rsidRPr="00A23740">
              <w:rPr>
                <w:bCs/>
                <w:color w:val="000000"/>
              </w:rPr>
              <w:t xml:space="preserve">2004 sayılı Kanunun </w:t>
            </w:r>
            <w:r w:rsidR="009510DD" w:rsidRPr="00A23740">
              <w:rPr>
                <w:bCs/>
                <w:color w:val="000000"/>
              </w:rPr>
              <w:t>150/f maddesinin karşılığıdır.</w:t>
            </w:r>
          </w:p>
          <w:p w:rsidR="005A63D3" w:rsidRPr="00A23740" w:rsidRDefault="00A77883" w:rsidP="009431FF">
            <w:pPr>
              <w:tabs>
                <w:tab w:val="left" w:pos="567"/>
              </w:tabs>
              <w:autoSpaceDE w:val="0"/>
              <w:autoSpaceDN w:val="0"/>
              <w:adjustRightInd w:val="0"/>
              <w:ind w:firstLine="567"/>
              <w:rPr>
                <w:color w:val="000000"/>
                <w:szCs w:val="24"/>
              </w:rPr>
            </w:pPr>
            <w:r w:rsidRPr="00A23740">
              <w:rPr>
                <w:bCs/>
                <w:color w:val="000000"/>
                <w:szCs w:val="24"/>
                <w:lang w:eastAsia="x-none"/>
              </w:rPr>
              <w:t>Maddenin birinci fıkrasında k</w:t>
            </w:r>
            <w:r w:rsidR="009510DD" w:rsidRPr="00A23740">
              <w:rPr>
                <w:color w:val="000000"/>
                <w:szCs w:val="24"/>
              </w:rPr>
              <w:t xml:space="preserve">esinleşen kıymet </w:t>
            </w:r>
            <w:r w:rsidR="009510DD" w:rsidRPr="00A23740">
              <w:rPr>
                <w:bCs/>
                <w:color w:val="000000"/>
                <w:szCs w:val="24"/>
                <w:lang w:val="x-none" w:eastAsia="x-none"/>
              </w:rPr>
              <w:t>takdirine</w:t>
            </w:r>
            <w:r w:rsidR="009510DD" w:rsidRPr="00A23740">
              <w:rPr>
                <w:color w:val="000000"/>
                <w:szCs w:val="24"/>
              </w:rPr>
              <w:t xml:space="preserve"> göre </w:t>
            </w:r>
            <w:r w:rsidR="009510DD" w:rsidRPr="00A23740">
              <w:rPr>
                <w:bCs/>
                <w:color w:val="000000"/>
                <w:szCs w:val="24"/>
                <w:lang w:val="x-none" w:eastAsia="x-none"/>
              </w:rPr>
              <w:t xml:space="preserve">rehinli malın tahmin edilen </w:t>
            </w:r>
            <w:r w:rsidR="00E56D84" w:rsidRPr="005574AB">
              <w:rPr>
                <w:color w:val="000000"/>
              </w:rPr>
              <w:t>kıymetinin</w:t>
            </w:r>
            <w:r w:rsidR="00E56D84" w:rsidRPr="00A23740">
              <w:rPr>
                <w:b/>
                <w:bCs/>
                <w:color w:val="538135"/>
                <w:szCs w:val="24"/>
                <w:lang w:val="x-none" w:eastAsia="x-none"/>
              </w:rPr>
              <w:t xml:space="preserve"> </w:t>
            </w:r>
            <w:r w:rsidR="009510DD" w:rsidRPr="00A23740">
              <w:rPr>
                <w:color w:val="000000"/>
                <w:szCs w:val="24"/>
              </w:rPr>
              <w:t>alacağı karşılam</w:t>
            </w:r>
            <w:r w:rsidR="009510DD" w:rsidRPr="00A23740">
              <w:rPr>
                <w:bCs/>
                <w:color w:val="000000"/>
                <w:szCs w:val="24"/>
                <w:lang w:val="x-none" w:eastAsia="x-none"/>
              </w:rPr>
              <w:t>a</w:t>
            </w:r>
            <w:r w:rsidR="009510DD" w:rsidRPr="00A23740">
              <w:rPr>
                <w:color w:val="000000"/>
                <w:szCs w:val="24"/>
              </w:rPr>
              <w:t xml:space="preserve">yacağı </w:t>
            </w:r>
            <w:r w:rsidR="005A63D3" w:rsidRPr="005574AB">
              <w:rPr>
                <w:bCs/>
                <w:color w:val="000000"/>
              </w:rPr>
              <w:t>anlaşılırsa</w:t>
            </w:r>
            <w:r w:rsidR="005A63D3" w:rsidRPr="005574AB">
              <w:rPr>
                <w:color w:val="000000"/>
              </w:rPr>
              <w:t>,</w:t>
            </w:r>
            <w:r w:rsidR="005A63D3" w:rsidRPr="005574AB">
              <w:rPr>
                <w:rStyle w:val="KIRMIZIChar"/>
                <w:rFonts w:eastAsia="Calibri"/>
                <w:strike w:val="0"/>
              </w:rPr>
              <w:t xml:space="preserve"> </w:t>
            </w:r>
            <w:r w:rsidR="009510DD" w:rsidRPr="00A23740">
              <w:rPr>
                <w:bCs/>
                <w:color w:val="000000"/>
                <w:szCs w:val="24"/>
                <w:lang w:val="x-none" w:eastAsia="x-none"/>
              </w:rPr>
              <w:t xml:space="preserve">satış isteme hakkının </w:t>
            </w:r>
            <w:r w:rsidR="005A63D3" w:rsidRPr="005574AB">
              <w:rPr>
                <w:color w:val="000000"/>
              </w:rPr>
              <w:t xml:space="preserve">doğduğu </w:t>
            </w:r>
            <w:r w:rsidR="005A63D3" w:rsidRPr="005574AB">
              <w:rPr>
                <w:bCs/>
                <w:color w:val="000000"/>
              </w:rPr>
              <w:t>a</w:t>
            </w:r>
            <w:r w:rsidR="005A63D3" w:rsidRPr="005574AB">
              <w:rPr>
                <w:color w:val="000000"/>
              </w:rPr>
              <w:t>ndan</w:t>
            </w:r>
            <w:r w:rsidR="005A63D3" w:rsidRPr="00A23740">
              <w:rPr>
                <w:rStyle w:val="Balk1Char"/>
                <w:rFonts w:eastAsia="Calibri"/>
                <w:color w:val="538135"/>
              </w:rPr>
              <w:t xml:space="preserve"> </w:t>
            </w:r>
            <w:r w:rsidR="009510DD" w:rsidRPr="00A23740">
              <w:rPr>
                <w:bCs/>
                <w:color w:val="000000"/>
                <w:szCs w:val="24"/>
                <w:lang w:val="x-none" w:eastAsia="x-none"/>
              </w:rPr>
              <w:t>itibaren</w:t>
            </w:r>
            <w:r w:rsidR="009510DD" w:rsidRPr="00A23740">
              <w:rPr>
                <w:bCs/>
                <w:color w:val="000000"/>
                <w:szCs w:val="24"/>
              </w:rPr>
              <w:t xml:space="preserve"> </w:t>
            </w:r>
            <w:r w:rsidR="009510DD" w:rsidRPr="00A23740">
              <w:rPr>
                <w:color w:val="000000"/>
                <w:szCs w:val="24"/>
              </w:rPr>
              <w:t xml:space="preserve">alacaklının talebi üzerine açık kalan miktar için </w:t>
            </w:r>
            <w:r w:rsidR="005A63D3" w:rsidRPr="005574AB">
              <w:rPr>
                <w:bCs/>
                <w:color w:val="000000"/>
              </w:rPr>
              <w:t>kendisine</w:t>
            </w:r>
            <w:r w:rsidR="005A63D3" w:rsidRPr="00A23740">
              <w:rPr>
                <w:color w:val="000000"/>
                <w:szCs w:val="24"/>
              </w:rPr>
              <w:t xml:space="preserve"> </w:t>
            </w:r>
            <w:r w:rsidR="009510DD" w:rsidRPr="00A23740">
              <w:rPr>
                <w:bCs/>
                <w:color w:val="000000"/>
                <w:szCs w:val="24"/>
                <w:lang w:val="x-none" w:eastAsia="x-none"/>
              </w:rPr>
              <w:t>geçici</w:t>
            </w:r>
            <w:r w:rsidR="009510DD" w:rsidRPr="00A23740">
              <w:rPr>
                <w:color w:val="000000"/>
                <w:szCs w:val="24"/>
              </w:rPr>
              <w:t xml:space="preserve"> rehin açığı belgesi verilir. </w:t>
            </w:r>
          </w:p>
          <w:p w:rsidR="00D8122F" w:rsidRPr="00A23740" w:rsidRDefault="00A77883" w:rsidP="0080239A">
            <w:pPr>
              <w:tabs>
                <w:tab w:val="left" w:pos="567"/>
              </w:tabs>
              <w:autoSpaceDE w:val="0"/>
              <w:autoSpaceDN w:val="0"/>
              <w:adjustRightInd w:val="0"/>
              <w:ind w:firstLine="567"/>
              <w:rPr>
                <w:b/>
                <w:bCs/>
                <w:color w:val="000000"/>
                <w:szCs w:val="24"/>
                <w:lang w:eastAsia="x-none"/>
              </w:rPr>
            </w:pPr>
            <w:r w:rsidRPr="00A23740">
              <w:rPr>
                <w:bCs/>
                <w:color w:val="000000"/>
                <w:szCs w:val="24"/>
                <w:lang w:eastAsia="x-none"/>
              </w:rPr>
              <w:t>Maddenin ikinci fıkrasında</w:t>
            </w:r>
            <w:r w:rsidR="009510DD" w:rsidRPr="00A23740">
              <w:rPr>
                <w:bCs/>
                <w:color w:val="000000"/>
                <w:szCs w:val="24"/>
                <w:lang w:val="x-none" w:eastAsia="x-none"/>
              </w:rPr>
              <w:t xml:space="preserve"> </w:t>
            </w:r>
            <w:r w:rsidRPr="00A23740">
              <w:rPr>
                <w:color w:val="000000"/>
                <w:szCs w:val="24"/>
              </w:rPr>
              <w:t>a</w:t>
            </w:r>
            <w:r w:rsidR="009510DD" w:rsidRPr="00A23740">
              <w:rPr>
                <w:color w:val="000000"/>
                <w:szCs w:val="24"/>
              </w:rPr>
              <w:t>lacaklı, bu belgeye dayanarak borçlunun diğer mallarının haczini</w:t>
            </w:r>
            <w:r w:rsidR="009510DD" w:rsidRPr="00A23740">
              <w:rPr>
                <w:bCs/>
                <w:color w:val="000000"/>
                <w:szCs w:val="24"/>
              </w:rPr>
              <w:t xml:space="preserve">, </w:t>
            </w:r>
            <w:r w:rsidR="009510DD" w:rsidRPr="00A23740">
              <w:rPr>
                <w:bCs/>
                <w:color w:val="000000"/>
                <w:szCs w:val="24"/>
                <w:lang w:val="x-none" w:eastAsia="x-none"/>
              </w:rPr>
              <w:t xml:space="preserve">rehnin paraya çevrilmesi yoluyla takip yaptığı dosyadan talep edebilir </w:t>
            </w:r>
            <w:r w:rsidR="009510DD" w:rsidRPr="00A23740">
              <w:rPr>
                <w:color w:val="000000"/>
                <w:szCs w:val="24"/>
              </w:rPr>
              <w:t xml:space="preserve">ve </w:t>
            </w:r>
            <w:r w:rsidR="00132A64" w:rsidRPr="005574AB">
              <w:rPr>
                <w:color w:val="000000"/>
                <w:szCs w:val="24"/>
              </w:rPr>
              <w:t>198</w:t>
            </w:r>
            <w:r w:rsidR="00132A64" w:rsidRPr="00A23740">
              <w:rPr>
                <w:rStyle w:val="KonuBalChar"/>
                <w:rFonts w:eastAsia="Calibri"/>
                <w:b w:val="0"/>
              </w:rPr>
              <w:t xml:space="preserve"> </w:t>
            </w:r>
            <w:r w:rsidR="00132A64" w:rsidRPr="005574AB">
              <w:rPr>
                <w:color w:val="000000"/>
                <w:szCs w:val="24"/>
              </w:rPr>
              <w:t>inci</w:t>
            </w:r>
            <w:r w:rsidR="00132A64" w:rsidRPr="00A23740">
              <w:rPr>
                <w:b/>
                <w:szCs w:val="24"/>
              </w:rPr>
              <w:t xml:space="preserve"> </w:t>
            </w:r>
            <w:r w:rsidR="009510DD" w:rsidRPr="00A23740">
              <w:rPr>
                <w:color w:val="000000"/>
                <w:szCs w:val="24"/>
              </w:rPr>
              <w:t xml:space="preserve">maddedeki esaslar </w:t>
            </w:r>
            <w:r w:rsidR="009510DD" w:rsidRPr="005574AB">
              <w:rPr>
                <w:bCs/>
                <w:color w:val="000000"/>
                <w:szCs w:val="24"/>
                <w:lang w:eastAsia="x-none"/>
              </w:rPr>
              <w:t>dahilinde</w:t>
            </w:r>
            <w:r w:rsidR="009510DD" w:rsidRPr="00A23740">
              <w:rPr>
                <w:color w:val="000000"/>
                <w:szCs w:val="24"/>
              </w:rPr>
              <w:t xml:space="preserve"> diğer alacaklıların haczine </w:t>
            </w:r>
            <w:r w:rsidR="009510DD" w:rsidRPr="00A23740">
              <w:rPr>
                <w:bCs/>
                <w:color w:val="000000"/>
                <w:szCs w:val="24"/>
                <w:lang w:val="x-none" w:eastAsia="x-none"/>
              </w:rPr>
              <w:t>geçici olarak</w:t>
            </w:r>
            <w:r w:rsidR="009510DD" w:rsidRPr="00A23740">
              <w:rPr>
                <w:color w:val="000000"/>
                <w:szCs w:val="24"/>
              </w:rPr>
              <w:t xml:space="preserve"> iştirak edebilir. </w:t>
            </w:r>
            <w:r w:rsidR="009510DD" w:rsidRPr="00A23740">
              <w:rPr>
                <w:bCs/>
                <w:color w:val="000000"/>
                <w:szCs w:val="24"/>
                <w:lang w:val="x-none" w:eastAsia="x-none"/>
              </w:rPr>
              <w:t xml:space="preserve">Şu kadar </w:t>
            </w:r>
            <w:r w:rsidR="009510DD" w:rsidRPr="005574AB">
              <w:rPr>
                <w:bCs/>
                <w:color w:val="000000"/>
                <w:szCs w:val="24"/>
                <w:lang w:eastAsia="x-none"/>
              </w:rPr>
              <w:t>ki</w:t>
            </w:r>
            <w:r w:rsidR="00441033" w:rsidRPr="005574AB">
              <w:rPr>
                <w:bCs/>
                <w:color w:val="000000"/>
                <w:szCs w:val="24"/>
                <w:lang w:eastAsia="x-none"/>
              </w:rPr>
              <w:t>,</w:t>
            </w:r>
            <w:r w:rsidR="009510DD" w:rsidRPr="005574AB">
              <w:rPr>
                <w:bCs/>
                <w:color w:val="000000"/>
                <w:szCs w:val="24"/>
                <w:lang w:eastAsia="x-none"/>
              </w:rPr>
              <w:t xml:space="preserve"> alacaklı </w:t>
            </w:r>
            <w:r w:rsidR="00132A64" w:rsidRPr="005574AB">
              <w:rPr>
                <w:color w:val="000000"/>
                <w:szCs w:val="24"/>
              </w:rPr>
              <w:t>130 uncu</w:t>
            </w:r>
            <w:r w:rsidR="00132A64" w:rsidRPr="00A23740">
              <w:rPr>
                <w:b/>
                <w:bCs/>
                <w:color w:val="0000FF"/>
                <w:szCs w:val="24"/>
                <w:lang w:val="x-none" w:eastAsia="x-none"/>
              </w:rPr>
              <w:t xml:space="preserve"> </w:t>
            </w:r>
            <w:r w:rsidR="009510DD" w:rsidRPr="00A23740">
              <w:rPr>
                <w:bCs/>
                <w:color w:val="000000"/>
                <w:szCs w:val="24"/>
                <w:lang w:eastAsia="x-none"/>
              </w:rPr>
              <w:t xml:space="preserve">madde </w:t>
            </w:r>
            <w:r w:rsidR="009510DD" w:rsidRPr="00A23740">
              <w:rPr>
                <w:bCs/>
                <w:color w:val="000000"/>
                <w:szCs w:val="24"/>
                <w:lang w:val="x-none" w:eastAsia="x-none"/>
              </w:rPr>
              <w:t>uyarınca rehin açığı belgesi düzenlenmeden satış talep edemez.</w:t>
            </w:r>
            <w:r w:rsidR="009510DD" w:rsidRPr="00A23740">
              <w:rPr>
                <w:color w:val="000000"/>
                <w:szCs w:val="24"/>
              </w:rPr>
              <w:t xml:space="preserve"> Bu takdirde alacaklı, </w:t>
            </w:r>
            <w:r w:rsidR="004771C7" w:rsidRPr="00A23740">
              <w:rPr>
                <w:color w:val="000000"/>
                <w:szCs w:val="24"/>
              </w:rPr>
              <w:t xml:space="preserve">rehinli malın </w:t>
            </w:r>
            <w:r w:rsidR="009510DD" w:rsidRPr="00A23740">
              <w:rPr>
                <w:color w:val="000000"/>
                <w:szCs w:val="24"/>
              </w:rPr>
              <w:t>satışı neticesinde, alacağının tahsil edilem</w:t>
            </w:r>
            <w:r w:rsidR="009510DD" w:rsidRPr="00A23740">
              <w:rPr>
                <w:bCs/>
                <w:color w:val="000000"/>
                <w:szCs w:val="24"/>
                <w:lang w:val="x-none" w:eastAsia="x-none"/>
              </w:rPr>
              <w:t>e</w:t>
            </w:r>
            <w:r w:rsidR="009510DD" w:rsidRPr="00A23740">
              <w:rPr>
                <w:color w:val="000000"/>
                <w:szCs w:val="24"/>
              </w:rPr>
              <w:t xml:space="preserve">yen kısmını borçlunun diğer </w:t>
            </w:r>
            <w:r w:rsidR="009510DD" w:rsidRPr="00A23740">
              <w:rPr>
                <w:bCs/>
                <w:color w:val="000000"/>
                <w:szCs w:val="24"/>
                <w:lang w:val="x-none" w:eastAsia="x-none"/>
              </w:rPr>
              <w:t xml:space="preserve">hacizli </w:t>
            </w:r>
            <w:r w:rsidR="009510DD" w:rsidRPr="00A23740">
              <w:rPr>
                <w:color w:val="000000"/>
                <w:szCs w:val="24"/>
              </w:rPr>
              <w:t>mallarından rüçhansız olarak alır.</w:t>
            </w:r>
          </w:p>
          <w:p w:rsidR="00A77883" w:rsidRPr="00A23740" w:rsidRDefault="00A77883" w:rsidP="0080239A">
            <w:pPr>
              <w:tabs>
                <w:tab w:val="left" w:pos="567"/>
              </w:tabs>
              <w:ind w:firstLine="567"/>
              <w:rPr>
                <w:b/>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Paraya çevirme usulü</w:t>
            </w:r>
            <w:r w:rsidRPr="00A23740">
              <w:rPr>
                <w:b/>
                <w:strike/>
                <w:color w:val="FF0000"/>
                <w:szCs w:val="24"/>
                <w:lang w:eastAsia="tr-TR"/>
              </w:rPr>
              <w:t>:</w:t>
            </w:r>
          </w:p>
          <w:p w:rsidR="00155AF4" w:rsidRPr="00A23740" w:rsidRDefault="00155AF4" w:rsidP="009431FF">
            <w:pPr>
              <w:tabs>
                <w:tab w:val="left" w:pos="567"/>
              </w:tabs>
              <w:autoSpaceDE w:val="0"/>
              <w:autoSpaceDN w:val="0"/>
              <w:adjustRightInd w:val="0"/>
              <w:rPr>
                <w:b/>
                <w:bCs/>
                <w:szCs w:val="24"/>
              </w:rPr>
            </w:pPr>
            <w:r w:rsidRPr="00A23740">
              <w:rPr>
                <w:b/>
                <w:bCs/>
                <w:strike/>
                <w:color w:val="FF0000"/>
                <w:szCs w:val="24"/>
              </w:rPr>
              <w:t>Madde 150/g – (1) (Ek</w:t>
            </w:r>
            <w:r w:rsidRPr="00A23740">
              <w:rPr>
                <w:b/>
                <w:strike/>
                <w:color w:val="FF0000"/>
                <w:szCs w:val="24"/>
                <w:lang w:eastAsia="tr-TR"/>
              </w:rPr>
              <w:t>: 18/2/1965 - 538/72 md.; Değişik 9/11/1988 - 3494/24 md.)</w:t>
            </w:r>
          </w:p>
          <w:p w:rsidR="00155AF4" w:rsidRPr="00A23740" w:rsidRDefault="00155AF4" w:rsidP="009431FF">
            <w:pPr>
              <w:tabs>
                <w:tab w:val="left" w:pos="567"/>
              </w:tabs>
              <w:autoSpaceDE w:val="0"/>
              <w:autoSpaceDN w:val="0"/>
              <w:adjustRightInd w:val="0"/>
              <w:rPr>
                <w:szCs w:val="24"/>
              </w:rPr>
            </w:pPr>
            <w:r w:rsidRPr="00A23740">
              <w:rPr>
                <w:szCs w:val="24"/>
              </w:rPr>
              <w:t>Satılması istenen rehin hakkında 92 nci maddenin üçüncü fıkra</w:t>
            </w:r>
            <w:r w:rsidRPr="00A23740">
              <w:rPr>
                <w:b/>
                <w:bCs/>
                <w:strike/>
                <w:color w:val="FF0000"/>
                <w:szCs w:val="24"/>
              </w:rPr>
              <w:t>sı</w:t>
            </w:r>
            <w:r w:rsidRPr="00A23740">
              <w:rPr>
                <w:szCs w:val="24"/>
              </w:rPr>
              <w:t xml:space="preserve"> ve 93, 96, 97, 97/a, 98 ve 99 uncu madde</w:t>
            </w:r>
            <w:r w:rsidRPr="00A23740">
              <w:rPr>
                <w:b/>
                <w:bCs/>
                <w:strike/>
                <w:color w:val="FF0000"/>
                <w:szCs w:val="24"/>
              </w:rPr>
              <w:t>ler</w:t>
            </w:r>
            <w:r w:rsidRPr="00A23740">
              <w:rPr>
                <w:szCs w:val="24"/>
              </w:rPr>
              <w:t xml:space="preserve"> </w:t>
            </w:r>
            <w:r w:rsidRPr="00A23740">
              <w:rPr>
                <w:b/>
                <w:bCs/>
                <w:strike/>
                <w:color w:val="FF0000"/>
                <w:szCs w:val="24"/>
              </w:rPr>
              <w:t>ile</w:t>
            </w:r>
            <w:r w:rsidRPr="00A23740">
              <w:rPr>
                <w:szCs w:val="24"/>
              </w:rPr>
              <w:t xml:space="preserve"> </w:t>
            </w:r>
            <w:r w:rsidRPr="00A23740">
              <w:rPr>
                <w:b/>
                <w:iCs/>
                <w:strike/>
                <w:snapToGrid w:val="0"/>
                <w:color w:val="FF0000"/>
                <w:szCs w:val="24"/>
              </w:rPr>
              <w:t>112'den</w:t>
            </w:r>
            <w:r w:rsidRPr="00A23740">
              <w:rPr>
                <w:szCs w:val="24"/>
              </w:rPr>
              <w:t xml:space="preserve"> 137 </w:t>
            </w:r>
            <w:r w:rsidRPr="00A23740">
              <w:rPr>
                <w:b/>
                <w:iCs/>
                <w:strike/>
                <w:snapToGrid w:val="0"/>
                <w:color w:val="FF0000"/>
                <w:szCs w:val="24"/>
              </w:rPr>
              <w:t>nci</w:t>
            </w:r>
            <w:r w:rsidRPr="00A23740">
              <w:rPr>
                <w:szCs w:val="24"/>
              </w:rPr>
              <w:t xml:space="preserve"> madde</w:t>
            </w:r>
            <w:r w:rsidRPr="00A23740">
              <w:rPr>
                <w:b/>
                <w:bCs/>
                <w:strike/>
                <w:color w:val="FF0000"/>
                <w:szCs w:val="24"/>
              </w:rPr>
              <w:t>ye</w:t>
            </w:r>
            <w:r w:rsidRPr="00A23740">
              <w:rPr>
                <w:szCs w:val="24"/>
              </w:rPr>
              <w:t xml:space="preserve"> </w:t>
            </w:r>
            <w:r w:rsidRPr="00A23740">
              <w:rPr>
                <w:b/>
                <w:bCs/>
                <w:strike/>
                <w:color w:val="FF0000"/>
                <w:szCs w:val="24"/>
              </w:rPr>
              <w:t>kadar olan</w:t>
            </w:r>
            <w:r w:rsidRPr="00A23740">
              <w:rPr>
                <w:szCs w:val="24"/>
              </w:rPr>
              <w:t xml:space="preserve"> hükümler kıyas yolu ile uygulanır.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b/>
                <w:bCs/>
                <w:szCs w:val="24"/>
              </w:rPr>
            </w:pPr>
            <w:r w:rsidRPr="00A23740">
              <w:rPr>
                <w:b/>
                <w:bCs/>
                <w:szCs w:val="24"/>
              </w:rPr>
              <w:t>Paraya çevirme usulü</w:t>
            </w:r>
          </w:p>
          <w:p w:rsidR="00155AF4" w:rsidRPr="00A23740" w:rsidRDefault="00155AF4" w:rsidP="009431FF">
            <w:pPr>
              <w:tabs>
                <w:tab w:val="left" w:pos="567"/>
              </w:tabs>
              <w:autoSpaceDE w:val="0"/>
              <w:autoSpaceDN w:val="0"/>
              <w:adjustRightInd w:val="0"/>
              <w:rPr>
                <w:szCs w:val="24"/>
              </w:rPr>
            </w:pPr>
            <w:r w:rsidRPr="00A23740">
              <w:rPr>
                <w:b/>
                <w:bCs/>
                <w:color w:val="0000FF"/>
                <w:szCs w:val="24"/>
                <w:lang w:eastAsia="x-none"/>
              </w:rPr>
              <w:t xml:space="preserve">MADDE </w:t>
            </w:r>
            <w:r w:rsidR="00A9749A" w:rsidRPr="00A23740">
              <w:rPr>
                <w:b/>
                <w:bCs/>
                <w:color w:val="0000FF"/>
                <w:szCs w:val="24"/>
                <w:lang w:val="x-none" w:eastAsia="x-none"/>
              </w:rPr>
              <w:t>131</w:t>
            </w:r>
            <w:r w:rsidRPr="00A23740">
              <w:rPr>
                <w:b/>
                <w:bCs/>
                <w:color w:val="0000FF"/>
                <w:szCs w:val="24"/>
                <w:lang w:val="x-none" w:eastAsia="x-none"/>
              </w:rPr>
              <w:t>-</w:t>
            </w:r>
            <w:r w:rsidRPr="00A23740">
              <w:rPr>
                <w:b/>
                <w:bCs/>
                <w:color w:val="0000FF"/>
                <w:szCs w:val="24"/>
                <w:lang w:eastAsia="x-none"/>
              </w:rPr>
              <w:t xml:space="preserve"> </w:t>
            </w:r>
            <w:r w:rsidRPr="00A23740">
              <w:rPr>
                <w:b/>
                <w:bCs/>
                <w:color w:val="0000FF"/>
                <w:szCs w:val="24"/>
                <w:lang w:val="x-none" w:eastAsia="x-none"/>
              </w:rPr>
              <w:t>(1)</w:t>
            </w:r>
            <w:r w:rsidRPr="00A23740">
              <w:rPr>
                <w:b/>
                <w:bCs/>
                <w:szCs w:val="24"/>
              </w:rPr>
              <w:t xml:space="preserve"> </w:t>
            </w:r>
            <w:r w:rsidRPr="00A23740">
              <w:rPr>
                <w:szCs w:val="24"/>
              </w:rPr>
              <w:t>Satılması istenen rehin hakkında</w:t>
            </w:r>
            <w:r w:rsidRPr="00A23740">
              <w:rPr>
                <w:b/>
                <w:bCs/>
                <w:color w:val="0000FF"/>
                <w:szCs w:val="24"/>
                <w:lang w:val="x-none" w:eastAsia="x-none"/>
              </w:rPr>
              <w:t>;</w:t>
            </w:r>
          </w:p>
          <w:p w:rsidR="00155AF4" w:rsidRPr="00A23740" w:rsidRDefault="00155AF4" w:rsidP="009431FF">
            <w:pPr>
              <w:tabs>
                <w:tab w:val="left" w:pos="567"/>
              </w:tabs>
              <w:autoSpaceDE w:val="0"/>
              <w:autoSpaceDN w:val="0"/>
              <w:adjustRightInd w:val="0"/>
              <w:rPr>
                <w:b/>
                <w:bCs/>
                <w:color w:val="0000FF"/>
                <w:szCs w:val="24"/>
                <w:lang w:val="x-none" w:eastAsia="x-none"/>
              </w:rPr>
            </w:pPr>
            <w:r w:rsidRPr="00A23740">
              <w:rPr>
                <w:b/>
                <w:bCs/>
                <w:color w:val="0000FF"/>
                <w:szCs w:val="24"/>
                <w:lang w:val="x-none" w:eastAsia="x-none"/>
              </w:rPr>
              <w:t>a)</w:t>
            </w:r>
            <w:r w:rsidRPr="00A23740">
              <w:rPr>
                <w:szCs w:val="24"/>
              </w:rPr>
              <w:t xml:space="preserve"> </w:t>
            </w:r>
            <w:r w:rsidR="00D37086" w:rsidRPr="00001224">
              <w:rPr>
                <w:rStyle w:val="KonuBalChar"/>
                <w:rFonts w:eastAsia="Calibri"/>
                <w:color w:val="0000FF"/>
              </w:rPr>
              <w:t>189</w:t>
            </w:r>
            <w:r w:rsidR="00D37086" w:rsidRPr="00A23740">
              <w:rPr>
                <w:rStyle w:val="KonuBalChar"/>
                <w:rFonts w:eastAsia="Calibri"/>
              </w:rPr>
              <w:t xml:space="preserve"> </w:t>
            </w:r>
            <w:r w:rsidR="00D37086" w:rsidRPr="00001224">
              <w:rPr>
                <w:rStyle w:val="KonuBalChar"/>
                <w:rFonts w:eastAsia="Calibri"/>
                <w:color w:val="0000FF"/>
              </w:rPr>
              <w:t>uncu</w:t>
            </w:r>
            <w:r w:rsidR="00D37086" w:rsidRPr="00A23740">
              <w:rPr>
                <w:szCs w:val="24"/>
              </w:rPr>
              <w:t xml:space="preserve"> </w:t>
            </w:r>
            <w:r w:rsidRPr="00A23740">
              <w:rPr>
                <w:szCs w:val="24"/>
              </w:rPr>
              <w:t>maddenin üçüncü fıkra</w:t>
            </w:r>
            <w:r w:rsidRPr="00A23740">
              <w:rPr>
                <w:rStyle w:val="MaviChar"/>
              </w:rPr>
              <w:t>sı</w:t>
            </w:r>
            <w:r w:rsidRPr="00A23740">
              <w:rPr>
                <w:b/>
                <w:bCs/>
                <w:color w:val="0000FF"/>
                <w:szCs w:val="24"/>
                <w:lang w:val="x-none" w:eastAsia="x-none"/>
              </w:rPr>
              <w:t>,</w:t>
            </w:r>
          </w:p>
          <w:p w:rsidR="00537077" w:rsidRPr="00A23740" w:rsidRDefault="00537077"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b)</w:t>
            </w:r>
            <w:r w:rsidRPr="00A23740">
              <w:rPr>
                <w:szCs w:val="24"/>
              </w:rPr>
              <w:t xml:space="preserve"> </w:t>
            </w:r>
            <w:r w:rsidR="00D37086" w:rsidRPr="00001224">
              <w:rPr>
                <w:rStyle w:val="KonuBalChar"/>
                <w:rFonts w:eastAsia="Calibri"/>
                <w:color w:val="0000FF"/>
              </w:rPr>
              <w:t>190</w:t>
            </w:r>
            <w:r w:rsidRPr="00A23740">
              <w:rPr>
                <w:b/>
                <w:bCs/>
                <w:color w:val="0000FF"/>
                <w:szCs w:val="24"/>
                <w:lang w:val="x-none" w:eastAsia="x-none"/>
              </w:rPr>
              <w:t>,</w:t>
            </w:r>
            <w:r w:rsidR="00D37086" w:rsidRPr="00A23740">
              <w:rPr>
                <w:b/>
                <w:bCs/>
                <w:color w:val="0000FF"/>
                <w:szCs w:val="24"/>
                <w:lang w:eastAsia="x-none"/>
              </w:rPr>
              <w:t xml:space="preserve"> </w:t>
            </w:r>
            <w:r w:rsidR="00D37086" w:rsidRPr="00001224">
              <w:rPr>
                <w:rStyle w:val="KonuBalChar"/>
                <w:rFonts w:eastAsia="Calibri"/>
                <w:color w:val="0000FF"/>
              </w:rPr>
              <w:t>433</w:t>
            </w:r>
            <w:r w:rsidRPr="00A23740">
              <w:rPr>
                <w:b/>
                <w:bCs/>
                <w:color w:val="0000FF"/>
                <w:szCs w:val="24"/>
                <w:lang w:val="x-none" w:eastAsia="x-none"/>
              </w:rPr>
              <w:t xml:space="preserve"> </w:t>
            </w:r>
            <w:r w:rsidRPr="00A23740">
              <w:rPr>
                <w:rStyle w:val="MaviChar"/>
              </w:rPr>
              <w:t>il</w:t>
            </w:r>
            <w:r w:rsidR="00F25FDB" w:rsidRPr="00A23740">
              <w:rPr>
                <w:rStyle w:val="MaviChar"/>
                <w:lang w:val="tr-TR"/>
              </w:rPr>
              <w:t>a</w:t>
            </w:r>
            <w:r w:rsidR="00D37086" w:rsidRPr="00A23740">
              <w:rPr>
                <w:rStyle w:val="MaviChar"/>
                <w:lang w:val="tr-TR"/>
              </w:rPr>
              <w:t xml:space="preserve"> </w:t>
            </w:r>
            <w:r w:rsidR="00D37086" w:rsidRPr="00001224">
              <w:rPr>
                <w:rStyle w:val="KonuBalChar"/>
                <w:rFonts w:eastAsia="Calibri"/>
                <w:color w:val="0000FF"/>
              </w:rPr>
              <w:t>439</w:t>
            </w:r>
            <w:r w:rsidR="00D37086" w:rsidRPr="00A23740">
              <w:rPr>
                <w:rStyle w:val="KonuBalChar"/>
                <w:rFonts w:eastAsia="Calibri"/>
              </w:rPr>
              <w:t xml:space="preserve"> </w:t>
            </w:r>
            <w:r w:rsidR="00D37086" w:rsidRPr="00001224">
              <w:rPr>
                <w:rStyle w:val="KonuBalChar"/>
                <w:rFonts w:eastAsia="Calibri"/>
                <w:color w:val="0000FF"/>
              </w:rPr>
              <w:t>uncu</w:t>
            </w:r>
            <w:r w:rsidRPr="00A23740">
              <w:rPr>
                <w:b/>
                <w:bCs/>
                <w:color w:val="0000FF"/>
                <w:szCs w:val="24"/>
                <w:lang w:eastAsia="x-none"/>
              </w:rPr>
              <w:t xml:space="preserve"> </w:t>
            </w:r>
            <w:r w:rsidRPr="00A23740">
              <w:rPr>
                <w:szCs w:val="24"/>
              </w:rPr>
              <w:t>madde</w:t>
            </w:r>
            <w:r w:rsidRPr="00A23740">
              <w:rPr>
                <w:rStyle w:val="MaviChar"/>
              </w:rPr>
              <w:t>ler</w:t>
            </w:r>
            <w:r w:rsidRPr="00A23740">
              <w:rPr>
                <w:b/>
                <w:bCs/>
                <w:color w:val="0000FF"/>
                <w:szCs w:val="24"/>
                <w:lang w:val="x-none" w:eastAsia="x-none"/>
              </w:rPr>
              <w:t>,</w:t>
            </w:r>
          </w:p>
          <w:p w:rsidR="00537077" w:rsidRPr="00A23740" w:rsidRDefault="00537077" w:rsidP="009431FF">
            <w:pPr>
              <w:tabs>
                <w:tab w:val="left" w:pos="567"/>
              </w:tabs>
              <w:autoSpaceDE w:val="0"/>
              <w:autoSpaceDN w:val="0"/>
              <w:adjustRightInd w:val="0"/>
              <w:rPr>
                <w:b/>
                <w:bCs/>
                <w:color w:val="0000FF"/>
                <w:szCs w:val="24"/>
                <w:lang w:val="x-none" w:eastAsia="x-none"/>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c)</w:t>
            </w:r>
            <w:r w:rsidRPr="00A23740">
              <w:rPr>
                <w:szCs w:val="24"/>
              </w:rPr>
              <w:t xml:space="preserve"> </w:t>
            </w:r>
            <w:r w:rsidR="0011346D" w:rsidRPr="00001224">
              <w:rPr>
                <w:rStyle w:val="KonuBalChar"/>
                <w:rFonts w:eastAsia="Calibri"/>
                <w:color w:val="0000FF"/>
              </w:rPr>
              <w:t>176, 207, 208, 209, 211, 213, 217, 218, 219, 223 il</w:t>
            </w:r>
            <w:r w:rsidR="00F25FDB" w:rsidRPr="00001224">
              <w:rPr>
                <w:rStyle w:val="KonuBalChar"/>
                <w:rFonts w:eastAsia="Calibri"/>
                <w:color w:val="0000FF"/>
                <w:lang w:val="tr-TR"/>
              </w:rPr>
              <w:t>a</w:t>
            </w:r>
            <w:r w:rsidR="0011346D" w:rsidRPr="00001224">
              <w:rPr>
                <w:rStyle w:val="KonuBalChar"/>
                <w:rFonts w:eastAsia="Calibri"/>
                <w:color w:val="0000FF"/>
              </w:rPr>
              <w:t xml:space="preserve"> 233, 235, 236, 244, 246 il</w:t>
            </w:r>
            <w:r w:rsidR="00F25FDB" w:rsidRPr="00001224">
              <w:rPr>
                <w:rStyle w:val="KonuBalChar"/>
                <w:rFonts w:eastAsia="Calibri"/>
                <w:color w:val="0000FF"/>
                <w:lang w:val="tr-TR"/>
              </w:rPr>
              <w:t>a</w:t>
            </w:r>
            <w:r w:rsidR="0011346D" w:rsidRPr="00001224">
              <w:rPr>
                <w:rStyle w:val="KonuBalChar"/>
                <w:rFonts w:eastAsia="Calibri"/>
                <w:color w:val="0000FF"/>
              </w:rPr>
              <w:t xml:space="preserve"> 257, 472 ve 474</w:t>
            </w:r>
            <w:r w:rsidR="0011346D" w:rsidRPr="00A23740">
              <w:rPr>
                <w:rStyle w:val="KonuBalChar"/>
                <w:rFonts w:eastAsia="Calibri"/>
              </w:rPr>
              <w:t xml:space="preserve"> </w:t>
            </w:r>
            <w:r w:rsidRPr="00A23740">
              <w:rPr>
                <w:szCs w:val="24"/>
              </w:rPr>
              <w:t>madde</w:t>
            </w:r>
            <w:r w:rsidRPr="00A23740">
              <w:rPr>
                <w:rStyle w:val="MaviChar"/>
              </w:rPr>
              <w:t>ler</w:t>
            </w:r>
            <w:r w:rsidR="0011346D" w:rsidRPr="00A23740">
              <w:rPr>
                <w:rStyle w:val="MaviChar"/>
                <w:lang w:val="tr-TR"/>
              </w:rPr>
              <w:t>,</w:t>
            </w:r>
          </w:p>
          <w:p w:rsidR="00155AF4" w:rsidRPr="00A23740" w:rsidRDefault="00155AF4" w:rsidP="009431FF">
            <w:pPr>
              <w:tabs>
                <w:tab w:val="left" w:pos="567"/>
              </w:tabs>
              <w:autoSpaceDE w:val="0"/>
              <w:autoSpaceDN w:val="0"/>
              <w:adjustRightInd w:val="0"/>
              <w:rPr>
                <w:szCs w:val="24"/>
              </w:rPr>
            </w:pPr>
            <w:r w:rsidRPr="00A23740">
              <w:rPr>
                <w:szCs w:val="24"/>
              </w:rPr>
              <w:t>hükümler</w:t>
            </w:r>
            <w:r w:rsidRPr="00A23740">
              <w:rPr>
                <w:b/>
                <w:bCs/>
                <w:color w:val="0000FF"/>
                <w:szCs w:val="24"/>
                <w:lang w:val="x-none" w:eastAsia="x-none"/>
              </w:rPr>
              <w:t>i</w:t>
            </w:r>
            <w:r w:rsidRPr="00A23740">
              <w:rPr>
                <w:szCs w:val="24"/>
              </w:rPr>
              <w:t xml:space="preserve"> kıyas</w:t>
            </w:r>
            <w:r w:rsidRPr="00A23740">
              <w:rPr>
                <w:rStyle w:val="MaviChar"/>
              </w:rPr>
              <w:t>en</w:t>
            </w:r>
            <w:r w:rsidRPr="00A23740">
              <w:rPr>
                <w:szCs w:val="24"/>
              </w:rPr>
              <w:t xml:space="preserve"> uygulanır.</w:t>
            </w:r>
          </w:p>
          <w:p w:rsidR="008322C0" w:rsidRPr="00A23740" w:rsidRDefault="008322C0" w:rsidP="009431FF">
            <w:pPr>
              <w:rPr>
                <w:b/>
                <w:iCs/>
                <w:snapToGrid w:val="0"/>
                <w:color w:val="FF0000"/>
                <w:szCs w:val="24"/>
              </w:rPr>
            </w:pPr>
          </w:p>
          <w:p w:rsidR="00155AF4" w:rsidRPr="00A23740" w:rsidRDefault="00155AF4" w:rsidP="009431FF">
            <w:pPr>
              <w:tabs>
                <w:tab w:val="left" w:pos="567"/>
              </w:tabs>
              <w:rPr>
                <w:b/>
                <w:bCs/>
                <w:snapToGrid w:val="0"/>
                <w:color w:val="0000FF"/>
                <w:szCs w:val="24"/>
                <w:lang w:val="x-none" w:eastAsia="x-none"/>
              </w:rPr>
            </w:pPr>
            <w:r w:rsidRPr="00A23740">
              <w:rPr>
                <w:b/>
                <w:bCs/>
                <w:snapToGrid w:val="0"/>
                <w:color w:val="0000FF"/>
                <w:szCs w:val="24"/>
                <w:lang w:val="x-none" w:eastAsia="x-none"/>
              </w:rPr>
              <w:t>(2) Rehinli taşınır malın muhafaza altına alınması ancak takibin kesinleşmesi üzerine talep edilebilir.</w:t>
            </w:r>
          </w:p>
          <w:p w:rsidR="00155AF4" w:rsidRPr="00A23740" w:rsidRDefault="00155AF4" w:rsidP="009431FF">
            <w:pPr>
              <w:tabs>
                <w:tab w:val="left" w:pos="567"/>
              </w:tabs>
              <w:rPr>
                <w:bCs/>
                <w:iCs/>
                <w:snapToGrid w:val="0"/>
                <w:color w:val="FF0000"/>
                <w:szCs w:val="24"/>
                <w:lang w:val="x-none" w:eastAsia="x-none"/>
              </w:rPr>
            </w:pPr>
          </w:p>
        </w:tc>
      </w:tr>
      <w:tr w:rsidR="00D8122F" w:rsidRPr="00A23740" w:rsidTr="009431FF">
        <w:tc>
          <w:tcPr>
            <w:tcW w:w="5000" w:type="pct"/>
            <w:gridSpan w:val="2"/>
            <w:shd w:val="clear" w:color="auto" w:fill="DEEAF6"/>
          </w:tcPr>
          <w:p w:rsidR="00A77883" w:rsidRPr="00A23740" w:rsidRDefault="00A77883" w:rsidP="009431FF">
            <w:pPr>
              <w:tabs>
                <w:tab w:val="left" w:pos="567"/>
              </w:tabs>
              <w:autoSpaceDE w:val="0"/>
              <w:autoSpaceDN w:val="0"/>
              <w:adjustRightInd w:val="0"/>
              <w:ind w:firstLine="567"/>
              <w:rPr>
                <w:b/>
                <w:bCs/>
                <w:color w:val="000000"/>
                <w:szCs w:val="24"/>
                <w:lang w:eastAsia="x-none"/>
              </w:rPr>
            </w:pPr>
          </w:p>
          <w:p w:rsidR="009510DD" w:rsidRPr="00A23740" w:rsidRDefault="00D8122F" w:rsidP="009431FF">
            <w:pPr>
              <w:tabs>
                <w:tab w:val="left" w:pos="567"/>
              </w:tabs>
              <w:autoSpaceDE w:val="0"/>
              <w:autoSpaceDN w:val="0"/>
              <w:adjustRightInd w:val="0"/>
              <w:ind w:firstLine="567"/>
              <w:rPr>
                <w:bCs/>
                <w:color w:val="000000"/>
              </w:rPr>
            </w:pPr>
            <w:r w:rsidRPr="00A23740">
              <w:rPr>
                <w:b/>
                <w:bCs/>
                <w:color w:val="000000"/>
                <w:szCs w:val="24"/>
                <w:lang w:eastAsia="x-none"/>
              </w:rPr>
              <w:t>MADDE 1</w:t>
            </w:r>
            <w:r w:rsidR="00A9749A" w:rsidRPr="00A23740">
              <w:rPr>
                <w:b/>
                <w:bCs/>
                <w:color w:val="000000"/>
                <w:szCs w:val="24"/>
                <w:lang w:eastAsia="x-none"/>
              </w:rPr>
              <w:t>31</w:t>
            </w:r>
            <w:r w:rsidRPr="00A23740">
              <w:rPr>
                <w:b/>
                <w:bCs/>
                <w:color w:val="000000"/>
                <w:szCs w:val="24"/>
                <w:lang w:eastAsia="x-none"/>
              </w:rPr>
              <w:t>-</w:t>
            </w:r>
            <w:r w:rsidR="009510DD" w:rsidRPr="00A23740">
              <w:rPr>
                <w:b/>
                <w:bCs/>
                <w:color w:val="000000"/>
                <w:szCs w:val="24"/>
                <w:lang w:eastAsia="x-none"/>
              </w:rPr>
              <w:t xml:space="preserve"> </w:t>
            </w:r>
            <w:r w:rsidR="00A03F65" w:rsidRPr="00A23740">
              <w:rPr>
                <w:bCs/>
                <w:color w:val="000000"/>
              </w:rPr>
              <w:t xml:space="preserve">Maddeyle, paraya çevirme usulüne ilişkin hususlar düzenlenmektedir. </w:t>
            </w:r>
            <w:r w:rsidR="009510DD" w:rsidRPr="00A23740">
              <w:rPr>
                <w:bCs/>
                <w:color w:val="000000"/>
              </w:rPr>
              <w:t>Taslağın</w:t>
            </w:r>
            <w:r w:rsidR="008F2C74" w:rsidRPr="00A23740">
              <w:rPr>
                <w:bCs/>
                <w:color w:val="000000"/>
              </w:rPr>
              <w:t xml:space="preserve"> </w:t>
            </w:r>
            <w:r w:rsidR="008F2C74" w:rsidRPr="00001224">
              <w:rPr>
                <w:color w:val="000000"/>
              </w:rPr>
              <w:t>131 inci</w:t>
            </w:r>
            <w:r w:rsidR="009510DD" w:rsidRPr="00A23740">
              <w:rPr>
                <w:bCs/>
                <w:color w:val="000000"/>
              </w:rPr>
              <w:t xml:space="preserve"> maddesi “Paraya çevirme usulü” başlığını taşımakta olup</w:t>
            </w:r>
            <w:r w:rsidR="004771C7" w:rsidRPr="00A23740">
              <w:rPr>
                <w:bCs/>
                <w:color w:val="000000"/>
              </w:rPr>
              <w:t>,</w:t>
            </w:r>
            <w:r w:rsidR="009510DD" w:rsidRPr="00A23740">
              <w:rPr>
                <w:bCs/>
                <w:color w:val="000000"/>
              </w:rPr>
              <w:t xml:space="preserve"> </w:t>
            </w:r>
            <w:r w:rsidR="00A77883" w:rsidRPr="00A23740">
              <w:rPr>
                <w:bCs/>
                <w:color w:val="000000"/>
              </w:rPr>
              <w:t>2004 sayılı K</w:t>
            </w:r>
            <w:r w:rsidR="009510DD" w:rsidRPr="00A23740">
              <w:rPr>
                <w:bCs/>
                <w:color w:val="000000"/>
              </w:rPr>
              <w:t>anunun 150/g maddesinin karşılığıdır.</w:t>
            </w:r>
          </w:p>
          <w:p w:rsidR="009510DD" w:rsidRPr="00001224" w:rsidRDefault="009510DD" w:rsidP="009431FF">
            <w:pPr>
              <w:tabs>
                <w:tab w:val="left" w:pos="567"/>
              </w:tabs>
              <w:autoSpaceDE w:val="0"/>
              <w:autoSpaceDN w:val="0"/>
              <w:adjustRightInd w:val="0"/>
              <w:ind w:firstLine="567"/>
              <w:rPr>
                <w:bCs/>
                <w:color w:val="000000"/>
              </w:rPr>
            </w:pPr>
            <w:r w:rsidRPr="00A23740">
              <w:rPr>
                <w:bCs/>
                <w:color w:val="000000"/>
              </w:rPr>
              <w:t>Maddenin birinci</w:t>
            </w:r>
            <w:r w:rsidRPr="00A23740">
              <w:rPr>
                <w:bCs/>
                <w:color w:val="000000"/>
                <w:szCs w:val="24"/>
                <w:lang w:eastAsia="x-none"/>
              </w:rPr>
              <w:t xml:space="preserve"> fıkrasına göre</w:t>
            </w:r>
            <w:r w:rsidR="004771C7" w:rsidRPr="00A23740">
              <w:rPr>
                <w:bCs/>
                <w:color w:val="000000"/>
                <w:szCs w:val="24"/>
                <w:lang w:eastAsia="x-none"/>
              </w:rPr>
              <w:t>,</w:t>
            </w:r>
            <w:r w:rsidRPr="00A23740">
              <w:rPr>
                <w:bCs/>
                <w:color w:val="000000"/>
                <w:szCs w:val="24"/>
                <w:lang w:eastAsia="x-none"/>
              </w:rPr>
              <w:t xml:space="preserve"> s</w:t>
            </w:r>
            <w:r w:rsidRPr="00A23740">
              <w:rPr>
                <w:color w:val="000000"/>
                <w:szCs w:val="24"/>
              </w:rPr>
              <w:t xml:space="preserve">atılması istenen </w:t>
            </w:r>
            <w:r w:rsidR="004771C7" w:rsidRPr="00A23740">
              <w:rPr>
                <w:color w:val="000000"/>
                <w:szCs w:val="24"/>
              </w:rPr>
              <w:t xml:space="preserve">rehinli mal </w:t>
            </w:r>
            <w:r w:rsidRPr="00A23740">
              <w:rPr>
                <w:color w:val="000000"/>
                <w:szCs w:val="24"/>
              </w:rPr>
              <w:t xml:space="preserve">hakkında </w:t>
            </w:r>
            <w:r w:rsidR="008F2C74" w:rsidRPr="00001224">
              <w:rPr>
                <w:color w:val="000000"/>
              </w:rPr>
              <w:t>189 uncu</w:t>
            </w:r>
            <w:r w:rsidR="008F2C74" w:rsidRPr="00A23740">
              <w:rPr>
                <w:b/>
                <w:szCs w:val="24"/>
              </w:rPr>
              <w:t xml:space="preserve"> </w:t>
            </w:r>
            <w:r w:rsidRPr="00A23740">
              <w:rPr>
                <w:bCs/>
                <w:color w:val="000000"/>
                <w:szCs w:val="24"/>
                <w:lang w:val="x-none" w:eastAsia="x-none"/>
              </w:rPr>
              <w:t xml:space="preserve">maddenin </w:t>
            </w:r>
            <w:r w:rsidRPr="00A23740">
              <w:rPr>
                <w:color w:val="000000"/>
                <w:szCs w:val="24"/>
              </w:rPr>
              <w:t>üçüncü fıkra</w:t>
            </w:r>
            <w:r w:rsidRPr="00A23740">
              <w:rPr>
                <w:rStyle w:val="MaviChar"/>
                <w:b w:val="0"/>
                <w:color w:val="000000"/>
              </w:rPr>
              <w:t>sı</w:t>
            </w:r>
            <w:r w:rsidRPr="00A23740">
              <w:rPr>
                <w:bCs/>
                <w:color w:val="000000"/>
                <w:szCs w:val="24"/>
                <w:lang w:val="x-none" w:eastAsia="x-none"/>
              </w:rPr>
              <w:t>,</w:t>
            </w:r>
            <w:r w:rsidRPr="00A23740">
              <w:rPr>
                <w:bCs/>
                <w:color w:val="000000"/>
                <w:szCs w:val="24"/>
                <w:lang w:eastAsia="x-none"/>
              </w:rPr>
              <w:t xml:space="preserve"> </w:t>
            </w:r>
            <w:r w:rsidR="00BD3073" w:rsidRPr="00001224">
              <w:rPr>
                <w:color w:val="000000"/>
              </w:rPr>
              <w:t>190</w:t>
            </w:r>
            <w:r w:rsidR="00BD3073" w:rsidRPr="00A23740">
              <w:rPr>
                <w:b/>
                <w:szCs w:val="24"/>
              </w:rPr>
              <w:t xml:space="preserve"> </w:t>
            </w:r>
            <w:r w:rsidRPr="00A23740">
              <w:rPr>
                <w:bCs/>
                <w:color w:val="000000"/>
                <w:szCs w:val="24"/>
                <w:lang w:val="x-none" w:eastAsia="x-none"/>
              </w:rPr>
              <w:t xml:space="preserve">madde, </w:t>
            </w:r>
            <w:r w:rsidR="00BD3073" w:rsidRPr="00001224">
              <w:rPr>
                <w:color w:val="000000"/>
              </w:rPr>
              <w:t>433</w:t>
            </w:r>
            <w:r w:rsidR="00BD3073" w:rsidRPr="00A23740">
              <w:rPr>
                <w:b/>
                <w:bCs/>
                <w:color w:val="0000FF"/>
                <w:szCs w:val="24"/>
                <w:lang w:val="x-none" w:eastAsia="x-none"/>
              </w:rPr>
              <w:t xml:space="preserve"> </w:t>
            </w:r>
            <w:r w:rsidR="00BD3073" w:rsidRPr="00001224">
              <w:rPr>
                <w:color w:val="000000"/>
              </w:rPr>
              <w:t>il</w:t>
            </w:r>
            <w:r w:rsidR="00F25FDB" w:rsidRPr="00001224">
              <w:rPr>
                <w:color w:val="000000"/>
              </w:rPr>
              <w:t>a</w:t>
            </w:r>
            <w:r w:rsidR="00BD3073" w:rsidRPr="00001224">
              <w:rPr>
                <w:color w:val="000000"/>
              </w:rPr>
              <w:t xml:space="preserve"> 439 uncu</w:t>
            </w:r>
            <w:r w:rsidR="00BD3073" w:rsidRPr="00A23740">
              <w:rPr>
                <w:b/>
                <w:bCs/>
                <w:color w:val="0000FF"/>
                <w:szCs w:val="24"/>
                <w:lang w:eastAsia="x-none"/>
              </w:rPr>
              <w:t xml:space="preserve"> </w:t>
            </w:r>
            <w:r w:rsidRPr="00A23740">
              <w:rPr>
                <w:bCs/>
                <w:color w:val="000000"/>
                <w:szCs w:val="24"/>
                <w:lang w:val="x-none" w:eastAsia="x-none"/>
              </w:rPr>
              <w:t xml:space="preserve"> </w:t>
            </w:r>
            <w:r w:rsidRPr="00A23740">
              <w:rPr>
                <w:color w:val="000000"/>
                <w:szCs w:val="24"/>
              </w:rPr>
              <w:t>madde</w:t>
            </w:r>
            <w:r w:rsidRPr="00A23740">
              <w:rPr>
                <w:rStyle w:val="MaviChar"/>
                <w:b w:val="0"/>
                <w:color w:val="000000"/>
              </w:rPr>
              <w:t>leri</w:t>
            </w:r>
            <w:r w:rsidRPr="00A23740">
              <w:rPr>
                <w:bCs/>
                <w:color w:val="000000"/>
                <w:szCs w:val="24"/>
                <w:lang w:val="x-none" w:eastAsia="x-none"/>
              </w:rPr>
              <w:t>,</w:t>
            </w:r>
            <w:r w:rsidR="00991BC6" w:rsidRPr="00A23740">
              <w:rPr>
                <w:color w:val="000000"/>
                <w:szCs w:val="24"/>
              </w:rPr>
              <w:t xml:space="preserve"> </w:t>
            </w:r>
            <w:r w:rsidR="00BD3073" w:rsidRPr="00001224">
              <w:rPr>
                <w:color w:val="000000"/>
              </w:rPr>
              <w:t>176, 207, 208, 209, 211, 213, 217, 218, 219, 223 il</w:t>
            </w:r>
            <w:r w:rsidR="00F25FDB" w:rsidRPr="00001224">
              <w:rPr>
                <w:color w:val="000000"/>
              </w:rPr>
              <w:t>a</w:t>
            </w:r>
            <w:r w:rsidR="00BD3073" w:rsidRPr="00001224">
              <w:rPr>
                <w:color w:val="000000"/>
              </w:rPr>
              <w:t xml:space="preserve"> 233, 235, 236, 244, 246 il</w:t>
            </w:r>
            <w:r w:rsidR="00F25FDB" w:rsidRPr="00001224">
              <w:rPr>
                <w:color w:val="000000"/>
              </w:rPr>
              <w:t>a</w:t>
            </w:r>
            <w:r w:rsidR="00BD3073" w:rsidRPr="00001224">
              <w:rPr>
                <w:color w:val="000000"/>
              </w:rPr>
              <w:t xml:space="preserve"> 257, 472 ve 474</w:t>
            </w:r>
            <w:r w:rsidR="00BD3073" w:rsidRPr="00A23740">
              <w:rPr>
                <w:rStyle w:val="KonuBalChar"/>
                <w:rFonts w:eastAsia="Calibri"/>
                <w:b w:val="0"/>
                <w:lang w:val="tr-TR"/>
              </w:rPr>
              <w:t xml:space="preserve"> </w:t>
            </w:r>
            <w:r w:rsidRPr="00A23740">
              <w:rPr>
                <w:color w:val="000000"/>
                <w:szCs w:val="24"/>
              </w:rPr>
              <w:t>madde</w:t>
            </w:r>
            <w:r w:rsidR="004771C7" w:rsidRPr="00A23740">
              <w:rPr>
                <w:color w:val="000000"/>
                <w:szCs w:val="24"/>
              </w:rPr>
              <w:t>ler</w:t>
            </w:r>
            <w:r w:rsidRPr="00A23740">
              <w:rPr>
                <w:bCs/>
                <w:color w:val="000000"/>
                <w:szCs w:val="24"/>
                <w:lang w:val="x-none" w:eastAsia="x-none"/>
              </w:rPr>
              <w:t xml:space="preserve"> </w:t>
            </w:r>
            <w:r w:rsidRPr="00A23740">
              <w:rPr>
                <w:color w:val="000000"/>
                <w:szCs w:val="24"/>
              </w:rPr>
              <w:t>hükümler</w:t>
            </w:r>
            <w:r w:rsidRPr="00A23740">
              <w:rPr>
                <w:bCs/>
                <w:color w:val="000000"/>
                <w:szCs w:val="24"/>
                <w:lang w:val="x-none" w:eastAsia="x-none"/>
              </w:rPr>
              <w:t>i</w:t>
            </w:r>
            <w:r w:rsidRPr="00A23740">
              <w:rPr>
                <w:color w:val="000000"/>
                <w:szCs w:val="24"/>
              </w:rPr>
              <w:t xml:space="preserve"> kıyas</w:t>
            </w:r>
            <w:r w:rsidRPr="00A23740">
              <w:rPr>
                <w:rStyle w:val="MaviChar"/>
                <w:b w:val="0"/>
                <w:color w:val="000000"/>
              </w:rPr>
              <w:t>en</w:t>
            </w:r>
            <w:r w:rsidR="00A77883" w:rsidRPr="00A23740">
              <w:rPr>
                <w:color w:val="000000"/>
                <w:szCs w:val="24"/>
              </w:rPr>
              <w:t xml:space="preserve"> uygulanır.</w:t>
            </w:r>
            <w:r w:rsidR="00993C8C" w:rsidRPr="00A23740">
              <w:rPr>
                <w:color w:val="000000"/>
                <w:szCs w:val="24"/>
              </w:rPr>
              <w:t xml:space="preserve"> </w:t>
            </w:r>
            <w:r w:rsidR="00993C8C" w:rsidRPr="00001224">
              <w:rPr>
                <w:bCs/>
                <w:color w:val="000000"/>
              </w:rPr>
              <w:t xml:space="preserve">Burada </w:t>
            </w:r>
            <w:r w:rsidR="0039657A" w:rsidRPr="00001224">
              <w:rPr>
                <w:bCs/>
                <w:color w:val="000000"/>
              </w:rPr>
              <w:t>Taslağın</w:t>
            </w:r>
            <w:r w:rsidR="0039657A" w:rsidRPr="00A23740">
              <w:rPr>
                <w:rStyle w:val="Balk1Char"/>
                <w:rFonts w:eastAsia="Calibri"/>
              </w:rPr>
              <w:t xml:space="preserve"> </w:t>
            </w:r>
            <w:r w:rsidR="0068440E" w:rsidRPr="00001224">
              <w:rPr>
                <w:color w:val="000000"/>
              </w:rPr>
              <w:t>238 inci</w:t>
            </w:r>
            <w:r w:rsidR="0039657A" w:rsidRPr="00A23740">
              <w:rPr>
                <w:rStyle w:val="Balk1Char"/>
                <w:rFonts w:eastAsia="Calibri"/>
              </w:rPr>
              <w:t xml:space="preserve"> </w:t>
            </w:r>
            <w:r w:rsidR="0039657A" w:rsidRPr="00001224">
              <w:rPr>
                <w:color w:val="000000"/>
              </w:rPr>
              <w:t>maddesinin beşinci ve altıncı fıkraları uyarınca rehinli malın malikinin de satış isteyebileceği dikkate alınarak ayrıca</w:t>
            </w:r>
            <w:r w:rsidR="0039657A" w:rsidRPr="00A23740">
              <w:rPr>
                <w:rStyle w:val="Balk1Char"/>
                <w:rFonts w:eastAsia="Calibri"/>
                <w:b w:val="0"/>
              </w:rPr>
              <w:t xml:space="preserve"> </w:t>
            </w:r>
            <w:r w:rsidR="0068440E" w:rsidRPr="00001224">
              <w:rPr>
                <w:color w:val="000000"/>
              </w:rPr>
              <w:t>238 inci</w:t>
            </w:r>
            <w:r w:rsidR="0039657A" w:rsidRPr="00001224">
              <w:rPr>
                <w:color w:val="000000"/>
              </w:rPr>
              <w:t xml:space="preserve"> maddeye atıf yapılmamıştır.</w:t>
            </w:r>
          </w:p>
          <w:p w:rsidR="00270EC7" w:rsidRPr="00A23740" w:rsidRDefault="009510DD" w:rsidP="0080239A">
            <w:pPr>
              <w:tabs>
                <w:tab w:val="left" w:pos="567"/>
              </w:tabs>
              <w:ind w:firstLine="567"/>
              <w:rPr>
                <w:b/>
                <w:bCs/>
                <w:color w:val="000000"/>
                <w:szCs w:val="24"/>
                <w:lang w:eastAsia="x-none"/>
              </w:rPr>
            </w:pPr>
            <w:r w:rsidRPr="00A23740">
              <w:rPr>
                <w:bCs/>
                <w:snapToGrid w:val="0"/>
                <w:color w:val="000000"/>
                <w:szCs w:val="24"/>
                <w:lang w:eastAsia="x-none"/>
              </w:rPr>
              <w:t>Maddenin ikinci fıkrasında r</w:t>
            </w:r>
            <w:r w:rsidRPr="00A23740">
              <w:rPr>
                <w:bCs/>
                <w:snapToGrid w:val="0"/>
                <w:color w:val="000000"/>
                <w:szCs w:val="24"/>
                <w:lang w:val="x-none" w:eastAsia="x-none"/>
              </w:rPr>
              <w:t>ehinli taşınır</w:t>
            </w:r>
            <w:r w:rsidR="00991BC6" w:rsidRPr="00A23740">
              <w:rPr>
                <w:bCs/>
                <w:snapToGrid w:val="0"/>
                <w:color w:val="000000"/>
                <w:szCs w:val="24"/>
                <w:lang w:val="x-none" w:eastAsia="x-none"/>
              </w:rPr>
              <w:t xml:space="preserve"> malın muhafaza altına alınması</w:t>
            </w:r>
            <w:r w:rsidRPr="00A23740">
              <w:rPr>
                <w:bCs/>
                <w:snapToGrid w:val="0"/>
                <w:color w:val="000000"/>
                <w:szCs w:val="24"/>
                <w:lang w:val="x-none" w:eastAsia="x-none"/>
              </w:rPr>
              <w:t xml:space="preserve">nın ancak takibin kesinleşmesi üzerine talep </w:t>
            </w:r>
            <w:r w:rsidR="009D7972" w:rsidRPr="00A23740">
              <w:rPr>
                <w:bCs/>
                <w:snapToGrid w:val="0"/>
                <w:color w:val="000000"/>
                <w:szCs w:val="24"/>
                <w:lang w:val="x-none" w:eastAsia="x-none"/>
              </w:rPr>
              <w:t>edilebileceği kabul edilmiştir.</w:t>
            </w: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rPr>
                <w:b/>
                <w:bCs/>
                <w:strike/>
                <w:color w:val="FF0000"/>
                <w:szCs w:val="24"/>
              </w:rPr>
            </w:pPr>
            <w:r w:rsidRPr="00A23740">
              <w:rPr>
                <w:b/>
                <w:bCs/>
                <w:strike/>
                <w:color w:val="FF0000"/>
                <w:szCs w:val="24"/>
              </w:rPr>
              <w:t>b. Taşınmaz birden çok ise</w:t>
            </w:r>
          </w:p>
          <w:p w:rsidR="00155AF4" w:rsidRPr="00A23740" w:rsidRDefault="00155AF4" w:rsidP="009431FF">
            <w:pPr>
              <w:rPr>
                <w:b/>
                <w:bCs/>
                <w:strike/>
                <w:color w:val="FF0000"/>
                <w:szCs w:val="24"/>
              </w:rPr>
            </w:pPr>
            <w:r w:rsidRPr="00A23740">
              <w:rPr>
                <w:b/>
                <w:bCs/>
                <w:strike/>
                <w:color w:val="FF0000"/>
                <w:szCs w:val="24"/>
              </w:rPr>
              <w:t>Madde 855- (1) Birden çok taşınmazın aynı borç için rehnedilmesi, taşınmazların aynı malike veya borçtan müteselsilen sorumlu olan maliklere ait olmalarına bağlıdır.</w:t>
            </w:r>
          </w:p>
          <w:p w:rsidR="00155AF4" w:rsidRPr="00A23740" w:rsidRDefault="00155AF4" w:rsidP="009431FF">
            <w:pPr>
              <w:rPr>
                <w:b/>
                <w:bCs/>
                <w:strike/>
                <w:color w:val="FF0000"/>
                <w:szCs w:val="24"/>
              </w:rPr>
            </w:pPr>
          </w:p>
          <w:p w:rsidR="00155AF4" w:rsidRPr="00A23740" w:rsidRDefault="00155AF4" w:rsidP="009431FF">
            <w:pPr>
              <w:rPr>
                <w:b/>
                <w:bCs/>
                <w:strike/>
                <w:color w:val="FF0000"/>
                <w:szCs w:val="24"/>
              </w:rPr>
            </w:pPr>
            <w:r w:rsidRPr="00A23740">
              <w:rPr>
                <w:b/>
                <w:bCs/>
                <w:strike/>
                <w:color w:val="FF0000"/>
                <w:szCs w:val="24"/>
              </w:rPr>
              <w:t>(2) Aynı alacak için birden çok taşınmazın rehnedildiği diğer hâllerde, her taşınmazın alacağın ne miktarı için güvence oluşturduğu rehin kurulurken belirtilir.</w:t>
            </w:r>
          </w:p>
          <w:p w:rsidR="00155AF4" w:rsidRPr="00A23740" w:rsidRDefault="00155AF4" w:rsidP="009431FF">
            <w:pPr>
              <w:rPr>
                <w:b/>
                <w:bCs/>
                <w:strike/>
                <w:color w:val="FF0000"/>
                <w:szCs w:val="24"/>
              </w:rPr>
            </w:pPr>
          </w:p>
          <w:p w:rsidR="00155AF4" w:rsidRPr="00A23740" w:rsidRDefault="00155AF4" w:rsidP="009431FF">
            <w:pPr>
              <w:rPr>
                <w:b/>
                <w:bCs/>
                <w:strike/>
                <w:color w:val="FF0000"/>
                <w:szCs w:val="24"/>
              </w:rPr>
            </w:pPr>
            <w:r w:rsidRPr="00A23740">
              <w:rPr>
                <w:b/>
                <w:bCs/>
                <w:strike/>
                <w:color w:val="FF0000"/>
                <w:szCs w:val="24"/>
              </w:rPr>
              <w:t>(3) Aksine bir anlaşma bulunmadıkça, tapu idaresi, re'sen güvenceyi taşınmazların her birine değeri oranında dağıtır.</w:t>
            </w:r>
          </w:p>
          <w:p w:rsidR="00155AF4" w:rsidRPr="00A23740" w:rsidRDefault="00155AF4" w:rsidP="009431FF">
            <w:pPr>
              <w:rPr>
                <w:b/>
                <w:bCs/>
                <w:strike/>
                <w:color w:val="FF0000"/>
                <w:szCs w:val="24"/>
              </w:rPr>
            </w:pPr>
          </w:p>
          <w:p w:rsidR="00155AF4" w:rsidRPr="00A23740" w:rsidRDefault="00155AF4" w:rsidP="009431FF">
            <w:pPr>
              <w:rPr>
                <w:b/>
                <w:bCs/>
                <w:strike/>
                <w:color w:val="FF0000"/>
                <w:szCs w:val="24"/>
              </w:rPr>
            </w:pPr>
            <w:r w:rsidRPr="00A23740">
              <w:rPr>
                <w:b/>
                <w:bCs/>
                <w:strike/>
                <w:color w:val="FF0000"/>
                <w:szCs w:val="24"/>
              </w:rPr>
              <w:t>VII. Rehnin paraya çevrilmesi</w:t>
            </w:r>
          </w:p>
          <w:p w:rsidR="00155AF4" w:rsidRPr="00A23740" w:rsidRDefault="00155AF4" w:rsidP="009431FF">
            <w:pPr>
              <w:rPr>
                <w:b/>
                <w:bCs/>
                <w:strike/>
                <w:color w:val="FF0000"/>
                <w:szCs w:val="24"/>
              </w:rPr>
            </w:pPr>
            <w:r w:rsidRPr="00A23740">
              <w:rPr>
                <w:b/>
                <w:bCs/>
                <w:strike/>
                <w:color w:val="FF0000"/>
                <w:szCs w:val="24"/>
              </w:rPr>
              <w:t>1. Paraya çevirme şekli</w:t>
            </w:r>
          </w:p>
          <w:p w:rsidR="00155AF4" w:rsidRPr="00A23740" w:rsidRDefault="00155AF4" w:rsidP="009431FF">
            <w:pPr>
              <w:rPr>
                <w:b/>
                <w:bCs/>
                <w:strike/>
                <w:color w:val="FF0000"/>
                <w:szCs w:val="24"/>
              </w:rPr>
            </w:pPr>
            <w:r w:rsidRPr="00A23740">
              <w:rPr>
                <w:b/>
                <w:bCs/>
                <w:strike/>
                <w:color w:val="FF0000"/>
                <w:szCs w:val="24"/>
              </w:rPr>
              <w:t>Madde 873- (1) Borç ödenmezse alacaklı, alacağını rehinli taşınmazın satış bedelinden elde etme hakkına sahiptir.</w:t>
            </w:r>
          </w:p>
          <w:p w:rsidR="00155AF4" w:rsidRPr="00A23740" w:rsidRDefault="00155AF4" w:rsidP="009431FF">
            <w:pPr>
              <w:rPr>
                <w:b/>
                <w:bCs/>
                <w:strike/>
                <w:color w:val="FF0000"/>
                <w:szCs w:val="24"/>
              </w:rPr>
            </w:pPr>
          </w:p>
          <w:p w:rsidR="00155AF4" w:rsidRPr="00A23740" w:rsidRDefault="00155AF4" w:rsidP="009431FF">
            <w:pPr>
              <w:rPr>
                <w:b/>
                <w:bCs/>
                <w:strike/>
                <w:color w:val="FF0000"/>
                <w:szCs w:val="24"/>
              </w:rPr>
            </w:pPr>
            <w:r w:rsidRPr="00A23740">
              <w:rPr>
                <w:b/>
                <w:bCs/>
                <w:strike/>
                <w:color w:val="FF0000"/>
                <w:szCs w:val="24"/>
              </w:rPr>
              <w:t>(2) Borcun ödenmemesi hâlinde rehinli taşınmazın mülkiyetinin alacaklıya geçeceğine ilişkin sözleşme hükmü geçersizdir.</w:t>
            </w:r>
          </w:p>
          <w:p w:rsidR="00155AF4" w:rsidRPr="00A23740" w:rsidRDefault="00155AF4" w:rsidP="009431FF">
            <w:pPr>
              <w:rPr>
                <w:b/>
                <w:bCs/>
                <w:strike/>
                <w:color w:val="FF0000"/>
                <w:szCs w:val="24"/>
              </w:rPr>
            </w:pPr>
          </w:p>
          <w:p w:rsidR="00155AF4" w:rsidRPr="00A23740" w:rsidRDefault="00155AF4" w:rsidP="009431FF">
            <w:pPr>
              <w:rPr>
                <w:b/>
                <w:bCs/>
                <w:strike/>
                <w:color w:val="FF0000"/>
                <w:szCs w:val="24"/>
              </w:rPr>
            </w:pPr>
            <w:r w:rsidRPr="00A23740">
              <w:rPr>
                <w:b/>
                <w:bCs/>
                <w:strike/>
                <w:color w:val="FF0000"/>
                <w:szCs w:val="24"/>
              </w:rPr>
              <w:t>(3) Aynı alacak için birden çok taşınmazın rehnedilmiş olması hâlinde, rehnin paraya çevrilmesi istemi, taşınmazların tamamı hakkında yapılır. Bununla birlikte, icra dairesi onlardan ancak gerektiği kadarını paraya çevirir</w:t>
            </w: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F843FB" w:rsidRPr="00A23740" w:rsidRDefault="00155AF4" w:rsidP="009431FF">
            <w:pPr>
              <w:tabs>
                <w:tab w:val="left" w:pos="567"/>
              </w:tabs>
              <w:rPr>
                <w:b/>
                <w:bCs/>
                <w:snapToGrid w:val="0"/>
                <w:color w:val="0000FF"/>
                <w:szCs w:val="24"/>
                <w:lang w:val="x-none" w:eastAsia="x-none"/>
              </w:rPr>
            </w:pPr>
            <w:r w:rsidRPr="00A23740">
              <w:rPr>
                <w:b/>
                <w:bCs/>
                <w:snapToGrid w:val="0"/>
                <w:color w:val="0000FF"/>
                <w:szCs w:val="24"/>
                <w:lang w:val="x-none" w:eastAsia="x-none"/>
              </w:rPr>
              <w:t>Birden çok taşınmaz üzerinde</w:t>
            </w:r>
            <w:r w:rsidR="00F843FB" w:rsidRPr="00A23740">
              <w:rPr>
                <w:b/>
                <w:bCs/>
                <w:snapToGrid w:val="0"/>
                <w:color w:val="0000FF"/>
                <w:szCs w:val="24"/>
                <w:lang w:val="x-none" w:eastAsia="x-none"/>
              </w:rPr>
              <w:t xml:space="preserve"> tek bir ipotek kurulmuş olması</w:t>
            </w:r>
          </w:p>
          <w:p w:rsidR="00155AF4" w:rsidRPr="00A23740" w:rsidRDefault="00A9749A" w:rsidP="009431FF">
            <w:pPr>
              <w:tabs>
                <w:tab w:val="left" w:pos="567"/>
              </w:tabs>
              <w:rPr>
                <w:b/>
                <w:bCs/>
                <w:snapToGrid w:val="0"/>
                <w:color w:val="0000FF"/>
                <w:szCs w:val="24"/>
                <w:lang w:val="x-none" w:eastAsia="x-none"/>
              </w:rPr>
            </w:pPr>
            <w:r w:rsidRPr="00A23740">
              <w:rPr>
                <w:b/>
                <w:bCs/>
                <w:color w:val="0000FF"/>
                <w:szCs w:val="24"/>
                <w:lang w:val="x-none" w:eastAsia="x-none"/>
              </w:rPr>
              <w:t>MADDE 132</w:t>
            </w:r>
            <w:r w:rsidR="00155AF4" w:rsidRPr="00A23740">
              <w:rPr>
                <w:b/>
                <w:bCs/>
                <w:color w:val="0000FF"/>
                <w:szCs w:val="24"/>
                <w:lang w:val="x-none" w:eastAsia="x-none"/>
              </w:rPr>
              <w:t>-</w:t>
            </w:r>
            <w:r w:rsidR="00155AF4" w:rsidRPr="00A23740">
              <w:rPr>
                <w:b/>
                <w:bCs/>
                <w:snapToGrid w:val="0"/>
                <w:color w:val="0000FF"/>
                <w:szCs w:val="24"/>
                <w:lang w:val="x-none" w:eastAsia="x-none"/>
              </w:rPr>
              <w:t xml:space="preserve"> (1) Takip konusu ipotek aynı kişinin mülkiyetinde olan birden fazla taşınmaz üzerinde kurulmuş</w:t>
            </w:r>
            <w:r w:rsidR="00E56D84" w:rsidRPr="00001224">
              <w:rPr>
                <w:b/>
                <w:bCs/>
                <w:snapToGrid w:val="0"/>
                <w:color w:val="0000FF"/>
                <w:szCs w:val="24"/>
                <w:lang w:val="x-none" w:eastAsia="x-none"/>
              </w:rPr>
              <w:t>sa,</w:t>
            </w:r>
            <w:r w:rsidR="00155AF4" w:rsidRPr="00A23740">
              <w:rPr>
                <w:b/>
                <w:bCs/>
                <w:snapToGrid w:val="0"/>
                <w:color w:val="538135"/>
                <w:szCs w:val="24"/>
                <w:lang w:val="x-none" w:eastAsia="x-none"/>
              </w:rPr>
              <w:t xml:space="preserve"> </w:t>
            </w:r>
            <w:r w:rsidR="00155AF4" w:rsidRPr="00A23740">
              <w:rPr>
                <w:b/>
                <w:bCs/>
                <w:snapToGrid w:val="0"/>
                <w:color w:val="0000FF"/>
                <w:szCs w:val="24"/>
                <w:lang w:val="x-none" w:eastAsia="x-none"/>
              </w:rPr>
              <w:t xml:space="preserve">sadece takip alacaklısının ve sıra </w:t>
            </w:r>
            <w:r w:rsidR="00700268" w:rsidRPr="00A23740">
              <w:rPr>
                <w:b/>
                <w:bCs/>
                <w:snapToGrid w:val="0"/>
                <w:color w:val="0000FF"/>
                <w:szCs w:val="24"/>
                <w:lang w:eastAsia="x-none"/>
              </w:rPr>
              <w:t xml:space="preserve">itibarıyla </w:t>
            </w:r>
            <w:r w:rsidR="00155AF4" w:rsidRPr="00A23740">
              <w:rPr>
                <w:b/>
                <w:bCs/>
                <w:snapToGrid w:val="0"/>
                <w:color w:val="0000FF"/>
                <w:szCs w:val="24"/>
                <w:lang w:val="x-none" w:eastAsia="x-none"/>
              </w:rPr>
              <w:t>takip alacaklısından önce gelen rehinli alacaklıların alacaklarını karşılamaya yetecek sayıda taşınmaz paraya çevrilir. Paraya çevrilme yapılırken sıra</w:t>
            </w:r>
            <w:r w:rsidR="00700268" w:rsidRPr="00A23740">
              <w:rPr>
                <w:b/>
                <w:bCs/>
                <w:snapToGrid w:val="0"/>
                <w:color w:val="0000FF"/>
                <w:szCs w:val="24"/>
                <w:lang w:eastAsia="x-none"/>
              </w:rPr>
              <w:t xml:space="preserve"> itibarıyla</w:t>
            </w:r>
            <w:r w:rsidR="00155AF4" w:rsidRPr="00A23740">
              <w:rPr>
                <w:b/>
                <w:bCs/>
                <w:snapToGrid w:val="0"/>
                <w:color w:val="0000FF"/>
                <w:szCs w:val="24"/>
                <w:lang w:val="x-none" w:eastAsia="x-none"/>
              </w:rPr>
              <w:t xml:space="preserve"> takip alacaklısından sonra gelen rehinli alacaklıların bulunmadığı </w:t>
            </w:r>
            <w:r w:rsidR="00155AF4" w:rsidRPr="00A23740">
              <w:rPr>
                <w:rStyle w:val="MaviChar"/>
              </w:rPr>
              <w:t>taşınmazlara öncelik verilir.</w:t>
            </w:r>
          </w:p>
          <w:p w:rsidR="00155AF4" w:rsidRPr="00A23740" w:rsidRDefault="00155AF4" w:rsidP="009431FF">
            <w:pPr>
              <w:tabs>
                <w:tab w:val="left" w:pos="567"/>
              </w:tabs>
              <w:autoSpaceDE w:val="0"/>
              <w:autoSpaceDN w:val="0"/>
              <w:adjustRightInd w:val="0"/>
              <w:rPr>
                <w:b/>
                <w:iCs/>
                <w:snapToGrid w:val="0"/>
                <w:color w:val="0000FF"/>
                <w:szCs w:val="24"/>
              </w:rPr>
            </w:pPr>
          </w:p>
          <w:p w:rsidR="00155AF4" w:rsidRPr="00A23740" w:rsidRDefault="00155AF4" w:rsidP="009431FF">
            <w:pPr>
              <w:tabs>
                <w:tab w:val="left" w:pos="566"/>
              </w:tabs>
              <w:rPr>
                <w:b/>
                <w:bCs/>
                <w:color w:val="0000FF"/>
                <w:szCs w:val="24"/>
                <w:lang w:val="x-none" w:eastAsia="x-none"/>
              </w:rPr>
            </w:pPr>
            <w:r w:rsidRPr="00A23740">
              <w:rPr>
                <w:b/>
                <w:bCs/>
                <w:snapToGrid w:val="0"/>
                <w:color w:val="0000FF"/>
                <w:szCs w:val="24"/>
                <w:lang w:val="x-none" w:eastAsia="x-none"/>
              </w:rPr>
              <w:t>(2) Üzerlerinde birlikte ipotek kurulmuş olan taşınmazlar farklı kişilerin mülkiyetinde bulunursa</w:t>
            </w:r>
            <w:r w:rsidR="00E56D84" w:rsidRPr="00001224">
              <w:rPr>
                <w:b/>
                <w:bCs/>
                <w:snapToGrid w:val="0"/>
                <w:color w:val="0000FF"/>
                <w:szCs w:val="24"/>
                <w:lang w:val="x-none" w:eastAsia="x-none"/>
              </w:rPr>
              <w:t>,</w:t>
            </w:r>
            <w:r w:rsidRPr="00A23740">
              <w:rPr>
                <w:b/>
                <w:bCs/>
                <w:snapToGrid w:val="0"/>
                <w:color w:val="0000FF"/>
                <w:szCs w:val="24"/>
                <w:lang w:val="x-none" w:eastAsia="x-none"/>
              </w:rPr>
              <w:t xml:space="preserve"> </w:t>
            </w:r>
            <w:r w:rsidR="00700268" w:rsidRPr="00A23740">
              <w:rPr>
                <w:b/>
                <w:bCs/>
                <w:snapToGrid w:val="0"/>
                <w:color w:val="0000FF"/>
                <w:szCs w:val="24"/>
                <w:lang w:eastAsia="x-none"/>
              </w:rPr>
              <w:t xml:space="preserve">önce </w:t>
            </w:r>
            <w:r w:rsidRPr="00A23740">
              <w:rPr>
                <w:b/>
                <w:bCs/>
                <w:snapToGrid w:val="0"/>
                <w:color w:val="0000FF"/>
                <w:szCs w:val="24"/>
                <w:lang w:val="x-none" w:eastAsia="x-none"/>
              </w:rPr>
              <w:t xml:space="preserve">borçluya ait olan taşınmazlar paraya çevrilir. </w:t>
            </w:r>
            <w:r w:rsidR="00700268" w:rsidRPr="00A23740">
              <w:rPr>
                <w:b/>
                <w:bCs/>
                <w:color w:val="0000FF"/>
                <w:szCs w:val="24"/>
                <w:lang w:eastAsia="x-none"/>
              </w:rPr>
              <w:t>Borçluya ait taşınmazların satış bedelinin alacağı karşılamaması h</w:t>
            </w:r>
            <w:r w:rsidR="00F906A7" w:rsidRPr="00A23740">
              <w:rPr>
                <w:b/>
                <w:bCs/>
                <w:color w:val="0000FF"/>
                <w:szCs w:val="24"/>
                <w:lang w:eastAsia="x-none"/>
              </w:rPr>
              <w:t>â</w:t>
            </w:r>
            <w:r w:rsidR="00700268" w:rsidRPr="00A23740">
              <w:rPr>
                <w:b/>
                <w:bCs/>
                <w:color w:val="0000FF"/>
                <w:szCs w:val="24"/>
                <w:lang w:eastAsia="x-none"/>
              </w:rPr>
              <w:t>linde</w:t>
            </w:r>
            <w:r w:rsidR="00E56D84" w:rsidRPr="00001224">
              <w:rPr>
                <w:b/>
                <w:bCs/>
                <w:color w:val="0000FF"/>
                <w:szCs w:val="24"/>
                <w:lang w:eastAsia="x-none"/>
              </w:rPr>
              <w:t>,</w:t>
            </w:r>
            <w:r w:rsidR="00700268" w:rsidRPr="00A23740">
              <w:rPr>
                <w:b/>
                <w:bCs/>
                <w:color w:val="0000FF"/>
                <w:szCs w:val="24"/>
                <w:lang w:eastAsia="x-none"/>
              </w:rPr>
              <w:t xml:space="preserve"> üçüncü kişilere ait taşınmazların tamamı paraya çevrilir.</w:t>
            </w:r>
          </w:p>
        </w:tc>
      </w:tr>
      <w:tr w:rsidR="00D8122F" w:rsidRPr="00A23740" w:rsidTr="009431FF">
        <w:tc>
          <w:tcPr>
            <w:tcW w:w="5000" w:type="pct"/>
            <w:gridSpan w:val="2"/>
            <w:shd w:val="clear" w:color="auto" w:fill="DEEAF6"/>
          </w:tcPr>
          <w:p w:rsidR="00991BC6" w:rsidRPr="00A23740" w:rsidRDefault="00991BC6" w:rsidP="009431FF">
            <w:pPr>
              <w:tabs>
                <w:tab w:val="left" w:pos="567"/>
              </w:tabs>
              <w:ind w:firstLine="567"/>
              <w:rPr>
                <w:b/>
                <w:bCs/>
                <w:color w:val="000000"/>
                <w:szCs w:val="24"/>
                <w:lang w:eastAsia="x-none"/>
              </w:rPr>
            </w:pPr>
          </w:p>
          <w:p w:rsidR="009510DD" w:rsidRPr="00A23740" w:rsidRDefault="00A9749A" w:rsidP="009431FF">
            <w:pPr>
              <w:tabs>
                <w:tab w:val="left" w:pos="567"/>
              </w:tabs>
              <w:ind w:firstLine="567"/>
              <w:rPr>
                <w:bCs/>
                <w:snapToGrid w:val="0"/>
                <w:color w:val="000000"/>
                <w:szCs w:val="24"/>
                <w:lang w:eastAsia="x-none"/>
              </w:rPr>
            </w:pPr>
            <w:r w:rsidRPr="00A23740">
              <w:rPr>
                <w:b/>
                <w:bCs/>
                <w:color w:val="000000"/>
                <w:szCs w:val="24"/>
                <w:lang w:eastAsia="x-none"/>
              </w:rPr>
              <w:t>MADDE 132</w:t>
            </w:r>
            <w:r w:rsidR="00D8122F" w:rsidRPr="00A23740">
              <w:rPr>
                <w:b/>
                <w:bCs/>
                <w:color w:val="000000"/>
                <w:szCs w:val="24"/>
                <w:lang w:eastAsia="x-none"/>
              </w:rPr>
              <w:t>-</w:t>
            </w:r>
            <w:r w:rsidR="009510DD" w:rsidRPr="00A23740">
              <w:rPr>
                <w:b/>
                <w:bCs/>
                <w:color w:val="000000"/>
                <w:szCs w:val="24"/>
                <w:lang w:eastAsia="x-none"/>
              </w:rPr>
              <w:t xml:space="preserve"> </w:t>
            </w:r>
            <w:r w:rsidR="00A03F65" w:rsidRPr="00A23740">
              <w:rPr>
                <w:bCs/>
                <w:snapToGrid w:val="0"/>
                <w:color w:val="000000"/>
                <w:szCs w:val="24"/>
                <w:lang w:val="x-none" w:eastAsia="x-none"/>
              </w:rPr>
              <w:t xml:space="preserve">Maddeyle, </w:t>
            </w:r>
            <w:r w:rsidR="00267AA7" w:rsidRPr="00A23740">
              <w:rPr>
                <w:bCs/>
                <w:snapToGrid w:val="0"/>
                <w:color w:val="000000"/>
                <w:szCs w:val="24"/>
                <w:lang w:val="x-none" w:eastAsia="x-none"/>
              </w:rPr>
              <w:t xml:space="preserve">birden </w:t>
            </w:r>
            <w:r w:rsidR="00A03F65" w:rsidRPr="00A23740">
              <w:rPr>
                <w:bCs/>
                <w:snapToGrid w:val="0"/>
                <w:color w:val="000000"/>
                <w:szCs w:val="24"/>
                <w:lang w:val="x-none" w:eastAsia="x-none"/>
              </w:rPr>
              <w:t>çok taşınmaz üzerinde tek bir ipotek kurulmuş olması</w:t>
            </w:r>
            <w:r w:rsidR="00BF166F" w:rsidRPr="00A23740">
              <w:rPr>
                <w:bCs/>
                <w:snapToGrid w:val="0"/>
                <w:color w:val="000000"/>
                <w:szCs w:val="24"/>
                <w:lang w:eastAsia="x-none"/>
              </w:rPr>
              <w:t xml:space="preserve"> durumuna </w:t>
            </w:r>
            <w:r w:rsidR="00A03F65" w:rsidRPr="00A23740">
              <w:rPr>
                <w:bCs/>
                <w:snapToGrid w:val="0"/>
                <w:color w:val="000000"/>
                <w:szCs w:val="24"/>
                <w:lang w:val="x-none" w:eastAsia="x-none"/>
              </w:rPr>
              <w:t xml:space="preserve"> ilişkin hususlar düzenlenmektedir. </w:t>
            </w:r>
            <w:r w:rsidR="009510DD" w:rsidRPr="00A23740">
              <w:rPr>
                <w:bCs/>
                <w:snapToGrid w:val="0"/>
                <w:color w:val="000000"/>
                <w:szCs w:val="24"/>
                <w:lang w:val="x-none" w:eastAsia="x-none"/>
              </w:rPr>
              <w:t xml:space="preserve">Taslağın </w:t>
            </w:r>
            <w:r w:rsidR="00A356E2" w:rsidRPr="00001224">
              <w:rPr>
                <w:snapToGrid w:val="0"/>
                <w:color w:val="000000"/>
                <w:szCs w:val="24"/>
              </w:rPr>
              <w:t>132 nci</w:t>
            </w:r>
            <w:r w:rsidR="009510DD" w:rsidRPr="00A23740">
              <w:rPr>
                <w:bCs/>
                <w:snapToGrid w:val="0"/>
                <w:color w:val="000000"/>
                <w:szCs w:val="24"/>
                <w:lang w:val="x-none" w:eastAsia="x-none"/>
              </w:rPr>
              <w:t xml:space="preserve"> maddesi “Birden çok taşınmaz üzerinde tek bir ipotek kurulmuş olması</w:t>
            </w:r>
            <w:r w:rsidR="009510DD" w:rsidRPr="00A23740">
              <w:rPr>
                <w:bCs/>
                <w:color w:val="000000"/>
              </w:rPr>
              <w:t>” başlığını taşımakta olup</w:t>
            </w:r>
            <w:r w:rsidR="008F75C3" w:rsidRPr="00A23740">
              <w:rPr>
                <w:bCs/>
                <w:color w:val="000000"/>
              </w:rPr>
              <w:t>,</w:t>
            </w:r>
            <w:r w:rsidR="009510DD" w:rsidRPr="00A23740">
              <w:rPr>
                <w:bCs/>
                <w:color w:val="000000"/>
              </w:rPr>
              <w:t xml:space="preserve"> </w:t>
            </w:r>
            <w:r w:rsidR="008F75C3" w:rsidRPr="00001224">
              <w:rPr>
                <w:snapToGrid w:val="0"/>
                <w:color w:val="000000"/>
                <w:szCs w:val="24"/>
              </w:rPr>
              <w:t xml:space="preserve">4721 sayılı </w:t>
            </w:r>
            <w:r w:rsidR="008F75C3" w:rsidRPr="00001224">
              <w:rPr>
                <w:snapToGrid w:val="0"/>
                <w:color w:val="000000"/>
                <w:szCs w:val="24"/>
                <w:lang w:val="x-none"/>
              </w:rPr>
              <w:t>Kanunun</w:t>
            </w:r>
            <w:r w:rsidR="008F75C3" w:rsidRPr="00A23740">
              <w:rPr>
                <w:b/>
                <w:bCs/>
                <w:color w:val="000000"/>
              </w:rPr>
              <w:t xml:space="preserve"> </w:t>
            </w:r>
            <w:r w:rsidR="009510DD" w:rsidRPr="00A23740">
              <w:rPr>
                <w:bCs/>
                <w:color w:val="000000"/>
              </w:rPr>
              <w:t>855 inci mad</w:t>
            </w:r>
            <w:r w:rsidR="00991BC6" w:rsidRPr="00A23740">
              <w:rPr>
                <w:bCs/>
                <w:color w:val="000000"/>
              </w:rPr>
              <w:t>desi ile 873 üncü maddesinin üç</w:t>
            </w:r>
            <w:r w:rsidR="009510DD" w:rsidRPr="00A23740">
              <w:rPr>
                <w:bCs/>
                <w:color w:val="000000"/>
              </w:rPr>
              <w:t xml:space="preserve">üncü fıkrası hükümlerinin uygulama şeklini göstermek üzere </w:t>
            </w:r>
            <w:r w:rsidR="00700268" w:rsidRPr="00A23740">
              <w:rPr>
                <w:bCs/>
                <w:color w:val="000000"/>
              </w:rPr>
              <w:t>K</w:t>
            </w:r>
            <w:r w:rsidR="009510DD" w:rsidRPr="00A23740">
              <w:rPr>
                <w:bCs/>
                <w:color w:val="000000"/>
              </w:rPr>
              <w:t>anun metnine ilav</w:t>
            </w:r>
            <w:r w:rsidR="00991BC6" w:rsidRPr="00A23740">
              <w:rPr>
                <w:bCs/>
                <w:color w:val="000000"/>
              </w:rPr>
              <w:t>e</w:t>
            </w:r>
            <w:r w:rsidR="009510DD" w:rsidRPr="00A23740">
              <w:rPr>
                <w:bCs/>
                <w:color w:val="000000"/>
              </w:rPr>
              <w:t xml:space="preserve"> edilmektedir. Bu yeni hükmün mehazı İ</w:t>
            </w:r>
            <w:r w:rsidR="009510DD" w:rsidRPr="00A23740">
              <w:rPr>
                <w:iCs/>
                <w:color w:val="000000"/>
                <w:szCs w:val="24"/>
              </w:rPr>
              <w:t>sviçre Taşınmazların Paraya Çevrilmesi Tüzüğünün 107 ve 108 inci maddeleridir.</w:t>
            </w:r>
          </w:p>
          <w:p w:rsidR="009510DD" w:rsidRPr="00A23740" w:rsidRDefault="009510DD" w:rsidP="009431FF">
            <w:pPr>
              <w:tabs>
                <w:tab w:val="left" w:pos="567"/>
              </w:tabs>
              <w:ind w:firstLine="567"/>
              <w:rPr>
                <w:b/>
                <w:bCs/>
                <w:snapToGrid w:val="0"/>
                <w:color w:val="000000"/>
                <w:szCs w:val="24"/>
                <w:lang w:eastAsia="x-none"/>
              </w:rPr>
            </w:pPr>
            <w:r w:rsidRPr="00A23740">
              <w:rPr>
                <w:bCs/>
                <w:color w:val="000000"/>
                <w:szCs w:val="24"/>
                <w:lang w:eastAsia="x-none"/>
              </w:rPr>
              <w:t>Maddenin birinci fıkrasında</w:t>
            </w:r>
            <w:r w:rsidRPr="00A23740">
              <w:rPr>
                <w:bCs/>
                <w:snapToGrid w:val="0"/>
                <w:color w:val="000000"/>
                <w:szCs w:val="24"/>
                <w:lang w:val="x-none" w:eastAsia="x-none"/>
              </w:rPr>
              <w:t xml:space="preserve"> takip konusu ipoteğin aynı kişinin mülkiyetinde olan birden fazla taşınmaz üzerinde kurulmuş </w:t>
            </w:r>
            <w:r w:rsidR="00BF166F" w:rsidRPr="00A23740">
              <w:rPr>
                <w:bCs/>
                <w:snapToGrid w:val="0"/>
                <w:color w:val="000000"/>
                <w:szCs w:val="24"/>
                <w:lang w:eastAsia="x-none"/>
              </w:rPr>
              <w:t>bulun</w:t>
            </w:r>
            <w:r w:rsidRPr="00A23740">
              <w:rPr>
                <w:bCs/>
                <w:snapToGrid w:val="0"/>
                <w:color w:val="000000"/>
                <w:szCs w:val="24"/>
                <w:lang w:val="x-none" w:eastAsia="x-none"/>
              </w:rPr>
              <w:t>ması h</w:t>
            </w:r>
            <w:r w:rsidR="00F906A7" w:rsidRPr="00A23740">
              <w:rPr>
                <w:bCs/>
                <w:snapToGrid w:val="0"/>
                <w:color w:val="000000"/>
                <w:szCs w:val="24"/>
                <w:lang w:eastAsia="x-none"/>
              </w:rPr>
              <w:t>â</w:t>
            </w:r>
            <w:r w:rsidRPr="00A23740">
              <w:rPr>
                <w:bCs/>
                <w:snapToGrid w:val="0"/>
                <w:color w:val="000000"/>
                <w:szCs w:val="24"/>
                <w:lang w:val="x-none" w:eastAsia="x-none"/>
              </w:rPr>
              <w:t xml:space="preserve">linde sadece takip alacaklısının ve sıra </w:t>
            </w:r>
            <w:r w:rsidR="00700268" w:rsidRPr="00001224">
              <w:rPr>
                <w:snapToGrid w:val="0"/>
                <w:color w:val="000000"/>
                <w:szCs w:val="24"/>
                <w:lang w:val="x-none" w:eastAsia="x-none"/>
              </w:rPr>
              <w:t>itibarıyla</w:t>
            </w:r>
            <w:r w:rsidR="00700268" w:rsidRPr="00A23740">
              <w:rPr>
                <w:bCs/>
                <w:snapToGrid w:val="0"/>
                <w:color w:val="000000"/>
                <w:szCs w:val="24"/>
                <w:lang w:eastAsia="x-none"/>
              </w:rPr>
              <w:t xml:space="preserve"> </w:t>
            </w:r>
            <w:r w:rsidRPr="00A23740">
              <w:rPr>
                <w:bCs/>
                <w:snapToGrid w:val="0"/>
                <w:color w:val="000000"/>
                <w:szCs w:val="24"/>
                <w:lang w:val="x-none" w:eastAsia="x-none"/>
              </w:rPr>
              <w:t xml:space="preserve">takip alacaklısından önce gelen rehinli alacaklıların alacaklarını karşılamaya yetecek sayıda taşınmazın paraya </w:t>
            </w:r>
            <w:r w:rsidR="00BF166F" w:rsidRPr="00A23740">
              <w:rPr>
                <w:bCs/>
                <w:snapToGrid w:val="0"/>
                <w:color w:val="000000"/>
                <w:szCs w:val="24"/>
                <w:lang w:eastAsia="x-none"/>
              </w:rPr>
              <w:t xml:space="preserve">çevrilmesi </w:t>
            </w:r>
            <w:r w:rsidRPr="00A23740">
              <w:rPr>
                <w:bCs/>
                <w:snapToGrid w:val="0"/>
                <w:color w:val="000000"/>
                <w:szCs w:val="24"/>
                <w:lang w:val="x-none" w:eastAsia="x-none"/>
              </w:rPr>
              <w:t>öngörülmüştür. Aynı fıkra</w:t>
            </w:r>
            <w:r w:rsidR="00BF166F" w:rsidRPr="00A23740">
              <w:rPr>
                <w:bCs/>
                <w:snapToGrid w:val="0"/>
                <w:color w:val="000000"/>
                <w:szCs w:val="24"/>
                <w:lang w:eastAsia="x-none"/>
              </w:rPr>
              <w:t>da</w:t>
            </w:r>
            <w:r w:rsidRPr="00A23740">
              <w:rPr>
                <w:bCs/>
                <w:snapToGrid w:val="0"/>
                <w:color w:val="000000"/>
                <w:szCs w:val="24"/>
                <w:lang w:val="x-none" w:eastAsia="x-none"/>
              </w:rPr>
              <w:t xml:space="preserve"> ayrıca paraya çevrilme yapılırken sıra </w:t>
            </w:r>
            <w:r w:rsidR="00700268" w:rsidRPr="00001224">
              <w:rPr>
                <w:snapToGrid w:val="0"/>
                <w:color w:val="000000"/>
                <w:szCs w:val="24"/>
                <w:lang w:val="x-none" w:eastAsia="x-none"/>
              </w:rPr>
              <w:t>itibarıyla</w:t>
            </w:r>
            <w:r w:rsidR="00700268" w:rsidRPr="00A23740">
              <w:rPr>
                <w:bCs/>
                <w:snapToGrid w:val="0"/>
                <w:color w:val="000000"/>
                <w:szCs w:val="24"/>
                <w:lang w:eastAsia="x-none"/>
              </w:rPr>
              <w:t xml:space="preserve"> </w:t>
            </w:r>
            <w:r w:rsidRPr="00A23740">
              <w:rPr>
                <w:bCs/>
                <w:snapToGrid w:val="0"/>
                <w:color w:val="000000"/>
                <w:szCs w:val="24"/>
                <w:lang w:val="x-none" w:eastAsia="x-none"/>
              </w:rPr>
              <w:t xml:space="preserve">takip alacaklısından sonra gelen rehinli alacaklıların bulunmadığı </w:t>
            </w:r>
            <w:r w:rsidRPr="00A23740">
              <w:rPr>
                <w:rStyle w:val="MaviChar"/>
                <w:b w:val="0"/>
                <w:color w:val="000000"/>
              </w:rPr>
              <w:t xml:space="preserve">taşınmazlara öncelik </w:t>
            </w:r>
            <w:r w:rsidR="00BF166F" w:rsidRPr="00A23740">
              <w:rPr>
                <w:rStyle w:val="MaviChar"/>
                <w:b w:val="0"/>
                <w:color w:val="000000"/>
                <w:lang w:val="tr-TR"/>
              </w:rPr>
              <w:t xml:space="preserve">verilmesi </w:t>
            </w:r>
            <w:r w:rsidRPr="00A23740">
              <w:rPr>
                <w:rStyle w:val="MaviChar"/>
                <w:b w:val="0"/>
                <w:color w:val="000000"/>
              </w:rPr>
              <w:t>kabul edilmiştir</w:t>
            </w:r>
            <w:r w:rsidR="00991BC6" w:rsidRPr="00A23740">
              <w:rPr>
                <w:rStyle w:val="MaviChar"/>
                <w:b w:val="0"/>
                <w:color w:val="000000"/>
                <w:lang w:val="tr-TR"/>
              </w:rPr>
              <w:t>.</w:t>
            </w:r>
          </w:p>
          <w:p w:rsidR="00D8122F" w:rsidRPr="00A23740" w:rsidRDefault="009510DD" w:rsidP="009431FF">
            <w:pPr>
              <w:tabs>
                <w:tab w:val="left" w:pos="567"/>
              </w:tabs>
              <w:ind w:firstLine="567"/>
              <w:rPr>
                <w:b/>
                <w:bCs/>
                <w:color w:val="000000"/>
                <w:szCs w:val="24"/>
                <w:lang w:eastAsia="x-none"/>
              </w:rPr>
            </w:pPr>
            <w:r w:rsidRPr="00A23740">
              <w:rPr>
                <w:bCs/>
                <w:snapToGrid w:val="0"/>
                <w:color w:val="000000"/>
                <w:szCs w:val="24"/>
                <w:lang w:eastAsia="x-none"/>
              </w:rPr>
              <w:t>Maddenin ikinci fıkrasında</w:t>
            </w:r>
            <w:r w:rsidR="00BF166F" w:rsidRPr="00A23740">
              <w:rPr>
                <w:bCs/>
                <w:snapToGrid w:val="0"/>
                <w:color w:val="000000"/>
                <w:szCs w:val="24"/>
                <w:lang w:eastAsia="x-none"/>
              </w:rPr>
              <w:t>,</w:t>
            </w:r>
            <w:r w:rsidRPr="00A23740">
              <w:rPr>
                <w:bCs/>
                <w:snapToGrid w:val="0"/>
                <w:color w:val="000000"/>
                <w:szCs w:val="24"/>
                <w:lang w:val="x-none" w:eastAsia="x-none"/>
              </w:rPr>
              <w:t xml:space="preserve"> üzerlerinde birlikte ipotek kurulmuş olan taşınmazların farklı kişilerin mülkiyetinde bulunması h</w:t>
            </w:r>
            <w:r w:rsidR="00F906A7" w:rsidRPr="00A23740">
              <w:rPr>
                <w:bCs/>
                <w:snapToGrid w:val="0"/>
                <w:color w:val="000000"/>
                <w:szCs w:val="24"/>
                <w:lang w:eastAsia="x-none"/>
              </w:rPr>
              <w:t>â</w:t>
            </w:r>
            <w:r w:rsidRPr="00A23740">
              <w:rPr>
                <w:bCs/>
                <w:snapToGrid w:val="0"/>
                <w:color w:val="000000"/>
                <w:szCs w:val="24"/>
                <w:lang w:val="x-none" w:eastAsia="x-none"/>
              </w:rPr>
              <w:t>linde ise öncelikle borçluya ait olan taşınmazların paraya çevrileceği; üçüncü kişilere ait taşınmazların ancak borçluya ait taşınmazların satış bedelinin alacağı karşılamaması h</w:t>
            </w:r>
            <w:r w:rsidR="00F906A7" w:rsidRPr="00A23740">
              <w:rPr>
                <w:bCs/>
                <w:snapToGrid w:val="0"/>
                <w:color w:val="000000"/>
                <w:szCs w:val="24"/>
                <w:lang w:eastAsia="x-none"/>
              </w:rPr>
              <w:t>â</w:t>
            </w:r>
            <w:r w:rsidRPr="00A23740">
              <w:rPr>
                <w:bCs/>
                <w:snapToGrid w:val="0"/>
                <w:color w:val="000000"/>
                <w:szCs w:val="24"/>
                <w:lang w:val="x-none" w:eastAsia="x-none"/>
              </w:rPr>
              <w:t xml:space="preserve">linde paraya çevrileceği; </w:t>
            </w:r>
            <w:r w:rsidR="00BF166F" w:rsidRPr="00A23740">
              <w:rPr>
                <w:bCs/>
                <w:snapToGrid w:val="0"/>
                <w:color w:val="000000"/>
                <w:szCs w:val="24"/>
                <w:lang w:eastAsia="x-none"/>
              </w:rPr>
              <w:t xml:space="preserve">ama </w:t>
            </w:r>
            <w:r w:rsidRPr="00A23740">
              <w:rPr>
                <w:bCs/>
                <w:snapToGrid w:val="0"/>
                <w:color w:val="000000"/>
                <w:szCs w:val="24"/>
                <w:lang w:val="x-none" w:eastAsia="x-none"/>
              </w:rPr>
              <w:t>b</w:t>
            </w:r>
            <w:r w:rsidRPr="00A23740">
              <w:rPr>
                <w:bCs/>
                <w:color w:val="000000"/>
                <w:szCs w:val="24"/>
                <w:lang w:val="x-none" w:eastAsia="x-none"/>
              </w:rPr>
              <w:t>u son durumda üçüncü kişilere ait bütün taşınmazlar</w:t>
            </w:r>
            <w:r w:rsidR="00BF166F" w:rsidRPr="00A23740">
              <w:rPr>
                <w:bCs/>
                <w:color w:val="000000"/>
                <w:szCs w:val="24"/>
                <w:lang w:eastAsia="x-none"/>
              </w:rPr>
              <w:t>ın</w:t>
            </w:r>
            <w:r w:rsidRPr="00A23740">
              <w:rPr>
                <w:bCs/>
                <w:color w:val="000000"/>
                <w:szCs w:val="24"/>
                <w:lang w:val="x-none" w:eastAsia="x-none"/>
              </w:rPr>
              <w:t xml:space="preserve"> paraya</w:t>
            </w:r>
            <w:r w:rsidRPr="00A23740">
              <w:rPr>
                <w:bCs/>
                <w:color w:val="000000"/>
                <w:szCs w:val="24"/>
                <w:lang w:eastAsia="x-none"/>
              </w:rPr>
              <w:t xml:space="preserve"> </w:t>
            </w:r>
            <w:r w:rsidRPr="00A23740">
              <w:rPr>
                <w:bCs/>
                <w:color w:val="000000"/>
                <w:szCs w:val="24"/>
                <w:lang w:val="x-none" w:eastAsia="x-none"/>
              </w:rPr>
              <w:t>çevrilmesinin zorunlu olduğu öngörülmektedir.</w:t>
            </w:r>
          </w:p>
          <w:p w:rsidR="00991BC6" w:rsidRPr="00A23740" w:rsidRDefault="00991BC6" w:rsidP="0080239A">
            <w:pPr>
              <w:tabs>
                <w:tab w:val="left" w:pos="567"/>
              </w:tabs>
              <w:ind w:firstLine="567"/>
              <w:rPr>
                <w:b/>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Alacağın veya rehnin ilamla tesbit edilmiş olması:</w:t>
            </w:r>
          </w:p>
          <w:p w:rsidR="00155AF4" w:rsidRPr="00A23740" w:rsidRDefault="00155AF4" w:rsidP="009431FF">
            <w:pPr>
              <w:tabs>
                <w:tab w:val="left" w:pos="567"/>
              </w:tabs>
              <w:autoSpaceDE w:val="0"/>
              <w:autoSpaceDN w:val="0"/>
              <w:adjustRightInd w:val="0"/>
              <w:rPr>
                <w:strike/>
                <w:color w:val="FF0000"/>
                <w:szCs w:val="24"/>
                <w:lang w:eastAsia="tr-TR"/>
              </w:rPr>
            </w:pPr>
            <w:r w:rsidRPr="00A23740">
              <w:rPr>
                <w:b/>
                <w:bCs/>
                <w:strike/>
                <w:color w:val="FF0000"/>
                <w:szCs w:val="24"/>
                <w:lang w:eastAsia="tr-TR"/>
              </w:rPr>
              <w:t>Madde 150/h – (1) (Ek: 18</w:t>
            </w:r>
            <w:r w:rsidRPr="00A23740">
              <w:rPr>
                <w:b/>
                <w:strike/>
                <w:color w:val="FF0000"/>
                <w:szCs w:val="24"/>
                <w:lang w:eastAsia="tr-TR"/>
              </w:rPr>
              <w:t>/2/1965 - 538/72 md.)</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w:t>
            </w:r>
            <w:r w:rsidRPr="00A23740">
              <w:rPr>
                <w:szCs w:val="24"/>
              </w:rPr>
              <w:t xml:space="preserve"> Alacağın ve</w:t>
            </w:r>
            <w:r w:rsidRPr="00A23740">
              <w:rPr>
                <w:b/>
                <w:strike/>
                <w:color w:val="FF0000"/>
                <w:szCs w:val="24"/>
                <w:lang w:eastAsia="tr-TR"/>
              </w:rPr>
              <w:t>ya</w:t>
            </w:r>
            <w:r w:rsidRPr="00A23740">
              <w:rPr>
                <w:szCs w:val="24"/>
              </w:rPr>
              <w:t xml:space="preserve"> reh</w:t>
            </w:r>
            <w:r w:rsidRPr="00A23740">
              <w:rPr>
                <w:b/>
                <w:bCs/>
                <w:strike/>
                <w:color w:val="FF0000"/>
                <w:szCs w:val="24"/>
              </w:rPr>
              <w:t>in</w:t>
            </w:r>
            <w:r w:rsidRPr="00A23740">
              <w:rPr>
                <w:szCs w:val="24"/>
              </w:rPr>
              <w:t xml:space="preserve"> hakkının </w:t>
            </w:r>
            <w:r w:rsidRPr="00A23740">
              <w:rPr>
                <w:b/>
                <w:strike/>
                <w:color w:val="FF0000"/>
                <w:szCs w:val="24"/>
                <w:lang w:eastAsia="tr-TR"/>
              </w:rPr>
              <w:t>yahut her ikisinin</w:t>
            </w:r>
            <w:r w:rsidRPr="00A23740">
              <w:rPr>
                <w:szCs w:val="24"/>
              </w:rPr>
              <w:t xml:space="preserve"> bir ilamda veya ilam </w:t>
            </w:r>
            <w:r w:rsidRPr="00A23740">
              <w:rPr>
                <w:b/>
                <w:strike/>
                <w:color w:val="FF0000"/>
                <w:szCs w:val="24"/>
                <w:lang w:eastAsia="tr-TR"/>
              </w:rPr>
              <w:t>mahiyetini haiz</w:t>
            </w:r>
            <w:r w:rsidRPr="00A23740">
              <w:rPr>
                <w:szCs w:val="24"/>
              </w:rPr>
              <w:t xml:space="preserve"> belge</w:t>
            </w:r>
            <w:r w:rsidRPr="00A23740">
              <w:rPr>
                <w:b/>
                <w:strike/>
                <w:color w:val="FF0000"/>
                <w:szCs w:val="24"/>
                <w:lang w:eastAsia="tr-TR"/>
              </w:rPr>
              <w:t>ler</w:t>
            </w:r>
            <w:r w:rsidRPr="00A23740">
              <w:rPr>
                <w:szCs w:val="24"/>
              </w:rPr>
              <w:t>de tes</w:t>
            </w:r>
            <w:r w:rsidRPr="00A23740">
              <w:rPr>
                <w:b/>
                <w:strike/>
                <w:color w:val="FF0000"/>
                <w:szCs w:val="24"/>
                <w:lang w:eastAsia="tr-TR"/>
              </w:rPr>
              <w:t>b</w:t>
            </w:r>
            <w:r w:rsidRPr="00A23740">
              <w:rPr>
                <w:szCs w:val="24"/>
              </w:rPr>
              <w:t xml:space="preserve">it edilmiş olması </w:t>
            </w:r>
            <w:r w:rsidRPr="00A23740">
              <w:rPr>
                <w:b/>
                <w:strike/>
                <w:color w:val="FF0000"/>
                <w:szCs w:val="24"/>
                <w:lang w:eastAsia="tr-TR"/>
              </w:rPr>
              <w:t>halinde, ilamların icrasına dair hükümler kıyasen uygulanır.</w:t>
            </w: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İlamlı takibe ilişkin hükümlerin uygulanacağı diğer h</w:t>
            </w:r>
            <w:r w:rsidR="00700268" w:rsidRPr="00A23740">
              <w:rPr>
                <w:b/>
                <w:bCs/>
                <w:color w:val="0000FF"/>
                <w:szCs w:val="24"/>
                <w:lang w:eastAsia="x-none"/>
              </w:rPr>
              <w:t>â</w:t>
            </w:r>
            <w:r w:rsidRPr="00A23740">
              <w:rPr>
                <w:b/>
                <w:bCs/>
                <w:color w:val="0000FF"/>
                <w:szCs w:val="24"/>
                <w:lang w:val="x-none" w:eastAsia="x-none"/>
              </w:rPr>
              <w:t>ller</w:t>
            </w:r>
          </w:p>
          <w:p w:rsidR="00155AF4" w:rsidRPr="00A23740" w:rsidRDefault="00A9749A" w:rsidP="009431FF">
            <w:pPr>
              <w:tabs>
                <w:tab w:val="left" w:pos="567"/>
              </w:tabs>
              <w:rPr>
                <w:b/>
                <w:bCs/>
                <w:color w:val="0000FF"/>
                <w:szCs w:val="24"/>
                <w:lang w:val="x-none" w:eastAsia="x-none"/>
              </w:rPr>
            </w:pPr>
            <w:r w:rsidRPr="00A23740">
              <w:rPr>
                <w:b/>
                <w:bCs/>
                <w:color w:val="0000FF"/>
                <w:szCs w:val="24"/>
                <w:lang w:val="x-none" w:eastAsia="x-none"/>
              </w:rPr>
              <w:t>MADDE 133</w:t>
            </w:r>
            <w:r w:rsidR="00155AF4" w:rsidRPr="00A23740">
              <w:rPr>
                <w:b/>
                <w:bCs/>
                <w:color w:val="0000FF"/>
                <w:szCs w:val="24"/>
                <w:lang w:val="x-none" w:eastAsia="x-none"/>
              </w:rPr>
              <w:t>- (1) Aşağıdaki h</w:t>
            </w:r>
            <w:r w:rsidR="00700268" w:rsidRPr="00A23740">
              <w:rPr>
                <w:b/>
                <w:bCs/>
                <w:color w:val="0000FF"/>
                <w:szCs w:val="24"/>
                <w:lang w:eastAsia="x-none"/>
              </w:rPr>
              <w:t>â</w:t>
            </w:r>
            <w:r w:rsidR="00155AF4" w:rsidRPr="00A23740">
              <w:rPr>
                <w:b/>
                <w:bCs/>
                <w:color w:val="0000FF"/>
                <w:szCs w:val="24"/>
                <w:lang w:val="x-none" w:eastAsia="x-none"/>
              </w:rPr>
              <w:t>llerde ilamların icrası hakkındaki hükümler</w:t>
            </w:r>
            <w:r w:rsidR="00155AF4" w:rsidRPr="00A23740">
              <w:rPr>
                <w:b/>
                <w:bCs/>
                <w:color w:val="0000FF"/>
                <w:szCs w:val="24"/>
                <w:lang w:eastAsia="x-none"/>
              </w:rPr>
              <w:t xml:space="preserve"> </w:t>
            </w:r>
            <w:r w:rsidR="00155AF4" w:rsidRPr="00A23740">
              <w:rPr>
                <w:b/>
                <w:bCs/>
                <w:color w:val="0000FF"/>
                <w:szCs w:val="24"/>
                <w:lang w:val="x-none" w:eastAsia="x-none"/>
              </w:rPr>
              <w:t>niteliğine uygun düştüğü ölçüde uygulanır:</w:t>
            </w:r>
          </w:p>
          <w:p w:rsidR="00155AF4" w:rsidRPr="00A23740" w:rsidRDefault="00155AF4" w:rsidP="009431FF">
            <w:pPr>
              <w:tabs>
                <w:tab w:val="left" w:pos="567"/>
              </w:tabs>
              <w:autoSpaceDE w:val="0"/>
              <w:autoSpaceDN w:val="0"/>
              <w:adjustRightInd w:val="0"/>
              <w:rPr>
                <w:b/>
                <w:bCs/>
                <w:color w:val="0000FF"/>
                <w:szCs w:val="24"/>
              </w:rPr>
            </w:pPr>
          </w:p>
          <w:p w:rsidR="00155AF4" w:rsidRPr="00A23740" w:rsidRDefault="00155AF4" w:rsidP="009431FF">
            <w:pPr>
              <w:tabs>
                <w:tab w:val="left" w:pos="567"/>
              </w:tabs>
              <w:autoSpaceDE w:val="0"/>
              <w:autoSpaceDN w:val="0"/>
              <w:adjustRightInd w:val="0"/>
              <w:rPr>
                <w:b/>
                <w:bCs/>
                <w:color w:val="0000FF"/>
                <w:szCs w:val="24"/>
                <w:lang w:val="x-none" w:eastAsia="x-none"/>
              </w:rPr>
            </w:pPr>
            <w:r w:rsidRPr="00A23740">
              <w:rPr>
                <w:b/>
                <w:bCs/>
                <w:color w:val="0000FF"/>
                <w:szCs w:val="24"/>
              </w:rPr>
              <w:t xml:space="preserve">a) </w:t>
            </w:r>
            <w:r w:rsidRPr="00A23740">
              <w:rPr>
                <w:szCs w:val="24"/>
              </w:rPr>
              <w:t xml:space="preserve">Alacağın ve </w:t>
            </w:r>
            <w:r w:rsidRPr="00A23740">
              <w:rPr>
                <w:b/>
                <w:bCs/>
                <w:color w:val="0000FF"/>
                <w:szCs w:val="24"/>
                <w:lang w:val="x-none" w:eastAsia="x-none"/>
              </w:rPr>
              <w:t>taşınır</w:t>
            </w:r>
            <w:r w:rsidRPr="00A23740">
              <w:rPr>
                <w:szCs w:val="24"/>
              </w:rPr>
              <w:t xml:space="preserve"> reh</w:t>
            </w:r>
            <w:r w:rsidRPr="00A23740">
              <w:rPr>
                <w:b/>
                <w:bCs/>
                <w:color w:val="0000FF"/>
                <w:szCs w:val="24"/>
                <w:lang w:eastAsia="x-none"/>
              </w:rPr>
              <w:t>ni</w:t>
            </w:r>
            <w:r w:rsidRPr="00A23740">
              <w:rPr>
                <w:szCs w:val="24"/>
              </w:rPr>
              <w:t xml:space="preserve"> hakkının bir ilamda veya ilam </w:t>
            </w:r>
            <w:r w:rsidRPr="00A23740">
              <w:rPr>
                <w:b/>
                <w:bCs/>
                <w:color w:val="0000FF"/>
                <w:szCs w:val="24"/>
                <w:lang w:val="x-none" w:eastAsia="x-none"/>
              </w:rPr>
              <w:t>niteliğinde</w:t>
            </w:r>
            <w:r w:rsidRPr="00A23740">
              <w:rPr>
                <w:b/>
                <w:bCs/>
                <w:color w:val="0000FF"/>
                <w:szCs w:val="24"/>
              </w:rPr>
              <w:t xml:space="preserve"> </w:t>
            </w:r>
            <w:r w:rsidRPr="00A23740">
              <w:rPr>
                <w:szCs w:val="24"/>
              </w:rPr>
              <w:t>belgede</w:t>
            </w:r>
            <w:r w:rsidRPr="00A23740">
              <w:rPr>
                <w:b/>
                <w:bCs/>
                <w:color w:val="0000FF"/>
                <w:szCs w:val="24"/>
              </w:rPr>
              <w:t xml:space="preserve"> </w:t>
            </w:r>
            <w:r w:rsidRPr="00A23740">
              <w:rPr>
                <w:szCs w:val="24"/>
              </w:rPr>
              <w:t>tes</w:t>
            </w:r>
            <w:r w:rsidRPr="00A23740">
              <w:rPr>
                <w:b/>
                <w:bCs/>
                <w:color w:val="0000FF"/>
                <w:szCs w:val="24"/>
                <w:lang w:val="x-none" w:eastAsia="x-none"/>
              </w:rPr>
              <w:t>p</w:t>
            </w:r>
            <w:r w:rsidRPr="00A23740">
              <w:rPr>
                <w:szCs w:val="24"/>
              </w:rPr>
              <w:t>it edilmiş olması</w:t>
            </w:r>
            <w:r w:rsidRPr="00A23740">
              <w:rPr>
                <w:b/>
                <w:bCs/>
                <w:color w:val="0000FF"/>
                <w:szCs w:val="24"/>
                <w:lang w:val="x-none" w:eastAsia="x-none"/>
              </w:rPr>
              <w:t>.</w:t>
            </w:r>
          </w:p>
          <w:p w:rsidR="009D7972" w:rsidRPr="00A23740" w:rsidRDefault="009D7972" w:rsidP="009431FF">
            <w:pPr>
              <w:tabs>
                <w:tab w:val="left" w:pos="567"/>
              </w:tabs>
              <w:autoSpaceDE w:val="0"/>
              <w:autoSpaceDN w:val="0"/>
              <w:adjustRightInd w:val="0"/>
              <w:rPr>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b) Alacağın bir ilamda veya ilam niteliğindeki belgede tespit edilmiş ve bu alacağa ilişkin bir ipotek </w:t>
            </w:r>
            <w:r w:rsidR="00700268" w:rsidRPr="00A23740">
              <w:rPr>
                <w:b/>
                <w:bCs/>
                <w:color w:val="0000FF"/>
                <w:szCs w:val="24"/>
                <w:lang w:eastAsia="x-none"/>
              </w:rPr>
              <w:t xml:space="preserve">kurulmuş </w:t>
            </w:r>
            <w:r w:rsidRPr="00A23740">
              <w:rPr>
                <w:b/>
                <w:bCs/>
                <w:color w:val="0000FF"/>
                <w:szCs w:val="24"/>
                <w:lang w:val="x-none" w:eastAsia="x-none"/>
              </w:rPr>
              <w:t>olması.</w:t>
            </w:r>
          </w:p>
          <w:p w:rsidR="00155AF4" w:rsidRPr="00A23740" w:rsidRDefault="00155AF4" w:rsidP="009431FF">
            <w:pPr>
              <w:tabs>
                <w:tab w:val="left" w:pos="567"/>
              </w:tabs>
              <w:autoSpaceDE w:val="0"/>
              <w:autoSpaceDN w:val="0"/>
              <w:adjustRightInd w:val="0"/>
              <w:rPr>
                <w:b/>
                <w:iCs/>
                <w:color w:val="FF0000"/>
                <w:szCs w:val="24"/>
              </w:rPr>
            </w:pPr>
          </w:p>
        </w:tc>
      </w:tr>
      <w:tr w:rsidR="00D8122F" w:rsidRPr="00A23740" w:rsidTr="009431FF">
        <w:tc>
          <w:tcPr>
            <w:tcW w:w="5000" w:type="pct"/>
            <w:gridSpan w:val="2"/>
            <w:shd w:val="clear" w:color="auto" w:fill="DEEAF6"/>
          </w:tcPr>
          <w:p w:rsidR="00991BC6" w:rsidRPr="00A23740" w:rsidRDefault="00991BC6" w:rsidP="009431FF">
            <w:pPr>
              <w:tabs>
                <w:tab w:val="left" w:pos="567"/>
              </w:tabs>
              <w:autoSpaceDE w:val="0"/>
              <w:autoSpaceDN w:val="0"/>
              <w:adjustRightInd w:val="0"/>
              <w:ind w:firstLine="567"/>
              <w:rPr>
                <w:b/>
                <w:bCs/>
                <w:color w:val="000000"/>
                <w:szCs w:val="24"/>
                <w:lang w:eastAsia="x-none"/>
              </w:rPr>
            </w:pPr>
          </w:p>
          <w:p w:rsidR="000D242E" w:rsidRPr="00A23740" w:rsidRDefault="00A9749A" w:rsidP="009431FF">
            <w:pPr>
              <w:tabs>
                <w:tab w:val="left" w:pos="567"/>
              </w:tabs>
              <w:ind w:firstLine="567"/>
              <w:rPr>
                <w:bCs/>
                <w:color w:val="000000"/>
              </w:rPr>
            </w:pPr>
            <w:r w:rsidRPr="00A23740">
              <w:rPr>
                <w:b/>
                <w:bCs/>
                <w:color w:val="000000"/>
                <w:szCs w:val="24"/>
                <w:lang w:eastAsia="x-none"/>
              </w:rPr>
              <w:t>MADDE 133</w:t>
            </w:r>
            <w:r w:rsidR="00D8122F" w:rsidRPr="00A23740">
              <w:rPr>
                <w:b/>
                <w:bCs/>
                <w:color w:val="000000"/>
                <w:szCs w:val="24"/>
                <w:lang w:eastAsia="x-none"/>
              </w:rPr>
              <w:t>-</w:t>
            </w:r>
            <w:r w:rsidR="000D242E" w:rsidRPr="00A23740">
              <w:rPr>
                <w:b/>
                <w:bCs/>
                <w:color w:val="000000"/>
                <w:szCs w:val="24"/>
                <w:lang w:eastAsia="x-none"/>
              </w:rPr>
              <w:t xml:space="preserve"> </w:t>
            </w:r>
            <w:r w:rsidR="00127084" w:rsidRPr="00A23740">
              <w:rPr>
                <w:bCs/>
                <w:color w:val="000000"/>
                <w:szCs w:val="24"/>
                <w:lang w:val="x-none" w:eastAsia="x-none"/>
              </w:rPr>
              <w:t>Maddeyle, ilamlı</w:t>
            </w:r>
            <w:r w:rsidR="00267AA7" w:rsidRPr="00A23740">
              <w:rPr>
                <w:bCs/>
                <w:color w:val="000000"/>
                <w:szCs w:val="24"/>
                <w:lang w:val="x-none" w:eastAsia="x-none"/>
              </w:rPr>
              <w:t xml:space="preserve"> takibe ilişkin hükümlerin uygulanacağı diğer h</w:t>
            </w:r>
            <w:r w:rsidR="00BC776C" w:rsidRPr="00A23740">
              <w:rPr>
                <w:bCs/>
                <w:color w:val="000000"/>
                <w:szCs w:val="24"/>
                <w:lang w:eastAsia="x-none"/>
              </w:rPr>
              <w:t>â</w:t>
            </w:r>
            <w:r w:rsidR="00267AA7" w:rsidRPr="00A23740">
              <w:rPr>
                <w:bCs/>
                <w:color w:val="000000"/>
                <w:szCs w:val="24"/>
                <w:lang w:val="x-none" w:eastAsia="x-none"/>
              </w:rPr>
              <w:t xml:space="preserve">llere ilişkin hususlar düzenlenmektedir. </w:t>
            </w:r>
            <w:r w:rsidR="000D242E" w:rsidRPr="00A23740">
              <w:rPr>
                <w:bCs/>
                <w:color w:val="000000"/>
                <w:szCs w:val="24"/>
                <w:lang w:val="x-none" w:eastAsia="x-none"/>
              </w:rPr>
              <w:t xml:space="preserve">Taslağın </w:t>
            </w:r>
            <w:r w:rsidR="00A356E2" w:rsidRPr="00001224">
              <w:rPr>
                <w:color w:val="000000"/>
                <w:szCs w:val="24"/>
              </w:rPr>
              <w:t>133 üncü</w:t>
            </w:r>
            <w:r w:rsidR="000D242E" w:rsidRPr="00A23740">
              <w:rPr>
                <w:bCs/>
                <w:color w:val="000000"/>
                <w:szCs w:val="24"/>
                <w:lang w:val="x-none" w:eastAsia="x-none"/>
              </w:rPr>
              <w:t xml:space="preserve"> maddesi “İlamlı takibe ilişkin hükümlerin uygulanacağı diğer h</w:t>
            </w:r>
            <w:r w:rsidR="00BC776C" w:rsidRPr="00A23740">
              <w:rPr>
                <w:bCs/>
                <w:color w:val="000000"/>
                <w:szCs w:val="24"/>
                <w:lang w:eastAsia="x-none"/>
              </w:rPr>
              <w:t>â</w:t>
            </w:r>
            <w:r w:rsidR="000D242E" w:rsidRPr="00A23740">
              <w:rPr>
                <w:bCs/>
                <w:color w:val="000000"/>
                <w:szCs w:val="24"/>
                <w:lang w:val="x-none" w:eastAsia="x-none"/>
              </w:rPr>
              <w:t>ller</w:t>
            </w:r>
            <w:r w:rsidR="000D242E" w:rsidRPr="00A23740">
              <w:rPr>
                <w:bCs/>
                <w:color w:val="000000"/>
              </w:rPr>
              <w:t xml:space="preserve">” başlığını taşımakta olup </w:t>
            </w:r>
            <w:r w:rsidR="00991BC6" w:rsidRPr="00A23740">
              <w:rPr>
                <w:bCs/>
                <w:color w:val="000000"/>
              </w:rPr>
              <w:t xml:space="preserve">2004 sayılı Kanunun </w:t>
            </w:r>
            <w:r w:rsidR="000D242E" w:rsidRPr="00A23740">
              <w:rPr>
                <w:bCs/>
                <w:color w:val="000000"/>
              </w:rPr>
              <w:t>150/h maddesinin karşılığıdır.</w:t>
            </w:r>
          </w:p>
          <w:p w:rsidR="00C35E31" w:rsidRDefault="000D242E" w:rsidP="009431FF">
            <w:pPr>
              <w:tabs>
                <w:tab w:val="left" w:pos="567"/>
              </w:tabs>
              <w:ind w:firstLine="567"/>
              <w:rPr>
                <w:bCs/>
                <w:color w:val="000000"/>
                <w:szCs w:val="24"/>
                <w:lang w:val="x-none" w:eastAsia="x-none"/>
              </w:rPr>
            </w:pPr>
            <w:r w:rsidRPr="00A23740">
              <w:rPr>
                <w:bCs/>
                <w:color w:val="000000"/>
                <w:szCs w:val="24"/>
                <w:lang w:eastAsia="x-none"/>
              </w:rPr>
              <w:t xml:space="preserve">Bu maddede </w:t>
            </w:r>
            <w:r w:rsidRPr="00A23740">
              <w:rPr>
                <w:bCs/>
                <w:color w:val="000000"/>
                <w:szCs w:val="24"/>
                <w:lang w:val="x-none" w:eastAsia="x-none"/>
              </w:rPr>
              <w:t>ilamların icrası hakkındaki hükümlerin “a</w:t>
            </w:r>
            <w:r w:rsidRPr="00A23740">
              <w:rPr>
                <w:color w:val="000000"/>
                <w:szCs w:val="24"/>
              </w:rPr>
              <w:t xml:space="preserve">lacağın ve </w:t>
            </w:r>
            <w:r w:rsidRPr="00A23740">
              <w:rPr>
                <w:bCs/>
                <w:color w:val="000000"/>
                <w:szCs w:val="24"/>
                <w:lang w:val="x-none" w:eastAsia="x-none"/>
              </w:rPr>
              <w:t>taşınır</w:t>
            </w:r>
            <w:r w:rsidRPr="00A23740">
              <w:rPr>
                <w:color w:val="000000"/>
                <w:szCs w:val="24"/>
              </w:rPr>
              <w:t xml:space="preserve"> reh</w:t>
            </w:r>
            <w:r w:rsidRPr="00A23740">
              <w:rPr>
                <w:bCs/>
                <w:color w:val="000000"/>
                <w:szCs w:val="24"/>
                <w:lang w:eastAsia="x-none"/>
              </w:rPr>
              <w:t>ni</w:t>
            </w:r>
            <w:r w:rsidRPr="00A23740">
              <w:rPr>
                <w:color w:val="000000"/>
                <w:szCs w:val="24"/>
              </w:rPr>
              <w:t xml:space="preserve"> hakkının bir ilamda veya ilam </w:t>
            </w:r>
            <w:r w:rsidRPr="00A23740">
              <w:rPr>
                <w:bCs/>
                <w:color w:val="000000"/>
                <w:szCs w:val="24"/>
                <w:lang w:val="x-none" w:eastAsia="x-none"/>
              </w:rPr>
              <w:t>niteliğinde</w:t>
            </w:r>
            <w:r w:rsidRPr="00A23740">
              <w:rPr>
                <w:bCs/>
                <w:color w:val="000000"/>
                <w:szCs w:val="24"/>
              </w:rPr>
              <w:t xml:space="preserve"> </w:t>
            </w:r>
            <w:r w:rsidRPr="00A23740">
              <w:rPr>
                <w:color w:val="000000"/>
                <w:szCs w:val="24"/>
              </w:rPr>
              <w:t>belgede</w:t>
            </w:r>
            <w:r w:rsidRPr="00A23740">
              <w:rPr>
                <w:bCs/>
                <w:color w:val="000000"/>
                <w:szCs w:val="24"/>
              </w:rPr>
              <w:t xml:space="preserve"> </w:t>
            </w:r>
            <w:r w:rsidRPr="00A23740">
              <w:rPr>
                <w:color w:val="000000"/>
                <w:szCs w:val="24"/>
              </w:rPr>
              <w:t>tes</w:t>
            </w:r>
            <w:r w:rsidRPr="00A23740">
              <w:rPr>
                <w:bCs/>
                <w:color w:val="000000"/>
                <w:szCs w:val="24"/>
                <w:lang w:val="x-none" w:eastAsia="x-none"/>
              </w:rPr>
              <w:t>p</w:t>
            </w:r>
            <w:r w:rsidRPr="00A23740">
              <w:rPr>
                <w:color w:val="000000"/>
                <w:szCs w:val="24"/>
              </w:rPr>
              <w:t>it edilmiş olması h</w:t>
            </w:r>
            <w:r w:rsidR="00F906A7" w:rsidRPr="00A23740">
              <w:rPr>
                <w:color w:val="000000"/>
                <w:szCs w:val="24"/>
              </w:rPr>
              <w:t>â</w:t>
            </w:r>
            <w:r w:rsidRPr="00A23740">
              <w:rPr>
                <w:color w:val="000000"/>
                <w:szCs w:val="24"/>
              </w:rPr>
              <w:t xml:space="preserve">linde” ve </w:t>
            </w:r>
            <w:r w:rsidRPr="00A23740">
              <w:rPr>
                <w:bCs/>
                <w:color w:val="000000"/>
                <w:szCs w:val="24"/>
                <w:lang w:eastAsia="x-none"/>
              </w:rPr>
              <w:t>“a</w:t>
            </w:r>
            <w:r w:rsidRPr="00A23740">
              <w:rPr>
                <w:bCs/>
                <w:color w:val="000000"/>
                <w:szCs w:val="24"/>
                <w:lang w:val="x-none" w:eastAsia="x-none"/>
              </w:rPr>
              <w:t xml:space="preserve">lacağın bir ilamda veya ilam niteliğindeki belgede tespit edilmiş ve bu alacağa ilişkin bir ipotek </w:t>
            </w:r>
            <w:r w:rsidR="00BC776C" w:rsidRPr="00001224">
              <w:rPr>
                <w:bCs/>
                <w:color w:val="000000"/>
                <w:szCs w:val="24"/>
                <w:lang w:val="x-none" w:eastAsia="x-none"/>
              </w:rPr>
              <w:t xml:space="preserve">kurulmuş </w:t>
            </w:r>
            <w:r w:rsidRPr="00A23740">
              <w:rPr>
                <w:bCs/>
                <w:color w:val="000000"/>
                <w:szCs w:val="24"/>
                <w:lang w:val="x-none" w:eastAsia="x-none"/>
              </w:rPr>
              <w:t>olması h</w:t>
            </w:r>
            <w:r w:rsidR="00F906A7" w:rsidRPr="00A23740">
              <w:rPr>
                <w:bCs/>
                <w:color w:val="000000"/>
                <w:szCs w:val="24"/>
                <w:lang w:eastAsia="x-none"/>
              </w:rPr>
              <w:t>â</w:t>
            </w:r>
            <w:r w:rsidRPr="00A23740">
              <w:rPr>
                <w:bCs/>
                <w:color w:val="000000"/>
                <w:szCs w:val="24"/>
                <w:lang w:val="x-none" w:eastAsia="x-none"/>
              </w:rPr>
              <w:t>linde” uygulanacağı öngörülmüştür.</w:t>
            </w:r>
          </w:p>
          <w:p w:rsidR="00991BC6" w:rsidRPr="00A23740" w:rsidRDefault="00991BC6" w:rsidP="00DE193E">
            <w:pPr>
              <w:tabs>
                <w:tab w:val="left" w:pos="567"/>
              </w:tabs>
              <w:ind w:firstLine="567"/>
              <w:rPr>
                <w:b/>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8D6AB8" w:rsidRDefault="00155AF4" w:rsidP="009431FF">
            <w:pPr>
              <w:pStyle w:val="KIRMIZI"/>
            </w:pPr>
            <w:r w:rsidRPr="008D6AB8">
              <w:t>Borçlu cari hesap veya kısa, orta, uzun vadeli kredi şeklinde işleyen nakdi kredileri ve gayri nakdi kredileri teminen alınan ipotekler:</w:t>
            </w:r>
          </w:p>
          <w:p w:rsidR="00155AF4" w:rsidRPr="008D6AB8" w:rsidRDefault="00155AF4" w:rsidP="009431FF">
            <w:pPr>
              <w:pStyle w:val="KIRMIZI"/>
            </w:pPr>
          </w:p>
          <w:p w:rsidR="00155AF4" w:rsidRPr="008D6AB8" w:rsidRDefault="00155AF4" w:rsidP="009431FF">
            <w:pPr>
              <w:pStyle w:val="KIRMIZI"/>
            </w:pPr>
            <w:r w:rsidRPr="008D6AB8">
              <w:t>Madde 150/ı – (1) (Ek: 9/11/1988 - 3494/25 md.; Değişik: 17/7/2003-4949/43 md.)</w:t>
            </w:r>
          </w:p>
          <w:p w:rsidR="00155AF4" w:rsidRPr="008D6AB8" w:rsidRDefault="00155AF4" w:rsidP="009431FF">
            <w:pPr>
              <w:pStyle w:val="KIRMIZI"/>
            </w:pPr>
            <w:r w:rsidRPr="008D6AB8">
              <w:t>Borçlu cari hesap veya kısa, orta, uzun vadeli kredi şeklinde işleyen nakdî veya gayrinakdi bir krediyi kullandıran tarafın ibraz ettiği ipotek akit tablosu kayıtsız ve şartsız bir para borcu ikrarını ihtiva etmese dahi, krediyi kullandıran taraf, krediyi kullanan tarafa ait cari hesabın kesilmesine veya kısa, orta, uzun vadeli kredi hesabının muaccel kılınmasına ilişkin hesap özetinin veya gayrinakdi kredinin ödenmiş olması nedeniyle tazmin talebinin veya borcun ödenmesine ilişkin ihtarın noter aracılığıyla krediyi kullanan tarafa kredi sözleşmesinde yazılı ya da ipotek akit tablosunda belirtilen adrese gönderilmek suretiyle tebliğ edildiğini veya 68/b maddesi gereğince tebliğ edilmiş sayıldığını gösteren noterden tasdikli bir sureti icra müdürüne ibraz ederse icra müdürü 149 uncu madde uyarınca işlem yapar. Şu kadar ki, krediyi kullanan tarafın hesap özetine ve borcun ödenmesine ilişkin ihtara ya da gayrinakdi kredi nedeniyle tazmin talebine, kendisine tebliğ edildiği veya 68/b maddesi gereğince tebliğ edilmiş sayıldığı tarihten itibaren sekiz gün içinde noter aracılığıyla itiraz etmiş olduğunu ispat etmek suretiyle icra mahkemesine şikâyette bulunmak hakkı saklıdır. Bu takdirde krediyi kullandıran taraf alacağını 68/b maddesi çerçevesinde diğer belgelerle ispatlayabiliyorsa, krediyi kullanan tarafın şikâyeti reddedilir. İcra mahkemesinde yapılan inceleme sırasında, borçlu, borcun sona erdiğine veya ertelendiğine ilişkin resmî veya imzası ikrar edilmiş bir belge sunmadıkça takibin durdurulmasına karar verilemez. Hesap özetinin, tazmin talebinin veya ihtarın ipotekli taşınmaz maliki üçüncü kişiye tebliğ edilmesi veya tebliğ edilmiş sayılması Türk Medenî Kanununun 887 nci maddesinde öngörülen ödeme istemi yerine geçer.</w:t>
            </w:r>
          </w:p>
          <w:p w:rsidR="00155AF4" w:rsidRDefault="00155AF4" w:rsidP="009431FF">
            <w:pPr>
              <w:pStyle w:val="KIRMIZI"/>
            </w:pPr>
          </w:p>
          <w:p w:rsidR="0051673D" w:rsidRPr="008D6AB8" w:rsidRDefault="0051673D" w:rsidP="009431FF">
            <w:pPr>
              <w:pStyle w:val="KIRMIZI"/>
            </w:pPr>
          </w:p>
        </w:tc>
        <w:tc>
          <w:tcPr>
            <w:tcW w:w="2500" w:type="pct"/>
            <w:shd w:val="clear" w:color="auto" w:fill="auto"/>
          </w:tcPr>
          <w:p w:rsidR="00155AF4" w:rsidRPr="00A23740" w:rsidRDefault="00155AF4" w:rsidP="009431FF">
            <w:pPr>
              <w:tabs>
                <w:tab w:val="left" w:pos="567"/>
              </w:tabs>
              <w:rPr>
                <w:iCs/>
                <w:szCs w:val="24"/>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 xml:space="preserve">Paylaştırma </w:t>
            </w:r>
            <w:r w:rsidRPr="00A23740">
              <w:rPr>
                <w:b/>
                <w:strike/>
                <w:color w:val="FF0000"/>
                <w:szCs w:val="24"/>
                <w:lang w:eastAsia="tr-TR"/>
              </w:rPr>
              <w:t>:</w:t>
            </w:r>
          </w:p>
          <w:p w:rsidR="00155AF4" w:rsidRPr="00A23740" w:rsidRDefault="00155AF4" w:rsidP="009431FF">
            <w:pPr>
              <w:tabs>
                <w:tab w:val="left" w:pos="567"/>
              </w:tabs>
              <w:autoSpaceDE w:val="0"/>
              <w:autoSpaceDN w:val="0"/>
              <w:adjustRightInd w:val="0"/>
              <w:rPr>
                <w:b/>
                <w:strike/>
                <w:color w:val="FF0000"/>
                <w:szCs w:val="24"/>
              </w:rPr>
            </w:pPr>
            <w:r w:rsidRPr="00A23740">
              <w:rPr>
                <w:b/>
                <w:bCs/>
                <w:strike/>
                <w:color w:val="FF0000"/>
                <w:szCs w:val="24"/>
              </w:rPr>
              <w:t>Madde 151 – (1)</w:t>
            </w:r>
            <w:r w:rsidRPr="00A23740">
              <w:rPr>
                <w:b/>
                <w:bCs/>
                <w:szCs w:val="24"/>
              </w:rPr>
              <w:t xml:space="preserve"> </w:t>
            </w:r>
            <w:r w:rsidRPr="00A23740">
              <w:rPr>
                <w:szCs w:val="24"/>
              </w:rPr>
              <w:t xml:space="preserve">Rehin bedelinden </w:t>
            </w:r>
            <w:r w:rsidRPr="00A23740">
              <w:rPr>
                <w:rStyle w:val="KIRMIZIChar"/>
                <w:rFonts w:eastAsia="Calibri"/>
              </w:rPr>
              <w:t>masrafların</w:t>
            </w:r>
            <w:r w:rsidRPr="00A23740">
              <w:rPr>
                <w:szCs w:val="24"/>
              </w:rPr>
              <w:t xml:space="preserve"> çıkarılmasında ve artanın alacaklılar arasında paylaştırılmasında 138 inci madde hükmü </w:t>
            </w:r>
            <w:r w:rsidRPr="00A23740">
              <w:rPr>
                <w:b/>
                <w:strike/>
                <w:color w:val="FF0000"/>
                <w:szCs w:val="24"/>
              </w:rPr>
              <w:t>tatbik olunur.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(2)</w:t>
            </w:r>
            <w:r w:rsidRPr="00A23740">
              <w:rPr>
                <w:szCs w:val="24"/>
              </w:rPr>
              <w:t xml:space="preserve"> Satış tutarı alacaklılar</w:t>
            </w:r>
            <w:r w:rsidRPr="00A23740">
              <w:rPr>
                <w:b/>
                <w:strike/>
                <w:color w:val="FF0000"/>
                <w:szCs w:val="24"/>
              </w:rPr>
              <w:t>ın</w:t>
            </w:r>
            <w:r w:rsidRPr="00A23740">
              <w:rPr>
                <w:szCs w:val="24"/>
              </w:rPr>
              <w:t xml:space="preserve"> alacağını ödeme</w:t>
            </w:r>
            <w:r w:rsidRPr="00A23740">
              <w:rPr>
                <w:b/>
                <w:strike/>
                <w:color w:val="FF0000"/>
                <w:szCs w:val="24"/>
              </w:rPr>
              <w:t>ğ</w:t>
            </w:r>
            <w:r w:rsidRPr="00A23740">
              <w:rPr>
                <w:szCs w:val="24"/>
              </w:rPr>
              <w:t xml:space="preserve">e yetmezse icra </w:t>
            </w:r>
            <w:r w:rsidRPr="00A23740">
              <w:rPr>
                <w:b/>
                <w:strike/>
                <w:color w:val="FF0000"/>
                <w:szCs w:val="24"/>
              </w:rPr>
              <w:t>memuru</w:t>
            </w:r>
            <w:r w:rsidRPr="00A23740">
              <w:rPr>
                <w:szCs w:val="24"/>
              </w:rPr>
              <w:t xml:space="preserve"> 206 ncı madde</w:t>
            </w:r>
            <w:r w:rsidRPr="00A23740">
              <w:rPr>
                <w:b/>
                <w:strike/>
                <w:color w:val="FF0000"/>
                <w:szCs w:val="24"/>
              </w:rPr>
              <w:t>nin ikinci ve üçüncü fıkralarına</w:t>
            </w:r>
            <w:r w:rsidRPr="00A23740">
              <w:rPr>
                <w:b/>
                <w:color w:val="FF0000"/>
                <w:szCs w:val="24"/>
              </w:rPr>
              <w:t xml:space="preserve"> </w:t>
            </w:r>
            <w:r w:rsidRPr="00A23740">
              <w:rPr>
                <w:szCs w:val="24"/>
              </w:rPr>
              <w:t>göre alacaklıların her birine ait sıra ve payları tayin eder.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strike/>
                <w:color w:val="FF0000"/>
                <w:szCs w:val="24"/>
              </w:rPr>
              <w:t>(3)</w:t>
            </w:r>
            <w:r w:rsidRPr="00A23740">
              <w:rPr>
                <w:szCs w:val="24"/>
              </w:rPr>
              <w:t xml:space="preserve"> 141, 142 ve 144 üncü maddelerin hükümleri burada da </w:t>
            </w:r>
            <w:r w:rsidRPr="00A23740">
              <w:rPr>
                <w:rStyle w:val="KIRMIZIChar"/>
                <w:rFonts w:eastAsia="Calibri"/>
              </w:rPr>
              <w:t>caridir</w:t>
            </w:r>
            <w:r w:rsidRPr="00A23740">
              <w:rPr>
                <w:szCs w:val="24"/>
              </w:rPr>
              <w:t>.</w:t>
            </w: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b/>
                <w:iCs/>
                <w:szCs w:val="24"/>
              </w:rPr>
            </w:pPr>
            <w:r w:rsidRPr="00A23740">
              <w:rPr>
                <w:b/>
                <w:iCs/>
                <w:szCs w:val="24"/>
              </w:rPr>
              <w:t xml:space="preserve">Paylaştırma </w:t>
            </w:r>
          </w:p>
          <w:p w:rsidR="00155AF4" w:rsidRPr="00A23740" w:rsidRDefault="00155AF4" w:rsidP="009431FF">
            <w:pPr>
              <w:tabs>
                <w:tab w:val="left" w:pos="567"/>
              </w:tabs>
              <w:autoSpaceDE w:val="0"/>
              <w:autoSpaceDN w:val="0"/>
              <w:adjustRightInd w:val="0"/>
              <w:rPr>
                <w:szCs w:val="24"/>
              </w:rPr>
            </w:pPr>
            <w:r w:rsidRPr="00A23740">
              <w:rPr>
                <w:b/>
                <w:bCs/>
                <w:color w:val="0000FF"/>
                <w:szCs w:val="24"/>
                <w:lang w:eastAsia="x-none"/>
              </w:rPr>
              <w:t xml:space="preserve">MADDE </w:t>
            </w:r>
            <w:r w:rsidR="00A9749A" w:rsidRPr="00A23740">
              <w:rPr>
                <w:b/>
                <w:bCs/>
                <w:color w:val="0000FF"/>
                <w:szCs w:val="24"/>
                <w:lang w:val="x-none" w:eastAsia="x-none"/>
              </w:rPr>
              <w:t>134</w:t>
            </w:r>
            <w:r w:rsidRPr="00A23740">
              <w:rPr>
                <w:b/>
                <w:bCs/>
                <w:color w:val="0000FF"/>
                <w:szCs w:val="24"/>
                <w:lang w:val="x-none" w:eastAsia="x-none"/>
              </w:rPr>
              <w:t>-</w:t>
            </w:r>
            <w:r w:rsidRPr="00A23740">
              <w:rPr>
                <w:b/>
                <w:bCs/>
                <w:color w:val="0000FF"/>
                <w:szCs w:val="24"/>
                <w:lang w:eastAsia="x-none"/>
              </w:rPr>
              <w:t xml:space="preserve"> (1)</w:t>
            </w:r>
            <w:r w:rsidRPr="00A23740">
              <w:rPr>
                <w:b/>
                <w:bCs/>
                <w:color w:val="0000FF"/>
                <w:szCs w:val="24"/>
              </w:rPr>
              <w:t xml:space="preserve"> </w:t>
            </w:r>
            <w:r w:rsidRPr="00A23740">
              <w:rPr>
                <w:szCs w:val="24"/>
              </w:rPr>
              <w:t xml:space="preserve">Rehin bedelinden </w:t>
            </w:r>
            <w:r w:rsidRPr="00A23740">
              <w:rPr>
                <w:rStyle w:val="MaviChar"/>
              </w:rPr>
              <w:t>giderlerin</w:t>
            </w:r>
            <w:r w:rsidRPr="00A23740">
              <w:rPr>
                <w:szCs w:val="24"/>
              </w:rPr>
              <w:t xml:space="preserve"> çıkarılmasında ve </w:t>
            </w:r>
            <w:r w:rsidR="00BC776C" w:rsidRPr="00A23740">
              <w:rPr>
                <w:rStyle w:val="Balk1Char"/>
                <w:rFonts w:eastAsia="Calibri"/>
              </w:rPr>
              <w:t>kalan kısmın</w:t>
            </w:r>
            <w:r w:rsidR="00BC776C" w:rsidRPr="00A23740">
              <w:rPr>
                <w:szCs w:val="24"/>
              </w:rPr>
              <w:t xml:space="preserve"> </w:t>
            </w:r>
            <w:r w:rsidRPr="00A23740">
              <w:rPr>
                <w:szCs w:val="24"/>
              </w:rPr>
              <w:t xml:space="preserve">alacaklılar arasında paylaştırılmasında </w:t>
            </w:r>
            <w:r w:rsidR="000D1251" w:rsidRPr="00001224">
              <w:rPr>
                <w:rStyle w:val="KonuBalChar"/>
                <w:rFonts w:eastAsia="Calibri"/>
                <w:color w:val="0000FF"/>
              </w:rPr>
              <w:t>258</w:t>
            </w:r>
            <w:r w:rsidR="000D1251" w:rsidRPr="00A23740">
              <w:rPr>
                <w:rStyle w:val="MaviChar"/>
              </w:rPr>
              <w:t xml:space="preserve"> </w:t>
            </w:r>
            <w:r w:rsidRPr="00A23740">
              <w:rPr>
                <w:rStyle w:val="MaviChar"/>
              </w:rPr>
              <w:t>inci</w:t>
            </w:r>
            <w:r w:rsidRPr="00A23740">
              <w:rPr>
                <w:szCs w:val="24"/>
              </w:rPr>
              <w:t xml:space="preserve"> madde </w:t>
            </w:r>
            <w:r w:rsidRPr="00A23740">
              <w:rPr>
                <w:b/>
                <w:bCs/>
                <w:color w:val="0000FF"/>
                <w:szCs w:val="24"/>
                <w:lang w:val="x-none" w:eastAsia="x-none"/>
              </w:rPr>
              <w:t>uygulanır.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(2)</w:t>
            </w:r>
            <w:r w:rsidRPr="00A23740">
              <w:rPr>
                <w:szCs w:val="24"/>
              </w:rPr>
              <w:t xml:space="preserve"> Satış tutarı </w:t>
            </w:r>
            <w:r w:rsidRPr="00A23740">
              <w:rPr>
                <w:b/>
                <w:bCs/>
                <w:color w:val="0000FF"/>
                <w:szCs w:val="24"/>
                <w:lang w:val="x-none" w:eastAsia="x-none"/>
              </w:rPr>
              <w:t>rehinli</w:t>
            </w:r>
            <w:r w:rsidRPr="00A23740">
              <w:rPr>
                <w:szCs w:val="24"/>
              </w:rPr>
              <w:t xml:space="preserve"> alacaklılar </w:t>
            </w:r>
            <w:r w:rsidRPr="00A23740">
              <w:rPr>
                <w:b/>
                <w:bCs/>
                <w:color w:val="0000FF"/>
                <w:szCs w:val="24"/>
                <w:lang w:val="x-none" w:eastAsia="x-none"/>
              </w:rPr>
              <w:t>ve aynı mala haciz uygulayan alacaklıların</w:t>
            </w:r>
            <w:r w:rsidRPr="00A23740">
              <w:rPr>
                <w:b/>
                <w:bCs/>
                <w:color w:val="0000FF"/>
                <w:szCs w:val="24"/>
              </w:rPr>
              <w:t xml:space="preserve"> </w:t>
            </w:r>
            <w:r w:rsidRPr="00A23740">
              <w:rPr>
                <w:szCs w:val="24"/>
              </w:rPr>
              <w:t>alacağını ödeme</w:t>
            </w:r>
            <w:r w:rsidRPr="00A23740">
              <w:rPr>
                <w:b/>
                <w:bCs/>
                <w:color w:val="0000FF"/>
                <w:szCs w:val="24"/>
                <w:lang w:val="x-none" w:eastAsia="x-none"/>
              </w:rPr>
              <w:t>y</w:t>
            </w:r>
            <w:r w:rsidRPr="00A23740">
              <w:rPr>
                <w:szCs w:val="24"/>
              </w:rPr>
              <w:t>e yetmezse</w:t>
            </w:r>
            <w:r w:rsidR="0005714A" w:rsidRPr="00001224">
              <w:rPr>
                <w:b/>
                <w:bCs/>
                <w:color w:val="0000FF"/>
                <w:szCs w:val="24"/>
              </w:rPr>
              <w:t>,</w:t>
            </w:r>
            <w:r w:rsidRPr="00A23740">
              <w:rPr>
                <w:szCs w:val="24"/>
              </w:rPr>
              <w:t xml:space="preserve"> icra </w:t>
            </w:r>
            <w:r w:rsidRPr="00A23740">
              <w:rPr>
                <w:rStyle w:val="MaviChar"/>
              </w:rPr>
              <w:t>ve iflas</w:t>
            </w:r>
            <w:r w:rsidRPr="00A23740">
              <w:rPr>
                <w:szCs w:val="24"/>
              </w:rPr>
              <w:t xml:space="preserve"> </w:t>
            </w:r>
            <w:r w:rsidRPr="00A23740">
              <w:rPr>
                <w:b/>
                <w:bCs/>
                <w:color w:val="0000FF"/>
                <w:szCs w:val="24"/>
                <w:lang w:val="x-none" w:eastAsia="x-none"/>
              </w:rPr>
              <w:t>dairesi</w:t>
            </w:r>
            <w:r w:rsidRPr="00A23740">
              <w:rPr>
                <w:b/>
                <w:bCs/>
                <w:color w:val="0000FF"/>
                <w:szCs w:val="24"/>
                <w:lang w:eastAsia="x-none"/>
              </w:rPr>
              <w:t>,</w:t>
            </w:r>
            <w:r w:rsidRPr="00A23740">
              <w:rPr>
                <w:szCs w:val="24"/>
              </w:rPr>
              <w:t xml:space="preserve"> </w:t>
            </w:r>
            <w:r w:rsidR="00966985" w:rsidRPr="00001224">
              <w:rPr>
                <w:rStyle w:val="KonuBalChar"/>
                <w:rFonts w:eastAsia="Calibri"/>
                <w:color w:val="0000FF"/>
              </w:rPr>
              <w:t>317</w:t>
            </w:r>
            <w:r w:rsidR="00966985" w:rsidRPr="00001224">
              <w:rPr>
                <w:rStyle w:val="KonuBalChar"/>
                <w:rFonts w:eastAsia="Calibri"/>
                <w:color w:val="0000FF"/>
                <w:lang w:val="tr-TR"/>
              </w:rPr>
              <w:t xml:space="preserve"> nci</w:t>
            </w:r>
            <w:r w:rsidR="00966985" w:rsidRPr="00A23740">
              <w:rPr>
                <w:rStyle w:val="MaviChar"/>
              </w:rPr>
              <w:t xml:space="preserve"> </w:t>
            </w:r>
            <w:r w:rsidRPr="00A23740">
              <w:rPr>
                <w:szCs w:val="24"/>
              </w:rPr>
              <w:t>madde</w:t>
            </w:r>
            <w:r w:rsidRPr="00A23740">
              <w:rPr>
                <w:b/>
                <w:bCs/>
                <w:color w:val="0000FF"/>
                <w:szCs w:val="24"/>
                <w:lang w:val="x-none" w:eastAsia="x-none"/>
              </w:rPr>
              <w:t>ye</w:t>
            </w:r>
            <w:r w:rsidRPr="00A23740">
              <w:rPr>
                <w:b/>
                <w:bCs/>
                <w:color w:val="0000FF"/>
                <w:szCs w:val="24"/>
              </w:rPr>
              <w:t xml:space="preserve"> </w:t>
            </w:r>
            <w:r w:rsidRPr="00A23740">
              <w:rPr>
                <w:szCs w:val="24"/>
              </w:rPr>
              <w:t>göre alacaklıların her birine ait sıra ve payları tayin eder.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szCs w:val="24"/>
              </w:rPr>
            </w:pPr>
            <w:r w:rsidRPr="00A23740">
              <w:rPr>
                <w:b/>
                <w:bCs/>
                <w:color w:val="0000FF"/>
                <w:szCs w:val="24"/>
                <w:lang w:val="x-none" w:eastAsia="x-none"/>
              </w:rPr>
              <w:t>(3)</w:t>
            </w:r>
            <w:r w:rsidRPr="00A23740">
              <w:rPr>
                <w:szCs w:val="24"/>
              </w:rPr>
              <w:t xml:space="preserve"> </w:t>
            </w:r>
            <w:r w:rsidR="008E2C14" w:rsidRPr="00001224">
              <w:rPr>
                <w:rStyle w:val="KonuBalChar"/>
                <w:rFonts w:eastAsia="Calibri"/>
                <w:color w:val="0000FF"/>
              </w:rPr>
              <w:t>259</w:t>
            </w:r>
            <w:r w:rsidRPr="00A23740">
              <w:rPr>
                <w:rStyle w:val="MaviChar"/>
              </w:rPr>
              <w:t xml:space="preserve">, </w:t>
            </w:r>
            <w:r w:rsidR="008E2C14" w:rsidRPr="00001224">
              <w:rPr>
                <w:rStyle w:val="KonuBalChar"/>
                <w:rFonts w:eastAsia="Calibri"/>
                <w:color w:val="0000FF"/>
              </w:rPr>
              <w:t>260</w:t>
            </w:r>
            <w:r w:rsidRPr="00A23740">
              <w:rPr>
                <w:rStyle w:val="MaviChar"/>
              </w:rPr>
              <w:t xml:space="preserve">, </w:t>
            </w:r>
            <w:r w:rsidR="008E2C14" w:rsidRPr="00001224">
              <w:rPr>
                <w:rStyle w:val="KonuBalChar"/>
                <w:rFonts w:eastAsia="Calibri"/>
                <w:color w:val="0000FF"/>
              </w:rPr>
              <w:t>261</w:t>
            </w:r>
            <w:r w:rsidR="002E62DB" w:rsidRPr="00001224">
              <w:rPr>
                <w:rStyle w:val="KonuBalChar"/>
                <w:rFonts w:eastAsia="Calibri"/>
                <w:color w:val="0000FF"/>
                <w:lang w:val="tr-TR"/>
              </w:rPr>
              <w:t>,</w:t>
            </w:r>
            <w:r w:rsidR="008E2C14" w:rsidRPr="00A23740">
              <w:rPr>
                <w:rStyle w:val="MaviChar"/>
              </w:rPr>
              <w:t xml:space="preserve"> </w:t>
            </w:r>
            <w:r w:rsidR="00966985" w:rsidRPr="00001224">
              <w:rPr>
                <w:rStyle w:val="KonuBalChar"/>
                <w:rFonts w:eastAsia="Calibri"/>
                <w:color w:val="0000FF"/>
                <w:lang w:val="tr-TR"/>
              </w:rPr>
              <w:t xml:space="preserve">266 </w:t>
            </w:r>
            <w:r w:rsidR="002E62DB" w:rsidRPr="00001224">
              <w:rPr>
                <w:rStyle w:val="KonuBalChar"/>
                <w:rFonts w:eastAsia="Calibri"/>
                <w:color w:val="0000FF"/>
                <w:lang w:val="tr-TR"/>
              </w:rPr>
              <w:t>ve</w:t>
            </w:r>
            <w:r w:rsidR="00966985" w:rsidRPr="00001224">
              <w:rPr>
                <w:rStyle w:val="KonuBalChar"/>
                <w:rFonts w:eastAsia="Calibri"/>
                <w:color w:val="0000FF"/>
                <w:lang w:val="tr-TR"/>
              </w:rPr>
              <w:t xml:space="preserve"> 267 nci</w:t>
            </w:r>
            <w:r w:rsidRPr="00A23740">
              <w:rPr>
                <w:rStyle w:val="MaviChar"/>
              </w:rPr>
              <w:t xml:space="preserve"> </w:t>
            </w:r>
            <w:r w:rsidRPr="00A23740">
              <w:rPr>
                <w:szCs w:val="24"/>
              </w:rPr>
              <w:t xml:space="preserve">maddeleri burada da </w:t>
            </w:r>
            <w:r w:rsidRPr="00A23740">
              <w:rPr>
                <w:rStyle w:val="MaviChar"/>
              </w:rPr>
              <w:t>geçerlidir</w:t>
            </w:r>
            <w:r w:rsidRPr="00A23740">
              <w:rPr>
                <w:szCs w:val="24"/>
              </w:rPr>
              <w:t>.</w:t>
            </w:r>
          </w:p>
          <w:p w:rsidR="00155AF4" w:rsidRPr="00A23740" w:rsidRDefault="00155AF4" w:rsidP="009431FF">
            <w:pPr>
              <w:tabs>
                <w:tab w:val="left" w:pos="567"/>
              </w:tabs>
              <w:autoSpaceDE w:val="0"/>
              <w:autoSpaceDN w:val="0"/>
              <w:adjustRightInd w:val="0"/>
              <w:rPr>
                <w:szCs w:val="24"/>
              </w:rPr>
            </w:pPr>
          </w:p>
        </w:tc>
      </w:tr>
      <w:tr w:rsidR="00D8122F" w:rsidRPr="00A23740" w:rsidTr="009431FF">
        <w:tc>
          <w:tcPr>
            <w:tcW w:w="5000" w:type="pct"/>
            <w:gridSpan w:val="2"/>
            <w:shd w:val="clear" w:color="auto" w:fill="DEEAF6"/>
          </w:tcPr>
          <w:p w:rsidR="00991BC6" w:rsidRPr="00A23740" w:rsidRDefault="00991BC6" w:rsidP="009431FF">
            <w:pPr>
              <w:tabs>
                <w:tab w:val="left" w:pos="567"/>
              </w:tabs>
              <w:autoSpaceDE w:val="0"/>
              <w:autoSpaceDN w:val="0"/>
              <w:adjustRightInd w:val="0"/>
              <w:ind w:firstLine="567"/>
              <w:rPr>
                <w:b/>
                <w:bCs/>
                <w:color w:val="000000"/>
                <w:szCs w:val="24"/>
                <w:lang w:eastAsia="x-none"/>
              </w:rPr>
            </w:pPr>
          </w:p>
          <w:p w:rsidR="000D242E" w:rsidRPr="00A23740" w:rsidRDefault="00A9749A" w:rsidP="009431FF">
            <w:pPr>
              <w:tabs>
                <w:tab w:val="left" w:pos="567"/>
              </w:tabs>
              <w:autoSpaceDE w:val="0"/>
              <w:autoSpaceDN w:val="0"/>
              <w:adjustRightInd w:val="0"/>
              <w:ind w:firstLine="567"/>
              <w:rPr>
                <w:bCs/>
                <w:color w:val="000000"/>
              </w:rPr>
            </w:pPr>
            <w:r w:rsidRPr="00A23740">
              <w:rPr>
                <w:b/>
                <w:bCs/>
                <w:color w:val="000000"/>
                <w:szCs w:val="24"/>
                <w:lang w:eastAsia="x-none"/>
              </w:rPr>
              <w:t>MADDE 134</w:t>
            </w:r>
            <w:r w:rsidR="00D8122F" w:rsidRPr="00A23740">
              <w:rPr>
                <w:b/>
                <w:bCs/>
                <w:color w:val="000000"/>
                <w:szCs w:val="24"/>
                <w:lang w:eastAsia="x-none"/>
              </w:rPr>
              <w:t>-</w:t>
            </w:r>
            <w:r w:rsidR="000D242E" w:rsidRPr="00A23740">
              <w:rPr>
                <w:b/>
                <w:bCs/>
                <w:color w:val="000000"/>
                <w:szCs w:val="24"/>
                <w:lang w:eastAsia="x-none"/>
              </w:rPr>
              <w:t xml:space="preserve"> </w:t>
            </w:r>
            <w:r w:rsidR="00267AA7" w:rsidRPr="00A23740">
              <w:rPr>
                <w:bCs/>
                <w:color w:val="000000"/>
              </w:rPr>
              <w:t xml:space="preserve">Maddeyle, paylaştırmaya ilişkin hususlar düzenlenmektedir. </w:t>
            </w:r>
            <w:r w:rsidR="000D242E" w:rsidRPr="00A23740">
              <w:rPr>
                <w:bCs/>
                <w:color w:val="000000"/>
              </w:rPr>
              <w:t xml:space="preserve">Taslağın </w:t>
            </w:r>
            <w:r w:rsidR="001A48C4" w:rsidRPr="00001224">
              <w:rPr>
                <w:color w:val="000000"/>
                <w:szCs w:val="24"/>
                <w:lang w:val="x-none"/>
              </w:rPr>
              <w:t>134 üncü</w:t>
            </w:r>
            <w:r w:rsidR="000D242E" w:rsidRPr="00A23740">
              <w:rPr>
                <w:bCs/>
                <w:color w:val="000000"/>
              </w:rPr>
              <w:t xml:space="preserve"> maddesi “</w:t>
            </w:r>
            <w:r w:rsidR="000D242E" w:rsidRPr="00A23740">
              <w:rPr>
                <w:iCs/>
                <w:color w:val="000000"/>
                <w:szCs w:val="24"/>
              </w:rPr>
              <w:t>Paylaştırma</w:t>
            </w:r>
            <w:r w:rsidR="000D242E" w:rsidRPr="00A23740">
              <w:rPr>
                <w:bCs/>
                <w:color w:val="000000"/>
              </w:rPr>
              <w:t>” başlığını taşımakta olup</w:t>
            </w:r>
            <w:r w:rsidR="002A6962" w:rsidRPr="00A23740">
              <w:rPr>
                <w:bCs/>
                <w:color w:val="000000"/>
              </w:rPr>
              <w:t>,</w:t>
            </w:r>
            <w:r w:rsidR="000D242E" w:rsidRPr="00A23740">
              <w:rPr>
                <w:bCs/>
                <w:color w:val="000000"/>
              </w:rPr>
              <w:t xml:space="preserve"> </w:t>
            </w:r>
            <w:r w:rsidR="00991BC6" w:rsidRPr="00A23740">
              <w:rPr>
                <w:bCs/>
                <w:color w:val="000000"/>
              </w:rPr>
              <w:t>2004 sayılı Kanunun</w:t>
            </w:r>
            <w:r w:rsidR="000D242E" w:rsidRPr="00A23740">
              <w:rPr>
                <w:bCs/>
                <w:color w:val="000000"/>
              </w:rPr>
              <w:t xml:space="preserve"> 151 inci maddesinin karşılığıdır.</w:t>
            </w:r>
          </w:p>
          <w:p w:rsidR="00D8122F" w:rsidRPr="00A23740" w:rsidRDefault="000D242E" w:rsidP="00DE193E">
            <w:pPr>
              <w:tabs>
                <w:tab w:val="left" w:pos="567"/>
              </w:tabs>
              <w:autoSpaceDE w:val="0"/>
              <w:autoSpaceDN w:val="0"/>
              <w:adjustRightInd w:val="0"/>
              <w:ind w:firstLine="567"/>
              <w:rPr>
                <w:b/>
                <w:bCs/>
                <w:color w:val="000000"/>
                <w:szCs w:val="24"/>
                <w:lang w:eastAsia="x-none"/>
              </w:rPr>
            </w:pPr>
            <w:r w:rsidRPr="00A23740">
              <w:rPr>
                <w:bCs/>
                <w:color w:val="000000"/>
                <w:szCs w:val="24"/>
                <w:lang w:eastAsia="x-none"/>
              </w:rPr>
              <w:t>Maddenin birinci fıkrasında r</w:t>
            </w:r>
            <w:r w:rsidRPr="00A23740">
              <w:rPr>
                <w:color w:val="000000"/>
                <w:szCs w:val="24"/>
              </w:rPr>
              <w:t xml:space="preserve">ehin bedelinden </w:t>
            </w:r>
            <w:r w:rsidRPr="00A23740">
              <w:rPr>
                <w:rStyle w:val="MaviChar"/>
                <w:b w:val="0"/>
                <w:color w:val="000000"/>
              </w:rPr>
              <w:t>giderlerin</w:t>
            </w:r>
            <w:r w:rsidRPr="00A23740">
              <w:rPr>
                <w:color w:val="000000"/>
                <w:szCs w:val="24"/>
              </w:rPr>
              <w:t xml:space="preserve"> çıkarılmasında ve artanın alacaklılar arasında paylaştırılmasında</w:t>
            </w:r>
            <w:r w:rsidR="000D1251" w:rsidRPr="00A23740">
              <w:rPr>
                <w:color w:val="000000"/>
                <w:szCs w:val="24"/>
              </w:rPr>
              <w:t xml:space="preserve"> </w:t>
            </w:r>
            <w:r w:rsidR="000D1251" w:rsidRPr="00001224">
              <w:rPr>
                <w:color w:val="000000"/>
                <w:szCs w:val="24"/>
                <w:lang w:val="x-none"/>
              </w:rPr>
              <w:t>258 inci</w:t>
            </w:r>
            <w:r w:rsidRPr="00A23740">
              <w:rPr>
                <w:color w:val="000000"/>
                <w:szCs w:val="24"/>
              </w:rPr>
              <w:t xml:space="preserve"> madde hükmü</w:t>
            </w:r>
            <w:r w:rsidR="00B30D55" w:rsidRPr="00A23740">
              <w:rPr>
                <w:color w:val="000000"/>
                <w:szCs w:val="24"/>
              </w:rPr>
              <w:t>nün</w:t>
            </w:r>
            <w:r w:rsidRPr="00A23740">
              <w:rPr>
                <w:color w:val="000000"/>
                <w:szCs w:val="24"/>
              </w:rPr>
              <w:t xml:space="preserve"> </w:t>
            </w:r>
            <w:r w:rsidRPr="00A23740">
              <w:rPr>
                <w:bCs/>
                <w:color w:val="000000"/>
                <w:szCs w:val="24"/>
                <w:lang w:val="x-none" w:eastAsia="x-none"/>
              </w:rPr>
              <w:t>uygulanacağı kabul edilmiş;</w:t>
            </w:r>
            <w:r w:rsidRPr="00A23740">
              <w:rPr>
                <w:bCs/>
                <w:color w:val="000000"/>
                <w:szCs w:val="24"/>
                <w:lang w:eastAsia="x-none"/>
              </w:rPr>
              <w:t xml:space="preserve"> ikinci fıkrasında</w:t>
            </w:r>
            <w:r w:rsidRPr="00A23740">
              <w:rPr>
                <w:color w:val="000000"/>
                <w:szCs w:val="24"/>
              </w:rPr>
              <w:t xml:space="preserve"> satış tutarının </w:t>
            </w:r>
            <w:r w:rsidRPr="00A23740">
              <w:rPr>
                <w:bCs/>
                <w:color w:val="000000"/>
                <w:szCs w:val="24"/>
                <w:lang w:val="x-none" w:eastAsia="x-none"/>
              </w:rPr>
              <w:t>rehinli</w:t>
            </w:r>
            <w:r w:rsidRPr="00A23740">
              <w:rPr>
                <w:color w:val="000000"/>
                <w:szCs w:val="24"/>
              </w:rPr>
              <w:t xml:space="preserve"> alacaklılar </w:t>
            </w:r>
            <w:r w:rsidRPr="00A23740">
              <w:rPr>
                <w:bCs/>
                <w:color w:val="000000"/>
                <w:szCs w:val="24"/>
                <w:lang w:val="x-none" w:eastAsia="x-none"/>
              </w:rPr>
              <w:t>ve aynı mala haciz uygulayan alacaklıların</w:t>
            </w:r>
            <w:r w:rsidRPr="00A23740">
              <w:rPr>
                <w:bCs/>
                <w:color w:val="000000"/>
                <w:szCs w:val="24"/>
              </w:rPr>
              <w:t xml:space="preserve"> </w:t>
            </w:r>
            <w:r w:rsidRPr="00A23740">
              <w:rPr>
                <w:color w:val="000000"/>
                <w:szCs w:val="24"/>
              </w:rPr>
              <w:t>alacağını ödeme</w:t>
            </w:r>
            <w:r w:rsidRPr="00A23740">
              <w:rPr>
                <w:bCs/>
                <w:color w:val="000000"/>
                <w:szCs w:val="24"/>
                <w:lang w:val="x-none" w:eastAsia="x-none"/>
              </w:rPr>
              <w:t>y</w:t>
            </w:r>
            <w:r w:rsidRPr="00A23740">
              <w:rPr>
                <w:color w:val="000000"/>
                <w:szCs w:val="24"/>
              </w:rPr>
              <w:t>e yetmediği h</w:t>
            </w:r>
            <w:r w:rsidR="00F906A7" w:rsidRPr="00A23740">
              <w:rPr>
                <w:color w:val="000000"/>
                <w:szCs w:val="24"/>
              </w:rPr>
              <w:t>â</w:t>
            </w:r>
            <w:r w:rsidRPr="00A23740">
              <w:rPr>
                <w:color w:val="000000"/>
                <w:szCs w:val="24"/>
              </w:rPr>
              <w:t xml:space="preserve">llerde icra </w:t>
            </w:r>
            <w:r w:rsidRPr="00A23740">
              <w:rPr>
                <w:rStyle w:val="MaviChar"/>
                <w:b w:val="0"/>
                <w:color w:val="000000"/>
              </w:rPr>
              <w:t>ve iflas</w:t>
            </w:r>
            <w:r w:rsidRPr="00A23740">
              <w:rPr>
                <w:color w:val="000000"/>
                <w:szCs w:val="24"/>
              </w:rPr>
              <w:t xml:space="preserve"> </w:t>
            </w:r>
            <w:r w:rsidRPr="00A23740">
              <w:rPr>
                <w:bCs/>
                <w:color w:val="000000"/>
                <w:szCs w:val="24"/>
                <w:lang w:val="x-none" w:eastAsia="x-none"/>
              </w:rPr>
              <w:t>dairesinin</w:t>
            </w:r>
            <w:r w:rsidRPr="00A23740">
              <w:rPr>
                <w:bCs/>
                <w:color w:val="000000"/>
                <w:szCs w:val="24"/>
                <w:lang w:eastAsia="x-none"/>
              </w:rPr>
              <w:t>,</w:t>
            </w:r>
            <w:r w:rsidRPr="00A23740">
              <w:rPr>
                <w:color w:val="000000"/>
                <w:szCs w:val="24"/>
              </w:rPr>
              <w:t xml:space="preserve"> </w:t>
            </w:r>
            <w:r w:rsidR="000D1251" w:rsidRPr="00001224">
              <w:rPr>
                <w:color w:val="000000"/>
                <w:szCs w:val="24"/>
              </w:rPr>
              <w:t>317</w:t>
            </w:r>
            <w:r w:rsidR="000D1251" w:rsidRPr="00001224">
              <w:rPr>
                <w:color w:val="000000"/>
                <w:szCs w:val="24"/>
                <w:lang w:val="x-none"/>
              </w:rPr>
              <w:t xml:space="preserve"> nci</w:t>
            </w:r>
            <w:r w:rsidR="000D1251" w:rsidRPr="00A23740">
              <w:rPr>
                <w:rStyle w:val="MaviChar"/>
              </w:rPr>
              <w:t xml:space="preserve"> </w:t>
            </w:r>
            <w:r w:rsidRPr="00A23740">
              <w:rPr>
                <w:color w:val="000000"/>
                <w:szCs w:val="24"/>
              </w:rPr>
              <w:t>madde</w:t>
            </w:r>
            <w:r w:rsidRPr="00A23740">
              <w:rPr>
                <w:bCs/>
                <w:color w:val="000000"/>
                <w:szCs w:val="24"/>
                <w:lang w:val="x-none" w:eastAsia="x-none"/>
              </w:rPr>
              <w:t>ye</w:t>
            </w:r>
            <w:r w:rsidRPr="00A23740">
              <w:rPr>
                <w:bCs/>
                <w:color w:val="000000"/>
                <w:szCs w:val="24"/>
              </w:rPr>
              <w:t xml:space="preserve"> </w:t>
            </w:r>
            <w:r w:rsidRPr="00A23740">
              <w:rPr>
                <w:color w:val="000000"/>
                <w:szCs w:val="24"/>
              </w:rPr>
              <w:t xml:space="preserve">göre alacaklıların her birine ait sıra ve payları tayin edeceği esası kabul edilmiş; </w:t>
            </w:r>
            <w:r w:rsidRPr="00A23740">
              <w:rPr>
                <w:bCs/>
                <w:color w:val="000000"/>
                <w:szCs w:val="24"/>
                <w:lang w:eastAsia="x-none"/>
              </w:rPr>
              <w:t xml:space="preserve">üçüncü </w:t>
            </w:r>
            <w:r w:rsidRPr="00001224">
              <w:rPr>
                <w:bCs/>
                <w:color w:val="000000"/>
                <w:szCs w:val="24"/>
                <w:lang w:val="x-none" w:eastAsia="x-none"/>
              </w:rPr>
              <w:t xml:space="preserve">fıkrada ise </w:t>
            </w:r>
            <w:r w:rsidR="000D1251" w:rsidRPr="00001224">
              <w:rPr>
                <w:color w:val="000000"/>
                <w:szCs w:val="24"/>
              </w:rPr>
              <w:t>259</w:t>
            </w:r>
            <w:r w:rsidR="000D1251" w:rsidRPr="00001224">
              <w:t>,</w:t>
            </w:r>
            <w:r w:rsidR="000D1251" w:rsidRPr="00001224">
              <w:rPr>
                <w:b/>
                <w:color w:val="000000"/>
              </w:rPr>
              <w:t xml:space="preserve"> </w:t>
            </w:r>
            <w:r w:rsidR="000D1251" w:rsidRPr="00001224">
              <w:rPr>
                <w:color w:val="000000"/>
                <w:szCs w:val="24"/>
              </w:rPr>
              <w:t>260</w:t>
            </w:r>
            <w:r w:rsidR="000D1251" w:rsidRPr="00001224">
              <w:rPr>
                <w:color w:val="000000"/>
              </w:rPr>
              <w:t>,</w:t>
            </w:r>
            <w:r w:rsidR="000D1251" w:rsidRPr="00001224">
              <w:rPr>
                <w:b/>
                <w:color w:val="000000"/>
              </w:rPr>
              <w:t xml:space="preserve"> </w:t>
            </w:r>
            <w:r w:rsidR="000D1251" w:rsidRPr="00001224">
              <w:rPr>
                <w:color w:val="000000"/>
                <w:szCs w:val="24"/>
              </w:rPr>
              <w:t>261</w:t>
            </w:r>
            <w:r w:rsidR="002E62DB" w:rsidRPr="00001224">
              <w:rPr>
                <w:color w:val="000000"/>
                <w:szCs w:val="24"/>
                <w:lang w:val="x-none"/>
              </w:rPr>
              <w:t>,</w:t>
            </w:r>
            <w:r w:rsidR="000D1251" w:rsidRPr="00001224">
              <w:rPr>
                <w:b/>
                <w:color w:val="000000"/>
              </w:rPr>
              <w:t xml:space="preserve"> </w:t>
            </w:r>
            <w:r w:rsidR="000D1251" w:rsidRPr="00001224">
              <w:rPr>
                <w:color w:val="000000"/>
                <w:szCs w:val="24"/>
                <w:lang w:val="x-none"/>
              </w:rPr>
              <w:t>266 ve 267 nci</w:t>
            </w:r>
            <w:r w:rsidR="000D1251" w:rsidRPr="00A23740">
              <w:rPr>
                <w:rStyle w:val="MaviChar"/>
              </w:rPr>
              <w:t xml:space="preserve"> </w:t>
            </w:r>
            <w:r w:rsidRPr="00A23740">
              <w:rPr>
                <w:color w:val="000000"/>
                <w:szCs w:val="24"/>
              </w:rPr>
              <w:t xml:space="preserve">maddelerin burada da </w:t>
            </w:r>
            <w:r w:rsidRPr="00A23740">
              <w:rPr>
                <w:rStyle w:val="MaviChar"/>
                <w:b w:val="0"/>
                <w:color w:val="000000"/>
              </w:rPr>
              <w:t>geçerli olduğu belirtilmiştir</w:t>
            </w:r>
            <w:r w:rsidR="00991BC6" w:rsidRPr="00A23740">
              <w:rPr>
                <w:color w:val="000000"/>
                <w:szCs w:val="24"/>
              </w:rPr>
              <w:t>.</w:t>
            </w:r>
          </w:p>
          <w:p w:rsidR="00991BC6" w:rsidRPr="00A23740" w:rsidRDefault="00991BC6" w:rsidP="00DE193E">
            <w:pPr>
              <w:tabs>
                <w:tab w:val="left" w:pos="567"/>
              </w:tabs>
              <w:ind w:firstLine="567"/>
              <w:rPr>
                <w:b/>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8B4E7E">
            <w:pPr>
              <w:widowControl w:val="0"/>
              <w:tabs>
                <w:tab w:val="left" w:pos="567"/>
              </w:tabs>
              <w:autoSpaceDE w:val="0"/>
              <w:autoSpaceDN w:val="0"/>
              <w:adjustRightInd w:val="0"/>
              <w:rPr>
                <w:iCs/>
                <w:szCs w:val="24"/>
              </w:rPr>
            </w:pPr>
            <w:r w:rsidRPr="00A23740">
              <w:rPr>
                <w:iCs/>
                <w:szCs w:val="24"/>
              </w:rPr>
              <w:t>Rehin açığı belgesi</w:t>
            </w:r>
            <w:r w:rsidRPr="00A23740">
              <w:rPr>
                <w:b/>
                <w:strike/>
                <w:color w:val="FF0000"/>
                <w:szCs w:val="24"/>
                <w:lang w:eastAsia="tr-TR"/>
              </w:rPr>
              <w:t>:</w:t>
            </w:r>
          </w:p>
          <w:p w:rsidR="00155AF4" w:rsidRPr="00A23740" w:rsidRDefault="00155AF4" w:rsidP="008B4E7E">
            <w:pPr>
              <w:widowControl w:val="0"/>
              <w:tabs>
                <w:tab w:val="left" w:pos="567"/>
              </w:tabs>
              <w:autoSpaceDE w:val="0"/>
              <w:autoSpaceDN w:val="0"/>
              <w:adjustRightInd w:val="0"/>
              <w:rPr>
                <w:b/>
                <w:bCs/>
                <w:szCs w:val="24"/>
              </w:rPr>
            </w:pPr>
            <w:r w:rsidRPr="00A23740">
              <w:rPr>
                <w:b/>
                <w:bCs/>
                <w:strike/>
                <w:color w:val="FF0000"/>
                <w:szCs w:val="24"/>
              </w:rPr>
              <w:t>Madde 152 – (1) (Değişik</w:t>
            </w:r>
            <w:r w:rsidRPr="00A23740">
              <w:rPr>
                <w:b/>
                <w:strike/>
                <w:color w:val="FF0000"/>
                <w:szCs w:val="24"/>
                <w:lang w:eastAsia="tr-TR"/>
              </w:rPr>
              <w:t>: 18/2/1965 - 538/73 md.)</w:t>
            </w:r>
          </w:p>
          <w:p w:rsidR="00155AF4" w:rsidRPr="00A23740" w:rsidRDefault="00155AF4" w:rsidP="008B4E7E">
            <w:pPr>
              <w:widowControl w:val="0"/>
              <w:tabs>
                <w:tab w:val="left" w:pos="567"/>
              </w:tabs>
              <w:autoSpaceDE w:val="0"/>
              <w:autoSpaceDN w:val="0"/>
              <w:adjustRightInd w:val="0"/>
              <w:rPr>
                <w:szCs w:val="24"/>
              </w:rPr>
            </w:pPr>
            <w:r w:rsidRPr="00A23740">
              <w:rPr>
                <w:szCs w:val="24"/>
              </w:rPr>
              <w:t>Rehin, satış ist</w:t>
            </w:r>
            <w:r w:rsidRPr="00A23740">
              <w:rPr>
                <w:b/>
                <w:strike/>
                <w:color w:val="FF0000"/>
                <w:szCs w:val="24"/>
                <w:lang w:eastAsia="tr-TR"/>
              </w:rPr>
              <w:t>i</w:t>
            </w:r>
            <w:r w:rsidRPr="00A23740">
              <w:rPr>
                <w:szCs w:val="24"/>
              </w:rPr>
              <w:t xml:space="preserve">yenin alacağına derece itibariyle rüçhanı olan diğer rehinli alacakların tutarından fazla bir bedelle alıcı çıkmamasından dolayı satılamazsa veya satılıp da tutarı takip olunan alacağa yetmezse, alacaklıya bütün veya </w:t>
            </w:r>
            <w:r w:rsidRPr="00A23740">
              <w:rPr>
                <w:b/>
                <w:strike/>
                <w:color w:val="FF0000"/>
                <w:szCs w:val="24"/>
                <w:lang w:eastAsia="tr-TR"/>
              </w:rPr>
              <w:t>geri kalan</w:t>
            </w:r>
            <w:r w:rsidRPr="00A23740">
              <w:rPr>
                <w:szCs w:val="24"/>
              </w:rPr>
              <w:t xml:space="preserve"> alacağı için bir belge </w:t>
            </w:r>
            <w:r w:rsidRPr="00A23740">
              <w:rPr>
                <w:b/>
                <w:strike/>
                <w:color w:val="FF0000"/>
                <w:szCs w:val="24"/>
                <w:lang w:eastAsia="tr-TR"/>
              </w:rPr>
              <w:t>verilir</w:t>
            </w:r>
            <w:r w:rsidRPr="00A23740">
              <w:rPr>
                <w:szCs w:val="24"/>
              </w:rPr>
              <w:t>.</w:t>
            </w:r>
          </w:p>
          <w:p w:rsidR="00155AF4" w:rsidRPr="00A23740" w:rsidRDefault="00155AF4" w:rsidP="008B4E7E">
            <w:pPr>
              <w:widowControl w:val="0"/>
              <w:tabs>
                <w:tab w:val="left" w:pos="567"/>
              </w:tabs>
              <w:autoSpaceDE w:val="0"/>
              <w:autoSpaceDN w:val="0"/>
              <w:adjustRightInd w:val="0"/>
              <w:rPr>
                <w:szCs w:val="24"/>
              </w:rPr>
            </w:pPr>
          </w:p>
          <w:p w:rsidR="00155AF4" w:rsidRPr="00A23740" w:rsidRDefault="00155AF4" w:rsidP="008B4E7E">
            <w:pPr>
              <w:widowControl w:val="0"/>
              <w:tabs>
                <w:tab w:val="left" w:pos="567"/>
              </w:tabs>
              <w:autoSpaceDE w:val="0"/>
              <w:autoSpaceDN w:val="0"/>
              <w:adjustRightInd w:val="0"/>
              <w:rPr>
                <w:szCs w:val="24"/>
              </w:rPr>
            </w:pPr>
          </w:p>
          <w:p w:rsidR="00155AF4" w:rsidRPr="00A23740" w:rsidRDefault="00155AF4" w:rsidP="008B4E7E">
            <w:pPr>
              <w:widowControl w:val="0"/>
              <w:tabs>
                <w:tab w:val="left" w:pos="567"/>
              </w:tabs>
              <w:autoSpaceDE w:val="0"/>
              <w:autoSpaceDN w:val="0"/>
              <w:adjustRightInd w:val="0"/>
              <w:rPr>
                <w:szCs w:val="24"/>
              </w:rPr>
            </w:pPr>
          </w:p>
          <w:p w:rsidR="00724122" w:rsidRPr="00A23740" w:rsidRDefault="00724122" w:rsidP="008B4E7E">
            <w:pPr>
              <w:widowControl w:val="0"/>
              <w:tabs>
                <w:tab w:val="left" w:pos="567"/>
              </w:tabs>
              <w:autoSpaceDE w:val="0"/>
              <w:autoSpaceDN w:val="0"/>
              <w:adjustRightInd w:val="0"/>
              <w:rPr>
                <w:szCs w:val="24"/>
              </w:rPr>
            </w:pPr>
          </w:p>
          <w:p w:rsidR="00155AF4" w:rsidRPr="00A23740" w:rsidRDefault="00155AF4" w:rsidP="008B4E7E">
            <w:pPr>
              <w:widowControl w:val="0"/>
              <w:tabs>
                <w:tab w:val="left" w:pos="567"/>
              </w:tabs>
              <w:autoSpaceDE w:val="0"/>
              <w:autoSpaceDN w:val="0"/>
              <w:adjustRightInd w:val="0"/>
              <w:rPr>
                <w:szCs w:val="24"/>
              </w:rPr>
            </w:pPr>
          </w:p>
          <w:p w:rsidR="00B418F1" w:rsidRPr="00A23740" w:rsidRDefault="00B418F1" w:rsidP="008B4E7E">
            <w:pPr>
              <w:widowControl w:val="0"/>
              <w:tabs>
                <w:tab w:val="left" w:pos="567"/>
              </w:tabs>
              <w:autoSpaceDE w:val="0"/>
              <w:autoSpaceDN w:val="0"/>
              <w:adjustRightInd w:val="0"/>
              <w:rPr>
                <w:b/>
                <w:bCs/>
                <w:strike/>
                <w:color w:val="FF0000"/>
                <w:szCs w:val="24"/>
              </w:rPr>
            </w:pPr>
          </w:p>
          <w:p w:rsidR="00155AF4" w:rsidRDefault="00155AF4" w:rsidP="008B4E7E">
            <w:pPr>
              <w:widowControl w:val="0"/>
              <w:tabs>
                <w:tab w:val="left" w:pos="567"/>
              </w:tabs>
              <w:autoSpaceDE w:val="0"/>
              <w:autoSpaceDN w:val="0"/>
              <w:adjustRightInd w:val="0"/>
              <w:rPr>
                <w:szCs w:val="24"/>
              </w:rPr>
            </w:pPr>
            <w:r w:rsidRPr="00A23740">
              <w:rPr>
                <w:b/>
                <w:bCs/>
                <w:strike/>
                <w:color w:val="FF0000"/>
                <w:szCs w:val="24"/>
              </w:rPr>
              <w:t>(2)</w:t>
            </w:r>
            <w:r w:rsidRPr="00A23740">
              <w:rPr>
                <w:szCs w:val="24"/>
              </w:rPr>
              <w:t xml:space="preserve"> Alacağı</w:t>
            </w:r>
            <w:r w:rsidRPr="00A23740">
              <w:rPr>
                <w:b/>
                <w:bCs/>
                <w:strike/>
                <w:color w:val="FF0000"/>
                <w:szCs w:val="24"/>
              </w:rPr>
              <w:t>n</w:t>
            </w:r>
            <w:r w:rsidRPr="00A23740">
              <w:rPr>
                <w:szCs w:val="24"/>
              </w:rPr>
              <w:t xml:space="preserve"> irat senedinden veya bir taşınmaz </w:t>
            </w:r>
            <w:r w:rsidRPr="00A23740">
              <w:rPr>
                <w:b/>
                <w:strike/>
                <w:color w:val="FF0000"/>
                <w:szCs w:val="24"/>
                <w:lang w:eastAsia="tr-TR"/>
              </w:rPr>
              <w:t>mükellefiyetinden</w:t>
            </w:r>
            <w:r w:rsidRPr="00A23740">
              <w:rPr>
                <w:szCs w:val="24"/>
              </w:rPr>
              <w:t xml:space="preserve"> doğm</w:t>
            </w:r>
            <w:r w:rsidRPr="00A23740">
              <w:rPr>
                <w:b/>
                <w:strike/>
                <w:color w:val="FF0000"/>
                <w:szCs w:val="24"/>
                <w:lang w:eastAsia="tr-TR"/>
              </w:rPr>
              <w:t>ı</w:t>
            </w:r>
            <w:r w:rsidRPr="00A23740">
              <w:rPr>
                <w:szCs w:val="24"/>
              </w:rPr>
              <w:t>yan alacaklı, bu suretle tahsil edemediği alacağı için borçlunun sıfatına göre iflas veya haciz yoluna gidebilir.</w:t>
            </w:r>
          </w:p>
          <w:p w:rsidR="00DE193E" w:rsidRPr="00A23740" w:rsidRDefault="00DE193E" w:rsidP="008B4E7E">
            <w:pPr>
              <w:widowControl w:val="0"/>
              <w:tabs>
                <w:tab w:val="left" w:pos="567"/>
              </w:tabs>
              <w:autoSpaceDE w:val="0"/>
              <w:autoSpaceDN w:val="0"/>
              <w:adjustRightInd w:val="0"/>
              <w:rPr>
                <w:szCs w:val="24"/>
              </w:rPr>
            </w:pPr>
          </w:p>
          <w:p w:rsidR="00155AF4" w:rsidRPr="00A23740" w:rsidRDefault="00155AF4" w:rsidP="008B4E7E">
            <w:pPr>
              <w:widowControl w:val="0"/>
              <w:tabs>
                <w:tab w:val="left" w:pos="567"/>
              </w:tabs>
              <w:autoSpaceDE w:val="0"/>
              <w:autoSpaceDN w:val="0"/>
              <w:adjustRightInd w:val="0"/>
              <w:rPr>
                <w:szCs w:val="24"/>
              </w:rPr>
            </w:pPr>
            <w:r w:rsidRPr="00A23740">
              <w:rPr>
                <w:b/>
                <w:bCs/>
                <w:strike/>
                <w:color w:val="FF0000"/>
                <w:szCs w:val="24"/>
              </w:rPr>
              <w:t>(3)</w:t>
            </w:r>
            <w:r w:rsidRPr="00A23740">
              <w:rPr>
                <w:szCs w:val="24"/>
              </w:rPr>
              <w:t xml:space="preserve"> Alacaklı, satış yapılmamışsa artırma gününden,satış yapılması halinde satışın kesinleşmesi tarihinden itibaren bir </w:t>
            </w:r>
            <w:r w:rsidRPr="00A23740">
              <w:rPr>
                <w:b/>
                <w:strike/>
                <w:color w:val="FF0000"/>
                <w:szCs w:val="24"/>
                <w:lang w:eastAsia="tr-TR"/>
              </w:rPr>
              <w:t>sene</w:t>
            </w:r>
            <w:r w:rsidRPr="00A23740">
              <w:rPr>
                <w:szCs w:val="24"/>
              </w:rPr>
              <w:t xml:space="preserve"> içinde haciz yolu ile takip talebinde bulunursa yeniden icra veya ödeme emri tebliğine lüzum yoktur.</w:t>
            </w:r>
          </w:p>
          <w:p w:rsidR="00155AF4" w:rsidRPr="00A23740" w:rsidRDefault="00155AF4" w:rsidP="008B4E7E">
            <w:pPr>
              <w:widowControl w:val="0"/>
              <w:tabs>
                <w:tab w:val="left" w:pos="567"/>
              </w:tabs>
              <w:autoSpaceDE w:val="0"/>
              <w:autoSpaceDN w:val="0"/>
              <w:adjustRightInd w:val="0"/>
              <w:rPr>
                <w:szCs w:val="24"/>
              </w:rPr>
            </w:pPr>
          </w:p>
          <w:p w:rsidR="00155AF4" w:rsidRPr="00A23740" w:rsidRDefault="00155AF4" w:rsidP="008B4E7E">
            <w:pPr>
              <w:widowControl w:val="0"/>
              <w:tabs>
                <w:tab w:val="left" w:pos="567"/>
              </w:tabs>
              <w:autoSpaceDE w:val="0"/>
              <w:autoSpaceDN w:val="0"/>
              <w:adjustRightInd w:val="0"/>
              <w:rPr>
                <w:szCs w:val="24"/>
              </w:rPr>
            </w:pPr>
            <w:r w:rsidRPr="00A23740">
              <w:rPr>
                <w:b/>
                <w:bCs/>
                <w:strike/>
                <w:color w:val="FF0000"/>
                <w:szCs w:val="24"/>
              </w:rPr>
              <w:t>(3)</w:t>
            </w:r>
            <w:r w:rsidRPr="00A23740">
              <w:rPr>
                <w:szCs w:val="24"/>
              </w:rPr>
              <w:t xml:space="preserve"> Rehin açığı belgesi, borç ikrarını </w:t>
            </w:r>
            <w:r w:rsidRPr="00A23740">
              <w:rPr>
                <w:b/>
                <w:strike/>
                <w:color w:val="FF0000"/>
                <w:szCs w:val="24"/>
                <w:lang w:eastAsia="tr-TR"/>
              </w:rPr>
              <w:t>mutazammın</w:t>
            </w:r>
            <w:r w:rsidRPr="00A23740">
              <w:rPr>
                <w:szCs w:val="24"/>
              </w:rPr>
              <w:t xml:space="preserve"> senet </w:t>
            </w:r>
            <w:r w:rsidRPr="00A23740">
              <w:rPr>
                <w:b/>
                <w:bCs/>
                <w:strike/>
                <w:color w:val="FF0000"/>
                <w:szCs w:val="24"/>
              </w:rPr>
              <w:t>mahiyetindedir</w:t>
            </w:r>
            <w:r w:rsidRPr="00A23740">
              <w:rPr>
                <w:szCs w:val="24"/>
              </w:rPr>
              <w:t>.</w:t>
            </w:r>
          </w:p>
          <w:p w:rsidR="00155AF4" w:rsidRPr="00A23740" w:rsidRDefault="00155AF4" w:rsidP="008B4E7E">
            <w:pPr>
              <w:widowControl w:val="0"/>
              <w:tabs>
                <w:tab w:val="left" w:pos="567"/>
              </w:tabs>
              <w:autoSpaceDE w:val="0"/>
              <w:autoSpaceDN w:val="0"/>
              <w:adjustRightInd w:val="0"/>
              <w:rPr>
                <w:iCs/>
                <w:szCs w:val="24"/>
              </w:rPr>
            </w:pPr>
          </w:p>
        </w:tc>
        <w:tc>
          <w:tcPr>
            <w:tcW w:w="2500" w:type="pct"/>
            <w:shd w:val="clear" w:color="auto" w:fill="auto"/>
          </w:tcPr>
          <w:p w:rsidR="00155AF4" w:rsidRPr="00A23740" w:rsidRDefault="00155AF4" w:rsidP="008B4E7E">
            <w:pPr>
              <w:widowControl w:val="0"/>
              <w:tabs>
                <w:tab w:val="left" w:pos="567"/>
              </w:tabs>
              <w:autoSpaceDE w:val="0"/>
              <w:autoSpaceDN w:val="0"/>
              <w:adjustRightInd w:val="0"/>
              <w:rPr>
                <w:b/>
                <w:iCs/>
                <w:szCs w:val="24"/>
              </w:rPr>
            </w:pPr>
            <w:r w:rsidRPr="00A23740">
              <w:rPr>
                <w:b/>
                <w:iCs/>
                <w:szCs w:val="24"/>
              </w:rPr>
              <w:t>Rehin açığı belgesi</w:t>
            </w:r>
          </w:p>
          <w:p w:rsidR="00155AF4" w:rsidRPr="00A23740" w:rsidRDefault="00155AF4" w:rsidP="008B4E7E">
            <w:pPr>
              <w:widowControl w:val="0"/>
              <w:tabs>
                <w:tab w:val="left" w:pos="567"/>
              </w:tabs>
              <w:autoSpaceDE w:val="0"/>
              <w:autoSpaceDN w:val="0"/>
              <w:adjustRightInd w:val="0"/>
              <w:rPr>
                <w:color w:val="339933"/>
                <w:szCs w:val="24"/>
              </w:rPr>
            </w:pPr>
            <w:r w:rsidRPr="00A23740">
              <w:rPr>
                <w:b/>
                <w:bCs/>
                <w:color w:val="0000FF"/>
                <w:szCs w:val="24"/>
                <w:lang w:eastAsia="x-none"/>
              </w:rPr>
              <w:t xml:space="preserve">MADDE </w:t>
            </w:r>
            <w:r w:rsidR="00A9749A" w:rsidRPr="00A23740">
              <w:rPr>
                <w:b/>
                <w:bCs/>
                <w:color w:val="0000FF"/>
                <w:szCs w:val="24"/>
                <w:lang w:val="x-none" w:eastAsia="x-none"/>
              </w:rPr>
              <w:t>135</w:t>
            </w:r>
            <w:r w:rsidRPr="00A23740">
              <w:rPr>
                <w:b/>
                <w:bCs/>
                <w:color w:val="0000FF"/>
                <w:szCs w:val="24"/>
                <w:lang w:val="x-none" w:eastAsia="x-none"/>
              </w:rPr>
              <w:t>-</w:t>
            </w:r>
            <w:r w:rsidRPr="00A23740">
              <w:rPr>
                <w:b/>
                <w:bCs/>
                <w:color w:val="0000FF"/>
                <w:szCs w:val="24"/>
                <w:lang w:eastAsia="x-none"/>
              </w:rPr>
              <w:t xml:space="preserve"> (1</w:t>
            </w:r>
            <w:r w:rsidRPr="00A23740">
              <w:rPr>
                <w:b/>
                <w:bCs/>
                <w:color w:val="0000FF"/>
                <w:szCs w:val="24"/>
                <w:lang w:val="x-none" w:eastAsia="x-none"/>
              </w:rPr>
              <w:t xml:space="preserve">) </w:t>
            </w:r>
            <w:r w:rsidR="00724122" w:rsidRPr="00A23740">
              <w:rPr>
                <w:b/>
                <w:bCs/>
                <w:color w:val="0000FF"/>
                <w:szCs w:val="24"/>
                <w:lang w:eastAsia="x-none"/>
              </w:rPr>
              <w:t xml:space="preserve">Rehnin paraya çevrilmesi yoluyla takipte </w:t>
            </w:r>
            <w:r w:rsidR="00724122" w:rsidRPr="00A23740">
              <w:rPr>
                <w:b/>
                <w:bCs/>
                <w:color w:val="0000FF"/>
                <w:szCs w:val="24"/>
                <w:lang w:val="x-none" w:eastAsia="x-none"/>
              </w:rPr>
              <w:t>r</w:t>
            </w:r>
            <w:r w:rsidRPr="00A23740">
              <w:rPr>
                <w:b/>
                <w:bCs/>
                <w:color w:val="0000FF"/>
                <w:szCs w:val="24"/>
                <w:lang w:val="x-none" w:eastAsia="x-none"/>
              </w:rPr>
              <w:t>ehinli mal satılamaz veya satılıp da satış bedeli alacağın tamamını karşılamazsa</w:t>
            </w:r>
            <w:r w:rsidR="00BC776C" w:rsidRPr="00A23740">
              <w:rPr>
                <w:b/>
                <w:bCs/>
                <w:color w:val="0000FF"/>
                <w:szCs w:val="24"/>
                <w:lang w:eastAsia="x-none"/>
              </w:rPr>
              <w:t>,</w:t>
            </w:r>
            <w:r w:rsidR="008D6AB8">
              <w:rPr>
                <w:b/>
                <w:bCs/>
                <w:color w:val="0000FF"/>
                <w:szCs w:val="24"/>
                <w:lang w:val="x-none" w:eastAsia="x-none"/>
              </w:rPr>
              <w:t xml:space="preserve"> alacaklıya </w:t>
            </w:r>
            <w:r w:rsidR="00724122" w:rsidRPr="00A23740">
              <w:rPr>
                <w:b/>
                <w:bCs/>
                <w:color w:val="0000FF"/>
                <w:szCs w:val="24"/>
                <w:lang w:eastAsia="x-none"/>
              </w:rPr>
              <w:t xml:space="preserve">alacağının tamamı </w:t>
            </w:r>
            <w:r w:rsidRPr="00A23740">
              <w:rPr>
                <w:b/>
                <w:bCs/>
                <w:color w:val="0000FF"/>
                <w:szCs w:val="24"/>
                <w:lang w:val="x-none" w:eastAsia="x-none"/>
              </w:rPr>
              <w:t xml:space="preserve">veya rehinle karşılanmayan </w:t>
            </w:r>
            <w:r w:rsidR="00724122" w:rsidRPr="00A23740">
              <w:rPr>
                <w:b/>
                <w:bCs/>
                <w:color w:val="0000FF"/>
                <w:szCs w:val="24"/>
                <w:lang w:eastAsia="x-none"/>
              </w:rPr>
              <w:t xml:space="preserve">kısmı için </w:t>
            </w:r>
            <w:r w:rsidRPr="00A23740">
              <w:rPr>
                <w:b/>
                <w:bCs/>
                <w:color w:val="0000FF"/>
                <w:szCs w:val="24"/>
                <w:lang w:val="x-none" w:eastAsia="x-none"/>
              </w:rPr>
              <w:t xml:space="preserve">rehin açığı belgesi </w:t>
            </w:r>
            <w:r w:rsidRPr="00A23740">
              <w:rPr>
                <w:rStyle w:val="MaviChar"/>
              </w:rPr>
              <w:t>düzenlenip</w:t>
            </w:r>
            <w:r w:rsidRPr="00A23740">
              <w:rPr>
                <w:b/>
                <w:color w:val="FF3399"/>
                <w:szCs w:val="24"/>
              </w:rPr>
              <w:t xml:space="preserve"> </w:t>
            </w:r>
            <w:r w:rsidRPr="00A23740">
              <w:rPr>
                <w:rStyle w:val="MaviChar"/>
              </w:rPr>
              <w:t>verilir</w:t>
            </w:r>
            <w:r w:rsidRPr="00A23740">
              <w:rPr>
                <w:b/>
                <w:bCs/>
                <w:color w:val="0000FF"/>
                <w:szCs w:val="24"/>
                <w:lang w:val="x-none" w:eastAsia="x-none"/>
              </w:rPr>
              <w:t>.</w:t>
            </w:r>
          </w:p>
          <w:p w:rsidR="00155AF4" w:rsidRPr="00A23740" w:rsidRDefault="00155AF4" w:rsidP="008B4E7E">
            <w:pPr>
              <w:widowControl w:val="0"/>
              <w:tabs>
                <w:tab w:val="left" w:pos="567"/>
              </w:tabs>
              <w:rPr>
                <w:b/>
                <w:bCs/>
                <w:color w:val="0000FF"/>
                <w:szCs w:val="24"/>
                <w:lang w:val="x-none" w:eastAsia="x-none"/>
              </w:rPr>
            </w:pPr>
          </w:p>
          <w:p w:rsidR="00155AF4" w:rsidRPr="00A23740" w:rsidRDefault="00155AF4" w:rsidP="008B4E7E">
            <w:pPr>
              <w:widowControl w:val="0"/>
              <w:tabs>
                <w:tab w:val="left" w:pos="567"/>
              </w:tabs>
              <w:rPr>
                <w:b/>
                <w:bCs/>
                <w:color w:val="0000FF"/>
                <w:szCs w:val="24"/>
                <w:lang w:val="x-none" w:eastAsia="x-none"/>
              </w:rPr>
            </w:pPr>
            <w:r w:rsidRPr="00A23740">
              <w:rPr>
                <w:b/>
                <w:bCs/>
                <w:color w:val="0000FF"/>
                <w:szCs w:val="24"/>
                <w:lang w:val="x-none" w:eastAsia="x-none"/>
              </w:rPr>
              <w:t xml:space="preserve">(2) Rehin açığı belgesi icra </w:t>
            </w:r>
            <w:r w:rsidRPr="00A23740">
              <w:rPr>
                <w:rStyle w:val="MaviChar"/>
              </w:rPr>
              <w:t>ve iflas</w:t>
            </w:r>
            <w:r w:rsidRPr="00A23740">
              <w:rPr>
                <w:b/>
                <w:bCs/>
                <w:color w:val="0000FF"/>
                <w:szCs w:val="24"/>
                <w:lang w:eastAsia="x-none"/>
              </w:rPr>
              <w:t xml:space="preserve"> </w:t>
            </w:r>
            <w:r w:rsidRPr="00A23740">
              <w:rPr>
                <w:b/>
                <w:bCs/>
                <w:color w:val="0000FF"/>
                <w:szCs w:val="24"/>
                <w:lang w:val="x-none" w:eastAsia="x-none"/>
              </w:rPr>
              <w:t>dairesi tarafından resen düzenlenerek takip alacaklısına ve takip borçlusuna tebliğ edilir. Taraflar tebliğ tarihinden itibaren bir hafta içinde rehin açığı belgesine karşı şik</w:t>
            </w:r>
            <w:r w:rsidR="00724122" w:rsidRPr="00A23740">
              <w:rPr>
                <w:b/>
                <w:bCs/>
                <w:color w:val="0000FF"/>
                <w:szCs w:val="24"/>
                <w:lang w:eastAsia="x-none"/>
              </w:rPr>
              <w:t>â</w:t>
            </w:r>
            <w:r w:rsidRPr="00A23740">
              <w:rPr>
                <w:b/>
                <w:bCs/>
                <w:color w:val="0000FF"/>
                <w:szCs w:val="24"/>
                <w:lang w:val="x-none" w:eastAsia="x-none"/>
              </w:rPr>
              <w:t>yet yoluna başvurabilir. İcra hukuk mahkemesi şik</w:t>
            </w:r>
            <w:r w:rsidR="00724122" w:rsidRPr="00A23740">
              <w:rPr>
                <w:b/>
                <w:bCs/>
                <w:color w:val="0000FF"/>
                <w:szCs w:val="24"/>
                <w:lang w:eastAsia="x-none"/>
              </w:rPr>
              <w:t>â</w:t>
            </w:r>
            <w:r w:rsidRPr="00A23740">
              <w:rPr>
                <w:b/>
                <w:bCs/>
                <w:color w:val="0000FF"/>
                <w:szCs w:val="24"/>
                <w:lang w:val="x-none" w:eastAsia="x-none"/>
              </w:rPr>
              <w:t>yeti dosya üzerinden kesin olarak karara bağlar.</w:t>
            </w:r>
          </w:p>
          <w:p w:rsidR="00155AF4" w:rsidRPr="00A23740" w:rsidRDefault="00155AF4" w:rsidP="008B4E7E">
            <w:pPr>
              <w:widowControl w:val="0"/>
              <w:tabs>
                <w:tab w:val="left" w:pos="567"/>
              </w:tabs>
              <w:autoSpaceDE w:val="0"/>
              <w:autoSpaceDN w:val="0"/>
              <w:adjustRightInd w:val="0"/>
              <w:rPr>
                <w:szCs w:val="24"/>
              </w:rPr>
            </w:pPr>
          </w:p>
          <w:p w:rsidR="00155AF4" w:rsidRPr="00A23740" w:rsidRDefault="00155AF4" w:rsidP="008B4E7E">
            <w:pPr>
              <w:widowControl w:val="0"/>
              <w:tabs>
                <w:tab w:val="left" w:pos="567"/>
              </w:tabs>
              <w:autoSpaceDE w:val="0"/>
              <w:autoSpaceDN w:val="0"/>
              <w:adjustRightInd w:val="0"/>
              <w:rPr>
                <w:szCs w:val="24"/>
              </w:rPr>
            </w:pPr>
            <w:r w:rsidRPr="00A23740">
              <w:rPr>
                <w:b/>
                <w:bCs/>
                <w:color w:val="0000FF"/>
                <w:szCs w:val="24"/>
                <w:lang w:val="x-none" w:eastAsia="x-none"/>
              </w:rPr>
              <w:t>(3)</w:t>
            </w:r>
            <w:r w:rsidRPr="00A23740">
              <w:rPr>
                <w:b/>
                <w:color w:val="FF0000"/>
                <w:szCs w:val="24"/>
                <w:lang w:eastAsia="tr-TR"/>
              </w:rPr>
              <w:t xml:space="preserve"> </w:t>
            </w:r>
            <w:r w:rsidRPr="00A23740">
              <w:rPr>
                <w:szCs w:val="24"/>
              </w:rPr>
              <w:t xml:space="preserve">Alacağı irat senedinden veya bir taşınmaz </w:t>
            </w:r>
            <w:r w:rsidRPr="00A23740">
              <w:rPr>
                <w:b/>
                <w:bCs/>
                <w:color w:val="0000FF"/>
                <w:szCs w:val="24"/>
                <w:lang w:val="x-none" w:eastAsia="x-none"/>
              </w:rPr>
              <w:t>yükünden</w:t>
            </w:r>
            <w:r w:rsidRPr="00A23740">
              <w:rPr>
                <w:szCs w:val="24"/>
              </w:rPr>
              <w:t xml:space="preserve"> doğm</w:t>
            </w:r>
            <w:r w:rsidRPr="00A23740">
              <w:rPr>
                <w:b/>
                <w:bCs/>
                <w:color w:val="0000FF"/>
                <w:szCs w:val="24"/>
                <w:lang w:val="x-none" w:eastAsia="x-none"/>
              </w:rPr>
              <w:t>a</w:t>
            </w:r>
            <w:r w:rsidRPr="00A23740">
              <w:rPr>
                <w:szCs w:val="24"/>
              </w:rPr>
              <w:t>yan alacaklı, bu suretle tahsil edemediği alacağı için borçlunun sıfatına göre iflas veya haciz yoluna gidebilir.</w:t>
            </w:r>
          </w:p>
          <w:p w:rsidR="00DE193E" w:rsidRDefault="00DE193E" w:rsidP="008B4E7E">
            <w:pPr>
              <w:widowControl w:val="0"/>
              <w:tabs>
                <w:tab w:val="left" w:pos="567"/>
              </w:tabs>
              <w:autoSpaceDE w:val="0"/>
              <w:autoSpaceDN w:val="0"/>
              <w:adjustRightInd w:val="0"/>
              <w:rPr>
                <w:b/>
                <w:bCs/>
                <w:color w:val="0000FF"/>
                <w:szCs w:val="24"/>
                <w:lang w:val="x-none" w:eastAsia="x-none"/>
              </w:rPr>
            </w:pPr>
          </w:p>
          <w:p w:rsidR="00155AF4" w:rsidRPr="00A23740" w:rsidRDefault="00155AF4" w:rsidP="008B4E7E">
            <w:pPr>
              <w:widowControl w:val="0"/>
              <w:tabs>
                <w:tab w:val="left" w:pos="567"/>
              </w:tabs>
              <w:autoSpaceDE w:val="0"/>
              <w:autoSpaceDN w:val="0"/>
              <w:adjustRightInd w:val="0"/>
              <w:rPr>
                <w:b/>
                <w:bCs/>
                <w:strike/>
                <w:color w:val="FF0000"/>
                <w:szCs w:val="24"/>
              </w:rPr>
            </w:pPr>
            <w:r w:rsidRPr="00A23740">
              <w:rPr>
                <w:b/>
                <w:bCs/>
                <w:color w:val="0000FF"/>
                <w:szCs w:val="24"/>
                <w:lang w:val="x-none" w:eastAsia="x-none"/>
              </w:rPr>
              <w:t>(4)</w:t>
            </w:r>
            <w:r w:rsidRPr="00A23740">
              <w:rPr>
                <w:b/>
                <w:color w:val="FF0000"/>
                <w:szCs w:val="24"/>
                <w:lang w:eastAsia="tr-TR"/>
              </w:rPr>
              <w:t xml:space="preserve"> </w:t>
            </w:r>
            <w:r w:rsidRPr="00A23740">
              <w:rPr>
                <w:szCs w:val="24"/>
              </w:rPr>
              <w:t xml:space="preserve">Alacaklı, </w:t>
            </w:r>
            <w:r w:rsidRPr="00A23740">
              <w:rPr>
                <w:b/>
                <w:bCs/>
                <w:color w:val="0000FF"/>
                <w:szCs w:val="24"/>
                <w:lang w:val="x-none" w:eastAsia="x-none"/>
              </w:rPr>
              <w:t xml:space="preserve">rehin açığı belgesinin kendisine tebliğinden itibaren bir ay içinde aynı icra </w:t>
            </w:r>
            <w:r w:rsidR="00724122" w:rsidRPr="00A23740">
              <w:rPr>
                <w:b/>
                <w:bCs/>
                <w:color w:val="0000FF"/>
                <w:szCs w:val="24"/>
                <w:lang w:eastAsia="x-none"/>
              </w:rPr>
              <w:t xml:space="preserve">dosyasından, </w:t>
            </w:r>
            <w:r w:rsidRPr="00A23740">
              <w:rPr>
                <w:b/>
                <w:bCs/>
                <w:color w:val="0000FF"/>
                <w:szCs w:val="24"/>
                <w:lang w:val="x-none" w:eastAsia="x-none"/>
              </w:rPr>
              <w:t>takip borçlusuna ayrıca icra veya ödeme emri gönderilmeksizin</w:t>
            </w:r>
            <w:r w:rsidR="00724122" w:rsidRPr="00A23740">
              <w:rPr>
                <w:b/>
                <w:bCs/>
                <w:color w:val="0000FF"/>
                <w:szCs w:val="24"/>
                <w:lang w:eastAsia="x-none"/>
              </w:rPr>
              <w:t>,</w:t>
            </w:r>
            <w:r w:rsidRPr="00A23740">
              <w:rPr>
                <w:b/>
                <w:bCs/>
                <w:color w:val="0000FF"/>
                <w:szCs w:val="24"/>
              </w:rPr>
              <w:t xml:space="preserve"> </w:t>
            </w:r>
            <w:r w:rsidRPr="00A23740">
              <w:rPr>
                <w:szCs w:val="24"/>
              </w:rPr>
              <w:t xml:space="preserve">haciz talebinde </w:t>
            </w:r>
            <w:r w:rsidRPr="00A23740">
              <w:rPr>
                <w:b/>
                <w:bCs/>
                <w:color w:val="0000FF"/>
                <w:szCs w:val="24"/>
                <w:lang w:val="x-none" w:eastAsia="x-none"/>
              </w:rPr>
              <w:t>bulunabilir.</w:t>
            </w:r>
          </w:p>
          <w:p w:rsidR="00155AF4" w:rsidRDefault="00155AF4" w:rsidP="008B4E7E">
            <w:pPr>
              <w:widowControl w:val="0"/>
              <w:tabs>
                <w:tab w:val="left" w:pos="567"/>
              </w:tabs>
              <w:autoSpaceDE w:val="0"/>
              <w:autoSpaceDN w:val="0"/>
              <w:adjustRightInd w:val="0"/>
              <w:rPr>
                <w:szCs w:val="24"/>
              </w:rPr>
            </w:pPr>
          </w:p>
          <w:p w:rsidR="008D6AB8" w:rsidRPr="00A23740" w:rsidRDefault="008D6AB8" w:rsidP="008B4E7E">
            <w:pPr>
              <w:widowControl w:val="0"/>
              <w:tabs>
                <w:tab w:val="left" w:pos="567"/>
              </w:tabs>
              <w:autoSpaceDE w:val="0"/>
              <w:autoSpaceDN w:val="0"/>
              <w:adjustRightInd w:val="0"/>
              <w:rPr>
                <w:szCs w:val="24"/>
              </w:rPr>
            </w:pPr>
          </w:p>
          <w:p w:rsidR="00155AF4" w:rsidRPr="00A23740" w:rsidRDefault="00155AF4" w:rsidP="008B4E7E">
            <w:pPr>
              <w:widowControl w:val="0"/>
              <w:rPr>
                <w:rFonts w:eastAsia="Times New Roman"/>
                <w:szCs w:val="24"/>
                <w:lang w:eastAsia="tr-TR"/>
              </w:rPr>
            </w:pPr>
            <w:r w:rsidRPr="00A23740">
              <w:rPr>
                <w:rFonts w:eastAsia="Times New Roman"/>
                <w:b/>
                <w:bCs/>
                <w:color w:val="0000FF"/>
                <w:szCs w:val="24"/>
                <w:lang w:val="x-none" w:eastAsia="x-none"/>
              </w:rPr>
              <w:t>(5)</w:t>
            </w:r>
            <w:r w:rsidRPr="00A23740">
              <w:rPr>
                <w:rFonts w:eastAsia="Times New Roman"/>
                <w:b/>
                <w:color w:val="FF0000"/>
                <w:szCs w:val="24"/>
                <w:lang w:eastAsia="tr-TR"/>
              </w:rPr>
              <w:t xml:space="preserve"> </w:t>
            </w:r>
            <w:r w:rsidRPr="00A23740">
              <w:rPr>
                <w:rFonts w:eastAsia="Times New Roman"/>
                <w:szCs w:val="24"/>
                <w:lang w:eastAsia="tr-TR"/>
              </w:rPr>
              <w:t xml:space="preserve">Rehin açığı belgesi, borç ikrarını </w:t>
            </w:r>
            <w:r w:rsidRPr="00A23740">
              <w:rPr>
                <w:rFonts w:eastAsia="Times New Roman"/>
                <w:b/>
                <w:bCs/>
                <w:color w:val="0000FF"/>
                <w:szCs w:val="24"/>
                <w:lang w:val="x-none" w:eastAsia="x-none"/>
              </w:rPr>
              <w:t>içeren</w:t>
            </w:r>
            <w:r w:rsidRPr="00A23740">
              <w:rPr>
                <w:rFonts w:eastAsia="Times New Roman"/>
                <w:szCs w:val="24"/>
                <w:lang w:eastAsia="tr-TR"/>
              </w:rPr>
              <w:t xml:space="preserve"> senet </w:t>
            </w:r>
            <w:r w:rsidRPr="00A23740">
              <w:rPr>
                <w:rFonts w:eastAsia="ヒラギノ明朝 Pro W3"/>
                <w:b/>
                <w:bCs/>
                <w:color w:val="0000FF"/>
                <w:szCs w:val="24"/>
                <w:lang w:val="x-none" w:eastAsia="x-none"/>
              </w:rPr>
              <w:t>niteliğindedir.</w:t>
            </w:r>
          </w:p>
          <w:p w:rsidR="00155AF4" w:rsidRPr="00A23740" w:rsidRDefault="00155AF4" w:rsidP="008B4E7E">
            <w:pPr>
              <w:widowControl w:val="0"/>
              <w:rPr>
                <w:rFonts w:eastAsia="Times New Roman"/>
                <w:strike/>
                <w:szCs w:val="24"/>
                <w:lang w:eastAsia="tr-TR"/>
              </w:rPr>
            </w:pPr>
          </w:p>
        </w:tc>
      </w:tr>
      <w:tr w:rsidR="00D8122F" w:rsidRPr="00A23740" w:rsidTr="009431FF">
        <w:tc>
          <w:tcPr>
            <w:tcW w:w="5000" w:type="pct"/>
            <w:gridSpan w:val="2"/>
            <w:shd w:val="clear" w:color="auto" w:fill="DEEAF6"/>
          </w:tcPr>
          <w:p w:rsidR="007A2CD2" w:rsidRPr="00A23740" w:rsidRDefault="007A2CD2" w:rsidP="009431FF">
            <w:pPr>
              <w:tabs>
                <w:tab w:val="left" w:pos="567"/>
              </w:tabs>
              <w:autoSpaceDE w:val="0"/>
              <w:autoSpaceDN w:val="0"/>
              <w:adjustRightInd w:val="0"/>
              <w:ind w:firstLine="567"/>
              <w:rPr>
                <w:rStyle w:val="MaviChar"/>
                <w:b w:val="0"/>
                <w:color w:val="000000"/>
              </w:rPr>
            </w:pPr>
          </w:p>
          <w:p w:rsidR="000D242E" w:rsidRPr="00A23740" w:rsidRDefault="00A9749A" w:rsidP="009431FF">
            <w:pPr>
              <w:tabs>
                <w:tab w:val="left" w:pos="567"/>
              </w:tabs>
              <w:autoSpaceDE w:val="0"/>
              <w:autoSpaceDN w:val="0"/>
              <w:adjustRightInd w:val="0"/>
              <w:ind w:firstLine="567"/>
              <w:rPr>
                <w:rStyle w:val="MaviChar"/>
                <w:b w:val="0"/>
                <w:color w:val="000000"/>
              </w:rPr>
            </w:pPr>
            <w:r w:rsidRPr="00A23740">
              <w:rPr>
                <w:rStyle w:val="MaviChar"/>
                <w:color w:val="000000"/>
              </w:rPr>
              <w:t>MADDE 135</w:t>
            </w:r>
            <w:r w:rsidR="00D8122F" w:rsidRPr="00A23740">
              <w:rPr>
                <w:rStyle w:val="MaviChar"/>
                <w:color w:val="000000"/>
              </w:rPr>
              <w:t>-</w:t>
            </w:r>
            <w:r w:rsidR="000D242E" w:rsidRPr="00A23740">
              <w:rPr>
                <w:rStyle w:val="MaviChar"/>
                <w:b w:val="0"/>
                <w:color w:val="000000"/>
              </w:rPr>
              <w:t xml:space="preserve"> </w:t>
            </w:r>
            <w:r w:rsidR="00267AA7" w:rsidRPr="00A23740">
              <w:rPr>
                <w:rStyle w:val="MaviChar"/>
                <w:b w:val="0"/>
                <w:color w:val="000000"/>
                <w:lang w:val="tr-TR"/>
              </w:rPr>
              <w:t>Maddeyle,</w:t>
            </w:r>
            <w:r w:rsidR="00267AA7" w:rsidRPr="00A23740">
              <w:rPr>
                <w:b/>
                <w:iCs/>
                <w:szCs w:val="24"/>
              </w:rPr>
              <w:t xml:space="preserve"> </w:t>
            </w:r>
            <w:r w:rsidR="00267AA7" w:rsidRPr="00A23740">
              <w:rPr>
                <w:rStyle w:val="MaviChar"/>
                <w:b w:val="0"/>
                <w:color w:val="000000"/>
                <w:lang w:val="tr-TR"/>
              </w:rPr>
              <w:t xml:space="preserve">rehin açığı belgesine ilişkin hususlar düzenlenmektedir. </w:t>
            </w:r>
            <w:r w:rsidR="000D242E" w:rsidRPr="00A23740">
              <w:rPr>
                <w:rStyle w:val="MaviChar"/>
                <w:b w:val="0"/>
                <w:color w:val="000000"/>
                <w:lang w:val="tr-TR"/>
              </w:rPr>
              <w:t>Taslağın</w:t>
            </w:r>
            <w:r w:rsidR="00B418F1" w:rsidRPr="00A23740">
              <w:rPr>
                <w:rStyle w:val="MaviChar"/>
                <w:b w:val="0"/>
                <w:color w:val="000000"/>
                <w:lang w:val="tr-TR"/>
              </w:rPr>
              <w:t xml:space="preserve"> </w:t>
            </w:r>
            <w:r w:rsidR="00B418F1" w:rsidRPr="00001224">
              <w:rPr>
                <w:rStyle w:val="MaviChar"/>
                <w:b w:val="0"/>
                <w:color w:val="000000"/>
                <w:lang w:val="tr-TR"/>
              </w:rPr>
              <w:t>135 inci</w:t>
            </w:r>
            <w:r w:rsidR="000D242E" w:rsidRPr="00A23740">
              <w:rPr>
                <w:rStyle w:val="MaviChar"/>
                <w:b w:val="0"/>
                <w:color w:val="000000"/>
                <w:lang w:val="tr-TR"/>
              </w:rPr>
              <w:t xml:space="preserve"> maddesi “Rehin açığı belgesi” başlığını taşımakta olup </w:t>
            </w:r>
            <w:r w:rsidR="007A2CD2" w:rsidRPr="00A23740">
              <w:rPr>
                <w:rStyle w:val="MaviChar"/>
                <w:b w:val="0"/>
                <w:color w:val="000000"/>
                <w:lang w:val="tr-TR"/>
              </w:rPr>
              <w:t>2004 sayılı Kanunun</w:t>
            </w:r>
            <w:r w:rsidR="000D242E" w:rsidRPr="00A23740">
              <w:rPr>
                <w:rStyle w:val="MaviChar"/>
                <w:b w:val="0"/>
                <w:color w:val="000000"/>
              </w:rPr>
              <w:t xml:space="preserve"> 152 nci maddesinin karşılığıdır.</w:t>
            </w:r>
          </w:p>
          <w:p w:rsidR="007323A2" w:rsidRPr="00001224" w:rsidRDefault="000D242E" w:rsidP="009431FF">
            <w:pPr>
              <w:tabs>
                <w:tab w:val="left" w:pos="567"/>
              </w:tabs>
              <w:autoSpaceDE w:val="0"/>
              <w:autoSpaceDN w:val="0"/>
              <w:adjustRightInd w:val="0"/>
              <w:ind w:firstLine="567"/>
              <w:rPr>
                <w:rStyle w:val="MaviChar"/>
                <w:b w:val="0"/>
                <w:color w:val="000000"/>
                <w:lang w:val="tr-TR"/>
              </w:rPr>
            </w:pPr>
            <w:r w:rsidRPr="00A23740">
              <w:rPr>
                <w:rStyle w:val="MaviChar"/>
                <w:b w:val="0"/>
                <w:color w:val="000000"/>
              </w:rPr>
              <w:t>Maddenin birinci fıkrasında</w:t>
            </w:r>
            <w:r w:rsidR="00B30D55" w:rsidRPr="00A23740">
              <w:rPr>
                <w:rStyle w:val="MaviChar"/>
                <w:b w:val="0"/>
                <w:color w:val="000000"/>
                <w:lang w:val="tr-TR"/>
              </w:rPr>
              <w:t>,</w:t>
            </w:r>
            <w:r w:rsidRPr="00A23740">
              <w:rPr>
                <w:rStyle w:val="MaviChar"/>
                <w:b w:val="0"/>
                <w:color w:val="000000"/>
              </w:rPr>
              <w:t xml:space="preserve"> rehinli mal satılamaz veya satılıp da satış bedeli alacağın tamamını karşılamazsa</w:t>
            </w:r>
            <w:r w:rsidR="00B30D55" w:rsidRPr="00A23740">
              <w:rPr>
                <w:rStyle w:val="MaviChar"/>
                <w:b w:val="0"/>
                <w:color w:val="000000"/>
                <w:lang w:val="tr-TR"/>
              </w:rPr>
              <w:t>,</w:t>
            </w:r>
            <w:r w:rsidRPr="00A23740">
              <w:rPr>
                <w:rStyle w:val="MaviChar"/>
                <w:b w:val="0"/>
                <w:color w:val="000000"/>
              </w:rPr>
              <w:t xml:space="preserve"> alacaklıya bütün veya rehinle karşılanmayan takip konusu alacağı için bir rehin açığı belgesi düzenlenip verileceği; ikinci fıkrasında bu rehin açığı belgesinin icra ve iflas dairesi tarafından resen düzenlenerek takip alacaklısına ve takip borçlusuna tebliğ edileceği;  tarafların, tebliğ tarihinden itibaren bir hafta içinde rehin açığı belgesine karşı şik</w:t>
            </w:r>
            <w:r w:rsidR="00724122" w:rsidRPr="00A23740">
              <w:rPr>
                <w:rStyle w:val="MaviChar"/>
                <w:b w:val="0"/>
                <w:color w:val="000000"/>
                <w:lang w:val="tr-TR"/>
              </w:rPr>
              <w:t>â</w:t>
            </w:r>
            <w:r w:rsidRPr="00A23740">
              <w:rPr>
                <w:rStyle w:val="MaviChar"/>
                <w:b w:val="0"/>
                <w:color w:val="000000"/>
              </w:rPr>
              <w:t>ye</w:t>
            </w:r>
            <w:r w:rsidR="00724122" w:rsidRPr="00A23740">
              <w:rPr>
                <w:rStyle w:val="MaviChar"/>
                <w:b w:val="0"/>
                <w:color w:val="000000"/>
              </w:rPr>
              <w:t xml:space="preserve">t yoluna </w:t>
            </w:r>
            <w:r w:rsidR="00724122" w:rsidRPr="00001224">
              <w:rPr>
                <w:rStyle w:val="MaviChar"/>
                <w:b w:val="0"/>
                <w:color w:val="000000"/>
                <w:lang w:val="tr-TR"/>
              </w:rPr>
              <w:t>başvurabilecekleri ve i</w:t>
            </w:r>
            <w:r w:rsidRPr="00001224">
              <w:rPr>
                <w:rStyle w:val="MaviChar"/>
                <w:b w:val="0"/>
                <w:color w:val="000000"/>
                <w:lang w:val="tr-TR"/>
              </w:rPr>
              <w:t>cra hukuk mahkemesinin şik</w:t>
            </w:r>
            <w:r w:rsidR="00724122" w:rsidRPr="00A23740">
              <w:rPr>
                <w:rStyle w:val="MaviChar"/>
                <w:b w:val="0"/>
                <w:color w:val="000000"/>
                <w:lang w:val="tr-TR"/>
              </w:rPr>
              <w:t>â</w:t>
            </w:r>
            <w:r w:rsidRPr="00001224">
              <w:rPr>
                <w:rStyle w:val="MaviChar"/>
                <w:b w:val="0"/>
                <w:color w:val="000000"/>
                <w:lang w:val="tr-TR"/>
              </w:rPr>
              <w:t>yeti dosya üzerinden kesin olarak karara bağlayacağı öngörülmektedir.</w:t>
            </w:r>
            <w:r w:rsidR="007323A2" w:rsidRPr="00A23740">
              <w:rPr>
                <w:rStyle w:val="MaviChar"/>
                <w:b w:val="0"/>
                <w:color w:val="000000"/>
                <w:lang w:val="tr-TR"/>
              </w:rPr>
              <w:t xml:space="preserve"> </w:t>
            </w:r>
            <w:r w:rsidR="007323A2" w:rsidRPr="00001224">
              <w:rPr>
                <w:rStyle w:val="MaviChar"/>
                <w:b w:val="0"/>
                <w:color w:val="000000"/>
                <w:lang w:val="tr-TR"/>
              </w:rPr>
              <w:t>Uygulamada zaman zaman asıl borçlu yanında</w:t>
            </w:r>
            <w:r w:rsidR="007323A2" w:rsidRPr="00A23740">
              <w:rPr>
                <w:rStyle w:val="Balk1Char"/>
                <w:rFonts w:eastAsia="Calibri"/>
                <w:b w:val="0"/>
              </w:rPr>
              <w:t xml:space="preserve"> </w:t>
            </w:r>
            <w:r w:rsidR="00506C64" w:rsidRPr="00001224">
              <w:rPr>
                <w:rStyle w:val="MaviChar"/>
                <w:b w:val="0"/>
                <w:color w:val="000000"/>
                <w:lang w:val="tr-TR"/>
              </w:rPr>
              <w:t xml:space="preserve">taşınmaz </w:t>
            </w:r>
            <w:r w:rsidR="007323A2" w:rsidRPr="00001224">
              <w:rPr>
                <w:rStyle w:val="MaviChar"/>
                <w:b w:val="0"/>
                <w:color w:val="000000"/>
                <w:lang w:val="tr-TR"/>
              </w:rPr>
              <w:t>maliki üçüncü kişi yönünden de rehin açığı belgesi düzenlendiği görülmektedir. Bu uygulamanın Kanuna uygun olmadığı açıktır.</w:t>
            </w:r>
          </w:p>
          <w:p w:rsidR="000D242E" w:rsidRPr="00A23740" w:rsidRDefault="000D242E" w:rsidP="009431FF">
            <w:pPr>
              <w:tabs>
                <w:tab w:val="left" w:pos="567"/>
              </w:tabs>
              <w:autoSpaceDE w:val="0"/>
              <w:autoSpaceDN w:val="0"/>
              <w:adjustRightInd w:val="0"/>
              <w:ind w:firstLine="567"/>
              <w:rPr>
                <w:rStyle w:val="MaviChar"/>
                <w:b w:val="0"/>
                <w:color w:val="000000"/>
              </w:rPr>
            </w:pPr>
            <w:r w:rsidRPr="00A23740">
              <w:rPr>
                <w:rStyle w:val="MaviChar"/>
                <w:b w:val="0"/>
                <w:color w:val="000000"/>
              </w:rPr>
              <w:t xml:space="preserve">Maddenin üçüncü fıkrasında alacağı irat senedinden veya bir taşınmaz yükünden doğmayan alacaklının, bu suretle tahsil edemediği alacağı için borçlunun sıfatına göre iflas veya haciz yoluna gidebileceği; dördüncü fıkrasında alacaklının, rehin açığı belgesinin kendisine tebliğinden itibaren bir ay içinde aynı icra </w:t>
            </w:r>
            <w:r w:rsidR="00724122" w:rsidRPr="00001224">
              <w:rPr>
                <w:rStyle w:val="MaviChar"/>
                <w:b w:val="0"/>
                <w:color w:val="000000"/>
                <w:lang w:val="tr-TR"/>
              </w:rPr>
              <w:t>dosyasından</w:t>
            </w:r>
            <w:r w:rsidR="00724122" w:rsidRPr="00001224">
              <w:rPr>
                <w:rStyle w:val="MaviChar"/>
                <w:color w:val="000000"/>
                <w:lang w:val="tr-TR"/>
              </w:rPr>
              <w:t>,</w:t>
            </w:r>
            <w:r w:rsidR="00724122" w:rsidRPr="00A23740">
              <w:rPr>
                <w:rStyle w:val="MaviChar"/>
                <w:b w:val="0"/>
                <w:color w:val="000000"/>
                <w:lang w:val="tr-TR"/>
              </w:rPr>
              <w:t xml:space="preserve"> </w:t>
            </w:r>
            <w:r w:rsidRPr="00A23740">
              <w:rPr>
                <w:rStyle w:val="MaviChar"/>
                <w:b w:val="0"/>
                <w:color w:val="000000"/>
              </w:rPr>
              <w:t>takip borçlusuna ayrıca icra veya ödeme emri gönderilmeksizin haciz talebinde bulunabileceği; beşinci fıkrasında ise rehin açığı belgesinin, borç ikrarını içeren senet niteliğinde</w:t>
            </w:r>
            <w:r w:rsidR="007A2CD2" w:rsidRPr="00A23740">
              <w:rPr>
                <w:rStyle w:val="MaviChar"/>
                <w:b w:val="0"/>
                <w:color w:val="000000"/>
              </w:rPr>
              <w:t xml:space="preserve"> olduğu düzenlenmektedir.</w:t>
            </w:r>
          </w:p>
          <w:p w:rsidR="00D8122F" w:rsidRPr="00A23740" w:rsidRDefault="00B30D55" w:rsidP="009431FF">
            <w:pPr>
              <w:tabs>
                <w:tab w:val="left" w:pos="567"/>
              </w:tabs>
              <w:autoSpaceDE w:val="0"/>
              <w:autoSpaceDN w:val="0"/>
              <w:adjustRightInd w:val="0"/>
              <w:ind w:firstLine="567"/>
              <w:rPr>
                <w:rStyle w:val="MaviChar"/>
                <w:b w:val="0"/>
                <w:color w:val="000000"/>
              </w:rPr>
            </w:pPr>
            <w:r w:rsidRPr="00A23740">
              <w:rPr>
                <w:rStyle w:val="MaviChar"/>
                <w:b w:val="0"/>
                <w:color w:val="000000"/>
                <w:lang w:val="tr-TR"/>
              </w:rPr>
              <w:t>M</w:t>
            </w:r>
            <w:r w:rsidR="000D242E" w:rsidRPr="00A23740">
              <w:rPr>
                <w:rStyle w:val="MaviChar"/>
                <w:b w:val="0"/>
                <w:color w:val="000000"/>
              </w:rPr>
              <w:t xml:space="preserve">addenin </w:t>
            </w:r>
            <w:r w:rsidR="00724122" w:rsidRPr="00001224">
              <w:rPr>
                <w:rStyle w:val="MaviChar"/>
                <w:b w:val="0"/>
                <w:color w:val="000000"/>
              </w:rPr>
              <w:t>2004 sayılı</w:t>
            </w:r>
            <w:r w:rsidR="00724122" w:rsidRPr="00A23740">
              <w:rPr>
                <w:rStyle w:val="MaviChar"/>
                <w:b w:val="0"/>
                <w:color w:val="000000"/>
                <w:lang w:val="tr-TR"/>
              </w:rPr>
              <w:t xml:space="preserve"> K</w:t>
            </w:r>
            <w:r w:rsidR="000D242E" w:rsidRPr="00A23740">
              <w:rPr>
                <w:rStyle w:val="MaviChar"/>
                <w:b w:val="0"/>
                <w:color w:val="000000"/>
              </w:rPr>
              <w:t xml:space="preserve">anunun 152 nci maddesine göre farklı </w:t>
            </w:r>
            <w:r w:rsidRPr="00A23740">
              <w:rPr>
                <w:rStyle w:val="MaviChar"/>
                <w:b w:val="0"/>
                <w:color w:val="000000"/>
                <w:lang w:val="tr-TR"/>
              </w:rPr>
              <w:t xml:space="preserve">yönleri </w:t>
            </w:r>
            <w:r w:rsidR="000D242E" w:rsidRPr="00A23740">
              <w:rPr>
                <w:rStyle w:val="MaviChar"/>
                <w:b w:val="0"/>
                <w:color w:val="000000"/>
              </w:rPr>
              <w:t>bulunmaktadır. İlk olarak</w:t>
            </w:r>
            <w:r w:rsidRPr="00A23740">
              <w:rPr>
                <w:rStyle w:val="MaviChar"/>
                <w:b w:val="0"/>
                <w:color w:val="000000"/>
                <w:lang w:val="tr-TR"/>
              </w:rPr>
              <w:t>,</w:t>
            </w:r>
            <w:r w:rsidR="000D242E" w:rsidRPr="00A23740">
              <w:rPr>
                <w:rStyle w:val="MaviChar"/>
                <w:b w:val="0"/>
                <w:color w:val="000000"/>
              </w:rPr>
              <w:t xml:space="preserve"> takibin tarafları arasında eşitliğin bozulmaması için rehin açığı belgesini</w:t>
            </w:r>
            <w:r w:rsidRPr="00A23740">
              <w:rPr>
                <w:rStyle w:val="MaviChar"/>
                <w:b w:val="0"/>
                <w:color w:val="000000"/>
                <w:lang w:val="tr-TR"/>
              </w:rPr>
              <w:t>n</w:t>
            </w:r>
            <w:r w:rsidR="000D242E" w:rsidRPr="00A23740">
              <w:rPr>
                <w:rStyle w:val="MaviChar"/>
                <w:b w:val="0"/>
                <w:color w:val="000000"/>
              </w:rPr>
              <w:t xml:space="preserve"> hem takip alacaklısına hem de takip borçlusuna tebliği esası kabul edilmiştir. İkinci olarak</w:t>
            </w:r>
            <w:r w:rsidRPr="00A23740">
              <w:rPr>
                <w:rStyle w:val="MaviChar"/>
                <w:b w:val="0"/>
                <w:color w:val="000000"/>
                <w:lang w:val="tr-TR"/>
              </w:rPr>
              <w:t>,</w:t>
            </w:r>
            <w:r w:rsidR="000D242E" w:rsidRPr="00A23740">
              <w:rPr>
                <w:rStyle w:val="MaviChar"/>
                <w:b w:val="0"/>
                <w:color w:val="000000"/>
              </w:rPr>
              <w:t xml:space="preserve"> rehin açığı belgesinin </w:t>
            </w:r>
            <w:r w:rsidR="000D242E" w:rsidRPr="00001224">
              <w:rPr>
                <w:rStyle w:val="MaviChar"/>
                <w:b w:val="0"/>
                <w:color w:val="000000"/>
                <w:lang w:val="tr-TR"/>
              </w:rPr>
              <w:t>icra</w:t>
            </w:r>
            <w:r w:rsidR="00B73523" w:rsidRPr="00001224">
              <w:rPr>
                <w:rStyle w:val="MaviChar"/>
                <w:b w:val="0"/>
                <w:color w:val="000000"/>
                <w:lang w:val="tr-TR"/>
              </w:rPr>
              <w:t xml:space="preserve"> ve iflas</w:t>
            </w:r>
            <w:r w:rsidR="000D242E" w:rsidRPr="00001224">
              <w:rPr>
                <w:rStyle w:val="MaviChar"/>
                <w:b w:val="0"/>
                <w:color w:val="000000"/>
                <w:lang w:val="tr-TR"/>
              </w:rPr>
              <w:t xml:space="preserve"> dairesi</w:t>
            </w:r>
            <w:r w:rsidR="000D242E" w:rsidRPr="00A23740">
              <w:rPr>
                <w:rStyle w:val="MaviChar"/>
                <w:b w:val="0"/>
                <w:color w:val="000000"/>
              </w:rPr>
              <w:t xml:space="preserve"> tarafından resen düzenlenmesi öngörülmüştür. Üçüncü</w:t>
            </w:r>
            <w:r w:rsidR="007A2CD2" w:rsidRPr="00A23740">
              <w:rPr>
                <w:rStyle w:val="MaviChar"/>
                <w:b w:val="0"/>
                <w:color w:val="000000"/>
              </w:rPr>
              <w:t xml:space="preserve"> olarak da</w:t>
            </w:r>
            <w:r w:rsidRPr="00A23740">
              <w:rPr>
                <w:rStyle w:val="MaviChar"/>
                <w:b w:val="0"/>
                <w:color w:val="000000"/>
                <w:lang w:val="tr-TR"/>
              </w:rPr>
              <w:t>,</w:t>
            </w:r>
            <w:r w:rsidR="007A2CD2" w:rsidRPr="00A23740">
              <w:rPr>
                <w:rStyle w:val="MaviChar"/>
                <w:b w:val="0"/>
                <w:color w:val="000000"/>
              </w:rPr>
              <w:t xml:space="preserve"> dörd</w:t>
            </w:r>
            <w:r w:rsidR="000D242E" w:rsidRPr="00A23740">
              <w:rPr>
                <w:rStyle w:val="MaviChar"/>
                <w:b w:val="0"/>
                <w:color w:val="000000"/>
              </w:rPr>
              <w:t xml:space="preserve">üncü fıkradaki bir yıllık süre fazla uzun bulunarak, süre </w:t>
            </w:r>
            <w:r w:rsidR="00E47822" w:rsidRPr="00001224">
              <w:rPr>
                <w:rStyle w:val="MaviChar"/>
                <w:b w:val="0"/>
                <w:color w:val="000000"/>
                <w:lang w:val="tr-TR"/>
              </w:rPr>
              <w:t>İsviçre’nin Borç İçin Takip ve İflas Hakkında Federal Kanunu</w:t>
            </w:r>
            <w:r w:rsidR="000D242E" w:rsidRPr="00001224">
              <w:rPr>
                <w:rStyle w:val="MaviChar"/>
                <w:b w:val="0"/>
                <w:color w:val="000000"/>
                <w:lang w:val="tr-TR"/>
              </w:rPr>
              <w:t xml:space="preserve"> doğrultusunda</w:t>
            </w:r>
            <w:r w:rsidR="000D242E" w:rsidRPr="00A23740">
              <w:rPr>
                <w:rStyle w:val="MaviChar"/>
                <w:b w:val="0"/>
                <w:color w:val="000000"/>
              </w:rPr>
              <w:t xml:space="preserve"> bir ay olarak belirlenmiştir.</w:t>
            </w:r>
          </w:p>
          <w:p w:rsidR="007A2CD2" w:rsidRPr="00A23740" w:rsidRDefault="007A2CD2" w:rsidP="00DE193E">
            <w:pPr>
              <w:tabs>
                <w:tab w:val="left" w:pos="567"/>
              </w:tabs>
              <w:autoSpaceDE w:val="0"/>
              <w:autoSpaceDN w:val="0"/>
              <w:adjustRightInd w:val="0"/>
              <w:ind w:firstLine="567"/>
              <w:rPr>
                <w:rStyle w:val="MaviChar"/>
                <w:b w:val="0"/>
                <w:color w:val="000000"/>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7"/>
              </w:tabs>
              <w:autoSpaceDE w:val="0"/>
              <w:autoSpaceDN w:val="0"/>
              <w:adjustRightInd w:val="0"/>
              <w:rPr>
                <w:iCs/>
                <w:szCs w:val="24"/>
              </w:rPr>
            </w:pPr>
            <w:r w:rsidRPr="00A23740">
              <w:rPr>
                <w:iCs/>
                <w:szCs w:val="24"/>
              </w:rPr>
              <w:t xml:space="preserve">İpotekli alacakta alacaklının </w:t>
            </w:r>
            <w:r w:rsidRPr="00A23740">
              <w:rPr>
                <w:b/>
                <w:bCs/>
                <w:strike/>
                <w:color w:val="FF0000"/>
                <w:szCs w:val="24"/>
              </w:rPr>
              <w:t>gaip</w:t>
            </w:r>
            <w:r w:rsidRPr="00A23740">
              <w:rPr>
                <w:iCs/>
                <w:szCs w:val="24"/>
              </w:rPr>
              <w:t xml:space="preserve"> </w:t>
            </w:r>
            <w:r w:rsidRPr="00A23740">
              <w:rPr>
                <w:b/>
                <w:bCs/>
                <w:strike/>
                <w:color w:val="FF0000"/>
                <w:szCs w:val="24"/>
              </w:rPr>
              <w:t>bulunması</w:t>
            </w:r>
            <w:r w:rsidRPr="00A23740">
              <w:rPr>
                <w:iCs/>
                <w:szCs w:val="24"/>
              </w:rPr>
              <w:t xml:space="preserve"> veya borcu almaktan </w:t>
            </w:r>
            <w:r w:rsidRPr="00A23740">
              <w:rPr>
                <w:b/>
                <w:strike/>
                <w:color w:val="FF0000"/>
                <w:szCs w:val="24"/>
                <w:lang w:eastAsia="tr-TR"/>
              </w:rPr>
              <w:t>imtinaı:</w:t>
            </w: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bCs/>
                <w:strike/>
                <w:color w:val="FF0000"/>
                <w:szCs w:val="24"/>
              </w:rPr>
              <w:t>Madde 153 – (1)</w:t>
            </w:r>
            <w:r w:rsidRPr="00A23740">
              <w:rPr>
                <w:b/>
                <w:bCs/>
                <w:iCs/>
              </w:rPr>
              <w:t xml:space="preserve"> </w:t>
            </w:r>
            <w:r w:rsidRPr="00A23740">
              <w:rPr>
                <w:iCs/>
                <w:szCs w:val="24"/>
              </w:rPr>
              <w:t>İpotekle temin</w:t>
            </w:r>
            <w:r w:rsidRPr="00A23740">
              <w:rPr>
                <w:b/>
                <w:iCs/>
              </w:rPr>
              <w:t xml:space="preserve"> </w:t>
            </w:r>
            <w:r w:rsidRPr="00A23740">
              <w:rPr>
                <w:b/>
                <w:strike/>
                <w:color w:val="FF0000"/>
                <w:szCs w:val="24"/>
                <w:lang w:eastAsia="tr-TR"/>
              </w:rPr>
              <w:t>edilmiş</w:t>
            </w:r>
            <w:r w:rsidRPr="00A23740">
              <w:rPr>
                <w:iCs/>
                <w:szCs w:val="24"/>
              </w:rPr>
              <w:t xml:space="preserve"> ve vadesi gelmiş bir alacağın</w:t>
            </w:r>
            <w:r w:rsidRPr="00A23740">
              <w:rPr>
                <w:b/>
                <w:strike/>
                <w:color w:val="FF0000"/>
                <w:szCs w:val="24"/>
                <w:lang w:eastAsia="tr-TR"/>
              </w:rPr>
              <w:t xml:space="preserve"> </w:t>
            </w:r>
            <w:r w:rsidRPr="00A23740">
              <w:rPr>
                <w:iCs/>
                <w:szCs w:val="24"/>
              </w:rPr>
              <w:t>borçlusu icra dairesine</w:t>
            </w:r>
            <w:r w:rsidRPr="00A23740">
              <w:rPr>
                <w:b/>
                <w:iCs/>
              </w:rPr>
              <w:t xml:space="preserve"> </w:t>
            </w:r>
            <w:r w:rsidRPr="00A23740">
              <w:rPr>
                <w:b/>
                <w:strike/>
                <w:color w:val="FF0000"/>
                <w:szCs w:val="24"/>
                <w:lang w:eastAsia="tr-TR"/>
              </w:rPr>
              <w:t>müracaatla</w:t>
            </w:r>
            <w:r w:rsidRPr="00A23740">
              <w:rPr>
                <w:iCs/>
                <w:szCs w:val="24"/>
              </w:rPr>
              <w:t xml:space="preserve"> alacaklısının </w:t>
            </w:r>
            <w:r w:rsidRPr="00A23740">
              <w:rPr>
                <w:b/>
                <w:bCs/>
                <w:strike/>
                <w:color w:val="FF0000"/>
                <w:szCs w:val="24"/>
              </w:rPr>
              <w:t xml:space="preserve">gaip </w:t>
            </w:r>
            <w:r w:rsidRPr="00A23740">
              <w:rPr>
                <w:b/>
                <w:strike/>
                <w:color w:val="FF0000"/>
                <w:szCs w:val="24"/>
                <w:lang w:eastAsia="tr-TR"/>
              </w:rPr>
              <w:t>ve</w:t>
            </w:r>
            <w:r w:rsidRPr="00A23740">
              <w:rPr>
                <w:iCs/>
                <w:szCs w:val="24"/>
              </w:rPr>
              <w:t xml:space="preserve"> yerleşim yerinin </w:t>
            </w:r>
            <w:r w:rsidRPr="00A23740">
              <w:rPr>
                <w:b/>
                <w:strike/>
                <w:color w:val="FF0000"/>
                <w:szCs w:val="24"/>
                <w:lang w:eastAsia="tr-TR"/>
              </w:rPr>
              <w:t>meçhul bulunduğunu</w:t>
            </w:r>
            <w:r w:rsidRPr="00A23740">
              <w:rPr>
                <w:iCs/>
                <w:szCs w:val="24"/>
              </w:rPr>
              <w:t xml:space="preserve"> veya borcu almaktan ve ipoteği çözmekten </w:t>
            </w:r>
            <w:r w:rsidRPr="00A23740">
              <w:rPr>
                <w:b/>
                <w:strike/>
                <w:color w:val="FF0000"/>
                <w:szCs w:val="24"/>
                <w:lang w:eastAsia="tr-TR"/>
              </w:rPr>
              <w:t>imtina ettiğini</w:t>
            </w:r>
            <w:r w:rsidRPr="00A23740">
              <w:rPr>
                <w:b/>
                <w:iCs/>
              </w:rPr>
              <w:t xml:space="preserve"> </w:t>
            </w:r>
            <w:r w:rsidRPr="00A23740">
              <w:rPr>
                <w:iCs/>
                <w:szCs w:val="24"/>
              </w:rPr>
              <w:t>beyan</w:t>
            </w:r>
            <w:r w:rsidRPr="00A23740">
              <w:rPr>
                <w:b/>
                <w:iCs/>
              </w:rPr>
              <w:t xml:space="preserve"> </w:t>
            </w:r>
            <w:r w:rsidRPr="00A23740">
              <w:rPr>
                <w:iCs/>
                <w:szCs w:val="24"/>
              </w:rPr>
              <w:t>ed</w:t>
            </w:r>
            <w:r w:rsidRPr="00A23740">
              <w:rPr>
                <w:b/>
                <w:strike/>
                <w:color w:val="FF0000"/>
                <w:szCs w:val="24"/>
                <w:lang w:eastAsia="tr-TR"/>
              </w:rPr>
              <w:t>erse icra dairesi on beş gün içinde daireye gelerek parayı  almasını  ve  ipoteği  çözmesini  alacaklıya  usulüne  göre  tebliğ eder. Alacaklı bu müddet içinde gelmediği veya gelipte kanunen makbul bir sebep beyan etmeksizin parayı almaktan ve ipoteği çözmekten imtina eylediği takdirde borçlu borcunu icra dairesine tamamiyle yatırırsa icra mahkemesi verilen paranın alacaklı namına hıfzına ve ipotek kaydının terkinine karar verir. Bu karar tapu dairesine tebliğ edilerek ipotekli taşınmazın sicilline geçirilir.</w:t>
            </w: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A71DCF" w:rsidRPr="00A23740" w:rsidRDefault="00A71DCF"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bCs/>
                <w:strike/>
                <w:color w:val="FF0000"/>
                <w:szCs w:val="24"/>
              </w:rPr>
              <w:t>(2)</w:t>
            </w:r>
            <w:r w:rsidRPr="00A23740">
              <w:rPr>
                <w:color w:val="000000"/>
                <w:szCs w:val="24"/>
                <w:lang w:eastAsia="tr-TR"/>
              </w:rPr>
              <w:t xml:space="preserve"> Vadesi gelmeyen borcun ipotek</w:t>
            </w:r>
            <w:r w:rsidRPr="00A23740">
              <w:rPr>
                <w:b/>
                <w:color w:val="FF0000"/>
                <w:szCs w:val="24"/>
                <w:lang w:eastAsia="tr-TR"/>
              </w:rPr>
              <w:t xml:space="preserve"> </w:t>
            </w:r>
            <w:r w:rsidRPr="00A23740">
              <w:rPr>
                <w:b/>
                <w:strike/>
                <w:color w:val="FF0000"/>
                <w:szCs w:val="24"/>
                <w:lang w:eastAsia="tr-TR"/>
              </w:rPr>
              <w:t>senedi mucibince</w:t>
            </w:r>
            <w:r w:rsidRPr="00A23740">
              <w:rPr>
                <w:b/>
                <w:color w:val="FF0000"/>
                <w:szCs w:val="24"/>
                <w:lang w:eastAsia="tr-TR"/>
              </w:rPr>
              <w:t xml:space="preserve"> </w:t>
            </w:r>
            <w:r w:rsidRPr="00A23740">
              <w:rPr>
                <w:color w:val="000000"/>
                <w:szCs w:val="24"/>
                <w:lang w:eastAsia="tr-TR"/>
              </w:rPr>
              <w:t xml:space="preserve">işlemiş ve işleyecek bütün faizleri ile birlikte </w:t>
            </w:r>
            <w:r w:rsidRPr="00A23740">
              <w:rPr>
                <w:b/>
                <w:strike/>
                <w:color w:val="FF0000"/>
                <w:szCs w:val="24"/>
                <w:lang w:eastAsia="tr-TR"/>
              </w:rPr>
              <w:t>tediyesini deruhde eden</w:t>
            </w:r>
            <w:r w:rsidRPr="00A23740">
              <w:rPr>
                <w:color w:val="000000"/>
                <w:szCs w:val="24"/>
                <w:lang w:eastAsia="tr-TR"/>
              </w:rPr>
              <w:t xml:space="preserve"> borçlu</w:t>
            </w:r>
            <w:r w:rsidRPr="00A23740">
              <w:rPr>
                <w:b/>
                <w:strike/>
                <w:color w:val="FF0000"/>
                <w:szCs w:val="24"/>
                <w:lang w:eastAsia="tr-TR"/>
              </w:rPr>
              <w:t xml:space="preserve"> </w:t>
            </w:r>
            <w:r w:rsidRPr="00A23740">
              <w:rPr>
                <w:color w:val="000000"/>
                <w:szCs w:val="24"/>
                <w:lang w:eastAsia="tr-TR"/>
              </w:rPr>
              <w:t>hakkında da yukarıki hüküm</w:t>
            </w:r>
            <w:r w:rsidRPr="00A23740">
              <w:rPr>
                <w:b/>
                <w:color w:val="FF0000"/>
                <w:szCs w:val="24"/>
                <w:lang w:eastAsia="tr-TR"/>
              </w:rPr>
              <w:t xml:space="preserve"> </w:t>
            </w:r>
            <w:r w:rsidRPr="00A23740">
              <w:rPr>
                <w:b/>
                <w:strike/>
                <w:color w:val="FF0000"/>
                <w:szCs w:val="24"/>
                <w:lang w:eastAsia="tr-TR"/>
              </w:rPr>
              <w:t>cereyan eder.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autoSpaceDE w:val="0"/>
              <w:autoSpaceDN w:val="0"/>
              <w:adjustRightInd w:val="0"/>
              <w:rPr>
                <w:b/>
                <w:strike/>
                <w:color w:val="FF0000"/>
                <w:szCs w:val="24"/>
                <w:lang w:eastAsia="tr-TR"/>
              </w:rPr>
            </w:pPr>
            <w:r w:rsidRPr="00A23740">
              <w:rPr>
                <w:b/>
                <w:strike/>
                <w:color w:val="FF0000"/>
                <w:szCs w:val="24"/>
                <w:lang w:eastAsia="tr-TR"/>
              </w:rPr>
              <w:t>(3) (Ek: 29/6/1956 - 6763/42 md.; Mülga üçüncü fıkra: 14/1/2011-6103/41 md.)</w:t>
            </w: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p w:rsidR="00155AF4" w:rsidRPr="00A23740" w:rsidRDefault="00155AF4" w:rsidP="009431FF">
            <w:pPr>
              <w:tabs>
                <w:tab w:val="left" w:pos="567"/>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autoSpaceDE w:val="0"/>
              <w:autoSpaceDN w:val="0"/>
              <w:adjustRightInd w:val="0"/>
              <w:rPr>
                <w:b/>
                <w:iCs/>
                <w:szCs w:val="24"/>
              </w:rPr>
            </w:pPr>
            <w:r w:rsidRPr="00A23740">
              <w:rPr>
                <w:b/>
                <w:iCs/>
                <w:szCs w:val="24"/>
              </w:rPr>
              <w:t xml:space="preserve">İpotekli alacakta alacaklının </w:t>
            </w:r>
            <w:r w:rsidRPr="00A23740">
              <w:rPr>
                <w:b/>
                <w:bCs/>
                <w:color w:val="0000FF"/>
                <w:szCs w:val="24"/>
                <w:lang w:val="x-none" w:eastAsia="x-none"/>
              </w:rPr>
              <w:t>adresinin bilinmemesi</w:t>
            </w:r>
            <w:r w:rsidRPr="00A23740">
              <w:rPr>
                <w:b/>
                <w:iCs/>
                <w:szCs w:val="24"/>
              </w:rPr>
              <w:t xml:space="preserve"> veya borcu almaktan </w:t>
            </w:r>
            <w:r w:rsidRPr="00A23740">
              <w:rPr>
                <w:b/>
                <w:bCs/>
                <w:color w:val="0000FF"/>
                <w:szCs w:val="24"/>
                <w:lang w:val="x-none" w:eastAsia="x-none"/>
              </w:rPr>
              <w:t>kaçınması</w:t>
            </w:r>
          </w:p>
          <w:p w:rsidR="00155AF4" w:rsidRPr="00A23740" w:rsidRDefault="00155AF4" w:rsidP="009431FF">
            <w:pPr>
              <w:tabs>
                <w:tab w:val="left" w:pos="567"/>
              </w:tabs>
              <w:autoSpaceDE w:val="0"/>
              <w:autoSpaceDN w:val="0"/>
              <w:adjustRightInd w:val="0"/>
              <w:rPr>
                <w:b/>
                <w:color w:val="0000FF"/>
                <w:szCs w:val="24"/>
              </w:rPr>
            </w:pPr>
            <w:r w:rsidRPr="00A23740">
              <w:rPr>
                <w:b/>
                <w:bCs/>
                <w:color w:val="0000FF"/>
                <w:szCs w:val="24"/>
                <w:lang w:eastAsia="x-none"/>
              </w:rPr>
              <w:t xml:space="preserve">MADDE </w:t>
            </w:r>
            <w:r w:rsidR="00A9749A" w:rsidRPr="00A23740">
              <w:rPr>
                <w:b/>
                <w:bCs/>
                <w:color w:val="0000FF"/>
                <w:szCs w:val="24"/>
                <w:lang w:val="x-none" w:eastAsia="x-none"/>
              </w:rPr>
              <w:t>136</w:t>
            </w:r>
            <w:r w:rsidRPr="00A23740">
              <w:rPr>
                <w:b/>
                <w:bCs/>
                <w:color w:val="0000FF"/>
                <w:szCs w:val="24"/>
                <w:lang w:val="x-none" w:eastAsia="x-none"/>
              </w:rPr>
              <w:t>-</w:t>
            </w:r>
            <w:r w:rsidRPr="00A23740">
              <w:rPr>
                <w:b/>
                <w:bCs/>
                <w:color w:val="0000FF"/>
                <w:szCs w:val="24"/>
                <w:lang w:eastAsia="x-none"/>
              </w:rPr>
              <w:t xml:space="preserve"> (1)</w:t>
            </w:r>
            <w:r w:rsidRPr="00A23740">
              <w:rPr>
                <w:iCs/>
                <w:szCs w:val="24"/>
              </w:rPr>
              <w:t xml:space="preserve"> İpotekle temin</w:t>
            </w:r>
            <w:r w:rsidRPr="00A23740">
              <w:rPr>
                <w:b/>
                <w:bCs/>
                <w:color w:val="0000FF"/>
                <w:szCs w:val="24"/>
                <w:lang w:val="x-none" w:eastAsia="x-none"/>
              </w:rPr>
              <w:t xml:space="preserve">at altına alınmış </w:t>
            </w:r>
            <w:r w:rsidRPr="00A23740">
              <w:rPr>
                <w:iCs/>
                <w:szCs w:val="24"/>
              </w:rPr>
              <w:t>ve vadesi gelmiş bir alacağın borçlusu</w:t>
            </w:r>
            <w:r w:rsidRPr="00A23740">
              <w:rPr>
                <w:b/>
                <w:color w:val="0000FF"/>
                <w:szCs w:val="24"/>
              </w:rPr>
              <w:t xml:space="preserve"> </w:t>
            </w:r>
            <w:r w:rsidRPr="00A23740">
              <w:rPr>
                <w:b/>
                <w:bCs/>
                <w:color w:val="0000FF"/>
                <w:szCs w:val="24"/>
                <w:lang w:val="x-none" w:eastAsia="x-none"/>
              </w:rPr>
              <w:t xml:space="preserve">veya ipotekli taşınmazın maliki üçüncü kişi, </w:t>
            </w:r>
            <w:r w:rsidRPr="00A23740">
              <w:rPr>
                <w:iCs/>
                <w:szCs w:val="24"/>
              </w:rPr>
              <w:t xml:space="preserve">icra </w:t>
            </w:r>
            <w:r w:rsidRPr="00A23740">
              <w:rPr>
                <w:rStyle w:val="MaviChar"/>
              </w:rPr>
              <w:t>ve iflas</w:t>
            </w:r>
            <w:r w:rsidRPr="00A23740">
              <w:rPr>
                <w:iCs/>
                <w:szCs w:val="24"/>
              </w:rPr>
              <w:t xml:space="preserve"> dairesine </w:t>
            </w:r>
            <w:r w:rsidRPr="00A23740">
              <w:rPr>
                <w:b/>
                <w:bCs/>
                <w:color w:val="0000FF"/>
                <w:szCs w:val="24"/>
                <w:lang w:val="x-none" w:eastAsia="x-none"/>
              </w:rPr>
              <w:t xml:space="preserve">başvurarak </w:t>
            </w:r>
            <w:r w:rsidRPr="00A23740">
              <w:rPr>
                <w:iCs/>
                <w:szCs w:val="24"/>
              </w:rPr>
              <w:t xml:space="preserve">alacaklısının </w:t>
            </w:r>
            <w:r w:rsidRPr="00A23740">
              <w:rPr>
                <w:b/>
                <w:bCs/>
                <w:color w:val="0000FF"/>
                <w:szCs w:val="24"/>
                <w:lang w:val="x-none" w:eastAsia="x-none"/>
              </w:rPr>
              <w:t xml:space="preserve">adresinin bilinmediğini </w:t>
            </w:r>
            <w:r w:rsidRPr="00A23740">
              <w:rPr>
                <w:iCs/>
                <w:szCs w:val="24"/>
              </w:rPr>
              <w:t>veya borcu almaktan ve ipoteği çözmekten</w:t>
            </w:r>
            <w:r w:rsidRPr="00A23740">
              <w:rPr>
                <w:b/>
                <w:color w:val="0000FF"/>
                <w:szCs w:val="24"/>
              </w:rPr>
              <w:t xml:space="preserve"> </w:t>
            </w:r>
            <w:r w:rsidRPr="00A23740">
              <w:rPr>
                <w:b/>
                <w:bCs/>
                <w:color w:val="0000FF"/>
                <w:szCs w:val="24"/>
                <w:lang w:val="x-none" w:eastAsia="x-none"/>
              </w:rPr>
              <w:t xml:space="preserve">kaçındığını </w:t>
            </w:r>
            <w:r w:rsidRPr="00A23740">
              <w:rPr>
                <w:iCs/>
                <w:szCs w:val="24"/>
              </w:rPr>
              <w:t>beyan ed</w:t>
            </w:r>
            <w:r w:rsidRPr="00A23740">
              <w:rPr>
                <w:b/>
                <w:bCs/>
                <w:color w:val="0000FF"/>
                <w:szCs w:val="24"/>
                <w:lang w:val="x-none" w:eastAsia="x-none"/>
              </w:rPr>
              <w:t>ip borcun tamamını ödemeye hazır olduğunu bildirerek ipoteğin terkinini talep edebilir.</w:t>
            </w:r>
          </w:p>
          <w:p w:rsidR="00155AF4" w:rsidRPr="00A23740" w:rsidRDefault="00155AF4" w:rsidP="009431FF">
            <w:pPr>
              <w:tabs>
                <w:tab w:val="left" w:pos="567"/>
              </w:tabs>
              <w:autoSpaceDE w:val="0"/>
              <w:autoSpaceDN w:val="0"/>
              <w:adjustRightInd w:val="0"/>
              <w:rPr>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 xml:space="preserve">(2) İcra </w:t>
            </w:r>
            <w:r w:rsidRPr="00A23740">
              <w:rPr>
                <w:rStyle w:val="MaviChar"/>
              </w:rPr>
              <w:t>ve iflas</w:t>
            </w:r>
            <w:r w:rsidRPr="00A23740">
              <w:rPr>
                <w:b/>
                <w:bCs/>
                <w:color w:val="0000FF"/>
                <w:szCs w:val="24"/>
                <w:lang w:eastAsia="x-none"/>
              </w:rPr>
              <w:t xml:space="preserve"> </w:t>
            </w:r>
            <w:r w:rsidRPr="00A23740">
              <w:rPr>
                <w:b/>
                <w:bCs/>
                <w:color w:val="0000FF"/>
                <w:szCs w:val="24"/>
                <w:lang w:val="x-none" w:eastAsia="x-none"/>
              </w:rPr>
              <w:t>dairesi bu talep üzerine borçlunun ödemesi gereken miktarı, ipotek faizli ise faiziyle birlikte tespit eder ve</w:t>
            </w:r>
            <w:r w:rsidRPr="00A23740">
              <w:rPr>
                <w:b/>
                <w:bCs/>
                <w:color w:val="0000FF"/>
                <w:szCs w:val="24"/>
                <w:lang w:eastAsia="x-none"/>
              </w:rPr>
              <w:t xml:space="preserve"> başvuruda bulunan</w:t>
            </w:r>
            <w:r w:rsidRPr="00A23740">
              <w:rPr>
                <w:b/>
                <w:bCs/>
                <w:color w:val="0000FF"/>
                <w:szCs w:val="24"/>
                <w:lang w:val="x-none" w:eastAsia="x-none"/>
              </w:rPr>
              <w:t xml:space="preserve"> borçluya</w:t>
            </w:r>
            <w:r w:rsidRPr="00A23740">
              <w:rPr>
                <w:b/>
                <w:bCs/>
                <w:color w:val="0000FF"/>
                <w:szCs w:val="24"/>
                <w:lang w:eastAsia="x-none"/>
              </w:rPr>
              <w:t xml:space="preserve"> veya </w:t>
            </w:r>
            <w:r w:rsidRPr="00A23740">
              <w:rPr>
                <w:rStyle w:val="MaviChar"/>
              </w:rPr>
              <w:t>ipotekli taşınmazın maliki üçüncü kişiye</w:t>
            </w:r>
            <w:r w:rsidRPr="00A23740">
              <w:rPr>
                <w:b/>
                <w:bCs/>
                <w:color w:val="0000FF"/>
                <w:szCs w:val="24"/>
                <w:lang w:val="x-none" w:eastAsia="x-none"/>
              </w:rPr>
              <w:t xml:space="preserve"> bu miktarı ödemesi için iki haftalık süre verir. </w:t>
            </w:r>
            <w:r w:rsidRPr="00A23740">
              <w:rPr>
                <w:b/>
                <w:bCs/>
                <w:color w:val="0000FF"/>
                <w:szCs w:val="24"/>
                <w:lang w:eastAsia="x-none"/>
              </w:rPr>
              <w:t>B</w:t>
            </w:r>
            <w:r w:rsidRPr="00A23740">
              <w:rPr>
                <w:b/>
                <w:bCs/>
                <w:color w:val="0000FF"/>
                <w:szCs w:val="24"/>
                <w:lang w:val="x-none" w:eastAsia="x-none"/>
              </w:rPr>
              <w:t>elirtilen miktarı</w:t>
            </w:r>
            <w:r w:rsidRPr="00A23740">
              <w:rPr>
                <w:b/>
                <w:bCs/>
                <w:color w:val="0000FF"/>
                <w:szCs w:val="24"/>
                <w:lang w:eastAsia="x-none"/>
              </w:rPr>
              <w:t>n</w:t>
            </w:r>
            <w:r w:rsidRPr="00A23740">
              <w:rPr>
                <w:b/>
                <w:bCs/>
                <w:color w:val="0000FF"/>
                <w:szCs w:val="24"/>
                <w:lang w:val="x-none" w:eastAsia="x-none"/>
              </w:rPr>
              <w:t xml:space="preserve"> süresinde icra</w:t>
            </w:r>
            <w:r w:rsidRPr="00A23740">
              <w:rPr>
                <w:b/>
                <w:bCs/>
                <w:color w:val="0000FF"/>
                <w:szCs w:val="24"/>
                <w:lang w:eastAsia="x-none"/>
              </w:rPr>
              <w:t xml:space="preserve"> </w:t>
            </w:r>
            <w:r w:rsidRPr="00A23740">
              <w:rPr>
                <w:rStyle w:val="MaviChar"/>
              </w:rPr>
              <w:t>ve iflas dairesinin</w:t>
            </w:r>
            <w:r w:rsidRPr="00A23740">
              <w:rPr>
                <w:b/>
                <w:bCs/>
                <w:color w:val="0000FF"/>
                <w:szCs w:val="24"/>
                <w:lang w:val="x-none" w:eastAsia="x-none"/>
              </w:rPr>
              <w:t xml:space="preserve"> banka hesabına yatır</w:t>
            </w:r>
            <w:r w:rsidRPr="00A23740">
              <w:rPr>
                <w:b/>
                <w:bCs/>
                <w:color w:val="0000FF"/>
                <w:szCs w:val="24"/>
                <w:lang w:eastAsia="x-none"/>
              </w:rPr>
              <w:t>ılma</w:t>
            </w:r>
            <w:r w:rsidRPr="00A23740">
              <w:rPr>
                <w:b/>
                <w:bCs/>
                <w:color w:val="0000FF"/>
                <w:szCs w:val="24"/>
                <w:lang w:val="x-none" w:eastAsia="x-none"/>
              </w:rPr>
              <w:t xml:space="preserve">sı </w:t>
            </w:r>
            <w:r w:rsidRPr="00A23740">
              <w:rPr>
                <w:rStyle w:val="MaviChar"/>
              </w:rPr>
              <w:t>h</w:t>
            </w:r>
            <w:r w:rsidR="00FA5BB4" w:rsidRPr="00A23740">
              <w:rPr>
                <w:rStyle w:val="MaviChar"/>
                <w:lang w:val="tr-TR"/>
              </w:rPr>
              <w:t>â</w:t>
            </w:r>
            <w:r w:rsidRPr="00A23740">
              <w:rPr>
                <w:rStyle w:val="MaviChar"/>
              </w:rPr>
              <w:t>linde,</w:t>
            </w:r>
            <w:r w:rsidRPr="00A23740">
              <w:rPr>
                <w:b/>
                <w:bCs/>
                <w:color w:val="0000FF"/>
                <w:szCs w:val="24"/>
                <w:lang w:val="x-none" w:eastAsia="x-none"/>
              </w:rPr>
              <w:t xml:space="preserve"> </w:t>
            </w:r>
            <w:r w:rsidRPr="00A23740">
              <w:rPr>
                <w:rStyle w:val="MaviChar"/>
              </w:rPr>
              <w:t>icra ve iflas dairesi</w:t>
            </w:r>
            <w:r w:rsidRPr="00A23740">
              <w:rPr>
                <w:color w:val="FF0000"/>
                <w:szCs w:val="24"/>
                <w:lang w:val="x-none" w:eastAsia="x-none"/>
              </w:rPr>
              <w:t xml:space="preserve"> </w:t>
            </w:r>
            <w:r w:rsidRPr="00A23740">
              <w:rPr>
                <w:b/>
                <w:bCs/>
                <w:color w:val="0000FF"/>
                <w:szCs w:val="24"/>
                <w:lang w:val="x-none" w:eastAsia="x-none"/>
              </w:rPr>
              <w:t xml:space="preserve">alacaklıya iki hafta içinde </w:t>
            </w:r>
            <w:r w:rsidRPr="00A23740">
              <w:rPr>
                <w:rStyle w:val="MaviChar"/>
              </w:rPr>
              <w:t>gelip</w:t>
            </w:r>
            <w:r w:rsidRPr="00A23740">
              <w:rPr>
                <w:b/>
                <w:bCs/>
                <w:color w:val="0000FF"/>
                <w:szCs w:val="24"/>
                <w:lang w:eastAsia="x-none"/>
              </w:rPr>
              <w:t xml:space="preserve"> </w:t>
            </w:r>
            <w:r w:rsidRPr="00A23740">
              <w:rPr>
                <w:b/>
                <w:bCs/>
                <w:color w:val="0000FF"/>
                <w:szCs w:val="24"/>
                <w:lang w:val="x-none" w:eastAsia="x-none"/>
              </w:rPr>
              <w:t>alacağını almasını veya varsa alacağı almamak veya ipoteğin terkinini talep etmemek için kabul edilebilir bir sebep bildirmesini tebliğ eder.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(3) Alacaklı yatırılan parayı ipoteğin terkini konusunda bir çekince belirtmeden almayı kabul ederse,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 parayı öder ve ipoteğin terkini için tapu müdürlüğüne bildirimde bulunur.</w:t>
            </w:r>
          </w:p>
          <w:p w:rsidR="00155AF4" w:rsidRPr="00A23740" w:rsidRDefault="00155AF4" w:rsidP="009431FF">
            <w:pPr>
              <w:tabs>
                <w:tab w:val="left" w:pos="567"/>
              </w:tabs>
              <w:rPr>
                <w:b/>
                <w:bCs/>
                <w:color w:val="0000FF"/>
                <w:szCs w:val="24"/>
                <w:lang w:val="x-none" w:eastAsia="x-none"/>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(4) Alacaklı kendisine yapılan tebligat üzerine parayı almak için gelmezse veya parayı almaktan kaçınırsa ya da ipoteğin terkini konusunda çekince belirtirse</w:t>
            </w:r>
            <w:r w:rsidR="00FA5BB4" w:rsidRPr="00A23740">
              <w:rPr>
                <w:b/>
                <w:bCs/>
                <w:color w:val="0000FF"/>
                <w:szCs w:val="24"/>
                <w:lang w:eastAsia="x-none"/>
              </w:rPr>
              <w:t>,</w:t>
            </w:r>
            <w:r w:rsidRPr="00A23740">
              <w:rPr>
                <w:b/>
                <w:bCs/>
                <w:color w:val="0000FF"/>
                <w:szCs w:val="24"/>
                <w:lang w:val="x-none" w:eastAsia="x-none"/>
              </w:rPr>
              <w:t xml:space="preserve">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 dosyayı icra hukuk mahkemesine verir. İcra hukuk mahkemesi borçlunun yatırdığı paranın ipotekle temin edilen borcu karşılamaya yeterli olduğunu tespit ederse</w:t>
            </w:r>
            <w:r w:rsidR="00FA5BB4" w:rsidRPr="00A23740">
              <w:rPr>
                <w:b/>
                <w:bCs/>
                <w:color w:val="0000FF"/>
                <w:szCs w:val="24"/>
                <w:lang w:eastAsia="x-none"/>
              </w:rPr>
              <w:t>,</w:t>
            </w:r>
            <w:r w:rsidRPr="00A23740">
              <w:rPr>
                <w:b/>
                <w:bCs/>
                <w:color w:val="0000FF"/>
                <w:szCs w:val="24"/>
                <w:lang w:val="x-none" w:eastAsia="x-none"/>
              </w:rPr>
              <w:t xml:space="preserve"> yatırılan paranın alacaklı adına saklanmasına ve ipoteğin terkinine karar verir. Ancak, alacaklı parayı almaktan kaçınmasına </w:t>
            </w:r>
            <w:r w:rsidR="00FA5BB4" w:rsidRPr="00A23740">
              <w:rPr>
                <w:b/>
                <w:bCs/>
                <w:color w:val="0000FF"/>
                <w:szCs w:val="24"/>
                <w:lang w:eastAsia="x-none"/>
              </w:rPr>
              <w:t xml:space="preserve">yol açan ve </w:t>
            </w:r>
            <w:r w:rsidRPr="00A23740">
              <w:rPr>
                <w:b/>
                <w:bCs/>
                <w:color w:val="0000FF"/>
                <w:szCs w:val="24"/>
                <w:lang w:val="x-none" w:eastAsia="x-none"/>
              </w:rPr>
              <w:t>yargılamayı gerektiren bir sebep ileri sürerse</w:t>
            </w:r>
            <w:r w:rsidR="00FA5BB4" w:rsidRPr="00A23740">
              <w:rPr>
                <w:b/>
                <w:bCs/>
                <w:color w:val="0000FF"/>
                <w:szCs w:val="24"/>
                <w:lang w:eastAsia="x-none"/>
              </w:rPr>
              <w:t>,</w:t>
            </w:r>
            <w:r w:rsidRPr="00A23740">
              <w:rPr>
                <w:b/>
                <w:bCs/>
                <w:color w:val="0000FF"/>
                <w:szCs w:val="24"/>
                <w:lang w:val="x-none" w:eastAsia="x-none"/>
              </w:rPr>
              <w:t xml:space="preserve"> icra hukuk mahkemesi ipoteğin terkini talebini reddeder. İpoteğin terkinini talep eden ilgilinin genel mahkemelere başvurma hakkı saklıdır.</w:t>
            </w:r>
          </w:p>
          <w:p w:rsidR="00155AF4" w:rsidRPr="00A23740" w:rsidRDefault="00155AF4" w:rsidP="009431FF">
            <w:pPr>
              <w:tabs>
                <w:tab w:val="left" w:pos="567"/>
              </w:tabs>
              <w:autoSpaceDE w:val="0"/>
              <w:autoSpaceDN w:val="0"/>
              <w:adjustRightInd w:val="0"/>
              <w:rPr>
                <w:b/>
                <w:color w:val="0000FF"/>
                <w:szCs w:val="24"/>
              </w:rPr>
            </w:pPr>
          </w:p>
          <w:p w:rsidR="00155AF4" w:rsidRPr="00A23740" w:rsidRDefault="00155AF4" w:rsidP="009431FF">
            <w:pPr>
              <w:tabs>
                <w:tab w:val="left" w:pos="567"/>
              </w:tabs>
              <w:rPr>
                <w:b/>
                <w:bCs/>
                <w:color w:val="0000FF"/>
                <w:szCs w:val="24"/>
                <w:lang w:eastAsia="tr-TR"/>
              </w:rPr>
            </w:pPr>
            <w:r w:rsidRPr="00A23740">
              <w:rPr>
                <w:b/>
                <w:bCs/>
                <w:color w:val="0000FF"/>
                <w:szCs w:val="24"/>
                <w:lang w:val="x-none" w:eastAsia="x-none"/>
              </w:rPr>
              <w:t>(5)</w:t>
            </w:r>
            <w:r w:rsidRPr="00A23740">
              <w:rPr>
                <w:b/>
                <w:bCs/>
                <w:color w:val="0000FF"/>
                <w:szCs w:val="24"/>
                <w:lang w:eastAsia="tr-TR"/>
              </w:rPr>
              <w:t xml:space="preserve"> </w:t>
            </w:r>
            <w:r w:rsidRPr="00A23740">
              <w:rPr>
                <w:color w:val="000000"/>
                <w:szCs w:val="24"/>
                <w:lang w:eastAsia="tr-TR"/>
              </w:rPr>
              <w:t>Vadesi gelmeyen borcun ipotek</w:t>
            </w:r>
            <w:r w:rsidRPr="00A23740">
              <w:rPr>
                <w:b/>
                <w:bCs/>
                <w:color w:val="0000FF"/>
                <w:szCs w:val="24"/>
                <w:lang w:eastAsia="tr-TR"/>
              </w:rPr>
              <w:t xml:space="preserve"> </w:t>
            </w:r>
            <w:r w:rsidRPr="00A23740">
              <w:rPr>
                <w:b/>
                <w:bCs/>
                <w:color w:val="0000FF"/>
                <w:szCs w:val="24"/>
                <w:lang w:val="x-none" w:eastAsia="x-none"/>
              </w:rPr>
              <w:t>sözleşmesi uyarınca</w:t>
            </w:r>
            <w:r w:rsidRPr="00A23740">
              <w:rPr>
                <w:b/>
                <w:bCs/>
                <w:color w:val="0000FF"/>
                <w:szCs w:val="24"/>
                <w:lang w:eastAsia="tr-TR"/>
              </w:rPr>
              <w:t xml:space="preserve"> </w:t>
            </w:r>
            <w:r w:rsidRPr="00A23740">
              <w:rPr>
                <w:color w:val="000000"/>
                <w:szCs w:val="24"/>
                <w:lang w:eastAsia="tr-TR"/>
              </w:rPr>
              <w:t xml:space="preserve">işlemiş ve işleyecek bütün faizleri ile birlikte </w:t>
            </w:r>
            <w:r w:rsidRPr="00A23740">
              <w:rPr>
                <w:b/>
                <w:bCs/>
                <w:color w:val="0000FF"/>
                <w:szCs w:val="24"/>
                <w:lang w:val="x-none" w:eastAsia="x-none"/>
              </w:rPr>
              <w:t>ödenmesini üstlenen</w:t>
            </w:r>
            <w:r w:rsidRPr="00A23740">
              <w:rPr>
                <w:color w:val="000000"/>
                <w:szCs w:val="24"/>
                <w:lang w:eastAsia="tr-TR"/>
              </w:rPr>
              <w:t xml:space="preserve"> borçlu</w:t>
            </w:r>
            <w:r w:rsidRPr="00A23740">
              <w:rPr>
                <w:strike/>
                <w:color w:val="000000"/>
                <w:szCs w:val="24"/>
                <w:lang w:eastAsia="tr-TR"/>
              </w:rPr>
              <w:t xml:space="preserve"> </w:t>
            </w:r>
            <w:r w:rsidRPr="00A23740">
              <w:rPr>
                <w:color w:val="000000"/>
                <w:szCs w:val="24"/>
                <w:lang w:eastAsia="tr-TR"/>
              </w:rPr>
              <w:t>hakkında da yukarıdaki hüküm</w:t>
            </w:r>
            <w:r w:rsidRPr="00A23740">
              <w:rPr>
                <w:b/>
                <w:bCs/>
                <w:color w:val="0000FF"/>
                <w:szCs w:val="24"/>
                <w:lang w:val="x-none" w:eastAsia="x-none"/>
              </w:rPr>
              <w:t>ler uygulanır.</w:t>
            </w:r>
          </w:p>
          <w:p w:rsidR="00155AF4" w:rsidRPr="00A23740" w:rsidRDefault="00155AF4" w:rsidP="009431FF">
            <w:pPr>
              <w:tabs>
                <w:tab w:val="left" w:pos="567"/>
              </w:tabs>
              <w:autoSpaceDE w:val="0"/>
              <w:autoSpaceDN w:val="0"/>
              <w:adjustRightInd w:val="0"/>
              <w:rPr>
                <w:b/>
                <w:color w:val="0000FF"/>
                <w:szCs w:val="24"/>
              </w:rPr>
            </w:pPr>
          </w:p>
          <w:p w:rsidR="00155AF4" w:rsidRPr="00A23740" w:rsidRDefault="00155AF4" w:rsidP="009431FF">
            <w:pPr>
              <w:tabs>
                <w:tab w:val="left" w:pos="567"/>
              </w:tabs>
              <w:rPr>
                <w:b/>
                <w:bCs/>
                <w:color w:val="0000FF"/>
                <w:szCs w:val="24"/>
                <w:lang w:val="x-none" w:eastAsia="x-none"/>
              </w:rPr>
            </w:pPr>
            <w:r w:rsidRPr="00A23740">
              <w:rPr>
                <w:b/>
                <w:bCs/>
                <w:color w:val="0000FF"/>
                <w:szCs w:val="24"/>
                <w:lang w:val="x-none" w:eastAsia="x-none"/>
              </w:rPr>
              <w:t>(6) Bu hükümler, imar uygulaması sonucunda oluşturulmuş olan ipotekler ile kadastro çalışmaları sonucunda taşınmaz üzerine konulan kanuni ipotekler gibi kamu hukuku hükümleri uyarınca kurulan ipotekler hakkında uygulanmaz.</w:t>
            </w:r>
          </w:p>
          <w:p w:rsidR="00155AF4" w:rsidRPr="00A23740" w:rsidRDefault="00155AF4" w:rsidP="009431FF">
            <w:pPr>
              <w:tabs>
                <w:tab w:val="left" w:pos="566"/>
              </w:tabs>
              <w:rPr>
                <w:szCs w:val="24"/>
              </w:rPr>
            </w:pPr>
          </w:p>
        </w:tc>
      </w:tr>
      <w:tr w:rsidR="00D8122F" w:rsidRPr="00A23740" w:rsidTr="009431FF">
        <w:tc>
          <w:tcPr>
            <w:tcW w:w="5000" w:type="pct"/>
            <w:gridSpan w:val="2"/>
            <w:shd w:val="clear" w:color="auto" w:fill="DEEAF6"/>
          </w:tcPr>
          <w:p w:rsidR="00654646" w:rsidRPr="00A23740" w:rsidRDefault="00654646" w:rsidP="009431FF">
            <w:pPr>
              <w:tabs>
                <w:tab w:val="left" w:pos="567"/>
              </w:tabs>
              <w:autoSpaceDE w:val="0"/>
              <w:autoSpaceDN w:val="0"/>
              <w:adjustRightInd w:val="0"/>
              <w:ind w:firstLine="567"/>
              <w:rPr>
                <w:b/>
                <w:bCs/>
                <w:color w:val="000000"/>
                <w:szCs w:val="24"/>
                <w:lang w:eastAsia="x-none"/>
              </w:rPr>
            </w:pPr>
          </w:p>
          <w:p w:rsidR="000D242E" w:rsidRPr="00A23740" w:rsidRDefault="00A9749A" w:rsidP="009431FF">
            <w:pPr>
              <w:tabs>
                <w:tab w:val="left" w:pos="567"/>
              </w:tabs>
              <w:autoSpaceDE w:val="0"/>
              <w:autoSpaceDN w:val="0"/>
              <w:adjustRightInd w:val="0"/>
              <w:ind w:firstLine="567"/>
              <w:rPr>
                <w:iCs/>
                <w:color w:val="000000"/>
                <w:szCs w:val="24"/>
              </w:rPr>
            </w:pPr>
            <w:r w:rsidRPr="00A23740">
              <w:rPr>
                <w:b/>
                <w:bCs/>
                <w:color w:val="000000"/>
                <w:szCs w:val="24"/>
                <w:lang w:eastAsia="x-none"/>
              </w:rPr>
              <w:t>MADDE 136</w:t>
            </w:r>
            <w:r w:rsidR="00D8122F" w:rsidRPr="00A23740">
              <w:rPr>
                <w:b/>
                <w:bCs/>
                <w:color w:val="000000"/>
                <w:szCs w:val="24"/>
                <w:lang w:eastAsia="x-none"/>
              </w:rPr>
              <w:t>-</w:t>
            </w:r>
            <w:r w:rsidR="000D242E" w:rsidRPr="00A23740">
              <w:rPr>
                <w:bCs/>
                <w:color w:val="000000"/>
                <w:szCs w:val="24"/>
                <w:lang w:eastAsia="x-none"/>
              </w:rPr>
              <w:t xml:space="preserve"> </w:t>
            </w:r>
            <w:r w:rsidR="00EB6E8E" w:rsidRPr="00A23740">
              <w:rPr>
                <w:bCs/>
                <w:color w:val="000000"/>
                <w:szCs w:val="24"/>
                <w:lang w:eastAsia="x-none"/>
              </w:rPr>
              <w:t>Maddeyle</w:t>
            </w:r>
            <w:r w:rsidR="00267AA7" w:rsidRPr="00A23740">
              <w:rPr>
                <w:bCs/>
                <w:color w:val="000000"/>
                <w:szCs w:val="24"/>
                <w:lang w:eastAsia="x-none"/>
              </w:rPr>
              <w:t xml:space="preserve">, </w:t>
            </w:r>
            <w:r w:rsidR="00EB6E8E" w:rsidRPr="00A23740">
              <w:rPr>
                <w:bCs/>
                <w:color w:val="000000"/>
              </w:rPr>
              <w:t xml:space="preserve">ipotekli </w:t>
            </w:r>
            <w:r w:rsidR="00267AA7" w:rsidRPr="00A23740">
              <w:rPr>
                <w:bCs/>
                <w:color w:val="000000"/>
              </w:rPr>
              <w:t>alacakta alacaklının adresinin bilinmemesi veya borcu almaktan kaçınmasına ilişkin hususlar düzenlenmektedir.</w:t>
            </w:r>
            <w:r w:rsidR="00EB6E8E" w:rsidRPr="00A23740">
              <w:rPr>
                <w:bCs/>
                <w:color w:val="000000"/>
              </w:rPr>
              <w:t xml:space="preserve"> </w:t>
            </w:r>
            <w:r w:rsidR="000D242E" w:rsidRPr="00A23740">
              <w:rPr>
                <w:bCs/>
                <w:color w:val="000000"/>
              </w:rPr>
              <w:t>Taslağın</w:t>
            </w:r>
            <w:r w:rsidR="00A71DCF" w:rsidRPr="00A23740">
              <w:rPr>
                <w:bCs/>
                <w:color w:val="000000"/>
              </w:rPr>
              <w:t xml:space="preserve"> </w:t>
            </w:r>
            <w:r w:rsidR="00A71DCF" w:rsidRPr="00001224">
              <w:rPr>
                <w:bCs/>
                <w:color w:val="000000"/>
              </w:rPr>
              <w:t>136</w:t>
            </w:r>
            <w:r w:rsidR="00A71DCF" w:rsidRPr="00001224">
              <w:rPr>
                <w:b/>
                <w:color w:val="000000"/>
              </w:rPr>
              <w:t xml:space="preserve"> </w:t>
            </w:r>
            <w:r w:rsidR="00A71DCF" w:rsidRPr="00001224">
              <w:rPr>
                <w:bCs/>
                <w:color w:val="000000"/>
              </w:rPr>
              <w:t>ncı</w:t>
            </w:r>
            <w:r w:rsidR="000D242E" w:rsidRPr="00A23740">
              <w:rPr>
                <w:bCs/>
                <w:color w:val="000000"/>
              </w:rPr>
              <w:t xml:space="preserve"> maddesi “</w:t>
            </w:r>
            <w:r w:rsidR="000D242E" w:rsidRPr="00A23740">
              <w:rPr>
                <w:iCs/>
                <w:color w:val="000000"/>
                <w:szCs w:val="24"/>
              </w:rPr>
              <w:t xml:space="preserve">İpotekli alacakta alacaklının </w:t>
            </w:r>
            <w:r w:rsidR="000D242E" w:rsidRPr="00A23740">
              <w:rPr>
                <w:bCs/>
                <w:color w:val="000000"/>
                <w:szCs w:val="24"/>
                <w:lang w:val="x-none" w:eastAsia="x-none"/>
              </w:rPr>
              <w:t>adresinin bilinmemesi</w:t>
            </w:r>
            <w:r w:rsidR="000D242E" w:rsidRPr="00A23740">
              <w:rPr>
                <w:iCs/>
                <w:color w:val="000000"/>
                <w:szCs w:val="24"/>
              </w:rPr>
              <w:t xml:space="preserve"> veya borcu almaktan </w:t>
            </w:r>
            <w:r w:rsidR="000D242E" w:rsidRPr="00A23740">
              <w:rPr>
                <w:bCs/>
                <w:color w:val="000000"/>
                <w:szCs w:val="24"/>
                <w:lang w:val="x-none" w:eastAsia="x-none"/>
              </w:rPr>
              <w:t>kaçınması</w:t>
            </w:r>
            <w:r w:rsidR="000D242E" w:rsidRPr="00A23740">
              <w:rPr>
                <w:bCs/>
                <w:color w:val="000000"/>
              </w:rPr>
              <w:t>” başlığını taşımakta olup</w:t>
            </w:r>
            <w:r w:rsidR="00B30D55" w:rsidRPr="00A23740">
              <w:rPr>
                <w:bCs/>
                <w:color w:val="000000"/>
              </w:rPr>
              <w:t>,</w:t>
            </w:r>
            <w:r w:rsidR="000D242E" w:rsidRPr="00A23740">
              <w:rPr>
                <w:bCs/>
                <w:color w:val="000000"/>
              </w:rPr>
              <w:t xml:space="preserve"> </w:t>
            </w:r>
            <w:r w:rsidR="00654646" w:rsidRPr="00A23740">
              <w:rPr>
                <w:bCs/>
                <w:color w:val="000000"/>
              </w:rPr>
              <w:t xml:space="preserve">2004 sayılı Kanunun </w:t>
            </w:r>
            <w:r w:rsidR="000D242E" w:rsidRPr="00A23740">
              <w:rPr>
                <w:bCs/>
                <w:color w:val="000000"/>
              </w:rPr>
              <w:t>153 üncü maddesinin karşılığıdır.</w:t>
            </w:r>
            <w:r w:rsidR="000D242E" w:rsidRPr="00A23740">
              <w:rPr>
                <w:iCs/>
                <w:color w:val="000000"/>
                <w:szCs w:val="24"/>
              </w:rPr>
              <w:t xml:space="preserve"> </w:t>
            </w:r>
            <w:r w:rsidR="00654646" w:rsidRPr="00A23740">
              <w:rPr>
                <w:color w:val="000000"/>
              </w:rPr>
              <w:t>2004 sayılı K</w:t>
            </w:r>
            <w:r w:rsidR="000D242E" w:rsidRPr="00A23740">
              <w:rPr>
                <w:color w:val="000000"/>
              </w:rPr>
              <w:t>anunu</w:t>
            </w:r>
            <w:r w:rsidR="00FA5BB4" w:rsidRPr="00A23740">
              <w:rPr>
                <w:color w:val="000000"/>
              </w:rPr>
              <w:t xml:space="preserve">n 153 </w:t>
            </w:r>
            <w:r w:rsidR="00FA5BB4" w:rsidRPr="00001224">
              <w:rPr>
                <w:bCs/>
                <w:color w:val="000000"/>
              </w:rPr>
              <w:t>üncü</w:t>
            </w:r>
            <w:r w:rsidR="00FA5BB4" w:rsidRPr="00A23740">
              <w:rPr>
                <w:color w:val="000000"/>
              </w:rPr>
              <w:t xml:space="preserve"> maddesi, </w:t>
            </w:r>
            <w:r w:rsidR="00B30D55" w:rsidRPr="00A23740">
              <w:rPr>
                <w:color w:val="000000"/>
              </w:rPr>
              <w:t>m</w:t>
            </w:r>
            <w:r w:rsidR="00FA5BB4" w:rsidRPr="00A23740">
              <w:rPr>
                <w:color w:val="000000"/>
              </w:rPr>
              <w:t>ehaz Kanun</w:t>
            </w:r>
            <w:r w:rsidR="000D242E" w:rsidRPr="00A23740">
              <w:rPr>
                <w:color w:val="000000"/>
              </w:rPr>
              <w:t xml:space="preserve">da ve </w:t>
            </w:r>
            <w:r w:rsidR="00371300" w:rsidRPr="00001224">
              <w:rPr>
                <w:color w:val="000000"/>
              </w:rPr>
              <w:t>1424 sayılı İcra ve İflas Kanununda</w:t>
            </w:r>
            <w:r w:rsidR="00371300" w:rsidRPr="00001224">
              <w:rPr>
                <w:bCs/>
                <w:color w:val="000000"/>
              </w:rPr>
              <w:t xml:space="preserve"> </w:t>
            </w:r>
            <w:r w:rsidR="000D242E" w:rsidRPr="00001224">
              <w:rPr>
                <w:bCs/>
                <w:color w:val="000000"/>
              </w:rPr>
              <w:t>bulunmayıp</w:t>
            </w:r>
            <w:r w:rsidR="000D242E" w:rsidRPr="00A23740">
              <w:rPr>
                <w:color w:val="000000"/>
              </w:rPr>
              <w:t xml:space="preserve">, mevzuatımıza 2004 sayılı </w:t>
            </w:r>
            <w:r w:rsidR="00654646" w:rsidRPr="00A23740">
              <w:rPr>
                <w:color w:val="000000"/>
              </w:rPr>
              <w:t>Kanun</w:t>
            </w:r>
            <w:r w:rsidR="000D242E" w:rsidRPr="00A23740">
              <w:rPr>
                <w:color w:val="000000"/>
              </w:rPr>
              <w:t>la girm</w:t>
            </w:r>
            <w:r w:rsidR="00FA5BB4" w:rsidRPr="00A23740">
              <w:rPr>
                <w:color w:val="000000"/>
              </w:rPr>
              <w:t>iştir. Taslakta bu K</w:t>
            </w:r>
            <w:r w:rsidR="000D242E" w:rsidRPr="00A23740">
              <w:rPr>
                <w:color w:val="000000"/>
              </w:rPr>
              <w:t>anun hükmü, ilavelerle yeni baştan kaleme alınmış ve uygulama sürecinin ayrıntılarına yer verilerek daha kolay uygulanabilir h</w:t>
            </w:r>
            <w:r w:rsidR="00E54A6B" w:rsidRPr="00A23740">
              <w:rPr>
                <w:color w:val="000000"/>
              </w:rPr>
              <w:t>â</w:t>
            </w:r>
            <w:r w:rsidR="000D242E" w:rsidRPr="00A23740">
              <w:rPr>
                <w:color w:val="000000"/>
              </w:rPr>
              <w:t>le getirilmiştir.</w:t>
            </w:r>
          </w:p>
          <w:p w:rsidR="000D242E" w:rsidRPr="00A23740" w:rsidRDefault="000D242E" w:rsidP="009431FF">
            <w:pPr>
              <w:tabs>
                <w:tab w:val="left" w:pos="567"/>
              </w:tabs>
              <w:ind w:firstLine="567"/>
              <w:rPr>
                <w:bCs/>
                <w:color w:val="000000"/>
                <w:szCs w:val="24"/>
                <w:lang w:eastAsia="tr-TR"/>
              </w:rPr>
            </w:pPr>
            <w:r w:rsidRPr="00A23740">
              <w:rPr>
                <w:bCs/>
                <w:color w:val="000000"/>
                <w:szCs w:val="24"/>
                <w:lang w:eastAsia="x-none"/>
              </w:rPr>
              <w:t>Maddenin birinci fıkrasında</w:t>
            </w:r>
            <w:r w:rsidR="00B30D55" w:rsidRPr="00A23740">
              <w:rPr>
                <w:bCs/>
                <w:color w:val="000000"/>
                <w:szCs w:val="24"/>
                <w:lang w:eastAsia="x-none"/>
              </w:rPr>
              <w:t>,</w:t>
            </w:r>
            <w:r w:rsidRPr="00A23740">
              <w:rPr>
                <w:iCs/>
                <w:color w:val="000000"/>
                <w:szCs w:val="24"/>
              </w:rPr>
              <w:t xml:space="preserve"> ipotekle temin</w:t>
            </w:r>
            <w:r w:rsidRPr="00A23740">
              <w:rPr>
                <w:bCs/>
                <w:color w:val="000000"/>
                <w:szCs w:val="24"/>
                <w:lang w:val="x-none" w:eastAsia="x-none"/>
              </w:rPr>
              <w:t xml:space="preserve">at altına alınmış </w:t>
            </w:r>
            <w:r w:rsidRPr="00A23740">
              <w:rPr>
                <w:iCs/>
                <w:color w:val="000000"/>
                <w:szCs w:val="24"/>
              </w:rPr>
              <w:t>ve vadesi gelmiş bir alacağın borçlusunun</w:t>
            </w:r>
            <w:r w:rsidRPr="00A23740">
              <w:rPr>
                <w:color w:val="000000"/>
                <w:szCs w:val="24"/>
              </w:rPr>
              <w:t xml:space="preserve"> </w:t>
            </w:r>
            <w:r w:rsidRPr="00A23740">
              <w:rPr>
                <w:bCs/>
                <w:color w:val="000000"/>
                <w:szCs w:val="24"/>
                <w:lang w:val="x-none" w:eastAsia="x-none"/>
              </w:rPr>
              <w:t xml:space="preserve">veya ipotekli taşınmazın maliki üçüncü kişinin, </w:t>
            </w:r>
            <w:r w:rsidRPr="00A23740">
              <w:rPr>
                <w:iCs/>
                <w:color w:val="000000"/>
                <w:szCs w:val="24"/>
              </w:rPr>
              <w:t xml:space="preserve">icra </w:t>
            </w:r>
            <w:r w:rsidRPr="00A23740">
              <w:rPr>
                <w:rStyle w:val="MaviChar"/>
                <w:b w:val="0"/>
                <w:color w:val="000000"/>
              </w:rPr>
              <w:t>ve iflas</w:t>
            </w:r>
            <w:r w:rsidRPr="00A23740">
              <w:rPr>
                <w:iCs/>
                <w:color w:val="000000"/>
                <w:szCs w:val="24"/>
              </w:rPr>
              <w:t xml:space="preserve"> dairesine </w:t>
            </w:r>
            <w:r w:rsidRPr="00A23740">
              <w:rPr>
                <w:bCs/>
                <w:color w:val="000000"/>
                <w:szCs w:val="24"/>
                <w:lang w:val="x-none" w:eastAsia="x-none"/>
              </w:rPr>
              <w:t xml:space="preserve">başvurarak </w:t>
            </w:r>
            <w:r w:rsidRPr="00A23740">
              <w:rPr>
                <w:iCs/>
                <w:color w:val="000000"/>
                <w:szCs w:val="24"/>
              </w:rPr>
              <w:t xml:space="preserve">alacaklısının </w:t>
            </w:r>
            <w:r w:rsidRPr="00A23740">
              <w:rPr>
                <w:bCs/>
                <w:color w:val="000000"/>
                <w:szCs w:val="24"/>
                <w:lang w:val="x-none" w:eastAsia="x-none"/>
              </w:rPr>
              <w:t xml:space="preserve">adresinin bilinmediğini </w:t>
            </w:r>
            <w:r w:rsidRPr="00A23740">
              <w:rPr>
                <w:iCs/>
                <w:color w:val="000000"/>
                <w:szCs w:val="24"/>
              </w:rPr>
              <w:t>veya borcu almaktan ve ipoteği çözmekten</w:t>
            </w:r>
            <w:r w:rsidRPr="00A23740">
              <w:rPr>
                <w:color w:val="000000"/>
                <w:szCs w:val="24"/>
              </w:rPr>
              <w:t xml:space="preserve"> </w:t>
            </w:r>
            <w:r w:rsidRPr="00A23740">
              <w:rPr>
                <w:bCs/>
                <w:color w:val="000000"/>
                <w:szCs w:val="24"/>
                <w:lang w:val="x-none" w:eastAsia="x-none"/>
              </w:rPr>
              <w:t xml:space="preserve">kaçındığını </w:t>
            </w:r>
            <w:r w:rsidRPr="00A23740">
              <w:rPr>
                <w:iCs/>
                <w:color w:val="000000"/>
                <w:szCs w:val="24"/>
              </w:rPr>
              <w:t>beyan ed</w:t>
            </w:r>
            <w:r w:rsidRPr="00A23740">
              <w:rPr>
                <w:bCs/>
                <w:color w:val="000000"/>
                <w:szCs w:val="24"/>
                <w:lang w:val="x-none" w:eastAsia="x-none"/>
              </w:rPr>
              <w:t>ip, borcun tamamını ödemeye hazır olduğunu bildirerek</w:t>
            </w:r>
            <w:r w:rsidR="00B30D55" w:rsidRPr="00A23740">
              <w:rPr>
                <w:bCs/>
                <w:color w:val="000000"/>
                <w:szCs w:val="24"/>
                <w:lang w:eastAsia="x-none"/>
              </w:rPr>
              <w:t>,</w:t>
            </w:r>
            <w:r w:rsidRPr="00A23740">
              <w:rPr>
                <w:bCs/>
                <w:color w:val="000000"/>
                <w:szCs w:val="24"/>
                <w:lang w:val="x-none" w:eastAsia="x-none"/>
              </w:rPr>
              <w:t xml:space="preserve"> ipoteğin terkinini talep edebileceği öngörülmüştür. </w:t>
            </w:r>
            <w:r w:rsidRPr="00A23740">
              <w:rPr>
                <w:bCs/>
                <w:color w:val="000000"/>
                <w:szCs w:val="24"/>
                <w:lang w:eastAsia="x-none"/>
              </w:rPr>
              <w:t>Maddenin beşinci fıkrasına göre</w:t>
            </w:r>
            <w:r w:rsidR="00B30D55" w:rsidRPr="00A23740">
              <w:rPr>
                <w:bCs/>
                <w:color w:val="000000"/>
                <w:szCs w:val="24"/>
                <w:lang w:eastAsia="x-none"/>
              </w:rPr>
              <w:t>,</w:t>
            </w:r>
            <w:r w:rsidRPr="00A23740">
              <w:rPr>
                <w:bCs/>
                <w:color w:val="000000"/>
                <w:szCs w:val="24"/>
                <w:lang w:eastAsia="tr-TR"/>
              </w:rPr>
              <w:t xml:space="preserve"> v</w:t>
            </w:r>
            <w:r w:rsidRPr="00A23740">
              <w:rPr>
                <w:color w:val="000000"/>
                <w:szCs w:val="24"/>
                <w:lang w:eastAsia="tr-TR"/>
              </w:rPr>
              <w:t>adesi gelmeyen borcun ipotek</w:t>
            </w:r>
            <w:r w:rsidRPr="00A23740">
              <w:rPr>
                <w:bCs/>
                <w:color w:val="000000"/>
                <w:szCs w:val="24"/>
                <w:lang w:eastAsia="tr-TR"/>
              </w:rPr>
              <w:t xml:space="preserve"> </w:t>
            </w:r>
            <w:r w:rsidRPr="00A23740">
              <w:rPr>
                <w:bCs/>
                <w:color w:val="000000"/>
                <w:szCs w:val="24"/>
                <w:lang w:val="x-none" w:eastAsia="x-none"/>
              </w:rPr>
              <w:t>sözleşmesi uyarınca</w:t>
            </w:r>
            <w:r w:rsidRPr="00A23740">
              <w:rPr>
                <w:bCs/>
                <w:color w:val="000000"/>
                <w:szCs w:val="24"/>
                <w:lang w:eastAsia="tr-TR"/>
              </w:rPr>
              <w:t xml:space="preserve"> </w:t>
            </w:r>
            <w:r w:rsidRPr="00A23740">
              <w:rPr>
                <w:color w:val="000000"/>
                <w:szCs w:val="24"/>
                <w:lang w:eastAsia="tr-TR"/>
              </w:rPr>
              <w:t>işlemiş ve işleyecek bütün faizleri</w:t>
            </w:r>
            <w:r w:rsidR="00B30D55" w:rsidRPr="00A23740">
              <w:rPr>
                <w:color w:val="000000"/>
                <w:szCs w:val="24"/>
                <w:lang w:eastAsia="tr-TR"/>
              </w:rPr>
              <w:t>yle</w:t>
            </w:r>
            <w:r w:rsidRPr="00A23740">
              <w:rPr>
                <w:color w:val="000000"/>
                <w:szCs w:val="24"/>
                <w:lang w:eastAsia="tr-TR"/>
              </w:rPr>
              <w:t xml:space="preserve"> birlikte </w:t>
            </w:r>
            <w:r w:rsidRPr="00A23740">
              <w:rPr>
                <w:bCs/>
                <w:color w:val="000000"/>
                <w:szCs w:val="24"/>
                <w:lang w:val="x-none" w:eastAsia="x-none"/>
              </w:rPr>
              <w:t>ödenmesini üstlenen</w:t>
            </w:r>
            <w:r w:rsidRPr="00A23740">
              <w:rPr>
                <w:color w:val="000000"/>
                <w:szCs w:val="24"/>
                <w:lang w:eastAsia="tr-TR"/>
              </w:rPr>
              <w:t xml:space="preserve"> borçlu</w:t>
            </w:r>
            <w:r w:rsidRPr="00A23740">
              <w:rPr>
                <w:strike/>
                <w:color w:val="000000"/>
                <w:szCs w:val="24"/>
                <w:lang w:eastAsia="tr-TR"/>
              </w:rPr>
              <w:t xml:space="preserve"> </w:t>
            </w:r>
            <w:r w:rsidRPr="00A23740">
              <w:rPr>
                <w:color w:val="000000"/>
                <w:szCs w:val="24"/>
                <w:lang w:eastAsia="tr-TR"/>
              </w:rPr>
              <w:t>hakkında da aynı hüküm</w:t>
            </w:r>
            <w:r w:rsidRPr="00A23740">
              <w:rPr>
                <w:bCs/>
                <w:color w:val="000000"/>
                <w:szCs w:val="24"/>
                <w:lang w:val="x-none" w:eastAsia="x-none"/>
              </w:rPr>
              <w:t>ler uygulanacaktır.</w:t>
            </w:r>
          </w:p>
          <w:p w:rsidR="000D242E" w:rsidRPr="00A23740" w:rsidRDefault="000D242E" w:rsidP="009431FF">
            <w:pPr>
              <w:tabs>
                <w:tab w:val="left" w:pos="567"/>
              </w:tabs>
              <w:ind w:firstLine="567"/>
              <w:rPr>
                <w:bCs/>
                <w:color w:val="000000"/>
                <w:szCs w:val="24"/>
                <w:lang w:val="x-none" w:eastAsia="x-none"/>
              </w:rPr>
            </w:pPr>
            <w:r w:rsidRPr="00A23740">
              <w:rPr>
                <w:bCs/>
                <w:color w:val="000000"/>
                <w:szCs w:val="24"/>
                <w:lang w:eastAsia="x-none"/>
              </w:rPr>
              <w:t>Maddenin ikinci fıkrasında</w:t>
            </w:r>
            <w:r w:rsidR="00B30D55" w:rsidRPr="00A23740">
              <w:rPr>
                <w:bCs/>
                <w:color w:val="000000"/>
                <w:szCs w:val="24"/>
                <w:lang w:eastAsia="x-none"/>
              </w:rPr>
              <w:t>,</w:t>
            </w:r>
            <w:r w:rsidR="00FA5BB4" w:rsidRPr="00A23740">
              <w:rPr>
                <w:bCs/>
                <w:color w:val="000000"/>
                <w:szCs w:val="24"/>
                <w:lang w:val="x-none" w:eastAsia="x-none"/>
              </w:rPr>
              <w:t xml:space="preserve"> i</w:t>
            </w:r>
            <w:r w:rsidRPr="00A23740">
              <w:rPr>
                <w:bCs/>
                <w:color w:val="000000"/>
                <w:szCs w:val="24"/>
                <w:lang w:val="x-none" w:eastAsia="x-none"/>
              </w:rPr>
              <w:t xml:space="preserve">cra </w:t>
            </w:r>
            <w:r w:rsidRPr="00A23740">
              <w:rPr>
                <w:rStyle w:val="MaviChar"/>
                <w:b w:val="0"/>
                <w:color w:val="000000"/>
              </w:rPr>
              <w:t>ve iflas</w:t>
            </w:r>
            <w:r w:rsidRPr="00A23740">
              <w:rPr>
                <w:bCs/>
                <w:color w:val="000000"/>
                <w:szCs w:val="24"/>
                <w:lang w:eastAsia="x-none"/>
              </w:rPr>
              <w:t xml:space="preserve"> </w:t>
            </w:r>
            <w:r w:rsidRPr="00A23740">
              <w:rPr>
                <w:bCs/>
                <w:color w:val="000000"/>
                <w:szCs w:val="24"/>
                <w:lang w:val="x-none" w:eastAsia="x-none"/>
              </w:rPr>
              <w:t>dairesinin bu talep üzerine borçlunun ödemesi gereken miktarı, ipotek faizli ise faiziyle birlikte tespit edeceği ve</w:t>
            </w:r>
            <w:r w:rsidRPr="00A23740">
              <w:rPr>
                <w:bCs/>
                <w:color w:val="000000"/>
                <w:szCs w:val="24"/>
                <w:lang w:eastAsia="x-none"/>
              </w:rPr>
              <w:t xml:space="preserve"> başvuruda bulunan</w:t>
            </w:r>
            <w:r w:rsidRPr="00A23740">
              <w:rPr>
                <w:bCs/>
                <w:color w:val="000000"/>
                <w:szCs w:val="24"/>
                <w:lang w:val="x-none" w:eastAsia="x-none"/>
              </w:rPr>
              <w:t xml:space="preserve"> borçluya</w:t>
            </w:r>
            <w:r w:rsidRPr="00A23740">
              <w:rPr>
                <w:bCs/>
                <w:color w:val="000000"/>
                <w:szCs w:val="24"/>
                <w:lang w:eastAsia="x-none"/>
              </w:rPr>
              <w:t xml:space="preserve"> veya </w:t>
            </w:r>
            <w:r w:rsidRPr="00A23740">
              <w:rPr>
                <w:rStyle w:val="MaviChar"/>
                <w:b w:val="0"/>
                <w:color w:val="000000"/>
              </w:rPr>
              <w:t>ipotekli taşınmazın maliki üçüncü kişiye</w:t>
            </w:r>
            <w:r w:rsidRPr="00A23740">
              <w:rPr>
                <w:bCs/>
                <w:color w:val="000000"/>
                <w:szCs w:val="24"/>
                <w:lang w:val="x-none" w:eastAsia="x-none"/>
              </w:rPr>
              <w:t xml:space="preserve"> bu miktarı ödemesi için iki haftalık süre vereceği; belirtilen miktarı</w:t>
            </w:r>
            <w:r w:rsidRPr="00A23740">
              <w:rPr>
                <w:bCs/>
                <w:color w:val="000000"/>
                <w:szCs w:val="24"/>
                <w:lang w:eastAsia="x-none"/>
              </w:rPr>
              <w:t>n</w:t>
            </w:r>
            <w:r w:rsidRPr="00A23740">
              <w:rPr>
                <w:bCs/>
                <w:color w:val="000000"/>
                <w:szCs w:val="24"/>
                <w:lang w:val="x-none" w:eastAsia="x-none"/>
              </w:rPr>
              <w:t xml:space="preserve"> süresinde icra</w:t>
            </w:r>
            <w:r w:rsidRPr="00A23740">
              <w:rPr>
                <w:bCs/>
                <w:color w:val="000000"/>
                <w:szCs w:val="24"/>
                <w:lang w:eastAsia="x-none"/>
              </w:rPr>
              <w:t xml:space="preserve"> </w:t>
            </w:r>
            <w:r w:rsidRPr="00A23740">
              <w:rPr>
                <w:rStyle w:val="MaviChar"/>
                <w:b w:val="0"/>
                <w:color w:val="000000"/>
              </w:rPr>
              <w:t>ve iflas dairesinin</w:t>
            </w:r>
            <w:r w:rsidRPr="00A23740">
              <w:rPr>
                <w:bCs/>
                <w:color w:val="000000"/>
                <w:szCs w:val="24"/>
                <w:lang w:val="x-none" w:eastAsia="x-none"/>
              </w:rPr>
              <w:t xml:space="preserve"> banka hesabına yatır</w:t>
            </w:r>
            <w:r w:rsidRPr="00A23740">
              <w:rPr>
                <w:bCs/>
                <w:color w:val="000000"/>
                <w:szCs w:val="24"/>
                <w:lang w:eastAsia="x-none"/>
              </w:rPr>
              <w:t>ılma</w:t>
            </w:r>
            <w:r w:rsidRPr="00A23740">
              <w:rPr>
                <w:bCs/>
                <w:color w:val="000000"/>
                <w:szCs w:val="24"/>
                <w:lang w:val="x-none" w:eastAsia="x-none"/>
              </w:rPr>
              <w:t xml:space="preserve">sı </w:t>
            </w:r>
            <w:r w:rsidRPr="00A23740">
              <w:rPr>
                <w:rStyle w:val="MaviChar"/>
                <w:b w:val="0"/>
                <w:color w:val="000000"/>
              </w:rPr>
              <w:t>h</w:t>
            </w:r>
            <w:r w:rsidR="00E54A6B" w:rsidRPr="00A23740">
              <w:rPr>
                <w:rStyle w:val="MaviChar"/>
                <w:b w:val="0"/>
                <w:color w:val="000000"/>
                <w:lang w:val="tr-TR"/>
              </w:rPr>
              <w:t>â</w:t>
            </w:r>
            <w:r w:rsidRPr="00A23740">
              <w:rPr>
                <w:rStyle w:val="MaviChar"/>
                <w:b w:val="0"/>
                <w:color w:val="000000"/>
              </w:rPr>
              <w:t>linde</w:t>
            </w:r>
            <w:r w:rsidRPr="00A23740">
              <w:rPr>
                <w:b/>
                <w:bCs/>
                <w:color w:val="000000"/>
                <w:szCs w:val="24"/>
                <w:lang w:val="x-none" w:eastAsia="x-none"/>
              </w:rPr>
              <w:t xml:space="preserve"> </w:t>
            </w:r>
            <w:r w:rsidRPr="00A23740">
              <w:rPr>
                <w:rStyle w:val="MaviChar"/>
                <w:b w:val="0"/>
                <w:color w:val="000000"/>
              </w:rPr>
              <w:t>icra ve iflas dairesi</w:t>
            </w:r>
            <w:r w:rsidRPr="00A23740">
              <w:rPr>
                <w:color w:val="000000"/>
                <w:szCs w:val="24"/>
                <w:lang w:val="x-none" w:eastAsia="x-none"/>
              </w:rPr>
              <w:t xml:space="preserve">nin </w:t>
            </w:r>
            <w:r w:rsidRPr="00A23740">
              <w:rPr>
                <w:bCs/>
                <w:color w:val="000000"/>
                <w:szCs w:val="24"/>
                <w:lang w:val="x-none" w:eastAsia="x-none"/>
              </w:rPr>
              <w:t xml:space="preserve">alacaklıya iki hafta içinde </w:t>
            </w:r>
            <w:r w:rsidRPr="00A23740">
              <w:rPr>
                <w:rStyle w:val="MaviChar"/>
                <w:b w:val="0"/>
                <w:color w:val="000000"/>
              </w:rPr>
              <w:t>gelip</w:t>
            </w:r>
            <w:r w:rsidRPr="00A23740">
              <w:rPr>
                <w:bCs/>
                <w:color w:val="000000"/>
                <w:szCs w:val="24"/>
                <w:lang w:eastAsia="x-none"/>
              </w:rPr>
              <w:t xml:space="preserve"> </w:t>
            </w:r>
            <w:r w:rsidRPr="00A23740">
              <w:rPr>
                <w:bCs/>
                <w:color w:val="000000"/>
                <w:szCs w:val="24"/>
                <w:lang w:val="x-none" w:eastAsia="x-none"/>
              </w:rPr>
              <w:t xml:space="preserve">alacağını almasını veya varsa alacağı almamak veya ipoteğin terkinini talep etmemek için kabul edilebilir bir sebep bildirmesini tebliğ edeceği hususları düzenlenmiştir. </w:t>
            </w:r>
            <w:r w:rsidRPr="00A23740">
              <w:rPr>
                <w:color w:val="000000"/>
              </w:rPr>
              <w:t>Alacaklının bu hususta gösterebileceği sebep, özellikle yatırılan tutarın yetersiz olduğu şeklinde olabi</w:t>
            </w:r>
            <w:r w:rsidR="00FA5BB4" w:rsidRPr="00A23740">
              <w:rPr>
                <w:color w:val="000000"/>
              </w:rPr>
              <w:t>lir.</w:t>
            </w:r>
            <w:r w:rsidR="00654646" w:rsidRPr="00A23740">
              <w:rPr>
                <w:color w:val="000000"/>
              </w:rPr>
              <w:t xml:space="preserve"> Çünkü </w:t>
            </w:r>
            <w:r w:rsidR="006F16CF" w:rsidRPr="00001224">
              <w:rPr>
                <w:color w:val="000000"/>
              </w:rPr>
              <w:t>6098 sayılı Kanunun</w:t>
            </w:r>
            <w:r w:rsidR="006F16CF" w:rsidRPr="00001224">
              <w:rPr>
                <w:bCs/>
                <w:color w:val="000000"/>
              </w:rPr>
              <w:t xml:space="preserve"> </w:t>
            </w:r>
            <w:r w:rsidRPr="00001224">
              <w:rPr>
                <w:bCs/>
                <w:color w:val="000000"/>
              </w:rPr>
              <w:t>84</w:t>
            </w:r>
            <w:r w:rsidRPr="00A23740">
              <w:rPr>
                <w:color w:val="000000"/>
              </w:rPr>
              <w:t xml:space="preserve"> üncü maddesine göre alacaklı, miktarı belirli ve tamamı muaccel olan borç hakkındaki kısmi ödemeyi reddetmek hakkına sahiptir.</w:t>
            </w:r>
          </w:p>
          <w:p w:rsidR="000D242E" w:rsidRPr="00A23740" w:rsidRDefault="000D242E" w:rsidP="009431FF">
            <w:pPr>
              <w:tabs>
                <w:tab w:val="left" w:pos="567"/>
              </w:tabs>
              <w:ind w:firstLine="567"/>
              <w:rPr>
                <w:bCs/>
                <w:color w:val="000000"/>
                <w:szCs w:val="24"/>
                <w:lang w:val="x-none" w:eastAsia="x-none"/>
              </w:rPr>
            </w:pPr>
            <w:r w:rsidRPr="00A23740">
              <w:rPr>
                <w:bCs/>
                <w:color w:val="000000"/>
                <w:szCs w:val="24"/>
                <w:lang w:eastAsia="x-none"/>
              </w:rPr>
              <w:t>Maddenin üçüncü fıkrasında</w:t>
            </w:r>
            <w:r w:rsidRPr="00A23740">
              <w:rPr>
                <w:bCs/>
                <w:color w:val="000000"/>
                <w:szCs w:val="24"/>
                <w:lang w:val="x-none" w:eastAsia="x-none"/>
              </w:rPr>
              <w:t xml:space="preserve"> alacaklının yatırılan parayı ipoteğin terkini konusunda bir çekince belirtmeden almayı kabul etmesi h</w:t>
            </w:r>
            <w:r w:rsidR="00E54A6B" w:rsidRPr="00A23740">
              <w:rPr>
                <w:bCs/>
                <w:color w:val="000000"/>
                <w:szCs w:val="24"/>
                <w:lang w:eastAsia="x-none"/>
              </w:rPr>
              <w:t>â</w:t>
            </w:r>
            <w:r w:rsidRPr="00A23740">
              <w:rPr>
                <w:bCs/>
                <w:color w:val="000000"/>
                <w:szCs w:val="24"/>
                <w:lang w:val="x-none" w:eastAsia="x-none"/>
              </w:rPr>
              <w:t>linde, icra</w:t>
            </w:r>
            <w:r w:rsidRPr="00A23740">
              <w:rPr>
                <w:bCs/>
                <w:color w:val="000000"/>
                <w:szCs w:val="24"/>
                <w:lang w:eastAsia="x-none"/>
              </w:rPr>
              <w:t xml:space="preserve"> </w:t>
            </w:r>
            <w:r w:rsidRPr="00A23740">
              <w:rPr>
                <w:rStyle w:val="MaviChar"/>
                <w:b w:val="0"/>
                <w:color w:val="000000"/>
              </w:rPr>
              <w:t>ve iflas</w:t>
            </w:r>
            <w:r w:rsidRPr="00A23740">
              <w:rPr>
                <w:bCs/>
                <w:color w:val="000000"/>
                <w:szCs w:val="24"/>
                <w:lang w:val="x-none" w:eastAsia="x-none"/>
              </w:rPr>
              <w:t xml:space="preserve"> dairesinin parayı ödeyeceği ve ipoteğin terkini için tapu müdürlüğüne bildirimde bulunacağı öngörülmüştür.</w:t>
            </w:r>
          </w:p>
          <w:p w:rsidR="005A63D3" w:rsidRPr="00A23740" w:rsidRDefault="000D242E" w:rsidP="009431FF">
            <w:pPr>
              <w:tabs>
                <w:tab w:val="left" w:pos="567"/>
              </w:tabs>
              <w:autoSpaceDE w:val="0"/>
              <w:autoSpaceDN w:val="0"/>
              <w:adjustRightInd w:val="0"/>
              <w:ind w:firstLine="567"/>
              <w:rPr>
                <w:color w:val="000000"/>
              </w:rPr>
            </w:pPr>
            <w:r w:rsidRPr="00A23740">
              <w:rPr>
                <w:bCs/>
                <w:color w:val="000000"/>
                <w:szCs w:val="24"/>
                <w:lang w:eastAsia="x-none"/>
              </w:rPr>
              <w:t>Maddenin dördüncü fıkrasına</w:t>
            </w:r>
            <w:r w:rsidRPr="00A23740">
              <w:rPr>
                <w:bCs/>
                <w:color w:val="000000"/>
                <w:szCs w:val="24"/>
                <w:lang w:val="x-none" w:eastAsia="x-none"/>
              </w:rPr>
              <w:t xml:space="preserve"> göre alacaklı kendisine yapılan tebligat üzerine parayı almak için gelmezse veya parayı almaktan kaçınırsa ya da ipoteğin terkini konusunda çekince belirtirse</w:t>
            </w:r>
            <w:r w:rsidR="00306E2D" w:rsidRPr="00A23740">
              <w:rPr>
                <w:bCs/>
                <w:color w:val="000000"/>
                <w:szCs w:val="24"/>
                <w:lang w:eastAsia="x-none"/>
              </w:rPr>
              <w:t>,</w:t>
            </w:r>
            <w:r w:rsidRPr="00A23740">
              <w:rPr>
                <w:bCs/>
                <w:color w:val="000000"/>
                <w:szCs w:val="24"/>
                <w:lang w:val="x-none" w:eastAsia="x-none"/>
              </w:rPr>
              <w:t xml:space="preserve"> icra</w:t>
            </w:r>
            <w:r w:rsidRPr="00A23740">
              <w:rPr>
                <w:bCs/>
                <w:color w:val="000000"/>
                <w:szCs w:val="24"/>
                <w:lang w:eastAsia="x-none"/>
              </w:rPr>
              <w:t xml:space="preserve"> </w:t>
            </w:r>
            <w:r w:rsidRPr="00A23740">
              <w:rPr>
                <w:rStyle w:val="MaviChar"/>
                <w:b w:val="0"/>
                <w:color w:val="000000"/>
              </w:rPr>
              <w:t>ve iflas</w:t>
            </w:r>
            <w:r w:rsidRPr="00A23740">
              <w:rPr>
                <w:bCs/>
                <w:color w:val="000000"/>
                <w:szCs w:val="24"/>
                <w:lang w:val="x-none" w:eastAsia="x-none"/>
              </w:rPr>
              <w:t xml:space="preserve"> dairesi dosyayı icra hukuk mahkemesine verir; icra hukuk mahkemesi borçlunun yatırdığı paranın</w:t>
            </w:r>
            <w:r w:rsidR="00C33D08" w:rsidRPr="00A23740">
              <w:rPr>
                <w:bCs/>
                <w:color w:val="000000"/>
                <w:szCs w:val="24"/>
                <w:lang w:eastAsia="x-none"/>
              </w:rPr>
              <w:t>,</w:t>
            </w:r>
            <w:r w:rsidRPr="00A23740">
              <w:rPr>
                <w:bCs/>
                <w:color w:val="000000"/>
                <w:szCs w:val="24"/>
                <w:lang w:val="x-none" w:eastAsia="x-none"/>
              </w:rPr>
              <w:t xml:space="preserve"> ipotekle temin edilen borcu karşılamaya yeterli olduğunu tespit ederse yatırılan paranın alacaklı adına saklanmasına ve ipoteğin terkinine karar verir. </w:t>
            </w:r>
            <w:r w:rsidRPr="00001224">
              <w:rPr>
                <w:bCs/>
                <w:color w:val="000000"/>
              </w:rPr>
              <w:t>Ancak</w:t>
            </w:r>
            <w:r w:rsidRPr="00A23740">
              <w:rPr>
                <w:bCs/>
                <w:color w:val="000000"/>
                <w:szCs w:val="24"/>
                <w:lang w:val="x-none" w:eastAsia="x-none"/>
              </w:rPr>
              <w:t xml:space="preserve">, alacaklı parayı almaktan </w:t>
            </w:r>
            <w:r w:rsidRPr="00001224">
              <w:rPr>
                <w:bCs/>
                <w:color w:val="000000"/>
              </w:rPr>
              <w:t xml:space="preserve">kaçınmasına </w:t>
            </w:r>
            <w:r w:rsidR="00C33D08" w:rsidRPr="00001224">
              <w:rPr>
                <w:bCs/>
                <w:color w:val="000000"/>
              </w:rPr>
              <w:t>yol açan ve</w:t>
            </w:r>
            <w:r w:rsidR="00C33D08" w:rsidRPr="00A23740">
              <w:rPr>
                <w:bCs/>
                <w:color w:val="000000"/>
                <w:szCs w:val="24"/>
                <w:lang w:eastAsia="x-none"/>
              </w:rPr>
              <w:t xml:space="preserve"> </w:t>
            </w:r>
            <w:r w:rsidRPr="00A23740">
              <w:rPr>
                <w:bCs/>
                <w:color w:val="000000"/>
                <w:szCs w:val="24"/>
                <w:lang w:val="x-none" w:eastAsia="x-none"/>
              </w:rPr>
              <w:t>yargılamayı gerektiren bir sebep ileri sürerse</w:t>
            </w:r>
            <w:r w:rsidR="00306E2D" w:rsidRPr="00A23740">
              <w:rPr>
                <w:bCs/>
                <w:color w:val="000000"/>
                <w:szCs w:val="24"/>
                <w:lang w:eastAsia="x-none"/>
              </w:rPr>
              <w:t>,</w:t>
            </w:r>
            <w:r w:rsidRPr="00A23740">
              <w:rPr>
                <w:bCs/>
                <w:color w:val="000000"/>
                <w:szCs w:val="24"/>
                <w:lang w:val="x-none" w:eastAsia="x-none"/>
              </w:rPr>
              <w:t xml:space="preserve"> icra hukuk mahkemesi ipoteğin </w:t>
            </w:r>
            <w:r w:rsidR="00FA5BB4" w:rsidRPr="00A23740">
              <w:rPr>
                <w:bCs/>
                <w:color w:val="000000"/>
                <w:szCs w:val="24"/>
                <w:lang w:val="x-none" w:eastAsia="x-none"/>
              </w:rPr>
              <w:t>terkini talebini reddedecektir.</w:t>
            </w:r>
            <w:r w:rsidRPr="00A23740">
              <w:rPr>
                <w:bCs/>
                <w:color w:val="000000"/>
                <w:szCs w:val="24"/>
                <w:lang w:val="x-none" w:eastAsia="x-none"/>
              </w:rPr>
              <w:t xml:space="preserve"> Bu fıkranın son cümlesinde</w:t>
            </w:r>
            <w:r w:rsidR="00306E2D" w:rsidRPr="00A23740">
              <w:rPr>
                <w:bCs/>
                <w:color w:val="000000"/>
                <w:szCs w:val="24"/>
                <w:lang w:eastAsia="x-none"/>
              </w:rPr>
              <w:t>,</w:t>
            </w:r>
            <w:r w:rsidRPr="00A23740">
              <w:rPr>
                <w:bCs/>
                <w:color w:val="000000"/>
                <w:szCs w:val="24"/>
                <w:lang w:val="x-none" w:eastAsia="x-none"/>
              </w:rPr>
              <w:t xml:space="preserve"> ipoteğin terkinini talep eden ilgilinin genel mahkemelere başvurma hakkı saklı tutulmaktadır ki</w:t>
            </w:r>
            <w:r w:rsidR="00306E2D" w:rsidRPr="00A23740">
              <w:rPr>
                <w:bCs/>
                <w:color w:val="000000"/>
                <w:szCs w:val="24"/>
                <w:lang w:eastAsia="x-none"/>
              </w:rPr>
              <w:t>,</w:t>
            </w:r>
            <w:r w:rsidRPr="00A23740">
              <w:rPr>
                <w:bCs/>
                <w:color w:val="000000"/>
                <w:szCs w:val="24"/>
                <w:lang w:val="x-none" w:eastAsia="x-none"/>
              </w:rPr>
              <w:t xml:space="preserve"> burada kastedilen </w:t>
            </w:r>
            <w:r w:rsidR="006F16CF" w:rsidRPr="00001224">
              <w:rPr>
                <w:color w:val="000000"/>
              </w:rPr>
              <w:t>6098 sayılı Kanunun</w:t>
            </w:r>
            <w:r w:rsidR="00654646" w:rsidRPr="00A23740">
              <w:rPr>
                <w:b/>
                <w:bCs/>
                <w:color w:val="000000"/>
                <w:szCs w:val="24"/>
                <w:lang w:eastAsia="x-none"/>
              </w:rPr>
              <w:t xml:space="preserve"> </w:t>
            </w:r>
            <w:r w:rsidR="00654646" w:rsidRPr="00A23740">
              <w:rPr>
                <w:bCs/>
                <w:color w:val="000000"/>
                <w:szCs w:val="24"/>
                <w:lang w:val="x-none" w:eastAsia="x-none"/>
              </w:rPr>
              <w:t>107 nci</w:t>
            </w:r>
            <w:r w:rsidR="00654646" w:rsidRPr="00A23740">
              <w:rPr>
                <w:bCs/>
                <w:color w:val="000000"/>
                <w:szCs w:val="24"/>
                <w:lang w:eastAsia="x-none"/>
              </w:rPr>
              <w:t>,</w:t>
            </w:r>
            <w:r w:rsidRPr="00A23740">
              <w:rPr>
                <w:bCs/>
                <w:color w:val="000000"/>
                <w:szCs w:val="24"/>
                <w:lang w:val="x-none" w:eastAsia="x-none"/>
              </w:rPr>
              <w:t xml:space="preserve">  </w:t>
            </w:r>
            <w:r w:rsidR="008F75C3" w:rsidRPr="00001224">
              <w:rPr>
                <w:color w:val="000000"/>
              </w:rPr>
              <w:t>4721 sayılı Kanunun</w:t>
            </w:r>
            <w:r w:rsidR="008F75C3" w:rsidRPr="00A23740">
              <w:rPr>
                <w:color w:val="000000"/>
              </w:rPr>
              <w:t xml:space="preserve"> </w:t>
            </w:r>
            <w:r w:rsidRPr="00A23740">
              <w:rPr>
                <w:color w:val="000000"/>
              </w:rPr>
              <w:t>883</w:t>
            </w:r>
            <w:r w:rsidR="00654646" w:rsidRPr="00A23740">
              <w:rPr>
                <w:color w:val="000000"/>
              </w:rPr>
              <w:t xml:space="preserve"> üncü</w:t>
            </w:r>
            <w:r w:rsidRPr="00A23740">
              <w:rPr>
                <w:color w:val="000000"/>
              </w:rPr>
              <w:t xml:space="preserve"> ve 1027</w:t>
            </w:r>
            <w:r w:rsidR="00654646" w:rsidRPr="00A23740">
              <w:rPr>
                <w:color w:val="000000"/>
              </w:rPr>
              <w:t xml:space="preserve"> nci</w:t>
            </w:r>
            <w:r w:rsidRPr="00A23740">
              <w:rPr>
                <w:color w:val="000000"/>
              </w:rPr>
              <w:t xml:space="preserve"> </w:t>
            </w:r>
            <w:r w:rsidR="00654646" w:rsidRPr="00A23740">
              <w:rPr>
                <w:color w:val="000000"/>
              </w:rPr>
              <w:t>madde</w:t>
            </w:r>
            <w:r w:rsidR="00306E2D" w:rsidRPr="00A23740">
              <w:rPr>
                <w:color w:val="000000"/>
              </w:rPr>
              <w:t>leri</w:t>
            </w:r>
            <w:r w:rsidR="00654646" w:rsidRPr="00A23740">
              <w:rPr>
                <w:color w:val="000000"/>
              </w:rPr>
              <w:t xml:space="preserve"> </w:t>
            </w:r>
            <w:r w:rsidRPr="00A23740">
              <w:rPr>
                <w:color w:val="000000"/>
              </w:rPr>
              <w:t>hükümleridir.</w:t>
            </w:r>
          </w:p>
          <w:p w:rsidR="00D8122F" w:rsidRPr="00A23740" w:rsidRDefault="000D242E" w:rsidP="009431FF">
            <w:pPr>
              <w:tabs>
                <w:tab w:val="left" w:pos="567"/>
              </w:tabs>
              <w:ind w:firstLine="567"/>
              <w:rPr>
                <w:bCs/>
                <w:color w:val="000000"/>
                <w:szCs w:val="24"/>
                <w:lang w:eastAsia="x-none"/>
              </w:rPr>
            </w:pPr>
            <w:r w:rsidRPr="00A23740">
              <w:rPr>
                <w:bCs/>
                <w:color w:val="000000"/>
                <w:szCs w:val="24"/>
                <w:lang w:eastAsia="x-none"/>
              </w:rPr>
              <w:t xml:space="preserve">Maddenin altıncı fıkrasında </w:t>
            </w:r>
            <w:r w:rsidRPr="00A23740">
              <w:rPr>
                <w:bCs/>
                <w:color w:val="000000"/>
                <w:szCs w:val="24"/>
                <w:lang w:val="x-none" w:eastAsia="x-none"/>
              </w:rPr>
              <w:t xml:space="preserve">ise bu </w:t>
            </w:r>
            <w:r w:rsidR="00C33D08" w:rsidRPr="00A23740">
              <w:rPr>
                <w:bCs/>
                <w:color w:val="000000"/>
                <w:szCs w:val="24"/>
                <w:lang w:eastAsia="x-none"/>
              </w:rPr>
              <w:t>K</w:t>
            </w:r>
            <w:r w:rsidRPr="00A23740">
              <w:rPr>
                <w:bCs/>
                <w:color w:val="000000"/>
                <w:szCs w:val="24"/>
                <w:lang w:val="x-none" w:eastAsia="x-none"/>
              </w:rPr>
              <w:t>anun hükmünün imar uygulaması sonucunda oluşturulmuş olan ipotekler ile kadastro çalışmaları sonucunda taşınmaz üzerine konulan kanuni ipotekler gibi kamu hukuku hükümleri uyarınca kurulan ipotekler hakkında uygulanmayacağı öngörülmüştür</w:t>
            </w:r>
            <w:r w:rsidR="00654646" w:rsidRPr="00A23740">
              <w:rPr>
                <w:bCs/>
                <w:color w:val="000000"/>
                <w:szCs w:val="24"/>
                <w:lang w:val="x-none" w:eastAsia="x-none"/>
              </w:rPr>
              <w:t>.</w:t>
            </w:r>
          </w:p>
          <w:p w:rsidR="00654646" w:rsidRPr="00A23740" w:rsidRDefault="00654646" w:rsidP="00DE193E">
            <w:pPr>
              <w:tabs>
                <w:tab w:val="left" w:pos="567"/>
              </w:tabs>
              <w:ind w:firstLine="567"/>
              <w:rPr>
                <w:bCs/>
                <w:color w:val="00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rPr>
                <w:rFonts w:eastAsia="Times New Roman"/>
                <w:b/>
                <w:strike/>
                <w:color w:val="FF0000"/>
                <w:szCs w:val="24"/>
                <w:lang w:eastAsia="x-none"/>
              </w:rPr>
            </w:pPr>
            <w:r w:rsidRPr="00A23740">
              <w:rPr>
                <w:rFonts w:eastAsia="Times New Roman"/>
                <w:b/>
                <w:strike/>
                <w:color w:val="FF0000"/>
                <w:szCs w:val="24"/>
                <w:lang w:eastAsia="x-none"/>
              </w:rPr>
              <w:t>Rehnin paraya çevrilmesine ilişkin hükümlerin gemilere uygulanması:</w:t>
            </w:r>
          </w:p>
          <w:p w:rsidR="00155AF4" w:rsidRPr="00A23740" w:rsidRDefault="00155AF4" w:rsidP="009431FF">
            <w:pPr>
              <w:rPr>
                <w:color w:val="FF0000"/>
                <w:szCs w:val="24"/>
                <w:lang w:eastAsia="tr-TR"/>
              </w:rPr>
            </w:pPr>
            <w:r w:rsidRPr="00A23740">
              <w:rPr>
                <w:rFonts w:eastAsia="Times New Roman"/>
                <w:b/>
                <w:strike/>
                <w:color w:val="FF0000"/>
                <w:szCs w:val="24"/>
                <w:lang w:eastAsia="x-none"/>
              </w:rPr>
              <w:t>Madde 153/a –</w:t>
            </w:r>
          </w:p>
          <w:p w:rsidR="00155AF4" w:rsidRPr="00A23740" w:rsidRDefault="00155AF4" w:rsidP="009431FF">
            <w:pPr>
              <w:rPr>
                <w:rFonts w:eastAsia="Times New Roman"/>
                <w:b/>
                <w:strike/>
                <w:color w:val="FF0000"/>
                <w:szCs w:val="24"/>
                <w:lang w:eastAsia="x-none"/>
              </w:rPr>
            </w:pPr>
          </w:p>
        </w:tc>
        <w:tc>
          <w:tcPr>
            <w:tcW w:w="2500" w:type="pct"/>
            <w:shd w:val="clear" w:color="auto" w:fill="auto"/>
          </w:tcPr>
          <w:p w:rsidR="00155AF4" w:rsidRPr="00A23740" w:rsidRDefault="00155AF4" w:rsidP="009431FF">
            <w:pPr>
              <w:rPr>
                <w:rFonts w:eastAsia="Times New Roman"/>
                <w:b/>
                <w:strike/>
                <w:color w:val="FF0000"/>
                <w:szCs w:val="24"/>
                <w:lang w:eastAsia="x-none"/>
              </w:rPr>
            </w:pPr>
          </w:p>
        </w:tc>
      </w:tr>
      <w:tr w:rsidR="00155AF4" w:rsidRPr="00A23740" w:rsidTr="009431FF">
        <w:tblPrEx>
          <w:tblLook w:val="01E0" w:firstRow="1" w:lastRow="1" w:firstColumn="1" w:lastColumn="1" w:noHBand="0" w:noVBand="0"/>
        </w:tblPrEx>
        <w:tc>
          <w:tcPr>
            <w:tcW w:w="2500" w:type="pct"/>
            <w:shd w:val="clear" w:color="auto" w:fill="auto"/>
          </w:tcPr>
          <w:p w:rsidR="00155AF4" w:rsidRPr="00A23740" w:rsidRDefault="00155AF4" w:rsidP="009431FF">
            <w:pPr>
              <w:tabs>
                <w:tab w:val="left" w:pos="566"/>
              </w:tabs>
              <w:autoSpaceDE w:val="0"/>
              <w:autoSpaceDN w:val="0"/>
              <w:adjustRightInd w:val="0"/>
              <w:rPr>
                <w:iCs/>
                <w:szCs w:val="24"/>
              </w:rPr>
            </w:pPr>
          </w:p>
        </w:tc>
        <w:tc>
          <w:tcPr>
            <w:tcW w:w="2500" w:type="pct"/>
            <w:shd w:val="clear" w:color="auto" w:fill="auto"/>
          </w:tcPr>
          <w:p w:rsidR="00155AF4" w:rsidRPr="00A23740" w:rsidRDefault="00155AF4" w:rsidP="009431FF">
            <w:pPr>
              <w:tabs>
                <w:tab w:val="left" w:pos="567"/>
              </w:tabs>
              <w:rPr>
                <w:b/>
                <w:bCs/>
                <w:color w:val="0000FF"/>
                <w:szCs w:val="24"/>
                <w:lang w:val="x-none" w:eastAsia="x-none"/>
              </w:rPr>
            </w:pPr>
            <w:r w:rsidRPr="00A23740">
              <w:rPr>
                <w:rStyle w:val="MaviChar"/>
              </w:rPr>
              <w:t>Özel</w:t>
            </w:r>
            <w:r w:rsidRPr="00A23740">
              <w:rPr>
                <w:b/>
                <w:color w:val="FF0000"/>
                <w:szCs w:val="24"/>
                <w:lang w:eastAsia="x-none"/>
              </w:rPr>
              <w:t xml:space="preserve"> </w:t>
            </w:r>
            <w:r w:rsidRPr="00A23740">
              <w:rPr>
                <w:b/>
                <w:bCs/>
                <w:color w:val="0000FF"/>
                <w:szCs w:val="24"/>
                <w:lang w:val="x-none" w:eastAsia="x-none"/>
              </w:rPr>
              <w:t>hükümler</w:t>
            </w:r>
          </w:p>
          <w:p w:rsidR="00155AF4" w:rsidRPr="00A23740" w:rsidRDefault="00A9749A" w:rsidP="009431FF">
            <w:pPr>
              <w:tabs>
                <w:tab w:val="left" w:pos="567"/>
              </w:tabs>
              <w:rPr>
                <w:b/>
                <w:bCs/>
                <w:color w:val="0000FF"/>
                <w:szCs w:val="24"/>
                <w:lang w:val="x-none" w:eastAsia="x-none"/>
              </w:rPr>
            </w:pPr>
            <w:r w:rsidRPr="00A23740">
              <w:rPr>
                <w:b/>
                <w:bCs/>
                <w:color w:val="0000FF"/>
                <w:szCs w:val="24"/>
                <w:lang w:val="x-none" w:eastAsia="x-none"/>
              </w:rPr>
              <w:t>MADDE 137</w:t>
            </w:r>
            <w:r w:rsidR="00155AF4" w:rsidRPr="00A23740">
              <w:rPr>
                <w:b/>
                <w:bCs/>
                <w:color w:val="0000FF"/>
                <w:szCs w:val="24"/>
                <w:lang w:val="x-none" w:eastAsia="x-none"/>
              </w:rPr>
              <w:t>- (1) 20/10/2016 tarihli ve 6750 sayılı Ticari İşlemlerde Taşınır Rehni Kanununa göre kurulan rehinler ve bunlar ha</w:t>
            </w:r>
            <w:r w:rsidR="00127084" w:rsidRPr="00A23740">
              <w:rPr>
                <w:b/>
                <w:bCs/>
                <w:color w:val="0000FF"/>
                <w:szCs w:val="24"/>
                <w:lang w:val="x-none" w:eastAsia="x-none"/>
              </w:rPr>
              <w:t>kkındaki cebr</w:t>
            </w:r>
            <w:r w:rsidR="00127084" w:rsidRPr="00A23740">
              <w:rPr>
                <w:b/>
                <w:bCs/>
                <w:color w:val="0000FF"/>
                <w:szCs w:val="24"/>
                <w:lang w:eastAsia="x-none"/>
              </w:rPr>
              <w:t>î</w:t>
            </w:r>
            <w:r w:rsidR="00155AF4" w:rsidRPr="00A23740">
              <w:rPr>
                <w:b/>
                <w:bCs/>
                <w:color w:val="0000FF"/>
                <w:szCs w:val="24"/>
                <w:lang w:val="x-none" w:eastAsia="x-none"/>
              </w:rPr>
              <w:t xml:space="preserve"> icra hükümleri saklıdır.</w:t>
            </w:r>
          </w:p>
          <w:p w:rsidR="00155AF4" w:rsidRPr="00A23740" w:rsidRDefault="00155AF4" w:rsidP="009431FF">
            <w:pPr>
              <w:tabs>
                <w:tab w:val="left" w:pos="567"/>
              </w:tabs>
              <w:rPr>
                <w:b/>
                <w:bCs/>
                <w:color w:val="0000FF"/>
                <w:szCs w:val="24"/>
                <w:lang w:val="x-none" w:eastAsia="x-none"/>
              </w:rPr>
            </w:pPr>
          </w:p>
        </w:tc>
      </w:tr>
      <w:tr w:rsidR="00D8122F" w:rsidRPr="00A23740" w:rsidTr="009431FF">
        <w:tc>
          <w:tcPr>
            <w:tcW w:w="5000" w:type="pct"/>
            <w:gridSpan w:val="2"/>
            <w:shd w:val="clear" w:color="auto" w:fill="DEEAF6"/>
          </w:tcPr>
          <w:p w:rsidR="00EE022E" w:rsidRPr="00A23740" w:rsidRDefault="00EE022E" w:rsidP="009431FF">
            <w:pPr>
              <w:tabs>
                <w:tab w:val="left" w:pos="567"/>
              </w:tabs>
              <w:ind w:firstLine="567"/>
              <w:rPr>
                <w:b/>
                <w:bCs/>
                <w:color w:val="000000"/>
                <w:szCs w:val="24"/>
                <w:lang w:eastAsia="x-none"/>
              </w:rPr>
            </w:pPr>
          </w:p>
          <w:p w:rsidR="00EE022E" w:rsidRDefault="00A9749A" w:rsidP="00DE193E">
            <w:pPr>
              <w:tabs>
                <w:tab w:val="left" w:pos="567"/>
              </w:tabs>
              <w:ind w:firstLine="567"/>
              <w:rPr>
                <w:b/>
                <w:bCs/>
                <w:color w:val="000000"/>
                <w:szCs w:val="24"/>
                <w:lang w:eastAsia="x-none"/>
              </w:rPr>
            </w:pPr>
            <w:r w:rsidRPr="00A23740">
              <w:rPr>
                <w:b/>
                <w:bCs/>
                <w:color w:val="000000"/>
                <w:szCs w:val="24"/>
                <w:lang w:eastAsia="x-none"/>
              </w:rPr>
              <w:t>MADDE 137</w:t>
            </w:r>
            <w:r w:rsidR="00D8122F" w:rsidRPr="00A23740">
              <w:rPr>
                <w:b/>
                <w:bCs/>
                <w:color w:val="000000"/>
                <w:szCs w:val="24"/>
                <w:lang w:eastAsia="x-none"/>
              </w:rPr>
              <w:t>-</w:t>
            </w:r>
            <w:r w:rsidR="000D242E" w:rsidRPr="00A23740">
              <w:rPr>
                <w:b/>
                <w:bCs/>
                <w:color w:val="000000"/>
                <w:szCs w:val="24"/>
                <w:lang w:eastAsia="x-none"/>
              </w:rPr>
              <w:t xml:space="preserve"> </w:t>
            </w:r>
            <w:r w:rsidR="00EB6E8E" w:rsidRPr="00A23740">
              <w:rPr>
                <w:bCs/>
                <w:color w:val="000000"/>
              </w:rPr>
              <w:t xml:space="preserve">Maddeyle, özel hükümlere ilişkin hususlar düzenlenmektedir. </w:t>
            </w:r>
            <w:r w:rsidR="000D242E" w:rsidRPr="00A23740">
              <w:rPr>
                <w:bCs/>
                <w:color w:val="000000"/>
              </w:rPr>
              <w:t>Taslağın</w:t>
            </w:r>
            <w:r w:rsidR="00695C83" w:rsidRPr="00A23740">
              <w:rPr>
                <w:bCs/>
                <w:color w:val="000000"/>
              </w:rPr>
              <w:t xml:space="preserve"> </w:t>
            </w:r>
            <w:r w:rsidR="00695C83" w:rsidRPr="00001224">
              <w:rPr>
                <w:color w:val="000000"/>
              </w:rPr>
              <w:t>137 nci</w:t>
            </w:r>
            <w:r w:rsidR="000D242E" w:rsidRPr="00A23740">
              <w:rPr>
                <w:b/>
                <w:bCs/>
                <w:color w:val="000000"/>
              </w:rPr>
              <w:t xml:space="preserve"> </w:t>
            </w:r>
            <w:r w:rsidR="000D242E" w:rsidRPr="00A23740">
              <w:rPr>
                <w:bCs/>
                <w:color w:val="000000"/>
              </w:rPr>
              <w:t>maddesi “</w:t>
            </w:r>
            <w:r w:rsidR="000D242E" w:rsidRPr="00A23740">
              <w:t>Özel</w:t>
            </w:r>
            <w:r w:rsidR="000D242E" w:rsidRPr="00A23740">
              <w:rPr>
                <w:bCs/>
                <w:color w:val="000000"/>
              </w:rPr>
              <w:t xml:space="preserve"> hükümler” başlığını taşımakta olup, 20/10/2016 tarihli ve 6750 sayılı Ticari İşlemlerde Taşınır</w:t>
            </w:r>
            <w:r w:rsidR="000D242E" w:rsidRPr="00A23740">
              <w:rPr>
                <w:bCs/>
                <w:color w:val="000000"/>
                <w:szCs w:val="24"/>
                <w:lang w:val="x-none" w:eastAsia="x-none"/>
              </w:rPr>
              <w:t xml:space="preserve"> Rehni Kanununa göre kurulan rehinler</w:t>
            </w:r>
            <w:r w:rsidR="00306E2D" w:rsidRPr="00A23740">
              <w:rPr>
                <w:bCs/>
                <w:color w:val="000000"/>
                <w:szCs w:val="24"/>
                <w:lang w:eastAsia="x-none"/>
              </w:rPr>
              <w:t>i</w:t>
            </w:r>
            <w:r w:rsidR="000D242E" w:rsidRPr="00A23740">
              <w:rPr>
                <w:bCs/>
                <w:color w:val="000000"/>
                <w:szCs w:val="24"/>
                <w:lang w:val="x-none" w:eastAsia="x-none"/>
              </w:rPr>
              <w:t xml:space="preserve"> ve bunlar hakkındaki cebr</w:t>
            </w:r>
            <w:r w:rsidR="00436506" w:rsidRPr="00A23740">
              <w:rPr>
                <w:bCs/>
                <w:color w:val="000000"/>
                <w:szCs w:val="24"/>
                <w:lang w:eastAsia="x-none"/>
              </w:rPr>
              <w:t>î</w:t>
            </w:r>
            <w:r w:rsidR="000D242E" w:rsidRPr="00A23740">
              <w:rPr>
                <w:bCs/>
                <w:color w:val="000000"/>
                <w:szCs w:val="24"/>
                <w:lang w:val="x-none" w:eastAsia="x-none"/>
              </w:rPr>
              <w:t xml:space="preserve"> icra hükümlerini saklı tutmaktadır.</w:t>
            </w:r>
          </w:p>
          <w:p w:rsidR="0051673D" w:rsidRPr="00A23740" w:rsidRDefault="0051673D" w:rsidP="009431FF">
            <w:pPr>
              <w:tabs>
                <w:tab w:val="left" w:pos="567"/>
              </w:tabs>
              <w:rPr>
                <w:b/>
                <w:bCs/>
                <w:color w:val="000000"/>
                <w:szCs w:val="24"/>
                <w:lang w:eastAsia="x-none"/>
              </w:rPr>
            </w:pPr>
          </w:p>
        </w:tc>
      </w:tr>
      <w:tr w:rsidR="0039392A" w:rsidRPr="00A23740" w:rsidTr="009431FF">
        <w:tc>
          <w:tcPr>
            <w:tcW w:w="2500" w:type="pct"/>
          </w:tcPr>
          <w:p w:rsidR="0039392A" w:rsidRPr="00A23740" w:rsidRDefault="0039392A" w:rsidP="009431FF">
            <w:pPr>
              <w:tabs>
                <w:tab w:val="left" w:pos="567"/>
              </w:tabs>
              <w:jc w:val="center"/>
              <w:rPr>
                <w:rFonts w:eastAsia="Times New Roman"/>
                <w:b/>
                <w:bCs/>
                <w:strike/>
                <w:color w:val="FF0000"/>
                <w:szCs w:val="24"/>
                <w:lang w:eastAsia="x-none"/>
              </w:rPr>
            </w:pPr>
            <w:r w:rsidRPr="00A23740">
              <w:br w:type="page"/>
            </w:r>
            <w:r w:rsidRPr="00A23740">
              <w:br w:type="page"/>
            </w:r>
            <w:r w:rsidRPr="00A23740">
              <w:rPr>
                <w:rFonts w:eastAsia="Times New Roman"/>
                <w:b/>
                <w:bCs/>
                <w:strike/>
                <w:color w:val="FF0000"/>
                <w:szCs w:val="24"/>
                <w:lang w:eastAsia="x-none"/>
              </w:rPr>
              <w:t>ONUNCU BAP</w:t>
            </w:r>
          </w:p>
          <w:p w:rsidR="0039392A" w:rsidRPr="00A23740" w:rsidRDefault="0039392A" w:rsidP="009431FF">
            <w:pPr>
              <w:tabs>
                <w:tab w:val="left" w:pos="567"/>
              </w:tabs>
              <w:jc w:val="center"/>
              <w:rPr>
                <w:rFonts w:eastAsia="Times New Roman"/>
                <w:b/>
                <w:bCs/>
                <w:strike/>
                <w:color w:val="FF0000"/>
                <w:szCs w:val="24"/>
                <w:lang w:eastAsia="x-none"/>
              </w:rPr>
            </w:pPr>
            <w:r w:rsidRPr="00A23740">
              <w:rPr>
                <w:rFonts w:eastAsia="Times New Roman"/>
                <w:b/>
                <w:bCs/>
                <w:strike/>
                <w:color w:val="FF0000"/>
                <w:szCs w:val="24"/>
                <w:lang w:eastAsia="x-none"/>
              </w:rPr>
              <w:t>Kiralar hakkında hususi hükümler ve kiralanan taşınmazların tahliyesi</w:t>
            </w:r>
          </w:p>
          <w:p w:rsidR="0039392A" w:rsidRPr="00A23740" w:rsidRDefault="0039392A" w:rsidP="009431FF">
            <w:pPr>
              <w:tabs>
                <w:tab w:val="left" w:pos="567"/>
              </w:tabs>
              <w:jc w:val="center"/>
              <w:rPr>
                <w:b/>
                <w:szCs w:val="24"/>
              </w:rPr>
            </w:pPr>
          </w:p>
          <w:p w:rsidR="0039392A" w:rsidRPr="00A23740" w:rsidRDefault="0039392A" w:rsidP="009431FF">
            <w:pPr>
              <w:tabs>
                <w:tab w:val="left" w:pos="567"/>
              </w:tabs>
              <w:jc w:val="center"/>
              <w:rPr>
                <w:b/>
                <w:szCs w:val="24"/>
              </w:rPr>
            </w:pPr>
          </w:p>
          <w:p w:rsidR="0039392A" w:rsidRPr="00A23740" w:rsidRDefault="0039392A" w:rsidP="009431FF">
            <w:pPr>
              <w:tabs>
                <w:tab w:val="left" w:pos="567"/>
              </w:tabs>
              <w:jc w:val="center"/>
              <w:rPr>
                <w:b/>
                <w:szCs w:val="24"/>
              </w:rPr>
            </w:pPr>
          </w:p>
          <w:p w:rsidR="0039392A" w:rsidRPr="00A23740" w:rsidRDefault="0039392A" w:rsidP="009431FF">
            <w:pPr>
              <w:rPr>
                <w:szCs w:val="24"/>
              </w:rPr>
            </w:pPr>
          </w:p>
          <w:p w:rsidR="0039392A" w:rsidRPr="00A23740" w:rsidRDefault="0039392A" w:rsidP="009431FF">
            <w:pPr>
              <w:rPr>
                <w:szCs w:val="24"/>
              </w:rPr>
            </w:pPr>
          </w:p>
          <w:p w:rsidR="0039392A" w:rsidRPr="00A23740" w:rsidRDefault="0039392A" w:rsidP="009431FF">
            <w:pPr>
              <w:rPr>
                <w:szCs w:val="24"/>
              </w:rPr>
            </w:pPr>
          </w:p>
          <w:p w:rsidR="0039392A" w:rsidRPr="00A23740" w:rsidRDefault="0039392A" w:rsidP="009431FF">
            <w:pPr>
              <w:rPr>
                <w:szCs w:val="24"/>
              </w:rPr>
            </w:pPr>
          </w:p>
          <w:p w:rsidR="0039392A" w:rsidRPr="00A23740" w:rsidRDefault="0039392A" w:rsidP="009431FF">
            <w:pPr>
              <w:rPr>
                <w:szCs w:val="24"/>
              </w:rPr>
            </w:pPr>
          </w:p>
          <w:p w:rsidR="0039392A" w:rsidRPr="00A23740" w:rsidRDefault="0039392A" w:rsidP="009431FF">
            <w:pPr>
              <w:rPr>
                <w:szCs w:val="24"/>
              </w:rPr>
            </w:pPr>
          </w:p>
          <w:p w:rsidR="0039392A" w:rsidRPr="00A23740" w:rsidRDefault="0039392A" w:rsidP="009431FF">
            <w:pPr>
              <w:rPr>
                <w:szCs w:val="24"/>
              </w:rPr>
            </w:pPr>
          </w:p>
          <w:p w:rsidR="0039392A" w:rsidRPr="00A23740" w:rsidRDefault="0039392A" w:rsidP="009431FF">
            <w:pPr>
              <w:rPr>
                <w:szCs w:val="24"/>
              </w:rPr>
            </w:pPr>
          </w:p>
          <w:p w:rsidR="0039392A" w:rsidRPr="00A23740" w:rsidRDefault="0039392A" w:rsidP="009431FF">
            <w:pPr>
              <w:rPr>
                <w:szCs w:val="24"/>
              </w:rPr>
            </w:pPr>
          </w:p>
        </w:tc>
        <w:tc>
          <w:tcPr>
            <w:tcW w:w="2500" w:type="pct"/>
          </w:tcPr>
          <w:p w:rsidR="0039392A" w:rsidRPr="00A23740" w:rsidRDefault="0039392A" w:rsidP="009431FF">
            <w:pPr>
              <w:keepNext/>
              <w:jc w:val="center"/>
              <w:outlineLvl w:val="2"/>
              <w:rPr>
                <w:rFonts w:eastAsia="Times New Roman"/>
                <w:b/>
                <w:bCs/>
                <w:snapToGrid w:val="0"/>
                <w:color w:val="0000FF"/>
                <w:szCs w:val="26"/>
              </w:rPr>
            </w:pPr>
            <w:r w:rsidRPr="00A23740">
              <w:rPr>
                <w:rFonts w:eastAsia="Times New Roman"/>
                <w:b/>
                <w:bCs/>
                <w:snapToGrid w:val="0"/>
                <w:color w:val="0000FF"/>
                <w:szCs w:val="26"/>
              </w:rPr>
              <w:t>DÖRDÜNCÜ BÖLÜM</w:t>
            </w:r>
          </w:p>
          <w:p w:rsidR="0039392A" w:rsidRPr="00A23740" w:rsidRDefault="0039392A" w:rsidP="009431FF">
            <w:pPr>
              <w:keepNext/>
              <w:jc w:val="center"/>
              <w:outlineLvl w:val="2"/>
              <w:rPr>
                <w:rFonts w:eastAsia="Times New Roman"/>
                <w:b/>
                <w:bCs/>
                <w:color w:val="0000FF"/>
                <w:szCs w:val="26"/>
              </w:rPr>
            </w:pPr>
            <w:r w:rsidRPr="00A23740">
              <w:rPr>
                <w:rFonts w:eastAsia="Times New Roman"/>
                <w:b/>
                <w:bCs/>
                <w:color w:val="0000FF"/>
                <w:szCs w:val="26"/>
              </w:rPr>
              <w:t>Kiralanan Taşınmazların İlamsız İcra Yoluyla Tahliyesi</w:t>
            </w:r>
          </w:p>
          <w:p w:rsidR="0039392A" w:rsidRPr="00A23740" w:rsidRDefault="0039392A" w:rsidP="009431FF">
            <w:pPr>
              <w:tabs>
                <w:tab w:val="left" w:pos="567"/>
              </w:tabs>
              <w:jc w:val="center"/>
              <w:rPr>
                <w:b/>
                <w:bCs/>
                <w:color w:val="0000FF"/>
                <w:szCs w:val="24"/>
                <w:lang w:eastAsia="x-none"/>
              </w:rPr>
            </w:pPr>
          </w:p>
          <w:p w:rsidR="0039392A" w:rsidRPr="00A23740" w:rsidRDefault="0039392A" w:rsidP="009431FF">
            <w:pPr>
              <w:tabs>
                <w:tab w:val="left" w:pos="567"/>
              </w:tabs>
              <w:jc w:val="center"/>
              <w:rPr>
                <w:b/>
                <w:bCs/>
                <w:color w:val="0000FF"/>
                <w:szCs w:val="24"/>
                <w:lang w:eastAsia="x-none"/>
              </w:rPr>
            </w:pPr>
          </w:p>
          <w:p w:rsidR="0039392A" w:rsidRPr="00A23740" w:rsidRDefault="0039392A" w:rsidP="009431FF">
            <w:pPr>
              <w:keepNext/>
              <w:jc w:val="center"/>
              <w:outlineLvl w:val="3"/>
              <w:rPr>
                <w:rFonts w:eastAsia="Times New Roman"/>
                <w:b/>
                <w:bCs/>
                <w:color w:val="0000FF"/>
                <w:szCs w:val="28"/>
              </w:rPr>
            </w:pPr>
            <w:r w:rsidRPr="00A23740">
              <w:rPr>
                <w:rFonts w:eastAsia="Times New Roman"/>
                <w:b/>
                <w:bCs/>
                <w:color w:val="0000FF"/>
                <w:szCs w:val="28"/>
              </w:rPr>
              <w:t>BİRİNCİ AYRIM</w:t>
            </w:r>
          </w:p>
          <w:p w:rsidR="0039392A" w:rsidRPr="00A23740" w:rsidRDefault="0039392A" w:rsidP="009431FF">
            <w:pPr>
              <w:keepNext/>
              <w:jc w:val="center"/>
              <w:outlineLvl w:val="3"/>
              <w:rPr>
                <w:rFonts w:eastAsia="Times New Roman"/>
                <w:b/>
                <w:bCs/>
                <w:color w:val="0000FF"/>
                <w:szCs w:val="28"/>
              </w:rPr>
            </w:pPr>
            <w:r w:rsidRPr="00A23740">
              <w:rPr>
                <w:rFonts w:eastAsia="Times New Roman"/>
                <w:b/>
                <w:bCs/>
                <w:color w:val="0000FF"/>
                <w:szCs w:val="28"/>
              </w:rPr>
              <w:t>Kira Bedelinin Ödenmemesi Nedeniyle İlamsız İcra Yoluyla Tahliye</w:t>
            </w:r>
          </w:p>
          <w:p w:rsidR="0039392A" w:rsidRPr="00A23740" w:rsidRDefault="0039392A" w:rsidP="009431FF">
            <w:pPr>
              <w:tabs>
                <w:tab w:val="left" w:pos="567"/>
              </w:tabs>
              <w:jc w:val="center"/>
              <w:rPr>
                <w:b/>
                <w:bCs/>
                <w:color w:val="0000FF"/>
                <w:szCs w:val="24"/>
                <w:lang w:eastAsia="x-none"/>
              </w:rPr>
            </w:pPr>
          </w:p>
          <w:p w:rsidR="0039392A" w:rsidRPr="00A23740" w:rsidRDefault="0039392A" w:rsidP="009431FF">
            <w:pPr>
              <w:tabs>
                <w:tab w:val="left" w:pos="567"/>
              </w:tabs>
              <w:rPr>
                <w:b/>
                <w:bCs/>
                <w:color w:val="0000FF"/>
                <w:szCs w:val="24"/>
                <w:lang w:val="x-none" w:eastAsia="x-none"/>
              </w:rPr>
            </w:pPr>
            <w:r w:rsidRPr="00A23740">
              <w:rPr>
                <w:b/>
                <w:bCs/>
                <w:color w:val="0000FF"/>
                <w:szCs w:val="24"/>
                <w:lang w:val="x-none" w:eastAsia="x-none"/>
              </w:rPr>
              <w:t>Takip talebi</w:t>
            </w:r>
          </w:p>
          <w:p w:rsidR="00DB2C18" w:rsidRPr="00A23740" w:rsidRDefault="00A9749A" w:rsidP="009431FF">
            <w:pPr>
              <w:tabs>
                <w:tab w:val="left" w:pos="567"/>
              </w:tabs>
              <w:rPr>
                <w:rStyle w:val="MaviChar"/>
              </w:rPr>
            </w:pPr>
            <w:r w:rsidRPr="00A23740">
              <w:rPr>
                <w:b/>
                <w:bCs/>
                <w:color w:val="0000FF"/>
                <w:szCs w:val="24"/>
                <w:lang w:val="x-none" w:eastAsia="x-none"/>
              </w:rPr>
              <w:t>MADDE 138</w:t>
            </w:r>
            <w:r w:rsidR="0039392A" w:rsidRPr="00A23740">
              <w:rPr>
                <w:b/>
                <w:bCs/>
                <w:color w:val="0000FF"/>
                <w:szCs w:val="24"/>
                <w:lang w:val="x-none" w:eastAsia="x-none"/>
              </w:rPr>
              <w:t>- (1) Kira bedelinin ödenmemesi nedeniyle ilamsız icra yoluna</w:t>
            </w:r>
            <w:r w:rsidR="0039392A" w:rsidRPr="00A23740">
              <w:rPr>
                <w:b/>
                <w:bCs/>
                <w:color w:val="0000FF"/>
                <w:szCs w:val="24"/>
                <w:lang w:eastAsia="x-none"/>
              </w:rPr>
              <w:t>,</w:t>
            </w:r>
            <w:r w:rsidR="0039392A" w:rsidRPr="00A23740">
              <w:rPr>
                <w:b/>
                <w:bCs/>
                <w:color w:val="0000FF"/>
                <w:szCs w:val="24"/>
                <w:lang w:val="x-none" w:eastAsia="x-none"/>
              </w:rPr>
              <w:t xml:space="preserve"> </w:t>
            </w:r>
            <w:r w:rsidR="0039392A" w:rsidRPr="00A23740">
              <w:rPr>
                <w:rStyle w:val="MaviChar"/>
              </w:rPr>
              <w:t>ancak</w:t>
            </w:r>
            <w:r w:rsidR="0039392A" w:rsidRPr="00A23740">
              <w:rPr>
                <w:b/>
                <w:bCs/>
                <w:color w:val="0000FF"/>
                <w:szCs w:val="24"/>
                <w:lang w:eastAsia="x-none"/>
              </w:rPr>
              <w:t xml:space="preserve"> </w:t>
            </w:r>
            <w:r w:rsidR="0039392A" w:rsidRPr="00A23740">
              <w:rPr>
                <w:rStyle w:val="MaviChar"/>
              </w:rPr>
              <w:t>yazılı bir kira sözleşmesi mevcut ise</w:t>
            </w:r>
            <w:r w:rsidR="0039392A" w:rsidRPr="00A23740">
              <w:rPr>
                <w:rStyle w:val="Stil5Char0"/>
              </w:rPr>
              <w:t xml:space="preserve"> </w:t>
            </w:r>
            <w:r w:rsidR="0039392A" w:rsidRPr="00A23740">
              <w:rPr>
                <w:b/>
                <w:bCs/>
                <w:color w:val="0000FF"/>
                <w:szCs w:val="24"/>
                <w:lang w:val="x-none" w:eastAsia="x-none"/>
              </w:rPr>
              <w:t>başvurulabilir. Alacaklı</w:t>
            </w:r>
            <w:r w:rsidR="0039392A" w:rsidRPr="00A23740">
              <w:rPr>
                <w:b/>
                <w:bCs/>
                <w:color w:val="0000FF"/>
                <w:szCs w:val="24"/>
                <w:lang w:eastAsia="x-none"/>
              </w:rPr>
              <w:t>,</w:t>
            </w:r>
            <w:r w:rsidR="0039392A" w:rsidRPr="00A23740">
              <w:rPr>
                <w:b/>
                <w:bCs/>
                <w:color w:val="0000FF"/>
                <w:szCs w:val="24"/>
                <w:lang w:val="x-none" w:eastAsia="x-none"/>
              </w:rPr>
              <w:t xml:space="preserve"> bu takipte kira</w:t>
            </w:r>
            <w:r w:rsidR="0039392A" w:rsidRPr="00A23740">
              <w:rPr>
                <w:b/>
                <w:bCs/>
                <w:color w:val="0000FF"/>
                <w:szCs w:val="24"/>
                <w:lang w:eastAsia="x-none"/>
              </w:rPr>
              <w:t xml:space="preserve"> </w:t>
            </w:r>
            <w:r w:rsidR="0039392A" w:rsidRPr="00A23740">
              <w:rPr>
                <w:rStyle w:val="MaviChar"/>
              </w:rPr>
              <w:t>bedelinin</w:t>
            </w:r>
            <w:r w:rsidR="0039392A" w:rsidRPr="00A23740">
              <w:rPr>
                <w:b/>
                <w:bCs/>
                <w:color w:val="0000FF"/>
                <w:szCs w:val="24"/>
                <w:lang w:val="x-none" w:eastAsia="x-none"/>
              </w:rPr>
              <w:t xml:space="preserve"> ödenme</w:t>
            </w:r>
            <w:r w:rsidR="0039392A" w:rsidRPr="00A23740">
              <w:rPr>
                <w:rStyle w:val="MaviChar"/>
              </w:rPr>
              <w:t>sini</w:t>
            </w:r>
            <w:r w:rsidR="0039392A" w:rsidRPr="00A23740">
              <w:rPr>
                <w:b/>
                <w:bCs/>
                <w:color w:val="0000FF"/>
                <w:szCs w:val="24"/>
                <w:lang w:val="x-none" w:eastAsia="x-none"/>
              </w:rPr>
              <w:t xml:space="preserve"> </w:t>
            </w:r>
            <w:r w:rsidR="0039392A" w:rsidRPr="00A23740">
              <w:rPr>
                <w:rStyle w:val="MaviChar"/>
              </w:rPr>
              <w:t>ve</w:t>
            </w:r>
            <w:r w:rsidR="0039392A" w:rsidRPr="00A23740">
              <w:rPr>
                <w:b/>
                <w:bCs/>
                <w:color w:val="0000FF"/>
                <w:szCs w:val="24"/>
                <w:lang w:eastAsia="x-none"/>
              </w:rPr>
              <w:t xml:space="preserve"> </w:t>
            </w:r>
            <w:r w:rsidR="0039392A" w:rsidRPr="00A23740">
              <w:rPr>
                <w:b/>
                <w:bCs/>
                <w:color w:val="0000FF"/>
                <w:szCs w:val="24"/>
                <w:lang w:val="x-none" w:eastAsia="x-none"/>
              </w:rPr>
              <w:t xml:space="preserve">taşınmazın tahliyesini </w:t>
            </w:r>
            <w:r w:rsidR="0039392A" w:rsidRPr="00A23740">
              <w:rPr>
                <w:rStyle w:val="MaviChar"/>
              </w:rPr>
              <w:t>talep eder.</w:t>
            </w:r>
          </w:p>
          <w:p w:rsidR="00DB2C18" w:rsidRPr="00A23740" w:rsidRDefault="00DB2C18" w:rsidP="009431FF">
            <w:pPr>
              <w:tabs>
                <w:tab w:val="left" w:pos="567"/>
              </w:tabs>
              <w:rPr>
                <w:rStyle w:val="MaviChar"/>
                <w:lang w:val="tr-TR"/>
              </w:rPr>
            </w:pPr>
          </w:p>
          <w:p w:rsidR="00DB2C18" w:rsidRPr="00A23740" w:rsidRDefault="00DB2C18" w:rsidP="009431FF">
            <w:pPr>
              <w:tabs>
                <w:tab w:val="left" w:pos="567"/>
              </w:tabs>
              <w:rPr>
                <w:b/>
                <w:bCs/>
                <w:color w:val="0000FF"/>
                <w:szCs w:val="24"/>
                <w:lang w:val="x-none" w:eastAsia="x-none"/>
              </w:rPr>
            </w:pPr>
            <w:r w:rsidRPr="00A23740">
              <w:rPr>
                <w:b/>
                <w:bCs/>
                <w:color w:val="0000FF"/>
                <w:szCs w:val="24"/>
                <w:lang w:eastAsia="x-none"/>
              </w:rPr>
              <w:t xml:space="preserve">(2) </w:t>
            </w:r>
            <w:r w:rsidRPr="00A23740">
              <w:rPr>
                <w:b/>
                <w:bCs/>
                <w:color w:val="0000FF"/>
                <w:szCs w:val="24"/>
                <w:lang w:val="x-none" w:eastAsia="x-none"/>
              </w:rPr>
              <w:t>87 nci madde uyarınca düzenlenen takip talebine</w:t>
            </w:r>
            <w:r w:rsidRPr="00A23740">
              <w:rPr>
                <w:b/>
                <w:bCs/>
                <w:color w:val="0000FF"/>
                <w:szCs w:val="24"/>
                <w:lang w:eastAsia="x-none"/>
              </w:rPr>
              <w:t xml:space="preserve">, </w:t>
            </w:r>
            <w:r w:rsidR="0039392A" w:rsidRPr="00A23740">
              <w:rPr>
                <w:b/>
                <w:bCs/>
                <w:color w:val="0000FF"/>
                <w:szCs w:val="24"/>
                <w:lang w:val="x-none" w:eastAsia="x-none"/>
              </w:rPr>
              <w:t>takibin dayanağı olan kira sözleşmesinin aslı veya onayl</w:t>
            </w:r>
            <w:r w:rsidR="0039392A" w:rsidRPr="00A23740">
              <w:rPr>
                <w:b/>
                <w:bCs/>
                <w:color w:val="0000FF"/>
                <w:szCs w:val="24"/>
                <w:lang w:eastAsia="x-none"/>
              </w:rPr>
              <w:t xml:space="preserve">ı bir </w:t>
            </w:r>
            <w:r w:rsidR="0039392A" w:rsidRPr="00A23740">
              <w:rPr>
                <w:b/>
                <w:bCs/>
                <w:color w:val="0000FF"/>
                <w:szCs w:val="24"/>
                <w:lang w:val="x-none" w:eastAsia="x-none"/>
              </w:rPr>
              <w:t>örneği eklenir.</w:t>
            </w:r>
          </w:p>
          <w:p w:rsidR="0039392A" w:rsidRPr="00A23740" w:rsidRDefault="0039392A" w:rsidP="009431FF">
            <w:pPr>
              <w:tabs>
                <w:tab w:val="left" w:pos="567"/>
              </w:tabs>
              <w:rPr>
                <w:b/>
                <w:bCs/>
                <w:color w:val="0000FF"/>
                <w:szCs w:val="24"/>
                <w:lang w:val="x-none" w:eastAsia="x-none"/>
              </w:rPr>
            </w:pPr>
          </w:p>
          <w:p w:rsidR="0039392A" w:rsidRPr="00A23740" w:rsidRDefault="00DB2C18" w:rsidP="009431FF">
            <w:pPr>
              <w:tabs>
                <w:tab w:val="left" w:pos="567"/>
              </w:tabs>
              <w:rPr>
                <w:b/>
                <w:bCs/>
                <w:color w:val="0000FF"/>
                <w:szCs w:val="24"/>
                <w:lang w:val="x-none" w:eastAsia="x-none"/>
              </w:rPr>
            </w:pPr>
            <w:r w:rsidRPr="00A23740">
              <w:rPr>
                <w:b/>
                <w:bCs/>
                <w:color w:val="0000FF"/>
                <w:szCs w:val="24"/>
                <w:lang w:val="x-none" w:eastAsia="x-none"/>
              </w:rPr>
              <w:t>(</w:t>
            </w:r>
            <w:r w:rsidRPr="00A23740">
              <w:rPr>
                <w:b/>
                <w:bCs/>
                <w:color w:val="0000FF"/>
                <w:szCs w:val="24"/>
                <w:lang w:eastAsia="x-none"/>
              </w:rPr>
              <w:t>3</w:t>
            </w:r>
            <w:r w:rsidR="0039392A" w:rsidRPr="00A23740">
              <w:rPr>
                <w:b/>
                <w:bCs/>
                <w:color w:val="0000FF"/>
                <w:szCs w:val="24"/>
                <w:lang w:val="x-none" w:eastAsia="x-none"/>
              </w:rPr>
              <w:t xml:space="preserve">) </w:t>
            </w:r>
            <w:r w:rsidR="004804E9" w:rsidRPr="00A23740">
              <w:rPr>
                <w:b/>
                <w:bCs/>
                <w:color w:val="0000FF"/>
                <w:szCs w:val="24"/>
                <w:lang w:eastAsia="x-none"/>
              </w:rPr>
              <w:t xml:space="preserve">Kiraya veren veya </w:t>
            </w:r>
            <w:r w:rsidR="0039392A" w:rsidRPr="00A23740">
              <w:rPr>
                <w:b/>
                <w:bCs/>
                <w:color w:val="0000FF"/>
                <w:szCs w:val="24"/>
                <w:lang w:val="x-none" w:eastAsia="x-none"/>
              </w:rPr>
              <w:t>kiracılar birden fazla ise</w:t>
            </w:r>
            <w:r w:rsidR="004804E9" w:rsidRPr="00A23740">
              <w:rPr>
                <w:b/>
                <w:bCs/>
                <w:color w:val="0000FF"/>
                <w:szCs w:val="24"/>
                <w:lang w:eastAsia="x-none"/>
              </w:rPr>
              <w:t>,</w:t>
            </w:r>
            <w:r w:rsidR="0039392A" w:rsidRPr="00A23740">
              <w:rPr>
                <w:b/>
                <w:bCs/>
                <w:color w:val="0000FF"/>
                <w:szCs w:val="24"/>
                <w:lang w:val="x-none" w:eastAsia="x-none"/>
              </w:rPr>
              <w:t xml:space="preserve"> takip talebinde tamamının gösterilmesi zorunludur.</w:t>
            </w:r>
          </w:p>
          <w:p w:rsidR="0039392A" w:rsidRPr="00A23740" w:rsidRDefault="0039392A" w:rsidP="009431FF">
            <w:pPr>
              <w:tabs>
                <w:tab w:val="left" w:pos="567"/>
              </w:tabs>
              <w:rPr>
                <w:b/>
                <w:bCs/>
                <w:color w:val="0000FF"/>
                <w:szCs w:val="24"/>
                <w:lang w:val="x-none" w:eastAsia="x-none"/>
              </w:rPr>
            </w:pPr>
          </w:p>
          <w:p w:rsidR="0039392A" w:rsidRPr="00A23740" w:rsidRDefault="00DB2C18" w:rsidP="009431FF">
            <w:pPr>
              <w:tabs>
                <w:tab w:val="left" w:pos="567"/>
              </w:tabs>
              <w:rPr>
                <w:b/>
                <w:bCs/>
                <w:color w:val="0000FF"/>
                <w:szCs w:val="24"/>
                <w:lang w:val="x-none" w:eastAsia="x-none"/>
              </w:rPr>
            </w:pPr>
            <w:r w:rsidRPr="00A23740">
              <w:rPr>
                <w:b/>
                <w:bCs/>
                <w:color w:val="0000FF"/>
                <w:szCs w:val="24"/>
                <w:lang w:val="x-none" w:eastAsia="x-none"/>
              </w:rPr>
              <w:t>(</w:t>
            </w:r>
            <w:r w:rsidRPr="00A23740">
              <w:rPr>
                <w:b/>
                <w:bCs/>
                <w:color w:val="0000FF"/>
                <w:szCs w:val="24"/>
                <w:lang w:eastAsia="x-none"/>
              </w:rPr>
              <w:t>4</w:t>
            </w:r>
            <w:r w:rsidR="0039392A" w:rsidRPr="00A23740">
              <w:rPr>
                <w:b/>
                <w:bCs/>
                <w:color w:val="0000FF"/>
                <w:szCs w:val="24"/>
                <w:lang w:val="x-none" w:eastAsia="x-none"/>
              </w:rPr>
              <w:t>) Kiralanan taşınmaz aile konutu ise</w:t>
            </w:r>
            <w:r w:rsidR="004804E9" w:rsidRPr="00A23740">
              <w:rPr>
                <w:b/>
                <w:bCs/>
                <w:color w:val="0000FF"/>
                <w:szCs w:val="24"/>
                <w:lang w:eastAsia="x-none"/>
              </w:rPr>
              <w:t>,</w:t>
            </w:r>
            <w:r w:rsidR="00351BA3" w:rsidRPr="00A23740">
              <w:rPr>
                <w:b/>
                <w:bCs/>
                <w:color w:val="0000FF"/>
                <w:szCs w:val="24"/>
                <w:lang w:eastAsia="x-none"/>
              </w:rPr>
              <w:t xml:space="preserve"> </w:t>
            </w:r>
            <w:r w:rsidR="00351BA3" w:rsidRPr="00001224">
              <w:rPr>
                <w:rStyle w:val="KonuBalChar"/>
                <w:rFonts w:eastAsia="Calibri"/>
                <w:color w:val="0000FF"/>
              </w:rPr>
              <w:t>139 uncu</w:t>
            </w:r>
            <w:r w:rsidR="00351BA3" w:rsidRPr="00A23740">
              <w:rPr>
                <w:rStyle w:val="KonuBalChar"/>
                <w:rFonts w:eastAsia="Calibri"/>
                <w:lang w:val="tr-TR"/>
              </w:rPr>
              <w:t xml:space="preserve"> </w:t>
            </w:r>
            <w:r w:rsidR="0039392A" w:rsidRPr="00A23740">
              <w:rPr>
                <w:b/>
                <w:bCs/>
                <w:color w:val="0000FF"/>
                <w:szCs w:val="24"/>
                <w:lang w:val="x-none" w:eastAsia="x-none"/>
              </w:rPr>
              <w:t>madde gereğince yapılacak ihbara esas olmak üzere eşin isim ve adresinin takip talebinde gösterilmesi zorunludur.</w:t>
            </w:r>
          </w:p>
          <w:p w:rsidR="0039392A" w:rsidRPr="00A23740" w:rsidRDefault="0039392A" w:rsidP="009431FF">
            <w:pPr>
              <w:tabs>
                <w:tab w:val="left" w:pos="567"/>
              </w:tabs>
              <w:rPr>
                <w:rFonts w:eastAsia="Times New Roman"/>
                <w:b/>
                <w:color w:val="0000FF"/>
                <w:szCs w:val="24"/>
                <w:lang w:eastAsia="tr-TR"/>
              </w:rPr>
            </w:pPr>
          </w:p>
        </w:tc>
      </w:tr>
      <w:tr w:rsidR="00D26801" w:rsidRPr="00A23740" w:rsidTr="009431FF">
        <w:tc>
          <w:tcPr>
            <w:tcW w:w="5000" w:type="pct"/>
            <w:gridSpan w:val="2"/>
            <w:shd w:val="clear" w:color="auto" w:fill="DEEAF6"/>
          </w:tcPr>
          <w:p w:rsidR="00E07DF7" w:rsidRPr="00A23740" w:rsidRDefault="00E07DF7" w:rsidP="009431FF">
            <w:pPr>
              <w:ind w:firstLine="709"/>
              <w:rPr>
                <w:b/>
              </w:rPr>
            </w:pPr>
          </w:p>
          <w:p w:rsidR="00E07DF7" w:rsidRPr="00A23740" w:rsidRDefault="00E07DF7" w:rsidP="009431FF">
            <w:pPr>
              <w:keepNext/>
              <w:outlineLvl w:val="3"/>
            </w:pPr>
            <w:r w:rsidRPr="00A23740">
              <w:rPr>
                <w:b/>
              </w:rPr>
              <w:tab/>
            </w:r>
            <w:r w:rsidR="001537FF" w:rsidRPr="00A23740">
              <w:rPr>
                <w:b/>
              </w:rPr>
              <w:t>MADDE 138</w:t>
            </w:r>
            <w:r w:rsidRPr="00A23740">
              <w:rPr>
                <w:b/>
              </w:rPr>
              <w:t>-</w:t>
            </w:r>
            <w:r w:rsidRPr="00A23740">
              <w:t xml:space="preserve"> Bu bölüm kiralanan taşınmazların ilamsız icra yoluyla tahliyesine ilişkin usullere ayrılmıştır.    </w:t>
            </w:r>
          </w:p>
          <w:p w:rsidR="00E07DF7" w:rsidRPr="00A23740" w:rsidRDefault="00E07DF7" w:rsidP="009431FF">
            <w:pPr>
              <w:ind w:firstLine="709"/>
            </w:pPr>
            <w:r w:rsidRPr="00A23740">
              <w:rPr>
                <w:szCs w:val="24"/>
                <w:lang w:eastAsia="x-none"/>
              </w:rPr>
              <w:t xml:space="preserve">Maddeyle, </w:t>
            </w:r>
            <w:r w:rsidRPr="00A23740">
              <w:t xml:space="preserve">kira bedelinin ödenmemesi nedeniyle ilamsız icra yoluyla tahliyeye ilişkin takip talebinde bulunması gereken hususlar düzenlenmektedir. Taslakta, 2004 sayılı Kanundan farklı olarak kira bedelinin ödenmemesi nedeniyle ilamsız icra yoluyla tahliyeye ilişkin takip talebi bakımından yeni bir madde ihdas edilmektedir. </w:t>
            </w:r>
          </w:p>
          <w:p w:rsidR="00E07DF7" w:rsidRPr="00A23740" w:rsidRDefault="00E07DF7" w:rsidP="009431FF">
            <w:pPr>
              <w:ind w:firstLine="709"/>
            </w:pPr>
            <w:r w:rsidRPr="00A23740">
              <w:t>Taslak itirazın kaldırılması usulü</w:t>
            </w:r>
            <w:r w:rsidR="005F5397" w:rsidRPr="00A23740">
              <w:t>nü</w:t>
            </w:r>
            <w:r w:rsidRPr="00A23740">
              <w:t xml:space="preserve"> </w:t>
            </w:r>
            <w:r w:rsidR="005F5397" w:rsidRPr="00A23740">
              <w:t xml:space="preserve">ilga ettiğinden, </w:t>
            </w:r>
            <w:r w:rsidRPr="00A23740">
              <w:t>ilamsız icrada itiraz hâlinde yetkili mahkemede</w:t>
            </w:r>
            <w:r w:rsidR="005F5397" w:rsidRPr="00A23740">
              <w:t xml:space="preserve"> artık </w:t>
            </w:r>
            <w:r w:rsidRPr="00A23740">
              <w:t xml:space="preserve"> itirazın iptali suretiyle itirazın hükümden düşürülmesi gerekmektedir. Kira bedelinin ödenmemesi nedeniyle ilamsız icra yoluyla tahliye ve tahliye taahhüdü veya kira sözleşmesi süresinin sona ermesi nedeniyle ilamsız tahliye usulü Taslakta muhafaza edilmekle birlikte, itirazın kaldırılmasının Taslakta düzenlenmemesine paralel olarak bu takip yolunda itirazın olup olmadığına bakılmaksızın tahliye kararı verilmesi</w:t>
            </w:r>
            <w:r w:rsidR="005F5397" w:rsidRPr="00A23740">
              <w:t>,</w:t>
            </w:r>
            <w:r w:rsidRPr="00A23740">
              <w:t xml:space="preserve"> </w:t>
            </w:r>
            <w:r w:rsidR="005F5397" w:rsidRPr="00A23740">
              <w:t xml:space="preserve">adeta bir kira ihtisas mahkemesi olarak tasarlanmış </w:t>
            </w:r>
            <w:r w:rsidRPr="00A23740">
              <w:t xml:space="preserve">olan sulh hukuk mahkemesine verilmektedir. </w:t>
            </w:r>
          </w:p>
          <w:p w:rsidR="00E07DF7" w:rsidRPr="00A23740" w:rsidRDefault="00E07DF7" w:rsidP="009431FF">
            <w:pPr>
              <w:ind w:firstLine="709"/>
            </w:pPr>
            <w:r w:rsidRPr="00A23740">
              <w:t>Birinci fıkrayla, kira bedelinin ödenmemesi nedeniyle ilamsız icra yoluna ancak yazılı bir kira sözleşmesinin mevcut olması h</w:t>
            </w:r>
            <w:r w:rsidR="00E54A6B" w:rsidRPr="00A23740">
              <w:t>â</w:t>
            </w:r>
            <w:r w:rsidRPr="00A23740">
              <w:t>linde başvurulabileceği hükme bağlanmaktadır. Alacaklı, bu takipte kira bedelinin ödenmesini ve taşınmazın tahliyesini talep edebilmektedir. 2004 sayılı Kanundan farklı olarak fıkrayla, takip talebine yazılı kira sözleşmesinin eklenmesi zorunluluğu getirilmektedir. Bilim Komisyonu çalışmaları sırasında taşınmazların ilamsız icra yoluyla tahliyesi usulünde yazılı bir kira sözleşmesi aranması şartının yalnızca kira sözleşmesinin sona ermesi ve tahliye taahhüdüne dayanan takiplerde mi geçerli olması gerektiği, yoksa kira parasının ödenmemesi sebebiyle yapılan tahliye takiplerinde de yazılı kira sözleşmesi aranmasının daha doğru mu olacağı meselesi tartışılmış, herhangi bir belgeye dayanmayan ilamsız icra takibinin yapılmaması gerektiği şeklinde</w:t>
            </w:r>
            <w:r w:rsidR="005F5397" w:rsidRPr="00A23740">
              <w:t>,</w:t>
            </w:r>
            <w:r w:rsidRPr="00A23740">
              <w:t xml:space="preserve"> genel haciz yolundaki yaklaşıma uygun olarak kira parasının ödenmemesi sebebiyle yapılan tahliye takiplerinde de yazılı bir kira sözleşmesinin varlığı aranmıştır.  </w:t>
            </w:r>
          </w:p>
          <w:p w:rsidR="00E07DF7" w:rsidRPr="00A23740" w:rsidRDefault="00E07DF7" w:rsidP="009431FF">
            <w:pPr>
              <w:ind w:firstLine="709"/>
            </w:pPr>
            <w:r w:rsidRPr="00A23740">
              <w:t xml:space="preserve">Üçüncü fıkrayla, </w:t>
            </w:r>
            <w:r w:rsidR="000E3F90" w:rsidRPr="00001224">
              <w:rPr>
                <w:bCs/>
              </w:rPr>
              <w:t>kiraya veren</w:t>
            </w:r>
            <w:r w:rsidRPr="00001224">
              <w:t xml:space="preserve"> </w:t>
            </w:r>
            <w:r w:rsidRPr="00A23740">
              <w:t>ve kiracıların birden fazla olması h</w:t>
            </w:r>
            <w:r w:rsidR="00E54A6B" w:rsidRPr="00A23740">
              <w:t>â</w:t>
            </w:r>
            <w:r w:rsidRPr="00A23740">
              <w:t xml:space="preserve">linde takip talebinde bunların tamamının gösterilmesinin zorunlu olduğu vurgulanmaktadır. </w:t>
            </w:r>
          </w:p>
          <w:p w:rsidR="00E07DF7" w:rsidRPr="00A23740" w:rsidRDefault="00E07DF7" w:rsidP="00DE193E">
            <w:pPr>
              <w:ind w:firstLine="709"/>
              <w:rPr>
                <w:b/>
                <w:bCs/>
              </w:rPr>
            </w:pPr>
            <w:r w:rsidRPr="00A23740">
              <w:t xml:space="preserve">Dördüncü fıkrayla, kiralanan taşınmazın aile konutu olması durumunda, Taslağın </w:t>
            </w:r>
            <w:r w:rsidR="00351BA3" w:rsidRPr="00001224">
              <w:rPr>
                <w:bCs/>
              </w:rPr>
              <w:t>139 uncu</w:t>
            </w:r>
            <w:r w:rsidR="00351BA3" w:rsidRPr="00A23740">
              <w:rPr>
                <w:rStyle w:val="KonuBalChar"/>
                <w:rFonts w:eastAsia="Calibri"/>
                <w:lang w:val="tr-TR"/>
              </w:rPr>
              <w:t xml:space="preserve"> </w:t>
            </w:r>
            <w:r w:rsidRPr="00A23740">
              <w:t>maddesi gereğince yapılacak ihbara esas olmak üzere eşin isim ve adresinin takip talebinde gösterilmesinin zorunlu olduğu belirtilmektedir. Ancak bu madde uyarınca eşe yapılacak ihbar, eşi takibin tarafı h</w:t>
            </w:r>
            <w:r w:rsidR="00E54A6B" w:rsidRPr="00A23740">
              <w:t>â</w:t>
            </w:r>
            <w:r w:rsidRPr="00A23740">
              <w:t>line getirme</w:t>
            </w:r>
            <w:r w:rsidR="005F5397" w:rsidRPr="00A23740">
              <w:t>yecektir</w:t>
            </w:r>
            <w:r w:rsidRPr="00A23740">
              <w:t>.</w:t>
            </w:r>
          </w:p>
          <w:p w:rsidR="00132A26" w:rsidRPr="00A23740" w:rsidRDefault="00132A26" w:rsidP="00DE193E">
            <w:pPr>
              <w:ind w:firstLine="709"/>
            </w:pPr>
          </w:p>
        </w:tc>
      </w:tr>
      <w:tr w:rsidR="00AA5C8C" w:rsidRPr="00A23740" w:rsidTr="009431FF">
        <w:tc>
          <w:tcPr>
            <w:tcW w:w="2500" w:type="pct"/>
          </w:tcPr>
          <w:p w:rsidR="00AA5C8C" w:rsidRPr="00A23740" w:rsidRDefault="00AA5C8C" w:rsidP="000C282A">
            <w:pPr>
              <w:widowControl w:val="0"/>
              <w:tabs>
                <w:tab w:val="left" w:pos="567"/>
              </w:tabs>
              <w:rPr>
                <w:b/>
                <w:szCs w:val="24"/>
              </w:rPr>
            </w:pPr>
            <w:r w:rsidRPr="00A23740">
              <w:rPr>
                <w:b/>
                <w:bCs/>
                <w:strike/>
                <w:color w:val="FF0000"/>
                <w:szCs w:val="24"/>
              </w:rPr>
              <w:t>Adi kira ve hasılat kiraları için ö</w:t>
            </w:r>
            <w:r w:rsidRPr="00A23740">
              <w:rPr>
                <w:b/>
                <w:szCs w:val="24"/>
              </w:rPr>
              <w:t xml:space="preserve">deme emri </w:t>
            </w:r>
            <w:r w:rsidRPr="00A23740">
              <w:rPr>
                <w:b/>
                <w:bCs/>
                <w:strike/>
                <w:color w:val="FF0000"/>
                <w:szCs w:val="24"/>
              </w:rPr>
              <w:t>ve itiraz</w:t>
            </w:r>
            <w:r w:rsidRPr="00A23740">
              <w:rPr>
                <w:b/>
                <w:strike/>
                <w:color w:val="FF0000"/>
                <w:szCs w:val="24"/>
              </w:rPr>
              <w:t xml:space="preserve"> müddeti:</w:t>
            </w:r>
          </w:p>
          <w:p w:rsidR="00AA5C8C" w:rsidRPr="00A23740" w:rsidRDefault="00AA5C8C" w:rsidP="000C282A">
            <w:pPr>
              <w:widowControl w:val="0"/>
              <w:tabs>
                <w:tab w:val="left" w:pos="567"/>
              </w:tabs>
              <w:rPr>
                <w:b/>
                <w:szCs w:val="24"/>
              </w:rPr>
            </w:pPr>
            <w:r w:rsidRPr="00A23740">
              <w:rPr>
                <w:b/>
                <w:bCs/>
                <w:strike/>
                <w:color w:val="FF0000"/>
                <w:szCs w:val="24"/>
              </w:rPr>
              <w:t>Madde 269 – (1) (Değişik</w:t>
            </w:r>
            <w:r w:rsidRPr="00A23740">
              <w:rPr>
                <w:b/>
                <w:strike/>
                <w:color w:val="FF0000"/>
                <w:szCs w:val="24"/>
              </w:rPr>
              <w:t>: 18/2/1965 - 538/109 md.)</w:t>
            </w:r>
          </w:p>
          <w:p w:rsidR="00AA5C8C" w:rsidRPr="00A23740" w:rsidRDefault="00AA5C8C" w:rsidP="000C282A">
            <w:pPr>
              <w:widowControl w:val="0"/>
              <w:tabs>
                <w:tab w:val="left" w:pos="567"/>
              </w:tabs>
              <w:rPr>
                <w:b/>
                <w:strike/>
                <w:color w:val="FF0000"/>
                <w:szCs w:val="24"/>
              </w:rPr>
            </w:pPr>
            <w:r w:rsidRPr="00A23740">
              <w:rPr>
                <w:b/>
                <w:strike/>
                <w:color w:val="FF0000"/>
                <w:szCs w:val="24"/>
              </w:rPr>
              <w:t>Takip adi kiralara veya hasılat kiralarına mütedair olur ve alacaklı da talep ederse ödeme emri, Borçlar Kanununun 260 ve 288 inci maddelerinde yazılı ihtarı ve kanuni müddet geçtikten sonra icra mahkemesinden borçlunun kiralanan şeyden çıkarılması istenebileceği tebliğini ihtiva eder.</w:t>
            </w: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szCs w:val="24"/>
              </w:rPr>
            </w:pPr>
            <w:r w:rsidRPr="00A23740">
              <w:rPr>
                <w:b/>
                <w:bCs/>
                <w:strike/>
                <w:color w:val="FF0000"/>
                <w:szCs w:val="24"/>
              </w:rPr>
              <w:t>(2</w:t>
            </w:r>
            <w:r w:rsidRPr="00A23740">
              <w:rPr>
                <w:b/>
                <w:strike/>
                <w:color w:val="FF0000"/>
                <w:szCs w:val="24"/>
              </w:rPr>
              <w:t>) Bu tebliğ üzerine borçlu, yedi gün içinde, itiraz sebeplerini 62 nci madde hükümleri dahilinde icra dairesine bildirmeye mecburdur. Borçlu itirazında, kira akdini ve varsa buna ait mukavelenamedeki imzasını açık ve kesin olarak reddetmezse, akdi kabul etmiş sayılır.</w:t>
            </w: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b/>
                <w:strike/>
                <w:color w:val="FF0000"/>
                <w:szCs w:val="24"/>
              </w:rPr>
            </w:pPr>
            <w:r w:rsidRPr="00A23740">
              <w:rPr>
                <w:b/>
                <w:bCs/>
                <w:strike/>
                <w:color w:val="FF0000"/>
                <w:szCs w:val="24"/>
              </w:rPr>
              <w:t>(</w:t>
            </w:r>
            <w:r w:rsidRPr="00A23740">
              <w:rPr>
                <w:b/>
                <w:strike/>
                <w:color w:val="FF0000"/>
                <w:szCs w:val="24"/>
              </w:rPr>
              <w:t>3) İtiraz takibi durdurur. İtirazın tebliği tarihinden itibaren altı ay içinde itirazın kaldırılmasını istemiyen alacaklı, bir daha aynı alacaktan dolayı ilamsız icra yoliyle takip yapamaz.</w:t>
            </w:r>
          </w:p>
          <w:p w:rsidR="00AA5C8C" w:rsidRPr="00A23740" w:rsidRDefault="00AA5C8C" w:rsidP="000C282A">
            <w:pPr>
              <w:widowControl w:val="0"/>
              <w:tabs>
                <w:tab w:val="left" w:pos="567"/>
              </w:tabs>
              <w:rPr>
                <w:b/>
                <w:strike/>
                <w:color w:val="FF0000"/>
                <w:szCs w:val="24"/>
              </w:rPr>
            </w:pPr>
          </w:p>
          <w:p w:rsidR="00AA5C8C" w:rsidRPr="00A23740" w:rsidRDefault="00AA5C8C" w:rsidP="000C282A">
            <w:pPr>
              <w:widowControl w:val="0"/>
              <w:tabs>
                <w:tab w:val="left" w:pos="567"/>
              </w:tabs>
              <w:rPr>
                <w:b/>
                <w:strike/>
                <w:color w:val="FF0000"/>
                <w:szCs w:val="24"/>
              </w:rPr>
            </w:pPr>
            <w:r w:rsidRPr="00A23740">
              <w:rPr>
                <w:b/>
                <w:strike/>
                <w:color w:val="FF0000"/>
                <w:szCs w:val="24"/>
              </w:rPr>
              <w:t>(4) Borçlar Kanununun 260 ıncı maddesinin kiralayana altı günlük mühletin hitamında akdi feshe müsaade ettiği hallerde itiraz müddeti üç gündür.</w:t>
            </w:r>
          </w:p>
          <w:p w:rsidR="00AA5C8C" w:rsidRPr="00A23740" w:rsidRDefault="00AA5C8C" w:rsidP="000C282A">
            <w:pPr>
              <w:widowControl w:val="0"/>
              <w:tabs>
                <w:tab w:val="left" w:pos="567"/>
              </w:tabs>
              <w:rPr>
                <w:b/>
                <w:szCs w:val="24"/>
              </w:rPr>
            </w:pPr>
          </w:p>
          <w:p w:rsidR="00AA5C8C" w:rsidRPr="00A23740" w:rsidRDefault="00AA5C8C" w:rsidP="000C282A">
            <w:pPr>
              <w:widowControl w:val="0"/>
              <w:tabs>
                <w:tab w:val="left" w:pos="567"/>
              </w:tabs>
              <w:rPr>
                <w:b/>
                <w:szCs w:val="24"/>
              </w:rPr>
            </w:pPr>
          </w:p>
          <w:p w:rsidR="00AA5C8C" w:rsidRPr="00A23740" w:rsidRDefault="00AA5C8C" w:rsidP="000C282A">
            <w:pPr>
              <w:widowControl w:val="0"/>
              <w:tabs>
                <w:tab w:val="left" w:pos="567"/>
              </w:tabs>
              <w:rPr>
                <w:b/>
                <w:szCs w:val="24"/>
              </w:rPr>
            </w:pPr>
          </w:p>
          <w:p w:rsidR="00AA5C8C" w:rsidRPr="00A23740" w:rsidRDefault="00AA5C8C" w:rsidP="000C282A">
            <w:pPr>
              <w:widowControl w:val="0"/>
              <w:tabs>
                <w:tab w:val="left" w:pos="567"/>
              </w:tabs>
              <w:rPr>
                <w:b/>
                <w:szCs w:val="24"/>
              </w:rPr>
            </w:pPr>
          </w:p>
          <w:p w:rsidR="00AA5C8C" w:rsidRPr="00A23740" w:rsidRDefault="00AA5C8C" w:rsidP="000C282A">
            <w:pPr>
              <w:widowControl w:val="0"/>
              <w:tabs>
                <w:tab w:val="left" w:pos="567"/>
              </w:tabs>
              <w:rPr>
                <w:b/>
                <w:szCs w:val="24"/>
              </w:rPr>
            </w:pPr>
          </w:p>
          <w:p w:rsidR="00AA5C8C" w:rsidRPr="00A23740" w:rsidRDefault="00AA5C8C" w:rsidP="000C282A">
            <w:pPr>
              <w:widowControl w:val="0"/>
              <w:tabs>
                <w:tab w:val="left" w:pos="567"/>
              </w:tabs>
              <w:rPr>
                <w:b/>
                <w:szCs w:val="24"/>
              </w:rPr>
            </w:pPr>
          </w:p>
          <w:p w:rsidR="00AA5C8C" w:rsidRPr="00A23740" w:rsidRDefault="00AA5C8C" w:rsidP="000C282A">
            <w:pPr>
              <w:widowControl w:val="0"/>
              <w:tabs>
                <w:tab w:val="left" w:pos="567"/>
              </w:tabs>
              <w:rPr>
                <w:b/>
                <w:szCs w:val="24"/>
              </w:rPr>
            </w:pP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Kira akdi dışındaki itirazlar ve tahliye:</w:t>
            </w:r>
          </w:p>
          <w:p w:rsidR="00AA5C8C" w:rsidRPr="00A23740" w:rsidRDefault="00AA5C8C" w:rsidP="000C282A">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Madde 269/c – (1) (Ek:18/2/1965 - 538/110 md.)</w:t>
            </w:r>
          </w:p>
          <w:p w:rsidR="00AA5C8C" w:rsidRPr="00A23740" w:rsidRDefault="00AA5C8C" w:rsidP="000C282A">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Borçlu akdi reddetmeyip kiranın ödendiğini veya sair bir sebeple istenemiyeceğini bildirerek itiraz etmiş veya takas istemişse, itiraz sebeplerini ve isteğini noterlikçe re'sen tanzim veya imzası tasdik edilmiş veya alacaklı tarafından ikrar olunmuş bir belge yahut resmi dairelerin veya yetkili makamların yetkileri dahilinde ve usulüne göre verdikleri bir makbuz veya vesika ile ispat etmeğe mecburdur.</w:t>
            </w:r>
          </w:p>
          <w:p w:rsidR="00AA5C8C" w:rsidRPr="00A23740" w:rsidRDefault="00AA5C8C" w:rsidP="000C282A">
            <w:pPr>
              <w:widowControl w:val="0"/>
              <w:tabs>
                <w:tab w:val="left" w:pos="567"/>
              </w:tabs>
              <w:rPr>
                <w:szCs w:val="24"/>
              </w:rPr>
            </w:pPr>
          </w:p>
          <w:p w:rsidR="00AA5C8C" w:rsidRPr="00A23740" w:rsidRDefault="00AA5C8C" w:rsidP="000C282A">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(2) Senet veya makbuzun alacaklı tarafından inkarı halinde 68 inci madde hükmü kıyasen uygulanır.</w:t>
            </w:r>
          </w:p>
          <w:p w:rsidR="00AA5C8C" w:rsidRPr="00A23740" w:rsidRDefault="00AA5C8C"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9D7972" w:rsidRPr="00A23740" w:rsidRDefault="009D7972" w:rsidP="000C282A">
            <w:pPr>
              <w:widowControl w:val="0"/>
              <w:tabs>
                <w:tab w:val="left" w:pos="567"/>
              </w:tabs>
              <w:rPr>
                <w:szCs w:val="24"/>
              </w:rPr>
            </w:pPr>
          </w:p>
          <w:p w:rsidR="009D7972" w:rsidRPr="00A23740" w:rsidRDefault="009D7972"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widowControl w:val="0"/>
              <w:tabs>
                <w:tab w:val="left" w:pos="567"/>
              </w:tabs>
              <w:rPr>
                <w:szCs w:val="24"/>
              </w:rPr>
            </w:pPr>
          </w:p>
          <w:p w:rsidR="00AC644B" w:rsidRPr="00A23740" w:rsidRDefault="00AC644B" w:rsidP="000C282A">
            <w:pPr>
              <w:pStyle w:val="KIRMIZI"/>
              <w:widowControl w:val="0"/>
            </w:pPr>
            <w:r w:rsidRPr="00A23740">
              <w:t>İtiraz ve kaldırılması usulü:</w:t>
            </w:r>
          </w:p>
          <w:p w:rsidR="00AC644B" w:rsidRPr="00A23740" w:rsidRDefault="00AC644B" w:rsidP="000C282A">
            <w:pPr>
              <w:pStyle w:val="KIRMIZI"/>
              <w:widowControl w:val="0"/>
              <w:rPr>
                <w:lang w:val="tr-TR"/>
              </w:rPr>
            </w:pPr>
            <w:r w:rsidRPr="00A23740">
              <w:t xml:space="preserve">Madde 269/b – </w:t>
            </w:r>
            <w:r w:rsidRPr="00A23740">
              <w:rPr>
                <w:lang w:val="tr-TR"/>
              </w:rPr>
              <w:t>…</w:t>
            </w:r>
          </w:p>
          <w:p w:rsidR="00AC644B" w:rsidRPr="00A23740" w:rsidRDefault="00AC644B" w:rsidP="000C282A">
            <w:pPr>
              <w:pStyle w:val="KIRMIZI"/>
              <w:widowControl w:val="0"/>
            </w:pPr>
          </w:p>
          <w:p w:rsidR="00AC644B" w:rsidRDefault="00AC644B" w:rsidP="000C282A">
            <w:pPr>
              <w:pStyle w:val="KIRMIZI"/>
              <w:widowControl w:val="0"/>
            </w:pPr>
            <w:r w:rsidRPr="00A23740">
              <w:t>(4) Takip yukarda yazılı belgelere istinat etmemesi sebebiyle alacaklı umumi hükümler dairesinde dava açmaya mecbur kalırsa ihtarlı ödeme emri, Borçlar Kanununun 260 ve 288 inci maddelerinde yazılı ihtar yerine geçer.</w:t>
            </w:r>
          </w:p>
          <w:p w:rsidR="00DE193E" w:rsidRPr="00A23740" w:rsidRDefault="00DE193E" w:rsidP="000C282A">
            <w:pPr>
              <w:pStyle w:val="KIRMIZI"/>
              <w:widowControl w:val="0"/>
            </w:pPr>
          </w:p>
          <w:p w:rsidR="00AC644B" w:rsidRPr="00A23740" w:rsidRDefault="00AC644B" w:rsidP="000C282A">
            <w:pPr>
              <w:widowControl w:val="0"/>
              <w:tabs>
                <w:tab w:val="left" w:pos="567"/>
              </w:tabs>
              <w:rPr>
                <w:szCs w:val="24"/>
              </w:rPr>
            </w:pPr>
          </w:p>
        </w:tc>
        <w:tc>
          <w:tcPr>
            <w:tcW w:w="2500" w:type="pct"/>
          </w:tcPr>
          <w:p w:rsidR="00AA5C8C" w:rsidRPr="00A23740" w:rsidRDefault="00AA5C8C" w:rsidP="000C282A">
            <w:pPr>
              <w:widowControl w:val="0"/>
              <w:tabs>
                <w:tab w:val="left" w:pos="567"/>
              </w:tabs>
              <w:rPr>
                <w:b/>
                <w:szCs w:val="24"/>
              </w:rPr>
            </w:pPr>
            <w:r w:rsidRPr="00A23740">
              <w:rPr>
                <w:b/>
                <w:bCs/>
                <w:color w:val="0000FF"/>
                <w:szCs w:val="24"/>
                <w:lang w:val="x-none" w:eastAsia="x-none"/>
              </w:rPr>
              <w:t>Ö</w:t>
            </w:r>
            <w:r w:rsidRPr="00A23740">
              <w:rPr>
                <w:b/>
                <w:szCs w:val="24"/>
              </w:rPr>
              <w:t xml:space="preserve">deme emri </w:t>
            </w:r>
          </w:p>
          <w:p w:rsidR="00AA5C8C" w:rsidRPr="00A23740" w:rsidRDefault="00A9749A" w:rsidP="000C282A">
            <w:pPr>
              <w:widowControl w:val="0"/>
              <w:tabs>
                <w:tab w:val="center" w:pos="3543"/>
              </w:tabs>
              <w:rPr>
                <w:rStyle w:val="MaviChar"/>
              </w:rPr>
            </w:pPr>
            <w:r w:rsidRPr="00A23740">
              <w:rPr>
                <w:b/>
                <w:bCs/>
                <w:color w:val="0000FF"/>
                <w:szCs w:val="24"/>
                <w:lang w:val="x-none" w:eastAsia="x-none"/>
              </w:rPr>
              <w:t>MADDE 139</w:t>
            </w:r>
            <w:r w:rsidR="00AA5C8C" w:rsidRPr="00A23740">
              <w:rPr>
                <w:b/>
                <w:bCs/>
                <w:color w:val="0000FF"/>
                <w:szCs w:val="24"/>
                <w:lang w:val="x-none" w:eastAsia="x-none"/>
              </w:rPr>
              <w:t xml:space="preserve">- </w:t>
            </w:r>
            <w:r w:rsidR="00AA5C8C" w:rsidRPr="00A23740">
              <w:rPr>
                <w:rStyle w:val="MaviChar"/>
              </w:rPr>
              <w:t>(1) Takip talebinin bu Kanunda öngörülen şartları içerdiğine karar verilmesi h</w:t>
            </w:r>
            <w:r w:rsidR="00E54A6B" w:rsidRPr="00A23740">
              <w:rPr>
                <w:rStyle w:val="MaviChar"/>
                <w:lang w:val="tr-TR"/>
              </w:rPr>
              <w:t>â</w:t>
            </w:r>
            <w:r w:rsidR="00AA5C8C" w:rsidRPr="00A23740">
              <w:rPr>
                <w:rStyle w:val="MaviChar"/>
              </w:rPr>
              <w:t>linde icra ve iflas dairesi tarafından tahliye ihtarlı ödeme emri düzenlenir. Ödeme emriyle birlikte takibin dayanağı olan belgeler borçluya tebliğ edilir. Talebin kabul edilmemesi h</w:t>
            </w:r>
            <w:r w:rsidR="00E54A6B" w:rsidRPr="00A23740">
              <w:rPr>
                <w:rStyle w:val="MaviChar"/>
                <w:lang w:val="tr-TR"/>
              </w:rPr>
              <w:t>â</w:t>
            </w:r>
            <w:r w:rsidR="00AA5C8C" w:rsidRPr="00A23740">
              <w:rPr>
                <w:rStyle w:val="MaviChar"/>
              </w:rPr>
              <w:t>linde</w:t>
            </w:r>
            <w:r w:rsidR="0005714A" w:rsidRPr="0051673D">
              <w:rPr>
                <w:rStyle w:val="MaviChar"/>
              </w:rPr>
              <w:t>,</w:t>
            </w:r>
            <w:r w:rsidR="00AA5C8C" w:rsidRPr="00A23740">
              <w:rPr>
                <w:rStyle w:val="MaviChar"/>
              </w:rPr>
              <w:t xml:space="preserve"> verilen karar </w:t>
            </w:r>
            <w:r w:rsidR="0005714A" w:rsidRPr="00001224">
              <w:rPr>
                <w:rStyle w:val="MaviChar"/>
              </w:rPr>
              <w:t>gerekçesiyle birlikte</w:t>
            </w:r>
            <w:r w:rsidR="0005714A" w:rsidRPr="00A23740">
              <w:rPr>
                <w:rStyle w:val="MaviChar"/>
                <w:color w:val="538135"/>
              </w:rPr>
              <w:t xml:space="preserve"> </w:t>
            </w:r>
            <w:r w:rsidR="00AA5C8C" w:rsidRPr="00A23740">
              <w:rPr>
                <w:rStyle w:val="MaviChar"/>
              </w:rPr>
              <w:t>tutanağa yazılır ve derh</w:t>
            </w:r>
            <w:r w:rsidR="00DF22A1" w:rsidRPr="00A23740">
              <w:rPr>
                <w:rStyle w:val="MaviChar"/>
                <w:lang w:val="tr-TR"/>
              </w:rPr>
              <w:t>â</w:t>
            </w:r>
            <w:r w:rsidR="00AA5C8C" w:rsidRPr="00A23740">
              <w:rPr>
                <w:rStyle w:val="MaviChar"/>
              </w:rPr>
              <w:t>l alacaklıya tebliğ edilir. Bu işlemler, en geç üç gün içinde yerine getirilir.</w:t>
            </w:r>
          </w:p>
          <w:p w:rsidR="00352B1D" w:rsidRPr="00A23740" w:rsidRDefault="00352B1D" w:rsidP="000C282A">
            <w:pPr>
              <w:widowControl w:val="0"/>
              <w:tabs>
                <w:tab w:val="center" w:pos="3543"/>
              </w:tabs>
              <w:rPr>
                <w:b/>
                <w:bCs/>
                <w:strike/>
                <w:color w:val="FF0000"/>
                <w:szCs w:val="24"/>
              </w:rPr>
            </w:pPr>
          </w:p>
          <w:p w:rsidR="00AA5C8C" w:rsidRPr="00A23740" w:rsidRDefault="00AA5C8C" w:rsidP="000C282A">
            <w:pPr>
              <w:widowControl w:val="0"/>
              <w:tabs>
                <w:tab w:val="left" w:pos="567"/>
              </w:tabs>
              <w:rPr>
                <w:b/>
                <w:bCs/>
                <w:color w:val="0000FF"/>
                <w:szCs w:val="24"/>
                <w:lang w:eastAsia="x-none"/>
              </w:rPr>
            </w:pPr>
            <w:r w:rsidRPr="00A23740">
              <w:rPr>
                <w:b/>
                <w:bCs/>
                <w:color w:val="0000FF"/>
                <w:szCs w:val="24"/>
                <w:lang w:eastAsia="x-none"/>
              </w:rPr>
              <w:t>(2) Taşınmaz aile konutu ise, tahliye talepli icra takibinin yapıldığı hususu borçlunun eşine bir ihbarnameyle tebliğ edilir.</w:t>
            </w:r>
          </w:p>
          <w:p w:rsidR="00AA5C8C" w:rsidRPr="00A23740" w:rsidRDefault="00AA5C8C" w:rsidP="000C282A">
            <w:pPr>
              <w:widowControl w:val="0"/>
              <w:tabs>
                <w:tab w:val="left" w:pos="566"/>
              </w:tabs>
              <w:autoSpaceDE w:val="0"/>
              <w:autoSpaceDN w:val="0"/>
              <w:adjustRightInd w:val="0"/>
              <w:rPr>
                <w:rFonts w:eastAsia="Times New Roman"/>
                <w:b/>
                <w:color w:val="FF0000"/>
                <w:szCs w:val="24"/>
                <w:lang w:eastAsia="tr-TR"/>
              </w:rPr>
            </w:pPr>
          </w:p>
          <w:p w:rsidR="00AA5C8C" w:rsidRPr="00A23740" w:rsidRDefault="00AA5C8C" w:rsidP="000C282A">
            <w:pPr>
              <w:widowControl w:val="0"/>
              <w:tabs>
                <w:tab w:val="left" w:pos="567"/>
              </w:tabs>
              <w:rPr>
                <w:b/>
                <w:bCs/>
                <w:color w:val="0000FF"/>
                <w:szCs w:val="24"/>
                <w:lang w:val="x-none" w:eastAsia="x-none"/>
              </w:rPr>
            </w:pPr>
            <w:r w:rsidRPr="00A23740">
              <w:rPr>
                <w:b/>
                <w:bCs/>
                <w:color w:val="0000FF"/>
                <w:szCs w:val="24"/>
                <w:lang w:val="x-none" w:eastAsia="x-none"/>
              </w:rPr>
              <w:t>(3) Ödeme emrinde</w:t>
            </w:r>
            <w:r w:rsidRPr="00A23740">
              <w:rPr>
                <w:b/>
                <w:bCs/>
                <w:color w:val="0000FF"/>
                <w:szCs w:val="24"/>
                <w:lang w:eastAsia="x-none"/>
              </w:rPr>
              <w:t xml:space="preserve"> </w:t>
            </w:r>
            <w:r w:rsidRPr="00A23740">
              <w:rPr>
                <w:b/>
                <w:bCs/>
                <w:color w:val="0000FF"/>
                <w:szCs w:val="24"/>
                <w:lang w:val="x-none" w:eastAsia="x-none"/>
              </w:rPr>
              <w:t>aşağıdaki hususlar bulunur:</w:t>
            </w:r>
          </w:p>
          <w:p w:rsidR="00AA5C8C" w:rsidRPr="00A23740" w:rsidRDefault="00AA5C8C" w:rsidP="000C282A">
            <w:pPr>
              <w:widowControl w:val="0"/>
              <w:tabs>
                <w:tab w:val="left" w:pos="567"/>
              </w:tabs>
              <w:rPr>
                <w:strike/>
                <w:color w:val="0000FF"/>
                <w:szCs w:val="24"/>
                <w:lang w:eastAsia="x-none"/>
              </w:rPr>
            </w:pPr>
          </w:p>
          <w:p w:rsidR="00AA5C8C" w:rsidRPr="00A23740" w:rsidRDefault="00AA5C8C" w:rsidP="000C282A">
            <w:pPr>
              <w:widowControl w:val="0"/>
              <w:tabs>
                <w:tab w:val="left" w:pos="567"/>
              </w:tabs>
              <w:rPr>
                <w:strike/>
                <w:color w:val="0000FF"/>
                <w:szCs w:val="24"/>
                <w:lang w:eastAsia="x-none"/>
              </w:rPr>
            </w:pPr>
            <w:r w:rsidRPr="00A23740">
              <w:rPr>
                <w:b/>
                <w:bCs/>
                <w:color w:val="0000FF"/>
                <w:szCs w:val="24"/>
                <w:lang w:eastAsia="x-none"/>
              </w:rPr>
              <w:t xml:space="preserve">a) </w:t>
            </w:r>
            <w:r w:rsidRPr="0051673D">
              <w:rPr>
                <w:b/>
                <w:bCs/>
                <w:color w:val="0000FF"/>
                <w:szCs w:val="24"/>
                <w:lang w:eastAsia="x-none"/>
              </w:rPr>
              <w:t>Alacaklının ve</w:t>
            </w:r>
            <w:r w:rsidRPr="00A23740">
              <w:rPr>
                <w:b/>
                <w:bCs/>
                <w:color w:val="0000FF"/>
                <w:szCs w:val="24"/>
                <w:lang w:eastAsia="x-none"/>
              </w:rPr>
              <w:t xml:space="preserve"> varsa kanuni temsilcisinin ve </w:t>
            </w:r>
            <w:r w:rsidRPr="0051673D">
              <w:rPr>
                <w:b/>
                <w:bCs/>
                <w:color w:val="0000FF"/>
                <w:szCs w:val="24"/>
                <w:lang w:eastAsia="x-none"/>
              </w:rPr>
              <w:t>vekilinin</w:t>
            </w:r>
            <w:r w:rsidR="00891E9F" w:rsidRPr="00A23740">
              <w:rPr>
                <w:b/>
                <w:bCs/>
                <w:color w:val="0000FF"/>
                <w:szCs w:val="24"/>
                <w:lang w:eastAsia="x-none"/>
              </w:rPr>
              <w:t xml:space="preserve"> adı, soyadı, tüzel kişiyse ü</w:t>
            </w:r>
            <w:r w:rsidRPr="00A23740">
              <w:rPr>
                <w:b/>
                <w:bCs/>
                <w:color w:val="0000FF"/>
                <w:szCs w:val="24"/>
                <w:lang w:eastAsia="x-none"/>
              </w:rPr>
              <w:t>nvanı, adresi; gerçek kişiler için Türkiye Cumhuriyeti kimlik numarası, tüzel kişiler için vergi kimlik numarası, Merkezi Sicil Kayıt Sistemi numarası veya ilgili sicil numarası.</w:t>
            </w:r>
          </w:p>
          <w:p w:rsidR="00AA5C8C" w:rsidRPr="00A23740" w:rsidRDefault="00AA5C8C" w:rsidP="000C282A">
            <w:pPr>
              <w:widowControl w:val="0"/>
              <w:tabs>
                <w:tab w:val="left" w:pos="567"/>
              </w:tabs>
              <w:rPr>
                <w:strike/>
                <w:color w:val="0000FF"/>
                <w:szCs w:val="24"/>
                <w:lang w:eastAsia="x-none"/>
              </w:rPr>
            </w:pPr>
          </w:p>
          <w:p w:rsidR="00AA5C8C" w:rsidRPr="00A23740" w:rsidRDefault="00AA5C8C" w:rsidP="000C282A">
            <w:pPr>
              <w:widowControl w:val="0"/>
              <w:tabs>
                <w:tab w:val="left" w:pos="567"/>
              </w:tabs>
              <w:rPr>
                <w:strike/>
                <w:color w:val="0000FF"/>
                <w:szCs w:val="24"/>
                <w:lang w:eastAsia="x-none"/>
              </w:rPr>
            </w:pPr>
            <w:r w:rsidRPr="00A23740">
              <w:rPr>
                <w:b/>
                <w:bCs/>
                <w:color w:val="0000FF"/>
                <w:szCs w:val="24"/>
                <w:lang w:eastAsia="x-none"/>
              </w:rPr>
              <w:t>b) Borçlunun ve varsa kanuni temsilcisinin adı, soyadı, biliniyorsa Türkiye Cumhuriyeti kimlik numarası; tüzel</w:t>
            </w:r>
            <w:r w:rsidR="00891E9F" w:rsidRPr="00A23740">
              <w:rPr>
                <w:b/>
                <w:bCs/>
                <w:color w:val="0000FF"/>
                <w:szCs w:val="24"/>
                <w:lang w:eastAsia="x-none"/>
              </w:rPr>
              <w:t xml:space="preserve"> kişi ise ü</w:t>
            </w:r>
            <w:r w:rsidRPr="00A23740">
              <w:rPr>
                <w:b/>
                <w:bCs/>
                <w:color w:val="0000FF"/>
                <w:szCs w:val="24"/>
                <w:lang w:eastAsia="x-none"/>
              </w:rPr>
              <w:t>nvanı, vergi kimlik numarası, Merkezi Sicil Kayıt Sistemi numarası veya ilgili sicil numarası; adresi.</w:t>
            </w:r>
          </w:p>
          <w:p w:rsidR="00AA5C8C" w:rsidRPr="00A23740" w:rsidRDefault="00AA5C8C" w:rsidP="000C282A">
            <w:pPr>
              <w:widowControl w:val="0"/>
              <w:tabs>
                <w:tab w:val="left" w:pos="567"/>
              </w:tabs>
              <w:rPr>
                <w:b/>
                <w:bCs/>
                <w:color w:val="0000FF"/>
                <w:szCs w:val="24"/>
                <w:lang w:eastAsia="x-none"/>
              </w:rPr>
            </w:pPr>
          </w:p>
          <w:p w:rsidR="00AA5C8C" w:rsidRPr="00A23740" w:rsidRDefault="00AA5C8C" w:rsidP="000C282A">
            <w:pPr>
              <w:widowControl w:val="0"/>
              <w:tabs>
                <w:tab w:val="left" w:pos="567"/>
              </w:tabs>
              <w:rPr>
                <w:strike/>
                <w:color w:val="0000FF"/>
                <w:szCs w:val="24"/>
                <w:lang w:eastAsia="x-none"/>
              </w:rPr>
            </w:pPr>
            <w:r w:rsidRPr="00A23740">
              <w:rPr>
                <w:b/>
                <w:bCs/>
                <w:color w:val="0000FF"/>
                <w:szCs w:val="24"/>
                <w:lang w:eastAsia="x-none"/>
              </w:rPr>
              <w:t xml:space="preserve">c) İcra </w:t>
            </w:r>
            <w:r w:rsidRPr="00A23740">
              <w:rPr>
                <w:rStyle w:val="MaviChar"/>
              </w:rPr>
              <w:t>ve iflas</w:t>
            </w:r>
            <w:r w:rsidRPr="00A23740">
              <w:rPr>
                <w:b/>
                <w:bCs/>
                <w:color w:val="0000FF"/>
                <w:szCs w:val="24"/>
                <w:lang w:eastAsia="x-none"/>
              </w:rPr>
              <w:t xml:space="preserve"> dairesinin banka hesap numarası.</w:t>
            </w:r>
          </w:p>
          <w:p w:rsidR="00AA5C8C" w:rsidRPr="00A23740" w:rsidRDefault="00AA5C8C" w:rsidP="000C282A">
            <w:pPr>
              <w:widowControl w:val="0"/>
              <w:tabs>
                <w:tab w:val="left" w:pos="567"/>
              </w:tabs>
              <w:rPr>
                <w:b/>
                <w:bCs/>
                <w:color w:val="0000FF"/>
                <w:szCs w:val="24"/>
                <w:lang w:eastAsia="x-none"/>
              </w:rPr>
            </w:pPr>
          </w:p>
          <w:p w:rsidR="00AA5C8C" w:rsidRPr="00A23740" w:rsidRDefault="00AA5C8C" w:rsidP="000C282A">
            <w:pPr>
              <w:widowControl w:val="0"/>
              <w:autoSpaceDE w:val="0"/>
              <w:autoSpaceDN w:val="0"/>
              <w:adjustRightInd w:val="0"/>
              <w:rPr>
                <w:b/>
                <w:bCs/>
                <w:color w:val="0000FF"/>
                <w:szCs w:val="24"/>
                <w:lang w:val="x-none" w:eastAsia="x-none"/>
              </w:rPr>
            </w:pPr>
            <w:r w:rsidRPr="00A23740">
              <w:rPr>
                <w:b/>
                <w:bCs/>
                <w:color w:val="0000FF"/>
                <w:szCs w:val="24"/>
                <w:lang w:eastAsia="x-none"/>
              </w:rPr>
              <w:t>ç</w:t>
            </w:r>
            <w:r w:rsidRPr="00A23740">
              <w:rPr>
                <w:b/>
                <w:bCs/>
                <w:color w:val="0000FF"/>
                <w:szCs w:val="24"/>
                <w:lang w:val="x-none" w:eastAsia="x-none"/>
              </w:rPr>
              <w:t>)</w:t>
            </w:r>
            <w:r w:rsidRPr="00A23740">
              <w:rPr>
                <w:szCs w:val="24"/>
              </w:rPr>
              <w:t xml:space="preserve"> </w:t>
            </w:r>
            <w:r w:rsidRPr="007C72CC">
              <w:rPr>
                <w:rStyle w:val="MaviChar"/>
              </w:rPr>
              <w:t xml:space="preserve">Kira alacağının Türk parasıyla tutarı ve faizli alacaklarda faizin türü, oranı, miktarı ile işlemeye başladığı gün; alacak yabancı para ise, harca esas olmak üzere takip talebi tarihindeki Türkiye Cumhuriyet Merkez Bankası efektif satış kuru üzerinden Türk </w:t>
            </w:r>
            <w:r w:rsidR="00E0348B" w:rsidRPr="007C72CC">
              <w:rPr>
                <w:rStyle w:val="MaviChar"/>
              </w:rPr>
              <w:t xml:space="preserve">lirası </w:t>
            </w:r>
            <w:r w:rsidRPr="007C72CC">
              <w:rPr>
                <w:rStyle w:val="MaviChar"/>
              </w:rPr>
              <w:t>karşılığı ve alacağın hangi tarihteki kur üzerinden talep edildiği ve faizli yabancı para alacaklarında</w:t>
            </w:r>
            <w:r w:rsidRPr="00A23740">
              <w:rPr>
                <w:b/>
                <w:bCs/>
                <w:color w:val="0000FF"/>
                <w:szCs w:val="24"/>
                <w:lang w:val="x-none" w:eastAsia="x-none"/>
              </w:rPr>
              <w:t xml:space="preserve"> faizin türü, oranı, miktarı ile işlemeye başladığı gün.</w:t>
            </w:r>
          </w:p>
          <w:p w:rsidR="00AA5C8C" w:rsidRPr="00A23740" w:rsidRDefault="00AA5C8C" w:rsidP="000C282A">
            <w:pPr>
              <w:widowControl w:val="0"/>
              <w:autoSpaceDE w:val="0"/>
              <w:autoSpaceDN w:val="0"/>
              <w:adjustRightInd w:val="0"/>
              <w:rPr>
                <w:b/>
                <w:bCs/>
                <w:color w:val="0000FF"/>
                <w:szCs w:val="24"/>
              </w:rPr>
            </w:pPr>
          </w:p>
          <w:p w:rsidR="00AA5C8C" w:rsidRPr="00A23740" w:rsidRDefault="00AA5C8C" w:rsidP="000C282A">
            <w:pPr>
              <w:widowControl w:val="0"/>
              <w:tabs>
                <w:tab w:val="left" w:pos="567"/>
              </w:tabs>
              <w:rPr>
                <w:b/>
                <w:bCs/>
                <w:color w:val="0000FF"/>
                <w:szCs w:val="24"/>
                <w:lang w:val="x-none" w:eastAsia="x-none"/>
              </w:rPr>
            </w:pPr>
            <w:r w:rsidRPr="00A23740">
              <w:rPr>
                <w:b/>
                <w:bCs/>
                <w:color w:val="0000FF"/>
                <w:szCs w:val="24"/>
                <w:lang w:eastAsia="x-none"/>
              </w:rPr>
              <w:t>d</w:t>
            </w:r>
            <w:r w:rsidRPr="00A23740">
              <w:rPr>
                <w:b/>
                <w:bCs/>
                <w:color w:val="0000FF"/>
                <w:szCs w:val="24"/>
                <w:lang w:val="x-none" w:eastAsia="x-none"/>
              </w:rPr>
              <w:t>) Türk Borçlar Kanununun 315 ve 362 nci maddelerine göre konut ve çatılı iş yeri kiralarında otuz gün, ürün kiralarında altmış gün, diğer kiralarda ise on gün içinde kira bedeli ve sözleşmeyle üstlenilen yan giderlerin ödeme emrinde yazılı olan banka hesabına ödenmesi gerektiği.</w:t>
            </w:r>
          </w:p>
          <w:p w:rsidR="009D7972" w:rsidRPr="00A23740" w:rsidRDefault="009D7972" w:rsidP="000C282A">
            <w:pPr>
              <w:widowControl w:val="0"/>
              <w:tabs>
                <w:tab w:val="left" w:pos="567"/>
              </w:tabs>
              <w:rPr>
                <w:szCs w:val="24"/>
              </w:rPr>
            </w:pPr>
          </w:p>
          <w:p w:rsidR="00AA5C8C" w:rsidRPr="00A23740" w:rsidRDefault="00AA5C8C" w:rsidP="000C282A">
            <w:pPr>
              <w:widowControl w:val="0"/>
              <w:tabs>
                <w:tab w:val="left" w:pos="567"/>
              </w:tabs>
              <w:rPr>
                <w:b/>
                <w:bCs/>
                <w:color w:val="0000FF"/>
                <w:szCs w:val="24"/>
                <w:lang w:val="x-none" w:eastAsia="x-none"/>
              </w:rPr>
            </w:pPr>
            <w:r w:rsidRPr="00A23740">
              <w:rPr>
                <w:b/>
                <w:bCs/>
                <w:color w:val="0000FF"/>
                <w:szCs w:val="24"/>
                <w:lang w:eastAsia="x-none"/>
              </w:rPr>
              <w:t>e</w:t>
            </w:r>
            <w:r w:rsidRPr="00A23740">
              <w:rPr>
                <w:b/>
                <w:bCs/>
                <w:color w:val="0000FF"/>
                <w:szCs w:val="24"/>
                <w:lang w:val="x-none" w:eastAsia="x-none"/>
              </w:rPr>
              <w:t xml:space="preserve">) Tahliyesi istenen taşınmazın </w:t>
            </w:r>
            <w:r w:rsidRPr="00A23740">
              <w:rPr>
                <w:rStyle w:val="MaviChar"/>
              </w:rPr>
              <w:t>niteliği</w:t>
            </w:r>
            <w:r w:rsidRPr="00A23740">
              <w:rPr>
                <w:b/>
                <w:bCs/>
                <w:color w:val="0000FF"/>
                <w:szCs w:val="24"/>
                <w:lang w:eastAsia="x-none"/>
              </w:rPr>
              <w:t xml:space="preserve"> </w:t>
            </w:r>
            <w:r w:rsidRPr="00A23740">
              <w:rPr>
                <w:b/>
                <w:bCs/>
                <w:color w:val="0000FF"/>
                <w:szCs w:val="24"/>
                <w:lang w:val="x-none" w:eastAsia="x-none"/>
              </w:rPr>
              <w:t>ve adresi.</w:t>
            </w:r>
          </w:p>
          <w:p w:rsidR="00AA5C8C" w:rsidRPr="00A23740" w:rsidRDefault="00AA5C8C" w:rsidP="000C282A">
            <w:pPr>
              <w:widowControl w:val="0"/>
              <w:rPr>
                <w:szCs w:val="24"/>
              </w:rPr>
            </w:pPr>
          </w:p>
          <w:p w:rsidR="00AA5C8C" w:rsidRPr="00A23740" w:rsidRDefault="00AA5C8C" w:rsidP="000C282A">
            <w:pPr>
              <w:pStyle w:val="Mavi"/>
              <w:widowControl w:val="0"/>
            </w:pPr>
            <w:r w:rsidRPr="00A23740">
              <w:rPr>
                <w:lang w:val="tr-TR"/>
              </w:rPr>
              <w:t>f</w:t>
            </w:r>
            <w:r w:rsidRPr="00A23740">
              <w:t>) Borcun tamamına, bir kısmına,</w:t>
            </w:r>
            <w:r w:rsidRPr="00A23740">
              <w:rPr>
                <w:lang w:val="tr-TR"/>
              </w:rPr>
              <w:t xml:space="preserve"> </w:t>
            </w:r>
            <w:r w:rsidRPr="00A23740">
              <w:t>kira sözleşmesi</w:t>
            </w:r>
            <w:r w:rsidR="00176096" w:rsidRPr="00A23740">
              <w:t>ndeki</w:t>
            </w:r>
            <w:r w:rsidRPr="00A23740">
              <w:t xml:space="preserve"> ve</w:t>
            </w:r>
            <w:r w:rsidR="00176096" w:rsidRPr="00A23740">
              <w:t xml:space="preserve"> varsa</w:t>
            </w:r>
            <w:r w:rsidRPr="00A23740">
              <w:t xml:space="preserve"> takibin dayanağı olan belgedeki imzaya, icra ve iflas dairesinin yetkisine veya alacaklının takibat icrası hakkına dair itirazın, ödeme emrinin tebliğinden itibaren iki hafta içinde icra ve iflas dairesine yapılması gerektiği.</w:t>
            </w:r>
          </w:p>
          <w:p w:rsidR="00AA5C8C" w:rsidRPr="00A23740" w:rsidRDefault="00AA5C8C" w:rsidP="000C282A">
            <w:pPr>
              <w:widowControl w:val="0"/>
              <w:tabs>
                <w:tab w:val="left" w:pos="567"/>
              </w:tabs>
              <w:rPr>
                <w:b/>
                <w:bCs/>
                <w:color w:val="0000FF"/>
                <w:szCs w:val="24"/>
                <w:lang w:eastAsia="x-none"/>
              </w:rPr>
            </w:pPr>
          </w:p>
          <w:p w:rsidR="00AA5C8C" w:rsidRPr="00A23740" w:rsidRDefault="00AA5C8C" w:rsidP="000C282A">
            <w:pPr>
              <w:widowControl w:val="0"/>
              <w:tabs>
                <w:tab w:val="left" w:pos="567"/>
              </w:tabs>
              <w:rPr>
                <w:b/>
                <w:bCs/>
                <w:color w:val="0000FF"/>
                <w:szCs w:val="24"/>
                <w:lang w:val="x-none" w:eastAsia="x-none"/>
              </w:rPr>
            </w:pPr>
            <w:r w:rsidRPr="00A23740">
              <w:rPr>
                <w:b/>
                <w:bCs/>
                <w:color w:val="0000FF"/>
                <w:szCs w:val="24"/>
                <w:lang w:eastAsia="x-none"/>
              </w:rPr>
              <w:t>g</w:t>
            </w:r>
            <w:r w:rsidRPr="00A23740">
              <w:rPr>
                <w:b/>
                <w:bCs/>
                <w:color w:val="0000FF"/>
                <w:szCs w:val="24"/>
                <w:lang w:val="x-none" w:eastAsia="x-none"/>
              </w:rPr>
              <w:t>) Süresi içinde</w:t>
            </w:r>
            <w:r w:rsidRPr="00A23740">
              <w:rPr>
                <w:b/>
                <w:bCs/>
                <w:color w:val="0000FF"/>
                <w:szCs w:val="24"/>
                <w:lang w:eastAsia="x-none"/>
              </w:rPr>
              <w:t xml:space="preserve"> </w:t>
            </w:r>
            <w:r w:rsidRPr="00A23740">
              <w:rPr>
                <w:rStyle w:val="MaviChar"/>
              </w:rPr>
              <w:t>ödeme emrine itiraz edilmez</w:t>
            </w:r>
            <w:r w:rsidRPr="00A23740">
              <w:rPr>
                <w:b/>
                <w:bCs/>
                <w:color w:val="FF0000"/>
                <w:szCs w:val="24"/>
                <w:lang w:val="x-none" w:eastAsia="x-none"/>
              </w:rPr>
              <w:t xml:space="preserve">  </w:t>
            </w:r>
            <w:r w:rsidRPr="00A23740">
              <w:rPr>
                <w:b/>
                <w:bCs/>
                <w:color w:val="0000FF"/>
                <w:szCs w:val="24"/>
                <w:lang w:val="x-none" w:eastAsia="x-none"/>
              </w:rPr>
              <w:t>ve borç ödenmezse</w:t>
            </w:r>
            <w:r w:rsidR="00176096" w:rsidRPr="00A23740">
              <w:rPr>
                <w:b/>
                <w:bCs/>
                <w:color w:val="0000FF"/>
                <w:szCs w:val="24"/>
                <w:lang w:eastAsia="x-none"/>
              </w:rPr>
              <w:t>,</w:t>
            </w:r>
            <w:r w:rsidRPr="00A23740">
              <w:rPr>
                <w:b/>
                <w:bCs/>
                <w:color w:val="0000FF"/>
                <w:szCs w:val="24"/>
                <w:lang w:val="x-none" w:eastAsia="x-none"/>
              </w:rPr>
              <w:t xml:space="preserve"> kesinleşen kira alacağı için haciz yapılacağı ve </w:t>
            </w:r>
            <w:r w:rsidRPr="00A23740">
              <w:rPr>
                <w:rStyle w:val="MaviChar"/>
              </w:rPr>
              <w:t>alacaklının talebi üzerine sulh</w:t>
            </w:r>
            <w:r w:rsidRPr="00A23740">
              <w:rPr>
                <w:b/>
                <w:bCs/>
                <w:color w:val="0000FF"/>
                <w:szCs w:val="24"/>
                <w:lang w:eastAsia="x-none"/>
              </w:rPr>
              <w:t xml:space="preserve"> </w:t>
            </w:r>
            <w:r w:rsidRPr="00A23740">
              <w:rPr>
                <w:b/>
                <w:bCs/>
                <w:color w:val="0000FF"/>
                <w:szCs w:val="24"/>
                <w:lang w:val="x-none" w:eastAsia="x-none"/>
              </w:rPr>
              <w:t>hukuk mahkemesi kararıyla taşınmazın tahliye edileceği.</w:t>
            </w:r>
          </w:p>
          <w:p w:rsidR="00AA5C8C" w:rsidRPr="00A23740" w:rsidRDefault="00AA5C8C" w:rsidP="000C282A">
            <w:pPr>
              <w:widowControl w:val="0"/>
              <w:tabs>
                <w:tab w:val="left" w:pos="567"/>
              </w:tabs>
              <w:rPr>
                <w:rFonts w:eastAsia="ヒラギノ明朝 Pro W3"/>
                <w:b/>
                <w:strike/>
                <w:color w:val="FF0000"/>
                <w:szCs w:val="24"/>
                <w:lang w:val="x-none" w:eastAsia="x-none"/>
              </w:rPr>
            </w:pPr>
          </w:p>
          <w:p w:rsidR="00AA5C8C" w:rsidRPr="00A23740" w:rsidRDefault="00352B1D" w:rsidP="000C282A">
            <w:pPr>
              <w:widowControl w:val="0"/>
              <w:tabs>
                <w:tab w:val="left" w:pos="567"/>
              </w:tabs>
              <w:rPr>
                <w:b/>
                <w:bCs/>
                <w:color w:val="0000FF"/>
                <w:szCs w:val="24"/>
                <w:lang w:val="x-none" w:eastAsia="x-none"/>
              </w:rPr>
            </w:pPr>
            <w:r w:rsidRPr="00A23740">
              <w:rPr>
                <w:b/>
                <w:bCs/>
                <w:color w:val="0000FF"/>
                <w:szCs w:val="24"/>
                <w:lang w:eastAsia="x-none"/>
              </w:rPr>
              <w:t>ğ</w:t>
            </w:r>
            <w:r w:rsidR="00AA5C8C" w:rsidRPr="00A23740">
              <w:rPr>
                <w:b/>
                <w:bCs/>
                <w:color w:val="0000FF"/>
                <w:szCs w:val="24"/>
                <w:lang w:val="x-none" w:eastAsia="x-none"/>
              </w:rPr>
              <w:t xml:space="preserve">) </w:t>
            </w:r>
            <w:r w:rsidR="00AA5C8C" w:rsidRPr="00A23740">
              <w:rPr>
                <w:rStyle w:val="MaviChar"/>
              </w:rPr>
              <w:t>Ödeme</w:t>
            </w:r>
            <w:r w:rsidR="00AA5C8C" w:rsidRPr="00A23740">
              <w:rPr>
                <w:b/>
                <w:bCs/>
                <w:color w:val="0000FF"/>
                <w:szCs w:val="24"/>
                <w:lang w:eastAsia="x-none"/>
              </w:rPr>
              <w:t xml:space="preserve"> </w:t>
            </w:r>
            <w:r w:rsidR="00AA5C8C" w:rsidRPr="00A23740">
              <w:rPr>
                <w:b/>
                <w:bCs/>
                <w:color w:val="0000FF"/>
                <w:szCs w:val="24"/>
                <w:lang w:val="x-none" w:eastAsia="x-none"/>
              </w:rPr>
              <w:t>emrinin yurt dışın</w:t>
            </w:r>
            <w:r w:rsidR="00AA5C8C" w:rsidRPr="00A23740">
              <w:rPr>
                <w:b/>
                <w:bCs/>
                <w:color w:val="0000FF"/>
                <w:szCs w:val="24"/>
                <w:lang w:eastAsia="x-none"/>
              </w:rPr>
              <w:t>d</w:t>
            </w:r>
            <w:r w:rsidR="00AA5C8C" w:rsidRPr="00A23740">
              <w:rPr>
                <w:b/>
                <w:bCs/>
                <w:color w:val="0000FF"/>
                <w:szCs w:val="24"/>
                <w:lang w:val="x-none" w:eastAsia="x-none"/>
              </w:rPr>
              <w:t>a tebliğ edildiği h</w:t>
            </w:r>
            <w:r w:rsidR="00E54A6B" w:rsidRPr="00A23740">
              <w:rPr>
                <w:b/>
                <w:bCs/>
                <w:color w:val="0000FF"/>
                <w:szCs w:val="24"/>
                <w:lang w:eastAsia="x-none"/>
              </w:rPr>
              <w:t>â</w:t>
            </w:r>
            <w:r w:rsidR="00AA5C8C" w:rsidRPr="00A23740">
              <w:rPr>
                <w:b/>
                <w:bCs/>
                <w:color w:val="0000FF"/>
                <w:szCs w:val="24"/>
                <w:lang w:val="x-none" w:eastAsia="x-none"/>
              </w:rPr>
              <w:t>llerde, itiraz etmek isteyen borçlunun itirazla birlikte, itiraz etmeyecek</w:t>
            </w:r>
            <w:r w:rsidR="00AA5C8C" w:rsidRPr="00A23740">
              <w:rPr>
                <w:b/>
                <w:bCs/>
                <w:color w:val="0000FF"/>
                <w:szCs w:val="24"/>
                <w:lang w:eastAsia="x-none"/>
              </w:rPr>
              <w:t xml:space="preserve"> </w:t>
            </w:r>
            <w:r w:rsidR="00AA5C8C" w:rsidRPr="00A23740">
              <w:rPr>
                <w:b/>
                <w:bCs/>
                <w:color w:val="0000FF"/>
                <w:szCs w:val="24"/>
                <w:lang w:val="x-none" w:eastAsia="x-none"/>
              </w:rPr>
              <w:t>olan borçlunun ise itiraz süresi içinde, dava ve takip işlemlerine esas olmak üzere yurt içinde bir adres bildirmek zorunda olduğu; yurt</w:t>
            </w:r>
            <w:r w:rsidR="00AA5C8C" w:rsidRPr="00A23740">
              <w:rPr>
                <w:b/>
                <w:bCs/>
                <w:color w:val="0000FF"/>
                <w:szCs w:val="24"/>
                <w:lang w:eastAsia="x-none"/>
              </w:rPr>
              <w:t xml:space="preserve"> </w:t>
            </w:r>
            <w:r w:rsidR="00AA5C8C" w:rsidRPr="00A23740">
              <w:rPr>
                <w:b/>
                <w:bCs/>
                <w:color w:val="0000FF"/>
                <w:szCs w:val="24"/>
                <w:lang w:val="x-none" w:eastAsia="x-none"/>
              </w:rPr>
              <w:t>içinde bir adres bildirmediği takdirde</w:t>
            </w:r>
            <w:r w:rsidR="00AA5C8C" w:rsidRPr="00A23740">
              <w:rPr>
                <w:rStyle w:val="MaviChar"/>
              </w:rPr>
              <w:t>,</w:t>
            </w:r>
            <w:r w:rsidR="00AA5C8C" w:rsidRPr="00A23740">
              <w:rPr>
                <w:b/>
                <w:bCs/>
                <w:color w:val="0000FF"/>
                <w:szCs w:val="24"/>
                <w:lang w:val="x-none" w:eastAsia="x-none"/>
              </w:rPr>
              <w:t xml:space="preserve"> kendisine bundan sonra tebliğ edilecek olan evrakın icra dosyası içinde muhafaza edilerek kendisine tebliğ edi</w:t>
            </w:r>
            <w:r w:rsidR="00AA5C8C" w:rsidRPr="00A23740">
              <w:rPr>
                <w:rStyle w:val="MaviChar"/>
              </w:rPr>
              <w:t xml:space="preserve">lmiş sayılacağı; itiraz süresi içinde itiraz edilmiş ve fakat itirazla birlikte yurt içinde bir adres bildirilmemişse itirazın dahi yapılmamış </w:t>
            </w:r>
            <w:r w:rsidR="00AA5C8C" w:rsidRPr="00A23740">
              <w:rPr>
                <w:b/>
                <w:bCs/>
                <w:color w:val="0000FF"/>
                <w:szCs w:val="24"/>
                <w:lang w:val="x-none" w:eastAsia="x-none"/>
              </w:rPr>
              <w:t>kabul edileceği.</w:t>
            </w:r>
          </w:p>
          <w:p w:rsidR="00AA5C8C" w:rsidRPr="00A23740" w:rsidRDefault="00AA5C8C" w:rsidP="000C282A">
            <w:pPr>
              <w:widowControl w:val="0"/>
              <w:outlineLvl w:val="1"/>
              <w:rPr>
                <w:rFonts w:eastAsia="Times New Roman"/>
                <w:b/>
                <w:color w:val="FF0000"/>
                <w:szCs w:val="24"/>
                <w:lang w:val="x-none" w:eastAsia="x-none"/>
              </w:rPr>
            </w:pPr>
          </w:p>
          <w:p w:rsidR="00AA5C8C" w:rsidRPr="00A23740" w:rsidRDefault="00352B1D" w:rsidP="000C282A">
            <w:pPr>
              <w:widowControl w:val="0"/>
              <w:tabs>
                <w:tab w:val="left" w:pos="567"/>
              </w:tabs>
              <w:rPr>
                <w:strike/>
                <w:color w:val="0000FF"/>
                <w:szCs w:val="24"/>
                <w:lang w:val="x-none" w:eastAsia="x-none"/>
              </w:rPr>
            </w:pPr>
            <w:r w:rsidRPr="00A23740">
              <w:rPr>
                <w:b/>
                <w:bCs/>
                <w:color w:val="0000FF"/>
                <w:szCs w:val="24"/>
                <w:lang w:eastAsia="x-none"/>
              </w:rPr>
              <w:t>h</w:t>
            </w:r>
            <w:r w:rsidR="00AA5C8C" w:rsidRPr="00A23740">
              <w:rPr>
                <w:b/>
                <w:bCs/>
                <w:color w:val="0000FF"/>
                <w:szCs w:val="24"/>
                <w:lang w:val="x-none" w:eastAsia="x-none"/>
              </w:rPr>
              <w:t xml:space="preserve">) </w:t>
            </w:r>
            <w:r w:rsidR="00AA5C8C" w:rsidRPr="00A23740">
              <w:rPr>
                <w:rStyle w:val="MaviChar"/>
              </w:rPr>
              <w:t>Borçlunun,</w:t>
            </w:r>
            <w:r w:rsidR="00AA5C8C" w:rsidRPr="00A23740">
              <w:rPr>
                <w:b/>
                <w:bCs/>
                <w:color w:val="0000FF"/>
                <w:szCs w:val="24"/>
                <w:lang w:eastAsia="x-none"/>
              </w:rPr>
              <w:t xml:space="preserve"> v</w:t>
            </w:r>
            <w:r w:rsidR="00AA5C8C" w:rsidRPr="00A23740">
              <w:rPr>
                <w:b/>
                <w:bCs/>
                <w:color w:val="0000FF"/>
                <w:szCs w:val="24"/>
                <w:lang w:val="x-none" w:eastAsia="x-none"/>
              </w:rPr>
              <w:t>arsa şik</w:t>
            </w:r>
            <w:r w:rsidR="003C6A26" w:rsidRPr="00A23740">
              <w:rPr>
                <w:b/>
                <w:bCs/>
                <w:color w:val="0000FF"/>
                <w:szCs w:val="24"/>
                <w:lang w:eastAsia="x-none"/>
              </w:rPr>
              <w:t>â</w:t>
            </w:r>
            <w:r w:rsidR="00AA5C8C" w:rsidRPr="00A23740">
              <w:rPr>
                <w:b/>
                <w:bCs/>
                <w:color w:val="0000FF"/>
                <w:szCs w:val="24"/>
                <w:lang w:val="x-none" w:eastAsia="x-none"/>
              </w:rPr>
              <w:t>yetlerini 22 ve devamı maddeleri uyarınca icra hukuk mahkemesine yapabileceği.</w:t>
            </w:r>
          </w:p>
          <w:p w:rsidR="00AA5C8C" w:rsidRPr="00A23740" w:rsidRDefault="00AA5C8C" w:rsidP="000C282A">
            <w:pPr>
              <w:widowControl w:val="0"/>
              <w:rPr>
                <w:szCs w:val="24"/>
              </w:rPr>
            </w:pPr>
          </w:p>
          <w:p w:rsidR="002F796B" w:rsidRPr="00A23740" w:rsidRDefault="00352B1D" w:rsidP="000C282A">
            <w:pPr>
              <w:widowControl w:val="0"/>
              <w:tabs>
                <w:tab w:val="left" w:pos="567"/>
              </w:tabs>
              <w:rPr>
                <w:rStyle w:val="MaviChar"/>
                <w:lang w:val="tr-TR"/>
              </w:rPr>
            </w:pPr>
            <w:r w:rsidRPr="00A23740">
              <w:rPr>
                <w:b/>
                <w:bCs/>
                <w:color w:val="0000FF"/>
                <w:szCs w:val="24"/>
                <w:lang w:eastAsia="x-none"/>
              </w:rPr>
              <w:t>ı</w:t>
            </w:r>
            <w:r w:rsidR="00AA5C8C" w:rsidRPr="00A23740">
              <w:rPr>
                <w:b/>
                <w:bCs/>
                <w:color w:val="0000FF"/>
                <w:szCs w:val="24"/>
                <w:lang w:val="x-none" w:eastAsia="x-none"/>
              </w:rPr>
              <w:t xml:space="preserve">) </w:t>
            </w:r>
            <w:r w:rsidR="002F796B" w:rsidRPr="00A23740">
              <w:rPr>
                <w:rStyle w:val="MaviChar"/>
                <w:lang w:val="tr-TR"/>
              </w:rPr>
              <w:t>Borçlunun ödeme emrine itiraz etmemesi veya süresi içinde borcunu ödememesi h</w:t>
            </w:r>
            <w:r w:rsidR="00E54A6B" w:rsidRPr="00A23740">
              <w:rPr>
                <w:rStyle w:val="MaviChar"/>
                <w:lang w:val="tr-TR"/>
              </w:rPr>
              <w:t>â</w:t>
            </w:r>
            <w:r w:rsidR="002F796B" w:rsidRPr="00A23740">
              <w:rPr>
                <w:rStyle w:val="MaviChar"/>
                <w:lang w:val="tr-TR"/>
              </w:rPr>
              <w:t>linde ödeme emrinin, ödeme emrine itiraz etmesi h</w:t>
            </w:r>
            <w:r w:rsidR="003C6A26" w:rsidRPr="00A23740">
              <w:rPr>
                <w:rStyle w:val="MaviChar"/>
                <w:lang w:val="tr-TR"/>
              </w:rPr>
              <w:t>â</w:t>
            </w:r>
            <w:r w:rsidR="002F796B" w:rsidRPr="00A23740">
              <w:rPr>
                <w:rStyle w:val="MaviChar"/>
                <w:lang w:val="tr-TR"/>
              </w:rPr>
              <w:t xml:space="preserve">linde ise itirazın iptaline ilişkin kararın tebliğinden itibaren iki hafta içinde </w:t>
            </w:r>
            <w:r w:rsidR="009114AC" w:rsidRPr="00001224">
              <w:rPr>
                <w:rStyle w:val="KonuBalChar"/>
                <w:rFonts w:eastAsia="Calibri"/>
                <w:color w:val="0000FF"/>
              </w:rPr>
              <w:t>154</w:t>
            </w:r>
            <w:r w:rsidR="002E6DF0" w:rsidRPr="00001224">
              <w:rPr>
                <w:rStyle w:val="KonuBalChar"/>
                <w:rFonts w:eastAsia="Calibri"/>
                <w:color w:val="0000FF"/>
              </w:rPr>
              <w:t xml:space="preserve"> üncü</w:t>
            </w:r>
            <w:r w:rsidR="009114AC" w:rsidRPr="00A23740">
              <w:rPr>
                <w:rStyle w:val="MaviChar"/>
                <w:lang w:val="tr-TR"/>
              </w:rPr>
              <w:t xml:space="preserve"> </w:t>
            </w:r>
            <w:r w:rsidR="002F796B" w:rsidRPr="00A23740">
              <w:rPr>
                <w:rStyle w:val="MaviChar"/>
                <w:lang w:val="tr-TR"/>
              </w:rPr>
              <w:t xml:space="preserve">maddeye </w:t>
            </w:r>
            <w:r w:rsidR="002F796B" w:rsidRPr="00A23740">
              <w:rPr>
                <w:rStyle w:val="MaviChar"/>
                <w:bCs w:val="0"/>
                <w:lang w:val="tr-TR"/>
              </w:rPr>
              <w:t xml:space="preserve">göre mal </w:t>
            </w:r>
            <w:r w:rsidR="002F796B" w:rsidRPr="00A23740">
              <w:rPr>
                <w:rStyle w:val="MaviChar"/>
                <w:lang w:val="tr-TR"/>
              </w:rPr>
              <w:t xml:space="preserve">beyanında </w:t>
            </w:r>
            <w:r w:rsidR="002F796B" w:rsidRPr="00A23740">
              <w:rPr>
                <w:rStyle w:val="MaviChar"/>
                <w:bCs w:val="0"/>
                <w:lang w:val="tr-TR"/>
              </w:rPr>
              <w:t>bulunması</w:t>
            </w:r>
            <w:r w:rsidR="002F796B" w:rsidRPr="00A23740">
              <w:rPr>
                <w:rStyle w:val="MaviChar"/>
                <w:lang w:val="tr-TR"/>
              </w:rPr>
              <w:t xml:space="preserve"> gerektiği; aksi takdirde </w:t>
            </w:r>
            <w:r w:rsidR="002E6DF0" w:rsidRPr="00001224">
              <w:rPr>
                <w:rStyle w:val="KonuBalChar"/>
                <w:rFonts w:eastAsia="Calibri"/>
                <w:color w:val="0000FF"/>
              </w:rPr>
              <w:t>511 inci</w:t>
            </w:r>
            <w:r w:rsidR="002E6DF0" w:rsidRPr="00001224">
              <w:rPr>
                <w:rStyle w:val="MaviChar"/>
                <w:lang w:val="tr-TR"/>
              </w:rPr>
              <w:t xml:space="preserve"> </w:t>
            </w:r>
            <w:r w:rsidR="002F796B" w:rsidRPr="00A23740">
              <w:rPr>
                <w:rStyle w:val="MaviChar"/>
                <w:lang w:val="tr-TR"/>
              </w:rPr>
              <w:t xml:space="preserve">maddenin birinci fıkrası uyarınca </w:t>
            </w:r>
            <w:r w:rsidR="00C207DB" w:rsidRPr="00A23740">
              <w:rPr>
                <w:rStyle w:val="MaviChar"/>
                <w:lang w:val="tr-TR"/>
              </w:rPr>
              <w:t>disiplin hapsi</w:t>
            </w:r>
            <w:r w:rsidR="0005714A" w:rsidRPr="00001224">
              <w:rPr>
                <w:rStyle w:val="MaviChar"/>
                <w:lang w:val="tr-TR"/>
              </w:rPr>
              <w:t>yle</w:t>
            </w:r>
            <w:r w:rsidR="00C207DB" w:rsidRPr="00A23740">
              <w:rPr>
                <w:rStyle w:val="MaviChar"/>
                <w:lang w:val="tr-TR"/>
              </w:rPr>
              <w:t xml:space="preserve"> </w:t>
            </w:r>
            <w:r w:rsidR="002F796B" w:rsidRPr="00A23740">
              <w:rPr>
                <w:rStyle w:val="MaviChar"/>
                <w:lang w:val="tr-TR"/>
              </w:rPr>
              <w:t>cezalandırılacağı.</w:t>
            </w:r>
          </w:p>
          <w:p w:rsidR="009814A3" w:rsidRPr="00A23740" w:rsidRDefault="009814A3" w:rsidP="000C282A">
            <w:pPr>
              <w:widowControl w:val="0"/>
              <w:tabs>
                <w:tab w:val="left" w:pos="567"/>
              </w:tabs>
              <w:rPr>
                <w:b/>
                <w:bCs/>
                <w:color w:val="0000FF"/>
                <w:szCs w:val="24"/>
                <w:lang w:eastAsia="x-none"/>
              </w:rPr>
            </w:pPr>
          </w:p>
          <w:p w:rsidR="002F796B" w:rsidRPr="00A23740" w:rsidRDefault="009814A3" w:rsidP="000C282A">
            <w:pPr>
              <w:widowControl w:val="0"/>
              <w:tabs>
                <w:tab w:val="left" w:pos="567"/>
              </w:tabs>
              <w:rPr>
                <w:rStyle w:val="MaviChar"/>
              </w:rPr>
            </w:pPr>
            <w:r w:rsidRPr="00A23740">
              <w:rPr>
                <w:b/>
                <w:bCs/>
                <w:color w:val="0000FF"/>
                <w:szCs w:val="24"/>
                <w:lang w:eastAsia="x-none"/>
              </w:rPr>
              <w:t xml:space="preserve">i) </w:t>
            </w:r>
            <w:r w:rsidR="002F796B" w:rsidRPr="00A23740">
              <w:rPr>
                <w:rStyle w:val="MaviChar"/>
                <w:lang w:val="tr-TR"/>
              </w:rPr>
              <w:t xml:space="preserve">Borçlunun, icra </w:t>
            </w:r>
            <w:r w:rsidR="002F796B" w:rsidRPr="00A23740">
              <w:rPr>
                <w:rStyle w:val="MaviChar"/>
              </w:rPr>
              <w:t>ve iflas</w:t>
            </w:r>
            <w:r w:rsidR="002F796B" w:rsidRPr="00A23740">
              <w:rPr>
                <w:rStyle w:val="MaviChar"/>
                <w:lang w:val="tr-TR"/>
              </w:rPr>
              <w:t xml:space="preserve"> dairesine </w:t>
            </w:r>
            <w:r w:rsidR="002F796B" w:rsidRPr="00A23740">
              <w:rPr>
                <w:rStyle w:val="MaviChar"/>
              </w:rPr>
              <w:t xml:space="preserve">yaptığı </w:t>
            </w:r>
            <w:r w:rsidR="002F796B" w:rsidRPr="00A23740">
              <w:rPr>
                <w:rStyle w:val="MaviChar"/>
                <w:lang w:val="tr-TR"/>
              </w:rPr>
              <w:t xml:space="preserve">mal </w:t>
            </w:r>
            <w:r w:rsidR="002F796B" w:rsidRPr="00A23740">
              <w:rPr>
                <w:rStyle w:val="MaviChar"/>
                <w:bCs w:val="0"/>
              </w:rPr>
              <w:t>beyanında</w:t>
            </w:r>
            <w:r w:rsidR="002F796B" w:rsidRPr="00A23740">
              <w:rPr>
                <w:rStyle w:val="MaviChar"/>
                <w:lang w:val="tr-TR"/>
              </w:rPr>
              <w:t xml:space="preserve"> </w:t>
            </w:r>
            <w:r w:rsidR="002F796B" w:rsidRPr="00A23740">
              <w:rPr>
                <w:rStyle w:val="MaviChar"/>
              </w:rPr>
              <w:t>malı olmadığını</w:t>
            </w:r>
            <w:r w:rsidR="002F796B" w:rsidRPr="00A23740">
              <w:rPr>
                <w:rFonts w:eastAsia="Times New Roman"/>
                <w:b/>
                <w:color w:val="0000FF"/>
                <w:szCs w:val="24"/>
                <w:lang w:eastAsia="tr-TR"/>
              </w:rPr>
              <w:t xml:space="preserve"> </w:t>
            </w:r>
            <w:r w:rsidR="002F796B" w:rsidRPr="00A23740">
              <w:rPr>
                <w:rStyle w:val="MaviChar"/>
              </w:rPr>
              <w:t>bildirmesi veya borcuna yetecek malı göstermemesi ya da mal beyanından kaçınması h</w:t>
            </w:r>
            <w:r w:rsidR="003C6A26" w:rsidRPr="00A23740">
              <w:rPr>
                <w:rStyle w:val="MaviChar"/>
                <w:lang w:val="tr-TR"/>
              </w:rPr>
              <w:t>â</w:t>
            </w:r>
            <w:r w:rsidR="002F796B" w:rsidRPr="00A23740">
              <w:rPr>
                <w:rStyle w:val="MaviChar"/>
              </w:rPr>
              <w:t>linde</w:t>
            </w:r>
            <w:r w:rsidR="003C6A26" w:rsidRPr="00A23740">
              <w:rPr>
                <w:rStyle w:val="MaviChar"/>
                <w:lang w:val="tr-TR"/>
              </w:rPr>
              <w:t>,</w:t>
            </w:r>
            <w:r w:rsidR="002F796B" w:rsidRPr="00A23740">
              <w:rPr>
                <w:rStyle w:val="MaviChar"/>
              </w:rPr>
              <w:t xml:space="preserve"> sonradan kazandığı malları ile kazancında ve gelirinde ortaya çıkan artışları kazanma veya artış tarihinden itibaren iki hafta içinde </w:t>
            </w:r>
            <w:r w:rsidR="002E6DF0" w:rsidRPr="00001224">
              <w:rPr>
                <w:rStyle w:val="KonuBalChar"/>
                <w:rFonts w:eastAsia="Calibri"/>
                <w:color w:val="0000FF"/>
              </w:rPr>
              <w:t>154</w:t>
            </w:r>
            <w:r w:rsidR="002E6DF0" w:rsidRPr="00A23740">
              <w:rPr>
                <w:rStyle w:val="KonuBalChar"/>
                <w:rFonts w:eastAsia="Calibri"/>
              </w:rPr>
              <w:t xml:space="preserve"> </w:t>
            </w:r>
            <w:r w:rsidR="002E6DF0" w:rsidRPr="00001224">
              <w:rPr>
                <w:rStyle w:val="KonuBalChar"/>
                <w:rFonts w:eastAsia="Calibri"/>
                <w:color w:val="0000FF"/>
              </w:rPr>
              <w:t>üncü</w:t>
            </w:r>
            <w:r w:rsidR="002E6DF0" w:rsidRPr="00A23740">
              <w:rPr>
                <w:rStyle w:val="KIRMIZIChar"/>
                <w:rFonts w:eastAsia="Calibri"/>
                <w:strike w:val="0"/>
              </w:rPr>
              <w:t xml:space="preserve"> </w:t>
            </w:r>
            <w:r w:rsidR="002F796B" w:rsidRPr="00A23740">
              <w:rPr>
                <w:rStyle w:val="MaviChar"/>
              </w:rPr>
              <w:t xml:space="preserve">maddeye göre icra </w:t>
            </w:r>
            <w:r w:rsidR="00B73523" w:rsidRPr="00001224">
              <w:rPr>
                <w:b/>
                <w:color w:val="0000FF"/>
              </w:rPr>
              <w:t>ve iflas</w:t>
            </w:r>
            <w:r w:rsidR="00B73523" w:rsidRPr="00A23740">
              <w:rPr>
                <w:b/>
                <w:bCs/>
                <w:color w:val="0000FF"/>
                <w:szCs w:val="24"/>
                <w:lang w:val="x-none" w:eastAsia="x-none"/>
              </w:rPr>
              <w:t xml:space="preserve"> </w:t>
            </w:r>
            <w:r w:rsidR="002F796B" w:rsidRPr="00A23740">
              <w:rPr>
                <w:rStyle w:val="MaviChar"/>
              </w:rPr>
              <w:t xml:space="preserve">dairesine bildirmesi gerektiği; aksi takdirde </w:t>
            </w:r>
            <w:r w:rsidR="002E6DF0" w:rsidRPr="00001224">
              <w:rPr>
                <w:rStyle w:val="KonuBalChar"/>
                <w:rFonts w:eastAsia="Calibri"/>
                <w:color w:val="0000FF"/>
              </w:rPr>
              <w:t>511</w:t>
            </w:r>
            <w:r w:rsidR="002E6DF0" w:rsidRPr="00A23740">
              <w:rPr>
                <w:rStyle w:val="KonuBalChar"/>
                <w:rFonts w:eastAsia="Calibri"/>
              </w:rPr>
              <w:t xml:space="preserve"> </w:t>
            </w:r>
            <w:r w:rsidR="002E6DF0" w:rsidRPr="00001224">
              <w:rPr>
                <w:rStyle w:val="KonuBalChar"/>
                <w:rFonts w:eastAsia="Calibri"/>
                <w:color w:val="0000FF"/>
              </w:rPr>
              <w:t>inci</w:t>
            </w:r>
            <w:r w:rsidR="002E6DF0" w:rsidRPr="00A23740">
              <w:rPr>
                <w:rStyle w:val="MaviChar"/>
                <w:lang w:val="tr-TR"/>
              </w:rPr>
              <w:t xml:space="preserve"> </w:t>
            </w:r>
            <w:r w:rsidR="002F796B" w:rsidRPr="00A23740">
              <w:rPr>
                <w:rStyle w:val="MaviChar"/>
              </w:rPr>
              <w:t xml:space="preserve">maddenin ikinci fıkrası uyarınca </w:t>
            </w:r>
            <w:r w:rsidR="00C207DB" w:rsidRPr="00A23740">
              <w:rPr>
                <w:rStyle w:val="MaviChar"/>
                <w:lang w:val="tr-TR"/>
              </w:rPr>
              <w:t>disiplin hapsi</w:t>
            </w:r>
            <w:r w:rsidR="0005714A" w:rsidRPr="00001224">
              <w:rPr>
                <w:rStyle w:val="MaviChar"/>
                <w:lang w:val="tr-TR"/>
              </w:rPr>
              <w:t>yle</w:t>
            </w:r>
            <w:r w:rsidR="00C207DB" w:rsidRPr="00A23740">
              <w:rPr>
                <w:rStyle w:val="MaviChar"/>
                <w:lang w:val="tr-TR"/>
              </w:rPr>
              <w:t xml:space="preserve"> </w:t>
            </w:r>
            <w:r w:rsidR="002F796B" w:rsidRPr="00A23740">
              <w:rPr>
                <w:rStyle w:val="MaviChar"/>
              </w:rPr>
              <w:t>cezalandırılacağı; gerçeğe</w:t>
            </w:r>
            <w:r w:rsidR="002F796B" w:rsidRPr="00A23740">
              <w:rPr>
                <w:rStyle w:val="MaviChar"/>
                <w:bCs w:val="0"/>
              </w:rPr>
              <w:t xml:space="preserve"> </w:t>
            </w:r>
            <w:r w:rsidR="002F796B" w:rsidRPr="00A23740">
              <w:rPr>
                <w:rStyle w:val="MaviChar"/>
              </w:rPr>
              <w:t>aykırı bildirimde bulunması h</w:t>
            </w:r>
            <w:r w:rsidR="003C6A26" w:rsidRPr="00A23740">
              <w:rPr>
                <w:rStyle w:val="MaviChar"/>
                <w:lang w:val="tr-TR"/>
              </w:rPr>
              <w:t>â</w:t>
            </w:r>
            <w:r w:rsidR="002F796B" w:rsidRPr="00A23740">
              <w:rPr>
                <w:rStyle w:val="MaviChar"/>
              </w:rPr>
              <w:t>linde ise</w:t>
            </w:r>
            <w:r w:rsidR="003C6A26" w:rsidRPr="00A23740">
              <w:rPr>
                <w:rStyle w:val="MaviChar"/>
                <w:lang w:val="tr-TR"/>
              </w:rPr>
              <w:t>,</w:t>
            </w:r>
            <w:r w:rsidR="002F796B" w:rsidRPr="00A23740">
              <w:rPr>
                <w:rStyle w:val="MaviChar"/>
              </w:rPr>
              <w:t xml:space="preserve"> </w:t>
            </w:r>
            <w:r w:rsidR="002E6DF0" w:rsidRPr="00001224">
              <w:rPr>
                <w:rStyle w:val="KonuBalChar"/>
                <w:rFonts w:eastAsia="Calibri"/>
                <w:color w:val="0000FF"/>
              </w:rPr>
              <w:t>518 inci</w:t>
            </w:r>
            <w:r w:rsidR="002E6DF0" w:rsidRPr="00A23740">
              <w:rPr>
                <w:rStyle w:val="MaviChar"/>
                <w:lang w:val="tr-TR"/>
              </w:rPr>
              <w:t xml:space="preserve"> </w:t>
            </w:r>
            <w:r w:rsidR="002F796B" w:rsidRPr="00A23740">
              <w:rPr>
                <w:rStyle w:val="MaviChar"/>
              </w:rPr>
              <w:t>madde uyarınca hapis cezası</w:t>
            </w:r>
            <w:r w:rsidR="0005714A" w:rsidRPr="00001224">
              <w:rPr>
                <w:rStyle w:val="MaviChar"/>
              </w:rPr>
              <w:t>yla</w:t>
            </w:r>
            <w:r w:rsidR="002F796B" w:rsidRPr="00A23740">
              <w:rPr>
                <w:rStyle w:val="MaviChar"/>
              </w:rPr>
              <w:t xml:space="preserve"> cezalandırılacağı.</w:t>
            </w:r>
          </w:p>
          <w:p w:rsidR="002E0173" w:rsidRPr="00A23740" w:rsidRDefault="002E0173" w:rsidP="000C282A">
            <w:pPr>
              <w:widowControl w:val="0"/>
              <w:outlineLvl w:val="1"/>
              <w:rPr>
                <w:rFonts w:eastAsia="Times New Roman"/>
                <w:b/>
                <w:color w:val="FF0000"/>
                <w:szCs w:val="24"/>
                <w:lang w:val="x-none" w:eastAsia="x-none"/>
              </w:rPr>
            </w:pPr>
          </w:p>
          <w:p w:rsidR="002E0173" w:rsidRPr="00A23740" w:rsidRDefault="002E0173" w:rsidP="000C282A">
            <w:pPr>
              <w:widowControl w:val="0"/>
              <w:tabs>
                <w:tab w:val="left" w:pos="567"/>
              </w:tabs>
              <w:rPr>
                <w:b/>
                <w:bCs/>
                <w:color w:val="0000FF"/>
                <w:szCs w:val="24"/>
                <w:lang w:eastAsia="x-none"/>
              </w:rPr>
            </w:pPr>
            <w:r w:rsidRPr="00A23740">
              <w:rPr>
                <w:b/>
                <w:bCs/>
                <w:color w:val="0000FF"/>
                <w:szCs w:val="24"/>
                <w:lang w:eastAsia="x-none"/>
              </w:rPr>
              <w:t>(4) Alacaklı genel hükümler çerçevesinde dava açarsa,</w:t>
            </w:r>
            <w:r w:rsidR="00352B1D" w:rsidRPr="00A23740">
              <w:rPr>
                <w:b/>
                <w:bCs/>
                <w:color w:val="0000FF"/>
                <w:szCs w:val="24"/>
                <w:lang w:eastAsia="x-none"/>
              </w:rPr>
              <w:t xml:space="preserve"> </w:t>
            </w:r>
            <w:r w:rsidRPr="00A23740">
              <w:rPr>
                <w:b/>
                <w:bCs/>
                <w:color w:val="0000FF"/>
                <w:szCs w:val="24"/>
                <w:lang w:eastAsia="x-none"/>
              </w:rPr>
              <w:t>tahliye ihtarlı ödeme emri Türk Borçlar Kanununun 315 ve 362 nci maddelerinde yazılı ihtar yerine geçer.</w:t>
            </w:r>
          </w:p>
          <w:p w:rsidR="00AA5C8C" w:rsidRDefault="00AA5C8C" w:rsidP="000C282A">
            <w:pPr>
              <w:widowControl w:val="0"/>
              <w:tabs>
                <w:tab w:val="left" w:pos="567"/>
              </w:tabs>
              <w:rPr>
                <w:b/>
                <w:szCs w:val="24"/>
              </w:rPr>
            </w:pPr>
          </w:p>
          <w:p w:rsidR="000C282A" w:rsidRDefault="000C282A" w:rsidP="000C282A">
            <w:pPr>
              <w:widowControl w:val="0"/>
              <w:tabs>
                <w:tab w:val="left" w:pos="567"/>
              </w:tabs>
              <w:rPr>
                <w:b/>
                <w:szCs w:val="24"/>
              </w:rPr>
            </w:pPr>
          </w:p>
          <w:p w:rsidR="000C282A" w:rsidRDefault="000C282A" w:rsidP="000C282A">
            <w:pPr>
              <w:widowControl w:val="0"/>
              <w:tabs>
                <w:tab w:val="left" w:pos="567"/>
              </w:tabs>
              <w:rPr>
                <w:b/>
                <w:szCs w:val="24"/>
              </w:rPr>
            </w:pPr>
          </w:p>
          <w:p w:rsidR="000C282A" w:rsidRDefault="000C282A" w:rsidP="000C282A">
            <w:pPr>
              <w:widowControl w:val="0"/>
              <w:tabs>
                <w:tab w:val="left" w:pos="567"/>
              </w:tabs>
              <w:rPr>
                <w:b/>
                <w:szCs w:val="24"/>
              </w:rPr>
            </w:pPr>
          </w:p>
          <w:p w:rsidR="000C282A" w:rsidRPr="00A23740" w:rsidRDefault="000C282A" w:rsidP="000C282A">
            <w:pPr>
              <w:widowControl w:val="0"/>
              <w:tabs>
                <w:tab w:val="left" w:pos="567"/>
              </w:tabs>
              <w:rPr>
                <w:b/>
                <w:szCs w:val="24"/>
              </w:rPr>
            </w:pPr>
          </w:p>
        </w:tc>
      </w:tr>
      <w:tr w:rsidR="00A474B8" w:rsidRPr="00A23740" w:rsidTr="009431FF">
        <w:tc>
          <w:tcPr>
            <w:tcW w:w="5000" w:type="pct"/>
            <w:gridSpan w:val="2"/>
            <w:shd w:val="clear" w:color="auto" w:fill="DEEAF6"/>
          </w:tcPr>
          <w:p w:rsidR="007B238E" w:rsidRPr="00A23740" w:rsidRDefault="00A474B8" w:rsidP="009431FF">
            <w:pPr>
              <w:keepNext/>
              <w:ind w:firstLine="709"/>
              <w:outlineLvl w:val="3"/>
            </w:pPr>
            <w:r w:rsidRPr="00A23740">
              <w:rPr>
                <w:b/>
              </w:rPr>
              <w:tab/>
            </w:r>
          </w:p>
          <w:p w:rsidR="007B238E" w:rsidRPr="00A23740" w:rsidRDefault="007B238E" w:rsidP="009431FF">
            <w:pPr>
              <w:keepNext/>
              <w:ind w:firstLine="709"/>
              <w:outlineLvl w:val="3"/>
            </w:pPr>
            <w:r w:rsidRPr="00A23740">
              <w:rPr>
                <w:b/>
              </w:rPr>
              <w:t>MADDE 139-</w:t>
            </w:r>
            <w:r w:rsidRPr="00A23740">
              <w:t xml:space="preserve"> </w:t>
            </w:r>
            <w:r w:rsidRPr="00A23740">
              <w:rPr>
                <w:szCs w:val="24"/>
                <w:lang w:eastAsia="x-none"/>
              </w:rPr>
              <w:t xml:space="preserve">Maddeyle, </w:t>
            </w:r>
            <w:r w:rsidRPr="00A23740">
              <w:t xml:space="preserve">kira bedelinin ödenmemesi nedeniyle ilamsız icra yoluyla tahliyeye ilişkin ödeme emrine ilişkin esaslar ile ödeme emrinde bulunması gereken hususlar düzenlenmektedir. Hüküm, 2004 sayılı Kanunun 269 ve 269/c maddelerine kısmen karşılık gelmektedir. </w:t>
            </w:r>
          </w:p>
          <w:p w:rsidR="007B238E" w:rsidRPr="00A23740" w:rsidRDefault="007B238E" w:rsidP="009431FF">
            <w:pPr>
              <w:keepNext/>
              <w:ind w:firstLine="709"/>
              <w:outlineLvl w:val="3"/>
            </w:pPr>
            <w:r w:rsidRPr="00A23740">
              <w:t>Birinci fıkrayla, borçluya gönderilecek ödeme emrine ilişkin esaslar belirlenmektedir. Buna göre, takip talebinin Kanunda öngörülen şartları içerdiğine karar verilmesi h</w:t>
            </w:r>
            <w:r w:rsidR="00E54A6B" w:rsidRPr="00A23740">
              <w:t>â</w:t>
            </w:r>
            <w:r w:rsidRPr="00A23740">
              <w:t xml:space="preserve">linde icra ve iflas dairesi tarafından, tahliye ihtarlı ödeme emri düzenlenmesi, ödeme emriyle birlikte takibin dayanağı olan belgelerin borçluya tebliğ </w:t>
            </w:r>
            <w:r w:rsidR="005F5397" w:rsidRPr="00A23740">
              <w:t xml:space="preserve"> edilmesi </w:t>
            </w:r>
            <w:r w:rsidRPr="00A23740">
              <w:t>düzenlenmektedir. Ayrıca talebin kabul edilmemesi h</w:t>
            </w:r>
            <w:r w:rsidR="00E54A6B" w:rsidRPr="00A23740">
              <w:t>â</w:t>
            </w:r>
            <w:r w:rsidRPr="00A23740">
              <w:t>linde verilen kararın</w:t>
            </w:r>
            <w:r w:rsidR="00C33D08" w:rsidRPr="00A23740">
              <w:t xml:space="preserve"> </w:t>
            </w:r>
            <w:r w:rsidR="00C33D08" w:rsidRPr="00001224">
              <w:t>gerekçesiyle</w:t>
            </w:r>
            <w:r w:rsidR="00C33D08" w:rsidRPr="00A23740">
              <w:rPr>
                <w:rStyle w:val="YELChar"/>
                <w:b w:val="0"/>
              </w:rPr>
              <w:t xml:space="preserve"> </w:t>
            </w:r>
            <w:r w:rsidR="00C33D08" w:rsidRPr="00001224">
              <w:t>birlikte</w:t>
            </w:r>
            <w:r w:rsidRPr="00A23740">
              <w:t xml:space="preserve"> tutanağa yazılacağı ve </w:t>
            </w:r>
            <w:r w:rsidR="00DF22A1" w:rsidRPr="00A23740">
              <w:rPr>
                <w:szCs w:val="24"/>
              </w:rPr>
              <w:t xml:space="preserve">derhâl </w:t>
            </w:r>
            <w:r w:rsidRPr="00A23740">
              <w:t xml:space="preserve">alacaklıya tebliğ edileceği </w:t>
            </w:r>
            <w:r w:rsidR="005F5397" w:rsidRPr="00A23740">
              <w:t xml:space="preserve">açıklanmakta </w:t>
            </w:r>
            <w:r w:rsidRPr="00A23740">
              <w:t>olup, bu işlemlerin, en geç üç gün içinde yerine getirileceği hüküm altına alınmaktadır.</w:t>
            </w:r>
          </w:p>
          <w:p w:rsidR="007B238E" w:rsidRPr="00A23740" w:rsidRDefault="007B238E" w:rsidP="009431FF">
            <w:pPr>
              <w:keepNext/>
              <w:ind w:firstLine="709"/>
              <w:outlineLvl w:val="3"/>
              <w:rPr>
                <w:rFonts w:eastAsia="Times New Roman"/>
                <w:b/>
                <w:color w:val="FF0000"/>
                <w:szCs w:val="24"/>
                <w:lang w:eastAsia="tr-TR"/>
              </w:rPr>
            </w:pPr>
            <w:r w:rsidRPr="00A23740">
              <w:t>İkinci fıkra</w:t>
            </w:r>
            <w:r w:rsidR="005F5397" w:rsidRPr="00A23740">
              <w:t>da</w:t>
            </w:r>
            <w:r w:rsidRPr="00A23740">
              <w:t>, taşınmazın aile konutu olması h</w:t>
            </w:r>
            <w:r w:rsidR="00E54A6B" w:rsidRPr="00A23740">
              <w:t>â</w:t>
            </w:r>
            <w:r w:rsidRPr="00A23740">
              <w:t>linde, tahliye talepli icra takibinin yapıldığı hususunun borçlunun eşine bir ihbarnameyle tebliğ edilmesi gerektiği belirtilmektedir. Aile konutunun eşlerin bütün yaşam faaliyetlerini gerçekleştirdiği bir mekân olduğu dikkate alındığında, hüküm uyarınca, aile konutu olarak kullanılan konutun kira borcunun ödenmemesi h</w:t>
            </w:r>
            <w:r w:rsidR="00E54A6B" w:rsidRPr="00A23740">
              <w:t>â</w:t>
            </w:r>
            <w:r w:rsidRPr="00A23740">
              <w:t>linde kira sözleşmesinin sona ereceği, buna bağlı olarak tahliye edileceği ve sonuçta ailenin zarar görebileceği için düzenlemeyle, tahliye sürecinden diğer eşin haberdar edilmesi amaçlanmaktadır. 6098 sayılı</w:t>
            </w:r>
            <w:r w:rsidR="006F16CF" w:rsidRPr="00A23740">
              <w:t xml:space="preserve"> </w:t>
            </w:r>
            <w:r w:rsidR="006F16CF" w:rsidRPr="00001224">
              <w:rPr>
                <w:bCs/>
              </w:rPr>
              <w:t>Kanunun</w:t>
            </w:r>
            <w:r w:rsidRPr="00A23740">
              <w:rPr>
                <w:b/>
              </w:rPr>
              <w:t xml:space="preserve"> </w:t>
            </w:r>
            <w:r w:rsidRPr="00A23740">
              <w:t>349 uncu maddesinin üçüncü fıkrasına göre</w:t>
            </w:r>
            <w:r w:rsidR="005F5397" w:rsidRPr="00A23740">
              <w:t>,</w:t>
            </w:r>
            <w:r w:rsidRPr="00A23740">
              <w:t xml:space="preserve"> </w:t>
            </w:r>
            <w:r w:rsidRPr="00A23740">
              <w:rPr>
                <w:color w:val="000000"/>
              </w:rPr>
              <w:t>kiracı olmayan eşin, kiraya verene bildirimde bulunarak kira sözleşmesinin tarafı sıfatını kazanması hâlindekiraya veren, fesih bildirimi</w:t>
            </w:r>
            <w:r w:rsidR="005F5397" w:rsidRPr="00A23740">
              <w:rPr>
                <w:color w:val="000000"/>
              </w:rPr>
              <w:t>yle</w:t>
            </w:r>
            <w:r w:rsidRPr="00A23740">
              <w:rPr>
                <w:color w:val="000000"/>
              </w:rPr>
              <w:t xml:space="preserve"> fesih ihtarına bağlı bir ödeme süresini kiracıya ve eşine ayrı ayrı bildirmek zorundadır. Bu hüküm kapsamında, </w:t>
            </w:r>
            <w:r w:rsidRPr="00A23740">
              <w:t>eşin kiracılık sıfatını kazanması h</w:t>
            </w:r>
            <w:r w:rsidR="00E54A6B" w:rsidRPr="00A23740">
              <w:t>â</w:t>
            </w:r>
            <w:r w:rsidRPr="00A23740">
              <w:t>linde fıkrada belirtilen ihbarname değil</w:t>
            </w:r>
            <w:r w:rsidR="005F5397" w:rsidRPr="00A23740">
              <w:t>,</w:t>
            </w:r>
            <w:r w:rsidRPr="00A23740">
              <w:t xml:space="preserve"> doğrudan doğruya ödeme emrinin eşe de tebliğ edilmesi gerekmektedir. Zira bu durumda eşler arasında zorunlu takip arkadaşlığı bulunmaktadır.</w:t>
            </w:r>
          </w:p>
          <w:p w:rsidR="007B238E" w:rsidRPr="00A23740" w:rsidRDefault="007B238E" w:rsidP="009431FF">
            <w:pPr>
              <w:keepNext/>
              <w:ind w:firstLine="709"/>
              <w:outlineLvl w:val="3"/>
            </w:pPr>
            <w:r w:rsidRPr="00A23740">
              <w:t>Üçüncü fıkrayla, ödeme emrinde bulunması gereken hususlar bentler h</w:t>
            </w:r>
            <w:r w:rsidR="00E54A6B" w:rsidRPr="00A23740">
              <w:t>â</w:t>
            </w:r>
            <w:r w:rsidRPr="00A23740">
              <w:t>linde ve açıkça yeniden düzenlenmektedir.</w:t>
            </w:r>
          </w:p>
          <w:p w:rsidR="007B238E" w:rsidRPr="00A23740" w:rsidRDefault="007B238E" w:rsidP="009431FF">
            <w:pPr>
              <w:keepNext/>
              <w:ind w:firstLine="709"/>
              <w:outlineLvl w:val="3"/>
            </w:pPr>
            <w:r w:rsidRPr="00A23740">
              <w:t>(a), (b) ve (c) bentlerinde, ödeme emrine yazılması gereken kayıtlar ile icra ve iflas dairesinin banka hesap numarasına ilişkin bilgiler yer almaktadır.</w:t>
            </w:r>
          </w:p>
          <w:p w:rsidR="007B238E" w:rsidRPr="00A23740" w:rsidRDefault="007B238E" w:rsidP="009431FF">
            <w:pPr>
              <w:keepNext/>
              <w:ind w:firstLine="709"/>
              <w:outlineLvl w:val="3"/>
            </w:pPr>
            <w:r w:rsidRPr="00A23740">
              <w:t>(ç) bendinde,</w:t>
            </w:r>
            <w:r w:rsidRPr="00A23740">
              <w:rPr>
                <w:bCs/>
                <w:szCs w:val="24"/>
                <w:lang w:eastAsia="x-none"/>
              </w:rPr>
              <w:t xml:space="preserve"> para alacakları bakımından yazılması gereken hususlar yer almaktadır. 2004 sayılı Kanunda düzenlendiği gibi alacağın Türk parasıyla tutarının ve faizle ilgili taleplerin takip talebine yazılması zorunluluğu devam etmektedir. </w:t>
            </w:r>
            <w:r w:rsidRPr="00A23740">
              <w:t>Ancak</w:t>
            </w:r>
            <w:r w:rsidRPr="00A23740">
              <w:rPr>
                <w:b/>
                <w:bCs/>
                <w:color w:val="0000FF"/>
                <w:szCs w:val="24"/>
                <w:lang w:eastAsia="x-none"/>
              </w:rPr>
              <w:t xml:space="preserve"> </w:t>
            </w:r>
            <w:r w:rsidRPr="00A23740">
              <w:t>yabancılık unsuru içermeyen sözleşmelerde yabancı para üzerinden edimlerin belirlenmesi kural olarak caiz olmamakla birlikte</w:t>
            </w:r>
            <w:r w:rsidR="00FC4E96" w:rsidRPr="00A23740">
              <w:t>,</w:t>
            </w:r>
            <w:r w:rsidRPr="00A23740">
              <w:t xml:space="preserve"> istisnai </w:t>
            </w:r>
            <w:r w:rsidR="00FC4E96" w:rsidRPr="00A23740">
              <w:t xml:space="preserve"> durumlar </w:t>
            </w:r>
            <w:r w:rsidRPr="00A23740">
              <w:t>dikkate alınarak bu bentte yabancı paraya ilişkin ibareler muhafaza edilmektedir.</w:t>
            </w:r>
          </w:p>
          <w:p w:rsidR="007B238E" w:rsidRPr="00A23740" w:rsidRDefault="007B238E" w:rsidP="009431FF">
            <w:pPr>
              <w:keepNext/>
              <w:ind w:firstLine="709"/>
              <w:outlineLvl w:val="3"/>
            </w:pPr>
            <w:r w:rsidRPr="00A23740">
              <w:t xml:space="preserve">(d) bendinde, </w:t>
            </w:r>
            <w:r w:rsidR="006F16CF" w:rsidRPr="00001224">
              <w:rPr>
                <w:bCs/>
              </w:rPr>
              <w:t>6098 sayılı Kanunun</w:t>
            </w:r>
            <w:r w:rsidRPr="00001224">
              <w:t xml:space="preserve"> </w:t>
            </w:r>
            <w:r w:rsidRPr="00A23740">
              <w:t>315 ve 362 nci maddelerine göre konut ve çatılı iş yeri kiralarında otuz gün, ürün kiralarında altmış gün, diğer kiralarda ise on gün içinde kira bedelinin ve sözleşmeyle üstlenilen yan giderlerin ödeme emrinde yazılı olan banka hesabına ödenmesi gerektiği belirtilmektedir.</w:t>
            </w:r>
          </w:p>
          <w:p w:rsidR="007B238E" w:rsidRPr="00A23740" w:rsidRDefault="007B238E" w:rsidP="00DE193E">
            <w:pPr>
              <w:rPr>
                <w:strike/>
                <w:color w:val="000000"/>
              </w:rPr>
            </w:pPr>
            <w:r w:rsidRPr="00A23740">
              <w:rPr>
                <w:lang w:val="x-none"/>
              </w:rPr>
              <w:tab/>
            </w:r>
            <w:r w:rsidRPr="00A23740">
              <w:t xml:space="preserve">Taslakta süreler hafta veya ay olarak düzenlenmektedir. Ancak hükmün maddi hukukta karşılığı olan </w:t>
            </w:r>
            <w:r w:rsidR="006F16CF" w:rsidRPr="00001224">
              <w:rPr>
                <w:bCs/>
              </w:rPr>
              <w:t>6098 sayılı Kanunun</w:t>
            </w:r>
            <w:r w:rsidRPr="00A23740">
              <w:t xml:space="preserve"> ilgili maddelerinde süreler gün olarak düzenlendiğinden</w:t>
            </w:r>
            <w:r w:rsidR="00FC4E96" w:rsidRPr="00A23740">
              <w:t>,</w:t>
            </w:r>
            <w:r w:rsidRPr="00A23740">
              <w:t xml:space="preserve"> bu hükümlere uyum sağlamak amacıyla fıkrada münferit olarak ödeme süreleri gün olarak</w:t>
            </w:r>
            <w:r w:rsidR="00FC4E96" w:rsidRPr="00A23740">
              <w:t xml:space="preserve"> düzenlenmiştir</w:t>
            </w:r>
            <w:r w:rsidRPr="00A23740">
              <w:t xml:space="preserve">. Öte yandan (d) bendinde, borçluya </w:t>
            </w:r>
            <w:r w:rsidR="006F16CF" w:rsidRPr="00001224">
              <w:rPr>
                <w:bCs/>
              </w:rPr>
              <w:t>6098 sayılı Kanunun</w:t>
            </w:r>
            <w:r w:rsidRPr="00A23740">
              <w:t xml:space="preserve"> 315 ve 362 nci maddelerinde yer verilen sürelere </w:t>
            </w:r>
            <w:r w:rsidR="00B65310" w:rsidRPr="00001224">
              <w:t xml:space="preserve">oranla </w:t>
            </w:r>
            <w:r w:rsidRPr="00A23740">
              <w:t xml:space="preserve">asgari süreyi ifade eden otuz günlük süre verilmesinin maddi hukuka aykırılık teşkil edip etmeyeceği Bilim Komisyonunda tartışılmış; bu hususun sadece ilamsız icra yolunu tercih eden alacaklının süratli </w:t>
            </w:r>
            <w:r w:rsidR="00FC4E96" w:rsidRPr="00A23740">
              <w:t xml:space="preserve">şekilde </w:t>
            </w:r>
            <w:r w:rsidRPr="00A23740">
              <w:t>tamamlanması gereken bu süreç içinde borçluya verilecek sürenin ayrıca düzenlenmesinin anılan Borçlar Kanunu hükümleriyle çelişki arz etmeyeceği görüşü ağırlık kazanmış ve fıkra metni yukarıda olduğu şekilde muhafaza edilmiştir.</w:t>
            </w:r>
            <w:r w:rsidR="00C33D08" w:rsidRPr="00A23740">
              <w:rPr>
                <w:color w:val="000000"/>
              </w:rPr>
              <w:tab/>
            </w:r>
          </w:p>
          <w:p w:rsidR="00A474B8" w:rsidRPr="00A23740" w:rsidRDefault="00A474B8" w:rsidP="009431FF">
            <w:pPr>
              <w:tabs>
                <w:tab w:val="left" w:pos="567"/>
              </w:tabs>
              <w:ind w:firstLine="709"/>
              <w:rPr>
                <w:b/>
                <w:szCs w:val="24"/>
              </w:rPr>
            </w:pPr>
          </w:p>
        </w:tc>
      </w:tr>
      <w:tr w:rsidR="00156571" w:rsidRPr="00A23740" w:rsidTr="009431FF">
        <w:tc>
          <w:tcPr>
            <w:tcW w:w="2500" w:type="pct"/>
          </w:tcPr>
          <w:p w:rsidR="00156571" w:rsidRPr="00A23740" w:rsidRDefault="00156571" w:rsidP="009431FF">
            <w:pPr>
              <w:tabs>
                <w:tab w:val="left" w:pos="567"/>
              </w:tabs>
              <w:rPr>
                <w:b/>
                <w:szCs w:val="24"/>
              </w:rPr>
            </w:pPr>
            <w:r w:rsidRPr="00A23740">
              <w:rPr>
                <w:b/>
                <w:szCs w:val="24"/>
              </w:rPr>
              <w:t>İtiraz etmemenin sonuçları</w:t>
            </w:r>
            <w:r w:rsidRPr="00A23740">
              <w:rPr>
                <w:b/>
                <w:bCs/>
                <w:strike/>
                <w:color w:val="FF0000"/>
                <w:szCs w:val="24"/>
              </w:rPr>
              <w:t>:</w:t>
            </w:r>
          </w:p>
          <w:p w:rsidR="00156571" w:rsidRPr="00A23740" w:rsidRDefault="00156571" w:rsidP="009431FF">
            <w:pPr>
              <w:tabs>
                <w:tab w:val="left" w:pos="567"/>
              </w:tabs>
              <w:rPr>
                <w:szCs w:val="24"/>
              </w:rPr>
            </w:pPr>
            <w:r w:rsidRPr="00A23740">
              <w:rPr>
                <w:b/>
                <w:bCs/>
                <w:strike/>
                <w:color w:val="FF0000"/>
                <w:szCs w:val="24"/>
              </w:rPr>
              <w:t>Madde 269/a – (1) (Ek:</w:t>
            </w:r>
            <w:r w:rsidRPr="00A23740">
              <w:rPr>
                <w:b/>
                <w:strike/>
                <w:color w:val="FF0000"/>
                <w:szCs w:val="24"/>
              </w:rPr>
              <w:t xml:space="preserve"> 18/2/1965 - 538/110 md.; Değişik: 17/7/2003-4949/65 md.)</w:t>
            </w:r>
          </w:p>
          <w:p w:rsidR="00156571" w:rsidRPr="00A23740" w:rsidRDefault="00156571" w:rsidP="009431FF">
            <w:pPr>
              <w:tabs>
                <w:tab w:val="left" w:pos="567"/>
              </w:tabs>
              <w:rPr>
                <w:szCs w:val="24"/>
              </w:rPr>
            </w:pPr>
            <w:r w:rsidRPr="00A23740">
              <w:rPr>
                <w:szCs w:val="24"/>
              </w:rPr>
              <w:t>Borçlu itiraz etme</w:t>
            </w:r>
            <w:r w:rsidRPr="00A23740">
              <w:rPr>
                <w:b/>
                <w:strike/>
                <w:color w:val="FF0000"/>
                <w:szCs w:val="24"/>
              </w:rPr>
              <w:t>z</w:t>
            </w:r>
            <w:r w:rsidRPr="00A23740">
              <w:rPr>
                <w:b/>
                <w:bCs/>
                <w:strike/>
                <w:color w:val="FF0000"/>
                <w:szCs w:val="24"/>
              </w:rPr>
              <w:t>,</w:t>
            </w:r>
            <w:r w:rsidRPr="00A23740">
              <w:rPr>
                <w:szCs w:val="24"/>
              </w:rPr>
              <w:t xml:space="preserve"> ihtar </w:t>
            </w:r>
            <w:r w:rsidRPr="00A23740">
              <w:rPr>
                <w:b/>
                <w:strike/>
                <w:color w:val="FF0000"/>
                <w:szCs w:val="24"/>
              </w:rPr>
              <w:t>müddeti</w:t>
            </w:r>
            <w:r w:rsidRPr="00A23740">
              <w:rPr>
                <w:szCs w:val="24"/>
              </w:rPr>
              <w:t xml:space="preserve"> içinde kira borcunu </w:t>
            </w:r>
            <w:r w:rsidRPr="00A23740">
              <w:rPr>
                <w:b/>
                <w:strike/>
                <w:color w:val="FF0000"/>
                <w:szCs w:val="24"/>
              </w:rPr>
              <w:t>da</w:t>
            </w:r>
            <w:r w:rsidRPr="00A23740">
              <w:rPr>
                <w:szCs w:val="24"/>
              </w:rPr>
              <w:t xml:space="preserve"> ödeme</w:t>
            </w:r>
            <w:r w:rsidRPr="00A23740">
              <w:rPr>
                <w:b/>
                <w:strike/>
                <w:color w:val="FF0000"/>
                <w:szCs w:val="24"/>
              </w:rPr>
              <w:t>zse</w:t>
            </w:r>
            <w:r w:rsidRPr="00A23740">
              <w:rPr>
                <w:szCs w:val="24"/>
              </w:rPr>
              <w:t xml:space="preserve"> ihtar </w:t>
            </w:r>
            <w:r w:rsidRPr="00A23740">
              <w:rPr>
                <w:b/>
                <w:strike/>
                <w:color w:val="FF0000"/>
                <w:szCs w:val="24"/>
              </w:rPr>
              <w:t>müddetinin</w:t>
            </w:r>
            <w:r w:rsidRPr="00A23740">
              <w:rPr>
                <w:szCs w:val="24"/>
              </w:rPr>
              <w:t xml:space="preserve"> bitim </w:t>
            </w:r>
            <w:r w:rsidRPr="00A23740">
              <w:rPr>
                <w:b/>
                <w:strike/>
                <w:color w:val="FF0000"/>
                <w:szCs w:val="24"/>
              </w:rPr>
              <w:t>tarihini takip eden altı ay</w:t>
            </w:r>
            <w:r w:rsidRPr="00A23740">
              <w:rPr>
                <w:szCs w:val="24"/>
              </w:rPr>
              <w:t xml:space="preserve"> içinde </w:t>
            </w:r>
            <w:r w:rsidRPr="00A23740">
              <w:rPr>
                <w:b/>
                <w:strike/>
                <w:color w:val="FF0000"/>
                <w:szCs w:val="24"/>
              </w:rPr>
              <w:t>alacaklının talebi üzerine</w:t>
            </w:r>
            <w:r w:rsidRPr="00A23740">
              <w:rPr>
                <w:szCs w:val="24"/>
              </w:rPr>
              <w:t xml:space="preserve"> </w:t>
            </w:r>
            <w:r w:rsidRPr="00A23740">
              <w:rPr>
                <w:rStyle w:val="KIRMIZIChar"/>
                <w:rFonts w:eastAsia="Calibri"/>
              </w:rPr>
              <w:t>icra</w:t>
            </w:r>
            <w:r w:rsidRPr="00A23740">
              <w:rPr>
                <w:szCs w:val="24"/>
              </w:rPr>
              <w:t xml:space="preserve"> mahkemesin</w:t>
            </w:r>
            <w:r w:rsidRPr="00A23740">
              <w:rPr>
                <w:b/>
                <w:strike/>
                <w:color w:val="FF0000"/>
                <w:szCs w:val="24"/>
              </w:rPr>
              <w:t>ce</w:t>
            </w:r>
            <w:r w:rsidRPr="00A23740">
              <w:rPr>
                <w:szCs w:val="24"/>
              </w:rPr>
              <w:t xml:space="preserve"> tahliyeye karar veril</w:t>
            </w:r>
            <w:r w:rsidRPr="00A23740">
              <w:rPr>
                <w:rStyle w:val="KIRMIZIChar"/>
                <w:rFonts w:eastAsia="Calibri"/>
              </w:rPr>
              <w:t>ir</w:t>
            </w:r>
            <w:r w:rsidRPr="00A23740">
              <w:rPr>
                <w:szCs w:val="24"/>
              </w:rPr>
              <w:t>.</w:t>
            </w:r>
          </w:p>
          <w:p w:rsidR="00156571" w:rsidRPr="00A23740" w:rsidRDefault="00156571" w:rsidP="009431FF">
            <w:pPr>
              <w:tabs>
                <w:tab w:val="left" w:pos="567"/>
              </w:tabs>
              <w:rPr>
                <w:b/>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trike/>
                <w:color w:val="FF0000"/>
                <w:szCs w:val="24"/>
              </w:rPr>
            </w:pPr>
          </w:p>
          <w:p w:rsidR="00156571" w:rsidRPr="00A23740" w:rsidRDefault="00156571" w:rsidP="009431FF">
            <w:pPr>
              <w:tabs>
                <w:tab w:val="left" w:pos="567"/>
              </w:tabs>
              <w:rPr>
                <w:b/>
                <w:szCs w:val="24"/>
              </w:rPr>
            </w:pPr>
          </w:p>
        </w:tc>
        <w:tc>
          <w:tcPr>
            <w:tcW w:w="2500" w:type="pct"/>
          </w:tcPr>
          <w:p w:rsidR="00AA5C8C" w:rsidRPr="00A23740" w:rsidRDefault="00AA5C8C" w:rsidP="009431FF">
            <w:pPr>
              <w:tabs>
                <w:tab w:val="left" w:pos="567"/>
              </w:tabs>
              <w:rPr>
                <w:b/>
                <w:szCs w:val="24"/>
              </w:rPr>
            </w:pPr>
            <w:r w:rsidRPr="00A23740">
              <w:rPr>
                <w:b/>
                <w:szCs w:val="24"/>
              </w:rPr>
              <w:t xml:space="preserve">İtiraz etmemenin sonuçları </w:t>
            </w:r>
            <w:r w:rsidRPr="00A23740">
              <w:rPr>
                <w:rStyle w:val="MaviChar"/>
              </w:rPr>
              <w:t>ve tahliye</w:t>
            </w:r>
          </w:p>
          <w:p w:rsidR="004769C1" w:rsidRPr="00A23740" w:rsidRDefault="00A9749A" w:rsidP="009431FF">
            <w:pPr>
              <w:tabs>
                <w:tab w:val="left" w:pos="567"/>
              </w:tabs>
              <w:rPr>
                <w:bCs/>
                <w:szCs w:val="24"/>
              </w:rPr>
            </w:pPr>
            <w:r w:rsidRPr="00A23740">
              <w:rPr>
                <w:b/>
                <w:bCs/>
                <w:color w:val="0000FF"/>
                <w:szCs w:val="24"/>
                <w:lang w:val="x-none" w:eastAsia="x-none"/>
              </w:rPr>
              <w:t>MADDE 140</w:t>
            </w:r>
            <w:r w:rsidR="004769C1" w:rsidRPr="00A23740">
              <w:rPr>
                <w:b/>
                <w:bCs/>
                <w:color w:val="0000FF"/>
                <w:szCs w:val="24"/>
                <w:lang w:val="x-none" w:eastAsia="x-none"/>
              </w:rPr>
              <w:t>- (1)</w:t>
            </w:r>
            <w:r w:rsidR="004769C1" w:rsidRPr="00A23740">
              <w:rPr>
                <w:szCs w:val="24"/>
              </w:rPr>
              <w:t xml:space="preserve"> Borçlu</w:t>
            </w:r>
            <w:r w:rsidR="004769C1" w:rsidRPr="00A23740">
              <w:rPr>
                <w:b/>
                <w:bCs/>
                <w:color w:val="0000FF"/>
                <w:szCs w:val="24"/>
                <w:lang w:val="x-none" w:eastAsia="x-none"/>
              </w:rPr>
              <w:t xml:space="preserve">nun süresi içinde ödeme emrine </w:t>
            </w:r>
            <w:r w:rsidR="004769C1" w:rsidRPr="00A23740">
              <w:rPr>
                <w:szCs w:val="24"/>
              </w:rPr>
              <w:t>itiraz etme</w:t>
            </w:r>
            <w:r w:rsidR="004769C1" w:rsidRPr="00A23740">
              <w:rPr>
                <w:b/>
                <w:bCs/>
                <w:color w:val="0000FF"/>
                <w:szCs w:val="24"/>
                <w:lang w:val="x-none" w:eastAsia="x-none"/>
              </w:rPr>
              <w:t xml:space="preserve">mesi ve </w:t>
            </w:r>
            <w:r w:rsidR="004769C1" w:rsidRPr="00A23740">
              <w:rPr>
                <w:szCs w:val="24"/>
              </w:rPr>
              <w:t xml:space="preserve">ihtar </w:t>
            </w:r>
            <w:r w:rsidR="004769C1" w:rsidRPr="00A23740">
              <w:rPr>
                <w:b/>
                <w:bCs/>
                <w:color w:val="0000FF"/>
                <w:szCs w:val="24"/>
                <w:lang w:val="x-none" w:eastAsia="x-none"/>
              </w:rPr>
              <w:t xml:space="preserve">süresi </w:t>
            </w:r>
            <w:r w:rsidR="004769C1" w:rsidRPr="00A23740">
              <w:rPr>
                <w:szCs w:val="24"/>
              </w:rPr>
              <w:t xml:space="preserve">içinde </w:t>
            </w:r>
            <w:r w:rsidR="004769C1" w:rsidRPr="00A23740">
              <w:rPr>
                <w:b/>
                <w:bCs/>
                <w:color w:val="0000FF"/>
                <w:szCs w:val="24"/>
                <w:lang w:val="x-none" w:eastAsia="x-none"/>
              </w:rPr>
              <w:t>ödeme emrindeki borcu</w:t>
            </w:r>
            <w:r w:rsidR="004769C1" w:rsidRPr="00A23740">
              <w:rPr>
                <w:szCs w:val="24"/>
              </w:rPr>
              <w:t xml:space="preserve"> ödeme</w:t>
            </w:r>
            <w:r w:rsidR="004769C1" w:rsidRPr="00A23740">
              <w:rPr>
                <w:b/>
                <w:bCs/>
                <w:color w:val="0000FF"/>
                <w:szCs w:val="24"/>
                <w:lang w:val="x-none" w:eastAsia="x-none"/>
              </w:rPr>
              <w:t>mesi h</w:t>
            </w:r>
            <w:r w:rsidR="003C6A26" w:rsidRPr="00A23740">
              <w:rPr>
                <w:b/>
                <w:bCs/>
                <w:color w:val="0000FF"/>
                <w:szCs w:val="24"/>
                <w:lang w:eastAsia="x-none"/>
              </w:rPr>
              <w:t>â</w:t>
            </w:r>
            <w:r w:rsidR="004769C1" w:rsidRPr="00A23740">
              <w:rPr>
                <w:b/>
                <w:bCs/>
                <w:color w:val="0000FF"/>
                <w:szCs w:val="24"/>
                <w:lang w:val="x-none" w:eastAsia="x-none"/>
              </w:rPr>
              <w:t>linde alacaklı, borçlunun mallarının haczini</w:t>
            </w:r>
            <w:r w:rsidR="004769C1" w:rsidRPr="00A23740">
              <w:rPr>
                <w:b/>
                <w:bCs/>
                <w:color w:val="0000FF"/>
                <w:szCs w:val="24"/>
                <w:lang w:eastAsia="x-none"/>
              </w:rPr>
              <w:t xml:space="preserve"> </w:t>
            </w:r>
            <w:r w:rsidR="004769C1" w:rsidRPr="00A23740">
              <w:rPr>
                <w:rStyle w:val="MaviChar"/>
              </w:rPr>
              <w:t xml:space="preserve">talep edebilir. Alacaklı ayrıca </w:t>
            </w:r>
            <w:r w:rsidR="004769C1" w:rsidRPr="00A23740">
              <w:rPr>
                <w:szCs w:val="24"/>
              </w:rPr>
              <w:t>ihtar</w:t>
            </w:r>
            <w:r w:rsidR="004769C1" w:rsidRPr="00A23740">
              <w:rPr>
                <w:b/>
                <w:color w:val="0000FF"/>
                <w:szCs w:val="24"/>
              </w:rPr>
              <w:t xml:space="preserve"> </w:t>
            </w:r>
            <w:r w:rsidR="004769C1" w:rsidRPr="00A23740">
              <w:rPr>
                <w:b/>
                <w:bCs/>
                <w:color w:val="0000FF"/>
                <w:szCs w:val="24"/>
                <w:lang w:val="x-none" w:eastAsia="x-none"/>
              </w:rPr>
              <w:t xml:space="preserve">süresinin </w:t>
            </w:r>
            <w:r w:rsidR="004769C1" w:rsidRPr="00A23740">
              <w:rPr>
                <w:szCs w:val="24"/>
              </w:rPr>
              <w:t>bitim</w:t>
            </w:r>
            <w:r w:rsidR="004769C1" w:rsidRPr="00A23740">
              <w:rPr>
                <w:b/>
                <w:bCs/>
                <w:color w:val="0000FF"/>
                <w:szCs w:val="24"/>
                <w:lang w:val="x-none" w:eastAsia="x-none"/>
              </w:rPr>
              <w:t xml:space="preserve">inden itibaren </w:t>
            </w:r>
            <w:r w:rsidR="004769C1" w:rsidRPr="00A23740">
              <w:rPr>
                <w:rStyle w:val="MaviChar"/>
              </w:rPr>
              <w:t xml:space="preserve">bir ay </w:t>
            </w:r>
            <w:r w:rsidR="004769C1" w:rsidRPr="00A23740">
              <w:rPr>
                <w:szCs w:val="24"/>
              </w:rPr>
              <w:t xml:space="preserve">içinde </w:t>
            </w:r>
            <w:r w:rsidR="004769C1" w:rsidRPr="00A23740">
              <w:rPr>
                <w:rStyle w:val="MaviChar"/>
              </w:rPr>
              <w:t>sulh</w:t>
            </w:r>
            <w:r w:rsidR="004769C1" w:rsidRPr="00A23740">
              <w:rPr>
                <w:szCs w:val="24"/>
              </w:rPr>
              <w:t xml:space="preserve"> </w:t>
            </w:r>
            <w:r w:rsidR="004769C1" w:rsidRPr="00A23740">
              <w:rPr>
                <w:b/>
                <w:bCs/>
                <w:color w:val="0000FF"/>
                <w:szCs w:val="24"/>
                <w:lang w:val="x-none" w:eastAsia="x-none"/>
              </w:rPr>
              <w:t>hukuk</w:t>
            </w:r>
            <w:r w:rsidR="004769C1" w:rsidRPr="00A23740">
              <w:rPr>
                <w:szCs w:val="24"/>
              </w:rPr>
              <w:t xml:space="preserve"> mahkemesin</w:t>
            </w:r>
            <w:r w:rsidR="004769C1" w:rsidRPr="00A23740">
              <w:rPr>
                <w:b/>
                <w:bCs/>
                <w:color w:val="0000FF"/>
                <w:szCs w:val="24"/>
                <w:lang w:val="x-none" w:eastAsia="x-none"/>
              </w:rPr>
              <w:t>den</w:t>
            </w:r>
            <w:r w:rsidR="004769C1" w:rsidRPr="00A23740">
              <w:rPr>
                <w:szCs w:val="24"/>
              </w:rPr>
              <w:t xml:space="preserve"> taşınmazın tahliyesine karar veril</w:t>
            </w:r>
            <w:r w:rsidR="004769C1" w:rsidRPr="00A23740">
              <w:rPr>
                <w:b/>
                <w:bCs/>
                <w:color w:val="0000FF"/>
                <w:szCs w:val="24"/>
                <w:lang w:eastAsia="x-none"/>
              </w:rPr>
              <w:t xml:space="preserve">mesini </w:t>
            </w:r>
            <w:r w:rsidR="004769C1" w:rsidRPr="00A23740">
              <w:rPr>
                <w:rStyle w:val="MaviChar"/>
              </w:rPr>
              <w:t>de</w:t>
            </w:r>
            <w:r w:rsidR="004769C1" w:rsidRPr="00A23740">
              <w:rPr>
                <w:b/>
                <w:bCs/>
                <w:color w:val="0000FF"/>
                <w:szCs w:val="24"/>
                <w:lang w:eastAsia="x-none"/>
              </w:rPr>
              <w:t xml:space="preserve"> isteyebilir</w:t>
            </w:r>
            <w:r w:rsidR="004769C1" w:rsidRPr="00A23740">
              <w:rPr>
                <w:bCs/>
                <w:szCs w:val="24"/>
              </w:rPr>
              <w:t xml:space="preserve">. </w:t>
            </w:r>
            <w:r w:rsidR="004769C1" w:rsidRPr="00A23740">
              <w:rPr>
                <w:rStyle w:val="MaviChar"/>
              </w:rPr>
              <w:t>Bu süre içinde tahliye talep edilmezse</w:t>
            </w:r>
            <w:r w:rsidR="003C6A26" w:rsidRPr="00A23740">
              <w:rPr>
                <w:rStyle w:val="MaviChar"/>
                <w:lang w:val="tr-TR"/>
              </w:rPr>
              <w:t>,</w:t>
            </w:r>
            <w:r w:rsidR="004769C1" w:rsidRPr="00A23740">
              <w:rPr>
                <w:rStyle w:val="MaviChar"/>
              </w:rPr>
              <w:t xml:space="preserve"> aynı kira alacağı bakımından </w:t>
            </w:r>
            <w:r w:rsidR="0005714A" w:rsidRPr="00001224">
              <w:rPr>
                <w:rStyle w:val="MaviChar"/>
              </w:rPr>
              <w:t>artık</w:t>
            </w:r>
            <w:r w:rsidR="0005714A" w:rsidRPr="00A23740">
              <w:rPr>
                <w:rStyle w:val="MaviChar"/>
                <w:color w:val="538135"/>
              </w:rPr>
              <w:t xml:space="preserve"> </w:t>
            </w:r>
            <w:r w:rsidR="004769C1" w:rsidRPr="00A23740">
              <w:rPr>
                <w:rStyle w:val="MaviChar"/>
              </w:rPr>
              <w:t>genel hükümlere göre de tahliye talep edilemez.</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 xml:space="preserve">(2) Mahkeme, yapacağı inceleme sonucunda süresi içinde ödeme emrine itiraz edilmediğini, borcun ödenmediğini ve tahliye ihtarının </w:t>
            </w:r>
            <w:r w:rsidR="003C6A26" w:rsidRPr="00A23740">
              <w:rPr>
                <w:b/>
                <w:bCs/>
                <w:color w:val="0000FF"/>
                <w:szCs w:val="24"/>
                <w:lang w:eastAsia="x-none"/>
              </w:rPr>
              <w:t>K</w:t>
            </w:r>
            <w:r w:rsidRPr="00A23740">
              <w:rPr>
                <w:b/>
                <w:bCs/>
                <w:color w:val="0000FF"/>
                <w:szCs w:val="24"/>
                <w:lang w:val="x-none" w:eastAsia="x-none"/>
              </w:rPr>
              <w:t>anuna uygun olduğunu tespit ederse</w:t>
            </w:r>
            <w:r w:rsidR="00A02028" w:rsidRPr="00A23740">
              <w:rPr>
                <w:b/>
                <w:bCs/>
                <w:color w:val="0000FF"/>
                <w:szCs w:val="24"/>
                <w:lang w:eastAsia="x-none"/>
              </w:rPr>
              <w:t>,</w:t>
            </w:r>
            <w:r w:rsidRPr="00A23740">
              <w:rPr>
                <w:b/>
                <w:bCs/>
                <w:color w:val="0000FF"/>
                <w:szCs w:val="24"/>
                <w:lang w:val="x-none" w:eastAsia="x-none"/>
              </w:rPr>
              <w:t xml:space="preserve"> taşınmazın tahliyesine karar verir.</w:t>
            </w:r>
          </w:p>
          <w:p w:rsidR="007C72CC" w:rsidRDefault="007C72C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(3) Mahkeme,</w:t>
            </w:r>
            <w:r w:rsidRPr="00A23740">
              <w:rPr>
                <w:b/>
                <w:bCs/>
                <w:color w:val="0000FF"/>
                <w:szCs w:val="24"/>
                <w:lang w:eastAsia="x-none"/>
              </w:rPr>
              <w:t xml:space="preserve"> </w:t>
            </w:r>
            <w:r w:rsidRPr="00A23740">
              <w:rPr>
                <w:b/>
                <w:bCs/>
                <w:color w:val="0000FF"/>
                <w:szCs w:val="24"/>
                <w:lang w:val="x-none" w:eastAsia="x-none"/>
              </w:rPr>
              <w:t>itiraz edilmemiş kira sözleşmesini ve ödeme emrinde gösterilen kira borcunun miktarını inceleme konusu yapamaz.</w:t>
            </w:r>
            <w:r w:rsidRPr="00A23740">
              <w:rPr>
                <w:b/>
                <w:bCs/>
                <w:color w:val="0000FF"/>
                <w:szCs w:val="24"/>
                <w:lang w:eastAsia="x-none"/>
              </w:rPr>
              <w:t xml:space="preserve"> </w:t>
            </w:r>
            <w:r w:rsidRPr="00A23740">
              <w:rPr>
                <w:b/>
                <w:bCs/>
                <w:color w:val="0000FF"/>
                <w:szCs w:val="24"/>
                <w:lang w:val="x-none" w:eastAsia="x-none"/>
              </w:rPr>
              <w:t>Borçlunun, tahliye ihtarlı ödeme emrinin tebliğinden önce kira borcunu ödediğini ileri sürme ve</w:t>
            </w:r>
            <w:r w:rsidRPr="00A23740">
              <w:rPr>
                <w:b/>
                <w:bCs/>
                <w:color w:val="0000FF"/>
                <w:szCs w:val="24"/>
                <w:lang w:eastAsia="x-none"/>
              </w:rPr>
              <w:t xml:space="preserve"> bunu </w:t>
            </w:r>
            <w:r w:rsidRPr="00A23740">
              <w:rPr>
                <w:rStyle w:val="MaviChar"/>
              </w:rPr>
              <w:t>takibin iptali</w:t>
            </w:r>
            <w:r w:rsidR="003C6A26" w:rsidRPr="00A23740">
              <w:rPr>
                <w:rStyle w:val="MaviChar"/>
                <w:lang w:val="tr-TR"/>
              </w:rPr>
              <w:t>ne</w:t>
            </w:r>
            <w:r w:rsidRPr="00A23740">
              <w:rPr>
                <w:rStyle w:val="MaviChar"/>
              </w:rPr>
              <w:t xml:space="preserve"> veya </w:t>
            </w:r>
            <w:r w:rsidR="003C6A26" w:rsidRPr="00A23740">
              <w:rPr>
                <w:rStyle w:val="MaviChar"/>
                <w:lang w:val="tr-TR"/>
              </w:rPr>
              <w:t xml:space="preserve">icranın </w:t>
            </w:r>
            <w:r w:rsidRPr="00A23740">
              <w:rPr>
                <w:rStyle w:val="MaviChar"/>
              </w:rPr>
              <w:t xml:space="preserve">geri bırakılmasına </w:t>
            </w:r>
            <w:r w:rsidRPr="00A23740">
              <w:rPr>
                <w:b/>
                <w:bCs/>
                <w:color w:val="0000FF"/>
                <w:szCs w:val="24"/>
                <w:lang w:val="x-none" w:eastAsia="x-none"/>
              </w:rPr>
              <w:t>ilişkin 97 nci</w:t>
            </w:r>
            <w:r w:rsidRPr="00A23740">
              <w:t xml:space="preserve"> </w:t>
            </w:r>
            <w:r w:rsidRPr="00A23740">
              <w:rPr>
                <w:b/>
                <w:bCs/>
                <w:color w:val="0000FF"/>
                <w:szCs w:val="24"/>
                <w:lang w:eastAsia="x-none"/>
              </w:rPr>
              <w:t>maddede</w:t>
            </w:r>
            <w:r w:rsidRPr="00A23740">
              <w:rPr>
                <w:rStyle w:val="MaviChar"/>
              </w:rPr>
              <w:t xml:space="preserve"> </w:t>
            </w:r>
            <w:r w:rsidRPr="00A23740">
              <w:rPr>
                <w:b/>
                <w:bCs/>
                <w:color w:val="0000FF"/>
                <w:szCs w:val="24"/>
                <w:lang w:val="x-none" w:eastAsia="x-none"/>
              </w:rPr>
              <w:t>yazılı belgelerle ispat etme hakkı saklıdır.</w:t>
            </w:r>
          </w:p>
          <w:p w:rsidR="00AA5C8C" w:rsidRPr="00A23740" w:rsidRDefault="00AA5C8C" w:rsidP="009431FF">
            <w:pPr>
              <w:pStyle w:val="KIRMIZI"/>
            </w:pPr>
          </w:p>
        </w:tc>
      </w:tr>
      <w:tr w:rsidR="00AC644B" w:rsidRPr="00A23740" w:rsidTr="009431FF">
        <w:tc>
          <w:tcPr>
            <w:tcW w:w="5000" w:type="pct"/>
            <w:gridSpan w:val="2"/>
            <w:shd w:val="clear" w:color="auto" w:fill="DEEAF6"/>
          </w:tcPr>
          <w:p w:rsidR="00AC644B" w:rsidRPr="00A23740" w:rsidRDefault="00AC644B" w:rsidP="009431FF">
            <w:pPr>
              <w:keepNext/>
              <w:ind w:firstLine="709"/>
              <w:outlineLvl w:val="3"/>
              <w:rPr>
                <w:b/>
              </w:rPr>
            </w:pPr>
            <w:r w:rsidRPr="00A23740">
              <w:rPr>
                <w:b/>
              </w:rPr>
              <w:tab/>
            </w:r>
          </w:p>
          <w:p w:rsidR="00AC644B" w:rsidRPr="00A23740" w:rsidRDefault="00A9749A" w:rsidP="009431FF">
            <w:pPr>
              <w:keepNext/>
              <w:ind w:firstLine="709"/>
              <w:outlineLvl w:val="3"/>
              <w:rPr>
                <w:szCs w:val="24"/>
                <w:lang w:eastAsia="x-none"/>
              </w:rPr>
            </w:pPr>
            <w:r w:rsidRPr="00A23740">
              <w:rPr>
                <w:b/>
              </w:rPr>
              <w:t>MADDE 140</w:t>
            </w:r>
            <w:r w:rsidR="00AC644B" w:rsidRPr="00A23740">
              <w:rPr>
                <w:b/>
              </w:rPr>
              <w:t>-</w:t>
            </w:r>
            <w:r w:rsidR="00AC644B" w:rsidRPr="00A23740">
              <w:t xml:space="preserve"> </w:t>
            </w:r>
            <w:r w:rsidR="00AC644B" w:rsidRPr="00A23740">
              <w:rPr>
                <w:szCs w:val="24"/>
                <w:lang w:eastAsia="x-none"/>
              </w:rPr>
              <w:t>Maddeyle, ödeme emrine itiraz etmemenin sonuçları ile tahliye usulü düzenlenmektedir. Hüküm, 2004 sayılı</w:t>
            </w:r>
            <w:r w:rsidR="0003770E" w:rsidRPr="00A23740">
              <w:rPr>
                <w:szCs w:val="24"/>
                <w:lang w:eastAsia="x-none"/>
              </w:rPr>
              <w:t xml:space="preserve"> Kanunun</w:t>
            </w:r>
            <w:r w:rsidR="00AC644B" w:rsidRPr="00A23740">
              <w:rPr>
                <w:szCs w:val="24"/>
                <w:lang w:eastAsia="x-none"/>
              </w:rPr>
              <w:t xml:space="preserve"> 269/a maddesine kısmen karşılık gelmektedir. </w:t>
            </w:r>
          </w:p>
          <w:p w:rsidR="00C33D08" w:rsidRPr="00A23740" w:rsidRDefault="00AC644B" w:rsidP="009431FF">
            <w:pPr>
              <w:keepNext/>
              <w:ind w:firstLine="709"/>
              <w:outlineLvl w:val="3"/>
              <w:rPr>
                <w:szCs w:val="24"/>
                <w:lang w:eastAsia="x-none"/>
              </w:rPr>
            </w:pPr>
            <w:r w:rsidRPr="00A23740">
              <w:rPr>
                <w:szCs w:val="24"/>
                <w:lang w:eastAsia="x-none"/>
              </w:rPr>
              <w:t>Birinci fıkraya</w:t>
            </w:r>
            <w:r w:rsidR="000A1EDF" w:rsidRPr="00A23740">
              <w:rPr>
                <w:szCs w:val="24"/>
                <w:lang w:eastAsia="x-none"/>
              </w:rPr>
              <w:t xml:space="preserve"> göre</w:t>
            </w:r>
            <w:r w:rsidRPr="00A23740">
              <w:rPr>
                <w:szCs w:val="24"/>
                <w:lang w:eastAsia="x-none"/>
              </w:rPr>
              <w:t>, borçlunun süresi içinde ödeme emrine itiraz etmemesi ve ihtar süresi içinde ödeme emrindeki borcu ödememesi h</w:t>
            </w:r>
            <w:r w:rsidR="00E54A6B" w:rsidRPr="00A23740">
              <w:rPr>
                <w:szCs w:val="24"/>
                <w:lang w:eastAsia="x-none"/>
              </w:rPr>
              <w:t>â</w:t>
            </w:r>
            <w:r w:rsidRPr="00A23740">
              <w:rPr>
                <w:szCs w:val="24"/>
                <w:lang w:eastAsia="x-none"/>
              </w:rPr>
              <w:t xml:space="preserve">linde alacaklı, borçlunun mallarının </w:t>
            </w:r>
            <w:r w:rsidR="000A1EDF" w:rsidRPr="00A23740">
              <w:rPr>
                <w:szCs w:val="24"/>
                <w:lang w:eastAsia="x-none"/>
              </w:rPr>
              <w:t xml:space="preserve">haczedilmesini </w:t>
            </w:r>
            <w:r w:rsidRPr="00A23740">
              <w:rPr>
                <w:szCs w:val="24"/>
                <w:lang w:eastAsia="x-none"/>
              </w:rPr>
              <w:t>talep edebilir. Alacaklı</w:t>
            </w:r>
            <w:r w:rsidR="000A1EDF" w:rsidRPr="00A23740">
              <w:rPr>
                <w:szCs w:val="24"/>
                <w:lang w:eastAsia="x-none"/>
              </w:rPr>
              <w:t>,</w:t>
            </w:r>
            <w:r w:rsidRPr="00A23740">
              <w:rPr>
                <w:szCs w:val="24"/>
                <w:lang w:eastAsia="x-none"/>
              </w:rPr>
              <w:t xml:space="preserve"> ayrıca</w:t>
            </w:r>
            <w:r w:rsidR="000A1EDF" w:rsidRPr="00A23740">
              <w:rPr>
                <w:szCs w:val="24"/>
                <w:lang w:eastAsia="x-none"/>
              </w:rPr>
              <w:t>,</w:t>
            </w:r>
            <w:r w:rsidRPr="00A23740">
              <w:rPr>
                <w:szCs w:val="24"/>
                <w:lang w:eastAsia="x-none"/>
              </w:rPr>
              <w:t xml:space="preserve"> ihtar süresinin bitiminden itibaren bir ay içinde sulh hukuk mahkemesinden taşınmazın tahliyesine karar verilmesini de isteyebilir. Bu süre içinde tahliye talep edilmezse aynı kira alacağı bakımından</w:t>
            </w:r>
            <w:r w:rsidR="00C33D08" w:rsidRPr="00A23740">
              <w:rPr>
                <w:szCs w:val="24"/>
                <w:lang w:eastAsia="x-none"/>
              </w:rPr>
              <w:t xml:space="preserve"> </w:t>
            </w:r>
            <w:r w:rsidR="00C33D08" w:rsidRPr="00001224">
              <w:rPr>
                <w:szCs w:val="24"/>
                <w:lang w:eastAsia="x-none"/>
              </w:rPr>
              <w:t>artık</w:t>
            </w:r>
            <w:r w:rsidRPr="00A23740">
              <w:rPr>
                <w:szCs w:val="24"/>
                <w:lang w:eastAsia="x-none"/>
              </w:rPr>
              <w:t xml:space="preserve"> genel hükümlere göre de tahliye talep edilemez.</w:t>
            </w:r>
            <w:r w:rsidR="00046D35" w:rsidRPr="00A23740">
              <w:rPr>
                <w:szCs w:val="24"/>
                <w:lang w:eastAsia="x-none"/>
              </w:rPr>
              <w:t xml:space="preserve"> Hükme göre, borçlu süresi içinde ödeme emrine itiraz etmez ve ihtar süresi içinde ödeme emrindeki borcu da ödemezse, alacaklı, icra </w:t>
            </w:r>
            <w:r w:rsidR="00C33D08" w:rsidRPr="00001224">
              <w:rPr>
                <w:szCs w:val="24"/>
                <w:lang w:eastAsia="x-none"/>
              </w:rPr>
              <w:t>ve iflas</w:t>
            </w:r>
            <w:r w:rsidR="00C33D08" w:rsidRPr="00A23740">
              <w:rPr>
                <w:szCs w:val="24"/>
                <w:lang w:eastAsia="x-none"/>
              </w:rPr>
              <w:t xml:space="preserve"> </w:t>
            </w:r>
            <w:r w:rsidR="00046D35" w:rsidRPr="00A23740">
              <w:rPr>
                <w:szCs w:val="24"/>
                <w:lang w:eastAsia="x-none"/>
              </w:rPr>
              <w:t xml:space="preserve">dairesinden, ödeme emrindeki miktar yönünden borçlunun mallarının haczedilmesini isteyebilir ve bilahare de Kanunun öngördüğü süre içinde satılmasını talep edebilir. Hükümle, maddi hukukta tahliye emirli gönderilerin, haklı ihtar yerine </w:t>
            </w:r>
            <w:r w:rsidR="000A1EDF" w:rsidRPr="00A23740">
              <w:rPr>
                <w:szCs w:val="24"/>
                <w:lang w:eastAsia="x-none"/>
              </w:rPr>
              <w:t>geçmesine</w:t>
            </w:r>
            <w:r w:rsidR="00046D35" w:rsidRPr="00A23740">
              <w:rPr>
                <w:szCs w:val="24"/>
                <w:lang w:eastAsia="x-none"/>
              </w:rPr>
              <w:t xml:space="preserve"> engel teşkil etmeyeceği kabul edilmektedir. </w:t>
            </w:r>
            <w:r w:rsidR="00DD4646" w:rsidRPr="00A23740">
              <w:rPr>
                <w:szCs w:val="24"/>
                <w:lang w:eastAsia="x-none"/>
              </w:rPr>
              <w:t>6325 sayılı Kanuna eklenen 18/B maddesinin birinci fırkasının (a) bendine göre</w:t>
            </w:r>
            <w:r w:rsidR="000A1EDF" w:rsidRPr="00A23740">
              <w:rPr>
                <w:szCs w:val="24"/>
                <w:lang w:eastAsia="x-none"/>
              </w:rPr>
              <w:t>,</w:t>
            </w:r>
            <w:r w:rsidR="00DD4646" w:rsidRPr="00A23740">
              <w:rPr>
                <w:szCs w:val="24"/>
                <w:lang w:eastAsia="x-none"/>
              </w:rPr>
              <w:t xml:space="preserve"> kiralanan taşınmazların 2004 sayılı Kanuna </w:t>
            </w:r>
            <w:r w:rsidR="000A1EDF" w:rsidRPr="00A23740">
              <w:rPr>
                <w:szCs w:val="24"/>
                <w:lang w:eastAsia="x-none"/>
              </w:rPr>
              <w:t xml:space="preserve">çerçevesinde </w:t>
            </w:r>
            <w:r w:rsidR="00DD4646" w:rsidRPr="00A23740">
              <w:rPr>
                <w:szCs w:val="24"/>
                <w:lang w:eastAsia="x-none"/>
              </w:rPr>
              <w:t>ilamsız icra yoluyla tahliyesine ilişkin hükümler hariç olmak üzere, kira ilişkisinden kaynaklanan uyuşmazlıklar için dava açılmadan önce arabulucuya başvurulmuş olması dava şartı h</w:t>
            </w:r>
            <w:r w:rsidR="00E54A6B" w:rsidRPr="00A23740">
              <w:rPr>
                <w:szCs w:val="24"/>
                <w:lang w:eastAsia="x-none"/>
              </w:rPr>
              <w:t>â</w:t>
            </w:r>
            <w:r w:rsidR="00DD4646" w:rsidRPr="00A23740">
              <w:rPr>
                <w:szCs w:val="24"/>
                <w:lang w:eastAsia="x-none"/>
              </w:rPr>
              <w:t>line getirilmiştir. Bu aşamada kira bedelinin ödenmemesi nedeniyle ilamsız icra yoluyla tahliye takibi için ödeme emri gönderildiğinde borçlu tarafından itiraz edilmemesi h</w:t>
            </w:r>
            <w:r w:rsidR="00E54A6B" w:rsidRPr="00A23740">
              <w:rPr>
                <w:szCs w:val="24"/>
                <w:lang w:eastAsia="x-none"/>
              </w:rPr>
              <w:t>â</w:t>
            </w:r>
            <w:r w:rsidR="00DD4646" w:rsidRPr="00A23740">
              <w:rPr>
                <w:szCs w:val="24"/>
                <w:lang w:eastAsia="x-none"/>
              </w:rPr>
              <w:t xml:space="preserve">linde sulh hukuk mahkemesinde açılacak tahliye davasında dava şartı arabuluculuğa başvurulmasına gerek olmayacaktır. Zira tahliye ihtarlı ödeme emrine rağmen </w:t>
            </w:r>
            <w:r w:rsidR="000A1EDF" w:rsidRPr="00A23740">
              <w:rPr>
                <w:szCs w:val="24"/>
                <w:lang w:eastAsia="x-none"/>
              </w:rPr>
              <w:t xml:space="preserve">bunun kiracı nezdinde bir etki yaratmaması ve </w:t>
            </w:r>
            <w:r w:rsidR="00DD4646" w:rsidRPr="00A23740">
              <w:rPr>
                <w:szCs w:val="24"/>
                <w:lang w:eastAsia="x-none"/>
              </w:rPr>
              <w:t xml:space="preserve">borçlunun borcunu ödememesi </w:t>
            </w:r>
            <w:r w:rsidR="000A1EDF" w:rsidRPr="00A23740">
              <w:rPr>
                <w:szCs w:val="24"/>
                <w:lang w:eastAsia="x-none"/>
              </w:rPr>
              <w:t xml:space="preserve"> nedeniyle </w:t>
            </w:r>
            <w:r w:rsidR="00DD4646" w:rsidRPr="00A23740">
              <w:rPr>
                <w:szCs w:val="24"/>
                <w:lang w:eastAsia="x-none"/>
              </w:rPr>
              <w:t xml:space="preserve">artık bu aşamada </w:t>
            </w:r>
            <w:r w:rsidR="000A1EDF" w:rsidRPr="00A23740">
              <w:rPr>
                <w:szCs w:val="24"/>
                <w:lang w:eastAsia="x-none"/>
              </w:rPr>
              <w:t xml:space="preserve">bir sonuca ulaşmayacağı anlaşılan </w:t>
            </w:r>
            <w:r w:rsidR="00DD4646" w:rsidRPr="00A23740">
              <w:rPr>
                <w:szCs w:val="24"/>
                <w:lang w:eastAsia="x-none"/>
              </w:rPr>
              <w:t>arabuluculuk kurumuna başvurma</w:t>
            </w:r>
            <w:r w:rsidR="000A1EDF" w:rsidRPr="00A23740">
              <w:rPr>
                <w:szCs w:val="24"/>
                <w:lang w:eastAsia="x-none"/>
              </w:rPr>
              <w:t xml:space="preserve">nın </w:t>
            </w:r>
            <w:r w:rsidR="00DD4646" w:rsidRPr="00A23740">
              <w:rPr>
                <w:szCs w:val="24"/>
                <w:lang w:eastAsia="x-none"/>
              </w:rPr>
              <w:t xml:space="preserve"> zaman kaybına neden olacağı kabul edilmektedir.</w:t>
            </w:r>
          </w:p>
          <w:p w:rsidR="00046D35" w:rsidRPr="00A23740" w:rsidRDefault="00DD4646" w:rsidP="009431FF">
            <w:pPr>
              <w:keepNext/>
              <w:ind w:firstLine="709"/>
              <w:outlineLvl w:val="3"/>
              <w:rPr>
                <w:szCs w:val="24"/>
                <w:lang w:eastAsia="x-none"/>
              </w:rPr>
            </w:pPr>
            <w:r w:rsidRPr="00A23740">
              <w:rPr>
                <w:szCs w:val="24"/>
                <w:lang w:eastAsia="x-none"/>
              </w:rPr>
              <w:t>İkinci fıkrayla, mahkemenin yapacağı inceleme sonucunda süresi içinde ödeme emrine itiraz edilmeyip borcun ödenmediğini ve tahliye ihtarının kanuna ve usulüne uygun olduğunu tespit etmesi h</w:t>
            </w:r>
            <w:r w:rsidR="00E54A6B" w:rsidRPr="00A23740">
              <w:rPr>
                <w:szCs w:val="24"/>
                <w:lang w:eastAsia="x-none"/>
              </w:rPr>
              <w:t>â</w:t>
            </w:r>
            <w:r w:rsidRPr="00A23740">
              <w:rPr>
                <w:szCs w:val="24"/>
                <w:lang w:eastAsia="x-none"/>
              </w:rPr>
              <w:t xml:space="preserve">linde, taşınmazın tahliyesine karar vereceği hükme bağlanmaktadır. </w:t>
            </w:r>
            <w:r w:rsidR="000A1EDF" w:rsidRPr="00A23740">
              <w:rPr>
                <w:szCs w:val="24"/>
                <w:lang w:eastAsia="x-none"/>
              </w:rPr>
              <w:t>İ</w:t>
            </w:r>
            <w:r w:rsidRPr="00A23740">
              <w:rPr>
                <w:szCs w:val="24"/>
                <w:lang w:eastAsia="x-none"/>
              </w:rPr>
              <w:t xml:space="preserve">cra takip </w:t>
            </w:r>
            <w:r w:rsidR="00906ADA" w:rsidRPr="00A23740">
              <w:rPr>
                <w:szCs w:val="24"/>
                <w:lang w:eastAsia="x-none"/>
              </w:rPr>
              <w:t xml:space="preserve"> işlemlerinin </w:t>
            </w:r>
            <w:r w:rsidRPr="00A23740">
              <w:rPr>
                <w:szCs w:val="24"/>
                <w:lang w:eastAsia="x-none"/>
              </w:rPr>
              <w:t>kanuna ve usule uygun olup olmadığının kural olarak ancak şik</w:t>
            </w:r>
            <w:r w:rsidR="00407C95" w:rsidRPr="00A23740">
              <w:rPr>
                <w:szCs w:val="24"/>
                <w:lang w:eastAsia="x-none"/>
              </w:rPr>
              <w:t>â</w:t>
            </w:r>
            <w:r w:rsidRPr="00A23740">
              <w:rPr>
                <w:szCs w:val="24"/>
                <w:lang w:eastAsia="x-none"/>
              </w:rPr>
              <w:t xml:space="preserve">yet başvurusu üzerine incelenmesi </w:t>
            </w:r>
            <w:r w:rsidR="00DF3C73" w:rsidRPr="00A23740">
              <w:rPr>
                <w:szCs w:val="24"/>
                <w:lang w:eastAsia="x-none"/>
              </w:rPr>
              <w:t>ilkesinden farklı olarak</w:t>
            </w:r>
            <w:r w:rsidRPr="00A23740">
              <w:rPr>
                <w:szCs w:val="24"/>
                <w:lang w:eastAsia="x-none"/>
              </w:rPr>
              <w:t xml:space="preserve"> bu</w:t>
            </w:r>
            <w:r w:rsidR="00DF3C73" w:rsidRPr="00A23740">
              <w:rPr>
                <w:szCs w:val="24"/>
                <w:lang w:eastAsia="x-none"/>
              </w:rPr>
              <w:t xml:space="preserve"> hükümde</w:t>
            </w:r>
            <w:r w:rsidR="00906ADA" w:rsidRPr="00A23740">
              <w:rPr>
                <w:szCs w:val="24"/>
                <w:lang w:eastAsia="x-none"/>
              </w:rPr>
              <w:t>,</w:t>
            </w:r>
            <w:r w:rsidRPr="00A23740">
              <w:rPr>
                <w:szCs w:val="24"/>
                <w:lang w:eastAsia="x-none"/>
              </w:rPr>
              <w:t xml:space="preserve"> kiracının korunması maksadıyla</w:t>
            </w:r>
            <w:r w:rsidR="00906ADA" w:rsidRPr="00A23740">
              <w:rPr>
                <w:szCs w:val="24"/>
                <w:lang w:eastAsia="x-none"/>
              </w:rPr>
              <w:t>,</w:t>
            </w:r>
            <w:r w:rsidRPr="00A23740">
              <w:rPr>
                <w:szCs w:val="24"/>
                <w:lang w:eastAsia="x-none"/>
              </w:rPr>
              <w:t xml:space="preserve"> </w:t>
            </w:r>
            <w:r w:rsidR="00DF3C73" w:rsidRPr="00A23740">
              <w:rPr>
                <w:szCs w:val="24"/>
                <w:lang w:eastAsia="x-none"/>
              </w:rPr>
              <w:t>mahkemenin tahliye davasında tahliye ihtarının kanuna ve usule uygun olup olmadığını denetlenmesi esası kabul edilmektedir.</w:t>
            </w:r>
          </w:p>
          <w:p w:rsidR="00132A26" w:rsidRPr="00A23740" w:rsidRDefault="00DF3C73" w:rsidP="009431FF">
            <w:pPr>
              <w:keepNext/>
              <w:ind w:firstLine="709"/>
              <w:outlineLvl w:val="3"/>
              <w:rPr>
                <w:b/>
              </w:rPr>
            </w:pPr>
            <w:r w:rsidRPr="00A23740">
              <w:rPr>
                <w:szCs w:val="24"/>
                <w:lang w:eastAsia="x-none"/>
              </w:rPr>
              <w:t>Ü</w:t>
            </w:r>
            <w:r w:rsidR="00EB663F" w:rsidRPr="00A23740">
              <w:rPr>
                <w:szCs w:val="24"/>
                <w:lang w:eastAsia="x-none"/>
              </w:rPr>
              <w:t>çüncü fıkrayla</w:t>
            </w:r>
            <w:r w:rsidRPr="00A23740">
              <w:rPr>
                <w:szCs w:val="24"/>
                <w:lang w:eastAsia="x-none"/>
              </w:rPr>
              <w:t xml:space="preserve"> m</w:t>
            </w:r>
            <w:r w:rsidR="00EB663F" w:rsidRPr="00A23740">
              <w:rPr>
                <w:szCs w:val="24"/>
                <w:lang w:eastAsia="x-none"/>
              </w:rPr>
              <w:t>ahkemenin, borçlu tarafından</w:t>
            </w:r>
            <w:r w:rsidRPr="00A23740">
              <w:rPr>
                <w:szCs w:val="24"/>
                <w:lang w:eastAsia="x-none"/>
              </w:rPr>
              <w:t xml:space="preserve"> itiraz edilmemiş kira sözleşmesini ve ödeme emrinde gösterilen kira borcunun m</w:t>
            </w:r>
            <w:r w:rsidR="00EB663F" w:rsidRPr="00A23740">
              <w:rPr>
                <w:szCs w:val="24"/>
                <w:lang w:eastAsia="x-none"/>
              </w:rPr>
              <w:t>iktarını inceleme konusu yapamayacağı hükme bağlanmaktadır</w:t>
            </w:r>
            <w:r w:rsidRPr="00A23740">
              <w:rPr>
                <w:szCs w:val="24"/>
                <w:lang w:eastAsia="x-none"/>
              </w:rPr>
              <w:t xml:space="preserve">. Borçlunun, tahliye ihtarlı ödeme emrinin tebliğinden önce kira borcunu ödediğini ileri sürme ve bunu </w:t>
            </w:r>
            <w:r w:rsidR="00906ADA" w:rsidRPr="00A23740">
              <w:rPr>
                <w:szCs w:val="24"/>
                <w:lang w:eastAsia="x-none"/>
              </w:rPr>
              <w:t xml:space="preserve">Taslağın </w:t>
            </w:r>
            <w:r w:rsidRPr="00A23740">
              <w:rPr>
                <w:szCs w:val="24"/>
                <w:lang w:eastAsia="x-none"/>
              </w:rPr>
              <w:t>takibin iptali</w:t>
            </w:r>
            <w:r w:rsidR="00906ADA" w:rsidRPr="00A23740">
              <w:rPr>
                <w:szCs w:val="24"/>
                <w:lang w:eastAsia="x-none"/>
              </w:rPr>
              <w:t>ne</w:t>
            </w:r>
            <w:r w:rsidRPr="00A23740">
              <w:rPr>
                <w:szCs w:val="24"/>
                <w:lang w:eastAsia="x-none"/>
              </w:rPr>
              <w:t xml:space="preserve"> veya geri bırakılmasına ilişkin 97 nci madde</w:t>
            </w:r>
            <w:r w:rsidR="00EB663F" w:rsidRPr="00A23740">
              <w:rPr>
                <w:szCs w:val="24"/>
                <w:lang w:eastAsia="x-none"/>
              </w:rPr>
              <w:t>sin</w:t>
            </w:r>
            <w:r w:rsidRPr="00A23740">
              <w:rPr>
                <w:szCs w:val="24"/>
                <w:lang w:eastAsia="x-none"/>
              </w:rPr>
              <w:t>de yazılı belg</w:t>
            </w:r>
            <w:r w:rsidR="00EB663F" w:rsidRPr="00A23740">
              <w:rPr>
                <w:szCs w:val="24"/>
                <w:lang w:eastAsia="x-none"/>
              </w:rPr>
              <w:t>elerle ispat etme hakkının saklı olduğu</w:t>
            </w:r>
            <w:r w:rsidR="00906ADA" w:rsidRPr="00A23740">
              <w:rPr>
                <w:szCs w:val="24"/>
                <w:lang w:eastAsia="x-none"/>
              </w:rPr>
              <w:t xml:space="preserve"> açıklanmaktadır</w:t>
            </w:r>
            <w:r w:rsidR="00EB663F" w:rsidRPr="00A23740">
              <w:rPr>
                <w:szCs w:val="24"/>
                <w:lang w:eastAsia="x-none"/>
              </w:rPr>
              <w:t>.</w:t>
            </w:r>
          </w:p>
          <w:p w:rsidR="00132A26" w:rsidRPr="00A23740" w:rsidRDefault="00132A26" w:rsidP="009431FF">
            <w:pPr>
              <w:keepNext/>
              <w:ind w:firstLine="709"/>
              <w:outlineLvl w:val="3"/>
              <w:rPr>
                <w:b/>
                <w:szCs w:val="24"/>
              </w:rPr>
            </w:pPr>
          </w:p>
        </w:tc>
      </w:tr>
      <w:tr w:rsidR="0039392A" w:rsidRPr="00A23740" w:rsidTr="009431FF">
        <w:tc>
          <w:tcPr>
            <w:tcW w:w="2500" w:type="pct"/>
          </w:tcPr>
          <w:p w:rsidR="00A242B6" w:rsidRPr="00A23740" w:rsidRDefault="00A242B6" w:rsidP="009431FF">
            <w:pPr>
              <w:pStyle w:val="KIRMIZI"/>
            </w:pPr>
            <w:r w:rsidRPr="00A23740">
              <w:t>İtiraz ve kaldırılması usulü:</w:t>
            </w:r>
          </w:p>
          <w:p w:rsidR="00A242B6" w:rsidRPr="00A23740" w:rsidRDefault="00A242B6" w:rsidP="009431FF">
            <w:pPr>
              <w:pStyle w:val="KIRMIZI"/>
            </w:pPr>
            <w:r w:rsidRPr="00A23740">
              <w:t>Madde 269/b – (Ek: 18/2/1965-538/110 md.)</w:t>
            </w:r>
          </w:p>
          <w:p w:rsidR="00A242B6" w:rsidRPr="00A23740" w:rsidRDefault="00A242B6" w:rsidP="009431FF">
            <w:pPr>
              <w:pStyle w:val="KIRMIZI"/>
            </w:pPr>
            <w:r w:rsidRPr="00A23740">
              <w:t>(1) Borçlu itirazında kira akdini ve varsa mukavelenamede kendisine izafe olunan imzayı reddettiği takdirde alacaklı; noterlikçe re’sen tanzim veya imzası tastik edilmiş bir mukavelenameye istinat ediyorsa icra mahkemesinden itırazın kaldırılmasını ve ihtar müddeti içinde paranın ödenmemesi sebebiyle kiralananın tahliyesini istiyebilir.</w:t>
            </w:r>
          </w:p>
          <w:p w:rsidR="00A242B6" w:rsidRPr="00A23740" w:rsidRDefault="00A242B6" w:rsidP="009431FF">
            <w:pPr>
              <w:pStyle w:val="KIRMIZI"/>
            </w:pPr>
          </w:p>
          <w:p w:rsidR="00A242B6" w:rsidRPr="00A23740" w:rsidRDefault="00A242B6" w:rsidP="009431FF">
            <w:pPr>
              <w:pStyle w:val="KIRMIZI"/>
            </w:pPr>
            <w:r w:rsidRPr="00A23740">
              <w:t>(2) Borçlunun akde ve şartlarına dair mukabil iddia ve def’ilerini aynı kuvvet ve mahiyette belgelerle tevsik etmesi lazımdır.</w:t>
            </w:r>
          </w:p>
          <w:p w:rsidR="00A242B6" w:rsidRPr="00A23740" w:rsidRDefault="00A242B6" w:rsidP="009431FF">
            <w:pPr>
              <w:pStyle w:val="KIRMIZI"/>
            </w:pPr>
          </w:p>
          <w:p w:rsidR="00A242B6" w:rsidRPr="00A23740" w:rsidRDefault="00A242B6" w:rsidP="009431FF">
            <w:pPr>
              <w:pStyle w:val="KIRMIZI"/>
            </w:pPr>
            <w:r w:rsidRPr="00A23740">
              <w:t>(3) Akdi reddeden borçlu bu itiraz sebebiyle bağlıdır. İtirazın varit olmadığı tahakkuk ettikten sonra ödeme, takas veya sair bir def’ide bulunamaz.</w:t>
            </w:r>
          </w:p>
          <w:p w:rsidR="00A242B6" w:rsidRPr="00A23740" w:rsidRDefault="00A242B6" w:rsidP="009431FF">
            <w:pPr>
              <w:pStyle w:val="KIRMIZI"/>
            </w:pPr>
          </w:p>
          <w:p w:rsidR="00A242B6" w:rsidRPr="00A23740" w:rsidRDefault="00A242B6" w:rsidP="009431FF">
            <w:pPr>
              <w:pStyle w:val="KIRMIZI"/>
            </w:pPr>
            <w:r w:rsidRPr="00A23740">
              <w:t>(4) Takip yukarda yazılı belgelere istinat etmemesi sebebiyle alacaklı umumi hükümler dairesinde dava açmaya mecbur kalırsa ihtarlı ödeme emri, Borçlar Kanununun 260 ve 288 inci maddelerinde yazılı ihtar yerine geçer.</w:t>
            </w:r>
          </w:p>
          <w:p w:rsidR="00A242B6" w:rsidRPr="00A23740" w:rsidRDefault="00A242B6" w:rsidP="009431FF">
            <w:pPr>
              <w:pStyle w:val="KIRMIZI"/>
            </w:pPr>
          </w:p>
          <w:p w:rsidR="00A242B6" w:rsidRPr="00A23740" w:rsidRDefault="00A242B6" w:rsidP="009431FF">
            <w:pPr>
              <w:pStyle w:val="KIRMIZI"/>
            </w:pPr>
            <w:r w:rsidRPr="00A23740">
              <w:t>(5) (Değişik: 9/11/1988-3494/51 md.) Kira sözleşmesindeki imzanın inkarından dolayı alacaklı umumi mahkemede dava açmaya mecbur kalır ve lehine karar alırsa, borçlu ayrıca yüzbin liradan beşyüzbin liraya kadar para cezasına mahküm edilir.</w:t>
            </w:r>
          </w:p>
          <w:p w:rsidR="006A7093" w:rsidRPr="00A23740" w:rsidRDefault="006A7093" w:rsidP="009431FF">
            <w:pPr>
              <w:pStyle w:val="KIRMIZI"/>
            </w:pPr>
          </w:p>
          <w:p w:rsidR="006A7093" w:rsidRPr="00A23740" w:rsidRDefault="006A7093" w:rsidP="009431FF">
            <w:pPr>
              <w:pStyle w:val="KIRMIZI"/>
            </w:pPr>
            <w:r w:rsidRPr="00A23740">
              <w:t>Kira akdi dışındaki itirazlar ve tahliye:</w:t>
            </w:r>
          </w:p>
          <w:p w:rsidR="006A7093" w:rsidRPr="00A23740" w:rsidRDefault="006A7093" w:rsidP="009431FF">
            <w:pPr>
              <w:pStyle w:val="KIRMIZI"/>
            </w:pPr>
            <w:r w:rsidRPr="00A23740">
              <w:t>Madde 269/c – (Ek:18/2/1965-538/110 md.)</w:t>
            </w:r>
          </w:p>
          <w:p w:rsidR="006A7093" w:rsidRPr="00A23740" w:rsidRDefault="006A7093" w:rsidP="009431FF">
            <w:pPr>
              <w:pStyle w:val="KIRMIZI"/>
            </w:pPr>
            <w:r w:rsidRPr="00A23740">
              <w:t>(1) Borçlu akdi reddetmeyip kiranın ödendiğini veya sair bir sebeple istenemiyeceğini bildirerek itiraz etmiş veya takas istemişse, itiraz sebeplerini ve isteğini noterlikçe re’sen tanzim veya imzası tasdik edilmiş veya alacaklı tarafından ikrar olunmuş bir belge yahut resmi dairelerin veya yetkili makamların yetkileri dahilinde ve usulüne göre verdikleri bir makbuz veya vesika ile ispat etmeğe mecburdur.</w:t>
            </w:r>
          </w:p>
          <w:p w:rsidR="006A7093" w:rsidRPr="00A23740" w:rsidRDefault="006A7093" w:rsidP="009431FF">
            <w:pPr>
              <w:pStyle w:val="KIRMIZI"/>
            </w:pPr>
          </w:p>
          <w:p w:rsidR="006A7093" w:rsidRPr="00A23740" w:rsidRDefault="006A7093" w:rsidP="009431FF">
            <w:pPr>
              <w:pStyle w:val="KIRMIZI"/>
            </w:pPr>
            <w:r w:rsidRPr="00A23740">
              <w:t>(2) Senet veya makbuzun alacaklı tarafından inkarı halinde 68 inci madde hükmü kıyasen uygulanır.</w:t>
            </w:r>
          </w:p>
          <w:p w:rsidR="006A7093" w:rsidRPr="00A23740" w:rsidRDefault="006A7093" w:rsidP="009431FF">
            <w:pPr>
              <w:pStyle w:val="KIRMIZI"/>
            </w:pPr>
          </w:p>
          <w:p w:rsidR="0039392A" w:rsidRPr="00A23740" w:rsidRDefault="006A7093" w:rsidP="00DE193E">
            <w:pPr>
              <w:pStyle w:val="KIRMIZI"/>
              <w:rPr>
                <w:bCs w:val="0"/>
                <w:strike w:val="0"/>
              </w:rPr>
            </w:pPr>
            <w:r w:rsidRPr="00A23740">
              <w:t>(3) İcra mahkemesinin tahliyeye mütedair kararının infazı için kesinleşmesi beklenmez. Ancak tahliye için, kararın borçluya tefhimi veya tebliği tarihinden itibaren ongün geçmesi lazımdır. Borçlu tahliye kararı hakkında 36 ncı madde hükmünden faydalanabilir.</w:t>
            </w:r>
          </w:p>
        </w:tc>
        <w:tc>
          <w:tcPr>
            <w:tcW w:w="2500" w:type="pct"/>
          </w:tcPr>
          <w:p w:rsidR="00AA5C8C" w:rsidRPr="00A23740" w:rsidRDefault="00AA5C8C" w:rsidP="009431FF">
            <w:pPr>
              <w:pStyle w:val="Stil5"/>
              <w:rPr>
                <w:lang w:val="tr-TR"/>
              </w:rPr>
            </w:pPr>
            <w:r w:rsidRPr="00A23740">
              <w:rPr>
                <w:rStyle w:val="MaviChar"/>
                <w:b/>
              </w:rPr>
              <w:t>İtiraz</w:t>
            </w:r>
            <w:r w:rsidR="00032CA9" w:rsidRPr="00A23740">
              <w:rPr>
                <w:rStyle w:val="MaviChar"/>
                <w:b/>
              </w:rPr>
              <w:t>ın</w:t>
            </w:r>
            <w:r w:rsidRPr="00A23740">
              <w:rPr>
                <w:rStyle w:val="MaviChar"/>
                <w:b/>
              </w:rPr>
              <w:t xml:space="preserve"> iptali ve tahliye</w:t>
            </w:r>
          </w:p>
          <w:p w:rsidR="00AA5C8C" w:rsidRPr="00A23740" w:rsidRDefault="0064280C" w:rsidP="009431FF">
            <w:pPr>
              <w:tabs>
                <w:tab w:val="left" w:pos="567"/>
              </w:tabs>
              <w:rPr>
                <w:rFonts w:eastAsia="Times New Roman"/>
                <w:b/>
                <w:bCs/>
                <w:color w:val="0000FF"/>
                <w:szCs w:val="24"/>
                <w:lang w:eastAsia="tr-TR"/>
              </w:rPr>
            </w:pPr>
            <w:r w:rsidRPr="00A23740">
              <w:rPr>
                <w:b/>
                <w:bCs/>
                <w:color w:val="0000FF"/>
                <w:szCs w:val="24"/>
                <w:lang w:val="x-none" w:eastAsia="x-none"/>
              </w:rPr>
              <w:t>MADDE 141</w:t>
            </w:r>
            <w:r w:rsidR="00AA5C8C" w:rsidRPr="00A23740">
              <w:rPr>
                <w:b/>
                <w:bCs/>
                <w:color w:val="0000FF"/>
                <w:szCs w:val="24"/>
                <w:lang w:val="x-none" w:eastAsia="x-none"/>
              </w:rPr>
              <w:t>- (1)</w:t>
            </w:r>
            <w:r w:rsidR="00AA5C8C" w:rsidRPr="00A23740">
              <w:rPr>
                <w:rFonts w:eastAsia="Times New Roman"/>
                <w:b/>
                <w:bCs/>
                <w:color w:val="0000FF"/>
                <w:szCs w:val="24"/>
                <w:lang w:val="x-none" w:eastAsia="tr-TR"/>
              </w:rPr>
              <w:t xml:space="preserve"> </w:t>
            </w:r>
            <w:r w:rsidR="00E676D6" w:rsidRPr="00A23740">
              <w:rPr>
                <w:rStyle w:val="MaviChar"/>
              </w:rPr>
              <w:t>Ödeme emrine itiraz h</w:t>
            </w:r>
            <w:r w:rsidR="00E676D6" w:rsidRPr="00A23740">
              <w:rPr>
                <w:rStyle w:val="MaviChar"/>
                <w:lang w:val="tr-TR"/>
              </w:rPr>
              <w:t>â</w:t>
            </w:r>
            <w:r w:rsidR="001F4CC0" w:rsidRPr="00A23740">
              <w:rPr>
                <w:rStyle w:val="MaviChar"/>
              </w:rPr>
              <w:t>linde</w:t>
            </w:r>
            <w:r w:rsidR="001F4CC0" w:rsidRPr="00A23740">
              <w:rPr>
                <w:rFonts w:eastAsia="Times New Roman"/>
                <w:b/>
                <w:bCs/>
                <w:color w:val="0000FF"/>
                <w:szCs w:val="24"/>
                <w:lang w:eastAsia="tr-TR"/>
              </w:rPr>
              <w:t xml:space="preserve"> </w:t>
            </w:r>
            <w:r w:rsidR="00B9456D" w:rsidRPr="00A23740">
              <w:rPr>
                <w:rFonts w:eastAsia="Times New Roman"/>
                <w:b/>
                <w:bCs/>
                <w:color w:val="0000FF"/>
                <w:szCs w:val="24"/>
                <w:lang w:val="x-none" w:eastAsia="tr-TR"/>
              </w:rPr>
              <w:t>alacakl</w:t>
            </w:r>
            <w:r w:rsidR="00B9456D" w:rsidRPr="00A23740">
              <w:rPr>
                <w:rFonts w:eastAsia="Times New Roman"/>
                <w:b/>
                <w:bCs/>
                <w:color w:val="0000FF"/>
                <w:szCs w:val="24"/>
                <w:lang w:eastAsia="tr-TR"/>
              </w:rPr>
              <w:t>ı</w:t>
            </w:r>
            <w:r w:rsidR="00AA5C8C" w:rsidRPr="00A23740">
              <w:rPr>
                <w:rFonts w:eastAsia="Times New Roman"/>
                <w:b/>
                <w:bCs/>
                <w:color w:val="0000FF"/>
                <w:szCs w:val="24"/>
                <w:lang w:val="x-none" w:eastAsia="tr-TR"/>
              </w:rPr>
              <w:t>,</w:t>
            </w:r>
            <w:r w:rsidR="001F4CC0" w:rsidRPr="00A23740">
              <w:rPr>
                <w:rFonts w:eastAsia="Times New Roman"/>
                <w:b/>
                <w:bCs/>
                <w:color w:val="0000FF"/>
                <w:szCs w:val="24"/>
                <w:lang w:eastAsia="tr-TR"/>
              </w:rPr>
              <w:t xml:space="preserve"> </w:t>
            </w:r>
            <w:r w:rsidR="00AA5C8C" w:rsidRPr="00A23740">
              <w:rPr>
                <w:rFonts w:eastAsia="Times New Roman"/>
                <w:b/>
                <w:bCs/>
                <w:color w:val="0000FF"/>
                <w:szCs w:val="24"/>
                <w:lang w:val="x-none" w:eastAsia="tr-TR"/>
              </w:rPr>
              <w:t>itirazın tebliğ</w:t>
            </w:r>
            <w:r w:rsidR="00AA5C8C" w:rsidRPr="00A23740">
              <w:rPr>
                <w:rStyle w:val="MaviChar"/>
              </w:rPr>
              <w:t>i</w:t>
            </w:r>
            <w:r w:rsidR="00AA5C8C" w:rsidRPr="00A23740">
              <w:rPr>
                <w:rStyle w:val="Stil5Char0"/>
              </w:rPr>
              <w:t xml:space="preserve"> </w:t>
            </w:r>
            <w:r w:rsidR="00AA5C8C" w:rsidRPr="00A23740">
              <w:rPr>
                <w:rStyle w:val="MaviChar"/>
              </w:rPr>
              <w:t xml:space="preserve">tarihinden </w:t>
            </w:r>
            <w:r w:rsidR="00AA5C8C" w:rsidRPr="00A23740">
              <w:rPr>
                <w:rFonts w:eastAsia="Times New Roman"/>
                <w:b/>
                <w:bCs/>
                <w:color w:val="0000FF"/>
                <w:szCs w:val="24"/>
                <w:lang w:val="x-none" w:eastAsia="tr-TR"/>
              </w:rPr>
              <w:t xml:space="preserve">itibaren </w:t>
            </w:r>
            <w:r w:rsidR="00AA5C8C" w:rsidRPr="00A23740">
              <w:rPr>
                <w:rStyle w:val="MaviChar"/>
              </w:rPr>
              <w:t xml:space="preserve">altı </w:t>
            </w:r>
            <w:r w:rsidR="00AA5C8C" w:rsidRPr="00A23740">
              <w:rPr>
                <w:rFonts w:eastAsia="Times New Roman"/>
                <w:b/>
                <w:bCs/>
                <w:color w:val="0000FF"/>
                <w:lang w:val="x-none" w:eastAsia="tr-TR"/>
              </w:rPr>
              <w:t>ay</w:t>
            </w:r>
            <w:r w:rsidR="00AA5C8C" w:rsidRPr="00A23740">
              <w:rPr>
                <w:rFonts w:eastAsia="Times New Roman"/>
                <w:b/>
                <w:bCs/>
                <w:color w:val="0000FF"/>
                <w:szCs w:val="24"/>
                <w:lang w:val="x-none" w:eastAsia="tr-TR"/>
              </w:rPr>
              <w:t xml:space="preserve"> içinde </w:t>
            </w:r>
            <w:r w:rsidR="00AA5C8C" w:rsidRPr="00A23740">
              <w:rPr>
                <w:rStyle w:val="MaviChar"/>
              </w:rPr>
              <w:t xml:space="preserve">sulh </w:t>
            </w:r>
            <w:r w:rsidR="00AA5C8C" w:rsidRPr="00A23740">
              <w:rPr>
                <w:rFonts w:eastAsia="Times New Roman"/>
                <w:b/>
                <w:bCs/>
                <w:color w:val="0000FF"/>
                <w:szCs w:val="24"/>
                <w:lang w:val="x-none" w:eastAsia="tr-TR"/>
              </w:rPr>
              <w:t>hukuk mahkemesi</w:t>
            </w:r>
            <w:r w:rsidR="00AA5C8C" w:rsidRPr="00A23740">
              <w:rPr>
                <w:rStyle w:val="MaviChar"/>
              </w:rPr>
              <w:t>ne</w:t>
            </w:r>
            <w:r w:rsidR="00AA5C8C" w:rsidRPr="00A23740">
              <w:rPr>
                <w:rStyle w:val="Stil5Char0"/>
              </w:rPr>
              <w:t xml:space="preserve"> </w:t>
            </w:r>
            <w:r w:rsidR="00AA5C8C" w:rsidRPr="00A23740">
              <w:rPr>
                <w:rStyle w:val="MaviChar"/>
              </w:rPr>
              <w:t>başvurarak genel hükümlere göre itirazın iptali ve tahliye için dava açabilir. Bu süre içinde tahliye talep edilmezse</w:t>
            </w:r>
            <w:r w:rsidR="001537FF" w:rsidRPr="00A23740">
              <w:rPr>
                <w:rStyle w:val="MaviChar"/>
                <w:lang w:val="tr-TR"/>
              </w:rPr>
              <w:t>,</w:t>
            </w:r>
            <w:r w:rsidR="00AA5C8C" w:rsidRPr="00A23740">
              <w:rPr>
                <w:rStyle w:val="MaviChar"/>
              </w:rPr>
              <w:t xml:space="preserve"> aynı kira alacağı bakımından genel hükümlere göre de tahliye talep edilemez.</w:t>
            </w:r>
          </w:p>
          <w:p w:rsidR="00AA5C8C" w:rsidRPr="00A23740" w:rsidRDefault="00AA5C8C" w:rsidP="009431FF">
            <w:pPr>
              <w:tabs>
                <w:tab w:val="left" w:pos="567"/>
              </w:tabs>
              <w:rPr>
                <w:rFonts w:eastAsia="Times New Roman"/>
                <w:bCs/>
                <w:strike/>
                <w:color w:val="FF0000"/>
                <w:szCs w:val="24"/>
                <w:lang w:val="x-none" w:eastAsia="x-none"/>
              </w:rPr>
            </w:pPr>
          </w:p>
        </w:tc>
      </w:tr>
      <w:tr w:rsidR="00B9456D" w:rsidRPr="00A23740" w:rsidTr="009431FF">
        <w:tc>
          <w:tcPr>
            <w:tcW w:w="5000" w:type="pct"/>
            <w:gridSpan w:val="2"/>
            <w:shd w:val="clear" w:color="auto" w:fill="DEEAF6"/>
          </w:tcPr>
          <w:p w:rsidR="00B9456D" w:rsidRPr="00A23740" w:rsidRDefault="00B9456D" w:rsidP="009431FF">
            <w:pPr>
              <w:keepNext/>
              <w:ind w:firstLine="709"/>
              <w:outlineLvl w:val="3"/>
              <w:rPr>
                <w:b/>
              </w:rPr>
            </w:pPr>
            <w:r w:rsidRPr="00A23740">
              <w:rPr>
                <w:b/>
              </w:rPr>
              <w:tab/>
            </w:r>
          </w:p>
          <w:p w:rsidR="00B9456D" w:rsidRPr="00A23740" w:rsidRDefault="00B9456D" w:rsidP="009431FF">
            <w:pPr>
              <w:keepNext/>
              <w:ind w:firstLine="709"/>
              <w:outlineLvl w:val="3"/>
              <w:rPr>
                <w:szCs w:val="24"/>
                <w:lang w:eastAsia="x-none"/>
              </w:rPr>
            </w:pPr>
            <w:r w:rsidRPr="00A23740">
              <w:rPr>
                <w:b/>
              </w:rPr>
              <w:t xml:space="preserve">MADDE </w:t>
            </w:r>
            <w:r w:rsidR="0064280C" w:rsidRPr="00A23740">
              <w:rPr>
                <w:b/>
              </w:rPr>
              <w:t>141</w:t>
            </w:r>
            <w:r w:rsidRPr="00A23740">
              <w:rPr>
                <w:b/>
              </w:rPr>
              <w:t>-</w:t>
            </w:r>
            <w:r w:rsidRPr="00A23740">
              <w:t xml:space="preserve"> </w:t>
            </w:r>
            <w:r w:rsidRPr="00A23740">
              <w:rPr>
                <w:szCs w:val="24"/>
                <w:lang w:eastAsia="x-none"/>
              </w:rPr>
              <w:t>Maddeyle, ödeme emrine itirazın iptali ve tahliye usulü düzenlenmektedir. Hüküm, 2004 sayılı Kanunun 269/b maddesine karşılık gelmektedir.</w:t>
            </w:r>
          </w:p>
          <w:p w:rsidR="00B9456D" w:rsidRPr="00A23740" w:rsidRDefault="00B9456D" w:rsidP="009431FF">
            <w:pPr>
              <w:keepNext/>
              <w:ind w:firstLine="709"/>
              <w:outlineLvl w:val="3"/>
              <w:rPr>
                <w:b/>
                <w:szCs w:val="24"/>
              </w:rPr>
            </w:pPr>
            <w:r w:rsidRPr="00A23740">
              <w:rPr>
                <w:szCs w:val="24"/>
                <w:lang w:eastAsia="x-none"/>
              </w:rPr>
              <w:t>Birinci fıkra, ödeme emrine itiraz h</w:t>
            </w:r>
            <w:r w:rsidR="00E54A6B" w:rsidRPr="00A23740">
              <w:rPr>
                <w:szCs w:val="24"/>
                <w:lang w:eastAsia="x-none"/>
              </w:rPr>
              <w:t>â</w:t>
            </w:r>
            <w:r w:rsidRPr="00A23740">
              <w:rPr>
                <w:szCs w:val="24"/>
                <w:lang w:eastAsia="x-none"/>
              </w:rPr>
              <w:t xml:space="preserve">linde alacaklının, itirazın tebliği tarihinden itibaren altı ay içinde sulh hukuk mahkemesine başvurarak itirazın iptali ve tahliye için dava </w:t>
            </w:r>
            <w:r w:rsidR="001537FF" w:rsidRPr="00001224">
              <w:rPr>
                <w:bCs/>
                <w:szCs w:val="24"/>
                <w:lang w:eastAsia="x-none"/>
              </w:rPr>
              <w:t>açabilmesine ilişkindir.</w:t>
            </w:r>
            <w:r w:rsidRPr="00A23740">
              <w:rPr>
                <w:szCs w:val="24"/>
                <w:lang w:eastAsia="x-none"/>
              </w:rPr>
              <w:t xml:space="preserve"> Hükme göre bu süre içinde</w:t>
            </w:r>
            <w:r w:rsidR="0003770E" w:rsidRPr="00A23740">
              <w:rPr>
                <w:szCs w:val="24"/>
                <w:lang w:eastAsia="x-none"/>
              </w:rPr>
              <w:t xml:space="preserve"> sulh hukuk mahkemesinden</w:t>
            </w:r>
            <w:r w:rsidRPr="00A23740">
              <w:rPr>
                <w:szCs w:val="24"/>
                <w:lang w:eastAsia="x-none"/>
              </w:rPr>
              <w:t xml:space="preserve"> tahliye talep edilmezse aynı kira alacağı </w:t>
            </w:r>
            <w:r w:rsidR="00906ADA" w:rsidRPr="00A23740">
              <w:rPr>
                <w:szCs w:val="24"/>
                <w:lang w:eastAsia="x-none"/>
              </w:rPr>
              <w:t xml:space="preserve">için </w:t>
            </w:r>
            <w:r w:rsidRPr="00A23740">
              <w:rPr>
                <w:szCs w:val="24"/>
                <w:lang w:eastAsia="x-none"/>
              </w:rPr>
              <w:t>genel hükümlere göre de tahliye talep</w:t>
            </w:r>
            <w:r w:rsidR="008742EE" w:rsidRPr="00A23740">
              <w:rPr>
                <w:szCs w:val="24"/>
                <w:lang w:eastAsia="x-none"/>
              </w:rPr>
              <w:t xml:space="preserve"> edilemeyece</w:t>
            </w:r>
            <w:r w:rsidR="00906ADA" w:rsidRPr="00A23740">
              <w:rPr>
                <w:szCs w:val="24"/>
                <w:lang w:eastAsia="x-none"/>
              </w:rPr>
              <w:t>ktir</w:t>
            </w:r>
            <w:r w:rsidRPr="00A23740">
              <w:rPr>
                <w:szCs w:val="24"/>
                <w:lang w:eastAsia="x-none"/>
              </w:rPr>
              <w:t>. Bu kapsamda itirazın iptali davasıyla tahliye talep edilmese</w:t>
            </w:r>
            <w:r w:rsidR="008742EE" w:rsidRPr="00A23740">
              <w:rPr>
                <w:szCs w:val="24"/>
                <w:lang w:eastAsia="x-none"/>
              </w:rPr>
              <w:t xml:space="preserve"> dahi</w:t>
            </w:r>
            <w:r w:rsidR="00906ADA" w:rsidRPr="00A23740">
              <w:rPr>
                <w:szCs w:val="24"/>
                <w:lang w:eastAsia="x-none"/>
              </w:rPr>
              <w:t>,</w:t>
            </w:r>
            <w:r w:rsidRPr="00A23740">
              <w:rPr>
                <w:szCs w:val="24"/>
                <w:lang w:eastAsia="x-none"/>
              </w:rPr>
              <w:t xml:space="preserve"> kira </w:t>
            </w:r>
            <w:r w:rsidR="001537FF" w:rsidRPr="00001224">
              <w:rPr>
                <w:bCs/>
                <w:szCs w:val="24"/>
                <w:lang w:eastAsia="x-none"/>
              </w:rPr>
              <w:t>alacağının tahsiline</w:t>
            </w:r>
            <w:r w:rsidRPr="00A23740">
              <w:rPr>
                <w:szCs w:val="24"/>
                <w:lang w:eastAsia="x-none"/>
              </w:rPr>
              <w:t xml:space="preserve"> ilişkin</w:t>
            </w:r>
            <w:r w:rsidR="008742EE" w:rsidRPr="00A23740">
              <w:rPr>
                <w:szCs w:val="24"/>
                <w:lang w:eastAsia="x-none"/>
              </w:rPr>
              <w:t xml:space="preserve"> </w:t>
            </w:r>
            <w:r w:rsidR="001537FF" w:rsidRPr="00001224">
              <w:rPr>
                <w:szCs w:val="24"/>
                <w:lang w:eastAsia="x-none"/>
              </w:rPr>
              <w:t>olarak</w:t>
            </w:r>
            <w:r w:rsidR="001537FF" w:rsidRPr="00A23740">
              <w:rPr>
                <w:szCs w:val="24"/>
                <w:lang w:eastAsia="x-none"/>
              </w:rPr>
              <w:t xml:space="preserve"> </w:t>
            </w:r>
            <w:r w:rsidR="008742EE" w:rsidRPr="00A23740">
              <w:rPr>
                <w:szCs w:val="24"/>
                <w:lang w:eastAsia="x-none"/>
              </w:rPr>
              <w:t>ayrıca</w:t>
            </w:r>
            <w:r w:rsidRPr="00A23740">
              <w:rPr>
                <w:szCs w:val="24"/>
                <w:lang w:eastAsia="x-none"/>
              </w:rPr>
              <w:t xml:space="preserve"> </w:t>
            </w:r>
            <w:r w:rsidR="00C75DCB" w:rsidRPr="00A23740">
              <w:rPr>
                <w:szCs w:val="24"/>
                <w:lang w:eastAsia="x-none"/>
              </w:rPr>
              <w:t>dava açılabi</w:t>
            </w:r>
            <w:r w:rsidR="0003770E" w:rsidRPr="00A23740">
              <w:rPr>
                <w:szCs w:val="24"/>
                <w:lang w:eastAsia="x-none"/>
              </w:rPr>
              <w:t>lecektir</w:t>
            </w:r>
            <w:r w:rsidR="00C75DCB" w:rsidRPr="00A23740">
              <w:rPr>
                <w:szCs w:val="24"/>
                <w:lang w:eastAsia="x-none"/>
              </w:rPr>
              <w:t>.</w:t>
            </w:r>
          </w:p>
          <w:p w:rsidR="00132A26" w:rsidRPr="00A23740" w:rsidRDefault="00132A26" w:rsidP="00DE193E">
            <w:pPr>
              <w:keepNext/>
              <w:ind w:firstLine="709"/>
              <w:outlineLvl w:val="3"/>
              <w:rPr>
                <w:b/>
                <w:szCs w:val="24"/>
              </w:rPr>
            </w:pPr>
          </w:p>
        </w:tc>
      </w:tr>
      <w:tr w:rsidR="0039392A" w:rsidRPr="00A23740" w:rsidTr="009431FF">
        <w:tc>
          <w:tcPr>
            <w:tcW w:w="2500" w:type="pct"/>
          </w:tcPr>
          <w:p w:rsidR="0039392A" w:rsidRPr="00A23740" w:rsidRDefault="0039392A" w:rsidP="009431FF">
            <w:pPr>
              <w:tabs>
                <w:tab w:val="left" w:pos="567"/>
              </w:tabs>
              <w:rPr>
                <w:b/>
                <w:szCs w:val="24"/>
              </w:rPr>
            </w:pPr>
            <w:r w:rsidRPr="00A23740">
              <w:rPr>
                <w:b/>
                <w:szCs w:val="24"/>
              </w:rPr>
              <w:t>Kıyasen uygulanacak maddeler</w:t>
            </w:r>
            <w:r w:rsidRPr="00A23740">
              <w:rPr>
                <w:b/>
                <w:strike/>
                <w:color w:val="FF0000"/>
                <w:szCs w:val="24"/>
              </w:rPr>
              <w:t>:</w:t>
            </w:r>
          </w:p>
          <w:p w:rsidR="0039392A" w:rsidRPr="00A23740" w:rsidRDefault="0039392A" w:rsidP="009431FF">
            <w:pPr>
              <w:tabs>
                <w:tab w:val="left" w:pos="567"/>
              </w:tabs>
              <w:rPr>
                <w:b/>
                <w:szCs w:val="24"/>
              </w:rPr>
            </w:pPr>
            <w:r w:rsidRPr="00A23740">
              <w:rPr>
                <w:b/>
                <w:bCs/>
                <w:strike/>
                <w:color w:val="FF0000"/>
                <w:szCs w:val="24"/>
              </w:rPr>
              <w:t>Madde</w:t>
            </w:r>
            <w:r w:rsidRPr="00A23740">
              <w:rPr>
                <w:b/>
                <w:szCs w:val="24"/>
              </w:rPr>
              <w:t xml:space="preserve"> </w:t>
            </w:r>
            <w:r w:rsidRPr="00A23740">
              <w:rPr>
                <w:b/>
                <w:bCs/>
                <w:strike/>
                <w:color w:val="FF0000"/>
                <w:szCs w:val="24"/>
              </w:rPr>
              <w:t>269/d</w:t>
            </w:r>
            <w:r w:rsidRPr="00A23740">
              <w:rPr>
                <w:b/>
                <w:szCs w:val="24"/>
              </w:rPr>
              <w:t xml:space="preserve"> – </w:t>
            </w:r>
            <w:r w:rsidRPr="00A23740">
              <w:rPr>
                <w:b/>
                <w:strike/>
                <w:color w:val="FF0000"/>
                <w:szCs w:val="24"/>
              </w:rPr>
              <w:t>(Ek: 18/2/1965 - 538/110 md.)</w:t>
            </w:r>
          </w:p>
          <w:p w:rsidR="0039392A" w:rsidRPr="00A23740" w:rsidRDefault="0039392A" w:rsidP="009431FF">
            <w:pPr>
              <w:tabs>
                <w:tab w:val="left" w:pos="567"/>
              </w:tabs>
              <w:rPr>
                <w:szCs w:val="24"/>
              </w:rPr>
            </w:pPr>
            <w:r w:rsidRPr="00A23740">
              <w:rPr>
                <w:b/>
                <w:szCs w:val="24"/>
              </w:rPr>
              <w:t>(1)</w:t>
            </w:r>
            <w:r w:rsidRPr="00A23740">
              <w:rPr>
                <w:szCs w:val="24"/>
              </w:rPr>
              <w:t xml:space="preserve"> 62, </w:t>
            </w:r>
            <w:r w:rsidRPr="00A23740">
              <w:rPr>
                <w:b/>
                <w:bCs/>
                <w:strike/>
                <w:color w:val="FF0000"/>
                <w:szCs w:val="24"/>
              </w:rPr>
              <w:t>63,</w:t>
            </w:r>
            <w:r w:rsidRPr="00A23740">
              <w:rPr>
                <w:szCs w:val="24"/>
              </w:rPr>
              <w:t xml:space="preserve"> 65, 66, 68, 70 ve 72 </w:t>
            </w:r>
            <w:r w:rsidRPr="00A23740">
              <w:rPr>
                <w:b/>
                <w:strike/>
                <w:color w:val="FF0000"/>
                <w:szCs w:val="24"/>
              </w:rPr>
              <w:t>nci</w:t>
            </w:r>
            <w:r w:rsidRPr="00A23740">
              <w:rPr>
                <w:szCs w:val="24"/>
              </w:rPr>
              <w:t xml:space="preserve"> madde</w:t>
            </w:r>
            <w:r w:rsidRPr="00A23740">
              <w:rPr>
                <w:b/>
                <w:bCs/>
                <w:strike/>
                <w:color w:val="FF0000"/>
                <w:szCs w:val="24"/>
              </w:rPr>
              <w:t xml:space="preserve">ler </w:t>
            </w:r>
            <w:r w:rsidRPr="00A23740">
              <w:rPr>
                <w:szCs w:val="24"/>
              </w:rPr>
              <w:t xml:space="preserve">hükümleri kıyas </w:t>
            </w:r>
            <w:r w:rsidRPr="00A23740">
              <w:rPr>
                <w:rStyle w:val="KIRMIZIChar"/>
                <w:rFonts w:eastAsia="Calibri"/>
              </w:rPr>
              <w:t>yolu ile</w:t>
            </w:r>
            <w:r w:rsidRPr="00A23740">
              <w:rPr>
                <w:szCs w:val="24"/>
              </w:rPr>
              <w:t xml:space="preserve"> </w:t>
            </w:r>
            <w:r w:rsidRPr="00A23740">
              <w:rPr>
                <w:b/>
                <w:bCs/>
                <w:strike/>
                <w:color w:val="FF0000"/>
                <w:szCs w:val="24"/>
              </w:rPr>
              <w:t>burada da</w:t>
            </w:r>
            <w:r w:rsidRPr="00A23740">
              <w:rPr>
                <w:szCs w:val="24"/>
              </w:rPr>
              <w:t xml:space="preserve"> uygulanır.</w:t>
            </w:r>
          </w:p>
        </w:tc>
        <w:tc>
          <w:tcPr>
            <w:tcW w:w="2500" w:type="pct"/>
          </w:tcPr>
          <w:p w:rsidR="0039392A" w:rsidRPr="00A23740" w:rsidRDefault="0039392A" w:rsidP="009431FF">
            <w:pPr>
              <w:tabs>
                <w:tab w:val="left" w:pos="567"/>
              </w:tabs>
              <w:rPr>
                <w:b/>
                <w:szCs w:val="24"/>
              </w:rPr>
            </w:pPr>
            <w:r w:rsidRPr="00A23740">
              <w:rPr>
                <w:b/>
                <w:szCs w:val="24"/>
              </w:rPr>
              <w:t>Kıyasen uygulanacak maddeler</w:t>
            </w:r>
          </w:p>
          <w:p w:rsidR="0039392A" w:rsidRPr="00A23740" w:rsidRDefault="0039392A" w:rsidP="009431FF">
            <w:pPr>
              <w:tabs>
                <w:tab w:val="left" w:pos="567"/>
              </w:tabs>
              <w:rPr>
                <w:szCs w:val="24"/>
              </w:rPr>
            </w:pPr>
            <w:r w:rsidRPr="00A23740">
              <w:rPr>
                <w:b/>
                <w:bCs/>
                <w:color w:val="0000FF"/>
                <w:szCs w:val="24"/>
                <w:lang w:val="x-none" w:eastAsia="x-none"/>
              </w:rPr>
              <w:t xml:space="preserve">MADDE </w:t>
            </w:r>
            <w:r w:rsidR="0064280C" w:rsidRPr="00A23740">
              <w:rPr>
                <w:b/>
                <w:bCs/>
                <w:color w:val="0000FF"/>
                <w:szCs w:val="24"/>
                <w:lang w:eastAsia="x-none"/>
              </w:rPr>
              <w:t>142</w:t>
            </w:r>
            <w:r w:rsidRPr="00A23740">
              <w:rPr>
                <w:b/>
                <w:bCs/>
                <w:color w:val="0000FF"/>
                <w:szCs w:val="24"/>
                <w:lang w:val="x-none" w:eastAsia="x-none"/>
              </w:rPr>
              <w:t>- (1)</w:t>
            </w:r>
            <w:r w:rsidRPr="00A23740">
              <w:rPr>
                <w:rFonts w:eastAsia="Times New Roman"/>
                <w:b/>
                <w:color w:val="0000FF"/>
                <w:szCs w:val="24"/>
                <w:lang w:eastAsia="tr-TR"/>
              </w:rPr>
              <w:t xml:space="preserve"> </w:t>
            </w:r>
            <w:r w:rsidRPr="00A23740">
              <w:rPr>
                <w:b/>
                <w:bCs/>
                <w:color w:val="0000FF"/>
                <w:szCs w:val="24"/>
                <w:lang w:val="x-none" w:eastAsia="x-none"/>
              </w:rPr>
              <w:t>22</w:t>
            </w:r>
            <w:r w:rsidR="00763DA7" w:rsidRPr="00A23740">
              <w:rPr>
                <w:b/>
                <w:bCs/>
                <w:color w:val="0000FF"/>
                <w:szCs w:val="24"/>
                <w:lang w:eastAsia="x-none"/>
              </w:rPr>
              <w:t xml:space="preserve"> </w:t>
            </w:r>
            <w:r w:rsidR="00763DA7" w:rsidRPr="00001224">
              <w:rPr>
                <w:rStyle w:val="KonuBalChar"/>
                <w:rFonts w:eastAsia="Calibri"/>
                <w:color w:val="0000FF"/>
              </w:rPr>
              <w:t>il</w:t>
            </w:r>
            <w:r w:rsidR="00F25FDB" w:rsidRPr="00001224">
              <w:rPr>
                <w:rStyle w:val="KonuBalChar"/>
                <w:rFonts w:eastAsia="Calibri"/>
                <w:color w:val="0000FF"/>
                <w:lang w:val="tr-TR"/>
              </w:rPr>
              <w:t>a</w:t>
            </w:r>
            <w:r w:rsidR="00763DA7" w:rsidRPr="00001224">
              <w:rPr>
                <w:rStyle w:val="KonuBalChar"/>
                <w:rFonts w:eastAsia="Calibri"/>
                <w:color w:val="0000FF"/>
              </w:rPr>
              <w:t xml:space="preserve"> 24</w:t>
            </w:r>
            <w:r w:rsidRPr="00A23740">
              <w:rPr>
                <w:rStyle w:val="MaviChar"/>
              </w:rPr>
              <w:t>,</w:t>
            </w:r>
            <w:r w:rsidRPr="00A23740">
              <w:rPr>
                <w:szCs w:val="24"/>
              </w:rPr>
              <w:t xml:space="preserve"> </w:t>
            </w:r>
            <w:r w:rsidR="008D6AB8">
              <w:rPr>
                <w:b/>
                <w:bCs/>
                <w:color w:val="0000FF"/>
                <w:szCs w:val="24"/>
                <w:lang w:val="x-none" w:eastAsia="x-none"/>
              </w:rPr>
              <w:t>60</w:t>
            </w:r>
            <w:r w:rsidRPr="00A23740">
              <w:rPr>
                <w:b/>
                <w:bCs/>
                <w:color w:val="0000FF"/>
                <w:szCs w:val="24"/>
                <w:lang w:val="x-none" w:eastAsia="x-none"/>
              </w:rPr>
              <w:t xml:space="preserve">, </w:t>
            </w:r>
            <w:r w:rsidR="008F4EDB" w:rsidRPr="00A23740">
              <w:rPr>
                <w:b/>
                <w:bCs/>
                <w:color w:val="0000FF"/>
                <w:szCs w:val="24"/>
                <w:lang w:eastAsia="x-none"/>
              </w:rPr>
              <w:t>61</w:t>
            </w:r>
            <w:r w:rsidRPr="00A23740">
              <w:rPr>
                <w:b/>
                <w:bCs/>
                <w:color w:val="0000FF"/>
                <w:szCs w:val="24"/>
                <w:lang w:val="x-none" w:eastAsia="x-none"/>
              </w:rPr>
              <w:t xml:space="preserve">, 66, </w:t>
            </w:r>
            <w:r w:rsidR="00FE2130" w:rsidRPr="00A23740">
              <w:rPr>
                <w:b/>
                <w:bCs/>
                <w:color w:val="0000FF"/>
                <w:szCs w:val="24"/>
                <w:lang w:eastAsia="x-none"/>
              </w:rPr>
              <w:t xml:space="preserve">71 ve </w:t>
            </w:r>
            <w:r w:rsidR="008D6AB8">
              <w:rPr>
                <w:b/>
                <w:bCs/>
                <w:color w:val="0000FF"/>
                <w:szCs w:val="24"/>
                <w:lang w:val="x-none" w:eastAsia="x-none"/>
              </w:rPr>
              <w:t>73</w:t>
            </w:r>
            <w:r w:rsidRPr="00A23740">
              <w:rPr>
                <w:b/>
                <w:bCs/>
                <w:color w:val="0000FF"/>
                <w:szCs w:val="24"/>
                <w:lang w:val="x-none" w:eastAsia="x-none"/>
              </w:rPr>
              <w:t>,</w:t>
            </w:r>
            <w:r w:rsidRPr="00A23740">
              <w:rPr>
                <w:b/>
                <w:bCs/>
                <w:color w:val="0000FF"/>
                <w:szCs w:val="24"/>
                <w:lang w:eastAsia="x-none"/>
              </w:rPr>
              <w:t xml:space="preserve"> </w:t>
            </w:r>
            <w:r w:rsidR="008D6AB8">
              <w:rPr>
                <w:b/>
                <w:bCs/>
                <w:color w:val="0000FF"/>
                <w:szCs w:val="24"/>
                <w:lang w:val="x-none" w:eastAsia="x-none"/>
              </w:rPr>
              <w:t>91</w:t>
            </w:r>
            <w:r w:rsidRPr="00A23740">
              <w:rPr>
                <w:rStyle w:val="MaviChar"/>
              </w:rPr>
              <w:t>,</w:t>
            </w:r>
            <w:r w:rsidR="008D6AB8">
              <w:rPr>
                <w:rStyle w:val="MaviChar"/>
              </w:rPr>
              <w:t xml:space="preserve"> 92, 93</w:t>
            </w:r>
            <w:r w:rsidR="00D84D15" w:rsidRPr="00A23740">
              <w:rPr>
                <w:rStyle w:val="MaviChar"/>
              </w:rPr>
              <w:t>,</w:t>
            </w:r>
            <w:r w:rsidR="008D6AB8">
              <w:rPr>
                <w:rStyle w:val="MaviChar"/>
              </w:rPr>
              <w:t xml:space="preserve"> 94, 95</w:t>
            </w:r>
            <w:r w:rsidRPr="00A23740">
              <w:rPr>
                <w:rStyle w:val="MaviChar"/>
              </w:rPr>
              <w:t>,</w:t>
            </w:r>
            <w:r w:rsidR="008D6AB8">
              <w:rPr>
                <w:rStyle w:val="MaviChar"/>
              </w:rPr>
              <w:t xml:space="preserve"> 96</w:t>
            </w:r>
            <w:r w:rsidR="008F4EDB" w:rsidRPr="00A23740">
              <w:rPr>
                <w:b/>
                <w:bCs/>
                <w:color w:val="0000FF"/>
                <w:szCs w:val="24"/>
                <w:lang w:val="x-none" w:eastAsia="x-none"/>
              </w:rPr>
              <w:t>,</w:t>
            </w:r>
            <w:r w:rsidRPr="00A23740">
              <w:rPr>
                <w:b/>
                <w:bCs/>
                <w:color w:val="0000FF"/>
                <w:szCs w:val="24"/>
                <w:lang w:val="x-none" w:eastAsia="x-none"/>
              </w:rPr>
              <w:t xml:space="preserve"> 98, 99, 100 ve 101 inci </w:t>
            </w:r>
            <w:r w:rsidRPr="00A23740">
              <w:rPr>
                <w:szCs w:val="24"/>
              </w:rPr>
              <w:t>madde</w:t>
            </w:r>
            <w:r w:rsidR="001537FF" w:rsidRPr="00A23740">
              <w:rPr>
                <w:rStyle w:val="Balk1Char"/>
                <w:rFonts w:eastAsia="Calibri"/>
              </w:rPr>
              <w:t>ler</w:t>
            </w:r>
            <w:r w:rsidR="007024A8" w:rsidRPr="00A23740">
              <w:rPr>
                <w:rStyle w:val="Stil5Char0"/>
              </w:rPr>
              <w:t xml:space="preserve"> </w:t>
            </w:r>
            <w:r w:rsidRPr="00A23740">
              <w:rPr>
                <w:szCs w:val="24"/>
              </w:rPr>
              <w:t>kıyas</w:t>
            </w:r>
            <w:r w:rsidRPr="00A23740">
              <w:rPr>
                <w:rStyle w:val="MaviChar"/>
              </w:rPr>
              <w:t>en</w:t>
            </w:r>
            <w:r w:rsidRPr="00A23740">
              <w:rPr>
                <w:szCs w:val="24"/>
              </w:rPr>
              <w:t xml:space="preserve"> </w:t>
            </w:r>
            <w:r w:rsidRPr="00A23740">
              <w:rPr>
                <w:b/>
                <w:bCs/>
                <w:color w:val="0000FF"/>
                <w:szCs w:val="24"/>
                <w:lang w:eastAsia="x-none"/>
              </w:rPr>
              <w:t>bu Ayrım hakkında</w:t>
            </w:r>
            <w:r w:rsidRPr="00A23740">
              <w:rPr>
                <w:szCs w:val="24"/>
              </w:rPr>
              <w:t xml:space="preserve"> </w:t>
            </w:r>
            <w:r w:rsidR="001537FF" w:rsidRPr="00A23740">
              <w:rPr>
                <w:rStyle w:val="Balk1Char"/>
                <w:rFonts w:eastAsia="Calibri"/>
              </w:rPr>
              <w:t>da</w:t>
            </w:r>
            <w:r w:rsidR="001537FF" w:rsidRPr="00A23740">
              <w:rPr>
                <w:szCs w:val="24"/>
              </w:rPr>
              <w:t xml:space="preserve"> </w:t>
            </w:r>
            <w:r w:rsidRPr="00A23740">
              <w:rPr>
                <w:szCs w:val="24"/>
              </w:rPr>
              <w:t>uygulanır.</w:t>
            </w:r>
          </w:p>
          <w:p w:rsidR="00136C24" w:rsidRPr="00A23740" w:rsidRDefault="00136C24" w:rsidP="009431FF">
            <w:pPr>
              <w:pStyle w:val="KonuBal"/>
            </w:pPr>
          </w:p>
        </w:tc>
      </w:tr>
      <w:tr w:rsidR="00A930BD" w:rsidRPr="00A23740" w:rsidTr="009431FF">
        <w:tc>
          <w:tcPr>
            <w:tcW w:w="5000" w:type="pct"/>
            <w:gridSpan w:val="2"/>
            <w:shd w:val="clear" w:color="auto" w:fill="DEEAF6"/>
          </w:tcPr>
          <w:p w:rsidR="00A930BD" w:rsidRPr="00A23740" w:rsidRDefault="00A930BD" w:rsidP="009431FF">
            <w:pPr>
              <w:keepNext/>
              <w:ind w:firstLine="709"/>
              <w:outlineLvl w:val="3"/>
              <w:rPr>
                <w:b/>
              </w:rPr>
            </w:pPr>
            <w:r w:rsidRPr="00A23740">
              <w:rPr>
                <w:b/>
              </w:rPr>
              <w:tab/>
            </w:r>
          </w:p>
          <w:p w:rsidR="00A930BD" w:rsidRPr="00A23740" w:rsidRDefault="00A930BD" w:rsidP="009431FF">
            <w:pPr>
              <w:keepNext/>
              <w:ind w:firstLine="709"/>
              <w:outlineLvl w:val="3"/>
              <w:rPr>
                <w:szCs w:val="24"/>
                <w:lang w:eastAsia="x-none"/>
              </w:rPr>
            </w:pPr>
            <w:r w:rsidRPr="00A23740">
              <w:rPr>
                <w:b/>
              </w:rPr>
              <w:t xml:space="preserve">MADDE </w:t>
            </w:r>
            <w:r w:rsidR="0064280C" w:rsidRPr="00A23740">
              <w:rPr>
                <w:b/>
              </w:rPr>
              <w:t>142</w:t>
            </w:r>
            <w:r w:rsidRPr="00A23740">
              <w:rPr>
                <w:b/>
              </w:rPr>
              <w:t>-</w:t>
            </w:r>
            <w:r w:rsidRPr="00A23740">
              <w:t xml:space="preserve"> </w:t>
            </w:r>
            <w:r w:rsidRPr="00A23740">
              <w:rPr>
                <w:szCs w:val="24"/>
                <w:lang w:eastAsia="x-none"/>
              </w:rPr>
              <w:t>Madde</w:t>
            </w:r>
            <w:r w:rsidR="00906ADA" w:rsidRPr="00A23740">
              <w:rPr>
                <w:szCs w:val="24"/>
                <w:lang w:eastAsia="x-none"/>
              </w:rPr>
              <w:t>de</w:t>
            </w:r>
            <w:r w:rsidRPr="00A23740">
              <w:rPr>
                <w:szCs w:val="24"/>
                <w:lang w:eastAsia="x-none"/>
              </w:rPr>
              <w:t xml:space="preserve">, bu Ayrımla ilgili </w:t>
            </w:r>
            <w:r w:rsidR="00906ADA" w:rsidRPr="00A23740">
              <w:rPr>
                <w:szCs w:val="24"/>
                <w:lang w:eastAsia="x-none"/>
              </w:rPr>
              <w:t xml:space="preserve">olup </w:t>
            </w:r>
            <w:r w:rsidRPr="00A23740">
              <w:rPr>
                <w:szCs w:val="24"/>
                <w:lang w:eastAsia="x-none"/>
              </w:rPr>
              <w:t>kıyasen uygu</w:t>
            </w:r>
            <w:r w:rsidR="008742EE" w:rsidRPr="00A23740">
              <w:rPr>
                <w:szCs w:val="24"/>
                <w:lang w:eastAsia="x-none"/>
              </w:rPr>
              <w:t xml:space="preserve">lanacak maddeler </w:t>
            </w:r>
            <w:r w:rsidR="00E01E14" w:rsidRPr="00A23740">
              <w:rPr>
                <w:szCs w:val="24"/>
                <w:lang w:eastAsia="x-none"/>
              </w:rPr>
              <w:t>gösterilmektedir</w:t>
            </w:r>
            <w:r w:rsidR="008742EE" w:rsidRPr="00A23740">
              <w:rPr>
                <w:szCs w:val="24"/>
                <w:lang w:eastAsia="x-none"/>
              </w:rPr>
              <w:t>.</w:t>
            </w:r>
          </w:p>
          <w:p w:rsidR="00A930BD" w:rsidRPr="00A23740" w:rsidRDefault="00A930BD" w:rsidP="009431FF">
            <w:pPr>
              <w:keepNext/>
              <w:ind w:firstLine="709"/>
              <w:outlineLvl w:val="3"/>
              <w:rPr>
                <w:b/>
                <w:szCs w:val="24"/>
              </w:rPr>
            </w:pPr>
          </w:p>
        </w:tc>
      </w:tr>
      <w:tr w:rsidR="0039392A" w:rsidRPr="00A23740" w:rsidTr="009431FF">
        <w:tc>
          <w:tcPr>
            <w:tcW w:w="2500" w:type="pct"/>
          </w:tcPr>
          <w:p w:rsidR="0039392A" w:rsidRPr="00A23740" w:rsidRDefault="0039392A"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Style w:val="Stil5Char0"/>
              </w:rPr>
            </w:pPr>
          </w:p>
          <w:p w:rsidR="0039392A" w:rsidRPr="00A23740" w:rsidRDefault="0039392A" w:rsidP="009431FF">
            <w:pPr>
              <w:tabs>
                <w:tab w:val="left" w:pos="567"/>
              </w:tabs>
              <w:rPr>
                <w:rFonts w:eastAsia="Times New Roman"/>
                <w:b/>
                <w:bCs/>
                <w:strike/>
                <w:color w:val="FF0000"/>
                <w:szCs w:val="24"/>
                <w:lang w:eastAsia="x-none"/>
              </w:rPr>
            </w:pPr>
          </w:p>
          <w:p w:rsidR="0039392A" w:rsidRPr="00A23740" w:rsidRDefault="0039392A"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D70B16" w:rsidRPr="00A23740" w:rsidRDefault="00D70B16" w:rsidP="009431FF">
            <w:pPr>
              <w:tabs>
                <w:tab w:val="left" w:pos="567"/>
              </w:tabs>
              <w:rPr>
                <w:rFonts w:eastAsia="Times New Roman"/>
                <w:b/>
                <w:bCs/>
                <w:strike/>
                <w:color w:val="FF0000"/>
                <w:szCs w:val="24"/>
                <w:lang w:eastAsia="x-none"/>
              </w:rPr>
            </w:pPr>
          </w:p>
          <w:p w:rsidR="0039392A" w:rsidRPr="00A23740" w:rsidRDefault="0039392A" w:rsidP="009431FF">
            <w:pPr>
              <w:tabs>
                <w:tab w:val="left" w:pos="567"/>
              </w:tabs>
              <w:rPr>
                <w:rFonts w:eastAsia="Times New Roman"/>
                <w:b/>
                <w:bCs/>
                <w:i/>
                <w:strike/>
                <w:color w:val="FF0000"/>
                <w:szCs w:val="24"/>
                <w:lang w:eastAsia="x-none"/>
              </w:rPr>
            </w:pPr>
          </w:p>
        </w:tc>
        <w:tc>
          <w:tcPr>
            <w:tcW w:w="2500" w:type="pct"/>
          </w:tcPr>
          <w:p w:rsidR="00D70B16" w:rsidRPr="00A23740" w:rsidRDefault="00D70B16" w:rsidP="009431FF">
            <w:pPr>
              <w:keepNext/>
              <w:jc w:val="center"/>
              <w:outlineLvl w:val="3"/>
              <w:rPr>
                <w:rFonts w:eastAsia="Times New Roman"/>
                <w:b/>
                <w:bCs/>
                <w:color w:val="0000FF"/>
                <w:szCs w:val="28"/>
              </w:rPr>
            </w:pPr>
            <w:r w:rsidRPr="00A23740">
              <w:rPr>
                <w:rFonts w:eastAsia="Times New Roman"/>
                <w:b/>
                <w:bCs/>
                <w:color w:val="0000FF"/>
                <w:szCs w:val="28"/>
              </w:rPr>
              <w:t>İKİNCİ AYRIM</w:t>
            </w:r>
          </w:p>
          <w:p w:rsidR="00D70B16" w:rsidRPr="00A23740" w:rsidRDefault="00D70B16" w:rsidP="009431FF">
            <w:pPr>
              <w:keepNext/>
              <w:jc w:val="center"/>
              <w:outlineLvl w:val="3"/>
              <w:rPr>
                <w:rFonts w:eastAsia="Times New Roman"/>
                <w:b/>
                <w:bCs/>
                <w:color w:val="0000FF"/>
                <w:szCs w:val="28"/>
              </w:rPr>
            </w:pPr>
            <w:r w:rsidRPr="00A23740">
              <w:rPr>
                <w:rFonts w:eastAsia="ヒラギノ明朝 Pro W3"/>
                <w:b/>
                <w:color w:val="0000FF"/>
                <w:szCs w:val="24"/>
                <w:lang w:val="x-none" w:eastAsia="x-none"/>
              </w:rPr>
              <w:t>Tahliye Taahhüdü</w:t>
            </w:r>
            <w:r w:rsidRPr="00A23740">
              <w:rPr>
                <w:rFonts w:eastAsia="ヒラギノ明朝 Pro W3"/>
                <w:b/>
                <w:color w:val="0000FF"/>
                <w:szCs w:val="24"/>
                <w:lang w:eastAsia="x-none"/>
              </w:rPr>
              <w:t xml:space="preserve"> veya </w:t>
            </w:r>
            <w:r w:rsidRPr="00A23740">
              <w:rPr>
                <w:rStyle w:val="MaviChar"/>
              </w:rPr>
              <w:t>Kira Sözleşmesi Süresinin Sona Ermesi</w:t>
            </w:r>
            <w:r w:rsidRPr="00A23740">
              <w:rPr>
                <w:rStyle w:val="Stil5Char0"/>
              </w:rPr>
              <w:t xml:space="preserve"> </w:t>
            </w:r>
            <w:r w:rsidRPr="00A23740">
              <w:rPr>
                <w:rFonts w:eastAsia="Times New Roman"/>
                <w:b/>
                <w:bCs/>
                <w:color w:val="0000FF"/>
                <w:szCs w:val="28"/>
              </w:rPr>
              <w:t>Nedeniyle İlamsız Tahliye</w:t>
            </w:r>
          </w:p>
          <w:p w:rsidR="00D70B16" w:rsidRPr="00A23740" w:rsidRDefault="00D70B16" w:rsidP="009431FF">
            <w:pPr>
              <w:tabs>
                <w:tab w:val="left" w:pos="566"/>
              </w:tabs>
              <w:autoSpaceDE w:val="0"/>
              <w:autoSpaceDN w:val="0"/>
              <w:adjustRightInd w:val="0"/>
              <w:rPr>
                <w:rFonts w:eastAsia="Times New Roman"/>
                <w:b/>
                <w:color w:val="0000FF"/>
                <w:szCs w:val="24"/>
                <w:lang w:eastAsia="tr-TR"/>
              </w:rPr>
            </w:pPr>
          </w:p>
          <w:p w:rsidR="00D70B16" w:rsidRPr="00A23740" w:rsidRDefault="00D70B16" w:rsidP="009431FF">
            <w:pPr>
              <w:tabs>
                <w:tab w:val="left" w:pos="567"/>
              </w:tabs>
              <w:rPr>
                <w:b/>
                <w:bCs/>
                <w:color w:val="0000FF"/>
                <w:szCs w:val="24"/>
                <w:lang w:val="x-none" w:eastAsia="x-none"/>
              </w:rPr>
            </w:pPr>
            <w:r w:rsidRPr="00A23740">
              <w:rPr>
                <w:b/>
                <w:bCs/>
                <w:color w:val="0000FF"/>
                <w:szCs w:val="24"/>
                <w:lang w:val="x-none" w:eastAsia="x-none"/>
              </w:rPr>
              <w:t>Takip talebi</w:t>
            </w:r>
          </w:p>
          <w:p w:rsidR="00D70B16" w:rsidRPr="00A23740" w:rsidRDefault="00D70B16" w:rsidP="009431FF">
            <w:pPr>
              <w:tabs>
                <w:tab w:val="left" w:pos="567"/>
              </w:tabs>
              <w:rPr>
                <w:rFonts w:eastAsia="Times New Roman"/>
                <w:b/>
                <w:bCs/>
                <w:strike/>
                <w:color w:val="FF0000"/>
                <w:szCs w:val="24"/>
                <w:lang w:eastAsia="x-none"/>
              </w:rPr>
            </w:pPr>
            <w:r w:rsidRPr="00A23740">
              <w:rPr>
                <w:b/>
                <w:bCs/>
                <w:color w:val="0000FF"/>
                <w:szCs w:val="24"/>
                <w:lang w:val="x-none" w:eastAsia="x-none"/>
              </w:rPr>
              <w:t xml:space="preserve">MADDE </w:t>
            </w:r>
            <w:r w:rsidR="0064280C" w:rsidRPr="00A23740">
              <w:rPr>
                <w:b/>
                <w:bCs/>
                <w:color w:val="0000FF"/>
                <w:szCs w:val="24"/>
                <w:lang w:eastAsia="x-none"/>
              </w:rPr>
              <w:t>143</w:t>
            </w:r>
            <w:r w:rsidRPr="00A23740">
              <w:rPr>
                <w:b/>
                <w:bCs/>
                <w:color w:val="0000FF"/>
                <w:szCs w:val="24"/>
                <w:lang w:val="x-none" w:eastAsia="x-none"/>
              </w:rPr>
              <w:t xml:space="preserve">- </w:t>
            </w:r>
            <w:r w:rsidRPr="00A23740">
              <w:rPr>
                <w:rStyle w:val="MaviChar"/>
              </w:rPr>
              <w:t xml:space="preserve">(1) Yazılı kira sözleşmesine konu </w:t>
            </w:r>
            <w:r w:rsidR="002654C8" w:rsidRPr="00001224">
              <w:rPr>
                <w:rStyle w:val="MaviChar"/>
              </w:rPr>
              <w:t>olan</w:t>
            </w:r>
            <w:r w:rsidR="002654C8" w:rsidRPr="00A23740">
              <w:rPr>
                <w:rStyle w:val="MaviChar"/>
                <w:color w:val="385623"/>
              </w:rPr>
              <w:t xml:space="preserve"> </w:t>
            </w:r>
            <w:r w:rsidRPr="00A23740">
              <w:rPr>
                <w:rStyle w:val="MaviChar"/>
              </w:rPr>
              <w:t>yerin konut veya çatılı işyeri olması</w:t>
            </w:r>
            <w:r w:rsidR="00E01E14" w:rsidRPr="00A23740">
              <w:rPr>
                <w:rStyle w:val="MaviChar"/>
                <w:lang w:val="tr-TR"/>
              </w:rPr>
              <w:t xml:space="preserve"> ve</w:t>
            </w:r>
            <w:r w:rsidRPr="00A23740">
              <w:rPr>
                <w:rStyle w:val="MaviChar"/>
              </w:rPr>
              <w:t xml:space="preserve"> talebin noterlikçe resen düzenlenmiş veya tarih ve imzası onaylanmış </w:t>
            </w:r>
            <w:r w:rsidR="002654C8" w:rsidRPr="00001224">
              <w:rPr>
                <w:rStyle w:val="MaviChar"/>
              </w:rPr>
              <w:t>bulunması</w:t>
            </w:r>
            <w:r w:rsidR="002654C8" w:rsidRPr="00A23740">
              <w:rPr>
                <w:rStyle w:val="MaviChar"/>
                <w:color w:val="385623"/>
              </w:rPr>
              <w:t xml:space="preserve"> </w:t>
            </w:r>
            <w:r w:rsidRPr="00A23740">
              <w:rPr>
                <w:rStyle w:val="MaviChar"/>
              </w:rPr>
              <w:t>ya da adi yazılı tahliye taahhüdüne dayanması h</w:t>
            </w:r>
            <w:r w:rsidR="00E54A6B" w:rsidRPr="00A23740">
              <w:rPr>
                <w:rStyle w:val="MaviChar"/>
                <w:lang w:val="tr-TR"/>
              </w:rPr>
              <w:t>â</w:t>
            </w:r>
            <w:r w:rsidRPr="00A23740">
              <w:rPr>
                <w:rStyle w:val="MaviChar"/>
              </w:rPr>
              <w:t>linde</w:t>
            </w:r>
            <w:r w:rsidR="00E01E14" w:rsidRPr="00A23740">
              <w:rPr>
                <w:rStyle w:val="MaviChar"/>
                <w:lang w:val="tr-TR"/>
              </w:rPr>
              <w:t>,</w:t>
            </w:r>
            <w:r w:rsidRPr="00A23740">
              <w:rPr>
                <w:rStyle w:val="MaviChar"/>
              </w:rPr>
              <w:t xml:space="preserve"> ilamsız tahliye yoluna,</w:t>
            </w:r>
            <w:r w:rsidRPr="00A23740">
              <w:rPr>
                <w:rStyle w:val="Stil5Char0"/>
              </w:rPr>
              <w:t xml:space="preserve"> </w:t>
            </w:r>
            <w:r w:rsidRPr="00A23740">
              <w:rPr>
                <w:b/>
                <w:bCs/>
                <w:color w:val="0000FF"/>
                <w:szCs w:val="24"/>
                <w:lang w:val="x-none" w:eastAsia="x-none"/>
              </w:rPr>
              <w:t xml:space="preserve">tahliyenin taahhüt edildiği tarihten itibaren bir ay içinde </w:t>
            </w:r>
            <w:r w:rsidRPr="00A23740">
              <w:rPr>
                <w:b/>
                <w:bCs/>
                <w:color w:val="0000FF"/>
                <w:szCs w:val="24"/>
                <w:lang w:eastAsia="x-none"/>
              </w:rPr>
              <w:t>başvurulabilir.</w:t>
            </w:r>
          </w:p>
          <w:p w:rsidR="00D70B16" w:rsidRPr="00A23740" w:rsidRDefault="00D70B16" w:rsidP="009431FF">
            <w:pPr>
              <w:pStyle w:val="KIRMIZI"/>
            </w:pPr>
          </w:p>
          <w:p w:rsidR="002351A3" w:rsidRPr="00A23740" w:rsidRDefault="002351A3" w:rsidP="009431FF">
            <w:pPr>
              <w:pStyle w:val="Mavi"/>
              <w:rPr>
                <w:rStyle w:val="KIRMIZIChar"/>
                <w:rFonts w:eastAsia="Calibri"/>
                <w:b/>
              </w:rPr>
            </w:pPr>
            <w:r w:rsidRPr="00A23740">
              <w:rPr>
                <w:rStyle w:val="Stil5Char0"/>
                <w:b/>
                <w:color w:val="0000FF"/>
                <w:lang w:eastAsia="x-none"/>
              </w:rPr>
              <w:t xml:space="preserve">(2) </w:t>
            </w:r>
            <w:r w:rsidR="004459DF" w:rsidRPr="00A23740">
              <w:rPr>
                <w:rStyle w:val="Stil5Char0"/>
                <w:b/>
                <w:color w:val="0000FF"/>
                <w:lang w:val="tr-TR" w:eastAsia="x-none"/>
              </w:rPr>
              <w:t>K</w:t>
            </w:r>
            <w:r w:rsidR="004459DF" w:rsidRPr="00A23740">
              <w:rPr>
                <w:rStyle w:val="Stil5Char0"/>
                <w:b/>
                <w:color w:val="0000FF"/>
                <w:lang w:eastAsia="x-none"/>
              </w:rPr>
              <w:t>onut ve çatılı işyeri kiraları</w:t>
            </w:r>
            <w:r w:rsidR="004459DF" w:rsidRPr="00A23740">
              <w:rPr>
                <w:rStyle w:val="Stil5Char0"/>
                <w:b/>
                <w:color w:val="0000FF"/>
                <w:lang w:val="tr-TR" w:eastAsia="x-none"/>
              </w:rPr>
              <w:t xml:space="preserve"> hariç olmak üzere,</w:t>
            </w:r>
            <w:r w:rsidR="004459DF" w:rsidRPr="00A23740">
              <w:rPr>
                <w:rStyle w:val="Stil5Char0"/>
                <w:b/>
                <w:color w:val="0000FF"/>
                <w:lang w:eastAsia="x-none"/>
              </w:rPr>
              <w:t xml:space="preserve"> y</w:t>
            </w:r>
            <w:r w:rsidRPr="00A23740">
              <w:rPr>
                <w:rStyle w:val="Stil5Char0"/>
                <w:b/>
                <w:color w:val="0000FF"/>
                <w:lang w:eastAsia="x-none"/>
              </w:rPr>
              <w:t xml:space="preserve">azılı kira sözleşmesinde belirlenen sürenin sona ermesi nedeniyle taşınmazın ilamsız tahliyesi yoluna, sözleşmenin sona erdiği tarihten itibaren bir ay içinde başvurulabilir. </w:t>
            </w:r>
          </w:p>
          <w:p w:rsidR="0039392A" w:rsidRPr="00A23740" w:rsidRDefault="0039392A" w:rsidP="009431FF">
            <w:pPr>
              <w:tabs>
                <w:tab w:val="left" w:pos="566"/>
              </w:tabs>
              <w:autoSpaceDE w:val="0"/>
              <w:autoSpaceDN w:val="0"/>
              <w:adjustRightInd w:val="0"/>
              <w:rPr>
                <w:rFonts w:eastAsia="Times New Roman"/>
                <w:b/>
                <w:color w:val="0000FF"/>
                <w:szCs w:val="24"/>
                <w:lang w:eastAsia="tr-TR"/>
              </w:rPr>
            </w:pPr>
          </w:p>
          <w:p w:rsidR="0039392A" w:rsidRPr="00A23740" w:rsidRDefault="0039392A" w:rsidP="009431FF">
            <w:pPr>
              <w:tabs>
                <w:tab w:val="left" w:pos="567"/>
              </w:tabs>
              <w:rPr>
                <w:b/>
                <w:bCs/>
                <w:color w:val="0000FF"/>
                <w:szCs w:val="24"/>
                <w:lang w:eastAsia="x-none"/>
              </w:rPr>
            </w:pPr>
            <w:r w:rsidRPr="00A23740">
              <w:rPr>
                <w:b/>
                <w:bCs/>
                <w:color w:val="0000FF"/>
                <w:szCs w:val="24"/>
                <w:lang w:val="x-none" w:eastAsia="x-none"/>
              </w:rPr>
              <w:t>(</w:t>
            </w:r>
            <w:r w:rsidR="00DB2C18" w:rsidRPr="00A23740">
              <w:rPr>
                <w:b/>
                <w:bCs/>
                <w:color w:val="0000FF"/>
                <w:szCs w:val="24"/>
                <w:lang w:eastAsia="x-none"/>
              </w:rPr>
              <w:t>3</w:t>
            </w:r>
            <w:r w:rsidRPr="00A23740">
              <w:rPr>
                <w:b/>
                <w:bCs/>
                <w:color w:val="0000FF"/>
                <w:szCs w:val="24"/>
                <w:lang w:val="x-none" w:eastAsia="x-none"/>
              </w:rPr>
              <w:t>)</w:t>
            </w:r>
            <w:r w:rsidR="006D47EF" w:rsidRPr="00A23740">
              <w:rPr>
                <w:b/>
                <w:bCs/>
                <w:color w:val="0000FF"/>
                <w:szCs w:val="24"/>
                <w:lang w:eastAsia="x-none"/>
              </w:rPr>
              <w:t xml:space="preserve"> </w:t>
            </w:r>
            <w:r w:rsidR="008D6AB8">
              <w:rPr>
                <w:b/>
                <w:bCs/>
                <w:color w:val="0000FF"/>
                <w:szCs w:val="24"/>
                <w:lang w:val="x-none" w:eastAsia="x-none"/>
              </w:rPr>
              <w:t>87 nci</w:t>
            </w:r>
            <w:r w:rsidRPr="00A23740">
              <w:rPr>
                <w:b/>
                <w:bCs/>
                <w:color w:val="0000FF"/>
                <w:szCs w:val="24"/>
                <w:lang w:eastAsia="x-none"/>
              </w:rPr>
              <w:t xml:space="preserve"> </w:t>
            </w:r>
            <w:r w:rsidRPr="00A23740">
              <w:rPr>
                <w:b/>
                <w:bCs/>
                <w:color w:val="0000FF"/>
                <w:szCs w:val="24"/>
                <w:lang w:val="x-none" w:eastAsia="x-none"/>
              </w:rPr>
              <w:t>madde uyarınca düzenlenen takip talebine</w:t>
            </w:r>
            <w:r w:rsidR="00DB2C18" w:rsidRPr="00A23740">
              <w:rPr>
                <w:b/>
                <w:bCs/>
                <w:color w:val="0000FF"/>
                <w:szCs w:val="24"/>
                <w:lang w:eastAsia="x-none"/>
              </w:rPr>
              <w:t>,</w:t>
            </w:r>
            <w:r w:rsidR="00911051" w:rsidRPr="00A23740">
              <w:rPr>
                <w:b/>
                <w:bCs/>
                <w:color w:val="0000FF"/>
                <w:szCs w:val="24"/>
                <w:lang w:eastAsia="x-none"/>
              </w:rPr>
              <w:t xml:space="preserve"> birinci fıkradaki h</w:t>
            </w:r>
            <w:r w:rsidR="00E54A6B" w:rsidRPr="00A23740">
              <w:rPr>
                <w:b/>
                <w:bCs/>
                <w:color w:val="0000FF"/>
                <w:szCs w:val="24"/>
                <w:lang w:eastAsia="x-none"/>
              </w:rPr>
              <w:t>â</w:t>
            </w:r>
            <w:r w:rsidR="00911051" w:rsidRPr="00A23740">
              <w:rPr>
                <w:b/>
                <w:bCs/>
                <w:color w:val="0000FF"/>
                <w:szCs w:val="24"/>
                <w:lang w:eastAsia="x-none"/>
              </w:rPr>
              <w:t>lde</w:t>
            </w:r>
            <w:r w:rsidRPr="00A23740">
              <w:rPr>
                <w:b/>
                <w:bCs/>
                <w:color w:val="0000FF"/>
                <w:szCs w:val="24"/>
                <w:lang w:val="x-none" w:eastAsia="x-none"/>
              </w:rPr>
              <w:t xml:space="preserve"> takibin dayanağı olan</w:t>
            </w:r>
            <w:r w:rsidR="00DB2C18" w:rsidRPr="00A23740">
              <w:rPr>
                <w:b/>
                <w:bCs/>
                <w:color w:val="0000FF"/>
                <w:szCs w:val="24"/>
                <w:lang w:eastAsia="x-none"/>
              </w:rPr>
              <w:t xml:space="preserve"> </w:t>
            </w:r>
            <w:r w:rsidR="00627414" w:rsidRPr="00A23740">
              <w:rPr>
                <w:rStyle w:val="MaviChar"/>
              </w:rPr>
              <w:t>kira sözleşmesi</w:t>
            </w:r>
            <w:r w:rsidR="00911051" w:rsidRPr="00A23740">
              <w:rPr>
                <w:rStyle w:val="MaviChar"/>
              </w:rPr>
              <w:t>nin</w:t>
            </w:r>
            <w:r w:rsidR="00627414" w:rsidRPr="00A23740">
              <w:rPr>
                <w:rStyle w:val="MaviChar"/>
              </w:rPr>
              <w:t xml:space="preserve"> ve</w:t>
            </w:r>
            <w:r w:rsidR="00DB2C18" w:rsidRPr="00A23740">
              <w:rPr>
                <w:rStyle w:val="MaviChar"/>
              </w:rPr>
              <w:t xml:space="preserve"> </w:t>
            </w:r>
            <w:r w:rsidRPr="00A23740">
              <w:rPr>
                <w:rStyle w:val="MaviChar"/>
              </w:rPr>
              <w:t>tahliye taahhüdünün</w:t>
            </w:r>
            <w:r w:rsidR="00911051" w:rsidRPr="00A23740">
              <w:rPr>
                <w:rStyle w:val="MaviChar"/>
              </w:rPr>
              <w:t>, ikinci fıkradaki h</w:t>
            </w:r>
            <w:r w:rsidR="00E54A6B" w:rsidRPr="00A23740">
              <w:rPr>
                <w:rStyle w:val="MaviChar"/>
                <w:lang w:val="tr-TR"/>
              </w:rPr>
              <w:t>â</w:t>
            </w:r>
            <w:r w:rsidR="00911051" w:rsidRPr="00A23740">
              <w:rPr>
                <w:rStyle w:val="MaviChar"/>
              </w:rPr>
              <w:t>lde ise kira sözleşmesinin</w:t>
            </w:r>
            <w:r w:rsidRPr="00A23740">
              <w:rPr>
                <w:b/>
                <w:bCs/>
                <w:color w:val="0000FF"/>
                <w:szCs w:val="24"/>
                <w:lang w:val="x-none" w:eastAsia="x-none"/>
              </w:rPr>
              <w:t xml:space="preserve"> aslı </w:t>
            </w:r>
            <w:r w:rsidRPr="00A23740">
              <w:rPr>
                <w:rStyle w:val="MaviChar"/>
              </w:rPr>
              <w:t>veya</w:t>
            </w:r>
            <w:r w:rsidR="00DB2C18" w:rsidRPr="00A23740">
              <w:rPr>
                <w:rStyle w:val="MaviChar"/>
                <w:lang w:val="tr-TR"/>
              </w:rPr>
              <w:t xml:space="preserve"> </w:t>
            </w:r>
            <w:r w:rsidRPr="00A23740">
              <w:rPr>
                <w:b/>
                <w:bCs/>
                <w:color w:val="0000FF"/>
                <w:szCs w:val="24"/>
                <w:lang w:val="x-none" w:eastAsia="x-none"/>
              </w:rPr>
              <w:t>onayl</w:t>
            </w:r>
            <w:r w:rsidR="00DB2C18" w:rsidRPr="00A23740">
              <w:rPr>
                <w:b/>
                <w:bCs/>
                <w:color w:val="0000FF"/>
                <w:szCs w:val="24"/>
                <w:lang w:eastAsia="x-none"/>
              </w:rPr>
              <w:t>ı bir</w:t>
            </w:r>
            <w:r w:rsidRPr="00A23740">
              <w:rPr>
                <w:b/>
                <w:bCs/>
                <w:color w:val="0000FF"/>
                <w:szCs w:val="24"/>
                <w:lang w:val="x-none" w:eastAsia="x-none"/>
              </w:rPr>
              <w:t xml:space="preserve"> örneği eklenir.</w:t>
            </w:r>
          </w:p>
          <w:p w:rsidR="0039392A" w:rsidRPr="00A23740" w:rsidRDefault="0039392A" w:rsidP="009431FF">
            <w:pPr>
              <w:tabs>
                <w:tab w:val="left" w:pos="566"/>
              </w:tabs>
              <w:autoSpaceDE w:val="0"/>
              <w:autoSpaceDN w:val="0"/>
              <w:adjustRightInd w:val="0"/>
              <w:rPr>
                <w:lang w:val="x-none" w:eastAsia="x-none"/>
              </w:rPr>
            </w:pPr>
          </w:p>
        </w:tc>
      </w:tr>
      <w:tr w:rsidR="00A930BD" w:rsidRPr="00A23740" w:rsidTr="009431FF">
        <w:tc>
          <w:tcPr>
            <w:tcW w:w="5000" w:type="pct"/>
            <w:gridSpan w:val="2"/>
            <w:shd w:val="clear" w:color="auto" w:fill="DEEAF6"/>
          </w:tcPr>
          <w:p w:rsidR="00A930BD" w:rsidRPr="00A23740" w:rsidRDefault="00A930BD" w:rsidP="009431FF">
            <w:pPr>
              <w:keepNext/>
              <w:ind w:firstLine="709"/>
              <w:outlineLvl w:val="3"/>
              <w:rPr>
                <w:b/>
              </w:rPr>
            </w:pPr>
            <w:r w:rsidRPr="00A23740">
              <w:rPr>
                <w:b/>
              </w:rPr>
              <w:tab/>
            </w:r>
          </w:p>
          <w:p w:rsidR="00996E1C" w:rsidRPr="00A23740" w:rsidRDefault="00A930BD" w:rsidP="009431FF">
            <w:pPr>
              <w:keepNext/>
              <w:ind w:firstLine="709"/>
              <w:outlineLvl w:val="3"/>
              <w:rPr>
                <w:szCs w:val="24"/>
                <w:lang w:eastAsia="x-none"/>
              </w:rPr>
            </w:pPr>
            <w:r w:rsidRPr="00A23740">
              <w:rPr>
                <w:b/>
              </w:rPr>
              <w:t xml:space="preserve">MADDE </w:t>
            </w:r>
            <w:r w:rsidR="0064280C" w:rsidRPr="00A23740">
              <w:rPr>
                <w:b/>
              </w:rPr>
              <w:t>143</w:t>
            </w:r>
            <w:r w:rsidRPr="00A23740">
              <w:rPr>
                <w:b/>
              </w:rPr>
              <w:t>-</w:t>
            </w:r>
            <w:r w:rsidRPr="00A23740">
              <w:t xml:space="preserve"> </w:t>
            </w:r>
            <w:r w:rsidRPr="00A23740">
              <w:rPr>
                <w:szCs w:val="24"/>
                <w:lang w:eastAsia="x-none"/>
              </w:rPr>
              <w:t>Maddeyle,</w:t>
            </w:r>
            <w:r w:rsidRPr="00A23740">
              <w:t xml:space="preserve"> </w:t>
            </w:r>
            <w:r w:rsidR="004459DF" w:rsidRPr="00001224">
              <w:rPr>
                <w:bCs/>
                <w:szCs w:val="24"/>
                <w:lang w:eastAsia="x-none"/>
              </w:rPr>
              <w:t>bir</w:t>
            </w:r>
            <w:r w:rsidR="004459DF" w:rsidRPr="00001224">
              <w:rPr>
                <w:szCs w:val="24"/>
                <w:lang w:eastAsia="x-none"/>
              </w:rPr>
              <w:t xml:space="preserve"> </w:t>
            </w:r>
            <w:r w:rsidRPr="00001224">
              <w:rPr>
                <w:szCs w:val="24"/>
                <w:lang w:eastAsia="x-none"/>
              </w:rPr>
              <w:t>tahliye taahhüdü</w:t>
            </w:r>
            <w:r w:rsidR="004459DF" w:rsidRPr="00001224">
              <w:rPr>
                <w:bCs/>
                <w:szCs w:val="24"/>
                <w:lang w:eastAsia="x-none"/>
              </w:rPr>
              <w:t>nün mevcut olması</w:t>
            </w:r>
            <w:r w:rsidRPr="00001224">
              <w:rPr>
                <w:szCs w:val="24"/>
                <w:lang w:eastAsia="x-none"/>
              </w:rPr>
              <w:t xml:space="preserve"> veya kira sözleşmesi</w:t>
            </w:r>
            <w:r w:rsidR="004459DF" w:rsidRPr="00001224">
              <w:rPr>
                <w:bCs/>
                <w:szCs w:val="24"/>
                <w:lang w:eastAsia="x-none"/>
              </w:rPr>
              <w:t>nin</w:t>
            </w:r>
            <w:r w:rsidRPr="00001224">
              <w:rPr>
                <w:szCs w:val="24"/>
                <w:lang w:eastAsia="x-none"/>
              </w:rPr>
              <w:t xml:space="preserve"> süresinin</w:t>
            </w:r>
            <w:r w:rsidRPr="00A23740">
              <w:rPr>
                <w:szCs w:val="24"/>
                <w:lang w:eastAsia="x-none"/>
              </w:rPr>
              <w:t xml:space="preserve"> sona ermesi nedeniyle ilamsız tahliyeye ilişkin takip talebi</w:t>
            </w:r>
            <w:r w:rsidR="00CA19F7" w:rsidRPr="00A23740">
              <w:rPr>
                <w:szCs w:val="24"/>
                <w:lang w:eastAsia="x-none"/>
              </w:rPr>
              <w:t xml:space="preserve">nde </w:t>
            </w:r>
            <w:r w:rsidR="00E01E14" w:rsidRPr="00A23740">
              <w:rPr>
                <w:szCs w:val="24"/>
                <w:lang w:eastAsia="x-none"/>
              </w:rPr>
              <w:t>bulunması gereken</w:t>
            </w:r>
            <w:r w:rsidR="00CA19F7" w:rsidRPr="00A23740">
              <w:rPr>
                <w:szCs w:val="24"/>
                <w:lang w:eastAsia="x-none"/>
              </w:rPr>
              <w:t xml:space="preserve"> hususlar düzenlenmektedir.</w:t>
            </w:r>
            <w:r w:rsidR="00DA7976" w:rsidRPr="00A23740">
              <w:rPr>
                <w:szCs w:val="24"/>
                <w:lang w:eastAsia="x-none"/>
              </w:rPr>
              <w:t xml:space="preserve"> Hüküm, 2004 sayılı Kanunun 272 nci maddesinin birinci fıkrasına karşılık gelmektedir.</w:t>
            </w:r>
          </w:p>
          <w:p w:rsidR="006322AC" w:rsidRPr="00A23740" w:rsidRDefault="00996E1C" w:rsidP="009431FF">
            <w:pPr>
              <w:keepNext/>
              <w:ind w:firstLine="709"/>
              <w:outlineLvl w:val="3"/>
              <w:rPr>
                <w:szCs w:val="24"/>
                <w:lang w:eastAsia="x-none"/>
              </w:rPr>
            </w:pPr>
            <w:r w:rsidRPr="00A23740">
              <w:rPr>
                <w:szCs w:val="24"/>
                <w:lang w:eastAsia="x-none"/>
              </w:rPr>
              <w:t>2004 sayılı Kanunun 272 nci maddesinin birinci fıkrasına göre</w:t>
            </w:r>
            <w:r w:rsidR="00906ADA" w:rsidRPr="00A23740">
              <w:rPr>
                <w:szCs w:val="24"/>
                <w:lang w:eastAsia="x-none"/>
              </w:rPr>
              <w:t>,</w:t>
            </w:r>
            <w:r w:rsidRPr="00A23740">
              <w:rPr>
                <w:szCs w:val="24"/>
                <w:lang w:eastAsia="x-none"/>
              </w:rPr>
              <w:t xml:space="preserve"> kira süresinin bitmesi nedeniyle ilamsız tahliye yoluna sade</w:t>
            </w:r>
            <w:r w:rsidR="00584AE1" w:rsidRPr="00A23740">
              <w:rPr>
                <w:szCs w:val="24"/>
                <w:lang w:eastAsia="x-none"/>
              </w:rPr>
              <w:t>ce yazılı kira sözleşmesi</w:t>
            </w:r>
            <w:r w:rsidR="00906ADA" w:rsidRPr="00A23740">
              <w:rPr>
                <w:szCs w:val="24"/>
                <w:lang w:eastAsia="x-none"/>
              </w:rPr>
              <w:t>yle</w:t>
            </w:r>
            <w:r w:rsidR="00584AE1" w:rsidRPr="00A23740">
              <w:rPr>
                <w:szCs w:val="24"/>
                <w:lang w:eastAsia="x-none"/>
              </w:rPr>
              <w:t xml:space="preserve"> </w:t>
            </w:r>
            <w:r w:rsidRPr="00A23740">
              <w:rPr>
                <w:szCs w:val="24"/>
                <w:lang w:eastAsia="x-none"/>
              </w:rPr>
              <w:t>(mukavelename) kiraya verilmiş olan taşınmazlar için başvurulabil</w:t>
            </w:r>
            <w:r w:rsidR="00DA7976" w:rsidRPr="00A23740">
              <w:rPr>
                <w:szCs w:val="24"/>
                <w:lang w:eastAsia="x-none"/>
              </w:rPr>
              <w:t>mekteydi</w:t>
            </w:r>
            <w:r w:rsidRPr="00A23740">
              <w:rPr>
                <w:szCs w:val="24"/>
                <w:lang w:eastAsia="x-none"/>
              </w:rPr>
              <w:t>. Diğer bir ifadeyle sözlü bir anlaşmayla kiraya verilmiş olan taşınmazın kira süresinin bitiminde ilamsız icra yoluna başvurularak tahliyesi istenemez</w:t>
            </w:r>
            <w:r w:rsidR="00584AE1" w:rsidRPr="00A23740">
              <w:rPr>
                <w:szCs w:val="24"/>
                <w:lang w:eastAsia="x-none"/>
              </w:rPr>
              <w:t>di</w:t>
            </w:r>
            <w:r w:rsidRPr="00A23740">
              <w:rPr>
                <w:szCs w:val="24"/>
                <w:lang w:eastAsia="x-none"/>
              </w:rPr>
              <w:t xml:space="preserve">. </w:t>
            </w:r>
            <w:r w:rsidR="00B30DCC" w:rsidRPr="00A23740">
              <w:rPr>
                <w:szCs w:val="24"/>
                <w:lang w:eastAsia="x-none"/>
              </w:rPr>
              <w:t>Bu kural konut ve çatılı işyeri dışındaki taşınmaz kiraları için mut</w:t>
            </w:r>
            <w:r w:rsidR="00584AE1" w:rsidRPr="00A23740">
              <w:rPr>
                <w:szCs w:val="24"/>
                <w:lang w:eastAsia="x-none"/>
              </w:rPr>
              <w:t>lak bir şekilde kabul edilmişti</w:t>
            </w:r>
            <w:r w:rsidR="00B30DCC" w:rsidRPr="00A23740">
              <w:rPr>
                <w:szCs w:val="24"/>
                <w:lang w:eastAsia="x-none"/>
              </w:rPr>
              <w:t xml:space="preserve">. Buna karşılık konut ve çatılı işyeri kiraları bakımından yazılı bir kira sözleşmesinin </w:t>
            </w:r>
            <w:r w:rsidR="006322AC" w:rsidRPr="00A23740">
              <w:rPr>
                <w:szCs w:val="24"/>
                <w:lang w:eastAsia="x-none"/>
              </w:rPr>
              <w:t>varlığı aranmamış olup,</w:t>
            </w:r>
            <w:r w:rsidR="00584AE1" w:rsidRPr="00A23740">
              <w:rPr>
                <w:szCs w:val="24"/>
                <w:lang w:eastAsia="x-none"/>
              </w:rPr>
              <w:t xml:space="preserve"> </w:t>
            </w:r>
            <w:r w:rsidR="006322AC" w:rsidRPr="00A23740">
              <w:rPr>
                <w:szCs w:val="24"/>
                <w:lang w:eastAsia="x-none"/>
              </w:rPr>
              <w:t xml:space="preserve">bu kapsamda sözlü kira sözleşmesi </w:t>
            </w:r>
            <w:r w:rsidR="00906ADA" w:rsidRPr="00A23740">
              <w:rPr>
                <w:szCs w:val="24"/>
                <w:lang w:eastAsia="x-none"/>
              </w:rPr>
              <w:t xml:space="preserve">mevcudiyeti halinde </w:t>
            </w:r>
            <w:r w:rsidR="006322AC" w:rsidRPr="00A23740">
              <w:rPr>
                <w:szCs w:val="24"/>
                <w:lang w:eastAsia="x-none"/>
              </w:rPr>
              <w:t xml:space="preserve">de </w:t>
            </w:r>
            <w:r w:rsidR="00B30DCC" w:rsidRPr="00A23740">
              <w:rPr>
                <w:szCs w:val="24"/>
                <w:lang w:eastAsia="x-none"/>
              </w:rPr>
              <w:t>yazılı tahliye taahhüdüne dayanılarak il</w:t>
            </w:r>
            <w:r w:rsidR="006322AC" w:rsidRPr="00A23740">
              <w:rPr>
                <w:szCs w:val="24"/>
                <w:lang w:eastAsia="x-none"/>
              </w:rPr>
              <w:t>amsız tahliye takibi yapılabilmekteydi.</w:t>
            </w:r>
            <w:r w:rsidR="00584AE1" w:rsidRPr="00A23740">
              <w:rPr>
                <w:szCs w:val="24"/>
                <w:lang w:eastAsia="x-none"/>
              </w:rPr>
              <w:t xml:space="preserve"> 2004 sayılı Kanunda kabul edilen </w:t>
            </w:r>
            <w:r w:rsidR="006322AC" w:rsidRPr="00A23740">
              <w:rPr>
                <w:szCs w:val="24"/>
                <w:lang w:eastAsia="x-none"/>
              </w:rPr>
              <w:t xml:space="preserve">bu </w:t>
            </w:r>
            <w:r w:rsidR="00584AE1" w:rsidRPr="00A23740">
              <w:rPr>
                <w:szCs w:val="24"/>
                <w:lang w:eastAsia="x-none"/>
              </w:rPr>
              <w:t>esaslar Taslakta daha sarih h</w:t>
            </w:r>
            <w:r w:rsidR="00E54A6B" w:rsidRPr="00A23740">
              <w:rPr>
                <w:szCs w:val="24"/>
                <w:lang w:eastAsia="x-none"/>
              </w:rPr>
              <w:t>â</w:t>
            </w:r>
            <w:r w:rsidR="00584AE1" w:rsidRPr="00A23740">
              <w:rPr>
                <w:szCs w:val="24"/>
                <w:lang w:eastAsia="x-none"/>
              </w:rPr>
              <w:t>le getirilerek muhafaza edilmektedir.</w:t>
            </w:r>
          </w:p>
          <w:p w:rsidR="00996E1C" w:rsidRPr="00A23740" w:rsidRDefault="00CA19F7" w:rsidP="009431FF">
            <w:pPr>
              <w:keepNext/>
              <w:ind w:firstLine="709"/>
              <w:outlineLvl w:val="3"/>
              <w:rPr>
                <w:szCs w:val="24"/>
                <w:lang w:eastAsia="x-none"/>
              </w:rPr>
            </w:pPr>
            <w:r w:rsidRPr="00A23740">
              <w:rPr>
                <w:szCs w:val="24"/>
                <w:lang w:eastAsia="x-none"/>
              </w:rPr>
              <w:t>Birinci fıkrayla, y</w:t>
            </w:r>
            <w:r w:rsidR="00A930BD" w:rsidRPr="00A23740">
              <w:rPr>
                <w:szCs w:val="24"/>
                <w:lang w:eastAsia="x-none"/>
              </w:rPr>
              <w:t xml:space="preserve">azılı kira sözleşmesine konu </w:t>
            </w:r>
            <w:r w:rsidR="00C33D08" w:rsidRPr="00001224">
              <w:rPr>
                <w:szCs w:val="24"/>
                <w:lang w:eastAsia="x-none"/>
              </w:rPr>
              <w:t>olan</w:t>
            </w:r>
            <w:r w:rsidR="00C33D08" w:rsidRPr="00A23740">
              <w:rPr>
                <w:szCs w:val="24"/>
                <w:lang w:eastAsia="x-none"/>
              </w:rPr>
              <w:t xml:space="preserve"> </w:t>
            </w:r>
            <w:r w:rsidR="00A930BD" w:rsidRPr="00A23740">
              <w:rPr>
                <w:szCs w:val="24"/>
                <w:lang w:eastAsia="x-none"/>
              </w:rPr>
              <w:t>yerin konut veya çatılı işyeri olması ve talebin, noterlikçe resen düzenlenmiş veya tarih ve imzası onaylanmış ya da adi yazılı</w:t>
            </w:r>
            <w:r w:rsidR="00E676D6" w:rsidRPr="00A23740">
              <w:rPr>
                <w:szCs w:val="24"/>
                <w:lang w:eastAsia="x-none"/>
              </w:rPr>
              <w:t xml:space="preserve"> tahliye taahhüdüne dayanması hâ</w:t>
            </w:r>
            <w:r w:rsidR="00A930BD" w:rsidRPr="00A23740">
              <w:rPr>
                <w:szCs w:val="24"/>
                <w:lang w:eastAsia="x-none"/>
              </w:rPr>
              <w:t>linde, ilamsız tahliye yoluna, tahliyenin taahhüt edildiği tarihten itibar</w:t>
            </w:r>
            <w:r w:rsidRPr="00A23740">
              <w:rPr>
                <w:szCs w:val="24"/>
                <w:lang w:eastAsia="x-none"/>
              </w:rPr>
              <w:t>en bir ay içinde başvurulabileceği düzenlenmektedir.</w:t>
            </w:r>
            <w:r w:rsidR="00B30DCC" w:rsidRPr="00A23740">
              <w:rPr>
                <w:szCs w:val="24"/>
                <w:lang w:eastAsia="x-none"/>
              </w:rPr>
              <w:t xml:space="preserve"> 6098 sayılı</w:t>
            </w:r>
            <w:r w:rsidR="006F16CF" w:rsidRPr="00A23740">
              <w:rPr>
                <w:szCs w:val="24"/>
                <w:lang w:eastAsia="x-none"/>
              </w:rPr>
              <w:t xml:space="preserve"> </w:t>
            </w:r>
            <w:r w:rsidR="006F16CF" w:rsidRPr="00001224">
              <w:rPr>
                <w:szCs w:val="24"/>
                <w:lang w:eastAsia="x-none"/>
              </w:rPr>
              <w:t>Kanunun</w:t>
            </w:r>
            <w:r w:rsidR="00B30DCC" w:rsidRPr="00A23740">
              <w:rPr>
                <w:szCs w:val="24"/>
                <w:lang w:eastAsia="x-none"/>
              </w:rPr>
              <w:t xml:space="preserve"> 352 inci maddesinin birinci fıkrasına göre </w:t>
            </w:r>
            <w:r w:rsidR="00584AE1" w:rsidRPr="00A23740">
              <w:rPr>
                <w:color w:val="000000"/>
              </w:rPr>
              <w:t xml:space="preserve">kiracı, kiralananın teslim edilmesinden sonra, kiraya verene karşı, kiralananı belli bir tarihte boşaltmayı yazılı olarak üstlendiği hâlde boşaltmamışsa kiraya veren, kira sözleşmesini bu tarihten başlayarak bir ay içinde icraya başvurmak veya dava açmak suretiyle sona erdirebilir. </w:t>
            </w:r>
            <w:r w:rsidR="00584AE1" w:rsidRPr="00A23740">
              <w:rPr>
                <w:szCs w:val="24"/>
                <w:lang w:eastAsia="x-none"/>
              </w:rPr>
              <w:t>B</w:t>
            </w:r>
            <w:r w:rsidR="00B30DCC" w:rsidRPr="00A23740">
              <w:rPr>
                <w:szCs w:val="24"/>
                <w:lang w:eastAsia="x-none"/>
              </w:rPr>
              <w:t>u düzenleme</w:t>
            </w:r>
            <w:r w:rsidR="00584AE1" w:rsidRPr="00A23740">
              <w:rPr>
                <w:szCs w:val="24"/>
                <w:lang w:eastAsia="x-none"/>
              </w:rPr>
              <w:t>ler</w:t>
            </w:r>
            <w:r w:rsidR="00B30DCC" w:rsidRPr="00A23740">
              <w:rPr>
                <w:szCs w:val="24"/>
                <w:lang w:eastAsia="x-none"/>
              </w:rPr>
              <w:t xml:space="preserve"> uyarınca takip talebinin yapılabilmesi için sözlemenin konusunun konut ve çatılı iş yeri olması ve 6098 sayılı</w:t>
            </w:r>
            <w:r w:rsidR="006F16CF" w:rsidRPr="00A23740">
              <w:rPr>
                <w:szCs w:val="24"/>
                <w:lang w:eastAsia="x-none"/>
              </w:rPr>
              <w:t xml:space="preserve"> </w:t>
            </w:r>
            <w:r w:rsidR="006F16CF" w:rsidRPr="00001224">
              <w:rPr>
                <w:bCs/>
                <w:szCs w:val="24"/>
              </w:rPr>
              <w:t>Kanunun</w:t>
            </w:r>
            <w:r w:rsidR="00B30DCC" w:rsidRPr="00A23740">
              <w:rPr>
                <w:b/>
                <w:szCs w:val="24"/>
                <w:lang w:eastAsia="x-none"/>
              </w:rPr>
              <w:t xml:space="preserve"> </w:t>
            </w:r>
            <w:r w:rsidR="00B30DCC" w:rsidRPr="00A23740">
              <w:rPr>
                <w:szCs w:val="24"/>
                <w:lang w:eastAsia="x-none"/>
              </w:rPr>
              <w:t xml:space="preserve">352 inci maddesinin birinci fıkrasında belirtildiği üzere </w:t>
            </w:r>
            <w:r w:rsidR="00906ADA" w:rsidRPr="00A23740">
              <w:rPr>
                <w:szCs w:val="24"/>
                <w:lang w:eastAsia="x-none"/>
              </w:rPr>
              <w:t xml:space="preserve">bir </w:t>
            </w:r>
            <w:r w:rsidR="00B30DCC" w:rsidRPr="00A23740">
              <w:rPr>
                <w:szCs w:val="24"/>
                <w:lang w:eastAsia="x-none"/>
              </w:rPr>
              <w:t>tahliye taahhüdünün bulunması zorunludur.</w:t>
            </w:r>
            <w:r w:rsidR="00584AE1" w:rsidRPr="00A23740">
              <w:rPr>
                <w:szCs w:val="24"/>
                <w:lang w:eastAsia="x-none"/>
              </w:rPr>
              <w:t xml:space="preserve"> Takibe başvuruda süre sınırlaması söz konusudur. Bu süre</w:t>
            </w:r>
            <w:r w:rsidR="00DA7976" w:rsidRPr="00A23740">
              <w:rPr>
                <w:szCs w:val="24"/>
                <w:lang w:eastAsia="x-none"/>
              </w:rPr>
              <w:t xml:space="preserve"> kiracının, kiralananı tahliye etmeyi taahhüt ettiği tarihten itibaren bir aydır</w:t>
            </w:r>
            <w:r w:rsidR="00584AE1" w:rsidRPr="00A23740">
              <w:rPr>
                <w:szCs w:val="24"/>
                <w:lang w:eastAsia="x-none"/>
              </w:rPr>
              <w:t>.</w:t>
            </w:r>
          </w:p>
          <w:p w:rsidR="00913B84" w:rsidRPr="00A23740" w:rsidRDefault="00CA19F7" w:rsidP="009431FF">
            <w:pPr>
              <w:keepNext/>
              <w:ind w:firstLine="709"/>
              <w:outlineLvl w:val="3"/>
              <w:rPr>
                <w:szCs w:val="24"/>
                <w:lang w:eastAsia="x-none"/>
              </w:rPr>
            </w:pPr>
            <w:r w:rsidRPr="00A23740">
              <w:rPr>
                <w:szCs w:val="24"/>
                <w:lang w:eastAsia="x-none"/>
              </w:rPr>
              <w:t>İkinci fıkrayla, yazılı kira sözleşmesinde belirlenen sürenin sona ermesi nedeniyle taşınmazın ilamsız tahliyesi yoluna, sözleşmenin sona erdiği tarihten itibaren bir ay içinde başvurulabileceği hükme bağlanmaktadır.</w:t>
            </w:r>
            <w:r w:rsidR="008434A4" w:rsidRPr="00A23740">
              <w:rPr>
                <w:szCs w:val="24"/>
                <w:lang w:eastAsia="x-none"/>
              </w:rPr>
              <w:t xml:space="preserve"> </w:t>
            </w:r>
            <w:r w:rsidRPr="00A23740">
              <w:rPr>
                <w:szCs w:val="24"/>
                <w:lang w:eastAsia="x-none"/>
              </w:rPr>
              <w:t>Bu hüküm, konut ve çatılı işye</w:t>
            </w:r>
            <w:r w:rsidR="00B30DCC" w:rsidRPr="00A23740">
              <w:rPr>
                <w:szCs w:val="24"/>
                <w:lang w:eastAsia="x-none"/>
              </w:rPr>
              <w:t>ri kiraları hakkında uygulanma</w:t>
            </w:r>
            <w:r w:rsidR="008208BD" w:rsidRPr="00A23740">
              <w:rPr>
                <w:szCs w:val="24"/>
                <w:lang w:eastAsia="x-none"/>
              </w:rPr>
              <w:t>yacaktır</w:t>
            </w:r>
            <w:r w:rsidR="00B30DCC" w:rsidRPr="00A23740">
              <w:rPr>
                <w:szCs w:val="24"/>
                <w:lang w:eastAsia="x-none"/>
              </w:rPr>
              <w:t xml:space="preserve">. </w:t>
            </w:r>
            <w:r w:rsidR="00584AE1" w:rsidRPr="00A23740">
              <w:rPr>
                <w:szCs w:val="24"/>
                <w:lang w:eastAsia="x-none"/>
              </w:rPr>
              <w:t xml:space="preserve">Buradaki tahliye usulü süreli kira sözleşmeleri için uygulanır. Dolayısıyla kira sözleşmesi süresiz </w:t>
            </w:r>
            <w:r w:rsidR="004459DF" w:rsidRPr="00001224">
              <w:rPr>
                <w:szCs w:val="24"/>
                <w:lang w:eastAsia="x-none"/>
              </w:rPr>
              <w:t>ise</w:t>
            </w:r>
            <w:r w:rsidR="004459DF" w:rsidRPr="00A23740">
              <w:rPr>
                <w:szCs w:val="24"/>
                <w:lang w:eastAsia="x-none"/>
              </w:rPr>
              <w:t xml:space="preserve"> </w:t>
            </w:r>
            <w:r w:rsidR="00584AE1" w:rsidRPr="00A23740">
              <w:rPr>
                <w:szCs w:val="24"/>
                <w:lang w:eastAsia="x-none"/>
              </w:rPr>
              <w:t>veya süreli kira sözleşmesi belirsiz süreli sözleşmeye dönüşmüşs</w:t>
            </w:r>
            <w:r w:rsidR="00584AE1" w:rsidRPr="00E73A9C">
              <w:t>e</w:t>
            </w:r>
            <w:r w:rsidR="004459DF" w:rsidRPr="00E73A9C">
              <w:rPr>
                <w:lang w:eastAsia="x-none"/>
              </w:rPr>
              <w:t>,</w:t>
            </w:r>
            <w:r w:rsidR="00584AE1" w:rsidRPr="00A23740">
              <w:rPr>
                <w:szCs w:val="24"/>
                <w:lang w:eastAsia="x-none"/>
              </w:rPr>
              <w:t xml:space="preserve"> bu madde uyarınca ilamsız tahliye takibi yapılamaz.</w:t>
            </w:r>
            <w:r w:rsidR="00BE3133" w:rsidRPr="00A23740">
              <w:rPr>
                <w:szCs w:val="24"/>
                <w:lang w:eastAsia="x-none"/>
              </w:rPr>
              <w:t xml:space="preserve"> </w:t>
            </w:r>
            <w:r w:rsidR="008434A4" w:rsidRPr="00A23740">
              <w:rPr>
                <w:color w:val="000000"/>
              </w:rPr>
              <w:t xml:space="preserve">6098 sayılı </w:t>
            </w:r>
            <w:r w:rsidR="00344F26" w:rsidRPr="00A23740">
              <w:rPr>
                <w:color w:val="000000"/>
              </w:rPr>
              <w:t>Kanunun 347 nci maddesinin birinci fıkrasına göre k</w:t>
            </w:r>
            <w:r w:rsidR="008434A4" w:rsidRPr="00A23740">
              <w:rPr>
                <w:color w:val="000000"/>
              </w:rPr>
              <w:t xml:space="preserve">onut ve çatılı işyeri kiralarında kiracı, belirli süreli sözleşmelerin süresinin bitiminden en az onbeş gün önce bildirimde bulunmadıkça, sözleşme aynı koşullarla bir yıl için uzatılmış sayılır. </w:t>
            </w:r>
            <w:r w:rsidR="00913B84" w:rsidRPr="00A23740">
              <w:rPr>
                <w:szCs w:val="24"/>
                <w:lang w:eastAsia="x-none"/>
              </w:rPr>
              <w:t xml:space="preserve">Kiraya veren, sözleşme süresinin </w:t>
            </w:r>
            <w:r w:rsidR="00EC18FF" w:rsidRPr="00A23740">
              <w:rPr>
                <w:szCs w:val="24"/>
                <w:lang w:eastAsia="x-none"/>
              </w:rPr>
              <w:t xml:space="preserve">bitmesine </w:t>
            </w:r>
            <w:r w:rsidR="00913B84" w:rsidRPr="00A23740">
              <w:rPr>
                <w:szCs w:val="24"/>
                <w:lang w:eastAsia="x-none"/>
              </w:rPr>
              <w:t>dayanarak sözleşmeyi sona erdiremez. Ancak, on yıllık uzama süresi sonunda kiraya veren, bu süreyi izleyen her uzama yılının bitiminden en az üç ay önce bildirimde bulunmak koşuluyla, herhangi bir sebep göstermeksizin sözleşmeye son verebilir.</w:t>
            </w:r>
            <w:r w:rsidR="00344F26" w:rsidRPr="00A23740">
              <w:rPr>
                <w:szCs w:val="24"/>
                <w:lang w:eastAsia="x-none"/>
              </w:rPr>
              <w:t xml:space="preserve"> </w:t>
            </w:r>
            <w:r w:rsidR="00DA7976" w:rsidRPr="00A23740">
              <w:rPr>
                <w:szCs w:val="24"/>
                <w:lang w:eastAsia="x-none"/>
              </w:rPr>
              <w:t xml:space="preserve">Konut ve çatılı işyeri kiraları bakımından kirayaya </w:t>
            </w:r>
            <w:r w:rsidR="00344F26" w:rsidRPr="00A23740">
              <w:rPr>
                <w:szCs w:val="24"/>
                <w:lang w:eastAsia="x-none"/>
              </w:rPr>
              <w:t>verenin</w:t>
            </w:r>
            <w:r w:rsidR="00B7243B" w:rsidRPr="00A23740">
              <w:rPr>
                <w:szCs w:val="24"/>
                <w:lang w:eastAsia="x-none"/>
              </w:rPr>
              <w:t>,</w:t>
            </w:r>
            <w:r w:rsidR="008208BD" w:rsidRPr="00A23740">
              <w:rPr>
                <w:szCs w:val="24"/>
                <w:lang w:eastAsia="x-none"/>
              </w:rPr>
              <w:t xml:space="preserve"> sözleşme süresinin sonunda, sözleşmeyi sona erdirme hakkı bulunmadığından kira sözleşmesi süresinin bitimine bağlı olarak </w:t>
            </w:r>
            <w:r w:rsidR="00344F26" w:rsidRPr="00A23740">
              <w:rPr>
                <w:szCs w:val="24"/>
                <w:lang w:eastAsia="x-none"/>
              </w:rPr>
              <w:t>ilamsız tahliye yolu</w:t>
            </w:r>
            <w:r w:rsidR="00B7243B" w:rsidRPr="00A23740">
              <w:rPr>
                <w:szCs w:val="24"/>
                <w:lang w:eastAsia="x-none"/>
              </w:rPr>
              <w:t>na başvurulamayacağı açıkça ifade edilmektedir.</w:t>
            </w:r>
          </w:p>
          <w:p w:rsidR="00461A5B" w:rsidRPr="00A23740" w:rsidRDefault="0068562E" w:rsidP="009431FF">
            <w:pPr>
              <w:keepNext/>
              <w:ind w:firstLine="709"/>
              <w:outlineLvl w:val="3"/>
              <w:rPr>
                <w:b/>
              </w:rPr>
            </w:pPr>
            <w:r w:rsidRPr="00A23740">
              <w:rPr>
                <w:szCs w:val="24"/>
                <w:lang w:eastAsia="x-none"/>
              </w:rPr>
              <w:t>Ü</w:t>
            </w:r>
            <w:r w:rsidR="00B7243B" w:rsidRPr="00A23740">
              <w:rPr>
                <w:szCs w:val="24"/>
                <w:lang w:eastAsia="x-none"/>
              </w:rPr>
              <w:t xml:space="preserve">çüncü </w:t>
            </w:r>
            <w:r w:rsidR="007B238E" w:rsidRPr="00001224">
              <w:rPr>
                <w:szCs w:val="24"/>
                <w:lang w:eastAsia="x-none"/>
              </w:rPr>
              <w:t>fıkrada,</w:t>
            </w:r>
            <w:r w:rsidR="007B238E" w:rsidRPr="00A23740">
              <w:rPr>
                <w:szCs w:val="24"/>
                <w:lang w:eastAsia="x-none"/>
              </w:rPr>
              <w:t xml:space="preserve"> </w:t>
            </w:r>
            <w:r w:rsidR="00B7243B" w:rsidRPr="00A23740">
              <w:rPr>
                <w:szCs w:val="24"/>
                <w:lang w:eastAsia="x-none"/>
              </w:rPr>
              <w:t xml:space="preserve">Taslağın </w:t>
            </w:r>
            <w:r w:rsidRPr="00A23740">
              <w:rPr>
                <w:szCs w:val="24"/>
                <w:lang w:eastAsia="x-none"/>
              </w:rPr>
              <w:t>87 nci madde</w:t>
            </w:r>
            <w:r w:rsidR="00B7243B" w:rsidRPr="00A23740">
              <w:rPr>
                <w:szCs w:val="24"/>
                <w:lang w:eastAsia="x-none"/>
              </w:rPr>
              <w:t>si uyarınca düzenlenecek olan</w:t>
            </w:r>
            <w:r w:rsidRPr="00A23740">
              <w:rPr>
                <w:szCs w:val="24"/>
                <w:lang w:eastAsia="x-none"/>
              </w:rPr>
              <w:t xml:space="preserve"> takip talebine, birinci fıkradaki h</w:t>
            </w:r>
            <w:r w:rsidR="00E54A6B" w:rsidRPr="00A23740">
              <w:rPr>
                <w:szCs w:val="24"/>
                <w:lang w:eastAsia="x-none"/>
              </w:rPr>
              <w:t>â</w:t>
            </w:r>
            <w:r w:rsidRPr="00A23740">
              <w:rPr>
                <w:szCs w:val="24"/>
                <w:lang w:eastAsia="x-none"/>
              </w:rPr>
              <w:t>lde takibin dayanağı olan kira sözleşmesinin ve tahliye taahhüdünün, ikinci fıkradaki h</w:t>
            </w:r>
            <w:r w:rsidR="00E54A6B" w:rsidRPr="00A23740">
              <w:rPr>
                <w:szCs w:val="24"/>
                <w:lang w:eastAsia="x-none"/>
              </w:rPr>
              <w:t>â</w:t>
            </w:r>
            <w:r w:rsidRPr="00A23740">
              <w:rPr>
                <w:szCs w:val="24"/>
                <w:lang w:eastAsia="x-none"/>
              </w:rPr>
              <w:t>lde ise kira sözleşmesinin aslı veya ona</w:t>
            </w:r>
            <w:r w:rsidR="00B7243B" w:rsidRPr="00A23740">
              <w:rPr>
                <w:szCs w:val="24"/>
                <w:lang w:eastAsia="x-none"/>
              </w:rPr>
              <w:t xml:space="preserve">ylı bir örneğinin </w:t>
            </w:r>
            <w:r w:rsidR="007B238E" w:rsidRPr="00001224">
              <w:rPr>
                <w:bCs/>
                <w:szCs w:val="24"/>
                <w:lang w:eastAsia="x-none"/>
              </w:rPr>
              <w:t>eklenmesi öngörülmektedir.</w:t>
            </w:r>
          </w:p>
          <w:p w:rsidR="00461A5B" w:rsidRPr="00A23740" w:rsidRDefault="00461A5B" w:rsidP="009431FF">
            <w:pPr>
              <w:keepNext/>
              <w:ind w:firstLine="709"/>
              <w:outlineLvl w:val="3"/>
              <w:rPr>
                <w:b/>
                <w:szCs w:val="24"/>
              </w:rPr>
            </w:pPr>
          </w:p>
        </w:tc>
      </w:tr>
      <w:tr w:rsidR="00AA5C8C" w:rsidRPr="00A23740" w:rsidTr="009431FF">
        <w:tc>
          <w:tcPr>
            <w:tcW w:w="2500" w:type="pct"/>
          </w:tcPr>
          <w:p w:rsidR="00AA5C8C" w:rsidRPr="00A23740" w:rsidRDefault="00AA5C8C"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Mukavelename ile kiralanan taşınmazların tahliyesi:</w:t>
            </w: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r w:rsidRPr="00A23740">
              <w:rPr>
                <w:b/>
                <w:szCs w:val="24"/>
              </w:rPr>
              <w:t xml:space="preserve">1 – Tahliye emri ve </w:t>
            </w:r>
            <w:r w:rsidRPr="00A23740">
              <w:rPr>
                <w:b/>
                <w:bCs/>
                <w:strike/>
                <w:color w:val="FF0000"/>
                <w:szCs w:val="24"/>
              </w:rPr>
              <w:t>münderecatı:</w:t>
            </w:r>
          </w:p>
          <w:p w:rsidR="00AA5C8C" w:rsidRPr="00A23740" w:rsidRDefault="00AA5C8C" w:rsidP="009431FF">
            <w:pPr>
              <w:tabs>
                <w:tab w:val="left" w:pos="567"/>
              </w:tabs>
              <w:rPr>
                <w:bCs/>
                <w:strike/>
                <w:color w:val="FF0000"/>
                <w:szCs w:val="24"/>
              </w:rPr>
            </w:pPr>
            <w:r w:rsidRPr="00A23740">
              <w:rPr>
                <w:b/>
                <w:bCs/>
                <w:strike/>
                <w:color w:val="FF0000"/>
                <w:szCs w:val="24"/>
              </w:rPr>
              <w:t>Madde 272 – (1) (Değişik: 3/7/1940 - 3890/1 md.)</w:t>
            </w:r>
          </w:p>
          <w:p w:rsidR="00AA5C8C" w:rsidRPr="00A23740" w:rsidRDefault="00AA5C8C" w:rsidP="009431FF">
            <w:pPr>
              <w:tabs>
                <w:tab w:val="left" w:pos="567"/>
              </w:tabs>
              <w:rPr>
                <w:b/>
                <w:bCs/>
                <w:strike/>
                <w:color w:val="FF0000"/>
                <w:szCs w:val="24"/>
              </w:rPr>
            </w:pPr>
            <w:r w:rsidRPr="00A23740">
              <w:rPr>
                <w:b/>
                <w:bCs/>
                <w:strike/>
                <w:color w:val="FF0000"/>
                <w:szCs w:val="24"/>
              </w:rPr>
              <w:t>Mukavelename ile kiralanan bir taşınmazın müddeti bittikten bir ay içinde mukavelenin icra dairesine ibrazı ile tahliyesi istenebilir.</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b/>
                <w:bCs/>
                <w:strike/>
                <w:color w:val="FF0000"/>
                <w:szCs w:val="24"/>
              </w:rPr>
            </w:pPr>
            <w:r w:rsidRPr="00A23740">
              <w:rPr>
                <w:b/>
                <w:bCs/>
                <w:strike/>
                <w:color w:val="FF0000"/>
                <w:szCs w:val="24"/>
              </w:rPr>
              <w:t>(2) Bunun üzerine icra memuru bir tahliye emri tebliği suretiyle taşınmazın on  beş gün içinde tahliye ve teslimini emreder.</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b/>
                <w:bCs/>
                <w:strike/>
                <w:color w:val="FF0000"/>
                <w:szCs w:val="24"/>
              </w:rPr>
            </w:pPr>
            <w:r w:rsidRPr="00A23740">
              <w:rPr>
                <w:b/>
                <w:bCs/>
                <w:strike/>
                <w:color w:val="FF0000"/>
                <w:szCs w:val="24"/>
              </w:rPr>
              <w:t>(3)</w:t>
            </w:r>
            <w:r w:rsidRPr="00A23740">
              <w:rPr>
                <w:b/>
                <w:bCs/>
                <w:color w:val="FF0000"/>
                <w:szCs w:val="24"/>
              </w:rPr>
              <w:t xml:space="preserve"> </w:t>
            </w:r>
            <w:r w:rsidRPr="00A23740">
              <w:t>Tahliye emrinde:</w:t>
            </w:r>
          </w:p>
          <w:p w:rsidR="00AA5C8C" w:rsidRPr="00A23740" w:rsidRDefault="00AA5C8C" w:rsidP="009431FF">
            <w:pPr>
              <w:tabs>
                <w:tab w:val="left" w:pos="567"/>
              </w:tabs>
              <w:rPr>
                <w:b/>
                <w:bCs/>
                <w:strike/>
                <w:color w:val="FF0000"/>
                <w:szCs w:val="24"/>
              </w:rPr>
            </w:pPr>
            <w:r w:rsidRPr="00A23740">
              <w:rPr>
                <w:b/>
                <w:bCs/>
                <w:strike/>
                <w:color w:val="FF0000"/>
                <w:szCs w:val="24"/>
              </w:rPr>
              <w:t>Kiralayanın ve kiracının ve varsa mümessillerinin isim, şöhret ve yerleşim yerleri ve mukavele tarihi ve kiranın yenilendiğine veya uzatıldığına dair bir itirazı varsa yedi gün içinde daireye müracaatla beyan etmez ve itirazda bulunmaz veya kendiliğinden tahliye etmezse zorla çıkarılacağı yazılır.</w:t>
            </w:r>
          </w:p>
          <w:p w:rsidR="00AA5C8C" w:rsidRPr="00A23740" w:rsidRDefault="00AA5C8C" w:rsidP="009431FF">
            <w:pPr>
              <w:tabs>
                <w:tab w:val="center" w:pos="3543"/>
              </w:tabs>
              <w:rPr>
                <w:i/>
                <w:szCs w:val="24"/>
              </w:rPr>
            </w:pPr>
          </w:p>
        </w:tc>
        <w:tc>
          <w:tcPr>
            <w:tcW w:w="2500" w:type="pct"/>
          </w:tcPr>
          <w:p w:rsidR="00AA5C8C" w:rsidRPr="00A23740" w:rsidRDefault="00AA5C8C" w:rsidP="009431FF">
            <w:pPr>
              <w:tabs>
                <w:tab w:val="left" w:pos="566"/>
              </w:tabs>
              <w:autoSpaceDE w:val="0"/>
              <w:autoSpaceDN w:val="0"/>
              <w:adjustRightInd w:val="0"/>
              <w:rPr>
                <w:rFonts w:eastAsia="Times New Roman"/>
                <w:b/>
                <w:color w:val="0000FF"/>
                <w:szCs w:val="24"/>
                <w:lang w:eastAsia="tr-TR"/>
              </w:rPr>
            </w:pPr>
            <w:r w:rsidRPr="00A23740">
              <w:rPr>
                <w:b/>
                <w:szCs w:val="24"/>
              </w:rPr>
              <w:t>Tahliye emri</w:t>
            </w:r>
          </w:p>
          <w:p w:rsidR="00AA5C8C" w:rsidRPr="00A23740" w:rsidRDefault="00AA5C8C" w:rsidP="009431FF">
            <w:pPr>
              <w:tabs>
                <w:tab w:val="left" w:pos="567"/>
              </w:tabs>
              <w:autoSpaceDE w:val="0"/>
              <w:autoSpaceDN w:val="0"/>
              <w:adjustRightInd w:val="0"/>
              <w:rPr>
                <w:b/>
                <w:bCs/>
                <w:color w:val="0000FF"/>
                <w:szCs w:val="24"/>
                <w:lang w:val="x-none" w:eastAsia="x-none"/>
              </w:rPr>
            </w:pPr>
            <w:r w:rsidRPr="00A23740">
              <w:rPr>
                <w:b/>
                <w:bCs/>
                <w:color w:val="0000FF"/>
                <w:szCs w:val="24"/>
                <w:lang w:val="x-none" w:eastAsia="x-none"/>
              </w:rPr>
              <w:t xml:space="preserve">MADDE </w:t>
            </w:r>
            <w:r w:rsidR="0064280C" w:rsidRPr="00A23740">
              <w:rPr>
                <w:b/>
                <w:bCs/>
                <w:color w:val="0000FF"/>
                <w:szCs w:val="24"/>
                <w:lang w:eastAsia="x-none"/>
              </w:rPr>
              <w:t>144</w:t>
            </w:r>
            <w:r w:rsidRPr="00A23740">
              <w:rPr>
                <w:b/>
                <w:bCs/>
                <w:color w:val="0000FF"/>
                <w:szCs w:val="24"/>
                <w:lang w:val="x-none" w:eastAsia="x-none"/>
              </w:rPr>
              <w:t>-</w:t>
            </w:r>
            <w:r w:rsidRPr="00A23740">
              <w:rPr>
                <w:b/>
                <w:bCs/>
                <w:color w:val="0000FF"/>
                <w:szCs w:val="24"/>
                <w:lang w:eastAsia="x-none"/>
              </w:rPr>
              <w:t xml:space="preserve"> </w:t>
            </w:r>
            <w:r w:rsidRPr="00A23740">
              <w:rPr>
                <w:rStyle w:val="MaviChar"/>
              </w:rPr>
              <w:t>(1) Takip talebinin bu Kanunda öngörülen şartları içerdiğine karar verilmesi h</w:t>
            </w:r>
            <w:r w:rsidR="00E54A6B" w:rsidRPr="00A23740">
              <w:rPr>
                <w:rStyle w:val="MaviChar"/>
                <w:lang w:val="tr-TR"/>
              </w:rPr>
              <w:t>â</w:t>
            </w:r>
            <w:r w:rsidRPr="00A23740">
              <w:rPr>
                <w:rStyle w:val="MaviChar"/>
              </w:rPr>
              <w:t xml:space="preserve">linde icra ve iflas dairesi tarafından tahliye emri düzenlenir. Tahliye emriyle birlikte takibin dayanağı olan belgeler borçluya </w:t>
            </w:r>
            <w:r w:rsidR="002654C8" w:rsidRPr="00001224">
              <w:rPr>
                <w:rStyle w:val="MaviChar"/>
              </w:rPr>
              <w:t>tebliğe gönderilir.</w:t>
            </w:r>
            <w:r w:rsidR="002654C8" w:rsidRPr="00A23740">
              <w:rPr>
                <w:rStyle w:val="MaviChar"/>
              </w:rPr>
              <w:t xml:space="preserve"> </w:t>
            </w:r>
            <w:r w:rsidRPr="00A23740">
              <w:rPr>
                <w:rStyle w:val="MaviChar"/>
              </w:rPr>
              <w:t>Talebin kabul edilmemesi h</w:t>
            </w:r>
            <w:r w:rsidR="00E54A6B" w:rsidRPr="00A23740">
              <w:rPr>
                <w:rStyle w:val="MaviChar"/>
                <w:lang w:val="tr-TR"/>
              </w:rPr>
              <w:t>â</w:t>
            </w:r>
            <w:r w:rsidRPr="00A23740">
              <w:rPr>
                <w:rStyle w:val="MaviChar"/>
              </w:rPr>
              <w:t>linde</w:t>
            </w:r>
            <w:r w:rsidR="007B238E" w:rsidRPr="00A23740">
              <w:rPr>
                <w:rStyle w:val="MaviChar"/>
                <w:lang w:val="tr-TR"/>
              </w:rPr>
              <w:t>,</w:t>
            </w:r>
            <w:r w:rsidRPr="00A23740">
              <w:rPr>
                <w:rStyle w:val="MaviChar"/>
              </w:rPr>
              <w:t xml:space="preserve"> verilen karar</w:t>
            </w:r>
            <w:r w:rsidR="005F60FC" w:rsidRPr="005F60FC">
              <w:rPr>
                <w:rStyle w:val="KIRMIZIChar"/>
                <w:rFonts w:eastAsia="Calibri"/>
                <w:strike w:val="0"/>
              </w:rPr>
              <w:t xml:space="preserve"> </w:t>
            </w:r>
            <w:r w:rsidRPr="00A23740">
              <w:rPr>
                <w:rStyle w:val="MaviChar"/>
              </w:rPr>
              <w:t xml:space="preserve">tutanağa yazılır ve </w:t>
            </w:r>
            <w:r w:rsidR="002654C8" w:rsidRPr="00001224">
              <w:rPr>
                <w:rStyle w:val="MaviChar"/>
              </w:rPr>
              <w:t>durum</w:t>
            </w:r>
            <w:r w:rsidR="002654C8" w:rsidRPr="00A23740">
              <w:rPr>
                <w:rStyle w:val="MaviChar"/>
                <w:color w:val="385623"/>
              </w:rPr>
              <w:t xml:space="preserve"> </w:t>
            </w:r>
            <w:r w:rsidRPr="00A23740">
              <w:rPr>
                <w:rStyle w:val="MaviChar"/>
              </w:rPr>
              <w:t>derh</w:t>
            </w:r>
            <w:r w:rsidR="00DF22A1" w:rsidRPr="00A23740">
              <w:rPr>
                <w:rStyle w:val="MaviChar"/>
                <w:lang w:val="tr-TR"/>
              </w:rPr>
              <w:t>â</w:t>
            </w:r>
            <w:r w:rsidRPr="00A23740">
              <w:rPr>
                <w:rStyle w:val="MaviChar"/>
              </w:rPr>
              <w:t xml:space="preserve">l alacaklıya </w:t>
            </w:r>
            <w:r w:rsidR="002654C8" w:rsidRPr="00001224">
              <w:rPr>
                <w:rStyle w:val="MaviChar"/>
              </w:rPr>
              <w:t>tebliğe gönderilir.</w:t>
            </w:r>
            <w:r w:rsidRPr="00A23740">
              <w:rPr>
                <w:rStyle w:val="MaviChar"/>
              </w:rPr>
              <w:t xml:space="preserve"> Bu işlemler, en geç üç gün içinde yerine getirilir.</w:t>
            </w:r>
          </w:p>
          <w:p w:rsidR="00AA5C8C" w:rsidRPr="00A23740" w:rsidRDefault="00AA5C8C" w:rsidP="009431FF">
            <w:pPr>
              <w:tabs>
                <w:tab w:val="left" w:pos="567"/>
              </w:tabs>
              <w:rPr>
                <w:b/>
                <w:bCs/>
                <w:color w:val="0000FF"/>
                <w:szCs w:val="24"/>
                <w:lang w:eastAsia="x-none"/>
              </w:rPr>
            </w:pPr>
          </w:p>
          <w:p w:rsidR="00AA5C8C" w:rsidRPr="00A23740" w:rsidRDefault="00AA5C8C" w:rsidP="009431FF">
            <w:pPr>
              <w:pStyle w:val="Mavi"/>
            </w:pPr>
            <w:r w:rsidRPr="00A23740">
              <w:t>(2) Taşınmaz aile konutu ise, tahliye talepli icra takibinin yapıldığı hususu borçlunun eşine bir ihbarnameyle tebliğ edilir.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w:t>
            </w:r>
            <w:r w:rsidRPr="00A23740">
              <w:rPr>
                <w:b/>
                <w:bCs/>
                <w:color w:val="0000FF"/>
                <w:szCs w:val="24"/>
                <w:lang w:eastAsia="x-none"/>
              </w:rPr>
              <w:t>3</w:t>
            </w:r>
            <w:r w:rsidRPr="00A23740">
              <w:rPr>
                <w:b/>
                <w:bCs/>
                <w:color w:val="0000FF"/>
                <w:szCs w:val="24"/>
                <w:lang w:val="x-none" w:eastAsia="x-none"/>
              </w:rPr>
              <w:t xml:space="preserve">) </w:t>
            </w:r>
            <w:r w:rsidRPr="00A23740">
              <w:rPr>
                <w:szCs w:val="24"/>
              </w:rPr>
              <w:t>Tahliye emrinde</w:t>
            </w:r>
            <w:r w:rsidRPr="00A23740">
              <w:rPr>
                <w:b/>
                <w:bCs/>
                <w:color w:val="0000FF"/>
                <w:szCs w:val="24"/>
                <w:lang w:val="x-none" w:eastAsia="x-none"/>
              </w:rPr>
              <w:t xml:space="preserve"> aşağıdaki hususlar bulunur</w:t>
            </w:r>
            <w:r w:rsidRPr="00A23740">
              <w:rPr>
                <w:szCs w:val="24"/>
              </w:rPr>
              <w:t>:</w:t>
            </w:r>
          </w:p>
          <w:p w:rsidR="00AA5C8C" w:rsidRPr="00A23740" w:rsidRDefault="00AA5C8C" w:rsidP="009431FF">
            <w:pPr>
              <w:tabs>
                <w:tab w:val="left" w:pos="567"/>
              </w:tabs>
              <w:rPr>
                <w:b/>
                <w:bCs/>
                <w:color w:val="0000FF"/>
                <w:szCs w:val="24"/>
                <w:lang w:eastAsia="x-none"/>
              </w:rPr>
            </w:pPr>
          </w:p>
          <w:p w:rsidR="00AA5C8C" w:rsidRPr="00A23740" w:rsidRDefault="00AA5C8C" w:rsidP="009431FF">
            <w:pPr>
              <w:tabs>
                <w:tab w:val="left" w:pos="567"/>
              </w:tabs>
              <w:rPr>
                <w:strike/>
                <w:color w:val="0000FF"/>
                <w:szCs w:val="24"/>
                <w:lang w:eastAsia="x-none"/>
              </w:rPr>
            </w:pPr>
            <w:r w:rsidRPr="00A23740">
              <w:rPr>
                <w:b/>
                <w:bCs/>
                <w:color w:val="0000FF"/>
                <w:szCs w:val="24"/>
                <w:lang w:eastAsia="x-none"/>
              </w:rPr>
              <w:t xml:space="preserve">a) </w:t>
            </w:r>
            <w:r w:rsidRPr="00A23740">
              <w:rPr>
                <w:b/>
                <w:bCs/>
                <w:color w:val="0000FF"/>
                <w:szCs w:val="24"/>
                <w:lang w:val="x-none" w:eastAsia="x-none"/>
              </w:rPr>
              <w:t>Alacaklının ve varsa kanuni temsilcisinin ve vekilinin adı, soyadı</w:t>
            </w:r>
            <w:r w:rsidR="007B238E" w:rsidRPr="00A23740">
              <w:rPr>
                <w:b/>
                <w:bCs/>
                <w:color w:val="0000FF"/>
                <w:szCs w:val="24"/>
                <w:lang w:eastAsia="x-none"/>
              </w:rPr>
              <w:t>, tüzel kişiyse ü</w:t>
            </w:r>
            <w:r w:rsidRPr="00A23740">
              <w:rPr>
                <w:b/>
                <w:bCs/>
                <w:color w:val="0000FF"/>
                <w:szCs w:val="24"/>
                <w:lang w:eastAsia="x-none"/>
              </w:rPr>
              <w:t>nvanı, adresi; gerçek kişiler için Türkiye Cumhuriyeti kimlik numarası, tüzel kişiler için vergi kimlik numarası, Merkez</w:t>
            </w:r>
            <w:r w:rsidR="007B238E" w:rsidRPr="00A23740">
              <w:rPr>
                <w:b/>
                <w:bCs/>
                <w:color w:val="0000FF"/>
                <w:szCs w:val="24"/>
                <w:lang w:eastAsia="x-none"/>
              </w:rPr>
              <w:t>î</w:t>
            </w:r>
            <w:r w:rsidRPr="00A23740">
              <w:rPr>
                <w:b/>
                <w:bCs/>
                <w:color w:val="0000FF"/>
                <w:szCs w:val="24"/>
                <w:lang w:eastAsia="x-none"/>
              </w:rPr>
              <w:t xml:space="preserve"> Sicil Kayıt Sistemi numarası veya ilgili sicil numarası.</w:t>
            </w:r>
          </w:p>
          <w:p w:rsidR="00AA5C8C" w:rsidRPr="00A23740" w:rsidRDefault="00AA5C8C" w:rsidP="009431FF">
            <w:pPr>
              <w:tabs>
                <w:tab w:val="left" w:pos="567"/>
              </w:tabs>
              <w:rPr>
                <w:strike/>
                <w:color w:val="0000FF"/>
                <w:szCs w:val="24"/>
                <w:lang w:eastAsia="x-none"/>
              </w:rPr>
            </w:pPr>
          </w:p>
          <w:p w:rsidR="00AA5C8C" w:rsidRPr="00A23740" w:rsidRDefault="00AA5C8C" w:rsidP="009431FF">
            <w:pPr>
              <w:tabs>
                <w:tab w:val="left" w:pos="567"/>
              </w:tabs>
              <w:rPr>
                <w:strike/>
                <w:color w:val="0000FF"/>
                <w:szCs w:val="24"/>
                <w:lang w:eastAsia="x-none"/>
              </w:rPr>
            </w:pPr>
            <w:r w:rsidRPr="00A23740">
              <w:rPr>
                <w:b/>
                <w:bCs/>
                <w:color w:val="0000FF"/>
                <w:szCs w:val="24"/>
                <w:lang w:eastAsia="x-none"/>
              </w:rPr>
              <w:t>b) Borçlunun ve varsa kanuni temsilcisinin adı, soyadı, biliniyorsa Türkiye Cumhuriyeti k</w:t>
            </w:r>
            <w:r w:rsidR="007B238E" w:rsidRPr="00A23740">
              <w:rPr>
                <w:b/>
                <w:bCs/>
                <w:color w:val="0000FF"/>
                <w:szCs w:val="24"/>
                <w:lang w:eastAsia="x-none"/>
              </w:rPr>
              <w:t>imlik numarası; tüzel kişi ise ü</w:t>
            </w:r>
            <w:r w:rsidRPr="00A23740">
              <w:rPr>
                <w:b/>
                <w:bCs/>
                <w:color w:val="0000FF"/>
                <w:szCs w:val="24"/>
                <w:lang w:eastAsia="x-none"/>
              </w:rPr>
              <w:t>nvanı, vergi kimlik numarası, Merkez</w:t>
            </w:r>
            <w:r w:rsidR="007B238E" w:rsidRPr="00A23740">
              <w:rPr>
                <w:b/>
                <w:bCs/>
                <w:color w:val="0000FF"/>
                <w:szCs w:val="24"/>
                <w:lang w:eastAsia="x-none"/>
              </w:rPr>
              <w:t>î</w:t>
            </w:r>
            <w:r w:rsidRPr="00A23740">
              <w:rPr>
                <w:b/>
                <w:bCs/>
                <w:color w:val="0000FF"/>
                <w:szCs w:val="24"/>
                <w:lang w:eastAsia="x-none"/>
              </w:rPr>
              <w:t xml:space="preserve"> Sicil Kayıt Sistemi numarası veya ilgili sicil numarası; adresi.</w:t>
            </w:r>
          </w:p>
          <w:p w:rsidR="00AA5C8C" w:rsidRPr="00A23740" w:rsidRDefault="00AA5C8C" w:rsidP="009431FF">
            <w:pPr>
              <w:pStyle w:val="Mavi"/>
            </w:pPr>
          </w:p>
          <w:p w:rsidR="00AA5C8C" w:rsidRPr="00A23740" w:rsidRDefault="00AA5C8C" w:rsidP="009431FF">
            <w:pPr>
              <w:pStyle w:val="Mavi"/>
            </w:pPr>
            <w:r w:rsidRPr="00A23740">
              <w:t>c) Takip giderlerinin ödenmesi için icra ve iflas dairesinin banka hesap numarası.</w:t>
            </w:r>
          </w:p>
          <w:p w:rsidR="00AA5C8C" w:rsidRPr="00A23740" w:rsidRDefault="00AA5C8C" w:rsidP="009431FF">
            <w:pPr>
              <w:tabs>
                <w:tab w:val="left" w:pos="567"/>
              </w:tabs>
              <w:rPr>
                <w:b/>
                <w:bCs/>
                <w:color w:val="0000FF"/>
                <w:szCs w:val="24"/>
                <w:lang w:eastAsia="x-none"/>
              </w:rPr>
            </w:pPr>
          </w:p>
          <w:p w:rsidR="00AA5C8C" w:rsidRPr="00A23740" w:rsidRDefault="008F0642" w:rsidP="009431FF">
            <w:pPr>
              <w:tabs>
                <w:tab w:val="left" w:pos="567"/>
              </w:tabs>
              <w:rPr>
                <w:b/>
                <w:bCs/>
                <w:color w:val="0000FF"/>
                <w:szCs w:val="24"/>
                <w:lang w:val="x-none" w:eastAsia="x-none"/>
              </w:rPr>
            </w:pPr>
            <w:r w:rsidRPr="00A23740">
              <w:rPr>
                <w:b/>
                <w:bCs/>
                <w:color w:val="0000FF"/>
                <w:szCs w:val="24"/>
                <w:lang w:eastAsia="x-none"/>
              </w:rPr>
              <w:t>ç</w:t>
            </w:r>
            <w:r w:rsidR="00AA5C8C" w:rsidRPr="00A23740">
              <w:rPr>
                <w:b/>
                <w:bCs/>
                <w:color w:val="0000FF"/>
                <w:szCs w:val="24"/>
                <w:lang w:val="x-none" w:eastAsia="x-none"/>
              </w:rPr>
              <w:t xml:space="preserve">) Tahliyesi istenen taşınmazın </w:t>
            </w:r>
            <w:r w:rsidR="00AA5C8C" w:rsidRPr="00A23740">
              <w:rPr>
                <w:rStyle w:val="MaviChar"/>
              </w:rPr>
              <w:t>niteliği</w:t>
            </w:r>
            <w:r w:rsidR="00AA5C8C" w:rsidRPr="00A23740">
              <w:rPr>
                <w:b/>
                <w:bCs/>
                <w:color w:val="0000FF"/>
                <w:szCs w:val="24"/>
                <w:lang w:eastAsia="x-none"/>
              </w:rPr>
              <w:t xml:space="preserve"> </w:t>
            </w:r>
            <w:r w:rsidR="00AA5C8C" w:rsidRPr="00A23740">
              <w:rPr>
                <w:b/>
                <w:bCs/>
                <w:color w:val="0000FF"/>
                <w:szCs w:val="24"/>
                <w:lang w:val="x-none" w:eastAsia="x-none"/>
              </w:rPr>
              <w:t>ve adresi.</w:t>
            </w:r>
          </w:p>
          <w:p w:rsidR="00AA5C8C" w:rsidRPr="00A23740" w:rsidRDefault="00AA5C8C" w:rsidP="009431FF">
            <w:pPr>
              <w:pStyle w:val="Mavi"/>
            </w:pPr>
          </w:p>
          <w:p w:rsidR="00AA5C8C" w:rsidRPr="00A23740" w:rsidRDefault="008F0642" w:rsidP="009431FF">
            <w:pPr>
              <w:pStyle w:val="Mavi"/>
              <w:rPr>
                <w:strike/>
                <w:color w:val="FF0000"/>
              </w:rPr>
            </w:pPr>
            <w:r w:rsidRPr="00A23740">
              <w:t>d</w:t>
            </w:r>
            <w:r w:rsidR="00AA5C8C" w:rsidRPr="00A23740">
              <w:t>) Kira sözleşmesinin sona erdiği tarih.</w:t>
            </w:r>
          </w:p>
          <w:p w:rsidR="00AA5C8C" w:rsidRPr="00A23740" w:rsidRDefault="00AA5C8C" w:rsidP="009431FF">
            <w:pPr>
              <w:pStyle w:val="Mavi"/>
            </w:pPr>
          </w:p>
          <w:p w:rsidR="00AA5C8C" w:rsidRPr="00A23740" w:rsidRDefault="008F0642" w:rsidP="009431FF">
            <w:pPr>
              <w:pStyle w:val="Mavi"/>
              <w:rPr>
                <w:strike/>
                <w:color w:val="FF0000"/>
              </w:rPr>
            </w:pPr>
            <w:r w:rsidRPr="00A23740">
              <w:t>e</w:t>
            </w:r>
            <w:r w:rsidR="00AA5C8C" w:rsidRPr="00A23740">
              <w:t>) Tahliye taahhüdünün düzenlendiği ve tahliyenin taahhüt edildiği tarih.</w:t>
            </w:r>
          </w:p>
          <w:p w:rsidR="00AA5C8C" w:rsidRPr="00A23740" w:rsidRDefault="00AA5C8C" w:rsidP="009431FF">
            <w:pPr>
              <w:pStyle w:val="Mavi"/>
            </w:pPr>
          </w:p>
          <w:p w:rsidR="00AA5C8C" w:rsidRPr="00A23740" w:rsidRDefault="008F0642" w:rsidP="009431FF">
            <w:pPr>
              <w:pStyle w:val="Mavi"/>
            </w:pPr>
            <w:r w:rsidRPr="00A23740">
              <w:t>f</w:t>
            </w:r>
            <w:r w:rsidR="00823C0B" w:rsidRPr="00A23740">
              <w:t>) K</w:t>
            </w:r>
            <w:r w:rsidR="00AA5C8C" w:rsidRPr="00A23740">
              <w:t>ira sözleşmesinin veya tahliye taahhüdünün al</w:t>
            </w:r>
            <w:r w:rsidR="0089218D" w:rsidRPr="00A23740">
              <w:rPr>
                <w:lang w:val="tr-TR"/>
              </w:rPr>
              <w:t>t</w:t>
            </w:r>
            <w:r w:rsidR="00AA5C8C" w:rsidRPr="00A23740">
              <w:t xml:space="preserve">ındaki imzaya, icra ve iflas dairesinin yetkisine veya alacaklının takip hakkına itirazını, tahliye emrinin tebliğinden itibaren iki hafta içinde icra </w:t>
            </w:r>
            <w:r w:rsidR="00B73523" w:rsidRPr="00001224">
              <w:rPr>
                <w:lang w:val="tr-TR"/>
              </w:rPr>
              <w:t>ve iflas</w:t>
            </w:r>
            <w:r w:rsidR="00B73523" w:rsidRPr="00A23740">
              <w:rPr>
                <w:b w:val="0"/>
                <w:bCs w:val="0"/>
              </w:rPr>
              <w:t xml:space="preserve"> </w:t>
            </w:r>
            <w:r w:rsidR="00AA5C8C" w:rsidRPr="00A23740">
              <w:t>dairesine yapması gerektiği.</w:t>
            </w:r>
          </w:p>
          <w:p w:rsidR="00A825DB" w:rsidRPr="00A23740" w:rsidRDefault="00A825DB" w:rsidP="009431FF">
            <w:pPr>
              <w:pStyle w:val="Mavi"/>
            </w:pPr>
          </w:p>
          <w:p w:rsidR="00AA5C8C" w:rsidRPr="00A23740" w:rsidRDefault="008F0642" w:rsidP="009431FF">
            <w:pPr>
              <w:tabs>
                <w:tab w:val="left" w:pos="567"/>
              </w:tabs>
              <w:rPr>
                <w:b/>
                <w:bCs/>
                <w:color w:val="0000FF"/>
                <w:szCs w:val="24"/>
                <w:lang w:eastAsia="x-none"/>
              </w:rPr>
            </w:pPr>
            <w:r w:rsidRPr="00A23740">
              <w:rPr>
                <w:b/>
                <w:bCs/>
                <w:color w:val="0000FF"/>
                <w:szCs w:val="24"/>
                <w:lang w:eastAsia="x-none"/>
              </w:rPr>
              <w:t>g</w:t>
            </w:r>
            <w:r w:rsidR="00AA5C8C" w:rsidRPr="00A23740">
              <w:rPr>
                <w:b/>
                <w:bCs/>
                <w:color w:val="0000FF"/>
                <w:szCs w:val="24"/>
                <w:lang w:val="x-none" w:eastAsia="x-none"/>
              </w:rPr>
              <w:t>) Süresi içinde</w:t>
            </w:r>
            <w:r w:rsidR="00AA5C8C" w:rsidRPr="00A23740">
              <w:rPr>
                <w:b/>
                <w:bCs/>
                <w:color w:val="0000FF"/>
                <w:szCs w:val="24"/>
                <w:lang w:eastAsia="x-none"/>
              </w:rPr>
              <w:t xml:space="preserve"> </w:t>
            </w:r>
            <w:r w:rsidR="009B3076" w:rsidRPr="00A23740">
              <w:rPr>
                <w:rStyle w:val="MaviChar"/>
                <w:lang w:val="tr-TR"/>
              </w:rPr>
              <w:t>tahliye</w:t>
            </w:r>
            <w:r w:rsidR="0089218D" w:rsidRPr="00A23740">
              <w:rPr>
                <w:rStyle w:val="MaviChar"/>
              </w:rPr>
              <w:t xml:space="preserve"> emrine itiraz edilmez </w:t>
            </w:r>
            <w:r w:rsidR="00AA5C8C" w:rsidRPr="00A23740">
              <w:rPr>
                <w:rStyle w:val="MaviChar"/>
              </w:rPr>
              <w:t>ve taşınmaz tahliye ve teslim edilmezse</w:t>
            </w:r>
            <w:r w:rsidR="00737CA4" w:rsidRPr="00A23740">
              <w:rPr>
                <w:rStyle w:val="MaviChar"/>
              </w:rPr>
              <w:t>,</w:t>
            </w:r>
            <w:r w:rsidR="00AA5C8C" w:rsidRPr="00A23740">
              <w:rPr>
                <w:rStyle w:val="MaviChar"/>
              </w:rPr>
              <w:t xml:space="preserve"> alacaklının talebi üzerine sulh hukuk mahkemesi kararıyla taşınmazın tahliye edileceği.</w:t>
            </w:r>
          </w:p>
          <w:p w:rsidR="00AA5C8C" w:rsidRPr="00A23740" w:rsidRDefault="00AA5C8C" w:rsidP="009431FF">
            <w:pPr>
              <w:tabs>
                <w:tab w:val="left" w:pos="567"/>
              </w:tabs>
              <w:rPr>
                <w:b/>
                <w:bCs/>
                <w:color w:val="0000FF"/>
                <w:szCs w:val="24"/>
                <w:lang w:eastAsia="x-none"/>
              </w:rPr>
            </w:pPr>
          </w:p>
          <w:p w:rsidR="00AA5C8C" w:rsidRPr="00A23740" w:rsidRDefault="008F0642" w:rsidP="009431FF">
            <w:pPr>
              <w:tabs>
                <w:tab w:val="left" w:pos="567"/>
              </w:tabs>
              <w:rPr>
                <w:b/>
                <w:bCs/>
                <w:color w:val="0000FF"/>
                <w:szCs w:val="24"/>
                <w:lang w:val="x-none" w:eastAsia="x-none"/>
              </w:rPr>
            </w:pPr>
            <w:r w:rsidRPr="00A23740">
              <w:rPr>
                <w:b/>
                <w:bCs/>
                <w:color w:val="0000FF"/>
                <w:szCs w:val="24"/>
                <w:lang w:eastAsia="x-none"/>
              </w:rPr>
              <w:t>ğ</w:t>
            </w:r>
            <w:r w:rsidR="00AA5C8C" w:rsidRPr="00A23740">
              <w:rPr>
                <w:b/>
                <w:bCs/>
                <w:color w:val="0000FF"/>
                <w:szCs w:val="24"/>
                <w:lang w:val="x-none" w:eastAsia="x-none"/>
              </w:rPr>
              <w:t xml:space="preserve">) </w:t>
            </w:r>
            <w:r w:rsidR="00AA5C8C" w:rsidRPr="00A23740">
              <w:rPr>
                <w:rStyle w:val="MaviChar"/>
              </w:rPr>
              <w:t>Tahliye emrinin yurt dışında tebliğ edildiği h</w:t>
            </w:r>
            <w:r w:rsidR="00E54A6B" w:rsidRPr="00A23740">
              <w:rPr>
                <w:rStyle w:val="MaviChar"/>
                <w:lang w:val="tr-TR"/>
              </w:rPr>
              <w:t>â</w:t>
            </w:r>
            <w:r w:rsidR="00AA5C8C" w:rsidRPr="00A23740">
              <w:rPr>
                <w:rStyle w:val="MaviChar"/>
              </w:rPr>
              <w:t>llerde, itiraz etmek isteyen borçlunun itirazla birlikte, itiraz etmeyecek olan borçlunun ise itiraz süresi içinde, dava ve takip işlemlerine esas olmak üzere yurt içinde bir adres bildirmek zorunda olduğu; yurt içinde bir adres bildirmediği takdirde, kendisine bundan sonra tebliğ edilecek olan evrakın icra dosyası içinde muhafaza edilerek kendisine tebliğ edilmiş sayılacağı; itiraz süresi içinde itiraz edilmiş ve fakat itirazla birlikte yurt içinde bir adres bildirilmemişse itirazın dahi yapılmamış kabul edileceği.</w:t>
            </w:r>
          </w:p>
          <w:p w:rsidR="00AA5C8C" w:rsidRPr="00A23740" w:rsidRDefault="00AA5C8C" w:rsidP="009431FF">
            <w:pPr>
              <w:tabs>
                <w:tab w:val="left" w:pos="567"/>
              </w:tabs>
              <w:rPr>
                <w:b/>
                <w:bCs/>
                <w:color w:val="0000FF"/>
                <w:szCs w:val="24"/>
                <w:lang w:val="x-none" w:eastAsia="x-none"/>
              </w:rPr>
            </w:pPr>
          </w:p>
          <w:p w:rsidR="00AA5C8C" w:rsidRPr="00A23740" w:rsidRDefault="008F0642" w:rsidP="009431FF">
            <w:pPr>
              <w:tabs>
                <w:tab w:val="left" w:pos="567"/>
              </w:tabs>
              <w:rPr>
                <w:b/>
                <w:bCs/>
                <w:color w:val="0000FF"/>
                <w:szCs w:val="24"/>
                <w:lang w:val="x-none" w:eastAsia="x-none"/>
              </w:rPr>
            </w:pPr>
            <w:r w:rsidRPr="00A23740">
              <w:rPr>
                <w:b/>
                <w:bCs/>
                <w:color w:val="0000FF"/>
                <w:szCs w:val="24"/>
                <w:lang w:eastAsia="x-none"/>
              </w:rPr>
              <w:t>h</w:t>
            </w:r>
            <w:r w:rsidR="00AA5C8C" w:rsidRPr="00A23740">
              <w:rPr>
                <w:b/>
                <w:bCs/>
                <w:color w:val="0000FF"/>
                <w:szCs w:val="24"/>
                <w:lang w:val="x-none" w:eastAsia="x-none"/>
              </w:rPr>
              <w:t>) Varsa şik</w:t>
            </w:r>
            <w:r w:rsidR="007B238E" w:rsidRPr="00A23740">
              <w:rPr>
                <w:b/>
                <w:bCs/>
                <w:color w:val="0000FF"/>
                <w:szCs w:val="24"/>
                <w:lang w:eastAsia="x-none"/>
              </w:rPr>
              <w:t>â</w:t>
            </w:r>
            <w:r w:rsidR="00AA5C8C" w:rsidRPr="00A23740">
              <w:rPr>
                <w:b/>
                <w:bCs/>
                <w:color w:val="0000FF"/>
                <w:szCs w:val="24"/>
                <w:lang w:val="x-none" w:eastAsia="x-none"/>
              </w:rPr>
              <w:t>yetlerini 22</w:t>
            </w:r>
            <w:r w:rsidR="00AA5C8C" w:rsidRPr="00A23740">
              <w:rPr>
                <w:b/>
                <w:bCs/>
                <w:color w:val="0000FF"/>
                <w:szCs w:val="24"/>
                <w:lang w:eastAsia="x-none"/>
              </w:rPr>
              <w:t xml:space="preserve"> nci </w:t>
            </w:r>
            <w:r w:rsidR="00AA5C8C" w:rsidRPr="00A23740">
              <w:rPr>
                <w:b/>
                <w:bCs/>
                <w:color w:val="0000FF"/>
                <w:szCs w:val="24"/>
                <w:lang w:val="x-none" w:eastAsia="x-none"/>
              </w:rPr>
              <w:t>ve devamı maddeler uyarınca icra hukuk mahkemesine yapabileceği ihtarı.</w:t>
            </w:r>
          </w:p>
          <w:p w:rsidR="00AA5C8C" w:rsidRPr="00A23740" w:rsidRDefault="00AA5C8C" w:rsidP="009431FF">
            <w:pPr>
              <w:tabs>
                <w:tab w:val="left" w:pos="567"/>
              </w:tabs>
              <w:rPr>
                <w:rFonts w:eastAsia="Times New Roman"/>
                <w:b/>
                <w:color w:val="0000FF"/>
                <w:szCs w:val="24"/>
                <w:lang w:eastAsia="tr-TR"/>
              </w:rPr>
            </w:pPr>
          </w:p>
        </w:tc>
      </w:tr>
      <w:tr w:rsidR="00BE3133" w:rsidRPr="00A23740" w:rsidTr="009431FF">
        <w:tc>
          <w:tcPr>
            <w:tcW w:w="5000" w:type="pct"/>
            <w:gridSpan w:val="2"/>
            <w:shd w:val="clear" w:color="auto" w:fill="DEEAF6"/>
          </w:tcPr>
          <w:p w:rsidR="00BE3133" w:rsidRPr="00A23740" w:rsidRDefault="00BE3133" w:rsidP="009431FF">
            <w:pPr>
              <w:keepNext/>
              <w:ind w:firstLine="709"/>
              <w:outlineLvl w:val="3"/>
              <w:rPr>
                <w:b/>
              </w:rPr>
            </w:pPr>
            <w:r w:rsidRPr="00A23740">
              <w:rPr>
                <w:b/>
              </w:rPr>
              <w:tab/>
            </w:r>
          </w:p>
          <w:p w:rsidR="00BE3133" w:rsidRPr="00A23740" w:rsidRDefault="00BE3133" w:rsidP="009431FF">
            <w:pPr>
              <w:keepNext/>
              <w:ind w:firstLine="709"/>
              <w:outlineLvl w:val="3"/>
            </w:pPr>
            <w:r w:rsidRPr="00A23740">
              <w:rPr>
                <w:b/>
              </w:rPr>
              <w:t xml:space="preserve">MADDE </w:t>
            </w:r>
            <w:r w:rsidR="0064280C" w:rsidRPr="00A23740">
              <w:rPr>
                <w:b/>
              </w:rPr>
              <w:t>144</w:t>
            </w:r>
            <w:r w:rsidRPr="00A23740">
              <w:rPr>
                <w:b/>
              </w:rPr>
              <w:t>-</w:t>
            </w:r>
            <w:r w:rsidRPr="00A23740">
              <w:t xml:space="preserve"> </w:t>
            </w:r>
            <w:r w:rsidRPr="00A23740">
              <w:rPr>
                <w:szCs w:val="24"/>
                <w:lang w:eastAsia="x-none"/>
              </w:rPr>
              <w:t>Maddeyle,</w:t>
            </w:r>
            <w:r w:rsidRPr="00A23740">
              <w:t xml:space="preserve"> tahliye emrine ilişkin hususlar düzenlenmektedir.</w:t>
            </w:r>
          </w:p>
          <w:p w:rsidR="00BE3133" w:rsidRPr="00A23740" w:rsidRDefault="00BE3133" w:rsidP="009431FF">
            <w:pPr>
              <w:keepNext/>
              <w:ind w:firstLine="709"/>
              <w:outlineLvl w:val="3"/>
              <w:rPr>
                <w:szCs w:val="24"/>
              </w:rPr>
            </w:pPr>
            <w:r w:rsidRPr="00A23740">
              <w:t xml:space="preserve">Birinci fıkrayla, </w:t>
            </w:r>
            <w:r w:rsidR="008C7EEB" w:rsidRPr="00A23740">
              <w:t>borçluya</w:t>
            </w:r>
            <w:r w:rsidRPr="00A23740">
              <w:t xml:space="preserve"> gönderilecek tahliye emrine ilişkin esaslar belirlenmektedir. Buna göre, t</w:t>
            </w:r>
            <w:r w:rsidRPr="00A23740">
              <w:rPr>
                <w:szCs w:val="24"/>
              </w:rPr>
              <w:t>akip talebinin bu Kanunda öngörülen şartları içerdiğine karar verilmesi h</w:t>
            </w:r>
            <w:r w:rsidR="00E54A6B" w:rsidRPr="00A23740">
              <w:rPr>
                <w:szCs w:val="24"/>
              </w:rPr>
              <w:t>â</w:t>
            </w:r>
            <w:r w:rsidRPr="00A23740">
              <w:rPr>
                <w:szCs w:val="24"/>
              </w:rPr>
              <w:t xml:space="preserve">linde icra ve iflas dairesi tarafından tahliye emri düzenlenir. Tahliye emriyle birlikte takibin dayanağı olan belgeler </w:t>
            </w:r>
            <w:r w:rsidR="008C7EEB" w:rsidRPr="00A23740">
              <w:rPr>
                <w:szCs w:val="24"/>
              </w:rPr>
              <w:t>borçluya</w:t>
            </w:r>
            <w:r w:rsidRPr="00A23740">
              <w:rPr>
                <w:szCs w:val="24"/>
              </w:rPr>
              <w:t xml:space="preserve"> </w:t>
            </w:r>
            <w:r w:rsidR="00C33D08" w:rsidRPr="00363170">
              <w:t>tebliğe gönderili</w:t>
            </w:r>
            <w:r w:rsidR="00C33D08" w:rsidRPr="00363170">
              <w:rPr>
                <w:szCs w:val="24"/>
              </w:rPr>
              <w:t>r</w:t>
            </w:r>
            <w:r w:rsidR="00C33D08" w:rsidRPr="00363170">
              <w:t>.</w:t>
            </w:r>
            <w:r w:rsidR="005F60FC">
              <w:rPr>
                <w:rStyle w:val="YELChar"/>
              </w:rPr>
              <w:t xml:space="preserve"> </w:t>
            </w:r>
            <w:r w:rsidRPr="00A23740">
              <w:rPr>
                <w:szCs w:val="24"/>
              </w:rPr>
              <w:t>Talebin kabul edilmemesi h</w:t>
            </w:r>
            <w:r w:rsidR="00E54A6B" w:rsidRPr="00A23740">
              <w:rPr>
                <w:szCs w:val="24"/>
              </w:rPr>
              <w:t>â</w:t>
            </w:r>
            <w:r w:rsidRPr="00A23740">
              <w:rPr>
                <w:szCs w:val="24"/>
              </w:rPr>
              <w:t>linde ise</w:t>
            </w:r>
            <w:r w:rsidR="00EC18FF" w:rsidRPr="00A23740">
              <w:rPr>
                <w:szCs w:val="24"/>
              </w:rPr>
              <w:t>,</w:t>
            </w:r>
            <w:r w:rsidRPr="00A23740">
              <w:rPr>
                <w:szCs w:val="24"/>
              </w:rPr>
              <w:t xml:space="preserve"> verilen karar tutanağa yazılır ve </w:t>
            </w:r>
            <w:r w:rsidR="00C33D08" w:rsidRPr="00363170">
              <w:t>durum</w:t>
            </w:r>
            <w:r w:rsidR="00C33D08" w:rsidRPr="00A23740">
              <w:rPr>
                <w:szCs w:val="24"/>
              </w:rPr>
              <w:t xml:space="preserve"> </w:t>
            </w:r>
            <w:r w:rsidR="00DF22A1" w:rsidRPr="00A23740">
              <w:rPr>
                <w:szCs w:val="24"/>
              </w:rPr>
              <w:t xml:space="preserve">derhâl </w:t>
            </w:r>
            <w:r w:rsidR="008C7EEB" w:rsidRPr="00A23740">
              <w:rPr>
                <w:szCs w:val="24"/>
              </w:rPr>
              <w:t>alacaklıya</w:t>
            </w:r>
            <w:r w:rsidRPr="00A23740">
              <w:rPr>
                <w:szCs w:val="24"/>
              </w:rPr>
              <w:t xml:space="preserve"> </w:t>
            </w:r>
            <w:r w:rsidR="00C33D08" w:rsidRPr="00363170">
              <w:t>tebliğe gönderilir</w:t>
            </w:r>
            <w:r w:rsidR="00C33D08" w:rsidRPr="00363170">
              <w:rPr>
                <w:szCs w:val="24"/>
              </w:rPr>
              <w:t>.</w:t>
            </w:r>
            <w:r w:rsidR="00C33D08" w:rsidRPr="00A23740">
              <w:rPr>
                <w:rStyle w:val="YELChar"/>
              </w:rPr>
              <w:t xml:space="preserve"> </w:t>
            </w:r>
            <w:r w:rsidRPr="00A23740">
              <w:rPr>
                <w:szCs w:val="24"/>
              </w:rPr>
              <w:t>Bu işlemler</w:t>
            </w:r>
            <w:r w:rsidR="008C7EEB" w:rsidRPr="00A23740">
              <w:rPr>
                <w:szCs w:val="24"/>
              </w:rPr>
              <w:t>in</w:t>
            </w:r>
            <w:r w:rsidRPr="00A23740">
              <w:rPr>
                <w:szCs w:val="24"/>
              </w:rPr>
              <w:t>, en geç üç gün içinde yerine getirilmesi gerekmektedir.</w:t>
            </w:r>
          </w:p>
          <w:p w:rsidR="008F0642" w:rsidRPr="00A23740" w:rsidRDefault="008C7EEB" w:rsidP="009431FF">
            <w:pPr>
              <w:keepNext/>
              <w:ind w:firstLine="709"/>
              <w:outlineLvl w:val="3"/>
              <w:rPr>
                <w:szCs w:val="24"/>
              </w:rPr>
            </w:pPr>
            <w:r w:rsidRPr="00A23740">
              <w:rPr>
                <w:szCs w:val="24"/>
              </w:rPr>
              <w:t>İkinci fıkrayla, taşınmazın aile konutu olması h</w:t>
            </w:r>
            <w:r w:rsidR="00E54A6B" w:rsidRPr="00A23740">
              <w:rPr>
                <w:szCs w:val="24"/>
              </w:rPr>
              <w:t>â</w:t>
            </w:r>
            <w:r w:rsidRPr="00A23740">
              <w:rPr>
                <w:szCs w:val="24"/>
              </w:rPr>
              <w:t>linde, tahliye talepli icra takibinin yapıldığı hususu</w:t>
            </w:r>
            <w:r w:rsidR="00F954C8" w:rsidRPr="00A23740">
              <w:rPr>
                <w:szCs w:val="24"/>
              </w:rPr>
              <w:t>nun</w:t>
            </w:r>
            <w:r w:rsidRPr="00A23740">
              <w:rPr>
                <w:szCs w:val="24"/>
              </w:rPr>
              <w:t xml:space="preserve"> borçlunun eşine bir ihbarnameyle tebliğ edilmesi gerektiği düzenlenmektedir</w:t>
            </w:r>
            <w:r w:rsidR="004F7A32" w:rsidRPr="00A23740">
              <w:rPr>
                <w:szCs w:val="24"/>
              </w:rPr>
              <w:t>.</w:t>
            </w:r>
            <w:r w:rsidR="0029616E" w:rsidRPr="00A23740">
              <w:rPr>
                <w:szCs w:val="24"/>
              </w:rPr>
              <w:t xml:space="preserve"> </w:t>
            </w:r>
            <w:r w:rsidR="006F16CF" w:rsidRPr="00363170">
              <w:rPr>
                <w:bCs/>
                <w:szCs w:val="24"/>
              </w:rPr>
              <w:t>6098 sayılı Kanunun</w:t>
            </w:r>
            <w:r w:rsidR="0029616E" w:rsidRPr="00A23740">
              <w:rPr>
                <w:szCs w:val="24"/>
              </w:rPr>
              <w:t xml:space="preserve"> 349 uncu maddesinin son fıkrası</w:t>
            </w:r>
            <w:r w:rsidR="00EC18FF" w:rsidRPr="00A23740">
              <w:rPr>
                <w:szCs w:val="24"/>
              </w:rPr>
              <w:t>yla,</w:t>
            </w:r>
            <w:r w:rsidR="0029616E" w:rsidRPr="00A23740">
              <w:rPr>
                <w:szCs w:val="24"/>
              </w:rPr>
              <w:t xml:space="preserve"> kiracı olmayan eşin kiraya verene bildirimde bulunarak kira sözleşm</w:t>
            </w:r>
            <w:r w:rsidR="00D5289A" w:rsidRPr="00A23740">
              <w:rPr>
                <w:szCs w:val="24"/>
              </w:rPr>
              <w:t xml:space="preserve">esinin tarafı sıfatı kazanabileceği </w:t>
            </w:r>
            <w:r w:rsidR="0029616E" w:rsidRPr="00A23740">
              <w:rPr>
                <w:szCs w:val="24"/>
              </w:rPr>
              <w:t>hüküm altına alınmıştır.</w:t>
            </w:r>
            <w:r w:rsidR="00D5289A" w:rsidRPr="00A23740">
              <w:rPr>
                <w:szCs w:val="24"/>
              </w:rPr>
              <w:t xml:space="preserve"> Bu durumda artık eşe ihbarname değil</w:t>
            </w:r>
            <w:r w:rsidR="00EC18FF" w:rsidRPr="00A23740">
              <w:rPr>
                <w:szCs w:val="24"/>
              </w:rPr>
              <w:t>,</w:t>
            </w:r>
            <w:r w:rsidR="00D5289A" w:rsidRPr="00A23740">
              <w:rPr>
                <w:szCs w:val="24"/>
              </w:rPr>
              <w:t xml:space="preserve"> kira sözleşmesinin tarafı olduğu için doğrudan doğruya tahliye emri tebliğ edilecektir. Söz konusu icra takibi yönünden eşler arasında mecburi takip arkadaşlığı vardır.</w:t>
            </w:r>
          </w:p>
          <w:p w:rsidR="008F0642" w:rsidRPr="00A23740" w:rsidRDefault="008F0642" w:rsidP="009431FF">
            <w:pPr>
              <w:pStyle w:val="Mavi"/>
              <w:ind w:firstLine="709"/>
              <w:rPr>
                <w:rStyle w:val="MaviChar"/>
                <w:lang w:val="tr-TR"/>
              </w:rPr>
            </w:pPr>
            <w:r w:rsidRPr="00A23740">
              <w:rPr>
                <w:b w:val="0"/>
                <w:color w:val="auto"/>
                <w:szCs w:val="22"/>
                <w:lang w:val="tr-TR" w:eastAsia="en-US"/>
              </w:rPr>
              <w:t>Üçüncü fıkra</w:t>
            </w:r>
            <w:r w:rsidR="00EC18FF" w:rsidRPr="00A23740">
              <w:rPr>
                <w:b w:val="0"/>
                <w:color w:val="auto"/>
                <w:szCs w:val="22"/>
                <w:lang w:val="tr-TR" w:eastAsia="en-US"/>
              </w:rPr>
              <w:t>da</w:t>
            </w:r>
            <w:r w:rsidRPr="00A23740">
              <w:rPr>
                <w:b w:val="0"/>
                <w:color w:val="auto"/>
                <w:szCs w:val="22"/>
                <w:lang w:val="tr-TR" w:eastAsia="en-US"/>
              </w:rPr>
              <w:t>, tahliye emrinde bulunması gereken hususlar ile takip talebine eklenecek belgeler bentler h</w:t>
            </w:r>
            <w:r w:rsidR="00E54A6B" w:rsidRPr="00A23740">
              <w:rPr>
                <w:b w:val="0"/>
                <w:color w:val="auto"/>
                <w:szCs w:val="22"/>
                <w:lang w:val="tr-TR" w:eastAsia="en-US"/>
              </w:rPr>
              <w:t>â</w:t>
            </w:r>
            <w:r w:rsidRPr="00A23740">
              <w:rPr>
                <w:b w:val="0"/>
                <w:color w:val="auto"/>
                <w:szCs w:val="22"/>
                <w:lang w:val="tr-TR" w:eastAsia="en-US"/>
              </w:rPr>
              <w:t xml:space="preserve">linde </w:t>
            </w:r>
            <w:r w:rsidRPr="00A23740">
              <w:rPr>
                <w:b w:val="0"/>
                <w:color w:val="auto"/>
                <w:lang w:val="tr-TR"/>
              </w:rPr>
              <w:t>belirlenmektedir</w:t>
            </w:r>
            <w:r w:rsidRPr="00A23740">
              <w:rPr>
                <w:b w:val="0"/>
                <w:color w:val="auto"/>
                <w:szCs w:val="22"/>
                <w:lang w:val="tr-TR" w:eastAsia="en-US"/>
              </w:rPr>
              <w:t>.</w:t>
            </w:r>
            <w:r w:rsidR="00EC18FF" w:rsidRPr="00A23740">
              <w:rPr>
                <w:b w:val="0"/>
                <w:color w:val="auto"/>
                <w:szCs w:val="22"/>
                <w:lang w:val="tr-TR" w:eastAsia="en-US"/>
              </w:rPr>
              <w:t xml:space="preserve"> Fıkranın; </w:t>
            </w:r>
          </w:p>
          <w:p w:rsidR="008F0642" w:rsidRPr="00A23740" w:rsidRDefault="008F0642" w:rsidP="009431FF">
            <w:pPr>
              <w:pStyle w:val="Mavi"/>
              <w:ind w:firstLine="709"/>
              <w:rPr>
                <w:b w:val="0"/>
                <w:color w:val="auto"/>
                <w:lang w:val="tr-TR"/>
              </w:rPr>
            </w:pPr>
            <w:r w:rsidRPr="00A23740">
              <w:rPr>
                <w:b w:val="0"/>
                <w:color w:val="auto"/>
                <w:lang w:val="tr-TR"/>
              </w:rPr>
              <w:t xml:space="preserve">(a) ve (b) bentlerinde, alacaklı ve borçluyla ilgili olarak </w:t>
            </w:r>
            <w:r w:rsidR="006437F4" w:rsidRPr="00A23740">
              <w:rPr>
                <w:b w:val="0"/>
                <w:color w:val="auto"/>
                <w:lang w:val="tr-TR"/>
              </w:rPr>
              <w:t xml:space="preserve">tahliye emrine </w:t>
            </w:r>
            <w:r w:rsidRPr="00A23740">
              <w:rPr>
                <w:b w:val="0"/>
                <w:color w:val="auto"/>
                <w:lang w:val="tr-TR"/>
              </w:rPr>
              <w:t xml:space="preserve">yazılması gereken hususlar yer almaktadır. </w:t>
            </w:r>
          </w:p>
          <w:p w:rsidR="008F0642" w:rsidRPr="00A23740" w:rsidRDefault="008F0642" w:rsidP="009431FF">
            <w:pPr>
              <w:pStyle w:val="Mavi"/>
              <w:ind w:firstLine="709"/>
              <w:rPr>
                <w:b w:val="0"/>
                <w:color w:val="auto"/>
                <w:lang w:val="tr-TR"/>
              </w:rPr>
            </w:pPr>
            <w:r w:rsidRPr="00A23740">
              <w:rPr>
                <w:b w:val="0"/>
                <w:color w:val="auto"/>
                <w:lang w:val="tr-TR"/>
              </w:rPr>
              <w:t xml:space="preserve">(c) bendinde, </w:t>
            </w:r>
            <w:r w:rsidR="006437F4" w:rsidRPr="00A23740">
              <w:rPr>
                <w:b w:val="0"/>
                <w:color w:val="auto"/>
                <w:lang w:val="tr-TR"/>
              </w:rPr>
              <w:t xml:space="preserve">tahliye emrinde </w:t>
            </w:r>
            <w:r w:rsidRPr="00A23740">
              <w:rPr>
                <w:b w:val="0"/>
                <w:color w:val="auto"/>
                <w:lang w:val="tr-TR"/>
              </w:rPr>
              <w:t>takip giderlerinin ödenmesi için icra ve iflas dairesinin banka hesap numarası</w:t>
            </w:r>
            <w:r w:rsidR="006437F4" w:rsidRPr="00A23740">
              <w:rPr>
                <w:b w:val="0"/>
                <w:color w:val="auto"/>
                <w:lang w:val="tr-TR"/>
              </w:rPr>
              <w:t>na</w:t>
            </w:r>
            <w:r w:rsidRPr="00A23740">
              <w:rPr>
                <w:b w:val="0"/>
                <w:color w:val="auto"/>
                <w:lang w:val="tr-TR"/>
              </w:rPr>
              <w:t xml:space="preserve"> yer</w:t>
            </w:r>
            <w:r w:rsidR="006437F4" w:rsidRPr="00A23740">
              <w:rPr>
                <w:b w:val="0"/>
                <w:color w:val="auto"/>
                <w:lang w:val="tr-TR"/>
              </w:rPr>
              <w:t xml:space="preserve"> verilmesi gerektiği belirtilmektedir.</w:t>
            </w:r>
          </w:p>
          <w:p w:rsidR="008F0642" w:rsidRPr="00A23740" w:rsidRDefault="008F0642" w:rsidP="009431FF">
            <w:pPr>
              <w:pStyle w:val="Mavi"/>
              <w:ind w:firstLine="709"/>
              <w:rPr>
                <w:b w:val="0"/>
                <w:color w:val="auto"/>
                <w:lang w:val="tr-TR"/>
              </w:rPr>
            </w:pPr>
            <w:r w:rsidRPr="00A23740">
              <w:rPr>
                <w:b w:val="0"/>
                <w:color w:val="auto"/>
                <w:lang w:val="tr-TR"/>
              </w:rPr>
              <w:t>(ç)</w:t>
            </w:r>
            <w:r w:rsidR="0089218D" w:rsidRPr="00A23740">
              <w:rPr>
                <w:b w:val="0"/>
                <w:color w:val="auto"/>
                <w:lang w:val="tr-TR"/>
              </w:rPr>
              <w:t xml:space="preserve"> bendinde, t</w:t>
            </w:r>
            <w:r w:rsidRPr="00A23740">
              <w:rPr>
                <w:b w:val="0"/>
                <w:color w:val="auto"/>
                <w:lang w:val="tr-TR"/>
              </w:rPr>
              <w:t>ahliyesi istene</w:t>
            </w:r>
            <w:r w:rsidR="0089218D" w:rsidRPr="00A23740">
              <w:rPr>
                <w:b w:val="0"/>
                <w:color w:val="auto"/>
                <w:lang w:val="tr-TR"/>
              </w:rPr>
              <w:t>n taşınmazın niteliği ve adresi</w:t>
            </w:r>
            <w:r w:rsidR="006437F4" w:rsidRPr="00A23740">
              <w:rPr>
                <w:b w:val="0"/>
                <w:color w:val="auto"/>
                <w:lang w:val="tr-TR"/>
              </w:rPr>
              <w:t xml:space="preserve">nin tahliye emrine yazılması gerektiği bilgisine </w:t>
            </w:r>
            <w:r w:rsidR="0089218D" w:rsidRPr="00A23740">
              <w:rPr>
                <w:b w:val="0"/>
                <w:color w:val="auto"/>
                <w:lang w:val="tr-TR"/>
              </w:rPr>
              <w:t>yer</w:t>
            </w:r>
            <w:r w:rsidR="006437F4" w:rsidRPr="00A23740">
              <w:rPr>
                <w:b w:val="0"/>
                <w:color w:val="auto"/>
                <w:lang w:val="tr-TR"/>
              </w:rPr>
              <w:t xml:space="preserve"> verilmektedir</w:t>
            </w:r>
            <w:r w:rsidR="0089218D" w:rsidRPr="00A23740">
              <w:rPr>
                <w:b w:val="0"/>
                <w:color w:val="auto"/>
                <w:lang w:val="tr-TR"/>
              </w:rPr>
              <w:t>.</w:t>
            </w:r>
          </w:p>
          <w:p w:rsidR="008F0642" w:rsidRPr="00A23740" w:rsidRDefault="0089218D" w:rsidP="009431FF">
            <w:pPr>
              <w:pStyle w:val="Mavi"/>
              <w:ind w:firstLine="709"/>
              <w:rPr>
                <w:b w:val="0"/>
                <w:color w:val="auto"/>
                <w:lang w:val="tr-TR"/>
              </w:rPr>
            </w:pPr>
            <w:r w:rsidRPr="00A23740">
              <w:rPr>
                <w:b w:val="0"/>
                <w:color w:val="auto"/>
                <w:lang w:val="tr-TR"/>
              </w:rPr>
              <w:t>(</w:t>
            </w:r>
            <w:r w:rsidR="008F0642" w:rsidRPr="00A23740">
              <w:rPr>
                <w:b w:val="0"/>
                <w:color w:val="auto"/>
                <w:lang w:val="tr-TR"/>
              </w:rPr>
              <w:t>d)</w:t>
            </w:r>
            <w:r w:rsidRPr="00A23740">
              <w:rPr>
                <w:b w:val="0"/>
                <w:color w:val="auto"/>
                <w:lang w:val="tr-TR"/>
              </w:rPr>
              <w:t xml:space="preserve"> bendinde, k</w:t>
            </w:r>
            <w:r w:rsidR="008F0642" w:rsidRPr="00A23740">
              <w:rPr>
                <w:b w:val="0"/>
                <w:color w:val="auto"/>
                <w:lang w:val="tr-TR"/>
              </w:rPr>
              <w:t xml:space="preserve">ira </w:t>
            </w:r>
            <w:r w:rsidRPr="00A23740">
              <w:rPr>
                <w:b w:val="0"/>
                <w:color w:val="auto"/>
                <w:lang w:val="tr-TR"/>
              </w:rPr>
              <w:t>sözleşmesinin sona erdiği tarih yer almaktadır.</w:t>
            </w:r>
          </w:p>
          <w:p w:rsidR="008F0642" w:rsidRPr="00A23740" w:rsidRDefault="0089218D" w:rsidP="009431FF">
            <w:pPr>
              <w:pStyle w:val="Mavi"/>
              <w:ind w:firstLine="709"/>
              <w:rPr>
                <w:b w:val="0"/>
                <w:color w:val="auto"/>
                <w:lang w:val="tr-TR"/>
              </w:rPr>
            </w:pPr>
            <w:r w:rsidRPr="00A23740">
              <w:rPr>
                <w:b w:val="0"/>
                <w:color w:val="auto"/>
                <w:lang w:val="tr-TR"/>
              </w:rPr>
              <w:t>(</w:t>
            </w:r>
            <w:r w:rsidR="008F0642" w:rsidRPr="00A23740">
              <w:rPr>
                <w:b w:val="0"/>
                <w:color w:val="auto"/>
                <w:lang w:val="tr-TR"/>
              </w:rPr>
              <w:t>e)</w:t>
            </w:r>
            <w:r w:rsidRPr="00A23740">
              <w:rPr>
                <w:b w:val="0"/>
                <w:color w:val="auto"/>
                <w:lang w:val="tr-TR"/>
              </w:rPr>
              <w:t xml:space="preserve"> bendinde, t</w:t>
            </w:r>
            <w:r w:rsidR="008F0642" w:rsidRPr="00A23740">
              <w:rPr>
                <w:b w:val="0"/>
                <w:color w:val="auto"/>
                <w:lang w:val="tr-TR"/>
              </w:rPr>
              <w:t>ahliye taahhüdünün düzenlendiği ve ta</w:t>
            </w:r>
            <w:r w:rsidRPr="00A23740">
              <w:rPr>
                <w:b w:val="0"/>
                <w:color w:val="auto"/>
                <w:lang w:val="tr-TR"/>
              </w:rPr>
              <w:t>hliyenin taahhüt edildiği tarih</w:t>
            </w:r>
            <w:r w:rsidR="006437F4" w:rsidRPr="00A23740">
              <w:rPr>
                <w:b w:val="0"/>
                <w:color w:val="auto"/>
                <w:lang w:val="tr-TR"/>
              </w:rPr>
              <w:t xml:space="preserve">in tahliye emrinde </w:t>
            </w:r>
            <w:r w:rsidRPr="00A23740">
              <w:rPr>
                <w:b w:val="0"/>
                <w:color w:val="auto"/>
                <w:lang w:val="tr-TR"/>
              </w:rPr>
              <w:t>yer alma</w:t>
            </w:r>
            <w:r w:rsidR="006437F4" w:rsidRPr="00A23740">
              <w:rPr>
                <w:b w:val="0"/>
                <w:color w:val="auto"/>
                <w:lang w:val="tr-TR"/>
              </w:rPr>
              <w:t>sı gerekti açıklanmaktadır.</w:t>
            </w:r>
            <w:r w:rsidRPr="00A23740">
              <w:rPr>
                <w:b w:val="0"/>
                <w:color w:val="auto"/>
                <w:lang w:val="tr-TR"/>
              </w:rPr>
              <w:t>.</w:t>
            </w:r>
          </w:p>
          <w:p w:rsidR="008F0642" w:rsidRPr="00A23740" w:rsidRDefault="0089218D" w:rsidP="009431FF">
            <w:pPr>
              <w:pStyle w:val="Mavi"/>
              <w:ind w:firstLine="709"/>
              <w:rPr>
                <w:b w:val="0"/>
                <w:color w:val="auto"/>
                <w:lang w:val="tr-TR"/>
              </w:rPr>
            </w:pPr>
            <w:r w:rsidRPr="00A23740">
              <w:rPr>
                <w:b w:val="0"/>
                <w:color w:val="auto"/>
                <w:lang w:val="tr-TR"/>
              </w:rPr>
              <w:t>(</w:t>
            </w:r>
            <w:r w:rsidR="008F0642" w:rsidRPr="00A23740">
              <w:rPr>
                <w:b w:val="0"/>
                <w:color w:val="auto"/>
                <w:lang w:val="tr-TR"/>
              </w:rPr>
              <w:t>f)</w:t>
            </w:r>
            <w:r w:rsidRPr="00A23740">
              <w:rPr>
                <w:b w:val="0"/>
                <w:color w:val="auto"/>
                <w:lang w:val="tr-TR"/>
              </w:rPr>
              <w:t xml:space="preserve"> bendinde, borçlunun</w:t>
            </w:r>
            <w:r w:rsidR="00823C0B" w:rsidRPr="00A23740">
              <w:rPr>
                <w:b w:val="0"/>
                <w:color w:val="auto"/>
                <w:lang w:val="tr-TR"/>
              </w:rPr>
              <w:t xml:space="preserve"> </w:t>
            </w:r>
            <w:r w:rsidR="008F0642" w:rsidRPr="00A23740">
              <w:rPr>
                <w:b w:val="0"/>
                <w:color w:val="auto"/>
                <w:lang w:val="tr-TR"/>
              </w:rPr>
              <w:t>kira sözleşmesinin veya tahliye taahhüdünün al</w:t>
            </w:r>
            <w:r w:rsidRPr="00A23740">
              <w:rPr>
                <w:b w:val="0"/>
                <w:color w:val="auto"/>
                <w:lang w:val="tr-TR"/>
              </w:rPr>
              <w:t>t</w:t>
            </w:r>
            <w:r w:rsidR="008F0642" w:rsidRPr="00A23740">
              <w:rPr>
                <w:b w:val="0"/>
                <w:color w:val="auto"/>
                <w:lang w:val="tr-TR"/>
              </w:rPr>
              <w:t xml:space="preserve">ındaki imzaya, icra ve iflas dairesinin yetkisine veya alacaklının takip hakkına itirazını, tahliye emrinin tebliğinden itibaren iki hafta içinde </w:t>
            </w:r>
            <w:r w:rsidR="008F0642" w:rsidRPr="00363170">
              <w:rPr>
                <w:b w:val="0"/>
                <w:bCs w:val="0"/>
                <w:color w:val="auto"/>
                <w:lang w:val="tr-TR" w:eastAsia="en-US"/>
              </w:rPr>
              <w:t>i</w:t>
            </w:r>
            <w:r w:rsidRPr="00363170">
              <w:rPr>
                <w:b w:val="0"/>
                <w:bCs w:val="0"/>
                <w:color w:val="auto"/>
                <w:lang w:val="tr-TR" w:eastAsia="en-US"/>
              </w:rPr>
              <w:t xml:space="preserve">cra </w:t>
            </w:r>
            <w:r w:rsidR="00B73523" w:rsidRPr="00363170">
              <w:rPr>
                <w:b w:val="0"/>
                <w:bCs w:val="0"/>
                <w:color w:val="auto"/>
                <w:lang w:val="tr-TR" w:eastAsia="en-US"/>
              </w:rPr>
              <w:t xml:space="preserve">ve iflas </w:t>
            </w:r>
            <w:r w:rsidRPr="00363170">
              <w:rPr>
                <w:b w:val="0"/>
                <w:bCs w:val="0"/>
                <w:color w:val="auto"/>
                <w:lang w:val="tr-TR" w:eastAsia="en-US"/>
              </w:rPr>
              <w:t>dairesine</w:t>
            </w:r>
            <w:r w:rsidRPr="00A23740">
              <w:rPr>
                <w:b w:val="0"/>
                <w:color w:val="auto"/>
                <w:lang w:val="tr-TR"/>
              </w:rPr>
              <w:t xml:space="preserve"> yapması gerektiği </w:t>
            </w:r>
            <w:r w:rsidR="006437F4" w:rsidRPr="00A23740">
              <w:rPr>
                <w:b w:val="0"/>
                <w:color w:val="auto"/>
                <w:lang w:val="tr-TR"/>
              </w:rPr>
              <w:t xml:space="preserve">ikazı </w:t>
            </w:r>
            <w:r w:rsidRPr="00A23740">
              <w:rPr>
                <w:b w:val="0"/>
                <w:color w:val="auto"/>
                <w:lang w:val="tr-TR"/>
              </w:rPr>
              <w:t>yer almaktadır.</w:t>
            </w:r>
          </w:p>
          <w:p w:rsidR="008F0642" w:rsidRPr="00A23740" w:rsidRDefault="0089218D" w:rsidP="009431FF">
            <w:pPr>
              <w:pStyle w:val="Mavi"/>
              <w:ind w:firstLine="709"/>
              <w:rPr>
                <w:b w:val="0"/>
                <w:color w:val="auto"/>
                <w:lang w:val="tr-TR"/>
              </w:rPr>
            </w:pPr>
            <w:r w:rsidRPr="00A23740">
              <w:rPr>
                <w:b w:val="0"/>
                <w:color w:val="auto"/>
                <w:lang w:val="tr-TR"/>
              </w:rPr>
              <w:t>(</w:t>
            </w:r>
            <w:r w:rsidR="008F0642" w:rsidRPr="00A23740">
              <w:rPr>
                <w:b w:val="0"/>
                <w:color w:val="auto"/>
                <w:lang w:val="tr-TR"/>
              </w:rPr>
              <w:t>g)</w:t>
            </w:r>
            <w:r w:rsidRPr="00A23740">
              <w:rPr>
                <w:b w:val="0"/>
                <w:color w:val="auto"/>
                <w:lang w:val="tr-TR"/>
              </w:rPr>
              <w:t xml:space="preserve"> bendinde, s</w:t>
            </w:r>
            <w:r w:rsidR="008F0642" w:rsidRPr="00A23740">
              <w:rPr>
                <w:b w:val="0"/>
                <w:color w:val="auto"/>
                <w:lang w:val="tr-TR"/>
              </w:rPr>
              <w:t>üresi için</w:t>
            </w:r>
            <w:r w:rsidRPr="00A23740">
              <w:rPr>
                <w:b w:val="0"/>
                <w:color w:val="auto"/>
                <w:lang w:val="tr-TR"/>
              </w:rPr>
              <w:t xml:space="preserve">de </w:t>
            </w:r>
            <w:r w:rsidR="009B3076" w:rsidRPr="00A23740">
              <w:rPr>
                <w:b w:val="0"/>
                <w:color w:val="auto"/>
                <w:lang w:val="tr-TR"/>
              </w:rPr>
              <w:t>tahliye</w:t>
            </w:r>
            <w:r w:rsidRPr="00A23740">
              <w:rPr>
                <w:b w:val="0"/>
                <w:color w:val="auto"/>
                <w:lang w:val="tr-TR"/>
              </w:rPr>
              <w:t xml:space="preserve"> emrine itiraz edilmez </w:t>
            </w:r>
            <w:r w:rsidR="008F0642" w:rsidRPr="00A23740">
              <w:rPr>
                <w:b w:val="0"/>
                <w:color w:val="auto"/>
                <w:lang w:val="tr-TR"/>
              </w:rPr>
              <w:t>ve taşınmaz tahliye ve teslim edilmezse, alacaklının talebi üzerine sulh hukuk mahkemesi kararıy</w:t>
            </w:r>
            <w:r w:rsidRPr="00A23740">
              <w:rPr>
                <w:b w:val="0"/>
                <w:color w:val="auto"/>
                <w:lang w:val="tr-TR"/>
              </w:rPr>
              <w:t xml:space="preserve">la taşınmazın tahliye edileceği </w:t>
            </w:r>
            <w:r w:rsidR="006437F4" w:rsidRPr="00A23740">
              <w:rPr>
                <w:b w:val="0"/>
                <w:color w:val="auto"/>
                <w:lang w:val="tr-TR"/>
              </w:rPr>
              <w:t xml:space="preserve">ikazına </w:t>
            </w:r>
            <w:r w:rsidRPr="00A23740">
              <w:rPr>
                <w:b w:val="0"/>
                <w:color w:val="auto"/>
                <w:lang w:val="tr-TR"/>
              </w:rPr>
              <w:t>yer</w:t>
            </w:r>
            <w:r w:rsidR="006437F4" w:rsidRPr="00A23740">
              <w:rPr>
                <w:b w:val="0"/>
                <w:color w:val="auto"/>
                <w:lang w:val="tr-TR"/>
              </w:rPr>
              <w:t xml:space="preserve"> verilmektedir</w:t>
            </w:r>
            <w:r w:rsidRPr="00A23740">
              <w:rPr>
                <w:b w:val="0"/>
                <w:color w:val="auto"/>
                <w:lang w:val="tr-TR"/>
              </w:rPr>
              <w:t>.</w:t>
            </w:r>
          </w:p>
          <w:p w:rsidR="008F0642" w:rsidRPr="00A23740" w:rsidRDefault="0089218D" w:rsidP="009431FF">
            <w:pPr>
              <w:pStyle w:val="Mavi"/>
              <w:ind w:firstLine="709"/>
              <w:rPr>
                <w:b w:val="0"/>
                <w:color w:val="auto"/>
                <w:lang w:val="tr-TR"/>
              </w:rPr>
            </w:pPr>
            <w:r w:rsidRPr="00A23740">
              <w:rPr>
                <w:b w:val="0"/>
                <w:color w:val="auto"/>
                <w:lang w:val="tr-TR"/>
              </w:rPr>
              <w:t>(</w:t>
            </w:r>
            <w:r w:rsidR="008F0642" w:rsidRPr="00A23740">
              <w:rPr>
                <w:b w:val="0"/>
                <w:color w:val="auto"/>
                <w:lang w:val="tr-TR"/>
              </w:rPr>
              <w:t>ğ)</w:t>
            </w:r>
            <w:r w:rsidRPr="00A23740">
              <w:rPr>
                <w:b w:val="0"/>
                <w:color w:val="auto"/>
                <w:lang w:val="tr-TR"/>
              </w:rPr>
              <w:t xml:space="preserve"> bendinde, t</w:t>
            </w:r>
            <w:r w:rsidR="008F0642" w:rsidRPr="00A23740">
              <w:rPr>
                <w:b w:val="0"/>
                <w:color w:val="auto"/>
                <w:lang w:val="tr-TR"/>
              </w:rPr>
              <w:t>ahliye emrinin yurt dışında tebliğ edildiği h</w:t>
            </w:r>
            <w:r w:rsidR="00E54A6B" w:rsidRPr="00A23740">
              <w:rPr>
                <w:b w:val="0"/>
                <w:color w:val="auto"/>
                <w:lang w:val="tr-TR"/>
              </w:rPr>
              <w:t>â</w:t>
            </w:r>
            <w:r w:rsidR="008F0642" w:rsidRPr="00A23740">
              <w:rPr>
                <w:b w:val="0"/>
                <w:color w:val="auto"/>
                <w:lang w:val="tr-TR"/>
              </w:rPr>
              <w:t>llerde, itiraz etmek isteyen borçlunun itirazla birlikte, itiraz etmeyecek olan borçlunun ise itiraz süresi içinde, dava ve takip işlemlerine esas olmak üzere yurt içinde bir adres bildirmek zorunda olduğu; yurt içinde bir adres bildirmediği takdirde, kendisine bundan sonra tebliğ edilecek olan evrakın icra dosyası içinde muhafaza edilerek kendisine tebliğ edilmiş sayılacağı; itiraz süresi içinde itiraz edilmiş ve fakat itirazla birlikte yurt içinde bir adres bildirilmemişse itirazın dahi ya</w:t>
            </w:r>
            <w:r w:rsidRPr="00A23740">
              <w:rPr>
                <w:b w:val="0"/>
                <w:color w:val="auto"/>
                <w:lang w:val="tr-TR"/>
              </w:rPr>
              <w:t xml:space="preserve">pılmamış kabul edileceği </w:t>
            </w:r>
            <w:r w:rsidR="006437F4" w:rsidRPr="00A23740">
              <w:rPr>
                <w:b w:val="0"/>
                <w:color w:val="auto"/>
                <w:lang w:val="tr-TR"/>
              </w:rPr>
              <w:t xml:space="preserve">açıklaması </w:t>
            </w:r>
            <w:r w:rsidRPr="00A23740">
              <w:rPr>
                <w:b w:val="0"/>
                <w:color w:val="auto"/>
                <w:lang w:val="tr-TR"/>
              </w:rPr>
              <w:t>yer almaktadır.</w:t>
            </w:r>
          </w:p>
          <w:p w:rsidR="00461A5B" w:rsidRPr="00A23740" w:rsidRDefault="0089218D" w:rsidP="009431FF">
            <w:pPr>
              <w:pStyle w:val="Mavi"/>
              <w:ind w:firstLine="709"/>
              <w:rPr>
                <w:b w:val="0"/>
                <w:color w:val="auto"/>
                <w:lang w:val="tr-TR"/>
              </w:rPr>
            </w:pPr>
            <w:r w:rsidRPr="00A23740">
              <w:rPr>
                <w:b w:val="0"/>
                <w:color w:val="auto"/>
                <w:lang w:val="tr-TR"/>
              </w:rPr>
              <w:t>(</w:t>
            </w:r>
            <w:r w:rsidR="008F0642" w:rsidRPr="00A23740">
              <w:rPr>
                <w:b w:val="0"/>
                <w:color w:val="auto"/>
                <w:lang w:val="tr-TR"/>
              </w:rPr>
              <w:t>h)</w:t>
            </w:r>
            <w:r w:rsidRPr="00A23740">
              <w:rPr>
                <w:b w:val="0"/>
                <w:color w:val="auto"/>
                <w:lang w:val="tr-TR"/>
              </w:rPr>
              <w:t xml:space="preserve"> bendinde, borçlunun</w:t>
            </w:r>
            <w:r w:rsidR="006437F4" w:rsidRPr="00A23740">
              <w:rPr>
                <w:b w:val="0"/>
                <w:color w:val="auto"/>
                <w:lang w:val="tr-TR"/>
              </w:rPr>
              <w:t>,</w:t>
            </w:r>
            <w:r w:rsidRPr="00A23740">
              <w:rPr>
                <w:b w:val="0"/>
                <w:color w:val="auto"/>
                <w:lang w:val="tr-TR"/>
              </w:rPr>
              <w:t xml:space="preserve"> v</w:t>
            </w:r>
            <w:r w:rsidR="008F0642" w:rsidRPr="00A23740">
              <w:rPr>
                <w:b w:val="0"/>
                <w:color w:val="auto"/>
                <w:lang w:val="tr-TR"/>
              </w:rPr>
              <w:t>arsa şik</w:t>
            </w:r>
            <w:r w:rsidR="00407C95" w:rsidRPr="00A23740">
              <w:rPr>
                <w:b w:val="0"/>
                <w:color w:val="auto"/>
                <w:lang w:val="tr-TR"/>
              </w:rPr>
              <w:t>â</w:t>
            </w:r>
            <w:r w:rsidR="008F0642" w:rsidRPr="00A23740">
              <w:rPr>
                <w:b w:val="0"/>
                <w:color w:val="auto"/>
                <w:lang w:val="tr-TR"/>
              </w:rPr>
              <w:t xml:space="preserve">yetlerini 22 nci ve devamı maddeler uyarınca icra hukuk </w:t>
            </w:r>
            <w:r w:rsidRPr="00A23740">
              <w:rPr>
                <w:b w:val="0"/>
                <w:color w:val="auto"/>
                <w:lang w:val="tr-TR"/>
              </w:rPr>
              <w:t xml:space="preserve">mahkemesine yapabileceği </w:t>
            </w:r>
            <w:r w:rsidR="006437F4" w:rsidRPr="00A23740">
              <w:rPr>
                <w:b w:val="0"/>
                <w:color w:val="auto"/>
                <w:lang w:val="tr-TR"/>
              </w:rPr>
              <w:t xml:space="preserve">hatırlatması </w:t>
            </w:r>
            <w:r w:rsidRPr="00A23740">
              <w:rPr>
                <w:b w:val="0"/>
                <w:color w:val="auto"/>
                <w:lang w:val="tr-TR"/>
              </w:rPr>
              <w:t>yer almaktadır.</w:t>
            </w:r>
          </w:p>
          <w:p w:rsidR="00D5289A" w:rsidRPr="00A23740" w:rsidRDefault="00D5289A" w:rsidP="00DE193E">
            <w:pPr>
              <w:keepNext/>
              <w:ind w:firstLine="709"/>
              <w:outlineLvl w:val="3"/>
              <w:rPr>
                <w:b/>
              </w:rPr>
            </w:pPr>
          </w:p>
        </w:tc>
      </w:tr>
      <w:tr w:rsidR="00AA5C8C" w:rsidRPr="00A23740" w:rsidTr="009431FF">
        <w:tc>
          <w:tcPr>
            <w:tcW w:w="2500" w:type="pct"/>
          </w:tcPr>
          <w:p w:rsidR="00AA5C8C" w:rsidRPr="00A23740" w:rsidRDefault="00AA5C8C" w:rsidP="009431FF">
            <w:pPr>
              <w:tabs>
                <w:tab w:val="left" w:pos="567"/>
              </w:tabs>
              <w:rPr>
                <w:b/>
                <w:bCs/>
                <w:strike/>
                <w:color w:val="FF0000"/>
                <w:szCs w:val="24"/>
              </w:rPr>
            </w:pPr>
            <w:r w:rsidRPr="00A23740">
              <w:rPr>
                <w:b/>
                <w:bCs/>
                <w:strike/>
                <w:color w:val="FF0000"/>
                <w:szCs w:val="24"/>
              </w:rPr>
              <w:t>2 – Tahliye ve teslim:</w:t>
            </w:r>
          </w:p>
          <w:p w:rsidR="00AA5C8C" w:rsidRPr="00A23740" w:rsidRDefault="00AA5C8C" w:rsidP="009431FF">
            <w:pPr>
              <w:tabs>
                <w:tab w:val="left" w:pos="567"/>
              </w:tabs>
              <w:rPr>
                <w:b/>
                <w:bCs/>
                <w:strike/>
                <w:color w:val="FF0000"/>
                <w:szCs w:val="24"/>
              </w:rPr>
            </w:pPr>
            <w:r w:rsidRPr="00A23740">
              <w:rPr>
                <w:b/>
                <w:bCs/>
                <w:strike/>
                <w:color w:val="FF0000"/>
                <w:szCs w:val="24"/>
              </w:rPr>
              <w:t>Madde 273 – (1) Müddeti</w:t>
            </w:r>
            <w:r w:rsidRPr="00A23740">
              <w:rPr>
                <w:szCs w:val="24"/>
              </w:rPr>
              <w:t xml:space="preserve"> içinde </w:t>
            </w:r>
            <w:r w:rsidRPr="00634220">
              <w:rPr>
                <w:rStyle w:val="KIRMIZIChar"/>
                <w:rFonts w:eastAsia="Calibri"/>
              </w:rPr>
              <w:t>itiraz</w:t>
            </w:r>
            <w:r w:rsidRPr="00A23740">
              <w:rPr>
                <w:szCs w:val="24"/>
              </w:rPr>
              <w:t xml:space="preserve"> </w:t>
            </w:r>
            <w:r w:rsidRPr="00A23740">
              <w:rPr>
                <w:b/>
                <w:bCs/>
                <w:strike/>
                <w:color w:val="FF0000"/>
                <w:szCs w:val="24"/>
              </w:rPr>
              <w:t>olunmaz veya</w:t>
            </w:r>
            <w:r w:rsidRPr="00A23740">
              <w:rPr>
                <w:szCs w:val="24"/>
              </w:rPr>
              <w:t xml:space="preserve"> itiraz </w:t>
            </w:r>
            <w:r w:rsidRPr="00A23740">
              <w:rPr>
                <w:b/>
                <w:bCs/>
                <w:strike/>
                <w:color w:val="FF0000"/>
                <w:szCs w:val="24"/>
              </w:rPr>
              <w:t>kaldırılırsa kiralanan taşınmaz müddetin hitamında zorla tahliye ve kiralıyana teslim olunur. Ancak tahliye emrindeki müddetin geçmesi lazımdır.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9D7972" w:rsidRPr="00A23740" w:rsidRDefault="009D7972" w:rsidP="009431FF">
            <w:pPr>
              <w:tabs>
                <w:tab w:val="left" w:pos="567"/>
              </w:tabs>
              <w:rPr>
                <w:szCs w:val="24"/>
              </w:rPr>
            </w:pPr>
          </w:p>
          <w:p w:rsidR="009D7972" w:rsidRPr="00A23740" w:rsidRDefault="009D7972"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bCs/>
                <w:strike/>
                <w:color w:val="FF0000"/>
                <w:szCs w:val="24"/>
              </w:rPr>
              <w:t>(2) Tahliye edilecek yerde kiralıyana ait olmıyan eşya bulunursa 26 ncı maddenin hükmü kıyas yoliyle tatbik olunur.</w:t>
            </w:r>
          </w:p>
          <w:p w:rsidR="00AA5C8C" w:rsidRPr="00A23740" w:rsidRDefault="00AA5C8C" w:rsidP="009431FF">
            <w:pPr>
              <w:tabs>
                <w:tab w:val="center" w:pos="3543"/>
              </w:tabs>
              <w:rPr>
                <w:i/>
                <w:szCs w:val="24"/>
              </w:rPr>
            </w:pPr>
          </w:p>
        </w:tc>
        <w:tc>
          <w:tcPr>
            <w:tcW w:w="2500" w:type="pct"/>
          </w:tcPr>
          <w:p w:rsidR="00AA5C8C" w:rsidRPr="00A23740" w:rsidRDefault="00AA5C8C" w:rsidP="009431FF">
            <w:pPr>
              <w:tabs>
                <w:tab w:val="left" w:pos="567"/>
              </w:tabs>
              <w:rPr>
                <w:b/>
                <w:bCs/>
                <w:color w:val="0000FF"/>
                <w:szCs w:val="24"/>
                <w:lang w:eastAsia="x-none"/>
              </w:rPr>
            </w:pPr>
            <w:r w:rsidRPr="00A23740">
              <w:rPr>
                <w:b/>
                <w:bCs/>
                <w:color w:val="0000FF"/>
                <w:szCs w:val="24"/>
                <w:lang w:val="x-none" w:eastAsia="x-none"/>
              </w:rPr>
              <w:t>İtiraz etmemenin sonuçları</w:t>
            </w:r>
            <w:r w:rsidRPr="00A23740">
              <w:rPr>
                <w:b/>
                <w:bCs/>
                <w:color w:val="0000FF"/>
                <w:szCs w:val="24"/>
                <w:lang w:eastAsia="x-none"/>
              </w:rPr>
              <w:t xml:space="preserve"> </w:t>
            </w:r>
            <w:r w:rsidRPr="00A23740">
              <w:rPr>
                <w:rStyle w:val="MaviChar"/>
              </w:rPr>
              <w:t>ve tahliye</w:t>
            </w:r>
          </w:p>
          <w:p w:rsidR="00AA5C8C" w:rsidRPr="00A23740" w:rsidRDefault="00AA5C8C" w:rsidP="009431FF">
            <w:pPr>
              <w:tabs>
                <w:tab w:val="left" w:pos="567"/>
              </w:tabs>
              <w:rPr>
                <w:rStyle w:val="Stil5Char0"/>
              </w:rPr>
            </w:pPr>
            <w:r w:rsidRPr="00A23740">
              <w:rPr>
                <w:b/>
                <w:bCs/>
                <w:color w:val="0000FF"/>
                <w:szCs w:val="24"/>
                <w:lang w:val="x-none" w:eastAsia="x-none"/>
              </w:rPr>
              <w:t xml:space="preserve">MADDE </w:t>
            </w:r>
            <w:r w:rsidR="0064280C" w:rsidRPr="00A23740">
              <w:rPr>
                <w:b/>
                <w:bCs/>
                <w:color w:val="0000FF"/>
                <w:szCs w:val="24"/>
                <w:lang w:eastAsia="x-none"/>
              </w:rPr>
              <w:t>145</w:t>
            </w:r>
            <w:r w:rsidRPr="00A23740">
              <w:rPr>
                <w:b/>
                <w:bCs/>
                <w:color w:val="0000FF"/>
                <w:szCs w:val="24"/>
                <w:lang w:val="x-none" w:eastAsia="x-none"/>
              </w:rPr>
              <w:t>-</w:t>
            </w:r>
            <w:r w:rsidRPr="00A23740">
              <w:rPr>
                <w:b/>
                <w:bCs/>
                <w:color w:val="0000FF"/>
                <w:szCs w:val="24"/>
                <w:lang w:eastAsia="x-none"/>
              </w:rPr>
              <w:t xml:space="preserve"> (1) Borçlunun süresi</w:t>
            </w:r>
            <w:r w:rsidRPr="00A23740">
              <w:rPr>
                <w:szCs w:val="24"/>
              </w:rPr>
              <w:t xml:space="preserve"> içinde </w:t>
            </w:r>
            <w:r w:rsidRPr="00634220">
              <w:rPr>
                <w:rStyle w:val="MaviChar"/>
              </w:rPr>
              <w:t>tahliye emrine</w:t>
            </w:r>
            <w:r w:rsidRPr="00A23740">
              <w:rPr>
                <w:szCs w:val="24"/>
              </w:rPr>
              <w:t xml:space="preserve"> itiraz </w:t>
            </w:r>
            <w:r w:rsidRPr="00A23740">
              <w:rPr>
                <w:b/>
                <w:bCs/>
                <w:color w:val="0000FF"/>
                <w:szCs w:val="24"/>
                <w:lang w:eastAsia="x-none"/>
              </w:rPr>
              <w:t>etmemesi</w:t>
            </w:r>
            <w:r w:rsidRPr="00A23740">
              <w:rPr>
                <w:szCs w:val="24"/>
              </w:rPr>
              <w:t xml:space="preserve"> </w:t>
            </w:r>
            <w:r w:rsidRPr="00A23740">
              <w:rPr>
                <w:rStyle w:val="MaviChar"/>
              </w:rPr>
              <w:t>ve ihtar süresi içinde taşınmazı tahliye ve teslim etmemesi h</w:t>
            </w:r>
            <w:r w:rsidR="00E54A6B" w:rsidRPr="00A23740">
              <w:rPr>
                <w:rStyle w:val="MaviChar"/>
                <w:lang w:val="tr-TR"/>
              </w:rPr>
              <w:t>â</w:t>
            </w:r>
            <w:r w:rsidRPr="00A23740">
              <w:rPr>
                <w:rStyle w:val="MaviChar"/>
              </w:rPr>
              <w:t>linde alacaklı,</w:t>
            </w:r>
            <w:r w:rsidRPr="00A23740">
              <w:rPr>
                <w:rStyle w:val="Stil5Char0"/>
              </w:rPr>
              <w:t xml:space="preserve"> </w:t>
            </w:r>
            <w:r w:rsidRPr="00634220">
              <w:rPr>
                <w:rStyle w:val="MaviChar"/>
              </w:rPr>
              <w:t>ihtar</w:t>
            </w:r>
            <w:r w:rsidRPr="00A23740">
              <w:rPr>
                <w:szCs w:val="24"/>
              </w:rPr>
              <w:t xml:space="preserve"> </w:t>
            </w:r>
            <w:r w:rsidRPr="00A23740">
              <w:rPr>
                <w:b/>
                <w:bCs/>
                <w:color w:val="0000FF"/>
                <w:szCs w:val="24"/>
                <w:lang w:eastAsia="x-none"/>
              </w:rPr>
              <w:t>süresinin</w:t>
            </w:r>
            <w:r w:rsidRPr="00A23740">
              <w:rPr>
                <w:szCs w:val="24"/>
              </w:rPr>
              <w:t xml:space="preserve"> </w:t>
            </w:r>
            <w:r w:rsidRPr="00A23740">
              <w:rPr>
                <w:b/>
                <w:bCs/>
                <w:color w:val="0000FF"/>
                <w:szCs w:val="24"/>
                <w:lang w:eastAsia="x-none"/>
              </w:rPr>
              <w:t xml:space="preserve">bitiminden itibaren </w:t>
            </w:r>
            <w:r w:rsidRPr="00A23740">
              <w:rPr>
                <w:rStyle w:val="MaviChar"/>
              </w:rPr>
              <w:t>bir ay</w:t>
            </w:r>
            <w:r w:rsidRPr="00A23740">
              <w:rPr>
                <w:b/>
                <w:bCs/>
                <w:color w:val="0000FF"/>
                <w:szCs w:val="24"/>
                <w:lang w:eastAsia="x-none"/>
              </w:rPr>
              <w:t xml:space="preserve"> içinde </w:t>
            </w:r>
            <w:r w:rsidRPr="00A23740">
              <w:rPr>
                <w:rStyle w:val="MaviChar"/>
              </w:rPr>
              <w:t xml:space="preserve">sulh </w:t>
            </w:r>
            <w:r w:rsidRPr="00A23740">
              <w:rPr>
                <w:b/>
                <w:bCs/>
                <w:color w:val="0000FF"/>
                <w:szCs w:val="24"/>
                <w:lang w:eastAsia="x-none"/>
              </w:rPr>
              <w:t xml:space="preserve">hukuk mahkemesinden taşınmazın tahliyesine karar verilmesini isteyebilir. </w:t>
            </w:r>
            <w:r w:rsidRPr="00A23740">
              <w:rPr>
                <w:rStyle w:val="MaviChar"/>
              </w:rPr>
              <w:t>Bu süre içinde tahliye talep edilmezse</w:t>
            </w:r>
            <w:r w:rsidR="0040600E" w:rsidRPr="00A23740">
              <w:rPr>
                <w:rStyle w:val="MaviChar"/>
              </w:rPr>
              <w:t xml:space="preserve"> </w:t>
            </w:r>
            <w:r w:rsidR="0040600E" w:rsidRPr="00363170">
              <w:rPr>
                <w:rStyle w:val="MaviChar"/>
              </w:rPr>
              <w:t>artık</w:t>
            </w:r>
            <w:r w:rsidRPr="00A23740">
              <w:rPr>
                <w:rStyle w:val="MaviChar"/>
                <w:color w:val="385623"/>
              </w:rPr>
              <w:t xml:space="preserve"> </w:t>
            </w:r>
            <w:r w:rsidRPr="00A23740">
              <w:rPr>
                <w:rStyle w:val="MaviChar"/>
              </w:rPr>
              <w:t>aynı takip sebebi bakımından genel hükümlere göre de tahliye talep edilemez.</w:t>
            </w:r>
          </w:p>
          <w:p w:rsidR="00AA5C8C" w:rsidRPr="00A23740" w:rsidRDefault="009D7972" w:rsidP="009431FF">
            <w:pPr>
              <w:tabs>
                <w:tab w:val="left" w:pos="567"/>
              </w:tabs>
              <w:rPr>
                <w:szCs w:val="24"/>
              </w:rPr>
            </w:pPr>
            <w:r w:rsidRPr="00A23740">
              <w:rPr>
                <w:szCs w:val="24"/>
              </w:rPr>
              <w:t xml:space="preserve"> </w:t>
            </w: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(2) Mahkeme, yapacağı inceleme sonucunda</w:t>
            </w:r>
            <w:r w:rsidR="00CE2481" w:rsidRPr="00A23740">
              <w:rPr>
                <w:rStyle w:val="MaviChar"/>
              </w:rPr>
              <w:t>,</w:t>
            </w:r>
            <w:r w:rsidRPr="00A23740">
              <w:rPr>
                <w:b/>
                <w:bCs/>
                <w:color w:val="0000FF"/>
                <w:szCs w:val="24"/>
                <w:lang w:val="x-none" w:eastAsia="x-none"/>
              </w:rPr>
              <w:t xml:space="preserve"> süresi içinde </w:t>
            </w:r>
            <w:r w:rsidRPr="00A23740">
              <w:rPr>
                <w:b/>
                <w:bCs/>
                <w:color w:val="0000FF"/>
                <w:szCs w:val="24"/>
                <w:lang w:eastAsia="x-none"/>
              </w:rPr>
              <w:t xml:space="preserve">tahliye </w:t>
            </w:r>
            <w:r w:rsidRPr="00A23740">
              <w:rPr>
                <w:b/>
                <w:bCs/>
                <w:color w:val="0000FF"/>
                <w:szCs w:val="24"/>
                <w:lang w:val="x-none" w:eastAsia="x-none"/>
              </w:rPr>
              <w:t>emrine itiraz edilmediğini</w:t>
            </w:r>
            <w:r w:rsidRPr="00A23740">
              <w:rPr>
                <w:b/>
                <w:bCs/>
                <w:color w:val="0000FF"/>
                <w:szCs w:val="24"/>
                <w:lang w:eastAsia="x-none"/>
              </w:rPr>
              <w:t xml:space="preserve"> ve</w:t>
            </w:r>
            <w:r w:rsidRPr="00A23740">
              <w:rPr>
                <w:b/>
                <w:bCs/>
                <w:color w:val="0000FF"/>
                <w:szCs w:val="24"/>
                <w:lang w:val="x-none" w:eastAsia="x-none"/>
              </w:rPr>
              <w:t xml:space="preserve"> tahliye ihtarının kanuna ve usulüne uygun olduğunu tespit ederse</w:t>
            </w:r>
            <w:r w:rsidR="00283BF6" w:rsidRPr="00A23740">
              <w:rPr>
                <w:b/>
                <w:bCs/>
                <w:color w:val="0000FF"/>
                <w:szCs w:val="24"/>
                <w:lang w:eastAsia="x-none"/>
              </w:rPr>
              <w:t>,</w:t>
            </w:r>
            <w:r w:rsidRPr="00A23740">
              <w:rPr>
                <w:b/>
                <w:bCs/>
                <w:color w:val="0000FF"/>
                <w:szCs w:val="24"/>
                <w:lang w:val="x-none" w:eastAsia="x-none"/>
              </w:rPr>
              <w:t xml:space="preserve"> taşınmazın tahliyesine karar verir.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pStyle w:val="Mavi"/>
            </w:pPr>
            <w:r w:rsidRPr="00A23740">
              <w:rPr>
                <w:rStyle w:val="Stil5Char0"/>
                <w:b/>
                <w:color w:val="0000FF"/>
                <w:lang w:eastAsia="x-none"/>
              </w:rPr>
              <w:t>(3) Mahkeme, itiraz edilmemiş kira sözleşmesini ve tahliye taahhüdünü inceleme konusu yapamaz. Borçlunun, tahliye emrinin tebliğinden önce kira sözleşmesinin yenilendiğini veya uzatıldığını ileri sürme ve bunu takibin iptali</w:t>
            </w:r>
            <w:r w:rsidR="0040600E" w:rsidRPr="00363170">
              <w:rPr>
                <w:rStyle w:val="Stil5Char0"/>
                <w:b/>
                <w:color w:val="0000FF"/>
                <w:lang w:eastAsia="x-none"/>
              </w:rPr>
              <w:t>ne</w:t>
            </w:r>
            <w:r w:rsidRPr="00A23740">
              <w:rPr>
                <w:rStyle w:val="Stil5Char0"/>
                <w:b/>
                <w:color w:val="0000FF"/>
                <w:lang w:eastAsia="x-none"/>
              </w:rPr>
              <w:t xml:space="preserve"> veya geri bırakılmasına ilişkin 97 nci maddede yazılı belgelerle ispat etme hakkı saklıdır.</w:t>
            </w:r>
            <w:r w:rsidRPr="00A23740">
              <w:t xml:space="preserve"> </w:t>
            </w:r>
          </w:p>
          <w:p w:rsidR="00AA5C8C" w:rsidRPr="00A23740" w:rsidRDefault="00AA5C8C" w:rsidP="009431FF">
            <w:pPr>
              <w:pStyle w:val="Stil5"/>
              <w:rPr>
                <w:lang w:val="tr-TR"/>
              </w:rPr>
            </w:pPr>
          </w:p>
        </w:tc>
      </w:tr>
      <w:tr w:rsidR="0089218D" w:rsidRPr="00A23740" w:rsidTr="009431FF">
        <w:tc>
          <w:tcPr>
            <w:tcW w:w="5000" w:type="pct"/>
            <w:gridSpan w:val="2"/>
            <w:shd w:val="clear" w:color="auto" w:fill="DEEAF6"/>
          </w:tcPr>
          <w:p w:rsidR="0089218D" w:rsidRPr="00A23740" w:rsidRDefault="0089218D" w:rsidP="009431FF">
            <w:pPr>
              <w:keepNext/>
              <w:ind w:firstLine="709"/>
              <w:outlineLvl w:val="3"/>
              <w:rPr>
                <w:b/>
              </w:rPr>
            </w:pPr>
            <w:r w:rsidRPr="00A23740">
              <w:rPr>
                <w:b/>
              </w:rPr>
              <w:tab/>
            </w:r>
          </w:p>
          <w:p w:rsidR="00BD62FF" w:rsidRPr="00A23740" w:rsidRDefault="0089218D" w:rsidP="009431FF">
            <w:pPr>
              <w:keepNext/>
              <w:ind w:firstLine="709"/>
              <w:outlineLvl w:val="3"/>
            </w:pPr>
            <w:r w:rsidRPr="00A23740">
              <w:rPr>
                <w:b/>
              </w:rPr>
              <w:t xml:space="preserve">MADDE </w:t>
            </w:r>
            <w:r w:rsidR="0064280C" w:rsidRPr="00A23740">
              <w:rPr>
                <w:b/>
              </w:rPr>
              <w:t>145</w:t>
            </w:r>
            <w:r w:rsidRPr="00A23740">
              <w:rPr>
                <w:b/>
              </w:rPr>
              <w:t>-</w:t>
            </w:r>
            <w:r w:rsidRPr="00A23740">
              <w:t xml:space="preserve"> </w:t>
            </w:r>
            <w:r w:rsidRPr="00A23740">
              <w:rPr>
                <w:szCs w:val="24"/>
                <w:lang w:eastAsia="x-none"/>
              </w:rPr>
              <w:t>Maddeyle,</w:t>
            </w:r>
            <w:r w:rsidRPr="00A23740">
              <w:t xml:space="preserve"> </w:t>
            </w:r>
            <w:r w:rsidR="00A825DB" w:rsidRPr="00A23740">
              <w:t xml:space="preserve">tahliye emrine </w:t>
            </w:r>
            <w:r w:rsidR="00BD62FF" w:rsidRPr="00A23740">
              <w:t>itiraz etmemenin sonuçları ve</w:t>
            </w:r>
            <w:r w:rsidR="00E41B36" w:rsidRPr="00A23740">
              <w:t xml:space="preserve"> kiralananın</w:t>
            </w:r>
            <w:r w:rsidR="00BD62FF" w:rsidRPr="00A23740">
              <w:t xml:space="preserve"> tahliye</w:t>
            </w:r>
            <w:r w:rsidR="00E41B36" w:rsidRPr="00A23740">
              <w:t>sine</w:t>
            </w:r>
            <w:r w:rsidR="00BD62FF" w:rsidRPr="00A23740">
              <w:t xml:space="preserve"> ilişkin hususlar düzenlenmektedir.</w:t>
            </w:r>
            <w:r w:rsidR="0083755E" w:rsidRPr="00A23740">
              <w:t xml:space="preserve"> Bu fıkra, 2004 sayılı Kanunun 273 üncü maddesinin birinci fıkrasına kısmen karşılık gelmektedir.</w:t>
            </w:r>
          </w:p>
          <w:p w:rsidR="00BD62FF" w:rsidRPr="00A23740" w:rsidRDefault="00BD62FF" w:rsidP="009431FF">
            <w:pPr>
              <w:keepNext/>
              <w:ind w:firstLine="709"/>
              <w:outlineLvl w:val="3"/>
            </w:pPr>
            <w:r w:rsidRPr="00A23740">
              <w:t>Birinci fıkrayla, borçlunun</w:t>
            </w:r>
            <w:r w:rsidR="00E41B36" w:rsidRPr="00A23740">
              <w:t xml:space="preserve"> tahliye emrinde belirtilen iki haftalık süre</w:t>
            </w:r>
            <w:r w:rsidRPr="00A23740">
              <w:t xml:space="preserve"> içinde tahliye emrine itiraz etmemesi ve ihtar süresi içinde taşınmazı tahliye ve teslim etmemesi h</w:t>
            </w:r>
            <w:r w:rsidR="00E54A6B" w:rsidRPr="00A23740">
              <w:t>â</w:t>
            </w:r>
            <w:r w:rsidRPr="00A23740">
              <w:t>linde alacaklı</w:t>
            </w:r>
            <w:r w:rsidR="00A825DB" w:rsidRPr="00A23740">
              <w:t>nın</w:t>
            </w:r>
            <w:r w:rsidRPr="00A23740">
              <w:t>, ihtar süresinin bitiminden itibaren bir ay içinde sulh hukuk mahkemesinden taşınmazın tahliyesi</w:t>
            </w:r>
            <w:r w:rsidR="00A825DB" w:rsidRPr="00A23740">
              <w:t>ne karar verilmesini i</w:t>
            </w:r>
            <w:r w:rsidR="00983687" w:rsidRPr="00A23740">
              <w:t>steyebileceği hükme bağlanmaktadır</w:t>
            </w:r>
            <w:r w:rsidRPr="00A23740">
              <w:t xml:space="preserve">. </w:t>
            </w:r>
            <w:r w:rsidR="00983687" w:rsidRPr="00A23740">
              <w:t>Taslakta,</w:t>
            </w:r>
            <w:r w:rsidR="00E41B36" w:rsidRPr="00A23740">
              <w:t xml:space="preserve"> </w:t>
            </w:r>
            <w:r w:rsidR="00983687" w:rsidRPr="00A23740">
              <w:t>itirazın kaldırılması kurumu</w:t>
            </w:r>
            <w:r w:rsidR="00E41B36" w:rsidRPr="00A23740">
              <w:t>nun</w:t>
            </w:r>
            <w:r w:rsidR="00983687" w:rsidRPr="00A23740">
              <w:t xml:space="preserve"> </w:t>
            </w:r>
            <w:r w:rsidR="00E41B36" w:rsidRPr="00A23740">
              <w:t>çıkarılmış olması,</w:t>
            </w:r>
            <w:r w:rsidR="00983687" w:rsidRPr="00A23740">
              <w:t xml:space="preserve"> kira hukuku ve tahliye davaları bakımından</w:t>
            </w:r>
            <w:r w:rsidR="00E41B36" w:rsidRPr="00A23740">
              <w:t xml:space="preserve"> sulh hukuk mahkemesinin</w:t>
            </w:r>
            <w:r w:rsidR="00983687" w:rsidRPr="00A23740">
              <w:t xml:space="preserve"> </w:t>
            </w:r>
            <w:r w:rsidR="003E3281" w:rsidRPr="00A23740">
              <w:t xml:space="preserve">kanun koyucu tarafından adeta bir </w:t>
            </w:r>
            <w:r w:rsidR="00983687" w:rsidRPr="00A23740">
              <w:t>ihtisas mahkemesi</w:t>
            </w:r>
            <w:r w:rsidR="00E41B36" w:rsidRPr="00A23740">
              <w:t xml:space="preserve"> olarak belirlenmiş olması karşısında;</w:t>
            </w:r>
            <w:r w:rsidR="00983687" w:rsidRPr="00A23740">
              <w:t xml:space="preserve"> tahliye emri üzerine verilecek tahliye kararının sulh hukuk mahkemesi tarafından verilmesi gerektiği kabul edilmektedir.</w:t>
            </w:r>
            <w:r w:rsidR="00E41B36" w:rsidRPr="00A23740">
              <w:t xml:space="preserve"> Düzenlemeyle </w:t>
            </w:r>
            <w:r w:rsidR="00983687" w:rsidRPr="00A23740">
              <w:t>dava açma süresi</w:t>
            </w:r>
            <w:r w:rsidR="00E41B36" w:rsidRPr="00A23740">
              <w:t xml:space="preserve"> değiştirilmekte </w:t>
            </w:r>
            <w:r w:rsidR="00983687" w:rsidRPr="00A23740">
              <w:t>ve</w:t>
            </w:r>
            <w:r w:rsidR="00E41B36" w:rsidRPr="00A23740">
              <w:t xml:space="preserve"> bu süre ihtar süresinin bitiminden itibaren </w:t>
            </w:r>
            <w:r w:rsidR="00983687" w:rsidRPr="00A23740">
              <w:t>bir ay olarak kabul edilmektedir. Öte yandan</w:t>
            </w:r>
            <w:r w:rsidR="0083755E" w:rsidRPr="00A23740">
              <w:t xml:space="preserve"> </w:t>
            </w:r>
            <w:r w:rsidR="00C601E0" w:rsidRPr="00A23740">
              <w:t>kiracının aynı sebepler tahtında sürekli tahliye tehdidi altında kalmasının hakkaniye</w:t>
            </w:r>
            <w:r w:rsidR="00283BF6" w:rsidRPr="00A23740">
              <w:t>te</w:t>
            </w:r>
            <w:r w:rsidR="00C601E0" w:rsidRPr="00A23740">
              <w:t xml:space="preserve"> aykırı olacağı düşüncesinden hareketle,</w:t>
            </w:r>
            <w:r w:rsidR="00983687" w:rsidRPr="00A23740">
              <w:t xml:space="preserve"> </w:t>
            </w:r>
            <w:r w:rsidR="00A825DB" w:rsidRPr="00A23740">
              <w:t xml:space="preserve">bu </w:t>
            </w:r>
            <w:r w:rsidR="00983687" w:rsidRPr="00A23740">
              <w:t xml:space="preserve">süre içinde tahliyenin </w:t>
            </w:r>
            <w:r w:rsidRPr="00A23740">
              <w:t>talep</w:t>
            </w:r>
            <w:r w:rsidR="00983687" w:rsidRPr="00A23740">
              <w:t xml:space="preserve"> edilmemesi h</w:t>
            </w:r>
            <w:r w:rsidR="00E54A6B" w:rsidRPr="00A23740">
              <w:t>â</w:t>
            </w:r>
            <w:r w:rsidR="00983687" w:rsidRPr="00A23740">
              <w:t>linde</w:t>
            </w:r>
            <w:r w:rsidRPr="00A23740">
              <w:t xml:space="preserve"> aynı takip sebebi bakımından genel hükümlere</w:t>
            </w:r>
            <w:r w:rsidR="00983687" w:rsidRPr="00A23740">
              <w:t xml:space="preserve"> göre de tahliye talep edil</w:t>
            </w:r>
            <w:r w:rsidR="0083755E" w:rsidRPr="00A23740">
              <w:t>emeyeceği hükme bağlanmaktadır.</w:t>
            </w:r>
          </w:p>
          <w:p w:rsidR="00983687" w:rsidRPr="00A23740" w:rsidRDefault="00983687" w:rsidP="009431FF">
            <w:pPr>
              <w:keepNext/>
              <w:ind w:firstLine="709"/>
              <w:outlineLvl w:val="3"/>
            </w:pPr>
            <w:r w:rsidRPr="00A23740">
              <w:t>İ</w:t>
            </w:r>
            <w:r w:rsidR="00C601E0" w:rsidRPr="00A23740">
              <w:t xml:space="preserve">kinci fıkrayla, </w:t>
            </w:r>
            <w:r w:rsidRPr="00A23740">
              <w:t>m</w:t>
            </w:r>
            <w:r w:rsidR="00C601E0" w:rsidRPr="00A23740">
              <w:t>ahkemenin</w:t>
            </w:r>
            <w:r w:rsidR="0083755E" w:rsidRPr="00A23740">
              <w:t xml:space="preserve"> tahliye talebi üzerine</w:t>
            </w:r>
            <w:r w:rsidR="00C601E0" w:rsidRPr="00A23740">
              <w:t xml:space="preserve"> yapacağı incelemeye ilişkin esaslar belirlenmektedir. Buna göre mahkeme</w:t>
            </w:r>
            <w:r w:rsidR="0083755E" w:rsidRPr="00A23740">
              <w:t>nin</w:t>
            </w:r>
            <w:r w:rsidR="00C601E0" w:rsidRPr="00A23740">
              <w:t xml:space="preserve"> </w:t>
            </w:r>
            <w:r w:rsidRPr="00A23740">
              <w:t>yapacağı inceleme sonucunda, süresi içinde tahliye emrine itiraz edilmediğini ve tahliye ihtarının kanuna ve usul</w:t>
            </w:r>
            <w:r w:rsidR="00C601E0" w:rsidRPr="00A23740">
              <w:t>üne uygun olduğunu</w:t>
            </w:r>
            <w:r w:rsidR="0083755E" w:rsidRPr="00A23740">
              <w:t>n</w:t>
            </w:r>
            <w:r w:rsidR="00C601E0" w:rsidRPr="00A23740">
              <w:t xml:space="preserve"> tespit </w:t>
            </w:r>
            <w:r w:rsidR="0083755E" w:rsidRPr="00A23740">
              <w:t>edilmesi</w:t>
            </w:r>
            <w:r w:rsidR="00C601E0" w:rsidRPr="00A23740">
              <w:t xml:space="preserve"> h</w:t>
            </w:r>
            <w:r w:rsidR="00E54A6B" w:rsidRPr="00A23740">
              <w:t>â</w:t>
            </w:r>
            <w:r w:rsidR="00C601E0" w:rsidRPr="00A23740">
              <w:t>linde</w:t>
            </w:r>
            <w:r w:rsidRPr="00A23740">
              <w:t xml:space="preserve"> taş</w:t>
            </w:r>
            <w:r w:rsidR="0083755E" w:rsidRPr="00A23740">
              <w:t>ınmazın tahliyesine karar verile</w:t>
            </w:r>
            <w:r w:rsidR="00C601E0" w:rsidRPr="00A23740">
              <w:t>ceği hüküm altına alınmaktadır.</w:t>
            </w:r>
          </w:p>
          <w:p w:rsidR="0089218D" w:rsidRPr="00A23740" w:rsidRDefault="00983687" w:rsidP="009431FF">
            <w:pPr>
              <w:keepNext/>
              <w:ind w:firstLine="709"/>
              <w:outlineLvl w:val="3"/>
              <w:rPr>
                <w:b/>
                <w:szCs w:val="24"/>
              </w:rPr>
            </w:pPr>
            <w:r w:rsidRPr="00A23740">
              <w:t>Ü</w:t>
            </w:r>
            <w:r w:rsidR="004C4783" w:rsidRPr="00A23740">
              <w:t>çüncü fıkrayla da</w:t>
            </w:r>
            <w:r w:rsidRPr="00A23740">
              <w:t xml:space="preserve"> mahkeme</w:t>
            </w:r>
            <w:r w:rsidR="0083755E" w:rsidRPr="00A23740">
              <w:t>nin bu kapsamda</w:t>
            </w:r>
            <w:r w:rsidRPr="00A23740">
              <w:t>, itiraz edilmemiş kira sözleşmesini ve tahliye ta</w:t>
            </w:r>
            <w:r w:rsidR="00C601E0" w:rsidRPr="00A23740">
              <w:t>ahhüdünü inceleme konusu yapamayacağı</w:t>
            </w:r>
            <w:r w:rsidR="0083755E" w:rsidRPr="00A23740">
              <w:t>;</w:t>
            </w:r>
            <w:r w:rsidR="004C4783" w:rsidRPr="00A23740">
              <w:t xml:space="preserve"> buna karşılık b</w:t>
            </w:r>
            <w:r w:rsidRPr="00A23740">
              <w:t>orçlunun, tahliye emrinin tebliğinden önce kira sözleşmesinin yenilendiğini veya uzatıldığını ileri sürme ve bunu takibin iptali</w:t>
            </w:r>
            <w:r w:rsidR="003E3281" w:rsidRPr="00A23740">
              <w:t>ne</w:t>
            </w:r>
            <w:r w:rsidRPr="00A23740">
              <w:t xml:space="preserve"> veya geri bırakılmasına ilişkin 97 nci maddede yazılı belge</w:t>
            </w:r>
            <w:r w:rsidR="004C4783" w:rsidRPr="00A23740">
              <w:t>lerle ispat etme hakkının saklı olduğu hüküm altına alınmaktadır.</w:t>
            </w:r>
          </w:p>
          <w:p w:rsidR="0042055F" w:rsidRPr="00A23740" w:rsidRDefault="0042055F" w:rsidP="00DE193E">
            <w:pPr>
              <w:keepNext/>
              <w:ind w:firstLine="709"/>
              <w:outlineLvl w:val="3"/>
              <w:rPr>
                <w:b/>
                <w:szCs w:val="24"/>
              </w:rPr>
            </w:pPr>
          </w:p>
        </w:tc>
      </w:tr>
      <w:tr w:rsidR="00AA5C8C" w:rsidRPr="00A23740" w:rsidTr="009431FF">
        <w:tc>
          <w:tcPr>
            <w:tcW w:w="2500" w:type="pct"/>
          </w:tcPr>
          <w:p w:rsidR="00AA5C8C" w:rsidRPr="00A23740" w:rsidRDefault="00AA5C8C" w:rsidP="009431FF">
            <w:pPr>
              <w:tabs>
                <w:tab w:val="left" w:pos="567"/>
              </w:tabs>
              <w:rPr>
                <w:b/>
                <w:szCs w:val="24"/>
              </w:rPr>
            </w:pPr>
            <w:r w:rsidRPr="00A23740">
              <w:rPr>
                <w:b/>
                <w:bCs/>
                <w:strike/>
                <w:color w:val="FF0000"/>
                <w:szCs w:val="24"/>
              </w:rPr>
              <w:t>2 –</w:t>
            </w:r>
            <w:r w:rsidRPr="00A23740">
              <w:rPr>
                <w:b/>
                <w:szCs w:val="24"/>
              </w:rPr>
              <w:t xml:space="preserve"> İtirazın </w:t>
            </w:r>
            <w:r w:rsidRPr="00A23740">
              <w:rPr>
                <w:b/>
                <w:strike/>
                <w:color w:val="FF0000"/>
                <w:szCs w:val="24"/>
              </w:rPr>
              <w:t>kaldırılması:</w:t>
            </w:r>
          </w:p>
          <w:p w:rsidR="00AA5C8C" w:rsidRPr="00A23740" w:rsidRDefault="00AA5C8C" w:rsidP="009431FF">
            <w:pPr>
              <w:tabs>
                <w:tab w:val="left" w:pos="567"/>
              </w:tabs>
              <w:rPr>
                <w:b/>
                <w:szCs w:val="24"/>
              </w:rPr>
            </w:pPr>
            <w:r w:rsidRPr="00A23740">
              <w:rPr>
                <w:b/>
                <w:bCs/>
                <w:strike/>
                <w:color w:val="FF0000"/>
                <w:szCs w:val="24"/>
              </w:rPr>
              <w:t>Madde 275 – (1) (Değişik</w:t>
            </w:r>
            <w:r w:rsidRPr="00A23740">
              <w:rPr>
                <w:b/>
                <w:strike/>
                <w:color w:val="FF0000"/>
                <w:szCs w:val="24"/>
              </w:rPr>
              <w:t>: 18/2/1965 - 538/112 md.)</w:t>
            </w:r>
          </w:p>
          <w:p w:rsidR="00AA5C8C" w:rsidRPr="00A23740" w:rsidRDefault="00AA5C8C" w:rsidP="009431FF">
            <w:pPr>
              <w:pStyle w:val="KIRMIZI"/>
            </w:pPr>
            <w:r w:rsidRPr="00A23740">
              <w:t xml:space="preserve">İtiraz vukuunda kiralıyan </w:t>
            </w:r>
            <w:r w:rsidRPr="00A23740">
              <w:rPr>
                <w:rStyle w:val="KIRMIZIChar"/>
                <w:rFonts w:eastAsia="Calibri"/>
                <w:b/>
                <w:bCs/>
                <w:strike/>
              </w:rPr>
              <w:t>icra</w:t>
            </w:r>
            <w:r w:rsidRPr="00A23740">
              <w:t xml:space="preserve"> mahkemesinden itirazın </w:t>
            </w:r>
            <w:r w:rsidRPr="00A23740">
              <w:rPr>
                <w:rStyle w:val="KIRMIZIChar"/>
                <w:rFonts w:eastAsia="Calibri"/>
                <w:b/>
                <w:bCs/>
                <w:strike/>
              </w:rPr>
              <w:t>kaldırılmasını</w:t>
            </w:r>
            <w:r w:rsidRPr="00A23740">
              <w:t xml:space="preserve"> isteyebilir.</w:t>
            </w:r>
          </w:p>
          <w:p w:rsidR="00AA5C8C" w:rsidRPr="00A23740" w:rsidRDefault="00AA5C8C" w:rsidP="009431FF">
            <w:pPr>
              <w:pStyle w:val="KIRMIZI"/>
            </w:pPr>
          </w:p>
          <w:p w:rsidR="00AA5C8C" w:rsidRPr="00A23740" w:rsidRDefault="00AA5C8C" w:rsidP="009431FF">
            <w:pPr>
              <w:pStyle w:val="KIRMIZI"/>
            </w:pPr>
            <w:r w:rsidRPr="00A23740">
              <w:t>(2) Tahliye talebi noterlikçe res'en tanzim veya tarih ve imzası tasdik edilmiş yahut ikrar olunmuş bir mukaveleye müstenit olup da kiracı kiranın yenilendiğine veya uzatıldığına dair aynı kuvvet ve mahiyette bir vesika gösteremezse itiraz kaldırılır.</w:t>
            </w:r>
          </w:p>
          <w:p w:rsidR="00AA5C8C" w:rsidRPr="00A23740" w:rsidRDefault="00AA5C8C" w:rsidP="009431FF">
            <w:pPr>
              <w:tabs>
                <w:tab w:val="left" w:pos="567"/>
              </w:tabs>
              <w:rPr>
                <w:szCs w:val="24"/>
              </w:rPr>
            </w:pPr>
          </w:p>
          <w:p w:rsidR="00AA5C8C" w:rsidRPr="00A23740" w:rsidRDefault="00AA5C8C" w:rsidP="009431FF">
            <w:pPr>
              <w:tabs>
                <w:tab w:val="left" w:pos="567"/>
              </w:tabs>
              <w:rPr>
                <w:b/>
                <w:bCs/>
                <w:strike/>
                <w:color w:val="FF0000"/>
                <w:szCs w:val="24"/>
              </w:rPr>
            </w:pPr>
            <w:r w:rsidRPr="00A23740">
              <w:rPr>
                <w:b/>
                <w:bCs/>
                <w:strike/>
                <w:color w:val="FF0000"/>
                <w:szCs w:val="24"/>
              </w:rPr>
              <w:t>(3) Aksi takdirde itirazın kaldırılması talebi reddolunur.</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b/>
                <w:bCs/>
                <w:strike/>
                <w:color w:val="FF0000"/>
                <w:szCs w:val="24"/>
              </w:rPr>
            </w:pPr>
            <w:r w:rsidRPr="00A23740">
              <w:rPr>
                <w:b/>
                <w:bCs/>
                <w:strike/>
                <w:color w:val="FF0000"/>
                <w:szCs w:val="24"/>
              </w:rPr>
              <w:t>(4) İtirazın kaldırılması üzerine tahliye ve teslim icra edildikten veya kaldırılma talebi reddolunduktan sonra kiracının veya kiralıyanın umumi hükümlere göre mahkemeye müracaat hakları saklıdır.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(5) (</w:t>
            </w:r>
            <w:r w:rsidRPr="00A23740">
              <w:rPr>
                <w:b/>
                <w:bCs/>
                <w:strike/>
                <w:color w:val="FF0000"/>
                <w:szCs w:val="24"/>
              </w:rPr>
              <w:t>Değişik: 9/11/1988 - 3494/52 md.) Mahkemede açılan davada icra takibi sırasında inkar olunan imzanın kendisine ait olduğu anlaşılan kiracı veya kiralayan yüzbin liradan beşyüzbin liraya kadar para cezasına mahküm edilir.</w:t>
            </w:r>
          </w:p>
          <w:p w:rsidR="00AA5C8C" w:rsidRPr="00A23740" w:rsidRDefault="00AA5C8C" w:rsidP="009431FF">
            <w:pPr>
              <w:tabs>
                <w:tab w:val="center" w:pos="3543"/>
              </w:tabs>
              <w:rPr>
                <w:i/>
                <w:szCs w:val="24"/>
              </w:rPr>
            </w:pPr>
          </w:p>
        </w:tc>
        <w:tc>
          <w:tcPr>
            <w:tcW w:w="2500" w:type="pct"/>
          </w:tcPr>
          <w:p w:rsidR="00AA5C8C" w:rsidRPr="00A23740" w:rsidRDefault="00AA5C8C" w:rsidP="009431FF">
            <w:pPr>
              <w:tabs>
                <w:tab w:val="left" w:pos="567"/>
              </w:tabs>
              <w:rPr>
                <w:b/>
                <w:bCs/>
                <w:color w:val="0000FF"/>
                <w:szCs w:val="24"/>
                <w:lang w:val="x-none" w:eastAsia="x-none"/>
              </w:rPr>
            </w:pPr>
            <w:r w:rsidRPr="00A23740">
              <w:rPr>
                <w:b/>
                <w:szCs w:val="24"/>
              </w:rPr>
              <w:t xml:space="preserve">İtirazın </w:t>
            </w:r>
            <w:r w:rsidRPr="00A23740">
              <w:rPr>
                <w:rStyle w:val="MaviChar"/>
              </w:rPr>
              <w:t>iptali</w:t>
            </w:r>
            <w:r w:rsidRPr="00A23740">
              <w:rPr>
                <w:b/>
                <w:bCs/>
                <w:color w:val="0000FF"/>
                <w:szCs w:val="24"/>
                <w:lang w:val="x-none" w:eastAsia="x-none"/>
              </w:rPr>
              <w:t xml:space="preserve"> ve tahliye</w:t>
            </w:r>
          </w:p>
          <w:p w:rsidR="00AA5C8C" w:rsidRPr="00A23740" w:rsidRDefault="00AA5C8C" w:rsidP="009431FF">
            <w:pPr>
              <w:pStyle w:val="Mavi"/>
            </w:pPr>
            <w:r w:rsidRPr="00A23740">
              <w:t xml:space="preserve">MADDE </w:t>
            </w:r>
            <w:r w:rsidR="0064280C" w:rsidRPr="00A23740">
              <w:rPr>
                <w:lang w:val="tr-TR"/>
              </w:rPr>
              <w:t>146</w:t>
            </w:r>
            <w:r w:rsidRPr="00A23740">
              <w:t>- (1)</w:t>
            </w:r>
            <w:r w:rsidRPr="00A23740">
              <w:rPr>
                <w:rFonts w:eastAsia="Times New Roman"/>
                <w:lang w:eastAsia="tr-TR"/>
              </w:rPr>
              <w:t xml:space="preserve"> </w:t>
            </w:r>
            <w:r w:rsidRPr="00A23740">
              <w:t>Alacaklı, itirazın tebliği tarihinden itibaren altı ay içinde sulh hukuk mahkemesine başvurarak genel hükümlere göre itirazın iptali ve tahliye için dava açabilir. Bu süre içinde tahliye talep edilmezse</w:t>
            </w:r>
            <w:r w:rsidR="0040600E" w:rsidRPr="00A23740">
              <w:t xml:space="preserve"> </w:t>
            </w:r>
            <w:r w:rsidR="0040600E" w:rsidRPr="00363170">
              <w:t>artık</w:t>
            </w:r>
            <w:r w:rsidRPr="00A23740">
              <w:rPr>
                <w:color w:val="385623"/>
              </w:rPr>
              <w:t xml:space="preserve"> </w:t>
            </w:r>
            <w:r w:rsidRPr="00A23740">
              <w:t>aynı takip sebebi bakımından genel hükümlere göre de tahliye talep edilemez.</w:t>
            </w:r>
          </w:p>
          <w:p w:rsidR="00AA5C8C" w:rsidRPr="00A23740" w:rsidRDefault="00AA5C8C" w:rsidP="009431FF">
            <w:pPr>
              <w:tabs>
                <w:tab w:val="left" w:pos="567"/>
              </w:tabs>
              <w:rPr>
                <w:b/>
                <w:bCs/>
                <w:strike/>
                <w:color w:val="FF0000"/>
                <w:szCs w:val="24"/>
                <w:lang w:val="x-none" w:eastAsia="x-none"/>
              </w:rPr>
            </w:pP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pStyle w:val="Stil5"/>
              <w:rPr>
                <w:rFonts w:eastAsia="Times New Roman"/>
                <w:b w:val="0"/>
                <w:color w:val="FF0000"/>
                <w:lang w:val="tr-TR" w:eastAsia="tr-TR"/>
              </w:rPr>
            </w:pPr>
          </w:p>
        </w:tc>
      </w:tr>
      <w:tr w:rsidR="0089218D" w:rsidRPr="00A23740" w:rsidTr="009431FF">
        <w:tc>
          <w:tcPr>
            <w:tcW w:w="5000" w:type="pct"/>
            <w:gridSpan w:val="2"/>
            <w:shd w:val="clear" w:color="auto" w:fill="DEEAF6"/>
          </w:tcPr>
          <w:p w:rsidR="0089218D" w:rsidRPr="00A23740" w:rsidRDefault="0089218D" w:rsidP="009431FF">
            <w:pPr>
              <w:keepNext/>
              <w:ind w:firstLine="709"/>
              <w:outlineLvl w:val="3"/>
              <w:rPr>
                <w:b/>
              </w:rPr>
            </w:pPr>
            <w:r w:rsidRPr="00A23740">
              <w:rPr>
                <w:b/>
              </w:rPr>
              <w:tab/>
            </w:r>
          </w:p>
          <w:p w:rsidR="003E3281" w:rsidRPr="00A23740" w:rsidRDefault="0089218D" w:rsidP="009431FF">
            <w:pPr>
              <w:keepNext/>
              <w:ind w:firstLine="709"/>
              <w:outlineLvl w:val="3"/>
            </w:pPr>
            <w:r w:rsidRPr="00A23740">
              <w:rPr>
                <w:b/>
              </w:rPr>
              <w:t xml:space="preserve">MADDE </w:t>
            </w:r>
            <w:r w:rsidR="0064280C" w:rsidRPr="00A23740">
              <w:rPr>
                <w:b/>
              </w:rPr>
              <w:t>146</w:t>
            </w:r>
            <w:r w:rsidRPr="00A23740">
              <w:rPr>
                <w:b/>
              </w:rPr>
              <w:t>-</w:t>
            </w:r>
            <w:r w:rsidRPr="00A23740">
              <w:t xml:space="preserve"> </w:t>
            </w:r>
            <w:r w:rsidRPr="00A23740">
              <w:rPr>
                <w:szCs w:val="24"/>
                <w:lang w:eastAsia="x-none"/>
              </w:rPr>
              <w:t>Maddeyle,</w:t>
            </w:r>
            <w:r w:rsidR="005B0060" w:rsidRPr="00A23740">
              <w:rPr>
                <w:szCs w:val="24"/>
                <w:lang w:eastAsia="x-none"/>
              </w:rPr>
              <w:t xml:space="preserve"> tahliye taahhüdü veya kira sözleşmesinin sona ermesi nedeniyle başlatılan ilamsız tahliye takibine karşı yapılan itiraza ilişkin itirazın iptali ve tahliye hususu</w:t>
            </w:r>
            <w:r w:rsidRPr="00A23740">
              <w:t xml:space="preserve"> düzenlenmektedir.</w:t>
            </w:r>
            <w:r w:rsidR="005B0060" w:rsidRPr="00A23740">
              <w:t xml:space="preserve"> Hüküm kısmen 2004 s</w:t>
            </w:r>
            <w:r w:rsidR="00D85751" w:rsidRPr="00A23740">
              <w:t>ayılı Kanunun 275 inci maddesine karşılık gelmektedir</w:t>
            </w:r>
            <w:r w:rsidR="003E3281" w:rsidRPr="00A23740">
              <w:t>.</w:t>
            </w:r>
          </w:p>
          <w:p w:rsidR="0089218D" w:rsidRPr="00A23740" w:rsidRDefault="00D85751" w:rsidP="009431FF">
            <w:pPr>
              <w:keepNext/>
              <w:ind w:firstLine="709"/>
              <w:outlineLvl w:val="3"/>
              <w:rPr>
                <w:b/>
                <w:szCs w:val="24"/>
              </w:rPr>
            </w:pPr>
            <w:r w:rsidRPr="00A23740">
              <w:t xml:space="preserve">Taslakla tahliye emrine itiraz edilmesi üzerine alacaklının, itirazın tebliği tarihinden itibaren altı ay içinde sulh hukuk mahkemesine başvurarak itirazın iptali ve tahliye davası </w:t>
            </w:r>
            <w:r w:rsidR="003E3281" w:rsidRPr="00A23740">
              <w:t xml:space="preserve">açabilmesi </w:t>
            </w:r>
            <w:r w:rsidRPr="00A23740">
              <w:t>düzenlenmektedir. Kiracının a</w:t>
            </w:r>
            <w:r w:rsidR="00283BF6" w:rsidRPr="00A23740">
              <w:t>ynı sebepler tahtında farklı usu</w:t>
            </w:r>
            <w:r w:rsidRPr="00A23740">
              <w:t xml:space="preserve">llerle sürekli tahliye tehdidi altında kalmasını engellemek amacıyla bu süre içinde dava açılmadığı takdirde </w:t>
            </w:r>
            <w:r w:rsidR="00C33D08" w:rsidRPr="00363170">
              <w:t>artık</w:t>
            </w:r>
            <w:r w:rsidR="00C33D08" w:rsidRPr="00A23740">
              <w:t xml:space="preserve"> </w:t>
            </w:r>
            <w:r w:rsidRPr="00A23740">
              <w:t>aynı takip sebebi bakımından genel hükümlere göre de tahliye istenemeyeceği açıkça hükme bağlanmaktadır.</w:t>
            </w:r>
          </w:p>
          <w:p w:rsidR="0042055F" w:rsidRPr="00A23740" w:rsidRDefault="0042055F" w:rsidP="00DE193E">
            <w:pPr>
              <w:keepNext/>
              <w:ind w:firstLine="709"/>
              <w:outlineLvl w:val="3"/>
              <w:rPr>
                <w:b/>
                <w:szCs w:val="24"/>
              </w:rPr>
            </w:pPr>
          </w:p>
        </w:tc>
      </w:tr>
      <w:tr w:rsidR="00AA5C8C" w:rsidRPr="00A23740" w:rsidTr="009431FF">
        <w:tc>
          <w:tcPr>
            <w:tcW w:w="2500" w:type="pct"/>
          </w:tcPr>
          <w:p w:rsidR="00AA5C8C" w:rsidRPr="00A23740" w:rsidRDefault="00AA5C8C" w:rsidP="009431FF">
            <w:pPr>
              <w:tabs>
                <w:tab w:val="left" w:pos="567"/>
              </w:tabs>
              <w:rPr>
                <w:b/>
                <w:szCs w:val="24"/>
              </w:rPr>
            </w:pPr>
            <w:r w:rsidRPr="00A23740">
              <w:rPr>
                <w:rStyle w:val="KIRMIZIChar"/>
                <w:rFonts w:eastAsia="Calibri"/>
              </w:rPr>
              <w:t>İtiraz</w:t>
            </w:r>
            <w:r w:rsidRPr="00A23740">
              <w:rPr>
                <w:b/>
                <w:bCs/>
                <w:strike/>
                <w:color w:val="FF0000"/>
                <w:szCs w:val="24"/>
              </w:rPr>
              <w:t>:</w:t>
            </w:r>
          </w:p>
          <w:p w:rsidR="00AA5C8C" w:rsidRPr="00A23740" w:rsidRDefault="00AA5C8C"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1 – Müddet ve şekli:</w:t>
            </w:r>
          </w:p>
          <w:p w:rsidR="00AA5C8C" w:rsidRPr="00A23740" w:rsidRDefault="00AA5C8C" w:rsidP="009431FF">
            <w:pPr>
              <w:tabs>
                <w:tab w:val="left" w:pos="567"/>
              </w:tabs>
              <w:rPr>
                <w:b/>
                <w:bCs/>
                <w:strike/>
                <w:color w:val="FF0000"/>
                <w:szCs w:val="24"/>
              </w:rPr>
            </w:pPr>
            <w:r w:rsidRPr="00A23740">
              <w:rPr>
                <w:b/>
                <w:bCs/>
                <w:strike/>
                <w:color w:val="FF0000"/>
                <w:szCs w:val="24"/>
              </w:rPr>
              <w:t>Madde 274 – (1) (Değişik: 3/7/1940  - 3890/1 md.)</w:t>
            </w:r>
          </w:p>
          <w:p w:rsidR="00AA5C8C" w:rsidRPr="00A23740" w:rsidRDefault="00AA5C8C" w:rsidP="009431FF">
            <w:pPr>
              <w:tabs>
                <w:tab w:val="left" w:pos="567"/>
              </w:tabs>
              <w:rPr>
                <w:b/>
                <w:bCs/>
                <w:strike/>
                <w:color w:val="FF0000"/>
                <w:szCs w:val="24"/>
              </w:rPr>
            </w:pPr>
            <w:r w:rsidRPr="00A23740">
              <w:rPr>
                <w:b/>
                <w:bCs/>
                <w:strike/>
                <w:color w:val="FF0000"/>
                <w:szCs w:val="24"/>
              </w:rPr>
              <w:t>İtiraz etmek isteyen kiracı itirazını tahliye emrinin tebliğinden itibaren yedi gün içinde dilekçe ile veya şifahen icra dairesine bildirir.</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b/>
                <w:bCs/>
                <w:strike/>
                <w:color w:val="FF0000"/>
                <w:szCs w:val="24"/>
              </w:rPr>
            </w:pPr>
            <w:r w:rsidRPr="00A23740">
              <w:rPr>
                <w:b/>
                <w:bCs/>
                <w:strike/>
                <w:color w:val="FF0000"/>
                <w:szCs w:val="24"/>
              </w:rPr>
              <w:t>(2) Bu suretle yapılan itiraz tahliye takibini durdurur.</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szCs w:val="24"/>
              </w:rPr>
            </w:pPr>
            <w:r w:rsidRPr="00A23740">
              <w:rPr>
                <w:b/>
                <w:bCs/>
                <w:strike/>
                <w:color w:val="FF0000"/>
                <w:szCs w:val="24"/>
              </w:rPr>
              <w:t>(3) 63, 64 ve 65 inci maddeler hükmü tahliye takiplerinde de caridir.</w:t>
            </w:r>
          </w:p>
          <w:p w:rsidR="00AA5C8C" w:rsidRPr="00A23740" w:rsidRDefault="00AA5C8C" w:rsidP="009431FF">
            <w:pPr>
              <w:tabs>
                <w:tab w:val="left" w:pos="567"/>
              </w:tabs>
              <w:rPr>
                <w:szCs w:val="24"/>
              </w:rPr>
            </w:pPr>
          </w:p>
        </w:tc>
        <w:tc>
          <w:tcPr>
            <w:tcW w:w="2500" w:type="pct"/>
          </w:tcPr>
          <w:p w:rsidR="00AA5C8C" w:rsidRPr="00A23740" w:rsidRDefault="00AA5C8C" w:rsidP="009431FF">
            <w:pPr>
              <w:pStyle w:val="Mavi"/>
            </w:pPr>
            <w:r w:rsidRPr="00A23740">
              <w:t>Kıyasen uygulanacak maddeler</w:t>
            </w:r>
          </w:p>
          <w:p w:rsidR="00AA5C8C" w:rsidRPr="00A23740" w:rsidRDefault="00AA5C8C" w:rsidP="009431FF">
            <w:pPr>
              <w:tabs>
                <w:tab w:val="left" w:pos="567"/>
              </w:tabs>
              <w:rPr>
                <w:szCs w:val="24"/>
              </w:rPr>
            </w:pPr>
            <w:r w:rsidRPr="00A23740">
              <w:rPr>
                <w:b/>
                <w:bCs/>
                <w:color w:val="0000FF"/>
                <w:szCs w:val="24"/>
                <w:lang w:val="x-none" w:eastAsia="x-none"/>
              </w:rPr>
              <w:t xml:space="preserve">MADDE </w:t>
            </w:r>
            <w:r w:rsidR="0064280C" w:rsidRPr="00A23740">
              <w:rPr>
                <w:b/>
                <w:bCs/>
                <w:color w:val="0000FF"/>
                <w:szCs w:val="24"/>
                <w:lang w:eastAsia="x-none"/>
              </w:rPr>
              <w:t>147</w:t>
            </w:r>
            <w:r w:rsidRPr="00A23740">
              <w:rPr>
                <w:b/>
                <w:bCs/>
                <w:color w:val="0000FF"/>
                <w:szCs w:val="24"/>
                <w:lang w:val="x-none" w:eastAsia="x-none"/>
              </w:rPr>
              <w:t>- (1)</w:t>
            </w:r>
            <w:r w:rsidRPr="00A23740">
              <w:rPr>
                <w:rFonts w:eastAsia="Times New Roman"/>
                <w:b/>
                <w:color w:val="0000FF"/>
                <w:szCs w:val="24"/>
                <w:lang w:eastAsia="tr-TR"/>
              </w:rPr>
              <w:t xml:space="preserve"> </w:t>
            </w:r>
            <w:r w:rsidR="002F503D" w:rsidRPr="00A23740">
              <w:rPr>
                <w:b/>
                <w:bCs/>
                <w:color w:val="0000FF"/>
                <w:szCs w:val="24"/>
                <w:lang w:val="x-none" w:eastAsia="x-none"/>
              </w:rPr>
              <w:t>22</w:t>
            </w:r>
            <w:r w:rsidR="002F503D" w:rsidRPr="00A23740">
              <w:rPr>
                <w:b/>
                <w:bCs/>
                <w:color w:val="0000FF"/>
                <w:szCs w:val="24"/>
                <w:lang w:eastAsia="x-none"/>
              </w:rPr>
              <w:t xml:space="preserve"> </w:t>
            </w:r>
            <w:r w:rsidR="002F503D" w:rsidRPr="00363170">
              <w:rPr>
                <w:rStyle w:val="KonuBalChar"/>
                <w:rFonts w:eastAsia="Calibri"/>
                <w:color w:val="0000FF"/>
              </w:rPr>
              <w:t>il</w:t>
            </w:r>
            <w:r w:rsidR="00F25FDB" w:rsidRPr="00363170">
              <w:rPr>
                <w:rStyle w:val="KonuBalChar"/>
                <w:rFonts w:eastAsia="Calibri"/>
                <w:color w:val="0000FF"/>
                <w:lang w:val="tr-TR"/>
              </w:rPr>
              <w:t>a</w:t>
            </w:r>
            <w:r w:rsidR="002F503D" w:rsidRPr="00363170">
              <w:rPr>
                <w:rStyle w:val="KonuBalChar"/>
                <w:rFonts w:eastAsia="Calibri"/>
                <w:color w:val="0000FF"/>
              </w:rPr>
              <w:t xml:space="preserve"> 24</w:t>
            </w:r>
            <w:r w:rsidRPr="00A23740">
              <w:rPr>
                <w:rStyle w:val="MaviChar"/>
              </w:rPr>
              <w:t>,</w:t>
            </w:r>
            <w:r w:rsidRPr="00A23740">
              <w:rPr>
                <w:szCs w:val="24"/>
              </w:rPr>
              <w:t xml:space="preserve"> </w:t>
            </w:r>
            <w:r w:rsidR="002F503D" w:rsidRPr="00A23740">
              <w:rPr>
                <w:b/>
                <w:bCs/>
                <w:color w:val="0000FF"/>
                <w:szCs w:val="24"/>
                <w:lang w:val="x-none" w:eastAsia="x-none"/>
              </w:rPr>
              <w:t>60</w:t>
            </w:r>
            <w:r w:rsidRPr="00A23740">
              <w:rPr>
                <w:b/>
                <w:bCs/>
                <w:color w:val="0000FF"/>
                <w:szCs w:val="24"/>
                <w:lang w:val="x-none" w:eastAsia="x-none"/>
              </w:rPr>
              <w:t>, 91</w:t>
            </w:r>
            <w:r w:rsidRPr="005F60FC">
              <w:rPr>
                <w:rStyle w:val="MaviChar"/>
                <w:lang w:val="tr-TR" w:eastAsia="en-US"/>
              </w:rPr>
              <w:t>,</w:t>
            </w:r>
            <w:r w:rsidRPr="00A23740">
              <w:rPr>
                <w:rStyle w:val="MaviChar"/>
                <w:lang w:eastAsia="en-US"/>
              </w:rPr>
              <w:t xml:space="preserve"> </w:t>
            </w:r>
            <w:r w:rsidRPr="00A23740">
              <w:rPr>
                <w:rStyle w:val="MaviChar"/>
              </w:rPr>
              <w:t>92, 93,</w:t>
            </w:r>
            <w:r w:rsidRPr="00A23740">
              <w:rPr>
                <w:b/>
                <w:bCs/>
                <w:color w:val="0000FF"/>
                <w:szCs w:val="24"/>
                <w:lang w:val="x-none" w:eastAsia="x-none"/>
              </w:rPr>
              <w:t xml:space="preserve"> 94, 95 </w:t>
            </w:r>
            <w:r w:rsidRPr="00A23740">
              <w:rPr>
                <w:b/>
                <w:bCs/>
                <w:color w:val="0000FF"/>
                <w:szCs w:val="24"/>
                <w:lang w:eastAsia="x-none"/>
              </w:rPr>
              <w:t xml:space="preserve">ve </w:t>
            </w:r>
            <w:r w:rsidR="005F60FC">
              <w:rPr>
                <w:rStyle w:val="MaviChar"/>
              </w:rPr>
              <w:t>96</w:t>
            </w:r>
            <w:r w:rsidRPr="00A23740">
              <w:rPr>
                <w:rStyle w:val="MaviChar"/>
              </w:rPr>
              <w:t xml:space="preserve"> madde</w:t>
            </w:r>
            <w:r w:rsidR="00714609" w:rsidRPr="00A23740">
              <w:rPr>
                <w:rStyle w:val="MaviChar"/>
                <w:lang w:val="tr-TR"/>
              </w:rPr>
              <w:t>ler</w:t>
            </w:r>
            <w:r w:rsidRPr="00A23740">
              <w:rPr>
                <w:rStyle w:val="MaviChar"/>
              </w:rPr>
              <w:t xml:space="preserve"> kıyasen bu Ayrım hakkında uygulanır.</w:t>
            </w:r>
          </w:p>
          <w:p w:rsidR="00AA5C8C" w:rsidRPr="00A23740" w:rsidRDefault="00AA5C8C" w:rsidP="009431FF">
            <w:pPr>
              <w:tabs>
                <w:tab w:val="left" w:pos="567"/>
              </w:tabs>
              <w:rPr>
                <w:b/>
                <w:szCs w:val="24"/>
              </w:rPr>
            </w:pPr>
          </w:p>
          <w:p w:rsidR="00AA5C8C" w:rsidRPr="00A23740" w:rsidRDefault="00AA5C8C" w:rsidP="009431FF">
            <w:pPr>
              <w:tabs>
                <w:tab w:val="left" w:pos="567"/>
              </w:tabs>
              <w:rPr>
                <w:b/>
                <w:color w:val="FF0000"/>
                <w:szCs w:val="24"/>
              </w:rPr>
            </w:pPr>
          </w:p>
        </w:tc>
      </w:tr>
      <w:tr w:rsidR="00BD62FF" w:rsidRPr="00A23740" w:rsidTr="009431FF">
        <w:tc>
          <w:tcPr>
            <w:tcW w:w="5000" w:type="pct"/>
            <w:gridSpan w:val="2"/>
            <w:shd w:val="clear" w:color="auto" w:fill="DEEAF6"/>
          </w:tcPr>
          <w:p w:rsidR="00BD62FF" w:rsidRPr="00A23740" w:rsidRDefault="00BD62FF" w:rsidP="009431FF">
            <w:pPr>
              <w:keepNext/>
              <w:ind w:firstLine="709"/>
              <w:outlineLvl w:val="3"/>
              <w:rPr>
                <w:b/>
              </w:rPr>
            </w:pPr>
            <w:r w:rsidRPr="00A23740">
              <w:rPr>
                <w:b/>
              </w:rPr>
              <w:tab/>
            </w:r>
          </w:p>
          <w:p w:rsidR="0042055F" w:rsidRPr="00A23740" w:rsidRDefault="00BD62FF" w:rsidP="009431FF">
            <w:pPr>
              <w:keepNext/>
              <w:ind w:firstLine="709"/>
              <w:outlineLvl w:val="3"/>
              <w:rPr>
                <w:b/>
                <w:szCs w:val="24"/>
              </w:rPr>
            </w:pPr>
            <w:r w:rsidRPr="00A23740">
              <w:rPr>
                <w:b/>
              </w:rPr>
              <w:t xml:space="preserve">MADDE </w:t>
            </w:r>
            <w:r w:rsidR="0064280C" w:rsidRPr="00A23740">
              <w:rPr>
                <w:b/>
              </w:rPr>
              <w:t>147</w:t>
            </w:r>
            <w:r w:rsidRPr="00A23740">
              <w:rPr>
                <w:b/>
              </w:rPr>
              <w:t>-</w:t>
            </w:r>
            <w:r w:rsidRPr="00A23740">
              <w:t xml:space="preserve"> </w:t>
            </w:r>
            <w:r w:rsidRPr="00A23740">
              <w:rPr>
                <w:szCs w:val="24"/>
                <w:lang w:eastAsia="x-none"/>
              </w:rPr>
              <w:t>Madde</w:t>
            </w:r>
            <w:r w:rsidR="003E3281" w:rsidRPr="00A23740">
              <w:rPr>
                <w:szCs w:val="24"/>
                <w:lang w:eastAsia="x-none"/>
              </w:rPr>
              <w:t>de</w:t>
            </w:r>
            <w:r w:rsidRPr="00A23740">
              <w:rPr>
                <w:szCs w:val="24"/>
                <w:lang w:eastAsia="x-none"/>
              </w:rPr>
              <w:t>,</w:t>
            </w:r>
            <w:r w:rsidR="00A5167C" w:rsidRPr="00A23740">
              <w:rPr>
                <w:szCs w:val="24"/>
                <w:lang w:eastAsia="x-none"/>
              </w:rPr>
              <w:t xml:space="preserve"> </w:t>
            </w:r>
            <w:r w:rsidR="003E3281" w:rsidRPr="00A23740">
              <w:rPr>
                <w:szCs w:val="24"/>
                <w:lang w:eastAsia="x-none"/>
              </w:rPr>
              <w:t xml:space="preserve">Taslağın </w:t>
            </w:r>
            <w:r w:rsidR="00A5167C" w:rsidRPr="00A23740">
              <w:rPr>
                <w:szCs w:val="24"/>
                <w:lang w:eastAsia="x-none"/>
              </w:rPr>
              <w:t>tahliye taahhüdü veya kira sözleşmesinin sona ermesi nedeniyle ilamsız tahliye başlıklı Ayrım</w:t>
            </w:r>
            <w:r w:rsidR="003E3281" w:rsidRPr="00A23740">
              <w:rPr>
                <w:szCs w:val="24"/>
                <w:lang w:eastAsia="x-none"/>
              </w:rPr>
              <w:t>ın</w:t>
            </w:r>
            <w:r w:rsidR="00A5167C" w:rsidRPr="00A23740">
              <w:rPr>
                <w:szCs w:val="24"/>
                <w:lang w:eastAsia="x-none"/>
              </w:rPr>
              <w:t xml:space="preserve">da yer alan hususlarla ilgili </w:t>
            </w:r>
            <w:r w:rsidR="003E3281" w:rsidRPr="00A23740">
              <w:rPr>
                <w:szCs w:val="24"/>
                <w:lang w:eastAsia="x-none"/>
              </w:rPr>
              <w:t xml:space="preserve">olup </w:t>
            </w:r>
            <w:r w:rsidR="00A5167C" w:rsidRPr="00A23740">
              <w:rPr>
                <w:szCs w:val="24"/>
                <w:lang w:eastAsia="x-none"/>
              </w:rPr>
              <w:t>kıyasen uygulanacak diğer hükümler gösterilmektedir.</w:t>
            </w:r>
          </w:p>
          <w:p w:rsidR="0042055F" w:rsidRPr="00A23740" w:rsidRDefault="0042055F" w:rsidP="009431FF">
            <w:pPr>
              <w:keepNext/>
              <w:ind w:firstLine="709"/>
              <w:outlineLvl w:val="3"/>
              <w:rPr>
                <w:b/>
                <w:szCs w:val="24"/>
              </w:rPr>
            </w:pPr>
          </w:p>
        </w:tc>
      </w:tr>
      <w:tr w:rsidR="00AA5C8C" w:rsidRPr="00A23740" w:rsidTr="009431FF">
        <w:tc>
          <w:tcPr>
            <w:tcW w:w="2500" w:type="pct"/>
          </w:tcPr>
          <w:p w:rsidR="00AA5C8C" w:rsidRPr="00A23740" w:rsidRDefault="00AA5C8C" w:rsidP="009431FF">
            <w:pPr>
              <w:pStyle w:val="KIRMIZI"/>
            </w:pPr>
          </w:p>
          <w:p w:rsidR="00AA5C8C" w:rsidRPr="00A23740" w:rsidRDefault="00AA5C8C" w:rsidP="009431FF">
            <w:pPr>
              <w:pStyle w:val="KIRMIZI"/>
            </w:pPr>
          </w:p>
          <w:p w:rsidR="00AA5C8C" w:rsidRPr="00A23740" w:rsidRDefault="00AA5C8C" w:rsidP="009431FF">
            <w:pPr>
              <w:pStyle w:val="KIRMIZI"/>
            </w:pPr>
            <w:r w:rsidRPr="00A23740">
              <w:t>Kira akdi dışındaki itirazlar ve tahliye:</w:t>
            </w:r>
          </w:p>
          <w:p w:rsidR="00AA5C8C" w:rsidRPr="00A23740" w:rsidRDefault="00AA5C8C" w:rsidP="009431FF">
            <w:pPr>
              <w:pStyle w:val="KIRMIZI"/>
            </w:pPr>
            <w:r w:rsidRPr="00A23740">
              <w:t xml:space="preserve">Madde 269/c – </w:t>
            </w:r>
          </w:p>
          <w:p w:rsidR="00AA5C8C" w:rsidRPr="00A23740" w:rsidRDefault="00AA5C8C" w:rsidP="009431FF">
            <w:pPr>
              <w:pStyle w:val="KIRMIZI"/>
            </w:pPr>
            <w:r w:rsidRPr="00A23740">
              <w:t>(3) İcra mahkemesinin tahliyeye mütedair kararının infazı için kesinleşmesi beklenmez. Ancak tahliye için, kararın borçluya tefhimi veya tebliği tarihinden itibaren ongün geçmesi lazımdır. Borçlu tahliye kararı hakkında 36 ncı madde hükmünden faydalanabilir.</w:t>
            </w:r>
          </w:p>
          <w:p w:rsidR="00AA5C8C" w:rsidRPr="00A23740" w:rsidRDefault="00AA5C8C" w:rsidP="009431FF">
            <w:pPr>
              <w:pStyle w:val="KIRMIZI"/>
              <w:rPr>
                <w:i/>
              </w:rPr>
            </w:pPr>
          </w:p>
        </w:tc>
        <w:tc>
          <w:tcPr>
            <w:tcW w:w="2500" w:type="pct"/>
          </w:tcPr>
          <w:p w:rsidR="00AA5C8C" w:rsidRPr="00A23740" w:rsidRDefault="00AA5C8C" w:rsidP="009431FF">
            <w:pPr>
              <w:keepNext/>
              <w:jc w:val="center"/>
              <w:outlineLvl w:val="3"/>
              <w:rPr>
                <w:rFonts w:eastAsia="Times New Roman"/>
                <w:b/>
                <w:bCs/>
                <w:color w:val="0000FF"/>
                <w:szCs w:val="28"/>
              </w:rPr>
            </w:pPr>
            <w:r w:rsidRPr="00A23740">
              <w:rPr>
                <w:rFonts w:eastAsia="Times New Roman"/>
                <w:b/>
                <w:bCs/>
                <w:color w:val="0000FF"/>
                <w:szCs w:val="28"/>
              </w:rPr>
              <w:t>ÜÇÜNCÜ AYRIM</w:t>
            </w:r>
          </w:p>
          <w:p w:rsidR="00AA5C8C" w:rsidRPr="00A23740" w:rsidRDefault="00AA5C8C" w:rsidP="009431FF">
            <w:pPr>
              <w:keepNext/>
              <w:jc w:val="center"/>
              <w:outlineLvl w:val="3"/>
              <w:rPr>
                <w:rFonts w:eastAsia="Times New Roman"/>
                <w:b/>
                <w:bCs/>
                <w:color w:val="0000FF"/>
                <w:szCs w:val="28"/>
              </w:rPr>
            </w:pPr>
            <w:r w:rsidRPr="00A23740">
              <w:rPr>
                <w:rFonts w:eastAsia="Times New Roman"/>
                <w:b/>
                <w:bCs/>
                <w:color w:val="0000FF"/>
                <w:szCs w:val="28"/>
              </w:rPr>
              <w:t>Tahliye Kararlarının İcrası</w:t>
            </w:r>
          </w:p>
          <w:p w:rsidR="00AA5C8C" w:rsidRPr="00A23740" w:rsidRDefault="00AA5C8C" w:rsidP="009431FF">
            <w:pPr>
              <w:tabs>
                <w:tab w:val="left" w:pos="566"/>
              </w:tabs>
              <w:autoSpaceDE w:val="0"/>
              <w:autoSpaceDN w:val="0"/>
              <w:adjustRightInd w:val="0"/>
              <w:rPr>
                <w:rFonts w:eastAsia="Times New Roman"/>
                <w:b/>
                <w:color w:val="0000FF"/>
                <w:szCs w:val="24"/>
                <w:lang w:eastAsia="tr-TR"/>
              </w:rPr>
            </w:pPr>
          </w:p>
          <w:p w:rsidR="00A5167C" w:rsidRPr="00A23740" w:rsidRDefault="00A5167C" w:rsidP="009431FF">
            <w:pPr>
              <w:pStyle w:val="KIRMIZI"/>
            </w:pPr>
          </w:p>
        </w:tc>
      </w:tr>
      <w:tr w:rsidR="00AA5C8C" w:rsidRPr="00A23740" w:rsidTr="009431FF">
        <w:tc>
          <w:tcPr>
            <w:tcW w:w="2500" w:type="pct"/>
          </w:tcPr>
          <w:p w:rsidR="00AA5C8C" w:rsidRPr="00A23740" w:rsidRDefault="00AA5C8C" w:rsidP="009431FF">
            <w:pPr>
              <w:tabs>
                <w:tab w:val="left" w:pos="567"/>
                <w:tab w:val="center" w:pos="3543"/>
              </w:tabs>
              <w:rPr>
                <w:b/>
                <w:szCs w:val="24"/>
              </w:rPr>
            </w:pPr>
          </w:p>
        </w:tc>
        <w:tc>
          <w:tcPr>
            <w:tcW w:w="2500" w:type="pct"/>
          </w:tcPr>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 xml:space="preserve">Takibin iptali veya </w:t>
            </w:r>
            <w:r w:rsidR="005F60FC">
              <w:rPr>
                <w:b/>
                <w:bCs/>
                <w:color w:val="0000FF"/>
                <w:szCs w:val="24"/>
                <w:lang w:eastAsia="x-none"/>
              </w:rPr>
              <w:t>icranın geri bırakılması</w:t>
            </w:r>
          </w:p>
          <w:p w:rsidR="00AA5C8C" w:rsidRPr="00A23740" w:rsidRDefault="00AA5C8C" w:rsidP="009431FF">
            <w:pPr>
              <w:pStyle w:val="Mavi"/>
            </w:pPr>
            <w:r w:rsidRPr="00A23740">
              <w:t xml:space="preserve">MADDE </w:t>
            </w:r>
            <w:r w:rsidR="009D57E1" w:rsidRPr="00A23740">
              <w:rPr>
                <w:lang w:val="tr-TR"/>
              </w:rPr>
              <w:t>148</w:t>
            </w:r>
            <w:r w:rsidRPr="00A23740">
              <w:t xml:space="preserve">- (1) Borçlu, tahliye kararından sonra kira sözleşmesinin yenilendiğini veya uzatıldığını ya da kendisine </w:t>
            </w:r>
            <w:r w:rsidR="00714609" w:rsidRPr="00A23740">
              <w:rPr>
                <w:lang w:val="tr-TR"/>
              </w:rPr>
              <w:t xml:space="preserve">süre </w:t>
            </w:r>
            <w:r w:rsidRPr="00A23740">
              <w:t>verildiğini noterden onaylı veya imzası ikrar edilmiş bir belgeyle ispat ederse</w:t>
            </w:r>
            <w:r w:rsidR="0040600E" w:rsidRPr="00DE193E">
              <w:t>,</w:t>
            </w:r>
            <w:r w:rsidRPr="00A23740">
              <w:t xml:space="preserve"> takibin iptal</w:t>
            </w:r>
            <w:r w:rsidRPr="00A23740">
              <w:rPr>
                <w:rStyle w:val="Stil5Char0"/>
                <w:b/>
                <w:color w:val="0000FF"/>
                <w:lang w:eastAsia="x-none"/>
              </w:rPr>
              <w:t>ini</w:t>
            </w:r>
            <w:r w:rsidRPr="00A23740">
              <w:t xml:space="preserve"> veya </w:t>
            </w:r>
            <w:r w:rsidR="007050C7" w:rsidRPr="00A23740">
              <w:rPr>
                <w:lang w:val="tr-TR"/>
              </w:rPr>
              <w:t xml:space="preserve">icranın </w:t>
            </w:r>
            <w:r w:rsidRPr="00A23740">
              <w:rPr>
                <w:rStyle w:val="Stil5Char0"/>
                <w:b/>
                <w:color w:val="0000FF"/>
                <w:lang w:eastAsia="x-none"/>
              </w:rPr>
              <w:t>geri</w:t>
            </w:r>
            <w:r w:rsidRPr="00A23740">
              <w:t xml:space="preserve"> </w:t>
            </w:r>
            <w:r w:rsidRPr="00A23740">
              <w:rPr>
                <w:rStyle w:val="Stil5Char0"/>
                <w:b/>
                <w:color w:val="0000FF"/>
                <w:lang w:eastAsia="x-none"/>
              </w:rPr>
              <w:t>bırakılmasını</w:t>
            </w:r>
            <w:r w:rsidRPr="00A23740">
              <w:t xml:space="preserve"> </w:t>
            </w:r>
            <w:r w:rsidRPr="00A23740">
              <w:rPr>
                <w:rStyle w:val="Stil5Char0"/>
                <w:b/>
                <w:color w:val="0000FF"/>
                <w:lang w:eastAsia="x-none"/>
              </w:rPr>
              <w:t>icra</w:t>
            </w:r>
            <w:r w:rsidRPr="00A23740">
              <w:t xml:space="preserve"> hukuk mahkemesinden</w:t>
            </w:r>
            <w:r w:rsidR="00A91CC9" w:rsidRPr="00A23740">
              <w:t xml:space="preserve"> her zaman isteyebilir.</w:t>
            </w:r>
          </w:p>
          <w:p w:rsidR="00AA5C8C" w:rsidRPr="00A23740" w:rsidRDefault="00AA5C8C" w:rsidP="009431FF">
            <w:pPr>
              <w:pStyle w:val="Mavi"/>
            </w:pPr>
          </w:p>
          <w:p w:rsidR="00AA5C8C" w:rsidRPr="00A23740" w:rsidRDefault="00AA5C8C" w:rsidP="009431FF">
            <w:pPr>
              <w:pStyle w:val="Mavi"/>
            </w:pPr>
            <w:r w:rsidRPr="00A23740">
              <w:t>(2) Borçlu</w:t>
            </w:r>
            <w:r w:rsidRPr="00A23740">
              <w:rPr>
                <w:rStyle w:val="Stil5Char0"/>
                <w:b/>
                <w:color w:val="0000FF"/>
                <w:lang w:eastAsia="x-none"/>
              </w:rPr>
              <w:t>nun</w:t>
            </w:r>
            <w:r w:rsidRPr="00A23740">
              <w:t xml:space="preserve"> tahliye kararından sonraki dönemde </w:t>
            </w:r>
            <w:r w:rsidRPr="00A23740">
              <w:rPr>
                <w:rStyle w:val="Stil5Char0"/>
                <w:b/>
                <w:color w:val="0000FF"/>
                <w:lang w:eastAsia="x-none"/>
              </w:rPr>
              <w:t>tahliye ilamının</w:t>
            </w:r>
            <w:r w:rsidRPr="00A23740">
              <w:t xml:space="preserve"> zamanaşımına uğradığını ileri </w:t>
            </w:r>
            <w:r w:rsidRPr="00A23740">
              <w:rPr>
                <w:rStyle w:val="Stil5Char0"/>
                <w:b/>
                <w:color w:val="0000FF"/>
                <w:lang w:eastAsia="x-none"/>
              </w:rPr>
              <w:t>sürmesi h</w:t>
            </w:r>
            <w:r w:rsidR="00E54A6B" w:rsidRPr="00A23740">
              <w:rPr>
                <w:rStyle w:val="Stil5Char0"/>
                <w:b/>
                <w:color w:val="0000FF"/>
                <w:lang w:val="tr-TR" w:eastAsia="x-none"/>
              </w:rPr>
              <w:t>â</w:t>
            </w:r>
            <w:r w:rsidRPr="00A23740">
              <w:rPr>
                <w:rStyle w:val="Stil5Char0"/>
                <w:b/>
                <w:color w:val="0000FF"/>
                <w:lang w:eastAsia="x-none"/>
              </w:rPr>
              <w:t>linde</w:t>
            </w:r>
            <w:r w:rsidRPr="00A23740">
              <w:t xml:space="preserve"> </w:t>
            </w:r>
            <w:r w:rsidR="007050C7" w:rsidRPr="00A23740">
              <w:rPr>
                <w:lang w:val="tr-TR"/>
              </w:rPr>
              <w:t xml:space="preserve">97 nci </w:t>
            </w:r>
            <w:r w:rsidRPr="00A23740">
              <w:t xml:space="preserve"> madde</w:t>
            </w:r>
            <w:r w:rsidR="005F60FC" w:rsidRPr="005F60FC">
              <w:rPr>
                <w:rStyle w:val="KIRMIZIChar"/>
                <w:rFonts w:eastAsia="Calibri"/>
                <w:b/>
                <w:bCs/>
                <w:strike w:val="0"/>
              </w:rPr>
              <w:t xml:space="preserve"> </w:t>
            </w:r>
            <w:r w:rsidRPr="00A23740">
              <w:t>kıyasen uygulanır.</w:t>
            </w:r>
          </w:p>
          <w:p w:rsidR="00AA5C8C" w:rsidRPr="00A23740" w:rsidRDefault="00AA5C8C" w:rsidP="009431FF">
            <w:pPr>
              <w:tabs>
                <w:tab w:val="left" w:pos="567"/>
              </w:tabs>
              <w:rPr>
                <w:rFonts w:eastAsia="Times New Roman"/>
                <w:b/>
                <w:color w:val="CC00CC"/>
                <w:szCs w:val="24"/>
                <w:lang w:eastAsia="tr-TR"/>
              </w:rPr>
            </w:pPr>
          </w:p>
        </w:tc>
      </w:tr>
      <w:tr w:rsidR="00BD62FF" w:rsidRPr="00A23740" w:rsidTr="009431FF">
        <w:tc>
          <w:tcPr>
            <w:tcW w:w="5000" w:type="pct"/>
            <w:gridSpan w:val="2"/>
            <w:shd w:val="clear" w:color="auto" w:fill="DEEAF6"/>
          </w:tcPr>
          <w:p w:rsidR="00BD62FF" w:rsidRPr="00A23740" w:rsidRDefault="00BD62FF" w:rsidP="009431FF">
            <w:pPr>
              <w:keepNext/>
              <w:ind w:firstLine="709"/>
              <w:outlineLvl w:val="3"/>
              <w:rPr>
                <w:b/>
              </w:rPr>
            </w:pPr>
            <w:r w:rsidRPr="00A23740">
              <w:rPr>
                <w:b/>
              </w:rPr>
              <w:tab/>
            </w:r>
          </w:p>
          <w:p w:rsidR="00A91CC9" w:rsidRPr="00A23740" w:rsidRDefault="0042055F" w:rsidP="009431FF">
            <w:pPr>
              <w:keepNext/>
              <w:ind w:firstLine="709"/>
              <w:outlineLvl w:val="3"/>
              <w:rPr>
                <w:szCs w:val="24"/>
                <w:lang w:eastAsia="x-none"/>
              </w:rPr>
            </w:pPr>
            <w:r w:rsidRPr="00A23740">
              <w:rPr>
                <w:b/>
              </w:rPr>
              <w:t xml:space="preserve">MADDE </w:t>
            </w:r>
            <w:r w:rsidR="009D57E1" w:rsidRPr="00A23740">
              <w:rPr>
                <w:b/>
              </w:rPr>
              <w:t>148</w:t>
            </w:r>
            <w:r w:rsidR="00BD62FF" w:rsidRPr="00A23740">
              <w:rPr>
                <w:b/>
              </w:rPr>
              <w:t>-</w:t>
            </w:r>
            <w:r w:rsidR="00BD62FF" w:rsidRPr="00A23740">
              <w:t xml:space="preserve"> </w:t>
            </w:r>
            <w:r w:rsidR="00BD62FF" w:rsidRPr="00A23740">
              <w:rPr>
                <w:szCs w:val="24"/>
                <w:lang w:eastAsia="x-none"/>
              </w:rPr>
              <w:t>Maddeyle,</w:t>
            </w:r>
            <w:r w:rsidR="00A91CC9" w:rsidRPr="00A23740">
              <w:rPr>
                <w:szCs w:val="24"/>
                <w:lang w:eastAsia="x-none"/>
              </w:rPr>
              <w:t xml:space="preserve"> kiralanan taşınmazların ilamsız icra yoluyla tahliyesinde takibin iptali veya </w:t>
            </w:r>
            <w:r w:rsidR="007050C7" w:rsidRPr="00363170">
              <w:rPr>
                <w:bCs/>
                <w:szCs w:val="24"/>
                <w:lang w:eastAsia="x-none"/>
              </w:rPr>
              <w:t>icranın geri bırakılması</w:t>
            </w:r>
            <w:r w:rsidR="007050C7" w:rsidRPr="00A23740">
              <w:rPr>
                <w:szCs w:val="24"/>
                <w:lang w:eastAsia="x-none"/>
              </w:rPr>
              <w:t xml:space="preserve"> </w:t>
            </w:r>
            <w:r w:rsidR="00A91CC9" w:rsidRPr="00A23740">
              <w:rPr>
                <w:szCs w:val="24"/>
                <w:lang w:eastAsia="x-none"/>
              </w:rPr>
              <w:t>hususu düzenlenmektedir.</w:t>
            </w:r>
          </w:p>
          <w:p w:rsidR="00A91CC9" w:rsidRPr="00A23740" w:rsidRDefault="00A91CC9" w:rsidP="009431FF">
            <w:pPr>
              <w:keepNext/>
              <w:ind w:firstLine="709"/>
              <w:outlineLvl w:val="3"/>
              <w:rPr>
                <w:szCs w:val="24"/>
                <w:lang w:eastAsia="x-none"/>
              </w:rPr>
            </w:pPr>
            <w:r w:rsidRPr="00A23740">
              <w:rPr>
                <w:szCs w:val="24"/>
                <w:lang w:eastAsia="x-none"/>
              </w:rPr>
              <w:t>Birinci fıkrayla borçlunun</w:t>
            </w:r>
            <w:r w:rsidR="008E4CC2" w:rsidRPr="00A23740">
              <w:rPr>
                <w:szCs w:val="24"/>
                <w:lang w:eastAsia="x-none"/>
              </w:rPr>
              <w:t>,</w:t>
            </w:r>
            <w:r w:rsidRPr="00A23740">
              <w:rPr>
                <w:szCs w:val="24"/>
                <w:lang w:eastAsia="x-none"/>
              </w:rPr>
              <w:t xml:space="preserve"> tahliye kararından sonra kira sözleşmesinin yenilendiğini veya uzatıldığını ya da kendisine mühlet verildiğini ileri sürerek takibin iptalini veya geri bırakılmasını icra hukuk mahkemesinden her zaman isteyebileceği düzenlenmektedir. Borçlu bu durumu ancak noterden onaylı veya imzası ikrar edilmiş bir belgeyle ispat etmesi durumunda icra hukuk mahkemesince takibin iptaline veya </w:t>
            </w:r>
            <w:r w:rsidR="007050C7" w:rsidRPr="00363170">
              <w:rPr>
                <w:szCs w:val="24"/>
                <w:lang w:eastAsia="x-none"/>
              </w:rPr>
              <w:t>icranın</w:t>
            </w:r>
            <w:r w:rsidR="007050C7" w:rsidRPr="00A23740">
              <w:rPr>
                <w:szCs w:val="24"/>
                <w:lang w:eastAsia="x-none"/>
              </w:rPr>
              <w:t xml:space="preserve"> </w:t>
            </w:r>
            <w:r w:rsidRPr="00A23740">
              <w:rPr>
                <w:szCs w:val="24"/>
                <w:lang w:eastAsia="x-none"/>
              </w:rPr>
              <w:t>geri bırakılmasına karar verilebilecektir. 2004 sayılı Kanunun “icra mahkemesinin kararıyla takibin talik veya iptali” maddesi Taslağın 97 nci maddesi ile değiştirilmiş</w:t>
            </w:r>
            <w:r w:rsidR="008E4CC2" w:rsidRPr="00A23740">
              <w:rPr>
                <w:szCs w:val="24"/>
                <w:lang w:eastAsia="x-none"/>
              </w:rPr>
              <w:t>,</w:t>
            </w:r>
            <w:r w:rsidRPr="00A23740">
              <w:rPr>
                <w:szCs w:val="24"/>
                <w:lang w:eastAsia="x-none"/>
              </w:rPr>
              <w:t xml:space="preserve"> iş bu maddede de değişikliğe koşut ola</w:t>
            </w:r>
            <w:r w:rsidR="00003486" w:rsidRPr="00A23740">
              <w:rPr>
                <w:szCs w:val="24"/>
                <w:lang w:eastAsia="x-none"/>
              </w:rPr>
              <w:t>r</w:t>
            </w:r>
            <w:r w:rsidRPr="00A23740">
              <w:rPr>
                <w:szCs w:val="24"/>
                <w:lang w:eastAsia="x-none"/>
              </w:rPr>
              <w:t>ak takibin iptali veya ertelemesi kavramı kullanılmıştır. Borçlu bu fıkrada belirtilen sebeplere dayanarak her zaman icra hukuk mahkemesinden takibin iptalini veya ertele</w:t>
            </w:r>
            <w:r w:rsidR="008E4CC2" w:rsidRPr="00A23740">
              <w:rPr>
                <w:szCs w:val="24"/>
                <w:lang w:eastAsia="x-none"/>
              </w:rPr>
              <w:t>n</w:t>
            </w:r>
            <w:r w:rsidRPr="00A23740">
              <w:rPr>
                <w:szCs w:val="24"/>
                <w:lang w:eastAsia="x-none"/>
              </w:rPr>
              <w:t>mesini talep edebilecektir.</w:t>
            </w:r>
          </w:p>
          <w:p w:rsidR="0042055F" w:rsidRPr="00A23740" w:rsidRDefault="00A91CC9" w:rsidP="009431FF">
            <w:pPr>
              <w:keepNext/>
              <w:ind w:firstLine="709"/>
              <w:outlineLvl w:val="3"/>
              <w:rPr>
                <w:b/>
                <w:szCs w:val="24"/>
              </w:rPr>
            </w:pPr>
            <w:r w:rsidRPr="00A23740">
              <w:rPr>
                <w:szCs w:val="24"/>
                <w:lang w:eastAsia="x-none"/>
              </w:rPr>
              <w:t xml:space="preserve">İkinci fıkrayla, borçlunun tahliye kararından sonraki dönemde tahliye ilamının zamanaşımına uğradığını </w:t>
            </w:r>
            <w:r w:rsidR="00003486" w:rsidRPr="00A23740">
              <w:rPr>
                <w:szCs w:val="24"/>
                <w:lang w:eastAsia="x-none"/>
              </w:rPr>
              <w:t>ileri sürmesi h</w:t>
            </w:r>
            <w:r w:rsidR="00E54A6B" w:rsidRPr="00A23740">
              <w:rPr>
                <w:szCs w:val="24"/>
                <w:lang w:eastAsia="x-none"/>
              </w:rPr>
              <w:t>â</w:t>
            </w:r>
            <w:r w:rsidR="00003486" w:rsidRPr="00A23740">
              <w:rPr>
                <w:szCs w:val="24"/>
                <w:lang w:eastAsia="x-none"/>
              </w:rPr>
              <w:t>linde</w:t>
            </w:r>
            <w:r w:rsidR="007050C7" w:rsidRPr="00A23740">
              <w:rPr>
                <w:szCs w:val="24"/>
                <w:lang w:eastAsia="x-none"/>
              </w:rPr>
              <w:t xml:space="preserve"> </w:t>
            </w:r>
            <w:r w:rsidR="007050C7" w:rsidRPr="00363170">
              <w:rPr>
                <w:bCs/>
                <w:szCs w:val="24"/>
                <w:lang w:eastAsia="x-none"/>
              </w:rPr>
              <w:t>97 nci</w:t>
            </w:r>
            <w:r w:rsidR="007050C7" w:rsidRPr="00A23740">
              <w:rPr>
                <w:szCs w:val="24"/>
                <w:lang w:eastAsia="x-none"/>
              </w:rPr>
              <w:t xml:space="preserve"> </w:t>
            </w:r>
            <w:r w:rsidR="00003486" w:rsidRPr="00A23740">
              <w:rPr>
                <w:szCs w:val="24"/>
                <w:lang w:eastAsia="x-none"/>
              </w:rPr>
              <w:t>maddenin kıyasen uygulanacağı hüküm altına alınmaktadır. Bu şekilde, takipten sonra ilamın zamanaşımına uğradığı ispat edildiği taktirde icra hukuk mahkemesinde takibin iptaline karar verilecektir.</w:t>
            </w:r>
          </w:p>
          <w:p w:rsidR="0042055F" w:rsidRPr="00A23740" w:rsidRDefault="0042055F" w:rsidP="009431FF">
            <w:pPr>
              <w:keepNext/>
              <w:ind w:firstLine="709"/>
              <w:outlineLvl w:val="3"/>
              <w:rPr>
                <w:b/>
                <w:szCs w:val="24"/>
              </w:rPr>
            </w:pPr>
          </w:p>
        </w:tc>
      </w:tr>
      <w:tr w:rsidR="00AA5C8C" w:rsidRPr="00A23740" w:rsidTr="009431FF">
        <w:tc>
          <w:tcPr>
            <w:tcW w:w="2500" w:type="pct"/>
          </w:tcPr>
          <w:p w:rsidR="00AA5C8C" w:rsidRPr="00A23740" w:rsidRDefault="00AA5C8C" w:rsidP="009431FF">
            <w:pPr>
              <w:tabs>
                <w:tab w:val="left" w:pos="567"/>
                <w:tab w:val="center" w:pos="3543"/>
              </w:tabs>
              <w:rPr>
                <w:b/>
                <w:szCs w:val="24"/>
              </w:rPr>
            </w:pPr>
          </w:p>
        </w:tc>
        <w:tc>
          <w:tcPr>
            <w:tcW w:w="2500" w:type="pct"/>
          </w:tcPr>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Kiralanan taşınmazda borçlunun bulunması</w:t>
            </w:r>
          </w:p>
          <w:p w:rsidR="00AA5C8C" w:rsidRPr="00A23740" w:rsidRDefault="00AA5C8C" w:rsidP="009431FF">
            <w:pPr>
              <w:tabs>
                <w:tab w:val="left" w:pos="567"/>
              </w:tabs>
              <w:rPr>
                <w:b/>
                <w:bCs/>
                <w:color w:val="0000FF"/>
                <w:szCs w:val="24"/>
                <w:lang w:eastAsia="x-none"/>
              </w:rPr>
            </w:pPr>
            <w:r w:rsidRPr="00A23740">
              <w:rPr>
                <w:b/>
                <w:bCs/>
                <w:color w:val="0000FF"/>
                <w:szCs w:val="24"/>
                <w:lang w:val="x-none" w:eastAsia="x-none"/>
              </w:rPr>
              <w:t xml:space="preserve">MADDE </w:t>
            </w:r>
            <w:r w:rsidR="009D57E1" w:rsidRPr="00A23740">
              <w:rPr>
                <w:b/>
                <w:bCs/>
                <w:color w:val="0000FF"/>
                <w:szCs w:val="24"/>
                <w:lang w:eastAsia="x-none"/>
              </w:rPr>
              <w:t>149</w:t>
            </w:r>
            <w:r w:rsidRPr="00A23740">
              <w:rPr>
                <w:b/>
                <w:bCs/>
                <w:color w:val="0000FF"/>
                <w:szCs w:val="24"/>
                <w:lang w:val="x-none" w:eastAsia="x-none"/>
              </w:rPr>
              <w:t xml:space="preserve">- </w:t>
            </w:r>
            <w:r w:rsidRPr="00A23740">
              <w:rPr>
                <w:b/>
                <w:bCs/>
                <w:color w:val="0000FF"/>
                <w:szCs w:val="24"/>
                <w:lang w:eastAsia="x-none"/>
              </w:rPr>
              <w:t xml:space="preserve">(1) </w:t>
            </w:r>
            <w:r w:rsidRPr="00A23740">
              <w:rPr>
                <w:b/>
                <w:bCs/>
                <w:color w:val="0000FF"/>
                <w:szCs w:val="24"/>
                <w:lang w:val="x-none" w:eastAsia="x-none"/>
              </w:rPr>
              <w:t>Tahliye kararı üzerine kiracı kendiliğinden taşınmazı tahliye</w:t>
            </w:r>
            <w:r w:rsidRPr="00A23740">
              <w:rPr>
                <w:b/>
                <w:bCs/>
                <w:color w:val="0000FF"/>
                <w:szCs w:val="24"/>
                <w:lang w:eastAsia="x-none"/>
              </w:rPr>
              <w:t xml:space="preserve"> </w:t>
            </w:r>
            <w:r w:rsidRPr="00A23740">
              <w:rPr>
                <w:rStyle w:val="MaviChar"/>
              </w:rPr>
              <w:t>ve teslim etmezse</w:t>
            </w:r>
            <w:r w:rsidR="0040600E" w:rsidRPr="00363170">
              <w:rPr>
                <w:rStyle w:val="MaviChar"/>
              </w:rPr>
              <w:t>,</w:t>
            </w:r>
            <w:r w:rsidRPr="00A23740">
              <w:rPr>
                <w:rStyle w:val="MaviChar"/>
              </w:rPr>
              <w:t xml:space="preserve"> 73 üncü madde</w:t>
            </w:r>
            <w:r w:rsidR="0040600E" w:rsidRPr="00363170">
              <w:rPr>
                <w:rStyle w:val="MaviChar"/>
              </w:rPr>
              <w:t>ye</w:t>
            </w:r>
            <w:r w:rsidRPr="00A23740">
              <w:rPr>
                <w:rStyle w:val="MaviChar"/>
              </w:rPr>
              <w:t xml:space="preserve"> göre taşınmazdan zorla çıkarılarak taşınmaz alacaklıya teslim edilir.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pStyle w:val="Balk1"/>
              <w:jc w:val="both"/>
              <w:rPr>
                <w:lang w:val="tr-TR"/>
              </w:rPr>
            </w:pPr>
            <w:r w:rsidRPr="00A23740">
              <w:rPr>
                <w:lang w:val="tr-TR"/>
              </w:rPr>
              <w:t xml:space="preserve">(2) Tahliye edilecek yerde </w:t>
            </w:r>
            <w:r w:rsidRPr="00A23740">
              <w:rPr>
                <w:rStyle w:val="Stil5Char0"/>
                <w:b/>
                <w:color w:val="0000FF"/>
                <w:szCs w:val="32"/>
                <w:lang w:val="tr-TR"/>
              </w:rPr>
              <w:t>üçüncü kişiye ait</w:t>
            </w:r>
            <w:r w:rsidRPr="00A23740">
              <w:rPr>
                <w:lang w:val="tr-TR"/>
              </w:rPr>
              <w:t xml:space="preserve"> eşya bulunursa</w:t>
            </w:r>
            <w:r w:rsidR="0040600E" w:rsidRPr="00A23740">
              <w:rPr>
                <w:color w:val="385623"/>
                <w:lang w:val="tr-TR"/>
              </w:rPr>
              <w:t>,</w:t>
            </w:r>
            <w:r w:rsidRPr="00A23740">
              <w:rPr>
                <w:lang w:val="tr-TR"/>
              </w:rPr>
              <w:t xml:space="preserve"> </w:t>
            </w:r>
            <w:r w:rsidR="00AD5D7E" w:rsidRPr="00363170">
              <w:rPr>
                <w:rStyle w:val="KonuBalChar"/>
                <w:b/>
                <w:color w:val="0000FF"/>
              </w:rPr>
              <w:t>74 üncü</w:t>
            </w:r>
            <w:r w:rsidR="00AD5D7E" w:rsidRPr="00A23740">
              <w:rPr>
                <w:b w:val="0"/>
                <w:szCs w:val="24"/>
                <w:lang w:val="tr-TR"/>
              </w:rPr>
              <w:t xml:space="preserve"> </w:t>
            </w:r>
            <w:r w:rsidRPr="00A23740">
              <w:rPr>
                <w:lang w:val="tr-TR"/>
              </w:rPr>
              <w:t>madde kıyas</w:t>
            </w:r>
            <w:r w:rsidR="0040600E" w:rsidRPr="00363170">
              <w:rPr>
                <w:lang w:val="tr-TR"/>
              </w:rPr>
              <w:t>en</w:t>
            </w:r>
            <w:r w:rsidRPr="00A23740">
              <w:rPr>
                <w:lang w:val="tr-TR"/>
              </w:rPr>
              <w:t xml:space="preserve"> uygulanır.</w:t>
            </w:r>
          </w:p>
          <w:p w:rsidR="00AA5C8C" w:rsidRPr="00A23740" w:rsidRDefault="00AA5C8C" w:rsidP="009431FF">
            <w:pPr>
              <w:outlineLvl w:val="1"/>
              <w:rPr>
                <w:rFonts w:eastAsia="Times New Roman"/>
                <w:b/>
                <w:color w:val="0000FF"/>
                <w:szCs w:val="24"/>
                <w:lang w:eastAsia="tr-TR"/>
              </w:rPr>
            </w:pPr>
          </w:p>
        </w:tc>
      </w:tr>
      <w:tr w:rsidR="00BD62FF" w:rsidRPr="00A23740" w:rsidTr="009431FF">
        <w:tc>
          <w:tcPr>
            <w:tcW w:w="5000" w:type="pct"/>
            <w:gridSpan w:val="2"/>
            <w:shd w:val="clear" w:color="auto" w:fill="DEEAF6"/>
          </w:tcPr>
          <w:p w:rsidR="00BD62FF" w:rsidRPr="00A23740" w:rsidRDefault="00BD62FF" w:rsidP="009431FF">
            <w:pPr>
              <w:keepNext/>
              <w:ind w:firstLine="709"/>
              <w:outlineLvl w:val="3"/>
              <w:rPr>
                <w:b/>
              </w:rPr>
            </w:pPr>
            <w:r w:rsidRPr="00A23740">
              <w:rPr>
                <w:b/>
              </w:rPr>
              <w:tab/>
            </w:r>
          </w:p>
          <w:p w:rsidR="00BD62FF" w:rsidRPr="00A23740" w:rsidRDefault="0042055F" w:rsidP="009431FF">
            <w:pPr>
              <w:keepNext/>
              <w:ind w:firstLine="709"/>
              <w:outlineLvl w:val="3"/>
            </w:pPr>
            <w:r w:rsidRPr="00A23740">
              <w:rPr>
                <w:b/>
              </w:rPr>
              <w:t xml:space="preserve">MADDE </w:t>
            </w:r>
            <w:r w:rsidR="009D57E1" w:rsidRPr="00A23740">
              <w:rPr>
                <w:b/>
              </w:rPr>
              <w:t>149</w:t>
            </w:r>
            <w:r w:rsidR="00BD62FF" w:rsidRPr="00A23740">
              <w:rPr>
                <w:b/>
              </w:rPr>
              <w:t>-</w:t>
            </w:r>
            <w:r w:rsidR="00BD62FF" w:rsidRPr="00A23740">
              <w:t xml:space="preserve"> </w:t>
            </w:r>
            <w:r w:rsidR="00BD62FF" w:rsidRPr="00A23740">
              <w:rPr>
                <w:szCs w:val="24"/>
                <w:lang w:eastAsia="x-none"/>
              </w:rPr>
              <w:t>Maddeyle,</w:t>
            </w:r>
            <w:r w:rsidR="00BD62FF" w:rsidRPr="00A23740">
              <w:t xml:space="preserve"> </w:t>
            </w:r>
            <w:r w:rsidR="008E4CC2" w:rsidRPr="00A23740">
              <w:t xml:space="preserve">kiralanan </w:t>
            </w:r>
            <w:r w:rsidR="007050C7" w:rsidRPr="00363170">
              <w:rPr>
                <w:bCs/>
              </w:rPr>
              <w:t>taşınmazın tahliyesine</w:t>
            </w:r>
            <w:r w:rsidR="007050C7" w:rsidRPr="00A23740">
              <w:t xml:space="preserve"> </w:t>
            </w:r>
            <w:r w:rsidR="00BD62FF" w:rsidRPr="00A23740">
              <w:t>ilişkin hususlar düzenlenmektedir.</w:t>
            </w:r>
          </w:p>
          <w:p w:rsidR="0042055F" w:rsidRPr="00A23740" w:rsidRDefault="001A7205" w:rsidP="009431FF">
            <w:pPr>
              <w:keepNext/>
              <w:ind w:firstLine="709"/>
              <w:outlineLvl w:val="3"/>
            </w:pPr>
            <w:r w:rsidRPr="00A23740">
              <w:t>Birinci fıkrada</w:t>
            </w:r>
            <w:r w:rsidR="00EF749D" w:rsidRPr="00A23740">
              <w:t xml:space="preserve">, </w:t>
            </w:r>
            <w:r w:rsidR="0042055F" w:rsidRPr="00A23740">
              <w:t xml:space="preserve">kiralanan taşınmazların ilamsız icra yoluyla </w:t>
            </w:r>
            <w:r w:rsidR="008E4CC2" w:rsidRPr="00A23740">
              <w:t xml:space="preserve">takip sürecinde </w:t>
            </w:r>
            <w:r w:rsidR="0042055F" w:rsidRPr="00A23740">
              <w:t>sulh hukuk mahkemesince verilen tahliye kararı üzerine</w:t>
            </w:r>
            <w:r w:rsidR="00EF749D" w:rsidRPr="00A23740">
              <w:t>,</w:t>
            </w:r>
            <w:r w:rsidR="0042055F" w:rsidRPr="00A23740">
              <w:t xml:space="preserve"> kiracının taşınmazı kendiliğinden tahliye ve teslim etme</w:t>
            </w:r>
            <w:r w:rsidR="00EF749D" w:rsidRPr="00A23740">
              <w:t>mesi h</w:t>
            </w:r>
            <w:r w:rsidR="00E54A6B" w:rsidRPr="00A23740">
              <w:t>â</w:t>
            </w:r>
            <w:r w:rsidR="00EF749D" w:rsidRPr="00A23740">
              <w:t>linde</w:t>
            </w:r>
            <w:r w:rsidRPr="00A23740">
              <w:t>,</w:t>
            </w:r>
            <w:r w:rsidR="0042055F" w:rsidRPr="00A23740">
              <w:t xml:space="preserve"> </w:t>
            </w:r>
            <w:r w:rsidRPr="00A23740">
              <w:t>Taslağın “Taşınmazın borçlunun elinde bulunması” başlıklı 73 üncü</w:t>
            </w:r>
            <w:r w:rsidR="00A932BC" w:rsidRPr="00A23740">
              <w:t xml:space="preserve"> </w:t>
            </w:r>
            <w:r w:rsidRPr="00A23740">
              <w:t xml:space="preserve"> </w:t>
            </w:r>
            <w:r w:rsidR="00EF749D" w:rsidRPr="00A23740">
              <w:rPr>
                <w:rStyle w:val="KIRMIZIChar"/>
                <w:rFonts w:eastAsia="Calibri"/>
                <w:b w:val="0"/>
                <w:strike w:val="0"/>
                <w:color w:val="auto"/>
              </w:rPr>
              <w:t>maddesinde belirtilen hükümlere göre</w:t>
            </w:r>
            <w:r w:rsidR="00EF749D" w:rsidRPr="00A23740">
              <w:t xml:space="preserve"> kiracının taşınmazdan zorla çıkarılarak taşınmazın alacaklıya teslim edileceği düzenlenmektedir.</w:t>
            </w:r>
          </w:p>
          <w:p w:rsidR="00EF749D" w:rsidRPr="00A23740" w:rsidRDefault="001A7205" w:rsidP="009431FF">
            <w:pPr>
              <w:keepNext/>
              <w:ind w:firstLine="709"/>
              <w:outlineLvl w:val="3"/>
              <w:rPr>
                <w:b/>
                <w:szCs w:val="24"/>
              </w:rPr>
            </w:pPr>
            <w:r w:rsidRPr="00A23740">
              <w:rPr>
                <w:szCs w:val="24"/>
              </w:rPr>
              <w:t>İkinci fıkrada</w:t>
            </w:r>
            <w:r w:rsidR="008E4CC2" w:rsidRPr="00A23740">
              <w:rPr>
                <w:szCs w:val="24"/>
              </w:rPr>
              <w:t>,</w:t>
            </w:r>
            <w:r w:rsidRPr="00A23740">
              <w:rPr>
                <w:szCs w:val="24"/>
              </w:rPr>
              <w:t xml:space="preserve"> tahliye edilecek taşınmazda üçüncü kişiye ait eşyanın bulunması h</w:t>
            </w:r>
            <w:r w:rsidR="00E54A6B" w:rsidRPr="00A23740">
              <w:rPr>
                <w:szCs w:val="24"/>
              </w:rPr>
              <w:t>â</w:t>
            </w:r>
            <w:r w:rsidRPr="00A23740">
              <w:rPr>
                <w:szCs w:val="24"/>
              </w:rPr>
              <w:t xml:space="preserve">linde </w:t>
            </w:r>
            <w:r w:rsidRPr="00363170">
              <w:t xml:space="preserve">Taslağın </w:t>
            </w:r>
            <w:r w:rsidR="00A932BC" w:rsidRPr="00363170">
              <w:rPr>
                <w:bCs/>
              </w:rPr>
              <w:t>74 üncü</w:t>
            </w:r>
            <w:r w:rsidR="00A932BC" w:rsidRPr="00A23740">
              <w:rPr>
                <w:szCs w:val="24"/>
              </w:rPr>
              <w:t xml:space="preserve"> </w:t>
            </w:r>
            <w:r w:rsidRPr="00A23740">
              <w:rPr>
                <w:szCs w:val="24"/>
              </w:rPr>
              <w:t xml:space="preserve">maddesinin kıyasen uygulanacağı hüküm altına alınmaktadır. </w:t>
            </w:r>
          </w:p>
          <w:p w:rsidR="00EF749D" w:rsidRPr="00A23740" w:rsidRDefault="00EF749D" w:rsidP="009431FF">
            <w:pPr>
              <w:keepNext/>
              <w:ind w:firstLine="709"/>
              <w:outlineLvl w:val="3"/>
              <w:rPr>
                <w:b/>
                <w:szCs w:val="24"/>
              </w:rPr>
            </w:pPr>
          </w:p>
        </w:tc>
      </w:tr>
      <w:tr w:rsidR="00AA5C8C" w:rsidRPr="00A23740" w:rsidTr="009431FF">
        <w:tc>
          <w:tcPr>
            <w:tcW w:w="2500" w:type="pct"/>
          </w:tcPr>
          <w:p w:rsidR="00AA5C8C" w:rsidRPr="00A23740" w:rsidRDefault="00AA5C8C" w:rsidP="009431FF">
            <w:pPr>
              <w:tabs>
                <w:tab w:val="left" w:pos="567"/>
              </w:tabs>
              <w:rPr>
                <w:rFonts w:eastAsia="Times New Roman"/>
                <w:b/>
                <w:bCs/>
                <w:strike/>
                <w:color w:val="FF0000"/>
                <w:szCs w:val="24"/>
                <w:lang w:eastAsia="x-none"/>
              </w:rPr>
            </w:pPr>
            <w:r w:rsidRPr="00A23740">
              <w:rPr>
                <w:szCs w:val="24"/>
              </w:rPr>
              <w:t xml:space="preserve">Kiralanan taşınmazda üçüncü </w:t>
            </w:r>
            <w:r w:rsidRPr="00A23740">
              <w:rPr>
                <w:rFonts w:eastAsia="Times New Roman"/>
                <w:b/>
                <w:bCs/>
                <w:strike/>
                <w:color w:val="FF0000"/>
                <w:szCs w:val="24"/>
                <w:lang w:eastAsia="x-none"/>
              </w:rPr>
              <w:t>şahıs</w:t>
            </w:r>
            <w:r w:rsidRPr="00A23740">
              <w:rPr>
                <w:szCs w:val="24"/>
              </w:rPr>
              <w:t xml:space="preserve"> bulun</w:t>
            </w:r>
            <w:r w:rsidRPr="00A23740">
              <w:rPr>
                <w:rFonts w:eastAsia="Times New Roman"/>
                <w:b/>
                <w:bCs/>
                <w:strike/>
                <w:color w:val="FF0000"/>
                <w:szCs w:val="24"/>
                <w:lang w:eastAsia="x-none"/>
              </w:rPr>
              <w:t>ursa:</w:t>
            </w:r>
          </w:p>
          <w:p w:rsidR="00AA5C8C" w:rsidRPr="00A23740" w:rsidRDefault="00AA5C8C"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Madde 276 – (1) (Değişik: 18/2/1965 - 538/113 md.)</w:t>
            </w:r>
          </w:p>
          <w:p w:rsidR="00AA5C8C" w:rsidRPr="00A23740" w:rsidRDefault="00AA5C8C" w:rsidP="009431FF">
            <w:pPr>
              <w:tabs>
                <w:tab w:val="left" w:pos="567"/>
              </w:tabs>
              <w:rPr>
                <w:szCs w:val="24"/>
              </w:rPr>
            </w:pPr>
            <w:r w:rsidRPr="00A23740">
              <w:rPr>
                <w:szCs w:val="24"/>
              </w:rPr>
              <w:t xml:space="preserve">Tahliyesi istenen yerde kiracıdan başka bir </w:t>
            </w:r>
            <w:r w:rsidRPr="00A23740">
              <w:rPr>
                <w:rFonts w:eastAsia="Times New Roman"/>
                <w:b/>
                <w:bCs/>
                <w:strike/>
                <w:color w:val="FF0000"/>
                <w:szCs w:val="24"/>
                <w:lang w:eastAsia="x-none"/>
              </w:rPr>
              <w:t>şahıs</w:t>
            </w:r>
            <w:r w:rsidRPr="00A23740">
              <w:rPr>
                <w:szCs w:val="24"/>
              </w:rPr>
              <w:t xml:space="preserve"> bulunur ve işgalde haklı olduğuna dair resmi bir </w:t>
            </w:r>
            <w:r w:rsidRPr="00A23740">
              <w:rPr>
                <w:rFonts w:eastAsia="Times New Roman"/>
                <w:b/>
                <w:bCs/>
                <w:strike/>
                <w:color w:val="FF0000"/>
                <w:szCs w:val="24"/>
                <w:lang w:eastAsia="x-none"/>
              </w:rPr>
              <w:t>vesika</w:t>
            </w:r>
            <w:r w:rsidRPr="00A23740">
              <w:rPr>
                <w:szCs w:val="24"/>
              </w:rPr>
              <w:t xml:space="preserve"> gösteremezse derhal tahliye olunur.</w:t>
            </w:r>
          </w:p>
          <w:p w:rsidR="00F338E7" w:rsidRPr="00A23740" w:rsidRDefault="00AA5C8C" w:rsidP="009431FF">
            <w:pPr>
              <w:tabs>
                <w:tab w:val="left" w:pos="567"/>
              </w:tabs>
              <w:rPr>
                <w:szCs w:val="24"/>
              </w:rPr>
            </w:pPr>
            <w:r w:rsidRPr="00A23740">
              <w:rPr>
                <w:szCs w:val="24"/>
              </w:rPr>
              <w:br w:type="page"/>
            </w:r>
          </w:p>
          <w:p w:rsidR="00AA5C8C" w:rsidRPr="00A23740" w:rsidRDefault="00AA5C8C" w:rsidP="009431FF">
            <w:pPr>
              <w:tabs>
                <w:tab w:val="left" w:pos="567"/>
              </w:tabs>
              <w:rPr>
                <w:szCs w:val="24"/>
              </w:rPr>
            </w:pPr>
            <w:r w:rsidRPr="00A23740">
              <w:rPr>
                <w:b/>
                <w:bCs/>
                <w:strike/>
                <w:color w:val="FF0000"/>
                <w:szCs w:val="24"/>
              </w:rPr>
              <w:t>(2)</w:t>
            </w:r>
            <w:r w:rsidRPr="00A23740">
              <w:rPr>
                <w:rFonts w:eastAsia="Times New Roman"/>
                <w:b/>
                <w:bCs/>
                <w:strike/>
                <w:color w:val="FF0000"/>
                <w:szCs w:val="24"/>
                <w:lang w:eastAsia="x-none"/>
              </w:rPr>
              <w:t xml:space="preserve"> Şu kadar ki, bu şahıs</w:t>
            </w:r>
            <w:r w:rsidRPr="00A23740">
              <w:rPr>
                <w:szCs w:val="24"/>
              </w:rPr>
              <w:t xml:space="preserve"> resmi bir </w:t>
            </w:r>
            <w:r w:rsidRPr="00A23740">
              <w:rPr>
                <w:rFonts w:eastAsia="Times New Roman"/>
                <w:b/>
                <w:bCs/>
                <w:strike/>
                <w:color w:val="FF0000"/>
                <w:szCs w:val="24"/>
                <w:lang w:eastAsia="x-none"/>
              </w:rPr>
              <w:t>vesika</w:t>
            </w:r>
            <w:r w:rsidRPr="00A23740">
              <w:rPr>
                <w:szCs w:val="24"/>
              </w:rPr>
              <w:t xml:space="preserve"> gösterememekle beraber </w:t>
            </w:r>
            <w:r w:rsidRPr="00A23740">
              <w:rPr>
                <w:rFonts w:eastAsia="Times New Roman"/>
                <w:b/>
                <w:bCs/>
                <w:strike/>
                <w:color w:val="FF0000"/>
                <w:szCs w:val="24"/>
                <w:lang w:eastAsia="x-none"/>
              </w:rPr>
              <w:t>daireye ibraz olunan mukavele</w:t>
            </w:r>
            <w:r w:rsidRPr="00A23740">
              <w:rPr>
                <w:szCs w:val="24"/>
              </w:rPr>
              <w:t xml:space="preserve"> tarihinden </w:t>
            </w:r>
            <w:r w:rsidRPr="00A23740">
              <w:rPr>
                <w:rFonts w:eastAsia="Times New Roman"/>
                <w:b/>
                <w:bCs/>
                <w:strike/>
                <w:color w:val="FF0000"/>
                <w:szCs w:val="24"/>
                <w:lang w:eastAsia="x-none"/>
              </w:rPr>
              <w:t>evvelki</w:t>
            </w:r>
            <w:r w:rsidRPr="00A23740">
              <w:rPr>
                <w:szCs w:val="24"/>
              </w:rPr>
              <w:t xml:space="preserve"> bir zamandan beri orayı işgal etmekte bulunduğunu beyan eder ve bu beyanı icra </w:t>
            </w:r>
            <w:r w:rsidRPr="00A23740">
              <w:rPr>
                <w:rFonts w:eastAsia="Times New Roman"/>
                <w:b/>
                <w:bCs/>
                <w:strike/>
                <w:color w:val="FF0000"/>
                <w:szCs w:val="24"/>
                <w:lang w:eastAsia="x-none"/>
              </w:rPr>
              <w:t>memuru</w:t>
            </w:r>
            <w:r w:rsidRPr="00A23740">
              <w:rPr>
                <w:szCs w:val="24"/>
              </w:rPr>
              <w:t xml:space="preserve"> tarafından mahallinde yapılacak </w:t>
            </w:r>
            <w:r w:rsidRPr="00A23740">
              <w:rPr>
                <w:rFonts w:eastAsia="Times New Roman"/>
                <w:b/>
                <w:bCs/>
                <w:strike/>
                <w:color w:val="FF0000"/>
                <w:szCs w:val="24"/>
                <w:lang w:eastAsia="x-none"/>
              </w:rPr>
              <w:t xml:space="preserve">tahkikatla teeyyüt ederse memur, </w:t>
            </w:r>
            <w:r w:rsidRPr="00A23740">
              <w:rPr>
                <w:szCs w:val="24"/>
              </w:rPr>
              <w:t xml:space="preserve">tahliyeyi </w:t>
            </w:r>
            <w:r w:rsidRPr="00A23740">
              <w:rPr>
                <w:rFonts w:eastAsia="Times New Roman"/>
                <w:b/>
                <w:bCs/>
                <w:strike/>
                <w:color w:val="FF0000"/>
                <w:szCs w:val="24"/>
                <w:lang w:eastAsia="x-none"/>
              </w:rPr>
              <w:t>tehirle</w:t>
            </w:r>
            <w:r w:rsidRPr="00A23740">
              <w:rPr>
                <w:szCs w:val="24"/>
              </w:rPr>
              <w:t xml:space="preserve"> üç gün içinde </w:t>
            </w:r>
            <w:r w:rsidRPr="00A23740">
              <w:rPr>
                <w:rFonts w:eastAsia="Times New Roman"/>
                <w:b/>
                <w:bCs/>
                <w:strike/>
                <w:color w:val="FF0000"/>
                <w:szCs w:val="24"/>
                <w:lang w:eastAsia="x-none"/>
              </w:rPr>
              <w:t>keyfiyeti</w:t>
            </w:r>
            <w:r w:rsidRPr="00A23740">
              <w:rPr>
                <w:szCs w:val="24"/>
              </w:rPr>
              <w:t xml:space="preserve"> icra mahkemesine bildirir.</w:t>
            </w:r>
          </w:p>
          <w:p w:rsidR="00AA5C8C" w:rsidRPr="00A23740" w:rsidRDefault="00AA5C8C" w:rsidP="009431FF">
            <w:pPr>
              <w:tabs>
                <w:tab w:val="left" w:pos="567"/>
              </w:tabs>
              <w:rPr>
                <w:szCs w:val="24"/>
              </w:rPr>
            </w:pPr>
          </w:p>
          <w:p w:rsidR="00F338E7" w:rsidRDefault="00F338E7" w:rsidP="009431FF">
            <w:pPr>
              <w:tabs>
                <w:tab w:val="left" w:pos="567"/>
              </w:tabs>
              <w:rPr>
                <w:szCs w:val="24"/>
              </w:rPr>
            </w:pPr>
          </w:p>
          <w:p w:rsidR="00634220" w:rsidRPr="00A23740" w:rsidRDefault="00634220" w:rsidP="009431FF">
            <w:pPr>
              <w:tabs>
                <w:tab w:val="left" w:pos="567"/>
              </w:tabs>
              <w:rPr>
                <w:szCs w:val="24"/>
              </w:rPr>
            </w:pPr>
          </w:p>
          <w:p w:rsidR="00AA5C8C" w:rsidRPr="00A23740" w:rsidRDefault="00AA5C8C" w:rsidP="009431FF">
            <w:pPr>
              <w:tabs>
                <w:tab w:val="left" w:pos="567"/>
              </w:tabs>
              <w:rPr>
                <w:szCs w:val="24"/>
              </w:rPr>
            </w:pPr>
            <w:r w:rsidRPr="00A23740">
              <w:rPr>
                <w:b/>
                <w:bCs/>
                <w:strike/>
                <w:color w:val="FF0000"/>
                <w:szCs w:val="24"/>
              </w:rPr>
              <w:t>(3)</w:t>
            </w:r>
            <w:r w:rsidRPr="00A23740">
              <w:rPr>
                <w:szCs w:val="24"/>
              </w:rPr>
              <w:t xml:space="preserve"> İcra mahkemesi, tarafları dinl</w:t>
            </w:r>
            <w:r w:rsidRPr="00A23740">
              <w:rPr>
                <w:rFonts w:eastAsia="Times New Roman"/>
                <w:b/>
                <w:bCs/>
                <w:strike/>
                <w:color w:val="FF0000"/>
                <w:szCs w:val="24"/>
                <w:lang w:eastAsia="x-none"/>
              </w:rPr>
              <w:t>i</w:t>
            </w:r>
            <w:r w:rsidRPr="00A23740">
              <w:rPr>
                <w:szCs w:val="24"/>
              </w:rPr>
              <w:t xml:space="preserve">yerek icabına göre tahliyeyi emreder veya taraflardan birinin </w:t>
            </w:r>
            <w:r w:rsidRPr="00A23740">
              <w:rPr>
                <w:rFonts w:eastAsia="Times New Roman"/>
                <w:b/>
                <w:bCs/>
                <w:strike/>
                <w:color w:val="FF0000"/>
                <w:szCs w:val="24"/>
                <w:lang w:eastAsia="x-none"/>
              </w:rPr>
              <w:t>yedi gün</w:t>
            </w:r>
            <w:r w:rsidRPr="00A23740">
              <w:rPr>
                <w:szCs w:val="24"/>
              </w:rPr>
              <w:t xml:space="preserve"> içinde mahkemeye müracaat etmesi lüzumuna karar verir. Bu </w:t>
            </w:r>
            <w:r w:rsidRPr="00A23740">
              <w:rPr>
                <w:rFonts w:eastAsia="Times New Roman"/>
                <w:b/>
                <w:bCs/>
                <w:strike/>
                <w:color w:val="FF0000"/>
                <w:szCs w:val="24"/>
                <w:lang w:eastAsia="x-none"/>
              </w:rPr>
              <w:t>müddet</w:t>
            </w:r>
            <w:r w:rsidRPr="00A23740">
              <w:rPr>
                <w:szCs w:val="24"/>
              </w:rPr>
              <w:t xml:space="preserve"> içinde mahkemeye </w:t>
            </w:r>
            <w:r w:rsidRPr="00A23740">
              <w:rPr>
                <w:rFonts w:eastAsia="Times New Roman"/>
                <w:b/>
                <w:bCs/>
                <w:strike/>
                <w:color w:val="FF0000"/>
                <w:szCs w:val="24"/>
                <w:lang w:eastAsia="x-none"/>
              </w:rPr>
              <w:t>müracaat edilirse,</w:t>
            </w:r>
            <w:r w:rsidRPr="00A23740">
              <w:rPr>
                <w:szCs w:val="24"/>
              </w:rPr>
              <w:t xml:space="preserve"> davanın </w:t>
            </w:r>
            <w:r w:rsidRPr="00A23740">
              <w:rPr>
                <w:rFonts w:eastAsia="Times New Roman"/>
                <w:b/>
                <w:bCs/>
                <w:strike/>
                <w:color w:val="FF0000"/>
                <w:szCs w:val="24"/>
                <w:lang w:eastAsia="x-none"/>
              </w:rPr>
              <w:t>neticesine</w:t>
            </w:r>
            <w:r w:rsidRPr="00A23740">
              <w:rPr>
                <w:szCs w:val="24"/>
              </w:rPr>
              <w:t xml:space="preserve"> göre hareket olunur. </w:t>
            </w:r>
            <w:r w:rsidRPr="00A23740">
              <w:rPr>
                <w:rFonts w:eastAsia="Times New Roman"/>
                <w:b/>
                <w:bCs/>
                <w:strike/>
                <w:color w:val="FF0000"/>
                <w:szCs w:val="24"/>
                <w:lang w:eastAsia="x-none"/>
              </w:rPr>
              <w:t>36 ncı</w:t>
            </w:r>
            <w:r w:rsidRPr="00A23740">
              <w:rPr>
                <w:szCs w:val="24"/>
              </w:rPr>
              <w:t xml:space="preserve"> madde hükümleri burada da uygulanır. Dava etm</w:t>
            </w:r>
            <w:r w:rsidRPr="00A23740">
              <w:rPr>
                <w:rFonts w:eastAsia="Times New Roman"/>
                <w:b/>
                <w:bCs/>
                <w:strike/>
                <w:color w:val="FF0000"/>
                <w:szCs w:val="24"/>
                <w:lang w:eastAsia="x-none"/>
              </w:rPr>
              <w:t>i</w:t>
            </w:r>
            <w:r w:rsidRPr="00A23740">
              <w:rPr>
                <w:szCs w:val="24"/>
              </w:rPr>
              <w:t>yen taraf iddiasından vazgeçmiş sayılır.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bCs/>
                <w:strike/>
                <w:color w:val="FF0000"/>
                <w:szCs w:val="24"/>
              </w:rPr>
              <w:t>(4)</w:t>
            </w:r>
            <w:r w:rsidRPr="00A23740">
              <w:rPr>
                <w:szCs w:val="24"/>
              </w:rPr>
              <w:t xml:space="preserve"> Borçlunun </w:t>
            </w:r>
            <w:r w:rsidRPr="00A23740">
              <w:rPr>
                <w:rFonts w:eastAsia="Times New Roman"/>
                <w:b/>
                <w:bCs/>
                <w:strike/>
                <w:color w:val="FF0000"/>
                <w:szCs w:val="24"/>
                <w:lang w:eastAsia="x-none"/>
              </w:rPr>
              <w:t xml:space="preserve">nesep ve sebepten usul ve füruu, karı veya kocası, </w:t>
            </w:r>
            <w:r w:rsidRPr="00A23740">
              <w:rPr>
                <w:szCs w:val="24"/>
              </w:rPr>
              <w:t>ikinci derece</w:t>
            </w:r>
            <w:r w:rsidRPr="00A23740">
              <w:rPr>
                <w:rFonts w:eastAsia="Times New Roman"/>
                <w:b/>
                <w:bCs/>
                <w:strike/>
                <w:color w:val="FF0000"/>
                <w:szCs w:val="24"/>
                <w:lang w:eastAsia="x-none"/>
              </w:rPr>
              <w:t>ye kadar</w:t>
            </w:r>
            <w:r w:rsidRPr="00A23740">
              <w:rPr>
                <w:rFonts w:eastAsia="Times New Roman"/>
                <w:b/>
                <w:bCs/>
                <w:color w:val="FF0000"/>
                <w:szCs w:val="24"/>
                <w:lang w:eastAsia="x-none"/>
              </w:rPr>
              <w:t xml:space="preserve"> </w:t>
            </w:r>
            <w:r w:rsidRPr="00A23740">
              <w:rPr>
                <w:szCs w:val="24"/>
              </w:rPr>
              <w:t>kan ve</w:t>
            </w:r>
            <w:r w:rsidRPr="00A23740">
              <w:rPr>
                <w:rFonts w:eastAsia="Times New Roman"/>
                <w:b/>
                <w:bCs/>
                <w:color w:val="FF0000"/>
                <w:szCs w:val="24"/>
                <w:lang w:eastAsia="x-none"/>
              </w:rPr>
              <w:t xml:space="preserve"> </w:t>
            </w:r>
            <w:r w:rsidRPr="00A23740">
              <w:rPr>
                <w:rFonts w:eastAsia="Times New Roman"/>
                <w:b/>
                <w:bCs/>
                <w:strike/>
                <w:color w:val="FF0000"/>
                <w:szCs w:val="24"/>
                <w:lang w:eastAsia="x-none"/>
              </w:rPr>
              <w:t>sıhri</w:t>
            </w:r>
            <w:r w:rsidRPr="00A23740">
              <w:rPr>
                <w:szCs w:val="24"/>
              </w:rPr>
              <w:t xml:space="preserve"> hısımları </w:t>
            </w:r>
            <w:r w:rsidRPr="00A23740">
              <w:rPr>
                <w:rFonts w:eastAsia="Times New Roman"/>
                <w:b/>
                <w:bCs/>
                <w:strike/>
                <w:color w:val="FF0000"/>
                <w:szCs w:val="24"/>
                <w:lang w:eastAsia="x-none"/>
              </w:rPr>
              <w:t>ve</w:t>
            </w:r>
            <w:r w:rsidRPr="00A23740">
              <w:rPr>
                <w:szCs w:val="24"/>
              </w:rPr>
              <w:t xml:space="preserve"> iş ortakları ile borçluya tebaan </w:t>
            </w:r>
            <w:r w:rsidRPr="00A23740">
              <w:rPr>
                <w:rFonts w:eastAsia="Times New Roman"/>
                <w:b/>
                <w:bCs/>
                <w:strike/>
                <w:color w:val="FF0000"/>
                <w:szCs w:val="24"/>
                <w:lang w:eastAsia="x-none"/>
              </w:rPr>
              <w:t>mecurda</w:t>
            </w:r>
            <w:r w:rsidRPr="00A23740">
              <w:rPr>
                <w:szCs w:val="24"/>
              </w:rPr>
              <w:t xml:space="preserve"> oturdukları anlaşılan diğer </w:t>
            </w:r>
            <w:r w:rsidRPr="00A23740">
              <w:rPr>
                <w:rFonts w:eastAsia="Times New Roman"/>
                <w:b/>
                <w:bCs/>
                <w:strike/>
                <w:color w:val="FF0000"/>
                <w:szCs w:val="24"/>
                <w:lang w:eastAsia="x-none"/>
              </w:rPr>
              <w:t>şahıslar</w:t>
            </w:r>
            <w:r w:rsidRPr="00A23740">
              <w:rPr>
                <w:szCs w:val="24"/>
              </w:rPr>
              <w:t xml:space="preserve">, bu madde hükmünün </w:t>
            </w:r>
            <w:r w:rsidRPr="00A23740">
              <w:rPr>
                <w:rFonts w:eastAsia="Times New Roman"/>
                <w:b/>
                <w:bCs/>
                <w:strike/>
                <w:color w:val="FF0000"/>
                <w:szCs w:val="24"/>
                <w:lang w:eastAsia="x-none"/>
              </w:rPr>
              <w:t>tatbikında</w:t>
            </w:r>
            <w:r w:rsidRPr="00A23740">
              <w:rPr>
                <w:szCs w:val="24"/>
              </w:rPr>
              <w:t xml:space="preserve"> üçüncü </w:t>
            </w:r>
            <w:r w:rsidRPr="00A23740">
              <w:rPr>
                <w:rFonts w:eastAsia="Times New Roman"/>
                <w:b/>
                <w:bCs/>
                <w:strike/>
                <w:color w:val="FF0000"/>
                <w:szCs w:val="24"/>
                <w:lang w:eastAsia="x-none"/>
              </w:rPr>
              <w:t>şahıs</w:t>
            </w:r>
            <w:r w:rsidRPr="00A23740">
              <w:rPr>
                <w:szCs w:val="24"/>
              </w:rPr>
              <w:t xml:space="preserve"> sayılmazlar.</w:t>
            </w:r>
          </w:p>
          <w:p w:rsidR="00AA5C8C" w:rsidRPr="00A23740" w:rsidRDefault="00AA5C8C" w:rsidP="009431FF">
            <w:pPr>
              <w:tabs>
                <w:tab w:val="left" w:pos="567"/>
              </w:tabs>
              <w:rPr>
                <w:b/>
                <w:szCs w:val="24"/>
              </w:rPr>
            </w:pPr>
          </w:p>
        </w:tc>
        <w:tc>
          <w:tcPr>
            <w:tcW w:w="2500" w:type="pct"/>
          </w:tcPr>
          <w:p w:rsidR="00AA5C8C" w:rsidRPr="00A23740" w:rsidRDefault="00AA5C8C" w:rsidP="009431FF">
            <w:pPr>
              <w:tabs>
                <w:tab w:val="left" w:pos="566"/>
              </w:tabs>
              <w:autoSpaceDE w:val="0"/>
              <w:autoSpaceDN w:val="0"/>
              <w:adjustRightInd w:val="0"/>
              <w:rPr>
                <w:rFonts w:eastAsia="Times New Roman"/>
                <w:b/>
                <w:color w:val="0000FF"/>
                <w:szCs w:val="24"/>
                <w:lang w:eastAsia="tr-TR"/>
              </w:rPr>
            </w:pPr>
            <w:r w:rsidRPr="00A23740">
              <w:rPr>
                <w:b/>
                <w:szCs w:val="24"/>
              </w:rPr>
              <w:t xml:space="preserve">Kiralanan taşınmazda üçüncü </w:t>
            </w:r>
            <w:r w:rsidRPr="00A23740">
              <w:rPr>
                <w:b/>
                <w:bCs/>
                <w:color w:val="0000FF"/>
                <w:szCs w:val="24"/>
                <w:lang w:val="x-none" w:eastAsia="x-none"/>
              </w:rPr>
              <w:t>kişinin</w:t>
            </w:r>
            <w:r w:rsidRPr="00A23740">
              <w:rPr>
                <w:b/>
                <w:szCs w:val="24"/>
              </w:rPr>
              <w:t xml:space="preserve"> bulun</w:t>
            </w:r>
            <w:r w:rsidRPr="00A23740">
              <w:rPr>
                <w:b/>
                <w:bCs/>
                <w:color w:val="0000FF"/>
                <w:szCs w:val="24"/>
                <w:lang w:val="x-none" w:eastAsia="x-none"/>
              </w:rPr>
              <w:t>ması</w:t>
            </w:r>
          </w:p>
          <w:p w:rsidR="00AA5C8C" w:rsidRPr="00A23740" w:rsidRDefault="00AA5C8C" w:rsidP="009431FF">
            <w:pPr>
              <w:tabs>
                <w:tab w:val="left" w:pos="567"/>
              </w:tabs>
              <w:rPr>
                <w:szCs w:val="24"/>
              </w:rPr>
            </w:pPr>
            <w:r w:rsidRPr="00A23740">
              <w:rPr>
                <w:b/>
                <w:bCs/>
                <w:color w:val="0000FF"/>
                <w:szCs w:val="24"/>
                <w:lang w:val="x-none" w:eastAsia="x-none"/>
              </w:rPr>
              <w:t xml:space="preserve">MADDE </w:t>
            </w:r>
            <w:r w:rsidR="009D57E1" w:rsidRPr="00A23740">
              <w:rPr>
                <w:b/>
                <w:bCs/>
                <w:color w:val="0000FF"/>
                <w:szCs w:val="24"/>
                <w:lang w:eastAsia="x-none"/>
              </w:rPr>
              <w:t>150</w:t>
            </w:r>
            <w:r w:rsidRPr="00A23740">
              <w:rPr>
                <w:b/>
                <w:bCs/>
                <w:color w:val="0000FF"/>
                <w:szCs w:val="24"/>
                <w:lang w:val="x-none" w:eastAsia="x-none"/>
              </w:rPr>
              <w:t>- (1)</w:t>
            </w:r>
            <w:r w:rsidRPr="00A23740">
              <w:rPr>
                <w:rFonts w:eastAsia="Times New Roman"/>
                <w:b/>
                <w:color w:val="0000FF"/>
                <w:szCs w:val="24"/>
                <w:lang w:eastAsia="tr-TR"/>
              </w:rPr>
              <w:t xml:space="preserve"> </w:t>
            </w:r>
            <w:r w:rsidRPr="00A23740">
              <w:rPr>
                <w:szCs w:val="24"/>
              </w:rPr>
              <w:t xml:space="preserve">Tahliyesi istenen yerde kiracıdan başka bir </w:t>
            </w:r>
            <w:r w:rsidRPr="00A23740">
              <w:rPr>
                <w:b/>
                <w:bCs/>
                <w:color w:val="0000FF"/>
                <w:szCs w:val="24"/>
                <w:lang w:val="x-none" w:eastAsia="x-none"/>
              </w:rPr>
              <w:t>kişi</w:t>
            </w:r>
            <w:r w:rsidRPr="00A23740">
              <w:rPr>
                <w:szCs w:val="24"/>
              </w:rPr>
              <w:t xml:space="preserve"> bulunur ve </w:t>
            </w:r>
            <w:r w:rsidR="0040600E" w:rsidRPr="00363170">
              <w:rPr>
                <w:b/>
                <w:bCs/>
                <w:color w:val="0000FF"/>
                <w:szCs w:val="24"/>
              </w:rPr>
              <w:t>bu kişi</w:t>
            </w:r>
            <w:r w:rsidR="0040600E" w:rsidRPr="00A23740">
              <w:rPr>
                <w:color w:val="385623"/>
                <w:szCs w:val="24"/>
              </w:rPr>
              <w:t xml:space="preserve"> </w:t>
            </w:r>
            <w:r w:rsidRPr="00A23740">
              <w:rPr>
                <w:szCs w:val="24"/>
              </w:rPr>
              <w:t>işgalde haklı olduğuna dair resm</w:t>
            </w:r>
            <w:r w:rsidR="00656F58" w:rsidRPr="00A23740">
              <w:rPr>
                <w:szCs w:val="24"/>
              </w:rPr>
              <w:t>î</w:t>
            </w:r>
            <w:r w:rsidRPr="00A23740">
              <w:rPr>
                <w:szCs w:val="24"/>
              </w:rPr>
              <w:t xml:space="preserve"> bir </w:t>
            </w:r>
            <w:r w:rsidRPr="00A23740">
              <w:rPr>
                <w:b/>
                <w:bCs/>
                <w:color w:val="0000FF"/>
                <w:szCs w:val="24"/>
                <w:lang w:val="x-none" w:eastAsia="x-none"/>
              </w:rPr>
              <w:t>belge</w:t>
            </w:r>
            <w:r w:rsidRPr="00A23740">
              <w:rPr>
                <w:szCs w:val="24"/>
              </w:rPr>
              <w:t xml:space="preserve"> gösteremezse </w:t>
            </w:r>
            <w:r w:rsidR="00DF22A1" w:rsidRPr="00A23740">
              <w:rPr>
                <w:szCs w:val="24"/>
              </w:rPr>
              <w:t xml:space="preserve">derhâl </w:t>
            </w:r>
            <w:r w:rsidRPr="00A23740">
              <w:rPr>
                <w:szCs w:val="24"/>
              </w:rPr>
              <w:t>tahliye olunur.</w:t>
            </w:r>
          </w:p>
          <w:p w:rsidR="00AA5C8C" w:rsidRPr="00A23740" w:rsidRDefault="00AA5C8C" w:rsidP="009431FF">
            <w:pPr>
              <w:tabs>
                <w:tab w:val="left" w:pos="567"/>
              </w:tabs>
              <w:rPr>
                <w:szCs w:val="24"/>
              </w:rPr>
            </w:pPr>
          </w:p>
          <w:p w:rsidR="009D7972" w:rsidRPr="00A23740" w:rsidRDefault="009D7972" w:rsidP="009431FF">
            <w:pPr>
              <w:tabs>
                <w:tab w:val="left" w:pos="567"/>
              </w:tabs>
              <w:rPr>
                <w:szCs w:val="24"/>
              </w:rPr>
            </w:pPr>
          </w:p>
          <w:p w:rsidR="00AA5C8C" w:rsidRPr="00A23740" w:rsidRDefault="00AA5C8C" w:rsidP="009431FF">
            <w:pPr>
              <w:tabs>
                <w:tab w:val="left" w:pos="567"/>
              </w:tabs>
              <w:rPr>
                <w:szCs w:val="24"/>
              </w:rPr>
            </w:pPr>
            <w:r w:rsidRPr="00A23740">
              <w:rPr>
                <w:b/>
                <w:bCs/>
                <w:color w:val="0000FF"/>
                <w:szCs w:val="24"/>
                <w:lang w:val="x-none" w:eastAsia="x-none"/>
              </w:rPr>
              <w:t>(2) Taşınmazda bulunan üçüncü kişi</w:t>
            </w:r>
            <w:r w:rsidRPr="00A23740">
              <w:rPr>
                <w:szCs w:val="24"/>
              </w:rPr>
              <w:t xml:space="preserve"> resm</w:t>
            </w:r>
            <w:r w:rsidR="00656F58" w:rsidRPr="00A23740">
              <w:rPr>
                <w:szCs w:val="24"/>
              </w:rPr>
              <w:t>î</w:t>
            </w:r>
            <w:r w:rsidRPr="00A23740">
              <w:rPr>
                <w:szCs w:val="24"/>
              </w:rPr>
              <w:t xml:space="preserve"> bir </w:t>
            </w:r>
            <w:r w:rsidRPr="00A23740">
              <w:rPr>
                <w:b/>
                <w:bCs/>
                <w:color w:val="0000FF"/>
                <w:szCs w:val="24"/>
                <w:lang w:val="x-none" w:eastAsia="x-none"/>
              </w:rPr>
              <w:t>belge</w:t>
            </w:r>
            <w:r w:rsidRPr="00A23740">
              <w:rPr>
                <w:szCs w:val="24"/>
              </w:rPr>
              <w:t xml:space="preserve"> gösterememekle beraber </w:t>
            </w:r>
            <w:r w:rsidRPr="00A23740">
              <w:rPr>
                <w:b/>
                <w:bCs/>
                <w:color w:val="0000FF"/>
                <w:szCs w:val="24"/>
                <w:lang w:val="x-none" w:eastAsia="x-none"/>
              </w:rPr>
              <w:t>sözleşme</w:t>
            </w:r>
            <w:r w:rsidRPr="00A23740">
              <w:rPr>
                <w:szCs w:val="24"/>
              </w:rPr>
              <w:t xml:space="preserve"> tarihinden </w:t>
            </w:r>
            <w:r w:rsidRPr="00A23740">
              <w:rPr>
                <w:b/>
                <w:bCs/>
                <w:color w:val="0000FF"/>
                <w:szCs w:val="24"/>
                <w:lang w:val="x-none" w:eastAsia="x-none"/>
              </w:rPr>
              <w:t>önceki</w:t>
            </w:r>
            <w:r w:rsidRPr="00A23740">
              <w:rPr>
                <w:rFonts w:eastAsia="Times New Roman"/>
                <w:b/>
                <w:color w:val="0000FF"/>
                <w:szCs w:val="24"/>
                <w:lang w:eastAsia="tr-TR"/>
              </w:rPr>
              <w:t xml:space="preserve"> </w:t>
            </w:r>
            <w:r w:rsidRPr="00A23740">
              <w:rPr>
                <w:szCs w:val="24"/>
              </w:rPr>
              <w:t xml:space="preserve">bir zamandan beri orayı işgal etmekte bulunduğunu </w:t>
            </w:r>
            <w:r w:rsidRPr="00A23740">
              <w:rPr>
                <w:b/>
                <w:bCs/>
                <w:color w:val="0000FF"/>
                <w:szCs w:val="24"/>
                <w:lang w:val="x-none" w:eastAsia="x-none"/>
              </w:rPr>
              <w:t>veya taşınmazı kiraya verenden kiraladığını</w:t>
            </w:r>
            <w:r w:rsidRPr="00A23740">
              <w:rPr>
                <w:szCs w:val="24"/>
              </w:rPr>
              <w:t xml:space="preserve"> beyan eder ve bu beyanı icra </w:t>
            </w:r>
            <w:r w:rsidR="007D74DD" w:rsidRPr="00363170">
              <w:rPr>
                <w:b/>
                <w:color w:val="0000FF"/>
              </w:rPr>
              <w:t>ve iflas</w:t>
            </w:r>
            <w:r w:rsidR="007D74DD" w:rsidRPr="00A23740">
              <w:rPr>
                <w:b/>
                <w:color w:val="385623"/>
              </w:rPr>
              <w:t xml:space="preserve"> </w:t>
            </w:r>
            <w:r w:rsidRPr="00A23740">
              <w:rPr>
                <w:b/>
                <w:bCs/>
                <w:color w:val="0000FF"/>
                <w:szCs w:val="24"/>
                <w:lang w:val="x-none" w:eastAsia="x-none"/>
              </w:rPr>
              <w:t>müdürü</w:t>
            </w:r>
            <w:r w:rsidRPr="00A23740">
              <w:rPr>
                <w:szCs w:val="24"/>
              </w:rPr>
              <w:t xml:space="preserve"> tarafından mahallinde yapılacak </w:t>
            </w:r>
            <w:r w:rsidRPr="00A23740">
              <w:rPr>
                <w:b/>
                <w:bCs/>
                <w:color w:val="0000FF"/>
                <w:szCs w:val="24"/>
                <w:lang w:val="x-none" w:eastAsia="x-none"/>
              </w:rPr>
              <w:t>bir araştırma ile doğrulanırsa</w:t>
            </w:r>
            <w:r w:rsidR="0040600E" w:rsidRPr="00363170">
              <w:rPr>
                <w:b/>
                <w:bCs/>
                <w:color w:val="0000FF"/>
                <w:szCs w:val="24"/>
                <w:lang w:val="x-none" w:eastAsia="x-none"/>
              </w:rPr>
              <w:t>,</w:t>
            </w:r>
            <w:r w:rsidRPr="00A23740">
              <w:rPr>
                <w:b/>
                <w:bCs/>
                <w:color w:val="0000FF"/>
                <w:szCs w:val="24"/>
                <w:lang w:val="x-none" w:eastAsia="x-none"/>
              </w:rPr>
              <w:t xml:space="preserve"> icra </w:t>
            </w:r>
            <w:r w:rsidR="0040600E" w:rsidRPr="00363170">
              <w:rPr>
                <w:b/>
                <w:bCs/>
                <w:color w:val="0000FF"/>
                <w:szCs w:val="24"/>
                <w:lang w:val="x-none" w:eastAsia="x-none"/>
              </w:rPr>
              <w:t xml:space="preserve">ve iflas </w:t>
            </w:r>
            <w:r w:rsidRPr="00A23740">
              <w:rPr>
                <w:b/>
                <w:bCs/>
                <w:color w:val="0000FF"/>
                <w:szCs w:val="24"/>
                <w:lang w:val="x-none" w:eastAsia="x-none"/>
              </w:rPr>
              <w:t>müdürü</w:t>
            </w:r>
            <w:r w:rsidRPr="00A23740">
              <w:rPr>
                <w:b/>
                <w:bCs/>
                <w:color w:val="0000FF"/>
                <w:szCs w:val="24"/>
                <w:lang w:eastAsia="x-none"/>
              </w:rPr>
              <w:t xml:space="preserve"> </w:t>
            </w:r>
            <w:r w:rsidRPr="00A23740">
              <w:rPr>
                <w:szCs w:val="24"/>
              </w:rPr>
              <w:t xml:space="preserve">tahliyeyi </w:t>
            </w:r>
            <w:r w:rsidRPr="00A23740">
              <w:rPr>
                <w:b/>
                <w:bCs/>
                <w:color w:val="0000FF"/>
                <w:szCs w:val="24"/>
                <w:lang w:val="x-none" w:eastAsia="x-none"/>
              </w:rPr>
              <w:t>erteler ve</w:t>
            </w:r>
            <w:r w:rsidRPr="00A23740">
              <w:rPr>
                <w:szCs w:val="24"/>
              </w:rPr>
              <w:t xml:space="preserve"> üç gün içinde </w:t>
            </w:r>
            <w:r w:rsidRPr="00A23740">
              <w:rPr>
                <w:b/>
                <w:bCs/>
                <w:color w:val="0000FF"/>
                <w:szCs w:val="24"/>
                <w:lang w:val="x-none" w:eastAsia="x-none"/>
              </w:rPr>
              <w:t>durumu</w:t>
            </w:r>
            <w:r w:rsidRPr="00A23740">
              <w:rPr>
                <w:rFonts w:eastAsia="Times New Roman"/>
                <w:b/>
                <w:color w:val="0000FF"/>
                <w:szCs w:val="24"/>
                <w:lang w:eastAsia="tr-TR"/>
              </w:rPr>
              <w:t xml:space="preserve"> </w:t>
            </w:r>
            <w:r w:rsidRPr="00A23740">
              <w:rPr>
                <w:szCs w:val="24"/>
              </w:rPr>
              <w:t xml:space="preserve">icra </w:t>
            </w:r>
            <w:r w:rsidRPr="00A23740">
              <w:rPr>
                <w:b/>
                <w:bCs/>
                <w:color w:val="0000FF"/>
                <w:szCs w:val="24"/>
                <w:lang w:val="x-none" w:eastAsia="x-none"/>
              </w:rPr>
              <w:t>hukuk</w:t>
            </w:r>
            <w:r w:rsidRPr="00A23740">
              <w:rPr>
                <w:szCs w:val="24"/>
              </w:rPr>
              <w:t xml:space="preserve"> mahkemesine bildirir.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bCs/>
                <w:color w:val="0000FF"/>
                <w:szCs w:val="24"/>
                <w:lang w:val="x-none" w:eastAsia="x-none"/>
              </w:rPr>
              <w:t>(3)</w:t>
            </w:r>
            <w:r w:rsidRPr="00A23740">
              <w:rPr>
                <w:rFonts w:eastAsia="Times New Roman"/>
                <w:b/>
                <w:color w:val="0000FF"/>
                <w:szCs w:val="24"/>
                <w:lang w:eastAsia="tr-TR"/>
              </w:rPr>
              <w:t xml:space="preserve"> </w:t>
            </w:r>
            <w:r w:rsidRPr="00A23740">
              <w:rPr>
                <w:szCs w:val="24"/>
              </w:rPr>
              <w:t xml:space="preserve">İcra </w:t>
            </w:r>
            <w:r w:rsidRPr="00A23740">
              <w:rPr>
                <w:b/>
                <w:bCs/>
                <w:color w:val="0000FF"/>
                <w:szCs w:val="24"/>
                <w:lang w:eastAsia="x-none"/>
              </w:rPr>
              <w:t>hukuk</w:t>
            </w:r>
            <w:r w:rsidRPr="00A23740">
              <w:rPr>
                <w:szCs w:val="24"/>
              </w:rPr>
              <w:t xml:space="preserve"> mahkemesi, tarafları dinl</w:t>
            </w:r>
            <w:r w:rsidRPr="00A23740">
              <w:rPr>
                <w:b/>
                <w:bCs/>
                <w:color w:val="0000FF"/>
                <w:szCs w:val="24"/>
                <w:lang w:val="x-none" w:eastAsia="x-none"/>
              </w:rPr>
              <w:t>e</w:t>
            </w:r>
            <w:r w:rsidRPr="00A23740">
              <w:rPr>
                <w:szCs w:val="24"/>
              </w:rPr>
              <w:t xml:space="preserve">yerek tahliyeyi emreder veya taraflardan birinin </w:t>
            </w:r>
            <w:r w:rsidRPr="00A23740">
              <w:rPr>
                <w:b/>
                <w:bCs/>
                <w:color w:val="0000FF"/>
                <w:szCs w:val="24"/>
                <w:lang w:val="x-none" w:eastAsia="x-none"/>
              </w:rPr>
              <w:t>bir hafta</w:t>
            </w:r>
            <w:r w:rsidRPr="00A23740">
              <w:rPr>
                <w:szCs w:val="24"/>
              </w:rPr>
              <w:t xml:space="preserve"> içinde </w:t>
            </w:r>
            <w:r w:rsidRPr="00A23740">
              <w:rPr>
                <w:b/>
                <w:bCs/>
                <w:color w:val="0000FF"/>
                <w:szCs w:val="24"/>
                <w:lang w:val="x-none" w:eastAsia="x-none"/>
              </w:rPr>
              <w:t>genel</w:t>
            </w:r>
            <w:r w:rsidRPr="00A23740">
              <w:rPr>
                <w:szCs w:val="24"/>
              </w:rPr>
              <w:t xml:space="preserve"> mahkemeye müracaat etmesi </w:t>
            </w:r>
            <w:r w:rsidRPr="00A23740">
              <w:rPr>
                <w:rStyle w:val="MaviChar"/>
              </w:rPr>
              <w:t>gerektiğine</w:t>
            </w:r>
            <w:r w:rsidRPr="00A23740">
              <w:rPr>
                <w:szCs w:val="24"/>
              </w:rPr>
              <w:t xml:space="preserve"> karar verir. Bu </w:t>
            </w:r>
            <w:r w:rsidRPr="00A23740">
              <w:rPr>
                <w:b/>
                <w:bCs/>
                <w:color w:val="0000FF"/>
                <w:szCs w:val="24"/>
                <w:lang w:val="x-none" w:eastAsia="x-none"/>
              </w:rPr>
              <w:t xml:space="preserve">süre </w:t>
            </w:r>
            <w:r w:rsidRPr="00A23740">
              <w:rPr>
                <w:szCs w:val="24"/>
              </w:rPr>
              <w:t xml:space="preserve">içinde </w:t>
            </w:r>
            <w:r w:rsidRPr="00A23740">
              <w:rPr>
                <w:b/>
                <w:bCs/>
                <w:color w:val="0000FF"/>
                <w:szCs w:val="24"/>
                <w:lang w:val="x-none" w:eastAsia="x-none"/>
              </w:rPr>
              <w:t>genel</w:t>
            </w:r>
            <w:r w:rsidRPr="00A23740">
              <w:rPr>
                <w:szCs w:val="24"/>
              </w:rPr>
              <w:t xml:space="preserve"> mahkemeye </w:t>
            </w:r>
            <w:r w:rsidRPr="00A23740">
              <w:rPr>
                <w:b/>
                <w:bCs/>
                <w:color w:val="0000FF"/>
                <w:szCs w:val="24"/>
                <w:lang w:val="x-none" w:eastAsia="x-none"/>
              </w:rPr>
              <w:t xml:space="preserve">başvurulursa </w:t>
            </w:r>
            <w:r w:rsidRPr="00A23740">
              <w:rPr>
                <w:szCs w:val="24"/>
              </w:rPr>
              <w:t xml:space="preserve">davanın </w:t>
            </w:r>
            <w:r w:rsidRPr="00A23740">
              <w:rPr>
                <w:b/>
                <w:bCs/>
                <w:color w:val="0000FF"/>
                <w:szCs w:val="24"/>
                <w:lang w:val="x-none" w:eastAsia="x-none"/>
              </w:rPr>
              <w:t xml:space="preserve">sonucuna </w:t>
            </w:r>
            <w:r w:rsidRPr="00A23740">
              <w:rPr>
                <w:szCs w:val="24"/>
              </w:rPr>
              <w:t xml:space="preserve">göre hareket </w:t>
            </w:r>
            <w:r w:rsidRPr="00A23740">
              <w:rPr>
                <w:rStyle w:val="MaviChar"/>
              </w:rPr>
              <w:t>edilir.</w:t>
            </w:r>
            <w:r w:rsidRPr="00A23740">
              <w:rPr>
                <w:szCs w:val="24"/>
              </w:rPr>
              <w:t xml:space="preserve"> </w:t>
            </w:r>
            <w:r w:rsidRPr="00A23740">
              <w:rPr>
                <w:b/>
                <w:bCs/>
                <w:color w:val="0000FF"/>
                <w:szCs w:val="24"/>
                <w:lang w:val="x-none" w:eastAsia="x-none"/>
              </w:rPr>
              <w:t xml:space="preserve">55 inci </w:t>
            </w:r>
            <w:r w:rsidRPr="00A23740">
              <w:rPr>
                <w:szCs w:val="24"/>
              </w:rPr>
              <w:t xml:space="preserve">madde burada da uygulanır. Dava </w:t>
            </w:r>
            <w:r w:rsidRPr="00A23740">
              <w:rPr>
                <w:rStyle w:val="MaviChar"/>
              </w:rPr>
              <w:t>açmayan</w:t>
            </w:r>
            <w:r w:rsidRPr="00A23740">
              <w:rPr>
                <w:szCs w:val="24"/>
              </w:rPr>
              <w:t xml:space="preserve"> taraf iddiasından vazgeçmiş sayılır.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szCs w:val="24"/>
              </w:rPr>
            </w:pPr>
            <w:r w:rsidRPr="00A23740">
              <w:rPr>
                <w:b/>
                <w:bCs/>
                <w:color w:val="0000FF"/>
                <w:szCs w:val="24"/>
                <w:lang w:val="x-none" w:eastAsia="x-none"/>
              </w:rPr>
              <w:t>(4)</w:t>
            </w:r>
            <w:r w:rsidRPr="00A23740">
              <w:rPr>
                <w:rFonts w:eastAsia="Times New Roman"/>
                <w:b/>
                <w:color w:val="0000FF"/>
                <w:szCs w:val="24"/>
                <w:lang w:eastAsia="tr-TR"/>
              </w:rPr>
              <w:t xml:space="preserve"> </w:t>
            </w:r>
            <w:r w:rsidRPr="00A23740">
              <w:rPr>
                <w:szCs w:val="24"/>
              </w:rPr>
              <w:t xml:space="preserve">Borçlunun </w:t>
            </w:r>
            <w:r w:rsidRPr="00A23740">
              <w:rPr>
                <w:b/>
                <w:bCs/>
                <w:color w:val="0000FF"/>
                <w:szCs w:val="24"/>
                <w:lang w:val="x-none" w:eastAsia="x-none"/>
              </w:rPr>
              <w:t>kan veya kayın hısımlığı yönünden alt ve üst soyu,  eşi,</w:t>
            </w:r>
            <w:r w:rsidRPr="00A23740">
              <w:rPr>
                <w:szCs w:val="24"/>
              </w:rPr>
              <w:t xml:space="preserve"> ikinci derece</w:t>
            </w:r>
            <w:r w:rsidRPr="00A23740">
              <w:rPr>
                <w:b/>
                <w:bCs/>
                <w:color w:val="0000FF"/>
                <w:szCs w:val="24"/>
                <w:lang w:val="x-none" w:eastAsia="x-none"/>
              </w:rPr>
              <w:t>de</w:t>
            </w:r>
            <w:r w:rsidRPr="00A23740">
              <w:rPr>
                <w:szCs w:val="24"/>
              </w:rPr>
              <w:t xml:space="preserve"> kan ve </w:t>
            </w:r>
            <w:r w:rsidRPr="00A23740">
              <w:rPr>
                <w:b/>
                <w:bCs/>
                <w:color w:val="0000FF"/>
                <w:szCs w:val="24"/>
                <w:lang w:val="x-none" w:eastAsia="x-none"/>
              </w:rPr>
              <w:t>kayın</w:t>
            </w:r>
            <w:r w:rsidRPr="00A23740">
              <w:rPr>
                <w:rFonts w:eastAsia="Times New Roman"/>
                <w:b/>
                <w:color w:val="0000FF"/>
                <w:szCs w:val="24"/>
                <w:lang w:eastAsia="tr-TR"/>
              </w:rPr>
              <w:t xml:space="preserve"> </w:t>
            </w:r>
            <w:r w:rsidRPr="00A23740">
              <w:rPr>
                <w:szCs w:val="24"/>
              </w:rPr>
              <w:t>hısımları</w:t>
            </w:r>
            <w:r w:rsidRPr="00A23740">
              <w:rPr>
                <w:b/>
                <w:bCs/>
                <w:color w:val="0000FF"/>
                <w:szCs w:val="24"/>
                <w:lang w:val="x-none" w:eastAsia="x-none"/>
              </w:rPr>
              <w:t>,</w:t>
            </w:r>
            <w:r w:rsidRPr="00A23740">
              <w:rPr>
                <w:szCs w:val="24"/>
              </w:rPr>
              <w:t xml:space="preserve"> iş ortakları ile borçluya </w:t>
            </w:r>
            <w:r w:rsidRPr="00A23740">
              <w:rPr>
                <w:rStyle w:val="MaviChar"/>
              </w:rPr>
              <w:t>bağlı olarak</w:t>
            </w:r>
            <w:r w:rsidRPr="00A23740">
              <w:rPr>
                <w:szCs w:val="24"/>
              </w:rPr>
              <w:t xml:space="preserve"> </w:t>
            </w:r>
            <w:r w:rsidRPr="00A23740">
              <w:rPr>
                <w:b/>
                <w:bCs/>
                <w:color w:val="0000FF"/>
                <w:szCs w:val="24"/>
                <w:lang w:val="x-none" w:eastAsia="x-none"/>
              </w:rPr>
              <w:t>kiralananda</w:t>
            </w:r>
            <w:r w:rsidRPr="00A23740">
              <w:rPr>
                <w:rFonts w:eastAsia="Times New Roman"/>
                <w:b/>
                <w:color w:val="0000FF"/>
                <w:szCs w:val="24"/>
                <w:lang w:eastAsia="tr-TR"/>
              </w:rPr>
              <w:t xml:space="preserve"> </w:t>
            </w:r>
            <w:r w:rsidRPr="00A23740">
              <w:rPr>
                <w:szCs w:val="24"/>
              </w:rPr>
              <w:t xml:space="preserve">oturdukları anlaşılan diğer </w:t>
            </w:r>
            <w:r w:rsidRPr="00A23740">
              <w:rPr>
                <w:b/>
                <w:bCs/>
                <w:color w:val="0000FF"/>
                <w:szCs w:val="24"/>
                <w:lang w:val="x-none" w:eastAsia="x-none"/>
              </w:rPr>
              <w:t>kişiler</w:t>
            </w:r>
            <w:r w:rsidRPr="00A23740">
              <w:rPr>
                <w:szCs w:val="24"/>
              </w:rPr>
              <w:t xml:space="preserve">, bu madde hükmünün </w:t>
            </w:r>
            <w:r w:rsidRPr="00A23740">
              <w:rPr>
                <w:b/>
                <w:bCs/>
                <w:color w:val="0000FF"/>
                <w:szCs w:val="24"/>
                <w:lang w:val="x-none" w:eastAsia="x-none"/>
              </w:rPr>
              <w:t>uygulanmasında</w:t>
            </w:r>
            <w:r w:rsidRPr="00A23740">
              <w:rPr>
                <w:szCs w:val="24"/>
              </w:rPr>
              <w:t xml:space="preserve"> üçüncü </w:t>
            </w:r>
            <w:r w:rsidRPr="00A23740">
              <w:rPr>
                <w:b/>
                <w:bCs/>
                <w:color w:val="0000FF"/>
                <w:szCs w:val="24"/>
                <w:lang w:val="x-none" w:eastAsia="x-none"/>
              </w:rPr>
              <w:t>kişi</w:t>
            </w:r>
            <w:r w:rsidRPr="00A23740">
              <w:rPr>
                <w:szCs w:val="24"/>
              </w:rPr>
              <w:t xml:space="preserve"> sayılmazlar.</w:t>
            </w:r>
          </w:p>
          <w:p w:rsidR="00AA5C8C" w:rsidRPr="00A23740" w:rsidRDefault="00AA5C8C" w:rsidP="009431FF">
            <w:pPr>
              <w:tabs>
                <w:tab w:val="left" w:pos="567"/>
              </w:tabs>
              <w:rPr>
                <w:szCs w:val="24"/>
              </w:rPr>
            </w:pPr>
          </w:p>
        </w:tc>
      </w:tr>
      <w:tr w:rsidR="00BD62FF" w:rsidRPr="00A23740" w:rsidTr="009431FF">
        <w:tc>
          <w:tcPr>
            <w:tcW w:w="5000" w:type="pct"/>
            <w:gridSpan w:val="2"/>
            <w:shd w:val="clear" w:color="auto" w:fill="DEEAF6"/>
          </w:tcPr>
          <w:p w:rsidR="00BD62FF" w:rsidRPr="00A23740" w:rsidRDefault="00BD62FF" w:rsidP="009431FF">
            <w:pPr>
              <w:keepNext/>
              <w:ind w:firstLine="709"/>
              <w:outlineLvl w:val="3"/>
              <w:rPr>
                <w:b/>
              </w:rPr>
            </w:pPr>
            <w:r w:rsidRPr="00A23740">
              <w:rPr>
                <w:b/>
              </w:rPr>
              <w:tab/>
            </w:r>
          </w:p>
          <w:p w:rsidR="00BD62FF" w:rsidRPr="00A23740" w:rsidRDefault="00EF749D" w:rsidP="009431FF">
            <w:pPr>
              <w:keepNext/>
              <w:ind w:firstLine="709"/>
              <w:outlineLvl w:val="3"/>
            </w:pPr>
            <w:r w:rsidRPr="00A23740">
              <w:rPr>
                <w:b/>
              </w:rPr>
              <w:t xml:space="preserve">MADDE </w:t>
            </w:r>
            <w:r w:rsidR="009D57E1" w:rsidRPr="00A23740">
              <w:rPr>
                <w:b/>
              </w:rPr>
              <w:t>150</w:t>
            </w:r>
            <w:r w:rsidR="00BD62FF" w:rsidRPr="00A23740">
              <w:rPr>
                <w:b/>
              </w:rPr>
              <w:t>-</w:t>
            </w:r>
            <w:r w:rsidR="00BD62FF" w:rsidRPr="00A23740">
              <w:t xml:space="preserve"> </w:t>
            </w:r>
            <w:r w:rsidR="00BD62FF" w:rsidRPr="00A23740">
              <w:rPr>
                <w:szCs w:val="24"/>
                <w:lang w:eastAsia="x-none"/>
              </w:rPr>
              <w:t>Maddeyle,</w:t>
            </w:r>
            <w:r w:rsidRPr="00A23740">
              <w:rPr>
                <w:szCs w:val="24"/>
                <w:lang w:eastAsia="x-none"/>
              </w:rPr>
              <w:t xml:space="preserve"> kiralanan taşınmazların ilamsız icra yoluyla tahliyesinde</w:t>
            </w:r>
            <w:r w:rsidR="008E4CC2" w:rsidRPr="00A23740">
              <w:rPr>
                <w:szCs w:val="24"/>
                <w:lang w:eastAsia="x-none"/>
              </w:rPr>
              <w:t>,</w:t>
            </w:r>
            <w:r w:rsidRPr="00A23740">
              <w:rPr>
                <w:szCs w:val="24"/>
                <w:lang w:eastAsia="x-none"/>
              </w:rPr>
              <w:t xml:space="preserve"> kiralanan taşınmazda üçüncü kişinin bulunması durumunda uygulanacak </w:t>
            </w:r>
            <w:r w:rsidR="00BD62FF" w:rsidRPr="00A23740">
              <w:t>hususlar düzenlenmektedir.</w:t>
            </w:r>
            <w:r w:rsidRPr="00A23740">
              <w:t xml:space="preserve"> Hüküm, 2004 sayılı Kanunun 276 ncı maddesine karşılık gelmektedir.</w:t>
            </w:r>
            <w:r w:rsidR="0083249E" w:rsidRPr="00A23740">
              <w:t xml:space="preserve"> Bu madde hükmü, </w:t>
            </w:r>
            <w:r w:rsidR="008E4CC2" w:rsidRPr="00A23740">
              <w:t xml:space="preserve"> aslında </w:t>
            </w:r>
            <w:r w:rsidR="0083249E" w:rsidRPr="00A23740">
              <w:t xml:space="preserve">önemli bir değişiklik yapılmaksızın sadeleştirilmek suretiyle Taslakta </w:t>
            </w:r>
            <w:r w:rsidR="008E4CC2" w:rsidRPr="00A23740">
              <w:t>muhafaza edilmiştir</w:t>
            </w:r>
            <w:r w:rsidR="0083249E" w:rsidRPr="00A23740">
              <w:t>.</w:t>
            </w:r>
          </w:p>
          <w:p w:rsidR="00EF749D" w:rsidRPr="00A23740" w:rsidRDefault="00EF749D" w:rsidP="009431FF">
            <w:pPr>
              <w:keepNext/>
              <w:ind w:firstLine="709"/>
              <w:outlineLvl w:val="3"/>
            </w:pPr>
            <w:r w:rsidRPr="00A23740">
              <w:t xml:space="preserve">Birinci fıkrayla, tahliyesi istenen yerde kiracıdan başka bir kişinin bulunması ve </w:t>
            </w:r>
            <w:r w:rsidR="00C33D08" w:rsidRPr="00363170">
              <w:t>bu kişinin</w:t>
            </w:r>
            <w:r w:rsidR="00C33D08" w:rsidRPr="00A23740">
              <w:t xml:space="preserve"> </w:t>
            </w:r>
            <w:r w:rsidRPr="00A23740">
              <w:t xml:space="preserve">bu yeri işgal etmesini haklı gösterecek resmî bir belge gösterememesi durumunda taşınmazdan </w:t>
            </w:r>
            <w:r w:rsidR="00DF22A1" w:rsidRPr="00A23740">
              <w:rPr>
                <w:szCs w:val="24"/>
              </w:rPr>
              <w:t xml:space="preserve">derhâl </w:t>
            </w:r>
            <w:r w:rsidRPr="00A23740">
              <w:t xml:space="preserve">tahliye </w:t>
            </w:r>
            <w:r w:rsidR="0083249E" w:rsidRPr="00A23740">
              <w:t>edileceği</w:t>
            </w:r>
            <w:r w:rsidRPr="00A23740">
              <w:t xml:space="preserve"> belirtilmektedir.</w:t>
            </w:r>
          </w:p>
          <w:p w:rsidR="00EF749D" w:rsidRPr="00A23740" w:rsidRDefault="0083249E" w:rsidP="009431FF">
            <w:pPr>
              <w:keepNext/>
              <w:ind w:firstLine="709"/>
              <w:outlineLvl w:val="3"/>
            </w:pPr>
            <w:r w:rsidRPr="00A23740">
              <w:t xml:space="preserve">İkinci fıkrayla, taşınmazda bulunan üçüncü kişinin resmî bir belge gösterememekle beraber sözleşme tarihinden önceki bir zamandan beri söz konusu taşınmazı işgal etmekte olduğunu veya taşınmazı kiraya verenden kiraladığını beyan etmesi ve bu beyanın icra </w:t>
            </w:r>
            <w:r w:rsidR="00C33D08" w:rsidRPr="00363170">
              <w:t>ve</w:t>
            </w:r>
            <w:r w:rsidR="00C33D08" w:rsidRPr="00363170">
              <w:rPr>
                <w:b/>
              </w:rPr>
              <w:t xml:space="preserve"> </w:t>
            </w:r>
            <w:r w:rsidR="00C33D08" w:rsidRPr="00363170">
              <w:t>iflas</w:t>
            </w:r>
            <w:r w:rsidR="00C33D08" w:rsidRPr="00A23740">
              <w:t xml:space="preserve"> </w:t>
            </w:r>
            <w:r w:rsidRPr="00A23740">
              <w:t>müdürü tarafından mahalinde yapılacak bir araştırma</w:t>
            </w:r>
            <w:r w:rsidR="008E4CC2" w:rsidRPr="00A23740">
              <w:t>yla</w:t>
            </w:r>
            <w:r w:rsidRPr="00A23740">
              <w:t xml:space="preserve"> doğrulanması h</w:t>
            </w:r>
            <w:r w:rsidR="00E54A6B" w:rsidRPr="00A23740">
              <w:t>â</w:t>
            </w:r>
            <w:r w:rsidRPr="00A23740">
              <w:t>linde</w:t>
            </w:r>
            <w:r w:rsidR="008E4CC2" w:rsidRPr="00A23740">
              <w:t>,</w:t>
            </w:r>
            <w:r w:rsidRPr="00A23740">
              <w:t xml:space="preserve"> icra </w:t>
            </w:r>
            <w:r w:rsidR="00C33D08" w:rsidRPr="00363170">
              <w:t>ve iflas</w:t>
            </w:r>
            <w:r w:rsidR="00C33D08" w:rsidRPr="00A23740">
              <w:t xml:space="preserve"> </w:t>
            </w:r>
            <w:r w:rsidRPr="00A23740">
              <w:t>müdürünün tahliyeyi erteleyeceği ve durumu üç gün içinde icra hukuk mahkemesine bildireceği</w:t>
            </w:r>
            <w:r w:rsidR="008E4CC2" w:rsidRPr="00A23740">
              <w:t xml:space="preserve"> açıklanmaktadır</w:t>
            </w:r>
            <w:r w:rsidRPr="00A23740">
              <w:t>.</w:t>
            </w:r>
          </w:p>
          <w:p w:rsidR="0083249E" w:rsidRPr="00A23740" w:rsidRDefault="0083249E" w:rsidP="009431FF">
            <w:pPr>
              <w:keepNext/>
              <w:ind w:firstLine="709"/>
              <w:outlineLvl w:val="3"/>
            </w:pPr>
            <w:r w:rsidRPr="00A23740">
              <w:t xml:space="preserve">Üçüncü fıkrayla, icra hukuk mahkemesinin kendisine yapılan bildirimden sonra tarafları </w:t>
            </w:r>
            <w:r w:rsidR="008E4CC2" w:rsidRPr="00A23740">
              <w:t xml:space="preserve">dinleyip, </w:t>
            </w:r>
            <w:r w:rsidRPr="00A23740">
              <w:t>gerektiğinde tahliyeye emredebileceği veya taraflardan birinin bir hafta içinde genel mahkemeye başvurmasına ilişkin karar vereceği hüküm altına alınmaktadır. Bu süre içinde genel mahkemeye başvurulması h</w:t>
            </w:r>
            <w:r w:rsidR="00E54A6B" w:rsidRPr="00A23740">
              <w:t>â</w:t>
            </w:r>
            <w:r w:rsidRPr="00A23740">
              <w:t>linde davanın sonucuna göre hareket edileceği</w:t>
            </w:r>
            <w:r w:rsidR="008E4CC2" w:rsidRPr="00A23740">
              <w:t>,</w:t>
            </w:r>
            <w:r w:rsidRPr="00A23740">
              <w:t xml:space="preserve"> bu durumda </w:t>
            </w:r>
            <w:r w:rsidR="0086232D" w:rsidRPr="00363170">
              <w:t>55 inci</w:t>
            </w:r>
            <w:r w:rsidR="0086232D" w:rsidRPr="00A23740">
              <w:rPr>
                <w:bCs/>
                <w:color w:val="0000FF"/>
                <w:szCs w:val="24"/>
                <w:lang w:val="x-none" w:eastAsia="x-none"/>
              </w:rPr>
              <w:t xml:space="preserve"> </w:t>
            </w:r>
            <w:r w:rsidRPr="00A23740">
              <w:t>madde hükümlerinin uygulanacağı</w:t>
            </w:r>
            <w:r w:rsidR="008E4CC2" w:rsidRPr="00A23740">
              <w:t>,</w:t>
            </w:r>
            <w:r w:rsidRPr="00A23740">
              <w:t xml:space="preserve"> süresi içinde dava açmayan tarafın iddiasından vazgeçmiş sayılacağı </w:t>
            </w:r>
            <w:r w:rsidR="008E4CC2" w:rsidRPr="00A23740">
              <w:t>açıklanmaktadır</w:t>
            </w:r>
            <w:r w:rsidRPr="00A23740">
              <w:t>.</w:t>
            </w:r>
          </w:p>
          <w:p w:rsidR="00BD62FF" w:rsidRPr="00A23740" w:rsidRDefault="0083249E" w:rsidP="009431FF">
            <w:pPr>
              <w:keepNext/>
              <w:ind w:firstLine="709"/>
              <w:outlineLvl w:val="3"/>
              <w:rPr>
                <w:b/>
                <w:szCs w:val="24"/>
              </w:rPr>
            </w:pPr>
            <w:r w:rsidRPr="00A23740">
              <w:t xml:space="preserve">Dördüncü fıkrayla, borçlunun kan veya kayın hısımlığı yönünden alt ve üst soyunun, eşinin, ikinci derecede kan veya kayın hısımlarının, iş ortakları ile borçluya bağlı olarak kiralananda oturdukları anlaşılan diğer kişilerin bu madde hükmü uygulanmasında üçüncü kişi sayılmayacakları; diğer bir anlatımla bu </w:t>
            </w:r>
            <w:r w:rsidR="00EC01BC" w:rsidRPr="00A23740">
              <w:t>kişilerin bu madde</w:t>
            </w:r>
            <w:r w:rsidR="008E4CC2" w:rsidRPr="00A23740">
              <w:t>de</w:t>
            </w:r>
            <w:r w:rsidR="00EC01BC" w:rsidRPr="00A23740">
              <w:t xml:space="preserve"> belirtilen usu</w:t>
            </w:r>
            <w:r w:rsidRPr="00A23740">
              <w:t>lden yararlanamayacakları düzenlenmektedir.</w:t>
            </w:r>
          </w:p>
          <w:p w:rsidR="00EC01BC" w:rsidRPr="00A23740" w:rsidRDefault="00EC01BC" w:rsidP="009431FF">
            <w:pPr>
              <w:keepNext/>
              <w:ind w:firstLine="709"/>
              <w:outlineLvl w:val="3"/>
              <w:rPr>
                <w:b/>
                <w:szCs w:val="24"/>
              </w:rPr>
            </w:pPr>
          </w:p>
        </w:tc>
      </w:tr>
      <w:tr w:rsidR="00AA5C8C" w:rsidRPr="00A23740" w:rsidTr="009431FF">
        <w:tc>
          <w:tcPr>
            <w:tcW w:w="2500" w:type="pct"/>
          </w:tcPr>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297A57" w:rsidRPr="00A23740" w:rsidRDefault="00297A57" w:rsidP="009431FF">
            <w:pPr>
              <w:tabs>
                <w:tab w:val="left" w:pos="567"/>
              </w:tabs>
              <w:rPr>
                <w:b/>
                <w:szCs w:val="24"/>
              </w:rPr>
            </w:pPr>
          </w:p>
          <w:p w:rsidR="00AA5C8C" w:rsidRPr="00A23740" w:rsidRDefault="00AA5C8C" w:rsidP="009431FF">
            <w:pPr>
              <w:tabs>
                <w:tab w:val="left" w:pos="567"/>
              </w:tabs>
              <w:rPr>
                <w:b/>
                <w:szCs w:val="24"/>
              </w:rPr>
            </w:pPr>
            <w:r w:rsidRPr="00A23740">
              <w:rPr>
                <w:b/>
                <w:szCs w:val="24"/>
              </w:rPr>
              <w:t xml:space="preserve">Hapis hakkı için defter </w:t>
            </w:r>
            <w:r w:rsidRPr="00A23740">
              <w:rPr>
                <w:b/>
                <w:bCs/>
                <w:strike/>
                <w:color w:val="FF0000"/>
                <w:szCs w:val="24"/>
              </w:rPr>
              <w:t>yapılması:</w:t>
            </w:r>
          </w:p>
          <w:p w:rsidR="00AA5C8C" w:rsidRPr="00A23740" w:rsidRDefault="00AA5C8C" w:rsidP="009431FF">
            <w:pPr>
              <w:tabs>
                <w:tab w:val="left" w:pos="567"/>
              </w:tabs>
              <w:rPr>
                <w:szCs w:val="24"/>
              </w:rPr>
            </w:pPr>
            <w:r w:rsidRPr="00A23740">
              <w:rPr>
                <w:b/>
                <w:bCs/>
                <w:strike/>
                <w:color w:val="FF0000"/>
                <w:szCs w:val="24"/>
              </w:rPr>
              <w:t>Madde 270 – (1)</w:t>
            </w:r>
            <w:r w:rsidRPr="00A23740">
              <w:rPr>
                <w:szCs w:val="24"/>
              </w:rPr>
              <w:t xml:space="preserve"> Kira</w:t>
            </w:r>
            <w:r w:rsidRPr="00A23740">
              <w:rPr>
                <w:b/>
                <w:bCs/>
                <w:strike/>
                <w:color w:val="FF0000"/>
                <w:szCs w:val="24"/>
              </w:rPr>
              <w:t>lıyan</w:t>
            </w:r>
            <w:r w:rsidRPr="00A23740">
              <w:rPr>
                <w:szCs w:val="24"/>
              </w:rPr>
              <w:t xml:space="preserve"> evvelce yapılması lazım gelen icra takibi yapmadan </w:t>
            </w:r>
            <w:r w:rsidRPr="00A23740">
              <w:rPr>
                <w:b/>
                <w:strike/>
                <w:color w:val="FF0000"/>
                <w:szCs w:val="24"/>
              </w:rPr>
              <w:t>haiz</w:t>
            </w:r>
            <w:r w:rsidRPr="00A23740">
              <w:rPr>
                <w:szCs w:val="24"/>
              </w:rPr>
              <w:t xml:space="preserve"> olduğu hapis hakkının </w:t>
            </w:r>
            <w:r w:rsidRPr="00A23740">
              <w:rPr>
                <w:b/>
                <w:strike/>
                <w:color w:val="FF0000"/>
                <w:szCs w:val="24"/>
              </w:rPr>
              <w:t>muvakkaten muhafazası</w:t>
            </w:r>
            <w:r w:rsidRPr="00A23740">
              <w:rPr>
                <w:szCs w:val="24"/>
              </w:rPr>
              <w:t xml:space="preserve"> için </w:t>
            </w:r>
            <w:r w:rsidRPr="00A23740">
              <w:rPr>
                <w:b/>
                <w:strike/>
                <w:color w:val="FF0000"/>
                <w:szCs w:val="24"/>
              </w:rPr>
              <w:t>icra dairesinin yardımını isteyebilir.</w:t>
            </w:r>
          </w:p>
          <w:p w:rsidR="00AA5C8C" w:rsidRPr="00A23740" w:rsidRDefault="00AA5C8C" w:rsidP="009431FF">
            <w:pPr>
              <w:tabs>
                <w:tab w:val="left" w:pos="567"/>
              </w:tabs>
              <w:rPr>
                <w:szCs w:val="24"/>
              </w:rPr>
            </w:pPr>
            <w:r w:rsidRPr="00A23740">
              <w:rPr>
                <w:szCs w:val="24"/>
              </w:rPr>
              <w:t>(B.K. 267, 269, 281).</w:t>
            </w:r>
          </w:p>
          <w:p w:rsidR="00AA5C8C" w:rsidRPr="00A23740" w:rsidRDefault="00AA5C8C" w:rsidP="009431FF">
            <w:pPr>
              <w:tabs>
                <w:tab w:val="left" w:pos="567"/>
              </w:tabs>
              <w:rPr>
                <w:szCs w:val="24"/>
              </w:rPr>
            </w:pPr>
          </w:p>
          <w:p w:rsidR="00AA5C8C" w:rsidRPr="00A23740" w:rsidRDefault="00AA5C8C" w:rsidP="009431FF">
            <w:pPr>
              <w:tabs>
                <w:tab w:val="left" w:pos="567"/>
              </w:tabs>
              <w:rPr>
                <w:b/>
                <w:bCs/>
                <w:strike/>
                <w:color w:val="FF0000"/>
                <w:szCs w:val="24"/>
              </w:rPr>
            </w:pPr>
            <w:r w:rsidRPr="00A23740">
              <w:rPr>
                <w:b/>
                <w:bCs/>
                <w:strike/>
                <w:color w:val="FF0000"/>
                <w:szCs w:val="24"/>
              </w:rPr>
              <w:t>(2) Teahhurunda tehlike varsa zabıtanın yahut nahiye müdürünün de yardımı istenebilir.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bCs/>
                <w:strike/>
                <w:color w:val="FF0000"/>
                <w:szCs w:val="24"/>
              </w:rPr>
              <w:t>(3) İcra dairesi üzerlerinde hapis hakkı bulunan eşyanın bir defterini yapar ve rehinleri paraya çevirme yoliyle takip talebinde bulunması için kiralıyana on beş günü geçmemek üzere münasip bir mühlet verir.</w:t>
            </w:r>
          </w:p>
          <w:p w:rsidR="00AA5C8C" w:rsidRPr="00A23740" w:rsidRDefault="00AA5C8C" w:rsidP="009431FF">
            <w:pPr>
              <w:rPr>
                <w:szCs w:val="24"/>
              </w:rPr>
            </w:pPr>
          </w:p>
        </w:tc>
        <w:tc>
          <w:tcPr>
            <w:tcW w:w="2500" w:type="pct"/>
          </w:tcPr>
          <w:p w:rsidR="00AA5C8C" w:rsidRPr="00A23740" w:rsidRDefault="00AA5C8C" w:rsidP="009431FF">
            <w:pPr>
              <w:keepNext/>
              <w:jc w:val="center"/>
              <w:outlineLvl w:val="3"/>
              <w:rPr>
                <w:rFonts w:eastAsia="Times New Roman"/>
                <w:b/>
                <w:bCs/>
                <w:color w:val="0000FF"/>
                <w:szCs w:val="28"/>
              </w:rPr>
            </w:pPr>
            <w:r w:rsidRPr="00A23740">
              <w:rPr>
                <w:rFonts w:eastAsia="Times New Roman"/>
                <w:b/>
                <w:bCs/>
                <w:color w:val="0000FF"/>
                <w:szCs w:val="28"/>
              </w:rPr>
              <w:t>DÖRDÜNCÜ AYRIM</w:t>
            </w:r>
          </w:p>
          <w:p w:rsidR="00AA5C8C" w:rsidRPr="00A23740" w:rsidRDefault="00AA5C8C" w:rsidP="009431FF">
            <w:pPr>
              <w:keepNext/>
              <w:jc w:val="center"/>
              <w:outlineLvl w:val="3"/>
              <w:rPr>
                <w:rFonts w:eastAsia="Times New Roman"/>
                <w:b/>
                <w:bCs/>
                <w:color w:val="0000FF"/>
                <w:szCs w:val="28"/>
              </w:rPr>
            </w:pPr>
            <w:r w:rsidRPr="00A23740">
              <w:rPr>
                <w:rFonts w:eastAsia="Times New Roman"/>
                <w:b/>
                <w:bCs/>
                <w:color w:val="0000FF"/>
                <w:szCs w:val="28"/>
              </w:rPr>
              <w:t>Taşınmaz Kiralarında Hapis Hakkının Korunması</w:t>
            </w:r>
          </w:p>
          <w:p w:rsidR="00AA5C8C" w:rsidRPr="00A23740" w:rsidRDefault="00AA5C8C" w:rsidP="009431FF">
            <w:pPr>
              <w:tabs>
                <w:tab w:val="left" w:pos="567"/>
              </w:tabs>
              <w:rPr>
                <w:b/>
                <w:color w:val="FF0000"/>
                <w:szCs w:val="24"/>
              </w:rPr>
            </w:pPr>
          </w:p>
          <w:p w:rsidR="00AA5C8C" w:rsidRPr="00A23740" w:rsidRDefault="00AA5C8C" w:rsidP="009431FF">
            <w:pPr>
              <w:tabs>
                <w:tab w:val="left" w:pos="567"/>
              </w:tabs>
              <w:rPr>
                <w:b/>
                <w:szCs w:val="24"/>
              </w:rPr>
            </w:pPr>
            <w:r w:rsidRPr="00A23740">
              <w:rPr>
                <w:b/>
                <w:szCs w:val="24"/>
              </w:rPr>
              <w:t xml:space="preserve">Hapis hakkı için defter </w:t>
            </w:r>
            <w:r w:rsidRPr="00A23740">
              <w:rPr>
                <w:b/>
                <w:bCs/>
                <w:color w:val="0000FF"/>
                <w:szCs w:val="24"/>
                <w:lang w:val="x-none" w:eastAsia="x-none"/>
              </w:rPr>
              <w:t>tutulması</w:t>
            </w:r>
          </w:p>
          <w:p w:rsidR="00AA5C8C" w:rsidRPr="00A23740" w:rsidRDefault="00AA5C8C" w:rsidP="009431FF">
            <w:pPr>
              <w:tabs>
                <w:tab w:val="left" w:pos="567"/>
              </w:tabs>
              <w:rPr>
                <w:rFonts w:eastAsia="Times New Roman"/>
                <w:b/>
                <w:color w:val="0000FF"/>
                <w:szCs w:val="24"/>
                <w:lang w:eastAsia="tr-TR"/>
              </w:rPr>
            </w:pPr>
            <w:r w:rsidRPr="00A23740">
              <w:rPr>
                <w:b/>
                <w:bCs/>
                <w:color w:val="0000FF"/>
                <w:szCs w:val="24"/>
                <w:lang w:val="x-none" w:eastAsia="x-none"/>
              </w:rPr>
              <w:t xml:space="preserve">MADDE </w:t>
            </w:r>
            <w:r w:rsidR="009D57E1" w:rsidRPr="00A23740">
              <w:rPr>
                <w:b/>
                <w:bCs/>
                <w:color w:val="0000FF"/>
                <w:szCs w:val="24"/>
                <w:lang w:eastAsia="x-none"/>
              </w:rPr>
              <w:t>151</w:t>
            </w:r>
            <w:r w:rsidRPr="00A23740">
              <w:rPr>
                <w:b/>
                <w:bCs/>
                <w:color w:val="0000FF"/>
                <w:szCs w:val="24"/>
                <w:lang w:val="x-none" w:eastAsia="x-none"/>
              </w:rPr>
              <w:t>- (1)</w:t>
            </w:r>
            <w:r w:rsidRPr="00A23740">
              <w:rPr>
                <w:szCs w:val="24"/>
              </w:rPr>
              <w:t xml:space="preserve"> Kira</w:t>
            </w:r>
            <w:r w:rsidRPr="00A23740">
              <w:rPr>
                <w:b/>
                <w:bCs/>
                <w:color w:val="0000FF"/>
                <w:szCs w:val="24"/>
                <w:lang w:val="x-none" w:eastAsia="x-none"/>
              </w:rPr>
              <w:t>ya</w:t>
            </w:r>
            <w:r w:rsidRPr="00A23740">
              <w:rPr>
                <w:szCs w:val="24"/>
              </w:rPr>
              <w:t xml:space="preserve"> </w:t>
            </w:r>
            <w:r w:rsidRPr="00A23740">
              <w:rPr>
                <w:rStyle w:val="MaviChar"/>
              </w:rPr>
              <w:t>veren, kira bedeli hakkında daha önce</w:t>
            </w:r>
            <w:r w:rsidRPr="00A23740">
              <w:rPr>
                <w:szCs w:val="24"/>
              </w:rPr>
              <w:t xml:space="preserve"> icra takibi </w:t>
            </w:r>
            <w:r w:rsidRPr="00A23740">
              <w:rPr>
                <w:rStyle w:val="MaviChar"/>
              </w:rPr>
              <w:t>yapmamış olsa bile,</w:t>
            </w:r>
            <w:r w:rsidRPr="00A23740">
              <w:rPr>
                <w:szCs w:val="24"/>
              </w:rPr>
              <w:t xml:space="preserve"> </w:t>
            </w:r>
            <w:r w:rsidR="00BC0573" w:rsidRPr="00A23740">
              <w:rPr>
                <w:rStyle w:val="MaviChar"/>
              </w:rPr>
              <w:t>sahip</w:t>
            </w:r>
            <w:r w:rsidRPr="00A23740">
              <w:rPr>
                <w:szCs w:val="24"/>
              </w:rPr>
              <w:t xml:space="preserve"> olduğu hapis hakkının </w:t>
            </w:r>
            <w:r w:rsidRPr="00A23740">
              <w:rPr>
                <w:b/>
                <w:bCs/>
                <w:color w:val="0000FF"/>
                <w:szCs w:val="24"/>
                <w:lang w:val="x-none" w:eastAsia="x-none"/>
              </w:rPr>
              <w:t>geçici olarak korunması</w:t>
            </w:r>
            <w:r w:rsidRPr="00A23740">
              <w:rPr>
                <w:szCs w:val="24"/>
              </w:rPr>
              <w:t xml:space="preserve"> için </w:t>
            </w:r>
            <w:r w:rsidRPr="00A23740">
              <w:rPr>
                <w:b/>
                <w:bCs/>
                <w:color w:val="0000FF"/>
                <w:szCs w:val="24"/>
                <w:lang w:val="x-none" w:eastAsia="x-none"/>
              </w:rPr>
              <w:t>sulh hukuk mahkemesinden talepte bulunabilir. Kiraya veren</w:t>
            </w:r>
            <w:r w:rsidR="00BC0573" w:rsidRPr="00A23740">
              <w:rPr>
                <w:b/>
                <w:bCs/>
                <w:color w:val="0000FF"/>
                <w:szCs w:val="24"/>
                <w:lang w:eastAsia="x-none"/>
              </w:rPr>
              <w:t>,</w:t>
            </w:r>
            <w:r w:rsidRPr="00A23740">
              <w:rPr>
                <w:b/>
                <w:bCs/>
                <w:color w:val="0000FF"/>
                <w:szCs w:val="24"/>
                <w:lang w:val="x-none" w:eastAsia="x-none"/>
              </w:rPr>
              <w:t xml:space="preserve"> kira alacağının varlığını ve kiracının kira</w:t>
            </w:r>
            <w:r w:rsidRPr="00A23740">
              <w:rPr>
                <w:b/>
                <w:bCs/>
                <w:color w:val="0000FF"/>
                <w:szCs w:val="24"/>
                <w:lang w:eastAsia="x-none"/>
              </w:rPr>
              <w:t xml:space="preserve"> </w:t>
            </w:r>
            <w:r w:rsidRPr="00A23740">
              <w:rPr>
                <w:rStyle w:val="MaviChar"/>
              </w:rPr>
              <w:t>bedelini</w:t>
            </w:r>
            <w:r w:rsidRPr="00A23740">
              <w:rPr>
                <w:b/>
                <w:bCs/>
                <w:color w:val="0000FF"/>
                <w:szCs w:val="24"/>
                <w:lang w:val="x-none" w:eastAsia="x-none"/>
              </w:rPr>
              <w:t xml:space="preserve"> ödemekte temerrüde düştüğünü yaklaşık olarak </w:t>
            </w:r>
            <w:r w:rsidR="00BC0573" w:rsidRPr="00A23740">
              <w:rPr>
                <w:b/>
                <w:bCs/>
                <w:color w:val="0000FF"/>
                <w:szCs w:val="24"/>
                <w:lang w:val="x-none" w:eastAsia="x-none"/>
              </w:rPr>
              <w:t>ispat etmelidir. Mahkemenin</w:t>
            </w:r>
            <w:r w:rsidRPr="00A23740">
              <w:rPr>
                <w:b/>
                <w:bCs/>
                <w:color w:val="0000FF"/>
                <w:szCs w:val="24"/>
                <w:lang w:val="x-none" w:eastAsia="x-none"/>
              </w:rPr>
              <w:t xml:space="preserve"> hapis hakkının geçici olarak korunması kararı vermesi h</w:t>
            </w:r>
            <w:r w:rsidR="00E54A6B" w:rsidRPr="00A23740">
              <w:rPr>
                <w:b/>
                <w:bCs/>
                <w:color w:val="0000FF"/>
                <w:szCs w:val="24"/>
                <w:lang w:eastAsia="x-none"/>
              </w:rPr>
              <w:t>â</w:t>
            </w:r>
            <w:r w:rsidRPr="00A23740">
              <w:rPr>
                <w:b/>
                <w:bCs/>
                <w:color w:val="0000FF"/>
                <w:szCs w:val="24"/>
                <w:lang w:val="x-none" w:eastAsia="x-none"/>
              </w:rPr>
              <w:t>linde</w:t>
            </w:r>
            <w:r w:rsidR="00BC0573" w:rsidRPr="00A23740">
              <w:rPr>
                <w:b/>
                <w:bCs/>
                <w:color w:val="0000FF"/>
                <w:szCs w:val="24"/>
                <w:lang w:eastAsia="x-none"/>
              </w:rPr>
              <w:t>,</w:t>
            </w:r>
            <w:r w:rsidRPr="00A23740">
              <w:rPr>
                <w:b/>
                <w:bCs/>
                <w:color w:val="0000FF"/>
                <w:szCs w:val="24"/>
                <w:lang w:val="x-none" w:eastAsia="x-none"/>
              </w:rPr>
              <w:t xml:space="preserve"> kiraya veren bu kararın icrası için bir hafta içinde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dairesine başvurmak zorundadır.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(2)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 üzerinde hapis hakkı bulunan haczi kabil eşyanın bir defterini tutar. Kanunun</w:t>
            </w:r>
            <w:r w:rsidR="0086232D" w:rsidRPr="00A23740">
              <w:rPr>
                <w:b/>
                <w:bCs/>
                <w:color w:val="0000FF"/>
                <w:szCs w:val="24"/>
                <w:lang w:eastAsia="x-none"/>
              </w:rPr>
              <w:t xml:space="preserve"> </w:t>
            </w:r>
            <w:r w:rsidR="0086232D" w:rsidRPr="00363170">
              <w:rPr>
                <w:rStyle w:val="KonuBalChar"/>
                <w:rFonts w:eastAsia="Calibri"/>
                <w:color w:val="0000FF"/>
              </w:rPr>
              <w:t>168</w:t>
            </w:r>
            <w:r w:rsidRPr="00A23740">
              <w:rPr>
                <w:b/>
                <w:bCs/>
                <w:color w:val="0000FF"/>
                <w:szCs w:val="24"/>
                <w:lang w:eastAsia="x-none"/>
              </w:rPr>
              <w:t xml:space="preserve"> </w:t>
            </w:r>
            <w:r w:rsidRPr="00A23740">
              <w:rPr>
                <w:b/>
                <w:bCs/>
                <w:color w:val="0000FF"/>
                <w:szCs w:val="24"/>
                <w:lang w:val="x-none" w:eastAsia="x-none"/>
              </w:rPr>
              <w:t>ve</w:t>
            </w:r>
            <w:r w:rsidR="0086232D" w:rsidRPr="00A23740">
              <w:rPr>
                <w:b/>
                <w:bCs/>
                <w:color w:val="0000FF"/>
                <w:szCs w:val="24"/>
                <w:lang w:eastAsia="x-none"/>
              </w:rPr>
              <w:t xml:space="preserve"> </w:t>
            </w:r>
            <w:r w:rsidR="0086232D" w:rsidRPr="00363170">
              <w:rPr>
                <w:rStyle w:val="KonuBalChar"/>
                <w:rFonts w:eastAsia="Calibri"/>
                <w:color w:val="0000FF"/>
              </w:rPr>
              <w:t>169</w:t>
            </w:r>
            <w:r w:rsidRPr="00A23740">
              <w:rPr>
                <w:b/>
                <w:bCs/>
                <w:color w:val="0000FF"/>
                <w:szCs w:val="24"/>
                <w:lang w:eastAsia="x-none"/>
              </w:rPr>
              <w:t xml:space="preserve"> </w:t>
            </w:r>
            <w:r w:rsidRPr="00A23740">
              <w:rPr>
                <w:b/>
                <w:bCs/>
                <w:color w:val="0000FF"/>
                <w:szCs w:val="24"/>
                <w:lang w:val="x-none" w:eastAsia="x-none"/>
              </w:rPr>
              <w:t>madde</w:t>
            </w:r>
            <w:r w:rsidR="001768CC" w:rsidRPr="00A23740">
              <w:rPr>
                <w:b/>
                <w:bCs/>
                <w:color w:val="0000FF"/>
                <w:szCs w:val="24"/>
                <w:lang w:eastAsia="x-none"/>
              </w:rPr>
              <w:t>leri</w:t>
            </w:r>
            <w:r w:rsidRPr="00A23740">
              <w:rPr>
                <w:b/>
                <w:bCs/>
                <w:color w:val="0000FF"/>
                <w:szCs w:val="24"/>
                <w:lang w:val="x-none" w:eastAsia="x-none"/>
              </w:rPr>
              <w:t xml:space="preserve"> </w:t>
            </w:r>
            <w:r w:rsidR="00E676D6" w:rsidRPr="00A23740">
              <w:rPr>
                <w:b/>
                <w:bCs/>
                <w:color w:val="0000FF"/>
                <w:szCs w:val="24"/>
                <w:lang w:val="x-none" w:eastAsia="x-none"/>
              </w:rPr>
              <w:t>bu h</w:t>
            </w:r>
            <w:r w:rsidR="00E676D6" w:rsidRPr="00A23740">
              <w:rPr>
                <w:b/>
                <w:bCs/>
                <w:color w:val="0000FF"/>
                <w:szCs w:val="24"/>
                <w:lang w:eastAsia="x-none"/>
              </w:rPr>
              <w:t>â</w:t>
            </w:r>
            <w:r w:rsidRPr="00A23740">
              <w:rPr>
                <w:b/>
                <w:bCs/>
                <w:color w:val="0000FF"/>
                <w:szCs w:val="24"/>
                <w:lang w:val="x-none" w:eastAsia="x-none"/>
              </w:rPr>
              <w:t>lde de kıyasen uygulanır.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(3) Kira</w:t>
            </w:r>
            <w:r w:rsidR="00BC0573" w:rsidRPr="00A23740">
              <w:rPr>
                <w:b/>
                <w:bCs/>
                <w:color w:val="0000FF"/>
                <w:szCs w:val="24"/>
                <w:lang w:eastAsia="x-none"/>
              </w:rPr>
              <w:t>ya veren</w:t>
            </w:r>
            <w:r w:rsidRPr="00A23740">
              <w:rPr>
                <w:rStyle w:val="MaviChar"/>
              </w:rPr>
              <w:t>,</w:t>
            </w:r>
            <w:r w:rsidRPr="00A23740">
              <w:rPr>
                <w:b/>
                <w:bCs/>
                <w:color w:val="0000FF"/>
                <w:szCs w:val="24"/>
                <w:lang w:val="x-none" w:eastAsia="x-none"/>
              </w:rPr>
              <w:t xml:space="preserve"> defterin tutulmasından itibaren iki hafta içinde taşınır rehninin paraya çevrilmesi yoluyla takip talebinde bulunmak zorundadır.</w:t>
            </w:r>
            <w:r w:rsidR="00E676D6" w:rsidRPr="00A23740">
              <w:rPr>
                <w:b/>
                <w:bCs/>
                <w:color w:val="0000FF"/>
                <w:szCs w:val="24"/>
                <w:lang w:val="x-none" w:eastAsia="x-none"/>
              </w:rPr>
              <w:t xml:space="preserve"> Ödeme emrine itiraz olunması h</w:t>
            </w:r>
            <w:r w:rsidR="00E676D6" w:rsidRPr="00A23740">
              <w:rPr>
                <w:b/>
                <w:bCs/>
                <w:color w:val="0000FF"/>
                <w:szCs w:val="24"/>
                <w:lang w:eastAsia="x-none"/>
              </w:rPr>
              <w:t>â</w:t>
            </w:r>
            <w:r w:rsidRPr="00A23740">
              <w:rPr>
                <w:b/>
                <w:bCs/>
                <w:color w:val="0000FF"/>
                <w:szCs w:val="24"/>
                <w:lang w:val="x-none" w:eastAsia="x-none"/>
              </w:rPr>
              <w:t>linde itirazın hükümden düşürülmesi konusunda</w:t>
            </w:r>
            <w:r w:rsidR="00031175" w:rsidRPr="00A23740">
              <w:rPr>
                <w:b/>
                <w:bCs/>
                <w:color w:val="0000FF"/>
                <w:szCs w:val="24"/>
                <w:lang w:eastAsia="x-none"/>
              </w:rPr>
              <w:t xml:space="preserve"> </w:t>
            </w:r>
            <w:r w:rsidR="00031175" w:rsidRPr="00363170">
              <w:rPr>
                <w:rStyle w:val="KonuBalChar"/>
                <w:rFonts w:eastAsia="Calibri"/>
                <w:color w:val="0000FF"/>
              </w:rPr>
              <w:t>459</w:t>
            </w:r>
            <w:r w:rsidRPr="00A23740">
              <w:rPr>
                <w:b/>
                <w:bCs/>
                <w:color w:val="0000FF"/>
                <w:szCs w:val="24"/>
                <w:lang w:eastAsia="x-none"/>
              </w:rPr>
              <w:t xml:space="preserve"> </w:t>
            </w:r>
            <w:r w:rsidRPr="00A23740">
              <w:rPr>
                <w:rStyle w:val="MaviChar"/>
              </w:rPr>
              <w:t>maddenin</w:t>
            </w:r>
            <w:r w:rsidRPr="00A23740">
              <w:rPr>
                <w:b/>
                <w:bCs/>
                <w:color w:val="0000FF"/>
                <w:szCs w:val="24"/>
                <w:lang w:val="x-none" w:eastAsia="x-none"/>
              </w:rPr>
              <w:t xml:space="preserve"> ihtiyati haczi tamamlayan işlemler </w:t>
            </w:r>
            <w:r w:rsidRPr="00A23740">
              <w:rPr>
                <w:b/>
                <w:color w:val="0000FF"/>
                <w:szCs w:val="24"/>
                <w:lang w:val="x-none" w:eastAsia="x-none"/>
              </w:rPr>
              <w:t xml:space="preserve">hakkındaki </w:t>
            </w:r>
            <w:r w:rsidRPr="00A23740">
              <w:rPr>
                <w:b/>
                <w:bCs/>
                <w:color w:val="0000FF"/>
                <w:szCs w:val="24"/>
                <w:lang w:val="x-none" w:eastAsia="x-none"/>
              </w:rPr>
              <w:t>süreler</w:t>
            </w:r>
            <w:r w:rsidRPr="00A23740">
              <w:rPr>
                <w:rStyle w:val="MaviChar"/>
              </w:rPr>
              <w:t>i</w:t>
            </w:r>
            <w:r w:rsidRPr="00A23740">
              <w:rPr>
                <w:b/>
                <w:bCs/>
                <w:color w:val="0000FF"/>
                <w:szCs w:val="24"/>
                <w:lang w:val="x-none" w:eastAsia="x-none"/>
              </w:rPr>
              <w:t xml:space="preserve"> uygulanır.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(4) Kiraya verenin süresi içinde hapis hakkının geçici olarak korunması kararının icrasını talep etmemesi veya takip yapmaması h</w:t>
            </w:r>
            <w:r w:rsidR="00E54A6B" w:rsidRPr="00A23740">
              <w:rPr>
                <w:b/>
                <w:bCs/>
                <w:color w:val="0000FF"/>
                <w:szCs w:val="24"/>
                <w:lang w:eastAsia="x-none"/>
              </w:rPr>
              <w:t>â</w:t>
            </w:r>
            <w:r w:rsidRPr="00A23740">
              <w:rPr>
                <w:b/>
                <w:bCs/>
                <w:color w:val="0000FF"/>
                <w:szCs w:val="24"/>
                <w:lang w:val="x-none" w:eastAsia="x-none"/>
              </w:rPr>
              <w:t xml:space="preserve">linde hapis </w:t>
            </w:r>
            <w:r w:rsidRPr="00A23740">
              <w:rPr>
                <w:rStyle w:val="MaviChar"/>
              </w:rPr>
              <w:t>hakkına ilişkin</w:t>
            </w:r>
            <w:r w:rsidRPr="00A23740">
              <w:rPr>
                <w:b/>
                <w:bCs/>
                <w:color w:val="0000FF"/>
                <w:szCs w:val="24"/>
                <w:lang w:val="x-none" w:eastAsia="x-none"/>
              </w:rPr>
              <w:t xml:space="preserve"> defter hükümsüz kalır.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 xml:space="preserve">(5) Hapis hakkı için defter tutulduktan sonra </w:t>
            </w:r>
            <w:r w:rsidR="001768CC" w:rsidRPr="00A23740">
              <w:rPr>
                <w:b/>
                <w:bCs/>
                <w:color w:val="0000FF"/>
                <w:szCs w:val="24"/>
                <w:lang w:eastAsia="x-none"/>
              </w:rPr>
              <w:t>kiraya verenin</w:t>
            </w:r>
            <w:r w:rsidRPr="00A23740">
              <w:rPr>
                <w:b/>
                <w:bCs/>
                <w:color w:val="0000FF"/>
                <w:szCs w:val="24"/>
                <w:lang w:val="x-none" w:eastAsia="x-none"/>
              </w:rPr>
              <w:t xml:space="preserve"> hapis hakkıyla güvence altına alınan alacağı,</w:t>
            </w:r>
            <w:r w:rsidR="00031175" w:rsidRPr="00A23740">
              <w:rPr>
                <w:b/>
                <w:bCs/>
                <w:color w:val="0000FF"/>
                <w:szCs w:val="24"/>
                <w:lang w:eastAsia="x-none"/>
              </w:rPr>
              <w:t xml:space="preserve"> </w:t>
            </w:r>
            <w:r w:rsidR="00031175" w:rsidRPr="00363170">
              <w:rPr>
                <w:rStyle w:val="KonuBalChar"/>
                <w:rFonts w:eastAsia="Calibri"/>
                <w:color w:val="0000FF"/>
              </w:rPr>
              <w:t>246 ncı</w:t>
            </w:r>
            <w:r w:rsidRPr="00A23740">
              <w:rPr>
                <w:b/>
                <w:bCs/>
                <w:color w:val="0000FF"/>
                <w:szCs w:val="24"/>
                <w:lang w:eastAsia="x-none"/>
              </w:rPr>
              <w:t xml:space="preserve"> </w:t>
            </w:r>
            <w:r w:rsidRPr="00A23740">
              <w:rPr>
                <w:b/>
                <w:bCs/>
                <w:color w:val="0000FF"/>
                <w:szCs w:val="24"/>
                <w:lang w:val="x-none" w:eastAsia="x-none"/>
              </w:rPr>
              <w:t>maddedeki asgari ihale bedelinin belirlenmesi ve</w:t>
            </w:r>
            <w:r w:rsidR="00031175" w:rsidRPr="00A23740">
              <w:rPr>
                <w:b/>
                <w:bCs/>
                <w:color w:val="0000FF"/>
                <w:szCs w:val="24"/>
                <w:lang w:eastAsia="x-none"/>
              </w:rPr>
              <w:t xml:space="preserve"> </w:t>
            </w:r>
            <w:r w:rsidR="00031175" w:rsidRPr="00363170">
              <w:rPr>
                <w:rStyle w:val="KonuBalChar"/>
                <w:rFonts w:eastAsia="Calibri"/>
                <w:color w:val="0000FF"/>
              </w:rPr>
              <w:t>259 uncu</w:t>
            </w:r>
            <w:r w:rsidRPr="00A23740">
              <w:rPr>
                <w:b/>
                <w:bCs/>
                <w:color w:val="0000FF"/>
                <w:szCs w:val="24"/>
                <w:lang w:val="x-none" w:eastAsia="x-none"/>
              </w:rPr>
              <w:t xml:space="preserve"> maddenin ikinci fıkrası bakımından rüçhanlı alacak sayılır.</w:t>
            </w:r>
          </w:p>
          <w:p w:rsidR="00E9676E" w:rsidRPr="00A23740" w:rsidRDefault="00E9676E" w:rsidP="009431FF">
            <w:pPr>
              <w:outlineLvl w:val="1"/>
              <w:rPr>
                <w:rFonts w:eastAsia="Times New Roman"/>
                <w:b/>
                <w:color w:val="FF0000"/>
                <w:szCs w:val="24"/>
                <w:lang w:val="x-none" w:eastAsia="x-none"/>
              </w:rPr>
            </w:pPr>
          </w:p>
        </w:tc>
      </w:tr>
      <w:tr w:rsidR="00E55B0A" w:rsidRPr="00A23740" w:rsidTr="009431FF">
        <w:tc>
          <w:tcPr>
            <w:tcW w:w="5000" w:type="pct"/>
            <w:gridSpan w:val="2"/>
            <w:shd w:val="clear" w:color="auto" w:fill="DEEAF6"/>
          </w:tcPr>
          <w:p w:rsidR="007F2779" w:rsidRPr="00A23740" w:rsidRDefault="007F2779" w:rsidP="009431FF">
            <w:pPr>
              <w:tabs>
                <w:tab w:val="left" w:pos="567"/>
              </w:tabs>
              <w:ind w:firstLine="709"/>
              <w:rPr>
                <w:szCs w:val="24"/>
              </w:rPr>
            </w:pPr>
          </w:p>
          <w:p w:rsidR="007F2779" w:rsidRPr="00A23740" w:rsidRDefault="007F2779" w:rsidP="009431FF">
            <w:pPr>
              <w:tabs>
                <w:tab w:val="left" w:pos="567"/>
              </w:tabs>
              <w:ind w:firstLine="709"/>
              <w:rPr>
                <w:szCs w:val="24"/>
              </w:rPr>
            </w:pPr>
            <w:r w:rsidRPr="00A23740">
              <w:rPr>
                <w:b/>
                <w:szCs w:val="24"/>
              </w:rPr>
              <w:t xml:space="preserve">MADDE </w:t>
            </w:r>
            <w:r w:rsidR="009D57E1" w:rsidRPr="00A23740">
              <w:rPr>
                <w:b/>
                <w:szCs w:val="24"/>
              </w:rPr>
              <w:t>151</w:t>
            </w:r>
            <w:r w:rsidRPr="00A23740">
              <w:rPr>
                <w:b/>
                <w:szCs w:val="24"/>
              </w:rPr>
              <w:t>-</w:t>
            </w:r>
            <w:r w:rsidRPr="00A23740">
              <w:rPr>
                <w:szCs w:val="24"/>
              </w:rPr>
              <w:t xml:space="preserve"> </w:t>
            </w:r>
            <w:r w:rsidR="00E9676E" w:rsidRPr="00A23740">
              <w:rPr>
                <w:szCs w:val="24"/>
              </w:rPr>
              <w:t xml:space="preserve">Maddeyle, taşınmaz kiralarında hapis hakkının korunması amacıyla hapis hakkı için defter tutulması hususu düzenlenmektedir. Hüküm, 2004 sayılı Kanunun </w:t>
            </w:r>
            <w:r w:rsidRPr="00A23740">
              <w:rPr>
                <w:szCs w:val="24"/>
              </w:rPr>
              <w:t>270 inci maddesine karşılık gelmektedir.</w:t>
            </w:r>
          </w:p>
          <w:p w:rsidR="007F2779" w:rsidRPr="00A23740" w:rsidRDefault="007B5DC7" w:rsidP="009431FF">
            <w:pPr>
              <w:tabs>
                <w:tab w:val="left" w:pos="567"/>
              </w:tabs>
              <w:ind w:firstLine="709"/>
              <w:rPr>
                <w:szCs w:val="24"/>
              </w:rPr>
            </w:pPr>
            <w:r w:rsidRPr="00A23740">
              <w:t xml:space="preserve">2004 sayılı Kanunun </w:t>
            </w:r>
            <w:r w:rsidR="000E3F90" w:rsidRPr="00363170">
              <w:rPr>
                <w:bCs/>
              </w:rPr>
              <w:t>Kiraya verenin</w:t>
            </w:r>
            <w:r w:rsidR="000E3F90" w:rsidRPr="00363170">
              <w:t xml:space="preserve"> </w:t>
            </w:r>
            <w:r w:rsidR="007F2779" w:rsidRPr="00363170">
              <w:t>hapis</w:t>
            </w:r>
            <w:r w:rsidR="007F2779" w:rsidRPr="00A23740">
              <w:rPr>
                <w:szCs w:val="24"/>
              </w:rPr>
              <w:t xml:space="preserve"> hakkının korunmasına ilişkin hüküm</w:t>
            </w:r>
            <w:r w:rsidR="00E9676E" w:rsidRPr="00A23740">
              <w:rPr>
                <w:szCs w:val="24"/>
              </w:rPr>
              <w:t>leri</w:t>
            </w:r>
            <w:r w:rsidR="00CE7F9A" w:rsidRPr="00A23740">
              <w:rPr>
                <w:szCs w:val="24"/>
              </w:rPr>
              <w:t>,</w:t>
            </w:r>
            <w:r w:rsidR="00E9676E" w:rsidRPr="00A23740">
              <w:rPr>
                <w:szCs w:val="24"/>
              </w:rPr>
              <w:t xml:space="preserve"> </w:t>
            </w:r>
            <w:r w:rsidR="006F16CF" w:rsidRPr="00363170">
              <w:rPr>
                <w:bCs/>
              </w:rPr>
              <w:t>6098 sayılı Kanunun</w:t>
            </w:r>
            <w:r w:rsidR="00E9676E" w:rsidRPr="00A23740">
              <w:rPr>
                <w:b/>
                <w:szCs w:val="24"/>
              </w:rPr>
              <w:t xml:space="preserve"> </w:t>
            </w:r>
            <w:r w:rsidR="00E9676E" w:rsidRPr="00A23740">
              <w:rPr>
                <w:szCs w:val="24"/>
              </w:rPr>
              <w:t xml:space="preserve">336 ve </w:t>
            </w:r>
            <w:r w:rsidR="007F2779" w:rsidRPr="00A23740">
              <w:rPr>
                <w:szCs w:val="24"/>
              </w:rPr>
              <w:t xml:space="preserve">338 inci maddelerinin ne şekilde uygulanacağını göstermesi bakımından </w:t>
            </w:r>
            <w:r w:rsidR="006F16CF" w:rsidRPr="00363170">
              <w:t>6098</w:t>
            </w:r>
            <w:r w:rsidR="006F16CF" w:rsidRPr="00A23740">
              <w:rPr>
                <w:rStyle w:val="KonuBalChar"/>
                <w:rFonts w:eastAsia="Calibri"/>
              </w:rPr>
              <w:t xml:space="preserve"> </w:t>
            </w:r>
            <w:r w:rsidR="006F16CF" w:rsidRPr="00363170">
              <w:t>sayılı</w:t>
            </w:r>
            <w:r w:rsidR="006F16CF" w:rsidRPr="00363170">
              <w:rPr>
                <w:b/>
                <w:bCs/>
              </w:rPr>
              <w:t xml:space="preserve"> </w:t>
            </w:r>
            <w:r w:rsidR="006F16CF" w:rsidRPr="00363170">
              <w:t>Kanun</w:t>
            </w:r>
            <w:r w:rsidR="00CE7F9A" w:rsidRPr="00363170">
              <w:t xml:space="preserve"> </w:t>
            </w:r>
            <w:r w:rsidR="007F2779" w:rsidRPr="00363170">
              <w:t>hükümlerini</w:t>
            </w:r>
            <w:r w:rsidR="007F2779" w:rsidRPr="00A23740">
              <w:rPr>
                <w:szCs w:val="24"/>
              </w:rPr>
              <w:t xml:space="preserve"> tamamlayıcı bir işlev görmektedir. </w:t>
            </w:r>
            <w:r w:rsidR="00D3592E" w:rsidRPr="00A23740">
              <w:rPr>
                <w:szCs w:val="24"/>
              </w:rPr>
              <w:t>Kiraya verenin</w:t>
            </w:r>
            <w:r w:rsidR="007F2779" w:rsidRPr="00A23740">
              <w:rPr>
                <w:szCs w:val="24"/>
              </w:rPr>
              <w:t xml:space="preserve"> hapis hakkı, hapis hakkına konu mallar borçlunun (kiracının) elinde bulunduğundan diğer mallar üzerindeki hapis hakkından farklı bir cebr</w:t>
            </w:r>
            <w:r w:rsidR="00436506" w:rsidRPr="00A23740">
              <w:rPr>
                <w:szCs w:val="24"/>
              </w:rPr>
              <w:t>î</w:t>
            </w:r>
            <w:r w:rsidR="007F2779" w:rsidRPr="00A23740">
              <w:rPr>
                <w:szCs w:val="24"/>
              </w:rPr>
              <w:t xml:space="preserve"> icra düzenlemesine ihtiyaç göstermektedir. Bu ihtiyaç rehnin paraya çevrilmesi yoluyla takip yapmadan evvel rehnin kapsamında dahil olan malların hangi mallar olduğunun tespiti ve bu malların elden çıkartılmasının önlenmesi için bir geçici hukuki koruma düzenlemesini gerekli h</w:t>
            </w:r>
            <w:r w:rsidR="00E54A6B" w:rsidRPr="00A23740">
              <w:rPr>
                <w:szCs w:val="24"/>
              </w:rPr>
              <w:t>â</w:t>
            </w:r>
            <w:r w:rsidR="007F2779" w:rsidRPr="00A23740">
              <w:rPr>
                <w:szCs w:val="24"/>
              </w:rPr>
              <w:t xml:space="preserve">le getirmektedir. </w:t>
            </w:r>
          </w:p>
          <w:p w:rsidR="007F2779" w:rsidRPr="00A23740" w:rsidRDefault="007F2779" w:rsidP="009431FF">
            <w:pPr>
              <w:tabs>
                <w:tab w:val="left" w:pos="567"/>
              </w:tabs>
              <w:ind w:firstLine="709"/>
              <w:rPr>
                <w:szCs w:val="24"/>
              </w:rPr>
            </w:pPr>
            <w:r w:rsidRPr="00A23740">
              <w:rPr>
                <w:szCs w:val="24"/>
              </w:rPr>
              <w:t>İsviçre Borçlar Kanununda 1989 yılında kira ve hasılat kirası hakkındaki hükümler değişikliğe tabi tutulmuştur. Bu değişiklik kapsamında kiraya verenin hapis hakkı</w:t>
            </w:r>
            <w:r w:rsidR="007B5DC7" w:rsidRPr="00A23740">
              <w:rPr>
                <w:szCs w:val="24"/>
              </w:rPr>
              <w:t>yla</w:t>
            </w:r>
            <w:r w:rsidRPr="00A23740">
              <w:rPr>
                <w:szCs w:val="24"/>
              </w:rPr>
              <w:t xml:space="preserve"> ilgili </w:t>
            </w:r>
            <w:r w:rsidR="006F16CF" w:rsidRPr="00363170">
              <w:rPr>
                <w:bCs/>
              </w:rPr>
              <w:t>mülga 818 sayılı Borçlar Kanununun</w:t>
            </w:r>
            <w:r w:rsidR="00CE7F9A" w:rsidRPr="00363170">
              <w:t xml:space="preserve"> 267</w:t>
            </w:r>
            <w:r w:rsidR="00CE7F9A" w:rsidRPr="00A23740">
              <w:rPr>
                <w:szCs w:val="24"/>
              </w:rPr>
              <w:t xml:space="preserve"> ve 269 uncu</w:t>
            </w:r>
            <w:r w:rsidRPr="00A23740">
              <w:rPr>
                <w:szCs w:val="24"/>
              </w:rPr>
              <w:t xml:space="preserve"> maddelerinin mehazı olan İsviçre Borçlar Kanunu m.268 vd. hükümleri de değiştirilmiştir. İsviçre’de yapılan bu değişiklik yeni </w:t>
            </w:r>
            <w:r w:rsidR="006F16CF" w:rsidRPr="00363170">
              <w:rPr>
                <w:bCs/>
              </w:rPr>
              <w:t>6098 sayılı Kanuna</w:t>
            </w:r>
            <w:r w:rsidRPr="00A23740">
              <w:rPr>
                <w:b/>
                <w:szCs w:val="24"/>
              </w:rPr>
              <w:t xml:space="preserve"> </w:t>
            </w:r>
            <w:r w:rsidRPr="00A23740">
              <w:rPr>
                <w:szCs w:val="24"/>
              </w:rPr>
              <w:t xml:space="preserve">intikal etmemiş, </w:t>
            </w:r>
            <w:r w:rsidR="006F16CF" w:rsidRPr="00363170">
              <w:rPr>
                <w:bCs/>
              </w:rPr>
              <w:t>6098 sayılı Kanunun</w:t>
            </w:r>
            <w:r w:rsidRPr="00363170">
              <w:t xml:space="preserve"> 3</w:t>
            </w:r>
            <w:r w:rsidRPr="00A23740">
              <w:rPr>
                <w:szCs w:val="24"/>
              </w:rPr>
              <w:t>36</w:t>
            </w:r>
            <w:r w:rsidR="00CE7F9A" w:rsidRPr="00A23740">
              <w:rPr>
                <w:szCs w:val="24"/>
              </w:rPr>
              <w:t xml:space="preserve"> ve </w:t>
            </w:r>
            <w:r w:rsidRPr="00A23740">
              <w:rPr>
                <w:szCs w:val="24"/>
              </w:rPr>
              <w:t>338</w:t>
            </w:r>
            <w:r w:rsidR="00CE7F9A" w:rsidRPr="00A23740">
              <w:rPr>
                <w:szCs w:val="24"/>
              </w:rPr>
              <w:t xml:space="preserve"> inci</w:t>
            </w:r>
            <w:r w:rsidRPr="00A23740">
              <w:rPr>
                <w:szCs w:val="24"/>
              </w:rPr>
              <w:t xml:space="preserve"> maddeleri hazırlanırken esas olarak </w:t>
            </w:r>
            <w:r w:rsidR="006F16CF" w:rsidRPr="00363170">
              <w:rPr>
                <w:bCs/>
              </w:rPr>
              <w:t>mülga 818 sayılı Kanunun</w:t>
            </w:r>
            <w:r w:rsidR="006F16CF" w:rsidRPr="00363170">
              <w:t xml:space="preserve"> </w:t>
            </w:r>
            <w:r w:rsidRPr="00363170">
              <w:t>267</w:t>
            </w:r>
            <w:r w:rsidRPr="00A23740">
              <w:rPr>
                <w:szCs w:val="24"/>
              </w:rPr>
              <w:t xml:space="preserve"> ila 269</w:t>
            </w:r>
            <w:r w:rsidR="00CE7F9A" w:rsidRPr="00A23740">
              <w:rPr>
                <w:szCs w:val="24"/>
              </w:rPr>
              <w:t xml:space="preserve"> uncu</w:t>
            </w:r>
            <w:r w:rsidRPr="00A23740">
              <w:rPr>
                <w:szCs w:val="24"/>
              </w:rPr>
              <w:t xml:space="preserve"> maddelerinin dilinin sadeleştirilmesi</w:t>
            </w:r>
            <w:r w:rsidR="007B5DC7" w:rsidRPr="00A23740">
              <w:rPr>
                <w:szCs w:val="24"/>
              </w:rPr>
              <w:t>yle</w:t>
            </w:r>
            <w:r w:rsidRPr="00A23740">
              <w:rPr>
                <w:szCs w:val="24"/>
              </w:rPr>
              <w:t xml:space="preserve"> yetinilmiştir. Düzenleme</w:t>
            </w:r>
            <w:r w:rsidR="007B5DC7" w:rsidRPr="00A23740">
              <w:rPr>
                <w:szCs w:val="24"/>
              </w:rPr>
              <w:t>nin</w:t>
            </w:r>
            <w:r w:rsidRPr="00A23740">
              <w:rPr>
                <w:szCs w:val="24"/>
              </w:rPr>
              <w:t xml:space="preserve"> içeriğe ilişkin tek yenili</w:t>
            </w:r>
            <w:r w:rsidR="007B5DC7" w:rsidRPr="00A23740">
              <w:rPr>
                <w:szCs w:val="24"/>
              </w:rPr>
              <w:t>ği,</w:t>
            </w:r>
            <w:r w:rsidRPr="00A23740">
              <w:rPr>
                <w:szCs w:val="24"/>
              </w:rPr>
              <w:t xml:space="preserve"> </w:t>
            </w:r>
            <w:r w:rsidR="006F16CF" w:rsidRPr="00363170">
              <w:rPr>
                <w:bCs/>
              </w:rPr>
              <w:t>6098 sayılı Kanunun</w:t>
            </w:r>
            <w:r w:rsidR="006F16CF" w:rsidRPr="00A23740">
              <w:rPr>
                <w:szCs w:val="24"/>
              </w:rPr>
              <w:t xml:space="preserve"> </w:t>
            </w:r>
            <w:r w:rsidRPr="00A23740">
              <w:rPr>
                <w:szCs w:val="24"/>
              </w:rPr>
              <w:t>(</w:t>
            </w:r>
            <w:r w:rsidR="00CB4D3D" w:rsidRPr="00363170">
              <w:rPr>
                <w:bCs/>
              </w:rPr>
              <w:t>mülga 818</w:t>
            </w:r>
            <w:r w:rsidR="00CB4D3D" w:rsidRPr="00A23740">
              <w:rPr>
                <w:rStyle w:val="KonuBalChar"/>
                <w:rFonts w:eastAsia="Calibri"/>
                <w:b w:val="0"/>
              </w:rPr>
              <w:t xml:space="preserve"> </w:t>
            </w:r>
            <w:r w:rsidR="00CB4D3D" w:rsidRPr="00363170">
              <w:rPr>
                <w:bCs/>
              </w:rPr>
              <w:t>sayılı Kanunun</w:t>
            </w:r>
            <w:r w:rsidRPr="00A23740">
              <w:rPr>
                <w:b/>
                <w:szCs w:val="24"/>
              </w:rPr>
              <w:t xml:space="preserve"> </w:t>
            </w:r>
            <w:r w:rsidRPr="00A23740">
              <w:rPr>
                <w:szCs w:val="24"/>
              </w:rPr>
              <w:t>269</w:t>
            </w:r>
            <w:r w:rsidR="00CE7F9A" w:rsidRPr="00A23740">
              <w:rPr>
                <w:szCs w:val="24"/>
              </w:rPr>
              <w:t xml:space="preserve"> uncu</w:t>
            </w:r>
            <w:r w:rsidRPr="00A23740">
              <w:rPr>
                <w:szCs w:val="24"/>
              </w:rPr>
              <w:t xml:space="preserve"> maddesine tekabül eden) 338</w:t>
            </w:r>
            <w:r w:rsidR="00CE7F9A" w:rsidRPr="00A23740">
              <w:rPr>
                <w:szCs w:val="24"/>
              </w:rPr>
              <w:t xml:space="preserve"> inci</w:t>
            </w:r>
            <w:r w:rsidRPr="00A23740">
              <w:rPr>
                <w:szCs w:val="24"/>
              </w:rPr>
              <w:t xml:space="preserve"> maddesinde kiraya verenin kiracıya ait eşyayı alıkoyma hakkını kullanmak için sulh h</w:t>
            </w:r>
            <w:r w:rsidR="00407C95" w:rsidRPr="00A23740">
              <w:t>â</w:t>
            </w:r>
            <w:r w:rsidRPr="00A23740">
              <w:rPr>
                <w:szCs w:val="24"/>
              </w:rPr>
              <w:t xml:space="preserve">kimi yanında icra </w:t>
            </w:r>
            <w:r w:rsidR="007D74DD" w:rsidRPr="005F60FC">
              <w:t>ve iflas</w:t>
            </w:r>
            <w:r w:rsidR="007D74DD" w:rsidRPr="00A23740">
              <w:rPr>
                <w:b/>
                <w:color w:val="385623"/>
              </w:rPr>
              <w:t xml:space="preserve"> </w:t>
            </w:r>
            <w:r w:rsidRPr="00A23740">
              <w:rPr>
                <w:szCs w:val="24"/>
              </w:rPr>
              <w:t xml:space="preserve">müdürüne de </w:t>
            </w:r>
            <w:r w:rsidR="007B5DC7" w:rsidRPr="00A23740">
              <w:rPr>
                <w:szCs w:val="24"/>
              </w:rPr>
              <w:t xml:space="preserve">başvurabilmesini </w:t>
            </w:r>
            <w:r w:rsidRPr="00A23740">
              <w:rPr>
                <w:szCs w:val="24"/>
              </w:rPr>
              <w:t>öngö</w:t>
            </w:r>
            <w:r w:rsidR="00E9676E" w:rsidRPr="00A23740">
              <w:rPr>
                <w:szCs w:val="24"/>
              </w:rPr>
              <w:t>ren değişiklik</w:t>
            </w:r>
            <w:r w:rsidR="007B5DC7" w:rsidRPr="00A23740">
              <w:rPr>
                <w:szCs w:val="24"/>
              </w:rPr>
              <w:t>tir</w:t>
            </w:r>
            <w:r w:rsidR="00E9676E" w:rsidRPr="00A23740">
              <w:rPr>
                <w:szCs w:val="24"/>
              </w:rPr>
              <w:t>.</w:t>
            </w:r>
          </w:p>
          <w:p w:rsidR="007F2779" w:rsidRPr="00A23740" w:rsidRDefault="007F2779" w:rsidP="009431FF">
            <w:pPr>
              <w:tabs>
                <w:tab w:val="left" w:pos="567"/>
              </w:tabs>
              <w:ind w:firstLine="709"/>
              <w:rPr>
                <w:szCs w:val="24"/>
              </w:rPr>
            </w:pPr>
            <w:r w:rsidRPr="00A23740">
              <w:rPr>
                <w:szCs w:val="24"/>
              </w:rPr>
              <w:t>İsviçre Borçlar Kanununda yapılan (</w:t>
            </w:r>
            <w:r w:rsidR="00CB4D3D" w:rsidRPr="00363170">
              <w:rPr>
                <w:bCs/>
              </w:rPr>
              <w:t>6098 sayılı Kanuna</w:t>
            </w:r>
            <w:r w:rsidRPr="00363170">
              <w:t xml:space="preserve"> intikal</w:t>
            </w:r>
            <w:r w:rsidRPr="00A23740">
              <w:rPr>
                <w:szCs w:val="24"/>
              </w:rPr>
              <w:t xml:space="preserve"> etmeyen) değişiklik bütün kira sözleşmeleri için uygulanabilmekte olan </w:t>
            </w:r>
            <w:r w:rsidR="007B5DC7" w:rsidRPr="00A23740">
              <w:rPr>
                <w:szCs w:val="24"/>
              </w:rPr>
              <w:t xml:space="preserve">ve </w:t>
            </w:r>
            <w:r w:rsidRPr="00A23740">
              <w:rPr>
                <w:szCs w:val="24"/>
              </w:rPr>
              <w:t>kiraya verenin hapis hakkının korunması</w:t>
            </w:r>
            <w:r w:rsidR="007B5DC7" w:rsidRPr="00A23740">
              <w:rPr>
                <w:szCs w:val="24"/>
              </w:rPr>
              <w:t>na ilişkin bulunan</w:t>
            </w:r>
            <w:r w:rsidRPr="00A23740">
              <w:rPr>
                <w:szCs w:val="24"/>
              </w:rPr>
              <w:t xml:space="preserve"> hükümlerin uygulama alanını işyeri kiraları</w:t>
            </w:r>
            <w:r w:rsidR="007B5DC7" w:rsidRPr="00A23740">
              <w:rPr>
                <w:szCs w:val="24"/>
              </w:rPr>
              <w:t>yla</w:t>
            </w:r>
            <w:r w:rsidRPr="00A23740">
              <w:rPr>
                <w:szCs w:val="24"/>
              </w:rPr>
              <w:t xml:space="preserve"> sınırlamıştır. </w:t>
            </w:r>
            <w:r w:rsidR="00413B93" w:rsidRPr="00363170">
              <w:rPr>
                <w:bCs/>
              </w:rPr>
              <w:t>İsviçre</w:t>
            </w:r>
            <w:r w:rsidR="005938EA" w:rsidRPr="00363170">
              <w:rPr>
                <w:bCs/>
              </w:rPr>
              <w:t>’nin</w:t>
            </w:r>
            <w:r w:rsidR="00413B93" w:rsidRPr="00363170">
              <w:rPr>
                <w:bCs/>
              </w:rPr>
              <w:t xml:space="preserve"> Borç İçin Takip ve İflas Hakkında Federal </w:t>
            </w:r>
            <w:r w:rsidR="00E9676E" w:rsidRPr="00363170">
              <w:rPr>
                <w:bCs/>
              </w:rPr>
              <w:t>Kanunun</w:t>
            </w:r>
            <w:r w:rsidRPr="00363170">
              <w:rPr>
                <w:bCs/>
              </w:rPr>
              <w:t>da</w:t>
            </w:r>
            <w:r w:rsidR="00413B93" w:rsidRPr="00363170">
              <w:rPr>
                <w:bCs/>
              </w:rPr>
              <w:t>ki</w:t>
            </w:r>
            <w:r w:rsidRPr="00A23740">
              <w:rPr>
                <w:szCs w:val="24"/>
              </w:rPr>
              <w:t xml:space="preserve"> değişiklik doğrultusunda sadece işyeri kiralarına uygulanabilmek üzer</w:t>
            </w:r>
            <w:r w:rsidR="00E9676E" w:rsidRPr="00A23740">
              <w:rPr>
                <w:szCs w:val="24"/>
              </w:rPr>
              <w:t>e değişikli</w:t>
            </w:r>
            <w:r w:rsidR="007B5DC7" w:rsidRPr="00A23740">
              <w:rPr>
                <w:szCs w:val="24"/>
              </w:rPr>
              <w:t>k yapılmıştır</w:t>
            </w:r>
            <w:r w:rsidR="00E9676E" w:rsidRPr="00A23740">
              <w:rPr>
                <w:szCs w:val="24"/>
              </w:rPr>
              <w:t>.</w:t>
            </w:r>
          </w:p>
          <w:p w:rsidR="007F2779" w:rsidRPr="00A23740" w:rsidRDefault="007F2779" w:rsidP="009431FF">
            <w:pPr>
              <w:tabs>
                <w:tab w:val="left" w:pos="567"/>
              </w:tabs>
              <w:ind w:firstLine="709"/>
              <w:rPr>
                <w:szCs w:val="24"/>
              </w:rPr>
            </w:pPr>
            <w:r w:rsidRPr="00A23740">
              <w:rPr>
                <w:szCs w:val="24"/>
              </w:rPr>
              <w:t>Alt komisyon çalışmaları sırasında “taşınmaz kiralarında hapis hakkının korunması” başlıklı bölüm kaleme alınırken</w:t>
            </w:r>
            <w:r w:rsidR="00413B93" w:rsidRPr="00A23740">
              <w:rPr>
                <w:szCs w:val="24"/>
              </w:rPr>
              <w:t>,</w:t>
            </w:r>
            <w:r w:rsidRPr="00A23740">
              <w:rPr>
                <w:szCs w:val="24"/>
              </w:rPr>
              <w:t xml:space="preserve"> kanun koyucunun Borçlar Kanunun</w:t>
            </w:r>
            <w:r w:rsidR="007B5DC7" w:rsidRPr="00A23740">
              <w:rPr>
                <w:szCs w:val="24"/>
              </w:rPr>
              <w:t>un</w:t>
            </w:r>
            <w:r w:rsidRPr="00A23740">
              <w:rPr>
                <w:szCs w:val="24"/>
              </w:rPr>
              <w:t xml:space="preserve"> kiraya verenin hapis hakkıyla ilgili maddi hukuk hükümlerini olduğu gibi (İsviçre hukukunda yapılan değişiklikleri benimsemeden) muhafaza etmek şeklindeki iradesi dikkate </w:t>
            </w:r>
            <w:r w:rsidR="00E9676E" w:rsidRPr="00A23740">
              <w:rPr>
                <w:szCs w:val="24"/>
              </w:rPr>
              <w:t>alınarak düzenleme yapılmıştır.</w:t>
            </w:r>
          </w:p>
          <w:p w:rsidR="007F2779" w:rsidRPr="00A23740" w:rsidRDefault="007F2779" w:rsidP="009431FF">
            <w:pPr>
              <w:tabs>
                <w:tab w:val="left" w:pos="0"/>
              </w:tabs>
              <w:ind w:firstLine="709"/>
              <w:rPr>
                <w:szCs w:val="24"/>
              </w:rPr>
            </w:pPr>
            <w:r w:rsidRPr="00A23740">
              <w:rPr>
                <w:szCs w:val="24"/>
              </w:rPr>
              <w:t>Taslak metinde</w:t>
            </w:r>
            <w:r w:rsidR="003A217D" w:rsidRPr="00A23740">
              <w:rPr>
                <w:szCs w:val="24"/>
              </w:rPr>
              <w:t>,</w:t>
            </w:r>
            <w:r w:rsidRPr="00A23740">
              <w:rPr>
                <w:szCs w:val="24"/>
              </w:rPr>
              <w:t xml:space="preserve"> </w:t>
            </w:r>
            <w:r w:rsidR="00E9676E" w:rsidRPr="00A23740">
              <w:rPr>
                <w:szCs w:val="24"/>
              </w:rPr>
              <w:t>2004 sayılı Kanun</w:t>
            </w:r>
            <w:r w:rsidR="007B5DC7" w:rsidRPr="00A23740">
              <w:rPr>
                <w:szCs w:val="24"/>
              </w:rPr>
              <w:t>un</w:t>
            </w:r>
            <w:r w:rsidRPr="00A23740">
              <w:rPr>
                <w:szCs w:val="24"/>
              </w:rPr>
              <w:t xml:space="preserve"> kiraya verenin hapis h</w:t>
            </w:r>
            <w:r w:rsidR="00E9676E" w:rsidRPr="00A23740">
              <w:rPr>
                <w:szCs w:val="24"/>
              </w:rPr>
              <w:t xml:space="preserve">akkının korunmasına ilişkin 270 ve </w:t>
            </w:r>
            <w:r w:rsidRPr="00A23740">
              <w:rPr>
                <w:szCs w:val="24"/>
              </w:rPr>
              <w:t>271</w:t>
            </w:r>
            <w:r w:rsidR="00E9676E" w:rsidRPr="00A23740">
              <w:rPr>
                <w:szCs w:val="24"/>
              </w:rPr>
              <w:t xml:space="preserve"> inci</w:t>
            </w:r>
            <w:r w:rsidRPr="00A23740">
              <w:rPr>
                <w:szCs w:val="24"/>
              </w:rPr>
              <w:t xml:space="preserve"> maddelerinde bazı değişiklikler yapılmış</w:t>
            </w:r>
            <w:r w:rsidR="007B5DC7" w:rsidRPr="00A23740">
              <w:rPr>
                <w:szCs w:val="24"/>
              </w:rPr>
              <w:t>sa</w:t>
            </w:r>
            <w:r w:rsidRPr="00A23740">
              <w:rPr>
                <w:szCs w:val="24"/>
              </w:rPr>
              <w:t xml:space="preserve"> </w:t>
            </w:r>
            <w:r w:rsidR="007B5DC7" w:rsidRPr="00A23740">
              <w:rPr>
                <w:szCs w:val="24"/>
              </w:rPr>
              <w:t xml:space="preserve"> da,</w:t>
            </w:r>
            <w:r w:rsidRPr="00A23740">
              <w:rPr>
                <w:szCs w:val="24"/>
              </w:rPr>
              <w:t xml:space="preserve"> bu değişiklikler İsviçre hukukunda </w:t>
            </w:r>
            <w:r w:rsidR="007B5DC7" w:rsidRPr="00A23740">
              <w:rPr>
                <w:szCs w:val="24"/>
              </w:rPr>
              <w:t xml:space="preserve">vuku bulan </w:t>
            </w:r>
            <w:r w:rsidRPr="00A23740">
              <w:rPr>
                <w:szCs w:val="24"/>
              </w:rPr>
              <w:t xml:space="preserve">değişiklikleri </w:t>
            </w:r>
            <w:r w:rsidR="007B5DC7" w:rsidRPr="00A23740">
              <w:rPr>
                <w:szCs w:val="24"/>
              </w:rPr>
              <w:t>J</w:t>
            </w:r>
            <w:r w:rsidRPr="00A23740">
              <w:rPr>
                <w:szCs w:val="24"/>
              </w:rPr>
              <w:t xml:space="preserve">anunumuza yansıtmak şeklinde olmamıştır. </w:t>
            </w:r>
          </w:p>
          <w:p w:rsidR="007F2779" w:rsidRPr="00A23740" w:rsidRDefault="007F2779" w:rsidP="009431FF">
            <w:pPr>
              <w:tabs>
                <w:tab w:val="left" w:pos="567"/>
              </w:tabs>
              <w:ind w:firstLine="709"/>
              <w:rPr>
                <w:szCs w:val="24"/>
              </w:rPr>
            </w:pPr>
            <w:r w:rsidRPr="00A23740">
              <w:rPr>
                <w:szCs w:val="24"/>
              </w:rPr>
              <w:t xml:space="preserve">Kiraya verenin hapis hakkına ilişkin bu hükümlerin </w:t>
            </w:r>
            <w:r w:rsidR="005F60FC">
              <w:rPr>
                <w:szCs w:val="24"/>
              </w:rPr>
              <w:t>K</w:t>
            </w:r>
            <w:r w:rsidRPr="00A23740">
              <w:rPr>
                <w:szCs w:val="24"/>
              </w:rPr>
              <w:t>anunun “Deniz icra” hükümleri arasında yer alan hapis hakkının korunmasına ilişkin hükümler</w:t>
            </w:r>
            <w:r w:rsidR="00E404BA" w:rsidRPr="00A23740">
              <w:rPr>
                <w:szCs w:val="24"/>
              </w:rPr>
              <w:t>ld</w:t>
            </w:r>
            <w:r w:rsidRPr="00A23740">
              <w:rPr>
                <w:szCs w:val="24"/>
              </w:rPr>
              <w:t xml:space="preserve"> uyu</w:t>
            </w:r>
            <w:r w:rsidR="00E9676E" w:rsidRPr="00A23740">
              <w:rPr>
                <w:szCs w:val="24"/>
              </w:rPr>
              <w:t>mlu olmasına dikkat edilmiştir.</w:t>
            </w:r>
          </w:p>
          <w:p w:rsidR="007F2779" w:rsidRPr="00A23740" w:rsidRDefault="007F2779" w:rsidP="009431FF">
            <w:pPr>
              <w:tabs>
                <w:tab w:val="left" w:pos="567"/>
              </w:tabs>
              <w:ind w:firstLine="709"/>
              <w:rPr>
                <w:szCs w:val="24"/>
              </w:rPr>
            </w:pPr>
            <w:r w:rsidRPr="00A23740">
              <w:rPr>
                <w:szCs w:val="24"/>
              </w:rPr>
              <w:t xml:space="preserve">Maddenin birinci fıkrası </w:t>
            </w:r>
            <w:r w:rsidR="00E9676E" w:rsidRPr="00A23740">
              <w:rPr>
                <w:szCs w:val="24"/>
              </w:rPr>
              <w:t>2004 sayılı</w:t>
            </w:r>
            <w:r w:rsidRPr="00A23740">
              <w:rPr>
                <w:szCs w:val="24"/>
              </w:rPr>
              <w:t xml:space="preserve"> </w:t>
            </w:r>
            <w:r w:rsidR="00E9676E" w:rsidRPr="00A23740">
              <w:rPr>
                <w:szCs w:val="24"/>
              </w:rPr>
              <w:t>Kanunun 270 inci</w:t>
            </w:r>
            <w:r w:rsidRPr="00A23740">
              <w:rPr>
                <w:szCs w:val="24"/>
              </w:rPr>
              <w:t xml:space="preserve"> maddesinin ilk fıkrasına tekabül etmektedir. Bu fıkranın metninde hapis hakkının korunması için sevk edilmiş olan bu hükmün bir geçici hukuki koruma önlemi olduğu açıkça zikredilmiş ve bunun bir sonucu olarak kiraya verenin kiracının temerrüdünü yaklaşık ispat seviyesin</w:t>
            </w:r>
            <w:r w:rsidR="00E404BA" w:rsidRPr="00A23740">
              <w:rPr>
                <w:szCs w:val="24"/>
              </w:rPr>
              <w:t>yd</w:t>
            </w:r>
            <w:r w:rsidRPr="00A23740">
              <w:rPr>
                <w:szCs w:val="24"/>
              </w:rPr>
              <w:t xml:space="preserve"> ispat etmesinin yeterli olduğu belirtilmiştir. Ayrıca kiraya verenin geçici hukuki koruma için başvuracağı merciin sulh hukuk mahkemesi olduğu kabul edilmek suret</w:t>
            </w:r>
            <w:r w:rsidR="00E9676E" w:rsidRPr="00A23740">
              <w:rPr>
                <w:szCs w:val="24"/>
              </w:rPr>
              <w:t>iyle</w:t>
            </w:r>
            <w:r w:rsidR="00E404BA" w:rsidRPr="00A23740">
              <w:rPr>
                <w:szCs w:val="24"/>
              </w:rPr>
              <w:t>.</w:t>
            </w:r>
            <w:r w:rsidR="00E9676E" w:rsidRPr="00A23740">
              <w:rPr>
                <w:szCs w:val="24"/>
              </w:rPr>
              <w:t xml:space="preserve"> </w:t>
            </w:r>
            <w:r w:rsidR="00CB4D3D" w:rsidRPr="00363170">
              <w:rPr>
                <w:bCs/>
              </w:rPr>
              <w:t>6098 sayılı Kanunun</w:t>
            </w:r>
            <w:r w:rsidR="00E9676E" w:rsidRPr="00363170">
              <w:t xml:space="preserve"> 338</w:t>
            </w:r>
            <w:r w:rsidR="00E9676E" w:rsidRPr="00A23740">
              <w:rPr>
                <w:szCs w:val="24"/>
              </w:rPr>
              <w:t xml:space="preserve"> inci</w:t>
            </w:r>
            <w:r w:rsidRPr="00A23740">
              <w:rPr>
                <w:szCs w:val="24"/>
              </w:rPr>
              <w:t xml:space="preserve"> maddesin</w:t>
            </w:r>
            <w:r w:rsidR="00E404BA" w:rsidRPr="00A23740">
              <w:rPr>
                <w:szCs w:val="24"/>
              </w:rPr>
              <w:t>sı</w:t>
            </w:r>
            <w:r w:rsidRPr="00A23740">
              <w:rPr>
                <w:szCs w:val="24"/>
              </w:rPr>
              <w:t xml:space="preserve"> hem sulh hukuk mahkemesine hem de </w:t>
            </w:r>
            <w:r w:rsidRPr="00363170">
              <w:t xml:space="preserve">icra </w:t>
            </w:r>
            <w:r w:rsidR="00B73523" w:rsidRPr="00363170">
              <w:t xml:space="preserve">ve iflas </w:t>
            </w:r>
            <w:r w:rsidRPr="00363170">
              <w:t>dairesine</w:t>
            </w:r>
            <w:r w:rsidRPr="00A23740">
              <w:rPr>
                <w:szCs w:val="24"/>
              </w:rPr>
              <w:t xml:space="preserve"> görev veren </w:t>
            </w:r>
            <w:r w:rsidR="00E404BA" w:rsidRPr="00A23740">
              <w:rPr>
                <w:szCs w:val="24"/>
              </w:rPr>
              <w:t xml:space="preserve"> ogjkg </w:t>
            </w:r>
            <w:r w:rsidRPr="00A23740">
              <w:rPr>
                <w:szCs w:val="24"/>
              </w:rPr>
              <w:t>zımmen değiştirilmiş olmaktadır. Nihayet bu fıkrada geçici hukuki koruma kararının verilmesinden itibaren bu kararın icrası için bir hafta içinde icra</w:t>
            </w:r>
            <w:r w:rsidR="00B73523" w:rsidRPr="00A23740">
              <w:rPr>
                <w:b/>
                <w:color w:val="538135"/>
              </w:rPr>
              <w:t xml:space="preserve"> </w:t>
            </w:r>
            <w:r w:rsidR="00B73523" w:rsidRPr="00363170">
              <w:t>ve iflas</w:t>
            </w:r>
            <w:r w:rsidRPr="00363170">
              <w:t xml:space="preserve"> dairesine</w:t>
            </w:r>
            <w:r w:rsidRPr="00A23740">
              <w:rPr>
                <w:szCs w:val="24"/>
              </w:rPr>
              <w:t xml:space="preserve"> başvurmak zorunluluğu getir</w:t>
            </w:r>
            <w:r w:rsidR="00E404BA" w:rsidRPr="00A23740">
              <w:rPr>
                <w:szCs w:val="24"/>
              </w:rPr>
              <w:t>sl</w:t>
            </w:r>
            <w:r w:rsidRPr="00A23740">
              <w:rPr>
                <w:szCs w:val="24"/>
              </w:rPr>
              <w:t>mek suretiyle geçici koruma önlemlerine ilişkin genel hükümler ile kiraya verenin hapis hakkının korunmasına ilişkin bu özel hük</w:t>
            </w:r>
            <w:r w:rsidR="00E9676E" w:rsidRPr="00A23740">
              <w:rPr>
                <w:szCs w:val="24"/>
              </w:rPr>
              <w:t>üm arasında uyum sağlanmıştır.</w:t>
            </w:r>
          </w:p>
          <w:p w:rsidR="007F2779" w:rsidRPr="00A23740" w:rsidRDefault="007F2779" w:rsidP="009431FF">
            <w:pPr>
              <w:tabs>
                <w:tab w:val="left" w:pos="567"/>
              </w:tabs>
              <w:ind w:firstLine="709"/>
              <w:rPr>
                <w:bCs/>
                <w:szCs w:val="24"/>
                <w:lang w:eastAsia="x-none"/>
              </w:rPr>
            </w:pPr>
            <w:r w:rsidRPr="00A23740">
              <w:rPr>
                <w:szCs w:val="24"/>
              </w:rPr>
              <w:t xml:space="preserve">Maddenin ikinci ve üçüncü fıkraları, </w:t>
            </w:r>
            <w:r w:rsidR="00E404BA" w:rsidRPr="00A23740">
              <w:rPr>
                <w:szCs w:val="24"/>
              </w:rPr>
              <w:t xml:space="preserve">2004 sayılı Kanununun </w:t>
            </w:r>
            <w:r w:rsidRPr="00A23740">
              <w:rPr>
                <w:szCs w:val="24"/>
              </w:rPr>
              <w:t>üzerinde hapis hakkı bulunan eşyanın defterinin tutulması</w:t>
            </w:r>
            <w:r w:rsidR="00E404BA" w:rsidRPr="00A23740">
              <w:rPr>
                <w:szCs w:val="24"/>
              </w:rPr>
              <w:t>yla</w:t>
            </w:r>
            <w:r w:rsidRPr="00A23740">
              <w:rPr>
                <w:szCs w:val="24"/>
              </w:rPr>
              <w:t xml:space="preserve"> ilgili </w:t>
            </w:r>
            <w:r w:rsidR="00E9676E" w:rsidRPr="00A23740">
              <w:rPr>
                <w:szCs w:val="24"/>
              </w:rPr>
              <w:t>270 inci maddesinin üçüncü fıkrası</w:t>
            </w:r>
            <w:r w:rsidRPr="00A23740">
              <w:rPr>
                <w:szCs w:val="24"/>
              </w:rPr>
              <w:t xml:space="preserve"> hükmü</w:t>
            </w:r>
            <w:r w:rsidR="00E404BA" w:rsidRPr="00A23740">
              <w:rPr>
                <w:szCs w:val="24"/>
              </w:rPr>
              <w:t>ne karşılık gelmektedir</w:t>
            </w:r>
            <w:r w:rsidRPr="00A23740">
              <w:rPr>
                <w:szCs w:val="24"/>
              </w:rPr>
              <w:t xml:space="preserve">. Bu fıkrada da konu ile ilgili </w:t>
            </w:r>
            <w:r w:rsidR="00D3592E" w:rsidRPr="00A23740">
              <w:rPr>
                <w:szCs w:val="24"/>
              </w:rPr>
              <w:t xml:space="preserve">bilimsel ve yargısal </w:t>
            </w:r>
            <w:r w:rsidRPr="00A23740">
              <w:rPr>
                <w:szCs w:val="24"/>
              </w:rPr>
              <w:t xml:space="preserve">içtihatlara uygun olarak deftere sadece haczi kabil malların geçirilebileceği tasrih olunmuştur. Bu fıkrada ayrıca defterin ne şekilde tutulacağı konusunda haciz </w:t>
            </w:r>
            <w:r w:rsidR="00D3592E" w:rsidRPr="00A23740">
              <w:rPr>
                <w:szCs w:val="24"/>
              </w:rPr>
              <w:t>tutanağının</w:t>
            </w:r>
            <w:r w:rsidRPr="00A23740">
              <w:rPr>
                <w:szCs w:val="24"/>
              </w:rPr>
              <w:t xml:space="preserve"> ne şekilde tutulacağını düzenleyen hükümlerin kıyasen uygulanacağı belirtilmiştir. </w:t>
            </w:r>
            <w:r w:rsidR="00E404BA" w:rsidRPr="00A23740">
              <w:rPr>
                <w:szCs w:val="24"/>
              </w:rPr>
              <w:t>Öte yandan, f</w:t>
            </w:r>
            <w:r w:rsidRPr="00A23740">
              <w:rPr>
                <w:szCs w:val="24"/>
              </w:rPr>
              <w:t>ıkrada, taslağın tamamında benimsenen</w:t>
            </w:r>
            <w:r w:rsidR="00E404BA" w:rsidRPr="00A23740">
              <w:rPr>
                <w:szCs w:val="24"/>
              </w:rPr>
              <w:t xml:space="preserve"> ve </w:t>
            </w:r>
            <w:r w:rsidRPr="00A23740">
              <w:rPr>
                <w:szCs w:val="24"/>
              </w:rPr>
              <w:t xml:space="preserve"> kanuni sürelerin </w:t>
            </w:r>
            <w:r w:rsidR="00E404BA" w:rsidRPr="00A23740">
              <w:rPr>
                <w:szCs w:val="24"/>
              </w:rPr>
              <w:t xml:space="preserve">kural olarak </w:t>
            </w:r>
            <w:r w:rsidRPr="00A23740">
              <w:rPr>
                <w:szCs w:val="24"/>
              </w:rPr>
              <w:t>hafta</w:t>
            </w:r>
            <w:r w:rsidR="00E404BA" w:rsidRPr="00A23740">
              <w:rPr>
                <w:szCs w:val="24"/>
              </w:rPr>
              <w:t>yla</w:t>
            </w:r>
            <w:r w:rsidRPr="00A23740">
              <w:rPr>
                <w:szCs w:val="24"/>
              </w:rPr>
              <w:t xml:space="preserve"> belirlenmesi tercihine uygun </w:t>
            </w:r>
            <w:r w:rsidR="00E404BA" w:rsidRPr="00A23740">
              <w:rPr>
                <w:szCs w:val="24"/>
              </w:rPr>
              <w:t>olan yöntem çerçevesinde</w:t>
            </w:r>
            <w:r w:rsidRPr="00A23740">
              <w:rPr>
                <w:szCs w:val="24"/>
              </w:rPr>
              <w:t xml:space="preserve">, takip yoluna başvurmak için öngörülen süre iki hafta olarak belirlenmiştir. Nihayet bu fıkrada yürürlükteki </w:t>
            </w:r>
            <w:r w:rsidR="00E404BA" w:rsidRPr="00A23740">
              <w:rPr>
                <w:szCs w:val="24"/>
              </w:rPr>
              <w:t>K</w:t>
            </w:r>
            <w:r w:rsidRPr="00A23740">
              <w:rPr>
                <w:szCs w:val="24"/>
              </w:rPr>
              <w:t xml:space="preserve">anunun </w:t>
            </w:r>
            <w:r w:rsidR="00E404BA" w:rsidRPr="00A23740">
              <w:rPr>
                <w:szCs w:val="24"/>
              </w:rPr>
              <w:t xml:space="preserve">bilimsel </w:t>
            </w:r>
            <w:r w:rsidRPr="00A23740">
              <w:rPr>
                <w:szCs w:val="24"/>
              </w:rPr>
              <w:t>içtihatlarda yapılan yorumuna uygun olarak, kiracının kendisine karşı başlatılan takibe itiraz etmesi h</w:t>
            </w:r>
            <w:r w:rsidR="00E54A6B" w:rsidRPr="00A23740">
              <w:rPr>
                <w:szCs w:val="24"/>
              </w:rPr>
              <w:t>â</w:t>
            </w:r>
            <w:r w:rsidRPr="00A23740">
              <w:rPr>
                <w:szCs w:val="24"/>
              </w:rPr>
              <w:t xml:space="preserve">linde kiraya verenin </w:t>
            </w:r>
            <w:r w:rsidRPr="00A23740">
              <w:rPr>
                <w:bCs/>
                <w:szCs w:val="24"/>
                <w:lang w:val="x-none" w:eastAsia="x-none"/>
              </w:rPr>
              <w:t>itirazın hükümden düşürülmesi konusunda</w:t>
            </w:r>
            <w:r w:rsidRPr="00A23740">
              <w:rPr>
                <w:bCs/>
                <w:szCs w:val="24"/>
                <w:lang w:eastAsia="x-none"/>
              </w:rPr>
              <w:t xml:space="preserve"> </w:t>
            </w:r>
            <w:r w:rsidRPr="00A23740">
              <w:rPr>
                <w:bCs/>
                <w:szCs w:val="24"/>
                <w:lang w:val="x-none" w:eastAsia="x-none"/>
              </w:rPr>
              <w:t xml:space="preserve">ihtiyati haczi tamamlayan işlemler </w:t>
            </w:r>
            <w:r w:rsidRPr="00A23740">
              <w:rPr>
                <w:szCs w:val="24"/>
                <w:lang w:val="x-none" w:eastAsia="x-none"/>
              </w:rPr>
              <w:t xml:space="preserve">hakkındaki </w:t>
            </w:r>
            <w:r w:rsidRPr="00A23740">
              <w:rPr>
                <w:bCs/>
                <w:szCs w:val="24"/>
                <w:lang w:val="x-none" w:eastAsia="x-none"/>
              </w:rPr>
              <w:t>süreleri</w:t>
            </w:r>
            <w:r w:rsidRPr="00A23740">
              <w:rPr>
                <w:bCs/>
                <w:szCs w:val="24"/>
                <w:lang w:eastAsia="x-none"/>
              </w:rPr>
              <w:t>n</w:t>
            </w:r>
            <w:r w:rsidRPr="00A23740">
              <w:rPr>
                <w:bCs/>
                <w:szCs w:val="24"/>
                <w:lang w:val="x-none" w:eastAsia="x-none"/>
              </w:rPr>
              <w:t xml:space="preserve"> uygulanacağı kuralı benimsenmiş</w:t>
            </w:r>
            <w:r w:rsidR="00E9676E" w:rsidRPr="00A23740">
              <w:rPr>
                <w:bCs/>
                <w:szCs w:val="24"/>
                <w:lang w:val="x-none" w:eastAsia="x-none"/>
              </w:rPr>
              <w:t>tir.</w:t>
            </w:r>
          </w:p>
          <w:p w:rsidR="00413B93" w:rsidRPr="00A23740" w:rsidRDefault="007F2779" w:rsidP="009431FF">
            <w:pPr>
              <w:tabs>
                <w:tab w:val="left" w:pos="567"/>
              </w:tabs>
              <w:ind w:firstLine="709"/>
              <w:rPr>
                <w:bCs/>
                <w:szCs w:val="24"/>
                <w:lang w:eastAsia="x-none"/>
              </w:rPr>
            </w:pPr>
            <w:r w:rsidRPr="00A23740">
              <w:rPr>
                <w:bCs/>
                <w:szCs w:val="24"/>
                <w:lang w:eastAsia="x-none"/>
              </w:rPr>
              <w:t xml:space="preserve">Maddenin dördüncü fıkrası, </w:t>
            </w:r>
            <w:r w:rsidR="00E9676E" w:rsidRPr="00A23740">
              <w:rPr>
                <w:bCs/>
                <w:szCs w:val="24"/>
                <w:lang w:eastAsia="x-none"/>
              </w:rPr>
              <w:t>2004 sayılı</w:t>
            </w:r>
            <w:r w:rsidRPr="00A23740">
              <w:rPr>
                <w:bCs/>
                <w:szCs w:val="24"/>
                <w:lang w:eastAsia="x-none"/>
              </w:rPr>
              <w:t xml:space="preserve"> </w:t>
            </w:r>
            <w:r w:rsidR="00E9676E" w:rsidRPr="00A23740">
              <w:rPr>
                <w:bCs/>
                <w:szCs w:val="24"/>
                <w:lang w:eastAsia="x-none"/>
              </w:rPr>
              <w:t xml:space="preserve">Kanuna </w:t>
            </w:r>
            <w:r w:rsidRPr="00A23740">
              <w:rPr>
                <w:bCs/>
                <w:szCs w:val="24"/>
                <w:lang w:eastAsia="x-none"/>
              </w:rPr>
              <w:t xml:space="preserve">ait </w:t>
            </w:r>
            <w:r w:rsidR="00413B93" w:rsidRPr="00A23740">
              <w:rPr>
                <w:bCs/>
                <w:szCs w:val="24"/>
                <w:lang w:eastAsia="x-none"/>
              </w:rPr>
              <w:t xml:space="preserve">bilimsel ve yargısal </w:t>
            </w:r>
            <w:r w:rsidRPr="00A23740">
              <w:rPr>
                <w:bCs/>
                <w:szCs w:val="24"/>
                <w:lang w:eastAsia="x-none"/>
              </w:rPr>
              <w:t>içtihatlarda benimsenen yorum şeklini ifade etmek üzere “</w:t>
            </w:r>
            <w:r w:rsidR="00413B93" w:rsidRPr="00363170">
              <w:rPr>
                <w:bCs/>
                <w:szCs w:val="24"/>
                <w:lang w:eastAsia="x-none"/>
              </w:rPr>
              <w:t>Kiraya verenin süresi içinde hapis hakkının geçici olarak korunması kararının icrasını talep etmemesi veya takip yapmaması h</w:t>
            </w:r>
            <w:r w:rsidR="00E54A6B" w:rsidRPr="00363170">
              <w:rPr>
                <w:bCs/>
                <w:szCs w:val="24"/>
                <w:lang w:eastAsia="x-none"/>
              </w:rPr>
              <w:t>â</w:t>
            </w:r>
            <w:r w:rsidR="00413B93" w:rsidRPr="00363170">
              <w:rPr>
                <w:bCs/>
                <w:szCs w:val="24"/>
                <w:lang w:eastAsia="x-none"/>
              </w:rPr>
              <w:t>linde hapis hakkına ilişkin defter hükümsüz kalır</w:t>
            </w:r>
            <w:r w:rsidRPr="00A23740">
              <w:rPr>
                <w:bCs/>
                <w:szCs w:val="24"/>
                <w:lang w:eastAsia="x-none"/>
              </w:rPr>
              <w:t>”</w:t>
            </w:r>
            <w:r w:rsidR="00413B93" w:rsidRPr="00A23740">
              <w:rPr>
                <w:bCs/>
                <w:szCs w:val="24"/>
                <w:lang w:eastAsia="x-none"/>
              </w:rPr>
              <w:t xml:space="preserve"> şeklinde düzenlenmektedir.</w:t>
            </w:r>
            <w:r w:rsidRPr="00A23740">
              <w:rPr>
                <w:bCs/>
                <w:szCs w:val="24"/>
                <w:lang w:eastAsia="x-none"/>
              </w:rPr>
              <w:t xml:space="preserve"> </w:t>
            </w:r>
          </w:p>
          <w:p w:rsidR="007F2779" w:rsidRPr="00A23740" w:rsidRDefault="007F2779" w:rsidP="009431FF">
            <w:pPr>
              <w:tabs>
                <w:tab w:val="left" w:pos="567"/>
              </w:tabs>
              <w:ind w:firstLine="709"/>
              <w:rPr>
                <w:szCs w:val="24"/>
              </w:rPr>
            </w:pPr>
            <w:r w:rsidRPr="00A23740">
              <w:rPr>
                <w:bCs/>
                <w:szCs w:val="24"/>
                <w:lang w:eastAsia="x-none"/>
              </w:rPr>
              <w:t xml:space="preserve">Maddenin beşinci fıkrası ise, yine </w:t>
            </w:r>
            <w:r w:rsidR="00E9676E" w:rsidRPr="00A23740">
              <w:rPr>
                <w:bCs/>
                <w:szCs w:val="24"/>
                <w:lang w:eastAsia="x-none"/>
              </w:rPr>
              <w:t>2004 sayılı Kanunun</w:t>
            </w:r>
            <w:r w:rsidRPr="00A23740">
              <w:rPr>
                <w:bCs/>
                <w:szCs w:val="24"/>
                <w:lang w:eastAsia="x-none"/>
              </w:rPr>
              <w:t xml:space="preserve"> </w:t>
            </w:r>
            <w:r w:rsidR="00413B93" w:rsidRPr="00A23740">
              <w:rPr>
                <w:bCs/>
                <w:szCs w:val="24"/>
                <w:lang w:eastAsia="x-none"/>
              </w:rPr>
              <w:t xml:space="preserve">bilimsel ve yargısal </w:t>
            </w:r>
            <w:r w:rsidRPr="00A23740">
              <w:rPr>
                <w:bCs/>
                <w:szCs w:val="24"/>
                <w:lang w:eastAsia="x-none"/>
              </w:rPr>
              <w:t xml:space="preserve">içtihatlara uygun olarak esasen bir kanuni rehin hakkı </w:t>
            </w:r>
            <w:r w:rsidR="00413B93" w:rsidRPr="00A23740">
              <w:rPr>
                <w:bCs/>
                <w:szCs w:val="24"/>
                <w:lang w:eastAsia="x-none"/>
              </w:rPr>
              <w:t xml:space="preserve">niteliğinde </w:t>
            </w:r>
            <w:r w:rsidRPr="00A23740">
              <w:rPr>
                <w:bCs/>
                <w:szCs w:val="24"/>
                <w:lang w:eastAsia="x-none"/>
              </w:rPr>
              <w:t>olan hapis hakkı</w:t>
            </w:r>
            <w:r w:rsidR="00E404BA" w:rsidRPr="00A23740">
              <w:rPr>
                <w:bCs/>
                <w:szCs w:val="24"/>
                <w:lang w:eastAsia="x-none"/>
              </w:rPr>
              <w:t>yla</w:t>
            </w:r>
            <w:r w:rsidRPr="00A23740">
              <w:rPr>
                <w:bCs/>
                <w:szCs w:val="24"/>
                <w:lang w:eastAsia="x-none"/>
              </w:rPr>
              <w:t xml:space="preserve"> güvence altına alınmış olan kira alacağının paraya çevirme aşamasında asgari ihale bedeli belirlenirken rüçhan</w:t>
            </w:r>
            <w:r w:rsidR="00413B93" w:rsidRPr="00A23740">
              <w:rPr>
                <w:bCs/>
                <w:szCs w:val="24"/>
                <w:lang w:eastAsia="x-none"/>
              </w:rPr>
              <w:t>lı</w:t>
            </w:r>
            <w:r w:rsidRPr="00A23740">
              <w:rPr>
                <w:bCs/>
                <w:szCs w:val="24"/>
                <w:lang w:eastAsia="x-none"/>
              </w:rPr>
              <w:t xml:space="preserve"> alacaklı olarak işlem görmesi gerekti</w:t>
            </w:r>
            <w:r w:rsidR="00E9676E" w:rsidRPr="00A23740">
              <w:rPr>
                <w:bCs/>
                <w:szCs w:val="24"/>
                <w:lang w:eastAsia="x-none"/>
              </w:rPr>
              <w:t>ğini açıklığa kavuşturmaktadır.</w:t>
            </w:r>
          </w:p>
          <w:p w:rsidR="00E55B0A" w:rsidRPr="00A23740" w:rsidRDefault="00E55B0A" w:rsidP="00DE193E">
            <w:pPr>
              <w:tabs>
                <w:tab w:val="left" w:pos="567"/>
              </w:tabs>
              <w:ind w:firstLine="709"/>
              <w:rPr>
                <w:rFonts w:eastAsia="Times New Roman"/>
                <w:b/>
                <w:bCs/>
                <w:color w:val="0000FF"/>
                <w:szCs w:val="28"/>
              </w:rPr>
            </w:pPr>
          </w:p>
        </w:tc>
      </w:tr>
      <w:tr w:rsidR="00AA5C8C" w:rsidRPr="00A23740" w:rsidTr="009431FF">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Kaçırılan eşyayı takip hakkı:</w:t>
            </w:r>
          </w:p>
          <w:p w:rsidR="00AA5C8C" w:rsidRPr="00A23740" w:rsidRDefault="00AA5C8C" w:rsidP="009431FF">
            <w:pPr>
              <w:tabs>
                <w:tab w:val="left" w:pos="567"/>
              </w:tabs>
              <w:rPr>
                <w:b/>
                <w:strike/>
                <w:color w:val="FF0000"/>
                <w:szCs w:val="24"/>
              </w:rPr>
            </w:pPr>
            <w:r w:rsidRPr="00A23740">
              <w:rPr>
                <w:b/>
                <w:strike/>
                <w:color w:val="FF0000"/>
                <w:szCs w:val="24"/>
              </w:rPr>
              <w:t>Madde 271 – (1) (Değişik: 18/2/1965 - 538/111 md.)</w:t>
            </w:r>
          </w:p>
          <w:p w:rsidR="00AA5C8C" w:rsidRPr="00A23740" w:rsidRDefault="00AA5C8C" w:rsidP="009431FF">
            <w:pPr>
              <w:tabs>
                <w:tab w:val="left" w:pos="567"/>
              </w:tabs>
              <w:rPr>
                <w:b/>
                <w:strike/>
                <w:color w:val="FF0000"/>
                <w:szCs w:val="24"/>
              </w:rPr>
            </w:pPr>
            <w:r w:rsidRPr="00A23740">
              <w:rPr>
                <w:b/>
                <w:strike/>
                <w:color w:val="FF0000"/>
                <w:szCs w:val="24"/>
              </w:rPr>
              <w:t>Gizlice veya cebirle götürülmüş eşya, götürülmelerinden on gün içinde icra dairesinin emri ile ve zabıta kuvvetiyle geri alınabilir. İyi niyet sahibi üçüncü şahısların hakları saklıdır.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b/>
                <w:strike/>
                <w:color w:val="FF0000"/>
                <w:szCs w:val="24"/>
              </w:rPr>
              <w:t>(2) İhtilaf halinde mahkeme basit yargılama usulü ile meseleyi halleder ve karara bağlar.</w:t>
            </w:r>
            <w:r w:rsidRPr="00A23740">
              <w:rPr>
                <w:b/>
                <w:strike/>
                <w:color w:val="FF0000"/>
                <w:szCs w:val="24"/>
              </w:rPr>
              <w:br w:type="page"/>
            </w:r>
          </w:p>
          <w:p w:rsidR="00AA5C8C" w:rsidRPr="00A23740" w:rsidRDefault="00AA5C8C" w:rsidP="009431FF">
            <w:pPr>
              <w:rPr>
                <w:b/>
                <w:strike/>
                <w:color w:val="FF0000"/>
                <w:szCs w:val="24"/>
              </w:rPr>
            </w:pPr>
          </w:p>
        </w:tc>
        <w:tc>
          <w:tcPr>
            <w:tcW w:w="2500" w:type="pct"/>
          </w:tcPr>
          <w:p w:rsidR="00AA5C8C" w:rsidRPr="00A23740" w:rsidRDefault="005938EA" w:rsidP="009431FF">
            <w:pPr>
              <w:tabs>
                <w:tab w:val="left" w:pos="567"/>
              </w:tabs>
              <w:rPr>
                <w:b/>
                <w:bCs/>
                <w:color w:val="0000FF"/>
                <w:szCs w:val="24"/>
                <w:lang w:val="x-none" w:eastAsia="x-none"/>
              </w:rPr>
            </w:pPr>
            <w:r w:rsidRPr="00A23740">
              <w:rPr>
                <w:b/>
                <w:bCs/>
                <w:color w:val="0000FF"/>
                <w:szCs w:val="24"/>
                <w:lang w:eastAsia="x-none"/>
              </w:rPr>
              <w:t xml:space="preserve">Kiraya verenin </w:t>
            </w:r>
            <w:r w:rsidR="00AA5C8C" w:rsidRPr="00A23740">
              <w:rPr>
                <w:b/>
                <w:bCs/>
                <w:color w:val="0000FF"/>
                <w:szCs w:val="24"/>
                <w:lang w:val="x-none" w:eastAsia="x-none"/>
              </w:rPr>
              <w:t>hapis hakkın</w:t>
            </w:r>
            <w:r w:rsidR="00AA5C8C" w:rsidRPr="00A23740">
              <w:rPr>
                <w:b/>
                <w:bCs/>
                <w:color w:val="0000FF"/>
                <w:szCs w:val="24"/>
                <w:lang w:eastAsia="x-none"/>
              </w:rPr>
              <w:t>ın</w:t>
            </w:r>
            <w:r w:rsidR="00AA5C8C" w:rsidRPr="00A23740">
              <w:rPr>
                <w:b/>
                <w:color w:val="FF0000"/>
                <w:szCs w:val="24"/>
                <w:lang w:val="x-none" w:eastAsia="x-none"/>
              </w:rPr>
              <w:t xml:space="preserve"> </w:t>
            </w:r>
            <w:r w:rsidR="00AA5C8C" w:rsidRPr="00A23740">
              <w:rPr>
                <w:b/>
                <w:bCs/>
                <w:color w:val="0000FF"/>
                <w:szCs w:val="24"/>
                <w:lang w:val="x-none" w:eastAsia="x-none"/>
              </w:rPr>
              <w:t>paraya çevrilmesi</w:t>
            </w:r>
            <w:r w:rsidR="00AA5C8C" w:rsidRPr="00A23740">
              <w:rPr>
                <w:b/>
                <w:bCs/>
                <w:color w:val="0000FF"/>
                <w:szCs w:val="24"/>
                <w:lang w:eastAsia="x-none"/>
              </w:rPr>
              <w:t>nde</w:t>
            </w:r>
            <w:r w:rsidR="00AA5C8C" w:rsidRPr="00A23740">
              <w:rPr>
                <w:b/>
                <w:bCs/>
                <w:color w:val="0000FF"/>
                <w:szCs w:val="24"/>
                <w:lang w:val="x-none" w:eastAsia="x-none"/>
              </w:rPr>
              <w:t xml:space="preserve"> istihkak iddiaları</w:t>
            </w: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 xml:space="preserve">MADDE </w:t>
            </w:r>
            <w:r w:rsidR="009D57E1" w:rsidRPr="00A23740">
              <w:rPr>
                <w:b/>
                <w:bCs/>
                <w:color w:val="0000FF"/>
                <w:szCs w:val="24"/>
                <w:lang w:eastAsia="x-none"/>
              </w:rPr>
              <w:t>152</w:t>
            </w:r>
            <w:r w:rsidRPr="00A23740">
              <w:rPr>
                <w:b/>
                <w:bCs/>
                <w:color w:val="0000FF"/>
                <w:szCs w:val="24"/>
                <w:lang w:val="x-none" w:eastAsia="x-none"/>
              </w:rPr>
              <w:t xml:space="preserve">- (1) </w:t>
            </w:r>
            <w:r w:rsidR="005938EA" w:rsidRPr="00A23740">
              <w:rPr>
                <w:b/>
                <w:bCs/>
                <w:color w:val="0000FF"/>
                <w:szCs w:val="24"/>
                <w:lang w:eastAsia="x-none"/>
              </w:rPr>
              <w:t xml:space="preserve">Kiraya verenin </w:t>
            </w:r>
            <w:r w:rsidRPr="00A23740">
              <w:rPr>
                <w:b/>
                <w:bCs/>
                <w:color w:val="0000FF"/>
                <w:szCs w:val="24"/>
                <w:lang w:val="x-none" w:eastAsia="x-none"/>
              </w:rPr>
              <w:t>hapis hakkının paraya çevrilmesi</w:t>
            </w:r>
            <w:r w:rsidRPr="00A23740">
              <w:rPr>
                <w:b/>
                <w:bCs/>
                <w:color w:val="0000FF"/>
                <w:szCs w:val="24"/>
                <w:lang w:eastAsia="x-none"/>
              </w:rPr>
              <w:t>nde</w:t>
            </w:r>
            <w:r w:rsidRPr="00A23740">
              <w:rPr>
                <w:b/>
                <w:bCs/>
                <w:color w:val="0000FF"/>
                <w:szCs w:val="24"/>
                <w:lang w:val="x-none" w:eastAsia="x-none"/>
              </w:rPr>
              <w:t xml:space="preserve"> istihkak iddiaları, hapis hakkı için defter tutulurken ileri sürülür ve icra</w:t>
            </w:r>
            <w:r w:rsidRPr="00A23740">
              <w:rPr>
                <w:b/>
                <w:bCs/>
                <w:color w:val="0000FF"/>
                <w:szCs w:val="24"/>
                <w:lang w:eastAsia="x-none"/>
              </w:rPr>
              <w:t xml:space="preserve"> </w:t>
            </w:r>
            <w:r w:rsidRPr="00A23740">
              <w:rPr>
                <w:rStyle w:val="MaviChar"/>
              </w:rPr>
              <w:t>ve iflas dairesi</w:t>
            </w:r>
            <w:r w:rsidRPr="00A23740">
              <w:rPr>
                <w:b/>
                <w:bCs/>
                <w:color w:val="0000FF"/>
                <w:szCs w:val="24"/>
                <w:lang w:val="x-none" w:eastAsia="x-none"/>
              </w:rPr>
              <w:t xml:space="preserve"> tarafından deftere kaydedilir. İstihkak iddiaları hakkında</w:t>
            </w:r>
            <w:r w:rsidR="005938EA" w:rsidRPr="00A23740">
              <w:rPr>
                <w:b/>
                <w:bCs/>
                <w:color w:val="0000FF"/>
                <w:szCs w:val="24"/>
                <w:lang w:eastAsia="x-none"/>
              </w:rPr>
              <w:t xml:space="preserve"> </w:t>
            </w:r>
            <w:r w:rsidR="00021267" w:rsidRPr="00363170">
              <w:rPr>
                <w:rStyle w:val="KonuBalChar"/>
                <w:rFonts w:eastAsia="Calibri"/>
                <w:color w:val="0000FF"/>
              </w:rPr>
              <w:t>433 il</w:t>
            </w:r>
            <w:r w:rsidR="00F25FDB" w:rsidRPr="00363170">
              <w:rPr>
                <w:rStyle w:val="KonuBalChar"/>
                <w:rFonts w:eastAsia="Calibri"/>
                <w:color w:val="0000FF"/>
                <w:lang w:val="tr-TR"/>
              </w:rPr>
              <w:t>a</w:t>
            </w:r>
            <w:r w:rsidR="00021267" w:rsidRPr="00363170">
              <w:rPr>
                <w:rStyle w:val="KonuBalChar"/>
                <w:rFonts w:eastAsia="Calibri"/>
                <w:color w:val="0000FF"/>
              </w:rPr>
              <w:t xml:space="preserve"> 439 uncu</w:t>
            </w:r>
            <w:r w:rsidR="00021267" w:rsidRPr="00A23740">
              <w:rPr>
                <w:b/>
                <w:bCs/>
                <w:color w:val="0000FF"/>
                <w:szCs w:val="24"/>
                <w:lang w:eastAsia="x-none"/>
              </w:rPr>
              <w:t xml:space="preserve"> </w:t>
            </w:r>
            <w:r w:rsidRPr="00A23740">
              <w:rPr>
                <w:b/>
                <w:bCs/>
                <w:color w:val="0000FF"/>
                <w:szCs w:val="24"/>
                <w:lang w:val="x-none" w:eastAsia="x-none"/>
              </w:rPr>
              <w:t>madde</w:t>
            </w:r>
            <w:r w:rsidR="005938EA" w:rsidRPr="00A23740">
              <w:rPr>
                <w:b/>
                <w:bCs/>
                <w:color w:val="0000FF"/>
                <w:szCs w:val="24"/>
                <w:lang w:eastAsia="x-none"/>
              </w:rPr>
              <w:t>ler</w:t>
            </w:r>
            <w:r w:rsidRPr="00A23740">
              <w:rPr>
                <w:b/>
                <w:bCs/>
                <w:color w:val="0000FF"/>
                <w:szCs w:val="24"/>
                <w:lang w:val="x-none" w:eastAsia="x-none"/>
              </w:rPr>
              <w:t xml:space="preserve"> kıyasen uygulanır.</w:t>
            </w:r>
          </w:p>
          <w:p w:rsidR="00AA5C8C" w:rsidRPr="00A23740" w:rsidRDefault="00AA5C8C" w:rsidP="009431FF">
            <w:pPr>
              <w:tabs>
                <w:tab w:val="left" w:pos="567"/>
              </w:tabs>
              <w:rPr>
                <w:rFonts w:eastAsia="Times New Roman"/>
                <w:bCs/>
                <w:strike/>
                <w:color w:val="0000FF"/>
                <w:szCs w:val="24"/>
                <w:lang w:val="x-none" w:eastAsia="tr-TR"/>
              </w:rPr>
            </w:pPr>
          </w:p>
          <w:p w:rsidR="00A7468A" w:rsidRPr="00A23740" w:rsidRDefault="00A7468A" w:rsidP="009431FF">
            <w:pPr>
              <w:tabs>
                <w:tab w:val="left" w:pos="567"/>
              </w:tabs>
              <w:rPr>
                <w:rFonts w:eastAsia="Times New Roman"/>
                <w:b/>
                <w:bCs/>
                <w:color w:val="FF0000"/>
                <w:szCs w:val="24"/>
                <w:lang w:eastAsia="tr-TR"/>
              </w:rPr>
            </w:pPr>
          </w:p>
        </w:tc>
      </w:tr>
      <w:tr w:rsidR="007F2779" w:rsidRPr="00A23740" w:rsidTr="009431FF">
        <w:tc>
          <w:tcPr>
            <w:tcW w:w="5000" w:type="pct"/>
            <w:gridSpan w:val="2"/>
            <w:shd w:val="clear" w:color="auto" w:fill="DEEAF6"/>
          </w:tcPr>
          <w:p w:rsidR="00A839BE" w:rsidRPr="00A23740" w:rsidRDefault="000C7650" w:rsidP="009431FF">
            <w:pPr>
              <w:tabs>
                <w:tab w:val="left" w:pos="567"/>
              </w:tabs>
              <w:ind w:firstLine="709"/>
              <w:rPr>
                <w:bCs/>
                <w:color w:val="7030A0"/>
                <w:szCs w:val="24"/>
                <w:lang w:eastAsia="x-none"/>
              </w:rPr>
            </w:pPr>
            <w:r w:rsidRPr="00A23740">
              <w:rPr>
                <w:bCs/>
                <w:color w:val="7030A0"/>
                <w:szCs w:val="24"/>
                <w:lang w:eastAsia="x-none"/>
              </w:rPr>
              <w:tab/>
            </w:r>
          </w:p>
          <w:p w:rsidR="00A839BE" w:rsidRPr="00A23740" w:rsidRDefault="007F2779" w:rsidP="009431FF">
            <w:pPr>
              <w:tabs>
                <w:tab w:val="left" w:pos="567"/>
              </w:tabs>
              <w:ind w:firstLine="709"/>
              <w:rPr>
                <w:b/>
                <w:bCs/>
                <w:color w:val="0000FF"/>
                <w:szCs w:val="24"/>
                <w:lang w:eastAsia="x-none"/>
              </w:rPr>
            </w:pPr>
            <w:r w:rsidRPr="00A23740">
              <w:rPr>
                <w:b/>
              </w:rPr>
              <w:t xml:space="preserve">MADDE </w:t>
            </w:r>
            <w:r w:rsidR="009D57E1" w:rsidRPr="00A23740">
              <w:rPr>
                <w:b/>
              </w:rPr>
              <w:t>152</w:t>
            </w:r>
            <w:r w:rsidRPr="00A23740">
              <w:rPr>
                <w:b/>
              </w:rPr>
              <w:t>-</w:t>
            </w:r>
            <w:r w:rsidR="00A839BE" w:rsidRPr="00A23740">
              <w:t xml:space="preserve"> Maddeyle,</w:t>
            </w:r>
            <w:r w:rsidR="005938EA" w:rsidRPr="00A23740">
              <w:t xml:space="preserve"> kiraya veren</w:t>
            </w:r>
            <w:r w:rsidR="00077ED2" w:rsidRPr="00A23740">
              <w:t>in</w:t>
            </w:r>
            <w:r w:rsidR="00A839BE" w:rsidRPr="00A23740">
              <w:t xml:space="preserve"> hapis hakkının paraya çevrilmesinde istihkak iddialarına ilişkin hususlar düzenlenmektedir. Hüküm, 2004 sayılı Kanunun 271 inci </w:t>
            </w:r>
            <w:r w:rsidR="005938EA" w:rsidRPr="00A23740">
              <w:t>maddesine karşılık gelmektedir.</w:t>
            </w:r>
          </w:p>
          <w:p w:rsidR="00B246CD" w:rsidRPr="00A23740" w:rsidRDefault="00A839BE" w:rsidP="009431FF">
            <w:pPr>
              <w:tabs>
                <w:tab w:val="left" w:pos="567"/>
              </w:tabs>
              <w:ind w:firstLine="709"/>
              <w:rPr>
                <w:b/>
                <w:bCs/>
                <w:color w:val="7030A0"/>
                <w:szCs w:val="24"/>
                <w:lang w:eastAsia="x-none"/>
              </w:rPr>
            </w:pPr>
            <w:r w:rsidRPr="00A23740">
              <w:t>Taslağın</w:t>
            </w:r>
            <w:r w:rsidR="00021267" w:rsidRPr="00A23740">
              <w:t xml:space="preserve"> </w:t>
            </w:r>
            <w:r w:rsidR="00021267" w:rsidRPr="00363170">
              <w:t>152 nci</w:t>
            </w:r>
            <w:r w:rsidRPr="00A23740">
              <w:t xml:space="preserve"> </w:t>
            </w:r>
            <w:r w:rsidR="007F2779" w:rsidRPr="00A23740">
              <w:t>maddesinde</w:t>
            </w:r>
            <w:r w:rsidRPr="00A23740">
              <w:t>,</w:t>
            </w:r>
            <w:r w:rsidR="007F2779" w:rsidRPr="00A23740">
              <w:t xml:space="preserve"> </w:t>
            </w:r>
            <w:r w:rsidRPr="00A23740">
              <w:t xml:space="preserve">2004 sayılı Kanun </w:t>
            </w:r>
            <w:r w:rsidR="007F2779" w:rsidRPr="00A23740">
              <w:t xml:space="preserve">hakkındaki </w:t>
            </w:r>
            <w:r w:rsidR="00077ED2" w:rsidRPr="00A23740">
              <w:t>bilimsel ve yargısal</w:t>
            </w:r>
            <w:r w:rsidR="007F2779" w:rsidRPr="00A23740">
              <w:t xml:space="preserve"> içtihatlarda kabul edildiği üzere </w:t>
            </w:r>
            <w:r w:rsidR="00077ED2" w:rsidRPr="00363170">
              <w:rPr>
                <w:bCs/>
              </w:rPr>
              <w:t>kiraya</w:t>
            </w:r>
            <w:r w:rsidR="00077ED2" w:rsidRPr="00A23740">
              <w:rPr>
                <w:rStyle w:val="MaviChar"/>
                <w:b w:val="0"/>
              </w:rPr>
              <w:t xml:space="preserve"> </w:t>
            </w:r>
            <w:r w:rsidR="00077ED2" w:rsidRPr="00363170">
              <w:rPr>
                <w:bCs/>
              </w:rPr>
              <w:t>verenin</w:t>
            </w:r>
            <w:r w:rsidR="007F2779" w:rsidRPr="00A23740">
              <w:t xml:space="preserve"> hapis hakkının paraya çevrilmesinde istihkak iddialarını</w:t>
            </w:r>
            <w:r w:rsidRPr="00A23740">
              <w:t>n,</w:t>
            </w:r>
            <w:r w:rsidR="007F2779" w:rsidRPr="00A23740">
              <w:t xml:space="preserve"> hapis hakkı için defter tutulurken ileri sürülec</w:t>
            </w:r>
            <w:r w:rsidRPr="00A23740">
              <w:t>eği,</w:t>
            </w:r>
            <w:r w:rsidR="007F2779" w:rsidRPr="00A23740">
              <w:t xml:space="preserve"> icra ve iflas dairesi tarafından deftere kaydedileceği ve bu iddialar hakkında hacizdeki istihkak iddialarına ait hükümlerin uygulanacağı tasrih olunmuştur.</w:t>
            </w:r>
          </w:p>
          <w:p w:rsidR="007F2779" w:rsidRPr="00A23740" w:rsidRDefault="007F2779" w:rsidP="009431FF">
            <w:pPr>
              <w:keepNext/>
              <w:ind w:firstLine="709"/>
              <w:jc w:val="center"/>
              <w:outlineLvl w:val="3"/>
              <w:rPr>
                <w:rFonts w:eastAsia="Times New Roman"/>
                <w:b/>
                <w:bCs/>
                <w:color w:val="0000FF"/>
                <w:szCs w:val="28"/>
              </w:rPr>
            </w:pPr>
          </w:p>
        </w:tc>
      </w:tr>
      <w:tr w:rsidR="00AA5C8C" w:rsidRPr="00A23740" w:rsidTr="009431FF">
        <w:tc>
          <w:tcPr>
            <w:tcW w:w="2500" w:type="pct"/>
          </w:tcPr>
          <w:p w:rsidR="00AA5C8C" w:rsidRPr="00A23740" w:rsidRDefault="00AA5C8C" w:rsidP="009431FF">
            <w:pPr>
              <w:tabs>
                <w:tab w:val="left" w:pos="567"/>
              </w:tabs>
              <w:rPr>
                <w:b/>
                <w:strike/>
                <w:color w:val="FF0000"/>
                <w:szCs w:val="24"/>
              </w:rPr>
            </w:pPr>
            <w:r w:rsidRPr="00A23740">
              <w:t xml:space="preserve">Kaçırılan </w:t>
            </w:r>
            <w:r w:rsidRPr="00A23740">
              <w:rPr>
                <w:b/>
                <w:strike/>
                <w:color w:val="FF0000"/>
                <w:szCs w:val="24"/>
              </w:rPr>
              <w:t>eşyayı</w:t>
            </w:r>
            <w:r w:rsidRPr="00A23740">
              <w:rPr>
                <w:b/>
                <w:color w:val="FF0000"/>
                <w:szCs w:val="24"/>
              </w:rPr>
              <w:t xml:space="preserve"> </w:t>
            </w:r>
            <w:r w:rsidRPr="00A23740">
              <w:t>takip hakkı</w:t>
            </w:r>
            <w:r w:rsidRPr="00A23740">
              <w:rPr>
                <w:b/>
                <w:strike/>
                <w:color w:val="FF0000"/>
                <w:szCs w:val="24"/>
              </w:rPr>
              <w:t>:</w:t>
            </w:r>
          </w:p>
          <w:p w:rsidR="00AA5C8C" w:rsidRPr="00A23740" w:rsidRDefault="00AA5C8C" w:rsidP="009431FF">
            <w:pPr>
              <w:tabs>
                <w:tab w:val="left" w:pos="567"/>
              </w:tabs>
              <w:rPr>
                <w:b/>
                <w:strike/>
                <w:color w:val="FF0000"/>
                <w:szCs w:val="24"/>
              </w:rPr>
            </w:pPr>
            <w:r w:rsidRPr="00A23740">
              <w:rPr>
                <w:b/>
                <w:strike/>
                <w:color w:val="FF0000"/>
                <w:szCs w:val="24"/>
              </w:rPr>
              <w:t>Madde 271 – (1) (Değişik: 18/2/1965 - 538/111 md.)</w:t>
            </w:r>
          </w:p>
          <w:p w:rsidR="00AA5C8C" w:rsidRPr="00A23740" w:rsidRDefault="00AA5C8C" w:rsidP="009431FF">
            <w:pPr>
              <w:tabs>
                <w:tab w:val="left" w:pos="567"/>
              </w:tabs>
              <w:rPr>
                <w:b/>
                <w:strike/>
                <w:color w:val="FF0000"/>
                <w:szCs w:val="24"/>
              </w:rPr>
            </w:pPr>
            <w:r w:rsidRPr="00A23740">
              <w:rPr>
                <w:b/>
                <w:strike/>
                <w:color w:val="FF0000"/>
                <w:szCs w:val="24"/>
              </w:rPr>
              <w:t>Gizlice veya cebirle götürülmüş eşya, götürülmelerinden on gün içinde icra dairesinin emri ile ve zabıta kuvvetiyle geri alınabilir.</w:t>
            </w:r>
            <w:r w:rsidRPr="00A23740">
              <w:rPr>
                <w:szCs w:val="24"/>
              </w:rPr>
              <w:t xml:space="preserve"> İyi niyet sahibi üçüncü </w:t>
            </w:r>
            <w:r w:rsidRPr="00A23740">
              <w:rPr>
                <w:b/>
                <w:bCs/>
                <w:strike/>
                <w:color w:val="FF0000"/>
                <w:szCs w:val="24"/>
              </w:rPr>
              <w:t>şahısların</w:t>
            </w:r>
            <w:r w:rsidRPr="00A23740">
              <w:rPr>
                <w:szCs w:val="24"/>
              </w:rPr>
              <w:t xml:space="preserve"> hakları saklıdır.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b/>
                <w:strike/>
                <w:color w:val="FF0000"/>
                <w:szCs w:val="24"/>
              </w:rPr>
              <w:t>(2) İhtilaf halinde mahkeme basit yargılama usulü ile meseleyi halleder ve karara bağlar.</w:t>
            </w:r>
          </w:p>
          <w:p w:rsidR="00AA5C8C" w:rsidRPr="00A23740" w:rsidRDefault="00AA5C8C" w:rsidP="009431FF">
            <w:pPr>
              <w:tabs>
                <w:tab w:val="left" w:pos="567"/>
              </w:tabs>
              <w:rPr>
                <w:b/>
                <w:szCs w:val="24"/>
              </w:rPr>
            </w:pPr>
          </w:p>
        </w:tc>
        <w:tc>
          <w:tcPr>
            <w:tcW w:w="2500" w:type="pct"/>
          </w:tcPr>
          <w:p w:rsidR="00AA5C8C" w:rsidRPr="00A23740" w:rsidRDefault="00AA5C8C" w:rsidP="009431FF">
            <w:pPr>
              <w:tabs>
                <w:tab w:val="left" w:pos="567"/>
              </w:tabs>
              <w:rPr>
                <w:b/>
                <w:szCs w:val="24"/>
              </w:rPr>
            </w:pPr>
            <w:r w:rsidRPr="00A23740">
              <w:rPr>
                <w:b/>
                <w:szCs w:val="24"/>
              </w:rPr>
              <w:t xml:space="preserve">Kaçırılan </w:t>
            </w:r>
            <w:r w:rsidRPr="00A23740">
              <w:rPr>
                <w:b/>
                <w:bCs/>
                <w:color w:val="0000FF"/>
                <w:szCs w:val="24"/>
                <w:lang w:val="x-none" w:eastAsia="x-none"/>
              </w:rPr>
              <w:t>malı</w:t>
            </w:r>
            <w:r w:rsidRPr="00A23740">
              <w:rPr>
                <w:b/>
                <w:szCs w:val="24"/>
              </w:rPr>
              <w:t xml:space="preserve"> takip hakkı</w:t>
            </w:r>
          </w:p>
          <w:p w:rsidR="00AA5C8C" w:rsidRPr="00A23740" w:rsidRDefault="00AA5C8C" w:rsidP="009431FF">
            <w:pPr>
              <w:tabs>
                <w:tab w:val="left" w:pos="567"/>
              </w:tabs>
              <w:rPr>
                <w:rFonts w:eastAsia="Times New Roman"/>
                <w:b/>
                <w:color w:val="0000FF"/>
                <w:szCs w:val="24"/>
                <w:lang w:eastAsia="x-none"/>
              </w:rPr>
            </w:pPr>
            <w:r w:rsidRPr="00A23740">
              <w:rPr>
                <w:rFonts w:eastAsia="Times New Roman"/>
                <w:b/>
                <w:color w:val="0000FF"/>
                <w:szCs w:val="24"/>
                <w:lang w:val="x-none" w:eastAsia="x-none"/>
              </w:rPr>
              <w:t xml:space="preserve">MADDE </w:t>
            </w:r>
            <w:r w:rsidR="009D57E1" w:rsidRPr="00A23740">
              <w:rPr>
                <w:rFonts w:eastAsia="ヒラギノ明朝 Pro W3"/>
                <w:b/>
                <w:color w:val="0000FF"/>
                <w:szCs w:val="24"/>
                <w:lang w:eastAsia="x-none"/>
              </w:rPr>
              <w:t>153</w:t>
            </w:r>
            <w:r w:rsidRPr="00A23740">
              <w:rPr>
                <w:rFonts w:eastAsia="Times New Roman"/>
                <w:b/>
                <w:color w:val="0000FF"/>
                <w:szCs w:val="24"/>
                <w:lang w:val="x-none" w:eastAsia="x-none"/>
              </w:rPr>
              <w:t>-</w:t>
            </w:r>
            <w:r w:rsidRPr="00A23740">
              <w:rPr>
                <w:rFonts w:eastAsia="Times New Roman"/>
                <w:bCs/>
                <w:color w:val="FF0000"/>
                <w:szCs w:val="24"/>
                <w:lang w:val="x-none" w:eastAsia="x-none"/>
              </w:rPr>
              <w:t xml:space="preserve"> </w:t>
            </w:r>
            <w:r w:rsidRPr="00A23740">
              <w:rPr>
                <w:rFonts w:eastAsia="Times New Roman"/>
                <w:b/>
                <w:color w:val="0000FF"/>
                <w:szCs w:val="24"/>
                <w:lang w:val="x-none" w:eastAsia="x-none"/>
              </w:rPr>
              <w:t>(1) Hapis hakkına tabi olup defteri tutulmuş veya tutulmamış malların gizlice veya zorla götürülmesi h</w:t>
            </w:r>
            <w:r w:rsidR="00E54A6B" w:rsidRPr="00A23740">
              <w:rPr>
                <w:rFonts w:eastAsia="Times New Roman"/>
                <w:b/>
                <w:color w:val="0000FF"/>
                <w:szCs w:val="24"/>
                <w:lang w:eastAsia="x-none"/>
              </w:rPr>
              <w:t>â</w:t>
            </w:r>
            <w:r w:rsidRPr="00A23740">
              <w:rPr>
                <w:rFonts w:eastAsia="Times New Roman"/>
                <w:b/>
                <w:color w:val="0000FF"/>
                <w:szCs w:val="24"/>
                <w:lang w:val="x-none" w:eastAsia="x-none"/>
              </w:rPr>
              <w:t xml:space="preserve">linde, </w:t>
            </w:r>
            <w:r w:rsidR="00077ED2" w:rsidRPr="00A23740">
              <w:rPr>
                <w:rFonts w:eastAsia="Times New Roman"/>
                <w:b/>
                <w:color w:val="0000FF"/>
                <w:szCs w:val="24"/>
                <w:lang w:eastAsia="x-none"/>
              </w:rPr>
              <w:t xml:space="preserve">kiraya veren </w:t>
            </w:r>
            <w:r w:rsidRPr="00A23740">
              <w:rPr>
                <w:rFonts w:eastAsia="Times New Roman"/>
                <w:b/>
                <w:color w:val="0000FF"/>
                <w:szCs w:val="24"/>
                <w:lang w:val="x-none" w:eastAsia="x-none"/>
              </w:rPr>
              <w:t>bu malların götürülmesinden itibaren iki hafta içinde icra</w:t>
            </w:r>
            <w:r w:rsidRPr="00A23740">
              <w:rPr>
                <w:rFonts w:eastAsia="Times New Roman"/>
                <w:b/>
                <w:color w:val="0000FF"/>
                <w:szCs w:val="24"/>
                <w:lang w:eastAsia="x-none"/>
              </w:rPr>
              <w:t xml:space="preserve"> </w:t>
            </w:r>
            <w:r w:rsidRPr="00A23740">
              <w:rPr>
                <w:rStyle w:val="MaviChar"/>
              </w:rPr>
              <w:t xml:space="preserve">ve iflas dairesine başvurarak malların gerekirse zabıta kuvvetiyle </w:t>
            </w:r>
            <w:r w:rsidRPr="00A23740">
              <w:rPr>
                <w:rFonts w:eastAsia="Times New Roman"/>
                <w:b/>
                <w:color w:val="0000FF"/>
                <w:szCs w:val="24"/>
                <w:lang w:val="x-none" w:eastAsia="x-none"/>
              </w:rPr>
              <w:t>iadesini isteyebilir.</w:t>
            </w:r>
            <w:r w:rsidRPr="00A23740">
              <w:rPr>
                <w:rFonts w:eastAsia="Times New Roman"/>
                <w:b/>
                <w:color w:val="0000FF"/>
                <w:szCs w:val="24"/>
                <w:lang w:eastAsia="x-none"/>
              </w:rPr>
              <w:t xml:space="preserve"> </w:t>
            </w:r>
            <w:r w:rsidRPr="00A23740">
              <w:rPr>
                <w:rStyle w:val="MaviChar"/>
              </w:rPr>
              <w:t>İyi niyet sahibi üçüncü kişilerin hakları saklıdır.</w:t>
            </w:r>
          </w:p>
          <w:p w:rsidR="00AA5C8C" w:rsidRPr="00A23740" w:rsidRDefault="00AA5C8C" w:rsidP="009431FF">
            <w:pPr>
              <w:tabs>
                <w:tab w:val="left" w:pos="567"/>
              </w:tabs>
              <w:rPr>
                <w:szCs w:val="24"/>
              </w:rPr>
            </w:pPr>
          </w:p>
          <w:p w:rsidR="005F60FC" w:rsidRDefault="00AA5C8C" w:rsidP="009431FF">
            <w:pPr>
              <w:tabs>
                <w:tab w:val="left" w:pos="567"/>
              </w:tabs>
              <w:rPr>
                <w:b/>
                <w:bCs/>
                <w:color w:val="0000FF"/>
                <w:szCs w:val="24"/>
                <w:lang w:val="x-none" w:eastAsia="x-none"/>
              </w:rPr>
            </w:pPr>
            <w:r w:rsidRPr="00A23740">
              <w:rPr>
                <w:b/>
                <w:bCs/>
                <w:color w:val="0000FF"/>
                <w:szCs w:val="24"/>
                <w:lang w:val="x-none" w:eastAsia="x-none"/>
              </w:rPr>
              <w:t>(2) Üçüncü kişi,</w:t>
            </w:r>
            <w:r w:rsidRPr="00A23740">
              <w:rPr>
                <w:b/>
                <w:bCs/>
                <w:color w:val="0000FF"/>
                <w:szCs w:val="24"/>
                <w:lang w:eastAsia="x-none"/>
              </w:rPr>
              <w:t xml:space="preserve"> </w:t>
            </w:r>
            <w:r w:rsidRPr="00A23740">
              <w:rPr>
                <w:rStyle w:val="MaviChar"/>
              </w:rPr>
              <w:t>hapis hakkına tabi olup</w:t>
            </w:r>
            <w:r w:rsidRPr="00A23740">
              <w:rPr>
                <w:b/>
                <w:bCs/>
                <w:color w:val="0000FF"/>
                <w:szCs w:val="24"/>
                <w:lang w:val="x-none" w:eastAsia="x-none"/>
              </w:rPr>
              <w:t xml:space="preserve"> kiralanandan zorla veya gizlice uzaklaştırılan </w:t>
            </w:r>
            <w:r w:rsidRPr="00A23740">
              <w:rPr>
                <w:b/>
                <w:bCs/>
                <w:color w:val="0000FF"/>
                <w:szCs w:val="24"/>
                <w:lang w:eastAsia="x-none"/>
              </w:rPr>
              <w:t>mal</w:t>
            </w:r>
            <w:r w:rsidRPr="00A23740">
              <w:rPr>
                <w:b/>
                <w:bCs/>
                <w:color w:val="0000FF"/>
                <w:szCs w:val="24"/>
                <w:lang w:val="x-none" w:eastAsia="x-none"/>
              </w:rPr>
              <w:t xml:space="preserve"> üzerinde bir hak iddia ederek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dairesinin </w:t>
            </w:r>
            <w:r w:rsidRPr="00A23740">
              <w:rPr>
                <w:b/>
                <w:bCs/>
                <w:color w:val="0000FF"/>
                <w:szCs w:val="24"/>
                <w:lang w:eastAsia="x-none"/>
              </w:rPr>
              <w:t>malı</w:t>
            </w:r>
            <w:r w:rsidRPr="00A23740">
              <w:rPr>
                <w:b/>
                <w:bCs/>
                <w:color w:val="0000FF"/>
                <w:szCs w:val="24"/>
                <w:lang w:val="x-none" w:eastAsia="x-none"/>
              </w:rPr>
              <w:t xml:space="preserve"> geri alma işlemine karşı çıkars</w:t>
            </w:r>
            <w:r w:rsidRPr="00A23740">
              <w:rPr>
                <w:rStyle w:val="MaviChar"/>
              </w:rPr>
              <w:t>a,</w:t>
            </w:r>
            <w:r w:rsidRPr="00A23740">
              <w:rPr>
                <w:b/>
                <w:bCs/>
                <w:color w:val="0000FF"/>
                <w:szCs w:val="24"/>
                <w:lang w:val="x-none" w:eastAsia="x-none"/>
              </w:rPr>
              <w:t xml:space="preserve">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 kiralanandan uzaklaştırılan </w:t>
            </w:r>
            <w:r w:rsidRPr="00A23740">
              <w:rPr>
                <w:b/>
                <w:bCs/>
                <w:color w:val="0000FF"/>
                <w:szCs w:val="24"/>
                <w:lang w:eastAsia="x-none"/>
              </w:rPr>
              <w:t>malın</w:t>
            </w:r>
            <w:r w:rsidRPr="00A23740">
              <w:rPr>
                <w:b/>
                <w:bCs/>
                <w:color w:val="0000FF"/>
                <w:szCs w:val="24"/>
                <w:lang w:val="x-none" w:eastAsia="x-none"/>
              </w:rPr>
              <w:t xml:space="preserve"> geri alınmasını erteler ve </w:t>
            </w:r>
            <w:r w:rsidR="00F87A2D" w:rsidRPr="00A23740">
              <w:rPr>
                <w:rStyle w:val="MaviChar"/>
              </w:rPr>
              <w:t>kiraya verene</w:t>
            </w:r>
            <w:r w:rsidRPr="00A23740">
              <w:rPr>
                <w:b/>
                <w:bCs/>
                <w:color w:val="0000FF"/>
                <w:szCs w:val="24"/>
                <w:lang w:val="x-none" w:eastAsia="x-none"/>
              </w:rPr>
              <w:t>, bu konuda üçüncü kişi aleyhine icra hukuk mahkemesinde istihkak davası açması için bir hafta süre verir.</w:t>
            </w:r>
          </w:p>
          <w:p w:rsidR="005F60FC" w:rsidRPr="00A23740" w:rsidRDefault="005F60FC" w:rsidP="009431FF">
            <w:pPr>
              <w:tabs>
                <w:tab w:val="left" w:pos="567"/>
              </w:tabs>
              <w:rPr>
                <w:rFonts w:eastAsia="Times New Roman"/>
                <w:b/>
                <w:color w:val="FF0000"/>
                <w:szCs w:val="24"/>
                <w:lang w:val="x-none" w:eastAsia="x-none"/>
              </w:rPr>
            </w:pPr>
          </w:p>
        </w:tc>
      </w:tr>
      <w:tr w:rsidR="004034CC" w:rsidRPr="00A23740" w:rsidTr="009431FF">
        <w:tc>
          <w:tcPr>
            <w:tcW w:w="5000" w:type="pct"/>
            <w:gridSpan w:val="2"/>
            <w:shd w:val="clear" w:color="auto" w:fill="DEEAF6"/>
          </w:tcPr>
          <w:p w:rsidR="004034CC" w:rsidRPr="00A23740" w:rsidRDefault="004034CC" w:rsidP="009431FF">
            <w:pPr>
              <w:tabs>
                <w:tab w:val="left" w:pos="567"/>
              </w:tabs>
              <w:rPr>
                <w:bCs/>
                <w:color w:val="7030A0"/>
                <w:szCs w:val="24"/>
                <w:lang w:eastAsia="x-none"/>
              </w:rPr>
            </w:pPr>
            <w:r w:rsidRPr="00A23740">
              <w:rPr>
                <w:bCs/>
                <w:color w:val="7030A0"/>
                <w:szCs w:val="24"/>
                <w:lang w:eastAsia="x-none"/>
              </w:rPr>
              <w:tab/>
            </w:r>
          </w:p>
          <w:p w:rsidR="004034CC" w:rsidRPr="00A23740" w:rsidRDefault="004034CC" w:rsidP="009431FF">
            <w:pPr>
              <w:tabs>
                <w:tab w:val="left" w:pos="567"/>
              </w:tabs>
              <w:ind w:firstLine="709"/>
            </w:pPr>
            <w:r w:rsidRPr="00A23740">
              <w:rPr>
                <w:b/>
              </w:rPr>
              <w:t xml:space="preserve">MADDE </w:t>
            </w:r>
            <w:r w:rsidR="009D57E1" w:rsidRPr="00A23740">
              <w:rPr>
                <w:b/>
              </w:rPr>
              <w:t>153</w:t>
            </w:r>
            <w:r w:rsidRPr="00A23740">
              <w:rPr>
                <w:b/>
              </w:rPr>
              <w:t>-</w:t>
            </w:r>
            <w:r w:rsidRPr="00A23740">
              <w:t xml:space="preserve"> Maddeyle, kiralanan taşınmazda kaçırılan malı takip hakkı düzenlenmektedir. Hüküm, 2004 sayılı Kanunun 271 inci </w:t>
            </w:r>
            <w:r w:rsidR="00F87A2D" w:rsidRPr="00A23740">
              <w:t>maddesine karşılık gelmektedir.</w:t>
            </w:r>
          </w:p>
          <w:p w:rsidR="004034CC" w:rsidRPr="00A23740" w:rsidRDefault="004034CC" w:rsidP="009431FF">
            <w:pPr>
              <w:tabs>
                <w:tab w:val="left" w:pos="567"/>
              </w:tabs>
              <w:ind w:firstLine="709"/>
              <w:rPr>
                <w:b/>
              </w:rPr>
            </w:pPr>
            <w:r w:rsidRPr="00A23740">
              <w:t>Birinci fıkrayla, hapis hakkına tabi olup defteri tutulmuş veya tutulmamış malların gizlice veya zorla götürülmesi h</w:t>
            </w:r>
            <w:r w:rsidR="00E54A6B" w:rsidRPr="00A23740">
              <w:t>â</w:t>
            </w:r>
            <w:r w:rsidRPr="00A23740">
              <w:t xml:space="preserve">linde </w:t>
            </w:r>
            <w:r w:rsidR="00F87A2D" w:rsidRPr="00363170">
              <w:rPr>
                <w:bCs/>
              </w:rPr>
              <w:t>kiraya verenin</w:t>
            </w:r>
            <w:r w:rsidR="00F87A2D" w:rsidRPr="00A23740">
              <w:t xml:space="preserve"> </w:t>
            </w:r>
            <w:r w:rsidRPr="00A23740">
              <w:t xml:space="preserve">bu malların kaçırılmasından itibaren iki hafta içinde icra ve iflas dairesine başvurarak ve gerektiğinde zabıta kuvvetinin de yardımından istifade </w:t>
            </w:r>
            <w:r w:rsidR="009A0339" w:rsidRPr="00A23740">
              <w:t>ederek</w:t>
            </w:r>
            <w:r w:rsidRPr="00A23740">
              <w:t xml:space="preserve"> iadesini isteyebileceği hüküm altına alınmaktadır. İyi</w:t>
            </w:r>
            <w:r w:rsidR="00F87A2D" w:rsidRPr="00A23740">
              <w:t xml:space="preserve"> </w:t>
            </w:r>
            <w:r w:rsidRPr="00A23740">
              <w:t>niyet sahibi üçüncü kişilerin haklarının saklı olacağı da</w:t>
            </w:r>
            <w:r w:rsidR="00F87A2D" w:rsidRPr="00A23740">
              <w:t xml:space="preserve"> </w:t>
            </w:r>
            <w:r w:rsidR="00F87A2D" w:rsidRPr="00363170">
              <w:t>maddede</w:t>
            </w:r>
            <w:r w:rsidRPr="00A23740">
              <w:t xml:space="preserve"> ayrıca belirtilmektedir. </w:t>
            </w:r>
            <w:r w:rsidR="00F87A2D" w:rsidRPr="00363170">
              <w:rPr>
                <w:bCs/>
              </w:rPr>
              <w:t>Öte yandan,</w:t>
            </w:r>
            <w:r w:rsidR="00F87A2D" w:rsidRPr="00A23740">
              <w:t xml:space="preserve"> </w:t>
            </w:r>
            <w:r w:rsidRPr="00A23740">
              <w:t>defteri tutulmuş malların zorla götürülmesiyle ilgili olarak</w:t>
            </w:r>
            <w:r w:rsidR="00F87A2D" w:rsidRPr="00A23740">
              <w:t xml:space="preserve"> </w:t>
            </w:r>
            <w:r w:rsidR="00F87A2D" w:rsidRPr="00363170">
              <w:t>Taslağın</w:t>
            </w:r>
            <w:r w:rsidRPr="00A23740">
              <w:t xml:space="preserve"> 2004 sayılı Kanunun 335 inci maddesine karşılık gelen </w:t>
            </w:r>
            <w:r w:rsidR="00907EB9" w:rsidRPr="00363170">
              <w:rPr>
                <w:bCs/>
              </w:rPr>
              <w:t xml:space="preserve">519 </w:t>
            </w:r>
            <w:r w:rsidR="005C136C" w:rsidRPr="00363170">
              <w:rPr>
                <w:bCs/>
              </w:rPr>
              <w:t>uncu</w:t>
            </w:r>
            <w:r w:rsidR="005C136C" w:rsidRPr="00A23740">
              <w:rPr>
                <w:rStyle w:val="KonuBalChar"/>
                <w:rFonts w:eastAsia="Calibri"/>
                <w:lang w:val="tr-TR"/>
              </w:rPr>
              <w:t xml:space="preserve"> </w:t>
            </w:r>
            <w:r w:rsidR="008F4034" w:rsidRPr="00A23740">
              <w:t>maddes</w:t>
            </w:r>
            <w:r w:rsidR="00F87A2D" w:rsidRPr="00A23740">
              <w:t xml:space="preserve">inde </w:t>
            </w:r>
            <w:r w:rsidR="009A0339" w:rsidRPr="00A23740">
              <w:t xml:space="preserve">özel </w:t>
            </w:r>
            <w:r w:rsidR="00F87A2D" w:rsidRPr="00363170">
              <w:t>bir</w:t>
            </w:r>
            <w:r w:rsidR="00F87A2D" w:rsidRPr="00A23740">
              <w:t xml:space="preserve"> suç </w:t>
            </w:r>
            <w:r w:rsidR="00F87A2D" w:rsidRPr="00363170">
              <w:rPr>
                <w:bCs/>
              </w:rPr>
              <w:t>ihdas edilmiştir</w:t>
            </w:r>
            <w:r w:rsidR="00F87A2D" w:rsidRPr="00A23740">
              <w:rPr>
                <w:b/>
              </w:rPr>
              <w:t>.</w:t>
            </w:r>
          </w:p>
          <w:p w:rsidR="00B246CD" w:rsidRPr="00A23740" w:rsidRDefault="004034CC" w:rsidP="009431FF">
            <w:pPr>
              <w:tabs>
                <w:tab w:val="left" w:pos="567"/>
              </w:tabs>
              <w:ind w:firstLine="709"/>
              <w:rPr>
                <w:b/>
                <w:bCs/>
                <w:color w:val="7030A0"/>
                <w:szCs w:val="24"/>
                <w:lang w:eastAsia="x-none"/>
              </w:rPr>
            </w:pPr>
            <w:r w:rsidRPr="00A23740">
              <w:t xml:space="preserve">İkinci fıkrayla, </w:t>
            </w:r>
            <w:r w:rsidR="008F4034" w:rsidRPr="00A23740">
              <w:t>üçüncü kişinin hapis hakkına tabi olup kiralanandan zorla veya gizlice kaçırılan mal üzerinde bir hak iddia ederek</w:t>
            </w:r>
            <w:r w:rsidR="00F87A2D" w:rsidRPr="00A23740">
              <w:t xml:space="preserve"> </w:t>
            </w:r>
            <w:r w:rsidR="00F87A2D" w:rsidRPr="00363170">
              <w:t>icra</w:t>
            </w:r>
            <w:r w:rsidR="00F87A2D" w:rsidRPr="00363170">
              <w:rPr>
                <w:b/>
                <w:bCs/>
              </w:rPr>
              <w:t xml:space="preserve"> </w:t>
            </w:r>
            <w:r w:rsidR="00F87A2D" w:rsidRPr="00363170">
              <w:t>ve</w:t>
            </w:r>
            <w:r w:rsidR="008F4034" w:rsidRPr="00A23740">
              <w:t xml:space="preserve"> iflas dairesinin malı geri alma işlemine karşı çıkması h</w:t>
            </w:r>
            <w:r w:rsidR="00E54A6B" w:rsidRPr="00A23740">
              <w:t>â</w:t>
            </w:r>
            <w:r w:rsidR="008F4034" w:rsidRPr="00A23740">
              <w:t>linde</w:t>
            </w:r>
            <w:r w:rsidR="00F87A2D" w:rsidRPr="00363170">
              <w:t>,</w:t>
            </w:r>
            <w:r w:rsidR="008F4034" w:rsidRPr="00A23740">
              <w:t xml:space="preserve"> icra ve iflas dairesinin malın geri alınmasını erteleyeceği ve </w:t>
            </w:r>
            <w:r w:rsidR="00F87A2D" w:rsidRPr="00363170">
              <w:t>kiraya</w:t>
            </w:r>
            <w:r w:rsidR="00F87A2D" w:rsidRPr="00A23740">
              <w:rPr>
                <w:rStyle w:val="MaviChar"/>
              </w:rPr>
              <w:t xml:space="preserve"> </w:t>
            </w:r>
            <w:r w:rsidR="00F87A2D" w:rsidRPr="00363170">
              <w:t>verene</w:t>
            </w:r>
            <w:r w:rsidR="008F4034" w:rsidRPr="00A23740">
              <w:t xml:space="preserve"> bu konuda üçüncü kişi aleyhine icra hukuk mahkemesinde istihkak davası açması için bir hafta süre vereceği düzenlenmektedir. </w:t>
            </w:r>
            <w:r w:rsidR="00B246CD" w:rsidRPr="00A23740">
              <w:t xml:space="preserve">Bu şekilde üçüncü kişinin ileri sürdüğü hak ile </w:t>
            </w:r>
            <w:r w:rsidR="00F87A2D" w:rsidRPr="00363170">
              <w:t>kiraya verenin</w:t>
            </w:r>
            <w:r w:rsidR="00F87A2D" w:rsidRPr="00A23740">
              <w:t xml:space="preserve"> </w:t>
            </w:r>
            <w:r w:rsidR="00B246CD" w:rsidRPr="00A23740">
              <w:t xml:space="preserve">hakkı </w:t>
            </w:r>
            <w:r w:rsidR="00F87A2D" w:rsidRPr="00363170">
              <w:t>uzlaştırılmakta</w:t>
            </w:r>
            <w:r w:rsidR="00B246CD" w:rsidRPr="00A23740">
              <w:t xml:space="preserve">, malın </w:t>
            </w:r>
            <w:r w:rsidR="00DF22A1" w:rsidRPr="00A23740">
              <w:rPr>
                <w:szCs w:val="24"/>
              </w:rPr>
              <w:t xml:space="preserve">derhâl </w:t>
            </w:r>
            <w:r w:rsidR="00B246CD" w:rsidRPr="00A23740">
              <w:t>geri alınması ertelenerek icra hukuk mahkemesinin verec</w:t>
            </w:r>
            <w:r w:rsidR="00F87A2D" w:rsidRPr="00A23740">
              <w:t>eği karara bağlı kılınmaktadır.</w:t>
            </w:r>
          </w:p>
          <w:p w:rsidR="004034CC" w:rsidRPr="00A23740" w:rsidRDefault="004034CC" w:rsidP="009431FF">
            <w:pPr>
              <w:keepNext/>
              <w:jc w:val="left"/>
              <w:outlineLvl w:val="3"/>
              <w:rPr>
                <w:rFonts w:eastAsia="Times New Roman"/>
                <w:b/>
                <w:bCs/>
                <w:color w:val="0000FF"/>
                <w:szCs w:val="28"/>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jc w:val="center"/>
              <w:rPr>
                <w:rFonts w:eastAsia="Times New Roman"/>
                <w:b/>
                <w:bCs/>
                <w:strike/>
                <w:color w:val="FF0000"/>
                <w:szCs w:val="24"/>
                <w:lang w:eastAsia="x-none"/>
              </w:rPr>
            </w:pPr>
            <w:r w:rsidRPr="00A23740">
              <w:br w:type="page"/>
            </w:r>
            <w:r w:rsidRPr="00A23740">
              <w:rPr>
                <w:rFonts w:eastAsia="Times New Roman"/>
                <w:b/>
                <w:bCs/>
                <w:strike/>
                <w:color w:val="FF0000"/>
                <w:szCs w:val="24"/>
                <w:lang w:eastAsia="x-none"/>
              </w:rPr>
              <w:t>DÖRDÜNCÜ BAP</w:t>
            </w:r>
          </w:p>
          <w:p w:rsidR="00AA5C8C" w:rsidRPr="00A23740" w:rsidRDefault="00AA5C8C" w:rsidP="009431FF">
            <w:pPr>
              <w:tabs>
                <w:tab w:val="left" w:pos="567"/>
              </w:tabs>
              <w:jc w:val="center"/>
              <w:rPr>
                <w:rFonts w:eastAsia="Times New Roman"/>
                <w:b/>
                <w:bCs/>
                <w:strike/>
                <w:color w:val="FF0000"/>
                <w:szCs w:val="24"/>
                <w:lang w:eastAsia="x-none"/>
              </w:rPr>
            </w:pPr>
            <w:r w:rsidRPr="00A23740">
              <w:rPr>
                <w:rFonts w:eastAsia="Times New Roman"/>
                <w:b/>
                <w:bCs/>
                <w:strike/>
                <w:color w:val="FF0000"/>
                <w:szCs w:val="24"/>
                <w:lang w:eastAsia="x-none"/>
              </w:rPr>
              <w:t>Haciz yoliyle takip</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I. MAL BEYANI</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Beyanın muhteviyatı:</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Madde 74 – (1) Mal beyanı</w:t>
            </w:r>
            <w:r w:rsidRPr="00A23740">
              <w:t>,</w:t>
            </w:r>
            <w:r w:rsidRPr="00A23740">
              <w:rPr>
                <w:szCs w:val="24"/>
              </w:rPr>
              <w:t xml:space="preserve"> borçlu</w:t>
            </w:r>
            <w:r w:rsidRPr="00A23740">
              <w:rPr>
                <w:rFonts w:eastAsia="Times New Roman"/>
                <w:b/>
                <w:strike/>
                <w:color w:val="FF0000"/>
                <w:szCs w:val="24"/>
                <w:lang w:eastAsia="tr-TR"/>
              </w:rPr>
              <w:t>nun</w:t>
            </w:r>
            <w:r w:rsidRPr="00A23740">
              <w:rPr>
                <w:szCs w:val="24"/>
              </w:rPr>
              <w:t xml:space="preserve"> gerek kendi</w:t>
            </w:r>
            <w:r w:rsidRPr="00A23740">
              <w:rPr>
                <w:rFonts w:eastAsia="Times New Roman"/>
                <w:b/>
                <w:strike/>
                <w:color w:val="FF0000"/>
                <w:szCs w:val="24"/>
                <w:lang w:eastAsia="tr-TR"/>
              </w:rPr>
              <w:t>sinde ve</w:t>
            </w:r>
            <w:r w:rsidRPr="00A23740">
              <w:rPr>
                <w:szCs w:val="24"/>
              </w:rPr>
              <w:t xml:space="preserve"> gerek üçüncü </w:t>
            </w:r>
            <w:r w:rsidRPr="00A23740">
              <w:rPr>
                <w:rFonts w:eastAsia="Times New Roman"/>
                <w:b/>
                <w:strike/>
                <w:color w:val="FF0000"/>
                <w:szCs w:val="24"/>
                <w:lang w:eastAsia="tr-TR"/>
              </w:rPr>
              <w:t>şahıslar yedinde</w:t>
            </w:r>
            <w:r w:rsidRPr="00A23740">
              <w:rPr>
                <w:szCs w:val="24"/>
              </w:rPr>
              <w:t xml:space="preserve"> bulunan mal ve alaca</w:t>
            </w:r>
            <w:r w:rsidRPr="00A23740">
              <w:rPr>
                <w:rFonts w:eastAsia="Times New Roman"/>
                <w:b/>
                <w:strike/>
                <w:color w:val="FF0000"/>
                <w:szCs w:val="24"/>
                <w:lang w:eastAsia="tr-TR"/>
              </w:rPr>
              <w:t xml:space="preserve">k ve haklarında borcuna yetecek miktarın nevi ve mahiyet ve vasıflarını ve her türlü </w:t>
            </w:r>
            <w:r w:rsidRPr="00A23740">
              <w:rPr>
                <w:szCs w:val="24"/>
              </w:rPr>
              <w:t>kazanç ve gelir</w:t>
            </w:r>
            <w:r w:rsidRPr="00A23740">
              <w:rPr>
                <w:b/>
                <w:bCs/>
                <w:strike/>
                <w:color w:val="FF0000"/>
                <w:szCs w:val="24"/>
              </w:rPr>
              <w:t>le</w:t>
            </w:r>
            <w:r w:rsidRPr="00A23740">
              <w:rPr>
                <w:szCs w:val="24"/>
              </w:rPr>
              <w:t xml:space="preserve">rini </w:t>
            </w:r>
            <w:r w:rsidRPr="00A23740">
              <w:rPr>
                <w:rFonts w:eastAsia="Times New Roman"/>
                <w:b/>
                <w:strike/>
                <w:color w:val="FF0000"/>
                <w:szCs w:val="24"/>
                <w:lang w:eastAsia="tr-TR"/>
              </w:rPr>
              <w:t>ve yaşayış tarzına göre</w:t>
            </w:r>
            <w:r w:rsidRPr="00A23740">
              <w:rPr>
                <w:szCs w:val="24"/>
              </w:rPr>
              <w:t xml:space="preserve"> geçim</w:t>
            </w:r>
            <w:r w:rsidRPr="00A23740">
              <w:rPr>
                <w:rFonts w:eastAsia="Times New Roman"/>
                <w:b/>
                <w:strike/>
                <w:color w:val="FF0000"/>
                <w:szCs w:val="24"/>
                <w:lang w:eastAsia="tr-TR"/>
              </w:rPr>
              <w:t xml:space="preserve"> membalarını ve buna</w:t>
            </w:r>
            <w:r w:rsidRPr="00A23740">
              <w:rPr>
                <w:szCs w:val="24"/>
              </w:rPr>
              <w:t xml:space="preserve"> </w:t>
            </w:r>
            <w:r w:rsidRPr="00A23740">
              <w:rPr>
                <w:rFonts w:eastAsia="Times New Roman"/>
                <w:b/>
                <w:strike/>
                <w:color w:val="FF0000"/>
                <w:szCs w:val="24"/>
                <w:lang w:eastAsia="tr-TR"/>
              </w:rPr>
              <w:t>nazaran borcunu ne suretle</w:t>
            </w:r>
            <w:r w:rsidRPr="00A23740">
              <w:rPr>
                <w:szCs w:val="24"/>
              </w:rPr>
              <w:t xml:space="preserve"> ödeyebileceğin</w:t>
            </w:r>
            <w:r w:rsidRPr="00A23740">
              <w:rPr>
                <w:rStyle w:val="KIRMIZIChar"/>
                <w:rFonts w:eastAsia="Calibri"/>
              </w:rPr>
              <w:t>i</w:t>
            </w:r>
            <w:r w:rsidRPr="00A23740">
              <w:rPr>
                <w:szCs w:val="24"/>
              </w:rPr>
              <w:t xml:space="preserve"> </w:t>
            </w:r>
            <w:r w:rsidRPr="00A23740">
              <w:rPr>
                <w:rFonts w:eastAsia="Times New Roman"/>
                <w:b/>
                <w:strike/>
                <w:color w:val="FF0000"/>
                <w:szCs w:val="24"/>
                <w:lang w:eastAsia="tr-TR"/>
              </w:rPr>
              <w:t>yazı ile veya şifahen</w:t>
            </w:r>
            <w:r w:rsidRPr="00A23740">
              <w:rPr>
                <w:szCs w:val="24"/>
              </w:rPr>
              <w:t xml:space="preserve"> icra dairesine </w:t>
            </w:r>
            <w:r w:rsidRPr="00A23740">
              <w:t>bildirme</w:t>
            </w:r>
            <w:r w:rsidRPr="00A23740">
              <w:rPr>
                <w:rFonts w:eastAsia="Times New Roman"/>
                <w:b/>
                <w:strike/>
                <w:color w:val="FF0000"/>
                <w:szCs w:val="24"/>
                <w:lang w:eastAsia="tr-TR"/>
              </w:rPr>
              <w:t>sidir</w:t>
            </w:r>
            <w:r w:rsidRPr="00A23740">
              <w:rPr>
                <w:szCs w:val="24"/>
              </w:rPr>
              <w:t>.</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F338E7" w:rsidRPr="00A23740" w:rsidRDefault="00F338E7" w:rsidP="009431FF">
            <w:pPr>
              <w:rPr>
                <w:rFonts w:eastAsia="Times New Roman"/>
                <w:b/>
                <w:strike/>
                <w:color w:val="FF0000"/>
                <w:szCs w:val="24"/>
                <w:lang w:eastAsia="tr-TR"/>
              </w:rPr>
            </w:pPr>
          </w:p>
          <w:p w:rsidR="00C207DB" w:rsidRPr="00A23740" w:rsidRDefault="00C207DB" w:rsidP="009431FF">
            <w:pPr>
              <w:rPr>
                <w:rFonts w:eastAsia="Times New Roman"/>
                <w:b/>
                <w:strike/>
                <w:color w:val="FF0000"/>
                <w:szCs w:val="24"/>
                <w:lang w:eastAsia="tr-TR"/>
              </w:rPr>
            </w:pPr>
          </w:p>
          <w:p w:rsidR="00AA5C8C" w:rsidRPr="00A23740" w:rsidRDefault="00AA5C8C" w:rsidP="009431FF">
            <w:pPr>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Sonradan kazanılan veya ziyadeleşen malların beyanı:</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 xml:space="preserve">Madde 77 – (1) </w:t>
            </w:r>
            <w:r w:rsidRPr="00A23740">
              <w:rPr>
                <w:b/>
                <w:bCs/>
                <w:strike/>
                <w:color w:val="FF0000"/>
                <w:szCs w:val="24"/>
              </w:rPr>
              <w:t>İ</w:t>
            </w:r>
            <w:r w:rsidRPr="00A23740">
              <w:t>cra dairesine</w:t>
            </w:r>
            <w:r w:rsidRPr="00A23740">
              <w:rPr>
                <w:rFonts w:eastAsia="Times New Roman"/>
                <w:b/>
                <w:strike/>
                <w:color w:val="FF0000"/>
                <w:szCs w:val="24"/>
                <w:lang w:eastAsia="tr-TR"/>
              </w:rPr>
              <w:t xml:space="preserve"> vakı olan beyanda </w:t>
            </w:r>
            <w:r w:rsidRPr="00A23740">
              <w:t>malı olmadığını</w:t>
            </w:r>
            <w:r w:rsidRPr="00A23740">
              <w:rPr>
                <w:rFonts w:eastAsia="Times New Roman"/>
                <w:b/>
                <w:strike/>
                <w:color w:val="FF0000"/>
                <w:szCs w:val="24"/>
                <w:lang w:eastAsia="tr-TR"/>
              </w:rPr>
              <w:t xml:space="preserve"> </w:t>
            </w:r>
            <w:r w:rsidRPr="00A23740">
              <w:t xml:space="preserve">bildirmiş veya borcuna yetecek mal göstermemiş </w:t>
            </w:r>
            <w:r w:rsidRPr="00A23740">
              <w:rPr>
                <w:rStyle w:val="KIRMIZIChar"/>
                <w:rFonts w:eastAsia="Calibri"/>
              </w:rPr>
              <w:t>yahut</w:t>
            </w:r>
            <w:r w:rsidRPr="00A23740">
              <w:rPr>
                <w:rFonts w:eastAsia="Times New Roman"/>
                <w:b/>
                <w:color w:val="FF0000"/>
                <w:szCs w:val="24"/>
                <w:lang w:eastAsia="tr-TR"/>
              </w:rPr>
              <w:t xml:space="preserve"> </w:t>
            </w:r>
            <w:r w:rsidRPr="00A23740">
              <w:t xml:space="preserve">beyandan </w:t>
            </w:r>
            <w:r w:rsidRPr="00A23740">
              <w:rPr>
                <w:rFonts w:eastAsia="Times New Roman"/>
                <w:b/>
                <w:strike/>
                <w:color w:val="FF0000"/>
                <w:szCs w:val="24"/>
                <w:lang w:eastAsia="tr-TR"/>
              </w:rPr>
              <w:t>imtina etmiş olan borçlu</w:t>
            </w:r>
            <w:r w:rsidRPr="00A23740">
              <w:rPr>
                <w:rFonts w:eastAsia="Times New Roman"/>
                <w:b/>
                <w:color w:val="FF0000"/>
                <w:szCs w:val="24"/>
                <w:lang w:eastAsia="tr-TR"/>
              </w:rPr>
              <w:t xml:space="preserve"> </w:t>
            </w:r>
            <w:r w:rsidRPr="00A23740">
              <w:t xml:space="preserve">sonradan kazandığı malları ve kazancında ve gelirinde </w:t>
            </w:r>
            <w:r w:rsidRPr="00A23740">
              <w:rPr>
                <w:rFonts w:eastAsia="Times New Roman"/>
                <w:b/>
                <w:strike/>
                <w:color w:val="FF0000"/>
                <w:szCs w:val="24"/>
                <w:lang w:eastAsia="tr-TR"/>
              </w:rPr>
              <w:t>vukua gelen tezayütleri yedi gün</w:t>
            </w:r>
            <w:r w:rsidRPr="00A23740">
              <w:rPr>
                <w:rFonts w:eastAsia="Times New Roman"/>
                <w:b/>
                <w:color w:val="FF0000"/>
                <w:szCs w:val="24"/>
                <w:lang w:eastAsia="tr-TR"/>
              </w:rPr>
              <w:t xml:space="preserve"> </w:t>
            </w:r>
            <w:r w:rsidRPr="00A23740">
              <w:t>içinde</w:t>
            </w:r>
            <w:r w:rsidRPr="00A23740">
              <w:rPr>
                <w:rFonts w:eastAsia="Times New Roman"/>
                <w:b/>
                <w:color w:val="FF0000"/>
                <w:szCs w:val="24"/>
                <w:lang w:eastAsia="tr-TR"/>
              </w:rPr>
              <w:t xml:space="preserve"> </w:t>
            </w:r>
            <w:r w:rsidRPr="00A23740">
              <w:rPr>
                <w:rFonts w:eastAsia="Times New Roman"/>
                <w:b/>
                <w:strike/>
                <w:color w:val="FF0000"/>
                <w:szCs w:val="24"/>
                <w:lang w:eastAsia="tr-TR"/>
              </w:rPr>
              <w:t>mezkür</w:t>
            </w:r>
            <w:r w:rsidRPr="00A23740">
              <w:rPr>
                <w:rFonts w:eastAsia="Times New Roman"/>
                <w:b/>
                <w:color w:val="FF0000"/>
                <w:szCs w:val="24"/>
                <w:lang w:eastAsia="tr-TR"/>
              </w:rPr>
              <w:t xml:space="preserve"> </w:t>
            </w:r>
            <w:r w:rsidRPr="00A23740">
              <w:t>daire</w:t>
            </w:r>
            <w:r w:rsidRPr="00A23740">
              <w:rPr>
                <w:rFonts w:eastAsia="Times New Roman"/>
                <w:b/>
                <w:strike/>
                <w:color w:val="FF0000"/>
                <w:szCs w:val="24"/>
                <w:lang w:eastAsia="tr-TR"/>
              </w:rPr>
              <w:t xml:space="preserve">ye taahhütlü mektupla veya şifahi olarak </w:t>
            </w:r>
            <w:r w:rsidRPr="00A23740">
              <w:t>bildirme</w:t>
            </w:r>
            <w:r w:rsidRPr="00A23740">
              <w:rPr>
                <w:b/>
                <w:bCs/>
                <w:strike/>
                <w:color w:val="FF0000"/>
                <w:szCs w:val="24"/>
              </w:rPr>
              <w:t>ğe mecburdur</w:t>
            </w:r>
            <w:r w:rsidRPr="00A23740">
              <w:t>.</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keepNext/>
              <w:jc w:val="center"/>
              <w:outlineLvl w:val="1"/>
              <w:rPr>
                <w:rFonts w:eastAsia="Times New Roman"/>
                <w:b/>
                <w:bCs/>
                <w:iCs/>
                <w:color w:val="0000FF"/>
                <w:szCs w:val="28"/>
              </w:rPr>
            </w:pPr>
            <w:r w:rsidRPr="00A23740">
              <w:rPr>
                <w:rFonts w:eastAsia="Times New Roman"/>
                <w:b/>
                <w:bCs/>
                <w:iCs/>
                <w:color w:val="0000FF"/>
                <w:szCs w:val="28"/>
              </w:rPr>
              <w:t>İKİNCİ KISIM</w:t>
            </w:r>
          </w:p>
          <w:p w:rsidR="00AA5C8C" w:rsidRPr="00A23740" w:rsidRDefault="00AA5C8C" w:rsidP="009431FF">
            <w:pPr>
              <w:keepNext/>
              <w:jc w:val="center"/>
              <w:outlineLvl w:val="1"/>
              <w:rPr>
                <w:rFonts w:eastAsia="Times New Roman"/>
                <w:b/>
                <w:bCs/>
                <w:iCs/>
                <w:color w:val="0000FF"/>
                <w:szCs w:val="28"/>
              </w:rPr>
            </w:pPr>
            <w:r w:rsidRPr="00A23740">
              <w:rPr>
                <w:rFonts w:eastAsia="Times New Roman"/>
                <w:b/>
                <w:bCs/>
                <w:iCs/>
                <w:color w:val="0000FF"/>
                <w:szCs w:val="28"/>
              </w:rPr>
              <w:t>Haciz, Paraya Çevirme, Paraların Paylaştırılması ve Aciz Belgesi</w:t>
            </w:r>
          </w:p>
          <w:p w:rsidR="00AA5C8C" w:rsidRPr="00A23740" w:rsidRDefault="00AA5C8C" w:rsidP="009431FF">
            <w:pPr>
              <w:tabs>
                <w:tab w:val="left" w:pos="567"/>
              </w:tabs>
              <w:jc w:val="center"/>
              <w:rPr>
                <w:b/>
                <w:bCs/>
                <w:color w:val="0000FF"/>
                <w:szCs w:val="24"/>
                <w:lang w:eastAsia="x-none"/>
              </w:rPr>
            </w:pPr>
          </w:p>
          <w:p w:rsidR="00AA5C8C" w:rsidRPr="00A23740" w:rsidRDefault="00AA5C8C" w:rsidP="009431FF">
            <w:pPr>
              <w:keepNext/>
              <w:jc w:val="center"/>
              <w:outlineLvl w:val="2"/>
              <w:rPr>
                <w:rFonts w:eastAsia="Times New Roman"/>
                <w:b/>
                <w:bCs/>
                <w:color w:val="0000FF"/>
                <w:szCs w:val="26"/>
              </w:rPr>
            </w:pPr>
            <w:r w:rsidRPr="00A23740">
              <w:rPr>
                <w:rFonts w:eastAsia="Times New Roman"/>
                <w:b/>
                <w:bCs/>
                <w:color w:val="0000FF"/>
                <w:szCs w:val="26"/>
              </w:rPr>
              <w:t>BİRİNCİ BÖLÜM</w:t>
            </w:r>
          </w:p>
          <w:p w:rsidR="00AA5C8C" w:rsidRPr="00A23740" w:rsidRDefault="00AA5C8C" w:rsidP="009431FF">
            <w:pPr>
              <w:keepNext/>
              <w:jc w:val="center"/>
              <w:outlineLvl w:val="2"/>
              <w:rPr>
                <w:rFonts w:eastAsia="Times New Roman"/>
                <w:b/>
                <w:bCs/>
                <w:color w:val="0000FF"/>
                <w:szCs w:val="26"/>
              </w:rPr>
            </w:pPr>
            <w:r w:rsidRPr="00A23740">
              <w:rPr>
                <w:rFonts w:eastAsia="Times New Roman"/>
                <w:b/>
                <w:bCs/>
                <w:color w:val="0000FF"/>
                <w:szCs w:val="26"/>
              </w:rPr>
              <w:t>Haciz</w:t>
            </w:r>
          </w:p>
          <w:p w:rsidR="00AA5C8C" w:rsidRPr="00A23740" w:rsidRDefault="00AA5C8C" w:rsidP="009431FF">
            <w:pPr>
              <w:tabs>
                <w:tab w:val="left" w:pos="567"/>
              </w:tabs>
              <w:jc w:val="center"/>
              <w:rPr>
                <w:b/>
                <w:bCs/>
                <w:color w:val="0000FF"/>
                <w:szCs w:val="24"/>
                <w:lang w:eastAsia="x-none"/>
              </w:rPr>
            </w:pPr>
          </w:p>
          <w:p w:rsidR="00AA5C8C" w:rsidRPr="00A23740" w:rsidRDefault="00AA5C8C" w:rsidP="009431FF">
            <w:pPr>
              <w:keepNext/>
              <w:jc w:val="center"/>
              <w:outlineLvl w:val="3"/>
              <w:rPr>
                <w:rFonts w:eastAsia="Times New Roman"/>
                <w:b/>
                <w:bCs/>
                <w:color w:val="0000FF"/>
                <w:szCs w:val="28"/>
              </w:rPr>
            </w:pPr>
            <w:r w:rsidRPr="00A23740">
              <w:rPr>
                <w:rFonts w:eastAsia="Times New Roman"/>
                <w:b/>
                <w:bCs/>
                <w:color w:val="0000FF"/>
                <w:szCs w:val="28"/>
              </w:rPr>
              <w:t>BİRİNCİ AYRIM</w:t>
            </w:r>
          </w:p>
          <w:p w:rsidR="00AA5C8C" w:rsidRPr="00A23740" w:rsidRDefault="00AA5C8C" w:rsidP="009431FF">
            <w:pPr>
              <w:keepNext/>
              <w:jc w:val="center"/>
              <w:outlineLvl w:val="3"/>
              <w:rPr>
                <w:rFonts w:eastAsia="Times New Roman"/>
                <w:b/>
                <w:bCs/>
                <w:color w:val="0000FF"/>
                <w:szCs w:val="28"/>
              </w:rPr>
            </w:pPr>
            <w:r w:rsidRPr="00A23740">
              <w:rPr>
                <w:rFonts w:eastAsia="Times New Roman"/>
                <w:b/>
                <w:bCs/>
                <w:color w:val="0000FF"/>
                <w:szCs w:val="28"/>
              </w:rPr>
              <w:t>Mal Beyanı</w:t>
            </w: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Borçlunun mal</w:t>
            </w:r>
            <w:r w:rsidRPr="00A23740">
              <w:rPr>
                <w:b/>
                <w:bCs/>
                <w:color w:val="0000FF"/>
                <w:szCs w:val="24"/>
                <w:lang w:eastAsia="x-none"/>
              </w:rPr>
              <w:t xml:space="preserve"> </w:t>
            </w:r>
            <w:r w:rsidRPr="00A23740">
              <w:rPr>
                <w:rStyle w:val="MaviChar"/>
              </w:rPr>
              <w:t>beyanında</w:t>
            </w:r>
            <w:r w:rsidRPr="00A23740">
              <w:rPr>
                <w:b/>
                <w:bCs/>
                <w:color w:val="0000FF"/>
                <w:szCs w:val="24"/>
                <w:lang w:val="x-none" w:eastAsia="x-none"/>
              </w:rPr>
              <w:t xml:space="preserve"> bulunma</w:t>
            </w:r>
            <w:r w:rsidRPr="00A23740">
              <w:rPr>
                <w:b/>
                <w:bCs/>
                <w:color w:val="0000FF"/>
                <w:szCs w:val="24"/>
                <w:lang w:eastAsia="x-none"/>
              </w:rPr>
              <w:t xml:space="preserve"> </w:t>
            </w:r>
            <w:r w:rsidR="000F5AB5" w:rsidRPr="00A23740">
              <w:rPr>
                <w:rStyle w:val="MaviChar"/>
              </w:rPr>
              <w:t>yükümlülüğü</w:t>
            </w:r>
          </w:p>
          <w:p w:rsidR="00BE6533" w:rsidRPr="00A23740" w:rsidRDefault="00AE5420" w:rsidP="009431FF">
            <w:pPr>
              <w:tabs>
                <w:tab w:val="left" w:pos="567"/>
              </w:tabs>
              <w:rPr>
                <w:szCs w:val="24"/>
              </w:rPr>
            </w:pPr>
            <w:r w:rsidRPr="00A23740">
              <w:rPr>
                <w:b/>
                <w:bCs/>
                <w:color w:val="0000FF"/>
                <w:szCs w:val="24"/>
                <w:lang w:val="x-none" w:eastAsia="x-none"/>
              </w:rPr>
              <w:t xml:space="preserve">MADDE </w:t>
            </w:r>
            <w:r w:rsidR="009D57E1" w:rsidRPr="00A23740">
              <w:rPr>
                <w:b/>
                <w:bCs/>
                <w:color w:val="0000FF"/>
                <w:szCs w:val="24"/>
                <w:lang w:eastAsia="x-none"/>
              </w:rPr>
              <w:t>154</w:t>
            </w:r>
            <w:r w:rsidRPr="00A23740">
              <w:rPr>
                <w:b/>
                <w:bCs/>
                <w:color w:val="0000FF"/>
                <w:szCs w:val="24"/>
                <w:lang w:val="x-none" w:eastAsia="x-none"/>
              </w:rPr>
              <w:t xml:space="preserve">- </w:t>
            </w:r>
            <w:r w:rsidR="00BE6533" w:rsidRPr="00A23740">
              <w:rPr>
                <w:b/>
                <w:bCs/>
                <w:color w:val="0000FF"/>
                <w:szCs w:val="24"/>
                <w:lang w:val="x-none" w:eastAsia="x-none"/>
              </w:rPr>
              <w:t>(1)</w:t>
            </w:r>
            <w:r w:rsidR="00BE6533" w:rsidRPr="00A23740">
              <w:rPr>
                <w:szCs w:val="24"/>
              </w:rPr>
              <w:t xml:space="preserve"> </w:t>
            </w:r>
            <w:r w:rsidR="00BE6533" w:rsidRPr="00A23740">
              <w:rPr>
                <w:rStyle w:val="MaviChar"/>
              </w:rPr>
              <w:t>Borçlu</w:t>
            </w:r>
            <w:r w:rsidR="00BE6533" w:rsidRPr="00A23740">
              <w:rPr>
                <w:szCs w:val="24"/>
              </w:rPr>
              <w:t>, gerek kendi</w:t>
            </w:r>
            <w:r w:rsidR="00156ADE" w:rsidRPr="00A23740">
              <w:rPr>
                <w:szCs w:val="24"/>
              </w:rPr>
              <w:t xml:space="preserve"> </w:t>
            </w:r>
            <w:r w:rsidR="00156ADE" w:rsidRPr="00363170">
              <w:rPr>
                <w:rStyle w:val="YELChar"/>
                <w:color w:val="0000FF"/>
              </w:rPr>
              <w:t>elinde</w:t>
            </w:r>
            <w:r w:rsidR="00BE6533" w:rsidRPr="00A23740">
              <w:rPr>
                <w:szCs w:val="24"/>
              </w:rPr>
              <w:t xml:space="preserve"> gerek üçüncü</w:t>
            </w:r>
            <w:r w:rsidR="00BE6533" w:rsidRPr="00A23740">
              <w:rPr>
                <w:rFonts w:eastAsia="Times New Roman"/>
                <w:b/>
                <w:color w:val="0000FF"/>
                <w:szCs w:val="24"/>
                <w:lang w:eastAsia="tr-TR"/>
              </w:rPr>
              <w:t xml:space="preserve"> </w:t>
            </w:r>
            <w:r w:rsidR="00BE6533" w:rsidRPr="00A23740">
              <w:rPr>
                <w:b/>
                <w:bCs/>
                <w:color w:val="0000FF"/>
                <w:szCs w:val="24"/>
                <w:lang w:val="x-none" w:eastAsia="x-none"/>
              </w:rPr>
              <w:t>kişiler elinde</w:t>
            </w:r>
            <w:r w:rsidR="00BE6533" w:rsidRPr="00A23740">
              <w:rPr>
                <w:szCs w:val="24"/>
              </w:rPr>
              <w:t xml:space="preserve"> bulunan </w:t>
            </w:r>
            <w:r w:rsidR="00BE6533" w:rsidRPr="00A23740">
              <w:rPr>
                <w:b/>
                <w:bCs/>
                <w:color w:val="0000FF"/>
                <w:szCs w:val="24"/>
                <w:lang w:val="x-none" w:eastAsia="x-none"/>
              </w:rPr>
              <w:t>her türlü</w:t>
            </w:r>
            <w:r w:rsidR="00BE6533" w:rsidRPr="00A23740">
              <w:rPr>
                <w:szCs w:val="24"/>
              </w:rPr>
              <w:t xml:space="preserve"> mal</w:t>
            </w:r>
            <w:r w:rsidR="00BE6533" w:rsidRPr="00A23740">
              <w:rPr>
                <w:b/>
                <w:bCs/>
                <w:color w:val="0000FF"/>
                <w:szCs w:val="24"/>
                <w:lang w:val="x-none" w:eastAsia="x-none"/>
              </w:rPr>
              <w:t>, hak</w:t>
            </w:r>
            <w:r w:rsidR="00BE6533" w:rsidRPr="00A23740">
              <w:rPr>
                <w:szCs w:val="24"/>
              </w:rPr>
              <w:t xml:space="preserve"> ve alaca</w:t>
            </w:r>
            <w:r w:rsidR="00BE6533" w:rsidRPr="00A23740">
              <w:rPr>
                <w:b/>
                <w:bCs/>
                <w:color w:val="0000FF"/>
                <w:szCs w:val="24"/>
                <w:lang w:val="x-none" w:eastAsia="x-none"/>
              </w:rPr>
              <w:t>ğının çeşit ve niteliğini, yerini,</w:t>
            </w:r>
            <w:r w:rsidR="00BE6533" w:rsidRPr="00A23740">
              <w:rPr>
                <w:szCs w:val="24"/>
              </w:rPr>
              <w:t xml:space="preserve"> kazanç ve geliri </w:t>
            </w:r>
            <w:r w:rsidR="00156ADE" w:rsidRPr="00363170">
              <w:rPr>
                <w:rStyle w:val="YELChar"/>
                <w:color w:val="0000FF"/>
              </w:rPr>
              <w:t>ile</w:t>
            </w:r>
            <w:r w:rsidR="00156ADE" w:rsidRPr="00A23740">
              <w:rPr>
                <w:szCs w:val="24"/>
              </w:rPr>
              <w:t xml:space="preserve"> </w:t>
            </w:r>
            <w:r w:rsidR="00BE6533" w:rsidRPr="00A23740">
              <w:rPr>
                <w:szCs w:val="24"/>
              </w:rPr>
              <w:t xml:space="preserve">geçim </w:t>
            </w:r>
            <w:r w:rsidR="00BE6533" w:rsidRPr="00A23740">
              <w:rPr>
                <w:b/>
                <w:bCs/>
                <w:color w:val="0000FF"/>
                <w:szCs w:val="24"/>
                <w:lang w:val="x-none" w:eastAsia="x-none"/>
              </w:rPr>
              <w:t>kaynaklarına</w:t>
            </w:r>
            <w:r w:rsidR="00BE6533" w:rsidRPr="00A23740">
              <w:rPr>
                <w:szCs w:val="24"/>
              </w:rPr>
              <w:t xml:space="preserve"> </w:t>
            </w:r>
            <w:r w:rsidR="00BE6533" w:rsidRPr="00A23740">
              <w:rPr>
                <w:b/>
                <w:bCs/>
                <w:color w:val="0000FF"/>
                <w:szCs w:val="24"/>
                <w:lang w:val="x-none" w:eastAsia="x-none"/>
              </w:rPr>
              <w:t xml:space="preserve">göre takip konusu alacak tutarını nasıl </w:t>
            </w:r>
            <w:r w:rsidRPr="00A23740">
              <w:rPr>
                <w:szCs w:val="24"/>
              </w:rPr>
              <w:t>ödeyebileceğin</w:t>
            </w:r>
            <w:r w:rsidR="006616BF" w:rsidRPr="00A23740">
              <w:rPr>
                <w:rStyle w:val="MaviChar"/>
              </w:rPr>
              <w:t>e ilişkin mal beyanını</w:t>
            </w:r>
            <w:r w:rsidR="00156ADE" w:rsidRPr="00A23740">
              <w:rPr>
                <w:rStyle w:val="YELChar"/>
              </w:rPr>
              <w:t>,</w:t>
            </w:r>
            <w:r w:rsidR="006616BF" w:rsidRPr="00A23740">
              <w:rPr>
                <w:szCs w:val="24"/>
              </w:rPr>
              <w:t xml:space="preserve"> </w:t>
            </w:r>
            <w:r w:rsidR="000F2ABA" w:rsidRPr="00A23740">
              <w:rPr>
                <w:b/>
                <w:bCs/>
                <w:color w:val="0000FF"/>
                <w:szCs w:val="24"/>
                <w:lang w:val="x-none" w:eastAsia="x-none"/>
              </w:rPr>
              <w:t>süresi içinde</w:t>
            </w:r>
            <w:r w:rsidR="00BE6533" w:rsidRPr="00A23740">
              <w:rPr>
                <w:szCs w:val="24"/>
              </w:rPr>
              <w:t xml:space="preserve"> icra</w:t>
            </w:r>
            <w:r w:rsidR="00156ADE" w:rsidRPr="00A23740">
              <w:rPr>
                <w:szCs w:val="24"/>
              </w:rPr>
              <w:t xml:space="preserve"> </w:t>
            </w:r>
            <w:r w:rsidR="00156ADE" w:rsidRPr="00363170">
              <w:rPr>
                <w:rStyle w:val="YELChar"/>
                <w:color w:val="0000FF"/>
              </w:rPr>
              <w:t>ve iflas</w:t>
            </w:r>
            <w:r w:rsidR="00BE6533" w:rsidRPr="00A23740">
              <w:rPr>
                <w:szCs w:val="24"/>
              </w:rPr>
              <w:t xml:space="preserve"> daire</w:t>
            </w:r>
            <w:r w:rsidR="00BE6533" w:rsidRPr="00A23740">
              <w:rPr>
                <w:bCs/>
              </w:rPr>
              <w:t>s</w:t>
            </w:r>
            <w:r w:rsidR="00BE6533" w:rsidRPr="00A23740">
              <w:rPr>
                <w:szCs w:val="24"/>
              </w:rPr>
              <w:t>ine</w:t>
            </w:r>
            <w:r w:rsidR="006616BF" w:rsidRPr="00A23740">
              <w:rPr>
                <w:szCs w:val="24"/>
              </w:rPr>
              <w:t xml:space="preserve"> bildirme</w:t>
            </w:r>
            <w:r w:rsidR="006616BF" w:rsidRPr="00A23740">
              <w:rPr>
                <w:b/>
                <w:bCs/>
                <w:color w:val="0000FF"/>
                <w:szCs w:val="24"/>
                <w:lang w:val="x-none" w:eastAsia="x-none"/>
              </w:rPr>
              <w:t>k</w:t>
            </w:r>
            <w:r w:rsidR="006616BF" w:rsidRPr="00A23740">
              <w:rPr>
                <w:szCs w:val="24"/>
              </w:rPr>
              <w:t xml:space="preserve"> </w:t>
            </w:r>
            <w:r w:rsidR="00BE6533" w:rsidRPr="00A23740">
              <w:rPr>
                <w:b/>
                <w:bCs/>
                <w:color w:val="0000FF"/>
                <w:szCs w:val="24"/>
                <w:lang w:val="x-none" w:eastAsia="x-none"/>
              </w:rPr>
              <w:t>zorundadır</w:t>
            </w:r>
            <w:r w:rsidR="00BE6533"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MaviChar"/>
              </w:rPr>
              <w:t>(2)</w:t>
            </w:r>
            <w:r w:rsidRPr="00A23740">
              <w:rPr>
                <w:szCs w:val="24"/>
              </w:rPr>
              <w:t xml:space="preserve"> </w:t>
            </w:r>
            <w:r w:rsidRPr="00A23740">
              <w:rPr>
                <w:b/>
                <w:bCs/>
                <w:color w:val="0000FF"/>
                <w:szCs w:val="24"/>
                <w:lang w:val="x-none" w:eastAsia="x-none"/>
              </w:rPr>
              <w:t>Mal</w:t>
            </w:r>
            <w:r w:rsidRPr="00A23740">
              <w:rPr>
                <w:b/>
                <w:bCs/>
                <w:color w:val="0000FF"/>
                <w:szCs w:val="24"/>
                <w:lang w:eastAsia="x-none"/>
              </w:rPr>
              <w:t xml:space="preserve"> </w:t>
            </w:r>
            <w:r w:rsidRPr="00A23740">
              <w:rPr>
                <w:rStyle w:val="MaviChar"/>
              </w:rPr>
              <w:t>beyanında</w:t>
            </w:r>
            <w:r w:rsidRPr="00A23740">
              <w:rPr>
                <w:b/>
                <w:bCs/>
                <w:color w:val="0000FF"/>
                <w:szCs w:val="24"/>
                <w:lang w:val="x-none" w:eastAsia="x-none"/>
              </w:rPr>
              <w:t xml:space="preserve"> bulunmak, </w:t>
            </w:r>
            <w:r w:rsidR="00AF5B12" w:rsidRPr="00363170">
              <w:rPr>
                <w:rStyle w:val="YELChar"/>
                <w:color w:val="0000FF"/>
              </w:rPr>
              <w:t>beyan edilen</w:t>
            </w:r>
            <w:r w:rsidR="00AF5B12" w:rsidRPr="00A23740">
              <w:rPr>
                <w:b/>
                <w:bCs/>
                <w:color w:val="0000FF"/>
                <w:szCs w:val="24"/>
                <w:lang w:eastAsia="x-none"/>
              </w:rPr>
              <w:t xml:space="preserve"> </w:t>
            </w:r>
            <w:r w:rsidRPr="00A23740">
              <w:rPr>
                <w:b/>
                <w:bCs/>
                <w:color w:val="0000FF"/>
                <w:szCs w:val="24"/>
                <w:lang w:val="x-none" w:eastAsia="x-none"/>
              </w:rPr>
              <w:t>mal, hak veya alacağın haczedilmezlik niteliğinden feragat anlamına gelmez.</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rFonts w:eastAsia="ヒラギノ明朝 Pro W3"/>
                <w:b/>
                <w:bCs/>
                <w:color w:val="339933"/>
                <w:szCs w:val="24"/>
                <w:lang w:val="x-none"/>
              </w:rPr>
            </w:pPr>
            <w:r w:rsidRPr="00A23740">
              <w:rPr>
                <w:b/>
                <w:bCs/>
                <w:color w:val="0000FF"/>
                <w:szCs w:val="24"/>
                <w:lang w:val="x-none" w:eastAsia="x-none"/>
              </w:rPr>
              <w:t>(3) Mal</w:t>
            </w:r>
            <w:r w:rsidRPr="00A23740">
              <w:rPr>
                <w:b/>
                <w:bCs/>
                <w:color w:val="0000FF"/>
                <w:szCs w:val="24"/>
                <w:lang w:eastAsia="x-none"/>
              </w:rPr>
              <w:t xml:space="preserve"> </w:t>
            </w:r>
            <w:r w:rsidRPr="00A23740">
              <w:rPr>
                <w:rStyle w:val="MaviChar"/>
              </w:rPr>
              <w:t>beyanında</w:t>
            </w:r>
            <w:r w:rsidRPr="00A23740">
              <w:rPr>
                <w:b/>
                <w:bCs/>
                <w:color w:val="0000FF"/>
                <w:szCs w:val="24"/>
                <w:lang w:val="x-none" w:eastAsia="x-none"/>
              </w:rPr>
              <w:t>; öncelikle para ve doğrudan paraya çevrilebilir olanlardan başlamak ve çekişmeli, üzerinde sınırlı ayni hak veya haciz bulunan mallar en sona bırakılmak kaydıyla</w:t>
            </w:r>
            <w:r w:rsidR="00AF5B12" w:rsidRPr="005F60FC">
              <w:rPr>
                <w:rStyle w:val="MaviChar"/>
              </w:rPr>
              <w:t>,</w:t>
            </w:r>
            <w:r w:rsidRPr="00A23740">
              <w:rPr>
                <w:b/>
                <w:bCs/>
                <w:color w:val="0000FF"/>
                <w:szCs w:val="24"/>
                <w:lang w:val="x-none" w:eastAsia="x-none"/>
              </w:rPr>
              <w:t xml:space="preserve"> takip konusu borca yetecek miktarda </w:t>
            </w:r>
            <w:r w:rsidRPr="005F60FC">
              <w:rPr>
                <w:rStyle w:val="MaviChar"/>
              </w:rPr>
              <w:t>mal</w:t>
            </w:r>
            <w:r w:rsidR="0040600E" w:rsidRPr="005F60FC">
              <w:rPr>
                <w:rStyle w:val="MaviChar"/>
              </w:rPr>
              <w:t>,</w:t>
            </w:r>
            <w:r w:rsidR="0040600E" w:rsidRPr="00A23740">
              <w:rPr>
                <w:b/>
                <w:bCs/>
                <w:color w:val="0000FF"/>
                <w:szCs w:val="24"/>
                <w:lang w:val="x-none" w:eastAsia="x-none"/>
              </w:rPr>
              <w:t xml:space="preserve"> </w:t>
            </w:r>
            <w:r w:rsidR="0040600E" w:rsidRPr="00363170">
              <w:rPr>
                <w:b/>
                <w:bCs/>
                <w:color w:val="0000FF"/>
                <w:szCs w:val="24"/>
                <w:lang w:val="x-none" w:eastAsia="x-none"/>
              </w:rPr>
              <w:t xml:space="preserve">hak ve alacaklar </w:t>
            </w:r>
            <w:r w:rsidRPr="00363170">
              <w:rPr>
                <w:b/>
                <w:bCs/>
                <w:color w:val="0000FF"/>
                <w:szCs w:val="24"/>
                <w:lang w:val="x-none" w:eastAsia="x-none"/>
              </w:rPr>
              <w:t xml:space="preserve">belirtilir. </w:t>
            </w:r>
            <w:r w:rsidRPr="00363170">
              <w:rPr>
                <w:rFonts w:eastAsia="ヒラギノ明朝 Pro W3"/>
                <w:b/>
                <w:bCs/>
                <w:color w:val="0000FF"/>
                <w:szCs w:val="24"/>
                <w:lang w:val="x-none"/>
              </w:rPr>
              <w:t xml:space="preserve">Borçlu, mal </w:t>
            </w:r>
            <w:r w:rsidRPr="00363170">
              <w:rPr>
                <w:rStyle w:val="MaviChar"/>
                <w:bCs w:val="0"/>
              </w:rPr>
              <w:t>beyanında</w:t>
            </w:r>
            <w:r w:rsidRPr="00363170">
              <w:rPr>
                <w:rFonts w:eastAsia="ヒラギノ明朝 Pro W3"/>
                <w:b/>
                <w:bCs/>
                <w:color w:val="0000FF"/>
                <w:szCs w:val="24"/>
                <w:lang w:val="x-none"/>
              </w:rPr>
              <w:t xml:space="preserve"> </w:t>
            </w:r>
            <w:r w:rsidR="00C5204F" w:rsidRPr="00363170">
              <w:rPr>
                <w:rFonts w:eastAsia="ヒラギノ明朝 Pro W3"/>
                <w:b/>
                <w:bCs/>
                <w:color w:val="0000FF"/>
                <w:szCs w:val="24"/>
              </w:rPr>
              <w:t xml:space="preserve">6362 </w:t>
            </w:r>
            <w:r w:rsidRPr="00363170">
              <w:rPr>
                <w:rFonts w:eastAsia="ヒラギノ明朝 Pro W3"/>
                <w:b/>
                <w:bCs/>
                <w:color w:val="0000FF"/>
                <w:szCs w:val="24"/>
                <w:lang w:val="x-none"/>
              </w:rPr>
              <w:t>sayılı</w:t>
            </w:r>
            <w:r w:rsidR="00C5204F" w:rsidRPr="00363170">
              <w:rPr>
                <w:rFonts w:eastAsia="ヒラギノ明朝 Pro W3"/>
                <w:b/>
                <w:bCs/>
                <w:color w:val="0000FF"/>
                <w:szCs w:val="24"/>
              </w:rPr>
              <w:t xml:space="preserve"> Sermaye Piyasası</w:t>
            </w:r>
            <w:r w:rsidRPr="00363170">
              <w:rPr>
                <w:rFonts w:eastAsia="ヒラギノ明朝 Pro W3"/>
                <w:b/>
                <w:bCs/>
                <w:color w:val="0000FF"/>
                <w:szCs w:val="24"/>
                <w:lang w:val="x-none"/>
              </w:rPr>
              <w:t xml:space="preserve"> Kanunun</w:t>
            </w:r>
            <w:r w:rsidR="00C5204F" w:rsidRPr="00363170">
              <w:rPr>
                <w:rFonts w:eastAsia="ヒラギノ明朝 Pro W3"/>
                <w:b/>
                <w:bCs/>
                <w:color w:val="0000FF"/>
                <w:szCs w:val="24"/>
              </w:rPr>
              <w:t>un</w:t>
            </w:r>
            <w:r w:rsidRPr="00363170">
              <w:rPr>
                <w:rFonts w:eastAsia="ヒラギノ明朝 Pro W3"/>
                <w:b/>
                <w:bCs/>
                <w:color w:val="0000FF"/>
                <w:szCs w:val="24"/>
                <w:lang w:val="x-none"/>
              </w:rPr>
              <w:t xml:space="preserve"> </w:t>
            </w:r>
            <w:r w:rsidR="00C5204F" w:rsidRPr="00363170">
              <w:rPr>
                <w:rFonts w:eastAsia="ヒラギノ明朝 Pro W3"/>
                <w:b/>
                <w:bCs/>
                <w:color w:val="0000FF"/>
                <w:szCs w:val="24"/>
              </w:rPr>
              <w:t>3 üncü</w:t>
            </w:r>
            <w:r w:rsidRPr="00363170">
              <w:rPr>
                <w:rFonts w:eastAsia="ヒラギノ明朝 Pro W3"/>
                <w:b/>
                <w:bCs/>
                <w:color w:val="0000FF"/>
                <w:szCs w:val="24"/>
                <w:lang w:val="x-none"/>
              </w:rPr>
              <w:t xml:space="preserve"> maddesin</w:t>
            </w:r>
            <w:r w:rsidR="00C5204F" w:rsidRPr="00363170">
              <w:rPr>
                <w:rFonts w:eastAsia="ヒラギノ明朝 Pro W3"/>
                <w:b/>
                <w:bCs/>
                <w:color w:val="0000FF"/>
                <w:szCs w:val="24"/>
              </w:rPr>
              <w:t>in birinci fıkrasın</w:t>
            </w:r>
            <w:r w:rsidR="006E14AC" w:rsidRPr="00363170">
              <w:rPr>
                <w:rFonts w:eastAsia="ヒラギノ明朝 Pro W3"/>
                <w:b/>
                <w:bCs/>
                <w:color w:val="0000FF"/>
                <w:szCs w:val="24"/>
              </w:rPr>
              <w:t>daki</w:t>
            </w:r>
            <w:r w:rsidR="00C5204F" w:rsidRPr="00363170">
              <w:rPr>
                <w:rFonts w:eastAsia="ヒラギノ明朝 Pro W3"/>
                <w:b/>
                <w:bCs/>
                <w:color w:val="0000FF"/>
                <w:szCs w:val="24"/>
              </w:rPr>
              <w:t xml:space="preserve"> </w:t>
            </w:r>
            <w:r w:rsidRPr="00363170">
              <w:rPr>
                <w:rFonts w:eastAsia="ヒラギノ明朝 Pro W3"/>
                <w:b/>
                <w:bCs/>
                <w:color w:val="0000FF"/>
                <w:szCs w:val="24"/>
                <w:lang w:val="x-none"/>
              </w:rPr>
              <w:t>tanıma giren kripto varlıklarını da</w:t>
            </w:r>
            <w:r w:rsidRPr="00A23740">
              <w:rPr>
                <w:rFonts w:eastAsia="ヒラギノ明朝 Pro W3"/>
                <w:b/>
                <w:bCs/>
                <w:color w:val="339933"/>
                <w:szCs w:val="24"/>
                <w:lang w:val="x-none"/>
              </w:rPr>
              <w:t xml:space="preserve"> </w:t>
            </w:r>
            <w:r w:rsidR="00AF5B12" w:rsidRPr="00363170">
              <w:rPr>
                <w:rStyle w:val="YELChar"/>
                <w:color w:val="0000FF"/>
              </w:rPr>
              <w:t>beyan eder</w:t>
            </w:r>
            <w:r w:rsidRPr="00363170">
              <w:rPr>
                <w:rFonts w:eastAsia="ヒラギノ明朝 Pro W3"/>
                <w:b/>
                <w:bCs/>
                <w:color w:val="0000FF"/>
                <w:szCs w:val="24"/>
                <w:lang w:val="x-none"/>
              </w:rPr>
              <w:t>.</w:t>
            </w:r>
          </w:p>
          <w:p w:rsidR="00AA5C8C" w:rsidRPr="00A23740" w:rsidRDefault="00AA5C8C" w:rsidP="009431FF">
            <w:pPr>
              <w:autoSpaceDE w:val="0"/>
              <w:autoSpaceDN w:val="0"/>
              <w:adjustRightInd w:val="0"/>
              <w:rPr>
                <w:rFonts w:eastAsia="Times New Roman"/>
                <w:color w:val="000000"/>
                <w:szCs w:val="24"/>
                <w:lang w:eastAsia="tr-TR"/>
              </w:rPr>
            </w:pPr>
          </w:p>
          <w:p w:rsidR="004D37FD" w:rsidRPr="00A23740" w:rsidRDefault="004D37FD" w:rsidP="009431FF">
            <w:pPr>
              <w:tabs>
                <w:tab w:val="left" w:pos="567"/>
              </w:tabs>
              <w:rPr>
                <w:b/>
                <w:bCs/>
                <w:color w:val="0000FF"/>
                <w:szCs w:val="24"/>
                <w:lang w:val="x-none" w:eastAsia="x-none"/>
              </w:rPr>
            </w:pPr>
            <w:r w:rsidRPr="00A23740">
              <w:rPr>
                <w:b/>
                <w:bCs/>
                <w:color w:val="0000FF"/>
                <w:szCs w:val="24"/>
                <w:lang w:val="x-none" w:eastAsia="x-none"/>
              </w:rPr>
              <w:t xml:space="preserve">(4) Haciz talebine </w:t>
            </w:r>
            <w:r w:rsidR="00D5602E" w:rsidRPr="00363170">
              <w:rPr>
                <w:rStyle w:val="YELChar"/>
                <w:color w:val="0000FF"/>
              </w:rPr>
              <w:t>bağlı</w:t>
            </w:r>
            <w:r w:rsidRPr="00A23740">
              <w:rPr>
                <w:b/>
                <w:bCs/>
                <w:color w:val="0000FF"/>
                <w:szCs w:val="24"/>
                <w:lang w:val="x-none" w:eastAsia="x-none"/>
              </w:rPr>
              <w:t xml:space="preserve"> olarak yapılan kıymet takdiri sonucunda borçlunun bildirdiği</w:t>
            </w:r>
            <w:r w:rsidR="0040600E" w:rsidRPr="00A23740">
              <w:rPr>
                <w:b/>
                <w:bCs/>
                <w:color w:val="0000FF"/>
                <w:szCs w:val="24"/>
                <w:lang w:val="x-none" w:eastAsia="x-none"/>
              </w:rPr>
              <w:t xml:space="preserve"> </w:t>
            </w:r>
            <w:r w:rsidRPr="00363170">
              <w:rPr>
                <w:b/>
                <w:bCs/>
                <w:color w:val="0000FF"/>
                <w:szCs w:val="24"/>
                <w:lang w:val="x-none" w:eastAsia="x-none"/>
              </w:rPr>
              <w:t>mal</w:t>
            </w:r>
            <w:r w:rsidR="0040600E" w:rsidRPr="00363170">
              <w:rPr>
                <w:b/>
                <w:bCs/>
                <w:color w:val="0000FF"/>
                <w:szCs w:val="24"/>
                <w:lang w:val="x-none" w:eastAsia="x-none"/>
              </w:rPr>
              <w:t>, hak ve alacakların takip konusu</w:t>
            </w:r>
            <w:r w:rsidR="0040600E" w:rsidRPr="00A23740">
              <w:rPr>
                <w:b/>
                <w:bCs/>
                <w:color w:val="385623"/>
                <w:szCs w:val="24"/>
                <w:lang w:val="x-none" w:eastAsia="x-none"/>
              </w:rPr>
              <w:t xml:space="preserve"> </w:t>
            </w:r>
            <w:r w:rsidRPr="00A23740">
              <w:rPr>
                <w:b/>
                <w:bCs/>
                <w:color w:val="0000FF"/>
                <w:szCs w:val="24"/>
                <w:lang w:val="x-none" w:eastAsia="x-none"/>
              </w:rPr>
              <w:t xml:space="preserve">alacağı karşılamayacağının </w:t>
            </w:r>
            <w:r w:rsidRPr="00A23740">
              <w:rPr>
                <w:b/>
                <w:bCs/>
                <w:color w:val="0000FF"/>
                <w:szCs w:val="24"/>
                <w:lang w:eastAsia="x-none"/>
              </w:rPr>
              <w:t>tespit edilmesi</w:t>
            </w:r>
            <w:r w:rsidRPr="00A23740">
              <w:rPr>
                <w:b/>
                <w:bCs/>
                <w:color w:val="0000FF"/>
                <w:szCs w:val="24"/>
                <w:lang w:val="x-none" w:eastAsia="x-none"/>
              </w:rPr>
              <w:t xml:space="preserve"> h</w:t>
            </w:r>
            <w:r w:rsidR="00E54A6B" w:rsidRPr="00A23740">
              <w:rPr>
                <w:b/>
                <w:bCs/>
                <w:color w:val="0000FF"/>
                <w:szCs w:val="24"/>
                <w:lang w:eastAsia="x-none"/>
              </w:rPr>
              <w:t>â</w:t>
            </w:r>
            <w:r w:rsidRPr="00A23740">
              <w:rPr>
                <w:b/>
                <w:bCs/>
                <w:color w:val="0000FF"/>
                <w:szCs w:val="24"/>
                <w:lang w:val="x-none" w:eastAsia="x-none"/>
              </w:rPr>
              <w:t>linde,</w:t>
            </w:r>
            <w:r w:rsidRPr="00A23740">
              <w:rPr>
                <w:b/>
                <w:bCs/>
                <w:color w:val="0000FF"/>
                <w:szCs w:val="24"/>
                <w:lang w:eastAsia="x-none"/>
              </w:rPr>
              <w:t xml:space="preserve"> </w:t>
            </w:r>
            <w:r w:rsidRPr="00A23740">
              <w:rPr>
                <w:b/>
                <w:bCs/>
                <w:color w:val="0000FF"/>
                <w:szCs w:val="24"/>
                <w:lang w:val="x-none" w:eastAsia="x-none"/>
              </w:rPr>
              <w:t>alacaklı</w:t>
            </w:r>
            <w:r w:rsidRPr="00A23740">
              <w:rPr>
                <w:b/>
                <w:bCs/>
                <w:color w:val="0000FF"/>
                <w:szCs w:val="24"/>
                <w:lang w:eastAsia="x-none"/>
              </w:rPr>
              <w:t>nın</w:t>
            </w:r>
            <w:r w:rsidRPr="00A23740">
              <w:rPr>
                <w:b/>
                <w:bCs/>
                <w:color w:val="0000FF"/>
                <w:szCs w:val="24"/>
                <w:lang w:val="x-none" w:eastAsia="x-none"/>
              </w:rPr>
              <w:t xml:space="preserve"> talebi üzerine</w:t>
            </w:r>
            <w:r w:rsidRPr="00A23740">
              <w:rPr>
                <w:b/>
                <w:bCs/>
                <w:color w:val="0000FF"/>
                <w:szCs w:val="24"/>
                <w:lang w:eastAsia="x-none"/>
              </w:rPr>
              <w:t xml:space="preserve"> </w:t>
            </w:r>
            <w:r w:rsidRPr="00363170">
              <w:rPr>
                <w:b/>
                <w:bCs/>
                <w:color w:val="0000FF"/>
                <w:szCs w:val="24"/>
                <w:lang w:eastAsia="x-none"/>
              </w:rPr>
              <w:t>icra</w:t>
            </w:r>
            <w:r w:rsidR="00D5602E" w:rsidRPr="00363170">
              <w:rPr>
                <w:b/>
                <w:bCs/>
                <w:color w:val="0000FF"/>
                <w:szCs w:val="24"/>
                <w:lang w:eastAsia="x-none"/>
              </w:rPr>
              <w:t xml:space="preserve"> </w:t>
            </w:r>
            <w:r w:rsidR="00D5602E" w:rsidRPr="00363170">
              <w:rPr>
                <w:rStyle w:val="YELChar"/>
                <w:color w:val="0000FF"/>
              </w:rPr>
              <w:t>ve iflas</w:t>
            </w:r>
            <w:r w:rsidRPr="00363170">
              <w:rPr>
                <w:b/>
                <w:bCs/>
                <w:color w:val="0000FF"/>
                <w:szCs w:val="24"/>
                <w:lang w:eastAsia="x-none"/>
              </w:rPr>
              <w:t xml:space="preserve"> dairesince</w:t>
            </w:r>
            <w:r w:rsidRPr="00A23740">
              <w:rPr>
                <w:b/>
                <w:bCs/>
                <w:color w:val="0000FF"/>
                <w:szCs w:val="24"/>
                <w:lang w:eastAsia="x-none"/>
              </w:rPr>
              <w:t xml:space="preserve"> gönderilen muhtıranın tebliğ edildiği tarihten itibaren iki hafta içinde borçl</w:t>
            </w:r>
            <w:r w:rsidRPr="005F60FC">
              <w:rPr>
                <w:rStyle w:val="MaviChar"/>
              </w:rPr>
              <w:t>u</w:t>
            </w:r>
            <w:r w:rsidR="00D5602E" w:rsidRPr="005F60FC">
              <w:rPr>
                <w:rStyle w:val="MaviChar"/>
              </w:rPr>
              <w:t>,</w:t>
            </w:r>
            <w:r w:rsidRPr="00A23740">
              <w:rPr>
                <w:b/>
                <w:bCs/>
                <w:color w:val="0000FF"/>
                <w:szCs w:val="24"/>
                <w:lang w:eastAsia="x-none"/>
              </w:rPr>
              <w:t xml:space="preserve"> </w:t>
            </w:r>
            <w:r w:rsidR="00B75A53" w:rsidRPr="00A23740">
              <w:rPr>
                <w:b/>
                <w:bCs/>
                <w:color w:val="0000FF"/>
                <w:szCs w:val="24"/>
                <w:lang w:eastAsia="x-none"/>
              </w:rPr>
              <w:t>ek mal beyanın</w:t>
            </w:r>
            <w:r w:rsidR="00D5602E" w:rsidRPr="00363170">
              <w:rPr>
                <w:rStyle w:val="YELChar"/>
                <w:color w:val="0000FF"/>
              </w:rPr>
              <w:t>da</w:t>
            </w:r>
            <w:r w:rsidR="00B75A53" w:rsidRPr="00A23740">
              <w:rPr>
                <w:b/>
                <w:bCs/>
                <w:color w:val="0000FF"/>
                <w:szCs w:val="24"/>
                <w:lang w:eastAsia="x-none"/>
              </w:rPr>
              <w:t xml:space="preserve"> </w:t>
            </w:r>
            <w:r w:rsidR="00D5602E" w:rsidRPr="00363170">
              <w:rPr>
                <w:rStyle w:val="YELChar"/>
                <w:color w:val="0000FF"/>
              </w:rPr>
              <w:t>bulunmak</w:t>
            </w:r>
            <w:r w:rsidR="00B75A53" w:rsidRPr="00A23740">
              <w:rPr>
                <w:b/>
                <w:bCs/>
                <w:color w:val="0000FF"/>
                <w:szCs w:val="24"/>
                <w:lang w:eastAsia="x-none"/>
              </w:rPr>
              <w:t xml:space="preserve"> </w:t>
            </w:r>
            <w:r w:rsidRPr="00A23740">
              <w:rPr>
                <w:b/>
                <w:bCs/>
                <w:color w:val="0000FF"/>
                <w:szCs w:val="24"/>
                <w:lang w:eastAsia="x-none"/>
              </w:rPr>
              <w:t>zorundadır. Muhtırada, süresi içinde mal beyanında bulunmaması h</w:t>
            </w:r>
            <w:r w:rsidR="00E54A6B" w:rsidRPr="00A23740">
              <w:rPr>
                <w:b/>
                <w:bCs/>
                <w:color w:val="0000FF"/>
                <w:szCs w:val="24"/>
                <w:lang w:eastAsia="x-none"/>
              </w:rPr>
              <w:t>â</w:t>
            </w:r>
            <w:r w:rsidRPr="00A23740">
              <w:rPr>
                <w:b/>
                <w:bCs/>
                <w:color w:val="0000FF"/>
                <w:szCs w:val="24"/>
                <w:lang w:eastAsia="x-none"/>
              </w:rPr>
              <w:t>linde</w:t>
            </w:r>
            <w:r w:rsidR="00D5602E" w:rsidRPr="00A23740">
              <w:rPr>
                <w:b/>
                <w:bCs/>
                <w:color w:val="0000FF"/>
                <w:szCs w:val="24"/>
                <w:lang w:eastAsia="x-none"/>
              </w:rPr>
              <w:t xml:space="preserve"> </w:t>
            </w:r>
            <w:r w:rsidR="00D5602E" w:rsidRPr="00363170">
              <w:rPr>
                <w:rStyle w:val="YELChar"/>
                <w:color w:val="0000FF"/>
              </w:rPr>
              <w:t>borçlunun</w:t>
            </w:r>
            <w:r w:rsidR="00E56DDD" w:rsidRPr="00A23740">
              <w:rPr>
                <w:b/>
                <w:bCs/>
                <w:color w:val="0000FF"/>
                <w:szCs w:val="24"/>
                <w:lang w:eastAsia="x-none"/>
              </w:rPr>
              <w:t xml:space="preserve"> </w:t>
            </w:r>
            <w:r w:rsidR="00434E0D" w:rsidRPr="00363170">
              <w:rPr>
                <w:rStyle w:val="KonuBalChar"/>
                <w:rFonts w:eastAsia="Calibri"/>
                <w:color w:val="0000FF"/>
              </w:rPr>
              <w:t>510 uncu</w:t>
            </w:r>
            <w:r w:rsidR="00434E0D" w:rsidRPr="00A23740">
              <w:rPr>
                <w:b/>
                <w:bCs/>
                <w:color w:val="0000FF"/>
                <w:szCs w:val="24"/>
                <w:lang w:eastAsia="x-none"/>
              </w:rPr>
              <w:t xml:space="preserve"> </w:t>
            </w:r>
            <w:r w:rsidR="00E56DDD" w:rsidRPr="00A23740">
              <w:rPr>
                <w:b/>
                <w:bCs/>
                <w:color w:val="0000FF"/>
                <w:szCs w:val="24"/>
                <w:lang w:eastAsia="x-none"/>
              </w:rPr>
              <w:t xml:space="preserve">maddenin birinci fıkrası uyarınca </w:t>
            </w:r>
            <w:r w:rsidR="0037049F" w:rsidRPr="00A23740">
              <w:rPr>
                <w:b/>
                <w:bCs/>
                <w:color w:val="0000FF"/>
                <w:szCs w:val="24"/>
                <w:lang w:eastAsia="x-none"/>
              </w:rPr>
              <w:t xml:space="preserve">disiplin </w:t>
            </w:r>
            <w:r w:rsidR="001647D1" w:rsidRPr="00363170">
              <w:rPr>
                <w:rStyle w:val="MaviChar"/>
                <w:bCs w:val="0"/>
                <w:lang w:val="tr-TR"/>
              </w:rPr>
              <w:t>hapsiyle</w:t>
            </w:r>
            <w:r w:rsidRPr="00A23740">
              <w:rPr>
                <w:b/>
                <w:bCs/>
                <w:color w:val="0000FF"/>
                <w:szCs w:val="24"/>
                <w:lang w:eastAsia="x-none"/>
              </w:rPr>
              <w:t xml:space="preserve"> cezalandırılacağı belirtilir.</w:t>
            </w:r>
          </w:p>
          <w:p w:rsidR="005F5E8D" w:rsidRPr="00A23740" w:rsidRDefault="005F5E8D" w:rsidP="009431FF">
            <w:pPr>
              <w:tabs>
                <w:tab w:val="left" w:pos="567"/>
              </w:tabs>
              <w:rPr>
                <w:b/>
                <w:bCs/>
                <w:color w:val="0000FF"/>
                <w:szCs w:val="24"/>
                <w:lang w:val="x-none" w:eastAsia="x-none"/>
              </w:rPr>
            </w:pPr>
          </w:p>
          <w:p w:rsidR="00AA5C8C" w:rsidRPr="00A23740" w:rsidRDefault="00AA5C8C" w:rsidP="009431FF">
            <w:pPr>
              <w:autoSpaceDE w:val="0"/>
              <w:autoSpaceDN w:val="0"/>
              <w:adjustRightInd w:val="0"/>
              <w:rPr>
                <w:rFonts w:eastAsia="Times New Roman"/>
                <w:color w:val="000000"/>
                <w:szCs w:val="24"/>
                <w:lang w:eastAsia="tr-TR"/>
              </w:rPr>
            </w:pPr>
            <w:r w:rsidRPr="00A23740">
              <w:rPr>
                <w:b/>
                <w:bCs/>
                <w:color w:val="0000FF"/>
                <w:szCs w:val="24"/>
                <w:lang w:val="x-none" w:eastAsia="x-none"/>
              </w:rPr>
              <w:t>(5) Borçlu</w:t>
            </w:r>
            <w:r w:rsidR="00D66A5D" w:rsidRPr="00A23740">
              <w:rPr>
                <w:b/>
                <w:bCs/>
                <w:color w:val="0000FF"/>
                <w:szCs w:val="24"/>
                <w:lang w:eastAsia="x-none"/>
              </w:rPr>
              <w:t>, mal beyanında bulunmamış veya</w:t>
            </w:r>
            <w:r w:rsidRPr="00A23740">
              <w:t xml:space="preserve"> </w:t>
            </w:r>
            <w:r w:rsidRPr="00A23740">
              <w:rPr>
                <w:b/>
                <w:bCs/>
                <w:color w:val="0000FF"/>
                <w:szCs w:val="24"/>
                <w:lang w:val="x-none" w:eastAsia="x-none"/>
              </w:rPr>
              <w:t>yaptığı</w:t>
            </w:r>
            <w:r w:rsidRPr="00A23740">
              <w:rPr>
                <w:b/>
                <w:bCs/>
                <w:color w:val="0000FF"/>
                <w:szCs w:val="24"/>
                <w:lang w:eastAsia="x-none"/>
              </w:rPr>
              <w:t xml:space="preserve"> </w:t>
            </w:r>
            <w:r w:rsidRPr="00A23740">
              <w:rPr>
                <w:rStyle w:val="MaviChar"/>
              </w:rPr>
              <w:t>beyanda</w:t>
            </w:r>
            <w:r w:rsidRPr="00A23740">
              <w:rPr>
                <w:b/>
                <w:bCs/>
                <w:color w:val="0000FF"/>
                <w:szCs w:val="24"/>
                <w:lang w:val="x-none" w:eastAsia="x-none"/>
              </w:rPr>
              <w:t xml:space="preserve"> </w:t>
            </w:r>
            <w:r w:rsidR="00D356E2" w:rsidRPr="00363170">
              <w:rPr>
                <w:b/>
                <w:bCs/>
                <w:color w:val="0000FF"/>
                <w:szCs w:val="24"/>
                <w:lang w:val="x-none" w:eastAsia="x-none"/>
              </w:rPr>
              <w:t>mal, hak ve alacağı</w:t>
            </w:r>
            <w:r w:rsidR="00D356E2" w:rsidRPr="00A23740">
              <w:rPr>
                <w:b/>
                <w:bCs/>
                <w:color w:val="385623"/>
                <w:szCs w:val="24"/>
                <w:lang w:val="x-none" w:eastAsia="x-none"/>
              </w:rPr>
              <w:t xml:space="preserve"> </w:t>
            </w:r>
            <w:r w:rsidRPr="00A23740">
              <w:t>olmadığını bildirmiş</w:t>
            </w:r>
            <w:r w:rsidR="00D356E2" w:rsidRPr="00A23740">
              <w:t xml:space="preserve"> </w:t>
            </w:r>
            <w:r w:rsidR="00D356E2" w:rsidRPr="00363170">
              <w:rPr>
                <w:b/>
                <w:bCs/>
                <w:color w:val="0000FF"/>
              </w:rPr>
              <w:t>ya da</w:t>
            </w:r>
            <w:r w:rsidRPr="00A23740">
              <w:rPr>
                <w:color w:val="385623"/>
              </w:rPr>
              <w:t xml:space="preserve"> </w:t>
            </w:r>
            <w:r w:rsidR="00D356E2" w:rsidRPr="00363170">
              <w:rPr>
                <w:b/>
                <w:bCs/>
                <w:color w:val="0000FF"/>
              </w:rPr>
              <w:t>borcunu</w:t>
            </w:r>
            <w:r w:rsidRPr="00363170">
              <w:rPr>
                <w:color w:val="0000FF"/>
              </w:rPr>
              <w:t xml:space="preserve"> </w:t>
            </w:r>
            <w:r w:rsidR="00D356E2" w:rsidRPr="00363170">
              <w:rPr>
                <w:b/>
                <w:bCs/>
                <w:color w:val="0000FF"/>
              </w:rPr>
              <w:t>karşılamaya</w:t>
            </w:r>
            <w:r w:rsidR="00D356E2" w:rsidRPr="00A23740">
              <w:rPr>
                <w:color w:val="385623"/>
              </w:rPr>
              <w:t xml:space="preserve"> </w:t>
            </w:r>
            <w:r w:rsidRPr="00A23740">
              <w:t>yetecek mal</w:t>
            </w:r>
            <w:r w:rsidR="0040600E" w:rsidRPr="00363170">
              <w:rPr>
                <w:b/>
                <w:bCs/>
                <w:color w:val="0000FF"/>
              </w:rPr>
              <w:t>, hak ve alacak</w:t>
            </w:r>
            <w:r w:rsidRPr="00A23740">
              <w:rPr>
                <w:color w:val="385623"/>
              </w:rPr>
              <w:t xml:space="preserve"> </w:t>
            </w:r>
            <w:r w:rsidRPr="00A23740">
              <w:t xml:space="preserve">göstermemiş </w:t>
            </w:r>
            <w:r w:rsidR="00D356E2" w:rsidRPr="00363170">
              <w:rPr>
                <w:b/>
                <w:bCs/>
                <w:color w:val="0000FF"/>
              </w:rPr>
              <w:t>yahut</w:t>
            </w:r>
            <w:r w:rsidR="00D356E2" w:rsidRPr="00A23740">
              <w:rPr>
                <w:color w:val="385623"/>
              </w:rPr>
              <w:t xml:space="preserve"> </w:t>
            </w:r>
            <w:r w:rsidRPr="00A23740">
              <w:rPr>
                <w:bCs/>
              </w:rPr>
              <w:t>beyandan</w:t>
            </w:r>
            <w:r w:rsidRPr="00A23740">
              <w:rPr>
                <w:b/>
                <w:bCs/>
                <w:color w:val="0000FF"/>
                <w:szCs w:val="24"/>
                <w:lang w:eastAsia="x-none"/>
              </w:rPr>
              <w:t xml:space="preserve"> </w:t>
            </w:r>
            <w:r w:rsidR="005F5E8D" w:rsidRPr="00A23740">
              <w:rPr>
                <w:b/>
                <w:bCs/>
                <w:color w:val="0000FF"/>
                <w:szCs w:val="24"/>
                <w:lang w:val="x-none" w:eastAsia="x-none"/>
              </w:rPr>
              <w:t xml:space="preserve">kaçınmışsa, </w:t>
            </w:r>
            <w:r w:rsidRPr="00A23740">
              <w:t xml:space="preserve">sonradan kazandığı </w:t>
            </w:r>
            <w:r w:rsidR="00D356E2" w:rsidRPr="00363170">
              <w:rPr>
                <w:b/>
                <w:bCs/>
                <w:color w:val="0000FF"/>
              </w:rPr>
              <w:t>mal, hak ve alacakları ile</w:t>
            </w:r>
            <w:r w:rsidR="00D356E2" w:rsidRPr="00A23740">
              <w:rPr>
                <w:color w:val="385623"/>
              </w:rPr>
              <w:t xml:space="preserve"> </w:t>
            </w:r>
            <w:r w:rsidRPr="00A23740">
              <w:t xml:space="preserve">kazancında ve gelirinde </w:t>
            </w:r>
            <w:r w:rsidR="005F5E8D" w:rsidRPr="00A23740">
              <w:rPr>
                <w:b/>
                <w:bCs/>
                <w:color w:val="0000FF"/>
                <w:szCs w:val="24"/>
                <w:lang w:val="x-none" w:eastAsia="x-none"/>
              </w:rPr>
              <w:t>ortaya çıkan artışlara ilişkin mal beyanını,</w:t>
            </w:r>
            <w:r w:rsidRPr="00A23740">
              <w:rPr>
                <w:b/>
                <w:bCs/>
                <w:color w:val="0000FF"/>
                <w:szCs w:val="24"/>
                <w:lang w:val="x-none" w:eastAsia="x-none"/>
              </w:rPr>
              <w:t xml:space="preserve"> kazanma veya artış tarihinden itibaren</w:t>
            </w:r>
            <w:r w:rsidR="005F5E8D" w:rsidRPr="00A23740">
              <w:rPr>
                <w:b/>
                <w:bCs/>
                <w:color w:val="0000FF"/>
                <w:szCs w:val="24"/>
                <w:lang w:eastAsia="x-none"/>
              </w:rPr>
              <w:t xml:space="preserve"> iki</w:t>
            </w:r>
            <w:r w:rsidRPr="00A23740">
              <w:rPr>
                <w:b/>
                <w:bCs/>
                <w:color w:val="0000FF"/>
                <w:szCs w:val="24"/>
                <w:lang w:val="x-none" w:eastAsia="x-none"/>
              </w:rPr>
              <w:t xml:space="preserve"> hafta </w:t>
            </w:r>
            <w:r w:rsidRPr="00A23740">
              <w:t>içinde</w:t>
            </w:r>
            <w:r w:rsidRPr="00A23740">
              <w:rPr>
                <w:b/>
                <w:bCs/>
                <w:color w:val="0000FF"/>
                <w:szCs w:val="24"/>
                <w:lang w:val="x-none" w:eastAsia="x-none"/>
              </w:rPr>
              <w:t xml:space="preserve"> icra</w:t>
            </w:r>
            <w:r w:rsidR="00D356E2" w:rsidRPr="00A23740">
              <w:rPr>
                <w:b/>
                <w:bCs/>
                <w:color w:val="0000FF"/>
                <w:szCs w:val="24"/>
                <w:lang w:val="x-none" w:eastAsia="x-none"/>
              </w:rPr>
              <w:t xml:space="preserve"> </w:t>
            </w:r>
            <w:r w:rsidR="00D356E2" w:rsidRPr="00363170">
              <w:rPr>
                <w:b/>
                <w:bCs/>
                <w:color w:val="0000FF"/>
                <w:szCs w:val="24"/>
                <w:lang w:val="x-none" w:eastAsia="x-none"/>
              </w:rPr>
              <w:t>ve iflas</w:t>
            </w:r>
            <w:r w:rsidRPr="00A23740">
              <w:rPr>
                <w:rFonts w:eastAsia="Times New Roman"/>
                <w:color w:val="385623"/>
                <w:szCs w:val="24"/>
                <w:lang w:eastAsia="tr-TR"/>
              </w:rPr>
              <w:t xml:space="preserve"> </w:t>
            </w:r>
            <w:r w:rsidRPr="00A23740">
              <w:t>daire</w:t>
            </w:r>
            <w:r w:rsidRPr="00A23740">
              <w:rPr>
                <w:b/>
                <w:bCs/>
                <w:color w:val="0000FF"/>
                <w:szCs w:val="24"/>
                <w:lang w:val="x-none" w:eastAsia="x-none"/>
              </w:rPr>
              <w:t xml:space="preserve">sine </w:t>
            </w:r>
            <w:r w:rsidRPr="00A23740">
              <w:rPr>
                <w:rFonts w:eastAsia="Times New Roman"/>
                <w:color w:val="000000"/>
                <w:szCs w:val="24"/>
                <w:lang w:eastAsia="tr-TR"/>
              </w:rPr>
              <w:t>bildirme</w:t>
            </w:r>
            <w:r w:rsidRPr="00A23740">
              <w:rPr>
                <w:b/>
                <w:bCs/>
                <w:color w:val="0000FF"/>
                <w:szCs w:val="24"/>
                <w:lang w:val="x-none" w:eastAsia="x-none"/>
              </w:rPr>
              <w:t>k zorundadır</w:t>
            </w:r>
            <w:r w:rsidRPr="00A23740">
              <w:rPr>
                <w:rFonts w:eastAsia="Times New Roman"/>
                <w:color w:val="000000"/>
                <w:szCs w:val="24"/>
                <w:lang w:eastAsia="tr-TR"/>
              </w:rPr>
              <w:t>.</w:t>
            </w:r>
          </w:p>
          <w:p w:rsidR="00AA5C8C" w:rsidRPr="00A23740" w:rsidRDefault="00AA5C8C" w:rsidP="009431FF">
            <w:pPr>
              <w:autoSpaceDE w:val="0"/>
              <w:autoSpaceDN w:val="0"/>
              <w:adjustRightInd w:val="0"/>
              <w:rPr>
                <w:rFonts w:eastAsia="Times New Roman"/>
                <w:color w:val="000000"/>
                <w:szCs w:val="24"/>
                <w:lang w:eastAsia="tr-TR"/>
              </w:rPr>
            </w:pPr>
          </w:p>
          <w:p w:rsidR="00AA5C8C" w:rsidRDefault="00AA5C8C" w:rsidP="009431FF">
            <w:pPr>
              <w:autoSpaceDE w:val="0"/>
              <w:autoSpaceDN w:val="0"/>
              <w:adjustRightInd w:val="0"/>
              <w:rPr>
                <w:rStyle w:val="MaviChar"/>
              </w:rPr>
            </w:pPr>
            <w:r w:rsidRPr="00A23740">
              <w:rPr>
                <w:rStyle w:val="MaviChar"/>
              </w:rPr>
              <w:t>(6)</w:t>
            </w:r>
            <w:r w:rsidRPr="00A23740">
              <w:rPr>
                <w:rFonts w:eastAsia="Times New Roman"/>
                <w:color w:val="000000"/>
                <w:szCs w:val="24"/>
                <w:lang w:eastAsia="tr-TR"/>
              </w:rPr>
              <w:t xml:space="preserve"> </w:t>
            </w:r>
            <w:r w:rsidRPr="00A23740">
              <w:rPr>
                <w:rStyle w:val="MaviChar"/>
              </w:rPr>
              <w:t>M</w:t>
            </w:r>
            <w:r w:rsidR="007E30E2" w:rsidRPr="00A23740">
              <w:rPr>
                <w:rStyle w:val="MaviChar"/>
              </w:rPr>
              <w:t>al beyanı</w:t>
            </w:r>
            <w:r w:rsidRPr="00A23740">
              <w:rPr>
                <w:rStyle w:val="MaviChar"/>
              </w:rPr>
              <w:t>,</w:t>
            </w:r>
            <w:r w:rsidRPr="00A23740">
              <w:rPr>
                <w:rFonts w:eastAsia="Times New Roman"/>
                <w:color w:val="000000"/>
                <w:szCs w:val="24"/>
                <w:lang w:eastAsia="tr-TR"/>
              </w:rPr>
              <w:t xml:space="preserve"> </w:t>
            </w:r>
            <w:r w:rsidR="005F5E8D" w:rsidRPr="00A23740">
              <w:rPr>
                <w:b/>
                <w:bCs/>
                <w:color w:val="0000FF"/>
                <w:szCs w:val="24"/>
                <w:lang w:val="x-none" w:eastAsia="x-none"/>
              </w:rPr>
              <w:t xml:space="preserve">yönetmelikteki </w:t>
            </w:r>
            <w:r w:rsidRPr="00A23740">
              <w:rPr>
                <w:b/>
                <w:bCs/>
                <w:color w:val="0000FF"/>
                <w:szCs w:val="24"/>
                <w:lang w:eastAsia="x-none"/>
              </w:rPr>
              <w:t xml:space="preserve">örneğe uygun olarak yapılır. </w:t>
            </w:r>
            <w:r w:rsidR="00B75A53" w:rsidRPr="00A23740">
              <w:rPr>
                <w:rStyle w:val="MaviChar"/>
              </w:rPr>
              <w:t xml:space="preserve">Mal beyanında bulunma </w:t>
            </w:r>
            <w:r w:rsidRPr="00A23740">
              <w:rPr>
                <w:rStyle w:val="MaviChar"/>
              </w:rPr>
              <w:t>zorunluluğu</w:t>
            </w:r>
            <w:r w:rsidR="005F5E8D" w:rsidRPr="00A23740">
              <w:rPr>
                <w:rStyle w:val="MaviChar"/>
                <w:lang w:val="tr-TR"/>
              </w:rPr>
              <w:t xml:space="preserve"> ile mal beyan</w:t>
            </w:r>
            <w:r w:rsidR="00B75A53" w:rsidRPr="00A23740">
              <w:rPr>
                <w:rStyle w:val="MaviChar"/>
                <w:lang w:val="tr-TR"/>
              </w:rPr>
              <w:t>ı</w:t>
            </w:r>
            <w:r w:rsidR="005F5E8D" w:rsidRPr="00A23740">
              <w:rPr>
                <w:rStyle w:val="MaviChar"/>
                <w:lang w:val="tr-TR"/>
              </w:rPr>
              <w:t>nda yer alacak hususlara ilişkin</w:t>
            </w:r>
            <w:r w:rsidRPr="00A23740">
              <w:rPr>
                <w:rStyle w:val="MaviChar"/>
              </w:rPr>
              <w:t xml:space="preserve"> usul ve esaslar</w:t>
            </w:r>
            <w:r w:rsidRPr="00A23740">
              <w:rPr>
                <w:rStyle w:val="MaviChar"/>
                <w:lang w:val="tr-TR"/>
              </w:rPr>
              <w:t>,</w:t>
            </w:r>
            <w:r w:rsidRPr="00A23740">
              <w:rPr>
                <w:rStyle w:val="MaviChar"/>
              </w:rPr>
              <w:t xml:space="preserve"> çıkarılacak </w:t>
            </w:r>
            <w:r w:rsidR="005F5E8D" w:rsidRPr="00A23740">
              <w:rPr>
                <w:rStyle w:val="MaviChar"/>
              </w:rPr>
              <w:t xml:space="preserve">yönetmelikle </w:t>
            </w:r>
            <w:r w:rsidRPr="00A23740">
              <w:rPr>
                <w:rStyle w:val="MaviChar"/>
              </w:rPr>
              <w:t>belirlenir.</w:t>
            </w:r>
          </w:p>
          <w:p w:rsidR="007C72CC" w:rsidRPr="00A23740" w:rsidRDefault="007C72CC" w:rsidP="009431FF">
            <w:pPr>
              <w:autoSpaceDE w:val="0"/>
              <w:autoSpaceDN w:val="0"/>
              <w:adjustRightInd w:val="0"/>
              <w:rPr>
                <w:rFonts w:eastAsia="Times New Roman"/>
                <w:b/>
                <w:color w:val="FF0000"/>
                <w:szCs w:val="24"/>
                <w:lang w:eastAsia="tr-TR"/>
              </w:rPr>
            </w:pPr>
          </w:p>
        </w:tc>
      </w:tr>
      <w:tr w:rsidR="00E91409" w:rsidRPr="00A23740" w:rsidTr="009431FF">
        <w:tc>
          <w:tcPr>
            <w:tcW w:w="5000" w:type="pct"/>
            <w:gridSpan w:val="2"/>
            <w:shd w:val="clear" w:color="auto" w:fill="DEEAF6"/>
          </w:tcPr>
          <w:p w:rsidR="004F3827" w:rsidRPr="00A23740" w:rsidRDefault="004F3827" w:rsidP="009431FF">
            <w:pPr>
              <w:tabs>
                <w:tab w:val="left" w:pos="567"/>
              </w:tabs>
              <w:ind w:firstLine="709"/>
              <w:rPr>
                <w:b/>
                <w:bCs/>
                <w:szCs w:val="24"/>
                <w:lang w:eastAsia="x-none"/>
              </w:rPr>
            </w:pPr>
          </w:p>
          <w:p w:rsidR="00E91409" w:rsidRPr="00A23740" w:rsidRDefault="00E91409" w:rsidP="009431FF">
            <w:pPr>
              <w:tabs>
                <w:tab w:val="left" w:pos="567"/>
              </w:tabs>
              <w:ind w:firstLine="709"/>
              <w:rPr>
                <w:szCs w:val="24"/>
              </w:rPr>
            </w:pPr>
            <w:r w:rsidRPr="00A23740">
              <w:rPr>
                <w:b/>
                <w:bCs/>
                <w:szCs w:val="24"/>
                <w:lang w:eastAsia="x-none"/>
              </w:rPr>
              <w:t xml:space="preserve">MADDE </w:t>
            </w:r>
            <w:r w:rsidR="009D57E1" w:rsidRPr="00A23740">
              <w:rPr>
                <w:b/>
                <w:bCs/>
                <w:szCs w:val="24"/>
                <w:lang w:eastAsia="x-none"/>
              </w:rPr>
              <w:t>154</w:t>
            </w:r>
            <w:r w:rsidRPr="00A23740">
              <w:rPr>
                <w:b/>
                <w:bCs/>
                <w:szCs w:val="24"/>
                <w:lang w:eastAsia="x-none"/>
              </w:rPr>
              <w:t xml:space="preserve">- </w:t>
            </w:r>
            <w:r w:rsidR="005637A5" w:rsidRPr="00A23740">
              <w:rPr>
                <w:szCs w:val="24"/>
              </w:rPr>
              <w:t>Maddeyle, borçlunun mal beyanında bulunma yükümlülüğüne ilişkin esaslar düzenlenmektedir.</w:t>
            </w:r>
            <w:r w:rsidR="00432989" w:rsidRPr="00A23740">
              <w:rPr>
                <w:szCs w:val="24"/>
              </w:rPr>
              <w:t xml:space="preserve"> 2004 sayılı Kanunun 74 ve 77 nci madde</w:t>
            </w:r>
            <w:r w:rsidR="000B21D1" w:rsidRPr="00A23740">
              <w:rPr>
                <w:szCs w:val="24"/>
              </w:rPr>
              <w:t>lerin</w:t>
            </w:r>
            <w:r w:rsidR="00432989" w:rsidRPr="00A23740">
              <w:rPr>
                <w:szCs w:val="24"/>
              </w:rPr>
              <w:t>de yer alan esaslar</w:t>
            </w:r>
            <w:r w:rsidR="00D5602E" w:rsidRPr="00DE193E">
              <w:t>,</w:t>
            </w:r>
            <w:r w:rsidR="00432989" w:rsidRPr="00A23740">
              <w:rPr>
                <w:szCs w:val="24"/>
              </w:rPr>
              <w:t xml:space="preserve"> dili sadeleştirilmek ve uygulamada görülen sorunlara çözüm bulunmak amacıyla </w:t>
            </w:r>
            <w:r w:rsidR="000F64BE" w:rsidRPr="00A23740">
              <w:rPr>
                <w:szCs w:val="24"/>
              </w:rPr>
              <w:t>yeniden kaleme alınmaktadır.</w:t>
            </w:r>
            <w:r w:rsidR="0083187E" w:rsidRPr="00A23740">
              <w:rPr>
                <w:szCs w:val="24"/>
              </w:rPr>
              <w:t xml:space="preserve"> Madde; ödeme veya icra emri üzerine bildirilecek mal beyanını, alacağın karşılanmaması h</w:t>
            </w:r>
            <w:r w:rsidR="00E54A6B" w:rsidRPr="00A23740">
              <w:rPr>
                <w:szCs w:val="24"/>
              </w:rPr>
              <w:t>â</w:t>
            </w:r>
            <w:r w:rsidR="0083187E" w:rsidRPr="00A23740">
              <w:rPr>
                <w:szCs w:val="24"/>
              </w:rPr>
              <w:t>linde bildirilecek ek mal beyanını ve sonradan edinilen mallar ile kazanç ve gelire ilişkin bildirilecek mal beyanını kapsamaktadır. Buna göre borçlu, üç farklı ihtimale göre yönetmelikteki örneğe uygun olacak şekilde mal beyanında bulunmak zorundadır.</w:t>
            </w:r>
          </w:p>
          <w:p w:rsidR="005637A5" w:rsidRPr="00A23740" w:rsidRDefault="005637A5" w:rsidP="009431FF">
            <w:pPr>
              <w:tabs>
                <w:tab w:val="left" w:pos="567"/>
              </w:tabs>
              <w:ind w:firstLine="709"/>
              <w:rPr>
                <w:szCs w:val="24"/>
              </w:rPr>
            </w:pPr>
            <w:r w:rsidRPr="00A23740">
              <w:rPr>
                <w:szCs w:val="24"/>
              </w:rPr>
              <w:t>Birinci fıkrada, borçlunun</w:t>
            </w:r>
            <w:r w:rsidR="00432989" w:rsidRPr="00A23740">
              <w:rPr>
                <w:szCs w:val="24"/>
              </w:rPr>
              <w:t xml:space="preserve"> mal beyanında bulunma yükümlülüğüne yer verilmektedir. Hükme göre</w:t>
            </w:r>
            <w:r w:rsidRPr="00A23740">
              <w:rPr>
                <w:szCs w:val="24"/>
              </w:rPr>
              <w:t xml:space="preserve"> borçlu</w:t>
            </w:r>
            <w:r w:rsidR="00432989" w:rsidRPr="00A23740">
              <w:rPr>
                <w:szCs w:val="24"/>
              </w:rPr>
              <w:t>;</w:t>
            </w:r>
            <w:r w:rsidRPr="00A23740">
              <w:rPr>
                <w:szCs w:val="24"/>
              </w:rPr>
              <w:t xml:space="preserve"> gerek kendi gerek üçüncü kişiler elinde bulunan her türlü mal, hak ve alacağının çeşit ve niteliğini, yerini, kazanç ve geliri</w:t>
            </w:r>
            <w:r w:rsidR="00F2249C" w:rsidRPr="00A23740">
              <w:rPr>
                <w:szCs w:val="24"/>
              </w:rPr>
              <w:t xml:space="preserve"> </w:t>
            </w:r>
            <w:r w:rsidR="00F2249C" w:rsidRPr="00363170">
              <w:rPr>
                <w:szCs w:val="24"/>
              </w:rPr>
              <w:t>ile</w:t>
            </w:r>
            <w:r w:rsidR="00F2249C" w:rsidRPr="00A23740">
              <w:rPr>
                <w:szCs w:val="24"/>
              </w:rPr>
              <w:t xml:space="preserve"> </w:t>
            </w:r>
            <w:r w:rsidRPr="00A23740">
              <w:rPr>
                <w:szCs w:val="24"/>
              </w:rPr>
              <w:t>geçim kaynaklarına göre takip konusu alacak tutarını nasıl ödeyebileceğin</w:t>
            </w:r>
            <w:r w:rsidRPr="00A23740">
              <w:rPr>
                <w:bCs/>
              </w:rPr>
              <w:t>e</w:t>
            </w:r>
            <w:r w:rsidRPr="00A23740">
              <w:rPr>
                <w:b/>
                <w:bCs/>
              </w:rPr>
              <w:t xml:space="preserve"> </w:t>
            </w:r>
            <w:r w:rsidRPr="00A23740">
              <w:rPr>
                <w:szCs w:val="24"/>
              </w:rPr>
              <w:t>ilişkin mal beyanını süresi içinde icra</w:t>
            </w:r>
            <w:r w:rsidR="00D5602E" w:rsidRPr="00A23740">
              <w:rPr>
                <w:szCs w:val="24"/>
              </w:rPr>
              <w:t xml:space="preserve"> </w:t>
            </w:r>
            <w:r w:rsidR="00D5602E" w:rsidRPr="00363170">
              <w:t>ve iflas</w:t>
            </w:r>
            <w:r w:rsidRPr="00A23740">
              <w:rPr>
                <w:szCs w:val="24"/>
              </w:rPr>
              <w:t xml:space="preserve"> dairesine bildirmek zorundadır.</w:t>
            </w:r>
            <w:r w:rsidR="008B29D6" w:rsidRPr="00A23740">
              <w:rPr>
                <w:szCs w:val="24"/>
              </w:rPr>
              <w:t xml:space="preserve"> </w:t>
            </w:r>
            <w:r w:rsidR="00432989" w:rsidRPr="00A23740">
              <w:rPr>
                <w:szCs w:val="24"/>
              </w:rPr>
              <w:t>Hüküm, 2004 sayılı Kanunun 74 üncü maddesinin birinci fıkrasına karşılık gelmektedir.</w:t>
            </w:r>
            <w:r w:rsidR="000F64BE" w:rsidRPr="00A23740">
              <w:rPr>
                <w:szCs w:val="24"/>
              </w:rPr>
              <w:t xml:space="preserve"> 74 üncü maddede yer alan bazı ibarelerin dili sadeleştirilmekte ve ayrıca “</w:t>
            </w:r>
            <w:r w:rsidR="00405B5F" w:rsidRPr="00A23740">
              <w:rPr>
                <w:szCs w:val="24"/>
              </w:rPr>
              <w:t xml:space="preserve">borcunu </w:t>
            </w:r>
            <w:r w:rsidR="000F64BE" w:rsidRPr="00A23740">
              <w:rPr>
                <w:szCs w:val="24"/>
              </w:rPr>
              <w:t>nasıl ödeyebileceğini” ifadesi, uygulamada mal beyanında bul</w:t>
            </w:r>
            <w:r w:rsidR="00405B5F" w:rsidRPr="00A23740">
              <w:rPr>
                <w:szCs w:val="24"/>
              </w:rPr>
              <w:t>u</w:t>
            </w:r>
            <w:r w:rsidR="000F64BE" w:rsidRPr="00A23740">
              <w:rPr>
                <w:szCs w:val="24"/>
              </w:rPr>
              <w:t>nan borçlunun borç ikrarında bulunmuş sayılıp sayılmayacağı konusunda ortaya çıkan tartışma ve tereddütlerin açıklığa kavuşturulması amacıyla “</w:t>
            </w:r>
            <w:r w:rsidR="00405B5F" w:rsidRPr="00A23740">
              <w:rPr>
                <w:szCs w:val="24"/>
              </w:rPr>
              <w:t xml:space="preserve">takip </w:t>
            </w:r>
            <w:r w:rsidR="000F64BE" w:rsidRPr="00A23740">
              <w:rPr>
                <w:szCs w:val="24"/>
              </w:rPr>
              <w:t>konusu alacak tutarını nasıl ödeyebileceğini” şeklinde değiştirilmektedir.</w:t>
            </w:r>
            <w:r w:rsidR="00360374" w:rsidRPr="00A23740">
              <w:rPr>
                <w:szCs w:val="24"/>
              </w:rPr>
              <w:t xml:space="preserve"> 2004 sayılı Kanunda yer alan sözlü bildirim usulü, mal beyanının yönetmelikteki örneğe uygun olarak yapılması zorunlu</w:t>
            </w:r>
            <w:r w:rsidR="008B29D6" w:rsidRPr="00A23740">
              <w:rPr>
                <w:szCs w:val="24"/>
              </w:rPr>
              <w:t xml:space="preserve"> h</w:t>
            </w:r>
            <w:r w:rsidR="00E54A6B" w:rsidRPr="00A23740">
              <w:rPr>
                <w:szCs w:val="24"/>
              </w:rPr>
              <w:t>â</w:t>
            </w:r>
            <w:r w:rsidR="008B29D6" w:rsidRPr="00A23740">
              <w:rPr>
                <w:szCs w:val="24"/>
              </w:rPr>
              <w:t xml:space="preserve">le </w:t>
            </w:r>
            <w:r w:rsidR="00360374" w:rsidRPr="00A23740">
              <w:rPr>
                <w:szCs w:val="24"/>
              </w:rPr>
              <w:t>getirildiğinden hükümde muhafaza</w:t>
            </w:r>
            <w:r w:rsidR="00405B5F" w:rsidRPr="00A23740">
              <w:rPr>
                <w:szCs w:val="24"/>
              </w:rPr>
              <w:t xml:space="preserve"> edilmemektedi</w:t>
            </w:r>
            <w:r w:rsidR="00360374" w:rsidRPr="00A23740">
              <w:rPr>
                <w:szCs w:val="24"/>
              </w:rPr>
              <w:t>r.</w:t>
            </w:r>
            <w:r w:rsidR="009E360F" w:rsidRPr="00A23740">
              <w:rPr>
                <w:szCs w:val="24"/>
              </w:rPr>
              <w:t xml:space="preserve"> Hükümde, </w:t>
            </w:r>
            <w:r w:rsidR="00405B5F" w:rsidRPr="00A23740">
              <w:rPr>
                <w:szCs w:val="24"/>
              </w:rPr>
              <w:t xml:space="preserve">ayrıca </w:t>
            </w:r>
            <w:r w:rsidR="009E360F" w:rsidRPr="00A23740">
              <w:rPr>
                <w:szCs w:val="24"/>
              </w:rPr>
              <w:t>yükümlülüğün süresi içinde yapılması gerektiği ifade edilmektedir. Bu süre; Taslağın “</w:t>
            </w:r>
            <w:r w:rsidR="00405B5F" w:rsidRPr="00A23740">
              <w:rPr>
                <w:szCs w:val="24"/>
              </w:rPr>
              <w:t xml:space="preserve">Para </w:t>
            </w:r>
            <w:r w:rsidR="009E360F" w:rsidRPr="00A23740">
              <w:rPr>
                <w:szCs w:val="24"/>
              </w:rPr>
              <w:t>borcunun ödenmesi ve teminatın verilmesine ilişkin il</w:t>
            </w:r>
            <w:r w:rsidR="00D72007" w:rsidRPr="00A23740">
              <w:rPr>
                <w:szCs w:val="24"/>
              </w:rPr>
              <w:t>a</w:t>
            </w:r>
            <w:r w:rsidR="009E360F" w:rsidRPr="00A23740">
              <w:rPr>
                <w:szCs w:val="24"/>
              </w:rPr>
              <w:t>mların icrası” başlıklı 6</w:t>
            </w:r>
            <w:r w:rsidR="00660D64">
              <w:rPr>
                <w:szCs w:val="24"/>
              </w:rPr>
              <w:t>8</w:t>
            </w:r>
            <w:r w:rsidR="009E360F" w:rsidRPr="00A23740">
              <w:rPr>
                <w:szCs w:val="24"/>
              </w:rPr>
              <w:t>, “Ödeme emri” başlıklı 88</w:t>
            </w:r>
            <w:r w:rsidR="00660D64">
              <w:rPr>
                <w:szCs w:val="24"/>
              </w:rPr>
              <w:t>, “İtirazın iptali” başlıklı 96</w:t>
            </w:r>
            <w:r w:rsidR="009E360F" w:rsidRPr="00A23740">
              <w:rPr>
                <w:szCs w:val="24"/>
              </w:rPr>
              <w:t>, “Ödeme emri” başlıklı</w:t>
            </w:r>
            <w:r w:rsidR="00C00CAD" w:rsidRPr="00A23740">
              <w:rPr>
                <w:szCs w:val="24"/>
              </w:rPr>
              <w:t xml:space="preserve"> </w:t>
            </w:r>
            <w:r w:rsidR="00C00CAD" w:rsidRPr="00363170">
              <w:rPr>
                <w:bCs/>
                <w:szCs w:val="24"/>
              </w:rPr>
              <w:t>115</w:t>
            </w:r>
            <w:r w:rsidR="009E360F" w:rsidRPr="00A23740">
              <w:rPr>
                <w:szCs w:val="24"/>
              </w:rPr>
              <w:t>, “Ödeme emrine itiraz” başlıklı</w:t>
            </w:r>
            <w:r w:rsidR="00C00CAD" w:rsidRPr="00A23740">
              <w:rPr>
                <w:szCs w:val="24"/>
              </w:rPr>
              <w:t xml:space="preserve"> </w:t>
            </w:r>
            <w:r w:rsidR="00C00CAD" w:rsidRPr="00363170">
              <w:rPr>
                <w:bCs/>
                <w:szCs w:val="24"/>
              </w:rPr>
              <w:t>117</w:t>
            </w:r>
            <w:r w:rsidR="00660D64">
              <w:rPr>
                <w:szCs w:val="24"/>
              </w:rPr>
              <w:t xml:space="preserve">, </w:t>
            </w:r>
            <w:r w:rsidR="009E360F" w:rsidRPr="00A23740">
              <w:rPr>
                <w:szCs w:val="24"/>
              </w:rPr>
              <w:t>“Ödeme emri” başlıklı</w:t>
            </w:r>
            <w:r w:rsidR="00C00CAD" w:rsidRPr="00A23740">
              <w:rPr>
                <w:szCs w:val="24"/>
              </w:rPr>
              <w:t xml:space="preserve"> </w:t>
            </w:r>
            <w:r w:rsidR="00C00CAD" w:rsidRPr="00363170">
              <w:rPr>
                <w:bCs/>
                <w:szCs w:val="24"/>
              </w:rPr>
              <w:t>139</w:t>
            </w:r>
            <w:r w:rsidR="009E360F" w:rsidRPr="00A23740">
              <w:rPr>
                <w:szCs w:val="24"/>
              </w:rPr>
              <w:t xml:space="preserve"> ve “Borçlunun mal beyanında bulunma yükümlülüğü” başlıklı</w:t>
            </w:r>
            <w:r w:rsidR="00C00CAD" w:rsidRPr="00A23740">
              <w:rPr>
                <w:szCs w:val="24"/>
              </w:rPr>
              <w:t xml:space="preserve"> </w:t>
            </w:r>
            <w:r w:rsidR="00C00CAD" w:rsidRPr="00363170">
              <w:rPr>
                <w:bCs/>
                <w:szCs w:val="24"/>
              </w:rPr>
              <w:t>154</w:t>
            </w:r>
            <w:r w:rsidR="00F60DB9" w:rsidRPr="00363170">
              <w:rPr>
                <w:bCs/>
                <w:szCs w:val="24"/>
              </w:rPr>
              <w:t xml:space="preserve"> üncü</w:t>
            </w:r>
            <w:r w:rsidR="009E360F" w:rsidRPr="00A23740">
              <w:rPr>
                <w:b/>
                <w:szCs w:val="24"/>
              </w:rPr>
              <w:t xml:space="preserve"> </w:t>
            </w:r>
            <w:r w:rsidR="009E360F" w:rsidRPr="00A23740">
              <w:rPr>
                <w:szCs w:val="24"/>
              </w:rPr>
              <w:t>maddeler</w:t>
            </w:r>
            <w:r w:rsidR="00405B5F" w:rsidRPr="00A23740">
              <w:rPr>
                <w:szCs w:val="24"/>
              </w:rPr>
              <w:t>in</w:t>
            </w:r>
            <w:r w:rsidR="009E360F" w:rsidRPr="00A23740">
              <w:rPr>
                <w:szCs w:val="24"/>
              </w:rPr>
              <w:t>de iki hafta olarak belirlenmektedir.</w:t>
            </w:r>
          </w:p>
          <w:p w:rsidR="000F64BE" w:rsidRPr="00A23740" w:rsidRDefault="000F64BE" w:rsidP="009431FF">
            <w:pPr>
              <w:tabs>
                <w:tab w:val="left" w:pos="567"/>
              </w:tabs>
              <w:ind w:firstLine="709"/>
              <w:rPr>
                <w:szCs w:val="24"/>
              </w:rPr>
            </w:pPr>
            <w:r w:rsidRPr="00A23740">
              <w:rPr>
                <w:szCs w:val="24"/>
              </w:rPr>
              <w:t>İkinci fıkrayla, bir yenilik olarak</w:t>
            </w:r>
            <w:r w:rsidR="006821C6" w:rsidRPr="00A23740">
              <w:rPr>
                <w:szCs w:val="24"/>
              </w:rPr>
              <w:t>,</w:t>
            </w:r>
            <w:r w:rsidR="00D26AE5" w:rsidRPr="00A23740">
              <w:rPr>
                <w:szCs w:val="24"/>
              </w:rPr>
              <w:t xml:space="preserve"> uygulamada oluşabilecek tereddütlerin giderilmesi amacıyla</w:t>
            </w:r>
            <w:r w:rsidRPr="00A23740">
              <w:rPr>
                <w:szCs w:val="24"/>
              </w:rPr>
              <w:t xml:space="preserve"> mal beyanında bulunmanın, bildirilen mal, hak veya alacağın haczedilmezlik niteliğinden feragat edildiği anlamına gelmeyeceği kabul edilmektedir.</w:t>
            </w:r>
          </w:p>
          <w:p w:rsidR="000F64BE" w:rsidRPr="00A23740" w:rsidRDefault="000F64BE" w:rsidP="009431FF">
            <w:pPr>
              <w:tabs>
                <w:tab w:val="left" w:pos="567"/>
              </w:tabs>
              <w:ind w:firstLine="709"/>
              <w:rPr>
                <w:szCs w:val="24"/>
              </w:rPr>
            </w:pPr>
            <w:r w:rsidRPr="00A23740">
              <w:rPr>
                <w:szCs w:val="24"/>
              </w:rPr>
              <w:t xml:space="preserve">Üçüncü fıkrayla, mal beyanında yer alacak malların sırası belirlenmektedir. Buna göre mal beyanında; öncelikle para ve doğrudan paraya çevrilebilir olanlardan başlamak ve çekişmeli, üzerinde sınırlı ayni hak veya haciz bulunan mallar en sona bırakılmak kaydıyla takip konusu borca yetecek miktarda </w:t>
            </w:r>
            <w:r w:rsidR="00BC1FB3" w:rsidRPr="00363170">
              <w:t>mal,</w:t>
            </w:r>
            <w:r w:rsidR="00BC1FB3" w:rsidRPr="00363170">
              <w:rPr>
                <w:szCs w:val="24"/>
              </w:rPr>
              <w:t xml:space="preserve"> </w:t>
            </w:r>
            <w:r w:rsidR="00BC1FB3" w:rsidRPr="00363170">
              <w:t>hak ve alacaklar</w:t>
            </w:r>
            <w:r w:rsidR="00BC1FB3" w:rsidRPr="00363170">
              <w:rPr>
                <w:szCs w:val="24"/>
              </w:rPr>
              <w:t xml:space="preserve"> </w:t>
            </w:r>
            <w:r w:rsidRPr="00A23740">
              <w:rPr>
                <w:szCs w:val="24"/>
              </w:rPr>
              <w:t>belirtilir. Ayrıca</w:t>
            </w:r>
            <w:r w:rsidR="00F2249C" w:rsidRPr="00A23740">
              <w:rPr>
                <w:szCs w:val="24"/>
              </w:rPr>
              <w:t xml:space="preserve"> mal beyanında</w:t>
            </w:r>
            <w:r w:rsidRPr="00A23740">
              <w:rPr>
                <w:szCs w:val="24"/>
              </w:rPr>
              <w:t xml:space="preserve"> kripto varlıklar da gösterilir.</w:t>
            </w:r>
          </w:p>
          <w:p w:rsidR="000F64BE" w:rsidRPr="00A23740" w:rsidRDefault="000F64BE" w:rsidP="009431FF">
            <w:pPr>
              <w:tabs>
                <w:tab w:val="left" w:pos="567"/>
              </w:tabs>
              <w:ind w:firstLine="709"/>
              <w:rPr>
                <w:szCs w:val="24"/>
              </w:rPr>
            </w:pPr>
            <w:r w:rsidRPr="00A23740">
              <w:rPr>
                <w:szCs w:val="24"/>
              </w:rPr>
              <w:t xml:space="preserve">Dördüncü fıkrayla, ek mal beyanında bulunma yükümlülüğü düzenlenmektedir. Hükme göre, </w:t>
            </w:r>
            <w:r w:rsidR="00B75A53" w:rsidRPr="00A23740">
              <w:rPr>
                <w:szCs w:val="24"/>
              </w:rPr>
              <w:t>h</w:t>
            </w:r>
            <w:r w:rsidR="000064EC" w:rsidRPr="00A23740">
              <w:rPr>
                <w:szCs w:val="24"/>
              </w:rPr>
              <w:t xml:space="preserve">aciz talebine dayalı olarak yapılan kıymet takdiri sonucunda, borçlunun bildirdiği </w:t>
            </w:r>
            <w:r w:rsidR="00BC1FB3" w:rsidRPr="00363170">
              <w:t>mal, hak ve alacakların</w:t>
            </w:r>
            <w:r w:rsidR="00BC1FB3" w:rsidRPr="00A23740">
              <w:rPr>
                <w:szCs w:val="24"/>
              </w:rPr>
              <w:t xml:space="preserve"> </w:t>
            </w:r>
            <w:r w:rsidR="000064EC" w:rsidRPr="00A23740">
              <w:rPr>
                <w:szCs w:val="24"/>
              </w:rPr>
              <w:t>alacağı karşılamayacağının tespit edilmesi h</w:t>
            </w:r>
            <w:r w:rsidR="00E54A6B" w:rsidRPr="00A23740">
              <w:rPr>
                <w:szCs w:val="24"/>
              </w:rPr>
              <w:t>â</w:t>
            </w:r>
            <w:r w:rsidR="000064EC" w:rsidRPr="00A23740">
              <w:rPr>
                <w:szCs w:val="24"/>
              </w:rPr>
              <w:t xml:space="preserve">linde, alacaklının talebi üzerine icra </w:t>
            </w:r>
            <w:r w:rsidR="00BC1FB3" w:rsidRPr="00363170">
              <w:t>ve iflas</w:t>
            </w:r>
            <w:r w:rsidR="00BC1FB3" w:rsidRPr="00A23740">
              <w:rPr>
                <w:szCs w:val="24"/>
              </w:rPr>
              <w:t xml:space="preserve"> </w:t>
            </w:r>
            <w:r w:rsidR="000064EC" w:rsidRPr="00A23740">
              <w:rPr>
                <w:szCs w:val="24"/>
              </w:rPr>
              <w:t>dairesince gönderilen muhtıranın tebliğ edildiği tarihten itibaren iki hafta iç</w:t>
            </w:r>
            <w:r w:rsidR="00B75A53" w:rsidRPr="00A23740">
              <w:rPr>
                <w:szCs w:val="24"/>
              </w:rPr>
              <w:t xml:space="preserve">inde borçlu ek mal beyanını bildirmek </w:t>
            </w:r>
            <w:r w:rsidR="000064EC" w:rsidRPr="00A23740">
              <w:rPr>
                <w:szCs w:val="24"/>
              </w:rPr>
              <w:t>zorundadır. Muhtırada,</w:t>
            </w:r>
            <w:r w:rsidR="00F2249C" w:rsidRPr="00A23740">
              <w:rPr>
                <w:szCs w:val="24"/>
              </w:rPr>
              <w:t xml:space="preserve"> </w:t>
            </w:r>
            <w:r w:rsidR="00F2249C" w:rsidRPr="00363170">
              <w:rPr>
                <w:szCs w:val="24"/>
              </w:rPr>
              <w:t>borçlunun</w:t>
            </w:r>
            <w:r w:rsidR="000064EC" w:rsidRPr="00A23740">
              <w:rPr>
                <w:szCs w:val="24"/>
              </w:rPr>
              <w:t xml:space="preserve"> süresi içi</w:t>
            </w:r>
            <w:r w:rsidR="00E676D6" w:rsidRPr="00A23740">
              <w:rPr>
                <w:szCs w:val="24"/>
              </w:rPr>
              <w:t>nde mal beyanında bulunmaması hâ</w:t>
            </w:r>
            <w:r w:rsidR="000064EC" w:rsidRPr="00A23740">
              <w:rPr>
                <w:szCs w:val="24"/>
              </w:rPr>
              <w:t xml:space="preserve">linde </w:t>
            </w:r>
            <w:r w:rsidR="00F60DB9" w:rsidRPr="00363170">
              <w:rPr>
                <w:bCs/>
                <w:szCs w:val="24"/>
              </w:rPr>
              <w:t>510 uncu</w:t>
            </w:r>
            <w:r w:rsidR="00F60DB9" w:rsidRPr="00A23740">
              <w:rPr>
                <w:b/>
                <w:szCs w:val="24"/>
              </w:rPr>
              <w:t xml:space="preserve"> </w:t>
            </w:r>
            <w:r w:rsidR="00E56DDD" w:rsidRPr="00A23740">
              <w:rPr>
                <w:szCs w:val="24"/>
              </w:rPr>
              <w:t xml:space="preserve">maddenin birinci fıkrası uyarınca </w:t>
            </w:r>
            <w:r w:rsidR="000B21D1" w:rsidRPr="00A23740">
              <w:rPr>
                <w:szCs w:val="24"/>
              </w:rPr>
              <w:t>disiplin hapsi</w:t>
            </w:r>
            <w:r w:rsidR="00BC1FB3" w:rsidRPr="00363170">
              <w:rPr>
                <w:szCs w:val="24"/>
              </w:rPr>
              <w:t>yle</w:t>
            </w:r>
            <w:r w:rsidR="000B21D1" w:rsidRPr="00A23740">
              <w:rPr>
                <w:szCs w:val="24"/>
              </w:rPr>
              <w:t xml:space="preserve"> </w:t>
            </w:r>
            <w:r w:rsidR="000064EC" w:rsidRPr="00A23740">
              <w:rPr>
                <w:szCs w:val="24"/>
              </w:rPr>
              <w:t>cezalandırılacağı belirtilir.</w:t>
            </w:r>
          </w:p>
          <w:p w:rsidR="008B29D6" w:rsidRPr="00A23740" w:rsidRDefault="000F64BE" w:rsidP="009431FF">
            <w:pPr>
              <w:tabs>
                <w:tab w:val="left" w:pos="567"/>
              </w:tabs>
              <w:ind w:firstLine="709"/>
              <w:rPr>
                <w:rFonts w:eastAsia="Times New Roman"/>
                <w:color w:val="000000"/>
                <w:szCs w:val="24"/>
                <w:lang w:eastAsia="tr-TR"/>
              </w:rPr>
            </w:pPr>
            <w:r w:rsidRPr="00A23740">
              <w:rPr>
                <w:szCs w:val="24"/>
              </w:rPr>
              <w:t>Beşinci fıkrayla,</w:t>
            </w:r>
            <w:r w:rsidR="00AD523A" w:rsidRPr="00A23740">
              <w:rPr>
                <w:szCs w:val="24"/>
              </w:rPr>
              <w:t xml:space="preserve"> sonradan edinilen mallar ile kazanç ve gelire ilişkin mal beyanı düzenlenmektedir. Buna göre</w:t>
            </w:r>
            <w:r w:rsidRPr="00A23740">
              <w:rPr>
                <w:b/>
                <w:bCs/>
                <w:color w:val="0000FF"/>
                <w:szCs w:val="24"/>
                <w:lang w:val="x-none" w:eastAsia="x-none"/>
              </w:rPr>
              <w:t xml:space="preserve"> </w:t>
            </w:r>
            <w:r w:rsidR="00AD523A" w:rsidRPr="00A23740">
              <w:rPr>
                <w:rFonts w:eastAsia="Times New Roman"/>
                <w:color w:val="000000"/>
                <w:szCs w:val="24"/>
                <w:lang w:eastAsia="tr-TR"/>
              </w:rPr>
              <w:t>borçlu</w:t>
            </w:r>
            <w:r w:rsidRPr="00A23740">
              <w:rPr>
                <w:rFonts w:eastAsia="Times New Roman"/>
                <w:color w:val="000000"/>
                <w:szCs w:val="24"/>
                <w:lang w:eastAsia="tr-TR"/>
              </w:rPr>
              <w:t xml:space="preserve">, mal beyanında bulunmamış veya yaptığı beyanda </w:t>
            </w:r>
            <w:r w:rsidR="00BC1FB3" w:rsidRPr="00363170">
              <w:t>mal, hak ve alacağı</w:t>
            </w:r>
            <w:r w:rsidR="00BC1FB3" w:rsidRPr="00363170">
              <w:rPr>
                <w:szCs w:val="24"/>
              </w:rPr>
              <w:t xml:space="preserve"> </w:t>
            </w:r>
            <w:r w:rsidRPr="00363170">
              <w:rPr>
                <w:szCs w:val="24"/>
              </w:rPr>
              <w:t>olmadığını bi</w:t>
            </w:r>
            <w:r w:rsidR="00BC1FB3" w:rsidRPr="00363170">
              <w:rPr>
                <w:szCs w:val="24"/>
              </w:rPr>
              <w:t>ldirmiş</w:t>
            </w:r>
            <w:r w:rsidR="00BC1FB3" w:rsidRPr="00A23740">
              <w:rPr>
                <w:rFonts w:eastAsia="Times New Roman"/>
                <w:color w:val="000000"/>
                <w:szCs w:val="24"/>
                <w:lang w:eastAsia="tr-TR"/>
              </w:rPr>
              <w:t xml:space="preserve"> veya borcuna yetecek </w:t>
            </w:r>
            <w:r w:rsidR="00BC1FB3" w:rsidRPr="00363170">
              <w:rPr>
                <w:szCs w:val="24"/>
              </w:rPr>
              <w:t xml:space="preserve">mal, hak ve alacak </w:t>
            </w:r>
            <w:r w:rsidRPr="00363170">
              <w:rPr>
                <w:szCs w:val="24"/>
              </w:rPr>
              <w:t>göstermemiş</w:t>
            </w:r>
            <w:r w:rsidRPr="00A23740">
              <w:rPr>
                <w:rFonts w:eastAsia="Times New Roman"/>
                <w:color w:val="000000"/>
                <w:szCs w:val="24"/>
                <w:lang w:eastAsia="tr-TR"/>
              </w:rPr>
              <w:t xml:space="preserve"> ya da beyandan kaçınmışsa, sonradan kazandığı </w:t>
            </w:r>
            <w:r w:rsidR="00BC1FB3" w:rsidRPr="00363170">
              <w:t xml:space="preserve">mal, hak ve alacakları </w:t>
            </w:r>
            <w:r w:rsidRPr="00363170">
              <w:rPr>
                <w:szCs w:val="24"/>
              </w:rPr>
              <w:t>ve kazancında</w:t>
            </w:r>
            <w:r w:rsidRPr="00A23740">
              <w:rPr>
                <w:rFonts w:eastAsia="Times New Roman"/>
                <w:color w:val="000000"/>
                <w:szCs w:val="24"/>
                <w:lang w:eastAsia="tr-TR"/>
              </w:rPr>
              <w:t xml:space="preserve"> ve gelirinde ortaya çıkan artışlara ilişkin mal beyanını, kazanma veya artış tarihinden itibaren iki hafta içinde </w:t>
            </w:r>
            <w:r w:rsidRPr="00363170">
              <w:rPr>
                <w:szCs w:val="24"/>
              </w:rPr>
              <w:t xml:space="preserve">icra </w:t>
            </w:r>
            <w:r w:rsidR="00B73523" w:rsidRPr="00363170">
              <w:rPr>
                <w:szCs w:val="24"/>
              </w:rPr>
              <w:t xml:space="preserve">ve iflas </w:t>
            </w:r>
            <w:r w:rsidRPr="00363170">
              <w:rPr>
                <w:szCs w:val="24"/>
              </w:rPr>
              <w:t>dairesine</w:t>
            </w:r>
            <w:r w:rsidRPr="00A23740">
              <w:rPr>
                <w:rFonts w:eastAsia="Times New Roman"/>
                <w:color w:val="000000"/>
                <w:szCs w:val="24"/>
                <w:lang w:eastAsia="tr-TR"/>
              </w:rPr>
              <w:t xml:space="preserve"> bildirmek zorundadır.</w:t>
            </w:r>
            <w:r w:rsidR="00AD523A" w:rsidRPr="00A23740">
              <w:rPr>
                <w:rFonts w:eastAsia="Times New Roman"/>
                <w:color w:val="000000"/>
                <w:szCs w:val="24"/>
                <w:lang w:eastAsia="tr-TR"/>
              </w:rPr>
              <w:t xml:space="preserve"> Hüküm, 2004 sayılı Kanunun 77 nci maddesine karşılık gelmektedir. 2004 sayılı Kanundan farklı olarak bildirim süresi yedi gün yerine iki hafta olarak belirlenmekte,</w:t>
            </w:r>
            <w:r w:rsidR="008B29D6" w:rsidRPr="00A23740">
              <w:rPr>
                <w:rFonts w:eastAsia="Times New Roman"/>
                <w:color w:val="000000"/>
                <w:szCs w:val="24"/>
                <w:lang w:eastAsia="tr-TR"/>
              </w:rPr>
              <w:t xml:space="preserve"> mal beyanının yönetmelikteki örneğe uygun olarak yapılması zorunlu h</w:t>
            </w:r>
            <w:r w:rsidR="00E54A6B" w:rsidRPr="00A23740">
              <w:rPr>
                <w:rFonts w:eastAsia="Times New Roman"/>
                <w:color w:val="000000"/>
                <w:szCs w:val="24"/>
                <w:lang w:eastAsia="tr-TR"/>
              </w:rPr>
              <w:t>â</w:t>
            </w:r>
            <w:r w:rsidR="008B29D6" w:rsidRPr="00A23740">
              <w:rPr>
                <w:rFonts w:eastAsia="Times New Roman"/>
                <w:color w:val="000000"/>
                <w:szCs w:val="24"/>
                <w:lang w:eastAsia="tr-TR"/>
              </w:rPr>
              <w:t>le getirildiğinden</w:t>
            </w:r>
            <w:r w:rsidR="00AD523A" w:rsidRPr="00A23740">
              <w:rPr>
                <w:rFonts w:eastAsia="Times New Roman"/>
                <w:color w:val="000000"/>
                <w:szCs w:val="24"/>
                <w:lang w:eastAsia="tr-TR"/>
              </w:rPr>
              <w:t xml:space="preserve"> sözlü bildirim usulü kaldırılmakta ve tereddütlerin giderilmesi amacıyla birinci fıkra uyarınca borçlu</w:t>
            </w:r>
            <w:r w:rsidR="000B21D1" w:rsidRPr="00A23740">
              <w:rPr>
                <w:rFonts w:eastAsia="Times New Roman"/>
                <w:color w:val="000000"/>
                <w:szCs w:val="24"/>
                <w:lang w:eastAsia="tr-TR"/>
              </w:rPr>
              <w:t>nun</w:t>
            </w:r>
            <w:r w:rsidR="00AD523A" w:rsidRPr="00A23740">
              <w:rPr>
                <w:rFonts w:eastAsia="Times New Roman"/>
                <w:color w:val="000000"/>
                <w:szCs w:val="24"/>
                <w:lang w:eastAsia="tr-TR"/>
              </w:rPr>
              <w:t xml:space="preserve"> mal beyanında bulunmama h</w:t>
            </w:r>
            <w:r w:rsidR="00E54A6B" w:rsidRPr="00A23740">
              <w:rPr>
                <w:rFonts w:eastAsia="Times New Roman"/>
                <w:color w:val="000000"/>
                <w:szCs w:val="24"/>
                <w:lang w:eastAsia="tr-TR"/>
              </w:rPr>
              <w:t>â</w:t>
            </w:r>
            <w:r w:rsidR="00AD523A" w:rsidRPr="00A23740">
              <w:rPr>
                <w:rFonts w:eastAsia="Times New Roman"/>
                <w:color w:val="000000"/>
                <w:szCs w:val="24"/>
                <w:lang w:eastAsia="tr-TR"/>
              </w:rPr>
              <w:t>li de hükme eklenmektedir.</w:t>
            </w:r>
          </w:p>
          <w:p w:rsidR="000F64BE" w:rsidRPr="00A23740" w:rsidRDefault="00AD523A" w:rsidP="00DE193E">
            <w:pPr>
              <w:tabs>
                <w:tab w:val="left" w:pos="567"/>
              </w:tabs>
              <w:ind w:firstLine="709"/>
              <w:rPr>
                <w:szCs w:val="24"/>
              </w:rPr>
            </w:pPr>
            <w:r w:rsidRPr="00A23740">
              <w:rPr>
                <w:rFonts w:eastAsia="Times New Roman"/>
                <w:color w:val="000000"/>
                <w:szCs w:val="24"/>
                <w:lang w:eastAsia="tr-TR"/>
              </w:rPr>
              <w:t xml:space="preserve">Altıncı </w:t>
            </w:r>
            <w:r w:rsidR="00CD1712" w:rsidRPr="00A23740">
              <w:rPr>
                <w:rFonts w:eastAsia="Times New Roman"/>
                <w:color w:val="000000"/>
                <w:szCs w:val="24"/>
                <w:lang w:eastAsia="tr-TR"/>
              </w:rPr>
              <w:t xml:space="preserve">fıkrayla, </w:t>
            </w:r>
            <w:r w:rsidRPr="00A23740">
              <w:rPr>
                <w:rFonts w:eastAsia="Times New Roman"/>
                <w:color w:val="000000"/>
                <w:szCs w:val="24"/>
                <w:lang w:eastAsia="tr-TR"/>
              </w:rPr>
              <w:t xml:space="preserve">mal </w:t>
            </w:r>
            <w:r w:rsidR="000F64BE" w:rsidRPr="00A23740">
              <w:rPr>
                <w:rFonts w:eastAsia="Times New Roman"/>
                <w:color w:val="000000"/>
                <w:szCs w:val="24"/>
                <w:lang w:eastAsia="tr-TR"/>
              </w:rPr>
              <w:t>beyanı</w:t>
            </w:r>
            <w:r w:rsidRPr="00A23740">
              <w:rPr>
                <w:rFonts w:eastAsia="Times New Roman"/>
                <w:color w:val="000000"/>
                <w:szCs w:val="24"/>
                <w:lang w:eastAsia="tr-TR"/>
              </w:rPr>
              <w:t>nın</w:t>
            </w:r>
            <w:r w:rsidR="000F64BE" w:rsidRPr="00A23740">
              <w:rPr>
                <w:rFonts w:eastAsia="Times New Roman"/>
                <w:color w:val="000000"/>
                <w:szCs w:val="24"/>
                <w:lang w:eastAsia="tr-TR"/>
              </w:rPr>
              <w:t xml:space="preserve"> yönetmelikteki örneğe uygun olarak</w:t>
            </w:r>
            <w:r w:rsidRPr="00A23740">
              <w:rPr>
                <w:rFonts w:eastAsia="Times New Roman"/>
                <w:color w:val="000000"/>
                <w:szCs w:val="24"/>
                <w:lang w:eastAsia="tr-TR"/>
              </w:rPr>
              <w:t xml:space="preserve"> düzenlenip </w:t>
            </w:r>
            <w:r w:rsidRPr="00363170">
              <w:rPr>
                <w:szCs w:val="24"/>
              </w:rPr>
              <w:t>icra</w:t>
            </w:r>
            <w:r w:rsidR="00F2249C" w:rsidRPr="00363170">
              <w:rPr>
                <w:szCs w:val="24"/>
              </w:rPr>
              <w:t xml:space="preserve"> ve iflas</w:t>
            </w:r>
            <w:r w:rsidRPr="00363170">
              <w:rPr>
                <w:szCs w:val="24"/>
              </w:rPr>
              <w:t xml:space="preserve"> dairesine</w:t>
            </w:r>
            <w:r w:rsidRPr="00A23740">
              <w:rPr>
                <w:rFonts w:eastAsia="Times New Roman"/>
                <w:color w:val="000000"/>
                <w:szCs w:val="24"/>
                <w:lang w:eastAsia="tr-TR"/>
              </w:rPr>
              <w:t xml:space="preserve"> verileceği ve mal </w:t>
            </w:r>
            <w:r w:rsidR="000F64BE" w:rsidRPr="00A23740">
              <w:rPr>
                <w:rFonts w:eastAsia="Times New Roman"/>
                <w:color w:val="000000"/>
                <w:szCs w:val="24"/>
                <w:lang w:eastAsia="tr-TR"/>
              </w:rPr>
              <w:t>beyanı zorunluluğu</w:t>
            </w:r>
            <w:r w:rsidRPr="00A23740">
              <w:rPr>
                <w:rFonts w:eastAsia="Times New Roman"/>
                <w:color w:val="000000"/>
                <w:szCs w:val="24"/>
                <w:lang w:eastAsia="tr-TR"/>
              </w:rPr>
              <w:t xml:space="preserve">na ve </w:t>
            </w:r>
            <w:r w:rsidR="000F64BE" w:rsidRPr="00A23740">
              <w:rPr>
                <w:rFonts w:eastAsia="Times New Roman"/>
                <w:color w:val="000000"/>
                <w:szCs w:val="24"/>
                <w:lang w:eastAsia="tr-TR"/>
              </w:rPr>
              <w:t xml:space="preserve"> mal beyanında yer alacak hususlara ilişkin usul ve esaslar</w:t>
            </w:r>
            <w:r w:rsidRPr="00A23740">
              <w:rPr>
                <w:rFonts w:eastAsia="Times New Roman"/>
                <w:color w:val="000000"/>
                <w:szCs w:val="24"/>
                <w:lang w:eastAsia="tr-TR"/>
              </w:rPr>
              <w:t>ın</w:t>
            </w:r>
            <w:r w:rsidR="000F64BE" w:rsidRPr="00A23740">
              <w:rPr>
                <w:rFonts w:eastAsia="Times New Roman"/>
                <w:color w:val="000000"/>
                <w:szCs w:val="24"/>
                <w:lang w:eastAsia="tr-TR"/>
              </w:rPr>
              <w:t xml:space="preserve"> yönetmelikle belirlen</w:t>
            </w:r>
            <w:r w:rsidRPr="00A23740">
              <w:rPr>
                <w:rFonts w:eastAsia="Times New Roman"/>
                <w:color w:val="000000"/>
                <w:szCs w:val="24"/>
                <w:lang w:eastAsia="tr-TR"/>
              </w:rPr>
              <w:t>eceği düzenlenmektedir</w:t>
            </w:r>
            <w:r w:rsidR="000F64BE" w:rsidRPr="00A23740">
              <w:rPr>
                <w:rFonts w:eastAsia="Times New Roman"/>
                <w:color w:val="000000"/>
                <w:szCs w:val="24"/>
                <w:lang w:eastAsia="tr-TR"/>
              </w:rPr>
              <w:t>.</w:t>
            </w:r>
          </w:p>
          <w:p w:rsidR="00E91409" w:rsidRPr="00A23740" w:rsidRDefault="00E91409" w:rsidP="00DE193E">
            <w:pPr>
              <w:tabs>
                <w:tab w:val="left" w:pos="567"/>
              </w:tabs>
              <w:ind w:firstLine="709"/>
              <w:rPr>
                <w:b/>
                <w:bCs/>
                <w:szCs w:val="24"/>
                <w:lang w:eastAsia="x-none"/>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Beyan mecburiyeti müddeti, başlangıcı:</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Madde 75 – (1) (Değişik: 6/6/1985 - 3222/8 md.)</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İtirazının iptaline veya kat'i veya muvakkat surette kaldırılmasına karar verilen borçlu, bu kararın kendisine tebliğinden itibaren üç gün içinde yukarıdaki maddede gösterildiği üzere beyanda bulunmaya mecburdur.</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İptal veya kaldırma kararı borçlunun vicahında verilmiş ise bu müddet, kararın tefhiminden başlar.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Borçlunun </w:t>
            </w:r>
            <w:r w:rsidRPr="00A23740">
              <w:rPr>
                <w:b/>
                <w:bCs/>
                <w:strike/>
                <w:color w:val="FF0000"/>
                <w:szCs w:val="24"/>
              </w:rPr>
              <w:t>mevcudu</w:t>
            </w:r>
            <w:r w:rsidRPr="00A23740">
              <w:rPr>
                <w:rFonts w:eastAsia="Times New Roman"/>
                <w:b/>
                <w:szCs w:val="24"/>
                <w:lang w:eastAsia="tr-TR"/>
              </w:rPr>
              <w:t xml:space="preserve"> hakkında </w:t>
            </w:r>
            <w:r w:rsidRPr="00A23740">
              <w:rPr>
                <w:b/>
                <w:bCs/>
                <w:strike/>
                <w:color w:val="FF0000"/>
                <w:szCs w:val="24"/>
              </w:rPr>
              <w:t>malümat</w:t>
            </w:r>
            <w:r w:rsidRPr="00A23740">
              <w:rPr>
                <w:rFonts w:eastAsia="Times New Roman"/>
                <w:b/>
                <w:szCs w:val="24"/>
                <w:lang w:eastAsia="tr-TR"/>
              </w:rPr>
              <w:t xml:space="preserve"> vermek </w:t>
            </w:r>
            <w:r w:rsidRPr="00A23740">
              <w:rPr>
                <w:b/>
                <w:bCs/>
                <w:strike/>
                <w:color w:val="FF0000"/>
                <w:szCs w:val="24"/>
              </w:rPr>
              <w:t>mecburiyeti:</w:t>
            </w:r>
          </w:p>
          <w:p w:rsidR="00AA5C8C" w:rsidRPr="00A23740" w:rsidRDefault="00AA5C8C" w:rsidP="009431FF">
            <w:pPr>
              <w:tabs>
                <w:tab w:val="left" w:pos="567"/>
              </w:tabs>
              <w:rPr>
                <w:rFonts w:eastAsia="Times New Roman"/>
                <w:szCs w:val="24"/>
                <w:lang w:eastAsia="tr-TR"/>
              </w:rPr>
            </w:pPr>
            <w:r w:rsidRPr="00A23740">
              <w:rPr>
                <w:b/>
                <w:bCs/>
                <w:strike/>
                <w:color w:val="FF0000"/>
                <w:szCs w:val="24"/>
              </w:rPr>
              <w:t>Madde 367 – (1)</w:t>
            </w:r>
            <w:r w:rsidRPr="00A23740">
              <w:rPr>
                <w:rFonts w:eastAsia="Times New Roman"/>
                <w:b/>
                <w:szCs w:val="24"/>
                <w:lang w:eastAsia="tr-TR"/>
              </w:rPr>
              <w:t xml:space="preserve"> </w:t>
            </w:r>
            <w:r w:rsidRPr="00A23740">
              <w:rPr>
                <w:rFonts w:eastAsia="Times New Roman"/>
                <w:szCs w:val="24"/>
                <w:lang w:eastAsia="tr-TR"/>
              </w:rPr>
              <w:t xml:space="preserve">İcra </w:t>
            </w:r>
            <w:r w:rsidRPr="00A23740">
              <w:rPr>
                <w:b/>
                <w:bCs/>
                <w:strike/>
                <w:color w:val="FF0000"/>
                <w:szCs w:val="24"/>
              </w:rPr>
              <w:t>veya</w:t>
            </w:r>
            <w:r w:rsidRPr="00A23740">
              <w:rPr>
                <w:rFonts w:eastAsia="Times New Roman"/>
                <w:szCs w:val="24"/>
                <w:lang w:eastAsia="tr-TR"/>
              </w:rPr>
              <w:t xml:space="preserve"> İflas dairelerinin borçlunun </w:t>
            </w:r>
            <w:r w:rsidRPr="00A23740">
              <w:rPr>
                <w:b/>
                <w:bCs/>
                <w:strike/>
                <w:color w:val="FF0000"/>
                <w:szCs w:val="24"/>
              </w:rPr>
              <w:t>mevcuduna dair</w:t>
            </w:r>
            <w:r w:rsidRPr="00A23740">
              <w:rPr>
                <w:rFonts w:eastAsia="Times New Roman"/>
                <w:szCs w:val="24"/>
                <w:lang w:eastAsia="tr-TR"/>
              </w:rPr>
              <w:t xml:space="preserve"> ist</w:t>
            </w:r>
            <w:r w:rsidRPr="00A23740">
              <w:rPr>
                <w:b/>
                <w:bCs/>
                <w:strike/>
                <w:color w:val="FF0000"/>
                <w:szCs w:val="24"/>
              </w:rPr>
              <w:t>i</w:t>
            </w:r>
            <w:r w:rsidRPr="00A23740">
              <w:rPr>
                <w:rFonts w:eastAsia="Times New Roman"/>
                <w:szCs w:val="24"/>
                <w:lang w:eastAsia="tr-TR"/>
              </w:rPr>
              <w:t xml:space="preserve">yeceği bütün </w:t>
            </w:r>
            <w:r w:rsidRPr="00A23740">
              <w:rPr>
                <w:b/>
                <w:bCs/>
                <w:strike/>
                <w:color w:val="FF0000"/>
                <w:szCs w:val="24"/>
              </w:rPr>
              <w:t>malümatı</w:t>
            </w:r>
            <w:r w:rsidRPr="00A23740">
              <w:rPr>
                <w:rFonts w:eastAsia="Times New Roman"/>
                <w:szCs w:val="24"/>
                <w:lang w:eastAsia="tr-TR"/>
              </w:rPr>
              <w:t xml:space="preserve"> </w:t>
            </w:r>
            <w:r w:rsidRPr="00A23740">
              <w:rPr>
                <w:b/>
                <w:bCs/>
                <w:strike/>
                <w:color w:val="FF0000"/>
                <w:szCs w:val="24"/>
              </w:rPr>
              <w:t>hakiki ve hükmi her şahıs</w:t>
            </w:r>
            <w:r w:rsidRPr="00A23740">
              <w:rPr>
                <w:rFonts w:eastAsia="Times New Roman"/>
                <w:szCs w:val="24"/>
                <w:lang w:eastAsia="tr-TR"/>
              </w:rPr>
              <w:t xml:space="preserve"> derhal verme</w:t>
            </w:r>
            <w:r w:rsidRPr="00A23740">
              <w:rPr>
                <w:b/>
                <w:bCs/>
                <w:strike/>
                <w:color w:val="FF0000"/>
                <w:szCs w:val="24"/>
              </w:rPr>
              <w:t>ğe</w:t>
            </w:r>
            <w:r w:rsidRPr="00A23740">
              <w:rPr>
                <w:rFonts w:eastAsia="Times New Roman"/>
                <w:szCs w:val="24"/>
                <w:lang w:eastAsia="tr-TR"/>
              </w:rPr>
              <w:t xml:space="preserve"> ve talep halinde </w:t>
            </w:r>
            <w:r w:rsidRPr="00A23740">
              <w:rPr>
                <w:b/>
                <w:bCs/>
                <w:strike/>
                <w:color w:val="FF0000"/>
                <w:szCs w:val="24"/>
              </w:rPr>
              <w:t>mevcudu</w:t>
            </w:r>
            <w:r w:rsidRPr="00A23740">
              <w:rPr>
                <w:rFonts w:eastAsia="Times New Roman"/>
                <w:szCs w:val="24"/>
                <w:lang w:eastAsia="tr-TR"/>
              </w:rPr>
              <w:t xml:space="preserve"> bu dairelere teslim</w:t>
            </w:r>
            <w:r w:rsidRPr="00A23740">
              <w:rPr>
                <w:b/>
                <w:bCs/>
                <w:strike/>
                <w:color w:val="FF0000"/>
                <w:szCs w:val="24"/>
              </w:rPr>
              <w:t>e</w:t>
            </w:r>
            <w:r w:rsidRPr="00A23740">
              <w:rPr>
                <w:rFonts w:eastAsia="Times New Roman"/>
                <w:szCs w:val="24"/>
                <w:lang w:eastAsia="tr-TR"/>
              </w:rPr>
              <w:t xml:space="preserve"> </w:t>
            </w:r>
            <w:r w:rsidRPr="00A23740">
              <w:rPr>
                <w:b/>
                <w:bCs/>
                <w:strike/>
                <w:color w:val="FF0000"/>
                <w:szCs w:val="24"/>
              </w:rPr>
              <w:t>mecburdur</w:t>
            </w:r>
            <w:r w:rsidRPr="00A23740">
              <w:rPr>
                <w:rFonts w:eastAsia="Times New Roman"/>
                <w:szCs w:val="24"/>
                <w:lang w:eastAsia="tr-TR"/>
              </w:rPr>
              <w:t>.</w:t>
            </w:r>
          </w:p>
          <w:p w:rsidR="00AA5C8C" w:rsidRPr="00A23740" w:rsidRDefault="00AA5C8C" w:rsidP="009431FF">
            <w:pPr>
              <w:tabs>
                <w:tab w:val="left" w:pos="567"/>
              </w:tabs>
              <w:rPr>
                <w:rFonts w:eastAsia="Times New Roman"/>
                <w:b/>
                <w:strike/>
                <w:color w:val="FF0000"/>
                <w:szCs w:val="24"/>
                <w:lang w:eastAsia="tr-TR"/>
              </w:rPr>
            </w:pPr>
          </w:p>
          <w:p w:rsidR="006A1FA7" w:rsidRPr="00A23740" w:rsidRDefault="006A1FA7" w:rsidP="009431FF">
            <w:pPr>
              <w:pStyle w:val="Mavi"/>
              <w:rPr>
                <w:rFonts w:eastAsia="Times New Roman"/>
                <w:b w:val="0"/>
                <w:strike/>
                <w:color w:val="FF0000"/>
                <w:lang w:eastAsia="tr-TR"/>
              </w:rPr>
            </w:pPr>
          </w:p>
        </w:tc>
        <w:tc>
          <w:tcPr>
            <w:tcW w:w="2500" w:type="pct"/>
          </w:tcPr>
          <w:p w:rsidR="00F43991" w:rsidRPr="00A23740" w:rsidRDefault="00F43991" w:rsidP="009431FF">
            <w:pPr>
              <w:tabs>
                <w:tab w:val="left" w:pos="567"/>
              </w:tabs>
              <w:rPr>
                <w:rStyle w:val="MaviChar"/>
                <w:lang w:val="tr-TR"/>
              </w:rPr>
            </w:pPr>
            <w:r w:rsidRPr="00A23740">
              <w:rPr>
                <w:rStyle w:val="MaviChar"/>
                <w:lang w:val="tr-TR"/>
              </w:rPr>
              <w:t>Üçüncü kişilerin bilgi verme ve teslim etme yükümlülüğü</w:t>
            </w:r>
          </w:p>
          <w:p w:rsidR="006A1FA7" w:rsidRPr="00A23740" w:rsidRDefault="00AA5C8C" w:rsidP="009431FF">
            <w:pPr>
              <w:tabs>
                <w:tab w:val="left" w:pos="567"/>
              </w:tabs>
              <w:rPr>
                <w:rFonts w:eastAsia="Times New Roman"/>
                <w:szCs w:val="24"/>
                <w:lang w:eastAsia="tr-TR"/>
              </w:rPr>
            </w:pPr>
            <w:r w:rsidRPr="00A23740">
              <w:rPr>
                <w:b/>
                <w:bCs/>
                <w:color w:val="0000FF"/>
                <w:szCs w:val="24"/>
                <w:lang w:val="x-none" w:eastAsia="x-none"/>
              </w:rPr>
              <w:t xml:space="preserve">MADDE </w:t>
            </w:r>
            <w:r w:rsidR="009D57E1" w:rsidRPr="00A23740">
              <w:rPr>
                <w:b/>
                <w:bCs/>
                <w:color w:val="0000FF"/>
                <w:szCs w:val="24"/>
                <w:lang w:eastAsia="x-none"/>
              </w:rPr>
              <w:t>155</w:t>
            </w:r>
            <w:r w:rsidRPr="00A23740">
              <w:rPr>
                <w:b/>
                <w:bCs/>
                <w:color w:val="0000FF"/>
                <w:szCs w:val="24"/>
                <w:lang w:val="x-none" w:eastAsia="x-none"/>
              </w:rPr>
              <w:t>- (1) Gerçek ve tüzel kişiler,</w:t>
            </w:r>
            <w:r w:rsidRPr="00A23740">
              <w:rPr>
                <w:rFonts w:eastAsia="Times New Roman"/>
                <w:b/>
                <w:szCs w:val="24"/>
                <w:lang w:eastAsia="tr-TR"/>
              </w:rPr>
              <w:t xml:space="preserve"> </w:t>
            </w:r>
            <w:r w:rsidRPr="00A23740">
              <w:rPr>
                <w:rFonts w:eastAsia="Times New Roman"/>
                <w:szCs w:val="24"/>
                <w:lang w:eastAsia="tr-TR"/>
              </w:rPr>
              <w:t xml:space="preserve">icra </w:t>
            </w:r>
            <w:r w:rsidRPr="00A23740">
              <w:rPr>
                <w:b/>
                <w:bCs/>
                <w:color w:val="0000FF"/>
                <w:szCs w:val="24"/>
                <w:lang w:val="x-none" w:eastAsia="x-none"/>
              </w:rPr>
              <w:t>ve</w:t>
            </w:r>
            <w:r w:rsidRPr="00A23740">
              <w:rPr>
                <w:rFonts w:eastAsia="Times New Roman"/>
                <w:szCs w:val="24"/>
                <w:lang w:eastAsia="tr-TR"/>
              </w:rPr>
              <w:t xml:space="preserve"> iflas dairelerinin borçlunun </w:t>
            </w:r>
            <w:r w:rsidRPr="00A23740">
              <w:rPr>
                <w:b/>
                <w:bCs/>
                <w:color w:val="0000FF"/>
                <w:szCs w:val="24"/>
                <w:lang w:val="x-none" w:eastAsia="x-none"/>
              </w:rPr>
              <w:t>malvarlığı hakkında</w:t>
            </w:r>
            <w:r w:rsidRPr="00A23740">
              <w:rPr>
                <w:rFonts w:eastAsia="Times New Roman"/>
                <w:szCs w:val="24"/>
                <w:lang w:eastAsia="tr-TR"/>
              </w:rPr>
              <w:t xml:space="preserve"> ist</w:t>
            </w:r>
            <w:r w:rsidRPr="00A23740">
              <w:rPr>
                <w:b/>
                <w:bCs/>
                <w:color w:val="0000FF"/>
                <w:szCs w:val="24"/>
                <w:lang w:val="x-none" w:eastAsia="x-none"/>
              </w:rPr>
              <w:t>e</w:t>
            </w:r>
            <w:r w:rsidRPr="00A23740">
              <w:rPr>
                <w:rFonts w:eastAsia="Times New Roman"/>
                <w:szCs w:val="24"/>
                <w:lang w:eastAsia="tr-TR"/>
              </w:rPr>
              <w:t xml:space="preserve">yeceği bütün </w:t>
            </w:r>
            <w:r w:rsidRPr="00A23740">
              <w:rPr>
                <w:b/>
                <w:bCs/>
                <w:color w:val="0000FF"/>
                <w:szCs w:val="24"/>
                <w:lang w:val="x-none" w:eastAsia="x-none"/>
              </w:rPr>
              <w:t>bilgiyi</w:t>
            </w:r>
            <w:r w:rsidRPr="00A23740">
              <w:rPr>
                <w:rFonts w:eastAsia="Times New Roman"/>
                <w:b/>
                <w:color w:val="0000FF"/>
                <w:szCs w:val="24"/>
                <w:lang w:eastAsia="tr-TR"/>
              </w:rPr>
              <w:t xml:space="preserve"> </w:t>
            </w:r>
            <w:r w:rsidR="00DF22A1" w:rsidRPr="00A23740">
              <w:rPr>
                <w:szCs w:val="24"/>
              </w:rPr>
              <w:t xml:space="preserve">derhâl </w:t>
            </w:r>
            <w:r w:rsidRPr="00A23740">
              <w:rPr>
                <w:rFonts w:eastAsia="Times New Roman"/>
                <w:szCs w:val="24"/>
                <w:lang w:eastAsia="tr-TR"/>
              </w:rPr>
              <w:t>verme</w:t>
            </w:r>
            <w:r w:rsidRPr="00A23740">
              <w:rPr>
                <w:b/>
                <w:bCs/>
                <w:color w:val="0000FF"/>
                <w:szCs w:val="24"/>
                <w:lang w:val="x-none" w:eastAsia="x-none"/>
              </w:rPr>
              <w:t>k</w:t>
            </w:r>
            <w:r w:rsidRPr="00A23740">
              <w:rPr>
                <w:rFonts w:eastAsia="Times New Roman"/>
                <w:szCs w:val="24"/>
                <w:lang w:eastAsia="tr-TR"/>
              </w:rPr>
              <w:t xml:space="preserve"> ve talep h</w:t>
            </w:r>
            <w:r w:rsidR="00E54A6B" w:rsidRPr="00A23740">
              <w:rPr>
                <w:rFonts w:eastAsia="Times New Roman"/>
                <w:szCs w:val="24"/>
                <w:lang w:eastAsia="tr-TR"/>
              </w:rPr>
              <w:t>â</w:t>
            </w:r>
            <w:r w:rsidRPr="00A23740">
              <w:rPr>
                <w:rFonts w:eastAsia="Times New Roman"/>
                <w:szCs w:val="24"/>
                <w:lang w:eastAsia="tr-TR"/>
              </w:rPr>
              <w:t xml:space="preserve">linde </w:t>
            </w:r>
            <w:r w:rsidRPr="00A23740">
              <w:rPr>
                <w:b/>
                <w:bCs/>
                <w:color w:val="0000FF"/>
                <w:szCs w:val="24"/>
                <w:lang w:val="x-none" w:eastAsia="x-none"/>
              </w:rPr>
              <w:t>malvarlığını</w:t>
            </w:r>
            <w:r w:rsidRPr="00A23740">
              <w:rPr>
                <w:rFonts w:eastAsia="Times New Roman"/>
                <w:szCs w:val="24"/>
                <w:lang w:eastAsia="tr-TR"/>
              </w:rPr>
              <w:t xml:space="preserve"> bu dairelere teslim </w:t>
            </w:r>
            <w:r w:rsidRPr="00A23740">
              <w:rPr>
                <w:b/>
                <w:bCs/>
                <w:color w:val="0000FF"/>
                <w:szCs w:val="24"/>
                <w:lang w:val="x-none" w:eastAsia="x-none"/>
              </w:rPr>
              <w:t>etmek</w:t>
            </w:r>
            <w:r w:rsidRPr="00A23740">
              <w:rPr>
                <w:rFonts w:eastAsia="Times New Roman"/>
                <w:szCs w:val="24"/>
                <w:lang w:eastAsia="tr-TR"/>
              </w:rPr>
              <w:t xml:space="preserve"> </w:t>
            </w:r>
            <w:r w:rsidRPr="00A23740">
              <w:rPr>
                <w:b/>
                <w:bCs/>
                <w:color w:val="0000FF"/>
                <w:szCs w:val="24"/>
                <w:lang w:val="x-none" w:eastAsia="x-none"/>
              </w:rPr>
              <w:t>zorun</w:t>
            </w:r>
            <w:r w:rsidRPr="00A23740">
              <w:rPr>
                <w:b/>
                <w:bCs/>
                <w:color w:val="0000FF"/>
                <w:szCs w:val="24"/>
                <w:lang w:eastAsia="x-none"/>
              </w:rPr>
              <w:t>dadır</w:t>
            </w:r>
            <w:r w:rsidRPr="00A23740">
              <w:rPr>
                <w:rFonts w:eastAsia="Times New Roman"/>
                <w:szCs w:val="24"/>
                <w:lang w:eastAsia="tr-TR"/>
              </w:rPr>
              <w:t>.</w:t>
            </w:r>
          </w:p>
          <w:p w:rsidR="006A1FA7" w:rsidRPr="00A23740" w:rsidRDefault="006A1FA7" w:rsidP="009431FF">
            <w:pPr>
              <w:tabs>
                <w:tab w:val="left" w:pos="567"/>
              </w:tabs>
              <w:rPr>
                <w:rFonts w:eastAsia="Times New Roman"/>
                <w:szCs w:val="24"/>
                <w:lang w:eastAsia="tr-TR"/>
              </w:rPr>
            </w:pPr>
          </w:p>
          <w:p w:rsidR="00AA5C8C" w:rsidRPr="00A23740" w:rsidRDefault="006A1FA7" w:rsidP="009431FF">
            <w:pPr>
              <w:tabs>
                <w:tab w:val="left" w:pos="567"/>
              </w:tabs>
              <w:rPr>
                <w:rFonts w:eastAsia="Times New Roman"/>
                <w:szCs w:val="24"/>
                <w:lang w:eastAsia="tr-TR"/>
              </w:rPr>
            </w:pPr>
            <w:r w:rsidRPr="00A23740">
              <w:rPr>
                <w:rStyle w:val="MaviChar"/>
              </w:rPr>
              <w:t xml:space="preserve">(2) </w:t>
            </w:r>
            <w:r w:rsidR="004C0FF2" w:rsidRPr="00A23740">
              <w:rPr>
                <w:rStyle w:val="MaviChar"/>
                <w:lang w:val="tr-TR"/>
              </w:rPr>
              <w:t xml:space="preserve">Birinci fıkrada belirtilen </w:t>
            </w:r>
            <w:r w:rsidRPr="00A23740">
              <w:rPr>
                <w:rStyle w:val="MaviChar"/>
                <w:lang w:val="tr-TR"/>
              </w:rPr>
              <w:t>yükümlülüğü yerine getir</w:t>
            </w:r>
            <w:r w:rsidR="00771A91" w:rsidRPr="00A23740">
              <w:rPr>
                <w:rStyle w:val="MaviChar"/>
                <w:lang w:val="tr-TR"/>
              </w:rPr>
              <w:t>me</w:t>
            </w:r>
            <w:r w:rsidRPr="00A23740">
              <w:rPr>
                <w:rStyle w:val="MaviChar"/>
                <w:lang w:val="tr-TR"/>
              </w:rPr>
              <w:t>yenler hakkında,</w:t>
            </w:r>
            <w:r w:rsidR="0031090A" w:rsidRPr="00A23740">
              <w:rPr>
                <w:rStyle w:val="MaviChar"/>
                <w:lang w:val="tr-TR"/>
              </w:rPr>
              <w:t xml:space="preserve"> </w:t>
            </w:r>
            <w:r w:rsidR="0031090A" w:rsidRPr="00363170">
              <w:rPr>
                <w:rStyle w:val="KonuBalChar"/>
                <w:rFonts w:eastAsia="Calibri"/>
                <w:color w:val="0000FF"/>
              </w:rPr>
              <w:t>545 inci</w:t>
            </w:r>
            <w:r w:rsidRPr="00A23740">
              <w:rPr>
                <w:rStyle w:val="MaviChar"/>
                <w:lang w:val="tr-TR"/>
              </w:rPr>
              <w:t xml:space="preserve"> madde</w:t>
            </w:r>
            <w:r w:rsidR="00746A73" w:rsidRPr="00A23740">
              <w:rPr>
                <w:rStyle w:val="MaviChar"/>
                <w:lang w:val="tr-TR"/>
              </w:rPr>
              <w:t xml:space="preserve"> uygulanır.</w:t>
            </w:r>
          </w:p>
          <w:p w:rsidR="003A04B7" w:rsidRPr="00A23740" w:rsidRDefault="003A04B7" w:rsidP="009431FF">
            <w:pPr>
              <w:autoSpaceDE w:val="0"/>
              <w:autoSpaceDN w:val="0"/>
              <w:adjustRightInd w:val="0"/>
              <w:rPr>
                <w:rFonts w:eastAsia="Times New Roman"/>
                <w:b/>
                <w:color w:val="FF0000"/>
                <w:szCs w:val="24"/>
                <w:lang w:eastAsia="tr-TR"/>
              </w:rPr>
            </w:pPr>
          </w:p>
        </w:tc>
      </w:tr>
      <w:tr w:rsidR="00E91409" w:rsidRPr="00A23740" w:rsidTr="009431FF">
        <w:tc>
          <w:tcPr>
            <w:tcW w:w="5000" w:type="pct"/>
            <w:gridSpan w:val="2"/>
            <w:shd w:val="clear" w:color="auto" w:fill="DEEAF6"/>
          </w:tcPr>
          <w:p w:rsidR="00FB3362" w:rsidRPr="00A23740" w:rsidRDefault="00FB3362" w:rsidP="009431FF">
            <w:pPr>
              <w:tabs>
                <w:tab w:val="left" w:pos="567"/>
              </w:tabs>
              <w:ind w:firstLine="709"/>
              <w:rPr>
                <w:b/>
                <w:bCs/>
                <w:szCs w:val="24"/>
                <w:lang w:eastAsia="x-none"/>
              </w:rPr>
            </w:pPr>
          </w:p>
          <w:p w:rsidR="00FB3362" w:rsidRPr="00A23740" w:rsidRDefault="00FB3362" w:rsidP="009431FF">
            <w:pPr>
              <w:tabs>
                <w:tab w:val="left" w:pos="567"/>
              </w:tabs>
              <w:ind w:firstLine="709"/>
              <w:rPr>
                <w:bCs/>
                <w:szCs w:val="24"/>
                <w:lang w:eastAsia="x-none"/>
              </w:rPr>
            </w:pPr>
            <w:r w:rsidRPr="00A23740">
              <w:rPr>
                <w:b/>
                <w:bCs/>
                <w:szCs w:val="24"/>
                <w:lang w:eastAsia="x-none"/>
              </w:rPr>
              <w:t xml:space="preserve">MADDE </w:t>
            </w:r>
            <w:r w:rsidR="009D57E1" w:rsidRPr="00A23740">
              <w:rPr>
                <w:b/>
                <w:bCs/>
                <w:szCs w:val="24"/>
                <w:lang w:eastAsia="x-none"/>
              </w:rPr>
              <w:t>155</w:t>
            </w:r>
            <w:r w:rsidR="00E91409" w:rsidRPr="00A23740">
              <w:rPr>
                <w:b/>
                <w:bCs/>
                <w:szCs w:val="24"/>
                <w:lang w:eastAsia="x-none"/>
              </w:rPr>
              <w:t xml:space="preserve">- </w:t>
            </w:r>
            <w:r w:rsidRPr="00A23740">
              <w:rPr>
                <w:bCs/>
                <w:szCs w:val="24"/>
                <w:lang w:eastAsia="x-none"/>
              </w:rPr>
              <w:t>Maddeyle, üçüncü kişilerin</w:t>
            </w:r>
            <w:r w:rsidR="00F43991" w:rsidRPr="00A23740">
              <w:rPr>
                <w:bCs/>
                <w:szCs w:val="24"/>
                <w:lang w:eastAsia="x-none"/>
              </w:rPr>
              <w:t>,</w:t>
            </w:r>
            <w:r w:rsidR="00746A73" w:rsidRPr="00A23740">
              <w:rPr>
                <w:bCs/>
                <w:szCs w:val="24"/>
                <w:lang w:eastAsia="x-none"/>
              </w:rPr>
              <w:t xml:space="preserve"> borçlunun mal</w:t>
            </w:r>
            <w:r w:rsidRPr="00A23740">
              <w:rPr>
                <w:bCs/>
                <w:szCs w:val="24"/>
                <w:lang w:eastAsia="x-none"/>
              </w:rPr>
              <w:t>varlığı</w:t>
            </w:r>
            <w:r w:rsidR="00F43991" w:rsidRPr="00A23740">
              <w:rPr>
                <w:bCs/>
                <w:szCs w:val="24"/>
                <w:lang w:eastAsia="x-none"/>
              </w:rPr>
              <w:t>yla ilgili</w:t>
            </w:r>
            <w:r w:rsidRPr="00A23740">
              <w:rPr>
                <w:bCs/>
                <w:szCs w:val="24"/>
                <w:lang w:eastAsia="x-none"/>
              </w:rPr>
              <w:t xml:space="preserve"> bilgi verme </w:t>
            </w:r>
            <w:r w:rsidR="00746A73" w:rsidRPr="00A23740">
              <w:rPr>
                <w:bCs/>
                <w:szCs w:val="24"/>
                <w:lang w:eastAsia="x-none"/>
              </w:rPr>
              <w:t>ve mal</w:t>
            </w:r>
            <w:r w:rsidR="00F43991" w:rsidRPr="00A23740">
              <w:rPr>
                <w:bCs/>
                <w:szCs w:val="24"/>
                <w:lang w:eastAsia="x-none"/>
              </w:rPr>
              <w:t xml:space="preserve">varlığını teslim etme </w:t>
            </w:r>
            <w:r w:rsidRPr="00A23740">
              <w:rPr>
                <w:bCs/>
                <w:szCs w:val="24"/>
                <w:lang w:eastAsia="x-none"/>
              </w:rPr>
              <w:t>yükümlülüğüne ilişkin hususlar düzenlenmektedir. Madde, 2004 sayılı Kanunun 367 nci maddesine karşılık gelmekte olup</w:t>
            </w:r>
            <w:r w:rsidR="006821C6" w:rsidRPr="00A23740">
              <w:rPr>
                <w:bCs/>
                <w:szCs w:val="24"/>
                <w:lang w:eastAsia="x-none"/>
              </w:rPr>
              <w:t>,</w:t>
            </w:r>
            <w:r w:rsidRPr="00A23740">
              <w:rPr>
                <w:bCs/>
                <w:szCs w:val="24"/>
                <w:lang w:eastAsia="x-none"/>
              </w:rPr>
              <w:t xml:space="preserve"> dili sadeleştirilmek s</w:t>
            </w:r>
            <w:r w:rsidR="00746A73" w:rsidRPr="00A23740">
              <w:rPr>
                <w:bCs/>
                <w:szCs w:val="24"/>
                <w:lang w:eastAsia="x-none"/>
              </w:rPr>
              <w:t>uretiyle muhafaza edilmektedir.</w:t>
            </w:r>
          </w:p>
          <w:p w:rsidR="00FB3362" w:rsidRPr="00A23740" w:rsidRDefault="00FB3362" w:rsidP="009431FF">
            <w:pPr>
              <w:tabs>
                <w:tab w:val="left" w:pos="567"/>
              </w:tabs>
              <w:ind w:firstLine="709"/>
              <w:rPr>
                <w:bCs/>
                <w:szCs w:val="24"/>
                <w:lang w:eastAsia="x-none"/>
              </w:rPr>
            </w:pPr>
            <w:r w:rsidRPr="00A23740">
              <w:rPr>
                <w:bCs/>
                <w:szCs w:val="24"/>
                <w:lang w:eastAsia="x-none"/>
              </w:rPr>
              <w:t>Birinci fıkrayla, gerçek ve tüzel kişilerin, icra ve i</w:t>
            </w:r>
            <w:r w:rsidR="00182BA3" w:rsidRPr="00A23740">
              <w:rPr>
                <w:bCs/>
                <w:szCs w:val="24"/>
                <w:lang w:eastAsia="x-none"/>
              </w:rPr>
              <w:t>flas dairelerinin borçlunun mal</w:t>
            </w:r>
            <w:r w:rsidRPr="00A23740">
              <w:rPr>
                <w:bCs/>
                <w:szCs w:val="24"/>
                <w:lang w:eastAsia="x-none"/>
              </w:rPr>
              <w:t xml:space="preserve">varlığı hakkında isteyeceği bütün bilgiyi </w:t>
            </w:r>
            <w:r w:rsidR="00DF22A1" w:rsidRPr="00A23740">
              <w:rPr>
                <w:szCs w:val="24"/>
              </w:rPr>
              <w:t xml:space="preserve">derhâl </w:t>
            </w:r>
            <w:r w:rsidR="00182BA3" w:rsidRPr="00A23740">
              <w:rPr>
                <w:bCs/>
                <w:szCs w:val="24"/>
                <w:lang w:eastAsia="x-none"/>
              </w:rPr>
              <w:t>vermek ve talep h</w:t>
            </w:r>
            <w:r w:rsidR="00E54A6B" w:rsidRPr="00A23740">
              <w:rPr>
                <w:bCs/>
                <w:szCs w:val="24"/>
                <w:lang w:eastAsia="x-none"/>
              </w:rPr>
              <w:t>â</w:t>
            </w:r>
            <w:r w:rsidR="00182BA3" w:rsidRPr="00A23740">
              <w:rPr>
                <w:bCs/>
                <w:szCs w:val="24"/>
                <w:lang w:eastAsia="x-none"/>
              </w:rPr>
              <w:t>linde mal</w:t>
            </w:r>
            <w:r w:rsidRPr="00A23740">
              <w:rPr>
                <w:bCs/>
                <w:szCs w:val="24"/>
                <w:lang w:eastAsia="x-none"/>
              </w:rPr>
              <w:t>varlığını bu dairelere teslim etmek zorunda olduğu düzenlenmektedir. Bu kaps</w:t>
            </w:r>
            <w:r w:rsidR="00F43991" w:rsidRPr="00A23740">
              <w:rPr>
                <w:bCs/>
                <w:szCs w:val="24"/>
                <w:lang w:eastAsia="x-none"/>
              </w:rPr>
              <w:t>amda</w:t>
            </w:r>
            <w:r w:rsidRPr="00A23740">
              <w:rPr>
                <w:bCs/>
                <w:szCs w:val="24"/>
                <w:lang w:eastAsia="x-none"/>
              </w:rPr>
              <w:t xml:space="preserve"> icra ve iflas dairelerinin</w:t>
            </w:r>
            <w:r w:rsidR="00F43991" w:rsidRPr="00A23740">
              <w:rPr>
                <w:bCs/>
                <w:szCs w:val="24"/>
                <w:lang w:eastAsia="x-none"/>
              </w:rPr>
              <w:t xml:space="preserve">, </w:t>
            </w:r>
            <w:r w:rsidRPr="00A23740">
              <w:rPr>
                <w:bCs/>
                <w:szCs w:val="24"/>
                <w:lang w:eastAsia="x-none"/>
              </w:rPr>
              <w:t xml:space="preserve">merkezî kayıt kuruluşları, sigorta ve bireysel emeklilik kuruluşları, tapu müdürlükleri, gemi sicilleri, seçmen kütükleri, ticaret sicilleri, motorlu taşıtlar sicili, marka ve patent sicili, vergi daireleri ve diğer mâlî kuruluşlar dâhil olmak üzere üçüncü kişilerden bilgi alabileceği; borçlunun banka </w:t>
            </w:r>
            <w:r w:rsidR="00F43991" w:rsidRPr="00A23740">
              <w:rPr>
                <w:bCs/>
                <w:szCs w:val="24"/>
                <w:lang w:eastAsia="x-none"/>
              </w:rPr>
              <w:t xml:space="preserve">hesapları ile bunlara ilişkin </w:t>
            </w:r>
            <w:r w:rsidRPr="00A23740">
              <w:rPr>
                <w:bCs/>
                <w:szCs w:val="24"/>
                <w:lang w:eastAsia="x-none"/>
              </w:rPr>
              <w:t>kayıtları, hisse senetleri, her türlü gelirleri, vergi iadesinin olup olmadığı, sosyal güvenlik kurumlarına ait kayıtlara ulaşabilme yetkisinin olduğu husu</w:t>
            </w:r>
            <w:r w:rsidR="00182BA3" w:rsidRPr="00A23740">
              <w:rPr>
                <w:bCs/>
                <w:szCs w:val="24"/>
                <w:lang w:eastAsia="x-none"/>
              </w:rPr>
              <w:t>sunda tereddüt bulunmamaktadır.</w:t>
            </w:r>
          </w:p>
          <w:p w:rsidR="00E91409" w:rsidRDefault="00FB3362" w:rsidP="00DE193E">
            <w:pPr>
              <w:tabs>
                <w:tab w:val="left" w:pos="567"/>
              </w:tabs>
              <w:ind w:firstLine="709"/>
              <w:rPr>
                <w:bCs/>
                <w:szCs w:val="24"/>
                <w:lang w:eastAsia="x-none"/>
              </w:rPr>
            </w:pPr>
            <w:r w:rsidRPr="00A23740">
              <w:rPr>
                <w:bCs/>
                <w:szCs w:val="24"/>
                <w:lang w:eastAsia="x-none"/>
              </w:rPr>
              <w:t xml:space="preserve">İkinci fıkrayla, </w:t>
            </w:r>
            <w:r w:rsidR="00F43991" w:rsidRPr="00A23740">
              <w:rPr>
                <w:bCs/>
                <w:szCs w:val="24"/>
                <w:lang w:eastAsia="x-none"/>
              </w:rPr>
              <w:t xml:space="preserve">birinci </w:t>
            </w:r>
            <w:r w:rsidRPr="00A23740">
              <w:rPr>
                <w:bCs/>
                <w:szCs w:val="24"/>
                <w:lang w:eastAsia="x-none"/>
              </w:rPr>
              <w:t xml:space="preserve">fıkrada belirtilen yükümlülüğü yerine getirmeyenler hakkında, </w:t>
            </w:r>
            <w:r w:rsidR="00F43991" w:rsidRPr="00A23740">
              <w:rPr>
                <w:bCs/>
                <w:szCs w:val="24"/>
                <w:lang w:eastAsia="x-none"/>
              </w:rPr>
              <w:t xml:space="preserve">Taslağın </w:t>
            </w:r>
            <w:r w:rsidR="0031090A" w:rsidRPr="00363170">
              <w:rPr>
                <w:szCs w:val="24"/>
              </w:rPr>
              <w:t>545 inci</w:t>
            </w:r>
            <w:r w:rsidR="0031090A" w:rsidRPr="00A23740">
              <w:rPr>
                <w:rStyle w:val="MaviChar"/>
                <w:lang w:val="tr-TR"/>
              </w:rPr>
              <w:t xml:space="preserve"> </w:t>
            </w:r>
            <w:r w:rsidRPr="00A23740">
              <w:rPr>
                <w:bCs/>
                <w:szCs w:val="24"/>
                <w:lang w:eastAsia="x-none"/>
              </w:rPr>
              <w:t>madde</w:t>
            </w:r>
            <w:r w:rsidR="00F43991" w:rsidRPr="00A23740">
              <w:rPr>
                <w:bCs/>
                <w:szCs w:val="24"/>
                <w:lang w:eastAsia="x-none"/>
              </w:rPr>
              <w:t>sinin uygulanaca</w:t>
            </w:r>
            <w:r w:rsidR="00182BA3" w:rsidRPr="00A23740">
              <w:rPr>
                <w:bCs/>
                <w:szCs w:val="24"/>
                <w:lang w:eastAsia="x-none"/>
              </w:rPr>
              <w:t>ğı açıkça hükme bağlanmaktadır.</w:t>
            </w:r>
          </w:p>
          <w:p w:rsidR="00DE193E" w:rsidRPr="00A23740" w:rsidRDefault="00DE193E" w:rsidP="00DE193E">
            <w:pPr>
              <w:tabs>
                <w:tab w:val="left" w:pos="567"/>
              </w:tabs>
              <w:ind w:firstLine="709"/>
              <w:rPr>
                <w:b/>
                <w:bCs/>
                <w:szCs w:val="24"/>
                <w:lang w:eastAsia="x-none"/>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Hapis ile tazyik:</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Madde 76 – (1) (Değişik: 24/5/1962 - 51/ 1md.)</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Mal beyanında bulunmıyan borçlu, alacaklının talebi üzerine beyanda bulununcaya kadar icra mahkemesi hakimi tarafından bir defaya mahsus olmak üzere hapisle tazyik olunur. Ancak bu hapis üç ayı geçemez.</w:t>
            </w:r>
          </w:p>
          <w:p w:rsidR="00AA5C8C" w:rsidRPr="00A23740" w:rsidRDefault="00AA5C8C" w:rsidP="009431FF">
            <w:pPr>
              <w:tabs>
                <w:tab w:val="left" w:pos="567"/>
              </w:tabs>
              <w:rPr>
                <w:rFonts w:eastAsia="Times New Roman"/>
                <w:b/>
                <w:strike/>
                <w:color w:val="FF0000"/>
                <w:szCs w:val="24"/>
                <w:lang w:eastAsia="tr-TR"/>
              </w:rPr>
            </w:pPr>
          </w:p>
        </w:tc>
        <w:tc>
          <w:tcPr>
            <w:tcW w:w="2500" w:type="pct"/>
          </w:tcPr>
          <w:p w:rsidR="00AA5C8C" w:rsidRPr="00A23740" w:rsidRDefault="00AA5C8C" w:rsidP="009431FF">
            <w:pPr>
              <w:autoSpaceDE w:val="0"/>
              <w:autoSpaceDN w:val="0"/>
              <w:adjustRightInd w:val="0"/>
              <w:rPr>
                <w:rFonts w:eastAsia="Times New Roman"/>
                <w:color w:val="FF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Sonradan kazanılan veya ziyadeleşen malların beyanı:</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Madde 77 – (1) İcra dairesine vakı olan beyanda malı olmadığını bildirmiş veya borcuna yetecek mal göstermemiş yahut beyandan imtina etmiş olan borçlu sonradan kazandığı malları ve kazancında ve gelirinde vukua gelen tezayütleri yedi gün içinde mezkür daireye taahhütlü mektupla veya şifahi olarak bildirmeğe mecburdur.</w:t>
            </w:r>
          </w:p>
          <w:p w:rsidR="00AA5C8C" w:rsidRPr="00A23740" w:rsidRDefault="00AA5C8C" w:rsidP="009431FF">
            <w:pPr>
              <w:tabs>
                <w:tab w:val="left" w:pos="567"/>
              </w:tabs>
              <w:rPr>
                <w:rFonts w:eastAsia="Times New Roman"/>
                <w:strike/>
                <w:color w:val="FF0000"/>
                <w:szCs w:val="24"/>
                <w:lang w:eastAsia="tr-TR"/>
              </w:rPr>
            </w:pPr>
          </w:p>
        </w:tc>
        <w:tc>
          <w:tcPr>
            <w:tcW w:w="2500" w:type="pct"/>
          </w:tcPr>
          <w:p w:rsidR="00AA5C8C" w:rsidRPr="00A23740" w:rsidRDefault="00AA5C8C" w:rsidP="009431FF">
            <w:pPr>
              <w:tabs>
                <w:tab w:val="left" w:pos="567"/>
              </w:tabs>
              <w:rPr>
                <w:rFonts w:eastAsia="Times New Roman"/>
                <w:strike/>
                <w:color w:val="FF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II. HACİZ</w:t>
            </w:r>
          </w:p>
          <w:p w:rsidR="00AA5C8C" w:rsidRPr="00A23740" w:rsidRDefault="00AA5C8C"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Haciz:</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zCs w:val="24"/>
                <w:lang w:eastAsia="tr-TR"/>
              </w:rPr>
              <w:t>1 –</w:t>
            </w:r>
            <w:r w:rsidRPr="00A23740">
              <w:rPr>
                <w:rFonts w:eastAsia="Times New Roman"/>
                <w:szCs w:val="24"/>
                <w:lang w:eastAsia="tr-TR"/>
              </w:rPr>
              <w:t xml:space="preserve"> </w:t>
            </w:r>
            <w:r w:rsidRPr="00A23740">
              <w:rPr>
                <w:rFonts w:eastAsia="Times New Roman"/>
                <w:b/>
                <w:strike/>
                <w:color w:val="FF0000"/>
                <w:szCs w:val="24"/>
                <w:lang w:eastAsia="tr-TR"/>
              </w:rPr>
              <w:t>Talep Müddeti</w:t>
            </w:r>
          </w:p>
          <w:p w:rsidR="00AA5C8C" w:rsidRPr="00A23740" w:rsidRDefault="00AA5C8C" w:rsidP="009431FF">
            <w:pPr>
              <w:tabs>
                <w:tab w:val="left" w:pos="567"/>
              </w:tabs>
              <w:rPr>
                <w:rFonts w:eastAsia="Times New Roman"/>
                <w:szCs w:val="24"/>
                <w:lang w:eastAsia="tr-TR"/>
              </w:rPr>
            </w:pPr>
            <w:r w:rsidRPr="00A23740">
              <w:rPr>
                <w:b/>
                <w:bCs/>
                <w:strike/>
                <w:color w:val="FF0000"/>
                <w:szCs w:val="24"/>
              </w:rPr>
              <w:t>Madde 78 – (1) (Değişik: 3/7/1940-3890/1 md.) (Değişik birinci fıkra:22/7/2020-7251/49 md.) Ödeme emrindeki müddet geçtikten ve borçlu itiraz etmiş ise itirazı kaldırıldıktan sonra mal beyanını beklemeksizin alacaklı, haciz konmasını isteyebilir.</w:t>
            </w:r>
            <w:r w:rsidRPr="00A23740">
              <w:rPr>
                <w:rFonts w:eastAsia="Times New Roman"/>
                <w:szCs w:val="24"/>
                <w:lang w:eastAsia="tr-TR"/>
              </w:rPr>
              <w:t xml:space="preserve"> Ancak, alacaklı dilerse haciz talebinde bulunmaksızın </w:t>
            </w:r>
            <w:r w:rsidRPr="00A23740">
              <w:rPr>
                <w:b/>
                <w:bCs/>
                <w:strike/>
                <w:color w:val="FF0000"/>
                <w:szCs w:val="24"/>
              </w:rPr>
              <w:t>Ulusal Yargı Ağı Bilişim Sistemi</w:t>
            </w:r>
            <w:r w:rsidRPr="00A23740">
              <w:rPr>
                <w:rFonts w:eastAsia="Times New Roman"/>
                <w:szCs w:val="24"/>
                <w:lang w:eastAsia="tr-TR"/>
              </w:rPr>
              <w:t xml:space="preserve"> üzerinden, bu sisteme entegre bilişim sistemleri vasıtasıyla borçlunun mal, hak veya alacağını sorgulayabilir. Sorgulama sonunda </w:t>
            </w:r>
            <w:r w:rsidRPr="00A23740">
              <w:rPr>
                <w:b/>
                <w:bCs/>
                <w:strike/>
                <w:color w:val="FF0000"/>
                <w:szCs w:val="24"/>
              </w:rPr>
              <w:t>Ulusal Yargı Ağı Bilişim Sistemi</w:t>
            </w:r>
            <w:r w:rsidRPr="00A23740">
              <w:rPr>
                <w:rFonts w:eastAsia="Times New Roman"/>
                <w:szCs w:val="24"/>
                <w:lang w:eastAsia="tr-TR"/>
              </w:rPr>
              <w:t>, varsa borçlunun mal, hak veya alacağının mahiyeti ve detayı hakkında bilgi verir ve bu durumda sistem üzerinden de haciz talep edilebilir. Bu takdirde icra dairesi, tespit edilen mal, hak veya alacağı elektronik ortamda haczeder. Sorgulama sonunda edinilen bilgiler hukuka aykırı olarak paylaşılamaz. Sorgulama ve haciz işlemlerinin yürütülebilmesi için kamu kurum veya kuruluşları ile 19/10/2005 tarihli ve 5411 sayılı Bankacılık Kanununun 3 üncü maddesinde tanımlanan kredi kuruluşları ve finansal kuruluşlar,</w:t>
            </w:r>
            <w:r w:rsidRPr="00A23740">
              <w:t xml:space="preserve"> </w:t>
            </w:r>
            <w:r w:rsidRPr="00A23740">
              <w:rPr>
                <w:b/>
                <w:bCs/>
                <w:strike/>
                <w:color w:val="FF0000"/>
                <w:szCs w:val="24"/>
              </w:rPr>
              <w:t>Ulusal Yargı Ağı Bilişim Sistemi</w:t>
            </w:r>
            <w:r w:rsidRPr="00A23740">
              <w:rPr>
                <w:rFonts w:eastAsia="Times New Roman"/>
                <w:szCs w:val="24"/>
                <w:lang w:eastAsia="tr-TR"/>
              </w:rPr>
              <w:t xml:space="preserve"> ile kendi sistemleri arasında entegrasyonu sağlar. Sorgulamanın tür, kapsam ve sınırı ile diğer hususlar </w:t>
            </w:r>
            <w:r w:rsidRPr="00A23740">
              <w:rPr>
                <w:b/>
                <w:bCs/>
                <w:strike/>
                <w:color w:val="FF0000"/>
                <w:szCs w:val="24"/>
              </w:rPr>
              <w:t>Adalet Bakanlığınca yürürlüğe konulan</w:t>
            </w:r>
            <w:r w:rsidRPr="00A23740">
              <w:rPr>
                <w:rFonts w:eastAsia="Times New Roman"/>
                <w:szCs w:val="24"/>
                <w:lang w:eastAsia="tr-TR"/>
              </w:rPr>
              <w:t xml:space="preserve"> yönetmelikle belirlenir.</w:t>
            </w:r>
          </w:p>
          <w:p w:rsidR="00AA5C8C" w:rsidRDefault="00AA5C8C" w:rsidP="009431FF">
            <w:pPr>
              <w:tabs>
                <w:tab w:val="left" w:pos="567"/>
              </w:tabs>
              <w:rPr>
                <w:rFonts w:eastAsia="Times New Roman"/>
                <w:szCs w:val="24"/>
                <w:lang w:eastAsia="tr-TR"/>
              </w:rPr>
            </w:pPr>
          </w:p>
          <w:p w:rsidR="003F5315" w:rsidRDefault="003F5315" w:rsidP="009431FF">
            <w:pPr>
              <w:tabs>
                <w:tab w:val="left" w:pos="567"/>
              </w:tabs>
              <w:rPr>
                <w:rFonts w:eastAsia="Times New Roman"/>
                <w:szCs w:val="24"/>
                <w:lang w:eastAsia="tr-TR"/>
              </w:rPr>
            </w:pPr>
          </w:p>
          <w:p w:rsidR="00634220" w:rsidRDefault="00634220" w:rsidP="009431FF">
            <w:pPr>
              <w:tabs>
                <w:tab w:val="left" w:pos="567"/>
              </w:tabs>
              <w:rPr>
                <w:rFonts w:eastAsia="Times New Roman"/>
                <w:szCs w:val="24"/>
                <w:lang w:eastAsia="tr-TR"/>
              </w:rPr>
            </w:pPr>
          </w:p>
          <w:p w:rsidR="00634220" w:rsidRDefault="00634220" w:rsidP="009431FF">
            <w:pPr>
              <w:tabs>
                <w:tab w:val="left" w:pos="567"/>
              </w:tabs>
              <w:rPr>
                <w:rFonts w:eastAsia="Times New Roman"/>
                <w:szCs w:val="24"/>
                <w:lang w:eastAsia="tr-TR"/>
              </w:rPr>
            </w:pPr>
          </w:p>
          <w:p w:rsidR="00634220" w:rsidRPr="00A23740" w:rsidRDefault="00634220"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(3) Alacaklı isterse, haciz talebinin vukuuna dair bir vesika verilir. Bu vesika hiç bir harç ve resme tabi değildir.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b/>
                <w:bCs/>
                <w:strike/>
                <w:color w:val="FF0000"/>
                <w:szCs w:val="24"/>
              </w:rPr>
            </w:pPr>
            <w:r w:rsidRPr="00A23740">
              <w:rPr>
                <w:b/>
                <w:bCs/>
                <w:strike/>
                <w:color w:val="FF0000"/>
                <w:szCs w:val="24"/>
              </w:rPr>
              <w:t>(4)</w:t>
            </w:r>
            <w:r w:rsidRPr="00A23740">
              <w:rPr>
                <w:rFonts w:eastAsia="Times New Roman"/>
                <w:szCs w:val="24"/>
                <w:lang w:eastAsia="tr-TR"/>
              </w:rPr>
              <w:t xml:space="preserve"> Haciz </w:t>
            </w:r>
            <w:r w:rsidRPr="00A23740">
              <w:rPr>
                <w:b/>
                <w:bCs/>
                <w:strike/>
                <w:color w:val="FF0000"/>
                <w:szCs w:val="24"/>
              </w:rPr>
              <w:t>talebi kanuni müddet içinde yapılmaz veya geri alındıktan sonra bu müddet içinde yenilenmezse dosya muameleden kaldırılır.</w:t>
            </w:r>
          </w:p>
          <w:p w:rsidR="00F2357B" w:rsidRPr="00A23740" w:rsidRDefault="00F2357B"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(5) Yeniden haciz istemek, alacaklı tarafından vukubulan yenileme talebinin borçluya tebliğine mütevakkıftır. İlama müstenit olmayan takiplerde yenileme talebi üzerine yeniden harc alınır. Yenileme masraf ve harcları borçluya tahmil edilmez.</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(Değişik: 6/6/1985 - 3222/9 md.) Haciz istemek hakkı, ödeme emrinin tebliği tarihinden itibaren bir sene geçmekle düşer. İtiraz veya dava halinde bunların vukuundan hükmün katileşmesine kadar veya</w:t>
            </w:r>
            <w:r w:rsidRPr="00A23740">
              <w:rPr>
                <w:rFonts w:eastAsia="Times New Roman"/>
                <w:b/>
                <w:color w:val="FF0000"/>
                <w:szCs w:val="24"/>
                <w:lang w:eastAsia="tr-TR"/>
              </w:rPr>
              <w:t xml:space="preserve"> </w:t>
            </w:r>
            <w:r w:rsidRPr="00A23740">
              <w:rPr>
                <w:rFonts w:eastAsia="Times New Roman"/>
                <w:szCs w:val="24"/>
                <w:lang w:eastAsia="tr-TR"/>
              </w:rPr>
              <w:t>alacaklıyla borçlunun icra dairesinde taksit sözleşme</w:t>
            </w:r>
            <w:r w:rsidRPr="00A23740">
              <w:rPr>
                <w:b/>
                <w:bCs/>
                <w:strike/>
                <w:color w:val="FF0000"/>
                <w:szCs w:val="24"/>
              </w:rPr>
              <w:t>leri</w:t>
            </w:r>
            <w:r w:rsidRPr="00A23740">
              <w:rPr>
                <w:rFonts w:eastAsia="Times New Roman"/>
                <w:szCs w:val="24"/>
                <w:lang w:eastAsia="tr-TR"/>
              </w:rPr>
              <w:t xml:space="preserve"> yapmaları halinde taksit sözleşmesinin ihlaline kadar geçen</w:t>
            </w:r>
            <w:r w:rsidRPr="00A23740">
              <w:rPr>
                <w:rFonts w:eastAsia="Times New Roman"/>
                <w:b/>
                <w:color w:val="FF0000"/>
                <w:szCs w:val="24"/>
                <w:lang w:eastAsia="tr-TR"/>
              </w:rPr>
              <w:t xml:space="preserve"> </w:t>
            </w:r>
            <w:r w:rsidRPr="00A23740">
              <w:rPr>
                <w:rFonts w:eastAsia="Times New Roman"/>
                <w:b/>
                <w:strike/>
                <w:color w:val="FF0000"/>
                <w:szCs w:val="24"/>
                <w:lang w:eastAsia="tr-TR"/>
              </w:rPr>
              <w:t>zaman hesaba katılmaz.</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keepNext/>
              <w:jc w:val="center"/>
              <w:outlineLvl w:val="3"/>
              <w:rPr>
                <w:rFonts w:eastAsia="Times New Roman"/>
                <w:b/>
                <w:bCs/>
                <w:color w:val="0000FF"/>
                <w:szCs w:val="28"/>
              </w:rPr>
            </w:pPr>
            <w:r w:rsidRPr="00A23740">
              <w:rPr>
                <w:rFonts w:eastAsia="Times New Roman"/>
                <w:b/>
                <w:bCs/>
                <w:color w:val="0000FF"/>
                <w:szCs w:val="28"/>
              </w:rPr>
              <w:t>İKİNCİ AYRIM</w:t>
            </w:r>
          </w:p>
          <w:p w:rsidR="00AA5C8C" w:rsidRPr="00A23740" w:rsidRDefault="00AA5C8C" w:rsidP="009431FF">
            <w:pPr>
              <w:keepNext/>
              <w:jc w:val="center"/>
              <w:outlineLvl w:val="3"/>
              <w:rPr>
                <w:rFonts w:eastAsia="Times New Roman"/>
                <w:b/>
                <w:bCs/>
                <w:color w:val="FF3399"/>
                <w:sz w:val="32"/>
                <w:szCs w:val="32"/>
              </w:rPr>
            </w:pPr>
            <w:r w:rsidRPr="00A23740">
              <w:rPr>
                <w:rFonts w:eastAsia="Times New Roman"/>
                <w:b/>
                <w:bCs/>
                <w:color w:val="0000FF"/>
                <w:szCs w:val="28"/>
              </w:rPr>
              <w:t>Haczin Gerçekleştirilmesi</w:t>
            </w:r>
          </w:p>
          <w:p w:rsidR="00AA5C8C" w:rsidRPr="00A23740" w:rsidRDefault="00AA5C8C" w:rsidP="009431FF">
            <w:pPr>
              <w:tabs>
                <w:tab w:val="left" w:pos="567"/>
              </w:tabs>
              <w:jc w:val="center"/>
              <w:rPr>
                <w:rFonts w:eastAsia="Times New Roman"/>
                <w:b/>
                <w:color w:val="CC00CC"/>
                <w:szCs w:val="24"/>
                <w:lang w:eastAsia="tr-TR"/>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Haciz talebi</w:t>
            </w:r>
          </w:p>
          <w:p w:rsidR="00AA5C8C" w:rsidRPr="00A23740" w:rsidRDefault="00AA5C8C" w:rsidP="009431FF">
            <w:pPr>
              <w:tabs>
                <w:tab w:val="left" w:pos="567"/>
              </w:tabs>
              <w:rPr>
                <w:b/>
                <w:bCs/>
                <w:color w:val="0000FF"/>
                <w:szCs w:val="24"/>
                <w:lang w:eastAsia="x-none"/>
              </w:rPr>
            </w:pPr>
            <w:r w:rsidRPr="00A23740">
              <w:rPr>
                <w:b/>
                <w:bCs/>
                <w:color w:val="0000FF"/>
                <w:szCs w:val="24"/>
                <w:lang w:eastAsia="x-none"/>
              </w:rPr>
              <w:t xml:space="preserve">MADDE </w:t>
            </w:r>
            <w:r w:rsidR="009D57E1" w:rsidRPr="00A23740">
              <w:rPr>
                <w:b/>
                <w:bCs/>
                <w:color w:val="0000FF"/>
                <w:szCs w:val="24"/>
                <w:lang w:eastAsia="x-none"/>
              </w:rPr>
              <w:t>156</w:t>
            </w:r>
            <w:r w:rsidRPr="00A23740">
              <w:rPr>
                <w:b/>
                <w:bCs/>
                <w:color w:val="0000FF"/>
                <w:szCs w:val="24"/>
                <w:lang w:eastAsia="x-none"/>
              </w:rPr>
              <w:t xml:space="preserve">- (1) </w:t>
            </w:r>
            <w:r w:rsidR="008710E7" w:rsidRPr="00363170">
              <w:rPr>
                <w:rStyle w:val="YELChar"/>
                <w:color w:val="0000FF"/>
              </w:rPr>
              <w:t>Alacaklı,</w:t>
            </w:r>
            <w:r w:rsidR="008710E7" w:rsidRPr="00A23740">
              <w:rPr>
                <w:b/>
                <w:bCs/>
                <w:color w:val="0000FF"/>
                <w:szCs w:val="24"/>
                <w:lang w:eastAsia="x-none"/>
              </w:rPr>
              <w:t xml:space="preserve"> takibin </w:t>
            </w:r>
            <w:r w:rsidRPr="00A23740">
              <w:rPr>
                <w:b/>
                <w:bCs/>
                <w:color w:val="0000FF"/>
                <w:szCs w:val="24"/>
                <w:lang w:eastAsia="x-none"/>
              </w:rPr>
              <w:t xml:space="preserve">kesinleşmesi üzerine borçlunun mallarının haczedilmesini icra </w:t>
            </w:r>
            <w:r w:rsidRPr="00A23740">
              <w:rPr>
                <w:rStyle w:val="MaviChar"/>
              </w:rPr>
              <w:t>ve iflas</w:t>
            </w:r>
            <w:r w:rsidRPr="00A23740">
              <w:rPr>
                <w:b/>
                <w:bCs/>
                <w:color w:val="0000FF"/>
                <w:szCs w:val="24"/>
                <w:lang w:eastAsia="x-none"/>
              </w:rPr>
              <w:t xml:space="preserve"> dairesinden talep ede</w:t>
            </w:r>
            <w:r w:rsidR="008710E7" w:rsidRPr="00363170">
              <w:rPr>
                <w:rStyle w:val="YELChar"/>
                <w:color w:val="0000FF"/>
              </w:rPr>
              <w:t>bilir</w:t>
            </w:r>
            <w:r w:rsidRPr="00363170">
              <w:rPr>
                <w:b/>
                <w:bCs/>
                <w:color w:val="0000FF"/>
                <w:szCs w:val="24"/>
                <w:lang w:eastAsia="x-none"/>
              </w:rPr>
              <w:t>.</w:t>
            </w:r>
          </w:p>
          <w:p w:rsidR="00AA5C8C" w:rsidRPr="00A23740" w:rsidRDefault="00AA5C8C" w:rsidP="009431FF">
            <w:pPr>
              <w:tabs>
                <w:tab w:val="left" w:pos="567"/>
              </w:tabs>
              <w:rPr>
                <w:b/>
                <w:bCs/>
                <w:color w:val="0000FF"/>
                <w:szCs w:val="24"/>
                <w:lang w:eastAsia="x-none"/>
              </w:rPr>
            </w:pPr>
          </w:p>
          <w:p w:rsidR="00AA5C8C" w:rsidRPr="00A23740" w:rsidRDefault="00AA5C8C" w:rsidP="009431FF">
            <w:pPr>
              <w:tabs>
                <w:tab w:val="left" w:pos="567"/>
              </w:tabs>
              <w:rPr>
                <w:rFonts w:eastAsia="Times New Roman"/>
                <w:szCs w:val="24"/>
                <w:lang w:eastAsia="tr-TR"/>
              </w:rPr>
            </w:pPr>
            <w:r w:rsidRPr="00A23740">
              <w:rPr>
                <w:b/>
                <w:bCs/>
                <w:color w:val="0000FF"/>
                <w:szCs w:val="24"/>
                <w:lang w:val="x-none" w:eastAsia="x-none"/>
              </w:rPr>
              <w:t>(2)</w:t>
            </w:r>
            <w:r w:rsidRPr="00A23740">
              <w:rPr>
                <w:rFonts w:eastAsia="Times New Roman"/>
                <w:szCs w:val="24"/>
                <w:lang w:eastAsia="tr-TR"/>
              </w:rPr>
              <w:t xml:space="preserve"> Alacaklı</w:t>
            </w:r>
            <w:r w:rsidRPr="00A23740">
              <w:rPr>
                <w:rStyle w:val="MaviChar"/>
              </w:rPr>
              <w:t>,</w:t>
            </w:r>
            <w:r w:rsidRPr="00A23740">
              <w:rPr>
                <w:rFonts w:eastAsia="Times New Roman"/>
                <w:szCs w:val="24"/>
                <w:lang w:eastAsia="tr-TR"/>
              </w:rPr>
              <w:t xml:space="preserve"> dilerse haciz talebinde bulunmaksızın</w:t>
            </w:r>
            <w:r w:rsidRPr="00A23740">
              <w:rPr>
                <w:rStyle w:val="MaviChar"/>
              </w:rPr>
              <w:t xml:space="preserve">, </w:t>
            </w:r>
            <w:r w:rsidRPr="00A23740">
              <w:rPr>
                <w:b/>
                <w:bCs/>
                <w:color w:val="0000FF"/>
                <w:szCs w:val="24"/>
                <w:lang w:val="x-none" w:eastAsia="x-none"/>
              </w:rPr>
              <w:t>UYAP</w:t>
            </w:r>
            <w:r w:rsidRPr="00A23740">
              <w:rPr>
                <w:rFonts w:eastAsia="Times New Roman"/>
                <w:szCs w:val="24"/>
                <w:lang w:eastAsia="tr-TR"/>
              </w:rPr>
              <w:t xml:space="preserve"> üzerinden, bu sisteme entegre bilişim sistemleri vasıtasıyla borçlunun mal, hak veya alacağını sorgulayabilir. Sorgulama sonunda </w:t>
            </w:r>
            <w:r w:rsidRPr="00A23740">
              <w:rPr>
                <w:b/>
                <w:bCs/>
                <w:color w:val="0000FF"/>
                <w:szCs w:val="24"/>
                <w:lang w:val="x-none" w:eastAsia="x-none"/>
              </w:rPr>
              <w:t>UYAP</w:t>
            </w:r>
            <w:r w:rsidRPr="00A23740">
              <w:rPr>
                <w:rFonts w:eastAsia="Times New Roman"/>
                <w:szCs w:val="24"/>
                <w:lang w:eastAsia="tr-TR"/>
              </w:rPr>
              <w:t xml:space="preserve">, varsa borçlunun mal, hak veya alacağının </w:t>
            </w:r>
            <w:r w:rsidRPr="00A23740">
              <w:rPr>
                <w:rStyle w:val="MaviChar"/>
              </w:rPr>
              <w:t>niteliği</w:t>
            </w:r>
            <w:r w:rsidRPr="00A23740">
              <w:rPr>
                <w:rFonts w:eastAsia="Times New Roman"/>
                <w:szCs w:val="24"/>
                <w:lang w:eastAsia="tr-TR"/>
              </w:rPr>
              <w:t xml:space="preserve"> hakkında </w:t>
            </w:r>
            <w:r w:rsidRPr="00A23740">
              <w:rPr>
                <w:rStyle w:val="MaviChar"/>
              </w:rPr>
              <w:t>ayrıntılı</w:t>
            </w:r>
            <w:r w:rsidRPr="00A23740">
              <w:rPr>
                <w:rFonts w:eastAsia="Times New Roman"/>
                <w:szCs w:val="24"/>
                <w:lang w:eastAsia="tr-TR"/>
              </w:rPr>
              <w:t xml:space="preserve"> bilgi verir ve bu durumda sistem üzerinden de haciz talep edilebilir. Bu takdirde icra </w:t>
            </w:r>
            <w:r w:rsidRPr="00A23740">
              <w:rPr>
                <w:rStyle w:val="MaviChar"/>
              </w:rPr>
              <w:t>ve iflas</w:t>
            </w:r>
            <w:r w:rsidRPr="00A23740">
              <w:rPr>
                <w:rFonts w:eastAsia="Times New Roman"/>
                <w:szCs w:val="24"/>
                <w:lang w:eastAsia="tr-TR"/>
              </w:rPr>
              <w:t xml:space="preserve"> dairesi, tespit edilen mal, hak veya alacağı elektronik ortamda haczeder.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b/>
                <w:bCs/>
                <w:color w:val="0000FF"/>
                <w:szCs w:val="24"/>
                <w:lang w:val="x-none" w:eastAsia="x-none"/>
              </w:rPr>
              <w:t>(3)</w:t>
            </w:r>
            <w:r w:rsidRPr="00A23740">
              <w:rPr>
                <w:rFonts w:eastAsia="Times New Roman"/>
                <w:szCs w:val="24"/>
                <w:lang w:eastAsia="tr-TR"/>
              </w:rPr>
              <w:t xml:space="preserve"> Sorgulama sonunda edinilen bilgiler hukuka aykırı olarak paylaşılamaz.</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b/>
                <w:bCs/>
                <w:color w:val="0000FF"/>
                <w:szCs w:val="24"/>
                <w:lang w:val="x-none" w:eastAsia="x-none"/>
              </w:rPr>
              <w:t>(4)</w:t>
            </w:r>
            <w:r w:rsidRPr="00A23740">
              <w:rPr>
                <w:rFonts w:eastAsia="Times New Roman"/>
                <w:szCs w:val="24"/>
                <w:lang w:eastAsia="tr-TR"/>
              </w:rPr>
              <w:t xml:space="preserve"> Sorgulama ve haciz işlemlerinin yürütülebilmesi için kamu kurum veya kuruluşları ile 19/10/2005 tarihli ve 5411 sayılı Bankacılık Kanununun 3 üncü maddesinde tanımlanan kredi kuruluşları ve finansal kuruluşlar, </w:t>
            </w:r>
            <w:r w:rsidRPr="00A23740">
              <w:rPr>
                <w:b/>
                <w:bCs/>
                <w:color w:val="0000FF"/>
                <w:szCs w:val="24"/>
                <w:lang w:val="x-none" w:eastAsia="x-none"/>
              </w:rPr>
              <w:t>UYAP</w:t>
            </w:r>
            <w:r w:rsidRPr="00A23740">
              <w:rPr>
                <w:rFonts w:eastAsia="Times New Roman"/>
                <w:szCs w:val="24"/>
                <w:lang w:eastAsia="tr-TR"/>
              </w:rPr>
              <w:t xml:space="preserve"> ile kendi sistemler</w:t>
            </w:r>
            <w:r w:rsidR="00182BA3" w:rsidRPr="00A23740">
              <w:rPr>
                <w:rFonts w:eastAsia="Times New Roman"/>
                <w:szCs w:val="24"/>
                <w:lang w:eastAsia="tr-TR"/>
              </w:rPr>
              <w:t>i arasında entegrasyonu sağlar.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b/>
                <w:bCs/>
                <w:color w:val="0000FF"/>
                <w:szCs w:val="24"/>
                <w:lang w:eastAsia="x-none"/>
              </w:rPr>
            </w:pPr>
            <w:r w:rsidRPr="00A23740">
              <w:rPr>
                <w:b/>
                <w:bCs/>
                <w:color w:val="0000FF"/>
                <w:szCs w:val="24"/>
                <w:lang w:val="x-none" w:eastAsia="x-none"/>
              </w:rPr>
              <w:t>(5)</w:t>
            </w:r>
            <w:r w:rsidRPr="00A23740">
              <w:rPr>
                <w:rFonts w:eastAsia="Times New Roman"/>
                <w:szCs w:val="24"/>
                <w:lang w:eastAsia="tr-TR"/>
              </w:rPr>
              <w:t xml:space="preserve"> Sorgulamanın tür, kapsam ve sınırı ile diğer hususlar </w:t>
            </w:r>
            <w:r w:rsidRPr="00A23740">
              <w:rPr>
                <w:rStyle w:val="MaviChar"/>
              </w:rPr>
              <w:t>Adalet Bakanlığınca hazırlanacak</w:t>
            </w:r>
            <w:r w:rsidRPr="00A23740">
              <w:rPr>
                <w:rFonts w:eastAsia="Times New Roman"/>
                <w:szCs w:val="24"/>
                <w:lang w:eastAsia="tr-TR"/>
              </w:rPr>
              <w:t xml:space="preserve"> yönetmelikle belirlenir.</w:t>
            </w:r>
          </w:p>
          <w:p w:rsidR="00AA5C8C" w:rsidRDefault="00AA5C8C" w:rsidP="009431FF">
            <w:pPr>
              <w:tabs>
                <w:tab w:val="left" w:pos="567"/>
              </w:tabs>
              <w:rPr>
                <w:rFonts w:eastAsia="Times New Roman"/>
                <w:b/>
                <w:color w:val="0000FF"/>
                <w:szCs w:val="24"/>
                <w:lang w:eastAsia="tr-TR"/>
              </w:rPr>
            </w:pPr>
          </w:p>
          <w:p w:rsidR="00634220" w:rsidRDefault="00634220" w:rsidP="009431FF">
            <w:pPr>
              <w:tabs>
                <w:tab w:val="left" w:pos="567"/>
              </w:tabs>
              <w:rPr>
                <w:rFonts w:eastAsia="Times New Roman"/>
                <w:b/>
                <w:color w:val="0000FF"/>
                <w:szCs w:val="24"/>
                <w:lang w:eastAsia="tr-TR"/>
              </w:rPr>
            </w:pPr>
          </w:p>
          <w:p w:rsidR="00634220" w:rsidRDefault="00634220"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b/>
                <w:bCs/>
                <w:color w:val="0000FF"/>
                <w:szCs w:val="24"/>
                <w:lang w:val="x-none" w:eastAsia="x-none"/>
              </w:rPr>
              <w:t>(6)</w:t>
            </w:r>
            <w:r w:rsidRPr="00A23740">
              <w:t xml:space="preserve"> Haciz</w:t>
            </w:r>
            <w:r w:rsidRPr="00A23740">
              <w:rPr>
                <w:b/>
                <w:bCs/>
                <w:color w:val="0000FF"/>
                <w:szCs w:val="24"/>
                <w:lang w:val="x-none" w:eastAsia="x-none"/>
              </w:rPr>
              <w:t xml:space="preserve"> isteme hakkı</w:t>
            </w:r>
            <w:r w:rsidRPr="00A23740">
              <w:rPr>
                <w:rStyle w:val="MaviChar"/>
              </w:rPr>
              <w:t xml:space="preserve">, </w:t>
            </w:r>
            <w:r w:rsidRPr="00A23740">
              <w:rPr>
                <w:b/>
                <w:bCs/>
                <w:color w:val="0000FF"/>
                <w:szCs w:val="24"/>
                <w:lang w:val="x-none" w:eastAsia="x-none"/>
              </w:rPr>
              <w:t>ödeme veya icra emrinin tebliğinden itibaren bir yıl geçmekle ortadan kalkar ve bu</w:t>
            </w:r>
            <w:r w:rsidRPr="00A23740">
              <w:rPr>
                <w:b/>
                <w:bCs/>
                <w:color w:val="0000FF"/>
                <w:szCs w:val="24"/>
                <w:lang w:eastAsia="x-none"/>
              </w:rPr>
              <w:t xml:space="preserve"> </w:t>
            </w:r>
            <w:r w:rsidRPr="00A23740">
              <w:rPr>
                <w:rStyle w:val="MaviChar"/>
              </w:rPr>
              <w:t>takdirde</w:t>
            </w:r>
            <w:r w:rsidRPr="00A23740">
              <w:rPr>
                <w:b/>
                <w:bCs/>
                <w:color w:val="0000FF"/>
                <w:szCs w:val="24"/>
                <w:lang w:val="x-none" w:eastAsia="x-none"/>
              </w:rPr>
              <w:t xml:space="preserve"> takip düşer, dosya</w:t>
            </w:r>
            <w:r w:rsidRPr="00A23740">
              <w:rPr>
                <w:rStyle w:val="MaviChar"/>
              </w:rPr>
              <w:t>nın</w:t>
            </w:r>
            <w:r w:rsidRPr="00A23740">
              <w:rPr>
                <w:b/>
                <w:bCs/>
                <w:color w:val="0000FF"/>
                <w:szCs w:val="24"/>
                <w:lang w:val="x-none" w:eastAsia="x-none"/>
              </w:rPr>
              <w:t xml:space="preserve"> esas numarası kapatılır.</w:t>
            </w:r>
          </w:p>
          <w:p w:rsidR="00AA5C8C" w:rsidRPr="00A23740" w:rsidRDefault="009D7972" w:rsidP="009431FF">
            <w:pPr>
              <w:tabs>
                <w:tab w:val="left" w:pos="567"/>
              </w:tabs>
              <w:rPr>
                <w:rFonts w:eastAsia="ヒラギノ明朝 Pro W3"/>
                <w:b/>
                <w:color w:val="FF0000"/>
                <w:szCs w:val="24"/>
                <w:lang w:eastAsia="tr-TR"/>
              </w:rPr>
            </w:pPr>
            <w:r w:rsidRPr="00A23740">
              <w:rPr>
                <w:rFonts w:eastAsia="ヒラギノ明朝 Pro W3"/>
                <w:b/>
                <w:color w:val="FF0000"/>
                <w:szCs w:val="24"/>
                <w:lang w:eastAsia="tr-TR"/>
              </w:rPr>
              <w:t xml:space="preserve"> </w:t>
            </w:r>
          </w:p>
          <w:p w:rsidR="00F2357B" w:rsidRPr="00A23740" w:rsidRDefault="00F2357B" w:rsidP="009431FF">
            <w:pPr>
              <w:tabs>
                <w:tab w:val="left" w:pos="567"/>
              </w:tabs>
              <w:rPr>
                <w:rFonts w:eastAsia="ヒラギノ明朝 Pro W3"/>
                <w:b/>
                <w:color w:val="FF0000"/>
                <w:szCs w:val="24"/>
                <w:lang w:eastAsia="tr-TR"/>
              </w:rPr>
            </w:pPr>
          </w:p>
          <w:p w:rsidR="00F2357B" w:rsidRPr="00A23740" w:rsidRDefault="00F2357B" w:rsidP="009431FF">
            <w:pPr>
              <w:tabs>
                <w:tab w:val="left" w:pos="567"/>
              </w:tabs>
              <w:rPr>
                <w:rFonts w:eastAsia="ヒラギノ明朝 Pro W3"/>
                <w:b/>
                <w:color w:val="FF0000"/>
                <w:szCs w:val="24"/>
                <w:lang w:eastAsia="tr-TR"/>
              </w:rPr>
            </w:pPr>
          </w:p>
          <w:p w:rsidR="00F2357B" w:rsidRPr="00A23740" w:rsidRDefault="00F2357B" w:rsidP="009431FF">
            <w:pPr>
              <w:tabs>
                <w:tab w:val="left" w:pos="567"/>
              </w:tabs>
              <w:rPr>
                <w:rFonts w:eastAsia="ヒラギノ明朝 Pro W3"/>
                <w:b/>
                <w:color w:val="FF0000"/>
                <w:szCs w:val="24"/>
                <w:lang w:eastAsia="tr-TR"/>
              </w:rPr>
            </w:pPr>
          </w:p>
          <w:p w:rsidR="00F2357B" w:rsidRDefault="00F2357B" w:rsidP="009431FF">
            <w:pPr>
              <w:tabs>
                <w:tab w:val="left" w:pos="567"/>
              </w:tabs>
              <w:rPr>
                <w:rFonts w:eastAsia="ヒラギノ明朝 Pro W3"/>
                <w:b/>
                <w:color w:val="FF0000"/>
                <w:szCs w:val="24"/>
                <w:lang w:eastAsia="tr-TR"/>
              </w:rPr>
            </w:pPr>
          </w:p>
          <w:p w:rsidR="00F2357B" w:rsidRPr="00A23740" w:rsidRDefault="00F2357B" w:rsidP="009431FF">
            <w:pPr>
              <w:tabs>
                <w:tab w:val="left" w:pos="567"/>
              </w:tabs>
              <w:rPr>
                <w:rFonts w:eastAsia="ヒラギノ明朝 Pro W3"/>
                <w:b/>
                <w:color w:val="FF0000"/>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b/>
                <w:bCs/>
                <w:color w:val="0000FF"/>
                <w:szCs w:val="24"/>
                <w:lang w:val="x-none" w:eastAsia="x-none"/>
              </w:rPr>
              <w:t>(7) Ödeme emrine itiraz h</w:t>
            </w:r>
            <w:r w:rsidR="00E54A6B" w:rsidRPr="00A23740">
              <w:rPr>
                <w:b/>
                <w:bCs/>
                <w:color w:val="0000FF"/>
                <w:szCs w:val="24"/>
                <w:lang w:eastAsia="x-none"/>
              </w:rPr>
              <w:t>â</w:t>
            </w:r>
            <w:r w:rsidRPr="00A23740">
              <w:rPr>
                <w:b/>
                <w:bCs/>
                <w:color w:val="0000FF"/>
                <w:szCs w:val="24"/>
                <w:lang w:val="x-none" w:eastAsia="x-none"/>
              </w:rPr>
              <w:t>linde, itirazın iptaline ilişkin davanın açılmasından hükmün kesinleşmesine kadar veya</w:t>
            </w:r>
            <w:r w:rsidRPr="00A23740">
              <w:rPr>
                <w:rFonts w:eastAsia="Times New Roman"/>
                <w:szCs w:val="24"/>
                <w:lang w:eastAsia="tr-TR"/>
              </w:rPr>
              <w:t xml:space="preserve"> alacaklıyla borçlunun icra </w:t>
            </w:r>
            <w:r w:rsidRPr="00A23740">
              <w:rPr>
                <w:rStyle w:val="MaviChar"/>
              </w:rPr>
              <w:t>ve iflas</w:t>
            </w:r>
            <w:r w:rsidRPr="00A23740">
              <w:rPr>
                <w:rFonts w:eastAsia="Times New Roman"/>
                <w:szCs w:val="24"/>
                <w:lang w:eastAsia="tr-TR"/>
              </w:rPr>
              <w:t xml:space="preserve"> dairesinde taksit sözleşme</w:t>
            </w:r>
            <w:r w:rsidRPr="00A23740">
              <w:rPr>
                <w:b/>
                <w:bCs/>
                <w:color w:val="0000FF"/>
                <w:szCs w:val="24"/>
                <w:lang w:val="x-none" w:eastAsia="x-none"/>
              </w:rPr>
              <w:t>si</w:t>
            </w:r>
            <w:r w:rsidRPr="00A23740">
              <w:rPr>
                <w:rFonts w:eastAsia="Times New Roman"/>
                <w:szCs w:val="24"/>
                <w:lang w:eastAsia="tr-TR"/>
              </w:rPr>
              <w:t xml:space="preserve"> yapmaları h</w:t>
            </w:r>
            <w:r w:rsidR="00E54A6B" w:rsidRPr="00A23740">
              <w:rPr>
                <w:rFonts w:eastAsia="Times New Roman"/>
                <w:szCs w:val="24"/>
                <w:lang w:eastAsia="tr-TR"/>
              </w:rPr>
              <w:t>â</w:t>
            </w:r>
            <w:r w:rsidRPr="00A23740">
              <w:rPr>
                <w:rFonts w:eastAsia="Times New Roman"/>
                <w:szCs w:val="24"/>
                <w:lang w:eastAsia="tr-TR"/>
              </w:rPr>
              <w:t xml:space="preserve">linde taksit sözleşmesinin ihlaline kadar geçen </w:t>
            </w:r>
            <w:r w:rsidRPr="00A23740">
              <w:rPr>
                <w:b/>
                <w:bCs/>
                <w:color w:val="0000FF"/>
                <w:szCs w:val="24"/>
                <w:lang w:val="x-none" w:eastAsia="x-none"/>
              </w:rPr>
              <w:t>süre bir yılın hesabında dikkate alınmaz. Ancak taksit sözleşmesi veya sözleşmelerinin toplam süresinin on yılı aşması hâlinde, aştığı tarihten itibaren süreler k</w:t>
            </w:r>
            <w:r w:rsidR="00DF506E" w:rsidRPr="00A23740">
              <w:rPr>
                <w:b/>
                <w:bCs/>
                <w:color w:val="0000FF"/>
                <w:szCs w:val="24"/>
                <w:lang w:val="x-none" w:eastAsia="x-none"/>
              </w:rPr>
              <w:t>aldığı yerden işlemeye başlar.</w:t>
            </w:r>
          </w:p>
          <w:p w:rsidR="00AA5C8C" w:rsidRPr="00A23740" w:rsidRDefault="00AA5C8C" w:rsidP="009431FF">
            <w:pPr>
              <w:pStyle w:val="YEL"/>
              <w:rPr>
                <w:rFonts w:eastAsia="Times New Roman"/>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1D2761" w:rsidRPr="00A23740" w:rsidRDefault="001D2761" w:rsidP="009431FF">
            <w:pPr>
              <w:tabs>
                <w:tab w:val="left" w:pos="567"/>
              </w:tabs>
              <w:ind w:firstLine="709"/>
              <w:rPr>
                <w:b/>
                <w:bCs/>
                <w:color w:val="000000"/>
                <w:szCs w:val="24"/>
                <w:lang w:eastAsia="x-none"/>
              </w:rPr>
            </w:pPr>
          </w:p>
          <w:p w:rsidR="001D2761" w:rsidRPr="00A23740" w:rsidRDefault="00B62391" w:rsidP="009431FF">
            <w:pPr>
              <w:tabs>
                <w:tab w:val="left" w:pos="567"/>
              </w:tabs>
              <w:ind w:firstLine="709"/>
              <w:rPr>
                <w:bCs/>
                <w:color w:val="000000"/>
                <w:szCs w:val="24"/>
                <w:lang w:eastAsia="x-none"/>
              </w:rPr>
            </w:pPr>
            <w:r w:rsidRPr="00A23740">
              <w:rPr>
                <w:b/>
                <w:bCs/>
                <w:color w:val="000000"/>
                <w:szCs w:val="24"/>
                <w:lang w:eastAsia="x-none"/>
              </w:rPr>
              <w:t xml:space="preserve">MADDE </w:t>
            </w:r>
            <w:r w:rsidR="009D57E1" w:rsidRPr="00A23740">
              <w:rPr>
                <w:b/>
                <w:bCs/>
                <w:color w:val="000000"/>
                <w:szCs w:val="24"/>
                <w:lang w:eastAsia="x-none"/>
              </w:rPr>
              <w:t>156</w:t>
            </w:r>
            <w:r w:rsidR="001D2761" w:rsidRPr="00A23740">
              <w:rPr>
                <w:b/>
                <w:bCs/>
                <w:color w:val="000000"/>
                <w:szCs w:val="24"/>
                <w:lang w:eastAsia="x-none"/>
              </w:rPr>
              <w:t>-</w:t>
            </w:r>
            <w:r w:rsidRPr="00A23740">
              <w:rPr>
                <w:bCs/>
                <w:color w:val="000000"/>
                <w:szCs w:val="24"/>
                <w:lang w:eastAsia="x-none"/>
              </w:rPr>
              <w:t xml:space="preserve"> </w:t>
            </w:r>
            <w:r w:rsidR="001D2761" w:rsidRPr="00A23740">
              <w:rPr>
                <w:bCs/>
                <w:color w:val="000000"/>
                <w:szCs w:val="24"/>
                <w:lang w:eastAsia="x-none"/>
              </w:rPr>
              <w:t>Maddeyle haciz talebine ilişkin hususlar düzenlenmektedir. Hüküm, 2004 sayılı Kanunun 78 inci maddesine karşılık gelmektedi</w:t>
            </w:r>
            <w:r w:rsidR="00DF506E" w:rsidRPr="00A23740">
              <w:rPr>
                <w:bCs/>
                <w:color w:val="000000"/>
                <w:szCs w:val="24"/>
                <w:lang w:eastAsia="x-none"/>
              </w:rPr>
              <w:t>r.</w:t>
            </w:r>
          </w:p>
          <w:p w:rsidR="00B62391" w:rsidRPr="00A23740" w:rsidRDefault="00B62391" w:rsidP="009431FF">
            <w:pPr>
              <w:tabs>
                <w:tab w:val="left" w:pos="567"/>
              </w:tabs>
              <w:ind w:firstLine="709"/>
              <w:rPr>
                <w:rFonts w:eastAsia="Times New Roman"/>
                <w:szCs w:val="24"/>
                <w:lang w:eastAsia="tr-TR"/>
              </w:rPr>
            </w:pPr>
            <w:r w:rsidRPr="00A23740">
              <w:rPr>
                <w:bCs/>
                <w:color w:val="000000"/>
                <w:szCs w:val="24"/>
                <w:lang w:eastAsia="x-none"/>
              </w:rPr>
              <w:t>Birinci fıkrayla ödeme emrinin tebliğinden itibaren ödeme ve itiraz sürelerinin geçmesi</w:t>
            </w:r>
            <w:r w:rsidR="006821C6" w:rsidRPr="00A23740">
              <w:rPr>
                <w:bCs/>
                <w:color w:val="000000"/>
                <w:szCs w:val="24"/>
                <w:lang w:eastAsia="x-none"/>
              </w:rPr>
              <w:t>ne rağmen</w:t>
            </w:r>
            <w:r w:rsidRPr="00A23740">
              <w:rPr>
                <w:bCs/>
                <w:color w:val="000000"/>
                <w:szCs w:val="24"/>
                <w:lang w:eastAsia="x-none"/>
              </w:rPr>
              <w:t xml:space="preserve"> borcun ödenmemesi h</w:t>
            </w:r>
            <w:r w:rsidR="00E54A6B" w:rsidRPr="00A23740">
              <w:rPr>
                <w:bCs/>
                <w:color w:val="000000"/>
                <w:szCs w:val="24"/>
                <w:lang w:eastAsia="x-none"/>
              </w:rPr>
              <w:t>â</w:t>
            </w:r>
            <w:r w:rsidRPr="00A23740">
              <w:rPr>
                <w:bCs/>
                <w:color w:val="000000"/>
                <w:szCs w:val="24"/>
                <w:lang w:eastAsia="x-none"/>
              </w:rPr>
              <w:t>li ile icra takibinin kesinleşmesini sağlayan diğer h</w:t>
            </w:r>
            <w:r w:rsidR="00E54A6B" w:rsidRPr="00A23740">
              <w:rPr>
                <w:bCs/>
                <w:color w:val="000000"/>
                <w:szCs w:val="24"/>
                <w:lang w:eastAsia="x-none"/>
              </w:rPr>
              <w:t>â</w:t>
            </w:r>
            <w:r w:rsidRPr="00A23740">
              <w:rPr>
                <w:bCs/>
                <w:color w:val="000000"/>
                <w:szCs w:val="24"/>
                <w:lang w:eastAsia="x-none"/>
              </w:rPr>
              <w:t>llerde alacaklı</w:t>
            </w:r>
            <w:r w:rsidR="006821C6" w:rsidRPr="00A23740">
              <w:rPr>
                <w:bCs/>
                <w:color w:val="000000"/>
                <w:szCs w:val="24"/>
                <w:lang w:eastAsia="x-none"/>
              </w:rPr>
              <w:t>nın</w:t>
            </w:r>
            <w:r w:rsidRPr="00A23740">
              <w:rPr>
                <w:bCs/>
                <w:color w:val="000000"/>
                <w:szCs w:val="24"/>
                <w:lang w:eastAsia="x-none"/>
              </w:rPr>
              <w:t xml:space="preserve"> icra ve iflas dairesinden borçluya ait malların haczedilmesini talep edeceği düzenlenmiştir.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İkinci fıkrayla alacaklının borçluya ait mal, hak ve alacaklarını sorgulama imk</w:t>
            </w:r>
            <w:r w:rsidR="00BE53A8" w:rsidRPr="00A23740">
              <w:rPr>
                <w:rFonts w:eastAsia="Times New Roman"/>
                <w:szCs w:val="24"/>
                <w:lang w:eastAsia="tr-TR"/>
              </w:rPr>
              <w:t>â</w:t>
            </w:r>
            <w:r w:rsidRPr="00A23740">
              <w:rPr>
                <w:rFonts w:eastAsia="Times New Roman"/>
                <w:szCs w:val="24"/>
                <w:lang w:eastAsia="tr-TR"/>
              </w:rPr>
              <w:t xml:space="preserve">nı getirilmektedir. Bu sorgulama neticesinde UYAP tarafından borçlunun mal, hak ve alacağının niteliği hakkında ayrıntılı bilgi alınabilecek ve sistem üzerinden </w:t>
            </w:r>
            <w:r w:rsidR="00D10149" w:rsidRPr="00A23740">
              <w:rPr>
                <w:rFonts w:eastAsia="Times New Roman"/>
                <w:szCs w:val="24"/>
                <w:lang w:eastAsia="tr-TR"/>
              </w:rPr>
              <w:t xml:space="preserve">bunların </w:t>
            </w:r>
            <w:r w:rsidRPr="00A23740">
              <w:rPr>
                <w:rFonts w:eastAsia="Times New Roman"/>
                <w:szCs w:val="24"/>
                <w:lang w:eastAsia="tr-TR"/>
              </w:rPr>
              <w:t>haczi talep edilebilecektir.Bunun üzerine icra</w:t>
            </w:r>
            <w:r w:rsidR="00B73523" w:rsidRPr="00363170">
              <w:rPr>
                <w:rFonts w:eastAsia="Times New Roman"/>
                <w:szCs w:val="24"/>
                <w:lang w:eastAsia="tr-TR"/>
              </w:rPr>
              <w:t xml:space="preserve"> ve iflas</w:t>
            </w:r>
            <w:r w:rsidRPr="00A23740">
              <w:rPr>
                <w:rFonts w:eastAsia="Times New Roman"/>
                <w:szCs w:val="24"/>
                <w:lang w:eastAsia="tr-TR"/>
              </w:rPr>
              <w:t xml:space="preserve"> dairesince elektronik ortamda haczin yapılması düzenlenmektedir.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Üçüncü fıkra</w:t>
            </w:r>
            <w:r w:rsidR="00D10149" w:rsidRPr="00A23740">
              <w:rPr>
                <w:rFonts w:eastAsia="Times New Roman"/>
                <w:szCs w:val="24"/>
                <w:lang w:eastAsia="tr-TR"/>
              </w:rPr>
              <w:t>yla</w:t>
            </w:r>
            <w:r w:rsidRPr="00A23740">
              <w:rPr>
                <w:rFonts w:eastAsia="Times New Roman"/>
                <w:szCs w:val="24"/>
                <w:lang w:eastAsia="tr-TR"/>
              </w:rPr>
              <w:t xml:space="preserve"> kesinleşen icra takibi neticesinde elde edilen borçluya ait mal varlığına ilişkin bilgilerin paylaşılmasının çerçevesi çizilmekte, sorgulamanın </w:t>
            </w:r>
            <w:r w:rsidR="00D10149" w:rsidRPr="00A23740">
              <w:rPr>
                <w:rFonts w:eastAsia="Times New Roman"/>
                <w:szCs w:val="24"/>
                <w:lang w:eastAsia="tr-TR"/>
              </w:rPr>
              <w:t xml:space="preserve">amaca </w:t>
            </w:r>
            <w:r w:rsidRPr="00A23740">
              <w:rPr>
                <w:rFonts w:eastAsia="Times New Roman"/>
                <w:szCs w:val="24"/>
                <w:lang w:eastAsia="tr-TR"/>
              </w:rPr>
              <w:t>aykırı olarak kullanılmasının mümkün olmadığı belirtilmektedir.</w:t>
            </w:r>
          </w:p>
          <w:p w:rsidR="00B62391" w:rsidRPr="00A23740" w:rsidRDefault="00B62391" w:rsidP="009431FF">
            <w:pPr>
              <w:tabs>
                <w:tab w:val="left" w:pos="567"/>
              </w:tabs>
              <w:ind w:firstLine="709"/>
              <w:rPr>
                <w:bCs/>
                <w:color w:val="0000FF"/>
                <w:szCs w:val="24"/>
                <w:lang w:val="x-none" w:eastAsia="x-none"/>
              </w:rPr>
            </w:pPr>
            <w:r w:rsidRPr="00A23740">
              <w:rPr>
                <w:rFonts w:eastAsia="Times New Roman"/>
                <w:szCs w:val="24"/>
                <w:lang w:eastAsia="tr-TR"/>
              </w:rPr>
              <w:t>Dördüncü fıkra</w:t>
            </w:r>
            <w:r w:rsidR="00D10149" w:rsidRPr="00A23740">
              <w:rPr>
                <w:rFonts w:eastAsia="Times New Roman"/>
                <w:szCs w:val="24"/>
                <w:lang w:eastAsia="tr-TR"/>
              </w:rPr>
              <w:t>yla</w:t>
            </w:r>
            <w:r w:rsidRPr="00A23740">
              <w:rPr>
                <w:rFonts w:eastAsia="Times New Roman"/>
                <w:szCs w:val="24"/>
                <w:lang w:eastAsia="tr-TR"/>
              </w:rPr>
              <w:t xml:space="preserve"> UYAP ortamında sorgulama yapılabilmesi amacıyla kurum ve kuruluşlara UYAP ile kendilerine ait sistemler arasında entegrasyon sağlama yükümlülüğü yüklenmiştir.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 xml:space="preserve">Beşinci </w:t>
            </w:r>
            <w:r w:rsidR="00D10149" w:rsidRPr="00A23740">
              <w:rPr>
                <w:rFonts w:eastAsia="Times New Roman"/>
                <w:szCs w:val="24"/>
                <w:lang w:eastAsia="tr-TR"/>
              </w:rPr>
              <w:t xml:space="preserve">fıkrada, </w:t>
            </w:r>
            <w:r w:rsidRPr="00A23740">
              <w:rPr>
                <w:rFonts w:eastAsia="Times New Roman"/>
                <w:szCs w:val="24"/>
                <w:lang w:eastAsia="tr-TR"/>
              </w:rPr>
              <w:t xml:space="preserve">maddede </w:t>
            </w:r>
            <w:r w:rsidR="00D10149" w:rsidRPr="00A23740">
              <w:rPr>
                <w:rFonts w:eastAsia="Times New Roman"/>
                <w:szCs w:val="24"/>
                <w:lang w:eastAsia="tr-TR"/>
              </w:rPr>
              <w:t xml:space="preserve">öngörülen </w:t>
            </w:r>
            <w:r w:rsidRPr="00A23740">
              <w:rPr>
                <w:rFonts w:eastAsia="Times New Roman"/>
                <w:szCs w:val="24"/>
                <w:lang w:eastAsia="tr-TR"/>
              </w:rPr>
              <w:t>sorgulamanın türü, kapsamı ve sınırlarının Yönetmelikle belirleneceği düzenlenmiştir.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 xml:space="preserve">Altıncı fıkrayla ödeme veya icra emrinin tebliğinden itibaren </w:t>
            </w:r>
            <w:r w:rsidR="0031090A" w:rsidRPr="00363170">
              <w:rPr>
                <w:rFonts w:eastAsia="Times New Roman"/>
                <w:szCs w:val="24"/>
                <w:lang w:eastAsia="tr-TR"/>
              </w:rPr>
              <w:t>bir</w:t>
            </w:r>
            <w:r w:rsidRPr="00A23740">
              <w:rPr>
                <w:rFonts w:eastAsia="Times New Roman"/>
                <w:szCs w:val="24"/>
                <w:lang w:eastAsia="tr-TR"/>
              </w:rPr>
              <w:t xml:space="preserve"> yıl içinde haciz istenmemesi h</w:t>
            </w:r>
            <w:r w:rsidR="00E54A6B" w:rsidRPr="00A23740">
              <w:rPr>
                <w:rFonts w:eastAsia="Times New Roman"/>
                <w:szCs w:val="24"/>
                <w:lang w:eastAsia="tr-TR"/>
              </w:rPr>
              <w:t>â</w:t>
            </w:r>
            <w:r w:rsidRPr="00A23740">
              <w:rPr>
                <w:rFonts w:eastAsia="Times New Roman"/>
                <w:szCs w:val="24"/>
                <w:lang w:eastAsia="tr-TR"/>
              </w:rPr>
              <w:t>linde haciz isteme hakkının düşeceği</w:t>
            </w:r>
            <w:r w:rsidR="00D10149" w:rsidRPr="00A23740">
              <w:rPr>
                <w:rFonts w:eastAsia="Times New Roman"/>
                <w:szCs w:val="24"/>
                <w:lang w:eastAsia="tr-TR"/>
              </w:rPr>
              <w:t>ne</w:t>
            </w:r>
            <w:r w:rsidRPr="00A23740">
              <w:rPr>
                <w:rFonts w:eastAsia="Times New Roman"/>
                <w:szCs w:val="24"/>
                <w:lang w:eastAsia="tr-TR"/>
              </w:rPr>
              <w:t xml:space="preserve">, </w:t>
            </w:r>
            <w:r w:rsidR="00D10149" w:rsidRPr="00A23740">
              <w:rPr>
                <w:rFonts w:eastAsia="Times New Roman"/>
                <w:szCs w:val="24"/>
                <w:lang w:eastAsia="tr-TR"/>
              </w:rPr>
              <w:t xml:space="preserve">bu ihtimalde </w:t>
            </w:r>
            <w:r w:rsidRPr="00A23740">
              <w:rPr>
                <w:rFonts w:eastAsia="Times New Roman"/>
                <w:szCs w:val="24"/>
                <w:lang w:eastAsia="tr-TR"/>
              </w:rPr>
              <w:t xml:space="preserve">icra takibinin </w:t>
            </w:r>
            <w:r w:rsidR="00D10149" w:rsidRPr="00A23740">
              <w:rPr>
                <w:rFonts w:eastAsia="Times New Roman"/>
                <w:szCs w:val="24"/>
                <w:lang w:eastAsia="tr-TR"/>
              </w:rPr>
              <w:t xml:space="preserve">takip dosyasının </w:t>
            </w:r>
            <w:r w:rsidRPr="00A23740">
              <w:rPr>
                <w:rFonts w:eastAsia="Times New Roman"/>
                <w:szCs w:val="24"/>
                <w:lang w:eastAsia="tr-TR"/>
              </w:rPr>
              <w:t>kaydının kapatılacağına ilişkin düzenleme yapılmıştır.</w:t>
            </w:r>
          </w:p>
          <w:p w:rsidR="008710E7"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Yedinci fıkrayla haciz isteme hakkını sonlandıran ve takibin düşmesine neden olan sürenin hesaplanmasında dikkate alınması gereken ve sürenin hesaplanmayacağı h</w:t>
            </w:r>
            <w:r w:rsidR="00E54A6B" w:rsidRPr="00A23740">
              <w:rPr>
                <w:rFonts w:eastAsia="Times New Roman"/>
                <w:szCs w:val="24"/>
                <w:lang w:eastAsia="tr-TR"/>
              </w:rPr>
              <w:t>â</w:t>
            </w:r>
            <w:r w:rsidRPr="00A23740">
              <w:rPr>
                <w:rFonts w:eastAsia="Times New Roman"/>
                <w:szCs w:val="24"/>
                <w:lang w:eastAsia="tr-TR"/>
              </w:rPr>
              <w:t>ller düzenlenmiş olup</w:t>
            </w:r>
            <w:r w:rsidR="00D10149" w:rsidRPr="00A23740">
              <w:rPr>
                <w:rFonts w:eastAsia="Times New Roman"/>
                <w:szCs w:val="24"/>
                <w:lang w:eastAsia="tr-TR"/>
              </w:rPr>
              <w:t>,</w:t>
            </w:r>
            <w:r w:rsidRPr="00A23740">
              <w:rPr>
                <w:rFonts w:eastAsia="Times New Roman"/>
                <w:szCs w:val="24"/>
                <w:lang w:eastAsia="tr-TR"/>
              </w:rPr>
              <w:t xml:space="preserve"> bu sürenin üst sınırının on yıl olacağı da </w:t>
            </w:r>
            <w:r w:rsidR="00D10149" w:rsidRPr="00A23740">
              <w:rPr>
                <w:rFonts w:eastAsia="Times New Roman"/>
                <w:szCs w:val="24"/>
                <w:lang w:eastAsia="tr-TR"/>
              </w:rPr>
              <w:t xml:space="preserve">hüküm </w:t>
            </w:r>
            <w:r w:rsidRPr="00A23740">
              <w:rPr>
                <w:rFonts w:eastAsia="Times New Roman"/>
                <w:szCs w:val="24"/>
                <w:lang w:eastAsia="tr-TR"/>
              </w:rPr>
              <w:t>altına alınmıştır.</w:t>
            </w:r>
          </w:p>
          <w:p w:rsidR="00B62391" w:rsidRPr="00A23740" w:rsidRDefault="00B62391" w:rsidP="00DE193E">
            <w:pPr>
              <w:tabs>
                <w:tab w:val="left" w:pos="567"/>
              </w:tabs>
              <w:ind w:firstLine="709"/>
              <w:rPr>
                <w:rFonts w:eastAsia="Times New Roman"/>
                <w:b/>
                <w:bCs/>
                <w:color w:val="0000FF"/>
                <w:szCs w:val="28"/>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 Hacze başlama müddeti:</w:t>
            </w:r>
          </w:p>
          <w:p w:rsidR="00AA5C8C" w:rsidRPr="00A23740" w:rsidRDefault="00AA5C8C" w:rsidP="009431FF">
            <w:pPr>
              <w:tabs>
                <w:tab w:val="left" w:pos="567"/>
              </w:tabs>
              <w:rPr>
                <w:rFonts w:eastAsia="Times New Roman"/>
                <w:b/>
                <w:strike/>
                <w:color w:val="FF0000"/>
                <w:szCs w:val="24"/>
                <w:lang w:eastAsia="tr-TR"/>
              </w:rPr>
            </w:pPr>
            <w:r w:rsidRPr="00A23740">
              <w:rPr>
                <w:b/>
                <w:bCs/>
                <w:strike/>
                <w:color w:val="FF0000"/>
                <w:szCs w:val="24"/>
              </w:rPr>
              <w:t xml:space="preserve">Madde 79 – </w:t>
            </w:r>
            <w:r w:rsidRPr="00A23740">
              <w:rPr>
                <w:b/>
                <w:bCs/>
                <w:color w:val="FF0000"/>
                <w:szCs w:val="24"/>
              </w:rPr>
              <w:t>(…)</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b/>
                <w:bCs/>
                <w:strike/>
                <w:color w:val="FF0000"/>
                <w:szCs w:val="24"/>
              </w:rPr>
            </w:pPr>
            <w:r w:rsidRPr="00A23740">
              <w:rPr>
                <w:b/>
                <w:bCs/>
                <w:strike/>
                <w:color w:val="FF0000"/>
                <w:szCs w:val="24"/>
              </w:rPr>
              <w:t>(2) (Değişik fıkra: 6/6/1985 - 3222/10 md.) Haczolunacak mallar başka yerde ise haciz yapılmasını malların bulunduğu yerin icra dairesine hemen yazar. Bu halde hacizle ilgili şikayetler, istinabe olunan icra dairesinin tabi bulunduğu icra mahkemesince çözümlenir. (Ek cümle: 17/7/2003-4949/19 md.) Resmî sicile kayıtlı malların haczi, takibin yapıldığı icra dairesince, kaydına işletilmek suretiyle doğrudan da yapılabilir.</w:t>
            </w:r>
          </w:p>
          <w:p w:rsidR="0017435A" w:rsidRPr="00A23740" w:rsidRDefault="0017435A"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b/>
                <w:bCs/>
                <w:strike/>
                <w:color w:val="FF0000"/>
                <w:szCs w:val="24"/>
              </w:rPr>
              <w:t>(1) İcra</w:t>
            </w:r>
            <w:r w:rsidRPr="00A23740">
              <w:rPr>
                <w:rFonts w:eastAsia="Times New Roman"/>
                <w:b/>
                <w:strike/>
                <w:color w:val="FF0000"/>
                <w:szCs w:val="24"/>
                <w:lang w:eastAsia="tr-TR"/>
              </w:rPr>
              <w:t xml:space="preserve"> dairesi talepten nihayet üç gün içinde haczi yapar.</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 Hacze başlama müddeti:</w:t>
            </w: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Madde 79 –</w:t>
            </w:r>
          </w:p>
          <w:p w:rsidR="00AA5C8C" w:rsidRPr="00A23740" w:rsidRDefault="00AA5C8C" w:rsidP="009431FF">
            <w:pPr>
              <w:tabs>
                <w:tab w:val="left" w:pos="567"/>
              </w:tabs>
              <w:rPr>
                <w:rFonts w:eastAsia="Times New Roman"/>
                <w:szCs w:val="24"/>
                <w:lang w:eastAsia="tr-TR"/>
              </w:rPr>
            </w:pPr>
            <w:r w:rsidRPr="00A23740">
              <w:rPr>
                <w:b/>
                <w:bCs/>
                <w:strike/>
                <w:color w:val="FF0000"/>
                <w:szCs w:val="24"/>
              </w:rPr>
              <w:t>(2) (Değişik</w:t>
            </w:r>
            <w:r w:rsidRPr="00A23740">
              <w:rPr>
                <w:rFonts w:eastAsia="Times New Roman"/>
                <w:b/>
                <w:strike/>
                <w:color w:val="FF0000"/>
                <w:szCs w:val="24"/>
                <w:lang w:eastAsia="tr-TR"/>
              </w:rPr>
              <w:t xml:space="preserve"> fıkra: 6/6/1985 - 3222/10 md.)</w:t>
            </w:r>
            <w:r w:rsidRPr="00A23740">
              <w:rPr>
                <w:rFonts w:eastAsia="Times New Roman"/>
                <w:szCs w:val="24"/>
                <w:lang w:eastAsia="tr-TR"/>
              </w:rPr>
              <w:t xml:space="preserve"> Haczolunacak mallar başka yerde ise haciz </w:t>
            </w:r>
            <w:r w:rsidRPr="00A23740">
              <w:rPr>
                <w:b/>
                <w:bCs/>
                <w:strike/>
                <w:color w:val="FF0000"/>
                <w:szCs w:val="24"/>
              </w:rPr>
              <w:t>yapılmasını</w:t>
            </w:r>
            <w:r w:rsidRPr="00A23740">
              <w:rPr>
                <w:rFonts w:eastAsia="Times New Roman"/>
                <w:szCs w:val="24"/>
                <w:lang w:eastAsia="tr-TR"/>
              </w:rPr>
              <w:t xml:space="preserve"> malların bulunduğu yerin icra dairesine</w:t>
            </w:r>
            <w:r w:rsidRPr="00A23740">
              <w:rPr>
                <w:rFonts w:eastAsia="Times New Roman"/>
                <w:b/>
                <w:strike/>
                <w:color w:val="FF0000"/>
                <w:szCs w:val="24"/>
                <w:lang w:eastAsia="tr-TR"/>
              </w:rPr>
              <w:t xml:space="preserve"> hemen yazar.</w:t>
            </w:r>
            <w:r w:rsidRPr="00A23740">
              <w:rPr>
                <w:rFonts w:eastAsia="Times New Roman"/>
                <w:szCs w:val="24"/>
                <w:lang w:eastAsia="tr-TR"/>
              </w:rPr>
              <w:t xml:space="preserve"> </w:t>
            </w:r>
            <w:r w:rsidRPr="00A23740">
              <w:rPr>
                <w:b/>
                <w:bCs/>
                <w:strike/>
                <w:color w:val="FF0000"/>
                <w:szCs w:val="24"/>
              </w:rPr>
              <w:t>Bu halde hacizle ilgili şikayetler, istinabe olunan icra dairesinin tabi bulunduğu icra mahkemesince çözümlenir. (Ek cümle: 17/7/2003-4949/19 md.) Resmî sicile kayıtlı malların haczi, takibin yapıldığı icra dairesince, kaydına işletilmek suretiyle doğrudan da yapılabilir.</w:t>
            </w:r>
          </w:p>
          <w:p w:rsidR="00AA5C8C" w:rsidRPr="00A23740" w:rsidRDefault="00AA5C8C" w:rsidP="009431FF">
            <w:pPr>
              <w:tabs>
                <w:tab w:val="left" w:pos="567"/>
              </w:tabs>
              <w:rPr>
                <w:rFonts w:eastAsia="Times New Roman"/>
                <w:b/>
                <w:bCs/>
                <w:strike/>
                <w:color w:val="FF0000"/>
                <w:szCs w:val="24"/>
                <w:lang w:val="x-none" w:eastAsia="tr-TR"/>
              </w:rPr>
            </w:pPr>
          </w:p>
          <w:p w:rsidR="00AA5C8C" w:rsidRPr="00A23740" w:rsidRDefault="00AA5C8C" w:rsidP="009431FF">
            <w:pPr>
              <w:tabs>
                <w:tab w:val="left" w:pos="567"/>
              </w:tabs>
              <w:rPr>
                <w:rFonts w:ascii="Calibri" w:eastAsia="Times New Roman" w:hAnsi="Calibri" w:cs="Calibri"/>
                <w:b/>
                <w:bCs/>
                <w:strike/>
                <w:color w:val="FF0000"/>
                <w:sz w:val="22"/>
                <w:szCs w:val="24"/>
                <w:lang w:val="x-none" w:eastAsia="x-none"/>
              </w:rPr>
            </w:pPr>
            <w:r w:rsidRPr="00A23740">
              <w:rPr>
                <w:rFonts w:eastAsia="Times New Roman"/>
                <w:b/>
                <w:bCs/>
                <w:strike/>
                <w:color w:val="FF0000"/>
                <w:szCs w:val="24"/>
                <w:lang w:val="x-none" w:eastAsia="x-none"/>
              </w:rPr>
              <w:t>Konutta haciz:</w:t>
            </w:r>
          </w:p>
          <w:p w:rsidR="00AA5C8C" w:rsidRPr="00A23740" w:rsidRDefault="00AA5C8C"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79/a- (Ek:28/3/2023-7445/1 md.)</w:t>
            </w:r>
            <w:r w:rsidRPr="00A23740">
              <w:rPr>
                <w:bCs/>
                <w:strike/>
                <w:color w:val="FF0000"/>
                <w:szCs w:val="24"/>
                <w:lang w:val="x-none" w:eastAsia="x-none"/>
              </w:rPr>
              <w:t xml:space="preserve"> </w:t>
            </w:r>
            <w:r w:rsidRPr="00A23740">
              <w:rPr>
                <w:rFonts w:eastAsia="Times New Roman"/>
                <w:bCs/>
                <w:strike/>
                <w:color w:val="FF0000"/>
                <w:szCs w:val="24"/>
                <w:lang w:val="x-none" w:eastAsia="x-none"/>
              </w:rPr>
              <w:t>(1)</w:t>
            </w:r>
            <w:r w:rsidRPr="00A23740">
              <w:rPr>
                <w:rFonts w:eastAsia="Times New Roman"/>
                <w:b/>
                <w:bCs/>
                <w:strike/>
                <w:color w:val="FF0000"/>
                <w:szCs w:val="24"/>
                <w:lang w:val="x-none" w:eastAsia="x-none"/>
              </w:rPr>
              <w:t xml:space="preserve"> İcra müdürü, haciz yapılması talep edilen yerin konut olduğunu tespit ederse, bu yerde haciz yapılmasına karar verir ve bu kararı derhal icra mahkemesinin onayına sunar.</w:t>
            </w:r>
          </w:p>
          <w:p w:rsidR="00AA5C8C" w:rsidRPr="00A23740" w:rsidRDefault="00AA5C8C" w:rsidP="009431FF">
            <w:pPr>
              <w:tabs>
                <w:tab w:val="left" w:pos="567"/>
              </w:tabs>
              <w:rPr>
                <w:rFonts w:ascii="Calibri" w:eastAsia="Times New Roman" w:hAnsi="Calibri" w:cs="Calibri"/>
                <w:b/>
                <w:bCs/>
                <w:strike/>
                <w:color w:val="FF0000"/>
                <w:sz w:val="22"/>
                <w:szCs w:val="24"/>
                <w:lang w:val="x-none" w:eastAsia="x-none"/>
              </w:rPr>
            </w:pPr>
          </w:p>
          <w:p w:rsidR="00AA5C8C" w:rsidRPr="00A23740" w:rsidRDefault="00AA5C8C" w:rsidP="009431FF">
            <w:pPr>
              <w:tabs>
                <w:tab w:val="left" w:pos="567"/>
              </w:tabs>
              <w:rPr>
                <w:rFonts w:eastAsia="Times New Roman"/>
                <w:b/>
                <w:bCs/>
                <w:strike/>
                <w:color w:val="FF0000"/>
                <w:szCs w:val="24"/>
                <w:lang w:val="x-none" w:eastAsia="x-none"/>
              </w:rPr>
            </w:pPr>
            <w:r w:rsidRPr="00A23740">
              <w:rPr>
                <w:rFonts w:eastAsia="Times New Roman"/>
                <w:bCs/>
                <w:strike/>
                <w:color w:val="FF0000"/>
                <w:szCs w:val="24"/>
                <w:lang w:val="x-none" w:eastAsia="x-none"/>
              </w:rPr>
              <w:t>(2)</w:t>
            </w:r>
            <w:r w:rsidRPr="00A23740">
              <w:rPr>
                <w:rFonts w:eastAsia="Times New Roman"/>
                <w:b/>
                <w:bCs/>
                <w:strike/>
                <w:color w:val="FF0000"/>
                <w:szCs w:val="24"/>
                <w:lang w:val="x-none" w:eastAsia="x-none"/>
              </w:rPr>
              <w:t xml:space="preserve"> Mahkeme, dosyanın tevdi edildiği tarihten itibaren en geç üç gün içinde dosya üzerinden yapacağı inceleme sonunda haciz yapılması talep edilen yerin konut olduğunun anlaşılması halinde kararın onaylanmasına kesin olarak karar verir. Bu kararın icra dairesine bildirilmesi üzerine haciz işlemleri yapılır. Haciz yapılması talep edilen yerin konut olmadığının anlaşılması halinde ise mahkeme, konutta haciz yapılmasına dair kararı kesin olarak kaldırır. Bu kararın icra dairesine bildirilmesi üzerine icra müdürü, mevcut haciz talebi hakkında yeniden karar verir.</w:t>
            </w:r>
          </w:p>
          <w:p w:rsidR="00AA5C8C" w:rsidRPr="00A23740" w:rsidRDefault="00AA5C8C" w:rsidP="009431FF">
            <w:pPr>
              <w:tabs>
                <w:tab w:val="left" w:pos="567"/>
              </w:tabs>
              <w:rPr>
                <w:rFonts w:ascii="Calibri" w:eastAsia="Times New Roman" w:hAnsi="Calibri" w:cs="Calibri"/>
                <w:b/>
                <w:bCs/>
                <w:strike/>
                <w:color w:val="FF0000"/>
                <w:sz w:val="22"/>
                <w:szCs w:val="24"/>
                <w:lang w:val="x-none" w:eastAsia="x-none"/>
              </w:rPr>
            </w:pPr>
          </w:p>
          <w:p w:rsidR="00AA5C8C" w:rsidRPr="00A23740" w:rsidRDefault="00AA5C8C" w:rsidP="009431FF">
            <w:pPr>
              <w:tabs>
                <w:tab w:val="left" w:pos="567"/>
              </w:tabs>
              <w:rPr>
                <w:rFonts w:eastAsia="Times New Roman"/>
                <w:b/>
                <w:bCs/>
                <w:strike/>
                <w:color w:val="FF0000"/>
                <w:szCs w:val="24"/>
                <w:lang w:val="x-none" w:eastAsia="x-none"/>
              </w:rPr>
            </w:pPr>
            <w:r w:rsidRPr="00A23740">
              <w:rPr>
                <w:rFonts w:eastAsia="Times New Roman"/>
                <w:bCs/>
                <w:strike/>
                <w:color w:val="FF0000"/>
                <w:szCs w:val="24"/>
                <w:lang w:val="x-none" w:eastAsia="x-none"/>
              </w:rPr>
              <w:t>(3)</w:t>
            </w:r>
            <w:r w:rsidRPr="00A23740">
              <w:rPr>
                <w:rFonts w:eastAsia="Times New Roman"/>
                <w:b/>
                <w:bCs/>
                <w:strike/>
                <w:color w:val="FF0000"/>
                <w:szCs w:val="24"/>
                <w:lang w:val="x-none" w:eastAsia="x-none"/>
              </w:rPr>
              <w:t xml:space="preserve"> Mahkemenin onaylama kararı üzerine hacze gidilen yerin konut olmadığının anlaşılması halinde hacze devam olunur. Ancak konut olmadığı kabul edilen bir yerle ilgili verilen haciz kararı üzerine yapılan haciz işlemi sırasında, bu yerin konut olduğu anlaşılır ve borçlu da haczin yapılmasına rıza göstermez ise haciz işlemine son verilir ve müteakip işlemler hakkında birinci ve ikinci fıkra hükümleri uygulanır.</w:t>
            </w:r>
          </w:p>
          <w:p w:rsidR="00AA5C8C" w:rsidRPr="00A23740" w:rsidRDefault="00AA5C8C" w:rsidP="009431FF">
            <w:pPr>
              <w:tabs>
                <w:tab w:val="left" w:pos="567"/>
              </w:tabs>
              <w:rPr>
                <w:rFonts w:ascii="Calibri" w:eastAsia="Times New Roman" w:hAnsi="Calibri" w:cs="Calibri"/>
                <w:b/>
                <w:bCs/>
                <w:strike/>
                <w:color w:val="FF0000"/>
                <w:sz w:val="22"/>
                <w:szCs w:val="24"/>
                <w:lang w:val="x-none" w:eastAsia="x-none"/>
              </w:rPr>
            </w:pPr>
          </w:p>
          <w:p w:rsidR="00AA5C8C" w:rsidRPr="00A23740" w:rsidRDefault="00AA5C8C" w:rsidP="009431FF">
            <w:pPr>
              <w:tabs>
                <w:tab w:val="left" w:pos="567"/>
              </w:tabs>
              <w:rPr>
                <w:rFonts w:ascii="Calibri" w:eastAsia="Times New Roman" w:hAnsi="Calibri" w:cs="Calibri"/>
                <w:b/>
                <w:bCs/>
                <w:strike/>
                <w:color w:val="FF0000"/>
                <w:sz w:val="22"/>
                <w:szCs w:val="24"/>
                <w:lang w:val="x-none" w:eastAsia="x-none"/>
              </w:rPr>
            </w:pPr>
            <w:r w:rsidRPr="00A23740">
              <w:rPr>
                <w:rFonts w:eastAsia="Times New Roman"/>
                <w:bCs/>
                <w:strike/>
                <w:color w:val="FF0000"/>
                <w:szCs w:val="24"/>
                <w:lang w:val="x-none" w:eastAsia="x-none"/>
              </w:rPr>
              <w:t>(4)</w:t>
            </w:r>
            <w:r w:rsidRPr="00A23740">
              <w:rPr>
                <w:rFonts w:eastAsia="Times New Roman"/>
                <w:b/>
                <w:bCs/>
                <w:strike/>
                <w:color w:val="FF0000"/>
                <w:szCs w:val="24"/>
                <w:lang w:val="x-none" w:eastAsia="x-none"/>
              </w:rPr>
              <w:t xml:space="preserve"> İhtiyati haciz hakkında, bu madde hükmü uygulanmaz.</w:t>
            </w:r>
          </w:p>
          <w:p w:rsidR="00AA5C8C" w:rsidRPr="00A23740" w:rsidRDefault="00AA5C8C" w:rsidP="009431FF">
            <w:pPr>
              <w:tabs>
                <w:tab w:val="left" w:pos="567"/>
              </w:tabs>
              <w:rPr>
                <w:rFonts w:eastAsia="Times New Roman"/>
                <w:b/>
                <w:bCs/>
                <w:strike/>
                <w:color w:val="FF0000"/>
                <w:szCs w:val="24"/>
                <w:lang w:val="x-none" w:eastAsia="tr-TR"/>
              </w:rPr>
            </w:pPr>
          </w:p>
        </w:tc>
        <w:tc>
          <w:tcPr>
            <w:tcW w:w="2500" w:type="pct"/>
          </w:tcPr>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Haciz kararı verilmesi ve haczin uygulanma zamanı</w:t>
            </w: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 xml:space="preserve">MADDE </w:t>
            </w:r>
            <w:r w:rsidR="009D57E1" w:rsidRPr="00A23740">
              <w:rPr>
                <w:b/>
                <w:bCs/>
                <w:color w:val="0000FF"/>
                <w:szCs w:val="24"/>
                <w:lang w:eastAsia="x-none"/>
              </w:rPr>
              <w:t>157</w:t>
            </w:r>
            <w:r w:rsidRPr="00A23740">
              <w:rPr>
                <w:b/>
                <w:bCs/>
                <w:color w:val="0000FF"/>
                <w:szCs w:val="24"/>
                <w:lang w:val="x-none" w:eastAsia="x-none"/>
              </w:rPr>
              <w:t>- (1) Haciz talebi üzerine, icra</w:t>
            </w:r>
            <w:r w:rsidRPr="00A23740">
              <w:rPr>
                <w:b/>
                <w:bCs/>
                <w:color w:val="0000FF"/>
                <w:szCs w:val="24"/>
                <w:lang w:eastAsia="x-none"/>
              </w:rPr>
              <w:t xml:space="preserve"> </w:t>
            </w:r>
            <w:r w:rsidRPr="00A23740">
              <w:rPr>
                <w:rStyle w:val="MaviChar"/>
              </w:rPr>
              <w:t>ve iflas dairesi</w:t>
            </w:r>
            <w:r w:rsidRPr="00A23740">
              <w:rPr>
                <w:b/>
                <w:bCs/>
                <w:color w:val="0000FF"/>
                <w:szCs w:val="24"/>
                <w:lang w:val="x-none" w:eastAsia="x-none"/>
              </w:rPr>
              <w:t xml:space="preserve"> haczin yapılması şartlarının mevcut olup olmadığına derh</w:t>
            </w:r>
            <w:r w:rsidR="00DF22A1" w:rsidRPr="00A23740">
              <w:rPr>
                <w:b/>
                <w:bCs/>
                <w:color w:val="0000FF"/>
                <w:szCs w:val="24"/>
                <w:lang w:eastAsia="x-none"/>
              </w:rPr>
              <w:t>â</w:t>
            </w:r>
            <w:r w:rsidRPr="00A23740">
              <w:rPr>
                <w:b/>
                <w:bCs/>
                <w:color w:val="0000FF"/>
                <w:szCs w:val="24"/>
                <w:lang w:val="x-none" w:eastAsia="x-none"/>
              </w:rPr>
              <w:t xml:space="preserve">l </w:t>
            </w:r>
            <w:r w:rsidR="00D356E2" w:rsidRPr="00363170">
              <w:rPr>
                <w:b/>
                <w:bCs/>
                <w:color w:val="0000FF"/>
                <w:szCs w:val="24"/>
                <w:lang w:val="x-none" w:eastAsia="x-none"/>
              </w:rPr>
              <w:t>ve gerekçeli</w:t>
            </w:r>
            <w:r w:rsidR="00D356E2" w:rsidRPr="00A23740">
              <w:rPr>
                <w:b/>
                <w:bCs/>
                <w:color w:val="385623"/>
                <w:szCs w:val="24"/>
                <w:lang w:val="x-none" w:eastAsia="x-none"/>
              </w:rPr>
              <w:t xml:space="preserve"> </w:t>
            </w:r>
            <w:r w:rsidR="00D356E2" w:rsidRPr="00363170">
              <w:rPr>
                <w:b/>
                <w:bCs/>
                <w:color w:val="0000FF"/>
                <w:szCs w:val="24"/>
                <w:lang w:val="x-none" w:eastAsia="x-none"/>
              </w:rPr>
              <w:t>olarak</w:t>
            </w:r>
            <w:r w:rsidR="00D356E2" w:rsidRPr="00A23740">
              <w:rPr>
                <w:b/>
                <w:bCs/>
                <w:color w:val="385623"/>
                <w:szCs w:val="24"/>
                <w:lang w:val="x-none" w:eastAsia="x-none"/>
              </w:rPr>
              <w:t xml:space="preserve"> </w:t>
            </w:r>
            <w:r w:rsidRPr="00A23740">
              <w:rPr>
                <w:b/>
                <w:bCs/>
                <w:color w:val="0000FF"/>
                <w:szCs w:val="24"/>
                <w:lang w:val="x-none" w:eastAsia="x-none"/>
              </w:rPr>
              <w:t>karar verir.</w:t>
            </w:r>
            <w:r w:rsidR="006F122E" w:rsidRPr="00A23740">
              <w:rPr>
                <w:b/>
                <w:bCs/>
                <w:color w:val="0000FF"/>
                <w:szCs w:val="24"/>
                <w:lang w:eastAsia="x-none"/>
              </w:rPr>
              <w:t xml:space="preserve"> </w:t>
            </w:r>
            <w:r w:rsidR="006F122E" w:rsidRPr="00A23740">
              <w:rPr>
                <w:b/>
                <w:bCs/>
                <w:color w:val="0000FF"/>
                <w:szCs w:val="24"/>
                <w:lang w:val="x-none" w:eastAsia="x-none"/>
              </w:rPr>
              <w:t xml:space="preserve">Kararın </w:t>
            </w:r>
            <w:r w:rsidRPr="00A23740">
              <w:rPr>
                <w:b/>
                <w:bCs/>
                <w:color w:val="0000FF"/>
                <w:szCs w:val="24"/>
                <w:lang w:val="x-none" w:eastAsia="x-none"/>
              </w:rPr>
              <w:t>bir</w:t>
            </w:r>
            <w:r w:rsidRPr="00A23740">
              <w:rPr>
                <w:b/>
                <w:bCs/>
                <w:color w:val="0000FF"/>
                <w:szCs w:val="24"/>
                <w:lang w:eastAsia="x-none"/>
              </w:rPr>
              <w:t xml:space="preserve"> </w:t>
            </w:r>
            <w:r w:rsidRPr="00A23740">
              <w:rPr>
                <w:rStyle w:val="MaviChar"/>
              </w:rPr>
              <w:t>örneği</w:t>
            </w:r>
            <w:r w:rsidR="006F122E" w:rsidRPr="00A23740">
              <w:rPr>
                <w:rStyle w:val="MaviChar"/>
                <w:lang w:val="tr-TR"/>
              </w:rPr>
              <w:t xml:space="preserve"> </w:t>
            </w:r>
            <w:r w:rsidR="006F122E" w:rsidRPr="00363170">
              <w:rPr>
                <w:rStyle w:val="YELChar"/>
                <w:color w:val="0000FF"/>
              </w:rPr>
              <w:t>talebi hâlinde alacaklıya</w:t>
            </w:r>
            <w:r w:rsidR="006F122E" w:rsidRPr="00A23740">
              <w:rPr>
                <w:rStyle w:val="YELChar"/>
              </w:rPr>
              <w:t xml:space="preserve"> </w:t>
            </w:r>
            <w:r w:rsidRPr="00A23740">
              <w:rPr>
                <w:b/>
                <w:bCs/>
                <w:color w:val="0000FF"/>
                <w:szCs w:val="24"/>
                <w:lang w:val="x-none" w:eastAsia="x-none"/>
              </w:rPr>
              <w:t>verilir. Bu karar</w:t>
            </w:r>
            <w:r w:rsidRPr="00A23740">
              <w:rPr>
                <w:b/>
                <w:bCs/>
                <w:color w:val="0000FF"/>
                <w:szCs w:val="24"/>
                <w:lang w:eastAsia="x-none"/>
              </w:rPr>
              <w:t xml:space="preserve"> </w:t>
            </w:r>
            <w:r w:rsidRPr="00A23740">
              <w:rPr>
                <w:rStyle w:val="MaviChar"/>
              </w:rPr>
              <w:t>örneği</w:t>
            </w:r>
            <w:r w:rsidRPr="00A23740">
              <w:rPr>
                <w:b/>
                <w:bCs/>
                <w:color w:val="0000FF"/>
                <w:szCs w:val="24"/>
                <w:lang w:eastAsia="x-none"/>
              </w:rPr>
              <w:t xml:space="preserve"> </w:t>
            </w:r>
            <w:r w:rsidRPr="00A23740">
              <w:rPr>
                <w:b/>
                <w:bCs/>
                <w:color w:val="0000FF"/>
                <w:szCs w:val="24"/>
                <w:lang w:val="x-none" w:eastAsia="x-none"/>
              </w:rPr>
              <w:t xml:space="preserve">hiçbir </w:t>
            </w:r>
            <w:r w:rsidRPr="00A23740">
              <w:rPr>
                <w:b/>
                <w:bCs/>
                <w:color w:val="0000FF"/>
                <w:szCs w:val="24"/>
                <w:lang w:eastAsia="x-none"/>
              </w:rPr>
              <w:t>gider</w:t>
            </w:r>
            <w:r w:rsidRPr="00A23740">
              <w:rPr>
                <w:b/>
                <w:bCs/>
                <w:color w:val="0000FF"/>
                <w:szCs w:val="24"/>
                <w:lang w:val="x-none" w:eastAsia="x-none"/>
              </w:rPr>
              <w:t xml:space="preserve"> ve harca tabi değildir.</w:t>
            </w:r>
          </w:p>
          <w:p w:rsidR="00AA5C8C" w:rsidRPr="00A23740" w:rsidRDefault="00AA5C8C" w:rsidP="009431FF">
            <w:pPr>
              <w:tabs>
                <w:tab w:val="left" w:pos="567"/>
              </w:tabs>
              <w:rPr>
                <w:rFonts w:eastAsia="Times New Roman"/>
                <w:b/>
                <w:bCs/>
                <w:color w:val="0000FF"/>
                <w:szCs w:val="24"/>
                <w:lang w:val="x-none" w:eastAsia="tr-TR"/>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(2) Haciz kararı üzerine,</w:t>
            </w:r>
            <w:r w:rsidR="00367CB5" w:rsidRPr="00A23740">
              <w:rPr>
                <w:b/>
                <w:bCs/>
                <w:color w:val="0000FF"/>
                <w:szCs w:val="24"/>
                <w:lang w:eastAsia="x-none"/>
              </w:rPr>
              <w:t xml:space="preserve"> dördüncü fıkra hükmü saklı kalmak </w:t>
            </w:r>
            <w:r w:rsidR="00367CB5" w:rsidRPr="00363170">
              <w:rPr>
                <w:rStyle w:val="YELChar"/>
                <w:color w:val="0000FF"/>
              </w:rPr>
              <w:t>kaydıyla,</w:t>
            </w:r>
            <w:r w:rsidRPr="00A23740">
              <w:rPr>
                <w:b/>
                <w:bCs/>
                <w:color w:val="0000FF"/>
                <w:szCs w:val="24"/>
                <w:lang w:val="x-none" w:eastAsia="x-none"/>
              </w:rPr>
              <w:t xml:space="preserve">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w:t>
            </w:r>
            <w:r w:rsidR="00D356E2" w:rsidRPr="00A23740">
              <w:rPr>
                <w:b/>
                <w:bCs/>
                <w:color w:val="0000FF"/>
                <w:szCs w:val="24"/>
                <w:lang w:val="x-none" w:eastAsia="x-none"/>
              </w:rPr>
              <w:t xml:space="preserve"> </w:t>
            </w:r>
            <w:r w:rsidR="00D356E2" w:rsidRPr="00363170">
              <w:rPr>
                <w:b/>
                <w:bCs/>
                <w:color w:val="0000FF"/>
                <w:szCs w:val="24"/>
                <w:lang w:val="x-none" w:eastAsia="x-none"/>
              </w:rPr>
              <w:t>bu karardan itibaren</w:t>
            </w:r>
            <w:r w:rsidR="00D356E2" w:rsidRPr="00A23740">
              <w:rPr>
                <w:b/>
                <w:bCs/>
                <w:color w:val="385623"/>
                <w:szCs w:val="24"/>
                <w:lang w:val="x-none" w:eastAsia="x-none"/>
              </w:rPr>
              <w:t xml:space="preserve"> </w:t>
            </w:r>
            <w:r w:rsidRPr="00A23740">
              <w:rPr>
                <w:b/>
                <w:bCs/>
                <w:color w:val="0000FF"/>
                <w:szCs w:val="24"/>
                <w:lang w:val="x-none" w:eastAsia="x-none"/>
              </w:rPr>
              <w:t>en geç üç gü</w:t>
            </w:r>
            <w:r w:rsidRPr="00A23740">
              <w:rPr>
                <w:rStyle w:val="MaviChar"/>
              </w:rPr>
              <w:t>n içinde haciz işlemlerine başlar</w:t>
            </w:r>
            <w:r w:rsidR="00367CB5" w:rsidRPr="00A23740">
              <w:rPr>
                <w:rStyle w:val="MaviChar"/>
              </w:rPr>
              <w:t>.</w:t>
            </w:r>
          </w:p>
          <w:p w:rsidR="00AA5C8C" w:rsidRPr="00A23740" w:rsidRDefault="00AA5C8C" w:rsidP="009431FF">
            <w:pPr>
              <w:tabs>
                <w:tab w:val="left" w:pos="566"/>
              </w:tabs>
              <w:rPr>
                <w:rFonts w:eastAsia="ヒラギノ明朝 Pro W3"/>
                <w:b/>
                <w:color w:val="FF0000"/>
                <w:szCs w:val="24"/>
              </w:rPr>
            </w:pPr>
          </w:p>
          <w:p w:rsidR="00F2357B" w:rsidRPr="00A23740" w:rsidRDefault="00F2357B" w:rsidP="009431FF">
            <w:pPr>
              <w:tabs>
                <w:tab w:val="left" w:pos="566"/>
              </w:tabs>
              <w:rPr>
                <w:rFonts w:eastAsia="ヒラギノ明朝 Pro W3"/>
                <w:b/>
                <w:color w:val="FF0000"/>
                <w:szCs w:val="24"/>
              </w:rPr>
            </w:pPr>
          </w:p>
          <w:p w:rsidR="00F2357B" w:rsidRPr="00A23740" w:rsidRDefault="00F2357B" w:rsidP="009431FF">
            <w:pPr>
              <w:tabs>
                <w:tab w:val="left" w:pos="566"/>
              </w:tabs>
              <w:rPr>
                <w:rFonts w:eastAsia="ヒラギノ明朝 Pro W3"/>
                <w:b/>
                <w:color w:val="FF0000"/>
                <w:szCs w:val="24"/>
              </w:rPr>
            </w:pPr>
          </w:p>
          <w:p w:rsidR="00F2357B" w:rsidRPr="00A23740" w:rsidRDefault="00F2357B" w:rsidP="009431FF">
            <w:pPr>
              <w:tabs>
                <w:tab w:val="left" w:pos="566"/>
              </w:tabs>
              <w:rPr>
                <w:rFonts w:eastAsia="ヒラギノ明朝 Pro W3"/>
                <w:b/>
                <w:color w:val="FF0000"/>
                <w:szCs w:val="24"/>
              </w:rPr>
            </w:pPr>
          </w:p>
          <w:p w:rsidR="00F2357B" w:rsidRDefault="00F2357B" w:rsidP="009431FF">
            <w:pPr>
              <w:tabs>
                <w:tab w:val="left" w:pos="566"/>
              </w:tabs>
              <w:rPr>
                <w:rFonts w:eastAsia="ヒラギノ明朝 Pro W3"/>
                <w:b/>
                <w:color w:val="FF0000"/>
                <w:szCs w:val="24"/>
              </w:rPr>
            </w:pPr>
          </w:p>
          <w:p w:rsidR="00634220" w:rsidRPr="00A23740" w:rsidRDefault="00634220" w:rsidP="009431FF">
            <w:pPr>
              <w:tabs>
                <w:tab w:val="left" w:pos="566"/>
              </w:tabs>
              <w:rPr>
                <w:rFonts w:eastAsia="ヒラギノ明朝 Pro W3"/>
                <w:b/>
                <w:color w:val="FF0000"/>
                <w:szCs w:val="24"/>
              </w:rPr>
            </w:pPr>
          </w:p>
          <w:p w:rsidR="00F2357B" w:rsidRPr="00A23740" w:rsidRDefault="00F2357B" w:rsidP="009431FF">
            <w:pPr>
              <w:tabs>
                <w:tab w:val="left" w:pos="566"/>
              </w:tabs>
              <w:rPr>
                <w:rFonts w:eastAsia="ヒラギノ明朝 Pro W3"/>
                <w:b/>
                <w:color w:val="FF0000"/>
                <w:szCs w:val="24"/>
              </w:rPr>
            </w:pPr>
          </w:p>
          <w:p w:rsidR="00F2357B" w:rsidRPr="00A23740" w:rsidRDefault="00F2357B" w:rsidP="009431FF">
            <w:pPr>
              <w:tabs>
                <w:tab w:val="left" w:pos="566"/>
              </w:tabs>
              <w:rPr>
                <w:rFonts w:eastAsia="ヒラギノ明朝 Pro W3"/>
                <w:b/>
                <w:color w:val="FF0000"/>
                <w:szCs w:val="24"/>
              </w:rPr>
            </w:pPr>
          </w:p>
          <w:p w:rsidR="00AA5C8C" w:rsidRPr="00A23740" w:rsidRDefault="00AA5C8C" w:rsidP="009431FF">
            <w:pPr>
              <w:tabs>
                <w:tab w:val="left" w:pos="567"/>
              </w:tabs>
              <w:rPr>
                <w:szCs w:val="24"/>
                <w:lang w:eastAsia="tr-TR"/>
              </w:rPr>
            </w:pPr>
            <w:r w:rsidRPr="00A23740">
              <w:rPr>
                <w:b/>
                <w:bCs/>
                <w:color w:val="0000FF"/>
                <w:szCs w:val="24"/>
                <w:lang w:val="x-none" w:eastAsia="x-none"/>
              </w:rPr>
              <w:t xml:space="preserve">(3) </w:t>
            </w:r>
            <w:r w:rsidRPr="00A23740">
              <w:rPr>
                <w:szCs w:val="24"/>
                <w:lang w:eastAsia="tr-TR"/>
              </w:rPr>
              <w:t>Haczolunacak mallar başka yerde ise</w:t>
            </w:r>
            <w:r w:rsidR="00367CB5" w:rsidRPr="00363170">
              <w:rPr>
                <w:rStyle w:val="YELChar"/>
                <w:color w:val="0000FF"/>
              </w:rPr>
              <w:t>,</w:t>
            </w:r>
            <w:r w:rsidRPr="00A23740">
              <w:rPr>
                <w:szCs w:val="24"/>
                <w:lang w:eastAsia="tr-TR"/>
              </w:rPr>
              <w:t xml:space="preserve"> haciz </w:t>
            </w:r>
            <w:r w:rsidRPr="00A23740">
              <w:rPr>
                <w:b/>
                <w:bCs/>
                <w:color w:val="0000FF"/>
                <w:szCs w:val="24"/>
                <w:lang w:val="x-none" w:eastAsia="x-none"/>
              </w:rPr>
              <w:t>kararı</w:t>
            </w:r>
            <w:r w:rsidRPr="00A23740">
              <w:rPr>
                <w:b/>
                <w:bCs/>
                <w:color w:val="0000FF"/>
                <w:szCs w:val="24"/>
                <w:lang w:eastAsia="x-none"/>
              </w:rPr>
              <w:t xml:space="preserve"> </w:t>
            </w:r>
            <w:r w:rsidRPr="00A23740">
              <w:rPr>
                <w:szCs w:val="24"/>
                <w:lang w:eastAsia="tr-TR"/>
              </w:rPr>
              <w:t xml:space="preserve">malların bulunduğu yer icra </w:t>
            </w:r>
            <w:r w:rsidRPr="00A23740">
              <w:rPr>
                <w:rStyle w:val="MaviChar"/>
              </w:rPr>
              <w:t xml:space="preserve">ve iflas </w:t>
            </w:r>
            <w:r w:rsidRPr="00A23740">
              <w:rPr>
                <w:szCs w:val="24"/>
                <w:lang w:eastAsia="tr-TR"/>
              </w:rPr>
              <w:t xml:space="preserve">dairesine </w:t>
            </w:r>
            <w:r w:rsidRPr="00A23740">
              <w:rPr>
                <w:b/>
                <w:bCs/>
                <w:color w:val="0000FF"/>
                <w:szCs w:val="24"/>
                <w:lang w:val="x-none" w:eastAsia="x-none"/>
              </w:rPr>
              <w:t>bildirilir</w:t>
            </w:r>
            <w:r w:rsidRPr="00A23740">
              <w:rPr>
                <w:szCs w:val="24"/>
                <w:lang w:eastAsia="tr-TR"/>
              </w:rPr>
              <w:t>.</w:t>
            </w:r>
          </w:p>
          <w:p w:rsidR="00AA5C8C" w:rsidRPr="00A23740" w:rsidRDefault="00AA5C8C" w:rsidP="009431FF">
            <w:pPr>
              <w:tabs>
                <w:tab w:val="left" w:pos="567"/>
              </w:tabs>
              <w:rPr>
                <w:rFonts w:eastAsia="Times New Roman"/>
                <w:b/>
                <w:bCs/>
                <w:strike/>
                <w:color w:val="FF0000"/>
                <w:szCs w:val="24"/>
                <w:lang w:val="x-none" w:eastAsia="tr-TR"/>
              </w:rPr>
            </w:pPr>
          </w:p>
          <w:p w:rsidR="00AA5C8C" w:rsidRPr="00A23740" w:rsidRDefault="00AA5C8C" w:rsidP="009431FF">
            <w:pPr>
              <w:shd w:val="clear" w:color="auto" w:fill="FDFDFD"/>
              <w:rPr>
                <w:rFonts w:eastAsia="Times New Roman"/>
                <w:b/>
                <w:bCs/>
                <w:color w:val="0000FF"/>
                <w:szCs w:val="24"/>
                <w:lang w:eastAsia="tr-TR"/>
              </w:rPr>
            </w:pPr>
            <w:r w:rsidRPr="00A23740">
              <w:rPr>
                <w:rFonts w:eastAsia="Times New Roman"/>
                <w:b/>
                <w:bCs/>
                <w:color w:val="0000FF"/>
                <w:szCs w:val="24"/>
                <w:lang w:val="x-none" w:eastAsia="x-none"/>
              </w:rPr>
              <w:t xml:space="preserve">(4) </w:t>
            </w:r>
            <w:r w:rsidRPr="00A23740">
              <w:rPr>
                <w:rFonts w:eastAsia="Times New Roman"/>
                <w:b/>
                <w:bCs/>
                <w:color w:val="0000FF"/>
                <w:szCs w:val="24"/>
                <w:lang w:val="x-none" w:eastAsia="tr-TR"/>
              </w:rPr>
              <w:t>Borçlunun konutunda haciz yapılması ancak bütün diğer mal, hak ve alacaklarının haczi sonucunda alacağın tam olarak karşılanmaması h</w:t>
            </w:r>
            <w:r w:rsidR="00E54A6B" w:rsidRPr="00A23740">
              <w:rPr>
                <w:rFonts w:eastAsia="Times New Roman"/>
                <w:b/>
                <w:bCs/>
                <w:color w:val="0000FF"/>
                <w:szCs w:val="24"/>
                <w:lang w:eastAsia="tr-TR"/>
              </w:rPr>
              <w:t>â</w:t>
            </w:r>
            <w:r w:rsidRPr="00A23740">
              <w:rPr>
                <w:rFonts w:eastAsia="Times New Roman"/>
                <w:b/>
                <w:bCs/>
                <w:color w:val="0000FF"/>
                <w:szCs w:val="24"/>
                <w:lang w:val="x-none" w:eastAsia="tr-TR"/>
              </w:rPr>
              <w:t xml:space="preserve">linde ve </w:t>
            </w:r>
            <w:r w:rsidRPr="00A23740">
              <w:rPr>
                <w:b/>
                <w:color w:val="0000FF"/>
                <w:szCs w:val="24"/>
                <w:lang w:eastAsia="tr-TR"/>
              </w:rPr>
              <w:t>82 nci</w:t>
            </w:r>
            <w:r w:rsidR="00914F83" w:rsidRPr="00A23740">
              <w:rPr>
                <w:rFonts w:eastAsia="Times New Roman"/>
                <w:b/>
                <w:bCs/>
                <w:color w:val="0000FF"/>
                <w:szCs w:val="24"/>
                <w:lang w:eastAsia="tr-TR"/>
              </w:rPr>
              <w:t xml:space="preserve"> </w:t>
            </w:r>
            <w:r w:rsidRPr="00A23740">
              <w:rPr>
                <w:rFonts w:eastAsia="Times New Roman"/>
                <w:b/>
                <w:bCs/>
                <w:color w:val="0000FF"/>
                <w:szCs w:val="24"/>
                <w:lang w:val="x-none" w:eastAsia="tr-TR"/>
              </w:rPr>
              <w:t xml:space="preserve">maddeki sınırlama dahilinde mümkündür. Ancak borçlunun </w:t>
            </w:r>
            <w:r w:rsidR="00D76C41" w:rsidRPr="00A23740">
              <w:rPr>
                <w:rFonts w:eastAsia="Times New Roman"/>
                <w:b/>
                <w:bCs/>
                <w:color w:val="0000FF"/>
                <w:szCs w:val="24"/>
                <w:lang w:eastAsia="tr-TR"/>
              </w:rPr>
              <w:t xml:space="preserve">konutunda </w:t>
            </w:r>
            <w:r w:rsidRPr="00A23740">
              <w:rPr>
                <w:rFonts w:eastAsia="Times New Roman"/>
                <w:b/>
                <w:bCs/>
                <w:color w:val="0000FF"/>
                <w:szCs w:val="24"/>
                <w:lang w:val="x-none" w:eastAsia="tr-TR"/>
              </w:rPr>
              <w:t>haczi kabil mal olduğu alacaklı tarafından yaklaşık olarak ispatlanırsa</w:t>
            </w:r>
            <w:r w:rsidR="00367CB5" w:rsidRPr="00DC7A0B">
              <w:rPr>
                <w:rStyle w:val="YELChar"/>
                <w:color w:val="0000FF"/>
              </w:rPr>
              <w:t>,</w:t>
            </w:r>
            <w:r w:rsidRPr="00A23740">
              <w:rPr>
                <w:rFonts w:eastAsia="Times New Roman"/>
                <w:b/>
                <w:bCs/>
                <w:color w:val="0000FF"/>
                <w:szCs w:val="24"/>
                <w:lang w:val="x-none" w:eastAsia="tr-TR"/>
              </w:rPr>
              <w:t xml:space="preserve"> doğrudan</w:t>
            </w:r>
            <w:r w:rsidR="00367CB5" w:rsidRPr="00363170">
              <w:rPr>
                <w:rFonts w:eastAsia="Times New Roman"/>
                <w:b/>
                <w:bCs/>
                <w:color w:val="0000FF"/>
                <w:szCs w:val="24"/>
                <w:lang w:val="x-none" w:eastAsia="tr-TR"/>
              </w:rPr>
              <w:t xml:space="preserve"> doğruya</w:t>
            </w:r>
            <w:r w:rsidRPr="00A23740">
              <w:rPr>
                <w:rFonts w:eastAsia="Times New Roman"/>
                <w:b/>
                <w:bCs/>
                <w:color w:val="0000FF"/>
                <w:szCs w:val="24"/>
                <w:lang w:val="x-none" w:eastAsia="tr-TR"/>
              </w:rPr>
              <w:t xml:space="preserve"> konutta haciz yapılabilir. </w:t>
            </w:r>
            <w:r w:rsidRPr="00A23740">
              <w:rPr>
                <w:rFonts w:eastAsia="Times New Roman"/>
                <w:b/>
                <w:bCs/>
                <w:color w:val="0000FF"/>
                <w:szCs w:val="24"/>
                <w:lang w:eastAsia="tr-TR"/>
              </w:rPr>
              <w:t xml:space="preserve">Her </w:t>
            </w:r>
            <w:r w:rsidRPr="00A23740">
              <w:rPr>
                <w:rStyle w:val="MaviChar"/>
              </w:rPr>
              <w:t>iki</w:t>
            </w:r>
            <w:r w:rsidR="007B5A7F" w:rsidRPr="00A23740">
              <w:rPr>
                <w:rStyle w:val="MaviChar"/>
              </w:rPr>
              <w:t xml:space="preserve"> </w:t>
            </w:r>
            <w:r w:rsidR="007B5A7F" w:rsidRPr="00363170">
              <w:rPr>
                <w:rFonts w:eastAsia="Times New Roman"/>
                <w:b/>
                <w:color w:val="0000FF"/>
                <w:lang w:eastAsia="tr-TR"/>
              </w:rPr>
              <w:t>durumda da</w:t>
            </w:r>
            <w:r w:rsidRPr="00A23740">
              <w:rPr>
                <w:rStyle w:val="MaviChar"/>
                <w:color w:val="385623"/>
              </w:rPr>
              <w:t xml:space="preserve"> </w:t>
            </w:r>
            <w:r w:rsidRPr="00A23740">
              <w:rPr>
                <w:rStyle w:val="MaviChar"/>
              </w:rPr>
              <w:t>konutta haciz talebi icra ve iflas dairesine yapılır ve takip dosyası haciz talebi hakkında karar verilmek üzere</w:t>
            </w:r>
            <w:r w:rsidR="00D356E2" w:rsidRPr="00363170">
              <w:rPr>
                <w:rStyle w:val="MaviChar"/>
              </w:rPr>
              <w:t>,</w:t>
            </w:r>
            <w:r w:rsidRPr="00363170">
              <w:rPr>
                <w:rStyle w:val="MaviChar"/>
              </w:rPr>
              <w:t xml:space="preserve"> </w:t>
            </w:r>
            <w:r w:rsidR="00D356E2" w:rsidRPr="00363170">
              <w:rPr>
                <w:rStyle w:val="MaviChar"/>
              </w:rPr>
              <w:t xml:space="preserve">kendi görüşüyle birlikte </w:t>
            </w:r>
            <w:r w:rsidRPr="00363170">
              <w:rPr>
                <w:rStyle w:val="MaviChar"/>
              </w:rPr>
              <w:t>ic</w:t>
            </w:r>
            <w:r w:rsidRPr="00A23740">
              <w:rPr>
                <w:rStyle w:val="MaviChar"/>
              </w:rPr>
              <w:t>ra ve iflas</w:t>
            </w:r>
            <w:r w:rsidRPr="00A23740">
              <w:rPr>
                <w:rFonts w:eastAsia="Times New Roman"/>
                <w:b/>
                <w:bCs/>
                <w:color w:val="0000FF"/>
                <w:szCs w:val="24"/>
                <w:lang w:eastAsia="tr-TR"/>
              </w:rPr>
              <w:t xml:space="preserve"> dairesi tarafından derh</w:t>
            </w:r>
            <w:r w:rsidR="00DF22A1" w:rsidRPr="00A23740">
              <w:rPr>
                <w:rFonts w:eastAsia="Times New Roman"/>
                <w:b/>
                <w:bCs/>
                <w:color w:val="0000FF"/>
                <w:szCs w:val="24"/>
                <w:lang w:eastAsia="tr-TR"/>
              </w:rPr>
              <w:t>â</w:t>
            </w:r>
            <w:r w:rsidRPr="00A23740">
              <w:rPr>
                <w:rFonts w:eastAsia="Times New Roman"/>
                <w:b/>
                <w:bCs/>
                <w:color w:val="0000FF"/>
                <w:szCs w:val="24"/>
                <w:lang w:eastAsia="tr-TR"/>
              </w:rPr>
              <w:t xml:space="preserve">l icra </w:t>
            </w:r>
            <w:r w:rsidR="00367CB5" w:rsidRPr="00DC7A0B">
              <w:rPr>
                <w:rStyle w:val="YELChar"/>
                <w:color w:val="0000FF"/>
              </w:rPr>
              <w:t>hukuk</w:t>
            </w:r>
            <w:r w:rsidR="00367CB5" w:rsidRPr="00DC7A0B">
              <w:rPr>
                <w:rFonts w:eastAsia="Times New Roman"/>
                <w:b/>
                <w:bCs/>
                <w:color w:val="0000FF"/>
                <w:szCs w:val="24"/>
                <w:lang w:eastAsia="tr-TR"/>
              </w:rPr>
              <w:t xml:space="preserve"> </w:t>
            </w:r>
            <w:r w:rsidRPr="00DC7A0B">
              <w:rPr>
                <w:rFonts w:eastAsia="Times New Roman"/>
                <w:b/>
                <w:bCs/>
                <w:color w:val="0000FF"/>
                <w:szCs w:val="24"/>
                <w:lang w:eastAsia="tr-TR"/>
              </w:rPr>
              <w:t>mahkemesine tevdi edilir. İcra</w:t>
            </w:r>
            <w:r w:rsidR="006F122E" w:rsidRPr="00DC7A0B">
              <w:rPr>
                <w:rFonts w:eastAsia="Times New Roman"/>
                <w:b/>
                <w:bCs/>
                <w:color w:val="0000FF"/>
                <w:szCs w:val="24"/>
                <w:lang w:eastAsia="tr-TR"/>
              </w:rPr>
              <w:t xml:space="preserve"> </w:t>
            </w:r>
            <w:r w:rsidR="006F122E" w:rsidRPr="00DC7A0B">
              <w:rPr>
                <w:rStyle w:val="YELChar"/>
                <w:color w:val="0000FF"/>
              </w:rPr>
              <w:t>hukuk</w:t>
            </w:r>
            <w:r w:rsidR="006F122E" w:rsidRPr="00A23740">
              <w:rPr>
                <w:rFonts w:eastAsia="Times New Roman"/>
                <w:b/>
                <w:bCs/>
                <w:color w:val="0000FF"/>
                <w:szCs w:val="24"/>
                <w:lang w:eastAsia="tr-TR"/>
              </w:rPr>
              <w:t xml:space="preserve"> </w:t>
            </w:r>
            <w:r w:rsidRPr="00A23740">
              <w:rPr>
                <w:rFonts w:eastAsia="Times New Roman"/>
                <w:b/>
                <w:bCs/>
                <w:color w:val="0000FF"/>
                <w:szCs w:val="24"/>
                <w:lang w:eastAsia="tr-TR"/>
              </w:rPr>
              <w:t xml:space="preserve">mahkemesi icra dosyasının kendisine tevdi edildiği tarihten itibaren en geç üç gün </w:t>
            </w:r>
            <w:r w:rsidRPr="00DE193E">
              <w:rPr>
                <w:rFonts w:eastAsia="Times New Roman"/>
                <w:b/>
                <w:bCs/>
                <w:color w:val="0000FF"/>
                <w:szCs w:val="24"/>
                <w:lang w:eastAsia="tr-TR"/>
              </w:rPr>
              <w:t>içinde</w:t>
            </w:r>
            <w:r w:rsidR="00367CB5" w:rsidRPr="00DE193E">
              <w:rPr>
                <w:rFonts w:eastAsia="Times New Roman"/>
                <w:b/>
                <w:bCs/>
                <w:color w:val="0000FF"/>
                <w:lang w:eastAsia="tr-TR"/>
              </w:rPr>
              <w:t>,</w:t>
            </w:r>
            <w:r w:rsidRPr="00A23740">
              <w:rPr>
                <w:rFonts w:eastAsia="Times New Roman"/>
                <w:b/>
                <w:bCs/>
                <w:color w:val="0000FF"/>
                <w:szCs w:val="24"/>
                <w:lang w:eastAsia="tr-TR"/>
              </w:rPr>
              <w:t xml:space="preserve"> dosya üzerinde yapacağı inceleme sonunda</w:t>
            </w:r>
            <w:r w:rsidR="00367CB5" w:rsidRPr="00DE193E">
              <w:rPr>
                <w:rFonts w:eastAsia="Times New Roman"/>
                <w:b/>
                <w:bCs/>
                <w:color w:val="0000FF"/>
                <w:lang w:eastAsia="tr-TR"/>
              </w:rPr>
              <w:t>,</w:t>
            </w:r>
            <w:r w:rsidRPr="00DE193E">
              <w:rPr>
                <w:rFonts w:eastAsia="Times New Roman"/>
                <w:b/>
                <w:bCs/>
                <w:color w:val="0000FF"/>
                <w:szCs w:val="24"/>
                <w:lang w:eastAsia="tr-TR"/>
              </w:rPr>
              <w:t xml:space="preserve"> </w:t>
            </w:r>
            <w:r w:rsidRPr="00A23740">
              <w:rPr>
                <w:rFonts w:eastAsia="Times New Roman"/>
                <w:b/>
                <w:bCs/>
                <w:color w:val="0000FF"/>
                <w:szCs w:val="24"/>
                <w:lang w:eastAsia="tr-TR"/>
              </w:rPr>
              <w:t xml:space="preserve">icra </w:t>
            </w:r>
            <w:r w:rsidRPr="00A23740">
              <w:rPr>
                <w:rStyle w:val="MaviChar"/>
              </w:rPr>
              <w:t>ve iflas dairesinin</w:t>
            </w:r>
            <w:r w:rsidRPr="00A23740">
              <w:rPr>
                <w:rFonts w:eastAsia="Times New Roman"/>
                <w:b/>
                <w:bCs/>
                <w:color w:val="0000FF"/>
                <w:szCs w:val="24"/>
                <w:lang w:eastAsia="tr-TR"/>
              </w:rPr>
              <w:t xml:space="preserve"> haciz işlemi yapmak için borçlunun konutuna girmesine kesin olarak karar verir.</w:t>
            </w:r>
          </w:p>
          <w:p w:rsidR="00AA5C8C" w:rsidRPr="00A23740" w:rsidRDefault="00AA5C8C" w:rsidP="009431FF">
            <w:pPr>
              <w:shd w:val="clear" w:color="auto" w:fill="FDFDFD"/>
              <w:rPr>
                <w:rFonts w:eastAsia="Times New Roman"/>
                <w:color w:val="000000"/>
                <w:szCs w:val="24"/>
                <w:lang w:eastAsia="tr-TR"/>
              </w:rPr>
            </w:pPr>
            <w:r w:rsidRPr="00A23740">
              <w:rPr>
                <w:rFonts w:ascii="Calibri" w:eastAsia="Times New Roman" w:hAnsi="Calibri" w:cs="Calibri"/>
                <w:color w:val="000000"/>
                <w:sz w:val="22"/>
                <w:lang w:eastAsia="tr-TR"/>
              </w:rPr>
              <w:t> </w:t>
            </w:r>
          </w:p>
          <w:p w:rsidR="00AA5C8C" w:rsidRPr="00A23740" w:rsidRDefault="00AA5C8C" w:rsidP="009431FF">
            <w:pPr>
              <w:outlineLvl w:val="1"/>
              <w:rPr>
                <w:lang w:val="x-none" w:eastAsia="x-none"/>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731E86" w:rsidRPr="00A23740" w:rsidRDefault="002459B3" w:rsidP="009431FF">
            <w:pPr>
              <w:pStyle w:val="KIRMIZI"/>
              <w:ind w:firstLine="709"/>
            </w:pPr>
            <w:r w:rsidRPr="00A23740">
              <w:rPr>
                <w:rStyle w:val="KIRMIZIChar"/>
                <w:b/>
                <w:bCs/>
              </w:rPr>
              <w:tab/>
            </w:r>
          </w:p>
          <w:p w:rsidR="00731E86" w:rsidRPr="00DC7A0B" w:rsidRDefault="00731E86" w:rsidP="009431FF">
            <w:pPr>
              <w:tabs>
                <w:tab w:val="left" w:pos="567"/>
              </w:tabs>
              <w:ind w:firstLine="709"/>
              <w:rPr>
                <w:bCs/>
                <w:szCs w:val="24"/>
                <w:lang w:eastAsia="x-none"/>
              </w:rPr>
            </w:pPr>
            <w:r w:rsidRPr="00A23740">
              <w:rPr>
                <w:b/>
              </w:rPr>
              <w:t>MADDE 157-</w:t>
            </w:r>
            <w:r w:rsidRPr="00A23740">
              <w:t xml:space="preserve"> </w:t>
            </w:r>
            <w:r w:rsidRPr="00A23740">
              <w:rPr>
                <w:bCs/>
                <w:color w:val="000000"/>
                <w:szCs w:val="24"/>
                <w:lang w:eastAsia="x-none"/>
              </w:rPr>
              <w:t xml:space="preserve">Maddeyle haciz kararı verilmesi ve haczin uygulanma zamanı düzenlenmektedir. Hüküm, 2004 sayılı Kanunun 79 ve 79/a maddelerine karşılık </w:t>
            </w:r>
            <w:r w:rsidRPr="00DC7A0B">
              <w:rPr>
                <w:bCs/>
                <w:szCs w:val="24"/>
                <w:lang w:eastAsia="x-none"/>
              </w:rPr>
              <w:t>gelmektedir.</w:t>
            </w:r>
          </w:p>
          <w:p w:rsidR="00731E86" w:rsidRPr="00DC7A0B" w:rsidRDefault="00731E86" w:rsidP="009431FF">
            <w:pPr>
              <w:tabs>
                <w:tab w:val="left" w:pos="567"/>
              </w:tabs>
              <w:ind w:firstLine="709"/>
              <w:rPr>
                <w:bCs/>
                <w:szCs w:val="24"/>
                <w:lang w:eastAsia="x-none"/>
              </w:rPr>
            </w:pPr>
            <w:r w:rsidRPr="00A23740">
              <w:rPr>
                <w:bCs/>
                <w:szCs w:val="24"/>
                <w:lang w:eastAsia="x-none"/>
              </w:rPr>
              <w:t xml:space="preserve">Maddenin birinci fıkrasında, </w:t>
            </w:r>
            <w:r w:rsidRPr="00DC7A0B">
              <w:rPr>
                <w:bCs/>
                <w:szCs w:val="24"/>
                <w:lang w:eastAsia="x-none"/>
              </w:rPr>
              <w:t>haciz talebi üzerine, icra</w:t>
            </w:r>
            <w:r w:rsidRPr="00A23740">
              <w:rPr>
                <w:bCs/>
                <w:szCs w:val="24"/>
                <w:lang w:eastAsia="x-none"/>
              </w:rPr>
              <w:t xml:space="preserve"> </w:t>
            </w:r>
            <w:r w:rsidRPr="00DC7A0B">
              <w:rPr>
                <w:bCs/>
                <w:szCs w:val="24"/>
                <w:lang w:eastAsia="x-none"/>
              </w:rPr>
              <w:t xml:space="preserve">ve iflas dairesinin haciz şartlarının mevcut olup olmadığına </w:t>
            </w:r>
            <w:r w:rsidR="00DF22A1" w:rsidRPr="00DC7A0B">
              <w:rPr>
                <w:bCs/>
                <w:szCs w:val="24"/>
                <w:lang w:eastAsia="x-none"/>
              </w:rPr>
              <w:t xml:space="preserve">derhâl </w:t>
            </w:r>
            <w:r w:rsidR="00BC1FB3" w:rsidRPr="00DC7A0B">
              <w:rPr>
                <w:bCs/>
                <w:szCs w:val="24"/>
                <w:lang w:eastAsia="x-none"/>
              </w:rPr>
              <w:t xml:space="preserve">ve gerekçeli olarak </w:t>
            </w:r>
            <w:r w:rsidRPr="00DC7A0B">
              <w:rPr>
                <w:bCs/>
                <w:szCs w:val="24"/>
                <w:lang w:eastAsia="x-none"/>
              </w:rPr>
              <w:t>karar vereceği düzenlenmiştir. Kararın bir</w:t>
            </w:r>
            <w:r w:rsidRPr="00A23740">
              <w:rPr>
                <w:bCs/>
                <w:szCs w:val="24"/>
                <w:lang w:eastAsia="x-none"/>
              </w:rPr>
              <w:t xml:space="preserve"> </w:t>
            </w:r>
            <w:r w:rsidRPr="00DC7A0B">
              <w:rPr>
                <w:bCs/>
                <w:szCs w:val="24"/>
                <w:lang w:eastAsia="x-none"/>
              </w:rPr>
              <w:t>örneği</w:t>
            </w:r>
            <w:r w:rsidRPr="00A23740">
              <w:rPr>
                <w:bCs/>
                <w:szCs w:val="24"/>
                <w:lang w:eastAsia="x-none"/>
              </w:rPr>
              <w:t xml:space="preserve"> </w:t>
            </w:r>
            <w:r w:rsidRPr="00DC7A0B">
              <w:rPr>
                <w:bCs/>
                <w:szCs w:val="24"/>
                <w:lang w:eastAsia="x-none"/>
              </w:rPr>
              <w:t xml:space="preserve">talebi hâlinde alacaklıya </w:t>
            </w:r>
            <w:r w:rsidRPr="00A23740">
              <w:rPr>
                <w:bCs/>
                <w:szCs w:val="24"/>
                <w:lang w:eastAsia="x-none"/>
              </w:rPr>
              <w:t xml:space="preserve">verilecek olup, </w:t>
            </w:r>
            <w:r w:rsidRPr="00DC7A0B">
              <w:rPr>
                <w:bCs/>
                <w:szCs w:val="24"/>
                <w:lang w:eastAsia="x-none"/>
              </w:rPr>
              <w:t>bu karar</w:t>
            </w:r>
            <w:r w:rsidRPr="00A23740">
              <w:rPr>
                <w:bCs/>
                <w:szCs w:val="24"/>
                <w:lang w:eastAsia="x-none"/>
              </w:rPr>
              <w:t xml:space="preserve"> </w:t>
            </w:r>
            <w:r w:rsidRPr="00DC7A0B">
              <w:rPr>
                <w:bCs/>
                <w:szCs w:val="24"/>
                <w:lang w:eastAsia="x-none"/>
              </w:rPr>
              <w:t>örneği</w:t>
            </w:r>
            <w:r w:rsidRPr="00A23740">
              <w:rPr>
                <w:bCs/>
                <w:szCs w:val="24"/>
                <w:lang w:eastAsia="x-none"/>
              </w:rPr>
              <w:t xml:space="preserve"> </w:t>
            </w:r>
            <w:r w:rsidRPr="00DC7A0B">
              <w:rPr>
                <w:bCs/>
                <w:szCs w:val="24"/>
                <w:lang w:eastAsia="x-none"/>
              </w:rPr>
              <w:t xml:space="preserve">hiçbir </w:t>
            </w:r>
            <w:r w:rsidRPr="00A23740">
              <w:rPr>
                <w:bCs/>
                <w:szCs w:val="24"/>
                <w:lang w:eastAsia="x-none"/>
              </w:rPr>
              <w:t>gider</w:t>
            </w:r>
            <w:r w:rsidRPr="00DC7A0B">
              <w:rPr>
                <w:bCs/>
                <w:szCs w:val="24"/>
                <w:lang w:eastAsia="x-none"/>
              </w:rPr>
              <w:t xml:space="preserve"> ve harca tabi değildir.</w:t>
            </w:r>
          </w:p>
          <w:p w:rsidR="00731E86" w:rsidRPr="00A23740" w:rsidRDefault="00731E86" w:rsidP="009431FF">
            <w:pPr>
              <w:tabs>
                <w:tab w:val="left" w:pos="567"/>
              </w:tabs>
              <w:ind w:firstLine="709"/>
              <w:rPr>
                <w:szCs w:val="24"/>
                <w:lang w:val="x-none" w:eastAsia="x-none"/>
              </w:rPr>
            </w:pPr>
            <w:r w:rsidRPr="00DC7A0B">
              <w:rPr>
                <w:bCs/>
                <w:szCs w:val="24"/>
                <w:lang w:eastAsia="x-none"/>
              </w:rPr>
              <w:t xml:space="preserve">Maddenin ikinci fıkrası uyarınca, haciz kararı üzerine, icra ve iflas dairesi, </w:t>
            </w:r>
            <w:r w:rsidR="00D76C41" w:rsidRPr="00DC7A0B">
              <w:rPr>
                <w:szCs w:val="24"/>
                <w:lang w:eastAsia="x-none"/>
              </w:rPr>
              <w:t>haciz kararı</w:t>
            </w:r>
            <w:r w:rsidR="00D76C41" w:rsidRPr="00A23740">
              <w:rPr>
                <w:bCs/>
                <w:szCs w:val="24"/>
                <w:lang w:eastAsia="x-none"/>
              </w:rPr>
              <w:t xml:space="preserve"> </w:t>
            </w:r>
            <w:r w:rsidRPr="00A23740">
              <w:rPr>
                <w:szCs w:val="24"/>
                <w:lang w:val="x-none" w:eastAsia="x-none"/>
              </w:rPr>
              <w:t xml:space="preserve">tarihinden itibaren en geç üç gün içinde haciz işlemlerine başlayacaktır. Konutta haczin düzenlendiği dördüncü fıkra hükmü saklıdır. </w:t>
            </w:r>
          </w:p>
          <w:p w:rsidR="00731E86" w:rsidRPr="00A23740" w:rsidRDefault="00731E86" w:rsidP="009431FF">
            <w:pPr>
              <w:tabs>
                <w:tab w:val="left" w:pos="567"/>
              </w:tabs>
              <w:ind w:firstLine="709"/>
              <w:rPr>
                <w:szCs w:val="24"/>
                <w:lang w:val="x-none" w:eastAsia="x-none"/>
              </w:rPr>
            </w:pPr>
            <w:r w:rsidRPr="00A23740">
              <w:rPr>
                <w:szCs w:val="24"/>
                <w:lang w:val="x-none" w:eastAsia="x-none"/>
              </w:rPr>
              <w:t xml:space="preserve">Maddenin üçüncü fıkrasında, </w:t>
            </w:r>
            <w:r w:rsidRPr="00A23740">
              <w:rPr>
                <w:szCs w:val="24"/>
                <w:lang w:eastAsia="tr-TR"/>
              </w:rPr>
              <w:t xml:space="preserve">haczolunacak malların başka yerde bulunması durumunda haciz </w:t>
            </w:r>
            <w:r w:rsidRPr="00A23740">
              <w:rPr>
                <w:szCs w:val="24"/>
                <w:lang w:val="x-none" w:eastAsia="x-none"/>
              </w:rPr>
              <w:t>kararı</w:t>
            </w:r>
            <w:r w:rsidRPr="00A23740">
              <w:rPr>
                <w:szCs w:val="24"/>
                <w:lang w:eastAsia="x-none"/>
              </w:rPr>
              <w:t xml:space="preserve">nın, </w:t>
            </w:r>
            <w:r w:rsidRPr="00A23740">
              <w:rPr>
                <w:szCs w:val="24"/>
                <w:lang w:eastAsia="tr-TR"/>
              </w:rPr>
              <w:t xml:space="preserve">malların bulunduğu yer icra </w:t>
            </w:r>
            <w:r w:rsidRPr="00A23740">
              <w:rPr>
                <w:szCs w:val="24"/>
                <w:lang w:val="x-none" w:eastAsia="x-none"/>
              </w:rPr>
              <w:t xml:space="preserve">ve iflas </w:t>
            </w:r>
            <w:r w:rsidRPr="00A23740">
              <w:rPr>
                <w:szCs w:val="24"/>
                <w:lang w:eastAsia="tr-TR"/>
              </w:rPr>
              <w:t xml:space="preserve">dairesine </w:t>
            </w:r>
            <w:r w:rsidRPr="00A23740">
              <w:rPr>
                <w:szCs w:val="24"/>
                <w:lang w:val="x-none" w:eastAsia="x-none"/>
              </w:rPr>
              <w:t xml:space="preserve">bildirileceği düzenlenmiştir. </w:t>
            </w:r>
          </w:p>
          <w:p w:rsidR="00BC1FB3" w:rsidRPr="00A23740" w:rsidRDefault="00731E86" w:rsidP="009431FF">
            <w:pPr>
              <w:tabs>
                <w:tab w:val="left" w:pos="567"/>
              </w:tabs>
              <w:ind w:firstLine="709"/>
              <w:rPr>
                <w:b/>
                <w:bCs/>
                <w:color w:val="0000FF"/>
                <w:szCs w:val="24"/>
                <w:lang w:eastAsia="x-none"/>
              </w:rPr>
            </w:pPr>
            <w:r w:rsidRPr="00A23740">
              <w:rPr>
                <w:szCs w:val="24"/>
                <w:lang w:val="x-none" w:eastAsia="x-none"/>
              </w:rPr>
              <w:t xml:space="preserve">Maddenin dördüncü fıkrasında, borçlunun konutunda haciz yapılmasına ilişkin esaslar belirlenmiştir. Bu hüküm, 28.03.2023 tarih ve </w:t>
            </w:r>
            <w:r w:rsidR="00D76C41" w:rsidRPr="00A23740">
              <w:rPr>
                <w:szCs w:val="24"/>
                <w:lang w:val="x-none" w:eastAsia="x-none"/>
              </w:rPr>
              <w:t>7445 sayılı Kanunun 1 inci maddesiyle 2004 s</w:t>
            </w:r>
            <w:r w:rsidRPr="00A23740">
              <w:rPr>
                <w:szCs w:val="24"/>
                <w:lang w:val="x-none" w:eastAsia="x-none"/>
              </w:rPr>
              <w:t>ayılı Kanuna ilave edilen 79/a maddesine karşılık gelmektedir. Bununla birlikte, alacaklı ile borçlunun menfaatleri müştereken göz</w:t>
            </w:r>
            <w:r w:rsidR="00D76C41" w:rsidRPr="00A23740">
              <w:rPr>
                <w:szCs w:val="24"/>
                <w:lang w:val="x-none" w:eastAsia="x-none"/>
              </w:rPr>
              <w:t xml:space="preserve"> önüne alınmak suretiyle, 2004 s</w:t>
            </w:r>
            <w:r w:rsidRPr="00A23740">
              <w:rPr>
                <w:szCs w:val="24"/>
                <w:lang w:val="x-none" w:eastAsia="x-none"/>
              </w:rPr>
              <w:t xml:space="preserve">ayılı Kanuna ilave edilen 79/a maddesinde bazı değişiklikler yapılmıştır. Buna göre, </w:t>
            </w:r>
            <w:r w:rsidRPr="00A23740">
              <w:rPr>
                <w:rFonts w:eastAsia="Times New Roman"/>
                <w:szCs w:val="24"/>
                <w:lang w:val="x-none" w:eastAsia="tr-TR"/>
              </w:rPr>
              <w:t>borçlunun konutunda haciz yapılması, ancak bütün diğer mal, hak ve alacaklarının haczi sonucunda alacağın tam olarak karşılanmaması h</w:t>
            </w:r>
            <w:r w:rsidR="00E54A6B" w:rsidRPr="00A23740">
              <w:rPr>
                <w:rFonts w:eastAsia="Times New Roman"/>
                <w:szCs w:val="24"/>
                <w:lang w:eastAsia="tr-TR"/>
              </w:rPr>
              <w:t>â</w:t>
            </w:r>
            <w:r w:rsidRPr="00A23740">
              <w:rPr>
                <w:rFonts w:eastAsia="Times New Roman"/>
                <w:szCs w:val="24"/>
                <w:lang w:val="x-none" w:eastAsia="tr-TR"/>
              </w:rPr>
              <w:t xml:space="preserve">linde ve </w:t>
            </w:r>
            <w:r w:rsidR="00914F83" w:rsidRPr="00A23740">
              <w:rPr>
                <w:lang w:eastAsia="tr-TR"/>
              </w:rPr>
              <w:t>82 nci</w:t>
            </w:r>
            <w:r w:rsidR="00914F83" w:rsidRPr="00A23740">
              <w:rPr>
                <w:rFonts w:eastAsia="Times New Roman"/>
                <w:b/>
                <w:bCs/>
                <w:color w:val="0000FF"/>
                <w:szCs w:val="24"/>
                <w:lang w:eastAsia="tr-TR"/>
              </w:rPr>
              <w:t xml:space="preserve"> </w:t>
            </w:r>
            <w:r w:rsidRPr="00A23740">
              <w:rPr>
                <w:rFonts w:eastAsia="Times New Roman"/>
                <w:szCs w:val="24"/>
                <w:lang w:val="x-none" w:eastAsia="tr-TR"/>
              </w:rPr>
              <w:t>maddeki sınırlama dahilinde mümkün olabilecektir. Ancak alacaklı, borçlunun konutunda haczedilebilir mal olduğunu yaklaşık olarak ispat ederse</w:t>
            </w:r>
            <w:r w:rsidRPr="00A23740">
              <w:rPr>
                <w:rFonts w:eastAsia="ヒラギノ明朝 Pro W3"/>
                <w:szCs w:val="24"/>
              </w:rPr>
              <w:t>,</w:t>
            </w:r>
            <w:r w:rsidRPr="00A23740">
              <w:rPr>
                <w:rFonts w:eastAsia="Times New Roman"/>
                <w:szCs w:val="24"/>
                <w:lang w:val="x-none" w:eastAsia="tr-TR"/>
              </w:rPr>
              <w:t xml:space="preserve"> doğrudan</w:t>
            </w:r>
            <w:r w:rsidRPr="00A23740">
              <w:rPr>
                <w:rFonts w:eastAsia="Times New Roman"/>
                <w:szCs w:val="24"/>
                <w:lang w:eastAsia="tr-TR"/>
              </w:rPr>
              <w:t xml:space="preserve"> </w:t>
            </w:r>
            <w:r w:rsidRPr="00A23740">
              <w:rPr>
                <w:rFonts w:eastAsia="ヒラギノ明朝 Pro W3"/>
                <w:szCs w:val="24"/>
              </w:rPr>
              <w:t>doğruya</w:t>
            </w:r>
            <w:r w:rsidRPr="00A23740">
              <w:rPr>
                <w:rFonts w:eastAsia="Times New Roman"/>
                <w:szCs w:val="24"/>
                <w:lang w:val="x-none" w:eastAsia="tr-TR"/>
              </w:rPr>
              <w:t xml:space="preserve"> </w:t>
            </w:r>
            <w:r w:rsidR="00D76C41" w:rsidRPr="00A23740">
              <w:rPr>
                <w:rFonts w:eastAsia="Times New Roman"/>
                <w:szCs w:val="24"/>
                <w:lang w:val="x-none" w:eastAsia="tr-TR"/>
              </w:rPr>
              <w:t>konutta haciz yapılabilecektir.</w:t>
            </w:r>
            <w:r w:rsidRPr="00A23740">
              <w:rPr>
                <w:rFonts w:eastAsia="Times New Roman"/>
                <w:szCs w:val="24"/>
                <w:lang w:eastAsia="tr-TR"/>
              </w:rPr>
              <w:t xml:space="preserve"> </w:t>
            </w:r>
            <w:r w:rsidRPr="00A23740">
              <w:rPr>
                <w:szCs w:val="24"/>
                <w:lang w:val="x-none" w:eastAsia="x-none"/>
              </w:rPr>
              <w:t xml:space="preserve">İki </w:t>
            </w:r>
            <w:r w:rsidR="00BC1FB3" w:rsidRPr="00DC7A0B">
              <w:rPr>
                <w:bCs/>
                <w:lang w:eastAsia="x-none"/>
              </w:rPr>
              <w:t>durumda da</w:t>
            </w:r>
            <w:r w:rsidR="00BC1FB3" w:rsidRPr="00A23740">
              <w:rPr>
                <w:szCs w:val="24"/>
                <w:lang w:eastAsia="x-none"/>
              </w:rPr>
              <w:t xml:space="preserve"> </w:t>
            </w:r>
            <w:r w:rsidRPr="00A23740">
              <w:rPr>
                <w:szCs w:val="24"/>
                <w:lang w:val="x-none" w:eastAsia="x-none"/>
              </w:rPr>
              <w:t>konutta haciz talebi icra ve iflas dairesine yapılacak olup; takip dosyası haciz talebi hakkında karar verilmek üzere</w:t>
            </w:r>
            <w:r w:rsidR="00BC1FB3" w:rsidRPr="00DC7A0B">
              <w:rPr>
                <w:b/>
                <w:lang w:val="x-none" w:eastAsia="x-none"/>
              </w:rPr>
              <w:t>,</w:t>
            </w:r>
            <w:r w:rsidRPr="00DC7A0B">
              <w:rPr>
                <w:b/>
                <w:lang w:val="x-none" w:eastAsia="x-none"/>
              </w:rPr>
              <w:t xml:space="preserve"> </w:t>
            </w:r>
            <w:r w:rsidR="00BC1FB3" w:rsidRPr="00DC7A0B">
              <w:rPr>
                <w:lang w:val="x-none" w:eastAsia="x-none"/>
              </w:rPr>
              <w:t>kendi görüşüyle birlikte</w:t>
            </w:r>
            <w:r w:rsidR="00BC1FB3" w:rsidRPr="00DC7A0B">
              <w:rPr>
                <w:szCs w:val="24"/>
                <w:lang w:val="x-none" w:eastAsia="x-none"/>
              </w:rPr>
              <w:t xml:space="preserve"> </w:t>
            </w:r>
            <w:r w:rsidRPr="00A23740">
              <w:rPr>
                <w:szCs w:val="24"/>
                <w:lang w:val="x-none" w:eastAsia="x-none"/>
              </w:rPr>
              <w:t>icra ve iflas</w:t>
            </w:r>
            <w:r w:rsidRPr="00A23740">
              <w:rPr>
                <w:rFonts w:eastAsia="Times New Roman"/>
                <w:szCs w:val="24"/>
                <w:lang w:eastAsia="tr-TR"/>
              </w:rPr>
              <w:t xml:space="preserve"> dairesi tarafından </w:t>
            </w:r>
            <w:r w:rsidR="00DF22A1" w:rsidRPr="00A23740">
              <w:rPr>
                <w:szCs w:val="24"/>
              </w:rPr>
              <w:t xml:space="preserve">derhâl </w:t>
            </w:r>
            <w:r w:rsidRPr="00A23740">
              <w:rPr>
                <w:rFonts w:eastAsia="Times New Roman"/>
                <w:szCs w:val="24"/>
                <w:lang w:eastAsia="tr-TR"/>
              </w:rPr>
              <w:t xml:space="preserve">icra </w:t>
            </w:r>
            <w:r w:rsidRPr="00A23740">
              <w:rPr>
                <w:rFonts w:eastAsia="ヒラギノ明朝 Pro W3"/>
                <w:szCs w:val="24"/>
              </w:rPr>
              <w:t>hukuk</w:t>
            </w:r>
            <w:r w:rsidRPr="00A23740">
              <w:rPr>
                <w:rFonts w:eastAsia="Times New Roman"/>
                <w:szCs w:val="24"/>
                <w:lang w:eastAsia="tr-TR"/>
              </w:rPr>
              <w:t xml:space="preserve"> mahkemesine tevdi edilecektir. İcra </w:t>
            </w:r>
            <w:r w:rsidRPr="00A23740">
              <w:rPr>
                <w:rFonts w:eastAsia="ヒラギノ明朝 Pro W3"/>
                <w:szCs w:val="24"/>
              </w:rPr>
              <w:t>hukuk</w:t>
            </w:r>
            <w:r w:rsidRPr="00A23740">
              <w:rPr>
                <w:rFonts w:eastAsia="Times New Roman"/>
                <w:szCs w:val="24"/>
                <w:lang w:eastAsia="tr-TR"/>
              </w:rPr>
              <w:t xml:space="preserve"> mahkemesi icra dosyasının kendisine tevdi edildiği tarihten itibaren en geç üç gün içinde</w:t>
            </w:r>
            <w:r w:rsidRPr="00A23740">
              <w:rPr>
                <w:rFonts w:eastAsia="ヒラギノ明朝 Pro W3"/>
                <w:szCs w:val="24"/>
              </w:rPr>
              <w:t>,</w:t>
            </w:r>
            <w:r w:rsidRPr="00A23740">
              <w:rPr>
                <w:rFonts w:eastAsia="Times New Roman"/>
                <w:szCs w:val="24"/>
                <w:lang w:eastAsia="tr-TR"/>
              </w:rPr>
              <w:t xml:space="preserve"> dosya üzerinde yapacağı inceleme sonunda</w:t>
            </w:r>
            <w:r w:rsidRPr="00A23740">
              <w:rPr>
                <w:rFonts w:eastAsia="ヒラギノ明朝 Pro W3"/>
                <w:szCs w:val="24"/>
              </w:rPr>
              <w:t>,</w:t>
            </w:r>
            <w:r w:rsidRPr="00A23740">
              <w:rPr>
                <w:rFonts w:eastAsia="Times New Roman"/>
                <w:szCs w:val="24"/>
                <w:lang w:eastAsia="tr-TR"/>
              </w:rPr>
              <w:t xml:space="preserve"> icra </w:t>
            </w:r>
            <w:r w:rsidRPr="00A23740">
              <w:rPr>
                <w:szCs w:val="24"/>
                <w:lang w:val="x-none" w:eastAsia="x-none"/>
              </w:rPr>
              <w:t>ve iflas dairesinin</w:t>
            </w:r>
            <w:r w:rsidRPr="00A23740">
              <w:rPr>
                <w:rFonts w:eastAsia="Times New Roman"/>
                <w:szCs w:val="24"/>
                <w:lang w:eastAsia="tr-TR"/>
              </w:rPr>
              <w:t xml:space="preserve"> haciz işlemi yapmak için borçlunun konutuna girmesine kesin olarak karar verecektir.</w:t>
            </w:r>
          </w:p>
          <w:p w:rsidR="002646F4" w:rsidRPr="00A23740" w:rsidRDefault="002646F4" w:rsidP="00DE193E">
            <w:pPr>
              <w:tabs>
                <w:tab w:val="left" w:pos="567"/>
              </w:tabs>
              <w:ind w:firstLine="709"/>
              <w:rPr>
                <w:b/>
                <w:bCs/>
                <w:color w:val="0000FF"/>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Taşınır ve taşınmaz malların haczi :</w:t>
            </w:r>
          </w:p>
          <w:p w:rsidR="00AA5C8C" w:rsidRPr="00A23740" w:rsidRDefault="00AA5C8C" w:rsidP="009431FF">
            <w:pPr>
              <w:tabs>
                <w:tab w:val="left" w:pos="567"/>
              </w:tabs>
              <w:rPr>
                <w:rFonts w:eastAsia="Times New Roman"/>
                <w:b/>
                <w:szCs w:val="24"/>
                <w:lang w:eastAsia="tr-TR"/>
              </w:rPr>
            </w:pPr>
            <w:r w:rsidRPr="00A23740">
              <w:rPr>
                <w:b/>
                <w:bCs/>
                <w:strike/>
                <w:color w:val="FF0000"/>
                <w:szCs w:val="24"/>
              </w:rPr>
              <w:t>Madde 85 – (Değişik</w:t>
            </w:r>
            <w:r w:rsidRPr="00A23740">
              <w:rPr>
                <w:rFonts w:eastAsia="Times New Roman"/>
                <w:b/>
                <w:strike/>
                <w:color w:val="FF0000"/>
                <w:szCs w:val="24"/>
                <w:lang w:eastAsia="tr-TR"/>
              </w:rPr>
              <w:t>: 3/7/1940 - 3890/1 md.)</w:t>
            </w:r>
          </w:p>
          <w:p w:rsidR="00AA5C8C" w:rsidRPr="00A23740" w:rsidRDefault="00AA5C8C" w:rsidP="009431FF">
            <w:pPr>
              <w:tabs>
                <w:tab w:val="left" w:pos="567"/>
              </w:tabs>
              <w:rPr>
                <w:rFonts w:eastAsia="Times New Roman"/>
                <w:b/>
                <w:strike/>
                <w:color w:val="FF0000"/>
                <w:szCs w:val="24"/>
                <w:lang w:eastAsia="tr-TR"/>
              </w:rPr>
            </w:pPr>
            <w:r w:rsidRPr="00A23740">
              <w:rPr>
                <w:b/>
                <w:bCs/>
                <w:strike/>
                <w:color w:val="FF0000"/>
                <w:szCs w:val="24"/>
              </w:rPr>
              <w:t>(6)</w:t>
            </w:r>
            <w:r w:rsidRPr="00A23740">
              <w:rPr>
                <w:rFonts w:eastAsia="Times New Roman"/>
                <w:szCs w:val="24"/>
                <w:lang w:eastAsia="tr-TR"/>
              </w:rPr>
              <w:t xml:space="preserve"> Haczi koyan </w:t>
            </w:r>
            <w:r w:rsidRPr="00A23740">
              <w:rPr>
                <w:b/>
                <w:bCs/>
                <w:strike/>
                <w:color w:val="FF0000"/>
                <w:szCs w:val="24"/>
              </w:rPr>
              <w:t>memur</w:t>
            </w:r>
            <w:r w:rsidRPr="00A23740">
              <w:rPr>
                <w:rFonts w:eastAsia="Times New Roman"/>
                <w:szCs w:val="24"/>
                <w:lang w:eastAsia="tr-TR"/>
              </w:rPr>
              <w:t xml:space="preserve"> borçlu </w:t>
            </w:r>
            <w:r w:rsidRPr="00A23740">
              <w:rPr>
                <w:b/>
                <w:bCs/>
                <w:strike/>
                <w:color w:val="FF0000"/>
                <w:szCs w:val="24"/>
              </w:rPr>
              <w:t>ile</w:t>
            </w:r>
            <w:r w:rsidRPr="00A23740">
              <w:rPr>
                <w:rFonts w:eastAsia="Times New Roman"/>
                <w:szCs w:val="24"/>
                <w:lang w:eastAsia="tr-TR"/>
              </w:rPr>
              <w:t xml:space="preserve"> alacaklı</w:t>
            </w:r>
            <w:r w:rsidRPr="00A23740">
              <w:rPr>
                <w:b/>
                <w:bCs/>
                <w:strike/>
                <w:color w:val="FF0000"/>
                <w:szCs w:val="24"/>
              </w:rPr>
              <w:t>nın</w:t>
            </w:r>
            <w:r w:rsidRPr="00A23740">
              <w:rPr>
                <w:rFonts w:eastAsia="Times New Roman"/>
                <w:szCs w:val="24"/>
                <w:lang w:eastAsia="tr-TR"/>
              </w:rPr>
              <w:t xml:space="preserve"> menfaatlerini </w:t>
            </w:r>
            <w:r w:rsidRPr="00A23740">
              <w:rPr>
                <w:b/>
                <w:bCs/>
                <w:strike/>
                <w:color w:val="FF0000"/>
                <w:szCs w:val="24"/>
              </w:rPr>
              <w:t>mümkün</w:t>
            </w:r>
            <w:r w:rsidRPr="00A23740">
              <w:rPr>
                <w:rFonts w:eastAsia="Times New Roman"/>
                <w:szCs w:val="24"/>
                <w:lang w:eastAsia="tr-TR"/>
              </w:rPr>
              <w:t xml:space="preserve"> </w:t>
            </w:r>
            <w:r w:rsidRPr="00A23740">
              <w:rPr>
                <w:b/>
                <w:bCs/>
                <w:strike/>
                <w:color w:val="FF0000"/>
                <w:szCs w:val="24"/>
              </w:rPr>
              <w:t>olduğu kadar telif</w:t>
            </w:r>
            <w:r w:rsidRPr="00A23740">
              <w:rPr>
                <w:rFonts w:eastAsia="Times New Roman"/>
                <w:b/>
                <w:strike/>
                <w:color w:val="FF0000"/>
                <w:szCs w:val="24"/>
                <w:lang w:eastAsia="tr-TR"/>
              </w:rPr>
              <w:t xml:space="preserve"> etmekle mükelleftir.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eastAsia="x-none"/>
              </w:rPr>
              <w:t xml:space="preserve">(1) </w:t>
            </w:r>
            <w:r w:rsidRPr="00A23740">
              <w:rPr>
                <w:rFonts w:eastAsia="Times New Roman"/>
                <w:b/>
                <w:bCs/>
                <w:strike/>
                <w:color w:val="FF0000"/>
                <w:szCs w:val="24"/>
                <w:lang w:val="x-none" w:eastAsia="x-none"/>
              </w:rPr>
              <w:t>Borçlunun kendi yedinde veya üçüncü şahısta olan taşınır mallariyle taşınmazlarından ve alacak ve haklarından alacaklının ana, faiz ve masraflar da dahil olmak üzere bütün alacaklarına yetecek miktarı haczolunur; ancak bu miktarı aşacak şekilde haciz yapılamaz.</w:t>
            </w:r>
          </w:p>
          <w:p w:rsidR="00AA5C8C" w:rsidRPr="00A23740" w:rsidRDefault="00AA5C8C" w:rsidP="009431FF">
            <w:pPr>
              <w:tabs>
                <w:tab w:val="left" w:pos="567"/>
              </w:tabs>
              <w:rPr>
                <w:rFonts w:eastAsia="Times New Roman"/>
                <w:b/>
                <w:bCs/>
                <w:strike/>
                <w:color w:val="FF0000"/>
                <w:szCs w:val="24"/>
                <w:lang w:val="x-none" w:eastAsia="x-none"/>
              </w:rPr>
            </w:pPr>
          </w:p>
          <w:p w:rsidR="00AA5C8C" w:rsidRPr="00A23740" w:rsidRDefault="00AA5C8C"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(2) (Değişik fıkra: 9/11/1988 - 3494/8 md.) Borçlu yahut borçlu ile birlikte malı elinde bulunduran şahıslar, taşınır mal üzerinde üçüncü bir şahsın mülkiyet veya rehin hakkı gibi sınırlı bir ayni hakkının bulunması veya taşınır malın üçüncü şahıs tarafından haczedilmiş olması halinde bu hususu haciz yapan memura beyan etmek ve beyanının haciz tutanağına geçerilmesini talep etmek, haczi yapan memur da borçluyu yahut borçlu ile birlikte malı elinde bulunduran şahısları bu beyana davet etmek zorundadır. Bu tür mallar ile üçüncü şahıs tarafından ihtiyaten haciz veya istihkak iddia edilmiş bulunan malların haczi en sonraya bırakılır.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(3) Ancak haczolunan taşınmaz artırmaya çıkarılmadan borçlu borcun itfasına yetecek taşınır mal veya vadesi gelmiş sağlam alacak gösterirse taşınmaz üzerinde haciz baki kalmak üzere önce gösterilen taşınır veya alacak da haczolunur.</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bCs/>
                <w:strike/>
                <w:color w:val="FF0000"/>
                <w:szCs w:val="24"/>
                <w:lang w:val="x-none" w:eastAsia="x-none"/>
              </w:rPr>
            </w:pPr>
          </w:p>
          <w:p w:rsidR="00AA5C8C" w:rsidRPr="00A23740" w:rsidRDefault="00AA5C8C"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w:t>
            </w:r>
            <w:r w:rsidRPr="00A23740">
              <w:rPr>
                <w:rFonts w:eastAsia="Times New Roman"/>
                <w:b/>
                <w:bCs/>
                <w:strike/>
                <w:color w:val="FF0000"/>
                <w:szCs w:val="24"/>
                <w:lang w:eastAsia="x-none"/>
              </w:rPr>
              <w:t>4</w:t>
            </w:r>
            <w:r w:rsidRPr="00A23740">
              <w:rPr>
                <w:rFonts w:eastAsia="Times New Roman"/>
                <w:b/>
                <w:bCs/>
                <w:strike/>
                <w:color w:val="FF0000"/>
                <w:szCs w:val="24"/>
                <w:lang w:val="x-none" w:eastAsia="x-none"/>
              </w:rPr>
              <w:t>) Şu kadar ki, bu suretle mahcuz kalan taşınmazın idare ve işletmesine ve hasılat ve menfaatlerine icra dairesi müdahale etmez.</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bCs/>
                <w:strike/>
                <w:color w:val="FF0000"/>
                <w:szCs w:val="24"/>
                <w:lang w:val="x-none" w:eastAsia="tr-TR"/>
              </w:rPr>
            </w:pPr>
            <w:r w:rsidRPr="00A23740">
              <w:rPr>
                <w:b/>
                <w:bCs/>
                <w:strike/>
                <w:color w:val="FF0000"/>
                <w:szCs w:val="24"/>
                <w:lang w:val="x-none" w:eastAsia="x-none"/>
              </w:rPr>
              <w:t>(5)</w:t>
            </w:r>
            <w:r w:rsidRPr="00A23740">
              <w:rPr>
                <w:rFonts w:eastAsia="Times New Roman"/>
                <w:b/>
                <w:bCs/>
                <w:strike/>
                <w:color w:val="FF0000"/>
                <w:szCs w:val="24"/>
                <w:lang w:val="x-none" w:eastAsia="x-none"/>
              </w:rPr>
              <w:t xml:space="preserve"> Hasılatı paraya çevirme masraflarını ve icabında muhafaza ve idare masraflarını tecavüz etmeyeceği muhakkak olan şeyler haczolunmaz.</w:t>
            </w:r>
          </w:p>
          <w:p w:rsidR="00AA5C8C" w:rsidRPr="00A23740" w:rsidRDefault="00AA5C8C" w:rsidP="009431FF">
            <w:pPr>
              <w:tabs>
                <w:tab w:val="left" w:pos="567"/>
              </w:tabs>
              <w:rPr>
                <w:rFonts w:eastAsia="Times New Roman"/>
                <w:b/>
                <w:bCs/>
                <w:strike/>
                <w:color w:val="FF0000"/>
                <w:szCs w:val="24"/>
                <w:lang w:val="x-none" w:eastAsia="tr-TR"/>
              </w:rPr>
            </w:pPr>
          </w:p>
        </w:tc>
        <w:tc>
          <w:tcPr>
            <w:tcW w:w="2500" w:type="pct"/>
          </w:tcPr>
          <w:p w:rsidR="00AA5C8C" w:rsidRPr="00A23740" w:rsidRDefault="00B61F81" w:rsidP="009431FF">
            <w:pPr>
              <w:tabs>
                <w:tab w:val="left" w:pos="567"/>
              </w:tabs>
              <w:rPr>
                <w:b/>
                <w:color w:val="0000FF"/>
                <w:szCs w:val="24"/>
                <w:lang w:eastAsia="tr-TR"/>
              </w:rPr>
            </w:pPr>
            <w:r w:rsidRPr="00A23740">
              <w:rPr>
                <w:b/>
                <w:color w:val="0000FF"/>
                <w:szCs w:val="24"/>
                <w:lang w:eastAsia="tr-TR"/>
              </w:rPr>
              <w:t>Hacizde uyulacak esaslar</w:t>
            </w:r>
          </w:p>
          <w:p w:rsidR="00AA5C8C" w:rsidRPr="00A23740" w:rsidRDefault="00AA5C8C" w:rsidP="009431FF">
            <w:pPr>
              <w:tabs>
                <w:tab w:val="left" w:pos="567"/>
              </w:tabs>
              <w:rPr>
                <w:szCs w:val="24"/>
                <w:lang w:eastAsia="tr-TR"/>
              </w:rPr>
            </w:pPr>
            <w:r w:rsidRPr="00A23740">
              <w:rPr>
                <w:b/>
                <w:bCs/>
                <w:color w:val="0000FF"/>
                <w:szCs w:val="24"/>
                <w:lang w:val="x-none" w:eastAsia="x-none"/>
              </w:rPr>
              <w:t xml:space="preserve">MADDE </w:t>
            </w:r>
            <w:r w:rsidR="009D57E1" w:rsidRPr="00A23740">
              <w:rPr>
                <w:b/>
                <w:bCs/>
                <w:color w:val="0000FF"/>
                <w:szCs w:val="24"/>
                <w:lang w:eastAsia="x-none"/>
              </w:rPr>
              <w:t>158</w:t>
            </w:r>
            <w:r w:rsidRPr="00A23740">
              <w:rPr>
                <w:b/>
                <w:bCs/>
                <w:color w:val="0000FF"/>
                <w:szCs w:val="24"/>
                <w:lang w:val="x-none" w:eastAsia="x-none"/>
              </w:rPr>
              <w:t>- (1</w:t>
            </w:r>
            <w:r w:rsidRPr="00A23740">
              <w:rPr>
                <w:b/>
                <w:color w:val="0000FF"/>
                <w:szCs w:val="24"/>
                <w:lang w:eastAsia="tr-TR"/>
              </w:rPr>
              <w:t>)</w:t>
            </w:r>
            <w:r w:rsidRPr="00A23740">
              <w:rPr>
                <w:szCs w:val="24"/>
                <w:lang w:eastAsia="tr-TR"/>
              </w:rPr>
              <w:t xml:space="preserve"> </w:t>
            </w:r>
            <w:r w:rsidR="00CA4B18" w:rsidRPr="00DC7A0B">
              <w:rPr>
                <w:rStyle w:val="YELChar"/>
                <w:color w:val="0000FF"/>
              </w:rPr>
              <w:t>Haciz işlemini</w:t>
            </w:r>
            <w:r w:rsidR="00CA4B18" w:rsidRPr="00DC7A0B">
              <w:rPr>
                <w:color w:val="0000FF"/>
                <w:szCs w:val="24"/>
                <w:lang w:eastAsia="tr-TR"/>
              </w:rPr>
              <w:t xml:space="preserve"> </w:t>
            </w:r>
            <w:r w:rsidR="00CA4B18" w:rsidRPr="00A23740">
              <w:rPr>
                <w:szCs w:val="24"/>
                <w:lang w:eastAsia="tr-TR"/>
              </w:rPr>
              <w:t xml:space="preserve">gerçekleştiren </w:t>
            </w:r>
            <w:r w:rsidR="00CA4B18" w:rsidRPr="00A23740">
              <w:rPr>
                <w:b/>
                <w:bCs/>
                <w:color w:val="0000FF"/>
                <w:szCs w:val="24"/>
                <w:lang w:val="x-none" w:eastAsia="x-none"/>
              </w:rPr>
              <w:t>icra</w:t>
            </w:r>
            <w:r w:rsidR="00CA4B18" w:rsidRPr="00A23740">
              <w:rPr>
                <w:b/>
                <w:bCs/>
                <w:color w:val="0000FF"/>
                <w:szCs w:val="24"/>
                <w:lang w:eastAsia="x-none"/>
              </w:rPr>
              <w:t xml:space="preserve"> </w:t>
            </w:r>
            <w:r w:rsidR="00CA4B18" w:rsidRPr="00A23740">
              <w:rPr>
                <w:rStyle w:val="MaviChar"/>
              </w:rPr>
              <w:t>ve iflas dairesi</w:t>
            </w:r>
            <w:r w:rsidR="00CA4B18" w:rsidRPr="00A23740">
              <w:rPr>
                <w:b/>
                <w:bCs/>
                <w:color w:val="0000FF"/>
                <w:szCs w:val="24"/>
                <w:lang w:val="x-none" w:eastAsia="x-none"/>
              </w:rPr>
              <w:t xml:space="preserve"> </w:t>
            </w:r>
            <w:r w:rsidR="00CA4B18" w:rsidRPr="00A23740">
              <w:rPr>
                <w:szCs w:val="24"/>
                <w:lang w:eastAsia="tr-TR"/>
              </w:rPr>
              <w:t>borçlu</w:t>
            </w:r>
            <w:r w:rsidR="00CA4B18" w:rsidRPr="00A23740">
              <w:rPr>
                <w:b/>
                <w:color w:val="0000FF"/>
                <w:szCs w:val="24"/>
                <w:lang w:eastAsia="tr-TR"/>
              </w:rPr>
              <w:t>,</w:t>
            </w:r>
            <w:r w:rsidR="00CA4B18" w:rsidRPr="00A23740">
              <w:rPr>
                <w:szCs w:val="24"/>
                <w:lang w:eastAsia="tr-TR"/>
              </w:rPr>
              <w:t xml:space="preserve"> alacaklı </w:t>
            </w:r>
            <w:r w:rsidR="00CA4B18" w:rsidRPr="00A23740">
              <w:rPr>
                <w:b/>
                <w:color w:val="0000FF"/>
                <w:szCs w:val="24"/>
                <w:lang w:eastAsia="tr-TR"/>
              </w:rPr>
              <w:t>ve üçüncü kişilerin</w:t>
            </w:r>
            <w:r w:rsidR="00CA4B18" w:rsidRPr="00A23740">
              <w:rPr>
                <w:szCs w:val="24"/>
                <w:lang w:eastAsia="tr-TR"/>
              </w:rPr>
              <w:t xml:space="preserve"> menfaatlerini </w:t>
            </w:r>
            <w:r w:rsidR="00CA4B18" w:rsidRPr="00A23740">
              <w:rPr>
                <w:b/>
                <w:color w:val="0000FF"/>
                <w:szCs w:val="24"/>
                <w:lang w:eastAsia="tr-TR"/>
              </w:rPr>
              <w:t>gözetmek ve dengelemekle yükümlüdür</w:t>
            </w:r>
            <w:r w:rsidR="00CA4B18" w:rsidRPr="00A23740">
              <w:rPr>
                <w:szCs w:val="24"/>
                <w:lang w:eastAsia="tr-TR"/>
              </w:rPr>
              <w:t>.</w:t>
            </w:r>
          </w:p>
          <w:p w:rsidR="00F2357B" w:rsidRPr="00A23740" w:rsidRDefault="00F2357B" w:rsidP="009431FF">
            <w:pPr>
              <w:tabs>
                <w:tab w:val="left" w:pos="567"/>
              </w:tabs>
              <w:rPr>
                <w:rFonts w:eastAsia="Times New Roman"/>
                <w:szCs w:val="24"/>
                <w:lang w:eastAsia="tr-TR"/>
              </w:rPr>
            </w:pPr>
          </w:p>
          <w:p w:rsidR="00AA5C8C" w:rsidRDefault="00AA5C8C" w:rsidP="009431FF">
            <w:pPr>
              <w:tabs>
                <w:tab w:val="left" w:pos="567"/>
              </w:tabs>
              <w:rPr>
                <w:rFonts w:eastAsia="Times New Roman"/>
                <w:b/>
                <w:color w:val="FF0000"/>
                <w:szCs w:val="24"/>
                <w:lang w:eastAsia="tr-TR"/>
              </w:rPr>
            </w:pPr>
          </w:p>
          <w:p w:rsidR="00C616B3" w:rsidRDefault="00C616B3" w:rsidP="009431FF">
            <w:pPr>
              <w:tabs>
                <w:tab w:val="left" w:pos="567"/>
              </w:tabs>
              <w:rPr>
                <w:rFonts w:eastAsia="Times New Roman"/>
                <w:b/>
                <w:color w:val="FF0000"/>
                <w:szCs w:val="24"/>
                <w:lang w:eastAsia="tr-TR"/>
              </w:rPr>
            </w:pPr>
          </w:p>
          <w:p w:rsidR="00C616B3" w:rsidRPr="00A23740" w:rsidRDefault="00C616B3"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p w:rsidR="00F2357B" w:rsidRPr="00A23740" w:rsidRDefault="00F2357B" w:rsidP="009431FF">
            <w:pPr>
              <w:tabs>
                <w:tab w:val="left" w:pos="567"/>
              </w:tabs>
              <w:rPr>
                <w:rFonts w:eastAsia="Times New Roman"/>
                <w:b/>
                <w:color w:val="FF0000"/>
                <w:szCs w:val="24"/>
                <w:lang w:eastAsia="tr-TR"/>
              </w:rPr>
            </w:pPr>
          </w:p>
          <w:p w:rsidR="00AA5C8C" w:rsidRPr="00A23740" w:rsidRDefault="00AA5C8C" w:rsidP="009431FF">
            <w:pPr>
              <w:tabs>
                <w:tab w:val="left" w:pos="567"/>
              </w:tabs>
              <w:rPr>
                <w:b/>
                <w:bCs/>
                <w:color w:val="FF0000"/>
                <w:szCs w:val="24"/>
                <w:lang w:val="x-none" w:eastAsia="tr-TR"/>
              </w:rPr>
            </w:pPr>
            <w:r w:rsidRPr="00A23740">
              <w:rPr>
                <w:b/>
                <w:bCs/>
                <w:color w:val="0000FF"/>
                <w:szCs w:val="24"/>
                <w:lang w:val="x-none" w:eastAsia="x-none"/>
              </w:rPr>
              <w:t xml:space="preserve">(2) </w:t>
            </w:r>
            <w:r w:rsidR="00CA4B18" w:rsidRPr="00A23740">
              <w:rPr>
                <w:b/>
                <w:bCs/>
                <w:color w:val="0000FF"/>
                <w:szCs w:val="24"/>
                <w:lang w:val="x-none" w:eastAsia="x-none"/>
              </w:rPr>
              <w:t>İcra</w:t>
            </w:r>
            <w:r w:rsidR="00CA4B18" w:rsidRPr="00A23740">
              <w:rPr>
                <w:b/>
                <w:bCs/>
                <w:color w:val="0000FF"/>
                <w:szCs w:val="24"/>
                <w:lang w:eastAsia="x-none"/>
              </w:rPr>
              <w:t xml:space="preserve"> </w:t>
            </w:r>
            <w:r w:rsidR="00CA4B18" w:rsidRPr="00A23740">
              <w:rPr>
                <w:rStyle w:val="MaviChar"/>
              </w:rPr>
              <w:t>ve iflas dairesi,</w:t>
            </w:r>
            <w:r w:rsidR="00CA4B18" w:rsidRPr="00A23740">
              <w:rPr>
                <w:b/>
                <w:bCs/>
                <w:color w:val="0000FF"/>
                <w:szCs w:val="24"/>
                <w:lang w:val="x-none" w:eastAsia="x-none"/>
              </w:rPr>
              <w:t xml:space="preserve"> haczi talep edilen mal veya hakların haczinin gerekip gerekmediğini değerlendirir ve haciz talebinin kabulüne veya reddine karar verir.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 xml:space="preserve">(3) </w:t>
            </w:r>
            <w:r w:rsidR="00CA4B18" w:rsidRPr="00A23740">
              <w:rPr>
                <w:b/>
                <w:bCs/>
                <w:color w:val="0000FF"/>
                <w:szCs w:val="24"/>
                <w:lang w:val="x-none" w:eastAsia="x-none"/>
              </w:rPr>
              <w:t>Hacze,</w:t>
            </w:r>
            <w:r w:rsidR="00F7561D" w:rsidRPr="00A23740">
              <w:rPr>
                <w:b/>
                <w:bCs/>
                <w:color w:val="0000FF"/>
                <w:szCs w:val="24"/>
                <w:lang w:eastAsia="x-none"/>
              </w:rPr>
              <w:t xml:space="preserve"> </w:t>
            </w:r>
            <w:r w:rsidR="00F7561D" w:rsidRPr="00DC7A0B">
              <w:rPr>
                <w:rStyle w:val="KonuBalChar"/>
                <w:rFonts w:eastAsia="Calibri"/>
                <w:color w:val="0000FF"/>
              </w:rPr>
              <w:t>158 inci</w:t>
            </w:r>
            <w:r w:rsidR="00F7561D" w:rsidRPr="00DC7A0B">
              <w:rPr>
                <w:rStyle w:val="KonuBalChar"/>
                <w:rFonts w:eastAsia="Calibri"/>
                <w:color w:val="0000FF"/>
                <w:lang w:val="tr-TR"/>
              </w:rPr>
              <w:t xml:space="preserve"> (bu madde)</w:t>
            </w:r>
            <w:r w:rsidR="00CA4B18" w:rsidRPr="00A23740">
              <w:rPr>
                <w:b/>
                <w:bCs/>
                <w:color w:val="0000FF"/>
                <w:szCs w:val="24"/>
                <w:lang w:val="x-none" w:eastAsia="x-none"/>
              </w:rPr>
              <w:t xml:space="preserve"> maddenin ikinci fıkrası hükmü saklı kalmak üzere, muhafazası ve satılması kolay, yokluğu borçluya en az zarar veren ve alacağı karşılaması muhtemel </w:t>
            </w:r>
            <w:r w:rsidR="007B5A7F" w:rsidRPr="00DC7A0B">
              <w:rPr>
                <w:b/>
                <w:bCs/>
                <w:color w:val="0000FF"/>
                <w:szCs w:val="24"/>
                <w:lang w:val="x-none" w:eastAsia="x-none"/>
              </w:rPr>
              <w:t>olan</w:t>
            </w:r>
            <w:r w:rsidR="007B5A7F" w:rsidRPr="00A23740">
              <w:rPr>
                <w:b/>
                <w:bCs/>
                <w:color w:val="385623"/>
                <w:szCs w:val="24"/>
                <w:lang w:val="x-none" w:eastAsia="x-none"/>
              </w:rPr>
              <w:t xml:space="preserve"> </w:t>
            </w:r>
            <w:r w:rsidR="00CA4B18" w:rsidRPr="00A23740">
              <w:rPr>
                <w:b/>
                <w:bCs/>
                <w:color w:val="0000FF"/>
                <w:szCs w:val="24"/>
                <w:lang w:val="x-none" w:eastAsia="x-none"/>
              </w:rPr>
              <w:t xml:space="preserve">mal ve haklardan başlanır. Haczin uygulanması sırasında </w:t>
            </w:r>
            <w:r w:rsidR="007B5A7F" w:rsidRPr="00DC7A0B">
              <w:rPr>
                <w:b/>
                <w:bCs/>
                <w:color w:val="0000FF"/>
                <w:szCs w:val="24"/>
                <w:lang w:val="x-none" w:eastAsia="x-none"/>
              </w:rPr>
              <w:t>haciz mahallinde</w:t>
            </w:r>
            <w:r w:rsidR="007B5A7F" w:rsidRPr="00A23740">
              <w:rPr>
                <w:b/>
                <w:bCs/>
                <w:color w:val="385623"/>
                <w:szCs w:val="24"/>
                <w:lang w:val="x-none" w:eastAsia="x-none"/>
              </w:rPr>
              <w:t xml:space="preserve"> </w:t>
            </w:r>
            <w:r w:rsidR="00CA4B18" w:rsidRPr="00A23740">
              <w:rPr>
                <w:b/>
                <w:bCs/>
                <w:color w:val="0000FF"/>
                <w:szCs w:val="24"/>
                <w:lang w:val="x-none" w:eastAsia="x-none"/>
              </w:rPr>
              <w:t>hazır</w:t>
            </w:r>
            <w:r w:rsidR="007B5A7F" w:rsidRPr="00A23740">
              <w:rPr>
                <w:b/>
                <w:bCs/>
                <w:color w:val="0000FF"/>
                <w:szCs w:val="24"/>
                <w:lang w:val="x-none" w:eastAsia="x-none"/>
              </w:rPr>
              <w:t xml:space="preserve"> </w:t>
            </w:r>
            <w:r w:rsidR="007B5A7F" w:rsidRPr="00DC7A0B">
              <w:rPr>
                <w:b/>
                <w:bCs/>
                <w:color w:val="0000FF"/>
                <w:szCs w:val="24"/>
                <w:lang w:val="x-none" w:eastAsia="x-none"/>
              </w:rPr>
              <w:t>iseler</w:t>
            </w:r>
            <w:r w:rsidR="00CA4B18" w:rsidRPr="00A23740">
              <w:rPr>
                <w:b/>
                <w:bCs/>
                <w:color w:val="385623"/>
                <w:szCs w:val="24"/>
                <w:lang w:val="x-none" w:eastAsia="x-none"/>
              </w:rPr>
              <w:t xml:space="preserve"> </w:t>
            </w:r>
            <w:r w:rsidR="00CA4B18" w:rsidRPr="00A23740">
              <w:rPr>
                <w:b/>
                <w:bCs/>
                <w:color w:val="0000FF"/>
                <w:szCs w:val="24"/>
                <w:lang w:val="x-none" w:eastAsia="x-none"/>
              </w:rPr>
              <w:t>alacaklı ve borçlunun da görüşü sorulur ve cevapları tutanağa yazılır.</w:t>
            </w:r>
          </w:p>
          <w:p w:rsidR="00287E39" w:rsidRPr="00A23740" w:rsidRDefault="00287E39" w:rsidP="009431FF">
            <w:pPr>
              <w:tabs>
                <w:tab w:val="left" w:pos="567"/>
              </w:tabs>
              <w:rPr>
                <w:rFonts w:eastAsia="Times New Roman"/>
                <w:b/>
                <w:color w:val="FF0000"/>
                <w:szCs w:val="24"/>
                <w:lang w:eastAsia="tr-TR"/>
              </w:rPr>
            </w:pPr>
          </w:p>
          <w:p w:rsidR="00AA5C8C" w:rsidRPr="00A23740" w:rsidRDefault="00AA5C8C" w:rsidP="009431FF">
            <w:pPr>
              <w:tabs>
                <w:tab w:val="left" w:pos="567"/>
              </w:tabs>
              <w:rPr>
                <w:b/>
                <w:bCs/>
                <w:color w:val="0000FF"/>
                <w:szCs w:val="24"/>
                <w:lang w:val="x-none" w:eastAsia="x-none"/>
              </w:rPr>
            </w:pPr>
            <w:r w:rsidRPr="00A23740">
              <w:rPr>
                <w:rStyle w:val="MaviChar"/>
              </w:rPr>
              <w:t>(4)</w:t>
            </w:r>
            <w:r w:rsidRPr="00A23740">
              <w:rPr>
                <w:b/>
                <w:bCs/>
                <w:color w:val="0000FF"/>
                <w:szCs w:val="24"/>
                <w:lang w:eastAsia="x-none"/>
              </w:rPr>
              <w:t xml:space="preserve"> </w:t>
            </w:r>
            <w:r w:rsidR="00CA4B18" w:rsidRPr="00A23740">
              <w:rPr>
                <w:b/>
                <w:color w:val="0000FF"/>
                <w:szCs w:val="24"/>
                <w:lang w:eastAsia="tr-TR"/>
              </w:rPr>
              <w:t xml:space="preserve">Satış bedeli, paraya çevirme </w:t>
            </w:r>
            <w:r w:rsidR="00CA4B18" w:rsidRPr="00A23740">
              <w:rPr>
                <w:b/>
                <w:bCs/>
                <w:color w:val="0000FF"/>
                <w:szCs w:val="24"/>
                <w:lang w:eastAsia="x-none"/>
              </w:rPr>
              <w:t xml:space="preserve">ile idare ve muhafaza giderlerini </w:t>
            </w:r>
            <w:r w:rsidR="00CA4B18" w:rsidRPr="00A23740">
              <w:rPr>
                <w:rStyle w:val="MaviChar"/>
              </w:rPr>
              <w:t xml:space="preserve">geçmeyeceği kesin ve açık olan şeyler haczedilemez. Ancak icra ve iflas dairesi </w:t>
            </w:r>
            <w:r w:rsidR="00CA4B18" w:rsidRPr="00A23740">
              <w:rPr>
                <w:b/>
                <w:color w:val="0000FF"/>
                <w:szCs w:val="24"/>
                <w:lang w:eastAsia="tr-TR"/>
              </w:rPr>
              <w:t>söz konusu malları ve takdir ettiği değeri bu h</w:t>
            </w:r>
            <w:r w:rsidR="00E54A6B" w:rsidRPr="00A23740">
              <w:rPr>
                <w:b/>
                <w:color w:val="0000FF"/>
                <w:szCs w:val="24"/>
                <w:lang w:eastAsia="tr-TR"/>
              </w:rPr>
              <w:t>â</w:t>
            </w:r>
            <w:r w:rsidR="00CA4B18" w:rsidRPr="00A23740">
              <w:rPr>
                <w:b/>
                <w:color w:val="0000FF"/>
                <w:szCs w:val="24"/>
                <w:lang w:eastAsia="tr-TR"/>
              </w:rPr>
              <w:t xml:space="preserve">lde de haciz tutanağında </w:t>
            </w:r>
            <w:r w:rsidR="00CA4B18" w:rsidRPr="00A23740">
              <w:rPr>
                <w:b/>
                <w:bCs/>
                <w:color w:val="0000FF"/>
                <w:szCs w:val="24"/>
                <w:lang w:val="x-none" w:eastAsia="x-none"/>
              </w:rPr>
              <w:t>gösterir; bu nitelikte malların varlığı aciz belgesi düzenlenmesine engel teşkil etmez.</w:t>
            </w:r>
          </w:p>
          <w:p w:rsidR="00AA5C8C" w:rsidRPr="00A23740" w:rsidRDefault="00AA5C8C" w:rsidP="009431FF">
            <w:pPr>
              <w:tabs>
                <w:tab w:val="left" w:pos="567"/>
              </w:tabs>
              <w:rPr>
                <w:rFonts w:eastAsia="Times New Roman"/>
                <w:b/>
                <w:color w:val="FF0000"/>
                <w:szCs w:val="24"/>
                <w:lang w:eastAsia="tr-TR"/>
              </w:rPr>
            </w:pPr>
          </w:p>
          <w:p w:rsidR="00CA4B18" w:rsidRPr="00A23740" w:rsidRDefault="00CA4B18" w:rsidP="009431FF">
            <w:pPr>
              <w:tabs>
                <w:tab w:val="left" w:pos="567"/>
              </w:tabs>
              <w:rPr>
                <w:b/>
                <w:bCs/>
                <w:color w:val="0000FF"/>
                <w:szCs w:val="24"/>
                <w:lang w:val="x-none" w:eastAsia="x-none"/>
              </w:rPr>
            </w:pPr>
            <w:r w:rsidRPr="00A23740">
              <w:rPr>
                <w:b/>
                <w:color w:val="0000FF"/>
                <w:szCs w:val="24"/>
                <w:lang w:eastAsia="tr-TR"/>
              </w:rPr>
              <w:t>(5)</w:t>
            </w:r>
            <w:r w:rsidRPr="00A23740">
              <w:rPr>
                <w:b/>
                <w:bCs/>
                <w:color w:val="0000FF"/>
                <w:szCs w:val="24"/>
                <w:lang w:val="x-none" w:eastAsia="x-none"/>
              </w:rPr>
              <w:t xml:space="preserve"> İcra </w:t>
            </w:r>
            <w:r w:rsidRPr="00A23740">
              <w:rPr>
                <w:rStyle w:val="MaviChar"/>
              </w:rPr>
              <w:t>ve iflas dairesi faiz ve giderler dahil olmak üzere alacak miktarından fazlası için haciz</w:t>
            </w:r>
            <w:r w:rsidRPr="00A23740">
              <w:rPr>
                <w:rFonts w:eastAsia="Times New Roman"/>
                <w:b/>
                <w:bCs/>
                <w:color w:val="0000FF"/>
                <w:szCs w:val="24"/>
                <w:lang w:val="x-none" w:eastAsia="tr-TR"/>
              </w:rPr>
              <w:t xml:space="preserve"> yapamaz.</w:t>
            </w:r>
            <w:r w:rsidRPr="00A23740">
              <w:rPr>
                <w:rFonts w:eastAsia="Times New Roman"/>
                <w:b/>
                <w:bCs/>
                <w:color w:val="0000FF"/>
                <w:szCs w:val="24"/>
                <w:lang w:eastAsia="tr-TR"/>
              </w:rPr>
              <w:t xml:space="preserve"> </w:t>
            </w:r>
            <w:r w:rsidRPr="00A23740">
              <w:rPr>
                <w:b/>
                <w:bCs/>
                <w:color w:val="0000FF"/>
                <w:szCs w:val="24"/>
                <w:lang w:val="x-none" w:eastAsia="x-none"/>
              </w:rPr>
              <w:t>Aynı alacak için aşkın hacze sebebiyet verecek şekilde birden f</w:t>
            </w:r>
            <w:r w:rsidR="00B61037" w:rsidRPr="00A23740">
              <w:rPr>
                <w:b/>
                <w:bCs/>
                <w:color w:val="0000FF"/>
                <w:szCs w:val="24"/>
                <w:lang w:val="x-none" w:eastAsia="x-none"/>
              </w:rPr>
              <w:t>azla mal veya hak haczedilemez.</w:t>
            </w:r>
          </w:p>
          <w:p w:rsidR="00AA5C8C" w:rsidRPr="00A23740" w:rsidRDefault="00AA5C8C" w:rsidP="009431FF">
            <w:pPr>
              <w:tabs>
                <w:tab w:val="left" w:pos="567"/>
              </w:tabs>
              <w:rPr>
                <w:rFonts w:eastAsia="Times New Roman"/>
                <w:bCs/>
                <w:strike/>
                <w:color w:val="FF0000"/>
                <w:szCs w:val="24"/>
                <w:lang w:val="x-none"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A225B2" w:rsidRPr="00A23740" w:rsidRDefault="00A225B2" w:rsidP="009431FF">
            <w:pPr>
              <w:pStyle w:val="KIRMIZI"/>
            </w:pPr>
          </w:p>
          <w:p w:rsidR="00B1518E" w:rsidRPr="00A23740" w:rsidRDefault="00B1518E" w:rsidP="009431FF">
            <w:pPr>
              <w:tabs>
                <w:tab w:val="left" w:pos="567"/>
              </w:tabs>
              <w:ind w:firstLine="709"/>
              <w:rPr>
                <w:bCs/>
                <w:szCs w:val="24"/>
                <w:lang w:eastAsia="x-none"/>
              </w:rPr>
            </w:pPr>
            <w:r w:rsidRPr="00A23740">
              <w:rPr>
                <w:b/>
              </w:rPr>
              <w:t>MADDE 158-</w:t>
            </w:r>
            <w:r w:rsidR="00A225B2" w:rsidRPr="00A23740">
              <w:rPr>
                <w:b/>
              </w:rPr>
              <w:t xml:space="preserve"> </w:t>
            </w:r>
            <w:r w:rsidRPr="00A23740">
              <w:rPr>
                <w:bCs/>
                <w:szCs w:val="24"/>
                <w:lang w:eastAsia="x-none"/>
              </w:rPr>
              <w:t>Maddeyle, hacizde uyulacak esaslar belirtilmektedir. Hüküm, 2004 sayılı Kanunun 85 inci maddesine karşılık gelmektedir.</w:t>
            </w:r>
          </w:p>
          <w:p w:rsidR="00B1518E" w:rsidRPr="00A23740" w:rsidRDefault="00B1518E" w:rsidP="009431FF">
            <w:pPr>
              <w:ind w:firstLine="709"/>
              <w:rPr>
                <w:szCs w:val="24"/>
              </w:rPr>
            </w:pPr>
            <w:r w:rsidRPr="00A23740">
              <w:rPr>
                <w:szCs w:val="24"/>
                <w:lang w:eastAsia="tr-TR"/>
              </w:rPr>
              <w:t>Birinci fıkrayla, icra ve iflas dairelerine; haciz işlemi esnasında borçlu, alacaklı ve üçüncü kişilerin menfaatlerini gözetmek ve dengelemek yükümlülüğü getirilmekte ve bu bir ilke olarak kabul edilmektedir. Bu ilke çerçevesinde, icra ve iflas dairelerinin, hacizde bir sıra gözetip gözetmeyecekleri önem arz etmektedir. Bilindiği üzere, 1424 sayılı</w:t>
            </w:r>
            <w:r w:rsidR="00371300" w:rsidRPr="00A23740">
              <w:rPr>
                <w:szCs w:val="24"/>
                <w:lang w:eastAsia="tr-TR"/>
              </w:rPr>
              <w:t xml:space="preserve"> </w:t>
            </w:r>
            <w:r w:rsidR="00371300" w:rsidRPr="00DC7A0B">
              <w:rPr>
                <w:bCs/>
                <w:szCs w:val="24"/>
                <w:lang w:eastAsia="tr-TR"/>
              </w:rPr>
              <w:t>Kanunun</w:t>
            </w:r>
            <w:r w:rsidRPr="00A23740">
              <w:rPr>
                <w:b/>
                <w:szCs w:val="24"/>
                <w:lang w:eastAsia="tr-TR"/>
              </w:rPr>
              <w:t xml:space="preserve"> </w:t>
            </w:r>
            <w:r w:rsidRPr="00A23740">
              <w:rPr>
                <w:szCs w:val="24"/>
                <w:lang w:eastAsia="tr-TR"/>
              </w:rPr>
              <w:t xml:space="preserve">74 üncü maddesinde, </w:t>
            </w:r>
            <w:r w:rsidRPr="00A23740">
              <w:rPr>
                <w:i/>
                <w:iCs/>
                <w:szCs w:val="24"/>
                <w:lang w:eastAsia="tr-TR"/>
              </w:rPr>
              <w:t>“alacaklara da şamil olmak üzere öncelikle menkul malların haczedileceği,  hacze kolayca satılabilen şeylerden başlanacağı ve mahrumiyeti borçluya daha az ağır gelenlerin önce haczolunacağı, gayrimenkullerin ise ancak borcu ödemeye yetecek menkul mal bulunmadığı veya kalmadığı yahut alacaklı ve borçlunun müştereken istemeleri durumunda haczolunacağı, ihtiyaten haczedilen veya borçlu tarafından başkasının olduğu beyan edilen yahut haklarında üçüncü şahıslar tarafından istihkak iddia edilmiş olan malların haczinin en sonraya bırakılacağı”</w:t>
            </w:r>
            <w:r w:rsidRPr="00A23740">
              <w:rPr>
                <w:szCs w:val="24"/>
                <w:lang w:eastAsia="tr-TR"/>
              </w:rPr>
              <w:t xml:space="preserve"> düzenlenmekteydi. Kezâ </w:t>
            </w:r>
            <w:r w:rsidRPr="00DC7A0B">
              <w:rPr>
                <w:bCs/>
                <w:lang w:eastAsia="tr-TR"/>
              </w:rPr>
              <w:t>İsviçre</w:t>
            </w:r>
            <w:r w:rsidR="00E47822" w:rsidRPr="00DC7A0B">
              <w:rPr>
                <w:bCs/>
                <w:szCs w:val="24"/>
                <w:lang w:eastAsia="tr-TR"/>
              </w:rPr>
              <w:t>’nin</w:t>
            </w:r>
            <w:r w:rsidRPr="00DC7A0B">
              <w:rPr>
                <w:bCs/>
                <w:lang w:eastAsia="tr-TR"/>
              </w:rPr>
              <w:t xml:space="preserve"> </w:t>
            </w:r>
            <w:r w:rsidR="00576137" w:rsidRPr="00DC7A0B">
              <w:rPr>
                <w:bCs/>
                <w:lang w:eastAsia="tr-TR"/>
              </w:rPr>
              <w:t>Borç İçin Takip ve İflas Hakkında Federal Kanununun</w:t>
            </w:r>
            <w:r w:rsidR="00576137" w:rsidRPr="00A23740">
              <w:rPr>
                <w:szCs w:val="24"/>
                <w:lang w:eastAsia="tr-TR"/>
              </w:rPr>
              <w:t xml:space="preserve"> </w:t>
            </w:r>
            <w:r w:rsidR="00A3492E" w:rsidRPr="00A23740">
              <w:rPr>
                <w:szCs w:val="24"/>
                <w:lang w:eastAsia="tr-TR"/>
              </w:rPr>
              <w:t>95 inci</w:t>
            </w:r>
            <w:r w:rsidRPr="00A23740">
              <w:rPr>
                <w:szCs w:val="24"/>
                <w:lang w:eastAsia="tr-TR"/>
              </w:rPr>
              <w:t xml:space="preserve"> maddesinde de hâlihazırda </w:t>
            </w:r>
            <w:r w:rsidRPr="00A23740">
              <w:rPr>
                <w:i/>
                <w:iCs/>
                <w:szCs w:val="24"/>
                <w:lang w:eastAsia="tr-TR"/>
              </w:rPr>
              <w:t>“öncelikle alacaklar ve kısmen haczedilebilen haklar da dâhil olmak üzere taşınır malların haczedileceği, hızla paraya çevrilebilen eşyaların ilk olarak haczedileceği, mahrumiyeti borçluya daha az ağır gelenlerin tercih edileceği, taşınmaz malların ancak alacağı karşılamaya yetecek taşınır malın bulunmaması durumunda haczedilebilecekleri, ihtiyaten haczedilen veya borçlu tarafından başkasına ait olduğu beyan edilen ya da haklarında üçüncü kişiler tarafından istihkak iddiasında bulunulan malların haczinin en sonraya bırakılacağı”</w:t>
            </w:r>
            <w:r w:rsidRPr="00A23740">
              <w:rPr>
                <w:szCs w:val="24"/>
                <w:lang w:eastAsia="tr-TR"/>
              </w:rPr>
              <w:t xml:space="preserve"> düzenlenmiştir. İcra ve iflas dairelerinden, Kanunda emredici olarak açıkça belirtilme</w:t>
            </w:r>
            <w:r w:rsidR="00A3492E" w:rsidRPr="00A23740">
              <w:rPr>
                <w:szCs w:val="24"/>
                <w:lang w:eastAsia="tr-TR"/>
              </w:rPr>
              <w:t>miş olsa dahi, 1424 s</w:t>
            </w:r>
            <w:r w:rsidRPr="00A23740">
              <w:rPr>
                <w:szCs w:val="24"/>
                <w:lang w:eastAsia="tr-TR"/>
              </w:rPr>
              <w:t>ayılı</w:t>
            </w:r>
            <w:r w:rsidR="00371300" w:rsidRPr="00A23740">
              <w:rPr>
                <w:szCs w:val="24"/>
                <w:lang w:eastAsia="tr-TR"/>
              </w:rPr>
              <w:t xml:space="preserve"> </w:t>
            </w:r>
            <w:r w:rsidR="00371300" w:rsidRPr="00DC7A0B">
              <w:rPr>
                <w:bCs/>
                <w:szCs w:val="24"/>
                <w:lang w:eastAsia="tr-TR"/>
              </w:rPr>
              <w:t>Kanunun</w:t>
            </w:r>
            <w:r w:rsidRPr="00A23740">
              <w:rPr>
                <w:szCs w:val="24"/>
                <w:lang w:eastAsia="tr-TR"/>
              </w:rPr>
              <w:t xml:space="preserve"> 74</w:t>
            </w:r>
            <w:r w:rsidR="00A3492E" w:rsidRPr="00A23740">
              <w:rPr>
                <w:szCs w:val="24"/>
                <w:lang w:eastAsia="tr-TR"/>
              </w:rPr>
              <w:t xml:space="preserve"> </w:t>
            </w:r>
            <w:r w:rsidRPr="00A23740">
              <w:rPr>
                <w:szCs w:val="24"/>
                <w:lang w:eastAsia="tr-TR"/>
              </w:rPr>
              <w:t xml:space="preserve">üncü maddesi ile </w:t>
            </w:r>
            <w:r w:rsidR="00A3492E" w:rsidRPr="00DC7A0B">
              <w:rPr>
                <w:bCs/>
                <w:lang w:eastAsia="tr-TR"/>
              </w:rPr>
              <w:t>İsviçre</w:t>
            </w:r>
            <w:r w:rsidR="00E47822" w:rsidRPr="00DC7A0B">
              <w:rPr>
                <w:bCs/>
                <w:szCs w:val="24"/>
                <w:lang w:eastAsia="tr-TR"/>
              </w:rPr>
              <w:t>’nin</w:t>
            </w:r>
            <w:r w:rsidR="00A3492E" w:rsidRPr="00DC7A0B">
              <w:rPr>
                <w:bCs/>
                <w:lang w:eastAsia="tr-TR"/>
              </w:rPr>
              <w:t xml:space="preserve"> Borç İçin Takip ve İflas Hakkında Federal Kanununun</w:t>
            </w:r>
            <w:r w:rsidR="00A3492E" w:rsidRPr="00A23740">
              <w:rPr>
                <w:szCs w:val="24"/>
                <w:lang w:eastAsia="tr-TR"/>
              </w:rPr>
              <w:t xml:space="preserve"> </w:t>
            </w:r>
            <w:r w:rsidRPr="00A23740">
              <w:rPr>
                <w:szCs w:val="24"/>
                <w:lang w:eastAsia="tr-TR"/>
              </w:rPr>
              <w:t>95</w:t>
            </w:r>
            <w:r w:rsidR="00A3492E" w:rsidRPr="00A23740">
              <w:rPr>
                <w:szCs w:val="24"/>
                <w:lang w:eastAsia="tr-TR"/>
              </w:rPr>
              <w:t xml:space="preserve"> i</w:t>
            </w:r>
            <w:r w:rsidRPr="00A23740">
              <w:rPr>
                <w:szCs w:val="24"/>
                <w:lang w:eastAsia="tr-TR"/>
              </w:rPr>
              <w:t>nci maddesinde belirlenen bu ilkelerden hareketle</w:t>
            </w:r>
            <w:r w:rsidR="001E1B4D" w:rsidRPr="00A23740">
              <w:rPr>
                <w:szCs w:val="24"/>
                <w:lang w:eastAsia="tr-TR"/>
              </w:rPr>
              <w:t>,</w:t>
            </w:r>
            <w:r w:rsidRPr="00A23740">
              <w:rPr>
                <w:szCs w:val="24"/>
                <w:lang w:eastAsia="tr-TR"/>
              </w:rPr>
              <w:t xml:space="preserve"> mümkün mertebe en az masrafla </w:t>
            </w:r>
            <w:r w:rsidR="001E1B4D" w:rsidRPr="00A23740">
              <w:rPr>
                <w:szCs w:val="24"/>
                <w:lang w:eastAsia="tr-TR"/>
              </w:rPr>
              <w:t xml:space="preserve">ve </w:t>
            </w:r>
            <w:r w:rsidRPr="00A23740">
              <w:rPr>
                <w:szCs w:val="24"/>
                <w:lang w:eastAsia="tr-TR"/>
              </w:rPr>
              <w:t>en kolay biçimde, borçluya en az zarar verecek ve alacağı en yüksek oranda karşılayacak</w:t>
            </w:r>
            <w:r w:rsidR="00576137" w:rsidRPr="007C72CC">
              <w:rPr>
                <w:rStyle w:val="MaviChar"/>
                <w:b w:val="0"/>
                <w:color w:val="auto"/>
              </w:rPr>
              <w:t>,</w:t>
            </w:r>
            <w:r w:rsidRPr="00A23740">
              <w:rPr>
                <w:szCs w:val="24"/>
                <w:lang w:eastAsia="tr-TR"/>
              </w:rPr>
              <w:t xml:space="preserve"> bununla birlikte üçüncü kişilerin de haklarını zayi etmeyecek, bu bağlamda çekişmeli mal ve hakları sonraya bırakacak bir uygulamanın geliştirilmesi beklenmektedir.</w:t>
            </w:r>
          </w:p>
          <w:p w:rsidR="00B1518E" w:rsidRPr="00A23740" w:rsidRDefault="00B1518E" w:rsidP="009431FF">
            <w:pPr>
              <w:ind w:firstLine="709"/>
              <w:rPr>
                <w:bCs/>
                <w:szCs w:val="24"/>
              </w:rPr>
            </w:pPr>
            <w:r w:rsidRPr="00A23740">
              <w:rPr>
                <w:bCs/>
                <w:szCs w:val="24"/>
              </w:rPr>
              <w:t xml:space="preserve">İkinci fıkrayla, </w:t>
            </w:r>
            <w:r w:rsidRPr="00A23740">
              <w:rPr>
                <w:bCs/>
                <w:szCs w:val="24"/>
                <w:lang w:val="x-none" w:eastAsia="x-none"/>
              </w:rPr>
              <w:t>icra</w:t>
            </w:r>
            <w:r w:rsidRPr="00A23740">
              <w:rPr>
                <w:bCs/>
                <w:szCs w:val="24"/>
                <w:lang w:eastAsia="x-none"/>
              </w:rPr>
              <w:t xml:space="preserve"> </w:t>
            </w:r>
            <w:r w:rsidRPr="00A23740">
              <w:rPr>
                <w:bCs/>
                <w:szCs w:val="24"/>
                <w:lang w:val="x-none" w:eastAsia="x-none"/>
              </w:rPr>
              <w:t xml:space="preserve">ve iflas dairesinin, haczi talep edilen mal veya hakların haczinin gerekip gerekmediğini değerlendireceği ve haciz talebinin kabulüne veya reddine karar vereceği düzenlenmektedir. </w:t>
            </w:r>
          </w:p>
          <w:p w:rsidR="00BC1FB3" w:rsidRPr="00A23740" w:rsidRDefault="00B1518E" w:rsidP="009431FF">
            <w:pPr>
              <w:ind w:firstLine="709"/>
              <w:rPr>
                <w:szCs w:val="24"/>
              </w:rPr>
            </w:pPr>
            <w:r w:rsidRPr="00A23740">
              <w:rPr>
                <w:szCs w:val="24"/>
              </w:rPr>
              <w:t xml:space="preserve">Üçüncü fıkrayla, hacze </w:t>
            </w:r>
            <w:r w:rsidR="00F7561D" w:rsidRPr="00DC7A0B">
              <w:rPr>
                <w:bCs/>
                <w:szCs w:val="24"/>
                <w:lang w:eastAsia="tr-TR"/>
              </w:rPr>
              <w:t>158 inci</w:t>
            </w:r>
            <w:r w:rsidR="00F7561D" w:rsidRPr="00A23740">
              <w:rPr>
                <w:b/>
                <w:bCs/>
                <w:color w:val="0000FF"/>
                <w:szCs w:val="24"/>
                <w:lang w:val="x-none" w:eastAsia="x-none"/>
              </w:rPr>
              <w:t xml:space="preserve"> </w:t>
            </w:r>
            <w:r w:rsidRPr="00A23740">
              <w:rPr>
                <w:szCs w:val="24"/>
              </w:rPr>
              <w:t>maddesinin birinci fıkrası hükmü saklı olmak kaydıyla</w:t>
            </w:r>
            <w:r w:rsidR="001E1B4D" w:rsidRPr="00A23740">
              <w:rPr>
                <w:szCs w:val="24"/>
              </w:rPr>
              <w:t>,</w:t>
            </w:r>
            <w:r w:rsidRPr="00A23740">
              <w:rPr>
                <w:szCs w:val="24"/>
              </w:rPr>
              <w:t xml:space="preserve"> muhafazası ve satılması </w:t>
            </w:r>
            <w:r w:rsidRPr="00A23740">
              <w:rPr>
                <w:szCs w:val="24"/>
                <w:lang w:eastAsia="tr-TR"/>
              </w:rPr>
              <w:t>kolay</w:t>
            </w:r>
            <w:r w:rsidR="00576137" w:rsidRPr="00DC7A0B">
              <w:rPr>
                <w:szCs w:val="24"/>
                <w:lang w:eastAsia="tr-TR"/>
              </w:rPr>
              <w:t>,</w:t>
            </w:r>
            <w:r w:rsidRPr="00A23740">
              <w:rPr>
                <w:szCs w:val="24"/>
                <w:lang w:eastAsia="tr-TR"/>
              </w:rPr>
              <w:t xml:space="preserve"> yokluğu</w:t>
            </w:r>
            <w:r w:rsidRPr="00A23740">
              <w:rPr>
                <w:szCs w:val="24"/>
              </w:rPr>
              <w:t xml:space="preserve"> borçluya en az zarar veren ve alacağı karşılaması </w:t>
            </w:r>
            <w:r w:rsidRPr="00A23740">
              <w:rPr>
                <w:szCs w:val="24"/>
                <w:lang w:eastAsia="tr-TR"/>
              </w:rPr>
              <w:t>muhtemel</w:t>
            </w:r>
            <w:r w:rsidR="00BC1FB3" w:rsidRPr="00A23740">
              <w:rPr>
                <w:szCs w:val="24"/>
                <w:lang w:eastAsia="tr-TR"/>
              </w:rPr>
              <w:t xml:space="preserve"> </w:t>
            </w:r>
            <w:r w:rsidR="00BC1FB3" w:rsidRPr="00DC7A0B">
              <w:rPr>
                <w:szCs w:val="24"/>
                <w:lang w:eastAsia="tr-TR"/>
              </w:rPr>
              <w:t>olan</w:t>
            </w:r>
            <w:r w:rsidRPr="00A23740">
              <w:rPr>
                <w:szCs w:val="24"/>
                <w:lang w:eastAsia="tr-TR"/>
              </w:rPr>
              <w:t xml:space="preserve"> mal</w:t>
            </w:r>
            <w:r w:rsidRPr="00A23740">
              <w:rPr>
                <w:szCs w:val="24"/>
              </w:rPr>
              <w:t xml:space="preserve"> ve haklardan başlanacağı, haczin uygulanması sırasında </w:t>
            </w:r>
            <w:r w:rsidR="00BC1FB3" w:rsidRPr="00DC7A0B">
              <w:rPr>
                <w:lang w:eastAsia="tr-TR"/>
              </w:rPr>
              <w:t>haciz mahallinde</w:t>
            </w:r>
            <w:r w:rsidR="00BC1FB3" w:rsidRPr="00A23740">
              <w:rPr>
                <w:szCs w:val="24"/>
              </w:rPr>
              <w:t xml:space="preserve"> </w:t>
            </w:r>
            <w:r w:rsidRPr="00A23740">
              <w:rPr>
                <w:szCs w:val="24"/>
              </w:rPr>
              <w:t>hazır bulunması h</w:t>
            </w:r>
            <w:r w:rsidR="00E54A6B" w:rsidRPr="00A23740">
              <w:rPr>
                <w:szCs w:val="24"/>
              </w:rPr>
              <w:t>â</w:t>
            </w:r>
            <w:r w:rsidRPr="00A23740">
              <w:rPr>
                <w:szCs w:val="24"/>
              </w:rPr>
              <w:t xml:space="preserve">linde alacaklı ve borçlunun da haciz işlemiyle ilgili görüşünün alınacağı belirtilmektedir. Şüphesiz ki, haciz işlemi sırasında haczedilen malın kıymeti tam olarak bilinemeyecektir. Bu husus haczedilen </w:t>
            </w:r>
            <w:r w:rsidR="00576137" w:rsidRPr="00DC7A0B">
              <w:rPr>
                <w:bCs/>
                <w:lang w:eastAsia="tr-TR"/>
              </w:rPr>
              <w:t>bazı</w:t>
            </w:r>
            <w:r w:rsidR="00576137" w:rsidRPr="00A23740">
              <w:rPr>
                <w:szCs w:val="24"/>
              </w:rPr>
              <w:t xml:space="preserve"> </w:t>
            </w:r>
            <w:r w:rsidRPr="00A23740">
              <w:rPr>
                <w:szCs w:val="24"/>
              </w:rPr>
              <w:t>mallar bakımından kıymet takdiri yapıldıktan sonra ortaya çıkacaktır. Dolayısıyla</w:t>
            </w:r>
            <w:r w:rsidR="00D42197" w:rsidRPr="00A23740">
              <w:rPr>
                <w:szCs w:val="24"/>
              </w:rPr>
              <w:t>,</w:t>
            </w:r>
            <w:r w:rsidRPr="00A23740">
              <w:rPr>
                <w:szCs w:val="24"/>
              </w:rPr>
              <w:t xml:space="preserve"> malın gerçek kıymeti belirlenecek muhammen bedelin ileride ortaya çıkacağı nazara alınarak</w:t>
            </w:r>
            <w:r w:rsidR="00D42197" w:rsidRPr="00A23740">
              <w:rPr>
                <w:szCs w:val="24"/>
              </w:rPr>
              <w:t>,</w:t>
            </w:r>
            <w:r w:rsidRPr="00A23740">
              <w:rPr>
                <w:szCs w:val="24"/>
              </w:rPr>
              <w:t xml:space="preserve"> somut olayın özelliklerine göre icra ve iflas d</w:t>
            </w:r>
            <w:r w:rsidR="00576137" w:rsidRPr="00A23740">
              <w:rPr>
                <w:szCs w:val="24"/>
              </w:rPr>
              <w:t>airesi bu hükmü uygulayacaktır.</w:t>
            </w:r>
          </w:p>
          <w:p w:rsidR="00B1518E" w:rsidRPr="00A23740" w:rsidRDefault="00B1518E" w:rsidP="009431FF">
            <w:pPr>
              <w:ind w:firstLine="709"/>
              <w:rPr>
                <w:szCs w:val="24"/>
                <w:lang w:val="x-none" w:eastAsia="x-none"/>
              </w:rPr>
            </w:pPr>
            <w:r w:rsidRPr="00A23740">
              <w:rPr>
                <w:szCs w:val="24"/>
              </w:rPr>
              <w:t xml:space="preserve">Dördüncü fıkrayla, icra ve iflas dairesinin, </w:t>
            </w:r>
            <w:r w:rsidRPr="00A23740">
              <w:rPr>
                <w:szCs w:val="24"/>
                <w:lang w:eastAsia="tr-TR"/>
              </w:rPr>
              <w:t xml:space="preserve">satış bedeli, paraya çevirme </w:t>
            </w:r>
            <w:r w:rsidRPr="00A23740">
              <w:rPr>
                <w:szCs w:val="24"/>
                <w:lang w:eastAsia="x-none"/>
              </w:rPr>
              <w:t xml:space="preserve">ile idare ve muhafaza giderlerini </w:t>
            </w:r>
            <w:r w:rsidRPr="00A23740">
              <w:rPr>
                <w:szCs w:val="24"/>
                <w:lang w:val="x-none" w:eastAsia="x-none"/>
              </w:rPr>
              <w:t xml:space="preserve">geçmeyeceği kesin ve açık olan şeyleri haczetmeyeceği </w:t>
            </w:r>
            <w:r w:rsidR="00D42197" w:rsidRPr="00A23740">
              <w:rPr>
                <w:szCs w:val="24"/>
                <w:lang w:eastAsia="x-none"/>
              </w:rPr>
              <w:t xml:space="preserve">kuralı </w:t>
            </w:r>
            <w:r w:rsidRPr="00A23740">
              <w:rPr>
                <w:szCs w:val="24"/>
                <w:lang w:val="x-none" w:eastAsia="x-none"/>
              </w:rPr>
              <w:t xml:space="preserve">kabul edilmiştir. Bununla birlikte icra ve iflas dairesi, </w:t>
            </w:r>
            <w:r w:rsidRPr="00A23740">
              <w:rPr>
                <w:szCs w:val="24"/>
                <w:lang w:eastAsia="tr-TR"/>
              </w:rPr>
              <w:t>söz konusu malları ve takdir ettiği değeri bu h</w:t>
            </w:r>
            <w:r w:rsidR="00E54A6B" w:rsidRPr="00A23740">
              <w:rPr>
                <w:szCs w:val="24"/>
                <w:lang w:eastAsia="tr-TR"/>
              </w:rPr>
              <w:t>â</w:t>
            </w:r>
            <w:r w:rsidRPr="00A23740">
              <w:rPr>
                <w:szCs w:val="24"/>
                <w:lang w:eastAsia="tr-TR"/>
              </w:rPr>
              <w:t xml:space="preserve">lde de haciz tutanağında </w:t>
            </w:r>
            <w:r w:rsidRPr="00A23740">
              <w:rPr>
                <w:szCs w:val="24"/>
                <w:lang w:val="x-none" w:eastAsia="x-none"/>
              </w:rPr>
              <w:t xml:space="preserve">gösterecek; bu nitelikte malların varlığı aciz belgesi düzenlenmesine engel teşkil etmeyecektir. Uygulamada, icra ve iflas dairelerinin aciz belgesi hazırlamadan önce nasıl bir araştırma yapacakları hususunda belirsizlikler ortaya çıkmakta ve özellikle kıymeti düşük malların bulunmasının aciz belgesi düzenlenmesine engel teşkil edip etmeyeceği sorunu ortaya çıkabilmektedir. Bu sorunun giderilmesi amacıyla dördüncü fıkraya </w:t>
            </w:r>
            <w:r w:rsidRPr="00A23740">
              <w:rPr>
                <w:i/>
                <w:iCs/>
                <w:szCs w:val="24"/>
                <w:lang w:val="x-none" w:eastAsia="x-none"/>
              </w:rPr>
              <w:t>“bu nitelikte malların varlığı aciz belgesi düzenlenmesine engel teşkil etmez”</w:t>
            </w:r>
            <w:r w:rsidRPr="00A23740">
              <w:rPr>
                <w:szCs w:val="24"/>
                <w:lang w:val="x-none" w:eastAsia="x-none"/>
              </w:rPr>
              <w:t xml:space="preserve"> hükmü eklenmiştir. </w:t>
            </w:r>
          </w:p>
          <w:p w:rsidR="00B1518E" w:rsidRPr="00A23740" w:rsidRDefault="00B1518E" w:rsidP="00DE193E">
            <w:pPr>
              <w:rPr>
                <w:rFonts w:eastAsia="Times New Roman"/>
                <w:b/>
                <w:szCs w:val="24"/>
                <w:lang w:eastAsia="tr-TR"/>
              </w:rPr>
            </w:pPr>
            <w:r w:rsidRPr="00A23740">
              <w:rPr>
                <w:bCs/>
                <w:color w:val="0000FF"/>
                <w:szCs w:val="24"/>
                <w:lang w:val="x-none" w:eastAsia="x-none"/>
              </w:rPr>
              <w:tab/>
            </w:r>
            <w:r w:rsidRPr="00A23740">
              <w:rPr>
                <w:szCs w:val="24"/>
                <w:lang w:val="x-none" w:eastAsia="x-none"/>
              </w:rPr>
              <w:t>Beşinci fıkrayla, icra ve iflas dairesinin faiz ve giderler dahil olmak üzere alacak miktarından fazlası için haciz</w:t>
            </w:r>
            <w:r w:rsidRPr="00A23740">
              <w:rPr>
                <w:rFonts w:eastAsia="Times New Roman"/>
                <w:szCs w:val="24"/>
                <w:lang w:val="x-none" w:eastAsia="tr-TR"/>
              </w:rPr>
              <w:t xml:space="preserve"> yapamayacağı, ayrıca</w:t>
            </w:r>
            <w:r w:rsidRPr="00A23740">
              <w:rPr>
                <w:rFonts w:eastAsia="Times New Roman"/>
                <w:szCs w:val="24"/>
                <w:lang w:eastAsia="tr-TR"/>
              </w:rPr>
              <w:t xml:space="preserve"> </w:t>
            </w:r>
            <w:r w:rsidR="00576137" w:rsidRPr="00A23740">
              <w:rPr>
                <w:szCs w:val="24"/>
                <w:lang w:val="x-none" w:eastAsia="x-none"/>
              </w:rPr>
              <w:t>a</w:t>
            </w:r>
            <w:r w:rsidRPr="00A23740">
              <w:rPr>
                <w:szCs w:val="24"/>
                <w:lang w:val="x-none" w:eastAsia="x-none"/>
              </w:rPr>
              <w:t>ynı alacak için</w:t>
            </w:r>
            <w:r w:rsidRPr="00A23740">
              <w:rPr>
                <w:szCs w:val="24"/>
              </w:rPr>
              <w:t xml:space="preserve"> </w:t>
            </w:r>
            <w:r w:rsidRPr="00A23740">
              <w:rPr>
                <w:szCs w:val="24"/>
                <w:lang w:val="x-none" w:eastAsia="x-none"/>
              </w:rPr>
              <w:t>aşkın hacze sebebiyet verecek şekilde birden faz</w:t>
            </w:r>
            <w:r w:rsidRPr="00DC7A0B">
              <w:rPr>
                <w:szCs w:val="24"/>
                <w:lang w:eastAsia="tr-TR"/>
              </w:rPr>
              <w:t>la mal veya hak</w:t>
            </w:r>
            <w:r w:rsidR="00D42197" w:rsidRPr="00A23740">
              <w:rPr>
                <w:szCs w:val="24"/>
                <w:lang w:eastAsia="tr-TR"/>
              </w:rPr>
              <w:t>kın</w:t>
            </w:r>
            <w:r w:rsidRPr="00DC7A0B">
              <w:rPr>
                <w:szCs w:val="24"/>
                <w:lang w:eastAsia="tr-TR"/>
              </w:rPr>
              <w:t xml:space="preserve"> haczedilemeyeceği düzenlenmiştir. Söz konusu hüküm, </w:t>
            </w:r>
            <w:r w:rsidR="00A3492E" w:rsidRPr="00DC7A0B">
              <w:rPr>
                <w:bCs/>
                <w:lang w:eastAsia="tr-TR"/>
              </w:rPr>
              <w:t>İsviçre</w:t>
            </w:r>
            <w:r w:rsidR="00E47822" w:rsidRPr="00DC7A0B">
              <w:rPr>
                <w:bCs/>
                <w:szCs w:val="24"/>
                <w:lang w:eastAsia="tr-TR"/>
              </w:rPr>
              <w:t>’nin</w:t>
            </w:r>
            <w:r w:rsidR="00A3492E" w:rsidRPr="00DC7A0B">
              <w:rPr>
                <w:bCs/>
                <w:lang w:eastAsia="tr-TR"/>
              </w:rPr>
              <w:t xml:space="preserve"> Borç İçin Takip ve İflas Hakkında Federal Kanununun</w:t>
            </w:r>
            <w:r w:rsidR="00A3492E" w:rsidRPr="00A23740">
              <w:rPr>
                <w:b/>
                <w:szCs w:val="24"/>
                <w:lang w:val="x-none" w:eastAsia="x-none"/>
              </w:rPr>
              <w:t xml:space="preserve"> </w:t>
            </w:r>
            <w:r w:rsidR="00A3492E" w:rsidRPr="00A23740">
              <w:rPr>
                <w:szCs w:val="24"/>
                <w:lang w:val="x-none" w:eastAsia="x-none"/>
              </w:rPr>
              <w:t>97/2 inci</w:t>
            </w:r>
            <w:r w:rsidRPr="00A23740">
              <w:rPr>
                <w:szCs w:val="24"/>
                <w:lang w:val="x-none" w:eastAsia="x-none"/>
              </w:rPr>
              <w:t xml:space="preserve"> maddesinde yer alan </w:t>
            </w:r>
            <w:r w:rsidRPr="00A23740">
              <w:rPr>
                <w:i/>
                <w:iCs/>
                <w:szCs w:val="24"/>
                <w:lang w:val="x-none" w:eastAsia="x-none"/>
              </w:rPr>
              <w:t>“ancak anapara, faiz ve giderleri karşılayacak değerde mal haczedilebilir”</w:t>
            </w:r>
            <w:r w:rsidRPr="00A23740">
              <w:rPr>
                <w:szCs w:val="24"/>
                <w:lang w:val="x-none" w:eastAsia="x-none"/>
              </w:rPr>
              <w:t xml:space="preserve"> şeklindeki düzenleme</w:t>
            </w:r>
            <w:r w:rsidR="00D42197" w:rsidRPr="00A23740">
              <w:rPr>
                <w:szCs w:val="24"/>
                <w:lang w:eastAsia="x-none"/>
              </w:rPr>
              <w:t>yle</w:t>
            </w:r>
            <w:r w:rsidRPr="00A23740">
              <w:rPr>
                <w:szCs w:val="24"/>
                <w:lang w:val="x-none" w:eastAsia="x-none"/>
              </w:rPr>
              <w:t xml:space="preserve"> uyumlu olacak şekilde yeniden kaleme alınmış olup, içerik bakımından herhangi bir farklılık </w:t>
            </w:r>
            <w:r w:rsidR="00D42197" w:rsidRPr="00A23740">
              <w:rPr>
                <w:szCs w:val="24"/>
                <w:lang w:eastAsia="x-none"/>
              </w:rPr>
              <w:t>bulun</w:t>
            </w:r>
            <w:r w:rsidRPr="00A23740">
              <w:rPr>
                <w:szCs w:val="24"/>
                <w:lang w:val="x-none" w:eastAsia="x-none"/>
              </w:rPr>
              <w:t>mamaktadır. Uygulamada, aşkın haciz</w:t>
            </w:r>
            <w:r w:rsidR="00D42197" w:rsidRPr="00A23740">
              <w:rPr>
                <w:szCs w:val="24"/>
                <w:lang w:eastAsia="x-none"/>
              </w:rPr>
              <w:t>le</w:t>
            </w:r>
            <w:r w:rsidRPr="00A23740">
              <w:rPr>
                <w:szCs w:val="24"/>
                <w:lang w:val="x-none" w:eastAsia="x-none"/>
              </w:rPr>
              <w:t xml:space="preserve"> ilgili olarak özellikle kıymet takdiri</w:t>
            </w:r>
            <w:r w:rsidR="00A3492E" w:rsidRPr="00A23740">
              <w:rPr>
                <w:szCs w:val="24"/>
                <w:lang w:eastAsia="x-none"/>
              </w:rPr>
              <w:t xml:space="preserve"> </w:t>
            </w:r>
            <w:r w:rsidR="00A3492E" w:rsidRPr="00DC7A0B">
              <w:rPr>
                <w:bCs/>
                <w:lang w:eastAsia="tr-TR"/>
              </w:rPr>
              <w:t>ve</w:t>
            </w:r>
            <w:r w:rsidRPr="00DC7A0B">
              <w:rPr>
                <w:szCs w:val="24"/>
                <w:lang w:eastAsia="tr-TR"/>
              </w:rPr>
              <w:t xml:space="preserve"> “</w:t>
            </w:r>
            <w:r w:rsidRPr="00A23740">
              <w:rPr>
                <w:szCs w:val="24"/>
                <w:lang w:val="x-none" w:eastAsia="x-none"/>
              </w:rPr>
              <w:t>alacak” teriminin kapsamı</w:t>
            </w:r>
            <w:r w:rsidR="00A3492E" w:rsidRPr="00A23740">
              <w:rPr>
                <w:szCs w:val="24"/>
                <w:lang w:eastAsia="x-none"/>
              </w:rPr>
              <w:t xml:space="preserve"> </w:t>
            </w:r>
            <w:r w:rsidR="00A3492E" w:rsidRPr="00DC7A0B">
              <w:rPr>
                <w:bCs/>
                <w:lang w:val="x-none" w:eastAsia="x-none"/>
              </w:rPr>
              <w:t>bakımından,</w:t>
            </w:r>
            <w:r w:rsidRPr="00A23740">
              <w:rPr>
                <w:szCs w:val="24"/>
                <w:lang w:val="x-none" w:eastAsia="x-none"/>
              </w:rPr>
              <w:t xml:space="preserve"> paraya çevirmenin ilerideki bir tarihte yapılacak olmasına bağlı sorunlar ortaya çıkabilmektedir. Bu hususlar, somut olayın özelliklerine göre </w:t>
            </w:r>
            <w:r w:rsidRPr="00DC7A0B">
              <w:rPr>
                <w:bCs/>
                <w:lang w:val="x-none" w:eastAsia="x-none"/>
              </w:rPr>
              <w:t>değerlendiril</w:t>
            </w:r>
            <w:r w:rsidR="00A3492E" w:rsidRPr="00DC7A0B">
              <w:rPr>
                <w:bCs/>
                <w:lang w:val="x-none" w:eastAsia="x-none"/>
              </w:rPr>
              <w:t>erek</w:t>
            </w:r>
            <w:r w:rsidRPr="00A23740">
              <w:rPr>
                <w:b/>
                <w:szCs w:val="24"/>
                <w:lang w:val="x-none" w:eastAsia="x-none"/>
              </w:rPr>
              <w:t xml:space="preserve"> </w:t>
            </w:r>
            <w:r w:rsidRPr="00A23740">
              <w:rPr>
                <w:szCs w:val="24"/>
                <w:lang w:val="x-none" w:eastAsia="x-none"/>
              </w:rPr>
              <w:t>öğreti ve yargı kararl</w:t>
            </w:r>
            <w:r w:rsidRPr="00DC7A0B">
              <w:rPr>
                <w:szCs w:val="24"/>
                <w:lang w:val="x-none" w:eastAsia="x-none"/>
              </w:rPr>
              <w:t>arı</w:t>
            </w:r>
            <w:r w:rsidR="00A3492E" w:rsidRPr="00DC7A0B">
              <w:rPr>
                <w:bCs/>
                <w:lang w:val="x-none" w:eastAsia="x-none"/>
              </w:rPr>
              <w:t>yla</w:t>
            </w:r>
            <w:r w:rsidR="00DE193E">
              <w:rPr>
                <w:szCs w:val="24"/>
                <w:lang w:val="x-none" w:eastAsia="x-none"/>
              </w:rPr>
              <w:t xml:space="preserve"> belirlenecektir.</w:t>
            </w:r>
          </w:p>
          <w:p w:rsidR="00B61037" w:rsidRPr="00A23740" w:rsidRDefault="00B61037" w:rsidP="00DE193E">
            <w:pPr>
              <w:tabs>
                <w:tab w:val="left" w:pos="567"/>
              </w:tabs>
              <w:ind w:firstLine="709"/>
              <w:rPr>
                <w:b/>
                <w:color w:val="0000FF"/>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Taşınır ve taşınmaz malların haczi :</w:t>
            </w:r>
          </w:p>
          <w:p w:rsidR="00AA5C8C" w:rsidRPr="00A23740" w:rsidRDefault="00AA5C8C" w:rsidP="009431FF">
            <w:pPr>
              <w:tabs>
                <w:tab w:val="left" w:pos="567"/>
              </w:tabs>
              <w:rPr>
                <w:b/>
                <w:strike/>
              </w:rPr>
            </w:pPr>
            <w:r w:rsidRPr="00A23740">
              <w:rPr>
                <w:b/>
                <w:bCs/>
                <w:strike/>
                <w:color w:val="FF0000"/>
                <w:szCs w:val="24"/>
              </w:rPr>
              <w:t xml:space="preserve">Madde 85 – </w:t>
            </w:r>
            <w:r w:rsidRPr="00A23740">
              <w:rPr>
                <w:rFonts w:eastAsia="Times New Roman"/>
                <w:b/>
                <w:strike/>
                <w:color w:val="FF0000"/>
                <w:szCs w:val="24"/>
                <w:lang w:eastAsia="tr-TR"/>
              </w:rPr>
              <w:t>(3) Ancak haczolunan taşınmaz artırmaya çıkarılmadan borçlu borcun itfasına yetecek taşınır mal veya vadesi gelmiş sağlam alacak gösterirse taşınmaz üzerinde haciz baki kalmak üzere önce gösterilen taşınır veya alacak da haczolunur.</w:t>
            </w:r>
          </w:p>
          <w:p w:rsidR="00AA5C8C" w:rsidRPr="00A23740" w:rsidRDefault="00AA5C8C" w:rsidP="009431FF">
            <w:pPr>
              <w:tabs>
                <w:tab w:val="left" w:pos="567"/>
              </w:tabs>
              <w:rPr>
                <w:rFonts w:eastAsia="Times New Roman"/>
                <w:b/>
                <w:szCs w:val="24"/>
                <w:lang w:eastAsia="tr-TR"/>
              </w:rPr>
            </w:pPr>
          </w:p>
        </w:tc>
        <w:tc>
          <w:tcPr>
            <w:tcW w:w="2500" w:type="pct"/>
          </w:tcPr>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Taşınmaz haczinde borçlunun borca yetecek taşınır mal göstermesi</w:t>
            </w:r>
          </w:p>
          <w:p w:rsidR="00AA5C8C" w:rsidRPr="00A23740" w:rsidRDefault="009D57E1" w:rsidP="009431FF">
            <w:pPr>
              <w:tabs>
                <w:tab w:val="left" w:pos="567"/>
              </w:tabs>
              <w:rPr>
                <w:b/>
                <w:bCs/>
                <w:color w:val="0000FF"/>
                <w:szCs w:val="24"/>
                <w:lang w:val="x-none" w:eastAsia="x-none"/>
              </w:rPr>
            </w:pPr>
            <w:r w:rsidRPr="00A23740">
              <w:rPr>
                <w:b/>
                <w:bCs/>
                <w:color w:val="0000FF"/>
                <w:szCs w:val="24"/>
                <w:lang w:val="x-none" w:eastAsia="x-none"/>
              </w:rPr>
              <w:t>MADDE 159</w:t>
            </w:r>
            <w:r w:rsidR="00AA5C8C" w:rsidRPr="00A23740">
              <w:rPr>
                <w:b/>
                <w:bCs/>
                <w:color w:val="0000FF"/>
                <w:szCs w:val="24"/>
                <w:lang w:val="x-none" w:eastAsia="x-none"/>
              </w:rPr>
              <w:t xml:space="preserve">- (1) Haczedilen taşınmazın kıymet takdiri kesinleşinceye kadar </w:t>
            </w:r>
            <w:r w:rsidR="00AA5C8C" w:rsidRPr="00DC7A0B">
              <w:rPr>
                <w:b/>
                <w:bCs/>
                <w:color w:val="0000FF"/>
                <w:szCs w:val="24"/>
                <w:lang w:val="x-none" w:eastAsia="x-none"/>
              </w:rPr>
              <w:t>borçlu,</w:t>
            </w:r>
            <w:r w:rsidR="00F20F68" w:rsidRPr="00DC7A0B">
              <w:rPr>
                <w:b/>
                <w:bCs/>
                <w:color w:val="0000FF"/>
                <w:szCs w:val="24"/>
                <w:lang w:eastAsia="x-none"/>
              </w:rPr>
              <w:t xml:space="preserve"> </w:t>
            </w:r>
            <w:r w:rsidR="00F20F68" w:rsidRPr="00DC7A0B">
              <w:rPr>
                <w:rStyle w:val="YELChar"/>
                <w:color w:val="0000FF"/>
              </w:rPr>
              <w:t>takip konusu</w:t>
            </w:r>
            <w:r w:rsidR="00AA5C8C" w:rsidRPr="00A23740">
              <w:rPr>
                <w:b/>
                <w:bCs/>
                <w:color w:val="0000FF"/>
                <w:szCs w:val="24"/>
                <w:lang w:val="x-none" w:eastAsia="x-none"/>
              </w:rPr>
              <w:t xml:space="preserve"> borcu </w:t>
            </w:r>
            <w:r w:rsidR="00F20F68" w:rsidRPr="00DC7A0B">
              <w:rPr>
                <w:rStyle w:val="YELChar"/>
                <w:color w:val="0000FF"/>
              </w:rPr>
              <w:t>karşılamaya</w:t>
            </w:r>
            <w:r w:rsidR="00F20F68" w:rsidRPr="00A23740">
              <w:rPr>
                <w:b/>
                <w:bCs/>
                <w:color w:val="0000FF"/>
                <w:szCs w:val="24"/>
                <w:lang w:eastAsia="x-none"/>
              </w:rPr>
              <w:t xml:space="preserve"> </w:t>
            </w:r>
            <w:r w:rsidR="00AA5C8C" w:rsidRPr="00A23740">
              <w:rPr>
                <w:b/>
                <w:bCs/>
                <w:color w:val="0000FF"/>
                <w:szCs w:val="24"/>
                <w:lang w:val="x-none" w:eastAsia="x-none"/>
              </w:rPr>
              <w:t>yetecek taşınır mal gösterirse taşınmaz üzerinde haciz</w:t>
            </w:r>
            <w:r w:rsidR="00AA5C8C" w:rsidRPr="00A23740">
              <w:rPr>
                <w:b/>
                <w:bCs/>
                <w:color w:val="0000FF"/>
                <w:szCs w:val="24"/>
                <w:lang w:eastAsia="x-none"/>
              </w:rPr>
              <w:t xml:space="preserve"> </w:t>
            </w:r>
            <w:r w:rsidR="00AA5C8C" w:rsidRPr="00A23740">
              <w:rPr>
                <w:rStyle w:val="MaviChar"/>
              </w:rPr>
              <w:t>saklı</w:t>
            </w:r>
            <w:r w:rsidR="00AA5C8C" w:rsidRPr="00A23740">
              <w:rPr>
                <w:b/>
                <w:bCs/>
                <w:color w:val="0000FF"/>
                <w:szCs w:val="24"/>
                <w:lang w:val="x-none" w:eastAsia="x-none"/>
              </w:rPr>
              <w:t xml:space="preserve"> kalmak üzere, gösterilen taşınır da haczedilir.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(2) Hacizli taşınmazın idare ve işletilmesine ilişkin</w:t>
            </w:r>
            <w:r w:rsidR="00C74E67" w:rsidRPr="00A23740">
              <w:rPr>
                <w:b/>
                <w:bCs/>
                <w:color w:val="0000FF"/>
                <w:szCs w:val="24"/>
                <w:lang w:eastAsia="x-none"/>
              </w:rPr>
              <w:t xml:space="preserve"> </w:t>
            </w:r>
            <w:r w:rsidR="00C74E67" w:rsidRPr="00DC7A0B">
              <w:rPr>
                <w:rStyle w:val="KonuBalChar"/>
                <w:rFonts w:eastAsia="Calibri"/>
                <w:color w:val="0000FF"/>
              </w:rPr>
              <w:t>189 ve 190 ıncı</w:t>
            </w:r>
            <w:r w:rsidRPr="00A23740">
              <w:rPr>
                <w:b/>
                <w:bCs/>
                <w:color w:val="0000FF"/>
                <w:szCs w:val="24"/>
                <w:lang w:val="x-none" w:eastAsia="x-none"/>
              </w:rPr>
              <w:t xml:space="preserve"> </w:t>
            </w:r>
            <w:r w:rsidRPr="00A23740">
              <w:rPr>
                <w:b/>
                <w:bCs/>
                <w:color w:val="0000FF"/>
                <w:szCs w:val="24"/>
                <w:lang w:eastAsia="x-none"/>
              </w:rPr>
              <w:t xml:space="preserve"> </w:t>
            </w:r>
            <w:r w:rsidRPr="00A23740">
              <w:rPr>
                <w:b/>
                <w:bCs/>
                <w:color w:val="0000FF"/>
                <w:szCs w:val="24"/>
                <w:lang w:val="x-none" w:eastAsia="x-none"/>
              </w:rPr>
              <w:t>üncü madde hükümleri taşınırın haczinden sonra uygulanmaz. İcra</w:t>
            </w:r>
            <w:r w:rsidRPr="00A23740">
              <w:rPr>
                <w:b/>
                <w:color w:val="FF3399"/>
                <w:szCs w:val="24"/>
              </w:rPr>
              <w:t xml:space="preserve"> </w:t>
            </w:r>
            <w:r w:rsidRPr="00A23740">
              <w:rPr>
                <w:rStyle w:val="MaviChar"/>
              </w:rPr>
              <w:t>ve iflas</w:t>
            </w:r>
            <w:r w:rsidRPr="00A23740">
              <w:rPr>
                <w:b/>
                <w:bCs/>
                <w:color w:val="0000FF"/>
                <w:szCs w:val="24"/>
                <w:lang w:val="x-none" w:eastAsia="x-none"/>
              </w:rPr>
              <w:t xml:space="preserve"> dairesi kiracı</w:t>
            </w:r>
            <w:r w:rsidR="00610DE0" w:rsidRPr="00A23740">
              <w:rPr>
                <w:b/>
                <w:bCs/>
                <w:color w:val="0000FF"/>
                <w:szCs w:val="24"/>
                <w:lang w:val="x-none" w:eastAsia="x-none"/>
              </w:rPr>
              <w:t>ları bu durumdan haberdar eder.</w:t>
            </w:r>
          </w:p>
          <w:p w:rsidR="00AA5C8C" w:rsidRPr="00A23740" w:rsidRDefault="00AA5C8C" w:rsidP="009431FF">
            <w:pPr>
              <w:pStyle w:val="KIRMIZI"/>
              <w:rPr>
                <w:color w:val="0000FF"/>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A43FD" w:rsidRPr="00A23740" w:rsidRDefault="00BA43FD" w:rsidP="009431FF">
            <w:pPr>
              <w:tabs>
                <w:tab w:val="left" w:pos="567"/>
              </w:tabs>
              <w:ind w:firstLine="709"/>
              <w:rPr>
                <w:b/>
              </w:rPr>
            </w:pPr>
          </w:p>
          <w:p w:rsidR="00B62391" w:rsidRPr="00DC7A0B" w:rsidRDefault="009D57E1" w:rsidP="009431FF">
            <w:pPr>
              <w:tabs>
                <w:tab w:val="left" w:pos="567"/>
              </w:tabs>
              <w:ind w:firstLine="709"/>
              <w:rPr>
                <w:bCs/>
                <w:color w:val="000000"/>
                <w:szCs w:val="24"/>
                <w:lang w:eastAsia="x-none"/>
              </w:rPr>
            </w:pPr>
            <w:r w:rsidRPr="00A23740">
              <w:rPr>
                <w:b/>
              </w:rPr>
              <w:t>MADDE 159-</w:t>
            </w:r>
            <w:r w:rsidR="00B62391" w:rsidRPr="00A23740">
              <w:rPr>
                <w:b/>
              </w:rPr>
              <w:t xml:space="preserve"> </w:t>
            </w:r>
            <w:r w:rsidR="00BA43FD" w:rsidRPr="00A23740">
              <w:rPr>
                <w:bCs/>
                <w:color w:val="000000"/>
                <w:szCs w:val="24"/>
                <w:lang w:eastAsia="x-none"/>
              </w:rPr>
              <w:t>Maddeyle,</w:t>
            </w:r>
            <w:r w:rsidR="00B62391" w:rsidRPr="00A23740">
              <w:rPr>
                <w:bCs/>
                <w:color w:val="000000"/>
                <w:szCs w:val="24"/>
                <w:lang w:eastAsia="x-none"/>
              </w:rPr>
              <w:t xml:space="preserve"> taşınmazların haczi üzerine</w:t>
            </w:r>
            <w:r w:rsidR="00B62391" w:rsidRPr="00A23740">
              <w:rPr>
                <w:bCs/>
                <w:color w:val="0000FF"/>
                <w:szCs w:val="24"/>
                <w:lang w:eastAsia="x-none"/>
              </w:rPr>
              <w:t xml:space="preserve"> </w:t>
            </w:r>
            <w:r w:rsidR="00B62391" w:rsidRPr="00A23740">
              <w:rPr>
                <w:bCs/>
                <w:color w:val="000000"/>
                <w:szCs w:val="24"/>
                <w:lang w:eastAsia="x-none"/>
              </w:rPr>
              <w:t>daha az maliyetle paraya çevrilmesi mümkün olan ve alacaklı ve borçluya daha az külfet yükleyen taşı</w:t>
            </w:r>
            <w:r w:rsidR="00BA43FD" w:rsidRPr="00A23740">
              <w:rPr>
                <w:bCs/>
                <w:color w:val="000000"/>
                <w:szCs w:val="24"/>
                <w:lang w:eastAsia="x-none"/>
              </w:rPr>
              <w:t>nırın haczi ve satışı düzenlenmektedir. Hüküm, 2004 sayılı Kanunun 85 inci maddesinin üçüncü fıkrasına karşılık gelmektedir.</w:t>
            </w:r>
          </w:p>
          <w:p w:rsidR="00B62391" w:rsidRPr="00DC7A0B" w:rsidRDefault="00B62391" w:rsidP="009431FF">
            <w:pPr>
              <w:tabs>
                <w:tab w:val="left" w:pos="567"/>
              </w:tabs>
              <w:ind w:firstLine="709"/>
              <w:rPr>
                <w:bCs/>
                <w:color w:val="000000"/>
                <w:szCs w:val="24"/>
                <w:lang w:eastAsia="x-none"/>
              </w:rPr>
            </w:pPr>
            <w:r w:rsidRPr="00A23740">
              <w:rPr>
                <w:bCs/>
                <w:color w:val="000000"/>
                <w:szCs w:val="24"/>
                <w:lang w:eastAsia="x-none"/>
              </w:rPr>
              <w:t>Birinci fıkrayla</w:t>
            </w:r>
            <w:r w:rsidR="00BA43FD" w:rsidRPr="00A23740">
              <w:rPr>
                <w:bCs/>
                <w:color w:val="000000"/>
                <w:szCs w:val="24"/>
                <w:lang w:eastAsia="x-none"/>
              </w:rPr>
              <w:t>,</w:t>
            </w:r>
            <w:r w:rsidRPr="00A23740">
              <w:rPr>
                <w:bCs/>
                <w:color w:val="000000"/>
                <w:szCs w:val="24"/>
                <w:lang w:eastAsia="x-none"/>
              </w:rPr>
              <w:t xml:space="preserve"> taşınmazı haczedilen borçlu</w:t>
            </w:r>
            <w:r w:rsidR="00610DE0" w:rsidRPr="00DC7A0B">
              <w:rPr>
                <w:bCs/>
                <w:color w:val="000000"/>
                <w:szCs w:val="24"/>
                <w:lang w:eastAsia="x-none"/>
              </w:rPr>
              <w:t>nun,</w:t>
            </w:r>
            <w:r w:rsidRPr="00A23740">
              <w:rPr>
                <w:bCs/>
                <w:color w:val="000000"/>
                <w:szCs w:val="24"/>
                <w:lang w:eastAsia="x-none"/>
              </w:rPr>
              <w:t xml:space="preserve"> taşınmazın kıymet</w:t>
            </w:r>
            <w:r w:rsidR="00610DE0" w:rsidRPr="00DC7A0B">
              <w:rPr>
                <w:bCs/>
                <w:color w:val="000000"/>
                <w:szCs w:val="24"/>
                <w:lang w:eastAsia="x-none"/>
              </w:rPr>
              <w:t xml:space="preserve"> takdiri kesinleşinceye kadar takip konusu borcu karşılayacak kadar taşınır malının haczini talep etmesi h</w:t>
            </w:r>
            <w:r w:rsidR="00E54A6B" w:rsidRPr="00DC7A0B">
              <w:rPr>
                <w:bCs/>
                <w:color w:val="000000"/>
                <w:szCs w:val="24"/>
                <w:lang w:eastAsia="x-none"/>
              </w:rPr>
              <w:t>â</w:t>
            </w:r>
            <w:r w:rsidR="00610DE0" w:rsidRPr="00DC7A0B">
              <w:rPr>
                <w:bCs/>
                <w:color w:val="000000"/>
                <w:szCs w:val="24"/>
                <w:lang w:eastAsia="x-none"/>
              </w:rPr>
              <w:t>linde</w:t>
            </w:r>
            <w:r w:rsidRPr="00DC7A0B">
              <w:rPr>
                <w:bCs/>
                <w:color w:val="000000"/>
                <w:szCs w:val="24"/>
                <w:lang w:eastAsia="x-none"/>
              </w:rPr>
              <w:t xml:space="preserve"> </w:t>
            </w:r>
            <w:r w:rsidRPr="00A23740">
              <w:rPr>
                <w:bCs/>
                <w:color w:val="000000"/>
                <w:szCs w:val="24"/>
                <w:lang w:eastAsia="x-none"/>
              </w:rPr>
              <w:t>taşınmaz üzerindeki haciz devam etmek kaydı</w:t>
            </w:r>
            <w:r w:rsidR="00610DE0" w:rsidRPr="00DC7A0B">
              <w:rPr>
                <w:bCs/>
                <w:color w:val="000000"/>
                <w:szCs w:val="24"/>
                <w:lang w:eastAsia="x-none"/>
              </w:rPr>
              <w:t>yla</w:t>
            </w:r>
            <w:r w:rsidR="00610DE0" w:rsidRPr="00A23740">
              <w:rPr>
                <w:bCs/>
                <w:color w:val="000000"/>
                <w:szCs w:val="24"/>
                <w:lang w:eastAsia="x-none"/>
              </w:rPr>
              <w:t xml:space="preserve"> </w:t>
            </w:r>
            <w:r w:rsidR="00610DE0" w:rsidRPr="00DC7A0B">
              <w:rPr>
                <w:bCs/>
                <w:color w:val="000000"/>
                <w:szCs w:val="24"/>
                <w:lang w:eastAsia="x-none"/>
              </w:rPr>
              <w:t>gösterilen</w:t>
            </w:r>
            <w:r w:rsidRPr="00A23740">
              <w:rPr>
                <w:bCs/>
                <w:color w:val="000000"/>
                <w:szCs w:val="24"/>
                <w:lang w:eastAsia="x-none"/>
              </w:rPr>
              <w:t xml:space="preserve"> taşınır</w:t>
            </w:r>
            <w:r w:rsidR="00610DE0" w:rsidRPr="00DC7A0B">
              <w:rPr>
                <w:bCs/>
                <w:color w:val="000000"/>
                <w:szCs w:val="24"/>
                <w:lang w:eastAsia="x-none"/>
              </w:rPr>
              <w:t>lar</w:t>
            </w:r>
            <w:r w:rsidRPr="00A23740">
              <w:rPr>
                <w:bCs/>
                <w:color w:val="000000"/>
                <w:szCs w:val="24"/>
                <w:lang w:eastAsia="x-none"/>
              </w:rPr>
              <w:t>ın</w:t>
            </w:r>
            <w:r w:rsidR="00610DE0" w:rsidRPr="00A23740">
              <w:rPr>
                <w:bCs/>
                <w:color w:val="000000"/>
                <w:szCs w:val="24"/>
                <w:lang w:eastAsia="x-none"/>
              </w:rPr>
              <w:t xml:space="preserve"> </w:t>
            </w:r>
            <w:r w:rsidR="00610DE0" w:rsidRPr="00DC7A0B">
              <w:rPr>
                <w:bCs/>
                <w:color w:val="000000"/>
                <w:szCs w:val="24"/>
                <w:lang w:eastAsia="x-none"/>
              </w:rPr>
              <w:t>da</w:t>
            </w:r>
            <w:r w:rsidRPr="00A23740">
              <w:rPr>
                <w:bCs/>
                <w:color w:val="000000"/>
                <w:szCs w:val="24"/>
                <w:lang w:eastAsia="x-none"/>
              </w:rPr>
              <w:t xml:space="preserve"> haczedileceği düzenlenm</w:t>
            </w:r>
            <w:r w:rsidR="00610DE0" w:rsidRPr="00A23740">
              <w:rPr>
                <w:bCs/>
                <w:color w:val="000000"/>
                <w:szCs w:val="24"/>
                <w:lang w:eastAsia="x-none"/>
              </w:rPr>
              <w:t xml:space="preserve">ektedir. </w:t>
            </w:r>
            <w:r w:rsidR="00610DE0" w:rsidRPr="00DC7A0B">
              <w:rPr>
                <w:bCs/>
                <w:color w:val="000000"/>
                <w:szCs w:val="24"/>
                <w:lang w:eastAsia="x-none"/>
              </w:rPr>
              <w:t>Bu h</w:t>
            </w:r>
            <w:r w:rsidR="00E54A6B" w:rsidRPr="00DC7A0B">
              <w:rPr>
                <w:bCs/>
                <w:color w:val="000000"/>
                <w:szCs w:val="24"/>
                <w:lang w:eastAsia="x-none"/>
              </w:rPr>
              <w:t>â</w:t>
            </w:r>
            <w:r w:rsidR="00610DE0" w:rsidRPr="00DC7A0B">
              <w:rPr>
                <w:bCs/>
                <w:color w:val="000000"/>
                <w:szCs w:val="24"/>
                <w:lang w:eastAsia="x-none"/>
              </w:rPr>
              <w:t>lde taşınmaz malın satışı ertelenmiş olur.</w:t>
            </w:r>
            <w:r w:rsidR="00F20F68" w:rsidRPr="00DC7A0B">
              <w:rPr>
                <w:bCs/>
                <w:color w:val="000000"/>
                <w:szCs w:val="24"/>
                <w:lang w:eastAsia="x-none"/>
              </w:rPr>
              <w:t xml:space="preserve"> Yapılan düzenlemeyle 2004 sayılı Kanundan farklı olarak borçlunun taşınmaz dışındaki başka malların haczini, taşınmazın kıymet takdirinin kesinleşmesine kadar isteyebileceği benimsenmiştir. Öte yandan önceki hükümden farklı olarak “sağlam alacak” yerine sadece “taşınır” mallarının haczini talep </w:t>
            </w:r>
            <w:r w:rsidR="00D42197" w:rsidRPr="00DC7A0B">
              <w:rPr>
                <w:bCs/>
                <w:color w:val="000000"/>
                <w:szCs w:val="24"/>
                <w:lang w:eastAsia="x-none"/>
              </w:rPr>
              <w:t xml:space="preserve"> edebilmesi </w:t>
            </w:r>
            <w:r w:rsidR="00F20F68" w:rsidRPr="00DC7A0B">
              <w:rPr>
                <w:bCs/>
                <w:color w:val="000000"/>
                <w:szCs w:val="24"/>
                <w:lang w:eastAsia="x-none"/>
              </w:rPr>
              <w:t>kabul edilmiştir.</w:t>
            </w:r>
          </w:p>
          <w:p w:rsidR="00B62391" w:rsidRPr="00A23740" w:rsidRDefault="00B62391" w:rsidP="009431FF">
            <w:pPr>
              <w:tabs>
                <w:tab w:val="left" w:pos="567"/>
              </w:tabs>
              <w:ind w:firstLine="709"/>
              <w:rPr>
                <w:rFonts w:eastAsia="Times New Roman"/>
                <w:b/>
                <w:szCs w:val="24"/>
                <w:lang w:eastAsia="tr-TR"/>
              </w:rPr>
            </w:pPr>
            <w:r w:rsidRPr="00A23740">
              <w:rPr>
                <w:bCs/>
                <w:color w:val="000000"/>
                <w:szCs w:val="24"/>
                <w:lang w:eastAsia="x-none"/>
              </w:rPr>
              <w:t>İkinci fıkra</w:t>
            </w:r>
            <w:r w:rsidR="00A45B35" w:rsidRPr="00DC7A0B">
              <w:rPr>
                <w:bCs/>
                <w:color w:val="000000"/>
                <w:szCs w:val="24"/>
                <w:lang w:eastAsia="x-none"/>
              </w:rPr>
              <w:t>yla</w:t>
            </w:r>
            <w:r w:rsidRPr="00A23740">
              <w:rPr>
                <w:bCs/>
                <w:color w:val="000000"/>
                <w:szCs w:val="24"/>
                <w:lang w:eastAsia="x-none"/>
              </w:rPr>
              <w:t xml:space="preserve"> </w:t>
            </w:r>
            <w:r w:rsidR="00F20F68" w:rsidRPr="00DC7A0B">
              <w:rPr>
                <w:bCs/>
                <w:color w:val="000000"/>
                <w:szCs w:val="24"/>
                <w:lang w:eastAsia="x-none"/>
              </w:rPr>
              <w:t>borçlunun</w:t>
            </w:r>
            <w:r w:rsidR="00F20F68" w:rsidRPr="00DC7A0B">
              <w:rPr>
                <w:b/>
                <w:bCs/>
                <w:color w:val="000000"/>
                <w:lang w:eastAsia="x-none"/>
              </w:rPr>
              <w:t xml:space="preserve"> </w:t>
            </w:r>
            <w:r w:rsidR="00F20F68" w:rsidRPr="00DC7A0B">
              <w:rPr>
                <w:bCs/>
                <w:color w:val="000000"/>
                <w:szCs w:val="24"/>
                <w:lang w:eastAsia="x-none"/>
              </w:rPr>
              <w:t>gösterdiği taşınır malın haczedilmesi üzerine</w:t>
            </w:r>
            <w:r w:rsidR="00C616B3" w:rsidRPr="00C616B3">
              <w:rPr>
                <w:rStyle w:val="KIRMIZIChar"/>
                <w:rFonts w:eastAsia="Calibri"/>
                <w:strike w:val="0"/>
              </w:rPr>
              <w:t xml:space="preserve"> </w:t>
            </w:r>
            <w:r w:rsidR="00F20F68" w:rsidRPr="00DC7A0B">
              <w:rPr>
                <w:bCs/>
                <w:color w:val="000000"/>
                <w:szCs w:val="24"/>
                <w:lang w:eastAsia="x-none"/>
              </w:rPr>
              <w:t>hacizli taşınmazın idare ve işletilmesine ilişkin hükümlerin uygulanmayacağı ve</w:t>
            </w:r>
            <w:r w:rsidR="00A45B35" w:rsidRPr="00DC7A0B">
              <w:rPr>
                <w:bCs/>
                <w:color w:val="000000"/>
                <w:szCs w:val="24"/>
                <w:lang w:eastAsia="x-none"/>
              </w:rPr>
              <w:t xml:space="preserve"> bu hususun kiracılara bildirileceği düzenlenmiştir.</w:t>
            </w:r>
          </w:p>
          <w:p w:rsidR="00B62391" w:rsidRPr="00A23740" w:rsidRDefault="00B62391" w:rsidP="00DE193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Taşınır ve taşınmaz malların haczi :</w:t>
            </w:r>
          </w:p>
          <w:p w:rsidR="00AA5C8C" w:rsidRPr="00A23740" w:rsidRDefault="00AA5C8C" w:rsidP="009431FF">
            <w:pPr>
              <w:tabs>
                <w:tab w:val="left" w:pos="567"/>
              </w:tabs>
              <w:rPr>
                <w:rFonts w:eastAsia="Times New Roman"/>
                <w:b/>
                <w:strike/>
                <w:color w:val="FF0000"/>
                <w:szCs w:val="24"/>
                <w:lang w:eastAsia="tr-TR"/>
              </w:rPr>
            </w:pPr>
            <w:r w:rsidRPr="00A23740">
              <w:rPr>
                <w:b/>
                <w:bCs/>
                <w:strike/>
                <w:color w:val="FF0000"/>
                <w:szCs w:val="24"/>
              </w:rPr>
              <w:t>Madde 85 –</w:t>
            </w: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(2) (Değişik fıkra: 9/11/1988 - 3494/8 md.)</w:t>
            </w:r>
            <w:r w:rsidRPr="00A23740">
              <w:rPr>
                <w:rFonts w:eastAsia="Times New Roman"/>
                <w:szCs w:val="24"/>
                <w:lang w:eastAsia="tr-TR"/>
              </w:rPr>
              <w:t xml:space="preserve"> Borçlu yahut borçlu ile birlikte malı elinde bulunduran </w:t>
            </w:r>
            <w:r w:rsidRPr="00A23740">
              <w:rPr>
                <w:rStyle w:val="KIRMIZIChar"/>
                <w:rFonts w:eastAsia="Calibri"/>
              </w:rPr>
              <w:t>şahıslar,</w:t>
            </w:r>
            <w:r w:rsidRPr="00A23740">
              <w:rPr>
                <w:rFonts w:eastAsia="Times New Roman"/>
                <w:szCs w:val="24"/>
                <w:lang w:eastAsia="tr-TR"/>
              </w:rPr>
              <w:t xml:space="preserve"> taşınır mal üzerinde üçüncü bir </w:t>
            </w:r>
            <w:r w:rsidRPr="00A23740">
              <w:rPr>
                <w:b/>
                <w:bCs/>
                <w:strike/>
                <w:color w:val="FF0000"/>
                <w:szCs w:val="24"/>
              </w:rPr>
              <w:t>şahsın</w:t>
            </w:r>
            <w:r w:rsidRPr="00A23740">
              <w:rPr>
                <w:rFonts w:eastAsia="Times New Roman"/>
                <w:szCs w:val="24"/>
                <w:lang w:eastAsia="tr-TR"/>
              </w:rPr>
              <w:t xml:space="preserve"> mülkiyet veya rehin hakkı gibi sınırlı bir ayni hakkının bulunması </w:t>
            </w:r>
            <w:r w:rsidRPr="00A23740">
              <w:rPr>
                <w:rStyle w:val="KIRMIZIChar"/>
                <w:rFonts w:eastAsia="Calibri"/>
              </w:rPr>
              <w:t>veya</w:t>
            </w:r>
            <w:r w:rsidRPr="00A23740">
              <w:rPr>
                <w:rFonts w:eastAsia="Times New Roman"/>
                <w:szCs w:val="24"/>
                <w:lang w:eastAsia="tr-TR"/>
              </w:rPr>
              <w:t xml:space="preserve"> taşınır malın </w:t>
            </w:r>
            <w:r w:rsidRPr="00A23740">
              <w:rPr>
                <w:b/>
                <w:bCs/>
                <w:strike/>
                <w:color w:val="FF0000"/>
                <w:szCs w:val="24"/>
              </w:rPr>
              <w:t>üçüncü şahıs tarafından</w:t>
            </w:r>
            <w:r w:rsidRPr="00A23740">
              <w:rPr>
                <w:rFonts w:eastAsia="Times New Roman"/>
                <w:szCs w:val="24"/>
                <w:lang w:eastAsia="tr-TR"/>
              </w:rPr>
              <w:t xml:space="preserve"> haczedilmiş olması halinde bu hususu haciz yapan </w:t>
            </w:r>
            <w:r w:rsidRPr="00A23740">
              <w:rPr>
                <w:b/>
                <w:bCs/>
                <w:strike/>
                <w:color w:val="FF0000"/>
                <w:szCs w:val="24"/>
              </w:rPr>
              <w:t>memura</w:t>
            </w:r>
            <w:r w:rsidRPr="00A23740">
              <w:rPr>
                <w:rFonts w:eastAsia="Times New Roman"/>
                <w:szCs w:val="24"/>
                <w:lang w:eastAsia="tr-TR"/>
              </w:rPr>
              <w:t xml:space="preserve"> beyan etmek ve </w:t>
            </w:r>
            <w:r w:rsidRPr="00A23740">
              <w:rPr>
                <w:b/>
                <w:bCs/>
                <w:strike/>
                <w:color w:val="FF0000"/>
                <w:szCs w:val="24"/>
              </w:rPr>
              <w:t>beyanının haciz tutanağına geçerilmesini talep etmek,</w:t>
            </w:r>
            <w:r w:rsidRPr="00A23740">
              <w:rPr>
                <w:rFonts w:eastAsia="Times New Roman"/>
                <w:szCs w:val="24"/>
                <w:lang w:eastAsia="tr-TR"/>
              </w:rPr>
              <w:t xml:space="preserve"> haczi yapan memur da borçluyu yahut borçlu ile birlikte malı elinde bulunduran şahısları bu beyana davet etmek zorundadır. Bu tür mallar ile üçüncü </w:t>
            </w:r>
            <w:r w:rsidRPr="00A23740">
              <w:rPr>
                <w:b/>
                <w:bCs/>
                <w:strike/>
                <w:color w:val="FF0000"/>
                <w:szCs w:val="24"/>
              </w:rPr>
              <w:t>şahıs</w:t>
            </w:r>
            <w:r w:rsidRPr="00A23740">
              <w:rPr>
                <w:rFonts w:eastAsia="Times New Roman"/>
                <w:szCs w:val="24"/>
                <w:lang w:eastAsia="tr-TR"/>
              </w:rPr>
              <w:t xml:space="preserve"> tarafından ihtiyaten haciz veya istihkak iddia edilmiş bulunan malların haczi en sonraya bırakılır.</w:t>
            </w:r>
          </w:p>
          <w:p w:rsidR="00AA5C8C" w:rsidRPr="00A23740" w:rsidRDefault="00AA5C8C" w:rsidP="009431FF">
            <w:pPr>
              <w:tabs>
                <w:tab w:val="left" w:pos="567"/>
              </w:tabs>
              <w:rPr>
                <w:rFonts w:eastAsia="Times New Roman"/>
                <w:b/>
                <w:szCs w:val="24"/>
                <w:lang w:eastAsia="tr-TR"/>
              </w:rPr>
            </w:pPr>
          </w:p>
        </w:tc>
        <w:tc>
          <w:tcPr>
            <w:tcW w:w="2500" w:type="pct"/>
          </w:tcPr>
          <w:p w:rsidR="00AA5C8C" w:rsidRPr="00A23740" w:rsidRDefault="00AA5C8C" w:rsidP="009431FF">
            <w:pPr>
              <w:tabs>
                <w:tab w:val="left" w:pos="567"/>
              </w:tabs>
              <w:rPr>
                <w:rStyle w:val="KIRMIZIChar"/>
                <w:rFonts w:eastAsia="Calibri"/>
              </w:rPr>
            </w:pPr>
            <w:r w:rsidRPr="00A23740">
              <w:rPr>
                <w:b/>
                <w:bCs/>
                <w:color w:val="0000FF"/>
                <w:szCs w:val="24"/>
                <w:lang w:val="x-none" w:eastAsia="x-none"/>
              </w:rPr>
              <w:t xml:space="preserve">Taşınır üzerinde üçüncü kişinin mülkiyet </w:t>
            </w:r>
            <w:r w:rsidR="009958E3" w:rsidRPr="00DC7A0B">
              <w:rPr>
                <w:rStyle w:val="YELChar"/>
                <w:color w:val="0000FF"/>
              </w:rPr>
              <w:t>veya</w:t>
            </w:r>
            <w:r w:rsidR="009958E3" w:rsidRPr="00A23740">
              <w:rPr>
                <w:b/>
                <w:bCs/>
                <w:color w:val="0000FF"/>
                <w:szCs w:val="24"/>
                <w:lang w:eastAsia="x-none"/>
              </w:rPr>
              <w:t xml:space="preserve"> </w:t>
            </w:r>
            <w:r w:rsidRPr="00A23740">
              <w:rPr>
                <w:b/>
                <w:bCs/>
                <w:color w:val="0000FF"/>
                <w:szCs w:val="24"/>
                <w:lang w:val="x-none" w:eastAsia="x-none"/>
              </w:rPr>
              <w:t>sınırlı ayn</w:t>
            </w:r>
            <w:r w:rsidR="00AC45AD" w:rsidRPr="00A23740">
              <w:rPr>
                <w:b/>
                <w:bCs/>
                <w:color w:val="0000FF"/>
                <w:szCs w:val="24"/>
                <w:lang w:eastAsia="x-none"/>
              </w:rPr>
              <w:t>i</w:t>
            </w:r>
            <w:r w:rsidRPr="00A23740">
              <w:rPr>
                <w:b/>
                <w:bCs/>
                <w:color w:val="0000FF"/>
                <w:szCs w:val="24"/>
                <w:lang w:val="x-none" w:eastAsia="x-none"/>
              </w:rPr>
              <w:t xml:space="preserve"> hak</w:t>
            </w:r>
            <w:r w:rsidR="009958E3" w:rsidRPr="00DC7A0B">
              <w:rPr>
                <w:rStyle w:val="YELChar"/>
                <w:color w:val="0000FF"/>
              </w:rPr>
              <w:t xml:space="preserve">kının </w:t>
            </w:r>
            <w:r w:rsidR="00330F89" w:rsidRPr="00DC7A0B">
              <w:rPr>
                <w:rStyle w:val="YELChar"/>
                <w:color w:val="0000FF"/>
              </w:rPr>
              <w:t>ya da</w:t>
            </w:r>
            <w:r w:rsidR="009958E3" w:rsidRPr="00DC7A0B">
              <w:rPr>
                <w:rStyle w:val="YELChar"/>
                <w:color w:val="0000FF"/>
              </w:rPr>
              <w:t xml:space="preserve"> </w:t>
            </w:r>
            <w:r w:rsidR="007B5A7F" w:rsidRPr="00DC7A0B">
              <w:rPr>
                <w:rStyle w:val="YELChar"/>
                <w:color w:val="0000FF"/>
              </w:rPr>
              <w:t>haczinin bulunması</w:t>
            </w:r>
            <w:r w:rsidR="007B5A7F" w:rsidRPr="00A23740">
              <w:rPr>
                <w:rStyle w:val="YELChar"/>
              </w:rPr>
              <w:t xml:space="preserve"> </w:t>
            </w: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 xml:space="preserve">MADDE </w:t>
            </w:r>
            <w:r w:rsidR="009D57E1" w:rsidRPr="00A23740">
              <w:rPr>
                <w:b/>
                <w:bCs/>
                <w:color w:val="0000FF"/>
                <w:szCs w:val="24"/>
                <w:lang w:eastAsia="x-none"/>
              </w:rPr>
              <w:t>160</w:t>
            </w:r>
            <w:r w:rsidRPr="00A23740">
              <w:rPr>
                <w:b/>
                <w:bCs/>
                <w:color w:val="0000FF"/>
                <w:szCs w:val="24"/>
                <w:lang w:val="x-none" w:eastAsia="x-none"/>
              </w:rPr>
              <w:t xml:space="preserve">- (1) </w:t>
            </w:r>
            <w:r w:rsidRPr="00A23740">
              <w:rPr>
                <w:szCs w:val="24"/>
                <w:lang w:eastAsia="tr-TR"/>
              </w:rPr>
              <w:t xml:space="preserve">Borçlu </w:t>
            </w:r>
            <w:r w:rsidRPr="00A23740">
              <w:rPr>
                <w:rStyle w:val="MaviChar"/>
              </w:rPr>
              <w:t>veya</w:t>
            </w:r>
            <w:r w:rsidRPr="00A23740">
              <w:rPr>
                <w:szCs w:val="24"/>
                <w:lang w:eastAsia="tr-TR"/>
              </w:rPr>
              <w:t xml:space="preserve"> borçlu ile birlikte malı elinde</w:t>
            </w:r>
            <w:r w:rsidRPr="00A23740">
              <w:rPr>
                <w:b/>
                <w:bCs/>
                <w:color w:val="0000FF"/>
                <w:szCs w:val="24"/>
                <w:lang w:val="x-none" w:eastAsia="tr-TR"/>
              </w:rPr>
              <w:t xml:space="preserve"> </w:t>
            </w:r>
            <w:r w:rsidRPr="00A23740">
              <w:rPr>
                <w:szCs w:val="24"/>
                <w:lang w:eastAsia="tr-TR"/>
              </w:rPr>
              <w:t>bulunduran</w:t>
            </w:r>
            <w:r w:rsidRPr="00A23740">
              <w:rPr>
                <w:rStyle w:val="MaviChar"/>
              </w:rPr>
              <w:t>l</w:t>
            </w:r>
            <w:r w:rsidRPr="00A23740">
              <w:rPr>
                <w:b/>
                <w:bCs/>
                <w:color w:val="0000FF"/>
                <w:szCs w:val="24"/>
                <w:lang w:val="x-none" w:eastAsia="x-none"/>
              </w:rPr>
              <w:t xml:space="preserve">ar, </w:t>
            </w:r>
            <w:r w:rsidRPr="00A23740">
              <w:rPr>
                <w:szCs w:val="24"/>
                <w:lang w:eastAsia="tr-TR"/>
              </w:rPr>
              <w:t>taşınır mal üzerinde üçüncü</w:t>
            </w:r>
            <w:r w:rsidRPr="00A23740">
              <w:rPr>
                <w:b/>
                <w:bCs/>
                <w:color w:val="0000FF"/>
                <w:szCs w:val="24"/>
                <w:lang w:val="x-none" w:eastAsia="x-none"/>
              </w:rPr>
              <w:t xml:space="preserve"> kişinin </w:t>
            </w:r>
            <w:r w:rsidRPr="00A23740">
              <w:rPr>
                <w:szCs w:val="24"/>
                <w:lang w:eastAsia="tr-TR"/>
              </w:rPr>
              <w:t xml:space="preserve">mülkiyet </w:t>
            </w:r>
            <w:r w:rsidRPr="00A23740">
              <w:rPr>
                <w:rStyle w:val="MaviChar"/>
              </w:rPr>
              <w:t>ya da</w:t>
            </w:r>
            <w:r w:rsidRPr="00A23740">
              <w:rPr>
                <w:szCs w:val="24"/>
                <w:lang w:eastAsia="tr-TR"/>
              </w:rPr>
              <w:t xml:space="preserve"> sınırlı bir ayn</w:t>
            </w:r>
            <w:r w:rsidR="00AC45AD" w:rsidRPr="00A23740">
              <w:rPr>
                <w:szCs w:val="24"/>
                <w:lang w:eastAsia="tr-TR"/>
              </w:rPr>
              <w:t>i</w:t>
            </w:r>
            <w:r w:rsidRPr="00A23740">
              <w:rPr>
                <w:szCs w:val="24"/>
                <w:lang w:eastAsia="tr-TR"/>
              </w:rPr>
              <w:t xml:space="preserve"> hakkının bulunması </w:t>
            </w:r>
            <w:r w:rsidRPr="00A23740">
              <w:rPr>
                <w:rStyle w:val="MaviChar"/>
              </w:rPr>
              <w:t>yahut</w:t>
            </w:r>
            <w:r w:rsidRPr="00A23740">
              <w:rPr>
                <w:szCs w:val="24"/>
                <w:lang w:eastAsia="tr-TR"/>
              </w:rPr>
              <w:t xml:space="preserve"> taşınır malın</w:t>
            </w:r>
            <w:r w:rsidR="007B5A7F" w:rsidRPr="00A23740">
              <w:rPr>
                <w:szCs w:val="24"/>
                <w:lang w:eastAsia="tr-TR"/>
              </w:rPr>
              <w:t xml:space="preserve"> </w:t>
            </w:r>
            <w:r w:rsidR="007B5A7F" w:rsidRPr="00DC7A0B">
              <w:rPr>
                <w:szCs w:val="24"/>
                <w:lang w:eastAsia="tr-TR"/>
              </w:rPr>
              <w:t>üçüncü</w:t>
            </w:r>
            <w:r w:rsidR="007B5A7F" w:rsidRPr="00A23740">
              <w:rPr>
                <w:b/>
                <w:bCs/>
                <w:color w:val="385623"/>
                <w:szCs w:val="24"/>
                <w:lang w:eastAsia="tr-TR"/>
              </w:rPr>
              <w:t xml:space="preserve"> </w:t>
            </w:r>
            <w:r w:rsidR="007B5A7F" w:rsidRPr="00DC7A0B">
              <w:rPr>
                <w:b/>
                <w:bCs/>
                <w:color w:val="0000FF"/>
                <w:szCs w:val="24"/>
                <w:lang w:eastAsia="tr-TR"/>
              </w:rPr>
              <w:t>kişi</w:t>
            </w:r>
            <w:r w:rsidR="007B5A7F" w:rsidRPr="00A23740">
              <w:rPr>
                <w:b/>
                <w:bCs/>
                <w:color w:val="385623"/>
                <w:szCs w:val="24"/>
                <w:lang w:eastAsia="tr-TR"/>
              </w:rPr>
              <w:t xml:space="preserve"> </w:t>
            </w:r>
            <w:r w:rsidR="007B5A7F" w:rsidRPr="00DC7A0B">
              <w:rPr>
                <w:szCs w:val="24"/>
                <w:lang w:eastAsia="tr-TR"/>
              </w:rPr>
              <w:t>tarafından</w:t>
            </w:r>
            <w:r w:rsidRPr="00A23740">
              <w:rPr>
                <w:b/>
                <w:bCs/>
                <w:color w:val="385623"/>
                <w:szCs w:val="24"/>
                <w:lang w:val="x-none" w:eastAsia="x-none"/>
              </w:rPr>
              <w:t xml:space="preserve"> </w:t>
            </w:r>
            <w:r w:rsidRPr="00A23740">
              <w:rPr>
                <w:b/>
                <w:bCs/>
                <w:color w:val="0000FF"/>
                <w:szCs w:val="24"/>
                <w:lang w:val="x-none" w:eastAsia="x-none"/>
              </w:rPr>
              <w:t xml:space="preserve">daha önce </w:t>
            </w:r>
            <w:r w:rsidRPr="00A23740">
              <w:rPr>
                <w:szCs w:val="24"/>
                <w:lang w:eastAsia="tr-TR"/>
              </w:rPr>
              <w:t>haczedilmiş</w:t>
            </w:r>
            <w:r w:rsidRPr="00A23740">
              <w:rPr>
                <w:b/>
                <w:bCs/>
                <w:color w:val="0000FF"/>
                <w:szCs w:val="24"/>
                <w:lang w:val="x-none" w:eastAsia="x-none"/>
              </w:rPr>
              <w:t xml:space="preserve"> </w:t>
            </w:r>
            <w:r w:rsidRPr="00A23740">
              <w:rPr>
                <w:szCs w:val="24"/>
                <w:lang w:eastAsia="tr-TR"/>
              </w:rPr>
              <w:t>olması h</w:t>
            </w:r>
            <w:r w:rsidR="001D7D44" w:rsidRPr="00A23740">
              <w:rPr>
                <w:szCs w:val="24"/>
                <w:lang w:eastAsia="tr-TR"/>
              </w:rPr>
              <w:t>â</w:t>
            </w:r>
            <w:r w:rsidRPr="00A23740">
              <w:rPr>
                <w:szCs w:val="24"/>
                <w:lang w:eastAsia="tr-TR"/>
              </w:rPr>
              <w:t xml:space="preserve">linde bu hususu </w:t>
            </w:r>
            <w:r w:rsidRPr="00A23740">
              <w:rPr>
                <w:b/>
                <w:bCs/>
                <w:color w:val="0000FF"/>
                <w:szCs w:val="24"/>
                <w:lang w:val="x-none" w:eastAsia="x-none"/>
              </w:rPr>
              <w:t>haczi</w:t>
            </w:r>
            <w:r w:rsidRPr="00A23740">
              <w:rPr>
                <w:szCs w:val="24"/>
                <w:lang w:eastAsia="tr-TR"/>
              </w:rPr>
              <w:t xml:space="preserve"> yapan</w:t>
            </w:r>
            <w:r w:rsidRPr="00A23740">
              <w:rPr>
                <w:b/>
                <w:bCs/>
                <w:color w:val="0000FF"/>
                <w:szCs w:val="24"/>
                <w:lang w:val="x-none" w:eastAsia="x-none"/>
              </w:rPr>
              <w:t xml:space="preserve"> icra </w:t>
            </w:r>
            <w:r w:rsidRPr="00A23740">
              <w:rPr>
                <w:rStyle w:val="MaviChar"/>
              </w:rPr>
              <w:t>ve iflas dairesine</w:t>
            </w:r>
            <w:r w:rsidRPr="00A23740">
              <w:rPr>
                <w:b/>
                <w:bCs/>
                <w:color w:val="0000FF"/>
                <w:szCs w:val="24"/>
                <w:lang w:eastAsia="x-none"/>
              </w:rPr>
              <w:t xml:space="preserve"> </w:t>
            </w:r>
            <w:r w:rsidRPr="00A23740">
              <w:rPr>
                <w:szCs w:val="24"/>
                <w:lang w:eastAsia="tr-TR"/>
              </w:rPr>
              <w:t>beyan etmek</w:t>
            </w:r>
            <w:r w:rsidRPr="00A23740">
              <w:rPr>
                <w:b/>
                <w:bCs/>
                <w:color w:val="0000FF"/>
                <w:szCs w:val="24"/>
                <w:lang w:val="x-none" w:eastAsia="x-none"/>
              </w:rPr>
              <w:t xml:space="preserve">, haczi yapan icra </w:t>
            </w:r>
            <w:r w:rsidRPr="00A23740">
              <w:rPr>
                <w:rStyle w:val="MaviChar"/>
              </w:rPr>
              <w:t>ve iflas dairesi</w:t>
            </w:r>
            <w:r w:rsidRPr="00A23740">
              <w:rPr>
                <w:b/>
                <w:bCs/>
                <w:color w:val="0000FF"/>
                <w:szCs w:val="24"/>
                <w:lang w:eastAsia="x-none"/>
              </w:rPr>
              <w:t xml:space="preserve"> </w:t>
            </w:r>
            <w:r w:rsidRPr="00A23740">
              <w:rPr>
                <w:b/>
                <w:bCs/>
                <w:color w:val="0000FF"/>
                <w:szCs w:val="24"/>
                <w:lang w:val="x-none" w:eastAsia="x-none"/>
              </w:rPr>
              <w:t>bu kişileri beyana davet etmek ve beyanda bulunmamanın</w:t>
            </w:r>
            <w:r w:rsidR="005D6641" w:rsidRPr="00A23740">
              <w:rPr>
                <w:b/>
                <w:bCs/>
                <w:color w:val="0000FF"/>
                <w:szCs w:val="24"/>
                <w:lang w:eastAsia="x-none"/>
              </w:rPr>
              <w:t xml:space="preserve"> </w:t>
            </w:r>
            <w:r w:rsidR="005D6641" w:rsidRPr="00DC7A0B">
              <w:rPr>
                <w:rStyle w:val="KonuBalChar"/>
                <w:rFonts w:eastAsia="Calibri"/>
                <w:color w:val="0000FF"/>
              </w:rPr>
              <w:t>510 uncu</w:t>
            </w:r>
            <w:r w:rsidRPr="00A23740">
              <w:rPr>
                <w:b/>
                <w:bCs/>
                <w:color w:val="0000FF"/>
                <w:szCs w:val="24"/>
                <w:lang w:eastAsia="x-none"/>
              </w:rPr>
              <w:t xml:space="preserve"> </w:t>
            </w:r>
            <w:r w:rsidRPr="00A23740">
              <w:rPr>
                <w:b/>
                <w:bCs/>
                <w:color w:val="0000FF"/>
                <w:szCs w:val="24"/>
                <w:lang w:val="x-none" w:eastAsia="x-none"/>
              </w:rPr>
              <w:t xml:space="preserve">maddeye göre cezalandırılacağını bildirmek zorundadır. İcra </w:t>
            </w:r>
            <w:r w:rsidRPr="00A23740">
              <w:rPr>
                <w:rStyle w:val="MaviChar"/>
              </w:rPr>
              <w:t>ve iflas dairesi</w:t>
            </w:r>
            <w:r w:rsidRPr="00A23740">
              <w:rPr>
                <w:b/>
                <w:bCs/>
                <w:color w:val="0000FF"/>
                <w:szCs w:val="24"/>
                <w:lang w:val="x-none" w:eastAsia="x-none"/>
              </w:rPr>
              <w:t>, bu b</w:t>
            </w:r>
            <w:r w:rsidR="009958E3" w:rsidRPr="00A23740">
              <w:rPr>
                <w:b/>
                <w:bCs/>
                <w:color w:val="0000FF"/>
                <w:szCs w:val="24"/>
                <w:lang w:val="x-none" w:eastAsia="x-none"/>
              </w:rPr>
              <w:t>eyanı haciz tutanağına geçirir.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(2) Birinci fıkrada belirtilen</w:t>
            </w:r>
            <w:r w:rsidRPr="00A23740">
              <w:rPr>
                <w:b/>
                <w:bCs/>
                <w:color w:val="0000FF"/>
                <w:szCs w:val="24"/>
                <w:lang w:eastAsia="x-none"/>
              </w:rPr>
              <w:t xml:space="preserve"> </w:t>
            </w:r>
            <w:r w:rsidRPr="00A23740">
              <w:rPr>
                <w:szCs w:val="24"/>
                <w:lang w:eastAsia="tr-TR"/>
              </w:rPr>
              <w:t xml:space="preserve">mallar ile </w:t>
            </w:r>
            <w:r w:rsidRPr="00A23740">
              <w:rPr>
                <w:b/>
                <w:bCs/>
                <w:color w:val="0000FF"/>
                <w:szCs w:val="24"/>
                <w:lang w:eastAsia="tr-TR"/>
              </w:rPr>
              <w:t>üçüncü kişi</w:t>
            </w:r>
            <w:r w:rsidRPr="00A23740">
              <w:rPr>
                <w:szCs w:val="24"/>
                <w:lang w:eastAsia="tr-TR"/>
              </w:rPr>
              <w:t xml:space="preserve"> tarafından ihtiyaten hacz</w:t>
            </w:r>
            <w:r w:rsidRPr="00A23740">
              <w:rPr>
                <w:rStyle w:val="MaviChar"/>
              </w:rPr>
              <w:t>edilmiş</w:t>
            </w:r>
            <w:r w:rsidRPr="00A23740">
              <w:rPr>
                <w:szCs w:val="24"/>
                <w:lang w:eastAsia="tr-TR"/>
              </w:rPr>
              <w:t xml:space="preserve"> veya </w:t>
            </w:r>
            <w:r w:rsidRPr="00A23740">
              <w:rPr>
                <w:rStyle w:val="MaviChar"/>
              </w:rPr>
              <w:t>hakkında</w:t>
            </w:r>
            <w:r w:rsidRPr="00A23740">
              <w:rPr>
                <w:szCs w:val="24"/>
                <w:lang w:eastAsia="tr-TR"/>
              </w:rPr>
              <w:t xml:space="preserve"> istihkak iddia</w:t>
            </w:r>
            <w:r w:rsidRPr="00A23740">
              <w:rPr>
                <w:rStyle w:val="MaviChar"/>
              </w:rPr>
              <w:t>sında bulunulmuş olan</w:t>
            </w:r>
            <w:r w:rsidRPr="00A23740">
              <w:rPr>
                <w:szCs w:val="24"/>
                <w:lang w:eastAsia="tr-TR"/>
              </w:rPr>
              <w:t xml:space="preserve"> malların haczi</w:t>
            </w:r>
            <w:r w:rsidRPr="00A23740">
              <w:rPr>
                <w:rStyle w:val="MaviChar"/>
              </w:rPr>
              <w:t>,</w:t>
            </w:r>
            <w:r w:rsidRPr="00A23740">
              <w:rPr>
                <w:szCs w:val="24"/>
                <w:lang w:eastAsia="tr-TR"/>
              </w:rPr>
              <w:t xml:space="preserve"> durum aksini gerektirmiyorsa en sonraya bırakılır.</w:t>
            </w:r>
          </w:p>
          <w:p w:rsidR="00AA5C8C" w:rsidRPr="00A23740" w:rsidRDefault="00AA5C8C" w:rsidP="009431FF">
            <w:pPr>
              <w:tabs>
                <w:tab w:val="left" w:pos="567"/>
              </w:tabs>
              <w:rPr>
                <w:rFonts w:eastAsia="ヒラギノ明朝 Pro W3"/>
                <w:b/>
                <w:color w:val="339933"/>
                <w:szCs w:val="24"/>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786BA7" w:rsidRPr="00A23740" w:rsidRDefault="00786BA7" w:rsidP="009431FF">
            <w:pPr>
              <w:tabs>
                <w:tab w:val="left" w:pos="567"/>
              </w:tabs>
              <w:rPr>
                <w:rFonts w:eastAsia="Times New Roman"/>
                <w:b/>
                <w:color w:val="FF0000"/>
                <w:szCs w:val="24"/>
                <w:lang w:eastAsia="tr-TR"/>
              </w:rPr>
            </w:pPr>
          </w:p>
          <w:p w:rsidR="00786BA7" w:rsidRPr="00A23740" w:rsidRDefault="00786BA7" w:rsidP="009431FF">
            <w:pPr>
              <w:tabs>
                <w:tab w:val="left" w:pos="567"/>
              </w:tabs>
              <w:ind w:firstLine="709"/>
              <w:rPr>
                <w:bCs/>
                <w:color w:val="000000"/>
                <w:szCs w:val="24"/>
                <w:lang w:eastAsia="x-none"/>
              </w:rPr>
            </w:pPr>
            <w:r w:rsidRPr="00A23740">
              <w:rPr>
                <w:b/>
              </w:rPr>
              <w:t xml:space="preserve">MADDE 160- </w:t>
            </w:r>
            <w:r w:rsidRPr="00A23740">
              <w:rPr>
                <w:bCs/>
                <w:color w:val="000000"/>
                <w:szCs w:val="24"/>
                <w:lang w:eastAsia="x-none"/>
              </w:rPr>
              <w:t>Maddeyle, taşınır üzerinde üçüncü kişinin mülkiyet, sınırlı ayni hak veya haczinin bulunması durumunda uygulanacak esaslar düzenlenmiştir. Hüküm, 2004 sayılı Kanunun 85 inci maddesinin ikinci fıkrasına karşılık gelmektedir.</w:t>
            </w:r>
          </w:p>
          <w:p w:rsidR="00226991" w:rsidRPr="00A23740" w:rsidRDefault="00786BA7" w:rsidP="009431FF">
            <w:pPr>
              <w:tabs>
                <w:tab w:val="left" w:pos="567"/>
              </w:tabs>
              <w:ind w:firstLine="709"/>
              <w:rPr>
                <w:b/>
                <w:bCs/>
                <w:szCs w:val="24"/>
                <w:lang w:eastAsia="x-none"/>
              </w:rPr>
            </w:pPr>
            <w:r w:rsidRPr="00A23740">
              <w:rPr>
                <w:bCs/>
                <w:color w:val="000000"/>
                <w:szCs w:val="24"/>
                <w:lang w:eastAsia="x-none"/>
              </w:rPr>
              <w:t xml:space="preserve">Maddenin birinci fıkrasıyla, </w:t>
            </w:r>
            <w:r w:rsidRPr="00A23740">
              <w:rPr>
                <w:bCs/>
                <w:szCs w:val="24"/>
                <w:lang w:eastAsia="x-none"/>
              </w:rPr>
              <w:t>taşınır mallar</w:t>
            </w:r>
            <w:r w:rsidR="00D42197" w:rsidRPr="00A23740">
              <w:rPr>
                <w:bCs/>
                <w:szCs w:val="24"/>
                <w:lang w:eastAsia="x-none"/>
              </w:rPr>
              <w:t xml:space="preserve"> üzerinde </w:t>
            </w:r>
            <w:r w:rsidRPr="00A23740">
              <w:rPr>
                <w:bCs/>
                <w:szCs w:val="24"/>
                <w:lang w:eastAsia="x-none"/>
              </w:rPr>
              <w:t xml:space="preserve"> haciz işlemi yapılırken borçlu veya borçlu ile birlikte malı elinde bulunduranlara</w:t>
            </w:r>
            <w:r w:rsidR="00226991" w:rsidRPr="00A23740">
              <w:rPr>
                <w:bCs/>
                <w:szCs w:val="24"/>
                <w:lang w:eastAsia="x-none"/>
              </w:rPr>
              <w:t xml:space="preserve"> </w:t>
            </w:r>
            <w:r w:rsidRPr="00A23740">
              <w:rPr>
                <w:bCs/>
                <w:szCs w:val="24"/>
                <w:lang w:eastAsia="x-none"/>
              </w:rPr>
              <w:t xml:space="preserve">mal üzerinde mülkiyet veya sınırlı ayni hak bulunması veya </w:t>
            </w:r>
            <w:r w:rsidR="00226991" w:rsidRPr="00DC7A0B">
              <w:rPr>
                <w:bCs/>
                <w:lang w:eastAsia="x-none"/>
              </w:rPr>
              <w:t>taşınır malın üçüncü kişi tarafından</w:t>
            </w:r>
            <w:r w:rsidR="00226991" w:rsidRPr="00A23740">
              <w:rPr>
                <w:bCs/>
                <w:szCs w:val="24"/>
                <w:lang w:eastAsia="x-none"/>
              </w:rPr>
              <w:t xml:space="preserve"> </w:t>
            </w:r>
            <w:r w:rsidRPr="00A23740">
              <w:rPr>
                <w:bCs/>
                <w:szCs w:val="24"/>
                <w:lang w:eastAsia="x-none"/>
              </w:rPr>
              <w:t xml:space="preserve">daha önce </w:t>
            </w:r>
            <w:r w:rsidR="00D42197" w:rsidRPr="00A23740">
              <w:rPr>
                <w:bCs/>
                <w:szCs w:val="24"/>
                <w:lang w:eastAsia="x-none"/>
              </w:rPr>
              <w:t xml:space="preserve">haczedilmiş olması </w:t>
            </w:r>
            <w:r w:rsidRPr="00A23740">
              <w:rPr>
                <w:bCs/>
                <w:szCs w:val="24"/>
                <w:lang w:eastAsia="x-none"/>
              </w:rPr>
              <w:t>h</w:t>
            </w:r>
            <w:r w:rsidR="001D7D44" w:rsidRPr="00A23740">
              <w:rPr>
                <w:bCs/>
                <w:szCs w:val="24"/>
                <w:lang w:eastAsia="x-none"/>
              </w:rPr>
              <w:t>â</w:t>
            </w:r>
            <w:r w:rsidRPr="00A23740">
              <w:rPr>
                <w:bCs/>
                <w:szCs w:val="24"/>
                <w:lang w:eastAsia="x-none"/>
              </w:rPr>
              <w:t xml:space="preserve">linde beyanda bulunma yükümlülüğü getirilmektedir. Aynı şekilde </w:t>
            </w:r>
            <w:r w:rsidRPr="00A23740">
              <w:rPr>
                <w:szCs w:val="24"/>
                <w:lang w:eastAsia="x-none"/>
              </w:rPr>
              <w:t xml:space="preserve">haczi gerçekleştiren icra ve iflas dairesi de bu kişileri beyana davet etmek zorundadır. Ayrıca bu fıkrayla, icra ve iflas dairesine, bu kişileri beyana davet ederken, beyanda </w:t>
            </w:r>
            <w:r w:rsidRPr="00DC7A0B">
              <w:rPr>
                <w:bCs/>
                <w:szCs w:val="24"/>
                <w:lang w:eastAsia="x-none"/>
              </w:rPr>
              <w:t xml:space="preserve">bulunmamanın </w:t>
            </w:r>
            <w:r w:rsidR="005D6641" w:rsidRPr="00DC7A0B">
              <w:rPr>
                <w:szCs w:val="24"/>
              </w:rPr>
              <w:t>510 uncu</w:t>
            </w:r>
            <w:r w:rsidR="005D6641" w:rsidRPr="00A23740">
              <w:rPr>
                <w:b/>
                <w:bCs/>
                <w:color w:val="0000FF"/>
                <w:szCs w:val="24"/>
                <w:lang w:val="x-none" w:eastAsia="x-none"/>
              </w:rPr>
              <w:t xml:space="preserve"> </w:t>
            </w:r>
            <w:r w:rsidRPr="00A23740">
              <w:rPr>
                <w:szCs w:val="24"/>
                <w:lang w:eastAsia="x-none"/>
              </w:rPr>
              <w:t>maddeye göre cezalandırılacağını bildirme zorunluluğu getirilmiştir. Böylece cebrî icra hukuku bakımından oldukça önemli bir kurum olan beyanda bulunmanın etkinliğinin artırılması amaçlanmıştır.</w:t>
            </w:r>
            <w:r w:rsidRPr="00A23740">
              <w:rPr>
                <w:b/>
                <w:bCs/>
                <w:szCs w:val="24"/>
                <w:lang w:eastAsia="x-none"/>
              </w:rPr>
              <w:t xml:space="preserve"> </w:t>
            </w:r>
            <w:r w:rsidRPr="00A23740">
              <w:rPr>
                <w:szCs w:val="24"/>
                <w:lang w:eastAsia="x-none"/>
              </w:rPr>
              <w:t>Fıkranın son cümlesinde, icra ve iflas dairesinin bu beyanı haciz tutanağına geçireceği açıkça hükme bağlanmıştır.</w:t>
            </w:r>
            <w:r w:rsidRPr="00A23740">
              <w:rPr>
                <w:b/>
                <w:bCs/>
                <w:szCs w:val="24"/>
                <w:lang w:eastAsia="x-none"/>
              </w:rPr>
              <w:t xml:space="preserve"> </w:t>
            </w:r>
          </w:p>
          <w:p w:rsidR="00786BA7" w:rsidRPr="00A23740" w:rsidRDefault="00786BA7" w:rsidP="009431FF">
            <w:pPr>
              <w:tabs>
                <w:tab w:val="left" w:pos="567"/>
              </w:tabs>
              <w:ind w:firstLine="709"/>
              <w:rPr>
                <w:rFonts w:eastAsia="Times New Roman"/>
                <w:b/>
                <w:szCs w:val="24"/>
                <w:lang w:eastAsia="tr-TR"/>
              </w:rPr>
            </w:pPr>
            <w:r w:rsidRPr="00A23740">
              <w:rPr>
                <w:szCs w:val="24"/>
                <w:lang w:eastAsia="x-none"/>
              </w:rPr>
              <w:t xml:space="preserve">Maddenin ikinci fıkrasında, birinci fıkrada belirtilen </w:t>
            </w:r>
            <w:r w:rsidRPr="00A23740">
              <w:rPr>
                <w:szCs w:val="24"/>
                <w:lang w:eastAsia="tr-TR"/>
              </w:rPr>
              <w:t>mallar ile üçüncü kişi tarafından ihtiyaten hacz</w:t>
            </w:r>
            <w:r w:rsidRPr="00A23740">
              <w:rPr>
                <w:szCs w:val="24"/>
                <w:lang w:eastAsia="x-none"/>
              </w:rPr>
              <w:t>edilmiş</w:t>
            </w:r>
            <w:r w:rsidRPr="00A23740">
              <w:rPr>
                <w:szCs w:val="24"/>
                <w:lang w:eastAsia="tr-TR"/>
              </w:rPr>
              <w:t xml:space="preserve"> veya </w:t>
            </w:r>
            <w:r w:rsidRPr="00A23740">
              <w:rPr>
                <w:szCs w:val="24"/>
                <w:lang w:eastAsia="x-none"/>
              </w:rPr>
              <w:t>hakkında</w:t>
            </w:r>
            <w:r w:rsidRPr="00A23740">
              <w:rPr>
                <w:szCs w:val="24"/>
                <w:lang w:eastAsia="tr-TR"/>
              </w:rPr>
              <w:t xml:space="preserve"> istihkak iddia</w:t>
            </w:r>
            <w:r w:rsidRPr="00A23740">
              <w:rPr>
                <w:szCs w:val="24"/>
                <w:lang w:eastAsia="x-none"/>
              </w:rPr>
              <w:t>sında bulunulmuş olan</w:t>
            </w:r>
            <w:r w:rsidRPr="00A23740">
              <w:rPr>
                <w:szCs w:val="24"/>
                <w:lang w:eastAsia="tr-TR"/>
              </w:rPr>
              <w:t xml:space="preserve"> malların haczinin</w:t>
            </w:r>
            <w:r w:rsidRPr="00A23740">
              <w:rPr>
                <w:szCs w:val="24"/>
                <w:lang w:eastAsia="x-none"/>
              </w:rPr>
              <w:t>,</w:t>
            </w:r>
            <w:r w:rsidRPr="00A23740">
              <w:rPr>
                <w:szCs w:val="24"/>
                <w:lang w:eastAsia="tr-TR"/>
              </w:rPr>
              <w:t xml:space="preserve"> durum aksini gerektirmiyorsa en sonraya bırakılacağı kabul edilmiştir. Bu fıkrada yer alan hüküm, esas itibariyle, 2004 </w:t>
            </w:r>
            <w:r w:rsidR="007B43C4" w:rsidRPr="00A23740">
              <w:rPr>
                <w:szCs w:val="24"/>
                <w:lang w:eastAsia="tr-TR"/>
              </w:rPr>
              <w:t>s</w:t>
            </w:r>
            <w:r w:rsidRPr="00A23740">
              <w:rPr>
                <w:szCs w:val="24"/>
                <w:lang w:eastAsia="tr-TR"/>
              </w:rPr>
              <w:t>ayılı Kanunun 85 nci m</w:t>
            </w:r>
            <w:r w:rsidRPr="00DC7A0B">
              <w:rPr>
                <w:bCs/>
                <w:szCs w:val="24"/>
                <w:lang w:eastAsia="x-none"/>
              </w:rPr>
              <w:t>addesinin ikinci fıkrasının ikinci cümlesine karşılık gelmektedir. Bununla birlikte, İsviçre</w:t>
            </w:r>
            <w:r w:rsidR="00FE6E22" w:rsidRPr="00DC7A0B">
              <w:rPr>
                <w:bCs/>
                <w:szCs w:val="24"/>
                <w:lang w:eastAsia="x-none"/>
              </w:rPr>
              <w:t>’nin</w:t>
            </w:r>
            <w:r w:rsidRPr="00DC7A0B">
              <w:rPr>
                <w:bCs/>
                <w:szCs w:val="24"/>
                <w:lang w:eastAsia="x-none"/>
              </w:rPr>
              <w:t xml:space="preserve"> </w:t>
            </w:r>
            <w:r w:rsidR="00FE6E22" w:rsidRPr="00DC7A0B">
              <w:rPr>
                <w:bCs/>
                <w:lang w:eastAsia="x-none"/>
              </w:rPr>
              <w:t>Borç İçin Takip ve İflas Hakkında Federal Kanununun</w:t>
            </w:r>
            <w:r w:rsidR="00FE6E22" w:rsidRPr="00A23740">
              <w:rPr>
                <w:b/>
                <w:szCs w:val="24"/>
                <w:lang w:eastAsia="tr-TR"/>
              </w:rPr>
              <w:t xml:space="preserve"> </w:t>
            </w:r>
            <w:r w:rsidR="00C616B3">
              <w:rPr>
                <w:szCs w:val="24"/>
                <w:lang w:eastAsia="tr-TR"/>
              </w:rPr>
              <w:t>95 inci</w:t>
            </w:r>
            <w:r w:rsidRPr="00A23740">
              <w:rPr>
                <w:szCs w:val="24"/>
                <w:lang w:eastAsia="tr-TR"/>
              </w:rPr>
              <w:t xml:space="preserve"> maddesinin mükerrer dördüncü fıkrasında yer alan </w:t>
            </w:r>
            <w:r w:rsidRPr="00A23740">
              <w:rPr>
                <w:i/>
                <w:iCs/>
                <w:szCs w:val="24"/>
                <w:lang w:eastAsia="tr-TR"/>
              </w:rPr>
              <w:t xml:space="preserve">“durum aksini gerektirmiyorsa veya alacaklı ile borçlunun anlaşması hâlinde” </w:t>
            </w:r>
            <w:r w:rsidRPr="00A23740">
              <w:rPr>
                <w:szCs w:val="24"/>
                <w:lang w:eastAsia="tr-TR"/>
              </w:rPr>
              <w:t xml:space="preserve">ibaresi göz önüne alınmış ve burada yer alan </w:t>
            </w:r>
            <w:r w:rsidRPr="00A23740">
              <w:rPr>
                <w:i/>
                <w:iCs/>
                <w:szCs w:val="24"/>
                <w:lang w:eastAsia="tr-TR"/>
              </w:rPr>
              <w:t>“durum aksini gerektirmiyorsa”</w:t>
            </w:r>
            <w:r w:rsidRPr="00A23740">
              <w:rPr>
                <w:szCs w:val="24"/>
                <w:lang w:eastAsia="tr-TR"/>
              </w:rPr>
              <w:t xml:space="preserve"> ibaresi madde metnine ilave edilmiştir. Bununla birlikte “</w:t>
            </w:r>
            <w:r w:rsidRPr="00A23740">
              <w:rPr>
                <w:i/>
                <w:iCs/>
                <w:szCs w:val="24"/>
                <w:lang w:eastAsia="tr-TR"/>
              </w:rPr>
              <w:t>durum aksini gerektirmiyorsa</w:t>
            </w:r>
            <w:r w:rsidRPr="00A23740">
              <w:rPr>
                <w:szCs w:val="24"/>
                <w:lang w:eastAsia="tr-TR"/>
              </w:rPr>
              <w:t>” ibaresi “</w:t>
            </w:r>
            <w:r w:rsidRPr="00A23740">
              <w:rPr>
                <w:i/>
                <w:iCs/>
                <w:szCs w:val="24"/>
                <w:lang w:eastAsia="tr-TR"/>
              </w:rPr>
              <w:t>alacaklı ile borçlunun anlaşması</w:t>
            </w:r>
            <w:r w:rsidRPr="00A23740">
              <w:rPr>
                <w:szCs w:val="24"/>
                <w:lang w:eastAsia="tr-TR"/>
              </w:rPr>
              <w:t xml:space="preserve">” ihtimalini de zaten kapsadığı için, </w:t>
            </w:r>
            <w:r w:rsidRPr="00DC7A0B">
              <w:rPr>
                <w:bCs/>
                <w:szCs w:val="24"/>
                <w:lang w:eastAsia="x-none"/>
              </w:rPr>
              <w:t>İsviçre</w:t>
            </w:r>
            <w:r w:rsidR="00FE6E22" w:rsidRPr="00DC7A0B">
              <w:rPr>
                <w:bCs/>
                <w:szCs w:val="24"/>
                <w:lang w:eastAsia="x-none"/>
              </w:rPr>
              <w:t>’nin</w:t>
            </w:r>
            <w:r w:rsidRPr="00DC7A0B">
              <w:rPr>
                <w:bCs/>
                <w:szCs w:val="24"/>
                <w:lang w:eastAsia="x-none"/>
              </w:rPr>
              <w:t xml:space="preserve"> </w:t>
            </w:r>
            <w:r w:rsidR="00FE6E22" w:rsidRPr="00DC7A0B">
              <w:rPr>
                <w:bCs/>
                <w:lang w:eastAsia="x-none"/>
              </w:rPr>
              <w:t>Borç İçin Takip ve İflas Hakkında Federal Kanununun</w:t>
            </w:r>
            <w:r w:rsidR="00FE6E22" w:rsidRPr="00A23740">
              <w:rPr>
                <w:b/>
                <w:szCs w:val="24"/>
                <w:lang w:eastAsia="tr-TR"/>
              </w:rPr>
              <w:t xml:space="preserve"> </w:t>
            </w:r>
            <w:r w:rsidRPr="00A23740">
              <w:rPr>
                <w:szCs w:val="24"/>
                <w:lang w:eastAsia="tr-TR"/>
              </w:rPr>
              <w:t>95. maddesinin mükerrer dördüncü fıkrasında yer alan “</w:t>
            </w:r>
            <w:r w:rsidRPr="00A23740">
              <w:rPr>
                <w:i/>
                <w:iCs/>
                <w:szCs w:val="24"/>
                <w:lang w:eastAsia="tr-TR"/>
              </w:rPr>
              <w:t>alacaklı ile borçlunun anlaşması hâlinde</w:t>
            </w:r>
            <w:r w:rsidRPr="00A23740">
              <w:rPr>
                <w:szCs w:val="24"/>
                <w:lang w:eastAsia="tr-TR"/>
              </w:rPr>
              <w:t>” ibaresi madde metnine alınmamıştır.</w:t>
            </w:r>
          </w:p>
          <w:p w:rsidR="00B62391" w:rsidRPr="00A23740" w:rsidRDefault="00B62391" w:rsidP="00DE193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widowControl w:val="0"/>
              <w:tabs>
                <w:tab w:val="left" w:pos="567"/>
              </w:tabs>
              <w:rPr>
                <w:rFonts w:eastAsia="Times New Roman"/>
                <w:b/>
                <w:szCs w:val="24"/>
                <w:lang w:eastAsia="tr-TR"/>
              </w:rPr>
            </w:pPr>
            <w:r w:rsidRPr="00A23740">
              <w:rPr>
                <w:rFonts w:eastAsia="Times New Roman"/>
                <w:b/>
                <w:szCs w:val="24"/>
                <w:lang w:eastAsia="tr-TR"/>
              </w:rPr>
              <w:t>Hac</w:t>
            </w:r>
            <w:r w:rsidRPr="00A23740">
              <w:rPr>
                <w:b/>
                <w:bCs/>
                <w:strike/>
                <w:color w:val="FF0000"/>
                <w:szCs w:val="24"/>
              </w:rPr>
              <w:t xml:space="preserve">zi caiz olmıyan </w:t>
            </w:r>
            <w:r w:rsidRPr="00A23740">
              <w:rPr>
                <w:rFonts w:eastAsia="Times New Roman"/>
                <w:b/>
                <w:szCs w:val="24"/>
                <w:lang w:eastAsia="tr-TR"/>
              </w:rPr>
              <w:t>mal</w:t>
            </w:r>
            <w:r w:rsidRPr="00A23740">
              <w:rPr>
                <w:b/>
                <w:bCs/>
                <w:strike/>
                <w:color w:val="FF0000"/>
                <w:szCs w:val="24"/>
              </w:rPr>
              <w:t>lar</w:t>
            </w:r>
            <w:r w:rsidRPr="00A23740">
              <w:rPr>
                <w:rFonts w:eastAsia="Times New Roman"/>
                <w:b/>
                <w:szCs w:val="24"/>
                <w:lang w:eastAsia="tr-TR"/>
              </w:rPr>
              <w:t xml:space="preserve"> ve haklar</w:t>
            </w:r>
            <w:r w:rsidRPr="00A23740">
              <w:rPr>
                <w:rFonts w:eastAsia="Times New Roman"/>
                <w:b/>
                <w:strike/>
                <w:color w:val="FF0000"/>
                <w:szCs w:val="24"/>
                <w:lang w:eastAsia="tr-TR"/>
              </w:rPr>
              <w:t>:</w:t>
            </w:r>
          </w:p>
          <w:p w:rsidR="00A64CF3" w:rsidRPr="00A23740" w:rsidRDefault="00AA5C8C" w:rsidP="009431FF">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Madde 82 – (1) (Değişik: 18/2/1965 - 538/46 md.)</w:t>
            </w:r>
          </w:p>
          <w:p w:rsidR="00AA5C8C" w:rsidRPr="00A23740" w:rsidRDefault="00AA5C8C" w:rsidP="009431FF">
            <w:pPr>
              <w:widowControl w:val="0"/>
              <w:tabs>
                <w:tab w:val="left" w:pos="567"/>
              </w:tabs>
              <w:rPr>
                <w:b/>
                <w:bCs/>
                <w:strike/>
                <w:color w:val="FF0000"/>
                <w:szCs w:val="24"/>
              </w:rPr>
            </w:pPr>
            <w:r w:rsidRPr="00A23740">
              <w:rPr>
                <w:rFonts w:eastAsia="Times New Roman"/>
                <w:szCs w:val="24"/>
                <w:lang w:eastAsia="tr-TR"/>
              </w:rPr>
              <w:t>Aşağıdaki şeyler hacz</w:t>
            </w:r>
            <w:r w:rsidRPr="00A23740">
              <w:rPr>
                <w:b/>
                <w:bCs/>
                <w:strike/>
                <w:color w:val="FF0000"/>
                <w:szCs w:val="24"/>
              </w:rPr>
              <w:t>olunamaz:</w:t>
            </w:r>
          </w:p>
          <w:p w:rsidR="00F2357B" w:rsidRPr="00A23740" w:rsidRDefault="00F2357B" w:rsidP="009431FF">
            <w:pPr>
              <w:widowControl w:val="0"/>
              <w:tabs>
                <w:tab w:val="left" w:pos="567"/>
              </w:tabs>
              <w:rPr>
                <w:b/>
                <w:bCs/>
                <w:strike/>
                <w:color w:val="FF0000"/>
                <w:szCs w:val="24"/>
              </w:rPr>
            </w:pPr>
          </w:p>
          <w:p w:rsidR="00F2357B" w:rsidRPr="00A23740" w:rsidRDefault="00F2357B"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b/>
                <w:bCs/>
                <w:strike/>
                <w:color w:val="FF0000"/>
                <w:szCs w:val="24"/>
              </w:rPr>
            </w:pPr>
            <w:r w:rsidRPr="00A23740">
              <w:rPr>
                <w:rFonts w:eastAsia="Times New Roman"/>
                <w:szCs w:val="24"/>
                <w:lang w:eastAsia="tr-TR"/>
              </w:rPr>
              <w:t xml:space="preserve">1. Devlet malları </w:t>
            </w:r>
            <w:r w:rsidRPr="00A23740">
              <w:rPr>
                <w:b/>
                <w:bCs/>
                <w:strike/>
                <w:color w:val="FF0000"/>
                <w:szCs w:val="24"/>
              </w:rPr>
              <w:t>ile mahsus kanunlarında haczi caiz olmadığı gösterilen mallar,</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p>
          <w:p w:rsidR="002A6F8F" w:rsidRPr="00A23740" w:rsidRDefault="002A6F8F" w:rsidP="009431FF">
            <w:pPr>
              <w:widowControl w:val="0"/>
              <w:spacing w:line="240" w:lineRule="atLeast"/>
              <w:ind w:firstLine="567"/>
              <w:rPr>
                <w:rFonts w:eastAsia="Times New Roman"/>
                <w:i/>
                <w:iCs/>
                <w:color w:val="000000"/>
                <w:szCs w:val="24"/>
                <w:lang w:eastAsia="tr-TR"/>
              </w:rPr>
            </w:pPr>
          </w:p>
          <w:p w:rsidR="002A6F8F" w:rsidRPr="00A23740" w:rsidRDefault="002A6F8F" w:rsidP="009431FF">
            <w:pPr>
              <w:widowControl w:val="0"/>
              <w:spacing w:line="240" w:lineRule="atLeast"/>
              <w:ind w:firstLine="567"/>
              <w:rPr>
                <w:rFonts w:eastAsia="Times New Roman"/>
                <w:i/>
                <w:iCs/>
                <w:color w:val="000000"/>
                <w:szCs w:val="24"/>
                <w:lang w:eastAsia="tr-TR"/>
              </w:rPr>
            </w:pPr>
          </w:p>
          <w:p w:rsidR="002A6F8F" w:rsidRPr="00A23740" w:rsidRDefault="002A6F8F" w:rsidP="009431FF">
            <w:pPr>
              <w:widowControl w:val="0"/>
              <w:spacing w:line="240" w:lineRule="atLeast"/>
              <w:ind w:firstLine="567"/>
              <w:rPr>
                <w:rFonts w:eastAsia="Times New Roman"/>
                <w:i/>
                <w:iCs/>
                <w:color w:val="000000"/>
                <w:szCs w:val="24"/>
                <w:lang w:eastAsia="tr-TR"/>
              </w:rPr>
            </w:pPr>
          </w:p>
          <w:p w:rsidR="00350AED" w:rsidRPr="00A23740" w:rsidRDefault="00350AED"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szCs w:val="24"/>
                <w:lang w:eastAsia="tr-TR"/>
              </w:rPr>
              <w:t>2.</w:t>
            </w:r>
            <w:r w:rsidRPr="00A23740">
              <w:rPr>
                <w:rFonts w:eastAsia="Times New Roman"/>
                <w:b/>
                <w:szCs w:val="24"/>
                <w:lang w:eastAsia="tr-TR"/>
              </w:rPr>
              <w:t xml:space="preserve"> </w:t>
            </w:r>
            <w:r w:rsidRPr="00A23740">
              <w:rPr>
                <w:b/>
                <w:bCs/>
                <w:strike/>
                <w:color w:val="FF0000"/>
                <w:szCs w:val="24"/>
              </w:rPr>
              <w:t>(Değişik: 2/7/2012-6352/16 md.)</w:t>
            </w:r>
            <w:r w:rsidRPr="00A23740">
              <w:rPr>
                <w:rFonts w:eastAsia="Times New Roman"/>
                <w:b/>
                <w:szCs w:val="24"/>
                <w:lang w:eastAsia="tr-TR"/>
              </w:rPr>
              <w:t xml:space="preserve"> </w:t>
            </w:r>
            <w:r w:rsidRPr="00A23740">
              <w:rPr>
                <w:rFonts w:eastAsia="Times New Roman"/>
                <w:szCs w:val="24"/>
                <w:lang w:eastAsia="tr-TR"/>
              </w:rPr>
              <w:t>Ekonomik faaliyeti, sermayesinden ziyade bedenî çalışmasına dayanan borçlunun mesleğini sürdürebilmesi için gerekli olan her türlü eşya,</w:t>
            </w:r>
          </w:p>
          <w:p w:rsidR="00AA5C8C" w:rsidRPr="00A23740" w:rsidRDefault="00AA5C8C" w:rsidP="009431FF">
            <w:pPr>
              <w:widowControl w:val="0"/>
              <w:tabs>
                <w:tab w:val="left" w:pos="567"/>
              </w:tabs>
              <w:rPr>
                <w:rFonts w:eastAsia="Times New Roman"/>
                <w:b/>
                <w:szCs w:val="24"/>
                <w:lang w:eastAsia="tr-TR"/>
              </w:rPr>
            </w:pPr>
          </w:p>
          <w:p w:rsidR="00AA5C8C" w:rsidRPr="00A23740" w:rsidRDefault="00AA5C8C" w:rsidP="009431FF">
            <w:pPr>
              <w:widowControl w:val="0"/>
              <w:tabs>
                <w:tab w:val="left" w:pos="567"/>
              </w:tabs>
              <w:rPr>
                <w:rFonts w:eastAsia="Times New Roman"/>
                <w:b/>
                <w:szCs w:val="24"/>
                <w:lang w:eastAsia="tr-TR"/>
              </w:rPr>
            </w:pPr>
            <w:r w:rsidRPr="00A23740">
              <w:rPr>
                <w:color w:val="000000"/>
              </w:rPr>
              <w:t>3.</w:t>
            </w:r>
            <w:r w:rsidRPr="00A23740">
              <w:rPr>
                <w:b/>
                <w:bCs/>
                <w:color w:val="000000"/>
              </w:rPr>
              <w:t> (Değişik: 2/7/2012-6352/16 md.) </w:t>
            </w:r>
            <w:r w:rsidRPr="00A23740">
              <w:rPr>
                <w:b/>
                <w:bCs/>
                <w:strike/>
                <w:color w:val="FF0000"/>
                <w:szCs w:val="24"/>
              </w:rPr>
              <w:t>Para, kıymetli evrak, altın, gümüş, değerli taş, antika veya süs eşyası gibi kıymetli şeyler hariç olmak üzere,</w:t>
            </w:r>
            <w:r w:rsidRPr="00A23740">
              <w:rPr>
                <w:b/>
                <w:bCs/>
                <w:color w:val="FF0000"/>
                <w:szCs w:val="24"/>
              </w:rPr>
              <w:t xml:space="preserve"> </w:t>
            </w:r>
            <w:r w:rsidRPr="00A23740">
              <w:rPr>
                <w:color w:val="000000"/>
              </w:rPr>
              <w:t>borçlu ve aynı çatı altında yaşayan aile bireylerine ait kişisel eşya ile ailenin ortak kullanımına hizmet eden tüm ev eşyası,</w:t>
            </w:r>
          </w:p>
          <w:p w:rsidR="00AA5C8C" w:rsidRPr="00A23740" w:rsidRDefault="00AA5C8C" w:rsidP="009431FF">
            <w:pPr>
              <w:widowControl w:val="0"/>
              <w:tabs>
                <w:tab w:val="left" w:pos="567"/>
              </w:tabs>
              <w:rPr>
                <w:rFonts w:eastAsia="Times New Roman"/>
                <w:b/>
                <w:szCs w:val="24"/>
                <w:lang w:eastAsia="tr-TR"/>
              </w:rPr>
            </w:pPr>
          </w:p>
          <w:p w:rsidR="00F2357B" w:rsidRPr="00A23740" w:rsidRDefault="00F2357B" w:rsidP="009431FF">
            <w:pPr>
              <w:widowControl w:val="0"/>
              <w:tabs>
                <w:tab w:val="left" w:pos="567"/>
              </w:tabs>
              <w:rPr>
                <w:rFonts w:eastAsia="Times New Roman"/>
                <w:szCs w:val="24"/>
                <w:lang w:eastAsia="tr-TR"/>
              </w:rPr>
            </w:pPr>
            <w:r w:rsidRPr="00A23740">
              <w:rPr>
                <w:rFonts w:eastAsia="Times New Roman"/>
                <w:szCs w:val="24"/>
                <w:lang w:eastAsia="tr-TR"/>
              </w:rPr>
              <w:t xml:space="preserve">6. Borçlunun ve ailesinin </w:t>
            </w:r>
            <w:r w:rsidRPr="00A23740">
              <w:rPr>
                <w:b/>
                <w:strike/>
                <w:color w:val="FF0000"/>
                <w:szCs w:val="24"/>
                <w:lang w:eastAsia="x-none"/>
              </w:rPr>
              <w:t>iki</w:t>
            </w:r>
            <w:r w:rsidRPr="00A23740">
              <w:rPr>
                <w:rFonts w:eastAsia="Times New Roman"/>
                <w:szCs w:val="24"/>
                <w:lang w:eastAsia="tr-TR"/>
              </w:rPr>
              <w:t xml:space="preserve"> aylık yiyecek ve yakacakları </w:t>
            </w:r>
            <w:r w:rsidRPr="00A23740">
              <w:rPr>
                <w:b/>
                <w:bCs/>
                <w:strike/>
                <w:color w:val="FF0000"/>
                <w:szCs w:val="24"/>
              </w:rPr>
              <w:t xml:space="preserve">ve borçlu çiftçi ise gelecek mahsül için lazım olan </w:t>
            </w:r>
            <w:r w:rsidRPr="00A23740">
              <w:rPr>
                <w:rFonts w:eastAsia="Times New Roman"/>
                <w:szCs w:val="24"/>
                <w:lang w:eastAsia="tr-TR"/>
              </w:rPr>
              <w:t>tohumluğu,</w:t>
            </w:r>
          </w:p>
          <w:p w:rsidR="00AA5C8C" w:rsidRPr="00A23740" w:rsidRDefault="00AA5C8C" w:rsidP="009431FF">
            <w:pPr>
              <w:widowControl w:val="0"/>
              <w:tabs>
                <w:tab w:val="left" w:pos="567"/>
              </w:tabs>
              <w:rPr>
                <w:rFonts w:eastAsia="Times New Roman"/>
                <w:b/>
                <w:szCs w:val="24"/>
                <w:lang w:eastAsia="tr-TR"/>
              </w:rPr>
            </w:pPr>
          </w:p>
          <w:p w:rsidR="00F2357B" w:rsidRPr="00A23740" w:rsidRDefault="00AA5C8C" w:rsidP="009431FF">
            <w:pPr>
              <w:widowControl w:val="0"/>
              <w:tabs>
                <w:tab w:val="left" w:pos="567"/>
              </w:tabs>
              <w:rPr>
                <w:b/>
                <w:bCs/>
                <w:strike/>
                <w:color w:val="FF0000"/>
                <w:szCs w:val="24"/>
              </w:rPr>
            </w:pPr>
            <w:r w:rsidRPr="00A23740">
              <w:rPr>
                <w:rFonts w:eastAsia="Times New Roman"/>
                <w:szCs w:val="24"/>
                <w:lang w:eastAsia="tr-TR"/>
              </w:rPr>
              <w:t xml:space="preserve">4. Borçlu çiftçi ise kendisinin ve ailesinin geçimi için </w:t>
            </w:r>
            <w:r w:rsidRPr="00A23740">
              <w:rPr>
                <w:b/>
                <w:bCs/>
                <w:strike/>
                <w:color w:val="FF0000"/>
                <w:szCs w:val="24"/>
              </w:rPr>
              <w:t>zaruri olan</w:t>
            </w:r>
            <w:r w:rsidRPr="00A23740">
              <w:rPr>
                <w:rFonts w:eastAsia="Times New Roman"/>
                <w:szCs w:val="24"/>
                <w:lang w:eastAsia="tr-TR"/>
              </w:rPr>
              <w:t xml:space="preserve"> arazi ve çift hayvanları ve nakil vasıtaları ve </w:t>
            </w:r>
            <w:r w:rsidRPr="00A23740">
              <w:rPr>
                <w:b/>
                <w:bCs/>
                <w:strike/>
                <w:color w:val="FF0000"/>
                <w:szCs w:val="24"/>
              </w:rPr>
              <w:t>diğer eklenti ve ziraat aletleri; değilse, sanat ve mesleki için lüzumlu olan alat ve edevat ve kitapları ve arabacı, kayıkçı, hamal gibi küçük nakliye erbabının geçimleri</w:t>
            </w:r>
            <w:r w:rsidR="00F2357B" w:rsidRPr="00A23740">
              <w:rPr>
                <w:b/>
                <w:bCs/>
                <w:strike/>
                <w:color w:val="FF0000"/>
                <w:szCs w:val="24"/>
              </w:rPr>
              <w:t>ni temin eden nakil vasıtaları,</w:t>
            </w:r>
          </w:p>
          <w:p w:rsidR="00F2357B" w:rsidRPr="00A23740" w:rsidRDefault="00F2357B" w:rsidP="009431FF">
            <w:pPr>
              <w:widowControl w:val="0"/>
              <w:tabs>
                <w:tab w:val="left" w:pos="567"/>
              </w:tabs>
              <w:rPr>
                <w:rFonts w:eastAsia="Times New Roman"/>
                <w:szCs w:val="24"/>
                <w:lang w:eastAsia="tr-TR"/>
              </w:rPr>
            </w:pPr>
            <w:r w:rsidRPr="00A23740">
              <w:rPr>
                <w:rFonts w:eastAsia="Times New Roman"/>
                <w:szCs w:val="24"/>
                <w:lang w:eastAsia="tr-TR"/>
              </w:rPr>
              <w:t xml:space="preserve">7. Borçlu bağ, bahçe veya meyva veya sebze yetiştiricisi ise kendisinin ve ailesinin geçimi için </w:t>
            </w:r>
            <w:r w:rsidRPr="00A23740">
              <w:rPr>
                <w:b/>
                <w:bCs/>
                <w:strike/>
                <w:color w:val="FF0000"/>
                <w:szCs w:val="24"/>
              </w:rPr>
              <w:t>zaruri olan</w:t>
            </w:r>
            <w:r w:rsidRPr="00A23740">
              <w:rPr>
                <w:rFonts w:eastAsia="Times New Roman"/>
                <w:szCs w:val="24"/>
                <w:lang w:eastAsia="tr-TR"/>
              </w:rPr>
              <w:t xml:space="preserve"> bağ bahçe ve bu </w:t>
            </w:r>
            <w:r w:rsidRPr="00A23740">
              <w:rPr>
                <w:b/>
                <w:bCs/>
                <w:strike/>
                <w:color w:val="FF0000"/>
                <w:szCs w:val="24"/>
              </w:rPr>
              <w:t>sanat için lüzumlu</w:t>
            </w:r>
            <w:r w:rsidRPr="00A23740">
              <w:rPr>
                <w:rFonts w:eastAsia="Times New Roman"/>
                <w:szCs w:val="24"/>
                <w:lang w:eastAsia="tr-TR"/>
              </w:rPr>
              <w:t xml:space="preserve"> bulunan </w:t>
            </w:r>
            <w:r w:rsidRPr="00A23740">
              <w:rPr>
                <w:b/>
                <w:bCs/>
                <w:strike/>
                <w:color w:val="FF0000"/>
                <w:szCs w:val="24"/>
              </w:rPr>
              <w:t>alat ve edevat</w:t>
            </w:r>
            <w:r w:rsidRPr="00A23740">
              <w:rPr>
                <w:rFonts w:eastAsia="Times New Roman"/>
                <w:szCs w:val="24"/>
                <w:lang w:eastAsia="tr-TR"/>
              </w:rPr>
              <w:t>,</w:t>
            </w:r>
          </w:p>
          <w:p w:rsidR="00F2357B" w:rsidRPr="00A23740" w:rsidRDefault="00F2357B" w:rsidP="009431FF">
            <w:pPr>
              <w:widowControl w:val="0"/>
              <w:tabs>
                <w:tab w:val="left" w:pos="567"/>
              </w:tabs>
              <w:rPr>
                <w:rFonts w:eastAsia="Times New Roman"/>
                <w:szCs w:val="24"/>
                <w:lang w:eastAsia="tr-TR"/>
              </w:rPr>
            </w:pPr>
            <w:r w:rsidRPr="00A23740">
              <w:t>Geçi</w:t>
            </w:r>
            <w:r w:rsidRPr="00A23740">
              <w:rPr>
                <w:b/>
                <w:bCs/>
                <w:strike/>
                <w:color w:val="FF0000"/>
                <w:szCs w:val="24"/>
              </w:rPr>
              <w:t>mi</w:t>
            </w:r>
            <w:r w:rsidRPr="00A23740">
              <w:t xml:space="preserve"> hayvan </w:t>
            </w:r>
            <w:r w:rsidRPr="00A23740">
              <w:rPr>
                <w:b/>
                <w:bCs/>
                <w:strike/>
                <w:color w:val="FF0000"/>
                <w:szCs w:val="24"/>
              </w:rPr>
              <w:t>yetiştirmeye münhasır olan</w:t>
            </w:r>
            <w:r w:rsidRPr="00A23740">
              <w:rPr>
                <w:rFonts w:eastAsia="Times New Roman"/>
                <w:szCs w:val="24"/>
                <w:lang w:eastAsia="tr-TR"/>
              </w:rPr>
              <w:t xml:space="preserve"> borçlunun kendisi ve ailesinin </w:t>
            </w:r>
            <w:r w:rsidRPr="00A23740">
              <w:rPr>
                <w:b/>
                <w:bCs/>
                <w:strike/>
                <w:color w:val="FF0000"/>
                <w:szCs w:val="24"/>
              </w:rPr>
              <w:t>maişetleri</w:t>
            </w:r>
            <w:r w:rsidRPr="00A23740">
              <w:rPr>
                <w:rFonts w:eastAsia="Times New Roman"/>
                <w:szCs w:val="24"/>
                <w:lang w:eastAsia="tr-TR"/>
              </w:rPr>
              <w:t xml:space="preserve"> için </w:t>
            </w:r>
            <w:r w:rsidRPr="00A23740">
              <w:rPr>
                <w:b/>
                <w:bCs/>
                <w:strike/>
                <w:color w:val="FF0000"/>
                <w:szCs w:val="24"/>
              </w:rPr>
              <w:t>zaruri olan</w:t>
            </w:r>
            <w:r w:rsidRPr="00A23740">
              <w:rPr>
                <w:rFonts w:eastAsia="Times New Roman"/>
                <w:szCs w:val="24"/>
                <w:lang w:eastAsia="tr-TR"/>
              </w:rPr>
              <w:t xml:space="preserve"> </w:t>
            </w:r>
            <w:r w:rsidRPr="00A23740">
              <w:rPr>
                <w:b/>
                <w:bCs/>
                <w:strike/>
                <w:color w:val="FF0000"/>
                <w:szCs w:val="24"/>
              </w:rPr>
              <w:t>miktarı ve</w:t>
            </w:r>
            <w:r w:rsidRPr="00A23740">
              <w:rPr>
                <w:rFonts w:eastAsia="Times New Roman"/>
                <w:szCs w:val="24"/>
                <w:lang w:eastAsia="tr-TR"/>
              </w:rPr>
              <w:t xml:space="preserve"> bu hayva</w:t>
            </w:r>
            <w:r w:rsidRPr="00A23740">
              <w:t>nların</w:t>
            </w:r>
            <w:r w:rsidRPr="00A23740">
              <w:rPr>
                <w:rFonts w:eastAsia="Times New Roman"/>
                <w:szCs w:val="24"/>
                <w:lang w:eastAsia="tr-TR"/>
              </w:rPr>
              <w:t xml:space="preserve"> üç aylık yem ve yataklıkları,</w:t>
            </w:r>
          </w:p>
          <w:p w:rsidR="00F2357B" w:rsidRPr="00A23740" w:rsidRDefault="00F2357B"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szCs w:val="24"/>
                <w:lang w:eastAsia="tr-TR"/>
              </w:rPr>
              <w:t xml:space="preserve">5. </w:t>
            </w:r>
            <w:r w:rsidRPr="00A23740">
              <w:rPr>
                <w:b/>
                <w:bCs/>
                <w:strike/>
                <w:color w:val="FF0000"/>
                <w:szCs w:val="24"/>
              </w:rPr>
              <w:t>Borçlu</w:t>
            </w:r>
            <w:r w:rsidRPr="00A23740">
              <w:rPr>
                <w:b/>
                <w:bCs/>
                <w:color w:val="FF0000"/>
                <w:szCs w:val="24"/>
              </w:rPr>
              <w:t xml:space="preserve"> </w:t>
            </w:r>
            <w:r w:rsidRPr="00A23740">
              <w:rPr>
                <w:rFonts w:eastAsia="Times New Roman"/>
                <w:szCs w:val="24"/>
                <w:lang w:eastAsia="tr-TR"/>
              </w:rPr>
              <w:t>ve ailesinin</w:t>
            </w:r>
            <w:r w:rsidRPr="00A23740">
              <w:rPr>
                <w:b/>
                <w:bCs/>
                <w:color w:val="FF0000"/>
                <w:szCs w:val="24"/>
              </w:rPr>
              <w:t xml:space="preserve"> </w:t>
            </w:r>
            <w:r w:rsidRPr="00A23740">
              <w:rPr>
                <w:b/>
                <w:bCs/>
                <w:strike/>
                <w:color w:val="FF0000"/>
                <w:szCs w:val="24"/>
              </w:rPr>
              <w:t>idareleri için lüzumlu ise borçlunun tercih edeceği bir süt veren mandası veya ineği veyahut üç keçi veya koyunu ve</w:t>
            </w:r>
            <w:r w:rsidRPr="00A23740">
              <w:rPr>
                <w:rFonts w:eastAsia="Times New Roman"/>
                <w:szCs w:val="24"/>
                <w:lang w:eastAsia="tr-TR"/>
              </w:rPr>
              <w:t xml:space="preserve"> bunları</w:t>
            </w:r>
            <w:r w:rsidR="00F2357B" w:rsidRPr="00A23740">
              <w:rPr>
                <w:rFonts w:eastAsia="Times New Roman"/>
                <w:szCs w:val="24"/>
                <w:lang w:eastAsia="tr-TR"/>
              </w:rPr>
              <w:t>n üç aylık yem ve yataklıkları,</w:t>
            </w:r>
          </w:p>
          <w:p w:rsidR="00AA5C8C" w:rsidRPr="00A23740" w:rsidRDefault="00AA5C8C" w:rsidP="009431FF">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8. Borçlar Kanununun 510 uncu maddesi mucibince haczolunmamak üzere tesis edilmiş olan kaydı hayatla iratlar,</w:t>
            </w:r>
          </w:p>
          <w:p w:rsidR="00AA5C8C" w:rsidRPr="00A23740" w:rsidRDefault="00AA5C8C" w:rsidP="009431FF">
            <w:pPr>
              <w:widowControl w:val="0"/>
              <w:tabs>
                <w:tab w:val="left" w:pos="567"/>
              </w:tabs>
              <w:rPr>
                <w:rFonts w:eastAsia="Times New Roman"/>
                <w:szCs w:val="24"/>
                <w:lang w:eastAsia="tr-TR"/>
              </w:rPr>
            </w:pPr>
          </w:p>
          <w:p w:rsidR="00F2357B" w:rsidRPr="00A23740" w:rsidRDefault="00F2357B" w:rsidP="009431FF">
            <w:pPr>
              <w:widowControl w:val="0"/>
              <w:tabs>
                <w:tab w:val="left" w:pos="567"/>
              </w:tabs>
              <w:rPr>
                <w:rFonts w:eastAsia="Times New Roman"/>
                <w:szCs w:val="24"/>
                <w:lang w:eastAsia="tr-TR"/>
              </w:rPr>
            </w:pPr>
          </w:p>
          <w:p w:rsidR="00F2357B" w:rsidRPr="00A23740" w:rsidRDefault="00F2357B"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szCs w:val="24"/>
                <w:lang w:eastAsia="tr-TR"/>
              </w:rPr>
              <w:t xml:space="preserve">9. </w:t>
            </w:r>
            <w:r w:rsidRPr="00A23740">
              <w:rPr>
                <w:b/>
                <w:bCs/>
                <w:strike/>
                <w:color w:val="FF0000"/>
                <w:szCs w:val="24"/>
              </w:rPr>
              <w:t>Memleketin ordu ve zabıta hizmetlerinde</w:t>
            </w:r>
            <w:r w:rsidRPr="00A23740">
              <w:rPr>
                <w:rFonts w:eastAsia="Times New Roman"/>
                <w:szCs w:val="24"/>
                <w:lang w:eastAsia="tr-TR"/>
              </w:rPr>
              <w:t xml:space="preserve"> malül </w:t>
            </w:r>
            <w:r w:rsidRPr="00A23740">
              <w:rPr>
                <w:b/>
                <w:bCs/>
                <w:strike/>
                <w:color w:val="FF0000"/>
                <w:szCs w:val="24"/>
              </w:rPr>
              <w:t xml:space="preserve">olanlara bağlanan emeklilik </w:t>
            </w:r>
            <w:r w:rsidRPr="00A23740">
              <w:rPr>
                <w:rFonts w:eastAsia="Times New Roman"/>
                <w:szCs w:val="24"/>
                <w:lang w:eastAsia="tr-TR"/>
              </w:rPr>
              <w:t>maaş</w:t>
            </w:r>
            <w:r w:rsidRPr="00A23740">
              <w:rPr>
                <w:b/>
                <w:bCs/>
                <w:strike/>
                <w:color w:val="FF0000"/>
                <w:szCs w:val="24"/>
              </w:rPr>
              <w:t>ları ile bu hizmetlerden birinin ifası sebebiyle ailelerine bağlanan maaşlar ve ordunun</w:t>
            </w:r>
            <w:r w:rsidRPr="00A23740">
              <w:t xml:space="preserve"> </w:t>
            </w:r>
            <w:r w:rsidRPr="00A23740">
              <w:rPr>
                <w:rFonts w:eastAsia="Times New Roman"/>
                <w:szCs w:val="24"/>
                <w:lang w:eastAsia="tr-TR"/>
              </w:rPr>
              <w:t>hava ve denizaltı mensuplarına verilen uçuş ve dalış tazminat ve ikramiyeleri,</w:t>
            </w:r>
          </w:p>
          <w:p w:rsidR="00AA5C8C" w:rsidRPr="00A23740" w:rsidRDefault="00AA5C8C" w:rsidP="009431FF">
            <w:pPr>
              <w:widowControl w:val="0"/>
              <w:tabs>
                <w:tab w:val="left" w:pos="567"/>
              </w:tabs>
              <w:rPr>
                <w:rFonts w:eastAsia="Times New Roman"/>
                <w:szCs w:val="24"/>
                <w:lang w:eastAsia="tr-TR"/>
              </w:rPr>
            </w:pPr>
            <w:r w:rsidRPr="00A23740">
              <w:rPr>
                <w:b/>
                <w:bCs/>
                <w:strike/>
                <w:color w:val="FF0000"/>
                <w:szCs w:val="24"/>
              </w:rPr>
              <w:t>Askeri malüllerle,</w:t>
            </w:r>
            <w:r w:rsidRPr="00A23740">
              <w:rPr>
                <w:rFonts w:eastAsia="Times New Roman"/>
                <w:szCs w:val="24"/>
                <w:lang w:eastAsia="tr-TR"/>
              </w:rPr>
              <w:t xml:space="preserve"> şehit yetimler</w:t>
            </w:r>
            <w:r w:rsidRPr="00A23740">
              <w:rPr>
                <w:b/>
                <w:bCs/>
                <w:strike/>
                <w:color w:val="FF0000"/>
                <w:szCs w:val="24"/>
              </w:rPr>
              <w:t>ine verilen terfi zammı ve 1485 numaralı kanun hükmüne göre verilen inhisar beyiye hisseleri,</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10. Bir muavenet sandığı veya cemiyeti tarafından hastalık, zaruret ve ölüm gibi hallerde bağlanan maaşlar,</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szCs w:val="24"/>
                <w:lang w:eastAsia="tr-TR"/>
              </w:rPr>
              <w:t xml:space="preserve">11. </w:t>
            </w:r>
            <w:r w:rsidRPr="00A23740">
              <w:rPr>
                <w:b/>
                <w:bCs/>
                <w:strike/>
                <w:color w:val="FF0000"/>
                <w:szCs w:val="24"/>
              </w:rPr>
              <w:t>Vücut veya sıhhat</w:t>
            </w:r>
            <w:r w:rsidRPr="00A23740">
              <w:rPr>
                <w:rFonts w:eastAsia="Times New Roman"/>
                <w:szCs w:val="24"/>
                <w:lang w:eastAsia="tr-TR"/>
              </w:rPr>
              <w:t xml:space="preserve"> </w:t>
            </w:r>
            <w:r w:rsidRPr="00A23740">
              <w:rPr>
                <w:b/>
                <w:bCs/>
                <w:strike/>
                <w:color w:val="FF0000"/>
                <w:szCs w:val="24"/>
              </w:rPr>
              <w:t>üzerine ika edilen</w:t>
            </w:r>
            <w:r w:rsidRPr="00A23740">
              <w:rPr>
                <w:rFonts w:eastAsia="Times New Roman"/>
                <w:szCs w:val="24"/>
                <w:lang w:eastAsia="tr-TR"/>
              </w:rPr>
              <w:t xml:space="preserve"> zara</w:t>
            </w:r>
            <w:r w:rsidRPr="00A23740">
              <w:t>rlar</w:t>
            </w:r>
            <w:r w:rsidRPr="00A23740">
              <w:rPr>
                <w:rFonts w:eastAsia="Times New Roman"/>
                <w:szCs w:val="24"/>
                <w:lang w:eastAsia="tr-TR"/>
              </w:rPr>
              <w:t xml:space="preserve"> </w:t>
            </w:r>
            <w:r w:rsidRPr="00A23740">
              <w:rPr>
                <w:b/>
                <w:bCs/>
                <w:strike/>
                <w:color w:val="FF0000"/>
                <w:szCs w:val="24"/>
              </w:rPr>
              <w:t>için</w:t>
            </w:r>
            <w:r w:rsidRPr="00A23740">
              <w:rPr>
                <w:rFonts w:eastAsia="Times New Roman"/>
                <w:szCs w:val="24"/>
                <w:lang w:eastAsia="tr-TR"/>
              </w:rPr>
              <w:t xml:space="preserve"> </w:t>
            </w:r>
            <w:r w:rsidRPr="00A23740">
              <w:t>tazminat</w:t>
            </w:r>
            <w:r w:rsidRPr="00A23740">
              <w:rPr>
                <w:b/>
                <w:bCs/>
                <w:color w:val="FF0000"/>
                <w:szCs w:val="24"/>
              </w:rPr>
              <w:t xml:space="preserve"> </w:t>
            </w:r>
            <w:r w:rsidRPr="00A23740">
              <w:rPr>
                <w:b/>
                <w:bCs/>
                <w:strike/>
                <w:color w:val="FF0000"/>
                <w:szCs w:val="24"/>
              </w:rPr>
              <w:t xml:space="preserve">olarak mutazarrırın </w:t>
            </w:r>
            <w:r w:rsidRPr="00A23740">
              <w:rPr>
                <w:rFonts w:eastAsia="Times New Roman"/>
                <w:szCs w:val="24"/>
                <w:lang w:eastAsia="tr-TR"/>
              </w:rPr>
              <w:t xml:space="preserve">kendisine </w:t>
            </w:r>
            <w:r w:rsidRPr="00A23740">
              <w:rPr>
                <w:b/>
                <w:bCs/>
                <w:strike/>
                <w:color w:val="FF0000"/>
                <w:szCs w:val="24"/>
              </w:rPr>
              <w:t>veya ailesine</w:t>
            </w:r>
            <w:r w:rsidRPr="00A23740">
              <w:rPr>
                <w:rFonts w:eastAsia="Times New Roman"/>
                <w:szCs w:val="24"/>
                <w:lang w:eastAsia="tr-TR"/>
              </w:rPr>
              <w:t xml:space="preserve"> toptan </w:t>
            </w:r>
            <w:r w:rsidRPr="00A23740">
              <w:rPr>
                <w:b/>
                <w:bCs/>
                <w:strike/>
                <w:color w:val="FF0000"/>
                <w:szCs w:val="24"/>
              </w:rPr>
              <w:t>veya</w:t>
            </w:r>
            <w:r w:rsidRPr="00A23740">
              <w:rPr>
                <w:rFonts w:eastAsia="Times New Roman"/>
                <w:szCs w:val="24"/>
                <w:lang w:eastAsia="tr-TR"/>
              </w:rPr>
              <w:t xml:space="preserve"> irat şeklinde verilen </w:t>
            </w:r>
            <w:r w:rsidRPr="00A23740">
              <w:rPr>
                <w:b/>
                <w:bCs/>
                <w:strike/>
                <w:color w:val="FF0000"/>
                <w:szCs w:val="24"/>
              </w:rPr>
              <w:t>veya</w:t>
            </w:r>
            <w:r w:rsidRPr="00A23740">
              <w:t xml:space="preserve"> verilmesi</w:t>
            </w:r>
            <w:r w:rsidRPr="00A23740">
              <w:rPr>
                <w:b/>
                <w:bCs/>
                <w:color w:val="FF0000"/>
                <w:szCs w:val="24"/>
              </w:rPr>
              <w:t xml:space="preserve"> </w:t>
            </w:r>
            <w:r w:rsidRPr="00A23740">
              <w:rPr>
                <w:b/>
                <w:bCs/>
                <w:strike/>
                <w:color w:val="FF0000"/>
                <w:szCs w:val="24"/>
              </w:rPr>
              <w:t>lazım gelen paralar</w:t>
            </w:r>
            <w:r w:rsidRPr="00A23740">
              <w:rPr>
                <w:rFonts w:eastAsia="Times New Roman"/>
                <w:szCs w:val="24"/>
                <w:lang w:eastAsia="tr-TR"/>
              </w:rPr>
              <w:t>,</w:t>
            </w:r>
          </w:p>
          <w:p w:rsidR="0031067C" w:rsidRPr="00A23740" w:rsidRDefault="0031067C" w:rsidP="009431FF">
            <w:pPr>
              <w:widowControl w:val="0"/>
              <w:tabs>
                <w:tab w:val="left" w:pos="566"/>
              </w:tabs>
              <w:rPr>
                <w:rFonts w:eastAsia="ヒラギノ明朝 Pro W3"/>
                <w:szCs w:val="24"/>
              </w:rPr>
            </w:pPr>
          </w:p>
          <w:p w:rsidR="00AA5C8C" w:rsidRPr="00A23740" w:rsidRDefault="00AA5C8C" w:rsidP="009431FF">
            <w:pPr>
              <w:widowControl w:val="0"/>
              <w:tabs>
                <w:tab w:val="left" w:pos="566"/>
              </w:tabs>
              <w:rPr>
                <w:rFonts w:eastAsia="ヒラギノ明朝 Pro W3"/>
                <w:szCs w:val="24"/>
              </w:rPr>
            </w:pPr>
          </w:p>
          <w:p w:rsidR="00AA5C8C" w:rsidRPr="00A23740" w:rsidRDefault="00AA5C8C" w:rsidP="009431FF">
            <w:pPr>
              <w:widowControl w:val="0"/>
              <w:tabs>
                <w:tab w:val="left" w:pos="566"/>
              </w:tabs>
              <w:rPr>
                <w:rFonts w:eastAsia="ヒラギノ明朝 Pro W3"/>
                <w:szCs w:val="24"/>
              </w:rPr>
            </w:pPr>
            <w:r w:rsidRPr="00A23740">
              <w:rPr>
                <w:rFonts w:eastAsia="ヒラギノ明朝 Pro W3"/>
                <w:szCs w:val="24"/>
              </w:rPr>
              <w:t xml:space="preserve">13. </w:t>
            </w:r>
            <w:r w:rsidRPr="00A23740">
              <w:rPr>
                <w:b/>
                <w:bCs/>
                <w:strike/>
                <w:color w:val="FF0000"/>
                <w:szCs w:val="24"/>
              </w:rPr>
              <w:t xml:space="preserve">(Ek: 2/7/2012-6352/16 md.) </w:t>
            </w:r>
            <w:r w:rsidRPr="00A23740">
              <w:rPr>
                <w:rFonts w:eastAsia="ヒラギノ明朝 Pro W3"/>
                <w:szCs w:val="24"/>
              </w:rPr>
              <w:t>Öğrenci burs</w:t>
            </w:r>
            <w:r w:rsidRPr="00A23740">
              <w:rPr>
                <w:rFonts w:eastAsia="ヒラギノ明朝 Pro W3"/>
                <w:b/>
                <w:bCs/>
                <w:strike/>
                <w:color w:val="FF0000"/>
                <w:szCs w:val="24"/>
              </w:rPr>
              <w:t>ları</w:t>
            </w:r>
            <w:r w:rsidR="00F2357B" w:rsidRPr="00A23740">
              <w:rPr>
                <w:rFonts w:eastAsia="ヒラギノ明朝 Pro W3"/>
                <w:szCs w:val="24"/>
              </w:rPr>
              <w:t>.</w:t>
            </w:r>
          </w:p>
          <w:p w:rsidR="00AA5C8C" w:rsidRPr="00A23740" w:rsidRDefault="00AA5C8C" w:rsidP="009431FF">
            <w:pPr>
              <w:widowControl w:val="0"/>
              <w:tabs>
                <w:tab w:val="left" w:pos="566"/>
              </w:tabs>
              <w:rPr>
                <w:rFonts w:eastAsia="ヒラギノ明朝 Pro W3"/>
                <w:szCs w:val="24"/>
              </w:rPr>
            </w:pPr>
          </w:p>
          <w:p w:rsidR="00AA5C8C" w:rsidRPr="00A23740" w:rsidRDefault="00AA5C8C" w:rsidP="009431FF">
            <w:pPr>
              <w:widowControl w:val="0"/>
              <w:tabs>
                <w:tab w:val="left" w:pos="566"/>
              </w:tabs>
              <w:rPr>
                <w:rFonts w:eastAsia="ヒラギノ明朝 Pro W3"/>
                <w:szCs w:val="24"/>
              </w:rPr>
            </w:pPr>
          </w:p>
          <w:p w:rsidR="00AA5C8C" w:rsidRPr="00A23740" w:rsidRDefault="00AA5C8C" w:rsidP="009431FF">
            <w:pPr>
              <w:widowControl w:val="0"/>
              <w:tabs>
                <w:tab w:val="left" w:pos="566"/>
              </w:tabs>
              <w:rPr>
                <w:rFonts w:eastAsia="ヒラギノ明朝 Pro W3"/>
                <w:szCs w:val="24"/>
              </w:rPr>
            </w:pPr>
          </w:p>
          <w:p w:rsidR="0031067C" w:rsidRPr="00A23740" w:rsidRDefault="0031067C" w:rsidP="009431FF">
            <w:pPr>
              <w:widowControl w:val="0"/>
              <w:tabs>
                <w:tab w:val="left" w:pos="566"/>
              </w:tabs>
              <w:rPr>
                <w:rFonts w:eastAsia="ヒラギノ明朝 Pro W3"/>
                <w:szCs w:val="24"/>
              </w:rPr>
            </w:pPr>
            <w:r w:rsidRPr="00A23740">
              <w:rPr>
                <w:rFonts w:eastAsia="Times New Roman"/>
                <w:szCs w:val="24"/>
              </w:rPr>
              <w:t>12.</w:t>
            </w:r>
            <w:r w:rsidRPr="00A23740">
              <w:rPr>
                <w:rFonts w:eastAsia="Times New Roman"/>
                <w:b/>
                <w:szCs w:val="24"/>
              </w:rPr>
              <w:t xml:space="preserve"> (Değişik: 2/7/2012-6352/16 md.) </w:t>
            </w:r>
            <w:r w:rsidRPr="00A23740">
              <w:rPr>
                <w:rFonts w:eastAsia="ヒラギノ明朝 Pro W3"/>
                <w:szCs w:val="24"/>
              </w:rPr>
              <w:t xml:space="preserve">Borçlunun </w:t>
            </w:r>
            <w:r w:rsidRPr="00A23740">
              <w:rPr>
                <w:rFonts w:eastAsia="ヒラギノ明朝 Pro W3"/>
                <w:b/>
                <w:bCs/>
                <w:strike/>
                <w:color w:val="FF0000"/>
                <w:szCs w:val="24"/>
              </w:rPr>
              <w:t>haline münasip</w:t>
            </w:r>
            <w:r w:rsidRPr="00A23740">
              <w:rPr>
                <w:rFonts w:eastAsia="ヒラギノ明朝 Pro W3"/>
                <w:szCs w:val="24"/>
              </w:rPr>
              <w:t xml:space="preserve"> evi,</w:t>
            </w:r>
          </w:p>
          <w:p w:rsidR="00AA5C8C" w:rsidRPr="00A23740" w:rsidRDefault="00AA5C8C" w:rsidP="009431FF">
            <w:pPr>
              <w:widowControl w:val="0"/>
              <w:tabs>
                <w:tab w:val="left" w:pos="566"/>
              </w:tabs>
              <w:rPr>
                <w:rFonts w:eastAsia="ヒラギノ明朝 Pro W3"/>
                <w:szCs w:val="24"/>
              </w:rPr>
            </w:pPr>
          </w:p>
          <w:p w:rsidR="00AA5C8C" w:rsidRPr="00A23740" w:rsidRDefault="00AA5C8C" w:rsidP="009431FF">
            <w:pPr>
              <w:widowControl w:val="0"/>
              <w:tabs>
                <w:tab w:val="left" w:pos="567"/>
              </w:tabs>
              <w:rPr>
                <w:rFonts w:eastAsia="Times New Roman"/>
                <w:szCs w:val="24"/>
                <w:lang w:eastAsia="tr-TR"/>
              </w:rPr>
            </w:pPr>
            <w:r w:rsidRPr="00A23740">
              <w:rPr>
                <w:b/>
                <w:bCs/>
                <w:strike/>
                <w:color w:val="FF0000"/>
                <w:szCs w:val="24"/>
              </w:rPr>
              <w:t>Medeni Kanunun  807 nci maddesi hükmü saklıdır. 2, 3, 4, 5, 7 ve 12 numaralı</w:t>
            </w:r>
            <w:r w:rsidRPr="00A23740">
              <w:rPr>
                <w:rFonts w:eastAsia="Times New Roman"/>
                <w:szCs w:val="24"/>
                <w:lang w:eastAsia="tr-TR"/>
              </w:rPr>
              <w:t xml:space="preserve"> bendlerdeki istisna, borcun bu eşya bedelinden doğmaması haline </w:t>
            </w:r>
            <w:r w:rsidRPr="00A23740">
              <w:rPr>
                <w:b/>
                <w:bCs/>
                <w:strike/>
                <w:color w:val="FF0000"/>
                <w:szCs w:val="24"/>
              </w:rPr>
              <w:t>munhasırdır</w:t>
            </w:r>
            <w:r w:rsidRPr="00A23740">
              <w:rPr>
                <w:rFonts w:eastAsia="Times New Roman"/>
                <w:szCs w:val="24"/>
                <w:lang w:eastAsia="tr-TR"/>
              </w:rPr>
              <w:t>.</w:t>
            </w:r>
          </w:p>
          <w:p w:rsidR="00F2357B" w:rsidRPr="00A23740" w:rsidRDefault="00F2357B"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6"/>
              </w:tabs>
              <w:rPr>
                <w:rFonts w:eastAsia="ヒラギノ明朝 Pro W3"/>
                <w:szCs w:val="24"/>
              </w:rPr>
            </w:pPr>
            <w:r w:rsidRPr="00A23740">
              <w:rPr>
                <w:rFonts w:eastAsia="Times New Roman"/>
                <w:b/>
                <w:szCs w:val="24"/>
                <w:lang w:eastAsia="tr-TR"/>
              </w:rPr>
              <w:t xml:space="preserve">(Ek fıkra: 2/7/2012-6352/16 md.) </w:t>
            </w:r>
            <w:r w:rsidRPr="00A23740">
              <w:rPr>
                <w:rFonts w:eastAsia="ヒラギノ明朝 Pro W3"/>
                <w:szCs w:val="24"/>
              </w:rPr>
              <w:t xml:space="preserve">Birinci fıkranın </w:t>
            </w:r>
            <w:r w:rsidRPr="00A23740">
              <w:rPr>
                <w:rFonts w:eastAsia="ヒラギノ明朝 Pro W3"/>
                <w:b/>
                <w:bCs/>
                <w:strike/>
                <w:color w:val="FF0000"/>
                <w:szCs w:val="24"/>
              </w:rPr>
              <w:t>(2), (4), (7) ve (12) numaralı</w:t>
            </w:r>
            <w:r w:rsidRPr="00A23740">
              <w:rPr>
                <w:rFonts w:eastAsia="ヒラギノ明朝 Pro W3"/>
                <w:szCs w:val="24"/>
              </w:rPr>
              <w:t xml:space="preserve"> bentlerinde sayılan malların </w:t>
            </w:r>
            <w:r w:rsidRPr="00A23740">
              <w:rPr>
                <w:rFonts w:eastAsia="ヒラギノ明朝 Pro W3"/>
                <w:b/>
                <w:bCs/>
                <w:strike/>
                <w:color w:val="FF0000"/>
                <w:szCs w:val="24"/>
              </w:rPr>
              <w:t>kıymetinin</w:t>
            </w:r>
            <w:r w:rsidRPr="00A23740">
              <w:rPr>
                <w:rFonts w:eastAsia="ヒラギノ明朝 Pro W3"/>
                <w:szCs w:val="24"/>
              </w:rPr>
              <w:t xml:space="preserve"> fazla olması durumunda, bedelinden </w:t>
            </w:r>
            <w:r w:rsidRPr="00A23740">
              <w:rPr>
                <w:rFonts w:eastAsia="ヒラギノ明朝 Pro W3"/>
                <w:b/>
                <w:bCs/>
                <w:strike/>
                <w:color w:val="FF0000"/>
                <w:szCs w:val="24"/>
              </w:rPr>
              <w:t>haline münasip</w:t>
            </w:r>
            <w:r w:rsidRPr="00A23740">
              <w:t xml:space="preserve"> </w:t>
            </w:r>
            <w:r w:rsidRPr="00A23740">
              <w:rPr>
                <w:rFonts w:eastAsia="ヒラギノ明朝 Pro W3"/>
                <w:szCs w:val="24"/>
              </w:rPr>
              <w:t>bir kısmı, ihtiyacını karşılayabilmesi amacıyla borçluya bırakılmak üzere haczedilerek satılır.</w:t>
            </w:r>
          </w:p>
          <w:p w:rsidR="00AA5C8C" w:rsidRPr="00A23740" w:rsidRDefault="00AA5C8C" w:rsidP="009431FF">
            <w:pPr>
              <w:widowControl w:val="0"/>
              <w:tabs>
                <w:tab w:val="left" w:pos="566"/>
              </w:tabs>
              <w:rPr>
                <w:rFonts w:eastAsia="ヒラギノ明朝 Pro W3"/>
                <w:szCs w:val="24"/>
              </w:rPr>
            </w:pPr>
          </w:p>
          <w:p w:rsidR="00AA5C8C" w:rsidRPr="00A23740" w:rsidRDefault="00AA5C8C" w:rsidP="009431FF">
            <w:pPr>
              <w:widowControl w:val="0"/>
              <w:tabs>
                <w:tab w:val="left" w:pos="566"/>
              </w:tabs>
              <w:rPr>
                <w:rFonts w:eastAsia="ヒラギノ明朝 Pro W3"/>
                <w:szCs w:val="24"/>
              </w:rPr>
            </w:pPr>
          </w:p>
          <w:p w:rsidR="00941339" w:rsidRPr="00A23740" w:rsidRDefault="00941339" w:rsidP="009431FF">
            <w:pPr>
              <w:widowControl w:val="0"/>
              <w:tabs>
                <w:tab w:val="left" w:pos="566"/>
              </w:tabs>
              <w:rPr>
                <w:rFonts w:eastAsia="ヒラギノ明朝 Pro W3"/>
                <w:szCs w:val="24"/>
              </w:rPr>
            </w:pPr>
          </w:p>
          <w:p w:rsidR="00AA5C8C" w:rsidRPr="00A23740" w:rsidRDefault="00AA5C8C" w:rsidP="009431FF">
            <w:pPr>
              <w:widowControl w:val="0"/>
              <w:tabs>
                <w:tab w:val="left" w:pos="566"/>
              </w:tabs>
              <w:rPr>
                <w:rFonts w:eastAsia="ヒラギノ明朝 Pro W3"/>
                <w:szCs w:val="24"/>
              </w:rPr>
            </w:pPr>
            <w:r w:rsidRPr="00A23740">
              <w:rPr>
                <w:b/>
                <w:bCs/>
                <w:strike/>
                <w:color w:val="FF0000"/>
                <w:szCs w:val="24"/>
              </w:rPr>
              <w:t>(Ek fıkra: 2/7/2012-6352/16 md.)</w:t>
            </w:r>
            <w:r w:rsidRPr="00A23740">
              <w:rPr>
                <w:rFonts w:eastAsia="Times New Roman"/>
                <w:b/>
                <w:szCs w:val="24"/>
                <w:lang w:eastAsia="tr-TR"/>
              </w:rPr>
              <w:t xml:space="preserve"> </w:t>
            </w:r>
            <w:r w:rsidRPr="00A23740">
              <w:rPr>
                <w:rFonts w:eastAsia="ヒラギノ明朝 Pro W3"/>
                <w:szCs w:val="24"/>
              </w:rPr>
              <w:t xml:space="preserve">İcra </w:t>
            </w:r>
            <w:r w:rsidRPr="00A23740">
              <w:rPr>
                <w:rFonts w:eastAsia="ヒラギノ明朝 Pro W3"/>
                <w:b/>
                <w:bCs/>
                <w:strike/>
                <w:color w:val="FF0000"/>
                <w:szCs w:val="24"/>
              </w:rPr>
              <w:t>memuru, haczi talep edilen</w:t>
            </w:r>
            <w:r w:rsidRPr="00A23740">
              <w:rPr>
                <w:rFonts w:eastAsia="ヒラギノ明朝 Pro W3"/>
                <w:szCs w:val="24"/>
              </w:rPr>
              <w:t xml:space="preserve"> mal veya hakların haczinin caiz olup olmadığını değerlendirir ve talebin kabulüne veya reddine karar verir.</w:t>
            </w:r>
          </w:p>
          <w:p w:rsidR="00AA5C8C" w:rsidRPr="00A23740" w:rsidRDefault="00AA5C8C" w:rsidP="009431FF">
            <w:pPr>
              <w:widowControl w:val="0"/>
              <w:tabs>
                <w:tab w:val="left" w:pos="567"/>
              </w:tabs>
              <w:rPr>
                <w:rFonts w:eastAsia="Times New Roman"/>
                <w:szCs w:val="24"/>
                <w:lang w:eastAsia="tr-TR"/>
              </w:rPr>
            </w:pPr>
          </w:p>
        </w:tc>
        <w:tc>
          <w:tcPr>
            <w:tcW w:w="2500" w:type="pct"/>
          </w:tcPr>
          <w:p w:rsidR="00AA5C8C" w:rsidRPr="00A23740" w:rsidRDefault="00AA5C8C" w:rsidP="009431FF">
            <w:pPr>
              <w:widowControl w:val="0"/>
              <w:tabs>
                <w:tab w:val="left" w:pos="567"/>
              </w:tabs>
              <w:rPr>
                <w:rFonts w:eastAsia="Times New Roman"/>
                <w:b/>
                <w:szCs w:val="24"/>
                <w:lang w:eastAsia="tr-TR"/>
              </w:rPr>
            </w:pPr>
            <w:r w:rsidRPr="00A23740">
              <w:rPr>
                <w:rFonts w:eastAsia="Times New Roman"/>
                <w:b/>
                <w:szCs w:val="24"/>
                <w:lang w:eastAsia="tr-TR"/>
              </w:rPr>
              <w:t>Hacz</w:t>
            </w:r>
            <w:r w:rsidRPr="00A23740">
              <w:rPr>
                <w:b/>
                <w:bCs/>
                <w:color w:val="0000FF"/>
                <w:szCs w:val="24"/>
                <w:lang w:val="x-none" w:eastAsia="x-none"/>
              </w:rPr>
              <w:t>edilemeyen</w:t>
            </w:r>
            <w:r w:rsidRPr="00A23740">
              <w:rPr>
                <w:rFonts w:eastAsia="Times New Roman"/>
                <w:b/>
                <w:szCs w:val="24"/>
                <w:lang w:eastAsia="tr-TR"/>
              </w:rPr>
              <w:t xml:space="preserve"> mal</w:t>
            </w:r>
            <w:r w:rsidRPr="00A23740">
              <w:rPr>
                <w:rStyle w:val="MaviChar"/>
              </w:rPr>
              <w:t>, hak ve alacaklar</w:t>
            </w:r>
          </w:p>
          <w:p w:rsidR="00A64CF3" w:rsidRPr="00A23740" w:rsidRDefault="00A64CF3" w:rsidP="009431FF">
            <w:pPr>
              <w:widowControl w:val="0"/>
              <w:tabs>
                <w:tab w:val="left" w:pos="567"/>
              </w:tabs>
              <w:rPr>
                <w:b/>
                <w:bCs/>
                <w:color w:val="0000FF"/>
                <w:szCs w:val="24"/>
                <w:lang w:val="x-none" w:eastAsia="x-none"/>
              </w:rPr>
            </w:pPr>
          </w:p>
          <w:p w:rsidR="00AA5C8C" w:rsidRPr="00A23740" w:rsidRDefault="00AA5C8C" w:rsidP="009431FF">
            <w:pPr>
              <w:widowControl w:val="0"/>
              <w:tabs>
                <w:tab w:val="left" w:pos="567"/>
              </w:tabs>
              <w:rPr>
                <w:b/>
                <w:bCs/>
                <w:color w:val="0000FF"/>
                <w:szCs w:val="24"/>
                <w:lang w:val="x-none" w:eastAsia="x-none"/>
              </w:rPr>
            </w:pPr>
            <w:r w:rsidRPr="00A23740">
              <w:rPr>
                <w:b/>
                <w:bCs/>
                <w:color w:val="0000FF"/>
                <w:szCs w:val="24"/>
                <w:lang w:val="x-none" w:eastAsia="x-none"/>
              </w:rPr>
              <w:t xml:space="preserve">MADDE </w:t>
            </w:r>
            <w:r w:rsidR="0070238C" w:rsidRPr="00A23740">
              <w:rPr>
                <w:b/>
                <w:bCs/>
                <w:color w:val="0000FF"/>
                <w:szCs w:val="24"/>
                <w:lang w:eastAsia="x-none"/>
              </w:rPr>
              <w:t>161</w:t>
            </w:r>
            <w:r w:rsidRPr="00A23740">
              <w:rPr>
                <w:b/>
                <w:bCs/>
                <w:color w:val="0000FF"/>
                <w:szCs w:val="24"/>
                <w:lang w:val="x-none" w:eastAsia="x-none"/>
              </w:rPr>
              <w:t>- (1)</w:t>
            </w:r>
            <w:r w:rsidRPr="00A23740">
              <w:rPr>
                <w:rFonts w:eastAsia="Times New Roman"/>
                <w:szCs w:val="24"/>
                <w:lang w:eastAsia="tr-TR"/>
              </w:rPr>
              <w:t xml:space="preserve"> Aşağıda</w:t>
            </w:r>
            <w:r w:rsidR="00DE04C1" w:rsidRPr="00A23740">
              <w:rPr>
                <w:rFonts w:eastAsia="Times New Roman"/>
                <w:szCs w:val="24"/>
                <w:lang w:eastAsia="tr-TR"/>
              </w:rPr>
              <w:t xml:space="preserve"> belirtilen </w:t>
            </w:r>
            <w:r w:rsidR="00DE04C1" w:rsidRPr="00DC7A0B">
              <w:rPr>
                <w:rStyle w:val="YELChar"/>
                <w:color w:val="0000FF"/>
              </w:rPr>
              <w:t>mal, hak ve alacaklar</w:t>
            </w:r>
            <w:r w:rsidRPr="00A23740">
              <w:rPr>
                <w:rFonts w:eastAsia="Times New Roman"/>
                <w:szCs w:val="24"/>
                <w:lang w:eastAsia="tr-TR"/>
              </w:rPr>
              <w:t xml:space="preserve"> hacz</w:t>
            </w:r>
            <w:r w:rsidRPr="00A23740">
              <w:rPr>
                <w:b/>
                <w:bCs/>
                <w:color w:val="0000FF"/>
                <w:szCs w:val="24"/>
                <w:lang w:val="x-none" w:eastAsia="x-none"/>
              </w:rPr>
              <w:t>edilemez:</w:t>
            </w:r>
          </w:p>
          <w:p w:rsidR="00F2357B" w:rsidRPr="00A23740" w:rsidRDefault="00F2357B"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b/>
                <w:bCs/>
                <w:color w:val="0000FF"/>
                <w:szCs w:val="24"/>
                <w:lang w:val="x-none" w:eastAsia="x-none"/>
              </w:rPr>
              <w:t>a)</w:t>
            </w:r>
            <w:r w:rsidRPr="00A23740">
              <w:rPr>
                <w:rFonts w:eastAsia="Times New Roman"/>
                <w:szCs w:val="24"/>
                <w:lang w:eastAsia="tr-TR"/>
              </w:rPr>
              <w:t xml:space="preserve"> Devlet malları.</w:t>
            </w:r>
          </w:p>
          <w:p w:rsidR="00AA5C8C" w:rsidRPr="00A23740" w:rsidRDefault="00AA5C8C" w:rsidP="009431FF">
            <w:pPr>
              <w:widowControl w:val="0"/>
              <w:tabs>
                <w:tab w:val="left" w:pos="567"/>
              </w:tabs>
              <w:rPr>
                <w:b/>
                <w:bCs/>
                <w:color w:val="0000FF"/>
                <w:szCs w:val="24"/>
                <w:lang w:val="x-none" w:eastAsia="x-none"/>
              </w:rPr>
            </w:pPr>
          </w:p>
          <w:p w:rsidR="00474C76" w:rsidRPr="00A23740" w:rsidRDefault="00AA5C8C" w:rsidP="009431FF">
            <w:pPr>
              <w:widowControl w:val="0"/>
              <w:tabs>
                <w:tab w:val="left" w:pos="567"/>
              </w:tabs>
              <w:rPr>
                <w:b/>
                <w:bCs/>
                <w:color w:val="0000FF"/>
                <w:szCs w:val="24"/>
                <w:lang w:val="x-none" w:eastAsia="x-none"/>
              </w:rPr>
            </w:pPr>
            <w:r w:rsidRPr="00A23740">
              <w:rPr>
                <w:b/>
                <w:bCs/>
                <w:color w:val="0000FF"/>
                <w:szCs w:val="24"/>
                <w:lang w:eastAsia="x-none"/>
              </w:rPr>
              <w:t>b</w:t>
            </w:r>
            <w:r w:rsidRPr="00A23740">
              <w:rPr>
                <w:b/>
                <w:bCs/>
                <w:color w:val="0000FF"/>
                <w:szCs w:val="24"/>
                <w:lang w:val="x-none" w:eastAsia="x-none"/>
              </w:rPr>
              <w:t>) Başkasına devredilemeyen mal ve haklar ile kişiye sıkı sıkıya bağlı haklar.</w:t>
            </w:r>
          </w:p>
          <w:p w:rsidR="00AA5C8C" w:rsidRPr="00A23740" w:rsidRDefault="00AA5C8C" w:rsidP="009431FF">
            <w:pPr>
              <w:widowControl w:val="0"/>
              <w:tabs>
                <w:tab w:val="left" w:pos="567"/>
              </w:tabs>
              <w:rPr>
                <w:rFonts w:eastAsia="Times New Roman"/>
                <w:b/>
                <w:color w:val="FF0000"/>
                <w:szCs w:val="24"/>
                <w:lang w:eastAsia="tr-TR"/>
              </w:rPr>
            </w:pPr>
          </w:p>
          <w:p w:rsidR="00AA5C8C" w:rsidRPr="00A23740" w:rsidRDefault="00AA5C8C" w:rsidP="009431FF">
            <w:pPr>
              <w:widowControl w:val="0"/>
              <w:tabs>
                <w:tab w:val="left" w:pos="567"/>
              </w:tabs>
              <w:rPr>
                <w:b/>
                <w:bCs/>
                <w:color w:val="0000FF"/>
                <w:szCs w:val="24"/>
                <w:lang w:val="x-none" w:eastAsia="x-none"/>
              </w:rPr>
            </w:pPr>
            <w:r w:rsidRPr="00A23740">
              <w:rPr>
                <w:b/>
                <w:bCs/>
                <w:color w:val="0000FF"/>
                <w:szCs w:val="24"/>
                <w:lang w:val="x-none" w:eastAsia="x-none"/>
              </w:rPr>
              <w:t>c) Yapay organlar, tekerlekli sandalye, işitme cihazı veya protez gibi bedensel engel veya önemli hastalıklar nedeniyle</w:t>
            </w:r>
            <w:r w:rsidRPr="00A23740">
              <w:rPr>
                <w:b/>
                <w:bCs/>
                <w:color w:val="0000FF"/>
                <w:szCs w:val="24"/>
                <w:lang w:eastAsia="x-none"/>
              </w:rPr>
              <w:t xml:space="preserve"> </w:t>
            </w:r>
            <w:r w:rsidRPr="00A23740">
              <w:rPr>
                <w:b/>
                <w:bCs/>
                <w:color w:val="0000FF"/>
                <w:szCs w:val="24"/>
                <w:lang w:val="x-none" w:eastAsia="x-none"/>
              </w:rPr>
              <w:t>kullanılan eşya, araç veya gereçler.</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pPr>
            <w:r w:rsidRPr="00A23740">
              <w:rPr>
                <w:b/>
                <w:bCs/>
                <w:color w:val="0000FF"/>
                <w:szCs w:val="24"/>
                <w:lang w:val="x-none" w:eastAsia="x-none"/>
              </w:rPr>
              <w:t>ç)</w:t>
            </w:r>
            <w:r w:rsidRPr="00A23740">
              <w:rPr>
                <w:rFonts w:eastAsia="Times New Roman"/>
                <w:szCs w:val="24"/>
                <w:lang w:eastAsia="tr-TR"/>
              </w:rPr>
              <w:t xml:space="preserve"> Ekonomik faaliyeti, sermayesinden </w:t>
            </w:r>
            <w:r w:rsidRPr="00A23740">
              <w:rPr>
                <w:b/>
                <w:bCs/>
                <w:color w:val="0000FF"/>
                <w:szCs w:val="24"/>
                <w:lang w:val="x-none" w:eastAsia="x-none"/>
              </w:rPr>
              <w:t>çok</w:t>
            </w:r>
            <w:r w:rsidRPr="00A23740">
              <w:rPr>
                <w:rFonts w:eastAsia="Times New Roman"/>
                <w:szCs w:val="24"/>
                <w:lang w:eastAsia="tr-TR"/>
              </w:rPr>
              <w:t xml:space="preserve"> bedenî</w:t>
            </w:r>
            <w:r w:rsidRPr="00A23740">
              <w:t xml:space="preserve"> </w:t>
            </w:r>
            <w:r w:rsidRPr="00A23740">
              <w:rPr>
                <w:b/>
                <w:bCs/>
                <w:color w:val="0000FF"/>
                <w:szCs w:val="24"/>
                <w:lang w:val="x-none" w:eastAsia="x-none"/>
              </w:rPr>
              <w:t>veya fikrî</w:t>
            </w:r>
            <w:r w:rsidRPr="00A23740">
              <w:rPr>
                <w:rFonts w:eastAsia="Times New Roman"/>
                <w:b/>
                <w:color w:val="0000FF"/>
                <w:szCs w:val="24"/>
                <w:lang w:eastAsia="tr-TR"/>
              </w:rPr>
              <w:t xml:space="preserve"> </w:t>
            </w:r>
            <w:r w:rsidRPr="00A23740">
              <w:t xml:space="preserve">çalışmasına </w:t>
            </w:r>
            <w:r w:rsidRPr="00A23740">
              <w:rPr>
                <w:b/>
                <w:bCs/>
                <w:color w:val="0000FF"/>
                <w:szCs w:val="24"/>
                <w:lang w:val="x-none" w:eastAsia="x-none"/>
              </w:rPr>
              <w:t>ya da diğer kişisel özelliklerine</w:t>
            </w:r>
            <w:r w:rsidRPr="00A23740">
              <w:t xml:space="preserve"> dayanan borçlunun, mesleğini sürdürebilmesi için gerekli olan her türlü eşya.</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b/>
                <w:bCs/>
                <w:color w:val="0000FF"/>
                <w:szCs w:val="24"/>
                <w:lang w:val="x-none" w:eastAsia="x-none"/>
              </w:rPr>
            </w:pPr>
            <w:r w:rsidRPr="00A23740">
              <w:rPr>
                <w:b/>
                <w:bCs/>
                <w:color w:val="0000FF"/>
                <w:szCs w:val="24"/>
                <w:lang w:val="x-none" w:eastAsia="x-none"/>
              </w:rPr>
              <w:t xml:space="preserve">d) </w:t>
            </w:r>
            <w:r w:rsidRPr="00A23740">
              <w:rPr>
                <w:color w:val="000000"/>
              </w:rPr>
              <w:t>Borçlu ve aynı çatı altında yaşayan aile bireylerine ait kişisel eşya ile ailenin ortak kullanımına hizmet eden tüm ev eşyası.</w:t>
            </w:r>
          </w:p>
          <w:p w:rsidR="00AA5C8C" w:rsidRPr="00A23740" w:rsidRDefault="00AA5C8C" w:rsidP="009431FF">
            <w:pPr>
              <w:widowControl w:val="0"/>
              <w:tabs>
                <w:tab w:val="left" w:pos="567"/>
              </w:tabs>
              <w:rPr>
                <w:rFonts w:eastAsia="Times New Roman"/>
                <w:b/>
                <w:color w:val="FF0000"/>
                <w:szCs w:val="24"/>
                <w:lang w:eastAsia="tr-TR"/>
              </w:rPr>
            </w:pPr>
          </w:p>
          <w:p w:rsidR="00F2357B" w:rsidRPr="00A23740" w:rsidRDefault="00F2357B" w:rsidP="009431FF">
            <w:pPr>
              <w:widowControl w:val="0"/>
              <w:tabs>
                <w:tab w:val="left" w:pos="567"/>
              </w:tabs>
              <w:rPr>
                <w:rFonts w:eastAsia="Times New Roman"/>
                <w:b/>
                <w:color w:val="FF0000"/>
                <w:szCs w:val="24"/>
                <w:lang w:eastAsia="tr-TR"/>
              </w:rPr>
            </w:pPr>
          </w:p>
          <w:p w:rsidR="00F2357B" w:rsidRPr="00A23740" w:rsidRDefault="00F2357B" w:rsidP="009431FF">
            <w:pPr>
              <w:widowControl w:val="0"/>
              <w:tabs>
                <w:tab w:val="left" w:pos="567"/>
              </w:tabs>
              <w:rPr>
                <w:rFonts w:eastAsia="Times New Roman"/>
                <w:b/>
                <w:color w:val="FF0000"/>
                <w:szCs w:val="24"/>
                <w:lang w:eastAsia="tr-TR"/>
              </w:rPr>
            </w:pPr>
          </w:p>
          <w:p w:rsidR="00AA5C8C" w:rsidRPr="00A23740" w:rsidRDefault="00AA5C8C" w:rsidP="009431FF">
            <w:pPr>
              <w:widowControl w:val="0"/>
              <w:tabs>
                <w:tab w:val="left" w:pos="567"/>
              </w:tabs>
            </w:pPr>
            <w:r w:rsidRPr="00A23740">
              <w:rPr>
                <w:b/>
                <w:bCs/>
                <w:color w:val="0000FF"/>
                <w:szCs w:val="24"/>
                <w:lang w:val="x-none" w:eastAsia="x-none"/>
              </w:rPr>
              <w:t>e)</w:t>
            </w:r>
            <w:r w:rsidRPr="00A23740">
              <w:t xml:space="preserve"> Borçlunun ve ailesinin</w:t>
            </w:r>
            <w:r w:rsidRPr="00A23740">
              <w:rPr>
                <w:b/>
                <w:bCs/>
                <w:color w:val="0000FF"/>
                <w:szCs w:val="24"/>
                <w:lang w:val="x-none" w:eastAsia="x-none"/>
              </w:rPr>
              <w:t>, haczi izleyen üç</w:t>
            </w:r>
            <w:r w:rsidRPr="00A23740">
              <w:t xml:space="preserve"> aylık </w:t>
            </w:r>
            <w:r w:rsidRPr="00A23740">
              <w:rPr>
                <w:b/>
                <w:bCs/>
                <w:color w:val="0000FF"/>
                <w:szCs w:val="24"/>
                <w:lang w:val="x-none" w:eastAsia="x-none"/>
              </w:rPr>
              <w:t>süre için gerekli</w:t>
            </w:r>
            <w:r w:rsidRPr="00A23740">
              <w:rPr>
                <w:rFonts w:eastAsia="Times New Roman"/>
                <w:b/>
                <w:color w:val="0000FF"/>
                <w:szCs w:val="24"/>
                <w:lang w:eastAsia="tr-TR"/>
              </w:rPr>
              <w:t xml:space="preserve"> </w:t>
            </w:r>
            <w:r w:rsidRPr="00A23740">
              <w:t>yiyecek ve yakacakları.</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pPr>
            <w:r w:rsidRPr="00A23740">
              <w:rPr>
                <w:b/>
                <w:bCs/>
                <w:color w:val="0000FF"/>
                <w:szCs w:val="24"/>
                <w:lang w:val="x-none" w:eastAsia="x-none"/>
              </w:rPr>
              <w:t>f)</w:t>
            </w:r>
            <w:r w:rsidRPr="00A23740">
              <w:t xml:space="preserve"> Borçlu çiftçi ise kendisinin ve ailesinin geçimi için</w:t>
            </w:r>
            <w:r w:rsidRPr="00A23740">
              <w:rPr>
                <w:b/>
                <w:bCs/>
                <w:color w:val="0000FF"/>
                <w:szCs w:val="24"/>
                <w:lang w:val="x-none" w:eastAsia="x-none"/>
              </w:rPr>
              <w:t xml:space="preserve"> gereken</w:t>
            </w:r>
            <w:r w:rsidRPr="00A23740">
              <w:rPr>
                <w:rFonts w:eastAsia="Times New Roman"/>
                <w:b/>
                <w:color w:val="0000FF"/>
                <w:szCs w:val="24"/>
                <w:lang w:eastAsia="tr-TR"/>
              </w:rPr>
              <w:t xml:space="preserve"> </w:t>
            </w:r>
            <w:r w:rsidRPr="00A23740">
              <w:rPr>
                <w:b/>
                <w:bCs/>
                <w:color w:val="0000FF"/>
                <w:szCs w:val="24"/>
                <w:lang w:val="x-none" w:eastAsia="x-none"/>
              </w:rPr>
              <w:t>miktarda</w:t>
            </w:r>
            <w:r w:rsidRPr="00A23740">
              <w:t xml:space="preserve"> arazi</w:t>
            </w:r>
            <w:r w:rsidRPr="00A23740">
              <w:rPr>
                <w:b/>
                <w:bCs/>
                <w:color w:val="0000FF"/>
                <w:szCs w:val="24"/>
                <w:lang w:val="x-none" w:eastAsia="x-none"/>
              </w:rPr>
              <w:t>,</w:t>
            </w:r>
            <w:r w:rsidRPr="00A23740">
              <w:t xml:space="preserve"> çift hayvanı</w:t>
            </w:r>
            <w:r w:rsidRPr="00A23740">
              <w:rPr>
                <w:b/>
                <w:bCs/>
                <w:color w:val="0000FF"/>
                <w:szCs w:val="24"/>
                <w:lang w:val="x-none" w:eastAsia="x-none"/>
              </w:rPr>
              <w:t>,</w:t>
            </w:r>
            <w:r w:rsidRPr="00A23740">
              <w:t xml:space="preserve"> nakil vasıtaları</w:t>
            </w:r>
            <w:r w:rsidRPr="00A23740">
              <w:rPr>
                <w:b/>
                <w:bCs/>
                <w:color w:val="0000FF"/>
                <w:szCs w:val="24"/>
                <w:lang w:val="x-none" w:eastAsia="x-none"/>
              </w:rPr>
              <w:t>,</w:t>
            </w:r>
            <w:r w:rsidRPr="00A23740">
              <w:t xml:space="preserve"> </w:t>
            </w:r>
            <w:r w:rsidRPr="00A23740">
              <w:rPr>
                <w:b/>
                <w:bCs/>
                <w:color w:val="0000FF"/>
                <w:szCs w:val="24"/>
                <w:lang w:val="x-none" w:eastAsia="x-none"/>
              </w:rPr>
              <w:t>tarım alet ve araçları ile gelecek dönem için ayrılacak</w:t>
            </w:r>
            <w:r w:rsidRPr="00A23740">
              <w:t xml:space="preserve"> tohumluğu</w:t>
            </w:r>
            <w:r w:rsidRPr="00A23740">
              <w:rPr>
                <w:b/>
                <w:bCs/>
                <w:color w:val="0000FF"/>
                <w:szCs w:val="24"/>
                <w:lang w:val="x-none" w:eastAsia="x-none"/>
              </w:rPr>
              <w:t xml:space="preserve">; </w:t>
            </w:r>
            <w:r w:rsidRPr="00A23740">
              <w:t xml:space="preserve">borçlu bağ, bahçe, meyve veya sebze yetiştiricisi ise kendisinin ve ailesinin geçimi için </w:t>
            </w:r>
            <w:r w:rsidRPr="00A23740">
              <w:rPr>
                <w:b/>
                <w:bCs/>
                <w:color w:val="0000FF"/>
                <w:szCs w:val="24"/>
                <w:lang w:val="x-none" w:eastAsia="x-none"/>
              </w:rPr>
              <w:t>gereken miktarda</w:t>
            </w:r>
            <w:r w:rsidRPr="00A23740">
              <w:t xml:space="preserve"> bağ, bahçe ve bu </w:t>
            </w:r>
            <w:r w:rsidRPr="00A23740">
              <w:rPr>
                <w:b/>
                <w:bCs/>
                <w:color w:val="0000FF"/>
                <w:szCs w:val="24"/>
                <w:lang w:val="x-none" w:eastAsia="x-none"/>
              </w:rPr>
              <w:t>mesleğin yerine getirilmesi için zorunlu</w:t>
            </w:r>
            <w:r w:rsidRPr="00A23740">
              <w:t xml:space="preserve"> bulunan </w:t>
            </w:r>
            <w:r w:rsidRPr="00A23740">
              <w:rPr>
                <w:b/>
                <w:bCs/>
                <w:color w:val="0000FF"/>
                <w:szCs w:val="24"/>
                <w:lang w:val="x-none" w:eastAsia="x-none"/>
              </w:rPr>
              <w:t>araç</w:t>
            </w:r>
            <w:r w:rsidRPr="00A23740">
              <w:rPr>
                <w:b/>
                <w:bCs/>
                <w:color w:val="0000FF"/>
                <w:szCs w:val="24"/>
                <w:lang w:eastAsia="x-none"/>
              </w:rPr>
              <w:t>lar</w:t>
            </w:r>
            <w:r w:rsidRPr="00A23740">
              <w:rPr>
                <w:b/>
                <w:bCs/>
                <w:color w:val="0000FF"/>
                <w:szCs w:val="24"/>
                <w:lang w:val="x-none" w:eastAsia="x-none"/>
              </w:rPr>
              <w:t xml:space="preserve">; </w:t>
            </w:r>
            <w:r w:rsidRPr="00A23740">
              <w:t>hayvan</w:t>
            </w:r>
            <w:r w:rsidRPr="00A23740">
              <w:rPr>
                <w:b/>
                <w:bCs/>
                <w:color w:val="0000FF"/>
                <w:szCs w:val="24"/>
                <w:lang w:val="x-none" w:eastAsia="x-none"/>
              </w:rPr>
              <w:t>cılıkla</w:t>
            </w:r>
            <w:r w:rsidRPr="00A23740">
              <w:t xml:space="preserve"> geçi</w:t>
            </w:r>
            <w:r w:rsidRPr="00A23740">
              <w:rPr>
                <w:b/>
                <w:bCs/>
                <w:color w:val="0000FF"/>
                <w:szCs w:val="24"/>
                <w:lang w:val="x-none" w:eastAsia="x-none"/>
              </w:rPr>
              <w:t>nen</w:t>
            </w:r>
            <w:r w:rsidRPr="00A23740">
              <w:t xml:space="preserve"> borçlunun kendisi ve ailesinin </w:t>
            </w:r>
            <w:r w:rsidRPr="00A23740">
              <w:rPr>
                <w:b/>
                <w:bCs/>
                <w:color w:val="0000FF"/>
                <w:szCs w:val="24"/>
                <w:lang w:eastAsia="x-none"/>
              </w:rPr>
              <w:t>geçimi</w:t>
            </w:r>
            <w:r w:rsidRPr="00A23740">
              <w:t xml:space="preserve"> için </w:t>
            </w:r>
            <w:r w:rsidRPr="00A23740">
              <w:rPr>
                <w:b/>
                <w:bCs/>
                <w:color w:val="0000FF"/>
                <w:szCs w:val="24"/>
                <w:lang w:val="x-none" w:eastAsia="x-none"/>
              </w:rPr>
              <w:t xml:space="preserve">zorunlu </w:t>
            </w:r>
            <w:r w:rsidRPr="00A23740">
              <w:t>miktar</w:t>
            </w:r>
            <w:r w:rsidRPr="00A23740">
              <w:rPr>
                <w:b/>
                <w:bCs/>
                <w:color w:val="0000FF"/>
                <w:szCs w:val="24"/>
                <w:lang w:val="x-none" w:eastAsia="x-none"/>
              </w:rPr>
              <w:t>da</w:t>
            </w:r>
            <w:r w:rsidRPr="00A23740">
              <w:rPr>
                <w:b/>
                <w:bCs/>
                <w:color w:val="0000FF"/>
                <w:szCs w:val="24"/>
                <w:lang w:eastAsia="x-none"/>
              </w:rPr>
              <w:t xml:space="preserve"> hayvan ile</w:t>
            </w:r>
            <w:r w:rsidRPr="00A23740">
              <w:t xml:space="preserve"> bu hayvanların üç aylık yem ve yataklıkları.</w:t>
            </w:r>
          </w:p>
          <w:p w:rsidR="00AA5C8C" w:rsidRPr="00A23740" w:rsidRDefault="00AA5C8C" w:rsidP="009431FF">
            <w:pPr>
              <w:widowControl w:val="0"/>
              <w:tabs>
                <w:tab w:val="left" w:pos="567"/>
              </w:tabs>
              <w:rPr>
                <w:rFonts w:eastAsia="Times New Roman"/>
                <w:b/>
                <w:color w:val="FF0000"/>
                <w:szCs w:val="24"/>
                <w:lang w:eastAsia="tr-TR"/>
              </w:rPr>
            </w:pPr>
          </w:p>
          <w:p w:rsidR="00F2357B" w:rsidRPr="00A23740" w:rsidRDefault="00F2357B" w:rsidP="009431FF">
            <w:pPr>
              <w:widowControl w:val="0"/>
              <w:tabs>
                <w:tab w:val="left" w:pos="567"/>
              </w:tabs>
              <w:rPr>
                <w:rFonts w:eastAsia="Times New Roman"/>
                <w:b/>
                <w:color w:val="FF0000"/>
                <w:szCs w:val="24"/>
                <w:lang w:eastAsia="tr-TR"/>
              </w:rPr>
            </w:pPr>
          </w:p>
          <w:p w:rsidR="00F2357B" w:rsidRPr="00A23740" w:rsidRDefault="00F2357B" w:rsidP="009431FF">
            <w:pPr>
              <w:widowControl w:val="0"/>
              <w:tabs>
                <w:tab w:val="left" w:pos="567"/>
              </w:tabs>
              <w:rPr>
                <w:rFonts w:eastAsia="Times New Roman"/>
                <w:b/>
                <w:color w:val="FF0000"/>
                <w:szCs w:val="24"/>
                <w:lang w:eastAsia="tr-TR"/>
              </w:rPr>
            </w:pPr>
          </w:p>
          <w:p w:rsidR="00F2357B" w:rsidRPr="00A23740" w:rsidRDefault="00F2357B" w:rsidP="009431FF">
            <w:pPr>
              <w:widowControl w:val="0"/>
              <w:tabs>
                <w:tab w:val="left" w:pos="567"/>
              </w:tabs>
              <w:rPr>
                <w:rFonts w:eastAsia="Times New Roman"/>
                <w:b/>
                <w:color w:val="FF0000"/>
                <w:szCs w:val="24"/>
                <w:lang w:eastAsia="tr-TR"/>
              </w:rPr>
            </w:pPr>
          </w:p>
          <w:p w:rsidR="00AA5C8C" w:rsidRPr="00A23740" w:rsidRDefault="00AA5C8C" w:rsidP="009431FF">
            <w:pPr>
              <w:widowControl w:val="0"/>
              <w:tabs>
                <w:tab w:val="left" w:pos="567"/>
              </w:tabs>
              <w:rPr>
                <w:b/>
                <w:bCs/>
                <w:color w:val="0000FF"/>
                <w:szCs w:val="24"/>
                <w:lang w:val="x-none" w:eastAsia="x-none"/>
              </w:rPr>
            </w:pPr>
            <w:r w:rsidRPr="00A23740">
              <w:rPr>
                <w:b/>
                <w:bCs/>
                <w:color w:val="0000FF"/>
                <w:szCs w:val="24"/>
                <w:lang w:eastAsia="x-none"/>
              </w:rPr>
              <w:t>g</w:t>
            </w:r>
            <w:r w:rsidRPr="00A23740">
              <w:rPr>
                <w:b/>
                <w:bCs/>
                <w:color w:val="0000FF"/>
                <w:szCs w:val="24"/>
                <w:lang w:val="x-none" w:eastAsia="x-none"/>
              </w:rPr>
              <w:t xml:space="preserve">) Hayvan besleyen borçlunun </w:t>
            </w:r>
            <w:r w:rsidRPr="00A23740">
              <w:rPr>
                <w:bCs/>
                <w:szCs w:val="24"/>
                <w:lang w:val="x-none" w:eastAsia="x-none"/>
              </w:rPr>
              <w:t>ve ailesinin</w:t>
            </w:r>
            <w:r w:rsidRPr="00A23740">
              <w:rPr>
                <w:b/>
                <w:bCs/>
                <w:color w:val="0000FF"/>
                <w:szCs w:val="24"/>
                <w:lang w:val="x-none" w:eastAsia="x-none"/>
              </w:rPr>
              <w:t xml:space="preserve"> ihtiyaçlarını karşılayacak sayıda</w:t>
            </w:r>
            <w:r w:rsidRPr="00A23740">
              <w:rPr>
                <w:b/>
                <w:bCs/>
                <w:color w:val="0000FF"/>
                <w:szCs w:val="24"/>
                <w:lang w:eastAsia="x-none"/>
              </w:rPr>
              <w:t xml:space="preserve"> </w:t>
            </w:r>
            <w:r w:rsidRPr="00A23740">
              <w:rPr>
                <w:b/>
                <w:bCs/>
                <w:color w:val="0000FF"/>
                <w:szCs w:val="24"/>
                <w:lang w:val="x-none" w:eastAsia="x-none"/>
              </w:rPr>
              <w:t xml:space="preserve">hayvan ile </w:t>
            </w:r>
            <w:r w:rsidRPr="00A23740">
              <w:rPr>
                <w:bCs/>
                <w:szCs w:val="24"/>
                <w:lang w:val="x-none" w:eastAsia="x-none"/>
              </w:rPr>
              <w:t>bunların üç aylık yem ve yataklıkları</w:t>
            </w:r>
            <w:r w:rsidR="00330F89" w:rsidRPr="00A23740">
              <w:rPr>
                <w:b/>
                <w:bCs/>
                <w:color w:val="0000FF"/>
                <w:szCs w:val="24"/>
                <w:lang w:val="x-none" w:eastAsia="x-none"/>
              </w:rPr>
              <w:t>.</w:t>
            </w:r>
          </w:p>
          <w:p w:rsidR="00AA5C8C" w:rsidRPr="00A23740" w:rsidRDefault="00AA5C8C" w:rsidP="009431FF">
            <w:pPr>
              <w:widowControl w:val="0"/>
              <w:tabs>
                <w:tab w:val="left" w:pos="567"/>
              </w:tabs>
              <w:rPr>
                <w:rFonts w:eastAsia="Times New Roman"/>
                <w:b/>
                <w:color w:val="0000FF"/>
                <w:szCs w:val="24"/>
                <w:lang w:eastAsia="tr-TR"/>
              </w:rPr>
            </w:pPr>
          </w:p>
          <w:p w:rsidR="00C52C6C" w:rsidRPr="00DC7A0B" w:rsidRDefault="00C52C6C" w:rsidP="009431FF">
            <w:pPr>
              <w:pStyle w:val="YEL"/>
              <w:widowControl w:val="0"/>
              <w:rPr>
                <w:color w:val="0000FF"/>
                <w:lang w:val="tr-TR" w:eastAsia="tr-TR"/>
              </w:rPr>
            </w:pPr>
            <w:r w:rsidRPr="00DC7A0B">
              <w:rPr>
                <w:color w:val="0000FF"/>
                <w:lang w:val="tr-TR" w:eastAsia="tr-TR"/>
              </w:rPr>
              <w:t xml:space="preserve">ğ) </w:t>
            </w:r>
            <w:r w:rsidRPr="00DC7A0B">
              <w:rPr>
                <w:rStyle w:val="YELChar"/>
                <w:b/>
                <w:color w:val="0000FF"/>
                <w:lang w:val="tr-TR"/>
              </w:rPr>
              <w:t>5510 sayılı Sosyal Sigortalar ve Genel Sigortalar Kanununun 88 inci maddesine göre takip ve tahsili gereken alacaklar ile nafaka alacakları hariç olmak üzere, bu Kanunda düzenlenmiş olan sigortalılar ve hak sahiplerine bağlanan gelir, aylık ve ödenekler,</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C52C6C" w:rsidP="009431FF">
            <w:pPr>
              <w:widowControl w:val="0"/>
              <w:tabs>
                <w:tab w:val="left" w:pos="567"/>
              </w:tabs>
              <w:rPr>
                <w:rFonts w:eastAsia="Times New Roman"/>
                <w:b/>
                <w:color w:val="0000FF"/>
                <w:szCs w:val="24"/>
                <w:lang w:eastAsia="tr-TR"/>
              </w:rPr>
            </w:pPr>
            <w:r w:rsidRPr="00A23740">
              <w:rPr>
                <w:b/>
                <w:bCs/>
                <w:color w:val="0000FF"/>
                <w:szCs w:val="24"/>
                <w:lang w:eastAsia="x-none"/>
              </w:rPr>
              <w:t>h</w:t>
            </w:r>
            <w:r w:rsidR="00AA5C8C" w:rsidRPr="00A23740">
              <w:rPr>
                <w:b/>
                <w:bCs/>
                <w:color w:val="0000FF"/>
                <w:szCs w:val="24"/>
                <w:lang w:val="x-none" w:eastAsia="x-none"/>
              </w:rPr>
              <w:t xml:space="preserve">) </w:t>
            </w:r>
            <w:r w:rsidR="00AA5C8C" w:rsidRPr="00A23740">
              <w:t>Malul</w:t>
            </w:r>
            <w:r w:rsidR="00AA5C8C" w:rsidRPr="00A23740">
              <w:rPr>
                <w:b/>
                <w:bCs/>
                <w:color w:val="0000FF"/>
                <w:szCs w:val="24"/>
                <w:lang w:val="x-none" w:eastAsia="x-none"/>
              </w:rPr>
              <w:t xml:space="preserve">lere, </w:t>
            </w:r>
            <w:r w:rsidR="00AA5C8C" w:rsidRPr="00A23740">
              <w:t>yetimlere</w:t>
            </w:r>
            <w:r w:rsidR="00AA5C8C" w:rsidRPr="00A23740">
              <w:rPr>
                <w:b/>
                <w:bCs/>
                <w:color w:val="0000FF"/>
                <w:szCs w:val="24"/>
                <w:lang w:val="x-none" w:eastAsia="x-none"/>
              </w:rPr>
              <w:t xml:space="preserve">, dullara, </w:t>
            </w:r>
            <w:r w:rsidR="00AA5C8C" w:rsidRPr="00A23740">
              <w:t xml:space="preserve">şehit </w:t>
            </w:r>
            <w:r w:rsidR="00AA5C8C" w:rsidRPr="00A23740">
              <w:rPr>
                <w:b/>
                <w:bCs/>
                <w:color w:val="0000FF"/>
                <w:szCs w:val="24"/>
                <w:lang w:val="x-none" w:eastAsia="x-none"/>
              </w:rPr>
              <w:t>yakınlarına, gazilere ve terör mağdurlarına bu nedenle verilen</w:t>
            </w:r>
            <w:r w:rsidR="00AA5C8C" w:rsidRPr="00A23740">
              <w:t xml:space="preserve"> maaş </w:t>
            </w:r>
            <w:r w:rsidR="00AA5C8C" w:rsidRPr="00A23740">
              <w:rPr>
                <w:b/>
                <w:bCs/>
                <w:color w:val="0000FF"/>
                <w:szCs w:val="24"/>
                <w:lang w:val="x-none" w:eastAsia="x-none"/>
              </w:rPr>
              <w:t>ve tazminat ile yapılan her türlü ödemeler; Silahlı Kuvvetlerde</w:t>
            </w:r>
            <w:r w:rsidR="00AA5C8C" w:rsidRPr="00A23740">
              <w:t xml:space="preserve"> hava ve denizaltı mensuplarına verilen uçuş ve dalış tazminat ve ikramiyeleri,</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FF0000"/>
                <w:szCs w:val="24"/>
                <w:lang w:eastAsia="tr-TR"/>
              </w:rPr>
            </w:pPr>
          </w:p>
          <w:p w:rsidR="00F2357B" w:rsidRPr="00A23740" w:rsidRDefault="00F2357B" w:rsidP="009431FF">
            <w:pPr>
              <w:widowControl w:val="0"/>
              <w:tabs>
                <w:tab w:val="left" w:pos="567"/>
              </w:tabs>
              <w:rPr>
                <w:rFonts w:eastAsia="Times New Roman"/>
                <w:b/>
                <w:color w:val="FF0000"/>
                <w:szCs w:val="24"/>
                <w:lang w:eastAsia="tr-TR"/>
              </w:rPr>
            </w:pPr>
          </w:p>
          <w:p w:rsidR="00F2357B" w:rsidRDefault="00F2357B" w:rsidP="009431FF">
            <w:pPr>
              <w:pStyle w:val="KIRMIZI"/>
              <w:widowControl w:val="0"/>
            </w:pPr>
          </w:p>
          <w:p w:rsidR="00C616B3" w:rsidRDefault="00C616B3" w:rsidP="009431FF">
            <w:pPr>
              <w:pStyle w:val="KIRMIZI"/>
              <w:widowControl w:val="0"/>
            </w:pPr>
          </w:p>
          <w:p w:rsidR="00C616B3" w:rsidRPr="00A23740" w:rsidRDefault="00C616B3" w:rsidP="009431FF">
            <w:pPr>
              <w:pStyle w:val="KIRMIZI"/>
              <w:widowControl w:val="0"/>
            </w:pPr>
          </w:p>
          <w:p w:rsidR="00AA5C8C" w:rsidRPr="00A23740" w:rsidRDefault="00C52C6C" w:rsidP="009431FF">
            <w:pPr>
              <w:widowControl w:val="0"/>
              <w:tabs>
                <w:tab w:val="left" w:pos="567"/>
              </w:tabs>
              <w:rPr>
                <w:b/>
                <w:bCs/>
                <w:color w:val="0000FF"/>
                <w:szCs w:val="24"/>
                <w:lang w:val="x-none" w:eastAsia="x-none"/>
              </w:rPr>
            </w:pPr>
            <w:r w:rsidRPr="00A23740">
              <w:rPr>
                <w:b/>
                <w:bCs/>
                <w:color w:val="0000FF"/>
                <w:szCs w:val="24"/>
                <w:lang w:eastAsia="x-none"/>
              </w:rPr>
              <w:t>ı</w:t>
            </w:r>
            <w:r w:rsidR="00AA5C8C" w:rsidRPr="00A23740">
              <w:rPr>
                <w:b/>
                <w:bCs/>
                <w:color w:val="0000FF"/>
                <w:szCs w:val="24"/>
                <w:lang w:eastAsia="x-none"/>
              </w:rPr>
              <w:t xml:space="preserve">) Ölüm, bedensel </w:t>
            </w:r>
            <w:r w:rsidR="00AA5C8C" w:rsidRPr="00A23740">
              <w:t>zararlar</w:t>
            </w:r>
            <w:r w:rsidR="00AA5C8C" w:rsidRPr="00A23740">
              <w:rPr>
                <w:b/>
                <w:bCs/>
                <w:color w:val="0000FF"/>
                <w:szCs w:val="24"/>
                <w:lang w:eastAsia="x-none"/>
              </w:rPr>
              <w:t xml:space="preserve"> veya sağlığın bozulması sebebiyle zarar gören ya da sağlığı bozulan kişinin </w:t>
            </w:r>
            <w:r w:rsidR="00AA5C8C" w:rsidRPr="00A23740">
              <w:t xml:space="preserve">kendisine </w:t>
            </w:r>
            <w:r w:rsidR="00AA5C8C" w:rsidRPr="00A23740">
              <w:rPr>
                <w:b/>
                <w:bCs/>
                <w:color w:val="0000FF"/>
                <w:szCs w:val="24"/>
                <w:lang w:eastAsia="x-none"/>
              </w:rPr>
              <w:t xml:space="preserve">ya da </w:t>
            </w:r>
            <w:r w:rsidR="00AA5C8C" w:rsidRPr="00A23740">
              <w:rPr>
                <w:b/>
                <w:bCs/>
                <w:color w:val="0000FF"/>
                <w:szCs w:val="24"/>
                <w:lang w:val="x-none" w:eastAsia="x-none"/>
              </w:rPr>
              <w:t>yakınlarına</w:t>
            </w:r>
            <w:r w:rsidR="00AA5C8C" w:rsidRPr="00A23740">
              <w:rPr>
                <w:rFonts w:eastAsia="Times New Roman"/>
                <w:b/>
                <w:color w:val="0000FF"/>
                <w:szCs w:val="24"/>
                <w:lang w:eastAsia="tr-TR"/>
              </w:rPr>
              <w:t xml:space="preserve"> </w:t>
            </w:r>
            <w:r w:rsidR="00AA5C8C" w:rsidRPr="00A23740">
              <w:t xml:space="preserve">toptan </w:t>
            </w:r>
            <w:r w:rsidR="00AA5C8C" w:rsidRPr="00A23740">
              <w:rPr>
                <w:b/>
                <w:bCs/>
                <w:color w:val="0000FF"/>
                <w:szCs w:val="24"/>
                <w:lang w:val="x-none" w:eastAsia="x-none"/>
              </w:rPr>
              <w:t>yahut</w:t>
            </w:r>
            <w:r w:rsidR="00AA5C8C" w:rsidRPr="00A23740">
              <w:t xml:space="preserve"> irat şeklinde verilen </w:t>
            </w:r>
            <w:r w:rsidR="00AA5C8C" w:rsidRPr="00A23740">
              <w:rPr>
                <w:b/>
                <w:bCs/>
                <w:color w:val="0000FF"/>
                <w:szCs w:val="24"/>
                <w:lang w:val="x-none" w:eastAsia="x-none"/>
              </w:rPr>
              <w:t>veyahut</w:t>
            </w:r>
            <w:r w:rsidR="00AA5C8C" w:rsidRPr="00A23740">
              <w:t xml:space="preserve"> verilmesi </w:t>
            </w:r>
            <w:r w:rsidR="00AA5C8C" w:rsidRPr="00A23740">
              <w:rPr>
                <w:b/>
                <w:bCs/>
                <w:color w:val="0000FF"/>
                <w:szCs w:val="24"/>
                <w:lang w:val="x-none" w:eastAsia="x-none"/>
              </w:rPr>
              <w:t xml:space="preserve">gereken maddi ve manevi </w:t>
            </w:r>
            <w:r w:rsidR="00AA5C8C" w:rsidRPr="00A23740">
              <w:t>tazminatl</w:t>
            </w:r>
            <w:r w:rsidR="00F2357B" w:rsidRPr="00A23740">
              <w:rPr>
                <w:b/>
                <w:bCs/>
                <w:color w:val="0000FF"/>
                <w:szCs w:val="24"/>
                <w:lang w:val="x-none" w:eastAsia="x-none"/>
              </w:rPr>
              <w:t>ar.</w:t>
            </w:r>
          </w:p>
          <w:p w:rsidR="00F2357B" w:rsidRPr="00A23740" w:rsidRDefault="00F2357B" w:rsidP="009431FF">
            <w:pPr>
              <w:widowControl w:val="0"/>
              <w:tabs>
                <w:tab w:val="left" w:pos="567"/>
              </w:tabs>
              <w:rPr>
                <w:b/>
                <w:bCs/>
                <w:color w:val="0000FF"/>
                <w:szCs w:val="24"/>
                <w:lang w:val="x-none" w:eastAsia="x-none"/>
              </w:rPr>
            </w:pPr>
          </w:p>
          <w:p w:rsidR="00AA5C8C" w:rsidRPr="00A23740" w:rsidRDefault="00C52C6C" w:rsidP="009431FF">
            <w:pPr>
              <w:widowControl w:val="0"/>
              <w:tabs>
                <w:tab w:val="left" w:pos="567"/>
              </w:tabs>
              <w:rPr>
                <w:rFonts w:eastAsia="Times New Roman"/>
                <w:b/>
                <w:color w:val="0000FF"/>
                <w:szCs w:val="24"/>
                <w:lang w:eastAsia="tr-TR"/>
              </w:rPr>
            </w:pPr>
            <w:r w:rsidRPr="00A23740">
              <w:rPr>
                <w:b/>
                <w:bCs/>
                <w:color w:val="0000FF"/>
                <w:szCs w:val="24"/>
                <w:lang w:eastAsia="x-none"/>
              </w:rPr>
              <w:t>i</w:t>
            </w:r>
            <w:r w:rsidR="00AA5C8C" w:rsidRPr="00A23740">
              <w:rPr>
                <w:b/>
                <w:bCs/>
                <w:color w:val="0000FF"/>
                <w:szCs w:val="24"/>
                <w:lang w:val="x-none" w:eastAsia="x-none"/>
              </w:rPr>
              <w:t>)</w:t>
            </w:r>
            <w:r w:rsidR="00AA5C8C" w:rsidRPr="00A23740">
              <w:t xml:space="preserve"> </w:t>
            </w:r>
            <w:r w:rsidR="00AA5C8C" w:rsidRPr="00A23740">
              <w:rPr>
                <w:b/>
                <w:bCs/>
                <w:color w:val="0000FF"/>
                <w:szCs w:val="24"/>
                <w:lang w:val="x-none" w:eastAsia="x-none"/>
              </w:rPr>
              <w:t>Her türlü</w:t>
            </w:r>
            <w:r w:rsidR="00AA5C8C" w:rsidRPr="00A23740">
              <w:t xml:space="preserve"> öğrenci burs</w:t>
            </w:r>
            <w:r w:rsidR="00AA5C8C" w:rsidRPr="00A23740">
              <w:rPr>
                <w:b/>
                <w:bCs/>
                <w:color w:val="0000FF"/>
                <w:szCs w:val="24"/>
                <w:lang w:val="x-none" w:eastAsia="x-none"/>
              </w:rPr>
              <w:t>u</w:t>
            </w:r>
            <w:r w:rsidR="00AA5C8C" w:rsidRPr="00A23740">
              <w:t>.</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C52C6C" w:rsidP="009431FF">
            <w:pPr>
              <w:widowControl w:val="0"/>
              <w:tabs>
                <w:tab w:val="left" w:pos="567"/>
              </w:tabs>
              <w:rPr>
                <w:b/>
                <w:bCs/>
                <w:color w:val="0000FF"/>
                <w:szCs w:val="24"/>
                <w:lang w:val="x-none" w:eastAsia="x-none"/>
              </w:rPr>
            </w:pPr>
            <w:r w:rsidRPr="00A23740">
              <w:rPr>
                <w:b/>
                <w:bCs/>
                <w:color w:val="0000FF"/>
                <w:szCs w:val="24"/>
                <w:lang w:eastAsia="x-none"/>
              </w:rPr>
              <w:t>j</w:t>
            </w:r>
            <w:r w:rsidR="00AA5C8C" w:rsidRPr="00A23740">
              <w:rPr>
                <w:b/>
                <w:bCs/>
                <w:color w:val="0000FF"/>
                <w:szCs w:val="24"/>
                <w:lang w:val="x-none" w:eastAsia="x-none"/>
              </w:rPr>
              <w:t>) İlama dayanan her türlü nafaka.</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C52C6C" w:rsidP="009431FF">
            <w:pPr>
              <w:widowControl w:val="0"/>
              <w:tabs>
                <w:tab w:val="left" w:pos="567"/>
              </w:tabs>
              <w:rPr>
                <w:b/>
                <w:bCs/>
                <w:color w:val="0000FF"/>
                <w:szCs w:val="24"/>
                <w:lang w:val="x-none" w:eastAsia="x-none"/>
              </w:rPr>
            </w:pPr>
            <w:r w:rsidRPr="00A23740">
              <w:rPr>
                <w:b/>
                <w:bCs/>
                <w:color w:val="0000FF"/>
                <w:szCs w:val="24"/>
                <w:lang w:eastAsia="x-none"/>
              </w:rPr>
              <w:t>k</w:t>
            </w:r>
            <w:r w:rsidR="00AA5C8C" w:rsidRPr="00A23740">
              <w:rPr>
                <w:b/>
                <w:bCs/>
                <w:color w:val="0000FF"/>
                <w:szCs w:val="24"/>
                <w:lang w:val="x-none" w:eastAsia="x-none"/>
              </w:rPr>
              <w:t>)</w:t>
            </w:r>
            <w:r w:rsidR="00AA5C8C" w:rsidRPr="00A23740">
              <w:t xml:space="preserve"> Borçlunun</w:t>
            </w:r>
            <w:r w:rsidR="00AA5C8C" w:rsidRPr="00A23740">
              <w:rPr>
                <w:b/>
                <w:bCs/>
                <w:color w:val="0000FF"/>
                <w:szCs w:val="24"/>
                <w:lang w:val="x-none" w:eastAsia="x-none"/>
              </w:rPr>
              <w:t xml:space="preserve"> </w:t>
            </w:r>
            <w:r w:rsidR="00AA5C8C" w:rsidRPr="00A23740">
              <w:rPr>
                <w:b/>
                <w:bCs/>
                <w:color w:val="0000FF"/>
                <w:szCs w:val="24"/>
                <w:lang w:eastAsia="x-none"/>
              </w:rPr>
              <w:t>h</w:t>
            </w:r>
            <w:r w:rsidR="001D7D44" w:rsidRPr="00A23740">
              <w:rPr>
                <w:b/>
                <w:bCs/>
                <w:color w:val="0000FF"/>
                <w:szCs w:val="24"/>
                <w:lang w:eastAsia="x-none"/>
              </w:rPr>
              <w:t>â</w:t>
            </w:r>
            <w:r w:rsidR="00AA5C8C" w:rsidRPr="00A23740">
              <w:rPr>
                <w:b/>
                <w:bCs/>
                <w:color w:val="0000FF"/>
                <w:szCs w:val="24"/>
                <w:lang w:eastAsia="x-none"/>
              </w:rPr>
              <w:t xml:space="preserve">line münasip </w:t>
            </w:r>
            <w:r w:rsidR="00AA5C8C" w:rsidRPr="00A23740">
              <w:t>evi</w:t>
            </w:r>
            <w:r w:rsidR="00B37AA8" w:rsidRPr="00A23740">
              <w:rPr>
                <w:b/>
                <w:bCs/>
                <w:color w:val="0000FF"/>
                <w:szCs w:val="24"/>
                <w:lang w:val="x-none" w:eastAsia="x-none"/>
              </w:rPr>
              <w:t>.</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0000FF"/>
                <w:szCs w:val="24"/>
                <w:lang w:eastAsia="tr-TR"/>
              </w:rPr>
            </w:pPr>
            <w:r w:rsidRPr="00A23740">
              <w:rPr>
                <w:b/>
                <w:bCs/>
                <w:color w:val="0000FF"/>
                <w:szCs w:val="24"/>
                <w:lang w:val="x-none" w:eastAsia="x-none"/>
              </w:rPr>
              <w:t>(2) Birinci fıkranın (</w:t>
            </w:r>
            <w:r w:rsidRPr="00A23740">
              <w:rPr>
                <w:b/>
                <w:bCs/>
                <w:color w:val="0000FF"/>
                <w:szCs w:val="24"/>
                <w:lang w:eastAsia="x-none"/>
              </w:rPr>
              <w:t>ç</w:t>
            </w:r>
            <w:r w:rsidRPr="00A23740">
              <w:rPr>
                <w:b/>
                <w:bCs/>
                <w:color w:val="0000FF"/>
                <w:szCs w:val="24"/>
                <w:lang w:val="x-none" w:eastAsia="x-none"/>
              </w:rPr>
              <w:t xml:space="preserve">), (f), (g) ve </w:t>
            </w:r>
            <w:r w:rsidR="00C52C6C" w:rsidRPr="00DC7A0B">
              <w:rPr>
                <w:rStyle w:val="YELChar"/>
                <w:color w:val="0000FF"/>
              </w:rPr>
              <w:t>(k)</w:t>
            </w:r>
            <w:r w:rsidRPr="00A23740">
              <w:t xml:space="preserve"> bentlerindeki istisna, borcun bu eşya bedelinden doğmaması h</w:t>
            </w:r>
            <w:r w:rsidR="001D7D44" w:rsidRPr="00A23740">
              <w:t>â</w:t>
            </w:r>
            <w:r w:rsidRPr="00A23740">
              <w:t xml:space="preserve">linde </w:t>
            </w:r>
            <w:r w:rsidRPr="00A23740">
              <w:rPr>
                <w:b/>
                <w:bCs/>
                <w:color w:val="0000FF"/>
                <w:szCs w:val="24"/>
                <w:lang w:val="x-none" w:eastAsia="x-none"/>
              </w:rPr>
              <w:t>geçerlidir.</w:t>
            </w:r>
          </w:p>
          <w:p w:rsidR="00AA5C8C" w:rsidRPr="00A23740" w:rsidRDefault="00AA5C8C" w:rsidP="009431FF">
            <w:pPr>
              <w:widowControl w:val="0"/>
              <w:tabs>
                <w:tab w:val="left" w:pos="567"/>
              </w:tabs>
              <w:rPr>
                <w:rFonts w:eastAsia="Times New Roman"/>
                <w:b/>
                <w:color w:val="0000FF"/>
                <w:szCs w:val="24"/>
                <w:lang w:eastAsia="tr-TR"/>
              </w:rPr>
            </w:pPr>
          </w:p>
          <w:p w:rsidR="00F2357B" w:rsidRPr="00A23740" w:rsidRDefault="00F2357B"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b/>
                <w:bCs/>
                <w:color w:val="0000FF"/>
                <w:szCs w:val="24"/>
                <w:lang w:val="x-none" w:eastAsia="x-none"/>
              </w:rPr>
            </w:pPr>
            <w:r w:rsidRPr="00A23740">
              <w:rPr>
                <w:b/>
                <w:bCs/>
                <w:color w:val="0000FF"/>
                <w:szCs w:val="24"/>
                <w:lang w:val="x-none" w:eastAsia="x-none"/>
              </w:rPr>
              <w:t xml:space="preserve">(3) </w:t>
            </w:r>
            <w:r w:rsidRPr="00A23740">
              <w:t>Birinci fıkranın</w:t>
            </w:r>
            <w:r w:rsidRPr="00A23740">
              <w:rPr>
                <w:b/>
                <w:bCs/>
                <w:color w:val="0000FF"/>
                <w:szCs w:val="24"/>
                <w:lang w:val="x-none" w:eastAsia="x-none"/>
              </w:rPr>
              <w:t xml:space="preserve"> (</w:t>
            </w:r>
            <w:r w:rsidRPr="00A23740">
              <w:rPr>
                <w:b/>
                <w:bCs/>
                <w:color w:val="0000FF"/>
                <w:szCs w:val="24"/>
                <w:lang w:eastAsia="x-none"/>
              </w:rPr>
              <w:t>ç</w:t>
            </w:r>
            <w:r w:rsidRPr="00A23740">
              <w:rPr>
                <w:b/>
                <w:bCs/>
                <w:color w:val="0000FF"/>
                <w:szCs w:val="24"/>
                <w:lang w:val="x-none" w:eastAsia="x-none"/>
              </w:rPr>
              <w:t xml:space="preserve">), (f) ve </w:t>
            </w:r>
            <w:r w:rsidR="00C52C6C" w:rsidRPr="00DC7A0B">
              <w:rPr>
                <w:rStyle w:val="YELChar"/>
                <w:color w:val="0000FF"/>
              </w:rPr>
              <w:t>(k)</w:t>
            </w:r>
            <w:r w:rsidRPr="00A23740">
              <w:rPr>
                <w:b/>
                <w:bCs/>
                <w:color w:val="0000FF"/>
                <w:szCs w:val="24"/>
                <w:lang w:val="x-none" w:eastAsia="x-none"/>
              </w:rPr>
              <w:t xml:space="preserve"> </w:t>
            </w:r>
            <w:r w:rsidRPr="00A23740">
              <w:t>bentlerinde sayılan malların</w:t>
            </w:r>
            <w:r w:rsidRPr="00A23740">
              <w:rPr>
                <w:rFonts w:eastAsia="Times New Roman"/>
                <w:b/>
                <w:color w:val="0000FF"/>
                <w:szCs w:val="24"/>
                <w:lang w:eastAsia="tr-TR"/>
              </w:rPr>
              <w:t xml:space="preserve"> </w:t>
            </w:r>
            <w:r w:rsidRPr="00A23740">
              <w:rPr>
                <w:b/>
                <w:bCs/>
                <w:color w:val="0000FF"/>
                <w:szCs w:val="24"/>
                <w:lang w:val="x-none" w:eastAsia="x-none"/>
              </w:rPr>
              <w:t>değerinin</w:t>
            </w:r>
            <w:r w:rsidRPr="00A23740">
              <w:t xml:space="preserve"> fazla olması durumunda</w:t>
            </w:r>
            <w:r w:rsidR="007B5A7F" w:rsidRPr="00A23740">
              <w:t xml:space="preserve">, </w:t>
            </w:r>
            <w:r w:rsidR="007B5A7F" w:rsidRPr="00DC7A0B">
              <w:rPr>
                <w:b/>
                <w:bCs/>
                <w:color w:val="0000FF"/>
              </w:rPr>
              <w:t>satış bedelinin</w:t>
            </w:r>
            <w:r w:rsidRPr="00A23740">
              <w:rPr>
                <w:color w:val="385623"/>
              </w:rPr>
              <w:t xml:space="preserve"> </w:t>
            </w:r>
            <w:r w:rsidRPr="00A23740">
              <w:rPr>
                <w:b/>
                <w:bCs/>
                <w:color w:val="0000FF"/>
                <w:szCs w:val="24"/>
                <w:lang w:val="x-none" w:eastAsia="x-none"/>
              </w:rPr>
              <w:t>uygun</w:t>
            </w:r>
            <w:r w:rsidRPr="00A23740">
              <w:t xml:space="preserve"> bir kısmı, ihtiyacını karşılayabilmesi amacıyla borçluya bırakılmak üzere haczedilerek satılır.</w:t>
            </w:r>
            <w:r w:rsidRPr="00A23740">
              <w:rPr>
                <w:b/>
                <w:bCs/>
                <w:color w:val="FF0000"/>
                <w:szCs w:val="24"/>
              </w:rPr>
              <w:t xml:space="preserve"> </w:t>
            </w:r>
            <w:r w:rsidRPr="00A23740">
              <w:rPr>
                <w:b/>
                <w:bCs/>
                <w:color w:val="0000FF"/>
                <w:szCs w:val="24"/>
                <w:lang w:eastAsia="x-none"/>
              </w:rPr>
              <w:t>İ</w:t>
            </w:r>
            <w:r w:rsidRPr="00A23740">
              <w:rPr>
                <w:b/>
                <w:bCs/>
                <w:color w:val="0000FF"/>
                <w:szCs w:val="24"/>
                <w:lang w:val="x-none" w:eastAsia="x-none"/>
              </w:rPr>
              <w:t>hale kesinleşinceye kadar mal borçludan alınamaz.</w:t>
            </w:r>
          </w:p>
          <w:p w:rsidR="00AA5C8C" w:rsidRPr="00A23740" w:rsidRDefault="00AA5C8C" w:rsidP="009431FF">
            <w:pPr>
              <w:widowControl w:val="0"/>
              <w:tabs>
                <w:tab w:val="left" w:pos="566"/>
              </w:tabs>
              <w:rPr>
                <w:rFonts w:eastAsia="Times New Roman"/>
                <w:b/>
                <w:szCs w:val="24"/>
                <w:lang w:eastAsia="tr-TR"/>
              </w:rPr>
            </w:pPr>
          </w:p>
          <w:p w:rsidR="00AA5C8C" w:rsidRPr="00A23740" w:rsidRDefault="00AA5C8C" w:rsidP="009431FF">
            <w:pPr>
              <w:widowControl w:val="0"/>
              <w:tabs>
                <w:tab w:val="left" w:pos="567"/>
              </w:tabs>
              <w:rPr>
                <w:b/>
                <w:bCs/>
                <w:color w:val="0000FF"/>
                <w:szCs w:val="24"/>
                <w:lang w:val="x-none" w:eastAsia="x-none"/>
              </w:rPr>
            </w:pPr>
            <w:r w:rsidRPr="00A23740">
              <w:rPr>
                <w:b/>
                <w:bCs/>
                <w:color w:val="0000FF"/>
                <w:szCs w:val="24"/>
                <w:lang w:val="x-none" w:eastAsia="x-none"/>
              </w:rPr>
              <w:t xml:space="preserve">(4) </w:t>
            </w:r>
            <w:r w:rsidRPr="00A23740">
              <w:rPr>
                <w:b/>
                <w:bCs/>
                <w:color w:val="0000FF"/>
                <w:szCs w:val="24"/>
                <w:lang w:eastAsia="x-none"/>
              </w:rPr>
              <w:t>Birinci fıkranın (</w:t>
            </w:r>
            <w:r w:rsidR="00554B07" w:rsidRPr="00A23740">
              <w:rPr>
                <w:b/>
                <w:bCs/>
                <w:color w:val="0000FF"/>
                <w:szCs w:val="24"/>
                <w:lang w:eastAsia="x-none"/>
              </w:rPr>
              <w:t>k</w:t>
            </w:r>
            <w:r w:rsidRPr="00A23740">
              <w:rPr>
                <w:b/>
                <w:bCs/>
                <w:color w:val="0000FF"/>
                <w:szCs w:val="24"/>
                <w:lang w:eastAsia="x-none"/>
              </w:rPr>
              <w:t xml:space="preserve">) bendindeki evin </w:t>
            </w:r>
            <w:r w:rsidRPr="00A23740">
              <w:rPr>
                <w:b/>
                <w:bCs/>
                <w:color w:val="0000FF"/>
                <w:szCs w:val="24"/>
                <w:lang w:val="x-none" w:eastAsia="x-none"/>
              </w:rPr>
              <w:t xml:space="preserve">aile konutu </w:t>
            </w:r>
            <w:r w:rsidRPr="00A23740">
              <w:rPr>
                <w:b/>
                <w:bCs/>
                <w:color w:val="0000FF"/>
                <w:szCs w:val="24"/>
                <w:lang w:eastAsia="x-none"/>
              </w:rPr>
              <w:t>olması h</w:t>
            </w:r>
            <w:r w:rsidR="001D7D44" w:rsidRPr="00A23740">
              <w:rPr>
                <w:b/>
                <w:bCs/>
                <w:color w:val="0000FF"/>
                <w:szCs w:val="24"/>
                <w:lang w:eastAsia="x-none"/>
              </w:rPr>
              <w:t>â</w:t>
            </w:r>
            <w:r w:rsidRPr="00A23740">
              <w:rPr>
                <w:b/>
                <w:bCs/>
                <w:color w:val="0000FF"/>
                <w:szCs w:val="24"/>
                <w:lang w:eastAsia="x-none"/>
              </w:rPr>
              <w:t>linde</w:t>
            </w:r>
            <w:r w:rsidR="007B5A7F" w:rsidRPr="00A23740">
              <w:rPr>
                <w:b/>
                <w:bCs/>
                <w:color w:val="385623"/>
                <w:szCs w:val="24"/>
                <w:lang w:eastAsia="x-none"/>
              </w:rPr>
              <w:t>,</w:t>
            </w:r>
            <w:r w:rsidRPr="00A23740">
              <w:rPr>
                <w:b/>
                <w:bCs/>
                <w:color w:val="0000FF"/>
                <w:szCs w:val="24"/>
                <w:lang w:eastAsia="x-none"/>
              </w:rPr>
              <w:t xml:space="preserve"> </w:t>
            </w:r>
            <w:r w:rsidRPr="00A23740">
              <w:rPr>
                <w:b/>
                <w:bCs/>
                <w:color w:val="0000FF"/>
                <w:szCs w:val="24"/>
                <w:lang w:val="x-none" w:eastAsia="x-none"/>
              </w:rPr>
              <w:t xml:space="preserve">borçlunun eşi de </w:t>
            </w:r>
            <w:r w:rsidR="007B5A7F" w:rsidRPr="00DC7A0B">
              <w:rPr>
                <w:b/>
                <w:bCs/>
                <w:color w:val="0000FF"/>
                <w:szCs w:val="24"/>
                <w:lang w:val="x-none" w:eastAsia="x-none"/>
              </w:rPr>
              <w:t>hâline münasip ev</w:t>
            </w:r>
            <w:r w:rsidR="007B5A7F" w:rsidRPr="00A23740">
              <w:rPr>
                <w:b/>
                <w:bCs/>
                <w:color w:val="0000FF"/>
                <w:szCs w:val="24"/>
                <w:lang w:val="x-none" w:eastAsia="x-none"/>
              </w:rPr>
              <w:t xml:space="preserve"> </w:t>
            </w:r>
            <w:r w:rsidR="00554B07" w:rsidRPr="00A23740">
              <w:rPr>
                <w:b/>
                <w:bCs/>
                <w:color w:val="0000FF"/>
                <w:szCs w:val="24"/>
                <w:lang w:val="x-none" w:eastAsia="x-none"/>
              </w:rPr>
              <w:t>şik</w:t>
            </w:r>
            <w:r w:rsidR="00407C95" w:rsidRPr="00A23740">
              <w:rPr>
                <w:b/>
                <w:bCs/>
                <w:color w:val="0000FF"/>
                <w:szCs w:val="24"/>
                <w:lang w:eastAsia="x-none"/>
              </w:rPr>
              <w:t>â</w:t>
            </w:r>
            <w:r w:rsidR="00554B07" w:rsidRPr="00A23740">
              <w:rPr>
                <w:b/>
                <w:bCs/>
                <w:color w:val="0000FF"/>
                <w:szCs w:val="24"/>
                <w:lang w:val="x-none" w:eastAsia="x-none"/>
              </w:rPr>
              <w:t>yetinde bulunabilir.</w:t>
            </w:r>
          </w:p>
          <w:p w:rsidR="00AA5C8C" w:rsidRPr="00A23740" w:rsidRDefault="00AA5C8C" w:rsidP="009431FF">
            <w:pPr>
              <w:widowControl w:val="0"/>
              <w:tabs>
                <w:tab w:val="left" w:pos="566"/>
              </w:tabs>
              <w:rPr>
                <w:rFonts w:eastAsia="Times New Roman"/>
                <w:b/>
                <w:szCs w:val="24"/>
                <w:lang w:eastAsia="tr-TR"/>
              </w:rPr>
            </w:pPr>
          </w:p>
          <w:p w:rsidR="00AA5C8C" w:rsidRPr="00A23740" w:rsidRDefault="00AA5C8C" w:rsidP="009431FF">
            <w:pPr>
              <w:widowControl w:val="0"/>
              <w:tabs>
                <w:tab w:val="left" w:pos="566"/>
              </w:tabs>
              <w:rPr>
                <w:rFonts w:eastAsia="ヒラギノ明朝 Pro W3"/>
                <w:szCs w:val="24"/>
              </w:rPr>
            </w:pPr>
            <w:r w:rsidRPr="00A23740">
              <w:rPr>
                <w:b/>
                <w:bCs/>
                <w:color w:val="0000FF"/>
                <w:szCs w:val="24"/>
                <w:lang w:val="x-none" w:eastAsia="x-none"/>
              </w:rPr>
              <w:t>(5)</w:t>
            </w:r>
            <w:r w:rsidRPr="00A23740">
              <w:rPr>
                <w:rFonts w:eastAsia="Times New Roman"/>
                <w:b/>
                <w:szCs w:val="24"/>
                <w:lang w:eastAsia="tr-TR"/>
              </w:rPr>
              <w:t xml:space="preserve"> </w:t>
            </w:r>
            <w:r w:rsidRPr="00A23740">
              <w:rPr>
                <w:rFonts w:eastAsia="ヒラギノ明朝 Pro W3"/>
                <w:szCs w:val="24"/>
              </w:rPr>
              <w:t xml:space="preserve">İcra </w:t>
            </w:r>
            <w:r w:rsidRPr="00A23740">
              <w:rPr>
                <w:rStyle w:val="MaviChar"/>
              </w:rPr>
              <w:t>ve iflas dairesi</w:t>
            </w:r>
            <w:r w:rsidRPr="00A23740">
              <w:rPr>
                <w:b/>
                <w:bCs/>
                <w:color w:val="0000FF"/>
                <w:szCs w:val="24"/>
                <w:lang w:val="x-none" w:eastAsia="x-none"/>
              </w:rPr>
              <w:t xml:space="preserve">, haczin uygulanması sırasında, </w:t>
            </w:r>
            <w:r w:rsidRPr="00A23740">
              <w:rPr>
                <w:rFonts w:eastAsia="ヒラギノ明朝 Pro W3"/>
                <w:szCs w:val="24"/>
              </w:rPr>
              <w:t>mal</w:t>
            </w:r>
            <w:r w:rsidR="007B5A7F" w:rsidRPr="00A23740">
              <w:rPr>
                <w:rFonts w:eastAsia="ヒラギノ明朝 Pro W3"/>
                <w:b/>
                <w:bCs/>
                <w:color w:val="385623"/>
                <w:szCs w:val="24"/>
              </w:rPr>
              <w:t>,</w:t>
            </w:r>
            <w:r w:rsidRPr="00A23740">
              <w:rPr>
                <w:rFonts w:eastAsia="ヒラギノ明朝 Pro W3"/>
                <w:b/>
                <w:bCs/>
                <w:color w:val="385623"/>
                <w:szCs w:val="24"/>
              </w:rPr>
              <w:t xml:space="preserve"> </w:t>
            </w:r>
            <w:r w:rsidR="007B5A7F" w:rsidRPr="00DC7A0B">
              <w:rPr>
                <w:rFonts w:eastAsia="ヒラギノ明朝 Pro W3"/>
                <w:b/>
                <w:bCs/>
                <w:color w:val="0000FF"/>
                <w:szCs w:val="24"/>
              </w:rPr>
              <w:t>hak veya alacakların</w:t>
            </w:r>
            <w:r w:rsidR="007B5A7F" w:rsidRPr="00A23740">
              <w:rPr>
                <w:rFonts w:eastAsia="ヒラギノ明朝 Pro W3"/>
                <w:szCs w:val="24"/>
              </w:rPr>
              <w:t xml:space="preserve"> </w:t>
            </w:r>
            <w:r w:rsidRPr="00A23740">
              <w:rPr>
                <w:rFonts w:eastAsia="ヒラギノ明朝 Pro W3"/>
                <w:szCs w:val="24"/>
              </w:rPr>
              <w:t>haczinin caiz olup olmadığını değerlendirir ve talebin kabulüne veya reddine karar verir.</w:t>
            </w:r>
          </w:p>
          <w:p w:rsidR="00AA5C8C" w:rsidRPr="00A23740" w:rsidRDefault="00AA5C8C" w:rsidP="009431FF">
            <w:pPr>
              <w:widowControl w:val="0"/>
              <w:tabs>
                <w:tab w:val="left" w:pos="566"/>
              </w:tabs>
              <w:rPr>
                <w:rFonts w:eastAsia="ヒラギノ明朝 Pro W3"/>
                <w:szCs w:val="24"/>
              </w:rPr>
            </w:pPr>
          </w:p>
          <w:p w:rsidR="00AA5C8C" w:rsidRPr="00A23740" w:rsidRDefault="00AA5C8C" w:rsidP="009431FF">
            <w:pPr>
              <w:widowControl w:val="0"/>
              <w:tabs>
                <w:tab w:val="left" w:pos="567"/>
              </w:tabs>
              <w:rPr>
                <w:b/>
                <w:bCs/>
                <w:color w:val="0000FF"/>
                <w:szCs w:val="24"/>
                <w:lang w:eastAsia="x-none"/>
              </w:rPr>
            </w:pPr>
            <w:r w:rsidRPr="00A23740">
              <w:rPr>
                <w:b/>
                <w:bCs/>
                <w:color w:val="0000FF"/>
                <w:szCs w:val="24"/>
                <w:lang w:val="x-none" w:eastAsia="x-none"/>
              </w:rPr>
              <w:t>(6)</w:t>
            </w:r>
            <w:r w:rsidRPr="00A23740">
              <w:rPr>
                <w:b/>
                <w:bCs/>
                <w:color w:val="0000FF"/>
                <w:szCs w:val="24"/>
                <w:lang w:eastAsia="x-none"/>
              </w:rPr>
              <w:t xml:space="preserve"> Özel kanunlarında haczedilemeyeceği belirtilen mal</w:t>
            </w:r>
            <w:r w:rsidRPr="00A23740">
              <w:rPr>
                <w:rStyle w:val="MaviChar"/>
              </w:rPr>
              <w:t>, hak</w:t>
            </w:r>
            <w:r w:rsidRPr="00A23740">
              <w:rPr>
                <w:b/>
                <w:bCs/>
                <w:color w:val="0000FF"/>
                <w:szCs w:val="24"/>
                <w:lang w:eastAsia="x-none"/>
              </w:rPr>
              <w:t xml:space="preserve"> ve </w:t>
            </w:r>
            <w:r w:rsidRPr="00A23740">
              <w:rPr>
                <w:rStyle w:val="MaviChar"/>
              </w:rPr>
              <w:t>alacaklar</w:t>
            </w:r>
            <w:r w:rsidRPr="00A23740">
              <w:rPr>
                <w:b/>
                <w:bCs/>
                <w:color w:val="0000FF"/>
                <w:szCs w:val="24"/>
                <w:lang w:eastAsia="x-none"/>
              </w:rPr>
              <w:t xml:space="preserve"> hakkındaki hükümler saklıdır.</w:t>
            </w:r>
          </w:p>
          <w:p w:rsidR="00AA5C8C" w:rsidRDefault="00AA5C8C" w:rsidP="009431FF">
            <w:pPr>
              <w:widowControl w:val="0"/>
              <w:tabs>
                <w:tab w:val="left" w:pos="566"/>
              </w:tabs>
              <w:rPr>
                <w:rFonts w:eastAsia="Times New Roman"/>
                <w:color w:val="0000FF"/>
                <w:szCs w:val="24"/>
                <w:lang w:eastAsia="tr-TR"/>
              </w:rPr>
            </w:pPr>
          </w:p>
          <w:p w:rsidR="00DE193E" w:rsidRPr="00A23740" w:rsidRDefault="00DE193E" w:rsidP="009431FF">
            <w:pPr>
              <w:widowControl w:val="0"/>
              <w:tabs>
                <w:tab w:val="left" w:pos="566"/>
              </w:tabs>
              <w:rPr>
                <w:rFonts w:eastAsia="Times New Roman"/>
                <w:color w:val="0000FF"/>
                <w:szCs w:val="24"/>
                <w:lang w:eastAsia="tr-TR"/>
              </w:rPr>
            </w:pPr>
          </w:p>
        </w:tc>
      </w:tr>
      <w:tr w:rsidR="00BA43FD" w:rsidRPr="00A23740" w:rsidTr="009431FF">
        <w:tblPrEx>
          <w:tblLook w:val="01E0" w:firstRow="1" w:lastRow="1" w:firstColumn="1" w:lastColumn="1" w:noHBand="0" w:noVBand="0"/>
        </w:tblPrEx>
        <w:tc>
          <w:tcPr>
            <w:tcW w:w="5000" w:type="pct"/>
            <w:gridSpan w:val="2"/>
            <w:shd w:val="clear" w:color="auto" w:fill="DEEAF6"/>
          </w:tcPr>
          <w:p w:rsidR="00BA43FD" w:rsidRPr="00A23740" w:rsidRDefault="00BA43FD" w:rsidP="009431FF">
            <w:pPr>
              <w:pStyle w:val="AltKonuBal"/>
              <w:ind w:firstLine="709"/>
            </w:pPr>
            <w:r w:rsidRPr="00A23740">
              <w:t xml:space="preserve"> </w:t>
            </w:r>
          </w:p>
          <w:p w:rsidR="000C282A" w:rsidRDefault="00950AED" w:rsidP="000C282A">
            <w:pPr>
              <w:ind w:firstLine="709"/>
            </w:pPr>
            <w:r w:rsidRPr="00A23740">
              <w:rPr>
                <w:b/>
              </w:rPr>
              <w:t xml:space="preserve">MADDE </w:t>
            </w:r>
            <w:r w:rsidR="0070238C" w:rsidRPr="00A23740">
              <w:rPr>
                <w:b/>
              </w:rPr>
              <w:t>161</w:t>
            </w:r>
            <w:r w:rsidRPr="00A23740">
              <w:rPr>
                <w:b/>
              </w:rPr>
              <w:t xml:space="preserve">- </w:t>
            </w:r>
            <w:r w:rsidR="002E43F1" w:rsidRPr="00A23740">
              <w:t xml:space="preserve">Maddeyle, </w:t>
            </w:r>
            <w:r w:rsidR="00F9046D" w:rsidRPr="00A23740">
              <w:t>h</w:t>
            </w:r>
            <w:r w:rsidR="002E43F1" w:rsidRPr="00A23740">
              <w:t>aczedilemeyen mal</w:t>
            </w:r>
            <w:r w:rsidR="002E43F1" w:rsidRPr="00A23740">
              <w:rPr>
                <w:b/>
                <w:bCs/>
              </w:rPr>
              <w:t xml:space="preserve">, </w:t>
            </w:r>
            <w:r w:rsidR="002E43F1" w:rsidRPr="00A23740">
              <w:t xml:space="preserve">hak ve alacaklara ilişkin hususlar düzenlenmektedir. </w:t>
            </w:r>
            <w:r w:rsidR="00215B60" w:rsidRPr="00A23740">
              <w:t xml:space="preserve">Bu </w:t>
            </w:r>
            <w:r w:rsidR="00F9046D" w:rsidRPr="00A23740">
              <w:t xml:space="preserve">bağlamda </w:t>
            </w:r>
            <w:r w:rsidR="00215B60" w:rsidRPr="00A23740">
              <w:t xml:space="preserve">icra takibi sırasında haczedilemeyecek mal ve haklar belirtilmiştir. Borçlunun borcu nedeniyle,  </w:t>
            </w:r>
            <w:r w:rsidR="00F9046D" w:rsidRPr="00A23740">
              <w:t xml:space="preserve">aynı adreste oturup </w:t>
            </w:r>
            <w:r w:rsidR="00215B60" w:rsidRPr="00A23740">
              <w:t xml:space="preserve">haciz işleminden etkilenecek </w:t>
            </w:r>
            <w:r w:rsidR="00F9046D" w:rsidRPr="00A23740">
              <w:t xml:space="preserve">olan </w:t>
            </w:r>
            <w:r w:rsidR="00215B60" w:rsidRPr="00A23740">
              <w:t xml:space="preserve">aile bireyleri ile borçlunun eşinin de haciz işleminden olumsuz </w:t>
            </w:r>
            <w:r w:rsidR="00F9046D" w:rsidRPr="00A23740">
              <w:t xml:space="preserve">şekilde </w:t>
            </w:r>
            <w:r w:rsidR="00215B60" w:rsidRPr="00A23740">
              <w:t xml:space="preserve">etkilenmelerinin önlenmesi ve hayatlarını </w:t>
            </w:r>
            <w:r w:rsidR="00F9046D" w:rsidRPr="00A23740">
              <w:t xml:space="preserve">süddürebilmeleri </w:t>
            </w:r>
            <w:r w:rsidR="00215B60" w:rsidRPr="00A23740">
              <w:t>amacıyla gerekli tedbirlerin alınması amaçlanmıştır. Ayrıca madde metni</w:t>
            </w:r>
            <w:r w:rsidR="00F9046D" w:rsidRPr="00A23740">
              <w:t>yle</w:t>
            </w:r>
            <w:r w:rsidR="00215B60" w:rsidRPr="00A23740">
              <w:t xml:space="preserve"> haciz uygulanmasını kabul eden ve uygulayan icra</w:t>
            </w:r>
            <w:r w:rsidR="00226991" w:rsidRPr="00A23740">
              <w:t xml:space="preserve"> </w:t>
            </w:r>
            <w:r w:rsidR="00226991" w:rsidRPr="00DC7A0B">
              <w:t>ve iflas</w:t>
            </w:r>
            <w:r w:rsidR="00215B60" w:rsidRPr="00A23740">
              <w:t xml:space="preserve"> dairesine  haczi talep edilen malı inceleme imk</w:t>
            </w:r>
            <w:r w:rsidR="00BE53A8" w:rsidRPr="00A23740">
              <w:rPr>
                <w:rFonts w:eastAsia="Times New Roman"/>
                <w:szCs w:val="24"/>
                <w:lang w:eastAsia="tr-TR"/>
              </w:rPr>
              <w:t>â</w:t>
            </w:r>
            <w:r w:rsidR="00215B60" w:rsidRPr="00A23740">
              <w:t>nının bulunması ve icra dosyası kapsamında değerlendirebilmesi h</w:t>
            </w:r>
            <w:r w:rsidR="001D7D44" w:rsidRPr="00A23740">
              <w:t>â</w:t>
            </w:r>
            <w:r w:rsidR="00215B60" w:rsidRPr="00A23740">
              <w:t>linde</w:t>
            </w:r>
            <w:r w:rsidR="00F9046D" w:rsidRPr="00A23740">
              <w:t>,</w:t>
            </w:r>
            <w:r w:rsidR="00215B60" w:rsidRPr="00A23740">
              <w:t xml:space="preserve"> haczedilmezliği gözeterek haciz talebini kabul etmeyeceğine, talebin reddine karar vere</w:t>
            </w:r>
            <w:r w:rsidR="00F9046D" w:rsidRPr="00A23740">
              <w:t>bile</w:t>
            </w:r>
            <w:r w:rsidR="00215B60" w:rsidRPr="00A23740">
              <w:t>ceğine yönelik düzenleme yapılmıştır. Yargılamayı gerektiren hususlarda ise borçlu</w:t>
            </w:r>
            <w:r w:rsidR="00F9046D" w:rsidRPr="00A23740">
              <w:t>ya</w:t>
            </w:r>
            <w:r w:rsidR="00215B60" w:rsidRPr="00A23740">
              <w:t xml:space="preserve"> ve </w:t>
            </w:r>
            <w:r w:rsidR="00F9046D" w:rsidRPr="00A23740">
              <w:t xml:space="preserve"> </w:t>
            </w:r>
            <w:r w:rsidR="00215B60" w:rsidRPr="00A23740">
              <w:t>mahcuzun haczinden birlikte etkilenen aile fertlerine ve eşine</w:t>
            </w:r>
            <w:r w:rsidR="000C282A">
              <w:t xml:space="preserve"> de müracaat hakkı tanınmıştır.</w:t>
            </w:r>
          </w:p>
          <w:p w:rsidR="00DE04C1" w:rsidRPr="000C282A" w:rsidRDefault="00215B60" w:rsidP="000C282A">
            <w:pPr>
              <w:ind w:firstLine="709"/>
            </w:pPr>
            <w:r w:rsidRPr="00A23740">
              <w:t xml:space="preserve">Birinci fıkranın </w:t>
            </w:r>
            <w:r w:rsidR="00CC7130" w:rsidRPr="00A23740">
              <w:t>(</w:t>
            </w:r>
            <w:r w:rsidRPr="00A23740">
              <w:t>a) bendiyle Devlet mallarının haczedilemeyeceği</w:t>
            </w:r>
            <w:r w:rsidR="00DE04C1" w:rsidRPr="00A23740">
              <w:t xml:space="preserve"> </w:t>
            </w:r>
            <w:r w:rsidR="00DE04C1" w:rsidRPr="00DC7A0B">
              <w:t>hususu düzenlenmiştir.Komisyon çalışmaları sırasında yapılan tartışmalarda</w:t>
            </w:r>
            <w:r w:rsidR="00226991" w:rsidRPr="00DC7A0B">
              <w:t xml:space="preserve"> “D</w:t>
            </w:r>
            <w:r w:rsidR="00DE04C1" w:rsidRPr="00DC7A0B">
              <w:t xml:space="preserve">evlet malı” teriminin aynen muhafaza edilmesinin uygun olduğu, bu kavramın içeriğinin uygulamada içtihatlar ve öğreti tarafından belirlenmesinin en </w:t>
            </w:r>
            <w:r w:rsidR="00F9046D" w:rsidRPr="00DC7A0B">
              <w:t xml:space="preserve">isabetli </w:t>
            </w:r>
            <w:r w:rsidR="00DE04C1" w:rsidRPr="00DC7A0B">
              <w:t xml:space="preserve">çözüm olduğu, kullanılacak başka terimlerin birçok </w:t>
            </w:r>
            <w:r w:rsidR="00F9046D" w:rsidRPr="00DC7A0B">
              <w:t xml:space="preserve">durumu </w:t>
            </w:r>
            <w:r w:rsidR="00DE04C1" w:rsidRPr="00DC7A0B">
              <w:t xml:space="preserve">kapsam dışında bırakabileceği veya birçok </w:t>
            </w:r>
            <w:r w:rsidR="00F9046D" w:rsidRPr="00DC7A0B">
              <w:t xml:space="preserve">ihtimali, </w:t>
            </w:r>
            <w:r w:rsidR="00DE04C1" w:rsidRPr="00DC7A0B">
              <w:t>gerekmediği h</w:t>
            </w:r>
            <w:r w:rsidR="001D7D44" w:rsidRPr="00DC7A0B">
              <w:t>â</w:t>
            </w:r>
            <w:r w:rsidR="00DE04C1" w:rsidRPr="00DC7A0B">
              <w:t>lde kapsam içine alabileceği sonucuna varılmıştır.</w:t>
            </w:r>
            <w:r w:rsidR="00C1793B" w:rsidRPr="00DC7A0B">
              <w:t xml:space="preserve"> Takip eden bentlerde ise;</w:t>
            </w:r>
          </w:p>
          <w:p w:rsidR="00215B60" w:rsidRPr="00A23740" w:rsidRDefault="00CC7130" w:rsidP="009431FF">
            <w:pPr>
              <w:ind w:firstLine="709"/>
              <w:rPr>
                <w:b/>
              </w:rPr>
            </w:pPr>
            <w:r w:rsidRPr="00A23740">
              <w:t>(</w:t>
            </w:r>
            <w:r w:rsidR="00215B60" w:rsidRPr="00A23740">
              <w:t>b) bendiyle başkasına devredilemeyen mal ve haklar ile kişiye sıkı sıkıya bağlı hakların haczedilemeyeceği</w:t>
            </w:r>
            <w:r w:rsidR="005F6AEE" w:rsidRPr="00A23740">
              <w:t>,</w:t>
            </w:r>
            <w:r w:rsidR="001A5591" w:rsidRPr="00A23740">
              <w:t xml:space="preserve"> </w:t>
            </w:r>
            <w:r w:rsidR="001A5591" w:rsidRPr="00DC7A0B">
              <w:t>bu bağlamda kişi varlığı haklarının haczedilemeyeceği gibi malvarlığına ilişkin olduğu h</w:t>
            </w:r>
            <w:r w:rsidR="001D7D44" w:rsidRPr="00DC7A0B">
              <w:t>â</w:t>
            </w:r>
            <w:r w:rsidR="001A5591" w:rsidRPr="00DC7A0B">
              <w:t>lde kanunen başkasına devredilemeyen (şahısla kaim) hakların da haczedilemey</w:t>
            </w:r>
            <w:r w:rsidR="00C1793B" w:rsidRPr="00DC7A0B">
              <w:t>eceği;</w:t>
            </w:r>
          </w:p>
          <w:p w:rsidR="00215B60" w:rsidRPr="00A23740" w:rsidRDefault="00CC7130" w:rsidP="009431FF">
            <w:pPr>
              <w:ind w:firstLine="709"/>
            </w:pPr>
            <w:r w:rsidRPr="00A23740">
              <w:t>(</w:t>
            </w:r>
            <w:r w:rsidR="00215B60" w:rsidRPr="00A23740">
              <w:t>c) bendiyle borçlunun bedensel engeli veya hastalığı nedeniyle kullandığı cihazları, eşya araç, gereç ve benzeri malzemelerinin haczedilemeyeceği,</w:t>
            </w:r>
          </w:p>
          <w:p w:rsidR="00215B60" w:rsidRPr="00A23740" w:rsidRDefault="00CC7130" w:rsidP="009431FF">
            <w:pPr>
              <w:ind w:firstLine="709"/>
            </w:pPr>
            <w:r w:rsidRPr="00A23740">
              <w:t>(</w:t>
            </w:r>
            <w:r w:rsidR="00215B60" w:rsidRPr="00A23740">
              <w:t>ç) bendiyle bedeni, fikri veya diğer kişisel özelliklerine dayanarak ekonomik faaliyet sürdüren borçlunun, mesleğini sürdürebilmesi için</w:t>
            </w:r>
            <w:r w:rsidR="00352217" w:rsidRPr="00A23740">
              <w:t xml:space="preserve"> </w:t>
            </w:r>
            <w:r w:rsidR="00352217" w:rsidRPr="00C616B3">
              <w:t>(</w:t>
            </w:r>
            <w:r w:rsidR="00352217" w:rsidRPr="00DC7A0B">
              <w:t>örneğin terzinin dikiş makinesi, berberin aletleri, müzikçinin müzik aleti gibi</w:t>
            </w:r>
            <w:r w:rsidR="00352217" w:rsidRPr="00C616B3">
              <w:t>)</w:t>
            </w:r>
            <w:r w:rsidR="00215B60" w:rsidRPr="00A23740">
              <w:t xml:space="preserve"> </w:t>
            </w:r>
            <w:r w:rsidR="00352217" w:rsidRPr="00DC7A0B">
              <w:t>gerekli olan</w:t>
            </w:r>
            <w:r w:rsidR="00352217" w:rsidRPr="00A23740">
              <w:t xml:space="preserve"> </w:t>
            </w:r>
            <w:r w:rsidR="00215B60" w:rsidRPr="00A23740">
              <w:t>her türlü eşyanın haczedilemeyeceği,</w:t>
            </w:r>
            <w:r w:rsidR="00352217" w:rsidRPr="00A23740">
              <w:t xml:space="preserve"> </w:t>
            </w:r>
          </w:p>
          <w:p w:rsidR="00215B60" w:rsidRPr="00A23740" w:rsidRDefault="00CC7130" w:rsidP="009431FF">
            <w:pPr>
              <w:ind w:firstLine="709"/>
            </w:pPr>
            <w:r w:rsidRPr="00A23740">
              <w:t>(</w:t>
            </w:r>
            <w:r w:rsidR="00215B60" w:rsidRPr="00A23740">
              <w:t>d) bendiyle borçlu ile aynı çatı altında yaşayan aile bireylerine ait, gözlük, baston, tesbih, giysi</w:t>
            </w:r>
            <w:r w:rsidR="001A5591" w:rsidRPr="00A23740">
              <w:t xml:space="preserve"> </w:t>
            </w:r>
            <w:r w:rsidR="00215B60" w:rsidRPr="00A23740">
              <w:t>gibi özel eşyalar ve ailenin ortak kullanımına hizmet eden koltuk takımı, masa, bulaşık makinesi, buzdolabı gibi tüm ev eşyalarının haczedilemeyeceği,</w:t>
            </w:r>
          </w:p>
          <w:p w:rsidR="00215B60" w:rsidRPr="00A23740" w:rsidRDefault="00CC7130" w:rsidP="009431FF">
            <w:pPr>
              <w:ind w:firstLine="709"/>
            </w:pPr>
            <w:r w:rsidRPr="00A23740">
              <w:t>(</w:t>
            </w:r>
            <w:r w:rsidR="00215B60" w:rsidRPr="00A23740">
              <w:t>e) bendiyle borçlu ve ailesine ait yiyecek ve yakacakların üç aylık kısmının haczedilemeyeceği,</w:t>
            </w:r>
          </w:p>
          <w:p w:rsidR="00215B60" w:rsidRPr="00A23740" w:rsidRDefault="00CC7130" w:rsidP="009431FF">
            <w:pPr>
              <w:ind w:firstLine="709"/>
            </w:pPr>
            <w:r w:rsidRPr="00A23740">
              <w:t>(</w:t>
            </w:r>
            <w:r w:rsidR="00215B60" w:rsidRPr="00A23740">
              <w:t>f) bendiyle borçlunun çiftçi, bağ, bahçe, meyve ve sebze yetiştiricisi olması veya geçimini hayvancılıkla sağlaması h</w:t>
            </w:r>
            <w:r w:rsidR="001D7D44" w:rsidRPr="00A23740">
              <w:t>â</w:t>
            </w:r>
            <w:r w:rsidR="00215B60" w:rsidRPr="00A23740">
              <w:t>linde kendisi ve ailesinin geçimi amacıyla gereken miktarda arazi, bağ, bahçe, gerekli bulunan araçlar ve belli miktarda tohumluk, hayvan yemlerinin haczedilemeyeceği,</w:t>
            </w:r>
          </w:p>
          <w:p w:rsidR="00A46896" w:rsidRPr="00A23740" w:rsidRDefault="00CC7130" w:rsidP="009431FF">
            <w:pPr>
              <w:ind w:firstLine="709"/>
            </w:pPr>
            <w:r w:rsidRPr="00A23740">
              <w:t>(</w:t>
            </w:r>
            <w:r w:rsidR="00215B60" w:rsidRPr="00A23740">
              <w:t>g) bendiyle mesleği hayvancılık olmamakla birlikte hayvan besleyen borçlunun ve ailesinin ihtiyaçlarını karşılayacak hayvanı ile üç aylık yem ve yataklıklarının haczedilemeyeceği,</w:t>
            </w:r>
          </w:p>
          <w:p w:rsidR="00A46896" w:rsidRPr="00A23740" w:rsidRDefault="00CC7130" w:rsidP="009431FF">
            <w:pPr>
              <w:ind w:firstLine="709"/>
            </w:pPr>
            <w:r w:rsidRPr="00A23740">
              <w:t>(</w:t>
            </w:r>
            <w:r w:rsidR="00A46896" w:rsidRPr="00A23740">
              <w:t>ğ)</w:t>
            </w:r>
            <w:r w:rsidR="00A46896" w:rsidRPr="00DC7A0B">
              <w:t xml:space="preserve"> </w:t>
            </w:r>
            <w:r w:rsidR="00A46896" w:rsidRPr="00A23740">
              <w:t>bendiyle</w:t>
            </w:r>
            <w:r w:rsidR="00A46896" w:rsidRPr="00DC7A0B">
              <w:t xml:space="preserve"> 5510 sayılı Sosyal Sigortalar ve Genel Sigortalar Kanununda düzenlenmiş olan sigortalılar ve hak sahiplerine bu Kanun gereği bağlanan gelir, aylık ve ödenekler,</w:t>
            </w:r>
            <w:r w:rsidR="00A46896" w:rsidRPr="00A23740">
              <w:rPr>
                <w:rStyle w:val="YELChar"/>
              </w:rPr>
              <w:t xml:space="preserve"> </w:t>
            </w:r>
            <w:r w:rsidR="00A46896" w:rsidRPr="00DC7A0B">
              <w:t>aynı Kanunun 88 inci maddesine göre takip ve tahsili gereken alacaklar ile nafaka borçları dışında haczedilemeyeceği,</w:t>
            </w:r>
          </w:p>
          <w:p w:rsidR="00215B60" w:rsidRPr="00A23740" w:rsidRDefault="00CC7130" w:rsidP="009431FF">
            <w:pPr>
              <w:ind w:firstLine="709"/>
              <w:rPr>
                <w:b/>
              </w:rPr>
            </w:pPr>
            <w:r w:rsidRPr="00A23740">
              <w:t>(</w:t>
            </w:r>
            <w:r w:rsidR="00C52C6C" w:rsidRPr="00A23740">
              <w:t>h</w:t>
            </w:r>
            <w:r w:rsidR="00215B60" w:rsidRPr="00A23740">
              <w:t xml:space="preserve">) bendiyle </w:t>
            </w:r>
            <w:r w:rsidR="00352217" w:rsidRPr="00A23740">
              <w:rPr>
                <w:szCs w:val="24"/>
              </w:rPr>
              <w:t>malul</w:t>
            </w:r>
            <w:r w:rsidR="00352217" w:rsidRPr="00A23740">
              <w:rPr>
                <w:bCs/>
                <w:szCs w:val="24"/>
                <w:lang w:val="x-none" w:eastAsia="x-none"/>
              </w:rPr>
              <w:t>lere</w:t>
            </w:r>
            <w:r w:rsidR="00215B60" w:rsidRPr="00A23740">
              <w:rPr>
                <w:bCs/>
                <w:szCs w:val="24"/>
                <w:lang w:val="x-none" w:eastAsia="x-none"/>
              </w:rPr>
              <w:t xml:space="preserve">, </w:t>
            </w:r>
            <w:r w:rsidR="00215B60" w:rsidRPr="00A23740">
              <w:rPr>
                <w:szCs w:val="24"/>
              </w:rPr>
              <w:t>yetimlere</w:t>
            </w:r>
            <w:r w:rsidR="00215B60" w:rsidRPr="00A23740">
              <w:rPr>
                <w:bCs/>
                <w:szCs w:val="24"/>
                <w:lang w:val="x-none" w:eastAsia="x-none"/>
              </w:rPr>
              <w:t xml:space="preserve">, dullara, </w:t>
            </w:r>
            <w:r w:rsidR="00215B60" w:rsidRPr="00A23740">
              <w:rPr>
                <w:szCs w:val="24"/>
              </w:rPr>
              <w:t xml:space="preserve">şehit </w:t>
            </w:r>
            <w:r w:rsidR="00215B60" w:rsidRPr="00A23740">
              <w:rPr>
                <w:bCs/>
                <w:szCs w:val="24"/>
                <w:lang w:val="x-none" w:eastAsia="x-none"/>
              </w:rPr>
              <w:t>yakınlarına, gazilere ve terör mağdurlarına</w:t>
            </w:r>
            <w:r w:rsidR="00215B60" w:rsidRPr="00A23740">
              <w:rPr>
                <w:bCs/>
                <w:szCs w:val="24"/>
                <w:lang w:eastAsia="x-none"/>
              </w:rPr>
              <w:t>,</w:t>
            </w:r>
            <w:r w:rsidR="00352217" w:rsidRPr="00A23740">
              <w:rPr>
                <w:bCs/>
                <w:szCs w:val="24"/>
                <w:lang w:eastAsia="x-none"/>
              </w:rPr>
              <w:t xml:space="preserve"> </w:t>
            </w:r>
            <w:r w:rsidR="00352217" w:rsidRPr="00DC7A0B">
              <w:t>Türk</w:t>
            </w:r>
            <w:r w:rsidR="00215B60" w:rsidRPr="00DC7A0B">
              <w:t xml:space="preserve"> Silahlı Kuvvetler</w:t>
            </w:r>
            <w:r w:rsidR="004D06F7" w:rsidRPr="00DC7A0B">
              <w:t>in</w:t>
            </w:r>
            <w:r w:rsidR="00215B60" w:rsidRPr="00DC7A0B">
              <w:t>de</w:t>
            </w:r>
            <w:r w:rsidR="00215B60" w:rsidRPr="00A23740">
              <w:rPr>
                <w:szCs w:val="24"/>
              </w:rPr>
              <w:t xml:space="preserve"> hava ve denizaltı mensuplarına yapılan maaş, tazminat</w:t>
            </w:r>
            <w:r w:rsidR="00352217" w:rsidRPr="00A23740">
              <w:rPr>
                <w:szCs w:val="24"/>
              </w:rPr>
              <w:t xml:space="preserve"> </w:t>
            </w:r>
            <w:r w:rsidR="00352217" w:rsidRPr="00DC7A0B">
              <w:t>ve benzeri</w:t>
            </w:r>
            <w:r w:rsidR="00215B60" w:rsidRPr="00A23740">
              <w:rPr>
                <w:rStyle w:val="KIRMIZIChar"/>
                <w:rFonts w:eastAsia="Calibri"/>
                <w:strike w:val="0"/>
              </w:rPr>
              <w:t xml:space="preserve"> </w:t>
            </w:r>
            <w:r w:rsidR="00215B60" w:rsidRPr="00A23740">
              <w:rPr>
                <w:szCs w:val="24"/>
              </w:rPr>
              <w:t>ödemelerin haczedilemeyeceği,</w:t>
            </w:r>
            <w:r w:rsidR="00C1793B" w:rsidRPr="00A23740">
              <w:rPr>
                <w:szCs w:val="24"/>
              </w:rPr>
              <w:t xml:space="preserve"> </w:t>
            </w:r>
            <w:r w:rsidR="00C1793B" w:rsidRPr="00DC7A0B">
              <w:t>bu çerçevede örneğin 24/2/1968 tarihli ve 1005 sayılı İstiklal Madalyası Verilmiş Bulunanlara Vatani Hizmet Tertibinden Şeref Aylığı Bağlanması Hakkındaki Kanun ile 28/5/1986 tarihli ve 3292 sayılı Vatani Hizmet Tertibi Aylıklarının Bağlanması Hakkında Kanun kapsamında bulunanlar, 8/6/1949 tarihli ve 5434 sayılı Türkiye Cumhuriyeti Emekli Sandığı Kanununun 56 ncı maddesi ile mülga 45 inci ve 64 üncü maddelerine veya 31/5/2006 tarihli ve 5510 sayılı Sosyal Sigortalar ve Genel Sağlık Sigortası Kanununun 47 nci maddesine, 3/11/1980 tarihli ve 2330 sayılı Nakdi Tazminat ve Aylık Bağlanması Hakkında Kanuna veya 2330 sayılı Kanun hükümleri uygulanarak aylık bağlanmasını gerektiren kanunlara göre vazife malulü sayılanlar, 3713 sayılı Kanunun ek 3 üncü maddesi ile 15/8/2016 tarihli ve 670 sayılı Olağanüstü Hal Kapsamında Alınması Gereken Tedbirler Hakkında Kanun Hükmünde Kararnamenin 9 uncu maddesi ve 17/7/2004 tarihli ve 5233 sayılı Terör ve Terörle Mücadeleden Doğan Zararların Karşılanması Hakkında Kanunun ek 1 inci maddesi kapsamında bulunanlara, Sosyal Güvenlik Kurumunca ödenen aylık, ödenek, gelir, emeklilik ikramiyesi ile her ne ad altında olursa olsun yapılan diğer ödeme ve yardımlar (5510 sayılı Kanunun 88 inci maddesine göre takip ve tahsili gereken alacaklar nedeniyle yapılacak haciz işlemleri hariç) ile ilgili mevzuatı uyarınca ödenen her türlü ödeme ve yardımların haczedilemeyeceği,</w:t>
            </w:r>
          </w:p>
          <w:p w:rsidR="00215B60" w:rsidRPr="00A23740" w:rsidRDefault="00CC7130" w:rsidP="009431FF">
            <w:pPr>
              <w:tabs>
                <w:tab w:val="left" w:pos="567"/>
              </w:tabs>
              <w:ind w:firstLine="709"/>
              <w:rPr>
                <w:bCs/>
                <w:szCs w:val="24"/>
                <w:lang w:val="x-none" w:eastAsia="x-none"/>
              </w:rPr>
            </w:pPr>
            <w:r w:rsidRPr="00A23740">
              <w:t>(</w:t>
            </w:r>
            <w:r w:rsidR="00C52C6C" w:rsidRPr="00A23740">
              <w:t>ı</w:t>
            </w:r>
            <w:r w:rsidR="00215B60" w:rsidRPr="00A23740">
              <w:t xml:space="preserve">) bendiyle ödemenin emeklilik, tazminat veya diğer ödemeler adı altında yapılıp yapılmadığına bakılmaksızın kaynağının </w:t>
            </w:r>
            <w:r w:rsidR="00215B60" w:rsidRPr="00A23740">
              <w:rPr>
                <w:bCs/>
                <w:szCs w:val="24"/>
                <w:lang w:eastAsia="x-none"/>
              </w:rPr>
              <w:t xml:space="preserve">ölüm, bedensel </w:t>
            </w:r>
            <w:r w:rsidR="00215B60" w:rsidRPr="00A23740">
              <w:t>zararlar</w:t>
            </w:r>
            <w:r w:rsidR="00215B60" w:rsidRPr="00A23740">
              <w:rPr>
                <w:bCs/>
                <w:szCs w:val="24"/>
                <w:lang w:eastAsia="x-none"/>
              </w:rPr>
              <w:t xml:space="preserve"> veya sağlığın bozulması sebebiyle zarar gören ya da sağlığı bozulan kişinin </w:t>
            </w:r>
            <w:r w:rsidR="00215B60" w:rsidRPr="00A23740">
              <w:t xml:space="preserve">kendisine </w:t>
            </w:r>
            <w:r w:rsidR="00215B60" w:rsidRPr="00A23740">
              <w:rPr>
                <w:bCs/>
                <w:szCs w:val="24"/>
                <w:lang w:eastAsia="x-none"/>
              </w:rPr>
              <w:t xml:space="preserve">ya da </w:t>
            </w:r>
            <w:r w:rsidR="00215B60" w:rsidRPr="00A23740">
              <w:rPr>
                <w:bCs/>
                <w:szCs w:val="24"/>
                <w:lang w:val="x-none" w:eastAsia="x-none"/>
              </w:rPr>
              <w:t>yakınlarına</w:t>
            </w:r>
            <w:r w:rsidR="00215B60" w:rsidRPr="00A23740">
              <w:rPr>
                <w:rFonts w:eastAsia="Times New Roman"/>
                <w:szCs w:val="24"/>
                <w:lang w:eastAsia="tr-TR"/>
              </w:rPr>
              <w:t xml:space="preserve"> </w:t>
            </w:r>
            <w:r w:rsidR="00215B60" w:rsidRPr="00A23740">
              <w:t xml:space="preserve">toptan </w:t>
            </w:r>
            <w:r w:rsidR="00215B60" w:rsidRPr="00A23740">
              <w:rPr>
                <w:bCs/>
                <w:szCs w:val="24"/>
                <w:lang w:val="x-none" w:eastAsia="x-none"/>
              </w:rPr>
              <w:t>yahut</w:t>
            </w:r>
            <w:r w:rsidR="00215B60" w:rsidRPr="00A23740">
              <w:t xml:space="preserve"> irat şeklinde verilen </w:t>
            </w:r>
            <w:r w:rsidR="00215B60" w:rsidRPr="00A23740">
              <w:rPr>
                <w:bCs/>
                <w:szCs w:val="24"/>
                <w:lang w:val="x-none" w:eastAsia="x-none"/>
              </w:rPr>
              <w:t>veyahut</w:t>
            </w:r>
            <w:r w:rsidR="00215B60" w:rsidRPr="00A23740">
              <w:t xml:space="preserve"> verilmesi </w:t>
            </w:r>
            <w:r w:rsidR="00215B60" w:rsidRPr="00A23740">
              <w:rPr>
                <w:bCs/>
                <w:szCs w:val="24"/>
                <w:lang w:val="x-none" w:eastAsia="x-none"/>
              </w:rPr>
              <w:t xml:space="preserve">gereken maddi ve manevi </w:t>
            </w:r>
            <w:r w:rsidR="00215B60" w:rsidRPr="00A23740">
              <w:t>tazminatl</w:t>
            </w:r>
            <w:r w:rsidR="00215B60" w:rsidRPr="00A23740">
              <w:rPr>
                <w:bCs/>
                <w:szCs w:val="24"/>
                <w:lang w:val="x-none" w:eastAsia="x-none"/>
              </w:rPr>
              <w:t>ar olması h</w:t>
            </w:r>
            <w:r w:rsidR="001D7D44" w:rsidRPr="00A23740">
              <w:rPr>
                <w:bCs/>
                <w:szCs w:val="24"/>
                <w:lang w:eastAsia="x-none"/>
              </w:rPr>
              <w:t>â</w:t>
            </w:r>
            <w:r w:rsidR="00215B60" w:rsidRPr="00A23740">
              <w:rPr>
                <w:bCs/>
                <w:szCs w:val="24"/>
                <w:lang w:val="x-none" w:eastAsia="x-none"/>
              </w:rPr>
              <w:t xml:space="preserve">linde haczedilemeyeceği, </w:t>
            </w:r>
          </w:p>
          <w:p w:rsidR="00215B60" w:rsidRPr="00A23740" w:rsidRDefault="00CC7130" w:rsidP="009431FF">
            <w:pPr>
              <w:tabs>
                <w:tab w:val="left" w:pos="567"/>
              </w:tabs>
              <w:ind w:firstLine="709"/>
              <w:rPr>
                <w:bCs/>
                <w:szCs w:val="24"/>
                <w:lang w:eastAsia="x-none"/>
              </w:rPr>
            </w:pPr>
            <w:r w:rsidRPr="00A23740">
              <w:t>(</w:t>
            </w:r>
            <w:r w:rsidR="00C52C6C" w:rsidRPr="00A23740">
              <w:rPr>
                <w:bCs/>
                <w:szCs w:val="24"/>
                <w:lang w:eastAsia="x-none"/>
              </w:rPr>
              <w:t>i</w:t>
            </w:r>
            <w:r w:rsidR="00215B60" w:rsidRPr="00A23740">
              <w:rPr>
                <w:bCs/>
                <w:szCs w:val="24"/>
                <w:lang w:eastAsia="x-none"/>
              </w:rPr>
              <w:t>) bendiyle öğrenim nedeniyle verilen her türlü öğrenci bursunun haczedilemeyeceği,</w:t>
            </w:r>
          </w:p>
          <w:p w:rsidR="00215B60" w:rsidRPr="00A23740" w:rsidRDefault="00CC7130" w:rsidP="009431FF">
            <w:pPr>
              <w:ind w:firstLine="709"/>
              <w:rPr>
                <w:bCs/>
                <w:szCs w:val="24"/>
                <w:lang w:eastAsia="x-none"/>
              </w:rPr>
            </w:pPr>
            <w:r w:rsidRPr="00A23740">
              <w:t>(</w:t>
            </w:r>
            <w:r w:rsidR="00C52C6C" w:rsidRPr="00A23740">
              <w:rPr>
                <w:bCs/>
                <w:szCs w:val="24"/>
                <w:lang w:eastAsia="x-none"/>
              </w:rPr>
              <w:t>j</w:t>
            </w:r>
            <w:r w:rsidR="00215B60" w:rsidRPr="00A23740">
              <w:rPr>
                <w:bCs/>
                <w:szCs w:val="24"/>
                <w:lang w:eastAsia="x-none"/>
              </w:rPr>
              <w:t>) bendiyle ara karar</w:t>
            </w:r>
            <w:r w:rsidR="005F6AEE" w:rsidRPr="00A23740">
              <w:rPr>
                <w:bCs/>
                <w:szCs w:val="24"/>
                <w:lang w:eastAsia="x-none"/>
              </w:rPr>
              <w:t>ıy</w:t>
            </w:r>
            <w:r w:rsidR="00215B60" w:rsidRPr="00A23740">
              <w:rPr>
                <w:bCs/>
                <w:szCs w:val="24"/>
                <w:lang w:eastAsia="x-none"/>
              </w:rPr>
              <w:t xml:space="preserve">la tedbir mahiyetinde </w:t>
            </w:r>
            <w:r w:rsidR="005F6AEE" w:rsidRPr="00A23740">
              <w:rPr>
                <w:bCs/>
                <w:szCs w:val="24"/>
                <w:lang w:eastAsia="x-none"/>
              </w:rPr>
              <w:t xml:space="preserve">bağlanan </w:t>
            </w:r>
            <w:r w:rsidR="00215B60" w:rsidRPr="00A23740">
              <w:rPr>
                <w:bCs/>
                <w:szCs w:val="24"/>
                <w:lang w:eastAsia="x-none"/>
              </w:rPr>
              <w:t>nafakalar ile ilama bağlı olarak verilen, kesinleşip kesinleşmediğine bakılmaksızın her türlü nafaka alacağının haczedilemeyeceği,</w:t>
            </w:r>
          </w:p>
          <w:p w:rsidR="00215B60" w:rsidRPr="00A23740" w:rsidRDefault="00CC7130" w:rsidP="009431FF">
            <w:pPr>
              <w:ind w:firstLine="709"/>
            </w:pPr>
            <w:r w:rsidRPr="00A23740">
              <w:t>(</w:t>
            </w:r>
            <w:r w:rsidR="00C52C6C" w:rsidRPr="00A23740">
              <w:t>k</w:t>
            </w:r>
            <w:r w:rsidR="00215B60" w:rsidRPr="00A23740">
              <w:t>) bendiyle aile konutu şerhi bulunmasa dahi borçlunun h</w:t>
            </w:r>
            <w:r w:rsidR="001D7D44" w:rsidRPr="00A23740">
              <w:t>â</w:t>
            </w:r>
            <w:r w:rsidR="00215B60" w:rsidRPr="00A23740">
              <w:t>line münasip evinin haczedilemeyeceği, haczedilmesi h</w:t>
            </w:r>
            <w:r w:rsidR="001D7D44" w:rsidRPr="00A23740">
              <w:t>â</w:t>
            </w:r>
            <w:r w:rsidR="00215B60" w:rsidRPr="00A23740">
              <w:t>linde bu fıkra gereğince borçlu veya eşinin madde metninin bütün olarak değerlendirildiğinde icra mahkemesine şik</w:t>
            </w:r>
            <w:r w:rsidR="00407C95" w:rsidRPr="00A23740">
              <w:t>â</w:t>
            </w:r>
            <w:r w:rsidR="00215B60" w:rsidRPr="00A23740">
              <w:t xml:space="preserve">yette bulunabileceği,   </w:t>
            </w:r>
          </w:p>
          <w:p w:rsidR="00215B60" w:rsidRPr="00A23740" w:rsidRDefault="00215B60" w:rsidP="009431FF">
            <w:r w:rsidRPr="00A23740">
              <w:t>düzenlenmiştir.</w:t>
            </w:r>
          </w:p>
          <w:p w:rsidR="00215B60" w:rsidRPr="00A23740" w:rsidRDefault="00215B60" w:rsidP="009431FF">
            <w:pPr>
              <w:ind w:firstLine="709"/>
            </w:pPr>
            <w:r w:rsidRPr="00A23740">
              <w:t>İkinci fıkrayla haczedilmezliğe ilişkin istisnaların borcun bu eşya bedelinden doğmaması h</w:t>
            </w:r>
            <w:r w:rsidR="001D7D44" w:rsidRPr="00A23740">
              <w:t>â</w:t>
            </w:r>
            <w:r w:rsidRPr="00A23740">
              <w:t>linde geçerli olacağı,</w:t>
            </w:r>
          </w:p>
          <w:p w:rsidR="00215B60" w:rsidRPr="00A23740" w:rsidRDefault="00215B60" w:rsidP="009431FF">
            <w:pPr>
              <w:ind w:firstLine="709"/>
            </w:pPr>
            <w:r w:rsidRPr="00A23740">
              <w:t>Üçüncü fıkrayla</w:t>
            </w:r>
            <w:r w:rsidR="00554B07" w:rsidRPr="00A23740">
              <w:t xml:space="preserve">, </w:t>
            </w:r>
            <w:r w:rsidR="00554B07" w:rsidRPr="00DC7A0B">
              <w:t>İsviçre</w:t>
            </w:r>
            <w:r w:rsidR="00E47822" w:rsidRPr="00DC7A0B">
              <w:rPr>
                <w:bCs/>
              </w:rPr>
              <w:t>’nin</w:t>
            </w:r>
            <w:r w:rsidR="00554B07" w:rsidRPr="00DC7A0B">
              <w:t xml:space="preserve"> Borç İçin Takip ve İflas Hakkında Federal Kanunun 92 nci ve Alman Medeni Usul Kanununun 811a maddeleri doğrultusunda</w:t>
            </w:r>
            <w:r w:rsidR="00554B07" w:rsidRPr="00DC7A0B">
              <w:rPr>
                <w:b/>
              </w:rPr>
              <w:t>,</w:t>
            </w:r>
            <w:r w:rsidR="00554B07" w:rsidRPr="00A23740">
              <w:t xml:space="preserve"> </w:t>
            </w:r>
            <w:r w:rsidRPr="00A23740">
              <w:t>haczedilmeyecek mallardan (ç), (f) ve (</w:t>
            </w:r>
            <w:r w:rsidR="00554B07" w:rsidRPr="00A23740">
              <w:t>k</w:t>
            </w:r>
            <w:r w:rsidRPr="00A23740">
              <w:t>) bentlerinde sayılan malların değerinin yüksek olması h</w:t>
            </w:r>
            <w:r w:rsidR="001D7D44" w:rsidRPr="00A23740">
              <w:t>â</w:t>
            </w:r>
            <w:r w:rsidRPr="00A23740">
              <w:t xml:space="preserve">linde satılarak </w:t>
            </w:r>
            <w:r w:rsidR="00226991" w:rsidRPr="00DC7A0B">
              <w:t>satış bedelinden</w:t>
            </w:r>
            <w:r w:rsidR="00226991" w:rsidRPr="00A23740">
              <w:t xml:space="preserve"> </w:t>
            </w:r>
            <w:r w:rsidRPr="00A23740">
              <w:t>borçlunun ihtiyacını karşılayacak bir kısmının borçluya bırakılacağı, malın tesliminin ise ihale kesinleşmesi üzerine borçludan alacağı,</w:t>
            </w:r>
          </w:p>
          <w:p w:rsidR="00215B60" w:rsidRPr="00A23740" w:rsidRDefault="00215B60" w:rsidP="009431FF">
            <w:pPr>
              <w:ind w:firstLine="709"/>
              <w:rPr>
                <w:b/>
              </w:rPr>
            </w:pPr>
            <w:r w:rsidRPr="00A23740">
              <w:t>Dördüncü fıkrayla</w:t>
            </w:r>
            <w:r w:rsidR="005F6AEE" w:rsidRPr="00A23740">
              <w:t>,</w:t>
            </w:r>
            <w:r w:rsidRPr="00A23740">
              <w:t xml:space="preserve"> (</w:t>
            </w:r>
            <w:r w:rsidR="00554B07" w:rsidRPr="00A23740">
              <w:t>k</w:t>
            </w:r>
            <w:r w:rsidRPr="00A23740">
              <w:t xml:space="preserve">) </w:t>
            </w:r>
            <w:r w:rsidR="005F6AEE" w:rsidRPr="00A23740">
              <w:t xml:space="preserve">bendinde </w:t>
            </w:r>
            <w:r w:rsidRPr="00A23740">
              <w:t xml:space="preserve">belirtilen </w:t>
            </w:r>
            <w:r w:rsidR="005F6AEE" w:rsidRPr="00A23740">
              <w:t xml:space="preserve">ve </w:t>
            </w:r>
            <w:r w:rsidRPr="00A23740">
              <w:t>borçlunun h</w:t>
            </w:r>
            <w:r w:rsidR="001D7D44" w:rsidRPr="00A23740">
              <w:t>â</w:t>
            </w:r>
            <w:r w:rsidRPr="00A23740">
              <w:t xml:space="preserve">line münasip </w:t>
            </w:r>
            <w:r w:rsidR="005F6AEE" w:rsidRPr="00A23740">
              <w:t xml:space="preserve">bulunan </w:t>
            </w:r>
            <w:r w:rsidRPr="00A23740">
              <w:t>evine yönelik şik</w:t>
            </w:r>
            <w:r w:rsidR="00407C95" w:rsidRPr="00A23740">
              <w:t>â</w:t>
            </w:r>
            <w:r w:rsidRPr="00A23740">
              <w:t>yetin</w:t>
            </w:r>
            <w:r w:rsidR="00C40995" w:rsidRPr="00A23740">
              <w:t xml:space="preserve"> </w:t>
            </w:r>
            <w:r w:rsidR="008F75C3" w:rsidRPr="00DC7A0B">
              <w:rPr>
                <w:bCs/>
              </w:rPr>
              <w:t>4721</w:t>
            </w:r>
            <w:r w:rsidR="008F75C3" w:rsidRPr="00A23740">
              <w:rPr>
                <w:rStyle w:val="KonuBalChar"/>
                <w:rFonts w:eastAsia="Calibri"/>
                <w:b w:val="0"/>
              </w:rPr>
              <w:t xml:space="preserve"> </w:t>
            </w:r>
            <w:r w:rsidR="008F75C3" w:rsidRPr="00DC7A0B">
              <w:rPr>
                <w:bCs/>
              </w:rPr>
              <w:t>sayılı Kanunun</w:t>
            </w:r>
            <w:r w:rsidR="008F75C3" w:rsidRPr="00A23740">
              <w:rPr>
                <w:rStyle w:val="YELChar"/>
                <w:b w:val="0"/>
              </w:rPr>
              <w:t xml:space="preserve"> </w:t>
            </w:r>
            <w:r w:rsidR="00C40995" w:rsidRPr="00DC7A0B">
              <w:t>893 üncü maddesi saklı kalmak üzere,</w:t>
            </w:r>
            <w:r w:rsidRPr="00A23740">
              <w:t xml:space="preserve"> borçlunun eşi tarafından da yapılabileceği,</w:t>
            </w:r>
            <w:r w:rsidR="00C40995" w:rsidRPr="00A23740">
              <w:t xml:space="preserve"> </w:t>
            </w:r>
          </w:p>
          <w:p w:rsidR="000C282A" w:rsidRDefault="00215B60" w:rsidP="000C282A">
            <w:pPr>
              <w:ind w:firstLine="709"/>
            </w:pPr>
            <w:r w:rsidRPr="00A23740">
              <w:t>Beşinci fıkrayla haczin uygulanması sırasında</w:t>
            </w:r>
            <w:r w:rsidR="005F6AEE" w:rsidRPr="00A23740">
              <w:t>,</w:t>
            </w:r>
            <w:r w:rsidRPr="00A23740">
              <w:t xml:space="preserve"> yargılamaya muhtaç bulunmayan ve icra dosyası kapsamında değerlendirilmeye imk</w:t>
            </w:r>
            <w:r w:rsidR="00BE53A8" w:rsidRPr="00A23740">
              <w:rPr>
                <w:rFonts w:eastAsia="Times New Roman"/>
                <w:szCs w:val="24"/>
                <w:lang w:eastAsia="tr-TR"/>
              </w:rPr>
              <w:t>â</w:t>
            </w:r>
            <w:r w:rsidRPr="00A23740">
              <w:t>n veren h</w:t>
            </w:r>
            <w:r w:rsidR="001D7D44" w:rsidRPr="00A23740">
              <w:t>â</w:t>
            </w:r>
            <w:r w:rsidRPr="00A23740">
              <w:t xml:space="preserve">llerde icra </w:t>
            </w:r>
            <w:r w:rsidR="00226991" w:rsidRPr="00DC7A0B">
              <w:t>ve iflas</w:t>
            </w:r>
            <w:r w:rsidR="00226991" w:rsidRPr="00A23740">
              <w:t xml:space="preserve"> </w:t>
            </w:r>
            <w:r w:rsidRPr="00A23740">
              <w:t>dairesince mal</w:t>
            </w:r>
            <w:r w:rsidR="00226991" w:rsidRPr="00DC7A0B">
              <w:t>, hak ve alacakların</w:t>
            </w:r>
            <w:r w:rsidRPr="00A23740">
              <w:t xml:space="preserve"> haczinin caiz olup olmadığını değerlendirerek talebin kabul veya r</w:t>
            </w:r>
            <w:r w:rsidR="000C282A">
              <w:t>eddine karar vermesi gerektiği,</w:t>
            </w:r>
          </w:p>
          <w:p w:rsidR="000C282A" w:rsidRDefault="00215B60" w:rsidP="000C282A">
            <w:pPr>
              <w:ind w:firstLine="709"/>
            </w:pPr>
            <w:r w:rsidRPr="00A23740">
              <w:t xml:space="preserve">Altıncı fıkrayla da bu Kanunda bulunmamasına karşın özel kanunlarda haczedilemeyeceği belirtilen mal, hak ve alacaklar hakkında o </w:t>
            </w:r>
            <w:r w:rsidR="005F6AEE" w:rsidRPr="00A23740">
              <w:t>k</w:t>
            </w:r>
            <w:r w:rsidRPr="00A23740">
              <w:t>anun hükümlerine göre değerlendirme yapılması gerektiği,</w:t>
            </w:r>
          </w:p>
          <w:p w:rsidR="00BA43FD" w:rsidRPr="000C282A" w:rsidRDefault="000C282A" w:rsidP="000C282A">
            <w:pPr>
              <w:ind w:firstLine="709"/>
            </w:pPr>
            <w:r>
              <w:t>h</w:t>
            </w:r>
            <w:r w:rsidR="005F6AEE" w:rsidRPr="00A23740">
              <w:t xml:space="preserve">ususları </w:t>
            </w:r>
            <w:r w:rsidR="00215B60" w:rsidRPr="00A23740">
              <w:t>düzenlenmiştir.</w:t>
            </w: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Özel okullar ile özel öğrenci yurt ve benzeri kurumların taşınır ve taşınmaz mallarının haczi:</w:t>
            </w:r>
          </w:p>
          <w:p w:rsidR="00AA5C8C" w:rsidRPr="00A23740" w:rsidRDefault="00AA5C8C" w:rsidP="009431FF">
            <w:pPr>
              <w:pStyle w:val="KIRMIZI"/>
            </w:pPr>
            <w:r w:rsidRPr="00A23740">
              <w:t>MADDE 362/a – (Ek: 9/5/2018-7141/1 md.)</w:t>
            </w:r>
          </w:p>
          <w:p w:rsidR="00FE5C19" w:rsidRPr="00A23740" w:rsidRDefault="00AA5C8C" w:rsidP="009431FF">
            <w:pPr>
              <w:pStyle w:val="KIRMIZI"/>
            </w:pPr>
            <w:r w:rsidRPr="00A23740">
              <w:t>8/2/2007 tarihli ve 5580 sayılı Özel Öğretim Kurumları Kanunu kapsamında faaliyet gösteren okullar ile 24/3/1950 tarihli ve 5661 sayılı Yüksek Öğrenim Öğrenci Yurtları ve Aşevleri Hakkındaki Kanuna Ek Kanun kapsamında faaliyet gösteren özel öğrenci barınma hizmetleri veren yurt ve benzeri kurumların taşınır ve taşınmaz malları, 6183 sayılı Amme Alacaklarının Tahsil Usulü Hakkında Kanuna göre yapılan takipler hariç olmak üzere içinde bulunulan eğitim ve öğretim yılı sonunda haczedilir.</w:t>
            </w:r>
          </w:p>
          <w:p w:rsidR="00AA5C8C" w:rsidRDefault="00AA5C8C" w:rsidP="009431FF">
            <w:pPr>
              <w:pStyle w:val="KIRMIZI"/>
            </w:pPr>
          </w:p>
          <w:p w:rsidR="00C616B3" w:rsidRPr="00A23740" w:rsidRDefault="00C616B3" w:rsidP="009431FF">
            <w:pPr>
              <w:pStyle w:val="KIRMIZI"/>
            </w:pPr>
          </w:p>
        </w:tc>
        <w:tc>
          <w:tcPr>
            <w:tcW w:w="2500" w:type="pct"/>
          </w:tcPr>
          <w:p w:rsidR="00E7437F" w:rsidRPr="00A23740" w:rsidRDefault="00E7437F" w:rsidP="009431FF">
            <w:pPr>
              <w:tabs>
                <w:tab w:val="left" w:pos="567"/>
              </w:tabs>
              <w:rPr>
                <w:rFonts w:eastAsia="Times New Roman"/>
                <w:b/>
                <w:color w:val="FF0000"/>
                <w:szCs w:val="24"/>
                <w:lang w:eastAsia="tr-TR"/>
              </w:rPr>
            </w:pPr>
          </w:p>
          <w:p w:rsidR="00C40995" w:rsidRPr="00A23740" w:rsidRDefault="00C40995" w:rsidP="009431FF">
            <w:pPr>
              <w:tabs>
                <w:tab w:val="left" w:pos="566"/>
              </w:tabs>
              <w:rPr>
                <w:rFonts w:eastAsia="Times New Roman"/>
                <w:b/>
                <w:color w:val="FF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0C282A">
            <w:pPr>
              <w:widowControl w:val="0"/>
              <w:tabs>
                <w:tab w:val="left" w:pos="567"/>
              </w:tabs>
              <w:rPr>
                <w:rFonts w:eastAsia="Times New Roman"/>
                <w:b/>
                <w:strike/>
                <w:color w:val="FF0000"/>
                <w:szCs w:val="24"/>
                <w:lang w:eastAsia="tr-TR"/>
              </w:rPr>
            </w:pPr>
            <w:r w:rsidRPr="00A23740">
              <w:rPr>
                <w:rFonts w:eastAsia="Times New Roman"/>
                <w:b/>
                <w:szCs w:val="24"/>
                <w:lang w:eastAsia="tr-TR"/>
              </w:rPr>
              <w:t>Kısmen hacz</w:t>
            </w:r>
            <w:r w:rsidRPr="00A23740">
              <w:rPr>
                <w:rStyle w:val="KIRMIZIChar"/>
                <w:rFonts w:eastAsia="Calibri"/>
              </w:rPr>
              <w:t xml:space="preserve">i </w:t>
            </w:r>
            <w:r w:rsidRPr="00A23740">
              <w:rPr>
                <w:rFonts w:eastAsia="Times New Roman"/>
                <w:b/>
                <w:strike/>
                <w:color w:val="FF0000"/>
                <w:szCs w:val="24"/>
                <w:lang w:eastAsia="tr-TR"/>
              </w:rPr>
              <w:t>caiz olan şeyler:</w:t>
            </w:r>
          </w:p>
          <w:p w:rsidR="00AA5C8C" w:rsidRPr="00A23740" w:rsidRDefault="00AA5C8C" w:rsidP="000C282A">
            <w:pPr>
              <w:widowControl w:val="0"/>
              <w:tabs>
                <w:tab w:val="left" w:pos="567"/>
              </w:tabs>
              <w:rPr>
                <w:rFonts w:eastAsia="Times New Roman"/>
                <w:b/>
                <w:szCs w:val="24"/>
                <w:lang w:eastAsia="tr-TR"/>
              </w:rPr>
            </w:pPr>
            <w:r w:rsidRPr="00A23740">
              <w:rPr>
                <w:rStyle w:val="KIRMIZIChar"/>
                <w:rFonts w:eastAsia="Calibri"/>
              </w:rPr>
              <w:t>Madde 83 – (1) (</w:t>
            </w:r>
            <w:r w:rsidRPr="00A23740">
              <w:rPr>
                <w:rFonts w:eastAsia="Times New Roman"/>
                <w:b/>
                <w:strike/>
                <w:color w:val="FF0000"/>
                <w:szCs w:val="24"/>
                <w:lang w:eastAsia="tr-TR"/>
              </w:rPr>
              <w:t>Değişik: 3/7/1940 - 3890/1 md.)</w:t>
            </w:r>
          </w:p>
          <w:p w:rsidR="00AA5C8C" w:rsidRPr="00A23740" w:rsidRDefault="00AA5C8C" w:rsidP="000C282A">
            <w:pPr>
              <w:widowControl w:val="0"/>
              <w:tabs>
                <w:tab w:val="left" w:pos="567"/>
              </w:tabs>
              <w:rPr>
                <w:rFonts w:eastAsia="Times New Roman"/>
                <w:szCs w:val="24"/>
                <w:lang w:eastAsia="tr-TR"/>
              </w:rPr>
            </w:pPr>
            <w:r w:rsidRPr="00A23740">
              <w:rPr>
                <w:rFonts w:eastAsia="Times New Roman"/>
                <w:szCs w:val="24"/>
                <w:lang w:eastAsia="tr-TR"/>
              </w:rPr>
              <w:t>Maaş</w:t>
            </w:r>
            <w:r w:rsidRPr="00A23740">
              <w:rPr>
                <w:rStyle w:val="KIRMIZIChar"/>
                <w:rFonts w:eastAsia="Calibri"/>
              </w:rPr>
              <w:t>lar</w:t>
            </w:r>
            <w:r w:rsidRPr="00A23740">
              <w:rPr>
                <w:rFonts w:eastAsia="Times New Roman"/>
                <w:szCs w:val="24"/>
                <w:lang w:eastAsia="tr-TR"/>
              </w:rPr>
              <w:t xml:space="preserve">, </w:t>
            </w:r>
            <w:r w:rsidRPr="00A23740">
              <w:rPr>
                <w:rFonts w:eastAsia="Times New Roman"/>
                <w:b/>
                <w:strike/>
                <w:color w:val="FF0000"/>
                <w:szCs w:val="24"/>
                <w:lang w:eastAsia="tr-TR"/>
              </w:rPr>
              <w:t>tahsisat</w:t>
            </w:r>
            <w:r w:rsidRPr="00A23740">
              <w:rPr>
                <w:rFonts w:eastAsia="Times New Roman"/>
                <w:szCs w:val="24"/>
                <w:lang w:eastAsia="tr-TR"/>
              </w:rPr>
              <w:t xml:space="preserve"> ve her </w:t>
            </w:r>
            <w:r w:rsidRPr="00A23740">
              <w:rPr>
                <w:rFonts w:eastAsia="Times New Roman"/>
                <w:b/>
                <w:strike/>
                <w:color w:val="FF0000"/>
                <w:szCs w:val="24"/>
                <w:lang w:eastAsia="tr-TR"/>
              </w:rPr>
              <w:t>nevi</w:t>
            </w:r>
            <w:r w:rsidRPr="00A23740">
              <w:rPr>
                <w:rFonts w:eastAsia="Times New Roman"/>
                <w:szCs w:val="24"/>
                <w:lang w:eastAsia="tr-TR"/>
              </w:rPr>
              <w:t xml:space="preserve"> ücret</w:t>
            </w:r>
            <w:r w:rsidRPr="00A23740">
              <w:rPr>
                <w:rFonts w:eastAsia="Times New Roman"/>
                <w:b/>
                <w:strike/>
                <w:color w:val="FF0000"/>
                <w:szCs w:val="24"/>
                <w:lang w:eastAsia="tr-TR"/>
              </w:rPr>
              <w:t>ler</w:t>
            </w:r>
            <w:r w:rsidRPr="00A23740">
              <w:rPr>
                <w:rFonts w:eastAsia="Times New Roman"/>
                <w:szCs w:val="24"/>
                <w:lang w:eastAsia="tr-TR"/>
              </w:rPr>
              <w:t xml:space="preserve">, intifa hakları ve </w:t>
            </w:r>
            <w:r w:rsidRPr="00A23740">
              <w:rPr>
                <w:rFonts w:eastAsia="Times New Roman"/>
                <w:b/>
                <w:strike/>
                <w:color w:val="FF0000"/>
                <w:szCs w:val="24"/>
                <w:lang w:eastAsia="tr-TR"/>
              </w:rPr>
              <w:t>hasılatı</w:t>
            </w:r>
            <w:r w:rsidRPr="00A23740">
              <w:rPr>
                <w:rFonts w:eastAsia="Times New Roman"/>
                <w:szCs w:val="24"/>
                <w:lang w:eastAsia="tr-TR"/>
              </w:rPr>
              <w:t xml:space="preserve">, ilama </w:t>
            </w:r>
            <w:r w:rsidRPr="00A23740">
              <w:rPr>
                <w:rFonts w:eastAsia="Times New Roman"/>
                <w:b/>
                <w:strike/>
                <w:color w:val="FF0000"/>
                <w:szCs w:val="24"/>
                <w:lang w:eastAsia="tr-TR"/>
              </w:rPr>
              <w:t>müstenit</w:t>
            </w:r>
            <w:r w:rsidRPr="00A23740">
              <w:rPr>
                <w:rFonts w:eastAsia="Times New Roman"/>
                <w:szCs w:val="24"/>
                <w:lang w:eastAsia="tr-TR"/>
              </w:rPr>
              <w:t xml:space="preserve"> olmayan nafakalar, </w:t>
            </w:r>
            <w:r w:rsidRPr="00A23740">
              <w:rPr>
                <w:rFonts w:eastAsia="Times New Roman"/>
                <w:b/>
                <w:strike/>
                <w:color w:val="FF0000"/>
                <w:szCs w:val="24"/>
                <w:lang w:eastAsia="tr-TR"/>
              </w:rPr>
              <w:t>tekaüt maaşları,</w:t>
            </w:r>
            <w:r w:rsidRPr="00A23740">
              <w:rPr>
                <w:rFonts w:eastAsia="Times New Roman"/>
                <w:szCs w:val="24"/>
                <w:lang w:eastAsia="tr-TR"/>
              </w:rPr>
              <w:t xml:space="preserve"> sigorta</w:t>
            </w:r>
            <w:r w:rsidRPr="00A23740">
              <w:rPr>
                <w:rStyle w:val="KIRMIZIChar"/>
                <w:rFonts w:eastAsia="Calibri"/>
              </w:rPr>
              <w:t>lar</w:t>
            </w:r>
            <w:r w:rsidRPr="00A23740">
              <w:rPr>
                <w:rFonts w:eastAsia="Times New Roman"/>
                <w:szCs w:val="24"/>
                <w:lang w:eastAsia="tr-TR"/>
              </w:rPr>
              <w:t xml:space="preserve"> veya </w:t>
            </w:r>
            <w:r w:rsidRPr="00A23740">
              <w:rPr>
                <w:rStyle w:val="KIRMIZIChar"/>
                <w:rFonts w:eastAsia="Calibri"/>
              </w:rPr>
              <w:t>tekaüt</w:t>
            </w:r>
            <w:r w:rsidRPr="00A23740">
              <w:rPr>
                <w:rFonts w:eastAsia="Times New Roman"/>
                <w:szCs w:val="24"/>
                <w:lang w:eastAsia="tr-TR"/>
              </w:rPr>
              <w:t xml:space="preserve"> sandıkları tarafından </w:t>
            </w:r>
            <w:r w:rsidRPr="00A23740">
              <w:rPr>
                <w:rFonts w:eastAsia="Times New Roman"/>
                <w:b/>
                <w:strike/>
                <w:color w:val="FF0000"/>
                <w:szCs w:val="24"/>
                <w:lang w:eastAsia="tr-TR"/>
              </w:rPr>
              <w:t>tahsis ed</w:t>
            </w:r>
            <w:r w:rsidRPr="00A23740">
              <w:rPr>
                <w:rStyle w:val="KIRMIZIChar"/>
                <w:rFonts w:eastAsia="Calibri"/>
              </w:rPr>
              <w:t xml:space="preserve">ilen iratlar, borçlu ve ailesinin geçinmeleri için icra memurunca lüzumlu olarak takdir edilen miktar tenzil edildikten sonra </w:t>
            </w:r>
            <w:r w:rsidRPr="00A23740">
              <w:rPr>
                <w:rFonts w:eastAsia="Times New Roman"/>
                <w:szCs w:val="24"/>
                <w:lang w:eastAsia="tr-TR"/>
              </w:rPr>
              <w:t>haczolunabilir.</w:t>
            </w: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07075F" w:rsidRPr="00A23740" w:rsidRDefault="0007075F"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p>
          <w:p w:rsidR="00AA5C8C" w:rsidRPr="00A23740" w:rsidRDefault="00AA5C8C" w:rsidP="000C282A">
            <w:pPr>
              <w:widowControl w:val="0"/>
              <w:tabs>
                <w:tab w:val="left" w:pos="567"/>
              </w:tabs>
              <w:rPr>
                <w:rFonts w:eastAsia="Times New Roman"/>
                <w:szCs w:val="24"/>
                <w:lang w:eastAsia="tr-TR"/>
              </w:rPr>
            </w:pPr>
            <w:r w:rsidRPr="00A23740">
              <w:rPr>
                <w:rStyle w:val="KIRMIZIChar"/>
                <w:rFonts w:eastAsia="Calibri"/>
              </w:rPr>
              <w:t>(2) (Değişik</w:t>
            </w:r>
            <w:r w:rsidRPr="00A23740">
              <w:rPr>
                <w:rFonts w:eastAsia="Times New Roman"/>
                <w:b/>
                <w:strike/>
                <w:color w:val="FF0000"/>
                <w:szCs w:val="24"/>
                <w:lang w:eastAsia="tr-TR"/>
              </w:rPr>
              <w:t>: 12/4/1968 - 1045</w:t>
            </w:r>
            <w:r w:rsidRPr="00A23740">
              <w:rPr>
                <w:rStyle w:val="KIRMIZIChar"/>
                <w:rFonts w:eastAsia="Calibri"/>
              </w:rPr>
              <w:t>/1 md.) Ancak haczolunacak miktar bunların dörtte birinden az olamaz.</w:t>
            </w:r>
            <w:r w:rsidRPr="00A23740">
              <w:rPr>
                <w:rFonts w:eastAsia="Times New Roman"/>
                <w:szCs w:val="24"/>
                <w:lang w:eastAsia="tr-TR"/>
              </w:rPr>
              <w:t xml:space="preserve"> Birden fazla haciz var </w:t>
            </w:r>
            <w:r w:rsidRPr="00A23740">
              <w:rPr>
                <w:rStyle w:val="KIRMIZIChar"/>
                <w:rFonts w:eastAsia="Calibri"/>
              </w:rPr>
              <w:t>ise</w:t>
            </w:r>
            <w:r w:rsidRPr="00A23740">
              <w:rPr>
                <w:rFonts w:eastAsia="Times New Roman"/>
                <w:szCs w:val="24"/>
                <w:lang w:eastAsia="tr-TR"/>
              </w:rPr>
              <w:t xml:space="preserve"> sıraya konur. Sırada önde olan haczin kesintisi bitmedikçe sonraki haciz için kesintiye geçilemez.</w:t>
            </w:r>
          </w:p>
          <w:p w:rsidR="00AA5C8C" w:rsidRPr="00A23740" w:rsidRDefault="00AA5C8C" w:rsidP="000C282A">
            <w:pPr>
              <w:widowControl w:val="0"/>
              <w:tabs>
                <w:tab w:val="left" w:pos="567"/>
              </w:tabs>
              <w:rPr>
                <w:rFonts w:eastAsia="Times New Roman"/>
                <w:szCs w:val="24"/>
                <w:lang w:eastAsia="tr-TR"/>
              </w:rPr>
            </w:pPr>
          </w:p>
        </w:tc>
        <w:tc>
          <w:tcPr>
            <w:tcW w:w="2500" w:type="pct"/>
          </w:tcPr>
          <w:p w:rsidR="00AA5C8C" w:rsidRPr="00A23740" w:rsidRDefault="00AA5C8C" w:rsidP="000C282A">
            <w:pPr>
              <w:widowControl w:val="0"/>
              <w:tabs>
                <w:tab w:val="left" w:pos="567"/>
              </w:tabs>
              <w:rPr>
                <w:rFonts w:eastAsia="Times New Roman"/>
                <w:szCs w:val="24"/>
                <w:lang w:eastAsia="tr-TR"/>
              </w:rPr>
            </w:pPr>
            <w:r w:rsidRPr="00A23740">
              <w:rPr>
                <w:rFonts w:eastAsia="Times New Roman"/>
                <w:szCs w:val="24"/>
                <w:lang w:eastAsia="tr-TR"/>
              </w:rPr>
              <w:t>Kısmen hacz</w:t>
            </w:r>
            <w:r w:rsidRPr="00A23740">
              <w:rPr>
                <w:rStyle w:val="MaviChar"/>
              </w:rPr>
              <w:t>edilebilen hak ve alacaklar</w:t>
            </w:r>
          </w:p>
          <w:p w:rsidR="006F2298" w:rsidRPr="00A23740" w:rsidRDefault="00AA5C8C" w:rsidP="000C282A">
            <w:pPr>
              <w:widowControl w:val="0"/>
              <w:tabs>
                <w:tab w:val="left" w:pos="567"/>
              </w:tabs>
              <w:rPr>
                <w:rFonts w:eastAsia="Times New Roman"/>
                <w:b/>
                <w:strike/>
                <w:color w:val="FF0000"/>
                <w:szCs w:val="24"/>
                <w:lang w:eastAsia="tr-TR"/>
              </w:rPr>
            </w:pPr>
            <w:r w:rsidRPr="00A23740">
              <w:rPr>
                <w:rStyle w:val="MAVChar"/>
                <w:rFonts w:eastAsia="Calibri"/>
                <w:u w:val="none"/>
              </w:rPr>
              <w:t xml:space="preserve">MADDE </w:t>
            </w:r>
            <w:r w:rsidR="0070238C" w:rsidRPr="00A23740">
              <w:rPr>
                <w:rStyle w:val="MAVChar"/>
                <w:rFonts w:eastAsia="Calibri"/>
                <w:u w:val="none"/>
              </w:rPr>
              <w:t>162</w:t>
            </w:r>
            <w:r w:rsidRPr="00A23740">
              <w:rPr>
                <w:rStyle w:val="MAVChar"/>
                <w:rFonts w:eastAsia="Calibri"/>
                <w:u w:val="none"/>
              </w:rPr>
              <w:t>- (1</w:t>
            </w:r>
            <w:r w:rsidRPr="00A23740">
              <w:rPr>
                <w:rFonts w:eastAsia="Times New Roman"/>
                <w:b/>
                <w:color w:val="0000FF"/>
                <w:szCs w:val="24"/>
                <w:lang w:eastAsia="tr-TR"/>
              </w:rPr>
              <w:t>)</w:t>
            </w:r>
            <w:r w:rsidRPr="00A23740">
              <w:rPr>
                <w:szCs w:val="24"/>
              </w:rPr>
              <w:t xml:space="preserve"> Maaş, </w:t>
            </w:r>
            <w:r w:rsidRPr="00A23740">
              <w:rPr>
                <w:rFonts w:eastAsia="Times New Roman"/>
                <w:b/>
                <w:color w:val="0000FF"/>
                <w:szCs w:val="24"/>
                <w:lang w:eastAsia="tr-TR"/>
              </w:rPr>
              <w:t>ödenek,</w:t>
            </w:r>
            <w:r w:rsidRPr="00A23740">
              <w:rPr>
                <w:szCs w:val="24"/>
              </w:rPr>
              <w:t xml:space="preserve"> her </w:t>
            </w:r>
            <w:r w:rsidRPr="00A23740">
              <w:rPr>
                <w:rFonts w:eastAsia="Times New Roman"/>
                <w:b/>
                <w:color w:val="0000FF"/>
                <w:szCs w:val="24"/>
                <w:lang w:eastAsia="tr-TR"/>
              </w:rPr>
              <w:t>ne ad altında olursa olsun</w:t>
            </w:r>
            <w:r w:rsidRPr="00A23740">
              <w:rPr>
                <w:szCs w:val="24"/>
              </w:rPr>
              <w:t xml:space="preserve"> ücret</w:t>
            </w:r>
            <w:r w:rsidRPr="00A23740">
              <w:rPr>
                <w:rFonts w:eastAsia="Times New Roman"/>
                <w:b/>
                <w:color w:val="0000FF"/>
                <w:szCs w:val="24"/>
                <w:lang w:eastAsia="tr-TR"/>
              </w:rPr>
              <w:t xml:space="preserve"> </w:t>
            </w:r>
            <w:r w:rsidRPr="00A23740">
              <w:rPr>
                <w:szCs w:val="24"/>
              </w:rPr>
              <w:t xml:space="preserve">ve </w:t>
            </w:r>
            <w:r w:rsidRPr="00A23740">
              <w:rPr>
                <w:rFonts w:eastAsia="Times New Roman"/>
                <w:b/>
                <w:color w:val="0000FF"/>
                <w:szCs w:val="24"/>
                <w:lang w:eastAsia="tr-TR"/>
              </w:rPr>
              <w:t>gelir,</w:t>
            </w:r>
            <w:r w:rsidRPr="00A23740">
              <w:rPr>
                <w:szCs w:val="24"/>
              </w:rPr>
              <w:t xml:space="preserve"> intifa hakları ve </w:t>
            </w:r>
            <w:r w:rsidRPr="00A23740">
              <w:rPr>
                <w:rFonts w:eastAsia="Times New Roman"/>
                <w:b/>
                <w:color w:val="0000FF"/>
                <w:szCs w:val="24"/>
                <w:lang w:eastAsia="tr-TR"/>
              </w:rPr>
              <w:t>hasılatı, mahkemece hükmedilmeyen nafakalar, özel</w:t>
            </w:r>
            <w:r w:rsidR="0070238C" w:rsidRPr="00A23740">
              <w:rPr>
                <w:rFonts w:eastAsia="Times New Roman"/>
                <w:b/>
                <w:color w:val="0000FF"/>
                <w:szCs w:val="24"/>
                <w:lang w:eastAsia="tr-TR"/>
              </w:rPr>
              <w:t xml:space="preserve"> </w:t>
            </w:r>
            <w:r w:rsidR="0070238C" w:rsidRPr="00DC7A0B">
              <w:rPr>
                <w:rStyle w:val="YELChar"/>
                <w:color w:val="0000FF"/>
              </w:rPr>
              <w:t>emekli sandıkları</w:t>
            </w:r>
            <w:r w:rsidR="0070238C" w:rsidRPr="00A23740">
              <w:rPr>
                <w:rStyle w:val="YELChar"/>
              </w:rPr>
              <w:t xml:space="preserve"> </w:t>
            </w:r>
            <w:r w:rsidR="0070238C" w:rsidRPr="00A23740">
              <w:t>veya</w:t>
            </w:r>
            <w:r w:rsidRPr="00A23740">
              <w:rPr>
                <w:szCs w:val="24"/>
              </w:rPr>
              <w:t xml:space="preserve"> </w:t>
            </w:r>
            <w:r w:rsidRPr="00A23740">
              <w:rPr>
                <w:rStyle w:val="MaviChar"/>
              </w:rPr>
              <w:t>sigorta</w:t>
            </w:r>
            <w:r w:rsidR="0070238C" w:rsidRPr="00DC7A0B">
              <w:rPr>
                <w:rStyle w:val="YELChar"/>
                <w:color w:val="0000FF"/>
              </w:rPr>
              <w:t>lar</w:t>
            </w:r>
            <w:r w:rsidRPr="00A23740">
              <w:rPr>
                <w:szCs w:val="24"/>
              </w:rPr>
              <w:t xml:space="preserve"> tarafından </w:t>
            </w:r>
            <w:r w:rsidRPr="00A23740">
              <w:rPr>
                <w:rFonts w:eastAsia="Times New Roman"/>
                <w:b/>
                <w:color w:val="0000FF"/>
                <w:szCs w:val="24"/>
                <w:lang w:eastAsia="tr-TR"/>
              </w:rPr>
              <w:t xml:space="preserve">ödenen emekli maaşları borçlu ve ailesinin geçinmeleri için icra </w:t>
            </w:r>
            <w:r w:rsidR="007D74DD" w:rsidRPr="00DC7A0B">
              <w:rPr>
                <w:b/>
                <w:color w:val="0000FF"/>
              </w:rPr>
              <w:t>ve iflas</w:t>
            </w:r>
            <w:r w:rsidR="007D74DD" w:rsidRPr="00A23740">
              <w:rPr>
                <w:b/>
                <w:color w:val="385623"/>
              </w:rPr>
              <w:t xml:space="preserve"> </w:t>
            </w:r>
            <w:r w:rsidRPr="00A23740">
              <w:rPr>
                <w:rFonts w:eastAsia="Times New Roman"/>
                <w:b/>
                <w:color w:val="0000FF"/>
                <w:szCs w:val="24"/>
                <w:lang w:eastAsia="tr-TR"/>
              </w:rPr>
              <w:t>müdürünce gerekli olarak takdir edilen miktar indirildikten sonra ve her h</w:t>
            </w:r>
            <w:r w:rsidR="001D7D44" w:rsidRPr="00A23740">
              <w:rPr>
                <w:rFonts w:eastAsia="Times New Roman"/>
                <w:b/>
                <w:color w:val="0000FF"/>
                <w:szCs w:val="24"/>
                <w:lang w:eastAsia="tr-TR"/>
              </w:rPr>
              <w:t>â</w:t>
            </w:r>
            <w:r w:rsidRPr="00A23740">
              <w:rPr>
                <w:rFonts w:eastAsia="Times New Roman"/>
                <w:b/>
                <w:color w:val="0000FF"/>
                <w:szCs w:val="24"/>
                <w:lang w:eastAsia="tr-TR"/>
              </w:rPr>
              <w:t>lde haczolunacak miktar aşağıda belirtilen oranlardan az olmamak kaydıyla haczedilebilir.</w:t>
            </w:r>
          </w:p>
          <w:p w:rsidR="00F2357B" w:rsidRPr="00A23740" w:rsidRDefault="00F2357B" w:rsidP="000C282A">
            <w:pPr>
              <w:widowControl w:val="0"/>
              <w:tabs>
                <w:tab w:val="left" w:pos="567"/>
              </w:tabs>
              <w:rPr>
                <w:rFonts w:eastAsia="Times New Roman"/>
                <w:b/>
                <w:strike/>
                <w:color w:val="FF0000"/>
                <w:szCs w:val="24"/>
                <w:lang w:eastAsia="tr-TR"/>
              </w:rPr>
            </w:pPr>
          </w:p>
          <w:p w:rsidR="00AA5C8C" w:rsidRPr="00A23740" w:rsidRDefault="00AA5C8C" w:rsidP="000C282A">
            <w:pPr>
              <w:pStyle w:val="Mavi"/>
              <w:widowControl w:val="0"/>
              <w:rPr>
                <w:color w:val="000000"/>
                <w:lang w:val="tr-TR"/>
              </w:rPr>
            </w:pPr>
            <w:r w:rsidRPr="00A23740">
              <w:rPr>
                <w:bdr w:val="none" w:sz="0" w:space="0" w:color="auto" w:frame="1"/>
                <w:lang w:val="tr-TR"/>
              </w:rPr>
              <w:t xml:space="preserve">a) </w:t>
            </w:r>
            <w:r w:rsidRPr="00A23740">
              <w:t>Geliri net asgari</w:t>
            </w:r>
            <w:r w:rsidRPr="00A23740">
              <w:rPr>
                <w:bdr w:val="none" w:sz="0" w:space="0" w:color="auto" w:frame="1"/>
                <w:lang w:val="tr-TR"/>
              </w:rPr>
              <w:t xml:space="preserve"> ücret kadar olanlar için gelirinin onda biri;</w:t>
            </w:r>
            <w:r w:rsidRPr="00A23740">
              <w:rPr>
                <w:rStyle w:val="YELChar"/>
                <w:b/>
              </w:rPr>
              <w:t xml:space="preserve"> </w:t>
            </w:r>
            <w:r w:rsidRPr="00A23740">
              <w:rPr>
                <w:bdr w:val="none" w:sz="0" w:space="0" w:color="auto" w:frame="1"/>
                <w:lang w:val="tr-TR"/>
              </w:rPr>
              <w:t>borçlunun muvafakati ile dahi asgari ücretin bu oranın üstünde kalan kısmı haczedilemez, haciz vuku bulmuş ve ödeme yapılmışsa şik</w:t>
            </w:r>
            <w:r w:rsidR="00407C95" w:rsidRPr="00A23740">
              <w:rPr>
                <w:bdr w:val="none" w:sz="0" w:space="0" w:color="auto" w:frame="1"/>
                <w:lang w:val="tr-TR"/>
              </w:rPr>
              <w:t>â</w:t>
            </w:r>
            <w:r w:rsidRPr="00A23740">
              <w:rPr>
                <w:bdr w:val="none" w:sz="0" w:space="0" w:color="auto" w:frame="1"/>
                <w:lang w:val="tr-TR"/>
              </w:rPr>
              <w:t>yet tarihinden önceki ödemeler geri istenemez.</w:t>
            </w:r>
          </w:p>
          <w:p w:rsidR="00AA5C8C" w:rsidRPr="00A23740" w:rsidRDefault="00AA5C8C" w:rsidP="000C282A">
            <w:pPr>
              <w:pStyle w:val="Mavi"/>
              <w:widowControl w:val="0"/>
              <w:rPr>
                <w:lang w:val="tr-TR"/>
              </w:rPr>
            </w:pPr>
          </w:p>
          <w:p w:rsidR="00AA5C8C" w:rsidRPr="00A23740" w:rsidRDefault="00AA5C8C" w:rsidP="000C282A">
            <w:pPr>
              <w:pStyle w:val="Mavi"/>
              <w:widowControl w:val="0"/>
              <w:rPr>
                <w:lang w:val="tr-TR"/>
              </w:rPr>
            </w:pPr>
            <w:r w:rsidRPr="00A23740">
              <w:rPr>
                <w:lang w:val="tr-TR"/>
              </w:rPr>
              <w:t xml:space="preserve">b) </w:t>
            </w:r>
            <w:r w:rsidRPr="00A23740">
              <w:t>Geliri net asgari</w:t>
            </w:r>
            <w:r w:rsidRPr="00A23740">
              <w:rPr>
                <w:lang w:val="tr-TR"/>
              </w:rPr>
              <w:t xml:space="preserve"> ücretin iki katına kadar olanlar için gelirinin onda ikisi.</w:t>
            </w:r>
          </w:p>
          <w:p w:rsidR="00AA5C8C" w:rsidRPr="00A23740" w:rsidRDefault="00AA5C8C" w:rsidP="000C282A">
            <w:pPr>
              <w:pStyle w:val="NormalWeb"/>
              <w:widowControl w:val="0"/>
              <w:shd w:val="clear" w:color="auto" w:fill="FFFFFF"/>
              <w:spacing w:before="0" w:beforeAutospacing="0" w:after="0"/>
              <w:rPr>
                <w:b/>
                <w:bCs/>
                <w:color w:val="000000"/>
                <w:lang w:val="tr-TR" w:eastAsia="tr-TR"/>
              </w:rPr>
            </w:pPr>
          </w:p>
          <w:p w:rsidR="00AA5C8C" w:rsidRPr="00A23740" w:rsidRDefault="00AA5C8C" w:rsidP="000C282A">
            <w:pPr>
              <w:pStyle w:val="Mavi"/>
              <w:widowControl w:val="0"/>
            </w:pPr>
            <w:r w:rsidRPr="00A23740">
              <w:rPr>
                <w:bdr w:val="none" w:sz="0" w:space="0" w:color="auto" w:frame="1"/>
                <w:lang w:val="tr-TR"/>
              </w:rPr>
              <w:t xml:space="preserve">c) Geliri </w:t>
            </w:r>
            <w:r w:rsidRPr="00A23740">
              <w:t>net asgari</w:t>
            </w:r>
            <w:r w:rsidRPr="00A23740">
              <w:rPr>
                <w:bdr w:val="none" w:sz="0" w:space="0" w:color="auto" w:frame="1"/>
                <w:lang w:val="tr-TR"/>
              </w:rPr>
              <w:t xml:space="preserve"> ücretin üç katına kadar olanlar için gelirinin onda üçü.</w:t>
            </w:r>
          </w:p>
          <w:p w:rsidR="00AA5C8C" w:rsidRPr="00A23740" w:rsidRDefault="00AA5C8C" w:rsidP="000C282A">
            <w:pPr>
              <w:pStyle w:val="NormalWeb"/>
              <w:widowControl w:val="0"/>
              <w:shd w:val="clear" w:color="auto" w:fill="FFFFFF"/>
              <w:spacing w:before="0" w:beforeAutospacing="0" w:after="0"/>
              <w:rPr>
                <w:b/>
                <w:bCs/>
                <w:color w:val="000000"/>
                <w:lang w:val="tr-TR" w:eastAsia="tr-TR"/>
              </w:rPr>
            </w:pPr>
            <w:r w:rsidRPr="00A23740">
              <w:rPr>
                <w:b/>
                <w:bCs/>
                <w:color w:val="000000"/>
                <w:lang w:val="tr-TR" w:eastAsia="tr-TR"/>
              </w:rPr>
              <w:t> </w:t>
            </w:r>
          </w:p>
          <w:p w:rsidR="00AA5C8C" w:rsidRPr="00A23740" w:rsidRDefault="00AA5C8C" w:rsidP="000C282A">
            <w:pPr>
              <w:pStyle w:val="Mavi"/>
              <w:widowControl w:val="0"/>
              <w:rPr>
                <w:color w:val="000000"/>
              </w:rPr>
            </w:pPr>
            <w:r w:rsidRPr="00A23740">
              <w:rPr>
                <w:bdr w:val="none" w:sz="0" w:space="0" w:color="auto" w:frame="1"/>
              </w:rPr>
              <w:t xml:space="preserve">ç) Geliri </w:t>
            </w:r>
            <w:r w:rsidRPr="00A23740">
              <w:t>net asgari</w:t>
            </w:r>
            <w:r w:rsidRPr="00A23740">
              <w:rPr>
                <w:bdr w:val="none" w:sz="0" w:space="0" w:color="auto" w:frame="1"/>
              </w:rPr>
              <w:t xml:space="preserve"> ücretin beş katına kadar olanlar için gelirinin onda dördü.</w:t>
            </w:r>
          </w:p>
          <w:p w:rsidR="00AA5C8C" w:rsidRPr="00A23740" w:rsidRDefault="00AA5C8C" w:rsidP="000C282A">
            <w:pPr>
              <w:pStyle w:val="NormalWeb"/>
              <w:widowControl w:val="0"/>
              <w:shd w:val="clear" w:color="auto" w:fill="FFFFFF"/>
              <w:spacing w:before="0" w:beforeAutospacing="0" w:after="0"/>
              <w:rPr>
                <w:b/>
                <w:bCs/>
                <w:color w:val="000000"/>
                <w:lang w:val="tr-TR" w:eastAsia="tr-TR"/>
              </w:rPr>
            </w:pPr>
            <w:r w:rsidRPr="00A23740">
              <w:rPr>
                <w:b/>
                <w:bCs/>
                <w:color w:val="000000"/>
                <w:lang w:val="tr-TR" w:eastAsia="tr-TR"/>
              </w:rPr>
              <w:t> </w:t>
            </w:r>
          </w:p>
          <w:p w:rsidR="00AA5C8C" w:rsidRPr="00A23740" w:rsidRDefault="00AA5C8C" w:rsidP="000C282A">
            <w:pPr>
              <w:pStyle w:val="Mavi"/>
              <w:widowControl w:val="0"/>
              <w:rPr>
                <w:lang w:val="tr-TR"/>
              </w:rPr>
            </w:pPr>
            <w:r w:rsidRPr="00A23740">
              <w:rPr>
                <w:bdr w:val="none" w:sz="0" w:space="0" w:color="auto" w:frame="1"/>
                <w:lang w:val="tr-TR"/>
              </w:rPr>
              <w:t xml:space="preserve">d) Geliri </w:t>
            </w:r>
            <w:r w:rsidRPr="00A23740">
              <w:t>net asgari</w:t>
            </w:r>
            <w:r w:rsidRPr="00A23740">
              <w:rPr>
                <w:lang w:val="tr-TR"/>
              </w:rPr>
              <w:t xml:space="preserve"> ücretin yedi katına kadar olanlar için gelirinin onda beşi.</w:t>
            </w:r>
          </w:p>
          <w:p w:rsidR="00AA5C8C" w:rsidRPr="00A23740" w:rsidRDefault="00AA5C8C" w:rsidP="000C282A">
            <w:pPr>
              <w:pStyle w:val="NormalWeb"/>
              <w:widowControl w:val="0"/>
              <w:shd w:val="clear" w:color="auto" w:fill="FFFFFF"/>
              <w:spacing w:before="0" w:beforeAutospacing="0" w:after="0"/>
              <w:rPr>
                <w:b/>
                <w:bCs/>
                <w:color w:val="000000"/>
                <w:lang w:val="tr-TR" w:eastAsia="tr-TR"/>
              </w:rPr>
            </w:pPr>
          </w:p>
          <w:p w:rsidR="00AA5C8C" w:rsidRPr="00A23740" w:rsidRDefault="00AA5C8C" w:rsidP="000C282A">
            <w:pPr>
              <w:pStyle w:val="Mavi"/>
              <w:widowControl w:val="0"/>
              <w:rPr>
                <w:color w:val="000000"/>
              </w:rPr>
            </w:pPr>
            <w:r w:rsidRPr="00A23740">
              <w:rPr>
                <w:bdr w:val="none" w:sz="0" w:space="0" w:color="auto" w:frame="1"/>
              </w:rPr>
              <w:t xml:space="preserve">e) Geliri </w:t>
            </w:r>
            <w:r w:rsidRPr="00A23740">
              <w:t>net asgari</w:t>
            </w:r>
            <w:r w:rsidRPr="00A23740">
              <w:rPr>
                <w:bdr w:val="none" w:sz="0" w:space="0" w:color="auto" w:frame="1"/>
              </w:rPr>
              <w:t xml:space="preserve"> ücretin dokuz katı ve fazla olanlar için gelirinin onda altısı.</w:t>
            </w:r>
          </w:p>
          <w:p w:rsidR="00AA5C8C" w:rsidRPr="00A23740" w:rsidRDefault="00AA5C8C" w:rsidP="000C282A">
            <w:pPr>
              <w:pStyle w:val="KIRMIZI"/>
              <w:widowControl w:val="0"/>
              <w:rPr>
                <w:bdr w:val="none" w:sz="0" w:space="0" w:color="auto" w:frame="1"/>
              </w:rPr>
            </w:pPr>
          </w:p>
          <w:p w:rsidR="00AA5C8C" w:rsidRPr="00A23740" w:rsidRDefault="00AA5C8C" w:rsidP="000C282A">
            <w:pPr>
              <w:pStyle w:val="NormalWeb"/>
              <w:widowControl w:val="0"/>
              <w:shd w:val="clear" w:color="auto" w:fill="FFFFFF"/>
              <w:spacing w:before="0" w:beforeAutospacing="0" w:after="0"/>
              <w:rPr>
                <w:b/>
                <w:color w:val="0000FF"/>
                <w:lang w:val="tr-TR" w:eastAsia="tr-TR"/>
              </w:rPr>
            </w:pPr>
            <w:r w:rsidRPr="00A23740">
              <w:rPr>
                <w:rStyle w:val="MaviChar"/>
              </w:rPr>
              <w:t>(2)</w:t>
            </w:r>
            <w:r w:rsidR="00496E25" w:rsidRPr="00A23740">
              <w:rPr>
                <w:rStyle w:val="MaviChar"/>
                <w:lang w:val="tr-TR"/>
              </w:rPr>
              <w:t xml:space="preserve"> </w:t>
            </w:r>
            <w:r w:rsidR="00496E25" w:rsidRPr="00DC7A0B">
              <w:rPr>
                <w:rStyle w:val="YELChar"/>
                <w:color w:val="0000FF"/>
              </w:rPr>
              <w:t>Birinci fıkrada belirtilen hak ve alacaklar üzerinde</w:t>
            </w:r>
            <w:r w:rsidR="00496E25" w:rsidRPr="00A23740">
              <w:rPr>
                <w:rStyle w:val="MaviChar"/>
                <w:lang w:val="tr-TR"/>
              </w:rPr>
              <w:t xml:space="preserve"> </w:t>
            </w:r>
            <w:r w:rsidR="00496E25" w:rsidRPr="00A23740">
              <w:rPr>
                <w:lang w:val="tr-TR"/>
              </w:rPr>
              <w:t xml:space="preserve">birden </w:t>
            </w:r>
            <w:r w:rsidRPr="00A23740">
              <w:rPr>
                <w:lang w:val="tr-TR"/>
              </w:rPr>
              <w:t>fazla haciz var</w:t>
            </w:r>
            <w:r w:rsidRPr="00A23740">
              <w:rPr>
                <w:rStyle w:val="MaviChar"/>
                <w:lang w:val="tr-TR"/>
              </w:rPr>
              <w:t>sa</w:t>
            </w:r>
            <w:r w:rsidRPr="00A23740">
              <w:rPr>
                <w:rStyle w:val="MaviChar"/>
                <w:rFonts w:eastAsia="ヒラギノ明朝 Pro W3"/>
              </w:rPr>
              <w:t>, bu hacizler</w:t>
            </w:r>
            <w:r w:rsidRPr="00A23740">
              <w:rPr>
                <w:rStyle w:val="YELChar"/>
              </w:rPr>
              <w:t xml:space="preserve"> </w:t>
            </w:r>
            <w:r w:rsidRPr="00A23740">
              <w:rPr>
                <w:lang w:val="tr-TR"/>
              </w:rPr>
              <w:t>sıraya konur. Sırada önde olan haczin kesintisi bitmedikçe sonraki haciz için kesintiye geçilemez.</w:t>
            </w:r>
          </w:p>
          <w:p w:rsidR="00AA5C8C" w:rsidRPr="00A23740" w:rsidRDefault="00AA5C8C" w:rsidP="000C282A">
            <w:pPr>
              <w:pStyle w:val="NormalWeb"/>
              <w:widowControl w:val="0"/>
              <w:shd w:val="clear" w:color="auto" w:fill="FFFFFF"/>
              <w:spacing w:before="0" w:beforeAutospacing="0" w:after="0"/>
              <w:rPr>
                <w:b/>
                <w:color w:val="0000FF"/>
                <w:lang w:val="tr-TR" w:eastAsia="tr-TR"/>
              </w:rPr>
            </w:pPr>
          </w:p>
          <w:p w:rsidR="00AA5C8C" w:rsidRPr="00A23740" w:rsidRDefault="00AA5C8C" w:rsidP="000C282A">
            <w:pPr>
              <w:pStyle w:val="Mavi"/>
              <w:widowControl w:val="0"/>
            </w:pPr>
            <w:r w:rsidRPr="00A23740">
              <w:t xml:space="preserve">(3) Bu madde uyarınca asgari ücrete göre haczedilecek miktarlar, </w:t>
            </w:r>
            <w:r w:rsidR="00EF7E58" w:rsidRPr="00DC7A0B">
              <w:t>Adalet Bakanlığı</w:t>
            </w:r>
            <w:r w:rsidR="00EF7E58" w:rsidRPr="00A23740">
              <w:t xml:space="preserve"> </w:t>
            </w:r>
            <w:r w:rsidRPr="00A23740">
              <w:t>tarafından hesaplanarak</w:t>
            </w:r>
            <w:r w:rsidRPr="00A23740">
              <w:rPr>
                <w:lang w:val="tr-TR"/>
              </w:rPr>
              <w:t xml:space="preserve"> </w:t>
            </w:r>
            <w:r w:rsidRPr="00A23740">
              <w:t>icra</w:t>
            </w:r>
            <w:r w:rsidRPr="00A23740">
              <w:rPr>
                <w:lang w:val="tr-TR"/>
              </w:rPr>
              <w:t xml:space="preserve"> </w:t>
            </w:r>
            <w:r w:rsidRPr="00A23740">
              <w:t>ve iflas dairelerine duyurulur.</w:t>
            </w:r>
          </w:p>
          <w:p w:rsidR="00AA5C8C" w:rsidRPr="00A23740" w:rsidRDefault="00AA5C8C" w:rsidP="000C282A">
            <w:pPr>
              <w:widowControl w:val="0"/>
              <w:tabs>
                <w:tab w:val="left" w:pos="567"/>
              </w:tabs>
              <w:rPr>
                <w:rFonts w:eastAsia="Times New Roman"/>
                <w:b/>
                <w:color w:val="0000FF"/>
                <w:szCs w:val="24"/>
                <w:lang w:eastAsia="tr-TR"/>
              </w:rPr>
            </w:pPr>
          </w:p>
          <w:p w:rsidR="00AA5C8C" w:rsidRPr="00A23740" w:rsidRDefault="00AA5C8C" w:rsidP="000C282A">
            <w:pPr>
              <w:pStyle w:val="Mavi"/>
              <w:widowControl w:val="0"/>
            </w:pPr>
            <w:r w:rsidRPr="00A23740">
              <w:t xml:space="preserve">(4) </w:t>
            </w:r>
            <w:r w:rsidRPr="00A23740">
              <w:rPr>
                <w:lang w:val="tr-TR"/>
              </w:rPr>
              <w:t>H</w:t>
            </w:r>
            <w:r w:rsidRPr="00A23740">
              <w:t>aczin devamı sırasında, haczedilebilen miktara ilişkin koşulların değişmesi h</w:t>
            </w:r>
            <w:r w:rsidR="001D7D44" w:rsidRPr="00A23740">
              <w:rPr>
                <w:lang w:val="tr-TR"/>
              </w:rPr>
              <w:t>â</w:t>
            </w:r>
            <w:r w:rsidRPr="00A23740">
              <w:t>linde, haciz,</w:t>
            </w:r>
            <w:r w:rsidRPr="00A23740">
              <w:rPr>
                <w:lang w:val="tr-TR"/>
              </w:rPr>
              <w:t xml:space="preserve"> </w:t>
            </w:r>
            <w:r w:rsidRPr="00A23740">
              <w:t>bu yeni duruma uygun h</w:t>
            </w:r>
            <w:r w:rsidR="001D7D44" w:rsidRPr="00A23740">
              <w:rPr>
                <w:lang w:val="tr-TR"/>
              </w:rPr>
              <w:t>â</w:t>
            </w:r>
            <w:r w:rsidRPr="00A23740">
              <w:t>le getirilir.</w:t>
            </w:r>
          </w:p>
          <w:p w:rsidR="00AA5C8C" w:rsidRPr="00A23740" w:rsidRDefault="00AA5C8C" w:rsidP="000C282A">
            <w:pPr>
              <w:widowControl w:val="0"/>
              <w:tabs>
                <w:tab w:val="left" w:pos="567"/>
              </w:tabs>
              <w:rPr>
                <w:rFonts w:eastAsia="Times New Roman"/>
                <w:szCs w:val="24"/>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A43FD" w:rsidRPr="00A23740" w:rsidRDefault="00BA43FD" w:rsidP="009431FF">
            <w:pPr>
              <w:tabs>
                <w:tab w:val="left" w:pos="567"/>
              </w:tabs>
              <w:ind w:firstLine="709"/>
              <w:rPr>
                <w:b/>
              </w:rPr>
            </w:pPr>
          </w:p>
          <w:p w:rsidR="00BA43FD" w:rsidRPr="00A23740" w:rsidRDefault="0070238C" w:rsidP="009431FF">
            <w:pPr>
              <w:tabs>
                <w:tab w:val="left" w:pos="567"/>
              </w:tabs>
              <w:ind w:firstLine="709"/>
              <w:rPr>
                <w:rFonts w:eastAsia="Times New Roman"/>
                <w:szCs w:val="24"/>
                <w:lang w:eastAsia="tr-TR"/>
              </w:rPr>
            </w:pPr>
            <w:r w:rsidRPr="00A23740">
              <w:rPr>
                <w:b/>
              </w:rPr>
              <w:t>MADDE 162</w:t>
            </w:r>
            <w:r w:rsidR="000C282A">
              <w:rPr>
                <w:b/>
              </w:rPr>
              <w:t>-</w:t>
            </w:r>
            <w:r w:rsidR="00B62391" w:rsidRPr="00A23740">
              <w:rPr>
                <w:b/>
              </w:rPr>
              <w:t xml:space="preserve"> </w:t>
            </w:r>
            <w:r w:rsidR="00BA43FD" w:rsidRPr="00A23740">
              <w:rPr>
                <w:bCs/>
                <w:color w:val="000000"/>
                <w:szCs w:val="24"/>
                <w:lang w:eastAsia="x-none"/>
              </w:rPr>
              <w:t xml:space="preserve">Maddeyle, </w:t>
            </w:r>
            <w:r w:rsidR="00BA43FD" w:rsidRPr="00A23740">
              <w:rPr>
                <w:rFonts w:eastAsia="Times New Roman"/>
                <w:szCs w:val="24"/>
                <w:lang w:eastAsia="tr-TR"/>
              </w:rPr>
              <w:t xml:space="preserve">kısmen </w:t>
            </w:r>
            <w:r w:rsidR="00BA43FD" w:rsidRPr="00A23740">
              <w:rPr>
                <w:bCs/>
                <w:color w:val="000000"/>
                <w:szCs w:val="24"/>
                <w:lang w:eastAsia="x-none"/>
              </w:rPr>
              <w:t>haczedilebilen mal, hak ve alacaklar düzenlenmektedir. Hüküm, 2004 sayılı Kanunun 83 üncü maddesine karşılık gelmektedir.</w:t>
            </w:r>
          </w:p>
          <w:p w:rsidR="00B62391" w:rsidRPr="00A23740" w:rsidRDefault="00B62391" w:rsidP="009431FF">
            <w:pPr>
              <w:ind w:firstLine="709"/>
              <w:rPr>
                <w:lang w:eastAsia="tr-TR"/>
              </w:rPr>
            </w:pPr>
            <w:r w:rsidRPr="00A23740">
              <w:rPr>
                <w:lang w:eastAsia="tr-TR"/>
              </w:rPr>
              <w:t>Birinci fıkra</w:t>
            </w:r>
            <w:r w:rsidR="00A3775A" w:rsidRPr="00A23740">
              <w:rPr>
                <w:lang w:eastAsia="tr-TR"/>
              </w:rPr>
              <w:t>da</w:t>
            </w:r>
            <w:r w:rsidRPr="00A23740">
              <w:rPr>
                <w:lang w:eastAsia="tr-TR"/>
              </w:rPr>
              <w:t xml:space="preserve"> borçlunun kısmi olarak haczedilebilecek mal, hak ve alacakları</w:t>
            </w:r>
            <w:r w:rsidR="00A3775A" w:rsidRPr="00A23740">
              <w:rPr>
                <w:lang w:eastAsia="tr-TR"/>
              </w:rPr>
              <w:t xml:space="preserve"> belirlenmekte</w:t>
            </w:r>
            <w:r w:rsidRPr="00A23740">
              <w:rPr>
                <w:lang w:eastAsia="tr-TR"/>
              </w:rPr>
              <w:t xml:space="preserve"> ve haciz işlemi yapılırken icra ve iflas dairesi tarafından haczin tatbik edileceği miktarın belirlenmesi için dikkat </w:t>
            </w:r>
            <w:r w:rsidR="00A3775A" w:rsidRPr="00A23740">
              <w:rPr>
                <w:lang w:eastAsia="tr-TR"/>
              </w:rPr>
              <w:t xml:space="preserve">edilmesi </w:t>
            </w:r>
            <w:r w:rsidRPr="00A23740">
              <w:rPr>
                <w:lang w:eastAsia="tr-TR"/>
              </w:rPr>
              <w:t>gereken hususlar</w:t>
            </w:r>
            <w:r w:rsidR="00A3775A" w:rsidRPr="00A23740">
              <w:rPr>
                <w:lang w:eastAsia="tr-TR"/>
              </w:rPr>
              <w:t xml:space="preserve"> düzenlenmiştir</w:t>
            </w:r>
            <w:r w:rsidRPr="00A23740">
              <w:rPr>
                <w:lang w:eastAsia="tr-TR"/>
              </w:rPr>
              <w:t>.</w:t>
            </w:r>
          </w:p>
          <w:p w:rsidR="00B62391" w:rsidRPr="00A23740" w:rsidRDefault="00B62391" w:rsidP="009431FF">
            <w:pPr>
              <w:ind w:firstLine="709"/>
              <w:rPr>
                <w:lang w:eastAsia="tr-TR"/>
              </w:rPr>
            </w:pPr>
            <w:r w:rsidRPr="00A23740">
              <w:rPr>
                <w:lang w:eastAsia="tr-TR"/>
              </w:rPr>
              <w:t xml:space="preserve">İkinci fıkrayla bu madde kapsamında kısmi olarak </w:t>
            </w:r>
            <w:r w:rsidR="00A3775A" w:rsidRPr="00A23740">
              <w:rPr>
                <w:lang w:eastAsia="tr-TR"/>
              </w:rPr>
              <w:t xml:space="preserve">haczedilen hak ve alacaklar üzerinde </w:t>
            </w:r>
            <w:r w:rsidRPr="00A23740">
              <w:rPr>
                <w:lang w:eastAsia="tr-TR"/>
              </w:rPr>
              <w:t>birden fazla haciz bulunması hâlinde kesintilerin sırası düzenlenmiştir.</w:t>
            </w:r>
          </w:p>
          <w:p w:rsidR="00B62391" w:rsidRPr="00A23740" w:rsidRDefault="00B62391" w:rsidP="009431FF">
            <w:pPr>
              <w:ind w:firstLine="709"/>
            </w:pPr>
            <w:r w:rsidRPr="00A23740">
              <w:t>Üçüncü fıkrayla asgari ücrete ilişkin olarak haczedilebilecek miktarların</w:t>
            </w:r>
            <w:r w:rsidR="00226991" w:rsidRPr="00A23740">
              <w:t xml:space="preserve"> </w:t>
            </w:r>
            <w:r w:rsidR="00226991" w:rsidRPr="00DC7A0B">
              <w:rPr>
                <w:lang w:eastAsia="tr-TR"/>
              </w:rPr>
              <w:t>Adalet Bakanlığı</w:t>
            </w:r>
            <w:r w:rsidRPr="00A23740">
              <w:t xml:space="preserve"> tarafından belirleneceği </w:t>
            </w:r>
            <w:r w:rsidR="00A3775A" w:rsidRPr="00A23740">
              <w:t xml:space="preserve">hüküm </w:t>
            </w:r>
            <w:r w:rsidRPr="00A23740">
              <w:t>altına alınmıştır.</w:t>
            </w:r>
          </w:p>
          <w:p w:rsidR="00BA43FD" w:rsidRPr="00A23740" w:rsidRDefault="00B62391" w:rsidP="009431FF">
            <w:pPr>
              <w:ind w:firstLine="709"/>
              <w:rPr>
                <w:lang w:eastAsia="tr-TR"/>
              </w:rPr>
            </w:pPr>
            <w:r w:rsidRPr="00A23740">
              <w:rPr>
                <w:lang w:eastAsia="tr-TR"/>
              </w:rPr>
              <w:t xml:space="preserve">Dördüncü fıkrayla haczin devamı sırasında haczedilebilecek miktara ilişkin koşulların değişmesi hâlinde haczin uyarlanacağı </w:t>
            </w:r>
            <w:r w:rsidR="00A3775A" w:rsidRPr="00A23740">
              <w:rPr>
                <w:lang w:eastAsia="tr-TR"/>
              </w:rPr>
              <w:t xml:space="preserve"> açıklanmıştır</w:t>
            </w:r>
            <w:r w:rsidRPr="00A23740">
              <w:rPr>
                <w:lang w:eastAsia="tr-TR"/>
              </w:rPr>
              <w:t>.</w:t>
            </w:r>
          </w:p>
          <w:p w:rsidR="00B62391" w:rsidRPr="00A23740" w:rsidRDefault="00B62391" w:rsidP="009431FF">
            <w:pPr>
              <w:tabs>
                <w:tab w:val="left" w:pos="567"/>
              </w:tabs>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r w:rsidRPr="00A23740">
              <w:rPr>
                <w:rFonts w:eastAsia="Times New Roman"/>
                <w:i/>
                <w:szCs w:val="24"/>
                <w:lang w:eastAsia="tr-TR"/>
              </w:rPr>
              <w:t xml:space="preserve">Maaş ve ücretlerin </w:t>
            </w:r>
            <w:r w:rsidRPr="00A23740">
              <w:rPr>
                <w:rStyle w:val="KIRMIZIChar"/>
                <w:rFonts w:eastAsia="Calibri"/>
              </w:rPr>
              <w:t>kesilmesinde</w:t>
            </w:r>
            <w:r w:rsidRPr="00A23740">
              <w:rPr>
                <w:rFonts w:eastAsia="Times New Roman"/>
                <w:i/>
                <w:szCs w:val="24"/>
                <w:lang w:eastAsia="tr-TR"/>
              </w:rPr>
              <w:t xml:space="preserve"> usul</w:t>
            </w:r>
            <w:r w:rsidRPr="00A23740">
              <w:rPr>
                <w:rStyle w:val="KIRMIZIChar"/>
                <w:rFonts w:eastAsia="Calibri"/>
              </w:rPr>
              <w:t xml:space="preserve"> :</w:t>
            </w:r>
          </w:p>
          <w:p w:rsidR="00AA5C8C" w:rsidRPr="00A23740" w:rsidRDefault="00AA5C8C" w:rsidP="009431FF">
            <w:pPr>
              <w:pStyle w:val="KIRMIZI"/>
              <w:rPr>
                <w:lang w:val="tr-TR"/>
              </w:rPr>
            </w:pPr>
            <w:r w:rsidRPr="00117C4A">
              <w:rPr>
                <w:rStyle w:val="KIRMIZIChar"/>
                <w:rFonts w:eastAsia="Calibri"/>
                <w:b/>
                <w:lang w:val="tr-TR"/>
              </w:rPr>
              <w:t>Madde 355 – (1)</w:t>
            </w:r>
            <w:r w:rsidRPr="00A23740">
              <w:rPr>
                <w:lang w:val="tr-TR"/>
              </w:rPr>
              <w:t xml:space="preserve"> Devlet işlerinde veya hususi müesseselerde bulunan borçlu memur veya müstahdemlerin maaş ve ücretlerinden kesilmesi için icra dairelerinden yapılacak tebligatın kanuni muhatapları haczin icra edildiğini ve borçlunun maaş ve ücreti miktarını nihayet bir hafta içinde bildirmeğe ve borç bitinceye kadar icra dairesinin tebligatı mucibince haczolunan miktarı tevkif edip hemen daireye göndermeğe mecburdurlar.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117C4A">
              <w:rPr>
                <w:rStyle w:val="KIRMIZIChar"/>
                <w:rFonts w:eastAsia="Calibri"/>
                <w:b/>
                <w:lang w:val="tr-TR"/>
              </w:rPr>
              <w:t>(2)</w:t>
            </w:r>
            <w:r w:rsidRPr="00117C4A">
              <w:rPr>
                <w:b w:val="0"/>
                <w:lang w:val="tr-TR"/>
              </w:rPr>
              <w:t xml:space="preserve"> M</w:t>
            </w:r>
            <w:r w:rsidRPr="00A23740">
              <w:rPr>
                <w:lang w:val="tr-TR"/>
              </w:rPr>
              <w:t>emurun maaş, ücret veya memuriyetinde yahut başka bir şubeden maaş almağı mucip olacak surette vukubulacak tebeddülleri ve hizmetine nihayet verildiği takdirde bu keyfiyeti de malmemuru veya daire amiri yahut hususi müesseselerin kanuni muhatapları derhal icra dairesine bildirmeğe ve ikinci halde haciz muamelesinden o şube veya amirini haberdar etmeğe mecburdur.</w:t>
            </w: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pStyle w:val="KIRMIZI"/>
            </w:pPr>
            <w:r w:rsidRPr="00A23740">
              <w:t>Yukarıdaki maddeye riayet etmeyenler hakkında hükümler:</w:t>
            </w:r>
          </w:p>
          <w:p w:rsidR="00AA5C8C" w:rsidRPr="00A23740" w:rsidRDefault="00AA5C8C" w:rsidP="009431FF">
            <w:pPr>
              <w:pStyle w:val="KIRMIZI"/>
              <w:rPr>
                <w:lang w:val="tr-TR"/>
              </w:rPr>
            </w:pPr>
            <w:r w:rsidRPr="00117C4A">
              <w:rPr>
                <w:rStyle w:val="KIRMIZIChar"/>
                <w:rFonts w:eastAsia="Calibri"/>
                <w:b/>
                <w:lang w:val="tr-TR"/>
              </w:rPr>
              <w:t>Madde 356 – (1)</w:t>
            </w:r>
            <w:r w:rsidRPr="00117C4A">
              <w:rPr>
                <w:b w:val="0"/>
                <w:lang w:val="tr-TR"/>
              </w:rPr>
              <w:t xml:space="preserve"> </w:t>
            </w:r>
            <w:r w:rsidRPr="00A23740">
              <w:rPr>
                <w:lang w:val="tr-TR"/>
              </w:rPr>
              <w:t>Yukardaki madde hükümlerine riayet etmemiş olanların kesmedikleri veya ilk vasıta ile göndermedikleri para ayrıca mahkemeden hüküm alınmasına hacet kalmaksızın icra dairesince maaşlarından veya sair mallarından alınır.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117C4A">
              <w:rPr>
                <w:rStyle w:val="KIRMIZIChar"/>
                <w:rFonts w:eastAsia="Calibri"/>
                <w:b/>
                <w:lang w:val="tr-TR"/>
              </w:rPr>
              <w:t>(2)</w:t>
            </w:r>
            <w:r w:rsidRPr="00A23740">
              <w:rPr>
                <w:lang w:val="tr-TR"/>
              </w:rPr>
              <w:t xml:space="preserve"> Bunların borçluya kanun hükümleri dairesinde rücu hakkı vardır.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117C4A">
              <w:rPr>
                <w:rStyle w:val="KIRMIZIChar"/>
                <w:rFonts w:eastAsia="Calibri"/>
                <w:b/>
                <w:lang w:val="tr-TR"/>
              </w:rPr>
              <w:t>(3)</w:t>
            </w:r>
            <w:r w:rsidRPr="00117C4A">
              <w:rPr>
                <w:b w:val="0"/>
                <w:lang w:val="tr-TR"/>
              </w:rPr>
              <w:t xml:space="preserve"> </w:t>
            </w:r>
            <w:r w:rsidRPr="00A23740">
              <w:rPr>
                <w:lang w:val="tr-TR"/>
              </w:rPr>
              <w:t>Yukarki madde hükümlerine riayet etmiyen her hangi bir memur veya amir hakkında istenecek malümatın icra dairesine hemen verilmesi bunların mensup olduğu dairenin vazifesidir.</w:t>
            </w: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Maaş ve ücretlerin </w:t>
            </w:r>
            <w:r w:rsidRPr="00A23740">
              <w:rPr>
                <w:rStyle w:val="MaviChar"/>
                <w:lang w:val="tr-TR"/>
              </w:rPr>
              <w:t>haczinde</w:t>
            </w:r>
            <w:r w:rsidRPr="00A23740">
              <w:rPr>
                <w:rFonts w:eastAsia="Times New Roman"/>
                <w:b/>
                <w:szCs w:val="24"/>
                <w:lang w:eastAsia="tr-TR"/>
              </w:rPr>
              <w:t xml:space="preserve"> usul</w:t>
            </w:r>
          </w:p>
          <w:p w:rsidR="00AA5C8C" w:rsidRPr="00A23740" w:rsidRDefault="006F2298" w:rsidP="009431FF">
            <w:pPr>
              <w:pStyle w:val="Mavi"/>
              <w:rPr>
                <w:rStyle w:val="KIRMIZIChar"/>
                <w:rFonts w:eastAsia="Calibri"/>
              </w:rPr>
            </w:pPr>
            <w:r w:rsidRPr="00A23740">
              <w:rPr>
                <w:rStyle w:val="MAVChar"/>
                <w:rFonts w:eastAsia="Calibri"/>
                <w:b/>
                <w:u w:val="none"/>
              </w:rPr>
              <w:t>MADDE 1</w:t>
            </w:r>
            <w:r w:rsidRPr="00A23740">
              <w:rPr>
                <w:rStyle w:val="MAVChar"/>
                <w:rFonts w:eastAsia="Calibri"/>
                <w:b/>
                <w:u w:val="none"/>
                <w:lang w:val="tr-TR"/>
              </w:rPr>
              <w:t>63</w:t>
            </w:r>
            <w:r w:rsidR="00AA5C8C" w:rsidRPr="00A23740">
              <w:rPr>
                <w:b w:val="0"/>
              </w:rPr>
              <w:t>-</w:t>
            </w:r>
            <w:r w:rsidR="00AA5C8C" w:rsidRPr="00A23740">
              <w:t xml:space="preserve"> (1) Borçlunun kamu kurum veya kuruluşları ya da bir işveren nezdinde çalışması h</w:t>
            </w:r>
            <w:r w:rsidR="001D7D44" w:rsidRPr="00A23740">
              <w:rPr>
                <w:lang w:val="tr-TR"/>
              </w:rPr>
              <w:t>â</w:t>
            </w:r>
            <w:r w:rsidR="00AA5C8C" w:rsidRPr="00A23740">
              <w:t>linde icra ve iflas</w:t>
            </w:r>
            <w:r w:rsidR="00AA5C8C" w:rsidRPr="00A23740">
              <w:rPr>
                <w:lang w:val="tr-TR"/>
              </w:rPr>
              <w:t xml:space="preserve"> </w:t>
            </w:r>
            <w:r w:rsidR="00AA5C8C" w:rsidRPr="00A23740">
              <w:t>dairesi, ilgili kamu kurum veya kuruluşundan ya da işverenden borçlunun maaş veya ücret miktarının bir hafta içinde bildirilmesini ve borç bitinceye kadar icra ve iflas</w:t>
            </w:r>
            <w:r w:rsidR="00AA5C8C" w:rsidRPr="00A23740">
              <w:rPr>
                <w:lang w:val="tr-TR"/>
              </w:rPr>
              <w:t xml:space="preserve"> </w:t>
            </w:r>
            <w:r w:rsidR="00AA5C8C" w:rsidRPr="00A23740">
              <w:t>dairesinin kararı gereğince</w:t>
            </w:r>
            <w:r w:rsidR="00F7289B" w:rsidRPr="00A23740">
              <w:rPr>
                <w:lang w:val="tr-TR"/>
              </w:rPr>
              <w:t xml:space="preserve"> </w:t>
            </w:r>
            <w:r w:rsidR="00F7289B" w:rsidRPr="00DC7A0B">
              <w:rPr>
                <w:rStyle w:val="YELChar"/>
                <w:b/>
                <w:color w:val="0000FF"/>
              </w:rPr>
              <w:t>bu</w:t>
            </w:r>
            <w:r w:rsidR="00F7289B" w:rsidRPr="00DC7A0B">
              <w:rPr>
                <w:rStyle w:val="YELChar"/>
                <w:b/>
                <w:color w:val="0000FF"/>
                <w:lang w:val="tr-TR"/>
              </w:rPr>
              <w:t xml:space="preserve"> maaş</w:t>
            </w:r>
            <w:r w:rsidR="00F7289B" w:rsidRPr="00DC7A0B">
              <w:rPr>
                <w:rStyle w:val="YELChar"/>
                <w:b/>
                <w:color w:val="0000FF"/>
              </w:rPr>
              <w:t xml:space="preserve"> veya</w:t>
            </w:r>
            <w:r w:rsidR="00F7289B" w:rsidRPr="00DC7A0B">
              <w:rPr>
                <w:b w:val="0"/>
                <w:lang w:val="tr-TR"/>
              </w:rPr>
              <w:t xml:space="preserve"> </w:t>
            </w:r>
            <w:r w:rsidR="00F7289B" w:rsidRPr="00DC7A0B">
              <w:rPr>
                <w:rStyle w:val="YELChar"/>
                <w:b/>
                <w:color w:val="0000FF"/>
              </w:rPr>
              <w:t>ücretin</w:t>
            </w:r>
            <w:r w:rsidR="00AA5C8C" w:rsidRPr="00A23740">
              <w:t xml:space="preserve"> haczolunan</w:t>
            </w:r>
            <w:r w:rsidR="00F7289B" w:rsidRPr="00A23740">
              <w:rPr>
                <w:lang w:val="tr-TR"/>
              </w:rPr>
              <w:t xml:space="preserve"> </w:t>
            </w:r>
            <w:r w:rsidR="00F7289B" w:rsidRPr="00DC7A0B">
              <w:rPr>
                <w:rStyle w:val="YELChar"/>
                <w:b/>
                <w:color w:val="0000FF"/>
              </w:rPr>
              <w:t>oranda</w:t>
            </w:r>
            <w:r w:rsidR="00AA5C8C" w:rsidRPr="00A23740">
              <w:t xml:space="preserve"> kesilip icra ve iflas</w:t>
            </w:r>
            <w:r w:rsidR="00AA5C8C" w:rsidRPr="00A23740">
              <w:rPr>
                <w:lang w:val="tr-TR"/>
              </w:rPr>
              <w:t xml:space="preserve"> </w:t>
            </w:r>
            <w:r w:rsidR="00AA5C8C" w:rsidRPr="00A23740">
              <w:t>dairesi hesabına gönderilmesini ister. İlgili kamu kurum veya kuruluşunun yetkilisi ile işveren bu kararın gereğini yerine getirmek zorundadır. İcra ve iflas</w:t>
            </w:r>
            <w:r w:rsidR="00AA5C8C" w:rsidRPr="00A23740">
              <w:rPr>
                <w:lang w:val="tr-TR"/>
              </w:rPr>
              <w:t xml:space="preserve"> </w:t>
            </w:r>
            <w:r w:rsidR="00AA5C8C" w:rsidRPr="00A23740">
              <w:t xml:space="preserve">dairesi, hesabına gelen miktarı üç gün içinde talebe gerek kalmaksızın alacaklının banka hesabına </w:t>
            </w:r>
            <w:r w:rsidR="00EF7E58" w:rsidRPr="00DC7A0B">
              <w:t>gönderir.</w:t>
            </w:r>
          </w:p>
          <w:p w:rsidR="00AA5C8C" w:rsidRPr="00A23740" w:rsidRDefault="00AA5C8C" w:rsidP="009431FF">
            <w:pPr>
              <w:pStyle w:val="Mavi"/>
            </w:pPr>
          </w:p>
          <w:p w:rsidR="00AA5C8C" w:rsidRPr="00A23740" w:rsidRDefault="00AA5C8C" w:rsidP="009431FF">
            <w:pPr>
              <w:pStyle w:val="Mavi"/>
            </w:pPr>
            <w:r w:rsidRPr="00A23740">
              <w:t xml:space="preserve">(2) Borçlunun maaş veya ücretinde ya da görev yaptığı birimde değişiklik olması </w:t>
            </w:r>
            <w:r w:rsidR="009F33EC" w:rsidRPr="00DC7A0B">
              <w:rPr>
                <w:rStyle w:val="KonuBalChar"/>
                <w:rFonts w:eastAsia="Calibri"/>
                <w:b/>
                <w:color w:val="0000FF"/>
              </w:rPr>
              <w:t>yahut</w:t>
            </w:r>
            <w:r w:rsidR="009F33EC" w:rsidRPr="00A23740">
              <w:t xml:space="preserve"> </w:t>
            </w:r>
            <w:r w:rsidR="00DA6772" w:rsidRPr="00DC7A0B">
              <w:rPr>
                <w:rStyle w:val="YELChar"/>
                <w:b/>
                <w:color w:val="0000FF"/>
              </w:rPr>
              <w:t>iş ilişkisinin sona ermesi</w:t>
            </w:r>
            <w:r w:rsidR="00DA6772" w:rsidRPr="00A23740">
              <w:rPr>
                <w:b w:val="0"/>
                <w:lang w:val="tr-TR"/>
              </w:rPr>
              <w:t xml:space="preserve"> </w:t>
            </w:r>
            <w:r w:rsidRPr="00A23740">
              <w:t>durumunda</w:t>
            </w:r>
            <w:r w:rsidR="00DA6772" w:rsidRPr="00DE193E">
              <w:t>,</w:t>
            </w:r>
            <w:r w:rsidRPr="00A23740">
              <w:t xml:space="preserve"> ilgili kamu  kurum veya </w:t>
            </w:r>
            <w:r w:rsidRPr="0066593B">
              <w:rPr>
                <w:rStyle w:val="YELChar"/>
                <w:b/>
                <w:color w:val="0000FF"/>
              </w:rPr>
              <w:t>kuruluşu</w:t>
            </w:r>
            <w:r w:rsidRPr="0066593B">
              <w:rPr>
                <w:rStyle w:val="YELChar"/>
                <w:color w:val="0000FF"/>
              </w:rPr>
              <w:t xml:space="preserve"> </w:t>
            </w:r>
            <w:r w:rsidR="00DA6772" w:rsidRPr="0066593B">
              <w:rPr>
                <w:rStyle w:val="YELChar"/>
                <w:b/>
                <w:color w:val="0000FF"/>
              </w:rPr>
              <w:t>ya da</w:t>
            </w:r>
            <w:r w:rsidR="00DA6772" w:rsidRPr="00A23740">
              <w:rPr>
                <w:lang w:val="tr-TR"/>
              </w:rPr>
              <w:t xml:space="preserve"> </w:t>
            </w:r>
            <w:r w:rsidRPr="00A23740">
              <w:t>işveren</w:t>
            </w:r>
            <w:r w:rsidR="00DA6772" w:rsidRPr="00A23740">
              <w:rPr>
                <w:lang w:val="tr-TR"/>
              </w:rPr>
              <w:t xml:space="preserve"> </w:t>
            </w:r>
            <w:r w:rsidR="00DA6772" w:rsidRPr="00A23740">
              <w:t>bu değişiklikleri,</w:t>
            </w:r>
            <w:r w:rsidRPr="00A23740">
              <w:t xml:space="preserve"> derh</w:t>
            </w:r>
            <w:r w:rsidR="00DF22A1" w:rsidRPr="00A23740">
              <w:rPr>
                <w:lang w:val="tr-TR"/>
              </w:rPr>
              <w:t>â</w:t>
            </w:r>
            <w:r w:rsidRPr="00A23740">
              <w:t>l icra ve iflas</w:t>
            </w:r>
            <w:r w:rsidRPr="00A23740">
              <w:rPr>
                <w:lang w:val="tr-TR"/>
              </w:rPr>
              <w:t xml:space="preserve"> </w:t>
            </w:r>
            <w:r w:rsidRPr="00A23740">
              <w:t>dairesine bildirir.</w:t>
            </w:r>
          </w:p>
          <w:p w:rsidR="00A31727" w:rsidRPr="00A23740" w:rsidRDefault="00A31727" w:rsidP="009431FF">
            <w:pPr>
              <w:pStyle w:val="YEL"/>
              <w:rPr>
                <w:lang w:val="tr-TR"/>
              </w:rPr>
            </w:pPr>
          </w:p>
          <w:p w:rsidR="008D5651" w:rsidRPr="00DC7A0B" w:rsidRDefault="008D5651" w:rsidP="009431FF">
            <w:pPr>
              <w:pStyle w:val="KIRMIZI"/>
              <w:rPr>
                <w:strike w:val="0"/>
                <w:color w:val="0000FF"/>
                <w:lang w:val="tr-TR"/>
              </w:rPr>
            </w:pPr>
            <w:r w:rsidRPr="00DC7A0B">
              <w:rPr>
                <w:strike w:val="0"/>
                <w:color w:val="0000FF"/>
                <w:lang w:val="tr-TR"/>
              </w:rPr>
              <w:t xml:space="preserve">(3) Yukarıdaki fıkralar hükümlerine uymayanların kesmedikleri veya hemen göndermedikleri para mahkemeden </w:t>
            </w:r>
            <w:r w:rsidR="00EF7E58" w:rsidRPr="00DC7A0B">
              <w:rPr>
                <w:strike w:val="0"/>
                <w:color w:val="0000FF"/>
                <w:lang w:val="tr-TR"/>
              </w:rPr>
              <w:t xml:space="preserve">ayrıca </w:t>
            </w:r>
            <w:r w:rsidRPr="00DC7A0B">
              <w:rPr>
                <w:strike w:val="0"/>
                <w:color w:val="0000FF"/>
                <w:lang w:val="tr-TR"/>
              </w:rPr>
              <w:t>hüküm alınmasına gerek kalmaksızın icra ve iflas dairesince maaşlarından kesilir veya diğer mallarından alınır.</w:t>
            </w:r>
          </w:p>
          <w:p w:rsidR="008D5651" w:rsidRPr="00A23740" w:rsidRDefault="008D5651" w:rsidP="009431FF">
            <w:pPr>
              <w:tabs>
                <w:tab w:val="left" w:pos="567"/>
              </w:tabs>
              <w:rPr>
                <w:rFonts w:eastAsia="Times New Roman"/>
                <w:b/>
                <w:color w:val="0000FF"/>
                <w:szCs w:val="24"/>
                <w:lang w:eastAsia="tr-TR"/>
              </w:rPr>
            </w:pPr>
          </w:p>
          <w:p w:rsidR="00AA5C8C" w:rsidRPr="00A23740" w:rsidRDefault="00AA5C8C" w:rsidP="009431FF">
            <w:pPr>
              <w:pStyle w:val="Mavi"/>
            </w:pPr>
            <w:r w:rsidRPr="00A23740">
              <w:t>(</w:t>
            </w:r>
            <w:r w:rsidR="00A31727" w:rsidRPr="00A23740">
              <w:rPr>
                <w:lang w:val="tr-TR"/>
              </w:rPr>
              <w:t>4</w:t>
            </w:r>
            <w:r w:rsidRPr="00A23740">
              <w:t>) Kamu kurum veya kuruluşu ya da işveren tarafından yukarıdaki usulle kesinti yapıldıktan sonra borçlunun banka hesabına yatırılan bakiye maaş ve ücreti haczedilemez.</w:t>
            </w:r>
          </w:p>
          <w:p w:rsidR="00AA5C8C" w:rsidRPr="00A23740" w:rsidRDefault="00AA5C8C" w:rsidP="009431FF">
            <w:pPr>
              <w:pStyle w:val="Mavi"/>
            </w:pPr>
          </w:p>
          <w:p w:rsidR="00AA5C8C" w:rsidRPr="00A23740" w:rsidRDefault="00AA5C8C" w:rsidP="009431FF">
            <w:pPr>
              <w:pStyle w:val="Mavi"/>
            </w:pPr>
            <w:r w:rsidRPr="00A23740">
              <w:t>(</w:t>
            </w:r>
            <w:r w:rsidR="00A31727" w:rsidRPr="00A23740">
              <w:rPr>
                <w:lang w:val="tr-TR"/>
              </w:rPr>
              <w:t>5</w:t>
            </w:r>
            <w:r w:rsidRPr="00A23740">
              <w:t>) Nafaka alacaklarında,</w:t>
            </w:r>
            <w:r w:rsidRPr="00A23740">
              <w:rPr>
                <w:lang w:val="tr-TR"/>
              </w:rPr>
              <w:t xml:space="preserve"> </w:t>
            </w:r>
            <w:r w:rsidRPr="00A23740">
              <w:t>borçlunun maaş veya ücretinde önceden konulmuş bir haciz bulunsa dahi takip talebi tarihinden itibaren işleyecek olan nafaka miktarı sıraya alınmaksızın öncelikli olarak kesilir. Önceden konulmuş haczin bulunması h</w:t>
            </w:r>
            <w:r w:rsidR="001D7D44" w:rsidRPr="00A23740">
              <w:rPr>
                <w:lang w:val="tr-TR"/>
              </w:rPr>
              <w:t>â</w:t>
            </w:r>
            <w:r w:rsidRPr="00A23740">
              <w:t xml:space="preserve">linde, birikmiş nafaka alacağı </w:t>
            </w:r>
            <w:r w:rsidR="00EF7E58" w:rsidRPr="00DC7A0B">
              <w:t>için</w:t>
            </w:r>
            <w:r w:rsidR="00EF7E58" w:rsidRPr="00A23740">
              <w:rPr>
                <w:color w:val="385623"/>
              </w:rPr>
              <w:t xml:space="preserve"> </w:t>
            </w:r>
            <w:r w:rsidRPr="00A23740">
              <w:t>sıraya alınır, sırada önde olan haczin kesintisi bitmedikçe birikmiş nafaka için kesinti yapılamaz.</w:t>
            </w:r>
          </w:p>
          <w:p w:rsidR="00AA5C8C" w:rsidRPr="00A23740" w:rsidRDefault="00AA5C8C" w:rsidP="009431FF">
            <w:pPr>
              <w:pStyle w:val="Mavi"/>
            </w:pPr>
          </w:p>
          <w:p w:rsidR="00AA5C8C" w:rsidRPr="00A23740" w:rsidRDefault="00AA5C8C" w:rsidP="009431FF">
            <w:pPr>
              <w:pStyle w:val="Mavi"/>
            </w:pPr>
            <w:r w:rsidRPr="00A23740">
              <w:t>(</w:t>
            </w:r>
            <w:r w:rsidR="00A31727" w:rsidRPr="00A23740">
              <w:rPr>
                <w:lang w:val="tr-TR"/>
              </w:rPr>
              <w:t>6</w:t>
            </w:r>
            <w:r w:rsidRPr="00A23740">
              <w:t>) Nafaka alacakları, 2/7/1964 tarihli ve 492 sayılı Harçlar Kanunu ile 30/6/1934 tarihli ve 2548 sayılı Ceza Evleriyle Mahkeme Binaları İnşası Karşılığı Olarak Alınacak Harçlar ve Mahkûmlara Ödettirilecek Yiyecek Bedelleri Hakkında Kanun kaps</w:t>
            </w:r>
            <w:r w:rsidR="00DA6772" w:rsidRPr="00A23740">
              <w:t>amındaki harçlardan istisnadır.</w:t>
            </w:r>
          </w:p>
          <w:p w:rsidR="00AA5C8C" w:rsidRPr="00A23740" w:rsidRDefault="00AA5C8C" w:rsidP="009431FF">
            <w:pPr>
              <w:tabs>
                <w:tab w:val="left" w:pos="567"/>
              </w:tabs>
              <w:rPr>
                <w:rFonts w:eastAsia="Times New Roman"/>
                <w:b/>
                <w:color w:val="FF0000"/>
                <w:szCs w:val="24"/>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960059" w:rsidRPr="00A23740" w:rsidRDefault="00960059" w:rsidP="009431FF">
            <w:pPr>
              <w:tabs>
                <w:tab w:val="left" w:pos="567"/>
              </w:tabs>
              <w:ind w:firstLine="709"/>
              <w:rPr>
                <w:b/>
              </w:rPr>
            </w:pPr>
          </w:p>
          <w:p w:rsidR="003D1FAB" w:rsidRPr="00A23740" w:rsidRDefault="003020A6" w:rsidP="009431FF">
            <w:pPr>
              <w:tabs>
                <w:tab w:val="left" w:pos="567"/>
              </w:tabs>
              <w:ind w:firstLine="709"/>
              <w:rPr>
                <w:bCs/>
                <w:color w:val="000000"/>
                <w:szCs w:val="24"/>
                <w:lang w:eastAsia="x-none"/>
              </w:rPr>
            </w:pPr>
            <w:r w:rsidRPr="00A23740">
              <w:rPr>
                <w:b/>
              </w:rPr>
              <w:t xml:space="preserve">MADDE 163- </w:t>
            </w:r>
            <w:r w:rsidR="003D1FAB" w:rsidRPr="00A23740">
              <w:rPr>
                <w:bCs/>
                <w:color w:val="000000"/>
                <w:szCs w:val="24"/>
                <w:lang w:eastAsia="x-none"/>
              </w:rPr>
              <w:t xml:space="preserve">Maddeyle, maaş ve ücretlerin haczinde izlenecek usul düzenlenmektedir. Hüküm, 2004 sayılı Kanunun 355 ve 356 ncı </w:t>
            </w:r>
            <w:r w:rsidR="00A31727" w:rsidRPr="00A23740">
              <w:rPr>
                <w:bCs/>
                <w:color w:val="000000"/>
                <w:szCs w:val="24"/>
                <w:lang w:eastAsia="x-none"/>
              </w:rPr>
              <w:t>maddesine karşılık gelmektedir.</w:t>
            </w:r>
          </w:p>
          <w:p w:rsidR="003D1FAB" w:rsidRPr="00A23740" w:rsidRDefault="003D1FAB" w:rsidP="009431FF">
            <w:pPr>
              <w:tabs>
                <w:tab w:val="left" w:pos="567"/>
              </w:tabs>
              <w:ind w:firstLine="709"/>
              <w:rPr>
                <w:bCs/>
                <w:color w:val="000000"/>
                <w:szCs w:val="24"/>
                <w:lang w:eastAsia="x-none"/>
              </w:rPr>
            </w:pPr>
            <w:r w:rsidRPr="00A23740">
              <w:rPr>
                <w:bCs/>
                <w:color w:val="000000"/>
                <w:szCs w:val="24"/>
                <w:lang w:eastAsia="x-none"/>
              </w:rPr>
              <w:t xml:space="preserve">Maaş ve ücret haczinde, haczin muhatabı, kamu kurum veya kuruluşları ya da işveren olup, maddede de açıklandığı üzere, maaş ve ücret haczi üzerine kaynakta kesinti yapılacak ve </w:t>
            </w:r>
            <w:r w:rsidR="00F0286F" w:rsidRPr="00A23740">
              <w:rPr>
                <w:bCs/>
                <w:color w:val="000000"/>
                <w:szCs w:val="24"/>
                <w:lang w:eastAsia="x-none"/>
              </w:rPr>
              <w:t xml:space="preserve">kesintiden sonra geri kalan </w:t>
            </w:r>
            <w:r w:rsidRPr="00A23740">
              <w:rPr>
                <w:bCs/>
                <w:color w:val="000000"/>
                <w:szCs w:val="24"/>
                <w:lang w:eastAsia="x-none"/>
              </w:rPr>
              <w:t>kısım borçlunun banka hesabına yatırılacaktır. Bu nedenle mükerrer haciz işlemlerinin engellenmesi amacıyla, maaş ve ücret haczi yalnızca bu maddede belirlenen usul çerçevesinde gerçekleştirilebilecektir. Böylece</w:t>
            </w:r>
            <w:r w:rsidR="00340970" w:rsidRPr="00A23740">
              <w:rPr>
                <w:rStyle w:val="KonuBalChar"/>
                <w:rFonts w:eastAsia="Calibri"/>
              </w:rPr>
              <w:t xml:space="preserve"> </w:t>
            </w:r>
            <w:r w:rsidR="00340970" w:rsidRPr="00DC7A0B">
              <w:rPr>
                <w:color w:val="000000"/>
                <w:szCs w:val="24"/>
              </w:rPr>
              <w:t>2004 sayılı Kanunun</w:t>
            </w:r>
            <w:r w:rsidRPr="00A23740">
              <w:rPr>
                <w:bCs/>
                <w:color w:val="000000"/>
                <w:szCs w:val="24"/>
                <w:lang w:eastAsia="x-none"/>
              </w:rPr>
              <w:t xml:space="preserve"> 89</w:t>
            </w:r>
            <w:r w:rsidR="00340970" w:rsidRPr="00A23740">
              <w:rPr>
                <w:bCs/>
                <w:color w:val="000000"/>
                <w:szCs w:val="24"/>
                <w:lang w:eastAsia="x-none"/>
              </w:rPr>
              <w:t xml:space="preserve"> </w:t>
            </w:r>
            <w:r w:rsidR="00340970" w:rsidRPr="00DC7A0B">
              <w:rPr>
                <w:color w:val="000000"/>
                <w:szCs w:val="24"/>
              </w:rPr>
              <w:t>uncu maddesi</w:t>
            </w:r>
            <w:r w:rsidRPr="00A23740">
              <w:rPr>
                <w:bCs/>
                <w:color w:val="000000"/>
                <w:szCs w:val="24"/>
                <w:lang w:eastAsia="x-none"/>
              </w:rPr>
              <w:t xml:space="preserve"> veya haciz müzekkeresi yoluyla maaş ve ücret haczi </w:t>
            </w:r>
            <w:r w:rsidR="00A31727" w:rsidRPr="00A23740">
              <w:rPr>
                <w:bCs/>
                <w:color w:val="000000"/>
                <w:szCs w:val="24"/>
                <w:lang w:eastAsia="x-none"/>
              </w:rPr>
              <w:t>yapılması mümkün olmayacaktır.</w:t>
            </w:r>
          </w:p>
          <w:p w:rsidR="003D1FAB" w:rsidRPr="00A23740" w:rsidRDefault="003D1FAB" w:rsidP="009431FF">
            <w:pPr>
              <w:tabs>
                <w:tab w:val="left" w:pos="567"/>
              </w:tabs>
              <w:ind w:firstLine="709"/>
            </w:pPr>
            <w:r w:rsidRPr="00A23740">
              <w:rPr>
                <w:bCs/>
                <w:color w:val="000000"/>
                <w:szCs w:val="24"/>
                <w:lang w:eastAsia="x-none"/>
              </w:rPr>
              <w:t>Maddenin birinci fıkrası uyarınca, b</w:t>
            </w:r>
            <w:r w:rsidRPr="00A23740">
              <w:t xml:space="preserve">orçlunun kamu kurum veya kuruluşları ya da bir işveren nezdinde çalışması hâlinde, icra ve iflas dairesi, ilgili kamu kurum veya kuruluşundan ya da işverenden borçlunun </w:t>
            </w:r>
            <w:r w:rsidRPr="00DC7A0B">
              <w:rPr>
                <w:bCs/>
                <w:color w:val="000000"/>
                <w:szCs w:val="24"/>
                <w:lang w:eastAsia="x-none"/>
              </w:rPr>
              <w:t>maaş veya ücret</w:t>
            </w:r>
            <w:r w:rsidR="00226991" w:rsidRPr="00DC7A0B">
              <w:rPr>
                <w:bCs/>
                <w:color w:val="000000"/>
                <w:lang w:eastAsia="x-none"/>
              </w:rPr>
              <w:t>in</w:t>
            </w:r>
            <w:r w:rsidR="00F0286F" w:rsidRPr="00DC7A0B">
              <w:rPr>
                <w:bCs/>
                <w:color w:val="000000"/>
                <w:lang w:eastAsia="x-none"/>
              </w:rPr>
              <w:t>in</w:t>
            </w:r>
            <w:r w:rsidR="00226991" w:rsidRPr="00DC7A0B">
              <w:rPr>
                <w:bCs/>
                <w:color w:val="000000"/>
                <w:lang w:eastAsia="x-none"/>
              </w:rPr>
              <w:t xml:space="preserve"> haczolunan</w:t>
            </w:r>
            <w:r w:rsidRPr="00DC7A0B">
              <w:rPr>
                <w:bCs/>
                <w:color w:val="000000"/>
                <w:szCs w:val="24"/>
                <w:lang w:eastAsia="x-none"/>
              </w:rPr>
              <w:t xml:space="preserve"> </w:t>
            </w:r>
            <w:r w:rsidR="00F37300" w:rsidRPr="00DC7A0B">
              <w:rPr>
                <w:bCs/>
                <w:color w:val="000000"/>
                <w:lang w:eastAsia="x-none"/>
              </w:rPr>
              <w:t>orana karşılık gelen tutarın</w:t>
            </w:r>
            <w:r w:rsidR="00226991" w:rsidRPr="00A23740">
              <w:rPr>
                <w:b/>
              </w:rPr>
              <w:t xml:space="preserve"> </w:t>
            </w:r>
            <w:r w:rsidRPr="00A23740">
              <w:t xml:space="preserve">bir hafta içinde icra ve iflas dairesine bildirilmesini ve borç bitinceye kadar icra ve iflas dairesinin kararı gereğince haczolunan miktarın kesilip icra ve iflas dairesi hesabına gönderilmesini talep edecektir. İlgili kamu kurum veya kuruluşunun yetkilisi ile işveren bu kararın gereğini yerine getirmek zorundadır. Maddenin birinci fıkrasına, icra ve iflas dairesinin, hesabına gelen miktarı üç gün içinde talebe gerek kalmaksızın alacaklının banka hesabına </w:t>
            </w:r>
            <w:r w:rsidR="00226991" w:rsidRPr="00DC7A0B">
              <w:t>göndereceği</w:t>
            </w:r>
            <w:r w:rsidR="00226991" w:rsidRPr="00A23740">
              <w:t xml:space="preserve"> </w:t>
            </w:r>
            <w:r w:rsidR="00F0286F" w:rsidRPr="00A23740">
              <w:t xml:space="preserve">hususu </w:t>
            </w:r>
            <w:r w:rsidRPr="00A23740">
              <w:t>ilave edilmiştir. Böylece, alacaklının her ay icra ve iflas dairesine başvurarak, dairenin hesabına gönderilen paranın kendi hesabına intikal ettirilmesi talebinde bulunmak suretiyle çaba göstermek zorunda kalmasının önüne geçilme</w:t>
            </w:r>
            <w:r w:rsidR="00F0286F" w:rsidRPr="00A23740">
              <w:t>k</w:t>
            </w:r>
            <w:r w:rsidRPr="00A23740">
              <w:t xml:space="preserve"> amaçlanmıştır. </w:t>
            </w:r>
          </w:p>
          <w:p w:rsidR="00A31727" w:rsidRPr="00A23740" w:rsidRDefault="003D1FAB" w:rsidP="009431FF">
            <w:pPr>
              <w:ind w:firstLine="709"/>
            </w:pPr>
            <w:r w:rsidRPr="00A23740">
              <w:t>Maddenin ikinci fıkrası uyarınca</w:t>
            </w:r>
            <w:r w:rsidR="00F0286F" w:rsidRPr="00A23740">
              <w:t>,</w:t>
            </w:r>
            <w:r w:rsidRPr="00A23740">
              <w:t xml:space="preserve"> ilgili kamu kurum ve kuruluşu veya işveren, borçlunun maaş veya ücretinde ya da görev yaptığı birimde değişiklik olması </w:t>
            </w:r>
            <w:r w:rsidR="00F37300" w:rsidRPr="00DC7A0B">
              <w:t>yahut iş ilişkisinin sona ermesi</w:t>
            </w:r>
            <w:r w:rsidR="00F37300" w:rsidRPr="00A23740">
              <w:rPr>
                <w:b/>
              </w:rPr>
              <w:t xml:space="preserve"> </w:t>
            </w:r>
            <w:r w:rsidRPr="00A23740">
              <w:t xml:space="preserve">durumunda bu değişiklikleri, </w:t>
            </w:r>
            <w:r w:rsidR="00DF22A1" w:rsidRPr="00A23740">
              <w:rPr>
                <w:szCs w:val="24"/>
              </w:rPr>
              <w:t xml:space="preserve">derhâl </w:t>
            </w:r>
            <w:r w:rsidRPr="00A23740">
              <w:t>icra ve</w:t>
            </w:r>
            <w:r w:rsidR="00A31727" w:rsidRPr="00A23740">
              <w:t xml:space="preserve"> iflas dairesine bildirecektir.</w:t>
            </w:r>
          </w:p>
          <w:p w:rsidR="00A31727" w:rsidRPr="00A23740" w:rsidRDefault="00A31727" w:rsidP="009431FF">
            <w:pPr>
              <w:ind w:firstLine="709"/>
              <w:rPr>
                <w:color w:val="FF0000"/>
              </w:rPr>
            </w:pPr>
            <w:r w:rsidRPr="00A23740">
              <w:t>Maddenin üçüncü fıkrası ilk iki fıkraya uyulmaması h</w:t>
            </w:r>
            <w:r w:rsidR="001D7D44" w:rsidRPr="00A23740">
              <w:t>â</w:t>
            </w:r>
            <w:r w:rsidRPr="00A23740">
              <w:t>linde uygulanacak yaptırımı göstermektedir.</w:t>
            </w:r>
            <w:r w:rsidR="00496523" w:rsidRPr="00A23740">
              <w:t xml:space="preserve"> 2004 sayılı Kanunun 356 ncı maddesinin ikinci ve üçüncü fıkraları genel hükümlerden anlaşılabildiği için madde metnine alınmasına gerek görülmemiştir.</w:t>
            </w:r>
          </w:p>
          <w:p w:rsidR="003D1FAB" w:rsidRPr="00A23740" w:rsidRDefault="003D1FAB" w:rsidP="009431FF">
            <w:pPr>
              <w:ind w:firstLine="709"/>
            </w:pPr>
            <w:r w:rsidRPr="00A23740">
              <w:t xml:space="preserve">Maddenin </w:t>
            </w:r>
            <w:r w:rsidR="00A31727" w:rsidRPr="00A23740">
              <w:t>dördüncü</w:t>
            </w:r>
            <w:r w:rsidRPr="00A23740">
              <w:t xml:space="preserve"> fıkrası</w:t>
            </w:r>
            <w:r w:rsidR="00F0286F" w:rsidRPr="00A23740">
              <w:t>yla</w:t>
            </w:r>
            <w:r w:rsidRPr="00A23740">
              <w:t xml:space="preserve">, </w:t>
            </w:r>
            <w:r w:rsidR="00B741D6" w:rsidRPr="00A23740">
              <w:t xml:space="preserve">kamu </w:t>
            </w:r>
            <w:r w:rsidRPr="00A23740">
              <w:t>kurum veya kuruluşu ya da işveren tarafından yukarıdaki usul</w:t>
            </w:r>
            <w:r w:rsidR="00F0286F" w:rsidRPr="00A23740">
              <w:t xml:space="preserve"> göre</w:t>
            </w:r>
            <w:r w:rsidRPr="00A23740">
              <w:t xml:space="preserve"> kesinti yapıldıktan sonra borçlunun banka hesabına yatırılan bakiye maaş ve ücreti</w:t>
            </w:r>
            <w:r w:rsidR="00F0286F" w:rsidRPr="00A23740">
              <w:t>n</w:t>
            </w:r>
            <w:r w:rsidRPr="00A23740">
              <w:t xml:space="preserve"> üzerine haciz</w:t>
            </w:r>
            <w:r w:rsidR="00A31727" w:rsidRPr="00A23740">
              <w:t xml:space="preserve"> konulamayacağı</w:t>
            </w:r>
            <w:r w:rsidR="00F0286F" w:rsidRPr="00A23740">
              <w:t xml:space="preserve"> açıklanmıştır</w:t>
            </w:r>
            <w:r w:rsidR="00A31727" w:rsidRPr="00A23740">
              <w:t>.</w:t>
            </w:r>
          </w:p>
          <w:p w:rsidR="003D1FAB" w:rsidRPr="00A23740" w:rsidRDefault="003D1FAB" w:rsidP="009431FF">
            <w:pPr>
              <w:ind w:firstLine="709"/>
            </w:pPr>
            <w:r w:rsidRPr="00A23740">
              <w:t xml:space="preserve">Maddenin </w:t>
            </w:r>
            <w:r w:rsidR="00A31727" w:rsidRPr="00A23740">
              <w:t>beşinci</w:t>
            </w:r>
            <w:r w:rsidRPr="00A23740">
              <w:t xml:space="preserve"> fıkrasın</w:t>
            </w:r>
            <w:r w:rsidR="00F0286F" w:rsidRPr="00A23740">
              <w:t>d</w:t>
            </w:r>
            <w:r w:rsidRPr="00A23740">
              <w:t>a, nafaka alacakları bakımından özel bir düzenlemeye yer verilmiştir. Buna göre; nafaka alacaklarında, borçlunun maaş veya ücretinde önceden konulmuş bir haciz bulunsa dahi takip talebi tarihinden itibaren işleyecek olan nafaka miktarı sıraya alınmayacak ve öncelikli olarak kesilecektir. Önceden konulmuş haczin bulunması durumunda, birikmiş nafaka alacağı ise sıraya alınacak ve sıra bakımından önde olan haczin kesintisi bitmedikçe birikmiş nafaka</w:t>
            </w:r>
            <w:r w:rsidR="00A31727" w:rsidRPr="00A23740">
              <w:t xml:space="preserve"> için kesinti yapılamayacaktır.</w:t>
            </w:r>
          </w:p>
          <w:p w:rsidR="00B62391" w:rsidRPr="00A23740" w:rsidRDefault="003D1FAB" w:rsidP="009431FF">
            <w:pPr>
              <w:tabs>
                <w:tab w:val="left" w:pos="567"/>
              </w:tabs>
              <w:ind w:firstLine="709"/>
              <w:rPr>
                <w:b/>
                <w:color w:val="0000FF"/>
                <w:szCs w:val="24"/>
                <w:lang w:eastAsia="tr-TR"/>
              </w:rPr>
            </w:pPr>
            <w:r w:rsidRPr="00A23740">
              <w:t xml:space="preserve">Maddenin </w:t>
            </w:r>
            <w:r w:rsidR="00A31727" w:rsidRPr="00A23740">
              <w:t>altıncı</w:t>
            </w:r>
            <w:r w:rsidRPr="00A23740">
              <w:t xml:space="preserve"> fıkrasında, nafaka alacaklarının, 2/7/1964 tarihli ve 492 sayılı Harçlar Kanunu ile 30/6/1934 tarihli ve 2548 sayılı Ceza Evleriyle Mahkeme Binaları İnşası Karşılığı Olarak Alınacak Harçlar ve Mahkûmlara Ödettirilecek Yiyecek Bedelleri Hakkında Kanun kapsamındaki harçlardan istisna olacağı düzenlenmiştir.</w:t>
            </w:r>
          </w:p>
          <w:p w:rsidR="0066593B" w:rsidRPr="00A23740" w:rsidRDefault="0066593B" w:rsidP="00DE193E">
            <w:pPr>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Önceden yapılan anlaşmalar</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Madde 83/a – (1) (Ek</w:t>
            </w:r>
            <w:r w:rsidRPr="00A23740">
              <w:rPr>
                <w:rFonts w:eastAsia="Times New Roman"/>
                <w:b/>
                <w:strike/>
                <w:color w:val="FF0000"/>
                <w:szCs w:val="24"/>
                <w:lang w:eastAsia="tr-TR"/>
              </w:rPr>
              <w:t>: 18/2/1965 - 538/47 md.)</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szCs w:val="24"/>
                <w:lang w:eastAsia="tr-TR"/>
              </w:rPr>
              <w:t xml:space="preserve">82 ve 83 üncü maddelerde yazılı mal ve hakların haczolunabileceğine dair önceden yapılan </w:t>
            </w:r>
            <w:r w:rsidRPr="00A23740">
              <w:rPr>
                <w:rStyle w:val="KIRMIZIChar"/>
                <w:rFonts w:eastAsia="Calibri"/>
              </w:rPr>
              <w:t>anlaşmalar muteber</w:t>
            </w:r>
            <w:r w:rsidRPr="00A23740">
              <w:rPr>
                <w:rFonts w:eastAsia="Times New Roman"/>
                <w:b/>
                <w:strike/>
                <w:color w:val="FF0000"/>
                <w:szCs w:val="24"/>
                <w:lang w:eastAsia="tr-TR"/>
              </w:rPr>
              <w:t xml:space="preserve"> değildir.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Önceden yapılan anlaşmalar</w:t>
            </w:r>
          </w:p>
          <w:p w:rsidR="00AA5C8C" w:rsidRPr="00A23740" w:rsidRDefault="00496523" w:rsidP="009431FF">
            <w:pPr>
              <w:tabs>
                <w:tab w:val="left" w:pos="567"/>
              </w:tabs>
              <w:rPr>
                <w:rFonts w:eastAsia="Times New Roman"/>
                <w:b/>
                <w:color w:val="FF0000"/>
                <w:szCs w:val="24"/>
                <w:lang w:eastAsia="tr-TR"/>
              </w:rPr>
            </w:pPr>
            <w:r w:rsidRPr="00A23740">
              <w:rPr>
                <w:rStyle w:val="MaviChar"/>
              </w:rPr>
              <w:t>MADDE 1</w:t>
            </w:r>
            <w:r w:rsidRPr="00A23740">
              <w:rPr>
                <w:rStyle w:val="MaviChar"/>
                <w:lang w:val="tr-TR"/>
              </w:rPr>
              <w:t>64</w:t>
            </w:r>
            <w:r w:rsidR="00AA5C8C" w:rsidRPr="00A23740">
              <w:rPr>
                <w:rStyle w:val="MaviChar"/>
              </w:rPr>
              <w:t>- (1)</w:t>
            </w:r>
            <w:r w:rsidR="001F332A" w:rsidRPr="00A23740">
              <w:rPr>
                <w:rStyle w:val="MaviChar"/>
                <w:lang w:val="tr-TR"/>
              </w:rPr>
              <w:t xml:space="preserve"> </w:t>
            </w:r>
            <w:r w:rsidR="001F332A" w:rsidRPr="00DC7A0B">
              <w:rPr>
                <w:rStyle w:val="KonuBalChar"/>
                <w:rFonts w:eastAsia="Calibri"/>
                <w:color w:val="0000FF"/>
              </w:rPr>
              <w:t>161 ve 162 nci</w:t>
            </w:r>
            <w:r w:rsidR="00AA5C8C" w:rsidRPr="00A23740">
              <w:rPr>
                <w:rFonts w:eastAsia="Times New Roman"/>
                <w:b/>
                <w:szCs w:val="24"/>
                <w:lang w:eastAsia="tr-TR"/>
              </w:rPr>
              <w:t xml:space="preserve"> </w:t>
            </w:r>
            <w:r w:rsidR="00AA5C8C" w:rsidRPr="00A23740">
              <w:rPr>
                <w:rFonts w:eastAsia="Times New Roman"/>
                <w:szCs w:val="24"/>
                <w:lang w:eastAsia="tr-TR"/>
              </w:rPr>
              <w:t>maddelerde yazılı mal</w:t>
            </w:r>
            <w:r w:rsidR="00AA5C8C" w:rsidRPr="00A23740">
              <w:rPr>
                <w:rStyle w:val="MaviChar"/>
              </w:rPr>
              <w:t>, hak ve alacakların</w:t>
            </w:r>
            <w:r w:rsidR="00AA5C8C" w:rsidRPr="00A23740">
              <w:rPr>
                <w:rFonts w:eastAsia="Times New Roman"/>
                <w:szCs w:val="24"/>
                <w:lang w:eastAsia="tr-TR"/>
              </w:rPr>
              <w:t xml:space="preserve"> </w:t>
            </w:r>
            <w:r w:rsidR="00AA5C8C" w:rsidRPr="00A23740">
              <w:rPr>
                <w:rStyle w:val="MaviChar"/>
              </w:rPr>
              <w:t>haczedilebileceği</w:t>
            </w:r>
            <w:r w:rsidR="0066593B" w:rsidRPr="0066593B">
              <w:rPr>
                <w:rStyle w:val="KIRMIZIChar"/>
                <w:rFonts w:eastAsia="Calibri"/>
                <w:strike w:val="0"/>
              </w:rPr>
              <w:t xml:space="preserve"> </w:t>
            </w:r>
            <w:r w:rsidRPr="00DC7A0B">
              <w:rPr>
                <w:rStyle w:val="YELChar"/>
                <w:color w:val="0000FF"/>
              </w:rPr>
              <w:t>konusunda</w:t>
            </w:r>
            <w:r w:rsidRPr="00A23740">
              <w:rPr>
                <w:rFonts w:eastAsia="Times New Roman"/>
                <w:szCs w:val="24"/>
                <w:lang w:eastAsia="tr-TR"/>
              </w:rPr>
              <w:t xml:space="preserve"> </w:t>
            </w:r>
            <w:r w:rsidR="00AA5C8C" w:rsidRPr="00A23740">
              <w:rPr>
                <w:rFonts w:eastAsia="Times New Roman"/>
                <w:szCs w:val="24"/>
                <w:lang w:eastAsia="tr-TR"/>
              </w:rPr>
              <w:t xml:space="preserve">önceden yapılan </w:t>
            </w:r>
            <w:r w:rsidR="00AA5C8C" w:rsidRPr="00A23740">
              <w:rPr>
                <w:rStyle w:val="MaviChar"/>
              </w:rPr>
              <w:t>sözleşmeler geçersizdir.</w:t>
            </w:r>
            <w:r w:rsidR="00AA5C8C" w:rsidRPr="00A23740">
              <w:rPr>
                <w:rFonts w:eastAsia="Times New Roman"/>
                <w:b/>
                <w:color w:val="0000FF"/>
                <w:szCs w:val="24"/>
                <w:lang w:eastAsia="tr-TR"/>
              </w:rPr>
              <w:t xml:space="preserve"> </w:t>
            </w:r>
          </w:p>
          <w:p w:rsidR="00AA5C8C" w:rsidRPr="00A23740" w:rsidRDefault="00AA5C8C" w:rsidP="009431FF">
            <w:pPr>
              <w:tabs>
                <w:tab w:val="left" w:pos="567"/>
              </w:tabs>
              <w:rPr>
                <w:rFonts w:eastAsia="Times New Roman"/>
                <w:b/>
                <w:color w:val="FF0000"/>
                <w:szCs w:val="24"/>
                <w:lang w:eastAsia="tr-TR"/>
              </w:rPr>
            </w:pPr>
          </w:p>
        </w:tc>
      </w:tr>
      <w:tr w:rsidR="00AA5C8C" w:rsidRPr="00A23740" w:rsidTr="009431FF">
        <w:tblPrEx>
          <w:tblLook w:val="01E0" w:firstRow="1" w:lastRow="1" w:firstColumn="1" w:lastColumn="1" w:noHBand="0" w:noVBand="0"/>
        </w:tblPrEx>
        <w:tc>
          <w:tcPr>
            <w:tcW w:w="5000" w:type="pct"/>
            <w:gridSpan w:val="2"/>
            <w:shd w:val="clear" w:color="auto" w:fill="DBE5F1"/>
          </w:tcPr>
          <w:p w:rsidR="003E3039" w:rsidRPr="00A23740" w:rsidRDefault="003E3039" w:rsidP="009431FF">
            <w:pPr>
              <w:tabs>
                <w:tab w:val="left" w:pos="567"/>
              </w:tabs>
              <w:ind w:firstLine="709"/>
              <w:rPr>
                <w:b/>
                <w:bCs/>
                <w:szCs w:val="24"/>
              </w:rPr>
            </w:pPr>
          </w:p>
          <w:p w:rsidR="00174032" w:rsidRPr="00A23740" w:rsidRDefault="00496523" w:rsidP="009431FF">
            <w:pPr>
              <w:ind w:firstLine="709"/>
              <w:rPr>
                <w:rFonts w:eastAsia="Times New Roman"/>
                <w:b/>
                <w:szCs w:val="24"/>
                <w:lang w:eastAsia="tr-TR"/>
              </w:rPr>
            </w:pPr>
            <w:r w:rsidRPr="00A23740">
              <w:rPr>
                <w:b/>
                <w:bCs/>
                <w:szCs w:val="24"/>
              </w:rPr>
              <w:t>MADDE 164</w:t>
            </w:r>
            <w:r w:rsidR="00AA5C8C" w:rsidRPr="00A23740">
              <w:rPr>
                <w:b/>
                <w:bCs/>
                <w:szCs w:val="24"/>
              </w:rPr>
              <w:t>-</w:t>
            </w:r>
            <w:r w:rsidR="00AA5C8C" w:rsidRPr="00A23740">
              <w:rPr>
                <w:szCs w:val="24"/>
              </w:rPr>
              <w:t xml:space="preserve"> </w:t>
            </w:r>
            <w:r w:rsidR="00174032" w:rsidRPr="00A23740">
              <w:rPr>
                <w:bCs/>
                <w:color w:val="000000"/>
                <w:szCs w:val="24"/>
                <w:lang w:eastAsia="x-none"/>
              </w:rPr>
              <w:t xml:space="preserve">Maddeyle, </w:t>
            </w:r>
            <w:r w:rsidR="00DF59FA" w:rsidRPr="00A23740">
              <w:rPr>
                <w:bCs/>
                <w:color w:val="000000"/>
                <w:szCs w:val="24"/>
                <w:lang w:eastAsia="x-none"/>
              </w:rPr>
              <w:t xml:space="preserve">hacizden </w:t>
            </w:r>
            <w:r w:rsidR="00174032" w:rsidRPr="00A23740">
              <w:rPr>
                <w:bCs/>
                <w:color w:val="000000"/>
                <w:szCs w:val="24"/>
                <w:lang w:eastAsia="x-none"/>
              </w:rPr>
              <w:t>önce yapılan anlaşmalara ilişkin hususlar düzenlenmektedir. Hüküm, 2004 sayılı Kanunun 83/a maddesine karşılık gelmektedir.</w:t>
            </w:r>
          </w:p>
          <w:p w:rsidR="00AA5C8C" w:rsidRPr="00A23740" w:rsidRDefault="00AA5C8C" w:rsidP="00DE193E">
            <w:pPr>
              <w:ind w:firstLine="709"/>
              <w:rPr>
                <w:rFonts w:eastAsia="Times New Roman"/>
                <w:b/>
                <w:szCs w:val="24"/>
                <w:lang w:eastAsia="tr-TR"/>
              </w:rPr>
            </w:pPr>
            <w:r w:rsidRPr="00A23740">
              <w:rPr>
                <w:szCs w:val="24"/>
              </w:rPr>
              <w:t xml:space="preserve">Maddenin birinci fıkrasına göre, </w:t>
            </w:r>
            <w:r w:rsidR="00E33A0B" w:rsidRPr="00A23740">
              <w:rPr>
                <w:szCs w:val="24"/>
              </w:rPr>
              <w:t xml:space="preserve">2004 sayılı </w:t>
            </w:r>
            <w:r w:rsidRPr="00A23740">
              <w:rPr>
                <w:szCs w:val="24"/>
              </w:rPr>
              <w:t>Kanunun 82 ve 83 üncü maddeler</w:t>
            </w:r>
            <w:r w:rsidR="00496523" w:rsidRPr="00DC7A0B">
              <w:rPr>
                <w:szCs w:val="24"/>
              </w:rPr>
              <w:t>in</w:t>
            </w:r>
            <w:r w:rsidRPr="00A23740">
              <w:rPr>
                <w:szCs w:val="24"/>
              </w:rPr>
              <w:t xml:space="preserve">de yazılı mal ve hakların haczolunabileceğine dair hacizden önceden yapılan sözleşmeler geçersizdir. Bu hükümle icra takibinin tarafları arasındaki güç dengesizliği dikkate alınarak, borçlu kendisinden daha güçlü olan sözleşmenin diğer tarafına karşı korunmuştur. Borçlunun hacizden önceki aşamada kendisini aşırı derece kısıtlaması engellenerek, haczi mümkün olmayan bir mal veya hakkın haczedilebileceğine dair haciz konulmadan önce alacaklıyla yapmış olduğu sözleşme geçersiz sayılmıştır. </w:t>
            </w:r>
            <w:r w:rsidR="00496523" w:rsidRPr="00DC7A0B">
              <w:t>Taslaktaki</w:t>
            </w:r>
            <w:r w:rsidRPr="00DC7A0B">
              <w:rPr>
                <w:szCs w:val="24"/>
              </w:rPr>
              <w:t xml:space="preserve"> </w:t>
            </w:r>
            <w:r w:rsidRPr="00A23740">
              <w:rPr>
                <w:szCs w:val="24"/>
              </w:rPr>
              <w:t xml:space="preserve">bu hüküm borçluyu koruyan emredici bir hükümdür ve aksine sözleşme yapılamaz. Çünkü bu dönemde borçlu, yapacağı feragatin doğurabileceği sonuçları ve kendisine yükleyeceği mali yükü tahmin edemeyebilir. Ayrıca borçlunun iradesi hacizden önceki dönemde alacaklının baskısı altında olabilir. </w:t>
            </w:r>
            <w:r w:rsidR="00496523" w:rsidRPr="00DC7A0B">
              <w:t>Haczedilemeyen</w:t>
            </w:r>
            <w:r w:rsidR="00496523" w:rsidRPr="00A23740">
              <w:rPr>
                <w:szCs w:val="24"/>
              </w:rPr>
              <w:t xml:space="preserve"> </w:t>
            </w:r>
            <w:r w:rsidRPr="00A23740">
              <w:rPr>
                <w:szCs w:val="24"/>
              </w:rPr>
              <w:t>mal ve haklar ile ücretin miktarı, en erken borçlu ve ailesinin haciz esnasındaki durumuna göre tespit edilebilir. Dolayısıyla</w:t>
            </w:r>
            <w:r w:rsidR="00DF59FA" w:rsidRPr="00A23740">
              <w:rPr>
                <w:szCs w:val="24"/>
              </w:rPr>
              <w:t>,</w:t>
            </w:r>
            <w:r w:rsidRPr="00A23740">
              <w:rPr>
                <w:szCs w:val="24"/>
              </w:rPr>
              <w:t xml:space="preserve"> bundan</w:t>
            </w:r>
            <w:r w:rsidR="00DF59FA" w:rsidRPr="00A23740">
              <w:rPr>
                <w:szCs w:val="24"/>
              </w:rPr>
              <w:t>,</w:t>
            </w:r>
            <w:r w:rsidRPr="00A23740">
              <w:rPr>
                <w:szCs w:val="24"/>
              </w:rPr>
              <w:t xml:space="preserve"> hacizden önce feragat etmek mümkün olmamalıdır. Bu hususta borçlunun hem kendisine hem de alacaklısına karşı korunması bir ihtiyaçtır. Fıkrada, haczedilmezlikten feragat beyanının geçerlilik kazanabileceği zaman dilimi belirlenerek borçlu ve borçlunun ailesi, borçlunun </w:t>
            </w:r>
            <w:r w:rsidR="00DF59FA" w:rsidRPr="00A23740">
              <w:rPr>
                <w:szCs w:val="24"/>
              </w:rPr>
              <w:t xml:space="preserve">hem </w:t>
            </w:r>
            <w:r w:rsidRPr="00A23740">
              <w:rPr>
                <w:szCs w:val="24"/>
              </w:rPr>
              <w:t xml:space="preserve">kendisine hem de alacaklılarına karşı korunmuştur. Buna karşılık borçlunun hacizden sonra haczedilmezlikten feragat etmesi geçerlidir. </w:t>
            </w:r>
            <w:r w:rsidR="00E33A0B" w:rsidRPr="00A23740">
              <w:rPr>
                <w:szCs w:val="24"/>
              </w:rPr>
              <w:t>2004 sayılı Kanunun 83 üncü</w:t>
            </w:r>
            <w:r w:rsidRPr="00A23740">
              <w:rPr>
                <w:szCs w:val="24"/>
              </w:rPr>
              <w:t xml:space="preserve"> maddesiyle getirilen kısmi haciz yasağı</w:t>
            </w:r>
            <w:r w:rsidR="00496523" w:rsidRPr="00A23740">
              <w:rPr>
                <w:szCs w:val="24"/>
              </w:rPr>
              <w:t xml:space="preserve"> </w:t>
            </w:r>
            <w:r w:rsidR="00496523" w:rsidRPr="00DC7A0B">
              <w:rPr>
                <w:szCs w:val="24"/>
              </w:rPr>
              <w:t>kural</w:t>
            </w:r>
            <w:r w:rsidR="00496523" w:rsidRPr="00DC7A0B">
              <w:rPr>
                <w:b/>
              </w:rPr>
              <w:t xml:space="preserve"> </w:t>
            </w:r>
            <w:r w:rsidR="00496523" w:rsidRPr="00DC7A0B">
              <w:rPr>
                <w:szCs w:val="24"/>
              </w:rPr>
              <w:t>olarak</w:t>
            </w:r>
            <w:r w:rsidRPr="00A23740">
              <w:rPr>
                <w:szCs w:val="24"/>
              </w:rPr>
              <w:t xml:space="preserve"> kamu düzeninden değildir. Borçlu, haciz esnasında veya haciz işleminin gerçekleşmesinden sonraki dönemde</w:t>
            </w:r>
            <w:r w:rsidR="00DF59FA" w:rsidRPr="00A23740">
              <w:rPr>
                <w:szCs w:val="24"/>
              </w:rPr>
              <w:t>,</w:t>
            </w:r>
            <w:r w:rsidRPr="00A23740">
              <w:rPr>
                <w:szCs w:val="24"/>
              </w:rPr>
              <w:t xml:space="preserve"> haczedilmesi mümkün olmayan mal ve haklarla ilgili olarak bu hakkından vazgeçebilir. </w:t>
            </w:r>
            <w:r w:rsidR="00496523" w:rsidRPr="00DC7A0B">
              <w:t>Bunun aksine</w:t>
            </w:r>
            <w:r w:rsidR="00496523" w:rsidRPr="00DC7A0B">
              <w:rPr>
                <w:szCs w:val="24"/>
              </w:rPr>
              <w:t xml:space="preserve"> </w:t>
            </w:r>
            <w:r w:rsidRPr="00A23740">
              <w:rPr>
                <w:szCs w:val="24"/>
              </w:rPr>
              <w:t>4857 sayılı İş Kanununun</w:t>
            </w:r>
            <w:r w:rsidR="00E33A0B" w:rsidRPr="00A23740">
              <w:rPr>
                <w:szCs w:val="24"/>
              </w:rPr>
              <w:t xml:space="preserve"> haciz sınırlamasına ilişkin 35 inci</w:t>
            </w:r>
            <w:r w:rsidRPr="00A23740">
              <w:rPr>
                <w:szCs w:val="24"/>
              </w:rPr>
              <w:t xml:space="preserve"> maddesi kamu düzeniyle ilgili, mutlak ve emredici bir hüküm olduğundan bu hükmün aksine sözleşme yapılamaz. Hacz</w:t>
            </w:r>
            <w:r w:rsidR="00496523" w:rsidRPr="00A23740">
              <w:rPr>
                <w:szCs w:val="24"/>
              </w:rPr>
              <w:t>edilmezlikten feragat İş Kanunu</w:t>
            </w:r>
            <w:r w:rsidRPr="00A23740">
              <w:rPr>
                <w:szCs w:val="24"/>
              </w:rPr>
              <w:t>na t</w:t>
            </w:r>
            <w:r w:rsidR="00D81869" w:rsidRPr="00A23740">
              <w:rPr>
                <w:szCs w:val="24"/>
              </w:rPr>
              <w:t>a</w:t>
            </w:r>
            <w:r w:rsidRPr="00A23740">
              <w:rPr>
                <w:szCs w:val="24"/>
              </w:rPr>
              <w:t xml:space="preserve">bi olan işçilerin ücretleri bakımından mümkün değildir. </w:t>
            </w:r>
            <w:r w:rsidR="00DF59FA" w:rsidRPr="00A23740">
              <w:rPr>
                <w:szCs w:val="24"/>
              </w:rPr>
              <w:t xml:space="preserve">İşçi </w:t>
            </w:r>
            <w:r w:rsidRPr="00A23740">
              <w:rPr>
                <w:szCs w:val="24"/>
              </w:rPr>
              <w:t xml:space="preserve">haciz esnasında </w:t>
            </w:r>
            <w:r w:rsidR="00DF59FA" w:rsidRPr="00A23740">
              <w:rPr>
                <w:szCs w:val="24"/>
              </w:rPr>
              <w:t xml:space="preserve">olduğu gibi, </w:t>
            </w:r>
            <w:r w:rsidRPr="00A23740">
              <w:rPr>
                <w:szCs w:val="24"/>
              </w:rPr>
              <w:t xml:space="preserve">hacizden sonra </w:t>
            </w:r>
            <w:r w:rsidR="00DF59FA" w:rsidRPr="00A23740">
              <w:rPr>
                <w:szCs w:val="24"/>
              </w:rPr>
              <w:t>da</w:t>
            </w:r>
            <w:r w:rsidRPr="00A23740">
              <w:rPr>
                <w:szCs w:val="24"/>
              </w:rPr>
              <w:t xml:space="preserve"> ücretinin </w:t>
            </w:r>
            <w:r w:rsidR="00E33A0B" w:rsidRPr="00A23740">
              <w:rPr>
                <w:szCs w:val="24"/>
              </w:rPr>
              <w:t>dörtte birinden</w:t>
            </w:r>
            <w:r w:rsidRPr="00A23740">
              <w:rPr>
                <w:szCs w:val="24"/>
              </w:rPr>
              <w:t xml:space="preserve"> fazlasının haczedilmesine muvafakat edemez. Bunun aksine </w:t>
            </w:r>
            <w:r w:rsidR="00DF59FA" w:rsidRPr="00A23740">
              <w:rPr>
                <w:szCs w:val="24"/>
              </w:rPr>
              <w:t xml:space="preserve">olan </w:t>
            </w:r>
            <w:r w:rsidRPr="00A23740">
              <w:rPr>
                <w:szCs w:val="24"/>
              </w:rPr>
              <w:t>icra sözleşmeleri geçersizdir.</w:t>
            </w: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Yavrulu hayvanların haczi</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Madde 83/b – (1) (Ek: 18</w:t>
            </w:r>
            <w:r w:rsidRPr="00A23740">
              <w:rPr>
                <w:rFonts w:eastAsia="Times New Roman"/>
                <w:b/>
                <w:strike/>
                <w:color w:val="FF0000"/>
                <w:szCs w:val="24"/>
                <w:lang w:eastAsia="tr-TR"/>
              </w:rPr>
              <w:t>/2/1965 - 538/47 md.)</w:t>
            </w: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Hayvan hacizlerinde, anaları tarafından beslenme ve bakılmaya muhtaç olan yavrular analarından ayrı haczedilem</w:t>
            </w:r>
            <w:r w:rsidRPr="00A23740">
              <w:rPr>
                <w:rStyle w:val="KIRMIZIChar"/>
                <w:rFonts w:eastAsia="Calibri"/>
              </w:rPr>
              <w:t>i</w:t>
            </w:r>
            <w:r w:rsidRPr="00A23740">
              <w:rPr>
                <w:rFonts w:eastAsia="Times New Roman"/>
                <w:szCs w:val="24"/>
                <w:lang w:eastAsia="tr-TR"/>
              </w:rPr>
              <w:t>yecekleri gibi bunların anaları da yavrularından ayrı haczedilemezler.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Yavrulu hayvanların haczi</w:t>
            </w:r>
          </w:p>
          <w:p w:rsidR="00AA5C8C" w:rsidRPr="00A23740" w:rsidRDefault="00AA5C8C" w:rsidP="009431FF">
            <w:pPr>
              <w:tabs>
                <w:tab w:val="left" w:pos="567"/>
              </w:tabs>
              <w:rPr>
                <w:rFonts w:eastAsia="Times New Roman"/>
                <w:szCs w:val="24"/>
                <w:lang w:eastAsia="tr-TR"/>
              </w:rPr>
            </w:pPr>
            <w:r w:rsidRPr="00A23740">
              <w:rPr>
                <w:rStyle w:val="MaviChar"/>
                <w:lang w:val="tr-TR"/>
              </w:rPr>
              <w:t>MADDE 16</w:t>
            </w:r>
            <w:r w:rsidR="00496523" w:rsidRPr="00A23740">
              <w:rPr>
                <w:rStyle w:val="MaviChar"/>
                <w:lang w:val="tr-TR"/>
              </w:rPr>
              <w:t>5</w:t>
            </w:r>
            <w:r w:rsidRPr="00A23740">
              <w:rPr>
                <w:rStyle w:val="MaviChar"/>
                <w:lang w:val="tr-TR"/>
              </w:rPr>
              <w:t>-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Hayvan hacizlerinde, anaları tarafından beslenme ve bakılmaya muhtaç olan yavrular analarından ayrı haczedilem</w:t>
            </w:r>
            <w:r w:rsidRPr="00A23740">
              <w:rPr>
                <w:rStyle w:val="MAVChar"/>
                <w:rFonts w:eastAsia="Calibri"/>
                <w:u w:val="none"/>
              </w:rPr>
              <w:t>e</w:t>
            </w:r>
            <w:r w:rsidRPr="00A23740">
              <w:rPr>
                <w:rFonts w:eastAsia="Times New Roman"/>
                <w:szCs w:val="24"/>
                <w:lang w:eastAsia="tr-TR"/>
              </w:rPr>
              <w:t>yecekleri gibi bunların anaları da yavrularından ayrı haczedilemezler.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E33A0B" w:rsidRPr="00A23740" w:rsidRDefault="00E33A0B" w:rsidP="009431FF">
            <w:pPr>
              <w:tabs>
                <w:tab w:val="left" w:pos="567"/>
              </w:tabs>
              <w:ind w:firstLine="709"/>
              <w:rPr>
                <w:rFonts w:eastAsia="Times New Roman"/>
                <w:b/>
                <w:szCs w:val="24"/>
                <w:lang w:eastAsia="tr-TR"/>
              </w:rPr>
            </w:pPr>
          </w:p>
          <w:p w:rsidR="00E33A0B" w:rsidRPr="00A23740" w:rsidRDefault="00B62391" w:rsidP="009431FF">
            <w:pPr>
              <w:tabs>
                <w:tab w:val="left" w:pos="567"/>
              </w:tabs>
              <w:ind w:firstLine="709"/>
              <w:rPr>
                <w:rFonts w:eastAsia="Times New Roman"/>
                <w:szCs w:val="24"/>
                <w:lang w:eastAsia="tr-TR"/>
              </w:rPr>
            </w:pPr>
            <w:r w:rsidRPr="00A23740">
              <w:rPr>
                <w:rFonts w:eastAsia="Times New Roman"/>
                <w:b/>
                <w:szCs w:val="24"/>
                <w:lang w:eastAsia="tr-TR"/>
              </w:rPr>
              <w:t>MADDE 16</w:t>
            </w:r>
            <w:r w:rsidR="00496523" w:rsidRPr="00A23740">
              <w:rPr>
                <w:rFonts w:eastAsia="Times New Roman"/>
                <w:b/>
                <w:szCs w:val="24"/>
                <w:lang w:eastAsia="tr-TR"/>
              </w:rPr>
              <w:t>5</w:t>
            </w:r>
            <w:r w:rsidRPr="00A23740">
              <w:rPr>
                <w:rFonts w:eastAsia="Times New Roman"/>
                <w:b/>
                <w:szCs w:val="24"/>
                <w:lang w:eastAsia="tr-TR"/>
              </w:rPr>
              <w:t xml:space="preserve"> </w:t>
            </w:r>
            <w:r w:rsidR="00E33A0B" w:rsidRPr="00A23740">
              <w:rPr>
                <w:rFonts w:eastAsia="Times New Roman"/>
                <w:b/>
                <w:szCs w:val="24"/>
                <w:lang w:eastAsia="tr-TR"/>
              </w:rPr>
              <w:t>–</w:t>
            </w:r>
            <w:r w:rsidRPr="00A23740">
              <w:rPr>
                <w:rFonts w:eastAsia="Times New Roman"/>
                <w:szCs w:val="24"/>
                <w:lang w:eastAsia="tr-TR"/>
              </w:rPr>
              <w:t xml:space="preserve"> </w:t>
            </w:r>
            <w:r w:rsidR="00E33A0B" w:rsidRPr="00A23740">
              <w:rPr>
                <w:bCs/>
                <w:color w:val="000000"/>
                <w:szCs w:val="24"/>
                <w:lang w:eastAsia="x-none"/>
              </w:rPr>
              <w:t>Maddeyle, yavrulu hayvanların haczine ilişkin hususlar düzenlenmektedir. Hüküm, 2004 sayılı Kanunun 83/b maddesine karşılık gelmektedir.</w:t>
            </w:r>
          </w:p>
          <w:p w:rsidR="00B62391" w:rsidRPr="00A23740" w:rsidRDefault="00E33A0B" w:rsidP="009431FF">
            <w:pPr>
              <w:tabs>
                <w:tab w:val="left" w:pos="567"/>
              </w:tabs>
              <w:ind w:firstLine="709"/>
              <w:rPr>
                <w:rFonts w:eastAsia="Times New Roman"/>
                <w:b/>
                <w:szCs w:val="24"/>
                <w:lang w:eastAsia="tr-TR"/>
              </w:rPr>
            </w:pPr>
            <w:r w:rsidRPr="00A23740">
              <w:rPr>
                <w:rFonts w:eastAsia="Times New Roman"/>
                <w:szCs w:val="24"/>
                <w:lang w:eastAsia="tr-TR"/>
              </w:rPr>
              <w:t>Bu maddeyle,</w:t>
            </w:r>
            <w:r w:rsidR="00B62391" w:rsidRPr="00A23740">
              <w:rPr>
                <w:rFonts w:eastAsia="Times New Roman"/>
                <w:szCs w:val="24"/>
                <w:lang w:eastAsia="tr-TR"/>
              </w:rPr>
              <w:t xml:space="preserve"> hayvan hacizleri sırasında </w:t>
            </w:r>
            <w:r w:rsidRPr="00A23740">
              <w:rPr>
                <w:rFonts w:eastAsia="Times New Roman"/>
                <w:szCs w:val="24"/>
                <w:lang w:eastAsia="tr-TR"/>
              </w:rPr>
              <w:t>beslenme ve bakılmaya muhtaç olan yavruların</w:t>
            </w:r>
            <w:r w:rsidR="00207F8F" w:rsidRPr="00A23740">
              <w:rPr>
                <w:rFonts w:eastAsia="Times New Roman"/>
                <w:szCs w:val="24"/>
                <w:lang w:eastAsia="tr-TR"/>
              </w:rPr>
              <w:t xml:space="preserve"> analarından;</w:t>
            </w:r>
            <w:r w:rsidRPr="00A23740">
              <w:rPr>
                <w:rFonts w:eastAsia="Times New Roman"/>
                <w:szCs w:val="24"/>
                <w:lang w:eastAsia="tr-TR"/>
              </w:rPr>
              <w:t xml:space="preserve"> </w:t>
            </w:r>
            <w:r w:rsidR="00207F8F" w:rsidRPr="00A23740">
              <w:rPr>
                <w:rFonts w:eastAsia="Times New Roman"/>
                <w:szCs w:val="24"/>
                <w:lang w:eastAsia="tr-TR"/>
              </w:rPr>
              <w:t xml:space="preserve">aynı şekilde anaların da beslenme ve bakıma muhtaç olan yavrularından ayrı haczedilemeyeceği hüküm altına alınmaktadır. Bu şekilde beslenme ve bakıma muhtaç olan </w:t>
            </w:r>
            <w:r w:rsidR="00B62391" w:rsidRPr="00A23740">
              <w:rPr>
                <w:rFonts w:eastAsia="Times New Roman"/>
                <w:szCs w:val="24"/>
                <w:lang w:eastAsia="tr-TR"/>
              </w:rPr>
              <w:t xml:space="preserve">yavruların </w:t>
            </w:r>
            <w:r w:rsidR="00207F8F" w:rsidRPr="00A23740">
              <w:rPr>
                <w:rFonts w:eastAsia="Times New Roman"/>
                <w:szCs w:val="24"/>
                <w:lang w:eastAsia="tr-TR"/>
              </w:rPr>
              <w:t>beslenme ve bakımdan mahrum kalmamaları amaçlanmaktadır.</w:t>
            </w:r>
          </w:p>
          <w:p w:rsidR="00B62391" w:rsidRPr="00A23740" w:rsidRDefault="00B62391" w:rsidP="00DE193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Style w:val="KIRMIZIChar"/>
                <w:rFonts w:eastAsia="Calibri"/>
              </w:rPr>
              <w:t>Taşınmaz Rehni Kapsamındaki</w:t>
            </w:r>
            <w:r w:rsidRPr="00A23740">
              <w:rPr>
                <w:rFonts w:eastAsia="Times New Roman"/>
                <w:b/>
                <w:szCs w:val="24"/>
                <w:lang w:eastAsia="tr-TR"/>
              </w:rPr>
              <w:t xml:space="preserve"> Eklentinin Haczi</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b/>
                <w:szCs w:val="24"/>
                <w:lang w:eastAsia="tr-TR"/>
              </w:rPr>
            </w:pPr>
            <w:r w:rsidRPr="00A23740">
              <w:rPr>
                <w:rStyle w:val="KIRMIZIChar"/>
                <w:rFonts w:eastAsia="Calibri"/>
              </w:rPr>
              <w:t>Madde 83/c – (1) (Ek:</w:t>
            </w:r>
            <w:r w:rsidRPr="00A23740">
              <w:rPr>
                <w:rFonts w:eastAsia="Times New Roman"/>
                <w:b/>
                <w:strike/>
                <w:color w:val="FF0000"/>
                <w:szCs w:val="24"/>
                <w:lang w:eastAsia="tr-TR"/>
              </w:rPr>
              <w:t xml:space="preserve"> 9/11/1988 - 3494/7 md.)</w:t>
            </w:r>
          </w:p>
          <w:p w:rsidR="00AA5C8C" w:rsidRPr="00A23740" w:rsidRDefault="00AA5C8C" w:rsidP="009431FF">
            <w:pPr>
              <w:tabs>
                <w:tab w:val="left" w:pos="567"/>
              </w:tabs>
              <w:rPr>
                <w:rFonts w:eastAsia="Times New Roman"/>
                <w:szCs w:val="24"/>
                <w:lang w:eastAsia="tr-TR"/>
              </w:rPr>
            </w:pPr>
            <w:r w:rsidRPr="00A23740">
              <w:t xml:space="preserve">Taşınmaz </w:t>
            </w:r>
            <w:r w:rsidRPr="00A23740">
              <w:rPr>
                <w:rStyle w:val="KIRMIZIChar"/>
                <w:rFonts w:eastAsia="Calibri"/>
              </w:rPr>
              <w:t>rehni ipotek akit tablosunda sayılı bulunan</w:t>
            </w:r>
            <w:r w:rsidRPr="00A23740">
              <w:rPr>
                <w:rFonts w:eastAsia="Times New Roman"/>
                <w:szCs w:val="24"/>
                <w:lang w:eastAsia="tr-TR"/>
              </w:rPr>
              <w:t xml:space="preserve"> eklenti taşınmazdan ayrı olarak haczedile</w:t>
            </w:r>
            <w:r w:rsidRPr="00A23740">
              <w:rPr>
                <w:rStyle w:val="KIRMIZIChar"/>
                <w:rFonts w:eastAsia="Calibri"/>
              </w:rPr>
              <w:t>mez</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(2) Türk</w:t>
            </w:r>
            <w:r w:rsidRPr="00A23740">
              <w:rPr>
                <w:rFonts w:eastAsia="Times New Roman"/>
                <w:b/>
                <w:strike/>
                <w:color w:val="FF0000"/>
                <w:szCs w:val="24"/>
                <w:lang w:eastAsia="tr-TR"/>
              </w:rPr>
              <w:t xml:space="preserve"> Kanunu Medenisinin 777 nci maddesi hükmü saklıdır.</w:t>
            </w:r>
          </w:p>
          <w:p w:rsidR="00F2357B" w:rsidRPr="00A23740" w:rsidRDefault="00F2357B"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Eklenti</w:t>
            </w:r>
            <w:r w:rsidRPr="00A23740">
              <w:rPr>
                <w:rFonts w:eastAsia="Times New Roman"/>
                <w:b/>
                <w:color w:val="0000FF"/>
                <w:lang w:eastAsia="tr-TR"/>
              </w:rPr>
              <w:t>ler</w:t>
            </w:r>
            <w:r w:rsidRPr="00A23740">
              <w:rPr>
                <w:rFonts w:eastAsia="Times New Roman"/>
                <w:b/>
                <w:szCs w:val="24"/>
                <w:lang w:eastAsia="tr-TR"/>
              </w:rPr>
              <w:t>in haczi</w:t>
            </w:r>
          </w:p>
          <w:p w:rsidR="00AA5C8C" w:rsidRPr="00A23740" w:rsidRDefault="00AA5C8C" w:rsidP="009431FF">
            <w:pPr>
              <w:tabs>
                <w:tab w:val="left" w:pos="567"/>
              </w:tabs>
            </w:pPr>
            <w:r w:rsidRPr="00A23740">
              <w:rPr>
                <w:rStyle w:val="MaviChar"/>
                <w:lang w:val="tr-TR"/>
              </w:rPr>
              <w:t>MADDE 16</w:t>
            </w:r>
            <w:r w:rsidR="00496523" w:rsidRPr="00A23740">
              <w:rPr>
                <w:rStyle w:val="MaviChar"/>
                <w:lang w:val="tr-TR"/>
              </w:rPr>
              <w:t>6</w:t>
            </w:r>
            <w:r w:rsidRPr="00A23740">
              <w:rPr>
                <w:rFonts w:eastAsia="Times New Roman"/>
                <w:b/>
                <w:color w:val="0000FF"/>
                <w:szCs w:val="24"/>
                <w:lang w:eastAsia="tr-TR"/>
              </w:rPr>
              <w:t>- (1)</w:t>
            </w:r>
            <w:r w:rsidRPr="00A23740">
              <w:t xml:space="preserve"> Taşınmaz</w:t>
            </w:r>
            <w:r w:rsidRPr="00A23740">
              <w:rPr>
                <w:rFonts w:eastAsia="Times New Roman"/>
                <w:b/>
                <w:color w:val="0000FF"/>
                <w:szCs w:val="24"/>
                <w:lang w:eastAsia="tr-TR"/>
              </w:rPr>
              <w:t>ın tapu sicilinde beyanlar sütununda sayılan</w:t>
            </w:r>
            <w:r w:rsidRPr="00A23740">
              <w:t xml:space="preserve"> eklenti</w:t>
            </w:r>
            <w:r w:rsidRPr="00A23740">
              <w:rPr>
                <w:rFonts w:eastAsia="Times New Roman"/>
                <w:b/>
                <w:color w:val="0000FF"/>
                <w:szCs w:val="24"/>
                <w:lang w:eastAsia="tr-TR"/>
              </w:rPr>
              <w:t>ler,</w:t>
            </w:r>
            <w:r w:rsidRPr="00A23740">
              <w:t xml:space="preserve"> taşınmazdan ayrı olarak haczedile</w:t>
            </w:r>
            <w:r w:rsidR="004C1DE7" w:rsidRPr="00A23740">
              <w:t>mez.</w:t>
            </w:r>
          </w:p>
          <w:p w:rsidR="00AA5C8C" w:rsidRPr="00A23740" w:rsidRDefault="00AA5C8C" w:rsidP="009431FF">
            <w:pPr>
              <w:tabs>
                <w:tab w:val="left" w:pos="567"/>
              </w:tabs>
              <w:rPr>
                <w:rFonts w:eastAsia="Times New Roman"/>
                <w:b/>
                <w:color w:val="0000FF"/>
                <w:szCs w:val="24"/>
                <w:lang w:eastAsia="tr-TR"/>
              </w:rPr>
            </w:pPr>
          </w:p>
          <w:p w:rsidR="00AA5C8C" w:rsidRPr="0066593B" w:rsidRDefault="00AA5C8C" w:rsidP="009431FF">
            <w:pPr>
              <w:tabs>
                <w:tab w:val="left" w:pos="567"/>
              </w:tabs>
              <w:rPr>
                <w:rFonts w:eastAsia="Times New Roman"/>
                <w:b/>
                <w:color w:val="0000FF"/>
                <w:szCs w:val="24"/>
                <w:lang w:eastAsia="tr-TR"/>
              </w:rPr>
            </w:pPr>
            <w:r w:rsidRPr="0066593B">
              <w:rPr>
                <w:rFonts w:eastAsia="Times New Roman"/>
                <w:b/>
                <w:color w:val="0000FF"/>
                <w:szCs w:val="24"/>
                <w:lang w:eastAsia="tr-TR"/>
              </w:rPr>
              <w:t>(2) Taşınmazın tapu sicilinde beyanlar sütununda sayılmayan eklentilerin</w:t>
            </w:r>
            <w:r w:rsidR="00EF7E58" w:rsidRPr="0066593B">
              <w:rPr>
                <w:rFonts w:eastAsia="Times New Roman"/>
                <w:b/>
                <w:color w:val="0000FF"/>
                <w:szCs w:val="24"/>
                <w:lang w:eastAsia="tr-TR"/>
              </w:rPr>
              <w:t>in</w:t>
            </w:r>
            <w:r w:rsidRPr="0066593B">
              <w:rPr>
                <w:rFonts w:eastAsia="Times New Roman"/>
                <w:b/>
                <w:color w:val="0000FF"/>
                <w:szCs w:val="24"/>
                <w:lang w:eastAsia="tr-TR"/>
              </w:rPr>
              <w:t xml:space="preserve"> haczedilmesi h</w:t>
            </w:r>
            <w:r w:rsidR="001D7D44" w:rsidRPr="0066593B">
              <w:rPr>
                <w:rFonts w:eastAsia="Times New Roman"/>
                <w:b/>
                <w:color w:val="0000FF"/>
                <w:szCs w:val="24"/>
                <w:lang w:eastAsia="tr-TR"/>
              </w:rPr>
              <w:t>â</w:t>
            </w:r>
            <w:r w:rsidRPr="0066593B">
              <w:rPr>
                <w:rFonts w:eastAsia="Times New Roman"/>
                <w:b/>
                <w:color w:val="0000FF"/>
                <w:szCs w:val="24"/>
                <w:lang w:eastAsia="tr-TR"/>
              </w:rPr>
              <w:t>linde, rehinli alacaklı eklentinin haczinden önce rehnin paraya çevrilmesi yoluyla takip talebinde bulunmamış</w:t>
            </w:r>
            <w:r w:rsidR="004C1DE7" w:rsidRPr="0066593B">
              <w:rPr>
                <w:rFonts w:eastAsia="Times New Roman"/>
                <w:b/>
                <w:color w:val="0000FF"/>
                <w:lang w:eastAsia="tr-TR"/>
              </w:rPr>
              <w:t>sa</w:t>
            </w:r>
            <w:r w:rsidRPr="0066593B">
              <w:rPr>
                <w:rFonts w:eastAsia="Times New Roman"/>
                <w:b/>
                <w:color w:val="0000FF"/>
                <w:szCs w:val="24"/>
                <w:lang w:eastAsia="tr-TR"/>
              </w:rPr>
              <w:t>, haczedilen eklenti üze</w:t>
            </w:r>
            <w:r w:rsidR="004C1DE7" w:rsidRPr="0066593B">
              <w:rPr>
                <w:rFonts w:eastAsia="Times New Roman"/>
                <w:b/>
                <w:color w:val="0000FF"/>
                <w:szCs w:val="24"/>
                <w:lang w:eastAsia="tr-TR"/>
              </w:rPr>
              <w:t>rindeki rüçhan hakkı sona erer.</w:t>
            </w:r>
          </w:p>
          <w:p w:rsidR="00F2357B" w:rsidRPr="00A23740" w:rsidRDefault="00F2357B" w:rsidP="009431FF">
            <w:pPr>
              <w:pStyle w:val="YEL"/>
              <w:rPr>
                <w:lang w:val="tr-TR" w:eastAsia="tr-TR"/>
              </w:rPr>
            </w:pPr>
          </w:p>
          <w:p w:rsidR="00AA5C8C" w:rsidRPr="00A23740" w:rsidRDefault="00AA5C8C" w:rsidP="009431FF">
            <w:pPr>
              <w:pStyle w:val="YEL"/>
              <w:rPr>
                <w:lang w:val="tr-TR" w:eastAsia="tr-TR"/>
              </w:rPr>
            </w:pPr>
            <w:r w:rsidRPr="00DC7A0B">
              <w:rPr>
                <w:color w:val="0000FF"/>
                <w:lang w:val="tr-TR" w:eastAsia="tr-TR"/>
              </w:rPr>
              <w:t xml:space="preserve">(3) Satışa çıkarılan taşınmazda eklenti niteliğinde olup </w:t>
            </w:r>
            <w:r w:rsidRPr="00DC7A0B">
              <w:rPr>
                <w:rStyle w:val="Stil5Char0"/>
                <w:b/>
                <w:color w:val="0000FF"/>
                <w:lang w:val="tr-TR"/>
              </w:rPr>
              <w:t>özel kanunları uyarınca</w:t>
            </w:r>
            <w:r w:rsidRPr="00DC7A0B">
              <w:rPr>
                <w:color w:val="0000FF"/>
                <w:lang w:val="tr-TR" w:eastAsia="tr-TR"/>
              </w:rPr>
              <w:t xml:space="preserve"> </w:t>
            </w:r>
            <w:r w:rsidRPr="00DC7A0B">
              <w:rPr>
                <w:rStyle w:val="Stil5Char0"/>
                <w:b/>
                <w:color w:val="0000FF"/>
                <w:lang w:val="tr-TR"/>
              </w:rPr>
              <w:t>Devlet teşviki</w:t>
            </w:r>
            <w:r w:rsidRPr="00DC7A0B">
              <w:rPr>
                <w:color w:val="0000FF"/>
                <w:lang w:val="tr-TR" w:eastAsia="tr-TR"/>
              </w:rPr>
              <w:t xml:space="preserve"> </w:t>
            </w:r>
            <w:r w:rsidRPr="00DC7A0B">
              <w:rPr>
                <w:rStyle w:val="Stil5Char0"/>
                <w:b/>
                <w:color w:val="0000FF"/>
                <w:lang w:val="tr-TR"/>
              </w:rPr>
              <w:t>ile edinilmiş</w:t>
            </w:r>
            <w:r w:rsidRPr="00DC7A0B">
              <w:rPr>
                <w:color w:val="0000FF"/>
                <w:lang w:val="tr-TR" w:eastAsia="tr-TR"/>
              </w:rPr>
              <w:t xml:space="preserve"> mal varsa, icra ve iflas dairesi bu malların kıymetini ayrıca takdir ettirir. Satıştan önce ilgili kurumlardan bu mallar üzerindeki vergi, resim, harç gibi yükümlülükler sorulur. Satış isteyen alacaklının talebi üzerine bu mallar satış dışında</w:t>
            </w:r>
            <w:r w:rsidRPr="00A23740">
              <w:rPr>
                <w:lang w:val="tr-TR" w:eastAsia="tr-TR"/>
              </w:rPr>
              <w:t xml:space="preserve"> </w:t>
            </w:r>
            <w:r w:rsidR="004C1DE7" w:rsidRPr="00DC7A0B">
              <w:rPr>
                <w:color w:val="0000FF"/>
                <w:lang w:val="tr-TR" w:eastAsia="tr-TR"/>
              </w:rPr>
              <w:t>tutulabilir veya</w:t>
            </w:r>
            <w:r w:rsidRPr="00DC7A0B">
              <w:rPr>
                <w:color w:val="0000FF"/>
                <w:lang w:val="tr-TR" w:eastAsia="tr-TR"/>
              </w:rPr>
              <w:t xml:space="preserve"> üzerlerindeki vergi, resim, harç gibi malın aynından kaynaklanan kamu alacakları dikkate alınarak</w:t>
            </w:r>
            <w:r w:rsidRPr="00A23740">
              <w:rPr>
                <w:lang w:val="tr-TR" w:eastAsia="tr-TR"/>
              </w:rPr>
              <w:t xml:space="preserve"> </w:t>
            </w:r>
            <w:r w:rsidRPr="00DC7A0B">
              <w:rPr>
                <w:color w:val="0000FF"/>
                <w:lang w:val="tr-TR" w:eastAsia="tr-TR"/>
              </w:rPr>
              <w:t>taşınmazla birlikte paraya çevrilebilir.</w:t>
            </w:r>
          </w:p>
          <w:p w:rsidR="00AA5C8C" w:rsidRPr="00A23740" w:rsidRDefault="00AA5C8C" w:rsidP="009431FF">
            <w:pPr>
              <w:pStyle w:val="YEL"/>
              <w:rPr>
                <w:lang w:val="tr-TR" w:eastAsia="tr-TR"/>
              </w:rPr>
            </w:pPr>
          </w:p>
        </w:tc>
      </w:tr>
      <w:tr w:rsidR="00207F8F" w:rsidRPr="00A23740" w:rsidTr="009431FF">
        <w:tblPrEx>
          <w:tblLook w:val="01E0" w:firstRow="1" w:lastRow="1" w:firstColumn="1" w:lastColumn="1" w:noHBand="0" w:noVBand="0"/>
        </w:tblPrEx>
        <w:tc>
          <w:tcPr>
            <w:tcW w:w="5000" w:type="pct"/>
            <w:gridSpan w:val="2"/>
            <w:shd w:val="clear" w:color="auto" w:fill="DEEAF6"/>
          </w:tcPr>
          <w:p w:rsidR="00207F8F" w:rsidRPr="00A23740" w:rsidRDefault="00207F8F" w:rsidP="009431FF">
            <w:pPr>
              <w:tabs>
                <w:tab w:val="left" w:pos="567"/>
              </w:tabs>
              <w:ind w:firstLine="567"/>
              <w:rPr>
                <w:rFonts w:eastAsia="Times New Roman"/>
                <w:b/>
                <w:szCs w:val="24"/>
                <w:lang w:eastAsia="tr-TR"/>
              </w:rPr>
            </w:pPr>
          </w:p>
          <w:p w:rsidR="004C5FD1" w:rsidRPr="00A23740" w:rsidRDefault="00207F8F" w:rsidP="009431FF">
            <w:pPr>
              <w:ind w:firstLine="567"/>
            </w:pPr>
            <w:r w:rsidRPr="00A23740">
              <w:rPr>
                <w:rFonts w:eastAsia="Times New Roman"/>
                <w:b/>
                <w:szCs w:val="24"/>
                <w:lang w:eastAsia="tr-TR"/>
              </w:rPr>
              <w:t>MADDE 16</w:t>
            </w:r>
            <w:r w:rsidR="004C1DE7" w:rsidRPr="00A23740">
              <w:rPr>
                <w:rFonts w:eastAsia="Times New Roman"/>
                <w:b/>
                <w:szCs w:val="24"/>
                <w:lang w:eastAsia="tr-TR"/>
              </w:rPr>
              <w:t>6</w:t>
            </w:r>
            <w:r w:rsidRPr="00A23740">
              <w:rPr>
                <w:rFonts w:eastAsia="Times New Roman"/>
                <w:b/>
                <w:szCs w:val="24"/>
                <w:lang w:eastAsia="tr-TR"/>
              </w:rPr>
              <w:t>-</w:t>
            </w:r>
            <w:r w:rsidRPr="00A23740">
              <w:rPr>
                <w:rFonts w:eastAsia="Times New Roman"/>
                <w:szCs w:val="24"/>
                <w:lang w:eastAsia="tr-TR"/>
              </w:rPr>
              <w:t xml:space="preserve"> </w:t>
            </w:r>
            <w:r w:rsidR="004C5FD1" w:rsidRPr="00A23740">
              <w:t>Maddeyle, bir taşınmazın eklenti</w:t>
            </w:r>
            <w:r w:rsidR="004C1DE7" w:rsidRPr="00A23740">
              <w:t>lerinin haczi düzenlenmektedir.</w:t>
            </w:r>
          </w:p>
          <w:p w:rsidR="004C5FD1" w:rsidRPr="00A23740" w:rsidRDefault="004C5FD1" w:rsidP="009431FF">
            <w:pPr>
              <w:ind w:firstLine="567"/>
              <w:rPr>
                <w:lang w:eastAsia="tr-TR"/>
              </w:rPr>
            </w:pPr>
            <w:r w:rsidRPr="00A23740">
              <w:t xml:space="preserve">Maddenin </w:t>
            </w:r>
            <w:r w:rsidR="004272A1" w:rsidRPr="00A23740">
              <w:t xml:space="preserve">ilk </w:t>
            </w:r>
            <w:r w:rsidRPr="00A23740">
              <w:t>fıkrasında, bir taşınmaz</w:t>
            </w:r>
            <w:r w:rsidRPr="00A23740">
              <w:rPr>
                <w:rFonts w:eastAsia="Times New Roman"/>
                <w:szCs w:val="24"/>
                <w:lang w:eastAsia="tr-TR"/>
              </w:rPr>
              <w:t>ın tapu sicilindeki beyanlar sütununda sayılan</w:t>
            </w:r>
            <w:r w:rsidRPr="00A23740">
              <w:t xml:space="preserve"> eklenti</w:t>
            </w:r>
            <w:r w:rsidRPr="00A23740">
              <w:rPr>
                <w:rFonts w:eastAsia="Times New Roman"/>
                <w:szCs w:val="24"/>
                <w:lang w:eastAsia="tr-TR"/>
              </w:rPr>
              <w:t>lerin,</w:t>
            </w:r>
            <w:r w:rsidRPr="00A23740">
              <w:t xml:space="preserve"> taşınmazdan ayrı olarak haczedilemeyeceği kabul edilmektedir. Söz konusu düzenlemeyle, 2004 sayılı</w:t>
            </w:r>
            <w:r w:rsidR="00371300" w:rsidRPr="00A23740">
              <w:t xml:space="preserve"> </w:t>
            </w:r>
            <w:r w:rsidR="00371300" w:rsidRPr="00DC7A0B">
              <w:rPr>
                <w:bCs/>
              </w:rPr>
              <w:t>Kanunun</w:t>
            </w:r>
            <w:r w:rsidRPr="00A23740">
              <w:rPr>
                <w:b/>
              </w:rPr>
              <w:t xml:space="preserve"> </w:t>
            </w:r>
            <w:r w:rsidRPr="00A23740">
              <w:rPr>
                <w:lang w:eastAsia="tr-TR"/>
              </w:rPr>
              <w:t xml:space="preserve">83/c maddesinde ipotek akit tablosunda sayılı bulunan eklentilere ilişkin olarak konulmuş olan </w:t>
            </w:r>
            <w:r w:rsidR="004272A1" w:rsidRPr="00A23740">
              <w:rPr>
                <w:lang w:eastAsia="tr-TR"/>
              </w:rPr>
              <w:t>(</w:t>
            </w:r>
            <w:r w:rsidRPr="00A23740">
              <w:rPr>
                <w:lang w:eastAsia="tr-TR"/>
              </w:rPr>
              <w:t>taşınmazdan ayrı</w:t>
            </w:r>
            <w:r w:rsidR="004272A1" w:rsidRPr="00A23740">
              <w:rPr>
                <w:lang w:eastAsia="tr-TR"/>
              </w:rPr>
              <w:t>)</w:t>
            </w:r>
            <w:r w:rsidRPr="00A23740">
              <w:rPr>
                <w:lang w:eastAsia="tr-TR"/>
              </w:rPr>
              <w:t xml:space="preserve"> haciz yasağı, </w:t>
            </w:r>
            <w:r w:rsidR="008F75C3" w:rsidRPr="00DC7A0B">
              <w:rPr>
                <w:bCs/>
              </w:rPr>
              <w:t>4721 sayılı Kanunun</w:t>
            </w:r>
            <w:r w:rsidR="008F75C3" w:rsidRPr="00A23740">
              <w:t xml:space="preserve"> </w:t>
            </w:r>
            <w:r w:rsidRPr="00A23740">
              <w:t>862 nci maddesinin ikinci fıkrasına da uygun olarak</w:t>
            </w:r>
            <w:r w:rsidR="004272A1" w:rsidRPr="00A23740">
              <w:t>,</w:t>
            </w:r>
            <w:r w:rsidRPr="00A23740">
              <w:t xml:space="preserve"> beyanlar hanesinde sayılı bulunan eklentilere ilişkin haciz yasa</w:t>
            </w:r>
            <w:r w:rsidRPr="00A23740">
              <w:rPr>
                <w:lang w:eastAsia="tr-TR"/>
              </w:rPr>
              <w:t>ğı şeklinde değiştirilmiştir.</w:t>
            </w:r>
          </w:p>
          <w:p w:rsidR="004C5FD1" w:rsidRPr="00A23740" w:rsidRDefault="004C5FD1" w:rsidP="009431FF">
            <w:pPr>
              <w:ind w:firstLine="567"/>
              <w:rPr>
                <w:rFonts w:eastAsia="Times New Roman"/>
                <w:szCs w:val="24"/>
                <w:lang w:eastAsia="tr-TR"/>
              </w:rPr>
            </w:pPr>
            <w:r w:rsidRPr="00A23740">
              <w:rPr>
                <w:rFonts w:eastAsia="Times New Roman"/>
                <w:szCs w:val="24"/>
                <w:lang w:eastAsia="tr-TR"/>
              </w:rPr>
              <w:t>Maddenin ikinci fıkrasında, taşınmazın tapu sicilindeki beyanlar sütununda sayılmayan eklentilerin</w:t>
            </w:r>
            <w:r w:rsidR="004272A1" w:rsidRPr="00A23740">
              <w:rPr>
                <w:rFonts w:eastAsia="Times New Roman"/>
                <w:szCs w:val="24"/>
                <w:lang w:eastAsia="tr-TR"/>
              </w:rPr>
              <w:t>in</w:t>
            </w:r>
            <w:r w:rsidRPr="00A23740">
              <w:rPr>
                <w:rFonts w:eastAsia="Times New Roman"/>
                <w:szCs w:val="24"/>
                <w:lang w:eastAsia="tr-TR"/>
              </w:rPr>
              <w:t xml:space="preserve"> haczedilmesi h</w:t>
            </w:r>
            <w:r w:rsidR="001D7D44" w:rsidRPr="00A23740">
              <w:rPr>
                <w:rFonts w:eastAsia="Times New Roman"/>
                <w:szCs w:val="24"/>
                <w:lang w:eastAsia="tr-TR"/>
              </w:rPr>
              <w:t>â</w:t>
            </w:r>
            <w:r w:rsidRPr="00A23740">
              <w:rPr>
                <w:rFonts w:eastAsia="Times New Roman"/>
                <w:szCs w:val="24"/>
                <w:lang w:eastAsia="tr-TR"/>
              </w:rPr>
              <w:t xml:space="preserve">linde, rehinli alacaklının eklentinin haczinden önce rehnin paraya çevrilmesi yoluyla takip talebinde bulunmaması hâlinde, </w:t>
            </w:r>
            <w:r w:rsidRPr="00DC7A0B">
              <w:t>haczedilen eklenti üzerindeki rüçhan hakkı</w:t>
            </w:r>
            <w:r w:rsidR="004C1DE7" w:rsidRPr="00DC7A0B">
              <w:t>nın</w:t>
            </w:r>
            <w:r w:rsidRPr="00DC7A0B">
              <w:t xml:space="preserve"> sona ereceği belirtilmektedir. Bu düzenlemeyle, 2004 sayılı Kanunun 84 üncü maddesinde yer alan</w:t>
            </w:r>
            <w:r w:rsidR="004C1DE7" w:rsidRPr="00DC7A0B">
              <w:t xml:space="preserve"> ve</w:t>
            </w:r>
            <w:r w:rsidRPr="00DC7A0B">
              <w:t xml:space="preserve"> </w:t>
            </w:r>
            <w:r w:rsidRPr="00A23740">
              <w:t>yetişmemiş mahsullerin haczine ilişkin</w:t>
            </w:r>
            <w:r w:rsidR="004C1DE7" w:rsidRPr="00A23740">
              <w:t xml:space="preserve"> </w:t>
            </w:r>
            <w:r w:rsidR="004C1DE7" w:rsidRPr="00DC7A0B">
              <w:t>olan</w:t>
            </w:r>
            <w:r w:rsidRPr="00A23740">
              <w:t xml:space="preserve"> hüküm ile benzerlik arz eden bir düzenleme yapılmıştır. Buna göre tapu sicilinin beyanlar sütunun</w:t>
            </w:r>
            <w:r w:rsidRPr="00A23740">
              <w:rPr>
                <w:lang w:eastAsia="tr-TR"/>
              </w:rPr>
              <w:t>da yazılı olmadığı için taşınmazdan ayrı olarak haczedilmesine cevaz verilen taşınırlar üzerindeki rehin hakkının -rehinli alacaklının hacizden evvel takibe geçmiş olması h</w:t>
            </w:r>
            <w:r w:rsidR="001D7D44" w:rsidRPr="00A23740">
              <w:rPr>
                <w:lang w:eastAsia="tr-TR"/>
              </w:rPr>
              <w:t>â</w:t>
            </w:r>
            <w:r w:rsidRPr="00A23740">
              <w:rPr>
                <w:lang w:eastAsia="tr-TR"/>
              </w:rPr>
              <w:t>li müstesna- sona ereceği kabul edilmiştir. Böylece küçük miktarlı alacaklar için taşınmazın tamamının haczedilmesinden doğacak sakıncaların önlenmesi amaçlanmıştır.</w:t>
            </w:r>
          </w:p>
          <w:p w:rsidR="00207F8F" w:rsidRPr="00A23740" w:rsidRDefault="004C5FD1" w:rsidP="00DE193E">
            <w:pPr>
              <w:ind w:firstLine="567"/>
              <w:rPr>
                <w:b/>
                <w:bCs/>
                <w:color w:val="0000FF"/>
                <w:szCs w:val="24"/>
                <w:lang w:val="x-none" w:eastAsia="x-none"/>
              </w:rPr>
            </w:pPr>
            <w:r w:rsidRPr="00A23740">
              <w:t>Maddenin üçüncü fıkrasında</w:t>
            </w:r>
            <w:r w:rsidR="004C1DE7" w:rsidRPr="00A23740">
              <w:rPr>
                <w:rStyle w:val="YELChar"/>
              </w:rPr>
              <w:t>,</w:t>
            </w:r>
            <w:r w:rsidRPr="00A23740">
              <w:t xml:space="preserve"> satışı yapılacak taşınmazda eklenti niteliğinde </w:t>
            </w:r>
            <w:r w:rsidR="004C1DE7" w:rsidRPr="00DC7A0B">
              <w:t>olup</w:t>
            </w:r>
            <w:r w:rsidR="004C1DE7" w:rsidRPr="00A23740">
              <w:t xml:space="preserve"> </w:t>
            </w:r>
            <w:r w:rsidR="00F37300" w:rsidRPr="00A23740">
              <w:t>D</w:t>
            </w:r>
            <w:r w:rsidRPr="00A23740">
              <w:t>evlet teşviki</w:t>
            </w:r>
            <w:r w:rsidR="004272A1" w:rsidRPr="00A23740">
              <w:t>yle</w:t>
            </w:r>
            <w:r w:rsidRPr="00A23740">
              <w:t xml:space="preserve"> edinilen malların kıymetleri ile taşınmazın kıymetinin ayrı takdir edilerek alacaklı tarafından satış talebinin bu mallar</w:t>
            </w:r>
            <w:r w:rsidR="004272A1" w:rsidRPr="00A23740">
              <w:t>la</w:t>
            </w:r>
            <w:r w:rsidRPr="00A23740">
              <w:t xml:space="preserve"> birlikte veya ayrı talep edilmesi hâline ilişkin olarak artırmaya hazırlık işlemleri düzenlenmektedir. Ayrıca alacaklının satış talebinde bulunurken değerlendirme</w:t>
            </w:r>
            <w:r w:rsidR="004272A1" w:rsidRPr="00A23740">
              <w:t>,</w:t>
            </w:r>
            <w:r w:rsidRPr="00A23740">
              <w:t xml:space="preserve"> satışa hazırlık ve satış işlemleri yapılması aşamasında icra </w:t>
            </w:r>
            <w:r w:rsidR="00F37300" w:rsidRPr="00DC7A0B">
              <w:t>ve iflas</w:t>
            </w:r>
            <w:r w:rsidR="00F37300" w:rsidRPr="00A23740">
              <w:t xml:space="preserve"> </w:t>
            </w:r>
            <w:r w:rsidRPr="00A23740">
              <w:t>dairesince dikkate alınması amacıyla bu mallar üzerindeki vergi, resim, harç gibi yükümlülüklerin sorularak ihalede artırma bedelinin belirlenmesi amaçlanmaktadır</w:t>
            </w:r>
            <w:r w:rsidR="004C1DE7" w:rsidRPr="00A23740">
              <w:t>.</w:t>
            </w:r>
          </w:p>
          <w:p w:rsidR="00DC7A0B" w:rsidRPr="00A23740" w:rsidRDefault="00DC7A0B" w:rsidP="009431FF">
            <w:pPr>
              <w:tabs>
                <w:tab w:val="left" w:pos="567"/>
              </w:tabs>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Yetişmemiş </w:t>
            </w:r>
            <w:r w:rsidRPr="00A23740">
              <w:rPr>
                <w:rFonts w:eastAsia="Times New Roman"/>
                <w:b/>
                <w:strike/>
                <w:color w:val="FF0000"/>
                <w:szCs w:val="24"/>
                <w:lang w:eastAsia="tr-TR"/>
              </w:rPr>
              <w:t>mahsullerin</w:t>
            </w:r>
            <w:r w:rsidRPr="00A23740">
              <w:rPr>
                <w:rFonts w:eastAsia="Times New Roman"/>
                <w:b/>
                <w:szCs w:val="24"/>
                <w:lang w:eastAsia="tr-TR"/>
              </w:rPr>
              <w:t xml:space="preserve"> haczi :</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84 – (1)</w:t>
            </w:r>
            <w:r w:rsidRPr="00A23740">
              <w:rPr>
                <w:rFonts w:eastAsia="Times New Roman"/>
                <w:b/>
                <w:szCs w:val="24"/>
                <w:lang w:eastAsia="tr-TR"/>
              </w:rPr>
              <w:t xml:space="preserve"> </w:t>
            </w:r>
            <w:r w:rsidRPr="00A23740">
              <w:rPr>
                <w:rFonts w:eastAsia="Times New Roman"/>
                <w:szCs w:val="24"/>
                <w:lang w:eastAsia="tr-TR"/>
              </w:rPr>
              <w:t xml:space="preserve">Yetişmemiş </w:t>
            </w:r>
            <w:r w:rsidRPr="00A23740">
              <w:rPr>
                <w:rFonts w:eastAsia="Times New Roman"/>
                <w:b/>
                <w:strike/>
                <w:color w:val="FF0000"/>
                <w:szCs w:val="24"/>
                <w:lang w:eastAsia="tr-TR"/>
              </w:rPr>
              <w:t>her nevi</w:t>
            </w:r>
            <w:r w:rsidRPr="00A23740">
              <w:rPr>
                <w:rFonts w:eastAsia="Times New Roman"/>
                <w:szCs w:val="24"/>
                <w:lang w:eastAsia="tr-TR"/>
              </w:rPr>
              <w:t xml:space="preserve"> toprak</w:t>
            </w:r>
            <w:r w:rsidRPr="00A23740">
              <w:t xml:space="preserve"> ve</w:t>
            </w:r>
            <w:r w:rsidRPr="00A23740">
              <w:rPr>
                <w:rFonts w:eastAsia="Times New Roman"/>
                <w:szCs w:val="24"/>
                <w:lang w:eastAsia="tr-TR"/>
              </w:rPr>
              <w:t xml:space="preserve"> ağaç </w:t>
            </w:r>
            <w:r w:rsidRPr="00A23740">
              <w:rPr>
                <w:rFonts w:eastAsia="Times New Roman"/>
                <w:b/>
                <w:strike/>
                <w:color w:val="FF0000"/>
                <w:szCs w:val="24"/>
                <w:lang w:eastAsia="tr-TR"/>
              </w:rPr>
              <w:t>mahsulleri</w:t>
            </w:r>
            <w:r w:rsidRPr="00A23740">
              <w:rPr>
                <w:rFonts w:eastAsia="Times New Roman"/>
                <w:szCs w:val="24"/>
                <w:lang w:eastAsia="tr-TR"/>
              </w:rPr>
              <w:t xml:space="preserve"> yetişmeleri zaman</w:t>
            </w:r>
            <w:r w:rsidRPr="00A23740">
              <w:rPr>
                <w:rFonts w:eastAsia="Times New Roman"/>
                <w:b/>
                <w:strike/>
                <w:color w:val="FF0000"/>
                <w:szCs w:val="24"/>
                <w:lang w:eastAsia="tr-TR"/>
              </w:rPr>
              <w:t>ın</w:t>
            </w:r>
            <w:r w:rsidRPr="00A23740">
              <w:rPr>
                <w:rStyle w:val="KIRMIZIChar"/>
                <w:rFonts w:eastAsia="Calibri"/>
              </w:rPr>
              <w:t>dan e</w:t>
            </w:r>
            <w:r w:rsidRPr="00A23740">
              <w:rPr>
                <w:rFonts w:eastAsia="Times New Roman"/>
                <w:b/>
                <w:strike/>
                <w:color w:val="FF0000"/>
                <w:szCs w:val="24"/>
                <w:lang w:eastAsia="tr-TR"/>
              </w:rPr>
              <w:t>n çok iki ay evvel haczolunabilir</w:t>
            </w:r>
            <w:r w:rsidRPr="00A23740">
              <w:rPr>
                <w:rFonts w:eastAsia="Times New Roman"/>
                <w:szCs w:val="24"/>
                <w:lang w:eastAsia="tr-TR"/>
              </w:rPr>
              <w:t xml:space="preserve">. Bu </w:t>
            </w:r>
            <w:r w:rsidRPr="00A23740">
              <w:rPr>
                <w:rFonts w:eastAsia="Times New Roman"/>
                <w:b/>
                <w:strike/>
                <w:color w:val="FF0000"/>
                <w:szCs w:val="24"/>
                <w:lang w:eastAsia="tr-TR"/>
              </w:rPr>
              <w:t>suretle</w:t>
            </w:r>
            <w:r w:rsidRPr="00A23740">
              <w:rPr>
                <w:rFonts w:eastAsia="Times New Roman"/>
                <w:szCs w:val="24"/>
                <w:lang w:eastAsia="tr-TR"/>
              </w:rPr>
              <w:t xml:space="preserve"> haczedilen </w:t>
            </w:r>
            <w:r w:rsidRPr="00A23740">
              <w:rPr>
                <w:rFonts w:eastAsia="Times New Roman"/>
                <w:b/>
                <w:strike/>
                <w:color w:val="FF0000"/>
                <w:szCs w:val="24"/>
                <w:lang w:eastAsia="tr-TR"/>
              </w:rPr>
              <w:t>mahsullerin</w:t>
            </w:r>
            <w:r w:rsidRPr="00A23740">
              <w:rPr>
                <w:rFonts w:eastAsia="Times New Roman"/>
                <w:szCs w:val="24"/>
                <w:lang w:eastAsia="tr-TR"/>
              </w:rPr>
              <w:t xml:space="preserve"> borçlu tarafından başkasına devri haczeden alacaklıya karşı hükümsüz olup </w:t>
            </w:r>
            <w:r w:rsidRPr="00A23740">
              <w:rPr>
                <w:rFonts w:eastAsia="Times New Roman"/>
                <w:b/>
                <w:strike/>
                <w:color w:val="FF0000"/>
                <w:szCs w:val="24"/>
                <w:lang w:eastAsia="tr-TR"/>
              </w:rPr>
              <w:t>icranın</w:t>
            </w:r>
            <w:r w:rsidRPr="00A23740">
              <w:rPr>
                <w:rFonts w:eastAsia="Times New Roman"/>
                <w:szCs w:val="24"/>
                <w:lang w:eastAsia="tr-TR"/>
              </w:rPr>
              <w:t xml:space="preserve"> devamına </w:t>
            </w:r>
            <w:r w:rsidRPr="00A23740">
              <w:rPr>
                <w:rFonts w:eastAsia="Times New Roman"/>
                <w:b/>
                <w:strike/>
                <w:color w:val="FF0000"/>
                <w:szCs w:val="24"/>
                <w:lang w:eastAsia="tr-TR"/>
              </w:rPr>
              <w:t>mani</w:t>
            </w:r>
            <w:r w:rsidRPr="00A23740">
              <w:rPr>
                <w:rFonts w:eastAsia="Times New Roman"/>
                <w:szCs w:val="24"/>
                <w:lang w:eastAsia="tr-TR"/>
              </w:rPr>
              <w:t xml:space="preserve"> olmaz.</w:t>
            </w:r>
          </w:p>
          <w:p w:rsidR="00AA5C8C" w:rsidRPr="00A23740" w:rsidRDefault="00AA5C8C" w:rsidP="009431FF">
            <w:pPr>
              <w:tabs>
                <w:tab w:val="left" w:pos="567"/>
              </w:tabs>
              <w:rPr>
                <w:rFonts w:eastAsia="Times New Roman"/>
                <w:szCs w:val="24"/>
                <w:lang w:eastAsia="tr-TR"/>
              </w:rPr>
            </w:pPr>
          </w:p>
          <w:p w:rsidR="002B4C3E" w:rsidRPr="00A23740" w:rsidRDefault="002B4C3E"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(2)</w:t>
            </w:r>
            <w:r w:rsidRPr="00A23740">
              <w:rPr>
                <w:rFonts w:eastAsia="Times New Roman"/>
                <w:szCs w:val="24"/>
                <w:lang w:eastAsia="tr-TR"/>
              </w:rPr>
              <w:t xml:space="preserve"> Alacağı taşınmaz rehinle temin edilmiş olan alacaklının </w:t>
            </w:r>
            <w:r w:rsidRPr="00A23740">
              <w:rPr>
                <w:rFonts w:eastAsia="Times New Roman"/>
                <w:b/>
                <w:strike/>
                <w:color w:val="FF0000"/>
                <w:szCs w:val="24"/>
                <w:lang w:eastAsia="tr-TR"/>
              </w:rPr>
              <w:t xml:space="preserve">mütemmim cüz olarak merhunun </w:t>
            </w:r>
            <w:r w:rsidRPr="00A23740">
              <w:rPr>
                <w:rFonts w:eastAsia="Times New Roman"/>
                <w:szCs w:val="24"/>
                <w:lang w:eastAsia="tr-TR"/>
              </w:rPr>
              <w:t xml:space="preserve">yetişmemiş </w:t>
            </w:r>
            <w:r w:rsidRPr="00A23740">
              <w:rPr>
                <w:rFonts w:eastAsia="Times New Roman"/>
                <w:b/>
                <w:strike/>
                <w:color w:val="FF0000"/>
                <w:szCs w:val="24"/>
                <w:lang w:eastAsia="tr-TR"/>
              </w:rPr>
              <w:t>mahsulleri</w:t>
            </w:r>
            <w:r w:rsidRPr="00A23740">
              <w:rPr>
                <w:rFonts w:eastAsia="Times New Roman"/>
                <w:szCs w:val="24"/>
                <w:lang w:eastAsia="tr-TR"/>
              </w:rPr>
              <w:t xml:space="preserve"> üzerinde </w:t>
            </w:r>
            <w:r w:rsidRPr="00A23740">
              <w:rPr>
                <w:rFonts w:eastAsia="Times New Roman"/>
                <w:b/>
                <w:strike/>
                <w:color w:val="FF0000"/>
                <w:szCs w:val="24"/>
                <w:lang w:eastAsia="tr-TR"/>
              </w:rPr>
              <w:t>haiz olduğu</w:t>
            </w:r>
            <w:r w:rsidRPr="00A23740">
              <w:rPr>
                <w:rFonts w:eastAsia="Times New Roman"/>
                <w:szCs w:val="24"/>
                <w:lang w:eastAsia="tr-TR"/>
              </w:rPr>
              <w:t xml:space="preserve"> hakk</w:t>
            </w:r>
            <w:r w:rsidRPr="00A23740">
              <w:rPr>
                <w:rFonts w:eastAsia="Times New Roman"/>
                <w:b/>
                <w:strike/>
                <w:color w:val="FF0000"/>
                <w:szCs w:val="24"/>
                <w:lang w:eastAsia="tr-TR"/>
              </w:rPr>
              <w:t>a halel gelmez.</w:t>
            </w:r>
            <w:r w:rsidRPr="00A23740">
              <w:rPr>
                <w:rFonts w:eastAsia="Times New Roman"/>
                <w:szCs w:val="24"/>
                <w:lang w:eastAsia="tr-TR"/>
              </w:rPr>
              <w:t xml:space="preserve"> Şu kadar ki </w:t>
            </w:r>
            <w:r w:rsidRPr="00A23740">
              <w:rPr>
                <w:rFonts w:eastAsia="Times New Roman"/>
                <w:b/>
                <w:strike/>
                <w:color w:val="FF0000"/>
                <w:szCs w:val="24"/>
                <w:lang w:eastAsia="tr-TR"/>
              </w:rPr>
              <w:t>mürtehin</w:t>
            </w:r>
            <w:r w:rsidRPr="00A23740">
              <w:rPr>
                <w:rFonts w:eastAsia="Times New Roman"/>
                <w:szCs w:val="24"/>
                <w:lang w:eastAsia="tr-TR"/>
              </w:rPr>
              <w:t xml:space="preserve"> rehinin </w:t>
            </w:r>
            <w:r w:rsidRPr="00A23740">
              <w:rPr>
                <w:rFonts w:eastAsia="Times New Roman"/>
                <w:b/>
                <w:strike/>
                <w:color w:val="FF0000"/>
                <w:szCs w:val="24"/>
                <w:lang w:eastAsia="tr-TR"/>
              </w:rPr>
              <w:t>icraca</w:t>
            </w:r>
            <w:r w:rsidRPr="00A23740">
              <w:rPr>
                <w:rFonts w:eastAsia="Times New Roman"/>
                <w:szCs w:val="24"/>
                <w:lang w:eastAsia="tr-TR"/>
              </w:rPr>
              <w:t xml:space="preserve"> paraya çevrilmesi için </w:t>
            </w:r>
            <w:r w:rsidRPr="00A23740">
              <w:rPr>
                <w:rFonts w:eastAsia="Times New Roman"/>
                <w:b/>
                <w:strike/>
                <w:color w:val="FF0000"/>
                <w:szCs w:val="24"/>
                <w:lang w:eastAsia="tr-TR"/>
              </w:rPr>
              <w:t>mahsullerin</w:t>
            </w:r>
            <w:r w:rsidRPr="00A23740">
              <w:rPr>
                <w:rFonts w:eastAsia="Times New Roman"/>
                <w:szCs w:val="24"/>
                <w:lang w:eastAsia="tr-TR"/>
              </w:rPr>
              <w:t xml:space="preserve"> yetişmesinden evvel takip talebinde bulunm</w:t>
            </w:r>
            <w:r w:rsidRPr="00A23740">
              <w:rPr>
                <w:rFonts w:eastAsia="Times New Roman"/>
                <w:b/>
                <w:strike/>
                <w:color w:val="FF0000"/>
                <w:szCs w:val="24"/>
                <w:lang w:eastAsia="tr-TR"/>
              </w:rPr>
              <w:t>uş olmalıdır.</w:t>
            </w: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Yetişmemiş </w:t>
            </w:r>
            <w:r w:rsidRPr="00A23740">
              <w:rPr>
                <w:rFonts w:eastAsia="Times New Roman"/>
                <w:b/>
                <w:color w:val="0000FF"/>
                <w:szCs w:val="24"/>
                <w:lang w:eastAsia="tr-TR"/>
              </w:rPr>
              <w:t>ürünlerin</w:t>
            </w:r>
            <w:r w:rsidRPr="00A23740">
              <w:rPr>
                <w:rFonts w:eastAsia="Times New Roman"/>
                <w:b/>
                <w:szCs w:val="24"/>
                <w:lang w:eastAsia="tr-TR"/>
              </w:rPr>
              <w:t xml:space="preserve"> haczi</w:t>
            </w:r>
          </w:p>
          <w:p w:rsidR="00AA5C8C" w:rsidRPr="00A23740" w:rsidRDefault="00AA5C8C" w:rsidP="009431FF">
            <w:pPr>
              <w:tabs>
                <w:tab w:val="left" w:pos="567"/>
              </w:tabs>
              <w:rPr>
                <w:rFonts w:eastAsia="Times New Roman"/>
                <w:szCs w:val="24"/>
                <w:lang w:eastAsia="tr-TR"/>
              </w:rPr>
            </w:pPr>
            <w:r w:rsidRPr="00A23740">
              <w:rPr>
                <w:rStyle w:val="MaviChar"/>
                <w:lang w:val="tr-TR"/>
              </w:rPr>
              <w:t>MADDE 16</w:t>
            </w:r>
            <w:r w:rsidR="004C1DE7" w:rsidRPr="00A23740">
              <w:rPr>
                <w:rStyle w:val="MaviChar"/>
                <w:lang w:val="tr-TR"/>
              </w:rPr>
              <w:t>7</w:t>
            </w:r>
            <w:r w:rsidRPr="00A23740">
              <w:rPr>
                <w:rStyle w:val="MaviChar"/>
                <w:lang w:val="tr-TR"/>
              </w:rPr>
              <w:t>-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 xml:space="preserve">Yetişmemiş toprak ve ağaç </w:t>
            </w:r>
            <w:r w:rsidRPr="00A23740">
              <w:rPr>
                <w:rFonts w:eastAsia="Times New Roman"/>
                <w:b/>
                <w:color w:val="0000FF"/>
                <w:szCs w:val="24"/>
                <w:lang w:eastAsia="tr-TR"/>
              </w:rPr>
              <w:t>ürünleri ile bitkiler en erken</w:t>
            </w:r>
            <w:r w:rsidRPr="00A23740">
              <w:rPr>
                <w:rStyle w:val="MaviChar"/>
              </w:rPr>
              <w:t>,</w:t>
            </w:r>
            <w:r w:rsidRPr="00A23740">
              <w:rPr>
                <w:rFonts w:eastAsia="Times New Roman"/>
                <w:b/>
                <w:color w:val="0000FF"/>
                <w:szCs w:val="24"/>
                <w:lang w:eastAsia="tr-TR"/>
              </w:rPr>
              <w:t xml:space="preserve"> kıymet takdirine imk</w:t>
            </w:r>
            <w:r w:rsidR="00BE53A8" w:rsidRPr="00A23740">
              <w:rPr>
                <w:rFonts w:eastAsia="Times New Roman"/>
                <w:b/>
                <w:color w:val="0000FF"/>
                <w:szCs w:val="24"/>
                <w:lang w:eastAsia="tr-TR"/>
              </w:rPr>
              <w:t>â</w:t>
            </w:r>
            <w:r w:rsidRPr="00A23740">
              <w:rPr>
                <w:rFonts w:eastAsia="Times New Roman"/>
                <w:b/>
                <w:color w:val="0000FF"/>
                <w:szCs w:val="24"/>
                <w:lang w:eastAsia="tr-TR"/>
              </w:rPr>
              <w:t>n verecek zamanda haczedilebilir</w:t>
            </w:r>
            <w:r w:rsidR="000F5876"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MaviChar"/>
              </w:rPr>
              <w:t>(2) Ürünlerin</w:t>
            </w:r>
            <w:r w:rsidRPr="00A23740">
              <w:t xml:space="preserve"> yetişme zaman</w:t>
            </w:r>
            <w:r w:rsidRPr="00A23740">
              <w:rPr>
                <w:rFonts w:eastAsia="Times New Roman"/>
                <w:b/>
                <w:color w:val="0000FF"/>
                <w:szCs w:val="24"/>
                <w:lang w:eastAsia="tr-TR"/>
              </w:rPr>
              <w:t>ları bilirkişi tarafından tespit edilir.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MaviChar"/>
              </w:rPr>
              <w:t>(3) H</w:t>
            </w:r>
            <w:r w:rsidRPr="00A23740">
              <w:rPr>
                <w:rFonts w:eastAsia="Times New Roman"/>
                <w:szCs w:val="24"/>
                <w:lang w:eastAsia="tr-TR"/>
              </w:rPr>
              <w:t xml:space="preserve">aczedilen </w:t>
            </w:r>
            <w:r w:rsidRPr="00A23740">
              <w:rPr>
                <w:rFonts w:eastAsia="Times New Roman"/>
                <w:b/>
                <w:color w:val="0000FF"/>
                <w:szCs w:val="24"/>
                <w:lang w:eastAsia="tr-TR"/>
              </w:rPr>
              <w:t>ürünlerin</w:t>
            </w:r>
            <w:r w:rsidRPr="00A23740">
              <w:rPr>
                <w:rFonts w:eastAsia="Times New Roman"/>
                <w:szCs w:val="24"/>
                <w:lang w:eastAsia="tr-TR"/>
              </w:rPr>
              <w:t xml:space="preserve"> borçlu tarafından başkasına devri</w:t>
            </w:r>
            <w:r w:rsidRPr="00A23740">
              <w:rPr>
                <w:rStyle w:val="MaviChar"/>
              </w:rPr>
              <w:t>,</w:t>
            </w:r>
            <w:r w:rsidRPr="00A23740">
              <w:rPr>
                <w:rFonts w:eastAsia="Times New Roman"/>
                <w:szCs w:val="24"/>
                <w:lang w:eastAsia="tr-TR"/>
              </w:rPr>
              <w:t xml:space="preserve"> haczeden alacaklıya karşı hükümsüz olup </w:t>
            </w:r>
            <w:r w:rsidRPr="00A23740">
              <w:rPr>
                <w:rFonts w:eastAsia="Times New Roman"/>
                <w:b/>
                <w:color w:val="0000FF"/>
                <w:szCs w:val="24"/>
                <w:lang w:eastAsia="tr-TR"/>
              </w:rPr>
              <w:t>takibin</w:t>
            </w:r>
            <w:r w:rsidRPr="00A23740">
              <w:rPr>
                <w:rFonts w:eastAsia="Times New Roman"/>
                <w:szCs w:val="24"/>
                <w:lang w:eastAsia="tr-TR"/>
              </w:rPr>
              <w:t xml:space="preserve"> devamına </w:t>
            </w:r>
            <w:r w:rsidRPr="00A23740">
              <w:rPr>
                <w:rFonts w:eastAsia="Times New Roman"/>
                <w:b/>
                <w:color w:val="0000FF"/>
                <w:szCs w:val="24"/>
                <w:lang w:eastAsia="tr-TR"/>
              </w:rPr>
              <w:t>engel</w:t>
            </w:r>
            <w:r w:rsidRPr="00A23740">
              <w:rPr>
                <w:rFonts w:eastAsia="Times New Roman"/>
                <w:szCs w:val="24"/>
                <w:lang w:eastAsia="tr-TR"/>
              </w:rPr>
              <w:t xml:space="preserve"> olmaz.</w:t>
            </w: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Style w:val="MaviChar"/>
              </w:rPr>
              <w:t>(4) Bu şekilde yapılan haciz,</w:t>
            </w:r>
            <w:r w:rsidRPr="00A23740">
              <w:rPr>
                <w:rFonts w:eastAsia="Times New Roman"/>
                <w:szCs w:val="24"/>
                <w:lang w:eastAsia="tr-TR"/>
              </w:rPr>
              <w:t xml:space="preserve"> alacağı </w:t>
            </w:r>
            <w:r w:rsidRPr="00A23740">
              <w:rPr>
                <w:rFonts w:eastAsia="Times New Roman"/>
                <w:b/>
                <w:color w:val="0000FF"/>
                <w:szCs w:val="24"/>
                <w:lang w:eastAsia="tr-TR"/>
              </w:rPr>
              <w:t>ipotekle</w:t>
            </w:r>
            <w:r w:rsidRPr="00A23740">
              <w:rPr>
                <w:rFonts w:eastAsia="Times New Roman"/>
                <w:szCs w:val="24"/>
                <w:lang w:eastAsia="tr-TR"/>
              </w:rPr>
              <w:t xml:space="preserve"> temin edilmiş olan alacaklının</w:t>
            </w:r>
            <w:r w:rsidRPr="00A23740">
              <w:rPr>
                <w:rFonts w:eastAsia="Times New Roman"/>
                <w:b/>
                <w:color w:val="0000FF"/>
                <w:szCs w:val="24"/>
                <w:lang w:eastAsia="tr-TR"/>
              </w:rPr>
              <w:t xml:space="preserve"> ipotek edilmiş malın bütünleyici parçası olan</w:t>
            </w:r>
            <w:r w:rsidRPr="00A23740">
              <w:rPr>
                <w:rFonts w:eastAsia="Times New Roman"/>
                <w:szCs w:val="24"/>
                <w:lang w:eastAsia="tr-TR"/>
              </w:rPr>
              <w:t xml:space="preserve"> yetişmemiş </w:t>
            </w:r>
            <w:r w:rsidRPr="00A23740">
              <w:rPr>
                <w:rFonts w:eastAsia="Times New Roman"/>
                <w:b/>
                <w:color w:val="0000FF"/>
                <w:szCs w:val="24"/>
                <w:lang w:eastAsia="tr-TR"/>
              </w:rPr>
              <w:t>ürünler</w:t>
            </w:r>
            <w:r w:rsidRPr="00A23740">
              <w:rPr>
                <w:rFonts w:eastAsia="Times New Roman"/>
                <w:szCs w:val="24"/>
                <w:lang w:eastAsia="tr-TR"/>
              </w:rPr>
              <w:t xml:space="preserve"> üzerinde</w:t>
            </w:r>
            <w:r w:rsidRPr="00A23740">
              <w:rPr>
                <w:rFonts w:eastAsia="Times New Roman"/>
                <w:b/>
                <w:color w:val="0000FF"/>
                <w:szCs w:val="24"/>
                <w:lang w:eastAsia="tr-TR"/>
              </w:rPr>
              <w:t>ki</w:t>
            </w:r>
            <w:r w:rsidRPr="00A23740">
              <w:rPr>
                <w:rFonts w:eastAsia="Times New Roman"/>
                <w:szCs w:val="24"/>
                <w:lang w:eastAsia="tr-TR"/>
              </w:rPr>
              <w:t xml:space="preserve"> hakkını </w:t>
            </w:r>
            <w:r w:rsidRPr="00A23740">
              <w:rPr>
                <w:rFonts w:eastAsia="Times New Roman"/>
                <w:b/>
                <w:color w:val="0000FF"/>
                <w:szCs w:val="24"/>
                <w:lang w:eastAsia="tr-TR"/>
              </w:rPr>
              <w:t>ortadan kaldırmaz</w:t>
            </w:r>
            <w:r w:rsidRPr="00A23740">
              <w:rPr>
                <w:rFonts w:eastAsia="Times New Roman"/>
                <w:szCs w:val="24"/>
                <w:lang w:eastAsia="tr-TR"/>
              </w:rPr>
              <w:t xml:space="preserve">. Şu kadar ki </w:t>
            </w:r>
            <w:r w:rsidR="00EF7E58" w:rsidRPr="00B26441">
              <w:rPr>
                <w:rStyle w:val="Balk1Char"/>
                <w:rFonts w:eastAsia="Calibri"/>
              </w:rPr>
              <w:t>ipotek</w:t>
            </w:r>
            <w:r w:rsidR="00EF7E58" w:rsidRPr="00A23740">
              <w:rPr>
                <w:rFonts w:eastAsia="Times New Roman"/>
                <w:color w:val="385623"/>
                <w:szCs w:val="24"/>
                <w:lang w:eastAsia="tr-TR"/>
              </w:rPr>
              <w:t xml:space="preserve"> </w:t>
            </w:r>
            <w:r w:rsidRPr="00A23740">
              <w:rPr>
                <w:rFonts w:eastAsia="Times New Roman"/>
                <w:szCs w:val="24"/>
                <w:lang w:eastAsia="tr-TR"/>
              </w:rPr>
              <w:t xml:space="preserve">alacaklısı, </w:t>
            </w:r>
            <w:r w:rsidR="00EF7E58" w:rsidRPr="00B26441">
              <w:rPr>
                <w:rStyle w:val="Balk1Char"/>
                <w:rFonts w:eastAsia="Calibri"/>
              </w:rPr>
              <w:t>ipoteğin</w:t>
            </w:r>
            <w:r w:rsidR="00EF7E58" w:rsidRPr="00A23740">
              <w:rPr>
                <w:rFonts w:eastAsia="Times New Roman"/>
                <w:color w:val="385623"/>
                <w:szCs w:val="24"/>
                <w:lang w:eastAsia="tr-TR"/>
              </w:rPr>
              <w:t xml:space="preserve"> </w:t>
            </w:r>
            <w:r w:rsidRPr="00A23740">
              <w:rPr>
                <w:rFonts w:eastAsia="Times New Roman"/>
                <w:szCs w:val="24"/>
                <w:lang w:eastAsia="tr-TR"/>
              </w:rPr>
              <w:t xml:space="preserve">paraya çevrilmesi için </w:t>
            </w:r>
            <w:r w:rsidRPr="00A23740">
              <w:rPr>
                <w:rFonts w:eastAsia="Times New Roman"/>
                <w:b/>
                <w:color w:val="0000FF"/>
                <w:szCs w:val="24"/>
                <w:lang w:eastAsia="tr-TR"/>
              </w:rPr>
              <w:t>ürünlerin</w:t>
            </w:r>
            <w:r w:rsidRPr="00A23740">
              <w:rPr>
                <w:rFonts w:eastAsia="Times New Roman"/>
                <w:szCs w:val="24"/>
                <w:lang w:eastAsia="tr-TR"/>
              </w:rPr>
              <w:t xml:space="preserve"> yetişmesinden </w:t>
            </w:r>
            <w:r w:rsidRPr="00A23740">
              <w:rPr>
                <w:rFonts w:eastAsia="Times New Roman"/>
                <w:b/>
                <w:color w:val="0000FF"/>
                <w:szCs w:val="24"/>
                <w:lang w:eastAsia="tr-TR"/>
              </w:rPr>
              <w:t>önce</w:t>
            </w:r>
            <w:r w:rsidRPr="00A23740">
              <w:rPr>
                <w:rFonts w:eastAsia="Times New Roman"/>
                <w:szCs w:val="24"/>
                <w:lang w:eastAsia="tr-TR"/>
              </w:rPr>
              <w:t xml:space="preserve"> takip talebinde bulunm</w:t>
            </w:r>
            <w:r w:rsidRPr="00A23740">
              <w:rPr>
                <w:rFonts w:eastAsia="Times New Roman"/>
                <w:b/>
                <w:color w:val="0000FF"/>
                <w:szCs w:val="24"/>
                <w:lang w:eastAsia="tr-TR"/>
              </w:rPr>
              <w:t>alıdır.</w:t>
            </w:r>
          </w:p>
          <w:p w:rsidR="00AA5C8C" w:rsidRPr="00A23740" w:rsidRDefault="00AA5C8C" w:rsidP="009431FF">
            <w:pPr>
              <w:tabs>
                <w:tab w:val="left" w:pos="567"/>
              </w:tabs>
              <w:rPr>
                <w:rFonts w:eastAsia="Times New Roman"/>
                <w:b/>
                <w:color w:val="0000FF"/>
                <w:szCs w:val="24"/>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207F8F" w:rsidRPr="00A23740" w:rsidRDefault="00207F8F" w:rsidP="009431FF">
            <w:pPr>
              <w:tabs>
                <w:tab w:val="left" w:pos="567"/>
              </w:tabs>
              <w:ind w:firstLine="709"/>
              <w:rPr>
                <w:b/>
              </w:rPr>
            </w:pPr>
          </w:p>
          <w:p w:rsidR="00207F8F" w:rsidRPr="00A23740" w:rsidRDefault="004C1DE7" w:rsidP="009431FF">
            <w:pPr>
              <w:tabs>
                <w:tab w:val="left" w:pos="567"/>
              </w:tabs>
              <w:ind w:firstLine="709"/>
              <w:rPr>
                <w:b/>
              </w:rPr>
            </w:pPr>
            <w:r w:rsidRPr="00A23740">
              <w:rPr>
                <w:b/>
              </w:rPr>
              <w:t>MADDE 167</w:t>
            </w:r>
            <w:r w:rsidR="00207F8F" w:rsidRPr="00A23740">
              <w:rPr>
                <w:b/>
              </w:rPr>
              <w:t xml:space="preserve"> -</w:t>
            </w:r>
            <w:r w:rsidR="00B62391" w:rsidRPr="00A23740">
              <w:rPr>
                <w:b/>
              </w:rPr>
              <w:t xml:space="preserve"> </w:t>
            </w:r>
            <w:r w:rsidR="00207F8F" w:rsidRPr="00A23740">
              <w:rPr>
                <w:bCs/>
                <w:color w:val="000000"/>
                <w:szCs w:val="24"/>
                <w:lang w:eastAsia="x-none"/>
              </w:rPr>
              <w:t>Maddeyle, yetişmemiş ürünlerin haczine ilişkin hususlar düzenlenmektedir. Hüküm, 2004 sayılı Kanunun 84 üncü maddesine karşılık gelmektedir.</w:t>
            </w:r>
          </w:p>
          <w:p w:rsidR="000F5876" w:rsidRPr="00B26441" w:rsidRDefault="00B62391" w:rsidP="009431FF">
            <w:pPr>
              <w:tabs>
                <w:tab w:val="left" w:pos="567"/>
              </w:tabs>
              <w:ind w:firstLine="709"/>
              <w:rPr>
                <w:rFonts w:eastAsia="Times New Roman"/>
                <w:szCs w:val="24"/>
                <w:lang w:eastAsia="tr-TR"/>
              </w:rPr>
            </w:pPr>
            <w:r w:rsidRPr="00A23740">
              <w:rPr>
                <w:rFonts w:eastAsia="Times New Roman"/>
                <w:szCs w:val="24"/>
                <w:lang w:eastAsia="tr-TR"/>
              </w:rPr>
              <w:t>Birinci fıkrayla</w:t>
            </w:r>
            <w:r w:rsidR="00207F8F" w:rsidRPr="00A23740">
              <w:rPr>
                <w:rFonts w:eastAsia="Times New Roman"/>
                <w:szCs w:val="24"/>
                <w:lang w:eastAsia="tr-TR"/>
              </w:rPr>
              <w:t>,</w:t>
            </w:r>
            <w:r w:rsidRPr="00A23740">
              <w:rPr>
                <w:rFonts w:eastAsia="Times New Roman"/>
                <w:szCs w:val="24"/>
                <w:lang w:eastAsia="tr-TR"/>
              </w:rPr>
              <w:t xml:space="preserve"> yetişmemiş </w:t>
            </w:r>
            <w:r w:rsidR="00207F8F" w:rsidRPr="00A23740">
              <w:rPr>
                <w:rFonts w:eastAsia="Times New Roman"/>
                <w:szCs w:val="24"/>
                <w:lang w:eastAsia="tr-TR"/>
              </w:rPr>
              <w:t xml:space="preserve">toprak ve ağaç </w:t>
            </w:r>
            <w:r w:rsidRPr="00A23740">
              <w:rPr>
                <w:rFonts w:eastAsia="Times New Roman"/>
                <w:szCs w:val="24"/>
                <w:lang w:eastAsia="tr-TR"/>
              </w:rPr>
              <w:t>ürünler</w:t>
            </w:r>
            <w:r w:rsidR="00207F8F" w:rsidRPr="00A23740">
              <w:rPr>
                <w:rFonts w:eastAsia="Times New Roman"/>
                <w:szCs w:val="24"/>
                <w:lang w:eastAsia="tr-TR"/>
              </w:rPr>
              <w:t>i ile bitkilerin en erken kıymet takdirine imk</w:t>
            </w:r>
            <w:r w:rsidR="00BE53A8" w:rsidRPr="00A23740">
              <w:rPr>
                <w:rFonts w:eastAsia="Times New Roman"/>
                <w:szCs w:val="24"/>
                <w:lang w:eastAsia="tr-TR"/>
              </w:rPr>
              <w:t>â</w:t>
            </w:r>
            <w:r w:rsidR="00207F8F" w:rsidRPr="00A23740">
              <w:rPr>
                <w:rFonts w:eastAsia="Times New Roman"/>
                <w:szCs w:val="24"/>
                <w:lang w:eastAsia="tr-TR"/>
              </w:rPr>
              <w:t>n verecek derecede yetişmiş oldukları zamanda haczedilebileceği belirtilmektedir. Böylece henüz daha kıymet takdiri yapılamayacak bir evrede söz konusu ür</w:t>
            </w:r>
            <w:r w:rsidR="000F5876" w:rsidRPr="00A23740">
              <w:rPr>
                <w:rFonts w:eastAsia="Times New Roman"/>
                <w:szCs w:val="24"/>
                <w:lang w:eastAsia="tr-TR"/>
              </w:rPr>
              <w:t xml:space="preserve">ünlerin haczi yapılamayacaktır. </w:t>
            </w:r>
            <w:r w:rsidR="000F5876" w:rsidRPr="00B26441">
              <w:rPr>
                <w:rFonts w:eastAsia="Times New Roman"/>
                <w:lang w:eastAsia="tr-TR"/>
              </w:rPr>
              <w:t>Her ne kadar 2004 sayılı Kanunun 84 üncü maddesinin birinci fıkrasında i</w:t>
            </w:r>
            <w:r w:rsidR="000E3F90" w:rsidRPr="00B26441">
              <w:rPr>
                <w:rFonts w:eastAsia="Times New Roman"/>
                <w:lang w:eastAsia="tr-TR"/>
              </w:rPr>
              <w:t>ki ay ifadesi bulunmakta ise de</w:t>
            </w:r>
            <w:r w:rsidR="004272A1" w:rsidRPr="00B26441">
              <w:rPr>
                <w:rFonts w:eastAsia="Times New Roman"/>
                <w:lang w:eastAsia="tr-TR"/>
              </w:rPr>
              <w:t>,</w:t>
            </w:r>
            <w:r w:rsidR="000F5876" w:rsidRPr="00B26441">
              <w:rPr>
                <w:rFonts w:eastAsia="Times New Roman"/>
                <w:lang w:eastAsia="tr-TR"/>
              </w:rPr>
              <w:t xml:space="preserve"> tarımda gerçekleşen gelişmeler nedeniyle iki aylık süre günümüz gerçeklerine uymadığından bu konuda tespit yetkisi somut olaylara göre bilirkişiye bırakılmıştır.</w:t>
            </w:r>
          </w:p>
          <w:p w:rsidR="000F5876" w:rsidRPr="00B26441" w:rsidRDefault="00B62391" w:rsidP="009431FF">
            <w:pPr>
              <w:tabs>
                <w:tab w:val="left" w:pos="567"/>
              </w:tabs>
              <w:ind w:firstLine="709"/>
              <w:rPr>
                <w:rFonts w:eastAsia="Times New Roman"/>
                <w:szCs w:val="24"/>
                <w:lang w:eastAsia="tr-TR"/>
              </w:rPr>
            </w:pPr>
            <w:r w:rsidRPr="00B26441">
              <w:rPr>
                <w:rFonts w:eastAsia="Times New Roman"/>
                <w:szCs w:val="24"/>
                <w:lang w:eastAsia="tr-TR"/>
              </w:rPr>
              <w:t>İkinci fıkrayla</w:t>
            </w:r>
            <w:r w:rsidR="004272A1" w:rsidRPr="00B26441">
              <w:rPr>
                <w:rFonts w:eastAsia="Times New Roman"/>
                <w:szCs w:val="24"/>
                <w:lang w:eastAsia="tr-TR"/>
              </w:rPr>
              <w:t>,</w:t>
            </w:r>
            <w:r w:rsidRPr="00B26441">
              <w:rPr>
                <w:rFonts w:eastAsia="Times New Roman"/>
                <w:szCs w:val="24"/>
                <w:lang w:eastAsia="tr-TR"/>
              </w:rPr>
              <w:t xml:space="preserve"> </w:t>
            </w:r>
            <w:r w:rsidR="00207F8F" w:rsidRPr="00B26441">
              <w:rPr>
                <w:rFonts w:eastAsia="Times New Roman"/>
                <w:szCs w:val="24"/>
                <w:lang w:eastAsia="tr-TR"/>
              </w:rPr>
              <w:t xml:space="preserve">söz konusu ürünlerin yetişme zamanlarının bilirkişi tarafından tespit edileceği hüküm altına alınmaktadır. </w:t>
            </w:r>
            <w:r w:rsidR="000F5876" w:rsidRPr="00B26441">
              <w:rPr>
                <w:rFonts w:eastAsia="Times New Roman"/>
                <w:szCs w:val="24"/>
                <w:lang w:eastAsia="tr-TR"/>
              </w:rPr>
              <w:t>Her ne kadar İsviçre</w:t>
            </w:r>
            <w:r w:rsidR="00E47822" w:rsidRPr="00B26441">
              <w:rPr>
                <w:rFonts w:eastAsia="Times New Roman"/>
                <w:bCs/>
                <w:szCs w:val="24"/>
                <w:lang w:eastAsia="tr-TR"/>
              </w:rPr>
              <w:t>’nin</w:t>
            </w:r>
            <w:r w:rsidR="000F5876" w:rsidRPr="00B26441">
              <w:rPr>
                <w:rFonts w:eastAsia="Times New Roman"/>
                <w:szCs w:val="24"/>
                <w:lang w:eastAsia="tr-TR"/>
              </w:rPr>
              <w:t xml:space="preserve"> Borç İçin Takip ve İflas Hakkında Federal Kanunun</w:t>
            </w:r>
            <w:r w:rsidR="004272A1" w:rsidRPr="00B26441">
              <w:rPr>
                <w:rFonts w:eastAsia="Times New Roman"/>
                <w:szCs w:val="24"/>
                <w:lang w:eastAsia="tr-TR"/>
              </w:rPr>
              <w:t>un</w:t>
            </w:r>
            <w:r w:rsidR="000F5876" w:rsidRPr="00B26441">
              <w:rPr>
                <w:rFonts w:eastAsia="Times New Roman"/>
                <w:szCs w:val="24"/>
                <w:lang w:eastAsia="tr-TR"/>
              </w:rPr>
              <w:t xml:space="preserve"> 94 üncü maddesinde konuya ilişkin olarak </w:t>
            </w:r>
            <w:r w:rsidR="000E3F90" w:rsidRPr="00B26441">
              <w:rPr>
                <w:rFonts w:eastAsia="Times New Roman"/>
                <w:szCs w:val="24"/>
                <w:lang w:eastAsia="tr-TR"/>
              </w:rPr>
              <w:t>bazı tarihler öngörülmüş ise de</w:t>
            </w:r>
            <w:r w:rsidR="004272A1" w:rsidRPr="00B26441">
              <w:rPr>
                <w:rFonts w:eastAsia="Times New Roman"/>
                <w:szCs w:val="24"/>
                <w:lang w:eastAsia="tr-TR"/>
              </w:rPr>
              <w:t>,</w:t>
            </w:r>
            <w:r w:rsidR="000F5876" w:rsidRPr="00B26441">
              <w:rPr>
                <w:rFonts w:eastAsia="Times New Roman"/>
                <w:szCs w:val="24"/>
                <w:lang w:eastAsia="tr-TR"/>
              </w:rPr>
              <w:t xml:space="preserve"> ülkemizde yüzölçümü ve bölgeler arasındaki iklim farkları dikkate alındığında bu şekilde bütün ülke için geçerli olacak tarzda tarih tespitinin doğru olmayacağı, meselenin her somut olayda bilirkişi aracılığıyla belirlenmesinin daha </w:t>
            </w:r>
            <w:r w:rsidR="004272A1" w:rsidRPr="00B26441">
              <w:rPr>
                <w:rFonts w:eastAsia="Times New Roman"/>
                <w:szCs w:val="24"/>
                <w:lang w:eastAsia="tr-TR"/>
              </w:rPr>
              <w:t xml:space="preserve">isabetli </w:t>
            </w:r>
            <w:r w:rsidR="000F5876" w:rsidRPr="00B26441">
              <w:rPr>
                <w:rFonts w:eastAsia="Times New Roman"/>
                <w:szCs w:val="24"/>
                <w:lang w:eastAsia="tr-TR"/>
              </w:rPr>
              <w:t>olacağı düşünülerek hüküm bu şekilde tasarlanmıştır.</w:t>
            </w:r>
          </w:p>
          <w:p w:rsidR="00B62391" w:rsidRPr="00B26441" w:rsidRDefault="00B62391" w:rsidP="009431FF">
            <w:pPr>
              <w:tabs>
                <w:tab w:val="left" w:pos="567"/>
              </w:tabs>
              <w:ind w:firstLine="709"/>
              <w:rPr>
                <w:rFonts w:eastAsia="Times New Roman"/>
                <w:szCs w:val="24"/>
                <w:lang w:eastAsia="tr-TR"/>
              </w:rPr>
            </w:pPr>
            <w:r w:rsidRPr="00B26441">
              <w:rPr>
                <w:rFonts w:eastAsia="Times New Roman"/>
                <w:szCs w:val="24"/>
                <w:lang w:eastAsia="tr-TR"/>
              </w:rPr>
              <w:t>Üçüncü fıkrayla</w:t>
            </w:r>
            <w:r w:rsidR="00207F8F" w:rsidRPr="00B26441">
              <w:rPr>
                <w:rFonts w:eastAsia="Times New Roman"/>
                <w:szCs w:val="24"/>
                <w:lang w:eastAsia="tr-TR"/>
              </w:rPr>
              <w:t>,</w:t>
            </w:r>
            <w:r w:rsidR="00B145C0" w:rsidRPr="00B26441">
              <w:rPr>
                <w:rFonts w:eastAsia="Times New Roman"/>
                <w:szCs w:val="24"/>
                <w:lang w:eastAsia="tr-TR"/>
              </w:rPr>
              <w:t xml:space="preserve"> hacizden sonra</w:t>
            </w:r>
            <w:r w:rsidRPr="00B26441">
              <w:rPr>
                <w:rFonts w:eastAsia="Times New Roman"/>
                <w:szCs w:val="24"/>
                <w:lang w:eastAsia="tr-TR"/>
              </w:rPr>
              <w:t xml:space="preserve"> </w:t>
            </w:r>
            <w:r w:rsidR="00B145C0" w:rsidRPr="00B26441">
              <w:rPr>
                <w:rFonts w:eastAsia="Times New Roman"/>
                <w:szCs w:val="24"/>
                <w:lang w:eastAsia="tr-TR"/>
              </w:rPr>
              <w:t>ürünlerin başkasına devredilmesi h</w:t>
            </w:r>
            <w:r w:rsidR="001D7D44" w:rsidRPr="00B26441">
              <w:rPr>
                <w:rFonts w:eastAsia="Times New Roman"/>
                <w:szCs w:val="24"/>
                <w:lang w:eastAsia="tr-TR"/>
              </w:rPr>
              <w:t>â</w:t>
            </w:r>
            <w:r w:rsidR="00B145C0" w:rsidRPr="00B26441">
              <w:rPr>
                <w:rFonts w:eastAsia="Times New Roman"/>
                <w:szCs w:val="24"/>
                <w:lang w:eastAsia="tr-TR"/>
              </w:rPr>
              <w:t>linde bunun haciz alacaklısına karşı geçersiz olduğu, bu nedenle takibe eng</w:t>
            </w:r>
            <w:r w:rsidR="000F5876" w:rsidRPr="00B26441">
              <w:rPr>
                <w:rFonts w:eastAsia="Times New Roman"/>
                <w:szCs w:val="24"/>
                <w:lang w:eastAsia="tr-TR"/>
              </w:rPr>
              <w:t>el olmayacağı belirtilmektedir.</w:t>
            </w:r>
          </w:p>
          <w:p w:rsidR="00B62391" w:rsidRPr="00A23740" w:rsidRDefault="00207F8F" w:rsidP="008B4E7E">
            <w:pPr>
              <w:tabs>
                <w:tab w:val="left" w:pos="567"/>
              </w:tabs>
              <w:ind w:firstLine="709"/>
              <w:rPr>
                <w:rFonts w:eastAsia="Times New Roman"/>
                <w:b/>
                <w:szCs w:val="24"/>
                <w:lang w:eastAsia="tr-TR"/>
              </w:rPr>
            </w:pPr>
            <w:r w:rsidRPr="00A23740">
              <w:rPr>
                <w:rFonts w:eastAsia="Times New Roman"/>
                <w:szCs w:val="24"/>
                <w:lang w:eastAsia="tr-TR"/>
              </w:rPr>
              <w:t xml:space="preserve">Dördüncü fıkrayla, </w:t>
            </w:r>
            <w:r w:rsidR="00B145C0" w:rsidRPr="00A23740">
              <w:rPr>
                <w:rFonts w:eastAsia="Times New Roman"/>
                <w:szCs w:val="24"/>
                <w:lang w:eastAsia="tr-TR"/>
              </w:rPr>
              <w:t>yetişmemiş ürünlerin ipotek alacaklısı dışında başka bir alacaklı tarafından haczedilmesinin, alacağı ipotekle temin edilmiş olan alacaklının ipotek konusu malın bütünleyici parçası olan yetişmemiş ürünler üzerindeki hakkını ortadan kaldırmayacağı açıkça belirtilmektedir. Ancak bunun için</w:t>
            </w:r>
            <w:r w:rsidR="00F37300" w:rsidRPr="00A23740">
              <w:rPr>
                <w:rFonts w:eastAsia="Times New Roman"/>
                <w:szCs w:val="24"/>
                <w:lang w:eastAsia="tr-TR"/>
              </w:rPr>
              <w:t xml:space="preserve"> </w:t>
            </w:r>
            <w:r w:rsidR="00F37300" w:rsidRPr="00B26441">
              <w:rPr>
                <w:rFonts w:eastAsia="Times New Roman"/>
                <w:szCs w:val="24"/>
                <w:lang w:eastAsia="tr-TR"/>
              </w:rPr>
              <w:t>ipotek</w:t>
            </w:r>
            <w:r w:rsidR="00B145C0" w:rsidRPr="00A23740">
              <w:rPr>
                <w:rFonts w:eastAsia="Times New Roman"/>
                <w:szCs w:val="24"/>
                <w:lang w:eastAsia="tr-TR"/>
              </w:rPr>
              <w:t xml:space="preserve"> alacaklısının ürünlerin yetişmesinden önce </w:t>
            </w:r>
            <w:r w:rsidR="00F37300" w:rsidRPr="00B26441">
              <w:rPr>
                <w:rFonts w:eastAsia="Times New Roman"/>
                <w:szCs w:val="24"/>
                <w:lang w:eastAsia="tr-TR"/>
              </w:rPr>
              <w:t>ipoteğin</w:t>
            </w:r>
            <w:r w:rsidR="00F37300" w:rsidRPr="00A23740">
              <w:rPr>
                <w:rFonts w:eastAsia="Times New Roman"/>
                <w:szCs w:val="24"/>
                <w:lang w:eastAsia="tr-TR"/>
              </w:rPr>
              <w:t xml:space="preserve"> </w:t>
            </w:r>
            <w:r w:rsidR="00B145C0" w:rsidRPr="00A23740">
              <w:rPr>
                <w:rFonts w:eastAsia="Times New Roman"/>
                <w:szCs w:val="24"/>
                <w:lang w:eastAsia="tr-TR"/>
              </w:rPr>
              <w:t>paraya çevrilmesi suretiyle takip talebinde bulunması gerek</w:t>
            </w:r>
            <w:r w:rsidR="008B4E7E">
              <w:rPr>
                <w:rFonts w:eastAsia="Times New Roman"/>
                <w:szCs w:val="24"/>
                <w:lang w:eastAsia="tr-TR"/>
              </w:rPr>
              <w:t>tiği hüküm altına alınmaktadır.</w:t>
            </w:r>
          </w:p>
          <w:p w:rsidR="00B62391" w:rsidRPr="00A23740" w:rsidRDefault="00B62391" w:rsidP="008B4E7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 w:val="left" w:pos="708"/>
                <w:tab w:val="left" w:pos="1416"/>
                <w:tab w:val="left" w:pos="2124"/>
                <w:tab w:val="left" w:pos="2832"/>
                <w:tab w:val="left" w:pos="5865"/>
              </w:tabs>
              <w:rPr>
                <w:rFonts w:eastAsia="Times New Roman"/>
                <w:b/>
                <w:szCs w:val="24"/>
                <w:lang w:eastAsia="tr-TR"/>
              </w:rPr>
            </w:pPr>
            <w:r w:rsidRPr="00A23740">
              <w:rPr>
                <w:rFonts w:eastAsia="Times New Roman"/>
                <w:b/>
                <w:szCs w:val="24"/>
                <w:lang w:eastAsia="tr-TR"/>
              </w:rPr>
              <w:t>Haciz yap</w:t>
            </w:r>
            <w:r w:rsidRPr="00A23740">
              <w:rPr>
                <w:rStyle w:val="KIRMIZIChar"/>
                <w:rFonts w:eastAsia="Calibri"/>
              </w:rPr>
              <w:t xml:space="preserve">an memurun </w:t>
            </w:r>
            <w:r w:rsidRPr="00A23740">
              <w:rPr>
                <w:rFonts w:eastAsia="Times New Roman"/>
                <w:b/>
                <w:szCs w:val="24"/>
                <w:lang w:eastAsia="tr-TR"/>
              </w:rPr>
              <w:t>yetkisi:</w:t>
            </w:r>
            <w:r w:rsidRPr="00A23740">
              <w:rPr>
                <w:rFonts w:eastAsia="Times New Roman"/>
                <w:b/>
                <w:szCs w:val="24"/>
                <w:lang w:eastAsia="tr-TR"/>
              </w:rPr>
              <w:tab/>
            </w:r>
          </w:p>
          <w:p w:rsidR="00AA5C8C" w:rsidRPr="00A23740" w:rsidRDefault="00AA5C8C" w:rsidP="009431FF">
            <w:pPr>
              <w:tabs>
                <w:tab w:val="left" w:pos="567"/>
              </w:tabs>
              <w:rPr>
                <w:rFonts w:eastAsia="Times New Roman"/>
                <w:b/>
                <w:szCs w:val="24"/>
                <w:lang w:eastAsia="tr-TR"/>
              </w:rPr>
            </w:pPr>
            <w:r w:rsidRPr="00A23740">
              <w:rPr>
                <w:rStyle w:val="KIRMIZIChar"/>
                <w:rFonts w:eastAsia="Calibri"/>
              </w:rPr>
              <w:t>Madde 80 – (1) (Değişik</w:t>
            </w:r>
            <w:r w:rsidRPr="00A23740">
              <w:rPr>
                <w:rFonts w:eastAsia="Times New Roman"/>
                <w:b/>
                <w:strike/>
                <w:color w:val="FF0000"/>
                <w:szCs w:val="24"/>
                <w:lang w:eastAsia="tr-TR"/>
              </w:rPr>
              <w:t>: 3/7/1940 - 3890/1 md.)</w:t>
            </w: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 xml:space="preserve">İcra </w:t>
            </w:r>
            <w:r w:rsidRPr="00A23740">
              <w:rPr>
                <w:rFonts w:eastAsia="Times New Roman"/>
                <w:b/>
                <w:strike/>
                <w:color w:val="FF0000"/>
                <w:szCs w:val="24"/>
                <w:lang w:eastAsia="tr-TR"/>
              </w:rPr>
              <w:t>memuru</w:t>
            </w:r>
            <w:r w:rsidRPr="00A23740">
              <w:rPr>
                <w:rFonts w:eastAsia="Times New Roman"/>
                <w:szCs w:val="24"/>
                <w:lang w:eastAsia="tr-TR"/>
              </w:rPr>
              <w:t xml:space="preserve"> haczi kendi yapabileceği gibi </w:t>
            </w:r>
            <w:r w:rsidRPr="00A23740">
              <w:rPr>
                <w:rFonts w:eastAsia="Times New Roman"/>
                <w:b/>
                <w:strike/>
                <w:color w:val="FF0000"/>
                <w:szCs w:val="24"/>
                <w:lang w:eastAsia="tr-TR"/>
              </w:rPr>
              <w:t>yardımcı veya</w:t>
            </w:r>
            <w:r w:rsidRPr="00A23740">
              <w:rPr>
                <w:rFonts w:eastAsia="Times New Roman"/>
                <w:szCs w:val="24"/>
                <w:lang w:eastAsia="tr-TR"/>
              </w:rPr>
              <w:t xml:space="preserve"> </w:t>
            </w:r>
            <w:r w:rsidRPr="00A23740">
              <w:rPr>
                <w:rStyle w:val="KIRMIZIChar"/>
                <w:rFonts w:eastAsia="Calibri"/>
              </w:rPr>
              <w:t>katiplerinden birinede</w:t>
            </w:r>
            <w:r w:rsidRPr="00A23740">
              <w:rPr>
                <w:rFonts w:eastAsia="Times New Roman"/>
                <w:szCs w:val="24"/>
                <w:lang w:eastAsia="tr-TR"/>
              </w:rPr>
              <w:t xml:space="preserve"> yaptırabilir.</w:t>
            </w:r>
          </w:p>
          <w:p w:rsidR="002B4C3E" w:rsidRPr="00A23740" w:rsidRDefault="002B4C3E"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 Borçlu</w:t>
            </w:r>
            <w:r w:rsidRPr="00A23740">
              <w:rPr>
                <w:rFonts w:eastAsia="Times New Roman"/>
                <w:b/>
                <w:strike/>
                <w:color w:val="FF0000"/>
                <w:szCs w:val="24"/>
                <w:lang w:eastAsia="tr-TR"/>
              </w:rPr>
              <w:t xml:space="preserve"> haciz sırasında malın bulunduğu yerde bulunmaz ve hemen</w:t>
            </w:r>
            <w:r w:rsidRPr="00A23740">
              <w:rPr>
                <w:rFonts w:eastAsia="Times New Roman"/>
                <w:szCs w:val="24"/>
                <w:lang w:eastAsia="tr-TR"/>
              </w:rPr>
              <w:t xml:space="preserve"> bulundurulması mümkün olmazsa haciz, </w:t>
            </w:r>
            <w:r w:rsidRPr="00A23740">
              <w:rPr>
                <w:rFonts w:eastAsia="Times New Roman"/>
                <w:b/>
                <w:strike/>
                <w:color w:val="FF0000"/>
                <w:szCs w:val="24"/>
                <w:lang w:eastAsia="tr-TR"/>
              </w:rPr>
              <w:t>gıyabında</w:t>
            </w:r>
            <w:r w:rsidRPr="00A23740">
              <w:rPr>
                <w:rFonts w:eastAsia="Times New Roman"/>
                <w:szCs w:val="24"/>
                <w:lang w:eastAsia="tr-TR"/>
              </w:rPr>
              <w:t xml:space="preserve"> yapılır.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Talep </w:t>
            </w:r>
            <w:r w:rsidRPr="00A23740">
              <w:rPr>
                <w:rFonts w:eastAsia="Times New Roman"/>
                <w:b/>
                <w:strike/>
                <w:color w:val="FF0000"/>
                <w:szCs w:val="24"/>
                <w:lang w:eastAsia="tr-TR"/>
              </w:rPr>
              <w:t>vukuunda</w:t>
            </w:r>
            <w:r w:rsidRPr="00A23740">
              <w:rPr>
                <w:rFonts w:eastAsia="Times New Roman"/>
                <w:szCs w:val="24"/>
                <w:lang w:eastAsia="tr-TR"/>
              </w:rPr>
              <w:t xml:space="preserve"> borçlu kilitli yerleri </w:t>
            </w:r>
            <w:r w:rsidRPr="00A23740">
              <w:rPr>
                <w:rFonts w:eastAsia="Times New Roman"/>
                <w:b/>
                <w:strike/>
                <w:color w:val="FF0000"/>
                <w:szCs w:val="24"/>
                <w:lang w:eastAsia="tr-TR"/>
              </w:rPr>
              <w:t>ve dolapları</w:t>
            </w:r>
            <w:r w:rsidRPr="00A23740">
              <w:rPr>
                <w:rFonts w:eastAsia="Times New Roman"/>
                <w:szCs w:val="24"/>
                <w:lang w:eastAsia="tr-TR"/>
              </w:rPr>
              <w:t xml:space="preserve"> açma</w:t>
            </w:r>
            <w:r w:rsidRPr="00A23740">
              <w:rPr>
                <w:rFonts w:eastAsia="Times New Roman"/>
                <w:b/>
                <w:strike/>
                <w:color w:val="FF0000"/>
                <w:szCs w:val="24"/>
                <w:lang w:eastAsia="tr-TR"/>
              </w:rPr>
              <w:t>ğa</w:t>
            </w:r>
            <w:r w:rsidRPr="00A23740">
              <w:rPr>
                <w:rFonts w:eastAsia="Times New Roman"/>
                <w:szCs w:val="24"/>
                <w:lang w:eastAsia="tr-TR"/>
              </w:rPr>
              <w:t xml:space="preserve"> </w:t>
            </w:r>
            <w:r w:rsidRPr="00A23740">
              <w:rPr>
                <w:rFonts w:eastAsia="Times New Roman"/>
                <w:b/>
                <w:strike/>
                <w:color w:val="FF0000"/>
                <w:szCs w:val="24"/>
                <w:lang w:eastAsia="tr-TR"/>
              </w:rPr>
              <w:t>vesair</w:t>
            </w:r>
            <w:r w:rsidRPr="00A23740">
              <w:rPr>
                <w:rFonts w:eastAsia="Times New Roman"/>
                <w:szCs w:val="24"/>
                <w:lang w:eastAsia="tr-TR"/>
              </w:rPr>
              <w:t xml:space="preserve"> eşyayı gösterme</w:t>
            </w:r>
            <w:r w:rsidRPr="00A23740">
              <w:rPr>
                <w:rFonts w:eastAsia="Times New Roman"/>
                <w:b/>
                <w:strike/>
                <w:color w:val="FF0000"/>
                <w:szCs w:val="24"/>
                <w:lang w:eastAsia="tr-TR"/>
              </w:rPr>
              <w:t>ğe mecburdur.</w:t>
            </w:r>
            <w:r w:rsidRPr="00A23740">
              <w:rPr>
                <w:rFonts w:eastAsia="Times New Roman"/>
                <w:szCs w:val="24"/>
                <w:lang w:eastAsia="tr-TR"/>
              </w:rPr>
              <w:t xml:space="preserve"> Bu yerler </w:t>
            </w:r>
            <w:r w:rsidRPr="00A23740">
              <w:rPr>
                <w:rFonts w:eastAsia="Times New Roman"/>
                <w:b/>
                <w:strike/>
                <w:color w:val="FF0000"/>
                <w:szCs w:val="24"/>
                <w:lang w:eastAsia="tr-TR"/>
              </w:rPr>
              <w:t>icabında</w:t>
            </w:r>
            <w:r w:rsidRPr="00A23740">
              <w:rPr>
                <w:rFonts w:eastAsia="Times New Roman"/>
                <w:szCs w:val="24"/>
                <w:lang w:eastAsia="tr-TR"/>
              </w:rPr>
              <w:t xml:space="preserve"> zorla açtırılır.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(4) (Değişik</w:t>
            </w:r>
            <w:r w:rsidRPr="00A23740">
              <w:rPr>
                <w:rFonts w:eastAsia="Times New Roman"/>
                <w:b/>
                <w:strike/>
                <w:color w:val="FF0000"/>
                <w:szCs w:val="24"/>
                <w:lang w:eastAsia="tr-TR"/>
              </w:rPr>
              <w:t>: 18/2/1965 - 538/45 md.)</w:t>
            </w:r>
            <w:r w:rsidRPr="00A23740">
              <w:rPr>
                <w:rFonts w:eastAsia="Times New Roman"/>
                <w:b/>
                <w:szCs w:val="24"/>
                <w:lang w:eastAsia="tr-TR"/>
              </w:rPr>
              <w:t xml:space="preserve"> </w:t>
            </w:r>
            <w:r w:rsidRPr="00A23740">
              <w:rPr>
                <w:rFonts w:eastAsia="Times New Roman"/>
                <w:szCs w:val="24"/>
                <w:lang w:eastAsia="tr-TR"/>
              </w:rPr>
              <w:t>Haczi yapan memur, borçlunun üzerinde para, kıymetli evrak, altın veya gümüş veya diğer kıymetli şeyleri sakladığını anlar ve borçlu bunları vermekten kaçınırsa, borçlunun şahsına karşı</w:t>
            </w:r>
            <w:r w:rsidRPr="00A23740">
              <w:rPr>
                <w:rFonts w:eastAsia="Times New Roman"/>
                <w:b/>
                <w:strike/>
                <w:color w:val="FF0000"/>
                <w:szCs w:val="24"/>
                <w:lang w:eastAsia="tr-TR"/>
              </w:rPr>
              <w:t xml:space="preserve"> kuvvet istimal edilebilir.</w:t>
            </w:r>
          </w:p>
        </w:tc>
        <w:tc>
          <w:tcPr>
            <w:tcW w:w="2500" w:type="pct"/>
          </w:tcPr>
          <w:p w:rsidR="00AA5C8C" w:rsidRPr="00A23740" w:rsidRDefault="00AA5C8C" w:rsidP="009431FF">
            <w:pPr>
              <w:pStyle w:val="Mavi"/>
              <w:rPr>
                <w:strike/>
                <w:color w:val="FF0000"/>
              </w:rPr>
            </w:pPr>
            <w:r w:rsidRPr="00A23740">
              <w:t>Haciz yapma yetkisi</w:t>
            </w:r>
          </w:p>
          <w:p w:rsidR="00AA5C8C" w:rsidRPr="00A23740" w:rsidRDefault="00AA5C8C" w:rsidP="009431FF">
            <w:pPr>
              <w:tabs>
                <w:tab w:val="left" w:pos="567"/>
              </w:tabs>
              <w:rPr>
                <w:rFonts w:eastAsia="Times New Roman"/>
                <w:szCs w:val="24"/>
                <w:lang w:eastAsia="tr-TR"/>
              </w:rPr>
            </w:pPr>
            <w:r w:rsidRPr="00A23740">
              <w:rPr>
                <w:rStyle w:val="MaviChar"/>
              </w:rPr>
              <w:t>MADDE 16</w:t>
            </w:r>
            <w:r w:rsidR="006F462E" w:rsidRPr="00A23740">
              <w:rPr>
                <w:rStyle w:val="MaviChar"/>
                <w:lang w:val="tr-TR"/>
              </w:rPr>
              <w:t>8</w:t>
            </w:r>
            <w:r w:rsidRPr="00A23740">
              <w:rPr>
                <w:rStyle w:val="MaviChar"/>
                <w:lang w:eastAsia="tr-TR"/>
              </w:rPr>
              <w:t>- (1)</w:t>
            </w:r>
            <w:r w:rsidRPr="00A23740">
              <w:rPr>
                <w:rFonts w:eastAsia="Times New Roman"/>
                <w:b/>
                <w:szCs w:val="24"/>
                <w:lang w:eastAsia="tr-TR"/>
              </w:rPr>
              <w:t xml:space="preserve"> </w:t>
            </w:r>
            <w:r w:rsidRPr="00A23740">
              <w:rPr>
                <w:rFonts w:eastAsia="Times New Roman"/>
                <w:szCs w:val="24"/>
                <w:lang w:eastAsia="tr-TR"/>
              </w:rPr>
              <w:t xml:space="preserve">İcra </w:t>
            </w:r>
            <w:r w:rsidR="00EF7E58" w:rsidRPr="00B26441">
              <w:rPr>
                <w:rStyle w:val="Balk1Char"/>
                <w:rFonts w:eastAsia="Calibri"/>
              </w:rPr>
              <w:t>ve iflas dairesi</w:t>
            </w:r>
            <w:r w:rsidR="00EF7E58" w:rsidRPr="00A23740">
              <w:rPr>
                <w:rFonts w:eastAsia="Times New Roman"/>
                <w:color w:val="385623"/>
                <w:szCs w:val="24"/>
                <w:lang w:eastAsia="tr-TR"/>
              </w:rPr>
              <w:t xml:space="preserve"> </w:t>
            </w:r>
            <w:r w:rsidRPr="00A23740">
              <w:rPr>
                <w:rFonts w:eastAsia="Times New Roman"/>
                <w:szCs w:val="24"/>
                <w:lang w:eastAsia="tr-TR"/>
              </w:rPr>
              <w:t>müdürü haczi kendi</w:t>
            </w:r>
            <w:r w:rsidRPr="00A23740">
              <w:rPr>
                <w:rFonts w:eastAsia="Times New Roman"/>
                <w:b/>
                <w:color w:val="0000FF"/>
                <w:szCs w:val="24"/>
                <w:lang w:eastAsia="tr-TR"/>
              </w:rPr>
              <w:t>si</w:t>
            </w:r>
            <w:r w:rsidRPr="00A23740">
              <w:rPr>
                <w:rFonts w:eastAsia="Times New Roman"/>
                <w:szCs w:val="24"/>
                <w:lang w:eastAsia="tr-TR"/>
              </w:rPr>
              <w:t xml:space="preserve"> yapabileceği gibi</w:t>
            </w:r>
            <w:r w:rsidRPr="00A23740">
              <w:rPr>
                <w:b/>
                <w:bCs/>
                <w:color w:val="0000FF"/>
                <w:szCs w:val="24"/>
                <w:lang w:val="x-none" w:eastAsia="x-none"/>
              </w:rPr>
              <w:t xml:space="preserve">, icra </w:t>
            </w:r>
            <w:r w:rsidRPr="00A23740">
              <w:rPr>
                <w:rStyle w:val="MaviChar"/>
              </w:rPr>
              <w:t>ve</w:t>
            </w:r>
            <w:r w:rsidRPr="00A23740">
              <w:rPr>
                <w:rStyle w:val="YELChar"/>
              </w:rPr>
              <w:t xml:space="preserve"> </w:t>
            </w:r>
            <w:r w:rsidRPr="00A23740">
              <w:rPr>
                <w:rStyle w:val="MaviChar"/>
              </w:rPr>
              <w:t>iflas</w:t>
            </w:r>
            <w:r w:rsidRPr="00A23740">
              <w:rPr>
                <w:b/>
                <w:bCs/>
                <w:color w:val="0000FF"/>
                <w:szCs w:val="24"/>
                <w:lang w:eastAsia="x-none"/>
              </w:rPr>
              <w:t xml:space="preserve"> </w:t>
            </w:r>
            <w:r w:rsidRPr="00A23740">
              <w:rPr>
                <w:b/>
                <w:bCs/>
                <w:color w:val="0000FF"/>
                <w:szCs w:val="24"/>
                <w:lang w:val="x-none" w:eastAsia="x-none"/>
              </w:rPr>
              <w:t xml:space="preserve">dairesindeki </w:t>
            </w:r>
            <w:r w:rsidR="00EF7E58" w:rsidRPr="00B26441">
              <w:rPr>
                <w:rStyle w:val="Balk1Char"/>
                <w:rFonts w:eastAsia="Calibri"/>
              </w:rPr>
              <w:t>görevlilere de</w:t>
            </w:r>
            <w:r w:rsidR="00EF7E58" w:rsidRPr="00A23740">
              <w:rPr>
                <w:b/>
                <w:bCs/>
                <w:color w:val="385623"/>
                <w:szCs w:val="24"/>
                <w:lang w:val="x-none" w:eastAsia="x-none"/>
              </w:rPr>
              <w:t xml:space="preserve"> </w:t>
            </w:r>
            <w:r w:rsidRPr="00A23740">
              <w:rPr>
                <w:rFonts w:eastAsia="Times New Roman"/>
                <w:szCs w:val="24"/>
                <w:lang w:eastAsia="tr-TR"/>
              </w:rPr>
              <w:t>yaptırabilir.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 xml:space="preserve">(2) Haciz işlemi haczedilecek olan malın bulunduğu yerde yapılacaksa, borçlunun huzurunda gerçekleştirilir. Borçlunun, haciz sırasında hemen </w:t>
            </w:r>
            <w:r w:rsidRPr="00A23740">
              <w:rPr>
                <w:rFonts w:eastAsia="Times New Roman"/>
                <w:szCs w:val="24"/>
                <w:lang w:eastAsia="tr-TR"/>
              </w:rPr>
              <w:t xml:space="preserve">bulundurulması mümkün olmazsa haciz, </w:t>
            </w:r>
            <w:r w:rsidRPr="00A23740">
              <w:rPr>
                <w:rFonts w:eastAsia="Times New Roman"/>
                <w:b/>
                <w:color w:val="0000FF"/>
                <w:szCs w:val="24"/>
                <w:lang w:eastAsia="tr-TR"/>
              </w:rPr>
              <w:t>yokluğunda</w:t>
            </w:r>
            <w:r w:rsidRPr="00A23740">
              <w:rPr>
                <w:rFonts w:eastAsia="Times New Roman"/>
                <w:szCs w:val="24"/>
                <w:lang w:eastAsia="tr-TR"/>
              </w:rPr>
              <w:t xml:space="preserve"> yapılır.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(3)</w:t>
            </w:r>
            <w:r w:rsidRPr="00A23740">
              <w:rPr>
                <w:rFonts w:eastAsia="Times New Roman"/>
                <w:szCs w:val="24"/>
                <w:lang w:eastAsia="tr-TR"/>
              </w:rPr>
              <w:t xml:space="preserve"> Talep </w:t>
            </w:r>
            <w:r w:rsidRPr="00A23740">
              <w:rPr>
                <w:rFonts w:eastAsia="Times New Roman"/>
                <w:b/>
                <w:color w:val="0000FF"/>
                <w:szCs w:val="24"/>
                <w:lang w:eastAsia="tr-TR"/>
              </w:rPr>
              <w:t>h</w:t>
            </w:r>
            <w:r w:rsidR="001D7D44" w:rsidRPr="00A23740">
              <w:rPr>
                <w:rFonts w:eastAsia="Times New Roman"/>
                <w:b/>
                <w:color w:val="0000FF"/>
                <w:szCs w:val="24"/>
                <w:lang w:eastAsia="tr-TR"/>
              </w:rPr>
              <w:t>â</w:t>
            </w:r>
            <w:r w:rsidRPr="00A23740">
              <w:rPr>
                <w:rFonts w:eastAsia="Times New Roman"/>
                <w:b/>
                <w:color w:val="0000FF"/>
                <w:szCs w:val="24"/>
                <w:lang w:eastAsia="tr-TR"/>
              </w:rPr>
              <w:t>linde</w:t>
            </w:r>
            <w:r w:rsidRPr="00A23740">
              <w:rPr>
                <w:rFonts w:eastAsia="Times New Roman"/>
                <w:szCs w:val="24"/>
                <w:lang w:eastAsia="tr-TR"/>
              </w:rPr>
              <w:t xml:space="preserve"> borçlu </w:t>
            </w:r>
            <w:r w:rsidRPr="00A23740">
              <w:rPr>
                <w:rFonts w:eastAsia="Times New Roman"/>
                <w:b/>
                <w:color w:val="0000FF"/>
                <w:szCs w:val="24"/>
                <w:lang w:eastAsia="tr-TR"/>
              </w:rPr>
              <w:t>kapalı ve</w:t>
            </w:r>
            <w:r w:rsidRPr="00A23740">
              <w:rPr>
                <w:rFonts w:eastAsia="Times New Roman"/>
                <w:szCs w:val="24"/>
                <w:lang w:eastAsia="tr-TR"/>
              </w:rPr>
              <w:t xml:space="preserve"> kilitli yerleri açma</w:t>
            </w:r>
            <w:r w:rsidRPr="00A23740">
              <w:rPr>
                <w:rFonts w:eastAsia="Times New Roman"/>
                <w:b/>
                <w:color w:val="0000FF"/>
                <w:szCs w:val="24"/>
                <w:lang w:eastAsia="tr-TR"/>
              </w:rPr>
              <w:t>k</w:t>
            </w:r>
            <w:r w:rsidRPr="00A23740">
              <w:rPr>
                <w:rFonts w:eastAsia="Times New Roman"/>
                <w:szCs w:val="24"/>
                <w:lang w:eastAsia="tr-TR"/>
              </w:rPr>
              <w:t xml:space="preserve"> ve buralardaki eşyayı gösterme</w:t>
            </w:r>
            <w:r w:rsidRPr="00A23740">
              <w:rPr>
                <w:rFonts w:eastAsia="Times New Roman"/>
                <w:b/>
                <w:color w:val="0000FF"/>
                <w:szCs w:val="24"/>
                <w:lang w:eastAsia="tr-TR"/>
              </w:rPr>
              <w:t>k zorundadır.</w:t>
            </w:r>
            <w:r w:rsidRPr="00A23740">
              <w:rPr>
                <w:rFonts w:eastAsia="Times New Roman"/>
                <w:szCs w:val="24"/>
                <w:lang w:eastAsia="tr-TR"/>
              </w:rPr>
              <w:t xml:space="preserve"> Bu yerler </w:t>
            </w:r>
            <w:r w:rsidRPr="00A23740">
              <w:rPr>
                <w:rFonts w:eastAsia="Times New Roman"/>
                <w:b/>
                <w:color w:val="0000FF"/>
                <w:szCs w:val="24"/>
                <w:lang w:eastAsia="tr-TR"/>
              </w:rPr>
              <w:t>gerektiğinde</w:t>
            </w:r>
            <w:r w:rsidRPr="00A23740">
              <w:rPr>
                <w:rFonts w:eastAsia="Times New Roman"/>
                <w:szCs w:val="24"/>
                <w:lang w:eastAsia="tr-TR"/>
              </w:rPr>
              <w:t xml:space="preserve"> zorla açtırılır.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(4)</w:t>
            </w:r>
            <w:r w:rsidRPr="00A23740">
              <w:rPr>
                <w:rFonts w:eastAsia="Times New Roman"/>
                <w:szCs w:val="24"/>
                <w:lang w:eastAsia="tr-TR"/>
              </w:rPr>
              <w:t xml:space="preserve"> Haczi yapan memur borçlunun üzerinde para, kıymetli evrak, altın veya gümüş veya diğer kıymetli şeyleri sakladığını anlar ve borçlu bunları vermekten kaçınırsa,</w:t>
            </w:r>
            <w:r w:rsidR="002B4C3E" w:rsidRPr="00A23740">
              <w:rPr>
                <w:rFonts w:eastAsia="Times New Roman"/>
                <w:szCs w:val="24"/>
                <w:lang w:eastAsia="tr-TR"/>
              </w:rPr>
              <w:t xml:space="preserve"> </w:t>
            </w:r>
            <w:r w:rsidR="002B4C3E" w:rsidRPr="00B26441">
              <w:rPr>
                <w:rStyle w:val="Balk1Char"/>
                <w:rFonts w:eastAsia="Calibri"/>
              </w:rPr>
              <w:t>169 uncu</w:t>
            </w:r>
            <w:r w:rsidRPr="00A23740">
              <w:rPr>
                <w:rFonts w:eastAsia="Times New Roman"/>
                <w:szCs w:val="24"/>
                <w:lang w:eastAsia="tr-TR"/>
              </w:rPr>
              <w:t xml:space="preserve"> </w:t>
            </w:r>
            <w:r w:rsidRPr="00A23740">
              <w:rPr>
                <w:rFonts w:eastAsia="Times New Roman"/>
                <w:b/>
                <w:color w:val="0000FF"/>
                <w:szCs w:val="24"/>
                <w:lang w:eastAsia="tr-TR"/>
              </w:rPr>
              <w:t xml:space="preserve">madde uyarınca </w:t>
            </w:r>
            <w:r w:rsidRPr="00A23740">
              <w:rPr>
                <w:rFonts w:eastAsia="Times New Roman"/>
                <w:szCs w:val="24"/>
                <w:lang w:eastAsia="tr-TR"/>
              </w:rPr>
              <w:t>borçlu</w:t>
            </w:r>
            <w:r w:rsidRPr="00A23740">
              <w:rPr>
                <w:rStyle w:val="MaviChar"/>
              </w:rPr>
              <w:t>ya</w:t>
            </w:r>
            <w:r w:rsidRPr="00A23740">
              <w:rPr>
                <w:rFonts w:eastAsia="Times New Roman"/>
                <w:szCs w:val="24"/>
                <w:lang w:eastAsia="tr-TR"/>
              </w:rPr>
              <w:t xml:space="preserve"> karşı</w:t>
            </w:r>
            <w:r w:rsidRPr="00A23740">
              <w:rPr>
                <w:rFonts w:eastAsia="Times New Roman"/>
                <w:b/>
                <w:color w:val="0000FF"/>
                <w:szCs w:val="24"/>
                <w:lang w:eastAsia="tr-TR"/>
              </w:rPr>
              <w:t xml:space="preserve"> kolluk görevlisi vasıtasıyla zor kullanılabilir</w:t>
            </w:r>
            <w:r w:rsidRPr="00A23740">
              <w:rPr>
                <w:rFonts w:eastAsia="Times New Roman"/>
                <w:szCs w:val="24"/>
                <w:lang w:eastAsia="tr-TR"/>
              </w:rPr>
              <w:t>.</w:t>
            </w:r>
          </w:p>
          <w:p w:rsidR="00AA5C8C" w:rsidRPr="00A23740" w:rsidRDefault="00AA5C8C" w:rsidP="009431FF">
            <w:pPr>
              <w:pStyle w:val="YEL"/>
              <w:rPr>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62391" w:rsidRPr="00A23740" w:rsidRDefault="00B62391" w:rsidP="009431FF">
            <w:pPr>
              <w:tabs>
                <w:tab w:val="left" w:pos="567"/>
              </w:tabs>
              <w:rPr>
                <w:b/>
              </w:rPr>
            </w:pPr>
          </w:p>
          <w:p w:rsidR="00B145C0" w:rsidRPr="00A23740" w:rsidRDefault="00B62391" w:rsidP="009431FF">
            <w:pPr>
              <w:tabs>
                <w:tab w:val="left" w:pos="567"/>
              </w:tabs>
              <w:ind w:firstLine="709"/>
              <w:rPr>
                <w:rFonts w:eastAsia="Times New Roman"/>
                <w:szCs w:val="24"/>
                <w:lang w:eastAsia="tr-TR"/>
              </w:rPr>
            </w:pPr>
            <w:r w:rsidRPr="00A23740">
              <w:rPr>
                <w:rFonts w:eastAsia="Times New Roman"/>
                <w:b/>
                <w:szCs w:val="24"/>
                <w:lang w:eastAsia="tr-TR"/>
              </w:rPr>
              <w:t>MADDE 16</w:t>
            </w:r>
            <w:r w:rsidR="006F462E" w:rsidRPr="00A23740">
              <w:rPr>
                <w:rFonts w:eastAsia="Times New Roman"/>
                <w:b/>
                <w:szCs w:val="24"/>
                <w:lang w:eastAsia="tr-TR"/>
              </w:rPr>
              <w:t>8</w:t>
            </w:r>
            <w:r w:rsidRPr="00A23740">
              <w:rPr>
                <w:rFonts w:eastAsia="Times New Roman"/>
                <w:b/>
                <w:szCs w:val="24"/>
                <w:lang w:eastAsia="tr-TR"/>
              </w:rPr>
              <w:t xml:space="preserve"> </w:t>
            </w:r>
            <w:r w:rsidR="00B145C0" w:rsidRPr="00A23740">
              <w:rPr>
                <w:rFonts w:eastAsia="Times New Roman"/>
                <w:b/>
                <w:szCs w:val="24"/>
                <w:lang w:eastAsia="tr-TR"/>
              </w:rPr>
              <w:t>-</w:t>
            </w:r>
            <w:r w:rsidRPr="00A23740">
              <w:rPr>
                <w:rFonts w:eastAsia="Times New Roman"/>
                <w:szCs w:val="24"/>
                <w:lang w:eastAsia="tr-TR"/>
              </w:rPr>
              <w:t xml:space="preserve"> </w:t>
            </w:r>
            <w:r w:rsidR="00B145C0" w:rsidRPr="00A23740">
              <w:rPr>
                <w:rFonts w:eastAsia="Times New Roman"/>
                <w:szCs w:val="24"/>
                <w:lang w:eastAsia="tr-TR"/>
              </w:rPr>
              <w:t>Maddeyle, haciz yapma yetkisine ilişkin hususlar düzenlenmektedir. Hüküm, 2004 sayılı Kanunun 80 inci maddesine karşılık gelmektedir.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B</w:t>
            </w:r>
            <w:r w:rsidR="00B145C0" w:rsidRPr="00A23740">
              <w:rPr>
                <w:rFonts w:eastAsia="Times New Roman"/>
                <w:szCs w:val="24"/>
                <w:lang w:eastAsia="tr-TR"/>
              </w:rPr>
              <w:t>irinci fıkrayla,</w:t>
            </w:r>
            <w:r w:rsidRPr="00A23740">
              <w:rPr>
                <w:rFonts w:eastAsia="Times New Roman"/>
                <w:szCs w:val="24"/>
                <w:lang w:eastAsia="tr-TR"/>
              </w:rPr>
              <w:t xml:space="preserve"> haciz yapma yetkisi düzenlenmiş, bu yetki icra </w:t>
            </w:r>
            <w:r w:rsidR="00F37300" w:rsidRPr="00B26441">
              <w:rPr>
                <w:rFonts w:eastAsia="Times New Roman"/>
                <w:lang w:eastAsia="tr-TR"/>
              </w:rPr>
              <w:t xml:space="preserve">ve </w:t>
            </w:r>
            <w:r w:rsidR="00F37300" w:rsidRPr="00B26441">
              <w:rPr>
                <w:rFonts w:eastAsia="Times New Roman"/>
                <w:szCs w:val="24"/>
                <w:lang w:eastAsia="tr-TR"/>
              </w:rPr>
              <w:t>iflas</w:t>
            </w:r>
            <w:r w:rsidR="00F37300" w:rsidRPr="00A23740">
              <w:rPr>
                <w:rFonts w:eastAsia="Times New Roman"/>
                <w:szCs w:val="24"/>
                <w:lang w:eastAsia="tr-TR"/>
              </w:rPr>
              <w:t xml:space="preserve"> </w:t>
            </w:r>
            <w:r w:rsidRPr="00A23740">
              <w:rPr>
                <w:rFonts w:eastAsia="Times New Roman"/>
                <w:szCs w:val="24"/>
                <w:lang w:eastAsia="tr-TR"/>
              </w:rPr>
              <w:t xml:space="preserve">müdürüne verilmekle birlikte </w:t>
            </w:r>
            <w:r w:rsidR="002C5055" w:rsidRPr="00A23740">
              <w:rPr>
                <w:rFonts w:eastAsia="Times New Roman"/>
                <w:szCs w:val="24"/>
                <w:lang w:eastAsia="tr-TR"/>
              </w:rPr>
              <w:t xml:space="preserve">onun </w:t>
            </w:r>
            <w:r w:rsidRPr="00A23740">
              <w:rPr>
                <w:rFonts w:eastAsia="Times New Roman"/>
                <w:szCs w:val="24"/>
                <w:lang w:eastAsia="tr-TR"/>
              </w:rPr>
              <w:t xml:space="preserve">icra </w:t>
            </w:r>
            <w:r w:rsidR="00F37300" w:rsidRPr="00B26441">
              <w:rPr>
                <w:rFonts w:eastAsia="Times New Roman"/>
                <w:lang w:eastAsia="tr-TR"/>
              </w:rPr>
              <w:t>ve iflas dairesindeki görevlilere</w:t>
            </w:r>
            <w:r w:rsidR="00F37300" w:rsidRPr="00B26441">
              <w:rPr>
                <w:rFonts w:eastAsia="Times New Roman"/>
                <w:b/>
                <w:lang w:eastAsia="tr-TR"/>
              </w:rPr>
              <w:t xml:space="preserve"> </w:t>
            </w:r>
            <w:r w:rsidR="00F37300" w:rsidRPr="00B26441">
              <w:rPr>
                <w:rFonts w:eastAsia="Times New Roman"/>
                <w:lang w:eastAsia="tr-TR"/>
              </w:rPr>
              <w:t>de</w:t>
            </w:r>
            <w:r w:rsidR="00F37300" w:rsidRPr="00A23740">
              <w:rPr>
                <w:rFonts w:eastAsia="Times New Roman"/>
                <w:szCs w:val="24"/>
                <w:lang w:eastAsia="tr-TR"/>
              </w:rPr>
              <w:t xml:space="preserve"> </w:t>
            </w:r>
            <w:r w:rsidRPr="00A23740">
              <w:rPr>
                <w:rFonts w:eastAsia="Times New Roman"/>
                <w:szCs w:val="24"/>
                <w:lang w:eastAsia="tr-TR"/>
              </w:rPr>
              <w:t xml:space="preserve">haciz </w:t>
            </w:r>
            <w:r w:rsidR="002C5055" w:rsidRPr="00A23740">
              <w:rPr>
                <w:rFonts w:eastAsia="Times New Roman"/>
                <w:szCs w:val="24"/>
                <w:lang w:eastAsia="tr-TR"/>
              </w:rPr>
              <w:t xml:space="preserve">yapma yetkisi verebileceği </w:t>
            </w:r>
            <w:r w:rsidRPr="00A23740">
              <w:rPr>
                <w:rFonts w:eastAsia="Times New Roman"/>
                <w:szCs w:val="24"/>
                <w:lang w:eastAsia="tr-TR"/>
              </w:rPr>
              <w:t>düzenleme altına alınmıştır.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İkinci fıkrayla</w:t>
            </w:r>
            <w:r w:rsidR="00B145C0" w:rsidRPr="00A23740">
              <w:rPr>
                <w:rFonts w:eastAsia="Times New Roman"/>
                <w:szCs w:val="24"/>
                <w:lang w:eastAsia="tr-TR"/>
              </w:rPr>
              <w:t>,</w:t>
            </w:r>
            <w:r w:rsidRPr="00A23740">
              <w:rPr>
                <w:rFonts w:eastAsia="Times New Roman"/>
                <w:szCs w:val="24"/>
                <w:lang w:eastAsia="tr-TR"/>
              </w:rPr>
              <w:t xml:space="preserve"> haciz işlemi</w:t>
            </w:r>
            <w:r w:rsidR="002C5055" w:rsidRPr="00A23740">
              <w:rPr>
                <w:rFonts w:eastAsia="Times New Roman"/>
                <w:szCs w:val="24"/>
                <w:lang w:eastAsia="tr-TR"/>
              </w:rPr>
              <w:t>nin,</w:t>
            </w:r>
            <w:r w:rsidRPr="00A23740">
              <w:rPr>
                <w:rFonts w:eastAsia="Times New Roman"/>
                <w:szCs w:val="24"/>
                <w:lang w:eastAsia="tr-TR"/>
              </w:rPr>
              <w:t xml:space="preserve"> haczedilecek malın bulunduğu yerde yapılması </w:t>
            </w:r>
            <w:r w:rsidR="002C5055" w:rsidRPr="00A23740">
              <w:rPr>
                <w:rFonts w:eastAsia="Times New Roman"/>
                <w:szCs w:val="24"/>
                <w:lang w:eastAsia="tr-TR"/>
              </w:rPr>
              <w:t xml:space="preserve">halinde </w:t>
            </w:r>
            <w:r w:rsidRPr="00A23740">
              <w:rPr>
                <w:rFonts w:eastAsia="Times New Roman"/>
                <w:szCs w:val="24"/>
                <w:lang w:eastAsia="tr-TR"/>
              </w:rPr>
              <w:t>borçlunun huzurunda yapılacağı düzenlenmiştir. Bilindiği üzere borçluya ait mal, hak ve alacakların tamamı malın bulunduğu yerde haczedilmemekte, bir kısmı entegrasyon kapsamında elektronik ortamda haczedilirken</w:t>
            </w:r>
            <w:r w:rsidR="002C5055" w:rsidRPr="00A23740">
              <w:rPr>
                <w:rFonts w:eastAsia="Times New Roman"/>
                <w:szCs w:val="24"/>
                <w:lang w:eastAsia="tr-TR"/>
              </w:rPr>
              <w:t>,</w:t>
            </w:r>
            <w:r w:rsidRPr="00A23740">
              <w:rPr>
                <w:rFonts w:eastAsia="Times New Roman"/>
                <w:szCs w:val="24"/>
                <w:lang w:eastAsia="tr-TR"/>
              </w:rPr>
              <w:t xml:space="preserve"> bir kısmı da</w:t>
            </w:r>
            <w:r w:rsidR="00181BAB" w:rsidRPr="00A23740">
              <w:rPr>
                <w:rFonts w:eastAsia="Times New Roman"/>
                <w:szCs w:val="24"/>
                <w:lang w:eastAsia="tr-TR"/>
              </w:rPr>
              <w:t xml:space="preserve"> </w:t>
            </w:r>
            <w:r w:rsidRPr="00A23740">
              <w:rPr>
                <w:rFonts w:eastAsia="Times New Roman"/>
                <w:szCs w:val="24"/>
                <w:lang w:eastAsia="tr-TR"/>
              </w:rPr>
              <w:t xml:space="preserve">müzekkere yazılmak ve tebligat çıkarmak suretiyle yapılmaktadır. Malın bulunduğu yerde haciz yapılırken haczin yapılması sırasında borçlu hazır bulundurulursa haciz huzurunda yapılacaktır. Ancak borçlunun </w:t>
            </w:r>
            <w:r w:rsidRPr="00B26441">
              <w:rPr>
                <w:rFonts w:eastAsia="Times New Roman"/>
                <w:lang w:eastAsia="tr-TR"/>
              </w:rPr>
              <w:t>haciz</w:t>
            </w:r>
            <w:r w:rsidR="006F462E" w:rsidRPr="00B26441">
              <w:rPr>
                <w:rFonts w:eastAsia="Times New Roman"/>
                <w:lang w:eastAsia="tr-TR"/>
              </w:rPr>
              <w:t xml:space="preserve"> mahalinde bulunmaması</w:t>
            </w:r>
            <w:r w:rsidRPr="00A23740">
              <w:rPr>
                <w:rFonts w:eastAsia="Times New Roman"/>
                <w:szCs w:val="24"/>
                <w:lang w:eastAsia="tr-TR"/>
              </w:rPr>
              <w:t xml:space="preserve"> </w:t>
            </w:r>
            <w:r w:rsidR="002C5055" w:rsidRPr="00A23740">
              <w:rPr>
                <w:rFonts w:eastAsia="Times New Roman"/>
                <w:szCs w:val="24"/>
                <w:lang w:eastAsia="tr-TR"/>
              </w:rPr>
              <w:t xml:space="preserve">ve bulundurulmasının mümkün olmaması </w:t>
            </w:r>
            <w:r w:rsidR="006F462E" w:rsidRPr="00A23740">
              <w:rPr>
                <w:rFonts w:eastAsia="Times New Roman"/>
                <w:szCs w:val="24"/>
                <w:lang w:eastAsia="tr-TR"/>
              </w:rPr>
              <w:t xml:space="preserve">haciz </w:t>
            </w:r>
            <w:r w:rsidRPr="00A23740">
              <w:rPr>
                <w:rFonts w:eastAsia="Times New Roman"/>
                <w:szCs w:val="24"/>
                <w:lang w:eastAsia="tr-TR"/>
              </w:rPr>
              <w:t>işleminin gerçekleştirilmesine engel olmayacaktır.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Üçüncü fıkrayla</w:t>
            </w:r>
            <w:r w:rsidR="00B145C0" w:rsidRPr="00A23740">
              <w:rPr>
                <w:rFonts w:eastAsia="Times New Roman"/>
                <w:szCs w:val="24"/>
                <w:lang w:eastAsia="tr-TR"/>
              </w:rPr>
              <w:t>,</w:t>
            </w:r>
            <w:r w:rsidRPr="00A23740">
              <w:rPr>
                <w:rFonts w:eastAsia="Times New Roman"/>
                <w:szCs w:val="24"/>
                <w:lang w:eastAsia="tr-TR"/>
              </w:rPr>
              <w:t xml:space="preserve"> icra </w:t>
            </w:r>
            <w:r w:rsidR="00B73523" w:rsidRPr="00B26441">
              <w:rPr>
                <w:rFonts w:eastAsia="Times New Roman"/>
                <w:szCs w:val="24"/>
                <w:lang w:eastAsia="tr-TR"/>
              </w:rPr>
              <w:t xml:space="preserve">ve iflas </w:t>
            </w:r>
            <w:r w:rsidRPr="00A23740">
              <w:rPr>
                <w:rFonts w:eastAsia="Times New Roman"/>
                <w:szCs w:val="24"/>
                <w:lang w:eastAsia="tr-TR"/>
              </w:rPr>
              <w:t>dairesinin haciz işlemi sırasında talebi h</w:t>
            </w:r>
            <w:r w:rsidR="00DE5E1D" w:rsidRPr="00A23740">
              <w:rPr>
                <w:rFonts w:eastAsia="Times New Roman"/>
                <w:szCs w:val="24"/>
                <w:lang w:eastAsia="tr-TR"/>
              </w:rPr>
              <w:t>â</w:t>
            </w:r>
            <w:r w:rsidRPr="00A23740">
              <w:rPr>
                <w:rFonts w:eastAsia="Times New Roman"/>
                <w:szCs w:val="24"/>
                <w:lang w:eastAsia="tr-TR"/>
              </w:rPr>
              <w:t>linde borçlunun kapalı ve kilitli yerleri açmak ve buradaki eşyayı göstermek zorunda olduğu aksi durumda ise icra</w:t>
            </w:r>
            <w:r w:rsidR="00B73523" w:rsidRPr="00B26441">
              <w:rPr>
                <w:rFonts w:eastAsia="Times New Roman"/>
                <w:szCs w:val="24"/>
                <w:lang w:eastAsia="tr-TR"/>
              </w:rPr>
              <w:t xml:space="preserve"> ve iflas</w:t>
            </w:r>
            <w:r w:rsidRPr="00A23740">
              <w:rPr>
                <w:rFonts w:eastAsia="Times New Roman"/>
                <w:szCs w:val="24"/>
                <w:lang w:eastAsia="tr-TR"/>
              </w:rPr>
              <w:t xml:space="preserve"> dairesince buraların zorla açtırılacağı düzenleme altına alınmıştır.</w:t>
            </w:r>
          </w:p>
          <w:p w:rsidR="00B62391" w:rsidRPr="00A23740" w:rsidRDefault="00B62391" w:rsidP="009431FF">
            <w:pPr>
              <w:tabs>
                <w:tab w:val="left" w:pos="567"/>
              </w:tabs>
              <w:ind w:firstLine="709"/>
              <w:rPr>
                <w:rFonts w:eastAsia="Times New Roman"/>
                <w:b/>
                <w:szCs w:val="24"/>
                <w:lang w:eastAsia="tr-TR"/>
              </w:rPr>
            </w:pPr>
            <w:r w:rsidRPr="00A23740">
              <w:rPr>
                <w:rStyle w:val="MAVChar"/>
                <w:rFonts w:eastAsia="Calibri"/>
                <w:b w:val="0"/>
                <w:color w:val="auto"/>
                <w:u w:val="none"/>
                <w:lang w:eastAsia="tr-TR"/>
              </w:rPr>
              <w:t>Dördüncü fıkrayla</w:t>
            </w:r>
            <w:r w:rsidR="00B145C0" w:rsidRPr="00A23740">
              <w:rPr>
                <w:rStyle w:val="MAVChar"/>
                <w:rFonts w:eastAsia="Calibri"/>
                <w:b w:val="0"/>
                <w:color w:val="auto"/>
                <w:u w:val="none"/>
                <w:lang w:eastAsia="tr-TR"/>
              </w:rPr>
              <w:t>,</w:t>
            </w:r>
            <w:r w:rsidR="00612989" w:rsidRPr="00A23740">
              <w:rPr>
                <w:rStyle w:val="MAVChar"/>
                <w:rFonts w:eastAsia="Calibri"/>
                <w:b w:val="0"/>
                <w:color w:val="auto"/>
                <w:u w:val="none"/>
                <w:lang w:eastAsia="tr-TR"/>
              </w:rPr>
              <w:t xml:space="preserve"> </w:t>
            </w:r>
            <w:r w:rsidRPr="00A23740">
              <w:rPr>
                <w:rStyle w:val="MAVChar"/>
                <w:rFonts w:eastAsia="Calibri"/>
                <w:b w:val="0"/>
                <w:color w:val="auto"/>
                <w:u w:val="none"/>
                <w:lang w:eastAsia="tr-TR"/>
              </w:rPr>
              <w:t>haczi yapan memurun borçlunun üzerinde bulunan para, kıymetli evrak, altın veya gümüş veya diğer kıymetli malları haczetmek amacıyla alabileceği, borçlu üzerinde haciz işlemini gerçekleştirmek amacıyla kolluk görevlilerinden yardım isteyebileceği düzenlenmiştir.</w:t>
            </w:r>
          </w:p>
          <w:p w:rsidR="00B62391" w:rsidRPr="00A23740" w:rsidRDefault="00B62391" w:rsidP="008B4E7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Zabıta memurlariyle muhtarların vazifeleri:</w:t>
            </w: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Madde 81 – (1)</w:t>
            </w:r>
            <w:r w:rsidRPr="00A23740">
              <w:rPr>
                <w:rFonts w:eastAsia="Times New Roman"/>
                <w:b/>
                <w:szCs w:val="24"/>
                <w:lang w:eastAsia="tr-TR"/>
              </w:rPr>
              <w:t xml:space="preserve"> </w:t>
            </w:r>
            <w:r w:rsidRPr="00A23740">
              <w:rPr>
                <w:rFonts w:eastAsia="Times New Roman"/>
                <w:szCs w:val="24"/>
                <w:lang w:eastAsia="tr-TR"/>
              </w:rPr>
              <w:t xml:space="preserve">Zor kullanma hususunda bütün </w:t>
            </w:r>
            <w:r w:rsidRPr="00A23740">
              <w:rPr>
                <w:rFonts w:eastAsia="Times New Roman"/>
                <w:b/>
                <w:strike/>
                <w:color w:val="FF0000"/>
                <w:szCs w:val="24"/>
                <w:lang w:eastAsia="tr-TR"/>
              </w:rPr>
              <w:t>zabıta memurları</w:t>
            </w:r>
            <w:r w:rsidRPr="00A23740">
              <w:rPr>
                <w:rFonts w:eastAsia="Times New Roman"/>
                <w:szCs w:val="24"/>
                <w:lang w:eastAsia="tr-TR"/>
              </w:rPr>
              <w:t xml:space="preserve"> icra memurunun yazılı </w:t>
            </w:r>
            <w:r w:rsidRPr="00A23740">
              <w:rPr>
                <w:rFonts w:eastAsia="Times New Roman"/>
                <w:b/>
                <w:strike/>
                <w:color w:val="FF0000"/>
                <w:szCs w:val="24"/>
                <w:lang w:eastAsia="tr-TR"/>
              </w:rPr>
              <w:t>müracaatı</w:t>
            </w:r>
            <w:r w:rsidRPr="00A23740">
              <w:rPr>
                <w:rFonts w:eastAsia="Times New Roman"/>
                <w:szCs w:val="24"/>
                <w:lang w:eastAsia="tr-TR"/>
              </w:rPr>
              <w:t xml:space="preserve"> üzerine kendisine </w:t>
            </w:r>
            <w:r w:rsidRPr="00A23740">
              <w:rPr>
                <w:rFonts w:eastAsia="Times New Roman"/>
                <w:b/>
                <w:strike/>
                <w:color w:val="FF0000"/>
                <w:szCs w:val="24"/>
                <w:lang w:eastAsia="tr-TR"/>
              </w:rPr>
              <w:t>muavenet</w:t>
            </w:r>
            <w:r w:rsidRPr="00A23740">
              <w:rPr>
                <w:rFonts w:eastAsia="Times New Roman"/>
                <w:szCs w:val="24"/>
                <w:lang w:eastAsia="tr-TR"/>
              </w:rPr>
              <w:t xml:space="preserve"> ve emirlerini </w:t>
            </w:r>
            <w:r w:rsidRPr="00A23740">
              <w:rPr>
                <w:rFonts w:eastAsia="Times New Roman"/>
                <w:b/>
                <w:strike/>
                <w:color w:val="FF0000"/>
                <w:szCs w:val="24"/>
                <w:lang w:eastAsia="tr-TR"/>
              </w:rPr>
              <w:t>ifa etmekle mükelleftirler.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Style w:val="KIRMIZIChar"/>
                <w:rFonts w:eastAsia="Calibri"/>
              </w:rPr>
            </w:pPr>
            <w:r w:rsidRPr="00A23740">
              <w:rPr>
                <w:rStyle w:val="KIRMIZIChar"/>
                <w:rFonts w:eastAsia="Calibri"/>
              </w:rPr>
              <w:t>(2)</w:t>
            </w:r>
            <w:r w:rsidRPr="00A23740">
              <w:rPr>
                <w:rFonts w:eastAsia="Times New Roman"/>
                <w:szCs w:val="24"/>
                <w:lang w:eastAsia="tr-TR"/>
              </w:rPr>
              <w:t xml:space="preserve"> Köylerde haczi yapan </w:t>
            </w:r>
            <w:r w:rsidRPr="00A23740">
              <w:rPr>
                <w:rStyle w:val="KIRMIZIChar"/>
                <w:rFonts w:eastAsia="Calibri"/>
              </w:rPr>
              <w:t>memurun</w:t>
            </w:r>
            <w:r w:rsidRPr="00A23740">
              <w:rPr>
                <w:rFonts w:eastAsia="Times New Roman"/>
                <w:szCs w:val="24"/>
                <w:lang w:eastAsia="tr-TR"/>
              </w:rPr>
              <w:t xml:space="preserve"> emirlerini muhtarlar </w:t>
            </w:r>
            <w:r w:rsidRPr="00A23740">
              <w:rPr>
                <w:rStyle w:val="KIRMIZIChar"/>
                <w:rFonts w:eastAsia="Calibri"/>
              </w:rPr>
              <w:t>da ifaya mecburdurlar.</w:t>
            </w:r>
          </w:p>
          <w:p w:rsidR="00AA5C8C" w:rsidRPr="00A23740" w:rsidRDefault="00AA5C8C" w:rsidP="009431FF">
            <w:pPr>
              <w:tabs>
                <w:tab w:val="left" w:pos="567"/>
                <w:tab w:val="left" w:pos="708"/>
                <w:tab w:val="left" w:pos="1416"/>
                <w:tab w:val="left" w:pos="2124"/>
                <w:tab w:val="left" w:pos="2832"/>
                <w:tab w:val="left" w:pos="5865"/>
              </w:tabs>
              <w:rPr>
                <w:rFonts w:eastAsia="Times New Roman"/>
                <w:szCs w:val="24"/>
                <w:lang w:eastAsia="tr-TR"/>
              </w:rPr>
            </w:pPr>
          </w:p>
        </w:tc>
        <w:tc>
          <w:tcPr>
            <w:tcW w:w="2500" w:type="pct"/>
          </w:tcPr>
          <w:p w:rsidR="00AA5C8C" w:rsidRPr="00A23740" w:rsidRDefault="00612989" w:rsidP="009431FF">
            <w:pPr>
              <w:tabs>
                <w:tab w:val="left" w:pos="567"/>
              </w:tabs>
              <w:rPr>
                <w:rFonts w:eastAsia="Times New Roman"/>
                <w:b/>
                <w:color w:val="0000FF"/>
                <w:szCs w:val="24"/>
                <w:lang w:eastAsia="tr-TR"/>
              </w:rPr>
            </w:pPr>
            <w:r w:rsidRPr="00B26441">
              <w:rPr>
                <w:rFonts w:eastAsia="Times New Roman"/>
                <w:b/>
                <w:color w:val="0000FF"/>
                <w:szCs w:val="24"/>
                <w:lang w:eastAsia="tr-TR"/>
              </w:rPr>
              <w:t>Kolluğun</w:t>
            </w:r>
            <w:r w:rsidR="00AA5C8C" w:rsidRPr="00A23740">
              <w:rPr>
                <w:rFonts w:eastAsia="Times New Roman"/>
                <w:b/>
                <w:color w:val="0000FF"/>
                <w:szCs w:val="24"/>
                <w:lang w:eastAsia="tr-TR"/>
              </w:rPr>
              <w:t xml:space="preserve"> ve muhtarların görevleri</w:t>
            </w:r>
          </w:p>
          <w:p w:rsidR="00AA5C8C" w:rsidRPr="00A23740" w:rsidRDefault="00AA5C8C" w:rsidP="009431FF">
            <w:pPr>
              <w:tabs>
                <w:tab w:val="left" w:pos="567"/>
              </w:tabs>
              <w:rPr>
                <w:rFonts w:eastAsia="Times New Roman"/>
                <w:szCs w:val="24"/>
                <w:lang w:eastAsia="tr-TR"/>
              </w:rPr>
            </w:pPr>
            <w:r w:rsidRPr="00A23740">
              <w:rPr>
                <w:rStyle w:val="MaviChar"/>
                <w:lang w:val="tr-TR"/>
              </w:rPr>
              <w:t>MADDE 16</w:t>
            </w:r>
            <w:r w:rsidR="00B31EF1" w:rsidRPr="00A23740">
              <w:rPr>
                <w:rStyle w:val="MaviChar"/>
                <w:lang w:val="tr-TR"/>
              </w:rPr>
              <w:t>9</w:t>
            </w:r>
            <w:r w:rsidRPr="00A23740">
              <w:rPr>
                <w:rFonts w:eastAsia="Times New Roman"/>
                <w:b/>
                <w:szCs w:val="24"/>
                <w:lang w:eastAsia="tr-TR"/>
              </w:rPr>
              <w:t xml:space="preserve">-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 xml:space="preserve">Zor kullanma hususunda bütün </w:t>
            </w:r>
            <w:r w:rsidRPr="00A23740">
              <w:rPr>
                <w:rFonts w:eastAsia="Times New Roman"/>
                <w:b/>
                <w:color w:val="0000FF"/>
                <w:szCs w:val="24"/>
                <w:lang w:eastAsia="tr-TR"/>
              </w:rPr>
              <w:t>kolluk görevlileri</w:t>
            </w:r>
            <w:r w:rsidRPr="00A23740">
              <w:rPr>
                <w:rFonts w:eastAsia="Times New Roman"/>
                <w:szCs w:val="24"/>
                <w:lang w:eastAsia="tr-TR"/>
              </w:rPr>
              <w:t xml:space="preserve"> icra </w:t>
            </w:r>
            <w:r w:rsidR="00EF7E58" w:rsidRPr="0066593B">
              <w:rPr>
                <w:rStyle w:val="MAVChar"/>
                <w:rFonts w:eastAsia="Calibri"/>
                <w:u w:val="none"/>
              </w:rPr>
              <w:t>ve</w:t>
            </w:r>
            <w:r w:rsidR="00EF7E58" w:rsidRPr="0066593B">
              <w:rPr>
                <w:rStyle w:val="MAVChar"/>
                <w:rFonts w:eastAsia="Calibri"/>
                <w:b w:val="0"/>
                <w:bCs w:val="0"/>
                <w:u w:val="none"/>
              </w:rPr>
              <w:t xml:space="preserve"> </w:t>
            </w:r>
            <w:r w:rsidR="00EF7E58" w:rsidRPr="0066593B">
              <w:rPr>
                <w:rStyle w:val="MAVChar"/>
                <w:rFonts w:eastAsia="Calibri"/>
                <w:u w:val="none"/>
              </w:rPr>
              <w:t>iflas</w:t>
            </w:r>
            <w:r w:rsidR="00EF7E58" w:rsidRPr="00A23740">
              <w:rPr>
                <w:rFonts w:eastAsia="Times New Roman"/>
                <w:color w:val="385623"/>
                <w:szCs w:val="24"/>
                <w:lang w:eastAsia="tr-TR"/>
              </w:rPr>
              <w:t xml:space="preserve"> </w:t>
            </w:r>
            <w:r w:rsidRPr="00A23740">
              <w:rPr>
                <w:rStyle w:val="MAVChar"/>
                <w:rFonts w:eastAsia="Calibri"/>
                <w:u w:val="none"/>
              </w:rPr>
              <w:t>müdürünün</w:t>
            </w:r>
            <w:r w:rsidRPr="00A23740">
              <w:rPr>
                <w:rFonts w:eastAsia="Times New Roman"/>
                <w:szCs w:val="24"/>
                <w:lang w:eastAsia="tr-TR"/>
              </w:rPr>
              <w:t xml:space="preserve"> yazılı </w:t>
            </w:r>
            <w:r w:rsidRPr="00A23740">
              <w:rPr>
                <w:rFonts w:eastAsia="Times New Roman"/>
                <w:b/>
                <w:color w:val="0000FF"/>
                <w:szCs w:val="24"/>
                <w:lang w:eastAsia="tr-TR"/>
              </w:rPr>
              <w:t>başvurusu</w:t>
            </w:r>
            <w:r w:rsidRPr="00A23740">
              <w:rPr>
                <w:rFonts w:eastAsia="Times New Roman"/>
                <w:szCs w:val="24"/>
                <w:lang w:eastAsia="tr-TR"/>
              </w:rPr>
              <w:t xml:space="preserve"> üzerine kendisine </w:t>
            </w:r>
            <w:r w:rsidRPr="00A23740">
              <w:rPr>
                <w:rFonts w:eastAsia="Times New Roman"/>
                <w:b/>
                <w:color w:val="0000FF"/>
                <w:szCs w:val="24"/>
                <w:lang w:eastAsia="tr-TR"/>
              </w:rPr>
              <w:t>yardım</w:t>
            </w:r>
            <w:r w:rsidRPr="00A23740">
              <w:rPr>
                <w:rFonts w:eastAsia="Times New Roman"/>
                <w:szCs w:val="24"/>
                <w:lang w:eastAsia="tr-TR"/>
              </w:rPr>
              <w:t xml:space="preserve"> </w:t>
            </w:r>
            <w:r w:rsidRPr="00A23740">
              <w:rPr>
                <w:rFonts w:eastAsia="Times New Roman"/>
                <w:b/>
                <w:color w:val="0000FF"/>
                <w:szCs w:val="24"/>
                <w:lang w:eastAsia="tr-TR"/>
              </w:rPr>
              <w:t>etmek</w:t>
            </w:r>
            <w:r w:rsidRPr="00A23740">
              <w:rPr>
                <w:rFonts w:eastAsia="Times New Roman"/>
                <w:szCs w:val="24"/>
                <w:lang w:eastAsia="tr-TR"/>
              </w:rPr>
              <w:t xml:space="preserve"> ve emirlerini </w:t>
            </w:r>
            <w:r w:rsidRPr="00A23740">
              <w:rPr>
                <w:rFonts w:eastAsia="Times New Roman"/>
                <w:b/>
                <w:color w:val="0000FF"/>
                <w:szCs w:val="24"/>
                <w:lang w:eastAsia="tr-TR"/>
              </w:rPr>
              <w:t xml:space="preserve">yerine getirmekle yükümlüdürler. </w:t>
            </w:r>
            <w:r w:rsidRPr="00A23740">
              <w:rPr>
                <w:rStyle w:val="MaviChar"/>
              </w:rPr>
              <w:t xml:space="preserve">Alacaklı veya alacaklı vekilinin talebi üzerine icra </w:t>
            </w:r>
            <w:r w:rsidR="00EF7E58" w:rsidRPr="0066593B">
              <w:rPr>
                <w:rStyle w:val="MaviChar"/>
                <w:bCs w:val="0"/>
              </w:rPr>
              <w:t>ve iflas</w:t>
            </w:r>
            <w:r w:rsidR="00EF7E58" w:rsidRPr="00A23740">
              <w:rPr>
                <w:rFonts w:eastAsia="Times New Roman"/>
                <w:color w:val="385623"/>
                <w:szCs w:val="24"/>
                <w:lang w:eastAsia="tr-TR"/>
              </w:rPr>
              <w:t xml:space="preserve"> </w:t>
            </w:r>
            <w:r w:rsidRPr="00A23740">
              <w:rPr>
                <w:rStyle w:val="MaviChar"/>
              </w:rPr>
              <w:t>müdürü</w:t>
            </w:r>
            <w:r w:rsidRPr="00A23740">
              <w:rPr>
                <w:rStyle w:val="MaviChar"/>
                <w:lang w:val="tr-TR"/>
              </w:rPr>
              <w:t>,</w:t>
            </w:r>
            <w:r w:rsidRPr="00A23740">
              <w:rPr>
                <w:rStyle w:val="MaviChar"/>
              </w:rPr>
              <w:t xml:space="preserve"> kolluğa yazılı başvuru yapmak zorundadır.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(2)</w:t>
            </w:r>
            <w:r w:rsidRPr="00A23740">
              <w:rPr>
                <w:rFonts w:eastAsia="Times New Roman"/>
                <w:szCs w:val="24"/>
                <w:lang w:eastAsia="tr-TR"/>
              </w:rPr>
              <w:t xml:space="preserve"> Köylerde </w:t>
            </w:r>
            <w:r w:rsidRPr="00A23740">
              <w:rPr>
                <w:rFonts w:eastAsia="Times New Roman"/>
                <w:b/>
                <w:color w:val="0000FF"/>
                <w:szCs w:val="24"/>
                <w:lang w:eastAsia="tr-TR"/>
              </w:rPr>
              <w:t>ve</w:t>
            </w:r>
            <w:r w:rsidR="00F101D3" w:rsidRPr="00A23740">
              <w:rPr>
                <w:rFonts w:eastAsia="Times New Roman"/>
                <w:b/>
                <w:color w:val="0000FF"/>
                <w:szCs w:val="24"/>
                <w:lang w:eastAsia="tr-TR"/>
              </w:rPr>
              <w:t xml:space="preserve"> </w:t>
            </w:r>
            <w:r w:rsidR="00F101D3" w:rsidRPr="00B26441">
              <w:rPr>
                <w:rStyle w:val="Balk1Char"/>
                <w:rFonts w:eastAsia="ヒラギノ明朝 Pro W3"/>
              </w:rPr>
              <w:t>büyükşehirlerde mücavir alan dışındaki</w:t>
            </w:r>
            <w:r w:rsidRPr="00A23740">
              <w:rPr>
                <w:rFonts w:eastAsia="Times New Roman"/>
                <w:b/>
                <w:color w:val="0000FF"/>
                <w:szCs w:val="24"/>
                <w:lang w:eastAsia="tr-TR"/>
              </w:rPr>
              <w:t xml:space="preserve"> mahallelerde</w:t>
            </w:r>
            <w:r w:rsidRPr="00A23740">
              <w:rPr>
                <w:rFonts w:eastAsia="Times New Roman"/>
                <w:szCs w:val="24"/>
                <w:lang w:eastAsia="tr-TR"/>
              </w:rPr>
              <w:t xml:space="preserve"> haczi yapan </w:t>
            </w:r>
            <w:r w:rsidRPr="00A23740">
              <w:rPr>
                <w:rStyle w:val="MAVChar"/>
                <w:rFonts w:eastAsia="Calibri"/>
                <w:u w:val="none"/>
              </w:rPr>
              <w:t>görevlinin</w:t>
            </w:r>
            <w:r w:rsidRPr="00A23740">
              <w:rPr>
                <w:rFonts w:eastAsia="Times New Roman"/>
                <w:szCs w:val="24"/>
                <w:lang w:eastAsia="tr-TR"/>
              </w:rPr>
              <w:t xml:space="preserve"> emirlerini muhtarlar </w:t>
            </w:r>
            <w:r w:rsidRPr="00A23740">
              <w:rPr>
                <w:rFonts w:eastAsia="Times New Roman"/>
                <w:b/>
                <w:color w:val="0000FF"/>
                <w:szCs w:val="24"/>
                <w:lang w:eastAsia="tr-TR"/>
              </w:rPr>
              <w:t xml:space="preserve">ve ihtiyar heyeti veya ihtiyar meclisi üyeleri de yerine getirmek </w:t>
            </w:r>
            <w:r w:rsidRPr="00B26441">
              <w:rPr>
                <w:rStyle w:val="Balk1Char"/>
                <w:rFonts w:eastAsia="Calibri"/>
              </w:rPr>
              <w:t>zorundadır</w:t>
            </w:r>
            <w:r w:rsidR="00276240" w:rsidRPr="00B26441">
              <w:rPr>
                <w:rStyle w:val="Balk1Char"/>
                <w:rFonts w:eastAsia="Calibri"/>
              </w:rPr>
              <w:t>lar</w:t>
            </w:r>
            <w:r w:rsidRPr="00B26441">
              <w:rPr>
                <w:rStyle w:val="Balk1Char"/>
                <w:rFonts w:eastAsia="Calibri"/>
              </w:rPr>
              <w:t>.</w:t>
            </w:r>
          </w:p>
          <w:p w:rsidR="00AA5C8C" w:rsidRPr="00A23740" w:rsidRDefault="00AA5C8C" w:rsidP="009431FF">
            <w:pPr>
              <w:pStyle w:val="KIRMIZI"/>
              <w:rPr>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62391" w:rsidRPr="00A23740" w:rsidRDefault="00B62391" w:rsidP="009431FF">
            <w:pPr>
              <w:tabs>
                <w:tab w:val="left" w:pos="567"/>
              </w:tabs>
              <w:rPr>
                <w:b/>
              </w:rPr>
            </w:pPr>
          </w:p>
          <w:p w:rsidR="0058649F" w:rsidRPr="00A23740" w:rsidRDefault="00B62391" w:rsidP="009431FF">
            <w:pPr>
              <w:tabs>
                <w:tab w:val="left" w:pos="567"/>
              </w:tabs>
              <w:ind w:firstLine="709"/>
              <w:rPr>
                <w:rFonts w:eastAsia="Times New Roman"/>
                <w:szCs w:val="24"/>
                <w:lang w:eastAsia="tr-TR"/>
              </w:rPr>
            </w:pPr>
            <w:r w:rsidRPr="00A23740">
              <w:rPr>
                <w:b/>
              </w:rPr>
              <w:t>MADDE 16</w:t>
            </w:r>
            <w:r w:rsidR="00B31EF1" w:rsidRPr="00A23740">
              <w:rPr>
                <w:b/>
              </w:rPr>
              <w:t>9</w:t>
            </w:r>
            <w:r w:rsidRPr="00A23740">
              <w:rPr>
                <w:b/>
              </w:rPr>
              <w:t xml:space="preserve"> </w:t>
            </w:r>
            <w:r w:rsidR="0058649F" w:rsidRPr="00A23740">
              <w:rPr>
                <w:b/>
              </w:rPr>
              <w:t>-</w:t>
            </w:r>
            <w:r w:rsidRPr="00A23740">
              <w:rPr>
                <w:rFonts w:eastAsia="Times New Roman"/>
                <w:szCs w:val="24"/>
                <w:lang w:eastAsia="tr-TR"/>
              </w:rPr>
              <w:t xml:space="preserve"> </w:t>
            </w:r>
            <w:r w:rsidR="0058649F" w:rsidRPr="00A23740">
              <w:rPr>
                <w:rFonts w:eastAsia="Times New Roman"/>
                <w:szCs w:val="24"/>
                <w:lang w:eastAsia="tr-TR"/>
              </w:rPr>
              <w:t xml:space="preserve">Maddeyle, </w:t>
            </w:r>
            <w:r w:rsidR="00F37300" w:rsidRPr="00B26441">
              <w:rPr>
                <w:rFonts w:eastAsia="Times New Roman"/>
                <w:lang w:eastAsia="tr-TR"/>
              </w:rPr>
              <w:t>kolluğun</w:t>
            </w:r>
            <w:r w:rsidR="00F37300" w:rsidRPr="00A23740">
              <w:rPr>
                <w:rFonts w:eastAsia="Times New Roman"/>
                <w:szCs w:val="24"/>
                <w:lang w:eastAsia="tr-TR"/>
              </w:rPr>
              <w:t xml:space="preserve"> </w:t>
            </w:r>
            <w:r w:rsidR="0058649F" w:rsidRPr="00A23740">
              <w:rPr>
                <w:rFonts w:eastAsia="Times New Roman"/>
                <w:szCs w:val="24"/>
                <w:lang w:eastAsia="tr-TR"/>
              </w:rPr>
              <w:t>ve muhtarların görevlerine ilişkin hususlar düzenlenmektedir. Hüküm, 2004 sayılı Kanunun 81 inci maddesine karşılık gelmektedir.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Birinci fıkrayla</w:t>
            </w:r>
            <w:r w:rsidR="0058649F" w:rsidRPr="00A23740">
              <w:rPr>
                <w:rFonts w:eastAsia="Times New Roman"/>
                <w:szCs w:val="24"/>
                <w:lang w:eastAsia="tr-TR"/>
              </w:rPr>
              <w:t>,</w:t>
            </w:r>
            <w:r w:rsidRPr="00A23740">
              <w:rPr>
                <w:rFonts w:eastAsia="Times New Roman"/>
                <w:szCs w:val="24"/>
                <w:lang w:eastAsia="tr-TR"/>
              </w:rPr>
              <w:t xml:space="preserve"> icra </w:t>
            </w:r>
            <w:r w:rsidR="00F37300" w:rsidRPr="00B26441">
              <w:rPr>
                <w:rFonts w:eastAsia="Times New Roman"/>
                <w:lang w:eastAsia="tr-TR"/>
              </w:rPr>
              <w:t>ve</w:t>
            </w:r>
            <w:r w:rsidR="00F37300" w:rsidRPr="00A23740">
              <w:rPr>
                <w:rStyle w:val="YELChar"/>
                <w:b w:val="0"/>
              </w:rPr>
              <w:t xml:space="preserve"> </w:t>
            </w:r>
            <w:r w:rsidR="00F37300" w:rsidRPr="00B26441">
              <w:rPr>
                <w:rFonts w:eastAsia="Times New Roman"/>
                <w:lang w:eastAsia="tr-TR"/>
              </w:rPr>
              <w:t>iflas</w:t>
            </w:r>
            <w:r w:rsidR="00F37300" w:rsidRPr="00A23740">
              <w:rPr>
                <w:rFonts w:eastAsia="Times New Roman"/>
                <w:szCs w:val="24"/>
                <w:lang w:eastAsia="tr-TR"/>
              </w:rPr>
              <w:t xml:space="preserve"> </w:t>
            </w:r>
            <w:r w:rsidRPr="00A23740">
              <w:rPr>
                <w:rFonts w:eastAsia="Times New Roman"/>
                <w:szCs w:val="24"/>
                <w:lang w:eastAsia="tr-TR"/>
              </w:rPr>
              <w:t xml:space="preserve">müdürünün veya haczi yapan </w:t>
            </w:r>
            <w:r w:rsidR="002C5055" w:rsidRPr="00A23740">
              <w:rPr>
                <w:rFonts w:eastAsia="Times New Roman"/>
                <w:szCs w:val="24"/>
                <w:lang w:eastAsia="tr-TR"/>
              </w:rPr>
              <w:t xml:space="preserve">ya da </w:t>
            </w:r>
            <w:r w:rsidRPr="00A23740">
              <w:rPr>
                <w:rFonts w:eastAsia="Times New Roman"/>
                <w:szCs w:val="24"/>
                <w:lang w:eastAsia="tr-TR"/>
              </w:rPr>
              <w:t>icra işlemini gerçekleştiren icra memurunun yazılı başvurusu üzerine kolluk kuvvetlerinin yardım etmek ve emirlerini yerine getirmek zorunda oldukları, ayrıca alacaklı veya vekili tarafından talepte bulunulması h</w:t>
            </w:r>
            <w:r w:rsidR="001D7D44" w:rsidRPr="00A23740">
              <w:rPr>
                <w:rFonts w:eastAsia="Times New Roman"/>
                <w:szCs w:val="24"/>
                <w:lang w:eastAsia="tr-TR"/>
              </w:rPr>
              <w:t>â</w:t>
            </w:r>
            <w:r w:rsidRPr="00A23740">
              <w:rPr>
                <w:rFonts w:eastAsia="Times New Roman"/>
                <w:szCs w:val="24"/>
                <w:lang w:eastAsia="tr-TR"/>
              </w:rPr>
              <w:t>linde kolluğa yazılı başvuru yapılması zorunluluğu getirilmiştir. Bu fıkra</w:t>
            </w:r>
            <w:r w:rsidR="002C5055" w:rsidRPr="00A23740">
              <w:rPr>
                <w:rFonts w:eastAsia="Times New Roman"/>
                <w:szCs w:val="24"/>
                <w:lang w:eastAsia="tr-TR"/>
              </w:rPr>
              <w:t>yla</w:t>
            </w:r>
            <w:r w:rsidRPr="00A23740">
              <w:rPr>
                <w:rFonts w:eastAsia="Times New Roman"/>
                <w:szCs w:val="24"/>
                <w:lang w:eastAsia="tr-TR"/>
              </w:rPr>
              <w:t xml:space="preserve"> özellikle haciz işlemleri başta olmak üzere  icra </w:t>
            </w:r>
            <w:r w:rsidR="00F37300" w:rsidRPr="00B26441">
              <w:rPr>
                <w:rFonts w:eastAsia="Times New Roman"/>
                <w:lang w:eastAsia="tr-TR"/>
              </w:rPr>
              <w:t xml:space="preserve">ve </w:t>
            </w:r>
            <w:r w:rsidR="00F37300" w:rsidRPr="00B26441">
              <w:rPr>
                <w:rFonts w:eastAsia="Times New Roman"/>
                <w:szCs w:val="24"/>
                <w:lang w:eastAsia="tr-TR"/>
              </w:rPr>
              <w:t xml:space="preserve">iflas </w:t>
            </w:r>
            <w:r w:rsidRPr="00A23740">
              <w:rPr>
                <w:rFonts w:eastAsia="Times New Roman"/>
                <w:szCs w:val="24"/>
                <w:lang w:eastAsia="tr-TR"/>
              </w:rPr>
              <w:t>dairesinin işlemlerinin yapılması sır</w:t>
            </w:r>
            <w:r w:rsidR="00F37300" w:rsidRPr="00A23740">
              <w:rPr>
                <w:rFonts w:eastAsia="Times New Roman"/>
                <w:szCs w:val="24"/>
                <w:lang w:eastAsia="tr-TR"/>
              </w:rPr>
              <w:t>asında D</w:t>
            </w:r>
            <w:r w:rsidRPr="00A23740">
              <w:rPr>
                <w:rFonts w:eastAsia="Times New Roman"/>
                <w:szCs w:val="24"/>
                <w:lang w:eastAsia="tr-TR"/>
              </w:rPr>
              <w:t>evlet adına cebr</w:t>
            </w:r>
            <w:r w:rsidR="00436506" w:rsidRPr="00A23740">
              <w:rPr>
                <w:rFonts w:eastAsia="Times New Roman"/>
                <w:szCs w:val="24"/>
                <w:lang w:eastAsia="tr-TR"/>
              </w:rPr>
              <w:t>î</w:t>
            </w:r>
            <w:r w:rsidRPr="00A23740">
              <w:rPr>
                <w:rFonts w:eastAsia="Times New Roman"/>
                <w:szCs w:val="24"/>
                <w:lang w:eastAsia="tr-TR"/>
              </w:rPr>
              <w:t xml:space="preserve"> icra gücünü</w:t>
            </w:r>
            <w:r w:rsidR="002C5055" w:rsidRPr="00A23740">
              <w:rPr>
                <w:rFonts w:eastAsia="Times New Roman"/>
                <w:szCs w:val="24"/>
                <w:lang w:eastAsia="tr-TR"/>
              </w:rPr>
              <w:t>n</w:t>
            </w:r>
            <w:r w:rsidRPr="00A23740">
              <w:rPr>
                <w:rFonts w:eastAsia="Times New Roman"/>
                <w:szCs w:val="24"/>
                <w:lang w:eastAsia="tr-TR"/>
              </w:rPr>
              <w:t xml:space="preserve"> etkin </w:t>
            </w:r>
            <w:r w:rsidR="002C5055" w:rsidRPr="00A23740">
              <w:rPr>
                <w:rFonts w:eastAsia="Times New Roman"/>
                <w:szCs w:val="24"/>
                <w:lang w:eastAsia="tr-TR"/>
              </w:rPr>
              <w:t xml:space="preserve">şekilde </w:t>
            </w:r>
            <w:r w:rsidRPr="00A23740">
              <w:rPr>
                <w:rFonts w:eastAsia="Times New Roman"/>
                <w:szCs w:val="24"/>
                <w:lang w:eastAsia="tr-TR"/>
              </w:rPr>
              <w:t>kullan</w:t>
            </w:r>
            <w:r w:rsidR="002C5055" w:rsidRPr="00A23740">
              <w:rPr>
                <w:rFonts w:eastAsia="Times New Roman"/>
                <w:szCs w:val="24"/>
                <w:lang w:eastAsia="tr-TR"/>
              </w:rPr>
              <w:t>ıl</w:t>
            </w:r>
            <w:r w:rsidRPr="00A23740">
              <w:rPr>
                <w:rFonts w:eastAsia="Times New Roman"/>
                <w:szCs w:val="24"/>
                <w:lang w:eastAsia="tr-TR"/>
              </w:rPr>
              <w:t>abilmesi</w:t>
            </w:r>
            <w:r w:rsidR="002C5055" w:rsidRPr="00A23740">
              <w:rPr>
                <w:rFonts w:eastAsia="Times New Roman"/>
                <w:szCs w:val="24"/>
                <w:lang w:eastAsia="tr-TR"/>
              </w:rPr>
              <w:t>,</w:t>
            </w:r>
            <w:r w:rsidRPr="00A23740">
              <w:rPr>
                <w:rFonts w:eastAsia="Times New Roman"/>
                <w:szCs w:val="24"/>
                <w:lang w:eastAsia="tr-TR"/>
              </w:rPr>
              <w:t xml:space="preserve"> aynı zamanda da haciz mahalinin ve katılan görevlilerin güvenliğinin üst düzeyde sağlanması amaçlanmaktadır.</w:t>
            </w:r>
          </w:p>
          <w:p w:rsidR="00B62391" w:rsidRPr="00A23740" w:rsidRDefault="00B62391" w:rsidP="009431FF">
            <w:pPr>
              <w:tabs>
                <w:tab w:val="left" w:pos="567"/>
              </w:tabs>
              <w:ind w:firstLine="709"/>
              <w:rPr>
                <w:rFonts w:eastAsia="Times New Roman"/>
                <w:b/>
                <w:szCs w:val="24"/>
                <w:lang w:eastAsia="tr-TR"/>
              </w:rPr>
            </w:pPr>
            <w:r w:rsidRPr="00A23740">
              <w:rPr>
                <w:rFonts w:eastAsia="Times New Roman"/>
                <w:szCs w:val="24"/>
                <w:lang w:eastAsia="tr-TR"/>
              </w:rPr>
              <w:t>İkinci fıkrayla, birinci fıkrada olduğu gibi icra</w:t>
            </w:r>
            <w:r w:rsidR="00F37300" w:rsidRPr="00A23740">
              <w:rPr>
                <w:rFonts w:eastAsia="Times New Roman"/>
                <w:szCs w:val="24"/>
                <w:lang w:eastAsia="tr-TR"/>
              </w:rPr>
              <w:t xml:space="preserve"> </w:t>
            </w:r>
            <w:r w:rsidR="00F37300" w:rsidRPr="00B26441">
              <w:rPr>
                <w:rFonts w:eastAsia="Times New Roman"/>
                <w:szCs w:val="24"/>
                <w:lang w:eastAsia="tr-TR"/>
              </w:rPr>
              <w:t>ve iflas</w:t>
            </w:r>
            <w:r w:rsidR="00F37300" w:rsidRPr="00A23740">
              <w:rPr>
                <w:rFonts w:eastAsia="Times New Roman"/>
                <w:szCs w:val="24"/>
                <w:lang w:eastAsia="tr-TR"/>
              </w:rPr>
              <w:t xml:space="preserve"> dairesinin D</w:t>
            </w:r>
            <w:r w:rsidRPr="00A23740">
              <w:rPr>
                <w:rFonts w:eastAsia="Times New Roman"/>
                <w:szCs w:val="24"/>
                <w:lang w:eastAsia="tr-TR"/>
              </w:rPr>
              <w:t>evlet adına cebr</w:t>
            </w:r>
            <w:r w:rsidR="00436506" w:rsidRPr="00A23740">
              <w:rPr>
                <w:rFonts w:eastAsia="Times New Roman"/>
                <w:szCs w:val="24"/>
                <w:lang w:eastAsia="tr-TR"/>
              </w:rPr>
              <w:t>î</w:t>
            </w:r>
            <w:r w:rsidRPr="00A23740">
              <w:rPr>
                <w:rFonts w:eastAsia="Times New Roman"/>
                <w:szCs w:val="24"/>
                <w:lang w:eastAsia="tr-TR"/>
              </w:rPr>
              <w:t xml:space="preserve"> icra gücünü etkin kullanabilmesi aynı zamanda da haciz mahalinin ve katılan görevlilerin güvenliğinin sağlanması amacıyla düzenleme yapılmaktadır.Bu düzenleme</w:t>
            </w:r>
            <w:r w:rsidR="002C5055" w:rsidRPr="00A23740">
              <w:rPr>
                <w:rFonts w:eastAsia="Times New Roman"/>
                <w:szCs w:val="24"/>
                <w:lang w:eastAsia="tr-TR"/>
              </w:rPr>
              <w:t>yle</w:t>
            </w:r>
            <w:r w:rsidRPr="00A23740">
              <w:rPr>
                <w:rFonts w:eastAsia="Times New Roman"/>
                <w:szCs w:val="24"/>
                <w:lang w:eastAsia="tr-TR"/>
              </w:rPr>
              <w:t xml:space="preserve"> birlikte muhtarlar, ihtiyar heyeti ve ihtiyar meclisi üyeleri icra </w:t>
            </w:r>
            <w:r w:rsidR="00F37300" w:rsidRPr="00B26441">
              <w:rPr>
                <w:rFonts w:eastAsia="Times New Roman"/>
                <w:szCs w:val="24"/>
                <w:lang w:eastAsia="tr-TR"/>
              </w:rPr>
              <w:t>ve iflas</w:t>
            </w:r>
            <w:r w:rsidR="00F37300" w:rsidRPr="00A23740">
              <w:rPr>
                <w:rFonts w:eastAsia="Times New Roman"/>
                <w:szCs w:val="24"/>
                <w:lang w:eastAsia="tr-TR"/>
              </w:rPr>
              <w:t xml:space="preserve"> </w:t>
            </w:r>
            <w:r w:rsidRPr="00A23740">
              <w:rPr>
                <w:rFonts w:eastAsia="Times New Roman"/>
                <w:szCs w:val="24"/>
                <w:lang w:eastAsia="tr-TR"/>
              </w:rPr>
              <w:t>dairesinin emirlerini yerine getirme konusunda yükümlülük yüklenmiştir.</w:t>
            </w:r>
          </w:p>
          <w:p w:rsidR="00B62391" w:rsidRPr="00A23740" w:rsidRDefault="00B62391" w:rsidP="008B4E7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rPr>
                <w:lang w:val="tr-TR"/>
              </w:rPr>
            </w:pPr>
            <w:r w:rsidRPr="00A23740">
              <w:rPr>
                <w:lang w:val="tr-TR"/>
              </w:rPr>
              <w:t>2 – Hacze başlama müddeti:</w:t>
            </w: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Madde 79 – (1) İcra</w:t>
            </w:r>
            <w:r w:rsidRPr="00A23740">
              <w:rPr>
                <w:rFonts w:eastAsia="Times New Roman"/>
                <w:b/>
                <w:strike/>
                <w:color w:val="FF0000"/>
                <w:szCs w:val="24"/>
                <w:lang w:eastAsia="tr-TR"/>
              </w:rPr>
              <w:t xml:space="preserve"> dairesi talepten nihayet üç gün içinde haczi yapar.</w:t>
            </w:r>
          </w:p>
          <w:p w:rsidR="00AA5C8C" w:rsidRPr="00A23740" w:rsidRDefault="00AA5C8C" w:rsidP="009431FF">
            <w:pPr>
              <w:tabs>
                <w:tab w:val="left" w:pos="567"/>
              </w:tabs>
              <w:rPr>
                <w:rFonts w:eastAsia="Times New Roman"/>
                <w:szCs w:val="24"/>
                <w:lang w:eastAsia="tr-TR"/>
              </w:rPr>
            </w:pPr>
            <w:r w:rsidRPr="00A23740">
              <w:rPr>
                <w:rStyle w:val="KIRMIZIChar"/>
                <w:rFonts w:eastAsia="Calibri"/>
                <w:lang w:eastAsia="tr-TR"/>
              </w:rPr>
              <w:t>(Değişik fıkra: 6/6/1985-3222/10 md.)</w:t>
            </w:r>
            <w:r w:rsidRPr="00A23740">
              <w:rPr>
                <w:rFonts w:eastAsia="Times New Roman"/>
                <w:b/>
                <w:strike/>
                <w:color w:val="FF0000"/>
                <w:szCs w:val="24"/>
                <w:lang w:eastAsia="tr-TR"/>
              </w:rPr>
              <w:t> Haczolunacak mallar başka yerde ise haciz yapılmasını malların bulunduğu yerin icra dairesine hemen yazar. Bu halde hacizle ilgili şikayetler, istinabe olunan icra dairesinin tabi bulunduğu icra mahkemesince çözümlenir. (Ek cümle: 17/7/2003-4949/19 md</w:t>
            </w:r>
            <w:r w:rsidRPr="00A23740">
              <w:rPr>
                <w:rStyle w:val="KIRMIZIChar"/>
                <w:rFonts w:eastAsia="Calibri"/>
                <w:lang w:eastAsia="tr-TR"/>
              </w:rPr>
              <w:t>.) Resmî</w:t>
            </w:r>
            <w:r w:rsidRPr="00A23740">
              <w:rPr>
                <w:rFonts w:eastAsia="Times New Roman"/>
                <w:szCs w:val="24"/>
                <w:lang w:eastAsia="tr-TR"/>
              </w:rPr>
              <w:t xml:space="preserve"> sicile kayıtlı malların haczi, takibin yapıldığı icra dairesince, kaydına </w:t>
            </w:r>
            <w:r w:rsidRPr="00A23740">
              <w:rPr>
                <w:rStyle w:val="KIRMIZIChar"/>
                <w:rFonts w:eastAsia="Calibri"/>
                <w:lang w:eastAsia="tr-TR"/>
              </w:rPr>
              <w:t>işletilmek</w:t>
            </w:r>
            <w:r w:rsidRPr="00A23740">
              <w:rPr>
                <w:rFonts w:eastAsia="Times New Roman"/>
                <w:szCs w:val="24"/>
                <w:lang w:eastAsia="tr-TR"/>
              </w:rPr>
              <w:t xml:space="preserve"> suretiyle </w:t>
            </w:r>
            <w:r w:rsidRPr="00A23740">
              <w:rPr>
                <w:rStyle w:val="KIRMIZIChar"/>
                <w:rFonts w:eastAsia="Calibri"/>
              </w:rPr>
              <w:t>doğrudan</w:t>
            </w:r>
            <w:r w:rsidRPr="00A23740">
              <w:rPr>
                <w:rFonts w:eastAsia="Times New Roman"/>
                <w:szCs w:val="24"/>
                <w:lang w:eastAsia="tr-TR"/>
              </w:rPr>
              <w:t xml:space="preserve"> </w:t>
            </w:r>
            <w:r w:rsidRPr="00A23740">
              <w:rPr>
                <w:rStyle w:val="KIRMIZIChar"/>
                <w:rFonts w:eastAsia="Calibri"/>
                <w:lang w:eastAsia="tr-TR"/>
              </w:rPr>
              <w:t>da</w:t>
            </w:r>
            <w:r w:rsidRPr="00A23740">
              <w:rPr>
                <w:rFonts w:eastAsia="Times New Roman"/>
                <w:szCs w:val="24"/>
                <w:lang w:eastAsia="tr-TR"/>
              </w:rPr>
              <w:t xml:space="preserve"> yapılabilir.</w:t>
            </w:r>
          </w:p>
          <w:p w:rsidR="00AA5C8C" w:rsidRPr="00A23740" w:rsidRDefault="00AA5C8C" w:rsidP="009431FF">
            <w:pPr>
              <w:pStyle w:val="KIRMIZI"/>
              <w:rPr>
                <w:lang w:val="tr-TR"/>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Haczin yapılması</w:t>
            </w:r>
          </w:p>
          <w:p w:rsidR="00AA5C8C" w:rsidRPr="00A23740" w:rsidRDefault="00F101D3" w:rsidP="009431FF">
            <w:pPr>
              <w:tabs>
                <w:tab w:val="left" w:pos="567"/>
              </w:tabs>
              <w:rPr>
                <w:rFonts w:eastAsia="Times New Roman"/>
                <w:b/>
                <w:color w:val="0000FF"/>
                <w:szCs w:val="24"/>
                <w:lang w:eastAsia="tr-TR"/>
              </w:rPr>
            </w:pPr>
            <w:r w:rsidRPr="00A23740">
              <w:rPr>
                <w:rFonts w:eastAsia="Times New Roman"/>
                <w:b/>
                <w:color w:val="0000FF"/>
                <w:szCs w:val="24"/>
                <w:lang w:eastAsia="tr-TR"/>
              </w:rPr>
              <w:t>MADDE 170</w:t>
            </w:r>
            <w:r w:rsidR="00AA5C8C" w:rsidRPr="00A23740">
              <w:rPr>
                <w:rFonts w:eastAsia="Times New Roman"/>
                <w:b/>
                <w:color w:val="0000FF"/>
                <w:szCs w:val="24"/>
                <w:lang w:eastAsia="tr-TR"/>
              </w:rPr>
              <w:t xml:space="preserve">- (1) Haciz, </w:t>
            </w:r>
            <w:r w:rsidR="00AA5C8C" w:rsidRPr="00A23740">
              <w:rPr>
                <w:rStyle w:val="MaviChar"/>
              </w:rPr>
              <w:t>haciz konusunun</w:t>
            </w:r>
            <w:r w:rsidR="00AA5C8C" w:rsidRPr="00A23740">
              <w:rPr>
                <w:rFonts w:eastAsia="Times New Roman"/>
                <w:b/>
                <w:color w:val="0000FF"/>
                <w:szCs w:val="24"/>
                <w:lang w:eastAsia="tr-TR"/>
              </w:rPr>
              <w:t xml:space="preserve"> niteliğine göre</w:t>
            </w:r>
            <w:r w:rsidR="00181BAB" w:rsidRPr="00A23740">
              <w:rPr>
                <w:rStyle w:val="YELChar"/>
              </w:rPr>
              <w:t>,</w:t>
            </w:r>
            <w:r w:rsidR="00AA5C8C" w:rsidRPr="00A23740">
              <w:rPr>
                <w:rFonts w:eastAsia="Times New Roman"/>
                <w:b/>
                <w:color w:val="0000FF"/>
                <w:szCs w:val="24"/>
                <w:lang w:eastAsia="tr-TR"/>
              </w:rPr>
              <w:t xml:space="preserve"> bulunduğu yerde haciz tutanağına işlenmek </w:t>
            </w:r>
            <w:r w:rsidR="00276240" w:rsidRPr="00B26441">
              <w:rPr>
                <w:rStyle w:val="Balk1Char"/>
                <w:rFonts w:eastAsia="Calibri"/>
              </w:rPr>
              <w:t>veya</w:t>
            </w:r>
            <w:r w:rsidR="00276240" w:rsidRPr="00A23740">
              <w:rPr>
                <w:rFonts w:eastAsia="Times New Roman"/>
                <w:b/>
                <w:color w:val="385623"/>
                <w:szCs w:val="24"/>
                <w:lang w:eastAsia="tr-TR"/>
              </w:rPr>
              <w:t xml:space="preserve"> </w:t>
            </w:r>
            <w:r w:rsidR="00AA5C8C" w:rsidRPr="00A23740">
              <w:rPr>
                <w:rStyle w:val="MaviChar"/>
              </w:rPr>
              <w:t>varsa</w:t>
            </w:r>
            <w:r w:rsidR="00AA5C8C" w:rsidRPr="00A23740">
              <w:rPr>
                <w:rFonts w:eastAsia="Times New Roman"/>
                <w:b/>
                <w:color w:val="0000FF"/>
                <w:szCs w:val="24"/>
                <w:lang w:eastAsia="tr-TR"/>
              </w:rPr>
              <w:t xml:space="preserve"> kayıtlı olduğu sicile şerh </w:t>
            </w:r>
            <w:r w:rsidR="00AA5C8C" w:rsidRPr="00A23740">
              <w:rPr>
                <w:b/>
                <w:bCs/>
                <w:color w:val="0000FF"/>
                <w:lang w:eastAsia="tr-TR"/>
              </w:rPr>
              <w:t xml:space="preserve">verilmek </w:t>
            </w:r>
            <w:r w:rsidR="00181BAB" w:rsidRPr="00A23740">
              <w:rPr>
                <w:b/>
                <w:bCs/>
                <w:color w:val="0000FF"/>
                <w:lang w:eastAsia="tr-TR"/>
              </w:rPr>
              <w:t>suretiyle</w:t>
            </w:r>
            <w:r w:rsidR="00276240" w:rsidRPr="00A23740">
              <w:rPr>
                <w:b/>
                <w:bCs/>
                <w:color w:val="0000FF"/>
                <w:lang w:eastAsia="tr-TR"/>
              </w:rPr>
              <w:t xml:space="preserve"> </w:t>
            </w:r>
            <w:r w:rsidR="00276240" w:rsidRPr="00B26441">
              <w:rPr>
                <w:rStyle w:val="Balk1Char"/>
                <w:rFonts w:eastAsia="Calibri"/>
              </w:rPr>
              <w:t>ya da</w:t>
            </w:r>
            <w:r w:rsidR="00181BAB" w:rsidRPr="00A23740">
              <w:rPr>
                <w:b/>
                <w:bCs/>
                <w:color w:val="385623"/>
                <w:lang w:eastAsia="tr-TR"/>
              </w:rPr>
              <w:t xml:space="preserve"> </w:t>
            </w:r>
            <w:r w:rsidR="00AA5C8C" w:rsidRPr="00A23740">
              <w:rPr>
                <w:b/>
                <w:bCs/>
                <w:color w:val="0000FF"/>
                <w:lang w:eastAsia="tr-TR"/>
              </w:rPr>
              <w:t>UYAP aracılığıyla elektronik ortamda yapılabilir</w:t>
            </w:r>
            <w:r w:rsidR="00AA5C8C" w:rsidRPr="00A23740">
              <w:rPr>
                <w:rFonts w:eastAsia="Times New Roman"/>
                <w:b/>
                <w:color w:val="0000FF"/>
                <w:szCs w:val="24"/>
                <w:lang w:eastAsia="tr-TR"/>
              </w:rPr>
              <w:t>.</w:t>
            </w:r>
          </w:p>
          <w:p w:rsidR="00181BAB" w:rsidRPr="00A23740" w:rsidRDefault="00181BAB"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(2)</w:t>
            </w:r>
            <w:r w:rsidRPr="00A23740">
              <w:rPr>
                <w:rFonts w:eastAsia="Times New Roman"/>
                <w:szCs w:val="24"/>
                <w:lang w:eastAsia="tr-TR"/>
              </w:rPr>
              <w:t xml:space="preserve"> Sicile kayıtlı </w:t>
            </w:r>
            <w:r w:rsidRPr="00A23740">
              <w:rPr>
                <w:rStyle w:val="MaviChar"/>
              </w:rPr>
              <w:t>mal ve hakların</w:t>
            </w:r>
            <w:r w:rsidRPr="00A23740">
              <w:rPr>
                <w:rFonts w:eastAsia="Times New Roman"/>
                <w:szCs w:val="24"/>
                <w:lang w:eastAsia="tr-TR"/>
              </w:rPr>
              <w:t xml:space="preserve"> haczi, takibin yapıldığı icra </w:t>
            </w:r>
            <w:r w:rsidRPr="00A23740">
              <w:rPr>
                <w:rStyle w:val="MaviChar"/>
              </w:rPr>
              <w:t>ve iflas</w:t>
            </w:r>
            <w:r w:rsidRPr="00A23740">
              <w:rPr>
                <w:rFonts w:eastAsia="Times New Roman"/>
                <w:szCs w:val="24"/>
                <w:lang w:eastAsia="tr-TR"/>
              </w:rPr>
              <w:t xml:space="preserve"> dairesince </w:t>
            </w:r>
            <w:r w:rsidRPr="00A23740">
              <w:rPr>
                <w:b/>
                <w:bCs/>
                <w:color w:val="0000FF"/>
                <w:szCs w:val="24"/>
                <w:lang w:val="x-none" w:eastAsia="x-none"/>
              </w:rPr>
              <w:t>elektronik ortamda</w:t>
            </w:r>
            <w:r w:rsidRPr="00A23740">
              <w:rPr>
                <w:rFonts w:eastAsia="Times New Roman"/>
                <w:szCs w:val="24"/>
                <w:lang w:eastAsia="tr-TR"/>
              </w:rPr>
              <w:t xml:space="preserve"> kaydına </w:t>
            </w:r>
            <w:r w:rsidRPr="00A23740">
              <w:rPr>
                <w:b/>
                <w:bCs/>
                <w:color w:val="0000FF"/>
                <w:szCs w:val="24"/>
                <w:lang w:val="x-none" w:eastAsia="x-none"/>
              </w:rPr>
              <w:t>işlenmek</w:t>
            </w:r>
            <w:r w:rsidRPr="00A23740">
              <w:rPr>
                <w:rFonts w:eastAsia="Times New Roman"/>
                <w:szCs w:val="24"/>
                <w:lang w:eastAsia="tr-TR"/>
              </w:rPr>
              <w:t xml:space="preserve"> suretiyle </w:t>
            </w:r>
            <w:r w:rsidRPr="00A23740">
              <w:rPr>
                <w:b/>
                <w:bCs/>
                <w:color w:val="0000FF"/>
                <w:szCs w:val="24"/>
                <w:lang w:val="x-none" w:eastAsia="x-none"/>
              </w:rPr>
              <w:t>veya ilgili kurum ya da kuruluş aracılığıyla</w:t>
            </w:r>
            <w:r w:rsidR="00F101D3" w:rsidRPr="00A23740">
              <w:rPr>
                <w:rFonts w:eastAsia="Times New Roman"/>
                <w:szCs w:val="24"/>
                <w:lang w:eastAsia="tr-TR"/>
              </w:rPr>
              <w:t xml:space="preserve"> yapılabilir.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(3) Sicile kayıtlı bir mal bulunduğu yerde haczedilirse haciz</w:t>
            </w:r>
            <w:r w:rsidRPr="00A23740">
              <w:rPr>
                <w:rStyle w:val="MaviChar"/>
              </w:rPr>
              <w:t>,</w:t>
            </w:r>
            <w:r w:rsidRPr="00A23740">
              <w:rPr>
                <w:rFonts w:eastAsia="Times New Roman"/>
                <w:b/>
                <w:color w:val="0000FF"/>
                <w:szCs w:val="24"/>
                <w:lang w:eastAsia="tr-TR"/>
              </w:rPr>
              <w:t xml:space="preserve"> derh</w:t>
            </w:r>
            <w:r w:rsidR="00DF22A1" w:rsidRPr="00A23740">
              <w:rPr>
                <w:rFonts w:eastAsia="Times New Roman"/>
                <w:b/>
                <w:color w:val="0000FF"/>
                <w:szCs w:val="24"/>
                <w:lang w:eastAsia="tr-TR"/>
              </w:rPr>
              <w:t>â</w:t>
            </w:r>
            <w:r w:rsidRPr="00A23740">
              <w:rPr>
                <w:rFonts w:eastAsia="Times New Roman"/>
                <w:b/>
                <w:color w:val="0000FF"/>
                <w:szCs w:val="24"/>
                <w:lang w:eastAsia="tr-TR"/>
              </w:rPr>
              <w:t xml:space="preserve">l </w:t>
            </w:r>
            <w:r w:rsidR="00276240" w:rsidRPr="00B26441">
              <w:rPr>
                <w:rStyle w:val="Balk1Char"/>
                <w:rFonts w:eastAsia="Calibri"/>
              </w:rPr>
              <w:t>ilgili sicile</w:t>
            </w:r>
            <w:r w:rsidR="00276240" w:rsidRPr="00A23740">
              <w:rPr>
                <w:rFonts w:eastAsia="Times New Roman"/>
                <w:b/>
                <w:color w:val="0000FF"/>
                <w:szCs w:val="24"/>
                <w:lang w:eastAsia="tr-TR"/>
              </w:rPr>
              <w:t xml:space="preserve"> </w:t>
            </w:r>
            <w:r w:rsidRPr="00A23740">
              <w:rPr>
                <w:rStyle w:val="MaviChar"/>
              </w:rPr>
              <w:t>de</w:t>
            </w:r>
            <w:r w:rsidRPr="00A23740">
              <w:rPr>
                <w:rFonts w:eastAsia="Times New Roman"/>
                <w:b/>
                <w:color w:val="0000FF"/>
                <w:szCs w:val="24"/>
                <w:lang w:eastAsia="tr-TR"/>
              </w:rPr>
              <w:t xml:space="preserve"> bildirilir.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w:t>
            </w:r>
            <w:r w:rsidRPr="00A23740">
              <w:rPr>
                <w:b/>
                <w:bCs/>
                <w:color w:val="0000FF"/>
                <w:szCs w:val="24"/>
                <w:lang w:eastAsia="x-none"/>
              </w:rPr>
              <w:t>4</w:t>
            </w:r>
            <w:r w:rsidRPr="00A23740">
              <w:rPr>
                <w:b/>
                <w:bCs/>
                <w:color w:val="0000FF"/>
                <w:szCs w:val="24"/>
                <w:lang w:val="x-none" w:eastAsia="x-none"/>
              </w:rPr>
              <w:t xml:space="preserve">) Haciz, taşınmazlarda sicile şerh verilme tarihinde; sicile kayıtlı taşınırlar açısından </w:t>
            </w:r>
            <w:r w:rsidRPr="00A23740">
              <w:rPr>
                <w:b/>
                <w:bCs/>
                <w:color w:val="0000FF"/>
                <w:szCs w:val="24"/>
                <w:lang w:eastAsia="x-none"/>
              </w:rPr>
              <w:t xml:space="preserve">malın bulunduğu yerde yapılan </w:t>
            </w:r>
            <w:r w:rsidRPr="00A23740">
              <w:rPr>
                <w:b/>
                <w:bCs/>
                <w:color w:val="0000FF"/>
                <w:szCs w:val="24"/>
                <w:lang w:val="x-none" w:eastAsia="x-none"/>
              </w:rPr>
              <w:t xml:space="preserve">haciz </w:t>
            </w:r>
            <w:r w:rsidRPr="00A23740">
              <w:rPr>
                <w:b/>
                <w:bCs/>
                <w:color w:val="0000FF"/>
                <w:szCs w:val="24"/>
                <w:lang w:eastAsia="x-none"/>
              </w:rPr>
              <w:t xml:space="preserve">işlemi </w:t>
            </w:r>
            <w:r w:rsidRPr="00A23740">
              <w:rPr>
                <w:b/>
                <w:bCs/>
                <w:color w:val="0000FF"/>
                <w:szCs w:val="24"/>
                <w:lang w:val="x-none" w:eastAsia="x-none"/>
              </w:rPr>
              <w:t>veya sicile şerh verilme tarihlerinden hangisi önce ise o tarihte</w:t>
            </w:r>
            <w:r w:rsidR="00181BAB" w:rsidRPr="00B26441">
              <w:rPr>
                <w:rStyle w:val="Balk1Char"/>
                <w:rFonts w:eastAsia="ヒラギノ明朝 Pro W3"/>
              </w:rPr>
              <w:t>;</w:t>
            </w:r>
            <w:r w:rsidRPr="00A23740">
              <w:rPr>
                <w:b/>
                <w:bCs/>
                <w:color w:val="0000FF"/>
                <w:szCs w:val="24"/>
                <w:lang w:val="x-none" w:eastAsia="x-none"/>
              </w:rPr>
              <w:t xml:space="preserve"> diğer taşınırlarda ise </w:t>
            </w:r>
            <w:r w:rsidR="00181BAB" w:rsidRPr="00B26441">
              <w:rPr>
                <w:rStyle w:val="Balk1Char"/>
                <w:rFonts w:eastAsia="ヒラギノ明朝 Pro W3"/>
              </w:rPr>
              <w:t>haciz mahalinde tutulan tutanağa işlendiği</w:t>
            </w:r>
            <w:r w:rsidR="00276240" w:rsidRPr="00B26441">
              <w:rPr>
                <w:rStyle w:val="Balk1Char"/>
                <w:rFonts w:eastAsia="ヒラギノ明朝 Pro W3"/>
              </w:rPr>
              <w:t xml:space="preserve"> tarihte</w:t>
            </w:r>
            <w:r w:rsidR="00181BAB" w:rsidRPr="00A23740">
              <w:rPr>
                <w:rStyle w:val="YELChar"/>
                <w:color w:val="385623"/>
              </w:rPr>
              <w:t xml:space="preserve"> </w:t>
            </w:r>
            <w:r w:rsidR="00181BAB" w:rsidRPr="00A23740">
              <w:rPr>
                <w:b/>
                <w:bCs/>
                <w:color w:val="0000FF"/>
                <w:szCs w:val="24"/>
                <w:lang w:val="x-none" w:eastAsia="x-none"/>
              </w:rPr>
              <w:t>yapılmış sayılır.</w:t>
            </w:r>
          </w:p>
          <w:p w:rsidR="00AA5C8C" w:rsidRPr="00A23740" w:rsidRDefault="00AA5C8C" w:rsidP="009431FF">
            <w:pPr>
              <w:tabs>
                <w:tab w:val="left" w:pos="567"/>
              </w:tabs>
              <w:rPr>
                <w:b/>
                <w:bCs/>
                <w:color w:val="0000FF"/>
                <w:szCs w:val="24"/>
                <w:lang w:val="x-none" w:eastAsia="x-none"/>
              </w:rPr>
            </w:pPr>
          </w:p>
          <w:p w:rsidR="00AA5C8C" w:rsidRPr="00A23740" w:rsidRDefault="00AA5C8C" w:rsidP="009431FF">
            <w:pPr>
              <w:tabs>
                <w:tab w:val="left" w:pos="567"/>
              </w:tabs>
              <w:rPr>
                <w:b/>
                <w:bCs/>
                <w:color w:val="0000FF"/>
                <w:szCs w:val="24"/>
                <w:lang w:val="x-none" w:eastAsia="x-none"/>
              </w:rPr>
            </w:pPr>
            <w:r w:rsidRPr="00A23740">
              <w:rPr>
                <w:b/>
                <w:bCs/>
                <w:color w:val="0000FF"/>
                <w:szCs w:val="24"/>
                <w:lang w:val="x-none" w:eastAsia="x-none"/>
              </w:rPr>
              <w:t>(</w:t>
            </w:r>
            <w:r w:rsidRPr="00A23740">
              <w:rPr>
                <w:b/>
                <w:bCs/>
                <w:color w:val="0000FF"/>
                <w:szCs w:val="24"/>
                <w:lang w:eastAsia="x-none"/>
              </w:rPr>
              <w:t>5</w:t>
            </w:r>
            <w:r w:rsidRPr="00A23740">
              <w:rPr>
                <w:b/>
                <w:bCs/>
                <w:color w:val="0000FF"/>
                <w:szCs w:val="24"/>
                <w:lang w:val="x-none" w:eastAsia="x-none"/>
              </w:rPr>
              <w:t>) Para, banknot, kıymetli evrak ile altın, gümüş ve</w:t>
            </w:r>
            <w:r w:rsidR="00A468CF" w:rsidRPr="00A23740">
              <w:rPr>
                <w:b/>
                <w:bCs/>
                <w:color w:val="0000FF"/>
                <w:szCs w:val="24"/>
                <w:lang w:eastAsia="x-none"/>
              </w:rPr>
              <w:t xml:space="preserve"> </w:t>
            </w:r>
            <w:r w:rsidR="00A468CF" w:rsidRPr="00B26441">
              <w:rPr>
                <w:rStyle w:val="Balk1Char"/>
                <w:rFonts w:eastAsia="ヒラギノ明朝 Pro W3"/>
              </w:rPr>
              <w:t>benzeri</w:t>
            </w:r>
            <w:r w:rsidRPr="00A23740">
              <w:rPr>
                <w:b/>
                <w:bCs/>
                <w:color w:val="0000FF"/>
                <w:szCs w:val="24"/>
                <w:lang w:val="x-none" w:eastAsia="x-none"/>
              </w:rPr>
              <w:t xml:space="preserve"> diğer kıymetli şeyler, icra</w:t>
            </w:r>
            <w:r w:rsidRPr="00A23740">
              <w:rPr>
                <w:b/>
                <w:bCs/>
                <w:color w:val="0000FF"/>
                <w:szCs w:val="24"/>
                <w:lang w:eastAsia="x-none"/>
              </w:rPr>
              <w:t xml:space="preserve"> </w:t>
            </w:r>
            <w:r w:rsidRPr="00A23740">
              <w:rPr>
                <w:rStyle w:val="MaviChar"/>
              </w:rPr>
              <w:t>ve iflas</w:t>
            </w:r>
            <w:r w:rsidRPr="00A23740">
              <w:rPr>
                <w:b/>
                <w:bCs/>
                <w:color w:val="0000FF"/>
                <w:szCs w:val="24"/>
                <w:lang w:val="x-none" w:eastAsia="x-none"/>
              </w:rPr>
              <w:t xml:space="preserve"> dairesince </w:t>
            </w:r>
            <w:r w:rsidRPr="00A23740">
              <w:rPr>
                <w:b/>
                <w:bCs/>
                <w:color w:val="0000FF"/>
                <w:szCs w:val="24"/>
                <w:lang w:eastAsia="x-none"/>
              </w:rPr>
              <w:t>muhafaza altına alınmadıkça</w:t>
            </w:r>
            <w:r w:rsidR="00612989" w:rsidRPr="00A23740">
              <w:rPr>
                <w:b/>
                <w:bCs/>
                <w:color w:val="0000FF"/>
                <w:szCs w:val="24"/>
                <w:lang w:val="x-none" w:eastAsia="x-none"/>
              </w:rPr>
              <w:t xml:space="preserve"> haczedilmiş sayılmaz.</w:t>
            </w:r>
          </w:p>
          <w:p w:rsidR="00AA5C8C" w:rsidRPr="00A23740" w:rsidRDefault="00AA5C8C" w:rsidP="009431FF">
            <w:pPr>
              <w:pStyle w:val="KIRMIZI"/>
              <w:rPr>
                <w:b w:val="0"/>
                <w:color w:val="0000FF"/>
                <w:lang w:val="tr-TR"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62391" w:rsidRPr="00A23740" w:rsidRDefault="00B62391" w:rsidP="009431FF">
            <w:pPr>
              <w:tabs>
                <w:tab w:val="left" w:pos="567"/>
              </w:tabs>
              <w:rPr>
                <w:b/>
              </w:rPr>
            </w:pPr>
          </w:p>
          <w:p w:rsidR="0058649F" w:rsidRPr="00A23740" w:rsidRDefault="00181BAB" w:rsidP="009431FF">
            <w:pPr>
              <w:tabs>
                <w:tab w:val="left" w:pos="567"/>
              </w:tabs>
              <w:ind w:firstLine="709"/>
              <w:rPr>
                <w:rFonts w:eastAsia="Times New Roman"/>
                <w:b/>
                <w:color w:val="0000FF"/>
                <w:szCs w:val="24"/>
                <w:lang w:eastAsia="tr-TR"/>
              </w:rPr>
            </w:pPr>
            <w:r w:rsidRPr="00A23740">
              <w:rPr>
                <w:b/>
              </w:rPr>
              <w:t>MADDE 170</w:t>
            </w:r>
            <w:r w:rsidR="00B62391" w:rsidRPr="00A23740">
              <w:rPr>
                <w:b/>
              </w:rPr>
              <w:t xml:space="preserve"> </w:t>
            </w:r>
            <w:r w:rsidR="00D24953" w:rsidRPr="00A23740">
              <w:rPr>
                <w:b/>
              </w:rPr>
              <w:t>-</w:t>
            </w:r>
            <w:r w:rsidR="00B62391" w:rsidRPr="00A23740">
              <w:rPr>
                <w:rFonts w:eastAsia="Times New Roman"/>
                <w:szCs w:val="24"/>
                <w:lang w:eastAsia="tr-TR"/>
              </w:rPr>
              <w:t xml:space="preserve"> </w:t>
            </w:r>
            <w:r w:rsidR="0058649F" w:rsidRPr="00A23740">
              <w:rPr>
                <w:rFonts w:eastAsia="Times New Roman"/>
                <w:szCs w:val="24"/>
                <w:lang w:eastAsia="tr-TR"/>
              </w:rPr>
              <w:t>Maddeyle, haczin yapılmasına ilişkin hususlar düzenlenmektedir. Hüküm, 2004 sayılı Kanunun 79 uncu maddesine karşılık gelmektedir.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 xml:space="preserve">Birinci fıkrayla haciz işleminin fiilen veya elektronik ortamda yapılması suretiyle gerçekleştireleceğine ilişkin </w:t>
            </w:r>
            <w:r w:rsidR="00715CCC" w:rsidRPr="00A23740">
              <w:rPr>
                <w:rFonts w:eastAsia="Times New Roman"/>
                <w:szCs w:val="24"/>
                <w:lang w:eastAsia="tr-TR"/>
              </w:rPr>
              <w:t xml:space="preserve">bir </w:t>
            </w:r>
            <w:r w:rsidRPr="00A23740">
              <w:rPr>
                <w:rFonts w:eastAsia="Times New Roman"/>
                <w:szCs w:val="24"/>
                <w:lang w:eastAsia="tr-TR"/>
              </w:rPr>
              <w:t>düzenleme yapılmıştır.UYAP’ın geliştirilmesi. kurumlar</w:t>
            </w:r>
            <w:r w:rsidR="00715CCC" w:rsidRPr="00A23740">
              <w:rPr>
                <w:rFonts w:eastAsia="Times New Roman"/>
                <w:szCs w:val="24"/>
                <w:lang w:eastAsia="tr-TR"/>
              </w:rPr>
              <w:t>la</w:t>
            </w:r>
            <w:r w:rsidRPr="00A23740">
              <w:rPr>
                <w:rFonts w:eastAsia="Times New Roman"/>
                <w:szCs w:val="24"/>
                <w:lang w:eastAsia="tr-TR"/>
              </w:rPr>
              <w:t xml:space="preserve"> yapılan entegrasyonların </w:t>
            </w:r>
            <w:r w:rsidR="00715CCC" w:rsidRPr="00A23740">
              <w:rPr>
                <w:rFonts w:eastAsia="Times New Roman"/>
                <w:szCs w:val="24"/>
                <w:lang w:eastAsia="tr-TR"/>
              </w:rPr>
              <w:t xml:space="preserve">ortaya çıkması </w:t>
            </w:r>
            <w:r w:rsidRPr="00A23740">
              <w:rPr>
                <w:rFonts w:eastAsia="Times New Roman"/>
                <w:szCs w:val="24"/>
                <w:lang w:eastAsia="tr-TR"/>
              </w:rPr>
              <w:t>ve bunların artış göstermesi nedeni</w:t>
            </w:r>
            <w:r w:rsidR="00715CCC" w:rsidRPr="00A23740">
              <w:rPr>
                <w:rFonts w:eastAsia="Times New Roman"/>
                <w:szCs w:val="24"/>
                <w:lang w:eastAsia="tr-TR"/>
              </w:rPr>
              <w:t>yle</w:t>
            </w:r>
            <w:r w:rsidRPr="00A23740">
              <w:rPr>
                <w:rFonts w:eastAsia="Times New Roman"/>
                <w:szCs w:val="24"/>
                <w:lang w:eastAsia="tr-TR"/>
              </w:rPr>
              <w:t xml:space="preserve"> icra</w:t>
            </w:r>
            <w:r w:rsidR="00BF255B" w:rsidRPr="00A23740">
              <w:rPr>
                <w:rFonts w:eastAsia="Times New Roman"/>
                <w:szCs w:val="24"/>
                <w:lang w:eastAsia="tr-TR"/>
              </w:rPr>
              <w:t xml:space="preserve"> </w:t>
            </w:r>
            <w:r w:rsidR="00BF255B" w:rsidRPr="00B26441">
              <w:rPr>
                <w:rFonts w:eastAsia="Times New Roman"/>
                <w:szCs w:val="24"/>
                <w:lang w:eastAsia="tr-TR"/>
              </w:rPr>
              <w:t>ve iflas</w:t>
            </w:r>
            <w:r w:rsidRPr="00A23740">
              <w:rPr>
                <w:rFonts w:eastAsia="Times New Roman"/>
                <w:szCs w:val="24"/>
                <w:lang w:eastAsia="tr-TR"/>
              </w:rPr>
              <w:t xml:space="preserve"> dairelerince borçluya ait mal, hak ve alacakların haczi fiili olarak mahalinde yapılmakla birlikte</w:t>
            </w:r>
            <w:r w:rsidR="00715CCC" w:rsidRPr="00A23740">
              <w:rPr>
                <w:rFonts w:eastAsia="Times New Roman"/>
                <w:szCs w:val="24"/>
                <w:lang w:eastAsia="tr-TR"/>
              </w:rPr>
              <w:t>,</w:t>
            </w:r>
            <w:r w:rsidRPr="00A23740">
              <w:rPr>
                <w:rFonts w:eastAsia="Times New Roman"/>
                <w:szCs w:val="24"/>
                <w:lang w:eastAsia="tr-TR"/>
              </w:rPr>
              <w:t xml:space="preserve"> elektronik ortamda icra</w:t>
            </w:r>
            <w:r w:rsidR="00B73523" w:rsidRPr="00B26441">
              <w:rPr>
                <w:rFonts w:eastAsia="Times New Roman"/>
                <w:szCs w:val="24"/>
                <w:lang w:eastAsia="tr-TR"/>
              </w:rPr>
              <w:t xml:space="preserve"> ve iflas</w:t>
            </w:r>
            <w:r w:rsidRPr="00A23740">
              <w:rPr>
                <w:rFonts w:eastAsia="Times New Roman"/>
                <w:szCs w:val="24"/>
                <w:lang w:eastAsia="tr-TR"/>
              </w:rPr>
              <w:t xml:space="preserve"> dairesine tarafından bizzat veya yine elektronik ortamdan bildirim yapılmak suretiyle ilgili kurumlar tarafından </w:t>
            </w:r>
            <w:r w:rsidR="00715CCC" w:rsidRPr="00A23740">
              <w:rPr>
                <w:rFonts w:eastAsia="Times New Roman"/>
                <w:szCs w:val="24"/>
                <w:lang w:eastAsia="tr-TR"/>
              </w:rPr>
              <w:t>yerine getirilebilmektedir</w:t>
            </w:r>
            <w:r w:rsidRPr="00A23740">
              <w:rPr>
                <w:rFonts w:eastAsia="Times New Roman"/>
                <w:szCs w:val="24"/>
                <w:lang w:eastAsia="tr-TR"/>
              </w:rPr>
              <w:t>. Bu düzenleme</w:t>
            </w:r>
            <w:r w:rsidR="00715CCC" w:rsidRPr="00A23740">
              <w:rPr>
                <w:rFonts w:eastAsia="Times New Roman"/>
                <w:szCs w:val="24"/>
                <w:lang w:eastAsia="tr-TR"/>
              </w:rPr>
              <w:t>yle</w:t>
            </w:r>
            <w:r w:rsidRPr="00A23740">
              <w:rPr>
                <w:rFonts w:eastAsia="Times New Roman"/>
                <w:szCs w:val="24"/>
                <w:lang w:eastAsia="tr-TR"/>
              </w:rPr>
              <w:t xml:space="preserve"> birlikte</w:t>
            </w:r>
            <w:r w:rsidR="00715CCC" w:rsidRPr="00A23740">
              <w:rPr>
                <w:rFonts w:eastAsia="Times New Roman"/>
                <w:szCs w:val="24"/>
                <w:lang w:eastAsia="tr-TR"/>
              </w:rPr>
              <w:t>,</w:t>
            </w:r>
            <w:r w:rsidRPr="00A23740">
              <w:rPr>
                <w:rFonts w:eastAsia="Times New Roman"/>
                <w:szCs w:val="24"/>
                <w:lang w:eastAsia="tr-TR"/>
              </w:rPr>
              <w:t xml:space="preserve"> haczin gerçekleştirilmesine ilişkin </w:t>
            </w:r>
            <w:r w:rsidR="00715CCC" w:rsidRPr="00A23740">
              <w:rPr>
                <w:rFonts w:eastAsia="Times New Roman"/>
                <w:szCs w:val="24"/>
                <w:lang w:eastAsia="tr-TR"/>
              </w:rPr>
              <w:t xml:space="preserve">bir </w:t>
            </w:r>
            <w:r w:rsidRPr="00A23740">
              <w:rPr>
                <w:rFonts w:eastAsia="Times New Roman"/>
                <w:szCs w:val="24"/>
                <w:lang w:eastAsia="tr-TR"/>
              </w:rPr>
              <w:t>genel değerlendirme yapılmıştır.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İkinci fıkrayla</w:t>
            </w:r>
            <w:r w:rsidR="00715CCC" w:rsidRPr="00A23740">
              <w:rPr>
                <w:rFonts w:eastAsia="Times New Roman"/>
                <w:szCs w:val="24"/>
                <w:lang w:eastAsia="tr-TR"/>
              </w:rPr>
              <w:t>,</w:t>
            </w:r>
            <w:r w:rsidRPr="00A23740">
              <w:rPr>
                <w:rFonts w:eastAsia="Times New Roman"/>
                <w:szCs w:val="24"/>
                <w:lang w:eastAsia="tr-TR"/>
              </w:rPr>
              <w:t xml:space="preserve"> sicile kayıtlı mallar bakımından UYAP ortamında entegrasyon sağlayan kurumların verdikleri hizmetin kapsam ve sınırına göre</w:t>
            </w:r>
            <w:r w:rsidR="00715CCC" w:rsidRPr="00A23740">
              <w:rPr>
                <w:rFonts w:eastAsia="Times New Roman"/>
                <w:szCs w:val="24"/>
                <w:lang w:eastAsia="tr-TR"/>
              </w:rPr>
              <w:t>,</w:t>
            </w:r>
            <w:r w:rsidRPr="00A23740">
              <w:rPr>
                <w:rFonts w:eastAsia="Times New Roman"/>
                <w:szCs w:val="24"/>
                <w:lang w:eastAsia="tr-TR"/>
              </w:rPr>
              <w:t xml:space="preserve"> haciz işleminin gerçekleştirileceğine ilişkin </w:t>
            </w:r>
            <w:r w:rsidR="00715CCC" w:rsidRPr="00A23740">
              <w:rPr>
                <w:rFonts w:eastAsia="Times New Roman"/>
                <w:szCs w:val="24"/>
                <w:lang w:eastAsia="tr-TR"/>
              </w:rPr>
              <w:t xml:space="preserve">olarak bu işlemin </w:t>
            </w:r>
            <w:r w:rsidRPr="00A23740">
              <w:rPr>
                <w:rFonts w:eastAsia="Times New Roman"/>
                <w:szCs w:val="24"/>
                <w:lang w:eastAsia="tr-TR"/>
              </w:rPr>
              <w:t xml:space="preserve">elektronik ortamda gerçekleştirilmesine yönelik düzenleme yapılmıştır.  </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Üçüncü fıkrayla</w:t>
            </w:r>
            <w:r w:rsidR="00715CCC" w:rsidRPr="00A23740">
              <w:rPr>
                <w:rFonts w:eastAsia="Times New Roman"/>
                <w:szCs w:val="24"/>
                <w:lang w:eastAsia="tr-TR"/>
              </w:rPr>
              <w:t>,</w:t>
            </w:r>
            <w:r w:rsidRPr="00A23740">
              <w:rPr>
                <w:rFonts w:eastAsia="Times New Roman"/>
                <w:szCs w:val="24"/>
                <w:lang w:eastAsia="tr-TR"/>
              </w:rPr>
              <w:t xml:space="preserve"> sicile kayıtlı bir malın mahalinde fiili olarak haczedilmesi h</w:t>
            </w:r>
            <w:r w:rsidR="001D7D44" w:rsidRPr="00A23740">
              <w:rPr>
                <w:rFonts w:eastAsia="Times New Roman"/>
                <w:szCs w:val="24"/>
                <w:lang w:eastAsia="tr-TR"/>
              </w:rPr>
              <w:t>â</w:t>
            </w:r>
            <w:r w:rsidRPr="00A23740">
              <w:rPr>
                <w:rFonts w:eastAsia="Times New Roman"/>
                <w:szCs w:val="24"/>
                <w:lang w:eastAsia="tr-TR"/>
              </w:rPr>
              <w:t>linde sicile bildirim zorunluluğu getirilmiştir. Sicile kayıtlı mallar bakımında elektronik ortamda hac</w:t>
            </w:r>
            <w:r w:rsidR="00715CCC" w:rsidRPr="00A23740">
              <w:rPr>
                <w:rFonts w:eastAsia="Times New Roman"/>
                <w:szCs w:val="24"/>
                <w:lang w:eastAsia="tr-TR"/>
              </w:rPr>
              <w:t>z</w:t>
            </w:r>
            <w:r w:rsidRPr="00A23740">
              <w:rPr>
                <w:rFonts w:eastAsia="Times New Roman"/>
                <w:szCs w:val="24"/>
                <w:lang w:eastAsia="tr-TR"/>
              </w:rPr>
              <w:t>in işlenmesi zorunlu olmayıp</w:t>
            </w:r>
            <w:r w:rsidR="00715CCC" w:rsidRPr="00A23740">
              <w:rPr>
                <w:rFonts w:eastAsia="Times New Roman"/>
                <w:szCs w:val="24"/>
                <w:lang w:eastAsia="tr-TR"/>
              </w:rPr>
              <w:t>,</w:t>
            </w:r>
            <w:r w:rsidRPr="00A23740">
              <w:rPr>
                <w:rFonts w:eastAsia="Times New Roman"/>
                <w:szCs w:val="24"/>
                <w:lang w:eastAsia="tr-TR"/>
              </w:rPr>
              <w:t xml:space="preserve"> aynı zamanda mahalinde fiili olarak da haczedilmesi mümkün bulunmaktadır. Bu durumda haciz tarihinin fiili olarak mahalinde </w:t>
            </w:r>
            <w:r w:rsidR="00715CCC" w:rsidRPr="00A23740">
              <w:rPr>
                <w:rFonts w:eastAsia="Times New Roman"/>
                <w:szCs w:val="24"/>
                <w:lang w:eastAsia="tr-TR"/>
              </w:rPr>
              <w:t xml:space="preserve">yapılan </w:t>
            </w:r>
            <w:r w:rsidRPr="00A23740">
              <w:rPr>
                <w:rFonts w:eastAsia="Times New Roman"/>
                <w:szCs w:val="24"/>
                <w:lang w:eastAsia="tr-TR"/>
              </w:rPr>
              <w:t>haciz tarihi esas alınarak değerlendir</w:t>
            </w:r>
            <w:r w:rsidR="00715CCC" w:rsidRPr="00A23740">
              <w:rPr>
                <w:rFonts w:eastAsia="Times New Roman"/>
                <w:szCs w:val="24"/>
                <w:lang w:eastAsia="tr-TR"/>
              </w:rPr>
              <w:t>il</w:t>
            </w:r>
            <w:r w:rsidRPr="00A23740">
              <w:rPr>
                <w:rFonts w:eastAsia="Times New Roman"/>
                <w:szCs w:val="24"/>
                <w:lang w:eastAsia="tr-TR"/>
              </w:rPr>
              <w:t>mesi gerekecektir. Ancak sicile kayıtlı olması nedeni</w:t>
            </w:r>
            <w:r w:rsidR="00715CCC" w:rsidRPr="00A23740">
              <w:rPr>
                <w:rFonts w:eastAsia="Times New Roman"/>
                <w:szCs w:val="24"/>
                <w:lang w:eastAsia="tr-TR"/>
              </w:rPr>
              <w:t>yle,</w:t>
            </w:r>
            <w:r w:rsidRPr="00A23740">
              <w:rPr>
                <w:rFonts w:eastAsia="Times New Roman"/>
                <w:szCs w:val="24"/>
                <w:lang w:eastAsia="tr-TR"/>
              </w:rPr>
              <w:t xml:space="preserve"> devam eden icra işlemlerinin sağlıklı </w:t>
            </w:r>
            <w:r w:rsidR="00715CCC" w:rsidRPr="00A23740">
              <w:rPr>
                <w:rFonts w:eastAsia="Times New Roman"/>
                <w:szCs w:val="24"/>
                <w:lang w:eastAsia="tr-TR"/>
              </w:rPr>
              <w:t xml:space="preserve">şekilde </w:t>
            </w:r>
            <w:r w:rsidRPr="00A23740">
              <w:rPr>
                <w:rFonts w:eastAsia="Times New Roman"/>
                <w:szCs w:val="24"/>
                <w:lang w:eastAsia="tr-TR"/>
              </w:rPr>
              <w:t>yürütülebilmesi</w:t>
            </w:r>
            <w:r w:rsidR="00715CCC" w:rsidRPr="00A23740">
              <w:rPr>
                <w:rFonts w:eastAsia="Times New Roman"/>
                <w:szCs w:val="24"/>
                <w:lang w:eastAsia="tr-TR"/>
              </w:rPr>
              <w:t>yle</w:t>
            </w:r>
            <w:r w:rsidRPr="00A23740">
              <w:rPr>
                <w:rFonts w:eastAsia="Times New Roman"/>
                <w:szCs w:val="24"/>
                <w:lang w:eastAsia="tr-TR"/>
              </w:rPr>
              <w:t xml:space="preserve"> birlikte üçüncü şahısların da bu haciz işleminden haberdar olabilime</w:t>
            </w:r>
            <w:r w:rsidR="00715CCC" w:rsidRPr="00A23740">
              <w:rPr>
                <w:rFonts w:eastAsia="Times New Roman"/>
                <w:szCs w:val="24"/>
                <w:lang w:eastAsia="tr-TR"/>
              </w:rPr>
              <w:t>ler</w:t>
            </w:r>
            <w:r w:rsidRPr="00A23740">
              <w:rPr>
                <w:rFonts w:eastAsia="Times New Roman"/>
                <w:szCs w:val="24"/>
                <w:lang w:eastAsia="tr-TR"/>
              </w:rPr>
              <w:t xml:space="preserve">i amacıyla </w:t>
            </w:r>
            <w:r w:rsidR="006B2650" w:rsidRPr="00B26441">
              <w:rPr>
                <w:rFonts w:eastAsia="Times New Roman"/>
                <w:szCs w:val="24"/>
                <w:lang w:eastAsia="tr-TR"/>
              </w:rPr>
              <w:t>ilgili</w:t>
            </w:r>
            <w:r w:rsidR="006B2650" w:rsidRPr="00A23740">
              <w:rPr>
                <w:rFonts w:eastAsia="Times New Roman"/>
                <w:szCs w:val="24"/>
                <w:lang w:eastAsia="tr-TR"/>
              </w:rPr>
              <w:t xml:space="preserve"> </w:t>
            </w:r>
            <w:r w:rsidRPr="00A23740">
              <w:rPr>
                <w:rFonts w:eastAsia="Times New Roman"/>
                <w:szCs w:val="24"/>
                <w:lang w:eastAsia="tr-TR"/>
              </w:rPr>
              <w:t xml:space="preserve">sicile bildirilmesi gereklidir. </w:t>
            </w:r>
          </w:p>
          <w:p w:rsidR="00B62391" w:rsidRPr="00A23740" w:rsidRDefault="00B62391" w:rsidP="009431FF">
            <w:pPr>
              <w:tabs>
                <w:tab w:val="left" w:pos="567"/>
              </w:tabs>
              <w:ind w:firstLine="709"/>
              <w:rPr>
                <w:bCs/>
                <w:color w:val="0000FF"/>
                <w:szCs w:val="24"/>
                <w:lang w:eastAsia="x-none"/>
              </w:rPr>
            </w:pPr>
            <w:r w:rsidRPr="00B26441">
              <w:rPr>
                <w:rFonts w:eastAsia="Times New Roman"/>
                <w:szCs w:val="24"/>
                <w:lang w:eastAsia="tr-TR"/>
              </w:rPr>
              <w:t>Dördüncü fıkra</w:t>
            </w:r>
            <w:r w:rsidR="00715CCC" w:rsidRPr="00B26441">
              <w:rPr>
                <w:rFonts w:eastAsia="Times New Roman"/>
                <w:szCs w:val="24"/>
                <w:lang w:eastAsia="tr-TR"/>
              </w:rPr>
              <w:t>yla,</w:t>
            </w:r>
            <w:r w:rsidRPr="00B26441">
              <w:rPr>
                <w:rFonts w:eastAsia="Times New Roman"/>
                <w:szCs w:val="24"/>
                <w:lang w:eastAsia="tr-TR"/>
              </w:rPr>
              <w:t xml:space="preserve"> haciz işlemi gerçekleştirilen borçluya ait her türlü malın</w:t>
            </w:r>
            <w:r w:rsidRPr="00A23740">
              <w:rPr>
                <w:bCs/>
                <w:szCs w:val="24"/>
                <w:lang w:eastAsia="x-none"/>
              </w:rPr>
              <w:t xml:space="preserve"> haciz tarihinin net olarak belirlenmesi</w:t>
            </w:r>
            <w:r w:rsidR="00715CCC" w:rsidRPr="00A23740">
              <w:rPr>
                <w:bCs/>
                <w:szCs w:val="24"/>
                <w:lang w:eastAsia="x-none"/>
              </w:rPr>
              <w:t xml:space="preserve"> açıklığa kavuşturulmaktadır</w:t>
            </w:r>
            <w:r w:rsidRPr="00A23740">
              <w:rPr>
                <w:bCs/>
                <w:szCs w:val="24"/>
                <w:lang w:eastAsia="x-none"/>
              </w:rPr>
              <w:t>. Bu düzenleme</w:t>
            </w:r>
            <w:r w:rsidR="00715CCC" w:rsidRPr="00A23740">
              <w:rPr>
                <w:bCs/>
                <w:szCs w:val="24"/>
                <w:lang w:eastAsia="x-none"/>
              </w:rPr>
              <w:t>yle</w:t>
            </w:r>
            <w:r w:rsidRPr="00A23740">
              <w:rPr>
                <w:bCs/>
                <w:szCs w:val="24"/>
                <w:lang w:eastAsia="x-none"/>
              </w:rPr>
              <w:t xml:space="preserve"> birlikte haciz tarihi tüm mallar </w:t>
            </w:r>
            <w:r w:rsidRPr="00B26441">
              <w:rPr>
                <w:rFonts w:eastAsia="Times New Roman"/>
                <w:szCs w:val="24"/>
                <w:lang w:eastAsia="tr-TR"/>
              </w:rPr>
              <w:t>açısından</w:t>
            </w:r>
            <w:r w:rsidRPr="00A23740">
              <w:rPr>
                <w:bCs/>
                <w:szCs w:val="24"/>
                <w:lang w:eastAsia="x-none"/>
              </w:rPr>
              <w:t xml:space="preserve"> net </w:t>
            </w:r>
            <w:r w:rsidR="00715CCC" w:rsidRPr="00A23740">
              <w:rPr>
                <w:bCs/>
                <w:szCs w:val="24"/>
                <w:lang w:eastAsia="x-none"/>
              </w:rPr>
              <w:t xml:space="preserve">şekilde </w:t>
            </w:r>
            <w:r w:rsidRPr="00A23740">
              <w:rPr>
                <w:bCs/>
                <w:szCs w:val="24"/>
                <w:lang w:eastAsia="x-none"/>
              </w:rPr>
              <w:t xml:space="preserve">belirlenebilecek, </w:t>
            </w:r>
            <w:r w:rsidR="00715CCC" w:rsidRPr="00A23740">
              <w:rPr>
                <w:bCs/>
                <w:szCs w:val="24"/>
                <w:lang w:eastAsia="x-none"/>
              </w:rPr>
              <w:t xml:space="preserve">böylece </w:t>
            </w:r>
            <w:r w:rsidRPr="00A23740">
              <w:rPr>
                <w:bCs/>
                <w:szCs w:val="24"/>
                <w:lang w:eastAsia="x-none"/>
              </w:rPr>
              <w:t>haczin devam etmesi veya düşmesi, satış talebinin değerlendirilmesi ve sıra ceveli</w:t>
            </w:r>
            <w:r w:rsidR="00715CCC" w:rsidRPr="00A23740">
              <w:rPr>
                <w:bCs/>
                <w:szCs w:val="24"/>
                <w:lang w:eastAsia="x-none"/>
              </w:rPr>
              <w:t xml:space="preserve">prosedürü </w:t>
            </w:r>
            <w:r w:rsidRPr="00A23740">
              <w:rPr>
                <w:bCs/>
                <w:szCs w:val="24"/>
                <w:lang w:eastAsia="x-none"/>
              </w:rPr>
              <w:t xml:space="preserve"> açısından hacze yönelik farklı değerlendirmeler ve hukuki ihtilaflar</w:t>
            </w:r>
            <w:r w:rsidR="00264866" w:rsidRPr="00A23740">
              <w:rPr>
                <w:bCs/>
                <w:szCs w:val="24"/>
                <w:lang w:eastAsia="x-none"/>
              </w:rPr>
              <w:t>ın azaltılması hedeflenmiştir</w:t>
            </w:r>
            <w:r w:rsidRPr="00A23740">
              <w:rPr>
                <w:bCs/>
                <w:szCs w:val="24"/>
                <w:lang w:eastAsia="x-none"/>
              </w:rPr>
              <w:t>.</w:t>
            </w:r>
          </w:p>
          <w:p w:rsidR="00B62391" w:rsidRDefault="00612989" w:rsidP="009431FF">
            <w:pPr>
              <w:tabs>
                <w:tab w:val="left" w:pos="567"/>
              </w:tabs>
              <w:ind w:firstLine="709"/>
              <w:rPr>
                <w:lang w:eastAsia="x-none"/>
              </w:rPr>
            </w:pPr>
            <w:r w:rsidRPr="00A23740">
              <w:rPr>
                <w:rStyle w:val="MAVChar"/>
                <w:rFonts w:eastAsia="Calibri"/>
                <w:b w:val="0"/>
                <w:color w:val="auto"/>
                <w:u w:val="none"/>
                <w:lang w:eastAsia="tr-TR"/>
              </w:rPr>
              <w:t>Beşinci fıkrayla</w:t>
            </w:r>
            <w:r w:rsidRPr="00A23740">
              <w:rPr>
                <w:lang w:eastAsia="x-none"/>
              </w:rPr>
              <w:t xml:space="preserve">, Yargıtayın yerleşik içtihatlarında kabul ettiği üzere, haczi yapan memurun </w:t>
            </w:r>
            <w:r w:rsidRPr="00A23740">
              <w:rPr>
                <w:bCs/>
                <w:szCs w:val="24"/>
                <w:lang w:eastAsia="x-none"/>
              </w:rPr>
              <w:t>para, banknot, kıymetli evrak ile altın, gümüş ve diğer kıymetli şeylerin</w:t>
            </w:r>
            <w:r w:rsidRPr="00A23740">
              <w:rPr>
                <w:lang w:eastAsia="x-none"/>
              </w:rPr>
              <w:t xml:space="preserve"> haczini gerçekleştirirken</w:t>
            </w:r>
            <w:r w:rsidR="00264866" w:rsidRPr="00A23740">
              <w:rPr>
                <w:lang w:eastAsia="x-none"/>
              </w:rPr>
              <w:t>,</w:t>
            </w:r>
            <w:r w:rsidRPr="00A23740">
              <w:rPr>
                <w:lang w:eastAsia="x-none"/>
              </w:rPr>
              <w:t xml:space="preserve"> bu malların mutlaka muhafaza altına alması gerekeceği</w:t>
            </w:r>
            <w:r w:rsidR="00264866" w:rsidRPr="00A23740">
              <w:rPr>
                <w:lang w:eastAsia="x-none"/>
              </w:rPr>
              <w:t>açıklanmıştır</w:t>
            </w:r>
            <w:r w:rsidRPr="00A23740">
              <w:rPr>
                <w:lang w:eastAsia="x-none"/>
              </w:rPr>
              <w:t>. Aksi h</w:t>
            </w:r>
            <w:r w:rsidR="001D7D44" w:rsidRPr="00A23740">
              <w:rPr>
                <w:lang w:eastAsia="x-none"/>
              </w:rPr>
              <w:t>â</w:t>
            </w:r>
            <w:r w:rsidRPr="00A23740">
              <w:rPr>
                <w:lang w:eastAsia="x-none"/>
              </w:rPr>
              <w:t>lde haciz işlemi dahi yapılmamış sayılacaktır.</w:t>
            </w:r>
          </w:p>
          <w:p w:rsidR="008B4E7E" w:rsidRPr="00A23740" w:rsidRDefault="008B4E7E" w:rsidP="009431FF">
            <w:pPr>
              <w:tabs>
                <w:tab w:val="left" w:pos="567"/>
              </w:tabs>
              <w:ind w:firstLine="709"/>
              <w:rPr>
                <w:rFonts w:eastAsia="Times New Roman"/>
                <w:b/>
                <w:szCs w:val="24"/>
                <w:lang w:eastAsia="tr-TR"/>
              </w:rPr>
            </w:pPr>
          </w:p>
          <w:p w:rsidR="00B62391" w:rsidRPr="00A23740" w:rsidRDefault="00B62391" w:rsidP="008B4E7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w:t>
            </w:r>
            <w:r w:rsidRPr="00A23740">
              <w:rPr>
                <w:rFonts w:eastAsia="Times New Roman"/>
                <w:b/>
                <w:szCs w:val="24"/>
                <w:lang w:eastAsia="tr-TR"/>
              </w:rPr>
              <w:t xml:space="preserve"> </w:t>
            </w:r>
            <w:r w:rsidRPr="00A23740">
              <w:rPr>
                <w:rFonts w:eastAsia="Times New Roman"/>
                <w:b/>
                <w:strike/>
                <w:color w:val="FF0000"/>
                <w:szCs w:val="24"/>
                <w:lang w:eastAsia="tr-TR"/>
              </w:rPr>
              <w:t xml:space="preserve">Alacaklar ve </w:t>
            </w:r>
            <w:r w:rsidRPr="00A23740">
              <w:t>üçüncü</w:t>
            </w:r>
            <w:r w:rsidRPr="00A23740">
              <w:rPr>
                <w:rFonts w:eastAsia="Times New Roman"/>
                <w:b/>
                <w:strike/>
                <w:color w:val="FF0000"/>
                <w:szCs w:val="24"/>
                <w:lang w:eastAsia="tr-TR"/>
              </w:rPr>
              <w:t xml:space="preserve"> şahıs elinde haczedilen mallar hakkında:</w:t>
            </w:r>
          </w:p>
          <w:p w:rsidR="00AA5C8C" w:rsidRPr="00A23740" w:rsidRDefault="00AA5C8C" w:rsidP="009431FF">
            <w:pPr>
              <w:tabs>
                <w:tab w:val="left" w:pos="567"/>
              </w:tabs>
              <w:rPr>
                <w:rFonts w:eastAsia="Times New Roman"/>
                <w:b/>
                <w:szCs w:val="24"/>
                <w:lang w:eastAsia="tr-TR"/>
              </w:rPr>
            </w:pPr>
            <w:r w:rsidRPr="00A23740">
              <w:rPr>
                <w:rStyle w:val="KIRMIZIChar"/>
                <w:rFonts w:eastAsia="Calibri"/>
              </w:rPr>
              <w:t>Madde 89 – (1) (Değişik</w:t>
            </w:r>
            <w:r w:rsidRPr="00A23740">
              <w:rPr>
                <w:rFonts w:eastAsia="Times New Roman"/>
                <w:b/>
                <w:strike/>
                <w:color w:val="FF0000"/>
                <w:szCs w:val="24"/>
                <w:lang w:eastAsia="tr-TR"/>
              </w:rPr>
              <w:t>: 18/2/1965 - 538/49 md.)</w:t>
            </w: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 xml:space="preserve">Hamiline ait olmıyan veya cirosu kabil bir senetle müstenit bulunmıyan alacak veya sair bir talep hakkı veya </w:t>
            </w:r>
            <w:r w:rsidRPr="00A23740">
              <w:rPr>
                <w:rFonts w:eastAsia="Times New Roman"/>
                <w:szCs w:val="24"/>
                <w:lang w:eastAsia="tr-TR"/>
              </w:rPr>
              <w:t xml:space="preserve">borçlunun üçüncü </w:t>
            </w:r>
            <w:r w:rsidRPr="00A23740">
              <w:rPr>
                <w:rStyle w:val="KIRMIZIChar"/>
                <w:rFonts w:eastAsia="Calibri"/>
              </w:rPr>
              <w:t>şahıs elindeki taşınır bir malı</w:t>
            </w:r>
            <w:r w:rsidRPr="00A23740">
              <w:rPr>
                <w:rFonts w:eastAsia="Times New Roman"/>
                <w:szCs w:val="24"/>
                <w:lang w:eastAsia="tr-TR"/>
              </w:rPr>
              <w:t xml:space="preserve"> haczedilirse icra </w:t>
            </w:r>
            <w:r w:rsidRPr="00A23740">
              <w:rPr>
                <w:rFonts w:eastAsia="Times New Roman"/>
                <w:b/>
                <w:strike/>
                <w:color w:val="FF0000"/>
                <w:szCs w:val="24"/>
                <w:lang w:eastAsia="tr-TR"/>
              </w:rPr>
              <w:t>memuru</w:t>
            </w:r>
            <w:r w:rsidRPr="00A23740">
              <w:rPr>
                <w:rFonts w:eastAsia="Times New Roman"/>
                <w:szCs w:val="24"/>
                <w:lang w:eastAsia="tr-TR"/>
              </w:rPr>
              <w:t xml:space="preserve">; borçlu olan </w:t>
            </w:r>
            <w:r w:rsidRPr="00A23740">
              <w:rPr>
                <w:rFonts w:eastAsia="Times New Roman"/>
                <w:b/>
                <w:strike/>
                <w:color w:val="FF0000"/>
                <w:szCs w:val="24"/>
                <w:lang w:eastAsia="tr-TR"/>
              </w:rPr>
              <w:t>hakiki</w:t>
            </w:r>
            <w:r w:rsidRPr="00A23740">
              <w:rPr>
                <w:rFonts w:eastAsia="Times New Roman"/>
                <w:szCs w:val="24"/>
                <w:lang w:eastAsia="tr-TR"/>
              </w:rPr>
              <w:t xml:space="preserve"> veya </w:t>
            </w:r>
            <w:r w:rsidRPr="00A23740">
              <w:rPr>
                <w:rFonts w:eastAsia="Times New Roman"/>
                <w:b/>
                <w:strike/>
                <w:color w:val="FF0000"/>
                <w:szCs w:val="24"/>
                <w:lang w:eastAsia="tr-TR"/>
              </w:rPr>
              <w:t>hükmi şahsa</w:t>
            </w:r>
            <w:r w:rsidRPr="00A23740">
              <w:rPr>
                <w:rFonts w:eastAsia="Times New Roman"/>
                <w:szCs w:val="24"/>
                <w:lang w:eastAsia="tr-TR"/>
              </w:rPr>
              <w:t xml:space="preserve"> bundan böyle borcunu ancak icra dairesine öd</w:t>
            </w:r>
            <w:r w:rsidRPr="00A23740">
              <w:rPr>
                <w:rFonts w:eastAsia="Times New Roman"/>
                <w:strike/>
                <w:color w:val="FF0000"/>
                <w:szCs w:val="24"/>
                <w:lang w:eastAsia="tr-TR"/>
              </w:rPr>
              <w:t>i</w:t>
            </w:r>
            <w:r w:rsidRPr="00A23740">
              <w:rPr>
                <w:rFonts w:eastAsia="Times New Roman"/>
                <w:szCs w:val="24"/>
                <w:lang w:eastAsia="tr-TR"/>
              </w:rPr>
              <w:t xml:space="preserve">yebileceğini ve takip borçlusuna yapılan ödemenin </w:t>
            </w:r>
            <w:r w:rsidRPr="00A23740">
              <w:rPr>
                <w:rFonts w:eastAsia="Times New Roman"/>
                <w:b/>
                <w:strike/>
                <w:color w:val="FF0000"/>
                <w:szCs w:val="24"/>
                <w:lang w:eastAsia="tr-TR"/>
              </w:rPr>
              <w:t>muteber</w:t>
            </w:r>
            <w:r w:rsidRPr="00A23740">
              <w:rPr>
                <w:rFonts w:eastAsia="Times New Roman"/>
                <w:szCs w:val="24"/>
                <w:lang w:eastAsia="tr-TR"/>
              </w:rPr>
              <w:t xml:space="preserve"> olmadığını veya malı elinde bulunduran üçüncü </w:t>
            </w:r>
            <w:r w:rsidRPr="00A23740">
              <w:rPr>
                <w:rFonts w:eastAsia="Times New Roman"/>
                <w:b/>
                <w:strike/>
                <w:color w:val="FF0000"/>
                <w:szCs w:val="24"/>
                <w:lang w:eastAsia="tr-TR"/>
              </w:rPr>
              <w:t>şahsa</w:t>
            </w:r>
            <w:r w:rsidRPr="00A23740">
              <w:rPr>
                <w:rFonts w:eastAsia="Times New Roman"/>
                <w:szCs w:val="24"/>
                <w:lang w:eastAsia="tr-TR"/>
              </w:rPr>
              <w:t xml:space="preserve"> bundan böyle taşınır malı ancak icra dairesine teslim edebileceğini, malı takip borçlusuna vermemesini, aksi takdirde malın bedelini icra dairesine ödemek zorunda kalacağını bildirir </w:t>
            </w:r>
            <w:r w:rsidRPr="00A23740">
              <w:rPr>
                <w:rFonts w:eastAsia="Times New Roman"/>
                <w:b/>
                <w:strike/>
                <w:color w:val="FF0000"/>
                <w:szCs w:val="24"/>
                <w:lang w:eastAsia="tr-TR"/>
              </w:rPr>
              <w:t>(Haciz ihbarnamesi).</w:t>
            </w:r>
            <w:r w:rsidRPr="00A23740">
              <w:rPr>
                <w:rFonts w:eastAsia="Times New Roman"/>
                <w:szCs w:val="24"/>
                <w:lang w:eastAsia="tr-TR"/>
              </w:rPr>
              <w:t xml:space="preserve">Bu </w:t>
            </w:r>
            <w:r w:rsidRPr="00A23740">
              <w:rPr>
                <w:rFonts w:eastAsia="Times New Roman"/>
                <w:b/>
                <w:strike/>
                <w:color w:val="FF0000"/>
                <w:szCs w:val="24"/>
                <w:lang w:eastAsia="tr-TR"/>
              </w:rPr>
              <w:t>haciz</w:t>
            </w:r>
            <w:r w:rsidRPr="00A23740">
              <w:rPr>
                <w:rFonts w:eastAsia="Times New Roman"/>
                <w:szCs w:val="24"/>
                <w:lang w:eastAsia="tr-TR"/>
              </w:rPr>
              <w:t xml:space="preserve"> ihbarname</w:t>
            </w:r>
            <w:r w:rsidRPr="00A23740">
              <w:rPr>
                <w:rFonts w:eastAsia="Times New Roman"/>
                <w:b/>
                <w:strike/>
                <w:color w:val="FF0000"/>
                <w:szCs w:val="24"/>
                <w:lang w:eastAsia="tr-TR"/>
              </w:rPr>
              <w:t>sin</w:t>
            </w:r>
            <w:r w:rsidRPr="00A23740">
              <w:rPr>
                <w:rFonts w:eastAsia="Times New Roman"/>
                <w:szCs w:val="24"/>
                <w:lang w:eastAsia="tr-TR"/>
              </w:rPr>
              <w:t xml:space="preserve">de, ayrıca </w:t>
            </w:r>
            <w:r w:rsidRPr="00A23740">
              <w:rPr>
                <w:rFonts w:eastAsia="Times New Roman"/>
                <w:b/>
                <w:strike/>
                <w:color w:val="FF0000"/>
                <w:szCs w:val="24"/>
                <w:lang w:eastAsia="tr-TR"/>
              </w:rPr>
              <w:t>2, 3</w:t>
            </w:r>
            <w:r w:rsidRPr="00A23740">
              <w:rPr>
                <w:rFonts w:eastAsia="Times New Roman"/>
                <w:szCs w:val="24"/>
                <w:lang w:eastAsia="tr-TR"/>
              </w:rPr>
              <w:t xml:space="preserve"> ve </w:t>
            </w:r>
            <w:r w:rsidRPr="00A23740">
              <w:rPr>
                <w:rFonts w:eastAsia="Times New Roman"/>
                <w:b/>
                <w:strike/>
                <w:color w:val="FF0000"/>
                <w:szCs w:val="24"/>
                <w:lang w:eastAsia="tr-TR"/>
              </w:rPr>
              <w:t>4 üncü</w:t>
            </w:r>
            <w:r w:rsidRPr="00A23740">
              <w:rPr>
                <w:rFonts w:eastAsia="Times New Roman"/>
                <w:szCs w:val="24"/>
                <w:lang w:eastAsia="tr-TR"/>
              </w:rPr>
              <w:t xml:space="preserve"> fıkra hükümleri de üçüncü </w:t>
            </w:r>
            <w:r w:rsidRPr="00A23740">
              <w:rPr>
                <w:rFonts w:eastAsia="Times New Roman"/>
                <w:b/>
                <w:strike/>
                <w:color w:val="FF0000"/>
                <w:szCs w:val="24"/>
                <w:lang w:eastAsia="tr-TR"/>
              </w:rPr>
              <w:t>şahsa</w:t>
            </w:r>
            <w:r w:rsidRPr="00A23740">
              <w:rPr>
                <w:rFonts w:eastAsia="Times New Roman"/>
                <w:szCs w:val="24"/>
                <w:lang w:eastAsia="tr-TR"/>
              </w:rPr>
              <w:t xml:space="preserve"> bildirilir.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 Üçüncü şahıs; borcu olmadığı veya malın yedinde bulunmadığı veya haciz ihbarnamesinin tebliğinden önce borç ödenmiş veya mal istihlak edilmiş veya kusuru olmaksızın telef olmuş veya malın borçluya ait olmadığı veya malın kendisine rehnedilmiş olduğu veya alacak borçluya veya emrettiği yere verilmiş olduğu gibi bir iddiada ise, keyfiyeti, haciz ihbarnamesinin kendisine tebliğinden itibaren yedi gün içinde icra dairesine yazılı veya sözlü olarak bildirmeye mecburdur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(3) (Değişik</w:t>
            </w:r>
            <w:r w:rsidRPr="00A23740">
              <w:rPr>
                <w:rFonts w:eastAsia="Times New Roman"/>
                <w:b/>
                <w:strike/>
                <w:color w:val="FF0000"/>
                <w:szCs w:val="24"/>
                <w:lang w:eastAsia="tr-TR"/>
              </w:rPr>
              <w:t xml:space="preserve"> üçüncü fıkra: 17/7/2003-4949/22 md.)</w:t>
            </w:r>
            <w:r w:rsidRPr="00A23740">
              <w:rPr>
                <w:rFonts w:eastAsia="Times New Roman"/>
                <w:b/>
                <w:szCs w:val="24"/>
                <w:lang w:eastAsia="tr-TR"/>
              </w:rPr>
              <w:t xml:space="preserve"> </w:t>
            </w:r>
            <w:r w:rsidRPr="00A23740">
              <w:rPr>
                <w:rFonts w:eastAsia="Times New Roman"/>
                <w:szCs w:val="24"/>
                <w:lang w:eastAsia="tr-TR"/>
              </w:rPr>
              <w:t xml:space="preserve">Üçüncü </w:t>
            </w:r>
            <w:r w:rsidRPr="00A23740">
              <w:rPr>
                <w:rStyle w:val="KIRMIZIChar"/>
                <w:rFonts w:eastAsia="Calibri"/>
              </w:rPr>
              <w:t>şahıs</w:t>
            </w:r>
            <w:r w:rsidRPr="00A23740">
              <w:rPr>
                <w:rFonts w:eastAsia="Times New Roman"/>
                <w:szCs w:val="24"/>
                <w:lang w:eastAsia="tr-TR"/>
              </w:rPr>
              <w:t xml:space="preserve">, haciz ihbarnamesinin kendisine tebliğinden itibaren </w:t>
            </w:r>
            <w:r w:rsidRPr="00A23740">
              <w:rPr>
                <w:rStyle w:val="KIRMIZIChar"/>
                <w:rFonts w:eastAsia="Calibri"/>
              </w:rPr>
              <w:t>yedi gün</w:t>
            </w:r>
            <w:r w:rsidRPr="00A23740">
              <w:rPr>
                <w:rFonts w:eastAsia="Times New Roman"/>
                <w:szCs w:val="24"/>
                <w:lang w:eastAsia="tr-TR"/>
              </w:rPr>
              <w:t xml:space="preserve"> içinde </w:t>
            </w:r>
            <w:r w:rsidRPr="00A23740">
              <w:rPr>
                <w:rStyle w:val="KIRMIZIChar"/>
                <w:rFonts w:eastAsia="Calibri"/>
              </w:rPr>
              <w:t>itiraz etmezse, mal yedinde veya borç zimmetinde sayılır ve kendisine gönderilen haciz ihbarnamesine süresinde itiraz etmediği, bu nedenle de malın yedinde veya borcun zimmetinde sayıldığı ikinci bir ihbarname ile bildirilir. Bu ikinci ihbarnamede ayrıca, üçüncü şahsın ihbarnamenin  kendisine tebliğinden itibaren yedi gün içinde ikinci fıkrada belirtilen sebeplerle itirazda bulunması, itirazda bulunmadığı takdirde zimmetinde sayılan borcu icra dairesine ödemesi veya yedinde sayılan malı icra dairesine teslim etmesi istenir. İkinci ihbarnameye    süresi   içinde    itiraz   etmeyen    ve   zimmetinde  sayılan   borcu  icra  dairesine  ödemeyen veya   yedinde  sayılan  malı  icra  dairesine  teslim  etmeyen   üçüncü  şahsa   onbeş gün içinde parayı icra dairesine ödemesi veya yedinde sayılan malı teslim etmesi yahut  bu süre içinde menfi tespit davası açması, aksi takdirde zimmetinde sayılan borcu ödemeye veya yedinde sayılan malı teslime zorlanacağı bildirilir. Bu bildirimi alan üçüncü şahıs, icra takibinin  yapıldığı veya yerleşim yerinin bulunduğu yer mahkemesinde süresi içinde menfi tespit</w:t>
            </w:r>
            <w:r w:rsidRPr="00A23740">
              <w:rPr>
                <w:rFonts w:eastAsia="Times New Roman"/>
                <w:b/>
                <w:strike/>
                <w:color w:val="FF0000"/>
                <w:szCs w:val="24"/>
                <w:lang w:eastAsia="tr-TR"/>
              </w:rPr>
              <w:t xml:space="preserve"> davası açtığına dair belgeyi bildirimin yapıldığı tarihten itibaren yirmi gün içinde ilgili icra dairesine teslim ettiği takdirde, hakkında yürütülen cebri icra işlemleri  menfi tespit davası sonunda verilen kararın kesinleşmesine kadar durur. Bu süre içinde 106 ncı maddede belirtilen  süreler işlemez. Bu davada üçüncü şahıs, takip borçlusuna borçlu olmadığını veya malın takip borçlusuna ait olmadığını ispat etmeye mecburdur. Üçüncü şahıs açtığı bu davayı kaybederse, mahkemece, dava konusu  şeyin yüzde yirmisinden aşağı olmamak üzere bir tazminata mahkûm edilir. Bu fıkraya göre açılacak menfi tespit davaları maktu harca tabidir.</w:t>
            </w:r>
          </w:p>
          <w:p w:rsidR="00AA5C8C" w:rsidRPr="00B26441" w:rsidRDefault="00AA5C8C" w:rsidP="009431FF">
            <w:pPr>
              <w:pStyle w:val="KIRMIZI"/>
            </w:pPr>
          </w:p>
          <w:p w:rsidR="00AA5C8C" w:rsidRPr="00B26441" w:rsidRDefault="00AA5C8C" w:rsidP="009431FF">
            <w:pPr>
              <w:pStyle w:val="KIRMIZI"/>
            </w:pPr>
            <w:r w:rsidRPr="00B26441">
              <w:rPr>
                <w:rStyle w:val="KIRMIZIChar"/>
                <w:rFonts w:eastAsia="Calibri"/>
                <w:b/>
                <w:bCs/>
                <w:strike/>
              </w:rPr>
              <w:t>(5) Üçüncü şahsın</w:t>
            </w:r>
            <w:r w:rsidRPr="00B26441">
              <w:t xml:space="preserve"> beyan</w:t>
            </w:r>
            <w:r w:rsidRPr="00B26441">
              <w:rPr>
                <w:rStyle w:val="KIRMIZIChar"/>
                <w:rFonts w:eastAsia="Calibri"/>
                <w:b/>
                <w:bCs/>
                <w:strike/>
              </w:rPr>
              <w:t>ı</w:t>
            </w:r>
            <w:r w:rsidRPr="00B26441">
              <w:t xml:space="preserve"> hiçbir </w:t>
            </w:r>
            <w:r w:rsidRPr="00B26441">
              <w:rPr>
                <w:rStyle w:val="NOTChar"/>
                <w:rFonts w:eastAsia="Calibri"/>
                <w:b/>
                <w:bCs/>
              </w:rPr>
              <w:t>harc ve resme</w:t>
            </w:r>
            <w:r w:rsidRPr="00B26441">
              <w:t xml:space="preserve"> tabi değildir.</w:t>
            </w:r>
          </w:p>
          <w:p w:rsidR="00AA5C8C" w:rsidRPr="00A23740" w:rsidRDefault="000A2887"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 xml:space="preserve"> </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(6)</w:t>
            </w:r>
            <w:r w:rsidRPr="00A23740">
              <w:rPr>
                <w:rFonts w:eastAsia="Times New Roman"/>
                <w:szCs w:val="24"/>
                <w:lang w:eastAsia="tr-TR"/>
              </w:rPr>
              <w:t xml:space="preserve"> Üçüncü </w:t>
            </w:r>
            <w:r w:rsidRPr="00A23740">
              <w:rPr>
                <w:rFonts w:eastAsia="Times New Roman"/>
                <w:b/>
                <w:strike/>
                <w:color w:val="FF0000"/>
                <w:szCs w:val="24"/>
                <w:lang w:eastAsia="tr-TR"/>
              </w:rPr>
              <w:t>şahıs</w:t>
            </w:r>
            <w:r w:rsidRPr="00A23740">
              <w:rPr>
                <w:rFonts w:eastAsia="Times New Roman"/>
                <w:szCs w:val="24"/>
                <w:lang w:eastAsia="tr-TR"/>
              </w:rPr>
              <w:t>, haciz ihbarnamesi</w:t>
            </w:r>
            <w:r w:rsidRPr="00A23740">
              <w:rPr>
                <w:rStyle w:val="KIRMIZIChar"/>
                <w:rFonts w:eastAsia="Calibri"/>
              </w:rPr>
              <w:t>ne</w:t>
            </w:r>
            <w:r w:rsidRPr="00A23740">
              <w:rPr>
                <w:rFonts w:eastAsia="Times New Roman"/>
                <w:szCs w:val="24"/>
                <w:lang w:eastAsia="tr-TR"/>
              </w:rPr>
              <w:t xml:space="preserve"> </w:t>
            </w:r>
            <w:r w:rsidRPr="00A23740">
              <w:rPr>
                <w:rFonts w:eastAsia="Times New Roman"/>
                <w:b/>
                <w:strike/>
                <w:color w:val="FF0000"/>
                <w:szCs w:val="24"/>
                <w:lang w:eastAsia="tr-TR"/>
              </w:rPr>
              <w:t>müddeti</w:t>
            </w:r>
            <w:r w:rsidRPr="00A23740">
              <w:rPr>
                <w:rFonts w:eastAsia="Times New Roman"/>
                <w:szCs w:val="24"/>
                <w:lang w:eastAsia="tr-TR"/>
              </w:rPr>
              <w:t xml:space="preserve"> içinde </w:t>
            </w:r>
            <w:r w:rsidRPr="00A23740">
              <w:rPr>
                <w:rStyle w:val="KIRMIZIChar"/>
                <w:rFonts w:eastAsia="Calibri"/>
              </w:rPr>
              <w:t>itiraz ederse,</w:t>
            </w:r>
            <w:r w:rsidRPr="00A23740">
              <w:rPr>
                <w:rFonts w:eastAsia="Times New Roman"/>
                <w:szCs w:val="24"/>
                <w:lang w:eastAsia="tr-TR"/>
              </w:rPr>
              <w:t xml:space="preserve"> alacaklı, üçüncü </w:t>
            </w:r>
            <w:r w:rsidRPr="00A23740">
              <w:rPr>
                <w:rStyle w:val="KIRMIZIChar"/>
                <w:rFonts w:eastAsia="Calibri"/>
              </w:rPr>
              <w:t>şahsın verdiği cevabın aksini</w:t>
            </w:r>
            <w:r w:rsidRPr="00A23740">
              <w:t xml:space="preserve"> icra mahkemesinde</w:t>
            </w:r>
            <w:r w:rsidRPr="00A23740">
              <w:rPr>
                <w:rStyle w:val="KIRMIZIChar"/>
                <w:rFonts w:eastAsia="Calibri"/>
              </w:rPr>
              <w:t xml:space="preserve"> </w:t>
            </w:r>
            <w:r w:rsidRPr="00A23740">
              <w:t xml:space="preserve">ispat ederek </w:t>
            </w:r>
            <w:r w:rsidRPr="00A23740">
              <w:rPr>
                <w:rStyle w:val="KIRMIZIChar"/>
                <w:rFonts w:eastAsia="Calibri"/>
              </w:rPr>
              <w:t>üçüncü</w:t>
            </w:r>
            <w:r w:rsidRPr="00A23740">
              <w:rPr>
                <w:rFonts w:eastAsia="Times New Roman"/>
                <w:szCs w:val="24"/>
                <w:lang w:eastAsia="tr-TR"/>
              </w:rPr>
              <w:t xml:space="preserve"> </w:t>
            </w:r>
            <w:r w:rsidRPr="00A23740">
              <w:rPr>
                <w:rFonts w:eastAsia="Times New Roman"/>
                <w:b/>
                <w:strike/>
                <w:color w:val="FF0000"/>
                <w:szCs w:val="24"/>
                <w:lang w:eastAsia="tr-TR"/>
              </w:rPr>
              <w:t>şahsın 338 inci maddenin 1 inci fıkrası hükmüne göre cezalandırılmasını ve ayrıca tazminata mahküm edilmesini</w:t>
            </w:r>
            <w:r w:rsidRPr="00A23740">
              <w:rPr>
                <w:rFonts w:eastAsia="Times New Roman"/>
                <w:szCs w:val="24"/>
                <w:lang w:eastAsia="tr-TR"/>
              </w:rPr>
              <w:t xml:space="preserve"> </w:t>
            </w:r>
            <w:r w:rsidRPr="00A23740">
              <w:rPr>
                <w:rFonts w:eastAsia="Times New Roman"/>
                <w:b/>
                <w:strike/>
                <w:color w:val="FF0000"/>
                <w:szCs w:val="24"/>
                <w:lang w:eastAsia="tr-TR"/>
              </w:rPr>
              <w:t>istiyebilir</w:t>
            </w:r>
            <w:r w:rsidRPr="00A23740">
              <w:t>. İcra</w:t>
            </w:r>
            <w:r w:rsidRPr="00A23740">
              <w:rPr>
                <w:rFonts w:eastAsia="Times New Roman"/>
                <w:szCs w:val="24"/>
                <w:lang w:eastAsia="tr-TR"/>
              </w:rPr>
              <w:t xml:space="preserve"> </w:t>
            </w:r>
            <w:r w:rsidRPr="00A23740">
              <w:t>mahkemesi</w:t>
            </w:r>
            <w:r w:rsidRPr="00A23740">
              <w:rPr>
                <w:rFonts w:eastAsia="Times New Roman"/>
                <w:szCs w:val="24"/>
                <w:lang w:eastAsia="tr-TR"/>
              </w:rPr>
              <w:t xml:space="preserve">, </w:t>
            </w:r>
            <w:r w:rsidRPr="00A23740">
              <w:rPr>
                <w:rStyle w:val="KIRMIZIChar"/>
                <w:rFonts w:eastAsia="Calibri"/>
              </w:rPr>
              <w:t>tazminat hakkındaki</w:t>
            </w:r>
            <w:r w:rsidRPr="00A23740">
              <w:rPr>
                <w:rFonts w:eastAsia="Times New Roman"/>
                <w:szCs w:val="24"/>
                <w:lang w:eastAsia="tr-TR"/>
              </w:rPr>
              <w:t xml:space="preserve"> davayı genel</w:t>
            </w:r>
            <w:r w:rsidRPr="00A23740">
              <w:rPr>
                <w:rFonts w:eastAsia="Times New Roman"/>
                <w:b/>
                <w:strike/>
                <w:color w:val="FF0000"/>
                <w:szCs w:val="24"/>
                <w:lang w:eastAsia="tr-TR"/>
              </w:rPr>
              <w:t xml:space="preserve"> </w:t>
            </w:r>
            <w:r w:rsidRPr="00A23740">
              <w:rPr>
                <w:rFonts w:eastAsia="Times New Roman"/>
                <w:szCs w:val="24"/>
                <w:lang w:eastAsia="tr-TR"/>
              </w:rPr>
              <w:t>hükümlere</w:t>
            </w:r>
            <w:r w:rsidRPr="00A23740">
              <w:rPr>
                <w:rFonts w:eastAsia="Times New Roman"/>
                <w:b/>
                <w:color w:val="FF0000"/>
                <w:szCs w:val="24"/>
                <w:lang w:eastAsia="tr-TR"/>
              </w:rPr>
              <w:t xml:space="preserve"> </w:t>
            </w:r>
            <w:r w:rsidRPr="00A23740">
              <w:rPr>
                <w:rFonts w:eastAsia="Times New Roman"/>
                <w:szCs w:val="24"/>
                <w:lang w:eastAsia="tr-TR"/>
              </w:rPr>
              <w:t xml:space="preserve">göre </w:t>
            </w:r>
            <w:r w:rsidRPr="00A23740">
              <w:rPr>
                <w:rFonts w:eastAsia="Times New Roman"/>
                <w:b/>
                <w:strike/>
                <w:color w:val="FF0000"/>
                <w:szCs w:val="24"/>
                <w:lang w:eastAsia="tr-TR"/>
              </w:rPr>
              <w:t>halleder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w:t>
            </w:r>
            <w:r w:rsidRPr="00A23740">
              <w:rPr>
                <w:rFonts w:eastAsia="Times New Roman"/>
                <w:b/>
                <w:strike/>
                <w:color w:val="FF0000"/>
                <w:szCs w:val="24"/>
                <w:lang w:eastAsia="tr-TR"/>
              </w:rPr>
              <w:t>7) Malın teslimi mümkün olmazsa, alacaklı icra mahkemesine müracaatla değerini üçüncü şahsa ödetmek hakkını haizdir.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(8) (</w:t>
            </w:r>
            <w:r w:rsidRPr="00A23740">
              <w:rPr>
                <w:rFonts w:eastAsia="Times New Roman"/>
                <w:b/>
                <w:strike/>
                <w:color w:val="FF0000"/>
                <w:szCs w:val="24"/>
                <w:lang w:eastAsia="tr-TR"/>
              </w:rPr>
              <w:t>Değişik yedinci fıkra: 2/7/2012-6352/18 md.)</w:t>
            </w:r>
            <w:r w:rsidRPr="00A23740">
              <w:rPr>
                <w:rFonts w:eastAsia="Times New Roman"/>
                <w:b/>
                <w:szCs w:val="24"/>
                <w:lang w:eastAsia="tr-TR"/>
              </w:rPr>
              <w:t xml:space="preserve"> </w:t>
            </w:r>
            <w:r w:rsidRPr="00A23740">
              <w:rPr>
                <w:rFonts w:eastAsia="Times New Roman"/>
                <w:szCs w:val="24"/>
                <w:lang w:eastAsia="tr-TR"/>
              </w:rPr>
              <w:t>Haciz ihbarnamesi, borçlunun hak ve alacaklarının bulunabileceği bir tüzel kişinin veya müessesenin şubesine veya tüm şubelerini kapsayacak şekilde merkezine tebliğ edilir. Haciz ihbarnamesinin tebliğ edildiği merkez, tüm şubeleri veya birimlerini kapsayacak şekilde beyanda bulunmakla yükümlüdür.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 xml:space="preserve">(4) Üçüncü şahıs, kusuru olmaksızın bir mani sebebiyle müddeti içinde haciz ihbarnamesine itiraz etmediği takdirde 65 inci madde hükmü uygulanır. (Değişik son cümle: 17/7/2003-4949/22 md.) Her hâlde üçüncü şahıs, borçlu ile kötü niyetli alacaklıya karşı dava açarak ödemek zorunda kaldığı paranın veya teslim ettiği malın iadesini isteyebilir.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(9) Bu</w:t>
            </w:r>
            <w:r w:rsidRPr="00A23740">
              <w:rPr>
                <w:rFonts w:eastAsia="Times New Roman"/>
                <w:b/>
                <w:strike/>
                <w:color w:val="FF0000"/>
                <w:szCs w:val="24"/>
                <w:lang w:eastAsia="tr-TR"/>
              </w:rPr>
              <w:t xml:space="preserve"> madde hükmü,memuriyeti hasebiyle hakikate muhalif beyanda bulunan memurlar hakkında da uygulanır.</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(10) (Ek fıkra:6/12/2018-7155/12 md.)</w:t>
            </w:r>
            <w:r w:rsidRPr="00A23740">
              <w:rPr>
                <w:rFonts w:eastAsia="Times New Roman"/>
                <w:szCs w:val="24"/>
                <w:lang w:eastAsia="tr-TR"/>
              </w:rPr>
              <w:t xml:space="preserve"> Bu madde uyarınca haciz ihbarnamelerinin bildirimi ve bu ihbarnamelere verilecek cevaplar, güvenli elektronik imza kullanılmak suretiyle </w:t>
            </w:r>
            <w:r w:rsidRPr="00A23740">
              <w:rPr>
                <w:rStyle w:val="KIRMIZIChar"/>
                <w:rFonts w:eastAsia="Calibri"/>
              </w:rPr>
              <w:t>Ulusal Yargı Ağı Bilişim Sistemi</w:t>
            </w:r>
            <w:r w:rsidRPr="00A23740">
              <w:rPr>
                <w:rStyle w:val="KIRMIZIChar"/>
                <w:rFonts w:eastAsia="Calibri"/>
                <w:strike w:val="0"/>
              </w:rPr>
              <w:t xml:space="preserve"> </w:t>
            </w:r>
            <w:r w:rsidRPr="00A23740">
              <w:rPr>
                <w:rFonts w:eastAsia="Times New Roman"/>
                <w:szCs w:val="24"/>
                <w:lang w:eastAsia="tr-TR"/>
              </w:rPr>
              <w:t>ve bu sisteme entegre bilişim sistemleri üzerinden de yapılabilir. Bu usulle yapılan bildirim tebliğ yerine geçer.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color w:val="0000FF"/>
                <w:szCs w:val="24"/>
                <w:lang w:eastAsia="tr-TR"/>
              </w:rPr>
              <w:t xml:space="preserve">Borçlunun </w:t>
            </w:r>
            <w:r w:rsidRPr="00A23740">
              <w:t>üçüncü</w:t>
            </w:r>
            <w:r w:rsidRPr="00A23740">
              <w:rPr>
                <w:rFonts w:eastAsia="Times New Roman"/>
                <w:b/>
                <w:color w:val="0000FF"/>
                <w:szCs w:val="24"/>
                <w:lang w:eastAsia="tr-TR"/>
              </w:rPr>
              <w:t xml:space="preserve"> kişideki mal, hak ve alacaklarının haczi</w:t>
            </w:r>
          </w:p>
          <w:p w:rsidR="00AA5C8C" w:rsidRPr="00A23740" w:rsidRDefault="00A468CF" w:rsidP="009431FF">
            <w:pPr>
              <w:tabs>
                <w:tab w:val="left" w:pos="567"/>
              </w:tabs>
              <w:rPr>
                <w:rFonts w:eastAsia="Times New Roman"/>
                <w:szCs w:val="24"/>
                <w:lang w:eastAsia="tr-TR"/>
              </w:rPr>
            </w:pPr>
            <w:r w:rsidRPr="00A23740">
              <w:rPr>
                <w:b/>
                <w:bCs/>
                <w:color w:val="0000FF"/>
                <w:szCs w:val="24"/>
                <w:lang w:val="x-none" w:eastAsia="x-none"/>
              </w:rPr>
              <w:t>MADDE 1</w:t>
            </w:r>
            <w:r w:rsidRPr="00A23740">
              <w:rPr>
                <w:b/>
                <w:bCs/>
                <w:color w:val="0000FF"/>
                <w:szCs w:val="24"/>
                <w:lang w:eastAsia="x-none"/>
              </w:rPr>
              <w:t>71</w:t>
            </w:r>
            <w:r w:rsidR="00AA5C8C" w:rsidRPr="00A23740">
              <w:rPr>
                <w:b/>
                <w:bCs/>
                <w:color w:val="0000FF"/>
                <w:szCs w:val="24"/>
                <w:lang w:val="x-none" w:eastAsia="x-none"/>
              </w:rPr>
              <w:t>- (</w:t>
            </w:r>
            <w:r w:rsidR="00AA5C8C" w:rsidRPr="00A23740">
              <w:rPr>
                <w:rFonts w:eastAsia="Times New Roman"/>
                <w:b/>
                <w:color w:val="0000FF"/>
                <w:szCs w:val="24"/>
                <w:lang w:eastAsia="tr-TR"/>
              </w:rPr>
              <w:t>1)</w:t>
            </w:r>
            <w:r w:rsidR="00AA5C8C" w:rsidRPr="00A23740">
              <w:rPr>
                <w:rFonts w:eastAsia="Times New Roman"/>
                <w:b/>
                <w:szCs w:val="24"/>
                <w:lang w:eastAsia="tr-TR"/>
              </w:rPr>
              <w:t xml:space="preserve"> </w:t>
            </w:r>
            <w:r w:rsidR="00AA5C8C" w:rsidRPr="00A23740">
              <w:rPr>
                <w:rFonts w:eastAsia="Times New Roman"/>
                <w:szCs w:val="24"/>
                <w:lang w:eastAsia="tr-TR"/>
              </w:rPr>
              <w:t xml:space="preserve">Borçlunun üçüncü </w:t>
            </w:r>
            <w:r w:rsidR="00AA5C8C" w:rsidRPr="00A23740">
              <w:rPr>
                <w:rFonts w:eastAsia="Times New Roman"/>
                <w:b/>
                <w:color w:val="0000FF"/>
                <w:szCs w:val="24"/>
                <w:lang w:eastAsia="tr-TR"/>
              </w:rPr>
              <w:t>kişideki mal, hak ve alacağı</w:t>
            </w:r>
            <w:r w:rsidR="00AA5C8C" w:rsidRPr="00A23740">
              <w:rPr>
                <w:rFonts w:eastAsia="Times New Roman"/>
                <w:szCs w:val="24"/>
                <w:lang w:eastAsia="tr-TR"/>
              </w:rPr>
              <w:t xml:space="preserve"> haczedilirse icra </w:t>
            </w:r>
            <w:r w:rsidR="007D74DD" w:rsidRPr="00B26441">
              <w:rPr>
                <w:rFonts w:eastAsia="Times New Roman"/>
                <w:b/>
                <w:color w:val="0000FF"/>
                <w:szCs w:val="24"/>
                <w:lang w:eastAsia="tr-TR"/>
              </w:rPr>
              <w:t xml:space="preserve">ve iflas </w:t>
            </w:r>
            <w:r w:rsidR="00AA5C8C" w:rsidRPr="00A23740">
              <w:rPr>
                <w:rFonts w:eastAsia="Times New Roman"/>
                <w:b/>
                <w:color w:val="0000FF"/>
                <w:szCs w:val="24"/>
                <w:lang w:eastAsia="tr-TR"/>
              </w:rPr>
              <w:t>müdürü üçüncü kişiye haciz ihbarnamesi</w:t>
            </w:r>
            <w:r w:rsidR="00AA5C8C" w:rsidRPr="00A23740">
              <w:rPr>
                <w:rFonts w:eastAsia="Times New Roman"/>
                <w:szCs w:val="24"/>
                <w:lang w:eastAsia="tr-TR"/>
              </w:rPr>
              <w:t xml:space="preserve"> gönderir. </w:t>
            </w:r>
            <w:r w:rsidR="00AA5C8C" w:rsidRPr="00A23740">
              <w:rPr>
                <w:rFonts w:eastAsia="Times New Roman"/>
                <w:b/>
                <w:color w:val="0000FF"/>
                <w:szCs w:val="24"/>
                <w:lang w:eastAsia="tr-TR"/>
              </w:rPr>
              <w:t>Bu ihbarnamede;</w:t>
            </w:r>
            <w:r w:rsidR="00AA5C8C" w:rsidRPr="00A23740">
              <w:rPr>
                <w:rFonts w:eastAsia="Times New Roman"/>
                <w:szCs w:val="24"/>
                <w:lang w:eastAsia="tr-TR"/>
              </w:rPr>
              <w:t xml:space="preserve"> </w:t>
            </w:r>
            <w:r w:rsidR="00AA5C8C" w:rsidRPr="00A23740">
              <w:rPr>
                <w:rFonts w:eastAsia="Times New Roman"/>
                <w:b/>
                <w:color w:val="0000FF"/>
                <w:szCs w:val="24"/>
                <w:lang w:eastAsia="tr-TR"/>
              </w:rPr>
              <w:t xml:space="preserve">üçüncü kişinin takip borçlusuna ait alacağı bundan böyle </w:t>
            </w:r>
            <w:r w:rsidR="00AA5C8C" w:rsidRPr="00A23740">
              <w:rPr>
                <w:rFonts w:eastAsia="Times New Roman"/>
                <w:szCs w:val="24"/>
                <w:lang w:eastAsia="tr-TR"/>
              </w:rPr>
              <w:t xml:space="preserve">icra </w:t>
            </w:r>
            <w:r w:rsidR="00B73523" w:rsidRPr="00B26441">
              <w:rPr>
                <w:rFonts w:eastAsia="Times New Roman"/>
                <w:b/>
                <w:color w:val="0000FF"/>
                <w:szCs w:val="24"/>
                <w:lang w:eastAsia="tr-TR"/>
              </w:rPr>
              <w:t>ve iflas</w:t>
            </w:r>
            <w:r w:rsidR="00B73523" w:rsidRPr="00A23740">
              <w:rPr>
                <w:b/>
                <w:bCs/>
                <w:color w:val="0000FF"/>
                <w:szCs w:val="24"/>
                <w:lang w:val="x-none" w:eastAsia="x-none"/>
              </w:rPr>
              <w:t xml:space="preserve"> </w:t>
            </w:r>
            <w:r w:rsidR="00AA5C8C" w:rsidRPr="00A23740">
              <w:rPr>
                <w:rFonts w:eastAsia="Times New Roman"/>
                <w:szCs w:val="24"/>
                <w:lang w:eastAsia="tr-TR"/>
              </w:rPr>
              <w:t>dairesine</w:t>
            </w:r>
            <w:r w:rsidR="00AA5C8C" w:rsidRPr="00A23740">
              <w:rPr>
                <w:rFonts w:eastAsia="Times New Roman"/>
                <w:b/>
                <w:color w:val="0000FF"/>
                <w:szCs w:val="24"/>
                <w:lang w:eastAsia="tr-TR"/>
              </w:rPr>
              <w:t>, ihbarnamenin tebliğinden itibaren iki hafta içinde</w:t>
            </w:r>
            <w:r w:rsidR="00AA5C8C" w:rsidRPr="00A23740">
              <w:rPr>
                <w:rFonts w:eastAsia="Times New Roman"/>
                <w:szCs w:val="24"/>
                <w:lang w:eastAsia="tr-TR"/>
              </w:rPr>
              <w:t xml:space="preserve"> öd</w:t>
            </w:r>
            <w:r w:rsidR="00AA5C8C" w:rsidRPr="00A23740">
              <w:rPr>
                <w:rFonts w:eastAsia="Times New Roman"/>
                <w:b/>
                <w:color w:val="0000FF"/>
                <w:szCs w:val="24"/>
                <w:lang w:eastAsia="tr-TR"/>
              </w:rPr>
              <w:t>e</w:t>
            </w:r>
            <w:r w:rsidR="00AA5C8C" w:rsidRPr="00A23740">
              <w:rPr>
                <w:rFonts w:eastAsia="Times New Roman"/>
                <w:szCs w:val="24"/>
                <w:lang w:eastAsia="tr-TR"/>
              </w:rPr>
              <w:t xml:space="preserve">mesi </w:t>
            </w:r>
            <w:r w:rsidR="00AA5C8C" w:rsidRPr="00A23740">
              <w:rPr>
                <w:rFonts w:eastAsia="Times New Roman"/>
                <w:b/>
                <w:color w:val="0000FF"/>
                <w:szCs w:val="24"/>
                <w:lang w:eastAsia="tr-TR"/>
              </w:rPr>
              <w:t>gerektiğini, borçluya</w:t>
            </w:r>
            <w:r w:rsidR="00AA5C8C" w:rsidRPr="00A23740">
              <w:rPr>
                <w:rFonts w:eastAsia="Times New Roman"/>
                <w:szCs w:val="24"/>
                <w:lang w:eastAsia="tr-TR"/>
              </w:rPr>
              <w:t xml:space="preserve"> yapılan ödemenin </w:t>
            </w:r>
            <w:r w:rsidR="00AA5C8C" w:rsidRPr="00A23740">
              <w:rPr>
                <w:rFonts w:eastAsia="Times New Roman"/>
                <w:b/>
                <w:color w:val="0000FF"/>
                <w:szCs w:val="24"/>
                <w:lang w:eastAsia="tr-TR"/>
              </w:rPr>
              <w:t>geçerli</w:t>
            </w:r>
            <w:r w:rsidR="00AA5C8C" w:rsidRPr="00A23740">
              <w:rPr>
                <w:rFonts w:eastAsia="Times New Roman"/>
                <w:szCs w:val="24"/>
                <w:lang w:eastAsia="tr-TR"/>
              </w:rPr>
              <w:t xml:space="preserve"> olmadığını, malı elinde bulunduran üçüncü </w:t>
            </w:r>
            <w:r w:rsidR="00AA5C8C" w:rsidRPr="00A23740">
              <w:rPr>
                <w:rFonts w:eastAsia="Times New Roman"/>
                <w:b/>
                <w:color w:val="0000FF"/>
                <w:szCs w:val="24"/>
                <w:lang w:eastAsia="tr-TR"/>
              </w:rPr>
              <w:t>kişiye</w:t>
            </w:r>
            <w:r w:rsidR="00AA5C8C" w:rsidRPr="00A23740">
              <w:rPr>
                <w:rFonts w:eastAsia="Times New Roman"/>
                <w:szCs w:val="24"/>
                <w:lang w:eastAsia="tr-TR"/>
              </w:rPr>
              <w:t xml:space="preserve"> bundan böyle taşınır malı ancak icra </w:t>
            </w:r>
            <w:r w:rsidR="00AA5C8C" w:rsidRPr="00A23740">
              <w:rPr>
                <w:rStyle w:val="MaviChar"/>
              </w:rPr>
              <w:t>ve iflas</w:t>
            </w:r>
            <w:r w:rsidR="00AA5C8C" w:rsidRPr="00A23740">
              <w:rPr>
                <w:rFonts w:eastAsia="Times New Roman"/>
                <w:szCs w:val="24"/>
                <w:lang w:eastAsia="tr-TR"/>
              </w:rPr>
              <w:t xml:space="preserve"> dairesine teslim edebileceğini, malı takip borçlusuna vermemesini, aksi takdirde malın bedelini icra </w:t>
            </w:r>
            <w:r w:rsidR="00B73523" w:rsidRPr="00B26441">
              <w:rPr>
                <w:rFonts w:eastAsia="Times New Roman"/>
                <w:b/>
                <w:color w:val="0000FF"/>
                <w:szCs w:val="24"/>
                <w:lang w:eastAsia="tr-TR"/>
              </w:rPr>
              <w:t>ve iflas</w:t>
            </w:r>
            <w:r w:rsidR="00B73523" w:rsidRPr="00A23740">
              <w:rPr>
                <w:b/>
                <w:bCs/>
                <w:color w:val="0000FF"/>
                <w:szCs w:val="24"/>
                <w:lang w:val="x-none" w:eastAsia="x-none"/>
              </w:rPr>
              <w:t xml:space="preserve"> </w:t>
            </w:r>
            <w:r w:rsidR="00AA5C8C" w:rsidRPr="00A23740">
              <w:rPr>
                <w:rFonts w:eastAsia="Times New Roman"/>
                <w:szCs w:val="24"/>
                <w:lang w:eastAsia="tr-TR"/>
              </w:rPr>
              <w:t>dairesine ödem</w:t>
            </w:r>
            <w:r w:rsidRPr="00A23740">
              <w:rPr>
                <w:rFonts w:eastAsia="Times New Roman"/>
                <w:szCs w:val="24"/>
                <w:lang w:eastAsia="tr-TR"/>
              </w:rPr>
              <w:t>ek zorunda kalacağını bildirir.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Mavi"/>
            </w:pPr>
            <w:r w:rsidRPr="00A23740">
              <w:t xml:space="preserve">(2) </w:t>
            </w:r>
            <w:r w:rsidRPr="00A23740">
              <w:rPr>
                <w:rFonts w:eastAsia="Times New Roman"/>
                <w:b w:val="0"/>
                <w:bCs w:val="0"/>
                <w:color w:val="auto"/>
                <w:lang w:val="tr-TR" w:eastAsia="tr-TR"/>
              </w:rPr>
              <w:t>Üçüncü</w:t>
            </w:r>
            <w:r w:rsidRPr="00A23740">
              <w:t xml:space="preserve"> kişi, </w:t>
            </w:r>
            <w:r w:rsidRPr="00A23740">
              <w:rPr>
                <w:rFonts w:eastAsia="Times New Roman"/>
                <w:b w:val="0"/>
                <w:bCs w:val="0"/>
                <w:color w:val="auto"/>
                <w:lang w:val="tr-TR" w:eastAsia="tr-TR"/>
              </w:rPr>
              <w:t>haciz ihbarnamesinin kendisine tebliğinden itibaren</w:t>
            </w:r>
            <w:r w:rsidRPr="00A23740">
              <w:t xml:space="preserve"> iki hafta </w:t>
            </w:r>
            <w:r w:rsidRPr="00A23740">
              <w:rPr>
                <w:rFonts w:eastAsia="Times New Roman"/>
                <w:b w:val="0"/>
                <w:bCs w:val="0"/>
                <w:color w:val="auto"/>
                <w:lang w:val="tr-TR" w:eastAsia="tr-TR"/>
              </w:rPr>
              <w:t>içinde</w:t>
            </w:r>
            <w:r w:rsidRPr="00A23740">
              <w:rPr>
                <w:lang w:val="tr-TR"/>
              </w:rPr>
              <w:t xml:space="preserve"> haciz ihbarnamesine</w:t>
            </w:r>
            <w:r w:rsidRPr="00A23740">
              <w:t xml:space="preserve"> icra</w:t>
            </w:r>
            <w:r w:rsidRPr="00A23740">
              <w:rPr>
                <w:lang w:val="tr-TR"/>
              </w:rPr>
              <w:t xml:space="preserve"> </w:t>
            </w:r>
            <w:r w:rsidRPr="00A23740">
              <w:t>ve iflas dairesi</w:t>
            </w:r>
            <w:r w:rsidRPr="00A23740">
              <w:rPr>
                <w:lang w:val="tr-TR"/>
              </w:rPr>
              <w:t xml:space="preserve"> nezdinde</w:t>
            </w:r>
            <w:r w:rsidRPr="00A23740">
              <w:t xml:space="preserve"> itiraz edebilir; haciz ihbarnamesinin kendisine tebliğinden itibaren iki hafta içinde </w:t>
            </w:r>
            <w:r w:rsidR="00276240" w:rsidRPr="00B26441">
              <w:rPr>
                <w:rFonts w:eastAsia="Times New Roman"/>
                <w:bCs w:val="0"/>
                <w:lang w:val="tr-TR" w:eastAsia="tr-TR"/>
              </w:rPr>
              <w:t>itirazda bulunmayan</w:t>
            </w:r>
            <w:r w:rsidR="00276240" w:rsidRPr="00A23740">
              <w:rPr>
                <w:color w:val="385623"/>
              </w:rPr>
              <w:t xml:space="preserve"> </w:t>
            </w:r>
            <w:r w:rsidRPr="00A23740">
              <w:t>üçüncü kişi itiraz etmiş sayılır.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276240" w:rsidRDefault="00276240" w:rsidP="009431FF">
            <w:pPr>
              <w:tabs>
                <w:tab w:val="left" w:pos="567"/>
              </w:tabs>
              <w:rPr>
                <w:rFonts w:eastAsia="Times New Roman"/>
                <w:b/>
                <w:color w:val="0000FF"/>
                <w:szCs w:val="24"/>
                <w:lang w:eastAsia="tr-TR"/>
              </w:rPr>
            </w:pPr>
          </w:p>
          <w:p w:rsidR="00DE1165" w:rsidRDefault="00DE1165" w:rsidP="009431FF">
            <w:pPr>
              <w:tabs>
                <w:tab w:val="left" w:pos="567"/>
              </w:tabs>
              <w:rPr>
                <w:rFonts w:eastAsia="Times New Roman"/>
                <w:b/>
                <w:color w:val="0000FF"/>
                <w:szCs w:val="24"/>
                <w:lang w:eastAsia="tr-TR"/>
              </w:rPr>
            </w:pPr>
          </w:p>
          <w:p w:rsidR="00DE1165" w:rsidRPr="00A23740" w:rsidRDefault="00DE1165" w:rsidP="009431FF">
            <w:pPr>
              <w:tabs>
                <w:tab w:val="left" w:pos="567"/>
              </w:tabs>
              <w:rPr>
                <w:rFonts w:eastAsia="Times New Roman"/>
                <w:b/>
                <w:color w:val="0000FF"/>
                <w:szCs w:val="24"/>
                <w:lang w:eastAsia="tr-TR"/>
              </w:rPr>
            </w:pPr>
          </w:p>
          <w:p w:rsidR="00276240" w:rsidRPr="00B26441" w:rsidRDefault="00276240" w:rsidP="009431FF">
            <w:pPr>
              <w:tabs>
                <w:tab w:val="left" w:pos="567"/>
              </w:tabs>
              <w:rPr>
                <w:rFonts w:eastAsia="Times New Roman"/>
                <w:b/>
                <w:color w:val="0000FF"/>
                <w:szCs w:val="24"/>
                <w:lang w:eastAsia="tr-TR"/>
              </w:rPr>
            </w:pPr>
            <w:r w:rsidRPr="00B26441">
              <w:rPr>
                <w:rFonts w:eastAsia="Times New Roman"/>
                <w:b/>
                <w:color w:val="0000FF"/>
                <w:szCs w:val="24"/>
                <w:lang w:eastAsia="tr-TR"/>
              </w:rPr>
              <w:t>(3) Haciz ihbarnamesinin tebliği üzerine üçüncü kişi tarafından yapılan beyan ve işlemler için üçüncü kişiden hiçbir harç ve gider alınmaz. Gerekli giderler alacaklıdan peşin alınır, aksi takdirde talep yapılmamış sayılır.</w:t>
            </w:r>
          </w:p>
          <w:p w:rsidR="000A2887" w:rsidRPr="00A23740" w:rsidRDefault="000A2887" w:rsidP="009431FF"/>
          <w:p w:rsidR="00AA5C8C" w:rsidRPr="00A23740" w:rsidRDefault="00AA5C8C" w:rsidP="009431FF">
            <w:pPr>
              <w:tabs>
                <w:tab w:val="left" w:pos="567"/>
              </w:tabs>
            </w:pPr>
            <w:r w:rsidRPr="00A23740">
              <w:rPr>
                <w:rFonts w:eastAsia="Times New Roman"/>
                <w:b/>
                <w:color w:val="0000FF"/>
                <w:szCs w:val="24"/>
                <w:lang w:eastAsia="tr-TR"/>
              </w:rPr>
              <w:t>(4)</w:t>
            </w:r>
            <w:r w:rsidRPr="00A23740">
              <w:t xml:space="preserve"> Üçüncü </w:t>
            </w:r>
            <w:r w:rsidRPr="00A23740">
              <w:rPr>
                <w:rFonts w:eastAsia="Times New Roman"/>
                <w:b/>
                <w:color w:val="0000FF"/>
                <w:szCs w:val="24"/>
                <w:lang w:eastAsia="tr-TR"/>
              </w:rPr>
              <w:t>kişinin</w:t>
            </w:r>
            <w:r w:rsidRPr="00A23740">
              <w:t xml:space="preserve"> haciz ihbarnamesi</w:t>
            </w:r>
            <w:r w:rsidRPr="00A23740">
              <w:rPr>
                <w:rStyle w:val="MaviChar"/>
              </w:rPr>
              <w:t>nin gereğini</w:t>
            </w:r>
            <w:r w:rsidRPr="00A23740">
              <w:t xml:space="preserve"> </w:t>
            </w:r>
            <w:r w:rsidRPr="00A23740">
              <w:rPr>
                <w:rFonts w:eastAsia="Times New Roman"/>
                <w:b/>
                <w:color w:val="0000FF"/>
                <w:szCs w:val="24"/>
                <w:lang w:eastAsia="tr-TR"/>
              </w:rPr>
              <w:t>süresi</w:t>
            </w:r>
            <w:r w:rsidRPr="00A23740">
              <w:t xml:space="preserve"> içinde </w:t>
            </w:r>
            <w:r w:rsidRPr="00A23740">
              <w:rPr>
                <w:rStyle w:val="MaviChar"/>
              </w:rPr>
              <w:t xml:space="preserve">yerine getirmemesi üzerine </w:t>
            </w:r>
            <w:r w:rsidRPr="00A23740">
              <w:t>alacaklı</w:t>
            </w:r>
            <w:r w:rsidRPr="00A23740">
              <w:rPr>
                <w:rFonts w:eastAsia="Times New Roman"/>
                <w:b/>
                <w:color w:val="0000FF"/>
                <w:szCs w:val="24"/>
                <w:lang w:eastAsia="tr-TR"/>
              </w:rPr>
              <w:t xml:space="preserve">; mal, hak veya </w:t>
            </w:r>
            <w:r w:rsidRPr="00A23740">
              <w:rPr>
                <w:b/>
                <w:bCs/>
                <w:color w:val="0000FF"/>
                <w:szCs w:val="24"/>
                <w:lang w:val="x-none" w:eastAsia="x-none"/>
              </w:rPr>
              <w:t>alacağın</w:t>
            </w:r>
            <w:r w:rsidRPr="00A23740">
              <w:t xml:space="preserve"> üçüncü </w:t>
            </w:r>
            <w:r w:rsidRPr="00A23740">
              <w:rPr>
                <w:b/>
                <w:bCs/>
                <w:color w:val="0000FF"/>
                <w:szCs w:val="24"/>
                <w:lang w:val="x-none" w:eastAsia="x-none"/>
              </w:rPr>
              <w:t>kişinin</w:t>
            </w:r>
            <w:r w:rsidRPr="00A23740">
              <w:rPr>
                <w:rFonts w:eastAsia="Times New Roman"/>
                <w:b/>
                <w:color w:val="0000FF"/>
                <w:szCs w:val="24"/>
                <w:lang w:eastAsia="tr-TR"/>
              </w:rPr>
              <w:t xml:space="preserve"> yedinde bulunduğunu</w:t>
            </w:r>
            <w:r w:rsidRPr="00A23740">
              <w:t xml:space="preserve"> icra </w:t>
            </w:r>
            <w:r w:rsidRPr="00A23740">
              <w:rPr>
                <w:rFonts w:eastAsia="Times New Roman"/>
                <w:b/>
                <w:color w:val="0000FF"/>
                <w:szCs w:val="24"/>
                <w:lang w:eastAsia="tr-TR"/>
              </w:rPr>
              <w:t xml:space="preserve">hukuk </w:t>
            </w:r>
            <w:r w:rsidRPr="00A23740">
              <w:t xml:space="preserve">mahkemesinde ispat ederek </w:t>
            </w:r>
            <w:r w:rsidRPr="00A23740">
              <w:rPr>
                <w:rFonts w:eastAsia="Times New Roman"/>
                <w:b/>
                <w:color w:val="0000FF"/>
                <w:szCs w:val="24"/>
                <w:lang w:eastAsia="tr-TR"/>
              </w:rPr>
              <w:t xml:space="preserve">alacağın ödenmesine veya malın icra </w:t>
            </w:r>
            <w:r w:rsidRPr="00A23740">
              <w:rPr>
                <w:rStyle w:val="MaviChar"/>
              </w:rPr>
              <w:t>ve iflas</w:t>
            </w:r>
            <w:r w:rsidRPr="00A23740">
              <w:rPr>
                <w:rFonts w:eastAsia="Times New Roman"/>
                <w:b/>
                <w:color w:val="0000FF"/>
                <w:szCs w:val="24"/>
                <w:lang w:eastAsia="tr-TR"/>
              </w:rPr>
              <w:t xml:space="preserve"> dairesine teslimine, malın bulunmaması h</w:t>
            </w:r>
            <w:r w:rsidR="001D7D44" w:rsidRPr="00A23740">
              <w:rPr>
                <w:rFonts w:eastAsia="Times New Roman"/>
                <w:b/>
                <w:color w:val="0000FF"/>
                <w:szCs w:val="24"/>
                <w:lang w:eastAsia="tr-TR"/>
              </w:rPr>
              <w:t>â</w:t>
            </w:r>
            <w:r w:rsidRPr="00A23740">
              <w:rPr>
                <w:rFonts w:eastAsia="Times New Roman"/>
                <w:b/>
                <w:color w:val="0000FF"/>
                <w:szCs w:val="24"/>
                <w:lang w:eastAsia="tr-TR"/>
              </w:rPr>
              <w:t xml:space="preserve">linde alacak miktarı ile sınırlı olmak üzere malın değerinin </w:t>
            </w:r>
            <w:r w:rsidRPr="00A23740">
              <w:rPr>
                <w:b/>
                <w:bCs/>
                <w:color w:val="0000FF"/>
                <w:szCs w:val="24"/>
                <w:lang w:val="x-none" w:eastAsia="x-none"/>
              </w:rPr>
              <w:t xml:space="preserve">ödenmesine karar verilmesini talep edebilir. </w:t>
            </w:r>
            <w:r w:rsidRPr="00A23740">
              <w:t xml:space="preserve">İcra </w:t>
            </w:r>
            <w:r w:rsidRPr="00A23740">
              <w:rPr>
                <w:b/>
                <w:bCs/>
                <w:color w:val="0000FF"/>
                <w:szCs w:val="24"/>
                <w:lang w:val="x-none" w:eastAsia="x-none"/>
              </w:rPr>
              <w:t>hukuk</w:t>
            </w:r>
            <w:r w:rsidRPr="00A23740">
              <w:t xml:space="preserve"> mahkemesi, davayı genel hükümlere göre </w:t>
            </w:r>
            <w:r w:rsidR="00A468CF" w:rsidRPr="00B26441">
              <w:rPr>
                <w:rStyle w:val="Balk1Char"/>
                <w:rFonts w:eastAsia="ヒラギノ明朝 Pro W3"/>
              </w:rPr>
              <w:t>karara bağlar</w:t>
            </w:r>
            <w:r w:rsidRPr="00A23740">
              <w:t>.</w:t>
            </w:r>
          </w:p>
          <w:p w:rsidR="00AA5C8C" w:rsidRPr="00A23740" w:rsidRDefault="00AA5C8C" w:rsidP="009431FF"/>
          <w:p w:rsidR="00AA5C8C" w:rsidRPr="00A23740" w:rsidRDefault="00AA5C8C" w:rsidP="009431FF"/>
          <w:p w:rsidR="000C120D" w:rsidRPr="00A23740" w:rsidRDefault="000C120D" w:rsidP="009431FF"/>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(5)</w:t>
            </w:r>
            <w:r w:rsidRPr="00A23740">
              <w:rPr>
                <w:rFonts w:eastAsia="Times New Roman"/>
                <w:szCs w:val="24"/>
                <w:lang w:eastAsia="tr-TR"/>
              </w:rPr>
              <w:t xml:space="preserve"> Haciz ihbarnamesi, borçlunun </w:t>
            </w:r>
            <w:r w:rsidRPr="00A23740">
              <w:rPr>
                <w:rStyle w:val="MaviChar"/>
              </w:rPr>
              <w:t>mal,</w:t>
            </w:r>
            <w:r w:rsidRPr="00A23740">
              <w:rPr>
                <w:rFonts w:eastAsia="Times New Roman"/>
                <w:szCs w:val="24"/>
                <w:lang w:eastAsia="tr-TR"/>
              </w:rPr>
              <w:t xml:space="preserve"> hak ve alacaklarının bulunabileceği bir tüzel kişinin veya müessesenin şubesine veya tüm şubelerini kapsayacak şekilde merkezine tebliğ edilir. Haciz ihbarnamesinin tebliğ edildiği merkez, tüm şubeleri veya birimlerini kapsayacak şekilde beyanda bulunmakla yükümlüdür.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0A2887" w:rsidRPr="00A23740" w:rsidRDefault="000A2887"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 xml:space="preserve">(6) </w:t>
            </w:r>
            <w:r w:rsidRPr="00A23740">
              <w:rPr>
                <w:rFonts w:eastAsia="Times New Roman"/>
                <w:szCs w:val="24"/>
                <w:lang w:eastAsia="tr-TR"/>
              </w:rPr>
              <w:t xml:space="preserve">Bu madde uyarınca haciz ihbarnamelerinin bildirimi ve bu ihbarnamelere verilecek cevaplar, güvenli elektronik imza kullanılmak suretiyle </w:t>
            </w:r>
            <w:r w:rsidRPr="00A23740">
              <w:rPr>
                <w:rStyle w:val="MaviChar"/>
              </w:rPr>
              <w:t>UYAP</w:t>
            </w:r>
            <w:r w:rsidRPr="00A23740">
              <w:rPr>
                <w:rFonts w:eastAsia="Times New Roman"/>
                <w:szCs w:val="24"/>
                <w:lang w:eastAsia="tr-TR"/>
              </w:rPr>
              <w:t xml:space="preserve"> ve bu sisteme entegre bilişim sistemleri üzerinden de yapılabilir. Bu usulle yapılan bildirim</w:t>
            </w:r>
            <w:r w:rsidR="00C203B4" w:rsidRPr="008B4E7E">
              <w:rPr>
                <w:rStyle w:val="MaviChar"/>
                <w:bCs w:val="0"/>
              </w:rPr>
              <w:t>,</w:t>
            </w:r>
            <w:r w:rsidR="000A2887" w:rsidRPr="008B4E7E">
              <w:rPr>
                <w:rStyle w:val="MaviChar"/>
              </w:rPr>
              <w:t xml:space="preserve"> </w:t>
            </w:r>
            <w:r w:rsidR="000A2887" w:rsidRPr="00A23740">
              <w:rPr>
                <w:rFonts w:eastAsia="Times New Roman"/>
                <w:szCs w:val="24"/>
                <w:lang w:eastAsia="tr-TR"/>
              </w:rPr>
              <w:t>tebliğ yerine geçer.</w:t>
            </w:r>
          </w:p>
        </w:tc>
      </w:tr>
      <w:tr w:rsidR="00B62391" w:rsidRPr="00A23740" w:rsidTr="009431FF">
        <w:tblPrEx>
          <w:tblLook w:val="01E0" w:firstRow="1" w:lastRow="1" w:firstColumn="1" w:lastColumn="1" w:noHBand="0" w:noVBand="0"/>
        </w:tblPrEx>
        <w:tc>
          <w:tcPr>
            <w:tcW w:w="5000" w:type="pct"/>
            <w:gridSpan w:val="2"/>
            <w:shd w:val="clear" w:color="auto" w:fill="DEEAF6"/>
          </w:tcPr>
          <w:p w:rsidR="001451C3" w:rsidRPr="00A23740" w:rsidRDefault="001451C3" w:rsidP="009431FF">
            <w:pPr>
              <w:tabs>
                <w:tab w:val="left" w:pos="567"/>
              </w:tabs>
              <w:ind w:firstLine="709"/>
              <w:rPr>
                <w:b/>
                <w:bCs/>
                <w:color w:val="0000FF"/>
                <w:szCs w:val="24"/>
                <w:lang w:val="x-none" w:eastAsia="x-none"/>
              </w:rPr>
            </w:pPr>
          </w:p>
          <w:p w:rsidR="000F3455" w:rsidRPr="00D60C1D" w:rsidRDefault="001451C3" w:rsidP="009431FF">
            <w:pPr>
              <w:tabs>
                <w:tab w:val="left" w:pos="567"/>
              </w:tabs>
              <w:ind w:firstLine="709"/>
              <w:rPr>
                <w:bCs/>
                <w:color w:val="000000"/>
                <w:szCs w:val="24"/>
                <w:lang w:val="x-none" w:eastAsia="x-none"/>
              </w:rPr>
            </w:pPr>
            <w:r w:rsidRPr="00D60C1D">
              <w:rPr>
                <w:b/>
                <w:bCs/>
                <w:color w:val="000000"/>
                <w:szCs w:val="24"/>
                <w:lang w:val="x-none" w:eastAsia="x-none"/>
              </w:rPr>
              <w:t>MADDE 171</w:t>
            </w:r>
            <w:r w:rsidR="00FE6E22" w:rsidRPr="00D60C1D">
              <w:rPr>
                <w:bCs/>
                <w:color w:val="000000"/>
                <w:szCs w:val="24"/>
                <w:lang w:eastAsia="x-none"/>
              </w:rPr>
              <w:t xml:space="preserve">- </w:t>
            </w:r>
            <w:r w:rsidRPr="00D60C1D">
              <w:rPr>
                <w:bCs/>
                <w:color w:val="000000"/>
                <w:szCs w:val="24"/>
                <w:lang w:val="x-none" w:eastAsia="x-none"/>
              </w:rPr>
              <w:t>2004 sayılı Kanunda, üçüncü kişilerdeki mal ve alacakların haczi hakkında birden fazla usule yer verilmiş olup</w:t>
            </w:r>
            <w:r w:rsidR="00264866" w:rsidRPr="00D60C1D">
              <w:rPr>
                <w:bCs/>
                <w:color w:val="000000"/>
                <w:szCs w:val="24"/>
                <w:lang w:eastAsia="x-none"/>
              </w:rPr>
              <w:t>,</w:t>
            </w:r>
            <w:r w:rsidRPr="00D60C1D">
              <w:rPr>
                <w:bCs/>
                <w:color w:val="000000"/>
                <w:szCs w:val="24"/>
                <w:lang w:val="x-none" w:eastAsia="x-none"/>
              </w:rPr>
              <w:t xml:space="preserve"> bu konuda en geniş uygulama alanı bulan hüküm, 89 uncu maddedir. İsviçre</w:t>
            </w:r>
            <w:r w:rsidR="00FE3637" w:rsidRPr="00D60C1D">
              <w:rPr>
                <w:bCs/>
                <w:color w:val="000000"/>
                <w:szCs w:val="24"/>
                <w:lang w:eastAsia="x-none"/>
              </w:rPr>
              <w:t>’nin</w:t>
            </w:r>
            <w:r w:rsidRPr="00D60C1D">
              <w:rPr>
                <w:bCs/>
                <w:color w:val="000000"/>
                <w:szCs w:val="24"/>
                <w:lang w:val="x-none" w:eastAsia="x-none"/>
              </w:rPr>
              <w:t xml:space="preserve"> </w:t>
            </w:r>
            <w:r w:rsidR="00FE3637" w:rsidRPr="00D60C1D">
              <w:rPr>
                <w:rStyle w:val="Balk1Char"/>
                <w:rFonts w:eastAsia="ヒラギノ明朝 Pro W3"/>
                <w:b w:val="0"/>
                <w:color w:val="000000"/>
              </w:rPr>
              <w:t>Borç İçin Takip ve İflas Hakkında Federal Kanununun</w:t>
            </w:r>
            <w:r w:rsidR="00FE3637" w:rsidRPr="00A23740">
              <w:rPr>
                <w:bCs/>
                <w:color w:val="0000FF"/>
                <w:szCs w:val="24"/>
                <w:lang w:val="x-none" w:eastAsia="x-none"/>
              </w:rPr>
              <w:t xml:space="preserve"> </w:t>
            </w:r>
            <w:r w:rsidRPr="00D60C1D">
              <w:rPr>
                <w:bCs/>
                <w:color w:val="000000"/>
                <w:szCs w:val="24"/>
                <w:lang w:val="x-none" w:eastAsia="x-none"/>
              </w:rPr>
              <w:t>99 uncu maddesinde kısa bir düzenlemeye tabi tutulmuş olan üçüncü kişilerdeki alacaklar</w:t>
            </w:r>
            <w:r w:rsidR="00756CB4" w:rsidRPr="00D60C1D">
              <w:rPr>
                <w:bCs/>
                <w:color w:val="000000"/>
                <w:szCs w:val="24"/>
                <w:lang w:eastAsia="x-none"/>
              </w:rPr>
              <w:t xml:space="preserve"> konusunu</w:t>
            </w:r>
            <w:r w:rsidRPr="00D60C1D">
              <w:rPr>
                <w:bCs/>
                <w:color w:val="000000"/>
                <w:szCs w:val="24"/>
                <w:lang w:val="x-none" w:eastAsia="x-none"/>
              </w:rPr>
              <w:t xml:space="preserve">, bu kişilere bir haciz ihbarnamesi gönderilmesi suretiyle </w:t>
            </w:r>
            <w:r w:rsidR="00756CB4" w:rsidRPr="00D60C1D">
              <w:rPr>
                <w:bCs/>
                <w:color w:val="000000"/>
                <w:szCs w:val="24"/>
                <w:lang w:eastAsia="x-none"/>
              </w:rPr>
              <w:t xml:space="preserve">haczin </w:t>
            </w:r>
            <w:r w:rsidRPr="00D60C1D">
              <w:rPr>
                <w:bCs/>
                <w:color w:val="000000"/>
                <w:szCs w:val="24"/>
                <w:lang w:val="x-none" w:eastAsia="x-none"/>
              </w:rPr>
              <w:t>yapılacağını ifade etmekle yetinen; üçüncü kişinin takip borçlusuna borçlu olmadığı yolundaki muhalefetini ise 2004 sayılı Kanundaki 120 nci maddeye karşılık düşen mehaz Kanun madde 131 hükmünün işletilmesi suretiyle çözümle</w:t>
            </w:r>
            <w:r w:rsidR="00756CB4" w:rsidRPr="00D60C1D">
              <w:rPr>
                <w:bCs/>
                <w:color w:val="000000"/>
                <w:szCs w:val="24"/>
                <w:lang w:eastAsia="x-none"/>
              </w:rPr>
              <w:t>yen</w:t>
            </w:r>
            <w:r w:rsidRPr="00D60C1D">
              <w:rPr>
                <w:bCs/>
                <w:color w:val="000000"/>
                <w:szCs w:val="24"/>
                <w:lang w:val="x-none" w:eastAsia="x-none"/>
              </w:rPr>
              <w:t xml:space="preserve"> düzenleme şekli, Türk hukukunda üst üste yapılan kanun değişiklikleriyle karmaşık bir h</w:t>
            </w:r>
            <w:r w:rsidR="001D7D44" w:rsidRPr="00D60C1D">
              <w:rPr>
                <w:bCs/>
                <w:color w:val="000000"/>
                <w:szCs w:val="24"/>
                <w:lang w:eastAsia="x-none"/>
              </w:rPr>
              <w:t>â</w:t>
            </w:r>
            <w:r w:rsidRPr="00D60C1D">
              <w:rPr>
                <w:bCs/>
                <w:color w:val="000000"/>
                <w:szCs w:val="24"/>
                <w:lang w:val="x-none" w:eastAsia="x-none"/>
              </w:rPr>
              <w:t>le gelmiştir. Taslakta, 2004 sayılı Kanunun 89 uncu maddesinin, 120 nci maddeden bağımsız olarak kendi içinde bütünlük arz eden bir haciz usulü olması özelliği muhafaza edilmiş; ancak bahsi geçen hükme kıyasla son derece basit ve etkili bir düzenleme şekli benimsenmiştir. Buna göre, üçüncü kişiye tek bir haciz ihbarnamesi gönderilecek ve üçüncü kişiden icra</w:t>
            </w:r>
            <w:r w:rsidR="00B73523" w:rsidRPr="00D60C1D">
              <w:rPr>
                <w:color w:val="000000"/>
              </w:rPr>
              <w:t xml:space="preserve"> ve iflas</w:t>
            </w:r>
            <w:r w:rsidRPr="00D60C1D">
              <w:rPr>
                <w:bCs/>
                <w:color w:val="000000"/>
                <w:szCs w:val="24"/>
                <w:lang w:val="x-none" w:eastAsia="x-none"/>
              </w:rPr>
              <w:t xml:space="preserve"> dairesine alacağı ödemesi veya malı teslim etmesi istenecektir. Üçüncü kişi bu ihbarnameye doğrudan doğruya itiraz edebilir. Bununla birlikte, üçüncü kişi ihbarnameye itiraz etmemiş olsa dahi, ihbarnamenin gereğinin yerine getirilmemiş olması h</w:t>
            </w:r>
            <w:r w:rsidR="001D7D44" w:rsidRPr="00D60C1D">
              <w:rPr>
                <w:bCs/>
                <w:color w:val="000000"/>
                <w:szCs w:val="24"/>
                <w:lang w:eastAsia="x-none"/>
              </w:rPr>
              <w:t>â</w:t>
            </w:r>
            <w:r w:rsidRPr="00D60C1D">
              <w:rPr>
                <w:bCs/>
                <w:color w:val="000000"/>
                <w:szCs w:val="24"/>
                <w:lang w:val="x-none" w:eastAsia="x-none"/>
              </w:rPr>
              <w:t>linde, ihbarnameye konu olan borç veya mal, üçüncü kişinin yedinde sayılmayacaktır. İhbarnamenin gereğinin yerine getirilmemesi h</w:t>
            </w:r>
            <w:r w:rsidR="001D7D44" w:rsidRPr="00D60C1D">
              <w:rPr>
                <w:bCs/>
                <w:color w:val="000000"/>
                <w:szCs w:val="24"/>
                <w:lang w:eastAsia="x-none"/>
              </w:rPr>
              <w:t>â</w:t>
            </w:r>
            <w:r w:rsidRPr="00D60C1D">
              <w:rPr>
                <w:bCs/>
                <w:color w:val="000000"/>
                <w:szCs w:val="24"/>
                <w:lang w:val="x-none" w:eastAsia="x-none"/>
              </w:rPr>
              <w:t>linde alacaklı, icra hukuk mahkemesinde üçüncü kişiye karşı dava açıp; mal, hak veya alacağın üçüncü kişinin yedinde bulunduğunu ispat ederek, alacağın ödenmesine veya malın teslimine yahut mal bulunmazsa bedelinin ödenmesine karar verilmesini isteyebilecektir. Maddenin yeni kurgusunda, alacak veya malın üçüncü kişinin yedinde sayılması sonucundan vazgeçildiği için, üçüncü kişinin alacaklıya karşı açması gereken davadan da sarfınazar edilmektedir. Ancak bu durum, üçüncü kişinin genel hükümlere göre menfi tespit davası açabilmesini elbette ki engellemeyecektir.</w:t>
            </w:r>
          </w:p>
          <w:p w:rsidR="001451C3"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Maddenin bu h</w:t>
            </w:r>
            <w:r w:rsidR="001D7D44" w:rsidRPr="00D60C1D">
              <w:rPr>
                <w:bCs/>
                <w:color w:val="000000"/>
                <w:szCs w:val="24"/>
                <w:lang w:eastAsia="x-none"/>
              </w:rPr>
              <w:t>â</w:t>
            </w:r>
            <w:r w:rsidRPr="00D60C1D">
              <w:rPr>
                <w:bCs/>
                <w:color w:val="000000"/>
                <w:szCs w:val="24"/>
                <w:lang w:val="x-none" w:eastAsia="x-none"/>
              </w:rPr>
              <w:t>le getirilmesiyle birlikte; Taslağın, banka hesaplarındaki alacakların doğrudan haczine imkân veren 156</w:t>
            </w:r>
            <w:r w:rsidR="00DE1165">
              <w:rPr>
                <w:bCs/>
                <w:color w:val="000000"/>
                <w:szCs w:val="24"/>
                <w:lang w:eastAsia="x-none"/>
              </w:rPr>
              <w:t xml:space="preserve"> ncı maddenin ikinci fıkrası</w:t>
            </w:r>
            <w:r w:rsidR="00F03785" w:rsidRPr="00A23740">
              <w:rPr>
                <w:bCs/>
                <w:color w:val="0000FF"/>
                <w:szCs w:val="24"/>
                <w:lang w:eastAsia="x-none"/>
              </w:rPr>
              <w:t xml:space="preserve"> </w:t>
            </w:r>
            <w:r w:rsidRPr="00D60C1D">
              <w:rPr>
                <w:bCs/>
                <w:color w:val="000000"/>
                <w:szCs w:val="24"/>
                <w:lang w:val="x-none" w:eastAsia="x-none"/>
              </w:rPr>
              <w:t xml:space="preserve">hükmü dikkate alındığında, tatbikatta bankalardan olan para alacaklarının haczi için söz konusu </w:t>
            </w:r>
            <w:r w:rsidR="00264866" w:rsidRPr="00D60C1D">
              <w:rPr>
                <w:bCs/>
                <w:color w:val="000000"/>
                <w:szCs w:val="24"/>
                <w:lang w:eastAsia="x-none"/>
              </w:rPr>
              <w:t xml:space="preserve">olan </w:t>
            </w:r>
            <w:r w:rsidRPr="00D60C1D">
              <w:rPr>
                <w:bCs/>
                <w:color w:val="000000"/>
                <w:szCs w:val="24"/>
                <w:lang w:val="x-none" w:eastAsia="x-none"/>
              </w:rPr>
              <w:t>doğrudan haciz yolunun tercih edileceği; haciz ihbarnamesi yoluyla alacak haczinin ise sürekli ticari ilişki içinde bulunan kişiler arasındaki; örneğin eser sözleşmelerindeki hakediş alacakları gibi alacakların haczi için uygulama alanı bulacağı değerlendirilmektedir. Maddenin yazım çalışmalarında ayrıca, takip borçlusunun üçüncü kişilerden olan ihtilaflı alacakları bakımından 2004 sayılı Kanunun 120 nci maddesine tekabül eden</w:t>
            </w:r>
            <w:r w:rsidRPr="00A23740">
              <w:rPr>
                <w:bCs/>
                <w:color w:val="0000FF"/>
                <w:szCs w:val="24"/>
                <w:lang w:val="x-none" w:eastAsia="x-none"/>
              </w:rPr>
              <w:t xml:space="preserve"> </w:t>
            </w:r>
            <w:r w:rsidR="005F59C8" w:rsidRPr="00D60C1D">
              <w:rPr>
                <w:rStyle w:val="KonuBalChar"/>
                <w:rFonts w:eastAsia="Calibri"/>
                <w:b w:val="0"/>
                <w:color w:val="000000"/>
              </w:rPr>
              <w:t>207 ve 208 inci</w:t>
            </w:r>
            <w:r w:rsidRPr="00D60C1D">
              <w:rPr>
                <w:bCs/>
                <w:color w:val="000000"/>
                <w:szCs w:val="24"/>
                <w:lang w:val="x-none" w:eastAsia="x-none"/>
              </w:rPr>
              <w:t xml:space="preserve"> </w:t>
            </w:r>
            <w:r w:rsidR="00FE3637" w:rsidRPr="00D60C1D">
              <w:rPr>
                <w:bCs/>
                <w:color w:val="000000"/>
                <w:szCs w:val="24"/>
                <w:lang w:val="x-none" w:eastAsia="x-none"/>
              </w:rPr>
              <w:t>maddelerin</w:t>
            </w:r>
            <w:r w:rsidRPr="00D60C1D">
              <w:rPr>
                <w:bCs/>
                <w:color w:val="000000"/>
                <w:szCs w:val="24"/>
                <w:lang w:val="x-none" w:eastAsia="x-none"/>
              </w:rPr>
              <w:t xml:space="preserve"> uygulama alanı bulmaya devam </w:t>
            </w:r>
            <w:r w:rsidR="00264866" w:rsidRPr="00D60C1D">
              <w:rPr>
                <w:bCs/>
                <w:color w:val="000000"/>
                <w:szCs w:val="24"/>
                <w:lang w:eastAsia="x-none"/>
              </w:rPr>
              <w:t xml:space="preserve">etmesi </w:t>
            </w:r>
            <w:r w:rsidRPr="00D60C1D">
              <w:rPr>
                <w:bCs/>
                <w:color w:val="000000"/>
                <w:szCs w:val="24"/>
                <w:lang w:val="x-none" w:eastAsia="x-none"/>
              </w:rPr>
              <w:t>öngörülmüştür. Borçlunun maaş ve ücret hacizleri ise Taslağın 163 üncü</w:t>
            </w:r>
            <w:r w:rsidR="005F59C8" w:rsidRPr="00A23740">
              <w:rPr>
                <w:bCs/>
                <w:color w:val="0000FF"/>
                <w:szCs w:val="24"/>
                <w:lang w:eastAsia="x-none"/>
              </w:rPr>
              <w:t xml:space="preserve"> </w:t>
            </w:r>
            <w:r w:rsidRPr="00D60C1D">
              <w:rPr>
                <w:bCs/>
                <w:color w:val="000000"/>
                <w:szCs w:val="24"/>
                <w:lang w:val="x-none" w:eastAsia="x-none"/>
              </w:rPr>
              <w:t>maddesine göre gerçekleştirilecektir. Taslakta bunlara ek olarak, müstakbel alacakların haczi ve icra takibine konu alacakların  haczi hususları da 172 ve 173 üncü maddelerle düzenlenmektedir. Bahsi geçen tüm bu hükümlerle, borçlunun üçüncü kişilerdeki mal ve alacakların</w:t>
            </w:r>
            <w:r w:rsidR="00FE3637" w:rsidRPr="00D60C1D">
              <w:rPr>
                <w:bCs/>
                <w:color w:val="000000"/>
                <w:szCs w:val="24"/>
                <w:lang w:eastAsia="x-none"/>
              </w:rPr>
              <w:t>ın</w:t>
            </w:r>
            <w:r w:rsidRPr="00D60C1D">
              <w:rPr>
                <w:bCs/>
                <w:color w:val="000000"/>
                <w:szCs w:val="24"/>
                <w:lang w:val="x-none" w:eastAsia="x-none"/>
              </w:rPr>
              <w:t xml:space="preserve"> haczi hususu, daha öngörülebilir ve etkin bir h</w:t>
            </w:r>
            <w:r w:rsidR="001D7D44" w:rsidRPr="00D60C1D">
              <w:rPr>
                <w:bCs/>
                <w:color w:val="000000"/>
                <w:szCs w:val="24"/>
                <w:lang w:eastAsia="x-none"/>
              </w:rPr>
              <w:t>â</w:t>
            </w:r>
            <w:r w:rsidRPr="00D60C1D">
              <w:rPr>
                <w:bCs/>
                <w:color w:val="000000"/>
                <w:szCs w:val="24"/>
                <w:lang w:val="x-none" w:eastAsia="x-none"/>
              </w:rPr>
              <w:t xml:space="preserve">le getirilmektedir. </w:t>
            </w:r>
          </w:p>
          <w:p w:rsidR="001451C3"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Maddenin birinci fıkrasıyla, borçlunun üçüncü kişideki mal, hak ve alacaklarının haciz ihbarnamesi gönderilmesi suretiyle haczedileceği; bu ihbarnamede, üçüncü kişinin takip borçlusuna ait alacağı bundan böyle icra</w:t>
            </w:r>
            <w:r w:rsidR="00B73523" w:rsidRPr="00D60C1D">
              <w:rPr>
                <w:color w:val="000000"/>
              </w:rPr>
              <w:t xml:space="preserve"> ve iflas</w:t>
            </w:r>
            <w:r w:rsidRPr="00D60C1D">
              <w:rPr>
                <w:bCs/>
                <w:color w:val="000000"/>
                <w:szCs w:val="24"/>
                <w:lang w:val="x-none" w:eastAsia="x-none"/>
              </w:rPr>
              <w:t xml:space="preserve"> dairesine ödemesi; malı elinde bulunduran üçüncü kişinin taşınır malı bundan böyle ancak icra ve iflas dairesine teslim edebileceği ihtar edilmektedir. Fıkrada bir yenilik olarak, iki haftalık süre öngörülmüştür. İhbarnamede ayrıca, 2004 sayılı Kanunda olduğu gibi, borcun doğrudan borçluya ödenmesi h</w:t>
            </w:r>
            <w:r w:rsidR="001D7D44" w:rsidRPr="00D60C1D">
              <w:rPr>
                <w:bCs/>
                <w:color w:val="000000"/>
                <w:szCs w:val="24"/>
                <w:lang w:eastAsia="x-none"/>
              </w:rPr>
              <w:t>â</w:t>
            </w:r>
            <w:r w:rsidRPr="00D60C1D">
              <w:rPr>
                <w:bCs/>
                <w:color w:val="000000"/>
                <w:szCs w:val="24"/>
                <w:lang w:val="x-none" w:eastAsia="x-none"/>
              </w:rPr>
              <w:t>linde ödemenin geçersiz olacağı; malın borçluya teslim edilmesi h</w:t>
            </w:r>
            <w:r w:rsidR="001D7D44" w:rsidRPr="00D60C1D">
              <w:rPr>
                <w:bCs/>
                <w:color w:val="000000"/>
                <w:szCs w:val="24"/>
                <w:lang w:eastAsia="x-none"/>
              </w:rPr>
              <w:t>â</w:t>
            </w:r>
            <w:r w:rsidRPr="00D60C1D">
              <w:rPr>
                <w:bCs/>
                <w:color w:val="000000"/>
                <w:szCs w:val="24"/>
                <w:lang w:val="x-none" w:eastAsia="x-none"/>
              </w:rPr>
              <w:t xml:space="preserve">linde ise malın bedelini ödemek zorunda kalınacağı ihtarlarına da yer verilir.  </w:t>
            </w:r>
          </w:p>
          <w:p w:rsidR="001451C3"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Maddenin ikinci fıkrası çok önemli bir yenilik içermektedir. Fıkraya göre, 2004 sayılı Kanundaki düzenlemenin aksine, kendisine verilen süre içinde icra</w:t>
            </w:r>
            <w:r w:rsidR="00B73523" w:rsidRPr="00D60C1D">
              <w:rPr>
                <w:color w:val="000000"/>
              </w:rPr>
              <w:t xml:space="preserve"> ve iflas</w:t>
            </w:r>
            <w:r w:rsidRPr="00D60C1D">
              <w:rPr>
                <w:bCs/>
                <w:color w:val="000000"/>
                <w:szCs w:val="24"/>
                <w:lang w:val="x-none" w:eastAsia="x-none"/>
              </w:rPr>
              <w:t xml:space="preserve"> dairesine borcu ödemeyen veya malı teslim etmeyen üçüncü kişi, ihbarnameye itiraz etmiş sayılır. Bu sonuç, kendiliğinden ve Kanundan doğan bir sonuç olacaktır. Böylece, kendisine gönderilen haciz ihbarnamelerine herhangi bir sebeple itiraz etmeyen, takip dışı üçüncü kişilerin, sessiz kalmasına bağlanan “yedinde sayılma” sonucundan vazgeçilmiş ve bu konuda harekete geçme ödevi her h</w:t>
            </w:r>
            <w:r w:rsidR="001D7D44" w:rsidRPr="00D60C1D">
              <w:rPr>
                <w:bCs/>
                <w:color w:val="000000"/>
                <w:szCs w:val="24"/>
                <w:lang w:eastAsia="x-none"/>
              </w:rPr>
              <w:t>â</w:t>
            </w:r>
            <w:r w:rsidRPr="00D60C1D">
              <w:rPr>
                <w:bCs/>
                <w:color w:val="000000"/>
                <w:szCs w:val="24"/>
                <w:lang w:val="x-none" w:eastAsia="x-none"/>
              </w:rPr>
              <w:t xml:space="preserve">lükarda alacaklıya verilmiş olmaktadır. </w:t>
            </w:r>
          </w:p>
          <w:p w:rsidR="000F3455"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 xml:space="preserve">Üçüncü fıkra, 2004 sayılı Kanunun 89 uncu maddesinin beşinci fıkrasına kısmen karşılık gelmektedir. Taslakta üçüncü kişi tarafından yapılan beyanların herhangi bir harca </w:t>
            </w:r>
            <w:r w:rsidR="000F3455" w:rsidRPr="00D60C1D">
              <w:rPr>
                <w:rStyle w:val="YELChar"/>
                <w:b w:val="0"/>
                <w:color w:val="000000"/>
              </w:rPr>
              <w:t>ve gidere</w:t>
            </w:r>
            <w:r w:rsidR="000F3455" w:rsidRPr="00D60C1D">
              <w:rPr>
                <w:bCs/>
                <w:color w:val="000000"/>
                <w:szCs w:val="24"/>
                <w:lang w:eastAsia="x-none"/>
              </w:rPr>
              <w:t xml:space="preserve"> </w:t>
            </w:r>
            <w:r w:rsidRPr="00D60C1D">
              <w:rPr>
                <w:bCs/>
                <w:color w:val="000000"/>
                <w:szCs w:val="24"/>
                <w:lang w:val="x-none" w:eastAsia="x-none"/>
              </w:rPr>
              <w:t>tabi olmadığı düzenlenmekte; fakat buna ek olarak, üçüncü kişilerin gereksiz yere gider yapmalarını önlemek için, ihbarname ile ilgili tüm giderlerin alacaklıdan peşin alınacağı hususu da fıkraya eklenmektedir. Alacaklının bu giderleri peşin olarak yatırmaması h</w:t>
            </w:r>
            <w:r w:rsidR="001D7D44" w:rsidRPr="00D60C1D">
              <w:rPr>
                <w:bCs/>
                <w:color w:val="000000"/>
                <w:szCs w:val="24"/>
                <w:lang w:eastAsia="x-none"/>
              </w:rPr>
              <w:t>â</w:t>
            </w:r>
            <w:r w:rsidRPr="00D60C1D">
              <w:rPr>
                <w:bCs/>
                <w:color w:val="000000"/>
                <w:szCs w:val="24"/>
                <w:lang w:val="x-none" w:eastAsia="x-none"/>
              </w:rPr>
              <w:t>linde, alacaklıya herhangi bir süre verilmesi söz konusu olmaz; zira fıkraya göre, bu giderlerin yatırılmaması h</w:t>
            </w:r>
            <w:r w:rsidR="001D7D44" w:rsidRPr="00D60C1D">
              <w:rPr>
                <w:bCs/>
                <w:color w:val="000000"/>
                <w:szCs w:val="24"/>
                <w:lang w:eastAsia="x-none"/>
              </w:rPr>
              <w:t>â</w:t>
            </w:r>
            <w:r w:rsidRPr="00D60C1D">
              <w:rPr>
                <w:bCs/>
                <w:color w:val="000000"/>
                <w:szCs w:val="24"/>
                <w:lang w:val="x-none" w:eastAsia="x-none"/>
              </w:rPr>
              <w:t xml:space="preserve">linde, ihbarname gönderilmesi talebi yapılmamış sayılacaktır. </w:t>
            </w:r>
          </w:p>
          <w:p w:rsidR="001451C3" w:rsidRPr="00A23740" w:rsidRDefault="001451C3" w:rsidP="009431FF">
            <w:pPr>
              <w:tabs>
                <w:tab w:val="left" w:pos="567"/>
              </w:tabs>
              <w:ind w:firstLine="709"/>
              <w:rPr>
                <w:bCs/>
                <w:color w:val="0000FF"/>
                <w:szCs w:val="24"/>
                <w:lang w:val="x-none" w:eastAsia="x-none"/>
              </w:rPr>
            </w:pPr>
            <w:r w:rsidRPr="00D60C1D">
              <w:rPr>
                <w:bCs/>
                <w:color w:val="000000"/>
                <w:szCs w:val="24"/>
                <w:lang w:val="x-none" w:eastAsia="x-none"/>
              </w:rPr>
              <w:t>Dördüncü fıkra, üçüncü kişinin haciz ihbarnamesinin gereğini süresi içinde yerine getirmemesi hâlinde, alacaklının üçüncü kişiye karşı icra hukuk mahkemesinde dava açarak, alacağın ödenmesine veya malın icra ve iflas dairesine teslimine yahut malın bulunmaması h</w:t>
            </w:r>
            <w:r w:rsidR="001D7D44" w:rsidRPr="00D60C1D">
              <w:rPr>
                <w:bCs/>
                <w:color w:val="000000"/>
                <w:szCs w:val="24"/>
                <w:lang w:eastAsia="x-none"/>
              </w:rPr>
              <w:t>â</w:t>
            </w:r>
            <w:r w:rsidRPr="00D60C1D">
              <w:rPr>
                <w:bCs/>
                <w:color w:val="000000"/>
                <w:szCs w:val="24"/>
                <w:lang w:val="x-none" w:eastAsia="x-none"/>
              </w:rPr>
              <w:t>linde alacak miktarı</w:t>
            </w:r>
            <w:r w:rsidR="00756CB4" w:rsidRPr="00D60C1D">
              <w:rPr>
                <w:bCs/>
                <w:color w:val="000000"/>
                <w:szCs w:val="24"/>
                <w:lang w:eastAsia="x-none"/>
              </w:rPr>
              <w:t>yla</w:t>
            </w:r>
            <w:r w:rsidRPr="00D60C1D">
              <w:rPr>
                <w:bCs/>
                <w:color w:val="000000"/>
                <w:szCs w:val="24"/>
                <w:lang w:val="x-none" w:eastAsia="x-none"/>
              </w:rPr>
              <w:t xml:space="preserve"> sınırlı olmak üzere malın değerinin ödenmesine karar verilmesini talep edebileceği düzenlenmektedir. Bu hüküm, 2004 sayılı Kanunun 89 uncu maddesinin altıncı fıkrasına denk gelmekle birlikte; bu iki hüküm arasında önemli bazı farklılıklar bulunmaktadır. Öncelikle belirtmek gerekir ki, maddenin yeni kurgusu gereğince, kendisine ihbarname gönderilen üçüncü kişinin, süresi içinde ihbarnamenin gereğini yerine getirmemiş olması da itiraz etme sonucunu doğurduğundan, alacaklı tarafından, her h</w:t>
            </w:r>
            <w:r w:rsidR="001D7D44" w:rsidRPr="00D60C1D">
              <w:rPr>
                <w:bCs/>
                <w:color w:val="000000"/>
                <w:szCs w:val="24"/>
                <w:lang w:eastAsia="x-none"/>
              </w:rPr>
              <w:t>â</w:t>
            </w:r>
            <w:r w:rsidRPr="00D60C1D">
              <w:rPr>
                <w:bCs/>
                <w:color w:val="000000"/>
                <w:szCs w:val="24"/>
                <w:lang w:val="x-none" w:eastAsia="x-none"/>
              </w:rPr>
              <w:t>lükarda bu fıkraya göre bir dava açılması gerekecektir. Fıkrada ayrıca, davanın tazminat talebi yerine, maddenin genel mantığına daha uygun olacak şekilde, alacağın ödenmesi talebi</w:t>
            </w:r>
            <w:r w:rsidR="00756CB4" w:rsidRPr="00D60C1D">
              <w:rPr>
                <w:bCs/>
                <w:color w:val="000000"/>
                <w:szCs w:val="24"/>
                <w:lang w:eastAsia="x-none"/>
              </w:rPr>
              <w:t>yle</w:t>
            </w:r>
            <w:r w:rsidRPr="00D60C1D">
              <w:rPr>
                <w:bCs/>
                <w:color w:val="000000"/>
                <w:szCs w:val="24"/>
                <w:lang w:val="x-none" w:eastAsia="x-none"/>
              </w:rPr>
              <w:t xml:space="preserve"> açılacağı düzenlenmektedir. Bu davada ispat yükü, yine davacı alacaklıda olacak ve dava genel hükümlere göre karara bağlanacaktır. Bu dava, 2004 sayılı Kanunda olduğu gibi, herhangi bir hak düşürücü süreye tabi kılınmamıştır.</w:t>
            </w:r>
          </w:p>
          <w:p w:rsidR="001451C3"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Haciz ihbarnamelerinin tüzel kişilere tebliğini düzenleyen beşinci fıkra, 2004 sayılı Kanunun 89 uncu maddesinin sekizinci fıkrasını karşılamaktadır ve esasa ilişkin bir değişiklik bulunmamaktadır.</w:t>
            </w:r>
          </w:p>
          <w:p w:rsidR="008B2C40" w:rsidRPr="00A23740" w:rsidRDefault="001451C3" w:rsidP="009431FF">
            <w:pPr>
              <w:tabs>
                <w:tab w:val="left" w:pos="567"/>
              </w:tabs>
              <w:ind w:firstLine="709"/>
              <w:rPr>
                <w:bCs/>
                <w:color w:val="0000FF"/>
                <w:szCs w:val="24"/>
                <w:lang w:val="x-none" w:eastAsia="x-none"/>
              </w:rPr>
            </w:pPr>
            <w:r w:rsidRPr="00D60C1D">
              <w:rPr>
                <w:bCs/>
                <w:color w:val="000000"/>
                <w:szCs w:val="24"/>
                <w:lang w:val="x-none" w:eastAsia="x-none"/>
              </w:rPr>
              <w:t>Elektronik yolla yapılacak bildirimleri düzenleyen altıncı fıkra, 2004 sayılı Kanunun 89 uncu maddesinin onuncu fıkrasını karşılamaktadır ve esasa ilişkin bir değişiklik bulunmamaktadır.</w:t>
            </w:r>
          </w:p>
          <w:p w:rsidR="00B62391" w:rsidRPr="00A23740" w:rsidRDefault="00B62391" w:rsidP="008B4E7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Müstakbel alacakların haczi</w:t>
            </w:r>
          </w:p>
          <w:p w:rsidR="00AA5C8C" w:rsidRPr="00B26441" w:rsidRDefault="005919EB" w:rsidP="009431FF">
            <w:pPr>
              <w:tabs>
                <w:tab w:val="left" w:pos="567"/>
              </w:tabs>
              <w:rPr>
                <w:rStyle w:val="Balk1Char"/>
                <w:rFonts w:eastAsia="Calibri"/>
              </w:rPr>
            </w:pPr>
            <w:r w:rsidRPr="00A23740">
              <w:rPr>
                <w:rFonts w:eastAsia="Times New Roman"/>
                <w:b/>
                <w:color w:val="0000FF"/>
                <w:szCs w:val="24"/>
                <w:lang w:eastAsia="tr-TR"/>
              </w:rPr>
              <w:t>MADDE 172</w:t>
            </w:r>
            <w:r w:rsidR="00AA5C8C" w:rsidRPr="00A23740">
              <w:rPr>
                <w:rFonts w:eastAsia="Times New Roman"/>
                <w:b/>
                <w:color w:val="0000FF"/>
                <w:szCs w:val="24"/>
                <w:lang w:eastAsia="tr-TR"/>
              </w:rPr>
              <w:t xml:space="preserve">- (1) </w:t>
            </w:r>
            <w:r w:rsidR="00C203B4" w:rsidRPr="00B26441">
              <w:rPr>
                <w:rStyle w:val="Balk1Char"/>
                <w:rFonts w:eastAsia="Calibri"/>
              </w:rPr>
              <w:t>Borçlu ile üçüncü kişi arasında haciz ihbarnamesinin tebliği tarihinde mevcut olan hukuki ilişkiden kaynaklanan müstakbel alacaklar da borçlunun borcu için haczedilebilir.</w:t>
            </w:r>
            <w:r w:rsidR="00AA5C8C" w:rsidRPr="00A23740">
              <w:rPr>
                <w:rStyle w:val="MaviChar"/>
              </w:rPr>
              <w:t xml:space="preserve"> Müstakbel alacakların haczi h</w:t>
            </w:r>
            <w:r w:rsidR="001D7D44" w:rsidRPr="00A23740">
              <w:rPr>
                <w:rStyle w:val="MaviChar"/>
                <w:lang w:val="tr-TR"/>
              </w:rPr>
              <w:t>â</w:t>
            </w:r>
            <w:r w:rsidR="00AA5C8C" w:rsidRPr="00A23740">
              <w:rPr>
                <w:rStyle w:val="MaviChar"/>
              </w:rPr>
              <w:t xml:space="preserve">linde </w:t>
            </w:r>
            <w:r w:rsidR="00AA5C8C" w:rsidRPr="00A23740">
              <w:rPr>
                <w:rFonts w:eastAsia="Times New Roman"/>
                <w:b/>
                <w:color w:val="0000FF"/>
                <w:szCs w:val="24"/>
                <w:lang w:eastAsia="tr-TR"/>
              </w:rPr>
              <w:t xml:space="preserve">üçüncü kişiye gönderilen haciz ihbarnamesinde; takip borçlusuna ait müstakbel alacak doğduktan </w:t>
            </w:r>
            <w:r w:rsidR="00AA5C8C" w:rsidRPr="00B26441">
              <w:rPr>
                <w:rStyle w:val="Balk1Char"/>
                <w:rFonts w:eastAsia="Calibri"/>
              </w:rPr>
              <w:t xml:space="preserve">sonra </w:t>
            </w:r>
            <w:r w:rsidR="00C203B4" w:rsidRPr="00B26441">
              <w:rPr>
                <w:rStyle w:val="Balk1Char"/>
                <w:rFonts w:eastAsia="Calibri"/>
              </w:rPr>
              <w:t xml:space="preserve">bu alacağı </w:t>
            </w:r>
            <w:r w:rsidR="00AA5C8C" w:rsidRPr="00B26441">
              <w:rPr>
                <w:rStyle w:val="Balk1Char"/>
                <w:rFonts w:eastAsia="Calibri"/>
              </w:rPr>
              <w:t xml:space="preserve">iki hafta içinde icra ve iflas dairesine ödemesi gerektiği, borçluya yapılan ödemenin geçerli olmadığı, aksi takdirde alacağı icra ve iflas dairesine </w:t>
            </w:r>
            <w:r w:rsidR="00C203B4" w:rsidRPr="00B26441">
              <w:rPr>
                <w:rStyle w:val="Balk1Char"/>
                <w:rFonts w:eastAsia="Calibri"/>
              </w:rPr>
              <w:t xml:space="preserve">tekrar </w:t>
            </w:r>
            <w:r w:rsidR="00AA5C8C" w:rsidRPr="00B26441">
              <w:rPr>
                <w:rStyle w:val="Balk1Char"/>
                <w:rFonts w:eastAsia="Calibri"/>
              </w:rPr>
              <w:t>ödemek zorunda kalacağı bildirilir.</w:t>
            </w:r>
          </w:p>
          <w:p w:rsidR="00AA5C8C" w:rsidRPr="00A23740" w:rsidRDefault="00AA5C8C" w:rsidP="009431FF">
            <w:pPr>
              <w:tabs>
                <w:tab w:val="left" w:pos="567"/>
              </w:tabs>
              <w:rPr>
                <w:rFonts w:eastAsia="Times New Roman"/>
                <w:b/>
                <w:color w:val="385623"/>
                <w:szCs w:val="24"/>
                <w:lang w:eastAsia="tr-TR"/>
              </w:rPr>
            </w:pPr>
          </w:p>
          <w:p w:rsidR="00AA5C8C" w:rsidRPr="00A23740" w:rsidRDefault="00AA5C8C" w:rsidP="009431FF">
            <w:pPr>
              <w:pStyle w:val="Mavi"/>
            </w:pPr>
            <w:r w:rsidRPr="00A23740">
              <w:t>(2) Üçüncü kişi, haciz ihbarnamesinin tebliğinden itibaren iki hafta içinde bu ihbarnameye</w:t>
            </w:r>
            <w:r w:rsidRPr="00A23740">
              <w:rPr>
                <w:lang w:val="tr-TR"/>
              </w:rPr>
              <w:t xml:space="preserve"> </w:t>
            </w:r>
            <w:r w:rsidRPr="00A23740">
              <w:t>karşı icra ve iflas</w:t>
            </w:r>
            <w:r w:rsidRPr="00A23740">
              <w:rPr>
                <w:lang w:val="tr-TR"/>
              </w:rPr>
              <w:t xml:space="preserve"> </w:t>
            </w:r>
            <w:r w:rsidRPr="00A23740">
              <w:t>dairesi nezdinde</w:t>
            </w:r>
            <w:r w:rsidRPr="00A23740">
              <w:rPr>
                <w:lang w:val="tr-TR"/>
              </w:rPr>
              <w:t xml:space="preserve"> </w:t>
            </w:r>
            <w:r w:rsidRPr="00A23740">
              <w:t xml:space="preserve">itiraz edebilir. </w:t>
            </w:r>
            <w:r w:rsidRPr="00A23740">
              <w:rPr>
                <w:lang w:val="tr-TR"/>
              </w:rPr>
              <w:t>H</w:t>
            </w:r>
            <w:r w:rsidRPr="00A23740">
              <w:t>aciz ihbarnamesinin kendisine tebliğinden itibaren iki hafta içinde cevap vermeyen üçüncü kişi, ihbarnameye</w:t>
            </w:r>
            <w:r w:rsidRPr="00A23740">
              <w:rPr>
                <w:lang w:val="tr-TR"/>
              </w:rPr>
              <w:t xml:space="preserve"> </w:t>
            </w:r>
            <w:r w:rsidRPr="00A23740">
              <w:t>itiraz etmiş sayılır.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b/>
                <w:bCs/>
                <w:strike/>
                <w:color w:val="FF0000"/>
                <w:szCs w:val="24"/>
                <w:lang w:val="x-none" w:eastAsia="x-none"/>
              </w:rPr>
            </w:pPr>
            <w:r w:rsidRPr="00A23740">
              <w:rPr>
                <w:rStyle w:val="MaviChar"/>
              </w:rPr>
              <w:t>(3) Üçüncü kişi, haciz ihbarnamesinin kendisine tebliğinden itibaren iki hafta içinde itiraz ederse veya beyanda bulunmadığı için itiraz etmiş sayılırsa, alacaklının icra hukuk mahkemesinde dava açma hakkı saklıdır. Alacaklı bu davada hukuki ilişkinin bulunduğunun tespitine ve bu ilişkiden doğabilecek alacakların birinci fıkra gereğince icra</w:t>
            </w:r>
            <w:r w:rsidRPr="00A23740">
              <w:rPr>
                <w:rStyle w:val="MaviChar"/>
                <w:lang w:val="tr-TR"/>
              </w:rPr>
              <w:t xml:space="preserve"> </w:t>
            </w:r>
            <w:r w:rsidRPr="00A23740">
              <w:rPr>
                <w:rStyle w:val="MaviChar"/>
              </w:rPr>
              <w:t>ve iflas dairesine ödenmesine karar verilmesini talep eder.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Style w:val="MaviChar"/>
              </w:rPr>
              <w:t>(4)</w:t>
            </w:r>
            <w:r w:rsidRPr="00A23740">
              <w:rPr>
                <w:rFonts w:eastAsia="Times New Roman"/>
                <w:b/>
                <w:color w:val="0000FF"/>
                <w:szCs w:val="24"/>
                <w:lang w:eastAsia="tr-TR"/>
              </w:rPr>
              <w:t xml:space="preserve"> Üçüncü kişi, borçlu ile arasında hukuki ilişki bulunduğunu ve alacak doğduğunda icra </w:t>
            </w:r>
            <w:r w:rsidRPr="00A23740">
              <w:rPr>
                <w:rStyle w:val="MaviChar"/>
              </w:rPr>
              <w:t>ve iflas</w:t>
            </w:r>
            <w:r w:rsidRPr="00A23740">
              <w:rPr>
                <w:rFonts w:eastAsia="Times New Roman"/>
                <w:b/>
                <w:color w:val="0000FF"/>
                <w:szCs w:val="24"/>
                <w:lang w:eastAsia="tr-TR"/>
              </w:rPr>
              <w:t xml:space="preserve"> dairesine ödeme yapacağını bildirmişse, bildirimin yapıldığı tarihten itibaren bir yıl süreyle, alacaklının yeniden bir talepte bulunması gerekmeksizin alacağın doğduğunu icra </w:t>
            </w:r>
            <w:r w:rsidRPr="00A23740">
              <w:rPr>
                <w:rStyle w:val="MaviChar"/>
              </w:rPr>
              <w:t>ve iflas</w:t>
            </w:r>
            <w:r w:rsidRPr="00A23740">
              <w:rPr>
                <w:rFonts w:eastAsia="Times New Roman"/>
                <w:b/>
                <w:color w:val="0000FF"/>
                <w:szCs w:val="24"/>
                <w:lang w:eastAsia="tr-TR"/>
              </w:rPr>
              <w:t xml:space="preserve"> dairesine bildirerek alacağın doğumundan itibaren iki hafta içinde ödeme yapmak zorundadır.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pStyle w:val="Mavi"/>
            </w:pPr>
            <w:r w:rsidRPr="00A23740">
              <w:t>(5)</w:t>
            </w:r>
            <w:r w:rsidR="0079749F" w:rsidRPr="00A23740">
              <w:rPr>
                <w:lang w:val="tr-TR"/>
              </w:rPr>
              <w:t xml:space="preserve"> </w:t>
            </w:r>
            <w:r w:rsidR="0079749F" w:rsidRPr="00B26441">
              <w:rPr>
                <w:rStyle w:val="Balk1Char"/>
                <w:rFonts w:eastAsia="Calibri"/>
                <w:b/>
              </w:rPr>
              <w:t>171 inci</w:t>
            </w:r>
            <w:r w:rsidRPr="00A23740">
              <w:t xml:space="preserve"> maddenin beş</w:t>
            </w:r>
            <w:r w:rsidR="00B26441">
              <w:rPr>
                <w:lang w:val="tr-TR"/>
              </w:rPr>
              <w:t>inci</w:t>
            </w:r>
            <w:r w:rsidRPr="00A23740">
              <w:t xml:space="preserve"> ve altıncı fıkraları bu madde bakımından da uygulanır.</w:t>
            </w:r>
          </w:p>
          <w:p w:rsidR="00AA5C8C" w:rsidRPr="00A23740" w:rsidRDefault="00AA5C8C" w:rsidP="009431FF">
            <w:pPr>
              <w:pStyle w:val="YEL"/>
              <w:rPr>
                <w:b w:val="0"/>
                <w:lang w:val="tr-TR"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1451C3" w:rsidRPr="00A23740" w:rsidRDefault="001451C3" w:rsidP="009431FF">
            <w:pPr>
              <w:tabs>
                <w:tab w:val="left" w:pos="567"/>
              </w:tabs>
              <w:ind w:firstLine="709"/>
              <w:rPr>
                <w:rFonts w:eastAsia="Times New Roman"/>
                <w:b/>
                <w:szCs w:val="24"/>
                <w:lang w:eastAsia="tr-TR"/>
              </w:rPr>
            </w:pPr>
          </w:p>
          <w:p w:rsidR="001451C3" w:rsidRPr="00D60C1D" w:rsidRDefault="00FE3637" w:rsidP="009431FF">
            <w:pPr>
              <w:tabs>
                <w:tab w:val="left" w:pos="567"/>
              </w:tabs>
              <w:ind w:firstLine="709"/>
              <w:rPr>
                <w:bCs/>
                <w:color w:val="000000"/>
                <w:szCs w:val="24"/>
                <w:lang w:val="x-none" w:eastAsia="x-none"/>
              </w:rPr>
            </w:pPr>
            <w:r w:rsidRPr="00D60C1D">
              <w:rPr>
                <w:b/>
                <w:bCs/>
                <w:color w:val="000000"/>
                <w:szCs w:val="24"/>
                <w:lang w:val="x-none" w:eastAsia="x-none"/>
              </w:rPr>
              <w:t>MADDE 172</w:t>
            </w:r>
            <w:r w:rsidRPr="00D60C1D">
              <w:rPr>
                <w:b/>
                <w:bCs/>
                <w:color w:val="000000"/>
                <w:szCs w:val="24"/>
                <w:lang w:eastAsia="x-none"/>
              </w:rPr>
              <w:t xml:space="preserve">- </w:t>
            </w:r>
            <w:r w:rsidR="001451C3" w:rsidRPr="00D60C1D">
              <w:rPr>
                <w:bCs/>
                <w:color w:val="000000"/>
                <w:szCs w:val="24"/>
                <w:lang w:val="x-none" w:eastAsia="x-none"/>
              </w:rPr>
              <w:t>Borçlunun üçüncü kişiden olan müstakbel alacakları, borçlunun üçüncü kişilerden h</w:t>
            </w:r>
            <w:r w:rsidR="001D7D44" w:rsidRPr="00D60C1D">
              <w:rPr>
                <w:bCs/>
                <w:color w:val="000000"/>
                <w:szCs w:val="24"/>
                <w:lang w:eastAsia="x-none"/>
              </w:rPr>
              <w:t>â</w:t>
            </w:r>
            <w:r w:rsidR="001451C3" w:rsidRPr="00D60C1D">
              <w:rPr>
                <w:bCs/>
                <w:color w:val="000000"/>
                <w:szCs w:val="24"/>
                <w:lang w:val="x-none" w:eastAsia="x-none"/>
              </w:rPr>
              <w:t xml:space="preserve">lihazırda mevcut ve muaccel olan alacaklarından bazı farklılıklar arz ettiğinden, </w:t>
            </w:r>
            <w:r w:rsidR="000B706B" w:rsidRPr="00D60C1D">
              <w:rPr>
                <w:rStyle w:val="YELChar"/>
                <w:b w:val="0"/>
                <w:color w:val="000000"/>
              </w:rPr>
              <w:t>onun</w:t>
            </w:r>
            <w:r w:rsidR="000B706B" w:rsidRPr="00D60C1D">
              <w:rPr>
                <w:bCs/>
                <w:color w:val="000000"/>
                <w:szCs w:val="24"/>
                <w:lang w:eastAsia="x-none"/>
              </w:rPr>
              <w:t xml:space="preserve"> </w:t>
            </w:r>
            <w:r w:rsidR="001451C3" w:rsidRPr="00D60C1D">
              <w:rPr>
                <w:bCs/>
                <w:color w:val="000000"/>
                <w:szCs w:val="24"/>
                <w:lang w:val="x-none" w:eastAsia="x-none"/>
              </w:rPr>
              <w:t>bu tür alacaklarının haczinin, 171 inci</w:t>
            </w:r>
            <w:r w:rsidR="0079749F" w:rsidRPr="00A23740">
              <w:rPr>
                <w:bCs/>
                <w:color w:val="0000FF"/>
                <w:szCs w:val="24"/>
                <w:lang w:eastAsia="x-none"/>
              </w:rPr>
              <w:t xml:space="preserve"> </w:t>
            </w:r>
            <w:r w:rsidR="001451C3" w:rsidRPr="00D60C1D">
              <w:rPr>
                <w:bCs/>
                <w:color w:val="000000"/>
                <w:szCs w:val="24"/>
                <w:lang w:val="x-none" w:eastAsia="x-none"/>
              </w:rPr>
              <w:t>maddeden ayrık olarak özel bir maddede düzenlenmesi uygun görülmüştür. Madde, bu sebeple ihdas edilmiştir. Bu yeni düzenleme</w:t>
            </w:r>
            <w:r w:rsidR="00756CB4" w:rsidRPr="00D60C1D">
              <w:rPr>
                <w:bCs/>
                <w:color w:val="000000"/>
                <w:szCs w:val="24"/>
                <w:lang w:eastAsia="x-none"/>
              </w:rPr>
              <w:t>yle</w:t>
            </w:r>
            <w:r w:rsidR="001451C3" w:rsidRPr="00D60C1D">
              <w:rPr>
                <w:bCs/>
                <w:color w:val="000000"/>
                <w:szCs w:val="24"/>
                <w:lang w:val="x-none" w:eastAsia="x-none"/>
              </w:rPr>
              <w:t>, yargı içtihatlarında ve dolayısıyla uygulamada beliren farklılıkların bir düzene kavuşturulması amaçlanmaktadır. Madde, büyük ölçüde 171 inci</w:t>
            </w:r>
            <w:r w:rsidR="0079749F" w:rsidRPr="00A23740">
              <w:rPr>
                <w:bCs/>
                <w:color w:val="0000FF"/>
                <w:szCs w:val="24"/>
                <w:lang w:eastAsia="x-none"/>
              </w:rPr>
              <w:t xml:space="preserve"> </w:t>
            </w:r>
            <w:r w:rsidR="001451C3" w:rsidRPr="00D60C1D">
              <w:rPr>
                <w:bCs/>
                <w:color w:val="000000"/>
                <w:szCs w:val="24"/>
                <w:lang w:val="x-none" w:eastAsia="x-none"/>
              </w:rPr>
              <w:t>madde</w:t>
            </w:r>
            <w:r w:rsidR="00F523F4" w:rsidRPr="00D60C1D">
              <w:rPr>
                <w:bCs/>
                <w:color w:val="000000"/>
                <w:szCs w:val="24"/>
                <w:lang w:eastAsia="x-none"/>
              </w:rPr>
              <w:t>ye</w:t>
            </w:r>
            <w:r w:rsidR="001451C3" w:rsidRPr="00D60C1D">
              <w:rPr>
                <w:bCs/>
                <w:color w:val="000000"/>
                <w:szCs w:val="24"/>
                <w:lang w:val="x-none" w:eastAsia="x-none"/>
              </w:rPr>
              <w:t xml:space="preserve"> </w:t>
            </w:r>
            <w:r w:rsidR="00F523F4" w:rsidRPr="00D60C1D">
              <w:rPr>
                <w:bCs/>
                <w:color w:val="000000"/>
                <w:szCs w:val="24"/>
                <w:lang w:eastAsia="x-none"/>
              </w:rPr>
              <w:t xml:space="preserve">koşut olacak şekilde </w:t>
            </w:r>
            <w:r w:rsidR="001451C3" w:rsidRPr="00D60C1D">
              <w:rPr>
                <w:bCs/>
                <w:color w:val="000000"/>
                <w:szCs w:val="24"/>
                <w:lang w:val="x-none" w:eastAsia="x-none"/>
              </w:rPr>
              <w:t>yazılmış olmakla birlikte, alacağın henüz müstakbel olmasından kaynaklanan bazı özel</w:t>
            </w:r>
            <w:r w:rsidR="0079749F" w:rsidRPr="00D60C1D">
              <w:rPr>
                <w:bCs/>
                <w:color w:val="000000"/>
                <w:szCs w:val="24"/>
                <w:lang w:val="x-none" w:eastAsia="x-none"/>
              </w:rPr>
              <w:t xml:space="preserve"> durumları da </w:t>
            </w:r>
            <w:r w:rsidR="00F523F4" w:rsidRPr="00D60C1D">
              <w:rPr>
                <w:bCs/>
                <w:color w:val="000000"/>
                <w:szCs w:val="24"/>
                <w:lang w:eastAsia="x-none"/>
              </w:rPr>
              <w:t xml:space="preserve">bünyesinde </w:t>
            </w:r>
            <w:r w:rsidR="0079749F" w:rsidRPr="00D60C1D">
              <w:rPr>
                <w:bCs/>
                <w:color w:val="000000"/>
                <w:szCs w:val="24"/>
                <w:lang w:val="x-none" w:eastAsia="x-none"/>
              </w:rPr>
              <w:t>barındırmaktadır.</w:t>
            </w:r>
          </w:p>
          <w:p w:rsidR="000F3455" w:rsidRPr="00D60C1D" w:rsidRDefault="000F3455" w:rsidP="009431FF">
            <w:pPr>
              <w:tabs>
                <w:tab w:val="left" w:pos="567"/>
              </w:tabs>
              <w:ind w:firstLine="709"/>
              <w:rPr>
                <w:bCs/>
                <w:color w:val="000000"/>
                <w:szCs w:val="24"/>
                <w:lang w:val="x-none" w:eastAsia="x-none"/>
              </w:rPr>
            </w:pPr>
            <w:r w:rsidRPr="00D60C1D">
              <w:rPr>
                <w:bCs/>
                <w:color w:val="000000"/>
                <w:szCs w:val="24"/>
                <w:lang w:val="x-none" w:eastAsia="x-none"/>
              </w:rPr>
              <w:t>Maddenin birinci fıkrası</w:t>
            </w:r>
            <w:r w:rsidRPr="00D60C1D">
              <w:rPr>
                <w:rStyle w:val="YELChar"/>
                <w:b w:val="0"/>
                <w:color w:val="000000"/>
              </w:rPr>
              <w:t>yla, borçlu</w:t>
            </w:r>
            <w:r w:rsidRPr="00D60C1D">
              <w:rPr>
                <w:rFonts w:eastAsia="Times New Roman"/>
                <w:color w:val="000000"/>
                <w:szCs w:val="24"/>
                <w:lang w:eastAsia="tr-TR"/>
              </w:rPr>
              <w:t xml:space="preserve"> ile üçüncü kişi arasında haciz ihbarnamesinin tebliği tarihinde mevcut olan hukuki ilişkiden kaynaklanan müstakbel alacakların da borçlunun borcu için haczedilebileceği açık şekilde düzenlenmektedir.</w:t>
            </w:r>
            <w:r w:rsidR="001451C3" w:rsidRPr="00A23740">
              <w:rPr>
                <w:bCs/>
                <w:color w:val="0000FF"/>
                <w:szCs w:val="24"/>
                <w:lang w:val="x-none" w:eastAsia="x-none"/>
              </w:rPr>
              <w:t xml:space="preserve"> </w:t>
            </w:r>
            <w:r w:rsidR="001451C3" w:rsidRPr="00D60C1D">
              <w:rPr>
                <w:bCs/>
                <w:color w:val="000000"/>
                <w:szCs w:val="24"/>
                <w:lang w:val="x-none" w:eastAsia="x-none"/>
              </w:rPr>
              <w:t>Bu açık ifade</w:t>
            </w:r>
            <w:r w:rsidR="00F523F4" w:rsidRPr="00D60C1D">
              <w:rPr>
                <w:bCs/>
                <w:color w:val="000000"/>
                <w:szCs w:val="24"/>
                <w:lang w:eastAsia="x-none"/>
              </w:rPr>
              <w:t>yle</w:t>
            </w:r>
            <w:r w:rsidR="001451C3" w:rsidRPr="00D60C1D">
              <w:rPr>
                <w:bCs/>
                <w:color w:val="000000"/>
                <w:szCs w:val="24"/>
                <w:lang w:val="x-none" w:eastAsia="x-none"/>
              </w:rPr>
              <w:t>, öğretide kabul görmüş ve uygulamada yerleşmiş olan müstakbel alacak haczi, Kanunda bir düzenlemeye kavuşmaktadır. Fıkrada dikkat edilmesi gereken husus, maddenin kapsamının, öğretide de kabul edildiği üzere mevcut olan bir hukuki ilişkiye dayanan müstakbel alacaklarla sınırlı olmasıdır. Bu çerçevede, mevcut olmayan veya varsayımsal bir hukuki ilişkiye dayanan alacaklar hakkında haciz ihbarnamesi gönderilmesi mümkün değildir. Uygulamada özellikle borçlunun aile mensuplarına bu tarz haciz ihbarnameleri gönderilerek, bu kişilerin ve dolayısıyla da borçlunun taciz edildikleri görülmektedir. Bu sebeple, “mevcut olan hukuki ilişki” ifadesi, uygulamada oluşabilecek tere</w:t>
            </w:r>
            <w:r w:rsidR="000B706B" w:rsidRPr="00D60C1D">
              <w:rPr>
                <w:bCs/>
                <w:color w:val="000000"/>
                <w:szCs w:val="24"/>
                <w:lang w:val="x-none" w:eastAsia="x-none"/>
              </w:rPr>
              <w:t>ddütlerin</w:t>
            </w:r>
            <w:r w:rsidR="001451C3" w:rsidRPr="00D60C1D">
              <w:rPr>
                <w:bCs/>
                <w:color w:val="000000"/>
                <w:szCs w:val="24"/>
                <w:lang w:val="x-none" w:eastAsia="x-none"/>
              </w:rPr>
              <w:t xml:space="preserve"> önüne geçmek amacıyla madde metnine özellikle yazılmıştır. Üçüncü kişiye bu madde uyarınca gönderilecek olan haciz ihbarnamesinde; takip borçlusuna ait müstakbel alacak doğduktan sonra </w:t>
            </w:r>
            <w:r w:rsidRPr="00D60C1D">
              <w:rPr>
                <w:bCs/>
                <w:color w:val="000000"/>
                <w:szCs w:val="24"/>
                <w:lang w:eastAsia="x-none"/>
              </w:rPr>
              <w:t xml:space="preserve">bu alacağı </w:t>
            </w:r>
            <w:r w:rsidR="001451C3" w:rsidRPr="00D60C1D">
              <w:rPr>
                <w:bCs/>
                <w:color w:val="000000"/>
                <w:szCs w:val="24"/>
                <w:lang w:val="x-none" w:eastAsia="x-none"/>
              </w:rPr>
              <w:t xml:space="preserve">iki hafta içinde icra ve iflas dairesine ödemesi gerektiği, borçluya </w:t>
            </w:r>
            <w:r w:rsidR="00F523F4" w:rsidRPr="00D60C1D">
              <w:rPr>
                <w:bCs/>
                <w:color w:val="000000"/>
                <w:szCs w:val="24"/>
                <w:lang w:eastAsia="x-none"/>
              </w:rPr>
              <w:t xml:space="preserve">yapacağı </w:t>
            </w:r>
            <w:r w:rsidR="001451C3" w:rsidRPr="00D60C1D">
              <w:rPr>
                <w:bCs/>
                <w:color w:val="000000"/>
                <w:szCs w:val="24"/>
                <w:lang w:val="x-none" w:eastAsia="x-none"/>
              </w:rPr>
              <w:t>ödemenin geçerli</w:t>
            </w:r>
            <w:r w:rsidR="00F523F4" w:rsidRPr="00D60C1D">
              <w:rPr>
                <w:bCs/>
                <w:color w:val="000000"/>
                <w:szCs w:val="24"/>
                <w:lang w:eastAsia="x-none"/>
              </w:rPr>
              <w:t xml:space="preserve"> olmayacağı</w:t>
            </w:r>
            <w:r w:rsidR="001451C3" w:rsidRPr="00D60C1D">
              <w:rPr>
                <w:bCs/>
                <w:color w:val="000000"/>
                <w:szCs w:val="24"/>
                <w:lang w:val="x-none" w:eastAsia="x-none"/>
              </w:rPr>
              <w:t xml:space="preserve">, aksi takdirde alacağı icra ve iflas dairesine </w:t>
            </w:r>
            <w:r w:rsidRPr="00D60C1D">
              <w:rPr>
                <w:bCs/>
                <w:color w:val="000000"/>
                <w:szCs w:val="24"/>
                <w:lang w:eastAsia="x-none"/>
              </w:rPr>
              <w:t xml:space="preserve">tekrar </w:t>
            </w:r>
            <w:r w:rsidR="001451C3" w:rsidRPr="00D60C1D">
              <w:rPr>
                <w:bCs/>
                <w:color w:val="000000"/>
                <w:szCs w:val="24"/>
                <w:lang w:val="x-none" w:eastAsia="x-none"/>
              </w:rPr>
              <w:t>ödemek zo</w:t>
            </w:r>
            <w:r w:rsidR="0079749F" w:rsidRPr="00D60C1D">
              <w:rPr>
                <w:bCs/>
                <w:color w:val="000000"/>
                <w:szCs w:val="24"/>
                <w:lang w:val="x-none" w:eastAsia="x-none"/>
              </w:rPr>
              <w:t>runda kalacağı bildirilecektir.</w:t>
            </w:r>
          </w:p>
          <w:p w:rsidR="001451C3"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İkinci fıkra</w:t>
            </w:r>
            <w:r w:rsidR="00F523F4" w:rsidRPr="00D60C1D">
              <w:rPr>
                <w:bCs/>
                <w:color w:val="000000"/>
                <w:szCs w:val="24"/>
                <w:lang w:eastAsia="x-none"/>
              </w:rPr>
              <w:t>yla</w:t>
            </w:r>
            <w:r w:rsidRPr="00D60C1D">
              <w:rPr>
                <w:bCs/>
                <w:color w:val="000000"/>
                <w:szCs w:val="24"/>
                <w:lang w:val="x-none" w:eastAsia="x-none"/>
              </w:rPr>
              <w:t>, üçüncü kişinin, haciz ihbarnamesinin tebliğinden itibaren iki hafta içinde bu ihbarnameye karşı icra ve iflas dairesi nezdinde itiraz edebileceği düzenlenmiştir. Ancak 171 inci</w:t>
            </w:r>
            <w:r w:rsidR="0079749F" w:rsidRPr="00A23740">
              <w:rPr>
                <w:bCs/>
                <w:color w:val="0000FF"/>
                <w:szCs w:val="24"/>
                <w:lang w:eastAsia="x-none"/>
              </w:rPr>
              <w:t xml:space="preserve"> </w:t>
            </w:r>
            <w:r w:rsidRPr="00D60C1D">
              <w:rPr>
                <w:bCs/>
                <w:color w:val="000000"/>
                <w:szCs w:val="24"/>
                <w:lang w:val="x-none" w:eastAsia="x-none"/>
              </w:rPr>
              <w:t>madde düzenlemesinde olduğu gibi, haciz ihbarnamesinin kendisine tebliğinden itibaren iki hafta içinde cevap vermeyen üçüncü kişi, bu maddeye göre de ihbarnameye itiraz etmiş sayılacaktır. Yani Kanunun öngördüğü sonuç bakımından, üçüncü kişinin ihbarnameye doğrudan itiraz etmesi veya herhangi bir cevap vermemesinin bir farkı yoktur.</w:t>
            </w:r>
          </w:p>
          <w:p w:rsidR="001451C3"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Üçüncü fıkra</w:t>
            </w:r>
            <w:r w:rsidR="00F523F4" w:rsidRPr="00D60C1D">
              <w:rPr>
                <w:bCs/>
                <w:color w:val="000000"/>
                <w:szCs w:val="24"/>
                <w:lang w:eastAsia="x-none"/>
              </w:rPr>
              <w:t>yla</w:t>
            </w:r>
            <w:r w:rsidRPr="00D60C1D">
              <w:rPr>
                <w:bCs/>
                <w:color w:val="000000"/>
                <w:szCs w:val="24"/>
                <w:lang w:val="x-none" w:eastAsia="x-none"/>
              </w:rPr>
              <w:t>, üçüncü kişinin haciz ihbarnamesinin kendisine tebliğinden itibaren iki hafta içinde itiraz ettiği veya beyanda bulunmadığı için itiraz etmiş sayıldığı h</w:t>
            </w:r>
            <w:r w:rsidR="001D7D44" w:rsidRPr="00D60C1D">
              <w:rPr>
                <w:bCs/>
                <w:color w:val="000000"/>
                <w:szCs w:val="24"/>
                <w:lang w:eastAsia="x-none"/>
              </w:rPr>
              <w:t>â</w:t>
            </w:r>
            <w:r w:rsidRPr="00D60C1D">
              <w:rPr>
                <w:bCs/>
                <w:color w:val="000000"/>
                <w:szCs w:val="24"/>
                <w:lang w:val="x-none" w:eastAsia="x-none"/>
              </w:rPr>
              <w:t>llerde, alacaklının üçüncü kişiye karşı icra hukuk mahkemesinde dava açabileceği düzenlenmektedir. Alacaklı bu davayı, borçlu ile davalı üçüncü kişi arasında bir hukuki ilişkinin bulunduğunun tespiti ve bu ilişkiden doğabilecek alacakların birinci fıkra gereğince icra ve iflas dairesine ödenmesine karar verilmesi talepleri</w:t>
            </w:r>
            <w:r w:rsidR="00F523F4" w:rsidRPr="00D60C1D">
              <w:rPr>
                <w:bCs/>
                <w:color w:val="000000"/>
                <w:szCs w:val="24"/>
                <w:lang w:eastAsia="x-none"/>
              </w:rPr>
              <w:t>yle</w:t>
            </w:r>
            <w:r w:rsidRPr="00D60C1D">
              <w:rPr>
                <w:bCs/>
                <w:color w:val="000000"/>
                <w:szCs w:val="24"/>
                <w:lang w:val="x-none" w:eastAsia="x-none"/>
              </w:rPr>
              <w:t xml:space="preserve"> açacaktır.</w:t>
            </w:r>
          </w:p>
          <w:p w:rsidR="001451C3" w:rsidRPr="00D60C1D" w:rsidRDefault="001451C3" w:rsidP="009431FF">
            <w:pPr>
              <w:tabs>
                <w:tab w:val="left" w:pos="567"/>
              </w:tabs>
              <w:ind w:firstLine="709"/>
              <w:rPr>
                <w:bCs/>
                <w:color w:val="000000"/>
                <w:szCs w:val="24"/>
                <w:lang w:val="x-none" w:eastAsia="x-none"/>
              </w:rPr>
            </w:pPr>
            <w:r w:rsidRPr="00D60C1D">
              <w:rPr>
                <w:bCs/>
                <w:color w:val="000000"/>
                <w:szCs w:val="24"/>
                <w:lang w:val="x-none" w:eastAsia="x-none"/>
              </w:rPr>
              <w:t>Dördüncü fıkra, alacağın müstakbel nitelikte olmasına özgü bir durumu düzenlemektedir. Buna göre, kendisine ihbarname gönderilen üçüncü kişi, borçlu ile arasında hukuki ilişki bulunduğunu ve alacak doğduğunda icra ve iflas dairesine ödeme yapacağını bildirmiş, yani diğer bir ifade</w:t>
            </w:r>
            <w:r w:rsidR="00F523F4" w:rsidRPr="00D60C1D">
              <w:rPr>
                <w:bCs/>
                <w:color w:val="000000"/>
                <w:szCs w:val="24"/>
                <w:lang w:eastAsia="x-none"/>
              </w:rPr>
              <w:t>yle</w:t>
            </w:r>
            <w:r w:rsidRPr="00D60C1D">
              <w:rPr>
                <w:bCs/>
                <w:color w:val="000000"/>
                <w:szCs w:val="24"/>
                <w:lang w:val="x-none" w:eastAsia="x-none"/>
              </w:rPr>
              <w:t xml:space="preserve"> ihbarnameyi kabul etmişse; bildirimin yapıldığı tarihten itibaren bir yıl süreyle, alacağın doğduğunu icra ve iflas dairesine bildirerek, alacağın doğumundan itibaren iki hafta içinde ödeme yapmak zorunda olacaktır. Bu bir yıllık süre içinde olmak kaydıyla, alacaklının bu hususta yeniden bir talepte bulunması da gerekmeyecektir. </w:t>
            </w:r>
          </w:p>
          <w:p w:rsidR="001451C3" w:rsidRPr="00A23740" w:rsidRDefault="001451C3" w:rsidP="009431FF">
            <w:pPr>
              <w:tabs>
                <w:tab w:val="left" w:pos="567"/>
              </w:tabs>
              <w:ind w:firstLine="709"/>
              <w:rPr>
                <w:bCs/>
                <w:color w:val="0000FF"/>
                <w:szCs w:val="24"/>
                <w:lang w:val="x-none" w:eastAsia="x-none"/>
              </w:rPr>
            </w:pPr>
            <w:r w:rsidRPr="00D60C1D">
              <w:rPr>
                <w:bCs/>
                <w:color w:val="000000"/>
                <w:szCs w:val="24"/>
                <w:lang w:val="x-none" w:eastAsia="x-none"/>
              </w:rPr>
              <w:t>Beşinci fıkra</w:t>
            </w:r>
            <w:r w:rsidR="00F523F4" w:rsidRPr="00D60C1D">
              <w:rPr>
                <w:bCs/>
                <w:color w:val="000000"/>
                <w:szCs w:val="24"/>
                <w:lang w:eastAsia="x-none"/>
              </w:rPr>
              <w:t>yla</w:t>
            </w:r>
            <w:r w:rsidRPr="00D60C1D">
              <w:rPr>
                <w:bCs/>
                <w:color w:val="000000"/>
                <w:szCs w:val="24"/>
                <w:lang w:val="x-none" w:eastAsia="x-none"/>
              </w:rPr>
              <w:t>, 171 inci</w:t>
            </w:r>
            <w:r w:rsidR="0079749F" w:rsidRPr="00A23740">
              <w:rPr>
                <w:bCs/>
                <w:color w:val="0000FF"/>
                <w:szCs w:val="24"/>
                <w:lang w:eastAsia="x-none"/>
              </w:rPr>
              <w:t xml:space="preserve"> </w:t>
            </w:r>
            <w:r w:rsidRPr="00D60C1D">
              <w:rPr>
                <w:bCs/>
                <w:color w:val="000000"/>
                <w:szCs w:val="24"/>
                <w:lang w:val="x-none" w:eastAsia="x-none"/>
              </w:rPr>
              <w:t>maddenin haciz ihbarname</w:t>
            </w:r>
            <w:r w:rsidR="000B706B" w:rsidRPr="00D60C1D">
              <w:rPr>
                <w:bCs/>
                <w:color w:val="000000"/>
                <w:szCs w:val="24"/>
                <w:lang w:val="x-none" w:eastAsia="x-none"/>
              </w:rPr>
              <w:t>lerinin tüzel kişilere tebliği</w:t>
            </w:r>
            <w:r w:rsidRPr="00D60C1D">
              <w:rPr>
                <w:bCs/>
                <w:color w:val="000000"/>
                <w:szCs w:val="24"/>
                <w:lang w:val="x-none" w:eastAsia="x-none"/>
              </w:rPr>
              <w:t xml:space="preserve"> hakkındaki beşinci ve elektronik yolla yapılacak bildirimler hakkındaki altıncı fıkralarının, bu madde bakımından da uygulanacağı düzenlenmektedir.</w:t>
            </w:r>
          </w:p>
          <w:p w:rsidR="00B62391" w:rsidRPr="00A23740" w:rsidRDefault="00B62391" w:rsidP="008B4E7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rPr>
                <w:rFonts w:eastAsia="Times New Roman"/>
                <w:b/>
                <w:strike/>
                <w:color w:val="FF0000"/>
                <w:szCs w:val="24"/>
                <w:lang w:eastAsia="tr-TR"/>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İcra takibine konu alacakların haczi</w:t>
            </w:r>
          </w:p>
          <w:p w:rsidR="00AA5C8C" w:rsidRPr="00A23740" w:rsidRDefault="005919EB" w:rsidP="009431FF">
            <w:pPr>
              <w:tabs>
                <w:tab w:val="left" w:pos="567"/>
              </w:tabs>
              <w:rPr>
                <w:b/>
                <w:bCs/>
                <w:color w:val="0000FF"/>
                <w:szCs w:val="24"/>
                <w:lang w:val="x-none" w:eastAsia="x-none"/>
              </w:rPr>
            </w:pPr>
            <w:r w:rsidRPr="00A23740">
              <w:rPr>
                <w:rFonts w:eastAsia="Times New Roman"/>
                <w:b/>
                <w:color w:val="0000FF"/>
                <w:szCs w:val="24"/>
                <w:lang w:eastAsia="tr-TR"/>
              </w:rPr>
              <w:t>MADDE 173</w:t>
            </w:r>
            <w:r w:rsidR="00AA5C8C" w:rsidRPr="00A23740">
              <w:rPr>
                <w:rFonts w:eastAsia="Times New Roman"/>
                <w:b/>
                <w:color w:val="0000FF"/>
                <w:szCs w:val="24"/>
                <w:lang w:eastAsia="tr-TR"/>
              </w:rPr>
              <w:t>- (1) Borçlunun alacaklı</w:t>
            </w:r>
            <w:r w:rsidR="00C203B4" w:rsidRPr="00B26441">
              <w:rPr>
                <w:rStyle w:val="Balk1Char"/>
                <w:rFonts w:eastAsia="Calibri"/>
              </w:rPr>
              <w:t>sı</w:t>
            </w:r>
            <w:r w:rsidR="00AA5C8C" w:rsidRPr="00A23740">
              <w:rPr>
                <w:rFonts w:eastAsia="Times New Roman"/>
                <w:b/>
                <w:color w:val="0000FF"/>
                <w:szCs w:val="24"/>
                <w:lang w:eastAsia="tr-TR"/>
              </w:rPr>
              <w:t xml:space="preserve"> olduğu bir </w:t>
            </w:r>
            <w:r w:rsidR="00AA5C8C" w:rsidRPr="00A23740">
              <w:rPr>
                <w:b/>
                <w:bCs/>
                <w:color w:val="0000FF"/>
                <w:szCs w:val="24"/>
                <w:lang w:val="x-none" w:eastAsia="x-none"/>
              </w:rPr>
              <w:t xml:space="preserve">icra takibine konu teşkil eden </w:t>
            </w:r>
            <w:r w:rsidR="00AA5C8C" w:rsidRPr="00A23740">
              <w:rPr>
                <w:b/>
                <w:bCs/>
                <w:color w:val="0000FF"/>
                <w:szCs w:val="24"/>
                <w:lang w:eastAsia="x-none"/>
              </w:rPr>
              <w:t xml:space="preserve">alacağı </w:t>
            </w:r>
            <w:r w:rsidR="00AA5C8C" w:rsidRPr="00A23740">
              <w:rPr>
                <w:rStyle w:val="MaviChar"/>
              </w:rPr>
              <w:t>haczeden</w:t>
            </w:r>
            <w:r w:rsidR="00AA5C8C" w:rsidRPr="00A23740">
              <w:rPr>
                <w:b/>
                <w:bCs/>
                <w:color w:val="0000FF"/>
                <w:szCs w:val="24"/>
                <w:lang w:eastAsia="x-none"/>
              </w:rPr>
              <w:t xml:space="preserve"> </w:t>
            </w:r>
            <w:r w:rsidR="00AA5C8C" w:rsidRPr="00A23740">
              <w:rPr>
                <w:b/>
                <w:bCs/>
                <w:color w:val="0000FF"/>
                <w:szCs w:val="24"/>
                <w:lang w:val="x-none" w:eastAsia="x-none"/>
              </w:rPr>
              <w:t xml:space="preserve">icra </w:t>
            </w:r>
            <w:r w:rsidR="00AA5C8C" w:rsidRPr="00A23740">
              <w:rPr>
                <w:rStyle w:val="MaviChar"/>
              </w:rPr>
              <w:t>ve iflas dairesi</w:t>
            </w:r>
            <w:r w:rsidR="00AA5C8C" w:rsidRPr="00A23740">
              <w:rPr>
                <w:b/>
                <w:bCs/>
                <w:color w:val="0000FF"/>
                <w:szCs w:val="24"/>
                <w:lang w:val="x-none" w:eastAsia="x-none"/>
              </w:rPr>
              <w:t xml:space="preserve">, bu </w:t>
            </w:r>
            <w:r w:rsidR="00AA5C8C" w:rsidRPr="00A23740">
              <w:rPr>
                <w:rStyle w:val="MaviChar"/>
              </w:rPr>
              <w:t xml:space="preserve">takibin </w:t>
            </w:r>
            <w:r w:rsidR="00AA5C8C" w:rsidRPr="00A23740">
              <w:rPr>
                <w:b/>
                <w:bCs/>
                <w:color w:val="0000FF"/>
                <w:szCs w:val="24"/>
                <w:lang w:val="x-none" w:eastAsia="x-none"/>
              </w:rPr>
              <w:t>borçlusuna, borcunu doğrudan doğruya takip alacaklısına ödememesini, aksi takdirde icra dosyasına yeniden ödeme yapmak zorunda kalacağını ihtar eder ve ayrıca ilgili icra</w:t>
            </w:r>
            <w:r w:rsidR="00AA5C8C" w:rsidRPr="00A23740">
              <w:rPr>
                <w:b/>
                <w:bCs/>
                <w:color w:val="0000FF"/>
                <w:szCs w:val="24"/>
                <w:lang w:eastAsia="x-none"/>
              </w:rPr>
              <w:t xml:space="preserve"> </w:t>
            </w:r>
            <w:r w:rsidR="00AA5C8C" w:rsidRPr="00A23740">
              <w:rPr>
                <w:rStyle w:val="MaviChar"/>
              </w:rPr>
              <w:t>ve iflas</w:t>
            </w:r>
            <w:r w:rsidR="00AA5C8C" w:rsidRPr="00A23740">
              <w:rPr>
                <w:b/>
                <w:bCs/>
                <w:color w:val="0000FF"/>
                <w:szCs w:val="24"/>
                <w:lang w:val="x-none" w:eastAsia="x-none"/>
              </w:rPr>
              <w:t xml:space="preserve"> dairesine d</w:t>
            </w:r>
            <w:r w:rsidR="00335C53" w:rsidRPr="00A23740">
              <w:rPr>
                <w:rStyle w:val="MaviChar"/>
              </w:rPr>
              <w:t>e</w:t>
            </w:r>
            <w:r w:rsidR="00AA5C8C" w:rsidRPr="00A23740">
              <w:rPr>
                <w:b/>
                <w:bCs/>
                <w:color w:val="0000FF"/>
                <w:szCs w:val="24"/>
                <w:lang w:val="x-none" w:eastAsia="x-none"/>
              </w:rPr>
              <w:t xml:space="preserve"> nezdinde takip konusu olan alacağın haczedildiğini bildirir.</w:t>
            </w:r>
          </w:p>
          <w:p w:rsidR="00AA5C8C" w:rsidRPr="00A23740" w:rsidRDefault="00AA5C8C" w:rsidP="009431FF">
            <w:pPr>
              <w:tabs>
                <w:tab w:val="left" w:pos="567"/>
              </w:tabs>
              <w:rPr>
                <w:rFonts w:eastAsia="Times New Roman"/>
                <w:strike/>
                <w:color w:val="FF0000"/>
                <w:szCs w:val="24"/>
                <w:lang w:eastAsia="tr-TR"/>
              </w:rPr>
            </w:pPr>
          </w:p>
          <w:p w:rsidR="00AA5C8C" w:rsidRPr="00A23740" w:rsidRDefault="00AA5C8C" w:rsidP="009431FF">
            <w:pPr>
              <w:pStyle w:val="Mavi"/>
            </w:pPr>
            <w:r w:rsidRPr="00A23740">
              <w:t>(2) Bu madde hükmüne göre haczedilmiş olan alacak</w:t>
            </w:r>
            <w:r w:rsidR="00C203B4" w:rsidRPr="00B26441">
              <w:rPr>
                <w:rStyle w:val="Balk1Char"/>
                <w:rFonts w:eastAsia="Calibri"/>
                <w:b/>
              </w:rPr>
              <w:t>la</w:t>
            </w:r>
            <w:r w:rsidRPr="00A23740">
              <w:t xml:space="preserve"> ilgili tasarruflar haczi koyduran alacaklının haklarını ihlal ettiği oranda geçersizdir.</w:t>
            </w:r>
          </w:p>
          <w:p w:rsidR="00AA5C8C" w:rsidRPr="00A23740" w:rsidRDefault="00AA5C8C" w:rsidP="009431FF">
            <w:pPr>
              <w:pStyle w:val="Mavi"/>
            </w:pPr>
          </w:p>
          <w:p w:rsidR="00AA5C8C" w:rsidRPr="00A23740" w:rsidRDefault="00AA5C8C" w:rsidP="009431FF">
            <w:pPr>
              <w:pStyle w:val="Mavi"/>
            </w:pPr>
            <w:r w:rsidRPr="00A23740">
              <w:t>(3) Bu madde hükmüne göre haczedilmiş olan para, yazının gönderildiği icra ve iflas</w:t>
            </w:r>
            <w:r w:rsidRPr="00A23740">
              <w:rPr>
                <w:lang w:val="tr-TR"/>
              </w:rPr>
              <w:t xml:space="preserve"> </w:t>
            </w:r>
            <w:r w:rsidRPr="00A23740">
              <w:t>dairesi tarafından en geç üç iş günü içinde, ilk haciz yazısını gönderen icra ve iflas</w:t>
            </w:r>
            <w:r w:rsidRPr="00A23740">
              <w:rPr>
                <w:lang w:val="tr-TR"/>
              </w:rPr>
              <w:t xml:space="preserve"> </w:t>
            </w:r>
            <w:r w:rsidRPr="00A23740">
              <w:t xml:space="preserve">dairesinin hesabına aktarılır. Şu kadar ki, 1136 sayılı Avukatlık Kanununun 164 </w:t>
            </w:r>
            <w:r w:rsidRPr="00A23740">
              <w:rPr>
                <w:lang w:val="tr-TR"/>
              </w:rPr>
              <w:t>üncü maddesinin beşinci fıkrası</w:t>
            </w:r>
            <w:r w:rsidRPr="00A23740">
              <w:t xml:space="preserve"> hükmü saklıdır.</w:t>
            </w:r>
          </w:p>
          <w:p w:rsidR="00AA5C8C" w:rsidRPr="00A23740" w:rsidRDefault="00AA5C8C" w:rsidP="009431FF">
            <w:pPr>
              <w:pStyle w:val="Mavi"/>
            </w:pPr>
          </w:p>
          <w:p w:rsidR="00AA5C8C" w:rsidRPr="00A23740" w:rsidRDefault="00AA5C8C" w:rsidP="009431FF">
            <w:pPr>
              <w:pStyle w:val="Mavi"/>
            </w:pPr>
            <w:r w:rsidRPr="00A23740">
              <w:t>(4) Üzerine haciz konulmak istenen takip alacağının çekişmeli olması h</w:t>
            </w:r>
            <w:r w:rsidR="001D7D44" w:rsidRPr="00A23740">
              <w:rPr>
                <w:lang w:val="tr-TR"/>
              </w:rPr>
              <w:t>â</w:t>
            </w:r>
            <w:r w:rsidRPr="00A23740">
              <w:t xml:space="preserve">linde, </w:t>
            </w:r>
            <w:r w:rsidR="00BB4F34" w:rsidRPr="00B26441">
              <w:rPr>
                <w:rStyle w:val="Balk1Char"/>
                <w:rFonts w:eastAsia="Calibri"/>
                <w:b/>
              </w:rPr>
              <w:t>207 ve 208 inci</w:t>
            </w:r>
            <w:r w:rsidR="00BB4F34" w:rsidRPr="00A23740">
              <w:rPr>
                <w:rStyle w:val="KIRMIZIChar"/>
                <w:rFonts w:eastAsia="Calibri"/>
                <w:b/>
                <w:strike w:val="0"/>
              </w:rPr>
              <w:t xml:space="preserve"> </w:t>
            </w:r>
            <w:r w:rsidRPr="00A23740">
              <w:t>madd</w:t>
            </w:r>
            <w:r w:rsidRPr="00B26441">
              <w:rPr>
                <w:rStyle w:val="Balk1Char"/>
                <w:rFonts w:eastAsia="Calibri"/>
                <w:b/>
              </w:rPr>
              <w:t>e</w:t>
            </w:r>
            <w:r w:rsidR="00E3593B" w:rsidRPr="00B26441">
              <w:rPr>
                <w:rStyle w:val="Balk1Char"/>
                <w:rFonts w:eastAsia="ヒラギノ明朝 Pro W3"/>
                <w:b/>
              </w:rPr>
              <w:t>ler</w:t>
            </w:r>
            <w:r w:rsidRPr="00A23740">
              <w:t xml:space="preserve"> uygulanır.</w:t>
            </w:r>
          </w:p>
          <w:p w:rsidR="00AA5C8C" w:rsidRPr="00A23740" w:rsidRDefault="00AA5C8C" w:rsidP="009431FF">
            <w:pPr>
              <w:pStyle w:val="KIRMIZI"/>
              <w:rPr>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D56390" w:rsidRPr="00A23740" w:rsidRDefault="00D56390" w:rsidP="009431FF">
            <w:pPr>
              <w:tabs>
                <w:tab w:val="left" w:pos="567"/>
              </w:tabs>
              <w:ind w:firstLine="709"/>
              <w:rPr>
                <w:rFonts w:eastAsia="Times New Roman"/>
                <w:b/>
                <w:szCs w:val="24"/>
                <w:lang w:eastAsia="tr-TR"/>
              </w:rPr>
            </w:pPr>
          </w:p>
          <w:p w:rsidR="00D56390" w:rsidRPr="00D60C1D" w:rsidRDefault="00B26441" w:rsidP="009431FF">
            <w:pPr>
              <w:pStyle w:val="Mavi"/>
              <w:ind w:firstLine="709"/>
              <w:rPr>
                <w:b w:val="0"/>
                <w:color w:val="000000"/>
              </w:rPr>
            </w:pPr>
            <w:r w:rsidRPr="00D60C1D">
              <w:rPr>
                <w:rStyle w:val="Balk1Char"/>
                <w:rFonts w:eastAsia="Calibri"/>
                <w:b/>
                <w:color w:val="000000"/>
              </w:rPr>
              <w:t>MADDE 173-</w:t>
            </w:r>
            <w:r w:rsidR="00D56390" w:rsidRPr="00D60C1D">
              <w:rPr>
                <w:rStyle w:val="Balk1Char"/>
                <w:rFonts w:eastAsia="Calibri"/>
                <w:color w:val="000000"/>
              </w:rPr>
              <w:t xml:space="preserve"> Borçlunun üçüncü kişilerden olan hak, alacak, sair talep hakları ile yine üçüncü kişilerde olan taşınır mallarının haczinde, 2004 sayılı</w:t>
            </w:r>
            <w:r w:rsidR="00371300" w:rsidRPr="00D60C1D">
              <w:rPr>
                <w:rStyle w:val="Balk1Char"/>
                <w:rFonts w:eastAsia="Calibri"/>
                <w:color w:val="000000"/>
              </w:rPr>
              <w:t xml:space="preserve"> Kanunun</w:t>
            </w:r>
            <w:r w:rsidR="00D56390" w:rsidRPr="00A23740">
              <w:rPr>
                <w:b w:val="0"/>
              </w:rPr>
              <w:t xml:space="preserve"> </w:t>
            </w:r>
            <w:r w:rsidR="00D56390" w:rsidRPr="00D60C1D">
              <w:rPr>
                <w:b w:val="0"/>
                <w:color w:val="000000"/>
              </w:rPr>
              <w:t>89 uncu maddesinin getirdiği düzenleme, uygulamada bilhassa alacaklılar tarafından büyük bir kabul görmüş; geliştirilerek uygulanmış ve hasıl olan sonuç karşısında,</w:t>
            </w:r>
            <w:r w:rsidR="00371300" w:rsidRPr="00D60C1D">
              <w:rPr>
                <w:b w:val="0"/>
                <w:color w:val="000000"/>
                <w:lang w:val="tr-TR"/>
              </w:rPr>
              <w:t xml:space="preserve"> </w:t>
            </w:r>
            <w:r w:rsidR="00371300" w:rsidRPr="00D60C1D">
              <w:rPr>
                <w:rStyle w:val="KonuBalChar"/>
                <w:rFonts w:eastAsia="Calibri"/>
                <w:color w:val="000000"/>
              </w:rPr>
              <w:t>2004 sayılı Kanunun</w:t>
            </w:r>
            <w:r w:rsidR="00D56390" w:rsidRPr="00A23740">
              <w:rPr>
                <w:b w:val="0"/>
              </w:rPr>
              <w:t xml:space="preserve"> </w:t>
            </w:r>
            <w:r w:rsidR="00D56390" w:rsidRPr="00D60C1D">
              <w:rPr>
                <w:b w:val="0"/>
                <w:color w:val="000000"/>
              </w:rPr>
              <w:t>bu kez 120 inci maddesinin tatbiki, neredeyse çok sınırlı bir sahaya hapsolmuştur. Yaşanan bu durum karşısında sözü edilen yaygın kabulün ve gelişen alışkanlıkların mehaz ülke hukukunda düzenlenen seviyeye çekilmesi (</w:t>
            </w:r>
            <w:r w:rsidR="00F523F4" w:rsidRPr="00D60C1D">
              <w:rPr>
                <w:b w:val="0"/>
                <w:color w:val="000000"/>
                <w:lang w:val="tr-TR"/>
              </w:rPr>
              <w:t>İsv.İİKm</w:t>
            </w:r>
            <w:r w:rsidR="00D56390" w:rsidRPr="00D60C1D">
              <w:rPr>
                <w:b w:val="0"/>
                <w:color w:val="000000"/>
              </w:rPr>
              <w:t>. 99), uygun bulunmamış; böyle bir tercihin faydalarının, yol açabileceği karmaşa ve kaostan daha büyük olmayacağı öngörülmüştür. Kendiliğinden gelişen uygulamaya, yaşayan hukuka sırt dönülmesi mümkün olmadığı gibi</w:t>
            </w:r>
            <w:r w:rsidR="00F523F4" w:rsidRPr="00D60C1D">
              <w:rPr>
                <w:b w:val="0"/>
                <w:color w:val="000000"/>
                <w:lang w:val="tr-TR"/>
              </w:rPr>
              <w:t>,</w:t>
            </w:r>
            <w:r w:rsidR="00D56390" w:rsidRPr="00D60C1D">
              <w:rPr>
                <w:b w:val="0"/>
                <w:color w:val="000000"/>
              </w:rPr>
              <w:t xml:space="preserve"> kayıtsız kalınıp </w:t>
            </w:r>
            <w:r w:rsidR="00F523F4" w:rsidRPr="00D60C1D">
              <w:rPr>
                <w:b w:val="0"/>
                <w:color w:val="000000"/>
                <w:lang w:val="tr-TR"/>
              </w:rPr>
              <w:t xml:space="preserve">bunların </w:t>
            </w:r>
            <w:r w:rsidR="00D56390" w:rsidRPr="00D60C1D">
              <w:rPr>
                <w:b w:val="0"/>
                <w:color w:val="000000"/>
              </w:rPr>
              <w:t>düzenlemesiz bırakılması da doğru görülmemiştir. Söz gelimi,</w:t>
            </w:r>
            <w:r w:rsidR="00D56390" w:rsidRPr="00A23740">
              <w:rPr>
                <w:b w:val="0"/>
              </w:rPr>
              <w:t xml:space="preserve"> </w:t>
            </w:r>
            <w:r w:rsidR="00D56390" w:rsidRPr="00D60C1D">
              <w:rPr>
                <w:b w:val="0"/>
                <w:color w:val="000000"/>
              </w:rPr>
              <w:t>Taslağın 172 inci maddesinde kaleme alınan “</w:t>
            </w:r>
            <w:r w:rsidR="00D56390" w:rsidRPr="00D60C1D">
              <w:rPr>
                <w:b w:val="0"/>
                <w:i/>
                <w:color w:val="000000"/>
              </w:rPr>
              <w:t>müstakbel alacakların haczine</w:t>
            </w:r>
            <w:r w:rsidR="00D56390" w:rsidRPr="00D60C1D">
              <w:rPr>
                <w:b w:val="0"/>
                <w:color w:val="000000"/>
              </w:rPr>
              <w:t>” ilişkin düzenleme, yargı içtihatlarında ve dolayısıyla uygulamada beliren farklılıkları bir düzene kavuşturma iradesinin sonucudur.</w:t>
            </w:r>
          </w:p>
          <w:p w:rsidR="00D56390" w:rsidRPr="00D60C1D" w:rsidRDefault="00D56390" w:rsidP="009431FF">
            <w:pPr>
              <w:pStyle w:val="Mavi"/>
              <w:ind w:firstLine="709"/>
              <w:rPr>
                <w:b w:val="0"/>
                <w:color w:val="000000"/>
              </w:rPr>
            </w:pPr>
            <w:r w:rsidRPr="00D60C1D">
              <w:rPr>
                <w:b w:val="0"/>
                <w:color w:val="000000"/>
              </w:rPr>
              <w:t>Bu bağlamda yine uygulamada bu kez “</w:t>
            </w:r>
            <w:r w:rsidRPr="00D60C1D">
              <w:rPr>
                <w:b w:val="0"/>
                <w:i/>
                <w:color w:val="000000"/>
              </w:rPr>
              <w:t>dosya haczi</w:t>
            </w:r>
            <w:r w:rsidRPr="00D60C1D">
              <w:rPr>
                <w:b w:val="0"/>
                <w:color w:val="000000"/>
              </w:rPr>
              <w:t>” olarak nitelendirilen tatbikat, Taslağın hazırlık çalışmaları sırasında gündeme gelmiş; meselenin yerli yerinde vasıflandırılmasından öte</w:t>
            </w:r>
            <w:r w:rsidR="00F523F4" w:rsidRPr="00D60C1D">
              <w:rPr>
                <w:b w:val="0"/>
                <w:color w:val="000000"/>
                <w:lang w:val="tr-TR"/>
              </w:rPr>
              <w:t>,</w:t>
            </w:r>
            <w:r w:rsidRPr="00D60C1D">
              <w:rPr>
                <w:b w:val="0"/>
                <w:color w:val="000000"/>
              </w:rPr>
              <w:t xml:space="preserve"> ayrıca bir düzene kavuşturulmasının da gerekli olduğu sonucuna ulaşılmıştır. </w:t>
            </w:r>
          </w:p>
          <w:p w:rsidR="00D56390" w:rsidRPr="00D60C1D" w:rsidRDefault="00D56390" w:rsidP="009431FF">
            <w:pPr>
              <w:pStyle w:val="Mavi"/>
              <w:ind w:firstLine="709"/>
              <w:rPr>
                <w:b w:val="0"/>
                <w:color w:val="000000"/>
              </w:rPr>
            </w:pPr>
            <w:r w:rsidRPr="00D60C1D">
              <w:rPr>
                <w:b w:val="0"/>
                <w:color w:val="000000"/>
              </w:rPr>
              <w:t>Böylece düzenlemenin birinci fıkrasında, takip borçlusunun alacaklı olduğu ve h</w:t>
            </w:r>
            <w:r w:rsidR="001D7D44" w:rsidRPr="00D60C1D">
              <w:rPr>
                <w:b w:val="0"/>
                <w:color w:val="000000"/>
                <w:lang w:val="tr-TR"/>
              </w:rPr>
              <w:t>â</w:t>
            </w:r>
            <w:r w:rsidRPr="00D60C1D">
              <w:rPr>
                <w:b w:val="0"/>
                <w:color w:val="000000"/>
              </w:rPr>
              <w:t>lihazırda bir icra takibine konu edilmiş alacakların haczi üzerine icra ve iflas dairesinin, haczedilen alacağın borçlusuna yani diğer takibin takip borçlusuna, “</w:t>
            </w:r>
            <w:r w:rsidRPr="00D60C1D">
              <w:rPr>
                <w:b w:val="0"/>
                <w:i/>
                <w:color w:val="000000"/>
              </w:rPr>
              <w:t xml:space="preserve">borcunu bundan böyle kendi takibinin alacaklısına ödememesini, aksi takdirde söz </w:t>
            </w:r>
            <w:r w:rsidRPr="00D60C1D">
              <w:rPr>
                <w:b w:val="0"/>
                <w:color w:val="000000"/>
              </w:rPr>
              <w:t xml:space="preserve">konusu alacağı haczetmiş olan alacaklının icra takip dosyasına yeniden ödemek zorunda kalacağını” ihtar edeceği ve tabiatıyla ilgili icra </w:t>
            </w:r>
            <w:r w:rsidR="00335C53" w:rsidRPr="00D60C1D">
              <w:rPr>
                <w:b w:val="0"/>
                <w:color w:val="000000"/>
              </w:rPr>
              <w:t>ve iflas dairesine de</w:t>
            </w:r>
            <w:r w:rsidRPr="00D60C1D">
              <w:rPr>
                <w:b w:val="0"/>
                <w:color w:val="000000"/>
                <w:lang w:val="tr-TR"/>
              </w:rPr>
              <w:t xml:space="preserve"> </w:t>
            </w:r>
            <w:r w:rsidRPr="00D60C1D">
              <w:rPr>
                <w:b w:val="0"/>
                <w:color w:val="000000"/>
              </w:rPr>
              <w:t>kendi nezdinde “</w:t>
            </w:r>
            <w:r w:rsidRPr="00D60C1D">
              <w:rPr>
                <w:b w:val="0"/>
                <w:i/>
                <w:color w:val="000000"/>
              </w:rPr>
              <w:t>takip konusu olan alacağın haczedildiğini</w:t>
            </w:r>
            <w:r w:rsidRPr="00D60C1D">
              <w:rPr>
                <w:b w:val="0"/>
                <w:color w:val="000000"/>
              </w:rPr>
              <w:t xml:space="preserve">” bildireceği düzenlenmektedir. </w:t>
            </w:r>
          </w:p>
          <w:p w:rsidR="00D56390" w:rsidRPr="00D60C1D" w:rsidRDefault="00D56390" w:rsidP="009431FF">
            <w:pPr>
              <w:pStyle w:val="Mavi"/>
              <w:ind w:firstLine="709"/>
              <w:rPr>
                <w:b w:val="0"/>
                <w:color w:val="000000"/>
              </w:rPr>
            </w:pPr>
            <w:r w:rsidRPr="00D60C1D">
              <w:rPr>
                <w:b w:val="0"/>
                <w:color w:val="000000"/>
              </w:rPr>
              <w:t>Söz konusu haciz, Taslağın</w:t>
            </w:r>
            <w:r w:rsidRPr="00A23740">
              <w:rPr>
                <w:b w:val="0"/>
              </w:rPr>
              <w:t xml:space="preserve"> </w:t>
            </w:r>
            <w:r w:rsidRPr="00D60C1D">
              <w:rPr>
                <w:b w:val="0"/>
                <w:color w:val="000000"/>
              </w:rPr>
              <w:t>174 üncü</w:t>
            </w:r>
            <w:r w:rsidR="00550A4A" w:rsidRPr="00A23740">
              <w:rPr>
                <w:b w:val="0"/>
                <w:lang w:val="tr-TR"/>
              </w:rPr>
              <w:t xml:space="preserve"> </w:t>
            </w:r>
            <w:r w:rsidRPr="00D60C1D">
              <w:rPr>
                <w:b w:val="0"/>
                <w:color w:val="000000"/>
              </w:rPr>
              <w:t>maddesinin üçüncü fıkrasında yazılı sonuca yol açacak olup</w:t>
            </w:r>
            <w:r w:rsidR="00F523F4" w:rsidRPr="00D60C1D">
              <w:rPr>
                <w:b w:val="0"/>
                <w:color w:val="000000"/>
                <w:lang w:val="tr-TR"/>
              </w:rPr>
              <w:t>,</w:t>
            </w:r>
            <w:r w:rsidRPr="00D60C1D">
              <w:rPr>
                <w:b w:val="0"/>
                <w:color w:val="000000"/>
              </w:rPr>
              <w:t xml:space="preserve"> haczedilmiş olan alacak ile ilgili tasarruflar, haczi koyduran alacaklının haklarını ihlal ettiği oranda geçersiz sayılacaktır. </w:t>
            </w:r>
          </w:p>
          <w:p w:rsidR="00D56390" w:rsidRPr="00D60C1D" w:rsidRDefault="00D56390" w:rsidP="009431FF">
            <w:pPr>
              <w:pStyle w:val="Mavi"/>
              <w:ind w:firstLine="709"/>
              <w:rPr>
                <w:b w:val="0"/>
                <w:color w:val="000000"/>
              </w:rPr>
            </w:pPr>
            <w:r w:rsidRPr="00D60C1D">
              <w:rPr>
                <w:b w:val="0"/>
                <w:color w:val="000000"/>
              </w:rPr>
              <w:t xml:space="preserve">Hükmün üçüncü ve dördüncü fıkraları, haczedilen alacağın konu olduğu icra takibinin içinde bulunduğu aşamaya göre geçerlilik kazanacak bir ayrımı esas almıştır: </w:t>
            </w:r>
          </w:p>
          <w:p w:rsidR="00D56390" w:rsidRPr="00D60C1D" w:rsidRDefault="00D56390" w:rsidP="009431FF">
            <w:pPr>
              <w:pStyle w:val="Mavi"/>
              <w:ind w:firstLine="709"/>
              <w:rPr>
                <w:b w:val="0"/>
                <w:color w:val="000000"/>
              </w:rPr>
            </w:pPr>
            <w:r w:rsidRPr="00D60C1D">
              <w:rPr>
                <w:b w:val="0"/>
                <w:color w:val="000000"/>
              </w:rPr>
              <w:t>Buna göre</w:t>
            </w:r>
            <w:r w:rsidR="00F523F4" w:rsidRPr="00D60C1D">
              <w:rPr>
                <w:b w:val="0"/>
                <w:color w:val="000000"/>
                <w:lang w:val="tr-TR"/>
              </w:rPr>
              <w:t>,</w:t>
            </w:r>
            <w:r w:rsidRPr="00D60C1D">
              <w:rPr>
                <w:b w:val="0"/>
                <w:color w:val="000000"/>
              </w:rPr>
              <w:t xml:space="preserve"> hacizli alacağın tahsilinde; icra veznesine girmiş olan para, düzenlemenin birinci fıkrasında geçen yazının muhatabı olan icra ve iflas dairesi tarafından en geç üç iş günü içinde, söz konusu haciz yazısını gönderen icra ve iflas dairesinin hesabına aktarılacaktır. Bu hâlde şüphesiz ki, gönderilecek paranın hesabında, 1136 sayılı Avukatlık Kanununun 164 üncü maddesinin beşinci fıkrası hükmü gereği yapılması gereken kesintinin de gözden uzak tutulmaması gerekir. Zira anılan kesinti, tatbik edilen haczin kapsamında değildir. </w:t>
            </w:r>
          </w:p>
          <w:p w:rsidR="00D56390" w:rsidRPr="00A23740" w:rsidRDefault="00D56390" w:rsidP="008B4E7E">
            <w:pPr>
              <w:pStyle w:val="Mavi"/>
              <w:ind w:firstLine="709"/>
              <w:rPr>
                <w:b w:val="0"/>
                <w:bCs w:val="0"/>
              </w:rPr>
            </w:pPr>
            <w:r w:rsidRPr="00D60C1D">
              <w:rPr>
                <w:b w:val="0"/>
                <w:color w:val="000000"/>
              </w:rPr>
              <w:t>Son olarak şayet haczedilen takip konusu alacak, çekişmeli ise</w:t>
            </w:r>
            <w:r w:rsidR="005813BA" w:rsidRPr="00D60C1D">
              <w:rPr>
                <w:b w:val="0"/>
                <w:color w:val="000000"/>
                <w:lang w:val="tr-TR"/>
              </w:rPr>
              <w:t>,</w:t>
            </w:r>
            <w:r w:rsidRPr="00D60C1D">
              <w:rPr>
                <w:b w:val="0"/>
                <w:color w:val="000000"/>
              </w:rPr>
              <w:t xml:space="preserve"> artık</w:t>
            </w:r>
            <w:r w:rsidRPr="00A23740">
              <w:rPr>
                <w:b w:val="0"/>
              </w:rPr>
              <w:t xml:space="preserve"> </w:t>
            </w:r>
            <w:r w:rsidR="003D1AA7" w:rsidRPr="00D60C1D">
              <w:rPr>
                <w:rStyle w:val="YELChar"/>
                <w:color w:val="000000"/>
              </w:rPr>
              <w:t>bu</w:t>
            </w:r>
            <w:r w:rsidR="003D1AA7" w:rsidRPr="00D60C1D">
              <w:rPr>
                <w:b w:val="0"/>
                <w:color w:val="000000"/>
                <w:lang w:val="tr-TR"/>
              </w:rPr>
              <w:t xml:space="preserve"> </w:t>
            </w:r>
            <w:r w:rsidRPr="00D60C1D">
              <w:rPr>
                <w:b w:val="0"/>
                <w:color w:val="000000"/>
              </w:rPr>
              <w:t xml:space="preserve">alacağı haczeden takip alacaklısının, o dosyada alacaklı gözüken takip borçlusunun yerine geçerek Taslağın </w:t>
            </w:r>
            <w:r w:rsidR="00550A4A" w:rsidRPr="00D60C1D">
              <w:rPr>
                <w:rStyle w:val="KonuBalChar"/>
                <w:rFonts w:eastAsia="Calibri"/>
                <w:color w:val="000000"/>
              </w:rPr>
              <w:t>207 ve 208 inci</w:t>
            </w:r>
            <w:r w:rsidRPr="00A23740">
              <w:rPr>
                <w:b w:val="0"/>
              </w:rPr>
              <w:t xml:space="preserve"> </w:t>
            </w:r>
            <w:r w:rsidRPr="00D60C1D">
              <w:rPr>
                <w:b w:val="0"/>
                <w:color w:val="000000"/>
              </w:rPr>
              <w:t>maddelerinde düzenlenen</w:t>
            </w:r>
            <w:r w:rsidR="005813BA" w:rsidRPr="00D60C1D">
              <w:rPr>
                <w:b w:val="0"/>
                <w:color w:val="000000"/>
                <w:lang w:val="tr-TR"/>
              </w:rPr>
              <w:t xml:space="preserve"> hususları</w:t>
            </w:r>
            <w:r w:rsidR="008B4E7E">
              <w:rPr>
                <w:b w:val="0"/>
                <w:color w:val="000000"/>
              </w:rPr>
              <w:t xml:space="preserve"> hayata geçirmesi gerekecektir.</w:t>
            </w:r>
            <w:r w:rsidRPr="00A23740">
              <w:t xml:space="preserve"> </w:t>
            </w:r>
          </w:p>
          <w:p w:rsidR="00B62391" w:rsidRPr="00A23740" w:rsidRDefault="00B62391" w:rsidP="009431FF">
            <w:pPr>
              <w:tabs>
                <w:tab w:val="left" w:pos="567"/>
              </w:tabs>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Taşınır mallarda haczin </w:t>
            </w:r>
            <w:r w:rsidRPr="00A23740">
              <w:rPr>
                <w:rFonts w:eastAsia="Times New Roman"/>
                <w:b/>
                <w:strike/>
                <w:color w:val="FF0000"/>
                <w:szCs w:val="24"/>
                <w:lang w:eastAsia="tr-TR"/>
              </w:rPr>
              <w:t>neticeleri :</w:t>
            </w:r>
          </w:p>
          <w:p w:rsidR="00AA5C8C" w:rsidRPr="00A23740" w:rsidRDefault="00AA5C8C" w:rsidP="009431FF">
            <w:pPr>
              <w:tabs>
                <w:tab w:val="left" w:pos="567"/>
              </w:tabs>
              <w:rPr>
                <w:rFonts w:eastAsia="Times New Roman"/>
                <w:b/>
                <w:szCs w:val="24"/>
                <w:lang w:eastAsia="tr-TR"/>
              </w:rPr>
            </w:pPr>
            <w:r w:rsidRPr="00A23740">
              <w:rPr>
                <w:rStyle w:val="KIRMIZIChar"/>
                <w:rFonts w:eastAsia="Calibri"/>
              </w:rPr>
              <w:t>Madde 86  – (1) (</w:t>
            </w:r>
            <w:r w:rsidRPr="00A23740">
              <w:rPr>
                <w:rFonts w:eastAsia="Times New Roman"/>
                <w:b/>
                <w:strike/>
                <w:color w:val="FF0000"/>
                <w:szCs w:val="24"/>
                <w:lang w:eastAsia="tr-TR"/>
              </w:rPr>
              <w:t>Değişik: 18/2/1965 - 538/48 md.)</w:t>
            </w: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 xml:space="preserve">Borçlu, alacaklının </w:t>
            </w:r>
            <w:r w:rsidRPr="00A23740">
              <w:rPr>
                <w:rFonts w:eastAsia="Times New Roman"/>
                <w:b/>
                <w:strike/>
                <w:color w:val="FF0000"/>
                <w:szCs w:val="24"/>
                <w:lang w:eastAsia="tr-TR"/>
              </w:rPr>
              <w:t>muvafakati</w:t>
            </w:r>
            <w:r w:rsidRPr="00A23740">
              <w:rPr>
                <w:rFonts w:eastAsia="Times New Roman"/>
                <w:szCs w:val="24"/>
                <w:lang w:eastAsia="tr-TR"/>
              </w:rPr>
              <w:t xml:space="preserve"> ve icra </w:t>
            </w:r>
            <w:r w:rsidRPr="00A23740">
              <w:rPr>
                <w:rFonts w:eastAsia="Times New Roman"/>
                <w:b/>
                <w:strike/>
                <w:color w:val="FF0000"/>
                <w:szCs w:val="24"/>
                <w:lang w:eastAsia="tr-TR"/>
              </w:rPr>
              <w:t xml:space="preserve">memurunun müsaadesi </w:t>
            </w:r>
            <w:r w:rsidRPr="00A23740">
              <w:rPr>
                <w:rStyle w:val="KIRMIZIChar"/>
                <w:rFonts w:eastAsia="Calibri"/>
              </w:rPr>
              <w:t>alınmaksızın mahcuz</w:t>
            </w:r>
            <w:r w:rsidRPr="00A23740">
              <w:rPr>
                <w:rFonts w:eastAsia="Times New Roman"/>
                <w:szCs w:val="24"/>
                <w:lang w:eastAsia="tr-TR"/>
              </w:rPr>
              <w:t xml:space="preserve"> taşınır mallar</w:t>
            </w:r>
            <w:r w:rsidRPr="00A23740">
              <w:rPr>
                <w:rStyle w:val="KIRMIZIChar"/>
                <w:rFonts w:eastAsia="Calibri"/>
              </w:rPr>
              <w:t>da</w:t>
            </w:r>
            <w:r w:rsidRPr="00A23740">
              <w:rPr>
                <w:rFonts w:eastAsia="Times New Roman"/>
                <w:szCs w:val="24"/>
                <w:lang w:eastAsia="tr-TR"/>
              </w:rPr>
              <w:t xml:space="preserve"> tasarruf e</w:t>
            </w:r>
            <w:r w:rsidRPr="00A23740">
              <w:rPr>
                <w:rStyle w:val="KIRMIZIChar"/>
                <w:rFonts w:eastAsia="Calibri"/>
              </w:rPr>
              <w:t>demez.</w:t>
            </w:r>
            <w:r w:rsidRPr="00A23740">
              <w:rPr>
                <w:rFonts w:eastAsia="Times New Roman"/>
                <w:szCs w:val="24"/>
                <w:lang w:eastAsia="tr-TR"/>
              </w:rPr>
              <w:t xml:space="preserve"> Haczi koyan memur </w:t>
            </w:r>
            <w:r w:rsidRPr="00A23740">
              <w:rPr>
                <w:rStyle w:val="KIRMIZIChar"/>
                <w:rFonts w:eastAsia="Calibri"/>
              </w:rPr>
              <w:t>hilafına</w:t>
            </w:r>
            <w:r w:rsidRPr="00A23740">
              <w:rPr>
                <w:rFonts w:eastAsia="Times New Roman"/>
                <w:szCs w:val="24"/>
                <w:lang w:eastAsia="tr-TR"/>
              </w:rPr>
              <w:t xml:space="preserve"> hareketin </w:t>
            </w:r>
            <w:r w:rsidRPr="00A23740">
              <w:rPr>
                <w:rStyle w:val="KIRMIZIChar"/>
                <w:rFonts w:eastAsia="Calibri"/>
              </w:rPr>
              <w:t>cezai mesuliyeti müstelzim olduğunu borçluya</w:t>
            </w:r>
            <w:r w:rsidRPr="00A23740">
              <w:rPr>
                <w:rFonts w:eastAsia="Times New Roman"/>
                <w:szCs w:val="24"/>
                <w:lang w:eastAsia="tr-TR"/>
              </w:rPr>
              <w:t xml:space="preserve"> ihtar eder.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İyi niyet </w:t>
            </w:r>
            <w:r w:rsidRPr="00A23740">
              <w:rPr>
                <w:rStyle w:val="KIRMIZIChar"/>
                <w:rFonts w:eastAsia="Calibri"/>
              </w:rPr>
              <w:t>kaidelerine</w:t>
            </w:r>
            <w:r w:rsidRPr="00A23740">
              <w:rPr>
                <w:rFonts w:eastAsia="Times New Roman"/>
                <w:szCs w:val="24"/>
                <w:lang w:eastAsia="tr-TR"/>
              </w:rPr>
              <w:t xml:space="preserve"> aykırı olarak </w:t>
            </w:r>
            <w:r w:rsidRPr="00A23740">
              <w:rPr>
                <w:rStyle w:val="KIRMIZIChar"/>
                <w:rFonts w:eastAsia="Calibri"/>
              </w:rPr>
              <w:t>mahcuz</w:t>
            </w:r>
            <w:r w:rsidRPr="00A23740">
              <w:rPr>
                <w:rFonts w:eastAsia="Times New Roman"/>
                <w:szCs w:val="24"/>
                <w:lang w:eastAsia="tr-TR"/>
              </w:rPr>
              <w:t xml:space="preserve"> taşınır mal üzerinde üçüncü </w:t>
            </w:r>
            <w:r w:rsidRPr="00A23740">
              <w:rPr>
                <w:rStyle w:val="KIRMIZIChar"/>
                <w:rFonts w:eastAsia="Calibri"/>
              </w:rPr>
              <w:t>şahsın iktisabettiği</w:t>
            </w:r>
            <w:r w:rsidRPr="00A23740">
              <w:rPr>
                <w:rFonts w:eastAsia="Times New Roman"/>
                <w:szCs w:val="24"/>
                <w:lang w:eastAsia="tr-TR"/>
              </w:rPr>
              <w:t>, haklar, alacaklının hacizle o mal</w:t>
            </w:r>
            <w:r w:rsidRPr="00A23740">
              <w:rPr>
                <w:rStyle w:val="KIRMIZIChar"/>
                <w:rFonts w:eastAsia="Calibri"/>
              </w:rPr>
              <w:t>a</w:t>
            </w:r>
            <w:r w:rsidRPr="00A23740">
              <w:rPr>
                <w:rFonts w:eastAsia="Times New Roman"/>
                <w:szCs w:val="24"/>
                <w:lang w:eastAsia="tr-TR"/>
              </w:rPr>
              <w:t xml:space="preserve"> </w:t>
            </w:r>
            <w:r w:rsidRPr="00A23740">
              <w:rPr>
                <w:rStyle w:val="KIRMIZIChar"/>
                <w:rFonts w:eastAsia="Calibri"/>
              </w:rPr>
              <w:t xml:space="preserve">taallük eden </w:t>
            </w:r>
            <w:r w:rsidRPr="00A23740">
              <w:rPr>
                <w:rFonts w:eastAsia="Times New Roman"/>
                <w:szCs w:val="24"/>
                <w:lang w:eastAsia="tr-TR"/>
              </w:rPr>
              <w:t>hakları</w:t>
            </w:r>
            <w:r w:rsidRPr="00A23740">
              <w:rPr>
                <w:rStyle w:val="KIRMIZIChar"/>
                <w:rFonts w:eastAsia="Calibri"/>
              </w:rPr>
              <w:t>nı</w:t>
            </w:r>
            <w:r w:rsidRPr="00A23740">
              <w:rPr>
                <w:rFonts w:eastAsia="Times New Roman"/>
                <w:szCs w:val="24"/>
                <w:lang w:eastAsia="tr-TR"/>
              </w:rPr>
              <w:t xml:space="preserve"> ihlal ettiği </w:t>
            </w:r>
            <w:r w:rsidRPr="00A23740">
              <w:rPr>
                <w:rStyle w:val="KIRMIZIChar"/>
                <w:rFonts w:eastAsia="Calibri"/>
              </w:rPr>
              <w:t>nispette batıldır.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Haczedilmiş olan taşınır mal üzerinde üçüncü </w:t>
            </w:r>
            <w:r w:rsidRPr="00A23740">
              <w:rPr>
                <w:rStyle w:val="KIRMIZIChar"/>
                <w:rFonts w:eastAsia="Calibri"/>
              </w:rPr>
              <w:t>şahsın</w:t>
            </w:r>
            <w:r w:rsidRPr="00A23740">
              <w:rPr>
                <w:rFonts w:eastAsia="Times New Roman"/>
                <w:szCs w:val="24"/>
                <w:lang w:eastAsia="tr-TR"/>
              </w:rPr>
              <w:t xml:space="preserve"> zilyedlik hükümlerine dayanarak </w:t>
            </w:r>
            <w:r w:rsidRPr="00A23740">
              <w:rPr>
                <w:rFonts w:eastAsia="Times New Roman"/>
                <w:b/>
                <w:strike/>
                <w:color w:val="FF0000"/>
                <w:szCs w:val="24"/>
                <w:lang w:eastAsia="tr-TR"/>
              </w:rPr>
              <w:t>iyi niyetle</w:t>
            </w:r>
            <w:r w:rsidRPr="00A23740">
              <w:rPr>
                <w:rFonts w:eastAsia="Times New Roman"/>
                <w:szCs w:val="24"/>
                <w:lang w:eastAsia="tr-TR"/>
              </w:rPr>
              <w:t xml:space="preserve"> </w:t>
            </w:r>
            <w:r w:rsidRPr="00A23740">
              <w:rPr>
                <w:rStyle w:val="KIRMIZIChar"/>
                <w:rFonts w:eastAsia="Calibri"/>
              </w:rPr>
              <w:t>iktisabettiği</w:t>
            </w:r>
            <w:r w:rsidRPr="00A23740">
              <w:rPr>
                <w:rFonts w:eastAsia="Times New Roman"/>
                <w:szCs w:val="24"/>
                <w:lang w:eastAsia="tr-TR"/>
              </w:rPr>
              <w:t xml:space="preserve"> haklar saklıdır.</w:t>
            </w:r>
          </w:p>
        </w:tc>
        <w:tc>
          <w:tcPr>
            <w:tcW w:w="2500" w:type="pct"/>
          </w:tcPr>
          <w:p w:rsidR="00AA5C8C" w:rsidRPr="00A23740" w:rsidRDefault="00AA5C8C" w:rsidP="009431FF">
            <w:pPr>
              <w:pStyle w:val="Mavi"/>
              <w:jc w:val="center"/>
              <w:rPr>
                <w:lang w:val="tr-TR"/>
              </w:rPr>
            </w:pPr>
            <w:r w:rsidRPr="00A23740">
              <w:rPr>
                <w:lang w:val="tr-TR"/>
              </w:rPr>
              <w:t>ÜÇÜNCÜ AYRIM</w:t>
            </w:r>
          </w:p>
          <w:p w:rsidR="00AA5C8C" w:rsidRPr="00A23740" w:rsidRDefault="00AA5C8C" w:rsidP="009431FF">
            <w:pPr>
              <w:pStyle w:val="Balk4"/>
              <w:rPr>
                <w:lang w:val="tr-TR"/>
              </w:rPr>
            </w:pPr>
            <w:r w:rsidRPr="00A23740">
              <w:rPr>
                <w:lang w:val="tr-TR"/>
              </w:rPr>
              <w:t xml:space="preserve">Taşınır Mallarda Haczin </w:t>
            </w:r>
            <w:r w:rsidRPr="00A23740">
              <w:rPr>
                <w:rStyle w:val="MAVChar"/>
                <w:rFonts w:eastAsia="ヒラギノ明朝 Pro W3"/>
                <w:b/>
                <w:bCs/>
                <w:szCs w:val="28"/>
                <w:u w:val="none"/>
                <w:lang w:val="tr-TR"/>
              </w:rPr>
              <w:t>Sonuçları</w:t>
            </w:r>
          </w:p>
          <w:p w:rsidR="00AA5C8C" w:rsidRPr="00A23740" w:rsidRDefault="00AA5C8C" w:rsidP="009431FF">
            <w:pPr>
              <w:pStyle w:val="KIRMIZI"/>
              <w:jc w:val="cente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Haczin </w:t>
            </w:r>
            <w:r w:rsidRPr="00A23740">
              <w:rPr>
                <w:rStyle w:val="MAVChar"/>
                <w:rFonts w:eastAsia="Calibri"/>
                <w:u w:val="none"/>
              </w:rPr>
              <w:t>sonuçları</w:t>
            </w:r>
          </w:p>
          <w:p w:rsidR="00AA5C8C" w:rsidRPr="00A23740" w:rsidRDefault="00AA5C8C" w:rsidP="009431FF">
            <w:pPr>
              <w:tabs>
                <w:tab w:val="left" w:pos="567"/>
              </w:tabs>
              <w:rPr>
                <w:rFonts w:eastAsia="Times New Roman"/>
                <w:szCs w:val="24"/>
                <w:lang w:eastAsia="tr-TR"/>
              </w:rPr>
            </w:pPr>
            <w:r w:rsidRPr="00A23740">
              <w:rPr>
                <w:rStyle w:val="MaviChar"/>
                <w:lang w:val="tr-TR"/>
              </w:rPr>
              <w:t xml:space="preserve">MADDE </w:t>
            </w:r>
            <w:r w:rsidR="00E3593B" w:rsidRPr="00A23740">
              <w:rPr>
                <w:rStyle w:val="MaviChar"/>
              </w:rPr>
              <w:t>1</w:t>
            </w:r>
            <w:r w:rsidR="00E3593B" w:rsidRPr="00A23740">
              <w:rPr>
                <w:rStyle w:val="MaviChar"/>
                <w:lang w:val="tr-TR"/>
              </w:rPr>
              <w:t>74</w:t>
            </w:r>
            <w:r w:rsidRPr="00A23740">
              <w:rPr>
                <w:rStyle w:val="MaviChar"/>
              </w:rPr>
              <w:t>-</w:t>
            </w:r>
            <w:r w:rsidRPr="00A23740">
              <w:rPr>
                <w:rStyle w:val="MAVChar"/>
                <w:rFonts w:eastAsia="Calibri"/>
                <w:u w:val="none"/>
              </w:rPr>
              <w:t xml:space="preserve"> (</w:t>
            </w:r>
            <w:r w:rsidRPr="00A23740">
              <w:rPr>
                <w:rFonts w:eastAsia="Times New Roman"/>
                <w:b/>
                <w:color w:val="0000FF"/>
                <w:szCs w:val="24"/>
                <w:lang w:eastAsia="tr-TR"/>
              </w:rPr>
              <w:t xml:space="preserve">1) </w:t>
            </w:r>
            <w:r w:rsidRPr="00A23740">
              <w:rPr>
                <w:rFonts w:eastAsia="Times New Roman"/>
                <w:szCs w:val="24"/>
                <w:lang w:eastAsia="tr-TR"/>
              </w:rPr>
              <w:t xml:space="preserve">Borçlu, alacaklının </w:t>
            </w:r>
            <w:r w:rsidRPr="00A23740">
              <w:rPr>
                <w:rFonts w:eastAsia="Times New Roman"/>
                <w:b/>
                <w:color w:val="0000FF"/>
                <w:szCs w:val="24"/>
                <w:lang w:eastAsia="tr-TR"/>
              </w:rPr>
              <w:t>izni</w:t>
            </w:r>
            <w:r w:rsidRPr="00A23740">
              <w:t xml:space="preserve"> ve</w:t>
            </w:r>
            <w:r w:rsidRPr="00A23740">
              <w:rPr>
                <w:rFonts w:eastAsia="Times New Roman"/>
                <w:szCs w:val="24"/>
                <w:lang w:eastAsia="tr-TR"/>
              </w:rPr>
              <w:t xml:space="preserve"> icra</w:t>
            </w:r>
            <w:r w:rsidRPr="00A23740">
              <w:rPr>
                <w:rFonts w:eastAsia="Times New Roman"/>
                <w:b/>
                <w:color w:val="0000FF"/>
                <w:szCs w:val="24"/>
                <w:lang w:eastAsia="tr-TR"/>
              </w:rPr>
              <w:t xml:space="preserve"> </w:t>
            </w:r>
            <w:r w:rsidR="00C203B4" w:rsidRPr="00B26441">
              <w:rPr>
                <w:rStyle w:val="Balk1Char"/>
                <w:rFonts w:eastAsia="Calibri"/>
              </w:rPr>
              <w:t>ve iflas</w:t>
            </w:r>
            <w:r w:rsidR="00C203B4" w:rsidRPr="00A23740">
              <w:rPr>
                <w:rFonts w:eastAsia="Times New Roman"/>
                <w:b/>
                <w:color w:val="385623"/>
                <w:szCs w:val="24"/>
                <w:lang w:eastAsia="tr-TR"/>
              </w:rPr>
              <w:t xml:space="preserve"> </w:t>
            </w:r>
            <w:r w:rsidRPr="00A23740">
              <w:rPr>
                <w:rFonts w:eastAsia="Times New Roman"/>
                <w:b/>
                <w:color w:val="0000FF"/>
                <w:szCs w:val="24"/>
                <w:lang w:eastAsia="tr-TR"/>
              </w:rPr>
              <w:t xml:space="preserve">müdürünün onayı </w:t>
            </w:r>
            <w:r w:rsidRPr="00A23740">
              <w:rPr>
                <w:rStyle w:val="MAVChar"/>
                <w:rFonts w:eastAsia="Calibri"/>
                <w:u w:val="none"/>
              </w:rPr>
              <w:t>olmaksızın hacizli</w:t>
            </w:r>
            <w:r w:rsidRPr="00A23740">
              <w:rPr>
                <w:rFonts w:eastAsia="Times New Roman"/>
                <w:szCs w:val="24"/>
                <w:lang w:eastAsia="tr-TR"/>
              </w:rPr>
              <w:t xml:space="preserve"> taşınır mallar</w:t>
            </w:r>
            <w:r w:rsidRPr="00A23740">
              <w:rPr>
                <w:rStyle w:val="MaviChar"/>
                <w:lang w:val="tr-TR"/>
              </w:rPr>
              <w:t xml:space="preserve">ı </w:t>
            </w:r>
            <w:r w:rsidRPr="00A23740">
              <w:rPr>
                <w:rFonts w:eastAsia="Times New Roman"/>
                <w:b/>
                <w:color w:val="0000FF"/>
                <w:szCs w:val="24"/>
                <w:lang w:eastAsia="tr-TR"/>
              </w:rPr>
              <w:t>üzerinde</w:t>
            </w:r>
            <w:r w:rsidRPr="00A23740">
              <w:rPr>
                <w:rFonts w:eastAsia="Times New Roman"/>
                <w:szCs w:val="24"/>
                <w:lang w:eastAsia="tr-TR"/>
              </w:rPr>
              <w:t xml:space="preserve"> </w:t>
            </w:r>
            <w:r w:rsidRPr="00A23740">
              <w:rPr>
                <w:rFonts w:eastAsia="Times New Roman"/>
                <w:b/>
                <w:color w:val="0000FF"/>
                <w:szCs w:val="24"/>
                <w:lang w:eastAsia="tr-TR"/>
              </w:rPr>
              <w:t>herhangi bir</w:t>
            </w:r>
            <w:r w:rsidRPr="00A23740">
              <w:rPr>
                <w:rFonts w:eastAsia="Times New Roman"/>
                <w:szCs w:val="24"/>
                <w:lang w:eastAsia="tr-TR"/>
              </w:rPr>
              <w:t xml:space="preserve"> tasarruf</w:t>
            </w:r>
            <w:r w:rsidRPr="00A23740">
              <w:rPr>
                <w:rFonts w:eastAsia="Times New Roman"/>
                <w:b/>
                <w:color w:val="0000FF"/>
                <w:szCs w:val="24"/>
                <w:lang w:eastAsia="tr-TR"/>
              </w:rPr>
              <w:t>ta bulunamaz</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(2)</w:t>
            </w:r>
            <w:r w:rsidRPr="00A23740">
              <w:rPr>
                <w:rFonts w:eastAsia="Times New Roman"/>
                <w:szCs w:val="24"/>
                <w:lang w:eastAsia="tr-TR"/>
              </w:rPr>
              <w:t xml:space="preserve"> Haczi </w:t>
            </w:r>
            <w:r w:rsidR="00C203B4" w:rsidRPr="00B26441">
              <w:rPr>
                <w:rStyle w:val="Balk1Char"/>
                <w:rFonts w:eastAsia="Calibri"/>
              </w:rPr>
              <w:t>gerçekleştiren</w:t>
            </w:r>
            <w:r w:rsidR="00C203B4" w:rsidRPr="00A23740">
              <w:rPr>
                <w:rFonts w:eastAsia="Times New Roman"/>
                <w:color w:val="385623"/>
                <w:szCs w:val="24"/>
                <w:lang w:eastAsia="tr-TR"/>
              </w:rPr>
              <w:t xml:space="preserve"> </w:t>
            </w:r>
            <w:r w:rsidRPr="00B26441">
              <w:rPr>
                <w:rStyle w:val="Balk1Char"/>
                <w:rFonts w:eastAsia="Calibri"/>
              </w:rPr>
              <w:t xml:space="preserve">icra </w:t>
            </w:r>
            <w:r w:rsidR="00C203B4" w:rsidRPr="00B26441">
              <w:rPr>
                <w:rStyle w:val="Balk1Char"/>
                <w:rFonts w:eastAsia="Calibri"/>
              </w:rPr>
              <w:t xml:space="preserve">ve iflas </w:t>
            </w:r>
            <w:r w:rsidRPr="00B26441">
              <w:rPr>
                <w:rStyle w:val="Balk1Char"/>
                <w:rFonts w:eastAsia="Calibri"/>
              </w:rPr>
              <w:t>müd</w:t>
            </w:r>
            <w:r w:rsidRPr="00A23740">
              <w:rPr>
                <w:rStyle w:val="MaviChar"/>
              </w:rPr>
              <w:t>ürü,</w:t>
            </w:r>
            <w:r w:rsidRPr="00A23740">
              <w:rPr>
                <w:rFonts w:eastAsia="Times New Roman"/>
                <w:b/>
                <w:color w:val="0000FF"/>
                <w:szCs w:val="24"/>
                <w:lang w:eastAsia="tr-TR"/>
              </w:rPr>
              <w:t xml:space="preserve"> yukarıdaki fıkra hükmüne aykırı </w:t>
            </w:r>
            <w:r w:rsidRPr="00A23740">
              <w:rPr>
                <w:rFonts w:eastAsia="Times New Roman"/>
                <w:szCs w:val="24"/>
                <w:lang w:eastAsia="tr-TR"/>
              </w:rPr>
              <w:t>hareketin</w:t>
            </w:r>
            <w:r w:rsidR="001351B9" w:rsidRPr="00A23740">
              <w:rPr>
                <w:rFonts w:eastAsia="Times New Roman"/>
                <w:szCs w:val="24"/>
                <w:lang w:eastAsia="tr-TR"/>
              </w:rPr>
              <w:t xml:space="preserve"> </w:t>
            </w:r>
            <w:r w:rsidR="001351B9" w:rsidRPr="00B26441">
              <w:rPr>
                <w:rStyle w:val="Balk1Char"/>
                <w:rFonts w:eastAsia="Calibri"/>
              </w:rPr>
              <w:t>522 nci</w:t>
            </w:r>
            <w:r w:rsidRPr="00A23740">
              <w:rPr>
                <w:rFonts w:eastAsia="Times New Roman"/>
                <w:szCs w:val="24"/>
                <w:lang w:eastAsia="tr-TR"/>
              </w:rPr>
              <w:t xml:space="preserve"> </w:t>
            </w:r>
            <w:r w:rsidRPr="00A23740">
              <w:rPr>
                <w:rFonts w:eastAsia="Times New Roman"/>
                <w:b/>
                <w:color w:val="0000FF"/>
                <w:szCs w:val="24"/>
                <w:lang w:eastAsia="tr-TR"/>
              </w:rPr>
              <w:t xml:space="preserve">madde hükmüne </w:t>
            </w:r>
            <w:r w:rsidRPr="00A23740">
              <w:rPr>
                <w:rStyle w:val="MaviChar"/>
                <w:lang w:val="tr-TR"/>
              </w:rPr>
              <w:t>göre cezai sorumluluğu</w:t>
            </w:r>
            <w:r w:rsidR="00C203B4" w:rsidRPr="00B26441">
              <w:rPr>
                <w:rStyle w:val="Balk1Char"/>
                <w:rFonts w:eastAsia="Calibri"/>
              </w:rPr>
              <w:t>nu</w:t>
            </w:r>
            <w:r w:rsidRPr="00A23740">
              <w:rPr>
                <w:rFonts w:eastAsia="Times New Roman"/>
                <w:b/>
                <w:color w:val="0000FF"/>
                <w:szCs w:val="24"/>
                <w:lang w:eastAsia="tr-TR"/>
              </w:rPr>
              <w:t xml:space="preserve"> gerektirdiğini </w:t>
            </w:r>
            <w:r w:rsidRPr="00A23740">
              <w:rPr>
                <w:rStyle w:val="MAVChar"/>
                <w:rFonts w:eastAsia="Calibri"/>
                <w:u w:val="none"/>
              </w:rPr>
              <w:t>borçluya</w:t>
            </w:r>
            <w:r w:rsidRPr="00A23740">
              <w:rPr>
                <w:rFonts w:eastAsia="Times New Roman"/>
                <w:szCs w:val="24"/>
                <w:lang w:eastAsia="tr-TR"/>
              </w:rPr>
              <w:t xml:space="preserve"> ihtar eder.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(3)</w:t>
            </w:r>
            <w:r w:rsidRPr="00A23740">
              <w:rPr>
                <w:rFonts w:eastAsia="Times New Roman"/>
                <w:szCs w:val="24"/>
                <w:lang w:eastAsia="tr-TR"/>
              </w:rPr>
              <w:t xml:space="preserve"> İyiniyet </w:t>
            </w:r>
            <w:r w:rsidRPr="00A23740">
              <w:rPr>
                <w:rFonts w:eastAsia="Times New Roman"/>
                <w:b/>
                <w:color w:val="0000FF"/>
                <w:szCs w:val="24"/>
                <w:lang w:eastAsia="tr-TR"/>
              </w:rPr>
              <w:t>kurallarına</w:t>
            </w:r>
            <w:r w:rsidRPr="00A23740">
              <w:rPr>
                <w:rFonts w:eastAsia="Times New Roman"/>
                <w:szCs w:val="24"/>
                <w:lang w:eastAsia="tr-TR"/>
              </w:rPr>
              <w:t xml:space="preserve"> aykırı olarak </w:t>
            </w:r>
            <w:r w:rsidRPr="00A23740">
              <w:rPr>
                <w:rFonts w:eastAsia="Times New Roman"/>
                <w:b/>
                <w:color w:val="0000FF"/>
                <w:szCs w:val="24"/>
                <w:lang w:eastAsia="tr-TR"/>
              </w:rPr>
              <w:t>hacizli</w:t>
            </w:r>
            <w:r w:rsidRPr="00A23740">
              <w:rPr>
                <w:rFonts w:eastAsia="Times New Roman"/>
                <w:szCs w:val="24"/>
                <w:lang w:eastAsia="tr-TR"/>
              </w:rPr>
              <w:t xml:space="preserve"> taşınır mal üzerinde üçüncü </w:t>
            </w:r>
            <w:r w:rsidRPr="00A23740">
              <w:rPr>
                <w:rFonts w:eastAsia="Times New Roman"/>
                <w:b/>
                <w:color w:val="0000FF"/>
                <w:szCs w:val="24"/>
                <w:lang w:eastAsia="tr-TR"/>
              </w:rPr>
              <w:t>kişinin kazanmış olduğu</w:t>
            </w:r>
            <w:r w:rsidRPr="00A23740">
              <w:rPr>
                <w:rFonts w:eastAsia="Times New Roman"/>
                <w:szCs w:val="24"/>
                <w:lang w:eastAsia="tr-TR"/>
              </w:rPr>
              <w:t xml:space="preserve"> haklar, </w:t>
            </w:r>
            <w:r w:rsidRPr="00A23740">
              <w:t xml:space="preserve">alacaklının o mal </w:t>
            </w:r>
            <w:r w:rsidRPr="00A23740">
              <w:rPr>
                <w:rFonts w:eastAsia="Times New Roman"/>
                <w:b/>
                <w:color w:val="0000FF"/>
                <w:szCs w:val="24"/>
                <w:lang w:eastAsia="tr-TR"/>
              </w:rPr>
              <w:t>üzerinde hacizle kazandığı</w:t>
            </w:r>
            <w:r w:rsidRPr="00A23740">
              <w:rPr>
                <w:rFonts w:eastAsia="Times New Roman"/>
                <w:szCs w:val="24"/>
                <w:lang w:eastAsia="tr-TR"/>
              </w:rPr>
              <w:t xml:space="preserve"> hakları ihlal ettiği </w:t>
            </w:r>
            <w:r w:rsidRPr="00A23740">
              <w:rPr>
                <w:rFonts w:eastAsia="Times New Roman"/>
                <w:b/>
                <w:color w:val="0000FF"/>
                <w:szCs w:val="24"/>
                <w:lang w:eastAsia="tr-TR"/>
              </w:rPr>
              <w:t>ölçüde hükümsüzdür.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(4)</w:t>
            </w:r>
            <w:r w:rsidRPr="00A23740">
              <w:rPr>
                <w:rFonts w:eastAsia="Times New Roman"/>
                <w:szCs w:val="24"/>
                <w:lang w:eastAsia="tr-TR"/>
              </w:rPr>
              <w:t xml:space="preserve"> Haczedilmiş olan taşınır mal üzerinde üçüncü </w:t>
            </w:r>
            <w:r w:rsidRPr="00A23740">
              <w:rPr>
                <w:rFonts w:eastAsia="Times New Roman"/>
                <w:b/>
                <w:color w:val="0000FF"/>
                <w:szCs w:val="24"/>
                <w:lang w:eastAsia="tr-TR"/>
              </w:rPr>
              <w:t>kişinin</w:t>
            </w:r>
            <w:r w:rsidRPr="00A23740">
              <w:rPr>
                <w:rFonts w:eastAsia="Times New Roman"/>
                <w:szCs w:val="24"/>
                <w:lang w:eastAsia="tr-TR"/>
              </w:rPr>
              <w:t xml:space="preserve"> zilyetlik hükümlerine dayanarak </w:t>
            </w:r>
            <w:r w:rsidRPr="00A23740">
              <w:rPr>
                <w:rFonts w:eastAsia="Times New Roman"/>
                <w:b/>
                <w:color w:val="0000FF"/>
                <w:szCs w:val="24"/>
                <w:lang w:eastAsia="tr-TR"/>
              </w:rPr>
              <w:t>iyiniyetle</w:t>
            </w:r>
            <w:r w:rsidRPr="00A23740">
              <w:rPr>
                <w:rFonts w:eastAsia="Times New Roman"/>
                <w:szCs w:val="24"/>
                <w:lang w:eastAsia="tr-TR"/>
              </w:rPr>
              <w:t xml:space="preserve"> </w:t>
            </w:r>
            <w:r w:rsidRPr="00A23740">
              <w:rPr>
                <w:rFonts w:eastAsia="Times New Roman"/>
                <w:b/>
                <w:color w:val="0000FF"/>
                <w:szCs w:val="24"/>
                <w:lang w:eastAsia="tr-TR"/>
              </w:rPr>
              <w:t>kazanmış olduğu</w:t>
            </w:r>
            <w:r w:rsidRPr="00A23740">
              <w:rPr>
                <w:rFonts w:eastAsia="Times New Roman"/>
                <w:szCs w:val="24"/>
                <w:lang w:eastAsia="tr-TR"/>
              </w:rPr>
              <w:t xml:space="preserve"> haklar saklıdır.</w:t>
            </w:r>
          </w:p>
          <w:p w:rsidR="00AA5C8C" w:rsidRPr="00A23740" w:rsidRDefault="00AA5C8C" w:rsidP="009431FF">
            <w:pPr>
              <w:tabs>
                <w:tab w:val="left" w:pos="567"/>
              </w:tabs>
              <w:rPr>
                <w:rFonts w:eastAsia="Times New Roman"/>
                <w:szCs w:val="24"/>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62391" w:rsidRPr="00A23740" w:rsidRDefault="00B62391" w:rsidP="009431FF">
            <w:pPr>
              <w:tabs>
                <w:tab w:val="left" w:pos="567"/>
              </w:tabs>
              <w:rPr>
                <w:b/>
              </w:rPr>
            </w:pPr>
          </w:p>
          <w:p w:rsidR="00D24953" w:rsidRPr="00A23740" w:rsidRDefault="00E3593B" w:rsidP="009431FF">
            <w:pPr>
              <w:tabs>
                <w:tab w:val="left" w:pos="567"/>
              </w:tabs>
              <w:ind w:firstLine="709"/>
              <w:rPr>
                <w:rFonts w:eastAsia="Times New Roman"/>
                <w:b/>
                <w:szCs w:val="24"/>
                <w:lang w:eastAsia="tr-TR"/>
              </w:rPr>
            </w:pPr>
            <w:r w:rsidRPr="00A23740">
              <w:rPr>
                <w:b/>
              </w:rPr>
              <w:t>MADDE 174</w:t>
            </w:r>
            <w:r w:rsidR="00B62391" w:rsidRPr="00A23740">
              <w:rPr>
                <w:b/>
              </w:rPr>
              <w:t xml:space="preserve"> </w:t>
            </w:r>
            <w:r w:rsidR="00D24953" w:rsidRPr="00A23740">
              <w:rPr>
                <w:b/>
              </w:rPr>
              <w:t>-</w:t>
            </w:r>
            <w:r w:rsidR="00B62391" w:rsidRPr="00A23740">
              <w:rPr>
                <w:b/>
              </w:rPr>
              <w:t xml:space="preserve"> </w:t>
            </w:r>
            <w:r w:rsidR="00D24953" w:rsidRPr="00A23740">
              <w:rPr>
                <w:rFonts w:eastAsia="Times New Roman"/>
                <w:szCs w:val="24"/>
                <w:lang w:eastAsia="tr-TR"/>
              </w:rPr>
              <w:t>Maddeyle, haczin sonuçlarına ilişkin hususlar düzenlenmektedir. Hüküm, 2004 sayılı Kanunun 86 ncı maddesine karşılık gelmektedir.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 xml:space="preserve">Birinci fıkrayla haczedilen taşınır malın üzerindeki borçlunun tasarruf yetkisi kısıtlanmıştır. Ancak alacaklının izni ve </w:t>
            </w:r>
            <w:r w:rsidRPr="00D60C1D">
              <w:rPr>
                <w:rFonts w:eastAsia="Times New Roman"/>
                <w:color w:val="000000"/>
                <w:szCs w:val="24"/>
                <w:lang w:eastAsia="tr-TR"/>
              </w:rPr>
              <w:t xml:space="preserve">icra </w:t>
            </w:r>
            <w:r w:rsidR="007D74DD" w:rsidRPr="00D60C1D">
              <w:rPr>
                <w:color w:val="000000"/>
              </w:rPr>
              <w:t>ve iflas</w:t>
            </w:r>
            <w:r w:rsidR="007D74DD" w:rsidRPr="00D60C1D">
              <w:rPr>
                <w:b/>
                <w:color w:val="000000"/>
              </w:rPr>
              <w:t xml:space="preserve"> </w:t>
            </w:r>
            <w:r w:rsidRPr="00D60C1D">
              <w:rPr>
                <w:rFonts w:eastAsia="Times New Roman"/>
                <w:color w:val="000000"/>
                <w:szCs w:val="24"/>
                <w:lang w:eastAsia="tr-TR"/>
              </w:rPr>
              <w:t>müdürünün onayı h</w:t>
            </w:r>
            <w:r w:rsidR="001D7D44" w:rsidRPr="00D60C1D">
              <w:rPr>
                <w:rFonts w:eastAsia="Times New Roman"/>
                <w:color w:val="000000"/>
                <w:szCs w:val="24"/>
                <w:lang w:eastAsia="tr-TR"/>
              </w:rPr>
              <w:t>â</w:t>
            </w:r>
            <w:r w:rsidRPr="00D60C1D">
              <w:rPr>
                <w:rFonts w:eastAsia="Times New Roman"/>
                <w:color w:val="000000"/>
                <w:szCs w:val="24"/>
                <w:lang w:eastAsia="tr-TR"/>
              </w:rPr>
              <w:t>linde taşınır mal üze</w:t>
            </w:r>
            <w:r w:rsidRPr="00A23740">
              <w:rPr>
                <w:rFonts w:eastAsia="Times New Roman"/>
                <w:szCs w:val="24"/>
                <w:lang w:eastAsia="tr-TR"/>
              </w:rPr>
              <w:t>rinde tasarruf</w:t>
            </w:r>
            <w:r w:rsidR="00E3593B" w:rsidRPr="00A23740">
              <w:rPr>
                <w:rStyle w:val="YELChar"/>
              </w:rPr>
              <w:t xml:space="preserve"> </w:t>
            </w:r>
            <w:r w:rsidR="00E3593B" w:rsidRPr="00D60C1D">
              <w:rPr>
                <w:rStyle w:val="YELChar"/>
                <w:b w:val="0"/>
                <w:color w:val="000000"/>
              </w:rPr>
              <w:t>edilebilecektir.</w:t>
            </w:r>
          </w:p>
          <w:p w:rsidR="00B62391" w:rsidRPr="00A23740" w:rsidRDefault="00B62391" w:rsidP="009431FF">
            <w:pPr>
              <w:tabs>
                <w:tab w:val="left" w:pos="567"/>
              </w:tabs>
              <w:ind w:firstLine="709"/>
              <w:rPr>
                <w:rFonts w:eastAsia="Times New Roman"/>
                <w:b/>
                <w:color w:val="0000FF"/>
                <w:szCs w:val="24"/>
                <w:lang w:eastAsia="tr-TR"/>
              </w:rPr>
            </w:pPr>
            <w:r w:rsidRPr="00A23740">
              <w:rPr>
                <w:rFonts w:eastAsia="Times New Roman"/>
                <w:szCs w:val="24"/>
                <w:lang w:eastAsia="tr-TR"/>
              </w:rPr>
              <w:t xml:space="preserve">İkinci fıkrayla haczi uygulayan icra </w:t>
            </w:r>
            <w:r w:rsidR="004D02C9" w:rsidRPr="00D60C1D">
              <w:rPr>
                <w:rFonts w:eastAsia="Times New Roman"/>
                <w:color w:val="000000"/>
                <w:szCs w:val="24"/>
                <w:lang w:eastAsia="tr-TR"/>
              </w:rPr>
              <w:t xml:space="preserve">ve iflas </w:t>
            </w:r>
            <w:r w:rsidRPr="00D60C1D">
              <w:rPr>
                <w:rFonts w:eastAsia="Times New Roman"/>
                <w:color w:val="000000"/>
                <w:szCs w:val="24"/>
                <w:lang w:eastAsia="tr-TR"/>
              </w:rPr>
              <w:t>m</w:t>
            </w:r>
            <w:r w:rsidRPr="00A23740">
              <w:rPr>
                <w:rFonts w:eastAsia="Times New Roman"/>
                <w:szCs w:val="24"/>
                <w:lang w:eastAsia="tr-TR"/>
              </w:rPr>
              <w:t xml:space="preserve">üdürü tarafından borçlunun bu madde hükmüne aykırı olarak tasarrufta bulunmasının cezai </w:t>
            </w:r>
            <w:r w:rsidR="00E3593B" w:rsidRPr="00D60C1D">
              <w:rPr>
                <w:rStyle w:val="YELChar"/>
                <w:b w:val="0"/>
                <w:color w:val="000000"/>
              </w:rPr>
              <w:t>sorumluluğa yol açabileceğinin</w:t>
            </w:r>
            <w:r w:rsidRPr="00A23740">
              <w:rPr>
                <w:rFonts w:eastAsia="Times New Roman"/>
                <w:szCs w:val="24"/>
                <w:lang w:eastAsia="tr-TR"/>
              </w:rPr>
              <w:t xml:space="preserve"> borçluya ihtar </w:t>
            </w:r>
            <w:r w:rsidR="00E3593B" w:rsidRPr="00D60C1D">
              <w:rPr>
                <w:rStyle w:val="YELChar"/>
                <w:b w:val="0"/>
                <w:color w:val="000000"/>
              </w:rPr>
              <w:t>edileceğine</w:t>
            </w:r>
            <w:r w:rsidRPr="00A23740">
              <w:rPr>
                <w:rFonts w:eastAsia="Times New Roman"/>
                <w:szCs w:val="24"/>
                <w:lang w:eastAsia="tr-TR"/>
              </w:rPr>
              <w:t xml:space="preserve"> ilişkin düzenleme yapılmaktadır.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 xml:space="preserve">Üçüncü fıkrayla üçüncü kişi tarafından </w:t>
            </w:r>
            <w:r w:rsidR="00E3593B" w:rsidRPr="00D60C1D">
              <w:rPr>
                <w:rStyle w:val="YELChar"/>
                <w:b w:val="0"/>
                <w:color w:val="000000"/>
              </w:rPr>
              <w:t>haczedilmiş olan</w:t>
            </w:r>
            <w:r w:rsidRPr="00A23740">
              <w:rPr>
                <w:rFonts w:eastAsia="Times New Roman"/>
                <w:szCs w:val="24"/>
                <w:lang w:eastAsia="tr-TR"/>
              </w:rPr>
              <w:t xml:space="preserve"> bir taşınır </w:t>
            </w:r>
            <w:r w:rsidR="00E3593B" w:rsidRPr="00D60C1D">
              <w:rPr>
                <w:rStyle w:val="YELChar"/>
                <w:b w:val="0"/>
                <w:color w:val="000000"/>
              </w:rPr>
              <w:t>malın</w:t>
            </w:r>
            <w:r w:rsidRPr="00A23740">
              <w:rPr>
                <w:rFonts w:eastAsia="Times New Roman"/>
                <w:szCs w:val="24"/>
                <w:lang w:eastAsia="tr-TR"/>
              </w:rPr>
              <w:t xml:space="preserve"> iyiniyet kurullarına uygun olmayacak şekilde elde </w:t>
            </w:r>
            <w:r w:rsidR="00E3593B" w:rsidRPr="00D60C1D">
              <w:rPr>
                <w:rStyle w:val="YELChar"/>
                <w:b w:val="0"/>
                <w:color w:val="000000"/>
              </w:rPr>
              <w:t>edilmiş</w:t>
            </w:r>
            <w:r w:rsidRPr="00A23740">
              <w:rPr>
                <w:rFonts w:eastAsia="Times New Roman"/>
                <w:szCs w:val="24"/>
                <w:lang w:eastAsia="tr-TR"/>
              </w:rPr>
              <w:t xml:space="preserve"> </w:t>
            </w:r>
            <w:r w:rsidR="00E3593B" w:rsidRPr="00D60C1D">
              <w:rPr>
                <w:rStyle w:val="YELChar"/>
                <w:b w:val="0"/>
                <w:color w:val="000000"/>
              </w:rPr>
              <w:t>bulunulması</w:t>
            </w:r>
            <w:r w:rsidRPr="00A23740">
              <w:rPr>
                <w:rFonts w:eastAsia="Times New Roman"/>
                <w:szCs w:val="24"/>
                <w:lang w:eastAsia="tr-TR"/>
              </w:rPr>
              <w:t xml:space="preserve"> h</w:t>
            </w:r>
            <w:r w:rsidR="001D7D44" w:rsidRPr="00A23740">
              <w:rPr>
                <w:rFonts w:eastAsia="Times New Roman"/>
                <w:szCs w:val="24"/>
                <w:lang w:eastAsia="tr-TR"/>
              </w:rPr>
              <w:t>â</w:t>
            </w:r>
            <w:r w:rsidRPr="00A23740">
              <w:rPr>
                <w:rFonts w:eastAsia="Times New Roman"/>
                <w:szCs w:val="24"/>
                <w:lang w:eastAsia="tr-TR"/>
              </w:rPr>
              <w:t>linde</w:t>
            </w:r>
            <w:r w:rsidR="00E3593B" w:rsidRPr="00D60C1D">
              <w:rPr>
                <w:rStyle w:val="YELChar"/>
                <w:b w:val="0"/>
                <w:color w:val="000000"/>
              </w:rPr>
              <w:t>,</w:t>
            </w:r>
            <w:r w:rsidRPr="00A23740">
              <w:rPr>
                <w:rFonts w:eastAsia="Times New Roman"/>
                <w:szCs w:val="24"/>
                <w:lang w:eastAsia="tr-TR"/>
              </w:rPr>
              <w:t xml:space="preserve"> alacaklının hakları korunmakta </w:t>
            </w:r>
            <w:r w:rsidR="00E3593B" w:rsidRPr="00D60C1D">
              <w:rPr>
                <w:rStyle w:val="YELChar"/>
                <w:b w:val="0"/>
                <w:color w:val="000000"/>
              </w:rPr>
              <w:t>ve</w:t>
            </w:r>
            <w:r w:rsidR="00E3593B" w:rsidRPr="00A23740">
              <w:rPr>
                <w:rFonts w:eastAsia="Times New Roman"/>
                <w:szCs w:val="24"/>
                <w:lang w:eastAsia="tr-TR"/>
              </w:rPr>
              <w:t xml:space="preserve"> </w:t>
            </w:r>
            <w:r w:rsidRPr="00A23740">
              <w:rPr>
                <w:rFonts w:eastAsia="Times New Roman"/>
                <w:szCs w:val="24"/>
                <w:lang w:eastAsia="tr-TR"/>
              </w:rPr>
              <w:t xml:space="preserve">haciz nedeni ile elde ettiği hakları oranında üçüncü şahsın elde ettiği </w:t>
            </w:r>
            <w:r w:rsidR="008E5415" w:rsidRPr="00D60C1D">
              <w:rPr>
                <w:rStyle w:val="YELChar"/>
                <w:b w:val="0"/>
                <w:color w:val="000000"/>
              </w:rPr>
              <w:t>hakkın</w:t>
            </w:r>
            <w:r w:rsidRPr="00A23740">
              <w:rPr>
                <w:rFonts w:eastAsia="Times New Roman"/>
                <w:szCs w:val="24"/>
                <w:lang w:eastAsia="tr-TR"/>
              </w:rPr>
              <w:t xml:space="preserve"> hükümsüz </w:t>
            </w:r>
            <w:r w:rsidR="008E5415" w:rsidRPr="00D60C1D">
              <w:rPr>
                <w:rStyle w:val="YELChar"/>
                <w:b w:val="0"/>
                <w:color w:val="000000"/>
              </w:rPr>
              <w:t>olduğu açıklanmaktadır</w:t>
            </w:r>
            <w:r w:rsidR="008E5415" w:rsidRPr="00A23740">
              <w:rPr>
                <w:rFonts w:eastAsia="Times New Roman"/>
                <w:lang w:eastAsia="tr-TR"/>
              </w:rPr>
              <w:t>.</w:t>
            </w:r>
            <w:r w:rsidRPr="00A23740">
              <w:rPr>
                <w:rFonts w:eastAsia="Times New Roman"/>
                <w:szCs w:val="24"/>
                <w:lang w:eastAsia="tr-TR"/>
              </w:rPr>
              <w:t xml:space="preserve"> </w:t>
            </w:r>
            <w:r w:rsidR="008E5415" w:rsidRPr="00D60C1D">
              <w:rPr>
                <w:rStyle w:val="YELChar"/>
                <w:b w:val="0"/>
                <w:color w:val="000000"/>
              </w:rPr>
              <w:t>Bu</w:t>
            </w:r>
            <w:r w:rsidR="008E5415" w:rsidRPr="00A23740">
              <w:rPr>
                <w:rStyle w:val="YELChar"/>
              </w:rPr>
              <w:t xml:space="preserve"> </w:t>
            </w:r>
            <w:r w:rsidR="008E5415" w:rsidRPr="00D60C1D">
              <w:rPr>
                <w:rStyle w:val="YELChar"/>
                <w:b w:val="0"/>
                <w:color w:val="000000"/>
              </w:rPr>
              <w:t>düzenleme</w:t>
            </w:r>
            <w:r w:rsidR="008E5415" w:rsidRPr="00A23740">
              <w:rPr>
                <w:rStyle w:val="YELChar"/>
              </w:rPr>
              <w:t xml:space="preserve"> </w:t>
            </w:r>
            <w:r w:rsidR="008E5415" w:rsidRPr="00D60C1D">
              <w:rPr>
                <w:rStyle w:val="YELChar"/>
                <w:b w:val="0"/>
                <w:color w:val="000000"/>
              </w:rPr>
              <w:t>sayesinde</w:t>
            </w:r>
            <w:r w:rsidR="008E5415" w:rsidRPr="00A23740">
              <w:rPr>
                <w:rFonts w:eastAsia="Times New Roman"/>
                <w:szCs w:val="24"/>
                <w:lang w:eastAsia="tr-TR"/>
              </w:rPr>
              <w:t xml:space="preserve"> </w:t>
            </w:r>
            <w:r w:rsidRPr="00A23740">
              <w:rPr>
                <w:rFonts w:eastAsia="Times New Roman"/>
                <w:szCs w:val="24"/>
                <w:lang w:eastAsia="tr-TR"/>
              </w:rPr>
              <w:t>alacaklı</w:t>
            </w:r>
            <w:r w:rsidR="008E5415" w:rsidRPr="00D60C1D">
              <w:rPr>
                <w:rStyle w:val="YELChar"/>
                <w:b w:val="0"/>
                <w:color w:val="000000"/>
              </w:rPr>
              <w:t>,</w:t>
            </w:r>
            <w:r w:rsidRPr="00A23740">
              <w:rPr>
                <w:rFonts w:eastAsia="Times New Roman"/>
                <w:szCs w:val="24"/>
                <w:lang w:eastAsia="tr-TR"/>
              </w:rPr>
              <w:t xml:space="preserve"> icra</w:t>
            </w:r>
            <w:r w:rsidR="00B73523" w:rsidRPr="00A23740">
              <w:rPr>
                <w:b/>
                <w:color w:val="538135"/>
              </w:rPr>
              <w:t xml:space="preserve"> </w:t>
            </w:r>
            <w:r w:rsidR="00B73523" w:rsidRPr="00D60C1D">
              <w:rPr>
                <w:color w:val="000000"/>
              </w:rPr>
              <w:t>ve iflas</w:t>
            </w:r>
            <w:r w:rsidRPr="00A23740">
              <w:rPr>
                <w:rFonts w:eastAsia="Times New Roman"/>
                <w:szCs w:val="24"/>
                <w:lang w:eastAsia="tr-TR"/>
              </w:rPr>
              <w:t xml:space="preserve"> dairesinden üçüncü şahısta bulunan bu taşınır malın satılarak alacağının tahs</w:t>
            </w:r>
            <w:r w:rsidR="00E3593B" w:rsidRPr="00A23740">
              <w:rPr>
                <w:rFonts w:eastAsia="Times New Roman"/>
                <w:szCs w:val="24"/>
                <w:lang w:eastAsia="tr-TR"/>
              </w:rPr>
              <w:t>il edilmesini isteyebilecektir.</w:t>
            </w:r>
          </w:p>
          <w:p w:rsidR="00B62391" w:rsidRDefault="00B62391" w:rsidP="008B4E7E">
            <w:pPr>
              <w:tabs>
                <w:tab w:val="left" w:pos="567"/>
              </w:tabs>
              <w:ind w:firstLine="709"/>
              <w:rPr>
                <w:rFonts w:eastAsia="Times New Roman"/>
                <w:szCs w:val="24"/>
                <w:lang w:eastAsia="tr-TR"/>
              </w:rPr>
            </w:pPr>
            <w:r w:rsidRPr="00A23740">
              <w:rPr>
                <w:rFonts w:eastAsia="Times New Roman"/>
                <w:szCs w:val="24"/>
                <w:lang w:eastAsia="tr-TR"/>
              </w:rPr>
              <w:t>Dördüncü fıkrayla üçüncü şahsın</w:t>
            </w:r>
            <w:r w:rsidR="008E5415" w:rsidRPr="00A23740">
              <w:rPr>
                <w:rFonts w:eastAsia="Times New Roman"/>
                <w:szCs w:val="24"/>
                <w:lang w:eastAsia="tr-TR"/>
              </w:rPr>
              <w:t xml:space="preserve"> </w:t>
            </w:r>
            <w:r w:rsidRPr="00A23740">
              <w:rPr>
                <w:rFonts w:eastAsia="Times New Roman"/>
                <w:szCs w:val="24"/>
                <w:lang w:eastAsia="tr-TR"/>
              </w:rPr>
              <w:t>zilyetlik hükümlerine dayanarak iyiniyetle kazanmış olduğu hakları icra takibinde haciz koyduran alacaklıya karşı korunmaktadır.</w:t>
            </w:r>
          </w:p>
          <w:p w:rsidR="008B4E7E" w:rsidRPr="00A23740" w:rsidRDefault="008B4E7E" w:rsidP="008B4E7E">
            <w:pPr>
              <w:tabs>
                <w:tab w:val="left" w:pos="567"/>
              </w:tabs>
              <w:ind w:firstLine="709"/>
              <w:rPr>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8B4E7E">
            <w:pPr>
              <w:widowControl w:val="0"/>
              <w:rPr>
                <w:rFonts w:eastAsia="Times New Roman"/>
                <w:b/>
                <w:szCs w:val="24"/>
                <w:lang w:eastAsia="tr-TR"/>
              </w:rPr>
            </w:pPr>
          </w:p>
          <w:p w:rsidR="00AA5C8C" w:rsidRPr="00A23740" w:rsidRDefault="00AA5C8C" w:rsidP="008B4E7E">
            <w:pPr>
              <w:widowControl w:val="0"/>
              <w:rPr>
                <w:rFonts w:eastAsia="Times New Roman"/>
                <w:b/>
                <w:szCs w:val="24"/>
                <w:lang w:eastAsia="tr-TR"/>
              </w:rPr>
            </w:pPr>
          </w:p>
          <w:p w:rsidR="00AA5C8C" w:rsidRPr="00A23740" w:rsidRDefault="00AA5C8C" w:rsidP="008B4E7E">
            <w:pPr>
              <w:widowControl w:val="0"/>
              <w:rPr>
                <w:rFonts w:eastAsia="Times New Roman"/>
                <w:b/>
                <w:szCs w:val="24"/>
                <w:lang w:eastAsia="tr-TR"/>
              </w:rPr>
            </w:pPr>
          </w:p>
          <w:p w:rsidR="00AA5C8C" w:rsidRPr="00A23740" w:rsidRDefault="00AA5C8C" w:rsidP="008B4E7E">
            <w:pPr>
              <w:widowControl w:val="0"/>
              <w:rPr>
                <w:rFonts w:eastAsia="Times New Roman"/>
                <w:b/>
                <w:szCs w:val="24"/>
                <w:lang w:eastAsia="tr-TR"/>
              </w:rPr>
            </w:pPr>
          </w:p>
          <w:p w:rsidR="00AA5C8C" w:rsidRPr="00A23740" w:rsidRDefault="00AA5C8C" w:rsidP="008B4E7E">
            <w:pPr>
              <w:widowControl w:val="0"/>
              <w:tabs>
                <w:tab w:val="left" w:pos="567"/>
              </w:tabs>
              <w:rPr>
                <w:rFonts w:eastAsia="Times New Roman"/>
                <w:szCs w:val="24"/>
                <w:lang w:eastAsia="tr-TR"/>
              </w:rPr>
            </w:pPr>
          </w:p>
          <w:p w:rsidR="00AA5C8C" w:rsidRPr="00A23740" w:rsidRDefault="00AA5C8C" w:rsidP="008B4E7E">
            <w:pPr>
              <w:widowControl w:val="0"/>
              <w:rPr>
                <w:rFonts w:eastAsia="Times New Roman"/>
                <w:i/>
                <w:iCs/>
                <w:color w:val="000000"/>
                <w:szCs w:val="24"/>
                <w:lang w:eastAsia="en-GB"/>
              </w:rPr>
            </w:pPr>
            <w:r w:rsidRPr="00A23740">
              <w:rPr>
                <w:rFonts w:eastAsia="Times New Roman"/>
                <w:i/>
                <w:iCs/>
                <w:color w:val="000000"/>
                <w:szCs w:val="24"/>
                <w:lang w:eastAsia="en-GB"/>
              </w:rPr>
              <w:t>Kıymet takdiri :</w:t>
            </w:r>
          </w:p>
          <w:p w:rsidR="00AA5C8C" w:rsidRPr="00A23740" w:rsidRDefault="00AA5C8C" w:rsidP="008B4E7E">
            <w:pPr>
              <w:widowControl w:val="0"/>
              <w:rPr>
                <w:rFonts w:eastAsia="Times New Roman"/>
                <w:color w:val="000000"/>
                <w:szCs w:val="24"/>
                <w:lang w:eastAsia="en-GB"/>
              </w:rPr>
            </w:pPr>
            <w:r w:rsidRPr="00A23740">
              <w:rPr>
                <w:rFonts w:eastAsia="Times New Roman"/>
                <w:b/>
                <w:bCs/>
                <w:color w:val="000000"/>
                <w:szCs w:val="24"/>
                <w:lang w:eastAsia="en-GB"/>
              </w:rPr>
              <w:t>Madde 87 – (Değişik:24/11/2021-7343/6 md.)</w:t>
            </w:r>
          </w:p>
          <w:p w:rsidR="00AA5C8C" w:rsidRPr="00A23740" w:rsidRDefault="00AA5C8C" w:rsidP="008B4E7E">
            <w:pPr>
              <w:widowControl w:val="0"/>
              <w:tabs>
                <w:tab w:val="left" w:pos="567"/>
              </w:tabs>
              <w:rPr>
                <w:rStyle w:val="KIRMIZIChar"/>
                <w:rFonts w:eastAsia="Calibri"/>
              </w:rPr>
            </w:pPr>
            <w:r w:rsidRPr="00A23740">
              <w:rPr>
                <w:rFonts w:eastAsia="Times New Roman"/>
                <w:szCs w:val="24"/>
                <w:lang w:eastAsia="tr-TR"/>
              </w:rPr>
              <w:t xml:space="preserve">(1) Haczi yapan </w:t>
            </w:r>
            <w:r w:rsidRPr="00A23740">
              <w:rPr>
                <w:rStyle w:val="KIRMIZIChar"/>
                <w:rFonts w:eastAsia="Calibri"/>
              </w:rPr>
              <w:t>memur</w:t>
            </w:r>
            <w:r w:rsidRPr="00A23740">
              <w:rPr>
                <w:rFonts w:eastAsia="Times New Roman"/>
                <w:szCs w:val="24"/>
                <w:lang w:eastAsia="tr-TR"/>
              </w:rPr>
              <w:t xml:space="preserve">, </w:t>
            </w:r>
            <w:r w:rsidRPr="00A23740">
              <w:rPr>
                <w:rStyle w:val="KIRMIZIChar"/>
                <w:rFonts w:eastAsia="Calibri"/>
              </w:rPr>
              <w:t>sicile kayıtlı mallar hariç olmak üzere</w:t>
            </w:r>
            <w:r w:rsidRPr="00A23740">
              <w:rPr>
                <w:rFonts w:eastAsia="Times New Roman"/>
                <w:szCs w:val="24"/>
                <w:lang w:eastAsia="tr-TR"/>
              </w:rPr>
              <w:t xml:space="preserve"> haczettiği mal</w:t>
            </w:r>
            <w:r w:rsidRPr="00A23740">
              <w:rPr>
                <w:rStyle w:val="KIRMIZIChar"/>
                <w:rFonts w:eastAsia="Calibri"/>
              </w:rPr>
              <w:t>ın</w:t>
            </w:r>
            <w:r w:rsidRPr="00A23740">
              <w:rPr>
                <w:rFonts w:eastAsia="Times New Roman"/>
                <w:szCs w:val="24"/>
                <w:lang w:eastAsia="tr-TR"/>
              </w:rPr>
              <w:t xml:space="preserve"> kıymetini </w:t>
            </w:r>
            <w:r w:rsidRPr="00A23740">
              <w:rPr>
                <w:rStyle w:val="KIRMIZIChar"/>
                <w:rFonts w:eastAsia="Calibri"/>
              </w:rPr>
              <w:t>takdir eder. İcabında bilirkişiye müracaat edebilir.</w:t>
            </w:r>
          </w:p>
          <w:p w:rsidR="00AA5C8C" w:rsidRPr="00A23740" w:rsidRDefault="00AA5C8C" w:rsidP="008B4E7E">
            <w:pPr>
              <w:widowControl w:val="0"/>
              <w:tabs>
                <w:tab w:val="left" w:pos="567"/>
              </w:tabs>
              <w:rPr>
                <w:b/>
                <w:color w:val="0000FF"/>
                <w:szCs w:val="24"/>
                <w:lang w:eastAsia="tr-TR"/>
              </w:rPr>
            </w:pPr>
          </w:p>
          <w:p w:rsidR="00AA5C8C" w:rsidRPr="00A23740" w:rsidRDefault="00AA5C8C" w:rsidP="008B4E7E">
            <w:pPr>
              <w:widowControl w:val="0"/>
              <w:tabs>
                <w:tab w:val="left" w:pos="567"/>
              </w:tabs>
              <w:rPr>
                <w:rFonts w:eastAsia="Times New Roman"/>
                <w:iCs/>
                <w:color w:val="000000"/>
                <w:szCs w:val="24"/>
                <w:lang w:eastAsia="tr-TR"/>
              </w:rPr>
            </w:pPr>
            <w:r w:rsidRPr="00A23740">
              <w:rPr>
                <w:rFonts w:eastAsia="Times New Roman"/>
                <w:szCs w:val="24"/>
                <w:lang w:eastAsia="tr-TR"/>
              </w:rPr>
              <w:t xml:space="preserve">(2) </w:t>
            </w:r>
            <w:r w:rsidRPr="00A23740">
              <w:rPr>
                <w:rFonts w:eastAsia="Times New Roman"/>
                <w:color w:val="000000"/>
                <w:szCs w:val="24"/>
                <w:lang w:eastAsia="tr-TR"/>
              </w:rPr>
              <w:t xml:space="preserve">Sicile kayıtlı malın kıymet </w:t>
            </w:r>
            <w:r w:rsidRPr="00A23740">
              <w:rPr>
                <w:lang w:eastAsia="tr-TR"/>
              </w:rPr>
              <w:t>takdirinin bilirkişilik</w:t>
            </w:r>
            <w:r w:rsidRPr="00A23740">
              <w:rPr>
                <w:rFonts w:eastAsia="Times New Roman"/>
                <w:color w:val="000000"/>
                <w:szCs w:val="24"/>
                <w:lang w:eastAsia="tr-TR"/>
              </w:rPr>
              <w:t xml:space="preserve"> bölge kurulu listesinde kayıtlı ve bu konuda Adalet Bakanlığınca izin verilen bilirkişilere, bunların bulunmaması hâlinde listede kayıtlı diğer bilirkişilere yaptırılması zorunludur.</w:t>
            </w:r>
          </w:p>
          <w:p w:rsidR="00AA5C8C" w:rsidRPr="00A23740" w:rsidRDefault="00AA5C8C" w:rsidP="008B4E7E">
            <w:pPr>
              <w:widowControl w:val="0"/>
              <w:tabs>
                <w:tab w:val="left" w:pos="567"/>
              </w:tabs>
              <w:rPr>
                <w:b/>
                <w:color w:val="0000FF"/>
                <w:szCs w:val="24"/>
                <w:lang w:eastAsia="tr-TR"/>
              </w:rPr>
            </w:pPr>
          </w:p>
          <w:p w:rsidR="00AA5C8C" w:rsidRPr="00A23740" w:rsidRDefault="00AA5C8C" w:rsidP="008B4E7E">
            <w:pPr>
              <w:widowControl w:val="0"/>
              <w:tabs>
                <w:tab w:val="left" w:pos="567"/>
              </w:tabs>
              <w:rPr>
                <w:b/>
                <w:color w:val="0000FF"/>
                <w:szCs w:val="24"/>
                <w:lang w:eastAsia="tr-TR"/>
              </w:rPr>
            </w:pPr>
          </w:p>
          <w:p w:rsidR="00AA5C8C" w:rsidRPr="00A23740" w:rsidRDefault="00AA5C8C" w:rsidP="008B4E7E">
            <w:pPr>
              <w:pStyle w:val="KIRMIZI"/>
              <w:widowControl w:val="0"/>
            </w:pPr>
            <w:r w:rsidRPr="00A23740">
              <w:t>(3) Bu maddenin uygulanmasına ilişkin usul ve esaslar, Adalet Bakanlığınca yürürlüğe konulan yönetmelikle belirlenir.</w:t>
            </w:r>
          </w:p>
          <w:p w:rsidR="00AA5C8C" w:rsidRPr="00A23740" w:rsidRDefault="00AA5C8C" w:rsidP="008B4E7E">
            <w:pPr>
              <w:widowControl w:val="0"/>
              <w:rPr>
                <w:rFonts w:eastAsia="Times New Roman"/>
                <w:b/>
                <w:color w:val="FF0000"/>
                <w:szCs w:val="24"/>
                <w:lang w:eastAsia="x-none"/>
              </w:rPr>
            </w:pPr>
          </w:p>
          <w:p w:rsidR="00AA5C8C" w:rsidRPr="00A23740" w:rsidRDefault="00AA5C8C" w:rsidP="008B4E7E">
            <w:pPr>
              <w:widowControl w:val="0"/>
              <w:rPr>
                <w:rFonts w:eastAsia="Times New Roman"/>
                <w:b/>
                <w:color w:val="FF0000"/>
                <w:szCs w:val="24"/>
                <w:lang w:eastAsia="x-none"/>
              </w:rPr>
            </w:pPr>
          </w:p>
          <w:p w:rsidR="00AA5C8C" w:rsidRPr="00A23740" w:rsidRDefault="00AA5C8C" w:rsidP="008B4E7E">
            <w:pPr>
              <w:widowControl w:val="0"/>
              <w:rPr>
                <w:rFonts w:eastAsia="Times New Roman"/>
                <w:b/>
                <w:color w:val="FF0000"/>
                <w:szCs w:val="24"/>
                <w:lang w:eastAsia="x-none"/>
              </w:rPr>
            </w:pPr>
          </w:p>
          <w:p w:rsidR="00AA5C8C" w:rsidRPr="00A23740" w:rsidRDefault="00AA5C8C" w:rsidP="008B4E7E">
            <w:pPr>
              <w:widowControl w:val="0"/>
              <w:rPr>
                <w:rFonts w:eastAsia="Times New Roman"/>
                <w:b/>
                <w:color w:val="FF0000"/>
                <w:szCs w:val="24"/>
                <w:lang w:eastAsia="x-none"/>
              </w:rPr>
            </w:pPr>
          </w:p>
          <w:p w:rsidR="000A2887" w:rsidRPr="00A23740" w:rsidRDefault="000A2887" w:rsidP="008B4E7E">
            <w:pPr>
              <w:widowControl w:val="0"/>
              <w:rPr>
                <w:rFonts w:eastAsia="Times New Roman"/>
                <w:b/>
                <w:color w:val="FF0000"/>
                <w:szCs w:val="24"/>
                <w:lang w:eastAsia="x-none"/>
              </w:rPr>
            </w:pPr>
          </w:p>
          <w:p w:rsidR="00AA5C8C" w:rsidRPr="00A23740" w:rsidRDefault="00AA5C8C" w:rsidP="008B4E7E">
            <w:pPr>
              <w:widowControl w:val="0"/>
              <w:tabs>
                <w:tab w:val="left" w:pos="567"/>
              </w:tabs>
              <w:rPr>
                <w:rFonts w:eastAsia="Times New Roman"/>
                <w:szCs w:val="24"/>
                <w:lang w:eastAsia="tr-TR"/>
              </w:rPr>
            </w:pPr>
          </w:p>
        </w:tc>
        <w:tc>
          <w:tcPr>
            <w:tcW w:w="2500" w:type="pct"/>
          </w:tcPr>
          <w:p w:rsidR="00AA5C8C" w:rsidRPr="00A23740" w:rsidRDefault="00AA5C8C" w:rsidP="008B4E7E">
            <w:pPr>
              <w:pStyle w:val="Mavi"/>
              <w:widowControl w:val="0"/>
              <w:jc w:val="center"/>
              <w:rPr>
                <w:lang w:val="tr-TR"/>
              </w:rPr>
            </w:pPr>
            <w:r w:rsidRPr="00A23740">
              <w:rPr>
                <w:lang w:val="tr-TR"/>
              </w:rPr>
              <w:t>DÖRDÜNCÜ AYRIM</w:t>
            </w:r>
          </w:p>
          <w:p w:rsidR="00AA5C8C" w:rsidRPr="00A23740" w:rsidRDefault="00AA5C8C" w:rsidP="008B4E7E">
            <w:pPr>
              <w:pStyle w:val="Mavi"/>
              <w:widowControl w:val="0"/>
              <w:jc w:val="center"/>
              <w:rPr>
                <w:lang w:val="tr-TR"/>
              </w:rPr>
            </w:pPr>
            <w:r w:rsidRPr="00A23740">
              <w:rPr>
                <w:lang w:val="tr-TR"/>
              </w:rPr>
              <w:t>Kıymet Takdiri</w:t>
            </w:r>
          </w:p>
          <w:p w:rsidR="00AA5C8C" w:rsidRPr="00A23740" w:rsidRDefault="00AA5C8C" w:rsidP="008B4E7E">
            <w:pPr>
              <w:pStyle w:val="Mavi"/>
              <w:widowControl w:val="0"/>
              <w:jc w:val="center"/>
              <w:rPr>
                <w:lang w:val="tr-TR"/>
              </w:rPr>
            </w:pPr>
          </w:p>
          <w:p w:rsidR="00AA5C8C" w:rsidRPr="00A23740" w:rsidRDefault="00AA5C8C" w:rsidP="008B4E7E">
            <w:pPr>
              <w:pStyle w:val="Mavi"/>
              <w:widowControl w:val="0"/>
              <w:jc w:val="center"/>
              <w:rPr>
                <w:lang w:val="tr-TR"/>
              </w:rPr>
            </w:pPr>
            <w:r w:rsidRPr="00A23740">
              <w:rPr>
                <w:lang w:val="tr-TR"/>
              </w:rPr>
              <w:t>BİRİNCİ ALT AYRIM</w:t>
            </w:r>
          </w:p>
          <w:p w:rsidR="00AA5C8C" w:rsidRPr="00A23740" w:rsidRDefault="00AA5C8C" w:rsidP="008B4E7E">
            <w:pPr>
              <w:pStyle w:val="Mavi"/>
              <w:widowControl w:val="0"/>
              <w:jc w:val="center"/>
              <w:rPr>
                <w:lang w:val="tr-TR"/>
              </w:rPr>
            </w:pPr>
            <w:r w:rsidRPr="00A23740">
              <w:rPr>
                <w:lang w:val="tr-TR"/>
              </w:rPr>
              <w:t>Kıymet Takdiri Usulü</w:t>
            </w:r>
          </w:p>
          <w:p w:rsidR="00AA5C8C" w:rsidRPr="00A23740" w:rsidRDefault="00AA5C8C" w:rsidP="008B4E7E">
            <w:pPr>
              <w:widowControl w:val="0"/>
              <w:tabs>
                <w:tab w:val="left" w:pos="567"/>
              </w:tabs>
              <w:rPr>
                <w:rFonts w:eastAsia="Times New Roman"/>
                <w:b/>
                <w:szCs w:val="24"/>
                <w:lang w:eastAsia="tr-TR"/>
              </w:rPr>
            </w:pPr>
          </w:p>
          <w:p w:rsidR="00AA5C8C" w:rsidRPr="00A23740" w:rsidRDefault="00AA5C8C" w:rsidP="008B4E7E">
            <w:pPr>
              <w:widowControl w:val="0"/>
              <w:tabs>
                <w:tab w:val="left" w:pos="567"/>
              </w:tabs>
              <w:rPr>
                <w:rFonts w:eastAsia="Times New Roman"/>
                <w:szCs w:val="24"/>
                <w:lang w:eastAsia="tr-TR"/>
              </w:rPr>
            </w:pPr>
            <w:r w:rsidRPr="00A23740">
              <w:rPr>
                <w:rFonts w:eastAsia="Times New Roman"/>
                <w:b/>
                <w:szCs w:val="24"/>
                <w:lang w:eastAsia="tr-TR"/>
              </w:rPr>
              <w:t>Kıymet takdiri</w:t>
            </w:r>
            <w:r w:rsidRPr="00A23740">
              <w:rPr>
                <w:rFonts w:eastAsia="Times New Roman"/>
                <w:szCs w:val="24"/>
                <w:lang w:eastAsia="tr-TR"/>
              </w:rPr>
              <w:t xml:space="preserve"> </w:t>
            </w:r>
            <w:r w:rsidRPr="00A23740">
              <w:rPr>
                <w:rStyle w:val="MaviChar"/>
              </w:rPr>
              <w:t>ve tebliği</w:t>
            </w:r>
          </w:p>
          <w:p w:rsidR="00AA5C8C" w:rsidRPr="00A23740" w:rsidRDefault="00AA5C8C" w:rsidP="008B4E7E">
            <w:pPr>
              <w:widowControl w:val="0"/>
              <w:tabs>
                <w:tab w:val="left" w:pos="567"/>
              </w:tabs>
              <w:rPr>
                <w:rFonts w:eastAsia="Times New Roman"/>
                <w:szCs w:val="24"/>
                <w:lang w:eastAsia="tr-TR"/>
              </w:rPr>
            </w:pPr>
            <w:r w:rsidRPr="00A23740">
              <w:rPr>
                <w:rStyle w:val="MaviChar"/>
                <w:lang w:val="tr-TR"/>
              </w:rPr>
              <w:t xml:space="preserve">MADDE </w:t>
            </w:r>
            <w:r w:rsidRPr="00A23740">
              <w:rPr>
                <w:rStyle w:val="MaviChar"/>
              </w:rPr>
              <w:t>17</w:t>
            </w:r>
            <w:r w:rsidR="008E5415" w:rsidRPr="00A23740">
              <w:rPr>
                <w:rStyle w:val="MaviChar"/>
                <w:lang w:val="tr-TR"/>
              </w:rPr>
              <w:t>5</w:t>
            </w:r>
            <w:r w:rsidRPr="00A23740">
              <w:rPr>
                <w:rStyle w:val="MaviChar"/>
              </w:rPr>
              <w:t>-</w:t>
            </w:r>
            <w:r w:rsidRPr="00A23740">
              <w:rPr>
                <w:rStyle w:val="MAVChar"/>
                <w:rFonts w:eastAsia="Calibri"/>
                <w:u w:val="none"/>
              </w:rPr>
              <w:t xml:space="preserve">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 xml:space="preserve">Haczi yapan </w:t>
            </w:r>
            <w:r w:rsidRPr="00A23740">
              <w:rPr>
                <w:rStyle w:val="MaviChar"/>
              </w:rPr>
              <w:t>icra</w:t>
            </w:r>
            <w:r w:rsidRPr="00A23740">
              <w:rPr>
                <w:rFonts w:eastAsia="Times New Roman"/>
                <w:szCs w:val="24"/>
                <w:lang w:eastAsia="tr-TR"/>
              </w:rPr>
              <w:t xml:space="preserve"> </w:t>
            </w:r>
            <w:r w:rsidR="00142328" w:rsidRPr="007018A7">
              <w:rPr>
                <w:rStyle w:val="Balk1Char"/>
                <w:rFonts w:eastAsia="Calibri"/>
              </w:rPr>
              <w:t>ve iflas</w:t>
            </w:r>
            <w:r w:rsidR="00142328" w:rsidRPr="00A23740">
              <w:rPr>
                <w:rFonts w:eastAsia="Times New Roman"/>
                <w:color w:val="385623"/>
                <w:szCs w:val="24"/>
                <w:lang w:eastAsia="tr-TR"/>
              </w:rPr>
              <w:t xml:space="preserve"> </w:t>
            </w:r>
            <w:r w:rsidRPr="00A23740">
              <w:rPr>
                <w:rStyle w:val="MaviChar"/>
              </w:rPr>
              <w:t>müdür</w:t>
            </w:r>
            <w:r w:rsidRPr="00A23740">
              <w:rPr>
                <w:rStyle w:val="MaviChar"/>
                <w:lang w:val="tr-TR"/>
              </w:rPr>
              <w:t>ü</w:t>
            </w:r>
            <w:r w:rsidRPr="00A23740">
              <w:rPr>
                <w:rFonts w:eastAsia="Times New Roman"/>
                <w:szCs w:val="24"/>
                <w:lang w:eastAsia="tr-TR"/>
              </w:rPr>
              <w:t xml:space="preserve">, haczettiği </w:t>
            </w:r>
            <w:r w:rsidRPr="00A23740">
              <w:rPr>
                <w:rFonts w:eastAsia="Times New Roman"/>
                <w:b/>
                <w:color w:val="0000FF"/>
                <w:szCs w:val="24"/>
                <w:lang w:eastAsia="tr-TR"/>
              </w:rPr>
              <w:t xml:space="preserve">taşınır </w:t>
            </w:r>
            <w:r w:rsidRPr="00A23740">
              <w:rPr>
                <w:rFonts w:eastAsia="Times New Roman"/>
                <w:szCs w:val="24"/>
                <w:lang w:eastAsia="tr-TR"/>
              </w:rPr>
              <w:t>mal</w:t>
            </w:r>
            <w:r w:rsidRPr="00A23740">
              <w:rPr>
                <w:rFonts w:eastAsia="Times New Roman"/>
                <w:b/>
                <w:color w:val="0000FF"/>
                <w:szCs w:val="24"/>
                <w:lang w:eastAsia="tr-TR"/>
              </w:rPr>
              <w:t xml:space="preserve"> veya hakların </w:t>
            </w:r>
            <w:r w:rsidRPr="00A23740">
              <w:rPr>
                <w:rFonts w:eastAsia="Times New Roman"/>
                <w:szCs w:val="24"/>
                <w:lang w:eastAsia="tr-TR"/>
              </w:rPr>
              <w:t xml:space="preserve">kıymetini </w:t>
            </w:r>
            <w:r w:rsidRPr="00A23740">
              <w:rPr>
                <w:rFonts w:eastAsia="Times New Roman"/>
                <w:b/>
                <w:color w:val="0000FF"/>
                <w:szCs w:val="24"/>
                <w:lang w:eastAsia="tr-TR"/>
              </w:rPr>
              <w:t>gerektiğinde bilirkişiye de başvurarak tespit eder</w:t>
            </w:r>
            <w:r w:rsidRPr="00A23740">
              <w:rPr>
                <w:rFonts w:eastAsia="Times New Roman"/>
                <w:szCs w:val="24"/>
                <w:lang w:eastAsia="tr-TR"/>
              </w:rPr>
              <w:t>.</w:t>
            </w:r>
          </w:p>
          <w:p w:rsidR="00AA5C8C" w:rsidRPr="00A23740" w:rsidRDefault="00AA5C8C" w:rsidP="008B4E7E">
            <w:pPr>
              <w:widowControl w:val="0"/>
              <w:tabs>
                <w:tab w:val="left" w:pos="567"/>
              </w:tabs>
            </w:pPr>
          </w:p>
          <w:p w:rsidR="00AA5C8C" w:rsidRPr="00A23740" w:rsidRDefault="00AA5C8C" w:rsidP="008B4E7E">
            <w:pPr>
              <w:widowControl w:val="0"/>
              <w:tabs>
                <w:tab w:val="left" w:pos="567"/>
              </w:tabs>
            </w:pPr>
            <w:r w:rsidRPr="00A23740">
              <w:rPr>
                <w:b/>
                <w:color w:val="0000FF"/>
                <w:szCs w:val="24"/>
                <w:lang w:eastAsia="tr-TR"/>
              </w:rPr>
              <w:t xml:space="preserve">(2) </w:t>
            </w:r>
            <w:r w:rsidRPr="00A23740">
              <w:t>Sicile kayıtlı</w:t>
            </w:r>
            <w:r w:rsidRPr="00A23740">
              <w:rPr>
                <w:b/>
                <w:color w:val="0000FF"/>
                <w:szCs w:val="24"/>
                <w:lang w:eastAsia="tr-TR"/>
              </w:rPr>
              <w:t xml:space="preserve"> mal</w:t>
            </w:r>
            <w:r w:rsidRPr="00A23740">
              <w:t>lar</w:t>
            </w:r>
            <w:r w:rsidR="00FB52BB" w:rsidRPr="00A23740">
              <w:rPr>
                <w:b/>
                <w:color w:val="0000FF"/>
                <w:szCs w:val="24"/>
                <w:lang w:eastAsia="tr-TR"/>
              </w:rPr>
              <w:t xml:space="preserve"> ile </w:t>
            </w:r>
            <w:r w:rsidRPr="00A23740">
              <w:rPr>
                <w:rStyle w:val="MaviChar"/>
              </w:rPr>
              <w:t xml:space="preserve">kripto varlıkların </w:t>
            </w:r>
            <w:r w:rsidRPr="007018A7">
              <w:rPr>
                <w:rStyle w:val="Balk1Char"/>
                <w:rFonts w:eastAsia="Calibri"/>
              </w:rPr>
              <w:t>kıymet</w:t>
            </w:r>
            <w:r w:rsidR="00F673EB" w:rsidRPr="007018A7">
              <w:rPr>
                <w:rStyle w:val="Balk1Char"/>
                <w:rFonts w:eastAsia="ヒラギノ明朝 Pro W3"/>
              </w:rPr>
              <w:t>lerinin</w:t>
            </w:r>
            <w:r w:rsidR="00FB52BB" w:rsidRPr="007018A7">
              <w:rPr>
                <w:rStyle w:val="Balk1Char"/>
                <w:rFonts w:eastAsia="Calibri"/>
              </w:rPr>
              <w:t xml:space="preserve"> </w:t>
            </w:r>
            <w:r w:rsidRPr="00A23740">
              <w:rPr>
                <w:rStyle w:val="MaviChar"/>
              </w:rPr>
              <w:t>takdiri</w:t>
            </w:r>
            <w:r w:rsidR="00142328" w:rsidRPr="00A23740">
              <w:rPr>
                <w:rStyle w:val="MaviChar"/>
                <w:color w:val="385623"/>
              </w:rPr>
              <w:t>,</w:t>
            </w:r>
            <w:r w:rsidR="00F23FCC" w:rsidRPr="00A23740">
              <w:rPr>
                <w:rStyle w:val="MaviChar"/>
                <w:lang w:val="tr-TR"/>
              </w:rPr>
              <w:t xml:space="preserve"> </w:t>
            </w:r>
            <w:r w:rsidR="00F23FCC" w:rsidRPr="007018A7">
              <w:rPr>
                <w:rStyle w:val="Balk1Char"/>
                <w:rFonts w:eastAsia="ヒラギノ明朝 Pro W3"/>
              </w:rPr>
              <w:t>bu konuda uzman</w:t>
            </w:r>
            <w:r w:rsidRPr="00A23740">
              <w:rPr>
                <w:rStyle w:val="MaviChar"/>
              </w:rPr>
              <w:t xml:space="preserve"> bilirkişi </w:t>
            </w:r>
            <w:r w:rsidR="00FB52BB" w:rsidRPr="00A23740">
              <w:rPr>
                <w:rStyle w:val="MaviChar"/>
                <w:lang w:val="tr-TR"/>
              </w:rPr>
              <w:t xml:space="preserve">tarafından yapılır. </w:t>
            </w:r>
            <w:r w:rsidRPr="00A23740">
              <w:rPr>
                <w:rStyle w:val="MaviChar"/>
              </w:rPr>
              <w:t>Bu durumda</w:t>
            </w:r>
            <w:r w:rsidRPr="00A23740">
              <w:t xml:space="preserve"> kıymet takdirinin,</w:t>
            </w:r>
            <w:r w:rsidRPr="00A23740">
              <w:rPr>
                <w:b/>
                <w:color w:val="0000FF"/>
                <w:szCs w:val="24"/>
                <w:lang w:eastAsia="tr-TR"/>
              </w:rPr>
              <w:t xml:space="preserve"> </w:t>
            </w:r>
            <w:r w:rsidRPr="00A23740">
              <w:t>bilirkişilik bölge kurulu listesinde kayıtlı ve bu konuda Adalet Bakanlığınca izin verilen bilirkişilere, bunların bulunmaması h</w:t>
            </w:r>
            <w:r w:rsidR="001D7D44" w:rsidRPr="00A23740">
              <w:t>â</w:t>
            </w:r>
            <w:r w:rsidRPr="00A23740">
              <w:t>linde listede kayıtlı diğer bilirkişilere yaptırılması zorunludur.</w:t>
            </w:r>
          </w:p>
          <w:p w:rsidR="00AA5C8C" w:rsidRPr="00A23740" w:rsidRDefault="00AA5C8C" w:rsidP="008B4E7E">
            <w:pPr>
              <w:widowControl w:val="0"/>
              <w:tabs>
                <w:tab w:val="left" w:pos="567"/>
              </w:tabs>
              <w:rPr>
                <w:rFonts w:eastAsia="Times New Roman"/>
                <w:b/>
                <w:color w:val="0000FF"/>
                <w:szCs w:val="24"/>
                <w:lang w:eastAsia="tr-TR"/>
              </w:rPr>
            </w:pPr>
          </w:p>
          <w:p w:rsidR="008B4E7E" w:rsidRDefault="00AA5C8C" w:rsidP="008B4E7E">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 xml:space="preserve">(3) Haciz esnasında </w:t>
            </w:r>
            <w:r w:rsidRPr="007018A7">
              <w:rPr>
                <w:rStyle w:val="Balk1Char"/>
                <w:rFonts w:eastAsia="Calibri"/>
              </w:rPr>
              <w:t>icra</w:t>
            </w:r>
            <w:r w:rsidR="00142328" w:rsidRPr="007018A7">
              <w:rPr>
                <w:rStyle w:val="Balk1Char"/>
                <w:rFonts w:eastAsia="Calibri"/>
              </w:rPr>
              <w:t xml:space="preserve"> ve iflas</w:t>
            </w:r>
            <w:r w:rsidRPr="00A23740">
              <w:rPr>
                <w:rFonts w:eastAsia="Times New Roman"/>
                <w:b/>
                <w:color w:val="385623"/>
                <w:szCs w:val="24"/>
                <w:lang w:eastAsia="tr-TR"/>
              </w:rPr>
              <w:t xml:space="preserve"> </w:t>
            </w:r>
            <w:r w:rsidRPr="00A23740">
              <w:rPr>
                <w:rFonts w:eastAsia="Times New Roman"/>
                <w:b/>
                <w:color w:val="0000FF"/>
                <w:szCs w:val="24"/>
                <w:lang w:eastAsia="tr-TR"/>
              </w:rPr>
              <w:t xml:space="preserve">müdürü </w:t>
            </w:r>
            <w:r w:rsidR="00E71AEC" w:rsidRPr="00A23740">
              <w:rPr>
                <w:rFonts w:eastAsia="Times New Roman"/>
                <w:b/>
                <w:color w:val="0000FF"/>
                <w:szCs w:val="24"/>
                <w:lang w:eastAsia="tr-TR"/>
              </w:rPr>
              <w:t xml:space="preserve">veya </w:t>
            </w:r>
            <w:r w:rsidRPr="00A23740">
              <w:rPr>
                <w:rFonts w:eastAsia="Times New Roman"/>
                <w:b/>
                <w:color w:val="0000FF"/>
                <w:szCs w:val="24"/>
                <w:lang w:eastAsia="tr-TR"/>
              </w:rPr>
              <w:t>bilirkişi tarafından yapılan kıymet takdirine ilişkin tutanağın bir örneği haciz sırasında hazır bulunan taraflara imza karşılığı teslim olunur; hazır bulunmayan taraflar ve hacze iştirak eden alacaklılara ise tebliğ edilir.</w:t>
            </w:r>
          </w:p>
          <w:p w:rsidR="008B4E7E" w:rsidRDefault="008B4E7E" w:rsidP="008B4E7E">
            <w:pPr>
              <w:widowControl w:val="0"/>
              <w:tabs>
                <w:tab w:val="left" w:pos="567"/>
              </w:tabs>
              <w:rPr>
                <w:rFonts w:eastAsia="Times New Roman"/>
                <w:color w:val="0000FF"/>
                <w:lang w:eastAsia="tr-TR"/>
              </w:rPr>
            </w:pPr>
          </w:p>
          <w:p w:rsidR="00AA5C8C" w:rsidRDefault="00AA5C8C" w:rsidP="008B4E7E">
            <w:pPr>
              <w:pStyle w:val="YEL"/>
              <w:widowControl w:val="0"/>
              <w:rPr>
                <w:rFonts w:eastAsia="Times New Roman"/>
                <w:color w:val="0000FF"/>
                <w:lang w:val="tr-TR" w:eastAsia="tr-TR"/>
              </w:rPr>
            </w:pPr>
            <w:r w:rsidRPr="00A23740">
              <w:rPr>
                <w:rFonts w:eastAsia="Times New Roman"/>
                <w:color w:val="0000FF"/>
                <w:lang w:val="tr-TR" w:eastAsia="tr-TR"/>
              </w:rPr>
              <w:t>(4)</w:t>
            </w:r>
            <w:r w:rsidRPr="00A23740">
              <w:rPr>
                <w:rFonts w:eastAsia="Times New Roman"/>
                <w:b w:val="0"/>
                <w:color w:val="0000FF"/>
                <w:lang w:val="tr-TR" w:eastAsia="tr-TR"/>
              </w:rPr>
              <w:t xml:space="preserve"> </w:t>
            </w:r>
            <w:r w:rsidR="00F23FCC" w:rsidRPr="007018A7">
              <w:rPr>
                <w:rStyle w:val="Balk1Char"/>
                <w:rFonts w:eastAsia="ヒラギノ明朝 Pro W3"/>
                <w:b/>
              </w:rPr>
              <w:t>Kıymet takdirinin bilirkişi tarafından yapıldığı h</w:t>
            </w:r>
            <w:r w:rsidR="001D7D44" w:rsidRPr="007018A7">
              <w:rPr>
                <w:rStyle w:val="Balk1Char"/>
                <w:rFonts w:eastAsia="ヒラギノ明朝 Pro W3"/>
                <w:b/>
              </w:rPr>
              <w:t>â</w:t>
            </w:r>
            <w:r w:rsidR="00F23FCC" w:rsidRPr="007018A7">
              <w:rPr>
                <w:rStyle w:val="Balk1Char"/>
                <w:rFonts w:eastAsia="ヒラギノ明朝 Pro W3"/>
                <w:b/>
              </w:rPr>
              <w:t>llerde, düzenlenen rapor</w:t>
            </w:r>
            <w:r w:rsidR="00F23FCC" w:rsidRPr="00A23740">
              <w:rPr>
                <w:rFonts w:eastAsia="Times New Roman"/>
                <w:b w:val="0"/>
                <w:color w:val="0000FF"/>
                <w:lang w:val="tr-TR" w:eastAsia="tr-TR"/>
              </w:rPr>
              <w:t xml:space="preserve"> </w:t>
            </w:r>
            <w:r w:rsidRPr="00A23740">
              <w:rPr>
                <w:rFonts w:eastAsia="Times New Roman"/>
                <w:color w:val="0000FF"/>
                <w:lang w:val="tr-TR" w:eastAsia="tr-TR"/>
              </w:rPr>
              <w:t xml:space="preserve">takibin taraflarına ve hacze iştirak edenlere tebliğ edilir. </w:t>
            </w:r>
            <w:r w:rsidRPr="00A23740">
              <w:rPr>
                <w:rStyle w:val="MaviChar"/>
                <w:b/>
              </w:rPr>
              <w:t>17</w:t>
            </w:r>
            <w:r w:rsidR="00F23FCC" w:rsidRPr="00A23740">
              <w:rPr>
                <w:rStyle w:val="MaviChar"/>
                <w:b/>
                <w:lang w:val="tr-TR"/>
              </w:rPr>
              <w:t>6</w:t>
            </w:r>
            <w:r w:rsidR="004D02C9" w:rsidRPr="00A23740">
              <w:rPr>
                <w:rStyle w:val="MaviChar"/>
                <w:b/>
                <w:lang w:val="tr-TR"/>
              </w:rPr>
              <w:t xml:space="preserve"> </w:t>
            </w:r>
            <w:r w:rsidR="004D02C9" w:rsidRPr="007018A7">
              <w:rPr>
                <w:rStyle w:val="Balk1Char"/>
                <w:rFonts w:eastAsia="ヒラギノ明朝 Pro W3"/>
                <w:b/>
              </w:rPr>
              <w:t>ncı</w:t>
            </w:r>
            <w:r w:rsidRPr="00A23740">
              <w:rPr>
                <w:rStyle w:val="MaviChar"/>
                <w:b/>
              </w:rPr>
              <w:t xml:space="preserve"> </w:t>
            </w:r>
            <w:r w:rsidRPr="00A23740">
              <w:rPr>
                <w:rFonts w:eastAsia="Times New Roman"/>
                <w:color w:val="0000FF"/>
                <w:lang w:val="tr-TR" w:eastAsia="tr-TR"/>
              </w:rPr>
              <w:t>maddenin ikinci fıkrası saklıdır.</w:t>
            </w:r>
          </w:p>
          <w:p w:rsidR="008B4E7E" w:rsidRPr="00A23740" w:rsidRDefault="008B4E7E" w:rsidP="008B4E7E">
            <w:pPr>
              <w:pStyle w:val="YEL"/>
              <w:widowControl w:val="0"/>
              <w:rPr>
                <w:rFonts w:eastAsia="Times New Roman"/>
                <w:b w:val="0"/>
                <w:color w:val="0000FF"/>
                <w:lang w:val="tr-TR" w:eastAsia="tr-TR"/>
              </w:rPr>
            </w:pPr>
          </w:p>
        </w:tc>
      </w:tr>
      <w:tr w:rsidR="001D685E" w:rsidRPr="00A23740" w:rsidTr="009431FF">
        <w:tblPrEx>
          <w:tblLook w:val="01E0" w:firstRow="1" w:lastRow="1" w:firstColumn="1" w:lastColumn="1" w:noHBand="0" w:noVBand="0"/>
        </w:tblPrEx>
        <w:tc>
          <w:tcPr>
            <w:tcW w:w="5000" w:type="pct"/>
            <w:gridSpan w:val="2"/>
            <w:shd w:val="clear" w:color="auto" w:fill="DEEAF6"/>
          </w:tcPr>
          <w:p w:rsidR="001D685E" w:rsidRPr="00A23740" w:rsidRDefault="001D685E" w:rsidP="009431FF">
            <w:pPr>
              <w:pStyle w:val="Mavi"/>
              <w:jc w:val="center"/>
              <w:rPr>
                <w:lang w:val="tr-TR"/>
              </w:rPr>
            </w:pPr>
          </w:p>
          <w:p w:rsidR="001D685E" w:rsidRPr="00A23740" w:rsidRDefault="001D685E" w:rsidP="009431FF">
            <w:pPr>
              <w:tabs>
                <w:tab w:val="left" w:pos="567"/>
              </w:tabs>
              <w:ind w:firstLine="709"/>
              <w:rPr>
                <w:rFonts w:eastAsia="Times New Roman"/>
                <w:szCs w:val="24"/>
                <w:lang w:eastAsia="tr-TR"/>
              </w:rPr>
            </w:pPr>
            <w:r w:rsidRPr="00A23740">
              <w:rPr>
                <w:b/>
              </w:rPr>
              <w:t>MADDE 17</w:t>
            </w:r>
            <w:r w:rsidR="00F673EB" w:rsidRPr="00A23740">
              <w:rPr>
                <w:b/>
              </w:rPr>
              <w:t>5</w:t>
            </w:r>
            <w:r w:rsidR="00D24953" w:rsidRPr="00A23740">
              <w:rPr>
                <w:b/>
              </w:rPr>
              <w:t xml:space="preserve"> </w:t>
            </w:r>
            <w:r w:rsidR="002E43F1" w:rsidRPr="00A23740">
              <w:rPr>
                <w:b/>
              </w:rPr>
              <w:t>–</w:t>
            </w:r>
            <w:r w:rsidRPr="00A23740">
              <w:t xml:space="preserve"> </w:t>
            </w:r>
            <w:r w:rsidRPr="00A23740">
              <w:rPr>
                <w:rFonts w:eastAsia="Times New Roman"/>
                <w:szCs w:val="24"/>
                <w:lang w:eastAsia="tr-TR"/>
              </w:rPr>
              <w:t>Maddeyle</w:t>
            </w:r>
            <w:r w:rsidR="002E43F1" w:rsidRPr="00A23740">
              <w:rPr>
                <w:rFonts w:eastAsia="Times New Roman"/>
                <w:szCs w:val="24"/>
                <w:lang w:eastAsia="tr-TR"/>
              </w:rPr>
              <w:t>,</w:t>
            </w:r>
            <w:r w:rsidRPr="00A23740">
              <w:rPr>
                <w:rFonts w:eastAsia="Times New Roman"/>
                <w:szCs w:val="24"/>
                <w:lang w:eastAsia="tr-TR"/>
              </w:rPr>
              <w:t xml:space="preserve"> kıymet takdiri ve</w:t>
            </w:r>
            <w:r w:rsidR="00F23FCC" w:rsidRPr="00A23740">
              <w:rPr>
                <w:rFonts w:eastAsia="Times New Roman"/>
                <w:szCs w:val="24"/>
                <w:lang w:eastAsia="tr-TR"/>
              </w:rPr>
              <w:t xml:space="preserve"> </w:t>
            </w:r>
            <w:r w:rsidR="00F23FCC" w:rsidRPr="00D60C1D">
              <w:rPr>
                <w:rStyle w:val="YELChar"/>
                <w:b w:val="0"/>
                <w:color w:val="000000"/>
              </w:rPr>
              <w:t>buna ilişkin raporun</w:t>
            </w:r>
            <w:r w:rsidRPr="00A23740">
              <w:rPr>
                <w:rFonts w:eastAsia="Times New Roman"/>
                <w:szCs w:val="24"/>
                <w:lang w:eastAsia="tr-TR"/>
              </w:rPr>
              <w:t xml:space="preserve"> tebliği düzenlenmektedir. Bu hüküm, 2004 sayılı Kanunun 87 nci maddesine k</w:t>
            </w:r>
            <w:r w:rsidR="00F23FCC" w:rsidRPr="00A23740">
              <w:rPr>
                <w:rFonts w:eastAsia="Times New Roman"/>
                <w:szCs w:val="24"/>
                <w:lang w:eastAsia="tr-TR"/>
              </w:rPr>
              <w:t>arşılık gelmektedir.</w:t>
            </w:r>
          </w:p>
          <w:p w:rsidR="00DE1165" w:rsidRDefault="00B62391" w:rsidP="009431FF">
            <w:pPr>
              <w:tabs>
                <w:tab w:val="left" w:pos="567"/>
              </w:tabs>
              <w:ind w:firstLine="709"/>
            </w:pPr>
            <w:r w:rsidRPr="00A23740">
              <w:t xml:space="preserve">Birinci fıkrayla haczi yapan icra </w:t>
            </w:r>
            <w:r w:rsidR="004D02C9" w:rsidRPr="00D60C1D">
              <w:rPr>
                <w:color w:val="000000"/>
              </w:rPr>
              <w:t>ve iflas</w:t>
            </w:r>
            <w:r w:rsidR="004D02C9" w:rsidRPr="00A23740">
              <w:rPr>
                <w:color w:val="385623"/>
              </w:rPr>
              <w:t xml:space="preserve"> </w:t>
            </w:r>
            <w:r w:rsidRPr="00A23740">
              <w:t xml:space="preserve">müdürü tarafından haczettiği taşınır mal veya hakların kıymetini </w:t>
            </w:r>
            <w:r w:rsidR="00F23FCC" w:rsidRPr="00D60C1D">
              <w:rPr>
                <w:rStyle w:val="YELChar"/>
                <w:b w:val="0"/>
                <w:color w:val="000000"/>
              </w:rPr>
              <w:t>kendisinin takdir edeceği</w:t>
            </w:r>
            <w:r w:rsidRPr="00A23740">
              <w:t>, gerektiğinde ise</w:t>
            </w:r>
            <w:r w:rsidR="00F23FCC" w:rsidRPr="00A23740">
              <w:t xml:space="preserve"> </w:t>
            </w:r>
            <w:r w:rsidR="00F23FCC" w:rsidRPr="00D60C1D">
              <w:rPr>
                <w:rStyle w:val="YELChar"/>
                <w:b w:val="0"/>
                <w:color w:val="000000"/>
              </w:rPr>
              <w:t>bunun için</w:t>
            </w:r>
            <w:r w:rsidRPr="00A23740">
              <w:t xml:space="preserve"> bilirkişiye başvuracağı düzenlenmiştir.</w:t>
            </w:r>
            <w:r w:rsidR="00D24953" w:rsidRPr="00A23740">
              <w:t xml:space="preserve"> </w:t>
            </w:r>
            <w:r w:rsidRPr="00A23740">
              <w:t>Bu düzenleme ile birlikte taşınır mallar ile taşınır hükmündeki hakların kıymet</w:t>
            </w:r>
            <w:r w:rsidR="00F23FCC" w:rsidRPr="00A23740">
              <w:t xml:space="preserve"> </w:t>
            </w:r>
            <w:r w:rsidRPr="00A23740">
              <w:t xml:space="preserve">takdirinin yapılması sırasında icra </w:t>
            </w:r>
            <w:r w:rsidR="004D02C9" w:rsidRPr="00D60C1D">
              <w:rPr>
                <w:color w:val="000000"/>
              </w:rPr>
              <w:t>ve iflas</w:t>
            </w:r>
            <w:r w:rsidR="004D02C9" w:rsidRPr="00A23740">
              <w:rPr>
                <w:color w:val="385623"/>
              </w:rPr>
              <w:t xml:space="preserve"> </w:t>
            </w:r>
            <w:r w:rsidRPr="00A23740">
              <w:t xml:space="preserve">müdürü tarafından kıymet takdiri </w:t>
            </w:r>
            <w:r w:rsidR="00F23FCC" w:rsidRPr="00D60C1D">
              <w:rPr>
                <w:rStyle w:val="YELChar"/>
                <w:b w:val="0"/>
                <w:color w:val="000000"/>
              </w:rPr>
              <w:t>yapılmasına</w:t>
            </w:r>
            <w:r w:rsidR="00F23FCC" w:rsidRPr="00A23740">
              <w:t xml:space="preserve"> </w:t>
            </w:r>
            <w:r w:rsidRPr="00A23740">
              <w:t xml:space="preserve">izin </w:t>
            </w:r>
            <w:r w:rsidR="00F23FCC" w:rsidRPr="00D60C1D">
              <w:rPr>
                <w:rStyle w:val="YELChar"/>
                <w:b w:val="0"/>
                <w:color w:val="000000"/>
              </w:rPr>
              <w:t>verilmektedir; ancak genel kural kıymet takdiri konusunda</w:t>
            </w:r>
            <w:r w:rsidR="00F23FCC" w:rsidRPr="00A23740">
              <w:t xml:space="preserve"> </w:t>
            </w:r>
            <w:r w:rsidRPr="00A23740">
              <w:t xml:space="preserve">bilirkişiye başvurulması </w:t>
            </w:r>
            <w:r w:rsidR="00F23FCC" w:rsidRPr="00D60C1D">
              <w:rPr>
                <w:rStyle w:val="YELChar"/>
                <w:b w:val="0"/>
                <w:color w:val="000000"/>
              </w:rPr>
              <w:t>yönündedir</w:t>
            </w:r>
            <w:r w:rsidR="00DE1165">
              <w:t>.</w:t>
            </w:r>
          </w:p>
          <w:p w:rsidR="00B62391" w:rsidRPr="00A23740" w:rsidRDefault="00B62391" w:rsidP="009431FF">
            <w:pPr>
              <w:tabs>
                <w:tab w:val="left" w:pos="567"/>
              </w:tabs>
              <w:ind w:firstLine="709"/>
            </w:pPr>
            <w:r w:rsidRPr="00A23740">
              <w:t xml:space="preserve">İkinci fıkrayla sicile kayıtlı mallar ve kripto varlıklarının kıymetlerinin takdirinin </w:t>
            </w:r>
            <w:r w:rsidR="004D02C9" w:rsidRPr="00D60C1D">
              <w:rPr>
                <w:color w:val="000000"/>
              </w:rPr>
              <w:t>bu konuda uzman</w:t>
            </w:r>
            <w:r w:rsidR="004D02C9" w:rsidRPr="00A23740">
              <w:rPr>
                <w:color w:val="385623"/>
              </w:rPr>
              <w:t xml:space="preserve"> </w:t>
            </w:r>
            <w:r w:rsidRPr="00A23740">
              <w:t>bilirkişi tarafından yapılması</w:t>
            </w:r>
            <w:r w:rsidR="00087041" w:rsidRPr="00A23740">
              <w:t xml:space="preserve"> </w:t>
            </w:r>
            <w:r w:rsidR="00087041" w:rsidRPr="00D60C1D">
              <w:rPr>
                <w:rStyle w:val="YELChar"/>
                <w:b w:val="0"/>
                <w:color w:val="000000"/>
              </w:rPr>
              <w:t>zorunluluğu</w:t>
            </w:r>
            <w:r w:rsidRPr="00A23740">
              <w:t xml:space="preserve"> düzenlenmiştir. Bilirkişi seçiminde ise</w:t>
            </w:r>
            <w:r w:rsidR="00F23FCC" w:rsidRPr="00A23740">
              <w:t xml:space="preserve"> </w:t>
            </w:r>
            <w:r w:rsidRPr="00A23740">
              <w:t>öncelikle</w:t>
            </w:r>
            <w:r w:rsidR="000C58DE" w:rsidRPr="00A23740">
              <w:t xml:space="preserve"> </w:t>
            </w:r>
            <w:r w:rsidRPr="00A23740">
              <w:t>bilirkişilik bölge kurulu listelerine kayıtlı</w:t>
            </w:r>
            <w:r w:rsidR="000C58DE" w:rsidRPr="00A23740">
              <w:t xml:space="preserve"> </w:t>
            </w:r>
            <w:r w:rsidR="000C58DE" w:rsidRPr="00D60C1D">
              <w:rPr>
                <w:rStyle w:val="YELChar"/>
                <w:b w:val="0"/>
                <w:color w:val="000000"/>
              </w:rPr>
              <w:t>ve</w:t>
            </w:r>
            <w:r w:rsidR="00F23FCC" w:rsidRPr="00D60C1D">
              <w:rPr>
                <w:color w:val="000000"/>
              </w:rPr>
              <w:t xml:space="preserve"> </w:t>
            </w:r>
            <w:r w:rsidRPr="00D60C1D">
              <w:rPr>
                <w:color w:val="000000"/>
              </w:rPr>
              <w:t>Adalet Bakanlığınca</w:t>
            </w:r>
            <w:r w:rsidR="000C58DE" w:rsidRPr="00D60C1D">
              <w:rPr>
                <w:color w:val="000000"/>
              </w:rPr>
              <w:t xml:space="preserve"> </w:t>
            </w:r>
            <w:r w:rsidR="000C58DE" w:rsidRPr="00D60C1D">
              <w:rPr>
                <w:rStyle w:val="YELChar"/>
                <w:b w:val="0"/>
                <w:color w:val="000000"/>
              </w:rPr>
              <w:t>bu işleme özgü olmak üzere</w:t>
            </w:r>
            <w:r w:rsidRPr="00D60C1D">
              <w:rPr>
                <w:color w:val="000000"/>
              </w:rPr>
              <w:t xml:space="preserve"> izin ver</w:t>
            </w:r>
            <w:r w:rsidRPr="00A23740">
              <w:t xml:space="preserve">ilenler seçilecek, bunların bulunmaması </w:t>
            </w:r>
            <w:r w:rsidR="000C58DE" w:rsidRPr="00D60C1D">
              <w:rPr>
                <w:rStyle w:val="YELChar"/>
                <w:b w:val="0"/>
                <w:color w:val="000000"/>
              </w:rPr>
              <w:t>h</w:t>
            </w:r>
            <w:r w:rsidR="001D7D44" w:rsidRPr="00D60C1D">
              <w:rPr>
                <w:rStyle w:val="YELChar"/>
                <w:b w:val="0"/>
                <w:color w:val="000000"/>
              </w:rPr>
              <w:t>â</w:t>
            </w:r>
            <w:r w:rsidR="000C58DE" w:rsidRPr="00D60C1D">
              <w:rPr>
                <w:rStyle w:val="YELChar"/>
                <w:b w:val="0"/>
                <w:color w:val="000000"/>
              </w:rPr>
              <w:t>linde</w:t>
            </w:r>
            <w:r w:rsidRPr="00A23740">
              <w:t xml:space="preserve"> ise listede kayıtlı diğer bilirkişilere başvurulacaktır. Bu düzenleme</w:t>
            </w:r>
            <w:r w:rsidR="00B16AD9" w:rsidRPr="00A23740">
              <w:t>yle</w:t>
            </w:r>
            <w:r w:rsidRPr="00A23740">
              <w:t xml:space="preserve"> birlikte kıymet takdirinin yapılması aşamasında seçilen bilirkişinin de taşınır mal veya kripto varlıkların kıymet takdirlerini yapabilecek en uygun ve bu konuda uzmanlaşmış bilirkişiler</w:t>
            </w:r>
            <w:r w:rsidR="00B16AD9" w:rsidRPr="00A23740">
              <w:t xml:space="preserve"> arasından </w:t>
            </w:r>
            <w:r w:rsidRPr="00A23740">
              <w:t>seçilmesi amaçlanmıştır.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 xml:space="preserve">Üçüncü fıkrayla kıymet takdirinin taraflara tebliği </w:t>
            </w:r>
            <w:r w:rsidR="000C58DE" w:rsidRPr="00D60C1D">
              <w:rPr>
                <w:rStyle w:val="YELChar"/>
                <w:b w:val="0"/>
                <w:color w:val="000000"/>
              </w:rPr>
              <w:t>düzenlenmiştir</w:t>
            </w:r>
            <w:r w:rsidRPr="00A23740">
              <w:rPr>
                <w:rFonts w:eastAsia="Times New Roman"/>
                <w:szCs w:val="24"/>
                <w:lang w:eastAsia="tr-TR"/>
              </w:rPr>
              <w:t xml:space="preserve">. Haciz esnasında borçlu ve hazır bulunan diğer </w:t>
            </w:r>
            <w:r w:rsidR="000C58DE" w:rsidRPr="00D60C1D">
              <w:rPr>
                <w:rStyle w:val="YELChar"/>
                <w:b w:val="0"/>
                <w:color w:val="000000"/>
              </w:rPr>
              <w:t>tarafa</w:t>
            </w:r>
            <w:r w:rsidRPr="00A23740">
              <w:rPr>
                <w:rFonts w:eastAsia="Times New Roman"/>
                <w:szCs w:val="24"/>
                <w:lang w:eastAsia="tr-TR"/>
              </w:rPr>
              <w:t xml:space="preserve"> bilirkişi tarafından yapılan kıymet takdiri</w:t>
            </w:r>
            <w:r w:rsidR="00087041" w:rsidRPr="00A23740">
              <w:rPr>
                <w:rFonts w:eastAsia="Times New Roman"/>
                <w:szCs w:val="24"/>
                <w:lang w:eastAsia="tr-TR"/>
              </w:rPr>
              <w:t xml:space="preserve"> </w:t>
            </w:r>
            <w:r w:rsidRPr="00A23740">
              <w:rPr>
                <w:rFonts w:eastAsia="Times New Roman"/>
                <w:szCs w:val="24"/>
                <w:lang w:eastAsia="tr-TR"/>
              </w:rPr>
              <w:t>imza karşılığı teslim edilirken</w:t>
            </w:r>
            <w:r w:rsidR="000C58DE" w:rsidRPr="00DE1165">
              <w:rPr>
                <w:rStyle w:val="YELChar"/>
                <w:b w:val="0"/>
                <w:color w:val="auto"/>
              </w:rPr>
              <w:t>,</w:t>
            </w:r>
            <w:r w:rsidRPr="00A23740">
              <w:rPr>
                <w:rFonts w:eastAsia="Times New Roman"/>
                <w:szCs w:val="24"/>
                <w:lang w:eastAsia="tr-TR"/>
              </w:rPr>
              <w:t xml:space="preserve"> </w:t>
            </w:r>
            <w:r w:rsidR="000C58DE" w:rsidRPr="00D60C1D">
              <w:rPr>
                <w:rStyle w:val="YELChar"/>
                <w:b w:val="0"/>
                <w:color w:val="000000"/>
              </w:rPr>
              <w:t>hazır bulunmayan tarafa</w:t>
            </w:r>
            <w:r w:rsidR="000C58DE" w:rsidRPr="00A23740">
              <w:rPr>
                <w:rFonts w:eastAsia="Times New Roman"/>
                <w:szCs w:val="24"/>
                <w:lang w:eastAsia="tr-TR"/>
              </w:rPr>
              <w:t xml:space="preserve"> </w:t>
            </w:r>
            <w:r w:rsidRPr="00A23740">
              <w:rPr>
                <w:rFonts w:eastAsia="Times New Roman"/>
                <w:szCs w:val="24"/>
                <w:lang w:eastAsia="tr-TR"/>
              </w:rPr>
              <w:t>ise</w:t>
            </w:r>
            <w:r w:rsidR="00087041" w:rsidRPr="00A23740">
              <w:rPr>
                <w:rFonts w:eastAsia="Times New Roman"/>
                <w:szCs w:val="24"/>
                <w:lang w:eastAsia="tr-TR"/>
              </w:rPr>
              <w:t xml:space="preserve"> </w:t>
            </w:r>
            <w:r w:rsidR="00087041" w:rsidRPr="00D60C1D">
              <w:rPr>
                <w:rStyle w:val="YELChar"/>
                <w:b w:val="0"/>
                <w:color w:val="000000"/>
              </w:rPr>
              <w:t>kıymet takdiri raporunun</w:t>
            </w:r>
            <w:r w:rsidRPr="00A23740">
              <w:rPr>
                <w:rFonts w:eastAsia="Times New Roman"/>
                <w:szCs w:val="24"/>
                <w:lang w:eastAsia="tr-TR"/>
              </w:rPr>
              <w:t xml:space="preserve"> ayrıca te</w:t>
            </w:r>
            <w:r w:rsidR="000C58DE" w:rsidRPr="00A23740">
              <w:rPr>
                <w:rFonts w:eastAsia="Times New Roman"/>
                <w:szCs w:val="24"/>
                <w:lang w:eastAsia="tr-TR"/>
              </w:rPr>
              <w:t>bliğ edilmesi öngörülmektedir.</w:t>
            </w:r>
          </w:p>
          <w:p w:rsidR="00B62391" w:rsidRPr="00A23740" w:rsidRDefault="00B62391" w:rsidP="008B4E7E">
            <w:pPr>
              <w:tabs>
                <w:tab w:val="left" w:pos="567"/>
              </w:tabs>
              <w:ind w:firstLine="709"/>
              <w:rPr>
                <w:rFonts w:eastAsia="Times New Roman"/>
                <w:b/>
                <w:szCs w:val="24"/>
                <w:lang w:eastAsia="tr-TR"/>
              </w:rPr>
            </w:pPr>
            <w:r w:rsidRPr="00A23740">
              <w:rPr>
                <w:rFonts w:eastAsia="Times New Roman"/>
                <w:szCs w:val="24"/>
                <w:lang w:eastAsia="tr-TR"/>
              </w:rPr>
              <w:t xml:space="preserve">Dördüncü </w:t>
            </w:r>
            <w:r w:rsidR="00087041" w:rsidRPr="00D60C1D">
              <w:rPr>
                <w:rStyle w:val="YELChar"/>
                <w:b w:val="0"/>
                <w:color w:val="000000"/>
              </w:rPr>
              <w:t>fıkra</w:t>
            </w:r>
            <w:r w:rsidR="004D02C9" w:rsidRPr="00D60C1D">
              <w:rPr>
                <w:rStyle w:val="YELChar"/>
                <w:b w:val="0"/>
                <w:color w:val="000000"/>
              </w:rPr>
              <w:t>da</w:t>
            </w:r>
            <w:r w:rsidR="00087041" w:rsidRPr="00D60C1D">
              <w:rPr>
                <w:rStyle w:val="YELChar"/>
                <w:b w:val="0"/>
                <w:color w:val="000000"/>
              </w:rPr>
              <w:t xml:space="preserve">, </w:t>
            </w:r>
            <w:r w:rsidR="004D02C9" w:rsidRPr="00D60C1D">
              <w:rPr>
                <w:rStyle w:val="YELChar"/>
                <w:b w:val="0"/>
                <w:color w:val="000000"/>
              </w:rPr>
              <w:t>176 ncı</w:t>
            </w:r>
            <w:r w:rsidR="004D02C9" w:rsidRPr="00A23740">
              <w:rPr>
                <w:rStyle w:val="YELChar"/>
                <w:color w:val="385623"/>
              </w:rPr>
              <w:t xml:space="preserve"> </w:t>
            </w:r>
            <w:r w:rsidR="004D02C9" w:rsidRPr="00D60C1D">
              <w:rPr>
                <w:rStyle w:val="YELChar"/>
                <w:b w:val="0"/>
                <w:color w:val="000000"/>
              </w:rPr>
              <w:t xml:space="preserve">maddenin ikinci fıkrası saklı kalmak kaydıyla, </w:t>
            </w:r>
            <w:r w:rsidR="004D02C9" w:rsidRPr="00D60C1D">
              <w:rPr>
                <w:color w:val="000000"/>
                <w:lang w:eastAsia="tr-TR"/>
              </w:rPr>
              <w:t>kıymet takdirinin bilirkişi tarafından yapıldığı hâllerde, düzenlenen raporun</w:t>
            </w:r>
            <w:r w:rsidR="004D02C9" w:rsidRPr="00D60C1D">
              <w:rPr>
                <w:rFonts w:eastAsia="Times New Roman"/>
                <w:color w:val="000000"/>
                <w:lang w:eastAsia="tr-TR"/>
              </w:rPr>
              <w:t xml:space="preserve"> takibin taraflarına ve hacze iştirak edenlere tebliğ edileceği düzenlenmektedir.</w:t>
            </w:r>
          </w:p>
          <w:p w:rsidR="00B62391" w:rsidRPr="00A23740" w:rsidRDefault="00B62391" w:rsidP="008B4E7E">
            <w:pPr>
              <w:tabs>
                <w:tab w:val="left" w:pos="567"/>
              </w:tabs>
              <w:ind w:firstLine="709"/>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Style w:val="KIRMIZIChar"/>
                <w:rFonts w:eastAsia="Calibri"/>
              </w:rPr>
            </w:pPr>
            <w:r w:rsidRPr="00A23740">
              <w:rPr>
                <w:rFonts w:eastAsia="Times New Roman"/>
                <w:i/>
                <w:szCs w:val="24"/>
                <w:lang w:eastAsia="tr-TR"/>
              </w:rPr>
              <w:t xml:space="preserve">Mükellefiyetlerin </w:t>
            </w:r>
            <w:r w:rsidRPr="00A23740">
              <w:rPr>
                <w:rStyle w:val="KIRMIZIChar"/>
                <w:rFonts w:eastAsia="Calibri"/>
              </w:rPr>
              <w:t>listesi: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128 – (1) …</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(Değişik: 9/11/1988 - 3494/19 md.)</w:t>
            </w:r>
            <w:r w:rsidRPr="00A23740">
              <w:rPr>
                <w:rFonts w:eastAsia="Times New Roman"/>
                <w:b/>
                <w:color w:val="FF0000"/>
                <w:szCs w:val="24"/>
                <w:lang w:eastAsia="tr-TR"/>
              </w:rPr>
              <w:t xml:space="preserve"> </w:t>
            </w:r>
            <w:r w:rsidRPr="00A23740">
              <w:rPr>
                <w:rFonts w:eastAsia="Times New Roman"/>
                <w:szCs w:val="24"/>
                <w:lang w:eastAsia="tr-TR"/>
              </w:rPr>
              <w:t>İcra dairesi taşınmazın kıymetini takdir ettirir</w:t>
            </w:r>
            <w:r w:rsidRPr="00A23740">
              <w:rPr>
                <w:rStyle w:val="KIRMIZIChar"/>
                <w:rFonts w:eastAsia="Calibri"/>
              </w:rPr>
              <w:t>,</w:t>
            </w:r>
            <w:r w:rsidRPr="00A23740">
              <w:rPr>
                <w:rFonts w:eastAsia="Times New Roman"/>
                <w:szCs w:val="24"/>
                <w:lang w:eastAsia="tr-TR"/>
              </w:rPr>
              <w:t xml:space="preserve"> taşınmazın kıymetinin takdirinde, taşınmaz üzerindeki mükellefiyetlerin kıymete olan etkisi de </w:t>
            </w:r>
            <w:r w:rsidRPr="00A23740">
              <w:rPr>
                <w:rStyle w:val="KIRMIZIChar"/>
                <w:rFonts w:eastAsia="Calibri"/>
              </w:rPr>
              <w:t>nazara</w:t>
            </w:r>
            <w:r w:rsidRPr="00A23740">
              <w:rPr>
                <w:rFonts w:eastAsia="Times New Roman"/>
                <w:szCs w:val="24"/>
                <w:lang w:eastAsia="tr-TR"/>
              </w:rPr>
              <w:t xml:space="preserve"> alınır.</w:t>
            </w:r>
            <w:r w:rsidRPr="00A23740">
              <w:rPr>
                <w:rFonts w:eastAsia="Times New Roman"/>
                <w:b/>
                <w:strike/>
                <w:color w:val="FF0000"/>
                <w:szCs w:val="24"/>
                <w:lang w:eastAsia="tr-TR"/>
              </w:rPr>
              <w:t xml:space="preserve"> (Ek cümle : 17/7/2003-4949/33 md.) Taşınmazın önceden takdir edilen kıymetini etkileyen mükellefiyetlerin ortaya çıkması hâlinde, icra dairesi satışa esas olmak üzere taşınmazın kıymetini yeniden takdir ettirir.Kıymet takdirine ilişkin rapor borçluya, haciz koydurmuş alacaklılara ve diğer ipotekli alacaklılara tebligatın yapıldığı icra dosyasındaki, ayrıca bildirilmiş bulunması hali müstesna olmak üzere, tapudaki mevcut adresleri esas alınmak sureti ile tebliğ edilir. (Mülga son cümle: 17/7/2003-4949/103 md.)</w:t>
            </w:r>
          </w:p>
          <w:p w:rsidR="00AA5C8C" w:rsidRPr="00A23740" w:rsidRDefault="00AA5C8C" w:rsidP="009431FF">
            <w:pPr>
              <w:rPr>
                <w:rFonts w:eastAsia="Times New Roman"/>
                <w:b/>
                <w:szCs w:val="24"/>
                <w:lang w:eastAsia="tr-TR"/>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Taşınmazların kıymet takdiri</w:t>
            </w: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MADDE 17</w:t>
            </w:r>
            <w:r w:rsidR="00087041" w:rsidRPr="00A23740">
              <w:rPr>
                <w:rFonts w:eastAsia="Times New Roman"/>
                <w:b/>
                <w:color w:val="0000FF"/>
                <w:szCs w:val="24"/>
                <w:lang w:eastAsia="tr-TR"/>
              </w:rPr>
              <w:t>6</w:t>
            </w:r>
            <w:r w:rsidRPr="00A23740">
              <w:rPr>
                <w:rFonts w:eastAsia="Times New Roman"/>
                <w:b/>
                <w:color w:val="0000FF"/>
                <w:szCs w:val="24"/>
                <w:lang w:eastAsia="tr-TR"/>
              </w:rPr>
              <w:t>- (1)</w:t>
            </w:r>
            <w:r w:rsidRPr="00A23740">
              <w:rPr>
                <w:rFonts w:eastAsia="Times New Roman"/>
                <w:szCs w:val="24"/>
                <w:lang w:eastAsia="tr-TR"/>
              </w:rPr>
              <w:t xml:space="preserve"> İcra </w:t>
            </w:r>
            <w:r w:rsidRPr="00A23740">
              <w:rPr>
                <w:rStyle w:val="MaviChar"/>
              </w:rPr>
              <w:t>ve iflas</w:t>
            </w:r>
            <w:r w:rsidRPr="00A23740">
              <w:rPr>
                <w:rFonts w:eastAsia="Times New Roman"/>
                <w:szCs w:val="24"/>
                <w:lang w:eastAsia="tr-TR"/>
              </w:rPr>
              <w:t xml:space="preserve"> dairesi taşınmazın kıymetini </w:t>
            </w:r>
            <w:r w:rsidRPr="00A23740">
              <w:rPr>
                <w:rStyle w:val="MaviChar"/>
              </w:rPr>
              <w:t>bilirkişiye</w:t>
            </w:r>
            <w:r w:rsidRPr="00A23740">
              <w:rPr>
                <w:rFonts w:eastAsia="Times New Roman"/>
                <w:szCs w:val="24"/>
                <w:lang w:eastAsia="tr-TR"/>
              </w:rPr>
              <w:t xml:space="preserve"> takdir ettirir</w:t>
            </w:r>
            <w:r w:rsidRPr="00A23740">
              <w:rPr>
                <w:rStyle w:val="MaviChar"/>
              </w:rPr>
              <w:t>.</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 xml:space="preserve">(2) </w:t>
            </w:r>
            <w:r w:rsidRPr="00A23740">
              <w:rPr>
                <w:rFonts w:eastAsia="Times New Roman"/>
                <w:szCs w:val="24"/>
                <w:lang w:eastAsia="tr-TR"/>
              </w:rPr>
              <w:t xml:space="preserve">Taşınmazın kıymetinin takdirinde, taşınmaz üzerindeki mükellefiyetlerin kıymete olan etkisi de </w:t>
            </w:r>
            <w:r w:rsidRPr="00A23740">
              <w:rPr>
                <w:rStyle w:val="MaviChar"/>
              </w:rPr>
              <w:t>dikkate</w:t>
            </w:r>
            <w:r w:rsidRPr="00A23740">
              <w:rPr>
                <w:rFonts w:eastAsia="Times New Roman"/>
                <w:szCs w:val="24"/>
                <w:lang w:eastAsia="tr-TR"/>
              </w:rPr>
              <w:t xml:space="preserve"> alınır.</w:t>
            </w:r>
          </w:p>
          <w:p w:rsidR="00AA5C8C" w:rsidRPr="00A23740" w:rsidRDefault="00AA5C8C" w:rsidP="009431FF">
            <w:pPr>
              <w:tabs>
                <w:tab w:val="left" w:pos="567"/>
              </w:tabs>
              <w:rPr>
                <w:rFonts w:eastAsia="Times New Roman"/>
                <w:b/>
                <w:color w:val="0000FF"/>
                <w:szCs w:val="24"/>
                <w:lang w:eastAsia="tr-TR"/>
              </w:rPr>
            </w:pPr>
          </w:p>
          <w:p w:rsidR="00D76571" w:rsidRPr="00A23740" w:rsidRDefault="00D76571"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(3) Kıymet takdirine ilişkin rapor, takibin taraflarına, </w:t>
            </w:r>
            <w:r w:rsidRPr="00A23740">
              <w:rPr>
                <w:rFonts w:eastAsia="Times New Roman"/>
                <w:color w:val="000000"/>
                <w:szCs w:val="24"/>
                <w:lang w:eastAsia="tr-TR"/>
              </w:rPr>
              <w:t xml:space="preserve">haciz </w:t>
            </w:r>
            <w:r w:rsidRPr="00A23740">
              <w:rPr>
                <w:rStyle w:val="MaviChar"/>
              </w:rPr>
              <w:t>koydurmuş alacaklılara,</w:t>
            </w:r>
            <w:r w:rsidRPr="00A23740">
              <w:rPr>
                <w:rFonts w:eastAsia="Times New Roman"/>
                <w:b/>
                <w:color w:val="0000FF"/>
                <w:szCs w:val="24"/>
                <w:lang w:eastAsia="tr-TR"/>
              </w:rPr>
              <w:t xml:space="preserve"> varsa rehin veya ipotek hakkı bulunan alacaklılara ve ortaklığın giderilmesi satışlarında ortaklara da tebliğ edilir.</w:t>
            </w:r>
          </w:p>
          <w:p w:rsidR="00AA5C8C" w:rsidRPr="00A23740" w:rsidRDefault="00AA5C8C" w:rsidP="009431FF">
            <w:pPr>
              <w:tabs>
                <w:tab w:val="left" w:pos="567"/>
              </w:tabs>
            </w:pPr>
          </w:p>
        </w:tc>
      </w:tr>
      <w:tr w:rsidR="00FD7764" w:rsidRPr="00A23740" w:rsidTr="009431FF">
        <w:tblPrEx>
          <w:tblLook w:val="01E0" w:firstRow="1" w:lastRow="1" w:firstColumn="1" w:lastColumn="1" w:noHBand="0" w:noVBand="0"/>
        </w:tblPrEx>
        <w:tc>
          <w:tcPr>
            <w:tcW w:w="5000" w:type="pct"/>
            <w:gridSpan w:val="2"/>
            <w:shd w:val="clear" w:color="auto" w:fill="DEEAF6"/>
          </w:tcPr>
          <w:p w:rsidR="00FD7764" w:rsidRPr="00A23740" w:rsidRDefault="00FD7764" w:rsidP="009431FF">
            <w:pPr>
              <w:pStyle w:val="Mavi"/>
              <w:jc w:val="center"/>
              <w:rPr>
                <w:lang w:val="tr-TR"/>
              </w:rPr>
            </w:pPr>
          </w:p>
          <w:p w:rsidR="00FD7764" w:rsidRPr="00D60C1D" w:rsidRDefault="00FD7764" w:rsidP="009431FF">
            <w:pPr>
              <w:tabs>
                <w:tab w:val="left" w:pos="567"/>
              </w:tabs>
              <w:ind w:firstLine="709"/>
              <w:rPr>
                <w:rFonts w:eastAsia="Times New Roman"/>
                <w:b/>
                <w:color w:val="000000"/>
                <w:szCs w:val="24"/>
                <w:lang w:eastAsia="tr-TR"/>
              </w:rPr>
            </w:pPr>
            <w:r w:rsidRPr="00A23740">
              <w:rPr>
                <w:b/>
              </w:rPr>
              <w:t>MADDE 17</w:t>
            </w:r>
            <w:r w:rsidR="00087041" w:rsidRPr="00A23740">
              <w:rPr>
                <w:b/>
              </w:rPr>
              <w:t>6</w:t>
            </w:r>
            <w:r w:rsidR="000A531A" w:rsidRPr="00A23740">
              <w:rPr>
                <w:b/>
              </w:rPr>
              <w:t xml:space="preserve"> –</w:t>
            </w:r>
            <w:r w:rsidRPr="00A23740">
              <w:t xml:space="preserve"> </w:t>
            </w:r>
            <w:r w:rsidRPr="00A23740">
              <w:rPr>
                <w:rFonts w:eastAsia="Times New Roman"/>
                <w:szCs w:val="24"/>
                <w:lang w:eastAsia="tr-TR"/>
              </w:rPr>
              <w:t>Maddeyle</w:t>
            </w:r>
            <w:r w:rsidR="000A531A" w:rsidRPr="00A23740">
              <w:rPr>
                <w:rFonts w:eastAsia="Times New Roman"/>
                <w:szCs w:val="24"/>
                <w:lang w:eastAsia="tr-TR"/>
              </w:rPr>
              <w:t>,</w:t>
            </w:r>
            <w:r w:rsidRPr="00A23740">
              <w:rPr>
                <w:rFonts w:eastAsia="Times New Roman"/>
                <w:szCs w:val="24"/>
                <w:lang w:eastAsia="tr-TR"/>
              </w:rPr>
              <w:t xml:space="preserve"> taşınmazların</w:t>
            </w:r>
            <w:r w:rsidR="001C386F" w:rsidRPr="00A23740">
              <w:rPr>
                <w:rFonts w:eastAsia="Times New Roman"/>
                <w:szCs w:val="24"/>
                <w:lang w:eastAsia="tr-TR"/>
              </w:rPr>
              <w:t xml:space="preserve"> haciz </w:t>
            </w:r>
            <w:r w:rsidR="001C386F" w:rsidRPr="00D60C1D">
              <w:rPr>
                <w:rStyle w:val="YELChar"/>
                <w:b w:val="0"/>
                <w:color w:val="000000"/>
              </w:rPr>
              <w:t>sırasındaki</w:t>
            </w:r>
            <w:r w:rsidRPr="00A23740">
              <w:rPr>
                <w:rFonts w:eastAsia="Times New Roman"/>
                <w:szCs w:val="24"/>
                <w:lang w:eastAsia="tr-TR"/>
              </w:rPr>
              <w:t xml:space="preserve"> kıymet takdiri düzenlenmektedir.</w:t>
            </w:r>
            <w:r w:rsidR="001C386F" w:rsidRPr="00A23740">
              <w:rPr>
                <w:rStyle w:val="YELChar"/>
              </w:rPr>
              <w:t xml:space="preserve"> </w:t>
            </w:r>
            <w:r w:rsidR="001C386F" w:rsidRPr="00D60C1D">
              <w:rPr>
                <w:rStyle w:val="YELChar"/>
                <w:b w:val="0"/>
                <w:color w:val="000000"/>
              </w:rPr>
              <w:t>Uygulamada taşınmazlar yönünden geçerli “kaydî hacizlerde” kıymet takdiri yapılmamakta, bu işlem satış talebinin sonrasına bırakılmaktaydı. Taslakta ise haczin konusu ne olursa olsun kıymet takdirinin madde metninde düzenlendiği şekilde yapılması öngörülmüş; taşınmazlar için de artık bu safhada bir kıymet takdir raporunun hazırlanarak ilgililere tebliği düzenlenmiştir.</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Birinci fıkrayla</w:t>
            </w:r>
            <w:r w:rsidR="000A531A" w:rsidRPr="00A23740">
              <w:rPr>
                <w:rFonts w:eastAsia="Times New Roman"/>
                <w:szCs w:val="24"/>
                <w:lang w:eastAsia="tr-TR"/>
              </w:rPr>
              <w:t>,</w:t>
            </w:r>
            <w:r w:rsidRPr="00A23740">
              <w:rPr>
                <w:rFonts w:eastAsia="Times New Roman"/>
                <w:szCs w:val="24"/>
                <w:lang w:eastAsia="tr-TR"/>
              </w:rPr>
              <w:t xml:space="preserve"> taşınmazların kıymetinin takdir edilmesinde bilirkişiye başvurulm</w:t>
            </w:r>
            <w:r w:rsidR="00087041" w:rsidRPr="00A23740">
              <w:rPr>
                <w:rFonts w:eastAsia="Times New Roman"/>
                <w:szCs w:val="24"/>
                <w:lang w:eastAsia="tr-TR"/>
              </w:rPr>
              <w:t>ası zorunlu h</w:t>
            </w:r>
            <w:r w:rsidR="001D7D44" w:rsidRPr="00A23740">
              <w:rPr>
                <w:rFonts w:eastAsia="Times New Roman"/>
                <w:szCs w:val="24"/>
                <w:lang w:eastAsia="tr-TR"/>
              </w:rPr>
              <w:t>â</w:t>
            </w:r>
            <w:r w:rsidR="00087041" w:rsidRPr="00A23740">
              <w:rPr>
                <w:rFonts w:eastAsia="Times New Roman"/>
                <w:szCs w:val="24"/>
                <w:lang w:eastAsia="tr-TR"/>
              </w:rPr>
              <w:t>le getirilmiştir.</w:t>
            </w:r>
          </w:p>
          <w:p w:rsidR="00B62391" w:rsidRPr="00A23740" w:rsidRDefault="00B62391" w:rsidP="009431FF">
            <w:pPr>
              <w:tabs>
                <w:tab w:val="left" w:pos="567"/>
              </w:tabs>
              <w:ind w:firstLine="709"/>
              <w:rPr>
                <w:rStyle w:val="KIRMIZIChar"/>
                <w:rFonts w:eastAsia="Calibri"/>
              </w:rPr>
            </w:pPr>
            <w:r w:rsidRPr="00A23740">
              <w:rPr>
                <w:rFonts w:eastAsia="Times New Roman"/>
                <w:szCs w:val="24"/>
                <w:lang w:eastAsia="tr-TR"/>
              </w:rPr>
              <w:t>İkinci fıkrayla</w:t>
            </w:r>
            <w:r w:rsidR="000A531A" w:rsidRPr="00A23740">
              <w:rPr>
                <w:rFonts w:eastAsia="Times New Roman"/>
                <w:szCs w:val="24"/>
                <w:lang w:eastAsia="tr-TR"/>
              </w:rPr>
              <w:t>,</w:t>
            </w:r>
            <w:r w:rsidRPr="00A23740">
              <w:rPr>
                <w:rFonts w:eastAsia="Times New Roman"/>
                <w:szCs w:val="24"/>
                <w:lang w:eastAsia="tr-TR"/>
              </w:rPr>
              <w:t xml:space="preserve"> bilirkişi tarafından kıymet takdiri yapılması sırasında</w:t>
            </w:r>
            <w:r w:rsidR="00087041" w:rsidRPr="00A23740">
              <w:rPr>
                <w:rFonts w:eastAsia="Times New Roman"/>
                <w:szCs w:val="24"/>
                <w:lang w:eastAsia="tr-TR"/>
              </w:rPr>
              <w:t xml:space="preserve"> </w:t>
            </w:r>
            <w:r w:rsidR="00087041" w:rsidRPr="00D60C1D">
              <w:rPr>
                <w:rStyle w:val="YELChar"/>
                <w:b w:val="0"/>
                <w:color w:val="000000"/>
              </w:rPr>
              <w:t>taşınmaz üzerindeki</w:t>
            </w:r>
            <w:r w:rsidRPr="00A23740">
              <w:rPr>
                <w:rFonts w:eastAsia="Times New Roman"/>
                <w:szCs w:val="24"/>
                <w:lang w:eastAsia="tr-TR"/>
              </w:rPr>
              <w:t xml:space="preserve"> mükellefiyetlerin kıymete olumlu ve olumsuz etkiler</w:t>
            </w:r>
            <w:r w:rsidRPr="00D60C1D">
              <w:rPr>
                <w:rFonts w:eastAsia="Times New Roman"/>
                <w:color w:val="000000"/>
                <w:szCs w:val="24"/>
                <w:lang w:eastAsia="tr-TR"/>
              </w:rPr>
              <w:t>i</w:t>
            </w:r>
            <w:r w:rsidR="00087041" w:rsidRPr="00D60C1D">
              <w:rPr>
                <w:rStyle w:val="YELChar"/>
                <w:b w:val="0"/>
                <w:color w:val="000000"/>
              </w:rPr>
              <w:t>nin</w:t>
            </w:r>
            <w:r w:rsidRPr="00A23740">
              <w:rPr>
                <w:rFonts w:eastAsia="Times New Roman"/>
                <w:szCs w:val="24"/>
                <w:lang w:eastAsia="tr-TR"/>
              </w:rPr>
              <w:t xml:space="preserve"> dikkate </w:t>
            </w:r>
            <w:r w:rsidR="00087041" w:rsidRPr="00D60C1D">
              <w:rPr>
                <w:rStyle w:val="YELChar"/>
                <w:b w:val="0"/>
                <w:color w:val="000000"/>
              </w:rPr>
              <w:t>alınmasının</w:t>
            </w:r>
            <w:r w:rsidRPr="00A23740">
              <w:rPr>
                <w:rFonts w:eastAsia="Times New Roman"/>
                <w:szCs w:val="24"/>
                <w:lang w:eastAsia="tr-TR"/>
              </w:rPr>
              <w:t xml:space="preserve"> ve bu hususun bilirkişi tarafından</w:t>
            </w:r>
            <w:r w:rsidR="00087041" w:rsidRPr="00A23740">
              <w:rPr>
                <w:rFonts w:eastAsia="Times New Roman"/>
                <w:szCs w:val="24"/>
                <w:lang w:eastAsia="tr-TR"/>
              </w:rPr>
              <w:t xml:space="preserve"> </w:t>
            </w:r>
            <w:r w:rsidR="00087041" w:rsidRPr="00D60C1D">
              <w:rPr>
                <w:rStyle w:val="YELChar"/>
                <w:b w:val="0"/>
                <w:color w:val="000000"/>
              </w:rPr>
              <w:t>raporda</w:t>
            </w:r>
            <w:r w:rsidRPr="00A23740">
              <w:rPr>
                <w:rFonts w:eastAsia="Times New Roman"/>
                <w:szCs w:val="24"/>
                <w:lang w:eastAsia="tr-TR"/>
              </w:rPr>
              <w:t xml:space="preserve"> belirtilmesinin </w:t>
            </w:r>
            <w:r w:rsidR="00087041" w:rsidRPr="00D60C1D">
              <w:rPr>
                <w:rStyle w:val="YELChar"/>
                <w:b w:val="0"/>
                <w:color w:val="000000"/>
              </w:rPr>
              <w:t>gerekli olduğu açıklanmıştır.</w:t>
            </w:r>
            <w:r w:rsidRPr="00A23740">
              <w:rPr>
                <w:rStyle w:val="KIRMIZIChar"/>
                <w:rFonts w:eastAsia="Calibri"/>
              </w:rPr>
              <w:t xml:space="preserve"> </w:t>
            </w:r>
          </w:p>
          <w:p w:rsidR="00B62391" w:rsidRPr="00A23740" w:rsidRDefault="00087041" w:rsidP="009431FF">
            <w:pPr>
              <w:tabs>
                <w:tab w:val="left" w:pos="567"/>
              </w:tabs>
              <w:ind w:firstLine="709"/>
              <w:rPr>
                <w:b/>
                <w:bCs/>
                <w:color w:val="0000FF"/>
                <w:szCs w:val="24"/>
                <w:lang w:val="x-none" w:eastAsia="x-none"/>
              </w:rPr>
            </w:pPr>
            <w:r w:rsidRPr="00A23740">
              <w:rPr>
                <w:rFonts w:eastAsia="Times New Roman"/>
                <w:szCs w:val="24"/>
                <w:lang w:eastAsia="tr-TR"/>
              </w:rPr>
              <w:t xml:space="preserve">Üçüncü </w:t>
            </w:r>
            <w:r w:rsidRPr="00D60C1D">
              <w:rPr>
                <w:rStyle w:val="YELChar"/>
                <w:b w:val="0"/>
                <w:color w:val="000000"/>
              </w:rPr>
              <w:t>fıkraya</w:t>
            </w:r>
            <w:r w:rsidRPr="00D60C1D">
              <w:rPr>
                <w:rFonts w:eastAsia="Times New Roman"/>
                <w:b/>
                <w:color w:val="000000"/>
                <w:szCs w:val="24"/>
                <w:lang w:eastAsia="tr-TR"/>
              </w:rPr>
              <w:t xml:space="preserve"> </w:t>
            </w:r>
            <w:r w:rsidRPr="00D60C1D">
              <w:rPr>
                <w:rStyle w:val="YELChar"/>
                <w:b w:val="0"/>
                <w:color w:val="000000"/>
              </w:rPr>
              <w:t>göre</w:t>
            </w:r>
            <w:r w:rsidR="000A531A" w:rsidRPr="00A23740">
              <w:rPr>
                <w:rFonts w:eastAsia="Times New Roman"/>
                <w:szCs w:val="24"/>
                <w:lang w:eastAsia="tr-TR"/>
              </w:rPr>
              <w:t>,</w:t>
            </w:r>
            <w:r w:rsidR="00B62391" w:rsidRPr="00A23740">
              <w:rPr>
                <w:rFonts w:eastAsia="Times New Roman"/>
                <w:szCs w:val="24"/>
                <w:lang w:eastAsia="tr-TR"/>
              </w:rPr>
              <w:t xml:space="preserve"> kıymet takdirine ilişkin raporun tüm ilgililere tebliğ edilmesi</w:t>
            </w:r>
            <w:r w:rsidRPr="00A23740">
              <w:rPr>
                <w:rFonts w:eastAsia="Times New Roman"/>
                <w:szCs w:val="24"/>
                <w:lang w:eastAsia="tr-TR"/>
              </w:rPr>
              <w:t xml:space="preserve"> </w:t>
            </w:r>
            <w:r w:rsidRPr="00D60C1D">
              <w:rPr>
                <w:rStyle w:val="YELChar"/>
                <w:b w:val="0"/>
                <w:color w:val="000000"/>
              </w:rPr>
              <w:t>zorunludur. Böylece, hem şeffaflığın hem de s</w:t>
            </w:r>
            <w:r w:rsidR="00B16AD9" w:rsidRPr="00D60C1D">
              <w:rPr>
                <w:rStyle w:val="YELChar"/>
                <w:b w:val="0"/>
                <w:color w:val="000000"/>
              </w:rPr>
              <w:t>ü</w:t>
            </w:r>
            <w:r w:rsidRPr="00D60C1D">
              <w:rPr>
                <w:rStyle w:val="YELChar"/>
                <w:b w:val="0"/>
                <w:color w:val="000000"/>
              </w:rPr>
              <w:t>ratin sağlanması amaçlanmıştır.</w:t>
            </w:r>
          </w:p>
          <w:p w:rsidR="00B62391" w:rsidRPr="00A23740" w:rsidRDefault="00B62391" w:rsidP="009431FF">
            <w:pPr>
              <w:tabs>
                <w:tab w:val="left" w:pos="567"/>
              </w:tabs>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autoSpaceDE w:val="0"/>
              <w:autoSpaceDN w:val="0"/>
              <w:adjustRightInd w:val="0"/>
              <w:rPr>
                <w:rFonts w:eastAsia="Times New Roman"/>
                <w:i/>
                <w:iCs/>
                <w:color w:val="000000"/>
                <w:szCs w:val="24"/>
                <w:lang w:eastAsia="tr-TR"/>
              </w:rPr>
            </w:pPr>
          </w:p>
          <w:p w:rsidR="00AA5C8C" w:rsidRPr="00A23740" w:rsidRDefault="00AA5C8C" w:rsidP="009431FF">
            <w:pPr>
              <w:autoSpaceDE w:val="0"/>
              <w:autoSpaceDN w:val="0"/>
              <w:adjustRightInd w:val="0"/>
              <w:rPr>
                <w:rFonts w:eastAsia="Times New Roman"/>
                <w:i/>
                <w:iCs/>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r w:rsidRPr="00A23740">
              <w:rPr>
                <w:rStyle w:val="KIRMIZIChar"/>
                <w:rFonts w:eastAsia="Calibri"/>
              </w:rPr>
              <w:t>Kıymet takdirine ilişkin</w:t>
            </w:r>
            <w:r w:rsidRPr="00A23740">
              <w:rPr>
                <w:rFonts w:eastAsia="Times New Roman"/>
                <w:i/>
                <w:iCs/>
                <w:color w:val="000000"/>
                <w:szCs w:val="24"/>
                <w:lang w:eastAsia="tr-TR"/>
              </w:rPr>
              <w:t xml:space="preserve"> şikâyet</w:t>
            </w:r>
            <w:r w:rsidRPr="00A23740">
              <w:rPr>
                <w:rFonts w:eastAsia="Times New Roman"/>
                <w:b/>
                <w:strike/>
                <w:color w:val="FF0000"/>
                <w:szCs w:val="24"/>
                <w:lang w:eastAsia="tr-TR"/>
              </w:rPr>
              <w:t>:</w:t>
            </w:r>
            <w:r w:rsidRPr="00A23740">
              <w:rPr>
                <w:rFonts w:eastAsia="Times New Roman"/>
                <w:i/>
                <w:iCs/>
                <w:color w:val="000000"/>
                <w:szCs w:val="24"/>
                <w:lang w:eastAsia="tr-TR"/>
              </w:rPr>
              <w:t xml:space="preserve"> </w:t>
            </w:r>
          </w:p>
          <w:p w:rsidR="00AA5C8C" w:rsidRPr="00A23740" w:rsidRDefault="00AA5C8C" w:rsidP="009431FF">
            <w:pPr>
              <w:pStyle w:val="KIRMIZI"/>
              <w:rPr>
                <w:lang w:val="tr-TR"/>
              </w:rPr>
            </w:pPr>
            <w:r w:rsidRPr="00A23740">
              <w:rPr>
                <w:lang w:val="tr-TR"/>
              </w:rPr>
              <w:t xml:space="preserve">Madde 128/a- (1) (Ek : 17/7/2003-4949/34 md.) </w:t>
            </w:r>
          </w:p>
          <w:p w:rsidR="00AA5C8C" w:rsidRPr="00A23740" w:rsidRDefault="00AA5C8C" w:rsidP="009431FF">
            <w:pPr>
              <w:autoSpaceDE w:val="0"/>
              <w:autoSpaceDN w:val="0"/>
              <w:adjustRightInd w:val="0"/>
              <w:rPr>
                <w:rFonts w:eastAsia="Times New Roman"/>
                <w:color w:val="000000"/>
                <w:szCs w:val="24"/>
                <w:lang w:eastAsia="tr-TR"/>
              </w:rPr>
            </w:pPr>
            <w:r w:rsidRPr="00A23740">
              <w:rPr>
                <w:rFonts w:eastAsia="Times New Roman"/>
                <w:color w:val="000000"/>
                <w:szCs w:val="24"/>
                <w:lang w:eastAsia="tr-TR"/>
              </w:rPr>
              <w:t>Kıymet takdirin</w:t>
            </w:r>
            <w:r w:rsidRPr="00A23740">
              <w:rPr>
                <w:rStyle w:val="KIRMIZIChar"/>
                <w:rFonts w:eastAsia="Calibri"/>
              </w:rPr>
              <w:t>in tebliğ edildiği ilgililer,</w:t>
            </w:r>
            <w:r w:rsidRPr="00A23740">
              <w:rPr>
                <w:szCs w:val="24"/>
              </w:rPr>
              <w:t xml:space="preserve"> </w:t>
            </w:r>
            <w:r w:rsidRPr="00A23740">
              <w:rPr>
                <w:rFonts w:eastAsia="Times New Roman"/>
                <w:color w:val="000000"/>
                <w:szCs w:val="24"/>
                <w:lang w:eastAsia="tr-TR"/>
              </w:rPr>
              <w:t>raporun tebliğ</w:t>
            </w:r>
            <w:r w:rsidRPr="00A23740">
              <w:rPr>
                <w:rStyle w:val="KIRMIZIChar"/>
                <w:rFonts w:eastAsia="Calibri"/>
              </w:rPr>
              <w:t>inden</w:t>
            </w:r>
            <w:r w:rsidRPr="00A23740">
              <w:rPr>
                <w:rFonts w:eastAsia="Times New Roman"/>
                <w:color w:val="000000"/>
                <w:szCs w:val="24"/>
                <w:lang w:eastAsia="tr-TR"/>
              </w:rPr>
              <w:t xml:space="preserve"> itibaren </w:t>
            </w:r>
            <w:r w:rsidRPr="00A23740">
              <w:rPr>
                <w:rFonts w:eastAsia="Times New Roman"/>
                <w:b/>
                <w:strike/>
                <w:color w:val="FF0000"/>
                <w:szCs w:val="24"/>
                <w:lang w:eastAsia="tr-TR"/>
              </w:rPr>
              <w:t>yedi gün</w:t>
            </w:r>
            <w:r w:rsidRPr="00A23740">
              <w:rPr>
                <w:rFonts w:eastAsia="Times New Roman"/>
                <w:color w:val="000000"/>
                <w:szCs w:val="24"/>
                <w:lang w:eastAsia="tr-TR"/>
              </w:rPr>
              <w:t xml:space="preserve"> içinde </w:t>
            </w:r>
            <w:r w:rsidRPr="00A23740">
              <w:rPr>
                <w:rFonts w:eastAsia="Times New Roman"/>
                <w:b/>
                <w:strike/>
                <w:color w:val="FF0000"/>
                <w:szCs w:val="24"/>
                <w:lang w:eastAsia="tr-TR"/>
              </w:rPr>
              <w:t>raporu düzenleten</w:t>
            </w:r>
            <w:r w:rsidRPr="00A23740">
              <w:rPr>
                <w:rFonts w:eastAsia="Times New Roman"/>
                <w:color w:val="000000"/>
                <w:szCs w:val="24"/>
                <w:lang w:eastAsia="tr-TR"/>
              </w:rPr>
              <w:t xml:space="preserve"> icra dairesinin bulunduğu yerdeki icra mahkemesinde şikâyette </w:t>
            </w:r>
            <w:r w:rsidRPr="00A23740">
              <w:rPr>
                <w:rStyle w:val="KIRMIZIChar"/>
                <w:rFonts w:eastAsia="Calibri"/>
              </w:rPr>
              <w:t>bulunabilirler</w:t>
            </w:r>
            <w:r w:rsidRPr="00A23740">
              <w:rPr>
                <w:rFonts w:eastAsia="Times New Roman"/>
                <w:color w:val="000000"/>
                <w:szCs w:val="24"/>
                <w:lang w:eastAsia="tr-TR"/>
              </w:rPr>
              <w:t xml:space="preserve">. </w:t>
            </w:r>
            <w:r w:rsidRPr="00A23740">
              <w:rPr>
                <w:rStyle w:val="KIRMIZIChar"/>
                <w:rFonts w:eastAsia="Calibri"/>
              </w:rPr>
              <w:t>Şikâyet tarihinden itibaren yedi gün içinde gerekli masraf ve ücretin mahkeme veznesine yatırılması hâlinde yeniden bilirkişi incelemesi yaptırılabilir; aksi hâlde başka bir işleme gerek olmaksızın şikâyet kesin olarak reddedilir.</w:t>
            </w:r>
            <w:r w:rsidRPr="00A23740">
              <w:rPr>
                <w:rFonts w:eastAsia="Times New Roman"/>
                <w:color w:val="000000"/>
                <w:szCs w:val="24"/>
                <w:lang w:eastAsia="tr-TR"/>
              </w:rPr>
              <w:t xml:space="preserve"> </w:t>
            </w:r>
          </w:p>
          <w:p w:rsidR="00C628CE" w:rsidRPr="00A23740" w:rsidRDefault="00C628CE" w:rsidP="009431FF">
            <w:pPr>
              <w:autoSpaceDE w:val="0"/>
              <w:autoSpaceDN w:val="0"/>
              <w:adjustRightInd w:val="0"/>
              <w:rPr>
                <w:rFonts w:eastAsia="Times New Roman"/>
                <w:color w:val="000000"/>
                <w:szCs w:val="24"/>
                <w:lang w:eastAsia="tr-TR"/>
              </w:rPr>
            </w:pPr>
          </w:p>
          <w:p w:rsidR="000A2887" w:rsidRPr="00A23740" w:rsidRDefault="000A2887" w:rsidP="009431FF">
            <w:pPr>
              <w:autoSpaceDE w:val="0"/>
              <w:autoSpaceDN w:val="0"/>
              <w:adjustRightInd w:val="0"/>
              <w:rPr>
                <w:rFonts w:eastAsia="Times New Roman"/>
                <w:color w:val="000000"/>
                <w:szCs w:val="24"/>
                <w:lang w:eastAsia="tr-TR"/>
              </w:rPr>
            </w:pPr>
          </w:p>
          <w:p w:rsidR="000A2887" w:rsidRPr="00A23740" w:rsidRDefault="000A2887" w:rsidP="009431FF">
            <w:pPr>
              <w:autoSpaceDE w:val="0"/>
              <w:autoSpaceDN w:val="0"/>
              <w:adjustRightInd w:val="0"/>
              <w:rPr>
                <w:rFonts w:eastAsia="Times New Roman"/>
                <w:color w:val="000000"/>
                <w:szCs w:val="24"/>
                <w:lang w:eastAsia="tr-TR"/>
              </w:rPr>
            </w:pPr>
          </w:p>
          <w:p w:rsidR="000A2887" w:rsidRPr="00A23740" w:rsidRDefault="000A2887"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r w:rsidRPr="00A23740">
              <w:rPr>
                <w:rFonts w:eastAsia="Times New Roman"/>
                <w:b/>
                <w:strike/>
                <w:color w:val="FF0000"/>
                <w:szCs w:val="24"/>
                <w:lang w:eastAsia="tr-TR"/>
              </w:rPr>
              <w:t>(2) (Değişik birinci cümle: 12/2/2004-5092/2 md.) Kesinleşen kıymet takdirinin yapıldığı tarihten itibaren iki yıl geçmedikçe yeniden kıymet takdiri istenemez. Ancak, doğal afetler ve imar durumundaki çok önemli değişiklikler meydana getiren benzer hallerde yeniden kıymet takdiri istenebilir.</w:t>
            </w: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r w:rsidRPr="00A23740">
              <w:rPr>
                <w:rFonts w:eastAsia="Times New Roman"/>
                <w:b/>
                <w:strike/>
                <w:color w:val="FF0000"/>
                <w:szCs w:val="24"/>
                <w:lang w:eastAsia="tr-TR"/>
              </w:rPr>
              <w:t>(3) (Ek fıkra: 21/2/</w:t>
            </w:r>
            <w:r w:rsidRPr="00A23740">
              <w:rPr>
                <w:rStyle w:val="KIRMIZIChar"/>
                <w:rFonts w:eastAsia="Calibri"/>
              </w:rPr>
              <w:t>2007-5582/3 md.) 2499 sayılı Sermaye Piyasası Kanununun 38/A maddesinin birinci fıkrasında tanımlanan konut finansmanından kaynaklanan alacaklar ile Toplu Konut İdaresi Başkanlığının rehinle temin edilmiş alacaklarının takibinde, birinci fıkra uyarınca yaptırılmasına karar verilen bilirkişi incelemesi, aynı Kanunun 22 nci maddesinin birinci fıkrasının (r) bendi uyarınca yetki verilmiş kişi veya kurumlara yaptırılır.</w:t>
            </w:r>
            <w:r w:rsidRPr="00A23740">
              <w:rPr>
                <w:rFonts w:eastAsia="Times New Roman"/>
                <w:color w:val="000000"/>
                <w:szCs w:val="24"/>
                <w:lang w:eastAsia="tr-TR"/>
              </w:rPr>
              <w:t xml:space="preserve"> </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pStyle w:val="Balk5"/>
              <w:rPr>
                <w:lang w:val="tr-TR"/>
              </w:rPr>
            </w:pPr>
            <w:r w:rsidRPr="00A23740">
              <w:rPr>
                <w:lang w:val="tr-TR"/>
              </w:rPr>
              <w:t>İKİNCİ ALT AYRIM</w:t>
            </w:r>
          </w:p>
          <w:p w:rsidR="00AA5C8C" w:rsidRPr="00A23740" w:rsidRDefault="00AA5C8C" w:rsidP="009431FF">
            <w:pPr>
              <w:pStyle w:val="Mavi"/>
              <w:jc w:val="center"/>
              <w:rPr>
                <w:lang w:val="tr-TR"/>
              </w:rPr>
            </w:pPr>
            <w:r w:rsidRPr="00A23740">
              <w:t xml:space="preserve">Kıymet Takdirine İlişkin </w:t>
            </w:r>
            <w:r w:rsidRPr="00A23740">
              <w:rPr>
                <w:lang w:val="tr-TR"/>
              </w:rPr>
              <w:t>Şik</w:t>
            </w:r>
            <w:r w:rsidR="00407C95" w:rsidRPr="00A23740">
              <w:rPr>
                <w:lang w:val="tr-TR"/>
              </w:rPr>
              <w:t>â</w:t>
            </w:r>
            <w:r w:rsidRPr="00A23740">
              <w:rPr>
                <w:lang w:val="tr-TR"/>
              </w:rPr>
              <w:t>yet</w:t>
            </w:r>
          </w:p>
          <w:p w:rsidR="00AA5C8C" w:rsidRPr="00A23740" w:rsidRDefault="00AA5C8C" w:rsidP="009431FF">
            <w:pPr>
              <w:tabs>
                <w:tab w:val="left" w:pos="567"/>
              </w:tabs>
              <w:rPr>
                <w:rFonts w:eastAsia="Times New Roman"/>
                <w:b/>
                <w:iCs/>
                <w:color w:val="000000"/>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iCs/>
                <w:color w:val="000000"/>
                <w:szCs w:val="24"/>
                <w:lang w:eastAsia="tr-TR"/>
              </w:rPr>
              <w:t xml:space="preserve">Şikâyet </w:t>
            </w:r>
            <w:r w:rsidRPr="00A23740">
              <w:rPr>
                <w:rStyle w:val="MaviChar"/>
              </w:rPr>
              <w:t>başvurusu</w:t>
            </w:r>
            <w:r w:rsidRPr="00A23740">
              <w:rPr>
                <w:rStyle w:val="MaviChar"/>
                <w:lang w:val="tr-TR"/>
              </w:rPr>
              <w:t xml:space="preserve"> ve süresi</w:t>
            </w:r>
          </w:p>
          <w:p w:rsidR="00AA5C8C" w:rsidRPr="00A23740" w:rsidRDefault="00AA5C8C" w:rsidP="009431FF">
            <w:pPr>
              <w:tabs>
                <w:tab w:val="left" w:pos="567"/>
              </w:tabs>
              <w:rPr>
                <w:rFonts w:eastAsia="Times New Roman"/>
                <w:szCs w:val="24"/>
                <w:lang w:eastAsia="tr-TR"/>
              </w:rPr>
            </w:pPr>
            <w:r w:rsidRPr="00A23740">
              <w:rPr>
                <w:rStyle w:val="MAVChar"/>
                <w:rFonts w:eastAsia="Calibri"/>
                <w:u w:val="none"/>
              </w:rPr>
              <w:t>MADDE 17</w:t>
            </w:r>
            <w:r w:rsidR="005F0294" w:rsidRPr="00A23740">
              <w:rPr>
                <w:rStyle w:val="MAVChar"/>
                <w:rFonts w:eastAsia="Calibri"/>
                <w:u w:val="none"/>
              </w:rPr>
              <w:t>7</w:t>
            </w:r>
            <w:r w:rsidRPr="00A23740">
              <w:rPr>
                <w:rStyle w:val="MaviChar"/>
                <w:lang w:val="tr-TR"/>
              </w:rPr>
              <w:t>- (1</w:t>
            </w:r>
            <w:r w:rsidRPr="00A23740">
              <w:rPr>
                <w:rFonts w:eastAsia="Times New Roman"/>
                <w:b/>
                <w:color w:val="0000FF"/>
                <w:szCs w:val="24"/>
                <w:lang w:eastAsia="tr-TR"/>
              </w:rPr>
              <w:t>)</w:t>
            </w:r>
            <w:r w:rsidRPr="00A23740">
              <w:rPr>
                <w:rFonts w:eastAsia="Times New Roman"/>
                <w:szCs w:val="24"/>
                <w:lang w:eastAsia="tr-TR"/>
              </w:rPr>
              <w:t xml:space="preserve"> Kıymet takdirin</w:t>
            </w:r>
            <w:r w:rsidRPr="00A23740">
              <w:rPr>
                <w:rStyle w:val="MaviChar"/>
                <w:lang w:val="tr-TR"/>
              </w:rPr>
              <w:t xml:space="preserve">e ilişkin tutanağın veya </w:t>
            </w:r>
            <w:r w:rsidRPr="00A23740">
              <w:rPr>
                <w:rFonts w:eastAsia="Times New Roman"/>
                <w:szCs w:val="24"/>
                <w:lang w:eastAsia="tr-TR"/>
              </w:rPr>
              <w:t xml:space="preserve">raporun </w:t>
            </w:r>
            <w:r w:rsidRPr="00A23740">
              <w:rPr>
                <w:rFonts w:eastAsia="Times New Roman"/>
                <w:b/>
                <w:color w:val="0000FF"/>
                <w:szCs w:val="24"/>
                <w:lang w:eastAsia="tr-TR"/>
              </w:rPr>
              <w:t xml:space="preserve">teslim veya </w:t>
            </w:r>
            <w:r w:rsidRPr="00A23740">
              <w:rPr>
                <w:rFonts w:eastAsia="Times New Roman"/>
                <w:szCs w:val="24"/>
                <w:lang w:eastAsia="tr-TR"/>
              </w:rPr>
              <w:t>tebliğ</w:t>
            </w:r>
            <w:r w:rsidR="00F07946" w:rsidRPr="00A23740">
              <w:rPr>
                <w:rFonts w:eastAsia="Times New Roman"/>
                <w:szCs w:val="24"/>
                <w:lang w:eastAsia="tr-TR"/>
              </w:rPr>
              <w:t xml:space="preserve"> </w:t>
            </w:r>
            <w:r w:rsidR="00F07946" w:rsidRPr="00A23740">
              <w:rPr>
                <w:rStyle w:val="MaviChar"/>
              </w:rPr>
              <w:t>edildiği ilgililer,</w:t>
            </w:r>
            <w:r w:rsidRPr="00A23740">
              <w:rPr>
                <w:rFonts w:eastAsia="Times New Roman"/>
                <w:szCs w:val="24"/>
                <w:lang w:eastAsia="tr-TR"/>
              </w:rPr>
              <w:t xml:space="preserve"> </w:t>
            </w:r>
            <w:r w:rsidR="00F07946" w:rsidRPr="00A23740">
              <w:rPr>
                <w:rStyle w:val="MaviChar"/>
              </w:rPr>
              <w:t xml:space="preserve">teslim veya tebliğ tarihinden </w:t>
            </w:r>
            <w:r w:rsidRPr="00A23740">
              <w:rPr>
                <w:rFonts w:eastAsia="Times New Roman"/>
                <w:szCs w:val="24"/>
                <w:lang w:eastAsia="tr-TR"/>
              </w:rPr>
              <w:t xml:space="preserve">itibaren </w:t>
            </w:r>
            <w:r w:rsidRPr="00A23740">
              <w:rPr>
                <w:rFonts w:eastAsia="Times New Roman"/>
                <w:b/>
                <w:color w:val="0000FF"/>
                <w:szCs w:val="24"/>
                <w:lang w:eastAsia="tr-TR"/>
              </w:rPr>
              <w:t>bir hafta</w:t>
            </w:r>
            <w:r w:rsidRPr="00A23740">
              <w:rPr>
                <w:rFonts w:eastAsia="Times New Roman"/>
                <w:szCs w:val="24"/>
                <w:lang w:eastAsia="tr-TR"/>
              </w:rPr>
              <w:t xml:space="preserve"> içinde </w:t>
            </w:r>
            <w:r w:rsidRPr="00A23740">
              <w:rPr>
                <w:rFonts w:eastAsia="Times New Roman"/>
                <w:b/>
                <w:color w:val="0000FF"/>
                <w:szCs w:val="24"/>
                <w:lang w:eastAsia="tr-TR"/>
              </w:rPr>
              <w:t>kıymet takdirini yapan</w:t>
            </w:r>
            <w:r w:rsidR="00F07946" w:rsidRPr="00A23740">
              <w:rPr>
                <w:rFonts w:eastAsia="Times New Roman"/>
                <w:szCs w:val="24"/>
                <w:lang w:eastAsia="tr-TR"/>
              </w:rPr>
              <w:t xml:space="preserve"> icra</w:t>
            </w:r>
            <w:r w:rsidRPr="00A23740">
              <w:rPr>
                <w:rFonts w:eastAsia="Times New Roman"/>
                <w:szCs w:val="24"/>
                <w:lang w:eastAsia="tr-TR"/>
              </w:rPr>
              <w:t xml:space="preserve"> </w:t>
            </w:r>
            <w:r w:rsidR="00142328" w:rsidRPr="007018A7">
              <w:rPr>
                <w:rStyle w:val="Balk1Char"/>
                <w:rFonts w:eastAsia="Calibri"/>
              </w:rPr>
              <w:t>ve iflas</w:t>
            </w:r>
            <w:r w:rsidR="00142328" w:rsidRPr="00A23740">
              <w:rPr>
                <w:rFonts w:eastAsia="Times New Roman"/>
                <w:color w:val="385623"/>
                <w:szCs w:val="24"/>
                <w:lang w:eastAsia="tr-TR"/>
              </w:rPr>
              <w:t xml:space="preserve"> </w:t>
            </w:r>
            <w:r w:rsidRPr="00A23740">
              <w:rPr>
                <w:rFonts w:eastAsia="Times New Roman"/>
                <w:szCs w:val="24"/>
                <w:lang w:eastAsia="tr-TR"/>
              </w:rPr>
              <w:t xml:space="preserve">dairesinin bulunduğu yerdeki icra </w:t>
            </w:r>
            <w:r w:rsidRPr="00A23740">
              <w:rPr>
                <w:rStyle w:val="MaviChar"/>
                <w:lang w:val="tr-TR"/>
              </w:rPr>
              <w:t>hukuk</w:t>
            </w:r>
            <w:r w:rsidRPr="00A23740">
              <w:rPr>
                <w:rFonts w:eastAsia="Times New Roman"/>
                <w:szCs w:val="24"/>
                <w:lang w:eastAsia="tr-TR"/>
              </w:rPr>
              <w:t xml:space="preserve"> mahkemesine</w:t>
            </w:r>
            <w:r w:rsidRPr="00A23740">
              <w:rPr>
                <w:rStyle w:val="MaviChar"/>
                <w:lang w:val="tr-TR"/>
              </w:rPr>
              <w:t>,</w:t>
            </w:r>
            <w:r w:rsidR="00C628CE" w:rsidRPr="00A23740">
              <w:rPr>
                <w:rStyle w:val="MaviChar"/>
                <w:lang w:val="tr-TR"/>
              </w:rPr>
              <w:t xml:space="preserve"> </w:t>
            </w:r>
            <w:r w:rsidRPr="00A23740">
              <w:rPr>
                <w:rFonts w:eastAsia="Times New Roman"/>
                <w:b/>
                <w:color w:val="0000FF"/>
                <w:szCs w:val="24"/>
                <w:lang w:eastAsia="tr-TR"/>
              </w:rPr>
              <w:t xml:space="preserve">gider avansı tarifesinde yazılı </w:t>
            </w:r>
            <w:r w:rsidR="004F4B9E" w:rsidRPr="00A23740">
              <w:rPr>
                <w:rFonts w:eastAsia="Times New Roman"/>
                <w:b/>
                <w:color w:val="0000FF"/>
                <w:szCs w:val="24"/>
                <w:lang w:eastAsia="tr-TR"/>
              </w:rPr>
              <w:t>tutarı</w:t>
            </w:r>
            <w:r w:rsidRPr="00A23740">
              <w:rPr>
                <w:rFonts w:eastAsia="Times New Roman"/>
                <w:b/>
                <w:color w:val="0000FF"/>
                <w:szCs w:val="24"/>
                <w:lang w:eastAsia="tr-TR"/>
              </w:rPr>
              <w:t xml:space="preserve"> yatırarak kıymet takdirine karşı</w:t>
            </w:r>
            <w:r w:rsidR="00F07946" w:rsidRPr="00A23740">
              <w:rPr>
                <w:rFonts w:eastAsia="Times New Roman"/>
                <w:szCs w:val="24"/>
                <w:lang w:eastAsia="tr-TR"/>
              </w:rPr>
              <w:t xml:space="preserve"> şikâyette </w:t>
            </w:r>
            <w:r w:rsidR="008001BC" w:rsidRPr="00D60C1D">
              <w:rPr>
                <w:rStyle w:val="YELChar"/>
                <w:b w:val="0"/>
                <w:color w:val="000000"/>
              </w:rPr>
              <w:t>bulunabilirler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(2) </w:t>
            </w:r>
            <w:r w:rsidR="0077215E" w:rsidRPr="00A23740">
              <w:rPr>
                <w:rFonts w:eastAsia="Times New Roman"/>
                <w:b/>
                <w:color w:val="0000FF"/>
                <w:szCs w:val="24"/>
                <w:lang w:eastAsia="tr-TR"/>
              </w:rPr>
              <w:t xml:space="preserve">İlgililer, kıymet </w:t>
            </w:r>
            <w:r w:rsidRPr="00A23740">
              <w:rPr>
                <w:rFonts w:eastAsia="Times New Roman"/>
                <w:b/>
                <w:color w:val="0000FF"/>
                <w:szCs w:val="24"/>
                <w:lang w:eastAsia="tr-TR"/>
              </w:rPr>
              <w:t>takdirine karşı süresi içinde şik</w:t>
            </w:r>
            <w:r w:rsidR="00407C95" w:rsidRPr="00A23740">
              <w:rPr>
                <w:rFonts w:eastAsia="Times New Roman"/>
                <w:b/>
                <w:color w:val="0000FF"/>
                <w:szCs w:val="24"/>
                <w:lang w:eastAsia="tr-TR"/>
              </w:rPr>
              <w:t>â</w:t>
            </w:r>
            <w:r w:rsidRPr="00A23740">
              <w:rPr>
                <w:rFonts w:eastAsia="Times New Roman"/>
                <w:b/>
                <w:color w:val="0000FF"/>
                <w:szCs w:val="24"/>
                <w:lang w:eastAsia="tr-TR"/>
              </w:rPr>
              <w:t xml:space="preserve">yette </w:t>
            </w:r>
            <w:r w:rsidR="008001BC" w:rsidRPr="007018A7">
              <w:rPr>
                <w:rStyle w:val="Balk1Char"/>
                <w:rFonts w:eastAsia="ヒラギノ明朝 Pro W3"/>
              </w:rPr>
              <w:t>bulunmazlarsa</w:t>
            </w:r>
            <w:r w:rsidR="0077215E" w:rsidRPr="00A23740">
              <w:rPr>
                <w:rFonts w:eastAsia="Times New Roman"/>
                <w:b/>
                <w:color w:val="0000FF"/>
                <w:szCs w:val="24"/>
                <w:lang w:eastAsia="tr-TR"/>
              </w:rPr>
              <w:t>,</w:t>
            </w:r>
            <w:r w:rsidRPr="00A23740">
              <w:rPr>
                <w:rFonts w:eastAsia="Times New Roman"/>
                <w:b/>
                <w:color w:val="0000FF"/>
                <w:szCs w:val="24"/>
                <w:lang w:eastAsia="tr-TR"/>
              </w:rPr>
              <w:t xml:space="preserve"> kıymet takdirinin usulsüzlüğünü ihalenin feshi sebebi olarak ileri </w:t>
            </w:r>
            <w:r w:rsidR="008001BC" w:rsidRPr="007018A7">
              <w:rPr>
                <w:rStyle w:val="Balk1Char"/>
                <w:rFonts w:eastAsia="ヒラギノ明朝 Pro W3"/>
              </w:rPr>
              <w:t>süremezler</w:t>
            </w:r>
            <w:r w:rsidRPr="007018A7">
              <w:rPr>
                <w:rStyle w:val="Balk1Char"/>
                <w:rFonts w:eastAsia="Calibri"/>
              </w:rPr>
              <w:t>.</w:t>
            </w:r>
          </w:p>
          <w:p w:rsidR="00AA5C8C" w:rsidRPr="00A23740" w:rsidRDefault="00AA5C8C" w:rsidP="009431FF">
            <w:pPr>
              <w:pStyle w:val="AltKonuBal"/>
              <w:rPr>
                <w:lang w:val="tr-TR"/>
              </w:rPr>
            </w:pPr>
          </w:p>
        </w:tc>
      </w:tr>
      <w:tr w:rsidR="00F07946" w:rsidRPr="00A23740" w:rsidTr="009431FF">
        <w:tblPrEx>
          <w:tblLook w:val="01E0" w:firstRow="1" w:lastRow="1" w:firstColumn="1" w:lastColumn="1" w:noHBand="0" w:noVBand="0"/>
        </w:tblPrEx>
        <w:tc>
          <w:tcPr>
            <w:tcW w:w="5000" w:type="pct"/>
            <w:gridSpan w:val="2"/>
            <w:shd w:val="clear" w:color="auto" w:fill="D9E2F3"/>
          </w:tcPr>
          <w:p w:rsidR="00F07946" w:rsidRPr="00A23740" w:rsidRDefault="00F07946" w:rsidP="009431FF">
            <w:pPr>
              <w:ind w:firstLine="709"/>
              <w:rPr>
                <w:rFonts w:eastAsia="Times New Roman"/>
                <w:b/>
                <w:color w:val="000000"/>
                <w:szCs w:val="24"/>
                <w:lang w:eastAsia="tr-TR"/>
              </w:rPr>
            </w:pPr>
          </w:p>
          <w:p w:rsidR="000A531A" w:rsidRPr="00A23740" w:rsidRDefault="00F07946" w:rsidP="009431FF">
            <w:pPr>
              <w:tabs>
                <w:tab w:val="left" w:pos="567"/>
              </w:tabs>
              <w:ind w:firstLine="709"/>
              <w:rPr>
                <w:rFonts w:eastAsia="Times New Roman"/>
                <w:szCs w:val="24"/>
                <w:lang w:eastAsia="tr-TR"/>
              </w:rPr>
            </w:pPr>
            <w:r w:rsidRPr="00A23740">
              <w:rPr>
                <w:b/>
                <w:bCs/>
                <w:szCs w:val="24"/>
                <w:lang w:eastAsia="x-none"/>
              </w:rPr>
              <w:t>MADDE 17</w:t>
            </w:r>
            <w:r w:rsidR="008001BC" w:rsidRPr="00A23740">
              <w:rPr>
                <w:b/>
                <w:bCs/>
                <w:szCs w:val="24"/>
                <w:lang w:eastAsia="x-none"/>
              </w:rPr>
              <w:t>7</w:t>
            </w:r>
            <w:r w:rsidRPr="00A23740">
              <w:rPr>
                <w:b/>
                <w:bCs/>
                <w:szCs w:val="24"/>
                <w:lang w:eastAsia="x-none"/>
              </w:rPr>
              <w:t>-</w:t>
            </w:r>
            <w:r w:rsidRPr="00A23740">
              <w:rPr>
                <w:rFonts w:eastAsia="Times New Roman"/>
                <w:color w:val="000000"/>
                <w:szCs w:val="24"/>
                <w:lang w:eastAsia="tr-TR"/>
              </w:rPr>
              <w:t xml:space="preserve"> Maddeyle,</w:t>
            </w:r>
            <w:r w:rsidRPr="00A23740">
              <w:t xml:space="preserve"> </w:t>
            </w:r>
            <w:r w:rsidRPr="00A23740">
              <w:rPr>
                <w:rFonts w:eastAsia="Times New Roman"/>
                <w:color w:val="000000"/>
                <w:szCs w:val="24"/>
                <w:lang w:eastAsia="tr-TR"/>
              </w:rPr>
              <w:t>kıymet takdirine ilişkin şikâyet başvurusu ve süresine ilişkin hususlar</w:t>
            </w:r>
            <w:r w:rsidRPr="00A23740">
              <w:rPr>
                <w:rFonts w:eastAsia="Times New Roman"/>
                <w:szCs w:val="24"/>
                <w:lang w:eastAsia="tr-TR"/>
              </w:rPr>
              <w:t xml:space="preserve"> düzenlenmektedir</w:t>
            </w:r>
            <w:r w:rsidR="000A531A" w:rsidRPr="00A23740">
              <w:rPr>
                <w:rFonts w:eastAsia="Times New Roman"/>
                <w:szCs w:val="24"/>
                <w:lang w:eastAsia="tr-TR"/>
              </w:rPr>
              <w:t>. Bu hüküm, 2004 sayılı Kanunun 128/a maddesine karşılık gelmektedir.</w:t>
            </w:r>
          </w:p>
          <w:p w:rsidR="000A531A"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Birinci fıkrayla</w:t>
            </w:r>
            <w:r w:rsidR="000A531A" w:rsidRPr="00A23740">
              <w:rPr>
                <w:rFonts w:eastAsia="Times New Roman"/>
                <w:szCs w:val="24"/>
                <w:lang w:eastAsia="tr-TR"/>
              </w:rPr>
              <w:t>,</w:t>
            </w:r>
            <w:r w:rsidRPr="00A23740">
              <w:rPr>
                <w:rFonts w:eastAsia="Times New Roman"/>
                <w:szCs w:val="24"/>
                <w:lang w:eastAsia="tr-TR"/>
              </w:rPr>
              <w:t xml:space="preserve"> taşınır ve taşınmaz mallar ile kıymet takdiri yapılan diğer haklara ilişkin olarak kıymet takdirine itirazın şekli düzenlenmektedir. </w:t>
            </w:r>
            <w:r w:rsidR="008001BC" w:rsidRPr="00D60C1D">
              <w:rPr>
                <w:rStyle w:val="YELChar"/>
                <w:b w:val="0"/>
                <w:color w:val="000000"/>
              </w:rPr>
              <w:t>Bir haftalık</w:t>
            </w:r>
            <w:r w:rsidR="008001BC" w:rsidRPr="00A23740">
              <w:rPr>
                <w:rFonts w:eastAsia="Times New Roman"/>
                <w:szCs w:val="24"/>
                <w:lang w:eastAsia="tr-TR"/>
              </w:rPr>
              <w:t xml:space="preserve"> </w:t>
            </w:r>
            <w:r w:rsidRPr="00A23740">
              <w:rPr>
                <w:rFonts w:eastAsia="Times New Roman"/>
                <w:szCs w:val="24"/>
                <w:lang w:eastAsia="tr-TR"/>
              </w:rPr>
              <w:t xml:space="preserve">sürenin başlangıcı olarak kıymet takdirine ilişkin tutanak veya raporun teslim veya </w:t>
            </w:r>
            <w:r w:rsidR="008001BC" w:rsidRPr="00D60C1D">
              <w:rPr>
                <w:rStyle w:val="YELChar"/>
                <w:b w:val="0"/>
                <w:color w:val="000000"/>
              </w:rPr>
              <w:t>tebliğ tarihi kabul edilmiştir.</w:t>
            </w:r>
            <w:r w:rsidRPr="00A23740">
              <w:rPr>
                <w:rFonts w:eastAsia="Times New Roman"/>
                <w:szCs w:val="24"/>
                <w:lang w:eastAsia="tr-TR"/>
              </w:rPr>
              <w:t xml:space="preserve"> </w:t>
            </w:r>
            <w:r w:rsidR="008001BC" w:rsidRPr="00D60C1D">
              <w:rPr>
                <w:rStyle w:val="YELChar"/>
                <w:b w:val="0"/>
                <w:color w:val="000000"/>
              </w:rPr>
              <w:t>Şik</w:t>
            </w:r>
            <w:r w:rsidR="003B26FC" w:rsidRPr="00D60C1D">
              <w:rPr>
                <w:rStyle w:val="YELChar"/>
                <w:b w:val="0"/>
                <w:color w:val="000000"/>
              </w:rPr>
              <w:t>â</w:t>
            </w:r>
            <w:r w:rsidR="008001BC" w:rsidRPr="00D60C1D">
              <w:rPr>
                <w:rStyle w:val="YELChar"/>
                <w:b w:val="0"/>
                <w:color w:val="000000"/>
              </w:rPr>
              <w:t>yet kıymet takdirini yapan</w:t>
            </w:r>
            <w:r w:rsidR="008001BC" w:rsidRPr="00A23740">
              <w:rPr>
                <w:rFonts w:eastAsia="Times New Roman"/>
                <w:szCs w:val="24"/>
                <w:lang w:eastAsia="tr-TR"/>
              </w:rPr>
              <w:t xml:space="preserve"> icra </w:t>
            </w:r>
            <w:r w:rsidRPr="00A23740">
              <w:rPr>
                <w:rFonts w:eastAsia="Times New Roman"/>
                <w:szCs w:val="24"/>
                <w:lang w:eastAsia="tr-TR"/>
              </w:rPr>
              <w:t>ve iflas dairesinin bulunduğu yerdek</w:t>
            </w:r>
            <w:r w:rsidR="008001BC" w:rsidRPr="00A23740">
              <w:rPr>
                <w:rFonts w:eastAsia="Times New Roman"/>
                <w:szCs w:val="24"/>
                <w:lang w:eastAsia="tr-TR"/>
              </w:rPr>
              <w:t xml:space="preserve">i icra hukuk mahkemesine tarifede </w:t>
            </w:r>
            <w:r w:rsidRPr="00A23740">
              <w:rPr>
                <w:rFonts w:eastAsia="Times New Roman"/>
                <w:szCs w:val="24"/>
                <w:lang w:eastAsia="tr-TR"/>
              </w:rPr>
              <w:t>yazılı gideri yatırmak su</w:t>
            </w:r>
            <w:r w:rsidR="000A531A" w:rsidRPr="00A23740">
              <w:rPr>
                <w:rFonts w:eastAsia="Times New Roman"/>
                <w:szCs w:val="24"/>
                <w:lang w:eastAsia="tr-TR"/>
              </w:rPr>
              <w:t xml:space="preserve">retiyle </w:t>
            </w:r>
            <w:r w:rsidR="008001BC" w:rsidRPr="00D60C1D">
              <w:rPr>
                <w:rStyle w:val="YELChar"/>
                <w:b w:val="0"/>
                <w:color w:val="000000"/>
              </w:rPr>
              <w:t>yapılır</w:t>
            </w:r>
            <w:r w:rsidR="000A531A" w:rsidRPr="00D60C1D">
              <w:rPr>
                <w:rFonts w:eastAsia="Times New Roman"/>
                <w:color w:val="000000"/>
                <w:szCs w:val="24"/>
                <w:lang w:eastAsia="tr-TR"/>
              </w:rPr>
              <w:t>.</w:t>
            </w:r>
          </w:p>
          <w:p w:rsidR="00B62391" w:rsidRPr="00A23740" w:rsidRDefault="00B62391" w:rsidP="009431FF">
            <w:pPr>
              <w:tabs>
                <w:tab w:val="left" w:pos="567"/>
              </w:tabs>
              <w:ind w:firstLine="709"/>
              <w:rPr>
                <w:rFonts w:eastAsia="Times New Roman"/>
                <w:szCs w:val="24"/>
                <w:lang w:eastAsia="tr-TR"/>
              </w:rPr>
            </w:pPr>
            <w:r w:rsidRPr="00A23740">
              <w:rPr>
                <w:rFonts w:eastAsia="Times New Roman"/>
                <w:szCs w:val="24"/>
                <w:lang w:eastAsia="tr-TR"/>
              </w:rPr>
              <w:t>İkinci fıkrayla</w:t>
            </w:r>
            <w:r w:rsidR="000A531A" w:rsidRPr="00A23740">
              <w:rPr>
                <w:rFonts w:eastAsia="Times New Roman"/>
                <w:szCs w:val="24"/>
                <w:lang w:eastAsia="tr-TR"/>
              </w:rPr>
              <w:t>,</w:t>
            </w:r>
            <w:r w:rsidRPr="00A23740">
              <w:rPr>
                <w:rFonts w:eastAsia="Times New Roman"/>
                <w:szCs w:val="24"/>
                <w:lang w:eastAsia="tr-TR"/>
              </w:rPr>
              <w:t xml:space="preserve"> kıymet takdirine süresi içinde şik</w:t>
            </w:r>
            <w:r w:rsidR="00407C95" w:rsidRPr="00A23740">
              <w:rPr>
                <w:rFonts w:eastAsia="Times New Roman"/>
                <w:szCs w:val="24"/>
                <w:lang w:eastAsia="tr-TR"/>
              </w:rPr>
              <w:t>â</w:t>
            </w:r>
            <w:r w:rsidRPr="00A23740">
              <w:rPr>
                <w:rFonts w:eastAsia="Times New Roman"/>
                <w:szCs w:val="24"/>
                <w:lang w:eastAsia="tr-TR"/>
              </w:rPr>
              <w:t xml:space="preserve">yette bulunmayan ilgililerin bunu ihalenin feshi </w:t>
            </w:r>
            <w:r w:rsidR="008001BC" w:rsidRPr="00D60C1D">
              <w:rPr>
                <w:rStyle w:val="YELChar"/>
                <w:b w:val="0"/>
                <w:color w:val="000000"/>
              </w:rPr>
              <w:t>sebebi olarak</w:t>
            </w:r>
            <w:r w:rsidR="008001BC" w:rsidRPr="00A23740">
              <w:rPr>
                <w:rFonts w:eastAsia="Times New Roman"/>
                <w:szCs w:val="24"/>
                <w:lang w:eastAsia="tr-TR"/>
              </w:rPr>
              <w:t xml:space="preserve"> </w:t>
            </w:r>
            <w:r w:rsidRPr="00A23740">
              <w:rPr>
                <w:rFonts w:eastAsia="Times New Roman"/>
                <w:szCs w:val="24"/>
                <w:lang w:eastAsia="tr-TR"/>
              </w:rPr>
              <w:t>ileri süremeyeceği düzenlenmektedir.</w:t>
            </w:r>
          </w:p>
          <w:p w:rsidR="00B62391" w:rsidRPr="00A23740" w:rsidRDefault="00B62391" w:rsidP="009431F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autoSpaceDE w:val="0"/>
              <w:autoSpaceDN w:val="0"/>
              <w:adjustRightInd w:val="0"/>
              <w:rPr>
                <w:rFonts w:eastAsia="Times New Roman"/>
                <w:color w:val="000000"/>
                <w:szCs w:val="24"/>
                <w:lang w:eastAsia="tr-TR"/>
              </w:rPr>
            </w:pPr>
            <w:r w:rsidRPr="00A23740">
              <w:rPr>
                <w:rStyle w:val="KIRMIZIChar"/>
                <w:rFonts w:eastAsia="Calibri"/>
              </w:rPr>
              <w:t>Kıymet takdirine ilişkin</w:t>
            </w:r>
            <w:r w:rsidRPr="00A23740">
              <w:rPr>
                <w:rFonts w:eastAsia="Times New Roman"/>
                <w:i/>
                <w:iCs/>
                <w:color w:val="000000"/>
                <w:szCs w:val="24"/>
                <w:lang w:eastAsia="tr-TR"/>
              </w:rPr>
              <w:t xml:space="preserve"> şikâyet</w:t>
            </w:r>
            <w:r w:rsidRPr="00A23740">
              <w:rPr>
                <w:rFonts w:eastAsia="Times New Roman"/>
                <w:b/>
                <w:strike/>
                <w:color w:val="FF0000"/>
                <w:szCs w:val="24"/>
                <w:lang w:eastAsia="tr-TR"/>
              </w:rPr>
              <w:t>:</w:t>
            </w:r>
            <w:r w:rsidRPr="00A23740">
              <w:rPr>
                <w:rFonts w:eastAsia="Times New Roman"/>
                <w:i/>
                <w:iCs/>
                <w:color w:val="000000"/>
                <w:szCs w:val="24"/>
                <w:lang w:eastAsia="tr-TR"/>
              </w:rPr>
              <w:t xml:space="preserve"> </w:t>
            </w:r>
          </w:p>
          <w:p w:rsidR="00AA5C8C" w:rsidRPr="00A23740" w:rsidRDefault="00AA5C8C" w:rsidP="009431FF">
            <w:pPr>
              <w:pStyle w:val="KIRMIZI"/>
              <w:rPr>
                <w:lang w:val="tr-TR"/>
              </w:rPr>
            </w:pPr>
            <w:r w:rsidRPr="00A23740">
              <w:rPr>
                <w:lang w:val="tr-TR"/>
              </w:rPr>
              <w:t xml:space="preserve">Madde 128/a- (1) (Ek : 17/7/2003-4949/34 md.) </w:t>
            </w:r>
          </w:p>
          <w:p w:rsidR="00AA5C8C" w:rsidRPr="00A23740" w:rsidRDefault="00AA5C8C" w:rsidP="009431FF">
            <w:pPr>
              <w:autoSpaceDE w:val="0"/>
              <w:autoSpaceDN w:val="0"/>
              <w:adjustRightInd w:val="0"/>
              <w:rPr>
                <w:rFonts w:eastAsia="Times New Roman"/>
                <w:color w:val="000000"/>
                <w:szCs w:val="24"/>
                <w:lang w:eastAsia="tr-TR"/>
              </w:rPr>
            </w:pPr>
            <w:r w:rsidRPr="00A23740">
              <w:rPr>
                <w:rStyle w:val="KIRMIZIChar"/>
                <w:rFonts w:eastAsia="Calibri"/>
              </w:rPr>
              <w:t>Kıymet takdirinin tebliğ edildiği ilgililer, raporun tebliğinden itibaren yedi gün içinde raporu düzenleten icra dairesinin bulunduğu yerdeki icra mahkemesinde şikâyette bulunabilirler.</w:t>
            </w:r>
            <w:r w:rsidRPr="00A23740">
              <w:rPr>
                <w:rFonts w:eastAsia="Times New Roman"/>
                <w:color w:val="000000"/>
                <w:szCs w:val="24"/>
                <w:lang w:eastAsia="tr-TR"/>
              </w:rPr>
              <w:t xml:space="preserve"> </w:t>
            </w:r>
            <w:r w:rsidRPr="00A23740">
              <w:rPr>
                <w:rStyle w:val="KIRMIZIChar"/>
                <w:rFonts w:eastAsia="Calibri"/>
              </w:rPr>
              <w:t>Şikâyet tarihinden itibaren yedi gün içinde gerekli masraf ve ücretin mahkeme veznesine yatırılması hâlinde yeniden bilirkişi incelemesi yaptırılabilir;</w:t>
            </w:r>
            <w:r w:rsidRPr="00A23740">
              <w:rPr>
                <w:rStyle w:val="KIRMIZIChar"/>
                <w:rFonts w:eastAsia="Calibri"/>
                <w:strike w:val="0"/>
              </w:rPr>
              <w:t xml:space="preserve"> </w:t>
            </w:r>
            <w:r w:rsidRPr="00A23740">
              <w:t>aksi hâlde başka bir işleme gerek</w:t>
            </w:r>
            <w:r w:rsidRPr="00A23740">
              <w:rPr>
                <w:rStyle w:val="KIRMIZIChar"/>
                <w:rFonts w:eastAsia="Calibri"/>
                <w:strike w:val="0"/>
              </w:rPr>
              <w:t xml:space="preserve"> </w:t>
            </w:r>
            <w:r w:rsidRPr="00A23740">
              <w:rPr>
                <w:rStyle w:val="KIRMIZIChar"/>
                <w:rFonts w:eastAsia="Calibri"/>
              </w:rPr>
              <w:t xml:space="preserve">olmaksızın </w:t>
            </w:r>
            <w:r w:rsidRPr="00A23740">
              <w:t xml:space="preserve">şikâyet kesin olarak reddedilir. </w:t>
            </w:r>
          </w:p>
          <w:p w:rsidR="00AA5C8C" w:rsidRPr="00A23740" w:rsidRDefault="00AA5C8C" w:rsidP="009431FF">
            <w:pPr>
              <w:autoSpaceDE w:val="0"/>
              <w:autoSpaceDN w:val="0"/>
              <w:adjustRightInd w:val="0"/>
              <w:rPr>
                <w:rStyle w:val="KIRMIZIChar"/>
                <w:rFonts w:eastAsia="Calibri"/>
              </w:rPr>
            </w:pPr>
          </w:p>
          <w:p w:rsidR="00F807ED" w:rsidRDefault="00F807ED" w:rsidP="009431FF">
            <w:pPr>
              <w:tabs>
                <w:tab w:val="left" w:pos="567"/>
              </w:tabs>
              <w:rPr>
                <w:rStyle w:val="KIRMIZIChar"/>
                <w:rFonts w:eastAsia="Calibri"/>
              </w:rPr>
            </w:pPr>
          </w:p>
          <w:p w:rsidR="00DE1165" w:rsidRPr="00A23740" w:rsidRDefault="00DE1165" w:rsidP="009431FF">
            <w:pPr>
              <w:tabs>
                <w:tab w:val="left" w:pos="567"/>
              </w:tabs>
              <w:rPr>
                <w:rStyle w:val="KIRMIZIChar"/>
                <w:rFonts w:eastAsia="Calibri"/>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(4)</w:t>
            </w:r>
            <w:r w:rsidRPr="00A23740">
              <w:rPr>
                <w:rFonts w:eastAsia="Times New Roman"/>
                <w:szCs w:val="24"/>
                <w:lang w:eastAsia="tr-TR"/>
              </w:rPr>
              <w:t xml:space="preserve"> Kıymet takdirine ilişkin şikâyet yetkisiz icra mahkemesine yapılırsa, </w:t>
            </w:r>
            <w:r w:rsidRPr="00A23740">
              <w:rPr>
                <w:rStyle w:val="KIRMIZIChar"/>
                <w:rFonts w:eastAsia="Calibri"/>
              </w:rPr>
              <w:t>icra</w:t>
            </w:r>
            <w:r w:rsidRPr="00A23740">
              <w:rPr>
                <w:rFonts w:eastAsia="Times New Roman"/>
                <w:szCs w:val="24"/>
                <w:lang w:eastAsia="tr-TR"/>
              </w:rPr>
              <w:t xml:space="preserve"> mahkeme</w:t>
            </w:r>
            <w:r w:rsidRPr="00A23740">
              <w:rPr>
                <w:rStyle w:val="KIRMIZIChar"/>
                <w:rFonts w:eastAsia="Calibri"/>
              </w:rPr>
              <w:t>si</w:t>
            </w:r>
            <w:r w:rsidRPr="00A23740">
              <w:rPr>
                <w:rFonts w:eastAsia="Times New Roman"/>
                <w:szCs w:val="24"/>
                <w:lang w:eastAsia="tr-TR"/>
              </w:rPr>
              <w:t xml:space="preserve"> </w:t>
            </w:r>
            <w:r w:rsidRPr="00A23740">
              <w:rPr>
                <w:rStyle w:val="KIRMIZIChar"/>
                <w:rFonts w:eastAsia="Calibri"/>
              </w:rPr>
              <w:t>evrak</w:t>
            </w:r>
            <w:r w:rsidRPr="00A23740">
              <w:rPr>
                <w:rFonts w:eastAsia="Times New Roman"/>
                <w:szCs w:val="24"/>
                <w:lang w:eastAsia="tr-TR"/>
              </w:rPr>
              <w:t xml:space="preserve"> üzerinde inceleme yaparak başvuru tarihinden itibaren en geç </w:t>
            </w:r>
            <w:r w:rsidRPr="00A23740">
              <w:rPr>
                <w:rStyle w:val="KIRMIZIChar"/>
                <w:rFonts w:eastAsia="Calibri"/>
              </w:rPr>
              <w:t>on gün</w:t>
            </w:r>
            <w:r w:rsidRPr="00A23740">
              <w:rPr>
                <w:rStyle w:val="KIRMIZIChar"/>
                <w:rFonts w:eastAsia="Calibri"/>
                <w:strike w:val="0"/>
              </w:rPr>
              <w:t xml:space="preserve"> </w:t>
            </w:r>
            <w:r w:rsidRPr="00A23740">
              <w:rPr>
                <w:rFonts w:eastAsia="Times New Roman"/>
                <w:szCs w:val="24"/>
                <w:lang w:eastAsia="tr-TR"/>
              </w:rPr>
              <w:t xml:space="preserve">içinde </w:t>
            </w:r>
            <w:r w:rsidRPr="00A23740">
              <w:t xml:space="preserve">yetkisizlik kararı verir ve </w:t>
            </w:r>
            <w:r w:rsidRPr="00A23740">
              <w:rPr>
                <w:rStyle w:val="KIRMIZIChar"/>
                <w:rFonts w:eastAsia="Calibri"/>
              </w:rPr>
              <w:t>masrafını</w:t>
            </w:r>
            <w:r w:rsidRPr="00A23740">
              <w:t xml:space="preserve"> gider avansından karşılamak suretiyle dosyayı resen yetkili icra mahkemesine gönderir.</w:t>
            </w: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autoSpaceDE w:val="0"/>
              <w:autoSpaceDN w:val="0"/>
              <w:adjustRightInd w:val="0"/>
              <w:rPr>
                <w:rFonts w:eastAsia="Times New Roman"/>
                <w:color w:val="000000"/>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(5)</w:t>
            </w:r>
            <w:r w:rsidRPr="00A23740">
              <w:rPr>
                <w:rFonts w:eastAsia="Times New Roman"/>
                <w:szCs w:val="24"/>
                <w:lang w:eastAsia="tr-TR"/>
              </w:rPr>
              <w:t xml:space="preserve"> </w:t>
            </w:r>
            <w:r w:rsidRPr="00DE1165">
              <w:rPr>
                <w:rStyle w:val="KIRMIZIChar"/>
                <w:rFonts w:eastAsia="Calibri"/>
              </w:rPr>
              <w:t>Bu madde</w:t>
            </w:r>
            <w:r w:rsidRPr="00A23740">
              <w:rPr>
                <w:rFonts w:eastAsia="Times New Roman"/>
                <w:szCs w:val="24"/>
                <w:lang w:eastAsia="tr-TR"/>
              </w:rPr>
              <w:t xml:space="preserve"> gereğince </w:t>
            </w:r>
            <w:r w:rsidRPr="00A23740">
              <w:rPr>
                <w:rStyle w:val="KIRMIZIChar"/>
                <w:rFonts w:eastAsia="Calibri"/>
              </w:rPr>
              <w:t>icra mahkemesinin verdiği kararlar kesindir</w:t>
            </w:r>
            <w:r w:rsidRPr="00A23740">
              <w:rPr>
                <w:rFonts w:eastAsia="Times New Roman"/>
                <w:szCs w:val="24"/>
                <w:lang w:eastAsia="tr-TR"/>
              </w:rPr>
              <w:t>.</w:t>
            </w:r>
          </w:p>
          <w:p w:rsidR="00AA5C8C" w:rsidRPr="00A23740" w:rsidRDefault="00AA5C8C" w:rsidP="009431FF">
            <w:pPr>
              <w:autoSpaceDE w:val="0"/>
              <w:autoSpaceDN w:val="0"/>
              <w:adjustRightInd w:val="0"/>
              <w:rPr>
                <w:rFonts w:eastAsia="Times New Roman"/>
                <w:i/>
                <w:iCs/>
                <w:color w:val="000000"/>
                <w:szCs w:val="24"/>
                <w:lang w:eastAsia="tr-TR"/>
              </w:rPr>
            </w:pPr>
          </w:p>
        </w:tc>
        <w:tc>
          <w:tcPr>
            <w:tcW w:w="2500" w:type="pct"/>
          </w:tcPr>
          <w:p w:rsidR="00AA5C8C" w:rsidRPr="00A23740" w:rsidRDefault="00AA5C8C" w:rsidP="009431FF">
            <w:pPr>
              <w:pStyle w:val="Mavi"/>
            </w:pPr>
            <w:r w:rsidRPr="00A23740">
              <w:t>Şik</w:t>
            </w:r>
            <w:r w:rsidR="00407C95" w:rsidRPr="00A23740">
              <w:rPr>
                <w:lang w:val="tr-TR"/>
              </w:rPr>
              <w:t>â</w:t>
            </w:r>
            <w:r w:rsidRPr="00A23740">
              <w:t>yetin incelenmesi usulü</w:t>
            </w:r>
          </w:p>
          <w:p w:rsidR="00F807ED" w:rsidRPr="00A23740" w:rsidRDefault="00AA5C8C" w:rsidP="009431FF">
            <w:pPr>
              <w:tabs>
                <w:tab w:val="left" w:pos="567"/>
              </w:tabs>
            </w:pPr>
            <w:r w:rsidRPr="00A23740">
              <w:rPr>
                <w:rStyle w:val="MAVChar"/>
                <w:rFonts w:eastAsia="Calibri"/>
                <w:u w:val="none"/>
              </w:rPr>
              <w:t>MADDE 17</w:t>
            </w:r>
            <w:r w:rsidR="008001BC" w:rsidRPr="00A23740">
              <w:rPr>
                <w:rStyle w:val="MAVChar"/>
                <w:rFonts w:eastAsia="Calibri"/>
                <w:u w:val="none"/>
              </w:rPr>
              <w:t>8</w:t>
            </w:r>
            <w:r w:rsidRPr="00A23740">
              <w:rPr>
                <w:rStyle w:val="MaviChar"/>
                <w:lang w:val="tr-TR"/>
              </w:rPr>
              <w:t xml:space="preserve">- </w:t>
            </w:r>
            <w:r w:rsidRPr="00A23740">
              <w:rPr>
                <w:rFonts w:eastAsia="Times New Roman"/>
                <w:b/>
                <w:color w:val="0000FF"/>
                <w:szCs w:val="24"/>
                <w:lang w:eastAsia="tr-TR"/>
              </w:rPr>
              <w:t xml:space="preserve">(1) </w:t>
            </w:r>
            <w:r w:rsidR="00F807ED" w:rsidRPr="00A23740">
              <w:rPr>
                <w:rFonts w:eastAsia="Times New Roman"/>
                <w:b/>
                <w:color w:val="0000FF"/>
                <w:szCs w:val="24"/>
                <w:lang w:eastAsia="tr-TR"/>
              </w:rPr>
              <w:t>Kıymet takdirine şik</w:t>
            </w:r>
            <w:r w:rsidR="00407C95" w:rsidRPr="00A23740">
              <w:rPr>
                <w:rFonts w:eastAsia="Times New Roman"/>
                <w:b/>
                <w:color w:val="0000FF"/>
                <w:szCs w:val="24"/>
                <w:lang w:eastAsia="tr-TR"/>
              </w:rPr>
              <w:t>â</w:t>
            </w:r>
            <w:r w:rsidR="00F807ED" w:rsidRPr="00A23740">
              <w:rPr>
                <w:rFonts w:eastAsia="Times New Roman"/>
                <w:b/>
                <w:color w:val="0000FF"/>
                <w:szCs w:val="24"/>
                <w:lang w:eastAsia="tr-TR"/>
              </w:rPr>
              <w:t>yet üzerine</w:t>
            </w:r>
            <w:r w:rsidRPr="00A23740">
              <w:rPr>
                <w:rFonts w:eastAsia="Times New Roman"/>
                <w:b/>
                <w:color w:val="0000FF"/>
                <w:szCs w:val="24"/>
                <w:lang w:eastAsia="tr-TR"/>
              </w:rPr>
              <w:t xml:space="preserve"> gider ve ücretin eksik ol</w:t>
            </w:r>
            <w:r w:rsidR="00F807ED" w:rsidRPr="00A23740">
              <w:rPr>
                <w:rFonts w:eastAsia="Times New Roman"/>
                <w:b/>
                <w:color w:val="0000FF"/>
                <w:szCs w:val="24"/>
                <w:lang w:eastAsia="tr-TR"/>
              </w:rPr>
              <w:t>duğu tespit edilirse,</w:t>
            </w:r>
            <w:r w:rsidRPr="00A23740">
              <w:rPr>
                <w:rFonts w:eastAsia="Times New Roman"/>
                <w:b/>
                <w:color w:val="0000FF"/>
                <w:szCs w:val="24"/>
                <w:lang w:eastAsia="tr-TR"/>
              </w:rPr>
              <w:t xml:space="preserve"> hesap edilen bakiye kısmı</w:t>
            </w:r>
            <w:r w:rsidR="00F807ED" w:rsidRPr="00A23740">
              <w:rPr>
                <w:rFonts w:eastAsia="Times New Roman"/>
                <w:b/>
                <w:color w:val="0000FF"/>
                <w:szCs w:val="24"/>
                <w:lang w:eastAsia="tr-TR"/>
              </w:rPr>
              <w:t>n</w:t>
            </w:r>
            <w:r w:rsidRPr="00A23740">
              <w:rPr>
                <w:rFonts w:eastAsia="Times New Roman"/>
                <w:b/>
                <w:color w:val="0000FF"/>
                <w:szCs w:val="24"/>
                <w:lang w:eastAsia="tr-TR"/>
              </w:rPr>
              <w:t xml:space="preserve"> mahkeme veznesine yatır</w:t>
            </w:r>
            <w:r w:rsidR="00F807ED" w:rsidRPr="00A23740">
              <w:rPr>
                <w:rFonts w:eastAsia="Times New Roman"/>
                <w:b/>
                <w:color w:val="0000FF"/>
                <w:szCs w:val="24"/>
                <w:lang w:eastAsia="tr-TR"/>
              </w:rPr>
              <w:t>ıl</w:t>
            </w:r>
            <w:r w:rsidRPr="00A23740">
              <w:rPr>
                <w:rFonts w:eastAsia="Times New Roman"/>
                <w:b/>
                <w:color w:val="0000FF"/>
                <w:szCs w:val="24"/>
                <w:lang w:eastAsia="tr-TR"/>
              </w:rPr>
              <w:t>ması için ilgili</w:t>
            </w:r>
            <w:r w:rsidR="00F807ED" w:rsidRPr="00A23740">
              <w:rPr>
                <w:rFonts w:eastAsia="Times New Roman"/>
                <w:b/>
                <w:color w:val="0000FF"/>
                <w:szCs w:val="24"/>
                <w:lang w:eastAsia="tr-TR"/>
              </w:rPr>
              <w:t>ye bir haftalık kesin süre verilir</w:t>
            </w:r>
            <w:r w:rsidRPr="00A23740">
              <w:rPr>
                <w:rFonts w:eastAsia="Times New Roman"/>
                <w:b/>
                <w:color w:val="0000FF"/>
                <w:szCs w:val="24"/>
                <w:lang w:eastAsia="tr-TR"/>
              </w:rPr>
              <w:t xml:space="preserve">. </w:t>
            </w:r>
            <w:r w:rsidR="00CD42DC" w:rsidRPr="007018A7">
              <w:rPr>
                <w:rStyle w:val="Balk1Char"/>
                <w:rFonts w:eastAsia="ヒラギノ明朝 Pro W3"/>
              </w:rPr>
              <w:t>Gider yatırılırsa,</w:t>
            </w:r>
            <w:r w:rsidR="00CD42DC" w:rsidRPr="00A23740">
              <w:rPr>
                <w:rFonts w:eastAsia="Times New Roman"/>
                <w:b/>
                <w:color w:val="0000FF"/>
                <w:szCs w:val="24"/>
                <w:lang w:eastAsia="tr-TR"/>
              </w:rPr>
              <w:t xml:space="preserve"> </w:t>
            </w:r>
            <w:r w:rsidRPr="00A23740">
              <w:rPr>
                <w:rFonts w:eastAsia="Times New Roman"/>
                <w:b/>
                <w:color w:val="0000FF"/>
                <w:szCs w:val="24"/>
                <w:lang w:eastAsia="tr-TR"/>
              </w:rPr>
              <w:t xml:space="preserve">yeniden </w:t>
            </w:r>
            <w:r w:rsidRPr="00A23740">
              <w:rPr>
                <w:rStyle w:val="MaviChar"/>
              </w:rPr>
              <w:t>kıymet takdiri yaptırılır</w:t>
            </w:r>
            <w:r w:rsidRPr="00A23740">
              <w:rPr>
                <w:rFonts w:eastAsia="Times New Roman"/>
                <w:b/>
                <w:color w:val="0000FF"/>
                <w:szCs w:val="24"/>
                <w:lang w:eastAsia="tr-TR"/>
              </w:rPr>
              <w:t xml:space="preserve">; </w:t>
            </w:r>
            <w:r w:rsidRPr="00A23740">
              <w:t>aksi h</w:t>
            </w:r>
            <w:r w:rsidR="001D7D44" w:rsidRPr="00A23740">
              <w:t>â</w:t>
            </w:r>
            <w:r w:rsidRPr="00A23740">
              <w:t>lde</w:t>
            </w:r>
            <w:r w:rsidR="00CD42DC" w:rsidRPr="007018A7">
              <w:rPr>
                <w:rStyle w:val="Balk1Char"/>
                <w:rFonts w:eastAsia="ヒラギノ明朝 Pro W3"/>
              </w:rPr>
              <w:t>,</w:t>
            </w:r>
            <w:r w:rsidRPr="00A23740">
              <w:t xml:space="preserve"> başka bir işleme gerek</w:t>
            </w:r>
            <w:r w:rsidRPr="00A23740">
              <w:rPr>
                <w:rFonts w:eastAsia="Times New Roman"/>
                <w:b/>
                <w:color w:val="0000FF"/>
                <w:szCs w:val="24"/>
                <w:lang w:eastAsia="tr-TR"/>
              </w:rPr>
              <w:t xml:space="preserve"> kalmaksızın </w:t>
            </w:r>
            <w:r w:rsidRPr="00A23740">
              <w:t>şikâyet kesin olarak reddedilir.</w:t>
            </w:r>
          </w:p>
          <w:p w:rsidR="00F807ED" w:rsidRDefault="00F807ED" w:rsidP="009431FF">
            <w:pPr>
              <w:tabs>
                <w:tab w:val="left" w:pos="567"/>
              </w:tabs>
            </w:pPr>
          </w:p>
          <w:p w:rsidR="00DE1165" w:rsidRDefault="00DE1165" w:rsidP="009431FF">
            <w:pPr>
              <w:tabs>
                <w:tab w:val="left" w:pos="567"/>
              </w:tabs>
            </w:pPr>
          </w:p>
          <w:p w:rsidR="00DE1165" w:rsidRPr="00A23740" w:rsidRDefault="00DE1165" w:rsidP="009431FF">
            <w:pPr>
              <w:tabs>
                <w:tab w:val="left" w:pos="567"/>
              </w:tabs>
            </w:pPr>
          </w:p>
          <w:p w:rsidR="00AA5C8C" w:rsidRPr="00A23740" w:rsidRDefault="00F807ED" w:rsidP="009431FF">
            <w:pPr>
              <w:tabs>
                <w:tab w:val="left" w:pos="567"/>
              </w:tabs>
              <w:rPr>
                <w:rFonts w:eastAsia="Times New Roman"/>
                <w:b/>
                <w:color w:val="0000FF"/>
                <w:szCs w:val="24"/>
                <w:lang w:eastAsia="tr-TR"/>
              </w:rPr>
            </w:pPr>
            <w:r w:rsidRPr="00A23740">
              <w:rPr>
                <w:rStyle w:val="MaviChar"/>
              </w:rPr>
              <w:t>(2)</w:t>
            </w:r>
            <w:r w:rsidR="00AA5C8C" w:rsidRPr="00A23740">
              <w:rPr>
                <w:rFonts w:eastAsia="Times New Roman"/>
                <w:b/>
                <w:color w:val="0000FF"/>
                <w:szCs w:val="24"/>
                <w:lang w:eastAsia="tr-TR"/>
              </w:rPr>
              <w:t xml:space="preserve"> </w:t>
            </w:r>
            <w:r w:rsidRPr="00A23740">
              <w:rPr>
                <w:rFonts w:eastAsia="Times New Roman"/>
                <w:b/>
                <w:color w:val="0000FF"/>
                <w:szCs w:val="24"/>
                <w:lang w:eastAsia="tr-TR"/>
              </w:rPr>
              <w:t xml:space="preserve">Kıymet takdiri, </w:t>
            </w:r>
            <w:r w:rsidR="00AA5C8C" w:rsidRPr="00A23740">
              <w:rPr>
                <w:rStyle w:val="MaviChar"/>
              </w:rPr>
              <w:t>keşif tarihindeki değer dikkate alın</w:t>
            </w:r>
            <w:r w:rsidRPr="00A23740">
              <w:rPr>
                <w:rStyle w:val="MaviChar"/>
                <w:lang w:val="tr-TR"/>
              </w:rPr>
              <w:t>mak suretiyle yapılır</w:t>
            </w:r>
            <w:r w:rsidR="00AA5C8C" w:rsidRPr="00A23740">
              <w:rPr>
                <w:rStyle w:val="MaviChar"/>
              </w:rPr>
              <w:t>.</w:t>
            </w:r>
          </w:p>
          <w:p w:rsidR="00AA5C8C" w:rsidRPr="00A23740" w:rsidRDefault="00AA5C8C" w:rsidP="009431FF">
            <w:pPr>
              <w:rPr>
                <w:rFonts w:eastAsia="Times New Roman"/>
                <w:b/>
                <w:color w:val="0000FF"/>
                <w:szCs w:val="24"/>
                <w:lang w:eastAsia="tr-TR"/>
              </w:rPr>
            </w:pPr>
          </w:p>
          <w:p w:rsidR="00AA5C8C" w:rsidRPr="00A23740" w:rsidRDefault="00F807ED" w:rsidP="009431FF">
            <w:pPr>
              <w:rPr>
                <w:rFonts w:eastAsia="Times New Roman"/>
                <w:b/>
                <w:color w:val="0000FF"/>
                <w:szCs w:val="24"/>
                <w:lang w:eastAsia="tr-TR"/>
              </w:rPr>
            </w:pPr>
            <w:r w:rsidRPr="00A23740">
              <w:rPr>
                <w:rFonts w:eastAsia="Times New Roman"/>
                <w:b/>
                <w:color w:val="0000FF"/>
                <w:szCs w:val="24"/>
                <w:lang w:eastAsia="tr-TR"/>
              </w:rPr>
              <w:t>(3</w:t>
            </w:r>
            <w:r w:rsidR="00AA5C8C" w:rsidRPr="00A23740">
              <w:rPr>
                <w:rFonts w:eastAsia="Times New Roman"/>
                <w:b/>
                <w:color w:val="0000FF"/>
                <w:szCs w:val="24"/>
                <w:lang w:eastAsia="tr-TR"/>
              </w:rPr>
              <w:t>)</w:t>
            </w:r>
            <w:r w:rsidR="00AA5C8C" w:rsidRPr="00A23740">
              <w:rPr>
                <w:rFonts w:eastAsia="Times New Roman"/>
                <w:szCs w:val="24"/>
                <w:lang w:eastAsia="tr-TR"/>
              </w:rPr>
              <w:t xml:space="preserve"> Kıymet takdirine ilişkin şikâyet yetkisiz icra </w:t>
            </w:r>
            <w:r w:rsidR="00AA5C8C" w:rsidRPr="00A23740">
              <w:rPr>
                <w:rStyle w:val="MaviChar"/>
                <w:lang w:val="tr-TR"/>
              </w:rPr>
              <w:t>hukuk</w:t>
            </w:r>
            <w:r w:rsidR="00AA5C8C" w:rsidRPr="00A23740">
              <w:rPr>
                <w:rFonts w:eastAsia="Times New Roman"/>
                <w:color w:val="FF0000"/>
                <w:szCs w:val="24"/>
                <w:lang w:eastAsia="tr-TR"/>
              </w:rPr>
              <w:t xml:space="preserve"> </w:t>
            </w:r>
            <w:r w:rsidR="00AA5C8C" w:rsidRPr="00A23740">
              <w:rPr>
                <w:rFonts w:eastAsia="Times New Roman"/>
                <w:szCs w:val="24"/>
                <w:lang w:eastAsia="tr-TR"/>
              </w:rPr>
              <w:t xml:space="preserve">mahkemesine yapılırsa, mahkeme </w:t>
            </w:r>
            <w:r w:rsidR="00AA5C8C" w:rsidRPr="00A23740">
              <w:rPr>
                <w:rStyle w:val="MaviChar"/>
                <w:lang w:val="tr-TR"/>
              </w:rPr>
              <w:t>dosya</w:t>
            </w:r>
            <w:r w:rsidR="00AA5C8C" w:rsidRPr="00A23740">
              <w:rPr>
                <w:rFonts w:eastAsia="Times New Roman"/>
                <w:szCs w:val="24"/>
                <w:lang w:eastAsia="tr-TR"/>
              </w:rPr>
              <w:t xml:space="preserve"> üzerinde inceleme yaparak başvuru tarihinden itibaren en geç </w:t>
            </w:r>
            <w:r w:rsidR="00AA5C8C" w:rsidRPr="00A23740">
              <w:rPr>
                <w:rStyle w:val="MaviChar"/>
                <w:lang w:val="tr-TR"/>
              </w:rPr>
              <w:t>bir hafta</w:t>
            </w:r>
            <w:r w:rsidR="00AA5C8C" w:rsidRPr="00A23740">
              <w:rPr>
                <w:rFonts w:eastAsia="Times New Roman"/>
                <w:szCs w:val="24"/>
                <w:lang w:eastAsia="tr-TR"/>
              </w:rPr>
              <w:t xml:space="preserve"> içinde yetkisizlik </w:t>
            </w:r>
            <w:r w:rsidR="00AA5C8C" w:rsidRPr="00A23740">
              <w:t xml:space="preserve">kararı verir  ve </w:t>
            </w:r>
            <w:r w:rsidR="00AA5C8C" w:rsidRPr="00A23740">
              <w:rPr>
                <w:rStyle w:val="MaviChar"/>
              </w:rPr>
              <w:t>giderini</w:t>
            </w:r>
            <w:r w:rsidR="00AA5C8C" w:rsidRPr="00A23740">
              <w:t xml:space="preserve"> gider avansından karşılamak suretiyle dosyayı resen</w:t>
            </w:r>
            <w:r w:rsidR="00AA5C8C" w:rsidRPr="00A23740">
              <w:rPr>
                <w:rFonts w:eastAsia="Times New Roman"/>
                <w:b/>
                <w:color w:val="0000FF"/>
                <w:szCs w:val="24"/>
                <w:lang w:eastAsia="tr-TR"/>
              </w:rPr>
              <w:t xml:space="preserve"> </w:t>
            </w:r>
            <w:r w:rsidR="00AA5C8C" w:rsidRPr="00A23740">
              <w:rPr>
                <w:rStyle w:val="MaviChar"/>
              </w:rPr>
              <w:t>ve doğrudan</w:t>
            </w:r>
            <w:r w:rsidR="00AA5C8C" w:rsidRPr="00A23740">
              <w:rPr>
                <w:rFonts w:eastAsia="Times New Roman"/>
                <w:b/>
                <w:color w:val="0000FF"/>
                <w:szCs w:val="24"/>
                <w:lang w:eastAsia="tr-TR"/>
              </w:rPr>
              <w:t xml:space="preserve"> </w:t>
            </w:r>
            <w:r w:rsidR="00AA5C8C" w:rsidRPr="00A23740">
              <w:t xml:space="preserve">yetkili icra </w:t>
            </w:r>
            <w:r w:rsidR="00AA5C8C" w:rsidRPr="00A23740">
              <w:rPr>
                <w:rStyle w:val="MaviChar"/>
              </w:rPr>
              <w:t>hukuk</w:t>
            </w:r>
            <w:r w:rsidR="00AA5C8C" w:rsidRPr="00A23740">
              <w:t xml:space="preserve"> mahkemesine gönderir.</w:t>
            </w:r>
          </w:p>
          <w:p w:rsidR="00AA5C8C" w:rsidRPr="00A23740" w:rsidRDefault="00AA5C8C" w:rsidP="009431FF">
            <w:pPr>
              <w:tabs>
                <w:tab w:val="left" w:pos="567"/>
              </w:tabs>
              <w:rPr>
                <w:rFonts w:eastAsia="Times New Roman"/>
                <w:b/>
                <w:color w:val="0000FF"/>
                <w:szCs w:val="24"/>
                <w:lang w:eastAsia="tr-TR"/>
              </w:rPr>
            </w:pPr>
          </w:p>
          <w:p w:rsidR="00AA5C8C" w:rsidRPr="00A23740" w:rsidRDefault="00F807ED" w:rsidP="009431FF">
            <w:pPr>
              <w:tabs>
                <w:tab w:val="left" w:pos="567"/>
              </w:tabs>
              <w:rPr>
                <w:rFonts w:eastAsia="Times New Roman"/>
                <w:b/>
                <w:color w:val="0000FF"/>
                <w:szCs w:val="24"/>
              </w:rPr>
            </w:pPr>
            <w:r w:rsidRPr="00A23740">
              <w:rPr>
                <w:rFonts w:eastAsia="Times New Roman"/>
                <w:b/>
                <w:color w:val="0000FF"/>
                <w:szCs w:val="24"/>
                <w:lang w:eastAsia="tr-TR"/>
              </w:rPr>
              <w:t>(4</w:t>
            </w:r>
            <w:r w:rsidR="00AA5C8C" w:rsidRPr="00A23740">
              <w:rPr>
                <w:rFonts w:eastAsia="Times New Roman"/>
                <w:b/>
                <w:color w:val="0000FF"/>
                <w:szCs w:val="24"/>
                <w:lang w:eastAsia="tr-TR"/>
              </w:rPr>
              <w:t>) Kıymet takdirine ilişkin şik</w:t>
            </w:r>
            <w:r w:rsidR="00407C95" w:rsidRPr="00A23740">
              <w:rPr>
                <w:rFonts w:eastAsia="Times New Roman"/>
                <w:b/>
                <w:color w:val="0000FF"/>
                <w:szCs w:val="24"/>
                <w:lang w:eastAsia="tr-TR"/>
              </w:rPr>
              <w:t>â</w:t>
            </w:r>
            <w:r w:rsidR="00AA5C8C" w:rsidRPr="00A23740">
              <w:rPr>
                <w:rFonts w:eastAsia="Times New Roman"/>
                <w:b/>
                <w:color w:val="0000FF"/>
                <w:szCs w:val="24"/>
                <w:lang w:eastAsia="tr-TR"/>
              </w:rPr>
              <w:t xml:space="preserve">yet görevsiz mahkemeye yapılırsa, mahkeme dosya üzerinde inceleme yaparak başvuru tarihinden itibaren en geç bir hafta içinde görevsizlik kararı verir </w:t>
            </w:r>
            <w:r w:rsidR="00AA5C8C" w:rsidRPr="00A23740">
              <w:rPr>
                <w:rFonts w:eastAsia="Times New Roman"/>
                <w:b/>
                <w:color w:val="0000FF"/>
                <w:szCs w:val="24"/>
              </w:rPr>
              <w:t xml:space="preserve">ve giderini gider avansından karşılamak suretiyle dosyayı </w:t>
            </w:r>
            <w:r w:rsidR="00AA5C8C" w:rsidRPr="00A23740">
              <w:rPr>
                <w:rStyle w:val="MaviChar"/>
              </w:rPr>
              <w:t>resen ve doğrudan</w:t>
            </w:r>
            <w:r w:rsidR="00AA5C8C" w:rsidRPr="00A23740">
              <w:rPr>
                <w:rFonts w:eastAsia="Times New Roman"/>
                <w:b/>
                <w:color w:val="0000FF"/>
                <w:szCs w:val="24"/>
              </w:rPr>
              <w:t xml:space="preserve"> yetkili i</w:t>
            </w:r>
            <w:r w:rsidRPr="00A23740">
              <w:rPr>
                <w:rFonts w:eastAsia="Times New Roman"/>
                <w:b/>
                <w:color w:val="0000FF"/>
                <w:szCs w:val="24"/>
              </w:rPr>
              <w:t>cra hukuk mahkemesine gönderir.</w:t>
            </w:r>
          </w:p>
          <w:p w:rsidR="00AA5C8C" w:rsidRPr="00A23740" w:rsidRDefault="00AA5C8C" w:rsidP="009431FF">
            <w:pPr>
              <w:tabs>
                <w:tab w:val="left" w:pos="567"/>
              </w:tabs>
              <w:rPr>
                <w:rFonts w:eastAsia="Times New Roman"/>
                <w:b/>
                <w:color w:val="0000FF"/>
                <w:szCs w:val="24"/>
                <w:lang w:eastAsia="tr-TR"/>
              </w:rPr>
            </w:pPr>
          </w:p>
          <w:p w:rsidR="00AA5C8C" w:rsidRPr="00A23740" w:rsidRDefault="00F807ED" w:rsidP="009431FF">
            <w:pPr>
              <w:tabs>
                <w:tab w:val="left" w:pos="567"/>
              </w:tabs>
              <w:rPr>
                <w:rFonts w:eastAsia="Times New Roman"/>
                <w:b/>
                <w:color w:val="0000FF"/>
                <w:szCs w:val="24"/>
                <w:lang w:eastAsia="tr-TR"/>
              </w:rPr>
            </w:pPr>
            <w:r w:rsidRPr="00A23740">
              <w:rPr>
                <w:rFonts w:eastAsia="Times New Roman"/>
                <w:b/>
                <w:color w:val="0000FF"/>
                <w:szCs w:val="24"/>
                <w:lang w:eastAsia="tr-TR"/>
              </w:rPr>
              <w:t>(5</w:t>
            </w:r>
            <w:r w:rsidR="00AA5C8C" w:rsidRPr="00A23740">
              <w:rPr>
                <w:rFonts w:eastAsia="Times New Roman"/>
                <w:b/>
                <w:color w:val="0000FF"/>
                <w:szCs w:val="24"/>
                <w:lang w:eastAsia="tr-TR"/>
              </w:rPr>
              <w:t xml:space="preserve">) </w:t>
            </w:r>
            <w:r w:rsidRPr="00A23740">
              <w:rPr>
                <w:rFonts w:eastAsia="Times New Roman"/>
                <w:b/>
                <w:color w:val="0000FF"/>
                <w:szCs w:val="24"/>
                <w:lang w:eastAsia="tr-TR"/>
              </w:rPr>
              <w:t xml:space="preserve">Yukarıdaki fıkralar </w:t>
            </w:r>
            <w:r w:rsidR="00AA5C8C" w:rsidRPr="00A23740">
              <w:rPr>
                <w:rFonts w:eastAsia="Times New Roman"/>
                <w:szCs w:val="24"/>
                <w:lang w:eastAsia="tr-TR"/>
              </w:rPr>
              <w:t xml:space="preserve">gereğince </w:t>
            </w:r>
            <w:r w:rsidR="00AA5C8C" w:rsidRPr="00A23740">
              <w:rPr>
                <w:rFonts w:eastAsia="ヒラギノ明朝 Pro W3"/>
                <w:b/>
                <w:color w:val="0000FF"/>
                <w:szCs w:val="24"/>
                <w:lang w:eastAsia="tr-TR"/>
              </w:rPr>
              <w:t>verilen görevsizlik ve yetkisizlik kararları kesin olup</w:t>
            </w:r>
            <w:r w:rsidR="00E7437F" w:rsidRPr="00A23740">
              <w:rPr>
                <w:rFonts w:eastAsia="ヒラギノ明朝 Pro W3"/>
                <w:b/>
                <w:color w:val="0000FF"/>
                <w:szCs w:val="24"/>
                <w:lang w:eastAsia="tr-TR"/>
              </w:rPr>
              <w:t>,</w:t>
            </w:r>
            <w:r w:rsidR="00AA5C8C" w:rsidRPr="00A23740">
              <w:rPr>
                <w:rFonts w:eastAsia="ヒラギノ明朝 Pro W3"/>
                <w:b/>
                <w:color w:val="0000FF"/>
                <w:szCs w:val="24"/>
                <w:lang w:eastAsia="tr-TR"/>
              </w:rPr>
              <w:t xml:space="preserve"> bu kararlar diğer mahkemeyi bağlar.</w:t>
            </w:r>
          </w:p>
          <w:p w:rsidR="00AA5C8C" w:rsidRPr="00A23740" w:rsidRDefault="00AA5C8C" w:rsidP="009431FF">
            <w:pPr>
              <w:pStyle w:val="YEL"/>
            </w:pPr>
          </w:p>
        </w:tc>
      </w:tr>
      <w:tr w:rsidR="00F07946" w:rsidRPr="00A23740" w:rsidTr="009431FF">
        <w:tblPrEx>
          <w:tblLook w:val="01E0" w:firstRow="1" w:lastRow="1" w:firstColumn="1" w:lastColumn="1" w:noHBand="0" w:noVBand="0"/>
        </w:tblPrEx>
        <w:tc>
          <w:tcPr>
            <w:tcW w:w="5000" w:type="pct"/>
            <w:gridSpan w:val="2"/>
            <w:shd w:val="clear" w:color="auto" w:fill="DEEAF6"/>
          </w:tcPr>
          <w:p w:rsidR="00F07946" w:rsidRPr="00A23740" w:rsidRDefault="00F07946" w:rsidP="009431FF">
            <w:pPr>
              <w:pStyle w:val="Mavi"/>
              <w:jc w:val="left"/>
              <w:rPr>
                <w:lang w:val="tr-TR"/>
              </w:rPr>
            </w:pPr>
          </w:p>
          <w:p w:rsidR="00CD42DC" w:rsidRPr="00A23740" w:rsidRDefault="0012452F" w:rsidP="009431FF">
            <w:pPr>
              <w:ind w:firstLine="709"/>
              <w:rPr>
                <w:rFonts w:eastAsia="Times New Roman"/>
                <w:color w:val="000000"/>
                <w:szCs w:val="24"/>
                <w:lang w:eastAsia="tr-TR"/>
              </w:rPr>
            </w:pPr>
            <w:r w:rsidRPr="00A23740">
              <w:rPr>
                <w:rFonts w:eastAsia="Times New Roman"/>
                <w:b/>
                <w:color w:val="000000"/>
                <w:szCs w:val="24"/>
                <w:lang w:eastAsia="tr-TR"/>
              </w:rPr>
              <w:t>MADDE 178-</w:t>
            </w:r>
            <w:r w:rsidRPr="00A23740">
              <w:rPr>
                <w:rFonts w:eastAsia="Times New Roman"/>
                <w:color w:val="000000"/>
                <w:szCs w:val="24"/>
                <w:lang w:eastAsia="tr-TR"/>
              </w:rPr>
              <w:t xml:space="preserve"> </w:t>
            </w:r>
            <w:r w:rsidR="00CD42DC" w:rsidRPr="00A23740">
              <w:rPr>
                <w:rFonts w:eastAsia="Times New Roman"/>
                <w:color w:val="000000"/>
                <w:szCs w:val="24"/>
                <w:lang w:eastAsia="tr-TR"/>
              </w:rPr>
              <w:t>Maddeyle, kıymet takdirine yönelik yapılan şik</w:t>
            </w:r>
            <w:r w:rsidR="00407C95" w:rsidRPr="00A23740">
              <w:rPr>
                <w:rFonts w:eastAsia="Times New Roman"/>
                <w:color w:val="000000"/>
                <w:szCs w:val="24"/>
                <w:lang w:eastAsia="tr-TR"/>
              </w:rPr>
              <w:t>â</w:t>
            </w:r>
            <w:r w:rsidR="00CD42DC" w:rsidRPr="00A23740">
              <w:rPr>
                <w:rFonts w:eastAsia="Times New Roman"/>
                <w:color w:val="000000"/>
                <w:szCs w:val="24"/>
                <w:lang w:eastAsia="tr-TR"/>
              </w:rPr>
              <w:t>yetin incelenmesi usulü düzenlenmektedir. Hüküm, 2004 sayılı Kanunun 128/a maddesine karşılık gelmektedir.</w:t>
            </w:r>
          </w:p>
          <w:p w:rsidR="00CD42DC" w:rsidRPr="00A23740" w:rsidRDefault="00CD42DC" w:rsidP="009431FF">
            <w:pPr>
              <w:ind w:firstLine="709"/>
              <w:rPr>
                <w:rFonts w:eastAsia="Times New Roman"/>
                <w:color w:val="000000"/>
                <w:szCs w:val="24"/>
                <w:lang w:eastAsia="tr-TR"/>
              </w:rPr>
            </w:pPr>
            <w:r w:rsidRPr="00A23740">
              <w:rPr>
                <w:rFonts w:eastAsia="Times New Roman"/>
                <w:color w:val="000000"/>
                <w:szCs w:val="24"/>
                <w:lang w:eastAsia="tr-TR"/>
              </w:rPr>
              <w:t>Birinci fıkrayla, kıymet takdirine şik</w:t>
            </w:r>
            <w:r w:rsidR="00407C95" w:rsidRPr="00A23740">
              <w:rPr>
                <w:rFonts w:eastAsia="Times New Roman"/>
                <w:color w:val="000000"/>
                <w:szCs w:val="24"/>
                <w:lang w:eastAsia="tr-TR"/>
              </w:rPr>
              <w:t>â</w:t>
            </w:r>
            <w:r w:rsidRPr="00A23740">
              <w:rPr>
                <w:rFonts w:eastAsia="Times New Roman"/>
                <w:color w:val="000000"/>
                <w:szCs w:val="24"/>
                <w:lang w:eastAsia="tr-TR"/>
              </w:rPr>
              <w:t>yet üzerine gider ve ücretin eksik olması h</w:t>
            </w:r>
            <w:r w:rsidR="001D7D44" w:rsidRPr="00A23740">
              <w:rPr>
                <w:rFonts w:eastAsia="Times New Roman"/>
                <w:color w:val="000000"/>
                <w:szCs w:val="24"/>
                <w:lang w:eastAsia="tr-TR"/>
              </w:rPr>
              <w:t>â</w:t>
            </w:r>
            <w:r w:rsidRPr="00A23740">
              <w:rPr>
                <w:rFonts w:eastAsia="Times New Roman"/>
                <w:color w:val="000000"/>
                <w:szCs w:val="24"/>
                <w:lang w:eastAsia="tr-TR"/>
              </w:rPr>
              <w:t xml:space="preserve">linde hesap edilen bakiye kısmın mahkeme veznesine yatırılması için ilgiliye bir haftalık kesin süre verileceği ve </w:t>
            </w:r>
            <w:r w:rsidR="00F13F0A" w:rsidRPr="00D60C1D">
              <w:rPr>
                <w:rStyle w:val="YELChar"/>
                <w:b w:val="0"/>
                <w:color w:val="000000"/>
              </w:rPr>
              <w:t>gider yatırılırsa</w:t>
            </w:r>
            <w:r w:rsidR="00F13F0A" w:rsidRPr="00A23740">
              <w:rPr>
                <w:rFonts w:eastAsia="Times New Roman"/>
                <w:b/>
                <w:color w:val="0000FF"/>
                <w:szCs w:val="24"/>
                <w:lang w:eastAsia="tr-TR"/>
              </w:rPr>
              <w:t xml:space="preserve"> </w:t>
            </w:r>
            <w:r w:rsidRPr="00A23740">
              <w:rPr>
                <w:rFonts w:eastAsia="Times New Roman"/>
                <w:color w:val="000000"/>
                <w:szCs w:val="24"/>
                <w:lang w:eastAsia="tr-TR"/>
              </w:rPr>
              <w:t>yeniden kıymet takdiri yaptırılacağı; aksi h</w:t>
            </w:r>
            <w:r w:rsidR="001D7D44" w:rsidRPr="00A23740">
              <w:rPr>
                <w:rFonts w:eastAsia="Times New Roman"/>
                <w:color w:val="000000"/>
                <w:szCs w:val="24"/>
                <w:lang w:eastAsia="tr-TR"/>
              </w:rPr>
              <w:t>â</w:t>
            </w:r>
            <w:r w:rsidRPr="00A23740">
              <w:rPr>
                <w:rFonts w:eastAsia="Times New Roman"/>
                <w:color w:val="000000"/>
                <w:szCs w:val="24"/>
                <w:lang w:eastAsia="tr-TR"/>
              </w:rPr>
              <w:t>lde başka bir işleme gerek kalmaksızın şikâyetin kesin olarak reddedileceği hükme bağlanmaktadır.</w:t>
            </w:r>
          </w:p>
          <w:p w:rsidR="00CD42DC" w:rsidRPr="00A23740" w:rsidRDefault="00CD42DC" w:rsidP="009431FF">
            <w:pPr>
              <w:ind w:firstLine="709"/>
              <w:rPr>
                <w:rFonts w:eastAsia="Times New Roman"/>
                <w:color w:val="000000"/>
                <w:szCs w:val="24"/>
                <w:lang w:eastAsia="tr-TR"/>
              </w:rPr>
            </w:pPr>
            <w:r w:rsidRPr="00A23740">
              <w:rPr>
                <w:rFonts w:eastAsia="Times New Roman"/>
                <w:color w:val="000000"/>
                <w:szCs w:val="24"/>
                <w:lang w:eastAsia="tr-TR"/>
              </w:rPr>
              <w:t>İkinci fıkrayla, bir yenilik olarak malın gerçek değerinin tespit edilmesinin temini için</w:t>
            </w:r>
            <w:r w:rsidR="0012452F" w:rsidRPr="00A23740">
              <w:rPr>
                <w:rFonts w:eastAsia="Times New Roman"/>
                <w:b/>
                <w:color w:val="000000"/>
                <w:szCs w:val="24"/>
                <w:lang w:eastAsia="tr-TR"/>
              </w:rPr>
              <w:t xml:space="preserve"> </w:t>
            </w:r>
            <w:r w:rsidR="0012452F" w:rsidRPr="00D60C1D">
              <w:rPr>
                <w:rStyle w:val="YELChar"/>
                <w:b w:val="0"/>
                <w:color w:val="000000"/>
              </w:rPr>
              <w:t>mahkemece yapılmasına karar verilen</w:t>
            </w:r>
            <w:r w:rsidRPr="00A23740">
              <w:rPr>
                <w:rFonts w:eastAsia="Times New Roman"/>
                <w:color w:val="000000"/>
                <w:szCs w:val="24"/>
                <w:lang w:eastAsia="tr-TR"/>
              </w:rPr>
              <w:t xml:space="preserve"> keşif tarihindeki değer dikkate alınmak suretiyle kıymet takdirinin yapılacağı belirtilmektedir.</w:t>
            </w:r>
          </w:p>
          <w:p w:rsidR="00CD42DC" w:rsidRPr="00A23740" w:rsidRDefault="00CD42DC" w:rsidP="009431FF">
            <w:pPr>
              <w:ind w:firstLine="709"/>
              <w:rPr>
                <w:rFonts w:eastAsia="Times New Roman"/>
                <w:color w:val="000000"/>
                <w:szCs w:val="24"/>
                <w:lang w:eastAsia="tr-TR"/>
              </w:rPr>
            </w:pPr>
            <w:r w:rsidRPr="00A23740">
              <w:rPr>
                <w:rFonts w:eastAsia="Times New Roman"/>
                <w:color w:val="000000"/>
                <w:szCs w:val="24"/>
                <w:lang w:eastAsia="tr-TR"/>
              </w:rPr>
              <w:t>Üçüncü fıkraya göre, kıymet takdirine ilişkin şikâyetin yetkisiz icra hukuk mahkemesine yapılması h</w:t>
            </w:r>
            <w:r w:rsidR="001D7D44" w:rsidRPr="00A23740">
              <w:rPr>
                <w:rFonts w:eastAsia="Times New Roman"/>
                <w:color w:val="000000"/>
                <w:szCs w:val="24"/>
                <w:lang w:eastAsia="tr-TR"/>
              </w:rPr>
              <w:t>â</w:t>
            </w:r>
            <w:r w:rsidRPr="00A23740">
              <w:rPr>
                <w:rFonts w:eastAsia="Times New Roman"/>
                <w:color w:val="000000"/>
                <w:szCs w:val="24"/>
                <w:lang w:eastAsia="tr-TR"/>
              </w:rPr>
              <w:t>linde mahkeme, dosya üzerinde inceleme yaparak başvuru tarihinden itibaren en geç bir hafta içinde yetkisizlik kararı verir ve masrafını gider avansından karşılamak suretiyle dosyayı resen ve doğrudan yetkili icra hukuk mahkemesine gönderir. 2004 sayılı Kanunun 128/a maddesinin dördüncü fıkrasına göre şik</w:t>
            </w:r>
            <w:r w:rsidR="003B26FC" w:rsidRPr="00A23740">
              <w:rPr>
                <w:rFonts w:eastAsia="Times New Roman"/>
                <w:color w:val="000000"/>
                <w:szCs w:val="24"/>
                <w:lang w:eastAsia="tr-TR"/>
              </w:rPr>
              <w:t>â</w:t>
            </w:r>
            <w:r w:rsidRPr="00A23740">
              <w:rPr>
                <w:rFonts w:eastAsia="Times New Roman"/>
                <w:color w:val="000000"/>
                <w:szCs w:val="24"/>
                <w:lang w:eastAsia="tr-TR"/>
              </w:rPr>
              <w:t>yet başvurusunun yetkisiz mahkemeye yapılması h</w:t>
            </w:r>
            <w:r w:rsidR="001D7D44" w:rsidRPr="00A23740">
              <w:rPr>
                <w:rFonts w:eastAsia="Times New Roman"/>
                <w:color w:val="000000"/>
                <w:szCs w:val="24"/>
                <w:lang w:eastAsia="tr-TR"/>
              </w:rPr>
              <w:t>â</w:t>
            </w:r>
            <w:r w:rsidRPr="00A23740">
              <w:rPr>
                <w:rFonts w:eastAsia="Times New Roman"/>
                <w:color w:val="000000"/>
                <w:szCs w:val="24"/>
                <w:lang w:eastAsia="tr-TR"/>
              </w:rPr>
              <w:t>linde, mahkemenin başvuru tarihinden itibaren en geç on gün içinde yetkisizlik kararı vermesi gerekirken, sürelerin yeknesak h</w:t>
            </w:r>
            <w:r w:rsidR="001D7D44" w:rsidRPr="00A23740">
              <w:rPr>
                <w:rFonts w:eastAsia="Times New Roman"/>
                <w:color w:val="000000"/>
                <w:szCs w:val="24"/>
                <w:lang w:eastAsia="tr-TR"/>
              </w:rPr>
              <w:t>â</w:t>
            </w:r>
            <w:r w:rsidRPr="00A23740">
              <w:rPr>
                <w:rFonts w:eastAsia="Times New Roman"/>
                <w:color w:val="000000"/>
                <w:szCs w:val="24"/>
                <w:lang w:eastAsia="tr-TR"/>
              </w:rPr>
              <w:t>le getirilmesi ilkesi kapsamında hükümde bu süre bir haftaya indirilmektedir.</w:t>
            </w:r>
          </w:p>
          <w:p w:rsidR="00CD42DC" w:rsidRPr="00A23740" w:rsidRDefault="00CD42DC" w:rsidP="009431FF">
            <w:pPr>
              <w:ind w:firstLine="709"/>
              <w:rPr>
                <w:rFonts w:eastAsia="Times New Roman"/>
                <w:color w:val="000000"/>
                <w:szCs w:val="24"/>
                <w:lang w:eastAsia="tr-TR"/>
              </w:rPr>
            </w:pPr>
            <w:r w:rsidRPr="00A23740">
              <w:rPr>
                <w:rFonts w:eastAsia="Times New Roman"/>
                <w:color w:val="000000"/>
                <w:szCs w:val="24"/>
                <w:lang w:eastAsia="tr-TR"/>
              </w:rPr>
              <w:t>Dördüncü fıkrayla, kıymet takdirine ilişkin şik</w:t>
            </w:r>
            <w:r w:rsidR="00407C95" w:rsidRPr="00A23740">
              <w:rPr>
                <w:rFonts w:eastAsia="Times New Roman"/>
                <w:color w:val="000000"/>
                <w:szCs w:val="24"/>
                <w:lang w:eastAsia="tr-TR"/>
              </w:rPr>
              <w:t>â</w:t>
            </w:r>
            <w:r w:rsidRPr="00A23740">
              <w:rPr>
                <w:rFonts w:eastAsia="Times New Roman"/>
                <w:color w:val="000000"/>
                <w:szCs w:val="24"/>
                <w:lang w:eastAsia="tr-TR"/>
              </w:rPr>
              <w:t>yetin görevsiz mahkemeye yapılması h</w:t>
            </w:r>
            <w:r w:rsidR="001D7D44" w:rsidRPr="00A23740">
              <w:rPr>
                <w:rFonts w:eastAsia="Times New Roman"/>
                <w:color w:val="000000"/>
                <w:szCs w:val="24"/>
                <w:lang w:eastAsia="tr-TR"/>
              </w:rPr>
              <w:t>â</w:t>
            </w:r>
            <w:r w:rsidRPr="00A23740">
              <w:rPr>
                <w:rFonts w:eastAsia="Times New Roman"/>
                <w:color w:val="000000"/>
                <w:szCs w:val="24"/>
                <w:lang w:eastAsia="tr-TR"/>
              </w:rPr>
              <w:t>linde, mahkemenin dosya üzerinde inceleme yaparak</w:t>
            </w:r>
            <w:r w:rsidR="00A87D2A" w:rsidRPr="00A23740">
              <w:rPr>
                <w:rFonts w:eastAsia="Times New Roman"/>
                <w:color w:val="000000"/>
                <w:szCs w:val="24"/>
                <w:lang w:eastAsia="tr-TR"/>
              </w:rPr>
              <w:t>,</w:t>
            </w:r>
            <w:r w:rsidRPr="00A23740">
              <w:rPr>
                <w:rFonts w:eastAsia="Times New Roman"/>
                <w:color w:val="000000"/>
                <w:szCs w:val="24"/>
                <w:lang w:eastAsia="tr-TR"/>
              </w:rPr>
              <w:t xml:space="preserve"> başvuru tarihinden itibaren en geç bir hafta içinde görevsizlik kararı vereceği ve masrafını gider avansından karşılamak suretiyle dosyayı resen ve doğrudan</w:t>
            </w:r>
            <w:r w:rsidR="00A87D2A" w:rsidRPr="00A23740">
              <w:rPr>
                <w:rFonts w:eastAsia="Times New Roman"/>
                <w:color w:val="000000"/>
                <w:szCs w:val="24"/>
                <w:lang w:eastAsia="tr-TR"/>
              </w:rPr>
              <w:t>,</w:t>
            </w:r>
            <w:r w:rsidRPr="00A23740">
              <w:rPr>
                <w:rFonts w:eastAsia="Times New Roman"/>
                <w:color w:val="000000"/>
                <w:szCs w:val="24"/>
                <w:lang w:eastAsia="tr-TR"/>
              </w:rPr>
              <w:t xml:space="preserve"> yetkili icra hukuk mahkemesine </w:t>
            </w:r>
            <w:r w:rsidR="00A87D2A" w:rsidRPr="00A23740">
              <w:rPr>
                <w:rFonts w:eastAsia="Times New Roman"/>
                <w:color w:val="000000"/>
                <w:szCs w:val="24"/>
                <w:lang w:eastAsia="tr-TR"/>
              </w:rPr>
              <w:t xml:space="preserve">göndermesi </w:t>
            </w:r>
            <w:r w:rsidRPr="00A23740">
              <w:rPr>
                <w:rFonts w:eastAsia="Times New Roman"/>
                <w:color w:val="000000"/>
                <w:szCs w:val="24"/>
                <w:lang w:eastAsia="tr-TR"/>
              </w:rPr>
              <w:t>düzenlenmektedir. Bu fıkra hükmüne göre mahkeme, her ne kadar kendisinin görevsiz olduğuna karar vermiş olsa da dosyayı “yetkili” icra hukuk mahkemesine gönderir. Bir başka deyişle, bu hükümde görevsizliğe ilişkin şik</w:t>
            </w:r>
            <w:r w:rsidR="00407C95" w:rsidRPr="00A23740">
              <w:rPr>
                <w:rFonts w:eastAsia="Times New Roman"/>
                <w:color w:val="000000"/>
                <w:szCs w:val="24"/>
                <w:lang w:eastAsia="tr-TR"/>
              </w:rPr>
              <w:t>â</w:t>
            </w:r>
            <w:r w:rsidRPr="00A23740">
              <w:rPr>
                <w:rFonts w:eastAsia="Times New Roman"/>
                <w:color w:val="000000"/>
                <w:szCs w:val="24"/>
                <w:lang w:eastAsia="tr-TR"/>
              </w:rPr>
              <w:t>yet kurumu düzenleniyor olsa da “görevli” ibaresi yerine “yetkili” ibaresi bilinçli olarak tercih edilmektedir. Zira, kıymet takdirine ilişkin şik</w:t>
            </w:r>
            <w:r w:rsidR="00407C95" w:rsidRPr="00A23740">
              <w:rPr>
                <w:rFonts w:eastAsia="Times New Roman"/>
                <w:color w:val="000000"/>
                <w:szCs w:val="24"/>
                <w:lang w:eastAsia="tr-TR"/>
              </w:rPr>
              <w:t>â</w:t>
            </w:r>
            <w:r w:rsidRPr="00A23740">
              <w:rPr>
                <w:rFonts w:eastAsia="Times New Roman"/>
                <w:color w:val="000000"/>
                <w:szCs w:val="24"/>
                <w:lang w:eastAsia="tr-TR"/>
              </w:rPr>
              <w:t>yetin görevsiz ve yetkisiz mahkemeye yapılması ve mahkemenin de kendisini hem görevsiz hem de yetkisiz kabul etmesi h</w:t>
            </w:r>
            <w:r w:rsidR="001D7D44" w:rsidRPr="00A23740">
              <w:rPr>
                <w:rFonts w:eastAsia="Times New Roman"/>
                <w:color w:val="000000"/>
                <w:szCs w:val="24"/>
                <w:lang w:eastAsia="tr-TR"/>
              </w:rPr>
              <w:t>â</w:t>
            </w:r>
            <w:r w:rsidRPr="00A23740">
              <w:rPr>
                <w:rFonts w:eastAsia="Times New Roman"/>
                <w:color w:val="000000"/>
                <w:szCs w:val="24"/>
                <w:lang w:eastAsia="tr-TR"/>
              </w:rPr>
              <w:t>linde, dosyayı üçüncü ve dördüncü fıkralarda belirtilen hükümlere uygun bir şekilde yetkili ve görevli mahkemeye göndermesi gerekir. Böylelikle hem yetki hem de görev hususlarını bir arada içeren şik</w:t>
            </w:r>
            <w:r w:rsidR="00407C95" w:rsidRPr="00A23740">
              <w:rPr>
                <w:rFonts w:eastAsia="Times New Roman"/>
                <w:color w:val="000000"/>
                <w:szCs w:val="24"/>
                <w:lang w:eastAsia="tr-TR"/>
              </w:rPr>
              <w:t>â</w:t>
            </w:r>
            <w:r w:rsidRPr="00A23740">
              <w:rPr>
                <w:rFonts w:eastAsia="Times New Roman"/>
                <w:color w:val="000000"/>
                <w:szCs w:val="24"/>
                <w:lang w:eastAsia="tr-TR"/>
              </w:rPr>
              <w:t>yetin, birden fazla mahkemece incelenmesiyle oluşabilecek gecikmenin önüne geçilmesi amaçlanmaktadır.</w:t>
            </w:r>
          </w:p>
          <w:p w:rsidR="00CD42DC" w:rsidRPr="00A23740" w:rsidRDefault="00CD42DC" w:rsidP="009431FF">
            <w:pPr>
              <w:ind w:firstLine="709"/>
              <w:rPr>
                <w:rFonts w:eastAsia="Times New Roman"/>
                <w:color w:val="000000"/>
                <w:szCs w:val="24"/>
                <w:lang w:eastAsia="tr-TR"/>
              </w:rPr>
            </w:pPr>
            <w:r w:rsidRPr="00A23740">
              <w:rPr>
                <w:rFonts w:eastAsia="Times New Roman"/>
                <w:color w:val="000000"/>
                <w:szCs w:val="24"/>
                <w:lang w:eastAsia="tr-TR"/>
              </w:rPr>
              <w:t>Beşinci fıkraya göre, üçüncü ve dördüncü fıkralar uyarınca verilen görevsizlik ve yetkisizlik kararları kesin olup, diğer mahkemeyi bağlar.</w:t>
            </w:r>
          </w:p>
          <w:p w:rsidR="00B62391" w:rsidRPr="00A23740" w:rsidRDefault="00B62391" w:rsidP="009431FF">
            <w:pPr>
              <w:tabs>
                <w:tab w:val="left" w:pos="567"/>
              </w:tabs>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autoSpaceDE w:val="0"/>
              <w:autoSpaceDN w:val="0"/>
              <w:adjustRightInd w:val="0"/>
              <w:rPr>
                <w:rFonts w:eastAsia="Times New Roman"/>
                <w:color w:val="000000"/>
                <w:szCs w:val="24"/>
                <w:lang w:eastAsia="tr-TR"/>
              </w:rPr>
            </w:pPr>
            <w:r w:rsidRPr="00A23740">
              <w:rPr>
                <w:rStyle w:val="KIRMIZIChar"/>
                <w:rFonts w:eastAsia="Calibri"/>
              </w:rPr>
              <w:t>Kıymet takdirine ilişkin</w:t>
            </w:r>
            <w:r w:rsidRPr="00A23740">
              <w:rPr>
                <w:rFonts w:eastAsia="Times New Roman"/>
                <w:i/>
                <w:iCs/>
                <w:color w:val="000000"/>
                <w:szCs w:val="24"/>
                <w:lang w:eastAsia="tr-TR"/>
              </w:rPr>
              <w:t xml:space="preserve"> şikâyet</w:t>
            </w:r>
            <w:r w:rsidRPr="00A23740">
              <w:rPr>
                <w:rFonts w:eastAsia="Times New Roman"/>
                <w:b/>
                <w:strike/>
                <w:color w:val="FF0000"/>
                <w:szCs w:val="24"/>
                <w:lang w:eastAsia="tr-TR"/>
              </w:rPr>
              <w:t>:</w:t>
            </w:r>
            <w:r w:rsidRPr="00A23740">
              <w:rPr>
                <w:rFonts w:eastAsia="Times New Roman"/>
                <w:i/>
                <w:iCs/>
                <w:color w:val="000000"/>
                <w:szCs w:val="24"/>
                <w:lang w:eastAsia="tr-TR"/>
              </w:rPr>
              <w:t xml:space="preserve"> </w:t>
            </w:r>
          </w:p>
          <w:p w:rsidR="00AA5C8C" w:rsidRPr="00A23740" w:rsidRDefault="00AA5C8C" w:rsidP="009431FF">
            <w:pPr>
              <w:pStyle w:val="KIRMIZI"/>
              <w:rPr>
                <w:lang w:val="tr-TR"/>
              </w:rPr>
            </w:pPr>
            <w:r w:rsidRPr="00A23740">
              <w:rPr>
                <w:lang w:val="tr-TR"/>
              </w:rPr>
              <w:t xml:space="preserve">Madde 128/a- </w:t>
            </w:r>
          </w:p>
          <w:p w:rsidR="00AA5C8C" w:rsidRPr="00A23740" w:rsidRDefault="00AA5C8C" w:rsidP="009431FF">
            <w:pPr>
              <w:pStyle w:val="KIRMIZI"/>
              <w:rPr>
                <w:strike w:val="0"/>
                <w:color w:val="000000"/>
                <w:lang w:eastAsia="tr-TR"/>
              </w:rPr>
            </w:pPr>
            <w:r w:rsidRPr="00A23740">
              <w:rPr>
                <w:strike w:val="0"/>
                <w:lang w:val="tr-TR"/>
              </w:rPr>
              <w:t>…</w:t>
            </w:r>
          </w:p>
          <w:p w:rsidR="00AA5C8C" w:rsidRPr="00A23740" w:rsidRDefault="00AA5C8C" w:rsidP="009431FF">
            <w:pPr>
              <w:autoSpaceDE w:val="0"/>
              <w:autoSpaceDN w:val="0"/>
              <w:adjustRightInd w:val="0"/>
              <w:rPr>
                <w:rFonts w:eastAsia="Times New Roman"/>
                <w:color w:val="000000"/>
                <w:szCs w:val="24"/>
                <w:lang w:eastAsia="tr-TR"/>
              </w:rPr>
            </w:pPr>
            <w:r w:rsidRPr="00A23740">
              <w:rPr>
                <w:rFonts w:eastAsia="Times New Roman"/>
                <w:b/>
                <w:strike/>
                <w:color w:val="FF0000"/>
                <w:szCs w:val="24"/>
                <w:lang w:eastAsia="tr-TR"/>
              </w:rPr>
              <w:t>(2) (Değişik birinci cümle: 12/2/2004-5092/2 md.) Kesinleşen</w:t>
            </w:r>
            <w:r w:rsidRPr="00A23740">
              <w:t xml:space="preserve"> kıymet takdirinin yapıldığı tarihten itibaren</w:t>
            </w:r>
            <w:r w:rsidRPr="00A23740">
              <w:rPr>
                <w:rFonts w:eastAsia="Times New Roman"/>
                <w:b/>
                <w:color w:val="FF0000"/>
                <w:szCs w:val="24"/>
                <w:lang w:eastAsia="tr-TR"/>
              </w:rPr>
              <w:t xml:space="preserve"> </w:t>
            </w:r>
            <w:r w:rsidRPr="00A23740">
              <w:rPr>
                <w:rFonts w:eastAsia="Times New Roman"/>
                <w:b/>
                <w:strike/>
                <w:color w:val="FF0000"/>
                <w:szCs w:val="24"/>
                <w:lang w:eastAsia="tr-TR"/>
              </w:rPr>
              <w:t>iki</w:t>
            </w:r>
            <w:r w:rsidRPr="00A23740">
              <w:rPr>
                <w:rFonts w:eastAsia="Times New Roman"/>
                <w:b/>
                <w:color w:val="FF0000"/>
                <w:szCs w:val="24"/>
                <w:lang w:eastAsia="tr-TR"/>
              </w:rPr>
              <w:t xml:space="preserve"> </w:t>
            </w:r>
            <w:r w:rsidRPr="00A23740">
              <w:t>yıl geçmedikçe yeniden kıymet takdiri istenemez.</w:t>
            </w:r>
            <w:r w:rsidRPr="00A23740">
              <w:rPr>
                <w:rFonts w:eastAsia="Times New Roman"/>
                <w:b/>
                <w:color w:val="FF0000"/>
                <w:szCs w:val="24"/>
                <w:lang w:eastAsia="tr-TR"/>
              </w:rPr>
              <w:t xml:space="preserve"> </w:t>
            </w:r>
            <w:r w:rsidRPr="00A23740">
              <w:t>Ancak, doğal afetler ve imar durumundaki çok önemli değişiklikler meydana getiren benzer hallerde yeniden kıymet takdiri istenebilir.</w:t>
            </w:r>
          </w:p>
          <w:p w:rsidR="00AA5C8C" w:rsidRPr="00A23740" w:rsidRDefault="00AA5C8C" w:rsidP="009431FF">
            <w:pPr>
              <w:autoSpaceDE w:val="0"/>
              <w:autoSpaceDN w:val="0"/>
              <w:adjustRightInd w:val="0"/>
              <w:rPr>
                <w:rFonts w:eastAsia="Times New Roman"/>
                <w:i/>
                <w:iCs/>
                <w:color w:val="000000"/>
                <w:szCs w:val="24"/>
                <w:lang w:eastAsia="tr-TR"/>
              </w:rPr>
            </w:pPr>
          </w:p>
        </w:tc>
        <w:tc>
          <w:tcPr>
            <w:tcW w:w="2500" w:type="pct"/>
          </w:tcPr>
          <w:p w:rsidR="00AA5C8C" w:rsidRPr="00A23740" w:rsidRDefault="00AA5C8C" w:rsidP="009431FF">
            <w:pPr>
              <w:pStyle w:val="Mavi"/>
            </w:pPr>
            <w:r w:rsidRPr="00A23740">
              <w:t>Yeni kıymet takdiri</w:t>
            </w:r>
          </w:p>
          <w:p w:rsidR="002B096C" w:rsidRPr="00A23740" w:rsidRDefault="00AA5C8C" w:rsidP="009431FF">
            <w:pPr>
              <w:tabs>
                <w:tab w:val="left" w:pos="567"/>
              </w:tabs>
            </w:pPr>
            <w:r w:rsidRPr="00A23740">
              <w:rPr>
                <w:rStyle w:val="MAVChar"/>
                <w:rFonts w:eastAsia="Calibri"/>
                <w:u w:val="none"/>
              </w:rPr>
              <w:t>MADDE 17</w:t>
            </w:r>
            <w:r w:rsidR="00742A8F" w:rsidRPr="00A23740">
              <w:rPr>
                <w:rStyle w:val="MAVChar"/>
                <w:rFonts w:eastAsia="Calibri"/>
                <w:u w:val="none"/>
              </w:rPr>
              <w:t>9</w:t>
            </w:r>
            <w:r w:rsidRPr="00A23740">
              <w:rPr>
                <w:rStyle w:val="MaviChar"/>
              </w:rPr>
              <w:t>- (1)</w:t>
            </w:r>
            <w:r w:rsidR="002B096C" w:rsidRPr="00A23740">
              <w:rPr>
                <w:rStyle w:val="MaviChar"/>
                <w:lang w:val="tr-TR"/>
              </w:rPr>
              <w:t xml:space="preserve"> İ</w:t>
            </w:r>
            <w:r w:rsidR="002B096C" w:rsidRPr="00A23740">
              <w:rPr>
                <w:rStyle w:val="MaviChar"/>
              </w:rPr>
              <w:t xml:space="preserve">cra </w:t>
            </w:r>
            <w:r w:rsidRPr="00A23740">
              <w:rPr>
                <w:rStyle w:val="MaviChar"/>
              </w:rPr>
              <w:t>ve iflas</w:t>
            </w:r>
            <w:r w:rsidRPr="00A23740">
              <w:rPr>
                <w:rStyle w:val="MaviChar"/>
                <w:lang w:val="tr-TR"/>
              </w:rPr>
              <w:t xml:space="preserve"> </w:t>
            </w:r>
            <w:r w:rsidRPr="00A23740">
              <w:rPr>
                <w:rStyle w:val="MaviChar"/>
              </w:rPr>
              <w:t xml:space="preserve">dairesince yapılan </w:t>
            </w:r>
            <w:r w:rsidR="002B096C" w:rsidRPr="00A23740">
              <w:rPr>
                <w:rStyle w:val="MaviChar"/>
                <w:lang w:val="tr-TR"/>
              </w:rPr>
              <w:t>veya</w:t>
            </w:r>
            <w:r w:rsidRPr="00A23740">
              <w:rPr>
                <w:rStyle w:val="MaviChar"/>
              </w:rPr>
              <w:t xml:space="preserve"> yaptırılan kıymet takdirine karşı şik</w:t>
            </w:r>
            <w:r w:rsidR="00407C95" w:rsidRPr="00A23740">
              <w:rPr>
                <w:rStyle w:val="MaviChar"/>
                <w:lang w:val="tr-TR"/>
              </w:rPr>
              <w:t>â</w:t>
            </w:r>
            <w:r w:rsidRPr="00A23740">
              <w:rPr>
                <w:rStyle w:val="MaviChar"/>
              </w:rPr>
              <w:t>yet yoluna başvurulmadığı h</w:t>
            </w:r>
            <w:r w:rsidR="001D7D44" w:rsidRPr="00A23740">
              <w:rPr>
                <w:rStyle w:val="MaviChar"/>
                <w:lang w:val="tr-TR"/>
              </w:rPr>
              <w:t>â</w:t>
            </w:r>
            <w:r w:rsidRPr="00A23740">
              <w:rPr>
                <w:rStyle w:val="MaviChar"/>
              </w:rPr>
              <w:t xml:space="preserve">llerde, bu </w:t>
            </w:r>
            <w:r w:rsidRPr="00A23740">
              <w:t>kıymet takdirinin yapıldığı</w:t>
            </w:r>
            <w:r w:rsidRPr="00A23740">
              <w:rPr>
                <w:rStyle w:val="MaviChar"/>
              </w:rPr>
              <w:t xml:space="preserve"> veya raporun verildiği tarihten; şik</w:t>
            </w:r>
            <w:r w:rsidR="00407C95" w:rsidRPr="00A23740">
              <w:rPr>
                <w:rStyle w:val="MaviChar"/>
                <w:lang w:val="tr-TR"/>
              </w:rPr>
              <w:t>â</w:t>
            </w:r>
            <w:r w:rsidRPr="00A23740">
              <w:rPr>
                <w:rStyle w:val="MaviChar"/>
              </w:rPr>
              <w:t>yet yoluna başvurulduğu ve icra hukuk mahkemesince şik</w:t>
            </w:r>
            <w:r w:rsidR="00407C95" w:rsidRPr="00A23740">
              <w:rPr>
                <w:rStyle w:val="MaviChar"/>
                <w:lang w:val="tr-TR"/>
              </w:rPr>
              <w:t>â</w:t>
            </w:r>
            <w:r w:rsidRPr="00A23740">
              <w:rPr>
                <w:rStyle w:val="MaviChar"/>
              </w:rPr>
              <w:t>yetin kabul edildiği durumlarda ise</w:t>
            </w:r>
            <w:r w:rsidR="00742A8F" w:rsidRPr="007018A7">
              <w:rPr>
                <w:rStyle w:val="Balk1Char"/>
                <w:rFonts w:eastAsia="ヒラギノ明朝 Pro W3"/>
              </w:rPr>
              <w:t>,</w:t>
            </w:r>
            <w:r w:rsidRPr="00A23740">
              <w:rPr>
                <w:rStyle w:val="MaviChar"/>
              </w:rPr>
              <w:t xml:space="preserve"> icra hukuk mahkemesinin karar verdiği </w:t>
            </w:r>
            <w:r w:rsidRPr="00A23740">
              <w:t>tarihten itibaren</w:t>
            </w:r>
            <w:r w:rsidRPr="00A23740">
              <w:rPr>
                <w:rStyle w:val="MaviChar"/>
              </w:rPr>
              <w:t xml:space="preserve"> bir </w:t>
            </w:r>
            <w:r w:rsidRPr="00A23740">
              <w:t>yıl geçmedikçe yeniden kıymet takdiri</w:t>
            </w:r>
            <w:r w:rsidRPr="00A23740">
              <w:rPr>
                <w:rStyle w:val="MaviChar"/>
              </w:rPr>
              <w:t xml:space="preserve"> </w:t>
            </w:r>
            <w:r w:rsidR="00742A8F" w:rsidRPr="00A23740">
              <w:t>istenemez.</w:t>
            </w:r>
          </w:p>
          <w:p w:rsidR="002B096C" w:rsidRPr="00A23740" w:rsidRDefault="002B096C" w:rsidP="009431FF">
            <w:pPr>
              <w:tabs>
                <w:tab w:val="left" w:pos="567"/>
              </w:tabs>
            </w:pPr>
          </w:p>
          <w:p w:rsidR="002B096C" w:rsidRPr="00A23740" w:rsidRDefault="002B096C" w:rsidP="009431FF">
            <w:pPr>
              <w:tabs>
                <w:tab w:val="left" w:pos="567"/>
              </w:tabs>
            </w:pPr>
            <w:r w:rsidRPr="00A23740">
              <w:rPr>
                <w:rStyle w:val="MaviChar"/>
              </w:rPr>
              <w:t>(2)</w:t>
            </w:r>
            <w:r w:rsidRPr="00A23740">
              <w:t xml:space="preserve"> Doğal afetler, imar </w:t>
            </w:r>
            <w:r w:rsidR="00677F69" w:rsidRPr="007018A7">
              <w:rPr>
                <w:rStyle w:val="Balk1Char"/>
                <w:rFonts w:eastAsia="ヒラギノ明朝 Pro W3"/>
              </w:rPr>
              <w:t>durumundaki</w:t>
            </w:r>
            <w:r w:rsidR="00677F69" w:rsidRPr="007018A7">
              <w:rPr>
                <w:rStyle w:val="Balk1Char"/>
                <w:rFonts w:eastAsia="Calibri"/>
              </w:rPr>
              <w:t xml:space="preserve"> </w:t>
            </w:r>
            <w:r w:rsidR="00677F69" w:rsidRPr="007018A7">
              <w:rPr>
                <w:rStyle w:val="Balk1Char"/>
                <w:rFonts w:eastAsia="ヒラギノ明朝 Pro W3"/>
              </w:rPr>
              <w:t>değişiklikler</w:t>
            </w:r>
            <w:r w:rsidRPr="00A23740">
              <w:t xml:space="preserve"> </w:t>
            </w:r>
            <w:r w:rsidRPr="00A23740">
              <w:rPr>
                <w:rStyle w:val="MaviChar"/>
              </w:rPr>
              <w:t>veya ekonomik</w:t>
            </w:r>
            <w:r w:rsidR="00677F69" w:rsidRPr="00A23740">
              <w:rPr>
                <w:rStyle w:val="MaviChar"/>
                <w:lang w:val="tr-TR"/>
              </w:rPr>
              <w:t xml:space="preserve"> </w:t>
            </w:r>
            <w:r w:rsidR="00677F69" w:rsidRPr="007018A7">
              <w:rPr>
                <w:rStyle w:val="Balk1Char"/>
                <w:rFonts w:eastAsia="ヒラギノ明朝 Pro W3"/>
              </w:rPr>
              <w:t>kriz h</w:t>
            </w:r>
            <w:r w:rsidR="001D7D44" w:rsidRPr="007018A7">
              <w:rPr>
                <w:rStyle w:val="Balk1Char"/>
                <w:rFonts w:eastAsia="ヒラギノ明朝 Pro W3"/>
              </w:rPr>
              <w:t>â</w:t>
            </w:r>
            <w:r w:rsidR="00677F69" w:rsidRPr="007018A7">
              <w:rPr>
                <w:rStyle w:val="Balk1Char"/>
                <w:rFonts w:eastAsia="ヒラギノ明朝 Pro W3"/>
              </w:rPr>
              <w:t>llerinde ya da mevcut kıymet takdirlerinde önemli değişiklikler meydana getiren benzer h</w:t>
            </w:r>
            <w:r w:rsidR="001D7D44" w:rsidRPr="007018A7">
              <w:rPr>
                <w:rStyle w:val="Balk1Char"/>
                <w:rFonts w:eastAsia="ヒラギノ明朝 Pro W3"/>
              </w:rPr>
              <w:t>â</w:t>
            </w:r>
            <w:r w:rsidR="00677F69" w:rsidRPr="007018A7">
              <w:rPr>
                <w:rStyle w:val="Balk1Char"/>
                <w:rFonts w:eastAsia="ヒラギノ明朝 Pro W3"/>
              </w:rPr>
              <w:t>llerde,</w:t>
            </w:r>
            <w:r w:rsidRPr="00A23740">
              <w:rPr>
                <w:rStyle w:val="KIRMIZIChar"/>
                <w:rFonts w:eastAsia="Calibri"/>
                <w:strike w:val="0"/>
              </w:rPr>
              <w:t xml:space="preserve"> </w:t>
            </w:r>
            <w:r w:rsidRPr="00A23740">
              <w:rPr>
                <w:rStyle w:val="MaviChar"/>
              </w:rPr>
              <w:t>bir yıllık süre geçmese dahi</w:t>
            </w:r>
            <w:r w:rsidRPr="00A23740">
              <w:t xml:space="preserve"> yeniden kıymet takdiri istenebilir.</w:t>
            </w:r>
          </w:p>
          <w:p w:rsidR="00AA5C8C" w:rsidRPr="00A23740" w:rsidRDefault="00AA5C8C" w:rsidP="009431FF">
            <w:pPr>
              <w:pStyle w:val="MAV"/>
              <w:rPr>
                <w:u w:val="none"/>
                <w:lang w:val="tr-TR" w:eastAsia="tr-TR"/>
              </w:rPr>
            </w:pPr>
          </w:p>
          <w:p w:rsidR="00AA5C8C" w:rsidRPr="00A23740" w:rsidRDefault="002B096C" w:rsidP="009431FF">
            <w:pPr>
              <w:pStyle w:val="MAV"/>
              <w:rPr>
                <w:u w:val="none"/>
                <w:lang w:val="tr-TR" w:eastAsia="tr-TR"/>
              </w:rPr>
            </w:pPr>
            <w:r w:rsidRPr="00A23740">
              <w:rPr>
                <w:u w:val="none"/>
                <w:lang w:val="tr-TR" w:eastAsia="tr-TR"/>
              </w:rPr>
              <w:t>(3</w:t>
            </w:r>
            <w:r w:rsidR="00AA5C8C" w:rsidRPr="00A23740">
              <w:rPr>
                <w:u w:val="none"/>
                <w:lang w:val="tr-TR" w:eastAsia="tr-TR"/>
              </w:rPr>
              <w:t>) Aynı takipte, haczin kalkmasından sonra, yeniden haciz konulması h</w:t>
            </w:r>
            <w:r w:rsidR="001D7D44" w:rsidRPr="00A23740">
              <w:rPr>
                <w:u w:val="none"/>
                <w:lang w:val="tr-TR" w:eastAsia="tr-TR"/>
              </w:rPr>
              <w:t>â</w:t>
            </w:r>
            <w:r w:rsidR="00AA5C8C" w:rsidRPr="00A23740">
              <w:rPr>
                <w:u w:val="none"/>
                <w:lang w:val="tr-TR" w:eastAsia="tr-TR"/>
              </w:rPr>
              <w:t xml:space="preserve">linde önceki kıymet takdirinin üzerinden bir yıl geçmedikçe </w:t>
            </w:r>
            <w:r w:rsidR="00AA5C8C" w:rsidRPr="00A23740">
              <w:rPr>
                <w:rStyle w:val="MaviChar"/>
                <w:rFonts w:eastAsia="ヒラギノ明朝 Pro W3"/>
                <w:b/>
                <w:u w:val="none"/>
              </w:rPr>
              <w:t>tekrar</w:t>
            </w:r>
            <w:r w:rsidR="00AA5C8C" w:rsidRPr="00A23740">
              <w:rPr>
                <w:u w:val="none"/>
                <w:lang w:val="tr-TR" w:eastAsia="tr-TR"/>
              </w:rPr>
              <w:t xml:space="preserve"> kıymet takdiri istenemez.</w:t>
            </w:r>
          </w:p>
          <w:p w:rsidR="00AA5C8C" w:rsidRPr="00A23740" w:rsidRDefault="00AA5C8C" w:rsidP="009431FF">
            <w:pPr>
              <w:pStyle w:val="KIRMIZI"/>
              <w:rPr>
                <w:lang w:eastAsia="tr-TR"/>
              </w:rPr>
            </w:pPr>
          </w:p>
        </w:tc>
      </w:tr>
      <w:tr w:rsidR="00F07946" w:rsidRPr="00A23740" w:rsidTr="009431FF">
        <w:tblPrEx>
          <w:tblLook w:val="01E0" w:firstRow="1" w:lastRow="1" w:firstColumn="1" w:lastColumn="1" w:noHBand="0" w:noVBand="0"/>
        </w:tblPrEx>
        <w:tc>
          <w:tcPr>
            <w:tcW w:w="5000" w:type="pct"/>
            <w:gridSpan w:val="2"/>
            <w:shd w:val="clear" w:color="auto" w:fill="DEEAF6"/>
          </w:tcPr>
          <w:p w:rsidR="00F07946" w:rsidRPr="00A23740" w:rsidRDefault="00F07946" w:rsidP="009431FF">
            <w:pPr>
              <w:pStyle w:val="Mavi"/>
              <w:jc w:val="center"/>
              <w:rPr>
                <w:lang w:val="tr-TR"/>
              </w:rPr>
            </w:pPr>
          </w:p>
          <w:p w:rsidR="0077215E" w:rsidRPr="00A23740" w:rsidRDefault="0077215E" w:rsidP="009431FF">
            <w:pPr>
              <w:ind w:firstLine="709"/>
              <w:rPr>
                <w:rFonts w:eastAsia="Times New Roman"/>
                <w:color w:val="000000"/>
                <w:szCs w:val="24"/>
                <w:lang w:eastAsia="tr-TR"/>
              </w:rPr>
            </w:pPr>
            <w:r w:rsidRPr="00A23740">
              <w:rPr>
                <w:rFonts w:eastAsia="Times New Roman"/>
                <w:b/>
                <w:color w:val="000000"/>
                <w:szCs w:val="24"/>
                <w:lang w:eastAsia="tr-TR"/>
              </w:rPr>
              <w:t>MAD</w:t>
            </w:r>
            <w:r w:rsidR="00742A8F" w:rsidRPr="00A23740">
              <w:rPr>
                <w:rFonts w:eastAsia="Times New Roman"/>
                <w:b/>
                <w:color w:val="000000"/>
                <w:szCs w:val="24"/>
                <w:lang w:eastAsia="tr-TR"/>
              </w:rPr>
              <w:t>DE 179</w:t>
            </w:r>
            <w:r w:rsidRPr="00A23740">
              <w:rPr>
                <w:rFonts w:eastAsia="Times New Roman"/>
                <w:color w:val="000000"/>
                <w:szCs w:val="24"/>
                <w:lang w:eastAsia="tr-TR"/>
              </w:rPr>
              <w:t>- Maddeyle, yeni kıymet takdiri düzenlenmektedir. Hüküm, 2004 sayılı Kanunun 128/a maddesinin üçüncü fıkrasına karşılık gelmektedir.</w:t>
            </w:r>
          </w:p>
          <w:p w:rsidR="0058002D" w:rsidRPr="00A23740" w:rsidRDefault="0058002D" w:rsidP="009431FF">
            <w:pPr>
              <w:ind w:firstLine="709"/>
              <w:rPr>
                <w:rFonts w:eastAsia="Times New Roman"/>
                <w:b/>
                <w:color w:val="000000"/>
                <w:szCs w:val="24"/>
                <w:lang w:eastAsia="tr-TR"/>
              </w:rPr>
            </w:pPr>
            <w:r w:rsidRPr="00A23740">
              <w:t>Birinci fıkrayla icra ve iflas dairelerince yapılan ve şik</w:t>
            </w:r>
            <w:r w:rsidR="00407C95" w:rsidRPr="00A23740">
              <w:t>â</w:t>
            </w:r>
            <w:r w:rsidRPr="00A23740">
              <w:t>yet yoluna başvurulmadan kesinleşen kıymet takdirleri ile şik</w:t>
            </w:r>
            <w:r w:rsidR="008B7A2D" w:rsidRPr="00A23740">
              <w:t>â</w:t>
            </w:r>
            <w:r w:rsidRPr="00A23740">
              <w:t>yet yoluna başvurularak kesinleşen kıymet takdirlerine ilişkin geçerlilik süresi bir yıl olarak belirlenmiş, doğal afet</w:t>
            </w:r>
            <w:r w:rsidR="00476DF3" w:rsidRPr="00A23740">
              <w:t>ler, imar durumundaki ya da ekon</w:t>
            </w:r>
            <w:r w:rsidRPr="00A23740">
              <w:t xml:space="preserve">omik durumdaki önemli değişikliklerin oluşması hâlinde yeniden kıymet takdiri </w:t>
            </w:r>
            <w:r w:rsidR="00476DF3" w:rsidRPr="00D60C1D">
              <w:rPr>
                <w:rStyle w:val="YELChar"/>
                <w:b w:val="0"/>
                <w:color w:val="000000"/>
              </w:rPr>
              <w:t>istenebileceği</w:t>
            </w:r>
            <w:r w:rsidRPr="00A23740">
              <w:t xml:space="preserve"> düzenlenmiş, ikinci fıkrayla kıymet takdirinin yapılmasına dayanak </w:t>
            </w:r>
            <w:r w:rsidR="00A87D2A" w:rsidRPr="00A23740">
              <w:t xml:space="preserve">haczin </w:t>
            </w:r>
            <w:r w:rsidRPr="00A23740">
              <w:t xml:space="preserve">kalkmış olmasına rağmen yeniden haciz konulmuş olduğu ve bir yıllık kıymet  takdiri süresinin dolmadığı hâllerde eski hacze dayanarak yapılan kıymet takdirinin geçerli </w:t>
            </w:r>
            <w:r w:rsidR="00476DF3" w:rsidRPr="00D60C1D">
              <w:rPr>
                <w:rStyle w:val="YELChar"/>
                <w:b w:val="0"/>
                <w:color w:val="000000"/>
              </w:rPr>
              <w:t>olacağı açıklanmıştır.</w:t>
            </w:r>
          </w:p>
          <w:p w:rsidR="00F13F0A" w:rsidRPr="00A23740" w:rsidRDefault="0077215E" w:rsidP="009431FF">
            <w:pPr>
              <w:ind w:firstLine="709"/>
              <w:rPr>
                <w:rFonts w:eastAsia="Times New Roman"/>
                <w:b/>
                <w:color w:val="000000"/>
                <w:szCs w:val="24"/>
                <w:lang w:eastAsia="tr-TR"/>
              </w:rPr>
            </w:pPr>
            <w:r w:rsidRPr="00A23740">
              <w:rPr>
                <w:rFonts w:eastAsia="Times New Roman"/>
                <w:color w:val="000000"/>
                <w:szCs w:val="24"/>
                <w:lang w:eastAsia="tr-TR"/>
              </w:rPr>
              <w:t xml:space="preserve">İkinci fıkrayla, doğal afetler, imar durumundaki </w:t>
            </w:r>
            <w:r w:rsidR="00F13F0A" w:rsidRPr="00D60C1D">
              <w:rPr>
                <w:rFonts w:eastAsia="Times New Roman"/>
                <w:color w:val="000000"/>
                <w:szCs w:val="24"/>
                <w:lang w:eastAsia="tr-TR"/>
              </w:rPr>
              <w:t>değişiklikler</w:t>
            </w:r>
            <w:r w:rsidR="00F13F0A" w:rsidRPr="00A23740">
              <w:rPr>
                <w:rFonts w:eastAsia="Times New Roman"/>
                <w:color w:val="000000"/>
                <w:szCs w:val="24"/>
                <w:lang w:eastAsia="tr-TR"/>
              </w:rPr>
              <w:t xml:space="preserve"> </w:t>
            </w:r>
            <w:r w:rsidRPr="00A23740">
              <w:rPr>
                <w:rFonts w:eastAsia="Times New Roman"/>
                <w:color w:val="000000"/>
                <w:szCs w:val="24"/>
                <w:lang w:eastAsia="tr-TR"/>
              </w:rPr>
              <w:t xml:space="preserve">veya ekonomik </w:t>
            </w:r>
            <w:r w:rsidR="00F13F0A" w:rsidRPr="00D60C1D">
              <w:rPr>
                <w:rFonts w:eastAsia="Times New Roman"/>
                <w:color w:val="000000"/>
                <w:szCs w:val="24"/>
                <w:lang w:eastAsia="tr-TR"/>
              </w:rPr>
              <w:t>kriz hâllerinde ya da mevcut kıymet takdirlerinde</w:t>
            </w:r>
            <w:r w:rsidR="00F13F0A" w:rsidRPr="00A23740">
              <w:rPr>
                <w:rFonts w:eastAsia="Times New Roman"/>
                <w:color w:val="385623"/>
                <w:szCs w:val="24"/>
                <w:lang w:eastAsia="tr-TR"/>
              </w:rPr>
              <w:t xml:space="preserve"> </w:t>
            </w:r>
            <w:r w:rsidRPr="00A23740">
              <w:rPr>
                <w:rFonts w:eastAsia="Times New Roman"/>
                <w:color w:val="000000"/>
                <w:szCs w:val="24"/>
                <w:lang w:eastAsia="tr-TR"/>
              </w:rPr>
              <w:t>önemli değişiklikler meydana getiren benzer h</w:t>
            </w:r>
            <w:r w:rsidR="001D7D44" w:rsidRPr="00A23740">
              <w:rPr>
                <w:rFonts w:eastAsia="Times New Roman"/>
                <w:color w:val="000000"/>
                <w:szCs w:val="24"/>
                <w:lang w:eastAsia="tr-TR"/>
              </w:rPr>
              <w:t>â</w:t>
            </w:r>
            <w:r w:rsidRPr="00A23740">
              <w:rPr>
                <w:rFonts w:eastAsia="Times New Roman"/>
                <w:color w:val="000000"/>
                <w:szCs w:val="24"/>
                <w:lang w:eastAsia="tr-TR"/>
              </w:rPr>
              <w:t>llerde</w:t>
            </w:r>
            <w:r w:rsidR="00A87D2A" w:rsidRPr="00A23740">
              <w:rPr>
                <w:rFonts w:eastAsia="Times New Roman"/>
                <w:color w:val="000000"/>
                <w:szCs w:val="24"/>
                <w:lang w:eastAsia="tr-TR"/>
              </w:rPr>
              <w:t>,</w:t>
            </w:r>
            <w:r w:rsidRPr="00A23740">
              <w:rPr>
                <w:rFonts w:eastAsia="Times New Roman"/>
                <w:color w:val="000000"/>
                <w:szCs w:val="24"/>
                <w:lang w:eastAsia="tr-TR"/>
              </w:rPr>
              <w:t xml:space="preserve"> bir yıllık süre geçmese dahi yeniden kıymet takdirinin istenebileceği düzenlenmektedir.</w:t>
            </w:r>
            <w:r w:rsidR="0058002D" w:rsidRPr="00A23740">
              <w:rPr>
                <w:rFonts w:eastAsia="Times New Roman"/>
                <w:color w:val="000000"/>
                <w:szCs w:val="24"/>
                <w:lang w:eastAsia="tr-TR"/>
              </w:rPr>
              <w:t xml:space="preserve"> </w:t>
            </w:r>
          </w:p>
          <w:p w:rsidR="00B62391" w:rsidRPr="00A23740" w:rsidRDefault="002B096C" w:rsidP="009431FF">
            <w:pPr>
              <w:ind w:firstLine="709"/>
              <w:rPr>
                <w:rFonts w:eastAsia="Times New Roman"/>
                <w:color w:val="000000"/>
                <w:szCs w:val="24"/>
                <w:lang w:eastAsia="tr-TR"/>
              </w:rPr>
            </w:pPr>
            <w:r w:rsidRPr="00A23740">
              <w:rPr>
                <w:rFonts w:eastAsia="Times New Roman"/>
                <w:color w:val="000000"/>
                <w:szCs w:val="24"/>
                <w:lang w:eastAsia="tr-TR"/>
              </w:rPr>
              <w:t xml:space="preserve">Üçüncü fıkrayla, aynı takiple ilgili olarak, haczin kalkmasından sonra yeniden haciz konulması durumunda önceki kıymet takdirinin üzerinden bir yıl geçmedikçe </w:t>
            </w:r>
            <w:r w:rsidRPr="00A23740">
              <w:rPr>
                <w:rFonts w:eastAsia="Times New Roman"/>
                <w:bCs/>
                <w:color w:val="000000"/>
                <w:lang w:eastAsia="tr-TR"/>
              </w:rPr>
              <w:t>tekrar</w:t>
            </w:r>
            <w:r w:rsidRPr="00A23740">
              <w:rPr>
                <w:rFonts w:eastAsia="Times New Roman"/>
                <w:color w:val="000000"/>
                <w:szCs w:val="24"/>
                <w:lang w:eastAsia="tr-TR"/>
              </w:rPr>
              <w:t xml:space="preserve"> kıymet takdirinin talep edilememesi</w:t>
            </w:r>
            <w:r w:rsidR="00A87D2A" w:rsidRPr="00A23740">
              <w:rPr>
                <w:rFonts w:eastAsia="Times New Roman"/>
                <w:color w:val="000000"/>
                <w:szCs w:val="24"/>
                <w:lang w:eastAsia="tr-TR"/>
              </w:rPr>
              <w:t>hükme bağlanmaktadır</w:t>
            </w:r>
            <w:r w:rsidRPr="00A23740">
              <w:rPr>
                <w:rFonts w:eastAsia="Times New Roman"/>
                <w:color w:val="000000"/>
                <w:szCs w:val="24"/>
                <w:lang w:eastAsia="tr-TR"/>
              </w:rPr>
              <w:t>.</w:t>
            </w:r>
            <w:r w:rsidR="00AB7465" w:rsidRPr="00A23740">
              <w:rPr>
                <w:rFonts w:eastAsia="Times New Roman"/>
                <w:color w:val="000000"/>
                <w:szCs w:val="24"/>
                <w:lang w:eastAsia="tr-TR"/>
              </w:rPr>
              <w:t xml:space="preserve"> Hükümle, yeniden </w:t>
            </w:r>
            <w:r w:rsidR="00A87D2A" w:rsidRPr="00A23740">
              <w:rPr>
                <w:rFonts w:eastAsia="Times New Roman"/>
                <w:color w:val="000000"/>
                <w:szCs w:val="24"/>
                <w:lang w:eastAsia="tr-TR"/>
              </w:rPr>
              <w:t xml:space="preserve">haciz </w:t>
            </w:r>
            <w:r w:rsidR="00AB7465" w:rsidRPr="00A23740">
              <w:rPr>
                <w:rFonts w:eastAsia="Times New Roman"/>
                <w:color w:val="000000"/>
                <w:szCs w:val="24"/>
                <w:lang w:eastAsia="tr-TR"/>
              </w:rPr>
              <w:t>konulması h</w:t>
            </w:r>
            <w:r w:rsidR="008B7A2D" w:rsidRPr="00A23740">
              <w:rPr>
                <w:rFonts w:eastAsia="Times New Roman"/>
                <w:color w:val="000000"/>
                <w:szCs w:val="24"/>
                <w:lang w:eastAsia="tr-TR"/>
              </w:rPr>
              <w:t>â</w:t>
            </w:r>
            <w:r w:rsidR="00AB7465" w:rsidRPr="00A23740">
              <w:rPr>
                <w:rFonts w:eastAsia="Times New Roman"/>
                <w:color w:val="000000"/>
                <w:szCs w:val="24"/>
                <w:lang w:eastAsia="tr-TR"/>
              </w:rPr>
              <w:t>linde kıymet takdir raporunun geçerli olacağı süreyle ilgili olarak oluşabilecek tereddütlerin giderilmesi</w:t>
            </w:r>
            <w:r w:rsidR="00476DF3" w:rsidRPr="00D60C1D">
              <w:rPr>
                <w:rStyle w:val="YELChar"/>
                <w:b w:val="0"/>
                <w:color w:val="000000"/>
              </w:rPr>
              <w:t>,</w:t>
            </w:r>
            <w:r w:rsidR="00476DF3" w:rsidRPr="00D60C1D">
              <w:rPr>
                <w:rFonts w:eastAsia="Times New Roman"/>
                <w:b/>
                <w:color w:val="000000"/>
                <w:szCs w:val="24"/>
                <w:lang w:eastAsia="tr-TR"/>
              </w:rPr>
              <w:t xml:space="preserve"> </w:t>
            </w:r>
            <w:r w:rsidR="00476DF3" w:rsidRPr="00D60C1D">
              <w:rPr>
                <w:rStyle w:val="YELChar"/>
                <w:b w:val="0"/>
                <w:color w:val="000000"/>
              </w:rPr>
              <w:t>ayrıca takibin daha hızlı yürümesi ve gereksiz masraflara yol açılmaması</w:t>
            </w:r>
            <w:r w:rsidR="00AB7465" w:rsidRPr="00A23740">
              <w:rPr>
                <w:rFonts w:eastAsia="Times New Roman"/>
                <w:color w:val="000000"/>
                <w:szCs w:val="24"/>
                <w:lang w:eastAsia="tr-TR"/>
              </w:rPr>
              <w:t xml:space="preserve"> amaçlanmaktadır.</w:t>
            </w:r>
          </w:p>
          <w:p w:rsidR="00F07946" w:rsidRPr="00A23740" w:rsidRDefault="00F07946" w:rsidP="009431FF">
            <w:pPr>
              <w:tabs>
                <w:tab w:val="left" w:pos="567"/>
              </w:tabs>
              <w:rPr>
                <w:b/>
                <w:color w:val="FF0000"/>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KIRMIZI"/>
              <w:rPr>
                <w:lang w:val="tr-TR"/>
              </w:rPr>
            </w:pPr>
            <w:r w:rsidRPr="00A23740">
              <w:rPr>
                <w:lang w:val="tr-TR"/>
              </w:rPr>
              <w:t>Mahcuz malları muhafaza tedbirleri :</w:t>
            </w:r>
          </w:p>
          <w:p w:rsidR="00AA5C8C" w:rsidRPr="00A23740" w:rsidRDefault="00AA5C8C" w:rsidP="009431FF">
            <w:pPr>
              <w:pStyle w:val="KIRMIZI"/>
              <w:rPr>
                <w:lang w:val="tr-TR"/>
              </w:rPr>
            </w:pPr>
            <w:r w:rsidRPr="00A23740">
              <w:rPr>
                <w:lang w:val="tr-TR"/>
              </w:rPr>
              <w:t>1 – Taşınırlar  hakkında:</w:t>
            </w:r>
          </w:p>
          <w:p w:rsidR="00AA5C8C" w:rsidRPr="00A23740" w:rsidRDefault="00AA5C8C" w:rsidP="009431FF">
            <w:pPr>
              <w:pStyle w:val="KIRMIZI"/>
              <w:rPr>
                <w:lang w:val="tr-TR"/>
              </w:rPr>
            </w:pPr>
            <w:r w:rsidRPr="00A23740">
              <w:rPr>
                <w:lang w:val="tr-TR"/>
              </w:rPr>
              <w:t>Madde 88 – (1) (Değişik: 2/7/2012-6352/17 md.)</w:t>
            </w:r>
          </w:p>
          <w:p w:rsidR="00AA5C8C" w:rsidRPr="00A23740" w:rsidRDefault="00AA5C8C" w:rsidP="009431FF">
            <w:pPr>
              <w:pStyle w:val="KIRMIZI"/>
              <w:rPr>
                <w:rFonts w:eastAsia="ヒラギノ明朝 Pro W3"/>
                <w:lang w:val="tr-TR"/>
              </w:rPr>
            </w:pPr>
            <w:r w:rsidRPr="00A23740">
              <w:rPr>
                <w:rFonts w:eastAsia="ヒラギノ明朝 Pro W3"/>
                <w:lang w:val="tr-TR"/>
              </w:rPr>
              <w:t xml:space="preserve">Haczolunan paraları, banknotları, hamiline ait senetleri, poliçeler ve sair cirosu kabil senetler ile altın, gümüş ve diğer kıymetli şeyleri icra dairesi muhafaza eder. </w:t>
            </w:r>
          </w:p>
          <w:p w:rsidR="00A11C92" w:rsidRPr="00A23740" w:rsidRDefault="00A11C92" w:rsidP="009431FF">
            <w:pPr>
              <w:rPr>
                <w:rFonts w:eastAsia="Times New Roman"/>
                <w:szCs w:val="24"/>
                <w:lang w:eastAsia="tr-TR"/>
              </w:rPr>
            </w:pPr>
          </w:p>
          <w:p w:rsidR="00AA5C8C" w:rsidRPr="00A23740" w:rsidRDefault="00AA5C8C" w:rsidP="009431FF">
            <w:r w:rsidRPr="00A23740">
              <w:rPr>
                <w:rFonts w:eastAsia="Times New Roman"/>
                <w:szCs w:val="24"/>
                <w:lang w:eastAsia="tr-TR"/>
              </w:rPr>
              <w:t xml:space="preserve">(2) Diğer taşınır mallar, </w:t>
            </w:r>
            <w:r w:rsidRPr="00A23740">
              <w:rPr>
                <w:rStyle w:val="KIRMIZIChar"/>
                <w:rFonts w:eastAsia="Calibri"/>
              </w:rPr>
              <w:t>masrafı</w:t>
            </w:r>
            <w:r w:rsidRPr="00A23740">
              <w:rPr>
                <w:rFonts w:eastAsia="Times New Roman"/>
                <w:szCs w:val="24"/>
                <w:lang w:eastAsia="tr-TR"/>
              </w:rPr>
              <w:t xml:space="preserve"> peşinen alacaklıdan alınarak muhafaza altına alınır. Alacaklı muvafakat ederse, istenildiği zaman verilmek şartıyla, </w:t>
            </w:r>
            <w:r w:rsidRPr="00A23740">
              <w:rPr>
                <w:rStyle w:val="KIRMIZIChar"/>
                <w:rFonts w:eastAsia="Calibri"/>
              </w:rPr>
              <w:t>muvakkaten</w:t>
            </w:r>
            <w:r w:rsidRPr="00A23740">
              <w:rPr>
                <w:rFonts w:eastAsia="Times New Roman"/>
                <w:szCs w:val="24"/>
                <w:lang w:eastAsia="tr-TR"/>
              </w:rPr>
              <w:t xml:space="preserve"> borçlu yedinde veya üçüncü </w:t>
            </w:r>
            <w:r w:rsidRPr="00A23740">
              <w:rPr>
                <w:rStyle w:val="KIRMIZIChar"/>
                <w:rFonts w:eastAsia="Calibri"/>
              </w:rPr>
              <w:t>şahıs</w:t>
            </w:r>
            <w:r w:rsidRPr="00A23740">
              <w:rPr>
                <w:rFonts w:eastAsia="Times New Roman"/>
                <w:szCs w:val="24"/>
                <w:lang w:eastAsia="tr-TR"/>
              </w:rPr>
              <w:t xml:space="preserve"> nezdinde bırakılabilir. Üçüncü </w:t>
            </w:r>
            <w:r w:rsidRPr="00A23740">
              <w:rPr>
                <w:rStyle w:val="KIRMIZIChar"/>
                <w:rFonts w:eastAsia="Calibri"/>
              </w:rPr>
              <w:t>şahsın</w:t>
            </w:r>
            <w:r w:rsidRPr="00A23740">
              <w:rPr>
                <w:rFonts w:eastAsia="Times New Roman"/>
                <w:szCs w:val="24"/>
                <w:lang w:eastAsia="tr-TR"/>
              </w:rPr>
              <w:t xml:space="preserve"> elinde </w:t>
            </w:r>
            <w:r w:rsidRPr="00A23740">
              <w:rPr>
                <w:rStyle w:val="KIRMIZIChar"/>
                <w:rFonts w:eastAsia="Calibri"/>
              </w:rPr>
              <w:t>bulunan taşınır</w:t>
            </w:r>
            <w:r w:rsidRPr="00A23740">
              <w:rPr>
                <w:rFonts w:eastAsia="Times New Roman"/>
                <w:szCs w:val="24"/>
                <w:lang w:eastAsia="tr-TR"/>
              </w:rPr>
              <w:t xml:space="preserve"> mallar </w:t>
            </w:r>
            <w:r w:rsidRPr="00A23740">
              <w:rPr>
                <w:rStyle w:val="KIRMIZIChar"/>
                <w:rFonts w:eastAsia="Calibri"/>
              </w:rPr>
              <w:t>haczedildiğinde,</w:t>
            </w:r>
            <w:r w:rsidRPr="00A23740">
              <w:t xml:space="preserve"> üçüncü </w:t>
            </w:r>
            <w:r w:rsidRPr="00A23740">
              <w:rPr>
                <w:rStyle w:val="KIRMIZIChar"/>
                <w:rFonts w:eastAsia="Calibri"/>
              </w:rPr>
              <w:t>şahsın kabulü hâlinde üçüncü şahsa yediemin olarak bırakılır.</w:t>
            </w:r>
            <w:r w:rsidRPr="00A23740">
              <w:t xml:space="preserve"> </w:t>
            </w:r>
            <w:r w:rsidRPr="00A23740">
              <w:rPr>
                <w:rStyle w:val="KIRMIZIChar"/>
                <w:rFonts w:eastAsia="Calibri"/>
              </w:rPr>
              <w:t>(Değişik cümle:24/11/2021-7343/7 md.)</w:t>
            </w:r>
            <w:r w:rsidRPr="00A23740">
              <w:rPr>
                <w:rFonts w:eastAsia="Times New Roman"/>
                <w:b/>
                <w:szCs w:val="24"/>
                <w:lang w:eastAsia="tr-TR"/>
              </w:rPr>
              <w:t xml:space="preserve"> </w:t>
            </w:r>
            <w:r w:rsidRPr="00A23740">
              <w:t xml:space="preserve">Haczedilmiş ancak muhafaza altına alınmamış mallar satış talebi üzerine muhafaza altına alınır veya ihale alıcısına teslime hazır hale getirilir, aksi takdirde satış yapılamaz. </w:t>
            </w:r>
            <w:r w:rsidRPr="00A23740">
              <w:rPr>
                <w:rStyle w:val="KIRMIZIChar"/>
                <w:rFonts w:eastAsia="Calibri"/>
              </w:rPr>
              <w:t>(Ek cümle:24/11/2021-7343/7 md.)</w:t>
            </w:r>
            <w:r w:rsidRPr="00A23740">
              <w:t xml:space="preserve"> Sicile kayıtlı motorlu kara araçları bakımından 106 ncı madde hükmü saklıdır.</w:t>
            </w:r>
          </w:p>
          <w:p w:rsidR="00AA5C8C" w:rsidRPr="00A23740" w:rsidRDefault="00AA5C8C" w:rsidP="009431FF">
            <w:pPr>
              <w:tabs>
                <w:tab w:val="left" w:pos="566"/>
              </w:tabs>
              <w:rPr>
                <w:rFonts w:eastAsia="ヒラギノ明朝 Pro W3"/>
                <w:szCs w:val="24"/>
              </w:rPr>
            </w:pPr>
          </w:p>
          <w:p w:rsidR="00AA5C8C" w:rsidRPr="00A23740" w:rsidRDefault="00AA5C8C" w:rsidP="009431FF">
            <w:pPr>
              <w:tabs>
                <w:tab w:val="left" w:pos="566"/>
              </w:tabs>
              <w:rPr>
                <w:rFonts w:eastAsia="ヒラギノ明朝 Pro W3"/>
                <w:szCs w:val="24"/>
              </w:rPr>
            </w:pPr>
          </w:p>
          <w:p w:rsidR="00AA5C8C" w:rsidRPr="00A23740" w:rsidRDefault="00AA5C8C" w:rsidP="009431FF">
            <w:pPr>
              <w:tabs>
                <w:tab w:val="left" w:pos="566"/>
              </w:tabs>
              <w:rPr>
                <w:rFonts w:eastAsia="ヒラギノ明朝 Pro W3"/>
                <w:szCs w:val="24"/>
              </w:rPr>
            </w:pPr>
          </w:p>
          <w:p w:rsidR="00DE1165" w:rsidRDefault="00DE1165" w:rsidP="009431FF">
            <w:pPr>
              <w:tabs>
                <w:tab w:val="left" w:pos="566"/>
              </w:tabs>
              <w:rPr>
                <w:rStyle w:val="KIRMIZIChar"/>
                <w:rFonts w:eastAsia="ヒラギノ明朝 Pro W3"/>
              </w:rPr>
            </w:pPr>
          </w:p>
          <w:p w:rsidR="00594C9D" w:rsidRDefault="00594C9D" w:rsidP="009431FF">
            <w:pPr>
              <w:tabs>
                <w:tab w:val="left" w:pos="566"/>
              </w:tabs>
              <w:rPr>
                <w:rStyle w:val="KIRMIZIChar"/>
                <w:rFonts w:eastAsia="ヒラギノ明朝 Pro W3"/>
              </w:rPr>
            </w:pPr>
          </w:p>
          <w:p w:rsidR="00AA5C8C" w:rsidRPr="00A23740" w:rsidRDefault="00AA5C8C" w:rsidP="009431FF">
            <w:pPr>
              <w:tabs>
                <w:tab w:val="left" w:pos="566"/>
              </w:tabs>
              <w:rPr>
                <w:rFonts w:eastAsia="ヒラギノ明朝 Pro W3"/>
                <w:szCs w:val="24"/>
              </w:rPr>
            </w:pPr>
            <w:r w:rsidRPr="00A23740">
              <w:rPr>
                <w:rStyle w:val="KIRMIZIChar"/>
                <w:rFonts w:eastAsia="ヒラギノ明朝 Pro W3"/>
              </w:rPr>
              <w:t>(3)</w:t>
            </w:r>
            <w:r w:rsidRPr="00A23740">
              <w:rPr>
                <w:rFonts w:eastAsia="ヒラギノ明朝 Pro W3"/>
                <w:szCs w:val="24"/>
              </w:rPr>
              <w:t xml:space="preserve"> Türkiye’nin taraf olduğu uluslararası andlaşma hükümleri saklı kalmak kaydıyla, yabancı devlet başkanı, parlamento başkanı, hükümet başkanı veya hükümet üyelerini taşıyan ulaşım araçları, bu kişiler Türkiye’de bulundukları sürece, muhafaza altına alınamaz ve yediemine bırakılamaz.</w:t>
            </w:r>
          </w:p>
          <w:p w:rsidR="00AA5C8C" w:rsidRPr="00A23740" w:rsidRDefault="00AA5C8C" w:rsidP="009431FF">
            <w:pPr>
              <w:tabs>
                <w:tab w:val="left" w:pos="566"/>
              </w:tabs>
              <w:rPr>
                <w:rFonts w:eastAsia="ヒラギノ明朝 Pro W3"/>
                <w:szCs w:val="24"/>
              </w:rPr>
            </w:pPr>
          </w:p>
          <w:p w:rsidR="00AA5C8C" w:rsidRPr="00A23740" w:rsidRDefault="00AA5C8C" w:rsidP="009431FF">
            <w:pPr>
              <w:tabs>
                <w:tab w:val="left" w:pos="566"/>
              </w:tabs>
              <w:rPr>
                <w:rFonts w:eastAsia="ヒラギノ明朝 Pro W3"/>
                <w:szCs w:val="24"/>
              </w:rPr>
            </w:pPr>
            <w:r w:rsidRPr="00A23740">
              <w:rPr>
                <w:rStyle w:val="KIRMIZIChar"/>
                <w:rFonts w:eastAsia="ヒラギノ明朝 Pro W3"/>
              </w:rPr>
              <w:t>(4)</w:t>
            </w:r>
            <w:r w:rsidRPr="00A23740">
              <w:rPr>
                <w:rFonts w:eastAsia="ヒラギノ明朝 Pro W3"/>
                <w:szCs w:val="24"/>
              </w:rPr>
              <w:t xml:space="preserve"> İcra dairesi üçüncü bir şahsa rehnedilmiş olan malları da muhafaza altına alabilir. Ticari </w:t>
            </w:r>
            <w:r w:rsidRPr="00A23740">
              <w:rPr>
                <w:rFonts w:eastAsia="ヒラギノ明朝 Pro W3"/>
                <w:b/>
                <w:strike/>
                <w:color w:val="FF0000"/>
                <w:szCs w:val="24"/>
              </w:rPr>
              <w:t>işletme</w:t>
            </w:r>
            <w:r w:rsidRPr="00A23740">
              <w:rPr>
                <w:rFonts w:eastAsia="ヒラギノ明朝 Pro W3"/>
                <w:szCs w:val="24"/>
              </w:rPr>
              <w:t xml:space="preserve"> </w:t>
            </w:r>
            <w:r w:rsidRPr="00A23740">
              <w:rPr>
                <w:rStyle w:val="KIRMIZIChar"/>
                <w:rFonts w:eastAsia="ヒラギノ明朝 Pro W3"/>
              </w:rPr>
              <w:t>rehni</w:t>
            </w:r>
            <w:r w:rsidRPr="00A23740">
              <w:rPr>
                <w:rFonts w:eastAsia="ヒラギノ明朝 Pro W3"/>
                <w:szCs w:val="24"/>
              </w:rPr>
              <w:t xml:space="preserve"> kapsamındaki taşınırlar ise icra dairesince satılmalarına karar verilmesinden sonra muhafaza altına alınabilir. Bu mallar paraya çevrilmediği takdirde geri verilir. </w:t>
            </w:r>
          </w:p>
          <w:p w:rsidR="00AA5C8C" w:rsidRPr="00A23740" w:rsidRDefault="00AA5C8C" w:rsidP="009431FF">
            <w:pPr>
              <w:tabs>
                <w:tab w:val="left" w:pos="566"/>
              </w:tabs>
              <w:rPr>
                <w:rFonts w:eastAsia="ヒラギノ明朝 Pro W3"/>
                <w:szCs w:val="24"/>
              </w:rPr>
            </w:pPr>
          </w:p>
          <w:p w:rsidR="00AA5C8C" w:rsidRPr="00A23740" w:rsidRDefault="00AA5C8C" w:rsidP="009431FF">
            <w:pPr>
              <w:tabs>
                <w:tab w:val="left" w:pos="566"/>
              </w:tabs>
              <w:rPr>
                <w:rFonts w:eastAsia="ヒラギノ明朝 Pro W3"/>
                <w:szCs w:val="24"/>
              </w:rPr>
            </w:pPr>
          </w:p>
          <w:p w:rsidR="00AA5C8C" w:rsidRPr="00A23740" w:rsidRDefault="00AA5C8C" w:rsidP="009431FF">
            <w:pPr>
              <w:pStyle w:val="KIRMIZI"/>
              <w:rPr>
                <w:rFonts w:eastAsia="ヒラギノ明朝 Pro W3"/>
              </w:rPr>
            </w:pPr>
            <w:r w:rsidRPr="00A23740">
              <w:rPr>
                <w:rFonts w:eastAsia="ヒラギノ明朝 Pro W3"/>
              </w:rPr>
              <w:t>(5) Haczedilen mallar, Adalet Bakanlığı tarafından yetki verilen gerçek veya tüzel kişilere ait lisanslı yediemin depolarında muhafaza edilir. Yetki verilen gerçek veya tüzel kişiler, bu yetkilerini Adalet Bakanlığının onayıyla alt işleticilere aynı standartları sağlamak koşuluyla devredebilirler. Bu devir, yetki verilen gerçek veya tüzel kişilerin sorumluluklarını ortadan kaldırmaz. Bu depoların yönetmelikte belirlenen nitelik ve şartlara uygunluğunun saptanması sonucunda işletme belgesi Adalet Bakanlığı tarafından verilir. Haczedilen malların muhafaza işlemleri; lisanslı yediemin depolarının kuruluşuna, bu depolarda bulunması gereken asgari niteliklere, depo için alınacak teminata, mallar için muhtemel rizikolara karşı yapılacak sigortaya; işletici olma niteliklerine, işletici lisansına, Adalet Bakanlığı tarafından bu lisansın verilmesine; Adalet Bakanlığının lisanslı işletmelerle ilgili görev ve yetkilerine; faaliyetin durdurulması ya da iptali gibi idari tedbir ve tasarruflara; bu depoların denetimine ve diğer hususlara ilişkin usul ve esaslar, Adalet Bakanlığı tarafından çıkarılan yönetmelikte düzenlenir. Haczedilen malların muhafazası aşamasındaki ücretler Adalet Bakanlığı tarafından düzenlenecek tarifeyle belirlenir.</w:t>
            </w:r>
          </w:p>
          <w:p w:rsidR="00AA5C8C" w:rsidRPr="00A23740" w:rsidRDefault="00AA5C8C" w:rsidP="009431FF">
            <w:pPr>
              <w:tabs>
                <w:tab w:val="left" w:pos="566"/>
              </w:tabs>
              <w:rPr>
                <w:rFonts w:eastAsia="ヒラギノ明朝 Pro W3"/>
                <w:szCs w:val="24"/>
              </w:rPr>
            </w:pPr>
          </w:p>
          <w:p w:rsidR="00E30168" w:rsidRPr="00A23740" w:rsidRDefault="00E30168" w:rsidP="009431FF">
            <w:pPr>
              <w:pStyle w:val="KIRMIZI"/>
              <w:rPr>
                <w:rFonts w:eastAsia="ヒラギノ明朝 Pro W3"/>
                <w:lang w:val="tr-TR"/>
              </w:rPr>
            </w:pPr>
            <w:r w:rsidRPr="00A23740">
              <w:rPr>
                <w:rFonts w:eastAsia="ヒラギノ明朝 Pro W3"/>
              </w:rPr>
              <w:t>(6) (Mülga fıkra: 28/3/2023-7445/42 md.)</w:t>
            </w:r>
          </w:p>
          <w:p w:rsidR="00AA5C8C" w:rsidRPr="00A23740" w:rsidRDefault="00AA5C8C" w:rsidP="009431FF">
            <w:pPr>
              <w:pStyle w:val="KIRMIZI"/>
              <w:rPr>
                <w:rFonts w:eastAsia="ヒラギノ明朝 Pro W3"/>
              </w:rPr>
            </w:pPr>
          </w:p>
          <w:p w:rsidR="00AA5C8C" w:rsidRPr="00A23740" w:rsidRDefault="00AA5C8C" w:rsidP="009431FF">
            <w:pPr>
              <w:pStyle w:val="KIRMIZI"/>
              <w:rPr>
                <w:rFonts w:eastAsia="ヒラギノ明朝 Pro W3"/>
              </w:rPr>
            </w:pPr>
            <w:r w:rsidRPr="00A23740">
              <w:rPr>
                <w:rFonts w:eastAsia="ヒラギノ明朝 Pro W3"/>
              </w:rPr>
              <w:t>(7) İcra müdürlüklerinin talebi üzerine kolluk kuvvetleri tarafından yakalanan araçlar, en geç üç iş günü içinde en yakın icra müdürlüğüne teslim edilir. Aracı teslim alan icra müdürlüğü, aracın yakalanmasını isteyen icra müdürlüğüne bildirimde bulunur.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pStyle w:val="Mavi"/>
              <w:jc w:val="center"/>
              <w:rPr>
                <w:lang w:val="tr-TR"/>
              </w:rPr>
            </w:pPr>
            <w:r w:rsidRPr="00A23740">
              <w:rPr>
                <w:lang w:val="tr-TR"/>
              </w:rPr>
              <w:t>BEŞİNCİ AYRIM</w:t>
            </w:r>
          </w:p>
          <w:p w:rsidR="00AA5C8C" w:rsidRPr="00A23740" w:rsidRDefault="00AA5C8C" w:rsidP="009431FF">
            <w:pPr>
              <w:pStyle w:val="Mavi"/>
              <w:jc w:val="center"/>
              <w:rPr>
                <w:lang w:val="tr-TR"/>
              </w:rPr>
            </w:pPr>
            <w:r w:rsidRPr="00A23740">
              <w:rPr>
                <w:lang w:val="tr-TR"/>
              </w:rPr>
              <w:t>Muhafaza Tedbirleri</w:t>
            </w:r>
          </w:p>
          <w:p w:rsidR="00AA5C8C" w:rsidRPr="00A23740" w:rsidRDefault="00AA5C8C" w:rsidP="009431FF">
            <w:pPr>
              <w:pStyle w:val="Mavi"/>
              <w:jc w:val="center"/>
              <w:rPr>
                <w:lang w:val="tr-TR"/>
              </w:rPr>
            </w:pP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BİRİNCİ ALT AYRIM</w:t>
            </w: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Taşınırlar Hakkında</w:t>
            </w:r>
          </w:p>
          <w:p w:rsidR="00AA5C8C" w:rsidRPr="00A23740" w:rsidRDefault="00AA5C8C" w:rsidP="009431FF">
            <w:pPr>
              <w:pStyle w:val="MAV"/>
              <w:rPr>
                <w:u w:val="none"/>
                <w:lang w:val="tr-TR" w:eastAsia="tr-TR"/>
              </w:rPr>
            </w:pPr>
          </w:p>
          <w:p w:rsidR="00AA5C8C" w:rsidRPr="00A23740" w:rsidRDefault="00AA5C8C" w:rsidP="009431FF">
            <w:pPr>
              <w:pStyle w:val="KIRMIZI"/>
              <w:rPr>
                <w:rStyle w:val="MAVChar"/>
                <w:b/>
                <w:strike w:val="0"/>
                <w:u w:val="none"/>
                <w:lang w:val="tr-TR" w:eastAsia="tr-TR"/>
              </w:rPr>
            </w:pPr>
            <w:r w:rsidRPr="00A23740">
              <w:rPr>
                <w:rStyle w:val="MAVChar"/>
                <w:b/>
                <w:strike w:val="0"/>
                <w:u w:val="none"/>
                <w:lang w:val="tr-TR" w:eastAsia="tr-TR"/>
              </w:rPr>
              <w:t>Taşınırların muhafazası</w:t>
            </w:r>
          </w:p>
          <w:p w:rsidR="00AA5C8C" w:rsidRPr="00A23740" w:rsidRDefault="00AA5C8C" w:rsidP="009431FF">
            <w:pPr>
              <w:tabs>
                <w:tab w:val="left" w:pos="566"/>
              </w:tabs>
              <w:rPr>
                <w:rFonts w:eastAsia="ヒラギノ明朝 Pro W3"/>
                <w:b/>
                <w:color w:val="0000FF"/>
                <w:szCs w:val="24"/>
                <w:lang w:eastAsia="tr-TR"/>
              </w:rPr>
            </w:pPr>
            <w:r w:rsidRPr="00A23740">
              <w:rPr>
                <w:rStyle w:val="MaviChar"/>
                <w:lang w:val="tr-TR"/>
              </w:rPr>
              <w:t xml:space="preserve">MADDE </w:t>
            </w:r>
            <w:r w:rsidR="00EE79EA" w:rsidRPr="00A23740">
              <w:rPr>
                <w:rStyle w:val="MaviChar"/>
                <w:lang w:val="tr-TR"/>
              </w:rPr>
              <w:t>180</w:t>
            </w:r>
            <w:r w:rsidRPr="00A23740">
              <w:rPr>
                <w:rStyle w:val="MaviChar"/>
                <w:lang w:val="tr-TR"/>
              </w:rPr>
              <w:t>-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ヒラギノ明朝 Pro W3"/>
                <w:b/>
                <w:color w:val="0000FF"/>
                <w:szCs w:val="24"/>
                <w:lang w:eastAsia="tr-TR"/>
              </w:rPr>
              <w:t>Kanunun</w:t>
            </w:r>
            <w:r w:rsidR="00A11C92" w:rsidRPr="00A23740">
              <w:rPr>
                <w:rFonts w:eastAsia="ヒラギノ明朝 Pro W3"/>
                <w:b/>
                <w:color w:val="0000FF"/>
                <w:szCs w:val="24"/>
                <w:lang w:eastAsia="tr-TR"/>
              </w:rPr>
              <w:t xml:space="preserve"> </w:t>
            </w:r>
            <w:r w:rsidR="00A11C92" w:rsidRPr="007018A7">
              <w:rPr>
                <w:rStyle w:val="Balk1Char"/>
                <w:rFonts w:eastAsia="ヒラギノ明朝 Pro W3"/>
              </w:rPr>
              <w:t>158 inci</w:t>
            </w:r>
            <w:r w:rsidRPr="00A23740">
              <w:rPr>
                <w:rFonts w:eastAsia="ヒラギノ明朝 Pro W3"/>
                <w:b/>
                <w:color w:val="0000FF"/>
                <w:szCs w:val="24"/>
                <w:lang w:eastAsia="tr-TR"/>
              </w:rPr>
              <w:t xml:space="preserve"> maddesinin üçüncü fıkrası uyarınca haczedilen mallar</w:t>
            </w:r>
            <w:r w:rsidR="003D1AA7" w:rsidRPr="007018A7">
              <w:rPr>
                <w:rStyle w:val="Balk1Char"/>
                <w:rFonts w:eastAsia="ヒラギノ明朝 Pro W3"/>
              </w:rPr>
              <w:t>,</w:t>
            </w:r>
            <w:r w:rsidRPr="00A23740">
              <w:rPr>
                <w:rFonts w:eastAsia="ヒラギノ明朝 Pro W3"/>
                <w:b/>
                <w:color w:val="0000FF"/>
                <w:szCs w:val="24"/>
                <w:lang w:eastAsia="tr-TR"/>
              </w:rPr>
              <w:t xml:space="preserve"> icra </w:t>
            </w:r>
            <w:r w:rsidRPr="00A23740">
              <w:rPr>
                <w:rStyle w:val="MaviChar"/>
              </w:rPr>
              <w:t>ve iflas</w:t>
            </w:r>
            <w:r w:rsidRPr="00A23740">
              <w:rPr>
                <w:rFonts w:eastAsia="ヒラギノ明朝 Pro W3"/>
                <w:b/>
                <w:color w:val="0000FF"/>
                <w:szCs w:val="24"/>
                <w:lang w:eastAsia="tr-TR"/>
              </w:rPr>
              <w:t xml:space="preserve"> dairesince </w:t>
            </w:r>
            <w:r w:rsidRPr="00A23740">
              <w:rPr>
                <w:rStyle w:val="MaviChar"/>
              </w:rPr>
              <w:t xml:space="preserve">11 inci </w:t>
            </w:r>
            <w:r w:rsidR="003D1AA7" w:rsidRPr="007018A7">
              <w:rPr>
                <w:rStyle w:val="Balk1Char"/>
                <w:rFonts w:eastAsia="ヒラギノ明朝 Pro W3"/>
              </w:rPr>
              <w:t>maddeye</w:t>
            </w:r>
            <w:r w:rsidRPr="00A23740">
              <w:rPr>
                <w:rFonts w:eastAsia="ヒラギノ明朝 Pro W3"/>
                <w:b/>
                <w:color w:val="0000FF"/>
                <w:szCs w:val="24"/>
                <w:lang w:eastAsia="tr-TR"/>
              </w:rPr>
              <w:t xml:space="preserve"> göre muhafaza altına alınır.</w:t>
            </w:r>
          </w:p>
          <w:p w:rsidR="00AA5C8C" w:rsidRDefault="00AA5C8C" w:rsidP="009431FF">
            <w:pPr>
              <w:tabs>
                <w:tab w:val="left" w:pos="566"/>
              </w:tabs>
              <w:rPr>
                <w:rStyle w:val="MaviChar"/>
                <w:lang w:val="tr-TR"/>
              </w:rPr>
            </w:pPr>
          </w:p>
          <w:p w:rsidR="00634220" w:rsidRPr="00A23740" w:rsidRDefault="00634220" w:rsidP="009431FF">
            <w:pPr>
              <w:tabs>
                <w:tab w:val="left" w:pos="566"/>
              </w:tabs>
              <w:rPr>
                <w:rStyle w:val="MaviChar"/>
                <w:lang w:val="tr-TR"/>
              </w:rPr>
            </w:pPr>
          </w:p>
          <w:p w:rsidR="00AA5C8C" w:rsidRPr="00A23740" w:rsidRDefault="00AA5C8C" w:rsidP="009431FF">
            <w:pPr>
              <w:rPr>
                <w:b/>
                <w:color w:val="0000FF"/>
                <w:szCs w:val="24"/>
                <w:lang w:eastAsia="tr-TR"/>
              </w:rPr>
            </w:pPr>
            <w:r w:rsidRPr="00A23740">
              <w:rPr>
                <w:rFonts w:eastAsia="Times New Roman"/>
                <w:szCs w:val="24"/>
                <w:lang w:eastAsia="tr-TR"/>
              </w:rPr>
              <w:t xml:space="preserve">(2) Diğer taşınır mallar, </w:t>
            </w:r>
            <w:r w:rsidRPr="00A23740">
              <w:rPr>
                <w:rStyle w:val="MaviChar"/>
              </w:rPr>
              <w:t>gideri</w:t>
            </w:r>
            <w:r w:rsidRPr="00A23740">
              <w:rPr>
                <w:rFonts w:eastAsia="Times New Roman"/>
                <w:szCs w:val="24"/>
                <w:lang w:eastAsia="tr-TR"/>
              </w:rPr>
              <w:t xml:space="preserve"> alacaklıdan </w:t>
            </w:r>
            <w:r w:rsidR="003D1AA7" w:rsidRPr="007018A7">
              <w:rPr>
                <w:rStyle w:val="Balk1Char"/>
                <w:rFonts w:eastAsia="ヒラギノ明朝 Pro W3"/>
              </w:rPr>
              <w:t>peşin</w:t>
            </w:r>
            <w:r w:rsidR="003D1AA7" w:rsidRPr="00A23740">
              <w:rPr>
                <w:rStyle w:val="YELChar"/>
              </w:rPr>
              <w:t xml:space="preserve"> </w:t>
            </w:r>
            <w:r w:rsidRPr="00A23740">
              <w:rPr>
                <w:rFonts w:eastAsia="Times New Roman"/>
                <w:szCs w:val="24"/>
                <w:lang w:eastAsia="tr-TR"/>
              </w:rPr>
              <w:t xml:space="preserve">alınarak muhafaza altına alınır. Alacaklı muvafakat ederse </w:t>
            </w:r>
            <w:r w:rsidR="003D1AA7" w:rsidRPr="007018A7">
              <w:rPr>
                <w:rStyle w:val="Balk1Char"/>
                <w:rFonts w:eastAsia="ヒラギノ明朝 Pro W3"/>
              </w:rPr>
              <w:t>bu mallar,</w:t>
            </w:r>
            <w:r w:rsidR="003D1AA7" w:rsidRPr="00A23740">
              <w:rPr>
                <w:rFonts w:eastAsia="Times New Roman"/>
                <w:szCs w:val="24"/>
                <w:lang w:eastAsia="tr-TR"/>
              </w:rPr>
              <w:t xml:space="preserve"> </w:t>
            </w:r>
            <w:r w:rsidRPr="00A23740">
              <w:rPr>
                <w:rFonts w:eastAsia="Times New Roman"/>
                <w:szCs w:val="24"/>
                <w:lang w:eastAsia="tr-TR"/>
              </w:rPr>
              <w:t xml:space="preserve">istenildiği zaman verilmek şartıyla, </w:t>
            </w:r>
            <w:r w:rsidRPr="00A23740">
              <w:rPr>
                <w:rStyle w:val="MaviChar"/>
              </w:rPr>
              <w:t>geçici olarak</w:t>
            </w:r>
            <w:r w:rsidRPr="00A23740">
              <w:rPr>
                <w:rFonts w:eastAsia="Times New Roman"/>
                <w:szCs w:val="24"/>
                <w:lang w:eastAsia="tr-TR"/>
              </w:rPr>
              <w:t xml:space="preserve"> borçlu yedinde veya üçüncü </w:t>
            </w:r>
            <w:r w:rsidRPr="00A23740">
              <w:rPr>
                <w:rStyle w:val="MaviChar"/>
              </w:rPr>
              <w:t>kişi</w:t>
            </w:r>
            <w:r w:rsidRPr="00A23740">
              <w:rPr>
                <w:rFonts w:eastAsia="Times New Roman"/>
                <w:szCs w:val="24"/>
                <w:lang w:eastAsia="tr-TR"/>
              </w:rPr>
              <w:t xml:space="preserve"> nezdinde bırakılabilir. </w:t>
            </w:r>
            <w:r w:rsidRPr="00A23740">
              <w:t xml:space="preserve">Üçüncü </w:t>
            </w:r>
            <w:r w:rsidRPr="00A23740">
              <w:rPr>
                <w:rStyle w:val="MaviChar"/>
              </w:rPr>
              <w:t>kişinin</w:t>
            </w:r>
            <w:r w:rsidRPr="00A23740">
              <w:t xml:space="preserve"> elinde</w:t>
            </w:r>
            <w:r w:rsidRPr="00A23740">
              <w:rPr>
                <w:rStyle w:val="MaviChar"/>
              </w:rPr>
              <w:t xml:space="preserve">yken haczedilip de </w:t>
            </w:r>
            <w:r w:rsidRPr="00A23740">
              <w:t>üçüncü</w:t>
            </w:r>
            <w:r w:rsidRPr="00A23740">
              <w:rPr>
                <w:rStyle w:val="MaviChar"/>
              </w:rPr>
              <w:t xml:space="preserve"> kişi tarafından istihkak iddia edilen</w:t>
            </w:r>
            <w:r w:rsidRPr="00A23740">
              <w:t xml:space="preserve"> mallar </w:t>
            </w:r>
            <w:r w:rsidRPr="00A23740">
              <w:rPr>
                <w:rStyle w:val="MaviChar"/>
              </w:rPr>
              <w:t>hakkında</w:t>
            </w:r>
            <w:r w:rsidR="00A11C92" w:rsidRPr="00A23740">
              <w:rPr>
                <w:rStyle w:val="MaviChar"/>
                <w:lang w:val="tr-TR"/>
              </w:rPr>
              <w:t xml:space="preserve"> </w:t>
            </w:r>
            <w:r w:rsidR="00A11C92" w:rsidRPr="007018A7">
              <w:rPr>
                <w:rStyle w:val="Balk1Char"/>
                <w:rFonts w:eastAsia="Calibri"/>
              </w:rPr>
              <w:t>440 ve 441 inci</w:t>
            </w:r>
            <w:r w:rsidRPr="00A23740">
              <w:rPr>
                <w:rStyle w:val="MaviChar"/>
              </w:rPr>
              <w:t xml:space="preserve"> maddeler</w:t>
            </w:r>
            <w:r w:rsidRPr="00DE1165">
              <w:rPr>
                <w:rStyle w:val="KIRMIZIChar"/>
                <w:rFonts w:eastAsia="Calibri"/>
                <w:strike w:val="0"/>
              </w:rPr>
              <w:t xml:space="preserve"> </w:t>
            </w:r>
            <w:r w:rsidRPr="00A23740">
              <w:rPr>
                <w:rStyle w:val="MaviChar"/>
              </w:rPr>
              <w:t xml:space="preserve">uygulanır. </w:t>
            </w:r>
            <w:r w:rsidRPr="00A23740">
              <w:t xml:space="preserve">Haczedilmiş ancak muhafaza altına alınmamış </w:t>
            </w:r>
            <w:r w:rsidR="003D1AA7" w:rsidRPr="007018A7">
              <w:rPr>
                <w:rStyle w:val="Balk1Char"/>
                <w:rFonts w:eastAsia="ヒラギノ明朝 Pro W3"/>
              </w:rPr>
              <w:t>olan</w:t>
            </w:r>
            <w:r w:rsidR="003D1AA7" w:rsidRPr="00A23740">
              <w:t xml:space="preserve"> </w:t>
            </w:r>
            <w:r w:rsidRPr="00A23740">
              <w:t xml:space="preserve">mallar satış talebi üzerine muhafaza altına alınır veya ihale alıcısına teslim </w:t>
            </w:r>
            <w:r w:rsidR="008E5963" w:rsidRPr="007018A7">
              <w:rPr>
                <w:rStyle w:val="Balk1Char"/>
                <w:rFonts w:eastAsia="ヒラギノ明朝 Pro W3"/>
              </w:rPr>
              <w:t>edilmeye</w:t>
            </w:r>
            <w:r w:rsidR="008E5963" w:rsidRPr="00A23740">
              <w:t xml:space="preserve"> </w:t>
            </w:r>
            <w:r w:rsidRPr="00A23740">
              <w:t>hazır h</w:t>
            </w:r>
            <w:r w:rsidR="001D7D44" w:rsidRPr="00A23740">
              <w:t>â</w:t>
            </w:r>
            <w:r w:rsidRPr="00A23740">
              <w:t>le getirilir, aksi takdirde satış yapılamaz. Sicile kayıtlı motorlu kara araçları bakımından</w:t>
            </w:r>
            <w:r w:rsidR="0095636C" w:rsidRPr="00A23740">
              <w:t xml:space="preserve"> </w:t>
            </w:r>
            <w:r w:rsidR="0095636C" w:rsidRPr="007018A7">
              <w:rPr>
                <w:rStyle w:val="Balk1Char"/>
                <w:rFonts w:eastAsia="Calibri"/>
              </w:rPr>
              <w:t>213 ve 215 inci</w:t>
            </w:r>
            <w:r w:rsidRPr="00A23740">
              <w:t xml:space="preserve"> </w:t>
            </w:r>
            <w:r w:rsidRPr="00A23740">
              <w:rPr>
                <w:rStyle w:val="MaviChar"/>
              </w:rPr>
              <w:t>maddeler</w:t>
            </w:r>
            <w:r w:rsidRPr="00A23740">
              <w:rPr>
                <w:rStyle w:val="YELChar"/>
              </w:rPr>
              <w:t xml:space="preserve"> </w:t>
            </w:r>
            <w:r w:rsidR="008E5963" w:rsidRPr="007018A7">
              <w:rPr>
                <w:rStyle w:val="Balk1Char"/>
                <w:rFonts w:eastAsia="ヒラギノ明朝 Pro W3"/>
              </w:rPr>
              <w:t>hükümleri</w:t>
            </w:r>
            <w:r w:rsidR="008E5963" w:rsidRPr="00A23740">
              <w:t xml:space="preserve"> </w:t>
            </w:r>
            <w:r w:rsidRPr="00A23740">
              <w:t>saklıdır.</w:t>
            </w:r>
          </w:p>
          <w:p w:rsidR="00AA5C8C" w:rsidRPr="00A23740" w:rsidRDefault="00AA5C8C" w:rsidP="009431FF">
            <w:pPr>
              <w:pStyle w:val="KIRMIZI"/>
              <w:rPr>
                <w:rFonts w:eastAsia="ヒラギノ明朝 Pro W3"/>
                <w:b w:val="0"/>
                <w:color w:val="0000FF"/>
                <w:lang w:eastAsia="tr-TR"/>
              </w:rPr>
            </w:pPr>
          </w:p>
          <w:p w:rsidR="00AA5C8C" w:rsidRPr="00A23740" w:rsidRDefault="00AA5C8C" w:rsidP="009431FF">
            <w:pPr>
              <w:tabs>
                <w:tab w:val="left" w:pos="566"/>
              </w:tabs>
              <w:rPr>
                <w:rFonts w:eastAsia="ヒラギノ明朝 Pro W3"/>
                <w:b/>
                <w:color w:val="0000FF"/>
                <w:szCs w:val="24"/>
                <w:lang w:eastAsia="tr-TR"/>
              </w:rPr>
            </w:pPr>
            <w:r w:rsidRPr="00A23740">
              <w:rPr>
                <w:rFonts w:eastAsia="ヒラギノ明朝 Pro W3"/>
                <w:b/>
                <w:color w:val="0000FF"/>
                <w:szCs w:val="24"/>
                <w:lang w:eastAsia="tr-TR"/>
              </w:rPr>
              <w:t xml:space="preserve">(3) Haczedilen mal, borçlunun malı muhafaza etmeyi kabul etmemesi </w:t>
            </w:r>
            <w:r w:rsidRPr="00A23740">
              <w:rPr>
                <w:rStyle w:val="MaviChar"/>
              </w:rPr>
              <w:t>ve lisanslı yediemin deposu bulunamaması h</w:t>
            </w:r>
            <w:r w:rsidR="001D7D44" w:rsidRPr="00A23740">
              <w:rPr>
                <w:rStyle w:val="MaviChar"/>
                <w:lang w:val="tr-TR"/>
              </w:rPr>
              <w:t>â</w:t>
            </w:r>
            <w:r w:rsidRPr="00A23740">
              <w:rPr>
                <w:rStyle w:val="MaviChar"/>
              </w:rPr>
              <w:t>linde, talebi üzerine</w:t>
            </w:r>
            <w:r w:rsidRPr="00A23740">
              <w:rPr>
                <w:rStyle w:val="MaviChar"/>
                <w:lang w:val="tr-TR"/>
              </w:rPr>
              <w:t xml:space="preserve"> </w:t>
            </w:r>
            <w:r w:rsidRPr="00A23740">
              <w:rPr>
                <w:rStyle w:val="MaviChar"/>
              </w:rPr>
              <w:t>ve ücret talep etmemek koşuluyla muhafaza edilmek</w:t>
            </w:r>
            <w:r w:rsidRPr="00A23740">
              <w:rPr>
                <w:rStyle w:val="MaviChar"/>
                <w:lang w:val="tr-TR"/>
              </w:rPr>
              <w:t xml:space="preserve"> </w:t>
            </w:r>
            <w:r w:rsidRPr="00A23740">
              <w:rPr>
                <w:rStyle w:val="MaviChar"/>
              </w:rPr>
              <w:t xml:space="preserve">amacıyla </w:t>
            </w:r>
            <w:r w:rsidRPr="00A23740">
              <w:rPr>
                <w:rFonts w:eastAsia="ヒラギノ明朝 Pro W3"/>
                <w:b/>
                <w:color w:val="0000FF"/>
                <w:szCs w:val="24"/>
                <w:lang w:eastAsia="tr-TR"/>
              </w:rPr>
              <w:t>alacaklıya teslim edilebilir.</w:t>
            </w:r>
          </w:p>
          <w:p w:rsidR="00AA5C8C" w:rsidRPr="00A23740" w:rsidRDefault="00AA5C8C" w:rsidP="009431FF">
            <w:pPr>
              <w:tabs>
                <w:tab w:val="left" w:pos="566"/>
              </w:tabs>
              <w:rPr>
                <w:rFonts w:eastAsia="ヒラギノ明朝 Pro W3"/>
                <w:b/>
                <w:color w:val="0000FF"/>
                <w:szCs w:val="24"/>
                <w:lang w:eastAsia="tr-TR"/>
              </w:rPr>
            </w:pPr>
          </w:p>
          <w:p w:rsidR="00AA5C8C" w:rsidRPr="00A23740" w:rsidRDefault="00AA5C8C" w:rsidP="009431FF">
            <w:pPr>
              <w:tabs>
                <w:tab w:val="left" w:pos="566"/>
              </w:tabs>
              <w:rPr>
                <w:rFonts w:eastAsia="ヒラギノ明朝 Pro W3"/>
                <w:szCs w:val="24"/>
              </w:rPr>
            </w:pPr>
            <w:r w:rsidRPr="00A23740">
              <w:rPr>
                <w:rFonts w:eastAsia="ヒラギノ明朝 Pro W3"/>
                <w:b/>
                <w:color w:val="0000FF"/>
                <w:szCs w:val="24"/>
                <w:lang w:eastAsia="tr-TR"/>
              </w:rPr>
              <w:t>(4)</w:t>
            </w:r>
            <w:r w:rsidRPr="00A23740">
              <w:rPr>
                <w:rFonts w:eastAsia="ヒラギノ明朝 Pro W3"/>
                <w:szCs w:val="24"/>
              </w:rPr>
              <w:t xml:space="preserve"> Türkiye’nin taraf olduğu uluslararası </w:t>
            </w:r>
            <w:r w:rsidR="008E5963" w:rsidRPr="007018A7">
              <w:rPr>
                <w:rStyle w:val="Balk1Char"/>
                <w:rFonts w:eastAsia="ヒラギノ明朝 Pro W3"/>
              </w:rPr>
              <w:t>antlaşma</w:t>
            </w:r>
            <w:r w:rsidR="008E5963" w:rsidRPr="00A23740">
              <w:rPr>
                <w:rFonts w:eastAsia="ヒラギノ明朝 Pro W3"/>
                <w:szCs w:val="24"/>
              </w:rPr>
              <w:t xml:space="preserve"> </w:t>
            </w:r>
            <w:r w:rsidRPr="00A23740">
              <w:rPr>
                <w:rFonts w:eastAsia="ヒラギノ明朝 Pro W3"/>
                <w:szCs w:val="24"/>
              </w:rPr>
              <w:t>hükümleri saklı kalmak kaydıyla, yabancı devlet başkanı, parlamento başkanı, hükümet başkanı veya hükümet üyelerini taşıyan ulaşım araçları, bu kişiler Türkiye’de bulundukları sürece, muhafaza altına alınamaz ve yediemine bırakılamaz.</w:t>
            </w:r>
          </w:p>
          <w:p w:rsidR="00AA5C8C" w:rsidRPr="00A23740" w:rsidRDefault="00AA5C8C" w:rsidP="009431FF">
            <w:pPr>
              <w:tabs>
                <w:tab w:val="left" w:pos="566"/>
              </w:tabs>
              <w:rPr>
                <w:rFonts w:eastAsia="ヒラギノ明朝 Pro W3"/>
                <w:szCs w:val="24"/>
              </w:rPr>
            </w:pPr>
          </w:p>
          <w:p w:rsidR="00AA5C8C" w:rsidRPr="00A23740" w:rsidRDefault="00AA5C8C" w:rsidP="009431FF">
            <w:pPr>
              <w:tabs>
                <w:tab w:val="left" w:pos="566"/>
              </w:tabs>
              <w:rPr>
                <w:rFonts w:eastAsia="ヒラギノ明朝 Pro W3"/>
                <w:b/>
                <w:color w:val="0000FF"/>
                <w:szCs w:val="24"/>
                <w:lang w:eastAsia="tr-TR"/>
              </w:rPr>
            </w:pPr>
            <w:r w:rsidRPr="00A23740">
              <w:rPr>
                <w:rFonts w:eastAsia="ヒラギノ明朝 Pro W3"/>
                <w:b/>
                <w:color w:val="0000FF"/>
                <w:szCs w:val="24"/>
                <w:lang w:eastAsia="tr-TR"/>
              </w:rPr>
              <w:t>(5)</w:t>
            </w:r>
            <w:r w:rsidRPr="00A23740">
              <w:rPr>
                <w:rFonts w:eastAsia="ヒラギノ明朝 Pro W3"/>
                <w:szCs w:val="24"/>
              </w:rPr>
              <w:t xml:space="preserve"> İcra </w:t>
            </w:r>
            <w:r w:rsidRPr="00A23740">
              <w:rPr>
                <w:rStyle w:val="MaviChar"/>
              </w:rPr>
              <w:t>ve iflas</w:t>
            </w:r>
            <w:r w:rsidRPr="00A23740">
              <w:rPr>
                <w:rFonts w:eastAsia="ヒラギノ明朝 Pro W3"/>
                <w:szCs w:val="24"/>
              </w:rPr>
              <w:t xml:space="preserve"> dairesi üçüncü bir şahsa rehnedilmiş olan malları da muhafaza altına alabilir. Ticari </w:t>
            </w:r>
            <w:r w:rsidRPr="00A23740">
              <w:rPr>
                <w:rStyle w:val="MaviChar"/>
              </w:rPr>
              <w:t>İşlemlerde Taşınır Rehni Kanunu</w:t>
            </w:r>
            <w:r w:rsidRPr="00A23740">
              <w:rPr>
                <w:rFonts w:eastAsia="ヒラギノ明朝 Pro W3"/>
                <w:szCs w:val="24"/>
              </w:rPr>
              <w:t xml:space="preserve"> kapsamındaki taşınırlar ise</w:t>
            </w:r>
            <w:r w:rsidR="00142328" w:rsidRPr="00A23740">
              <w:rPr>
                <w:rFonts w:eastAsia="ヒラギノ明朝 Pro W3"/>
                <w:b/>
                <w:bCs/>
                <w:color w:val="385623"/>
                <w:szCs w:val="24"/>
              </w:rPr>
              <w:t>,</w:t>
            </w:r>
            <w:r w:rsidRPr="00A23740">
              <w:rPr>
                <w:rFonts w:eastAsia="ヒラギノ明朝 Pro W3"/>
                <w:szCs w:val="24"/>
              </w:rPr>
              <w:t xml:space="preserve"> icra </w:t>
            </w:r>
            <w:r w:rsidRPr="00A23740">
              <w:rPr>
                <w:rStyle w:val="MaviChar"/>
              </w:rPr>
              <w:t>ve iflas</w:t>
            </w:r>
            <w:r w:rsidRPr="00A23740">
              <w:rPr>
                <w:rFonts w:eastAsia="ヒラギノ明朝 Pro W3"/>
                <w:szCs w:val="24"/>
              </w:rPr>
              <w:t xml:space="preserve"> dairesince satılmalarına karar verilmesinden sonra muhafaza altına alınabilir. Bu mallar paraya çevr</w:t>
            </w:r>
            <w:r w:rsidR="00594C9D">
              <w:rPr>
                <w:rFonts w:eastAsia="ヒラギノ明朝 Pro W3"/>
                <w:szCs w:val="24"/>
              </w:rPr>
              <w:t>ilmediği takdirde geri verilir.</w:t>
            </w:r>
          </w:p>
          <w:p w:rsidR="00AA5C8C" w:rsidRPr="00A23740" w:rsidRDefault="00AA5C8C" w:rsidP="009431FF">
            <w:pPr>
              <w:pStyle w:val="KIRMIZI"/>
              <w:rPr>
                <w:rFonts w:eastAsia="ヒラギノ明朝 Pro W3"/>
              </w:rPr>
            </w:pPr>
          </w:p>
          <w:p w:rsidR="00AA5C8C" w:rsidRPr="00A23740" w:rsidRDefault="00AA5C8C" w:rsidP="009431FF">
            <w:pPr>
              <w:pStyle w:val="KIRMIZI"/>
              <w:rPr>
                <w:rFonts w:eastAsia="ヒラギノ明朝 Pro W3"/>
              </w:rPr>
            </w:pPr>
          </w:p>
          <w:p w:rsidR="00AA5C8C" w:rsidRPr="00A23740" w:rsidRDefault="00AA5C8C" w:rsidP="009431FF">
            <w:pPr>
              <w:pStyle w:val="KIRMIZI"/>
              <w:rPr>
                <w:rFonts w:eastAsia="ヒラギノ明朝 Pro W3"/>
                <w:b w:val="0"/>
              </w:rPr>
            </w:pPr>
          </w:p>
        </w:tc>
      </w:tr>
      <w:tr w:rsidR="0077215E" w:rsidRPr="00A23740" w:rsidTr="009431FF">
        <w:tblPrEx>
          <w:tblLook w:val="01E0" w:firstRow="1" w:lastRow="1" w:firstColumn="1" w:lastColumn="1" w:noHBand="0" w:noVBand="0"/>
        </w:tblPrEx>
        <w:tc>
          <w:tcPr>
            <w:tcW w:w="5000" w:type="pct"/>
            <w:gridSpan w:val="2"/>
            <w:shd w:val="clear" w:color="auto" w:fill="DEEAF6"/>
          </w:tcPr>
          <w:p w:rsidR="0077215E" w:rsidRPr="00A23740" w:rsidRDefault="0077215E" w:rsidP="009431FF">
            <w:pPr>
              <w:ind w:firstLine="709"/>
              <w:rPr>
                <w:rFonts w:eastAsia="Times New Roman"/>
                <w:b/>
                <w:color w:val="000000"/>
                <w:szCs w:val="24"/>
                <w:lang w:eastAsia="tr-TR"/>
              </w:rPr>
            </w:pPr>
          </w:p>
          <w:p w:rsidR="00B62391" w:rsidRPr="00A23740" w:rsidRDefault="0017435A" w:rsidP="009431FF">
            <w:pPr>
              <w:ind w:firstLine="709"/>
              <w:rPr>
                <w:rFonts w:eastAsia="Times New Roman"/>
                <w:szCs w:val="24"/>
                <w:lang w:eastAsia="tr-TR"/>
              </w:rPr>
            </w:pPr>
            <w:r w:rsidRPr="00A23740">
              <w:rPr>
                <w:rFonts w:eastAsia="Times New Roman"/>
                <w:b/>
                <w:szCs w:val="24"/>
                <w:lang w:eastAsia="tr-TR"/>
              </w:rPr>
              <w:t>MADDE 180</w:t>
            </w:r>
            <w:r w:rsidR="00B62391" w:rsidRPr="00A23740">
              <w:rPr>
                <w:rFonts w:eastAsia="Times New Roman"/>
                <w:b/>
                <w:szCs w:val="24"/>
                <w:lang w:eastAsia="tr-TR"/>
              </w:rPr>
              <w:t>-</w:t>
            </w:r>
            <w:r w:rsidR="00B62391" w:rsidRPr="00A23740">
              <w:rPr>
                <w:rFonts w:eastAsia="Times New Roman"/>
                <w:szCs w:val="24"/>
                <w:lang w:eastAsia="tr-TR"/>
              </w:rPr>
              <w:t xml:space="preserve"> </w:t>
            </w:r>
            <w:r w:rsidR="0058002D" w:rsidRPr="00A23740">
              <w:rPr>
                <w:rFonts w:eastAsia="Times New Roman"/>
                <w:szCs w:val="24"/>
                <w:lang w:eastAsia="tr-TR"/>
              </w:rPr>
              <w:t xml:space="preserve">Maddeyle, taşınırların muhafazası düzenlenmektedir. Hüküm, 2004 sayılı Kanunun 88 inci maddesine karşılık gelmektedir. </w:t>
            </w:r>
          </w:p>
          <w:p w:rsidR="00105619" w:rsidRPr="00A23740" w:rsidRDefault="00105619" w:rsidP="009431FF">
            <w:pPr>
              <w:ind w:firstLine="709"/>
              <w:rPr>
                <w:rFonts w:eastAsia="Times New Roman"/>
                <w:szCs w:val="24"/>
                <w:lang w:eastAsia="tr-TR"/>
              </w:rPr>
            </w:pPr>
            <w:r w:rsidRPr="00A23740">
              <w:rPr>
                <w:rFonts w:eastAsia="Times New Roman"/>
                <w:szCs w:val="24"/>
                <w:lang w:eastAsia="tr-TR"/>
              </w:rPr>
              <w:t xml:space="preserve">Birinci fıkrayla </w:t>
            </w:r>
            <w:r w:rsidR="007C3DEE" w:rsidRPr="00D60C1D">
              <w:rPr>
                <w:rStyle w:val="KonuBalChar"/>
                <w:rFonts w:eastAsia="ヒラギノ明朝 Pro W3"/>
                <w:b w:val="0"/>
                <w:color w:val="000000"/>
                <w:lang w:val="tr-TR"/>
              </w:rPr>
              <w:t>Taslağın 158 inci</w:t>
            </w:r>
            <w:r w:rsidR="00B62391" w:rsidRPr="00A23740">
              <w:rPr>
                <w:rFonts w:eastAsia="Times New Roman"/>
                <w:szCs w:val="24"/>
                <w:lang w:eastAsia="tr-TR"/>
              </w:rPr>
              <w:t xml:space="preserve"> maddesinin üçüncü fıkrası</w:t>
            </w:r>
            <w:r w:rsidR="00B62391" w:rsidRPr="00DE1165">
              <w:rPr>
                <w:rStyle w:val="KIRMIZIChar"/>
                <w:rFonts w:eastAsia="Calibri"/>
                <w:b w:val="0"/>
                <w:strike w:val="0"/>
                <w:color w:val="auto"/>
              </w:rPr>
              <w:t>n</w:t>
            </w:r>
            <w:r w:rsidR="00B62391" w:rsidRPr="00A23740">
              <w:rPr>
                <w:rFonts w:eastAsia="Times New Roman"/>
                <w:szCs w:val="24"/>
                <w:lang w:eastAsia="tr-TR"/>
              </w:rPr>
              <w:t>a</w:t>
            </w:r>
            <w:r w:rsidR="00D2701A" w:rsidRPr="00A23740">
              <w:rPr>
                <w:rFonts w:eastAsia="Times New Roman"/>
                <w:szCs w:val="24"/>
                <w:lang w:eastAsia="tr-TR"/>
              </w:rPr>
              <w:t xml:space="preserve"> </w:t>
            </w:r>
            <w:r w:rsidR="00D2701A" w:rsidRPr="00D60C1D">
              <w:rPr>
                <w:rStyle w:val="YELChar"/>
                <w:b w:val="0"/>
                <w:color w:val="000000"/>
              </w:rPr>
              <w:t>göre</w:t>
            </w:r>
            <w:r w:rsidR="00B62391" w:rsidRPr="00A23740">
              <w:rPr>
                <w:rFonts w:eastAsia="Times New Roman"/>
                <w:szCs w:val="24"/>
                <w:lang w:eastAsia="tr-TR"/>
              </w:rPr>
              <w:t xml:space="preserve"> icra ve iflas dairelerince haczedilen mall</w:t>
            </w:r>
            <w:r w:rsidR="00126EFF" w:rsidRPr="00A23740">
              <w:rPr>
                <w:rFonts w:eastAsia="Times New Roman"/>
                <w:szCs w:val="24"/>
                <w:lang w:eastAsia="tr-TR"/>
              </w:rPr>
              <w:t>arın muhafaza altına alınacağı belirtilmektedir.</w:t>
            </w:r>
          </w:p>
          <w:p w:rsidR="00D2701A" w:rsidRPr="00D60C1D" w:rsidRDefault="00D2701A" w:rsidP="009431FF">
            <w:pPr>
              <w:pStyle w:val="YEL"/>
              <w:ind w:firstLine="709"/>
              <w:rPr>
                <w:rFonts w:eastAsia="Times New Roman"/>
                <w:b w:val="0"/>
                <w:color w:val="000000"/>
                <w:lang w:val="tr-TR" w:eastAsia="tr-TR"/>
              </w:rPr>
            </w:pPr>
            <w:r w:rsidRPr="00D60C1D">
              <w:rPr>
                <w:b w:val="0"/>
                <w:color w:val="000000"/>
                <w:lang w:val="tr-TR"/>
              </w:rPr>
              <w:t>Bu maddede yapılan değişiklikle, h</w:t>
            </w:r>
            <w:r w:rsidR="001D7D44" w:rsidRPr="00D60C1D">
              <w:rPr>
                <w:b w:val="0"/>
                <w:color w:val="000000"/>
                <w:lang w:val="tr-TR"/>
              </w:rPr>
              <w:t>â</w:t>
            </w:r>
            <w:r w:rsidRPr="00D60C1D">
              <w:rPr>
                <w:b w:val="0"/>
                <w:color w:val="000000"/>
                <w:lang w:val="tr-TR"/>
              </w:rPr>
              <w:t xml:space="preserve">len yürürlükteki 2004 sayılı </w:t>
            </w:r>
            <w:r w:rsidR="003646DA" w:rsidRPr="00D60C1D">
              <w:rPr>
                <w:b w:val="0"/>
                <w:color w:val="000000"/>
                <w:lang w:val="tr-TR"/>
              </w:rPr>
              <w:t xml:space="preserve">Kanunun </w:t>
            </w:r>
            <w:r w:rsidRPr="00D60C1D">
              <w:rPr>
                <w:b w:val="0"/>
                <w:color w:val="000000"/>
                <w:lang w:val="tr-TR"/>
              </w:rPr>
              <w:t>“malın muhafaza altına alınması”ndan söz eden ve üçüncü kişinin istihkak iddiası ileri sürmeksizin malı elinde bulundurması h</w:t>
            </w:r>
            <w:r w:rsidR="001D7D44" w:rsidRPr="00D60C1D">
              <w:rPr>
                <w:b w:val="0"/>
                <w:color w:val="000000"/>
                <w:lang w:val="tr-TR"/>
              </w:rPr>
              <w:t>â</w:t>
            </w:r>
            <w:r w:rsidRPr="00D60C1D">
              <w:rPr>
                <w:b w:val="0"/>
                <w:color w:val="000000"/>
                <w:lang w:val="tr-TR"/>
              </w:rPr>
              <w:t xml:space="preserve">linde malın üçüncü kişinin elinden alınamaması sonucu doğuran 88 inci maddesi birinci fıkra metninden çıkarılmış; bu konuda 2004 sayılı </w:t>
            </w:r>
            <w:r w:rsidR="003646DA" w:rsidRPr="00D60C1D">
              <w:rPr>
                <w:b w:val="0"/>
                <w:color w:val="000000"/>
                <w:lang w:val="tr-TR"/>
              </w:rPr>
              <w:t xml:space="preserve">Kanunun </w:t>
            </w:r>
            <w:r w:rsidRPr="00D60C1D">
              <w:rPr>
                <w:b w:val="0"/>
                <w:color w:val="000000"/>
                <w:lang w:val="tr-TR"/>
              </w:rPr>
              <w:t xml:space="preserve">99 uncu maddesine göre işlem yapılmasının gerekli olduğu sonucuna varılmıştır. Böylece söz konusu iki madde arasındaki uyumsuzluğa son verilmiştir. </w:t>
            </w:r>
          </w:p>
          <w:p w:rsidR="00F13F0A" w:rsidRPr="00A23740" w:rsidRDefault="00105619" w:rsidP="009431FF">
            <w:pPr>
              <w:ind w:firstLine="709"/>
              <w:rPr>
                <w:rFonts w:eastAsia="ヒラギノ明朝 Pro W3"/>
                <w:b/>
                <w:color w:val="339933"/>
                <w:szCs w:val="24"/>
              </w:rPr>
            </w:pPr>
            <w:r w:rsidRPr="00D60C1D">
              <w:rPr>
                <w:rFonts w:eastAsia="Times New Roman"/>
                <w:color w:val="000000"/>
                <w:szCs w:val="24"/>
                <w:lang w:eastAsia="tr-TR"/>
              </w:rPr>
              <w:t xml:space="preserve">İkinci </w:t>
            </w:r>
            <w:r w:rsidR="00B62391" w:rsidRPr="00D60C1D">
              <w:rPr>
                <w:rFonts w:eastAsia="Times New Roman"/>
                <w:color w:val="000000"/>
                <w:szCs w:val="24"/>
                <w:lang w:eastAsia="tr-TR"/>
              </w:rPr>
              <w:t>fıkrayla diğer taşınır malların muhafaza işlemi</w:t>
            </w:r>
            <w:r w:rsidR="00A87D2A" w:rsidRPr="00D60C1D">
              <w:rPr>
                <w:rFonts w:eastAsia="Times New Roman"/>
                <w:color w:val="000000"/>
                <w:szCs w:val="24"/>
                <w:lang w:eastAsia="tr-TR"/>
              </w:rPr>
              <w:t>yle</w:t>
            </w:r>
            <w:r w:rsidR="00B62391" w:rsidRPr="00D60C1D">
              <w:rPr>
                <w:rFonts w:eastAsia="Times New Roman"/>
                <w:color w:val="000000"/>
                <w:szCs w:val="24"/>
                <w:lang w:eastAsia="tr-TR"/>
              </w:rPr>
              <w:t xml:space="preserve"> üçüncü kişi nezdinde haczedilen ve istihkak iddiasına</w:t>
            </w:r>
            <w:r w:rsidR="00B62391" w:rsidRPr="00A23740">
              <w:rPr>
                <w:rFonts w:eastAsia="Times New Roman"/>
                <w:szCs w:val="24"/>
                <w:lang w:eastAsia="tr-TR"/>
              </w:rPr>
              <w:t xml:space="preserve"> konu edilen mallara ilişkin muhafaza işlemi </w:t>
            </w:r>
            <w:r w:rsidR="00F13F0A" w:rsidRPr="00D60C1D">
              <w:rPr>
                <w:rFonts w:eastAsia="Times New Roman"/>
                <w:color w:val="000000"/>
                <w:szCs w:val="24"/>
                <w:lang w:eastAsia="tr-TR"/>
              </w:rPr>
              <w:t>ve</w:t>
            </w:r>
            <w:r w:rsidR="00F13F0A" w:rsidRPr="00A23740">
              <w:rPr>
                <w:rFonts w:eastAsia="Times New Roman"/>
                <w:color w:val="385623"/>
                <w:szCs w:val="24"/>
                <w:lang w:eastAsia="tr-TR"/>
              </w:rPr>
              <w:t xml:space="preserve"> </w:t>
            </w:r>
            <w:r w:rsidR="00B62391" w:rsidRPr="00A23740">
              <w:rPr>
                <w:rFonts w:eastAsia="Times New Roman"/>
                <w:szCs w:val="24"/>
                <w:lang w:eastAsia="tr-TR"/>
              </w:rPr>
              <w:t>muhafaza altına alınmamış malların</w:t>
            </w:r>
            <w:r w:rsidR="00A87D2A" w:rsidRPr="00A23740">
              <w:rPr>
                <w:rFonts w:eastAsia="Times New Roman"/>
                <w:szCs w:val="24"/>
                <w:lang w:eastAsia="tr-TR"/>
              </w:rPr>
              <w:t>,</w:t>
            </w:r>
            <w:r w:rsidR="00B62391" w:rsidRPr="00A23740">
              <w:rPr>
                <w:rFonts w:eastAsia="Times New Roman"/>
                <w:szCs w:val="24"/>
                <w:lang w:eastAsia="tr-TR"/>
              </w:rPr>
              <w:t xml:space="preserve"> satış talebi üzerine muhafaza altına alınacağı veya ihale alıcısına teslime hazır hâle getirileceği</w:t>
            </w:r>
            <w:r w:rsidR="00A87D2A" w:rsidRPr="00A23740">
              <w:rPr>
                <w:rFonts w:eastAsia="Times New Roman"/>
                <w:szCs w:val="24"/>
                <w:lang w:eastAsia="tr-TR"/>
              </w:rPr>
              <w:t>,</w:t>
            </w:r>
            <w:r w:rsidR="00B62391" w:rsidRPr="00A23740">
              <w:rPr>
                <w:rFonts w:eastAsia="Times New Roman"/>
                <w:szCs w:val="24"/>
                <w:lang w:eastAsia="tr-TR"/>
              </w:rPr>
              <w:t xml:space="preserve"> aksi hâlde satış talebinin kabul </w:t>
            </w:r>
            <w:r w:rsidR="00126EFF" w:rsidRPr="00A23740">
              <w:rPr>
                <w:rFonts w:eastAsia="Times New Roman"/>
                <w:szCs w:val="24"/>
                <w:lang w:eastAsia="tr-TR"/>
              </w:rPr>
              <w:t>edilmeyeceği düzenlenmektedir.</w:t>
            </w:r>
            <w:r w:rsidR="00D2701A" w:rsidRPr="00A23740">
              <w:rPr>
                <w:rFonts w:eastAsia="Times New Roman"/>
                <w:szCs w:val="24"/>
                <w:lang w:eastAsia="tr-TR"/>
              </w:rPr>
              <w:t xml:space="preserve"> </w:t>
            </w:r>
            <w:r w:rsidR="00D2701A" w:rsidRPr="00D60C1D">
              <w:rPr>
                <w:rStyle w:val="YELChar"/>
                <w:b w:val="0"/>
                <w:color w:val="000000"/>
              </w:rPr>
              <w:t>Bu düzenleme yapılırken</w:t>
            </w:r>
            <w:r w:rsidR="00775934" w:rsidRPr="00D60C1D">
              <w:rPr>
                <w:rStyle w:val="YELChar"/>
                <w:b w:val="0"/>
                <w:color w:val="000000"/>
              </w:rPr>
              <w:t>,</w:t>
            </w:r>
            <w:r w:rsidR="00D2701A" w:rsidRPr="00D60C1D">
              <w:rPr>
                <w:rStyle w:val="YELChar"/>
                <w:b w:val="0"/>
                <w:color w:val="000000"/>
              </w:rPr>
              <w:t xml:space="preserve"> ihale </w:t>
            </w:r>
            <w:r w:rsidR="00A87D2A" w:rsidRPr="00D60C1D">
              <w:rPr>
                <w:rStyle w:val="YELChar"/>
                <w:b w:val="0"/>
                <w:color w:val="000000"/>
              </w:rPr>
              <w:t xml:space="preserve">gerçekleştikten </w:t>
            </w:r>
            <w:r w:rsidR="00D2701A" w:rsidRPr="00D60C1D">
              <w:rPr>
                <w:rStyle w:val="YELChar"/>
                <w:b w:val="0"/>
                <w:color w:val="000000"/>
              </w:rPr>
              <w:t xml:space="preserve">sonra malın teslim edilememesinden kaynaklanabilecek önemli ve çetrefil sakıncaların önüne geçilmek istenmiştir. Bu bağlamda “muhafaza altına alınma” tedbiri çok katı bulunmuş ve icra </w:t>
            </w:r>
            <w:r w:rsidR="001C3CDC" w:rsidRPr="00D60C1D">
              <w:rPr>
                <w:rStyle w:val="YELChar"/>
                <w:b w:val="0"/>
                <w:color w:val="000000"/>
              </w:rPr>
              <w:t xml:space="preserve">ve iflas </w:t>
            </w:r>
            <w:r w:rsidR="00D2701A" w:rsidRPr="00D60C1D">
              <w:rPr>
                <w:rStyle w:val="YELChar"/>
                <w:b w:val="0"/>
                <w:color w:val="000000"/>
              </w:rPr>
              <w:t xml:space="preserve">müdürüne manevra alanı sağlamak için “ihale alıcısına teslim </w:t>
            </w:r>
            <w:r w:rsidR="001C3CDC" w:rsidRPr="00D60C1D">
              <w:rPr>
                <w:rStyle w:val="YELChar"/>
                <w:b w:val="0"/>
                <w:color w:val="000000"/>
              </w:rPr>
              <w:t xml:space="preserve">edilmeye </w:t>
            </w:r>
            <w:r w:rsidR="00D2701A" w:rsidRPr="00D60C1D">
              <w:rPr>
                <w:rStyle w:val="YELChar"/>
                <w:b w:val="0"/>
                <w:color w:val="000000"/>
              </w:rPr>
              <w:t>hazır h</w:t>
            </w:r>
            <w:r w:rsidR="001D7D44" w:rsidRPr="00D60C1D">
              <w:rPr>
                <w:rStyle w:val="YELChar"/>
                <w:b w:val="0"/>
                <w:color w:val="000000"/>
              </w:rPr>
              <w:t>â</w:t>
            </w:r>
            <w:r w:rsidR="00D2701A" w:rsidRPr="00D60C1D">
              <w:rPr>
                <w:rStyle w:val="YELChar"/>
                <w:b w:val="0"/>
                <w:color w:val="000000"/>
              </w:rPr>
              <w:t>le getirilme” kavramı hükme yerleştirilmiştir.</w:t>
            </w:r>
            <w:r w:rsidR="00D2701A" w:rsidRPr="00A23740">
              <w:rPr>
                <w:rStyle w:val="YELChar"/>
              </w:rPr>
              <w:t xml:space="preserve"> </w:t>
            </w:r>
          </w:p>
          <w:p w:rsidR="00D2701A" w:rsidRPr="00A23740" w:rsidRDefault="00105619" w:rsidP="009431FF">
            <w:pPr>
              <w:ind w:firstLine="709"/>
              <w:rPr>
                <w:rFonts w:eastAsia="Times New Roman"/>
                <w:szCs w:val="24"/>
                <w:lang w:eastAsia="tr-TR"/>
              </w:rPr>
            </w:pPr>
            <w:r w:rsidRPr="00A23740">
              <w:rPr>
                <w:rFonts w:eastAsia="Times New Roman"/>
                <w:szCs w:val="24"/>
                <w:lang w:eastAsia="tr-TR"/>
              </w:rPr>
              <w:t xml:space="preserve">Üçüncü </w:t>
            </w:r>
            <w:r w:rsidR="00B62391" w:rsidRPr="00A23740">
              <w:rPr>
                <w:rFonts w:eastAsia="Times New Roman"/>
                <w:szCs w:val="24"/>
                <w:lang w:eastAsia="tr-TR"/>
              </w:rPr>
              <w:t>fıkrayla borçlunun malı yediemin olarak kabul etmemesi ve lisanslı yedi</w:t>
            </w:r>
            <w:r w:rsidR="00F72BB0" w:rsidRPr="00A23740">
              <w:rPr>
                <w:rFonts w:eastAsia="Times New Roman"/>
                <w:szCs w:val="24"/>
                <w:lang w:eastAsia="tr-TR"/>
              </w:rPr>
              <w:t>emin deposu bulunmaması hâlinde</w:t>
            </w:r>
            <w:r w:rsidR="00F72BB0" w:rsidRPr="00D60C1D">
              <w:rPr>
                <w:rStyle w:val="YELChar"/>
                <w:b w:val="0"/>
                <w:color w:val="000000"/>
              </w:rPr>
              <w:t>, malın</w:t>
            </w:r>
            <w:r w:rsidR="00F72BB0" w:rsidRPr="00A23740">
              <w:rPr>
                <w:rStyle w:val="YELChar"/>
              </w:rPr>
              <w:t xml:space="preserve"> </w:t>
            </w:r>
            <w:r w:rsidR="00B62391" w:rsidRPr="00A23740">
              <w:rPr>
                <w:rFonts w:eastAsia="Times New Roman"/>
                <w:szCs w:val="24"/>
                <w:lang w:eastAsia="tr-TR"/>
              </w:rPr>
              <w:t>a</w:t>
            </w:r>
            <w:r w:rsidR="00126EFF" w:rsidRPr="00A23740">
              <w:rPr>
                <w:rFonts w:eastAsia="Times New Roman"/>
                <w:szCs w:val="24"/>
                <w:lang w:eastAsia="tr-TR"/>
              </w:rPr>
              <w:t xml:space="preserve">lacaklıya teslim edilebileceği hüküm altına alınmaktadır. </w:t>
            </w:r>
            <w:r w:rsidR="00F72BB0" w:rsidRPr="00D60C1D">
              <w:rPr>
                <w:rStyle w:val="YELChar"/>
                <w:b w:val="0"/>
                <w:color w:val="000000"/>
              </w:rPr>
              <w:t xml:space="preserve">Ayrıca alacaklının </w:t>
            </w:r>
            <w:r w:rsidR="00D2701A" w:rsidRPr="00D60C1D">
              <w:rPr>
                <w:rStyle w:val="YELChar"/>
                <w:b w:val="0"/>
                <w:color w:val="000000"/>
              </w:rPr>
              <w:t xml:space="preserve">yediemin ücreti talep edemeyeceği </w:t>
            </w:r>
            <w:r w:rsidR="00F72BB0" w:rsidRPr="00D60C1D">
              <w:rPr>
                <w:rStyle w:val="YELChar"/>
                <w:b w:val="0"/>
                <w:color w:val="000000"/>
              </w:rPr>
              <w:t>ifade edilmekle yetinilmiş</w:t>
            </w:r>
            <w:r w:rsidR="00A87D2A" w:rsidRPr="00D60C1D">
              <w:rPr>
                <w:rStyle w:val="YELChar"/>
                <w:b w:val="0"/>
                <w:color w:val="000000"/>
              </w:rPr>
              <w:t>,</w:t>
            </w:r>
            <w:r w:rsidR="00F72BB0" w:rsidRPr="00D60C1D">
              <w:rPr>
                <w:rStyle w:val="YELChar"/>
                <w:b w:val="0"/>
                <w:color w:val="000000"/>
              </w:rPr>
              <w:t xml:space="preserve"> madde metninin amaca göre yorumundan anlaşılan bir husus olduğu için bakım ücretlerinin talep edilebileceği hususunda bir açıklamaya yer verilmemiştir. Nihayet bu fıkrada, haczedilen malların sadece lisanslı yediemin depolarında muhafazasını temin amacıyla değişikliğe gidilmiş, malın yediemin olacak herhangi bir üçüncü kişiye teslim edebilmesine imk</w:t>
            </w:r>
            <w:r w:rsidR="00BE53A8" w:rsidRPr="00D60C1D">
              <w:rPr>
                <w:rStyle w:val="YELChar"/>
                <w:b w:val="0"/>
                <w:color w:val="000000"/>
              </w:rPr>
              <w:t>â</w:t>
            </w:r>
            <w:r w:rsidR="00F72BB0" w:rsidRPr="00D60C1D">
              <w:rPr>
                <w:rStyle w:val="YELChar"/>
                <w:b w:val="0"/>
                <w:color w:val="000000"/>
              </w:rPr>
              <w:t xml:space="preserve">n verebilecek şekildeki eski yazımdan vazgeçilmiştir. </w:t>
            </w:r>
            <w:r w:rsidR="00F71186" w:rsidRPr="00D60C1D">
              <w:rPr>
                <w:rStyle w:val="YELChar"/>
                <w:b w:val="0"/>
                <w:color w:val="000000"/>
              </w:rPr>
              <w:t>Alacaklının da malı teslim almaması h</w:t>
            </w:r>
            <w:r w:rsidR="001D7D44" w:rsidRPr="00D60C1D">
              <w:rPr>
                <w:rStyle w:val="YELChar"/>
                <w:b w:val="0"/>
                <w:color w:val="000000"/>
              </w:rPr>
              <w:t>â</w:t>
            </w:r>
            <w:r w:rsidR="00F71186" w:rsidRPr="00D60C1D">
              <w:rPr>
                <w:rStyle w:val="YELChar"/>
                <w:b w:val="0"/>
                <w:color w:val="000000"/>
              </w:rPr>
              <w:t>linde</w:t>
            </w:r>
            <w:r w:rsidR="00A87D2A" w:rsidRPr="00D60C1D">
              <w:rPr>
                <w:rStyle w:val="YELChar"/>
                <w:b w:val="0"/>
                <w:color w:val="000000"/>
              </w:rPr>
              <w:t>.</w:t>
            </w:r>
            <w:r w:rsidR="00F71186" w:rsidRPr="00D60C1D">
              <w:rPr>
                <w:rStyle w:val="YELChar"/>
                <w:b w:val="0"/>
                <w:color w:val="000000"/>
              </w:rPr>
              <w:t xml:space="preserve"> haciz işlemi muhafaza işlemi yapılmadan tekemmül etmiş olacak; borçlu malı elinde bulundurmaya devam ettiği h</w:t>
            </w:r>
            <w:r w:rsidR="001D7D44" w:rsidRPr="00D60C1D">
              <w:rPr>
                <w:rStyle w:val="YELChar"/>
                <w:b w:val="0"/>
                <w:color w:val="000000"/>
              </w:rPr>
              <w:t>â</w:t>
            </w:r>
            <w:r w:rsidR="00F71186" w:rsidRPr="00D60C1D">
              <w:rPr>
                <w:rStyle w:val="YELChar"/>
                <w:b w:val="0"/>
                <w:color w:val="000000"/>
              </w:rPr>
              <w:t>lde yediemin sıfatını kazanmayacak ve bunun hukuki sonuçlarına tabi olmayacaktır.</w:t>
            </w:r>
            <w:r w:rsidR="00F71186" w:rsidRPr="00A23740">
              <w:rPr>
                <w:rStyle w:val="YELChar"/>
              </w:rPr>
              <w:t xml:space="preserve"> </w:t>
            </w:r>
          </w:p>
          <w:p w:rsidR="00F72BB0" w:rsidRPr="00A23740" w:rsidRDefault="00105619" w:rsidP="009431FF">
            <w:pPr>
              <w:ind w:firstLine="709"/>
              <w:rPr>
                <w:rFonts w:eastAsia="ヒラギノ明朝 Pro W3"/>
                <w:szCs w:val="24"/>
              </w:rPr>
            </w:pPr>
            <w:r w:rsidRPr="00A23740">
              <w:rPr>
                <w:rFonts w:eastAsia="Times New Roman"/>
                <w:szCs w:val="24"/>
                <w:lang w:eastAsia="tr-TR"/>
              </w:rPr>
              <w:t xml:space="preserve">Dördüncü </w:t>
            </w:r>
            <w:r w:rsidR="00B62391" w:rsidRPr="00A23740">
              <w:rPr>
                <w:rFonts w:eastAsia="Times New Roman"/>
                <w:szCs w:val="24"/>
                <w:lang w:eastAsia="tr-TR"/>
              </w:rPr>
              <w:t xml:space="preserve">fıkrayla </w:t>
            </w:r>
            <w:r w:rsidR="00B62391" w:rsidRPr="00A23740">
              <w:rPr>
                <w:rFonts w:eastAsia="ヒラギノ明朝 Pro W3"/>
                <w:szCs w:val="24"/>
              </w:rPr>
              <w:t xml:space="preserve">Türkiye’nin taraf olduğu uluslararası </w:t>
            </w:r>
            <w:r w:rsidR="004203B8" w:rsidRPr="00D60C1D">
              <w:rPr>
                <w:rStyle w:val="YELChar"/>
                <w:b w:val="0"/>
                <w:color w:val="000000"/>
              </w:rPr>
              <w:t>antlaşma</w:t>
            </w:r>
            <w:r w:rsidR="004203B8" w:rsidRPr="00A23740">
              <w:rPr>
                <w:rFonts w:eastAsia="ヒラギノ明朝 Pro W3"/>
                <w:szCs w:val="24"/>
              </w:rPr>
              <w:t xml:space="preserve"> </w:t>
            </w:r>
            <w:r w:rsidR="00B62391" w:rsidRPr="00A23740">
              <w:rPr>
                <w:rFonts w:eastAsia="ヒラギノ明朝 Pro W3"/>
                <w:szCs w:val="24"/>
              </w:rPr>
              <w:t>hükümleri saklı kalmak kaydıyla, yabancı devlet başkanı, parlamento başkanı, hükümet başkanı veya hükümet üyelerini taşıyan ulaşım araçlarının muhafa</w:t>
            </w:r>
            <w:r w:rsidR="00126EFF" w:rsidRPr="00A23740">
              <w:rPr>
                <w:rFonts w:eastAsia="ヒラギノ明朝 Pro W3"/>
                <w:szCs w:val="24"/>
              </w:rPr>
              <w:t xml:space="preserve">za altına alınamayacağı hususu belirtilmektedir. </w:t>
            </w:r>
          </w:p>
          <w:p w:rsidR="00F30616" w:rsidRPr="00A23740" w:rsidRDefault="00105619" w:rsidP="009431FF">
            <w:pPr>
              <w:ind w:firstLine="709"/>
              <w:rPr>
                <w:rFonts w:eastAsia="ヒラギノ明朝 Pro W3"/>
                <w:szCs w:val="24"/>
              </w:rPr>
            </w:pPr>
            <w:r w:rsidRPr="00A23740">
              <w:rPr>
                <w:rFonts w:eastAsia="ヒラギノ明朝 Pro W3"/>
                <w:szCs w:val="24"/>
              </w:rPr>
              <w:t xml:space="preserve">Beşinci </w:t>
            </w:r>
            <w:r w:rsidR="00B62391" w:rsidRPr="00A23740">
              <w:rPr>
                <w:rFonts w:eastAsia="ヒラギノ明朝 Pro W3"/>
                <w:szCs w:val="24"/>
              </w:rPr>
              <w:t>fıkrayla Taşınır Rehni Kanunu kapsamındaki taşınırlar ile rehnedilen malların muhafaza ve satış işlemleri düzenlenm</w:t>
            </w:r>
            <w:r w:rsidRPr="00A23740">
              <w:rPr>
                <w:rFonts w:eastAsia="ヒラギノ明朝 Pro W3"/>
                <w:szCs w:val="24"/>
              </w:rPr>
              <w:t>ektedir.</w:t>
            </w:r>
          </w:p>
          <w:p w:rsidR="00EE79EA" w:rsidRPr="00D60C1D" w:rsidRDefault="00F30616" w:rsidP="009431FF">
            <w:pPr>
              <w:pStyle w:val="YEL"/>
              <w:ind w:firstLine="709"/>
              <w:rPr>
                <w:b w:val="0"/>
                <w:color w:val="000000"/>
                <w:lang w:val="tr-TR" w:eastAsia="tr-TR"/>
              </w:rPr>
            </w:pPr>
            <w:r w:rsidRPr="00D60C1D">
              <w:rPr>
                <w:b w:val="0"/>
                <w:color w:val="000000"/>
                <w:lang w:val="tr-TR" w:eastAsia="tr-TR"/>
              </w:rPr>
              <w:t xml:space="preserve">2004 sayılı Kanunun </w:t>
            </w:r>
            <w:r w:rsidR="00A87D2A" w:rsidRPr="00D60C1D">
              <w:rPr>
                <w:b w:val="0"/>
                <w:color w:val="000000"/>
                <w:lang w:val="tr-TR" w:eastAsia="tr-TR"/>
              </w:rPr>
              <w:t>88 inci maddesinin</w:t>
            </w:r>
            <w:r w:rsidRPr="00D60C1D">
              <w:rPr>
                <w:b w:val="0"/>
                <w:color w:val="000000"/>
                <w:lang w:val="tr-TR" w:eastAsia="tr-TR"/>
              </w:rPr>
              <w:t xml:space="preserve"> alan </w:t>
            </w:r>
            <w:r w:rsidR="00EE79EA" w:rsidRPr="00D60C1D">
              <w:rPr>
                <w:b w:val="0"/>
                <w:color w:val="000000"/>
                <w:lang w:val="tr-TR" w:eastAsia="tr-TR"/>
              </w:rPr>
              <w:t xml:space="preserve">beşinci </w:t>
            </w:r>
            <w:r w:rsidR="00F82281" w:rsidRPr="00D60C1D">
              <w:rPr>
                <w:b w:val="0"/>
                <w:color w:val="000000"/>
                <w:lang w:val="tr-TR" w:eastAsia="tr-TR"/>
              </w:rPr>
              <w:t>ve yedinci fıkralar</w:t>
            </w:r>
            <w:r w:rsidR="00A87D2A" w:rsidRPr="00D60C1D">
              <w:rPr>
                <w:b w:val="0"/>
                <w:color w:val="000000"/>
                <w:lang w:val="tr-TR" w:eastAsia="tr-TR"/>
              </w:rPr>
              <w:t>ı</w:t>
            </w:r>
            <w:r w:rsidR="00F82281" w:rsidRPr="00D60C1D">
              <w:rPr>
                <w:b w:val="0"/>
                <w:color w:val="000000"/>
                <w:lang w:val="tr-TR" w:eastAsia="tr-TR"/>
              </w:rPr>
              <w:t xml:space="preserve"> sırasıyla </w:t>
            </w:r>
            <w:r w:rsidR="00EE79EA" w:rsidRPr="00D60C1D">
              <w:rPr>
                <w:b w:val="0"/>
                <w:color w:val="000000"/>
                <w:lang w:val="tr-TR" w:eastAsia="tr-TR"/>
              </w:rPr>
              <w:t xml:space="preserve">“yediemin depoları” </w:t>
            </w:r>
            <w:r w:rsidRPr="00D60C1D">
              <w:rPr>
                <w:b w:val="0"/>
                <w:color w:val="000000"/>
                <w:lang w:val="tr-TR" w:eastAsia="tr-TR"/>
              </w:rPr>
              <w:t xml:space="preserve">ve “araçların ve diğer malların muhafazası” </w:t>
            </w:r>
            <w:r w:rsidR="00F82281" w:rsidRPr="00D60C1D">
              <w:rPr>
                <w:b w:val="0"/>
                <w:color w:val="000000"/>
                <w:lang w:val="tr-TR" w:eastAsia="tr-TR"/>
              </w:rPr>
              <w:t xml:space="preserve">başlıklı </w:t>
            </w:r>
            <w:r w:rsidR="00EE79EA" w:rsidRPr="00D60C1D">
              <w:rPr>
                <w:b w:val="0"/>
                <w:color w:val="000000"/>
                <w:lang w:val="tr-TR" w:eastAsia="tr-TR"/>
              </w:rPr>
              <w:t>181</w:t>
            </w:r>
            <w:r w:rsidR="00DE1165">
              <w:rPr>
                <w:b w:val="0"/>
                <w:color w:val="000000"/>
                <w:lang w:val="tr-TR" w:eastAsia="tr-TR"/>
              </w:rPr>
              <w:t xml:space="preserve"> </w:t>
            </w:r>
            <w:r w:rsidR="00EE79EA" w:rsidRPr="00D60C1D">
              <w:rPr>
                <w:b w:val="0"/>
                <w:color w:val="000000"/>
                <w:lang w:val="tr-TR" w:eastAsia="tr-TR"/>
              </w:rPr>
              <w:t>ve 182 nci</w:t>
            </w:r>
            <w:r w:rsidR="00EE79EA" w:rsidRPr="00A23740">
              <w:rPr>
                <w:lang w:val="tr-TR" w:eastAsia="tr-TR"/>
              </w:rPr>
              <w:t xml:space="preserve"> </w:t>
            </w:r>
            <w:r w:rsidR="00F82281" w:rsidRPr="00D60C1D">
              <w:rPr>
                <w:b w:val="0"/>
                <w:color w:val="000000"/>
                <w:lang w:val="tr-TR" w:eastAsia="tr-TR"/>
              </w:rPr>
              <w:t xml:space="preserve">maddelere taşınmıştır. </w:t>
            </w:r>
          </w:p>
          <w:p w:rsidR="00F30616" w:rsidRPr="00A23740" w:rsidRDefault="00EE79EA" w:rsidP="008B4E7E">
            <w:pPr>
              <w:pStyle w:val="YEL"/>
              <w:ind w:firstLine="709"/>
              <w:rPr>
                <w:rFonts w:eastAsia="Times New Roman"/>
                <w:b w:val="0"/>
                <w:color w:val="000000"/>
                <w:lang w:eastAsia="tr-TR"/>
              </w:rPr>
            </w:pPr>
            <w:r w:rsidRPr="00D60C1D">
              <w:rPr>
                <w:b w:val="0"/>
                <w:color w:val="000000"/>
                <w:lang w:val="tr-TR"/>
              </w:rPr>
              <w:t xml:space="preserve">6750 sayılı </w:t>
            </w:r>
            <w:r w:rsidR="00A87D2A" w:rsidRPr="00D60C1D">
              <w:rPr>
                <w:b w:val="0"/>
                <w:color w:val="000000"/>
                <w:lang w:val="tr-TR"/>
              </w:rPr>
              <w:t>K</w:t>
            </w:r>
            <w:r w:rsidRPr="00D60C1D">
              <w:rPr>
                <w:b w:val="0"/>
                <w:color w:val="000000"/>
                <w:lang w:val="tr-TR"/>
              </w:rPr>
              <w:t xml:space="preserve">anun hükümlerinin saklı tutulmasına ilişkin düzenlemenin </w:t>
            </w:r>
            <w:r w:rsidR="00654D26" w:rsidRPr="00D60C1D">
              <w:rPr>
                <w:b w:val="0"/>
                <w:color w:val="000000"/>
                <w:lang w:val="tr-TR"/>
              </w:rPr>
              <w:t xml:space="preserve">Taslağın </w:t>
            </w:r>
            <w:r w:rsidRPr="00D60C1D">
              <w:rPr>
                <w:b w:val="0"/>
                <w:color w:val="000000"/>
                <w:lang w:val="tr-TR"/>
              </w:rPr>
              <w:t xml:space="preserve">geçiş hükümleri arasında yer almasının uygun olacağı düşünülerek </w:t>
            </w:r>
            <w:r w:rsidR="00654D26" w:rsidRPr="00D60C1D">
              <w:rPr>
                <w:b w:val="0"/>
                <w:color w:val="000000"/>
                <w:lang w:val="tr-TR"/>
              </w:rPr>
              <w:t xml:space="preserve">bu düzenleme </w:t>
            </w:r>
            <w:r w:rsidRPr="00D60C1D">
              <w:rPr>
                <w:b w:val="0"/>
                <w:color w:val="000000"/>
                <w:lang w:val="tr-TR"/>
              </w:rPr>
              <w:t>beşinci fıkranın son c</w:t>
            </w:r>
            <w:r w:rsidR="008B4E7E">
              <w:rPr>
                <w:b w:val="0"/>
                <w:color w:val="000000"/>
                <w:lang w:val="tr-TR"/>
              </w:rPr>
              <w:t>ümlesi metinden çıkartılmıştır.</w:t>
            </w:r>
          </w:p>
          <w:p w:rsidR="00F82281" w:rsidRPr="00A23740" w:rsidRDefault="00F82281" w:rsidP="008B4E7E">
            <w:pPr>
              <w:tabs>
                <w:tab w:val="left" w:pos="567"/>
              </w:tabs>
              <w:ind w:firstLine="709"/>
              <w:rPr>
                <w:b/>
                <w:bCs/>
                <w:color w:val="0000FF"/>
                <w:szCs w:val="24"/>
                <w:lang w:val="x-none" w:eastAsia="x-none"/>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rPr>
                <w:lang w:val="tr-TR"/>
              </w:rPr>
            </w:pPr>
            <w:r w:rsidRPr="00A23740">
              <w:rPr>
                <w:lang w:val="tr-TR"/>
              </w:rPr>
              <w:t>Mahcuz malları muhafaza tedbirleri :</w:t>
            </w:r>
          </w:p>
          <w:p w:rsidR="00AA5C8C" w:rsidRPr="00A23740" w:rsidRDefault="00AA5C8C" w:rsidP="009431FF">
            <w:pPr>
              <w:pStyle w:val="KIRMIZI"/>
              <w:rPr>
                <w:lang w:val="tr-TR"/>
              </w:rPr>
            </w:pPr>
            <w:r w:rsidRPr="00A23740">
              <w:rPr>
                <w:lang w:val="tr-TR"/>
              </w:rPr>
              <w:t>1 – Taşınırlar  hakkında:</w:t>
            </w:r>
          </w:p>
          <w:p w:rsidR="00AA5C8C" w:rsidRPr="00A23740" w:rsidRDefault="00AA5C8C" w:rsidP="009431FF">
            <w:pPr>
              <w:pStyle w:val="KIRMIZI"/>
            </w:pPr>
            <w:r w:rsidRPr="00A23740">
              <w:t>Madde 88 –</w:t>
            </w:r>
          </w:p>
          <w:p w:rsidR="00AA5C8C" w:rsidRPr="00A23740" w:rsidRDefault="00AA5C8C" w:rsidP="009431FF">
            <w:pPr>
              <w:pStyle w:val="KIRMIZI"/>
              <w:rPr>
                <w:rStyle w:val="KIRMIZIChar"/>
                <w:rFonts w:eastAsia="ヒラギノ明朝 Pro W3"/>
                <w:strike/>
                <w:lang w:val="tr-TR"/>
              </w:rPr>
            </w:pPr>
            <w:r w:rsidRPr="00A23740">
              <w:rPr>
                <w:strike w:val="0"/>
                <w:lang w:val="tr-TR"/>
              </w:rPr>
              <w:t>…</w:t>
            </w:r>
          </w:p>
          <w:p w:rsidR="00AA5C8C" w:rsidRPr="00A23740" w:rsidRDefault="00AA5C8C" w:rsidP="009431FF">
            <w:pPr>
              <w:tabs>
                <w:tab w:val="left" w:pos="566"/>
              </w:tabs>
              <w:rPr>
                <w:rFonts w:eastAsia="ヒラギノ明朝 Pro W3"/>
                <w:szCs w:val="24"/>
              </w:rPr>
            </w:pPr>
            <w:r w:rsidRPr="00A23740">
              <w:rPr>
                <w:rStyle w:val="KIRMIZIChar"/>
                <w:rFonts w:eastAsia="ヒラギノ明朝 Pro W3"/>
              </w:rPr>
              <w:t>(5)</w:t>
            </w:r>
            <w:r w:rsidRPr="00A23740">
              <w:rPr>
                <w:rFonts w:eastAsia="ヒラギノ明朝 Pro W3"/>
                <w:szCs w:val="24"/>
              </w:rPr>
              <w:t xml:space="preserve"> Haczedilen mallar, Adalet Bakanlığı tarafından yetki verilen gerçek veya tüzel kişilere ait lisanslı yediemin depolarında muhafaza edilir. Yetki verilen gerçek veya tüzel kişiler, bu yetkilerini Adalet Bakanlığının onayıyla alt işleticilere aynı standartları sağlamak koşuluyla devredebilirler. Bu devir, yetki verilen gerçek veya tüzel kişilerin sorumluluklarını ortadan kaldırmaz. </w:t>
            </w:r>
            <w:r w:rsidRPr="00A23740">
              <w:rPr>
                <w:rStyle w:val="KIRMIZIChar"/>
                <w:rFonts w:eastAsia="ヒラギノ明朝 Pro W3"/>
              </w:rPr>
              <w:t>Bu</w:t>
            </w:r>
            <w:r w:rsidRPr="00A23740">
              <w:rPr>
                <w:rFonts w:eastAsia="ヒラギノ明朝 Pro W3"/>
                <w:szCs w:val="24"/>
              </w:rPr>
              <w:t xml:space="preserve"> depoların yönetmelikte belirlenen nitelik ve şartlara uygunluğunun saptanması sonucunda işletme belgesi Adalet Bakanlığı tarafından verilir. Haczedilen malların muhafaza işlemleri; lisanslı yediemin depolarının kuruluşuna, bu depolarda bulunması gereken asgari niteliklere, depo için alınacak teminata, mallar için muhtemel rizikolara karşı yapılacak sigortaya; işletici olma niteliklerine, işletici lisansına, Adalet Bakanlığı tarafından bu lisansın verilmesine; Adalet Bakanlığının lisanslı işletmelerle ilgili görev ve yetkilerine; faaliyetin durdurulması ya da iptali gibi idari tedbir ve tasarruflara; bu depoların denetimine ve diğer hususlara ilişkin usul ve esaslar, </w:t>
            </w:r>
            <w:r w:rsidRPr="00A23740">
              <w:rPr>
                <w:rStyle w:val="KIRMIZIChar"/>
                <w:rFonts w:eastAsia="ヒラギノ明朝 Pro W3"/>
              </w:rPr>
              <w:t>Adalet Bakanlığı tarafından</w:t>
            </w:r>
            <w:r w:rsidRPr="00A23740">
              <w:rPr>
                <w:rFonts w:eastAsia="ヒラギノ明朝 Pro W3"/>
                <w:szCs w:val="24"/>
              </w:rPr>
              <w:t xml:space="preserve"> </w:t>
            </w:r>
            <w:r w:rsidRPr="00A23740">
              <w:rPr>
                <w:rStyle w:val="KIRMIZIChar"/>
                <w:rFonts w:eastAsia="ヒラギノ明朝 Pro W3"/>
              </w:rPr>
              <w:t>çıkarılan</w:t>
            </w:r>
            <w:r w:rsidRPr="00A23740">
              <w:rPr>
                <w:rFonts w:eastAsia="ヒラギノ明朝 Pro W3"/>
                <w:szCs w:val="24"/>
              </w:rPr>
              <w:t xml:space="preserve"> yönetmelik</w:t>
            </w:r>
            <w:r w:rsidRPr="00A23740">
              <w:rPr>
                <w:rStyle w:val="KIRMIZIChar"/>
                <w:rFonts w:eastAsia="ヒラギノ明朝 Pro W3"/>
              </w:rPr>
              <w:t>t</w:t>
            </w:r>
            <w:r w:rsidRPr="00A23740">
              <w:rPr>
                <w:rFonts w:eastAsia="ヒラギノ明朝 Pro W3"/>
                <w:szCs w:val="24"/>
              </w:rPr>
              <w:t>e düzenlenir. Haczedilen malların muhafazası aşamasındaki ücretler Adalet Bakanlığı tarafından düzenlenecek tarifeyle belirlenir.</w:t>
            </w:r>
          </w:p>
          <w:p w:rsidR="00AA5C8C" w:rsidRPr="00A23740" w:rsidRDefault="00AA5C8C" w:rsidP="009431FF">
            <w:pPr>
              <w:tabs>
                <w:tab w:val="left" w:pos="567"/>
              </w:tabs>
              <w:rPr>
                <w:rFonts w:eastAsia="ヒラギノ明朝 Pro W3"/>
                <w:szCs w:val="24"/>
              </w:rPr>
            </w:pPr>
          </w:p>
          <w:p w:rsidR="00AA5C8C" w:rsidRPr="00A23740" w:rsidRDefault="00AA5C8C" w:rsidP="009431FF">
            <w:pPr>
              <w:tabs>
                <w:tab w:val="left" w:pos="566"/>
              </w:tabs>
              <w:rPr>
                <w:rStyle w:val="KIRMIZIChar"/>
                <w:rFonts w:eastAsia="ヒラギノ明朝 Pro W3"/>
              </w:rPr>
            </w:pPr>
          </w:p>
        </w:tc>
        <w:tc>
          <w:tcPr>
            <w:tcW w:w="2500" w:type="pct"/>
          </w:tcPr>
          <w:p w:rsidR="00AA5C8C" w:rsidRPr="00A23740" w:rsidRDefault="00AA5C8C" w:rsidP="009431FF">
            <w:pPr>
              <w:tabs>
                <w:tab w:val="left" w:pos="567"/>
              </w:tabs>
              <w:rPr>
                <w:rFonts w:eastAsia="ヒラギノ明朝 Pro W3"/>
                <w:b/>
                <w:color w:val="0000FF"/>
                <w:szCs w:val="24"/>
                <w:lang w:eastAsia="tr-TR"/>
              </w:rPr>
            </w:pPr>
            <w:r w:rsidRPr="00A23740">
              <w:rPr>
                <w:rFonts w:eastAsia="ヒラギノ明朝 Pro W3"/>
                <w:b/>
                <w:color w:val="0000FF"/>
                <w:szCs w:val="24"/>
                <w:lang w:eastAsia="tr-TR"/>
              </w:rPr>
              <w:t>Yediemin depoları</w:t>
            </w:r>
          </w:p>
          <w:p w:rsidR="00AA5C8C" w:rsidRPr="00A23740" w:rsidRDefault="00EE79EA" w:rsidP="009431FF">
            <w:pPr>
              <w:tabs>
                <w:tab w:val="left" w:pos="567"/>
              </w:tabs>
              <w:rPr>
                <w:rFonts w:eastAsia="ヒラギノ明朝 Pro W3"/>
                <w:szCs w:val="24"/>
              </w:rPr>
            </w:pPr>
            <w:r w:rsidRPr="00A23740">
              <w:rPr>
                <w:rFonts w:eastAsia="ヒラギノ明朝 Pro W3"/>
                <w:b/>
                <w:color w:val="0000FF"/>
                <w:szCs w:val="24"/>
                <w:lang w:eastAsia="tr-TR"/>
              </w:rPr>
              <w:t xml:space="preserve">MADDE </w:t>
            </w:r>
            <w:r w:rsidRPr="00D03F47">
              <w:rPr>
                <w:rStyle w:val="Balk1Char"/>
                <w:rFonts w:eastAsia="ヒラギノ明朝 Pro W3"/>
              </w:rPr>
              <w:t>181</w:t>
            </w:r>
            <w:r w:rsidR="00AA5C8C" w:rsidRPr="00A23740">
              <w:rPr>
                <w:rFonts w:eastAsia="ヒラギノ明朝 Pro W3"/>
                <w:b/>
                <w:color w:val="0000FF"/>
                <w:szCs w:val="24"/>
                <w:lang w:eastAsia="tr-TR"/>
              </w:rPr>
              <w:t>- (1)</w:t>
            </w:r>
            <w:r w:rsidR="00AA5C8C" w:rsidRPr="00A23740">
              <w:rPr>
                <w:rFonts w:eastAsia="ヒラギノ明朝 Pro W3"/>
                <w:szCs w:val="24"/>
              </w:rPr>
              <w:t xml:space="preserve"> Haczedilen mallar, Adalet Bakanlığı tarafından yetki verilen gerçek veya tüzel kişilere ait lisanslı yediemin depolarında muhafaza edilir.</w:t>
            </w:r>
          </w:p>
          <w:p w:rsidR="00AA5C8C" w:rsidRPr="00A23740" w:rsidRDefault="00AA5C8C" w:rsidP="009431FF">
            <w:pPr>
              <w:tabs>
                <w:tab w:val="left" w:pos="567"/>
              </w:tabs>
              <w:rPr>
                <w:rFonts w:eastAsia="ヒラギノ明朝 Pro W3"/>
                <w:szCs w:val="24"/>
              </w:rPr>
            </w:pPr>
          </w:p>
          <w:p w:rsidR="00AA5C8C" w:rsidRPr="00A23740" w:rsidRDefault="00AA5C8C" w:rsidP="009431FF">
            <w:pPr>
              <w:tabs>
                <w:tab w:val="left" w:pos="567"/>
              </w:tabs>
              <w:rPr>
                <w:rFonts w:eastAsia="ヒラギノ明朝 Pro W3"/>
                <w:szCs w:val="24"/>
              </w:rPr>
            </w:pPr>
            <w:r w:rsidRPr="00A23740">
              <w:rPr>
                <w:rStyle w:val="MaviChar"/>
              </w:rPr>
              <w:t>(2)</w:t>
            </w:r>
            <w:r w:rsidRPr="00A23740">
              <w:rPr>
                <w:rFonts w:eastAsia="ヒラギノ明朝 Pro W3"/>
                <w:szCs w:val="24"/>
              </w:rPr>
              <w:t xml:space="preserve"> Yetki verilen gerçek veya tüzel kişiler, bu yetkilerini Adalet Bakanlığının onayıyla alt işleticilere aynı standartları sağlamak koşuluyla devredebilirler. Bu devir, yetki verilen gerçek veya tüzel kişilerin sorumluluklarını ortadan kaldırmaz. </w:t>
            </w:r>
          </w:p>
          <w:p w:rsidR="00AA5C8C" w:rsidRPr="00A23740" w:rsidRDefault="00AA5C8C" w:rsidP="009431FF">
            <w:pPr>
              <w:tabs>
                <w:tab w:val="left" w:pos="567"/>
              </w:tabs>
              <w:rPr>
                <w:rFonts w:eastAsia="ヒラギノ明朝 Pro W3"/>
                <w:szCs w:val="24"/>
              </w:rPr>
            </w:pPr>
          </w:p>
          <w:p w:rsidR="00AA5C8C" w:rsidRPr="00A23740" w:rsidRDefault="00AA5C8C" w:rsidP="009431FF">
            <w:pPr>
              <w:tabs>
                <w:tab w:val="left" w:pos="567"/>
              </w:tabs>
              <w:rPr>
                <w:rFonts w:eastAsia="ヒラギノ明朝 Pro W3"/>
                <w:szCs w:val="24"/>
              </w:rPr>
            </w:pPr>
            <w:r w:rsidRPr="00A23740">
              <w:rPr>
                <w:rStyle w:val="MaviChar"/>
              </w:rPr>
              <w:t>(3) Yediemin</w:t>
            </w:r>
            <w:r w:rsidRPr="00A23740">
              <w:rPr>
                <w:rFonts w:eastAsia="ヒラギノ明朝 Pro W3"/>
                <w:szCs w:val="24"/>
              </w:rPr>
              <w:t xml:space="preserve"> depoların</w:t>
            </w:r>
            <w:r w:rsidRPr="00A23740">
              <w:rPr>
                <w:rStyle w:val="MaviChar"/>
              </w:rPr>
              <w:t>ın</w:t>
            </w:r>
            <w:r w:rsidRPr="00A23740">
              <w:rPr>
                <w:rFonts w:eastAsia="ヒラギノ明朝 Pro W3"/>
                <w:szCs w:val="24"/>
              </w:rPr>
              <w:t xml:space="preserve"> yönetmelikte belirlenen nitelik ve şartlara uygunluğunun saptanması sonucunda işletme belgesi Adalet Bakanlığı tarafından verilir. </w:t>
            </w:r>
          </w:p>
          <w:p w:rsidR="00AA5C8C" w:rsidRPr="00A23740" w:rsidRDefault="00AA5C8C" w:rsidP="009431FF">
            <w:pPr>
              <w:tabs>
                <w:tab w:val="left" w:pos="567"/>
              </w:tabs>
              <w:rPr>
                <w:rFonts w:eastAsia="ヒラギノ明朝 Pro W3"/>
                <w:szCs w:val="24"/>
              </w:rPr>
            </w:pPr>
          </w:p>
          <w:p w:rsidR="00AA5C8C" w:rsidRPr="00A23740" w:rsidRDefault="00AA5C8C" w:rsidP="009431FF">
            <w:pPr>
              <w:tabs>
                <w:tab w:val="left" w:pos="567"/>
              </w:tabs>
              <w:rPr>
                <w:rFonts w:eastAsia="ヒラギノ明朝 Pro W3"/>
                <w:szCs w:val="24"/>
              </w:rPr>
            </w:pPr>
            <w:r w:rsidRPr="00A23740">
              <w:rPr>
                <w:rStyle w:val="MaviChar"/>
              </w:rPr>
              <w:t>(4)</w:t>
            </w:r>
            <w:r w:rsidRPr="00A23740">
              <w:rPr>
                <w:rFonts w:eastAsia="ヒラギノ明朝 Pro W3"/>
                <w:szCs w:val="24"/>
              </w:rPr>
              <w:t xml:space="preserve"> Haczedilen malların muhafaza işlemleri; lisanslı yediemin depolarının kuruluşuna, bu depolarda bulunması gereken asgari niteliklere, depo için alınacak teminata, mallar için muhtemel rizikolara karşı yapılacak sigortaya; işletici olma niteliklerine, işletici lisansına, Adalet Bakanlığı tarafından bu lisansın verilmesine; Adalet Bakanlığının lisanslı işletmelerle ilgili görev ve yetkilerine; faaliyetin durdurulması ya da iptali gibi idari tedbir ve tasarruflara; bu depoların denetimine ve diğer hususlara ilişkin usul ve esaslar, yönetmelik</w:t>
            </w:r>
            <w:r w:rsidRPr="00A23740">
              <w:rPr>
                <w:rStyle w:val="MaviChar"/>
              </w:rPr>
              <w:t>l</w:t>
            </w:r>
            <w:r w:rsidRPr="00A23740">
              <w:rPr>
                <w:rFonts w:eastAsia="ヒラギノ明朝 Pro W3"/>
                <w:szCs w:val="24"/>
              </w:rPr>
              <w:t xml:space="preserve">e düzenlenir. </w:t>
            </w:r>
          </w:p>
          <w:p w:rsidR="00594C9D" w:rsidRDefault="00594C9D" w:rsidP="009431FF">
            <w:pPr>
              <w:tabs>
                <w:tab w:val="left" w:pos="567"/>
              </w:tabs>
              <w:rPr>
                <w:rStyle w:val="MaviChar"/>
              </w:rPr>
            </w:pPr>
          </w:p>
          <w:p w:rsidR="00AA5C8C" w:rsidRPr="00A23740" w:rsidRDefault="00AA5C8C" w:rsidP="009431FF">
            <w:pPr>
              <w:tabs>
                <w:tab w:val="left" w:pos="567"/>
              </w:tabs>
              <w:rPr>
                <w:rFonts w:eastAsia="ヒラギノ明朝 Pro W3"/>
                <w:szCs w:val="24"/>
              </w:rPr>
            </w:pPr>
            <w:r w:rsidRPr="00A23740">
              <w:rPr>
                <w:rStyle w:val="MaviChar"/>
              </w:rPr>
              <w:t>(5)</w:t>
            </w:r>
            <w:r w:rsidRPr="00A23740">
              <w:rPr>
                <w:rFonts w:eastAsia="ヒラギノ明朝 Pro W3"/>
                <w:szCs w:val="24"/>
              </w:rPr>
              <w:t xml:space="preserve"> Haczedilen malların muhafazası aşamasındaki ücretler Adalet Bakanlığı tarafından düzenlenecek tarifeyle belirlenir.</w:t>
            </w:r>
          </w:p>
          <w:p w:rsidR="00D95B9F" w:rsidRPr="00A23740" w:rsidRDefault="00D95B9F" w:rsidP="009431FF">
            <w:pPr>
              <w:pStyle w:val="KonuBal"/>
            </w:pPr>
          </w:p>
        </w:tc>
      </w:tr>
      <w:tr w:rsidR="00B62391" w:rsidRPr="00A23740" w:rsidTr="009431FF">
        <w:tblPrEx>
          <w:tblLook w:val="01E0" w:firstRow="1" w:lastRow="1" w:firstColumn="1" w:lastColumn="1" w:noHBand="0" w:noVBand="0"/>
        </w:tblPrEx>
        <w:tc>
          <w:tcPr>
            <w:tcW w:w="5000" w:type="pct"/>
            <w:gridSpan w:val="2"/>
            <w:shd w:val="clear" w:color="auto" w:fill="DEEAF6"/>
          </w:tcPr>
          <w:p w:rsidR="00B62391" w:rsidRPr="00A23740" w:rsidRDefault="00B62391" w:rsidP="009431FF">
            <w:pPr>
              <w:ind w:firstLine="709"/>
              <w:rPr>
                <w:rFonts w:eastAsia="Times New Roman"/>
                <w:b/>
                <w:color w:val="000000"/>
                <w:szCs w:val="24"/>
                <w:lang w:eastAsia="tr-TR"/>
              </w:rPr>
            </w:pPr>
          </w:p>
          <w:p w:rsidR="00105619" w:rsidRPr="00A23740" w:rsidRDefault="00B13974" w:rsidP="009431FF">
            <w:pPr>
              <w:tabs>
                <w:tab w:val="left" w:pos="567"/>
              </w:tabs>
              <w:ind w:firstLine="709"/>
              <w:rPr>
                <w:rFonts w:eastAsia="ヒラギノ明朝 Pro W3"/>
                <w:b/>
                <w:color w:val="0000FF"/>
                <w:szCs w:val="24"/>
                <w:lang w:eastAsia="tr-TR"/>
              </w:rPr>
            </w:pPr>
            <w:r w:rsidRPr="00A23740">
              <w:rPr>
                <w:rFonts w:eastAsia="ヒラギノ明朝 Pro W3"/>
                <w:b/>
                <w:szCs w:val="24"/>
                <w:lang w:eastAsia="tr-TR"/>
              </w:rPr>
              <w:t>MADDE 181</w:t>
            </w:r>
            <w:r w:rsidR="00126EFF" w:rsidRPr="00A23740">
              <w:rPr>
                <w:rFonts w:eastAsia="ヒラギノ明朝 Pro W3"/>
                <w:b/>
                <w:szCs w:val="24"/>
                <w:lang w:eastAsia="tr-TR"/>
              </w:rPr>
              <w:t>-</w:t>
            </w:r>
            <w:r w:rsidR="00B62391" w:rsidRPr="00A23740">
              <w:rPr>
                <w:rFonts w:eastAsia="ヒラギノ明朝 Pro W3"/>
                <w:b/>
                <w:szCs w:val="24"/>
                <w:lang w:eastAsia="tr-TR"/>
              </w:rPr>
              <w:t xml:space="preserve"> </w:t>
            </w:r>
            <w:r w:rsidR="00105619" w:rsidRPr="00A23740">
              <w:rPr>
                <w:rFonts w:eastAsia="Times New Roman"/>
                <w:szCs w:val="24"/>
                <w:lang w:eastAsia="tr-TR"/>
              </w:rPr>
              <w:t xml:space="preserve">Maddeyle, </w:t>
            </w:r>
            <w:r w:rsidR="00126EFF" w:rsidRPr="00A23740">
              <w:rPr>
                <w:rFonts w:eastAsia="Times New Roman"/>
                <w:szCs w:val="24"/>
                <w:lang w:eastAsia="tr-TR"/>
              </w:rPr>
              <w:t xml:space="preserve">haczedilen malların Adalet Bakanlığınca yetki verilen lisanslı yediemin depolarında muhafaza edileceğine ilişkin hususlar </w:t>
            </w:r>
            <w:r w:rsidR="00105619" w:rsidRPr="00A23740">
              <w:rPr>
                <w:rFonts w:eastAsia="Times New Roman"/>
                <w:szCs w:val="24"/>
                <w:lang w:eastAsia="tr-TR"/>
              </w:rPr>
              <w:t>düzenlenmektedir. Hüküm, 2004 sayılı Kanunun 88 inci maddesine karşılık gelmektedir.</w:t>
            </w:r>
          </w:p>
          <w:p w:rsidR="00126EFF" w:rsidRPr="00A23740" w:rsidRDefault="00B62391" w:rsidP="009431FF">
            <w:pPr>
              <w:ind w:firstLine="709"/>
              <w:rPr>
                <w:rFonts w:eastAsia="Times New Roman"/>
                <w:b/>
                <w:color w:val="000000"/>
                <w:szCs w:val="24"/>
                <w:lang w:eastAsia="tr-TR"/>
              </w:rPr>
            </w:pPr>
            <w:r w:rsidRPr="00A23740">
              <w:rPr>
                <w:rFonts w:eastAsia="ヒラギノ明朝 Pro W3"/>
                <w:szCs w:val="24"/>
              </w:rPr>
              <w:t>Haczedilen malların Adalet Bakanlığı tarafından yetki verilen gerçek veya tüzel kişilere ait lisanslı yediemin depolarında muhafaza edileceği, yetki verilen yediemin depolarının bu yetkilerini Adalet Bakanlığının onayını almak suretiyle alt işleticilere devredebileceği, yediemin depolarının nitelik ve şartları ile bu şartlara uygunluğunun değerlendirilmesi, yönetmelik yetkisi ve ödenecek ücrete ilişkin düzenleme yapılmıştır.</w:t>
            </w:r>
          </w:p>
          <w:p w:rsidR="00B62391" w:rsidRPr="00A23740" w:rsidRDefault="00B62391" w:rsidP="007136A5">
            <w:pPr>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6"/>
              </w:tabs>
              <w:rPr>
                <w:rFonts w:eastAsia="ヒラギノ明朝 Pro W3"/>
                <w:szCs w:val="24"/>
              </w:rPr>
            </w:pPr>
            <w:r w:rsidRPr="00A23740">
              <w:rPr>
                <w:rStyle w:val="KIRMIZIChar"/>
                <w:rFonts w:eastAsia="ヒラギノ明朝 Pro W3"/>
              </w:rPr>
              <w:t>(7)</w:t>
            </w:r>
            <w:r w:rsidRPr="00A23740">
              <w:rPr>
                <w:rFonts w:eastAsia="ヒラギノ明朝 Pro W3"/>
                <w:szCs w:val="24"/>
              </w:rPr>
              <w:t xml:space="preserve"> İcra müdürlüklerinin talebi üzerine kolluk kuvvetleri tarafından yakalanan araçlar, en geç üç iş günü içinde en yakın icra müdürlüğüne teslim edilir. Aracı teslim alan icra müdürlüğü, aracın yakalanmasını isteyen icra müdürlüğüne bildirimde bulunur.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6"/>
              </w:tabs>
              <w:rPr>
                <w:rStyle w:val="MAVChar"/>
                <w:rFonts w:eastAsia="ヒラギノ明朝 Pro W3"/>
                <w:u w:val="none"/>
              </w:rPr>
            </w:pPr>
            <w:r w:rsidRPr="00A23740">
              <w:rPr>
                <w:rStyle w:val="MAVChar"/>
                <w:rFonts w:eastAsia="ヒラギノ明朝 Pro W3"/>
                <w:u w:val="none"/>
              </w:rPr>
              <w:t>Araçların ve diğer taşınır malların muhafazası</w:t>
            </w:r>
          </w:p>
          <w:p w:rsidR="00AA5C8C" w:rsidRPr="00A23740" w:rsidRDefault="00EE79EA" w:rsidP="009431FF">
            <w:pPr>
              <w:tabs>
                <w:tab w:val="left" w:pos="566"/>
              </w:tabs>
              <w:rPr>
                <w:rFonts w:eastAsia="ヒラギノ明朝 Pro W3"/>
                <w:szCs w:val="24"/>
              </w:rPr>
            </w:pPr>
            <w:r w:rsidRPr="00A23740">
              <w:rPr>
                <w:rStyle w:val="MAVChar"/>
                <w:rFonts w:eastAsia="ヒラギノ明朝 Pro W3"/>
                <w:u w:val="none"/>
              </w:rPr>
              <w:t xml:space="preserve">MADDE </w:t>
            </w:r>
            <w:r w:rsidRPr="00D03F47">
              <w:rPr>
                <w:rStyle w:val="Balk1Char"/>
                <w:rFonts w:eastAsia="ヒラギノ明朝 Pro W3"/>
              </w:rPr>
              <w:t>182</w:t>
            </w:r>
            <w:r w:rsidR="00AA5C8C" w:rsidRPr="00A23740">
              <w:rPr>
                <w:rStyle w:val="MAVChar"/>
                <w:rFonts w:eastAsia="ヒラギノ明朝 Pro W3"/>
                <w:u w:val="none"/>
              </w:rPr>
              <w:t>- (1)</w:t>
            </w:r>
            <w:r w:rsidR="00AA5C8C" w:rsidRPr="00A23740">
              <w:rPr>
                <w:rFonts w:eastAsia="ヒラギノ明朝 Pro W3"/>
                <w:szCs w:val="24"/>
              </w:rPr>
              <w:t xml:space="preserve"> İcra </w:t>
            </w:r>
            <w:r w:rsidR="00AA5C8C" w:rsidRPr="00A23740">
              <w:rPr>
                <w:rStyle w:val="MaviChar"/>
              </w:rPr>
              <w:t>ve iflas dairelerinin</w:t>
            </w:r>
            <w:r w:rsidR="00AA5C8C" w:rsidRPr="00A23740">
              <w:rPr>
                <w:rFonts w:eastAsia="ヒラギノ明朝 Pro W3"/>
                <w:szCs w:val="24"/>
              </w:rPr>
              <w:t xml:space="preserve"> talebi üzerine kolluk kuvvetleri tarafından yakalanan araçlar, en geç üç iş günü içinde en yakın icra </w:t>
            </w:r>
            <w:r w:rsidR="00AA5C8C" w:rsidRPr="00A23740">
              <w:rPr>
                <w:rStyle w:val="MaviChar"/>
              </w:rPr>
              <w:t>ve iflas dairesine</w:t>
            </w:r>
            <w:r w:rsidR="00AA5C8C" w:rsidRPr="00A23740">
              <w:rPr>
                <w:rStyle w:val="YELChar"/>
              </w:rPr>
              <w:t xml:space="preserve"> </w:t>
            </w:r>
            <w:r w:rsidR="00AA5C8C" w:rsidRPr="00A23740">
              <w:rPr>
                <w:rFonts w:eastAsia="ヒラギノ明朝 Pro W3"/>
                <w:szCs w:val="24"/>
              </w:rPr>
              <w:t xml:space="preserve">teslim edilir. Aracı teslim alan icra </w:t>
            </w:r>
            <w:r w:rsidR="00AA5C8C" w:rsidRPr="00A23740">
              <w:rPr>
                <w:rStyle w:val="MaviChar"/>
              </w:rPr>
              <w:t>ve iflas daireleri</w:t>
            </w:r>
            <w:r w:rsidR="00AA5C8C" w:rsidRPr="00A23740">
              <w:rPr>
                <w:rFonts w:eastAsia="ヒラギノ明朝 Pro W3"/>
                <w:szCs w:val="24"/>
              </w:rPr>
              <w:t xml:space="preserve">, aracın yakalanmasını isteyen icra </w:t>
            </w:r>
            <w:r w:rsidR="00142328" w:rsidRPr="00D03F47">
              <w:rPr>
                <w:rStyle w:val="Balk1Char"/>
                <w:rFonts w:eastAsia="ヒラギノ明朝 Pro W3"/>
              </w:rPr>
              <w:t>ve iflas</w:t>
            </w:r>
            <w:r w:rsidR="00142328" w:rsidRPr="00A23740">
              <w:rPr>
                <w:rFonts w:eastAsia="ヒラギノ明朝 Pro W3"/>
                <w:color w:val="385623"/>
                <w:szCs w:val="24"/>
              </w:rPr>
              <w:t xml:space="preserve"> </w:t>
            </w:r>
            <w:r w:rsidR="00AA5C8C" w:rsidRPr="00A23740">
              <w:rPr>
                <w:rFonts w:eastAsia="ヒラギノ明朝 Pro W3"/>
                <w:szCs w:val="24"/>
              </w:rPr>
              <w:t xml:space="preserve">müdürlüğüne bildirimde bulunur. </w:t>
            </w:r>
            <w:r w:rsidR="00AA5C8C" w:rsidRPr="00A23740">
              <w:rPr>
                <w:rStyle w:val="MAVChar"/>
                <w:rFonts w:eastAsia="ヒラギノ明朝 Pro W3"/>
                <w:u w:val="none"/>
              </w:rPr>
              <w:t xml:space="preserve">Aracın yediemin deposuna teslimine ilişkin usul ve esaslar yönetmelikle </w:t>
            </w:r>
            <w:r w:rsidR="00AA5C8C" w:rsidRPr="00A23740">
              <w:rPr>
                <w:rStyle w:val="MaviChar"/>
              </w:rPr>
              <w:t>düzenlenir.</w:t>
            </w:r>
          </w:p>
          <w:p w:rsidR="00AA5C8C" w:rsidRPr="00A23740" w:rsidRDefault="00AA5C8C" w:rsidP="009431FF">
            <w:pPr>
              <w:tabs>
                <w:tab w:val="left" w:pos="567"/>
              </w:tabs>
              <w:rPr>
                <w:rFonts w:eastAsia="ヒラギノ明朝 Pro W3"/>
                <w:b/>
                <w:color w:val="FF0000"/>
                <w:szCs w:val="24"/>
              </w:rPr>
            </w:pPr>
          </w:p>
          <w:p w:rsidR="00AA5C8C" w:rsidRPr="00A23740" w:rsidRDefault="00AA5C8C" w:rsidP="009431FF">
            <w:pPr>
              <w:tabs>
                <w:tab w:val="left" w:pos="567"/>
              </w:tabs>
              <w:rPr>
                <w:rFonts w:eastAsia="ヒラギノ明朝 Pro W3"/>
                <w:b/>
                <w:color w:val="0000FF"/>
                <w:szCs w:val="24"/>
              </w:rPr>
            </w:pPr>
            <w:r w:rsidRPr="00A23740">
              <w:rPr>
                <w:rStyle w:val="MaviChar"/>
              </w:rPr>
              <w:t>(2) Diğer</w:t>
            </w:r>
            <w:r w:rsidRPr="00A23740">
              <w:rPr>
                <w:rFonts w:eastAsia="ヒラギノ明朝 Pro W3"/>
                <w:b/>
                <w:color w:val="0000FF"/>
                <w:szCs w:val="24"/>
              </w:rPr>
              <w:t xml:space="preserve"> taşınır mallar, </w:t>
            </w:r>
            <w:r w:rsidRPr="00A23740">
              <w:rPr>
                <w:rFonts w:eastAsia="ヒラギノ明朝 Pro W3"/>
                <w:b/>
                <w:color w:val="0000FF"/>
                <w:szCs w:val="24"/>
                <w:lang w:eastAsia="tr-TR"/>
              </w:rPr>
              <w:t>altı aylık</w:t>
            </w:r>
            <w:r w:rsidRPr="00A23740">
              <w:rPr>
                <w:rFonts w:eastAsia="ヒラギノ明朝 Pro W3"/>
                <w:b/>
                <w:color w:val="0000FF"/>
                <w:szCs w:val="24"/>
              </w:rPr>
              <w:t xml:space="preserve"> gideri alacaklıdan peşin alınarak muhafaza altına alınır.</w:t>
            </w:r>
          </w:p>
          <w:p w:rsidR="00AA5C8C" w:rsidRPr="00A23740" w:rsidRDefault="00AA5C8C" w:rsidP="009431FF">
            <w:pPr>
              <w:pStyle w:val="Mavi"/>
              <w:jc w:val="center"/>
              <w:rPr>
                <w:lang w:val="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62391" w:rsidRPr="00A23740" w:rsidRDefault="00B62391" w:rsidP="009431FF">
            <w:pPr>
              <w:ind w:firstLine="709"/>
              <w:rPr>
                <w:rFonts w:eastAsia="Times New Roman"/>
                <w:b/>
                <w:color w:val="000000"/>
                <w:szCs w:val="24"/>
                <w:lang w:eastAsia="tr-TR"/>
              </w:rPr>
            </w:pPr>
          </w:p>
          <w:p w:rsidR="007C5FCC" w:rsidRPr="00A23740" w:rsidRDefault="00D01EA5" w:rsidP="009431FF">
            <w:pPr>
              <w:tabs>
                <w:tab w:val="left" w:pos="566"/>
              </w:tabs>
              <w:ind w:firstLine="709"/>
              <w:rPr>
                <w:rStyle w:val="MAVChar"/>
                <w:rFonts w:eastAsia="ヒラギノ明朝 Pro W3"/>
                <w:b w:val="0"/>
                <w:color w:val="auto"/>
                <w:u w:val="none"/>
              </w:rPr>
            </w:pPr>
            <w:r w:rsidRPr="00A23740">
              <w:rPr>
                <w:rStyle w:val="MAVChar"/>
                <w:rFonts w:eastAsia="ヒラギノ明朝 Pro W3"/>
                <w:color w:val="auto"/>
                <w:u w:val="none"/>
              </w:rPr>
              <w:t xml:space="preserve">MADDE </w:t>
            </w:r>
            <w:r w:rsidRPr="00D60C1D">
              <w:rPr>
                <w:rStyle w:val="YELChar"/>
                <w:color w:val="000000"/>
              </w:rPr>
              <w:t>182</w:t>
            </w:r>
            <w:r w:rsidR="00B13974" w:rsidRPr="00D60C1D">
              <w:rPr>
                <w:rStyle w:val="YELChar"/>
                <w:color w:val="000000"/>
              </w:rPr>
              <w:t>-</w:t>
            </w:r>
            <w:r w:rsidR="00B62391" w:rsidRPr="00A23740">
              <w:rPr>
                <w:rStyle w:val="MAVChar"/>
                <w:rFonts w:eastAsia="ヒラギノ明朝 Pro W3"/>
                <w:color w:val="auto"/>
                <w:u w:val="none"/>
              </w:rPr>
              <w:t xml:space="preserve"> </w:t>
            </w:r>
            <w:r w:rsidR="00B62391" w:rsidRPr="00A23740">
              <w:rPr>
                <w:rStyle w:val="MAVChar"/>
                <w:rFonts w:eastAsia="ヒラギノ明朝 Pro W3"/>
                <w:b w:val="0"/>
                <w:color w:val="auto"/>
                <w:u w:val="none"/>
              </w:rPr>
              <w:t>Maddeyle</w:t>
            </w:r>
            <w:r w:rsidR="007C5FCC" w:rsidRPr="00A23740">
              <w:rPr>
                <w:rStyle w:val="MAVChar"/>
                <w:rFonts w:eastAsia="ヒラギノ明朝 Pro W3"/>
                <w:b w:val="0"/>
                <w:color w:val="auto"/>
                <w:u w:val="none"/>
              </w:rPr>
              <w:t>,</w:t>
            </w:r>
            <w:r w:rsidR="00B62391" w:rsidRPr="00A23740">
              <w:rPr>
                <w:rStyle w:val="MAVChar"/>
                <w:rFonts w:eastAsia="ヒラギノ明朝 Pro W3"/>
                <w:b w:val="0"/>
                <w:color w:val="auto"/>
                <w:u w:val="none"/>
              </w:rPr>
              <w:t xml:space="preserve"> araçların ve diğer taşınır malların muhafazası</w:t>
            </w:r>
            <w:r w:rsidR="00B62391" w:rsidRPr="00D03F47">
              <w:rPr>
                <w:rStyle w:val="KIRMIZIChar"/>
                <w:rFonts w:eastAsia="ヒラギノ明朝 Pro W3"/>
                <w:strike w:val="0"/>
              </w:rPr>
              <w:t xml:space="preserve"> </w:t>
            </w:r>
            <w:r w:rsidRPr="00D60C1D">
              <w:rPr>
                <w:rStyle w:val="YELChar"/>
                <w:b w:val="0"/>
                <w:color w:val="000000"/>
              </w:rPr>
              <w:t>konusunda düzenleme</w:t>
            </w:r>
            <w:r w:rsidRPr="00A23740">
              <w:rPr>
                <w:rStyle w:val="MAVChar"/>
                <w:rFonts w:eastAsia="ヒラギノ明朝 Pro W3"/>
                <w:color w:val="auto"/>
                <w:u w:val="none"/>
              </w:rPr>
              <w:t xml:space="preserve"> </w:t>
            </w:r>
            <w:r w:rsidR="00B62391" w:rsidRPr="00A23740">
              <w:rPr>
                <w:rStyle w:val="MAVChar"/>
                <w:rFonts w:eastAsia="ヒラギノ明朝 Pro W3"/>
                <w:b w:val="0"/>
                <w:color w:val="auto"/>
                <w:u w:val="none"/>
              </w:rPr>
              <w:t xml:space="preserve">yapılmaktadır. </w:t>
            </w:r>
          </w:p>
          <w:p w:rsidR="007C5FCC" w:rsidRPr="00A23740" w:rsidRDefault="00B62391" w:rsidP="009431FF">
            <w:pPr>
              <w:ind w:firstLine="709"/>
              <w:rPr>
                <w:rStyle w:val="MAVChar"/>
                <w:rFonts w:eastAsia="ヒラギノ明朝 Pro W3"/>
                <w:b w:val="0"/>
                <w:color w:val="auto"/>
                <w:u w:val="none"/>
              </w:rPr>
            </w:pPr>
            <w:r w:rsidRPr="00A23740">
              <w:rPr>
                <w:rStyle w:val="MAVChar"/>
                <w:rFonts w:eastAsia="ヒラギノ明朝 Pro W3"/>
                <w:b w:val="0"/>
                <w:color w:val="auto"/>
                <w:u w:val="none"/>
              </w:rPr>
              <w:t>Birinci fıkrayla</w:t>
            </w:r>
            <w:r w:rsidR="007C5FCC" w:rsidRPr="00A23740">
              <w:rPr>
                <w:rStyle w:val="MAVChar"/>
                <w:rFonts w:eastAsia="ヒラギノ明朝 Pro W3"/>
                <w:b w:val="0"/>
                <w:color w:val="auto"/>
                <w:u w:val="none"/>
              </w:rPr>
              <w:t>,</w:t>
            </w:r>
            <w:r w:rsidRPr="00A23740">
              <w:rPr>
                <w:rStyle w:val="MAVChar"/>
                <w:rFonts w:eastAsia="ヒラギノ明朝 Pro W3"/>
                <w:b w:val="0"/>
                <w:color w:val="auto"/>
                <w:u w:val="none"/>
              </w:rPr>
              <w:t xml:space="preserve"> icra ve iflas daireleri tarafından kayıtlarına yakalama konulan araçların kolluk kuvvetleri tarafından yakalanması üzerine en yakın icra ve iflas dairesine bildirimde bulunulması ve bu icra </w:t>
            </w:r>
            <w:r w:rsidR="00B73523" w:rsidRPr="00D60C1D">
              <w:rPr>
                <w:color w:val="000000"/>
              </w:rPr>
              <w:t>ve iflas</w:t>
            </w:r>
            <w:r w:rsidR="00B73523" w:rsidRPr="00A23740">
              <w:rPr>
                <w:b/>
                <w:bCs/>
                <w:color w:val="0000FF"/>
                <w:szCs w:val="24"/>
                <w:lang w:val="x-none" w:eastAsia="x-none"/>
              </w:rPr>
              <w:t xml:space="preserve"> </w:t>
            </w:r>
            <w:r w:rsidRPr="00A23740">
              <w:rPr>
                <w:rStyle w:val="MAVChar"/>
                <w:rFonts w:eastAsia="ヒラギノ明朝 Pro W3"/>
                <w:b w:val="0"/>
                <w:color w:val="auto"/>
                <w:u w:val="none"/>
              </w:rPr>
              <w:t xml:space="preserve">dairesi tarafından kayıtlarına yakalama koyan icra </w:t>
            </w:r>
            <w:r w:rsidR="00B73523" w:rsidRPr="00902CE1">
              <w:t>ve iflas</w:t>
            </w:r>
            <w:r w:rsidR="00B73523" w:rsidRPr="00A23740">
              <w:rPr>
                <w:b/>
                <w:bCs/>
                <w:color w:val="0000FF"/>
                <w:szCs w:val="24"/>
                <w:lang w:val="x-none" w:eastAsia="x-none"/>
              </w:rPr>
              <w:t xml:space="preserve"> </w:t>
            </w:r>
            <w:r w:rsidRPr="00A23740">
              <w:rPr>
                <w:rStyle w:val="MAVChar"/>
                <w:rFonts w:eastAsia="ヒラギノ明朝 Pro W3"/>
                <w:b w:val="0"/>
                <w:color w:val="auto"/>
                <w:u w:val="none"/>
              </w:rPr>
              <w:t>dairesiyle yazışma yapılarak aracın fiili haciz,  kıymet takdiri ve muhafaza işlemlerinin yapılması ile aracın yediemin deposuna teslimine ilişkin usul ve esasla</w:t>
            </w:r>
            <w:r w:rsidR="007C5FCC" w:rsidRPr="00A23740">
              <w:rPr>
                <w:rStyle w:val="MAVChar"/>
                <w:rFonts w:eastAsia="ヒラギノ明朝 Pro W3"/>
                <w:b w:val="0"/>
                <w:color w:val="auto"/>
                <w:u w:val="none"/>
              </w:rPr>
              <w:t xml:space="preserve">rın yönetmelikle düzenleneceği hüküm altına alınmaktadır. </w:t>
            </w:r>
          </w:p>
          <w:p w:rsidR="00B62391" w:rsidRPr="00A23740" w:rsidRDefault="007C5FCC" w:rsidP="007136A5">
            <w:pPr>
              <w:ind w:firstLine="709"/>
              <w:rPr>
                <w:b/>
                <w:bCs/>
                <w:color w:val="0000FF"/>
                <w:szCs w:val="24"/>
                <w:lang w:val="x-none" w:eastAsia="x-none"/>
              </w:rPr>
            </w:pPr>
            <w:r w:rsidRPr="00A23740">
              <w:rPr>
                <w:rStyle w:val="MAVChar"/>
                <w:rFonts w:eastAsia="ヒラギノ明朝 Pro W3"/>
                <w:b w:val="0"/>
                <w:color w:val="auto"/>
                <w:u w:val="none"/>
              </w:rPr>
              <w:t xml:space="preserve">İkinci </w:t>
            </w:r>
            <w:r w:rsidR="00B62391" w:rsidRPr="00A23740">
              <w:rPr>
                <w:rStyle w:val="MAVChar"/>
                <w:rFonts w:eastAsia="ヒラギノ明朝 Pro W3"/>
                <w:b w:val="0"/>
                <w:color w:val="auto"/>
                <w:u w:val="none"/>
              </w:rPr>
              <w:t>fıkrayla</w:t>
            </w:r>
            <w:r w:rsidRPr="00A23740">
              <w:rPr>
                <w:rStyle w:val="MAVChar"/>
                <w:rFonts w:eastAsia="ヒラギノ明朝 Pro W3"/>
                <w:b w:val="0"/>
                <w:color w:val="auto"/>
                <w:u w:val="none"/>
              </w:rPr>
              <w:t>,</w:t>
            </w:r>
            <w:r w:rsidR="00B62391" w:rsidRPr="00A23740">
              <w:rPr>
                <w:rStyle w:val="MAVChar"/>
                <w:rFonts w:eastAsia="ヒラギノ明朝 Pro W3"/>
                <w:b w:val="0"/>
                <w:color w:val="auto"/>
                <w:u w:val="none"/>
              </w:rPr>
              <w:t xml:space="preserve"> diğer taşınır malların muhafaza talebi üzerine altı aylık giderin alacaklıdan peşin olarak alınması gerektiği </w:t>
            </w:r>
            <w:r w:rsidRPr="00A23740">
              <w:rPr>
                <w:rStyle w:val="MAVChar"/>
                <w:rFonts w:eastAsia="ヒラギノ明朝 Pro W3"/>
                <w:b w:val="0"/>
                <w:color w:val="auto"/>
                <w:u w:val="none"/>
              </w:rPr>
              <w:t>düzenlenmektedir</w:t>
            </w:r>
            <w:r w:rsidR="00B62391" w:rsidRPr="00A23740">
              <w:rPr>
                <w:rStyle w:val="MAVChar"/>
                <w:rFonts w:eastAsia="ヒラギノ明朝 Pro W3"/>
                <w:b w:val="0"/>
                <w:color w:val="auto"/>
                <w:u w:val="none"/>
              </w:rPr>
              <w:t>.</w:t>
            </w:r>
          </w:p>
          <w:p w:rsidR="00B62391" w:rsidRPr="00A23740" w:rsidRDefault="00B62391" w:rsidP="009431FF">
            <w:pPr>
              <w:ind w:firstLine="709"/>
              <w:rPr>
                <w:rFonts w:eastAsia="Times New Roman"/>
                <w:b/>
                <w:color w:val="000000"/>
                <w:szCs w:val="24"/>
                <w:lang w:eastAsia="tr-TR"/>
              </w:rPr>
            </w:pPr>
          </w:p>
        </w:tc>
      </w:tr>
      <w:tr w:rsidR="000D27FE" w:rsidRPr="00A23740" w:rsidTr="009431FF">
        <w:tblPrEx>
          <w:tblLook w:val="01E0" w:firstRow="1" w:lastRow="1" w:firstColumn="1" w:lastColumn="1" w:noHBand="0" w:noVBand="0"/>
        </w:tblPrEx>
        <w:tc>
          <w:tcPr>
            <w:tcW w:w="2500" w:type="pct"/>
          </w:tcPr>
          <w:p w:rsidR="000D27FE" w:rsidRPr="00A23740" w:rsidRDefault="000D27FE" w:rsidP="009431FF">
            <w:pPr>
              <w:rPr>
                <w:rFonts w:eastAsia="Times New Roman"/>
                <w:i/>
                <w:iCs/>
                <w:color w:val="000000"/>
                <w:szCs w:val="24"/>
                <w:lang w:eastAsia="tr-TR"/>
              </w:rPr>
            </w:pPr>
          </w:p>
          <w:p w:rsidR="000D27FE" w:rsidRPr="00A23740" w:rsidRDefault="000D27FE" w:rsidP="009431FF">
            <w:pPr>
              <w:rPr>
                <w:rFonts w:eastAsia="Times New Roman"/>
                <w:i/>
                <w:iCs/>
                <w:color w:val="000000"/>
                <w:szCs w:val="24"/>
                <w:lang w:eastAsia="tr-TR"/>
              </w:rPr>
            </w:pPr>
          </w:p>
          <w:p w:rsidR="000D27FE" w:rsidRPr="00A23740" w:rsidRDefault="000D27FE" w:rsidP="009431FF">
            <w:pPr>
              <w:pStyle w:val="KIRMIZI"/>
            </w:pPr>
            <w:r w:rsidRPr="00A23740">
              <w:t>Muhafazasına gerek kalmayan malların tasfiyesi</w:t>
            </w:r>
            <w:r w:rsidRPr="00A23740">
              <w:rPr>
                <w:rStyle w:val="KIRMIZIChar"/>
                <w:rFonts w:eastAsia="Calibri"/>
                <w:lang w:eastAsia="tr-TR"/>
              </w:rPr>
              <w:t>:</w:t>
            </w:r>
          </w:p>
          <w:p w:rsidR="000D27FE" w:rsidRPr="00A23740" w:rsidRDefault="000D27FE" w:rsidP="009431FF">
            <w:pPr>
              <w:rPr>
                <w:rFonts w:eastAsia="Times New Roman"/>
                <w:color w:val="000000"/>
                <w:szCs w:val="24"/>
                <w:lang w:eastAsia="tr-TR"/>
              </w:rPr>
            </w:pPr>
            <w:r w:rsidRPr="00A23740">
              <w:rPr>
                <w:rFonts w:eastAsia="Times New Roman"/>
                <w:b/>
                <w:bCs/>
                <w:color w:val="000000"/>
                <w:szCs w:val="24"/>
                <w:lang w:eastAsia="tr-TR"/>
              </w:rPr>
              <w:t>Madde 88/a-</w:t>
            </w:r>
            <w:r w:rsidRPr="00A23740">
              <w:rPr>
                <w:rFonts w:eastAsia="Times New Roman"/>
                <w:color w:val="000000"/>
                <w:szCs w:val="24"/>
                <w:lang w:eastAsia="tr-TR"/>
              </w:rPr>
              <w:t> </w:t>
            </w:r>
            <w:r w:rsidRPr="00A23740">
              <w:rPr>
                <w:rFonts w:eastAsia="Times New Roman"/>
                <w:b/>
                <w:bCs/>
                <w:color w:val="000000"/>
                <w:szCs w:val="24"/>
                <w:lang w:eastAsia="tr-TR"/>
              </w:rPr>
              <w:t>(Ek:28/3/2023-7445/4 md.)</w:t>
            </w:r>
          </w:p>
          <w:p w:rsidR="000D27FE" w:rsidRPr="00A23740" w:rsidRDefault="000D27FE" w:rsidP="009431FF">
            <w:pPr>
              <w:rPr>
                <w:rFonts w:eastAsia="Times New Roman"/>
                <w:color w:val="000000"/>
                <w:szCs w:val="24"/>
                <w:lang w:eastAsia="tr-TR"/>
              </w:rPr>
            </w:pPr>
            <w:r w:rsidRPr="00A23740">
              <w:rPr>
                <w:rStyle w:val="KIRMIZIChar"/>
                <w:rFonts w:eastAsia="Calibri"/>
              </w:rPr>
              <w:t>(1)</w:t>
            </w:r>
            <w:r w:rsidRPr="00A23740">
              <w:rPr>
                <w:rFonts w:eastAsia="Times New Roman"/>
                <w:color w:val="000000"/>
                <w:szCs w:val="24"/>
                <w:lang w:eastAsia="tr-TR"/>
              </w:rPr>
              <w:t xml:space="preserve"> Muhafaza işleminin dayanağı olan haciz kalkmış olup da yedieminde bulunan mallar, takibin yapıldığı yer icra dairesince bu </w:t>
            </w:r>
            <w:r w:rsidRPr="00A23740">
              <w:rPr>
                <w:rStyle w:val="KIRMIZIChar"/>
                <w:rFonts w:eastAsia="Calibri"/>
              </w:rPr>
              <w:t>madde</w:t>
            </w:r>
            <w:r w:rsidRPr="00A23740">
              <w:rPr>
                <w:rFonts w:eastAsia="Times New Roman"/>
                <w:color w:val="000000"/>
                <w:szCs w:val="24"/>
                <w:lang w:eastAsia="tr-TR"/>
              </w:rPr>
              <w:t xml:space="preserve"> uyarınca resen tasfiye edilir.</w:t>
            </w:r>
          </w:p>
          <w:p w:rsidR="000D27FE" w:rsidRPr="00A23740" w:rsidRDefault="000D27FE" w:rsidP="009431FF">
            <w:pPr>
              <w:rPr>
                <w:rFonts w:eastAsia="Times New Roman"/>
                <w:i/>
                <w:iCs/>
                <w:color w:val="000000"/>
                <w:szCs w:val="24"/>
                <w:lang w:eastAsia="tr-TR"/>
              </w:rPr>
            </w:pPr>
          </w:p>
          <w:p w:rsidR="000D27FE" w:rsidRPr="00A23740" w:rsidRDefault="000D27FE" w:rsidP="009431FF">
            <w:pPr>
              <w:rPr>
                <w:rFonts w:eastAsia="Times New Roman"/>
                <w:i/>
                <w:iCs/>
                <w:color w:val="000000"/>
                <w:szCs w:val="24"/>
                <w:lang w:eastAsia="tr-TR"/>
              </w:rPr>
            </w:pPr>
          </w:p>
          <w:p w:rsidR="000D27FE" w:rsidRPr="00A23740" w:rsidRDefault="000D27FE"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Tasfiye edilecek mallara ilişkin bilgiler, icra dairesince Ulusal Yargı Ağı Bilişim Sisteminde duyurulur.</w:t>
            </w:r>
          </w:p>
          <w:p w:rsidR="000D27FE" w:rsidRPr="00A23740" w:rsidRDefault="000D27FE" w:rsidP="009431FF">
            <w:pPr>
              <w:rPr>
                <w:rFonts w:eastAsia="Times New Roman"/>
                <w:i/>
                <w:iCs/>
                <w:color w:val="000000"/>
                <w:szCs w:val="24"/>
                <w:lang w:eastAsia="tr-TR"/>
              </w:rPr>
            </w:pPr>
          </w:p>
          <w:p w:rsidR="00811283" w:rsidRPr="00A23740" w:rsidRDefault="00811283" w:rsidP="009431FF">
            <w:pPr>
              <w:rPr>
                <w:rFonts w:eastAsia="Times New Roman"/>
                <w:color w:val="000000"/>
                <w:szCs w:val="24"/>
                <w:lang w:eastAsia="tr-TR"/>
              </w:rPr>
            </w:pPr>
            <w:r w:rsidRPr="00A23740">
              <w:rPr>
                <w:rStyle w:val="KIRMIZIChar"/>
                <w:rFonts w:eastAsia="Calibri"/>
              </w:rPr>
              <w:t>(12)</w:t>
            </w:r>
            <w:r w:rsidRPr="00A23740">
              <w:t xml:space="preserve"> </w:t>
            </w:r>
            <w:r w:rsidRPr="00A23740">
              <w:rPr>
                <w:rFonts w:eastAsia="Times New Roman"/>
                <w:color w:val="000000"/>
                <w:szCs w:val="24"/>
                <w:lang w:eastAsia="tr-TR"/>
              </w:rPr>
              <w:t xml:space="preserve">Tasfiye konusu mal üzerinde </w:t>
            </w:r>
            <w:r w:rsidRPr="00A23740">
              <w:rPr>
                <w:rStyle w:val="KIRMIZIChar"/>
                <w:rFonts w:eastAsia="Calibri"/>
              </w:rPr>
              <w:t>6183 sayılı</w:t>
            </w:r>
            <w:r w:rsidRPr="00A23740">
              <w:rPr>
                <w:rFonts w:eastAsia="Times New Roman"/>
                <w:color w:val="000000"/>
                <w:szCs w:val="24"/>
                <w:lang w:eastAsia="tr-TR"/>
              </w:rPr>
              <w:t xml:space="preserve"> Kanun uyarınca haciz bulunması halinde icra dairesi, borçluya tebligat çıkarmadan önce tahsil dairesine tebligat çıkararak tebliğ tarihinden itibaren bir ay içinde muhafaza ve/veya satış işlemlerini yapmak üzere malı teslim alması gerektiğini, aksi halde malın bu </w:t>
            </w:r>
            <w:r w:rsidRPr="00A23740">
              <w:rPr>
                <w:rStyle w:val="KIRMIZIChar"/>
                <w:rFonts w:eastAsia="Calibri"/>
              </w:rPr>
              <w:t>madde</w:t>
            </w:r>
            <w:r w:rsidRPr="00A23740">
              <w:rPr>
                <w:rFonts w:eastAsia="Times New Roman"/>
                <w:color w:val="000000"/>
                <w:szCs w:val="24"/>
                <w:lang w:eastAsia="tr-TR"/>
              </w:rPr>
              <w:t xml:space="preserve"> uyarınca tasfiye edileceğini bildirir.</w:t>
            </w:r>
          </w:p>
          <w:p w:rsidR="00CD2E38" w:rsidRPr="00A23740" w:rsidRDefault="00CD2E38" w:rsidP="009431FF">
            <w:pPr>
              <w:rPr>
                <w:rFonts w:eastAsia="Times New Roman"/>
                <w:b/>
                <w:bCs/>
                <w:strike/>
                <w:color w:val="FF0000"/>
                <w:szCs w:val="24"/>
                <w:lang w:eastAsia="x-none"/>
              </w:rPr>
            </w:pPr>
          </w:p>
          <w:p w:rsidR="00CD2E38" w:rsidRPr="00A23740" w:rsidRDefault="00CD2E38" w:rsidP="009431FF">
            <w:pPr>
              <w:rPr>
                <w:rFonts w:eastAsia="Times New Roman"/>
                <w:b/>
                <w:bCs/>
                <w:strike/>
                <w:color w:val="FF0000"/>
                <w:szCs w:val="24"/>
                <w:lang w:eastAsia="x-none"/>
              </w:rPr>
            </w:pPr>
          </w:p>
          <w:p w:rsidR="00CD2E38" w:rsidRPr="00A23740" w:rsidRDefault="00CD2E38" w:rsidP="009431FF">
            <w:pPr>
              <w:rPr>
                <w:rFonts w:eastAsia="Times New Roman"/>
                <w:color w:val="000000"/>
                <w:szCs w:val="24"/>
                <w:lang w:eastAsia="tr-TR"/>
              </w:rPr>
            </w:pPr>
            <w:r w:rsidRPr="00A23740">
              <w:rPr>
                <w:rStyle w:val="KIRMIZIChar"/>
                <w:rFonts w:eastAsia="Calibri"/>
              </w:rPr>
              <w:t>(13)</w:t>
            </w:r>
            <w:r w:rsidRPr="00A23740">
              <w:rPr>
                <w:rFonts w:eastAsia="Times New Roman"/>
                <w:color w:val="000000"/>
                <w:szCs w:val="24"/>
                <w:lang w:eastAsia="tr-TR"/>
              </w:rPr>
              <w:t xml:space="preserve"> Tasfiye konusu malın 27/10/1999 tarihli ve 4458 sayılı Gümrük Kanunu kapsamında serbest dolaşımda olmaması halinde icra dairesi, borçluya tebligat çıkarmadan önce gümrük idaresine tebligat çıkararak bir ay içinde gümrük işlemlerini yapmak üzere malı teslim alması gerektiğini, aksi halde malın bu </w:t>
            </w:r>
            <w:r w:rsidRPr="00A23740">
              <w:rPr>
                <w:rStyle w:val="KIRMIZIChar"/>
                <w:rFonts w:eastAsia="Calibri"/>
              </w:rPr>
              <w:t>madde</w:t>
            </w:r>
            <w:r w:rsidRPr="00A23740">
              <w:rPr>
                <w:rFonts w:eastAsia="Times New Roman"/>
                <w:color w:val="000000"/>
                <w:szCs w:val="24"/>
                <w:lang w:eastAsia="tr-TR"/>
              </w:rPr>
              <w:t xml:space="preserve"> uyarınca tasfiye edileceğini bildirir.</w:t>
            </w:r>
          </w:p>
          <w:p w:rsidR="00CD2E38" w:rsidRPr="00A23740" w:rsidRDefault="00CD2E38" w:rsidP="009431FF">
            <w:pPr>
              <w:rPr>
                <w:rFonts w:eastAsia="Times New Roman"/>
                <w:i/>
                <w:iCs/>
                <w:color w:val="000000"/>
                <w:szCs w:val="24"/>
                <w:lang w:eastAsia="tr-TR"/>
              </w:rPr>
            </w:pPr>
          </w:p>
        </w:tc>
        <w:tc>
          <w:tcPr>
            <w:tcW w:w="2500" w:type="pct"/>
          </w:tcPr>
          <w:p w:rsidR="000D27FE" w:rsidRPr="00A23740" w:rsidRDefault="000D27FE" w:rsidP="009431FF">
            <w:pPr>
              <w:pStyle w:val="Balk1"/>
              <w:rPr>
                <w:lang w:val="tr-TR" w:eastAsia="tr-TR"/>
              </w:rPr>
            </w:pPr>
            <w:r w:rsidRPr="00A23740">
              <w:rPr>
                <w:lang w:val="tr-TR" w:eastAsia="tr-TR"/>
              </w:rPr>
              <w:t>İKİNCİ ALT AYRIM</w:t>
            </w:r>
          </w:p>
          <w:p w:rsidR="000D27FE" w:rsidRPr="00A23740" w:rsidRDefault="000D27FE" w:rsidP="009431FF">
            <w:pPr>
              <w:pStyle w:val="Balk1"/>
              <w:rPr>
                <w:lang w:val="tr-TR" w:eastAsia="tr-TR"/>
              </w:rPr>
            </w:pPr>
            <w:r w:rsidRPr="00A23740">
              <w:rPr>
                <w:lang w:val="tr-TR" w:eastAsia="tr-TR"/>
              </w:rPr>
              <w:t xml:space="preserve">Muhafazasına Gerek Kalmayan </w:t>
            </w:r>
            <w:r w:rsidR="00750073" w:rsidRPr="00D03F47">
              <w:t>Taşınır</w:t>
            </w:r>
            <w:r w:rsidR="00750073" w:rsidRPr="00A23740">
              <w:rPr>
                <w:lang w:val="tr-TR" w:eastAsia="tr-TR"/>
              </w:rPr>
              <w:t xml:space="preserve"> </w:t>
            </w:r>
            <w:r w:rsidRPr="00A23740">
              <w:rPr>
                <w:lang w:val="tr-TR" w:eastAsia="tr-TR"/>
              </w:rPr>
              <w:t>Malların Tasfiyesi</w:t>
            </w:r>
          </w:p>
          <w:p w:rsidR="000D27FE" w:rsidRPr="00A23740" w:rsidRDefault="000D27FE" w:rsidP="009431FF">
            <w:pPr>
              <w:rPr>
                <w:rFonts w:eastAsia="Times New Roman"/>
                <w:b/>
                <w:iCs/>
                <w:color w:val="000000"/>
                <w:szCs w:val="24"/>
                <w:lang w:eastAsia="tr-TR"/>
              </w:rPr>
            </w:pPr>
          </w:p>
          <w:p w:rsidR="00E44B9D" w:rsidRPr="00A23740" w:rsidRDefault="00E44B9D" w:rsidP="009431FF">
            <w:pPr>
              <w:rPr>
                <w:rFonts w:eastAsia="Times New Roman"/>
                <w:b/>
                <w:iCs/>
                <w:color w:val="0000FF"/>
                <w:szCs w:val="24"/>
                <w:lang w:eastAsia="tr-TR"/>
              </w:rPr>
            </w:pPr>
            <w:r w:rsidRPr="00A23740">
              <w:rPr>
                <w:rFonts w:eastAsia="Times New Roman"/>
                <w:b/>
                <w:iCs/>
                <w:color w:val="0000FF"/>
                <w:szCs w:val="24"/>
                <w:lang w:eastAsia="tr-TR"/>
              </w:rPr>
              <w:t xml:space="preserve">Tasfiyeye hazırlık </w:t>
            </w:r>
          </w:p>
          <w:p w:rsidR="000D27FE" w:rsidRPr="00A23740" w:rsidRDefault="000D27FE" w:rsidP="009431FF">
            <w:pPr>
              <w:rPr>
                <w:rFonts w:eastAsia="Times New Roman"/>
                <w:color w:val="000000"/>
                <w:szCs w:val="24"/>
                <w:lang w:eastAsia="tr-TR"/>
              </w:rPr>
            </w:pPr>
            <w:r w:rsidRPr="00A23740">
              <w:rPr>
                <w:rFonts w:eastAsia="Times New Roman"/>
                <w:b/>
                <w:iCs/>
                <w:color w:val="0000FF"/>
                <w:szCs w:val="24"/>
                <w:lang w:eastAsia="tr-TR"/>
              </w:rPr>
              <w:t>MADDE 183- (1)</w:t>
            </w:r>
            <w:r w:rsidRPr="00A23740">
              <w:rPr>
                <w:rFonts w:eastAsia="Times New Roman"/>
                <w:color w:val="000000"/>
                <w:szCs w:val="24"/>
                <w:lang w:eastAsia="tr-TR"/>
              </w:rPr>
              <w:t xml:space="preserve"> Muhafaza işleminin dayanağı olan haciz kalkmış olup da yedieminde bulunan mallar, takibin yapıldığı yer icra </w:t>
            </w:r>
            <w:r w:rsidRPr="00A23740">
              <w:rPr>
                <w:rStyle w:val="MaviChar"/>
              </w:rPr>
              <w:t>ve iflas</w:t>
            </w:r>
            <w:r w:rsidRPr="00A23740">
              <w:rPr>
                <w:rFonts w:eastAsia="Times New Roman"/>
                <w:color w:val="000000"/>
                <w:szCs w:val="24"/>
                <w:lang w:eastAsia="tr-TR"/>
              </w:rPr>
              <w:t xml:space="preserve"> dairesince bu </w:t>
            </w:r>
            <w:r w:rsidR="00CD2E38" w:rsidRPr="00A23740">
              <w:rPr>
                <w:rStyle w:val="Balk1Char"/>
                <w:rFonts w:eastAsia="Calibri"/>
              </w:rPr>
              <w:t>alt</w:t>
            </w:r>
            <w:r w:rsidR="00CD2E38" w:rsidRPr="00A23740">
              <w:rPr>
                <w:rFonts w:eastAsia="Times New Roman"/>
                <w:color w:val="000000"/>
                <w:szCs w:val="24"/>
                <w:lang w:eastAsia="tr-TR"/>
              </w:rPr>
              <w:t xml:space="preserve"> </w:t>
            </w:r>
            <w:r w:rsidRPr="00A23740">
              <w:rPr>
                <w:rStyle w:val="Balk1Char"/>
                <w:rFonts w:eastAsia="Calibri"/>
              </w:rPr>
              <w:t>ayrımda yer alan hükümler</w:t>
            </w:r>
            <w:r w:rsidRPr="00A23740">
              <w:rPr>
                <w:rFonts w:eastAsia="Times New Roman"/>
                <w:color w:val="000000"/>
                <w:szCs w:val="24"/>
                <w:lang w:eastAsia="tr-TR"/>
              </w:rPr>
              <w:t xml:space="preserve"> uyarınca resen tasfiye edilir.</w:t>
            </w:r>
          </w:p>
          <w:p w:rsidR="000D27FE" w:rsidRPr="00A23740" w:rsidRDefault="000D27FE" w:rsidP="009431FF">
            <w:pPr>
              <w:rPr>
                <w:rFonts w:eastAsia="Times New Roman"/>
                <w:color w:val="000000"/>
                <w:szCs w:val="24"/>
                <w:lang w:eastAsia="tr-TR"/>
              </w:rPr>
            </w:pPr>
          </w:p>
          <w:p w:rsidR="000D27FE" w:rsidRPr="00A23740" w:rsidRDefault="000D27FE" w:rsidP="009431FF">
            <w:pPr>
              <w:rPr>
                <w:rFonts w:eastAsia="Times New Roman"/>
                <w:color w:val="000000"/>
                <w:szCs w:val="24"/>
                <w:lang w:eastAsia="tr-TR"/>
              </w:rPr>
            </w:pPr>
            <w:r w:rsidRPr="00A23740">
              <w:rPr>
                <w:rStyle w:val="MaviChar"/>
              </w:rPr>
              <w:t>(2)</w:t>
            </w:r>
            <w:r w:rsidRPr="00A23740">
              <w:rPr>
                <w:rFonts w:eastAsia="Times New Roman"/>
                <w:color w:val="000000"/>
                <w:szCs w:val="24"/>
                <w:lang w:eastAsia="tr-TR"/>
              </w:rPr>
              <w:t xml:space="preserve"> Tasfiye edilecek mallara ilişkin bilgiler, icra </w:t>
            </w:r>
            <w:r w:rsidRPr="00A23740">
              <w:rPr>
                <w:rStyle w:val="MaviChar"/>
              </w:rPr>
              <w:t>ve iflas</w:t>
            </w:r>
            <w:r w:rsidRPr="00A23740">
              <w:rPr>
                <w:rFonts w:eastAsia="Times New Roman"/>
                <w:color w:val="000000"/>
                <w:szCs w:val="24"/>
                <w:lang w:eastAsia="tr-TR"/>
              </w:rPr>
              <w:t xml:space="preserve"> dairesince Ulusal Yargı Ağı Bilişim Sisteminde duyurulur.</w:t>
            </w:r>
          </w:p>
          <w:p w:rsidR="000D27FE" w:rsidRPr="00A23740" w:rsidRDefault="000D27FE" w:rsidP="009431FF">
            <w:pPr>
              <w:rPr>
                <w:rFonts w:eastAsia="Times New Roman"/>
                <w:b/>
                <w:iCs/>
                <w:color w:val="000000"/>
                <w:szCs w:val="24"/>
                <w:lang w:eastAsia="tr-TR"/>
              </w:rPr>
            </w:pPr>
          </w:p>
          <w:p w:rsidR="00811283" w:rsidRPr="00A23740" w:rsidRDefault="00811283" w:rsidP="009431FF">
            <w:pPr>
              <w:rPr>
                <w:rFonts w:eastAsia="Times New Roman"/>
                <w:color w:val="000000"/>
                <w:szCs w:val="24"/>
                <w:lang w:eastAsia="tr-TR"/>
              </w:rPr>
            </w:pPr>
            <w:r w:rsidRPr="00A23740">
              <w:rPr>
                <w:rStyle w:val="MaviChar"/>
                <w:lang w:val="tr-TR"/>
              </w:rPr>
              <w:t>(</w:t>
            </w:r>
            <w:r w:rsidRPr="00A23740">
              <w:rPr>
                <w:rStyle w:val="MaviChar"/>
              </w:rPr>
              <w:t>3)</w:t>
            </w:r>
            <w:r w:rsidRPr="00A23740">
              <w:rPr>
                <w:rFonts w:eastAsia="Times New Roman"/>
                <w:color w:val="000000"/>
                <w:szCs w:val="24"/>
                <w:lang w:eastAsia="tr-TR"/>
              </w:rPr>
              <w:t xml:space="preserve"> Tasfiye konusu mal üzerinde </w:t>
            </w:r>
            <w:r w:rsidRPr="00A23740">
              <w:rPr>
                <w:rStyle w:val="MaviChar"/>
              </w:rPr>
              <w:t xml:space="preserve">Amme Alacaklarının Tahsil Usulü Hakkında </w:t>
            </w:r>
            <w:r w:rsidRPr="00A23740">
              <w:t>Kanun</w:t>
            </w:r>
            <w:r w:rsidRPr="00A23740">
              <w:rPr>
                <w:rStyle w:val="MaviChar"/>
              </w:rPr>
              <w:t xml:space="preserve"> </w:t>
            </w:r>
            <w:r w:rsidRPr="00A23740">
              <w:rPr>
                <w:rFonts w:eastAsia="Times New Roman"/>
                <w:color w:val="000000"/>
                <w:szCs w:val="24"/>
                <w:lang w:eastAsia="tr-TR"/>
              </w:rPr>
              <w:t>uyarınca haciz bulunması h</w:t>
            </w:r>
            <w:r w:rsidR="00621FA2" w:rsidRPr="00A23740">
              <w:rPr>
                <w:rFonts w:eastAsia="Times New Roman"/>
                <w:color w:val="000000"/>
                <w:szCs w:val="24"/>
                <w:lang w:eastAsia="tr-TR"/>
              </w:rPr>
              <w:t>â</w:t>
            </w:r>
            <w:r w:rsidRPr="00A23740">
              <w:rPr>
                <w:rFonts w:eastAsia="Times New Roman"/>
                <w:color w:val="000000"/>
                <w:szCs w:val="24"/>
                <w:lang w:eastAsia="tr-TR"/>
              </w:rPr>
              <w:t xml:space="preserve">linde icra </w:t>
            </w:r>
            <w:r w:rsidRPr="00A23740">
              <w:rPr>
                <w:rStyle w:val="MaviChar"/>
              </w:rPr>
              <w:t>ve iflas</w:t>
            </w:r>
            <w:r w:rsidRPr="00A23740">
              <w:rPr>
                <w:rFonts w:eastAsia="Times New Roman"/>
                <w:color w:val="000000"/>
                <w:szCs w:val="24"/>
                <w:lang w:eastAsia="tr-TR"/>
              </w:rPr>
              <w:t xml:space="preserve"> dairesi, borçluya tebligat </w:t>
            </w:r>
            <w:r w:rsidR="00142328" w:rsidRPr="00D03F47">
              <w:rPr>
                <w:rStyle w:val="Balk1Char"/>
                <w:rFonts w:eastAsia="Calibri"/>
              </w:rPr>
              <w:t>göndermeden</w:t>
            </w:r>
            <w:r w:rsidR="00142328" w:rsidRPr="00A23740">
              <w:rPr>
                <w:rFonts w:eastAsia="Times New Roman"/>
                <w:color w:val="385623"/>
                <w:szCs w:val="24"/>
                <w:lang w:eastAsia="tr-TR"/>
              </w:rPr>
              <w:t xml:space="preserve"> </w:t>
            </w:r>
            <w:r w:rsidRPr="00A23740">
              <w:rPr>
                <w:rFonts w:eastAsia="Times New Roman"/>
                <w:color w:val="000000"/>
                <w:szCs w:val="24"/>
                <w:lang w:eastAsia="tr-TR"/>
              </w:rPr>
              <w:t xml:space="preserve">önce tahsil dairesine tebligat çıkararak tebliğ tarihinden itibaren bir ay içinde muhafaza ve/veya satış işlemlerini yapmak üzere malı teslim alması gerektiğini, aksi hâlde malın bu </w:t>
            </w:r>
            <w:r w:rsidR="00CD2E38" w:rsidRPr="00A23740">
              <w:rPr>
                <w:rStyle w:val="Balk1Char"/>
                <w:rFonts w:eastAsia="Calibri"/>
              </w:rPr>
              <w:t>alt</w:t>
            </w:r>
            <w:r w:rsidR="00CD2E38" w:rsidRPr="00A23740">
              <w:rPr>
                <w:rFonts w:eastAsia="Times New Roman"/>
                <w:color w:val="000000"/>
                <w:szCs w:val="24"/>
                <w:lang w:eastAsia="tr-TR"/>
              </w:rPr>
              <w:t xml:space="preserve"> </w:t>
            </w:r>
            <w:r w:rsidRPr="00A23740">
              <w:rPr>
                <w:rStyle w:val="Balk1Char"/>
                <w:rFonts w:eastAsia="Calibri"/>
              </w:rPr>
              <w:t>ayrımda yer alan</w:t>
            </w:r>
            <w:r w:rsidRPr="00A23740">
              <w:rPr>
                <w:rFonts w:eastAsia="Times New Roman"/>
                <w:color w:val="000000"/>
                <w:szCs w:val="24"/>
                <w:lang w:eastAsia="tr-TR"/>
              </w:rPr>
              <w:t xml:space="preserve"> </w:t>
            </w:r>
            <w:r w:rsidR="00CD2E38" w:rsidRPr="00A23740">
              <w:rPr>
                <w:rStyle w:val="Balk1Char"/>
                <w:rFonts w:eastAsia="Calibri"/>
              </w:rPr>
              <w:t>hükümler</w:t>
            </w:r>
            <w:r w:rsidR="00CD2E38" w:rsidRPr="00A23740">
              <w:rPr>
                <w:rFonts w:eastAsia="Times New Roman"/>
                <w:color w:val="000000"/>
                <w:szCs w:val="24"/>
                <w:lang w:eastAsia="tr-TR"/>
              </w:rPr>
              <w:t xml:space="preserve"> </w:t>
            </w:r>
            <w:r w:rsidRPr="00A23740">
              <w:rPr>
                <w:rFonts w:eastAsia="Times New Roman"/>
                <w:color w:val="000000"/>
                <w:szCs w:val="24"/>
                <w:lang w:eastAsia="tr-TR"/>
              </w:rPr>
              <w:t>uyarınca tasfiye edileceğini bildirir.</w:t>
            </w:r>
          </w:p>
          <w:p w:rsidR="000D27FE" w:rsidRPr="00A23740" w:rsidRDefault="000D27FE" w:rsidP="009431FF">
            <w:pPr>
              <w:rPr>
                <w:rFonts w:eastAsia="Times New Roman"/>
                <w:b/>
                <w:iCs/>
                <w:color w:val="000000"/>
                <w:szCs w:val="24"/>
                <w:lang w:eastAsia="tr-TR"/>
              </w:rPr>
            </w:pPr>
          </w:p>
          <w:p w:rsidR="00CD2E38" w:rsidRDefault="00CD2E38" w:rsidP="009431FF">
            <w:pPr>
              <w:rPr>
                <w:rFonts w:eastAsia="Times New Roman"/>
                <w:color w:val="000000"/>
                <w:szCs w:val="24"/>
                <w:lang w:eastAsia="tr-TR"/>
              </w:rPr>
            </w:pPr>
            <w:r w:rsidRPr="00A23740">
              <w:rPr>
                <w:rStyle w:val="MaviChar"/>
              </w:rPr>
              <w:t>(4)</w:t>
            </w:r>
            <w:r w:rsidRPr="00A23740">
              <w:rPr>
                <w:rFonts w:eastAsia="Times New Roman"/>
                <w:color w:val="000000"/>
                <w:szCs w:val="24"/>
                <w:lang w:eastAsia="tr-TR"/>
              </w:rPr>
              <w:t xml:space="preserve"> Tasfiye konusu malın 27/10/1999 tarihli ve 4458 sayılı Gümrük Kanunu kapsamında serbest dolaşımda olmaması h</w:t>
            </w:r>
            <w:r w:rsidR="003E6729" w:rsidRPr="00A23740">
              <w:rPr>
                <w:rFonts w:eastAsia="Times New Roman"/>
                <w:color w:val="000000"/>
                <w:szCs w:val="24"/>
                <w:lang w:eastAsia="tr-TR"/>
              </w:rPr>
              <w:t>â</w:t>
            </w:r>
            <w:r w:rsidRPr="00A23740">
              <w:rPr>
                <w:rFonts w:eastAsia="Times New Roman"/>
                <w:color w:val="000000"/>
                <w:szCs w:val="24"/>
                <w:lang w:eastAsia="tr-TR"/>
              </w:rPr>
              <w:t xml:space="preserve">linde icra </w:t>
            </w:r>
            <w:r w:rsidRPr="00A23740">
              <w:rPr>
                <w:rStyle w:val="Balk1Char"/>
                <w:rFonts w:eastAsia="Calibri"/>
              </w:rPr>
              <w:t>ve iflas</w:t>
            </w:r>
            <w:r w:rsidRPr="00A23740">
              <w:rPr>
                <w:rFonts w:eastAsia="Times New Roman"/>
                <w:color w:val="000000"/>
                <w:szCs w:val="24"/>
                <w:lang w:eastAsia="tr-TR"/>
              </w:rPr>
              <w:t xml:space="preserve"> dairesi, borçluya tebligat çıkarmadan önce gümrük idaresine tebligat çıkararak bir ay içinde gümrük işlemlerini yapmak üzere malı teslim alması gerektiğini, aksi hâlde malın bu </w:t>
            </w:r>
            <w:r w:rsidRPr="00A23740">
              <w:rPr>
                <w:rStyle w:val="Balk1Char"/>
                <w:rFonts w:eastAsia="Calibri"/>
              </w:rPr>
              <w:t>alt</w:t>
            </w:r>
            <w:r w:rsidRPr="00A23740">
              <w:rPr>
                <w:rFonts w:eastAsia="Times New Roman"/>
                <w:color w:val="000000"/>
                <w:szCs w:val="24"/>
                <w:lang w:eastAsia="tr-TR"/>
              </w:rPr>
              <w:t xml:space="preserve"> </w:t>
            </w:r>
            <w:r w:rsidRPr="00A23740">
              <w:rPr>
                <w:rStyle w:val="Balk1Char"/>
                <w:rFonts w:eastAsia="Calibri"/>
              </w:rPr>
              <w:t>ayrımda yer alan</w:t>
            </w:r>
            <w:r w:rsidRPr="00A23740">
              <w:rPr>
                <w:rFonts w:eastAsia="Times New Roman"/>
                <w:color w:val="000000"/>
                <w:szCs w:val="24"/>
                <w:lang w:eastAsia="tr-TR"/>
              </w:rPr>
              <w:t xml:space="preserve"> </w:t>
            </w:r>
            <w:r w:rsidRPr="00A23740">
              <w:rPr>
                <w:rStyle w:val="Balk1Char"/>
                <w:rFonts w:eastAsia="Calibri"/>
              </w:rPr>
              <w:t>hükümler</w:t>
            </w:r>
            <w:r w:rsidRPr="00A23740">
              <w:rPr>
                <w:rFonts w:eastAsia="Times New Roman"/>
                <w:color w:val="000000"/>
                <w:szCs w:val="24"/>
                <w:lang w:eastAsia="tr-TR"/>
              </w:rPr>
              <w:t xml:space="preserve"> uyarınca tasfiye edileceğini bildirir.</w:t>
            </w:r>
          </w:p>
          <w:p w:rsidR="007136A5" w:rsidRDefault="007136A5" w:rsidP="009431FF">
            <w:pPr>
              <w:rPr>
                <w:rFonts w:eastAsia="Times New Roman"/>
                <w:color w:val="000000"/>
                <w:szCs w:val="24"/>
                <w:lang w:eastAsia="tr-TR"/>
              </w:rPr>
            </w:pPr>
          </w:p>
          <w:p w:rsidR="007136A5" w:rsidRPr="00A23740" w:rsidRDefault="007136A5" w:rsidP="009431FF">
            <w:pPr>
              <w:rPr>
                <w:rFonts w:eastAsia="Times New Roman"/>
                <w:color w:val="000000"/>
                <w:szCs w:val="24"/>
                <w:lang w:eastAsia="tr-TR"/>
              </w:rPr>
            </w:pPr>
          </w:p>
          <w:p w:rsidR="00CD2E38" w:rsidRPr="00A23740" w:rsidRDefault="00CD2E38" w:rsidP="009431FF">
            <w:pPr>
              <w:rPr>
                <w:rFonts w:eastAsia="Times New Roman"/>
                <w:b/>
                <w:iCs/>
                <w:color w:val="000000"/>
                <w:szCs w:val="24"/>
                <w:lang w:eastAsia="tr-TR"/>
              </w:rPr>
            </w:pPr>
          </w:p>
        </w:tc>
      </w:tr>
      <w:tr w:rsidR="00B13974" w:rsidRPr="00A23740" w:rsidTr="009431FF">
        <w:tblPrEx>
          <w:tblLook w:val="01E0" w:firstRow="1" w:lastRow="1" w:firstColumn="1" w:lastColumn="1" w:noHBand="0" w:noVBand="0"/>
        </w:tblPrEx>
        <w:tc>
          <w:tcPr>
            <w:tcW w:w="5000" w:type="pct"/>
            <w:gridSpan w:val="2"/>
            <w:shd w:val="clear" w:color="auto" w:fill="DEEAF6"/>
          </w:tcPr>
          <w:p w:rsidR="008E0FFB" w:rsidRPr="00A23740" w:rsidRDefault="008E0FFB" w:rsidP="009431FF">
            <w:pPr>
              <w:ind w:firstLine="709"/>
              <w:rPr>
                <w:rFonts w:eastAsia="Times New Roman"/>
                <w:b/>
                <w:color w:val="000000"/>
                <w:szCs w:val="24"/>
                <w:lang w:eastAsia="tr-TR"/>
              </w:rPr>
            </w:pPr>
          </w:p>
          <w:p w:rsidR="001E1A0C" w:rsidRPr="00A23740" w:rsidRDefault="003E6729" w:rsidP="009431FF">
            <w:pPr>
              <w:ind w:firstLine="709"/>
              <w:rPr>
                <w:rFonts w:eastAsia="Times New Roman"/>
                <w:color w:val="000000"/>
                <w:szCs w:val="24"/>
                <w:lang w:eastAsia="tr-TR"/>
              </w:rPr>
            </w:pPr>
            <w:r w:rsidRPr="00A23740">
              <w:rPr>
                <w:rFonts w:eastAsia="Times New Roman"/>
                <w:b/>
                <w:color w:val="000000"/>
                <w:szCs w:val="24"/>
                <w:lang w:eastAsia="tr-TR"/>
              </w:rPr>
              <w:t>MADDE 183-</w:t>
            </w:r>
            <w:r w:rsidRPr="00A23740">
              <w:rPr>
                <w:rFonts w:eastAsia="Times New Roman"/>
                <w:color w:val="000000"/>
                <w:szCs w:val="24"/>
                <w:lang w:eastAsia="tr-TR"/>
              </w:rPr>
              <w:t xml:space="preserve"> </w:t>
            </w:r>
            <w:r w:rsidR="00D13882" w:rsidRPr="00A23740">
              <w:rPr>
                <w:rFonts w:eastAsia="Times New Roman"/>
                <w:color w:val="000000"/>
                <w:szCs w:val="24"/>
                <w:lang w:eastAsia="tr-TR"/>
              </w:rPr>
              <w:t xml:space="preserve">Bu alt ayrımda yer alan </w:t>
            </w:r>
            <w:r w:rsidR="004C1DEE" w:rsidRPr="00A23740">
              <w:rPr>
                <w:rFonts w:eastAsia="Times New Roman"/>
                <w:color w:val="000000"/>
                <w:szCs w:val="24"/>
                <w:lang w:eastAsia="tr-TR"/>
              </w:rPr>
              <w:t xml:space="preserve">ve 2004 sayılı Kanunun 88/a maddesine karşılık gelen </w:t>
            </w:r>
            <w:r w:rsidR="00D13882" w:rsidRPr="00A23740">
              <w:rPr>
                <w:rFonts w:eastAsia="Times New Roman"/>
                <w:color w:val="000000"/>
                <w:szCs w:val="24"/>
                <w:lang w:eastAsia="tr-TR"/>
              </w:rPr>
              <w:t>hükümlerle, yedieminde bulunup da ü</w:t>
            </w:r>
            <w:r w:rsidRPr="00A23740">
              <w:rPr>
                <w:rFonts w:eastAsia="Times New Roman"/>
                <w:color w:val="000000"/>
                <w:szCs w:val="24"/>
                <w:lang w:eastAsia="tr-TR"/>
              </w:rPr>
              <w:t>zerinde bulunan hacizlerin kalkması nedeniyle muhafazası</w:t>
            </w:r>
            <w:r w:rsidR="00D13882" w:rsidRPr="00A23740">
              <w:rPr>
                <w:rFonts w:eastAsia="Times New Roman"/>
                <w:color w:val="000000"/>
                <w:szCs w:val="24"/>
                <w:lang w:eastAsia="tr-TR"/>
              </w:rPr>
              <w:t xml:space="preserve">na </w:t>
            </w:r>
            <w:r w:rsidRPr="00A23740">
              <w:rPr>
                <w:rFonts w:eastAsia="Times New Roman"/>
                <w:color w:val="000000"/>
                <w:szCs w:val="24"/>
                <w:lang w:eastAsia="tr-TR"/>
              </w:rPr>
              <w:t xml:space="preserve">gerek </w:t>
            </w:r>
            <w:r w:rsidR="00D13882" w:rsidRPr="00A23740">
              <w:rPr>
                <w:rFonts w:eastAsia="Times New Roman"/>
                <w:color w:val="000000"/>
                <w:szCs w:val="24"/>
                <w:lang w:eastAsia="tr-TR"/>
              </w:rPr>
              <w:t xml:space="preserve">kalmayan malların </w:t>
            </w:r>
            <w:r w:rsidRPr="00A23740">
              <w:rPr>
                <w:rFonts w:eastAsia="Times New Roman"/>
                <w:color w:val="000000"/>
                <w:szCs w:val="24"/>
                <w:lang w:eastAsia="tr-TR"/>
              </w:rPr>
              <w:t>tasfiyesi</w:t>
            </w:r>
            <w:r w:rsidR="00D13882" w:rsidRPr="00A23740">
              <w:rPr>
                <w:rFonts w:eastAsia="Times New Roman"/>
                <w:color w:val="000000"/>
                <w:szCs w:val="24"/>
                <w:lang w:eastAsia="tr-TR"/>
              </w:rPr>
              <w:t>ne ilişkin usul ve esaslar belirlenmektedir. Düzenlemeyle, z</w:t>
            </w:r>
            <w:r w:rsidR="001E1A0C" w:rsidRPr="00A23740">
              <w:rPr>
                <w:rFonts w:eastAsia="Times New Roman"/>
                <w:color w:val="000000"/>
                <w:szCs w:val="24"/>
                <w:lang w:eastAsia="tr-TR"/>
              </w:rPr>
              <w:t>aman zaman kamuoyunda da gündem</w:t>
            </w:r>
            <w:r w:rsidR="00D13882" w:rsidRPr="00A23740">
              <w:rPr>
                <w:rFonts w:eastAsia="Times New Roman"/>
                <w:color w:val="000000"/>
                <w:szCs w:val="24"/>
                <w:lang w:eastAsia="tr-TR"/>
              </w:rPr>
              <w:t xml:space="preserve">e gelen yedieminde bulunan malların </w:t>
            </w:r>
            <w:r w:rsidR="001E1A0C" w:rsidRPr="00A23740">
              <w:rPr>
                <w:rFonts w:eastAsia="Times New Roman"/>
                <w:color w:val="000000"/>
                <w:szCs w:val="24"/>
                <w:lang w:eastAsia="tr-TR"/>
              </w:rPr>
              <w:t>ekonomi</w:t>
            </w:r>
            <w:r w:rsidR="00D13882" w:rsidRPr="00A23740">
              <w:rPr>
                <w:rFonts w:eastAsia="Times New Roman"/>
                <w:color w:val="000000"/>
                <w:szCs w:val="24"/>
                <w:lang w:eastAsia="tr-TR"/>
              </w:rPr>
              <w:t xml:space="preserve">k ömürlerini yitirmeden </w:t>
            </w:r>
            <w:r w:rsidR="001E1A0C" w:rsidRPr="00A23740">
              <w:rPr>
                <w:rFonts w:eastAsia="Times New Roman"/>
                <w:color w:val="000000"/>
                <w:szCs w:val="24"/>
                <w:lang w:eastAsia="tr-TR"/>
              </w:rPr>
              <w:t>tasfiye edilmesi am</w:t>
            </w:r>
            <w:r w:rsidR="00D13882" w:rsidRPr="00A23740">
              <w:rPr>
                <w:rFonts w:eastAsia="Times New Roman"/>
                <w:color w:val="000000"/>
                <w:szCs w:val="24"/>
                <w:lang w:eastAsia="tr-TR"/>
              </w:rPr>
              <w:t>açlanmaktadır.</w:t>
            </w:r>
            <w:r w:rsidR="004B7513" w:rsidRPr="00A23740">
              <w:rPr>
                <w:rFonts w:eastAsia="Times New Roman"/>
                <w:color w:val="000000"/>
                <w:szCs w:val="24"/>
                <w:lang w:eastAsia="tr-TR"/>
              </w:rPr>
              <w:t xml:space="preserve"> </w:t>
            </w:r>
            <w:r w:rsidR="004B7513" w:rsidRPr="00A23740">
              <w:rPr>
                <w:color w:val="000000"/>
                <w:lang w:eastAsia="tr-TR"/>
              </w:rPr>
              <w:t>Hüküm, 2004 sayılı Kanunun 88/a maddesinin birinci, ikinci, onikinci ve onüçüncü fıkralarına karşılık gelmektedir.</w:t>
            </w:r>
          </w:p>
          <w:p w:rsidR="001E1A0C" w:rsidRPr="00A23740" w:rsidRDefault="001E1A0C" w:rsidP="009431FF">
            <w:pPr>
              <w:ind w:firstLine="709"/>
              <w:rPr>
                <w:rFonts w:eastAsia="Times New Roman"/>
                <w:color w:val="000000"/>
                <w:szCs w:val="24"/>
                <w:lang w:eastAsia="tr-TR"/>
              </w:rPr>
            </w:pPr>
            <w:r w:rsidRPr="00A23740">
              <w:rPr>
                <w:rFonts w:eastAsia="Times New Roman"/>
                <w:color w:val="000000"/>
                <w:szCs w:val="24"/>
                <w:lang w:eastAsia="tr-TR"/>
              </w:rPr>
              <w:t>Maddenin birinci fıkrasında yapılan düzenlemeyle, yedieminde bulunup da üzerindeki hacizler kalkmış olan malların takibin yapıldığı yer icra ve iflas dairesince resen tasf</w:t>
            </w:r>
            <w:r w:rsidR="00D13882" w:rsidRPr="00A23740">
              <w:rPr>
                <w:rFonts w:eastAsia="Times New Roman"/>
                <w:color w:val="000000"/>
                <w:szCs w:val="24"/>
                <w:lang w:eastAsia="tr-TR"/>
              </w:rPr>
              <w:t>iye edileceği belirtilmektedir.</w:t>
            </w:r>
          </w:p>
          <w:p w:rsidR="001E1A0C" w:rsidRPr="00A23740" w:rsidRDefault="001E1A0C" w:rsidP="009431FF">
            <w:pPr>
              <w:ind w:firstLine="709"/>
              <w:rPr>
                <w:rFonts w:eastAsia="Times New Roman"/>
                <w:color w:val="000000"/>
                <w:szCs w:val="24"/>
                <w:lang w:eastAsia="tr-TR"/>
              </w:rPr>
            </w:pPr>
            <w:r w:rsidRPr="00A23740">
              <w:rPr>
                <w:rFonts w:eastAsia="Times New Roman"/>
                <w:color w:val="000000"/>
                <w:szCs w:val="24"/>
                <w:lang w:eastAsia="tr-TR"/>
              </w:rPr>
              <w:t>İkinci fıkrayla, tasfiye edilecek mallara ilişkin bilgilerin icra ve iflas dairesince Ulusal Yargı Ağı Bilişim Sistemi üzerinden duyurulacağı düzenlenmektedir.</w:t>
            </w:r>
          </w:p>
          <w:p w:rsidR="006274D1" w:rsidRPr="00A23740" w:rsidRDefault="001E1A0C" w:rsidP="009431FF">
            <w:pPr>
              <w:ind w:firstLine="709"/>
              <w:rPr>
                <w:rFonts w:eastAsia="Times New Roman"/>
                <w:color w:val="000000"/>
                <w:szCs w:val="24"/>
                <w:lang w:eastAsia="tr-TR"/>
              </w:rPr>
            </w:pPr>
            <w:r w:rsidRPr="00A23740">
              <w:rPr>
                <w:rFonts w:eastAsia="Times New Roman"/>
                <w:color w:val="000000"/>
                <w:szCs w:val="24"/>
                <w:lang w:eastAsia="tr-TR"/>
              </w:rPr>
              <w:t xml:space="preserve">Üçüncü fıkrayla, tasfiye konusu mal üzerinde </w:t>
            </w:r>
            <w:r w:rsidR="001C3CDC" w:rsidRPr="00D60C1D">
              <w:rPr>
                <w:rFonts w:eastAsia="Times New Roman"/>
                <w:color w:val="000000"/>
                <w:szCs w:val="24"/>
                <w:lang w:eastAsia="tr-TR"/>
              </w:rPr>
              <w:t>6183 sayılı</w:t>
            </w:r>
            <w:r w:rsidR="001C3CDC" w:rsidRPr="00A23740">
              <w:rPr>
                <w:rFonts w:eastAsia="Times New Roman"/>
                <w:color w:val="385623"/>
                <w:szCs w:val="24"/>
                <w:lang w:eastAsia="tr-TR"/>
              </w:rPr>
              <w:t xml:space="preserve"> </w:t>
            </w:r>
            <w:r w:rsidRPr="00A23740">
              <w:rPr>
                <w:rFonts w:eastAsia="Times New Roman"/>
                <w:color w:val="000000"/>
                <w:szCs w:val="24"/>
                <w:lang w:eastAsia="tr-TR"/>
              </w:rPr>
              <w:t>Amme Alacaklarının Tahsil Usulü Hakkında Kanun uyarınca haciz bulunması hâlinde yapılacak işlemler düzenlenmektedir. Buna göre, icra ve iflas dairesi</w:t>
            </w:r>
            <w:r w:rsidR="006274D1" w:rsidRPr="00A23740">
              <w:rPr>
                <w:rFonts w:eastAsia="Times New Roman"/>
                <w:color w:val="000000"/>
                <w:szCs w:val="24"/>
                <w:lang w:eastAsia="tr-TR"/>
              </w:rPr>
              <w:t>nce</w:t>
            </w:r>
            <w:r w:rsidRPr="00A23740">
              <w:rPr>
                <w:rFonts w:eastAsia="Times New Roman"/>
                <w:color w:val="000000"/>
                <w:szCs w:val="24"/>
                <w:lang w:eastAsia="tr-TR"/>
              </w:rPr>
              <w:t xml:space="preserve">, </w:t>
            </w:r>
            <w:r w:rsidR="006274D1" w:rsidRPr="00A23740">
              <w:rPr>
                <w:rFonts w:eastAsia="Times New Roman"/>
                <w:color w:val="000000"/>
                <w:szCs w:val="24"/>
                <w:lang w:eastAsia="tr-TR"/>
              </w:rPr>
              <w:t xml:space="preserve">borçluya tebligat </w:t>
            </w:r>
            <w:r w:rsidR="001C3CDC" w:rsidRPr="00D60C1D">
              <w:rPr>
                <w:rFonts w:eastAsia="Times New Roman"/>
                <w:color w:val="000000"/>
                <w:szCs w:val="24"/>
                <w:lang w:eastAsia="tr-TR"/>
              </w:rPr>
              <w:t>gönderilmeden</w:t>
            </w:r>
            <w:r w:rsidR="001C3CDC" w:rsidRPr="00A23740">
              <w:rPr>
                <w:rFonts w:eastAsia="Times New Roman"/>
                <w:color w:val="385623"/>
                <w:szCs w:val="24"/>
                <w:lang w:eastAsia="tr-TR"/>
              </w:rPr>
              <w:t xml:space="preserve"> </w:t>
            </w:r>
            <w:r w:rsidR="006274D1" w:rsidRPr="00A23740">
              <w:rPr>
                <w:rFonts w:eastAsia="Times New Roman"/>
                <w:color w:val="000000"/>
                <w:szCs w:val="24"/>
                <w:lang w:eastAsia="tr-TR"/>
              </w:rPr>
              <w:t xml:space="preserve">önce, </w:t>
            </w:r>
            <w:r w:rsidRPr="00A23740">
              <w:rPr>
                <w:rFonts w:eastAsia="Times New Roman"/>
                <w:color w:val="000000"/>
                <w:szCs w:val="24"/>
                <w:lang w:eastAsia="tr-TR"/>
              </w:rPr>
              <w:t>tah</w:t>
            </w:r>
            <w:r w:rsidR="006274D1" w:rsidRPr="00A23740">
              <w:rPr>
                <w:rFonts w:eastAsia="Times New Roman"/>
                <w:color w:val="000000"/>
                <w:szCs w:val="24"/>
                <w:lang w:eastAsia="tr-TR"/>
              </w:rPr>
              <w:t>sil dairesine bildirimde bulunulacağı</w:t>
            </w:r>
            <w:r w:rsidR="00775934" w:rsidRPr="00A23740">
              <w:rPr>
                <w:rFonts w:eastAsia="Times New Roman"/>
                <w:color w:val="385623"/>
                <w:szCs w:val="24"/>
                <w:lang w:eastAsia="tr-TR"/>
              </w:rPr>
              <w:t>;</w:t>
            </w:r>
            <w:r w:rsidR="006274D1" w:rsidRPr="00A23740">
              <w:rPr>
                <w:rFonts w:eastAsia="Times New Roman"/>
                <w:color w:val="000000"/>
                <w:szCs w:val="24"/>
                <w:lang w:eastAsia="tr-TR"/>
              </w:rPr>
              <w:t xml:space="preserve"> bu bildirimin tebligat </w:t>
            </w:r>
            <w:r w:rsidR="00775934" w:rsidRPr="00A23740">
              <w:rPr>
                <w:rFonts w:eastAsia="Times New Roman"/>
                <w:color w:val="000000"/>
                <w:szCs w:val="24"/>
                <w:lang w:eastAsia="tr-TR"/>
              </w:rPr>
              <w:t xml:space="preserve">göndermek </w:t>
            </w:r>
            <w:r w:rsidR="006274D1" w:rsidRPr="00A23740">
              <w:rPr>
                <w:rFonts w:eastAsia="Times New Roman"/>
                <w:color w:val="000000"/>
                <w:szCs w:val="24"/>
                <w:lang w:eastAsia="tr-TR"/>
              </w:rPr>
              <w:t>suretiyle yapılacağı</w:t>
            </w:r>
            <w:r w:rsidR="00775934" w:rsidRPr="00A23740">
              <w:rPr>
                <w:rFonts w:eastAsia="Times New Roman"/>
                <w:color w:val="000000"/>
                <w:szCs w:val="24"/>
                <w:lang w:eastAsia="tr-TR"/>
              </w:rPr>
              <w:t>;</w:t>
            </w:r>
            <w:r w:rsidRPr="00A23740">
              <w:rPr>
                <w:rFonts w:eastAsia="Times New Roman"/>
                <w:color w:val="000000"/>
                <w:szCs w:val="24"/>
                <w:lang w:eastAsia="tr-TR"/>
              </w:rPr>
              <w:t xml:space="preserve"> </w:t>
            </w:r>
            <w:r w:rsidR="001C3CDC" w:rsidRPr="00D60C1D">
              <w:rPr>
                <w:rFonts w:eastAsia="Times New Roman"/>
                <w:color w:val="000000"/>
                <w:szCs w:val="24"/>
                <w:lang w:eastAsia="tr-TR"/>
              </w:rPr>
              <w:t>gönderilecek</w:t>
            </w:r>
            <w:r w:rsidR="001C3CDC" w:rsidRPr="00A23740">
              <w:rPr>
                <w:rFonts w:eastAsia="Times New Roman"/>
                <w:color w:val="385623"/>
                <w:szCs w:val="24"/>
                <w:lang w:eastAsia="tr-TR"/>
              </w:rPr>
              <w:t xml:space="preserve"> </w:t>
            </w:r>
            <w:r w:rsidR="006274D1" w:rsidRPr="00A23740">
              <w:rPr>
                <w:rFonts w:eastAsia="Times New Roman"/>
                <w:color w:val="000000"/>
                <w:szCs w:val="24"/>
                <w:lang w:eastAsia="tr-TR"/>
              </w:rPr>
              <w:t xml:space="preserve">tebligatta </w:t>
            </w:r>
            <w:r w:rsidRPr="00A23740">
              <w:rPr>
                <w:rFonts w:eastAsia="Times New Roman"/>
                <w:color w:val="000000"/>
                <w:szCs w:val="24"/>
                <w:lang w:eastAsia="tr-TR"/>
              </w:rPr>
              <w:t>tebliğ tarihinden itibaren bir ay içinde muhafaza ve/veya satış işlemlerini yapmak üzere malı</w:t>
            </w:r>
            <w:r w:rsidR="006274D1" w:rsidRPr="00A23740">
              <w:rPr>
                <w:rFonts w:eastAsia="Times New Roman"/>
                <w:color w:val="000000"/>
                <w:szCs w:val="24"/>
                <w:lang w:eastAsia="tr-TR"/>
              </w:rPr>
              <w:t>n</w:t>
            </w:r>
            <w:r w:rsidRPr="00A23740">
              <w:rPr>
                <w:rFonts w:eastAsia="Times New Roman"/>
                <w:color w:val="000000"/>
                <w:szCs w:val="24"/>
                <w:lang w:eastAsia="tr-TR"/>
              </w:rPr>
              <w:t xml:space="preserve"> teslim alınması gerektiği, aksi hâlde malın bu alt ayrımda yer alan hükümler </w:t>
            </w:r>
            <w:r w:rsidR="006274D1" w:rsidRPr="00A23740">
              <w:rPr>
                <w:rFonts w:eastAsia="Times New Roman"/>
                <w:color w:val="000000"/>
                <w:szCs w:val="24"/>
                <w:lang w:eastAsia="tr-TR"/>
              </w:rPr>
              <w:t>uyarınca tasfiye edileceği</w:t>
            </w:r>
            <w:r w:rsidRPr="00A23740">
              <w:rPr>
                <w:rFonts w:eastAsia="Times New Roman"/>
                <w:color w:val="000000"/>
                <w:szCs w:val="24"/>
                <w:lang w:eastAsia="tr-TR"/>
              </w:rPr>
              <w:t xml:space="preserve"> bildirilece</w:t>
            </w:r>
            <w:r w:rsidR="006274D1" w:rsidRPr="00A23740">
              <w:rPr>
                <w:rFonts w:eastAsia="Times New Roman"/>
                <w:color w:val="000000"/>
                <w:szCs w:val="24"/>
                <w:lang w:eastAsia="tr-TR"/>
              </w:rPr>
              <w:t>ktir.</w:t>
            </w:r>
          </w:p>
          <w:p w:rsidR="003E6729" w:rsidRPr="00A23740" w:rsidRDefault="006274D1" w:rsidP="009431FF">
            <w:pPr>
              <w:ind w:firstLine="709"/>
              <w:rPr>
                <w:b/>
                <w:color w:val="000000"/>
                <w:lang w:eastAsia="tr-TR"/>
              </w:rPr>
            </w:pPr>
            <w:r w:rsidRPr="00A23740">
              <w:rPr>
                <w:rFonts w:eastAsia="Times New Roman"/>
                <w:color w:val="000000"/>
                <w:szCs w:val="24"/>
                <w:lang w:eastAsia="tr-TR"/>
              </w:rPr>
              <w:t xml:space="preserve">Dördüncü fıkrayla, tasfiye konusu malın </w:t>
            </w:r>
            <w:r w:rsidR="001C3CDC" w:rsidRPr="00D60C1D">
              <w:rPr>
                <w:rFonts w:eastAsia="Times New Roman"/>
                <w:color w:val="000000"/>
                <w:szCs w:val="24"/>
                <w:lang w:eastAsia="tr-TR"/>
              </w:rPr>
              <w:t>4458 sayılı</w:t>
            </w:r>
            <w:r w:rsidR="001C3CDC" w:rsidRPr="00A23740">
              <w:rPr>
                <w:rFonts w:eastAsia="Times New Roman"/>
                <w:color w:val="385623"/>
                <w:szCs w:val="24"/>
                <w:lang w:eastAsia="tr-TR"/>
              </w:rPr>
              <w:t xml:space="preserve"> </w:t>
            </w:r>
            <w:r w:rsidRPr="00A23740">
              <w:rPr>
                <w:rFonts w:eastAsia="Times New Roman"/>
                <w:color w:val="000000"/>
                <w:szCs w:val="24"/>
                <w:lang w:eastAsia="tr-TR"/>
              </w:rPr>
              <w:t>Gümrük Kanunu kapsamında serbest dolaşımda olmaması hâlinde icra ve iflas dairesi</w:t>
            </w:r>
            <w:r w:rsidR="00CB49B3" w:rsidRPr="00A23740">
              <w:rPr>
                <w:rFonts w:eastAsia="Times New Roman"/>
                <w:color w:val="000000"/>
                <w:szCs w:val="24"/>
                <w:lang w:eastAsia="tr-TR"/>
              </w:rPr>
              <w:t>nin</w:t>
            </w:r>
            <w:r w:rsidRPr="00A23740">
              <w:rPr>
                <w:rFonts w:eastAsia="Times New Roman"/>
                <w:color w:val="000000"/>
                <w:szCs w:val="24"/>
                <w:lang w:eastAsia="tr-TR"/>
              </w:rPr>
              <w:t xml:space="preserve">, borçluya tebligat çıkarmadan önce gümrük idaresine bildirimde bulunacağı, bu bildirimin tebligat çıkarmak suretiyle yapılacağı, çıkarılacak tebligatta bir ay içinde gümrük işlemlerini yapmak üzere malın teslim alınması gerektiği, aksi hâlde bu alt ayrımda yer alan hükümler uyarınca </w:t>
            </w:r>
            <w:r w:rsidR="00E5488F" w:rsidRPr="00D60C1D">
              <w:rPr>
                <w:rStyle w:val="Balk1Char"/>
                <w:rFonts w:eastAsia="Calibri"/>
                <w:b w:val="0"/>
                <w:color w:val="000000"/>
              </w:rPr>
              <w:t>malın</w:t>
            </w:r>
            <w:r w:rsidR="00E5488F" w:rsidRPr="00A23740">
              <w:rPr>
                <w:rFonts w:eastAsia="Times New Roman"/>
                <w:color w:val="000000"/>
                <w:szCs w:val="24"/>
                <w:lang w:eastAsia="tr-TR"/>
              </w:rPr>
              <w:t xml:space="preserve"> </w:t>
            </w:r>
            <w:r w:rsidRPr="00A23740">
              <w:rPr>
                <w:rFonts w:eastAsia="Times New Roman"/>
                <w:color w:val="000000"/>
                <w:szCs w:val="24"/>
                <w:lang w:eastAsia="tr-TR"/>
              </w:rPr>
              <w:t>tasfiye edileceği hüküm altına alınmaktadır.</w:t>
            </w:r>
          </w:p>
          <w:p w:rsidR="004B7513" w:rsidRPr="00A23740" w:rsidRDefault="004B7513" w:rsidP="009431FF">
            <w:pPr>
              <w:rPr>
                <w:color w:val="000000"/>
                <w:lang w:eastAsia="tr-TR"/>
              </w:rPr>
            </w:pPr>
          </w:p>
        </w:tc>
      </w:tr>
      <w:tr w:rsidR="000D27FE" w:rsidRPr="00A23740" w:rsidTr="009431FF">
        <w:tblPrEx>
          <w:tblLook w:val="01E0" w:firstRow="1" w:lastRow="1" w:firstColumn="1" w:lastColumn="1" w:noHBand="0" w:noVBand="0"/>
        </w:tblPrEx>
        <w:tc>
          <w:tcPr>
            <w:tcW w:w="2500" w:type="pct"/>
          </w:tcPr>
          <w:p w:rsidR="00E44B9D" w:rsidRPr="00A23740" w:rsidRDefault="00E44B9D" w:rsidP="009431FF">
            <w:pPr>
              <w:pStyle w:val="KIRMIZI"/>
            </w:pPr>
            <w:r w:rsidRPr="00A23740">
              <w:t>Muhafazasına gerek kalmayan malların tasfiyesi</w:t>
            </w:r>
            <w:r w:rsidRPr="00A23740">
              <w:rPr>
                <w:rStyle w:val="KIRMIZIChar"/>
                <w:rFonts w:eastAsia="Calibri"/>
                <w:lang w:eastAsia="tr-TR"/>
              </w:rPr>
              <w:t>:</w:t>
            </w:r>
          </w:p>
          <w:p w:rsidR="00E44B9D" w:rsidRPr="00A23740" w:rsidRDefault="00E44B9D" w:rsidP="009431FF">
            <w:pPr>
              <w:rPr>
                <w:rFonts w:eastAsia="Times New Roman"/>
                <w:color w:val="000000"/>
                <w:szCs w:val="24"/>
                <w:lang w:eastAsia="tr-TR"/>
              </w:rPr>
            </w:pPr>
            <w:r w:rsidRPr="00A23740">
              <w:rPr>
                <w:rFonts w:eastAsia="Times New Roman"/>
                <w:b/>
                <w:bCs/>
                <w:color w:val="000000"/>
                <w:szCs w:val="24"/>
                <w:lang w:eastAsia="tr-TR"/>
              </w:rPr>
              <w:t>Madde 88/a-</w:t>
            </w:r>
            <w:r w:rsidRPr="00A23740">
              <w:rPr>
                <w:rFonts w:eastAsia="Times New Roman"/>
                <w:color w:val="000000"/>
                <w:szCs w:val="24"/>
                <w:lang w:eastAsia="tr-TR"/>
              </w:rPr>
              <w:t> </w:t>
            </w:r>
            <w:r w:rsidRPr="00A23740">
              <w:rPr>
                <w:rFonts w:eastAsia="Times New Roman"/>
                <w:b/>
                <w:bCs/>
                <w:color w:val="000000"/>
                <w:szCs w:val="24"/>
                <w:lang w:eastAsia="tr-TR"/>
              </w:rPr>
              <w:t>(Ek:28/3/2023-7445/4 md.)</w:t>
            </w:r>
          </w:p>
          <w:p w:rsidR="00E44B9D" w:rsidRPr="00A23740" w:rsidRDefault="00E44B9D" w:rsidP="009431FF">
            <w:pPr>
              <w:rPr>
                <w:rFonts w:eastAsia="Times New Roman"/>
                <w:color w:val="000000"/>
                <w:szCs w:val="24"/>
                <w:lang w:eastAsia="tr-TR"/>
              </w:rPr>
            </w:pPr>
            <w:r w:rsidRPr="00A23740">
              <w:rPr>
                <w:rFonts w:eastAsia="Times New Roman"/>
                <w:color w:val="000000"/>
                <w:szCs w:val="24"/>
                <w:lang w:eastAsia="tr-TR"/>
              </w:rPr>
              <w:t>…</w:t>
            </w:r>
          </w:p>
          <w:p w:rsidR="006236BD" w:rsidRPr="00A23740" w:rsidRDefault="006236BD" w:rsidP="009431FF">
            <w:pPr>
              <w:rPr>
                <w:rFonts w:eastAsia="Times New Roman"/>
                <w:color w:val="000000"/>
                <w:szCs w:val="24"/>
                <w:lang w:eastAsia="tr-TR"/>
              </w:rPr>
            </w:pPr>
            <w:r w:rsidRPr="00A23740">
              <w:rPr>
                <w:rStyle w:val="KIRMIZIChar"/>
                <w:rFonts w:eastAsia="Calibri"/>
              </w:rPr>
              <w:t>(3)</w:t>
            </w:r>
            <w:r w:rsidRPr="00A23740">
              <w:rPr>
                <w:rFonts w:eastAsia="Times New Roman"/>
                <w:color w:val="000000"/>
                <w:szCs w:val="24"/>
                <w:lang w:eastAsia="tr-TR"/>
              </w:rPr>
              <w:t xml:space="preserve"> İcra dairesi, borçluya tebligat çıkararak tebliğ tarihinden itibaren </w:t>
            </w:r>
            <w:r w:rsidRPr="00A23740">
              <w:rPr>
                <w:rStyle w:val="KIRMIZIChar"/>
                <w:rFonts w:eastAsia="Calibri"/>
                <w:lang w:eastAsia="tr-TR"/>
              </w:rPr>
              <w:t>on gün</w:t>
            </w:r>
            <w:r w:rsidRPr="00A23740">
              <w:rPr>
                <w:rFonts w:eastAsia="Times New Roman"/>
                <w:color w:val="000000"/>
                <w:szCs w:val="24"/>
                <w:lang w:eastAsia="tr-TR"/>
              </w:rPr>
              <w:t xml:space="preserve"> içinde tarifeye göre belirlenen yedieminlik ücretini ödemek suretiyle malı teslim alabileceğini, aksi halde müteakip fıkralar uyarınca malın tasfiye edileceğini ihtar eder.</w:t>
            </w:r>
          </w:p>
          <w:p w:rsidR="006236BD" w:rsidRPr="00A23740" w:rsidRDefault="006236BD" w:rsidP="009431FF">
            <w:pPr>
              <w:rPr>
                <w:rStyle w:val="KIRMIZIChar"/>
                <w:rFonts w:eastAsia="Calibri"/>
                <w:b w:val="0"/>
                <w:bCs w:val="0"/>
                <w:strike w:val="0"/>
                <w:color w:val="000000"/>
                <w:lang w:eastAsia="tr-TR"/>
              </w:rPr>
            </w:pPr>
          </w:p>
          <w:p w:rsidR="00E44B9D" w:rsidRPr="00A23740" w:rsidRDefault="00E44B9D" w:rsidP="009431FF">
            <w:pPr>
              <w:rPr>
                <w:rFonts w:eastAsia="Times New Roman"/>
                <w:color w:val="000000"/>
                <w:szCs w:val="24"/>
                <w:lang w:eastAsia="tr-TR"/>
              </w:rPr>
            </w:pPr>
            <w:r w:rsidRPr="00A23740">
              <w:rPr>
                <w:rStyle w:val="KIRMIZIChar"/>
                <w:rFonts w:eastAsia="Calibri"/>
              </w:rPr>
              <w:t>(4)</w:t>
            </w:r>
            <w:r w:rsidRPr="00A23740">
              <w:rPr>
                <w:rFonts w:eastAsia="Times New Roman"/>
                <w:color w:val="000000"/>
                <w:szCs w:val="24"/>
                <w:lang w:eastAsia="tr-TR"/>
              </w:rPr>
              <w:t xml:space="preserve"> Borçlunun malı teslim almaması halinde icra dairesi, rehin hakkı sahibine tebligat çıkararak tebliğ tarihinden itibaren </w:t>
            </w:r>
            <w:r w:rsidRPr="00A23740">
              <w:rPr>
                <w:rStyle w:val="KIRMIZIChar"/>
                <w:rFonts w:eastAsia="Calibri"/>
                <w:lang w:eastAsia="tr-TR"/>
              </w:rPr>
              <w:t>on gün</w:t>
            </w:r>
            <w:r w:rsidRPr="00A23740">
              <w:rPr>
                <w:rFonts w:eastAsia="Times New Roman"/>
                <w:color w:val="000000"/>
                <w:szCs w:val="24"/>
                <w:lang w:eastAsia="tr-TR"/>
              </w:rPr>
              <w:t xml:space="preserve"> içinde rehinden kaynaklanan haklarını kullanabileceğini ve bu durumu icra dairesine bildirmesi gerektiğini, aksi halde müteakip fıkralar uyarınca malın tasfiye edileceğini ihtar eder.</w:t>
            </w:r>
          </w:p>
          <w:p w:rsidR="000D27FE" w:rsidRPr="00A23740" w:rsidRDefault="000D27FE" w:rsidP="009431FF">
            <w:pPr>
              <w:rPr>
                <w:rFonts w:eastAsia="Times New Roman"/>
                <w:i/>
                <w:iCs/>
                <w:color w:val="000000"/>
                <w:szCs w:val="24"/>
                <w:lang w:eastAsia="tr-TR"/>
              </w:rPr>
            </w:pPr>
          </w:p>
          <w:p w:rsidR="00E44B9D" w:rsidRPr="00A23740" w:rsidRDefault="00E44B9D" w:rsidP="009431FF">
            <w:pPr>
              <w:rPr>
                <w:rFonts w:eastAsia="Times New Roman"/>
                <w:color w:val="000000"/>
                <w:szCs w:val="24"/>
                <w:lang w:eastAsia="tr-TR"/>
              </w:rPr>
            </w:pPr>
            <w:r w:rsidRPr="00A23740">
              <w:rPr>
                <w:rStyle w:val="KIRMIZIChar"/>
                <w:rFonts w:eastAsia="Calibri"/>
              </w:rPr>
              <w:t>(5)</w:t>
            </w:r>
            <w:r w:rsidRPr="00A23740">
              <w:rPr>
                <w:rFonts w:eastAsia="Times New Roman"/>
                <w:color w:val="000000"/>
                <w:szCs w:val="24"/>
                <w:lang w:eastAsia="tr-TR"/>
              </w:rPr>
              <w:t xml:space="preserve"> Sicile kayıtlı mallar bakımından, malın borçlu tarafından teslim alınmaması veya rehinden </w:t>
            </w:r>
            <w:r w:rsidRPr="00A23740">
              <w:rPr>
                <w:rStyle w:val="KIRMIZIChar"/>
                <w:rFonts w:eastAsia="Calibri"/>
              </w:rPr>
              <w:t>kaynaklı</w:t>
            </w:r>
            <w:r w:rsidRPr="00A23740">
              <w:rPr>
                <w:rFonts w:eastAsia="Times New Roman"/>
                <w:color w:val="000000"/>
                <w:szCs w:val="24"/>
                <w:lang w:eastAsia="tr-TR"/>
              </w:rPr>
              <w:t xml:space="preserve"> hakkın kullanılmaması halinde icra dairesi, malın daha önce satışa çıkarılmamış olması kaydıyla, kanunun elektronik ortamda açık artırma suretiyle satışa ilişkin hükümleri uyarınca resen satışını yapar.</w:t>
            </w:r>
          </w:p>
          <w:p w:rsidR="00E44B9D" w:rsidRPr="00A23740" w:rsidRDefault="00E44B9D" w:rsidP="009431FF">
            <w:pPr>
              <w:rPr>
                <w:rFonts w:eastAsia="Times New Roman"/>
                <w:i/>
                <w:iCs/>
                <w:color w:val="000000"/>
                <w:szCs w:val="24"/>
                <w:lang w:eastAsia="tr-TR"/>
              </w:rPr>
            </w:pPr>
          </w:p>
          <w:p w:rsidR="00E44B9D" w:rsidRPr="00A23740" w:rsidRDefault="00E44B9D" w:rsidP="009431FF">
            <w:pPr>
              <w:rPr>
                <w:rFonts w:eastAsia="Times New Roman"/>
                <w:color w:val="000000"/>
                <w:szCs w:val="24"/>
                <w:lang w:eastAsia="tr-TR"/>
              </w:rPr>
            </w:pPr>
            <w:r w:rsidRPr="00A23740">
              <w:rPr>
                <w:rStyle w:val="KIRMIZIChar"/>
                <w:rFonts w:eastAsia="Calibri"/>
              </w:rPr>
              <w:t>(6)</w:t>
            </w:r>
            <w:r w:rsidRPr="00A23740">
              <w:rPr>
                <w:rFonts w:eastAsia="Times New Roman"/>
                <w:color w:val="000000"/>
                <w:szCs w:val="24"/>
                <w:lang w:eastAsia="tr-TR"/>
              </w:rPr>
              <w:t xml:space="preserve"> Yukarıdaki fıkralar uyarınca malın tasfiye edilememesi halinde icra dairesi, derhal yediemine tebligat çıkararak, tebliğ tarihinden itibaren </w:t>
            </w:r>
            <w:r w:rsidRPr="00A23740">
              <w:rPr>
                <w:rStyle w:val="KIRMIZIChar"/>
                <w:rFonts w:eastAsia="Calibri"/>
                <w:lang w:eastAsia="tr-TR"/>
              </w:rPr>
              <w:t>on gün</w:t>
            </w:r>
            <w:r w:rsidRPr="00A23740">
              <w:rPr>
                <w:rFonts w:eastAsia="Times New Roman"/>
                <w:color w:val="000000"/>
                <w:szCs w:val="24"/>
                <w:lang w:eastAsia="tr-TR"/>
              </w:rPr>
              <w:t xml:space="preserve"> içinde varsa malın son iki yıl içinde yapılan, yoksa icra dairesince takdir edilen kıymetinin yüzde kırkı üzerinden, tarifeye göre belirlenen yedieminlik ücreti mahsup edildikten sonra bakiye tutarı ödediği takdirde malın mülkiyetinin kendisine devredilmesine karar verileceğini, aksi halde müteakip fıkralara göre işlem yapılacağını ihtar eder. Bu fıkrada belirtilen şartların oluştuğunun ve varsa bakiye tutarın yediemin tarafından ödendiğinin tespiti halinde icra dairesi, malın mülkiyetinin yediemine devrine yönelik kararın verilmesi için dosyayı icra mahkemesine gönderir.</w:t>
            </w:r>
          </w:p>
          <w:p w:rsidR="00811283" w:rsidRPr="00A23740" w:rsidRDefault="00811283" w:rsidP="009431FF">
            <w:pPr>
              <w:rPr>
                <w:rStyle w:val="KIRMIZIChar"/>
                <w:rFonts w:eastAsia="Calibri"/>
              </w:rPr>
            </w:pPr>
          </w:p>
          <w:p w:rsidR="00580D2A" w:rsidRPr="00A23740" w:rsidRDefault="00580D2A" w:rsidP="009431FF">
            <w:pPr>
              <w:rPr>
                <w:rStyle w:val="KIRMIZIChar"/>
                <w:rFonts w:eastAsia="Calibri"/>
              </w:rPr>
            </w:pPr>
          </w:p>
          <w:p w:rsidR="00811283" w:rsidRPr="00A23740" w:rsidRDefault="00811283" w:rsidP="009431FF">
            <w:pPr>
              <w:rPr>
                <w:rFonts w:eastAsia="Times New Roman"/>
                <w:color w:val="000000"/>
                <w:szCs w:val="24"/>
                <w:lang w:eastAsia="tr-TR"/>
              </w:rPr>
            </w:pPr>
            <w:r w:rsidRPr="00A23740">
              <w:rPr>
                <w:rStyle w:val="KIRMIZIChar"/>
                <w:rFonts w:eastAsia="Calibri"/>
              </w:rPr>
              <w:t>(7)</w:t>
            </w:r>
            <w:r w:rsidRPr="00A23740">
              <w:rPr>
                <w:rFonts w:eastAsia="Times New Roman"/>
                <w:color w:val="000000"/>
                <w:szCs w:val="24"/>
                <w:lang w:eastAsia="tr-TR"/>
              </w:rPr>
              <w:t xml:space="preserve"> Sicile kayıtlı mallar bakımından yedieminin malın mülkiyetinin devrini kabul etmemesi halinde icra dairesi, Makine ve Kimya Endüstrisi Anonim Şirketine tebligat çıkararak, tebliğ tarihinden itibaren bir ay içinde, 30/6/2021 tarihli ve 7330 sayılı Makine ve Kimya Endüstrisi Anonim Şirketi Hakkında Kanunun 4 üncü maddesinin dördüncü fıkrası uyarınca belirlenen hurda bedelini ödeyeceğini bildirmesi ve bildirimde bulunduğu tarihten itibaren üç ay içinde hurda bedelini ödemesi şartıyla malın mülkiyetinin Şirkete devredilmesine karar verileceğini ihtar eder. Bu fıkrada belirtilen şartların oluştuğunun ve hurda bedelinin ödendiğinin tespiti halinde icra dairesi, hurdaya ayırma işlemlerini tamamlayarak malın mülkiyetinin Şirkete devrine yönelik kararın verilmesi için dosyayı icra mahkemesine gönderir.</w:t>
            </w:r>
          </w:p>
          <w:p w:rsidR="00811283" w:rsidRPr="00A23740" w:rsidRDefault="00811283" w:rsidP="009431FF">
            <w:pPr>
              <w:rPr>
                <w:rFonts w:eastAsia="Times New Roman"/>
                <w:color w:val="000000"/>
                <w:szCs w:val="24"/>
                <w:lang w:eastAsia="tr-TR"/>
              </w:rPr>
            </w:pPr>
          </w:p>
          <w:p w:rsidR="00811283" w:rsidRPr="00A23740" w:rsidRDefault="00811283" w:rsidP="009431FF">
            <w:pPr>
              <w:rPr>
                <w:rFonts w:eastAsia="Times New Roman"/>
                <w:color w:val="000000"/>
                <w:szCs w:val="24"/>
                <w:lang w:eastAsia="tr-TR"/>
              </w:rPr>
            </w:pPr>
            <w:r w:rsidRPr="00A23740">
              <w:rPr>
                <w:rStyle w:val="KIRMIZIChar"/>
                <w:rFonts w:eastAsia="Calibri"/>
              </w:rPr>
              <w:t>(8)</w:t>
            </w:r>
            <w:r w:rsidRPr="00A23740">
              <w:rPr>
                <w:rFonts w:eastAsia="Times New Roman"/>
                <w:color w:val="000000"/>
                <w:szCs w:val="24"/>
                <w:lang w:eastAsia="tr-TR"/>
              </w:rPr>
              <w:t xml:space="preserve"> Yukarıdaki fıkralar uyarınca malın tasfiye edilememesi halinde icra dairesi, malın mülkiyetinin bedelsiz olarak Türkiye Kızılay Derneğine devrine yönelik kararın verilmesi için dosyayı icra mahkemesine gönderir.</w:t>
            </w:r>
          </w:p>
          <w:p w:rsidR="00811283" w:rsidRPr="00A23740" w:rsidRDefault="00811283" w:rsidP="009431FF">
            <w:pPr>
              <w:rPr>
                <w:rFonts w:eastAsia="Times New Roman"/>
                <w:i/>
                <w:iCs/>
                <w:color w:val="000000"/>
                <w:szCs w:val="24"/>
                <w:lang w:eastAsia="tr-TR"/>
              </w:rPr>
            </w:pPr>
          </w:p>
        </w:tc>
        <w:tc>
          <w:tcPr>
            <w:tcW w:w="2500" w:type="pct"/>
          </w:tcPr>
          <w:p w:rsidR="00E44B9D" w:rsidRPr="00A23740" w:rsidRDefault="00E44B9D" w:rsidP="009431FF">
            <w:pPr>
              <w:rPr>
                <w:rStyle w:val="MaviChar"/>
                <w:lang w:val="tr-TR"/>
              </w:rPr>
            </w:pPr>
            <w:r w:rsidRPr="00A23740">
              <w:rPr>
                <w:rStyle w:val="MaviChar"/>
                <w:lang w:val="tr-TR"/>
              </w:rPr>
              <w:t>Tasfiyede gözetilecek sıra</w:t>
            </w:r>
          </w:p>
          <w:p w:rsidR="006236BD" w:rsidRPr="00A23740" w:rsidRDefault="00E44B9D" w:rsidP="009431FF">
            <w:pPr>
              <w:rPr>
                <w:rFonts w:eastAsia="Times New Roman"/>
                <w:color w:val="000000"/>
                <w:szCs w:val="24"/>
                <w:lang w:eastAsia="tr-TR"/>
              </w:rPr>
            </w:pPr>
            <w:r w:rsidRPr="00A23740">
              <w:rPr>
                <w:rStyle w:val="MaviChar"/>
                <w:lang w:val="tr-TR"/>
              </w:rPr>
              <w:t xml:space="preserve">MADDE 184- </w:t>
            </w:r>
            <w:r w:rsidRPr="00A23740">
              <w:rPr>
                <w:rStyle w:val="MaviChar"/>
              </w:rPr>
              <w:t>(1)</w:t>
            </w:r>
            <w:r w:rsidR="006236BD" w:rsidRPr="00A23740">
              <w:rPr>
                <w:rFonts w:eastAsia="Times New Roman"/>
                <w:color w:val="000000"/>
                <w:szCs w:val="24"/>
                <w:lang w:eastAsia="tr-TR"/>
              </w:rPr>
              <w:t xml:space="preserve"> İcra </w:t>
            </w:r>
            <w:r w:rsidR="006236BD" w:rsidRPr="00A23740">
              <w:rPr>
                <w:rStyle w:val="MaviChar"/>
              </w:rPr>
              <w:t>ve iflas</w:t>
            </w:r>
            <w:r w:rsidR="006236BD" w:rsidRPr="00A23740">
              <w:rPr>
                <w:rFonts w:eastAsia="Times New Roman"/>
                <w:color w:val="000000"/>
                <w:szCs w:val="24"/>
                <w:lang w:eastAsia="tr-TR"/>
              </w:rPr>
              <w:t xml:space="preserve"> dairesi, borçluya tebligat çıkararak tebliğ tarihinden itibaren </w:t>
            </w:r>
            <w:r w:rsidR="006236BD" w:rsidRPr="00A23740">
              <w:rPr>
                <w:rStyle w:val="MaviChar"/>
                <w:lang w:val="tr-TR"/>
              </w:rPr>
              <w:t>iki</w:t>
            </w:r>
            <w:r w:rsidR="006236BD" w:rsidRPr="00A23740">
              <w:rPr>
                <w:rStyle w:val="MaviChar"/>
              </w:rPr>
              <w:t xml:space="preserve"> hafta</w:t>
            </w:r>
            <w:r w:rsidR="006236BD" w:rsidRPr="00A23740">
              <w:rPr>
                <w:rFonts w:eastAsia="Times New Roman"/>
                <w:color w:val="000000"/>
                <w:szCs w:val="24"/>
                <w:lang w:eastAsia="tr-TR"/>
              </w:rPr>
              <w:t xml:space="preserve"> içinde tarifeye göre belirlenen yedieminlik ücretini ödemek suretiyle malı teslim alabileceğini, aksi h</w:t>
            </w:r>
            <w:r w:rsidR="00811283" w:rsidRPr="00A23740">
              <w:rPr>
                <w:rFonts w:eastAsia="Times New Roman"/>
                <w:color w:val="000000"/>
                <w:szCs w:val="24"/>
                <w:lang w:eastAsia="tr-TR"/>
              </w:rPr>
              <w:t>â</w:t>
            </w:r>
            <w:r w:rsidR="006236BD" w:rsidRPr="00A23740">
              <w:rPr>
                <w:rFonts w:eastAsia="Times New Roman"/>
                <w:color w:val="000000"/>
                <w:szCs w:val="24"/>
                <w:lang w:eastAsia="tr-TR"/>
              </w:rPr>
              <w:t xml:space="preserve">lde </w:t>
            </w:r>
            <w:r w:rsidR="00B65310" w:rsidRPr="00D03F47">
              <w:rPr>
                <w:rStyle w:val="Balk1Char"/>
                <w:rFonts w:eastAsia="Calibri"/>
              </w:rPr>
              <w:t>takip eden</w:t>
            </w:r>
            <w:r w:rsidR="00B65310" w:rsidRPr="00A23740">
              <w:rPr>
                <w:rFonts w:eastAsia="Times New Roman"/>
                <w:color w:val="385623"/>
                <w:szCs w:val="24"/>
                <w:lang w:eastAsia="tr-TR"/>
              </w:rPr>
              <w:t xml:space="preserve"> </w:t>
            </w:r>
            <w:r w:rsidR="004B4494" w:rsidRPr="00A23740">
              <w:rPr>
                <w:rFonts w:eastAsia="Times New Roman"/>
                <w:color w:val="000000"/>
                <w:szCs w:val="24"/>
                <w:lang w:eastAsia="tr-TR"/>
              </w:rPr>
              <w:t>fıkralar</w:t>
            </w:r>
            <w:r w:rsidR="006236BD" w:rsidRPr="00A23740">
              <w:rPr>
                <w:rFonts w:eastAsia="Times New Roman"/>
                <w:color w:val="000000"/>
                <w:szCs w:val="24"/>
                <w:lang w:eastAsia="tr-TR"/>
              </w:rPr>
              <w:t xml:space="preserve"> uyarınca malın tasfiye edileceğini ihtar eder.</w:t>
            </w:r>
          </w:p>
          <w:p w:rsidR="006236BD" w:rsidRPr="00A23740" w:rsidRDefault="006236BD" w:rsidP="009431FF">
            <w:pPr>
              <w:rPr>
                <w:rFonts w:eastAsia="Times New Roman"/>
                <w:color w:val="000000"/>
                <w:szCs w:val="24"/>
                <w:lang w:eastAsia="tr-TR"/>
              </w:rPr>
            </w:pPr>
          </w:p>
          <w:p w:rsidR="006236BD" w:rsidRDefault="006236BD" w:rsidP="009431FF">
            <w:pPr>
              <w:rPr>
                <w:rFonts w:eastAsia="Times New Roman"/>
                <w:color w:val="000000"/>
                <w:szCs w:val="24"/>
                <w:lang w:eastAsia="tr-TR"/>
              </w:rPr>
            </w:pPr>
          </w:p>
          <w:p w:rsidR="009A265C" w:rsidRPr="00A23740" w:rsidRDefault="009A265C" w:rsidP="009431FF">
            <w:pPr>
              <w:rPr>
                <w:rFonts w:eastAsia="Times New Roman"/>
                <w:color w:val="000000"/>
                <w:szCs w:val="24"/>
                <w:lang w:eastAsia="tr-TR"/>
              </w:rPr>
            </w:pPr>
          </w:p>
          <w:p w:rsidR="000D27FE" w:rsidRPr="00A23740" w:rsidRDefault="006236BD" w:rsidP="009431FF">
            <w:pPr>
              <w:rPr>
                <w:rFonts w:eastAsia="Times New Roman"/>
                <w:color w:val="000000"/>
                <w:szCs w:val="24"/>
                <w:lang w:eastAsia="tr-TR"/>
              </w:rPr>
            </w:pPr>
            <w:r w:rsidRPr="00A23740">
              <w:rPr>
                <w:rStyle w:val="Balk1Char"/>
                <w:rFonts w:eastAsia="Calibri"/>
              </w:rPr>
              <w:t>(2)</w:t>
            </w:r>
            <w:r w:rsidRPr="00A23740">
              <w:rPr>
                <w:rFonts w:eastAsia="Times New Roman"/>
                <w:color w:val="000000"/>
                <w:szCs w:val="24"/>
                <w:lang w:eastAsia="tr-TR"/>
              </w:rPr>
              <w:t xml:space="preserve"> </w:t>
            </w:r>
            <w:r w:rsidR="00E44B9D" w:rsidRPr="00A23740">
              <w:rPr>
                <w:rFonts w:eastAsia="Times New Roman"/>
                <w:color w:val="000000"/>
                <w:szCs w:val="24"/>
                <w:lang w:eastAsia="tr-TR"/>
              </w:rPr>
              <w:t>Borçlunun malı teslim almaması h</w:t>
            </w:r>
            <w:r w:rsidR="001D7D44" w:rsidRPr="00A23740">
              <w:rPr>
                <w:rFonts w:eastAsia="Times New Roman"/>
                <w:color w:val="000000"/>
                <w:szCs w:val="24"/>
                <w:lang w:eastAsia="tr-TR"/>
              </w:rPr>
              <w:t>â</w:t>
            </w:r>
            <w:r w:rsidR="00E44B9D" w:rsidRPr="00A23740">
              <w:rPr>
                <w:rFonts w:eastAsia="Times New Roman"/>
                <w:color w:val="000000"/>
                <w:szCs w:val="24"/>
                <w:lang w:eastAsia="tr-TR"/>
              </w:rPr>
              <w:t xml:space="preserve">linde icra </w:t>
            </w:r>
            <w:r w:rsidR="00E44B9D" w:rsidRPr="00A23740">
              <w:rPr>
                <w:rStyle w:val="MaviChar"/>
              </w:rPr>
              <w:t>ve iflas</w:t>
            </w:r>
            <w:r w:rsidR="00E44B9D" w:rsidRPr="00A23740">
              <w:rPr>
                <w:rFonts w:eastAsia="Times New Roman"/>
                <w:color w:val="000000"/>
                <w:szCs w:val="24"/>
                <w:lang w:eastAsia="tr-TR"/>
              </w:rPr>
              <w:t xml:space="preserve"> dairesi, rehin hakkı sahibine tebligat çıkararak tebliğ tarihinden itibaren </w:t>
            </w:r>
            <w:r w:rsidR="00E44B9D" w:rsidRPr="00A23740">
              <w:rPr>
                <w:rStyle w:val="MaviChar"/>
                <w:lang w:val="tr-TR"/>
              </w:rPr>
              <w:t>iki</w:t>
            </w:r>
            <w:r w:rsidR="00E44B9D" w:rsidRPr="00A23740">
              <w:rPr>
                <w:rStyle w:val="MaviChar"/>
              </w:rPr>
              <w:t xml:space="preserve"> hafta</w:t>
            </w:r>
            <w:r w:rsidR="00E44B9D" w:rsidRPr="00A23740">
              <w:rPr>
                <w:rFonts w:eastAsia="Times New Roman"/>
                <w:color w:val="000000"/>
                <w:szCs w:val="24"/>
                <w:lang w:eastAsia="tr-TR"/>
              </w:rPr>
              <w:t xml:space="preserve"> içinde rehinden kaynaklanan haklarını kullanabileceğini ve bu durumu icra </w:t>
            </w:r>
            <w:r w:rsidR="00E44B9D" w:rsidRPr="00A23740">
              <w:rPr>
                <w:rStyle w:val="MaviChar"/>
              </w:rPr>
              <w:t>ve iflas</w:t>
            </w:r>
            <w:r w:rsidR="00E44B9D" w:rsidRPr="00A23740">
              <w:rPr>
                <w:rFonts w:eastAsia="Times New Roman"/>
                <w:color w:val="000000"/>
                <w:szCs w:val="24"/>
                <w:lang w:eastAsia="tr-TR"/>
              </w:rPr>
              <w:t xml:space="preserve"> dairesine bildirmesi gerektiğini, aksi h</w:t>
            </w:r>
            <w:r w:rsidR="004B4494" w:rsidRPr="00A23740">
              <w:rPr>
                <w:rFonts w:eastAsia="Times New Roman"/>
                <w:color w:val="000000"/>
                <w:szCs w:val="24"/>
                <w:lang w:eastAsia="tr-TR"/>
              </w:rPr>
              <w:t>â</w:t>
            </w:r>
            <w:r w:rsidR="00E44B9D" w:rsidRPr="00A23740">
              <w:rPr>
                <w:rFonts w:eastAsia="Times New Roman"/>
                <w:color w:val="000000"/>
                <w:szCs w:val="24"/>
                <w:lang w:eastAsia="tr-TR"/>
              </w:rPr>
              <w:t>lde</w:t>
            </w:r>
            <w:r w:rsidR="00142328" w:rsidRPr="00A23740">
              <w:rPr>
                <w:rFonts w:eastAsia="Times New Roman"/>
                <w:color w:val="000000"/>
                <w:szCs w:val="24"/>
                <w:lang w:eastAsia="tr-TR"/>
              </w:rPr>
              <w:t xml:space="preserve"> </w:t>
            </w:r>
            <w:r w:rsidR="00142328" w:rsidRPr="00D03F47">
              <w:rPr>
                <w:rStyle w:val="Balk1Char"/>
                <w:rFonts w:eastAsia="Calibri"/>
              </w:rPr>
              <w:t>izleyen</w:t>
            </w:r>
            <w:r w:rsidR="00E44B9D" w:rsidRPr="00A23740">
              <w:rPr>
                <w:rFonts w:eastAsia="Times New Roman"/>
                <w:color w:val="385623"/>
                <w:szCs w:val="24"/>
                <w:lang w:eastAsia="tr-TR"/>
              </w:rPr>
              <w:t xml:space="preserve"> </w:t>
            </w:r>
            <w:r w:rsidR="00E44B9D" w:rsidRPr="00A23740">
              <w:rPr>
                <w:rFonts w:eastAsia="Times New Roman"/>
                <w:color w:val="000000"/>
                <w:szCs w:val="24"/>
                <w:lang w:eastAsia="tr-TR"/>
              </w:rPr>
              <w:t>fıkralar uyarınca malın tasfiye edileceğini ihtar eder.</w:t>
            </w:r>
          </w:p>
          <w:p w:rsidR="00E44B9D" w:rsidRPr="00A23740" w:rsidRDefault="00E44B9D" w:rsidP="009431FF">
            <w:pPr>
              <w:rPr>
                <w:rFonts w:eastAsia="Times New Roman"/>
                <w:color w:val="000000"/>
                <w:szCs w:val="24"/>
                <w:lang w:eastAsia="tr-TR"/>
              </w:rPr>
            </w:pPr>
          </w:p>
          <w:p w:rsidR="00E44B9D" w:rsidRPr="00A23740" w:rsidRDefault="006236BD" w:rsidP="009431FF">
            <w:pPr>
              <w:rPr>
                <w:rFonts w:eastAsia="Times New Roman"/>
                <w:color w:val="000000"/>
                <w:szCs w:val="24"/>
                <w:lang w:eastAsia="tr-TR"/>
              </w:rPr>
            </w:pPr>
            <w:r w:rsidRPr="00A23740">
              <w:rPr>
                <w:rStyle w:val="MaviChar"/>
              </w:rPr>
              <w:t>(3</w:t>
            </w:r>
            <w:r w:rsidR="00E44B9D" w:rsidRPr="00A23740">
              <w:rPr>
                <w:rStyle w:val="MaviChar"/>
              </w:rPr>
              <w:t>)</w:t>
            </w:r>
            <w:r w:rsidR="00E44B9D" w:rsidRPr="00A23740">
              <w:rPr>
                <w:rFonts w:eastAsia="Times New Roman"/>
                <w:color w:val="000000"/>
                <w:szCs w:val="24"/>
                <w:lang w:eastAsia="tr-TR"/>
              </w:rPr>
              <w:t xml:space="preserve"> Sicile kayıtlı mallar bakımından, malın borçlu tarafından teslim alınmaması veya rehinden </w:t>
            </w:r>
            <w:r w:rsidR="00E44B9D" w:rsidRPr="00A23740">
              <w:rPr>
                <w:rStyle w:val="MaviChar"/>
              </w:rPr>
              <w:t>kaynaklanan</w:t>
            </w:r>
            <w:r w:rsidR="00E44B9D" w:rsidRPr="00A23740">
              <w:rPr>
                <w:rFonts w:eastAsia="Times New Roman"/>
                <w:color w:val="000000"/>
                <w:szCs w:val="24"/>
                <w:lang w:eastAsia="tr-TR"/>
              </w:rPr>
              <w:t xml:space="preserve"> hakkın kullanılmaması h</w:t>
            </w:r>
            <w:r w:rsidR="004B4494" w:rsidRPr="00A23740">
              <w:rPr>
                <w:rFonts w:eastAsia="Times New Roman"/>
                <w:color w:val="000000"/>
                <w:szCs w:val="24"/>
                <w:lang w:eastAsia="tr-TR"/>
              </w:rPr>
              <w:t>â</w:t>
            </w:r>
            <w:r w:rsidR="00E44B9D" w:rsidRPr="00A23740">
              <w:rPr>
                <w:rFonts w:eastAsia="Times New Roman"/>
                <w:color w:val="000000"/>
                <w:szCs w:val="24"/>
                <w:lang w:eastAsia="tr-TR"/>
              </w:rPr>
              <w:t xml:space="preserve">linde icra </w:t>
            </w:r>
            <w:r w:rsidR="00E44B9D" w:rsidRPr="00A23740">
              <w:rPr>
                <w:rStyle w:val="MaviChar"/>
              </w:rPr>
              <w:t>ve iflas</w:t>
            </w:r>
            <w:r w:rsidR="00E44B9D" w:rsidRPr="00A23740">
              <w:rPr>
                <w:rFonts w:eastAsia="Times New Roman"/>
                <w:color w:val="000000"/>
                <w:szCs w:val="24"/>
                <w:lang w:eastAsia="tr-TR"/>
              </w:rPr>
              <w:t xml:space="preserve"> dairesi, malın daha önce satışa çıkarılmamış olması kaydıyla, </w:t>
            </w:r>
            <w:r w:rsidRPr="00A23740">
              <w:rPr>
                <w:rFonts w:eastAsia="Times New Roman"/>
                <w:color w:val="000000"/>
                <w:szCs w:val="24"/>
                <w:lang w:eastAsia="tr-TR"/>
              </w:rPr>
              <w:t>K</w:t>
            </w:r>
            <w:r w:rsidR="00E44B9D" w:rsidRPr="00A23740">
              <w:rPr>
                <w:rFonts w:eastAsia="Times New Roman"/>
                <w:color w:val="000000"/>
                <w:szCs w:val="24"/>
                <w:lang w:eastAsia="tr-TR"/>
              </w:rPr>
              <w:t>anunun elektronik ortamda açık artırma suretiyle satışa ilişkin hükümleri uyarınca resen satışını yapar.</w:t>
            </w:r>
          </w:p>
          <w:p w:rsidR="00E44B9D" w:rsidRPr="00A23740" w:rsidRDefault="00E44B9D" w:rsidP="009431FF">
            <w:pPr>
              <w:rPr>
                <w:rFonts w:eastAsia="Times New Roman"/>
                <w:color w:val="000000"/>
                <w:szCs w:val="24"/>
                <w:lang w:eastAsia="tr-TR"/>
              </w:rPr>
            </w:pPr>
          </w:p>
          <w:p w:rsidR="00E44B9D" w:rsidRPr="00A23740" w:rsidRDefault="006236BD" w:rsidP="009431FF">
            <w:pPr>
              <w:rPr>
                <w:rFonts w:eastAsia="Times New Roman"/>
                <w:color w:val="000000"/>
                <w:szCs w:val="24"/>
                <w:lang w:eastAsia="tr-TR"/>
              </w:rPr>
            </w:pPr>
            <w:r w:rsidRPr="00A23740">
              <w:rPr>
                <w:rStyle w:val="MaviChar"/>
              </w:rPr>
              <w:t>(4</w:t>
            </w:r>
            <w:r w:rsidR="00E44B9D" w:rsidRPr="00A23740">
              <w:rPr>
                <w:rStyle w:val="MaviChar"/>
              </w:rPr>
              <w:t>)</w:t>
            </w:r>
            <w:r w:rsidR="00E44B9D" w:rsidRPr="00A23740">
              <w:rPr>
                <w:rFonts w:eastAsia="Times New Roman"/>
                <w:color w:val="000000"/>
                <w:szCs w:val="24"/>
                <w:lang w:eastAsia="tr-TR"/>
              </w:rPr>
              <w:t xml:space="preserve"> Yukarıdaki fıkralar uyarınca malın tasfiye edilememesi h</w:t>
            </w:r>
            <w:r w:rsidR="004B4494" w:rsidRPr="00A23740">
              <w:rPr>
                <w:rFonts w:eastAsia="Times New Roman"/>
                <w:color w:val="000000"/>
                <w:szCs w:val="24"/>
                <w:lang w:eastAsia="tr-TR"/>
              </w:rPr>
              <w:t>â</w:t>
            </w:r>
            <w:r w:rsidR="00E44B9D" w:rsidRPr="00A23740">
              <w:rPr>
                <w:rFonts w:eastAsia="Times New Roman"/>
                <w:color w:val="000000"/>
                <w:szCs w:val="24"/>
                <w:lang w:eastAsia="tr-TR"/>
              </w:rPr>
              <w:t xml:space="preserve">linde icra </w:t>
            </w:r>
            <w:r w:rsidR="00E44B9D" w:rsidRPr="00A23740">
              <w:rPr>
                <w:rStyle w:val="MaviChar"/>
              </w:rPr>
              <w:t>ve iflas</w:t>
            </w:r>
            <w:r w:rsidR="00E44B9D" w:rsidRPr="00A23740">
              <w:rPr>
                <w:rFonts w:eastAsia="Times New Roman"/>
                <w:color w:val="000000"/>
                <w:szCs w:val="24"/>
                <w:lang w:eastAsia="tr-TR"/>
              </w:rPr>
              <w:t xml:space="preserve"> dairesi, </w:t>
            </w:r>
            <w:r w:rsidR="00DF22A1" w:rsidRPr="00A23740">
              <w:rPr>
                <w:szCs w:val="24"/>
              </w:rPr>
              <w:t xml:space="preserve">derhâl </w:t>
            </w:r>
            <w:r w:rsidR="00E44B9D" w:rsidRPr="00A23740">
              <w:rPr>
                <w:rFonts w:eastAsia="Times New Roman"/>
                <w:color w:val="000000"/>
                <w:szCs w:val="24"/>
                <w:lang w:eastAsia="tr-TR"/>
              </w:rPr>
              <w:t xml:space="preserve">yediemine tebligat çıkararak, tebliğ tarihinden itibaren </w:t>
            </w:r>
            <w:r w:rsidR="00E44B9D" w:rsidRPr="00A23740">
              <w:rPr>
                <w:rStyle w:val="MaviChar"/>
              </w:rPr>
              <w:t>iki hafta</w:t>
            </w:r>
            <w:r w:rsidR="00E44B9D" w:rsidRPr="00A23740">
              <w:rPr>
                <w:rFonts w:eastAsia="Times New Roman"/>
                <w:color w:val="000000"/>
                <w:szCs w:val="24"/>
                <w:lang w:eastAsia="tr-TR"/>
              </w:rPr>
              <w:t xml:space="preserve"> içinde</w:t>
            </w:r>
            <w:r w:rsidR="002A7002" w:rsidRPr="00A23740">
              <w:rPr>
                <w:rStyle w:val="Balk1Char"/>
                <w:rFonts w:eastAsia="Calibri"/>
              </w:rPr>
              <w:t>,</w:t>
            </w:r>
            <w:r w:rsidR="00E44B9D" w:rsidRPr="00A23740">
              <w:rPr>
                <w:rFonts w:eastAsia="Times New Roman"/>
                <w:color w:val="000000"/>
                <w:szCs w:val="24"/>
                <w:lang w:eastAsia="tr-TR"/>
              </w:rPr>
              <w:t xml:space="preserve"> varsa malın son iki yıl içinde</w:t>
            </w:r>
            <w:r w:rsidR="002A7002" w:rsidRPr="00A23740">
              <w:rPr>
                <w:rFonts w:eastAsia="Times New Roman"/>
                <w:color w:val="000000"/>
                <w:szCs w:val="24"/>
                <w:lang w:eastAsia="tr-TR"/>
              </w:rPr>
              <w:t xml:space="preserve"> </w:t>
            </w:r>
            <w:r w:rsidR="002A7002" w:rsidRPr="00A23740">
              <w:rPr>
                <w:rStyle w:val="Balk1Char"/>
                <w:rFonts w:eastAsia="Calibri"/>
              </w:rPr>
              <w:t>yapılmış,</w:t>
            </w:r>
            <w:r w:rsidR="00E44B9D" w:rsidRPr="00A23740">
              <w:rPr>
                <w:rFonts w:eastAsia="Times New Roman"/>
                <w:color w:val="000000"/>
                <w:szCs w:val="24"/>
                <w:lang w:eastAsia="tr-TR"/>
              </w:rPr>
              <w:t xml:space="preserve"> yoksa icra </w:t>
            </w:r>
            <w:r w:rsidR="00E44B9D" w:rsidRPr="00A23740">
              <w:rPr>
                <w:rStyle w:val="MaviChar"/>
              </w:rPr>
              <w:t>ve iflas</w:t>
            </w:r>
            <w:r w:rsidR="00E44B9D" w:rsidRPr="00A23740">
              <w:rPr>
                <w:rFonts w:eastAsia="Times New Roman"/>
                <w:color w:val="000000"/>
                <w:szCs w:val="24"/>
                <w:lang w:eastAsia="tr-TR"/>
              </w:rPr>
              <w:t xml:space="preserve"> dairesince takdir</w:t>
            </w:r>
            <w:r w:rsidR="002A7002" w:rsidRPr="00A23740">
              <w:rPr>
                <w:rFonts w:eastAsia="Times New Roman"/>
                <w:color w:val="000000"/>
                <w:szCs w:val="24"/>
                <w:lang w:eastAsia="tr-TR"/>
              </w:rPr>
              <w:t xml:space="preserve"> </w:t>
            </w:r>
            <w:r w:rsidR="002A7002" w:rsidRPr="00A23740">
              <w:rPr>
                <w:rStyle w:val="Balk1Char"/>
                <w:rFonts w:eastAsia="Calibri"/>
              </w:rPr>
              <w:t>edilecek olan</w:t>
            </w:r>
            <w:r w:rsidR="00E44B9D" w:rsidRPr="00A23740">
              <w:rPr>
                <w:rFonts w:eastAsia="Times New Roman"/>
                <w:color w:val="000000"/>
                <w:szCs w:val="24"/>
                <w:lang w:eastAsia="tr-TR"/>
              </w:rPr>
              <w:t xml:space="preserve"> kıymetinin yüzde kırkı üzerinden, tarifeye göre belirlenen yedieminlik ücreti mahsup edildikten sonra bakiye tutarı ödediği takdirde malın mülkiyetinin kendisine devredilmesine karar verileceğini, aksi h</w:t>
            </w:r>
            <w:r w:rsidR="004B4494" w:rsidRPr="00A23740">
              <w:rPr>
                <w:rFonts w:eastAsia="Times New Roman"/>
                <w:color w:val="000000"/>
                <w:szCs w:val="24"/>
                <w:lang w:eastAsia="tr-TR"/>
              </w:rPr>
              <w:t>â</w:t>
            </w:r>
            <w:r w:rsidR="00E44B9D" w:rsidRPr="00A23740">
              <w:rPr>
                <w:rFonts w:eastAsia="Times New Roman"/>
                <w:color w:val="000000"/>
                <w:szCs w:val="24"/>
                <w:lang w:eastAsia="tr-TR"/>
              </w:rPr>
              <w:t>lde</w:t>
            </w:r>
            <w:r w:rsidR="00142328" w:rsidRPr="00A23740">
              <w:rPr>
                <w:rFonts w:eastAsia="Times New Roman"/>
                <w:color w:val="000000"/>
                <w:szCs w:val="24"/>
                <w:lang w:eastAsia="tr-TR"/>
              </w:rPr>
              <w:t xml:space="preserve"> </w:t>
            </w:r>
            <w:r w:rsidR="00142328" w:rsidRPr="00D03F47">
              <w:rPr>
                <w:rStyle w:val="Balk1Char"/>
                <w:rFonts w:eastAsia="Calibri"/>
              </w:rPr>
              <w:t>takip eden</w:t>
            </w:r>
            <w:r w:rsidR="00E44B9D" w:rsidRPr="00A23740">
              <w:rPr>
                <w:rFonts w:eastAsia="Times New Roman"/>
                <w:color w:val="385623"/>
                <w:szCs w:val="24"/>
                <w:lang w:eastAsia="tr-TR"/>
              </w:rPr>
              <w:t xml:space="preserve"> </w:t>
            </w:r>
            <w:r w:rsidR="00E44B9D" w:rsidRPr="00A23740">
              <w:rPr>
                <w:rFonts w:eastAsia="Times New Roman"/>
                <w:color w:val="000000"/>
                <w:szCs w:val="24"/>
                <w:lang w:eastAsia="tr-TR"/>
              </w:rPr>
              <w:t>fıkralara göre işlem yapılacağını ihtar eder. Bu fıkrada belirtilen şartların oluştuğunun ve varsa bakiye tutarın yediemin tarafından ödendiğinin tespiti h</w:t>
            </w:r>
            <w:r w:rsidR="001D7D44" w:rsidRPr="00A23740">
              <w:rPr>
                <w:rFonts w:eastAsia="Times New Roman"/>
                <w:color w:val="000000"/>
                <w:szCs w:val="24"/>
                <w:lang w:eastAsia="tr-TR"/>
              </w:rPr>
              <w:t>â</w:t>
            </w:r>
            <w:r w:rsidR="00E44B9D" w:rsidRPr="00A23740">
              <w:rPr>
                <w:rFonts w:eastAsia="Times New Roman"/>
                <w:color w:val="000000"/>
                <w:szCs w:val="24"/>
                <w:lang w:eastAsia="tr-TR"/>
              </w:rPr>
              <w:t xml:space="preserve">linde icra </w:t>
            </w:r>
            <w:r w:rsidR="00E44B9D" w:rsidRPr="00A23740">
              <w:rPr>
                <w:rStyle w:val="MaviChar"/>
              </w:rPr>
              <w:t>ve iflas</w:t>
            </w:r>
            <w:r w:rsidR="00E44B9D" w:rsidRPr="00A23740">
              <w:rPr>
                <w:rFonts w:eastAsia="Times New Roman"/>
                <w:color w:val="000000"/>
                <w:szCs w:val="24"/>
                <w:lang w:eastAsia="tr-TR"/>
              </w:rPr>
              <w:t xml:space="preserve"> dairesi, malın mülkiyetinin yediemine devrine yönelik kararın verilmesi için dosyayı icra</w:t>
            </w:r>
            <w:r w:rsidR="004B4494" w:rsidRPr="00A23740">
              <w:rPr>
                <w:rFonts w:eastAsia="Times New Roman"/>
                <w:color w:val="000000"/>
                <w:szCs w:val="24"/>
                <w:lang w:eastAsia="tr-TR"/>
              </w:rPr>
              <w:t xml:space="preserve"> </w:t>
            </w:r>
            <w:r w:rsidR="004B4494" w:rsidRPr="00A23740">
              <w:rPr>
                <w:rStyle w:val="Balk1Char"/>
                <w:rFonts w:eastAsia="Calibri"/>
              </w:rPr>
              <w:t>hukuk</w:t>
            </w:r>
            <w:r w:rsidR="00E44B9D" w:rsidRPr="00A23740">
              <w:rPr>
                <w:rFonts w:eastAsia="Times New Roman"/>
                <w:color w:val="000000"/>
                <w:szCs w:val="24"/>
                <w:lang w:eastAsia="tr-TR"/>
              </w:rPr>
              <w:t xml:space="preserve"> mahkemesine gönderir.</w:t>
            </w:r>
          </w:p>
          <w:p w:rsidR="00811283" w:rsidRPr="00A23740" w:rsidRDefault="00811283" w:rsidP="009431FF">
            <w:pPr>
              <w:rPr>
                <w:rStyle w:val="MaviChar"/>
                <w:lang w:val="tr-TR"/>
              </w:rPr>
            </w:pPr>
          </w:p>
          <w:p w:rsidR="00811283" w:rsidRPr="00A23740" w:rsidRDefault="00811283" w:rsidP="009431FF">
            <w:pPr>
              <w:rPr>
                <w:rFonts w:eastAsia="Times New Roman"/>
                <w:color w:val="000000"/>
                <w:szCs w:val="24"/>
                <w:lang w:eastAsia="tr-TR"/>
              </w:rPr>
            </w:pPr>
            <w:r w:rsidRPr="00A23740">
              <w:rPr>
                <w:rStyle w:val="MaviChar"/>
              </w:rPr>
              <w:t>(5)</w:t>
            </w:r>
            <w:r w:rsidRPr="00A23740">
              <w:rPr>
                <w:rFonts w:eastAsia="Times New Roman"/>
                <w:color w:val="000000"/>
                <w:szCs w:val="24"/>
                <w:lang w:eastAsia="tr-TR"/>
              </w:rPr>
              <w:t xml:space="preserve"> Sicile kayıtlı mallar bakımından yedieminin malın mülkiyetinin devrini kabul etmemesi h</w:t>
            </w:r>
            <w:r w:rsidR="004B4494" w:rsidRPr="00A23740">
              <w:rPr>
                <w:rFonts w:eastAsia="Times New Roman"/>
                <w:color w:val="000000"/>
                <w:szCs w:val="24"/>
                <w:lang w:eastAsia="tr-TR"/>
              </w:rPr>
              <w:t>â</w:t>
            </w:r>
            <w:r w:rsidRPr="00A23740">
              <w:rPr>
                <w:rFonts w:eastAsia="Times New Roman"/>
                <w:color w:val="000000"/>
                <w:szCs w:val="24"/>
                <w:lang w:eastAsia="tr-TR"/>
              </w:rPr>
              <w:t xml:space="preserve">linde icra </w:t>
            </w:r>
            <w:r w:rsidRPr="00A23740">
              <w:rPr>
                <w:rStyle w:val="MaviChar"/>
              </w:rPr>
              <w:t>ve iflas</w:t>
            </w:r>
            <w:r w:rsidRPr="00A23740">
              <w:rPr>
                <w:rFonts w:eastAsia="Times New Roman"/>
                <w:color w:val="000000"/>
                <w:szCs w:val="24"/>
                <w:lang w:eastAsia="tr-TR"/>
              </w:rPr>
              <w:t xml:space="preserve"> dairesi, Makine ve Kimya Endüstrisi Anonim Şirketine tebligat çıkararak, tebliğ tarihinden itibaren bir ay içinde, 30/6/2021 tarihli ve 7330 sayılı Makine ve Kimya Endüstrisi Anonim Şirketi Hakkında Kanunun 4 üncü maddesinin dördüncü fıkrası uyarınca belirlenen hurda bedelini ödeyeceğini bildirmesi ve bildirimde bulunduğu tarihten itibaren üç ay içinde hurda bedelini ödemesi şartıyla malın mülkiyetinin Şirkete devredilmesine karar verileceğini ihtar eder. Bu fıkrada belirtilen şartların oluştuğunun ve hurda bedelinin ödendiğinin tespiti h</w:t>
            </w:r>
            <w:r w:rsidR="004B4494" w:rsidRPr="00A23740">
              <w:rPr>
                <w:rFonts w:eastAsia="Times New Roman"/>
                <w:color w:val="000000"/>
                <w:szCs w:val="24"/>
                <w:lang w:eastAsia="tr-TR"/>
              </w:rPr>
              <w:t>â</w:t>
            </w:r>
            <w:r w:rsidRPr="00A23740">
              <w:rPr>
                <w:rFonts w:eastAsia="Times New Roman"/>
                <w:color w:val="000000"/>
                <w:szCs w:val="24"/>
                <w:lang w:eastAsia="tr-TR"/>
              </w:rPr>
              <w:t xml:space="preserve">linde icra </w:t>
            </w:r>
            <w:r w:rsidRPr="00A23740">
              <w:rPr>
                <w:rStyle w:val="MaviChar"/>
              </w:rPr>
              <w:t>ve iflas</w:t>
            </w:r>
            <w:r w:rsidRPr="00A23740">
              <w:rPr>
                <w:rFonts w:eastAsia="Times New Roman"/>
                <w:color w:val="000000"/>
                <w:szCs w:val="24"/>
                <w:lang w:eastAsia="tr-TR"/>
              </w:rPr>
              <w:t xml:space="preserve"> dairesi, hurdaya ayırma işlemlerini tamamlayarak malın mülkiyetinin </w:t>
            </w:r>
            <w:r w:rsidR="00142328" w:rsidRPr="00D03F47">
              <w:rPr>
                <w:rStyle w:val="Balk1Char"/>
                <w:rFonts w:eastAsia="Calibri"/>
              </w:rPr>
              <w:t>bu</w:t>
            </w:r>
            <w:r w:rsidR="00142328" w:rsidRPr="00A23740">
              <w:rPr>
                <w:rFonts w:eastAsia="Times New Roman"/>
                <w:color w:val="385623"/>
                <w:szCs w:val="24"/>
                <w:lang w:eastAsia="tr-TR"/>
              </w:rPr>
              <w:t xml:space="preserve"> </w:t>
            </w:r>
            <w:r w:rsidRPr="00A23740">
              <w:rPr>
                <w:rFonts w:eastAsia="Times New Roman"/>
                <w:color w:val="000000"/>
                <w:szCs w:val="24"/>
                <w:lang w:eastAsia="tr-TR"/>
              </w:rPr>
              <w:t xml:space="preserve">Şirkete devrine yönelik kararın verilmesi için dosyayı icra </w:t>
            </w:r>
            <w:r w:rsidRPr="00A23740">
              <w:rPr>
                <w:rStyle w:val="Balk1Char"/>
                <w:rFonts w:eastAsia="Calibri"/>
              </w:rPr>
              <w:t>hukuk</w:t>
            </w:r>
            <w:r w:rsidRPr="00A23740">
              <w:rPr>
                <w:rFonts w:eastAsia="Times New Roman"/>
                <w:color w:val="000000"/>
                <w:szCs w:val="24"/>
                <w:lang w:eastAsia="tr-TR"/>
              </w:rPr>
              <w:t xml:space="preserve"> mahkemesine gönderir.</w:t>
            </w:r>
          </w:p>
          <w:p w:rsidR="00811283" w:rsidRPr="00A23740" w:rsidRDefault="00811283" w:rsidP="009431FF">
            <w:pPr>
              <w:rPr>
                <w:rFonts w:eastAsia="Times New Roman"/>
                <w:color w:val="000000"/>
                <w:szCs w:val="24"/>
                <w:lang w:eastAsia="tr-TR"/>
              </w:rPr>
            </w:pPr>
          </w:p>
          <w:p w:rsidR="00811283" w:rsidRPr="00A23740" w:rsidRDefault="00811283" w:rsidP="009431FF">
            <w:pPr>
              <w:rPr>
                <w:rFonts w:eastAsia="Times New Roman"/>
                <w:color w:val="000000"/>
                <w:szCs w:val="24"/>
                <w:lang w:eastAsia="tr-TR"/>
              </w:rPr>
            </w:pPr>
            <w:r w:rsidRPr="00A23740">
              <w:rPr>
                <w:rStyle w:val="MaviChar"/>
              </w:rPr>
              <w:t>(6)</w:t>
            </w:r>
            <w:r w:rsidRPr="00A23740">
              <w:rPr>
                <w:rFonts w:eastAsia="Times New Roman"/>
                <w:color w:val="000000"/>
                <w:szCs w:val="24"/>
                <w:lang w:eastAsia="tr-TR"/>
              </w:rPr>
              <w:t xml:space="preserve"> </w:t>
            </w:r>
            <w:r w:rsidR="00142328" w:rsidRPr="00D03F47">
              <w:rPr>
                <w:rStyle w:val="Balk1Char"/>
                <w:rFonts w:eastAsia="Calibri"/>
              </w:rPr>
              <w:t>İ</w:t>
            </w:r>
            <w:r w:rsidR="00142328" w:rsidRPr="00A23740">
              <w:rPr>
                <w:rFonts w:eastAsia="Times New Roman"/>
                <w:color w:val="000000"/>
                <w:szCs w:val="24"/>
                <w:lang w:eastAsia="tr-TR"/>
              </w:rPr>
              <w:t xml:space="preserve">cra </w:t>
            </w:r>
            <w:r w:rsidR="00142328" w:rsidRPr="00A23740">
              <w:rPr>
                <w:rStyle w:val="MaviChar"/>
              </w:rPr>
              <w:t>ve iflas</w:t>
            </w:r>
            <w:r w:rsidR="00142328" w:rsidRPr="00A23740">
              <w:rPr>
                <w:rFonts w:eastAsia="Times New Roman"/>
                <w:color w:val="000000"/>
                <w:szCs w:val="24"/>
                <w:lang w:eastAsia="tr-TR"/>
              </w:rPr>
              <w:t xml:space="preserve"> dairesi</w:t>
            </w:r>
            <w:r w:rsidR="00142328" w:rsidRPr="00D03F47">
              <w:rPr>
                <w:rStyle w:val="Balk1Char"/>
                <w:rFonts w:eastAsia="Calibri"/>
              </w:rPr>
              <w:t xml:space="preserve">, </w:t>
            </w:r>
            <w:r w:rsidR="00142328" w:rsidRPr="007136A5">
              <w:rPr>
                <w:rFonts w:eastAsia="Times New Roman"/>
                <w:bCs/>
                <w:color w:val="000000"/>
                <w:szCs w:val="24"/>
                <w:lang w:eastAsia="tr-TR"/>
              </w:rPr>
              <w:t>y</w:t>
            </w:r>
            <w:r w:rsidRPr="00A23740">
              <w:rPr>
                <w:rFonts w:eastAsia="Times New Roman"/>
                <w:color w:val="000000"/>
                <w:szCs w:val="24"/>
                <w:lang w:eastAsia="tr-TR"/>
              </w:rPr>
              <w:t xml:space="preserve">ukarıdaki fıkralar uyarınca tasfiye </w:t>
            </w:r>
            <w:r w:rsidR="00142328" w:rsidRPr="00D03F47">
              <w:rPr>
                <w:rStyle w:val="Balk1Char"/>
                <w:rFonts w:eastAsia="Calibri"/>
              </w:rPr>
              <w:t>edilemeyen</w:t>
            </w:r>
            <w:r w:rsidR="00142328" w:rsidRPr="00A23740">
              <w:rPr>
                <w:rFonts w:eastAsia="Times New Roman"/>
                <w:color w:val="385623"/>
                <w:szCs w:val="24"/>
                <w:lang w:eastAsia="tr-TR"/>
              </w:rPr>
              <w:t xml:space="preserve"> </w:t>
            </w:r>
            <w:r w:rsidRPr="00A23740">
              <w:rPr>
                <w:rFonts w:eastAsia="Times New Roman"/>
                <w:color w:val="000000"/>
                <w:szCs w:val="24"/>
                <w:lang w:eastAsia="tr-TR"/>
              </w:rPr>
              <w:t xml:space="preserve">malın mülkiyetinin bedelsiz olarak Türkiye Kızılay Derneğine devrine yönelik kararın verilmesi için dosyayı icra </w:t>
            </w:r>
            <w:r w:rsidRPr="00A23740">
              <w:rPr>
                <w:rStyle w:val="Balk1Char"/>
                <w:rFonts w:eastAsia="Calibri"/>
              </w:rPr>
              <w:t>hukuk</w:t>
            </w:r>
            <w:r w:rsidRPr="00A23740">
              <w:rPr>
                <w:rFonts w:eastAsia="Times New Roman"/>
                <w:color w:val="000000"/>
                <w:szCs w:val="24"/>
                <w:lang w:eastAsia="tr-TR"/>
              </w:rPr>
              <w:t xml:space="preserve"> mahkemesine gönderir.</w:t>
            </w:r>
          </w:p>
          <w:p w:rsidR="00811283" w:rsidRPr="00A23740" w:rsidRDefault="00811283" w:rsidP="009431FF">
            <w:pPr>
              <w:rPr>
                <w:rFonts w:eastAsia="Times New Roman"/>
                <w:color w:val="000000"/>
                <w:szCs w:val="24"/>
                <w:lang w:eastAsia="tr-TR"/>
              </w:rPr>
            </w:pPr>
          </w:p>
        </w:tc>
      </w:tr>
      <w:tr w:rsidR="00B13974" w:rsidRPr="00A23740" w:rsidTr="009431FF">
        <w:tblPrEx>
          <w:tblLook w:val="01E0" w:firstRow="1" w:lastRow="1" w:firstColumn="1" w:lastColumn="1" w:noHBand="0" w:noVBand="0"/>
        </w:tblPrEx>
        <w:tc>
          <w:tcPr>
            <w:tcW w:w="5000" w:type="pct"/>
            <w:gridSpan w:val="2"/>
            <w:shd w:val="clear" w:color="auto" w:fill="DEEAF6"/>
          </w:tcPr>
          <w:p w:rsidR="004B7513" w:rsidRPr="00A23740" w:rsidRDefault="00B13974" w:rsidP="009431FF">
            <w:pPr>
              <w:pStyle w:val="Balk1"/>
              <w:ind w:firstLine="709"/>
              <w:jc w:val="both"/>
              <w:rPr>
                <w:color w:val="000000"/>
                <w:lang w:val="tr-TR" w:eastAsia="tr-TR"/>
              </w:rPr>
            </w:pPr>
            <w:r w:rsidRPr="00A23740">
              <w:rPr>
                <w:color w:val="000000"/>
                <w:lang w:val="tr-TR" w:eastAsia="tr-TR"/>
              </w:rPr>
              <w:tab/>
            </w:r>
          </w:p>
          <w:p w:rsidR="00CB4FF9" w:rsidRPr="00A23740" w:rsidRDefault="00B13974" w:rsidP="009431FF">
            <w:pPr>
              <w:pStyle w:val="Balk1"/>
              <w:ind w:firstLine="709"/>
              <w:jc w:val="both"/>
              <w:rPr>
                <w:color w:val="000000"/>
                <w:lang w:val="tr-TR" w:eastAsia="tr-TR"/>
              </w:rPr>
            </w:pPr>
            <w:r w:rsidRPr="00A23740">
              <w:rPr>
                <w:color w:val="000000"/>
                <w:lang w:val="tr-TR" w:eastAsia="tr-TR"/>
              </w:rPr>
              <w:t xml:space="preserve">MADDE 184- </w:t>
            </w:r>
            <w:r w:rsidR="00CB4FF9" w:rsidRPr="00A23740">
              <w:rPr>
                <w:b w:val="0"/>
                <w:color w:val="000000"/>
                <w:lang w:val="tr-TR" w:eastAsia="tr-TR"/>
              </w:rPr>
              <w:t>Maddeyle, tasfiye konusu malın öncelikle borçluya teslimiyle bunun mümkün olmaması hâlinde yapılacak iş ve işlemler sırasıyla belirlenmektedir.</w:t>
            </w:r>
            <w:r w:rsidR="004B7513" w:rsidRPr="00A23740">
              <w:rPr>
                <w:b w:val="0"/>
                <w:color w:val="000000"/>
                <w:lang w:val="tr-TR" w:eastAsia="tr-TR"/>
              </w:rPr>
              <w:t xml:space="preserve"> Hüküm, 2004 sayılı Kanunun 88/a maddesinin üçüncü ila sekizinci fıkralarına karşılık gelmektedir.</w:t>
            </w:r>
          </w:p>
          <w:p w:rsidR="00B13974" w:rsidRPr="00A23740" w:rsidRDefault="00CB4FF9" w:rsidP="009431FF">
            <w:pPr>
              <w:ind w:firstLine="709"/>
              <w:rPr>
                <w:rFonts w:eastAsia="Times New Roman"/>
                <w:color w:val="000000"/>
                <w:szCs w:val="24"/>
                <w:lang w:eastAsia="tr-TR"/>
              </w:rPr>
            </w:pPr>
            <w:r w:rsidRPr="00A23740">
              <w:rPr>
                <w:lang w:eastAsia="tr-TR"/>
              </w:rPr>
              <w:t>Birinci fıkrayla</w:t>
            </w:r>
            <w:r w:rsidRPr="00A23740">
              <w:rPr>
                <w:rFonts w:eastAsia="Times New Roman"/>
                <w:color w:val="000000"/>
                <w:szCs w:val="24"/>
                <w:lang w:eastAsia="tr-TR"/>
              </w:rPr>
              <w:t xml:space="preserve">, icra ve iflas dairesinin, malın sahibi olan borçluya tebligat çıkararak tebliğ tarihinden itibaren iki hafta içinde tarifeye göre belirlenen yedieminlik ücretini ödemek suretiyle malı teslim alabileceği, aksi hâlde </w:t>
            </w:r>
            <w:r w:rsidR="00B65310" w:rsidRPr="00D60C1D">
              <w:rPr>
                <w:rFonts w:eastAsia="Times New Roman"/>
                <w:color w:val="000000"/>
                <w:szCs w:val="24"/>
                <w:lang w:eastAsia="tr-TR"/>
              </w:rPr>
              <w:t>takip eden</w:t>
            </w:r>
            <w:r w:rsidR="00B65310" w:rsidRPr="00A23740">
              <w:rPr>
                <w:rFonts w:eastAsia="Times New Roman"/>
                <w:color w:val="385623"/>
                <w:szCs w:val="24"/>
                <w:lang w:eastAsia="tr-TR"/>
              </w:rPr>
              <w:t xml:space="preserve"> </w:t>
            </w:r>
            <w:r w:rsidRPr="00A23740">
              <w:rPr>
                <w:rFonts w:eastAsia="Times New Roman"/>
                <w:color w:val="000000"/>
                <w:szCs w:val="24"/>
                <w:lang w:eastAsia="tr-TR"/>
              </w:rPr>
              <w:t>fıkralar uyarınca malın tasfiye edileceğinin ihtar edileceği belirtilmektedir.</w:t>
            </w:r>
          </w:p>
          <w:p w:rsidR="00CB4FF9" w:rsidRPr="00A23740" w:rsidRDefault="00CB4FF9" w:rsidP="009431FF">
            <w:pPr>
              <w:ind w:firstLine="709"/>
              <w:rPr>
                <w:rFonts w:eastAsia="Times New Roman"/>
                <w:color w:val="000000"/>
                <w:szCs w:val="24"/>
                <w:lang w:eastAsia="tr-TR"/>
              </w:rPr>
            </w:pPr>
            <w:r w:rsidRPr="00A23740">
              <w:rPr>
                <w:rFonts w:eastAsia="Times New Roman"/>
                <w:color w:val="000000"/>
                <w:szCs w:val="24"/>
                <w:lang w:eastAsia="tr-TR"/>
              </w:rPr>
              <w:t>İkinci fıkrayla, borçlunun malı teslim almaması hâlinde icra ve iflas dairesinin</w:t>
            </w:r>
            <w:r w:rsidR="00775934" w:rsidRPr="00A23740">
              <w:rPr>
                <w:rFonts w:eastAsia="Times New Roman"/>
                <w:color w:val="000000"/>
                <w:szCs w:val="24"/>
                <w:lang w:eastAsia="tr-TR"/>
              </w:rPr>
              <w:t>,</w:t>
            </w:r>
            <w:r w:rsidRPr="00A23740">
              <w:rPr>
                <w:rFonts w:eastAsia="Times New Roman"/>
                <w:color w:val="000000"/>
                <w:szCs w:val="24"/>
                <w:lang w:eastAsia="tr-TR"/>
              </w:rPr>
              <w:t xml:space="preserve"> varsa rehin hakkı sahibine tebligat çıkaracağı</w:t>
            </w:r>
            <w:r w:rsidR="00775934" w:rsidRPr="00A23740">
              <w:rPr>
                <w:rFonts w:eastAsia="Times New Roman"/>
                <w:color w:val="000000"/>
                <w:szCs w:val="24"/>
                <w:lang w:eastAsia="tr-TR"/>
              </w:rPr>
              <w:t>;</w:t>
            </w:r>
            <w:r w:rsidRPr="00A23740">
              <w:rPr>
                <w:rFonts w:eastAsia="Times New Roman"/>
                <w:color w:val="000000"/>
                <w:szCs w:val="24"/>
                <w:lang w:eastAsia="tr-TR"/>
              </w:rPr>
              <w:t xml:space="preserve"> çıkaracağı tebligatta tebliğ tarihinden itibaren iki hafta içinde rehinden kaynaklanan haklarını kullanabileceği ve bu durumu aynı süre içinde icra ve iflas dairesine bildirebileceği</w:t>
            </w:r>
            <w:r w:rsidR="00775934" w:rsidRPr="00A23740">
              <w:rPr>
                <w:rFonts w:eastAsia="Times New Roman"/>
                <w:color w:val="000000"/>
                <w:szCs w:val="24"/>
                <w:lang w:eastAsia="tr-TR"/>
              </w:rPr>
              <w:t>,</w:t>
            </w:r>
            <w:r w:rsidRPr="00A23740">
              <w:rPr>
                <w:rFonts w:eastAsia="Times New Roman"/>
                <w:color w:val="000000"/>
                <w:szCs w:val="24"/>
                <w:lang w:eastAsia="tr-TR"/>
              </w:rPr>
              <w:t xml:space="preserve"> aksi </w:t>
            </w:r>
            <w:r w:rsidR="00775934" w:rsidRPr="00A23740">
              <w:rPr>
                <w:rFonts w:eastAsia="Times New Roman"/>
                <w:color w:val="000000"/>
                <w:szCs w:val="24"/>
                <w:lang w:eastAsia="tr-TR"/>
              </w:rPr>
              <w:t xml:space="preserve">takdirde </w:t>
            </w:r>
            <w:r w:rsidRPr="00A23740">
              <w:rPr>
                <w:rFonts w:eastAsia="Times New Roman"/>
                <w:color w:val="000000"/>
                <w:szCs w:val="24"/>
                <w:lang w:eastAsia="tr-TR"/>
              </w:rPr>
              <w:t>devam eden fıkralar uyarınca malın tasfiye edileceğinin ihtar edileceği düzenlenmektedir.</w:t>
            </w:r>
          </w:p>
          <w:p w:rsidR="00CB4FF9" w:rsidRPr="00A23740" w:rsidRDefault="00CB4FF9" w:rsidP="009431FF">
            <w:pPr>
              <w:ind w:firstLine="709"/>
              <w:rPr>
                <w:rFonts w:eastAsia="Times New Roman"/>
                <w:color w:val="000000"/>
                <w:szCs w:val="24"/>
                <w:lang w:eastAsia="tr-TR"/>
              </w:rPr>
            </w:pPr>
            <w:r w:rsidRPr="00A23740">
              <w:rPr>
                <w:rFonts w:eastAsia="Times New Roman"/>
                <w:color w:val="000000"/>
                <w:szCs w:val="24"/>
                <w:lang w:eastAsia="tr-TR"/>
              </w:rPr>
              <w:t xml:space="preserve">Üçüncü fıkrayla, sicile kayıtlı taşınır mallar bakımından birinci fıkra uyarınca borçlu tarafından teslim alınmamış veya ikinci fıkra </w:t>
            </w:r>
            <w:r w:rsidR="001F1C70" w:rsidRPr="00A23740">
              <w:rPr>
                <w:rFonts w:eastAsia="Times New Roman"/>
                <w:color w:val="000000"/>
                <w:szCs w:val="24"/>
                <w:lang w:eastAsia="tr-TR"/>
              </w:rPr>
              <w:t>uyarınca</w:t>
            </w:r>
            <w:r w:rsidRPr="00A23740">
              <w:rPr>
                <w:rFonts w:eastAsia="Times New Roman"/>
                <w:color w:val="000000"/>
                <w:szCs w:val="24"/>
                <w:lang w:eastAsia="tr-TR"/>
              </w:rPr>
              <w:t xml:space="preserve"> rehinden kaynaklanan hakkın rehin sahibi tarafından kullanılmamış olması durumunda</w:t>
            </w:r>
            <w:r w:rsidR="002A7002" w:rsidRPr="00D60C1D">
              <w:rPr>
                <w:rStyle w:val="Balk1Char"/>
                <w:rFonts w:eastAsia="Calibri"/>
                <w:b w:val="0"/>
                <w:color w:val="000000"/>
              </w:rPr>
              <w:t>,</w:t>
            </w:r>
            <w:r w:rsidRPr="00A23740">
              <w:rPr>
                <w:rFonts w:eastAsia="Times New Roman"/>
                <w:color w:val="000000"/>
                <w:szCs w:val="24"/>
                <w:lang w:eastAsia="tr-TR"/>
              </w:rPr>
              <w:t xml:space="preserve"> icra ve iflas dairesince malın daha önce satışa çıkarılmamış olması kaydıyla Kanunun elektronik ortamda açık artırma suretiyle satışa ilişkin hükümleri </w:t>
            </w:r>
            <w:r w:rsidR="001F1C70" w:rsidRPr="00A23740">
              <w:rPr>
                <w:rFonts w:eastAsia="Times New Roman"/>
                <w:color w:val="000000"/>
                <w:szCs w:val="24"/>
                <w:lang w:eastAsia="tr-TR"/>
              </w:rPr>
              <w:t>gereğince</w:t>
            </w:r>
            <w:r w:rsidRPr="00A23740">
              <w:rPr>
                <w:rFonts w:eastAsia="Times New Roman"/>
                <w:color w:val="000000"/>
                <w:szCs w:val="24"/>
                <w:lang w:eastAsia="tr-TR"/>
              </w:rPr>
              <w:t xml:space="preserve"> resen satışının yapılacağı hüküm altına alınmaktadır. Üçüncü fıkra bakımından ayırıcı unsur</w:t>
            </w:r>
            <w:r w:rsidR="00CA55DA" w:rsidRPr="00D60C1D">
              <w:rPr>
                <w:rStyle w:val="Balk1Char"/>
                <w:rFonts w:eastAsia="Calibri"/>
                <w:b w:val="0"/>
                <w:color w:val="000000"/>
              </w:rPr>
              <w:t>,</w:t>
            </w:r>
            <w:r w:rsidRPr="00D60C1D">
              <w:rPr>
                <w:rFonts w:eastAsia="Times New Roman"/>
                <w:b/>
                <w:color w:val="000000"/>
                <w:szCs w:val="24"/>
                <w:lang w:eastAsia="tr-TR"/>
              </w:rPr>
              <w:t xml:space="preserve"> </w:t>
            </w:r>
            <w:r w:rsidR="00CA55DA" w:rsidRPr="00D60C1D">
              <w:rPr>
                <w:rStyle w:val="Balk1Char"/>
                <w:rFonts w:eastAsia="Calibri"/>
                <w:b w:val="0"/>
                <w:color w:val="000000"/>
              </w:rPr>
              <w:t>sicile kayıtlı malların, diğer mallardan farklı olarak,</w:t>
            </w:r>
            <w:r w:rsidR="00CA55DA" w:rsidRPr="00A23740">
              <w:rPr>
                <w:rFonts w:eastAsia="Times New Roman"/>
                <w:color w:val="000000"/>
                <w:szCs w:val="24"/>
                <w:lang w:eastAsia="tr-TR"/>
              </w:rPr>
              <w:t xml:space="preserve"> </w:t>
            </w:r>
            <w:r w:rsidRPr="00A23740">
              <w:rPr>
                <w:rFonts w:eastAsia="Times New Roman"/>
                <w:color w:val="000000"/>
                <w:szCs w:val="24"/>
                <w:lang w:eastAsia="tr-TR"/>
              </w:rPr>
              <w:t>birinci ve ikinci fıkra</w:t>
            </w:r>
            <w:r w:rsidR="00CA55DA" w:rsidRPr="00D60C1D">
              <w:rPr>
                <w:rStyle w:val="Balk1Char"/>
                <w:rFonts w:eastAsia="Calibri"/>
                <w:b w:val="0"/>
                <w:color w:val="000000"/>
              </w:rPr>
              <w:t>lar</w:t>
            </w:r>
            <w:r w:rsidRPr="00A23740">
              <w:rPr>
                <w:rFonts w:eastAsia="Times New Roman"/>
                <w:color w:val="000000"/>
                <w:szCs w:val="24"/>
                <w:lang w:eastAsia="tr-TR"/>
              </w:rPr>
              <w:t xml:space="preserve"> uyarınca tasfiyesi</w:t>
            </w:r>
            <w:r w:rsidR="00775934" w:rsidRPr="00A23740">
              <w:rPr>
                <w:rFonts w:eastAsia="Times New Roman"/>
                <w:color w:val="000000"/>
                <w:szCs w:val="24"/>
                <w:lang w:eastAsia="tr-TR"/>
              </w:rPr>
              <w:t>nin</w:t>
            </w:r>
            <w:r w:rsidRPr="00A23740">
              <w:rPr>
                <w:rFonts w:eastAsia="Times New Roman"/>
                <w:color w:val="000000"/>
                <w:szCs w:val="24"/>
                <w:lang w:eastAsia="tr-TR"/>
              </w:rPr>
              <w:t xml:space="preserve"> gerçekleştirilememiş</w:t>
            </w:r>
            <w:r w:rsidR="00CA55DA" w:rsidRPr="00A23740">
              <w:rPr>
                <w:rFonts w:eastAsia="Times New Roman"/>
                <w:color w:val="000000"/>
                <w:szCs w:val="24"/>
                <w:lang w:eastAsia="tr-TR"/>
              </w:rPr>
              <w:t xml:space="preserve"> </w:t>
            </w:r>
            <w:r w:rsidR="00CA55DA" w:rsidRPr="00D60C1D">
              <w:rPr>
                <w:rStyle w:val="Balk1Char"/>
                <w:rFonts w:eastAsia="Calibri"/>
                <w:b w:val="0"/>
                <w:color w:val="000000"/>
              </w:rPr>
              <w:t>olması hâlinde</w:t>
            </w:r>
            <w:r w:rsidR="00775934" w:rsidRPr="00D60C1D">
              <w:rPr>
                <w:rStyle w:val="Balk1Char"/>
                <w:rFonts w:eastAsia="Calibri"/>
                <w:b w:val="0"/>
                <w:color w:val="000000"/>
              </w:rPr>
              <w:t>,</w:t>
            </w:r>
            <w:r w:rsidRPr="00A23740">
              <w:rPr>
                <w:rFonts w:eastAsia="Times New Roman"/>
                <w:color w:val="000000"/>
                <w:szCs w:val="24"/>
                <w:lang w:eastAsia="tr-TR"/>
              </w:rPr>
              <w:t xml:space="preserve"> devam eden fıkralar</w:t>
            </w:r>
            <w:r w:rsidR="001F1C70" w:rsidRPr="00A23740">
              <w:rPr>
                <w:rFonts w:eastAsia="Times New Roman"/>
                <w:color w:val="000000"/>
                <w:szCs w:val="24"/>
                <w:lang w:eastAsia="tr-TR"/>
              </w:rPr>
              <w:t>a</w:t>
            </w:r>
            <w:r w:rsidRPr="00A23740">
              <w:rPr>
                <w:rFonts w:eastAsia="Times New Roman"/>
                <w:color w:val="000000"/>
                <w:szCs w:val="24"/>
                <w:lang w:eastAsia="tr-TR"/>
              </w:rPr>
              <w:t xml:space="preserve"> </w:t>
            </w:r>
            <w:r w:rsidR="001F1C70" w:rsidRPr="00A23740">
              <w:rPr>
                <w:rFonts w:eastAsia="Times New Roman"/>
                <w:color w:val="000000"/>
                <w:szCs w:val="24"/>
                <w:lang w:eastAsia="tr-TR"/>
              </w:rPr>
              <w:t xml:space="preserve">göre </w:t>
            </w:r>
            <w:r w:rsidRPr="00A23740">
              <w:rPr>
                <w:rFonts w:eastAsia="Times New Roman"/>
                <w:color w:val="000000"/>
                <w:szCs w:val="24"/>
                <w:lang w:eastAsia="tr-TR"/>
              </w:rPr>
              <w:t>yapılacak işle</w:t>
            </w:r>
            <w:r w:rsidR="0084412A" w:rsidRPr="00A23740">
              <w:rPr>
                <w:rFonts w:eastAsia="Times New Roman"/>
                <w:color w:val="000000"/>
                <w:szCs w:val="24"/>
                <w:lang w:eastAsia="tr-TR"/>
              </w:rPr>
              <w:t>mle</w:t>
            </w:r>
            <w:r w:rsidRPr="00A23740">
              <w:rPr>
                <w:rFonts w:eastAsia="Times New Roman"/>
                <w:color w:val="000000"/>
                <w:szCs w:val="24"/>
                <w:lang w:eastAsia="tr-TR"/>
              </w:rPr>
              <w:t>rden önce icra ve iflas dairesi tarafından resen</w:t>
            </w:r>
            <w:r w:rsidR="0084412A" w:rsidRPr="00A23740">
              <w:rPr>
                <w:rFonts w:eastAsia="Times New Roman"/>
                <w:color w:val="000000"/>
                <w:szCs w:val="24"/>
                <w:lang w:eastAsia="tr-TR"/>
              </w:rPr>
              <w:t>,</w:t>
            </w:r>
            <w:r w:rsidRPr="00A23740">
              <w:rPr>
                <w:rFonts w:eastAsia="Times New Roman"/>
                <w:color w:val="000000"/>
                <w:szCs w:val="24"/>
                <w:lang w:eastAsia="tr-TR"/>
              </w:rPr>
              <w:t xml:space="preserve"> Kanunun elektronik ortamda açık artırmayla satışa ilişkin hükümleri uyarınca paraya çevirileceği</w:t>
            </w:r>
            <w:r w:rsidR="00CA55DA" w:rsidRPr="00D60C1D">
              <w:rPr>
                <w:rStyle w:val="Balk1Char"/>
                <w:rFonts w:eastAsia="Calibri"/>
                <w:b w:val="0"/>
                <w:color w:val="000000"/>
              </w:rPr>
              <w:t>dir.</w:t>
            </w:r>
          </w:p>
          <w:p w:rsidR="0084412A" w:rsidRPr="00A23740" w:rsidRDefault="0084412A" w:rsidP="009431FF">
            <w:pPr>
              <w:ind w:firstLine="709"/>
              <w:rPr>
                <w:rFonts w:eastAsia="Times New Roman"/>
                <w:color w:val="000000"/>
                <w:szCs w:val="24"/>
                <w:lang w:eastAsia="tr-TR"/>
              </w:rPr>
            </w:pPr>
            <w:r w:rsidRPr="00A23740">
              <w:rPr>
                <w:rFonts w:eastAsia="Times New Roman"/>
                <w:color w:val="000000"/>
                <w:szCs w:val="24"/>
                <w:lang w:eastAsia="tr-TR"/>
              </w:rPr>
              <w:t>Dördüncü fıkrayla, sicile kayıtlı mallar bakımından birinci, ikinci ve üçüncü fıkralar, sicile kayıtlı olmayan mallar bakımından ise birinci ve ikinci fıkralar uyarınca tasfiye işlemi</w:t>
            </w:r>
            <w:r w:rsidR="00775934" w:rsidRPr="00A23740">
              <w:rPr>
                <w:rFonts w:eastAsia="Times New Roman"/>
                <w:color w:val="000000"/>
                <w:szCs w:val="24"/>
                <w:lang w:eastAsia="tr-TR"/>
              </w:rPr>
              <w:t>nin</w:t>
            </w:r>
            <w:r w:rsidRPr="00A23740">
              <w:rPr>
                <w:rFonts w:eastAsia="Times New Roman"/>
                <w:color w:val="000000"/>
                <w:szCs w:val="24"/>
                <w:lang w:eastAsia="tr-TR"/>
              </w:rPr>
              <w:t xml:space="preserve"> gerçekleştirilememesi hâlinde yapılacak işlemler belirtilmektedir. Bu durumda, icra ve iflas dairesince </w:t>
            </w:r>
            <w:r w:rsidR="00DF22A1" w:rsidRPr="00A23740">
              <w:rPr>
                <w:szCs w:val="24"/>
              </w:rPr>
              <w:t xml:space="preserve">derhâl </w:t>
            </w:r>
            <w:r w:rsidRPr="00A23740">
              <w:rPr>
                <w:rFonts w:eastAsia="Times New Roman"/>
                <w:color w:val="000000"/>
                <w:szCs w:val="24"/>
                <w:lang w:eastAsia="tr-TR"/>
              </w:rPr>
              <w:t>yediemine tebligat çıkarılacağı</w:t>
            </w:r>
            <w:r w:rsidR="00775934" w:rsidRPr="00A23740">
              <w:rPr>
                <w:rFonts w:eastAsia="Times New Roman"/>
                <w:color w:val="000000"/>
                <w:szCs w:val="24"/>
                <w:lang w:eastAsia="tr-TR"/>
              </w:rPr>
              <w:t>;</w:t>
            </w:r>
            <w:r w:rsidRPr="00A23740">
              <w:rPr>
                <w:rFonts w:eastAsia="Times New Roman"/>
                <w:color w:val="000000"/>
                <w:szCs w:val="24"/>
                <w:lang w:eastAsia="tr-TR"/>
              </w:rPr>
              <w:t xml:space="preserve"> tebliğ tarihinden itibaren iki hafta içinde</w:t>
            </w:r>
            <w:r w:rsidR="00775934" w:rsidRPr="00A23740">
              <w:rPr>
                <w:rFonts w:eastAsia="Times New Roman"/>
                <w:color w:val="000000"/>
                <w:szCs w:val="24"/>
                <w:lang w:eastAsia="tr-TR"/>
              </w:rPr>
              <w:t>,</w:t>
            </w:r>
            <w:r w:rsidRPr="00A23740">
              <w:rPr>
                <w:rFonts w:eastAsia="Times New Roman"/>
                <w:color w:val="000000"/>
                <w:szCs w:val="24"/>
                <w:lang w:eastAsia="tr-TR"/>
              </w:rPr>
              <w:t xml:space="preserve"> varsa malın son iki yıl içinde yapılan, yoksa icra ve iflas dairesince takdir edilen kıymetinin yüzde kırkı üzerinden, tarifeye göre belirlenen yedieminlik ücreti mahsup edildikten sonra bakiye tutarı ödediği takdirde malın mülkiyetinin kendisine devredileceği</w:t>
            </w:r>
            <w:r w:rsidR="00775934" w:rsidRPr="00A23740">
              <w:rPr>
                <w:rFonts w:eastAsia="Times New Roman"/>
                <w:color w:val="000000"/>
                <w:szCs w:val="24"/>
                <w:lang w:eastAsia="tr-TR"/>
              </w:rPr>
              <w:t>;</w:t>
            </w:r>
            <w:r w:rsidRPr="00A23740">
              <w:rPr>
                <w:rFonts w:eastAsia="Times New Roman"/>
                <w:color w:val="000000"/>
                <w:szCs w:val="24"/>
                <w:lang w:eastAsia="tr-TR"/>
              </w:rPr>
              <w:t xml:space="preserve"> aksi </w:t>
            </w:r>
            <w:r w:rsidR="00775934" w:rsidRPr="00A23740">
              <w:rPr>
                <w:rFonts w:eastAsia="Times New Roman"/>
                <w:color w:val="000000"/>
                <w:szCs w:val="24"/>
                <w:lang w:eastAsia="tr-TR"/>
              </w:rPr>
              <w:t xml:space="preserve">takdirde </w:t>
            </w:r>
            <w:r w:rsidRPr="00A23740">
              <w:rPr>
                <w:rFonts w:eastAsia="Times New Roman"/>
                <w:color w:val="000000"/>
                <w:szCs w:val="24"/>
                <w:lang w:eastAsia="tr-TR"/>
              </w:rPr>
              <w:t>devam eden fıkralara göre işlem yapılacağının ihtar edileceği düzenlenmektedir. </w:t>
            </w:r>
            <w:r w:rsidR="00775934" w:rsidRPr="00A23740">
              <w:rPr>
                <w:rFonts w:eastAsia="Times New Roman"/>
                <w:color w:val="000000"/>
                <w:szCs w:val="24"/>
                <w:lang w:eastAsia="tr-TR"/>
              </w:rPr>
              <w:t>Bu fıkrada, y</w:t>
            </w:r>
            <w:r w:rsidRPr="00A23740">
              <w:rPr>
                <w:rFonts w:eastAsia="Times New Roman"/>
                <w:color w:val="000000"/>
                <w:szCs w:val="24"/>
                <w:lang w:eastAsia="tr-TR"/>
              </w:rPr>
              <w:t>edieminin mal teslim almayı kabul ettiği ve bu fıkrada belirtilen şartların oluştuğunun</w:t>
            </w:r>
            <w:r w:rsidR="00775934" w:rsidRPr="00A23740">
              <w:rPr>
                <w:rFonts w:eastAsia="Times New Roman"/>
                <w:color w:val="000000"/>
                <w:szCs w:val="24"/>
                <w:lang w:eastAsia="tr-TR"/>
              </w:rPr>
              <w:t>,</w:t>
            </w:r>
            <w:r w:rsidRPr="00A23740">
              <w:rPr>
                <w:rFonts w:eastAsia="Times New Roman"/>
                <w:color w:val="000000"/>
                <w:szCs w:val="24"/>
                <w:lang w:eastAsia="tr-TR"/>
              </w:rPr>
              <w:t xml:space="preserve"> varsa bakiye tutarın yediemin tarafından ödendiğinin tespiti hâlinde icra ve iflas dairesinin, malın mülkiyetinin yediemine devrine yönelik kararın verilmesi için dosyayı icra hukuk mahkemesine göndereceği hüküm altına alınmaktadır.</w:t>
            </w:r>
          </w:p>
          <w:p w:rsidR="0084412A" w:rsidRPr="00A23740" w:rsidRDefault="00207548" w:rsidP="009431FF">
            <w:pPr>
              <w:ind w:firstLine="709"/>
              <w:rPr>
                <w:rFonts w:eastAsia="Times New Roman"/>
                <w:color w:val="000000"/>
                <w:szCs w:val="24"/>
                <w:lang w:eastAsia="tr-TR"/>
              </w:rPr>
            </w:pPr>
            <w:r w:rsidRPr="00A23740">
              <w:rPr>
                <w:rFonts w:eastAsia="Times New Roman"/>
                <w:color w:val="000000"/>
                <w:szCs w:val="24"/>
                <w:lang w:eastAsia="tr-TR"/>
              </w:rPr>
              <w:t>Beşinci fıkrad</w:t>
            </w:r>
            <w:r w:rsidR="0084412A" w:rsidRPr="00A23740">
              <w:rPr>
                <w:rFonts w:eastAsia="Times New Roman"/>
                <w:color w:val="000000"/>
                <w:szCs w:val="24"/>
                <w:lang w:eastAsia="tr-TR"/>
              </w:rPr>
              <w:t xml:space="preserve">a, </w:t>
            </w:r>
            <w:r w:rsidRPr="00A23740">
              <w:rPr>
                <w:rFonts w:eastAsia="Times New Roman"/>
                <w:color w:val="000000"/>
                <w:szCs w:val="24"/>
                <w:lang w:eastAsia="tr-TR"/>
              </w:rPr>
              <w:t>sicile kayıtlı mallar bakımından yedieminin malın mülkiyetinin devrini kabul etmemesi hâlinde tasfiye konusu malın Makine ve Kimya Endüstrisi Anonim Şirketine devrini sağlamaya ilişkin esaslar düzenlenmektedir. Hükme göre icra ve iflas dairesi</w:t>
            </w:r>
            <w:r w:rsidR="00775934" w:rsidRPr="00A23740">
              <w:rPr>
                <w:rFonts w:eastAsia="Times New Roman"/>
                <w:color w:val="000000"/>
                <w:szCs w:val="24"/>
                <w:lang w:eastAsia="tr-TR"/>
              </w:rPr>
              <w:t>nin</w:t>
            </w:r>
            <w:r w:rsidRPr="00A23740">
              <w:rPr>
                <w:rFonts w:eastAsia="Times New Roman"/>
                <w:color w:val="000000"/>
                <w:szCs w:val="24"/>
                <w:lang w:eastAsia="tr-TR"/>
              </w:rPr>
              <w:t>, adı geçen Şirkete tebligat çıkararak, tebliğ tarihinden itibaren bir ay içinde, Makine ve Kimya Endüstrisi Anonim Şirketi Hakkında Kanunun 4 üncü maddesinin dördüncü fıkrası uyarınca belirlenen hurda bedelini ödeyeceğini bildirmesi ve bildirimde bulunduğu tarihten itibaren üç ay içinde hurda bedelini ödemesi şartıyla malın mülkiyetinin Şirkete devredilmesine karar verileceğini ihtar edecektir. İcra ve iflas dairesi</w:t>
            </w:r>
            <w:r w:rsidR="001F1C70" w:rsidRPr="00A23740">
              <w:rPr>
                <w:rFonts w:eastAsia="Times New Roman"/>
                <w:color w:val="000000"/>
                <w:szCs w:val="24"/>
                <w:lang w:eastAsia="tr-TR"/>
              </w:rPr>
              <w:t>nce</w:t>
            </w:r>
            <w:r w:rsidRPr="00A23740">
              <w:rPr>
                <w:rFonts w:eastAsia="Times New Roman"/>
                <w:color w:val="000000"/>
                <w:szCs w:val="24"/>
                <w:lang w:eastAsia="tr-TR"/>
              </w:rPr>
              <w:t>, fıkrada belirtilen şartların oluştuğunu</w:t>
            </w:r>
            <w:r w:rsidR="001F1C70" w:rsidRPr="00A23740">
              <w:rPr>
                <w:rFonts w:eastAsia="Times New Roman"/>
                <w:color w:val="000000"/>
                <w:szCs w:val="24"/>
                <w:lang w:eastAsia="tr-TR"/>
              </w:rPr>
              <w:t>n ve hurda bedelinin ödendiğinin</w:t>
            </w:r>
            <w:r w:rsidRPr="00A23740">
              <w:rPr>
                <w:rFonts w:eastAsia="Times New Roman"/>
                <w:color w:val="000000"/>
                <w:szCs w:val="24"/>
                <w:lang w:eastAsia="tr-TR"/>
              </w:rPr>
              <w:t xml:space="preserve"> tespit e</w:t>
            </w:r>
            <w:r w:rsidR="001F1C70" w:rsidRPr="00A23740">
              <w:rPr>
                <w:rFonts w:eastAsia="Times New Roman"/>
                <w:color w:val="000000"/>
                <w:szCs w:val="24"/>
                <w:lang w:eastAsia="tr-TR"/>
              </w:rPr>
              <w:t>dilmesi</w:t>
            </w:r>
            <w:r w:rsidR="00775934" w:rsidRPr="00A23740">
              <w:rPr>
                <w:rFonts w:eastAsia="Times New Roman"/>
                <w:color w:val="000000"/>
                <w:szCs w:val="24"/>
                <w:lang w:eastAsia="tr-TR"/>
              </w:rPr>
              <w:t>durumunda</w:t>
            </w:r>
            <w:r w:rsidR="001F1C70" w:rsidRPr="00A23740">
              <w:rPr>
                <w:rFonts w:eastAsia="Times New Roman"/>
                <w:color w:val="000000"/>
                <w:szCs w:val="24"/>
                <w:lang w:eastAsia="tr-TR"/>
              </w:rPr>
              <w:t>, hurdaya ayırma işlemleri tamamlan</w:t>
            </w:r>
            <w:r w:rsidRPr="00A23740">
              <w:rPr>
                <w:rFonts w:eastAsia="Times New Roman"/>
                <w:color w:val="000000"/>
                <w:szCs w:val="24"/>
                <w:lang w:eastAsia="tr-TR"/>
              </w:rPr>
              <w:t xml:space="preserve">arak malın mülkiyetinin Şirkete devrine yönelik kararın verilmesi için dosya icra hukuk mahkemesine </w:t>
            </w:r>
            <w:r w:rsidR="00775934" w:rsidRPr="00A23740">
              <w:rPr>
                <w:rFonts w:eastAsia="Times New Roman"/>
                <w:color w:val="000000"/>
                <w:szCs w:val="24"/>
                <w:lang w:eastAsia="tr-TR"/>
              </w:rPr>
              <w:t xml:space="preserve"> gönderilecektir</w:t>
            </w:r>
            <w:r w:rsidRPr="00A23740">
              <w:rPr>
                <w:rFonts w:eastAsia="Times New Roman"/>
                <w:color w:val="000000"/>
                <w:szCs w:val="24"/>
                <w:lang w:eastAsia="tr-TR"/>
              </w:rPr>
              <w:t xml:space="preserve">. </w:t>
            </w:r>
          </w:p>
          <w:p w:rsidR="001F1C70" w:rsidRPr="00A23740" w:rsidRDefault="001F1C70" w:rsidP="009431FF">
            <w:pPr>
              <w:ind w:firstLine="709"/>
              <w:rPr>
                <w:b/>
                <w:color w:val="000000"/>
                <w:lang w:eastAsia="tr-TR"/>
              </w:rPr>
            </w:pPr>
            <w:r w:rsidRPr="00A23740">
              <w:rPr>
                <w:rFonts w:eastAsia="Times New Roman"/>
                <w:color w:val="000000"/>
                <w:szCs w:val="24"/>
                <w:lang w:eastAsia="tr-TR"/>
              </w:rPr>
              <w:t>Altıncı fıkrayla, yukarıdaki fıkralar uyarınca malın tasfiye edilememesi hâlinde icra ve iflas dairesinin, malın mülkiyetinin bedelsiz olarak Türkiye Kızılay Derneğine devrine yönelik kararın verilmesi için dosyayı icra hukuk mahkemesine göndereceği hükme bağlanmaktadır.</w:t>
            </w:r>
          </w:p>
          <w:p w:rsidR="001F1C70" w:rsidRPr="00A23740" w:rsidRDefault="001F1C70" w:rsidP="009431FF">
            <w:pPr>
              <w:ind w:firstLine="709"/>
              <w:rPr>
                <w:color w:val="000000"/>
                <w:lang w:eastAsia="tr-TR"/>
              </w:rPr>
            </w:pPr>
          </w:p>
        </w:tc>
      </w:tr>
      <w:tr w:rsidR="006236BD" w:rsidRPr="00A23740" w:rsidTr="009431FF">
        <w:tblPrEx>
          <w:tblLook w:val="01E0" w:firstRow="1" w:lastRow="1" w:firstColumn="1" w:lastColumn="1" w:noHBand="0" w:noVBand="0"/>
        </w:tblPrEx>
        <w:tc>
          <w:tcPr>
            <w:tcW w:w="2500" w:type="pct"/>
          </w:tcPr>
          <w:p w:rsidR="00CD2E38" w:rsidRPr="00A23740" w:rsidRDefault="00CD2E38" w:rsidP="009431FF">
            <w:pPr>
              <w:pStyle w:val="KIRMIZI"/>
            </w:pPr>
            <w:r w:rsidRPr="00A23740">
              <w:t>Muhafazasına gerek kalmayan malların tasfiyesi</w:t>
            </w:r>
            <w:r w:rsidRPr="00A23740">
              <w:rPr>
                <w:rStyle w:val="KIRMIZIChar"/>
                <w:rFonts w:eastAsia="Calibri"/>
                <w:lang w:eastAsia="tr-TR"/>
              </w:rPr>
              <w:t>:</w:t>
            </w:r>
          </w:p>
          <w:p w:rsidR="00CD2E38" w:rsidRPr="00A23740" w:rsidRDefault="00CD2E38" w:rsidP="009431FF">
            <w:pPr>
              <w:rPr>
                <w:rFonts w:eastAsia="Times New Roman"/>
                <w:color w:val="000000"/>
                <w:szCs w:val="24"/>
                <w:lang w:eastAsia="tr-TR"/>
              </w:rPr>
            </w:pPr>
            <w:r w:rsidRPr="00A23740">
              <w:rPr>
                <w:rFonts w:eastAsia="Times New Roman"/>
                <w:b/>
                <w:bCs/>
                <w:color w:val="000000"/>
                <w:szCs w:val="24"/>
                <w:lang w:eastAsia="tr-TR"/>
              </w:rPr>
              <w:t>Madde 88/a-</w:t>
            </w:r>
            <w:r w:rsidRPr="00A23740">
              <w:rPr>
                <w:rFonts w:eastAsia="Times New Roman"/>
                <w:color w:val="000000"/>
                <w:szCs w:val="24"/>
                <w:lang w:eastAsia="tr-TR"/>
              </w:rPr>
              <w:t> </w:t>
            </w:r>
            <w:r w:rsidRPr="00A23740">
              <w:rPr>
                <w:rFonts w:eastAsia="Times New Roman"/>
                <w:b/>
                <w:bCs/>
                <w:color w:val="000000"/>
                <w:szCs w:val="24"/>
                <w:lang w:eastAsia="tr-TR"/>
              </w:rPr>
              <w:t>(Ek:28/3/2023-7445/4 md.)</w:t>
            </w:r>
          </w:p>
          <w:p w:rsidR="006236BD" w:rsidRPr="00A23740" w:rsidRDefault="00CD2E38" w:rsidP="009431FF">
            <w:pPr>
              <w:rPr>
                <w:rFonts w:eastAsia="Times New Roman"/>
                <w:color w:val="000000"/>
                <w:szCs w:val="24"/>
                <w:lang w:eastAsia="tr-TR"/>
              </w:rPr>
            </w:pPr>
            <w:r w:rsidRPr="00A23740">
              <w:rPr>
                <w:rFonts w:eastAsia="Times New Roman"/>
                <w:color w:val="000000"/>
                <w:szCs w:val="24"/>
                <w:lang w:eastAsia="tr-TR"/>
              </w:rPr>
              <w:t>…</w:t>
            </w:r>
          </w:p>
          <w:p w:rsidR="00CD2E38" w:rsidRPr="00A23740" w:rsidRDefault="00CD2E38" w:rsidP="009431FF">
            <w:pPr>
              <w:rPr>
                <w:rFonts w:eastAsia="Times New Roman"/>
                <w:color w:val="000000"/>
                <w:szCs w:val="24"/>
                <w:lang w:eastAsia="tr-TR"/>
              </w:rPr>
            </w:pPr>
            <w:r w:rsidRPr="00A23740">
              <w:rPr>
                <w:rStyle w:val="KIRMIZIChar"/>
                <w:rFonts w:eastAsia="Calibri"/>
              </w:rPr>
              <w:t>(9)</w:t>
            </w:r>
            <w:r w:rsidRPr="00A23740">
              <w:rPr>
                <w:rFonts w:eastAsia="Times New Roman"/>
                <w:color w:val="000000"/>
                <w:szCs w:val="24"/>
                <w:lang w:eastAsia="tr-TR"/>
              </w:rPr>
              <w:t xml:space="preserve"> İcra mahkemesi, mülkiyetin devri için gönderilen dosyalarda, en geç </w:t>
            </w:r>
            <w:r w:rsidRPr="00A23740">
              <w:rPr>
                <w:rStyle w:val="KIRMIZIChar"/>
                <w:rFonts w:eastAsia="Calibri"/>
                <w:lang w:eastAsia="tr-TR"/>
              </w:rPr>
              <w:t>on gün</w:t>
            </w:r>
            <w:r w:rsidRPr="00A23740">
              <w:rPr>
                <w:rFonts w:eastAsia="Times New Roman"/>
                <w:color w:val="000000"/>
                <w:szCs w:val="24"/>
                <w:lang w:eastAsia="tr-TR"/>
              </w:rPr>
              <w:t xml:space="preserve"> içinde dosya üzerinden yapacağı inceleme sonunda talebin kabulüne veya reddine kesin olarak karar verir. Kabul kararıyla, malın mülkiyeti ilgiliye geçer; tüm haciz ve rehinler kaldırılarak devir ve teslim işlemleri gerçekleştirilir.</w:t>
            </w:r>
          </w:p>
          <w:p w:rsidR="00811283" w:rsidRPr="00A23740" w:rsidRDefault="00811283" w:rsidP="009431FF">
            <w:pPr>
              <w:pStyle w:val="KIRMIZI"/>
            </w:pPr>
          </w:p>
        </w:tc>
        <w:tc>
          <w:tcPr>
            <w:tcW w:w="2500" w:type="pct"/>
          </w:tcPr>
          <w:p w:rsidR="00811283" w:rsidRPr="00A23740" w:rsidRDefault="00811283" w:rsidP="009431FF">
            <w:pPr>
              <w:rPr>
                <w:rStyle w:val="MaviChar"/>
                <w:lang w:val="tr-TR"/>
              </w:rPr>
            </w:pPr>
          </w:p>
          <w:p w:rsidR="00CD2E38" w:rsidRPr="00A23740" w:rsidRDefault="00CD2E38" w:rsidP="009431FF">
            <w:pPr>
              <w:rPr>
                <w:rStyle w:val="MaviChar"/>
                <w:lang w:val="tr-TR"/>
              </w:rPr>
            </w:pPr>
          </w:p>
          <w:p w:rsidR="00CD2E38" w:rsidRPr="00A23740" w:rsidRDefault="004B4494" w:rsidP="009431FF">
            <w:pPr>
              <w:rPr>
                <w:rStyle w:val="MaviChar"/>
                <w:lang w:val="tr-TR"/>
              </w:rPr>
            </w:pPr>
            <w:r w:rsidRPr="00A23740">
              <w:rPr>
                <w:rStyle w:val="MaviChar"/>
                <w:lang w:val="tr-TR"/>
              </w:rPr>
              <w:t>Mülkiyetin devri kararı</w:t>
            </w:r>
          </w:p>
          <w:p w:rsidR="006236BD" w:rsidRPr="00A23740" w:rsidRDefault="00811283" w:rsidP="009431FF">
            <w:pPr>
              <w:rPr>
                <w:rStyle w:val="MaviChar"/>
                <w:lang w:val="tr-TR"/>
              </w:rPr>
            </w:pPr>
            <w:r w:rsidRPr="00A23740">
              <w:rPr>
                <w:rStyle w:val="MaviChar"/>
                <w:lang w:val="tr-TR"/>
              </w:rPr>
              <w:t xml:space="preserve">MADDE 185- </w:t>
            </w:r>
            <w:r w:rsidRPr="00A23740">
              <w:rPr>
                <w:rStyle w:val="MaviChar"/>
              </w:rPr>
              <w:t>(1)</w:t>
            </w:r>
            <w:r w:rsidRPr="00A23740">
              <w:rPr>
                <w:rFonts w:eastAsia="Times New Roman"/>
                <w:color w:val="000000"/>
                <w:szCs w:val="24"/>
                <w:lang w:eastAsia="tr-TR"/>
              </w:rPr>
              <w:t xml:space="preserve"> İcra </w:t>
            </w:r>
            <w:r w:rsidRPr="00A23740">
              <w:rPr>
                <w:rStyle w:val="Balk1Char"/>
                <w:rFonts w:eastAsia="Calibri"/>
              </w:rPr>
              <w:t>hukuk</w:t>
            </w:r>
            <w:r w:rsidRPr="00A23740">
              <w:rPr>
                <w:rFonts w:eastAsia="Times New Roman"/>
                <w:color w:val="000000"/>
                <w:szCs w:val="24"/>
                <w:lang w:eastAsia="tr-TR"/>
              </w:rPr>
              <w:t xml:space="preserve"> mahkemesi, mülkiyetin devri için gönderilen dosyalarda, en geç </w:t>
            </w:r>
            <w:r w:rsidRPr="00A23740">
              <w:rPr>
                <w:rStyle w:val="MaviChar"/>
              </w:rPr>
              <w:t>iki hafta</w:t>
            </w:r>
            <w:r w:rsidRPr="00A23740">
              <w:rPr>
                <w:rFonts w:eastAsia="Times New Roman"/>
                <w:color w:val="000000"/>
                <w:szCs w:val="24"/>
                <w:lang w:eastAsia="tr-TR"/>
              </w:rPr>
              <w:t xml:space="preserve"> içinde dosya üzerinden yapacağı inceleme sonunda talebin kabulüne veya reddine kesin olarak karar verir. Kabul kararıyla, malın mülkiyeti ilgiliye geçer; tüm haciz ve rehinler kaldırılarak devir ve teslim işlemleri gerçekleştirilir.</w:t>
            </w:r>
          </w:p>
        </w:tc>
      </w:tr>
      <w:tr w:rsidR="00B13974" w:rsidRPr="00A23740" w:rsidTr="009431FF">
        <w:tblPrEx>
          <w:tblLook w:val="01E0" w:firstRow="1" w:lastRow="1" w:firstColumn="1" w:lastColumn="1" w:noHBand="0" w:noVBand="0"/>
        </w:tblPrEx>
        <w:tc>
          <w:tcPr>
            <w:tcW w:w="5000" w:type="pct"/>
            <w:gridSpan w:val="2"/>
            <w:shd w:val="clear" w:color="auto" w:fill="DEEAF6"/>
          </w:tcPr>
          <w:p w:rsidR="004B7513" w:rsidRPr="00A23740" w:rsidRDefault="004B7513" w:rsidP="009431FF">
            <w:pPr>
              <w:pStyle w:val="Balk1"/>
              <w:ind w:firstLine="709"/>
              <w:jc w:val="both"/>
              <w:rPr>
                <w:color w:val="000000"/>
                <w:lang w:val="tr-TR" w:eastAsia="tr-TR"/>
              </w:rPr>
            </w:pPr>
          </w:p>
          <w:p w:rsidR="004B7513" w:rsidRPr="00A23740" w:rsidRDefault="00B13974" w:rsidP="009431FF">
            <w:pPr>
              <w:pStyle w:val="Balk1"/>
              <w:ind w:firstLine="709"/>
              <w:jc w:val="both"/>
              <w:rPr>
                <w:color w:val="000000"/>
                <w:lang w:val="tr-TR" w:eastAsia="tr-TR"/>
              </w:rPr>
            </w:pPr>
            <w:r w:rsidRPr="00A23740">
              <w:rPr>
                <w:color w:val="000000"/>
                <w:lang w:val="tr-TR" w:eastAsia="tr-TR"/>
              </w:rPr>
              <w:t xml:space="preserve">MADDE 185- </w:t>
            </w:r>
            <w:r w:rsidR="001F1C70" w:rsidRPr="00A23740">
              <w:rPr>
                <w:b w:val="0"/>
                <w:color w:val="000000"/>
                <w:lang w:val="tr-TR" w:eastAsia="tr-TR"/>
              </w:rPr>
              <w:t>Maddeyle,</w:t>
            </w:r>
            <w:r w:rsidR="001F1C70" w:rsidRPr="00A23740">
              <w:rPr>
                <w:color w:val="000000"/>
                <w:lang w:val="tr-TR" w:eastAsia="tr-TR"/>
              </w:rPr>
              <w:t xml:space="preserve"> </w:t>
            </w:r>
            <w:r w:rsidR="001F1C70" w:rsidRPr="00A23740">
              <w:rPr>
                <w:b w:val="0"/>
                <w:color w:val="000000"/>
                <w:lang w:val="tr-TR" w:eastAsia="tr-TR"/>
              </w:rPr>
              <w:t>bu alt ayrım uyarınca tasfiyesi</w:t>
            </w:r>
            <w:r w:rsidR="00AA2641" w:rsidRPr="00A23740">
              <w:rPr>
                <w:b w:val="0"/>
                <w:color w:val="000000"/>
                <w:lang w:val="tr-TR" w:eastAsia="tr-TR"/>
              </w:rPr>
              <w:t xml:space="preserve"> gerçekleştirilen malın mülki</w:t>
            </w:r>
            <w:r w:rsidR="001F1C70" w:rsidRPr="00A23740">
              <w:rPr>
                <w:b w:val="0"/>
                <w:color w:val="000000"/>
                <w:lang w:val="tr-TR" w:eastAsia="tr-TR"/>
              </w:rPr>
              <w:t>yetinin</w:t>
            </w:r>
            <w:r w:rsidR="001F1C70" w:rsidRPr="00A23740">
              <w:rPr>
                <w:color w:val="000000"/>
                <w:lang w:val="tr-TR" w:eastAsia="tr-TR"/>
              </w:rPr>
              <w:t xml:space="preserve"> </w:t>
            </w:r>
            <w:r w:rsidR="001F1C70" w:rsidRPr="00A23740">
              <w:rPr>
                <w:b w:val="0"/>
                <w:color w:val="000000"/>
                <w:szCs w:val="24"/>
                <w:lang w:val="tr-TR" w:eastAsia="tr-TR"/>
              </w:rPr>
              <w:t xml:space="preserve">icra </w:t>
            </w:r>
            <w:r w:rsidR="001F1C70" w:rsidRPr="00A23740">
              <w:rPr>
                <w:rStyle w:val="Balk1Char"/>
                <w:rFonts w:eastAsia="Calibri"/>
                <w:color w:val="000000"/>
                <w:lang w:val="tr-TR"/>
              </w:rPr>
              <w:t>hukuk</w:t>
            </w:r>
            <w:r w:rsidR="001F1C70" w:rsidRPr="00A23740">
              <w:rPr>
                <w:b w:val="0"/>
                <w:color w:val="000000"/>
                <w:szCs w:val="24"/>
                <w:lang w:val="tr-TR" w:eastAsia="tr-TR"/>
              </w:rPr>
              <w:t xml:space="preserve"> mahkemesinin vereceği karar üzerine </w:t>
            </w:r>
            <w:r w:rsidR="00E40AE2" w:rsidRPr="00A23740">
              <w:rPr>
                <w:b w:val="0"/>
                <w:color w:val="000000"/>
                <w:szCs w:val="24"/>
                <w:lang w:val="tr-TR" w:eastAsia="tr-TR"/>
              </w:rPr>
              <w:t xml:space="preserve">ilgiliye geçeceği </w:t>
            </w:r>
            <w:r w:rsidR="00692A92" w:rsidRPr="00A23740">
              <w:rPr>
                <w:b w:val="0"/>
                <w:color w:val="000000"/>
                <w:szCs w:val="24"/>
                <w:lang w:val="tr-TR" w:eastAsia="tr-TR"/>
              </w:rPr>
              <w:t xml:space="preserve">hususu </w:t>
            </w:r>
            <w:r w:rsidR="00E40AE2" w:rsidRPr="00A23740">
              <w:rPr>
                <w:b w:val="0"/>
                <w:color w:val="000000"/>
                <w:szCs w:val="24"/>
                <w:lang w:val="tr-TR" w:eastAsia="tr-TR"/>
              </w:rPr>
              <w:t xml:space="preserve">hüküm </w:t>
            </w:r>
            <w:r w:rsidR="001F1C70" w:rsidRPr="00A23740">
              <w:rPr>
                <w:b w:val="0"/>
                <w:color w:val="000000"/>
                <w:szCs w:val="24"/>
                <w:lang w:val="tr-TR" w:eastAsia="tr-TR"/>
              </w:rPr>
              <w:t xml:space="preserve">altına alınmaktadır. </w:t>
            </w:r>
            <w:r w:rsidR="008A1756" w:rsidRPr="00A23740">
              <w:rPr>
                <w:b w:val="0"/>
                <w:color w:val="000000"/>
                <w:lang w:val="tr-TR" w:eastAsia="tr-TR"/>
              </w:rPr>
              <w:t>Hüküm, 2004 sayılı Kanunun 88/a maddesinin dokuzuncu fıkrasına karşılık gelmektedir.</w:t>
            </w:r>
            <w:r w:rsidR="008A1756" w:rsidRPr="00A23740">
              <w:rPr>
                <w:color w:val="000000"/>
                <w:lang w:val="tr-TR" w:eastAsia="tr-TR"/>
              </w:rPr>
              <w:t xml:space="preserve"> </w:t>
            </w:r>
          </w:p>
          <w:p w:rsidR="00B13974" w:rsidRPr="00A23740" w:rsidRDefault="004B7513" w:rsidP="007136A5">
            <w:pPr>
              <w:pStyle w:val="Balk1"/>
              <w:ind w:firstLine="709"/>
              <w:jc w:val="both"/>
              <w:rPr>
                <w:b w:val="0"/>
                <w:color w:val="000000"/>
                <w:lang w:eastAsia="tr-TR"/>
              </w:rPr>
            </w:pPr>
            <w:r w:rsidRPr="00A23740">
              <w:rPr>
                <w:b w:val="0"/>
                <w:color w:val="000000"/>
                <w:lang w:val="tr-TR" w:eastAsia="tr-TR"/>
              </w:rPr>
              <w:t>Birinci fıkrada,</w:t>
            </w:r>
            <w:r w:rsidRPr="00A23740">
              <w:rPr>
                <w:color w:val="000000"/>
                <w:lang w:val="tr-TR" w:eastAsia="tr-TR"/>
              </w:rPr>
              <w:t xml:space="preserve"> </w:t>
            </w:r>
            <w:r w:rsidR="001F1C70" w:rsidRPr="00A23740">
              <w:rPr>
                <w:b w:val="0"/>
                <w:color w:val="000000"/>
                <w:szCs w:val="24"/>
                <w:lang w:val="tr-TR" w:eastAsia="tr-TR"/>
              </w:rPr>
              <w:t xml:space="preserve">mülkiyetin devri için gönderilen dosyaların </w:t>
            </w:r>
            <w:r w:rsidR="00AA2641" w:rsidRPr="00A23740">
              <w:rPr>
                <w:b w:val="0"/>
                <w:color w:val="000000"/>
                <w:szCs w:val="24"/>
                <w:lang w:val="tr-TR" w:eastAsia="tr-TR"/>
              </w:rPr>
              <w:t xml:space="preserve">icra hukuk mahkemesince </w:t>
            </w:r>
            <w:r w:rsidR="001F1C70" w:rsidRPr="00A23740">
              <w:rPr>
                <w:b w:val="0"/>
                <w:color w:val="000000"/>
                <w:szCs w:val="24"/>
                <w:lang w:val="tr-TR" w:eastAsia="tr-TR"/>
              </w:rPr>
              <w:t>en geç iki hafta içinde dosya üzerinden yapılacak inceleme üzerine talebin kabul ve reddine ilişkin kesin olarak karar</w:t>
            </w:r>
            <w:r w:rsidR="00692A92" w:rsidRPr="00A23740">
              <w:rPr>
                <w:b w:val="0"/>
                <w:color w:val="000000"/>
                <w:szCs w:val="24"/>
                <w:lang w:val="tr-TR" w:eastAsia="tr-TR"/>
              </w:rPr>
              <w:t>a bağlanacağı</w:t>
            </w:r>
            <w:r w:rsidR="001F1C70" w:rsidRPr="00A23740">
              <w:rPr>
                <w:b w:val="0"/>
                <w:color w:val="000000"/>
                <w:szCs w:val="24"/>
                <w:lang w:val="tr-TR" w:eastAsia="tr-TR"/>
              </w:rPr>
              <w:t xml:space="preserve"> belirtilmektedir. İcra hukuk mahkemesinin vereceği kabul kararıyla malın mülkiyeti ilgiliye geçece</w:t>
            </w:r>
            <w:r w:rsidR="00692A92" w:rsidRPr="00A23740">
              <w:rPr>
                <w:b w:val="0"/>
                <w:color w:val="000000"/>
                <w:szCs w:val="24"/>
                <w:lang w:val="tr-TR" w:eastAsia="tr-TR"/>
              </w:rPr>
              <w:t>k</w:t>
            </w:r>
            <w:r w:rsidR="00AA2641" w:rsidRPr="00A23740">
              <w:rPr>
                <w:b w:val="0"/>
                <w:color w:val="000000"/>
                <w:szCs w:val="24"/>
                <w:lang w:val="tr-TR" w:eastAsia="tr-TR"/>
              </w:rPr>
              <w:t xml:space="preserve"> ve</w:t>
            </w:r>
            <w:r w:rsidR="001F1C70" w:rsidRPr="00A23740">
              <w:rPr>
                <w:b w:val="0"/>
                <w:color w:val="000000"/>
                <w:szCs w:val="24"/>
                <w:lang w:val="tr-TR" w:eastAsia="tr-TR"/>
              </w:rPr>
              <w:t xml:space="preserve"> </w:t>
            </w:r>
            <w:r w:rsidR="00AA2641" w:rsidRPr="00A23740">
              <w:rPr>
                <w:b w:val="0"/>
                <w:color w:val="000000"/>
                <w:szCs w:val="24"/>
                <w:lang w:val="tr-TR" w:eastAsia="tr-TR"/>
              </w:rPr>
              <w:t>varsa</w:t>
            </w:r>
            <w:r w:rsidR="00692A92" w:rsidRPr="00A23740">
              <w:rPr>
                <w:b w:val="0"/>
                <w:color w:val="000000"/>
                <w:szCs w:val="24"/>
                <w:lang w:val="tr-TR" w:eastAsia="tr-TR"/>
              </w:rPr>
              <w:t>,</w:t>
            </w:r>
            <w:r w:rsidR="00AA2641" w:rsidRPr="00A23740">
              <w:rPr>
                <w:b w:val="0"/>
                <w:color w:val="000000"/>
                <w:szCs w:val="24"/>
                <w:lang w:val="tr-TR" w:eastAsia="tr-TR"/>
              </w:rPr>
              <w:t xml:space="preserve"> </w:t>
            </w:r>
            <w:r w:rsidR="001F1C70" w:rsidRPr="00A23740">
              <w:rPr>
                <w:b w:val="0"/>
                <w:color w:val="000000"/>
                <w:szCs w:val="24"/>
                <w:lang w:val="tr-TR" w:eastAsia="tr-TR"/>
              </w:rPr>
              <w:t xml:space="preserve">malın üzerindeki tüm haciz </w:t>
            </w:r>
            <w:r w:rsidR="00AA2641" w:rsidRPr="00A23740">
              <w:rPr>
                <w:b w:val="0"/>
                <w:color w:val="000000"/>
                <w:szCs w:val="24"/>
                <w:lang w:val="tr-TR" w:eastAsia="tr-TR"/>
              </w:rPr>
              <w:t>ile</w:t>
            </w:r>
            <w:r w:rsidR="001F1C70" w:rsidRPr="00A23740">
              <w:rPr>
                <w:b w:val="0"/>
                <w:color w:val="000000"/>
                <w:szCs w:val="24"/>
                <w:lang w:val="tr-TR" w:eastAsia="tr-TR"/>
              </w:rPr>
              <w:t xml:space="preserve"> rehinler kaldırılarak devir ve teslim </w:t>
            </w:r>
            <w:r w:rsidR="00692A92" w:rsidRPr="00A23740">
              <w:rPr>
                <w:b w:val="0"/>
                <w:color w:val="000000"/>
                <w:szCs w:val="24"/>
                <w:lang w:val="tr-TR" w:eastAsia="tr-TR"/>
              </w:rPr>
              <w:t xml:space="preserve">işlemi </w:t>
            </w:r>
            <w:r w:rsidR="001F1C70" w:rsidRPr="00A23740">
              <w:rPr>
                <w:b w:val="0"/>
                <w:color w:val="000000"/>
                <w:szCs w:val="24"/>
                <w:lang w:val="tr-TR" w:eastAsia="tr-TR"/>
              </w:rPr>
              <w:t>gerçekleştirile</w:t>
            </w:r>
            <w:r w:rsidR="00E40AE2" w:rsidRPr="00A23740">
              <w:rPr>
                <w:b w:val="0"/>
                <w:color w:val="000000"/>
                <w:szCs w:val="24"/>
                <w:lang w:val="tr-TR" w:eastAsia="tr-TR"/>
              </w:rPr>
              <w:t>ce</w:t>
            </w:r>
            <w:r w:rsidR="00692A92" w:rsidRPr="00A23740">
              <w:rPr>
                <w:b w:val="0"/>
                <w:color w:val="000000"/>
                <w:szCs w:val="24"/>
                <w:lang w:val="tr-TR" w:eastAsia="tr-TR"/>
              </w:rPr>
              <w:t>ktir</w:t>
            </w:r>
            <w:r w:rsidR="00E40AE2" w:rsidRPr="00A23740">
              <w:rPr>
                <w:b w:val="0"/>
                <w:color w:val="000000"/>
                <w:szCs w:val="24"/>
                <w:lang w:val="tr-TR" w:eastAsia="tr-TR"/>
              </w:rPr>
              <w:t>.</w:t>
            </w:r>
          </w:p>
          <w:p w:rsidR="00AA2641" w:rsidRPr="00A23740" w:rsidRDefault="00AA2641" w:rsidP="009431FF">
            <w:pPr>
              <w:ind w:firstLine="709"/>
              <w:rPr>
                <w:color w:val="000000"/>
                <w:lang w:eastAsia="tr-TR"/>
              </w:rPr>
            </w:pPr>
          </w:p>
        </w:tc>
      </w:tr>
      <w:tr w:rsidR="00CD2E38" w:rsidRPr="00A23740" w:rsidTr="009431FF">
        <w:tblPrEx>
          <w:tblLook w:val="01E0" w:firstRow="1" w:lastRow="1" w:firstColumn="1" w:lastColumn="1" w:noHBand="0" w:noVBand="0"/>
        </w:tblPrEx>
        <w:tc>
          <w:tcPr>
            <w:tcW w:w="2500" w:type="pct"/>
          </w:tcPr>
          <w:p w:rsidR="00CD2E38" w:rsidRPr="00A23740" w:rsidRDefault="00CD2E38" w:rsidP="009431FF">
            <w:pPr>
              <w:pStyle w:val="KIRMIZI"/>
            </w:pPr>
            <w:r w:rsidRPr="00A23740">
              <w:t>Muhafazasına gerek kalmayan malların tasfiyesi</w:t>
            </w:r>
            <w:r w:rsidRPr="00A23740">
              <w:rPr>
                <w:rStyle w:val="KIRMIZIChar"/>
                <w:rFonts w:eastAsia="Calibri"/>
                <w:lang w:eastAsia="tr-TR"/>
              </w:rPr>
              <w:t>:</w:t>
            </w:r>
          </w:p>
          <w:p w:rsidR="00CD2E38" w:rsidRPr="00A23740" w:rsidRDefault="00CD2E38" w:rsidP="009431FF">
            <w:pPr>
              <w:rPr>
                <w:rFonts w:eastAsia="Times New Roman"/>
                <w:color w:val="000000"/>
                <w:szCs w:val="24"/>
                <w:lang w:eastAsia="tr-TR"/>
              </w:rPr>
            </w:pPr>
            <w:r w:rsidRPr="00A23740">
              <w:rPr>
                <w:rFonts w:eastAsia="Times New Roman"/>
                <w:b/>
                <w:bCs/>
                <w:color w:val="000000"/>
                <w:szCs w:val="24"/>
                <w:lang w:eastAsia="tr-TR"/>
              </w:rPr>
              <w:t>Madde 88/a-</w:t>
            </w:r>
            <w:r w:rsidRPr="00A23740">
              <w:rPr>
                <w:rFonts w:eastAsia="Times New Roman"/>
                <w:color w:val="000000"/>
                <w:szCs w:val="24"/>
                <w:lang w:eastAsia="tr-TR"/>
              </w:rPr>
              <w:t> </w:t>
            </w:r>
            <w:r w:rsidRPr="00A23740">
              <w:rPr>
                <w:rFonts w:eastAsia="Times New Roman"/>
                <w:b/>
                <w:bCs/>
                <w:color w:val="000000"/>
                <w:szCs w:val="24"/>
                <w:lang w:eastAsia="tr-TR"/>
              </w:rPr>
              <w:t>(Ek:28/3/2023-7445/4 md.)</w:t>
            </w:r>
          </w:p>
          <w:p w:rsidR="00CD2E38" w:rsidRPr="00A23740" w:rsidRDefault="00CD2E38" w:rsidP="009431FF">
            <w:pPr>
              <w:rPr>
                <w:rFonts w:eastAsia="Times New Roman"/>
                <w:color w:val="000000"/>
                <w:szCs w:val="24"/>
                <w:lang w:eastAsia="tr-TR"/>
              </w:rPr>
            </w:pPr>
            <w:r w:rsidRPr="00A23740">
              <w:rPr>
                <w:rFonts w:eastAsia="Times New Roman"/>
                <w:color w:val="000000"/>
                <w:szCs w:val="24"/>
                <w:lang w:eastAsia="tr-TR"/>
              </w:rPr>
              <w:t>…</w:t>
            </w:r>
          </w:p>
          <w:p w:rsidR="00CD2E38" w:rsidRPr="00A23740" w:rsidRDefault="00CD2E38" w:rsidP="009431FF">
            <w:pPr>
              <w:rPr>
                <w:rFonts w:eastAsia="Times New Roman"/>
                <w:color w:val="000000"/>
                <w:szCs w:val="24"/>
                <w:lang w:eastAsia="tr-TR"/>
              </w:rPr>
            </w:pPr>
          </w:p>
          <w:p w:rsidR="00CD2E38" w:rsidRPr="00A23740" w:rsidRDefault="00CD2E38" w:rsidP="009431FF">
            <w:pPr>
              <w:rPr>
                <w:rFonts w:eastAsia="Times New Roman"/>
                <w:color w:val="000000"/>
                <w:szCs w:val="24"/>
                <w:lang w:eastAsia="tr-TR"/>
              </w:rPr>
            </w:pPr>
            <w:r w:rsidRPr="00A23740">
              <w:rPr>
                <w:rStyle w:val="KIRMIZIChar"/>
                <w:rFonts w:eastAsia="Calibri"/>
              </w:rPr>
              <w:t>(14)</w:t>
            </w:r>
            <w:r w:rsidRPr="00A23740">
              <w:rPr>
                <w:rFonts w:eastAsia="Times New Roman"/>
                <w:color w:val="000000"/>
                <w:szCs w:val="24"/>
                <w:lang w:eastAsia="tr-TR"/>
              </w:rPr>
              <w:t xml:space="preserve"> Tasfiye </w:t>
            </w:r>
            <w:r w:rsidRPr="00A23740">
              <w:rPr>
                <w:rStyle w:val="KIRMIZIChar"/>
                <w:rFonts w:eastAsia="Calibri"/>
              </w:rPr>
              <w:t>masrafları</w:t>
            </w:r>
            <w:r w:rsidRPr="00A23740">
              <w:rPr>
                <w:rFonts w:eastAsia="Times New Roman"/>
                <w:color w:val="000000"/>
                <w:szCs w:val="24"/>
                <w:lang w:eastAsia="tr-TR"/>
              </w:rPr>
              <w:t>, öncelikle dosyadaki avanstan, avansın bulunmaması halinde Adalet Bakanlığı bütçesinden karşılanır.</w:t>
            </w:r>
          </w:p>
          <w:p w:rsidR="00CD2E38" w:rsidRPr="00A23740" w:rsidRDefault="00CD2E38" w:rsidP="009431FF">
            <w:pPr>
              <w:rPr>
                <w:rFonts w:eastAsia="Times New Roman"/>
                <w:color w:val="000000"/>
                <w:szCs w:val="24"/>
                <w:lang w:eastAsia="tr-TR"/>
              </w:rPr>
            </w:pPr>
          </w:p>
          <w:p w:rsidR="00CD2E38" w:rsidRPr="00A23740" w:rsidRDefault="00CD2E38" w:rsidP="009431FF">
            <w:pPr>
              <w:rPr>
                <w:rFonts w:eastAsia="Times New Roman"/>
                <w:color w:val="000000"/>
                <w:szCs w:val="24"/>
                <w:lang w:eastAsia="tr-TR"/>
              </w:rPr>
            </w:pPr>
            <w:r w:rsidRPr="00A23740">
              <w:rPr>
                <w:rStyle w:val="KIRMIZIChar"/>
                <w:rFonts w:eastAsia="Calibri"/>
              </w:rPr>
              <w:t>(15)</w:t>
            </w:r>
            <w:r w:rsidRPr="00A23740">
              <w:rPr>
                <w:rFonts w:eastAsia="Times New Roman"/>
                <w:color w:val="000000"/>
                <w:szCs w:val="24"/>
                <w:lang w:eastAsia="tr-TR"/>
              </w:rPr>
              <w:t xml:space="preserve"> Tasfiye kapsamında dosyaya ödenen tutardan; sırasıyla avanstan karşılanan </w:t>
            </w:r>
            <w:r w:rsidRPr="00A23740">
              <w:rPr>
                <w:rStyle w:val="KIRMIZIChar"/>
                <w:rFonts w:eastAsia="Calibri"/>
              </w:rPr>
              <w:t>masraflar</w:t>
            </w:r>
            <w:r w:rsidRPr="00A23740">
              <w:rPr>
                <w:rFonts w:eastAsia="Times New Roman"/>
                <w:color w:val="000000"/>
                <w:szCs w:val="24"/>
                <w:lang w:eastAsia="tr-TR"/>
              </w:rPr>
              <w:t xml:space="preserve">, Adalet Bakanlığı bütçesinden karşılanan </w:t>
            </w:r>
            <w:r w:rsidRPr="00A23740">
              <w:rPr>
                <w:rStyle w:val="KIRMIZIChar"/>
                <w:rFonts w:eastAsia="Calibri"/>
              </w:rPr>
              <w:t>masraflar</w:t>
            </w:r>
            <w:r w:rsidRPr="00A23740">
              <w:rPr>
                <w:rFonts w:eastAsia="Times New Roman"/>
                <w:color w:val="000000"/>
                <w:szCs w:val="24"/>
                <w:lang w:eastAsia="tr-TR"/>
              </w:rPr>
              <w:t xml:space="preserve"> ve vergi, resim, harç gibi malın aynından kaynaklanan kamu alacakları ödenir. Kalan tutar, </w:t>
            </w:r>
            <w:r w:rsidRPr="00A23740">
              <w:rPr>
                <w:rStyle w:val="KIRMIZIChar"/>
                <w:rFonts w:eastAsia="Calibri"/>
                <w:lang w:eastAsia="tr-TR"/>
              </w:rPr>
              <w:t>9 uncu</w:t>
            </w:r>
            <w:r w:rsidRPr="00A23740">
              <w:rPr>
                <w:rFonts w:eastAsia="Times New Roman"/>
                <w:color w:val="000000"/>
                <w:szCs w:val="24"/>
                <w:lang w:eastAsia="tr-TR"/>
              </w:rPr>
              <w:t xml:space="preserve"> madde uyarınca muhafaza edilir, bankalarda nemalandırılır </w:t>
            </w:r>
            <w:r w:rsidRPr="007136A5">
              <w:rPr>
                <w:rStyle w:val="KIRMIZIChar"/>
                <w:rFonts w:eastAsia="Calibri"/>
              </w:rPr>
              <w:t>ve</w:t>
            </w:r>
            <w:r w:rsidRPr="00A23740">
              <w:rPr>
                <w:rFonts w:eastAsia="Times New Roman"/>
                <w:color w:val="000000"/>
                <w:szCs w:val="24"/>
                <w:lang w:eastAsia="tr-TR"/>
              </w:rPr>
              <w:t xml:space="preserve"> talep halinde nemalarıyla birlikte hak sahiplerine ödenir.</w:t>
            </w:r>
          </w:p>
          <w:p w:rsidR="00CD2E38" w:rsidRPr="00A23740" w:rsidRDefault="00CD2E38" w:rsidP="009431FF">
            <w:pPr>
              <w:rPr>
                <w:rFonts w:eastAsia="Times New Roman"/>
                <w:color w:val="000000"/>
                <w:szCs w:val="24"/>
                <w:lang w:eastAsia="tr-TR"/>
              </w:rPr>
            </w:pPr>
          </w:p>
          <w:p w:rsidR="00CD2E38" w:rsidRPr="00A23740" w:rsidRDefault="00CD2E38" w:rsidP="009431FF">
            <w:pPr>
              <w:rPr>
                <w:rFonts w:eastAsia="Times New Roman"/>
                <w:color w:val="000000"/>
                <w:szCs w:val="24"/>
                <w:lang w:eastAsia="tr-TR"/>
              </w:rPr>
            </w:pPr>
            <w:r w:rsidRPr="00A23740">
              <w:rPr>
                <w:rStyle w:val="KIRMIZIChar"/>
                <w:rFonts w:eastAsia="Calibri"/>
              </w:rPr>
              <w:t>(16)</w:t>
            </w:r>
            <w:r w:rsidRPr="00A23740">
              <w:rPr>
                <w:rFonts w:eastAsia="Times New Roman"/>
                <w:color w:val="000000"/>
                <w:szCs w:val="24"/>
                <w:lang w:eastAsia="tr-TR"/>
              </w:rPr>
              <w:t xml:space="preserve"> Dosyaya ödenen tutarın, Adalet Bakanlığı bütçesinden yapılan </w:t>
            </w:r>
            <w:r w:rsidRPr="00A23740">
              <w:rPr>
                <w:rStyle w:val="KIRMIZIChar"/>
                <w:rFonts w:eastAsia="Calibri"/>
              </w:rPr>
              <w:t>masrafı</w:t>
            </w:r>
            <w:r w:rsidRPr="00A23740">
              <w:rPr>
                <w:rFonts w:eastAsia="Times New Roman"/>
                <w:color w:val="000000"/>
                <w:szCs w:val="24"/>
                <w:lang w:eastAsia="tr-TR"/>
              </w:rPr>
              <w:t xml:space="preserve"> karşılayamaması halinde icra dairesi, bakiye </w:t>
            </w:r>
            <w:r w:rsidRPr="00A23740">
              <w:rPr>
                <w:rStyle w:val="KIRMIZIChar"/>
                <w:rFonts w:eastAsia="Calibri"/>
              </w:rPr>
              <w:t>masrafın</w:t>
            </w:r>
            <w:r w:rsidRPr="00A23740">
              <w:rPr>
                <w:rFonts w:eastAsia="Times New Roman"/>
                <w:color w:val="000000"/>
                <w:szCs w:val="24"/>
                <w:lang w:eastAsia="tr-TR"/>
              </w:rPr>
              <w:t xml:space="preserve">, </w:t>
            </w:r>
            <w:r w:rsidRPr="00A23740">
              <w:rPr>
                <w:rStyle w:val="KIRMIZIChar"/>
                <w:rFonts w:eastAsia="Calibri"/>
              </w:rPr>
              <w:t>6183 sayılı</w:t>
            </w:r>
            <w:r w:rsidRPr="00A23740">
              <w:rPr>
                <w:rFonts w:eastAsia="Times New Roman"/>
                <w:color w:val="000000"/>
                <w:szCs w:val="24"/>
                <w:lang w:eastAsia="tr-TR"/>
              </w:rPr>
              <w:t xml:space="preserve"> Kanun uyarınca borçludan tahsili için tahsil dairesine bildirimde bulunur.</w:t>
            </w:r>
          </w:p>
          <w:p w:rsidR="00CD2E38" w:rsidRPr="00A23740" w:rsidRDefault="00CD2E38" w:rsidP="009431FF"/>
        </w:tc>
        <w:tc>
          <w:tcPr>
            <w:tcW w:w="2500" w:type="pct"/>
          </w:tcPr>
          <w:p w:rsidR="00CD2E38" w:rsidRPr="00A23740" w:rsidRDefault="00CD2E38" w:rsidP="009431FF">
            <w:pPr>
              <w:rPr>
                <w:rStyle w:val="MaviChar"/>
              </w:rPr>
            </w:pPr>
          </w:p>
          <w:p w:rsidR="00CD2E38" w:rsidRPr="00A23740" w:rsidRDefault="00CD2E38" w:rsidP="009431FF">
            <w:pPr>
              <w:rPr>
                <w:rStyle w:val="MaviChar"/>
              </w:rPr>
            </w:pPr>
          </w:p>
          <w:p w:rsidR="00CD2E38" w:rsidRPr="00A23740" w:rsidRDefault="00CD2E38" w:rsidP="009431FF">
            <w:pPr>
              <w:rPr>
                <w:rStyle w:val="MaviChar"/>
              </w:rPr>
            </w:pPr>
          </w:p>
          <w:p w:rsidR="00CD2E38" w:rsidRPr="00A23740" w:rsidRDefault="008D0E3A" w:rsidP="009431FF">
            <w:pPr>
              <w:rPr>
                <w:rStyle w:val="MaviChar"/>
                <w:lang w:val="tr-TR"/>
              </w:rPr>
            </w:pPr>
            <w:r w:rsidRPr="00A23740">
              <w:rPr>
                <w:rStyle w:val="MaviChar"/>
                <w:lang w:val="tr-TR"/>
              </w:rPr>
              <w:t>Tasfiyeden elde edilen bedel ve tasfiye giderleri</w:t>
            </w:r>
          </w:p>
          <w:p w:rsidR="00CD2E38" w:rsidRPr="00A23740" w:rsidRDefault="008D0E3A" w:rsidP="009431FF">
            <w:pPr>
              <w:rPr>
                <w:rFonts w:eastAsia="Times New Roman"/>
                <w:color w:val="000000"/>
                <w:szCs w:val="24"/>
                <w:lang w:eastAsia="tr-TR"/>
              </w:rPr>
            </w:pPr>
            <w:r w:rsidRPr="00A23740">
              <w:rPr>
                <w:rStyle w:val="MaviChar"/>
                <w:lang w:val="tr-TR"/>
              </w:rPr>
              <w:t>MADDE 186</w:t>
            </w:r>
            <w:r w:rsidR="00CD2E38" w:rsidRPr="00A23740">
              <w:rPr>
                <w:rStyle w:val="MaviChar"/>
                <w:lang w:val="tr-TR"/>
              </w:rPr>
              <w:t xml:space="preserve">- </w:t>
            </w:r>
            <w:r w:rsidR="00CD2E38" w:rsidRPr="00A23740">
              <w:rPr>
                <w:rStyle w:val="MaviChar"/>
              </w:rPr>
              <w:t>(1)</w:t>
            </w:r>
            <w:r w:rsidR="00CD2E38" w:rsidRPr="00A23740">
              <w:rPr>
                <w:rFonts w:eastAsia="Times New Roman"/>
                <w:color w:val="000000"/>
                <w:szCs w:val="24"/>
                <w:lang w:eastAsia="tr-TR"/>
              </w:rPr>
              <w:t xml:space="preserve"> Tasfiye </w:t>
            </w:r>
            <w:r w:rsidR="00CD2E38" w:rsidRPr="00A23740">
              <w:rPr>
                <w:rStyle w:val="MaviChar"/>
              </w:rPr>
              <w:t>giderleri</w:t>
            </w:r>
            <w:r w:rsidR="00CD2E38" w:rsidRPr="00A23740">
              <w:rPr>
                <w:rFonts w:eastAsia="Times New Roman"/>
                <w:color w:val="000000"/>
                <w:szCs w:val="24"/>
                <w:lang w:eastAsia="tr-TR"/>
              </w:rPr>
              <w:t>, öncelikle dosyadaki avanstan, avansın bulunmaması h</w:t>
            </w:r>
            <w:r w:rsidR="00B13974" w:rsidRPr="00A23740">
              <w:rPr>
                <w:rFonts w:eastAsia="Times New Roman"/>
                <w:color w:val="000000"/>
                <w:szCs w:val="24"/>
                <w:lang w:eastAsia="tr-TR"/>
              </w:rPr>
              <w:t>â</w:t>
            </w:r>
            <w:r w:rsidR="00CD2E38" w:rsidRPr="00A23740">
              <w:rPr>
                <w:rFonts w:eastAsia="Times New Roman"/>
                <w:color w:val="000000"/>
                <w:szCs w:val="24"/>
                <w:lang w:eastAsia="tr-TR"/>
              </w:rPr>
              <w:t>linde Adalet Bakanlığı bütçesinden karşılanır.</w:t>
            </w:r>
          </w:p>
          <w:p w:rsidR="00CD2E38" w:rsidRPr="00A23740" w:rsidRDefault="00CD2E38" w:rsidP="009431FF">
            <w:pPr>
              <w:rPr>
                <w:rFonts w:eastAsia="Times New Roman"/>
                <w:color w:val="000000"/>
                <w:szCs w:val="24"/>
                <w:lang w:eastAsia="tr-TR"/>
              </w:rPr>
            </w:pPr>
          </w:p>
          <w:p w:rsidR="00CD2E38" w:rsidRPr="00A23740" w:rsidRDefault="00CD2E38" w:rsidP="009431FF">
            <w:pPr>
              <w:rPr>
                <w:rFonts w:eastAsia="Times New Roman"/>
                <w:color w:val="000000"/>
                <w:szCs w:val="24"/>
                <w:lang w:eastAsia="tr-TR"/>
              </w:rPr>
            </w:pPr>
            <w:r w:rsidRPr="00A23740">
              <w:rPr>
                <w:rStyle w:val="MaviChar"/>
              </w:rPr>
              <w:t>(2)</w:t>
            </w:r>
            <w:r w:rsidRPr="00A23740">
              <w:rPr>
                <w:rFonts w:eastAsia="Times New Roman"/>
                <w:color w:val="000000"/>
                <w:szCs w:val="24"/>
                <w:lang w:eastAsia="tr-TR"/>
              </w:rPr>
              <w:t xml:space="preserve"> Tasfiye kapsamında dosyaya ödenen tutardan; sırasıyla avanstan karşılanan </w:t>
            </w:r>
            <w:r w:rsidRPr="00A23740">
              <w:rPr>
                <w:rStyle w:val="MaviChar"/>
              </w:rPr>
              <w:t>giderler</w:t>
            </w:r>
            <w:r w:rsidRPr="00A23740">
              <w:rPr>
                <w:rFonts w:eastAsia="Times New Roman"/>
                <w:color w:val="000000"/>
                <w:szCs w:val="24"/>
                <w:lang w:eastAsia="tr-TR"/>
              </w:rPr>
              <w:t xml:space="preserve">, Adalet Bakanlığı bütçesinden karşılanan </w:t>
            </w:r>
            <w:r w:rsidRPr="00A23740">
              <w:rPr>
                <w:rStyle w:val="MaviChar"/>
              </w:rPr>
              <w:t>giderler</w:t>
            </w:r>
            <w:r w:rsidRPr="00A23740">
              <w:rPr>
                <w:rFonts w:eastAsia="Times New Roman"/>
                <w:color w:val="000000"/>
                <w:szCs w:val="24"/>
                <w:lang w:eastAsia="tr-TR"/>
              </w:rPr>
              <w:t xml:space="preserve"> ve vergi, resim, harç gibi malın aynından kaynaklanan kamu alacakları ödenir. Kalan tutar, </w:t>
            </w:r>
            <w:r w:rsidRPr="00A23740">
              <w:rPr>
                <w:rStyle w:val="MaviChar"/>
              </w:rPr>
              <w:t>11 inci</w:t>
            </w:r>
            <w:r w:rsidRPr="00A23740">
              <w:rPr>
                <w:rStyle w:val="MaviChar"/>
                <w:lang w:val="tr-TR"/>
              </w:rPr>
              <w:t xml:space="preserve"> </w:t>
            </w:r>
            <w:r w:rsidRPr="00A23740">
              <w:rPr>
                <w:rFonts w:eastAsia="Times New Roman"/>
                <w:color w:val="000000"/>
                <w:szCs w:val="24"/>
                <w:lang w:eastAsia="tr-TR"/>
              </w:rPr>
              <w:t>madde uyarınca</w:t>
            </w:r>
            <w:r w:rsidR="00142328" w:rsidRPr="00A23740">
              <w:rPr>
                <w:rFonts w:eastAsia="Times New Roman"/>
                <w:color w:val="000000"/>
                <w:szCs w:val="24"/>
                <w:lang w:eastAsia="tr-TR"/>
              </w:rPr>
              <w:t xml:space="preserve"> </w:t>
            </w:r>
            <w:r w:rsidR="00142328" w:rsidRPr="00D03F47">
              <w:rPr>
                <w:rStyle w:val="Balk1Char"/>
                <w:rFonts w:eastAsia="Calibri"/>
              </w:rPr>
              <w:t>bankalarda</w:t>
            </w:r>
            <w:r w:rsidRPr="00A23740">
              <w:rPr>
                <w:rFonts w:eastAsia="Times New Roman"/>
                <w:color w:val="385623"/>
                <w:szCs w:val="24"/>
                <w:lang w:eastAsia="tr-TR"/>
              </w:rPr>
              <w:t xml:space="preserve"> </w:t>
            </w:r>
            <w:r w:rsidRPr="00A23740">
              <w:rPr>
                <w:rFonts w:eastAsia="Times New Roman"/>
                <w:color w:val="000000"/>
                <w:szCs w:val="24"/>
                <w:lang w:eastAsia="tr-TR"/>
              </w:rPr>
              <w:t xml:space="preserve">muhafaza edilir </w:t>
            </w:r>
            <w:r w:rsidR="00142328" w:rsidRPr="00D03F47">
              <w:rPr>
                <w:rStyle w:val="Balk1Char"/>
                <w:rFonts w:eastAsia="Calibri"/>
              </w:rPr>
              <w:t>ve</w:t>
            </w:r>
            <w:r w:rsidR="00142328" w:rsidRPr="00A23740">
              <w:rPr>
                <w:rFonts w:eastAsia="Times New Roman"/>
                <w:color w:val="385623"/>
                <w:szCs w:val="24"/>
                <w:lang w:eastAsia="tr-TR"/>
              </w:rPr>
              <w:t xml:space="preserve"> </w:t>
            </w:r>
            <w:r w:rsidRPr="00A23740">
              <w:rPr>
                <w:rFonts w:eastAsia="Times New Roman"/>
                <w:color w:val="000000"/>
                <w:szCs w:val="24"/>
                <w:lang w:eastAsia="tr-TR"/>
              </w:rPr>
              <w:t>nemalandırılır</w:t>
            </w:r>
            <w:r w:rsidR="00142328" w:rsidRPr="007136A5">
              <w:rPr>
                <w:rStyle w:val="MaviChar"/>
                <w:bCs w:val="0"/>
              </w:rPr>
              <w:t>,</w:t>
            </w:r>
            <w:r w:rsidRPr="00A23740">
              <w:rPr>
                <w:rFonts w:eastAsia="Times New Roman"/>
                <w:color w:val="000000"/>
                <w:szCs w:val="24"/>
                <w:lang w:eastAsia="tr-TR"/>
              </w:rPr>
              <w:t xml:space="preserve"> talep h</w:t>
            </w:r>
            <w:r w:rsidR="00B13974" w:rsidRPr="00A23740">
              <w:rPr>
                <w:rFonts w:eastAsia="Times New Roman"/>
                <w:color w:val="000000"/>
                <w:szCs w:val="24"/>
                <w:lang w:eastAsia="tr-TR"/>
              </w:rPr>
              <w:t>â</w:t>
            </w:r>
            <w:r w:rsidRPr="00A23740">
              <w:rPr>
                <w:rFonts w:eastAsia="Times New Roman"/>
                <w:color w:val="000000"/>
                <w:szCs w:val="24"/>
                <w:lang w:eastAsia="tr-TR"/>
              </w:rPr>
              <w:t xml:space="preserve">linde </w:t>
            </w:r>
            <w:r w:rsidR="00142328" w:rsidRPr="00D03F47">
              <w:rPr>
                <w:rStyle w:val="Balk1Char"/>
                <w:rFonts w:eastAsia="Calibri"/>
              </w:rPr>
              <w:t>de</w:t>
            </w:r>
            <w:r w:rsidR="00142328" w:rsidRPr="00A23740">
              <w:rPr>
                <w:rFonts w:eastAsia="Times New Roman"/>
                <w:color w:val="385623"/>
                <w:szCs w:val="24"/>
                <w:lang w:eastAsia="tr-TR"/>
              </w:rPr>
              <w:t xml:space="preserve"> </w:t>
            </w:r>
            <w:r w:rsidRPr="00A23740">
              <w:rPr>
                <w:rFonts w:eastAsia="Times New Roman"/>
                <w:color w:val="000000"/>
                <w:szCs w:val="24"/>
                <w:lang w:eastAsia="tr-TR"/>
              </w:rPr>
              <w:t>nemalarıyla birlikte hak sahiplerine ödenir.</w:t>
            </w:r>
          </w:p>
          <w:p w:rsidR="00CD2E38" w:rsidRPr="00A23740" w:rsidRDefault="00CD2E38" w:rsidP="009431FF">
            <w:pPr>
              <w:rPr>
                <w:rFonts w:eastAsia="Times New Roman"/>
                <w:color w:val="000000"/>
                <w:szCs w:val="24"/>
                <w:lang w:eastAsia="tr-TR"/>
              </w:rPr>
            </w:pPr>
          </w:p>
          <w:p w:rsidR="00CD2E38" w:rsidRPr="00A23740" w:rsidRDefault="00CD2E38" w:rsidP="009431FF">
            <w:pPr>
              <w:rPr>
                <w:rFonts w:eastAsia="Times New Roman"/>
                <w:color w:val="000000"/>
                <w:szCs w:val="24"/>
                <w:lang w:eastAsia="tr-TR"/>
              </w:rPr>
            </w:pPr>
            <w:r w:rsidRPr="00A23740">
              <w:rPr>
                <w:rStyle w:val="MaviChar"/>
              </w:rPr>
              <w:t>(3)</w:t>
            </w:r>
            <w:r w:rsidRPr="00A23740">
              <w:rPr>
                <w:rFonts w:eastAsia="Times New Roman"/>
                <w:color w:val="000000"/>
                <w:szCs w:val="24"/>
                <w:lang w:eastAsia="tr-TR"/>
              </w:rPr>
              <w:t xml:space="preserve"> Dosyaya ödenen tutarın, Adalet Bakanlığı bütçesinden yapılan </w:t>
            </w:r>
            <w:r w:rsidRPr="00A23740">
              <w:rPr>
                <w:rStyle w:val="MaviChar"/>
              </w:rPr>
              <w:t>gideri</w:t>
            </w:r>
            <w:r w:rsidRPr="00A23740">
              <w:rPr>
                <w:rFonts w:eastAsia="Times New Roman"/>
                <w:color w:val="000000"/>
                <w:szCs w:val="24"/>
                <w:lang w:eastAsia="tr-TR"/>
              </w:rPr>
              <w:t xml:space="preserve"> karşılayamaması h</w:t>
            </w:r>
            <w:r w:rsidR="00B13974" w:rsidRPr="00A23740">
              <w:rPr>
                <w:rFonts w:eastAsia="Times New Roman"/>
                <w:color w:val="000000"/>
                <w:szCs w:val="24"/>
                <w:lang w:eastAsia="tr-TR"/>
              </w:rPr>
              <w:t>â</w:t>
            </w:r>
            <w:r w:rsidRPr="00A23740">
              <w:rPr>
                <w:rFonts w:eastAsia="Times New Roman"/>
                <w:color w:val="000000"/>
                <w:szCs w:val="24"/>
                <w:lang w:eastAsia="tr-TR"/>
              </w:rPr>
              <w:t xml:space="preserve">linde icra </w:t>
            </w:r>
            <w:r w:rsidR="008D0E3A" w:rsidRPr="00A23740">
              <w:rPr>
                <w:rStyle w:val="Balk1Char"/>
                <w:rFonts w:eastAsia="Calibri"/>
              </w:rPr>
              <w:t>ve iflas</w:t>
            </w:r>
            <w:r w:rsidR="008D0E3A" w:rsidRPr="00A23740">
              <w:rPr>
                <w:rFonts w:eastAsia="Times New Roman"/>
                <w:color w:val="000000"/>
                <w:szCs w:val="24"/>
                <w:lang w:eastAsia="tr-TR"/>
              </w:rPr>
              <w:t xml:space="preserve"> </w:t>
            </w:r>
            <w:r w:rsidRPr="00A23740">
              <w:rPr>
                <w:rFonts w:eastAsia="Times New Roman"/>
                <w:color w:val="000000"/>
                <w:szCs w:val="24"/>
                <w:lang w:eastAsia="tr-TR"/>
              </w:rPr>
              <w:t xml:space="preserve">dairesi, bakiye </w:t>
            </w:r>
            <w:r w:rsidRPr="00A23740">
              <w:rPr>
                <w:rStyle w:val="MaviChar"/>
              </w:rPr>
              <w:t>giderin</w:t>
            </w:r>
            <w:r w:rsidRPr="00A23740">
              <w:rPr>
                <w:rFonts w:eastAsia="Times New Roman"/>
                <w:color w:val="000000"/>
                <w:szCs w:val="24"/>
                <w:lang w:eastAsia="tr-TR"/>
              </w:rPr>
              <w:t xml:space="preserve">, </w:t>
            </w:r>
            <w:r w:rsidRPr="00A23740">
              <w:rPr>
                <w:rStyle w:val="MaviChar"/>
              </w:rPr>
              <w:t xml:space="preserve">Amme Alacaklarının Tahsil Usulü Hakkında </w:t>
            </w:r>
            <w:r w:rsidRPr="00A23740">
              <w:rPr>
                <w:rFonts w:eastAsia="Times New Roman"/>
                <w:color w:val="000000"/>
                <w:szCs w:val="24"/>
                <w:lang w:eastAsia="tr-TR"/>
              </w:rPr>
              <w:t>Kanun uyarınca borçludan tahsili için tahsil dairesine bildirimde bulunur.</w:t>
            </w:r>
          </w:p>
          <w:p w:rsidR="00CD2E38" w:rsidRPr="00A23740" w:rsidRDefault="00CD2E38" w:rsidP="009431FF">
            <w:pPr>
              <w:rPr>
                <w:rStyle w:val="MaviChar"/>
                <w:lang w:val="tr-TR"/>
              </w:rPr>
            </w:pPr>
          </w:p>
        </w:tc>
      </w:tr>
      <w:tr w:rsidR="00B13974" w:rsidRPr="00A23740" w:rsidTr="009431FF">
        <w:tblPrEx>
          <w:tblLook w:val="01E0" w:firstRow="1" w:lastRow="1" w:firstColumn="1" w:lastColumn="1" w:noHBand="0" w:noVBand="0"/>
        </w:tblPrEx>
        <w:tc>
          <w:tcPr>
            <w:tcW w:w="5000" w:type="pct"/>
            <w:gridSpan w:val="2"/>
            <w:shd w:val="clear" w:color="auto" w:fill="DEEAF6"/>
          </w:tcPr>
          <w:p w:rsidR="004B7513" w:rsidRPr="00A23740" w:rsidRDefault="004B7513" w:rsidP="009431FF">
            <w:pPr>
              <w:ind w:firstLine="709"/>
              <w:rPr>
                <w:b/>
                <w:color w:val="000000"/>
                <w:lang w:eastAsia="tr-TR"/>
              </w:rPr>
            </w:pPr>
          </w:p>
          <w:p w:rsidR="00AA2641" w:rsidRPr="00A23740" w:rsidRDefault="00B13974" w:rsidP="009431FF">
            <w:pPr>
              <w:ind w:firstLine="709"/>
              <w:rPr>
                <w:rStyle w:val="MaviChar"/>
                <w:lang w:val="tr-TR"/>
              </w:rPr>
            </w:pPr>
            <w:r w:rsidRPr="00A23740">
              <w:rPr>
                <w:b/>
                <w:color w:val="000000"/>
                <w:lang w:eastAsia="tr-TR"/>
              </w:rPr>
              <w:t>MADDE 186-</w:t>
            </w:r>
            <w:r w:rsidRPr="00A23740">
              <w:rPr>
                <w:color w:val="000000"/>
                <w:lang w:eastAsia="tr-TR"/>
              </w:rPr>
              <w:t xml:space="preserve"> </w:t>
            </w:r>
            <w:r w:rsidR="00AA2641" w:rsidRPr="00A23740">
              <w:rPr>
                <w:color w:val="000000"/>
                <w:lang w:eastAsia="tr-TR"/>
              </w:rPr>
              <w:t xml:space="preserve">Maddeyle, </w:t>
            </w:r>
            <w:r w:rsidR="00AA2641" w:rsidRPr="00A23740">
              <w:rPr>
                <w:rStyle w:val="MaviChar"/>
                <w:b w:val="0"/>
                <w:color w:val="000000"/>
                <w:lang w:val="tr-TR"/>
              </w:rPr>
              <w:t>tasfiyeden elde edilen bedelin nasıl kullanılacağı ve tasfiye giderlerine ilişkin hususlar belirlenmektedir.</w:t>
            </w:r>
            <w:r w:rsidR="008A1756" w:rsidRPr="00A23740">
              <w:rPr>
                <w:rStyle w:val="MaviChar"/>
                <w:b w:val="0"/>
                <w:color w:val="000000"/>
                <w:lang w:val="tr-TR"/>
              </w:rPr>
              <w:t xml:space="preserve"> </w:t>
            </w:r>
            <w:r w:rsidR="008A1756" w:rsidRPr="00A23740">
              <w:rPr>
                <w:color w:val="000000"/>
                <w:lang w:eastAsia="tr-TR"/>
              </w:rPr>
              <w:t>Hüküm, 2004 sayılı Kanunun 88/a maddesinin ondördüncü, onbeşinci ve onaltıncı fıkralarına karşılık gelmektedir.</w:t>
            </w:r>
          </w:p>
          <w:p w:rsidR="00AA2641" w:rsidRPr="00A23740" w:rsidRDefault="00AA2641" w:rsidP="009431FF">
            <w:pPr>
              <w:ind w:firstLine="709"/>
              <w:rPr>
                <w:rStyle w:val="MaviChar"/>
                <w:b w:val="0"/>
                <w:color w:val="000000"/>
                <w:lang w:val="tr-TR"/>
              </w:rPr>
            </w:pPr>
            <w:r w:rsidRPr="00A23740">
              <w:rPr>
                <w:rStyle w:val="MaviChar"/>
                <w:b w:val="0"/>
                <w:color w:val="000000"/>
                <w:lang w:val="tr-TR"/>
              </w:rPr>
              <w:t>Birinci fıkrayla, tasfiye giderlerinin öncelikle dosyadaki avanstan, avansın bulunmaması hâlinde ise Adalet Bakanlığı bütçesinden karşılanacağı düzenlenmektedir.</w:t>
            </w:r>
          </w:p>
          <w:p w:rsidR="00AA2641" w:rsidRPr="00A23740" w:rsidRDefault="00AA2641" w:rsidP="009431FF">
            <w:pPr>
              <w:ind w:firstLine="709"/>
              <w:rPr>
                <w:rStyle w:val="MaviChar"/>
                <w:b w:val="0"/>
                <w:color w:val="000000"/>
                <w:lang w:val="tr-TR"/>
              </w:rPr>
            </w:pPr>
            <w:r w:rsidRPr="00A23740">
              <w:rPr>
                <w:rStyle w:val="MaviChar"/>
                <w:b w:val="0"/>
                <w:color w:val="000000"/>
                <w:lang w:val="tr-TR"/>
              </w:rPr>
              <w:t>İkinci fıkrayla, tasfiye kapsamında dosyaya ödenen tutardan; sırasıyla önce avanstan karşılanan giderlerin, sonra Adalet Bakanlığı bütçesinden karşılanan giderlerin ve daha sonra vergi, resim, harç gibi malın aynından kaynaklanan kamu alacakları</w:t>
            </w:r>
            <w:r w:rsidR="003634E8" w:rsidRPr="00A23740">
              <w:rPr>
                <w:rStyle w:val="MaviChar"/>
                <w:b w:val="0"/>
                <w:color w:val="000000"/>
                <w:lang w:val="tr-TR"/>
              </w:rPr>
              <w:t>nın</w:t>
            </w:r>
            <w:r w:rsidRPr="00A23740">
              <w:rPr>
                <w:rStyle w:val="MaviChar"/>
                <w:b w:val="0"/>
                <w:color w:val="000000"/>
                <w:lang w:val="tr-TR"/>
              </w:rPr>
              <w:t xml:space="preserve"> </w:t>
            </w:r>
            <w:r w:rsidR="003634E8" w:rsidRPr="00A23740">
              <w:rPr>
                <w:rStyle w:val="MaviChar"/>
                <w:b w:val="0"/>
                <w:color w:val="000000"/>
                <w:lang w:val="tr-TR"/>
              </w:rPr>
              <w:t>ödeneceği hükme bağlanmaktadır. Bu işlemler yapıldıktan sonra malın tasfiyesinden elde edilen bedelden k</w:t>
            </w:r>
            <w:r w:rsidRPr="00A23740">
              <w:rPr>
                <w:rStyle w:val="MaviChar"/>
                <w:b w:val="0"/>
                <w:color w:val="000000"/>
                <w:lang w:val="tr-TR"/>
              </w:rPr>
              <w:t xml:space="preserve">alan </w:t>
            </w:r>
            <w:r w:rsidR="003634E8" w:rsidRPr="00A23740">
              <w:rPr>
                <w:rStyle w:val="MaviChar"/>
                <w:b w:val="0"/>
                <w:color w:val="000000"/>
                <w:lang w:val="tr-TR"/>
              </w:rPr>
              <w:t xml:space="preserve">bir </w:t>
            </w:r>
            <w:r w:rsidRPr="00A23740">
              <w:rPr>
                <w:rStyle w:val="MaviChar"/>
                <w:b w:val="0"/>
                <w:color w:val="000000"/>
                <w:lang w:val="tr-TR"/>
              </w:rPr>
              <w:t>tutar</w:t>
            </w:r>
            <w:r w:rsidR="003634E8" w:rsidRPr="00A23740">
              <w:rPr>
                <w:rStyle w:val="MaviChar"/>
                <w:b w:val="0"/>
                <w:color w:val="000000"/>
                <w:lang w:val="tr-TR"/>
              </w:rPr>
              <w:t>ın bulunması hâlinde bu tutarın, Kanunun</w:t>
            </w:r>
            <w:r w:rsidRPr="00A23740">
              <w:rPr>
                <w:rStyle w:val="MaviChar"/>
                <w:color w:val="000000"/>
                <w:lang w:val="tr-TR"/>
              </w:rPr>
              <w:t xml:space="preserve"> </w:t>
            </w:r>
            <w:r w:rsidR="00C62DA5" w:rsidRPr="00D60C1D">
              <w:rPr>
                <w:rStyle w:val="MaviChar"/>
                <w:b w:val="0"/>
                <w:color w:val="000000"/>
              </w:rPr>
              <w:t>11 inci</w:t>
            </w:r>
            <w:r w:rsidR="00C62DA5" w:rsidRPr="00A23740">
              <w:rPr>
                <w:rStyle w:val="MaviChar"/>
                <w:lang w:val="tr-TR"/>
              </w:rPr>
              <w:t xml:space="preserve"> </w:t>
            </w:r>
            <w:r w:rsidRPr="00A23740">
              <w:rPr>
                <w:rStyle w:val="MaviChar"/>
                <w:b w:val="0"/>
                <w:color w:val="000000"/>
                <w:lang w:val="tr-TR"/>
              </w:rPr>
              <w:t>madde</w:t>
            </w:r>
            <w:r w:rsidR="003634E8" w:rsidRPr="00A23740">
              <w:rPr>
                <w:rStyle w:val="MaviChar"/>
                <w:b w:val="0"/>
                <w:color w:val="000000"/>
                <w:lang w:val="tr-TR"/>
              </w:rPr>
              <w:t>si</w:t>
            </w:r>
            <w:r w:rsidRPr="00A23740">
              <w:rPr>
                <w:rStyle w:val="MaviChar"/>
                <w:b w:val="0"/>
                <w:color w:val="000000"/>
                <w:lang w:val="tr-TR"/>
              </w:rPr>
              <w:t xml:space="preserve"> uyarınca </w:t>
            </w:r>
            <w:r w:rsidR="003634E8" w:rsidRPr="00A23740">
              <w:rPr>
                <w:rStyle w:val="MaviChar"/>
                <w:b w:val="0"/>
                <w:color w:val="000000"/>
                <w:lang w:val="tr-TR"/>
              </w:rPr>
              <w:t xml:space="preserve">bankalarda nemalandırılmak suretiyle </w:t>
            </w:r>
            <w:r w:rsidRPr="00A23740">
              <w:rPr>
                <w:rStyle w:val="MaviChar"/>
                <w:b w:val="0"/>
                <w:color w:val="000000"/>
                <w:lang w:val="tr-TR"/>
              </w:rPr>
              <w:t>muhafaza edil</w:t>
            </w:r>
            <w:r w:rsidR="003634E8" w:rsidRPr="00A23740">
              <w:rPr>
                <w:rStyle w:val="MaviChar"/>
                <w:b w:val="0"/>
                <w:color w:val="000000"/>
                <w:lang w:val="tr-TR"/>
              </w:rPr>
              <w:t xml:space="preserve">eceği ve </w:t>
            </w:r>
            <w:r w:rsidRPr="00A23740">
              <w:rPr>
                <w:rStyle w:val="MaviChar"/>
                <w:b w:val="0"/>
                <w:color w:val="000000"/>
                <w:lang w:val="tr-TR"/>
              </w:rPr>
              <w:t xml:space="preserve">talep hâlinde </w:t>
            </w:r>
            <w:r w:rsidR="00624A27" w:rsidRPr="00D60C1D">
              <w:rPr>
                <w:rStyle w:val="MaviChar"/>
                <w:b w:val="0"/>
                <w:color w:val="000000"/>
                <w:lang w:val="tr-TR"/>
              </w:rPr>
              <w:t>de</w:t>
            </w:r>
            <w:r w:rsidR="00624A27" w:rsidRPr="00A23740">
              <w:rPr>
                <w:rStyle w:val="MaviChar"/>
                <w:b w:val="0"/>
                <w:color w:val="385623"/>
                <w:lang w:val="tr-TR"/>
              </w:rPr>
              <w:t xml:space="preserve"> </w:t>
            </w:r>
            <w:r w:rsidRPr="00A23740">
              <w:rPr>
                <w:rStyle w:val="MaviChar"/>
                <w:b w:val="0"/>
                <w:color w:val="000000"/>
                <w:lang w:val="tr-TR"/>
              </w:rPr>
              <w:t>nemalarıyla birlikte hak sahiplerine öden</w:t>
            </w:r>
            <w:r w:rsidR="003634E8" w:rsidRPr="00A23740">
              <w:rPr>
                <w:rStyle w:val="MaviChar"/>
                <w:b w:val="0"/>
                <w:color w:val="000000"/>
                <w:lang w:val="tr-TR"/>
              </w:rPr>
              <w:t xml:space="preserve">eceği </w:t>
            </w:r>
            <w:r w:rsidR="00692A92" w:rsidRPr="00A23740">
              <w:rPr>
                <w:rStyle w:val="MaviChar"/>
                <w:b w:val="0"/>
                <w:color w:val="000000"/>
                <w:lang w:val="tr-TR"/>
              </w:rPr>
              <w:t xml:space="preserve"> açıklanmaktadır</w:t>
            </w:r>
            <w:r w:rsidR="003634E8" w:rsidRPr="00A23740">
              <w:rPr>
                <w:rStyle w:val="MaviChar"/>
                <w:b w:val="0"/>
                <w:color w:val="000000"/>
                <w:lang w:val="tr-TR"/>
              </w:rPr>
              <w:t>.</w:t>
            </w:r>
          </w:p>
          <w:p w:rsidR="008A1756" w:rsidRPr="00A23740" w:rsidRDefault="003634E8" w:rsidP="009431FF">
            <w:pPr>
              <w:ind w:firstLine="709"/>
              <w:rPr>
                <w:rStyle w:val="MaviChar"/>
                <w:b w:val="0"/>
                <w:color w:val="000000"/>
                <w:lang w:val="tr-TR"/>
              </w:rPr>
            </w:pPr>
            <w:r w:rsidRPr="00A23740">
              <w:rPr>
                <w:rStyle w:val="MaviChar"/>
                <w:b w:val="0"/>
                <w:color w:val="000000"/>
                <w:lang w:val="tr-TR"/>
              </w:rPr>
              <w:t xml:space="preserve">Üçüncü fıkrayla, tasfiye sonucu elde edilen </w:t>
            </w:r>
            <w:r w:rsidR="00AA2641" w:rsidRPr="00A23740">
              <w:rPr>
                <w:rStyle w:val="MaviChar"/>
                <w:b w:val="0"/>
                <w:color w:val="000000"/>
                <w:lang w:val="tr-TR"/>
              </w:rPr>
              <w:t xml:space="preserve">tutarın, Adalet Bakanlığı bütçesinden yapılan gideri karşılayamaması hâlinde </w:t>
            </w:r>
            <w:r w:rsidR="008A1756" w:rsidRPr="00A23740">
              <w:rPr>
                <w:rStyle w:val="MaviChar"/>
                <w:b w:val="0"/>
                <w:color w:val="000000"/>
                <w:lang w:val="tr-TR"/>
              </w:rPr>
              <w:t>icra ve iflas dairesinin</w:t>
            </w:r>
            <w:r w:rsidRPr="00A23740">
              <w:rPr>
                <w:rStyle w:val="MaviChar"/>
                <w:b w:val="0"/>
                <w:color w:val="000000"/>
                <w:lang w:val="tr-TR"/>
              </w:rPr>
              <w:t>, bakiye giderin tahsili amacıyla</w:t>
            </w:r>
            <w:r w:rsidR="008A1756" w:rsidRPr="00A23740">
              <w:rPr>
                <w:rStyle w:val="MaviChar"/>
                <w:b w:val="0"/>
                <w:color w:val="000000"/>
                <w:lang w:val="tr-TR"/>
              </w:rPr>
              <w:t xml:space="preserve"> tahsil dairesine</w:t>
            </w:r>
            <w:r w:rsidRPr="00A23740">
              <w:rPr>
                <w:rStyle w:val="MaviChar"/>
                <w:b w:val="0"/>
                <w:color w:val="000000"/>
                <w:lang w:val="tr-TR"/>
              </w:rPr>
              <w:t xml:space="preserve"> </w:t>
            </w:r>
            <w:r w:rsidR="00AA2641" w:rsidRPr="00A23740">
              <w:rPr>
                <w:rStyle w:val="MaviChar"/>
                <w:b w:val="0"/>
                <w:color w:val="000000"/>
                <w:lang w:val="tr-TR"/>
              </w:rPr>
              <w:t>bildirimde bulun</w:t>
            </w:r>
            <w:r w:rsidR="008A1756" w:rsidRPr="00A23740">
              <w:rPr>
                <w:rStyle w:val="MaviChar"/>
                <w:b w:val="0"/>
                <w:color w:val="000000"/>
                <w:lang w:val="tr-TR"/>
              </w:rPr>
              <w:t>a</w:t>
            </w:r>
            <w:r w:rsidRPr="00A23740">
              <w:rPr>
                <w:rStyle w:val="MaviChar"/>
                <w:b w:val="0"/>
                <w:color w:val="000000"/>
                <w:lang w:val="tr-TR"/>
              </w:rPr>
              <w:t>cağı düzenlenmektedir.</w:t>
            </w:r>
          </w:p>
          <w:p w:rsidR="00B13974" w:rsidRPr="00A23740" w:rsidRDefault="00B13974" w:rsidP="007136A5">
            <w:pPr>
              <w:ind w:firstLine="709"/>
              <w:rPr>
                <w:color w:val="000000"/>
                <w:lang w:eastAsia="tr-TR"/>
              </w:rPr>
            </w:pPr>
          </w:p>
        </w:tc>
      </w:tr>
      <w:tr w:rsidR="008D0E3A" w:rsidRPr="00A23740" w:rsidTr="009431FF">
        <w:tblPrEx>
          <w:tblLook w:val="01E0" w:firstRow="1" w:lastRow="1" w:firstColumn="1" w:lastColumn="1" w:noHBand="0" w:noVBand="0"/>
        </w:tblPrEx>
        <w:tc>
          <w:tcPr>
            <w:tcW w:w="2500" w:type="pct"/>
          </w:tcPr>
          <w:p w:rsidR="008D0E3A" w:rsidRPr="00A23740" w:rsidRDefault="008D0E3A" w:rsidP="009431FF">
            <w:pPr>
              <w:pStyle w:val="KIRMIZI"/>
            </w:pPr>
            <w:r w:rsidRPr="00A23740">
              <w:t>Muhafazasına gerek kalmayan malların tasfiyesi</w:t>
            </w:r>
            <w:r w:rsidRPr="00A23740">
              <w:rPr>
                <w:rStyle w:val="KIRMIZIChar"/>
                <w:rFonts w:eastAsia="Calibri"/>
                <w:lang w:eastAsia="tr-TR"/>
              </w:rPr>
              <w:t>:</w:t>
            </w:r>
          </w:p>
          <w:p w:rsidR="008D0E3A" w:rsidRPr="00A23740" w:rsidRDefault="008D0E3A" w:rsidP="009431FF">
            <w:pPr>
              <w:rPr>
                <w:rFonts w:eastAsia="Times New Roman"/>
                <w:color w:val="000000"/>
                <w:szCs w:val="24"/>
                <w:lang w:eastAsia="tr-TR"/>
              </w:rPr>
            </w:pPr>
            <w:r w:rsidRPr="00A23740">
              <w:rPr>
                <w:rFonts w:eastAsia="Times New Roman"/>
                <w:b/>
                <w:bCs/>
                <w:color w:val="000000"/>
                <w:szCs w:val="24"/>
                <w:lang w:eastAsia="tr-TR"/>
              </w:rPr>
              <w:t>Madde 88/a-</w:t>
            </w:r>
            <w:r w:rsidRPr="00A23740">
              <w:rPr>
                <w:rFonts w:eastAsia="Times New Roman"/>
                <w:color w:val="000000"/>
                <w:szCs w:val="24"/>
                <w:lang w:eastAsia="tr-TR"/>
              </w:rPr>
              <w:t> </w:t>
            </w:r>
            <w:r w:rsidRPr="00A23740">
              <w:rPr>
                <w:rFonts w:eastAsia="Times New Roman"/>
                <w:b/>
                <w:bCs/>
                <w:color w:val="000000"/>
                <w:szCs w:val="24"/>
                <w:lang w:eastAsia="tr-TR"/>
              </w:rPr>
              <w:t>(Ek:28/3/2023-7445/4 md.)</w:t>
            </w:r>
          </w:p>
          <w:p w:rsidR="008D0E3A" w:rsidRPr="00A23740" w:rsidRDefault="008D0E3A" w:rsidP="009431FF">
            <w:pPr>
              <w:rPr>
                <w:rStyle w:val="KIRMIZIChar"/>
                <w:rFonts w:eastAsia="Calibri"/>
                <w:b w:val="0"/>
                <w:bCs w:val="0"/>
                <w:strike w:val="0"/>
                <w:color w:val="000000"/>
                <w:lang w:eastAsia="tr-TR"/>
              </w:rPr>
            </w:pPr>
            <w:r w:rsidRPr="00A23740">
              <w:rPr>
                <w:rFonts w:eastAsia="Times New Roman"/>
                <w:color w:val="000000"/>
                <w:szCs w:val="24"/>
                <w:lang w:eastAsia="tr-TR"/>
              </w:rPr>
              <w:t>…</w:t>
            </w:r>
          </w:p>
          <w:p w:rsidR="008D0E3A" w:rsidRPr="00A23740" w:rsidRDefault="008D0E3A" w:rsidP="009431FF">
            <w:pPr>
              <w:rPr>
                <w:rFonts w:eastAsia="Times New Roman"/>
                <w:color w:val="000000"/>
                <w:szCs w:val="24"/>
                <w:lang w:eastAsia="tr-TR"/>
              </w:rPr>
            </w:pPr>
            <w:r w:rsidRPr="00A23740">
              <w:rPr>
                <w:rStyle w:val="KIRMIZIChar"/>
                <w:rFonts w:eastAsia="Calibri"/>
              </w:rPr>
              <w:t>(10)</w:t>
            </w:r>
            <w:r w:rsidRPr="00A23740">
              <w:rPr>
                <w:rFonts w:eastAsia="Times New Roman"/>
                <w:color w:val="000000"/>
                <w:szCs w:val="24"/>
                <w:lang w:eastAsia="tr-TR"/>
              </w:rPr>
              <w:t xml:space="preserve"> Tasfiye konusu malın vergi, ceza, prim gibi borçları, borçluya ait olup mülkiyet ilgiliye, tüm borç ve yüklerinden âri olarak geçer. Devir ve tescil işlemleri her türlü vergi, resim ve harçtan müstesnadır.</w:t>
            </w:r>
          </w:p>
          <w:p w:rsidR="008D0E3A" w:rsidRPr="00A23740" w:rsidRDefault="008D0E3A" w:rsidP="009431FF">
            <w:pPr>
              <w:rPr>
                <w:rFonts w:eastAsia="Times New Roman"/>
                <w:color w:val="000000"/>
                <w:szCs w:val="24"/>
                <w:lang w:eastAsia="tr-TR"/>
              </w:rPr>
            </w:pPr>
          </w:p>
          <w:p w:rsidR="005C022E" w:rsidRPr="00A23740" w:rsidRDefault="005C022E" w:rsidP="009431FF">
            <w:pPr>
              <w:rPr>
                <w:rFonts w:eastAsia="Times New Roman"/>
                <w:color w:val="000000"/>
                <w:szCs w:val="24"/>
                <w:lang w:eastAsia="tr-TR"/>
              </w:rPr>
            </w:pPr>
          </w:p>
          <w:p w:rsidR="008D0E3A" w:rsidRPr="00A23740" w:rsidRDefault="008D0E3A" w:rsidP="009431FF">
            <w:pPr>
              <w:rPr>
                <w:rFonts w:eastAsia="Times New Roman"/>
                <w:color w:val="000000"/>
                <w:szCs w:val="24"/>
                <w:lang w:eastAsia="tr-TR"/>
              </w:rPr>
            </w:pPr>
            <w:r w:rsidRPr="00A23740">
              <w:rPr>
                <w:rStyle w:val="KIRMIZIChar"/>
                <w:rFonts w:eastAsia="Calibri"/>
              </w:rPr>
              <w:t>(11)</w:t>
            </w:r>
            <w:r w:rsidRPr="00A23740">
              <w:rPr>
                <w:rFonts w:eastAsia="Times New Roman"/>
                <w:color w:val="000000"/>
                <w:szCs w:val="24"/>
                <w:lang w:eastAsia="tr-TR"/>
              </w:rPr>
              <w:t xml:space="preserve"> Devir işlemlerine karşı yedieminlik alacağına dayanılarak hapis hakkı kullanılamaz. Yedieminlik ücretinin varlığı, mülkiyetin devri ve buna ilişkin işlemlerin yapılmasına engel teşkil etmez.</w:t>
            </w:r>
          </w:p>
          <w:p w:rsidR="00B13974" w:rsidRPr="00A23740" w:rsidRDefault="00B13974" w:rsidP="009431FF">
            <w:pPr>
              <w:rPr>
                <w:rFonts w:eastAsia="Times New Roman"/>
                <w:strike/>
                <w:color w:val="000000"/>
                <w:szCs w:val="24"/>
                <w:lang w:eastAsia="tr-TR"/>
              </w:rPr>
            </w:pPr>
          </w:p>
          <w:p w:rsidR="00B13974" w:rsidRPr="00A23740" w:rsidRDefault="00B13974" w:rsidP="009431FF">
            <w:pPr>
              <w:rPr>
                <w:rFonts w:eastAsia="Times New Roman"/>
                <w:color w:val="000000"/>
                <w:szCs w:val="24"/>
                <w:lang w:eastAsia="tr-TR"/>
              </w:rPr>
            </w:pPr>
            <w:r w:rsidRPr="00A23740">
              <w:rPr>
                <w:rStyle w:val="KIRMIZIChar"/>
                <w:rFonts w:eastAsia="Calibri"/>
              </w:rPr>
              <w:t>(17)</w:t>
            </w:r>
            <w:r w:rsidRPr="00A23740">
              <w:rPr>
                <w:rFonts w:eastAsia="Times New Roman"/>
                <w:color w:val="000000"/>
                <w:szCs w:val="24"/>
                <w:lang w:eastAsia="tr-TR"/>
              </w:rPr>
              <w:t xml:space="preserve"> Bu </w:t>
            </w:r>
            <w:r w:rsidRPr="00A23740">
              <w:rPr>
                <w:rStyle w:val="KIRMIZIChar"/>
                <w:rFonts w:eastAsia="Calibri"/>
              </w:rPr>
              <w:t>maddenin</w:t>
            </w:r>
            <w:r w:rsidRPr="00A23740">
              <w:rPr>
                <w:rFonts w:eastAsia="Times New Roman"/>
                <w:color w:val="000000"/>
                <w:szCs w:val="24"/>
                <w:lang w:eastAsia="tr-TR"/>
              </w:rPr>
              <w:t xml:space="preserve"> uygulanmasına ilişkin usul ve esaslar, Adalet Bakanlığınca </w:t>
            </w:r>
            <w:r w:rsidRPr="00A23740">
              <w:rPr>
                <w:rStyle w:val="KIRMIZIChar"/>
                <w:rFonts w:eastAsia="Calibri"/>
              </w:rPr>
              <w:t>yürürlüğe konulan</w:t>
            </w:r>
            <w:r w:rsidRPr="00A23740">
              <w:rPr>
                <w:rFonts w:eastAsia="Times New Roman"/>
                <w:color w:val="000000"/>
                <w:szCs w:val="24"/>
                <w:lang w:eastAsia="tr-TR"/>
              </w:rPr>
              <w:t xml:space="preserve"> yönetmelikle belirlenir.</w:t>
            </w:r>
          </w:p>
          <w:p w:rsidR="00B13974" w:rsidRPr="00A23740" w:rsidRDefault="00B13974" w:rsidP="009431FF">
            <w:pPr>
              <w:pStyle w:val="KIRMIZI"/>
            </w:pPr>
          </w:p>
        </w:tc>
        <w:tc>
          <w:tcPr>
            <w:tcW w:w="2500" w:type="pct"/>
          </w:tcPr>
          <w:p w:rsidR="008D0E3A" w:rsidRPr="00A23740" w:rsidRDefault="008D0E3A" w:rsidP="009431FF">
            <w:pPr>
              <w:rPr>
                <w:rStyle w:val="MaviChar"/>
                <w:lang w:val="tr-TR"/>
              </w:rPr>
            </w:pPr>
          </w:p>
          <w:p w:rsidR="008D0E3A" w:rsidRPr="00A23740" w:rsidRDefault="008D0E3A" w:rsidP="009431FF">
            <w:pPr>
              <w:rPr>
                <w:rStyle w:val="MaviChar"/>
                <w:lang w:val="tr-TR"/>
              </w:rPr>
            </w:pPr>
          </w:p>
          <w:p w:rsidR="008D0E3A" w:rsidRPr="00A23740" w:rsidRDefault="008D0E3A" w:rsidP="009431FF">
            <w:pPr>
              <w:rPr>
                <w:rStyle w:val="MaviChar"/>
                <w:lang w:val="tr-TR"/>
              </w:rPr>
            </w:pPr>
            <w:r w:rsidRPr="00A23740">
              <w:rPr>
                <w:rStyle w:val="MaviChar"/>
                <w:lang w:val="tr-TR"/>
              </w:rPr>
              <w:t>Diğer hususlar</w:t>
            </w:r>
          </w:p>
          <w:p w:rsidR="008D0E3A" w:rsidRPr="00A23740" w:rsidRDefault="008D0E3A" w:rsidP="009431FF">
            <w:pPr>
              <w:rPr>
                <w:rFonts w:eastAsia="Times New Roman"/>
                <w:color w:val="000000"/>
                <w:szCs w:val="24"/>
                <w:lang w:eastAsia="tr-TR"/>
              </w:rPr>
            </w:pPr>
            <w:r w:rsidRPr="00A23740">
              <w:rPr>
                <w:rStyle w:val="MaviChar"/>
                <w:lang w:val="tr-TR"/>
              </w:rPr>
              <w:t xml:space="preserve">MADDE 187- </w:t>
            </w:r>
            <w:r w:rsidRPr="00A23740">
              <w:rPr>
                <w:rStyle w:val="MaviChar"/>
              </w:rPr>
              <w:t>(1)</w:t>
            </w:r>
            <w:r w:rsidRPr="00A23740">
              <w:rPr>
                <w:rFonts w:eastAsia="Times New Roman"/>
                <w:color w:val="000000"/>
                <w:szCs w:val="24"/>
                <w:lang w:eastAsia="tr-TR"/>
              </w:rPr>
              <w:t xml:space="preserve"> Tasfiye konusu malın vergi, ceza, prim gibi borçları, borçluya ait olup mülkiyet ilgiliye, tüm borç ve yüklerinden âri olarak geçer. Devir ve tescil işlemleri her türlü vergi, resim ve harçtan müstesnadır.</w:t>
            </w:r>
          </w:p>
          <w:p w:rsidR="008D0E3A" w:rsidRPr="00A23740" w:rsidRDefault="008D0E3A" w:rsidP="009431FF">
            <w:pPr>
              <w:rPr>
                <w:rFonts w:eastAsia="Times New Roman"/>
                <w:color w:val="000000"/>
                <w:szCs w:val="24"/>
                <w:lang w:eastAsia="tr-TR"/>
              </w:rPr>
            </w:pPr>
          </w:p>
          <w:p w:rsidR="008D0E3A" w:rsidRPr="00A23740" w:rsidRDefault="008D0E3A" w:rsidP="009431FF">
            <w:pPr>
              <w:rPr>
                <w:rFonts w:eastAsia="Times New Roman"/>
                <w:color w:val="000000"/>
                <w:szCs w:val="24"/>
                <w:lang w:eastAsia="tr-TR"/>
              </w:rPr>
            </w:pPr>
            <w:r w:rsidRPr="00A23740">
              <w:rPr>
                <w:rStyle w:val="MaviChar"/>
              </w:rPr>
              <w:t>(2)</w:t>
            </w:r>
            <w:r w:rsidRPr="00A23740">
              <w:rPr>
                <w:rFonts w:eastAsia="Times New Roman"/>
                <w:color w:val="000000"/>
                <w:szCs w:val="24"/>
                <w:lang w:eastAsia="tr-TR"/>
              </w:rPr>
              <w:t xml:space="preserve"> Devir işlemlerine karşı yedieminlik alacağına dayanılarak hapis hakkı kullanılamaz. Yedieminlik ücretinin varlığı, mülkiyetin devri ve buna ilişkin işlemlerin yapılmasına engel teşkil etmez.</w:t>
            </w:r>
          </w:p>
          <w:p w:rsidR="00B13974" w:rsidRPr="00A23740" w:rsidRDefault="00B13974" w:rsidP="009431FF">
            <w:pPr>
              <w:rPr>
                <w:rFonts w:eastAsia="Times New Roman"/>
                <w:color w:val="000000"/>
                <w:szCs w:val="24"/>
                <w:lang w:eastAsia="tr-TR"/>
              </w:rPr>
            </w:pPr>
          </w:p>
          <w:p w:rsidR="00B13974" w:rsidRPr="00A23740" w:rsidRDefault="00B13974" w:rsidP="009431FF">
            <w:pPr>
              <w:rPr>
                <w:rFonts w:eastAsia="Times New Roman"/>
                <w:color w:val="000000"/>
                <w:szCs w:val="24"/>
                <w:lang w:eastAsia="tr-TR"/>
              </w:rPr>
            </w:pPr>
            <w:r w:rsidRPr="00A23740">
              <w:rPr>
                <w:rStyle w:val="MaviChar"/>
              </w:rPr>
              <w:t>(3)</w:t>
            </w:r>
            <w:r w:rsidRPr="00A23740">
              <w:rPr>
                <w:rFonts w:eastAsia="Times New Roman"/>
                <w:color w:val="000000"/>
                <w:szCs w:val="24"/>
                <w:lang w:eastAsia="tr-TR"/>
              </w:rPr>
              <w:t xml:space="preserve"> Bu </w:t>
            </w:r>
            <w:r w:rsidRPr="00A23740">
              <w:rPr>
                <w:rStyle w:val="Balk1Char"/>
                <w:rFonts w:eastAsia="Calibri"/>
              </w:rPr>
              <w:t>alt ayrımın</w:t>
            </w:r>
            <w:r w:rsidRPr="00A23740">
              <w:rPr>
                <w:rFonts w:eastAsia="Times New Roman"/>
                <w:color w:val="000000"/>
                <w:szCs w:val="24"/>
                <w:lang w:eastAsia="tr-TR"/>
              </w:rPr>
              <w:t xml:space="preserve"> uygulanmasına ilişkin usul ve esaslar, Adalet Bakanlığınca </w:t>
            </w:r>
            <w:r w:rsidRPr="00A23740">
              <w:rPr>
                <w:rStyle w:val="MaviChar"/>
              </w:rPr>
              <w:t>çıkarılacak</w:t>
            </w:r>
            <w:r w:rsidRPr="00A23740">
              <w:rPr>
                <w:rFonts w:eastAsia="Times New Roman"/>
                <w:color w:val="000000"/>
                <w:szCs w:val="24"/>
                <w:lang w:eastAsia="tr-TR"/>
              </w:rPr>
              <w:t xml:space="preserve"> yönetmelikle belirlenir.</w:t>
            </w:r>
          </w:p>
          <w:p w:rsidR="008D0E3A" w:rsidRPr="00A23740" w:rsidRDefault="008D0E3A" w:rsidP="009431FF">
            <w:pPr>
              <w:rPr>
                <w:rStyle w:val="MaviChar"/>
                <w:lang w:val="tr-TR"/>
              </w:rPr>
            </w:pPr>
          </w:p>
        </w:tc>
      </w:tr>
      <w:tr w:rsidR="00B13974" w:rsidRPr="00A23740" w:rsidTr="009431FF">
        <w:tblPrEx>
          <w:tblLook w:val="01E0" w:firstRow="1" w:lastRow="1" w:firstColumn="1" w:lastColumn="1" w:noHBand="0" w:noVBand="0"/>
        </w:tblPrEx>
        <w:tc>
          <w:tcPr>
            <w:tcW w:w="5000" w:type="pct"/>
            <w:gridSpan w:val="2"/>
            <w:shd w:val="clear" w:color="auto" w:fill="DEEAF6"/>
          </w:tcPr>
          <w:p w:rsidR="004B7513" w:rsidRPr="00A23740" w:rsidRDefault="004B7513" w:rsidP="009431FF">
            <w:pPr>
              <w:pStyle w:val="Balk1"/>
              <w:ind w:firstLine="709"/>
              <w:jc w:val="both"/>
              <w:rPr>
                <w:color w:val="000000"/>
                <w:lang w:val="tr-TR" w:eastAsia="tr-TR"/>
              </w:rPr>
            </w:pPr>
          </w:p>
          <w:p w:rsidR="008A1756" w:rsidRPr="00A23740" w:rsidRDefault="00B13974" w:rsidP="009431FF">
            <w:pPr>
              <w:pStyle w:val="Balk1"/>
              <w:ind w:firstLine="709"/>
              <w:jc w:val="both"/>
              <w:rPr>
                <w:b w:val="0"/>
                <w:color w:val="000000"/>
                <w:lang w:val="tr-TR" w:eastAsia="tr-TR"/>
              </w:rPr>
            </w:pPr>
            <w:r w:rsidRPr="00A23740">
              <w:rPr>
                <w:color w:val="000000"/>
                <w:lang w:val="tr-TR" w:eastAsia="tr-TR"/>
              </w:rPr>
              <w:t xml:space="preserve">MADDE 187- </w:t>
            </w:r>
            <w:r w:rsidR="008A1756" w:rsidRPr="00A23740">
              <w:rPr>
                <w:b w:val="0"/>
                <w:color w:val="000000"/>
                <w:lang w:val="tr-TR" w:eastAsia="tr-TR"/>
              </w:rPr>
              <w:t>Maddeyle, muhafazasına gerek kalmayan malların tasfiyesine ilişkin diğer hususlar düzenlenmektedir. Hüküm, 2004 sayılı Kanunun 88/a maddesinin onuncu, onbirinci ve onyedinci fıkralarına karşılık gelmektedir.</w:t>
            </w:r>
          </w:p>
          <w:p w:rsidR="008A1756" w:rsidRPr="00A23740" w:rsidRDefault="008A1756" w:rsidP="009431FF">
            <w:pPr>
              <w:pStyle w:val="Balk1"/>
              <w:ind w:firstLine="709"/>
              <w:jc w:val="both"/>
              <w:rPr>
                <w:b w:val="0"/>
                <w:color w:val="000000"/>
                <w:lang w:val="tr-TR" w:eastAsia="tr-TR"/>
              </w:rPr>
            </w:pPr>
            <w:r w:rsidRPr="00A23740">
              <w:rPr>
                <w:b w:val="0"/>
                <w:color w:val="000000"/>
                <w:lang w:val="tr-TR" w:eastAsia="tr-TR"/>
              </w:rPr>
              <w:t xml:space="preserve">Birinci fıkrada, </w:t>
            </w:r>
            <w:r w:rsidRPr="00A23740">
              <w:rPr>
                <w:b w:val="0"/>
                <w:color w:val="000000"/>
                <w:szCs w:val="24"/>
                <w:lang w:val="tr-TR" w:eastAsia="tr-TR"/>
              </w:rPr>
              <w:t>tasfiye konusu malın vergi, ceza, prim gibi borçlarının borçluya ait olduğu ve mülkiyetin ilgiliye, tüm borç ve yüklerinden âri olarak geçeceği; devir ve tescil işlemlerinin her türlü vergi, resim ve harçtan müstesna olduğu hükme bağlanmaktadır.</w:t>
            </w:r>
          </w:p>
          <w:p w:rsidR="008A1756" w:rsidRPr="00A23740" w:rsidRDefault="008A1756" w:rsidP="009431FF">
            <w:pPr>
              <w:ind w:firstLine="709"/>
              <w:rPr>
                <w:rFonts w:eastAsia="Times New Roman"/>
                <w:color w:val="000000"/>
                <w:szCs w:val="24"/>
                <w:lang w:eastAsia="tr-TR"/>
              </w:rPr>
            </w:pPr>
            <w:r w:rsidRPr="00A23740">
              <w:rPr>
                <w:rFonts w:eastAsia="Times New Roman"/>
                <w:color w:val="000000"/>
                <w:szCs w:val="24"/>
                <w:lang w:eastAsia="tr-TR"/>
              </w:rPr>
              <w:t xml:space="preserve">İkinci fıkrayla, devir işlemlerine karşı yedieminlik alacağına dayanılarak hapis hakkının kullanılamayacağı, yedieminlik ücretinin varlığının mülkiyetin devri ve buna ilişkin işlemlerin yapılmasına engel teşkil etmeyeceği belirtilmektedir. </w:t>
            </w:r>
          </w:p>
          <w:p w:rsidR="008A1756" w:rsidRPr="00A23740" w:rsidRDefault="008A1756" w:rsidP="009431FF">
            <w:pPr>
              <w:ind w:firstLine="709"/>
              <w:rPr>
                <w:rFonts w:eastAsia="Times New Roman"/>
                <w:b/>
                <w:color w:val="000000"/>
                <w:szCs w:val="24"/>
                <w:lang w:eastAsia="tr-TR"/>
              </w:rPr>
            </w:pPr>
            <w:r w:rsidRPr="00A23740">
              <w:rPr>
                <w:rFonts w:eastAsia="Times New Roman"/>
                <w:color w:val="000000"/>
                <w:szCs w:val="24"/>
                <w:lang w:eastAsia="tr-TR"/>
              </w:rPr>
              <w:t>Üçüncü fıkrada Adalet Bakanlığın</w:t>
            </w:r>
            <w:r w:rsidR="00692A92" w:rsidRPr="00A23740">
              <w:rPr>
                <w:rFonts w:eastAsia="Times New Roman"/>
                <w:color w:val="000000"/>
                <w:szCs w:val="24"/>
                <w:lang w:eastAsia="tr-TR"/>
              </w:rPr>
              <w:t>a konu hakkında</w:t>
            </w:r>
            <w:r w:rsidRPr="00A23740">
              <w:rPr>
                <w:rFonts w:eastAsia="Times New Roman"/>
                <w:color w:val="000000"/>
                <w:szCs w:val="24"/>
                <w:lang w:eastAsia="tr-TR"/>
              </w:rPr>
              <w:t xml:space="preserve"> yönetmelik çıkarma yetkisi</w:t>
            </w:r>
            <w:r w:rsidR="00692A92" w:rsidRPr="00A23740">
              <w:rPr>
                <w:rFonts w:eastAsia="Times New Roman"/>
                <w:color w:val="000000"/>
                <w:szCs w:val="24"/>
                <w:lang w:eastAsia="tr-TR"/>
              </w:rPr>
              <w:t xml:space="preserve"> verilmektedir</w:t>
            </w:r>
            <w:r w:rsidRPr="00A23740">
              <w:rPr>
                <w:rFonts w:eastAsia="Times New Roman"/>
                <w:color w:val="000000"/>
                <w:szCs w:val="24"/>
                <w:lang w:eastAsia="tr-TR"/>
              </w:rPr>
              <w:t>.</w:t>
            </w:r>
          </w:p>
          <w:p w:rsidR="00B13974" w:rsidRPr="00A23740" w:rsidRDefault="00B13974" w:rsidP="009431FF">
            <w:pPr>
              <w:ind w:firstLine="709"/>
              <w:rPr>
                <w:color w:val="000000"/>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vertAlign w:val="superscript"/>
                <w:lang w:eastAsia="tr-TR"/>
              </w:rPr>
            </w:pPr>
            <w:r w:rsidRPr="00A23740">
              <w:rPr>
                <w:rFonts w:eastAsia="Times New Roman"/>
                <w:szCs w:val="24"/>
                <w:lang w:eastAsia="tr-TR"/>
              </w:rPr>
              <w:t>4 – Taşınmazlar hakkında</w:t>
            </w:r>
            <w:r w:rsidRPr="00A23740">
              <w:rPr>
                <w:rFonts w:eastAsia="ヒラギノ明朝 Pro W3"/>
                <w:b/>
                <w:strike/>
                <w:color w:val="FF0000"/>
                <w:szCs w:val="24"/>
              </w:rPr>
              <w:t xml:space="preserve"> :</w:t>
            </w:r>
            <w:r w:rsidRPr="00A23740">
              <w:rPr>
                <w:rFonts w:eastAsia="Times New Roman"/>
                <w:szCs w:val="24"/>
                <w:lang w:eastAsia="tr-TR"/>
              </w:rPr>
              <w:t xml:space="preserve"> </w:t>
            </w:r>
          </w:p>
          <w:p w:rsidR="00AA5C8C" w:rsidRPr="00A23740" w:rsidRDefault="00AA5C8C" w:rsidP="009431FF">
            <w:pPr>
              <w:tabs>
                <w:tab w:val="left" w:pos="567"/>
              </w:tabs>
              <w:rPr>
                <w:rFonts w:eastAsia="ヒラギノ明朝 Pro W3"/>
                <w:b/>
                <w:strike/>
                <w:color w:val="FF0000"/>
                <w:szCs w:val="24"/>
              </w:rPr>
            </w:pPr>
            <w:r w:rsidRPr="00A23740">
              <w:rPr>
                <w:rStyle w:val="KIRMIZIChar"/>
                <w:rFonts w:eastAsia="Calibri"/>
              </w:rPr>
              <w:t xml:space="preserve">Madde 91 – (1) </w:t>
            </w:r>
            <w:r w:rsidRPr="00A23740">
              <w:rPr>
                <w:rStyle w:val="KIRMIZIChar"/>
                <w:rFonts w:eastAsia="ヒラギノ明朝 Pro W3"/>
              </w:rPr>
              <w:t>(Değişik</w:t>
            </w:r>
            <w:r w:rsidRPr="00A23740">
              <w:rPr>
                <w:rFonts w:eastAsia="ヒラギノ明朝 Pro W3"/>
                <w:b/>
                <w:strike/>
                <w:color w:val="FF0000"/>
                <w:szCs w:val="24"/>
              </w:rPr>
              <w:t>: 18/2/1965 - 538/50 md.)</w:t>
            </w:r>
          </w:p>
          <w:p w:rsidR="00AA5C8C" w:rsidRPr="00A23740" w:rsidRDefault="00AA5C8C" w:rsidP="009431FF">
            <w:pPr>
              <w:tabs>
                <w:tab w:val="left" w:pos="567"/>
              </w:tabs>
              <w:rPr>
                <w:rStyle w:val="KIRMIZIChar"/>
                <w:rFonts w:eastAsia="Calibri"/>
              </w:rPr>
            </w:pPr>
            <w:r w:rsidRPr="00A23740">
              <w:rPr>
                <w:rFonts w:eastAsia="ヒラギノ明朝 Pro W3"/>
                <w:b/>
                <w:strike/>
                <w:color w:val="FF0000"/>
                <w:szCs w:val="24"/>
              </w:rPr>
              <w:t>(Değişik: 9/11/1988 - 3494/10 md.)</w:t>
            </w:r>
            <w:r w:rsidRPr="00A23740">
              <w:rPr>
                <w:rFonts w:eastAsia="Times New Roman"/>
                <w:szCs w:val="24"/>
                <w:lang w:eastAsia="tr-TR"/>
              </w:rPr>
              <w:t xml:space="preserve"> Taşınmazın haczi </w:t>
            </w:r>
            <w:r w:rsidRPr="00A23740">
              <w:rPr>
                <w:rStyle w:val="KIRMIZIChar"/>
                <w:rFonts w:eastAsia="Calibri"/>
              </w:rPr>
              <w:t>ile</w:t>
            </w:r>
            <w:r w:rsidRPr="00A23740">
              <w:rPr>
                <w:rFonts w:eastAsia="Times New Roman"/>
                <w:szCs w:val="24"/>
                <w:lang w:eastAsia="tr-TR"/>
              </w:rPr>
              <w:t xml:space="preserve"> tasarruf hakkı Medeni Kanunun </w:t>
            </w:r>
            <w:r w:rsidRPr="00A23740">
              <w:rPr>
                <w:rStyle w:val="KIRMIZIChar"/>
                <w:rFonts w:eastAsia="ヒラギノ明朝 Pro W3"/>
              </w:rPr>
              <w:t>920</w:t>
            </w:r>
            <w:r w:rsidRPr="00A23740">
              <w:rPr>
                <w:rStyle w:val="KIRMIZIChar"/>
                <w:rFonts w:eastAsia="Calibri"/>
              </w:rPr>
              <w:t xml:space="preserve"> nci</w:t>
            </w:r>
            <w:r w:rsidRPr="00A23740">
              <w:rPr>
                <w:rFonts w:eastAsia="Times New Roman"/>
                <w:szCs w:val="24"/>
                <w:lang w:eastAsia="tr-TR"/>
              </w:rPr>
              <w:t xml:space="preserve"> maddesi anlamında </w:t>
            </w:r>
            <w:r w:rsidRPr="00A23740">
              <w:rPr>
                <w:rStyle w:val="KIRMIZIChar"/>
                <w:rFonts w:eastAsia="ヒラギノ明朝 Pro W3"/>
              </w:rPr>
              <w:t>tahdide</w:t>
            </w:r>
            <w:r w:rsidRPr="00A23740">
              <w:rPr>
                <w:rStyle w:val="KIRMIZIChar"/>
                <w:rFonts w:eastAsia="Calibri"/>
              </w:rPr>
              <w:t xml:space="preserve"> uğrar.</w:t>
            </w:r>
            <w:r w:rsidRPr="00A23740">
              <w:rPr>
                <w:rFonts w:eastAsia="Times New Roman"/>
                <w:szCs w:val="24"/>
                <w:lang w:eastAsia="tr-TR"/>
              </w:rPr>
              <w:t xml:space="preserve"> Sicile </w:t>
            </w:r>
            <w:r w:rsidRPr="00A23740">
              <w:rPr>
                <w:rStyle w:val="KIRMIZIChar"/>
                <w:rFonts w:eastAsia="Calibri"/>
              </w:rPr>
              <w:t>kaydedilmek</w:t>
            </w:r>
            <w:r w:rsidRPr="00A23740">
              <w:rPr>
                <w:rFonts w:eastAsia="Times New Roman"/>
                <w:szCs w:val="24"/>
                <w:lang w:eastAsia="tr-TR"/>
              </w:rPr>
              <w:t xml:space="preserve"> üzere </w:t>
            </w:r>
            <w:r w:rsidRPr="00A23740">
              <w:rPr>
                <w:rStyle w:val="KIRMIZIChar"/>
                <w:rFonts w:eastAsia="Calibri"/>
              </w:rPr>
              <w:t>haciz keyfiyeti</w:t>
            </w:r>
            <w:r w:rsidRPr="00A23740">
              <w:rPr>
                <w:rFonts w:eastAsia="Times New Roman"/>
                <w:szCs w:val="24"/>
                <w:lang w:eastAsia="tr-TR"/>
              </w:rPr>
              <w:t xml:space="preserve">, ne miktar </w:t>
            </w:r>
            <w:r w:rsidRPr="00A23740">
              <w:rPr>
                <w:rFonts w:eastAsia="ヒラギノ明朝 Pro W3"/>
                <w:b/>
                <w:strike/>
                <w:color w:val="FF0000"/>
                <w:szCs w:val="24"/>
              </w:rPr>
              <w:t>meblağ</w:t>
            </w:r>
            <w:r w:rsidRPr="00A23740">
              <w:rPr>
                <w:rFonts w:eastAsia="Times New Roman"/>
                <w:szCs w:val="24"/>
                <w:lang w:eastAsia="tr-TR"/>
              </w:rPr>
              <w:t xml:space="preserve"> için yapıldığı ve alacaklının adı </w:t>
            </w:r>
            <w:r w:rsidRPr="00A23740">
              <w:rPr>
                <w:rStyle w:val="KIRMIZIChar"/>
                <w:rFonts w:eastAsia="Calibri"/>
              </w:rPr>
              <w:t>ile</w:t>
            </w:r>
            <w:r w:rsidRPr="00A23740">
              <w:rPr>
                <w:rFonts w:eastAsia="Times New Roman"/>
                <w:szCs w:val="24"/>
                <w:lang w:eastAsia="tr-TR"/>
              </w:rPr>
              <w:t xml:space="preserve"> tebliğe yarar adresi icra dairesi tarafından tapu </w:t>
            </w:r>
            <w:r w:rsidRPr="00A23740">
              <w:rPr>
                <w:rStyle w:val="KIRMIZIChar"/>
                <w:rFonts w:eastAsia="Calibri"/>
              </w:rPr>
              <w:t>siciline</w:t>
            </w:r>
            <w:r w:rsidRPr="00A23740">
              <w:rPr>
                <w:rFonts w:eastAsia="Times New Roman"/>
                <w:szCs w:val="24"/>
                <w:lang w:eastAsia="tr-TR"/>
              </w:rPr>
              <w:t xml:space="preserve"> bildiri</w:t>
            </w:r>
            <w:r w:rsidRPr="00A23740">
              <w:rPr>
                <w:rStyle w:val="KIRMIZIChar"/>
                <w:rFonts w:eastAsia="Calibri"/>
              </w:rPr>
              <w:t>li</w:t>
            </w:r>
            <w:r w:rsidRPr="00A23740">
              <w:rPr>
                <w:rFonts w:eastAsia="Times New Roman"/>
                <w:szCs w:val="24"/>
                <w:lang w:eastAsia="tr-TR"/>
              </w:rPr>
              <w:t xml:space="preserve">r. Adresi değişen alacaklı </w:t>
            </w:r>
            <w:r w:rsidRPr="00A23740">
              <w:rPr>
                <w:rStyle w:val="KIRMIZIChar"/>
                <w:rFonts w:eastAsia="Calibri"/>
              </w:rPr>
              <w:t>masrafını</w:t>
            </w:r>
            <w:r w:rsidRPr="00A23740">
              <w:rPr>
                <w:rFonts w:eastAsia="Times New Roman"/>
                <w:szCs w:val="24"/>
                <w:lang w:eastAsia="tr-TR"/>
              </w:rPr>
              <w:t xml:space="preserve"> vermek sureti </w:t>
            </w:r>
            <w:r w:rsidRPr="00A23740">
              <w:rPr>
                <w:rStyle w:val="KIRMIZIChar"/>
                <w:rFonts w:eastAsia="Calibri"/>
              </w:rPr>
              <w:t>ile</w:t>
            </w:r>
            <w:r w:rsidRPr="00A23740">
              <w:rPr>
                <w:rFonts w:eastAsia="Times New Roman"/>
                <w:szCs w:val="24"/>
                <w:lang w:eastAsia="tr-TR"/>
              </w:rPr>
              <w:t xml:space="preserve"> yeni adresinin </w:t>
            </w:r>
            <w:r w:rsidRPr="00A23740">
              <w:rPr>
                <w:rFonts w:eastAsia="Times New Roman"/>
                <w:bCs/>
                <w:lang w:eastAsia="tr-TR"/>
              </w:rPr>
              <w:t>tapu</w:t>
            </w:r>
            <w:r w:rsidRPr="00A23740">
              <w:rPr>
                <w:rStyle w:val="KIRMIZIChar"/>
                <w:rFonts w:eastAsia="Calibri"/>
              </w:rPr>
              <w:t>ya</w:t>
            </w:r>
            <w:r w:rsidRPr="00A23740">
              <w:rPr>
                <w:rFonts w:eastAsia="Times New Roman"/>
                <w:bCs/>
                <w:lang w:eastAsia="tr-TR"/>
              </w:rPr>
              <w:t xml:space="preserve"> bildirilmesini icra dairesinden isteme</w:t>
            </w:r>
            <w:r w:rsidRPr="00A23740">
              <w:rPr>
                <w:rStyle w:val="KIRMIZIChar"/>
                <w:rFonts w:eastAsia="Calibri"/>
              </w:rPr>
              <w:t>ye mecburdur.</w:t>
            </w:r>
            <w:r w:rsidRPr="00A23740">
              <w:rPr>
                <w:rFonts w:eastAsia="Times New Roman"/>
                <w:bCs/>
                <w:lang w:eastAsia="tr-TR"/>
              </w:rPr>
              <w:t xml:space="preserve">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ヒラギノ明朝 Pro W3"/>
                <w:b/>
                <w:strike/>
                <w:color w:val="FF0000"/>
                <w:szCs w:val="24"/>
              </w:rPr>
            </w:pPr>
            <w:r w:rsidRPr="00A23740">
              <w:rPr>
                <w:rStyle w:val="KIRMIZIChar"/>
                <w:rFonts w:eastAsia="Calibri"/>
              </w:rPr>
              <w:t>(2)</w:t>
            </w:r>
            <w:r w:rsidRPr="00A23740">
              <w:rPr>
                <w:rFonts w:eastAsia="Times New Roman"/>
                <w:szCs w:val="24"/>
                <w:lang w:eastAsia="tr-TR"/>
              </w:rPr>
              <w:t xml:space="preserve"> Hacze yeni alacaklılar iştirak eder veya haciz kalkarsa bu hususlar da tapu </w:t>
            </w:r>
            <w:r w:rsidRPr="00A23740">
              <w:rPr>
                <w:rFonts w:eastAsia="ヒラギノ明朝 Pro W3"/>
                <w:b/>
                <w:strike/>
                <w:color w:val="FF0000"/>
                <w:szCs w:val="24"/>
              </w:rPr>
              <w:t>siciline haber verilir.</w:t>
            </w:r>
          </w:p>
          <w:p w:rsidR="00AA5C8C" w:rsidRPr="00A23740" w:rsidRDefault="00AA5C8C" w:rsidP="009431FF">
            <w:pPr>
              <w:tabs>
                <w:tab w:val="left" w:pos="567"/>
              </w:tabs>
              <w:rPr>
                <w:rFonts w:eastAsia="Times New Roman"/>
                <w:szCs w:val="24"/>
                <w:vertAlign w:val="superscript"/>
                <w:lang w:eastAsia="tr-TR"/>
              </w:rPr>
            </w:pPr>
          </w:p>
          <w:p w:rsidR="00AA5C8C" w:rsidRDefault="00AA5C8C" w:rsidP="009431FF">
            <w:pPr>
              <w:tabs>
                <w:tab w:val="left" w:pos="567"/>
              </w:tabs>
              <w:rPr>
                <w:rFonts w:eastAsia="Times New Roman"/>
                <w:szCs w:val="24"/>
                <w:lang w:eastAsia="tr-TR"/>
              </w:rPr>
            </w:pPr>
            <w:r w:rsidRPr="00A23740">
              <w:rPr>
                <w:rStyle w:val="KIRMIZIChar"/>
                <w:rFonts w:eastAsia="Calibri"/>
              </w:rPr>
              <w:t>(3)</w:t>
            </w:r>
            <w:r w:rsidRPr="00A23740">
              <w:rPr>
                <w:rFonts w:eastAsia="ヒラギノ明朝 Pro W3"/>
                <w:b/>
                <w:strike/>
                <w:color w:val="FF0000"/>
                <w:szCs w:val="24"/>
              </w:rPr>
              <w:t xml:space="preserve"> (Ek fıkra: 17/7/2003-4949/</w:t>
            </w:r>
            <w:r w:rsidRPr="009A265C">
              <w:rPr>
                <w:rStyle w:val="KIRMIZIChar"/>
                <w:rFonts w:eastAsia="ヒラギノ明朝 Pro W3"/>
              </w:rPr>
              <w:t>23 md.)</w:t>
            </w:r>
            <w:r w:rsidRPr="009A265C">
              <w:rPr>
                <w:rStyle w:val="KIRMIZIChar"/>
                <w:rFonts w:eastAsia="Calibri"/>
              </w:rPr>
              <w:t xml:space="preserve"> Hacizli taşınmazın el değiştirmesi hâlinde 148/a maddesi uygulanır.</w:t>
            </w:r>
            <w:r w:rsidRPr="00A23740">
              <w:rPr>
                <w:rFonts w:eastAsia="Times New Roman"/>
                <w:szCs w:val="24"/>
                <w:lang w:eastAsia="tr-TR"/>
              </w:rPr>
              <w:t xml:space="preserve"> </w:t>
            </w:r>
          </w:p>
          <w:p w:rsidR="009A265C" w:rsidRPr="00A23740" w:rsidRDefault="009A265C" w:rsidP="009431FF">
            <w:pPr>
              <w:tabs>
                <w:tab w:val="left" w:pos="567"/>
              </w:tabs>
              <w:rPr>
                <w:rFonts w:eastAsia="Times New Roman"/>
                <w:szCs w:val="24"/>
                <w:lang w:eastAsia="tr-TR"/>
              </w:rPr>
            </w:pPr>
          </w:p>
        </w:tc>
        <w:tc>
          <w:tcPr>
            <w:tcW w:w="2500" w:type="pct"/>
          </w:tcPr>
          <w:p w:rsidR="00AA5C8C" w:rsidRPr="00A23740" w:rsidRDefault="0025794C" w:rsidP="009431FF">
            <w:pPr>
              <w:jc w:val="center"/>
              <w:rPr>
                <w:rFonts w:eastAsia="Times New Roman"/>
                <w:b/>
                <w:bCs/>
                <w:color w:val="0000FF"/>
                <w:szCs w:val="24"/>
                <w:lang w:eastAsia="tr-TR"/>
              </w:rPr>
            </w:pPr>
            <w:r w:rsidRPr="00D03F47">
              <w:rPr>
                <w:rStyle w:val="Balk1Char"/>
                <w:rFonts w:eastAsia="Calibri"/>
              </w:rPr>
              <w:t>ÜÇÜNCÜ</w:t>
            </w:r>
            <w:r w:rsidR="00AA5C8C" w:rsidRPr="00A23740">
              <w:rPr>
                <w:rFonts w:eastAsia="Times New Roman"/>
                <w:b/>
                <w:bCs/>
                <w:color w:val="0000FF"/>
                <w:szCs w:val="24"/>
                <w:lang w:eastAsia="tr-TR"/>
              </w:rPr>
              <w:t xml:space="preserve"> ALT AYRIM</w:t>
            </w: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Taşınmazlar Hakkında</w:t>
            </w: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Taşınmazlar</w:t>
            </w:r>
            <w:r w:rsidRPr="00A23740">
              <w:rPr>
                <w:rStyle w:val="MAVChar"/>
                <w:rFonts w:eastAsia="Calibri"/>
                <w:u w:val="none"/>
              </w:rPr>
              <w:t xml:space="preserve">ın muhafazası </w:t>
            </w:r>
          </w:p>
          <w:p w:rsidR="00AA5C8C" w:rsidRPr="00A23740" w:rsidRDefault="00AA5C8C" w:rsidP="009431FF">
            <w:pPr>
              <w:tabs>
                <w:tab w:val="left" w:pos="567"/>
              </w:tabs>
              <w:rPr>
                <w:rFonts w:eastAsia="Times New Roman"/>
                <w:szCs w:val="24"/>
                <w:lang w:eastAsia="tr-TR"/>
              </w:rPr>
            </w:pPr>
            <w:r w:rsidRPr="00A23740">
              <w:rPr>
                <w:rStyle w:val="MAVChar"/>
                <w:rFonts w:eastAsia="Calibri"/>
                <w:u w:val="none"/>
              </w:rPr>
              <w:t xml:space="preserve">MADDE </w:t>
            </w:r>
            <w:r w:rsidR="0025794C" w:rsidRPr="00A23740">
              <w:rPr>
                <w:rStyle w:val="Balk1Char"/>
                <w:rFonts w:eastAsia="ヒラギノ明朝 Pro W3"/>
              </w:rPr>
              <w:t>188</w:t>
            </w:r>
            <w:r w:rsidRPr="00A23740">
              <w:rPr>
                <w:rStyle w:val="MaviChar"/>
                <w:lang w:val="tr-TR"/>
              </w:rPr>
              <w:t>-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Taşınmazın haczi</w:t>
            </w:r>
            <w:r w:rsidRPr="00A23740">
              <w:rPr>
                <w:rStyle w:val="MaviChar"/>
              </w:rPr>
              <w:t>yle</w:t>
            </w:r>
            <w:r w:rsidRPr="00A23740">
              <w:rPr>
                <w:rFonts w:eastAsia="Times New Roman"/>
                <w:szCs w:val="24"/>
                <w:lang w:eastAsia="tr-TR"/>
              </w:rPr>
              <w:t xml:space="preserve"> </w:t>
            </w:r>
            <w:r w:rsidR="00CA1D60" w:rsidRPr="00D03F47">
              <w:rPr>
                <w:rStyle w:val="Balk1Char"/>
                <w:rFonts w:eastAsia="ヒラギノ明朝 Pro W3"/>
              </w:rPr>
              <w:t>birlikte</w:t>
            </w:r>
            <w:r w:rsidR="005801D8" w:rsidRPr="00D03F47">
              <w:rPr>
                <w:rStyle w:val="Balk1Char"/>
                <w:rFonts w:eastAsia="ヒラギノ明朝 Pro W3"/>
              </w:rPr>
              <w:t>, taşınmaz üzerindeki</w:t>
            </w:r>
            <w:r w:rsidR="00CA1D60" w:rsidRPr="00A23740">
              <w:rPr>
                <w:rFonts w:eastAsia="Times New Roman"/>
                <w:szCs w:val="24"/>
                <w:lang w:eastAsia="tr-TR"/>
              </w:rPr>
              <w:t xml:space="preserve"> </w:t>
            </w:r>
            <w:r w:rsidRPr="00A23740">
              <w:rPr>
                <w:rFonts w:eastAsia="Times New Roman"/>
                <w:szCs w:val="24"/>
                <w:lang w:eastAsia="tr-TR"/>
              </w:rPr>
              <w:t xml:space="preserve">tasarruf hakkı </w:t>
            </w:r>
            <w:r w:rsidRPr="00A23740">
              <w:rPr>
                <w:rFonts w:eastAsia="Times New Roman"/>
                <w:b/>
                <w:color w:val="0000FF"/>
                <w:szCs w:val="24"/>
                <w:lang w:eastAsia="tr-TR"/>
              </w:rPr>
              <w:t xml:space="preserve">Türk </w:t>
            </w:r>
            <w:r w:rsidRPr="00A23740">
              <w:rPr>
                <w:rFonts w:eastAsia="Times New Roman"/>
                <w:szCs w:val="24"/>
                <w:lang w:eastAsia="tr-TR"/>
              </w:rPr>
              <w:t>Medeni Kanunu</w:t>
            </w:r>
            <w:r w:rsidRPr="00A23740">
              <w:rPr>
                <w:rFonts w:eastAsia="Times New Roman"/>
                <w:b/>
                <w:color w:val="0000FF"/>
                <w:szCs w:val="24"/>
                <w:lang w:eastAsia="tr-TR"/>
              </w:rPr>
              <w:t>nun</w:t>
            </w:r>
            <w:r w:rsidRPr="00A23740">
              <w:rPr>
                <w:rFonts w:eastAsia="Times New Roman"/>
                <w:szCs w:val="24"/>
                <w:lang w:eastAsia="tr-TR"/>
              </w:rPr>
              <w:t xml:space="preserve"> </w:t>
            </w:r>
            <w:r w:rsidRPr="00A23740">
              <w:rPr>
                <w:rStyle w:val="MaviChar"/>
              </w:rPr>
              <w:t>1010 uncu</w:t>
            </w:r>
            <w:r w:rsidRPr="00A23740">
              <w:rPr>
                <w:rFonts w:eastAsia="Times New Roman"/>
                <w:szCs w:val="24"/>
                <w:lang w:eastAsia="tr-TR"/>
              </w:rPr>
              <w:t xml:space="preserve"> maddesi anlamında </w:t>
            </w:r>
            <w:r w:rsidRPr="00A23740">
              <w:rPr>
                <w:rFonts w:eastAsia="Times New Roman"/>
                <w:b/>
                <w:color w:val="0000FF"/>
                <w:szCs w:val="24"/>
                <w:lang w:eastAsia="tr-TR"/>
              </w:rPr>
              <w:t>kısıtlanır</w:t>
            </w:r>
            <w:r w:rsidRPr="00A23740">
              <w:rPr>
                <w:rFonts w:eastAsia="Times New Roman"/>
                <w:szCs w:val="24"/>
                <w:lang w:eastAsia="tr-TR"/>
              </w:rPr>
              <w:t xml:space="preserve">. </w:t>
            </w:r>
          </w:p>
          <w:p w:rsidR="00AA5C8C" w:rsidRPr="00A23740" w:rsidRDefault="00AA5C8C" w:rsidP="009431FF">
            <w:pPr>
              <w:tabs>
                <w:tab w:val="left" w:pos="567"/>
              </w:tabs>
              <w:rPr>
                <w:rFonts w:eastAsia="Times New Roman"/>
                <w:bCs/>
                <w:lang w:eastAsia="tr-TR"/>
              </w:rPr>
            </w:pPr>
          </w:p>
          <w:p w:rsidR="00AA5C8C" w:rsidRPr="00A23740" w:rsidRDefault="00AA5C8C" w:rsidP="009431FF">
            <w:pPr>
              <w:tabs>
                <w:tab w:val="left" w:pos="567"/>
              </w:tabs>
              <w:rPr>
                <w:rStyle w:val="KIRMIZIChar"/>
                <w:rFonts w:eastAsia="Calibri"/>
              </w:rPr>
            </w:pPr>
            <w:r w:rsidRPr="00A23740">
              <w:rPr>
                <w:rStyle w:val="MAVChar"/>
                <w:rFonts w:eastAsia="Calibri"/>
                <w:u w:val="none"/>
              </w:rPr>
              <w:t>(2)</w:t>
            </w:r>
            <w:r w:rsidRPr="00A23740">
              <w:rPr>
                <w:rFonts w:eastAsia="Times New Roman"/>
                <w:szCs w:val="24"/>
                <w:lang w:eastAsia="tr-TR"/>
              </w:rPr>
              <w:t xml:space="preserve"> </w:t>
            </w:r>
            <w:r w:rsidRPr="00A23740">
              <w:rPr>
                <w:rStyle w:val="MAVChar"/>
                <w:rFonts w:eastAsia="Calibri"/>
                <w:u w:val="none"/>
              </w:rPr>
              <w:t xml:space="preserve">İcra </w:t>
            </w:r>
            <w:r w:rsidRPr="00A23740">
              <w:rPr>
                <w:rStyle w:val="MaviChar"/>
              </w:rPr>
              <w:t>ve iflas</w:t>
            </w:r>
            <w:r w:rsidRPr="00A23740">
              <w:rPr>
                <w:rStyle w:val="MAVChar"/>
                <w:rFonts w:eastAsia="Calibri"/>
                <w:u w:val="none"/>
              </w:rPr>
              <w:t xml:space="preserve"> dairesi,</w:t>
            </w:r>
            <w:r w:rsidRPr="00A23740">
              <w:rPr>
                <w:rFonts w:eastAsia="Times New Roman"/>
                <w:szCs w:val="24"/>
                <w:lang w:eastAsia="tr-TR"/>
              </w:rPr>
              <w:t xml:space="preserve"> </w:t>
            </w:r>
            <w:r w:rsidRPr="00A23740">
              <w:rPr>
                <w:rStyle w:val="MaviChar"/>
              </w:rPr>
              <w:t>taşınmaz haczini</w:t>
            </w:r>
            <w:r w:rsidRPr="00A23740">
              <w:rPr>
                <w:rFonts w:eastAsia="Times New Roman"/>
                <w:szCs w:val="24"/>
                <w:lang w:eastAsia="tr-TR"/>
              </w:rPr>
              <w:t xml:space="preserve"> sicile </w:t>
            </w:r>
            <w:r w:rsidRPr="00A23740">
              <w:rPr>
                <w:rStyle w:val="MaviChar"/>
              </w:rPr>
              <w:t>şerh edilmek</w:t>
            </w:r>
            <w:r w:rsidRPr="00A23740">
              <w:rPr>
                <w:rFonts w:eastAsia="Times New Roman"/>
                <w:szCs w:val="24"/>
                <w:lang w:eastAsia="tr-TR"/>
              </w:rPr>
              <w:t xml:space="preserve"> üzere</w:t>
            </w:r>
            <w:r w:rsidRPr="00A23740">
              <w:rPr>
                <w:rStyle w:val="MAVChar"/>
                <w:rFonts w:eastAsia="Calibri"/>
                <w:u w:val="none"/>
              </w:rPr>
              <w:t xml:space="preserve"> </w:t>
            </w:r>
            <w:r w:rsidRPr="00A23740">
              <w:rPr>
                <w:rFonts w:eastAsia="Times New Roman"/>
                <w:szCs w:val="24"/>
                <w:lang w:eastAsia="tr-TR"/>
              </w:rPr>
              <w:t xml:space="preserve">tapu </w:t>
            </w:r>
            <w:r w:rsidRPr="00A23740">
              <w:rPr>
                <w:rStyle w:val="MAVChar"/>
                <w:rFonts w:eastAsia="Calibri"/>
                <w:u w:val="none"/>
              </w:rPr>
              <w:t>müdürlüğüne</w:t>
            </w:r>
            <w:r w:rsidRPr="00A23740">
              <w:rPr>
                <w:rFonts w:eastAsia="Times New Roman"/>
                <w:szCs w:val="24"/>
                <w:lang w:eastAsia="tr-TR"/>
              </w:rPr>
              <w:t xml:space="preserve"> bildiri</w:t>
            </w:r>
            <w:r w:rsidRPr="00A23740">
              <w:rPr>
                <w:rStyle w:val="MAVChar"/>
                <w:rFonts w:eastAsia="Calibri"/>
                <w:u w:val="none"/>
              </w:rPr>
              <w:t>r</w:t>
            </w:r>
            <w:r w:rsidRPr="00A23740">
              <w:rPr>
                <w:rFonts w:eastAsia="Times New Roman"/>
                <w:szCs w:val="24"/>
                <w:lang w:eastAsia="tr-TR"/>
              </w:rPr>
              <w:t xml:space="preserve">. </w:t>
            </w:r>
            <w:r w:rsidRPr="00A23740">
              <w:rPr>
                <w:rStyle w:val="MaviChar"/>
              </w:rPr>
              <w:t>Bu bildirimde haczin</w:t>
            </w:r>
            <w:r w:rsidRPr="00A23740">
              <w:rPr>
                <w:rFonts w:eastAsia="Times New Roman"/>
                <w:szCs w:val="24"/>
                <w:lang w:eastAsia="tr-TR"/>
              </w:rPr>
              <w:t xml:space="preserve"> ne miktar için yapıldığı</w:t>
            </w:r>
            <w:r w:rsidRPr="00A23740">
              <w:rPr>
                <w:rStyle w:val="MAVChar"/>
                <w:rFonts w:eastAsia="Calibri"/>
                <w:u w:val="none"/>
              </w:rPr>
              <w:t xml:space="preserve"> ve</w:t>
            </w:r>
            <w:r w:rsidRPr="00A23740">
              <w:rPr>
                <w:rFonts w:eastAsia="Times New Roman"/>
                <w:szCs w:val="24"/>
                <w:lang w:eastAsia="tr-TR"/>
              </w:rPr>
              <w:t xml:space="preserve"> alacaklının adı </w:t>
            </w:r>
            <w:r w:rsidRPr="00A23740">
              <w:rPr>
                <w:rStyle w:val="MAVChar"/>
                <w:rFonts w:eastAsia="Calibri"/>
                <w:u w:val="none"/>
              </w:rPr>
              <w:t>ile</w:t>
            </w:r>
            <w:r w:rsidRPr="00A23740">
              <w:rPr>
                <w:rFonts w:eastAsia="Times New Roman"/>
                <w:szCs w:val="24"/>
                <w:lang w:eastAsia="tr-TR"/>
              </w:rPr>
              <w:t xml:space="preserve"> tebliğe yarar adresi</w:t>
            </w:r>
            <w:r w:rsidRPr="00A23740">
              <w:rPr>
                <w:rStyle w:val="MAVChar"/>
                <w:rFonts w:eastAsia="Calibri"/>
                <w:u w:val="none"/>
              </w:rPr>
              <w:t xml:space="preserve"> gösterilir.</w:t>
            </w:r>
            <w:r w:rsidRPr="00A23740">
              <w:rPr>
                <w:rFonts w:eastAsia="Times New Roman"/>
                <w:szCs w:val="24"/>
                <w:lang w:eastAsia="tr-TR"/>
              </w:rPr>
              <w:t xml:space="preserve"> Adresi değişen alacaklı</w:t>
            </w:r>
            <w:r w:rsidRPr="00A23740">
              <w:rPr>
                <w:rStyle w:val="MaviChar"/>
              </w:rPr>
              <w:t>,</w:t>
            </w:r>
            <w:r w:rsidRPr="00A23740">
              <w:rPr>
                <w:rFonts w:eastAsia="Times New Roman"/>
                <w:szCs w:val="24"/>
                <w:lang w:eastAsia="tr-TR"/>
              </w:rPr>
              <w:t xml:space="preserve"> </w:t>
            </w:r>
            <w:r w:rsidRPr="00A23740">
              <w:rPr>
                <w:rStyle w:val="MaviChar"/>
              </w:rPr>
              <w:t>giderini</w:t>
            </w:r>
            <w:r w:rsidRPr="00A23740">
              <w:rPr>
                <w:rFonts w:eastAsia="Times New Roman"/>
                <w:szCs w:val="24"/>
                <w:lang w:eastAsia="tr-TR"/>
              </w:rPr>
              <w:t xml:space="preserve"> vermek sureti</w:t>
            </w:r>
            <w:r w:rsidRPr="00A23740">
              <w:rPr>
                <w:rStyle w:val="MaviChar"/>
              </w:rPr>
              <w:t>yle</w:t>
            </w:r>
            <w:r w:rsidRPr="00A23740">
              <w:rPr>
                <w:rFonts w:eastAsia="Times New Roman"/>
                <w:szCs w:val="24"/>
                <w:lang w:eastAsia="tr-TR"/>
              </w:rPr>
              <w:t xml:space="preserve"> yeni adresinin </w:t>
            </w:r>
            <w:r w:rsidRPr="00A23740">
              <w:rPr>
                <w:rFonts w:eastAsia="Times New Roman"/>
                <w:bCs/>
                <w:lang w:eastAsia="tr-TR"/>
              </w:rPr>
              <w:t xml:space="preserve">tapu </w:t>
            </w:r>
            <w:r w:rsidRPr="00A23740">
              <w:rPr>
                <w:rStyle w:val="MaviChar"/>
              </w:rPr>
              <w:t>müdürlüğüne</w:t>
            </w:r>
            <w:r w:rsidRPr="00A23740">
              <w:rPr>
                <w:rFonts w:eastAsia="Times New Roman"/>
                <w:bCs/>
                <w:lang w:eastAsia="tr-TR"/>
              </w:rPr>
              <w:t xml:space="preserve"> bildirilmesini icra </w:t>
            </w:r>
            <w:r w:rsidRPr="00A23740">
              <w:rPr>
                <w:rStyle w:val="MaviChar"/>
              </w:rPr>
              <w:t>ve iflas</w:t>
            </w:r>
            <w:r w:rsidRPr="00A23740">
              <w:rPr>
                <w:rFonts w:eastAsia="Times New Roman"/>
                <w:bCs/>
                <w:lang w:eastAsia="tr-TR"/>
              </w:rPr>
              <w:t xml:space="preserve"> dairesinden isteme</w:t>
            </w:r>
            <w:r w:rsidRPr="00A23740">
              <w:rPr>
                <w:rStyle w:val="MaviChar"/>
              </w:rPr>
              <w:t>k zorundadır.</w:t>
            </w:r>
            <w:r w:rsidRPr="00A23740">
              <w:rPr>
                <w:rFonts w:eastAsia="Times New Roman"/>
                <w:bCs/>
                <w:lang w:eastAsia="tr-TR"/>
              </w:rPr>
              <w:t xml:space="preserve">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 xml:space="preserve">(3) </w:t>
            </w:r>
            <w:r w:rsidRPr="00A23740">
              <w:rPr>
                <w:rFonts w:eastAsia="Times New Roman"/>
                <w:szCs w:val="24"/>
                <w:lang w:eastAsia="tr-TR"/>
              </w:rPr>
              <w:t>Hacze yeni alacaklılar iştirak eder veya haciz kalkarsa</w:t>
            </w:r>
            <w:r w:rsidR="005801D8" w:rsidRPr="00A23740">
              <w:rPr>
                <w:rFonts w:eastAsia="Times New Roman"/>
                <w:b/>
                <w:bCs/>
                <w:color w:val="385623"/>
                <w:szCs w:val="24"/>
                <w:lang w:eastAsia="tr-TR"/>
              </w:rPr>
              <w:t>,</w:t>
            </w:r>
            <w:r w:rsidRPr="00A23740">
              <w:rPr>
                <w:rFonts w:eastAsia="Times New Roman"/>
                <w:szCs w:val="24"/>
                <w:lang w:eastAsia="tr-TR"/>
              </w:rPr>
              <w:t xml:space="preserve"> bu hususlar da tapu </w:t>
            </w:r>
            <w:r w:rsidRPr="00A23740">
              <w:rPr>
                <w:rFonts w:eastAsia="Times New Roman"/>
                <w:b/>
                <w:color w:val="0000FF"/>
                <w:szCs w:val="24"/>
                <w:lang w:eastAsia="tr-TR"/>
              </w:rPr>
              <w:t>müdürlüğüne bildirilir.</w:t>
            </w:r>
          </w:p>
          <w:p w:rsidR="00AA5C8C" w:rsidRPr="00A23740" w:rsidRDefault="00AA5C8C" w:rsidP="009431FF">
            <w:pPr>
              <w:tabs>
                <w:tab w:val="left" w:pos="567"/>
              </w:tabs>
              <w:rPr>
                <w:rFonts w:eastAsia="Times New Roman"/>
                <w:szCs w:val="24"/>
                <w:vertAlign w:val="superscript"/>
                <w:lang w:eastAsia="tr-TR"/>
              </w:rPr>
            </w:pPr>
          </w:p>
          <w:p w:rsidR="00F306A7" w:rsidRPr="00A23740" w:rsidRDefault="00F306A7" w:rsidP="009431FF">
            <w:pPr>
              <w:tabs>
                <w:tab w:val="left" w:pos="567"/>
              </w:tabs>
              <w:rPr>
                <w:rFonts w:eastAsia="Times New Roman"/>
                <w:b/>
                <w:color w:val="FF0000"/>
                <w:szCs w:val="24"/>
                <w:lang w:eastAsia="tr-TR"/>
              </w:rPr>
            </w:pPr>
          </w:p>
        </w:tc>
      </w:tr>
      <w:tr w:rsidR="00B62391" w:rsidRPr="00A23740" w:rsidTr="009431FF">
        <w:tblPrEx>
          <w:tblLook w:val="01E0" w:firstRow="1" w:lastRow="1" w:firstColumn="1" w:lastColumn="1" w:noHBand="0" w:noVBand="0"/>
        </w:tblPrEx>
        <w:tc>
          <w:tcPr>
            <w:tcW w:w="5000" w:type="pct"/>
            <w:gridSpan w:val="2"/>
            <w:shd w:val="clear" w:color="auto" w:fill="DEEAF6"/>
          </w:tcPr>
          <w:p w:rsidR="00B62391" w:rsidRPr="00A23740" w:rsidRDefault="00B62391" w:rsidP="009431FF">
            <w:pPr>
              <w:ind w:firstLine="709"/>
              <w:rPr>
                <w:rFonts w:eastAsia="Times New Roman"/>
                <w:b/>
                <w:color w:val="000000"/>
                <w:szCs w:val="24"/>
                <w:lang w:eastAsia="tr-TR"/>
              </w:rPr>
            </w:pPr>
          </w:p>
          <w:p w:rsidR="008C6F8A" w:rsidRPr="00A23740" w:rsidRDefault="00442727" w:rsidP="009431FF">
            <w:pPr>
              <w:tabs>
                <w:tab w:val="left" w:pos="567"/>
              </w:tabs>
              <w:ind w:firstLine="709"/>
              <w:rPr>
                <w:rFonts w:eastAsia="Times New Roman"/>
                <w:szCs w:val="24"/>
                <w:lang w:eastAsia="tr-TR"/>
              </w:rPr>
            </w:pPr>
            <w:r w:rsidRPr="00A23740">
              <w:rPr>
                <w:rFonts w:eastAsia="Times New Roman"/>
                <w:b/>
                <w:szCs w:val="24"/>
                <w:lang w:eastAsia="tr-TR"/>
              </w:rPr>
              <w:t xml:space="preserve">MADDE </w:t>
            </w:r>
            <w:r w:rsidR="0025794C" w:rsidRPr="00A23740">
              <w:rPr>
                <w:rStyle w:val="YELChar"/>
                <w:color w:val="auto"/>
              </w:rPr>
              <w:t>188</w:t>
            </w:r>
            <w:r w:rsidR="0025794C" w:rsidRPr="00A23740">
              <w:rPr>
                <w:rFonts w:eastAsia="Times New Roman"/>
                <w:b/>
                <w:szCs w:val="24"/>
                <w:lang w:eastAsia="tr-TR"/>
              </w:rPr>
              <w:t>-</w:t>
            </w:r>
            <w:r w:rsidR="00203C51" w:rsidRPr="00A23740">
              <w:rPr>
                <w:rFonts w:eastAsia="Times New Roman"/>
                <w:szCs w:val="24"/>
                <w:lang w:eastAsia="tr-TR"/>
              </w:rPr>
              <w:t xml:space="preserve"> </w:t>
            </w:r>
            <w:r w:rsidR="008C6F8A" w:rsidRPr="00A23740">
              <w:rPr>
                <w:rFonts w:eastAsia="Times New Roman"/>
                <w:color w:val="000000"/>
                <w:szCs w:val="24"/>
                <w:lang w:eastAsia="tr-TR"/>
              </w:rPr>
              <w:t xml:space="preserve">Maddeyle, </w:t>
            </w:r>
            <w:r w:rsidR="008C6F8A" w:rsidRPr="00A23740">
              <w:rPr>
                <w:rFonts w:eastAsia="Times New Roman"/>
                <w:szCs w:val="24"/>
                <w:lang w:eastAsia="tr-TR"/>
              </w:rPr>
              <w:t xml:space="preserve">taşınmazların haczi ve haczin tapu müdürlüğüne bildirilmesi </w:t>
            </w:r>
            <w:r w:rsidR="005B4FB6" w:rsidRPr="00D60C1D">
              <w:rPr>
                <w:rStyle w:val="YELChar"/>
                <w:b w:val="0"/>
                <w:color w:val="000000"/>
              </w:rPr>
              <w:t>hususları düzenlenmektedir.</w:t>
            </w:r>
            <w:r w:rsidR="005B4FB6" w:rsidRPr="00A23740">
              <w:rPr>
                <w:rFonts w:eastAsia="Times New Roman"/>
                <w:szCs w:val="24"/>
                <w:lang w:eastAsia="tr-TR"/>
              </w:rPr>
              <w:t xml:space="preserve"> </w:t>
            </w:r>
            <w:r w:rsidR="008C6F8A" w:rsidRPr="00A23740">
              <w:rPr>
                <w:rFonts w:eastAsia="Times New Roman"/>
                <w:szCs w:val="24"/>
                <w:lang w:eastAsia="tr-TR"/>
              </w:rPr>
              <w:t>Hüküm, 2004 sayılı Kanunun 91 inci maddesine karşılık gelmektedir.</w:t>
            </w:r>
          </w:p>
          <w:p w:rsidR="006D3220" w:rsidRPr="00A23740" w:rsidRDefault="00203C51" w:rsidP="009431FF">
            <w:pPr>
              <w:tabs>
                <w:tab w:val="left" w:pos="567"/>
              </w:tabs>
              <w:autoSpaceDE w:val="0"/>
              <w:autoSpaceDN w:val="0"/>
              <w:adjustRightInd w:val="0"/>
              <w:ind w:firstLine="709"/>
              <w:rPr>
                <w:b/>
                <w:color w:val="FF0000"/>
                <w:szCs w:val="24"/>
              </w:rPr>
            </w:pPr>
            <w:r w:rsidRPr="00A23740">
              <w:rPr>
                <w:rFonts w:eastAsia="Times New Roman"/>
                <w:szCs w:val="24"/>
                <w:lang w:eastAsia="tr-TR"/>
              </w:rPr>
              <w:t>Birinci fıkrayla taşınmazın hacziyle tasarruf hakkının kısıtlanacağı, ikinci fıkrayla icra ve iflas dairesi tarafından taşınmaz haczinin sicile şerh edilmek üzere icra dosyasındaki diğer bilgilerle birlikte tapu müdürlüğüne</w:t>
            </w:r>
            <w:r w:rsidR="005B4FB6" w:rsidRPr="00A23740">
              <w:rPr>
                <w:rFonts w:eastAsia="Times New Roman"/>
                <w:szCs w:val="24"/>
                <w:lang w:eastAsia="tr-TR"/>
              </w:rPr>
              <w:t xml:space="preserve"> </w:t>
            </w:r>
            <w:r w:rsidR="005B4FB6" w:rsidRPr="00D60C1D">
              <w:rPr>
                <w:rStyle w:val="YELChar"/>
                <w:b w:val="0"/>
                <w:color w:val="000000"/>
              </w:rPr>
              <w:t>bildirileceği</w:t>
            </w:r>
            <w:r w:rsidRPr="00A23740">
              <w:rPr>
                <w:rFonts w:eastAsia="Times New Roman"/>
                <w:szCs w:val="24"/>
                <w:lang w:eastAsia="tr-TR"/>
              </w:rPr>
              <w:t xml:space="preserve">, üçüncü ve dördüncü fıkralar ile hacze yeni alacaklılar tarafından iştirak edilmesi, haczin kalkması veya taşınmazın hacizli olarak el değiştirmesi hâlinde tapu </w:t>
            </w:r>
            <w:r w:rsidR="00692A92" w:rsidRPr="00A23740">
              <w:rPr>
                <w:rFonts w:eastAsia="Times New Roman"/>
                <w:szCs w:val="24"/>
                <w:lang w:eastAsia="tr-TR"/>
              </w:rPr>
              <w:t xml:space="preserve">siciline </w:t>
            </w:r>
            <w:r w:rsidRPr="00A23740">
              <w:rPr>
                <w:rFonts w:eastAsia="Times New Roman"/>
                <w:szCs w:val="24"/>
                <w:lang w:eastAsia="tr-TR"/>
              </w:rPr>
              <w:t xml:space="preserve">ve icra ve iflas </w:t>
            </w:r>
            <w:r w:rsidR="00692A92" w:rsidRPr="00A23740">
              <w:rPr>
                <w:rFonts w:eastAsia="Times New Roman"/>
                <w:szCs w:val="24"/>
                <w:lang w:eastAsia="tr-TR"/>
              </w:rPr>
              <w:t xml:space="preserve">dairesine </w:t>
            </w:r>
            <w:r w:rsidRPr="00A23740">
              <w:rPr>
                <w:rFonts w:eastAsia="Times New Roman"/>
                <w:szCs w:val="24"/>
                <w:lang w:eastAsia="tr-TR"/>
              </w:rPr>
              <w:t>bildirim yapılacağı hususu düzenlenmiştir.</w:t>
            </w:r>
            <w:r w:rsidR="005B4FB6" w:rsidRPr="00A23740">
              <w:rPr>
                <w:b/>
                <w:color w:val="FF0000"/>
                <w:szCs w:val="24"/>
              </w:rPr>
              <w:t xml:space="preserve"> </w:t>
            </w:r>
            <w:r w:rsidR="005B4FB6" w:rsidRPr="00D60C1D">
              <w:rPr>
                <w:rStyle w:val="YELChar"/>
                <w:b w:val="0"/>
                <w:color w:val="000000"/>
              </w:rPr>
              <w:t>Bu kapsamda, 2004 sayılı Kanunun 21 i</w:t>
            </w:r>
            <w:r w:rsidR="00F306A7" w:rsidRPr="00D60C1D">
              <w:rPr>
                <w:rStyle w:val="YELChar"/>
                <w:b w:val="0"/>
                <w:color w:val="000000"/>
              </w:rPr>
              <w:t xml:space="preserve">nci maddesinin ikinci fıkrası ve </w:t>
            </w:r>
            <w:r w:rsidR="005B4FB6" w:rsidRPr="00D60C1D">
              <w:rPr>
                <w:rStyle w:val="YELChar"/>
                <w:b w:val="0"/>
                <w:color w:val="000000"/>
              </w:rPr>
              <w:t>aynı Kanunun 148/a maddesi</w:t>
            </w:r>
            <w:r w:rsidR="00B07FCB" w:rsidRPr="00D60C1D">
              <w:rPr>
                <w:rStyle w:val="YELChar"/>
                <w:b w:val="0"/>
                <w:color w:val="000000"/>
              </w:rPr>
              <w:t xml:space="preserve"> Taslağa alınmadığından ve bu husustaki gerekçeler Taslağın 44 üncü</w:t>
            </w:r>
            <w:r w:rsidR="002D4B90" w:rsidRPr="00D60C1D">
              <w:rPr>
                <w:rStyle w:val="YELChar"/>
                <w:b w:val="0"/>
                <w:color w:val="000000"/>
              </w:rPr>
              <w:t xml:space="preserve"> </w:t>
            </w:r>
            <w:r w:rsidR="00B07FCB" w:rsidRPr="00D60C1D">
              <w:rPr>
                <w:rStyle w:val="YELChar"/>
                <w:b w:val="0"/>
                <w:color w:val="000000"/>
              </w:rPr>
              <w:t xml:space="preserve">maddesinde etraflıca aktarıldığından </w:t>
            </w:r>
            <w:r w:rsidR="005B4FB6" w:rsidRPr="00D60C1D">
              <w:rPr>
                <w:rStyle w:val="YELChar"/>
                <w:b w:val="0"/>
                <w:color w:val="000000"/>
              </w:rPr>
              <w:t xml:space="preserve"> </w:t>
            </w:r>
            <w:r w:rsidR="00B07FCB" w:rsidRPr="00D60C1D">
              <w:rPr>
                <w:rStyle w:val="YELChar"/>
                <w:b w:val="0"/>
                <w:color w:val="000000"/>
              </w:rPr>
              <w:t>Kanunun 91 inci maddesinin üçüncü fıkrasının düzenlenmenmesine gerek kalmamış Taslağın 184 üncü</w:t>
            </w:r>
            <w:r w:rsidR="002D4B90" w:rsidRPr="00A23740">
              <w:rPr>
                <w:rStyle w:val="YELChar"/>
              </w:rPr>
              <w:t xml:space="preserve"> </w:t>
            </w:r>
            <w:r w:rsidR="00B07FCB" w:rsidRPr="00D60C1D">
              <w:rPr>
                <w:rStyle w:val="YELChar"/>
                <w:b w:val="0"/>
                <w:color w:val="000000"/>
              </w:rPr>
              <w:t>maddesine alınmamıştır.</w:t>
            </w:r>
            <w:r w:rsidR="00B07FCB" w:rsidRPr="00A23740">
              <w:rPr>
                <w:rStyle w:val="YELChar"/>
              </w:rPr>
              <w:t xml:space="preserve"> </w:t>
            </w:r>
          </w:p>
          <w:p w:rsidR="00B62391" w:rsidRPr="00A23740" w:rsidRDefault="002D4B90" w:rsidP="007136A5">
            <w:pPr>
              <w:pStyle w:val="YEL"/>
              <w:ind w:firstLine="709"/>
              <w:rPr>
                <w:rFonts w:eastAsia="Times New Roman"/>
                <w:b w:val="0"/>
                <w:color w:val="000000"/>
                <w:lang w:eastAsia="tr-TR"/>
              </w:rPr>
            </w:pPr>
            <w:r w:rsidRPr="00D60C1D">
              <w:rPr>
                <w:rStyle w:val="YELChar"/>
                <w:color w:val="000000"/>
                <w:lang w:val="tr-TR"/>
              </w:rPr>
              <w:t>184 üncü</w:t>
            </w:r>
            <w:r w:rsidRPr="00A23740">
              <w:rPr>
                <w:rStyle w:val="YELChar"/>
                <w:b/>
                <w:lang w:val="tr-TR"/>
              </w:rPr>
              <w:t xml:space="preserve"> </w:t>
            </w:r>
            <w:r w:rsidR="006D3220" w:rsidRPr="00D60C1D">
              <w:rPr>
                <w:b w:val="0"/>
                <w:color w:val="000000"/>
                <w:lang w:val="tr-TR"/>
              </w:rPr>
              <w:t>madde, içeriği tamamen aynı olmamakla birlikte, 2004 sayılı Kanunun taşınmaz malların haczi hakkındaki 79 uncu maddesine karşılık gelen 170 inci maddeyle birlikte yorumlanmalıdır. Bu hükme göre taşınmaz malların haczi için taşınmazın bulunduğu yere gitmek ve haciz mahallinde haciz tutanağı düzenlemek zorunluluğu bulunmamakta, haciz elektronik ortamda sicile şerh edilmek suretiyle de yapılabilmektedir. Her iki işlemin de yapılması h</w:t>
            </w:r>
            <w:r w:rsidR="001D7D44" w:rsidRPr="00D60C1D">
              <w:rPr>
                <w:b w:val="0"/>
                <w:color w:val="000000"/>
                <w:lang w:val="tr-TR"/>
              </w:rPr>
              <w:t>â</w:t>
            </w:r>
            <w:r w:rsidR="006D3220" w:rsidRPr="00D60C1D">
              <w:rPr>
                <w:b w:val="0"/>
                <w:color w:val="000000"/>
                <w:lang w:val="tr-TR"/>
              </w:rPr>
              <w:t xml:space="preserve">linde haczin hukuki sonuçları haciz mahallinde haciz tutanağının düzenlendiği tarih ile sicile şerh verilen tarihten hangisi önce ise o tarihte tekemmül etmiş sayılacaktır. Bu düzenleme şekline göre haczin tapu müdürlüğüne bildirilmesi ve sicile şerh edilmesi işlemleri </w:t>
            </w:r>
            <w:r w:rsidR="00BC5999" w:rsidRPr="00D60C1D">
              <w:rPr>
                <w:b w:val="0"/>
                <w:color w:val="000000"/>
                <w:lang w:val="tr-TR"/>
              </w:rPr>
              <w:t>“Muhafaza tedbirleri” başlıklı Beşinci Ayrım altında yer almasına rağmen</w:t>
            </w:r>
            <w:r w:rsidR="00692A92" w:rsidRPr="00D60C1D">
              <w:rPr>
                <w:b w:val="0"/>
                <w:color w:val="000000"/>
                <w:lang w:val="tr-TR"/>
              </w:rPr>
              <w:t>,</w:t>
            </w:r>
            <w:r w:rsidR="00BC5999" w:rsidRPr="00D60C1D">
              <w:rPr>
                <w:b w:val="0"/>
                <w:color w:val="000000"/>
                <w:lang w:val="tr-TR"/>
              </w:rPr>
              <w:t xml:space="preserve"> bu işlemler sırf muhafaza tedbiri olarak nitelenmemeli, taşınmaz haczinde sicile konulan şerh ile haciz işleminin tekemmül ettiği kabul edilmelidir.</w:t>
            </w:r>
            <w:r w:rsidR="007136A5">
              <w:rPr>
                <w:lang w:val="tr-TR"/>
              </w:rPr>
              <w:t xml:space="preserve"> </w:t>
            </w:r>
          </w:p>
          <w:p w:rsidR="00B62391" w:rsidRPr="00A23740" w:rsidRDefault="00B62391" w:rsidP="007136A5">
            <w:pPr>
              <w:tabs>
                <w:tab w:val="left" w:pos="567"/>
              </w:tabs>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rPr>
                <w:lang w:val="tr-TR"/>
              </w:rPr>
            </w:pPr>
            <w:r w:rsidRPr="00A23740">
              <w:rPr>
                <w:lang w:val="tr-TR"/>
              </w:rPr>
              <w:t xml:space="preserve">I - Taşınmaz haczinin </w:t>
            </w:r>
            <w:r w:rsidRPr="00A23740">
              <w:rPr>
                <w:rFonts w:eastAsia="ヒラギノ明朝 Pro W3"/>
                <w:lang w:val="tr-TR"/>
              </w:rPr>
              <w:t>şümulü,</w:t>
            </w:r>
          </w:p>
          <w:p w:rsidR="00AA5C8C" w:rsidRPr="00A23740" w:rsidRDefault="00AA5C8C" w:rsidP="009431FF">
            <w:pPr>
              <w:pStyle w:val="KIRMIZI"/>
              <w:rPr>
                <w:lang w:val="tr-TR"/>
              </w:rPr>
            </w:pPr>
            <w:r w:rsidRPr="00A23740">
              <w:rPr>
                <w:lang w:val="tr-TR"/>
              </w:rPr>
              <w:t xml:space="preserve">II - Alacakları rehinle sağlanmış alacaklıların </w:t>
            </w:r>
            <w:r w:rsidRPr="00A23740">
              <w:rPr>
                <w:rFonts w:eastAsia="ヒラギノ明朝 Pro W3"/>
                <w:lang w:val="tr-TR"/>
              </w:rPr>
              <w:t>mahfuz</w:t>
            </w:r>
            <w:r w:rsidRPr="00A23740">
              <w:rPr>
                <w:lang w:val="tr-TR"/>
              </w:rPr>
              <w:t xml:space="preserve"> hakları,</w:t>
            </w:r>
          </w:p>
          <w:p w:rsidR="00AA5C8C" w:rsidRPr="00A23740" w:rsidRDefault="00AA5C8C" w:rsidP="009431FF">
            <w:pPr>
              <w:pStyle w:val="KIRMIZI"/>
              <w:rPr>
                <w:lang w:val="tr-TR"/>
              </w:rPr>
            </w:pPr>
            <w:r w:rsidRPr="00A23740">
              <w:rPr>
                <w:lang w:val="tr-TR"/>
              </w:rPr>
              <w:t>III - İdare ve işletme.</w:t>
            </w:r>
          </w:p>
          <w:p w:rsidR="00AA5C8C" w:rsidRPr="00A23740" w:rsidRDefault="00AA5C8C" w:rsidP="009431FF">
            <w:pPr>
              <w:pStyle w:val="KIRMIZI"/>
              <w:rPr>
                <w:lang w:val="tr-TR"/>
              </w:rPr>
            </w:pPr>
            <w:r w:rsidRPr="00A23740">
              <w:rPr>
                <w:lang w:val="tr-TR"/>
              </w:rPr>
              <w:t xml:space="preserve">Madde 92 – (1) </w:t>
            </w:r>
            <w:r w:rsidRPr="00A23740">
              <w:rPr>
                <w:rFonts w:eastAsia="ヒラギノ明朝 Pro W3"/>
                <w:lang w:val="tr-TR"/>
              </w:rPr>
              <w:t>(Değişik: 18/2/1965 - 538/51 md.)</w:t>
            </w: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Bir taşınmazın haczi hasılat ve menfaatlerin</w:t>
            </w:r>
            <w:r w:rsidRPr="00A23740">
              <w:rPr>
                <w:rFonts w:eastAsia="ヒラギノ明朝 Pro W3"/>
                <w:b/>
                <w:strike/>
                <w:color w:val="FF0000"/>
                <w:szCs w:val="24"/>
              </w:rPr>
              <w:t>e</w:t>
            </w:r>
            <w:r w:rsidRPr="00A23740">
              <w:rPr>
                <w:rFonts w:eastAsia="Times New Roman"/>
                <w:szCs w:val="24"/>
                <w:lang w:eastAsia="tr-TR"/>
              </w:rPr>
              <w:t xml:space="preserve"> de </w:t>
            </w:r>
            <w:r w:rsidRPr="00A23740">
              <w:rPr>
                <w:rFonts w:eastAsia="ヒラギノ明朝 Pro W3"/>
                <w:b/>
                <w:strike/>
                <w:color w:val="FF0000"/>
                <w:szCs w:val="24"/>
              </w:rPr>
              <w:t>şamildir.</w:t>
            </w:r>
            <w:r w:rsidRPr="00A23740">
              <w:rPr>
                <w:rFonts w:eastAsia="Times New Roman"/>
                <w:szCs w:val="24"/>
                <w:lang w:eastAsia="tr-TR"/>
              </w:rPr>
              <w:t xml:space="preserve"> Haciz taşınmaz kendilerine rehnedilmiş olan alacaklıların haklarına </w:t>
            </w:r>
            <w:r w:rsidRPr="00A23740">
              <w:rPr>
                <w:rStyle w:val="KIRMIZIChar"/>
                <w:rFonts w:eastAsia="Calibri"/>
              </w:rPr>
              <w:t>halel getirmez.</w:t>
            </w:r>
          </w:p>
          <w:p w:rsidR="00AA5C8C" w:rsidRPr="00A23740" w:rsidRDefault="00AA5C8C" w:rsidP="009431FF">
            <w:pPr>
              <w:tabs>
                <w:tab w:val="left" w:pos="567"/>
                <w:tab w:val="left" w:pos="2160"/>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İcra dairesi, taşınmaz kendilerine rehnedilmiş olan alacaklılar</w:t>
            </w:r>
            <w:r w:rsidRPr="00A23740">
              <w:rPr>
                <w:rStyle w:val="KIRMIZIChar"/>
                <w:rFonts w:eastAsia="Calibri"/>
              </w:rPr>
              <w:t>la</w:t>
            </w:r>
            <w:r w:rsidRPr="00A23740">
              <w:rPr>
                <w:rFonts w:eastAsia="Times New Roman"/>
                <w:szCs w:val="24"/>
                <w:lang w:eastAsia="tr-TR"/>
              </w:rPr>
              <w:t xml:space="preserve"> kiracılara haciz</w:t>
            </w:r>
            <w:r w:rsidRPr="00A23740">
              <w:rPr>
                <w:rFonts w:eastAsia="ヒラギノ明朝 Pro W3"/>
                <w:b/>
                <w:strike/>
                <w:color w:val="FF0000"/>
                <w:szCs w:val="24"/>
              </w:rPr>
              <w:t>den haber verir.</w:t>
            </w:r>
          </w:p>
          <w:p w:rsidR="000A2887" w:rsidRPr="00A23740" w:rsidRDefault="000A2887" w:rsidP="009431FF">
            <w:pPr>
              <w:tabs>
                <w:tab w:val="left" w:pos="567"/>
                <w:tab w:val="left" w:pos="2160"/>
              </w:tabs>
              <w:rPr>
                <w:rFonts w:eastAsia="Times New Roman"/>
                <w:szCs w:val="24"/>
                <w:lang w:eastAsia="tr-TR"/>
              </w:rPr>
            </w:pPr>
          </w:p>
          <w:p w:rsidR="00AA5C8C" w:rsidRPr="00A23740" w:rsidRDefault="00AA5C8C" w:rsidP="009431FF">
            <w:pPr>
              <w:tabs>
                <w:tab w:val="left" w:pos="540"/>
                <w:tab w:val="left" w:pos="567"/>
                <w:tab w:val="left" w:pos="2160"/>
              </w:tabs>
              <w:rPr>
                <w:rFonts w:eastAsia="Times New Roman"/>
                <w:szCs w:val="24"/>
                <w:lang w:eastAsia="tr-TR"/>
              </w:rPr>
            </w:pPr>
            <w:r w:rsidRPr="00A23740">
              <w:rPr>
                <w:rStyle w:val="KIRMIZIChar"/>
                <w:rFonts w:eastAsia="Calibri"/>
              </w:rPr>
              <w:t>(3)</w:t>
            </w:r>
            <w:r w:rsidRPr="00A23740">
              <w:rPr>
                <w:rStyle w:val="KIRMIZIChar"/>
                <w:rFonts w:eastAsia="ヒラギノ明朝 Pro W3"/>
              </w:rPr>
              <w:t xml:space="preserve"> (Değişik</w:t>
            </w:r>
            <w:r w:rsidRPr="00A23740">
              <w:rPr>
                <w:rFonts w:eastAsia="ヒラギノ明朝 Pro W3"/>
                <w:b/>
                <w:strike/>
                <w:color w:val="FF0000"/>
                <w:szCs w:val="24"/>
              </w:rPr>
              <w:t xml:space="preserve"> üçüncü fıkra: 17/7/2003-4949/24 md.)</w:t>
            </w:r>
            <w:r w:rsidRPr="00A23740">
              <w:rPr>
                <w:rFonts w:eastAsia="Times New Roman"/>
                <w:b/>
                <w:szCs w:val="24"/>
                <w:lang w:eastAsia="tr-TR"/>
              </w:rPr>
              <w:t xml:space="preserve"> </w:t>
            </w:r>
            <w:r w:rsidRPr="00A23740">
              <w:rPr>
                <w:rStyle w:val="KIRMIZIChar"/>
                <w:rFonts w:eastAsia="Calibri"/>
              </w:rPr>
              <w:t>D</w:t>
            </w:r>
            <w:r w:rsidRPr="00A23740">
              <w:rPr>
                <w:rFonts w:eastAsia="Times New Roman"/>
                <w:szCs w:val="24"/>
                <w:lang w:eastAsia="tr-TR"/>
              </w:rPr>
              <w:t xml:space="preserve">aire, taşınmazın idare ve işletmesi ile eklentinin korunması için gerekli tedbirleri alır. Bu tedbirler </w:t>
            </w:r>
            <w:r w:rsidRPr="00A23740">
              <w:rPr>
                <w:rFonts w:eastAsia="ヒラギノ明朝 Pro W3"/>
                <w:b/>
                <w:strike/>
                <w:color w:val="FF0000"/>
                <w:szCs w:val="24"/>
              </w:rPr>
              <w:t>meyanında</w:t>
            </w:r>
            <w:r w:rsidRPr="00A23740">
              <w:rPr>
                <w:rFonts w:eastAsia="Times New Roman"/>
                <w:szCs w:val="24"/>
                <w:lang w:eastAsia="tr-TR"/>
              </w:rPr>
              <w:t xml:space="preserve"> icra dairesi, </w:t>
            </w:r>
            <w:r w:rsidRPr="00A23740">
              <w:rPr>
                <w:rFonts w:eastAsia="ヒラギノ明朝 Pro W3"/>
                <w:b/>
                <w:strike/>
                <w:color w:val="FF0000"/>
                <w:szCs w:val="24"/>
              </w:rPr>
              <w:t>eğer</w:t>
            </w:r>
            <w:r w:rsidRPr="00A23740">
              <w:rPr>
                <w:rFonts w:eastAsia="Times New Roman"/>
                <w:szCs w:val="24"/>
                <w:lang w:eastAsia="tr-TR"/>
              </w:rPr>
              <w:t xml:space="preserve"> taşınmazda kiracı varsa </w:t>
            </w:r>
            <w:r w:rsidRPr="00A23740">
              <w:rPr>
                <w:rFonts w:eastAsia="ヒラギノ明朝 Pro W3"/>
                <w:b/>
                <w:strike/>
                <w:color w:val="FF0000"/>
                <w:szCs w:val="24"/>
              </w:rPr>
              <w:t>bu</w:t>
            </w:r>
            <w:r w:rsidRPr="00A23740">
              <w:rPr>
                <w:rFonts w:eastAsia="Times New Roman"/>
                <w:szCs w:val="24"/>
                <w:lang w:eastAsia="tr-TR"/>
              </w:rPr>
              <w:t xml:space="preserve"> kiracıya, işleyecek kiraları icra dairesine ödemesini emreder. Zarar görme ihtimali bulunan eklenti, rehin alacaklısının talebi üzerine, işletmenin faaliyetine engel olmayacak şekilde muhafaza altına alınır. İdare ve muhafaza </w:t>
            </w:r>
            <w:r w:rsidRPr="00A23740">
              <w:rPr>
                <w:rStyle w:val="KIRMIZIChar"/>
                <w:rFonts w:eastAsia="Calibri"/>
              </w:rPr>
              <w:t>masrafları</w:t>
            </w:r>
            <w:r w:rsidRPr="00A23740">
              <w:rPr>
                <w:rFonts w:eastAsia="Times New Roman"/>
                <w:szCs w:val="24"/>
                <w:lang w:eastAsia="tr-TR"/>
              </w:rPr>
              <w:t xml:space="preserve"> satış bedelinden öncelikle ödenir.</w:t>
            </w:r>
          </w:p>
          <w:p w:rsidR="00AA5C8C" w:rsidRPr="00A23740" w:rsidRDefault="00AA5C8C" w:rsidP="009431FF">
            <w:pPr>
              <w:tabs>
                <w:tab w:val="left" w:pos="540"/>
                <w:tab w:val="left" w:pos="567"/>
                <w:tab w:val="left" w:pos="2160"/>
              </w:tabs>
              <w:rPr>
                <w:rFonts w:eastAsia="Times New Roman"/>
                <w:szCs w:val="24"/>
                <w:lang w:eastAsia="tr-TR"/>
              </w:rPr>
            </w:pPr>
          </w:p>
          <w:p w:rsidR="00AA5C8C" w:rsidRPr="00A23740" w:rsidRDefault="00AA5C8C" w:rsidP="009431FF">
            <w:pPr>
              <w:tabs>
                <w:tab w:val="left" w:pos="540"/>
                <w:tab w:val="left" w:pos="567"/>
                <w:tab w:val="left" w:pos="2160"/>
              </w:tabs>
              <w:rPr>
                <w:rFonts w:eastAsia="Times New Roman"/>
                <w:szCs w:val="24"/>
                <w:lang w:eastAsia="tr-TR"/>
              </w:rPr>
            </w:pPr>
            <w:r w:rsidRPr="00A23740">
              <w:rPr>
                <w:rFonts w:eastAsia="ヒラギノ明朝 Pro W3"/>
                <w:b/>
                <w:strike/>
                <w:color w:val="FF0000"/>
                <w:szCs w:val="24"/>
              </w:rPr>
              <w:t xml:space="preserve">(4) (Mülga dördüncü fıkra: 14/1/2011-6103/41 md.) </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pStyle w:val="MAV"/>
              <w:rPr>
                <w:u w:val="none"/>
                <w:lang w:val="tr-TR" w:eastAsia="tr-TR"/>
              </w:rPr>
            </w:pPr>
            <w:r w:rsidRPr="00A23740">
              <w:rPr>
                <w:u w:val="none"/>
                <w:lang w:val="tr-TR" w:eastAsia="tr-TR"/>
              </w:rPr>
              <w:t>Taşınmazlarda hasılat ve menfaatler</w:t>
            </w:r>
          </w:p>
          <w:p w:rsidR="00AA5C8C" w:rsidRPr="00A23740" w:rsidRDefault="00AA5C8C" w:rsidP="009431FF">
            <w:pPr>
              <w:tabs>
                <w:tab w:val="left" w:pos="567"/>
              </w:tabs>
              <w:rPr>
                <w:rFonts w:eastAsia="Times New Roman"/>
                <w:szCs w:val="24"/>
                <w:lang w:eastAsia="tr-TR"/>
              </w:rPr>
            </w:pPr>
            <w:r w:rsidRPr="00A23740">
              <w:rPr>
                <w:rStyle w:val="MaviChar"/>
                <w:lang w:val="tr-TR"/>
              </w:rPr>
              <w:t xml:space="preserve">MADDE </w:t>
            </w:r>
            <w:r w:rsidR="0025794C" w:rsidRPr="00A23740">
              <w:rPr>
                <w:rStyle w:val="Balk1Char"/>
                <w:rFonts w:eastAsia="ヒラギノ明朝 Pro W3"/>
              </w:rPr>
              <w:t>189</w:t>
            </w:r>
            <w:r w:rsidRPr="00A23740">
              <w:rPr>
                <w:rStyle w:val="MAVChar"/>
                <w:rFonts w:eastAsia="Calibri"/>
                <w:u w:val="none"/>
              </w:rPr>
              <w:t>- (</w:t>
            </w:r>
            <w:r w:rsidRPr="00A23740">
              <w:rPr>
                <w:rFonts w:eastAsia="Times New Roman"/>
                <w:b/>
                <w:color w:val="0000FF"/>
                <w:szCs w:val="24"/>
                <w:lang w:eastAsia="tr-TR"/>
              </w:rPr>
              <w:t>1)</w:t>
            </w:r>
            <w:r w:rsidRPr="00A23740">
              <w:rPr>
                <w:rFonts w:eastAsia="Times New Roman"/>
                <w:b/>
                <w:szCs w:val="24"/>
                <w:lang w:eastAsia="tr-TR"/>
              </w:rPr>
              <w:t xml:space="preserve"> </w:t>
            </w:r>
            <w:r w:rsidR="009D575D" w:rsidRPr="00D03F47">
              <w:rPr>
                <w:rStyle w:val="Balk1Char"/>
                <w:rFonts w:eastAsia="ヒラギノ明朝 Pro W3"/>
              </w:rPr>
              <w:t>T</w:t>
            </w:r>
            <w:r w:rsidRPr="00A23740">
              <w:rPr>
                <w:rFonts w:eastAsia="Times New Roman"/>
                <w:szCs w:val="24"/>
                <w:lang w:eastAsia="tr-TR"/>
              </w:rPr>
              <w:t>aşınmazın haczi</w:t>
            </w:r>
            <w:r w:rsidR="009D575D" w:rsidRPr="00D03F47">
              <w:rPr>
                <w:rStyle w:val="Balk1Char"/>
                <w:rFonts w:eastAsia="ヒラギノ明朝 Pro W3"/>
              </w:rPr>
              <w:t>,</w:t>
            </w:r>
            <w:r w:rsidRPr="00A23740">
              <w:rPr>
                <w:rFonts w:eastAsia="Times New Roman"/>
                <w:szCs w:val="24"/>
                <w:lang w:eastAsia="tr-TR"/>
              </w:rPr>
              <w:t xml:space="preserve"> hasılat ve menfaatlerin</w:t>
            </w:r>
            <w:r w:rsidRPr="00A23740">
              <w:rPr>
                <w:rFonts w:eastAsia="Times New Roman"/>
                <w:b/>
                <w:color w:val="0000FF"/>
                <w:szCs w:val="24"/>
                <w:lang w:eastAsia="tr-TR"/>
              </w:rPr>
              <w:t>i</w:t>
            </w:r>
            <w:r w:rsidRPr="00A23740">
              <w:rPr>
                <w:rFonts w:eastAsia="Times New Roman"/>
                <w:szCs w:val="24"/>
                <w:lang w:eastAsia="tr-TR"/>
              </w:rPr>
              <w:t xml:space="preserve"> de </w:t>
            </w:r>
            <w:r w:rsidRPr="00A23740">
              <w:rPr>
                <w:rFonts w:eastAsia="Times New Roman"/>
                <w:b/>
                <w:color w:val="0000FF"/>
                <w:szCs w:val="24"/>
                <w:lang w:eastAsia="tr-TR"/>
              </w:rPr>
              <w:t>kapsar</w:t>
            </w:r>
            <w:r w:rsidRPr="00A23740">
              <w:rPr>
                <w:rFonts w:eastAsia="Times New Roman"/>
                <w:szCs w:val="24"/>
                <w:lang w:eastAsia="tr-TR"/>
              </w:rPr>
              <w:t>. Haciz</w:t>
            </w:r>
            <w:r w:rsidRPr="00A23740">
              <w:rPr>
                <w:rStyle w:val="MaviChar"/>
              </w:rPr>
              <w:t>,</w:t>
            </w:r>
            <w:r w:rsidRPr="00A23740">
              <w:rPr>
                <w:rFonts w:eastAsia="Times New Roman"/>
                <w:szCs w:val="24"/>
                <w:lang w:eastAsia="tr-TR"/>
              </w:rPr>
              <w:t xml:space="preserve"> taşınmaz kendilerine rehnedilmiş olan alacaklıların haklarına </w:t>
            </w:r>
            <w:r w:rsidRPr="00A23740">
              <w:rPr>
                <w:rStyle w:val="MaviChar"/>
              </w:rPr>
              <w:t>zarar vermez.</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(2)</w:t>
            </w:r>
            <w:r w:rsidRPr="00A23740">
              <w:rPr>
                <w:rFonts w:eastAsia="Times New Roman"/>
                <w:b/>
                <w:szCs w:val="24"/>
                <w:lang w:eastAsia="tr-TR"/>
              </w:rPr>
              <w:t xml:space="preserve"> </w:t>
            </w:r>
            <w:r w:rsidRPr="00A23740">
              <w:rPr>
                <w:rFonts w:eastAsia="Times New Roman"/>
                <w:szCs w:val="24"/>
                <w:lang w:eastAsia="tr-TR"/>
              </w:rPr>
              <w:t xml:space="preserve">İcra </w:t>
            </w:r>
            <w:r w:rsidRPr="00A23740">
              <w:rPr>
                <w:rStyle w:val="MaviChar"/>
              </w:rPr>
              <w:t>ve iflas</w:t>
            </w:r>
            <w:r w:rsidRPr="00A23740">
              <w:rPr>
                <w:rFonts w:eastAsia="Times New Roman"/>
                <w:szCs w:val="24"/>
                <w:lang w:eastAsia="tr-TR"/>
              </w:rPr>
              <w:t xml:space="preserve"> dairesi, </w:t>
            </w:r>
            <w:r w:rsidR="005801D8" w:rsidRPr="00D03F47">
              <w:rPr>
                <w:rStyle w:val="Balk1Char"/>
                <w:rFonts w:eastAsia="Calibri"/>
              </w:rPr>
              <w:t xml:space="preserve">gerçekleştirilen </w:t>
            </w:r>
            <w:r w:rsidR="009D575D" w:rsidRPr="00D03F47">
              <w:rPr>
                <w:rStyle w:val="Balk1Char"/>
                <w:rFonts w:eastAsia="ヒラギノ明朝 Pro W3"/>
              </w:rPr>
              <w:t>haczi</w:t>
            </w:r>
            <w:r w:rsidR="005801D8" w:rsidRPr="00D03F47">
              <w:rPr>
                <w:rStyle w:val="Balk1Char"/>
                <w:rFonts w:eastAsia="ヒラギノ明朝 Pro W3"/>
              </w:rPr>
              <w:t>,</w:t>
            </w:r>
            <w:r w:rsidR="009D575D" w:rsidRPr="00D03F47">
              <w:rPr>
                <w:rStyle w:val="Balk1Char"/>
                <w:rFonts w:eastAsia="ヒラギノ明朝 Pro W3"/>
              </w:rPr>
              <w:t xml:space="preserve"> varsa rehinli</w:t>
            </w:r>
            <w:r w:rsidR="009D575D" w:rsidRPr="00A23740">
              <w:rPr>
                <w:rFonts w:eastAsia="Times New Roman"/>
                <w:szCs w:val="24"/>
                <w:lang w:eastAsia="tr-TR"/>
              </w:rPr>
              <w:t xml:space="preserve"> </w:t>
            </w:r>
            <w:r w:rsidRPr="00A23740">
              <w:rPr>
                <w:rFonts w:eastAsia="Times New Roman"/>
                <w:szCs w:val="24"/>
                <w:lang w:eastAsia="tr-TR"/>
              </w:rPr>
              <w:t>alacaklılar</w:t>
            </w:r>
            <w:r w:rsidR="00CA1D60" w:rsidRPr="00D03F47">
              <w:rPr>
                <w:rStyle w:val="Balk1Char"/>
                <w:rFonts w:eastAsia="ヒラギノ明朝 Pro W3"/>
              </w:rPr>
              <w:t>a</w:t>
            </w:r>
            <w:r w:rsidRPr="00A23740">
              <w:rPr>
                <w:rFonts w:eastAsia="Times New Roman"/>
                <w:szCs w:val="24"/>
                <w:lang w:eastAsia="tr-TR"/>
              </w:rPr>
              <w:t xml:space="preserve"> </w:t>
            </w:r>
            <w:r w:rsidR="00CA1D60" w:rsidRPr="00D03F47">
              <w:rPr>
                <w:rStyle w:val="Balk1Char"/>
                <w:rFonts w:eastAsia="ヒラギノ明朝 Pro W3"/>
              </w:rPr>
              <w:t>ve</w:t>
            </w:r>
            <w:r w:rsidR="00CA1D60" w:rsidRPr="00A23740">
              <w:rPr>
                <w:rFonts w:eastAsia="Times New Roman"/>
                <w:szCs w:val="24"/>
                <w:lang w:eastAsia="tr-TR"/>
              </w:rPr>
              <w:t xml:space="preserve"> </w:t>
            </w:r>
            <w:r w:rsidRPr="00A23740">
              <w:rPr>
                <w:rFonts w:eastAsia="Times New Roman"/>
                <w:szCs w:val="24"/>
                <w:lang w:eastAsia="tr-TR"/>
              </w:rPr>
              <w:t xml:space="preserve">kiracılara </w:t>
            </w:r>
            <w:r w:rsidRPr="00A23740">
              <w:rPr>
                <w:rFonts w:eastAsia="Times New Roman"/>
                <w:b/>
                <w:color w:val="0000FF"/>
                <w:szCs w:val="24"/>
                <w:lang w:eastAsia="tr-TR"/>
              </w:rPr>
              <w:t>bildirir</w:t>
            </w:r>
            <w:r w:rsidRPr="00A23740">
              <w:rPr>
                <w:rFonts w:eastAsia="Times New Roman"/>
                <w:szCs w:val="24"/>
                <w:lang w:eastAsia="tr-TR"/>
              </w:rPr>
              <w:t>.</w:t>
            </w:r>
          </w:p>
          <w:p w:rsidR="00AA5C8C" w:rsidRPr="00A23740" w:rsidRDefault="00AA5C8C" w:rsidP="009431FF">
            <w:pPr>
              <w:tabs>
                <w:tab w:val="left" w:pos="540"/>
                <w:tab w:val="left" w:pos="567"/>
                <w:tab w:val="left" w:pos="2160"/>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(3)</w:t>
            </w:r>
            <w:r w:rsidRPr="00A23740">
              <w:rPr>
                <w:rFonts w:eastAsia="Times New Roman"/>
                <w:b/>
                <w:szCs w:val="24"/>
                <w:lang w:eastAsia="tr-TR"/>
              </w:rPr>
              <w:t xml:space="preserve"> </w:t>
            </w:r>
            <w:r w:rsidRPr="00A23740">
              <w:rPr>
                <w:rStyle w:val="MaviChar"/>
              </w:rPr>
              <w:t>İcra</w:t>
            </w:r>
            <w:r w:rsidRPr="00A23740">
              <w:rPr>
                <w:rFonts w:eastAsia="Times New Roman"/>
                <w:b/>
                <w:szCs w:val="24"/>
                <w:lang w:eastAsia="tr-TR"/>
              </w:rPr>
              <w:t xml:space="preserve"> </w:t>
            </w:r>
            <w:r w:rsidRPr="00A23740">
              <w:rPr>
                <w:rStyle w:val="MaviChar"/>
              </w:rPr>
              <w:t>ve iflas</w:t>
            </w:r>
            <w:r w:rsidRPr="00A23740">
              <w:rPr>
                <w:rFonts w:eastAsia="Times New Roman"/>
                <w:b/>
                <w:szCs w:val="24"/>
                <w:lang w:eastAsia="tr-TR"/>
              </w:rPr>
              <w:t xml:space="preserve"> </w:t>
            </w:r>
            <w:r w:rsidRPr="00A23740">
              <w:rPr>
                <w:rStyle w:val="MaviChar"/>
              </w:rPr>
              <w:t>d</w:t>
            </w:r>
            <w:r w:rsidRPr="00A23740">
              <w:rPr>
                <w:rFonts w:eastAsia="Times New Roman"/>
                <w:szCs w:val="24"/>
                <w:lang w:eastAsia="tr-TR"/>
              </w:rPr>
              <w:t>aire</w:t>
            </w:r>
            <w:r w:rsidRPr="00A23740">
              <w:rPr>
                <w:rStyle w:val="MaviChar"/>
              </w:rPr>
              <w:t>si</w:t>
            </w:r>
            <w:r w:rsidRPr="00A23740">
              <w:rPr>
                <w:rFonts w:eastAsia="Times New Roman"/>
                <w:szCs w:val="24"/>
                <w:lang w:eastAsia="tr-TR"/>
              </w:rPr>
              <w:t xml:space="preserve">, taşınmazın idare ve </w:t>
            </w:r>
            <w:r w:rsidR="005801D8" w:rsidRPr="00D03F47">
              <w:rPr>
                <w:rStyle w:val="Balk1Char"/>
                <w:rFonts w:eastAsia="Calibri"/>
              </w:rPr>
              <w:t>işletilmesi</w:t>
            </w:r>
            <w:r w:rsidRPr="00A23740">
              <w:rPr>
                <w:rFonts w:eastAsia="Times New Roman"/>
                <w:color w:val="385623"/>
                <w:szCs w:val="24"/>
                <w:lang w:eastAsia="tr-TR"/>
              </w:rPr>
              <w:t xml:space="preserve"> </w:t>
            </w:r>
            <w:r w:rsidRPr="00A23740">
              <w:rPr>
                <w:rFonts w:eastAsia="Times New Roman"/>
                <w:szCs w:val="24"/>
                <w:lang w:eastAsia="tr-TR"/>
              </w:rPr>
              <w:t>ile eklenti</w:t>
            </w:r>
            <w:r w:rsidRPr="00A23740">
              <w:rPr>
                <w:rStyle w:val="MAVChar"/>
                <w:rFonts w:eastAsia="Calibri"/>
                <w:u w:val="none"/>
              </w:rPr>
              <w:t>lerin</w:t>
            </w:r>
            <w:r w:rsidR="00CA1D60" w:rsidRPr="00D03F47">
              <w:rPr>
                <w:rStyle w:val="Balk1Char"/>
                <w:rFonts w:eastAsia="ヒラギノ明朝 Pro W3"/>
              </w:rPr>
              <w:t>in</w:t>
            </w:r>
            <w:r w:rsidRPr="00A23740">
              <w:rPr>
                <w:rFonts w:eastAsia="Times New Roman"/>
                <w:szCs w:val="24"/>
                <w:lang w:eastAsia="tr-TR"/>
              </w:rPr>
              <w:t xml:space="preserve"> korunması için gerekli tedbirleri alır. İcra </w:t>
            </w:r>
            <w:r w:rsidRPr="00A23740">
              <w:rPr>
                <w:rStyle w:val="MaviChar"/>
              </w:rPr>
              <w:t>ve iflas</w:t>
            </w:r>
            <w:r w:rsidRPr="00A23740">
              <w:rPr>
                <w:rFonts w:eastAsia="Times New Roman"/>
                <w:szCs w:val="24"/>
                <w:lang w:eastAsia="tr-TR"/>
              </w:rPr>
              <w:t xml:space="preserve"> dairesi bu tedbirler </w:t>
            </w:r>
            <w:r w:rsidRPr="00A23740">
              <w:rPr>
                <w:rFonts w:eastAsia="Times New Roman"/>
                <w:b/>
                <w:color w:val="0000FF"/>
                <w:szCs w:val="24"/>
                <w:lang w:eastAsia="tr-TR"/>
              </w:rPr>
              <w:t>kapsamında</w:t>
            </w:r>
            <w:r w:rsidRPr="00A23740">
              <w:rPr>
                <w:rFonts w:eastAsia="Times New Roman"/>
                <w:szCs w:val="24"/>
                <w:lang w:eastAsia="tr-TR"/>
              </w:rPr>
              <w:t xml:space="preserve">, taşınmazda kiracı varsa kiracıya, işleyecek kiraları icra </w:t>
            </w:r>
            <w:r w:rsidR="005801D8" w:rsidRPr="00D03F47">
              <w:rPr>
                <w:rStyle w:val="Balk1Char"/>
                <w:rFonts w:eastAsia="Calibri"/>
              </w:rPr>
              <w:t>ve iflas</w:t>
            </w:r>
            <w:r w:rsidR="005801D8" w:rsidRPr="00A23740">
              <w:rPr>
                <w:rFonts w:eastAsia="Times New Roman"/>
                <w:color w:val="385623"/>
                <w:szCs w:val="24"/>
                <w:lang w:eastAsia="tr-TR"/>
              </w:rPr>
              <w:t xml:space="preserve"> </w:t>
            </w:r>
            <w:r w:rsidRPr="00A23740">
              <w:rPr>
                <w:rFonts w:eastAsia="Times New Roman"/>
                <w:szCs w:val="24"/>
                <w:lang w:eastAsia="tr-TR"/>
              </w:rPr>
              <w:t>dairesine ödemesini emreder. Rehin alacaklısının talebi üzerine, zarar görme ihtimali bulunan eklenti</w:t>
            </w:r>
            <w:r w:rsidRPr="00A23740">
              <w:rPr>
                <w:rStyle w:val="MAVChar"/>
                <w:rFonts w:eastAsia="Calibri"/>
                <w:u w:val="none"/>
              </w:rPr>
              <w:t>ler</w:t>
            </w:r>
            <w:r w:rsidRPr="00A23740">
              <w:rPr>
                <w:rFonts w:eastAsia="Times New Roman"/>
                <w:szCs w:val="24"/>
                <w:lang w:eastAsia="tr-TR"/>
              </w:rPr>
              <w:t xml:space="preserve">, işletmenin faaliyetine engel olmayacak şekilde muhafaza altına alınır. İdare ve muhafaza </w:t>
            </w:r>
            <w:r w:rsidRPr="00A23740">
              <w:rPr>
                <w:rStyle w:val="MaviChar"/>
              </w:rPr>
              <w:t>giderleri</w:t>
            </w:r>
            <w:r w:rsidRPr="00A23740">
              <w:rPr>
                <w:rFonts w:eastAsia="Times New Roman"/>
                <w:szCs w:val="24"/>
                <w:lang w:eastAsia="tr-TR"/>
              </w:rPr>
              <w:t xml:space="preserve"> satış bedelinden öncelikle ödenir.</w:t>
            </w:r>
          </w:p>
          <w:p w:rsidR="00AA5C8C" w:rsidRPr="00A23740" w:rsidRDefault="00AA5C8C" w:rsidP="009431FF">
            <w:pPr>
              <w:tabs>
                <w:tab w:val="left" w:pos="567"/>
              </w:tabs>
              <w:rPr>
                <w:rFonts w:eastAsia="Times New Roman"/>
                <w:szCs w:val="24"/>
                <w:lang w:eastAsia="tr-TR"/>
              </w:rPr>
            </w:pPr>
          </w:p>
        </w:tc>
      </w:tr>
      <w:tr w:rsidR="00203C51" w:rsidRPr="00A23740" w:rsidTr="009431FF">
        <w:tblPrEx>
          <w:tblLook w:val="01E0" w:firstRow="1" w:lastRow="1" w:firstColumn="1" w:lastColumn="1" w:noHBand="0" w:noVBand="0"/>
        </w:tblPrEx>
        <w:tc>
          <w:tcPr>
            <w:tcW w:w="5000" w:type="pct"/>
            <w:gridSpan w:val="2"/>
            <w:shd w:val="clear" w:color="auto" w:fill="DEEAF6"/>
          </w:tcPr>
          <w:p w:rsidR="00203C51" w:rsidRPr="00A23740" w:rsidRDefault="00203C51" w:rsidP="009431FF">
            <w:pPr>
              <w:ind w:firstLine="709"/>
              <w:rPr>
                <w:rFonts w:eastAsia="Times New Roman"/>
                <w:b/>
                <w:color w:val="000000"/>
                <w:szCs w:val="24"/>
                <w:lang w:eastAsia="tr-TR"/>
              </w:rPr>
            </w:pPr>
          </w:p>
          <w:p w:rsidR="00203C51" w:rsidRPr="00D60C1D" w:rsidRDefault="007C3593" w:rsidP="009431FF">
            <w:pPr>
              <w:tabs>
                <w:tab w:val="left" w:pos="567"/>
              </w:tabs>
              <w:ind w:firstLine="709"/>
              <w:rPr>
                <w:rFonts w:eastAsia="Times New Roman"/>
                <w:b/>
                <w:color w:val="000000"/>
                <w:szCs w:val="24"/>
                <w:lang w:eastAsia="tr-TR"/>
              </w:rPr>
            </w:pPr>
            <w:r w:rsidRPr="00A23740">
              <w:rPr>
                <w:rStyle w:val="MaviChar"/>
                <w:color w:val="auto"/>
                <w:lang w:val="tr-TR"/>
              </w:rPr>
              <w:t xml:space="preserve">MADDE </w:t>
            </w:r>
            <w:r w:rsidR="0025794C" w:rsidRPr="00A23740">
              <w:rPr>
                <w:rStyle w:val="YELChar"/>
                <w:color w:val="auto"/>
              </w:rPr>
              <w:t>189</w:t>
            </w:r>
            <w:r w:rsidR="0025794C" w:rsidRPr="00A23740">
              <w:rPr>
                <w:rStyle w:val="MaviChar"/>
                <w:color w:val="auto"/>
                <w:lang w:val="tr-TR"/>
              </w:rPr>
              <w:t>-</w:t>
            </w:r>
            <w:r w:rsidR="00203C51" w:rsidRPr="00A23740">
              <w:rPr>
                <w:rStyle w:val="MaviChar"/>
                <w:color w:val="auto"/>
                <w:lang w:val="tr-TR"/>
              </w:rPr>
              <w:t xml:space="preserve"> </w:t>
            </w:r>
            <w:r w:rsidR="00203C51" w:rsidRPr="00A23740">
              <w:rPr>
                <w:rFonts w:eastAsia="Times New Roman"/>
                <w:szCs w:val="24"/>
                <w:lang w:eastAsia="tr-TR"/>
              </w:rPr>
              <w:t>Maddeyle</w:t>
            </w:r>
            <w:r w:rsidR="002E43F1" w:rsidRPr="00A23740">
              <w:rPr>
                <w:rFonts w:eastAsia="Times New Roman"/>
                <w:szCs w:val="24"/>
                <w:lang w:eastAsia="tr-TR"/>
              </w:rPr>
              <w:t>,</w:t>
            </w:r>
            <w:r w:rsidR="00203C51" w:rsidRPr="00A23740">
              <w:rPr>
                <w:rFonts w:eastAsia="Times New Roman"/>
                <w:szCs w:val="24"/>
                <w:lang w:eastAsia="tr-TR"/>
              </w:rPr>
              <w:t xml:space="preserve"> haciz konulan taşınmazın idare ve </w:t>
            </w:r>
            <w:r w:rsidR="00624A27" w:rsidRPr="00D60C1D">
              <w:rPr>
                <w:rStyle w:val="Balk1Char"/>
                <w:rFonts w:eastAsia="Calibri"/>
                <w:b w:val="0"/>
                <w:color w:val="000000"/>
              </w:rPr>
              <w:t>işletilmesine</w:t>
            </w:r>
            <w:r w:rsidR="00624A27" w:rsidRPr="00A23740">
              <w:rPr>
                <w:rFonts w:eastAsia="Times New Roman"/>
                <w:color w:val="385623"/>
                <w:szCs w:val="24"/>
                <w:lang w:eastAsia="tr-TR"/>
              </w:rPr>
              <w:t xml:space="preserve"> </w:t>
            </w:r>
            <w:r w:rsidR="00203C51" w:rsidRPr="00A23740">
              <w:rPr>
                <w:rFonts w:eastAsia="Times New Roman"/>
                <w:szCs w:val="24"/>
                <w:lang w:eastAsia="tr-TR"/>
              </w:rPr>
              <w:t xml:space="preserve">yönelik tedbirler ile hasılat ve menfaatlerine ilişkin </w:t>
            </w:r>
            <w:r w:rsidR="00692A92" w:rsidRPr="00A23740">
              <w:rPr>
                <w:rFonts w:eastAsia="Times New Roman"/>
                <w:szCs w:val="24"/>
                <w:lang w:eastAsia="tr-TR"/>
              </w:rPr>
              <w:t>hususlar  düzenlenmiştir</w:t>
            </w:r>
            <w:r w:rsidR="00203C51" w:rsidRPr="00A23740">
              <w:rPr>
                <w:rFonts w:eastAsia="Times New Roman"/>
                <w:szCs w:val="24"/>
                <w:lang w:eastAsia="tr-TR"/>
              </w:rPr>
              <w:t xml:space="preserve">. </w:t>
            </w:r>
            <w:r w:rsidR="008C6F8A" w:rsidRPr="00A23740">
              <w:rPr>
                <w:rFonts w:eastAsia="Times New Roman"/>
                <w:szCs w:val="24"/>
                <w:lang w:eastAsia="tr-TR"/>
              </w:rPr>
              <w:t>Hüküm, 2004 sayılı Kanunun 92 nci maddesine karşılık gelmektedir.</w:t>
            </w:r>
            <w:r w:rsidR="00CA1D60" w:rsidRPr="00A23740">
              <w:rPr>
                <w:rFonts w:eastAsia="Times New Roman"/>
                <w:szCs w:val="24"/>
                <w:lang w:eastAsia="tr-TR"/>
              </w:rPr>
              <w:t xml:space="preserve"> </w:t>
            </w:r>
            <w:r w:rsidR="00CA1D60" w:rsidRPr="00D60C1D">
              <w:rPr>
                <w:rStyle w:val="YELChar"/>
                <w:b w:val="0"/>
                <w:color w:val="000000"/>
              </w:rPr>
              <w:t>Taslakla yapılan değişiklikler ifade şekline yönelik olup</w:t>
            </w:r>
            <w:r w:rsidR="00692A92" w:rsidRPr="00D60C1D">
              <w:rPr>
                <w:rStyle w:val="YELChar"/>
                <w:b w:val="0"/>
                <w:color w:val="000000"/>
              </w:rPr>
              <w:t>,</w:t>
            </w:r>
            <w:r w:rsidR="00CA1D60" w:rsidRPr="00D60C1D">
              <w:rPr>
                <w:rStyle w:val="YELChar"/>
                <w:b w:val="0"/>
                <w:color w:val="000000"/>
              </w:rPr>
              <w:t xml:space="preserve"> söz konusu 92 nci madde</w:t>
            </w:r>
            <w:r w:rsidR="00692A92" w:rsidRPr="00D60C1D">
              <w:rPr>
                <w:rStyle w:val="YELChar"/>
                <w:b w:val="0"/>
                <w:color w:val="000000"/>
              </w:rPr>
              <w:t xml:space="preserve"> ile</w:t>
            </w:r>
            <w:r w:rsidR="00CA1D60" w:rsidRPr="00D60C1D">
              <w:rPr>
                <w:rStyle w:val="YELChar"/>
                <w:b w:val="0"/>
                <w:color w:val="000000"/>
              </w:rPr>
              <w:t xml:space="preserve"> Taslağın 185 inci</w:t>
            </w:r>
            <w:r w:rsidR="00EA1B22" w:rsidRPr="00A23740">
              <w:rPr>
                <w:rStyle w:val="YELChar"/>
              </w:rPr>
              <w:t xml:space="preserve"> </w:t>
            </w:r>
            <w:r w:rsidR="00CA1D60" w:rsidRPr="00D60C1D">
              <w:rPr>
                <w:rStyle w:val="YELChar"/>
                <w:b w:val="0"/>
                <w:color w:val="000000"/>
              </w:rPr>
              <w:t>maddesi arasında hüküm farkı bulunmamaktadır.</w:t>
            </w:r>
          </w:p>
          <w:p w:rsidR="002F798A" w:rsidRPr="00A23740" w:rsidRDefault="00203C51" w:rsidP="009431FF">
            <w:pPr>
              <w:ind w:firstLine="709"/>
              <w:rPr>
                <w:rFonts w:eastAsia="Times New Roman"/>
                <w:bCs/>
                <w:lang w:eastAsia="tr-TR"/>
              </w:rPr>
            </w:pPr>
            <w:r w:rsidRPr="00A23740">
              <w:rPr>
                <w:rFonts w:eastAsia="Times New Roman"/>
                <w:bCs/>
                <w:lang w:eastAsia="tr-TR"/>
              </w:rPr>
              <w:t>Birinci fıkrayla</w:t>
            </w:r>
            <w:r w:rsidR="002F798A" w:rsidRPr="00A23740">
              <w:rPr>
                <w:rFonts w:eastAsia="Times New Roman"/>
                <w:bCs/>
                <w:lang w:eastAsia="tr-TR"/>
              </w:rPr>
              <w:t>,</w:t>
            </w:r>
            <w:r w:rsidRPr="00A23740">
              <w:rPr>
                <w:rFonts w:eastAsia="Times New Roman"/>
                <w:bCs/>
                <w:lang w:eastAsia="tr-TR"/>
              </w:rPr>
              <w:t xml:space="preserve"> taşınmazın haczedilmesinin o taşınmaza ait hasılat ve menfaatleri de kapsayacağı</w:t>
            </w:r>
            <w:r w:rsidR="00692A92" w:rsidRPr="00A23740">
              <w:rPr>
                <w:rFonts w:eastAsia="Times New Roman"/>
                <w:bCs/>
                <w:lang w:eastAsia="tr-TR"/>
              </w:rPr>
              <w:t>,</w:t>
            </w:r>
            <w:r w:rsidRPr="00A23740">
              <w:rPr>
                <w:rFonts w:eastAsia="Times New Roman"/>
                <w:bCs/>
                <w:lang w:eastAsia="tr-TR"/>
              </w:rPr>
              <w:t xml:space="preserve"> ancak </w:t>
            </w:r>
            <w:r w:rsidR="00C94649" w:rsidRPr="00A23740">
              <w:rPr>
                <w:rFonts w:eastAsia="Times New Roman"/>
                <w:bCs/>
                <w:lang w:eastAsia="tr-TR"/>
              </w:rPr>
              <w:t xml:space="preserve"> rehinli </w:t>
            </w:r>
            <w:r w:rsidRPr="00A23740">
              <w:rPr>
                <w:rFonts w:eastAsia="Times New Roman"/>
                <w:bCs/>
                <w:lang w:eastAsia="tr-TR"/>
              </w:rPr>
              <w:t>alacaklıla</w:t>
            </w:r>
            <w:r w:rsidR="002F798A" w:rsidRPr="00A23740">
              <w:rPr>
                <w:rFonts w:eastAsia="Times New Roman"/>
                <w:bCs/>
                <w:lang w:eastAsia="tr-TR"/>
              </w:rPr>
              <w:t xml:space="preserve">rın haklarına zarar vermeyeceği hükme bağlanmaktadır. </w:t>
            </w:r>
          </w:p>
          <w:p w:rsidR="002F798A" w:rsidRPr="00A23740" w:rsidRDefault="002F798A" w:rsidP="009431FF">
            <w:pPr>
              <w:ind w:firstLine="709"/>
              <w:rPr>
                <w:rFonts w:eastAsia="Times New Roman"/>
                <w:bCs/>
                <w:lang w:eastAsia="tr-TR"/>
              </w:rPr>
            </w:pPr>
            <w:r w:rsidRPr="00A23740">
              <w:rPr>
                <w:rFonts w:eastAsia="Times New Roman"/>
                <w:bCs/>
                <w:lang w:eastAsia="tr-TR"/>
              </w:rPr>
              <w:t>İkinci fıkrayla,</w:t>
            </w:r>
            <w:r w:rsidR="00203C51" w:rsidRPr="00A23740">
              <w:rPr>
                <w:rFonts w:eastAsia="Times New Roman"/>
                <w:bCs/>
                <w:lang w:eastAsia="tr-TR"/>
              </w:rPr>
              <w:t xml:space="preserve"> icra ve iflas dairesince taşınmaz haczinin rehin</w:t>
            </w:r>
            <w:r w:rsidR="00C94649" w:rsidRPr="00A23740">
              <w:rPr>
                <w:rFonts w:eastAsia="Times New Roman"/>
                <w:bCs/>
                <w:lang w:eastAsia="tr-TR"/>
              </w:rPr>
              <w:t>li</w:t>
            </w:r>
            <w:r w:rsidR="00203C51" w:rsidRPr="00A23740">
              <w:rPr>
                <w:rFonts w:eastAsia="Times New Roman"/>
                <w:bCs/>
                <w:lang w:eastAsia="tr-TR"/>
              </w:rPr>
              <w:t xml:space="preserve"> alacaklıla</w:t>
            </w:r>
            <w:r w:rsidRPr="00A23740">
              <w:rPr>
                <w:rFonts w:eastAsia="Times New Roman"/>
                <w:bCs/>
                <w:lang w:eastAsia="tr-TR"/>
              </w:rPr>
              <w:t xml:space="preserve">r ile kiracılara bildirileceği düzenlenmektedir. </w:t>
            </w:r>
          </w:p>
          <w:p w:rsidR="008C6F8A" w:rsidRPr="00A23740" w:rsidRDefault="002F798A" w:rsidP="009431FF">
            <w:pPr>
              <w:ind w:firstLine="709"/>
              <w:rPr>
                <w:rFonts w:eastAsia="Times New Roman"/>
                <w:b/>
                <w:color w:val="000000"/>
                <w:szCs w:val="24"/>
                <w:lang w:eastAsia="tr-TR"/>
              </w:rPr>
            </w:pPr>
            <w:r w:rsidRPr="00A23740">
              <w:rPr>
                <w:rFonts w:eastAsia="Times New Roman"/>
                <w:bCs/>
                <w:lang w:eastAsia="tr-TR"/>
              </w:rPr>
              <w:t xml:space="preserve">Üçüncü fıkrayla, </w:t>
            </w:r>
            <w:r w:rsidR="00203C51" w:rsidRPr="00A23740">
              <w:rPr>
                <w:rFonts w:eastAsia="Times New Roman"/>
                <w:bCs/>
                <w:lang w:eastAsia="tr-TR"/>
              </w:rPr>
              <w:t xml:space="preserve">taşınmazın idare ve </w:t>
            </w:r>
            <w:r w:rsidR="00624A27" w:rsidRPr="00D60C1D">
              <w:rPr>
                <w:rFonts w:eastAsia="Times New Roman"/>
                <w:bCs/>
                <w:color w:val="000000"/>
                <w:lang w:eastAsia="tr-TR"/>
              </w:rPr>
              <w:t>işletilmesi</w:t>
            </w:r>
            <w:r w:rsidR="00624A27" w:rsidRPr="00A23740">
              <w:rPr>
                <w:rFonts w:eastAsia="Times New Roman"/>
                <w:bCs/>
                <w:color w:val="385623"/>
                <w:lang w:eastAsia="tr-TR"/>
              </w:rPr>
              <w:t xml:space="preserve"> </w:t>
            </w:r>
            <w:r w:rsidR="00203C51" w:rsidRPr="00A23740">
              <w:rPr>
                <w:rFonts w:eastAsia="Times New Roman"/>
                <w:bCs/>
                <w:lang w:eastAsia="tr-TR"/>
              </w:rPr>
              <w:t xml:space="preserve">ile eklentilerin korunması için tedbir alınacağı, bu tedbirlerin nelerden ibaret olduğu </w:t>
            </w:r>
            <w:r w:rsidRPr="00A23740">
              <w:rPr>
                <w:rFonts w:eastAsia="Times New Roman"/>
                <w:bCs/>
                <w:lang w:eastAsia="tr-TR"/>
              </w:rPr>
              <w:t>hüküm altına alınmaktadır</w:t>
            </w:r>
            <w:r w:rsidR="00203C51" w:rsidRPr="00A23740">
              <w:rPr>
                <w:rFonts w:eastAsia="Times New Roman"/>
                <w:bCs/>
                <w:lang w:eastAsia="tr-TR"/>
              </w:rPr>
              <w:t>.</w:t>
            </w:r>
          </w:p>
          <w:p w:rsidR="00203C51" w:rsidRPr="00A23740" w:rsidRDefault="00203C51" w:rsidP="007136A5">
            <w:pPr>
              <w:tabs>
                <w:tab w:val="left" w:pos="567"/>
              </w:tabs>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40"/>
                <w:tab w:val="left" w:pos="567"/>
                <w:tab w:val="left" w:pos="2160"/>
              </w:tabs>
              <w:rPr>
                <w:rFonts w:eastAsia="Times New Roman"/>
                <w:szCs w:val="24"/>
                <w:lang w:eastAsia="tr-TR"/>
              </w:rPr>
            </w:pPr>
            <w:r w:rsidRPr="00A23740">
              <w:rPr>
                <w:rStyle w:val="KIRMIZIChar"/>
                <w:rFonts w:eastAsia="Calibri"/>
              </w:rPr>
              <w:t>Mahsullerin</w:t>
            </w:r>
            <w:r w:rsidRPr="00A23740">
              <w:rPr>
                <w:rFonts w:eastAsia="Times New Roman"/>
                <w:szCs w:val="24"/>
                <w:lang w:eastAsia="tr-TR"/>
              </w:rPr>
              <w:t xml:space="preserve"> toplanması, </w:t>
            </w:r>
            <w:r w:rsidRPr="00A23740">
              <w:rPr>
                <w:rStyle w:val="KIRMIZIChar"/>
                <w:rFonts w:eastAsia="Calibri"/>
              </w:rPr>
              <w:t>borçlunun hakkı</w:t>
            </w:r>
            <w:r w:rsidRPr="00A23740">
              <w:rPr>
                <w:rStyle w:val="KIRMIZIChar"/>
                <w:rFonts w:eastAsia="ヒラギノ明朝 Pro W3"/>
              </w:rPr>
              <w:t>:</w:t>
            </w:r>
          </w:p>
          <w:p w:rsidR="00AA5C8C" w:rsidRPr="00A23740" w:rsidRDefault="00AA5C8C" w:rsidP="009431FF">
            <w:pPr>
              <w:tabs>
                <w:tab w:val="left" w:pos="540"/>
                <w:tab w:val="left" w:pos="567"/>
                <w:tab w:val="left" w:pos="2160"/>
              </w:tabs>
              <w:rPr>
                <w:rFonts w:eastAsia="Times New Roman"/>
                <w:szCs w:val="24"/>
                <w:lang w:eastAsia="tr-TR"/>
              </w:rPr>
            </w:pPr>
            <w:r w:rsidRPr="00A23740">
              <w:rPr>
                <w:rStyle w:val="KIRMIZIChar"/>
                <w:rFonts w:eastAsia="Calibri"/>
              </w:rPr>
              <w:t>Madde 93 – (1)</w:t>
            </w:r>
            <w:r w:rsidRPr="00A23740">
              <w:rPr>
                <w:rFonts w:eastAsia="Times New Roman"/>
                <w:b/>
                <w:szCs w:val="24"/>
                <w:lang w:eastAsia="tr-TR"/>
              </w:rPr>
              <w:t xml:space="preserve"> </w:t>
            </w:r>
            <w:r w:rsidRPr="00A23740">
              <w:rPr>
                <w:rFonts w:eastAsia="Times New Roman"/>
                <w:szCs w:val="24"/>
                <w:lang w:eastAsia="tr-TR"/>
              </w:rPr>
              <w:t xml:space="preserve">İcra dairesi </w:t>
            </w:r>
            <w:r w:rsidRPr="00A23740">
              <w:rPr>
                <w:rStyle w:val="KIRMIZIChar"/>
                <w:rFonts w:eastAsia="Calibri"/>
              </w:rPr>
              <w:t>mahsullerin</w:t>
            </w:r>
            <w:r w:rsidRPr="00A23740">
              <w:rPr>
                <w:rFonts w:eastAsia="Times New Roman"/>
                <w:szCs w:val="24"/>
                <w:lang w:eastAsia="tr-TR"/>
              </w:rPr>
              <w:t xml:space="preserve"> toplanması için </w:t>
            </w:r>
            <w:r w:rsidRPr="00A23740">
              <w:rPr>
                <w:rFonts w:eastAsia="ヒラギノ明朝 Pro W3"/>
                <w:b/>
                <w:strike/>
                <w:color w:val="FF0000"/>
                <w:szCs w:val="24"/>
              </w:rPr>
              <w:t>lazım gelen</w:t>
            </w:r>
            <w:r w:rsidRPr="00A23740">
              <w:rPr>
                <w:rFonts w:eastAsia="Times New Roman"/>
                <w:szCs w:val="24"/>
                <w:lang w:eastAsia="tr-TR"/>
              </w:rPr>
              <w:t xml:space="preserve"> tedbirleri alır.</w:t>
            </w:r>
          </w:p>
          <w:p w:rsidR="00AA5C8C" w:rsidRPr="00A23740" w:rsidRDefault="00AA5C8C" w:rsidP="009431FF">
            <w:pPr>
              <w:tabs>
                <w:tab w:val="left" w:pos="540"/>
                <w:tab w:val="left" w:pos="567"/>
                <w:tab w:val="left" w:pos="2160"/>
              </w:tabs>
              <w:rPr>
                <w:rFonts w:eastAsia="Times New Roman"/>
                <w:szCs w:val="24"/>
                <w:lang w:eastAsia="tr-TR"/>
              </w:rPr>
            </w:pPr>
          </w:p>
          <w:p w:rsidR="00AA5C8C" w:rsidRPr="00A23740" w:rsidRDefault="00AA5C8C" w:rsidP="009431FF">
            <w:pPr>
              <w:tabs>
                <w:tab w:val="left" w:pos="540"/>
                <w:tab w:val="left" w:pos="567"/>
                <w:tab w:val="left" w:pos="2160"/>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Borçlunun </w:t>
            </w:r>
            <w:r w:rsidRPr="00A23740">
              <w:rPr>
                <w:rStyle w:val="KIRMIZIChar"/>
                <w:rFonts w:eastAsia="Calibri"/>
              </w:rPr>
              <w:t>geçineceği</w:t>
            </w:r>
            <w:r w:rsidRPr="00A23740">
              <w:rPr>
                <w:rFonts w:eastAsia="Times New Roman"/>
                <w:szCs w:val="24"/>
                <w:lang w:eastAsia="tr-TR"/>
              </w:rPr>
              <w:t xml:space="preserve"> yoksa kendisinin ve ailesinin geçi</w:t>
            </w:r>
            <w:r w:rsidRPr="00A23740">
              <w:rPr>
                <w:rStyle w:val="KIRMIZIChar"/>
                <w:rFonts w:eastAsia="Calibri"/>
              </w:rPr>
              <w:t>nmeleri</w:t>
            </w:r>
            <w:r w:rsidRPr="00A23740">
              <w:rPr>
                <w:rFonts w:eastAsia="Times New Roman"/>
                <w:szCs w:val="24"/>
                <w:lang w:eastAsia="tr-TR"/>
              </w:rPr>
              <w:t xml:space="preserve"> için </w:t>
            </w:r>
            <w:r w:rsidRPr="00A23740">
              <w:rPr>
                <w:rFonts w:eastAsia="ヒラギノ明朝 Pro W3"/>
                <w:b/>
                <w:strike/>
                <w:color w:val="FF0000"/>
                <w:szCs w:val="24"/>
              </w:rPr>
              <w:t>kafi</w:t>
            </w:r>
            <w:r w:rsidRPr="00A23740">
              <w:rPr>
                <w:rFonts w:eastAsia="Times New Roman"/>
                <w:szCs w:val="24"/>
                <w:lang w:eastAsia="tr-TR"/>
              </w:rPr>
              <w:t xml:space="preserve"> </w:t>
            </w:r>
            <w:r w:rsidRPr="00A23740">
              <w:rPr>
                <w:rStyle w:val="KIRMIZIChar"/>
                <w:rFonts w:eastAsia="Calibri"/>
              </w:rPr>
              <w:t>miktar</w:t>
            </w:r>
            <w:r w:rsidRPr="00A23740">
              <w:rPr>
                <w:rFonts w:eastAsia="Times New Roman"/>
                <w:szCs w:val="24"/>
                <w:lang w:eastAsia="tr-TR"/>
              </w:rPr>
              <w:t xml:space="preserve"> </w:t>
            </w:r>
            <w:r w:rsidRPr="00A23740">
              <w:rPr>
                <w:rStyle w:val="KIRMIZIChar"/>
                <w:rFonts w:eastAsia="Calibri"/>
              </w:rPr>
              <w:t>mahsulden</w:t>
            </w:r>
            <w:r w:rsidRPr="00A23740">
              <w:rPr>
                <w:rFonts w:eastAsia="Times New Roman"/>
                <w:szCs w:val="24"/>
                <w:lang w:eastAsia="tr-TR"/>
              </w:rPr>
              <w:t xml:space="preserve"> veya </w:t>
            </w:r>
            <w:r w:rsidRPr="00A23740">
              <w:rPr>
                <w:rStyle w:val="KIRMIZIChar"/>
                <w:rFonts w:eastAsia="Calibri"/>
              </w:rPr>
              <w:t>satıldıkça</w:t>
            </w:r>
            <w:r w:rsidRPr="00A23740">
              <w:rPr>
                <w:rFonts w:eastAsia="Times New Roman"/>
                <w:szCs w:val="24"/>
                <w:lang w:eastAsia="tr-TR"/>
              </w:rPr>
              <w:t xml:space="preserve"> bedelinden </w:t>
            </w:r>
            <w:r w:rsidRPr="00A23740">
              <w:rPr>
                <w:rFonts w:eastAsia="ヒラギノ明朝 Pro W3"/>
                <w:b/>
                <w:strike/>
                <w:color w:val="FF0000"/>
                <w:szCs w:val="24"/>
              </w:rPr>
              <w:t>münasip</w:t>
            </w:r>
            <w:r w:rsidRPr="00A23740">
              <w:rPr>
                <w:rFonts w:eastAsia="Times New Roman"/>
                <w:szCs w:val="24"/>
                <w:lang w:eastAsia="tr-TR"/>
              </w:rPr>
              <w:t xml:space="preserve"> miktar kendisine bırakılır.</w:t>
            </w:r>
          </w:p>
        </w:tc>
        <w:tc>
          <w:tcPr>
            <w:tcW w:w="2500" w:type="pct"/>
          </w:tcPr>
          <w:p w:rsidR="00AA5C8C" w:rsidRPr="00A23740" w:rsidRDefault="00AA5C8C" w:rsidP="009431FF">
            <w:pPr>
              <w:tabs>
                <w:tab w:val="left" w:pos="540"/>
                <w:tab w:val="left" w:pos="567"/>
                <w:tab w:val="left" w:pos="2160"/>
              </w:tabs>
              <w:rPr>
                <w:rFonts w:eastAsia="Times New Roman"/>
                <w:b/>
                <w:szCs w:val="24"/>
                <w:lang w:eastAsia="tr-TR"/>
              </w:rPr>
            </w:pPr>
            <w:r w:rsidRPr="00A23740">
              <w:rPr>
                <w:rStyle w:val="MaviChar"/>
                <w:lang w:val="tr-TR"/>
              </w:rPr>
              <w:t xml:space="preserve">Taşınmazlarda </w:t>
            </w:r>
            <w:r w:rsidRPr="00A23740">
              <w:rPr>
                <w:rStyle w:val="MaviChar"/>
              </w:rPr>
              <w:t>ürünlerin</w:t>
            </w:r>
            <w:r w:rsidRPr="00A23740">
              <w:rPr>
                <w:rStyle w:val="MaviChar"/>
                <w:lang w:val="tr-TR"/>
              </w:rPr>
              <w:t xml:space="preserve"> </w:t>
            </w:r>
            <w:r w:rsidRPr="00A23740">
              <w:rPr>
                <w:rFonts w:eastAsia="Times New Roman"/>
                <w:b/>
                <w:szCs w:val="24"/>
                <w:lang w:eastAsia="tr-TR"/>
              </w:rPr>
              <w:t>toplanması</w:t>
            </w:r>
          </w:p>
          <w:p w:rsidR="00AA5C8C" w:rsidRPr="00A23740" w:rsidRDefault="00AA5C8C" w:rsidP="009431FF">
            <w:pPr>
              <w:tabs>
                <w:tab w:val="left" w:pos="540"/>
                <w:tab w:val="left" w:pos="567"/>
                <w:tab w:val="left" w:pos="2160"/>
              </w:tabs>
              <w:rPr>
                <w:rFonts w:eastAsia="Times New Roman"/>
                <w:szCs w:val="24"/>
                <w:lang w:eastAsia="tr-TR"/>
              </w:rPr>
            </w:pPr>
            <w:r w:rsidRPr="00A23740">
              <w:rPr>
                <w:rStyle w:val="MaviChar"/>
                <w:lang w:val="tr-TR"/>
              </w:rPr>
              <w:t xml:space="preserve">MADDE </w:t>
            </w:r>
            <w:r w:rsidR="0025794C" w:rsidRPr="00A23740">
              <w:rPr>
                <w:rStyle w:val="MaviChar"/>
              </w:rPr>
              <w:t>190</w:t>
            </w:r>
            <w:r w:rsidRPr="00A23740">
              <w:rPr>
                <w:rStyle w:val="MAVChar"/>
                <w:rFonts w:eastAsia="Calibri"/>
                <w:u w:val="none"/>
              </w:rPr>
              <w:t>-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 xml:space="preserve">İcra </w:t>
            </w:r>
            <w:r w:rsidRPr="00A23740">
              <w:rPr>
                <w:rStyle w:val="MaviChar"/>
              </w:rPr>
              <w:t>ve iflas</w:t>
            </w:r>
            <w:r w:rsidRPr="00A23740">
              <w:rPr>
                <w:rFonts w:eastAsia="Times New Roman"/>
                <w:szCs w:val="24"/>
                <w:lang w:eastAsia="tr-TR"/>
              </w:rPr>
              <w:t xml:space="preserve"> dairesi</w:t>
            </w:r>
            <w:r w:rsidRPr="00A23740">
              <w:rPr>
                <w:rStyle w:val="MaviChar"/>
              </w:rPr>
              <w:t>,</w:t>
            </w:r>
            <w:r w:rsidRPr="00A23740">
              <w:rPr>
                <w:rFonts w:eastAsia="Times New Roman"/>
                <w:szCs w:val="24"/>
                <w:lang w:eastAsia="tr-TR"/>
              </w:rPr>
              <w:t xml:space="preserve"> </w:t>
            </w:r>
            <w:r w:rsidR="009D575D" w:rsidRPr="00D03F47">
              <w:rPr>
                <w:rStyle w:val="Balk1Char"/>
                <w:rFonts w:eastAsia="ヒラギノ明朝 Pro W3"/>
              </w:rPr>
              <w:t>taşınmazın</w:t>
            </w:r>
            <w:r w:rsidR="009D575D" w:rsidRPr="00A23740">
              <w:rPr>
                <w:rFonts w:eastAsia="Times New Roman"/>
                <w:szCs w:val="24"/>
                <w:lang w:eastAsia="tr-TR"/>
              </w:rPr>
              <w:t xml:space="preserve"> </w:t>
            </w:r>
            <w:r w:rsidRPr="00A23740">
              <w:rPr>
                <w:rStyle w:val="MaviChar"/>
              </w:rPr>
              <w:t>ürünler</w:t>
            </w:r>
            <w:r w:rsidRPr="00D03F47">
              <w:rPr>
                <w:rStyle w:val="Balk1Char"/>
                <w:rFonts w:eastAsia="Calibri"/>
              </w:rPr>
              <w:t>in</w:t>
            </w:r>
            <w:r w:rsidR="009D575D" w:rsidRPr="00D03F47">
              <w:rPr>
                <w:rStyle w:val="Balk1Char"/>
                <w:rFonts w:eastAsia="ヒラギノ明朝 Pro W3"/>
              </w:rPr>
              <w:t>in</w:t>
            </w:r>
            <w:r w:rsidRPr="00A23740">
              <w:rPr>
                <w:rFonts w:eastAsia="Times New Roman"/>
                <w:szCs w:val="24"/>
                <w:lang w:eastAsia="tr-TR"/>
              </w:rPr>
              <w:t xml:space="preserve"> toplanması için </w:t>
            </w:r>
            <w:r w:rsidRPr="00A23740">
              <w:rPr>
                <w:rFonts w:eastAsia="Times New Roman"/>
                <w:b/>
                <w:color w:val="0000FF"/>
                <w:szCs w:val="24"/>
                <w:lang w:eastAsia="tr-TR"/>
              </w:rPr>
              <w:t>gerekli</w:t>
            </w:r>
            <w:r w:rsidRPr="00A23740">
              <w:rPr>
                <w:rFonts w:eastAsia="Times New Roman"/>
                <w:szCs w:val="24"/>
                <w:lang w:eastAsia="tr-TR"/>
              </w:rPr>
              <w:t xml:space="preserve"> tedbirleri alır.</w:t>
            </w:r>
          </w:p>
          <w:p w:rsidR="00AA5C8C" w:rsidRPr="00A23740" w:rsidRDefault="00AA5C8C" w:rsidP="009431FF">
            <w:pPr>
              <w:tabs>
                <w:tab w:val="left" w:pos="540"/>
                <w:tab w:val="left" w:pos="567"/>
                <w:tab w:val="left" w:pos="2160"/>
              </w:tabs>
              <w:rPr>
                <w:rFonts w:eastAsia="Times New Roman"/>
                <w:szCs w:val="24"/>
                <w:lang w:eastAsia="tr-TR"/>
              </w:rPr>
            </w:pPr>
          </w:p>
          <w:p w:rsidR="00AA5C8C" w:rsidRPr="00A23740" w:rsidRDefault="00AA5C8C" w:rsidP="009431FF">
            <w:pPr>
              <w:tabs>
                <w:tab w:val="left" w:pos="540"/>
                <w:tab w:val="left" w:pos="567"/>
                <w:tab w:val="left" w:pos="2160"/>
              </w:tabs>
              <w:rPr>
                <w:rFonts w:eastAsia="Times New Roman"/>
                <w:szCs w:val="24"/>
                <w:lang w:eastAsia="tr-TR"/>
              </w:rPr>
            </w:pPr>
            <w:r w:rsidRPr="00A23740">
              <w:rPr>
                <w:rFonts w:eastAsia="Times New Roman"/>
                <w:b/>
                <w:color w:val="0000FF"/>
                <w:szCs w:val="24"/>
                <w:lang w:eastAsia="tr-TR"/>
              </w:rPr>
              <w:t>(2)</w:t>
            </w:r>
            <w:r w:rsidRPr="00A23740">
              <w:rPr>
                <w:rFonts w:eastAsia="Times New Roman"/>
                <w:b/>
                <w:szCs w:val="24"/>
                <w:lang w:eastAsia="tr-TR"/>
              </w:rPr>
              <w:t xml:space="preserve"> </w:t>
            </w:r>
            <w:r w:rsidRPr="00A23740">
              <w:rPr>
                <w:rFonts w:eastAsia="Times New Roman"/>
                <w:szCs w:val="24"/>
                <w:lang w:eastAsia="tr-TR"/>
              </w:rPr>
              <w:t xml:space="preserve">Borçlunun </w:t>
            </w:r>
            <w:r w:rsidRPr="00A23740">
              <w:rPr>
                <w:rStyle w:val="MaviChar"/>
              </w:rPr>
              <w:t>geçimini sağlayacak yeterli geliri</w:t>
            </w:r>
            <w:r w:rsidRPr="00A23740">
              <w:rPr>
                <w:rFonts w:eastAsia="Times New Roman"/>
                <w:szCs w:val="24"/>
                <w:lang w:eastAsia="tr-TR"/>
              </w:rPr>
              <w:t xml:space="preserve"> yoksa</w:t>
            </w:r>
            <w:r w:rsidRPr="00A23740">
              <w:rPr>
                <w:rStyle w:val="MaviChar"/>
              </w:rPr>
              <w:t>,</w:t>
            </w:r>
            <w:r w:rsidRPr="00A23740">
              <w:rPr>
                <w:rFonts w:eastAsia="Times New Roman"/>
                <w:szCs w:val="24"/>
                <w:lang w:eastAsia="tr-TR"/>
              </w:rPr>
              <w:t xml:space="preserve"> kendisinin ve ailesinin geçi</w:t>
            </w:r>
            <w:r w:rsidRPr="00A23740">
              <w:rPr>
                <w:rStyle w:val="MaviChar"/>
              </w:rPr>
              <w:t>mi</w:t>
            </w:r>
            <w:r w:rsidRPr="00A23740">
              <w:rPr>
                <w:rFonts w:eastAsia="Times New Roman"/>
                <w:szCs w:val="24"/>
                <w:lang w:eastAsia="tr-TR"/>
              </w:rPr>
              <w:t xml:space="preserve"> için </w:t>
            </w:r>
            <w:r w:rsidRPr="00A23740">
              <w:rPr>
                <w:rStyle w:val="MaviChar"/>
              </w:rPr>
              <w:t>ürün</w:t>
            </w:r>
            <w:r w:rsidR="009D575D" w:rsidRPr="00D03F47">
              <w:rPr>
                <w:rStyle w:val="Balk1Char"/>
                <w:rFonts w:eastAsia="ヒラギノ明朝 Pro W3"/>
              </w:rPr>
              <w:t>ler</w:t>
            </w:r>
            <w:r w:rsidRPr="00A23740">
              <w:rPr>
                <w:rStyle w:val="MaviChar"/>
              </w:rPr>
              <w:t>den</w:t>
            </w:r>
            <w:r w:rsidRPr="00A23740">
              <w:rPr>
                <w:rStyle w:val="MaviChar"/>
                <w:lang w:val="tr-TR"/>
              </w:rPr>
              <w:t xml:space="preserve"> </w:t>
            </w:r>
            <w:r w:rsidRPr="00A23740">
              <w:rPr>
                <w:rFonts w:eastAsia="Times New Roman"/>
                <w:szCs w:val="24"/>
                <w:lang w:eastAsia="tr-TR"/>
              </w:rPr>
              <w:t xml:space="preserve">veya </w:t>
            </w:r>
            <w:r w:rsidR="009D575D" w:rsidRPr="00D03F47">
              <w:rPr>
                <w:rStyle w:val="Balk1Char"/>
                <w:rFonts w:eastAsia="ヒラギノ明朝 Pro W3"/>
              </w:rPr>
              <w:t>bunlar satıldıkça</w:t>
            </w:r>
            <w:r w:rsidR="009D575D" w:rsidRPr="00A23740">
              <w:rPr>
                <w:rFonts w:eastAsia="Times New Roman"/>
                <w:szCs w:val="24"/>
                <w:lang w:eastAsia="tr-TR"/>
              </w:rPr>
              <w:t xml:space="preserve"> </w:t>
            </w:r>
            <w:r w:rsidRPr="00A23740">
              <w:rPr>
                <w:rFonts w:eastAsia="Times New Roman"/>
                <w:szCs w:val="24"/>
                <w:lang w:eastAsia="tr-TR"/>
              </w:rPr>
              <w:t>bedel</w:t>
            </w:r>
            <w:r w:rsidR="009D575D" w:rsidRPr="00D03F47">
              <w:rPr>
                <w:rStyle w:val="Balk1Char"/>
                <w:rFonts w:eastAsia="ヒラギノ明朝 Pro W3"/>
              </w:rPr>
              <w:t>ler</w:t>
            </w:r>
            <w:r w:rsidRPr="00A23740">
              <w:rPr>
                <w:rFonts w:eastAsia="Times New Roman"/>
                <w:szCs w:val="24"/>
                <w:lang w:eastAsia="tr-TR"/>
              </w:rPr>
              <w:t xml:space="preserve">inden </w:t>
            </w:r>
            <w:r w:rsidRPr="00A23740">
              <w:rPr>
                <w:rFonts w:eastAsia="Times New Roman"/>
                <w:b/>
                <w:color w:val="0000FF"/>
                <w:szCs w:val="24"/>
                <w:lang w:eastAsia="tr-TR"/>
              </w:rPr>
              <w:t>uygun</w:t>
            </w:r>
            <w:r w:rsidRPr="00A23740">
              <w:rPr>
                <w:rFonts w:eastAsia="Times New Roman"/>
                <w:szCs w:val="24"/>
                <w:lang w:eastAsia="tr-TR"/>
              </w:rPr>
              <w:t xml:space="preserve"> miktar kendisine bırakılır.</w:t>
            </w:r>
          </w:p>
          <w:p w:rsidR="0070245D" w:rsidRPr="00A23740" w:rsidRDefault="0070245D" w:rsidP="009431FF">
            <w:pPr>
              <w:tabs>
                <w:tab w:val="left" w:pos="540"/>
                <w:tab w:val="left" w:pos="567"/>
                <w:tab w:val="left" w:pos="2160"/>
              </w:tabs>
              <w:rPr>
                <w:rFonts w:eastAsia="Times New Roman"/>
                <w:szCs w:val="24"/>
                <w:lang w:eastAsia="tr-TR"/>
              </w:rPr>
            </w:pPr>
          </w:p>
        </w:tc>
      </w:tr>
      <w:tr w:rsidR="00203C51" w:rsidRPr="00A23740" w:rsidTr="009431FF">
        <w:tblPrEx>
          <w:tblLook w:val="01E0" w:firstRow="1" w:lastRow="1" w:firstColumn="1" w:lastColumn="1" w:noHBand="0" w:noVBand="0"/>
        </w:tblPrEx>
        <w:tc>
          <w:tcPr>
            <w:tcW w:w="5000" w:type="pct"/>
            <w:gridSpan w:val="2"/>
            <w:shd w:val="clear" w:color="auto" w:fill="DEEAF6"/>
          </w:tcPr>
          <w:p w:rsidR="00203C51" w:rsidRPr="00A23740" w:rsidRDefault="00203C51" w:rsidP="009431FF">
            <w:pPr>
              <w:ind w:firstLine="709"/>
              <w:rPr>
                <w:rFonts w:eastAsia="Times New Roman"/>
                <w:b/>
                <w:color w:val="000000"/>
                <w:szCs w:val="24"/>
                <w:lang w:eastAsia="tr-TR"/>
              </w:rPr>
            </w:pPr>
          </w:p>
          <w:p w:rsidR="009D575D" w:rsidRPr="00A23740" w:rsidRDefault="007C3593" w:rsidP="009431FF">
            <w:pPr>
              <w:ind w:firstLine="709"/>
              <w:rPr>
                <w:rStyle w:val="YELChar"/>
              </w:rPr>
            </w:pPr>
            <w:r w:rsidRPr="00A23740">
              <w:rPr>
                <w:rStyle w:val="MaviChar"/>
                <w:color w:val="auto"/>
                <w:lang w:val="tr-TR"/>
              </w:rPr>
              <w:t xml:space="preserve">MADDE </w:t>
            </w:r>
            <w:r w:rsidR="0025794C" w:rsidRPr="00A23740">
              <w:rPr>
                <w:rStyle w:val="MaviChar"/>
                <w:color w:val="auto"/>
                <w:lang w:val="tr-TR"/>
              </w:rPr>
              <w:t>190-</w:t>
            </w:r>
            <w:r w:rsidR="00203C51" w:rsidRPr="00A23740">
              <w:rPr>
                <w:rStyle w:val="MaviChar"/>
                <w:lang w:val="tr-TR"/>
              </w:rPr>
              <w:t xml:space="preserve"> </w:t>
            </w:r>
            <w:r w:rsidR="00203C51" w:rsidRPr="00A23740">
              <w:rPr>
                <w:rFonts w:eastAsia="Times New Roman"/>
                <w:bCs/>
                <w:lang w:eastAsia="tr-TR"/>
              </w:rPr>
              <w:t>Maddeyle</w:t>
            </w:r>
            <w:r w:rsidR="002F798A" w:rsidRPr="00A23740">
              <w:rPr>
                <w:rFonts w:eastAsia="Times New Roman"/>
                <w:bCs/>
                <w:lang w:eastAsia="tr-TR"/>
              </w:rPr>
              <w:t>,</w:t>
            </w:r>
            <w:r w:rsidR="00203C51" w:rsidRPr="00A23740">
              <w:rPr>
                <w:rFonts w:eastAsia="Times New Roman"/>
                <w:bCs/>
                <w:lang w:eastAsia="tr-TR"/>
              </w:rPr>
              <w:t xml:space="preserve"> taşınmazlarda bulunan ürünlerin toplanması ve bedelinin tahsil edilmesi</w:t>
            </w:r>
            <w:r w:rsidR="00C94649" w:rsidRPr="00A23740">
              <w:rPr>
                <w:rFonts w:eastAsia="Times New Roman"/>
                <w:bCs/>
                <w:lang w:eastAsia="tr-TR"/>
              </w:rPr>
              <w:t xml:space="preserve"> düzenlenmektedir</w:t>
            </w:r>
            <w:r w:rsidR="002F798A" w:rsidRPr="00A23740">
              <w:rPr>
                <w:rFonts w:eastAsia="Times New Roman"/>
                <w:bCs/>
                <w:lang w:eastAsia="tr-TR"/>
              </w:rPr>
              <w:t>.</w:t>
            </w:r>
            <w:r w:rsidR="00203C51" w:rsidRPr="00A23740">
              <w:rPr>
                <w:rFonts w:eastAsia="Times New Roman"/>
                <w:bCs/>
                <w:lang w:eastAsia="tr-TR"/>
              </w:rPr>
              <w:t xml:space="preserve"> </w:t>
            </w:r>
            <w:r w:rsidR="002F798A" w:rsidRPr="00A23740">
              <w:rPr>
                <w:rFonts w:eastAsia="Times New Roman"/>
                <w:szCs w:val="24"/>
                <w:lang w:eastAsia="tr-TR"/>
              </w:rPr>
              <w:t>Hüküm, 2004 sayılı Kanunun 93 üncü maddesine karşılık gelmektedir.</w:t>
            </w:r>
            <w:r w:rsidR="009D575D" w:rsidRPr="00A23740">
              <w:rPr>
                <w:rFonts w:eastAsia="Times New Roman"/>
                <w:szCs w:val="24"/>
                <w:lang w:eastAsia="tr-TR"/>
              </w:rPr>
              <w:t xml:space="preserve"> </w:t>
            </w:r>
            <w:r w:rsidR="009D575D" w:rsidRPr="00D60C1D">
              <w:rPr>
                <w:rStyle w:val="YELChar"/>
                <w:b w:val="0"/>
                <w:color w:val="000000"/>
              </w:rPr>
              <w:t>Taslakla yapılan değişiklikler ifade şekline yönelik olup söz konusu 92 nci maddeyle Taslağın 185 inci</w:t>
            </w:r>
            <w:r w:rsidR="0070245D" w:rsidRPr="00A23740">
              <w:rPr>
                <w:rStyle w:val="YELChar"/>
              </w:rPr>
              <w:t xml:space="preserve"> </w:t>
            </w:r>
            <w:r w:rsidR="009D575D" w:rsidRPr="00D60C1D">
              <w:rPr>
                <w:rStyle w:val="YELChar"/>
                <w:b w:val="0"/>
                <w:color w:val="000000"/>
              </w:rPr>
              <w:t>maddesi arasında hüküm farkı bulunmamaktadır.</w:t>
            </w:r>
            <w:r w:rsidR="009D575D" w:rsidRPr="00A23740">
              <w:rPr>
                <w:rStyle w:val="YELChar"/>
              </w:rPr>
              <w:t xml:space="preserve"> </w:t>
            </w:r>
          </w:p>
          <w:p w:rsidR="002F798A" w:rsidRPr="00D60C1D" w:rsidRDefault="009D575D" w:rsidP="009431FF">
            <w:pPr>
              <w:ind w:firstLine="709"/>
              <w:rPr>
                <w:rFonts w:eastAsia="Times New Roman"/>
                <w:b/>
                <w:bCs/>
                <w:color w:val="000000"/>
                <w:lang w:eastAsia="tr-TR"/>
              </w:rPr>
            </w:pPr>
            <w:r w:rsidRPr="00D60C1D">
              <w:rPr>
                <w:rStyle w:val="YELChar"/>
                <w:b w:val="0"/>
                <w:color w:val="000000"/>
              </w:rPr>
              <w:t>Taslağın 186 ncı</w:t>
            </w:r>
            <w:r w:rsidR="0070245D" w:rsidRPr="00A23740">
              <w:rPr>
                <w:rStyle w:val="KIRMIZIChar"/>
                <w:rFonts w:eastAsia="ヒラギノ明朝 Pro W3"/>
                <w:strike w:val="0"/>
              </w:rPr>
              <w:t xml:space="preserve"> </w:t>
            </w:r>
            <w:r w:rsidRPr="00D60C1D">
              <w:rPr>
                <w:rStyle w:val="YELChar"/>
                <w:b w:val="0"/>
                <w:color w:val="000000"/>
              </w:rPr>
              <w:t>maddesinin ikinci fıkrası Taslağın 161 inci</w:t>
            </w:r>
            <w:r w:rsidR="0070245D" w:rsidRPr="00A23740">
              <w:rPr>
                <w:rStyle w:val="YELChar"/>
              </w:rPr>
              <w:t xml:space="preserve"> </w:t>
            </w:r>
            <w:r w:rsidRPr="00D60C1D">
              <w:rPr>
                <w:rStyle w:val="YELChar"/>
                <w:b w:val="0"/>
                <w:color w:val="000000"/>
              </w:rPr>
              <w:t>maddesinin birinci fıkrasının (f) bendinden farklı olarak</w:t>
            </w:r>
            <w:r w:rsidR="002363D9" w:rsidRPr="00D60C1D">
              <w:rPr>
                <w:rStyle w:val="YELChar"/>
                <w:b w:val="0"/>
                <w:color w:val="000000"/>
              </w:rPr>
              <w:t>,</w:t>
            </w:r>
            <w:r w:rsidRPr="00D60C1D">
              <w:rPr>
                <w:rStyle w:val="YELChar"/>
                <w:b w:val="0"/>
                <w:color w:val="000000"/>
              </w:rPr>
              <w:t xml:space="preserve"> bu sefer borçlunun ve ailesinin geçimi için gerekli miktardaki ürünün de hacz</w:t>
            </w:r>
            <w:r w:rsidR="002363D9" w:rsidRPr="00D60C1D">
              <w:rPr>
                <w:rStyle w:val="YELChar"/>
                <w:b w:val="0"/>
                <w:color w:val="000000"/>
              </w:rPr>
              <w:t>i</w:t>
            </w:r>
            <w:r w:rsidRPr="00D60C1D">
              <w:rPr>
                <w:rStyle w:val="YELChar"/>
                <w:b w:val="0"/>
                <w:color w:val="000000"/>
              </w:rPr>
              <w:t xml:space="preserve"> kabil olmadığını düzenleme altına almaktadır. </w:t>
            </w:r>
          </w:p>
          <w:p w:rsidR="002F798A" w:rsidRPr="00A23740" w:rsidRDefault="00203C51" w:rsidP="009431FF">
            <w:pPr>
              <w:tabs>
                <w:tab w:val="left" w:pos="567"/>
              </w:tabs>
              <w:ind w:firstLine="709"/>
              <w:rPr>
                <w:rFonts w:eastAsia="Times New Roman"/>
                <w:lang w:eastAsia="tr-TR"/>
              </w:rPr>
            </w:pPr>
            <w:r w:rsidRPr="00A23740">
              <w:rPr>
                <w:rFonts w:eastAsia="Times New Roman"/>
                <w:lang w:eastAsia="tr-TR"/>
              </w:rPr>
              <w:t>Birinci fıkrayla icra ve iflas dairesi tarafından ürünlerin toplanması amacıyl</w:t>
            </w:r>
            <w:r w:rsidR="002F798A" w:rsidRPr="00A23740">
              <w:rPr>
                <w:rFonts w:eastAsia="Times New Roman"/>
                <w:lang w:eastAsia="tr-TR"/>
              </w:rPr>
              <w:t xml:space="preserve">a gerekli tedbirlerin alınacağı hükme bağlanmaktadır. </w:t>
            </w:r>
          </w:p>
          <w:p w:rsidR="00203C51" w:rsidRPr="00A23740" w:rsidRDefault="002F798A" w:rsidP="009431FF">
            <w:pPr>
              <w:tabs>
                <w:tab w:val="left" w:pos="567"/>
              </w:tabs>
              <w:ind w:firstLine="709"/>
              <w:rPr>
                <w:b/>
                <w:bCs/>
                <w:color w:val="0000FF"/>
                <w:szCs w:val="24"/>
                <w:lang w:val="x-none" w:eastAsia="x-none"/>
              </w:rPr>
            </w:pPr>
            <w:r w:rsidRPr="00A23740">
              <w:rPr>
                <w:rFonts w:eastAsia="Times New Roman"/>
                <w:lang w:eastAsia="tr-TR"/>
              </w:rPr>
              <w:t xml:space="preserve">İkinci </w:t>
            </w:r>
            <w:r w:rsidR="00203C51" w:rsidRPr="00A23740">
              <w:rPr>
                <w:rFonts w:eastAsia="Times New Roman"/>
                <w:lang w:eastAsia="tr-TR"/>
              </w:rPr>
              <w:t>fıkrayla borçlunun kendi ve ailesinin geçimini sağlayacak miktar değerlendirilerek ürünün satış bedelinin alacaklıya ödeneceği hususu düzenlenm</w:t>
            </w:r>
            <w:r w:rsidRPr="00A23740">
              <w:rPr>
                <w:rFonts w:eastAsia="Times New Roman"/>
                <w:lang w:eastAsia="tr-TR"/>
              </w:rPr>
              <w:t>ektedir.</w:t>
            </w:r>
          </w:p>
          <w:p w:rsidR="00203C51" w:rsidRPr="00A23740" w:rsidRDefault="00203C51" w:rsidP="009431FF">
            <w:pPr>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40"/>
                <w:tab w:val="left" w:pos="567"/>
                <w:tab w:val="left" w:pos="2160"/>
              </w:tabs>
              <w:rPr>
                <w:rFonts w:eastAsia="Times New Roman"/>
                <w:szCs w:val="24"/>
                <w:lang w:eastAsia="tr-TR"/>
              </w:rPr>
            </w:pPr>
          </w:p>
        </w:tc>
        <w:tc>
          <w:tcPr>
            <w:tcW w:w="2500" w:type="pct"/>
          </w:tcPr>
          <w:p w:rsidR="00AA5C8C" w:rsidRPr="00A23740" w:rsidRDefault="00A25BD2" w:rsidP="009431FF">
            <w:pPr>
              <w:pStyle w:val="Balk5"/>
              <w:rPr>
                <w:lang w:val="tr-TR" w:eastAsia="tr-TR"/>
              </w:rPr>
            </w:pPr>
            <w:r w:rsidRPr="00D03F47">
              <w:rPr>
                <w:rStyle w:val="Balk1Char"/>
                <w:b/>
              </w:rPr>
              <w:t>DÖRDÜNCÜ</w:t>
            </w:r>
            <w:r w:rsidRPr="00A23740">
              <w:rPr>
                <w:lang w:val="tr-TR" w:eastAsia="tr-TR"/>
              </w:rPr>
              <w:t xml:space="preserve"> </w:t>
            </w:r>
            <w:r w:rsidR="00AA5C8C" w:rsidRPr="00A23740">
              <w:rPr>
                <w:lang w:val="tr-TR" w:eastAsia="tr-TR"/>
              </w:rPr>
              <w:t>ALT AYRIM</w:t>
            </w:r>
          </w:p>
          <w:p w:rsidR="006C22CE" w:rsidRPr="00A23740" w:rsidRDefault="006C22CE" w:rsidP="009431FF">
            <w:pPr>
              <w:pStyle w:val="Balk5"/>
              <w:rPr>
                <w:lang w:val="tr-TR" w:eastAsia="tr-TR"/>
              </w:rPr>
            </w:pPr>
          </w:p>
          <w:p w:rsidR="006C22CE" w:rsidRPr="00D03F47" w:rsidRDefault="006C22CE" w:rsidP="009431FF">
            <w:pPr>
              <w:pStyle w:val="Balk1"/>
              <w:rPr>
                <w:rStyle w:val="YELChar"/>
                <w:b/>
                <w:color w:val="0000FF"/>
                <w:szCs w:val="32"/>
              </w:rPr>
            </w:pPr>
            <w:r w:rsidRPr="00A23740">
              <w:rPr>
                <w:lang w:val="tr-TR"/>
              </w:rPr>
              <w:t xml:space="preserve">Kripto Varlıklar, </w:t>
            </w:r>
            <w:r w:rsidRPr="00A23740">
              <w:t xml:space="preserve">Hacze ve Muhafazaya İlişkin </w:t>
            </w:r>
            <w:r w:rsidRPr="00D03F47">
              <w:rPr>
                <w:rStyle w:val="YELChar"/>
                <w:b/>
                <w:color w:val="0000FF"/>
                <w:szCs w:val="32"/>
              </w:rPr>
              <w:t>Özel Durumlar</w:t>
            </w:r>
          </w:p>
          <w:p w:rsidR="006C22CE" w:rsidRPr="00A23740" w:rsidRDefault="006C22CE" w:rsidP="009431FF">
            <w:pPr>
              <w:pStyle w:val="Balk1"/>
            </w:pPr>
            <w:r w:rsidRPr="00D03F47">
              <w:rPr>
                <w:rStyle w:val="YELChar"/>
                <w:b/>
                <w:color w:val="0000FF"/>
                <w:szCs w:val="32"/>
              </w:rPr>
              <w:t>ve</w:t>
            </w:r>
            <w:r w:rsidRPr="00D03F47">
              <w:t xml:space="preserve"> </w:t>
            </w:r>
            <w:r w:rsidRPr="00D03F47">
              <w:rPr>
                <w:rStyle w:val="YELChar"/>
                <w:b/>
                <w:color w:val="0000FF"/>
                <w:szCs w:val="32"/>
              </w:rPr>
              <w:t>Muhafaza</w:t>
            </w:r>
            <w:r w:rsidRPr="00A23740">
              <w:t xml:space="preserve"> Giderler</w:t>
            </w:r>
            <w:r w:rsidRPr="00A23740">
              <w:rPr>
                <w:rFonts w:eastAsia="ヒラギノ明朝 Pro W3"/>
              </w:rPr>
              <w:t>i</w:t>
            </w:r>
          </w:p>
          <w:p w:rsidR="00AA5C8C" w:rsidRPr="00A23740" w:rsidRDefault="00AA5C8C" w:rsidP="009431FF">
            <w:pPr>
              <w:pStyle w:val="Mavi"/>
              <w:rPr>
                <w:color w:val="FF0000"/>
                <w:lang w:val="tr-TR"/>
              </w:rPr>
            </w:pPr>
          </w:p>
          <w:p w:rsidR="00AA5C8C" w:rsidRPr="00A23740" w:rsidRDefault="00AA5C8C" w:rsidP="009431FF">
            <w:pPr>
              <w:pStyle w:val="Mavi"/>
            </w:pPr>
            <w:r w:rsidRPr="00A23740">
              <w:t>Kripto varlıkların haczi</w:t>
            </w:r>
          </w:p>
          <w:p w:rsidR="00AA5C8C" w:rsidRPr="00A23740" w:rsidRDefault="007C3593" w:rsidP="009431FF">
            <w:pPr>
              <w:pStyle w:val="Mavi"/>
            </w:pPr>
            <w:r w:rsidRPr="00A23740">
              <w:t xml:space="preserve">MADDE </w:t>
            </w:r>
            <w:r w:rsidR="0025794C" w:rsidRPr="00A23740">
              <w:rPr>
                <w:lang w:val="tr-TR"/>
              </w:rPr>
              <w:t>191</w:t>
            </w:r>
            <w:r w:rsidR="00AA5C8C" w:rsidRPr="00A23740">
              <w:t xml:space="preserve">- (1) Borçlunun, </w:t>
            </w:r>
            <w:r w:rsidR="006E14AC" w:rsidRPr="00D03F47">
              <w:rPr>
                <w:rStyle w:val="Balk1Char"/>
                <w:rFonts w:eastAsia="ヒラギノ明朝 Pro W3"/>
                <w:b/>
              </w:rPr>
              <w:t>6362 sayılı Sermaye Piyasası Kanununun 3 üncü maddesinin birinci fıkrasındaki</w:t>
            </w:r>
            <w:r w:rsidR="006E14AC" w:rsidRPr="00A23740">
              <w:t xml:space="preserve"> </w:t>
            </w:r>
            <w:r w:rsidR="00AA5C8C" w:rsidRPr="00A23740">
              <w:t>tanıma giren kripto varlıkları da haczedilebilir.</w:t>
            </w:r>
          </w:p>
          <w:p w:rsidR="00AA5C8C" w:rsidRPr="00A23740" w:rsidRDefault="00AA5C8C" w:rsidP="009431FF">
            <w:pPr>
              <w:pStyle w:val="Mavi"/>
            </w:pPr>
          </w:p>
          <w:p w:rsidR="00AA5C8C" w:rsidRPr="00A23740" w:rsidRDefault="00AA5C8C" w:rsidP="009431FF">
            <w:pPr>
              <w:pStyle w:val="Mavi"/>
              <w:rPr>
                <w:rFonts w:eastAsia="Times New Roman"/>
                <w:iCs/>
                <w:lang w:eastAsia="tr-TR"/>
              </w:rPr>
            </w:pPr>
            <w:r w:rsidRPr="00A23740">
              <w:rPr>
                <w:rFonts w:eastAsia="Times New Roman"/>
                <w:iCs/>
                <w:lang w:eastAsia="tr-TR"/>
              </w:rPr>
              <w:t>(2) Borçlunun, kripto varlık hizmet sağlayıcıları nezdinde saklanan kripto varlıkları</w:t>
            </w:r>
            <w:r w:rsidR="005801D8" w:rsidRPr="00D03F47">
              <w:rPr>
                <w:rStyle w:val="Balk1Char"/>
                <w:rFonts w:eastAsia="Calibri"/>
                <w:b/>
              </w:rPr>
              <w:t>yla</w:t>
            </w:r>
            <w:r w:rsidRPr="00A23740">
              <w:rPr>
                <w:rFonts w:eastAsia="Times New Roman"/>
                <w:iCs/>
                <w:lang w:eastAsia="tr-TR"/>
              </w:rPr>
              <w:t xml:space="preserve"> ilgili hacizler hakkındaki talepler, münhasıran kripto varlık hizmet sağlayıcıları tarafından yerine getirilir. Nakit ve kripto varlıkların bilişim sistemleri vasıtasıyla sorgulanması ve elektronik ortamda haczi hakkında,</w:t>
            </w:r>
            <w:r w:rsidR="009B5280" w:rsidRPr="00A23740">
              <w:rPr>
                <w:rFonts w:eastAsia="Times New Roman"/>
                <w:iCs/>
                <w:lang w:val="tr-TR" w:eastAsia="tr-TR"/>
              </w:rPr>
              <w:t xml:space="preserve"> </w:t>
            </w:r>
            <w:r w:rsidR="009B5280" w:rsidRPr="00D03F47">
              <w:t>156 ncı</w:t>
            </w:r>
            <w:r w:rsidRPr="00A23740">
              <w:rPr>
                <w:rFonts w:eastAsia="Times New Roman"/>
                <w:iCs/>
                <w:lang w:val="tr-TR" w:eastAsia="tr-TR"/>
              </w:rPr>
              <w:t xml:space="preserve"> </w:t>
            </w:r>
            <w:r w:rsidRPr="00A23740">
              <w:rPr>
                <w:rFonts w:eastAsia="Times New Roman"/>
                <w:iCs/>
                <w:lang w:eastAsia="tr-TR"/>
              </w:rPr>
              <w:t>madde uygulanır.</w:t>
            </w:r>
          </w:p>
          <w:p w:rsidR="00AA5C8C" w:rsidRPr="00A23740" w:rsidRDefault="00AA5C8C" w:rsidP="009431FF">
            <w:pPr>
              <w:pStyle w:val="Mavi"/>
              <w:rPr>
                <w:rFonts w:eastAsia="Times New Roman"/>
                <w:iCs/>
                <w:lang w:eastAsia="tr-TR"/>
              </w:rPr>
            </w:pPr>
          </w:p>
          <w:p w:rsidR="00AA5C8C" w:rsidRPr="00A23740" w:rsidRDefault="00AA5C8C" w:rsidP="009431FF">
            <w:pPr>
              <w:pStyle w:val="Mavi"/>
            </w:pPr>
            <w:r w:rsidRPr="00A23740">
              <w:t>(3) Borçlunun elinde bulunan kripto cüzdan cihazında saklanan kripto varlıkların haczi h</w:t>
            </w:r>
            <w:r w:rsidR="001D7D44" w:rsidRPr="00A23740">
              <w:rPr>
                <w:lang w:val="tr-TR"/>
              </w:rPr>
              <w:t>â</w:t>
            </w:r>
            <w:r w:rsidRPr="00A23740">
              <w:t>linde, cihazda saklanan kripto varlıklara erişim bakımından</w:t>
            </w:r>
            <w:r w:rsidR="009B5280" w:rsidRPr="00A23740">
              <w:rPr>
                <w:lang w:val="tr-TR"/>
              </w:rPr>
              <w:t xml:space="preserve"> </w:t>
            </w:r>
            <w:r w:rsidR="009B5280" w:rsidRPr="00D03F47">
              <w:t>168 inci</w:t>
            </w:r>
            <w:r w:rsidRPr="00A23740">
              <w:t xml:space="preserve"> maddenin üçüncü fıkrası kıyasen uygulanır. Bu şekilde haczedilen kripto varlıkların saklandığı cihaz icra</w:t>
            </w:r>
            <w:r w:rsidR="005801D8" w:rsidRPr="00A23740">
              <w:t xml:space="preserve"> </w:t>
            </w:r>
            <w:r w:rsidR="005801D8" w:rsidRPr="00D03F47">
              <w:t>ve iflas</w:t>
            </w:r>
            <w:r w:rsidRPr="00A23740">
              <w:rPr>
                <w:color w:val="385623"/>
              </w:rPr>
              <w:t xml:space="preserve"> </w:t>
            </w:r>
            <w:r w:rsidRPr="00A23740">
              <w:t>dairesi tarafından muhafaza altına alınmadıkça, bu varlıklar haczedilmiş sayılmaz.</w:t>
            </w:r>
          </w:p>
          <w:p w:rsidR="008D3AB2" w:rsidRPr="00A23740" w:rsidRDefault="008D3AB2" w:rsidP="009431FF">
            <w:pPr>
              <w:pStyle w:val="KIRMIZI"/>
            </w:pPr>
          </w:p>
        </w:tc>
      </w:tr>
      <w:tr w:rsidR="00203C51" w:rsidRPr="00A23740" w:rsidTr="009431FF">
        <w:tblPrEx>
          <w:tblLook w:val="01E0" w:firstRow="1" w:lastRow="1" w:firstColumn="1" w:lastColumn="1" w:noHBand="0" w:noVBand="0"/>
        </w:tblPrEx>
        <w:tc>
          <w:tcPr>
            <w:tcW w:w="5000" w:type="pct"/>
            <w:gridSpan w:val="2"/>
            <w:shd w:val="clear" w:color="auto" w:fill="DEEAF6"/>
          </w:tcPr>
          <w:p w:rsidR="002F798A" w:rsidRPr="00A23740" w:rsidRDefault="002F798A" w:rsidP="009431FF">
            <w:pPr>
              <w:ind w:firstLine="709"/>
              <w:rPr>
                <w:b/>
              </w:rPr>
            </w:pPr>
          </w:p>
          <w:p w:rsidR="002F798A" w:rsidRPr="00A23740" w:rsidRDefault="0025794C" w:rsidP="009431FF">
            <w:pPr>
              <w:ind w:firstLine="709"/>
              <w:rPr>
                <w:bCs/>
              </w:rPr>
            </w:pPr>
            <w:r w:rsidRPr="00A23740">
              <w:rPr>
                <w:b/>
              </w:rPr>
              <w:t>MADDE 191-</w:t>
            </w:r>
            <w:r w:rsidR="00203C51" w:rsidRPr="00A23740">
              <w:rPr>
                <w:b/>
              </w:rPr>
              <w:t xml:space="preserve"> </w:t>
            </w:r>
            <w:r w:rsidR="00203C51" w:rsidRPr="00A23740">
              <w:rPr>
                <w:bCs/>
              </w:rPr>
              <w:t>Maddeyle</w:t>
            </w:r>
            <w:r w:rsidR="002F798A" w:rsidRPr="00A23740">
              <w:rPr>
                <w:bCs/>
              </w:rPr>
              <w:t>,</w:t>
            </w:r>
            <w:r w:rsidR="00203C51" w:rsidRPr="00A23740">
              <w:rPr>
                <w:bCs/>
              </w:rPr>
              <w:t xml:space="preserve"> kripto varlıkların haczi</w:t>
            </w:r>
            <w:r w:rsidR="0058079F" w:rsidRPr="00A23740">
              <w:rPr>
                <w:bCs/>
              </w:rPr>
              <w:t>ne</w:t>
            </w:r>
            <w:r w:rsidR="00203C51" w:rsidRPr="00A23740">
              <w:rPr>
                <w:bCs/>
              </w:rPr>
              <w:t xml:space="preserve"> ve paraya çevrilmesine ilişkin esaslar düzenlenm</w:t>
            </w:r>
            <w:r w:rsidR="002F798A" w:rsidRPr="00A23740">
              <w:rPr>
                <w:bCs/>
              </w:rPr>
              <w:t xml:space="preserve">ektedir. </w:t>
            </w:r>
            <w:r w:rsidR="000B7A3E" w:rsidRPr="00D60C1D">
              <w:rPr>
                <w:rStyle w:val="YELChar"/>
                <w:b w:val="0"/>
                <w:color w:val="000000"/>
              </w:rPr>
              <w:t>H</w:t>
            </w:r>
            <w:r w:rsidR="001D7D44" w:rsidRPr="00D60C1D">
              <w:rPr>
                <w:rStyle w:val="YELChar"/>
                <w:b w:val="0"/>
                <w:color w:val="000000"/>
              </w:rPr>
              <w:t>â</w:t>
            </w:r>
            <w:r w:rsidR="000B7A3E" w:rsidRPr="00D60C1D">
              <w:rPr>
                <w:rStyle w:val="YELChar"/>
                <w:b w:val="0"/>
                <w:color w:val="000000"/>
              </w:rPr>
              <w:t>li hazırda borçlunun kripto varlıklarının haczedilip haczedilemeyeceği</w:t>
            </w:r>
            <w:r w:rsidR="0058079F" w:rsidRPr="00D60C1D">
              <w:rPr>
                <w:rStyle w:val="YELChar"/>
                <w:b w:val="0"/>
                <w:color w:val="000000"/>
              </w:rPr>
              <w:t>,</w:t>
            </w:r>
            <w:r w:rsidR="000B7A3E" w:rsidRPr="00D60C1D">
              <w:rPr>
                <w:rStyle w:val="YELChar"/>
                <w:b w:val="0"/>
                <w:color w:val="000000"/>
              </w:rPr>
              <w:t xml:space="preserve"> haczedilebilecekse bunun nasıl olacağı ve ne gibi muhafaza tedbirlerine konu olabileceği </w:t>
            </w:r>
            <w:r w:rsidR="0058079F" w:rsidRPr="00D60C1D">
              <w:rPr>
                <w:rStyle w:val="YELChar"/>
                <w:b w:val="0"/>
                <w:color w:val="000000"/>
              </w:rPr>
              <w:t xml:space="preserve">hususları </w:t>
            </w:r>
            <w:r w:rsidR="000B7A3E" w:rsidRPr="00D60C1D">
              <w:rPr>
                <w:rStyle w:val="YELChar"/>
                <w:b w:val="0"/>
                <w:color w:val="000000"/>
              </w:rPr>
              <w:t>öğreti ve uygulamada tartışmalıdır. Kripto varlıkların uygulamada nadir de olsa haczedildikleri görülmektedir. Bu çerçevede konu kanuni düzenlemeye kavuşturulmak istenmiştir. Bu sayede borçlunun malvarlıklarını kripto varlıklara çevirerek olası hacizlerden kaçmaya çalışması engellenmiş ve alacaklı ve borçlu arasındaki menfaat dengesi korunmuş olacaktır.</w:t>
            </w:r>
            <w:r w:rsidR="000B7A3E" w:rsidRPr="00A23740">
              <w:rPr>
                <w:rStyle w:val="YELChar"/>
              </w:rPr>
              <w:t xml:space="preserve"> </w:t>
            </w:r>
          </w:p>
          <w:p w:rsidR="00203C51" w:rsidRPr="00A23740" w:rsidRDefault="00203C51" w:rsidP="009431FF">
            <w:pPr>
              <w:ind w:firstLine="709"/>
              <w:rPr>
                <w:bCs/>
              </w:rPr>
            </w:pPr>
            <w:r w:rsidRPr="00A23740">
              <w:rPr>
                <w:bCs/>
              </w:rPr>
              <w:t xml:space="preserve">Maddenin ilk fıkrasında haciz konusu yapılabilecek kripto varlıkların tespitinde </w:t>
            </w:r>
            <w:r w:rsidR="0006436A" w:rsidRPr="00D60C1D">
              <w:rPr>
                <w:rFonts w:eastAsia="ヒラギノ明朝 Pro W3"/>
                <w:color w:val="000000"/>
                <w:szCs w:val="24"/>
              </w:rPr>
              <w:t>6362 sayılı Sermaye Piyasası Kanununun 3 üncü maddesinin birinci fıkrasına</w:t>
            </w:r>
            <w:r w:rsidRPr="00A23740">
              <w:rPr>
                <w:bCs/>
              </w:rPr>
              <w:t xml:space="preserve"> atıfta </w:t>
            </w:r>
            <w:r w:rsidR="002F798A" w:rsidRPr="00A23740">
              <w:rPr>
                <w:bCs/>
              </w:rPr>
              <w:t>bulunulmaktadır</w:t>
            </w:r>
            <w:r w:rsidRPr="00A23740">
              <w:rPr>
                <w:bCs/>
              </w:rPr>
              <w:t xml:space="preserve">. </w:t>
            </w:r>
          </w:p>
          <w:p w:rsidR="00203C51" w:rsidRPr="00A23740" w:rsidRDefault="00203C51" w:rsidP="009431FF">
            <w:pPr>
              <w:ind w:firstLine="709"/>
              <w:rPr>
                <w:bCs/>
                <w:iCs/>
              </w:rPr>
            </w:pPr>
            <w:r w:rsidRPr="00A23740">
              <w:rPr>
                <w:bCs/>
              </w:rPr>
              <w:t xml:space="preserve">Kripto varlıkların haczi bakımından, kripto varlığın bulunduğu (veya saklandığı) yer </w:t>
            </w:r>
            <w:r w:rsidR="0058079F" w:rsidRPr="00A23740">
              <w:rPr>
                <w:bCs/>
              </w:rPr>
              <w:t xml:space="preserve">dikkate alınarak </w:t>
            </w:r>
            <w:r w:rsidRPr="00A23740">
              <w:rPr>
                <w:bCs/>
              </w:rPr>
              <w:t>ikili bir ayrım yapılmıştır. Bu bağlamda, maddenin ikinci fıkrasında; b</w:t>
            </w:r>
            <w:r w:rsidRPr="00A23740">
              <w:rPr>
                <w:bCs/>
                <w:iCs/>
              </w:rPr>
              <w:t>orçlunun, kripto varlık hizmet sağlayıcıları nezdinde saklanan kripto varlıklarının haczi düzenlenmiştir. Bu kripto varlıkların haczine ilişkin tale</w:t>
            </w:r>
            <w:r w:rsidR="000B7A3E" w:rsidRPr="00A23740">
              <w:rPr>
                <w:bCs/>
                <w:iCs/>
              </w:rPr>
              <w:t>p</w:t>
            </w:r>
            <w:r w:rsidRPr="00A23740">
              <w:rPr>
                <w:bCs/>
                <w:iCs/>
              </w:rPr>
              <w:t>ler, yalnızca kripto varlık hizmet sağlayıcıları tarafından yerine getirilecektir. Buna karşılık kripto varlık hizmet</w:t>
            </w:r>
            <w:r w:rsidR="002F798A" w:rsidRPr="00A23740">
              <w:rPr>
                <w:bCs/>
                <w:iCs/>
              </w:rPr>
              <w:t xml:space="preserve"> sağlayıcıları nezdinde bulunan</w:t>
            </w:r>
            <w:r w:rsidRPr="00A23740">
              <w:rPr>
                <w:bCs/>
                <w:iCs/>
              </w:rPr>
              <w:t xml:space="preserve"> n</w:t>
            </w:r>
            <w:r w:rsidRPr="00A23740">
              <w:rPr>
                <w:bCs/>
                <w:iCs/>
                <w:lang w:val="x-none"/>
              </w:rPr>
              <w:t>akit ve kripto varlıklar</w:t>
            </w:r>
            <w:r w:rsidRPr="00A23740">
              <w:rPr>
                <w:bCs/>
                <w:iCs/>
              </w:rPr>
              <w:t>ın</w:t>
            </w:r>
            <w:r w:rsidRPr="00A23740">
              <w:rPr>
                <w:bCs/>
                <w:iCs/>
                <w:lang w:val="x-none"/>
              </w:rPr>
              <w:t xml:space="preserve"> bilişim sistemleri vasıtasıyla sorgulanması ve elektronik ortamda </w:t>
            </w:r>
            <w:r w:rsidR="0058079F" w:rsidRPr="00A23740">
              <w:rPr>
                <w:bCs/>
                <w:iCs/>
              </w:rPr>
              <w:t xml:space="preserve">haczedilebilmesi </w:t>
            </w:r>
            <w:r w:rsidRPr="00A23740">
              <w:rPr>
                <w:bCs/>
                <w:iCs/>
                <w:lang w:val="x-none"/>
              </w:rPr>
              <w:t xml:space="preserve">hakkı, </w:t>
            </w:r>
            <w:r w:rsidR="007D735D" w:rsidRPr="00D60C1D">
              <w:rPr>
                <w:rStyle w:val="KonuBalChar"/>
                <w:rFonts w:eastAsia="Calibri"/>
                <w:b w:val="0"/>
                <w:color w:val="000000"/>
              </w:rPr>
              <w:t>156 ncı</w:t>
            </w:r>
            <w:r w:rsidRPr="00A23740">
              <w:rPr>
                <w:bCs/>
                <w:iCs/>
              </w:rPr>
              <w:t xml:space="preserve"> </w:t>
            </w:r>
            <w:r w:rsidRPr="00A23740">
              <w:rPr>
                <w:bCs/>
                <w:iCs/>
                <w:lang w:val="x-none"/>
              </w:rPr>
              <w:t>madde</w:t>
            </w:r>
            <w:r w:rsidRPr="00A23740">
              <w:rPr>
                <w:bCs/>
                <w:iCs/>
              </w:rPr>
              <w:t xml:space="preserve">ye göre gerçekleştirilecektir. </w:t>
            </w:r>
          </w:p>
          <w:p w:rsidR="00203C51" w:rsidRPr="00A23740" w:rsidRDefault="00203C51" w:rsidP="007136A5">
            <w:pPr>
              <w:ind w:firstLine="709"/>
              <w:rPr>
                <w:rStyle w:val="MaviChar"/>
              </w:rPr>
            </w:pPr>
            <w:r w:rsidRPr="00A23740">
              <w:rPr>
                <w:bCs/>
                <w:iCs/>
              </w:rPr>
              <w:t xml:space="preserve">Maddenin üçüncü fıkrasında, borçlunun elinde bulunan kripto cüzdan cihazında saklanan kripto varlıkların haczi düzenlenmektedir. Bu kripto varlıkların haczinde </w:t>
            </w:r>
            <w:r w:rsidR="007D735D" w:rsidRPr="00D60C1D">
              <w:rPr>
                <w:rStyle w:val="KonuBalChar"/>
                <w:rFonts w:eastAsia="Calibri"/>
                <w:b w:val="0"/>
                <w:color w:val="000000"/>
              </w:rPr>
              <w:t>168 inci</w:t>
            </w:r>
            <w:r w:rsidRPr="00A23740">
              <w:rPr>
                <w:bCs/>
                <w:iCs/>
              </w:rPr>
              <w:t xml:space="preserve"> maddenin üçüncü fıkrası kıyasen uygulanır. Kripto varlıkların niteliği gereği, bunların saklandıkları cihaz </w:t>
            </w:r>
            <w:r w:rsidRPr="00D60C1D">
              <w:rPr>
                <w:bCs/>
                <w:iCs/>
                <w:color w:val="000000"/>
              </w:rPr>
              <w:t>icra</w:t>
            </w:r>
            <w:r w:rsidR="00B73523" w:rsidRPr="00D60C1D">
              <w:rPr>
                <w:color w:val="000000"/>
              </w:rPr>
              <w:t xml:space="preserve"> ve iflas</w:t>
            </w:r>
            <w:r w:rsidRPr="00A23740">
              <w:rPr>
                <w:bCs/>
                <w:iCs/>
              </w:rPr>
              <w:t xml:space="preserve"> dairesi tarafından muhafaza altına alınmadıkça, bu varlıkl</w:t>
            </w:r>
            <w:r w:rsidR="008E2076" w:rsidRPr="00A23740">
              <w:rPr>
                <w:bCs/>
                <w:iCs/>
              </w:rPr>
              <w:t>ar haczedilmiş sayılmayacaktır.</w:t>
            </w:r>
          </w:p>
          <w:p w:rsidR="00203C51" w:rsidRPr="00A23740" w:rsidRDefault="00203C51" w:rsidP="007136A5">
            <w:pPr>
              <w:tabs>
                <w:tab w:val="left" w:pos="567"/>
              </w:tabs>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40"/>
                <w:tab w:val="left" w:pos="567"/>
                <w:tab w:val="left" w:pos="2160"/>
              </w:tabs>
              <w:rPr>
                <w:rFonts w:eastAsia="Times New Roman"/>
                <w:szCs w:val="24"/>
                <w:lang w:eastAsia="tr-TR"/>
              </w:rPr>
            </w:pPr>
          </w:p>
        </w:tc>
        <w:tc>
          <w:tcPr>
            <w:tcW w:w="2500" w:type="pct"/>
          </w:tcPr>
          <w:p w:rsidR="00AA5C8C" w:rsidRPr="00A23740" w:rsidRDefault="00AA5C8C" w:rsidP="009431FF">
            <w:pPr>
              <w:pStyle w:val="Mavi"/>
            </w:pPr>
            <w:r w:rsidRPr="00A23740">
              <w:t>Kripto varlıkların muhafazası ve paraya çevrilmesi</w:t>
            </w:r>
          </w:p>
          <w:p w:rsidR="00AA5C8C" w:rsidRPr="00A23740" w:rsidRDefault="00AA5C8C" w:rsidP="009431FF">
            <w:pPr>
              <w:pStyle w:val="Mavi"/>
            </w:pPr>
            <w:r w:rsidRPr="00A23740">
              <w:t xml:space="preserve">MADDE </w:t>
            </w:r>
            <w:r w:rsidR="0025794C" w:rsidRPr="00A23740">
              <w:rPr>
                <w:lang w:val="tr-TR"/>
              </w:rPr>
              <w:t>192</w:t>
            </w:r>
            <w:r w:rsidRPr="00A23740">
              <w:t>- (1)</w:t>
            </w:r>
            <w:r w:rsidR="00AA0E55" w:rsidRPr="00A23740">
              <w:rPr>
                <w:lang w:val="tr-TR"/>
              </w:rPr>
              <w:t xml:space="preserve"> </w:t>
            </w:r>
            <w:r w:rsidR="00AA0E55" w:rsidRPr="00CE4365">
              <w:t>191 inci</w:t>
            </w:r>
            <w:r w:rsidRPr="00A23740">
              <w:t xml:space="preserve"> maddeye göre haczedilen kripto varlıkların icra ve iflas</w:t>
            </w:r>
            <w:r w:rsidRPr="00A23740">
              <w:rPr>
                <w:lang w:val="tr-TR"/>
              </w:rPr>
              <w:t xml:space="preserve"> </w:t>
            </w:r>
            <w:r w:rsidRPr="00A23740">
              <w:t>dairesince muhafazasının şekline ve paraya çevrilmesine ilişkin usul ve esaslar, yönetmelikle belirlenir.</w:t>
            </w:r>
          </w:p>
          <w:p w:rsidR="000A1031" w:rsidRPr="00A23740" w:rsidRDefault="000A1031" w:rsidP="009431FF">
            <w:pPr>
              <w:pStyle w:val="KIRMIZI"/>
              <w:rPr>
                <w:lang w:val="tr-TR" w:eastAsia="tr-TR"/>
              </w:rPr>
            </w:pPr>
          </w:p>
        </w:tc>
      </w:tr>
      <w:tr w:rsidR="00203C51" w:rsidRPr="00A23740" w:rsidTr="009431FF">
        <w:tblPrEx>
          <w:tblLook w:val="01E0" w:firstRow="1" w:lastRow="1" w:firstColumn="1" w:lastColumn="1" w:noHBand="0" w:noVBand="0"/>
        </w:tblPrEx>
        <w:tc>
          <w:tcPr>
            <w:tcW w:w="5000" w:type="pct"/>
            <w:gridSpan w:val="2"/>
            <w:shd w:val="clear" w:color="auto" w:fill="DEEAF6"/>
          </w:tcPr>
          <w:p w:rsidR="00203C51" w:rsidRPr="00A23740" w:rsidRDefault="00203C51" w:rsidP="009431FF">
            <w:pPr>
              <w:tabs>
                <w:tab w:val="left" w:pos="567"/>
              </w:tabs>
              <w:ind w:firstLine="709"/>
            </w:pPr>
          </w:p>
          <w:p w:rsidR="00203C51" w:rsidRDefault="007C3593" w:rsidP="009431FF">
            <w:pPr>
              <w:tabs>
                <w:tab w:val="left" w:pos="567"/>
              </w:tabs>
              <w:ind w:firstLine="709"/>
            </w:pPr>
            <w:r w:rsidRPr="00A23740">
              <w:rPr>
                <w:b/>
              </w:rPr>
              <w:t xml:space="preserve">MADDE </w:t>
            </w:r>
            <w:r w:rsidR="0025794C" w:rsidRPr="00A23740">
              <w:rPr>
                <w:b/>
              </w:rPr>
              <w:t>192</w:t>
            </w:r>
            <w:r w:rsidR="002E43F1" w:rsidRPr="00A23740">
              <w:rPr>
                <w:b/>
              </w:rPr>
              <w:t>-</w:t>
            </w:r>
            <w:r w:rsidR="00203C51" w:rsidRPr="00A23740">
              <w:t xml:space="preserve"> </w:t>
            </w:r>
            <w:r w:rsidR="002E43F1" w:rsidRPr="00A23740">
              <w:t xml:space="preserve">Maddeyle, </w:t>
            </w:r>
            <w:r w:rsidR="00203C51" w:rsidRPr="00A23740">
              <w:t>kripto varlıkların muhafazasının şekline ve paraya çevrilmesine ilişkin usul ve esasların yönetmelikle belirleneceği düzenlenmiştir.</w:t>
            </w:r>
          </w:p>
          <w:p w:rsidR="007136A5" w:rsidRPr="00A23740" w:rsidRDefault="007136A5" w:rsidP="009431FF">
            <w:pPr>
              <w:tabs>
                <w:tab w:val="left" w:pos="567"/>
              </w:tabs>
              <w:ind w:firstLine="709"/>
              <w:rPr>
                <w:rStyle w:val="MaviChar"/>
              </w:rPr>
            </w:pPr>
          </w:p>
          <w:p w:rsidR="00203C51" w:rsidRPr="00A23740" w:rsidRDefault="00203C51" w:rsidP="007136A5">
            <w:pPr>
              <w:tabs>
                <w:tab w:val="left" w:pos="567"/>
              </w:tabs>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tc>
        <w:tc>
          <w:tcPr>
            <w:tcW w:w="2500" w:type="pct"/>
          </w:tcPr>
          <w:p w:rsidR="00AA5C8C" w:rsidRPr="00A23740" w:rsidRDefault="00AA5C8C" w:rsidP="009431FF">
            <w:pPr>
              <w:pStyle w:val="Mavi"/>
            </w:pPr>
            <w:r w:rsidRPr="00A23740">
              <w:t xml:space="preserve">Şirket ve kooperatif payları </w:t>
            </w:r>
            <w:r w:rsidRPr="00A23740">
              <w:rPr>
                <w:lang w:val="tr-TR"/>
              </w:rPr>
              <w:t>ile</w:t>
            </w:r>
            <w:r w:rsidRPr="00A23740">
              <w:t xml:space="preserve"> tasfiye payının haczi</w:t>
            </w:r>
          </w:p>
          <w:p w:rsidR="00AA5C8C" w:rsidRPr="00A23740" w:rsidRDefault="007C3593" w:rsidP="009431FF">
            <w:pPr>
              <w:pStyle w:val="Mavi"/>
            </w:pPr>
            <w:r w:rsidRPr="00A23740">
              <w:t xml:space="preserve">MADDE </w:t>
            </w:r>
            <w:r w:rsidR="00E33E3B" w:rsidRPr="00CE4365">
              <w:rPr>
                <w:rStyle w:val="Balk1Char"/>
                <w:rFonts w:eastAsia="Calibri"/>
                <w:b/>
              </w:rPr>
              <w:t>193</w:t>
            </w:r>
            <w:r w:rsidR="00AA5C8C" w:rsidRPr="00CE4365">
              <w:rPr>
                <w:rStyle w:val="Balk1Char"/>
                <w:rFonts w:eastAsia="Calibri"/>
                <w:b/>
              </w:rPr>
              <w:t>-</w:t>
            </w:r>
            <w:r w:rsidR="00AA5C8C" w:rsidRPr="00A23740">
              <w:t xml:space="preserve"> (1) Borçlunun adi ortaklıktaki tasfiye payı haczedildiğinde; icra ve iflas</w:t>
            </w:r>
            <w:r w:rsidR="00AA5C8C" w:rsidRPr="00A23740">
              <w:rPr>
                <w:lang w:val="tr-TR"/>
              </w:rPr>
              <w:t xml:space="preserve"> </w:t>
            </w:r>
            <w:r w:rsidR="00AA5C8C" w:rsidRPr="00A23740">
              <w:t>dairesi, borçlunun payının haczedildiğini, gelecekte oluşacak ve borçlunun payına düşecek olan gelirlerin icra ve iflas</w:t>
            </w:r>
            <w:r w:rsidR="00AA5C8C" w:rsidRPr="00A23740">
              <w:rPr>
                <w:lang w:val="tr-TR"/>
              </w:rPr>
              <w:t xml:space="preserve"> </w:t>
            </w:r>
            <w:r w:rsidR="00AA5C8C" w:rsidRPr="00A23740">
              <w:t>dairesine ödenmesiyle bunlarla ilgili ihbarların artık icra ve iflas</w:t>
            </w:r>
            <w:r w:rsidR="00AA5C8C" w:rsidRPr="00A23740">
              <w:rPr>
                <w:lang w:val="tr-TR"/>
              </w:rPr>
              <w:t xml:space="preserve"> </w:t>
            </w:r>
            <w:r w:rsidR="00AA5C8C" w:rsidRPr="00A23740">
              <w:t>dairesine yapılması gerektiğini ve ortaklık malvarlığına ait konular üzerinde borçlunun onayını gerektiren tasarrufların bundan böyle icra ve iflas</w:t>
            </w:r>
            <w:r w:rsidR="00AA5C8C" w:rsidRPr="00A23740">
              <w:rPr>
                <w:lang w:val="tr-TR"/>
              </w:rPr>
              <w:t xml:space="preserve"> </w:t>
            </w:r>
            <w:r w:rsidR="00AA5C8C" w:rsidRPr="00A23740">
              <w:t>dairesinin onayı ile yapılabileceğini diğer ortaklara bildirir. Payın haczi, borçlu ortağın yönetim ve temsil hakkını kısıtlar.</w:t>
            </w:r>
          </w:p>
          <w:p w:rsidR="00AA5C8C" w:rsidRPr="00A23740" w:rsidRDefault="00AA5C8C" w:rsidP="009431FF">
            <w:pPr>
              <w:pStyle w:val="Mavi"/>
            </w:pPr>
          </w:p>
          <w:p w:rsidR="00AA5C8C" w:rsidRPr="00A23740" w:rsidRDefault="00AA5C8C" w:rsidP="009431FF">
            <w:pPr>
              <w:pStyle w:val="Mavi"/>
            </w:pPr>
            <w:r w:rsidRPr="00A23740">
              <w:t>(2) Alacaklının paraya çevirme talebinde bulunması üzerine icra</w:t>
            </w:r>
            <w:r w:rsidRPr="00A23740">
              <w:rPr>
                <w:lang w:val="tr-TR"/>
              </w:rPr>
              <w:t xml:space="preserve"> </w:t>
            </w:r>
            <w:r w:rsidRPr="00A23740">
              <w:t>ve</w:t>
            </w:r>
            <w:r w:rsidRPr="00A23740">
              <w:rPr>
                <w:rStyle w:val="YELChar"/>
                <w:b/>
              </w:rPr>
              <w:t xml:space="preserve"> </w:t>
            </w:r>
            <w:r w:rsidRPr="00A23740">
              <w:t>iflas dairesi, dosyayı kendiliğinden icra hukuk mahkemesine gönderir. Bu hâlde icra hukuk mahkemesi, diğer tüm ortakları da davet edip gelenleri dinledikten sonra durumun gereklerine göre aşağıdakilerden birine karar verir:</w:t>
            </w:r>
          </w:p>
          <w:p w:rsidR="000A2887" w:rsidRPr="00A23740" w:rsidRDefault="000A2887" w:rsidP="009431FF">
            <w:pPr>
              <w:pStyle w:val="Mavi"/>
            </w:pPr>
          </w:p>
          <w:p w:rsidR="00AA5C8C" w:rsidRPr="00A23740" w:rsidRDefault="00AA5C8C" w:rsidP="009431FF">
            <w:pPr>
              <w:pStyle w:val="Mavi"/>
            </w:pPr>
            <w:r w:rsidRPr="00A23740">
              <w:t>a) Mahkeme, ortaklığın feshedilerek tasfiye payının alacaklıya ödenmesine karar verebilir. Bu durumda tasfiye, Türk Borçlar Kanununun 644 üncü maddesine göre yürütülür. Şu kadar ki, tasfiye işlerini yürütmek üzere icra hukuk mahkemesince bir tasfiye görevlisinin atanması zorunludur.</w:t>
            </w:r>
          </w:p>
          <w:p w:rsidR="000A2887" w:rsidRPr="00A23740" w:rsidRDefault="000A2887" w:rsidP="009431FF">
            <w:pPr>
              <w:pStyle w:val="Mavi"/>
            </w:pPr>
          </w:p>
          <w:p w:rsidR="00AA5C8C" w:rsidRPr="00A23740" w:rsidRDefault="00AA5C8C" w:rsidP="009431FF">
            <w:pPr>
              <w:pStyle w:val="Mavi"/>
            </w:pPr>
            <w:r w:rsidRPr="00A23740">
              <w:t>b) Mahkeme tasfiye payının açık artırma ile paraya çevrilmesine karar verebilir. Yapılacak ilanda, ortaklığın ve tüm ortakların isimleriyle, satılacak şeyin tasfiye payı olduğu belirtilir. İlanda ayrıca tasfiye payı kendisine ihale edilen kimseye icra ve iflas</w:t>
            </w:r>
            <w:r w:rsidRPr="00A23740">
              <w:rPr>
                <w:lang w:val="tr-TR"/>
              </w:rPr>
              <w:t xml:space="preserve"> </w:t>
            </w:r>
            <w:r w:rsidRPr="00A23740">
              <w:t>dairesi tarafından adi ortaklığın tasfiyesinden kaynaklanan hakların kendisine devredileceğine ilişkin bir belge verileceği de yazılır.</w:t>
            </w:r>
          </w:p>
          <w:p w:rsidR="00AA5C8C" w:rsidRPr="00A23740" w:rsidRDefault="00AA5C8C" w:rsidP="009431FF">
            <w:pPr>
              <w:pStyle w:val="Mavi"/>
              <w:rPr>
                <w:iCs/>
              </w:rPr>
            </w:pPr>
          </w:p>
          <w:p w:rsidR="00AA5C8C" w:rsidRPr="00A23740" w:rsidRDefault="00AA5C8C" w:rsidP="009431FF">
            <w:pPr>
              <w:pStyle w:val="Mavi"/>
              <w:rPr>
                <w:iCs/>
              </w:rPr>
            </w:pPr>
            <w:r w:rsidRPr="00A23740">
              <w:rPr>
                <w:iCs/>
              </w:rPr>
              <w:t xml:space="preserve">(3) Bir </w:t>
            </w:r>
            <w:r w:rsidRPr="00A23740">
              <w:t>şahıs şirketinin ortaklarından birinin kişisel alacaklısı, borçlu ortağa tasfiye sonunda düşecek payı haczettirebilir. Haciz ve sonuçları, Türk Ticaret Kanununun 133, 249 ve 328 inci maddesi hükümlerine tabidir.</w:t>
            </w:r>
          </w:p>
          <w:p w:rsidR="00AA5C8C" w:rsidRPr="00A23740" w:rsidRDefault="00AA5C8C" w:rsidP="009431FF">
            <w:pPr>
              <w:pStyle w:val="Mavi"/>
              <w:rPr>
                <w:iCs/>
              </w:rPr>
            </w:pPr>
          </w:p>
          <w:p w:rsidR="00AA5C8C" w:rsidRPr="00A23740" w:rsidRDefault="00AA5C8C" w:rsidP="009431FF">
            <w:pPr>
              <w:pStyle w:val="Mavi"/>
            </w:pPr>
            <w:r w:rsidRPr="00A23740">
              <w:rPr>
                <w:iCs/>
              </w:rPr>
              <w:t xml:space="preserve">(4) Alacaklılar, borçlunun bir sermaye şirketindeki senede bağlanmış veya bağlanmamış paylarını, </w:t>
            </w:r>
            <w:r w:rsidRPr="00A23740">
              <w:t xml:space="preserve">taşınırlara ilişkin hükümler uyarınca </w:t>
            </w:r>
            <w:r w:rsidRPr="00A23740">
              <w:rPr>
                <w:iCs/>
              </w:rPr>
              <w:t xml:space="preserve">haczettirebilir. Payın hacziyle birlikte </w:t>
            </w:r>
            <w:r w:rsidRPr="00A23740">
              <w:t>bu paydan doğan kâr, rüçhan hakkı, tali yükümlerden doğan ücret ve şirket tasfiye h</w:t>
            </w:r>
            <w:r w:rsidR="001D7D44" w:rsidRPr="00A23740">
              <w:rPr>
                <w:lang w:val="tr-TR"/>
              </w:rPr>
              <w:t>â</w:t>
            </w:r>
            <w:r w:rsidRPr="00A23740">
              <w:t>line girerse tasfiye payı hakkı gibi mali nitelikteki hakların hisse haczinin kapsamına girdiği ve genel kurula katılma, oy hakkı gibi kişisel hakların da kısıtlandığı; şirket hisse senedi çıkarırsa bu hisse senedinin icra ve iflas dairesine verilmesi ve çıplak payla ilgili bütün tebligatların icra ve iflas</w:t>
            </w:r>
            <w:r w:rsidRPr="00A23740">
              <w:rPr>
                <w:lang w:val="tr-TR"/>
              </w:rPr>
              <w:t xml:space="preserve"> </w:t>
            </w:r>
            <w:r w:rsidRPr="00A23740">
              <w:t>dairesine yapılması gerektiği hususları</w:t>
            </w:r>
            <w:r w:rsidRPr="00A23740">
              <w:rPr>
                <w:iCs/>
              </w:rPr>
              <w:t xml:space="preserve"> da haciz tutanağına yazılır.</w:t>
            </w:r>
            <w:r w:rsidRPr="00A23740">
              <w:t xml:space="preserve"> İcra dairesi, payları haczedilen sermaye şirketinin özelliklerini dikkate alarak, haczedilen</w:t>
            </w:r>
            <w:r w:rsidRPr="00A23740">
              <w:rPr>
                <w:lang w:val="tr-TR"/>
              </w:rPr>
              <w:t xml:space="preserve"> </w:t>
            </w:r>
            <w:r w:rsidRPr="00A23740">
              <w:t>payların paraya çevrilmesine kadar geçecek süre boyunca ortaklıktan doğan mali ve kişisel hakların kullanılması için bir kayyım tayin edebilir. Tutanak, şirket yetkilisine Kanunun</w:t>
            </w:r>
            <w:r w:rsidR="003976D5" w:rsidRPr="00A23740">
              <w:rPr>
                <w:lang w:val="tr-TR"/>
              </w:rPr>
              <w:t xml:space="preserve"> </w:t>
            </w:r>
            <w:r w:rsidR="003976D5" w:rsidRPr="00CE4365">
              <w:rPr>
                <w:rStyle w:val="Balk1Char"/>
                <w:rFonts w:eastAsia="Calibri"/>
                <w:b/>
              </w:rPr>
              <w:t>201 inci</w:t>
            </w:r>
            <w:r w:rsidRPr="00A23740">
              <w:t xml:space="preserve"> maddesine göre elden tebliğ edilir ve haciz, talep üzerine pay defterine işlenir.</w:t>
            </w:r>
          </w:p>
          <w:p w:rsidR="00AA5C8C" w:rsidRPr="00A23740" w:rsidRDefault="00AA5C8C" w:rsidP="009431FF">
            <w:pPr>
              <w:pStyle w:val="Mavi"/>
            </w:pPr>
          </w:p>
          <w:p w:rsidR="00AA5C8C" w:rsidRPr="00A23740" w:rsidRDefault="00AA5C8C" w:rsidP="009431FF">
            <w:pPr>
              <w:pStyle w:val="Mavi"/>
            </w:pPr>
            <w:r w:rsidRPr="00A23740">
              <w:t>(5) Alacaklılar, borçlu ortağın kooperatifteki ortaklık payını, niteliğine uygun düştüğü ölçüde dördüncü fıkra hükümleri uyarınca haczettirebilir. Bu h</w:t>
            </w:r>
            <w:r w:rsidR="001D7D44" w:rsidRPr="00A23740">
              <w:rPr>
                <w:lang w:val="tr-TR"/>
              </w:rPr>
              <w:t>â</w:t>
            </w:r>
            <w:r w:rsidRPr="00A23740">
              <w:t>lde haciz, kooperatife bildirilir.</w:t>
            </w:r>
          </w:p>
          <w:p w:rsidR="00AA5C8C" w:rsidRPr="00A23740" w:rsidRDefault="00AA5C8C" w:rsidP="009431FF">
            <w:pPr>
              <w:pStyle w:val="Mavi"/>
              <w:rPr>
                <w:iCs/>
              </w:rPr>
            </w:pPr>
          </w:p>
          <w:p w:rsidR="00AA5C8C" w:rsidRPr="00A23740" w:rsidRDefault="00AA5C8C" w:rsidP="009431FF">
            <w:pPr>
              <w:pStyle w:val="Mavi"/>
              <w:rPr>
                <w:iCs/>
              </w:rPr>
            </w:pPr>
            <w:r w:rsidRPr="00A23740">
              <w:rPr>
                <w:iCs/>
              </w:rPr>
              <w:t xml:space="preserve">(6) Adi </w:t>
            </w:r>
            <w:r w:rsidRPr="00A23740">
              <w:rPr>
                <w:iCs/>
                <w:lang w:val="tr-TR"/>
              </w:rPr>
              <w:t>ortaklıklar</w:t>
            </w:r>
            <w:r w:rsidRPr="00A23740">
              <w:rPr>
                <w:iCs/>
              </w:rPr>
              <w:t xml:space="preserve">, şahıs şirketleri, sermaye şirketleri ve kooperatiflerde, alacaklıların borçlu ortakların şirketten veya kooperatiften olan </w:t>
            </w:r>
            <w:r w:rsidRPr="00A23740">
              <w:t>diğer alacaklarını</w:t>
            </w:r>
            <w:r w:rsidRPr="00A23740">
              <w:rPr>
                <w:iCs/>
              </w:rPr>
              <w:t xml:space="preserve"> haczettirme hakkı saklıdır.</w:t>
            </w:r>
          </w:p>
          <w:p w:rsidR="00FF7155" w:rsidRDefault="00FF7155" w:rsidP="009431FF">
            <w:pPr>
              <w:pStyle w:val="KIRMIZI"/>
              <w:rPr>
                <w:b w:val="0"/>
                <w:bCs w:val="0"/>
                <w:color w:val="0000FF"/>
                <w:lang w:eastAsia="tr-TR"/>
              </w:rPr>
            </w:pPr>
          </w:p>
          <w:p w:rsidR="007136A5" w:rsidRDefault="007136A5" w:rsidP="009431FF">
            <w:pPr>
              <w:pStyle w:val="KIRMIZI"/>
              <w:rPr>
                <w:b w:val="0"/>
                <w:bCs w:val="0"/>
                <w:color w:val="0000FF"/>
                <w:lang w:eastAsia="tr-TR"/>
              </w:rPr>
            </w:pPr>
          </w:p>
          <w:p w:rsidR="007136A5" w:rsidRPr="00A23740" w:rsidRDefault="007136A5" w:rsidP="009431FF">
            <w:pPr>
              <w:pStyle w:val="KIRMIZI"/>
              <w:rPr>
                <w:b w:val="0"/>
                <w:bCs w:val="0"/>
                <w:color w:val="0000FF"/>
                <w:lang w:eastAsia="tr-TR"/>
              </w:rPr>
            </w:pPr>
          </w:p>
        </w:tc>
      </w:tr>
      <w:tr w:rsidR="002B2BD2" w:rsidRPr="00A23740" w:rsidTr="009431FF">
        <w:tblPrEx>
          <w:tblLook w:val="01E0" w:firstRow="1" w:lastRow="1" w:firstColumn="1" w:lastColumn="1" w:noHBand="0" w:noVBand="0"/>
        </w:tblPrEx>
        <w:tc>
          <w:tcPr>
            <w:tcW w:w="5000" w:type="pct"/>
            <w:gridSpan w:val="2"/>
            <w:shd w:val="clear" w:color="auto" w:fill="DEEAF6"/>
          </w:tcPr>
          <w:p w:rsidR="00A83DB2" w:rsidRPr="00A23740" w:rsidRDefault="00A83DB2" w:rsidP="009431FF">
            <w:pPr>
              <w:pStyle w:val="KIRMIZI"/>
            </w:pPr>
          </w:p>
          <w:p w:rsidR="00A83DB2" w:rsidRPr="00D60C1D" w:rsidRDefault="00E33E3B" w:rsidP="009431FF">
            <w:pPr>
              <w:pStyle w:val="Mavi"/>
              <w:ind w:firstLine="709"/>
              <w:rPr>
                <w:b w:val="0"/>
                <w:color w:val="000000"/>
                <w:lang w:val="tr-TR"/>
              </w:rPr>
            </w:pPr>
            <w:r w:rsidRPr="00A23740">
              <w:rPr>
                <w:color w:val="000000"/>
              </w:rPr>
              <w:t xml:space="preserve">MADDE </w:t>
            </w:r>
            <w:r w:rsidRPr="00D60C1D">
              <w:rPr>
                <w:rStyle w:val="KonuBalChar"/>
                <w:rFonts w:eastAsia="Calibri"/>
                <w:b/>
                <w:color w:val="000000"/>
              </w:rPr>
              <w:t>193</w:t>
            </w:r>
            <w:r w:rsidRPr="00D60C1D">
              <w:rPr>
                <w:rStyle w:val="KonuBalChar"/>
                <w:rFonts w:eastAsia="Calibri"/>
                <w:b/>
                <w:color w:val="000000"/>
                <w:lang w:val="tr-TR"/>
              </w:rPr>
              <w:t>-</w:t>
            </w:r>
            <w:r w:rsidR="00A83DB2" w:rsidRPr="00A23740">
              <w:rPr>
                <w:color w:val="auto"/>
                <w:lang w:val="tr-TR"/>
              </w:rPr>
              <w:t xml:space="preserve"> </w:t>
            </w:r>
            <w:r w:rsidR="00A83DB2" w:rsidRPr="00D60C1D">
              <w:rPr>
                <w:b w:val="0"/>
                <w:color w:val="000000"/>
                <w:lang w:val="tr-TR"/>
              </w:rPr>
              <w:t>2004 sayılı Kanun</w:t>
            </w:r>
            <w:r w:rsidR="0058079F" w:rsidRPr="00D60C1D">
              <w:rPr>
                <w:b w:val="0"/>
                <w:color w:val="000000"/>
                <w:lang w:val="tr-TR"/>
              </w:rPr>
              <w:t xml:space="preserve">sisteminde, </w:t>
            </w:r>
            <w:r w:rsidR="00A83DB2" w:rsidRPr="00D60C1D">
              <w:rPr>
                <w:b w:val="0"/>
                <w:color w:val="000000"/>
                <w:lang w:val="tr-TR"/>
              </w:rPr>
              <w:t xml:space="preserve"> ticaret şirketlerinin ve kooperatiflerin hisseleri, üçüncü kişilere devredilebilen malvarlığı haklarına ilişkin bulunduklarından bu hisselerin haczi ve paraya çevrilmesi de mümkündür. Ancak bir ölçüde limited şirketler bakımından ve daha fazla önem taşımak üzere şahıs şirketleri bakımından ortaklardan birinin hisselerini bir üçüncü kişiye devri, birlikte ticari faaliyette bulunan ve aralarında şahsi güven ilişkisi kurulmuş olabilen ortaklar arasına yeni bir kişinin katılması sonucunu doğuracağından; bazı sınırlamalara tabi tutulmuş olup “</w:t>
            </w:r>
            <w:r w:rsidR="00A83DB2" w:rsidRPr="00D60C1D">
              <w:rPr>
                <w:b w:val="0"/>
                <w:i/>
                <w:color w:val="000000"/>
                <w:lang w:val="tr-TR"/>
              </w:rPr>
              <w:t>ortaklar arasına yeni bir ortak girmesi</w:t>
            </w:r>
            <w:r w:rsidR="00A83DB2" w:rsidRPr="00D60C1D">
              <w:rPr>
                <w:b w:val="0"/>
                <w:color w:val="000000"/>
                <w:lang w:val="tr-TR"/>
              </w:rPr>
              <w:t>” şeklindeki bu sonuç, haczedilen bir şirket hissesinin paraya çevrilmek yoluyla bir üçüncü kişiye (ihale alıcısına) intikal etmesi h</w:t>
            </w:r>
            <w:r w:rsidR="001D7D44" w:rsidRPr="00D60C1D">
              <w:rPr>
                <w:b w:val="0"/>
                <w:color w:val="000000"/>
                <w:lang w:val="tr-TR"/>
              </w:rPr>
              <w:t>â</w:t>
            </w:r>
            <w:r w:rsidR="00A83DB2" w:rsidRPr="00D60C1D">
              <w:rPr>
                <w:b w:val="0"/>
                <w:color w:val="000000"/>
                <w:lang w:val="tr-TR"/>
              </w:rPr>
              <w:t>linde de varittir. Öte yandan anonim şirket hisselerinin haczi, haczedilecek olan hissenin senede bağlanmış bir hisse veya çıplak pay olması h</w:t>
            </w:r>
            <w:r w:rsidR="001D7D44" w:rsidRPr="00D60C1D">
              <w:rPr>
                <w:b w:val="0"/>
                <w:color w:val="000000"/>
                <w:lang w:val="tr-TR"/>
              </w:rPr>
              <w:t>â</w:t>
            </w:r>
            <w:r w:rsidR="00A83DB2" w:rsidRPr="00D60C1D">
              <w:rPr>
                <w:b w:val="0"/>
                <w:color w:val="000000"/>
                <w:lang w:val="tr-TR"/>
              </w:rPr>
              <w:t xml:space="preserve">llerinde, birbirinden farklı kurallara tabi olduğu gibi borsada işlem gören anonim şirket hisselerinin haczi ve paraya çevrilmesi, </w:t>
            </w:r>
            <w:r w:rsidR="0058079F" w:rsidRPr="00D60C1D">
              <w:rPr>
                <w:b w:val="0"/>
                <w:color w:val="000000"/>
                <w:lang w:val="tr-TR"/>
              </w:rPr>
              <w:t>S</w:t>
            </w:r>
            <w:r w:rsidR="00A83DB2" w:rsidRPr="00D60C1D">
              <w:rPr>
                <w:b w:val="0"/>
                <w:color w:val="000000"/>
                <w:lang w:val="tr-TR"/>
              </w:rPr>
              <w:t xml:space="preserve">ermaye </w:t>
            </w:r>
            <w:r w:rsidR="0058079F" w:rsidRPr="00D60C1D">
              <w:rPr>
                <w:b w:val="0"/>
                <w:color w:val="000000"/>
                <w:lang w:val="tr-TR"/>
              </w:rPr>
              <w:t>P</w:t>
            </w:r>
            <w:r w:rsidR="00A83DB2" w:rsidRPr="00D60C1D">
              <w:rPr>
                <w:b w:val="0"/>
                <w:color w:val="000000"/>
                <w:lang w:val="tr-TR"/>
              </w:rPr>
              <w:t xml:space="preserve">iyasası </w:t>
            </w:r>
            <w:r w:rsidR="0058079F" w:rsidRPr="00D60C1D">
              <w:rPr>
                <w:b w:val="0"/>
                <w:color w:val="000000"/>
                <w:lang w:val="tr-TR"/>
              </w:rPr>
              <w:t>K</w:t>
            </w:r>
            <w:r w:rsidR="00A83DB2" w:rsidRPr="00D60C1D">
              <w:rPr>
                <w:b w:val="0"/>
                <w:color w:val="000000"/>
                <w:lang w:val="tr-TR"/>
              </w:rPr>
              <w:t>urulu tebliğleriyle de düzenlenmiş bulunmakta; gerek anonim şirkette gerekse limited şirket</w:t>
            </w:r>
            <w:r w:rsidR="00B37898" w:rsidRPr="00D60C1D">
              <w:rPr>
                <w:b w:val="0"/>
                <w:color w:val="000000"/>
                <w:lang w:val="tr-TR"/>
              </w:rPr>
              <w:t>te</w:t>
            </w:r>
            <w:r w:rsidR="00A83DB2" w:rsidRPr="00D60C1D">
              <w:rPr>
                <w:b w:val="0"/>
                <w:color w:val="000000"/>
                <w:lang w:val="tr-TR"/>
              </w:rPr>
              <w:t xml:space="preserve"> haczin hisse sahiplerine ait olan mali haklar dışındaki idari hakların kullanılmasına ne şekilde etki edeceği, daha açık bir ifadeyle haciz tarihi ile paraya çevirme tarihi arasında idari hakların kimin tarafından ve nasıl kullanacağı konusunda </w:t>
            </w:r>
            <w:r w:rsidR="00A83DB2" w:rsidRPr="00D60C1D">
              <w:rPr>
                <w:rStyle w:val="Balk1Char"/>
                <w:rFonts w:eastAsia="Calibri"/>
                <w:color w:val="000000"/>
                <w:szCs w:val="24"/>
              </w:rPr>
              <w:t>bilimsel ve yargısal</w:t>
            </w:r>
            <w:r w:rsidR="00A83DB2" w:rsidRPr="00D60C1D">
              <w:rPr>
                <w:b w:val="0"/>
                <w:color w:val="000000"/>
                <w:lang w:val="tr-TR"/>
              </w:rPr>
              <w:t xml:space="preserve"> görüş farklılıkları mevcuttur. Nihayet yine bugünkü hukuki duruma göre kooperatif ortaklık paylarının haczi ise Kooperatifler Kanununun 19 uncu maddesinde “</w:t>
            </w:r>
            <w:r w:rsidR="00A83DB2" w:rsidRPr="00D60C1D">
              <w:rPr>
                <w:b w:val="0"/>
                <w:i/>
                <w:color w:val="000000"/>
                <w:lang w:val="tr-TR"/>
              </w:rPr>
              <w:t>bir ortağın şahsi alacaklılarının ancak ortağa ait faiz ve gelir gider farkından hissesine düşen miktarı ve kooperatifin dağılmasında ona ödenecek payın haczettirebilecekleri</w:t>
            </w:r>
            <w:r w:rsidR="00A83DB2" w:rsidRPr="00D60C1D">
              <w:rPr>
                <w:b w:val="0"/>
                <w:color w:val="000000"/>
                <w:lang w:val="tr-TR"/>
              </w:rPr>
              <w:t xml:space="preserve">” şeklinde özel bir sınırlamaya tabi tutulmuştur. </w:t>
            </w:r>
          </w:p>
          <w:p w:rsidR="00A83DB2" w:rsidRPr="00D60C1D" w:rsidRDefault="00B37898" w:rsidP="009431FF">
            <w:pPr>
              <w:pStyle w:val="Mavi"/>
              <w:ind w:firstLine="709"/>
              <w:rPr>
                <w:b w:val="0"/>
                <w:color w:val="000000"/>
                <w:lang w:val="tr-TR"/>
              </w:rPr>
            </w:pPr>
            <w:r w:rsidRPr="00D60C1D">
              <w:rPr>
                <w:b w:val="0"/>
                <w:color w:val="000000"/>
                <w:lang w:val="tr-TR"/>
              </w:rPr>
              <w:t>Taslak, ticaret şirketleri</w:t>
            </w:r>
            <w:r w:rsidR="00A83DB2" w:rsidRPr="00D60C1D">
              <w:rPr>
                <w:b w:val="0"/>
                <w:color w:val="000000"/>
                <w:lang w:val="tr-TR"/>
              </w:rPr>
              <w:t xml:space="preserve"> ve kooperatif hisselerinin haczi konusunu, </w:t>
            </w:r>
            <w:r w:rsidRPr="00D60C1D">
              <w:rPr>
                <w:b w:val="0"/>
                <w:color w:val="000000"/>
                <w:lang w:val="tr-TR"/>
              </w:rPr>
              <w:t xml:space="preserve">mümkün olduğu kadar </w:t>
            </w:r>
            <w:r w:rsidR="00A83DB2" w:rsidRPr="00D60C1D">
              <w:rPr>
                <w:b w:val="0"/>
                <w:color w:val="000000"/>
                <w:lang w:val="tr-TR"/>
              </w:rPr>
              <w:t>sade ve kolay anlaşılır bir dille düzenlemekte; yukarıda temas edilen sermaye şirketi paylarının haczinde hissedarlara ait idari hakların ne şekilde kullanılacağını</w:t>
            </w:r>
            <w:r w:rsidR="0058079F" w:rsidRPr="00D60C1D">
              <w:rPr>
                <w:b w:val="0"/>
                <w:color w:val="000000"/>
                <w:lang w:val="tr-TR"/>
              </w:rPr>
              <w:t>açıklamakta</w:t>
            </w:r>
            <w:r w:rsidR="00A83DB2" w:rsidRPr="00D60C1D">
              <w:rPr>
                <w:b w:val="0"/>
                <w:color w:val="000000"/>
                <w:lang w:val="tr-TR"/>
              </w:rPr>
              <w:t xml:space="preserve">; </w:t>
            </w:r>
            <w:r w:rsidR="0058079F" w:rsidRPr="00D60C1D">
              <w:rPr>
                <w:b w:val="0"/>
                <w:color w:val="000000"/>
                <w:lang w:val="tr-TR"/>
              </w:rPr>
              <w:t xml:space="preserve">Kooperatifler Kanununun </w:t>
            </w:r>
            <w:r w:rsidR="00A83DB2" w:rsidRPr="00D60C1D">
              <w:rPr>
                <w:b w:val="0"/>
                <w:color w:val="000000"/>
                <w:lang w:val="tr-TR"/>
              </w:rPr>
              <w:t>kooperatif ortaklık paylarının kooperatif dağılmadıkça haczedilemeyeceği yönündeki 19 uncu maddesinde yer alan ve “</w:t>
            </w:r>
            <w:r w:rsidR="00A83DB2" w:rsidRPr="00D60C1D">
              <w:rPr>
                <w:b w:val="0"/>
                <w:i/>
                <w:color w:val="000000"/>
                <w:lang w:val="tr-TR"/>
              </w:rPr>
              <w:t>ancak</w:t>
            </w:r>
            <w:r w:rsidR="00A83DB2" w:rsidRPr="00D60C1D">
              <w:rPr>
                <w:b w:val="0"/>
                <w:color w:val="000000"/>
                <w:lang w:val="tr-TR"/>
              </w:rPr>
              <w:t xml:space="preserve">” </w:t>
            </w:r>
            <w:r w:rsidR="0058079F" w:rsidRPr="00D60C1D">
              <w:rPr>
                <w:b w:val="0"/>
                <w:color w:val="000000"/>
                <w:lang w:val="tr-TR"/>
              </w:rPr>
              <w:t xml:space="preserve">sözcüğüyle </w:t>
            </w:r>
            <w:r w:rsidR="00A83DB2" w:rsidRPr="00D60C1D">
              <w:rPr>
                <w:b w:val="0"/>
                <w:color w:val="000000"/>
                <w:lang w:val="tr-TR"/>
              </w:rPr>
              <w:t>ifade edilen kısıtı ise yürürlükten kaldırmaktadır. Kooperatif ortaklık payını devralan kişilerin kooperatife girmelerinden önce doğan borçlardan diğer ortaklar gibi sorumlu olacakları hakkındaki Kooperatifler Kanunu 35 inci madde hükmü ise</w:t>
            </w:r>
            <w:r w:rsidR="0058079F" w:rsidRPr="00D60C1D">
              <w:rPr>
                <w:b w:val="0"/>
                <w:color w:val="000000"/>
                <w:lang w:val="tr-TR"/>
              </w:rPr>
              <w:t>,</w:t>
            </w:r>
            <w:r w:rsidR="00A83DB2" w:rsidRPr="00D60C1D">
              <w:rPr>
                <w:b w:val="0"/>
                <w:color w:val="000000"/>
                <w:lang w:val="tr-TR"/>
              </w:rPr>
              <w:t xml:space="preserve"> ortaklık payına değer takdir edilirken dikkate alınması gereken bir husus olarak değerlendirilmiş; bu konuda ayrı bir hüküm sevkedilmesine gerek görülmemiştir. </w:t>
            </w:r>
          </w:p>
          <w:p w:rsidR="00A83DB2" w:rsidRPr="00A23740" w:rsidRDefault="00A83DB2" w:rsidP="009431FF">
            <w:pPr>
              <w:pStyle w:val="Mavi"/>
              <w:ind w:firstLine="709"/>
              <w:rPr>
                <w:b w:val="0"/>
                <w:color w:val="auto"/>
                <w:lang w:val="tr-TR"/>
              </w:rPr>
            </w:pPr>
            <w:r w:rsidRPr="00D60C1D">
              <w:rPr>
                <w:b w:val="0"/>
                <w:color w:val="000000"/>
                <w:lang w:val="tr-TR"/>
              </w:rPr>
              <w:t>Yukarıda açıklanan hususlar dikkate alınarak</w:t>
            </w:r>
            <w:r w:rsidR="0054500A" w:rsidRPr="00D60C1D">
              <w:rPr>
                <w:rStyle w:val="KonuBalChar"/>
                <w:rFonts w:eastAsia="Calibri"/>
                <w:b/>
                <w:color w:val="000000"/>
              </w:rPr>
              <w:t xml:space="preserve"> </w:t>
            </w:r>
            <w:r w:rsidR="0054500A" w:rsidRPr="00D60C1D">
              <w:rPr>
                <w:rStyle w:val="KonuBalChar"/>
                <w:rFonts w:eastAsia="Calibri"/>
                <w:color w:val="000000"/>
              </w:rPr>
              <w:t>bu maddeyle</w:t>
            </w:r>
            <w:r w:rsidRPr="00A23740">
              <w:rPr>
                <w:b w:val="0"/>
                <w:color w:val="auto"/>
                <w:lang w:val="tr-TR"/>
              </w:rPr>
              <w:t>,</w:t>
            </w:r>
            <w:r w:rsidR="0054500A" w:rsidRPr="00A23740">
              <w:rPr>
                <w:rStyle w:val="KIRMIZIChar"/>
                <w:rFonts w:eastAsia="Calibri"/>
                <w:b/>
                <w:strike w:val="0"/>
                <w:lang w:val="tr-TR"/>
              </w:rPr>
              <w:t xml:space="preserve"> </w:t>
            </w:r>
            <w:r w:rsidRPr="00A23740">
              <w:rPr>
                <w:b w:val="0"/>
                <w:color w:val="auto"/>
                <w:lang w:val="tr-TR"/>
              </w:rPr>
              <w:t>şirket ve kooperatif payları ile tasfiye payının</w:t>
            </w:r>
            <w:r w:rsidR="00B37898" w:rsidRPr="00A23740">
              <w:rPr>
                <w:b w:val="0"/>
                <w:color w:val="auto"/>
                <w:lang w:val="tr-TR"/>
              </w:rPr>
              <w:t xml:space="preserve"> </w:t>
            </w:r>
            <w:r w:rsidR="00B37898" w:rsidRPr="00D60C1D">
              <w:rPr>
                <w:b w:val="0"/>
                <w:color w:val="000000"/>
              </w:rPr>
              <w:t>haczi açıklanmaktadır.</w:t>
            </w:r>
          </w:p>
          <w:p w:rsidR="00A83DB2" w:rsidRPr="00A23740" w:rsidRDefault="00A83DB2" w:rsidP="009431FF">
            <w:pPr>
              <w:pStyle w:val="Mavi"/>
              <w:ind w:firstLine="709"/>
              <w:rPr>
                <w:b w:val="0"/>
                <w:color w:val="auto"/>
                <w:lang w:val="tr-TR"/>
              </w:rPr>
            </w:pPr>
            <w:r w:rsidRPr="00A23740">
              <w:rPr>
                <w:b w:val="0"/>
                <w:color w:val="auto"/>
                <w:lang w:val="tr-TR"/>
              </w:rPr>
              <w:t xml:space="preserve">Birinci fıkrayla borçlunun adi ortaklıktaki tasfiye payının </w:t>
            </w:r>
            <w:r w:rsidR="00106AF2" w:rsidRPr="00A23740">
              <w:rPr>
                <w:b w:val="0"/>
                <w:color w:val="auto"/>
                <w:lang w:val="tr-TR"/>
              </w:rPr>
              <w:t xml:space="preserve"> haczedilmesi  olasılığında, haczin </w:t>
            </w:r>
            <w:r w:rsidRPr="00A23740">
              <w:rPr>
                <w:b w:val="0"/>
                <w:color w:val="auto"/>
                <w:lang w:val="tr-TR"/>
              </w:rPr>
              <w:t>yapılmasına ve yapılan haczin sonuçlarının bildirilmesine ilişkin düzenleme yapılmaktadır.</w:t>
            </w:r>
          </w:p>
          <w:p w:rsidR="00A83DB2" w:rsidRPr="00A23740" w:rsidRDefault="00A83DB2" w:rsidP="009431FF">
            <w:pPr>
              <w:pStyle w:val="Mavi"/>
              <w:ind w:firstLine="709"/>
              <w:rPr>
                <w:rStyle w:val="KIRMIZIChar"/>
                <w:rFonts w:eastAsia="Calibri"/>
                <w:b/>
              </w:rPr>
            </w:pPr>
            <w:r w:rsidRPr="00A23740">
              <w:rPr>
                <w:b w:val="0"/>
                <w:color w:val="auto"/>
                <w:lang w:val="tr-TR"/>
              </w:rPr>
              <w:t xml:space="preserve">İkinci fıkrayla alacaklının paraya çevirme talebi üzerine icra ve iflas dairesi tarafından dosyanın icra hukuk mahkemesine gönderilerek </w:t>
            </w:r>
            <w:r w:rsidR="00106AF2" w:rsidRPr="00A23740">
              <w:rPr>
                <w:b w:val="0"/>
                <w:color w:val="auto"/>
                <w:lang w:val="tr-TR"/>
              </w:rPr>
              <w:t xml:space="preserve">mahkemenin </w:t>
            </w:r>
            <w:r w:rsidRPr="00A23740">
              <w:rPr>
                <w:b w:val="0"/>
                <w:color w:val="auto"/>
                <w:lang w:val="tr-TR"/>
              </w:rPr>
              <w:t xml:space="preserve">vereceği </w:t>
            </w:r>
            <w:r w:rsidR="00B37898" w:rsidRPr="00D60C1D">
              <w:rPr>
                <w:rStyle w:val="Balk1Char"/>
                <w:rFonts w:eastAsia="Calibri"/>
                <w:color w:val="000000"/>
                <w:szCs w:val="24"/>
              </w:rPr>
              <w:t>karar</w:t>
            </w:r>
            <w:r w:rsidRPr="00A23740">
              <w:rPr>
                <w:b w:val="0"/>
                <w:color w:val="auto"/>
                <w:lang w:val="tr-TR"/>
              </w:rPr>
              <w:t xml:space="preserve"> ve paraya çevirme usulü</w:t>
            </w:r>
            <w:r w:rsidR="00B37898" w:rsidRPr="00A23740">
              <w:rPr>
                <w:b w:val="0"/>
                <w:color w:val="auto"/>
                <w:lang w:val="tr-TR"/>
              </w:rPr>
              <w:t xml:space="preserve"> </w:t>
            </w:r>
            <w:r w:rsidR="00B37898" w:rsidRPr="00D60C1D">
              <w:rPr>
                <w:rStyle w:val="Balk1Char"/>
                <w:rFonts w:eastAsia="Calibri"/>
                <w:color w:val="000000"/>
                <w:szCs w:val="24"/>
              </w:rPr>
              <w:t>hükme bağlanmaktadır.</w:t>
            </w:r>
          </w:p>
          <w:p w:rsidR="00A83DB2" w:rsidRPr="00A23740" w:rsidRDefault="00A83DB2" w:rsidP="009431FF">
            <w:pPr>
              <w:pStyle w:val="Mavi"/>
              <w:ind w:firstLine="709"/>
              <w:rPr>
                <w:rStyle w:val="KIRMIZIChar"/>
                <w:rFonts w:eastAsia="Calibri"/>
                <w:b/>
                <w:lang w:val="tr-TR"/>
              </w:rPr>
            </w:pPr>
            <w:r w:rsidRPr="00A23740">
              <w:rPr>
                <w:b w:val="0"/>
                <w:iCs/>
                <w:color w:val="auto"/>
                <w:lang w:val="tr-TR"/>
              </w:rPr>
              <w:t>Üçüncü fıkrayla şahıs şirketinin ortakların</w:t>
            </w:r>
            <w:r w:rsidR="00106AF2" w:rsidRPr="00A23740">
              <w:rPr>
                <w:b w:val="0"/>
                <w:iCs/>
                <w:color w:val="auto"/>
                <w:lang w:val="tr-TR"/>
              </w:rPr>
              <w:t>dan</w:t>
            </w:r>
            <w:r w:rsidRPr="00A23740">
              <w:rPr>
                <w:b w:val="0"/>
                <w:iCs/>
                <w:color w:val="auto"/>
                <w:lang w:val="tr-TR"/>
              </w:rPr>
              <w:t xml:space="preserve"> birinin borcu nedeni</w:t>
            </w:r>
            <w:r w:rsidR="00B37898" w:rsidRPr="00A23740">
              <w:rPr>
                <w:b w:val="0"/>
                <w:iCs/>
                <w:color w:val="auto"/>
                <w:lang w:val="tr-TR"/>
              </w:rPr>
              <w:t>yle</w:t>
            </w:r>
            <w:r w:rsidRPr="00A23740">
              <w:rPr>
                <w:b w:val="0"/>
                <w:iCs/>
                <w:color w:val="auto"/>
                <w:lang w:val="tr-TR"/>
              </w:rPr>
              <w:t xml:space="preserve"> yapılacak haciz işlemleri, dördüncü fıkrayla </w:t>
            </w:r>
            <w:r w:rsidRPr="00A23740">
              <w:rPr>
                <w:b w:val="0"/>
                <w:iCs/>
                <w:color w:val="auto"/>
              </w:rPr>
              <w:t>borçlunun bir sermaye şirketindeki senede bağl</w:t>
            </w:r>
            <w:r w:rsidR="00B37898" w:rsidRPr="00A23740">
              <w:rPr>
                <w:b w:val="0"/>
                <w:iCs/>
                <w:color w:val="auto"/>
              </w:rPr>
              <w:t>anmış veya bağlanmamış payların</w:t>
            </w:r>
            <w:r w:rsidR="00106AF2" w:rsidRPr="00A23740">
              <w:rPr>
                <w:b w:val="0"/>
                <w:iCs/>
                <w:color w:val="auto"/>
                <w:lang w:val="tr-TR"/>
              </w:rPr>
              <w:t>ın</w:t>
            </w:r>
            <w:r w:rsidRPr="00A23740">
              <w:rPr>
                <w:b w:val="0"/>
                <w:iCs/>
                <w:color w:val="auto"/>
                <w:lang w:val="tr-TR"/>
              </w:rPr>
              <w:t xml:space="preserve"> haczi, haciz tutanağının tanzimi ve içeriği</w:t>
            </w:r>
            <w:r w:rsidR="00B37898" w:rsidRPr="00A23740">
              <w:rPr>
                <w:b w:val="0"/>
                <w:iCs/>
                <w:color w:val="auto"/>
                <w:lang w:val="tr-TR"/>
              </w:rPr>
              <w:t xml:space="preserve"> </w:t>
            </w:r>
            <w:r w:rsidR="00B37898" w:rsidRPr="00D60C1D">
              <w:rPr>
                <w:rStyle w:val="Balk1Char"/>
                <w:rFonts w:eastAsia="Calibri"/>
                <w:color w:val="000000"/>
                <w:szCs w:val="24"/>
              </w:rPr>
              <w:t>ile</w:t>
            </w:r>
            <w:r w:rsidR="00B37898" w:rsidRPr="00A23740">
              <w:rPr>
                <w:b w:val="0"/>
                <w:iCs/>
                <w:color w:val="auto"/>
                <w:lang w:val="tr-TR"/>
              </w:rPr>
              <w:t xml:space="preserve"> </w:t>
            </w:r>
            <w:r w:rsidRPr="00A23740">
              <w:rPr>
                <w:b w:val="0"/>
                <w:iCs/>
                <w:color w:val="auto"/>
                <w:lang w:val="tr-TR"/>
              </w:rPr>
              <w:t xml:space="preserve">sonuçları </w:t>
            </w:r>
            <w:r w:rsidR="00B37898" w:rsidRPr="00A23740">
              <w:rPr>
                <w:b w:val="0"/>
                <w:iCs/>
                <w:color w:val="auto"/>
                <w:lang w:val="tr-TR"/>
              </w:rPr>
              <w:t>açıklığa kavuşturulmaktadır.</w:t>
            </w:r>
          </w:p>
          <w:p w:rsidR="00106AF2" w:rsidRPr="00D60C1D" w:rsidRDefault="00106AF2" w:rsidP="009431FF">
            <w:pPr>
              <w:pStyle w:val="Mavi"/>
              <w:ind w:firstLine="709"/>
              <w:rPr>
                <w:rStyle w:val="KIRMIZIChar"/>
                <w:rFonts w:eastAsia="Calibri"/>
                <w:b/>
                <w:color w:val="000000"/>
                <w:lang w:val="tr-TR"/>
              </w:rPr>
            </w:pPr>
            <w:r w:rsidRPr="00D60C1D">
              <w:rPr>
                <w:b w:val="0"/>
                <w:iCs/>
                <w:color w:val="000000"/>
                <w:lang w:val="tr-TR"/>
              </w:rPr>
              <w:t>Dördüncü fıkrada a</w:t>
            </w:r>
            <w:r w:rsidRPr="00D60C1D">
              <w:rPr>
                <w:b w:val="0"/>
                <w:iCs/>
                <w:color w:val="000000"/>
              </w:rPr>
              <w:t>lacaklılar</w:t>
            </w:r>
            <w:r w:rsidRPr="00D60C1D">
              <w:rPr>
                <w:b w:val="0"/>
                <w:iCs/>
                <w:color w:val="000000"/>
                <w:lang w:val="tr-TR"/>
              </w:rPr>
              <w:t>ın</w:t>
            </w:r>
            <w:r w:rsidRPr="00D60C1D">
              <w:rPr>
                <w:b w:val="0"/>
                <w:iCs/>
                <w:color w:val="000000"/>
              </w:rPr>
              <w:t xml:space="preserve"> borçlunun bir sermaye şirketin</w:t>
            </w:r>
            <w:r w:rsidRPr="00D60C1D">
              <w:rPr>
                <w:b w:val="0"/>
                <w:iCs/>
                <w:color w:val="000000"/>
                <w:lang w:val="tr-TR"/>
              </w:rPr>
              <w:t xml:space="preserve">in </w:t>
            </w:r>
            <w:r w:rsidRPr="00D60C1D">
              <w:rPr>
                <w:b w:val="0"/>
                <w:iCs/>
                <w:color w:val="000000"/>
              </w:rPr>
              <w:t>senede bağlanmış veya bağlanmamış payları</w:t>
            </w:r>
            <w:r w:rsidRPr="00D60C1D">
              <w:rPr>
                <w:b w:val="0"/>
                <w:iCs/>
                <w:color w:val="000000"/>
                <w:lang w:val="tr-TR"/>
              </w:rPr>
              <w:t>nı</w:t>
            </w:r>
            <w:r w:rsidRPr="00D60C1D">
              <w:rPr>
                <w:b w:val="0"/>
                <w:iCs/>
                <w:color w:val="000000"/>
              </w:rPr>
              <w:t xml:space="preserve">, </w:t>
            </w:r>
            <w:r w:rsidRPr="00D60C1D">
              <w:rPr>
                <w:b w:val="0"/>
                <w:color w:val="000000"/>
              </w:rPr>
              <w:t xml:space="preserve">taşınırlara ilişkin hükümler uyarınca </w:t>
            </w:r>
            <w:r w:rsidRPr="00D60C1D">
              <w:rPr>
                <w:b w:val="0"/>
                <w:iCs/>
                <w:color w:val="000000"/>
              </w:rPr>
              <w:t>haczettir</w:t>
            </w:r>
            <w:r w:rsidRPr="00D60C1D">
              <w:rPr>
                <w:b w:val="0"/>
                <w:iCs/>
                <w:color w:val="000000"/>
                <w:lang w:val="tr-TR"/>
              </w:rPr>
              <w:t xml:space="preserve">melerinden kaynaklanabilecek hukuki  sonuçlar ele alınmaktadır. </w:t>
            </w:r>
          </w:p>
          <w:p w:rsidR="00106AF2" w:rsidRPr="00A23740" w:rsidRDefault="00A83DB2" w:rsidP="009431FF">
            <w:pPr>
              <w:pStyle w:val="Mavi"/>
              <w:ind w:firstLine="709"/>
              <w:rPr>
                <w:b w:val="0"/>
                <w:color w:val="auto"/>
                <w:lang w:val="tr-TR"/>
              </w:rPr>
            </w:pPr>
            <w:r w:rsidRPr="00A23740">
              <w:rPr>
                <w:b w:val="0"/>
                <w:color w:val="auto"/>
                <w:lang w:val="tr-TR"/>
              </w:rPr>
              <w:t xml:space="preserve">Beşinci fıkrayla </w:t>
            </w:r>
            <w:r w:rsidRPr="00A23740">
              <w:rPr>
                <w:b w:val="0"/>
                <w:color w:val="auto"/>
              </w:rPr>
              <w:t xml:space="preserve">borçlu ortağın kooperatifteki ortaklık payının haciz usulüne ilişkin düzenleme yapılmaktadır. </w:t>
            </w:r>
          </w:p>
          <w:p w:rsidR="00C33051" w:rsidRPr="00A23740" w:rsidRDefault="00A83DB2" w:rsidP="007136A5">
            <w:pPr>
              <w:pStyle w:val="Mavi"/>
              <w:ind w:firstLine="709"/>
              <w:rPr>
                <w:lang w:val="tr-TR"/>
              </w:rPr>
            </w:pPr>
            <w:r w:rsidRPr="00A23740">
              <w:rPr>
                <w:b w:val="0"/>
                <w:color w:val="auto"/>
                <w:lang w:val="tr-TR"/>
              </w:rPr>
              <w:t>A</w:t>
            </w:r>
            <w:r w:rsidR="00B37898" w:rsidRPr="00A23740">
              <w:rPr>
                <w:b w:val="0"/>
                <w:color w:val="auto"/>
              </w:rPr>
              <w:t>ltıncı fıkrad</w:t>
            </w:r>
            <w:r w:rsidRPr="00A23740">
              <w:rPr>
                <w:b w:val="0"/>
                <w:color w:val="auto"/>
              </w:rPr>
              <w:t xml:space="preserve">a </w:t>
            </w:r>
            <w:r w:rsidRPr="00A23740">
              <w:rPr>
                <w:b w:val="0"/>
                <w:iCs/>
                <w:color w:val="auto"/>
                <w:lang w:val="tr-TR"/>
              </w:rPr>
              <w:t>a</w:t>
            </w:r>
            <w:r w:rsidRPr="00A23740">
              <w:rPr>
                <w:b w:val="0"/>
                <w:iCs/>
                <w:color w:val="auto"/>
              </w:rPr>
              <w:t xml:space="preserve">di </w:t>
            </w:r>
            <w:r w:rsidRPr="00A23740">
              <w:rPr>
                <w:b w:val="0"/>
                <w:iCs/>
                <w:color w:val="auto"/>
                <w:lang w:val="tr-TR"/>
              </w:rPr>
              <w:t>ortaklıklar</w:t>
            </w:r>
            <w:r w:rsidRPr="00A23740">
              <w:rPr>
                <w:b w:val="0"/>
                <w:iCs/>
                <w:color w:val="auto"/>
              </w:rPr>
              <w:t xml:space="preserve">, şahıs şirketleri, sermaye şirketleri ve kooperatiflerde, alacaklıların borçlu ortakların şirketten veya kooperatiften olan </w:t>
            </w:r>
            <w:r w:rsidRPr="00A23740">
              <w:rPr>
                <w:b w:val="0"/>
                <w:color w:val="auto"/>
              </w:rPr>
              <w:t>diğer alacaklarını</w:t>
            </w:r>
            <w:r w:rsidRPr="00A23740">
              <w:rPr>
                <w:b w:val="0"/>
                <w:iCs/>
                <w:color w:val="auto"/>
              </w:rPr>
              <w:t xml:space="preserve"> haczettirme hakkı</w:t>
            </w:r>
            <w:r w:rsidR="00B37898" w:rsidRPr="00A23740">
              <w:rPr>
                <w:b w:val="0"/>
                <w:iCs/>
                <w:color w:val="auto"/>
                <w:lang w:val="tr-TR"/>
              </w:rPr>
              <w:t xml:space="preserve"> </w:t>
            </w:r>
            <w:r w:rsidRPr="00A23740">
              <w:rPr>
                <w:b w:val="0"/>
                <w:iCs/>
                <w:color w:val="auto"/>
              </w:rPr>
              <w:t>düzenle</w:t>
            </w:r>
            <w:r w:rsidR="00B37898" w:rsidRPr="00A23740">
              <w:rPr>
                <w:b w:val="0"/>
                <w:iCs/>
                <w:color w:val="auto"/>
                <w:lang w:val="tr-TR"/>
              </w:rPr>
              <w:t>n</w:t>
            </w:r>
            <w:r w:rsidRPr="00A23740">
              <w:rPr>
                <w:b w:val="0"/>
                <w:iCs/>
                <w:color w:val="auto"/>
              </w:rPr>
              <w:t>me</w:t>
            </w:r>
            <w:r w:rsidR="00B37898" w:rsidRPr="00A23740">
              <w:rPr>
                <w:b w:val="0"/>
                <w:iCs/>
                <w:color w:val="auto"/>
                <w:lang w:val="tr-TR"/>
              </w:rPr>
              <w:t>ktedir.</w:t>
            </w: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pPr>
          </w:p>
          <w:p w:rsidR="00AA5C8C" w:rsidRPr="00A23740" w:rsidRDefault="00AA5C8C" w:rsidP="009431FF">
            <w:pPr>
              <w:pStyle w:val="Mavi"/>
              <w:rPr>
                <w:lang w:val="tr-TR"/>
              </w:rPr>
            </w:pPr>
          </w:p>
          <w:p w:rsidR="00AA5C8C" w:rsidRPr="00A23740" w:rsidRDefault="00AA5C8C" w:rsidP="009431FF">
            <w:pPr>
              <w:pStyle w:val="KIRMIZI"/>
              <w:rPr>
                <w:lang w:val="tr-TR"/>
              </w:rPr>
            </w:pPr>
          </w:p>
        </w:tc>
        <w:tc>
          <w:tcPr>
            <w:tcW w:w="2500" w:type="pct"/>
          </w:tcPr>
          <w:p w:rsidR="00AA5C8C" w:rsidRPr="00A23740" w:rsidRDefault="00AA5C8C" w:rsidP="009431FF">
            <w:pPr>
              <w:pStyle w:val="Mavi"/>
            </w:pPr>
            <w:r w:rsidRPr="00A23740">
              <w:t>Kayden izlenen sermaye piyasası araçlarının haczi</w:t>
            </w:r>
          </w:p>
          <w:p w:rsidR="00AA5C8C" w:rsidRPr="00A23740" w:rsidRDefault="00E33E3B" w:rsidP="009431FF">
            <w:pPr>
              <w:pStyle w:val="Mavi"/>
            </w:pPr>
            <w:r w:rsidRPr="00A23740">
              <w:t xml:space="preserve">MADDE </w:t>
            </w:r>
            <w:r w:rsidRPr="00CE4365">
              <w:t>194-</w:t>
            </w:r>
            <w:r w:rsidR="00AA5C8C" w:rsidRPr="00A23740">
              <w:t xml:space="preserve"> (1) Kayden izlenen sermaye piyasası araçlarının haczi h</w:t>
            </w:r>
            <w:r w:rsidR="001D7D44" w:rsidRPr="00A23740">
              <w:rPr>
                <w:lang w:val="tr-TR"/>
              </w:rPr>
              <w:t>â</w:t>
            </w:r>
            <w:r w:rsidR="00AA5C8C" w:rsidRPr="00A23740">
              <w:t>linde</w:t>
            </w:r>
            <w:r w:rsidR="007D3203" w:rsidRPr="00A23740">
              <w:rPr>
                <w:lang w:val="tr-TR"/>
              </w:rPr>
              <w:t>,</w:t>
            </w:r>
            <w:r w:rsidR="00AA5C8C" w:rsidRPr="00A23740">
              <w:t xml:space="preserve"> </w:t>
            </w:r>
            <w:r w:rsidR="007D3203" w:rsidRPr="00A23740">
              <w:rPr>
                <w:lang w:val="tr-TR"/>
              </w:rPr>
              <w:t>borçlunun üçüncü kişideki mal, hak ve alacaklarının haczi hakkındaki</w:t>
            </w:r>
            <w:r w:rsidR="00F730AC" w:rsidRPr="00A23740">
              <w:rPr>
                <w:lang w:val="tr-TR"/>
              </w:rPr>
              <w:t xml:space="preserve"> </w:t>
            </w:r>
            <w:r w:rsidR="00F730AC" w:rsidRPr="00CE4365">
              <w:t>171 inci</w:t>
            </w:r>
            <w:r w:rsidR="007D3203" w:rsidRPr="00A23740">
              <w:rPr>
                <w:b w:val="0"/>
                <w:lang w:val="tr-TR"/>
              </w:rPr>
              <w:t xml:space="preserve"> </w:t>
            </w:r>
            <w:r w:rsidR="00AA5C8C" w:rsidRPr="00A23740">
              <w:t xml:space="preserve">madde uygulanır. </w:t>
            </w:r>
            <w:r w:rsidR="007D3203" w:rsidRPr="00A23740">
              <w:rPr>
                <w:lang w:val="tr-TR"/>
              </w:rPr>
              <w:t xml:space="preserve">Haciz </w:t>
            </w:r>
            <w:r w:rsidR="007D3203" w:rsidRPr="00A23740">
              <w:t>ihbarname</w:t>
            </w:r>
            <w:r w:rsidR="007D3203" w:rsidRPr="00A23740">
              <w:rPr>
                <w:lang w:val="tr-TR"/>
              </w:rPr>
              <w:t>si</w:t>
            </w:r>
            <w:r w:rsidR="007D3203" w:rsidRPr="00A23740">
              <w:t xml:space="preserve"> </w:t>
            </w:r>
            <w:r w:rsidR="00AA5C8C" w:rsidRPr="00A23740">
              <w:t xml:space="preserve">Merkezi Kayıt Kuruluşu Anonim </w:t>
            </w:r>
            <w:r w:rsidR="00AA5C8C" w:rsidRPr="00A23740">
              <w:rPr>
                <w:lang w:val="tr-TR"/>
              </w:rPr>
              <w:t>Şirketi</w:t>
            </w:r>
            <w:r w:rsidR="00AA5C8C" w:rsidRPr="00A23740">
              <w:t xml:space="preserve"> üyeleri</w:t>
            </w:r>
            <w:r w:rsidR="007D3203" w:rsidRPr="00A23740">
              <w:rPr>
                <w:lang w:val="tr-TR"/>
              </w:rPr>
              <w:t>ne tebliğ edilir. Bu üyeler tebliğ üzerine,</w:t>
            </w:r>
            <w:r w:rsidR="00AA5C8C" w:rsidRPr="00A23740">
              <w:t xml:space="preserve"> borçluya </w:t>
            </w:r>
            <w:r w:rsidR="007D3203" w:rsidRPr="00A23740">
              <w:t>ait sermaye piyasası araçları</w:t>
            </w:r>
            <w:r w:rsidR="00AA5C8C" w:rsidRPr="00A23740">
              <w:t xml:space="preserve"> üzerine haciz konulduğunu derh</w:t>
            </w:r>
            <w:r w:rsidR="00DF22A1" w:rsidRPr="00A23740">
              <w:rPr>
                <w:lang w:val="tr-TR"/>
              </w:rPr>
              <w:t>â</w:t>
            </w:r>
            <w:r w:rsidR="00AA5C8C" w:rsidRPr="00A23740">
              <w:t>l kaydına işleyerek durumu icra ve iflas</w:t>
            </w:r>
            <w:r w:rsidR="00AA5C8C" w:rsidRPr="00A23740">
              <w:rPr>
                <w:lang w:val="tr-TR"/>
              </w:rPr>
              <w:t xml:space="preserve"> </w:t>
            </w:r>
            <w:r w:rsidR="00AA5C8C" w:rsidRPr="00A23740">
              <w:t>dairesine bildirir. Bu sermaye piyasası araçları</w:t>
            </w:r>
            <w:r w:rsidR="007D3203" w:rsidRPr="00A23740">
              <w:rPr>
                <w:lang w:val="tr-TR"/>
              </w:rPr>
              <w:t>,</w:t>
            </w:r>
            <w:r w:rsidR="00AA5C8C" w:rsidRPr="00A23740">
              <w:t xml:space="preserve"> haciz uygulanmış kıymetlere özgülenmiş hesaplarda izlenir.</w:t>
            </w:r>
          </w:p>
          <w:p w:rsidR="000A2887" w:rsidRPr="00A23740" w:rsidRDefault="000A2887" w:rsidP="009431FF">
            <w:pPr>
              <w:pStyle w:val="YEL"/>
              <w:rPr>
                <w:lang w:val="tr-TR"/>
              </w:rPr>
            </w:pPr>
          </w:p>
          <w:p w:rsidR="00AA5C8C" w:rsidRPr="00A23740" w:rsidRDefault="00AA5C8C" w:rsidP="009431FF">
            <w:pPr>
              <w:pStyle w:val="Mavi"/>
            </w:pPr>
            <w:r w:rsidRPr="00A23740">
              <w:t>(2) Kayden izlenen sermaye piyasası araçlarının takası h</w:t>
            </w:r>
            <w:r w:rsidR="001D7D44" w:rsidRPr="00A23740">
              <w:rPr>
                <w:lang w:val="tr-TR"/>
              </w:rPr>
              <w:t>â</w:t>
            </w:r>
            <w:r w:rsidRPr="00A23740">
              <w:t>linde, takas talimatı ve işlemleri ile buna bağlı ödeme işlemleri, haczin uygulanmasından etkilenmez.</w:t>
            </w:r>
          </w:p>
          <w:p w:rsidR="00AA5C8C" w:rsidRPr="00A23740" w:rsidRDefault="00AA5C8C" w:rsidP="009431FF">
            <w:pPr>
              <w:rPr>
                <w:szCs w:val="24"/>
              </w:rPr>
            </w:pPr>
          </w:p>
          <w:p w:rsidR="00AA5C8C" w:rsidRPr="00A23740" w:rsidRDefault="00AA5C8C" w:rsidP="009431FF">
            <w:pPr>
              <w:pStyle w:val="Mavi"/>
            </w:pPr>
            <w:r w:rsidRPr="00A23740">
              <w:t>(3) 10/2/2005 tarihli ve 5300 sayılı Tarım Ürünleri Lisanslı Depoculuk Kanunu uyarınca kayden izlenen elektronik ürün senetlerinin haczinde de bu madde uygulanır.</w:t>
            </w:r>
          </w:p>
          <w:p w:rsidR="001709D5" w:rsidRPr="00A23740" w:rsidRDefault="001709D5" w:rsidP="009431FF">
            <w:pPr>
              <w:pStyle w:val="KIRMIZI"/>
              <w:rPr>
                <w:b w:val="0"/>
              </w:rPr>
            </w:pPr>
          </w:p>
        </w:tc>
      </w:tr>
      <w:tr w:rsidR="002B2BD2" w:rsidRPr="00A23740" w:rsidTr="009431FF">
        <w:tblPrEx>
          <w:tblLook w:val="01E0" w:firstRow="1" w:lastRow="1" w:firstColumn="1" w:lastColumn="1" w:noHBand="0" w:noVBand="0"/>
        </w:tblPrEx>
        <w:tc>
          <w:tcPr>
            <w:tcW w:w="5000" w:type="pct"/>
            <w:gridSpan w:val="2"/>
            <w:shd w:val="clear" w:color="auto" w:fill="DEEAF6"/>
          </w:tcPr>
          <w:p w:rsidR="002F798A" w:rsidRPr="00A23740" w:rsidRDefault="002F798A" w:rsidP="009431FF">
            <w:pPr>
              <w:ind w:firstLine="709"/>
              <w:rPr>
                <w:b/>
                <w:szCs w:val="24"/>
              </w:rPr>
            </w:pPr>
          </w:p>
          <w:p w:rsidR="002F798A" w:rsidRPr="00A23740" w:rsidRDefault="007C3593" w:rsidP="009431FF">
            <w:pPr>
              <w:ind w:firstLine="709"/>
            </w:pPr>
            <w:r w:rsidRPr="00A23740">
              <w:rPr>
                <w:b/>
              </w:rPr>
              <w:t xml:space="preserve">MADDE </w:t>
            </w:r>
            <w:r w:rsidR="00E33E3B" w:rsidRPr="00D60C1D">
              <w:rPr>
                <w:rStyle w:val="KonuBalChar"/>
                <w:rFonts w:eastAsia="Calibri"/>
                <w:color w:val="000000"/>
              </w:rPr>
              <w:t>194</w:t>
            </w:r>
            <w:r w:rsidR="00E33E3B" w:rsidRPr="00D60C1D">
              <w:rPr>
                <w:rStyle w:val="KonuBalChar"/>
                <w:rFonts w:eastAsia="Calibri"/>
                <w:color w:val="000000"/>
                <w:lang w:val="tr-TR"/>
              </w:rPr>
              <w:t>-</w:t>
            </w:r>
            <w:r w:rsidR="00E33E3B" w:rsidRPr="00A23740">
              <w:t xml:space="preserve"> </w:t>
            </w:r>
            <w:r w:rsidR="002F798A" w:rsidRPr="00A23740">
              <w:t xml:space="preserve">Maddeyle, kayden izlenen sermaye piyasası araçlarının haczi düzenlenmektedir. </w:t>
            </w:r>
          </w:p>
          <w:p w:rsidR="002F798A" w:rsidRPr="00A23740" w:rsidRDefault="002F798A" w:rsidP="009431FF">
            <w:pPr>
              <w:ind w:firstLine="709"/>
              <w:rPr>
                <w:b/>
                <w:szCs w:val="24"/>
              </w:rPr>
            </w:pPr>
            <w:r w:rsidRPr="00A23740">
              <w:t>Birinci fıkrayla, kayden izlenen sermaye piyasası araçlarının haczi h</w:t>
            </w:r>
            <w:r w:rsidR="001D7D44" w:rsidRPr="00A23740">
              <w:t>â</w:t>
            </w:r>
            <w:r w:rsidRPr="00A23740">
              <w:t xml:space="preserve">linde </w:t>
            </w:r>
            <w:r w:rsidR="00803DCC" w:rsidRPr="00D60C1D">
              <w:rPr>
                <w:rStyle w:val="KonuBalChar"/>
                <w:rFonts w:eastAsia="Calibri"/>
                <w:b w:val="0"/>
                <w:color w:val="000000"/>
              </w:rPr>
              <w:t xml:space="preserve">Taslağın </w:t>
            </w:r>
            <w:r w:rsidR="00464C52" w:rsidRPr="00D60C1D">
              <w:rPr>
                <w:rStyle w:val="KonuBalChar"/>
                <w:rFonts w:eastAsia="Calibri"/>
                <w:b w:val="0"/>
                <w:color w:val="000000"/>
              </w:rPr>
              <w:t>171 inci</w:t>
            </w:r>
            <w:r w:rsidR="00464C52" w:rsidRPr="00A23740">
              <w:t xml:space="preserve"> </w:t>
            </w:r>
            <w:r w:rsidRPr="00A23740">
              <w:t>maddesi</w:t>
            </w:r>
            <w:r w:rsidR="00AE57E0" w:rsidRPr="00A23740">
              <w:t>nin uygulanacağı</w:t>
            </w:r>
            <w:r w:rsidR="00106AF2" w:rsidRPr="00A23740">
              <w:t>na işaret edilmektedir</w:t>
            </w:r>
            <w:r w:rsidRPr="00A23740">
              <w:t xml:space="preserve">. </w:t>
            </w:r>
            <w:r w:rsidR="00AE57E0" w:rsidRPr="00A23740">
              <w:t xml:space="preserve">Buna göre, ihbarnamenin </w:t>
            </w:r>
            <w:r w:rsidRPr="00A23740">
              <w:t>tebliğ edildiği Merkezi Kayıt Kuruluşu Anonim Şirketi üyeleri</w:t>
            </w:r>
            <w:r w:rsidR="00AE57E0" w:rsidRPr="00A23740">
              <w:t>nin</w:t>
            </w:r>
            <w:r w:rsidRPr="00A23740">
              <w:t xml:space="preserve"> borçluya ait sermaye piyasası araçlarının üzerine haciz konulduğunu </w:t>
            </w:r>
            <w:r w:rsidR="00DF22A1" w:rsidRPr="00A23740">
              <w:rPr>
                <w:szCs w:val="24"/>
              </w:rPr>
              <w:t xml:space="preserve">derhâl </w:t>
            </w:r>
            <w:r w:rsidRPr="00A23740">
              <w:t xml:space="preserve">kaydına işleyerek durumu icra ve iflas </w:t>
            </w:r>
            <w:r w:rsidR="00AE57E0" w:rsidRPr="00A23740">
              <w:t xml:space="preserve">dairesine bildirecektir. Öte yandan, bu </w:t>
            </w:r>
            <w:r w:rsidRPr="00A23740">
              <w:t>sermaye piyasası araçları haciz uygulanmış kıymetler</w:t>
            </w:r>
            <w:r w:rsidR="00AE57E0" w:rsidRPr="00A23740">
              <w:t xml:space="preserve">e özgülenmiş hesaplarda izlenecektir. </w:t>
            </w:r>
          </w:p>
          <w:p w:rsidR="00B03A2B" w:rsidRPr="00A23740" w:rsidRDefault="002F798A" w:rsidP="009431FF">
            <w:pPr>
              <w:ind w:firstLine="709"/>
              <w:rPr>
                <w:szCs w:val="24"/>
              </w:rPr>
            </w:pPr>
            <w:r w:rsidRPr="00A23740">
              <w:rPr>
                <w:szCs w:val="24"/>
              </w:rPr>
              <w:t>İkinci fıkrayla,</w:t>
            </w:r>
            <w:r w:rsidR="002B2BD2" w:rsidRPr="00A23740">
              <w:rPr>
                <w:szCs w:val="24"/>
              </w:rPr>
              <w:t xml:space="preserve"> kayden izlenen sermaye piyasası araçlarının </w:t>
            </w:r>
            <w:r w:rsidR="00106AF2" w:rsidRPr="00A23740">
              <w:rPr>
                <w:szCs w:val="24"/>
              </w:rPr>
              <w:t xml:space="preserve">haczi </w:t>
            </w:r>
            <w:r w:rsidR="002B2BD2" w:rsidRPr="00A23740">
              <w:rPr>
                <w:szCs w:val="24"/>
              </w:rPr>
              <w:t xml:space="preserve">özel olarak düzenlenmiştir. </w:t>
            </w:r>
          </w:p>
          <w:p w:rsidR="002B2BD2" w:rsidRPr="00A23740" w:rsidRDefault="002B2BD2" w:rsidP="009431FF">
            <w:pPr>
              <w:ind w:firstLine="709"/>
              <w:rPr>
                <w:szCs w:val="24"/>
              </w:rPr>
            </w:pPr>
            <w:r w:rsidRPr="00A23740">
              <w:rPr>
                <w:szCs w:val="24"/>
              </w:rPr>
              <w:t xml:space="preserve">6362 sayılı </w:t>
            </w:r>
            <w:r w:rsidR="0029127B" w:rsidRPr="00D60C1D">
              <w:rPr>
                <w:rStyle w:val="KonuBalChar"/>
                <w:rFonts w:eastAsia="Calibri"/>
                <w:b w:val="0"/>
                <w:color w:val="000000"/>
              </w:rPr>
              <w:t>Sermaye Piyasası Kanununun</w:t>
            </w:r>
            <w:r w:rsidRPr="00A23740">
              <w:rPr>
                <w:szCs w:val="24"/>
              </w:rPr>
              <w:t xml:space="preserve"> 13 üncü maddesinin yedinci fıkrasında, “Kayden izlenen sermaye piyasası araçlarına ilişkin tedbir, haciz ve benzeri her türlü idari ve adli talepler münhasıran MKK’nın üyeleri tarafından yerine getirilir. İlgili kanunlar uyarınca elektronik ortamda tebligatı yapılan alacakların takip ve tahsiline ilişkin hükümler saklıdır.” </w:t>
            </w:r>
            <w:r w:rsidR="0010772B" w:rsidRPr="00A23740">
              <w:rPr>
                <w:szCs w:val="24"/>
              </w:rPr>
              <w:t xml:space="preserve">hükmü </w:t>
            </w:r>
            <w:r w:rsidRPr="00A23740">
              <w:rPr>
                <w:szCs w:val="24"/>
              </w:rPr>
              <w:t>yer almakta</w:t>
            </w:r>
            <w:r w:rsidR="0010772B" w:rsidRPr="00A23740">
              <w:rPr>
                <w:szCs w:val="24"/>
              </w:rPr>
              <w:t>dır.</w:t>
            </w:r>
          </w:p>
          <w:p w:rsidR="002B2BD2" w:rsidRPr="00A23740" w:rsidRDefault="002B2BD2" w:rsidP="009431FF">
            <w:pPr>
              <w:ind w:firstLine="709"/>
              <w:rPr>
                <w:szCs w:val="24"/>
              </w:rPr>
            </w:pPr>
            <w:r w:rsidRPr="00A23740">
              <w:rPr>
                <w:szCs w:val="24"/>
              </w:rPr>
              <w:t>Kaydi sistemde haciz esasları ise, II-13.1 sayılı Kaydileştirilen Sermaye Piyasası Araçlarına İlişkin Kayıtların Tutulmasının Usul ve Esasları Hakkında Tebliğin 26 ncı maddesinde düzenlenmiştir. Buna göre, MKK üyeleri kendilerine gelen her türlü haciz ve tedbir taleplerini karşılamak üzere, öncelikle MKK nezdindeki kayıtlarda gerekli değişiklikleri bu Tebliğin 5 inci maddesi uyarınca MKK tarafından belirlenecek elektronik işlem yöntemlerine uygun olarak yapmakla yükümlüdürler (m.26/2).</w:t>
            </w:r>
          </w:p>
          <w:p w:rsidR="002B2BD2" w:rsidRPr="00A23740" w:rsidRDefault="002B2BD2" w:rsidP="009431FF">
            <w:pPr>
              <w:ind w:firstLine="709"/>
              <w:rPr>
                <w:szCs w:val="24"/>
              </w:rPr>
            </w:pPr>
            <w:r w:rsidRPr="00A23740">
              <w:rPr>
                <w:szCs w:val="24"/>
              </w:rPr>
              <w:t>Görüldüğü gibi, kayden izlenen sermaye piyasası araçlarına ilişkin tedbir, haciz ve benzeri her türlü adl</w:t>
            </w:r>
            <w:r w:rsidR="0005528D" w:rsidRPr="00A23740">
              <w:rPr>
                <w:szCs w:val="24"/>
              </w:rPr>
              <w:t>i</w:t>
            </w:r>
            <w:r w:rsidRPr="00A23740">
              <w:rPr>
                <w:szCs w:val="24"/>
              </w:rPr>
              <w:t xml:space="preserve"> ve idar</w:t>
            </w:r>
            <w:r w:rsidR="0005528D" w:rsidRPr="00A23740">
              <w:rPr>
                <w:szCs w:val="24"/>
              </w:rPr>
              <w:t>i</w:t>
            </w:r>
            <w:r w:rsidRPr="00A23740">
              <w:rPr>
                <w:szCs w:val="24"/>
              </w:rPr>
              <w:t xml:space="preserve"> talep, münhasıran MKK’nın üyeleri tarafından ilgili yatırımcı ve ortak hesaplarında ayrı bir alt hesap oluşturulması sureti</w:t>
            </w:r>
            <w:r w:rsidR="00B03A2B" w:rsidRPr="00A23740">
              <w:rPr>
                <w:szCs w:val="24"/>
              </w:rPr>
              <w:t>yle</w:t>
            </w:r>
            <w:r w:rsidRPr="00A23740">
              <w:rPr>
                <w:szCs w:val="24"/>
              </w:rPr>
              <w:t xml:space="preserve"> yerine getirilir. Üyeler</w:t>
            </w:r>
            <w:r w:rsidR="00B03A2B" w:rsidRPr="00A23740">
              <w:rPr>
                <w:szCs w:val="24"/>
              </w:rPr>
              <w:t>,</w:t>
            </w:r>
            <w:r w:rsidRPr="00A23740">
              <w:rPr>
                <w:szCs w:val="24"/>
              </w:rPr>
              <w:t xml:space="preserve"> kendilerine gelen her türlü haciz ve tedbir taleplerini karşılamak üzere, öncelikle MKK nezdindeki kayıtlarda gerekli değişiklikleri bu belgede belirlenen elektronik işlem yöntemlerine uygun olarak yapmakla yükümlüdürler. MKK nezdinde üyelerce haciz ve tedbir kaldırma işlemleri yapılırken, kaldırılacak haciz veya tedbir nedeniyle bloke edilen kâr payı tutarı olup olmadığı üyelerce kontrol edilerek haciz veya tedbir kaldırma gerekçesine uygun olarak bu tutarlar işleme konu edilir. Bu sistem, 6362 sayılı</w:t>
            </w:r>
            <w:r w:rsidR="00A22FD2" w:rsidRPr="00A23740">
              <w:rPr>
                <w:szCs w:val="24"/>
              </w:rPr>
              <w:t xml:space="preserve"> </w:t>
            </w:r>
            <w:r w:rsidR="00A22FD2" w:rsidRPr="00D60C1D">
              <w:rPr>
                <w:rStyle w:val="KonuBalChar"/>
                <w:rFonts w:eastAsia="Calibri"/>
                <w:b w:val="0"/>
                <w:color w:val="000000"/>
              </w:rPr>
              <w:t>Kanunun</w:t>
            </w:r>
            <w:r w:rsidRPr="00A23740">
              <w:rPr>
                <w:szCs w:val="24"/>
              </w:rPr>
              <w:t xml:space="preserve"> 13/7</w:t>
            </w:r>
            <w:r w:rsidR="00A11657" w:rsidRPr="00A23740">
              <w:rPr>
                <w:szCs w:val="24"/>
              </w:rPr>
              <w:t xml:space="preserve"> </w:t>
            </w:r>
            <w:r w:rsidR="00A11657" w:rsidRPr="00D60C1D">
              <w:rPr>
                <w:rStyle w:val="KonuBalChar"/>
                <w:rFonts w:eastAsia="Calibri"/>
                <w:b w:val="0"/>
                <w:color w:val="000000"/>
              </w:rPr>
              <w:t>maddesi</w:t>
            </w:r>
            <w:r w:rsidRPr="00A23740">
              <w:rPr>
                <w:szCs w:val="24"/>
              </w:rPr>
              <w:t xml:space="preserve"> ile özel olarak düzenlenmiş olmakla birlikte, </w:t>
            </w:r>
            <w:r w:rsidR="00371300" w:rsidRPr="00D60C1D">
              <w:rPr>
                <w:rStyle w:val="KonuBalChar"/>
                <w:rFonts w:eastAsia="Calibri"/>
                <w:b w:val="0"/>
                <w:color w:val="000000"/>
              </w:rPr>
              <w:t>2004 sayılı Kanunda</w:t>
            </w:r>
            <w:r w:rsidRPr="00A23740">
              <w:rPr>
                <w:szCs w:val="24"/>
              </w:rPr>
              <w:t xml:space="preserve"> yer alan genel hükmün sonraki tarihli olması nedeniyle, herhangi bir tereddüt yaşanmaması için sonraki tarihli genel hükümlerde özel hükümlerin saklı tutulmasına ilişkin bir ifadeye yer verilmesinin yararlı olacağı düşünülmüştür.</w:t>
            </w:r>
          </w:p>
          <w:p w:rsidR="002B2BD2" w:rsidRPr="00A23740" w:rsidRDefault="002B2BD2" w:rsidP="009431FF">
            <w:pPr>
              <w:ind w:firstLine="709"/>
              <w:rPr>
                <w:szCs w:val="24"/>
              </w:rPr>
            </w:pPr>
            <w:r w:rsidRPr="00A23740">
              <w:rPr>
                <w:szCs w:val="24"/>
              </w:rPr>
              <w:t xml:space="preserve">Öte yandan, Gelir İdaresi Başkanlığı (GİB) ve Sosyal Güvenlik Kurumu (SGK) tarafından gönderilen e-haciz bildirimlerinin yerine getirilmesine ilişkin usul ve esaslar </w:t>
            </w:r>
            <w:r w:rsidR="002C7D4A" w:rsidRPr="00D60C1D">
              <w:rPr>
                <w:rStyle w:val="KonuBalChar"/>
                <w:rFonts w:eastAsia="Calibri"/>
                <w:b w:val="0"/>
                <w:color w:val="000000"/>
              </w:rPr>
              <w:t>2004 sayılı Kanun</w:t>
            </w:r>
            <w:r w:rsidR="002C7D4A" w:rsidRPr="00A23740">
              <w:rPr>
                <w:szCs w:val="24"/>
              </w:rPr>
              <w:t xml:space="preserve"> </w:t>
            </w:r>
            <w:r w:rsidRPr="00A23740">
              <w:rPr>
                <w:szCs w:val="24"/>
              </w:rPr>
              <w:t>uyarınca gönderilecek hacizlere göre daha farklı esaslara tabi tutulmuştur. Bu esaslar şunlardır:</w:t>
            </w:r>
          </w:p>
          <w:p w:rsidR="002B2BD2" w:rsidRPr="00A23740" w:rsidRDefault="002B2BD2" w:rsidP="009431FF">
            <w:pPr>
              <w:ind w:firstLine="709"/>
              <w:rPr>
                <w:szCs w:val="24"/>
              </w:rPr>
            </w:pPr>
            <w:r w:rsidRPr="00A23740">
              <w:rPr>
                <w:szCs w:val="24"/>
              </w:rPr>
              <w:t>1- GİB ve SGK tarafından, haciz taleplerinin elektronik ortamda MKK'ya bildirilmesi h</w:t>
            </w:r>
            <w:r w:rsidR="001D7D44" w:rsidRPr="00A23740">
              <w:rPr>
                <w:szCs w:val="24"/>
              </w:rPr>
              <w:t>â</w:t>
            </w:r>
            <w:r w:rsidRPr="00A23740">
              <w:rPr>
                <w:szCs w:val="24"/>
              </w:rPr>
              <w:t>linde, MKK tarafından borçlu yatırımcı hesabı hareketsizleştirilerek “</w:t>
            </w:r>
            <w:r w:rsidRPr="00A23740">
              <w:rPr>
                <w:i/>
                <w:szCs w:val="24"/>
              </w:rPr>
              <w:t>MKK’da işlem yapamaz</w:t>
            </w:r>
            <w:r w:rsidRPr="00A23740">
              <w:rPr>
                <w:szCs w:val="24"/>
              </w:rPr>
              <w:t>” hâle getirilir.</w:t>
            </w:r>
          </w:p>
          <w:p w:rsidR="002B2BD2" w:rsidRPr="00A23740" w:rsidRDefault="002B2BD2" w:rsidP="009431FF">
            <w:pPr>
              <w:ind w:firstLine="709"/>
              <w:rPr>
                <w:szCs w:val="24"/>
              </w:rPr>
            </w:pPr>
            <w:r w:rsidRPr="00A23740">
              <w:rPr>
                <w:szCs w:val="24"/>
              </w:rPr>
              <w:t>2- Hesabın hareketsizleştirildiği anda, ilgili üyeye, MKK’daki kayıtlar ile kendi kayıtları arasında mutabakat sağlayabilmelerini teminen Merkezi Kaydi Sistem (MKS) aracılığıyla bildirimde bulunulur. Üye, en geç kendisine MKK tarafından MKS sistemi aracılığıyla yapılan bildi</w:t>
            </w:r>
            <w:r w:rsidR="002C7D4A" w:rsidRPr="00A23740">
              <w:rPr>
                <w:szCs w:val="24"/>
              </w:rPr>
              <w:t>rimi izleyen iş günü saat 12.00’</w:t>
            </w:r>
            <w:r w:rsidRPr="00A23740">
              <w:rPr>
                <w:szCs w:val="24"/>
              </w:rPr>
              <w:t>a kadar MKS aracılığıyla MKK ya mutabık olduğunu veya olmadığını bildirir.</w:t>
            </w:r>
          </w:p>
          <w:p w:rsidR="002F798A" w:rsidRPr="00A23740" w:rsidRDefault="002B2BD2" w:rsidP="009431FF">
            <w:pPr>
              <w:ind w:firstLine="709"/>
              <w:rPr>
                <w:szCs w:val="24"/>
              </w:rPr>
            </w:pPr>
            <w:r w:rsidRPr="00A23740">
              <w:rPr>
                <w:szCs w:val="24"/>
              </w:rPr>
              <w:t>3- Üyenin mutabık olduğunu Merkezi Kaydi Sistem aracılığıyla bildirmesi veya en geç kendisine MKK tarafından MKS sistemi aracılığıyla yapılan bildirimi izleyen iş günü saat 12.00</w:t>
            </w:r>
            <w:r w:rsidR="002C7D4A" w:rsidRPr="00A23740">
              <w:rPr>
                <w:szCs w:val="24"/>
              </w:rPr>
              <w:t>’</w:t>
            </w:r>
            <w:r w:rsidRPr="00A23740">
              <w:rPr>
                <w:szCs w:val="24"/>
              </w:rPr>
              <w:t>a kadar bildirimde bulunmaması h</w:t>
            </w:r>
            <w:r w:rsidR="001D7D44" w:rsidRPr="00A23740">
              <w:rPr>
                <w:szCs w:val="24"/>
              </w:rPr>
              <w:t>â</w:t>
            </w:r>
            <w:r w:rsidRPr="00A23740">
              <w:rPr>
                <w:szCs w:val="24"/>
              </w:rPr>
              <w:t>llerinde, borca yeter miktarda kıymet üzerine haciz uygulanır.</w:t>
            </w:r>
          </w:p>
          <w:p w:rsidR="002B2BD2" w:rsidRPr="00A23740" w:rsidRDefault="002B2BD2" w:rsidP="009431FF">
            <w:pPr>
              <w:ind w:firstLine="709"/>
              <w:rPr>
                <w:szCs w:val="24"/>
              </w:rPr>
            </w:pPr>
            <w:r w:rsidRPr="00A23740">
              <w:rPr>
                <w:szCs w:val="24"/>
              </w:rPr>
              <w:t>Mutabakatsızlık bildirimi ve hesapların güncellenmesi</w:t>
            </w:r>
          </w:p>
          <w:p w:rsidR="002B2BD2" w:rsidRPr="00A23740" w:rsidRDefault="002B2BD2" w:rsidP="009431FF">
            <w:pPr>
              <w:ind w:firstLine="709"/>
              <w:rPr>
                <w:szCs w:val="24"/>
              </w:rPr>
            </w:pPr>
            <w:r w:rsidRPr="00A23740">
              <w:rPr>
                <w:szCs w:val="24"/>
              </w:rPr>
              <w:t>-</w:t>
            </w:r>
            <w:r w:rsidR="00902CE1">
              <w:rPr>
                <w:szCs w:val="24"/>
              </w:rPr>
              <w:t xml:space="preserve"> </w:t>
            </w:r>
            <w:r w:rsidRPr="00A23740">
              <w:rPr>
                <w:szCs w:val="24"/>
              </w:rPr>
              <w:t>Üye tarafından mutabık olunmadığı yönündeki bildirim söz konusu hesabın MKK tarafından hareketsizleştirildiğinin bildirildiği günün ertesi günü saat 12</w:t>
            </w:r>
            <w:r w:rsidR="002C7D4A" w:rsidRPr="00A23740">
              <w:rPr>
                <w:szCs w:val="24"/>
              </w:rPr>
              <w:t>.</w:t>
            </w:r>
            <w:r w:rsidRPr="00A23740">
              <w:rPr>
                <w:szCs w:val="24"/>
              </w:rPr>
              <w:t>00’dan önce ancak MKS aracılığıyla yapılır. MKS dışında (faks, telefon, yazılı bildirim) herhangi bir yöntemle bildirim yapılmaz. Bu tür bildirimler yapılmamış kabul edilir. MKS’ye elektronik olarak erişilememesi durumunda “Merkezi Kayıt Kurulusu A.Ş. Tarafından Kayden İzlenecek Sermaye Piyasası Araçlarına İlişkin Merkezi Kaydi Sistem (MKS) Elektronik İşlem Esasları”nda yer alan “MKS’ye Elektronik Olarak Erişilememesi Durumunda Uygulama Esasları”na uygun olarak işlem tesis edilir.</w:t>
            </w:r>
          </w:p>
          <w:p w:rsidR="002B2BD2" w:rsidRPr="00A23740" w:rsidRDefault="002B2BD2" w:rsidP="009431FF">
            <w:pPr>
              <w:ind w:firstLine="709"/>
              <w:rPr>
                <w:szCs w:val="24"/>
              </w:rPr>
            </w:pPr>
            <w:r w:rsidRPr="00A23740">
              <w:rPr>
                <w:szCs w:val="24"/>
              </w:rPr>
              <w:t>- Mutabık olmadığını MKS aracılığıyla MKK ya bildiren üye, kendi kayıtları ile MKK kayıtları arasında gerçek hak sahipliğini yansıtacak şekilde güncellemeyi teminen hesabı resen kendisi “normal işlem yapabilir” konumuna getirerek güncelleme işlemini yapar. Güncelleme en geç söz konusu hesabın MKK tarafından hareketsizleştirildiğinin bildirildiği günün ertesi günü saat 14</w:t>
            </w:r>
            <w:r w:rsidR="001C726E" w:rsidRPr="00A23740">
              <w:rPr>
                <w:szCs w:val="24"/>
              </w:rPr>
              <w:t>.00’</w:t>
            </w:r>
            <w:r w:rsidRPr="00A23740">
              <w:rPr>
                <w:szCs w:val="24"/>
              </w:rPr>
              <w:t>a kadar yapılabilir.</w:t>
            </w:r>
          </w:p>
          <w:p w:rsidR="002B2BD2" w:rsidRPr="00A23740" w:rsidRDefault="001C726E" w:rsidP="009431FF">
            <w:pPr>
              <w:ind w:firstLine="709"/>
              <w:rPr>
                <w:szCs w:val="24"/>
              </w:rPr>
            </w:pPr>
            <w:r w:rsidRPr="00D60C1D">
              <w:rPr>
                <w:rStyle w:val="KonuBalChar"/>
                <w:rFonts w:eastAsia="Calibri"/>
                <w:b w:val="0"/>
                <w:color w:val="000000"/>
              </w:rPr>
              <w:t>2004 sayılı Kanun</w:t>
            </w:r>
            <w:r w:rsidR="002B2BD2" w:rsidRPr="00A23740">
              <w:rPr>
                <w:szCs w:val="24"/>
              </w:rPr>
              <w:t xml:space="preserve"> çerçevesinde UYAP aracılığıyla başlayacak e-haciz uygulamasının, GİB ve SGK’nın uyguladığı şekilde gelişmesi durumunda, MKK büyük bir operasyonel yük altın</w:t>
            </w:r>
            <w:r w:rsidRPr="00A23740">
              <w:rPr>
                <w:szCs w:val="24"/>
              </w:rPr>
              <w:t>a girecektir. Bu nedenle, Taslağa</w:t>
            </w:r>
            <w:r w:rsidR="002B2BD2" w:rsidRPr="00A23740">
              <w:rPr>
                <w:szCs w:val="24"/>
              </w:rPr>
              <w:t xml:space="preserve"> böyle bir hüküm eklenmesi</w:t>
            </w:r>
            <w:r w:rsidR="00B03A2B" w:rsidRPr="00A23740">
              <w:rPr>
                <w:szCs w:val="24"/>
              </w:rPr>
              <w:t>yle</w:t>
            </w:r>
            <w:r w:rsidR="002B2BD2" w:rsidRPr="00A23740">
              <w:rPr>
                <w:szCs w:val="24"/>
              </w:rPr>
              <w:t xml:space="preserve"> e-hacizin de MKK tarafından değil, MKK üyeleri tarafından yapılması sağlanacaktır. </w:t>
            </w:r>
          </w:p>
          <w:p w:rsidR="002B2BD2" w:rsidRPr="00A23740" w:rsidRDefault="002F798A" w:rsidP="009431FF">
            <w:pPr>
              <w:ind w:firstLine="709"/>
              <w:rPr>
                <w:szCs w:val="24"/>
              </w:rPr>
            </w:pPr>
            <w:r w:rsidRPr="00A23740">
              <w:rPr>
                <w:szCs w:val="24"/>
              </w:rPr>
              <w:t>Üçüncü fıkrayla,</w:t>
            </w:r>
            <w:r w:rsidR="002B2BD2" w:rsidRPr="00A23740">
              <w:rPr>
                <w:szCs w:val="24"/>
              </w:rPr>
              <w:t xml:space="preserve"> takas kesinliği kuralı haciz işlemlerine de teşmil edilmiştir. 6362 sayılı</w:t>
            </w:r>
            <w:r w:rsidR="003F160E" w:rsidRPr="00A23740">
              <w:rPr>
                <w:szCs w:val="24"/>
              </w:rPr>
              <w:t xml:space="preserve"> </w:t>
            </w:r>
            <w:r w:rsidR="003F160E" w:rsidRPr="00D60C1D">
              <w:rPr>
                <w:rStyle w:val="KonuBalChar"/>
                <w:rFonts w:eastAsia="Calibri"/>
                <w:b w:val="0"/>
                <w:color w:val="000000"/>
              </w:rPr>
              <w:t>Kanun</w:t>
            </w:r>
            <w:r w:rsidR="003F160E" w:rsidRPr="00D60C1D">
              <w:rPr>
                <w:rStyle w:val="KonuBalChar"/>
                <w:rFonts w:eastAsia="Calibri"/>
                <w:b w:val="0"/>
                <w:color w:val="000000"/>
                <w:lang w:val="tr-TR"/>
              </w:rPr>
              <w:t>un</w:t>
            </w:r>
            <w:r w:rsidR="002B2BD2" w:rsidRPr="00A23740">
              <w:rPr>
                <w:szCs w:val="24"/>
              </w:rPr>
              <w:t xml:space="preserve"> “</w:t>
            </w:r>
            <w:r w:rsidR="002B2BD2" w:rsidRPr="00A23740">
              <w:rPr>
                <w:i/>
                <w:szCs w:val="24"/>
              </w:rPr>
              <w:t>Takas kesinliği ve rehin hakkı</w:t>
            </w:r>
            <w:r w:rsidR="002B2BD2" w:rsidRPr="00A23740">
              <w:rPr>
                <w:szCs w:val="24"/>
              </w:rPr>
              <w:t>” başlıklı 79 uncu maddesinin birinci fıkrası, “</w:t>
            </w:r>
            <w:r w:rsidR="002B2BD2" w:rsidRPr="00A23740">
              <w:rPr>
                <w:i/>
                <w:szCs w:val="24"/>
              </w:rPr>
              <w:t>Sermaye piyasası araçlarının takas talimat ve işlemleri ile ödeme işlemleri, merkezî takas kuruluşlarının üyelerinin faaliyetlerinin geçici ya da sürekli olarak durdurulması, idari ve adli merciler nezdinde tasfiye işlemlerine başlanması durumu da dâhil olmak üzere, geri alınamaz ve iptal edilemez</w:t>
            </w:r>
            <w:r w:rsidR="002B2BD2" w:rsidRPr="00A23740">
              <w:rPr>
                <w:szCs w:val="24"/>
              </w:rPr>
              <w:t>.” hükmünü</w:t>
            </w:r>
            <w:r w:rsidR="00B03A2B" w:rsidRPr="00A23740">
              <w:rPr>
                <w:szCs w:val="24"/>
              </w:rPr>
              <w:t xml:space="preserve"> içermektedir</w:t>
            </w:r>
            <w:r w:rsidR="002B2BD2" w:rsidRPr="00A23740">
              <w:rPr>
                <w:szCs w:val="24"/>
              </w:rPr>
              <w:t xml:space="preserve">. </w:t>
            </w:r>
          </w:p>
          <w:p w:rsidR="002B2BD2" w:rsidRPr="00A23740" w:rsidRDefault="002B2BD2" w:rsidP="009431FF">
            <w:pPr>
              <w:ind w:firstLine="709"/>
              <w:rPr>
                <w:szCs w:val="24"/>
              </w:rPr>
            </w:pPr>
            <w:r w:rsidRPr="00A23740">
              <w:rPr>
                <w:szCs w:val="24"/>
              </w:rPr>
              <w:t>Buna göre sermaye piyasası araçlarının borsada işlem görmesi sırasında verilen alım ve satım emirlerinin eşleşmesi anından işlemin tamamlanıp, mülkiyetin geçtiği ana kadar geçen süre zarfında işlem kesinleşmiştir ve bu işlemin iptali soncunu verecek hiçbir kamu ya da özel hukuk işlemi yapılamaz. Buna iflas masasına girmek kadar</w:t>
            </w:r>
            <w:r w:rsidR="00B03A2B" w:rsidRPr="00A23740">
              <w:rPr>
                <w:szCs w:val="24"/>
              </w:rPr>
              <w:t>,</w:t>
            </w:r>
            <w:r w:rsidRPr="00A23740">
              <w:rPr>
                <w:szCs w:val="24"/>
              </w:rPr>
              <w:t xml:space="preserve"> haciz de dahildir.</w:t>
            </w:r>
          </w:p>
          <w:p w:rsidR="001709D5" w:rsidRPr="00A23740" w:rsidRDefault="002B2BD2" w:rsidP="009431FF">
            <w:pPr>
              <w:ind w:firstLine="709"/>
              <w:rPr>
                <w:szCs w:val="24"/>
              </w:rPr>
            </w:pPr>
            <w:r w:rsidRPr="00A23740">
              <w:rPr>
                <w:szCs w:val="24"/>
              </w:rPr>
              <w:t xml:space="preserve">Örneğin, işlem günü (yâni T gününde) satıcı konumundaki yatırımcının hesabına haciz ihbarnamesi gelse, söz konusu sermaye piyasası araçlarının mülkiyeti hâlen satıcıda olduğundan, MKK üyesi aracı kurum bu araçlar üzerinde haciz işlemini uygulamaktadır. Oysa her ne kadar mülkiyet, borsa mevzuatı uyarınca işlem gününden iki gün sonra (T+2 gününde) </w:t>
            </w:r>
            <w:r w:rsidR="00335C53" w:rsidRPr="00A23740">
              <w:rPr>
                <w:szCs w:val="24"/>
              </w:rPr>
              <w:t>alıcının hesabına geçecekse de</w:t>
            </w:r>
            <w:r w:rsidRPr="00A23740">
              <w:rPr>
                <w:szCs w:val="24"/>
              </w:rPr>
              <w:t xml:space="preserve"> T gününde ya da T+1 gününde gelen haciz başvurusu üzerine bu sermaye piyasası araçları henüz satıcının mülkiyetinde olduğundan, sermaye piyasası araçları üzerinde haciz uygulanmaktadır. Bu haciz işlemi ise, </w:t>
            </w:r>
            <w:r w:rsidR="003F160E" w:rsidRPr="00D60C1D">
              <w:rPr>
                <w:rStyle w:val="KonuBalChar"/>
                <w:rFonts w:eastAsia="Calibri"/>
                <w:b w:val="0"/>
                <w:color w:val="000000"/>
              </w:rPr>
              <w:t>6362 sayılı Kanunun 79 uncu maddesinin birinci fıkrasında</w:t>
            </w:r>
            <w:r w:rsidR="003F160E" w:rsidRPr="00A23740">
              <w:rPr>
                <w:szCs w:val="24"/>
              </w:rPr>
              <w:t xml:space="preserve"> </w:t>
            </w:r>
            <w:r w:rsidRPr="00A23740">
              <w:rPr>
                <w:szCs w:val="24"/>
              </w:rPr>
              <w:t>düzenlenen takas kesinliği kuralına aykırılık oluşturmaktadır. Bu nedenle, anılan kuralın uygulamada hiçbir tereddüde mahal vermeyecek açıklıkta</w:t>
            </w:r>
            <w:r w:rsidR="009E30B8" w:rsidRPr="00A23740">
              <w:rPr>
                <w:rStyle w:val="KonuBalChar"/>
                <w:rFonts w:eastAsia="Calibri"/>
              </w:rPr>
              <w:t xml:space="preserve"> </w:t>
            </w:r>
            <w:r w:rsidR="00951156" w:rsidRPr="00D60C1D">
              <w:rPr>
                <w:rStyle w:val="KonuBalChar"/>
                <w:rFonts w:eastAsia="Calibri"/>
                <w:b w:val="0"/>
                <w:color w:val="000000"/>
                <w:lang w:val="tr-TR"/>
              </w:rPr>
              <w:t>Taslakta</w:t>
            </w:r>
            <w:r w:rsidRPr="00A23740">
              <w:rPr>
                <w:szCs w:val="24"/>
              </w:rPr>
              <w:t xml:space="preserve"> da yer alması uygun görülmüştür.</w:t>
            </w:r>
          </w:p>
          <w:p w:rsidR="002F798A" w:rsidRPr="00A23740" w:rsidRDefault="002F798A" w:rsidP="007136A5">
            <w:pPr>
              <w:tabs>
                <w:tab w:val="left" w:pos="567"/>
              </w:tabs>
              <w:ind w:firstLine="709"/>
              <w:rPr>
                <w:b/>
                <w:szCs w:val="24"/>
              </w:rPr>
            </w:pPr>
          </w:p>
        </w:tc>
      </w:tr>
      <w:tr w:rsidR="00E33E3B" w:rsidRPr="00A23740" w:rsidTr="009431FF">
        <w:tblPrEx>
          <w:tblLook w:val="01E0" w:firstRow="1" w:lastRow="1" w:firstColumn="1" w:lastColumn="1" w:noHBand="0" w:noVBand="0"/>
        </w:tblPrEx>
        <w:tc>
          <w:tcPr>
            <w:tcW w:w="2500" w:type="pct"/>
          </w:tcPr>
          <w:p w:rsidR="00E33E3B" w:rsidRPr="00A23740" w:rsidRDefault="00E33E3B" w:rsidP="009431FF">
            <w:pPr>
              <w:pStyle w:val="KIRMIZI"/>
              <w:rPr>
                <w:lang w:val="tr-TR"/>
              </w:rPr>
            </w:pPr>
            <w:r w:rsidRPr="00A23740">
              <w:rPr>
                <w:lang w:val="tr-TR"/>
              </w:rPr>
              <w:t>İştirak halinde tasarruf edilen mallar :</w:t>
            </w:r>
          </w:p>
          <w:p w:rsidR="00E33E3B" w:rsidRPr="00A23740" w:rsidRDefault="00E33E3B" w:rsidP="009431FF">
            <w:pPr>
              <w:pStyle w:val="KIRMIZI"/>
              <w:rPr>
                <w:lang w:val="tr-TR"/>
              </w:rPr>
            </w:pPr>
            <w:r w:rsidRPr="00A23740">
              <w:rPr>
                <w:lang w:val="tr-TR"/>
              </w:rPr>
              <w:t xml:space="preserve">Madde 94 – </w:t>
            </w:r>
            <w:r w:rsidRPr="00A23740">
              <w:rPr>
                <w:lang w:val="tr-TR" w:eastAsia="tr-TR"/>
              </w:rPr>
              <w:t xml:space="preserve">(1) </w:t>
            </w:r>
            <w:r w:rsidRPr="00A23740">
              <w:rPr>
                <w:rFonts w:eastAsia="ヒラギノ明朝 Pro W3"/>
                <w:lang w:val="tr-TR"/>
              </w:rPr>
              <w:t>(Değişik: 18/2/1965 - 538/52 md.)</w:t>
            </w:r>
          </w:p>
          <w:p w:rsidR="00E33E3B" w:rsidRPr="00A23740" w:rsidRDefault="00E33E3B" w:rsidP="009431FF">
            <w:pPr>
              <w:tabs>
                <w:tab w:val="left" w:pos="540"/>
                <w:tab w:val="left" w:pos="567"/>
                <w:tab w:val="left" w:pos="2160"/>
              </w:tabs>
              <w:rPr>
                <w:rFonts w:eastAsia="Times New Roman"/>
                <w:szCs w:val="24"/>
                <w:lang w:eastAsia="tr-TR"/>
              </w:rPr>
            </w:pPr>
            <w:r w:rsidRPr="00A23740">
              <w:rPr>
                <w:rFonts w:eastAsia="Times New Roman"/>
                <w:szCs w:val="24"/>
                <w:lang w:eastAsia="tr-TR"/>
              </w:rPr>
              <w:t>Bir int</w:t>
            </w:r>
            <w:r w:rsidRPr="00A23740">
              <w:rPr>
                <w:rFonts w:eastAsia="ヒラギノ明朝 Pro W3"/>
                <w:b/>
                <w:strike/>
                <w:color w:val="FF0000"/>
                <w:szCs w:val="24"/>
              </w:rPr>
              <w:t>ı</w:t>
            </w:r>
            <w:r w:rsidRPr="00A23740">
              <w:rPr>
                <w:rFonts w:eastAsia="Times New Roman"/>
                <w:szCs w:val="24"/>
                <w:lang w:eastAsia="tr-TR"/>
              </w:rPr>
              <w:t xml:space="preserve">fa hakkı veya </w:t>
            </w:r>
            <w:r w:rsidRPr="00A23740">
              <w:rPr>
                <w:rFonts w:eastAsia="ヒラギノ明朝 Pro W3"/>
                <w:b/>
                <w:strike/>
                <w:color w:val="FF0000"/>
                <w:szCs w:val="24"/>
              </w:rPr>
              <w:t>taksim edilmemiş</w:t>
            </w:r>
            <w:r w:rsidRPr="00A23740">
              <w:rPr>
                <w:rFonts w:eastAsia="Times New Roman"/>
                <w:szCs w:val="24"/>
                <w:lang w:eastAsia="tr-TR"/>
              </w:rPr>
              <w:t xml:space="preserve"> bir miras veya bir şirket yahut </w:t>
            </w:r>
            <w:r w:rsidRPr="00A23740">
              <w:rPr>
                <w:rFonts w:eastAsia="ヒラギノ明朝 Pro W3"/>
                <w:b/>
                <w:strike/>
                <w:color w:val="FF0000"/>
                <w:szCs w:val="24"/>
              </w:rPr>
              <w:t>iştirak</w:t>
            </w:r>
            <w:r w:rsidRPr="00A23740">
              <w:rPr>
                <w:rFonts w:eastAsia="Times New Roman"/>
                <w:szCs w:val="24"/>
                <w:lang w:eastAsia="tr-TR"/>
              </w:rPr>
              <w:t xml:space="preserve"> halinde tasarruf edilen bir mal </w:t>
            </w:r>
            <w:r w:rsidRPr="00A23740">
              <w:t>hissesi</w:t>
            </w:r>
            <w:r w:rsidRPr="00A23740">
              <w:rPr>
                <w:rFonts w:eastAsia="Times New Roman"/>
                <w:szCs w:val="24"/>
                <w:lang w:eastAsia="tr-TR"/>
              </w:rPr>
              <w:t xml:space="preserve"> haczedilirse icra dairesi, yerleşim yerleri bilinen ilgili üçüncü </w:t>
            </w:r>
            <w:r w:rsidRPr="00A23740">
              <w:rPr>
                <w:rFonts w:eastAsia="ヒラギノ明朝 Pro W3"/>
                <w:b/>
                <w:strike/>
                <w:color w:val="FF0000"/>
                <w:szCs w:val="24"/>
              </w:rPr>
              <w:t>şahıslara keyfiyeti ihbar eder</w:t>
            </w:r>
            <w:r w:rsidRPr="00A23740">
              <w:rPr>
                <w:rFonts w:eastAsia="Times New Roman"/>
                <w:szCs w:val="24"/>
                <w:lang w:eastAsia="tr-TR"/>
              </w:rPr>
              <w:t xml:space="preserve">. Bu suretle borçlunun </w:t>
            </w:r>
            <w:r w:rsidRPr="00A23740">
              <w:rPr>
                <w:rFonts w:eastAsia="ヒラギノ明朝 Pro W3"/>
                <w:b/>
                <w:strike/>
                <w:color w:val="FF0000"/>
                <w:szCs w:val="24"/>
              </w:rPr>
              <w:t>muayyen</w:t>
            </w:r>
            <w:r w:rsidRPr="00A23740">
              <w:rPr>
                <w:rFonts w:eastAsia="Times New Roman"/>
                <w:szCs w:val="24"/>
                <w:lang w:eastAsia="tr-TR"/>
              </w:rPr>
              <w:t xml:space="preserve"> bir taşınmazda</w:t>
            </w:r>
            <w:r w:rsidRPr="00A23740">
              <w:rPr>
                <w:rFonts w:eastAsia="ヒラギノ明朝 Pro W3"/>
                <w:b/>
                <w:strike/>
                <w:color w:val="FF0000"/>
                <w:szCs w:val="24"/>
              </w:rPr>
              <w:t>ki</w:t>
            </w:r>
            <w:r w:rsidRPr="00A23740">
              <w:rPr>
                <w:rFonts w:eastAsia="Times New Roman"/>
                <w:szCs w:val="24"/>
                <w:lang w:eastAsia="tr-TR"/>
              </w:rPr>
              <w:t xml:space="preserve"> tasfiye sonundaki </w:t>
            </w:r>
            <w:r w:rsidRPr="00A23740">
              <w:rPr>
                <w:rFonts w:eastAsia="ヒラギノ明朝 Pro W3"/>
                <w:b/>
                <w:strike/>
                <w:color w:val="FF0000"/>
                <w:szCs w:val="24"/>
              </w:rPr>
              <w:t>hissesi</w:t>
            </w:r>
            <w:r w:rsidRPr="00A23740">
              <w:rPr>
                <w:rFonts w:eastAsia="Times New Roman"/>
                <w:szCs w:val="24"/>
                <w:lang w:eastAsia="tr-TR"/>
              </w:rPr>
              <w:t xml:space="preserve"> haczedilmiş olursa icra </w:t>
            </w:r>
            <w:r w:rsidRPr="00A23740">
              <w:rPr>
                <w:rStyle w:val="KIRMIZIChar"/>
                <w:rFonts w:eastAsia="Calibri"/>
              </w:rPr>
              <w:t>memuru</w:t>
            </w:r>
            <w:r w:rsidRPr="00A23740">
              <w:rPr>
                <w:rFonts w:eastAsia="Times New Roman"/>
                <w:szCs w:val="24"/>
                <w:lang w:eastAsia="tr-TR"/>
              </w:rPr>
              <w:t xml:space="preserve"> haciz şerhinin taşınmazın kaydına işlenmesi için tapu sicil </w:t>
            </w:r>
            <w:r w:rsidRPr="00A23740">
              <w:rPr>
                <w:rFonts w:eastAsia="ヒラギノ明朝 Pro W3"/>
                <w:b/>
                <w:strike/>
                <w:color w:val="FF0000"/>
                <w:szCs w:val="24"/>
              </w:rPr>
              <w:t>muhafızlığına</w:t>
            </w:r>
            <w:r w:rsidRPr="00A23740">
              <w:rPr>
                <w:rFonts w:eastAsia="Times New Roman"/>
                <w:szCs w:val="24"/>
                <w:lang w:eastAsia="tr-TR"/>
              </w:rPr>
              <w:t xml:space="preserve"> tebligat yapar.</w:t>
            </w:r>
          </w:p>
          <w:p w:rsidR="00E33E3B" w:rsidRPr="00A23740" w:rsidRDefault="00E33E3B" w:rsidP="009431FF">
            <w:pPr>
              <w:tabs>
                <w:tab w:val="left" w:pos="540"/>
                <w:tab w:val="left" w:pos="567"/>
                <w:tab w:val="left" w:pos="2160"/>
              </w:tabs>
              <w:rPr>
                <w:rFonts w:eastAsia="ヒラギノ明朝 Pro W3"/>
                <w:b/>
                <w:strike/>
                <w:color w:val="FF0000"/>
                <w:szCs w:val="24"/>
              </w:rPr>
            </w:pPr>
          </w:p>
          <w:p w:rsidR="00E33E3B" w:rsidRPr="00A23740" w:rsidRDefault="00E33E3B" w:rsidP="009431FF">
            <w:pPr>
              <w:tabs>
                <w:tab w:val="left" w:pos="540"/>
                <w:tab w:val="left" w:pos="567"/>
                <w:tab w:val="left" w:pos="2160"/>
              </w:tabs>
              <w:rPr>
                <w:rFonts w:eastAsia="Times New Roman"/>
                <w:b/>
                <w:szCs w:val="24"/>
                <w:lang w:eastAsia="tr-TR"/>
              </w:rPr>
            </w:pPr>
            <w:r w:rsidRPr="00A23740">
              <w:rPr>
                <w:rFonts w:eastAsia="ヒラギノ明朝 Pro W3"/>
                <w:b/>
                <w:strike/>
                <w:color w:val="FF0000"/>
                <w:szCs w:val="24"/>
              </w:rPr>
              <w:t>(2) (Ek cümleler: 17/7/2003-4949/25 md.) Anonim şirketlerde paylar için pay senedi veya pay ilmühaberi çıkarılmamışsa, borçlunun şirketteki payı icra dairesi tarafından şirkete tebliğ olunarak haczedilir. Bu haczin şirket pay defterine işlenmesi zorunludur; ancak haciz, şirket pay defterine işlenmemiş olsa bile şirkete tebliğ tarihinde yapılmış sayılır. Haciz, icra dairesi tarafından tescil edilmek üzere Ticaret Siciline bildirilir. Bu durumda haczedilen payların devri, alacaklının haklarını ihlâl ettiği oranda batıldır. Haczedilen payların satışı, taşınır malların satışı usulüne tâbidir. Diğer taşınırlarda icra dairesi başkasına devre mâni tedbirleri alır. (Mülga  üçüncü cümle: 17/7/2003-4949/25 md.)</w:t>
            </w:r>
            <w:r w:rsidRPr="00A23740">
              <w:rPr>
                <w:rFonts w:eastAsia="Times New Roman"/>
                <w:b/>
                <w:szCs w:val="24"/>
                <w:lang w:eastAsia="tr-TR"/>
              </w:rPr>
              <w:t xml:space="preserve"> </w:t>
            </w:r>
          </w:p>
          <w:p w:rsidR="00E33E3B" w:rsidRPr="00A23740" w:rsidRDefault="00E33E3B" w:rsidP="009431FF">
            <w:pPr>
              <w:tabs>
                <w:tab w:val="left" w:pos="540"/>
                <w:tab w:val="left" w:pos="567"/>
                <w:tab w:val="left" w:pos="2160"/>
              </w:tabs>
              <w:rPr>
                <w:rFonts w:eastAsia="Times New Roman"/>
                <w:szCs w:val="24"/>
                <w:lang w:eastAsia="tr-TR"/>
              </w:rPr>
            </w:pPr>
          </w:p>
          <w:p w:rsidR="00E33E3B" w:rsidRPr="00A23740" w:rsidRDefault="00E33E3B" w:rsidP="009431FF">
            <w:pPr>
              <w:tabs>
                <w:tab w:val="left" w:pos="540"/>
                <w:tab w:val="left" w:pos="567"/>
              </w:tabs>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Borçlunun reddetmediği miras veya başka bir sebeple iktisap </w:t>
            </w:r>
            <w:r w:rsidRPr="00A23740">
              <w:rPr>
                <w:rStyle w:val="KIRMIZIChar"/>
                <w:rFonts w:eastAsia="Calibri"/>
              </w:rPr>
              <w:t>eyleyip</w:t>
            </w:r>
            <w:r w:rsidRPr="00A23740">
              <w:rPr>
                <w:rFonts w:eastAsia="Times New Roman"/>
                <w:szCs w:val="24"/>
                <w:lang w:eastAsia="tr-TR"/>
              </w:rPr>
              <w:t xml:space="preserve"> henüz tapuya veya gemi siciline tescil ettirmediği mülkiyet veya diğer aynı hakların borçlu </w:t>
            </w:r>
            <w:r w:rsidRPr="00A23740">
              <w:rPr>
                <w:rFonts w:eastAsia="ヒラギノ明朝 Pro W3"/>
                <w:b/>
                <w:strike/>
                <w:color w:val="FF0000"/>
                <w:szCs w:val="24"/>
              </w:rPr>
              <w:t>namına</w:t>
            </w:r>
            <w:r w:rsidRPr="00A23740">
              <w:rPr>
                <w:rFonts w:eastAsia="ヒラギノ明朝 Pro W3"/>
                <w:b/>
                <w:color w:val="FF0000"/>
                <w:szCs w:val="24"/>
              </w:rPr>
              <w:t xml:space="preserve"> </w:t>
            </w:r>
            <w:r w:rsidRPr="00A23740">
              <w:rPr>
                <w:rFonts w:eastAsia="Times New Roman"/>
                <w:szCs w:val="24"/>
                <w:lang w:eastAsia="tr-TR"/>
              </w:rPr>
              <w:t xml:space="preserve">tescili alacaklı tarafından istenebilir. Bu talep üzerine icra dairesi alacaklının bu muameleyi takip edebileceğini tapu veya gemi sicili </w:t>
            </w:r>
            <w:r w:rsidRPr="00A23740">
              <w:rPr>
                <w:rFonts w:eastAsia="ヒラギノ明朝 Pro W3"/>
                <w:b/>
                <w:strike/>
                <w:color w:val="FF0000"/>
                <w:szCs w:val="24"/>
              </w:rPr>
              <w:t>dairesine</w:t>
            </w:r>
            <w:r w:rsidRPr="00A23740">
              <w:rPr>
                <w:rFonts w:eastAsia="Times New Roman"/>
                <w:szCs w:val="24"/>
                <w:lang w:eastAsia="tr-TR"/>
              </w:rPr>
              <w:t xml:space="preserve"> ve icabında mahkemeye bildirir.</w:t>
            </w:r>
          </w:p>
          <w:p w:rsidR="00E33E3B" w:rsidRPr="00A23740" w:rsidRDefault="00E33E3B" w:rsidP="009431FF">
            <w:pPr>
              <w:tabs>
                <w:tab w:val="left" w:pos="540"/>
                <w:tab w:val="left" w:pos="567"/>
              </w:tabs>
              <w:rPr>
                <w:rFonts w:eastAsia="Times New Roman"/>
                <w:szCs w:val="24"/>
                <w:lang w:eastAsia="tr-TR"/>
              </w:rPr>
            </w:pPr>
          </w:p>
          <w:p w:rsidR="00E33E3B" w:rsidRPr="00A23740" w:rsidRDefault="00E33E3B" w:rsidP="009431FF">
            <w:pPr>
              <w:tabs>
                <w:tab w:val="left" w:pos="567"/>
              </w:tabs>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Borçlunun zilyed bulunduğu bir taşınmaz üzerindeki </w:t>
            </w:r>
            <w:r w:rsidRPr="00A23740">
              <w:rPr>
                <w:rFonts w:eastAsia="ヒラギノ明朝 Pro W3"/>
                <w:b/>
                <w:strike/>
                <w:color w:val="FF0000"/>
                <w:szCs w:val="24"/>
              </w:rPr>
              <w:t>fevkalade</w:t>
            </w:r>
            <w:r w:rsidRPr="00A23740">
              <w:rPr>
                <w:rFonts w:eastAsia="Times New Roman"/>
                <w:szCs w:val="24"/>
                <w:lang w:eastAsia="tr-TR"/>
              </w:rPr>
              <w:t xml:space="preserve"> zamanaşımı ile iktisabını istemek hakkının haczedilmesi halinde, icra dairesi zilyedliğin başkasına devrine mani olacak tedbirleri alır ve alacaklıya bir ay içinde taşınmazın borçlusu adına tescili için dava açması yetkisini verir. Mahkemenin tescil kararı ile taşınmaz bu alacaklı lehine </w:t>
            </w:r>
            <w:r w:rsidRPr="00A23740">
              <w:rPr>
                <w:rFonts w:eastAsia="ヒラギノ明朝 Pro W3"/>
                <w:b/>
                <w:strike/>
                <w:color w:val="FF0000"/>
                <w:szCs w:val="24"/>
              </w:rPr>
              <w:t>mahcuz</w:t>
            </w:r>
            <w:r w:rsidRPr="00A23740">
              <w:rPr>
                <w:rFonts w:eastAsia="Times New Roman"/>
                <w:szCs w:val="24"/>
                <w:lang w:eastAsia="tr-TR"/>
              </w:rPr>
              <w:t xml:space="preserve"> sayılır.</w:t>
            </w:r>
          </w:p>
          <w:p w:rsidR="00E33E3B" w:rsidRPr="00A23740" w:rsidRDefault="00E33E3B" w:rsidP="009431FF">
            <w:pPr>
              <w:tabs>
                <w:tab w:val="left" w:pos="567"/>
              </w:tabs>
              <w:rPr>
                <w:rFonts w:eastAsia="Times New Roman"/>
                <w:szCs w:val="24"/>
                <w:lang w:eastAsia="tr-TR"/>
              </w:rPr>
            </w:pPr>
          </w:p>
          <w:p w:rsidR="00E33E3B" w:rsidRPr="00A23740" w:rsidRDefault="00E33E3B" w:rsidP="009431FF">
            <w:pPr>
              <w:tabs>
                <w:tab w:val="left" w:pos="567"/>
              </w:tabs>
              <w:rPr>
                <w:rFonts w:eastAsia="ヒラギノ明朝 Pro W3"/>
                <w:b/>
                <w:strike/>
                <w:color w:val="FF0000"/>
                <w:szCs w:val="24"/>
              </w:rPr>
            </w:pPr>
            <w:r w:rsidRPr="00A23740">
              <w:rPr>
                <w:rFonts w:eastAsia="ヒラギノ明朝 Pro W3"/>
                <w:b/>
                <w:strike/>
                <w:color w:val="FF0000"/>
                <w:szCs w:val="24"/>
              </w:rPr>
              <w:t>(5) İkinci fıkra hükmü, almaya hak kazandığı veya almakta bulunduğu emekli veya yetim maaşını istifa için icap eden yoklama muamelesini yaptırmıyanlar hakkında yetkili makama bildirmek suretiyle tatbik olunur.</w:t>
            </w:r>
          </w:p>
          <w:p w:rsidR="00E33E3B" w:rsidRPr="00A23740" w:rsidRDefault="00E33E3B" w:rsidP="009431FF">
            <w:pPr>
              <w:tabs>
                <w:tab w:val="left" w:pos="567"/>
              </w:tabs>
              <w:rPr>
                <w:rFonts w:eastAsia="Times New Roman"/>
                <w:szCs w:val="24"/>
                <w:lang w:eastAsia="tr-TR"/>
              </w:rPr>
            </w:pPr>
          </w:p>
          <w:p w:rsidR="00E33E3B" w:rsidRPr="00A23740" w:rsidRDefault="00E33E3B" w:rsidP="009431FF">
            <w:pPr>
              <w:tabs>
                <w:tab w:val="left" w:pos="567"/>
              </w:tabs>
              <w:rPr>
                <w:rFonts w:eastAsia="Times New Roman"/>
                <w:szCs w:val="24"/>
                <w:lang w:eastAsia="tr-TR"/>
              </w:rPr>
            </w:pPr>
            <w:r w:rsidRPr="00A23740">
              <w:rPr>
                <w:rStyle w:val="KIRMIZIChar"/>
                <w:rFonts w:eastAsia="Calibri"/>
              </w:rPr>
              <w:t>(6)</w:t>
            </w:r>
            <w:r w:rsidRPr="00A23740">
              <w:rPr>
                <w:rFonts w:eastAsia="Times New Roman"/>
                <w:szCs w:val="24"/>
                <w:lang w:eastAsia="tr-TR"/>
              </w:rPr>
              <w:t xml:space="preserve"> Alacaklının bu </w:t>
            </w:r>
            <w:r w:rsidRPr="00A23740">
              <w:rPr>
                <w:rFonts w:eastAsia="ヒラギノ明朝 Pro W3"/>
                <w:b/>
                <w:strike/>
                <w:color w:val="FF0000"/>
                <w:szCs w:val="24"/>
              </w:rPr>
              <w:t>sebeple</w:t>
            </w:r>
            <w:r w:rsidRPr="00A23740">
              <w:rPr>
                <w:rFonts w:eastAsia="Times New Roman"/>
                <w:szCs w:val="24"/>
                <w:lang w:eastAsia="tr-TR"/>
              </w:rPr>
              <w:t xml:space="preserve"> yapacağı kanuni </w:t>
            </w:r>
            <w:r w:rsidRPr="00A23740">
              <w:rPr>
                <w:rFonts w:eastAsia="ヒラギノ明朝 Pro W3"/>
                <w:b/>
                <w:strike/>
                <w:color w:val="FF0000"/>
                <w:szCs w:val="24"/>
              </w:rPr>
              <w:t>masraflar</w:t>
            </w:r>
            <w:r w:rsidRPr="00A23740">
              <w:rPr>
                <w:rFonts w:eastAsia="Times New Roman"/>
                <w:szCs w:val="24"/>
                <w:lang w:eastAsia="tr-TR"/>
              </w:rPr>
              <w:t xml:space="preserve"> ayrıca takip ve hükme </w:t>
            </w:r>
            <w:r w:rsidRPr="00A23740">
              <w:rPr>
                <w:rFonts w:eastAsia="ヒラギノ明朝 Pro W3"/>
                <w:b/>
                <w:strike/>
                <w:color w:val="FF0000"/>
                <w:szCs w:val="24"/>
              </w:rPr>
              <w:t>hacet</w:t>
            </w:r>
            <w:r w:rsidRPr="00A23740">
              <w:rPr>
                <w:rFonts w:eastAsia="Times New Roman"/>
                <w:szCs w:val="24"/>
                <w:lang w:eastAsia="tr-TR"/>
              </w:rPr>
              <w:t xml:space="preserve"> kalmaksızın dairece borçludan tahsil </w:t>
            </w:r>
            <w:r w:rsidRPr="00A23740">
              <w:rPr>
                <w:rFonts w:eastAsia="ヒラギノ明朝 Pro W3"/>
                <w:b/>
                <w:strike/>
                <w:color w:val="FF0000"/>
                <w:szCs w:val="24"/>
              </w:rPr>
              <w:t>olunur.</w:t>
            </w:r>
          </w:p>
          <w:p w:rsidR="00E33E3B" w:rsidRPr="00A23740" w:rsidRDefault="00E33E3B" w:rsidP="009431FF">
            <w:pPr>
              <w:tabs>
                <w:tab w:val="left" w:pos="540"/>
                <w:tab w:val="left" w:pos="567"/>
                <w:tab w:val="left" w:pos="2160"/>
              </w:tabs>
              <w:rPr>
                <w:rFonts w:eastAsia="Times New Roman"/>
                <w:b/>
                <w:szCs w:val="24"/>
                <w:lang w:eastAsia="tr-TR"/>
              </w:rPr>
            </w:pPr>
          </w:p>
        </w:tc>
        <w:tc>
          <w:tcPr>
            <w:tcW w:w="2500" w:type="pct"/>
          </w:tcPr>
          <w:p w:rsidR="00E33E3B" w:rsidRPr="00A23740" w:rsidRDefault="00E33E3B" w:rsidP="009431FF">
            <w:pPr>
              <w:pStyle w:val="MAV"/>
              <w:rPr>
                <w:b w:val="0"/>
                <w:u w:val="none"/>
                <w:lang w:val="tr-TR" w:eastAsia="tr-TR"/>
              </w:rPr>
            </w:pPr>
            <w:r w:rsidRPr="00A23740">
              <w:rPr>
                <w:u w:val="none"/>
                <w:lang w:val="tr-TR" w:eastAsia="tr-TR"/>
              </w:rPr>
              <w:t>Hacze ve muhafazaya ilişkin diğer</w:t>
            </w:r>
            <w:r w:rsidRPr="00A23740">
              <w:rPr>
                <w:rStyle w:val="KonuBalChar"/>
                <w:b/>
                <w:u w:val="none"/>
                <w:lang w:val="tr-TR"/>
              </w:rPr>
              <w:t xml:space="preserve"> </w:t>
            </w:r>
            <w:r w:rsidRPr="00CE4365">
              <w:rPr>
                <w:rStyle w:val="MaviChar"/>
                <w:b/>
                <w:u w:val="none"/>
              </w:rPr>
              <w:t>özel durumlar</w:t>
            </w:r>
            <w:r w:rsidRPr="00A23740">
              <w:rPr>
                <w:u w:val="none"/>
                <w:lang w:val="tr-TR" w:eastAsia="tr-TR"/>
              </w:rPr>
              <w:t xml:space="preserve"> </w:t>
            </w:r>
          </w:p>
          <w:p w:rsidR="00E33E3B" w:rsidRPr="00A23740" w:rsidRDefault="00E33E3B" w:rsidP="009431FF">
            <w:pPr>
              <w:tabs>
                <w:tab w:val="left" w:pos="540"/>
                <w:tab w:val="left" w:pos="567"/>
                <w:tab w:val="left" w:pos="2160"/>
              </w:tabs>
              <w:rPr>
                <w:rStyle w:val="MaviChar"/>
                <w:lang w:val="tr-TR"/>
              </w:rPr>
            </w:pPr>
            <w:r w:rsidRPr="00A23740">
              <w:rPr>
                <w:rStyle w:val="MAVChar"/>
                <w:rFonts w:eastAsia="Calibri"/>
                <w:u w:val="none"/>
              </w:rPr>
              <w:t xml:space="preserve">MADDE </w:t>
            </w:r>
            <w:r w:rsidRPr="00CE4365">
              <w:rPr>
                <w:rStyle w:val="MaviChar"/>
              </w:rPr>
              <w:t>195-</w:t>
            </w:r>
            <w:r w:rsidRPr="00A23740">
              <w:rPr>
                <w:rStyle w:val="MAVChar"/>
                <w:rFonts w:eastAsia="Calibri"/>
                <w:u w:val="none"/>
              </w:rPr>
              <w:t xml:space="preserve"> (1</w:t>
            </w:r>
            <w:r w:rsidRPr="00A23740">
              <w:rPr>
                <w:rFonts w:eastAsia="Times New Roman"/>
                <w:b/>
                <w:color w:val="0000FF"/>
                <w:szCs w:val="24"/>
                <w:lang w:eastAsia="tr-TR"/>
              </w:rPr>
              <w:t>)</w:t>
            </w:r>
            <w:r w:rsidRPr="00A23740">
              <w:rPr>
                <w:rFonts w:eastAsia="Times New Roman"/>
                <w:b/>
                <w:szCs w:val="24"/>
                <w:lang w:eastAsia="tr-TR"/>
              </w:rPr>
              <w:t xml:space="preserve"> </w:t>
            </w:r>
            <w:r w:rsidRPr="00A23740">
              <w:rPr>
                <w:rFonts w:eastAsia="Times New Roman"/>
                <w:szCs w:val="24"/>
                <w:lang w:eastAsia="tr-TR"/>
              </w:rPr>
              <w:t xml:space="preserve">Bir intifa hakkı veya </w:t>
            </w:r>
            <w:r w:rsidRPr="00A23740">
              <w:rPr>
                <w:rFonts w:eastAsia="Times New Roman"/>
                <w:b/>
                <w:color w:val="0000FF"/>
                <w:szCs w:val="24"/>
                <w:lang w:eastAsia="tr-TR"/>
              </w:rPr>
              <w:t>paylaştırılmamış</w:t>
            </w:r>
            <w:r w:rsidRPr="00A23740">
              <w:rPr>
                <w:rFonts w:eastAsia="Times New Roman"/>
                <w:szCs w:val="24"/>
                <w:lang w:eastAsia="tr-TR"/>
              </w:rPr>
              <w:t xml:space="preserve"> bir miras </w:t>
            </w:r>
            <w:r w:rsidRPr="00CE4365">
              <w:rPr>
                <w:rStyle w:val="MaviChar"/>
              </w:rPr>
              <w:t>ya da</w:t>
            </w:r>
            <w:r w:rsidRPr="00A23740">
              <w:rPr>
                <w:rFonts w:eastAsia="Times New Roman"/>
                <w:szCs w:val="24"/>
                <w:lang w:eastAsia="tr-TR"/>
              </w:rPr>
              <w:t xml:space="preserve"> bir </w:t>
            </w:r>
            <w:r w:rsidRPr="00A23740">
              <w:rPr>
                <w:rStyle w:val="MaviChar"/>
                <w:lang w:val="tr-TR"/>
              </w:rPr>
              <w:t xml:space="preserve">adi </w:t>
            </w:r>
            <w:r w:rsidRPr="00A23740">
              <w:rPr>
                <w:rStyle w:val="MaviChar"/>
              </w:rPr>
              <w:t xml:space="preserve">ortaklık </w:t>
            </w:r>
            <w:r w:rsidRPr="00A23740">
              <w:rPr>
                <w:rFonts w:eastAsia="Times New Roman"/>
                <w:szCs w:val="24"/>
                <w:lang w:eastAsia="tr-TR"/>
              </w:rPr>
              <w:t xml:space="preserve">yahut </w:t>
            </w:r>
            <w:r w:rsidRPr="00A23740">
              <w:rPr>
                <w:rFonts w:eastAsia="Times New Roman"/>
                <w:b/>
                <w:color w:val="0000FF"/>
                <w:szCs w:val="24"/>
                <w:lang w:eastAsia="tr-TR"/>
              </w:rPr>
              <w:t>elbirliği</w:t>
            </w:r>
            <w:r w:rsidRPr="00A23740">
              <w:rPr>
                <w:rFonts w:eastAsia="Times New Roman"/>
                <w:szCs w:val="24"/>
                <w:lang w:eastAsia="tr-TR"/>
              </w:rPr>
              <w:t xml:space="preserve"> h</w:t>
            </w:r>
            <w:r w:rsidR="001D7D44" w:rsidRPr="00A23740">
              <w:rPr>
                <w:rFonts w:eastAsia="Times New Roman"/>
                <w:szCs w:val="24"/>
                <w:lang w:eastAsia="tr-TR"/>
              </w:rPr>
              <w:t>â</w:t>
            </w:r>
            <w:r w:rsidRPr="00A23740">
              <w:rPr>
                <w:rFonts w:eastAsia="Times New Roman"/>
                <w:szCs w:val="24"/>
                <w:lang w:eastAsia="tr-TR"/>
              </w:rPr>
              <w:t>linde tasarruf edilen bir mal</w:t>
            </w:r>
            <w:r w:rsidRPr="00CE4365">
              <w:rPr>
                <w:rStyle w:val="MaviChar"/>
              </w:rPr>
              <w:t>, hak veya alacaktaki pay</w:t>
            </w:r>
            <w:r w:rsidRPr="00A23740">
              <w:rPr>
                <w:rFonts w:eastAsia="Times New Roman"/>
                <w:szCs w:val="24"/>
                <w:lang w:eastAsia="tr-TR"/>
              </w:rPr>
              <w:t xml:space="preserve"> haczedilirse icra </w:t>
            </w:r>
            <w:r w:rsidRPr="00A23740">
              <w:rPr>
                <w:rStyle w:val="MaviChar"/>
              </w:rPr>
              <w:t xml:space="preserve">ve iflas </w:t>
            </w:r>
            <w:r w:rsidRPr="00A23740">
              <w:rPr>
                <w:rFonts w:eastAsia="Times New Roman"/>
                <w:szCs w:val="24"/>
                <w:lang w:eastAsia="tr-TR"/>
              </w:rPr>
              <w:t xml:space="preserve">dairesi, yerleşim yerleri bilinen ilgili </w:t>
            </w:r>
            <w:r w:rsidRPr="00A23740">
              <w:rPr>
                <w:rFonts w:eastAsia="Times New Roman"/>
                <w:b/>
                <w:color w:val="0000FF"/>
                <w:szCs w:val="24"/>
                <w:lang w:eastAsia="tr-TR"/>
              </w:rPr>
              <w:t>üçüncü kişilere haczi bildirir.</w:t>
            </w:r>
            <w:r w:rsidRPr="00A23740">
              <w:rPr>
                <w:rFonts w:eastAsia="Times New Roman"/>
                <w:szCs w:val="24"/>
                <w:lang w:eastAsia="tr-TR"/>
              </w:rPr>
              <w:t xml:space="preserve"> Bu suretle borçlunun bir taşınmazda tasfiye sonundaki </w:t>
            </w:r>
            <w:r w:rsidRPr="00A23740">
              <w:rPr>
                <w:rFonts w:eastAsia="Times New Roman"/>
                <w:b/>
                <w:color w:val="0000FF"/>
                <w:szCs w:val="24"/>
                <w:lang w:eastAsia="tr-TR"/>
              </w:rPr>
              <w:t>payı</w:t>
            </w:r>
            <w:r w:rsidRPr="00A23740">
              <w:rPr>
                <w:rFonts w:eastAsia="Times New Roman"/>
                <w:szCs w:val="24"/>
                <w:lang w:eastAsia="tr-TR"/>
              </w:rPr>
              <w:t xml:space="preserve"> haczedilmiş olursa</w:t>
            </w:r>
            <w:r w:rsidR="005801D8" w:rsidRPr="00A23740">
              <w:rPr>
                <w:rFonts w:eastAsia="Times New Roman"/>
                <w:b/>
                <w:bCs/>
                <w:color w:val="385623"/>
                <w:szCs w:val="24"/>
                <w:lang w:eastAsia="tr-TR"/>
              </w:rPr>
              <w:t>,</w:t>
            </w:r>
            <w:r w:rsidRPr="00A23740">
              <w:rPr>
                <w:rFonts w:eastAsia="Times New Roman"/>
                <w:szCs w:val="24"/>
                <w:lang w:eastAsia="tr-TR"/>
              </w:rPr>
              <w:t xml:space="preserve"> icra </w:t>
            </w:r>
            <w:r w:rsidRPr="00A23740">
              <w:rPr>
                <w:rStyle w:val="MaviChar"/>
              </w:rPr>
              <w:t xml:space="preserve">ve iflas dairesi </w:t>
            </w:r>
            <w:r w:rsidRPr="00A23740">
              <w:rPr>
                <w:rFonts w:eastAsia="Times New Roman"/>
                <w:szCs w:val="24"/>
                <w:lang w:eastAsia="tr-TR"/>
              </w:rPr>
              <w:t>haciz şerhinin taşınmazın kaydına işlenmesi</w:t>
            </w:r>
            <w:r w:rsidRPr="00A23740">
              <w:rPr>
                <w:rStyle w:val="MaviChar"/>
              </w:rPr>
              <w:t>ni</w:t>
            </w:r>
            <w:r w:rsidRPr="00A23740">
              <w:rPr>
                <w:rFonts w:eastAsia="Times New Roman"/>
                <w:szCs w:val="24"/>
                <w:lang w:eastAsia="tr-TR"/>
              </w:rPr>
              <w:t xml:space="preserve"> tapu </w:t>
            </w:r>
            <w:r w:rsidRPr="00A23740">
              <w:rPr>
                <w:rFonts w:eastAsia="Times New Roman"/>
                <w:b/>
                <w:color w:val="0000FF"/>
                <w:szCs w:val="24"/>
                <w:lang w:eastAsia="tr-TR"/>
              </w:rPr>
              <w:t>müdürlüğüne</w:t>
            </w:r>
            <w:r w:rsidRPr="00A23740">
              <w:rPr>
                <w:rFonts w:eastAsia="Times New Roman"/>
                <w:szCs w:val="24"/>
                <w:lang w:eastAsia="tr-TR"/>
              </w:rPr>
              <w:t xml:space="preserve"> </w:t>
            </w:r>
            <w:r w:rsidRPr="00A23740">
              <w:rPr>
                <w:rStyle w:val="MaviChar"/>
              </w:rPr>
              <w:t xml:space="preserve">bildirir. </w:t>
            </w:r>
            <w:r w:rsidRPr="00A23740">
              <w:rPr>
                <w:rFonts w:eastAsia="Times New Roman"/>
                <w:b/>
                <w:color w:val="0000FF"/>
                <w:szCs w:val="24"/>
                <w:lang w:eastAsia="tr-TR"/>
              </w:rPr>
              <w:t xml:space="preserve">Bu fıkra uyarınca </w:t>
            </w:r>
            <w:r w:rsidRPr="00A23740">
              <w:rPr>
                <w:rStyle w:val="MaviChar"/>
                <w:lang w:val="tr-TR"/>
              </w:rPr>
              <w:t xml:space="preserve">haczedilen taşınırlarda icra </w:t>
            </w:r>
            <w:r w:rsidRPr="00A23740">
              <w:rPr>
                <w:rStyle w:val="MaviChar"/>
              </w:rPr>
              <w:t xml:space="preserve">ve iflas </w:t>
            </w:r>
            <w:r w:rsidRPr="00A23740">
              <w:rPr>
                <w:rStyle w:val="MaviChar"/>
                <w:lang w:val="tr-TR"/>
              </w:rPr>
              <w:t>dairesi taşınırın başkasına devrinin engellenmesi için gerekli tedbirleri alır.</w:t>
            </w:r>
          </w:p>
          <w:p w:rsidR="00E33E3B" w:rsidRPr="00A23740" w:rsidRDefault="00E33E3B" w:rsidP="009431FF">
            <w:pPr>
              <w:tabs>
                <w:tab w:val="left" w:pos="540"/>
                <w:tab w:val="left" w:pos="567"/>
                <w:tab w:val="left" w:pos="2160"/>
              </w:tabs>
              <w:rPr>
                <w:rFonts w:eastAsia="Times New Roman"/>
                <w:b/>
                <w:bCs/>
                <w:strike/>
                <w:color w:val="FF0000"/>
                <w:szCs w:val="24"/>
                <w:lang w:val="x-none" w:eastAsia="x-none"/>
              </w:rPr>
            </w:pPr>
          </w:p>
          <w:p w:rsidR="000A2887" w:rsidRPr="00A23740" w:rsidRDefault="000A2887" w:rsidP="009431FF">
            <w:pPr>
              <w:tabs>
                <w:tab w:val="left" w:pos="540"/>
                <w:tab w:val="left" w:pos="567"/>
                <w:tab w:val="left" w:pos="2160"/>
              </w:tabs>
              <w:rPr>
                <w:rFonts w:eastAsia="Times New Roman"/>
                <w:b/>
                <w:bCs/>
                <w:strike/>
                <w:color w:val="FF0000"/>
                <w:szCs w:val="24"/>
                <w:lang w:val="x-none" w:eastAsia="x-none"/>
              </w:rPr>
            </w:pPr>
          </w:p>
          <w:p w:rsidR="000A2887" w:rsidRPr="00A23740" w:rsidRDefault="000A2887" w:rsidP="009431FF">
            <w:pPr>
              <w:tabs>
                <w:tab w:val="left" w:pos="540"/>
                <w:tab w:val="left" w:pos="567"/>
                <w:tab w:val="left" w:pos="2160"/>
              </w:tabs>
              <w:rPr>
                <w:rFonts w:eastAsia="Times New Roman"/>
                <w:b/>
                <w:bCs/>
                <w:strike/>
                <w:color w:val="FF0000"/>
                <w:szCs w:val="24"/>
                <w:lang w:val="x-none" w:eastAsia="x-none"/>
              </w:rPr>
            </w:pPr>
          </w:p>
          <w:p w:rsidR="000A2887" w:rsidRPr="00A23740" w:rsidRDefault="000A2887" w:rsidP="009431FF">
            <w:pPr>
              <w:tabs>
                <w:tab w:val="left" w:pos="540"/>
                <w:tab w:val="left" w:pos="567"/>
                <w:tab w:val="left" w:pos="2160"/>
              </w:tabs>
              <w:rPr>
                <w:rFonts w:eastAsia="Times New Roman"/>
                <w:b/>
                <w:bCs/>
                <w:strike/>
                <w:color w:val="FF0000"/>
                <w:szCs w:val="24"/>
                <w:lang w:val="x-none" w:eastAsia="x-none"/>
              </w:rPr>
            </w:pPr>
          </w:p>
          <w:p w:rsidR="000A2887" w:rsidRPr="00A23740" w:rsidRDefault="000A2887" w:rsidP="009431FF">
            <w:pPr>
              <w:tabs>
                <w:tab w:val="left" w:pos="540"/>
                <w:tab w:val="left" w:pos="567"/>
                <w:tab w:val="left" w:pos="2160"/>
              </w:tabs>
              <w:rPr>
                <w:rFonts w:eastAsia="Times New Roman"/>
                <w:b/>
                <w:bCs/>
                <w:strike/>
                <w:color w:val="FF0000"/>
                <w:szCs w:val="24"/>
                <w:lang w:val="x-none" w:eastAsia="x-none"/>
              </w:rPr>
            </w:pPr>
          </w:p>
          <w:p w:rsidR="000A2887" w:rsidRPr="00A23740" w:rsidRDefault="000A2887" w:rsidP="009431FF">
            <w:pPr>
              <w:tabs>
                <w:tab w:val="left" w:pos="540"/>
                <w:tab w:val="left" w:pos="567"/>
                <w:tab w:val="left" w:pos="2160"/>
              </w:tabs>
              <w:rPr>
                <w:rFonts w:eastAsia="Times New Roman"/>
                <w:szCs w:val="24"/>
                <w:lang w:eastAsia="tr-TR"/>
              </w:rPr>
            </w:pPr>
          </w:p>
          <w:p w:rsidR="00E33E3B" w:rsidRPr="00A23740" w:rsidRDefault="00E33E3B" w:rsidP="009431FF">
            <w:pPr>
              <w:tabs>
                <w:tab w:val="left" w:pos="540"/>
                <w:tab w:val="left" w:pos="567"/>
                <w:tab w:val="left" w:pos="2160"/>
              </w:tabs>
              <w:rPr>
                <w:rFonts w:eastAsia="Times New Roman"/>
                <w:szCs w:val="24"/>
                <w:lang w:eastAsia="tr-TR"/>
              </w:rPr>
            </w:pPr>
          </w:p>
          <w:p w:rsidR="00E33E3B" w:rsidRPr="00A23740" w:rsidRDefault="00E33E3B" w:rsidP="009431FF">
            <w:pPr>
              <w:tabs>
                <w:tab w:val="left" w:pos="540"/>
                <w:tab w:val="left" w:pos="567"/>
                <w:tab w:val="left" w:pos="2160"/>
              </w:tabs>
              <w:rPr>
                <w:rFonts w:eastAsia="Times New Roman"/>
                <w:szCs w:val="24"/>
                <w:lang w:eastAsia="tr-TR"/>
              </w:rPr>
            </w:pPr>
          </w:p>
          <w:p w:rsidR="00E33E3B" w:rsidRPr="00A23740" w:rsidRDefault="00E33E3B" w:rsidP="009431FF">
            <w:pPr>
              <w:tabs>
                <w:tab w:val="left" w:pos="540"/>
                <w:tab w:val="left" w:pos="567"/>
                <w:tab w:val="left" w:pos="2160"/>
              </w:tabs>
              <w:rPr>
                <w:rFonts w:eastAsia="Times New Roman"/>
                <w:szCs w:val="24"/>
                <w:lang w:eastAsia="tr-TR"/>
              </w:rPr>
            </w:pPr>
          </w:p>
          <w:p w:rsidR="00E33E3B" w:rsidRDefault="00E33E3B" w:rsidP="009431FF">
            <w:pPr>
              <w:tabs>
                <w:tab w:val="left" w:pos="540"/>
                <w:tab w:val="left" w:pos="567"/>
                <w:tab w:val="left" w:pos="2160"/>
              </w:tabs>
              <w:rPr>
                <w:rFonts w:eastAsia="Times New Roman"/>
                <w:szCs w:val="24"/>
                <w:lang w:eastAsia="tr-TR"/>
              </w:rPr>
            </w:pPr>
          </w:p>
          <w:p w:rsidR="009A265C" w:rsidRPr="00A23740" w:rsidRDefault="009A265C" w:rsidP="009431FF">
            <w:pPr>
              <w:tabs>
                <w:tab w:val="left" w:pos="540"/>
                <w:tab w:val="left" w:pos="567"/>
                <w:tab w:val="left" w:pos="2160"/>
              </w:tabs>
              <w:rPr>
                <w:rFonts w:eastAsia="Times New Roman"/>
                <w:szCs w:val="24"/>
                <w:lang w:eastAsia="tr-TR"/>
              </w:rPr>
            </w:pPr>
          </w:p>
          <w:p w:rsidR="00E33E3B" w:rsidRPr="00A23740" w:rsidRDefault="00E33E3B" w:rsidP="009431FF">
            <w:pPr>
              <w:tabs>
                <w:tab w:val="left" w:pos="540"/>
                <w:tab w:val="left" w:pos="567"/>
                <w:tab w:val="left" w:pos="2160"/>
              </w:tabs>
              <w:rPr>
                <w:rFonts w:eastAsia="Times New Roman"/>
                <w:szCs w:val="24"/>
                <w:lang w:eastAsia="tr-TR"/>
              </w:rPr>
            </w:pPr>
          </w:p>
          <w:p w:rsidR="00E33E3B" w:rsidRDefault="00E33E3B" w:rsidP="009431FF">
            <w:pPr>
              <w:tabs>
                <w:tab w:val="left" w:pos="540"/>
                <w:tab w:val="left" w:pos="567"/>
              </w:tabs>
              <w:rPr>
                <w:rFonts w:eastAsia="Times New Roman"/>
                <w:szCs w:val="24"/>
                <w:lang w:eastAsia="tr-TR"/>
              </w:rPr>
            </w:pPr>
            <w:r w:rsidRPr="00A23740">
              <w:rPr>
                <w:rFonts w:eastAsia="Times New Roman"/>
                <w:b/>
                <w:color w:val="0000FF"/>
                <w:szCs w:val="24"/>
                <w:lang w:eastAsia="tr-TR"/>
              </w:rPr>
              <w:t>(2)</w:t>
            </w:r>
            <w:r w:rsidRPr="00A23740">
              <w:rPr>
                <w:rFonts w:eastAsia="Times New Roman"/>
                <w:b/>
                <w:szCs w:val="24"/>
                <w:lang w:eastAsia="tr-TR"/>
              </w:rPr>
              <w:t xml:space="preserve"> </w:t>
            </w:r>
            <w:r w:rsidRPr="00A23740">
              <w:rPr>
                <w:rFonts w:eastAsia="Times New Roman"/>
                <w:szCs w:val="24"/>
                <w:lang w:eastAsia="tr-TR"/>
              </w:rPr>
              <w:t xml:space="preserve">Borçlunun reddetmediği miras veya başka bir sebeple iktisap </w:t>
            </w:r>
            <w:r w:rsidRPr="00A23740">
              <w:rPr>
                <w:rStyle w:val="MaviChar"/>
                <w:lang w:eastAsia="tr-TR"/>
              </w:rPr>
              <w:t>edip</w:t>
            </w:r>
            <w:r w:rsidRPr="00A23740">
              <w:rPr>
                <w:rFonts w:eastAsia="Times New Roman"/>
                <w:szCs w:val="24"/>
                <w:lang w:eastAsia="tr-TR"/>
              </w:rPr>
              <w:t xml:space="preserve"> henüz tapuya veya gemi siciline tescil ettirmediği mülkiyet veya diğer </w:t>
            </w:r>
            <w:r w:rsidRPr="00A23740">
              <w:rPr>
                <w:rStyle w:val="MaviChar"/>
              </w:rPr>
              <w:t>ayni</w:t>
            </w:r>
            <w:r w:rsidRPr="00A23740">
              <w:rPr>
                <w:rFonts w:eastAsia="Times New Roman"/>
                <w:szCs w:val="24"/>
                <w:lang w:eastAsia="tr-TR"/>
              </w:rPr>
              <w:t xml:space="preserve"> hakların borçlu </w:t>
            </w:r>
            <w:r w:rsidRPr="00A23740">
              <w:rPr>
                <w:rFonts w:eastAsia="Times New Roman"/>
                <w:b/>
                <w:color w:val="0000FF"/>
                <w:szCs w:val="24"/>
                <w:lang w:eastAsia="tr-TR"/>
              </w:rPr>
              <w:t>adına</w:t>
            </w:r>
            <w:r w:rsidRPr="00A23740">
              <w:rPr>
                <w:rFonts w:eastAsia="Times New Roman"/>
                <w:szCs w:val="24"/>
                <w:lang w:eastAsia="tr-TR"/>
              </w:rPr>
              <w:t xml:space="preserve"> tescili alacaklı tarafından istenebilir. Bu talep üzerine icra </w:t>
            </w:r>
            <w:r w:rsidRPr="00A23740">
              <w:rPr>
                <w:rStyle w:val="MaviChar"/>
              </w:rPr>
              <w:t>ve iflas</w:t>
            </w:r>
            <w:r w:rsidRPr="00A23740">
              <w:rPr>
                <w:rFonts w:eastAsia="Times New Roman"/>
                <w:szCs w:val="24"/>
                <w:lang w:eastAsia="tr-TR"/>
              </w:rPr>
              <w:t xml:space="preserve"> dairesi</w:t>
            </w:r>
            <w:r w:rsidRPr="00A23740">
              <w:rPr>
                <w:rStyle w:val="MaviChar"/>
              </w:rPr>
              <w:t>,</w:t>
            </w:r>
            <w:r w:rsidRPr="00A23740">
              <w:rPr>
                <w:rFonts w:eastAsia="Times New Roman"/>
                <w:szCs w:val="24"/>
                <w:lang w:eastAsia="tr-TR"/>
              </w:rPr>
              <w:t xml:space="preserve"> </w:t>
            </w:r>
            <w:r w:rsidRPr="00A23740">
              <w:rPr>
                <w:rStyle w:val="MaviChar"/>
              </w:rPr>
              <w:t>alacaklıya, bu işlemi takip edebileceğini gösteren bir yetki belgesi verir.</w:t>
            </w:r>
          </w:p>
          <w:p w:rsidR="009A265C" w:rsidRPr="00A23740" w:rsidRDefault="009A265C" w:rsidP="009431FF">
            <w:pPr>
              <w:tabs>
                <w:tab w:val="left" w:pos="540"/>
                <w:tab w:val="left" w:pos="567"/>
              </w:tabs>
              <w:rPr>
                <w:rFonts w:eastAsia="Times New Roman"/>
                <w:szCs w:val="24"/>
                <w:lang w:eastAsia="tr-TR"/>
              </w:rPr>
            </w:pPr>
          </w:p>
          <w:p w:rsidR="00E33E3B" w:rsidRPr="00A23740" w:rsidRDefault="00E33E3B" w:rsidP="009431FF">
            <w:pPr>
              <w:tabs>
                <w:tab w:val="left" w:pos="540"/>
                <w:tab w:val="left" w:pos="567"/>
              </w:tabs>
              <w:rPr>
                <w:rFonts w:eastAsia="Times New Roman"/>
                <w:szCs w:val="24"/>
                <w:lang w:eastAsia="tr-TR"/>
              </w:rPr>
            </w:pPr>
          </w:p>
          <w:p w:rsidR="00E33E3B" w:rsidRPr="00A23740" w:rsidRDefault="00E33E3B" w:rsidP="009431FF">
            <w:pPr>
              <w:tabs>
                <w:tab w:val="left" w:pos="567"/>
              </w:tabs>
              <w:rPr>
                <w:rFonts w:eastAsia="Times New Roman"/>
                <w:szCs w:val="24"/>
                <w:lang w:eastAsia="tr-TR"/>
              </w:rPr>
            </w:pPr>
            <w:r w:rsidRPr="00A23740">
              <w:rPr>
                <w:rFonts w:eastAsia="Times New Roman"/>
                <w:b/>
                <w:color w:val="0000FF"/>
                <w:szCs w:val="24"/>
                <w:lang w:eastAsia="tr-TR"/>
              </w:rPr>
              <w:t>(3)</w:t>
            </w:r>
            <w:r w:rsidRPr="00A23740">
              <w:rPr>
                <w:rFonts w:eastAsia="Times New Roman"/>
                <w:b/>
                <w:szCs w:val="24"/>
                <w:lang w:eastAsia="tr-TR"/>
              </w:rPr>
              <w:t xml:space="preserve"> </w:t>
            </w:r>
            <w:r w:rsidRPr="00A23740">
              <w:rPr>
                <w:rFonts w:eastAsia="Times New Roman"/>
                <w:szCs w:val="24"/>
                <w:lang w:eastAsia="tr-TR"/>
              </w:rPr>
              <w:t xml:space="preserve">Borçlunun zilyedi </w:t>
            </w:r>
            <w:r w:rsidRPr="00A23740">
              <w:rPr>
                <w:rFonts w:eastAsia="Times New Roman"/>
                <w:b/>
                <w:color w:val="0000FF"/>
                <w:szCs w:val="24"/>
                <w:lang w:eastAsia="tr-TR"/>
              </w:rPr>
              <w:t>olduğu</w:t>
            </w:r>
            <w:r w:rsidRPr="00A23740">
              <w:rPr>
                <w:rFonts w:eastAsia="Times New Roman"/>
                <w:szCs w:val="24"/>
                <w:lang w:eastAsia="tr-TR"/>
              </w:rPr>
              <w:t xml:space="preserve"> bir taşınmaz üzerindeki </w:t>
            </w:r>
            <w:r w:rsidRPr="00A23740">
              <w:rPr>
                <w:rFonts w:eastAsia="Times New Roman"/>
                <w:b/>
                <w:color w:val="0000FF"/>
                <w:szCs w:val="24"/>
                <w:lang w:eastAsia="tr-TR"/>
              </w:rPr>
              <w:t>olağanüstü</w:t>
            </w:r>
            <w:r w:rsidRPr="00A23740">
              <w:rPr>
                <w:rFonts w:eastAsia="Times New Roman"/>
                <w:szCs w:val="24"/>
                <w:lang w:eastAsia="tr-TR"/>
              </w:rPr>
              <w:t xml:space="preserve"> zamanaşımı ile iktisabını isteme hakkının haczedilmesi h</w:t>
            </w:r>
            <w:r w:rsidR="001D7D44" w:rsidRPr="00A23740">
              <w:rPr>
                <w:rFonts w:eastAsia="Times New Roman"/>
                <w:szCs w:val="24"/>
                <w:lang w:eastAsia="tr-TR"/>
              </w:rPr>
              <w:t>â</w:t>
            </w:r>
            <w:r w:rsidRPr="00A23740">
              <w:rPr>
                <w:rFonts w:eastAsia="Times New Roman"/>
                <w:szCs w:val="24"/>
                <w:lang w:eastAsia="tr-TR"/>
              </w:rPr>
              <w:t xml:space="preserve">linde, icra </w:t>
            </w:r>
            <w:r w:rsidRPr="00A23740">
              <w:rPr>
                <w:rStyle w:val="MaviChar"/>
              </w:rPr>
              <w:t>ve iflas</w:t>
            </w:r>
            <w:r w:rsidRPr="00A23740">
              <w:rPr>
                <w:rFonts w:eastAsia="Times New Roman"/>
                <w:szCs w:val="24"/>
                <w:lang w:eastAsia="tr-TR"/>
              </w:rPr>
              <w:t xml:space="preserve"> dairesi zilye</w:t>
            </w:r>
            <w:r w:rsidRPr="00A23740">
              <w:rPr>
                <w:rFonts w:eastAsia="Times New Roman"/>
                <w:b/>
                <w:color w:val="0000FF"/>
                <w:szCs w:val="24"/>
                <w:lang w:eastAsia="tr-TR"/>
              </w:rPr>
              <w:t>t</w:t>
            </w:r>
            <w:r w:rsidRPr="00A23740">
              <w:rPr>
                <w:rFonts w:eastAsia="Times New Roman"/>
                <w:szCs w:val="24"/>
                <w:lang w:eastAsia="tr-TR"/>
              </w:rPr>
              <w:t xml:space="preserve">liğin başkasına devrine engel olacak tedbirleri alır ve alacaklıya bir ay içinde taşınmazın borçlu adına tescili için dava açma yetkisini verir. Mahkemenin tescil kararı ile taşınmaz, bu alacaklı lehine </w:t>
            </w:r>
            <w:r w:rsidRPr="00A23740">
              <w:rPr>
                <w:rFonts w:eastAsia="Times New Roman"/>
                <w:b/>
                <w:color w:val="0000FF"/>
                <w:szCs w:val="24"/>
                <w:lang w:eastAsia="tr-TR"/>
              </w:rPr>
              <w:t>haczedilmiş</w:t>
            </w:r>
            <w:r w:rsidRPr="00A23740">
              <w:rPr>
                <w:rFonts w:eastAsia="Times New Roman"/>
                <w:szCs w:val="24"/>
                <w:lang w:eastAsia="tr-TR"/>
              </w:rPr>
              <w:t xml:space="preserve"> sayılır.</w:t>
            </w:r>
          </w:p>
          <w:p w:rsidR="00E33E3B" w:rsidRPr="00A23740" w:rsidRDefault="00E33E3B" w:rsidP="009431FF">
            <w:pPr>
              <w:tabs>
                <w:tab w:val="left" w:pos="567"/>
              </w:tabs>
              <w:rPr>
                <w:rFonts w:eastAsia="Times New Roman"/>
                <w:b/>
                <w:color w:val="0000FF"/>
                <w:szCs w:val="24"/>
                <w:lang w:eastAsia="tr-TR"/>
              </w:rPr>
            </w:pPr>
          </w:p>
          <w:p w:rsidR="00E33E3B" w:rsidRPr="00A23740" w:rsidRDefault="00E33E3B"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(4) Borçlunun, üçüncü kişilerdeki alacağının haczi hakkında </w:t>
            </w:r>
            <w:r w:rsidRPr="00CE4365">
              <w:rPr>
                <w:rStyle w:val="MaviChar"/>
              </w:rPr>
              <w:t>174</w:t>
            </w:r>
            <w:r w:rsidRPr="00A23740">
              <w:rPr>
                <w:rFonts w:eastAsia="Times New Roman"/>
                <w:b/>
                <w:color w:val="0000FF"/>
                <w:szCs w:val="24"/>
                <w:lang w:eastAsia="tr-TR"/>
              </w:rPr>
              <w:t xml:space="preserve">, </w:t>
            </w:r>
            <w:r w:rsidRPr="00CE4365">
              <w:rPr>
                <w:rStyle w:val="MaviChar"/>
              </w:rPr>
              <w:t>207 ve 208 inci</w:t>
            </w:r>
            <w:r w:rsidRPr="00A23740">
              <w:rPr>
                <w:rFonts w:eastAsia="Times New Roman"/>
                <w:b/>
                <w:color w:val="0000FF"/>
                <w:szCs w:val="24"/>
                <w:lang w:eastAsia="tr-TR"/>
              </w:rPr>
              <w:t xml:space="preserve"> </w:t>
            </w:r>
            <w:r w:rsidRPr="00CE4365">
              <w:rPr>
                <w:rStyle w:val="MaviChar"/>
              </w:rPr>
              <w:t>maddeleri</w:t>
            </w:r>
            <w:r w:rsidRPr="00A23740">
              <w:rPr>
                <w:rFonts w:eastAsia="Times New Roman"/>
                <w:b/>
                <w:color w:val="0000FF"/>
                <w:szCs w:val="24"/>
                <w:lang w:eastAsia="tr-TR"/>
              </w:rPr>
              <w:t xml:space="preserve"> saklıdır. </w:t>
            </w:r>
          </w:p>
          <w:p w:rsidR="00E33E3B" w:rsidRDefault="00E33E3B" w:rsidP="009431FF">
            <w:pPr>
              <w:tabs>
                <w:tab w:val="left" w:pos="567"/>
              </w:tabs>
              <w:rPr>
                <w:rFonts w:eastAsia="Times New Roman"/>
                <w:szCs w:val="24"/>
                <w:lang w:eastAsia="tr-TR"/>
              </w:rPr>
            </w:pPr>
          </w:p>
          <w:p w:rsidR="00594C9D" w:rsidRPr="00A23740" w:rsidRDefault="00594C9D" w:rsidP="009431FF">
            <w:pPr>
              <w:tabs>
                <w:tab w:val="left" w:pos="567"/>
              </w:tabs>
              <w:rPr>
                <w:rFonts w:eastAsia="Times New Roman"/>
                <w:szCs w:val="24"/>
                <w:lang w:eastAsia="tr-TR"/>
              </w:rPr>
            </w:pPr>
          </w:p>
          <w:p w:rsidR="00E33E3B" w:rsidRPr="00A23740" w:rsidRDefault="00E33E3B" w:rsidP="009431FF">
            <w:pPr>
              <w:tabs>
                <w:tab w:val="left" w:pos="567"/>
              </w:tabs>
              <w:rPr>
                <w:rFonts w:eastAsia="Times New Roman"/>
                <w:szCs w:val="24"/>
                <w:lang w:eastAsia="tr-TR"/>
              </w:rPr>
            </w:pPr>
          </w:p>
          <w:p w:rsidR="00E33E3B" w:rsidRPr="00A23740" w:rsidRDefault="00E33E3B" w:rsidP="009431FF">
            <w:pPr>
              <w:tabs>
                <w:tab w:val="left" w:pos="567"/>
              </w:tabs>
              <w:rPr>
                <w:rFonts w:eastAsia="Times New Roman"/>
                <w:b/>
                <w:color w:val="0000FF"/>
                <w:szCs w:val="24"/>
                <w:lang w:eastAsia="tr-TR"/>
              </w:rPr>
            </w:pPr>
            <w:r w:rsidRPr="00A23740">
              <w:rPr>
                <w:rFonts w:eastAsia="Times New Roman"/>
                <w:b/>
                <w:color w:val="0000FF"/>
                <w:szCs w:val="24"/>
                <w:lang w:eastAsia="tr-TR"/>
              </w:rPr>
              <w:t>(5)</w:t>
            </w:r>
            <w:r w:rsidRPr="00A23740">
              <w:rPr>
                <w:rFonts w:eastAsia="Times New Roman"/>
                <w:b/>
                <w:szCs w:val="24"/>
                <w:lang w:eastAsia="tr-TR"/>
              </w:rPr>
              <w:t xml:space="preserve"> </w:t>
            </w:r>
            <w:r w:rsidRPr="00A23740">
              <w:rPr>
                <w:rFonts w:eastAsia="Times New Roman"/>
                <w:szCs w:val="24"/>
                <w:lang w:eastAsia="tr-TR"/>
              </w:rPr>
              <w:t>Alacaklının bu</w:t>
            </w:r>
            <w:r w:rsidRPr="00A23740">
              <w:rPr>
                <w:rFonts w:eastAsia="Times New Roman"/>
                <w:b/>
                <w:color w:val="0000FF"/>
                <w:szCs w:val="24"/>
                <w:lang w:eastAsia="tr-TR"/>
              </w:rPr>
              <w:t xml:space="preserve"> madde uyarınca</w:t>
            </w:r>
            <w:r w:rsidRPr="00A23740">
              <w:rPr>
                <w:rFonts w:eastAsia="Times New Roman"/>
                <w:szCs w:val="24"/>
                <w:lang w:eastAsia="tr-TR"/>
              </w:rPr>
              <w:t xml:space="preserve"> yapacağı </w:t>
            </w:r>
            <w:r w:rsidRPr="00A23740">
              <w:rPr>
                <w:rFonts w:eastAsia="Times New Roman"/>
                <w:b/>
                <w:color w:val="0000FF"/>
                <w:szCs w:val="24"/>
                <w:lang w:eastAsia="tr-TR"/>
              </w:rPr>
              <w:t>giderler</w:t>
            </w:r>
            <w:r w:rsidRPr="00A23740">
              <w:rPr>
                <w:rFonts w:eastAsia="Times New Roman"/>
                <w:szCs w:val="24"/>
                <w:lang w:eastAsia="tr-TR"/>
              </w:rPr>
              <w:t xml:space="preserve"> ayrıca takip ve hükme gerek kalmaksızın </w:t>
            </w:r>
            <w:r w:rsidRPr="00A23740">
              <w:rPr>
                <w:rFonts w:eastAsia="Times New Roman"/>
                <w:b/>
                <w:color w:val="0000FF"/>
                <w:szCs w:val="24"/>
                <w:lang w:eastAsia="tr-TR"/>
              </w:rPr>
              <w:t xml:space="preserve">icra </w:t>
            </w:r>
            <w:r w:rsidRPr="00A23740">
              <w:rPr>
                <w:rStyle w:val="MaviChar"/>
              </w:rPr>
              <w:t>ve iflas</w:t>
            </w:r>
            <w:r w:rsidRPr="00A23740">
              <w:rPr>
                <w:rFonts w:eastAsia="Times New Roman"/>
                <w:b/>
                <w:color w:val="0000FF"/>
                <w:szCs w:val="24"/>
                <w:lang w:eastAsia="tr-TR"/>
              </w:rPr>
              <w:t xml:space="preserve"> dairesince</w:t>
            </w:r>
            <w:r w:rsidRPr="00A23740">
              <w:rPr>
                <w:rFonts w:eastAsia="Times New Roman"/>
                <w:szCs w:val="24"/>
                <w:lang w:eastAsia="tr-TR"/>
              </w:rPr>
              <w:t xml:space="preserve"> borçludan tahsil </w:t>
            </w:r>
            <w:r w:rsidRPr="00A23740">
              <w:rPr>
                <w:rFonts w:eastAsia="Times New Roman"/>
                <w:b/>
                <w:color w:val="0000FF"/>
                <w:szCs w:val="24"/>
                <w:lang w:eastAsia="tr-TR"/>
              </w:rPr>
              <w:t>edilir.</w:t>
            </w:r>
          </w:p>
          <w:p w:rsidR="00E33E3B" w:rsidRPr="00A23740" w:rsidRDefault="00E33E3B" w:rsidP="009431FF">
            <w:pPr>
              <w:pStyle w:val="KIRMIZI"/>
              <w:rPr>
                <w:b w:val="0"/>
                <w:lang w:eastAsia="tr-TR"/>
              </w:rPr>
            </w:pPr>
          </w:p>
        </w:tc>
      </w:tr>
      <w:tr w:rsidR="00E33E3B" w:rsidRPr="00A23740" w:rsidTr="009431FF">
        <w:tblPrEx>
          <w:tblLook w:val="01E0" w:firstRow="1" w:lastRow="1" w:firstColumn="1" w:lastColumn="1" w:noHBand="0" w:noVBand="0"/>
        </w:tblPrEx>
        <w:tc>
          <w:tcPr>
            <w:tcW w:w="5000" w:type="pct"/>
            <w:gridSpan w:val="2"/>
            <w:shd w:val="clear" w:color="auto" w:fill="DEEAF6"/>
          </w:tcPr>
          <w:p w:rsidR="00E33E3B" w:rsidRPr="00A23740" w:rsidRDefault="00E33E3B" w:rsidP="009431FF">
            <w:pPr>
              <w:tabs>
                <w:tab w:val="left" w:pos="567"/>
              </w:tabs>
              <w:ind w:firstLine="709"/>
            </w:pPr>
          </w:p>
          <w:p w:rsidR="00E33E3B" w:rsidRPr="00A23740" w:rsidRDefault="00E33E3B" w:rsidP="009431FF">
            <w:pPr>
              <w:tabs>
                <w:tab w:val="left" w:pos="540"/>
                <w:tab w:val="left" w:pos="567"/>
                <w:tab w:val="left" w:pos="2160"/>
              </w:tabs>
              <w:ind w:firstLine="709"/>
              <w:rPr>
                <w:rFonts w:eastAsia="Times New Roman"/>
                <w:szCs w:val="24"/>
                <w:lang w:eastAsia="tr-TR"/>
              </w:rPr>
            </w:pPr>
            <w:r w:rsidRPr="00A23740">
              <w:rPr>
                <w:rFonts w:eastAsia="Times New Roman"/>
                <w:b/>
                <w:bCs/>
                <w:szCs w:val="24"/>
                <w:lang w:eastAsia="tr-TR"/>
              </w:rPr>
              <w:t xml:space="preserve">MADDE </w:t>
            </w:r>
            <w:r w:rsidRPr="00D60C1D">
              <w:rPr>
                <w:rStyle w:val="KonuBalChar"/>
                <w:rFonts w:eastAsia="Calibri"/>
                <w:color w:val="000000"/>
              </w:rPr>
              <w:t>195</w:t>
            </w:r>
            <w:r w:rsidRPr="00D60C1D">
              <w:rPr>
                <w:rFonts w:eastAsia="Times New Roman"/>
                <w:b/>
                <w:bCs/>
                <w:color w:val="000000"/>
                <w:szCs w:val="24"/>
                <w:lang w:eastAsia="tr-TR"/>
              </w:rPr>
              <w:t>-</w:t>
            </w:r>
            <w:r w:rsidRPr="00A23740">
              <w:rPr>
                <w:rFonts w:eastAsia="Times New Roman"/>
                <w:b/>
                <w:bCs/>
                <w:color w:val="0000FF"/>
                <w:szCs w:val="24"/>
                <w:lang w:eastAsia="tr-TR"/>
              </w:rPr>
              <w:t xml:space="preserve"> </w:t>
            </w:r>
            <w:r w:rsidRPr="00A23740">
              <w:rPr>
                <w:rFonts w:eastAsia="Times New Roman"/>
                <w:szCs w:val="24"/>
                <w:lang w:eastAsia="tr-TR"/>
              </w:rPr>
              <w:t xml:space="preserve">Maddeyle, haciz, muhafaza ve paylaştırılmamış miras payı, adi ortaklık payı ya da elbirliği hâlinde tasarruf edilen malların haczine, muhafazasına ve diğer </w:t>
            </w:r>
            <w:r w:rsidR="00B03A2B" w:rsidRPr="00A23740">
              <w:rPr>
                <w:rFonts w:eastAsia="Times New Roman"/>
                <w:szCs w:val="24"/>
                <w:lang w:eastAsia="tr-TR"/>
              </w:rPr>
              <w:t xml:space="preserve">özel durumlar ile </w:t>
            </w:r>
            <w:r w:rsidRPr="00A23740">
              <w:rPr>
                <w:rFonts w:eastAsia="Times New Roman"/>
                <w:szCs w:val="24"/>
                <w:lang w:eastAsia="tr-TR"/>
              </w:rPr>
              <w:t>giderlere ilişkin düzenleme yapılmaktadır.</w:t>
            </w:r>
            <w:r w:rsidRPr="00A23740">
              <w:rPr>
                <w:rFonts w:eastAsia="Times New Roman"/>
                <w:bCs/>
                <w:lang w:eastAsia="tr-TR"/>
              </w:rPr>
              <w:t xml:space="preserve"> </w:t>
            </w:r>
            <w:r w:rsidRPr="00A23740">
              <w:rPr>
                <w:rFonts w:eastAsia="Times New Roman"/>
                <w:szCs w:val="24"/>
                <w:lang w:eastAsia="tr-TR"/>
              </w:rPr>
              <w:t xml:space="preserve">Hüküm, 2004 sayılı Kanunun 94 üncü maddesine karşılık gelmektedir. </w:t>
            </w:r>
            <w:r w:rsidRPr="00D60C1D">
              <w:rPr>
                <w:rStyle w:val="YELChar"/>
                <w:b w:val="0"/>
                <w:color w:val="000000"/>
              </w:rPr>
              <w:t xml:space="preserve">94 üncü maddenin beşinci fıkrasında </w:t>
            </w:r>
            <w:r w:rsidR="00B03A2B" w:rsidRPr="00D60C1D">
              <w:rPr>
                <w:rStyle w:val="YELChar"/>
                <w:b w:val="0"/>
                <w:color w:val="000000"/>
              </w:rPr>
              <w:t xml:space="preserve">sözü edilen </w:t>
            </w:r>
            <w:r w:rsidRPr="00D60C1D">
              <w:rPr>
                <w:rStyle w:val="YELChar"/>
                <w:b w:val="0"/>
                <w:color w:val="000000"/>
              </w:rPr>
              <w:t>ücretler</w:t>
            </w:r>
            <w:r w:rsidR="00B03A2B" w:rsidRPr="00D60C1D">
              <w:rPr>
                <w:rStyle w:val="YELChar"/>
                <w:b w:val="0"/>
                <w:color w:val="000000"/>
              </w:rPr>
              <w:t>,</w:t>
            </w:r>
            <w:r w:rsidRPr="00D60C1D">
              <w:rPr>
                <w:rStyle w:val="YELChar"/>
                <w:b w:val="0"/>
                <w:color w:val="000000"/>
              </w:rPr>
              <w:t xml:space="preserve"> haczi kabil </w:t>
            </w:r>
            <w:r w:rsidR="00B03A2B" w:rsidRPr="00D60C1D">
              <w:rPr>
                <w:rStyle w:val="YELChar"/>
                <w:b w:val="0"/>
                <w:color w:val="000000"/>
              </w:rPr>
              <w:t xml:space="preserve"> olmamaları nedeniyle </w:t>
            </w:r>
            <w:r w:rsidRPr="00D60C1D">
              <w:rPr>
                <w:rStyle w:val="YELChar"/>
                <w:b w:val="0"/>
                <w:color w:val="000000"/>
              </w:rPr>
              <w:t>metne alınmamıştır. Madde metni kaleme alınırken ifade kolaylığı sağlamak bakımından, elbirliğiyle tasarruf edilen mallar hakkında da tasfiye bakiyesine katılma veya kâr payı terimleri yerine kısaca “pay” terimi kullanılmıştır.</w:t>
            </w:r>
            <w:r w:rsidRPr="00A23740">
              <w:rPr>
                <w:rStyle w:val="YELChar"/>
              </w:rPr>
              <w:t xml:space="preserve"> </w:t>
            </w:r>
          </w:p>
          <w:p w:rsidR="000730C9" w:rsidRPr="00A23740" w:rsidRDefault="00E33E3B" w:rsidP="009431FF">
            <w:pPr>
              <w:tabs>
                <w:tab w:val="left" w:pos="540"/>
                <w:tab w:val="left" w:pos="567"/>
                <w:tab w:val="left" w:pos="2160"/>
              </w:tabs>
              <w:ind w:firstLine="709"/>
              <w:rPr>
                <w:rFonts w:eastAsia="Times New Roman"/>
                <w:szCs w:val="24"/>
                <w:lang w:eastAsia="tr-TR"/>
              </w:rPr>
            </w:pPr>
            <w:r w:rsidRPr="00A23740">
              <w:rPr>
                <w:rFonts w:eastAsia="Times New Roman"/>
                <w:szCs w:val="24"/>
                <w:lang w:eastAsia="tr-TR"/>
              </w:rPr>
              <w:t>Birinci fıkrayla</w:t>
            </w:r>
            <w:r w:rsidR="000730C9" w:rsidRPr="00A23740">
              <w:rPr>
                <w:rFonts w:eastAsia="Times New Roman"/>
                <w:szCs w:val="24"/>
                <w:lang w:eastAsia="tr-TR"/>
              </w:rPr>
              <w:t>,</w:t>
            </w:r>
            <w:r w:rsidRPr="00A23740">
              <w:rPr>
                <w:rFonts w:eastAsia="Times New Roman"/>
                <w:szCs w:val="24"/>
                <w:lang w:eastAsia="tr-TR"/>
              </w:rPr>
              <w:t xml:space="preserve"> bu madde kapsamında haczedilen malların haczedilme usulü, üçüncü kişilere bildirimi</w:t>
            </w:r>
            <w:r w:rsidR="000730C9" w:rsidRPr="00A23740">
              <w:rPr>
                <w:rFonts w:eastAsia="Times New Roman"/>
                <w:szCs w:val="24"/>
                <w:lang w:eastAsia="tr-TR"/>
              </w:rPr>
              <w:t>,</w:t>
            </w:r>
            <w:r w:rsidRPr="00A23740">
              <w:rPr>
                <w:rFonts w:eastAsia="Times New Roman"/>
                <w:szCs w:val="24"/>
                <w:lang w:eastAsia="tr-TR"/>
              </w:rPr>
              <w:t xml:space="preserve"> </w:t>
            </w:r>
            <w:r w:rsidR="000730C9" w:rsidRPr="00A23740">
              <w:rPr>
                <w:rFonts w:eastAsia="Times New Roman"/>
                <w:szCs w:val="24"/>
                <w:lang w:eastAsia="tr-TR"/>
              </w:rPr>
              <w:t xml:space="preserve">ayrıca </w:t>
            </w:r>
            <w:r w:rsidRPr="00A23740">
              <w:rPr>
                <w:rFonts w:eastAsia="Times New Roman"/>
                <w:szCs w:val="24"/>
                <w:lang w:eastAsia="tr-TR"/>
              </w:rPr>
              <w:t xml:space="preserve">devrinin engellenmesi için tedbir alınması hususu düzenlenmiştir. </w:t>
            </w:r>
          </w:p>
          <w:p w:rsidR="00E33E3B" w:rsidRPr="00A23740" w:rsidRDefault="00E33E3B" w:rsidP="009431FF">
            <w:pPr>
              <w:tabs>
                <w:tab w:val="left" w:pos="540"/>
                <w:tab w:val="left" w:pos="567"/>
                <w:tab w:val="left" w:pos="2160"/>
              </w:tabs>
              <w:ind w:firstLine="709"/>
              <w:rPr>
                <w:rFonts w:eastAsia="Times New Roman"/>
                <w:szCs w:val="24"/>
                <w:lang w:eastAsia="tr-TR"/>
              </w:rPr>
            </w:pPr>
            <w:r w:rsidRPr="00A23740">
              <w:rPr>
                <w:rFonts w:eastAsia="Times New Roman"/>
                <w:szCs w:val="24"/>
                <w:lang w:eastAsia="tr-TR"/>
              </w:rPr>
              <w:t>İkinci fıkra</w:t>
            </w:r>
            <w:r w:rsidR="000730C9" w:rsidRPr="00A23740">
              <w:rPr>
                <w:rFonts w:eastAsia="Times New Roman"/>
                <w:szCs w:val="24"/>
                <w:lang w:eastAsia="tr-TR"/>
              </w:rPr>
              <w:t>da,</w:t>
            </w:r>
            <w:r w:rsidRPr="00A23740">
              <w:rPr>
                <w:rFonts w:eastAsia="Times New Roman"/>
                <w:szCs w:val="24"/>
                <w:lang w:eastAsia="tr-TR"/>
              </w:rPr>
              <w:t xml:space="preserve"> borçlunun iktisap edip borcu nedeniyle tescil</w:t>
            </w:r>
            <w:r w:rsidR="000730C9" w:rsidRPr="00A23740">
              <w:rPr>
                <w:rFonts w:eastAsia="Times New Roman"/>
                <w:szCs w:val="24"/>
                <w:lang w:eastAsia="tr-TR"/>
              </w:rPr>
              <w:t>ini</w:t>
            </w:r>
            <w:r w:rsidRPr="00A23740">
              <w:rPr>
                <w:rFonts w:eastAsia="Times New Roman"/>
                <w:szCs w:val="24"/>
                <w:lang w:eastAsia="tr-TR"/>
              </w:rPr>
              <w:t xml:space="preserve"> yaptırmadığı malın </w:t>
            </w:r>
            <w:r w:rsidR="000730C9" w:rsidRPr="00A23740">
              <w:rPr>
                <w:rFonts w:eastAsia="Times New Roman"/>
                <w:szCs w:val="24"/>
                <w:lang w:eastAsia="tr-TR"/>
              </w:rPr>
              <w:t xml:space="preserve">borçlu adına tescili için </w:t>
            </w:r>
            <w:r w:rsidRPr="00A23740">
              <w:rPr>
                <w:rFonts w:eastAsia="Times New Roman"/>
                <w:szCs w:val="24"/>
                <w:lang w:eastAsia="tr-TR"/>
              </w:rPr>
              <w:t xml:space="preserve">alacaklı tarafından yetki </w:t>
            </w:r>
            <w:r w:rsidR="000730C9" w:rsidRPr="00A23740">
              <w:rPr>
                <w:rFonts w:eastAsia="Times New Roman"/>
                <w:szCs w:val="24"/>
                <w:lang w:eastAsia="tr-TR"/>
              </w:rPr>
              <w:t xml:space="preserve">istenmesine </w:t>
            </w:r>
            <w:r w:rsidRPr="00A23740">
              <w:rPr>
                <w:rFonts w:eastAsia="Times New Roman"/>
                <w:szCs w:val="24"/>
                <w:lang w:eastAsia="tr-TR"/>
              </w:rPr>
              <w:t xml:space="preserve">ve buna ilişkin işlemlere yer verilmektedir. </w:t>
            </w:r>
          </w:p>
          <w:p w:rsidR="00E33E3B" w:rsidRPr="00A23740" w:rsidRDefault="00E33E3B" w:rsidP="007136A5">
            <w:pPr>
              <w:tabs>
                <w:tab w:val="left" w:pos="567"/>
              </w:tabs>
              <w:ind w:firstLine="709"/>
              <w:rPr>
                <w:rStyle w:val="MaviChar"/>
              </w:rPr>
            </w:pPr>
            <w:r w:rsidRPr="00A23740">
              <w:rPr>
                <w:rFonts w:eastAsia="Times New Roman"/>
                <w:szCs w:val="24"/>
                <w:lang w:eastAsia="tr-TR"/>
              </w:rPr>
              <w:t>Üçüncü ve dördüncü fıkralarda taşınmazın haczi usulü ve uygulanacak hükümler, beşinci fıkra ile de bu madde uyarınca yapılacak giderlere i</w:t>
            </w:r>
            <w:r w:rsidR="007136A5">
              <w:rPr>
                <w:rFonts w:eastAsia="Times New Roman"/>
                <w:szCs w:val="24"/>
                <w:lang w:eastAsia="tr-TR"/>
              </w:rPr>
              <w:t>lişkin düzenleme yapılmaktadır.</w:t>
            </w:r>
          </w:p>
          <w:p w:rsidR="00E33E3B" w:rsidRPr="00A23740" w:rsidRDefault="00E33E3B" w:rsidP="007136A5">
            <w:pPr>
              <w:tabs>
                <w:tab w:val="left" w:pos="567"/>
              </w:tabs>
              <w:ind w:firstLine="709"/>
              <w:rPr>
                <w:b/>
                <w:bCs/>
                <w:color w:val="0000FF"/>
                <w:szCs w:val="24"/>
                <w:lang w:val="x-none" w:eastAsia="x-none"/>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Style w:val="KIRMIZIChar"/>
                <w:rFonts w:eastAsia="Calibri"/>
              </w:rPr>
              <w:t>3 –</w:t>
            </w:r>
            <w:r w:rsidRPr="00A23740">
              <w:rPr>
                <w:rFonts w:eastAsia="Times New Roman"/>
                <w:b/>
                <w:szCs w:val="24"/>
                <w:lang w:eastAsia="tr-TR"/>
              </w:rPr>
              <w:t xml:space="preserve"> Diğer haklar </w:t>
            </w:r>
            <w:r w:rsidRPr="00A23740">
              <w:rPr>
                <w:rStyle w:val="KIRMIZIChar"/>
                <w:rFonts w:eastAsia="Calibri"/>
              </w:rPr>
              <w:t>için :</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90 – (1)</w:t>
            </w:r>
            <w:r w:rsidRPr="00A23740">
              <w:rPr>
                <w:rFonts w:eastAsia="Times New Roman"/>
                <w:b/>
                <w:szCs w:val="24"/>
                <w:lang w:eastAsia="tr-TR"/>
              </w:rPr>
              <w:t xml:space="preserve"> </w:t>
            </w:r>
            <w:r w:rsidRPr="00A23740">
              <w:rPr>
                <w:rFonts w:eastAsia="Times New Roman"/>
                <w:szCs w:val="24"/>
                <w:lang w:eastAsia="tr-TR"/>
              </w:rPr>
              <w:t>İcra dairesi haczedilen hakların muhafazasına ve alacaklardan günü gelenlerin tahsilin</w:t>
            </w:r>
            <w:r w:rsidRPr="00A23740">
              <w:rPr>
                <w:rStyle w:val="KIRMIZIChar"/>
                <w:rFonts w:eastAsia="Calibri"/>
              </w:rPr>
              <w:t xml:space="preserve">e çalışır </w:t>
            </w:r>
            <w:r w:rsidRPr="00A23740">
              <w:rPr>
                <w:rFonts w:eastAsia="Times New Roman"/>
                <w:szCs w:val="24"/>
                <w:lang w:eastAsia="tr-TR"/>
              </w:rPr>
              <w:t xml:space="preserve">ve </w:t>
            </w:r>
            <w:r w:rsidRPr="00A23740">
              <w:rPr>
                <w:rFonts w:eastAsia="ヒラギノ明朝 Pro W3"/>
                <w:b/>
                <w:strike/>
                <w:color w:val="FF0000"/>
                <w:szCs w:val="24"/>
              </w:rPr>
              <w:t>lazım gelen</w:t>
            </w:r>
            <w:r w:rsidRPr="00A23740">
              <w:rPr>
                <w:rFonts w:eastAsia="Times New Roman"/>
                <w:szCs w:val="24"/>
                <w:lang w:eastAsia="tr-TR"/>
              </w:rPr>
              <w:t xml:space="preserve"> </w:t>
            </w:r>
            <w:r w:rsidRPr="00A23740">
              <w:rPr>
                <w:rStyle w:val="KIRMIZIChar"/>
                <w:rFonts w:eastAsia="Calibri"/>
              </w:rPr>
              <w:t>masrafların</w:t>
            </w:r>
            <w:r w:rsidRPr="00A23740">
              <w:rPr>
                <w:rFonts w:eastAsia="Times New Roman"/>
                <w:szCs w:val="24"/>
                <w:lang w:eastAsia="tr-TR"/>
              </w:rPr>
              <w:t xml:space="preserve"> peşin </w:t>
            </w:r>
            <w:r w:rsidRPr="00A23740">
              <w:rPr>
                <w:rStyle w:val="KIRMIZIChar"/>
                <w:rFonts w:eastAsia="Calibri"/>
              </w:rPr>
              <w:t xml:space="preserve">ödenmesini </w:t>
            </w:r>
            <w:r w:rsidRPr="00A23740">
              <w:rPr>
                <w:rStyle w:val="KIRMIZIChar"/>
                <w:rFonts w:eastAsia="ヒラギノ明朝 Pro W3"/>
              </w:rPr>
              <w:t>istiyebilir</w:t>
            </w:r>
            <w:r w:rsidRPr="00A23740">
              <w:rPr>
                <w:rStyle w:val="KIRMIZIChar"/>
                <w:rFonts w:eastAsia="Calibri"/>
              </w:rPr>
              <w:t>.</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Diğer haklar</w:t>
            </w:r>
            <w:r w:rsidRPr="00A23740">
              <w:rPr>
                <w:rStyle w:val="MAVChar"/>
                <w:rFonts w:eastAsia="Calibri"/>
                <w:u w:val="none"/>
              </w:rPr>
              <w:t xml:space="preserve">ın muhafazası ve alacakların tahsili </w:t>
            </w:r>
          </w:p>
          <w:p w:rsidR="00AA5C8C" w:rsidRPr="00A23740" w:rsidRDefault="007C3593" w:rsidP="009431FF">
            <w:pPr>
              <w:tabs>
                <w:tab w:val="left" w:pos="567"/>
              </w:tabs>
              <w:rPr>
                <w:rFonts w:eastAsia="Times New Roman"/>
                <w:szCs w:val="24"/>
                <w:lang w:eastAsia="tr-TR"/>
              </w:rPr>
            </w:pPr>
            <w:r w:rsidRPr="00A23740">
              <w:rPr>
                <w:rStyle w:val="MaviChar"/>
                <w:lang w:val="tr-TR"/>
              </w:rPr>
              <w:t xml:space="preserve">MADDE </w:t>
            </w:r>
            <w:r w:rsidR="0025794C" w:rsidRPr="00A23740">
              <w:rPr>
                <w:rStyle w:val="MaviChar"/>
                <w:lang w:val="tr-TR"/>
              </w:rPr>
              <w:t>196</w:t>
            </w:r>
            <w:r w:rsidR="00AA5C8C" w:rsidRPr="00A23740">
              <w:rPr>
                <w:rStyle w:val="MaviChar"/>
                <w:lang w:val="tr-TR"/>
              </w:rPr>
              <w:t>- (</w:t>
            </w:r>
            <w:r w:rsidR="00AA5C8C" w:rsidRPr="00A23740">
              <w:rPr>
                <w:rFonts w:eastAsia="Times New Roman"/>
                <w:b/>
                <w:color w:val="0000FF"/>
                <w:szCs w:val="24"/>
                <w:lang w:eastAsia="tr-TR"/>
              </w:rPr>
              <w:t>1)</w:t>
            </w:r>
            <w:r w:rsidR="00AA5C8C" w:rsidRPr="00A23740">
              <w:rPr>
                <w:rFonts w:eastAsia="Times New Roman"/>
                <w:b/>
                <w:szCs w:val="24"/>
                <w:lang w:eastAsia="tr-TR"/>
              </w:rPr>
              <w:t xml:space="preserve"> </w:t>
            </w:r>
            <w:r w:rsidR="00AA5C8C" w:rsidRPr="00A23740">
              <w:rPr>
                <w:rFonts w:eastAsia="Times New Roman"/>
                <w:szCs w:val="24"/>
                <w:lang w:eastAsia="tr-TR"/>
              </w:rPr>
              <w:t xml:space="preserve">İcra </w:t>
            </w:r>
            <w:r w:rsidR="00AA5C8C" w:rsidRPr="00A23740">
              <w:rPr>
                <w:rStyle w:val="MaviChar"/>
              </w:rPr>
              <w:t>ve iflas</w:t>
            </w:r>
            <w:r w:rsidR="00AA5C8C" w:rsidRPr="00A23740">
              <w:rPr>
                <w:rFonts w:eastAsia="Times New Roman"/>
                <w:szCs w:val="24"/>
                <w:lang w:eastAsia="tr-TR"/>
              </w:rPr>
              <w:t xml:space="preserve"> dairesi haczedilen hakların muhafazasın</w:t>
            </w:r>
            <w:r w:rsidR="00AA5C8C" w:rsidRPr="00A23740">
              <w:rPr>
                <w:rStyle w:val="MAVChar"/>
                <w:rFonts w:eastAsia="Calibri"/>
                <w:u w:val="none"/>
              </w:rPr>
              <w:t>ı</w:t>
            </w:r>
            <w:r w:rsidR="00AA5C8C" w:rsidRPr="00A23740">
              <w:rPr>
                <w:rFonts w:eastAsia="Times New Roman"/>
                <w:szCs w:val="24"/>
                <w:lang w:eastAsia="tr-TR"/>
              </w:rPr>
              <w:t xml:space="preserve"> ve alacaklardan günü gelenlerin tahsilin</w:t>
            </w:r>
            <w:r w:rsidR="00AA5C8C" w:rsidRPr="00A23740">
              <w:rPr>
                <w:rStyle w:val="MAVChar"/>
                <w:rFonts w:eastAsia="Calibri"/>
                <w:u w:val="none"/>
              </w:rPr>
              <w:t>i</w:t>
            </w:r>
            <w:r w:rsidR="00AA5C8C" w:rsidRPr="00A23740">
              <w:rPr>
                <w:rFonts w:eastAsia="Times New Roman"/>
                <w:szCs w:val="24"/>
                <w:lang w:eastAsia="tr-TR"/>
              </w:rPr>
              <w:t xml:space="preserve"> </w:t>
            </w:r>
            <w:r w:rsidR="00AA5C8C" w:rsidRPr="00A23740">
              <w:rPr>
                <w:rStyle w:val="MAVChar"/>
                <w:rFonts w:eastAsia="Calibri"/>
                <w:u w:val="none"/>
              </w:rPr>
              <w:t>sağlar</w:t>
            </w:r>
            <w:r w:rsidR="0049041C" w:rsidRPr="00A23740">
              <w:rPr>
                <w:rStyle w:val="MAVChar"/>
                <w:rFonts w:eastAsia="Calibri"/>
                <w:u w:val="none"/>
              </w:rPr>
              <w:t>. Bunun için</w:t>
            </w:r>
            <w:r w:rsidR="00AA5C8C" w:rsidRPr="00A23740">
              <w:rPr>
                <w:rFonts w:eastAsia="Times New Roman"/>
                <w:szCs w:val="24"/>
                <w:lang w:eastAsia="tr-TR"/>
              </w:rPr>
              <w:t xml:space="preserve"> </w:t>
            </w:r>
            <w:r w:rsidR="00AA5C8C" w:rsidRPr="00A23740">
              <w:rPr>
                <w:rFonts w:eastAsia="Times New Roman"/>
                <w:b/>
                <w:color w:val="0000FF"/>
                <w:szCs w:val="24"/>
                <w:lang w:eastAsia="tr-TR"/>
              </w:rPr>
              <w:t>gerekli olan</w:t>
            </w:r>
            <w:r w:rsidR="00AA5C8C" w:rsidRPr="00A23740">
              <w:rPr>
                <w:rFonts w:eastAsia="Times New Roman"/>
                <w:szCs w:val="24"/>
                <w:lang w:eastAsia="tr-TR"/>
              </w:rPr>
              <w:t xml:space="preserve"> </w:t>
            </w:r>
            <w:r w:rsidR="0049041C" w:rsidRPr="00A23740">
              <w:rPr>
                <w:rStyle w:val="MaviChar"/>
              </w:rPr>
              <w:t>giderler</w:t>
            </w:r>
            <w:r w:rsidR="00AA5C8C" w:rsidRPr="00A23740">
              <w:rPr>
                <w:rFonts w:eastAsia="Times New Roman"/>
                <w:szCs w:val="24"/>
                <w:lang w:eastAsia="tr-TR"/>
              </w:rPr>
              <w:t xml:space="preserve"> peşin</w:t>
            </w:r>
            <w:r w:rsidR="0049041C" w:rsidRPr="00A23740">
              <w:rPr>
                <w:rFonts w:eastAsia="Times New Roman"/>
                <w:szCs w:val="24"/>
                <w:lang w:eastAsia="tr-TR"/>
              </w:rPr>
              <w:t xml:space="preserve"> </w:t>
            </w:r>
            <w:r w:rsidR="0049041C" w:rsidRPr="00A23740">
              <w:rPr>
                <w:rStyle w:val="MaviChar"/>
              </w:rPr>
              <w:t>olarak ödenir.</w:t>
            </w:r>
            <w:r w:rsidR="00AA5C8C" w:rsidRPr="00A23740">
              <w:rPr>
                <w:rFonts w:eastAsia="Times New Roman"/>
                <w:szCs w:val="24"/>
                <w:lang w:eastAsia="tr-TR"/>
              </w:rPr>
              <w:t xml:space="preserve"> </w:t>
            </w:r>
          </w:p>
          <w:p w:rsidR="0025794C" w:rsidRPr="00A23740" w:rsidRDefault="0025794C" w:rsidP="009431FF">
            <w:pPr>
              <w:pStyle w:val="KIRMIZI"/>
            </w:pPr>
          </w:p>
        </w:tc>
      </w:tr>
      <w:tr w:rsidR="009E50AB" w:rsidRPr="00A23740" w:rsidTr="009431FF">
        <w:tblPrEx>
          <w:tblLook w:val="01E0" w:firstRow="1" w:lastRow="1" w:firstColumn="1" w:lastColumn="1" w:noHBand="0" w:noVBand="0"/>
        </w:tblPrEx>
        <w:tc>
          <w:tcPr>
            <w:tcW w:w="5000" w:type="pct"/>
            <w:gridSpan w:val="2"/>
            <w:shd w:val="clear" w:color="auto" w:fill="DEEAF6"/>
          </w:tcPr>
          <w:p w:rsidR="00835536" w:rsidRPr="00A23740" w:rsidRDefault="00835536" w:rsidP="009431FF">
            <w:pPr>
              <w:tabs>
                <w:tab w:val="left" w:pos="567"/>
              </w:tabs>
              <w:ind w:firstLine="709"/>
              <w:rPr>
                <w:b/>
              </w:rPr>
            </w:pPr>
          </w:p>
          <w:p w:rsidR="009E50AB" w:rsidRPr="00A23740" w:rsidRDefault="009E50AB" w:rsidP="009431FF">
            <w:pPr>
              <w:tabs>
                <w:tab w:val="left" w:pos="567"/>
              </w:tabs>
              <w:ind w:firstLine="709"/>
              <w:rPr>
                <w:rFonts w:eastAsia="Times New Roman"/>
                <w:szCs w:val="24"/>
                <w:lang w:eastAsia="tr-TR"/>
              </w:rPr>
            </w:pPr>
            <w:r w:rsidRPr="00A23740">
              <w:rPr>
                <w:b/>
              </w:rPr>
              <w:t>M</w:t>
            </w:r>
            <w:r w:rsidR="0025794C" w:rsidRPr="00A23740">
              <w:rPr>
                <w:b/>
              </w:rPr>
              <w:t>ADDE 196-</w:t>
            </w:r>
            <w:r w:rsidRPr="00A23740">
              <w:rPr>
                <w:b/>
              </w:rPr>
              <w:t xml:space="preserve"> </w:t>
            </w:r>
            <w:r w:rsidRPr="00A23740">
              <w:rPr>
                <w:rFonts w:eastAsia="Times New Roman"/>
                <w:szCs w:val="24"/>
                <w:lang w:eastAsia="tr-TR"/>
              </w:rPr>
              <w:t>Maddeyle</w:t>
            </w:r>
            <w:r w:rsidR="002E43F1" w:rsidRPr="00A23740">
              <w:rPr>
                <w:rFonts w:eastAsia="Times New Roman"/>
                <w:szCs w:val="24"/>
                <w:lang w:eastAsia="tr-TR"/>
              </w:rPr>
              <w:t>,</w:t>
            </w:r>
            <w:r w:rsidRPr="00A23740">
              <w:rPr>
                <w:rFonts w:eastAsia="Times New Roman"/>
                <w:szCs w:val="24"/>
                <w:lang w:eastAsia="tr-TR"/>
              </w:rPr>
              <w:t xml:space="preserve"> alacaklının haczini talep ettiği hakların muhafazası, alacaklarından günü gelenlerinin tahsili ile ödenmesi gereken giderlerin ödenmesi hususu düzenlenm</w:t>
            </w:r>
            <w:r w:rsidR="00AE57E0" w:rsidRPr="00A23740">
              <w:rPr>
                <w:rFonts w:eastAsia="Times New Roman"/>
                <w:szCs w:val="24"/>
                <w:lang w:eastAsia="tr-TR"/>
              </w:rPr>
              <w:t xml:space="preserve">ektedir. Hüküm, 2004 sayılı Kanunun 90 ıncı maddesine karşılık gelmektedir. </w:t>
            </w:r>
          </w:p>
          <w:p w:rsidR="00AE57E0" w:rsidRPr="00A23740" w:rsidRDefault="00AE57E0" w:rsidP="007136A5">
            <w:pPr>
              <w:tabs>
                <w:tab w:val="left" w:pos="567"/>
              </w:tabs>
              <w:ind w:firstLine="709"/>
              <w:rPr>
                <w:rFonts w:eastAsia="Times New Roman"/>
                <w:b/>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ヒラギノ明朝 Pro W3"/>
                <w:b/>
                <w:strike/>
                <w:color w:val="FF0000"/>
                <w:szCs w:val="24"/>
              </w:rPr>
              <w:t>Mahcuz</w:t>
            </w:r>
            <w:r w:rsidRPr="00A23740">
              <w:rPr>
                <w:rFonts w:eastAsia="Times New Roman"/>
                <w:b/>
                <w:szCs w:val="24"/>
                <w:lang w:eastAsia="tr-TR"/>
              </w:rPr>
              <w:t xml:space="preserve"> malların muhafaza</w:t>
            </w:r>
            <w:r w:rsidRPr="00A23740">
              <w:rPr>
                <w:rFonts w:eastAsia="ヒラギノ明朝 Pro W3"/>
                <w:b/>
                <w:strike/>
                <w:color w:val="FF0000"/>
                <w:szCs w:val="24"/>
              </w:rPr>
              <w:t>sı</w:t>
            </w:r>
            <w:r w:rsidRPr="00A23740">
              <w:rPr>
                <w:rFonts w:eastAsia="Times New Roman"/>
                <w:b/>
                <w:szCs w:val="24"/>
                <w:lang w:eastAsia="tr-TR"/>
              </w:rPr>
              <w:t xml:space="preserve"> </w:t>
            </w:r>
            <w:r w:rsidRPr="00A23740">
              <w:rPr>
                <w:rStyle w:val="KIRMIZIChar"/>
                <w:rFonts w:eastAsia="Calibri"/>
              </w:rPr>
              <w:t>masrafları</w:t>
            </w:r>
            <w:r w:rsidRPr="00A23740">
              <w:rPr>
                <w:rFonts w:eastAsia="ヒラギノ明朝 Pro W3"/>
                <w:b/>
                <w:strike/>
                <w:color w:val="FF0000"/>
                <w:szCs w:val="24"/>
              </w:rPr>
              <w:t>:</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95 – (1)</w:t>
            </w:r>
            <w:r w:rsidRPr="00A23740">
              <w:rPr>
                <w:rFonts w:eastAsia="Times New Roman"/>
                <w:b/>
                <w:szCs w:val="24"/>
                <w:lang w:eastAsia="tr-TR"/>
              </w:rPr>
              <w:t xml:space="preserve"> </w:t>
            </w:r>
            <w:r w:rsidRPr="00A23740">
              <w:rPr>
                <w:rFonts w:eastAsia="Times New Roman"/>
                <w:szCs w:val="24"/>
                <w:lang w:eastAsia="tr-TR"/>
              </w:rPr>
              <w:t xml:space="preserve">Alacaklı haczedilen malların muhafaza </w:t>
            </w:r>
            <w:r w:rsidRPr="00A23740">
              <w:rPr>
                <w:rFonts w:eastAsia="ヒラギノ明朝 Pro W3"/>
                <w:b/>
                <w:strike/>
                <w:color w:val="FF0000"/>
                <w:szCs w:val="24"/>
              </w:rPr>
              <w:t>ve</w:t>
            </w:r>
            <w:r w:rsidRPr="00A23740">
              <w:rPr>
                <w:rFonts w:eastAsia="Times New Roman"/>
                <w:szCs w:val="24"/>
                <w:lang w:eastAsia="tr-TR"/>
              </w:rPr>
              <w:t xml:space="preserve"> idare ve işletilme</w:t>
            </w:r>
            <w:r w:rsidRPr="00A23740">
              <w:rPr>
                <w:rFonts w:eastAsia="ヒラギノ明朝 Pro W3"/>
                <w:b/>
                <w:strike/>
                <w:color w:val="FF0000"/>
                <w:szCs w:val="24"/>
              </w:rPr>
              <w:t>si masraflarını istenildiği takdirde peşin vermeğe mecburdur.</w:t>
            </w:r>
          </w:p>
          <w:p w:rsidR="00AA5C8C" w:rsidRPr="00A23740" w:rsidRDefault="00AA5C8C" w:rsidP="009431FF">
            <w:pPr>
              <w:tabs>
                <w:tab w:val="left" w:pos="540"/>
                <w:tab w:val="left" w:pos="567"/>
                <w:tab w:val="left" w:pos="2160"/>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Style w:val="MaviChar"/>
                <w:lang w:val="tr-TR"/>
              </w:rPr>
              <w:t>H</w:t>
            </w:r>
            <w:r w:rsidRPr="00A23740">
              <w:rPr>
                <w:rStyle w:val="MaviChar"/>
              </w:rPr>
              <w:t>acizli</w:t>
            </w:r>
            <w:r w:rsidRPr="00A23740">
              <w:rPr>
                <w:rFonts w:eastAsia="Times New Roman"/>
                <w:b/>
                <w:szCs w:val="24"/>
                <w:lang w:eastAsia="tr-TR"/>
              </w:rPr>
              <w:t xml:space="preserve"> malların muhafaza </w:t>
            </w:r>
            <w:r w:rsidRPr="00A23740">
              <w:rPr>
                <w:rStyle w:val="MaviChar"/>
              </w:rPr>
              <w:t>giderleri</w:t>
            </w:r>
          </w:p>
          <w:p w:rsidR="00AA5C8C" w:rsidRPr="00A23740" w:rsidRDefault="00AA5C8C" w:rsidP="009431FF">
            <w:pPr>
              <w:tabs>
                <w:tab w:val="left" w:pos="567"/>
              </w:tabs>
              <w:rPr>
                <w:rFonts w:eastAsia="Times New Roman"/>
                <w:b/>
                <w:color w:val="0000FF"/>
                <w:szCs w:val="24"/>
                <w:lang w:eastAsia="tr-TR"/>
              </w:rPr>
            </w:pPr>
            <w:r w:rsidRPr="00A23740">
              <w:rPr>
                <w:rStyle w:val="MAVChar"/>
                <w:rFonts w:eastAsia="Calibri"/>
                <w:u w:val="none"/>
              </w:rPr>
              <w:t xml:space="preserve">MADDE </w:t>
            </w:r>
            <w:r w:rsidR="0025794C" w:rsidRPr="00A23740">
              <w:rPr>
                <w:rStyle w:val="MaviChar"/>
              </w:rPr>
              <w:t>197</w:t>
            </w:r>
            <w:r w:rsidRPr="00A23740">
              <w:rPr>
                <w:rStyle w:val="MaviChar"/>
              </w:rPr>
              <w:t>-</w:t>
            </w:r>
            <w:r w:rsidRPr="00A23740">
              <w:rPr>
                <w:rStyle w:val="MAVChar"/>
                <w:rFonts w:eastAsia="Calibri"/>
                <w:u w:val="none"/>
              </w:rPr>
              <w:t xml:space="preserve">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Alacaklı</w:t>
            </w:r>
            <w:r w:rsidRPr="00A23740">
              <w:rPr>
                <w:rStyle w:val="MaviChar"/>
              </w:rPr>
              <w:t>,</w:t>
            </w:r>
            <w:r w:rsidRPr="00A23740">
              <w:rPr>
                <w:rFonts w:eastAsia="Times New Roman"/>
                <w:szCs w:val="24"/>
                <w:lang w:eastAsia="tr-TR"/>
              </w:rPr>
              <w:t xml:space="preserve"> haczedilen malların muhafaza</w:t>
            </w:r>
            <w:r w:rsidRPr="00A23740">
              <w:rPr>
                <w:rFonts w:eastAsia="Times New Roman"/>
                <w:b/>
                <w:color w:val="0000FF"/>
                <w:szCs w:val="24"/>
                <w:lang w:eastAsia="tr-TR"/>
              </w:rPr>
              <w:t>,</w:t>
            </w:r>
            <w:r w:rsidRPr="00A23740">
              <w:rPr>
                <w:rFonts w:eastAsia="Times New Roman"/>
                <w:szCs w:val="24"/>
                <w:lang w:eastAsia="tr-TR"/>
              </w:rPr>
              <w:t xml:space="preserve"> idare ve işletilme </w:t>
            </w:r>
            <w:r w:rsidRPr="00A23740">
              <w:rPr>
                <w:rFonts w:eastAsia="Times New Roman"/>
                <w:b/>
                <w:color w:val="0000FF"/>
                <w:szCs w:val="24"/>
                <w:lang w:eastAsia="tr-TR"/>
              </w:rPr>
              <w:t>giderlerini avans olarak ödemek zorundadır.</w:t>
            </w:r>
          </w:p>
          <w:p w:rsidR="00AA5C8C" w:rsidRPr="00A23740" w:rsidRDefault="00AA5C8C" w:rsidP="009431FF">
            <w:pPr>
              <w:tabs>
                <w:tab w:val="left" w:pos="540"/>
                <w:tab w:val="left" w:pos="567"/>
                <w:tab w:val="left" w:pos="2160"/>
              </w:tabs>
              <w:rPr>
                <w:rFonts w:eastAsia="Times New Roman"/>
                <w:b/>
                <w:color w:val="FF0000"/>
                <w:szCs w:val="24"/>
                <w:lang w:eastAsia="tr-TR"/>
              </w:rPr>
            </w:pPr>
          </w:p>
          <w:p w:rsidR="00AA5C8C" w:rsidRPr="00A23740" w:rsidRDefault="00AA5C8C" w:rsidP="009431FF">
            <w:pPr>
              <w:tabs>
                <w:tab w:val="left" w:pos="540"/>
                <w:tab w:val="left" w:pos="567"/>
                <w:tab w:val="left" w:pos="2160"/>
              </w:tabs>
              <w:rPr>
                <w:rFonts w:eastAsia="Times New Roman"/>
                <w:szCs w:val="24"/>
                <w:lang w:eastAsia="tr-TR"/>
              </w:rPr>
            </w:pPr>
          </w:p>
        </w:tc>
      </w:tr>
      <w:tr w:rsidR="009E50AB" w:rsidRPr="00A23740" w:rsidTr="009431FF">
        <w:tblPrEx>
          <w:tblLook w:val="01E0" w:firstRow="1" w:lastRow="1" w:firstColumn="1" w:lastColumn="1" w:noHBand="0" w:noVBand="0"/>
        </w:tblPrEx>
        <w:tc>
          <w:tcPr>
            <w:tcW w:w="5000" w:type="pct"/>
            <w:gridSpan w:val="2"/>
            <w:shd w:val="clear" w:color="auto" w:fill="DEEAF6"/>
          </w:tcPr>
          <w:p w:rsidR="00A52788" w:rsidRPr="00A23740" w:rsidRDefault="00A52788" w:rsidP="009431FF">
            <w:pPr>
              <w:tabs>
                <w:tab w:val="left" w:pos="567"/>
              </w:tabs>
              <w:ind w:firstLine="709"/>
              <w:rPr>
                <w:rFonts w:eastAsia="Times New Roman"/>
                <w:b/>
                <w:szCs w:val="24"/>
                <w:lang w:eastAsia="tr-TR"/>
              </w:rPr>
            </w:pPr>
          </w:p>
          <w:p w:rsidR="00AE57E0" w:rsidRPr="00A23740" w:rsidRDefault="0025794C" w:rsidP="009431FF">
            <w:pPr>
              <w:tabs>
                <w:tab w:val="left" w:pos="567"/>
              </w:tabs>
              <w:ind w:firstLine="709"/>
              <w:rPr>
                <w:rFonts w:eastAsia="Times New Roman"/>
                <w:b/>
                <w:szCs w:val="24"/>
                <w:lang w:eastAsia="tr-TR"/>
              </w:rPr>
            </w:pPr>
            <w:r w:rsidRPr="00A23740">
              <w:rPr>
                <w:rFonts w:eastAsia="Times New Roman"/>
                <w:b/>
                <w:szCs w:val="24"/>
                <w:lang w:eastAsia="tr-TR"/>
              </w:rPr>
              <w:t>MADDE 197-</w:t>
            </w:r>
            <w:r w:rsidR="00A52788" w:rsidRPr="00A23740">
              <w:rPr>
                <w:rFonts w:eastAsia="Times New Roman"/>
                <w:b/>
                <w:szCs w:val="24"/>
                <w:lang w:eastAsia="tr-TR"/>
              </w:rPr>
              <w:t xml:space="preserve"> </w:t>
            </w:r>
            <w:r w:rsidR="00AE57E0" w:rsidRPr="00A23740">
              <w:rPr>
                <w:rFonts w:eastAsia="Times New Roman"/>
                <w:bCs/>
                <w:szCs w:val="24"/>
                <w:lang w:eastAsia="tr-TR"/>
              </w:rPr>
              <w:t>Maddeyle</w:t>
            </w:r>
            <w:r w:rsidR="002E43F1" w:rsidRPr="00A23740">
              <w:rPr>
                <w:rFonts w:eastAsia="Times New Roman"/>
                <w:bCs/>
                <w:szCs w:val="24"/>
                <w:lang w:eastAsia="tr-TR"/>
              </w:rPr>
              <w:t>,</w:t>
            </w:r>
            <w:r w:rsidR="00AE57E0" w:rsidRPr="00A23740">
              <w:rPr>
                <w:rFonts w:eastAsia="Times New Roman"/>
                <w:bCs/>
                <w:szCs w:val="24"/>
                <w:lang w:eastAsia="tr-TR"/>
              </w:rPr>
              <w:t xml:space="preserve"> satışın hızlandı</w:t>
            </w:r>
            <w:r w:rsidR="00A52788" w:rsidRPr="00A23740">
              <w:rPr>
                <w:rFonts w:eastAsia="Times New Roman"/>
                <w:bCs/>
                <w:szCs w:val="24"/>
                <w:lang w:eastAsia="tr-TR"/>
              </w:rPr>
              <w:t>r</w:t>
            </w:r>
            <w:r w:rsidR="00AE57E0" w:rsidRPr="00A23740">
              <w:rPr>
                <w:rFonts w:eastAsia="Times New Roman"/>
                <w:bCs/>
                <w:szCs w:val="24"/>
                <w:lang w:eastAsia="tr-TR"/>
              </w:rPr>
              <w:t>ı</w:t>
            </w:r>
            <w:r w:rsidR="00A52788" w:rsidRPr="00A23740">
              <w:rPr>
                <w:rFonts w:eastAsia="Times New Roman"/>
                <w:bCs/>
                <w:szCs w:val="24"/>
                <w:lang w:eastAsia="tr-TR"/>
              </w:rPr>
              <w:t>lması bakımından alacaklının haczini talep ettiği malların muhafaza, idare ve işletilme giderlerini avans olarak ödemesi gerekti</w:t>
            </w:r>
            <w:r w:rsidR="00AE57E0" w:rsidRPr="00A23740">
              <w:rPr>
                <w:rFonts w:eastAsia="Times New Roman"/>
                <w:bCs/>
                <w:szCs w:val="24"/>
                <w:lang w:eastAsia="tr-TR"/>
              </w:rPr>
              <w:t xml:space="preserve">ği düzenlenmektedir. Hüküm, 2004 sayılı Kanunun 95 inci maddesine karşılık gelmektedir. </w:t>
            </w:r>
          </w:p>
          <w:p w:rsidR="000C14D5" w:rsidRPr="00A23740" w:rsidRDefault="000C14D5" w:rsidP="007136A5">
            <w:pPr>
              <w:tabs>
                <w:tab w:val="left" w:pos="567"/>
              </w:tabs>
              <w:ind w:firstLine="709"/>
              <w:rPr>
                <w:rStyle w:val="MaviChar"/>
                <w:color w:val="FF0000"/>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Hacze iştirak derecelerinin </w:t>
            </w:r>
            <w:r w:rsidRPr="00A23740">
              <w:rPr>
                <w:rFonts w:eastAsia="Times New Roman"/>
                <w:b/>
                <w:strike/>
                <w:color w:val="FF0000"/>
                <w:szCs w:val="24"/>
                <w:lang w:eastAsia="tr-TR"/>
              </w:rPr>
              <w:t>teşkili: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100 – (1) İlk</w:t>
            </w:r>
            <w:r w:rsidRPr="00A23740">
              <w:rPr>
                <w:rFonts w:eastAsia="Times New Roman"/>
                <w:b/>
                <w:strike/>
                <w:color w:val="FF0000"/>
                <w:szCs w:val="24"/>
                <w:lang w:eastAsia="tr-TR"/>
              </w:rPr>
              <w:t xml:space="preserve"> haciz üzerine satılan</w:t>
            </w:r>
            <w:r w:rsidRPr="00A23740">
              <w:rPr>
                <w:rFonts w:eastAsia="Times New Roman"/>
                <w:szCs w:val="24"/>
                <w:lang w:eastAsia="tr-TR"/>
              </w:rPr>
              <w:t xml:space="preserve"> mal</w:t>
            </w:r>
            <w:r w:rsidRPr="00A23740">
              <w:rPr>
                <w:rFonts w:eastAsia="Times New Roman"/>
                <w:b/>
                <w:strike/>
                <w:color w:val="FF0000"/>
                <w:szCs w:val="24"/>
                <w:lang w:eastAsia="tr-TR"/>
              </w:rPr>
              <w:t>ın tutarı vezneye</w:t>
            </w:r>
            <w:r w:rsidRPr="00A23740">
              <w:rPr>
                <w:rFonts w:eastAsia="Times New Roman"/>
                <w:szCs w:val="24"/>
                <w:lang w:eastAsia="tr-TR"/>
              </w:rPr>
              <w:t xml:space="preserve"> </w:t>
            </w:r>
            <w:r w:rsidRPr="00A23740">
              <w:rPr>
                <w:rFonts w:eastAsia="Times New Roman"/>
                <w:b/>
                <w:strike/>
                <w:color w:val="FF0000"/>
                <w:szCs w:val="24"/>
                <w:lang w:eastAsia="tr-TR"/>
              </w:rPr>
              <w:t>girinciye</w:t>
            </w:r>
            <w:r w:rsidRPr="00A23740">
              <w:rPr>
                <w:rFonts w:eastAsia="Times New Roman"/>
                <w:szCs w:val="24"/>
                <w:lang w:eastAsia="tr-TR"/>
              </w:rPr>
              <w:t xml:space="preserve"> kadar aynı derecede hacze iştirak ede</w:t>
            </w:r>
            <w:r w:rsidRPr="00A23740">
              <w:rPr>
                <w:rStyle w:val="KIRMIZIChar"/>
                <w:rFonts w:eastAsia="Calibri"/>
              </w:rPr>
              <w:t>bilecek alacaklılar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1 –</w:t>
            </w:r>
            <w:r w:rsidRPr="00A23740">
              <w:rPr>
                <w:rFonts w:eastAsia="Times New Roman"/>
                <w:szCs w:val="24"/>
                <w:lang w:eastAsia="tr-TR"/>
              </w:rPr>
              <w:t xml:space="preserve"> </w:t>
            </w:r>
            <w:r w:rsidRPr="00A23740">
              <w:rPr>
                <w:rStyle w:val="KIRMIZIChar"/>
                <w:rFonts w:eastAsia="Calibri"/>
              </w:rPr>
              <w:t>İlk</w:t>
            </w:r>
            <w:r w:rsidRPr="00A23740">
              <w:rPr>
                <w:rFonts w:eastAsia="Times New Roman"/>
                <w:szCs w:val="24"/>
                <w:lang w:eastAsia="tr-TR"/>
              </w:rPr>
              <w:t xml:space="preserve"> haciz ilamsız takibe </w:t>
            </w:r>
            <w:r w:rsidRPr="00A23740">
              <w:rPr>
                <w:rFonts w:eastAsia="Times New Roman"/>
                <w:b/>
                <w:strike/>
                <w:color w:val="FF0000"/>
                <w:szCs w:val="24"/>
                <w:lang w:eastAsia="tr-TR"/>
              </w:rPr>
              <w:t>müstenitse</w:t>
            </w:r>
            <w:r w:rsidRPr="00A23740">
              <w:rPr>
                <w:rFonts w:eastAsia="Times New Roman"/>
                <w:szCs w:val="24"/>
                <w:lang w:eastAsia="tr-TR"/>
              </w:rPr>
              <w:t xml:space="preserve"> takip talebinden ve ilama </w:t>
            </w:r>
            <w:r w:rsidRPr="00A23740">
              <w:rPr>
                <w:rFonts w:eastAsia="Times New Roman"/>
                <w:b/>
                <w:strike/>
                <w:color w:val="FF0000"/>
                <w:szCs w:val="24"/>
                <w:lang w:eastAsia="tr-TR"/>
              </w:rPr>
              <w:t>istinat ediyorsa</w:t>
            </w:r>
            <w:r w:rsidRPr="00A23740">
              <w:rPr>
                <w:rFonts w:eastAsia="Times New Roman"/>
                <w:szCs w:val="24"/>
                <w:lang w:eastAsia="tr-TR"/>
              </w:rPr>
              <w:t xml:space="preserve"> dava </w:t>
            </w:r>
            <w:r w:rsidRPr="00A23740">
              <w:rPr>
                <w:rFonts w:eastAsia="Times New Roman"/>
                <w:b/>
                <w:strike/>
                <w:color w:val="FF0000"/>
                <w:szCs w:val="24"/>
                <w:lang w:eastAsia="tr-TR"/>
              </w:rPr>
              <w:t>ikamesinden mukaddem</w:t>
            </w:r>
            <w:r w:rsidRPr="00A23740">
              <w:rPr>
                <w:rFonts w:eastAsia="Times New Roman"/>
                <w:szCs w:val="24"/>
                <w:lang w:eastAsia="tr-TR"/>
              </w:rPr>
              <w:t xml:space="preserve"> yapılmış bir takip üzerine alınan aciz </w:t>
            </w:r>
            <w:r w:rsidRPr="00A23740">
              <w:rPr>
                <w:rFonts w:eastAsia="Times New Roman"/>
                <w:b/>
                <w:strike/>
                <w:color w:val="FF0000"/>
                <w:szCs w:val="24"/>
                <w:lang w:eastAsia="tr-TR"/>
              </w:rPr>
              <w:t>vesikasına,</w:t>
            </w:r>
          </w:p>
          <w:p w:rsidR="000A2887" w:rsidRPr="00A23740" w:rsidRDefault="000A2887" w:rsidP="009431FF">
            <w:pPr>
              <w:tabs>
                <w:tab w:val="left" w:pos="567"/>
              </w:tabs>
              <w:rPr>
                <w:rFonts w:eastAsia="Times New Roman"/>
                <w:szCs w:val="24"/>
                <w:lang w:eastAsia="tr-TR"/>
              </w:rPr>
            </w:pPr>
          </w:p>
          <w:p w:rsidR="00AA5C8C" w:rsidRPr="00A23740" w:rsidRDefault="00AA5C8C" w:rsidP="009431FF">
            <w:pPr>
              <w:tabs>
                <w:tab w:val="left" w:pos="567"/>
              </w:tabs>
              <w:rPr>
                <w:rStyle w:val="KIRMIZIChar"/>
                <w:rFonts w:eastAsia="Calibri"/>
              </w:rPr>
            </w:pPr>
            <w:r w:rsidRPr="00A23740">
              <w:rPr>
                <w:rFonts w:eastAsia="Times New Roman"/>
                <w:b/>
                <w:strike/>
                <w:color w:val="FF0000"/>
                <w:szCs w:val="24"/>
                <w:lang w:eastAsia="tr-TR"/>
              </w:rPr>
              <w:t>2 –</w:t>
            </w:r>
            <w:r w:rsidRPr="00A23740">
              <w:rPr>
                <w:rFonts w:eastAsia="Times New Roman"/>
                <w:szCs w:val="24"/>
                <w:lang w:eastAsia="tr-TR"/>
              </w:rPr>
              <w:t xml:space="preserve"> </w:t>
            </w:r>
            <w:r w:rsidRPr="00A23740">
              <w:rPr>
                <w:rStyle w:val="KIRMIZIChar"/>
                <w:rFonts w:eastAsia="Calibri"/>
              </w:rPr>
              <w:t>Yukarki</w:t>
            </w:r>
            <w:r w:rsidRPr="00A23740">
              <w:rPr>
                <w:rFonts w:eastAsia="Times New Roman"/>
                <w:szCs w:val="24"/>
                <w:lang w:eastAsia="tr-TR"/>
              </w:rPr>
              <w:t xml:space="preserve"> </w:t>
            </w:r>
            <w:r w:rsidRPr="00A23740">
              <w:rPr>
                <w:rFonts w:eastAsia="Times New Roman"/>
                <w:b/>
                <w:strike/>
                <w:color w:val="FF0000"/>
                <w:szCs w:val="24"/>
                <w:lang w:eastAsia="tr-TR"/>
              </w:rPr>
              <w:t>fıkrada</w:t>
            </w:r>
            <w:r w:rsidRPr="00A23740">
              <w:rPr>
                <w:rFonts w:eastAsia="Times New Roman"/>
                <w:szCs w:val="24"/>
                <w:lang w:eastAsia="tr-TR"/>
              </w:rPr>
              <w:t xml:space="preserve"> yazılı tarihlerden önce açılmış bir dava üzerine alınan ilam</w:t>
            </w:r>
            <w:r w:rsidRPr="00A23740">
              <w:rPr>
                <w:rStyle w:val="KIRMIZIChar"/>
                <w:rFonts w:eastAsia="Calibri"/>
              </w:rPr>
              <w:t>a,</w:t>
            </w:r>
          </w:p>
          <w:p w:rsidR="000A2887" w:rsidRPr="00A23740" w:rsidRDefault="000A2887"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3 –</w:t>
            </w:r>
            <w:r w:rsidRPr="00A23740">
              <w:rPr>
                <w:rFonts w:eastAsia="Times New Roman"/>
                <w:szCs w:val="24"/>
                <w:lang w:eastAsia="tr-TR"/>
              </w:rPr>
              <w:t xml:space="preserve"> </w:t>
            </w:r>
            <w:r w:rsidRPr="00A23740">
              <w:rPr>
                <w:rStyle w:val="KIRMIZIChar"/>
                <w:rFonts w:eastAsia="Calibri"/>
              </w:rPr>
              <w:t>Aynı</w:t>
            </w:r>
            <w:r w:rsidRPr="00A23740">
              <w:rPr>
                <w:rFonts w:eastAsia="Times New Roman"/>
                <w:szCs w:val="24"/>
                <w:lang w:eastAsia="tr-TR"/>
              </w:rPr>
              <w:t xml:space="preserve"> tarihlerden </w:t>
            </w:r>
            <w:r w:rsidRPr="00A23740">
              <w:rPr>
                <w:rFonts w:eastAsia="Times New Roman"/>
                <w:b/>
                <w:strike/>
                <w:color w:val="FF0000"/>
                <w:szCs w:val="24"/>
                <w:lang w:eastAsia="tr-TR"/>
              </w:rPr>
              <w:t>mukaddem</w:t>
            </w:r>
            <w:r w:rsidRPr="00A23740">
              <w:rPr>
                <w:rFonts w:eastAsia="Times New Roman"/>
                <w:szCs w:val="24"/>
                <w:lang w:eastAsia="tr-TR"/>
              </w:rPr>
              <w:t xml:space="preserve"> tarihli resmi veya tarih ve imzası </w:t>
            </w:r>
            <w:r w:rsidRPr="00A23740">
              <w:rPr>
                <w:rStyle w:val="KIRMIZIChar"/>
                <w:rFonts w:eastAsia="Calibri"/>
              </w:rPr>
              <w:t>tasdikli</w:t>
            </w:r>
            <w:r w:rsidRPr="00A23740">
              <w:rPr>
                <w:rFonts w:eastAsia="Times New Roman"/>
                <w:szCs w:val="24"/>
                <w:lang w:eastAsia="tr-TR"/>
              </w:rPr>
              <w:t xml:space="preserve"> bir sene</w:t>
            </w:r>
            <w:r w:rsidRPr="00A23740">
              <w:rPr>
                <w:rFonts w:eastAsia="Times New Roman"/>
                <w:b/>
                <w:strike/>
                <w:color w:val="FF0000"/>
                <w:szCs w:val="24"/>
                <w:lang w:eastAsia="tr-TR"/>
              </w:rPr>
              <w:t>de,</w:t>
            </w:r>
          </w:p>
          <w:p w:rsidR="000A2887" w:rsidRPr="00A23740" w:rsidRDefault="000A2887"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4 –</w:t>
            </w:r>
            <w:r w:rsidRPr="00A23740">
              <w:rPr>
                <w:rFonts w:eastAsia="Times New Roman"/>
                <w:szCs w:val="24"/>
                <w:lang w:eastAsia="tr-TR"/>
              </w:rPr>
              <w:t xml:space="preserve"> </w:t>
            </w:r>
            <w:r w:rsidRPr="00A23740">
              <w:rPr>
                <w:rStyle w:val="KIRMIZIChar"/>
                <w:rFonts w:eastAsia="Calibri"/>
              </w:rPr>
              <w:t>Aynı tarihlerden mukaddem</w:t>
            </w:r>
            <w:r w:rsidRPr="00A23740">
              <w:rPr>
                <w:rFonts w:eastAsia="Times New Roman"/>
                <w:szCs w:val="24"/>
                <w:lang w:eastAsia="tr-TR"/>
              </w:rPr>
              <w:t xml:space="preserve"> tarihli resmi dairelerin veya yetkili makamların yetkileri dahilinde ve usulüne göre verdikleri makbuz veya </w:t>
            </w:r>
            <w:r w:rsidRPr="00A23740">
              <w:rPr>
                <w:rStyle w:val="KIRMIZIChar"/>
                <w:rFonts w:eastAsia="Calibri"/>
              </w:rPr>
              <w:t>vesikaya istinat eden alacaklılardır</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 Bu</w:t>
            </w:r>
            <w:r w:rsidRPr="00A23740">
              <w:rPr>
                <w:rFonts w:eastAsia="Times New Roman"/>
                <w:b/>
                <w:strike/>
                <w:color w:val="FF0000"/>
                <w:szCs w:val="24"/>
                <w:lang w:eastAsia="tr-TR"/>
              </w:rPr>
              <w:t xml:space="preserve"> suretle</w:t>
            </w:r>
            <w:r w:rsidRPr="00A23740">
              <w:rPr>
                <w:rFonts w:eastAsia="Times New Roman"/>
                <w:szCs w:val="24"/>
                <w:lang w:eastAsia="tr-TR"/>
              </w:rPr>
              <w:t xml:space="preserve"> iştirak </w:t>
            </w:r>
            <w:r w:rsidRPr="00A23740">
              <w:rPr>
                <w:rStyle w:val="KIRMIZIChar"/>
                <w:rFonts w:eastAsia="Calibri"/>
              </w:rPr>
              <w:t>halinde</w:t>
            </w:r>
            <w:r w:rsidRPr="00A23740">
              <w:rPr>
                <w:rFonts w:eastAsia="Times New Roman"/>
                <w:szCs w:val="24"/>
                <w:lang w:eastAsia="tr-TR"/>
              </w:rPr>
              <w:t xml:space="preserve"> icra dairesi </w:t>
            </w:r>
            <w:r w:rsidRPr="00A23740">
              <w:rPr>
                <w:rFonts w:eastAsia="Times New Roman"/>
                <w:b/>
                <w:strike/>
                <w:color w:val="FF0000"/>
                <w:szCs w:val="24"/>
                <w:lang w:eastAsia="tr-TR"/>
              </w:rPr>
              <w:t>müracaat</w:t>
            </w:r>
            <w:r w:rsidRPr="00A23740">
              <w:rPr>
                <w:rFonts w:eastAsia="Times New Roman"/>
                <w:szCs w:val="24"/>
                <w:lang w:eastAsia="tr-TR"/>
              </w:rPr>
              <w:t xml:space="preserve"> üzerine aynı derecedeki alacaklıların bütün alacaklarına yetecek </w:t>
            </w:r>
            <w:r w:rsidRPr="00A23740">
              <w:rPr>
                <w:rFonts w:eastAsia="Times New Roman"/>
                <w:b/>
                <w:strike/>
                <w:color w:val="FF0000"/>
                <w:szCs w:val="24"/>
                <w:lang w:eastAsia="tr-TR"/>
              </w:rPr>
              <w:t>nispette</w:t>
            </w:r>
            <w:r w:rsidRPr="00A23740">
              <w:rPr>
                <w:rFonts w:eastAsia="Times New Roman"/>
                <w:szCs w:val="24"/>
                <w:lang w:eastAsia="tr-TR"/>
              </w:rPr>
              <w:t xml:space="preserve"> ilave </w:t>
            </w:r>
            <w:r w:rsidRPr="00A23740">
              <w:rPr>
                <w:rFonts w:eastAsia="Times New Roman"/>
                <w:b/>
                <w:strike/>
                <w:color w:val="FF0000"/>
                <w:szCs w:val="24"/>
                <w:lang w:eastAsia="tr-TR"/>
              </w:rPr>
              <w:t xml:space="preserve">suretiyle </w:t>
            </w:r>
            <w:r w:rsidRPr="00A23740">
              <w:rPr>
                <w:rFonts w:eastAsia="Times New Roman"/>
                <w:szCs w:val="24"/>
                <w:lang w:eastAsia="tr-TR"/>
              </w:rPr>
              <w:t>hacizler yapar.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(3) Bunların</w:t>
            </w:r>
            <w:r w:rsidRPr="00A23740">
              <w:rPr>
                <w:rFonts w:eastAsia="Times New Roman"/>
                <w:b/>
                <w:strike/>
                <w:color w:val="FF0000"/>
                <w:szCs w:val="24"/>
                <w:lang w:eastAsia="tr-TR"/>
              </w:rPr>
              <w:t xml:space="preserve"> haricindeki</w:t>
            </w:r>
            <w:r w:rsidRPr="00A23740">
              <w:rPr>
                <w:rFonts w:eastAsia="Times New Roman"/>
                <w:szCs w:val="24"/>
                <w:lang w:eastAsia="tr-TR"/>
              </w:rPr>
              <w:t xml:space="preserve"> alacaklılar ancak, </w:t>
            </w:r>
            <w:r w:rsidRPr="00A23740">
              <w:rPr>
                <w:rFonts w:eastAsia="Times New Roman"/>
                <w:b/>
                <w:strike/>
                <w:color w:val="FF0000"/>
                <w:szCs w:val="24"/>
                <w:lang w:eastAsia="tr-TR"/>
              </w:rPr>
              <w:t>evvelki</w:t>
            </w:r>
            <w:r w:rsidRPr="00A23740">
              <w:rPr>
                <w:rFonts w:eastAsia="Times New Roman"/>
                <w:szCs w:val="24"/>
                <w:lang w:eastAsia="tr-TR"/>
              </w:rPr>
              <w:t xml:space="preserve"> dereceden arta</w:t>
            </w:r>
            <w:r w:rsidRPr="00A23740">
              <w:rPr>
                <w:rFonts w:eastAsia="Times New Roman"/>
                <w:b/>
                <w:strike/>
                <w:color w:val="FF0000"/>
                <w:szCs w:val="24"/>
                <w:lang w:eastAsia="tr-TR"/>
              </w:rPr>
              <w:t>cak</w:t>
            </w:r>
            <w:r w:rsidRPr="00A23740">
              <w:rPr>
                <w:rFonts w:eastAsia="Times New Roman"/>
                <w:szCs w:val="24"/>
                <w:lang w:eastAsia="tr-TR"/>
              </w:rPr>
              <w:t xml:space="preserve"> </w:t>
            </w:r>
            <w:r w:rsidRPr="00A23740">
              <w:rPr>
                <w:rFonts w:eastAsia="Times New Roman"/>
                <w:b/>
                <w:strike/>
                <w:color w:val="FF0000"/>
                <w:szCs w:val="24"/>
                <w:lang w:eastAsia="tr-TR"/>
              </w:rPr>
              <w:t>bedeller</w:t>
            </w:r>
            <w:r w:rsidRPr="00A23740">
              <w:rPr>
                <w:rFonts w:eastAsia="Times New Roman"/>
                <w:szCs w:val="24"/>
                <w:lang w:eastAsia="tr-TR"/>
              </w:rPr>
              <w:t xml:space="preserve"> için hacze iştirak edebilirler.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pStyle w:val="Mavi"/>
              <w:jc w:val="center"/>
              <w:rPr>
                <w:lang w:val="tr-TR"/>
              </w:rPr>
            </w:pPr>
            <w:r w:rsidRPr="00A23740">
              <w:rPr>
                <w:lang w:val="tr-TR"/>
              </w:rPr>
              <w:t>ALTINCI AYRIM</w:t>
            </w:r>
          </w:p>
          <w:p w:rsidR="00AA5C8C" w:rsidRPr="00A23740" w:rsidRDefault="00AA5C8C" w:rsidP="009431FF">
            <w:pPr>
              <w:pStyle w:val="Mavi"/>
              <w:jc w:val="center"/>
              <w:rPr>
                <w:lang w:val="tr-TR"/>
              </w:rPr>
            </w:pPr>
            <w:r w:rsidRPr="00A23740">
              <w:rPr>
                <w:lang w:val="tr-TR"/>
              </w:rPr>
              <w:t>Hacze İştirak</w:t>
            </w: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Hacze iştirak derecelerinin </w:t>
            </w:r>
            <w:r w:rsidRPr="00A23740">
              <w:rPr>
                <w:rFonts w:eastAsia="Times New Roman"/>
                <w:b/>
                <w:color w:val="0000FF"/>
                <w:szCs w:val="24"/>
                <w:lang w:eastAsia="tr-TR"/>
              </w:rPr>
              <w:t>oluşturulması</w:t>
            </w:r>
          </w:p>
          <w:p w:rsidR="00AA5C8C" w:rsidRPr="00A23740" w:rsidRDefault="0025794C" w:rsidP="009431FF">
            <w:pPr>
              <w:tabs>
                <w:tab w:val="left" w:pos="567"/>
              </w:tabs>
              <w:rPr>
                <w:rFonts w:eastAsia="Times New Roman"/>
                <w:b/>
                <w:color w:val="0000FF"/>
                <w:szCs w:val="24"/>
                <w:lang w:eastAsia="tr-TR"/>
              </w:rPr>
            </w:pPr>
            <w:r w:rsidRPr="00A23740">
              <w:rPr>
                <w:rStyle w:val="MaviChar"/>
                <w:lang w:eastAsia="tr-TR"/>
              </w:rPr>
              <w:t>MADDE 198</w:t>
            </w:r>
            <w:r w:rsidR="00AA5C8C" w:rsidRPr="00A23740">
              <w:rPr>
                <w:rStyle w:val="MaviChar"/>
                <w:lang w:eastAsia="tr-TR"/>
              </w:rPr>
              <w:t>-</w:t>
            </w:r>
            <w:r w:rsidR="00AA5C8C" w:rsidRPr="00A23740">
              <w:rPr>
                <w:rStyle w:val="MAVChar"/>
                <w:rFonts w:eastAsia="Calibri"/>
                <w:u w:val="none"/>
              </w:rPr>
              <w:t xml:space="preserve"> (1</w:t>
            </w:r>
            <w:r w:rsidR="00AA5C8C" w:rsidRPr="00A23740">
              <w:rPr>
                <w:rFonts w:eastAsia="Times New Roman"/>
                <w:b/>
                <w:color w:val="0000FF"/>
                <w:szCs w:val="24"/>
                <w:lang w:eastAsia="tr-TR"/>
              </w:rPr>
              <w:t xml:space="preserve">) Aşağıda belirtilen </w:t>
            </w:r>
            <w:r w:rsidR="00AA5C8C" w:rsidRPr="00A23740">
              <w:rPr>
                <w:rStyle w:val="MaviChar"/>
              </w:rPr>
              <w:t>belgelere sahip</w:t>
            </w:r>
            <w:r w:rsidR="00AA5C8C" w:rsidRPr="00A23740">
              <w:rPr>
                <w:rFonts w:eastAsia="Times New Roman"/>
                <w:b/>
                <w:color w:val="0000FF"/>
                <w:szCs w:val="24"/>
                <w:lang w:eastAsia="tr-TR"/>
              </w:rPr>
              <w:t xml:space="preserve"> alacaklılar ihale yapılıncaya </w:t>
            </w:r>
            <w:r w:rsidR="00AA5C8C" w:rsidRPr="00A23740">
              <w:t>kadar aynı mal</w:t>
            </w:r>
            <w:r w:rsidR="00AA5C8C" w:rsidRPr="00A23740">
              <w:rPr>
                <w:rFonts w:eastAsia="Times New Roman"/>
                <w:b/>
                <w:color w:val="0000FF"/>
                <w:szCs w:val="24"/>
                <w:lang w:eastAsia="tr-TR"/>
              </w:rPr>
              <w:t xml:space="preserve">ı haczettirmek </w:t>
            </w:r>
            <w:r w:rsidR="00AA5C8C" w:rsidRPr="00A23740">
              <w:rPr>
                <w:rStyle w:val="MaviChar"/>
              </w:rPr>
              <w:t>ve talep etmek</w:t>
            </w:r>
            <w:r w:rsidR="00AA5C8C" w:rsidRPr="00A23740">
              <w:rPr>
                <w:rFonts w:eastAsia="Times New Roman"/>
                <w:b/>
                <w:color w:val="0000FF"/>
                <w:szCs w:val="24"/>
                <w:lang w:eastAsia="tr-TR"/>
              </w:rPr>
              <w:t xml:space="preserve"> şartıyla </w:t>
            </w:r>
            <w:r w:rsidR="00AA5C8C" w:rsidRPr="00A23740">
              <w:t>aynı derecede hacze iştirak ede</w:t>
            </w:r>
            <w:r w:rsidR="00AA5C8C" w:rsidRPr="00A23740">
              <w:rPr>
                <w:rFonts w:eastAsia="Times New Roman"/>
                <w:b/>
                <w:color w:val="0000FF"/>
                <w:szCs w:val="24"/>
                <w:lang w:eastAsia="tr-TR"/>
              </w:rPr>
              <w:t>rler:</w:t>
            </w: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Style w:val="MAVChar"/>
                <w:rFonts w:eastAsia="Calibri"/>
                <w:u w:val="none"/>
              </w:rPr>
            </w:pPr>
            <w:r w:rsidRPr="00A23740">
              <w:rPr>
                <w:rStyle w:val="MAVChar"/>
                <w:rFonts w:eastAsia="Calibri"/>
                <w:u w:val="none"/>
              </w:rPr>
              <w:t>a)</w:t>
            </w:r>
            <w:r w:rsidRPr="00A23740">
              <w:rPr>
                <w:rFonts w:eastAsia="Times New Roman"/>
                <w:szCs w:val="24"/>
                <w:lang w:eastAsia="tr-TR"/>
              </w:rPr>
              <w:t xml:space="preserve"> </w:t>
            </w:r>
            <w:r w:rsidRPr="00A23740">
              <w:rPr>
                <w:rStyle w:val="MAVChar"/>
                <w:rFonts w:eastAsia="Calibri"/>
                <w:u w:val="none"/>
              </w:rPr>
              <w:t>Önceki</w:t>
            </w:r>
            <w:r w:rsidRPr="00A23740">
              <w:rPr>
                <w:rFonts w:eastAsia="Times New Roman"/>
                <w:szCs w:val="24"/>
                <w:lang w:eastAsia="tr-TR"/>
              </w:rPr>
              <w:t xml:space="preserve"> haciz ilamsız takibe </w:t>
            </w:r>
            <w:r w:rsidRPr="00A23740">
              <w:rPr>
                <w:rStyle w:val="MAVChar"/>
                <w:rFonts w:eastAsia="Calibri"/>
                <w:u w:val="none"/>
              </w:rPr>
              <w:t>dayanıyorsa</w:t>
            </w:r>
            <w:r w:rsidRPr="00A23740">
              <w:rPr>
                <w:rFonts w:eastAsia="Times New Roman"/>
                <w:szCs w:val="24"/>
                <w:lang w:eastAsia="tr-TR"/>
              </w:rPr>
              <w:t xml:space="preserve"> takip talebinden ve ilama </w:t>
            </w:r>
            <w:r w:rsidRPr="00A23740">
              <w:rPr>
                <w:rStyle w:val="MAVChar"/>
                <w:rFonts w:eastAsia="Calibri"/>
                <w:u w:val="none"/>
              </w:rPr>
              <w:t>dayanıyorsa</w:t>
            </w:r>
            <w:r w:rsidRPr="00A23740">
              <w:rPr>
                <w:rFonts w:eastAsia="Times New Roman"/>
                <w:szCs w:val="24"/>
                <w:lang w:eastAsia="tr-TR"/>
              </w:rPr>
              <w:t xml:space="preserve"> dava</w:t>
            </w:r>
            <w:r w:rsidRPr="00A23740">
              <w:rPr>
                <w:rStyle w:val="MAVChar"/>
                <w:rFonts w:eastAsia="Calibri"/>
                <w:u w:val="none"/>
              </w:rPr>
              <w:t>nın açılmasından önce</w:t>
            </w:r>
            <w:r w:rsidRPr="00A23740">
              <w:rPr>
                <w:rFonts w:eastAsia="Times New Roman"/>
                <w:szCs w:val="24"/>
                <w:lang w:eastAsia="tr-TR"/>
              </w:rPr>
              <w:t xml:space="preserve"> yapılmış bir takip üzerine alınan aciz </w:t>
            </w:r>
            <w:r w:rsidRPr="00A23740">
              <w:rPr>
                <w:rStyle w:val="MAVChar"/>
                <w:rFonts w:eastAsia="Calibri"/>
                <w:u w:val="none"/>
              </w:rPr>
              <w:t>belgesi.</w:t>
            </w:r>
          </w:p>
          <w:p w:rsidR="000A2887" w:rsidRPr="00A23740" w:rsidRDefault="000A2887" w:rsidP="009431FF">
            <w:pPr>
              <w:tabs>
                <w:tab w:val="left" w:pos="567"/>
              </w:tabs>
              <w:rPr>
                <w:rFonts w:eastAsia="Times New Roman"/>
                <w:szCs w:val="24"/>
                <w:lang w:eastAsia="tr-TR"/>
              </w:rPr>
            </w:pPr>
          </w:p>
          <w:p w:rsidR="00AA5C8C" w:rsidRPr="00A23740" w:rsidRDefault="00AA5C8C" w:rsidP="009431FF">
            <w:pPr>
              <w:tabs>
                <w:tab w:val="left" w:pos="567"/>
              </w:tabs>
              <w:rPr>
                <w:rStyle w:val="MaviChar"/>
              </w:rPr>
            </w:pPr>
            <w:r w:rsidRPr="00A23740">
              <w:rPr>
                <w:rStyle w:val="MAVChar"/>
                <w:rFonts w:eastAsia="Calibri"/>
                <w:u w:val="none"/>
              </w:rPr>
              <w:t>b) (a) bendinde</w:t>
            </w:r>
            <w:r w:rsidRPr="00A23740">
              <w:rPr>
                <w:rFonts w:eastAsia="Times New Roman"/>
                <w:szCs w:val="24"/>
                <w:lang w:eastAsia="tr-TR"/>
              </w:rPr>
              <w:t xml:space="preserve"> yazılı tarihlerden önce açılmış bir dava üzerine alınan ilam</w:t>
            </w:r>
            <w:r w:rsidRPr="00A23740">
              <w:rPr>
                <w:rStyle w:val="MaviChar"/>
              </w:rPr>
              <w:t>.</w:t>
            </w:r>
          </w:p>
          <w:p w:rsidR="000A2887" w:rsidRPr="00A23740" w:rsidRDefault="000A2887" w:rsidP="009431FF">
            <w:pPr>
              <w:tabs>
                <w:tab w:val="left" w:pos="567"/>
              </w:tabs>
              <w:rPr>
                <w:rFonts w:eastAsia="Times New Roman"/>
                <w:szCs w:val="24"/>
                <w:lang w:eastAsia="tr-TR"/>
              </w:rPr>
            </w:pPr>
          </w:p>
          <w:p w:rsidR="00AA5C8C" w:rsidRPr="00A23740" w:rsidRDefault="00AA5C8C" w:rsidP="009431FF">
            <w:pPr>
              <w:tabs>
                <w:tab w:val="left" w:pos="567"/>
              </w:tabs>
              <w:rPr>
                <w:rStyle w:val="MaviChar"/>
                <w:color w:val="385623"/>
                <w:lang w:val="tr-TR"/>
              </w:rPr>
            </w:pPr>
            <w:r w:rsidRPr="00A23740">
              <w:rPr>
                <w:rStyle w:val="MAVChar"/>
                <w:rFonts w:eastAsia="Calibri"/>
                <w:u w:val="none"/>
              </w:rPr>
              <w:t>c)</w:t>
            </w:r>
            <w:r w:rsidRPr="00A23740">
              <w:rPr>
                <w:rFonts w:eastAsia="Times New Roman"/>
                <w:szCs w:val="24"/>
                <w:lang w:eastAsia="tr-TR"/>
              </w:rPr>
              <w:t xml:space="preserve"> </w:t>
            </w:r>
            <w:r w:rsidRPr="00A23740">
              <w:rPr>
                <w:rStyle w:val="MAVChar"/>
                <w:rFonts w:eastAsia="Calibri"/>
                <w:u w:val="none"/>
              </w:rPr>
              <w:t>(a) bendinde yazılı</w:t>
            </w:r>
            <w:r w:rsidRPr="00A23740">
              <w:rPr>
                <w:rFonts w:eastAsia="Times New Roman"/>
                <w:szCs w:val="24"/>
                <w:lang w:eastAsia="tr-TR"/>
              </w:rPr>
              <w:t xml:space="preserve"> tarihlerden </w:t>
            </w:r>
            <w:r w:rsidRPr="00A23740">
              <w:rPr>
                <w:rStyle w:val="MAVChar"/>
                <w:rFonts w:eastAsia="Calibri"/>
                <w:u w:val="none"/>
              </w:rPr>
              <w:t>önceki</w:t>
            </w:r>
            <w:r w:rsidRPr="00A23740">
              <w:rPr>
                <w:rFonts w:eastAsia="Times New Roman"/>
                <w:szCs w:val="24"/>
                <w:lang w:eastAsia="tr-TR"/>
              </w:rPr>
              <w:t xml:space="preserve"> tarihli </w:t>
            </w:r>
            <w:r w:rsidR="00AD7D81" w:rsidRPr="00A23740">
              <w:rPr>
                <w:bCs/>
                <w:iCs/>
                <w:szCs w:val="24"/>
              </w:rPr>
              <w:t xml:space="preserve">resmî </w:t>
            </w:r>
            <w:r w:rsidRPr="00A23740">
              <w:rPr>
                <w:rFonts w:eastAsia="Times New Roman"/>
                <w:szCs w:val="24"/>
                <w:lang w:eastAsia="tr-TR"/>
              </w:rPr>
              <w:t xml:space="preserve">veya tarih ve imzası </w:t>
            </w:r>
            <w:r w:rsidRPr="00A23740">
              <w:rPr>
                <w:rStyle w:val="MAVChar"/>
                <w:rFonts w:eastAsia="Calibri"/>
                <w:u w:val="none"/>
              </w:rPr>
              <w:t>onaylı</w:t>
            </w:r>
            <w:r w:rsidRPr="00A23740">
              <w:rPr>
                <w:rFonts w:eastAsia="Times New Roman"/>
                <w:szCs w:val="24"/>
                <w:lang w:eastAsia="tr-TR"/>
              </w:rPr>
              <w:t xml:space="preserve"> bir sene</w:t>
            </w:r>
            <w:r w:rsidR="00F7485F" w:rsidRPr="00A23740">
              <w:rPr>
                <w:rStyle w:val="MaviChar"/>
              </w:rPr>
              <w:t>t veya ilam niteliğindeki</w:t>
            </w:r>
            <w:r w:rsidR="005801D8" w:rsidRPr="00A23740">
              <w:rPr>
                <w:rStyle w:val="MaviChar"/>
                <w:lang w:val="tr-TR"/>
              </w:rPr>
              <w:t xml:space="preserve"> </w:t>
            </w:r>
            <w:r w:rsidR="005801D8" w:rsidRPr="00CE4365">
              <w:rPr>
                <w:rStyle w:val="MaviChar"/>
              </w:rPr>
              <w:t>belge.</w:t>
            </w:r>
            <w:r w:rsidR="00F7485F" w:rsidRPr="00A23740">
              <w:rPr>
                <w:rStyle w:val="MaviChar"/>
                <w:color w:val="385623"/>
                <w:lang w:val="tr-TR"/>
              </w:rPr>
              <w:t xml:space="preserve"> </w:t>
            </w:r>
          </w:p>
          <w:p w:rsidR="000A2887" w:rsidRPr="00A23740" w:rsidRDefault="000A2887" w:rsidP="009431FF">
            <w:pPr>
              <w:tabs>
                <w:tab w:val="left" w:pos="567"/>
              </w:tabs>
              <w:rPr>
                <w:rFonts w:eastAsia="Times New Roman"/>
                <w:szCs w:val="24"/>
                <w:lang w:eastAsia="tr-TR"/>
              </w:rPr>
            </w:pPr>
          </w:p>
          <w:p w:rsidR="00AA5C8C" w:rsidRPr="00A23740" w:rsidRDefault="00AA5C8C" w:rsidP="009431FF">
            <w:pPr>
              <w:pStyle w:val="Mavi"/>
              <w:rPr>
                <w:rStyle w:val="MAVChar"/>
                <w:rFonts w:eastAsia="Calibri"/>
                <w:b/>
                <w:bCs/>
                <w:u w:val="none"/>
              </w:rPr>
            </w:pPr>
            <w:r w:rsidRPr="00A23740">
              <w:rPr>
                <w:rStyle w:val="MAVChar"/>
                <w:rFonts w:eastAsia="Calibri"/>
                <w:b/>
                <w:bCs/>
                <w:u w:val="none"/>
              </w:rPr>
              <w:t xml:space="preserve">ç) </w:t>
            </w:r>
            <w:r w:rsidRPr="00A23740">
              <w:t>Resm</w:t>
            </w:r>
            <w:r w:rsidR="00AD7D81" w:rsidRPr="00A23740">
              <w:rPr>
                <w:lang w:val="tr-TR"/>
              </w:rPr>
              <w:t>î</w:t>
            </w:r>
            <w:r w:rsidRPr="00A23740">
              <w:t xml:space="preserve"> dairelerin veya yetkili makamların yetkileri dahilinde ve usulüne göre </w:t>
            </w:r>
            <w:r w:rsidR="00F7485F" w:rsidRPr="00A23740">
              <w:t>verdikleri</w:t>
            </w:r>
            <w:r w:rsidR="005801D8" w:rsidRPr="00A23740">
              <w:t xml:space="preserve"> </w:t>
            </w:r>
            <w:r w:rsidR="005801D8" w:rsidRPr="00CE4365">
              <w:t>ve</w:t>
            </w:r>
            <w:r w:rsidR="00F7485F" w:rsidRPr="00A23740">
              <w:rPr>
                <w:color w:val="385623"/>
              </w:rPr>
              <w:t xml:space="preserve"> </w:t>
            </w:r>
            <w:r w:rsidRPr="00A23740">
              <w:rPr>
                <w:rStyle w:val="MAVChar"/>
                <w:rFonts w:eastAsia="Calibri"/>
                <w:b/>
                <w:bCs/>
                <w:u w:val="none"/>
              </w:rPr>
              <w:t>(a) bendinde yazılı</w:t>
            </w:r>
            <w:r w:rsidRPr="00A23740">
              <w:t xml:space="preserve"> tarihlerden </w:t>
            </w:r>
            <w:r w:rsidRPr="00A23740">
              <w:rPr>
                <w:rStyle w:val="MAVChar"/>
                <w:rFonts w:eastAsia="Calibri"/>
                <w:b/>
                <w:bCs/>
                <w:u w:val="none"/>
              </w:rPr>
              <w:t>önce</w:t>
            </w:r>
            <w:r w:rsidR="00F7485F" w:rsidRPr="00A23740">
              <w:rPr>
                <w:rStyle w:val="MAVChar"/>
                <w:rFonts w:eastAsia="Calibri"/>
                <w:b/>
                <w:bCs/>
                <w:u w:val="none"/>
                <w:lang w:val="tr-TR"/>
              </w:rPr>
              <w:t xml:space="preserve"> düzenlenmiş</w:t>
            </w:r>
            <w:r w:rsidRPr="00A23740">
              <w:t xml:space="preserve"> makbuz veya </w:t>
            </w:r>
            <w:r w:rsidRPr="00A23740">
              <w:rPr>
                <w:rStyle w:val="MAVChar"/>
                <w:rFonts w:eastAsia="Calibri"/>
                <w:b/>
                <w:bCs/>
                <w:u w:val="none"/>
              </w:rPr>
              <w:t>belge.</w:t>
            </w:r>
          </w:p>
          <w:p w:rsidR="000A2887" w:rsidRPr="00A23740" w:rsidRDefault="000A2887" w:rsidP="009431FF">
            <w:pPr>
              <w:pStyle w:val="Mavi"/>
              <w:rPr>
                <w:lang w:val="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(2)</w:t>
            </w:r>
            <w:r w:rsidRPr="00A23740">
              <w:rPr>
                <w:rFonts w:eastAsia="Times New Roman"/>
                <w:b/>
                <w:szCs w:val="24"/>
                <w:lang w:eastAsia="tr-TR"/>
              </w:rPr>
              <w:t xml:space="preserve"> </w:t>
            </w:r>
            <w:r w:rsidRPr="00A23740">
              <w:rPr>
                <w:rFonts w:eastAsia="Times New Roman"/>
                <w:szCs w:val="24"/>
                <w:lang w:eastAsia="tr-TR"/>
              </w:rPr>
              <w:t xml:space="preserve">İcra </w:t>
            </w:r>
            <w:r w:rsidRPr="00A23740">
              <w:rPr>
                <w:rStyle w:val="MaviChar"/>
              </w:rPr>
              <w:t>ve iflas</w:t>
            </w:r>
            <w:r w:rsidRPr="00A23740">
              <w:rPr>
                <w:rFonts w:eastAsia="Times New Roman"/>
                <w:szCs w:val="24"/>
                <w:lang w:eastAsia="tr-TR"/>
              </w:rPr>
              <w:t xml:space="preserve"> dairesi, </w:t>
            </w:r>
            <w:r w:rsidRPr="00A23740">
              <w:rPr>
                <w:rStyle w:val="MaviChar"/>
              </w:rPr>
              <w:t>hacze iştirak taleplerini kabul ettikçe</w:t>
            </w:r>
            <w:r w:rsidRPr="00A23740">
              <w:rPr>
                <w:rFonts w:eastAsia="Times New Roman"/>
                <w:szCs w:val="24"/>
                <w:lang w:eastAsia="tr-TR"/>
              </w:rPr>
              <w:t xml:space="preserve"> aynı derecedeki alacaklıların bütün alacaklarına yetecek </w:t>
            </w:r>
            <w:r w:rsidRPr="00A23740">
              <w:rPr>
                <w:rFonts w:eastAsia="Times New Roman"/>
                <w:b/>
                <w:color w:val="0000FF"/>
                <w:szCs w:val="24"/>
                <w:lang w:eastAsia="tr-TR"/>
              </w:rPr>
              <w:t>oranda</w:t>
            </w:r>
            <w:r w:rsidRPr="00A23740">
              <w:rPr>
                <w:rFonts w:eastAsia="Times New Roman"/>
                <w:szCs w:val="24"/>
                <w:lang w:eastAsia="tr-TR"/>
              </w:rPr>
              <w:t xml:space="preserve"> ilave hacizler yapar.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(3) Diğer</w:t>
            </w:r>
            <w:r w:rsidRPr="00A23740">
              <w:rPr>
                <w:rFonts w:eastAsia="Times New Roman"/>
                <w:szCs w:val="24"/>
                <w:lang w:eastAsia="tr-TR"/>
              </w:rPr>
              <w:t xml:space="preserve"> alacaklılar ancak </w:t>
            </w:r>
            <w:r w:rsidRPr="00A23740">
              <w:rPr>
                <w:rFonts w:eastAsia="Times New Roman"/>
                <w:b/>
                <w:color w:val="0000FF"/>
                <w:szCs w:val="24"/>
                <w:lang w:eastAsia="tr-TR"/>
              </w:rPr>
              <w:t>önceki</w:t>
            </w:r>
            <w:r w:rsidRPr="00A23740">
              <w:rPr>
                <w:rFonts w:eastAsia="Times New Roman"/>
                <w:szCs w:val="24"/>
                <w:lang w:eastAsia="tr-TR"/>
              </w:rPr>
              <w:t xml:space="preserve"> dereceden </w:t>
            </w:r>
            <w:r w:rsidRPr="00A23740">
              <w:rPr>
                <w:rFonts w:eastAsia="Times New Roman"/>
                <w:b/>
                <w:color w:val="0000FF"/>
                <w:szCs w:val="24"/>
                <w:lang w:eastAsia="tr-TR"/>
              </w:rPr>
              <w:t>kalan kısım</w:t>
            </w:r>
            <w:r w:rsidRPr="00A23740">
              <w:rPr>
                <w:rFonts w:eastAsia="Times New Roman"/>
                <w:szCs w:val="24"/>
                <w:lang w:eastAsia="tr-TR"/>
              </w:rPr>
              <w:t xml:space="preserve"> için </w:t>
            </w:r>
            <w:r w:rsidRPr="00A23740">
              <w:rPr>
                <w:rStyle w:val="MAVChar"/>
                <w:rFonts w:eastAsia="Calibri"/>
                <w:u w:val="none"/>
              </w:rPr>
              <w:t>haciz koyabilir ya da bu</w:t>
            </w:r>
            <w:r w:rsidRPr="00A23740">
              <w:rPr>
                <w:rFonts w:eastAsia="Times New Roman"/>
                <w:szCs w:val="24"/>
                <w:lang w:eastAsia="tr-TR"/>
              </w:rPr>
              <w:t xml:space="preserve"> hacze iştirak edebilirler.</w:t>
            </w: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pStyle w:val="Mavi"/>
              <w:rPr>
                <w:lang w:val="tr-TR"/>
              </w:rPr>
            </w:pPr>
            <w:r w:rsidRPr="00A23740">
              <w:rPr>
                <w:lang w:val="tr-TR" w:eastAsia="tr-TR"/>
              </w:rPr>
              <w:t xml:space="preserve">(4) </w:t>
            </w:r>
            <w:r w:rsidRPr="00A23740">
              <w:rPr>
                <w:lang w:val="tr-TR"/>
              </w:rPr>
              <w:t xml:space="preserve">Rehinden önce haciz bulunması hâlinde </w:t>
            </w:r>
            <w:r w:rsidR="00814085" w:rsidRPr="00CE4365">
              <w:rPr>
                <w:rStyle w:val="Balk1Char"/>
                <w:rFonts w:eastAsia="Calibri"/>
                <w:b/>
              </w:rPr>
              <w:t>kamu</w:t>
            </w:r>
            <w:r w:rsidR="00814085" w:rsidRPr="00A23740">
              <w:rPr>
                <w:color w:val="538135"/>
                <w:lang w:val="tr-TR"/>
              </w:rPr>
              <w:t xml:space="preserve"> </w:t>
            </w:r>
            <w:r w:rsidRPr="00A23740">
              <w:rPr>
                <w:lang w:val="tr-TR"/>
              </w:rPr>
              <w:t xml:space="preserve">alacağı dahil hiçbir haciz rehinden önceki hacze iştirak edemez. </w:t>
            </w:r>
          </w:p>
          <w:p w:rsidR="00AA5C8C" w:rsidRPr="00A23740" w:rsidRDefault="00AA5C8C" w:rsidP="009431FF">
            <w:pPr>
              <w:pStyle w:val="Mavi"/>
              <w:rPr>
                <w:lang w:val="tr-TR" w:eastAsia="tr-TR"/>
              </w:rPr>
            </w:pPr>
          </w:p>
        </w:tc>
      </w:tr>
      <w:tr w:rsidR="009E50AB" w:rsidRPr="00A23740" w:rsidTr="009431FF">
        <w:tblPrEx>
          <w:tblLook w:val="01E0" w:firstRow="1" w:lastRow="1" w:firstColumn="1" w:lastColumn="1" w:noHBand="0" w:noVBand="0"/>
        </w:tblPrEx>
        <w:tc>
          <w:tcPr>
            <w:tcW w:w="5000" w:type="pct"/>
            <w:gridSpan w:val="2"/>
            <w:shd w:val="clear" w:color="auto" w:fill="DEEAF6"/>
          </w:tcPr>
          <w:p w:rsidR="00202593" w:rsidRPr="00A23740" w:rsidRDefault="00202593" w:rsidP="009431FF">
            <w:pPr>
              <w:tabs>
                <w:tab w:val="left" w:pos="567"/>
              </w:tabs>
              <w:ind w:firstLine="567"/>
              <w:rPr>
                <w:rFonts w:eastAsia="Times New Roman"/>
                <w:b/>
                <w:szCs w:val="24"/>
                <w:lang w:eastAsia="tr-TR"/>
              </w:rPr>
            </w:pPr>
          </w:p>
          <w:p w:rsidR="00AE57E0" w:rsidRPr="00A23740" w:rsidRDefault="0025794C" w:rsidP="009431FF">
            <w:pPr>
              <w:tabs>
                <w:tab w:val="left" w:pos="567"/>
              </w:tabs>
              <w:ind w:firstLine="567"/>
              <w:rPr>
                <w:rFonts w:eastAsia="Times New Roman"/>
                <w:szCs w:val="24"/>
                <w:lang w:eastAsia="tr-TR"/>
              </w:rPr>
            </w:pPr>
            <w:r w:rsidRPr="00A23740">
              <w:rPr>
                <w:rFonts w:eastAsia="Times New Roman"/>
                <w:b/>
                <w:szCs w:val="24"/>
                <w:lang w:eastAsia="tr-TR"/>
              </w:rPr>
              <w:t>MADDE 198</w:t>
            </w:r>
            <w:r w:rsidR="00EF654F" w:rsidRPr="00A23740">
              <w:rPr>
                <w:rFonts w:eastAsia="Times New Roman"/>
                <w:b/>
                <w:szCs w:val="24"/>
                <w:lang w:eastAsia="tr-TR"/>
              </w:rPr>
              <w:t xml:space="preserve">- </w:t>
            </w:r>
            <w:r w:rsidR="00B90422" w:rsidRPr="00D60C1D">
              <w:rPr>
                <w:rStyle w:val="MaviChar"/>
                <w:b w:val="0"/>
                <w:color w:val="000000"/>
              </w:rPr>
              <w:t>Mehazı İsviçre olan</w:t>
            </w:r>
            <w:r w:rsidR="00DA4F5D" w:rsidRPr="00A23740">
              <w:rPr>
                <w:rStyle w:val="MaviChar"/>
                <w:lang w:val="tr-TR"/>
              </w:rPr>
              <w:t xml:space="preserve"> </w:t>
            </w:r>
            <w:r w:rsidR="00DA4F5D" w:rsidRPr="00D60C1D">
              <w:rPr>
                <w:rStyle w:val="KonuBalChar"/>
                <w:rFonts w:eastAsia="Calibri"/>
                <w:b w:val="0"/>
                <w:color w:val="000000"/>
              </w:rPr>
              <w:t>2004 sayılı</w:t>
            </w:r>
            <w:r w:rsidR="00371300" w:rsidRPr="00D60C1D">
              <w:rPr>
                <w:rStyle w:val="KonuBalChar"/>
                <w:rFonts w:eastAsia="Calibri"/>
                <w:b w:val="0"/>
                <w:color w:val="000000"/>
              </w:rPr>
              <w:t xml:space="preserve"> Kanun</w:t>
            </w:r>
            <w:r w:rsidR="00B90422" w:rsidRPr="00A23740">
              <w:rPr>
                <w:rStyle w:val="MaviChar"/>
              </w:rPr>
              <w:t xml:space="preserve"> </w:t>
            </w:r>
            <w:r w:rsidR="00B90422" w:rsidRPr="00D60C1D">
              <w:rPr>
                <w:rStyle w:val="MaviChar"/>
                <w:b w:val="0"/>
                <w:color w:val="000000"/>
              </w:rPr>
              <w:t xml:space="preserve">sisteminde, bazı başka Avrupa </w:t>
            </w:r>
            <w:r w:rsidR="002F2CDD" w:rsidRPr="00D60C1D">
              <w:rPr>
                <w:rStyle w:val="MaviChar"/>
                <w:b w:val="0"/>
                <w:color w:val="000000"/>
                <w:lang w:val="tr-TR"/>
              </w:rPr>
              <w:t xml:space="preserve">hukuk düzenlerinden </w:t>
            </w:r>
            <w:r w:rsidR="00B90422" w:rsidRPr="00D60C1D">
              <w:rPr>
                <w:rStyle w:val="MaviChar"/>
                <w:b w:val="0"/>
                <w:color w:val="000000"/>
              </w:rPr>
              <w:t>farklı olarak haciz, haczi koyduran alacaklıya rehin benzeri bir ayni hak vermediği gibi</w:t>
            </w:r>
            <w:r w:rsidR="002F2CDD" w:rsidRPr="00D60C1D">
              <w:rPr>
                <w:rStyle w:val="MaviChar"/>
                <w:b w:val="0"/>
                <w:color w:val="000000"/>
                <w:lang w:val="tr-TR"/>
              </w:rPr>
              <w:t xml:space="preserve">, haczin </w:t>
            </w:r>
            <w:r w:rsidR="00B90422" w:rsidRPr="00D60C1D">
              <w:rPr>
                <w:rStyle w:val="MaviChar"/>
                <w:b w:val="0"/>
                <w:color w:val="000000"/>
              </w:rPr>
              <w:t xml:space="preserve"> bir mal, alacak veya hakkın birden fazla alacaklı tarafından haczi mümkün olup ilk defa haciz koyduran alacaklının diğer haciz koyduran alacaklılara karşı mutlak bir önceliği de yoktur. Bu hususlarda İsviçre ve Türk hukukunun prensipleri birbirinin aynı olmakla birlikte, aynı mal, hak ve alacağın birden fazla alacaklı tarafından haczedilmesi ve paraya çevirme neticesinde elde edilen tutarın bütün hacizli alacaklıların alacaklarını karşılamaya yetmemesi h</w:t>
            </w:r>
            <w:r w:rsidR="001D7D44" w:rsidRPr="00D60C1D">
              <w:rPr>
                <w:rStyle w:val="MaviChar"/>
                <w:b w:val="0"/>
                <w:color w:val="000000"/>
                <w:lang w:val="tr-TR"/>
              </w:rPr>
              <w:t>â</w:t>
            </w:r>
            <w:r w:rsidR="00B90422" w:rsidRPr="00D60C1D">
              <w:rPr>
                <w:rStyle w:val="MaviChar"/>
                <w:b w:val="0"/>
                <w:color w:val="000000"/>
              </w:rPr>
              <w:t xml:space="preserve">linde söz konusu paraya çevirme bedelinin bu alacaklılar arasında nasıl paylaştırılacağı konusundaki İsviçre ve Türk hukuku düzenlemeleri birbirinden farklıdır. 2004 sayılı Kanuna bir kanun değişikliğiyle konulmuş olan 100 ve 101 inci maddelere göre alacaklılar arasındaki sıra alacakların hangisinin daha eski bir tarihe dayandığının belirli belgelerle ispat edilmesi ve aile hukukundan doğan belirli alacakların ise böyle bir “daha eski tarihe dayanma” özelliğine ihtiyaç olmaksızın öncelikle tatmin edilmeleri esaslarına dayanmaktadır. Komisyon çalışmaları sırasında Türk hukukuna ait bu sistem, İsviçre hukukunun alacaklıları gruplara ayırma esasına dayanan sistemine tercih edilmiş ve </w:t>
            </w:r>
            <w:r w:rsidR="00B90422" w:rsidRPr="00D60C1D">
              <w:rPr>
                <w:rStyle w:val="MaviChar"/>
                <w:b w:val="0"/>
                <w:color w:val="000000"/>
                <w:lang w:val="tr-TR"/>
              </w:rPr>
              <w:t>ilgili madde metinleri üzerinde bazı değişiklikler yapılarak</w:t>
            </w:r>
            <w:r w:rsidR="00DA4F5D" w:rsidRPr="00D60C1D">
              <w:rPr>
                <w:rStyle w:val="MaviChar"/>
                <w:b w:val="0"/>
                <w:color w:val="000000"/>
                <w:lang w:val="tr-TR"/>
              </w:rPr>
              <w:t xml:space="preserve"> </w:t>
            </w:r>
            <w:r w:rsidR="00DA4F5D" w:rsidRPr="00D60C1D">
              <w:rPr>
                <w:rStyle w:val="KonuBalChar"/>
                <w:rFonts w:eastAsia="Calibri"/>
                <w:b w:val="0"/>
                <w:color w:val="000000"/>
              </w:rPr>
              <w:t>2004 sayılı</w:t>
            </w:r>
            <w:r w:rsidR="00B90422" w:rsidRPr="00D60C1D">
              <w:rPr>
                <w:rStyle w:val="MaviChar"/>
                <w:b w:val="0"/>
                <w:color w:val="000000"/>
                <w:lang w:val="tr-TR"/>
              </w:rPr>
              <w:t xml:space="preserve"> Kanun</w:t>
            </w:r>
            <w:r w:rsidR="00B90422" w:rsidRPr="00A23740">
              <w:rPr>
                <w:rStyle w:val="MaviChar"/>
                <w:lang w:val="tr-TR"/>
              </w:rPr>
              <w:t xml:space="preserve"> </w:t>
            </w:r>
            <w:r w:rsidR="00B90422" w:rsidRPr="00D60C1D">
              <w:rPr>
                <w:rStyle w:val="MaviChar"/>
                <w:b w:val="0"/>
                <w:color w:val="000000"/>
                <w:lang w:val="tr-TR"/>
              </w:rPr>
              <w:t xml:space="preserve">sistemi Taslakta da muhafaza edilmiştir. Buna göre </w:t>
            </w:r>
            <w:r w:rsidR="00EF1940" w:rsidRPr="00D60C1D">
              <w:rPr>
                <w:rStyle w:val="MaviChar"/>
                <w:b w:val="0"/>
                <w:color w:val="000000"/>
                <w:lang w:val="tr-TR"/>
              </w:rPr>
              <w:t>Taslağın</w:t>
            </w:r>
            <w:r w:rsidR="00FE422B" w:rsidRPr="00D60C1D">
              <w:rPr>
                <w:rStyle w:val="MaviChar"/>
                <w:b w:val="0"/>
                <w:color w:val="000000"/>
                <w:lang w:val="tr-TR"/>
              </w:rPr>
              <w:t xml:space="preserve"> </w:t>
            </w:r>
            <w:r w:rsidR="004E522D" w:rsidRPr="00D60C1D">
              <w:rPr>
                <w:rStyle w:val="KonuBalChar"/>
                <w:rFonts w:eastAsia="Calibri"/>
                <w:b w:val="0"/>
                <w:color w:val="000000"/>
                <w:lang w:val="tr-TR"/>
              </w:rPr>
              <w:t>bu</w:t>
            </w:r>
            <w:r w:rsidR="00EF1940" w:rsidRPr="00A23740">
              <w:rPr>
                <w:rStyle w:val="MaviChar"/>
                <w:lang w:val="tr-TR"/>
              </w:rPr>
              <w:t xml:space="preserve"> </w:t>
            </w:r>
            <w:r w:rsidR="00EF1940" w:rsidRPr="00D60C1D">
              <w:rPr>
                <w:rStyle w:val="MaviChar"/>
                <w:b w:val="0"/>
                <w:color w:val="000000"/>
              </w:rPr>
              <w:t>maddesi</w:t>
            </w:r>
            <w:r w:rsidR="00FE422B" w:rsidRPr="00D60C1D">
              <w:rPr>
                <w:rStyle w:val="MaviChar"/>
                <w:b w:val="0"/>
                <w:color w:val="000000"/>
                <w:lang w:val="tr-TR"/>
              </w:rPr>
              <w:t>,</w:t>
            </w:r>
            <w:r w:rsidR="00EF1940" w:rsidRPr="00D60C1D">
              <w:rPr>
                <w:rFonts w:eastAsia="Times New Roman"/>
                <w:b/>
                <w:color w:val="000000"/>
                <w:lang w:eastAsia="tr-TR"/>
              </w:rPr>
              <w:t xml:space="preserve"> </w:t>
            </w:r>
            <w:r w:rsidR="00EF654F" w:rsidRPr="00D60C1D">
              <w:rPr>
                <w:rFonts w:eastAsia="Times New Roman"/>
                <w:color w:val="000000"/>
                <w:szCs w:val="24"/>
                <w:lang w:eastAsia="tr-TR"/>
              </w:rPr>
              <w:t>20</w:t>
            </w:r>
            <w:r w:rsidR="00EF654F" w:rsidRPr="00A23740">
              <w:rPr>
                <w:rFonts w:eastAsia="Times New Roman"/>
                <w:szCs w:val="24"/>
                <w:lang w:eastAsia="tr-TR"/>
              </w:rPr>
              <w:t>04 sayılı Kanunun 100 üncü maddesine karşılık gelmektedir.</w:t>
            </w:r>
          </w:p>
          <w:p w:rsidR="00EF654F" w:rsidRPr="00A23740" w:rsidRDefault="00EF654F" w:rsidP="009431FF">
            <w:pPr>
              <w:tabs>
                <w:tab w:val="left" w:pos="567"/>
              </w:tabs>
              <w:ind w:firstLine="567"/>
              <w:rPr>
                <w:rFonts w:eastAsia="Times New Roman"/>
                <w:szCs w:val="24"/>
                <w:lang w:eastAsia="tr-TR"/>
              </w:rPr>
            </w:pPr>
            <w:r w:rsidRPr="00A23740">
              <w:rPr>
                <w:rFonts w:eastAsia="Times New Roman"/>
                <w:szCs w:val="24"/>
                <w:lang w:eastAsia="tr-TR"/>
              </w:rPr>
              <w:t>Birinci fıkrayla, fıkrada bentler h</w:t>
            </w:r>
            <w:r w:rsidR="001D7D44" w:rsidRPr="00A23740">
              <w:rPr>
                <w:rFonts w:eastAsia="Times New Roman"/>
                <w:szCs w:val="24"/>
                <w:lang w:eastAsia="tr-TR"/>
              </w:rPr>
              <w:t>â</w:t>
            </w:r>
            <w:r w:rsidRPr="00A23740">
              <w:rPr>
                <w:rFonts w:eastAsia="Times New Roman"/>
                <w:szCs w:val="24"/>
                <w:lang w:eastAsia="tr-TR"/>
              </w:rPr>
              <w:t xml:space="preserve">linde sayılan belgelere sahip alacaklıların ihale yapılıncaya kadar aynı malı haczettirmek ve talep etmek şartıyla aynı derecede hacze iştirak </w:t>
            </w:r>
            <w:r w:rsidR="002F2CDD" w:rsidRPr="00A23740">
              <w:rPr>
                <w:rFonts w:eastAsia="Times New Roman"/>
                <w:szCs w:val="24"/>
                <w:lang w:eastAsia="tr-TR"/>
              </w:rPr>
              <w:t xml:space="preserve"> edebilecekleri </w:t>
            </w:r>
            <w:r w:rsidRPr="00A23740">
              <w:rPr>
                <w:rFonts w:eastAsia="Times New Roman"/>
                <w:szCs w:val="24"/>
                <w:lang w:eastAsia="tr-TR"/>
              </w:rPr>
              <w:t>düzenlenmektedir. Bu</w:t>
            </w:r>
            <w:r w:rsidR="00EF4A52" w:rsidRPr="00A23740">
              <w:rPr>
                <w:rFonts w:eastAsia="Times New Roman"/>
                <w:szCs w:val="24"/>
                <w:lang w:eastAsia="tr-TR"/>
              </w:rPr>
              <w:t>na göre elinde</w:t>
            </w:r>
            <w:r w:rsidRPr="00A23740">
              <w:rPr>
                <w:rFonts w:eastAsia="Times New Roman"/>
                <w:szCs w:val="24"/>
                <w:lang w:eastAsia="tr-TR"/>
              </w:rPr>
              <w:t>;</w:t>
            </w:r>
          </w:p>
          <w:p w:rsidR="00F7485F" w:rsidRPr="00A23740" w:rsidRDefault="00624A27" w:rsidP="009431FF">
            <w:pPr>
              <w:tabs>
                <w:tab w:val="left" w:pos="567"/>
              </w:tabs>
              <w:ind w:firstLine="567"/>
              <w:rPr>
                <w:rFonts w:eastAsia="Times New Roman"/>
                <w:szCs w:val="24"/>
                <w:lang w:eastAsia="tr-TR"/>
              </w:rPr>
            </w:pPr>
            <w:r w:rsidRPr="00D60C1D">
              <w:rPr>
                <w:rFonts w:eastAsia="Times New Roman"/>
                <w:bCs/>
                <w:color w:val="000000"/>
                <w:lang w:eastAsia="tr-TR"/>
              </w:rPr>
              <w:t>(a) bendinde, ö</w:t>
            </w:r>
            <w:r w:rsidR="00F7485F" w:rsidRPr="00A23740">
              <w:rPr>
                <w:rFonts w:eastAsia="Times New Roman"/>
                <w:bCs/>
                <w:lang w:eastAsia="tr-TR"/>
              </w:rPr>
              <w:t>nceki</w:t>
            </w:r>
            <w:r w:rsidR="00F7485F" w:rsidRPr="00A23740">
              <w:rPr>
                <w:rFonts w:eastAsia="Times New Roman"/>
                <w:szCs w:val="24"/>
                <w:lang w:eastAsia="tr-TR"/>
              </w:rPr>
              <w:t xml:space="preserve"> haciz ilamsız takibe </w:t>
            </w:r>
            <w:r w:rsidR="00F7485F" w:rsidRPr="00A23740">
              <w:rPr>
                <w:rFonts w:eastAsia="Times New Roman"/>
                <w:bCs/>
                <w:lang w:eastAsia="tr-TR"/>
              </w:rPr>
              <w:t>dayanıyorsa</w:t>
            </w:r>
            <w:r w:rsidR="00F7485F" w:rsidRPr="00A23740">
              <w:rPr>
                <w:rFonts w:eastAsia="Times New Roman"/>
                <w:szCs w:val="24"/>
                <w:lang w:eastAsia="tr-TR"/>
              </w:rPr>
              <w:t xml:space="preserve"> takip talebinden ve ilama </w:t>
            </w:r>
            <w:r w:rsidR="00F7485F" w:rsidRPr="00A23740">
              <w:rPr>
                <w:rFonts w:eastAsia="Times New Roman"/>
                <w:bCs/>
                <w:lang w:eastAsia="tr-TR"/>
              </w:rPr>
              <w:t>dayanıyorsa</w:t>
            </w:r>
            <w:r w:rsidR="00F7485F" w:rsidRPr="00A23740">
              <w:rPr>
                <w:rFonts w:eastAsia="Times New Roman"/>
                <w:szCs w:val="24"/>
                <w:lang w:eastAsia="tr-TR"/>
              </w:rPr>
              <w:t xml:space="preserve"> dava</w:t>
            </w:r>
            <w:r w:rsidR="00F7485F" w:rsidRPr="00A23740">
              <w:rPr>
                <w:rFonts w:eastAsia="Times New Roman"/>
                <w:bCs/>
                <w:lang w:eastAsia="tr-TR"/>
              </w:rPr>
              <w:t>nın açılmasından önce</w:t>
            </w:r>
            <w:r w:rsidR="00F7485F" w:rsidRPr="00A23740">
              <w:rPr>
                <w:rFonts w:eastAsia="Times New Roman"/>
                <w:szCs w:val="24"/>
                <w:lang w:eastAsia="tr-TR"/>
              </w:rPr>
              <w:t xml:space="preserve"> yapılmış bir takip üzerine alınan aciz </w:t>
            </w:r>
            <w:r w:rsidR="00E0327F" w:rsidRPr="00A23740">
              <w:rPr>
                <w:rFonts w:eastAsia="Times New Roman"/>
                <w:bCs/>
                <w:lang w:eastAsia="tr-TR"/>
              </w:rPr>
              <w:t>belgesi,</w:t>
            </w:r>
          </w:p>
          <w:p w:rsidR="00F7485F" w:rsidRPr="00A23740" w:rsidRDefault="00624A27" w:rsidP="009431FF">
            <w:pPr>
              <w:tabs>
                <w:tab w:val="left" w:pos="567"/>
              </w:tabs>
              <w:ind w:firstLine="567"/>
              <w:rPr>
                <w:rFonts w:eastAsia="Times New Roman"/>
                <w:szCs w:val="24"/>
                <w:lang w:eastAsia="tr-TR"/>
              </w:rPr>
            </w:pPr>
            <w:r w:rsidRPr="00D60C1D">
              <w:rPr>
                <w:rFonts w:eastAsia="Times New Roman"/>
                <w:bCs/>
                <w:color w:val="000000"/>
                <w:lang w:eastAsia="tr-TR"/>
              </w:rPr>
              <w:t>(b)</w:t>
            </w:r>
            <w:r w:rsidR="00F7485F" w:rsidRPr="00D60C1D">
              <w:rPr>
                <w:rFonts w:eastAsia="Times New Roman"/>
                <w:bCs/>
                <w:color w:val="000000"/>
                <w:lang w:eastAsia="tr-TR"/>
              </w:rPr>
              <w:t xml:space="preserve"> bendinde</w:t>
            </w:r>
            <w:r w:rsidR="00B77923" w:rsidRPr="00D60C1D">
              <w:rPr>
                <w:rFonts w:eastAsia="Times New Roman"/>
                <w:bCs/>
                <w:color w:val="000000"/>
                <w:lang w:eastAsia="tr-TR"/>
              </w:rPr>
              <w:t>, (a)</w:t>
            </w:r>
            <w:r w:rsidR="00F7485F" w:rsidRPr="00D60C1D">
              <w:rPr>
                <w:rFonts w:eastAsia="Times New Roman"/>
                <w:color w:val="000000"/>
                <w:szCs w:val="24"/>
                <w:lang w:eastAsia="tr-TR"/>
              </w:rPr>
              <w:t xml:space="preserve"> </w:t>
            </w:r>
            <w:r w:rsidR="00B77923" w:rsidRPr="00D60C1D">
              <w:rPr>
                <w:rFonts w:eastAsia="Times New Roman"/>
                <w:color w:val="000000"/>
                <w:szCs w:val="24"/>
                <w:lang w:eastAsia="tr-TR"/>
              </w:rPr>
              <w:t>bendinde</w:t>
            </w:r>
            <w:r w:rsidR="00B77923" w:rsidRPr="00A23740">
              <w:rPr>
                <w:rFonts w:eastAsia="Times New Roman"/>
                <w:b/>
                <w:color w:val="385623"/>
                <w:szCs w:val="24"/>
                <w:lang w:eastAsia="tr-TR"/>
              </w:rPr>
              <w:t xml:space="preserve"> </w:t>
            </w:r>
            <w:r w:rsidR="00F7485F" w:rsidRPr="00A23740">
              <w:rPr>
                <w:rFonts w:eastAsia="Times New Roman"/>
                <w:szCs w:val="24"/>
                <w:lang w:eastAsia="tr-TR"/>
              </w:rPr>
              <w:t>yazılı tarihlerden önce açılmış bir dava üzerine alınan ilam</w:t>
            </w:r>
            <w:r w:rsidR="00E0327F" w:rsidRPr="00A23740">
              <w:rPr>
                <w:rFonts w:eastAsia="Times New Roman"/>
                <w:bCs/>
                <w:lang w:eastAsia="tr-TR"/>
              </w:rPr>
              <w:t>,</w:t>
            </w:r>
          </w:p>
          <w:p w:rsidR="00F7485F" w:rsidRPr="00A23740" w:rsidRDefault="00624A27" w:rsidP="009431FF">
            <w:pPr>
              <w:tabs>
                <w:tab w:val="left" w:pos="567"/>
              </w:tabs>
              <w:ind w:firstLine="567"/>
              <w:rPr>
                <w:rFonts w:eastAsia="Times New Roman"/>
                <w:szCs w:val="24"/>
                <w:lang w:eastAsia="tr-TR"/>
              </w:rPr>
            </w:pPr>
            <w:r w:rsidRPr="00D60C1D">
              <w:rPr>
                <w:rStyle w:val="KonuBalChar"/>
                <w:rFonts w:eastAsia="Calibri"/>
                <w:b w:val="0"/>
                <w:color w:val="000000"/>
                <w:lang w:val="tr-TR"/>
              </w:rPr>
              <w:t xml:space="preserve">(c) </w:t>
            </w:r>
            <w:r w:rsidR="004E522D" w:rsidRPr="00D60C1D">
              <w:rPr>
                <w:rStyle w:val="KonuBalChar"/>
                <w:rFonts w:eastAsia="Calibri"/>
                <w:b w:val="0"/>
                <w:color w:val="000000"/>
              </w:rPr>
              <w:t>bendinde,</w:t>
            </w:r>
            <w:r w:rsidR="004E522D" w:rsidRPr="00A23740">
              <w:rPr>
                <w:rFonts w:eastAsia="Times New Roman"/>
                <w:bCs/>
                <w:lang w:eastAsia="tr-TR"/>
              </w:rPr>
              <w:t xml:space="preserve"> </w:t>
            </w:r>
            <w:r w:rsidR="00F7485F" w:rsidRPr="00A23740">
              <w:rPr>
                <w:rFonts w:eastAsia="Times New Roman"/>
                <w:bCs/>
                <w:lang w:eastAsia="tr-TR"/>
              </w:rPr>
              <w:t>(a) bendinde yazılı</w:t>
            </w:r>
            <w:r w:rsidR="00F7485F" w:rsidRPr="00A23740">
              <w:rPr>
                <w:rFonts w:eastAsia="Times New Roman"/>
                <w:szCs w:val="24"/>
                <w:lang w:eastAsia="tr-TR"/>
              </w:rPr>
              <w:t xml:space="preserve"> tarihlerden </w:t>
            </w:r>
            <w:r w:rsidR="00F7485F" w:rsidRPr="00A23740">
              <w:rPr>
                <w:rFonts w:eastAsia="Times New Roman"/>
                <w:bCs/>
                <w:lang w:eastAsia="tr-TR"/>
              </w:rPr>
              <w:t>önceki</w:t>
            </w:r>
            <w:r w:rsidR="00F7485F" w:rsidRPr="00A23740">
              <w:rPr>
                <w:rFonts w:eastAsia="Times New Roman"/>
                <w:szCs w:val="24"/>
                <w:lang w:eastAsia="tr-TR"/>
              </w:rPr>
              <w:t xml:space="preserve"> tarihli </w:t>
            </w:r>
            <w:r w:rsidR="00AD7D81" w:rsidRPr="00A23740">
              <w:rPr>
                <w:bCs/>
                <w:iCs/>
                <w:szCs w:val="24"/>
              </w:rPr>
              <w:t xml:space="preserve">resmî </w:t>
            </w:r>
            <w:r w:rsidR="00F7485F" w:rsidRPr="00A23740">
              <w:rPr>
                <w:rFonts w:eastAsia="Times New Roman"/>
                <w:szCs w:val="24"/>
                <w:lang w:eastAsia="tr-TR"/>
              </w:rPr>
              <w:t xml:space="preserve">veya tarih ve imzası </w:t>
            </w:r>
            <w:r w:rsidR="00F7485F" w:rsidRPr="00A23740">
              <w:rPr>
                <w:rFonts w:eastAsia="Times New Roman"/>
                <w:bCs/>
                <w:lang w:eastAsia="tr-TR"/>
              </w:rPr>
              <w:t>onaylı</w:t>
            </w:r>
            <w:r w:rsidR="00F7485F" w:rsidRPr="00A23740">
              <w:rPr>
                <w:rFonts w:eastAsia="Times New Roman"/>
                <w:szCs w:val="24"/>
                <w:lang w:eastAsia="tr-TR"/>
              </w:rPr>
              <w:t xml:space="preserve"> bir sene</w:t>
            </w:r>
            <w:r w:rsidR="00F7485F" w:rsidRPr="00A23740">
              <w:rPr>
                <w:rFonts w:eastAsia="Times New Roman"/>
                <w:bCs/>
                <w:lang w:eastAsia="tr-TR"/>
              </w:rPr>
              <w:t>t v</w:t>
            </w:r>
            <w:r w:rsidR="00E0327F" w:rsidRPr="00A23740">
              <w:rPr>
                <w:rFonts w:eastAsia="Times New Roman"/>
                <w:bCs/>
                <w:lang w:eastAsia="tr-TR"/>
              </w:rPr>
              <w:t>eya ilam niteliğindeki belge,</w:t>
            </w:r>
          </w:p>
          <w:p w:rsidR="00F7485F" w:rsidRPr="00A23740" w:rsidRDefault="004E522D" w:rsidP="009431FF">
            <w:pPr>
              <w:tabs>
                <w:tab w:val="left" w:pos="567"/>
              </w:tabs>
              <w:ind w:firstLine="567"/>
              <w:rPr>
                <w:rFonts w:eastAsia="Times New Roman"/>
                <w:szCs w:val="24"/>
                <w:lang w:eastAsia="tr-TR"/>
              </w:rPr>
            </w:pPr>
            <w:r w:rsidRPr="00D60C1D">
              <w:rPr>
                <w:rStyle w:val="KonuBalChar"/>
                <w:rFonts w:eastAsia="Calibri"/>
                <w:b w:val="0"/>
                <w:color w:val="000000"/>
              </w:rPr>
              <w:t>(ç) bendinde,</w:t>
            </w:r>
            <w:r w:rsidRPr="00A23740">
              <w:rPr>
                <w:rStyle w:val="KonuBalChar"/>
                <w:rFonts w:eastAsia="Calibri"/>
              </w:rPr>
              <w:t xml:space="preserve"> </w:t>
            </w:r>
            <w:r w:rsidRPr="00A23740">
              <w:rPr>
                <w:rFonts w:eastAsia="Times New Roman"/>
                <w:szCs w:val="24"/>
                <w:lang w:eastAsia="tr-TR"/>
              </w:rPr>
              <w:t xml:space="preserve">resmî </w:t>
            </w:r>
            <w:r w:rsidR="00F7485F" w:rsidRPr="00A23740">
              <w:rPr>
                <w:rFonts w:eastAsia="Times New Roman"/>
                <w:szCs w:val="24"/>
                <w:lang w:eastAsia="tr-TR"/>
              </w:rPr>
              <w:t xml:space="preserve">dairelerin veya yetkili makamların yetkileri dahilinde ve usulüne göre verdikleri </w:t>
            </w:r>
            <w:r w:rsidR="00624A27" w:rsidRPr="00D60C1D">
              <w:rPr>
                <w:rFonts w:eastAsia="Times New Roman"/>
                <w:color w:val="000000"/>
                <w:szCs w:val="24"/>
                <w:lang w:eastAsia="tr-TR"/>
              </w:rPr>
              <w:t>ve</w:t>
            </w:r>
            <w:r w:rsidR="00624A27" w:rsidRPr="00A23740">
              <w:rPr>
                <w:rFonts w:eastAsia="Times New Roman"/>
                <w:szCs w:val="24"/>
                <w:lang w:eastAsia="tr-TR"/>
              </w:rPr>
              <w:t xml:space="preserve"> </w:t>
            </w:r>
            <w:r w:rsidR="00F7485F" w:rsidRPr="00A23740">
              <w:rPr>
                <w:rFonts w:eastAsia="Times New Roman"/>
                <w:lang w:eastAsia="tr-TR"/>
              </w:rPr>
              <w:t>(a) bendinde yazılı</w:t>
            </w:r>
            <w:r w:rsidR="00F7485F" w:rsidRPr="00A23740">
              <w:rPr>
                <w:rFonts w:eastAsia="Times New Roman"/>
                <w:szCs w:val="24"/>
                <w:lang w:eastAsia="tr-TR"/>
              </w:rPr>
              <w:t xml:space="preserve"> tarihlerden </w:t>
            </w:r>
            <w:r w:rsidR="00F7485F" w:rsidRPr="00A23740">
              <w:rPr>
                <w:rFonts w:eastAsia="Times New Roman"/>
                <w:lang w:eastAsia="tr-TR"/>
              </w:rPr>
              <w:t>önce düzenlenmiş</w:t>
            </w:r>
            <w:r w:rsidR="00F7485F" w:rsidRPr="00A23740">
              <w:rPr>
                <w:rFonts w:eastAsia="Times New Roman"/>
                <w:szCs w:val="24"/>
                <w:lang w:eastAsia="tr-TR"/>
              </w:rPr>
              <w:t xml:space="preserve"> makbuz veya </w:t>
            </w:r>
            <w:r w:rsidR="00E0327F" w:rsidRPr="00A23740">
              <w:rPr>
                <w:rFonts w:eastAsia="Times New Roman"/>
                <w:lang w:eastAsia="tr-TR"/>
              </w:rPr>
              <w:t>belge,</w:t>
            </w:r>
          </w:p>
          <w:p w:rsidR="00624A27" w:rsidRPr="00A23740" w:rsidRDefault="00EF4A52" w:rsidP="009431FF">
            <w:pPr>
              <w:tabs>
                <w:tab w:val="left" w:pos="567"/>
              </w:tabs>
              <w:rPr>
                <w:rFonts w:eastAsia="Times New Roman"/>
                <w:szCs w:val="24"/>
                <w:lang w:eastAsia="tr-TR"/>
              </w:rPr>
            </w:pPr>
            <w:r w:rsidRPr="00A23740">
              <w:rPr>
                <w:rFonts w:eastAsia="Times New Roman"/>
                <w:szCs w:val="24"/>
                <w:lang w:eastAsia="tr-TR"/>
              </w:rPr>
              <w:t>bulunan alacaklılar aynı malı haczettirmek ve talep etmek şartıyla aynı derecede hacze iştirak edebilecek</w:t>
            </w:r>
            <w:r w:rsidR="002F2CDD" w:rsidRPr="00A23740">
              <w:rPr>
                <w:rFonts w:eastAsia="Times New Roman"/>
                <w:szCs w:val="24"/>
                <w:lang w:eastAsia="tr-TR"/>
              </w:rPr>
              <w:t>lerd</w:t>
            </w:r>
            <w:r w:rsidRPr="00A23740">
              <w:rPr>
                <w:rFonts w:eastAsia="Times New Roman"/>
                <w:szCs w:val="24"/>
                <w:lang w:eastAsia="tr-TR"/>
              </w:rPr>
              <w:t>ir.</w:t>
            </w:r>
            <w:r w:rsidR="00F64937" w:rsidRPr="00A23740">
              <w:rPr>
                <w:rFonts w:eastAsia="Times New Roman"/>
                <w:szCs w:val="24"/>
                <w:lang w:eastAsia="tr-TR"/>
              </w:rPr>
              <w:t xml:space="preserve"> Burada dikkat edilmesi gereken husus, </w:t>
            </w:r>
            <w:r w:rsidR="00202593" w:rsidRPr="00A23740">
              <w:rPr>
                <w:rFonts w:eastAsia="Times New Roman"/>
                <w:szCs w:val="24"/>
                <w:lang w:eastAsia="tr-TR"/>
              </w:rPr>
              <w:t xml:space="preserve">rehin açığı belgesinin aciz belgesiyle aynı değerde sayılmamış olması ve rehin açığı belgesinin ancak </w:t>
            </w:r>
            <w:r w:rsidR="00AD7D81" w:rsidRPr="00A23740">
              <w:rPr>
                <w:bCs/>
                <w:iCs/>
                <w:szCs w:val="24"/>
              </w:rPr>
              <w:t xml:space="preserve">resmî </w:t>
            </w:r>
            <w:r w:rsidR="00202593" w:rsidRPr="00A23740">
              <w:rPr>
                <w:rFonts w:eastAsia="Times New Roman"/>
                <w:szCs w:val="24"/>
                <w:lang w:eastAsia="tr-TR"/>
              </w:rPr>
              <w:t>bir belge olarak hacze iştirak imk</w:t>
            </w:r>
            <w:r w:rsidR="00BE53A8" w:rsidRPr="00A23740">
              <w:rPr>
                <w:rFonts w:eastAsia="Times New Roman"/>
                <w:szCs w:val="24"/>
                <w:lang w:eastAsia="tr-TR"/>
              </w:rPr>
              <w:t>â</w:t>
            </w:r>
            <w:r w:rsidR="00202593" w:rsidRPr="00A23740">
              <w:rPr>
                <w:rFonts w:eastAsia="Times New Roman"/>
                <w:szCs w:val="24"/>
                <w:lang w:eastAsia="tr-TR"/>
              </w:rPr>
              <w:t xml:space="preserve">nı vereceğinin kabul edilmiş olmasıdır. Buna göre öncelik şartı bakımından </w:t>
            </w:r>
            <w:r w:rsidR="00F64937" w:rsidRPr="00A23740">
              <w:rPr>
                <w:rFonts w:eastAsia="Times New Roman"/>
                <w:szCs w:val="24"/>
                <w:lang w:eastAsia="tr-TR"/>
              </w:rPr>
              <w:t xml:space="preserve">ipoteğin paraya çevrilmesi </w:t>
            </w:r>
            <w:r w:rsidR="00202593" w:rsidRPr="00A23740">
              <w:rPr>
                <w:rFonts w:eastAsia="Times New Roman"/>
                <w:szCs w:val="24"/>
                <w:lang w:eastAsia="tr-TR"/>
              </w:rPr>
              <w:t xml:space="preserve">yoluyla </w:t>
            </w:r>
            <w:r w:rsidR="00F64937" w:rsidRPr="00A23740">
              <w:rPr>
                <w:rFonts w:eastAsia="Times New Roman"/>
                <w:szCs w:val="24"/>
                <w:lang w:eastAsia="tr-TR"/>
              </w:rPr>
              <w:t xml:space="preserve">takipte </w:t>
            </w:r>
            <w:r w:rsidR="00202593" w:rsidRPr="00A23740">
              <w:rPr>
                <w:rFonts w:eastAsia="Times New Roman"/>
                <w:szCs w:val="24"/>
                <w:lang w:eastAsia="tr-TR"/>
              </w:rPr>
              <w:t xml:space="preserve">takip tarihinin değil rehin açığı belgesinin düzenlendiği tarih esas alınarak </w:t>
            </w:r>
            <w:r w:rsidR="00F64937" w:rsidRPr="00A23740">
              <w:rPr>
                <w:rFonts w:eastAsia="Times New Roman"/>
                <w:szCs w:val="24"/>
                <w:lang w:eastAsia="tr-TR"/>
              </w:rPr>
              <w:t xml:space="preserve">hacze iştirak </w:t>
            </w:r>
            <w:r w:rsidR="00202593" w:rsidRPr="00A23740">
              <w:rPr>
                <w:rFonts w:eastAsia="Times New Roman"/>
                <w:szCs w:val="24"/>
                <w:lang w:eastAsia="tr-TR"/>
              </w:rPr>
              <w:t>edilebilecektir.</w:t>
            </w:r>
          </w:p>
          <w:p w:rsidR="00F7485F" w:rsidRPr="00D60C1D" w:rsidRDefault="00B77923" w:rsidP="009431FF">
            <w:pPr>
              <w:pStyle w:val="Mavi"/>
              <w:rPr>
                <w:rFonts w:eastAsia="Times New Roman"/>
                <w:b w:val="0"/>
                <w:color w:val="000000"/>
                <w:lang w:eastAsia="tr-TR"/>
              </w:rPr>
            </w:pPr>
            <w:r w:rsidRPr="00A23740">
              <w:tab/>
            </w:r>
            <w:r w:rsidR="00F7485F" w:rsidRPr="00D60C1D">
              <w:rPr>
                <w:b w:val="0"/>
                <w:color w:val="000000"/>
              </w:rPr>
              <w:t>Bu madde yazılırken Yargıtay uygulaması esas alınarak rehin açığı belgesi aciz belgesiyle aynı değerde sayılmamış; re</w:t>
            </w:r>
            <w:r w:rsidR="00AD7D81" w:rsidRPr="00D60C1D">
              <w:rPr>
                <w:b w:val="0"/>
                <w:color w:val="000000"/>
              </w:rPr>
              <w:t>hin açığı belgesinin ancak resm</w:t>
            </w:r>
            <w:r w:rsidR="00AD7D81" w:rsidRPr="00D60C1D">
              <w:rPr>
                <w:b w:val="0"/>
                <w:color w:val="000000"/>
                <w:lang w:val="tr-TR"/>
              </w:rPr>
              <w:t>î</w:t>
            </w:r>
            <w:r w:rsidR="00F7485F" w:rsidRPr="00D60C1D">
              <w:rPr>
                <w:b w:val="0"/>
                <w:color w:val="000000"/>
              </w:rPr>
              <w:t xml:space="preserve"> belge olarak hacze iştirak imk</w:t>
            </w:r>
            <w:r w:rsidR="00BE53A8" w:rsidRPr="00D60C1D">
              <w:rPr>
                <w:b w:val="0"/>
                <w:color w:val="000000"/>
                <w:lang w:val="tr-TR"/>
              </w:rPr>
              <w:t>â</w:t>
            </w:r>
            <w:r w:rsidR="00F7485F" w:rsidRPr="00D60C1D">
              <w:rPr>
                <w:b w:val="0"/>
                <w:color w:val="000000"/>
              </w:rPr>
              <w:t>nı vereceği kabul edilmiştir. Bu tercihin sonucu</w:t>
            </w:r>
            <w:r w:rsidR="002F2CDD" w:rsidRPr="00D60C1D">
              <w:rPr>
                <w:b w:val="0"/>
                <w:color w:val="000000"/>
                <w:lang w:val="tr-TR"/>
              </w:rPr>
              <w:t>;</w:t>
            </w:r>
            <w:r w:rsidR="00F7485F" w:rsidRPr="00D60C1D">
              <w:rPr>
                <w:b w:val="0"/>
                <w:color w:val="000000"/>
              </w:rPr>
              <w:t xml:space="preserve"> öncelik şartı bakımından ipoteğin paraya çevrilmesi yoluyla takip tarihinin değil</w:t>
            </w:r>
            <w:r w:rsidR="002F2CDD" w:rsidRPr="00D60C1D">
              <w:rPr>
                <w:b w:val="0"/>
                <w:color w:val="000000"/>
                <w:lang w:val="tr-TR"/>
              </w:rPr>
              <w:t>,</w:t>
            </w:r>
            <w:r w:rsidR="00F7485F" w:rsidRPr="00D60C1D">
              <w:rPr>
                <w:b w:val="0"/>
                <w:color w:val="000000"/>
              </w:rPr>
              <w:t xml:space="preserve"> belgenin düzenlendiği tarihin esas alınması olacaktır. </w:t>
            </w:r>
          </w:p>
          <w:p w:rsidR="00EF654F" w:rsidRPr="00A23740" w:rsidRDefault="00EF4A52" w:rsidP="009431FF">
            <w:pPr>
              <w:tabs>
                <w:tab w:val="left" w:pos="567"/>
              </w:tabs>
              <w:ind w:firstLine="567"/>
              <w:rPr>
                <w:rFonts w:eastAsia="Times New Roman"/>
                <w:szCs w:val="24"/>
                <w:lang w:eastAsia="tr-TR"/>
              </w:rPr>
            </w:pPr>
            <w:r w:rsidRPr="00A23740">
              <w:rPr>
                <w:rFonts w:eastAsia="Times New Roman"/>
                <w:szCs w:val="24"/>
                <w:lang w:eastAsia="tr-TR"/>
              </w:rPr>
              <w:t>İkinci fıkray</w:t>
            </w:r>
            <w:r w:rsidR="006A70F1" w:rsidRPr="00A23740">
              <w:rPr>
                <w:rFonts w:eastAsia="Times New Roman"/>
                <w:szCs w:val="24"/>
                <w:lang w:eastAsia="tr-TR"/>
              </w:rPr>
              <w:t>la</w:t>
            </w:r>
            <w:r w:rsidRPr="00A23740">
              <w:rPr>
                <w:rFonts w:eastAsia="Times New Roman"/>
                <w:szCs w:val="24"/>
                <w:lang w:eastAsia="tr-TR"/>
              </w:rPr>
              <w:t>, hacze işt</w:t>
            </w:r>
            <w:r w:rsidR="00E0327F" w:rsidRPr="00A23740">
              <w:rPr>
                <w:rFonts w:eastAsia="Times New Roman"/>
                <w:szCs w:val="24"/>
                <w:lang w:eastAsia="tr-TR"/>
              </w:rPr>
              <w:t xml:space="preserve">irak talepleri kabul edildikçe </w:t>
            </w:r>
            <w:r w:rsidRPr="00A23740">
              <w:rPr>
                <w:rFonts w:eastAsia="Times New Roman"/>
                <w:szCs w:val="24"/>
                <w:lang w:eastAsia="tr-TR"/>
              </w:rPr>
              <w:t>icra ve iflas dairesi</w:t>
            </w:r>
            <w:r w:rsidR="006A70F1" w:rsidRPr="00A23740">
              <w:rPr>
                <w:rFonts w:eastAsia="Times New Roman"/>
                <w:szCs w:val="24"/>
                <w:lang w:eastAsia="tr-TR"/>
              </w:rPr>
              <w:t xml:space="preserve">nin aynı derecedeki alacaklıların bütün alacaklarına </w:t>
            </w:r>
            <w:r w:rsidR="002F2CDD" w:rsidRPr="00A23740">
              <w:rPr>
                <w:rFonts w:eastAsia="Times New Roman"/>
                <w:szCs w:val="24"/>
                <w:lang w:eastAsia="tr-TR"/>
              </w:rPr>
              <w:t xml:space="preserve"> yetecek kadar </w:t>
            </w:r>
            <w:r w:rsidR="006A70F1" w:rsidRPr="00A23740">
              <w:rPr>
                <w:rFonts w:eastAsia="Times New Roman"/>
                <w:szCs w:val="24"/>
                <w:lang w:eastAsia="tr-TR"/>
              </w:rPr>
              <w:t>ilave haciz yapacağı düzenlenmektedir.</w:t>
            </w:r>
            <w:r w:rsidR="00E0327F" w:rsidRPr="00A23740">
              <w:rPr>
                <w:rFonts w:eastAsia="Times New Roman"/>
                <w:szCs w:val="24"/>
                <w:lang w:eastAsia="tr-TR"/>
              </w:rPr>
              <w:t xml:space="preserve"> </w:t>
            </w:r>
            <w:r w:rsidR="00E0327F" w:rsidRPr="00D60C1D">
              <w:rPr>
                <w:rStyle w:val="MaviChar"/>
                <w:b w:val="0"/>
                <w:color w:val="000000"/>
              </w:rPr>
              <w:t xml:space="preserve">Maddenin bu yeni ifadesiyle </w:t>
            </w:r>
            <w:r w:rsidR="00E0327F" w:rsidRPr="00D60C1D">
              <w:rPr>
                <w:rStyle w:val="MaviChar"/>
                <w:b w:val="0"/>
                <w:color w:val="000000"/>
                <w:lang w:val="tr-TR"/>
              </w:rPr>
              <w:t xml:space="preserve">tıpkı </w:t>
            </w:r>
            <w:r w:rsidR="00172330" w:rsidRPr="00D60C1D">
              <w:rPr>
                <w:rStyle w:val="MaviChar"/>
                <w:b w:val="0"/>
                <w:color w:val="000000"/>
                <w:lang w:val="tr-TR"/>
              </w:rPr>
              <w:t xml:space="preserve">İsviçre </w:t>
            </w:r>
            <w:r w:rsidR="00E0327F" w:rsidRPr="00D60C1D">
              <w:rPr>
                <w:rStyle w:val="MaviChar"/>
                <w:b w:val="0"/>
                <w:color w:val="000000"/>
                <w:lang w:val="tr-TR"/>
              </w:rPr>
              <w:t>hukukunda kabul edildiği şekliyle (madde 110 fıkra</w:t>
            </w:r>
            <w:r w:rsidR="00E0327F" w:rsidRPr="00A23740">
              <w:rPr>
                <w:rStyle w:val="MaviChar"/>
                <w:lang w:val="tr-TR"/>
              </w:rPr>
              <w:t xml:space="preserve"> </w:t>
            </w:r>
            <w:r w:rsidR="007119B5" w:rsidRPr="00D60C1D">
              <w:rPr>
                <w:rStyle w:val="KonuBalChar"/>
                <w:rFonts w:eastAsia="Calibri"/>
                <w:b w:val="0"/>
                <w:color w:val="000000"/>
              </w:rPr>
              <w:t>bir</w:t>
            </w:r>
            <w:r w:rsidR="00E0327F" w:rsidRPr="00D60C1D">
              <w:rPr>
                <w:rStyle w:val="MaviChar"/>
                <w:b w:val="0"/>
                <w:color w:val="000000"/>
                <w:lang w:val="tr-TR"/>
              </w:rPr>
              <w:t xml:space="preserve"> cümle</w:t>
            </w:r>
            <w:r w:rsidR="00E0327F" w:rsidRPr="00A23740">
              <w:rPr>
                <w:rStyle w:val="MaviChar"/>
                <w:lang w:val="tr-TR"/>
              </w:rPr>
              <w:t xml:space="preserve"> </w:t>
            </w:r>
            <w:r w:rsidR="007119B5" w:rsidRPr="009A265C">
              <w:rPr>
                <w:rStyle w:val="MaviChar"/>
                <w:b w:val="0"/>
                <w:color w:val="000000"/>
              </w:rPr>
              <w:t>iki</w:t>
            </w:r>
            <w:r w:rsidR="00E0327F" w:rsidRPr="00D60C1D">
              <w:rPr>
                <w:rStyle w:val="MaviChar"/>
                <w:b w:val="0"/>
                <w:color w:val="000000"/>
                <w:lang w:val="tr-TR"/>
              </w:rPr>
              <w:t xml:space="preserve">) </w:t>
            </w:r>
            <w:r w:rsidR="00E0327F" w:rsidRPr="00D60C1D">
              <w:rPr>
                <w:rStyle w:val="MaviChar"/>
                <w:b w:val="0"/>
                <w:color w:val="000000"/>
              </w:rPr>
              <w:t>ilave hacizler yapılabilmesi için alacakların ayrıca haciz talebinde bulunmalarına gerek kalmayacak ve ilave haciz ile ek haciz arasında uygulamada ortaya çıkmış olan fark ortadan kalkmış olacaktır.</w:t>
            </w:r>
            <w:r w:rsidR="00E0327F" w:rsidRPr="00A23740">
              <w:rPr>
                <w:rFonts w:eastAsia="Times New Roman"/>
                <w:szCs w:val="24"/>
                <w:lang w:eastAsia="tr-TR"/>
              </w:rPr>
              <w:t xml:space="preserve"> </w:t>
            </w:r>
          </w:p>
          <w:p w:rsidR="006A70F1" w:rsidRPr="00A23740" w:rsidRDefault="006A70F1" w:rsidP="009431FF">
            <w:pPr>
              <w:tabs>
                <w:tab w:val="left" w:pos="567"/>
              </w:tabs>
              <w:ind w:firstLine="567"/>
              <w:rPr>
                <w:rFonts w:eastAsia="Times New Roman"/>
                <w:szCs w:val="24"/>
                <w:lang w:eastAsia="tr-TR"/>
              </w:rPr>
            </w:pPr>
            <w:r w:rsidRPr="00A23740">
              <w:rPr>
                <w:rFonts w:eastAsia="Times New Roman"/>
                <w:szCs w:val="24"/>
                <w:lang w:eastAsia="tr-TR"/>
              </w:rPr>
              <w:t xml:space="preserve">Üçüncü fıkrayla, diğer alacaklıların ancak önceki dereceden kalan kısım için haciz koyabileceği ya da bu hacze iştirak edebileceği </w:t>
            </w:r>
            <w:r w:rsidR="00194118" w:rsidRPr="00A23740">
              <w:rPr>
                <w:rFonts w:eastAsia="Times New Roman"/>
                <w:szCs w:val="24"/>
                <w:lang w:eastAsia="tr-TR"/>
              </w:rPr>
              <w:t>hükme bağlanmaktadır</w:t>
            </w:r>
            <w:r w:rsidRPr="00A23740">
              <w:rPr>
                <w:rFonts w:eastAsia="Times New Roman"/>
                <w:szCs w:val="24"/>
                <w:lang w:eastAsia="tr-TR"/>
              </w:rPr>
              <w:t>.</w:t>
            </w:r>
          </w:p>
          <w:p w:rsidR="00AE57E0" w:rsidRPr="00A23740" w:rsidRDefault="006A70F1" w:rsidP="009431FF">
            <w:pPr>
              <w:tabs>
                <w:tab w:val="left" w:pos="567"/>
              </w:tabs>
              <w:ind w:firstLine="567"/>
              <w:rPr>
                <w:rFonts w:eastAsia="Times New Roman"/>
                <w:b/>
                <w:szCs w:val="24"/>
                <w:lang w:eastAsia="tr-TR"/>
              </w:rPr>
            </w:pPr>
            <w:r w:rsidRPr="00A23740">
              <w:rPr>
                <w:rFonts w:eastAsia="Times New Roman"/>
                <w:szCs w:val="24"/>
                <w:lang w:eastAsia="tr-TR"/>
              </w:rPr>
              <w:t xml:space="preserve">Dördüncü fıkrayla, rehinden önce haciz bulunması hâlinde </w:t>
            </w:r>
            <w:r w:rsidR="00814085" w:rsidRPr="00D60C1D">
              <w:rPr>
                <w:rFonts w:eastAsia="Times New Roman"/>
                <w:bCs/>
                <w:color w:val="000000"/>
                <w:szCs w:val="24"/>
                <w:lang w:eastAsia="tr-TR"/>
              </w:rPr>
              <w:t>kamu</w:t>
            </w:r>
            <w:r w:rsidR="00814085" w:rsidRPr="00A23740">
              <w:rPr>
                <w:rFonts w:eastAsia="Times New Roman"/>
                <w:color w:val="538135"/>
                <w:szCs w:val="24"/>
                <w:lang w:eastAsia="tr-TR"/>
              </w:rPr>
              <w:t xml:space="preserve"> </w:t>
            </w:r>
            <w:r w:rsidRPr="00A23740">
              <w:rPr>
                <w:rFonts w:eastAsia="Times New Roman"/>
                <w:szCs w:val="24"/>
                <w:lang w:eastAsia="tr-TR"/>
              </w:rPr>
              <w:t>alacağı dahil hiçbir haczin rehinden önceki hacze iştirak edemeyeceği</w:t>
            </w:r>
            <w:r w:rsidR="00194118" w:rsidRPr="00A23740">
              <w:rPr>
                <w:rFonts w:eastAsia="Times New Roman"/>
                <w:szCs w:val="24"/>
                <w:lang w:eastAsia="tr-TR"/>
              </w:rPr>
              <w:t xml:space="preserve"> kabul edilmektedir</w:t>
            </w:r>
            <w:r w:rsidRPr="00A23740">
              <w:rPr>
                <w:rFonts w:eastAsia="Times New Roman"/>
                <w:szCs w:val="24"/>
                <w:lang w:eastAsia="tr-TR"/>
              </w:rPr>
              <w:t>.</w:t>
            </w:r>
            <w:r w:rsidR="00194118" w:rsidRPr="00A23740">
              <w:rPr>
                <w:rFonts w:eastAsia="Times New Roman"/>
                <w:szCs w:val="24"/>
                <w:lang w:eastAsia="tr-TR"/>
              </w:rPr>
              <w:t xml:space="preserve"> </w:t>
            </w:r>
            <w:r w:rsidR="00E0327F" w:rsidRPr="00D60C1D">
              <w:rPr>
                <w:rStyle w:val="MaviChar"/>
                <w:b w:val="0"/>
                <w:color w:val="000000"/>
              </w:rPr>
              <w:t>Maddeye eklenen son fıkrayla</w:t>
            </w:r>
            <w:r w:rsidR="001261BC" w:rsidRPr="00D60C1D">
              <w:rPr>
                <w:rStyle w:val="MaviChar"/>
                <w:b w:val="0"/>
                <w:color w:val="000000"/>
                <w:lang w:val="tr-TR"/>
              </w:rPr>
              <w:t>,</w:t>
            </w:r>
            <w:r w:rsidR="00E0327F" w:rsidRPr="00D60C1D">
              <w:rPr>
                <w:rStyle w:val="MaviChar"/>
                <w:b w:val="0"/>
                <w:color w:val="000000"/>
              </w:rPr>
              <w:t xml:space="preserve"> </w:t>
            </w:r>
            <w:r w:rsidR="001261BC" w:rsidRPr="00D60C1D">
              <w:rPr>
                <w:rStyle w:val="MaviChar"/>
                <w:b w:val="0"/>
                <w:color w:val="000000"/>
              </w:rPr>
              <w:t>Tasla</w:t>
            </w:r>
            <w:r w:rsidR="001261BC" w:rsidRPr="00D60C1D">
              <w:rPr>
                <w:rStyle w:val="MaviChar"/>
                <w:b w:val="0"/>
                <w:color w:val="000000"/>
                <w:lang w:val="tr-TR"/>
              </w:rPr>
              <w:t>ğın</w:t>
            </w:r>
            <w:r w:rsidR="00106D22" w:rsidRPr="00D60C1D">
              <w:rPr>
                <w:rStyle w:val="MaviChar"/>
                <w:b w:val="0"/>
                <w:color w:val="000000"/>
                <w:lang w:val="tr-TR"/>
              </w:rPr>
              <w:t xml:space="preserve"> </w:t>
            </w:r>
            <w:r w:rsidR="00106D22" w:rsidRPr="00D60C1D">
              <w:rPr>
                <w:rStyle w:val="KonuBalChar"/>
                <w:rFonts w:eastAsia="Calibri"/>
                <w:b w:val="0"/>
                <w:color w:val="000000"/>
              </w:rPr>
              <w:t>463 üncü</w:t>
            </w:r>
            <w:r w:rsidR="001261BC" w:rsidRPr="00A23740">
              <w:rPr>
                <w:rStyle w:val="MaviChar"/>
              </w:rPr>
              <w:t xml:space="preserve"> </w:t>
            </w:r>
            <w:r w:rsidR="00E0327F" w:rsidRPr="00D60C1D">
              <w:rPr>
                <w:rStyle w:val="MaviChar"/>
                <w:b w:val="0"/>
                <w:color w:val="000000"/>
              </w:rPr>
              <w:t>(</w:t>
            </w:r>
            <w:r w:rsidR="001261BC" w:rsidRPr="00D60C1D">
              <w:rPr>
                <w:rStyle w:val="KonuBalChar"/>
                <w:rFonts w:eastAsia="Calibri"/>
                <w:b w:val="0"/>
                <w:color w:val="000000"/>
              </w:rPr>
              <w:t>2004 sayılı</w:t>
            </w:r>
            <w:r w:rsidR="00E0327F" w:rsidRPr="00D60C1D">
              <w:rPr>
                <w:rStyle w:val="MaviChar"/>
                <w:b w:val="0"/>
                <w:color w:val="000000"/>
              </w:rPr>
              <w:t xml:space="preserve"> </w:t>
            </w:r>
            <w:r w:rsidR="001261BC" w:rsidRPr="00D60C1D">
              <w:rPr>
                <w:rStyle w:val="MaviChar"/>
                <w:b w:val="0"/>
                <w:color w:val="000000"/>
              </w:rPr>
              <w:t>Kanun</w:t>
            </w:r>
            <w:r w:rsidR="001261BC" w:rsidRPr="00D60C1D">
              <w:rPr>
                <w:rStyle w:val="MaviChar"/>
                <w:b w:val="0"/>
                <w:color w:val="000000"/>
                <w:lang w:val="tr-TR"/>
              </w:rPr>
              <w:t>un</w:t>
            </w:r>
            <w:r w:rsidR="001261BC" w:rsidRPr="00A23740">
              <w:rPr>
                <w:rStyle w:val="MaviChar"/>
              </w:rPr>
              <w:t xml:space="preserve"> </w:t>
            </w:r>
            <w:r w:rsidR="001261BC" w:rsidRPr="00D60C1D">
              <w:rPr>
                <w:rStyle w:val="KonuBalChar"/>
                <w:rFonts w:eastAsia="Calibri"/>
                <w:b w:val="0"/>
                <w:color w:val="000000"/>
              </w:rPr>
              <w:t>268 inci maddesinin birinci fıkrasının</w:t>
            </w:r>
            <w:r w:rsidR="00E0327F" w:rsidRPr="00D60C1D">
              <w:rPr>
                <w:rStyle w:val="MaviChar"/>
                <w:b w:val="0"/>
                <w:color w:val="000000"/>
              </w:rPr>
              <w:t xml:space="preserve"> son cümle</w:t>
            </w:r>
            <w:r w:rsidR="001261BC" w:rsidRPr="00D60C1D">
              <w:rPr>
                <w:rStyle w:val="KonuBalChar"/>
                <w:rFonts w:eastAsia="Calibri"/>
                <w:b w:val="0"/>
                <w:color w:val="000000"/>
              </w:rPr>
              <w:t>si</w:t>
            </w:r>
            <w:r w:rsidR="00E0327F" w:rsidRPr="00D60C1D">
              <w:rPr>
                <w:rStyle w:val="MaviChar"/>
                <w:b w:val="0"/>
                <w:color w:val="000000"/>
              </w:rPr>
              <w:t>)</w:t>
            </w:r>
            <w:r w:rsidR="00E0327F" w:rsidRPr="00A23740">
              <w:rPr>
                <w:rStyle w:val="MaviChar"/>
              </w:rPr>
              <w:t xml:space="preserve"> </w:t>
            </w:r>
            <w:r w:rsidR="00E0327F" w:rsidRPr="00D60C1D">
              <w:rPr>
                <w:rStyle w:val="MaviChar"/>
                <w:b w:val="0"/>
                <w:color w:val="000000"/>
              </w:rPr>
              <w:t>maddeyle uyum sağlanmıştır. Ayrıca ihtiyati hacze iştirak zaten mümkün olmadığından</w:t>
            </w:r>
            <w:r w:rsidR="00172330" w:rsidRPr="00D60C1D">
              <w:rPr>
                <w:rStyle w:val="MaviChar"/>
                <w:b w:val="0"/>
                <w:color w:val="000000"/>
                <w:lang w:val="tr-TR"/>
              </w:rPr>
              <w:t>,</w:t>
            </w:r>
            <w:r w:rsidR="00E0327F" w:rsidRPr="00D60C1D">
              <w:rPr>
                <w:rStyle w:val="MaviChar"/>
                <w:b w:val="0"/>
                <w:color w:val="000000"/>
              </w:rPr>
              <w:t xml:space="preserve"> önceki metinde yer alan ihtiyati ve icrai kelimeleri fıkradan çıkartılmıştır.</w:t>
            </w:r>
          </w:p>
          <w:p w:rsidR="006A70F1" w:rsidRPr="00A23740" w:rsidRDefault="006A70F1" w:rsidP="009431FF">
            <w:pPr>
              <w:tabs>
                <w:tab w:val="left" w:pos="567"/>
              </w:tabs>
              <w:ind w:firstLine="567"/>
              <w:rPr>
                <w:rStyle w:val="MaviChar"/>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Önce icrası </w:t>
            </w:r>
            <w:r w:rsidRPr="00A23740">
              <w:rPr>
                <w:rStyle w:val="KIRMIZIChar"/>
                <w:rFonts w:eastAsia="Calibri"/>
              </w:rPr>
              <w:t>lazım gelen merasime lüzum</w:t>
            </w:r>
            <w:r w:rsidRPr="00A23740">
              <w:rPr>
                <w:rFonts w:eastAsia="Times New Roman"/>
                <w:b/>
                <w:szCs w:val="24"/>
                <w:lang w:eastAsia="tr-TR"/>
              </w:rPr>
              <w:t xml:space="preserve"> olmaksızın iştirak</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101 – (1) (Değişik</w:t>
            </w:r>
            <w:r w:rsidRPr="00A23740">
              <w:rPr>
                <w:rFonts w:eastAsia="Times New Roman"/>
                <w:b/>
                <w:strike/>
                <w:color w:val="FF0000"/>
                <w:szCs w:val="24"/>
                <w:lang w:eastAsia="tr-TR"/>
              </w:rPr>
              <w:t>: 3/7/1940 - 3890/1 md.)</w:t>
            </w: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 xml:space="preserve">Borçlunun eşi </w:t>
            </w:r>
            <w:r w:rsidRPr="00A23740">
              <w:rPr>
                <w:rStyle w:val="KIRMIZIChar"/>
                <w:rFonts w:eastAsia="Calibri"/>
              </w:rPr>
              <w:t>ve</w:t>
            </w:r>
            <w:r w:rsidRPr="00A23740">
              <w:rPr>
                <w:rFonts w:eastAsia="Times New Roman"/>
                <w:szCs w:val="24"/>
                <w:lang w:eastAsia="tr-TR"/>
              </w:rPr>
              <w:t xml:space="preserve"> çocukları ve vasi veya kayyımı olduğu </w:t>
            </w:r>
            <w:r w:rsidRPr="00A23740">
              <w:rPr>
                <w:rFonts w:eastAsia="Times New Roman"/>
                <w:b/>
                <w:strike/>
                <w:color w:val="FF0000"/>
                <w:szCs w:val="24"/>
                <w:lang w:eastAsia="tr-TR"/>
              </w:rPr>
              <w:t>şahıslar</w:t>
            </w:r>
            <w:r w:rsidRPr="00A23740">
              <w:rPr>
                <w:rFonts w:eastAsia="Times New Roman"/>
                <w:szCs w:val="24"/>
                <w:lang w:eastAsia="tr-TR"/>
              </w:rPr>
              <w:t xml:space="preserve"> evlenme, velayet veya vesayetten </w:t>
            </w:r>
            <w:r w:rsidRPr="00A23740">
              <w:rPr>
                <w:rFonts w:eastAsia="Times New Roman"/>
                <w:b/>
                <w:strike/>
                <w:color w:val="FF0000"/>
                <w:szCs w:val="24"/>
                <w:lang w:eastAsia="tr-TR"/>
              </w:rPr>
              <w:t>mütevellit</w:t>
            </w:r>
            <w:r w:rsidRPr="00A23740">
              <w:rPr>
                <w:rFonts w:eastAsia="Times New Roman"/>
                <w:szCs w:val="24"/>
                <w:lang w:eastAsia="tr-TR"/>
              </w:rPr>
              <w:t xml:space="preserve"> alacaklar için önce icra</w:t>
            </w:r>
            <w:r w:rsidRPr="00A23740">
              <w:rPr>
                <w:rFonts w:eastAsia="Times New Roman"/>
                <w:b/>
                <w:strike/>
                <w:color w:val="FF0000"/>
                <w:szCs w:val="24"/>
                <w:lang w:eastAsia="tr-TR"/>
              </w:rPr>
              <w:t>sı lazım gelen takip merasimine lüzum</w:t>
            </w:r>
            <w:r w:rsidRPr="00A23740">
              <w:rPr>
                <w:rFonts w:eastAsia="Times New Roman"/>
                <w:szCs w:val="24"/>
                <w:lang w:eastAsia="tr-TR"/>
              </w:rPr>
              <w:t xml:space="preserve"> olmaksızın ilk haciz üzerine satılan malın tutarı </w:t>
            </w:r>
            <w:r w:rsidRPr="00A23740">
              <w:rPr>
                <w:rFonts w:eastAsia="Times New Roman"/>
                <w:b/>
                <w:strike/>
                <w:color w:val="FF0000"/>
                <w:szCs w:val="24"/>
                <w:lang w:eastAsia="tr-TR"/>
              </w:rPr>
              <w:t>vezneye</w:t>
            </w:r>
            <w:r w:rsidRPr="00A23740">
              <w:rPr>
                <w:rFonts w:eastAsia="Times New Roman"/>
                <w:b/>
                <w:color w:val="FF0000"/>
                <w:szCs w:val="24"/>
                <w:lang w:eastAsia="tr-TR"/>
              </w:rPr>
              <w:t xml:space="preserve"> </w:t>
            </w:r>
            <w:r w:rsidRPr="00A23740">
              <w:rPr>
                <w:rFonts w:eastAsia="Times New Roman"/>
                <w:szCs w:val="24"/>
                <w:lang w:eastAsia="tr-TR"/>
              </w:rPr>
              <w:t>girinceye kadar aynı derecede hacze iştirak edebilir</w:t>
            </w:r>
            <w:r w:rsidRPr="00A23740">
              <w:rPr>
                <w:rStyle w:val="KIRMIZIChar"/>
                <w:rFonts w:eastAsia="Calibri"/>
              </w:rPr>
              <w:t>ler</w:t>
            </w:r>
            <w:r w:rsidRPr="00A23740">
              <w:rPr>
                <w:rFonts w:eastAsia="Times New Roman"/>
                <w:szCs w:val="24"/>
                <w:lang w:eastAsia="tr-TR"/>
              </w:rPr>
              <w:t xml:space="preserve">. </w:t>
            </w:r>
            <w:r w:rsidRPr="00A23740">
              <w:rPr>
                <w:rStyle w:val="KIRMIZIChar"/>
                <w:rFonts w:eastAsia="Calibri"/>
              </w:rPr>
              <w:t>Şu kadar ki</w:t>
            </w:r>
            <w:r w:rsidRPr="00A23740">
              <w:rPr>
                <w:rFonts w:eastAsia="Times New Roman"/>
                <w:szCs w:val="24"/>
                <w:lang w:eastAsia="tr-TR"/>
              </w:rPr>
              <w:t xml:space="preserve"> bu hak ancak haciz, vesayetin </w:t>
            </w:r>
            <w:r w:rsidRPr="00A23740">
              <w:rPr>
                <w:rStyle w:val="KIRMIZIChar"/>
                <w:rFonts w:eastAsia="Calibri"/>
              </w:rPr>
              <w:t>veya</w:t>
            </w:r>
            <w:r w:rsidRPr="00A23740">
              <w:rPr>
                <w:rFonts w:eastAsia="Times New Roman"/>
                <w:szCs w:val="24"/>
                <w:lang w:eastAsia="tr-TR"/>
              </w:rPr>
              <w:t xml:space="preserve"> velayetin veya evliliğin devamı esnasında </w:t>
            </w:r>
            <w:r w:rsidRPr="00A23740">
              <w:rPr>
                <w:rStyle w:val="KIRMIZIChar"/>
                <w:rFonts w:eastAsia="Calibri"/>
              </w:rPr>
              <w:t>veya</w:t>
            </w:r>
            <w:r w:rsidRPr="00A23740">
              <w:rPr>
                <w:rFonts w:eastAsia="Times New Roman"/>
                <w:szCs w:val="24"/>
                <w:lang w:eastAsia="tr-TR"/>
              </w:rPr>
              <w:t xml:space="preserve"> </w:t>
            </w:r>
            <w:r w:rsidRPr="00A23740">
              <w:rPr>
                <w:rFonts w:eastAsia="Times New Roman"/>
                <w:b/>
                <w:strike/>
                <w:color w:val="FF0000"/>
                <w:szCs w:val="24"/>
                <w:lang w:eastAsia="tr-TR"/>
              </w:rPr>
              <w:t>zevalini</w:t>
            </w:r>
            <w:r w:rsidRPr="00A23740">
              <w:rPr>
                <w:rFonts w:eastAsia="Times New Roman"/>
                <w:szCs w:val="24"/>
                <w:lang w:eastAsia="tr-TR"/>
              </w:rPr>
              <w:t xml:space="preserve"> takip eden </w:t>
            </w:r>
            <w:r w:rsidRPr="00A23740">
              <w:rPr>
                <w:rFonts w:eastAsia="Times New Roman"/>
                <w:b/>
                <w:strike/>
                <w:color w:val="FF0000"/>
                <w:szCs w:val="24"/>
                <w:lang w:eastAsia="tr-TR"/>
              </w:rPr>
              <w:t>sene</w:t>
            </w:r>
            <w:r w:rsidRPr="00A23740">
              <w:rPr>
                <w:rFonts w:eastAsia="Times New Roman"/>
                <w:szCs w:val="24"/>
                <w:lang w:eastAsia="tr-TR"/>
              </w:rPr>
              <w:t xml:space="preserve"> içinde </w:t>
            </w:r>
            <w:r w:rsidRPr="00A23740">
              <w:rPr>
                <w:rStyle w:val="KIRMIZIChar"/>
                <w:rFonts w:eastAsia="Calibri"/>
              </w:rPr>
              <w:t>yapıldığı takdirde istimal olunabilir</w:t>
            </w:r>
            <w:r w:rsidRPr="00A23740">
              <w:rPr>
                <w:rFonts w:eastAsia="Times New Roman"/>
                <w:szCs w:val="24"/>
                <w:lang w:eastAsia="tr-TR"/>
              </w:rPr>
              <w:t xml:space="preserve">. </w:t>
            </w:r>
            <w:r w:rsidRPr="00A23740">
              <w:rPr>
                <w:rStyle w:val="KIRMIZIChar"/>
                <w:rFonts w:eastAsia="Calibri"/>
              </w:rPr>
              <w:t>Bir</w:t>
            </w:r>
            <w:r w:rsidRPr="00A23740">
              <w:rPr>
                <w:rFonts w:eastAsia="Times New Roman"/>
                <w:szCs w:val="24"/>
                <w:lang w:eastAsia="tr-TR"/>
              </w:rPr>
              <w:t xml:space="preserve"> dava veya takibin devam ettiği </w:t>
            </w:r>
            <w:r w:rsidRPr="00A23740">
              <w:rPr>
                <w:rStyle w:val="KIRMIZIChar"/>
                <w:rFonts w:eastAsia="Calibri"/>
              </w:rPr>
              <w:t xml:space="preserve">müddet hesaba katılmaz. </w:t>
            </w:r>
            <w:r w:rsidRPr="00A23740">
              <w:rPr>
                <w:rFonts w:eastAsia="Times New Roman"/>
                <w:szCs w:val="24"/>
                <w:lang w:eastAsia="tr-TR"/>
              </w:rPr>
              <w:t xml:space="preserve">Borçlunun </w:t>
            </w:r>
            <w:r w:rsidRPr="00A23740">
              <w:rPr>
                <w:rStyle w:val="KIRMIZIChar"/>
                <w:rFonts w:eastAsia="Calibri"/>
              </w:rPr>
              <w:t>reşit</w:t>
            </w:r>
            <w:r w:rsidRPr="00A23740">
              <w:rPr>
                <w:rFonts w:eastAsia="Times New Roman"/>
                <w:szCs w:val="24"/>
                <w:lang w:eastAsia="tr-TR"/>
              </w:rPr>
              <w:t xml:space="preserve"> çocukları </w:t>
            </w:r>
            <w:r w:rsidRPr="00A23740">
              <w:rPr>
                <w:rFonts w:eastAsia="Times New Roman"/>
                <w:b/>
                <w:strike/>
                <w:color w:val="FF0000"/>
                <w:szCs w:val="24"/>
                <w:lang w:eastAsia="tr-TR"/>
              </w:rPr>
              <w:t xml:space="preserve">Kanunu </w:t>
            </w:r>
            <w:r w:rsidRPr="00A23740">
              <w:t>Medeni</w:t>
            </w:r>
            <w:r w:rsidRPr="00A23740">
              <w:rPr>
                <w:rFonts w:eastAsia="Times New Roman"/>
                <w:b/>
                <w:strike/>
                <w:color w:val="FF0000"/>
                <w:szCs w:val="24"/>
                <w:lang w:eastAsia="tr-TR"/>
              </w:rPr>
              <w:t>nin 321</w:t>
            </w:r>
            <w:r w:rsidRPr="00A23740">
              <w:rPr>
                <w:rFonts w:eastAsia="Times New Roman"/>
                <w:szCs w:val="24"/>
                <w:lang w:eastAsia="tr-TR"/>
              </w:rPr>
              <w:t xml:space="preserve"> inci maddesine </w:t>
            </w:r>
            <w:r w:rsidRPr="00A23740">
              <w:rPr>
                <w:rFonts w:eastAsia="Times New Roman"/>
                <w:b/>
                <w:strike/>
                <w:color w:val="FF0000"/>
                <w:szCs w:val="24"/>
                <w:lang w:eastAsia="tr-TR"/>
              </w:rPr>
              <w:t>müstenit</w:t>
            </w:r>
            <w:r w:rsidRPr="00A23740">
              <w:rPr>
                <w:rFonts w:eastAsia="Times New Roman"/>
                <w:szCs w:val="24"/>
                <w:lang w:eastAsia="tr-TR"/>
              </w:rPr>
              <w:t xml:space="preserve"> alacaklarından dolayı önce icra</w:t>
            </w:r>
            <w:r w:rsidRPr="00A23740">
              <w:rPr>
                <w:rFonts w:eastAsia="Times New Roman"/>
                <w:b/>
                <w:strike/>
                <w:color w:val="FF0000"/>
                <w:szCs w:val="24"/>
                <w:lang w:eastAsia="tr-TR"/>
              </w:rPr>
              <w:t>sı lazım gelen takip merasimine hacet</w:t>
            </w:r>
            <w:r w:rsidRPr="00A23740">
              <w:rPr>
                <w:rFonts w:eastAsia="Times New Roman"/>
                <w:szCs w:val="24"/>
                <w:lang w:eastAsia="tr-TR"/>
              </w:rPr>
              <w:t xml:space="preserve"> kalmaksızın her zaman aynı derecede hacze iştirak edebilirler. </w:t>
            </w:r>
            <w:r w:rsidRPr="00A23740">
              <w:rPr>
                <w:rFonts w:eastAsia="Times New Roman"/>
                <w:b/>
                <w:strike/>
                <w:color w:val="FF0000"/>
                <w:szCs w:val="24"/>
                <w:lang w:eastAsia="tr-TR"/>
              </w:rPr>
              <w:t>Sulh mahkemesi dahi küçükler, vesayet altında bulunanlar veya kendilerine kayyım tayin edilmiş olanlar namına aynı suretle hacze iştirak edebilirler.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3B460A" w:rsidRPr="00A23740" w:rsidRDefault="003B460A" w:rsidP="009431FF">
            <w:pPr>
              <w:tabs>
                <w:tab w:val="left" w:pos="567"/>
              </w:tabs>
              <w:rPr>
                <w:rFonts w:eastAsia="Times New Roman"/>
                <w:szCs w:val="24"/>
                <w:lang w:eastAsia="tr-TR"/>
              </w:rPr>
            </w:pPr>
          </w:p>
          <w:p w:rsidR="00AA5C8C" w:rsidRDefault="00AA5C8C" w:rsidP="009431FF">
            <w:pPr>
              <w:tabs>
                <w:tab w:val="left" w:pos="567"/>
              </w:tabs>
              <w:rPr>
                <w:rFonts w:eastAsia="Times New Roman"/>
                <w:szCs w:val="24"/>
                <w:lang w:eastAsia="tr-TR"/>
              </w:rPr>
            </w:pPr>
          </w:p>
          <w:p w:rsidR="009A265C" w:rsidRPr="00A23740" w:rsidRDefault="009A265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 (Değişik</w:t>
            </w:r>
            <w:r w:rsidRPr="00A23740">
              <w:rPr>
                <w:rFonts w:eastAsia="Times New Roman"/>
                <w:b/>
                <w:strike/>
                <w:color w:val="FF0000"/>
                <w:szCs w:val="24"/>
                <w:lang w:eastAsia="tr-TR"/>
              </w:rPr>
              <w:t>: 18/2/1965 - 538/56 md.)</w:t>
            </w:r>
            <w:r w:rsidRPr="00A23740">
              <w:rPr>
                <w:rFonts w:eastAsia="Times New Roman"/>
                <w:szCs w:val="24"/>
                <w:lang w:eastAsia="tr-TR"/>
              </w:rPr>
              <w:t xml:space="preserve"> İcra dairesi iştirak taleplerini borçlu ve alacaklılara bildirir. </w:t>
            </w:r>
            <w:r w:rsidRPr="00A23740">
              <w:rPr>
                <w:rStyle w:val="KIRMIZIChar"/>
                <w:rFonts w:eastAsia="Calibri"/>
              </w:rPr>
              <w:t>Onlara, itiraz etmeleri</w:t>
            </w:r>
            <w:r w:rsidRPr="00A23740">
              <w:t xml:space="preserve"> </w:t>
            </w:r>
            <w:r w:rsidRPr="00A23740">
              <w:rPr>
                <w:rFonts w:eastAsia="Times New Roman"/>
                <w:szCs w:val="24"/>
                <w:lang w:eastAsia="tr-TR"/>
              </w:rPr>
              <w:t xml:space="preserve">için </w:t>
            </w:r>
            <w:r w:rsidRPr="00A23740">
              <w:rPr>
                <w:rFonts w:eastAsia="Times New Roman"/>
                <w:b/>
                <w:strike/>
                <w:color w:val="FF0000"/>
                <w:szCs w:val="24"/>
                <w:lang w:eastAsia="tr-TR"/>
              </w:rPr>
              <w:t>yedi günlük</w:t>
            </w:r>
            <w:r w:rsidRPr="00A23740">
              <w:rPr>
                <w:rFonts w:eastAsia="Times New Roman"/>
                <w:szCs w:val="24"/>
                <w:lang w:eastAsia="tr-TR"/>
              </w:rPr>
              <w:t xml:space="preserve"> bir </w:t>
            </w:r>
            <w:r w:rsidRPr="00A23740">
              <w:rPr>
                <w:rStyle w:val="KIRMIZIChar"/>
                <w:rFonts w:eastAsia="Calibri"/>
              </w:rPr>
              <w:t>mühlet</w:t>
            </w:r>
            <w:r w:rsidRPr="00A23740">
              <w:rPr>
                <w:rFonts w:eastAsia="Times New Roman"/>
                <w:szCs w:val="24"/>
                <w:lang w:eastAsia="tr-TR"/>
              </w:rPr>
              <w:t xml:space="preserve"> verir. İtiraz halinde iştirak talebinde bulunan kimsenin hacze iştiraki </w:t>
            </w:r>
            <w:r w:rsidRPr="00A23740">
              <w:rPr>
                <w:rFonts w:eastAsia="Times New Roman"/>
                <w:b/>
                <w:strike/>
                <w:color w:val="FF0000"/>
                <w:szCs w:val="24"/>
                <w:lang w:eastAsia="tr-TR"/>
              </w:rPr>
              <w:t>muvakkaten</w:t>
            </w:r>
            <w:r w:rsidRPr="00A23740">
              <w:rPr>
                <w:rFonts w:eastAsia="Times New Roman"/>
                <w:szCs w:val="24"/>
                <w:lang w:eastAsia="tr-TR"/>
              </w:rPr>
              <w:t xml:space="preserve"> kabul </w:t>
            </w:r>
            <w:r w:rsidRPr="00A23740">
              <w:rPr>
                <w:rFonts w:eastAsia="Times New Roman"/>
                <w:b/>
                <w:strike/>
                <w:color w:val="FF0000"/>
                <w:szCs w:val="24"/>
                <w:lang w:eastAsia="tr-TR"/>
              </w:rPr>
              <w:t>olunur</w:t>
            </w:r>
            <w:r w:rsidRPr="00A23740">
              <w:rPr>
                <w:rFonts w:eastAsia="Times New Roman"/>
                <w:szCs w:val="24"/>
                <w:lang w:eastAsia="tr-TR"/>
              </w:rPr>
              <w:t xml:space="preserve"> ve </w:t>
            </w:r>
            <w:r w:rsidRPr="00A23740">
              <w:rPr>
                <w:rFonts w:eastAsia="Times New Roman"/>
                <w:b/>
                <w:strike/>
                <w:color w:val="FF0000"/>
                <w:szCs w:val="24"/>
                <w:lang w:eastAsia="tr-TR"/>
              </w:rPr>
              <w:t>yedi gün</w:t>
            </w:r>
            <w:r w:rsidRPr="00A23740">
              <w:rPr>
                <w:rFonts w:eastAsia="Times New Roman"/>
                <w:szCs w:val="24"/>
                <w:lang w:eastAsia="tr-TR"/>
              </w:rPr>
              <w:t xml:space="preserve"> içinde dava açması </w:t>
            </w:r>
            <w:r w:rsidRPr="00A23740">
              <w:rPr>
                <w:rFonts w:eastAsia="Times New Roman"/>
                <w:b/>
                <w:strike/>
                <w:color w:val="FF0000"/>
                <w:szCs w:val="24"/>
                <w:lang w:eastAsia="tr-TR"/>
              </w:rPr>
              <w:t>lüzumu</w:t>
            </w:r>
            <w:r w:rsidRPr="00A23740">
              <w:rPr>
                <w:rFonts w:eastAsia="Times New Roman"/>
                <w:szCs w:val="24"/>
                <w:lang w:eastAsia="tr-TR"/>
              </w:rPr>
              <w:t xml:space="preserve"> bildirilir. Bu süre içinde dava açmazsa iştirak hakkı düşer. </w:t>
            </w:r>
            <w:r w:rsidRPr="00A23740">
              <w:rPr>
                <w:rStyle w:val="KIRMIZIChar"/>
                <w:rFonts w:eastAsia="Calibri"/>
              </w:rPr>
              <w:t>Açılacak davaya basit yargılama usulüne göre bakılır.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5801D8" w:rsidRPr="00A23740" w:rsidRDefault="005801D8"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Nafaka ilamına </w:t>
            </w:r>
            <w:r w:rsidRPr="00A23740">
              <w:rPr>
                <w:rFonts w:eastAsia="Times New Roman"/>
                <w:b/>
                <w:strike/>
                <w:color w:val="FF0000"/>
                <w:szCs w:val="24"/>
                <w:lang w:eastAsia="tr-TR"/>
              </w:rPr>
              <w:t>istinat</w:t>
            </w:r>
            <w:r w:rsidRPr="00A23740">
              <w:rPr>
                <w:rFonts w:eastAsia="Times New Roman"/>
                <w:szCs w:val="24"/>
                <w:lang w:eastAsia="tr-TR"/>
              </w:rPr>
              <w:t xml:space="preserve"> </w:t>
            </w:r>
            <w:r w:rsidRPr="00A23740">
              <w:rPr>
                <w:rStyle w:val="KIRMIZIChar"/>
                <w:rFonts w:eastAsia="Calibri"/>
              </w:rPr>
              <w:t>eden</w:t>
            </w:r>
            <w:r w:rsidRPr="00A23740">
              <w:rPr>
                <w:rFonts w:eastAsia="Times New Roman"/>
                <w:szCs w:val="24"/>
                <w:lang w:eastAsia="tr-TR"/>
              </w:rPr>
              <w:t xml:space="preserve"> alacaklı önce </w:t>
            </w:r>
            <w:r w:rsidRPr="00A23740">
              <w:rPr>
                <w:rFonts w:eastAsia="Times New Roman"/>
                <w:b/>
                <w:strike/>
                <w:color w:val="FF0000"/>
                <w:szCs w:val="24"/>
                <w:lang w:eastAsia="tr-TR"/>
              </w:rPr>
              <w:t>takip merasiminin</w:t>
            </w:r>
            <w:r w:rsidRPr="00A23740">
              <w:rPr>
                <w:rFonts w:eastAsia="Times New Roman"/>
                <w:szCs w:val="24"/>
                <w:lang w:eastAsia="tr-TR"/>
              </w:rPr>
              <w:t xml:space="preserve"> icra</w:t>
            </w:r>
            <w:r w:rsidRPr="00A23740">
              <w:rPr>
                <w:rStyle w:val="KIRMIZIChar"/>
                <w:rFonts w:eastAsia="Calibri"/>
              </w:rPr>
              <w:t>sına</w:t>
            </w:r>
            <w:r w:rsidRPr="00A23740">
              <w:rPr>
                <w:rFonts w:eastAsia="Times New Roman"/>
                <w:szCs w:val="24"/>
                <w:lang w:eastAsia="tr-TR"/>
              </w:rPr>
              <w:t xml:space="preserve"> </w:t>
            </w:r>
            <w:r w:rsidRPr="00A23740">
              <w:rPr>
                <w:rFonts w:eastAsia="Times New Roman"/>
                <w:b/>
                <w:strike/>
                <w:color w:val="FF0000"/>
                <w:szCs w:val="24"/>
                <w:lang w:eastAsia="tr-TR"/>
              </w:rPr>
              <w:t xml:space="preserve">lüzum </w:t>
            </w:r>
            <w:r w:rsidRPr="00A23740">
              <w:rPr>
                <w:rFonts w:eastAsia="Times New Roman"/>
                <w:szCs w:val="24"/>
                <w:lang w:eastAsia="tr-TR"/>
              </w:rPr>
              <w:t xml:space="preserve">olmaksızın her zaman aynı derecede hacze iştirak edebilir. </w:t>
            </w:r>
            <w:r w:rsidRPr="00A23740">
              <w:rPr>
                <w:rStyle w:val="KIRMIZIChar"/>
                <w:rFonts w:eastAsia="Calibri"/>
              </w:rPr>
              <w:t>Suiniyet hali müstesnadır.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Önce icra </w:t>
            </w:r>
            <w:r w:rsidRPr="00A23740">
              <w:rPr>
                <w:rFonts w:eastAsia="Times New Roman"/>
                <w:b/>
                <w:color w:val="0000FF"/>
                <w:szCs w:val="24"/>
                <w:lang w:eastAsia="tr-TR"/>
              </w:rPr>
              <w:t>takibine gerek</w:t>
            </w:r>
            <w:r w:rsidRPr="00A23740">
              <w:rPr>
                <w:rFonts w:eastAsia="Times New Roman"/>
                <w:b/>
                <w:szCs w:val="24"/>
                <w:lang w:eastAsia="tr-TR"/>
              </w:rPr>
              <w:t xml:space="preserve"> olmaksızın </w:t>
            </w:r>
            <w:r w:rsidRPr="00A23740">
              <w:rPr>
                <w:rFonts w:eastAsia="Times New Roman"/>
                <w:b/>
                <w:color w:val="0000FF"/>
                <w:szCs w:val="24"/>
                <w:lang w:eastAsia="tr-TR"/>
              </w:rPr>
              <w:t>hacze</w:t>
            </w:r>
            <w:r w:rsidRPr="00A23740">
              <w:rPr>
                <w:rFonts w:eastAsia="Times New Roman"/>
                <w:b/>
                <w:szCs w:val="24"/>
                <w:lang w:eastAsia="tr-TR"/>
              </w:rPr>
              <w:t xml:space="preserve"> iştirak</w:t>
            </w:r>
          </w:p>
          <w:p w:rsidR="00AA5C8C" w:rsidRPr="00A23740" w:rsidRDefault="00AA5C8C" w:rsidP="009431FF">
            <w:pPr>
              <w:tabs>
                <w:tab w:val="left" w:pos="567"/>
              </w:tabs>
              <w:rPr>
                <w:rFonts w:eastAsia="Times New Roman"/>
                <w:b/>
                <w:color w:val="0000FF"/>
                <w:szCs w:val="24"/>
                <w:lang w:eastAsia="tr-TR"/>
              </w:rPr>
            </w:pPr>
            <w:r w:rsidRPr="00A23740">
              <w:rPr>
                <w:rStyle w:val="MaviChar"/>
                <w:lang w:val="tr-TR"/>
              </w:rPr>
              <w:t xml:space="preserve">MADDE </w:t>
            </w:r>
            <w:r w:rsidR="0025794C" w:rsidRPr="00A23740">
              <w:rPr>
                <w:rStyle w:val="MAVChar"/>
                <w:rFonts w:eastAsia="Calibri"/>
                <w:u w:val="none"/>
              </w:rPr>
              <w:t>199</w:t>
            </w:r>
            <w:r w:rsidRPr="00A23740">
              <w:rPr>
                <w:rStyle w:val="MAVChar"/>
                <w:rFonts w:eastAsia="Calibri"/>
                <w:u w:val="none"/>
              </w:rPr>
              <w:t>- (</w:t>
            </w:r>
            <w:r w:rsidRPr="00A23740">
              <w:rPr>
                <w:rFonts w:eastAsia="Times New Roman"/>
                <w:b/>
                <w:color w:val="0000FF"/>
                <w:szCs w:val="24"/>
                <w:lang w:eastAsia="tr-TR"/>
              </w:rPr>
              <w:t xml:space="preserve">1) </w:t>
            </w:r>
            <w:r w:rsidRPr="00A23740">
              <w:rPr>
                <w:rFonts w:eastAsia="Times New Roman"/>
                <w:szCs w:val="24"/>
                <w:lang w:eastAsia="tr-TR"/>
              </w:rPr>
              <w:t>Borçlunun eşi</w:t>
            </w:r>
            <w:r w:rsidRPr="00A23740">
              <w:rPr>
                <w:rFonts w:eastAsia="Times New Roman"/>
                <w:b/>
                <w:color w:val="0000FF"/>
                <w:szCs w:val="24"/>
                <w:lang w:eastAsia="tr-TR"/>
              </w:rPr>
              <w:t>,</w:t>
            </w:r>
            <w:r w:rsidRPr="00A23740">
              <w:rPr>
                <w:rFonts w:eastAsia="Times New Roman"/>
                <w:szCs w:val="24"/>
                <w:lang w:eastAsia="tr-TR"/>
              </w:rPr>
              <w:t xml:space="preserve"> çocukları ve vasi veya kayyımı olduğu </w:t>
            </w:r>
            <w:r w:rsidRPr="00A23740">
              <w:rPr>
                <w:rFonts w:eastAsia="Times New Roman"/>
                <w:b/>
                <w:color w:val="0000FF"/>
                <w:szCs w:val="24"/>
                <w:lang w:eastAsia="tr-TR"/>
              </w:rPr>
              <w:t>kişiler,</w:t>
            </w:r>
            <w:r w:rsidRPr="00A23740">
              <w:rPr>
                <w:rFonts w:eastAsia="Times New Roman"/>
                <w:szCs w:val="24"/>
                <w:lang w:eastAsia="tr-TR"/>
              </w:rPr>
              <w:t xml:space="preserve"> evlenme, velayet veya vesayetten </w:t>
            </w:r>
            <w:r w:rsidRPr="00A23740">
              <w:rPr>
                <w:rFonts w:eastAsia="Times New Roman"/>
                <w:b/>
                <w:color w:val="0000FF"/>
                <w:szCs w:val="24"/>
                <w:lang w:eastAsia="tr-TR"/>
              </w:rPr>
              <w:t>doğan</w:t>
            </w:r>
            <w:r w:rsidRPr="00A23740">
              <w:rPr>
                <w:rFonts w:eastAsia="Times New Roman"/>
                <w:szCs w:val="24"/>
                <w:lang w:eastAsia="tr-TR"/>
              </w:rPr>
              <w:t xml:space="preserve"> alacaklar için</w:t>
            </w:r>
            <w:r w:rsidR="005801D8" w:rsidRPr="00A23740">
              <w:rPr>
                <w:rFonts w:eastAsia="Times New Roman"/>
                <w:b/>
                <w:bCs/>
                <w:color w:val="385623"/>
                <w:szCs w:val="24"/>
                <w:lang w:eastAsia="tr-TR"/>
              </w:rPr>
              <w:t>,</w:t>
            </w:r>
            <w:r w:rsidRPr="00A23740">
              <w:rPr>
                <w:rFonts w:eastAsia="Times New Roman"/>
                <w:szCs w:val="24"/>
                <w:lang w:eastAsia="tr-TR"/>
              </w:rPr>
              <w:t xml:space="preserve"> önce icra</w:t>
            </w:r>
            <w:r w:rsidRPr="00A23740">
              <w:rPr>
                <w:rFonts w:eastAsia="Times New Roman"/>
                <w:b/>
                <w:color w:val="0000FF"/>
                <w:szCs w:val="24"/>
                <w:lang w:eastAsia="tr-TR"/>
              </w:rPr>
              <w:t xml:space="preserve"> takibi yapılmasına gerek</w:t>
            </w:r>
            <w:r w:rsidRPr="00A23740">
              <w:rPr>
                <w:rFonts w:eastAsia="Times New Roman"/>
                <w:szCs w:val="24"/>
                <w:lang w:eastAsia="tr-TR"/>
              </w:rPr>
              <w:t xml:space="preserve"> olmaksızın ilk haciz üzerine satılan malın tutarı </w:t>
            </w:r>
            <w:r w:rsidRPr="00A23740">
              <w:rPr>
                <w:rFonts w:eastAsia="Times New Roman"/>
                <w:b/>
                <w:color w:val="0000FF"/>
                <w:szCs w:val="24"/>
                <w:lang w:eastAsia="tr-TR"/>
              </w:rPr>
              <w:t>icra</w:t>
            </w:r>
            <w:r w:rsidR="00B73523" w:rsidRPr="00A23740">
              <w:rPr>
                <w:b/>
                <w:color w:val="538135"/>
              </w:rPr>
              <w:t xml:space="preserve"> </w:t>
            </w:r>
            <w:r w:rsidR="00B73523" w:rsidRPr="00CE4365">
              <w:rPr>
                <w:rStyle w:val="MaviChar"/>
              </w:rPr>
              <w:t>ve iflas</w:t>
            </w:r>
            <w:r w:rsidRPr="00A23740">
              <w:rPr>
                <w:rFonts w:eastAsia="Times New Roman"/>
                <w:b/>
                <w:color w:val="0000FF"/>
                <w:szCs w:val="24"/>
                <w:lang w:eastAsia="tr-TR"/>
              </w:rPr>
              <w:t xml:space="preserve"> dairesinin banka hesabına</w:t>
            </w:r>
            <w:r w:rsidRPr="00A23740">
              <w:rPr>
                <w:rFonts w:eastAsia="Times New Roman"/>
                <w:szCs w:val="24"/>
                <w:lang w:eastAsia="tr-TR"/>
              </w:rPr>
              <w:t xml:space="preserve"> girinceye kadar aynı derecede hacze iştirak edebilir. </w:t>
            </w:r>
            <w:r w:rsidRPr="00A23740">
              <w:rPr>
                <w:rStyle w:val="MaviChar"/>
                <w:lang w:val="tr-TR"/>
              </w:rPr>
              <w:t xml:space="preserve">Küçükler, vesayet altında bulunanlar ve kendilerine kayyım tayin edilmiş olanlar adına,  sulh hukuk mahkemesi de aynı suretle </w:t>
            </w:r>
            <w:r w:rsidRPr="00A23740">
              <w:rPr>
                <w:rStyle w:val="MaviChar"/>
              </w:rPr>
              <w:t>takip yapmaksızın</w:t>
            </w:r>
            <w:r w:rsidRPr="00A23740">
              <w:rPr>
                <w:rStyle w:val="MaviChar"/>
                <w:lang w:val="tr-TR"/>
              </w:rPr>
              <w:t xml:space="preserve"> </w:t>
            </w:r>
            <w:r w:rsidRPr="00A23740">
              <w:rPr>
                <w:rFonts w:eastAsia="Times New Roman"/>
                <w:szCs w:val="24"/>
                <w:lang w:eastAsia="tr-TR"/>
              </w:rPr>
              <w:t>hacze iştirak edebilir.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(2)</w:t>
            </w:r>
            <w:r w:rsidRPr="00A23740">
              <w:rPr>
                <w:rFonts w:eastAsia="Times New Roman"/>
                <w:szCs w:val="24"/>
                <w:lang w:eastAsia="tr-TR"/>
              </w:rPr>
              <w:t xml:space="preserve"> Bu hak ancak hacz</w:t>
            </w:r>
            <w:r w:rsidRPr="00A23740">
              <w:rPr>
                <w:rStyle w:val="MaviChar"/>
                <w:lang w:val="tr-TR"/>
              </w:rPr>
              <w:t>in</w:t>
            </w:r>
            <w:r w:rsidRPr="00A23740">
              <w:rPr>
                <w:rFonts w:eastAsia="Times New Roman"/>
                <w:szCs w:val="24"/>
                <w:lang w:eastAsia="tr-TR"/>
              </w:rPr>
              <w:t xml:space="preserve">, vesayetin, velayetin veya evliliğin devamı esnasında </w:t>
            </w:r>
            <w:r w:rsidRPr="00A23740">
              <w:rPr>
                <w:rFonts w:eastAsia="Times New Roman"/>
                <w:b/>
                <w:color w:val="0000FF"/>
                <w:szCs w:val="24"/>
                <w:lang w:eastAsia="tr-TR"/>
              </w:rPr>
              <w:t>yahut sona ermesini</w:t>
            </w:r>
            <w:r w:rsidRPr="00A23740">
              <w:rPr>
                <w:rFonts w:eastAsia="Times New Roman"/>
                <w:szCs w:val="24"/>
                <w:lang w:eastAsia="tr-TR"/>
              </w:rPr>
              <w:t xml:space="preserve"> takip eden </w:t>
            </w:r>
            <w:r w:rsidRPr="00A23740">
              <w:rPr>
                <w:rFonts w:eastAsia="Times New Roman"/>
                <w:b/>
                <w:color w:val="0000FF"/>
                <w:szCs w:val="24"/>
                <w:lang w:eastAsia="tr-TR"/>
              </w:rPr>
              <w:t>yıl</w:t>
            </w:r>
            <w:r w:rsidRPr="00A23740">
              <w:rPr>
                <w:rFonts w:eastAsia="Times New Roman"/>
                <w:szCs w:val="24"/>
                <w:lang w:eastAsia="tr-TR"/>
              </w:rPr>
              <w:t xml:space="preserve"> içinde </w:t>
            </w:r>
            <w:r w:rsidR="00877DB3" w:rsidRPr="00A23740">
              <w:rPr>
                <w:rFonts w:eastAsia="Times New Roman"/>
                <w:szCs w:val="24"/>
                <w:lang w:eastAsia="tr-TR"/>
              </w:rPr>
              <w:t xml:space="preserve">ileri sürülmesi </w:t>
            </w:r>
            <w:r w:rsidRPr="00A23740">
              <w:rPr>
                <w:rFonts w:eastAsia="Times New Roman"/>
                <w:b/>
                <w:color w:val="0000FF"/>
                <w:szCs w:val="24"/>
                <w:lang w:eastAsia="tr-TR"/>
              </w:rPr>
              <w:t>kullanılabilir. Hacze iştirak etmek isteyen kişi ile takip borçlusu arasında bir dava veya takip olması h</w:t>
            </w:r>
            <w:r w:rsidR="001D7D44" w:rsidRPr="00A23740">
              <w:rPr>
                <w:rFonts w:eastAsia="Times New Roman"/>
                <w:b/>
                <w:color w:val="0000FF"/>
                <w:szCs w:val="24"/>
                <w:lang w:eastAsia="tr-TR"/>
              </w:rPr>
              <w:t>â</w:t>
            </w:r>
            <w:r w:rsidRPr="00A23740">
              <w:rPr>
                <w:rFonts w:eastAsia="Times New Roman"/>
                <w:b/>
                <w:color w:val="0000FF"/>
                <w:szCs w:val="24"/>
                <w:lang w:eastAsia="tr-TR"/>
              </w:rPr>
              <w:t>linde, bu sürenin hesabında</w:t>
            </w:r>
            <w:r w:rsidRPr="00A23740">
              <w:rPr>
                <w:rFonts w:eastAsia="Times New Roman"/>
                <w:szCs w:val="24"/>
                <w:lang w:eastAsia="tr-TR"/>
              </w:rPr>
              <w:t xml:space="preserve"> dava</w:t>
            </w:r>
            <w:r w:rsidRPr="00A23740">
              <w:rPr>
                <w:rFonts w:eastAsia="Times New Roman"/>
                <w:b/>
                <w:color w:val="0000FF"/>
                <w:szCs w:val="24"/>
                <w:lang w:eastAsia="tr-TR"/>
              </w:rPr>
              <w:t>nın</w:t>
            </w:r>
            <w:r w:rsidRPr="00A23740">
              <w:rPr>
                <w:rFonts w:eastAsia="Times New Roman"/>
                <w:szCs w:val="24"/>
                <w:lang w:eastAsia="tr-TR"/>
              </w:rPr>
              <w:t xml:space="preserve"> veya takibin devam ettiği </w:t>
            </w:r>
            <w:r w:rsidRPr="00A23740">
              <w:rPr>
                <w:rFonts w:eastAsia="Times New Roman"/>
                <w:b/>
                <w:color w:val="0000FF"/>
                <w:szCs w:val="24"/>
                <w:lang w:eastAsia="tr-TR"/>
              </w:rPr>
              <w:t>süre dikkate alınmaz</w:t>
            </w:r>
            <w:r w:rsidRPr="00A23740">
              <w:rPr>
                <w:rFonts w:eastAsia="Times New Roman"/>
                <w:szCs w:val="24"/>
                <w:lang w:eastAsia="tr-TR"/>
              </w:rPr>
              <w:t xml:space="preserve">.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(3)</w:t>
            </w:r>
            <w:r w:rsidRPr="00A23740">
              <w:rPr>
                <w:rFonts w:eastAsia="Times New Roman"/>
                <w:szCs w:val="24"/>
                <w:lang w:eastAsia="tr-TR"/>
              </w:rPr>
              <w:t xml:space="preserve"> Borçlunun </w:t>
            </w:r>
            <w:r w:rsidRPr="00A23740">
              <w:rPr>
                <w:rFonts w:eastAsia="Times New Roman"/>
                <w:b/>
                <w:color w:val="0000FF"/>
                <w:szCs w:val="24"/>
                <w:lang w:eastAsia="tr-TR"/>
              </w:rPr>
              <w:t>ergin</w:t>
            </w:r>
            <w:r w:rsidRPr="00A23740">
              <w:rPr>
                <w:rFonts w:eastAsia="Times New Roman"/>
                <w:szCs w:val="24"/>
                <w:lang w:eastAsia="tr-TR"/>
              </w:rPr>
              <w:t xml:space="preserve"> çocukları</w:t>
            </w:r>
            <w:r w:rsidRPr="00A23740">
              <w:rPr>
                <w:rStyle w:val="MaviChar"/>
              </w:rPr>
              <w:t>,</w:t>
            </w:r>
            <w:r w:rsidRPr="00A23740">
              <w:rPr>
                <w:rFonts w:eastAsia="Times New Roman"/>
                <w:szCs w:val="24"/>
                <w:lang w:eastAsia="tr-TR"/>
              </w:rPr>
              <w:t xml:space="preserve"> </w:t>
            </w:r>
            <w:r w:rsidRPr="00A23740">
              <w:rPr>
                <w:rFonts w:eastAsia="Times New Roman"/>
                <w:b/>
                <w:color w:val="0000FF"/>
                <w:szCs w:val="24"/>
                <w:lang w:eastAsia="tr-TR"/>
              </w:rPr>
              <w:t>Türk</w:t>
            </w:r>
            <w:r w:rsidRPr="00A23740">
              <w:rPr>
                <w:rFonts w:eastAsia="Times New Roman"/>
                <w:szCs w:val="24"/>
                <w:lang w:eastAsia="tr-TR"/>
              </w:rPr>
              <w:t xml:space="preserve"> Medeni </w:t>
            </w:r>
            <w:r w:rsidRPr="00A23740">
              <w:rPr>
                <w:rFonts w:eastAsia="Times New Roman"/>
                <w:b/>
                <w:color w:val="0000FF"/>
                <w:szCs w:val="24"/>
                <w:lang w:eastAsia="tr-TR"/>
              </w:rPr>
              <w:t>Kanununun</w:t>
            </w:r>
            <w:r w:rsidRPr="00A23740">
              <w:rPr>
                <w:rFonts w:eastAsia="Times New Roman"/>
                <w:szCs w:val="24"/>
                <w:lang w:eastAsia="tr-TR"/>
              </w:rPr>
              <w:t xml:space="preserve"> </w:t>
            </w:r>
            <w:r w:rsidRPr="00A23740">
              <w:rPr>
                <w:rFonts w:eastAsia="Times New Roman"/>
                <w:b/>
                <w:color w:val="0000FF"/>
                <w:szCs w:val="24"/>
                <w:lang w:eastAsia="tr-TR"/>
              </w:rPr>
              <w:t>370</w:t>
            </w:r>
            <w:r w:rsidRPr="00A23740">
              <w:rPr>
                <w:rFonts w:eastAsia="Times New Roman"/>
                <w:szCs w:val="24"/>
                <w:lang w:eastAsia="tr-TR"/>
              </w:rPr>
              <w:t xml:space="preserve"> inci </w:t>
            </w:r>
            <w:r w:rsidRPr="00A23740">
              <w:rPr>
                <w:rStyle w:val="MaviChar"/>
              </w:rPr>
              <w:t>maddesinden doğan</w:t>
            </w:r>
            <w:r w:rsidRPr="00A23740">
              <w:rPr>
                <w:rFonts w:eastAsia="Times New Roman"/>
                <w:szCs w:val="24"/>
                <w:lang w:eastAsia="tr-TR"/>
              </w:rPr>
              <w:t xml:space="preserve"> alacaklarından </w:t>
            </w:r>
            <w:r w:rsidRPr="00A23740">
              <w:t>dolayı</w:t>
            </w:r>
            <w:r w:rsidR="005801D8" w:rsidRPr="00A23740">
              <w:rPr>
                <w:b/>
                <w:bCs/>
                <w:color w:val="385623"/>
              </w:rPr>
              <w:t>,</w:t>
            </w:r>
            <w:r w:rsidRPr="00A23740">
              <w:t xml:space="preserve"> önce icra</w:t>
            </w:r>
            <w:r w:rsidRPr="00A23740">
              <w:rPr>
                <w:rStyle w:val="Balk1Char"/>
                <w:rFonts w:eastAsia="Calibri"/>
              </w:rPr>
              <w:t xml:space="preserve"> </w:t>
            </w:r>
            <w:r w:rsidRPr="00A23740">
              <w:rPr>
                <w:rFonts w:eastAsia="Times New Roman"/>
                <w:b/>
                <w:color w:val="0000FF"/>
                <w:szCs w:val="24"/>
                <w:lang w:eastAsia="tr-TR"/>
              </w:rPr>
              <w:t>takibi yapılmasına gerek</w:t>
            </w:r>
            <w:r w:rsidRPr="00A23740">
              <w:rPr>
                <w:rFonts w:eastAsia="Times New Roman"/>
                <w:szCs w:val="24"/>
                <w:lang w:eastAsia="tr-TR"/>
              </w:rPr>
              <w:t xml:space="preserve"> kalmaksızın her zaman aynı derecede hacze iştirak edebilir.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Style w:val="YELChar"/>
              </w:rPr>
            </w:pPr>
            <w:r w:rsidRPr="00A23740">
              <w:rPr>
                <w:rFonts w:eastAsia="Times New Roman"/>
                <w:b/>
                <w:color w:val="0000FF"/>
                <w:szCs w:val="24"/>
                <w:lang w:eastAsia="tr-TR"/>
              </w:rPr>
              <w:t>(4)</w:t>
            </w:r>
            <w:r w:rsidRPr="00A23740">
              <w:rPr>
                <w:rFonts w:eastAsia="Times New Roman"/>
                <w:b/>
                <w:szCs w:val="24"/>
                <w:lang w:eastAsia="tr-TR"/>
              </w:rPr>
              <w:t xml:space="preserve"> </w:t>
            </w:r>
            <w:r w:rsidRPr="00A23740">
              <w:rPr>
                <w:rFonts w:eastAsia="Times New Roman"/>
                <w:szCs w:val="24"/>
                <w:lang w:eastAsia="tr-TR"/>
              </w:rPr>
              <w:t xml:space="preserve">İcra </w:t>
            </w:r>
            <w:r w:rsidRPr="00A23740">
              <w:rPr>
                <w:rStyle w:val="MaviChar"/>
              </w:rPr>
              <w:t>ve iflas</w:t>
            </w:r>
            <w:r w:rsidRPr="00A23740">
              <w:rPr>
                <w:rFonts w:eastAsia="Times New Roman"/>
                <w:szCs w:val="24"/>
                <w:lang w:eastAsia="tr-TR"/>
              </w:rPr>
              <w:t xml:space="preserve"> dairesi</w:t>
            </w:r>
            <w:r w:rsidRPr="00A23740">
              <w:rPr>
                <w:rFonts w:eastAsia="Times New Roman"/>
                <w:b/>
                <w:color w:val="0000FF"/>
                <w:szCs w:val="24"/>
                <w:lang w:eastAsia="tr-TR"/>
              </w:rPr>
              <w:t>,</w:t>
            </w:r>
            <w:r w:rsidRPr="00A23740">
              <w:rPr>
                <w:rFonts w:eastAsia="Times New Roman"/>
                <w:szCs w:val="24"/>
                <w:lang w:eastAsia="tr-TR"/>
              </w:rPr>
              <w:t xml:space="preserve"> iştirak taleplerini borçlu ve alacaklılara bildirir</w:t>
            </w:r>
            <w:r w:rsidRPr="00A23740">
              <w:rPr>
                <w:rFonts w:eastAsia="Times New Roman"/>
                <w:b/>
                <w:color w:val="0000FF"/>
                <w:szCs w:val="24"/>
                <w:lang w:eastAsia="tr-TR"/>
              </w:rPr>
              <w:t xml:space="preserve"> </w:t>
            </w:r>
            <w:r w:rsidR="005801D8" w:rsidRPr="00CE4365">
              <w:rPr>
                <w:rStyle w:val="MaviChar"/>
              </w:rPr>
              <w:t>ve</w:t>
            </w:r>
            <w:r w:rsidR="005801D8" w:rsidRPr="00A23740">
              <w:rPr>
                <w:rFonts w:eastAsia="Times New Roman"/>
                <w:b/>
                <w:color w:val="385623"/>
                <w:szCs w:val="24"/>
                <w:lang w:eastAsia="tr-TR"/>
              </w:rPr>
              <w:t xml:space="preserve"> </w:t>
            </w:r>
            <w:r w:rsidRPr="00A23740">
              <w:rPr>
                <w:rFonts w:eastAsia="Times New Roman"/>
                <w:szCs w:val="24"/>
                <w:lang w:eastAsia="tr-TR"/>
              </w:rPr>
              <w:t>itiraz</w:t>
            </w:r>
            <w:r w:rsidRPr="00A23740">
              <w:rPr>
                <w:rFonts w:eastAsia="Times New Roman"/>
                <w:b/>
                <w:color w:val="0000FF"/>
                <w:szCs w:val="24"/>
                <w:lang w:eastAsia="tr-TR"/>
              </w:rPr>
              <w:t xml:space="preserve">larını bildirmeleri </w:t>
            </w:r>
            <w:r w:rsidRPr="00A23740">
              <w:rPr>
                <w:rFonts w:eastAsia="Times New Roman"/>
                <w:szCs w:val="24"/>
                <w:lang w:eastAsia="tr-TR"/>
              </w:rPr>
              <w:t xml:space="preserve">için </w:t>
            </w:r>
            <w:r w:rsidRPr="00A23740">
              <w:t xml:space="preserve">bir </w:t>
            </w:r>
            <w:r w:rsidRPr="00A23740">
              <w:rPr>
                <w:rFonts w:eastAsia="Times New Roman"/>
                <w:b/>
                <w:color w:val="0000FF"/>
                <w:szCs w:val="24"/>
                <w:lang w:eastAsia="tr-TR"/>
              </w:rPr>
              <w:t>hafta süre</w:t>
            </w:r>
            <w:r w:rsidRPr="00A23740">
              <w:rPr>
                <w:rFonts w:eastAsia="Times New Roman"/>
                <w:szCs w:val="24"/>
                <w:lang w:eastAsia="tr-TR"/>
              </w:rPr>
              <w:t xml:space="preserve"> verir. </w:t>
            </w:r>
            <w:r w:rsidRPr="00A23740">
              <w:t>İştirak talebine</w:t>
            </w:r>
            <w:r w:rsidRPr="00A23740">
              <w:rPr>
                <w:rFonts w:eastAsia="Times New Roman"/>
                <w:szCs w:val="24"/>
                <w:lang w:eastAsia="tr-TR"/>
              </w:rPr>
              <w:t xml:space="preserve"> itiraz h</w:t>
            </w:r>
            <w:r w:rsidR="001D7D44" w:rsidRPr="00A23740">
              <w:rPr>
                <w:rFonts w:eastAsia="Times New Roman"/>
                <w:szCs w:val="24"/>
                <w:lang w:eastAsia="tr-TR"/>
              </w:rPr>
              <w:t>â</w:t>
            </w:r>
            <w:r w:rsidRPr="00A23740">
              <w:rPr>
                <w:rFonts w:eastAsia="Times New Roman"/>
                <w:szCs w:val="24"/>
                <w:lang w:eastAsia="tr-TR"/>
              </w:rPr>
              <w:t xml:space="preserve">linde, iştirak talebinde bulunan kimsenin hacze iştiraki </w:t>
            </w:r>
            <w:r w:rsidRPr="00A23740">
              <w:rPr>
                <w:rFonts w:eastAsia="Times New Roman"/>
                <w:b/>
                <w:color w:val="0000FF"/>
                <w:szCs w:val="24"/>
                <w:lang w:eastAsia="tr-TR"/>
              </w:rPr>
              <w:t>geçici olarak</w:t>
            </w:r>
            <w:r w:rsidRPr="00A23740">
              <w:rPr>
                <w:rFonts w:eastAsia="Times New Roman"/>
                <w:szCs w:val="24"/>
                <w:lang w:eastAsia="tr-TR"/>
              </w:rPr>
              <w:t xml:space="preserve"> kabul </w:t>
            </w:r>
            <w:r w:rsidRPr="00A23740">
              <w:rPr>
                <w:rFonts w:eastAsia="Times New Roman"/>
                <w:b/>
                <w:color w:val="0000FF"/>
                <w:szCs w:val="24"/>
                <w:lang w:eastAsia="tr-TR"/>
              </w:rPr>
              <w:t>edilir</w:t>
            </w:r>
            <w:r w:rsidRPr="00A23740">
              <w:rPr>
                <w:rFonts w:eastAsia="Times New Roman"/>
                <w:szCs w:val="24"/>
                <w:lang w:eastAsia="tr-TR"/>
              </w:rPr>
              <w:t xml:space="preserve"> ve </w:t>
            </w:r>
            <w:r w:rsidRPr="00A23740">
              <w:rPr>
                <w:rFonts w:eastAsia="Times New Roman"/>
                <w:b/>
                <w:color w:val="0000FF"/>
                <w:szCs w:val="24"/>
                <w:lang w:eastAsia="tr-TR"/>
              </w:rPr>
              <w:t>bir hafta</w:t>
            </w:r>
            <w:r w:rsidRPr="00A23740">
              <w:rPr>
                <w:rFonts w:eastAsia="Times New Roman"/>
                <w:szCs w:val="24"/>
                <w:lang w:eastAsia="tr-TR"/>
              </w:rPr>
              <w:t xml:space="preserve"> içinde dava açması </w:t>
            </w:r>
            <w:r w:rsidRPr="00A23740">
              <w:rPr>
                <w:rFonts w:eastAsia="Times New Roman"/>
                <w:b/>
                <w:color w:val="0000FF"/>
                <w:szCs w:val="24"/>
                <w:lang w:eastAsia="tr-TR"/>
              </w:rPr>
              <w:t>gerektiği</w:t>
            </w:r>
            <w:r w:rsidRPr="00A23740">
              <w:rPr>
                <w:rFonts w:eastAsia="Times New Roman"/>
                <w:szCs w:val="24"/>
                <w:lang w:eastAsia="tr-TR"/>
              </w:rPr>
              <w:t xml:space="preserve"> </w:t>
            </w:r>
            <w:r w:rsidR="005801D8" w:rsidRPr="00CE4365">
              <w:rPr>
                <w:rStyle w:val="MaviChar"/>
              </w:rPr>
              <w:t>kendisine</w:t>
            </w:r>
            <w:r w:rsidR="005801D8" w:rsidRPr="00A23740">
              <w:rPr>
                <w:rFonts w:eastAsia="Times New Roman"/>
                <w:color w:val="385623"/>
                <w:szCs w:val="24"/>
                <w:lang w:eastAsia="tr-TR"/>
              </w:rPr>
              <w:t xml:space="preserve"> </w:t>
            </w:r>
            <w:r w:rsidRPr="00A23740">
              <w:rPr>
                <w:rFonts w:eastAsia="Times New Roman"/>
                <w:szCs w:val="24"/>
                <w:lang w:eastAsia="tr-TR"/>
              </w:rPr>
              <w:t xml:space="preserve">bildirilir. </w:t>
            </w:r>
            <w:r w:rsidRPr="00A23740">
              <w:rPr>
                <w:rFonts w:eastAsia="Times New Roman"/>
                <w:b/>
                <w:color w:val="0000FF"/>
                <w:szCs w:val="24"/>
                <w:lang w:eastAsia="tr-TR"/>
              </w:rPr>
              <w:t>İştirak talebinde bulunan</w:t>
            </w:r>
            <w:r w:rsidRPr="00A23740">
              <w:rPr>
                <w:rFonts w:eastAsia="Times New Roman"/>
                <w:szCs w:val="24"/>
                <w:lang w:eastAsia="tr-TR"/>
              </w:rPr>
              <w:t xml:space="preserve"> bu süre içinde dava açmazsa</w:t>
            </w:r>
            <w:r w:rsidR="005801D8" w:rsidRPr="00A23740">
              <w:rPr>
                <w:rFonts w:eastAsia="Times New Roman"/>
                <w:b/>
                <w:bCs/>
                <w:color w:val="385623"/>
                <w:szCs w:val="24"/>
                <w:lang w:eastAsia="tr-TR"/>
              </w:rPr>
              <w:t>,</w:t>
            </w:r>
            <w:r w:rsidRPr="00A23740">
              <w:rPr>
                <w:rFonts w:eastAsia="Times New Roman"/>
                <w:szCs w:val="24"/>
                <w:lang w:eastAsia="tr-TR"/>
              </w:rPr>
              <w:t xml:space="preserve"> iştirak hakkı düşer. </w:t>
            </w:r>
            <w:r w:rsidR="00A43F0F" w:rsidRPr="00A23740">
              <w:rPr>
                <w:rStyle w:val="MaviChar"/>
              </w:rPr>
              <w:t>Dava</w:t>
            </w:r>
            <w:r w:rsidRPr="00A23740">
              <w:rPr>
                <w:rStyle w:val="MaviChar"/>
              </w:rPr>
              <w:t xml:space="preserve">, iştirak edilecek haczin dayanağı olan takibin yapıldığı yerdeki mahkemelerde </w:t>
            </w:r>
            <w:r w:rsidR="00A43F0F" w:rsidRPr="00A23740">
              <w:rPr>
                <w:rStyle w:val="MaviChar"/>
                <w:lang w:val="tr-TR"/>
              </w:rPr>
              <w:t xml:space="preserve">genel hükümlere ve </w:t>
            </w:r>
            <w:r w:rsidRPr="00A23740">
              <w:rPr>
                <w:rStyle w:val="MaviChar"/>
              </w:rPr>
              <w:t xml:space="preserve">basit yargılama usulüne göre </w:t>
            </w:r>
            <w:r w:rsidR="00A43F0F" w:rsidRPr="00A23740">
              <w:rPr>
                <w:rStyle w:val="MaviChar"/>
                <w:lang w:val="tr-TR"/>
              </w:rPr>
              <w:t>görülür</w:t>
            </w:r>
            <w:r w:rsidRPr="00A23740">
              <w:rPr>
                <w:rStyle w:val="MaviChar"/>
              </w:rPr>
              <w:t>.</w:t>
            </w:r>
          </w:p>
          <w:p w:rsidR="00AA5C8C" w:rsidRPr="00A23740" w:rsidRDefault="00AA5C8C" w:rsidP="009431FF">
            <w:pPr>
              <w:tabs>
                <w:tab w:val="left" w:pos="567"/>
              </w:tabs>
              <w:rPr>
                <w:rStyle w:val="YELCha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(5) Kötüniyet h</w:t>
            </w:r>
            <w:r w:rsidR="001D7D44" w:rsidRPr="00A23740">
              <w:rPr>
                <w:rFonts w:eastAsia="Times New Roman"/>
                <w:b/>
                <w:color w:val="0000FF"/>
                <w:szCs w:val="24"/>
                <w:lang w:eastAsia="tr-TR"/>
              </w:rPr>
              <w:t>â</w:t>
            </w:r>
            <w:r w:rsidRPr="00A23740">
              <w:rPr>
                <w:rFonts w:eastAsia="Times New Roman"/>
                <w:b/>
                <w:color w:val="0000FF"/>
                <w:szCs w:val="24"/>
                <w:lang w:eastAsia="tr-TR"/>
              </w:rPr>
              <w:t>li hariç olmak üzere,</w:t>
            </w:r>
            <w:r w:rsidRPr="00A23740">
              <w:rPr>
                <w:rFonts w:eastAsia="Times New Roman"/>
                <w:b/>
                <w:szCs w:val="24"/>
                <w:lang w:eastAsia="tr-TR"/>
              </w:rPr>
              <w:t xml:space="preserve"> </w:t>
            </w:r>
            <w:r w:rsidRPr="00A23740">
              <w:rPr>
                <w:rFonts w:eastAsia="Times New Roman"/>
                <w:szCs w:val="24"/>
                <w:lang w:eastAsia="tr-TR"/>
              </w:rPr>
              <w:t xml:space="preserve">nafaka ilamına </w:t>
            </w:r>
            <w:r w:rsidRPr="00A23740">
              <w:rPr>
                <w:rFonts w:eastAsia="Times New Roman"/>
                <w:b/>
                <w:color w:val="0000FF"/>
                <w:szCs w:val="24"/>
                <w:lang w:eastAsia="tr-TR"/>
              </w:rPr>
              <w:t xml:space="preserve">dayanan </w:t>
            </w:r>
            <w:r w:rsidRPr="00A23740">
              <w:rPr>
                <w:rFonts w:eastAsia="Times New Roman"/>
                <w:szCs w:val="24"/>
                <w:lang w:eastAsia="tr-TR"/>
              </w:rPr>
              <w:t xml:space="preserve">alacaklı önce </w:t>
            </w:r>
            <w:r w:rsidRPr="00A23740">
              <w:t>icra</w:t>
            </w:r>
            <w:r w:rsidRPr="00A23740">
              <w:rPr>
                <w:rFonts w:eastAsia="Times New Roman"/>
                <w:szCs w:val="24"/>
                <w:lang w:eastAsia="tr-TR"/>
              </w:rPr>
              <w:t xml:space="preserve"> taki</w:t>
            </w:r>
            <w:r w:rsidRPr="00A23740">
              <w:rPr>
                <w:rFonts w:eastAsia="Times New Roman"/>
                <w:b/>
                <w:color w:val="0000FF"/>
                <w:szCs w:val="24"/>
                <w:lang w:eastAsia="tr-TR"/>
              </w:rPr>
              <w:t>bi yapmasına gerek</w:t>
            </w:r>
            <w:r w:rsidRPr="00A23740">
              <w:rPr>
                <w:rFonts w:eastAsia="Times New Roman"/>
                <w:szCs w:val="24"/>
                <w:lang w:eastAsia="tr-TR"/>
              </w:rPr>
              <w:t xml:space="preserve"> olmaksızın her zaman aynı derecede hacze iştirak edebilir.</w:t>
            </w:r>
          </w:p>
          <w:p w:rsidR="00AA5C8C" w:rsidRPr="00A23740" w:rsidRDefault="00AA5C8C" w:rsidP="009431FF">
            <w:pPr>
              <w:pStyle w:val="KIRMIZI"/>
              <w:rPr>
                <w:lang w:eastAsia="tr-TR"/>
              </w:rPr>
            </w:pPr>
          </w:p>
        </w:tc>
      </w:tr>
      <w:tr w:rsidR="00AE57E0" w:rsidRPr="00A23740" w:rsidTr="009431FF">
        <w:tblPrEx>
          <w:tblLook w:val="01E0" w:firstRow="1" w:lastRow="1" w:firstColumn="1" w:lastColumn="1" w:noHBand="0" w:noVBand="0"/>
        </w:tblPrEx>
        <w:tc>
          <w:tcPr>
            <w:tcW w:w="5000" w:type="pct"/>
            <w:gridSpan w:val="2"/>
            <w:shd w:val="clear" w:color="auto" w:fill="DEEAF6"/>
          </w:tcPr>
          <w:p w:rsidR="00AE57E0" w:rsidRPr="00A23740" w:rsidRDefault="00AE57E0" w:rsidP="009431FF">
            <w:pPr>
              <w:tabs>
                <w:tab w:val="left" w:pos="567"/>
              </w:tabs>
              <w:rPr>
                <w:rFonts w:eastAsia="Times New Roman"/>
                <w:b/>
                <w:szCs w:val="24"/>
                <w:lang w:eastAsia="tr-TR"/>
              </w:rPr>
            </w:pPr>
          </w:p>
          <w:p w:rsidR="00194118" w:rsidRPr="00A23740" w:rsidRDefault="0025794C" w:rsidP="009431FF">
            <w:pPr>
              <w:tabs>
                <w:tab w:val="left" w:pos="567"/>
              </w:tabs>
              <w:ind w:firstLine="567"/>
              <w:rPr>
                <w:rFonts w:eastAsia="Times New Roman"/>
                <w:szCs w:val="24"/>
                <w:lang w:eastAsia="tr-TR"/>
              </w:rPr>
            </w:pPr>
            <w:r w:rsidRPr="00A23740">
              <w:rPr>
                <w:rFonts w:eastAsia="Times New Roman"/>
                <w:b/>
                <w:szCs w:val="24"/>
                <w:lang w:eastAsia="tr-TR"/>
              </w:rPr>
              <w:t>MADDE 199</w:t>
            </w:r>
            <w:r w:rsidR="00194118" w:rsidRPr="00A23740">
              <w:rPr>
                <w:rFonts w:eastAsia="Times New Roman"/>
                <w:b/>
                <w:szCs w:val="24"/>
                <w:lang w:eastAsia="tr-TR"/>
              </w:rPr>
              <w:t xml:space="preserve">- </w:t>
            </w:r>
            <w:r w:rsidR="00194118" w:rsidRPr="00A23740">
              <w:rPr>
                <w:rFonts w:eastAsia="Times New Roman"/>
                <w:szCs w:val="24"/>
                <w:lang w:eastAsia="tr-TR"/>
              </w:rPr>
              <w:t xml:space="preserve">Maddeyle, </w:t>
            </w:r>
            <w:r w:rsidR="00877DB3" w:rsidRPr="00A23740">
              <w:rPr>
                <w:rFonts w:eastAsia="Times New Roman"/>
                <w:szCs w:val="24"/>
                <w:lang w:eastAsia="tr-TR"/>
              </w:rPr>
              <w:t xml:space="preserve">daha </w:t>
            </w:r>
            <w:r w:rsidR="00194118" w:rsidRPr="00A23740">
              <w:rPr>
                <w:rFonts w:eastAsia="Times New Roman"/>
                <w:szCs w:val="24"/>
                <w:lang w:eastAsia="tr-TR"/>
              </w:rPr>
              <w:t xml:space="preserve">önce icra </w:t>
            </w:r>
            <w:r w:rsidR="00877DB3" w:rsidRPr="00A23740">
              <w:rPr>
                <w:rFonts w:eastAsia="Times New Roman"/>
                <w:szCs w:val="24"/>
                <w:lang w:eastAsia="tr-TR"/>
              </w:rPr>
              <w:t xml:space="preserve">takibi yapmış olmaya </w:t>
            </w:r>
            <w:r w:rsidR="00194118" w:rsidRPr="00A23740">
              <w:rPr>
                <w:rFonts w:eastAsia="Times New Roman"/>
                <w:szCs w:val="24"/>
                <w:lang w:eastAsia="tr-TR"/>
              </w:rPr>
              <w:t>gerek olmaksızın hacze iştirak düzenlenmektedir. Madde 2004 sayılı Kanunun 101 inci maddesine karşılık gelmektedir.</w:t>
            </w:r>
          </w:p>
          <w:p w:rsidR="0063048F" w:rsidRPr="00D60C1D" w:rsidRDefault="00194118" w:rsidP="009431FF">
            <w:pPr>
              <w:tabs>
                <w:tab w:val="left" w:pos="567"/>
              </w:tabs>
              <w:ind w:firstLine="567"/>
              <w:rPr>
                <w:rFonts w:eastAsia="Times New Roman"/>
                <w:color w:val="000000"/>
                <w:szCs w:val="24"/>
                <w:lang w:eastAsia="tr-TR"/>
              </w:rPr>
            </w:pPr>
            <w:r w:rsidRPr="00A23740">
              <w:rPr>
                <w:rFonts w:eastAsia="Times New Roman"/>
                <w:szCs w:val="24"/>
                <w:lang w:eastAsia="tr-TR"/>
              </w:rPr>
              <w:t xml:space="preserve">Birinci fıkrayla, </w:t>
            </w:r>
            <w:r w:rsidR="00877DB3" w:rsidRPr="00A23740">
              <w:rPr>
                <w:rFonts w:eastAsia="Times New Roman"/>
                <w:szCs w:val="24"/>
                <w:lang w:eastAsia="tr-TR"/>
              </w:rPr>
              <w:t xml:space="preserve">daha </w:t>
            </w:r>
            <w:r w:rsidRPr="00A23740">
              <w:rPr>
                <w:rFonts w:eastAsia="Times New Roman"/>
                <w:szCs w:val="24"/>
                <w:lang w:eastAsia="tr-TR"/>
              </w:rPr>
              <w:t xml:space="preserve">önce icra </w:t>
            </w:r>
            <w:r w:rsidR="00877DB3" w:rsidRPr="00A23740">
              <w:rPr>
                <w:rFonts w:eastAsia="Times New Roman"/>
                <w:szCs w:val="24"/>
                <w:lang w:eastAsia="tr-TR"/>
              </w:rPr>
              <w:t xml:space="preserve">takibi yapmaya </w:t>
            </w:r>
            <w:r w:rsidRPr="00A23740">
              <w:rPr>
                <w:rFonts w:eastAsia="Times New Roman"/>
                <w:szCs w:val="24"/>
                <w:lang w:eastAsia="tr-TR"/>
              </w:rPr>
              <w:t xml:space="preserve">gerek olmaksızın hacze iştirak edebilecekler </w:t>
            </w:r>
            <w:r w:rsidR="004E271F" w:rsidRPr="00A23740">
              <w:rPr>
                <w:rFonts w:eastAsia="Times New Roman"/>
                <w:szCs w:val="24"/>
                <w:lang w:eastAsia="tr-TR"/>
              </w:rPr>
              <w:t>ile hacze iştirak edilebilecek h</w:t>
            </w:r>
            <w:r w:rsidR="001D7D44" w:rsidRPr="00A23740">
              <w:rPr>
                <w:rFonts w:eastAsia="Times New Roman"/>
                <w:szCs w:val="24"/>
                <w:lang w:eastAsia="tr-TR"/>
              </w:rPr>
              <w:t>â</w:t>
            </w:r>
            <w:r w:rsidR="004E271F" w:rsidRPr="00A23740">
              <w:rPr>
                <w:rFonts w:eastAsia="Times New Roman"/>
                <w:szCs w:val="24"/>
                <w:lang w:eastAsia="tr-TR"/>
              </w:rPr>
              <w:t xml:space="preserve">ller ve buna ilişkin esaslar </w:t>
            </w:r>
            <w:r w:rsidRPr="00A23740">
              <w:rPr>
                <w:rFonts w:eastAsia="Times New Roman"/>
                <w:szCs w:val="24"/>
                <w:lang w:eastAsia="tr-TR"/>
              </w:rPr>
              <w:t>düzenlenmektedir. Buna göre borçlunun eşi, çocukları ve vasi veya kayyımı olduğu kişiler, evlenme, velayet veya vesayetten doğan alacaklar için</w:t>
            </w:r>
            <w:r w:rsidR="00877DB3" w:rsidRPr="00A23740">
              <w:rPr>
                <w:rFonts w:eastAsia="Times New Roman"/>
                <w:szCs w:val="24"/>
                <w:lang w:eastAsia="tr-TR"/>
              </w:rPr>
              <w:t>, daha</w:t>
            </w:r>
            <w:r w:rsidRPr="00A23740">
              <w:rPr>
                <w:rFonts w:eastAsia="Times New Roman"/>
                <w:szCs w:val="24"/>
                <w:lang w:eastAsia="tr-TR"/>
              </w:rPr>
              <w:t xml:space="preserve"> önce icra takibi </w:t>
            </w:r>
            <w:r w:rsidR="00877DB3" w:rsidRPr="00A23740">
              <w:rPr>
                <w:rFonts w:eastAsia="Times New Roman"/>
                <w:szCs w:val="24"/>
                <w:lang w:eastAsia="tr-TR"/>
              </w:rPr>
              <w:t>ya</w:t>
            </w:r>
            <w:r w:rsidR="00877DB3" w:rsidRPr="00D60C1D">
              <w:rPr>
                <w:rFonts w:eastAsia="Times New Roman"/>
                <w:color w:val="000000"/>
                <w:szCs w:val="24"/>
                <w:lang w:eastAsia="tr-TR"/>
              </w:rPr>
              <w:t xml:space="preserve">pmış olmaya </w:t>
            </w:r>
            <w:r w:rsidRPr="00D60C1D">
              <w:rPr>
                <w:rFonts w:eastAsia="Times New Roman"/>
                <w:color w:val="000000"/>
                <w:szCs w:val="24"/>
                <w:lang w:eastAsia="tr-TR"/>
              </w:rPr>
              <w:t xml:space="preserve">gerek </w:t>
            </w:r>
            <w:r w:rsidR="00877DB3" w:rsidRPr="00D60C1D">
              <w:rPr>
                <w:rFonts w:eastAsia="Times New Roman"/>
                <w:color w:val="000000"/>
                <w:szCs w:val="24"/>
                <w:lang w:eastAsia="tr-TR"/>
              </w:rPr>
              <w:t xml:space="preserve"> bulunmaksızın, </w:t>
            </w:r>
            <w:r w:rsidRPr="00D60C1D">
              <w:rPr>
                <w:rFonts w:eastAsia="Times New Roman"/>
                <w:color w:val="000000"/>
                <w:szCs w:val="24"/>
                <w:lang w:eastAsia="tr-TR"/>
              </w:rPr>
              <w:t>ilk haciz üzerine satılan malın tutarı icra</w:t>
            </w:r>
            <w:r w:rsidR="00B73523" w:rsidRPr="00D60C1D">
              <w:rPr>
                <w:rFonts w:eastAsia="Times New Roman"/>
                <w:color w:val="000000"/>
                <w:szCs w:val="24"/>
                <w:lang w:eastAsia="tr-TR"/>
              </w:rPr>
              <w:t xml:space="preserve"> ve iflas</w:t>
            </w:r>
            <w:r w:rsidRPr="00D60C1D">
              <w:rPr>
                <w:rFonts w:eastAsia="Times New Roman"/>
                <w:color w:val="000000"/>
                <w:szCs w:val="24"/>
                <w:lang w:eastAsia="tr-TR"/>
              </w:rPr>
              <w:t xml:space="preserve"> dairesinin banka hesabına girinceye kadar aynı derecede hacze iştirak edebilir. Küçükler, vesayet altında bulunanlar ve kendilerine kayy</w:t>
            </w:r>
            <w:r w:rsidR="004E271F" w:rsidRPr="00D60C1D">
              <w:rPr>
                <w:rFonts w:eastAsia="Times New Roman"/>
                <w:color w:val="000000"/>
                <w:szCs w:val="24"/>
                <w:lang w:eastAsia="tr-TR"/>
              </w:rPr>
              <w:t>ım tayin edilmiş olanlar adına,</w:t>
            </w:r>
            <w:r w:rsidRPr="00D60C1D">
              <w:rPr>
                <w:rFonts w:eastAsia="Times New Roman"/>
                <w:color w:val="000000"/>
                <w:szCs w:val="24"/>
                <w:lang w:eastAsia="tr-TR"/>
              </w:rPr>
              <w:t xml:space="preserve"> sulh hukuk mahkemesi de aynı suretle takip </w:t>
            </w:r>
            <w:r w:rsidR="00877DB3" w:rsidRPr="00D60C1D">
              <w:rPr>
                <w:rFonts w:eastAsia="Times New Roman"/>
                <w:color w:val="000000"/>
                <w:szCs w:val="24"/>
                <w:lang w:eastAsia="tr-TR"/>
              </w:rPr>
              <w:t xml:space="preserve">yapmaya ihtiyaç olmaksızın </w:t>
            </w:r>
            <w:r w:rsidRPr="00D60C1D">
              <w:rPr>
                <w:rFonts w:eastAsia="Times New Roman"/>
                <w:color w:val="000000"/>
                <w:szCs w:val="24"/>
                <w:lang w:eastAsia="tr-TR"/>
              </w:rPr>
              <w:t>hacze iştirak edebilir.</w:t>
            </w:r>
            <w:r w:rsidR="00A43F0F" w:rsidRPr="00D60C1D">
              <w:rPr>
                <w:rFonts w:eastAsia="Times New Roman"/>
                <w:color w:val="000000"/>
                <w:szCs w:val="24"/>
                <w:lang w:eastAsia="tr-TR"/>
              </w:rPr>
              <w:t xml:space="preserve"> Adi iştirakten farklı olarak, imtiyazlı iştirakte</w:t>
            </w:r>
            <w:r w:rsidR="00877DB3" w:rsidRPr="00D60C1D">
              <w:rPr>
                <w:rFonts w:eastAsia="Times New Roman"/>
                <w:color w:val="000000"/>
                <w:szCs w:val="24"/>
                <w:lang w:eastAsia="tr-TR"/>
              </w:rPr>
              <w:t>,</w:t>
            </w:r>
            <w:r w:rsidR="00A43F0F" w:rsidRPr="00D60C1D">
              <w:rPr>
                <w:rFonts w:eastAsia="Times New Roman"/>
                <w:color w:val="000000"/>
                <w:szCs w:val="24"/>
                <w:lang w:eastAsia="tr-TR"/>
              </w:rPr>
              <w:t xml:space="preserve"> iştirak edilebilecek sürenin daha uzun olması ve ihale bedelinin icra</w:t>
            </w:r>
            <w:r w:rsidR="00B73523" w:rsidRPr="00D60C1D">
              <w:rPr>
                <w:rFonts w:eastAsia="Times New Roman"/>
                <w:color w:val="000000"/>
                <w:szCs w:val="24"/>
                <w:lang w:eastAsia="tr-TR"/>
              </w:rPr>
              <w:t xml:space="preserve"> ve iflas</w:t>
            </w:r>
            <w:r w:rsidR="00A43F0F" w:rsidRPr="00D60C1D">
              <w:rPr>
                <w:rFonts w:eastAsia="Times New Roman"/>
                <w:color w:val="000000"/>
                <w:szCs w:val="24"/>
                <w:lang w:eastAsia="tr-TR"/>
              </w:rPr>
              <w:t xml:space="preserve"> dairesinin banka hesabına girinceye kadar imtiyazlı iştirak sahibinin ilk hacze iştirak etmesine imk</w:t>
            </w:r>
            <w:r w:rsidR="00BE53A8" w:rsidRPr="00D60C1D">
              <w:rPr>
                <w:rFonts w:eastAsia="Times New Roman"/>
                <w:color w:val="000000"/>
                <w:szCs w:val="24"/>
                <w:lang w:eastAsia="tr-TR"/>
              </w:rPr>
              <w:t>â</w:t>
            </w:r>
            <w:r w:rsidR="00A43F0F" w:rsidRPr="00D60C1D">
              <w:rPr>
                <w:rFonts w:eastAsia="Times New Roman"/>
                <w:color w:val="000000"/>
                <w:szCs w:val="24"/>
                <w:lang w:eastAsia="tr-TR"/>
              </w:rPr>
              <w:t xml:space="preserve">n </w:t>
            </w:r>
            <w:r w:rsidR="00877DB3" w:rsidRPr="00D60C1D">
              <w:rPr>
                <w:rFonts w:eastAsia="Times New Roman"/>
                <w:color w:val="000000"/>
                <w:szCs w:val="24"/>
                <w:lang w:eastAsia="tr-TR"/>
              </w:rPr>
              <w:t xml:space="preserve">verilmesi </w:t>
            </w:r>
            <w:r w:rsidR="00A43F0F" w:rsidRPr="00D60C1D">
              <w:rPr>
                <w:rFonts w:eastAsia="Times New Roman"/>
                <w:color w:val="000000"/>
                <w:szCs w:val="24"/>
                <w:lang w:eastAsia="tr-TR"/>
              </w:rPr>
              <w:t xml:space="preserve">tercih edilmiştir. </w:t>
            </w:r>
          </w:p>
          <w:p w:rsidR="004E271F" w:rsidRPr="00A23740" w:rsidRDefault="004E271F" w:rsidP="009431FF">
            <w:pPr>
              <w:tabs>
                <w:tab w:val="left" w:pos="567"/>
              </w:tabs>
              <w:ind w:firstLine="567"/>
              <w:rPr>
                <w:rFonts w:eastAsia="Times New Roman"/>
                <w:szCs w:val="24"/>
                <w:lang w:eastAsia="tr-TR"/>
              </w:rPr>
            </w:pPr>
            <w:r w:rsidRPr="00D60C1D">
              <w:rPr>
                <w:rFonts w:eastAsia="Times New Roman"/>
                <w:color w:val="000000"/>
                <w:szCs w:val="24"/>
                <w:lang w:eastAsia="tr-TR"/>
              </w:rPr>
              <w:t>İkinci</w:t>
            </w:r>
            <w:r w:rsidR="00877DB3" w:rsidRPr="00D60C1D">
              <w:rPr>
                <w:rFonts w:eastAsia="Times New Roman"/>
                <w:color w:val="000000"/>
                <w:szCs w:val="24"/>
                <w:lang w:eastAsia="tr-TR"/>
              </w:rPr>
              <w:t xml:space="preserve"> fıkrada</w:t>
            </w:r>
            <w:r w:rsidRPr="00D60C1D">
              <w:rPr>
                <w:rFonts w:eastAsia="Times New Roman"/>
                <w:color w:val="000000"/>
                <w:szCs w:val="24"/>
                <w:lang w:eastAsia="tr-TR"/>
              </w:rPr>
              <w:t>, birinci fıkrada düzenlenen hakkın kullanılabileceği süreye ilişkin hususlar düzenlenmiştir. Buna göre</w:t>
            </w:r>
            <w:r w:rsidR="00877DB3" w:rsidRPr="00D60C1D">
              <w:rPr>
                <w:rFonts w:eastAsia="Times New Roman"/>
                <w:color w:val="000000"/>
                <w:szCs w:val="24"/>
                <w:lang w:eastAsia="tr-TR"/>
              </w:rPr>
              <w:t>,</w:t>
            </w:r>
            <w:r w:rsidRPr="00D60C1D">
              <w:rPr>
                <w:rFonts w:eastAsia="Times New Roman"/>
                <w:color w:val="000000"/>
                <w:szCs w:val="24"/>
                <w:lang w:eastAsia="tr-TR"/>
              </w:rPr>
              <w:t xml:space="preserve"> verilen b</w:t>
            </w:r>
            <w:r w:rsidR="00194118" w:rsidRPr="00D60C1D">
              <w:rPr>
                <w:rFonts w:eastAsia="Times New Roman"/>
                <w:color w:val="000000"/>
                <w:szCs w:val="24"/>
                <w:lang w:eastAsia="tr-TR"/>
              </w:rPr>
              <w:t>u hak</w:t>
            </w:r>
            <w:r w:rsidRPr="00D60C1D">
              <w:rPr>
                <w:rFonts w:eastAsia="Times New Roman"/>
                <w:color w:val="000000"/>
                <w:szCs w:val="24"/>
                <w:lang w:eastAsia="tr-TR"/>
              </w:rPr>
              <w:t>,</w:t>
            </w:r>
            <w:r w:rsidR="00194118" w:rsidRPr="00D60C1D">
              <w:rPr>
                <w:rFonts w:eastAsia="Times New Roman"/>
                <w:color w:val="000000"/>
                <w:szCs w:val="24"/>
                <w:lang w:eastAsia="tr-TR"/>
              </w:rPr>
              <w:t xml:space="preserve"> ancak haczin, vesayetin, velayetin veya evliliğin devamı esnasında yahut sona ermesini takip eden yıl içinde </w:t>
            </w:r>
            <w:r w:rsidR="00877DB3" w:rsidRPr="00D60C1D">
              <w:rPr>
                <w:rFonts w:eastAsia="Times New Roman"/>
                <w:color w:val="000000"/>
                <w:szCs w:val="24"/>
                <w:lang w:eastAsia="tr-TR"/>
              </w:rPr>
              <w:t xml:space="preserve">ileri sürülmesi </w:t>
            </w:r>
            <w:r w:rsidR="00194118" w:rsidRPr="00D60C1D">
              <w:rPr>
                <w:rFonts w:eastAsia="Times New Roman"/>
                <w:color w:val="000000"/>
                <w:szCs w:val="24"/>
                <w:lang w:eastAsia="tr-TR"/>
              </w:rPr>
              <w:t>h</w:t>
            </w:r>
            <w:r w:rsidR="001D7D44" w:rsidRPr="00D60C1D">
              <w:rPr>
                <w:rFonts w:eastAsia="Times New Roman"/>
                <w:color w:val="000000"/>
                <w:szCs w:val="24"/>
                <w:lang w:eastAsia="tr-TR"/>
              </w:rPr>
              <w:t>â</w:t>
            </w:r>
            <w:r w:rsidR="00194118" w:rsidRPr="00D60C1D">
              <w:rPr>
                <w:rFonts w:eastAsia="Times New Roman"/>
                <w:color w:val="000000"/>
                <w:szCs w:val="24"/>
                <w:lang w:eastAsia="tr-TR"/>
              </w:rPr>
              <w:t>lindekullanılabil</w:t>
            </w:r>
            <w:r w:rsidRPr="00D60C1D">
              <w:rPr>
                <w:rFonts w:eastAsia="Times New Roman"/>
                <w:color w:val="000000"/>
                <w:szCs w:val="24"/>
                <w:lang w:eastAsia="tr-TR"/>
              </w:rPr>
              <w:t>ecektir. Öte yandan, h</w:t>
            </w:r>
            <w:r w:rsidR="00194118" w:rsidRPr="00D60C1D">
              <w:rPr>
                <w:rFonts w:eastAsia="Times New Roman"/>
                <w:color w:val="000000"/>
                <w:szCs w:val="24"/>
                <w:lang w:eastAsia="tr-TR"/>
              </w:rPr>
              <w:t>acze iştirak etmek isteyen kişi ile takip borçlusu</w:t>
            </w:r>
            <w:r w:rsidR="00194118" w:rsidRPr="00A23740">
              <w:rPr>
                <w:rFonts w:eastAsia="Times New Roman"/>
                <w:szCs w:val="24"/>
                <w:lang w:eastAsia="tr-TR"/>
              </w:rPr>
              <w:t xml:space="preserve"> arasında bir dava veya takip olması h</w:t>
            </w:r>
            <w:r w:rsidR="001D7D44" w:rsidRPr="00A23740">
              <w:rPr>
                <w:rFonts w:eastAsia="Times New Roman"/>
                <w:szCs w:val="24"/>
                <w:lang w:eastAsia="tr-TR"/>
              </w:rPr>
              <w:t>â</w:t>
            </w:r>
            <w:r w:rsidR="00194118" w:rsidRPr="00A23740">
              <w:rPr>
                <w:rFonts w:eastAsia="Times New Roman"/>
                <w:szCs w:val="24"/>
                <w:lang w:eastAsia="tr-TR"/>
              </w:rPr>
              <w:t>linde, bu sürenin hesabında davanın veya takibin devam ettiği süre dikkate alınma</w:t>
            </w:r>
            <w:r w:rsidRPr="00A23740">
              <w:rPr>
                <w:rFonts w:eastAsia="Times New Roman"/>
                <w:szCs w:val="24"/>
                <w:lang w:eastAsia="tr-TR"/>
              </w:rPr>
              <w:t xml:space="preserve">yacaktır. </w:t>
            </w:r>
          </w:p>
          <w:p w:rsidR="004E271F" w:rsidRPr="00D60C1D" w:rsidRDefault="004E271F" w:rsidP="009431FF">
            <w:pPr>
              <w:tabs>
                <w:tab w:val="left" w:pos="567"/>
              </w:tabs>
              <w:ind w:firstLine="567"/>
              <w:rPr>
                <w:rFonts w:eastAsia="Times New Roman"/>
                <w:color w:val="000000"/>
                <w:szCs w:val="24"/>
                <w:lang w:eastAsia="tr-TR"/>
              </w:rPr>
            </w:pPr>
            <w:r w:rsidRPr="00A23740">
              <w:rPr>
                <w:rFonts w:eastAsia="Times New Roman"/>
                <w:szCs w:val="24"/>
                <w:lang w:eastAsia="tr-TR"/>
              </w:rPr>
              <w:t xml:space="preserve">Bilim Komisyonu çalışmaları sırasında </w:t>
            </w:r>
            <w:r w:rsidRPr="00D60C1D">
              <w:rPr>
                <w:rFonts w:eastAsia="Times New Roman"/>
                <w:color w:val="000000"/>
                <w:szCs w:val="24"/>
                <w:lang w:eastAsia="tr-TR"/>
              </w:rPr>
              <w:t>yapılan tartışmalar neticesinde, adi iştirakten farklı olarak imtiyazlı iştirakte iştirak edilebilecek sürenin daha uygun olması ve ihale bedelinin icra</w:t>
            </w:r>
            <w:r w:rsidR="00B73523" w:rsidRPr="00D60C1D">
              <w:rPr>
                <w:rFonts w:eastAsia="Times New Roman"/>
                <w:color w:val="000000"/>
                <w:szCs w:val="24"/>
                <w:lang w:eastAsia="tr-TR"/>
              </w:rPr>
              <w:t xml:space="preserve"> ve iflas</w:t>
            </w:r>
            <w:r w:rsidRPr="00D60C1D">
              <w:rPr>
                <w:rFonts w:eastAsia="Times New Roman"/>
                <w:color w:val="000000"/>
                <w:szCs w:val="24"/>
                <w:lang w:eastAsia="tr-TR"/>
              </w:rPr>
              <w:t xml:space="preserve"> dairesinin banka hesabına girinceye kadar imtiyazlı iştirak sahibinin ilk hacze iştirak </w:t>
            </w:r>
            <w:r w:rsidR="00877DB3" w:rsidRPr="00D60C1D">
              <w:rPr>
                <w:rFonts w:eastAsia="Times New Roman"/>
                <w:color w:val="000000"/>
                <w:szCs w:val="24"/>
                <w:lang w:eastAsia="tr-TR"/>
              </w:rPr>
              <w:t xml:space="preserve">edebilmesi </w:t>
            </w:r>
            <w:r w:rsidRPr="00D60C1D">
              <w:rPr>
                <w:rFonts w:eastAsia="Times New Roman"/>
                <w:color w:val="000000"/>
                <w:szCs w:val="24"/>
                <w:lang w:eastAsia="tr-TR"/>
              </w:rPr>
              <w:t>bilinçli bir tercih olarak kabul edilmiştir.</w:t>
            </w:r>
          </w:p>
          <w:p w:rsidR="004E271F" w:rsidRPr="00A23740" w:rsidRDefault="004E271F" w:rsidP="009431FF">
            <w:pPr>
              <w:tabs>
                <w:tab w:val="left" w:pos="567"/>
              </w:tabs>
              <w:ind w:firstLine="567"/>
              <w:rPr>
                <w:rFonts w:eastAsia="Times New Roman"/>
                <w:szCs w:val="24"/>
                <w:lang w:eastAsia="tr-TR"/>
              </w:rPr>
            </w:pPr>
            <w:r w:rsidRPr="00D60C1D">
              <w:rPr>
                <w:rFonts w:eastAsia="Times New Roman"/>
                <w:color w:val="000000"/>
                <w:szCs w:val="24"/>
                <w:lang w:eastAsia="tr-TR"/>
              </w:rPr>
              <w:t>Üçüncü fıkrayla, doğrudan doğruya iştirak h</w:t>
            </w:r>
            <w:r w:rsidR="001D7D44" w:rsidRPr="00D60C1D">
              <w:rPr>
                <w:rFonts w:eastAsia="Times New Roman"/>
                <w:color w:val="000000"/>
                <w:szCs w:val="24"/>
                <w:lang w:eastAsia="tr-TR"/>
              </w:rPr>
              <w:t>â</w:t>
            </w:r>
            <w:r w:rsidRPr="00D60C1D">
              <w:rPr>
                <w:rFonts w:eastAsia="Times New Roman"/>
                <w:color w:val="000000"/>
                <w:szCs w:val="24"/>
                <w:lang w:eastAsia="tr-TR"/>
              </w:rPr>
              <w:t xml:space="preserve">li </w:t>
            </w:r>
            <w:r w:rsidR="005D1987" w:rsidRPr="00D60C1D">
              <w:rPr>
                <w:rFonts w:eastAsia="Times New Roman"/>
                <w:color w:val="000000"/>
                <w:szCs w:val="24"/>
                <w:lang w:eastAsia="tr-TR"/>
              </w:rPr>
              <w:t>düzenlenmektedir</w:t>
            </w:r>
            <w:r w:rsidR="005D1987" w:rsidRPr="00A23740">
              <w:rPr>
                <w:rFonts w:eastAsia="Times New Roman"/>
                <w:szCs w:val="24"/>
                <w:lang w:eastAsia="tr-TR"/>
              </w:rPr>
              <w:t xml:space="preserve">. Buna göre, </w:t>
            </w:r>
            <w:r w:rsidRPr="00A23740">
              <w:rPr>
                <w:rFonts w:eastAsia="Times New Roman"/>
                <w:szCs w:val="24"/>
                <w:lang w:eastAsia="tr-TR"/>
              </w:rPr>
              <w:t>borçlunun ergin çocukları</w:t>
            </w:r>
            <w:r w:rsidR="005737E5" w:rsidRPr="00A23740">
              <w:rPr>
                <w:rFonts w:eastAsia="Times New Roman"/>
                <w:szCs w:val="24"/>
                <w:lang w:eastAsia="tr-TR"/>
              </w:rPr>
              <w:t>nın</w:t>
            </w:r>
            <w:r w:rsidRPr="00A23740">
              <w:rPr>
                <w:rFonts w:eastAsia="Times New Roman"/>
                <w:bCs/>
                <w:lang w:eastAsia="tr-TR"/>
              </w:rPr>
              <w:t>,</w:t>
            </w:r>
            <w:r w:rsidRPr="00A23740">
              <w:rPr>
                <w:rFonts w:eastAsia="Times New Roman"/>
                <w:szCs w:val="24"/>
                <w:lang w:eastAsia="tr-TR"/>
              </w:rPr>
              <w:t xml:space="preserve"> </w:t>
            </w:r>
            <w:r w:rsidR="005D1987" w:rsidRPr="00A23740">
              <w:rPr>
                <w:rFonts w:eastAsia="Times New Roman"/>
                <w:szCs w:val="24"/>
                <w:lang w:eastAsia="tr-TR"/>
              </w:rPr>
              <w:t xml:space="preserve">4721 </w:t>
            </w:r>
            <w:r w:rsidR="005D1987" w:rsidRPr="00D60C1D">
              <w:rPr>
                <w:rFonts w:eastAsia="Times New Roman"/>
                <w:color w:val="000000"/>
                <w:szCs w:val="24"/>
                <w:lang w:eastAsia="tr-TR"/>
              </w:rPr>
              <w:t>sayılı</w:t>
            </w:r>
            <w:r w:rsidR="008F75C3" w:rsidRPr="00D60C1D">
              <w:rPr>
                <w:rFonts w:eastAsia="Times New Roman"/>
                <w:color w:val="000000"/>
                <w:szCs w:val="24"/>
                <w:lang w:eastAsia="tr-TR"/>
              </w:rPr>
              <w:t xml:space="preserve"> Kanunun</w:t>
            </w:r>
            <w:r w:rsidR="005D1987" w:rsidRPr="00A23740">
              <w:rPr>
                <w:rFonts w:eastAsia="Times New Roman"/>
                <w:szCs w:val="24"/>
                <w:lang w:eastAsia="tr-TR"/>
              </w:rPr>
              <w:t xml:space="preserve"> </w:t>
            </w:r>
            <w:r w:rsidRPr="00A23740">
              <w:rPr>
                <w:rFonts w:eastAsia="Times New Roman"/>
                <w:szCs w:val="24"/>
                <w:lang w:eastAsia="tr-TR"/>
              </w:rPr>
              <w:t xml:space="preserve">370 inci </w:t>
            </w:r>
            <w:r w:rsidRPr="00A23740">
              <w:rPr>
                <w:rFonts w:eastAsia="Times New Roman"/>
                <w:bCs/>
                <w:lang w:eastAsia="tr-TR"/>
              </w:rPr>
              <w:t>maddesinden doğan</w:t>
            </w:r>
            <w:r w:rsidRPr="00A23740">
              <w:rPr>
                <w:rFonts w:eastAsia="Times New Roman"/>
                <w:szCs w:val="24"/>
                <w:lang w:eastAsia="tr-TR"/>
              </w:rPr>
              <w:t xml:space="preserve"> alacaklarından dolayı</w:t>
            </w:r>
            <w:r w:rsidR="005737E5" w:rsidRPr="00A23740">
              <w:rPr>
                <w:rFonts w:eastAsia="Times New Roman"/>
                <w:szCs w:val="24"/>
                <w:lang w:eastAsia="tr-TR"/>
              </w:rPr>
              <w:t>,</w:t>
            </w:r>
            <w:r w:rsidRPr="00A23740">
              <w:rPr>
                <w:rFonts w:eastAsia="Times New Roman"/>
                <w:szCs w:val="24"/>
                <w:lang w:eastAsia="tr-TR"/>
              </w:rPr>
              <w:t xml:space="preserve"> </w:t>
            </w:r>
            <w:r w:rsidR="005737E5" w:rsidRPr="00A23740">
              <w:rPr>
                <w:rFonts w:eastAsia="Times New Roman"/>
                <w:szCs w:val="24"/>
                <w:lang w:eastAsia="tr-TR"/>
              </w:rPr>
              <w:t xml:space="preserve">daha </w:t>
            </w:r>
            <w:r w:rsidRPr="00A23740">
              <w:rPr>
                <w:rFonts w:eastAsia="Times New Roman"/>
                <w:szCs w:val="24"/>
                <w:lang w:eastAsia="tr-TR"/>
              </w:rPr>
              <w:t>önce icra</w:t>
            </w:r>
            <w:r w:rsidRPr="00A23740">
              <w:rPr>
                <w:rFonts w:eastAsia="Times New Roman"/>
                <w:b/>
                <w:bCs/>
                <w:szCs w:val="24"/>
                <w:lang w:eastAsia="tr-TR"/>
              </w:rPr>
              <w:t xml:space="preserve"> </w:t>
            </w:r>
            <w:r w:rsidRPr="00A23740">
              <w:rPr>
                <w:rFonts w:eastAsia="Times New Roman"/>
                <w:szCs w:val="24"/>
                <w:lang w:eastAsia="tr-TR"/>
              </w:rPr>
              <w:t xml:space="preserve">takibi </w:t>
            </w:r>
            <w:r w:rsidR="005737E5" w:rsidRPr="00A23740">
              <w:rPr>
                <w:rFonts w:eastAsia="Times New Roman"/>
                <w:szCs w:val="24"/>
                <w:lang w:eastAsia="tr-TR"/>
              </w:rPr>
              <w:t xml:space="preserve">yapmalarına </w:t>
            </w:r>
            <w:r w:rsidRPr="00A23740">
              <w:rPr>
                <w:rFonts w:eastAsia="Times New Roman"/>
                <w:szCs w:val="24"/>
                <w:lang w:eastAsia="tr-TR"/>
              </w:rPr>
              <w:t xml:space="preserve">gerek kalmaksızın her zaman aynı derecede hacze iştirak </w:t>
            </w:r>
            <w:r w:rsidR="005737E5" w:rsidRPr="00A23740">
              <w:rPr>
                <w:rFonts w:eastAsia="Times New Roman"/>
                <w:szCs w:val="24"/>
                <w:lang w:eastAsia="tr-TR"/>
              </w:rPr>
              <w:t xml:space="preserve"> edebilmeleri </w:t>
            </w:r>
            <w:r w:rsidR="005D1987" w:rsidRPr="00A23740">
              <w:rPr>
                <w:rFonts w:eastAsia="Times New Roman"/>
                <w:szCs w:val="24"/>
                <w:lang w:eastAsia="tr-TR"/>
              </w:rPr>
              <w:t>kabul edilmektedir.</w:t>
            </w:r>
          </w:p>
          <w:p w:rsidR="00A43F0F" w:rsidRPr="00D60C1D" w:rsidRDefault="005D1987" w:rsidP="009431FF">
            <w:pPr>
              <w:tabs>
                <w:tab w:val="left" w:pos="567"/>
              </w:tabs>
              <w:ind w:firstLine="567"/>
              <w:rPr>
                <w:rFonts w:eastAsia="Times New Roman"/>
                <w:color w:val="000000"/>
                <w:szCs w:val="24"/>
                <w:lang w:eastAsia="tr-TR"/>
              </w:rPr>
            </w:pPr>
            <w:r w:rsidRPr="00A23740">
              <w:rPr>
                <w:rFonts w:eastAsia="Times New Roman"/>
                <w:szCs w:val="24"/>
                <w:lang w:eastAsia="tr-TR"/>
              </w:rPr>
              <w:t>Dördüncü fıkra</w:t>
            </w:r>
            <w:r w:rsidR="005737E5" w:rsidRPr="00A23740">
              <w:rPr>
                <w:rFonts w:eastAsia="Times New Roman"/>
                <w:szCs w:val="24"/>
                <w:lang w:eastAsia="tr-TR"/>
              </w:rPr>
              <w:t>da</w:t>
            </w:r>
            <w:r w:rsidRPr="00A23740">
              <w:rPr>
                <w:rFonts w:eastAsia="Times New Roman"/>
                <w:szCs w:val="24"/>
                <w:lang w:eastAsia="tr-TR"/>
              </w:rPr>
              <w:t xml:space="preserve">, iştirak talepleri üzerine icra </w:t>
            </w:r>
            <w:r w:rsidR="00B73523" w:rsidRPr="00D60C1D">
              <w:rPr>
                <w:rFonts w:eastAsia="Times New Roman"/>
                <w:color w:val="000000"/>
                <w:szCs w:val="24"/>
                <w:lang w:eastAsia="tr-TR"/>
              </w:rPr>
              <w:t>ve</w:t>
            </w:r>
            <w:r w:rsidR="00B73523" w:rsidRPr="00A23740">
              <w:rPr>
                <w:b/>
                <w:color w:val="538135"/>
              </w:rPr>
              <w:t xml:space="preserve"> </w:t>
            </w:r>
            <w:r w:rsidR="00B73523" w:rsidRPr="00D60C1D">
              <w:rPr>
                <w:rFonts w:eastAsia="Times New Roman"/>
                <w:color w:val="000000"/>
                <w:szCs w:val="24"/>
                <w:lang w:eastAsia="tr-TR"/>
              </w:rPr>
              <w:t>iflas</w:t>
            </w:r>
            <w:r w:rsidR="00B73523" w:rsidRPr="00A23740">
              <w:rPr>
                <w:b/>
                <w:bCs/>
                <w:color w:val="0000FF"/>
                <w:szCs w:val="24"/>
                <w:lang w:val="x-none" w:eastAsia="x-none"/>
              </w:rPr>
              <w:t xml:space="preserve"> </w:t>
            </w:r>
            <w:r w:rsidRPr="00A23740">
              <w:rPr>
                <w:rFonts w:eastAsia="Times New Roman"/>
                <w:szCs w:val="24"/>
                <w:lang w:eastAsia="tr-TR"/>
              </w:rPr>
              <w:t>dairesince yapılacak iş ve işlemler düzenlenmektedir. Buna göre, i</w:t>
            </w:r>
            <w:r w:rsidR="004E271F" w:rsidRPr="00A23740">
              <w:rPr>
                <w:rFonts w:eastAsia="Times New Roman"/>
                <w:szCs w:val="24"/>
                <w:lang w:eastAsia="tr-TR"/>
              </w:rPr>
              <w:t>cra ve iflas dairesi</w:t>
            </w:r>
            <w:r w:rsidRPr="00A23740">
              <w:rPr>
                <w:rFonts w:eastAsia="Times New Roman"/>
                <w:szCs w:val="24"/>
                <w:lang w:eastAsia="tr-TR"/>
              </w:rPr>
              <w:t>nin</w:t>
            </w:r>
            <w:r w:rsidR="004E271F" w:rsidRPr="00A23740">
              <w:rPr>
                <w:rFonts w:eastAsia="Times New Roman"/>
                <w:szCs w:val="24"/>
                <w:lang w:eastAsia="tr-TR"/>
              </w:rPr>
              <w:t>, iştirak taleplerini borçlu ve alacaklılara bildir</w:t>
            </w:r>
            <w:r w:rsidRPr="00A23740">
              <w:rPr>
                <w:rFonts w:eastAsia="Times New Roman"/>
                <w:szCs w:val="24"/>
                <w:lang w:eastAsia="tr-TR"/>
              </w:rPr>
              <w:t>eceği ve</w:t>
            </w:r>
            <w:r w:rsidR="004E271F" w:rsidRPr="00A23740">
              <w:rPr>
                <w:rFonts w:eastAsia="Times New Roman"/>
                <w:szCs w:val="24"/>
                <w:lang w:eastAsia="tr-TR"/>
              </w:rPr>
              <w:t xml:space="preserve"> varsa itirazlarını bildirmeleri için bir hafta süre ver</w:t>
            </w:r>
            <w:r w:rsidRPr="00A23740">
              <w:rPr>
                <w:rFonts w:eastAsia="Times New Roman"/>
                <w:szCs w:val="24"/>
                <w:lang w:eastAsia="tr-TR"/>
              </w:rPr>
              <w:t xml:space="preserve">eceği hüküm altına alınmaktadır. </w:t>
            </w:r>
            <w:r w:rsidR="004E271F" w:rsidRPr="00D60C1D">
              <w:rPr>
                <w:rFonts w:eastAsia="Times New Roman"/>
                <w:color w:val="000000"/>
                <w:szCs w:val="24"/>
                <w:lang w:eastAsia="tr-TR"/>
              </w:rPr>
              <w:t>İştirak talebine itiraz h</w:t>
            </w:r>
            <w:r w:rsidR="001D7D44" w:rsidRPr="00D60C1D">
              <w:rPr>
                <w:rFonts w:eastAsia="Times New Roman"/>
                <w:color w:val="000000"/>
                <w:szCs w:val="24"/>
                <w:lang w:eastAsia="tr-TR"/>
              </w:rPr>
              <w:t>â</w:t>
            </w:r>
            <w:r w:rsidR="004E271F" w:rsidRPr="00D60C1D">
              <w:rPr>
                <w:rFonts w:eastAsia="Times New Roman"/>
                <w:color w:val="000000"/>
                <w:szCs w:val="24"/>
                <w:lang w:eastAsia="tr-TR"/>
              </w:rPr>
              <w:t>linde</w:t>
            </w:r>
            <w:r w:rsidRPr="00D60C1D">
              <w:rPr>
                <w:rFonts w:eastAsia="Times New Roman"/>
                <w:color w:val="000000"/>
                <w:szCs w:val="24"/>
                <w:lang w:eastAsia="tr-TR"/>
              </w:rPr>
              <w:t xml:space="preserve"> ise</w:t>
            </w:r>
            <w:r w:rsidR="004E271F" w:rsidRPr="00D60C1D">
              <w:rPr>
                <w:rFonts w:eastAsia="Times New Roman"/>
                <w:color w:val="000000"/>
                <w:szCs w:val="24"/>
                <w:lang w:eastAsia="tr-TR"/>
              </w:rPr>
              <w:t xml:space="preserve"> iştirak talebinde bulunan kimsenin hacze iştiraki geçici olarak kabul </w:t>
            </w:r>
            <w:r w:rsidR="005737E5" w:rsidRPr="00D60C1D">
              <w:rPr>
                <w:rFonts w:eastAsia="Times New Roman"/>
                <w:color w:val="000000"/>
                <w:szCs w:val="24"/>
                <w:lang w:eastAsia="tr-TR"/>
              </w:rPr>
              <w:t xml:space="preserve"> edilir </w:t>
            </w:r>
            <w:r w:rsidR="004E271F" w:rsidRPr="00D60C1D">
              <w:rPr>
                <w:rFonts w:eastAsia="Times New Roman"/>
                <w:color w:val="000000"/>
                <w:szCs w:val="24"/>
                <w:lang w:eastAsia="tr-TR"/>
              </w:rPr>
              <w:t xml:space="preserve">ve bir hafta içinde dava açması gerektiği </w:t>
            </w:r>
            <w:r w:rsidR="003B460A" w:rsidRPr="00D60C1D">
              <w:rPr>
                <w:rFonts w:eastAsia="Times New Roman"/>
                <w:color w:val="000000"/>
                <w:szCs w:val="24"/>
                <w:lang w:eastAsia="tr-TR"/>
              </w:rPr>
              <w:t xml:space="preserve">kendisine </w:t>
            </w:r>
            <w:r w:rsidR="004E271F" w:rsidRPr="00D60C1D">
              <w:rPr>
                <w:rFonts w:eastAsia="Times New Roman"/>
                <w:color w:val="000000"/>
                <w:szCs w:val="24"/>
                <w:lang w:eastAsia="tr-TR"/>
              </w:rPr>
              <w:t xml:space="preserve">bildirilir. </w:t>
            </w:r>
            <w:r w:rsidRPr="00D60C1D">
              <w:rPr>
                <w:rFonts w:eastAsia="Times New Roman"/>
                <w:color w:val="000000"/>
                <w:szCs w:val="24"/>
                <w:lang w:eastAsia="tr-TR"/>
              </w:rPr>
              <w:t>Bu bildirim üzerine i</w:t>
            </w:r>
            <w:r w:rsidR="004E271F" w:rsidRPr="00D60C1D">
              <w:rPr>
                <w:rFonts w:eastAsia="Times New Roman"/>
                <w:color w:val="000000"/>
                <w:szCs w:val="24"/>
                <w:lang w:eastAsia="tr-TR"/>
              </w:rPr>
              <w:t>ştirak talebinde bulunan bu süre içinde dava açmazsa</w:t>
            </w:r>
            <w:r w:rsidR="005737E5" w:rsidRPr="00D60C1D">
              <w:rPr>
                <w:rFonts w:eastAsia="Times New Roman"/>
                <w:color w:val="000000"/>
                <w:szCs w:val="24"/>
                <w:lang w:eastAsia="tr-TR"/>
              </w:rPr>
              <w:t>,</w:t>
            </w:r>
            <w:r w:rsidR="004E271F" w:rsidRPr="00D60C1D">
              <w:rPr>
                <w:rFonts w:eastAsia="Times New Roman"/>
                <w:color w:val="000000"/>
                <w:szCs w:val="24"/>
                <w:lang w:eastAsia="tr-TR"/>
              </w:rPr>
              <w:t xml:space="preserve"> iştirak hakkı düşe</w:t>
            </w:r>
            <w:r w:rsidR="005737E5" w:rsidRPr="00D60C1D">
              <w:rPr>
                <w:rFonts w:eastAsia="Times New Roman"/>
                <w:color w:val="000000"/>
                <w:szCs w:val="24"/>
                <w:lang w:eastAsia="tr-TR"/>
              </w:rPr>
              <w:t>r</w:t>
            </w:r>
            <w:r w:rsidRPr="00D60C1D">
              <w:rPr>
                <w:rFonts w:eastAsia="Times New Roman"/>
                <w:color w:val="000000"/>
                <w:szCs w:val="24"/>
                <w:lang w:eastAsia="tr-TR"/>
              </w:rPr>
              <w:t>.</w:t>
            </w:r>
            <w:r w:rsidR="009539B1" w:rsidRPr="00D60C1D">
              <w:rPr>
                <w:rFonts w:eastAsia="Times New Roman"/>
                <w:color w:val="000000"/>
                <w:szCs w:val="24"/>
                <w:lang w:eastAsia="tr-TR"/>
              </w:rPr>
              <w:t xml:space="preserve"> Bu d</w:t>
            </w:r>
            <w:r w:rsidR="00A43F0F" w:rsidRPr="00D60C1D">
              <w:rPr>
                <w:rFonts w:eastAsia="Times New Roman"/>
                <w:color w:val="000000"/>
                <w:szCs w:val="24"/>
                <w:lang w:eastAsia="tr-TR"/>
              </w:rPr>
              <w:t xml:space="preserve">ava, </w:t>
            </w:r>
            <w:r w:rsidR="004E271F" w:rsidRPr="00D60C1D">
              <w:rPr>
                <w:rFonts w:eastAsia="Times New Roman"/>
                <w:color w:val="000000"/>
                <w:szCs w:val="24"/>
                <w:lang w:eastAsia="tr-TR"/>
              </w:rPr>
              <w:t xml:space="preserve">iştirak edilecek haczin dayanağı olan takibin yapıldığı yerdeki mahkemelerde </w:t>
            </w:r>
            <w:r w:rsidR="00A43F0F" w:rsidRPr="00D60C1D">
              <w:rPr>
                <w:rFonts w:eastAsia="Times New Roman"/>
                <w:color w:val="000000"/>
                <w:szCs w:val="24"/>
                <w:lang w:eastAsia="tr-TR"/>
              </w:rPr>
              <w:t xml:space="preserve">genel hükümlere göre ve </w:t>
            </w:r>
            <w:r w:rsidR="004E271F" w:rsidRPr="00D60C1D">
              <w:rPr>
                <w:rFonts w:eastAsia="Times New Roman"/>
                <w:color w:val="000000"/>
                <w:szCs w:val="24"/>
                <w:lang w:eastAsia="tr-TR"/>
              </w:rPr>
              <w:t xml:space="preserve">basit yargılama </w:t>
            </w:r>
            <w:r w:rsidR="005737E5" w:rsidRPr="00D60C1D">
              <w:rPr>
                <w:rFonts w:eastAsia="Times New Roman"/>
                <w:color w:val="000000"/>
                <w:szCs w:val="24"/>
                <w:lang w:eastAsia="tr-TR"/>
              </w:rPr>
              <w:t xml:space="preserve">uygulanarak </w:t>
            </w:r>
            <w:r w:rsidR="00A43F0F" w:rsidRPr="00D60C1D">
              <w:rPr>
                <w:rFonts w:eastAsia="Times New Roman"/>
                <w:color w:val="000000"/>
                <w:szCs w:val="24"/>
                <w:lang w:eastAsia="tr-TR"/>
              </w:rPr>
              <w:t>görülür</w:t>
            </w:r>
            <w:r w:rsidR="004E271F" w:rsidRPr="00D60C1D">
              <w:rPr>
                <w:rFonts w:eastAsia="Times New Roman"/>
                <w:color w:val="000000"/>
                <w:szCs w:val="24"/>
                <w:lang w:eastAsia="tr-TR"/>
              </w:rPr>
              <w:t>.</w:t>
            </w:r>
            <w:r w:rsidR="00A43F0F" w:rsidRPr="00D60C1D">
              <w:rPr>
                <w:rFonts w:eastAsia="Times New Roman"/>
                <w:color w:val="000000"/>
                <w:szCs w:val="24"/>
                <w:lang w:eastAsia="tr-TR"/>
              </w:rPr>
              <w:t xml:space="preserve"> </w:t>
            </w:r>
            <w:r w:rsidR="005737E5" w:rsidRPr="00D60C1D">
              <w:rPr>
                <w:rFonts w:eastAsia="Times New Roman"/>
                <w:color w:val="000000"/>
                <w:szCs w:val="24"/>
                <w:lang w:eastAsia="tr-TR"/>
              </w:rPr>
              <w:t>M</w:t>
            </w:r>
            <w:r w:rsidR="00A43F0F" w:rsidRPr="00D60C1D">
              <w:rPr>
                <w:rFonts w:eastAsia="Times New Roman"/>
                <w:color w:val="000000"/>
                <w:szCs w:val="24"/>
                <w:lang w:eastAsia="tr-TR"/>
              </w:rPr>
              <w:t>adde kaleme alınırken 2004 sayılı Kanunda mevcut olmayan, açılacak davalarda görevli ve yetkili mahkemenin hangisi olduğu hususu da düzenlenmiştir.</w:t>
            </w:r>
            <w:r w:rsidR="00A43F0F" w:rsidRPr="00D60C1D">
              <w:rPr>
                <w:rFonts w:eastAsia="Times New Roman"/>
                <w:b/>
                <w:color w:val="000000"/>
                <w:lang w:eastAsia="tr-TR"/>
              </w:rPr>
              <w:t xml:space="preserve"> </w:t>
            </w:r>
          </w:p>
          <w:p w:rsidR="00AE57E0" w:rsidRPr="00A23740" w:rsidRDefault="002A0448" w:rsidP="007136A5">
            <w:pPr>
              <w:tabs>
                <w:tab w:val="left" w:pos="567"/>
              </w:tabs>
              <w:ind w:firstLine="567"/>
              <w:rPr>
                <w:rFonts w:eastAsia="Times New Roman"/>
                <w:b/>
                <w:szCs w:val="24"/>
                <w:lang w:eastAsia="tr-TR"/>
              </w:rPr>
            </w:pPr>
            <w:r w:rsidRPr="00A23740">
              <w:rPr>
                <w:rFonts w:eastAsia="Times New Roman"/>
                <w:szCs w:val="24"/>
                <w:lang w:eastAsia="tr-TR"/>
              </w:rPr>
              <w:t>Beşinci fıkrayla, nafaka ilamına dayanan alacaklarda kötüniyet h</w:t>
            </w:r>
            <w:r w:rsidR="001D7D44" w:rsidRPr="00A23740">
              <w:rPr>
                <w:rFonts w:eastAsia="Times New Roman"/>
                <w:szCs w:val="24"/>
                <w:lang w:eastAsia="tr-TR"/>
              </w:rPr>
              <w:t>â</w:t>
            </w:r>
            <w:r w:rsidRPr="00A23740">
              <w:rPr>
                <w:rFonts w:eastAsia="Times New Roman"/>
                <w:szCs w:val="24"/>
                <w:lang w:eastAsia="tr-TR"/>
              </w:rPr>
              <w:t>li hariç olmak üzere, nafaka ilamına dayanan alacaklının önce icra takibi yapmasına gerek olmaksızın her zaman aynı derecede hacze iştirak edebileceği düzenlenmektedir. Bilim Komisyonu çalışmaları sırasında kötü</w:t>
            </w:r>
            <w:r w:rsidR="005737E5" w:rsidRPr="00A23740">
              <w:rPr>
                <w:rFonts w:eastAsia="Times New Roman"/>
                <w:szCs w:val="24"/>
                <w:lang w:eastAsia="tr-TR"/>
              </w:rPr>
              <w:t>-</w:t>
            </w:r>
            <w:r w:rsidRPr="00A23740">
              <w:rPr>
                <w:rFonts w:eastAsia="Times New Roman"/>
                <w:szCs w:val="24"/>
                <w:lang w:eastAsia="tr-TR"/>
              </w:rPr>
              <w:t>niyet h</w:t>
            </w:r>
            <w:r w:rsidR="001D7D44" w:rsidRPr="00A23740">
              <w:rPr>
                <w:rFonts w:eastAsia="Times New Roman"/>
                <w:szCs w:val="24"/>
                <w:lang w:eastAsia="tr-TR"/>
              </w:rPr>
              <w:t>â</w:t>
            </w:r>
            <w:r w:rsidRPr="00A23740">
              <w:rPr>
                <w:rFonts w:eastAsia="Times New Roman"/>
                <w:szCs w:val="24"/>
                <w:lang w:eastAsia="tr-TR"/>
              </w:rPr>
              <w:t xml:space="preserve">linin hangi yargı organı önünde hangi prosedür takip edilerek tartışılacağı değerlendirilmiş, burada </w:t>
            </w:r>
            <w:r w:rsidR="005737E5" w:rsidRPr="00A23740">
              <w:rPr>
                <w:rFonts w:eastAsia="Times New Roman"/>
                <w:szCs w:val="24"/>
                <w:lang w:eastAsia="tr-TR"/>
              </w:rPr>
              <w:t xml:space="preserve">uyuşmazlığın </w:t>
            </w:r>
            <w:r w:rsidRPr="00A23740">
              <w:rPr>
                <w:rFonts w:eastAsia="Times New Roman"/>
                <w:szCs w:val="24"/>
                <w:lang w:eastAsia="tr-TR"/>
              </w:rPr>
              <w:t xml:space="preserve">sıra cetveli prosedürü çerçevesinde çözümlenmesi gerektiği </w:t>
            </w:r>
            <w:r w:rsidR="005737E5" w:rsidRPr="00A23740">
              <w:rPr>
                <w:rFonts w:eastAsia="Times New Roman"/>
                <w:szCs w:val="24"/>
                <w:lang w:eastAsia="tr-TR"/>
              </w:rPr>
              <w:t xml:space="preserve"> sonucuna </w:t>
            </w:r>
            <w:r w:rsidRPr="00A23740">
              <w:rPr>
                <w:rFonts w:eastAsia="Times New Roman"/>
                <w:szCs w:val="24"/>
                <w:lang w:eastAsia="tr-TR"/>
              </w:rPr>
              <w:t xml:space="preserve">varılmıştır. </w:t>
            </w:r>
            <w:r w:rsidRPr="00D60C1D">
              <w:rPr>
                <w:rFonts w:eastAsia="Times New Roman"/>
                <w:color w:val="000000"/>
                <w:szCs w:val="24"/>
                <w:lang w:eastAsia="tr-TR"/>
              </w:rPr>
              <w:t>Öte</w:t>
            </w:r>
            <w:r w:rsidRPr="00A23740">
              <w:rPr>
                <w:rFonts w:eastAsia="Times New Roman"/>
                <w:szCs w:val="24"/>
                <w:lang w:eastAsia="tr-TR"/>
              </w:rPr>
              <w:t xml:space="preserve"> yandan, her ne kadar 4721 sayılı</w:t>
            </w:r>
            <w:r w:rsidR="008F75C3" w:rsidRPr="00A23740">
              <w:rPr>
                <w:rFonts w:eastAsia="Times New Roman"/>
                <w:szCs w:val="24"/>
                <w:lang w:eastAsia="tr-TR"/>
              </w:rPr>
              <w:t xml:space="preserve"> </w:t>
            </w:r>
            <w:r w:rsidR="008F75C3" w:rsidRPr="00D60C1D">
              <w:rPr>
                <w:rFonts w:eastAsia="Times New Roman"/>
                <w:color w:val="000000"/>
                <w:szCs w:val="24"/>
                <w:lang w:eastAsia="tr-TR"/>
              </w:rPr>
              <w:t>Kanunla</w:t>
            </w:r>
            <w:r w:rsidRPr="00A23740">
              <w:rPr>
                <w:rFonts w:eastAsia="Times New Roman"/>
                <w:szCs w:val="24"/>
                <w:lang w:eastAsia="tr-TR"/>
              </w:rPr>
              <w:t xml:space="preserve"> eşler arasında cebr</w:t>
            </w:r>
            <w:r w:rsidR="00436506" w:rsidRPr="00A23740">
              <w:rPr>
                <w:rFonts w:eastAsia="Times New Roman"/>
                <w:szCs w:val="24"/>
                <w:lang w:eastAsia="tr-TR"/>
              </w:rPr>
              <w:t>î</w:t>
            </w:r>
            <w:r w:rsidRPr="00A23740">
              <w:rPr>
                <w:rFonts w:eastAsia="Times New Roman"/>
                <w:szCs w:val="24"/>
                <w:lang w:eastAsia="tr-TR"/>
              </w:rPr>
              <w:t xml:space="preserve"> icra yasağı kaldırılmış ve bu nedenle evlilik birliği devam ederken eşlerin birbirine karşı icra takibi yapabilmesi yönünde hukuken bir engel kalmamış ise de</w:t>
            </w:r>
            <w:r w:rsidR="005737E5" w:rsidRPr="00A23740">
              <w:rPr>
                <w:rFonts w:eastAsia="Times New Roman"/>
                <w:szCs w:val="24"/>
                <w:lang w:eastAsia="tr-TR"/>
              </w:rPr>
              <w:t>,</w:t>
            </w:r>
            <w:r w:rsidRPr="00A23740">
              <w:rPr>
                <w:rFonts w:eastAsia="Times New Roman"/>
                <w:szCs w:val="24"/>
                <w:lang w:eastAsia="tr-TR"/>
              </w:rPr>
              <w:t xml:space="preserve"> fiilen devam eden </w:t>
            </w:r>
            <w:r w:rsidR="005737E5" w:rsidRPr="00A23740">
              <w:rPr>
                <w:rFonts w:eastAsia="Times New Roman"/>
                <w:szCs w:val="24"/>
                <w:lang w:eastAsia="tr-TR"/>
              </w:rPr>
              <w:t xml:space="preserve">bir </w:t>
            </w:r>
            <w:r w:rsidRPr="00A23740">
              <w:rPr>
                <w:rFonts w:eastAsia="Times New Roman"/>
                <w:szCs w:val="24"/>
                <w:lang w:eastAsia="tr-TR"/>
              </w:rPr>
              <w:t>evlilik birliği içerisinde icra takibi yapılamayabileceği gözetilerek m</w:t>
            </w:r>
            <w:r w:rsidR="009D3A82" w:rsidRPr="00A23740">
              <w:rPr>
                <w:rFonts w:eastAsia="Times New Roman"/>
                <w:szCs w:val="24"/>
                <w:lang w:eastAsia="tr-TR"/>
              </w:rPr>
              <w:t xml:space="preserve">ülga 743 sayılı </w:t>
            </w:r>
            <w:r w:rsidR="005737E5" w:rsidRPr="00A23740">
              <w:rPr>
                <w:rFonts w:eastAsia="Times New Roman"/>
                <w:szCs w:val="24"/>
                <w:lang w:eastAsia="tr-TR"/>
              </w:rPr>
              <w:t xml:space="preserve">Medeni Kanun’da </w:t>
            </w:r>
            <w:r w:rsidR="009D3A82" w:rsidRPr="00A23740">
              <w:rPr>
                <w:rFonts w:eastAsia="Times New Roman"/>
                <w:szCs w:val="24"/>
                <w:lang w:eastAsia="tr-TR"/>
              </w:rPr>
              <w:t xml:space="preserve">yer alan </w:t>
            </w:r>
            <w:r w:rsidR="005737E5" w:rsidRPr="00A23740">
              <w:rPr>
                <w:rFonts w:eastAsia="Times New Roman"/>
                <w:szCs w:val="24"/>
                <w:lang w:eastAsia="tr-TR"/>
              </w:rPr>
              <w:t xml:space="preserve">ve </w:t>
            </w:r>
            <w:r w:rsidR="009D3A82" w:rsidRPr="00A23740">
              <w:rPr>
                <w:rFonts w:eastAsia="Times New Roman"/>
                <w:szCs w:val="24"/>
                <w:lang w:eastAsia="tr-TR"/>
              </w:rPr>
              <w:t xml:space="preserve">evlilik birliği içindeki eşler arasındaki borçlar bakımından </w:t>
            </w:r>
            <w:r w:rsidR="005737E5" w:rsidRPr="00A23740">
              <w:rPr>
                <w:rFonts w:eastAsia="Times New Roman"/>
                <w:szCs w:val="24"/>
                <w:lang w:eastAsia="tr-TR"/>
              </w:rPr>
              <w:t xml:space="preserve">eşe </w:t>
            </w:r>
            <w:r w:rsidR="009D3A82" w:rsidRPr="00A23740">
              <w:rPr>
                <w:rFonts w:eastAsia="Times New Roman"/>
                <w:szCs w:val="24"/>
                <w:lang w:eastAsia="tr-TR"/>
              </w:rPr>
              <w:t>imtiyazlı iştirak</w:t>
            </w:r>
            <w:r w:rsidR="005737E5" w:rsidRPr="00A23740">
              <w:rPr>
                <w:rFonts w:eastAsia="Times New Roman"/>
                <w:szCs w:val="24"/>
                <w:lang w:eastAsia="tr-TR"/>
              </w:rPr>
              <w:t xml:space="preserve"> hakkı veren imkan </w:t>
            </w:r>
            <w:r w:rsidR="009D3A82" w:rsidRPr="00A23740">
              <w:rPr>
                <w:rFonts w:eastAsia="Times New Roman"/>
                <w:szCs w:val="24"/>
                <w:lang w:eastAsia="tr-TR"/>
              </w:rPr>
              <w:t>korunmaktadır.</w:t>
            </w:r>
            <w:r w:rsidR="004E271F" w:rsidRPr="00A23740">
              <w:rPr>
                <w:rStyle w:val="KIRMIZIChar"/>
                <w:rFonts w:eastAsia="Calibri"/>
                <w:strike w:val="0"/>
              </w:rPr>
              <w:tab/>
            </w:r>
          </w:p>
          <w:p w:rsidR="00AE57E0" w:rsidRPr="00A23740" w:rsidRDefault="00AE57E0" w:rsidP="009431FF">
            <w:pPr>
              <w:tabs>
                <w:tab w:val="left" w:pos="567"/>
              </w:tabs>
              <w:rPr>
                <w:rStyle w:val="MaviChar"/>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p>
          <w:p w:rsidR="000A2887" w:rsidRPr="00A23740" w:rsidRDefault="000A2887"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Haciz tutanağı </w:t>
            </w:r>
            <w:r w:rsidRPr="00A23740">
              <w:rPr>
                <w:rStyle w:val="KIRMIZIChar"/>
                <w:rFonts w:eastAsia="Calibri"/>
              </w:rPr>
              <w:t>tanzimi: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102 – (1)</w:t>
            </w:r>
            <w:r w:rsidRPr="00A23740">
              <w:rPr>
                <w:rFonts w:eastAsia="Times New Roman"/>
                <w:b/>
                <w:szCs w:val="24"/>
                <w:lang w:eastAsia="tr-TR"/>
              </w:rPr>
              <w:t xml:space="preserve"> </w:t>
            </w:r>
            <w:r w:rsidRPr="00A23740">
              <w:rPr>
                <w:rFonts w:eastAsia="Times New Roman"/>
                <w:szCs w:val="24"/>
                <w:lang w:eastAsia="tr-TR"/>
              </w:rPr>
              <w:t xml:space="preserve">Taşınır bir malı haciz </w:t>
            </w:r>
            <w:r w:rsidRPr="00A23740">
              <w:rPr>
                <w:rStyle w:val="KIRMIZIChar"/>
                <w:rFonts w:eastAsia="Calibri"/>
              </w:rPr>
              <w:t>için</w:t>
            </w:r>
            <w:r w:rsidRPr="00A23740">
              <w:rPr>
                <w:rFonts w:eastAsia="Times New Roman"/>
                <w:szCs w:val="24"/>
                <w:lang w:eastAsia="tr-TR"/>
              </w:rPr>
              <w:t xml:space="preserve"> mahallinde bir tutanak tutulur. Tutanak</w:t>
            </w:r>
            <w:r w:rsidRPr="00A23740">
              <w:rPr>
                <w:rStyle w:val="KIRMIZIChar"/>
                <w:rFonts w:eastAsia="Calibri"/>
              </w:rPr>
              <w:t>ta</w:t>
            </w:r>
            <w:r w:rsidRPr="00A23740">
              <w:rPr>
                <w:rFonts w:eastAsia="Times New Roman"/>
                <w:szCs w:val="24"/>
                <w:lang w:eastAsia="tr-TR"/>
              </w:rPr>
              <w:t xml:space="preserve"> alacaklı ve borçlunun </w:t>
            </w:r>
            <w:r w:rsidRPr="00A23740">
              <w:rPr>
                <w:rStyle w:val="KIRMIZIChar"/>
                <w:rFonts w:eastAsia="Calibri"/>
              </w:rPr>
              <w:t>isim ve şöhretleri</w:t>
            </w:r>
            <w:r w:rsidRPr="00A23740">
              <w:rPr>
                <w:rFonts w:eastAsia="Times New Roman"/>
                <w:szCs w:val="24"/>
                <w:lang w:eastAsia="tr-TR"/>
              </w:rPr>
              <w:t xml:space="preserve">, alacağın miktarı, haczin hangi gün ve saatte yapıldığı, haczedilen mallar ve takdir edilen kıymetleri ve varsa üçüncü şahısların iddiaları yazılır ve haczi icra eden memur tarafından imza </w:t>
            </w:r>
            <w:r w:rsidRPr="00A23740">
              <w:rPr>
                <w:rStyle w:val="KIRMIZIChar"/>
                <w:rFonts w:eastAsia="Calibri"/>
              </w:rPr>
              <w:t>edilir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(2) Haczi</w:t>
            </w:r>
            <w:r w:rsidRPr="00A23740">
              <w:rPr>
                <w:rFonts w:eastAsia="Times New Roman"/>
                <w:b/>
                <w:strike/>
                <w:color w:val="FF0000"/>
                <w:szCs w:val="24"/>
                <w:lang w:eastAsia="tr-TR"/>
              </w:rPr>
              <w:t xml:space="preserve"> talep edilen mal taşınmaz ise icra dairesi 91 inci madde mucibince haczi ait olduğu daireye tebliğ eder ve mahallinde tutulacak tutanakta taşınmazın nevi ve mahiyeti ve hududu ve lüzumlu vasıfları dercolunur.</w:t>
            </w:r>
          </w:p>
          <w:p w:rsidR="00AA5C8C" w:rsidRPr="00A23740" w:rsidRDefault="00AA5C8C" w:rsidP="009431FF">
            <w:pPr>
              <w:tabs>
                <w:tab w:val="left" w:pos="567"/>
              </w:tabs>
              <w:rPr>
                <w:rFonts w:eastAsia="Times New Roman"/>
                <w:szCs w:val="24"/>
                <w:lang w:eastAsia="tr-TR"/>
              </w:rPr>
            </w:pPr>
          </w:p>
          <w:p w:rsidR="000A2887" w:rsidRPr="00A23740" w:rsidRDefault="000A2887" w:rsidP="009431FF">
            <w:pPr>
              <w:tabs>
                <w:tab w:val="left" w:pos="567"/>
              </w:tabs>
              <w:rPr>
                <w:rStyle w:val="KIRMIZIChar"/>
                <w:rFonts w:eastAsia="Calibri"/>
              </w:rPr>
            </w:pP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(3) Evvelce</w:t>
            </w:r>
            <w:r w:rsidRPr="00A23740">
              <w:rPr>
                <w:rFonts w:eastAsia="Times New Roman"/>
                <w:b/>
                <w:strike/>
                <w:color w:val="FF0000"/>
                <w:szCs w:val="24"/>
                <w:lang w:eastAsia="tr-TR"/>
              </w:rPr>
              <w:t xml:space="preserve"> ihtiyaten haczedilen şeylere icra haczi vazedildiği surette tutanağa ihtiyati haciz sahibinin dahi iştirak hakkı işaret olunur.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(4)</w:t>
            </w:r>
            <w:r w:rsidRPr="00A23740">
              <w:t xml:space="preserve"> Haczi kabil mal</w:t>
            </w:r>
            <w:r w:rsidRPr="00A23740">
              <w:rPr>
                <w:rStyle w:val="KIRMIZIChar"/>
                <w:rFonts w:eastAsia="Calibri"/>
              </w:rPr>
              <w:t>lar kafi gelmezse veya hiç bulunmazsa bu hal tutanağa kaydolunur.</w:t>
            </w:r>
          </w:p>
          <w:p w:rsidR="00AA5C8C" w:rsidRPr="00A23740" w:rsidRDefault="00AA5C8C" w:rsidP="009431FF">
            <w:pPr>
              <w:tabs>
                <w:tab w:val="left" w:pos="567"/>
              </w:tabs>
              <w:rPr>
                <w:rFonts w:eastAsia="Times New Roman"/>
                <w:szCs w:val="24"/>
                <w:lang w:eastAsia="tr-TR"/>
              </w:rPr>
            </w:pPr>
          </w:p>
        </w:tc>
        <w:tc>
          <w:tcPr>
            <w:tcW w:w="2500" w:type="pct"/>
          </w:tcPr>
          <w:p w:rsidR="00995DC6" w:rsidRPr="00A23740" w:rsidRDefault="00995DC6" w:rsidP="009431FF">
            <w:pPr>
              <w:pStyle w:val="Mavi"/>
              <w:rPr>
                <w:lang w:val="tr-TR"/>
              </w:rPr>
            </w:pPr>
          </w:p>
          <w:p w:rsidR="00AA5C8C" w:rsidRPr="00A23740" w:rsidRDefault="00AA5C8C" w:rsidP="009431FF">
            <w:pPr>
              <w:pStyle w:val="Mavi"/>
              <w:jc w:val="center"/>
              <w:rPr>
                <w:lang w:val="tr-TR"/>
              </w:rPr>
            </w:pPr>
            <w:r w:rsidRPr="00A23740">
              <w:rPr>
                <w:lang w:val="tr-TR"/>
              </w:rPr>
              <w:t>YEDİNCİ AYRIM</w:t>
            </w:r>
          </w:p>
          <w:p w:rsidR="00AA5C8C" w:rsidRPr="00A23740" w:rsidRDefault="00AA5C8C" w:rsidP="009431FF">
            <w:pPr>
              <w:pStyle w:val="Mavi"/>
              <w:jc w:val="center"/>
              <w:rPr>
                <w:lang w:val="tr-TR"/>
              </w:rPr>
            </w:pPr>
            <w:r w:rsidRPr="00A23740">
              <w:rPr>
                <w:lang w:val="tr-TR"/>
              </w:rPr>
              <w:t>Haciz Tutanağı</w:t>
            </w: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Haciz tutanağı</w:t>
            </w:r>
            <w:r w:rsidRPr="00A23740">
              <w:rPr>
                <w:rFonts w:eastAsia="Times New Roman"/>
                <w:b/>
                <w:color w:val="0000FF"/>
                <w:szCs w:val="24"/>
                <w:lang w:eastAsia="tr-TR"/>
              </w:rPr>
              <w:t>nın düzenlenmesi</w:t>
            </w:r>
          </w:p>
          <w:p w:rsidR="00AA5C8C" w:rsidRPr="00A23740" w:rsidRDefault="00AA5C8C" w:rsidP="009431FF">
            <w:pPr>
              <w:tabs>
                <w:tab w:val="left" w:pos="567"/>
              </w:tabs>
              <w:rPr>
                <w:rFonts w:eastAsia="ヒラギノ明朝 Pro W3"/>
                <w:b/>
                <w:color w:val="339933"/>
                <w:szCs w:val="24"/>
              </w:rPr>
            </w:pPr>
            <w:r w:rsidRPr="00A23740">
              <w:rPr>
                <w:rStyle w:val="MaviChar"/>
                <w:lang w:val="tr-TR"/>
              </w:rPr>
              <w:t xml:space="preserve">MADDE </w:t>
            </w:r>
            <w:r w:rsidR="0025794C" w:rsidRPr="00A23740">
              <w:rPr>
                <w:rStyle w:val="MAVChar"/>
                <w:rFonts w:eastAsia="Calibri"/>
                <w:u w:val="none"/>
              </w:rPr>
              <w:t>200</w:t>
            </w:r>
            <w:r w:rsidRPr="00A23740">
              <w:rPr>
                <w:rStyle w:val="MAVChar"/>
                <w:rFonts w:eastAsia="Calibri"/>
                <w:u w:val="none"/>
              </w:rPr>
              <w:t>- (1</w:t>
            </w:r>
            <w:r w:rsidRPr="00A23740">
              <w:rPr>
                <w:rFonts w:eastAsia="Times New Roman"/>
                <w:b/>
                <w:color w:val="0000FF"/>
                <w:szCs w:val="24"/>
                <w:lang w:eastAsia="tr-TR"/>
              </w:rPr>
              <w:t>)</w:t>
            </w:r>
            <w:r w:rsidRPr="00A23740">
              <w:rPr>
                <w:rFonts w:eastAsia="Times New Roman"/>
                <w:b/>
                <w:szCs w:val="24"/>
                <w:lang w:eastAsia="tr-TR"/>
              </w:rPr>
              <w:t xml:space="preserve"> </w:t>
            </w:r>
            <w:r w:rsidRPr="00A23740">
              <w:rPr>
                <w:rFonts w:eastAsia="Times New Roman"/>
                <w:szCs w:val="24"/>
                <w:lang w:eastAsia="tr-TR"/>
              </w:rPr>
              <w:t>Taşınır bir malı</w:t>
            </w:r>
            <w:r w:rsidRPr="00A23740">
              <w:rPr>
                <w:rFonts w:eastAsia="Times New Roman"/>
                <w:b/>
                <w:color w:val="0000FF"/>
                <w:szCs w:val="24"/>
                <w:lang w:eastAsia="tr-TR"/>
              </w:rPr>
              <w:t xml:space="preserve">n haczi yapılırken </w:t>
            </w:r>
            <w:r w:rsidRPr="00A23740">
              <w:rPr>
                <w:rFonts w:eastAsia="Times New Roman"/>
                <w:szCs w:val="24"/>
                <w:lang w:eastAsia="tr-TR"/>
              </w:rPr>
              <w:t>haciz mahallinde bir tutanak tutulur. Tutana</w:t>
            </w:r>
            <w:r w:rsidRPr="00A23740">
              <w:rPr>
                <w:rFonts w:eastAsia="Times New Roman"/>
                <w:b/>
                <w:color w:val="0000FF"/>
                <w:szCs w:val="24"/>
                <w:lang w:eastAsia="tr-TR"/>
              </w:rPr>
              <w:t>ğa;</w:t>
            </w:r>
            <w:r w:rsidRPr="00A23740">
              <w:rPr>
                <w:rFonts w:eastAsia="Times New Roman"/>
                <w:szCs w:val="24"/>
                <w:lang w:eastAsia="tr-TR"/>
              </w:rPr>
              <w:t xml:space="preserve"> alacaklı ve borçlunun </w:t>
            </w:r>
            <w:r w:rsidR="008C4A15" w:rsidRPr="00A23740">
              <w:rPr>
                <w:rFonts w:eastAsia="Times New Roman"/>
                <w:b/>
                <w:color w:val="0000FF"/>
                <w:szCs w:val="24"/>
                <w:lang w:eastAsia="tr-TR"/>
              </w:rPr>
              <w:t>adı, soyadı veya ü</w:t>
            </w:r>
            <w:r w:rsidRPr="00A23740">
              <w:rPr>
                <w:rFonts w:eastAsia="Times New Roman"/>
                <w:b/>
                <w:color w:val="0000FF"/>
                <w:szCs w:val="24"/>
                <w:lang w:eastAsia="tr-TR"/>
              </w:rPr>
              <w:t>nvanı,</w:t>
            </w:r>
            <w:r w:rsidRPr="00A23740">
              <w:rPr>
                <w:rFonts w:eastAsia="Times New Roman"/>
                <w:szCs w:val="24"/>
                <w:lang w:eastAsia="tr-TR"/>
              </w:rPr>
              <w:t xml:space="preserve"> alacağın miktarı, haczin hangi gün ve saatte yapıldığı, haczedilen mallar ve takdir edilen kıymetleri ve varsa üçüncü </w:t>
            </w:r>
            <w:r w:rsidRPr="00A23740">
              <w:rPr>
                <w:rFonts w:eastAsia="Times New Roman"/>
                <w:b/>
                <w:color w:val="0000FF"/>
                <w:szCs w:val="24"/>
                <w:lang w:eastAsia="tr-TR"/>
              </w:rPr>
              <w:t>kişilerin</w:t>
            </w:r>
            <w:r w:rsidRPr="00A23740">
              <w:rPr>
                <w:rFonts w:eastAsia="Times New Roman"/>
                <w:szCs w:val="24"/>
                <w:lang w:eastAsia="tr-TR"/>
              </w:rPr>
              <w:t xml:space="preserve"> iddiaları, </w:t>
            </w:r>
            <w:r w:rsidRPr="00A23740">
              <w:rPr>
                <w:rFonts w:eastAsia="Times New Roman"/>
                <w:b/>
                <w:color w:val="0000FF"/>
                <w:szCs w:val="24"/>
                <w:lang w:eastAsia="tr-TR"/>
              </w:rPr>
              <w:t>ayrıca haczedilen mallar hakkında borçlunun bir hafta içinde icra hukuk mahkemesinde haczedilmezlik şik</w:t>
            </w:r>
            <w:r w:rsidR="008C4A15" w:rsidRPr="00A23740">
              <w:rPr>
                <w:rFonts w:eastAsia="Times New Roman"/>
                <w:b/>
                <w:color w:val="0000FF"/>
                <w:szCs w:val="24"/>
                <w:lang w:eastAsia="tr-TR"/>
              </w:rPr>
              <w:t>â</w:t>
            </w:r>
            <w:r w:rsidRPr="00A23740">
              <w:rPr>
                <w:rFonts w:eastAsia="Times New Roman"/>
                <w:b/>
                <w:color w:val="0000FF"/>
                <w:szCs w:val="24"/>
                <w:lang w:eastAsia="tr-TR"/>
              </w:rPr>
              <w:t xml:space="preserve">yetinde bulunabileceği </w:t>
            </w:r>
            <w:r w:rsidRPr="00A23740">
              <w:rPr>
                <w:rFonts w:eastAsia="Times New Roman"/>
                <w:szCs w:val="24"/>
                <w:lang w:eastAsia="tr-TR"/>
              </w:rPr>
              <w:t xml:space="preserve">yazılır ve </w:t>
            </w:r>
            <w:r w:rsidRPr="00A23740">
              <w:rPr>
                <w:rFonts w:eastAsia="Times New Roman"/>
                <w:b/>
                <w:color w:val="0000FF"/>
                <w:szCs w:val="24"/>
                <w:lang w:eastAsia="tr-TR"/>
              </w:rPr>
              <w:t>tutanak</w:t>
            </w:r>
            <w:r w:rsidR="008C4A15" w:rsidRPr="00A23740">
              <w:rPr>
                <w:rFonts w:eastAsia="Times New Roman"/>
                <w:b/>
                <w:color w:val="0000FF"/>
                <w:szCs w:val="24"/>
                <w:lang w:eastAsia="tr-TR"/>
              </w:rPr>
              <w:t>,</w:t>
            </w:r>
            <w:r w:rsidRPr="00A23740">
              <w:rPr>
                <w:rFonts w:eastAsia="Times New Roman"/>
                <w:szCs w:val="24"/>
                <w:lang w:eastAsia="tr-TR"/>
              </w:rPr>
              <w:t xml:space="preserve"> haczi </w:t>
            </w:r>
            <w:r w:rsidRPr="00A23740">
              <w:rPr>
                <w:rFonts w:eastAsia="Times New Roman"/>
                <w:b/>
                <w:color w:val="0000FF"/>
                <w:szCs w:val="24"/>
                <w:lang w:eastAsia="tr-TR"/>
              </w:rPr>
              <w:t xml:space="preserve">yapan icra </w:t>
            </w:r>
            <w:r w:rsidRPr="00A23740">
              <w:rPr>
                <w:rStyle w:val="MaviChar"/>
              </w:rPr>
              <w:t>ve iflas dairesi</w:t>
            </w:r>
            <w:r w:rsidRPr="00A23740">
              <w:rPr>
                <w:rFonts w:eastAsia="Times New Roman"/>
                <w:b/>
                <w:color w:val="0000FF"/>
                <w:szCs w:val="24"/>
                <w:lang w:eastAsia="tr-TR"/>
              </w:rPr>
              <w:t xml:space="preserve"> </w:t>
            </w:r>
            <w:r w:rsidRPr="00A23740">
              <w:rPr>
                <w:rFonts w:eastAsia="Times New Roman"/>
                <w:szCs w:val="24"/>
                <w:lang w:eastAsia="tr-TR"/>
              </w:rPr>
              <w:t xml:space="preserve">tarafından </w:t>
            </w:r>
            <w:r w:rsidRPr="00A23740">
              <w:t>imza</w:t>
            </w:r>
            <w:r w:rsidRPr="00A23740">
              <w:rPr>
                <w:rFonts w:eastAsia="Times New Roman"/>
                <w:b/>
                <w:color w:val="0000FF"/>
                <w:szCs w:val="24"/>
                <w:lang w:eastAsia="tr-TR"/>
              </w:rPr>
              <w:t>lanır</w:t>
            </w:r>
            <w:r w:rsidRPr="00A23740">
              <w:rPr>
                <w:rFonts w:eastAsia="Times New Roman"/>
                <w:szCs w:val="24"/>
                <w:lang w:eastAsia="tr-TR"/>
              </w:rPr>
              <w:t>.</w:t>
            </w:r>
            <w:r w:rsidR="008C4A15" w:rsidRPr="00A23740">
              <w:rPr>
                <w:rStyle w:val="MaviChar"/>
              </w:rPr>
              <w:t xml:space="preserve"> </w:t>
            </w:r>
            <w:r w:rsidR="008C4A15" w:rsidRPr="00A23740">
              <w:rPr>
                <w:rStyle w:val="MaviChar"/>
                <w:lang w:val="tr-TR"/>
              </w:rPr>
              <w:t>Resmî sicile kayıtlı malların haczi hakkındaki</w:t>
            </w:r>
            <w:r w:rsidR="00D57F3B" w:rsidRPr="00A23740">
              <w:rPr>
                <w:rStyle w:val="MaviChar"/>
                <w:lang w:val="tr-TR"/>
              </w:rPr>
              <w:t xml:space="preserve"> </w:t>
            </w:r>
            <w:r w:rsidR="00D57F3B" w:rsidRPr="00CE4365">
              <w:rPr>
                <w:rStyle w:val="MaviChar"/>
              </w:rPr>
              <w:t>170 inci</w:t>
            </w:r>
            <w:r w:rsidRPr="00A23740">
              <w:rPr>
                <w:rFonts w:eastAsia="Times New Roman"/>
                <w:szCs w:val="24"/>
                <w:lang w:eastAsia="tr-TR"/>
              </w:rPr>
              <w:t xml:space="preserve"> </w:t>
            </w:r>
            <w:r w:rsidRPr="00A23740">
              <w:rPr>
                <w:rStyle w:val="MaviChar"/>
              </w:rPr>
              <w:t xml:space="preserve">madde </w:t>
            </w:r>
            <w:r w:rsidR="008C4A15" w:rsidRPr="00A23740">
              <w:rPr>
                <w:rStyle w:val="MaviChar"/>
                <w:lang w:val="tr-TR"/>
              </w:rPr>
              <w:t xml:space="preserve">hükmü </w:t>
            </w:r>
            <w:r w:rsidRPr="00A23740">
              <w:rPr>
                <w:rStyle w:val="MaviChar"/>
              </w:rPr>
              <w:t>saklıdır.</w:t>
            </w: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0A2887" w:rsidRPr="00A23740" w:rsidRDefault="000A2887" w:rsidP="009431FF">
            <w:pPr>
              <w:tabs>
                <w:tab w:val="left" w:pos="567"/>
              </w:tabs>
              <w:rPr>
                <w:rFonts w:eastAsia="Times New Roman"/>
                <w:b/>
                <w:strike/>
                <w:color w:val="FF0000"/>
                <w:szCs w:val="24"/>
                <w:lang w:eastAsia="tr-TR"/>
              </w:rPr>
            </w:pPr>
          </w:p>
          <w:p w:rsidR="000A2887" w:rsidRPr="00A23740" w:rsidRDefault="000A2887" w:rsidP="009431FF">
            <w:pPr>
              <w:tabs>
                <w:tab w:val="left" w:pos="567"/>
              </w:tabs>
              <w:rPr>
                <w:rFonts w:eastAsia="Times New Roman"/>
                <w:b/>
                <w:strike/>
                <w:color w:val="FF0000"/>
                <w:szCs w:val="24"/>
                <w:lang w:eastAsia="tr-TR"/>
              </w:rPr>
            </w:pPr>
          </w:p>
          <w:p w:rsidR="000A2887" w:rsidRPr="00A23740" w:rsidRDefault="000A2887" w:rsidP="009431FF">
            <w:pPr>
              <w:tabs>
                <w:tab w:val="left" w:pos="567"/>
              </w:tabs>
              <w:rPr>
                <w:rFonts w:eastAsia="Times New Roman"/>
                <w:b/>
                <w:strike/>
                <w:color w:val="FF0000"/>
                <w:szCs w:val="24"/>
                <w:lang w:eastAsia="tr-TR"/>
              </w:rPr>
            </w:pPr>
          </w:p>
          <w:p w:rsidR="000A2887" w:rsidRPr="00A23740" w:rsidRDefault="000A2887"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(2)</w:t>
            </w:r>
            <w:r w:rsidRPr="00A23740">
              <w:t xml:space="preserve"> Haczi kabil mal </w:t>
            </w:r>
            <w:r w:rsidRPr="00A23740">
              <w:rPr>
                <w:rFonts w:eastAsia="Times New Roman"/>
                <w:b/>
                <w:color w:val="0000FF"/>
                <w:szCs w:val="24"/>
                <w:lang w:eastAsia="tr-TR"/>
              </w:rPr>
              <w:t>bulunamaz ya da haczedilen mallar borcu karşılamaya yetmezse</w:t>
            </w:r>
            <w:r w:rsidRPr="00A23740">
              <w:rPr>
                <w:rStyle w:val="MaviChar"/>
              </w:rPr>
              <w:t>,</w:t>
            </w:r>
            <w:r w:rsidRPr="00A23740">
              <w:rPr>
                <w:rFonts w:eastAsia="Times New Roman"/>
                <w:b/>
                <w:color w:val="0000FF"/>
                <w:szCs w:val="24"/>
                <w:lang w:eastAsia="tr-TR"/>
              </w:rPr>
              <w:t xml:space="preserve"> bu durum tutanağa yazılır. </w:t>
            </w:r>
          </w:p>
          <w:p w:rsidR="00AA5C8C" w:rsidRPr="00A23740" w:rsidRDefault="00AA5C8C" w:rsidP="009431FF">
            <w:pPr>
              <w:pStyle w:val="KIRMIZI"/>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(3) Haczi </w:t>
            </w:r>
            <w:r w:rsidRPr="00A23740">
              <w:rPr>
                <w:rStyle w:val="MaviChar"/>
              </w:rPr>
              <w:t>yapan icra ve iflas dairesi,</w:t>
            </w:r>
            <w:r w:rsidRPr="00A23740">
              <w:rPr>
                <w:rStyle w:val="YELChar"/>
              </w:rPr>
              <w:t xml:space="preserve"> </w:t>
            </w:r>
            <w:r w:rsidRPr="00A23740">
              <w:rPr>
                <w:rStyle w:val="MaviChar"/>
              </w:rPr>
              <w:t>malın borçlunun, üçüncü kişinin veya borçluyla birlikte üçüncü kişinin elinde haczedilip haczedilmediğini haciz tutanağında belirtir. Bu işleme karşı şik</w:t>
            </w:r>
            <w:r w:rsidR="008C4A15" w:rsidRPr="00A23740">
              <w:rPr>
                <w:rStyle w:val="MaviChar"/>
                <w:lang w:val="tr-TR"/>
              </w:rPr>
              <w:t>â</w:t>
            </w:r>
            <w:r w:rsidRPr="00A23740">
              <w:rPr>
                <w:rStyle w:val="MaviChar"/>
              </w:rPr>
              <w:t>yet yoluna başvurulabilir; icra hukuk</w:t>
            </w:r>
            <w:r w:rsidRPr="00A23740">
              <w:rPr>
                <w:rStyle w:val="MaviChar"/>
                <w:lang w:val="tr-TR"/>
              </w:rPr>
              <w:t xml:space="preserve"> </w:t>
            </w:r>
            <w:r w:rsidRPr="00A23740">
              <w:rPr>
                <w:rStyle w:val="MaviChar"/>
              </w:rPr>
              <w:t>mahkemesinin bu konudaki kararı kesindir. Şik</w:t>
            </w:r>
            <w:r w:rsidR="008C4A15" w:rsidRPr="00A23740">
              <w:rPr>
                <w:rStyle w:val="MaviChar"/>
                <w:lang w:val="tr-TR"/>
              </w:rPr>
              <w:t>â</w:t>
            </w:r>
            <w:r w:rsidRPr="00A23740">
              <w:rPr>
                <w:rStyle w:val="MaviChar"/>
              </w:rPr>
              <w:t xml:space="preserve">yet sonuçlanıncaya kadar </w:t>
            </w:r>
            <w:r w:rsidR="008C4A15" w:rsidRPr="00A23740">
              <w:rPr>
                <w:rStyle w:val="MaviChar"/>
                <w:lang w:val="tr-TR"/>
              </w:rPr>
              <w:t>istihkak davasına ilişkin</w:t>
            </w:r>
            <w:r w:rsidR="00D57F3B" w:rsidRPr="00A23740">
              <w:rPr>
                <w:rStyle w:val="MaviChar"/>
                <w:lang w:val="tr-TR"/>
              </w:rPr>
              <w:t xml:space="preserve"> </w:t>
            </w:r>
            <w:r w:rsidR="00D57F3B" w:rsidRPr="00CE4365">
              <w:rPr>
                <w:rStyle w:val="MaviChar"/>
              </w:rPr>
              <w:t>434 üncü</w:t>
            </w:r>
            <w:r w:rsidRPr="00A23740">
              <w:rPr>
                <w:rStyle w:val="MaviChar"/>
                <w:lang w:val="tr-TR"/>
              </w:rPr>
              <w:t xml:space="preserve"> </w:t>
            </w:r>
            <w:r w:rsidRPr="00A23740">
              <w:rPr>
                <w:rStyle w:val="MaviChar"/>
              </w:rPr>
              <w:t xml:space="preserve">ve </w:t>
            </w:r>
            <w:r w:rsidR="00D57F3B" w:rsidRPr="00CE4365">
              <w:rPr>
                <w:rStyle w:val="MaviChar"/>
              </w:rPr>
              <w:t>438 inci</w:t>
            </w:r>
            <w:r w:rsidRPr="00A23740">
              <w:rPr>
                <w:rStyle w:val="MaviChar"/>
                <w:lang w:val="tr-TR"/>
              </w:rPr>
              <w:t xml:space="preserve"> </w:t>
            </w:r>
            <w:r w:rsidR="008C4A15" w:rsidRPr="00A23740">
              <w:rPr>
                <w:rStyle w:val="MaviChar"/>
              </w:rPr>
              <w:t>maddeler</w:t>
            </w:r>
            <w:r w:rsidRPr="00A23740">
              <w:rPr>
                <w:rStyle w:val="MaviChar"/>
              </w:rPr>
              <w:t xml:space="preserve">de öngörülen </w:t>
            </w:r>
            <w:r w:rsidR="008C4A15" w:rsidRPr="00A23740">
              <w:rPr>
                <w:rStyle w:val="MaviChar"/>
                <w:lang w:val="tr-TR"/>
              </w:rPr>
              <w:t xml:space="preserve">dava </w:t>
            </w:r>
            <w:r w:rsidRPr="00A23740">
              <w:rPr>
                <w:rStyle w:val="MaviChar"/>
              </w:rPr>
              <w:t>açma süreleri işlemez.</w:t>
            </w:r>
          </w:p>
          <w:p w:rsidR="005657D6" w:rsidRPr="00A23740" w:rsidRDefault="005657D6" w:rsidP="009431FF">
            <w:pPr>
              <w:pStyle w:val="KIRMIZI"/>
              <w:rPr>
                <w:b w:val="0"/>
                <w:lang w:eastAsia="tr-TR"/>
              </w:rPr>
            </w:pPr>
          </w:p>
        </w:tc>
      </w:tr>
      <w:tr w:rsidR="009E50AB" w:rsidRPr="00A23740" w:rsidTr="009431FF">
        <w:tblPrEx>
          <w:tblLook w:val="01E0" w:firstRow="1" w:lastRow="1" w:firstColumn="1" w:lastColumn="1" w:noHBand="0" w:noVBand="0"/>
        </w:tblPrEx>
        <w:tc>
          <w:tcPr>
            <w:tcW w:w="5000" w:type="pct"/>
            <w:gridSpan w:val="2"/>
            <w:shd w:val="clear" w:color="auto" w:fill="DEEAF6"/>
          </w:tcPr>
          <w:p w:rsidR="007D3370" w:rsidRPr="00A23740" w:rsidRDefault="007D3370" w:rsidP="009431FF">
            <w:pPr>
              <w:tabs>
                <w:tab w:val="left" w:pos="567"/>
              </w:tabs>
              <w:rPr>
                <w:rStyle w:val="MaviChar"/>
                <w:lang w:val="tr-TR"/>
              </w:rPr>
            </w:pPr>
          </w:p>
          <w:p w:rsidR="00B9606E" w:rsidRPr="00A23740" w:rsidRDefault="000069A4" w:rsidP="009431FF">
            <w:pPr>
              <w:ind w:firstLine="709"/>
            </w:pPr>
            <w:r w:rsidRPr="00A23740">
              <w:rPr>
                <w:b/>
              </w:rPr>
              <w:t>MADDE 200-</w:t>
            </w:r>
            <w:r w:rsidRPr="00A23740">
              <w:t xml:space="preserve"> </w:t>
            </w:r>
            <w:r w:rsidR="00B9606E" w:rsidRPr="00A23740">
              <w:t>Maddeyle, birlikte haciz tutanağı ve düzenlenmesine ilişkin hususlar belirtilmektedir.</w:t>
            </w:r>
            <w:r w:rsidR="000C54FA" w:rsidRPr="00A23740">
              <w:t xml:space="preserve"> </w:t>
            </w:r>
            <w:r w:rsidR="00B9606E" w:rsidRPr="00A23740">
              <w:t>Hüküm, 2004 sayılı Kanunun 102 nci maddesine karşılık gelmektedir.</w:t>
            </w:r>
          </w:p>
          <w:p w:rsidR="00B9606E" w:rsidRPr="00A23740" w:rsidRDefault="00B9606E" w:rsidP="009431FF">
            <w:pPr>
              <w:ind w:firstLine="709"/>
            </w:pPr>
            <w:r w:rsidRPr="00A23740">
              <w:t>Haciz tutanağı icra ve iflas dairesi tarafından düzenlenen ve aksi ispatlanıncaya kadar muteber sayılan belgelerdendir. Bu nedenle haciz tutanağının düzenlenmesi sırasında hazır bulunanlar, beyanlar ve ilgililerin iddiaları tutanakta yer almalıdır. Zira bu hususlar, kıymet takdirine ilişkin iddialar ile haczedilmezlik ve malın kimin elinde haczedildiğine dair şikâyetler açısından da önem arz etmektedir.</w:t>
            </w:r>
          </w:p>
          <w:p w:rsidR="00B9606E" w:rsidRPr="00A23740" w:rsidRDefault="00B9606E" w:rsidP="009431FF">
            <w:pPr>
              <w:ind w:firstLine="709"/>
            </w:pPr>
            <w:r w:rsidRPr="00A23740">
              <w:t xml:space="preserve">Birinci fıkrayla, taşınır bir malın haczinin yapılması sırasında haciz mahalinde tutulan tutanakta bulunması gereken bilgiler ile </w:t>
            </w:r>
            <w:r w:rsidR="00C00D7F" w:rsidRPr="00A23740">
              <w:t xml:space="preserve">bu tutanağın </w:t>
            </w:r>
            <w:r w:rsidRPr="00A23740">
              <w:t>haczi yapan icra ve iflas dairesi görevlisi tarafından imzalanacağı hususu düzenlenmektedir. Resmî sicile kayıtlı mallar, kaydına işletilmek suretiyle doğrudan da haczedilebilir.</w:t>
            </w:r>
          </w:p>
          <w:p w:rsidR="00B9606E" w:rsidRPr="00A23740" w:rsidRDefault="00B9606E" w:rsidP="009431FF">
            <w:pPr>
              <w:ind w:firstLine="709"/>
            </w:pPr>
            <w:r w:rsidRPr="00A23740">
              <w:t>İkinci fıkrada, hacz</w:t>
            </w:r>
            <w:r w:rsidR="00C00D7F" w:rsidRPr="00A23740">
              <w:t>i</w:t>
            </w:r>
            <w:r w:rsidRPr="00A23740">
              <w:t xml:space="preserve"> kabil malın bulunamadığı veya haczedilen malları</w:t>
            </w:r>
            <w:r w:rsidR="00C00D7F" w:rsidRPr="00A23740">
              <w:t>n</w:t>
            </w:r>
            <w:r w:rsidRPr="00A23740">
              <w:t xml:space="preserve"> borcu karşılamaya yetmediği hâllerde</w:t>
            </w:r>
            <w:r w:rsidR="00C00D7F" w:rsidRPr="00A23740">
              <w:t>,</w:t>
            </w:r>
            <w:r w:rsidRPr="00A23740">
              <w:t xml:space="preserve"> bu durumun tutanağa yazılacağına yer verilmektedir. Bu hâllerde tutanak, borçlunun durumuna dair kesin veya geçici farklı etkiler ortaya çıkaran belge teşkil eder.</w:t>
            </w:r>
          </w:p>
          <w:p w:rsidR="003B460A" w:rsidRPr="00A23740" w:rsidRDefault="00B9606E" w:rsidP="009431FF">
            <w:pPr>
              <w:ind w:firstLine="709"/>
            </w:pPr>
            <w:r w:rsidRPr="00A23740">
              <w:t>Üçüncü</w:t>
            </w:r>
            <w:r w:rsidR="00C00D7F" w:rsidRPr="00A23740">
              <w:t>fıkrada</w:t>
            </w:r>
            <w:r w:rsidRPr="00A23740">
              <w:t xml:space="preserve">, malın borçlunun, üçüncü kişinin veya borçluyla birlikte </w:t>
            </w:r>
            <w:r w:rsidR="00C00D7F" w:rsidRPr="00A23740">
              <w:t xml:space="preserve">olan </w:t>
            </w:r>
            <w:r w:rsidRPr="00A23740">
              <w:t>üçüncü kişinin elinde haczedilip haczedilmediği hususu ile buna ilişkin şikâyet müessesesi öngörülmektedir. Zira şikâyet ve sonuçları, ayni hak iddia edilen hacizli malın kimin elinde bulunduğuna göre, istihkak iddiasında ve davasında uygulanacak kurallar bakımından farklılık oluşturur.</w:t>
            </w:r>
          </w:p>
          <w:p w:rsidR="00B9606E" w:rsidRPr="00A23740" w:rsidRDefault="00B9606E" w:rsidP="005C601A">
            <w:pPr>
              <w:tabs>
                <w:tab w:val="left" w:pos="567"/>
              </w:tabs>
              <w:ind w:firstLine="709"/>
              <w:rPr>
                <w:rStyle w:val="MaviChar"/>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Davet:</w:t>
            </w:r>
          </w:p>
          <w:p w:rsidR="00AA5C8C" w:rsidRPr="00A23740" w:rsidRDefault="00AA5C8C" w:rsidP="009431FF">
            <w:pPr>
              <w:tabs>
                <w:tab w:val="left" w:pos="567"/>
              </w:tabs>
              <w:rPr>
                <w:rFonts w:eastAsia="Times New Roman"/>
                <w:b/>
                <w:szCs w:val="24"/>
                <w:lang w:eastAsia="tr-TR"/>
              </w:rPr>
            </w:pPr>
            <w:r w:rsidRPr="00A23740">
              <w:rPr>
                <w:rStyle w:val="KIRMIZIChar"/>
                <w:rFonts w:eastAsia="Calibri"/>
              </w:rPr>
              <w:t>Madde 103 – (1) (Değişik</w:t>
            </w:r>
            <w:r w:rsidRPr="00A23740">
              <w:rPr>
                <w:rFonts w:eastAsia="Times New Roman"/>
                <w:b/>
                <w:strike/>
                <w:color w:val="FF0000"/>
                <w:szCs w:val="24"/>
                <w:lang w:eastAsia="tr-TR"/>
              </w:rPr>
              <w:t>:  9/11/1988 - 3494/12 md.)</w:t>
            </w: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 xml:space="preserve">Tutanak </w:t>
            </w:r>
            <w:r w:rsidRPr="00A23740">
              <w:rPr>
                <w:rStyle w:val="KIRMIZIChar"/>
                <w:rFonts w:eastAsia="Calibri"/>
              </w:rPr>
              <w:t>tutulurken</w:t>
            </w:r>
            <w:r w:rsidRPr="00A23740">
              <w:rPr>
                <w:rFonts w:eastAsia="Times New Roman"/>
                <w:szCs w:val="24"/>
                <w:lang w:eastAsia="tr-TR"/>
              </w:rPr>
              <w:t xml:space="preserve"> alacaklı, borçlu veya </w:t>
            </w:r>
            <w:r w:rsidRPr="00A23740">
              <w:rPr>
                <w:rFonts w:eastAsia="Times New Roman"/>
                <w:b/>
                <w:strike/>
                <w:color w:val="FF0000"/>
                <w:szCs w:val="24"/>
                <w:lang w:eastAsia="tr-TR"/>
              </w:rPr>
              <w:t>namlarına</w:t>
            </w:r>
            <w:r w:rsidRPr="00A23740">
              <w:rPr>
                <w:rFonts w:eastAsia="Times New Roman"/>
                <w:szCs w:val="24"/>
                <w:lang w:eastAsia="tr-TR"/>
              </w:rPr>
              <w:t xml:space="preserve"> Tebligat Kanunu hükümlerine göre </w:t>
            </w:r>
            <w:r w:rsidRPr="00A23740">
              <w:rPr>
                <w:rStyle w:val="KIRMIZIChar"/>
                <w:rFonts w:eastAsia="Calibri"/>
              </w:rPr>
              <w:t>tebellüğe</w:t>
            </w:r>
            <w:r w:rsidRPr="00A23740">
              <w:rPr>
                <w:rStyle w:val="KIRMIZIChar"/>
                <w:rFonts w:eastAsia="Calibri"/>
                <w:strike w:val="0"/>
              </w:rPr>
              <w:t xml:space="preserve"> </w:t>
            </w:r>
            <w:r w:rsidRPr="00A23740">
              <w:t>yetkili kimse</w:t>
            </w:r>
            <w:r w:rsidRPr="00A23740">
              <w:rPr>
                <w:rStyle w:val="KIRMIZIChar"/>
                <w:rFonts w:eastAsia="Calibri"/>
                <w:strike w:val="0"/>
              </w:rPr>
              <w:t xml:space="preserve"> </w:t>
            </w:r>
            <w:r w:rsidRPr="00A23740">
              <w:rPr>
                <w:rStyle w:val="KIRMIZIChar"/>
                <w:rFonts w:eastAsia="Calibri"/>
              </w:rPr>
              <w:t>bulunmazsa</w:t>
            </w:r>
            <w:r w:rsidRPr="00A23740">
              <w:rPr>
                <w:rFonts w:eastAsia="Times New Roman"/>
                <w:b/>
                <w:strike/>
                <w:color w:val="FF0000"/>
                <w:szCs w:val="24"/>
                <w:lang w:eastAsia="tr-TR"/>
              </w:rPr>
              <w:t>, bulunmayan alacaklı veya borçlu üç gün içinde tutanağı tetkik ve diyeceği varsa söylemesi için icra dairesine davet olunur. Kanunen ilavesi gereken müddetler mahfuzdur</w:t>
            </w:r>
            <w:r w:rsidRPr="00A23740">
              <w:rPr>
                <w:rFonts w:eastAsia="Times New Roman"/>
                <w:szCs w:val="24"/>
                <w:lang w:eastAsia="tr-TR"/>
              </w:rPr>
              <w:t xml:space="preserve">. Haciz sırasında borçlu </w:t>
            </w:r>
            <w:r w:rsidRPr="00A23740">
              <w:rPr>
                <w:rStyle w:val="KIRMIZIChar"/>
                <w:rFonts w:eastAsia="Calibri"/>
              </w:rPr>
              <w:t>veya</w:t>
            </w:r>
            <w:r w:rsidRPr="00A23740">
              <w:rPr>
                <w:rFonts w:eastAsia="Times New Roman"/>
                <w:szCs w:val="24"/>
                <w:lang w:eastAsia="tr-TR"/>
              </w:rPr>
              <w:t xml:space="preserve"> alacaklı adına </w:t>
            </w:r>
            <w:r w:rsidRPr="00A23740">
              <w:rPr>
                <w:rFonts w:eastAsia="Times New Roman"/>
                <w:b/>
                <w:strike/>
                <w:color w:val="FF0000"/>
                <w:szCs w:val="24"/>
                <w:lang w:eastAsia="tr-TR"/>
              </w:rPr>
              <w:t xml:space="preserve">Tebligat Kanunu hükümlerine </w:t>
            </w:r>
            <w:r w:rsidRPr="00A23740">
              <w:rPr>
                <w:rStyle w:val="KIRMIZIChar"/>
                <w:rFonts w:eastAsia="Calibri"/>
              </w:rPr>
              <w:t>göre tebellüğe</w:t>
            </w:r>
            <w:r w:rsidRPr="00A23740">
              <w:rPr>
                <w:rFonts w:eastAsia="Times New Roman"/>
                <w:szCs w:val="24"/>
                <w:lang w:eastAsia="tr-TR"/>
              </w:rPr>
              <w:t xml:space="preserve"> yetkili kimse bulun</w:t>
            </w:r>
            <w:r w:rsidRPr="00A23740">
              <w:rPr>
                <w:rStyle w:val="KIRMIZIChar"/>
                <w:rFonts w:eastAsia="Calibri"/>
              </w:rPr>
              <w:t>duğu takdirde haciz</w:t>
            </w:r>
            <w:r w:rsidRPr="00A23740">
              <w:t xml:space="preserve"> </w:t>
            </w:r>
            <w:r w:rsidRPr="00A23740">
              <w:rPr>
                <w:rFonts w:eastAsia="Times New Roman"/>
                <w:szCs w:val="24"/>
                <w:lang w:eastAsia="tr-TR"/>
              </w:rPr>
              <w:t>tutanağın</w:t>
            </w:r>
            <w:r w:rsidRPr="00A23740">
              <w:rPr>
                <w:rStyle w:val="KIRMIZIChar"/>
                <w:rFonts w:eastAsia="Calibri"/>
              </w:rPr>
              <w:t>ın</w:t>
            </w:r>
            <w:r w:rsidRPr="00A23740">
              <w:rPr>
                <w:rFonts w:eastAsia="Times New Roman"/>
                <w:szCs w:val="24"/>
                <w:lang w:eastAsia="tr-TR"/>
              </w:rPr>
              <w:t xml:space="preserve"> bir </w:t>
            </w:r>
            <w:r w:rsidRPr="00A23740">
              <w:rPr>
                <w:rStyle w:val="KIRMIZIChar"/>
                <w:rFonts w:eastAsia="Calibri"/>
              </w:rPr>
              <w:t xml:space="preserve">örneği bulunan şahsa verilir. </w:t>
            </w:r>
            <w:r w:rsidRPr="00A23740">
              <w:rPr>
                <w:rFonts w:eastAsia="Times New Roman"/>
                <w:b/>
                <w:strike/>
                <w:color w:val="FF0000"/>
                <w:szCs w:val="24"/>
                <w:lang w:eastAsia="tr-TR"/>
              </w:rPr>
              <w:t>Borçluya veya alacaklıya ayrıca haber verilmez.</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Haczin bildirilmesi</w:t>
            </w:r>
          </w:p>
          <w:p w:rsidR="005A2E77" w:rsidRPr="00A23740" w:rsidRDefault="00AA5C8C" w:rsidP="009431FF">
            <w:pPr>
              <w:tabs>
                <w:tab w:val="left" w:pos="567"/>
              </w:tabs>
              <w:rPr>
                <w:rStyle w:val="KIRMIZIChar"/>
                <w:rFonts w:eastAsia="Calibri"/>
              </w:rPr>
            </w:pPr>
            <w:r w:rsidRPr="00A23740">
              <w:rPr>
                <w:rStyle w:val="MaviChar"/>
                <w:lang w:val="tr-TR"/>
              </w:rPr>
              <w:t xml:space="preserve">MADDE </w:t>
            </w:r>
            <w:r w:rsidR="0025794C" w:rsidRPr="00A23740">
              <w:rPr>
                <w:rStyle w:val="MAVChar"/>
                <w:rFonts w:eastAsia="Calibri"/>
                <w:u w:val="none"/>
              </w:rPr>
              <w:t>201</w:t>
            </w:r>
            <w:r w:rsidRPr="00A23740">
              <w:rPr>
                <w:rStyle w:val="MAVChar"/>
                <w:rFonts w:eastAsia="Calibri"/>
                <w:u w:val="none"/>
              </w:rPr>
              <w:t>- (</w:t>
            </w:r>
            <w:r w:rsidRPr="00A23740">
              <w:rPr>
                <w:rFonts w:eastAsia="Times New Roman"/>
                <w:b/>
                <w:color w:val="0000FF"/>
                <w:szCs w:val="24"/>
                <w:lang w:eastAsia="tr-TR"/>
              </w:rPr>
              <w:t>1)</w:t>
            </w:r>
            <w:r w:rsidRPr="00A23740">
              <w:t xml:space="preserve"> Tutana</w:t>
            </w:r>
            <w:r w:rsidRPr="00A23740">
              <w:rPr>
                <w:rFonts w:eastAsia="Times New Roman"/>
                <w:b/>
                <w:color w:val="0000FF"/>
                <w:szCs w:val="24"/>
                <w:lang w:eastAsia="tr-TR"/>
              </w:rPr>
              <w:t>ğın düzenlenmesinden hemen sonra t</w:t>
            </w:r>
            <w:r w:rsidRPr="00A23740">
              <w:rPr>
                <w:rStyle w:val="MaviChar"/>
                <w:lang w:val="tr-TR"/>
              </w:rPr>
              <w:t xml:space="preserve">utanağın bir </w:t>
            </w:r>
            <w:r w:rsidR="00257348" w:rsidRPr="00A23740">
              <w:rPr>
                <w:rStyle w:val="Balk3Char"/>
                <w:rFonts w:eastAsia="Calibri"/>
              </w:rPr>
              <w:t xml:space="preserve">örneği </w:t>
            </w:r>
            <w:r w:rsidRPr="00A23740">
              <w:t>alacaklı</w:t>
            </w:r>
            <w:r w:rsidRPr="00A23740">
              <w:rPr>
                <w:rStyle w:val="MaviChar"/>
                <w:lang w:val="tr-TR"/>
              </w:rPr>
              <w:t>ya</w:t>
            </w:r>
            <w:r w:rsidRPr="00A23740">
              <w:t>,</w:t>
            </w:r>
            <w:r w:rsidRPr="00A23740">
              <w:rPr>
                <w:rStyle w:val="Balk3Char"/>
                <w:rFonts w:eastAsia="Calibri"/>
              </w:rPr>
              <w:t xml:space="preserve"> </w:t>
            </w:r>
            <w:r w:rsidRPr="00A23740">
              <w:t>borçlu</w:t>
            </w:r>
            <w:r w:rsidRPr="00A23740">
              <w:rPr>
                <w:rStyle w:val="MaviChar"/>
                <w:lang w:val="tr-TR"/>
              </w:rPr>
              <w:t>ya</w:t>
            </w:r>
            <w:r w:rsidRPr="00A23740">
              <w:rPr>
                <w:rStyle w:val="MaviChar"/>
              </w:rPr>
              <w:t xml:space="preserve">, mal üçüncü kişinin elindeyken haczedilmişse bu kişiye </w:t>
            </w:r>
            <w:r w:rsidRPr="00A23740">
              <w:t>veya</w:t>
            </w:r>
            <w:r w:rsidRPr="00A23740">
              <w:rPr>
                <w:rStyle w:val="Balk3Char"/>
                <w:rFonts w:eastAsia="Calibri"/>
              </w:rPr>
              <w:t xml:space="preserve"> </w:t>
            </w:r>
            <w:r w:rsidRPr="00A23740">
              <w:rPr>
                <w:rFonts w:eastAsia="Times New Roman"/>
                <w:b/>
                <w:color w:val="0000FF"/>
                <w:szCs w:val="24"/>
                <w:lang w:eastAsia="tr-TR"/>
              </w:rPr>
              <w:t xml:space="preserve">bunlar adına </w:t>
            </w:r>
            <w:r w:rsidRPr="00A23740">
              <w:rPr>
                <w:rFonts w:eastAsia="Times New Roman"/>
                <w:bCs/>
                <w:szCs w:val="24"/>
                <w:lang w:eastAsia="tr-TR"/>
              </w:rPr>
              <w:t xml:space="preserve">Tebligat Kanunu hükümlerine </w:t>
            </w:r>
            <w:r w:rsidRPr="00A23740">
              <w:rPr>
                <w:rFonts w:eastAsia="Times New Roman"/>
                <w:bCs/>
                <w:lang w:eastAsia="tr-TR"/>
              </w:rPr>
              <w:t>göre</w:t>
            </w:r>
            <w:r w:rsidRPr="00A23740">
              <w:rPr>
                <w:rStyle w:val="MaviChar"/>
              </w:rPr>
              <w:t xml:space="preserve"> tebligatı almaya </w:t>
            </w:r>
            <w:r w:rsidRPr="00A23740">
              <w:t>yetkili kimse</w:t>
            </w:r>
            <w:r w:rsidRPr="00A23740">
              <w:rPr>
                <w:rStyle w:val="MaviChar"/>
              </w:rPr>
              <w:t>lere</w:t>
            </w:r>
            <w:r w:rsidR="002B6E0A" w:rsidRPr="00A23740">
              <w:rPr>
                <w:rStyle w:val="MaviChar"/>
              </w:rPr>
              <w:t xml:space="preserve"> </w:t>
            </w:r>
            <w:r w:rsidR="002B6E0A" w:rsidRPr="00CE4365">
              <w:rPr>
                <w:rStyle w:val="Balk1Char"/>
                <w:rFonts w:eastAsia="Calibri"/>
              </w:rPr>
              <w:t>tebliğ yerine geçmek üzere verilir.</w:t>
            </w: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(2)</w:t>
            </w:r>
            <w:r w:rsidRPr="00A23740">
              <w:rPr>
                <w:rFonts w:eastAsia="Times New Roman"/>
                <w:b/>
                <w:szCs w:val="24"/>
                <w:lang w:eastAsia="tr-TR"/>
              </w:rPr>
              <w:t xml:space="preserve"> </w:t>
            </w:r>
            <w:r w:rsidRPr="00A23740">
              <w:rPr>
                <w:rFonts w:eastAsia="Times New Roman"/>
                <w:szCs w:val="24"/>
                <w:lang w:eastAsia="tr-TR"/>
              </w:rPr>
              <w:t>Haciz sırasında borçlu</w:t>
            </w:r>
            <w:r w:rsidRPr="00A23740">
              <w:rPr>
                <w:rStyle w:val="MaviChar"/>
              </w:rPr>
              <w:t>,</w:t>
            </w:r>
            <w:r w:rsidRPr="00A23740">
              <w:rPr>
                <w:rFonts w:eastAsia="Times New Roman"/>
                <w:szCs w:val="24"/>
                <w:lang w:eastAsia="tr-TR"/>
              </w:rPr>
              <w:t xml:space="preserve"> alacaklı </w:t>
            </w:r>
            <w:r w:rsidRPr="00A23740">
              <w:rPr>
                <w:rFonts w:eastAsia="Times New Roman"/>
                <w:b/>
                <w:color w:val="0000FF"/>
                <w:szCs w:val="24"/>
                <w:lang w:eastAsia="tr-TR"/>
              </w:rPr>
              <w:t xml:space="preserve">ve mal üçüncü kişinin elindeyken haczedilmişse bu üçüncü kişi </w:t>
            </w:r>
            <w:r w:rsidRPr="00A23740">
              <w:rPr>
                <w:rStyle w:val="MaviChar"/>
              </w:rPr>
              <w:t>yoksa</w:t>
            </w:r>
            <w:r w:rsidRPr="00A23740">
              <w:rPr>
                <w:rFonts w:eastAsia="Times New Roman"/>
                <w:b/>
                <w:color w:val="0000FF"/>
                <w:szCs w:val="24"/>
                <w:lang w:eastAsia="tr-TR"/>
              </w:rPr>
              <w:t xml:space="preserve"> ve bunlar</w:t>
            </w:r>
            <w:r w:rsidRPr="00A23740">
              <w:rPr>
                <w:rFonts w:eastAsia="Times New Roman"/>
                <w:szCs w:val="24"/>
                <w:lang w:eastAsia="tr-TR"/>
              </w:rPr>
              <w:t xml:space="preserve"> adına </w:t>
            </w:r>
            <w:r w:rsidRPr="00A23740">
              <w:rPr>
                <w:rFonts w:eastAsia="Times New Roman"/>
                <w:b/>
                <w:color w:val="0000FF"/>
                <w:szCs w:val="24"/>
                <w:lang w:eastAsia="tr-TR"/>
              </w:rPr>
              <w:t>tebligatı almaya</w:t>
            </w:r>
            <w:r w:rsidRPr="00A23740">
              <w:rPr>
                <w:rFonts w:eastAsia="Times New Roman"/>
                <w:szCs w:val="24"/>
                <w:lang w:eastAsia="tr-TR"/>
              </w:rPr>
              <w:t xml:space="preserve"> yetkili kimse</w:t>
            </w:r>
            <w:r w:rsidRPr="00A23740">
              <w:rPr>
                <w:rStyle w:val="MaviChar"/>
              </w:rPr>
              <w:t xml:space="preserve">lerin de </w:t>
            </w:r>
            <w:r w:rsidRPr="00A23740">
              <w:rPr>
                <w:rFonts w:eastAsia="Times New Roman"/>
                <w:szCs w:val="24"/>
                <w:lang w:eastAsia="tr-TR"/>
              </w:rPr>
              <w:t>bulun</w:t>
            </w:r>
            <w:r w:rsidRPr="00A23740">
              <w:rPr>
                <w:rStyle w:val="MaviChar"/>
                <w:lang w:val="tr-TR"/>
              </w:rPr>
              <w:t>maması h</w:t>
            </w:r>
            <w:r w:rsidR="00257348" w:rsidRPr="00A23740">
              <w:rPr>
                <w:rStyle w:val="MaviChar"/>
                <w:lang w:val="tr-TR"/>
              </w:rPr>
              <w:t>â</w:t>
            </w:r>
            <w:r w:rsidRPr="00A23740">
              <w:rPr>
                <w:rStyle w:val="MaviChar"/>
                <w:lang w:val="tr-TR"/>
              </w:rPr>
              <w:t>linde,</w:t>
            </w:r>
            <w:r w:rsidRPr="00A23740">
              <w:rPr>
                <w:rFonts w:eastAsia="Times New Roman"/>
                <w:szCs w:val="24"/>
                <w:lang w:eastAsia="tr-TR"/>
              </w:rPr>
              <w:t xml:space="preserve"> tutanağın bir </w:t>
            </w:r>
            <w:r w:rsidR="00257348" w:rsidRPr="00A23740">
              <w:rPr>
                <w:rStyle w:val="MaviChar"/>
                <w:lang w:val="tr-TR"/>
              </w:rPr>
              <w:t xml:space="preserve">örneği </w:t>
            </w:r>
            <w:r w:rsidRPr="00A23740">
              <w:rPr>
                <w:rStyle w:val="MaviChar"/>
              </w:rPr>
              <w:t>bizzat borçlu, alacaklı ve üçüncü kişiye</w:t>
            </w:r>
            <w:r w:rsidRPr="00A23740">
              <w:rPr>
                <w:rStyle w:val="MaviChar"/>
                <w:lang w:val="tr-TR"/>
              </w:rPr>
              <w:t xml:space="preserve"> </w:t>
            </w:r>
            <w:r w:rsidRPr="00A23740">
              <w:rPr>
                <w:rFonts w:eastAsia="Times New Roman"/>
                <w:b/>
                <w:color w:val="0000FF"/>
                <w:szCs w:val="24"/>
                <w:lang w:eastAsia="tr-TR"/>
              </w:rPr>
              <w:t>tebliğ edilir</w:t>
            </w:r>
            <w:r w:rsidRPr="00A23740">
              <w:rPr>
                <w:rFonts w:eastAsia="Times New Roman"/>
                <w:szCs w:val="24"/>
                <w:lang w:eastAsia="tr-TR"/>
              </w:rPr>
              <w:t>.</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(3) Sicile kayıtlı malların kaydına haciz konulduğu hususu icra </w:t>
            </w:r>
            <w:r w:rsidRPr="00A23740">
              <w:rPr>
                <w:rStyle w:val="MaviChar"/>
              </w:rPr>
              <w:t>ve iflas dairesince borçluya</w:t>
            </w:r>
            <w:r w:rsidR="00D627B9" w:rsidRPr="00A23740">
              <w:rPr>
                <w:rStyle w:val="MaviChar"/>
                <w:lang w:val="tr-TR"/>
              </w:rPr>
              <w:t xml:space="preserve"> </w:t>
            </w:r>
            <w:r w:rsidR="00D627B9" w:rsidRPr="00CE4365">
              <w:rPr>
                <w:rStyle w:val="MaviChar"/>
              </w:rPr>
              <w:t>ve alacaklıya</w:t>
            </w:r>
            <w:r w:rsidRPr="00A23740">
              <w:rPr>
                <w:rStyle w:val="MaviChar"/>
              </w:rPr>
              <w:t xml:space="preserve"> te</w:t>
            </w:r>
            <w:r w:rsidRPr="00A23740">
              <w:rPr>
                <w:rFonts w:eastAsia="Times New Roman"/>
                <w:b/>
                <w:color w:val="0000FF"/>
                <w:szCs w:val="24"/>
                <w:lang w:eastAsia="tr-TR"/>
              </w:rPr>
              <w:t>bliğ edilir.</w:t>
            </w:r>
          </w:p>
          <w:p w:rsidR="00D627B9" w:rsidRPr="00A23740" w:rsidRDefault="00D627B9" w:rsidP="009431FF">
            <w:pPr>
              <w:pStyle w:val="KIRMIZI"/>
              <w:rPr>
                <w:b w:val="0"/>
                <w:lang w:eastAsia="tr-TR"/>
              </w:rPr>
            </w:pPr>
          </w:p>
        </w:tc>
      </w:tr>
      <w:tr w:rsidR="009E50AB" w:rsidRPr="00A23740" w:rsidTr="009431FF">
        <w:tblPrEx>
          <w:tblLook w:val="01E0" w:firstRow="1" w:lastRow="1" w:firstColumn="1" w:lastColumn="1" w:noHBand="0" w:noVBand="0"/>
        </w:tblPrEx>
        <w:tc>
          <w:tcPr>
            <w:tcW w:w="5000" w:type="pct"/>
            <w:gridSpan w:val="2"/>
            <w:shd w:val="clear" w:color="auto" w:fill="DEEAF6"/>
          </w:tcPr>
          <w:p w:rsidR="00B9606E" w:rsidRPr="00A23740" w:rsidRDefault="00B9606E" w:rsidP="009431FF">
            <w:pPr>
              <w:tabs>
                <w:tab w:val="left" w:pos="567"/>
              </w:tabs>
              <w:rPr>
                <w:rStyle w:val="MaviChar"/>
                <w:lang w:val="tr-TR"/>
              </w:rPr>
            </w:pPr>
          </w:p>
          <w:p w:rsidR="00B9606E" w:rsidRPr="00A23740" w:rsidRDefault="000069A4" w:rsidP="009431FF">
            <w:pPr>
              <w:ind w:firstLine="709"/>
            </w:pPr>
            <w:r w:rsidRPr="00A23740">
              <w:rPr>
                <w:b/>
              </w:rPr>
              <w:t>MADDE 201-</w:t>
            </w:r>
            <w:r w:rsidRPr="00A23740">
              <w:t xml:space="preserve"> </w:t>
            </w:r>
            <w:r w:rsidR="00B9606E" w:rsidRPr="00A23740">
              <w:t>Maddeyle, haciz tutanağının düzenlenmesinden hemen sonra sistematik şekilde, taraflara bildirimde bulunulması öngörülmektedir. Hüküm, 2004 sayılı Kanunun 103 üncü maddesine karşılık gelmektedir.</w:t>
            </w:r>
          </w:p>
          <w:p w:rsidR="00B9606E" w:rsidRPr="00A23740" w:rsidRDefault="00B9606E" w:rsidP="009431FF">
            <w:pPr>
              <w:ind w:firstLine="709"/>
            </w:pPr>
            <w:r w:rsidRPr="00A23740">
              <w:t xml:space="preserve">Birinci fıkrayla tutanağın düzenlenmesinden hemen sonra örneğinin ilgililere Tebligat Kanunu hükümlerine göre tebliğ edilmesi hususunda, 2004 Sayılı Kanundaki 103 davetiyesinden farklı bir şekilde, özellikle haciz mahallinde bulunmayan ilgililerin icra </w:t>
            </w:r>
            <w:r w:rsidR="00B73523" w:rsidRPr="00CE4365">
              <w:t xml:space="preserve">ve iflas </w:t>
            </w:r>
            <w:r w:rsidRPr="00A23740">
              <w:t>dairesine gelip, haciz tutanağını incelemeleri gerekliliği yerine, bu kez kişilere haciz tutanağının doğrudan memur tarafından tebliğ edilmesi esası benimsenmektedir.</w:t>
            </w:r>
          </w:p>
          <w:p w:rsidR="00B9606E" w:rsidRPr="00A23740" w:rsidRDefault="00B9606E" w:rsidP="009431FF">
            <w:pPr>
              <w:ind w:firstLine="709"/>
            </w:pPr>
            <w:r w:rsidRPr="00A23740">
              <w:t>İkinci fıkrayla, haciz sırasında ilgililerin ve bunlar adına tebligatı almaya yetkili kimselerin bulunmaması hâlinde, tutanağın bir suretinin bizzat borçlu, alacaklı ve üçüncü kişiye tebliğ edileceği düzenlenmektedir.</w:t>
            </w:r>
          </w:p>
          <w:p w:rsidR="00B9606E" w:rsidRPr="00A23740" w:rsidRDefault="00B9606E" w:rsidP="009431FF">
            <w:pPr>
              <w:ind w:firstLine="709"/>
            </w:pPr>
            <w:r w:rsidRPr="00A23740">
              <w:t>Haciz tutanağı düzenlenirken hazır bulunmayan ilgililerin bu tutanaktan haberdar edilmeleri hacze itiraz edilmesi, ayni hakların ileri sürülmesi ve şikâyette bulunulması veya istihkak davası gibi hukuki yollara başvurma imkânı vermesi, bunlara dair sürelerin tüketilmesini sağlaması ve haczin kesinleşmesi neticesinde satışların sıhhatine katkı sağlaması açısından önem arz etmektedir.</w:t>
            </w:r>
          </w:p>
          <w:p w:rsidR="00B9606E" w:rsidRPr="00A23740" w:rsidRDefault="00B9606E" w:rsidP="005C601A">
            <w:pPr>
              <w:ind w:firstLine="709"/>
              <w:rPr>
                <w:rStyle w:val="MaviChar"/>
                <w:lang w:val="tr-TR"/>
              </w:rPr>
            </w:pPr>
            <w:r w:rsidRPr="00A23740">
              <w:t>Üçüncü fıkrayla da sicile kayıtlı malların kaydına haciz konulması hâlinde icra ve iflas dairesince borçluya</w:t>
            </w:r>
            <w:r w:rsidR="00D627B9" w:rsidRPr="00A23740">
              <w:t xml:space="preserve"> </w:t>
            </w:r>
            <w:r w:rsidR="00D627B9" w:rsidRPr="00CE4365">
              <w:t>ve alacaklıya</w:t>
            </w:r>
            <w:r w:rsidRPr="00A23740">
              <w:t xml:space="preserve"> haciz konulduğunun bildirilmesi amacıyla tebligat çıkarılmasına ilişkin düzenleme yapılmaktadır.</w:t>
            </w:r>
          </w:p>
          <w:p w:rsidR="00B9606E" w:rsidRPr="00A23740" w:rsidRDefault="00B9606E" w:rsidP="005C601A">
            <w:pPr>
              <w:tabs>
                <w:tab w:val="left" w:pos="567"/>
              </w:tabs>
              <w:ind w:firstLine="709"/>
              <w:rPr>
                <w:rStyle w:val="MaviChar"/>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Hacze iştirak halinde </w:t>
            </w:r>
            <w:r w:rsidRPr="00A23740">
              <w:rPr>
                <w:rStyle w:val="KIRMIZIChar"/>
                <w:rFonts w:eastAsia="Calibri"/>
              </w:rPr>
              <w:t>davet:</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104 – (1)</w:t>
            </w:r>
            <w:r w:rsidRPr="00A23740">
              <w:rPr>
                <w:rFonts w:eastAsia="Times New Roman"/>
                <w:b/>
                <w:szCs w:val="24"/>
                <w:lang w:eastAsia="tr-TR"/>
              </w:rPr>
              <w:t xml:space="preserve"> </w:t>
            </w:r>
            <w:r w:rsidRPr="00A23740">
              <w:rPr>
                <w:rFonts w:eastAsia="Times New Roman"/>
                <w:szCs w:val="24"/>
                <w:lang w:eastAsia="tr-TR"/>
              </w:rPr>
              <w:t xml:space="preserve">Yeni alacaklıların iştiraki ve bu </w:t>
            </w:r>
            <w:r w:rsidRPr="00A23740">
              <w:rPr>
                <w:rStyle w:val="KIRMIZIChar"/>
                <w:rFonts w:eastAsia="Calibri"/>
              </w:rPr>
              <w:t>yüzden</w:t>
            </w:r>
            <w:r w:rsidRPr="00A23740">
              <w:rPr>
                <w:rFonts w:eastAsia="Times New Roman"/>
                <w:szCs w:val="24"/>
                <w:lang w:eastAsia="tr-TR"/>
              </w:rPr>
              <w:t xml:space="preserve"> ilave </w:t>
            </w:r>
            <w:r w:rsidRPr="00A23740">
              <w:rPr>
                <w:rStyle w:val="KIRMIZIChar"/>
                <w:rFonts w:eastAsia="Calibri"/>
              </w:rPr>
              <w:t>suretiyle yapılan yeni</w:t>
            </w:r>
            <w:r w:rsidRPr="00A23740">
              <w:rPr>
                <w:rFonts w:eastAsia="Times New Roman"/>
                <w:szCs w:val="24"/>
                <w:lang w:eastAsia="tr-TR"/>
              </w:rPr>
              <w:t xml:space="preserve"> hacizler tutanağın altına </w:t>
            </w:r>
            <w:r w:rsidRPr="00A23740">
              <w:rPr>
                <w:rStyle w:val="KIRMIZIChar"/>
                <w:rFonts w:eastAsia="Calibri"/>
              </w:rPr>
              <w:t>işaret</w:t>
            </w:r>
            <w:r w:rsidRPr="00A23740">
              <w:rPr>
                <w:rFonts w:eastAsia="Times New Roman"/>
                <w:szCs w:val="24"/>
                <w:lang w:eastAsia="tr-TR"/>
              </w:rPr>
              <w:t xml:space="preserve"> </w:t>
            </w:r>
            <w:r w:rsidRPr="00A23740">
              <w:rPr>
                <w:rStyle w:val="KIRMIZIChar"/>
                <w:rFonts w:eastAsia="Calibri"/>
              </w:rPr>
              <w:t>olunur.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Hacze iştirak eden her yeni alacaklı isterse tutanağın tam bir suretini alabilir.</w:t>
            </w:r>
          </w:p>
          <w:p w:rsidR="004740E6" w:rsidRDefault="004740E6" w:rsidP="009431FF">
            <w:pPr>
              <w:tabs>
                <w:tab w:val="left" w:pos="567"/>
              </w:tabs>
              <w:rPr>
                <w:rStyle w:val="KIRMIZIChar"/>
                <w:rFonts w:eastAsia="Calibri"/>
              </w:rPr>
            </w:pPr>
          </w:p>
          <w:p w:rsidR="00AA5C8C" w:rsidRPr="00A23740" w:rsidRDefault="00AA5C8C" w:rsidP="009431FF">
            <w:pPr>
              <w:tabs>
                <w:tab w:val="left" w:pos="567"/>
              </w:tabs>
              <w:rPr>
                <w:rStyle w:val="KIRMIZIChar"/>
                <w:rFonts w:eastAsia="Calibri"/>
              </w:rPr>
            </w:pPr>
            <w:r w:rsidRPr="00A23740">
              <w:rPr>
                <w:rStyle w:val="KIRMIZIChar"/>
                <w:rFonts w:eastAsia="Calibri"/>
              </w:rPr>
              <w:t>(3) Evvelce</w:t>
            </w:r>
            <w:r w:rsidRPr="00A23740">
              <w:rPr>
                <w:rFonts w:eastAsia="Times New Roman"/>
                <w:szCs w:val="24"/>
                <w:lang w:eastAsia="tr-TR"/>
              </w:rPr>
              <w:t xml:space="preserve"> haciz </w:t>
            </w:r>
            <w:r w:rsidRPr="00A23740">
              <w:rPr>
                <w:rStyle w:val="KIRMIZIChar"/>
                <w:rFonts w:eastAsia="Calibri"/>
              </w:rPr>
              <w:t>vazedenlerle borçlular</w:t>
            </w:r>
            <w:r w:rsidRPr="00A23740">
              <w:rPr>
                <w:rFonts w:eastAsia="Times New Roman"/>
                <w:szCs w:val="24"/>
                <w:lang w:eastAsia="tr-TR"/>
              </w:rPr>
              <w:t xml:space="preserve"> dahi yeni iştirak ve ilave</w:t>
            </w:r>
            <w:r w:rsidRPr="00A23740">
              <w:rPr>
                <w:rStyle w:val="KIRMIZIChar"/>
                <w:rFonts w:eastAsia="Calibri"/>
              </w:rPr>
              <w:t>ler kendilerine bildirilmek üzere</w:t>
            </w:r>
            <w:r w:rsidRPr="00A23740">
              <w:rPr>
                <w:rFonts w:eastAsia="Times New Roman"/>
                <w:szCs w:val="24"/>
                <w:lang w:eastAsia="tr-TR"/>
              </w:rPr>
              <w:t xml:space="preserve"> </w:t>
            </w:r>
            <w:r w:rsidRPr="00A23740">
              <w:rPr>
                <w:rStyle w:val="KIRMIZIChar"/>
                <w:rFonts w:eastAsia="Calibri"/>
              </w:rPr>
              <w:t>103</w:t>
            </w:r>
            <w:r w:rsidRPr="00A23740">
              <w:rPr>
                <w:rFonts w:eastAsia="Times New Roman"/>
                <w:szCs w:val="24"/>
                <w:lang w:eastAsia="tr-TR"/>
              </w:rPr>
              <w:t xml:space="preserve"> üncü madde </w:t>
            </w:r>
            <w:r w:rsidRPr="00A23740">
              <w:rPr>
                <w:rStyle w:val="KIRMIZIChar"/>
                <w:rFonts w:eastAsia="Calibri"/>
              </w:rPr>
              <w:t>mucibince davet olunurlar.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Hacze iştirak h</w:t>
            </w:r>
            <w:r w:rsidR="001D7D44" w:rsidRPr="00A23740">
              <w:rPr>
                <w:rFonts w:eastAsia="Times New Roman"/>
                <w:b/>
                <w:szCs w:val="24"/>
                <w:lang w:eastAsia="tr-TR"/>
              </w:rPr>
              <w:t>â</w:t>
            </w:r>
            <w:r w:rsidRPr="00A23740">
              <w:rPr>
                <w:rFonts w:eastAsia="Times New Roman"/>
                <w:b/>
                <w:szCs w:val="24"/>
                <w:lang w:eastAsia="tr-TR"/>
              </w:rPr>
              <w:t xml:space="preserve">linde </w:t>
            </w:r>
            <w:r w:rsidRPr="00A23740">
              <w:rPr>
                <w:rStyle w:val="MaviChar"/>
              </w:rPr>
              <w:t>yapılacak tebligat</w:t>
            </w:r>
            <w:r w:rsidRPr="00A23740">
              <w:rPr>
                <w:rFonts w:eastAsia="Times New Roman"/>
                <w:b/>
                <w:szCs w:val="24"/>
                <w:lang w:eastAsia="tr-TR"/>
              </w:rPr>
              <w:t xml:space="preserve"> </w:t>
            </w:r>
          </w:p>
          <w:p w:rsidR="00AA5C8C" w:rsidRPr="00A23740" w:rsidRDefault="00AA5C8C" w:rsidP="009431FF">
            <w:pPr>
              <w:tabs>
                <w:tab w:val="left" w:pos="567"/>
              </w:tabs>
              <w:rPr>
                <w:rFonts w:eastAsia="Times New Roman"/>
                <w:szCs w:val="24"/>
                <w:lang w:eastAsia="tr-TR"/>
              </w:rPr>
            </w:pPr>
            <w:r w:rsidRPr="00A23740">
              <w:rPr>
                <w:rStyle w:val="MaviChar"/>
                <w:lang w:val="tr-TR"/>
              </w:rPr>
              <w:t xml:space="preserve">MADDE </w:t>
            </w:r>
            <w:r w:rsidR="0025794C" w:rsidRPr="00A23740">
              <w:rPr>
                <w:rStyle w:val="MAVChar"/>
                <w:rFonts w:eastAsia="Calibri"/>
                <w:u w:val="none"/>
              </w:rPr>
              <w:t>202</w:t>
            </w:r>
            <w:r w:rsidRPr="00A23740">
              <w:rPr>
                <w:rStyle w:val="MAVChar"/>
                <w:rFonts w:eastAsia="Calibri"/>
                <w:u w:val="none"/>
              </w:rPr>
              <w:t>-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 xml:space="preserve">Yeni alacaklıların </w:t>
            </w:r>
            <w:r w:rsidRPr="00A23740">
              <w:rPr>
                <w:rFonts w:eastAsia="Times New Roman"/>
                <w:bCs/>
                <w:szCs w:val="24"/>
                <w:lang w:eastAsia="tr-TR"/>
              </w:rPr>
              <w:t>iştiraki ve bu</w:t>
            </w:r>
            <w:r w:rsidRPr="00A23740">
              <w:rPr>
                <w:rFonts w:eastAsia="Times New Roman"/>
                <w:b/>
                <w:color w:val="0000FF"/>
                <w:szCs w:val="24"/>
                <w:lang w:eastAsia="tr-TR"/>
              </w:rPr>
              <w:t xml:space="preserve"> sebeple yapılan</w:t>
            </w:r>
            <w:r w:rsidRPr="00A23740">
              <w:rPr>
                <w:rFonts w:eastAsia="Times New Roman"/>
                <w:szCs w:val="24"/>
                <w:lang w:eastAsia="tr-TR"/>
              </w:rPr>
              <w:t xml:space="preserve"> ilave hacizler tutanağın altına </w:t>
            </w:r>
            <w:r w:rsidRPr="00A23740">
              <w:rPr>
                <w:rFonts w:eastAsia="Times New Roman"/>
                <w:b/>
                <w:color w:val="0000FF"/>
                <w:szCs w:val="24"/>
                <w:lang w:eastAsia="tr-TR"/>
              </w:rPr>
              <w:t>yazılır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MAVChar"/>
                <w:rFonts w:eastAsia="Calibri"/>
                <w:u w:val="none"/>
              </w:rPr>
              <w:t>(2)</w:t>
            </w:r>
            <w:r w:rsidRPr="00A23740">
              <w:rPr>
                <w:rFonts w:eastAsia="Times New Roman"/>
                <w:szCs w:val="24"/>
                <w:lang w:eastAsia="tr-TR"/>
              </w:rPr>
              <w:t xml:space="preserve"> Hacze iştirak eden her yeni alacaklı isterse tutanağın tam bir </w:t>
            </w:r>
            <w:r w:rsidRPr="00A23740">
              <w:rPr>
                <w:rStyle w:val="MaviChar"/>
              </w:rPr>
              <w:t>örneğini</w:t>
            </w:r>
            <w:r w:rsidRPr="00A23740">
              <w:rPr>
                <w:rFonts w:eastAsia="Times New Roman"/>
                <w:szCs w:val="24"/>
                <w:lang w:eastAsia="tr-TR"/>
              </w:rPr>
              <w:t xml:space="preserve"> alabilir.</w:t>
            </w:r>
          </w:p>
          <w:p w:rsidR="00AA5C8C"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MAVChar"/>
                <w:rFonts w:eastAsia="Calibri"/>
                <w:u w:val="none"/>
              </w:rPr>
              <w:t xml:space="preserve">(3) </w:t>
            </w:r>
            <w:r w:rsidR="002B6E0A" w:rsidRPr="00CE4365">
              <w:rPr>
                <w:rStyle w:val="MaviChar"/>
              </w:rPr>
              <w:t>Yeni iştirak ve ilave hacizler, d</w:t>
            </w:r>
            <w:r w:rsidRPr="00A23740">
              <w:rPr>
                <w:rStyle w:val="MAVChar"/>
                <w:rFonts w:eastAsia="Calibri"/>
                <w:u w:val="none"/>
              </w:rPr>
              <w:t xml:space="preserve">aha önce </w:t>
            </w:r>
            <w:r w:rsidRPr="00A23740">
              <w:rPr>
                <w:rFonts w:eastAsia="Times New Roman"/>
                <w:szCs w:val="24"/>
                <w:lang w:eastAsia="tr-TR"/>
              </w:rPr>
              <w:t>haciz</w:t>
            </w:r>
            <w:r w:rsidRPr="00A23740">
              <w:rPr>
                <w:rStyle w:val="MAVChar"/>
                <w:rFonts w:eastAsia="Calibri"/>
                <w:u w:val="none"/>
              </w:rPr>
              <w:t xml:space="preserve"> koydurmuş olan alacaklılara ve borçluya</w:t>
            </w:r>
            <w:r w:rsidRPr="00A23740">
              <w:rPr>
                <w:rFonts w:eastAsia="Times New Roman"/>
                <w:szCs w:val="24"/>
                <w:lang w:eastAsia="tr-TR"/>
              </w:rPr>
              <w:t xml:space="preserve"> dahi</w:t>
            </w:r>
            <w:r w:rsidR="00BA642F" w:rsidRPr="00A23740">
              <w:rPr>
                <w:rStyle w:val="MaviChar"/>
                <w:lang w:val="tr-TR"/>
              </w:rPr>
              <w:t xml:space="preserve"> </w:t>
            </w:r>
            <w:r w:rsidR="00BA642F" w:rsidRPr="00CE4365">
              <w:rPr>
                <w:rStyle w:val="MaviChar"/>
              </w:rPr>
              <w:t>201 inci</w:t>
            </w:r>
            <w:r w:rsidRPr="00A23740">
              <w:rPr>
                <w:rFonts w:eastAsia="Times New Roman"/>
                <w:szCs w:val="24"/>
                <w:lang w:eastAsia="tr-TR"/>
              </w:rPr>
              <w:t xml:space="preserve"> madde </w:t>
            </w:r>
            <w:r w:rsidRPr="00A23740">
              <w:rPr>
                <w:rStyle w:val="MAVChar"/>
                <w:rFonts w:eastAsia="Calibri"/>
                <w:u w:val="none"/>
              </w:rPr>
              <w:t xml:space="preserve">uyarınca </w:t>
            </w:r>
            <w:r w:rsidRPr="00A23740">
              <w:rPr>
                <w:rStyle w:val="MaviChar"/>
              </w:rPr>
              <w:t>tebliğ edilir.</w:t>
            </w:r>
          </w:p>
          <w:p w:rsidR="00AA5C8C" w:rsidRPr="00A23740" w:rsidRDefault="00AA5C8C" w:rsidP="009431FF">
            <w:pPr>
              <w:pStyle w:val="KIRMIZI"/>
              <w:rPr>
                <w:lang w:val="tr-TR" w:eastAsia="tr-TR"/>
              </w:rPr>
            </w:pPr>
          </w:p>
        </w:tc>
      </w:tr>
      <w:tr w:rsidR="009E50AB" w:rsidRPr="00A23740" w:rsidTr="009431FF">
        <w:tblPrEx>
          <w:tblLook w:val="01E0" w:firstRow="1" w:lastRow="1" w:firstColumn="1" w:lastColumn="1" w:noHBand="0" w:noVBand="0"/>
        </w:tblPrEx>
        <w:tc>
          <w:tcPr>
            <w:tcW w:w="5000" w:type="pct"/>
            <w:gridSpan w:val="2"/>
            <w:shd w:val="clear" w:color="auto" w:fill="DEEAF6"/>
          </w:tcPr>
          <w:p w:rsidR="006F276F" w:rsidRPr="00A23740" w:rsidRDefault="006F276F" w:rsidP="009431FF">
            <w:pPr>
              <w:tabs>
                <w:tab w:val="left" w:pos="567"/>
              </w:tabs>
              <w:ind w:firstLine="709"/>
              <w:rPr>
                <w:rStyle w:val="MaviChar"/>
                <w:lang w:val="tr-TR"/>
              </w:rPr>
            </w:pPr>
            <w:r w:rsidRPr="00A23740">
              <w:rPr>
                <w:rFonts w:eastAsia="Times New Roman"/>
                <w:b/>
                <w:szCs w:val="24"/>
                <w:lang w:eastAsia="tr-TR"/>
              </w:rPr>
              <w:tab/>
            </w:r>
          </w:p>
          <w:p w:rsidR="00B9606E" w:rsidRPr="00A23740" w:rsidRDefault="000069A4" w:rsidP="009431FF">
            <w:pPr>
              <w:ind w:firstLine="709"/>
            </w:pPr>
            <w:r w:rsidRPr="00A23740">
              <w:rPr>
                <w:b/>
              </w:rPr>
              <w:t>MADDE 202-</w:t>
            </w:r>
            <w:r w:rsidRPr="00A23740">
              <w:t xml:space="preserve"> </w:t>
            </w:r>
            <w:r w:rsidR="00B9606E" w:rsidRPr="00A23740">
              <w:t xml:space="preserve">Maddeyle, yeni alacaklıların hacze iştirak etmiş olması hâlinde tutanağa işlenmesi, tutanağın bir suretinin </w:t>
            </w:r>
            <w:r w:rsidR="00546BFB" w:rsidRPr="00A23740">
              <w:t xml:space="preserve">onlara </w:t>
            </w:r>
            <w:r w:rsidR="00B9606E" w:rsidRPr="00A23740">
              <w:t>verilmesi ve ilgililere bildirimde bulunulması arı Türkçe ile düzenlenmektedir.</w:t>
            </w:r>
            <w:r w:rsidR="00BA642F" w:rsidRPr="00A23740">
              <w:t xml:space="preserve"> </w:t>
            </w:r>
            <w:r w:rsidR="00B9606E" w:rsidRPr="00A23740">
              <w:t>Hüküm, 2004 sayılı Kanunun 104 üncü maddesine karşılık gelmektedir.</w:t>
            </w:r>
          </w:p>
          <w:p w:rsidR="00B9606E" w:rsidRPr="00A23740" w:rsidRDefault="00BA642F" w:rsidP="009431FF">
            <w:pPr>
              <w:ind w:firstLine="709"/>
            </w:pPr>
            <w:r w:rsidRPr="00D60C1D">
              <w:rPr>
                <w:rStyle w:val="KonuBalChar"/>
                <w:rFonts w:eastAsia="Calibri"/>
                <w:b w:val="0"/>
                <w:color w:val="000000"/>
              </w:rPr>
              <w:t>201 inci</w:t>
            </w:r>
            <w:r w:rsidRPr="00A23740">
              <w:rPr>
                <w:rFonts w:eastAsia="Times New Roman"/>
                <w:szCs w:val="24"/>
                <w:lang w:eastAsia="tr-TR"/>
              </w:rPr>
              <w:t xml:space="preserve"> </w:t>
            </w:r>
            <w:r w:rsidR="00B9606E" w:rsidRPr="00A23740">
              <w:t>maddede de belirtildiği üzere hukuki bağlamda hacizlerin ilgililerine bildirilmesi, onların haklarını kullanabilmeleri ve devam eden icra işlemlerinin yapılabilmesi açısından önem arz etmektedir.</w:t>
            </w:r>
          </w:p>
          <w:p w:rsidR="00B9606E" w:rsidRPr="00A23740" w:rsidRDefault="00B9606E" w:rsidP="009431FF">
            <w:pPr>
              <w:ind w:firstLine="709"/>
            </w:pPr>
            <w:r w:rsidRPr="00A23740">
              <w:t xml:space="preserve">Birinci ve ikinci fıkrayla, yeni alacaklıların hacze iştirak etmesi ve bu nedenle yapılan ilave hacizlerin tutanağa işleneceği ve hacze iştirak eden her yeni alacaklıya tutanağın örneğinin verileceği </w:t>
            </w:r>
            <w:r w:rsidR="00546BFB" w:rsidRPr="00A23740">
              <w:t xml:space="preserve"> açıklanmaktadır</w:t>
            </w:r>
            <w:r w:rsidRPr="00A23740">
              <w:t>.</w:t>
            </w:r>
          </w:p>
          <w:p w:rsidR="00B9606E" w:rsidRPr="00A23740" w:rsidRDefault="00B9606E" w:rsidP="009431FF">
            <w:pPr>
              <w:tabs>
                <w:tab w:val="left" w:pos="567"/>
              </w:tabs>
              <w:ind w:firstLine="709"/>
              <w:rPr>
                <w:rStyle w:val="MaviChar"/>
                <w:color w:val="auto"/>
                <w:lang w:val="tr-TR"/>
              </w:rPr>
            </w:pPr>
            <w:r w:rsidRPr="00A23740">
              <w:t>Üçüncü fıkrayla</w:t>
            </w:r>
            <w:r w:rsidR="00546BFB" w:rsidRPr="00A23740">
              <w:t>,</w:t>
            </w:r>
            <w:r w:rsidRPr="00A23740">
              <w:t xml:space="preserve"> mevcut hacizlerin, evvelce haciz koydurmuş olan alacaklılara ve borçluya </w:t>
            </w:r>
            <w:r w:rsidR="00BA642F" w:rsidRPr="00D60C1D">
              <w:rPr>
                <w:rStyle w:val="KonuBalChar"/>
                <w:rFonts w:eastAsia="Calibri"/>
                <w:b w:val="0"/>
                <w:color w:val="000000"/>
              </w:rPr>
              <w:t>201 inci</w:t>
            </w:r>
            <w:r w:rsidR="00BA642F" w:rsidRPr="00A23740">
              <w:rPr>
                <w:rFonts w:eastAsia="Times New Roman"/>
                <w:szCs w:val="24"/>
                <w:lang w:eastAsia="tr-TR"/>
              </w:rPr>
              <w:t xml:space="preserve"> </w:t>
            </w:r>
            <w:r w:rsidRPr="00A23740">
              <w:t>madde kapsamında Tebligat Kanunu hükümlerine göre bildirileceği ifade edilmektedir.</w:t>
            </w:r>
          </w:p>
          <w:p w:rsidR="00B9606E" w:rsidRPr="00A23740" w:rsidRDefault="00B9606E" w:rsidP="005C601A">
            <w:pPr>
              <w:tabs>
                <w:tab w:val="left" w:pos="567"/>
              </w:tabs>
              <w:ind w:firstLine="709"/>
              <w:rPr>
                <w:rStyle w:val="MaviChar"/>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Borç ödemeden aciz vesikası:</w:t>
            </w:r>
          </w:p>
          <w:p w:rsidR="00AA5C8C" w:rsidRPr="00A23740" w:rsidRDefault="00AA5C8C" w:rsidP="009431FF">
            <w:pPr>
              <w:pStyle w:val="KIRMIZI"/>
            </w:pPr>
            <w:r w:rsidRPr="00A23740">
              <w:t xml:space="preserve">Madde 105 – </w:t>
            </w:r>
            <w:r w:rsidRPr="00A23740">
              <w:rPr>
                <w:lang w:val="tr-TR"/>
              </w:rPr>
              <w:t xml:space="preserve">(1) </w:t>
            </w:r>
            <w:r w:rsidRPr="00A23740">
              <w:t>Haczi kabil</w:t>
            </w:r>
            <w:r w:rsidRPr="00A23740">
              <w:rPr>
                <w:strike w:val="0"/>
              </w:rPr>
              <w:t xml:space="preserve"> </w:t>
            </w:r>
            <w:r w:rsidRPr="00A23740">
              <w:rPr>
                <w:b w:val="0"/>
                <w:strike w:val="0"/>
                <w:color w:val="000000"/>
              </w:rPr>
              <w:t xml:space="preserve">mal </w:t>
            </w:r>
            <w:r w:rsidRPr="00A23740">
              <w:t>bulunmazsa</w:t>
            </w:r>
            <w:r w:rsidRPr="00A23740">
              <w:rPr>
                <w:strike w:val="0"/>
              </w:rPr>
              <w:t xml:space="preserve"> </w:t>
            </w:r>
            <w:r w:rsidRPr="00A23740">
              <w:t>haciz tutanağı 143 üncü maddedeki aciz vesikası hükmündedir.</w:t>
            </w:r>
          </w:p>
          <w:p w:rsidR="00AA5C8C" w:rsidRPr="00A23740" w:rsidRDefault="00AA5C8C" w:rsidP="009431FF">
            <w:pPr>
              <w:pStyle w:val="KIRMIZI"/>
            </w:pPr>
          </w:p>
          <w:p w:rsidR="008B56B0" w:rsidRPr="00A23740" w:rsidRDefault="008B56B0" w:rsidP="009431FF">
            <w:pPr>
              <w:pStyle w:val="KIRMIZI"/>
            </w:pPr>
          </w:p>
          <w:p w:rsidR="00AA5C8C" w:rsidRPr="00A23740" w:rsidRDefault="00AA5C8C" w:rsidP="009431FF">
            <w:pPr>
              <w:pStyle w:val="KIRMIZI"/>
            </w:pPr>
          </w:p>
          <w:p w:rsidR="00AA5C8C" w:rsidRPr="00A23740" w:rsidRDefault="00AA5C8C" w:rsidP="009431FF">
            <w:pPr>
              <w:pStyle w:val="KIRMIZI"/>
            </w:pPr>
            <w:r w:rsidRPr="00A23740">
              <w:rPr>
                <w:lang w:val="tr-TR"/>
              </w:rPr>
              <w:t xml:space="preserve">(2) </w:t>
            </w:r>
            <w:r w:rsidRPr="00A23740">
              <w:t>İcraca takdir edilen kıymete göre haczi kabil malların kifayetsizliği</w:t>
            </w:r>
            <w:r w:rsidRPr="00A23740">
              <w:rPr>
                <w:strike w:val="0"/>
              </w:rPr>
              <w:t xml:space="preserve"> </w:t>
            </w:r>
            <w:r w:rsidRPr="00A23740">
              <w:t>anlaşıldığı surette dahi tutanak muvakkat</w:t>
            </w:r>
            <w:r w:rsidRPr="00A23740">
              <w:rPr>
                <w:b w:val="0"/>
                <w:strike w:val="0"/>
                <w:color w:val="000000"/>
              </w:rPr>
              <w:t xml:space="preserve"> aciz </w:t>
            </w:r>
            <w:r w:rsidRPr="00A23740">
              <w:t>vesikası yerine geçerek alacaklıya 277 nci maddede yazılı hakları verir.</w:t>
            </w: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Haciz sırasında düzenlenen aciz belgeleri</w:t>
            </w: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MADDE </w:t>
            </w:r>
            <w:r w:rsidR="0025794C" w:rsidRPr="00A23740">
              <w:rPr>
                <w:rFonts w:eastAsia="Times New Roman"/>
                <w:b/>
                <w:color w:val="0000FF"/>
                <w:szCs w:val="24"/>
                <w:lang w:eastAsia="tr-TR"/>
              </w:rPr>
              <w:t>203</w:t>
            </w:r>
            <w:r w:rsidRPr="00A23740">
              <w:rPr>
                <w:rFonts w:eastAsia="Times New Roman"/>
                <w:b/>
                <w:color w:val="0000FF"/>
                <w:szCs w:val="24"/>
                <w:lang w:eastAsia="tr-TR"/>
              </w:rPr>
              <w:t>- (1)</w:t>
            </w:r>
            <w:r w:rsidRPr="00A23740">
              <w:rPr>
                <w:rStyle w:val="MaviChar"/>
              </w:rPr>
              <w:t xml:space="preserve"> </w:t>
            </w:r>
            <w:r w:rsidRPr="00A23740">
              <w:rPr>
                <w:rStyle w:val="MaviChar"/>
                <w:lang w:val="tr-TR"/>
              </w:rPr>
              <w:t xml:space="preserve">İcra </w:t>
            </w:r>
            <w:r w:rsidR="002B6E0A" w:rsidRPr="00CE4365">
              <w:rPr>
                <w:rStyle w:val="MaviChar"/>
              </w:rPr>
              <w:t>ve iflas</w:t>
            </w:r>
            <w:r w:rsidR="002B6E0A" w:rsidRPr="00A23740">
              <w:rPr>
                <w:rStyle w:val="MaviChar"/>
                <w:color w:val="385623"/>
                <w:lang w:val="tr-TR"/>
              </w:rPr>
              <w:t xml:space="preserve"> </w:t>
            </w:r>
            <w:r w:rsidR="008B56B0" w:rsidRPr="00A23740">
              <w:rPr>
                <w:rStyle w:val="MaviChar"/>
              </w:rPr>
              <w:t xml:space="preserve">dairesi, haciz sırasında </w:t>
            </w:r>
            <w:r w:rsidRPr="00A23740">
              <w:rPr>
                <w:rStyle w:val="MaviChar"/>
                <w:lang w:val="tr-TR"/>
              </w:rPr>
              <w:t>yapılan araştırma sonucu</w:t>
            </w:r>
            <w:r w:rsidR="008B56B0" w:rsidRPr="00A23740">
              <w:rPr>
                <w:rStyle w:val="MaviChar"/>
                <w:lang w:val="tr-TR"/>
              </w:rPr>
              <w:t xml:space="preserve">nda </w:t>
            </w:r>
            <w:r w:rsidRPr="00A23740">
              <w:rPr>
                <w:rStyle w:val="MaviChar"/>
              </w:rPr>
              <w:t>borçluya</w:t>
            </w:r>
            <w:r w:rsidRPr="00A23740">
              <w:rPr>
                <w:rStyle w:val="MaviChar"/>
                <w:lang w:val="tr-TR"/>
              </w:rPr>
              <w:t xml:space="preserve"> ait haczedilebilen </w:t>
            </w:r>
            <w:r w:rsidRPr="00A23740">
              <w:rPr>
                <w:rStyle w:val="MaviChar"/>
              </w:rPr>
              <w:t xml:space="preserve">bir </w:t>
            </w:r>
            <w:r w:rsidRPr="00A23740">
              <w:rPr>
                <w:rFonts w:eastAsia="Times New Roman"/>
                <w:color w:val="000000"/>
              </w:rPr>
              <w:t>mal</w:t>
            </w:r>
            <w:r w:rsidRPr="00A23740">
              <w:rPr>
                <w:rStyle w:val="MaviChar"/>
              </w:rPr>
              <w:t>,</w:t>
            </w:r>
            <w:r w:rsidRPr="00A23740">
              <w:rPr>
                <w:rStyle w:val="MaviChar"/>
                <w:lang w:val="tr-TR"/>
              </w:rPr>
              <w:t xml:space="preserve"> hak ve alacak </w:t>
            </w:r>
            <w:r w:rsidRPr="00A23740">
              <w:rPr>
                <w:rStyle w:val="MaviChar"/>
              </w:rPr>
              <w:t>bulun</w:t>
            </w:r>
            <w:r w:rsidR="008B56B0" w:rsidRPr="00A23740">
              <w:rPr>
                <w:rStyle w:val="MaviChar"/>
              </w:rPr>
              <w:t>madığını</w:t>
            </w:r>
            <w:r w:rsidR="008B56B0" w:rsidRPr="00A23740">
              <w:rPr>
                <w:rStyle w:val="MaviChar"/>
                <w:lang w:val="tr-TR"/>
              </w:rPr>
              <w:t xml:space="preserve"> tespit ederse,</w:t>
            </w:r>
            <w:r w:rsidR="002B6E0A" w:rsidRPr="00A23740">
              <w:rPr>
                <w:rStyle w:val="MaviChar"/>
                <w:lang w:val="tr-TR"/>
              </w:rPr>
              <w:t xml:space="preserve"> resen</w:t>
            </w:r>
            <w:r w:rsidR="00B03168" w:rsidRPr="00A23740">
              <w:rPr>
                <w:rStyle w:val="MaviChar"/>
                <w:lang w:val="tr-TR"/>
              </w:rPr>
              <w:t xml:space="preserve"> </w:t>
            </w:r>
            <w:r w:rsidR="00B03168" w:rsidRPr="00CE4365">
              <w:rPr>
                <w:rStyle w:val="MaviChar"/>
              </w:rPr>
              <w:t>262 nci</w:t>
            </w:r>
            <w:r w:rsidRPr="00A23740">
              <w:rPr>
                <w:rStyle w:val="MaviChar"/>
                <w:lang w:val="tr-TR"/>
              </w:rPr>
              <w:t xml:space="preserve"> </w:t>
            </w:r>
            <w:r w:rsidRPr="00A23740">
              <w:rPr>
                <w:rFonts w:eastAsia="Times New Roman"/>
                <w:b/>
                <w:color w:val="0000FF"/>
                <w:szCs w:val="24"/>
                <w:lang w:eastAsia="tr-TR"/>
              </w:rPr>
              <w:t>maddedeki sonuçl</w:t>
            </w:r>
            <w:r w:rsidRPr="00A23740">
              <w:rPr>
                <w:rStyle w:val="MaviChar"/>
              </w:rPr>
              <w:t xml:space="preserve">arı doğuran </w:t>
            </w:r>
            <w:r w:rsidRPr="00A23740">
              <w:rPr>
                <w:rStyle w:val="MaviChar"/>
                <w:lang w:eastAsia="tr-TR"/>
              </w:rPr>
              <w:t>kesin</w:t>
            </w:r>
            <w:r w:rsidRPr="00A23740">
              <w:rPr>
                <w:rStyle w:val="MaviChar"/>
              </w:rPr>
              <w:t xml:space="preserve"> aciz belgesi </w:t>
            </w:r>
            <w:r w:rsidRPr="00A23740">
              <w:rPr>
                <w:rStyle w:val="MaviChar"/>
                <w:lang w:eastAsia="tr-TR"/>
              </w:rPr>
              <w:t>hükmünde bir belge</w:t>
            </w:r>
            <w:r w:rsidRPr="00A23740">
              <w:rPr>
                <w:rStyle w:val="MaviChar"/>
              </w:rPr>
              <w:t xml:space="preserve"> düzenler.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b/>
                <w:bCs/>
                <w:color w:val="0000FF"/>
                <w:szCs w:val="24"/>
                <w:lang w:eastAsia="x-none"/>
              </w:rPr>
            </w:pPr>
            <w:r w:rsidRPr="00A23740">
              <w:rPr>
                <w:rFonts w:eastAsia="Times New Roman"/>
                <w:b/>
                <w:color w:val="0000FF"/>
                <w:szCs w:val="24"/>
                <w:lang w:eastAsia="tr-TR"/>
              </w:rPr>
              <w:t xml:space="preserve">(2) </w:t>
            </w:r>
            <w:r w:rsidR="008B56B0" w:rsidRPr="00A23740">
              <w:rPr>
                <w:rFonts w:eastAsia="Times New Roman"/>
                <w:b/>
                <w:color w:val="0000FF"/>
                <w:szCs w:val="24"/>
                <w:lang w:eastAsia="tr-TR"/>
              </w:rPr>
              <w:t xml:space="preserve">İcra </w:t>
            </w:r>
            <w:r w:rsidR="002B6E0A" w:rsidRPr="00CE4365">
              <w:rPr>
                <w:rStyle w:val="Balk1Char"/>
                <w:rFonts w:eastAsia="Calibri"/>
              </w:rPr>
              <w:t>ve iflas</w:t>
            </w:r>
            <w:r w:rsidR="002B6E0A" w:rsidRPr="00A23740">
              <w:rPr>
                <w:rFonts w:eastAsia="Times New Roman"/>
                <w:b/>
                <w:color w:val="385623"/>
                <w:szCs w:val="24"/>
                <w:lang w:eastAsia="tr-TR"/>
              </w:rPr>
              <w:t xml:space="preserve"> </w:t>
            </w:r>
            <w:r w:rsidR="008B56B0" w:rsidRPr="00A23740">
              <w:rPr>
                <w:rFonts w:eastAsia="Times New Roman"/>
                <w:b/>
                <w:color w:val="0000FF"/>
                <w:szCs w:val="24"/>
                <w:lang w:eastAsia="tr-TR"/>
              </w:rPr>
              <w:t>dairesi, b</w:t>
            </w:r>
            <w:r w:rsidRPr="00A23740">
              <w:rPr>
                <w:rFonts w:eastAsia="Times New Roman"/>
                <w:b/>
                <w:color w:val="0000FF"/>
                <w:szCs w:val="24"/>
                <w:lang w:eastAsia="tr-TR"/>
              </w:rPr>
              <w:t>orçlunun haczi kabil mallarının takdir edilen kıymetinin borcu karşılamaya yetmediği</w:t>
            </w:r>
            <w:r w:rsidR="008B56B0" w:rsidRPr="00A23740">
              <w:rPr>
                <w:rFonts w:eastAsia="Times New Roman"/>
                <w:b/>
                <w:color w:val="0000FF"/>
                <w:szCs w:val="24"/>
                <w:lang w:eastAsia="tr-TR"/>
              </w:rPr>
              <w:t>ni tespit ederse</w:t>
            </w:r>
            <w:r w:rsidRPr="00A23740">
              <w:rPr>
                <w:rFonts w:eastAsia="Times New Roman"/>
                <w:b/>
                <w:color w:val="0000FF"/>
                <w:szCs w:val="24"/>
                <w:lang w:eastAsia="tr-TR"/>
              </w:rPr>
              <w:t>, alacaklının talebi üzerine</w:t>
            </w:r>
            <w:r w:rsidR="008B56B0" w:rsidRPr="00A23740">
              <w:rPr>
                <w:rFonts w:eastAsia="Times New Roman"/>
                <w:b/>
                <w:color w:val="0000FF"/>
                <w:szCs w:val="24"/>
                <w:lang w:eastAsia="tr-TR"/>
              </w:rPr>
              <w:t>,</w:t>
            </w:r>
            <w:r w:rsidRPr="00A23740">
              <w:rPr>
                <w:rFonts w:eastAsia="Times New Roman"/>
                <w:b/>
                <w:color w:val="0000FF"/>
                <w:szCs w:val="24"/>
                <w:lang w:eastAsia="tr-TR"/>
              </w:rPr>
              <w:t xml:space="preserve"> geçici </w:t>
            </w:r>
            <w:r w:rsidRPr="00A23740">
              <w:rPr>
                <w:rFonts w:eastAsia="Times New Roman"/>
                <w:bCs/>
                <w:color w:val="000000"/>
                <w:szCs w:val="24"/>
                <w:lang w:val="x-none" w:eastAsia="x-none"/>
              </w:rPr>
              <w:t>aciz</w:t>
            </w:r>
            <w:r w:rsidR="008B56B0" w:rsidRPr="00A23740">
              <w:rPr>
                <w:rFonts w:eastAsia="Times New Roman"/>
                <w:b/>
                <w:color w:val="0000FF"/>
                <w:szCs w:val="24"/>
                <w:lang w:eastAsia="tr-TR"/>
              </w:rPr>
              <w:t xml:space="preserve"> belgesi düzenler</w:t>
            </w:r>
            <w:r w:rsidRPr="00A23740">
              <w:rPr>
                <w:rFonts w:eastAsia="Times New Roman"/>
                <w:b/>
                <w:color w:val="0000FF"/>
                <w:szCs w:val="24"/>
                <w:lang w:eastAsia="tr-TR"/>
              </w:rPr>
              <w:t xml:space="preserve">. </w:t>
            </w:r>
            <w:r w:rsidR="001C208A" w:rsidRPr="00A23740">
              <w:rPr>
                <w:rFonts w:eastAsia="Times New Roman"/>
                <w:b/>
                <w:color w:val="0000FF"/>
                <w:szCs w:val="24"/>
                <w:lang w:eastAsia="tr-TR"/>
              </w:rPr>
              <w:t>Tasarrufun iptali davası hakkındaki</w:t>
            </w:r>
            <w:r w:rsidR="00B03168" w:rsidRPr="00A23740">
              <w:rPr>
                <w:rFonts w:eastAsia="Times New Roman"/>
                <w:b/>
                <w:color w:val="0000FF"/>
                <w:szCs w:val="24"/>
                <w:lang w:eastAsia="tr-TR"/>
              </w:rPr>
              <w:t xml:space="preserve"> </w:t>
            </w:r>
            <w:r w:rsidR="00B03168" w:rsidRPr="00CE4365">
              <w:rPr>
                <w:rStyle w:val="Balk1Char"/>
                <w:rFonts w:eastAsia="Calibri"/>
              </w:rPr>
              <w:t>442 nci</w:t>
            </w:r>
            <w:r w:rsidR="001C208A" w:rsidRPr="00A23740">
              <w:rPr>
                <w:rFonts w:eastAsia="Times New Roman"/>
                <w:b/>
                <w:color w:val="0000FF"/>
                <w:szCs w:val="24"/>
                <w:lang w:eastAsia="tr-TR"/>
              </w:rPr>
              <w:t xml:space="preserve"> </w:t>
            </w:r>
            <w:r w:rsidRPr="00A23740">
              <w:rPr>
                <w:b/>
                <w:bCs/>
                <w:color w:val="0000FF"/>
                <w:szCs w:val="24"/>
                <w:lang w:eastAsia="x-none"/>
              </w:rPr>
              <w:t>maddenin birinci fıkra</w:t>
            </w:r>
            <w:r w:rsidRPr="00A23740">
              <w:rPr>
                <w:rStyle w:val="MaviChar"/>
              </w:rPr>
              <w:t>sı</w:t>
            </w:r>
            <w:r w:rsidRPr="00A23740">
              <w:rPr>
                <w:b/>
                <w:bCs/>
                <w:color w:val="0000FF"/>
                <w:szCs w:val="24"/>
                <w:lang w:eastAsia="x-none"/>
              </w:rPr>
              <w:t>, geçici aciz belgesinin düzenlendiği h</w:t>
            </w:r>
            <w:r w:rsidR="001D7D44" w:rsidRPr="00A23740">
              <w:rPr>
                <w:b/>
                <w:bCs/>
                <w:color w:val="0000FF"/>
                <w:szCs w:val="24"/>
                <w:lang w:eastAsia="x-none"/>
              </w:rPr>
              <w:t>â</w:t>
            </w:r>
            <w:r w:rsidRPr="00A23740">
              <w:rPr>
                <w:b/>
                <w:bCs/>
                <w:color w:val="0000FF"/>
                <w:szCs w:val="24"/>
                <w:lang w:eastAsia="x-none"/>
              </w:rPr>
              <w:t>llerde de uygulanır.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(3) İcra </w:t>
            </w:r>
            <w:r w:rsidR="002B6E0A" w:rsidRPr="00CE4365">
              <w:rPr>
                <w:rStyle w:val="Balk1Char"/>
                <w:rFonts w:eastAsia="Calibri"/>
              </w:rPr>
              <w:t>ve iflas</w:t>
            </w:r>
            <w:r w:rsidR="002B6E0A" w:rsidRPr="00A23740">
              <w:rPr>
                <w:rFonts w:eastAsia="Times New Roman"/>
                <w:b/>
                <w:color w:val="385623"/>
                <w:szCs w:val="24"/>
                <w:lang w:eastAsia="tr-TR"/>
              </w:rPr>
              <w:t xml:space="preserve"> </w:t>
            </w:r>
            <w:r w:rsidRPr="00A23740">
              <w:rPr>
                <w:rStyle w:val="MaviChar"/>
              </w:rPr>
              <w:t>dairesinin</w:t>
            </w:r>
            <w:r w:rsidRPr="00A23740">
              <w:rPr>
                <w:rFonts w:eastAsia="Times New Roman"/>
                <w:b/>
                <w:color w:val="0000FF"/>
                <w:szCs w:val="24"/>
                <w:lang w:eastAsia="tr-TR"/>
              </w:rPr>
              <w:t xml:space="preserve"> kesin </w:t>
            </w:r>
            <w:r w:rsidRPr="00A23740">
              <w:rPr>
                <w:rStyle w:val="MaviChar"/>
              </w:rPr>
              <w:t>aciz belgesi hükmündeki belgeyi</w:t>
            </w:r>
            <w:r w:rsidRPr="00A23740">
              <w:rPr>
                <w:rStyle w:val="KIRMIZIChar"/>
                <w:rFonts w:eastAsia="Calibri"/>
                <w:strike w:val="0"/>
              </w:rPr>
              <w:t xml:space="preserve"> </w:t>
            </w:r>
            <w:r w:rsidRPr="00A23740">
              <w:rPr>
                <w:rFonts w:eastAsia="Times New Roman"/>
                <w:b/>
                <w:color w:val="0000FF"/>
                <w:szCs w:val="24"/>
                <w:lang w:eastAsia="tr-TR"/>
              </w:rPr>
              <w:t>veya geçici aciz belge</w:t>
            </w:r>
            <w:r w:rsidRPr="00A23740">
              <w:rPr>
                <w:rStyle w:val="MaviChar"/>
              </w:rPr>
              <w:t xml:space="preserve">sini </w:t>
            </w:r>
            <w:r w:rsidRPr="00A23740">
              <w:rPr>
                <w:rFonts w:eastAsia="Times New Roman"/>
                <w:b/>
                <w:color w:val="0000FF"/>
                <w:szCs w:val="24"/>
                <w:lang w:eastAsia="tr-TR"/>
              </w:rPr>
              <w:t>düzenlemeden önce yapacağı araştırma, borçlunun sicillere kaydedilmiş mallarının ve banka hesaplarında parasının bulunup bulunmadığını</w:t>
            </w:r>
            <w:r w:rsidRPr="00A23740">
              <w:rPr>
                <w:rStyle w:val="MaviChar"/>
              </w:rPr>
              <w:t>n</w:t>
            </w:r>
            <w:r w:rsidRPr="00A23740">
              <w:rPr>
                <w:rFonts w:eastAsia="Times New Roman"/>
                <w:b/>
                <w:color w:val="0000FF"/>
                <w:szCs w:val="24"/>
                <w:lang w:eastAsia="tr-TR"/>
              </w:rPr>
              <w:t xml:space="preserve"> ve ayrıca yerleşim yeri ile işyeri, icra ettiği meslek, ticari veya zirai faaliyet ve benzeri hususlar dikkate alınarak diğer mal, hak ve alacaklarının olup olmadığının</w:t>
            </w:r>
            <w:r w:rsidR="002B6E0A" w:rsidRPr="00A23740">
              <w:rPr>
                <w:rFonts w:eastAsia="Times New Roman"/>
                <w:b/>
                <w:color w:val="0000FF"/>
                <w:szCs w:val="24"/>
                <w:lang w:eastAsia="tr-TR"/>
              </w:rPr>
              <w:t xml:space="preserve"> </w:t>
            </w:r>
            <w:r w:rsidR="002B6E0A" w:rsidRPr="00CE4365">
              <w:rPr>
                <w:rStyle w:val="Balk1Char"/>
                <w:rFonts w:eastAsia="Calibri"/>
              </w:rPr>
              <w:t>tespitini içerir.</w:t>
            </w:r>
            <w:r w:rsidRPr="00A23740">
              <w:rPr>
                <w:rFonts w:eastAsia="Times New Roman"/>
                <w:b/>
                <w:color w:val="0000FF"/>
                <w:szCs w:val="24"/>
                <w:lang w:eastAsia="tr-TR"/>
              </w:rPr>
              <w:t xml:space="preserve"> İcra </w:t>
            </w:r>
            <w:r w:rsidRPr="00A23740">
              <w:rPr>
                <w:rStyle w:val="MaviChar"/>
              </w:rPr>
              <w:t>ve iflas dairesi,</w:t>
            </w:r>
            <w:r w:rsidRPr="00A23740">
              <w:rPr>
                <w:rFonts w:eastAsia="Times New Roman"/>
                <w:b/>
                <w:color w:val="0000FF"/>
                <w:szCs w:val="24"/>
                <w:lang w:eastAsia="tr-TR"/>
              </w:rPr>
              <w:t xml:space="preserve"> bu araştırmayı yaparken </w:t>
            </w:r>
            <w:r w:rsidR="001C208A" w:rsidRPr="00A23740">
              <w:rPr>
                <w:rFonts w:eastAsia="Times New Roman"/>
                <w:b/>
                <w:color w:val="0000FF"/>
                <w:szCs w:val="24"/>
                <w:lang w:eastAsia="tr-TR"/>
              </w:rPr>
              <w:t xml:space="preserve">haczedilemeyen mal, hak ve alacaklara ilişkin </w:t>
            </w:r>
            <w:r w:rsidR="001C208A" w:rsidRPr="00A23740">
              <w:rPr>
                <w:rStyle w:val="MaviChar"/>
              </w:rPr>
              <w:t>161</w:t>
            </w:r>
            <w:r w:rsidRPr="00A23740">
              <w:rPr>
                <w:rStyle w:val="MaviChar"/>
              </w:rPr>
              <w:t xml:space="preserve"> </w:t>
            </w:r>
            <w:r w:rsidR="001C208A" w:rsidRPr="00A23740">
              <w:rPr>
                <w:rStyle w:val="MaviChar"/>
                <w:lang w:val="tr-TR"/>
              </w:rPr>
              <w:t>inci</w:t>
            </w:r>
            <w:r w:rsidRPr="00A23740">
              <w:rPr>
                <w:rFonts w:eastAsia="Times New Roman"/>
                <w:b/>
                <w:color w:val="0000FF"/>
                <w:szCs w:val="24"/>
                <w:lang w:eastAsia="tr-TR"/>
              </w:rPr>
              <w:t xml:space="preserve"> maddenin üçüncü fıkrası hükmünü de dikkate alır.</w:t>
            </w:r>
          </w:p>
          <w:p w:rsidR="00AA5C8C" w:rsidRPr="00A23740" w:rsidRDefault="00AA5C8C" w:rsidP="009431FF">
            <w:pPr>
              <w:pStyle w:val="YEL"/>
              <w:rPr>
                <w:rFonts w:eastAsia="Times New Roman"/>
                <w:b w:val="0"/>
                <w:color w:val="FF0000"/>
                <w:lang w:eastAsia="tr-TR"/>
              </w:rPr>
            </w:pPr>
          </w:p>
        </w:tc>
      </w:tr>
      <w:tr w:rsidR="008D0CD0" w:rsidRPr="00A23740" w:rsidTr="009431FF">
        <w:tblPrEx>
          <w:tblLook w:val="01E0" w:firstRow="1" w:lastRow="1" w:firstColumn="1" w:lastColumn="1" w:noHBand="0" w:noVBand="0"/>
        </w:tblPrEx>
        <w:tc>
          <w:tcPr>
            <w:tcW w:w="5000" w:type="pct"/>
            <w:gridSpan w:val="2"/>
            <w:shd w:val="clear" w:color="auto" w:fill="DEEAF6"/>
          </w:tcPr>
          <w:p w:rsidR="008D0CD0" w:rsidRPr="00A23740" w:rsidRDefault="008D0CD0" w:rsidP="009431FF">
            <w:pPr>
              <w:tabs>
                <w:tab w:val="left" w:pos="567"/>
              </w:tabs>
              <w:ind w:firstLine="709"/>
              <w:rPr>
                <w:rFonts w:eastAsia="Times New Roman"/>
                <w:b/>
                <w:color w:val="0000FF"/>
                <w:szCs w:val="24"/>
                <w:lang w:eastAsia="tr-TR"/>
              </w:rPr>
            </w:pPr>
          </w:p>
          <w:p w:rsidR="002E6A7E" w:rsidRPr="00A23740" w:rsidRDefault="007C3593" w:rsidP="009431FF">
            <w:pPr>
              <w:tabs>
                <w:tab w:val="left" w:pos="567"/>
              </w:tabs>
              <w:ind w:firstLine="709"/>
              <w:rPr>
                <w:rFonts w:eastAsia="Times New Roman"/>
                <w:color w:val="000000"/>
              </w:rPr>
            </w:pPr>
            <w:r w:rsidRPr="00A23740">
              <w:rPr>
                <w:rFonts w:eastAsia="Times New Roman"/>
                <w:b/>
                <w:bCs/>
                <w:color w:val="000000"/>
              </w:rPr>
              <w:t xml:space="preserve">MADDE </w:t>
            </w:r>
            <w:r w:rsidR="0025794C" w:rsidRPr="00A23740">
              <w:rPr>
                <w:rFonts w:eastAsia="Times New Roman"/>
                <w:b/>
                <w:bCs/>
                <w:color w:val="000000"/>
              </w:rPr>
              <w:t>203</w:t>
            </w:r>
            <w:r w:rsidR="002E6A7E" w:rsidRPr="00A23740">
              <w:rPr>
                <w:rFonts w:eastAsia="Times New Roman"/>
                <w:b/>
                <w:bCs/>
                <w:color w:val="000000"/>
              </w:rPr>
              <w:t>-</w:t>
            </w:r>
            <w:r w:rsidR="008D0CD0" w:rsidRPr="00A23740">
              <w:rPr>
                <w:rFonts w:eastAsia="Times New Roman"/>
                <w:bCs/>
                <w:color w:val="000000"/>
              </w:rPr>
              <w:t xml:space="preserve"> Maddeyle</w:t>
            </w:r>
            <w:r w:rsidR="008D0CD0" w:rsidRPr="00A23740">
              <w:rPr>
                <w:rFonts w:eastAsia="Times New Roman"/>
                <w:color w:val="000000"/>
              </w:rPr>
              <w:t>, haciz sırasında düzenlenen aciz belgelerine ilişkin esaslar belirlenmektedir. Madde, 2004 sayılı Kanunun 105 inci</w:t>
            </w:r>
            <w:r w:rsidR="003444AA" w:rsidRPr="00A23740">
              <w:rPr>
                <w:rFonts w:eastAsia="Times New Roman"/>
                <w:color w:val="000000"/>
              </w:rPr>
              <w:t xml:space="preserve"> maddesine karşılık gelmekte olup, aciz belgelerinin düzenlenmesine ilişkin esaslar</w:t>
            </w:r>
            <w:r w:rsidR="002E6A7E" w:rsidRPr="00A23740">
              <w:rPr>
                <w:rFonts w:eastAsia="Times New Roman"/>
                <w:color w:val="000000"/>
              </w:rPr>
              <w:t>,</w:t>
            </w:r>
            <w:r w:rsidR="003444AA" w:rsidRPr="00A23740">
              <w:rPr>
                <w:rFonts w:eastAsia="Times New Roman"/>
                <w:color w:val="000000"/>
              </w:rPr>
              <w:t xml:space="preserve"> uygulamada ortaya çıkan sorunlara çözüm bulacak şek</w:t>
            </w:r>
            <w:r w:rsidR="002E6A7E" w:rsidRPr="00A23740">
              <w:rPr>
                <w:rFonts w:eastAsia="Times New Roman"/>
                <w:color w:val="000000"/>
              </w:rPr>
              <w:t>ilde yeniden düzenlenmektedir.</w:t>
            </w:r>
          </w:p>
          <w:p w:rsidR="003A6C5D" w:rsidRPr="00A23740" w:rsidRDefault="008D0CD0" w:rsidP="009431FF">
            <w:pPr>
              <w:tabs>
                <w:tab w:val="left" w:pos="567"/>
              </w:tabs>
              <w:ind w:firstLine="709"/>
              <w:rPr>
                <w:rFonts w:eastAsia="Times New Roman"/>
                <w:bCs/>
                <w:color w:val="000000"/>
              </w:rPr>
            </w:pPr>
            <w:r w:rsidRPr="00A23740">
              <w:rPr>
                <w:rFonts w:eastAsia="Times New Roman"/>
                <w:color w:val="000000"/>
              </w:rPr>
              <w:t xml:space="preserve">Birinci fıkrayla, </w:t>
            </w:r>
            <w:r w:rsidR="002E6A7E" w:rsidRPr="00A23740">
              <w:rPr>
                <w:rFonts w:eastAsia="Times New Roman"/>
                <w:color w:val="000000"/>
              </w:rPr>
              <w:t>icra</w:t>
            </w:r>
            <w:r w:rsidR="00B73523" w:rsidRPr="00A23740">
              <w:rPr>
                <w:b/>
                <w:color w:val="538135"/>
              </w:rPr>
              <w:t xml:space="preserve"> </w:t>
            </w:r>
            <w:r w:rsidR="00B73523" w:rsidRPr="00D60C1D">
              <w:rPr>
                <w:color w:val="000000"/>
              </w:rPr>
              <w:t>ve iflas</w:t>
            </w:r>
            <w:r w:rsidR="002E6A7E" w:rsidRPr="00A23740">
              <w:rPr>
                <w:rFonts w:eastAsia="Times New Roman"/>
                <w:color w:val="000000"/>
              </w:rPr>
              <w:t xml:space="preserve"> dairesinin, haciz sırasında yapılan araştırma sonucunda borçluya ait haczedilebilen bir mal, hak ve alacak bulunmadığını tespit etmesi h</w:t>
            </w:r>
            <w:r w:rsidR="00FC1E7A" w:rsidRPr="00A23740">
              <w:rPr>
                <w:rFonts w:eastAsia="Times New Roman"/>
                <w:color w:val="000000"/>
              </w:rPr>
              <w:t>â</w:t>
            </w:r>
            <w:r w:rsidR="002E6A7E" w:rsidRPr="00A23740">
              <w:rPr>
                <w:rFonts w:eastAsia="Times New Roman"/>
                <w:color w:val="000000"/>
              </w:rPr>
              <w:t xml:space="preserve">linde, </w:t>
            </w:r>
            <w:r w:rsidR="002E6A7E" w:rsidRPr="00A23740">
              <w:rPr>
                <w:rFonts w:eastAsia="Times New Roman"/>
                <w:bCs/>
                <w:color w:val="000000"/>
              </w:rPr>
              <w:t>Taslağın “Kesin aciz belgesinin düzenlenmesi” başlıklı</w:t>
            </w:r>
            <w:r w:rsidR="002E6A7E" w:rsidRPr="00A23740">
              <w:rPr>
                <w:rFonts w:eastAsia="Times New Roman"/>
                <w:color w:val="000000"/>
              </w:rPr>
              <w:t xml:space="preserve"> </w:t>
            </w:r>
            <w:r w:rsidR="00B03168" w:rsidRPr="00D60C1D">
              <w:rPr>
                <w:rStyle w:val="KonuBalChar"/>
                <w:rFonts w:eastAsia="Calibri"/>
                <w:b w:val="0"/>
                <w:color w:val="000000"/>
              </w:rPr>
              <w:t>262 inci</w:t>
            </w:r>
            <w:r w:rsidR="00B03168" w:rsidRPr="00A23740">
              <w:rPr>
                <w:rStyle w:val="MaviChar"/>
                <w:lang w:val="tr-TR"/>
              </w:rPr>
              <w:t xml:space="preserve"> </w:t>
            </w:r>
            <w:r w:rsidR="002E6A7E" w:rsidRPr="00A23740">
              <w:rPr>
                <w:rFonts w:eastAsia="Times New Roman"/>
                <w:color w:val="000000"/>
              </w:rPr>
              <w:t xml:space="preserve">maddesindeki sonuçları doğuran kesin aciz belgesi hükmünde bir belge düzenleyeceği hükme bağlanmaktadır. </w:t>
            </w:r>
            <w:r w:rsidR="0005445B" w:rsidRPr="00A23740">
              <w:rPr>
                <w:rFonts w:eastAsia="Times New Roman"/>
                <w:bCs/>
                <w:color w:val="000000"/>
              </w:rPr>
              <w:t>2004 sayılı Kanunun “Borç ödemeden aciz vesikası” başlıklı 105 inci maddesinin birinci fıkrasına göre</w:t>
            </w:r>
            <w:r w:rsidR="002E6A7E" w:rsidRPr="00A23740">
              <w:rPr>
                <w:rFonts w:eastAsia="Times New Roman"/>
                <w:bCs/>
                <w:color w:val="000000"/>
              </w:rPr>
              <w:t>,</w:t>
            </w:r>
            <w:r w:rsidR="0005445B" w:rsidRPr="00A23740">
              <w:rPr>
                <w:rFonts w:eastAsia="Times New Roman"/>
                <w:bCs/>
                <w:color w:val="000000"/>
              </w:rPr>
              <w:t xml:space="preserve"> haciz sırasında borçlunun haczedilebilir malı bulunmazsa</w:t>
            </w:r>
            <w:r w:rsidR="001C384F" w:rsidRPr="005C601A">
              <w:rPr>
                <w:rFonts w:eastAsia="Times New Roman"/>
                <w:color w:val="000000"/>
              </w:rPr>
              <w:t>,</w:t>
            </w:r>
            <w:r w:rsidR="0005445B" w:rsidRPr="00A23740">
              <w:rPr>
                <w:rFonts w:eastAsia="Times New Roman"/>
                <w:bCs/>
                <w:color w:val="000000"/>
              </w:rPr>
              <w:t xml:space="preserve"> bu durum </w:t>
            </w:r>
            <w:r w:rsidR="002E6A7E" w:rsidRPr="00A23740">
              <w:rPr>
                <w:rFonts w:eastAsia="Times New Roman"/>
                <w:bCs/>
                <w:color w:val="000000"/>
              </w:rPr>
              <w:t>haciz tutanağıyla tespit edilir. B</w:t>
            </w:r>
            <w:r w:rsidR="0005445B" w:rsidRPr="00A23740">
              <w:rPr>
                <w:rFonts w:eastAsia="Times New Roman"/>
                <w:bCs/>
                <w:color w:val="000000"/>
              </w:rPr>
              <w:t>orçlunun haczedilebilir malının bulunmadığını gösteren haciz tutanağı</w:t>
            </w:r>
            <w:r w:rsidR="002E6A7E" w:rsidRPr="00A23740">
              <w:rPr>
                <w:rFonts w:eastAsia="Times New Roman"/>
                <w:bCs/>
                <w:color w:val="000000"/>
              </w:rPr>
              <w:t>,</w:t>
            </w:r>
            <w:r w:rsidR="0005445B" w:rsidRPr="00A23740">
              <w:rPr>
                <w:rFonts w:eastAsia="Times New Roman"/>
                <w:bCs/>
                <w:color w:val="000000"/>
              </w:rPr>
              <w:t xml:space="preserve"> 2004 sayılı Kanunun 144 üncü maddesi anlamında kesin aciz belgesi niteliğindedir. Başka bir ifadeyle, borçlunun haczedilebilir malının bulunmadığına </w:t>
            </w:r>
            <w:r w:rsidR="00FC1E7A" w:rsidRPr="00D60C1D">
              <w:rPr>
                <w:rStyle w:val="Balk1Char"/>
                <w:rFonts w:eastAsia="Calibri"/>
                <w:b w:val="0"/>
                <w:color w:val="000000"/>
              </w:rPr>
              <w:t>ilişkin</w:t>
            </w:r>
            <w:r w:rsidR="00FC1E7A" w:rsidRPr="00A23740">
              <w:rPr>
                <w:rFonts w:eastAsia="Times New Roman"/>
                <w:bCs/>
                <w:color w:val="000000"/>
              </w:rPr>
              <w:t xml:space="preserve"> </w:t>
            </w:r>
            <w:r w:rsidR="0005445B" w:rsidRPr="00A23740">
              <w:rPr>
                <w:rFonts w:eastAsia="Times New Roman"/>
                <w:bCs/>
                <w:color w:val="000000"/>
              </w:rPr>
              <w:t>haciz tutanağı</w:t>
            </w:r>
            <w:r w:rsidR="002E6A7E" w:rsidRPr="00A23740">
              <w:rPr>
                <w:rFonts w:eastAsia="Times New Roman"/>
                <w:bCs/>
                <w:color w:val="000000"/>
              </w:rPr>
              <w:t>nın,</w:t>
            </w:r>
            <w:r w:rsidR="0005445B" w:rsidRPr="00A23740">
              <w:rPr>
                <w:rFonts w:eastAsia="Times New Roman"/>
                <w:bCs/>
                <w:color w:val="000000"/>
              </w:rPr>
              <w:t xml:space="preserve"> borç ödemeden aciz belgesi hükmünde</w:t>
            </w:r>
            <w:r w:rsidR="002E6A7E" w:rsidRPr="00A23740">
              <w:rPr>
                <w:rFonts w:eastAsia="Times New Roman"/>
                <w:bCs/>
                <w:color w:val="000000"/>
              </w:rPr>
              <w:t xml:space="preserve"> olduğu kabul edilmektedir. </w:t>
            </w:r>
            <w:r w:rsidR="004546EB" w:rsidRPr="00A23740">
              <w:rPr>
                <w:rFonts w:eastAsia="Times New Roman"/>
                <w:bCs/>
                <w:color w:val="000000"/>
              </w:rPr>
              <w:t>K</w:t>
            </w:r>
            <w:r w:rsidR="002E6A7E" w:rsidRPr="00A23740">
              <w:rPr>
                <w:rFonts w:eastAsia="Times New Roman"/>
                <w:bCs/>
                <w:color w:val="000000"/>
              </w:rPr>
              <w:t>esin aciz belgesi niteliğinde olan haciz tutanağı ile 2004 sayılı Kanunun 105 inci maddesinin ikinc</w:t>
            </w:r>
            <w:r w:rsidR="004546EB" w:rsidRPr="00A23740">
              <w:rPr>
                <w:rFonts w:eastAsia="Times New Roman"/>
                <w:bCs/>
                <w:color w:val="000000"/>
              </w:rPr>
              <w:t>i fıkrası uyarınca geçici aciz belgesi niteliğinde olan haciz tutanağı farklı hususları düzenlemektedir.</w:t>
            </w:r>
            <w:r w:rsidR="002E6A7E" w:rsidRPr="00A23740">
              <w:rPr>
                <w:rFonts w:eastAsia="Times New Roman"/>
                <w:bCs/>
                <w:color w:val="000000"/>
              </w:rPr>
              <w:t xml:space="preserve"> </w:t>
            </w:r>
            <w:r w:rsidR="0005445B" w:rsidRPr="00A23740">
              <w:rPr>
                <w:rFonts w:eastAsia="Times New Roman"/>
                <w:bCs/>
                <w:color w:val="000000"/>
              </w:rPr>
              <w:t>2004 sayılı K</w:t>
            </w:r>
            <w:r w:rsidR="00946946" w:rsidRPr="00A23740">
              <w:rPr>
                <w:rFonts w:eastAsia="Times New Roman"/>
                <w:bCs/>
                <w:color w:val="000000"/>
              </w:rPr>
              <w:t>anunun 105 inci maddesinin birinci fıkrasına</w:t>
            </w:r>
            <w:r w:rsidR="0005445B" w:rsidRPr="00A23740">
              <w:rPr>
                <w:rFonts w:eastAsia="Times New Roman"/>
                <w:bCs/>
                <w:color w:val="000000"/>
              </w:rPr>
              <w:t xml:space="preserve"> göre borçlunun haczi kabil “hiçbir malının” bulunmadığı tespit edilirs</w:t>
            </w:r>
            <w:r w:rsidR="0005445B" w:rsidRPr="005C601A">
              <w:rPr>
                <w:rFonts w:eastAsia="Times New Roman"/>
                <w:bCs/>
                <w:color w:val="000000"/>
              </w:rPr>
              <w:t>e</w:t>
            </w:r>
            <w:r w:rsidR="00FC1E7A" w:rsidRPr="005C601A">
              <w:rPr>
                <w:rFonts w:eastAsia="Times New Roman"/>
                <w:color w:val="000000"/>
              </w:rPr>
              <w:t>,</w:t>
            </w:r>
            <w:r w:rsidR="0005445B" w:rsidRPr="00A23740">
              <w:rPr>
                <w:rFonts w:eastAsia="Times New Roman"/>
                <w:bCs/>
                <w:color w:val="000000"/>
              </w:rPr>
              <w:t xml:space="preserve"> </w:t>
            </w:r>
            <w:r w:rsidR="002E6A7E" w:rsidRPr="00A23740">
              <w:rPr>
                <w:rFonts w:eastAsia="Times New Roman"/>
                <w:bCs/>
                <w:color w:val="000000"/>
              </w:rPr>
              <w:t xml:space="preserve">haciz tutanağı </w:t>
            </w:r>
            <w:r w:rsidR="00946946" w:rsidRPr="00A23740">
              <w:rPr>
                <w:rFonts w:eastAsia="Times New Roman"/>
                <w:bCs/>
                <w:color w:val="000000"/>
              </w:rPr>
              <w:t>kesin aciz belgesi hükmünde</w:t>
            </w:r>
            <w:r w:rsidR="00FC1E7A" w:rsidRPr="00A23740">
              <w:rPr>
                <w:rFonts w:eastAsia="Times New Roman"/>
                <w:bCs/>
                <w:color w:val="000000"/>
              </w:rPr>
              <w:t xml:space="preserve"> </w:t>
            </w:r>
            <w:r w:rsidR="00FC1E7A" w:rsidRPr="00D60C1D">
              <w:rPr>
                <w:rStyle w:val="Balk1Char"/>
                <w:rFonts w:eastAsia="Calibri"/>
                <w:b w:val="0"/>
                <w:color w:val="000000"/>
              </w:rPr>
              <w:t>olur;</w:t>
            </w:r>
            <w:r w:rsidR="00946946" w:rsidRPr="00A23740">
              <w:rPr>
                <w:rFonts w:eastAsia="Times New Roman"/>
                <w:bCs/>
                <w:color w:val="000000"/>
              </w:rPr>
              <w:t xml:space="preserve"> buna karşılık 105 inci maddesinin ikinci fıkrasına göre boçlunun haczedilen mallarının kıymetine göre “borcu ödemeye yetmeyeceği”ni tespit eden haciz tutanağı ise geçici aciz belgesi </w:t>
            </w:r>
            <w:r w:rsidR="00767596" w:rsidRPr="00A23740">
              <w:rPr>
                <w:rFonts w:eastAsia="Times New Roman"/>
                <w:bCs/>
                <w:color w:val="000000"/>
              </w:rPr>
              <w:t>niteliğindedir</w:t>
            </w:r>
            <w:r w:rsidR="00946946" w:rsidRPr="00A23740">
              <w:rPr>
                <w:rFonts w:eastAsia="Times New Roman"/>
                <w:bCs/>
                <w:color w:val="000000"/>
              </w:rPr>
              <w:t xml:space="preserve">. </w:t>
            </w:r>
            <w:r w:rsidR="00767596" w:rsidRPr="00A23740">
              <w:rPr>
                <w:rFonts w:eastAsia="Times New Roman"/>
                <w:bCs/>
                <w:color w:val="000000"/>
              </w:rPr>
              <w:t xml:space="preserve">Geçici aciz belgesi, </w:t>
            </w:r>
            <w:r w:rsidR="00946946" w:rsidRPr="00A23740">
              <w:rPr>
                <w:rFonts w:eastAsia="Times New Roman"/>
                <w:bCs/>
                <w:color w:val="000000"/>
              </w:rPr>
              <w:t>kesin aciz belgesi niteliğinde olmayıp sadece iptal davasının a</w:t>
            </w:r>
            <w:r w:rsidR="00767596" w:rsidRPr="00A23740">
              <w:rPr>
                <w:rFonts w:eastAsia="Times New Roman"/>
                <w:bCs/>
                <w:color w:val="000000"/>
              </w:rPr>
              <w:t>çılması bakımından hak ver</w:t>
            </w:r>
            <w:r w:rsidR="00946946" w:rsidRPr="00A23740">
              <w:rPr>
                <w:rFonts w:eastAsia="Times New Roman"/>
                <w:bCs/>
                <w:color w:val="000000"/>
              </w:rPr>
              <w:t>ir.</w:t>
            </w:r>
            <w:r w:rsidR="003444AA" w:rsidRPr="00A23740">
              <w:rPr>
                <w:rFonts w:eastAsia="Times New Roman"/>
                <w:bCs/>
                <w:color w:val="000000"/>
              </w:rPr>
              <w:t xml:space="preserve"> 2004 sayılı</w:t>
            </w:r>
            <w:r w:rsidR="00FC1E7A" w:rsidRPr="00A23740">
              <w:rPr>
                <w:rFonts w:eastAsia="Times New Roman"/>
                <w:bCs/>
                <w:color w:val="000000"/>
              </w:rPr>
              <w:t xml:space="preserve"> </w:t>
            </w:r>
            <w:r w:rsidR="00FC1E7A" w:rsidRPr="00D60C1D">
              <w:rPr>
                <w:rStyle w:val="Balk1Char"/>
                <w:rFonts w:eastAsia="Calibri"/>
                <w:b w:val="0"/>
                <w:color w:val="000000"/>
              </w:rPr>
              <w:t>Kanunda</w:t>
            </w:r>
            <w:r w:rsidR="003444AA" w:rsidRPr="00A23740">
              <w:rPr>
                <w:rFonts w:eastAsia="Times New Roman"/>
                <w:bCs/>
                <w:color w:val="000000"/>
              </w:rPr>
              <w:t xml:space="preserve"> kabul edilen bu prensipler bu maddede düzenlenen aciz belgeleri bakımından da korunmaktadır. Öte yandan 2004 sayılı</w:t>
            </w:r>
            <w:r w:rsidR="00FC1E7A" w:rsidRPr="00A23740">
              <w:rPr>
                <w:rFonts w:eastAsia="Times New Roman"/>
                <w:bCs/>
                <w:color w:val="000000"/>
              </w:rPr>
              <w:t xml:space="preserve"> </w:t>
            </w:r>
            <w:r w:rsidR="00FC1E7A" w:rsidRPr="00D60C1D">
              <w:rPr>
                <w:rStyle w:val="Balk1Char"/>
                <w:rFonts w:eastAsia="Calibri"/>
                <w:b w:val="0"/>
                <w:color w:val="000000"/>
              </w:rPr>
              <w:t>Kanunda</w:t>
            </w:r>
            <w:r w:rsidR="003444AA" w:rsidRPr="00A23740">
              <w:rPr>
                <w:rFonts w:eastAsia="Times New Roman"/>
                <w:bCs/>
                <w:color w:val="000000"/>
              </w:rPr>
              <w:t xml:space="preserve"> borçlunun haczi kabil mallarının bulunmaması h</w:t>
            </w:r>
            <w:r w:rsidR="00FC1E7A" w:rsidRPr="00A23740">
              <w:rPr>
                <w:rFonts w:eastAsia="Times New Roman"/>
                <w:bCs/>
                <w:color w:val="000000"/>
              </w:rPr>
              <w:t>â</w:t>
            </w:r>
            <w:r w:rsidR="003444AA" w:rsidRPr="00A23740">
              <w:rPr>
                <w:rFonts w:eastAsia="Times New Roman"/>
                <w:bCs/>
                <w:color w:val="000000"/>
              </w:rPr>
              <w:t xml:space="preserve">linin tespiti noktasında belirlilik </w:t>
            </w:r>
            <w:r w:rsidR="00221B5E" w:rsidRPr="00A23740">
              <w:rPr>
                <w:rFonts w:eastAsia="Times New Roman"/>
                <w:bCs/>
                <w:color w:val="000000"/>
              </w:rPr>
              <w:t xml:space="preserve">olmaması </w:t>
            </w:r>
            <w:r w:rsidR="003444AA" w:rsidRPr="00A23740">
              <w:rPr>
                <w:rFonts w:eastAsia="Times New Roman"/>
                <w:bCs/>
                <w:color w:val="000000"/>
              </w:rPr>
              <w:t>nedeniyle bu durumun uygulama farklılıklarına neden olduğu Bilim Komisyonunca tespit edilerek</w:t>
            </w:r>
            <w:r w:rsidR="007A54B7" w:rsidRPr="00A23740">
              <w:rPr>
                <w:rFonts w:eastAsia="Times New Roman"/>
                <w:bCs/>
                <w:color w:val="000000"/>
              </w:rPr>
              <w:t>,</w:t>
            </w:r>
            <w:r w:rsidR="003444AA" w:rsidRPr="00A23740">
              <w:rPr>
                <w:rFonts w:eastAsia="Times New Roman"/>
                <w:bCs/>
                <w:color w:val="000000"/>
              </w:rPr>
              <w:t xml:space="preserve"> fıkraya icra </w:t>
            </w:r>
            <w:r w:rsidR="00FC1E7A" w:rsidRPr="00D60C1D">
              <w:rPr>
                <w:rStyle w:val="Balk1Char"/>
                <w:rFonts w:eastAsia="Calibri"/>
                <w:b w:val="0"/>
                <w:color w:val="000000"/>
              </w:rPr>
              <w:t>ve iflas</w:t>
            </w:r>
            <w:r w:rsidR="00FC1E7A" w:rsidRPr="00A23740">
              <w:rPr>
                <w:rFonts w:eastAsia="Times New Roman"/>
                <w:bCs/>
                <w:color w:val="000000"/>
              </w:rPr>
              <w:t xml:space="preserve"> </w:t>
            </w:r>
            <w:r w:rsidR="003444AA" w:rsidRPr="00A23740">
              <w:rPr>
                <w:rFonts w:eastAsia="Times New Roman"/>
                <w:bCs/>
                <w:color w:val="000000"/>
              </w:rPr>
              <w:t>dairesinin üçüncü fıkrada belirtilen esaslara göre araştırma yapacağı açık bir şekilde eklenmektedir.</w:t>
            </w:r>
          </w:p>
          <w:p w:rsidR="003A6C5D" w:rsidRPr="00A23740" w:rsidRDefault="000547C7" w:rsidP="009431FF">
            <w:pPr>
              <w:tabs>
                <w:tab w:val="left" w:pos="567"/>
              </w:tabs>
              <w:ind w:firstLine="709"/>
              <w:rPr>
                <w:rFonts w:eastAsia="Times New Roman"/>
                <w:bCs/>
                <w:color w:val="000000"/>
                <w:szCs w:val="24"/>
                <w:lang w:val="x-none" w:eastAsia="x-none"/>
              </w:rPr>
            </w:pPr>
            <w:r w:rsidRPr="00A23740">
              <w:rPr>
                <w:rFonts w:eastAsia="Times New Roman"/>
                <w:bCs/>
                <w:color w:val="000000"/>
              </w:rPr>
              <w:t xml:space="preserve">İkinci fıkrayla, </w:t>
            </w:r>
            <w:r w:rsidR="002E6A7E" w:rsidRPr="00A23740">
              <w:rPr>
                <w:rFonts w:eastAsia="Times New Roman"/>
                <w:bCs/>
                <w:color w:val="000000"/>
                <w:szCs w:val="24"/>
                <w:lang w:val="x-none" w:eastAsia="x-none"/>
              </w:rPr>
              <w:t>i</w:t>
            </w:r>
            <w:r w:rsidRPr="00A23740">
              <w:rPr>
                <w:rFonts w:eastAsia="Times New Roman"/>
                <w:bCs/>
                <w:color w:val="000000"/>
                <w:szCs w:val="24"/>
                <w:lang w:val="x-none" w:eastAsia="x-none"/>
              </w:rPr>
              <w:t xml:space="preserve">cra </w:t>
            </w:r>
            <w:r w:rsidR="00FC1E7A" w:rsidRPr="00D60C1D">
              <w:rPr>
                <w:rStyle w:val="Balk1Char"/>
                <w:rFonts w:eastAsia="Calibri"/>
                <w:b w:val="0"/>
                <w:color w:val="000000"/>
              </w:rPr>
              <w:t>ve iflas</w:t>
            </w:r>
            <w:r w:rsidR="00FC1E7A" w:rsidRPr="00A23740">
              <w:rPr>
                <w:rFonts w:eastAsia="Times New Roman"/>
                <w:bCs/>
                <w:color w:val="000000"/>
                <w:szCs w:val="24"/>
                <w:lang w:eastAsia="x-none"/>
              </w:rPr>
              <w:t xml:space="preserve"> </w:t>
            </w:r>
            <w:r w:rsidRPr="00A23740">
              <w:rPr>
                <w:rFonts w:eastAsia="Times New Roman"/>
                <w:bCs/>
                <w:color w:val="000000"/>
                <w:szCs w:val="24"/>
                <w:lang w:val="x-none" w:eastAsia="x-none"/>
              </w:rPr>
              <w:t>dairesinin,</w:t>
            </w:r>
            <w:r w:rsidR="002E6A7E" w:rsidRPr="00A23740">
              <w:rPr>
                <w:rFonts w:eastAsia="Times New Roman"/>
                <w:bCs/>
                <w:color w:val="000000"/>
                <w:szCs w:val="24"/>
                <w:lang w:val="x-none" w:eastAsia="x-none"/>
              </w:rPr>
              <w:t xml:space="preserve"> borçlunun haczi kabil mallarının takdir edilen kıymetinin borcu karşı</w:t>
            </w:r>
            <w:r w:rsidRPr="00A23740">
              <w:rPr>
                <w:rFonts w:eastAsia="Times New Roman"/>
                <w:bCs/>
                <w:color w:val="000000"/>
                <w:szCs w:val="24"/>
                <w:lang w:val="x-none" w:eastAsia="x-none"/>
              </w:rPr>
              <w:t>lamaya yetmediğini tespit etmesi h</w:t>
            </w:r>
            <w:r w:rsidR="00FC1E7A" w:rsidRPr="00A23740">
              <w:rPr>
                <w:rFonts w:eastAsia="Times New Roman"/>
                <w:bCs/>
                <w:color w:val="000000"/>
                <w:szCs w:val="24"/>
                <w:lang w:eastAsia="x-none"/>
              </w:rPr>
              <w:t>â</w:t>
            </w:r>
            <w:r w:rsidRPr="00A23740">
              <w:rPr>
                <w:rFonts w:eastAsia="Times New Roman"/>
                <w:bCs/>
                <w:color w:val="000000"/>
                <w:szCs w:val="24"/>
                <w:lang w:val="x-none" w:eastAsia="x-none"/>
              </w:rPr>
              <w:t>linde</w:t>
            </w:r>
            <w:r w:rsidR="002E6A7E" w:rsidRPr="00A23740">
              <w:rPr>
                <w:rFonts w:eastAsia="Times New Roman"/>
                <w:bCs/>
                <w:color w:val="000000"/>
                <w:szCs w:val="24"/>
                <w:lang w:val="x-none" w:eastAsia="x-none"/>
              </w:rPr>
              <w:t>, alacaklının talebi üzeri</w:t>
            </w:r>
            <w:r w:rsidRPr="00A23740">
              <w:rPr>
                <w:rFonts w:eastAsia="Times New Roman"/>
                <w:bCs/>
                <w:color w:val="000000"/>
                <w:szCs w:val="24"/>
                <w:lang w:val="x-none" w:eastAsia="x-none"/>
              </w:rPr>
              <w:t>ne, geçici aciz belgesi düzenleyeceği hükme bağlanmaktadır</w:t>
            </w:r>
            <w:r w:rsidR="002E6A7E" w:rsidRPr="00A23740">
              <w:rPr>
                <w:rFonts w:eastAsia="Times New Roman"/>
                <w:bCs/>
                <w:color w:val="000000"/>
                <w:szCs w:val="24"/>
                <w:lang w:val="x-none" w:eastAsia="x-none"/>
              </w:rPr>
              <w:t xml:space="preserve">. </w:t>
            </w:r>
            <w:r w:rsidR="008B56B0" w:rsidRPr="00A23740">
              <w:rPr>
                <w:rFonts w:eastAsia="Times New Roman"/>
                <w:bCs/>
                <w:color w:val="000000"/>
              </w:rPr>
              <w:t xml:space="preserve">Haciz tutanağının geçici aciz belgesi niteliği </w:t>
            </w:r>
            <w:r w:rsidRPr="00A23740">
              <w:rPr>
                <w:rFonts w:eastAsia="Times New Roman"/>
                <w:bCs/>
                <w:color w:val="000000"/>
              </w:rPr>
              <w:t>taşıyabilmesi için</w:t>
            </w:r>
            <w:r w:rsidR="008B56B0" w:rsidRPr="00A23740">
              <w:rPr>
                <w:rFonts w:eastAsia="Times New Roman"/>
                <w:bCs/>
                <w:color w:val="000000"/>
              </w:rPr>
              <w:t xml:space="preserve"> </w:t>
            </w:r>
            <w:r w:rsidRPr="00A23740">
              <w:rPr>
                <w:rFonts w:eastAsia="Times New Roman"/>
                <w:bCs/>
                <w:color w:val="000000"/>
              </w:rPr>
              <w:t xml:space="preserve">bu tutanağın </w:t>
            </w:r>
            <w:r w:rsidR="008B56B0" w:rsidRPr="00A23740">
              <w:rPr>
                <w:rFonts w:eastAsia="Times New Roman"/>
                <w:bCs/>
                <w:color w:val="000000"/>
              </w:rPr>
              <w:t xml:space="preserve">kesin hacze ilişkin olması, yapılan haciz anında malın </w:t>
            </w:r>
            <w:r w:rsidR="00FA2DEC" w:rsidRPr="00A23740">
              <w:rPr>
                <w:rFonts w:eastAsia="Times New Roman"/>
                <w:bCs/>
                <w:color w:val="000000"/>
              </w:rPr>
              <w:t xml:space="preserve">takdir edilen </w:t>
            </w:r>
            <w:r w:rsidR="008B56B0" w:rsidRPr="00A23740">
              <w:rPr>
                <w:rFonts w:eastAsia="Times New Roman"/>
                <w:bCs/>
                <w:color w:val="000000"/>
              </w:rPr>
              <w:t>kıymetinin alacağı karşılamaması ve kıymet takdi</w:t>
            </w:r>
            <w:r w:rsidR="00FA2DEC" w:rsidRPr="00A23740">
              <w:rPr>
                <w:rFonts w:eastAsia="Times New Roman"/>
                <w:bCs/>
                <w:color w:val="000000"/>
              </w:rPr>
              <w:t>rinin kesinleşmiş olması gerekmektedir</w:t>
            </w:r>
            <w:r w:rsidR="008B56B0" w:rsidRPr="00A23740">
              <w:rPr>
                <w:rFonts w:eastAsia="Times New Roman"/>
                <w:bCs/>
                <w:color w:val="000000"/>
              </w:rPr>
              <w:t>. Geçici aciz belgesi, alacaklıya</w:t>
            </w:r>
            <w:r w:rsidR="008D0CD0" w:rsidRPr="00A23740">
              <w:rPr>
                <w:rFonts w:eastAsia="Times New Roman"/>
                <w:bCs/>
                <w:color w:val="000000"/>
                <w:szCs w:val="24"/>
                <w:lang w:val="x-none" w:eastAsia="x-none"/>
              </w:rPr>
              <w:t xml:space="preserve"> </w:t>
            </w:r>
            <w:r w:rsidR="008D0CD0" w:rsidRPr="00A23740">
              <w:rPr>
                <w:rFonts w:eastAsia="Times New Roman"/>
                <w:bCs/>
                <w:color w:val="000000"/>
                <w:szCs w:val="24"/>
                <w:lang w:eastAsia="x-none"/>
              </w:rPr>
              <w:t xml:space="preserve">Taslağın “İptal davasının amacı ve konusu” başlıklı </w:t>
            </w:r>
            <w:r w:rsidR="00B03168" w:rsidRPr="00D60C1D">
              <w:rPr>
                <w:rStyle w:val="KonuBalChar"/>
                <w:rFonts w:eastAsia="Calibri"/>
                <w:b w:val="0"/>
                <w:color w:val="000000"/>
              </w:rPr>
              <w:t>442 nci</w:t>
            </w:r>
            <w:r w:rsidR="00B03168" w:rsidRPr="00A23740">
              <w:rPr>
                <w:rFonts w:eastAsia="Times New Roman"/>
                <w:b/>
                <w:color w:val="0000FF"/>
                <w:szCs w:val="24"/>
                <w:lang w:eastAsia="tr-TR"/>
              </w:rPr>
              <w:t xml:space="preserve"> </w:t>
            </w:r>
            <w:r w:rsidR="008D0CD0" w:rsidRPr="00A23740">
              <w:rPr>
                <w:rFonts w:eastAsia="Times New Roman"/>
                <w:bCs/>
                <w:color w:val="000000"/>
                <w:szCs w:val="24"/>
                <w:lang w:val="x-none" w:eastAsia="x-none"/>
              </w:rPr>
              <w:t xml:space="preserve"> madde</w:t>
            </w:r>
            <w:r w:rsidR="008D0CD0" w:rsidRPr="00A23740">
              <w:rPr>
                <w:rFonts w:eastAsia="Times New Roman"/>
                <w:bCs/>
                <w:color w:val="000000"/>
                <w:szCs w:val="24"/>
                <w:lang w:eastAsia="x-none"/>
              </w:rPr>
              <w:t>si</w:t>
            </w:r>
            <w:r w:rsidR="008D0CD0" w:rsidRPr="00A23740">
              <w:rPr>
                <w:rFonts w:eastAsia="Times New Roman"/>
                <w:bCs/>
                <w:color w:val="000000"/>
                <w:szCs w:val="24"/>
                <w:lang w:val="x-none" w:eastAsia="x-none"/>
              </w:rPr>
              <w:t>nin birinci fıkra</w:t>
            </w:r>
            <w:r w:rsidR="008D0CD0" w:rsidRPr="00A23740">
              <w:rPr>
                <w:rFonts w:eastAsia="Times New Roman"/>
                <w:color w:val="000000"/>
              </w:rPr>
              <w:t>sı</w:t>
            </w:r>
            <w:r w:rsidR="008B56B0" w:rsidRPr="00A23740">
              <w:rPr>
                <w:rFonts w:eastAsia="Times New Roman"/>
                <w:bCs/>
                <w:color w:val="000000"/>
                <w:szCs w:val="24"/>
                <w:lang w:val="x-none" w:eastAsia="x-none"/>
              </w:rPr>
              <w:t xml:space="preserve"> uyarınca iptal</w:t>
            </w:r>
            <w:r w:rsidR="00FC1E7A" w:rsidRPr="00A23740">
              <w:rPr>
                <w:rFonts w:eastAsia="Times New Roman"/>
                <w:bCs/>
                <w:color w:val="000000"/>
                <w:szCs w:val="24"/>
                <w:lang w:eastAsia="x-none"/>
              </w:rPr>
              <w:t xml:space="preserve"> </w:t>
            </w:r>
            <w:r w:rsidR="00FC1E7A" w:rsidRPr="00D60C1D">
              <w:rPr>
                <w:rStyle w:val="Balk1Char"/>
                <w:rFonts w:eastAsia="Calibri"/>
                <w:b w:val="0"/>
                <w:color w:val="000000"/>
              </w:rPr>
              <w:t>davası</w:t>
            </w:r>
            <w:r w:rsidR="008B56B0" w:rsidRPr="00A23740">
              <w:rPr>
                <w:rFonts w:eastAsia="Times New Roman"/>
                <w:bCs/>
                <w:color w:val="000000"/>
                <w:szCs w:val="24"/>
                <w:lang w:val="x-none" w:eastAsia="x-none"/>
              </w:rPr>
              <w:t xml:space="preserve"> açma hakkı</w:t>
            </w:r>
            <w:r w:rsidR="008B56B0" w:rsidRPr="00A23740">
              <w:rPr>
                <w:rFonts w:eastAsia="Times New Roman"/>
                <w:bCs/>
                <w:color w:val="000000"/>
                <w:szCs w:val="24"/>
                <w:lang w:eastAsia="x-none"/>
              </w:rPr>
              <w:t xml:space="preserve"> verir</w:t>
            </w:r>
            <w:r w:rsidR="008D0CD0" w:rsidRPr="00A23740">
              <w:rPr>
                <w:rFonts w:eastAsia="Times New Roman"/>
                <w:bCs/>
                <w:color w:val="000000"/>
                <w:szCs w:val="24"/>
                <w:lang w:val="x-none" w:eastAsia="x-none"/>
              </w:rPr>
              <w:t>.</w:t>
            </w:r>
            <w:r w:rsidR="00FC1E7A" w:rsidRPr="00A23740">
              <w:rPr>
                <w:rFonts w:eastAsia="Times New Roman"/>
                <w:bCs/>
                <w:color w:val="000000"/>
                <w:szCs w:val="24"/>
                <w:lang w:eastAsia="x-none"/>
              </w:rPr>
              <w:t xml:space="preserve"> </w:t>
            </w:r>
            <w:r w:rsidR="007A54B7" w:rsidRPr="00A23740">
              <w:rPr>
                <w:rFonts w:eastAsia="Times New Roman"/>
                <w:bCs/>
                <w:color w:val="000000"/>
                <w:szCs w:val="24"/>
                <w:lang w:eastAsia="x-none"/>
              </w:rPr>
              <w:t xml:space="preserve">Bu </w:t>
            </w:r>
            <w:r w:rsidR="007A54B7" w:rsidRPr="00D60C1D">
              <w:rPr>
                <w:rStyle w:val="Balk1Char"/>
                <w:rFonts w:eastAsia="Calibri"/>
                <w:b w:val="0"/>
                <w:color w:val="000000"/>
              </w:rPr>
              <w:t>h</w:t>
            </w:r>
            <w:r w:rsidR="00FC1E7A" w:rsidRPr="00D60C1D">
              <w:rPr>
                <w:rStyle w:val="Balk1Char"/>
                <w:rFonts w:eastAsia="Calibri"/>
                <w:b w:val="0"/>
                <w:color w:val="000000"/>
              </w:rPr>
              <w:t>aciz</w:t>
            </w:r>
            <w:r w:rsidR="003A6C5D" w:rsidRPr="00A23740">
              <w:rPr>
                <w:rFonts w:eastAsia="Times New Roman"/>
                <w:bCs/>
                <w:color w:val="000000"/>
                <w:szCs w:val="24"/>
                <w:lang w:eastAsia="x-none"/>
              </w:rPr>
              <w:t xml:space="preserve"> </w:t>
            </w:r>
            <w:r w:rsidR="003A6C5D" w:rsidRPr="00A23740">
              <w:rPr>
                <w:rFonts w:eastAsia="Times New Roman"/>
                <w:bCs/>
                <w:color w:val="000000"/>
              </w:rPr>
              <w:t xml:space="preserve">tutanağına </w:t>
            </w:r>
            <w:r w:rsidR="007A54B7" w:rsidRPr="00A23740">
              <w:rPr>
                <w:rFonts w:eastAsia="Times New Roman"/>
                <w:bCs/>
                <w:color w:val="000000"/>
              </w:rPr>
              <w:t>“</w:t>
            </w:r>
            <w:r w:rsidR="003A6C5D" w:rsidRPr="00A23740">
              <w:rPr>
                <w:rFonts w:eastAsia="Times New Roman"/>
                <w:bCs/>
                <w:color w:val="000000"/>
              </w:rPr>
              <w:t>geçici</w:t>
            </w:r>
            <w:r w:rsidR="007A54B7" w:rsidRPr="00A23740">
              <w:rPr>
                <w:rFonts w:eastAsia="Times New Roman"/>
                <w:bCs/>
                <w:color w:val="000000"/>
              </w:rPr>
              <w:t>”</w:t>
            </w:r>
            <w:r w:rsidR="003A6C5D" w:rsidRPr="00A23740">
              <w:rPr>
                <w:rFonts w:eastAsia="Times New Roman"/>
                <w:bCs/>
                <w:color w:val="000000"/>
              </w:rPr>
              <w:t xml:space="preserve"> aciz belgesi </w:t>
            </w:r>
            <w:r w:rsidR="007A54B7" w:rsidRPr="00A23740">
              <w:rPr>
                <w:rFonts w:eastAsia="Times New Roman"/>
                <w:bCs/>
                <w:color w:val="000000"/>
              </w:rPr>
              <w:t xml:space="preserve">olarak kabul edilmesinin </w:t>
            </w:r>
            <w:r w:rsidR="003A6C5D" w:rsidRPr="00A23740">
              <w:rPr>
                <w:rFonts w:eastAsia="Times New Roman"/>
                <w:bCs/>
                <w:color w:val="000000"/>
              </w:rPr>
              <w:t xml:space="preserve">nedeni, </w:t>
            </w:r>
            <w:r w:rsidR="00FC1E7A" w:rsidRPr="00D60C1D">
              <w:rPr>
                <w:rStyle w:val="Balk1Char"/>
                <w:rFonts w:eastAsia="Calibri"/>
                <w:b w:val="0"/>
                <w:color w:val="000000"/>
              </w:rPr>
              <w:t>haczedilen</w:t>
            </w:r>
            <w:r w:rsidR="00FC1E7A" w:rsidRPr="00A23740">
              <w:rPr>
                <w:rFonts w:eastAsia="Times New Roman"/>
                <w:bCs/>
                <w:color w:val="000000"/>
              </w:rPr>
              <w:t xml:space="preserve"> </w:t>
            </w:r>
            <w:r w:rsidR="003A6C5D" w:rsidRPr="00A23740">
              <w:rPr>
                <w:rFonts w:eastAsia="Times New Roman"/>
                <w:bCs/>
                <w:color w:val="000000"/>
              </w:rPr>
              <w:t xml:space="preserve">malların satışı sırasında haciz anında tahmin edilen kıymetinin çok üstünde bir değere ulaşarak alacağı karşılama ihtimalinin mevcut olmasıdır. Bu nedenle </w:t>
            </w:r>
            <w:r w:rsidR="007A54B7" w:rsidRPr="00A23740">
              <w:rPr>
                <w:rFonts w:eastAsia="Times New Roman"/>
                <w:bCs/>
                <w:color w:val="000000"/>
              </w:rPr>
              <w:t xml:space="preserve">haczedilen malın </w:t>
            </w:r>
            <w:r w:rsidR="003A6C5D" w:rsidRPr="00A23740">
              <w:rPr>
                <w:rFonts w:eastAsia="Times New Roman"/>
                <w:bCs/>
                <w:color w:val="000000"/>
              </w:rPr>
              <w:t xml:space="preserve">paraya </w:t>
            </w:r>
            <w:r w:rsidR="007A54B7" w:rsidRPr="00A23740">
              <w:rPr>
                <w:rFonts w:eastAsia="Times New Roman"/>
                <w:bCs/>
                <w:color w:val="000000"/>
              </w:rPr>
              <w:t xml:space="preserve">çevirme işlemi yapılmadan </w:t>
            </w:r>
            <w:r w:rsidR="003A6C5D" w:rsidRPr="00A23740">
              <w:rPr>
                <w:rFonts w:eastAsia="Times New Roman"/>
                <w:bCs/>
                <w:color w:val="000000"/>
              </w:rPr>
              <w:t>önce</w:t>
            </w:r>
            <w:r w:rsidR="00FA2DEC" w:rsidRPr="00A23740">
              <w:rPr>
                <w:rFonts w:eastAsia="Times New Roman"/>
                <w:bCs/>
                <w:color w:val="000000"/>
              </w:rPr>
              <w:t xml:space="preserve"> alacağı</w:t>
            </w:r>
            <w:r w:rsidR="003A6C5D" w:rsidRPr="00A23740">
              <w:rPr>
                <w:rFonts w:eastAsia="Times New Roman"/>
                <w:bCs/>
                <w:color w:val="000000"/>
              </w:rPr>
              <w:t xml:space="preserve"> </w:t>
            </w:r>
            <w:r w:rsidR="00FA2DEC" w:rsidRPr="00A23740">
              <w:rPr>
                <w:rFonts w:eastAsia="Times New Roman"/>
                <w:bCs/>
                <w:color w:val="000000"/>
              </w:rPr>
              <w:t>karşılayıp karşılamayacağı</w:t>
            </w:r>
            <w:r w:rsidR="003A6C5D" w:rsidRPr="00A23740">
              <w:rPr>
                <w:rFonts w:eastAsia="Times New Roman"/>
                <w:bCs/>
                <w:color w:val="000000"/>
              </w:rPr>
              <w:t xml:space="preserve"> belli olmadığı</w:t>
            </w:r>
            <w:r w:rsidR="00FA2DEC" w:rsidRPr="00A23740">
              <w:rPr>
                <w:rFonts w:eastAsia="Times New Roman"/>
                <w:bCs/>
                <w:color w:val="000000"/>
              </w:rPr>
              <w:t>ndan</w:t>
            </w:r>
            <w:r w:rsidR="00523A28" w:rsidRPr="00A23740">
              <w:rPr>
                <w:rFonts w:eastAsia="Times New Roman"/>
                <w:bCs/>
                <w:color w:val="000000"/>
              </w:rPr>
              <w:t>,</w:t>
            </w:r>
            <w:r w:rsidR="003A6C5D" w:rsidRPr="00A23740">
              <w:rPr>
                <w:rFonts w:eastAsia="Times New Roman"/>
                <w:bCs/>
                <w:color w:val="000000"/>
              </w:rPr>
              <w:t xml:space="preserve"> bu belge geçici aciz belgesi niteliğinde olup</w:t>
            </w:r>
            <w:r w:rsidR="00FA2DEC" w:rsidRPr="00A23740">
              <w:rPr>
                <w:rFonts w:eastAsia="Times New Roman"/>
                <w:bCs/>
                <w:color w:val="000000"/>
              </w:rPr>
              <w:t>,</w:t>
            </w:r>
            <w:r w:rsidR="003A6C5D" w:rsidRPr="00A23740">
              <w:rPr>
                <w:rFonts w:eastAsia="Times New Roman"/>
                <w:bCs/>
                <w:color w:val="000000"/>
              </w:rPr>
              <w:t xml:space="preserve"> ayrıca alacaklıya “geçici aciz belgesi” başlıklı</w:t>
            </w:r>
            <w:r w:rsidR="00FA2DEC" w:rsidRPr="00A23740">
              <w:rPr>
                <w:rFonts w:eastAsia="Times New Roman"/>
                <w:bCs/>
                <w:color w:val="000000"/>
              </w:rPr>
              <w:t xml:space="preserve"> bir belge düzenlenip verilmesine gerek bulunmamaktadır</w:t>
            </w:r>
            <w:r w:rsidR="008B56B0" w:rsidRPr="00A23740">
              <w:rPr>
                <w:rFonts w:eastAsia="Times New Roman"/>
                <w:bCs/>
                <w:color w:val="000000"/>
              </w:rPr>
              <w:t>.</w:t>
            </w:r>
          </w:p>
          <w:p w:rsidR="00AE57E0" w:rsidRPr="00A23740" w:rsidRDefault="008D0CD0" w:rsidP="009431FF">
            <w:pPr>
              <w:tabs>
                <w:tab w:val="left" w:pos="567"/>
              </w:tabs>
              <w:ind w:firstLine="709"/>
              <w:rPr>
                <w:rFonts w:eastAsia="Times New Roman"/>
                <w:color w:val="000000"/>
                <w:lang w:eastAsia="x-none"/>
              </w:rPr>
            </w:pPr>
            <w:r w:rsidRPr="00A23740">
              <w:rPr>
                <w:rFonts w:eastAsia="Times New Roman"/>
                <w:bCs/>
                <w:color w:val="000000"/>
                <w:szCs w:val="24"/>
                <w:lang w:eastAsia="x-none"/>
              </w:rPr>
              <w:t xml:space="preserve">Üçüncü fıkrayla, aciz belgeleri düzenlenmeden önce yapılacak işlemler belirlenmektedir. </w:t>
            </w:r>
            <w:r w:rsidR="00054279" w:rsidRPr="00A23740">
              <w:rPr>
                <w:rFonts w:eastAsia="Times New Roman"/>
                <w:bCs/>
                <w:color w:val="000000"/>
                <w:szCs w:val="24"/>
                <w:lang w:eastAsia="x-none"/>
              </w:rPr>
              <w:t>İ</w:t>
            </w:r>
            <w:r w:rsidRPr="00A23740">
              <w:rPr>
                <w:rFonts w:eastAsia="Times New Roman"/>
                <w:bCs/>
                <w:color w:val="000000"/>
                <w:szCs w:val="24"/>
                <w:lang w:eastAsia="x-none"/>
              </w:rPr>
              <w:t xml:space="preserve">cra </w:t>
            </w:r>
            <w:r w:rsidRPr="00A23740">
              <w:rPr>
                <w:rFonts w:eastAsia="Times New Roman"/>
                <w:color w:val="000000"/>
              </w:rPr>
              <w:t>ve iflas dairesinin</w:t>
            </w:r>
            <w:r w:rsidRPr="00A23740">
              <w:rPr>
                <w:rFonts w:eastAsia="Times New Roman"/>
                <w:bCs/>
                <w:color w:val="000000"/>
                <w:szCs w:val="24"/>
                <w:lang w:eastAsia="x-none"/>
              </w:rPr>
              <w:t xml:space="preserve"> kesin </w:t>
            </w:r>
            <w:r w:rsidRPr="00A23740">
              <w:rPr>
                <w:rFonts w:eastAsia="Times New Roman"/>
                <w:color w:val="000000"/>
              </w:rPr>
              <w:t>aciz belgesi hükmündeki belgeyi</w:t>
            </w:r>
            <w:r w:rsidRPr="00A23740">
              <w:rPr>
                <w:rFonts w:eastAsia="Times New Roman"/>
                <w:color w:val="000000"/>
                <w:lang w:eastAsia="x-none"/>
              </w:rPr>
              <w:t xml:space="preserve"> </w:t>
            </w:r>
            <w:r w:rsidRPr="00A23740">
              <w:rPr>
                <w:rFonts w:eastAsia="Times New Roman"/>
                <w:bCs/>
                <w:color w:val="000000"/>
                <w:szCs w:val="24"/>
                <w:lang w:eastAsia="x-none"/>
              </w:rPr>
              <w:t>veya geçici aciz belge</w:t>
            </w:r>
            <w:r w:rsidRPr="00A23740">
              <w:rPr>
                <w:rFonts w:eastAsia="Times New Roman"/>
                <w:color w:val="000000"/>
              </w:rPr>
              <w:t xml:space="preserve">sini </w:t>
            </w:r>
            <w:r w:rsidRPr="00A23740">
              <w:rPr>
                <w:rFonts w:eastAsia="Times New Roman"/>
                <w:bCs/>
                <w:color w:val="000000"/>
                <w:szCs w:val="24"/>
                <w:lang w:eastAsia="x-none"/>
              </w:rPr>
              <w:t xml:space="preserve">düzenlemeden önce yapacağı araştırma, borçlunun sicillere kaydedilmiş mallarının ve banka hesaplarında </w:t>
            </w:r>
            <w:r w:rsidR="007A54B7" w:rsidRPr="00A23740">
              <w:rPr>
                <w:rFonts w:eastAsia="Times New Roman"/>
                <w:bCs/>
                <w:color w:val="000000"/>
                <w:szCs w:val="24"/>
                <w:lang w:eastAsia="x-none"/>
              </w:rPr>
              <w:t xml:space="preserve">bir </w:t>
            </w:r>
            <w:r w:rsidRPr="00A23740">
              <w:rPr>
                <w:rFonts w:eastAsia="Times New Roman"/>
                <w:bCs/>
                <w:color w:val="000000"/>
                <w:szCs w:val="24"/>
                <w:lang w:eastAsia="x-none"/>
              </w:rPr>
              <w:t>parasının bulunup bulunmadığını</w:t>
            </w:r>
            <w:r w:rsidRPr="00A23740">
              <w:rPr>
                <w:rFonts w:eastAsia="Times New Roman"/>
                <w:color w:val="000000"/>
              </w:rPr>
              <w:t>n</w:t>
            </w:r>
            <w:r w:rsidRPr="00A23740">
              <w:rPr>
                <w:rFonts w:eastAsia="Times New Roman"/>
                <w:bCs/>
                <w:color w:val="000000"/>
                <w:szCs w:val="24"/>
                <w:lang w:eastAsia="x-none"/>
              </w:rPr>
              <w:t xml:space="preserve"> ve ayrıca yerleşim yeri ile işyeri, icra ettiği meslek, ticari veya zirai faaliyet ve benzeri hususlar dikkate alınarak diğer mal, hak ve alacaklarının olup olmadığının tespitiyle tamamlanır. İcra </w:t>
            </w:r>
            <w:r w:rsidRPr="00A23740">
              <w:rPr>
                <w:rFonts w:eastAsia="Times New Roman"/>
                <w:color w:val="000000"/>
              </w:rPr>
              <w:t>ve iflas dairesi,</w:t>
            </w:r>
            <w:r w:rsidRPr="00A23740">
              <w:rPr>
                <w:rFonts w:eastAsia="Times New Roman"/>
                <w:bCs/>
                <w:color w:val="000000"/>
                <w:szCs w:val="24"/>
                <w:lang w:eastAsia="x-none"/>
              </w:rPr>
              <w:t xml:space="preserve"> bu araştırmayı yaparken</w:t>
            </w:r>
            <w:r w:rsidR="00FC1E7A" w:rsidRPr="00A23740">
              <w:rPr>
                <w:rFonts w:eastAsia="Times New Roman"/>
                <w:bCs/>
                <w:color w:val="000000"/>
                <w:szCs w:val="24"/>
                <w:lang w:eastAsia="x-none"/>
              </w:rPr>
              <w:t xml:space="preserve"> Taslağın “</w:t>
            </w:r>
            <w:r w:rsidR="00FC1E7A" w:rsidRPr="00A23740">
              <w:rPr>
                <w:rFonts w:eastAsia="Times New Roman"/>
                <w:bCs/>
                <w:i/>
                <w:color w:val="000000"/>
                <w:szCs w:val="24"/>
                <w:lang w:eastAsia="x-none"/>
              </w:rPr>
              <w:t>Ha</w:t>
            </w:r>
            <w:r w:rsidR="00054279" w:rsidRPr="00A23740">
              <w:rPr>
                <w:rFonts w:eastAsia="Times New Roman"/>
                <w:bCs/>
                <w:i/>
                <w:color w:val="000000"/>
                <w:szCs w:val="24"/>
                <w:lang w:eastAsia="x-none"/>
              </w:rPr>
              <w:t>c</w:t>
            </w:r>
            <w:r w:rsidR="00FC1E7A" w:rsidRPr="00A23740">
              <w:rPr>
                <w:rFonts w:eastAsia="Times New Roman"/>
                <w:bCs/>
                <w:i/>
                <w:color w:val="000000"/>
                <w:szCs w:val="24"/>
                <w:lang w:eastAsia="x-none"/>
              </w:rPr>
              <w:t>z</w:t>
            </w:r>
            <w:r w:rsidR="00054279" w:rsidRPr="00A23740">
              <w:rPr>
                <w:rFonts w:eastAsia="Times New Roman"/>
                <w:bCs/>
                <w:i/>
                <w:color w:val="000000"/>
                <w:szCs w:val="24"/>
                <w:lang w:eastAsia="x-none"/>
              </w:rPr>
              <w:t>edilemeyen mal, hak ve alacaklar</w:t>
            </w:r>
            <w:r w:rsidR="00054279" w:rsidRPr="00A23740">
              <w:rPr>
                <w:rFonts w:eastAsia="Times New Roman"/>
                <w:bCs/>
                <w:color w:val="000000"/>
                <w:szCs w:val="24"/>
                <w:lang w:eastAsia="x-none"/>
              </w:rPr>
              <w:t>” başlıklı</w:t>
            </w:r>
            <w:r w:rsidR="00B03168" w:rsidRPr="00A23740">
              <w:rPr>
                <w:rFonts w:eastAsia="Times New Roman"/>
                <w:bCs/>
                <w:color w:val="000000"/>
                <w:szCs w:val="24"/>
                <w:lang w:eastAsia="x-none"/>
              </w:rPr>
              <w:t xml:space="preserve"> </w:t>
            </w:r>
            <w:r w:rsidR="00B03168" w:rsidRPr="00D60C1D">
              <w:rPr>
                <w:rStyle w:val="KonuBalChar"/>
                <w:rFonts w:eastAsia="Calibri"/>
                <w:b w:val="0"/>
                <w:color w:val="000000"/>
              </w:rPr>
              <w:t>161 inci</w:t>
            </w:r>
            <w:r w:rsidRPr="00A23740">
              <w:rPr>
                <w:rStyle w:val="KIRMIZIChar"/>
                <w:rFonts w:eastAsia="Calibri"/>
                <w:bCs w:val="0"/>
                <w:strike w:val="0"/>
              </w:rPr>
              <w:t xml:space="preserve"> </w:t>
            </w:r>
            <w:r w:rsidRPr="00A23740">
              <w:rPr>
                <w:rFonts w:eastAsia="Times New Roman"/>
                <w:bCs/>
                <w:color w:val="000000"/>
                <w:szCs w:val="24"/>
                <w:lang w:eastAsia="x-none"/>
              </w:rPr>
              <w:t>madde</w:t>
            </w:r>
            <w:r w:rsidR="00054279" w:rsidRPr="00A23740">
              <w:rPr>
                <w:rFonts w:eastAsia="Times New Roman"/>
                <w:bCs/>
                <w:color w:val="000000"/>
                <w:szCs w:val="24"/>
                <w:lang w:eastAsia="x-none"/>
              </w:rPr>
              <w:t>si</w:t>
            </w:r>
            <w:r w:rsidRPr="00A23740">
              <w:rPr>
                <w:rFonts w:eastAsia="Times New Roman"/>
                <w:bCs/>
                <w:color w:val="000000"/>
                <w:szCs w:val="24"/>
                <w:lang w:eastAsia="x-none"/>
              </w:rPr>
              <w:t>nin üçüncü</w:t>
            </w:r>
            <w:r w:rsidR="00054279" w:rsidRPr="00A23740">
              <w:rPr>
                <w:rFonts w:eastAsia="Times New Roman"/>
                <w:bCs/>
                <w:color w:val="000000"/>
                <w:szCs w:val="24"/>
                <w:lang w:eastAsia="x-none"/>
              </w:rPr>
              <w:t xml:space="preserve"> fıkrası hükmünü de dikkate almak zorundadır</w:t>
            </w:r>
            <w:r w:rsidRPr="00A23740">
              <w:rPr>
                <w:rFonts w:eastAsia="Times New Roman"/>
                <w:bCs/>
                <w:color w:val="000000"/>
                <w:szCs w:val="24"/>
                <w:lang w:eastAsia="x-none"/>
              </w:rPr>
              <w:t>.</w:t>
            </w:r>
            <w:r w:rsidR="008B56B0" w:rsidRPr="00A23740">
              <w:rPr>
                <w:rFonts w:eastAsia="Times New Roman"/>
                <w:bCs/>
                <w:color w:val="000000"/>
                <w:szCs w:val="24"/>
                <w:lang w:eastAsia="x-none"/>
              </w:rPr>
              <w:t xml:space="preserve"> </w:t>
            </w:r>
            <w:r w:rsidR="00054279" w:rsidRPr="00A23740">
              <w:rPr>
                <w:rFonts w:eastAsia="Times New Roman"/>
                <w:bCs/>
                <w:color w:val="000000"/>
                <w:szCs w:val="24"/>
                <w:lang w:eastAsia="x-none"/>
              </w:rPr>
              <w:t>Aciz belgesiyle ilgili olarak uygulamada ortaya çıkan sorunlardan biri</w:t>
            </w:r>
            <w:r w:rsidR="007A54B7" w:rsidRPr="00A23740">
              <w:rPr>
                <w:rFonts w:eastAsia="Times New Roman"/>
                <w:bCs/>
                <w:color w:val="000000"/>
                <w:szCs w:val="24"/>
                <w:lang w:eastAsia="x-none"/>
              </w:rPr>
              <w:t>,</w:t>
            </w:r>
            <w:r w:rsidR="00054279" w:rsidRPr="00A23740">
              <w:rPr>
                <w:rFonts w:eastAsia="Times New Roman"/>
                <w:bCs/>
                <w:color w:val="000000"/>
                <w:szCs w:val="24"/>
                <w:lang w:eastAsia="x-none"/>
              </w:rPr>
              <w:t xml:space="preserve"> icra </w:t>
            </w:r>
            <w:r w:rsidR="00BF255B" w:rsidRPr="00D60C1D">
              <w:rPr>
                <w:rFonts w:eastAsia="Times New Roman"/>
                <w:bCs/>
                <w:color w:val="000000"/>
                <w:szCs w:val="24"/>
                <w:lang w:eastAsia="x-none"/>
              </w:rPr>
              <w:t>ve iflas</w:t>
            </w:r>
            <w:r w:rsidR="00BF255B" w:rsidRPr="00A23740">
              <w:rPr>
                <w:rFonts w:eastAsia="Times New Roman"/>
                <w:bCs/>
                <w:color w:val="000000"/>
                <w:szCs w:val="24"/>
                <w:lang w:eastAsia="x-none"/>
              </w:rPr>
              <w:t xml:space="preserve"> </w:t>
            </w:r>
            <w:r w:rsidR="00054279" w:rsidRPr="00A23740">
              <w:rPr>
                <w:rFonts w:eastAsia="Times New Roman"/>
                <w:bCs/>
                <w:color w:val="000000"/>
                <w:szCs w:val="24"/>
                <w:lang w:eastAsia="x-none"/>
              </w:rPr>
              <w:t xml:space="preserve">dairelerinin bu belgeyi hazırlamadan önce hangi kapsamda ve derinlikte bir araştırma yapacaklarının belirli olmaması ve kıymeti düşük malların bulunmasının aciz </w:t>
            </w:r>
            <w:r w:rsidR="00FC1E7A" w:rsidRPr="00D60C1D">
              <w:rPr>
                <w:rStyle w:val="Balk1Char"/>
                <w:rFonts w:eastAsia="Calibri"/>
                <w:b w:val="0"/>
                <w:color w:val="000000"/>
              </w:rPr>
              <w:t>belgesi</w:t>
            </w:r>
            <w:r w:rsidR="00FC1E7A" w:rsidRPr="00A23740">
              <w:rPr>
                <w:rFonts w:eastAsia="Times New Roman"/>
                <w:bCs/>
                <w:color w:val="000000"/>
                <w:szCs w:val="24"/>
                <w:lang w:eastAsia="x-none"/>
              </w:rPr>
              <w:t xml:space="preserve"> </w:t>
            </w:r>
            <w:r w:rsidR="00054279" w:rsidRPr="00A23740">
              <w:rPr>
                <w:rFonts w:eastAsia="Times New Roman"/>
                <w:bCs/>
                <w:color w:val="000000"/>
                <w:szCs w:val="24"/>
                <w:lang w:eastAsia="x-none"/>
              </w:rPr>
              <w:t>düzenlenmesine engel teşkil edip etmeyeceği sorunu</w:t>
            </w:r>
            <w:r w:rsidR="007A54B7" w:rsidRPr="00A23740">
              <w:rPr>
                <w:rFonts w:eastAsia="Times New Roman"/>
                <w:bCs/>
                <w:color w:val="000000"/>
                <w:szCs w:val="24"/>
                <w:lang w:eastAsia="x-none"/>
              </w:rPr>
              <w:t>ydu</w:t>
            </w:r>
            <w:r w:rsidR="00054279" w:rsidRPr="00A23740">
              <w:rPr>
                <w:rFonts w:eastAsia="Times New Roman"/>
                <w:bCs/>
                <w:color w:val="000000"/>
                <w:szCs w:val="24"/>
                <w:lang w:eastAsia="x-none"/>
              </w:rPr>
              <w:t>. Bu sorunu çözmek</w:t>
            </w:r>
            <w:r w:rsidR="00726CDD" w:rsidRPr="00A23740">
              <w:rPr>
                <w:rFonts w:eastAsia="Times New Roman"/>
                <w:bCs/>
                <w:color w:val="000000"/>
                <w:szCs w:val="24"/>
                <w:lang w:eastAsia="x-none"/>
              </w:rPr>
              <w:t xml:space="preserve"> amacıyla,</w:t>
            </w:r>
            <w:r w:rsidR="00054279" w:rsidRPr="00A23740">
              <w:rPr>
                <w:rFonts w:eastAsia="Times New Roman"/>
                <w:bCs/>
                <w:color w:val="000000"/>
                <w:szCs w:val="24"/>
                <w:lang w:eastAsia="x-none"/>
              </w:rPr>
              <w:t xml:space="preserve"> hem </w:t>
            </w:r>
            <w:r w:rsidR="007A54B7" w:rsidRPr="00A23740">
              <w:rPr>
                <w:rFonts w:eastAsia="Times New Roman"/>
                <w:bCs/>
                <w:color w:val="000000"/>
                <w:szCs w:val="24"/>
                <w:lang w:eastAsia="x-none"/>
              </w:rPr>
              <w:t xml:space="preserve">Taslağın </w:t>
            </w:r>
            <w:r w:rsidR="00054279" w:rsidRPr="00A23740">
              <w:rPr>
                <w:rFonts w:eastAsia="Times New Roman"/>
                <w:bCs/>
                <w:color w:val="000000"/>
                <w:szCs w:val="24"/>
                <w:lang w:eastAsia="x-none"/>
              </w:rPr>
              <w:t>kıymeti çok düşük malların haczedilmeyeceği</w:t>
            </w:r>
            <w:r w:rsidR="007A54B7" w:rsidRPr="00A23740">
              <w:rPr>
                <w:rFonts w:eastAsia="Times New Roman"/>
                <w:bCs/>
                <w:color w:val="000000"/>
                <w:szCs w:val="24"/>
                <w:lang w:eastAsia="x-none"/>
              </w:rPr>
              <w:t>ne ilişkin</w:t>
            </w:r>
            <w:r w:rsidR="00054279" w:rsidRPr="00A23740">
              <w:rPr>
                <w:rFonts w:eastAsia="Times New Roman"/>
                <w:bCs/>
                <w:color w:val="000000"/>
                <w:szCs w:val="24"/>
                <w:lang w:eastAsia="x-none"/>
              </w:rPr>
              <w:t xml:space="preserve"> “</w:t>
            </w:r>
            <w:r w:rsidR="00054279" w:rsidRPr="00A23740">
              <w:rPr>
                <w:rFonts w:eastAsia="Times New Roman"/>
                <w:bCs/>
                <w:i/>
                <w:color w:val="000000"/>
                <w:szCs w:val="24"/>
                <w:lang w:eastAsia="x-none"/>
              </w:rPr>
              <w:t>Hacizde uygulanacak esaslar</w:t>
            </w:r>
            <w:r w:rsidR="00054279" w:rsidRPr="00A23740">
              <w:rPr>
                <w:rFonts w:eastAsia="Times New Roman"/>
                <w:bCs/>
                <w:color w:val="000000"/>
                <w:szCs w:val="24"/>
                <w:lang w:eastAsia="x-none"/>
              </w:rPr>
              <w:t>” başlıklı</w:t>
            </w:r>
            <w:r w:rsidR="00B03168" w:rsidRPr="00A23740">
              <w:rPr>
                <w:rFonts w:eastAsia="Times New Roman"/>
                <w:bCs/>
                <w:color w:val="000000"/>
                <w:szCs w:val="24"/>
                <w:lang w:eastAsia="x-none"/>
              </w:rPr>
              <w:t xml:space="preserve"> </w:t>
            </w:r>
            <w:r w:rsidR="00B03168" w:rsidRPr="00D60C1D">
              <w:rPr>
                <w:rStyle w:val="KonuBalChar"/>
                <w:rFonts w:eastAsia="Calibri"/>
                <w:b w:val="0"/>
                <w:color w:val="000000"/>
              </w:rPr>
              <w:t>158 inci</w:t>
            </w:r>
            <w:r w:rsidR="00054279" w:rsidRPr="00A23740">
              <w:rPr>
                <w:rFonts w:eastAsia="Times New Roman"/>
                <w:bCs/>
                <w:color w:val="000000"/>
                <w:szCs w:val="24"/>
                <w:lang w:eastAsia="x-none"/>
              </w:rPr>
              <w:t xml:space="preserve"> maddesinin </w:t>
            </w:r>
            <w:r w:rsidR="00221B5E" w:rsidRPr="00A23740">
              <w:rPr>
                <w:rFonts w:eastAsia="Times New Roman"/>
                <w:bCs/>
                <w:color w:val="000000"/>
                <w:szCs w:val="24"/>
                <w:lang w:eastAsia="x-none"/>
              </w:rPr>
              <w:t xml:space="preserve">dördüncü  fıkrası düzenlenmekte </w:t>
            </w:r>
            <w:r w:rsidR="00054279" w:rsidRPr="00A23740">
              <w:rPr>
                <w:rFonts w:eastAsia="Times New Roman"/>
                <w:bCs/>
                <w:color w:val="000000"/>
                <w:szCs w:val="24"/>
                <w:lang w:eastAsia="x-none"/>
              </w:rPr>
              <w:t>hem de bu fıkra kaleme alınarak metne eklenmektedir. Düzenlemeyle, icra</w:t>
            </w:r>
            <w:r w:rsidR="00B73523" w:rsidRPr="00A23740">
              <w:rPr>
                <w:b/>
                <w:color w:val="538135"/>
              </w:rPr>
              <w:t xml:space="preserve"> </w:t>
            </w:r>
            <w:r w:rsidR="00B73523" w:rsidRPr="00D60C1D">
              <w:rPr>
                <w:color w:val="000000"/>
              </w:rPr>
              <w:t>ve iflas</w:t>
            </w:r>
            <w:r w:rsidR="00054279" w:rsidRPr="00A23740">
              <w:rPr>
                <w:rFonts w:eastAsia="Times New Roman"/>
                <w:bCs/>
                <w:color w:val="000000"/>
                <w:szCs w:val="24"/>
                <w:lang w:eastAsia="x-none"/>
              </w:rPr>
              <w:t xml:space="preserve"> dairesinin makul ölçülerde yapacağı bir araştırmanın kesin aciz belgesi hükmünde belge ve geçici aciz belgesi düzenlemek için yeterli sayılması gerektiği </w:t>
            </w:r>
            <w:r w:rsidR="00054279" w:rsidRPr="00A23740">
              <w:rPr>
                <w:rFonts w:eastAsia="Times New Roman"/>
                <w:color w:val="000000"/>
                <w:lang w:eastAsia="x-none"/>
              </w:rPr>
              <w:t xml:space="preserve">esası </w:t>
            </w:r>
            <w:r w:rsidR="00523A28" w:rsidRPr="00A23740">
              <w:rPr>
                <w:rFonts w:eastAsia="Times New Roman"/>
                <w:color w:val="000000"/>
                <w:lang w:eastAsia="x-none"/>
              </w:rPr>
              <w:t>maddeye</w:t>
            </w:r>
            <w:r w:rsidR="00054279" w:rsidRPr="00A23740">
              <w:rPr>
                <w:rFonts w:eastAsia="Times New Roman"/>
                <w:color w:val="000000"/>
                <w:lang w:eastAsia="x-none"/>
              </w:rPr>
              <w:t xml:space="preserve"> dercedilmektedir</w:t>
            </w:r>
            <w:r w:rsidR="00726CDD" w:rsidRPr="00A23740">
              <w:rPr>
                <w:rFonts w:eastAsia="Times New Roman"/>
                <w:color w:val="000000"/>
                <w:lang w:eastAsia="x-none"/>
              </w:rPr>
              <w:t xml:space="preserve">. Kaldı ki, </w:t>
            </w:r>
            <w:r w:rsidR="00054279" w:rsidRPr="00A23740">
              <w:rPr>
                <w:rFonts w:eastAsia="Times New Roman"/>
                <w:color w:val="000000"/>
                <w:lang w:eastAsia="x-none"/>
              </w:rPr>
              <w:t>bu araştırma Taslağın “</w:t>
            </w:r>
            <w:r w:rsidR="00054279" w:rsidRPr="00A23740">
              <w:rPr>
                <w:rFonts w:eastAsia="Times New Roman"/>
                <w:i/>
                <w:color w:val="000000"/>
                <w:lang w:eastAsia="x-none"/>
              </w:rPr>
              <w:t>Kesin aciz belgesinin düzenlenmesi</w:t>
            </w:r>
            <w:r w:rsidR="00054279" w:rsidRPr="00A23740">
              <w:rPr>
                <w:rFonts w:eastAsia="Times New Roman"/>
                <w:color w:val="000000"/>
                <w:lang w:eastAsia="x-none"/>
              </w:rPr>
              <w:t xml:space="preserve">” başlıklı </w:t>
            </w:r>
            <w:r w:rsidR="00B03168" w:rsidRPr="00D60C1D">
              <w:rPr>
                <w:rStyle w:val="KonuBalChar"/>
                <w:rFonts w:eastAsia="Calibri"/>
                <w:b w:val="0"/>
                <w:color w:val="000000"/>
              </w:rPr>
              <w:t>262 inci</w:t>
            </w:r>
            <w:r w:rsidR="00054279" w:rsidRPr="00A23740">
              <w:rPr>
                <w:rFonts w:eastAsia="Times New Roman"/>
                <w:color w:val="000000"/>
                <w:lang w:eastAsia="x-none"/>
              </w:rPr>
              <w:t xml:space="preserve"> maddesinin birinci fıkrasında </w:t>
            </w:r>
            <w:r w:rsidR="00221B5E" w:rsidRPr="00A23740">
              <w:rPr>
                <w:rFonts w:eastAsia="Times New Roman"/>
                <w:color w:val="000000"/>
                <w:lang w:eastAsia="x-none"/>
              </w:rPr>
              <w:t xml:space="preserve">düzenlenen </w:t>
            </w:r>
            <w:r w:rsidR="00054279" w:rsidRPr="00A23740">
              <w:rPr>
                <w:rFonts w:eastAsia="Times New Roman"/>
                <w:color w:val="000000"/>
                <w:lang w:eastAsia="x-none"/>
              </w:rPr>
              <w:t>kesin aciz belgesi bakımından da geçerli</w:t>
            </w:r>
            <w:r w:rsidR="00221B5E" w:rsidRPr="00A23740">
              <w:rPr>
                <w:rFonts w:eastAsia="Times New Roman"/>
                <w:color w:val="000000"/>
                <w:lang w:eastAsia="x-none"/>
              </w:rPr>
              <w:t>dir</w:t>
            </w:r>
            <w:r w:rsidR="00054279" w:rsidRPr="00A23740">
              <w:rPr>
                <w:rFonts w:eastAsia="Times New Roman"/>
                <w:color w:val="000000"/>
                <w:lang w:eastAsia="x-none"/>
              </w:rPr>
              <w:t>.</w:t>
            </w:r>
          </w:p>
          <w:p w:rsidR="008D0CD0" w:rsidRPr="00A23740" w:rsidRDefault="008D0CD0" w:rsidP="005C601A">
            <w:pPr>
              <w:tabs>
                <w:tab w:val="left" w:pos="567"/>
              </w:tabs>
              <w:ind w:firstLine="709"/>
              <w:rPr>
                <w:rStyle w:val="MaviChar"/>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p>
          <w:p w:rsidR="00AA5C8C" w:rsidRPr="00A23740" w:rsidRDefault="00AA5C8C" w:rsidP="009431FF">
            <w:pPr>
              <w:tabs>
                <w:tab w:val="left" w:pos="567"/>
              </w:tabs>
              <w:rPr>
                <w:rFonts w:eastAsia="Times New Roman"/>
                <w:i/>
                <w:szCs w:val="24"/>
                <w:lang w:eastAsia="tr-TR"/>
              </w:rPr>
            </w:pPr>
          </w:p>
          <w:p w:rsidR="00AA5C8C" w:rsidRPr="00A23740" w:rsidRDefault="00AA5C8C" w:rsidP="009431FF">
            <w:pPr>
              <w:tabs>
                <w:tab w:val="left" w:pos="567"/>
              </w:tabs>
              <w:rPr>
                <w:rFonts w:eastAsia="Times New Roman"/>
                <w:i/>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Taksitle ödeme</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 xml:space="preserve">Madde 111 – (1) </w:t>
            </w:r>
            <w:r w:rsidRPr="00A23740">
              <w:rPr>
                <w:rStyle w:val="KIRMIZIChar"/>
                <w:rFonts w:eastAsia="Calibri"/>
                <w:lang w:eastAsia="tr-TR"/>
              </w:rPr>
              <w:t>B</w:t>
            </w:r>
            <w:r w:rsidRPr="00A23740">
              <w:rPr>
                <w:rStyle w:val="KIRMIZIChar"/>
                <w:rFonts w:eastAsia="Calibri"/>
              </w:rPr>
              <w:t>orçlu</w:t>
            </w:r>
            <w:r w:rsidRPr="00A23740">
              <w:rPr>
                <w:rFonts w:eastAsia="Times New Roman"/>
                <w:b/>
                <w:strike/>
                <w:color w:val="FF0000"/>
                <w:szCs w:val="24"/>
                <w:lang w:eastAsia="tr-TR"/>
              </w:rPr>
              <w:t xml:space="preserve"> alacaklının satış talebinden evvel borcunu muntazam taksitlerle ödemeği taahüt eder ve birinci taksiti de derhal verirse icra muamelesi</w:t>
            </w:r>
            <w:r w:rsidRPr="00A23740">
              <w:t xml:space="preserve"> durur.</w:t>
            </w:r>
          </w:p>
          <w:p w:rsidR="00AA5C8C" w:rsidRPr="00A23740" w:rsidRDefault="00AA5C8C" w:rsidP="009431FF">
            <w:pPr>
              <w:tabs>
                <w:tab w:val="left" w:pos="567"/>
              </w:tabs>
              <w:rPr>
                <w:rFonts w:eastAsia="Times New Roman"/>
                <w:b/>
                <w:strike/>
                <w:color w:val="FF0000"/>
                <w:szCs w:val="24"/>
                <w:lang w:eastAsia="tr-TR"/>
              </w:rPr>
            </w:pPr>
          </w:p>
          <w:p w:rsidR="00AA5C8C"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Şukadar ki borçlunun kafi miktar malı haczedilmiş bulunması ve her taksitin borcun dörtte biri miktarından aşağı olmaması ve nihayet aydan aya verilmesi ve müddetin ü</w:t>
            </w:r>
            <w:r w:rsidR="000A2887" w:rsidRPr="00A23740">
              <w:rPr>
                <w:rFonts w:eastAsia="Times New Roman"/>
                <w:b/>
                <w:strike/>
                <w:color w:val="FF0000"/>
                <w:szCs w:val="24"/>
                <w:lang w:eastAsia="tr-TR"/>
              </w:rPr>
              <w:t>ç aydan fazla olmaması şarttır.</w:t>
            </w:r>
          </w:p>
          <w:p w:rsidR="004740E6" w:rsidRPr="00A23740" w:rsidRDefault="004740E6" w:rsidP="009431FF">
            <w:pPr>
              <w:tabs>
                <w:tab w:val="left" w:pos="567"/>
              </w:tabs>
              <w:rPr>
                <w:rFonts w:eastAsia="Times New Roman"/>
                <w:b/>
                <w:strike/>
                <w:color w:val="FF0000"/>
                <w:szCs w:val="24"/>
                <w:lang w:eastAsia="tr-TR"/>
              </w:rPr>
            </w:pPr>
          </w:p>
          <w:p w:rsidR="00AA5C8C" w:rsidRPr="00A23740" w:rsidRDefault="008E04ED"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(4</w:t>
            </w:r>
            <w:r w:rsidR="00AA5C8C" w:rsidRPr="00A23740">
              <w:rPr>
                <w:rFonts w:eastAsia="Times New Roman"/>
                <w:b/>
                <w:strike/>
                <w:color w:val="FF0000"/>
                <w:szCs w:val="24"/>
                <w:lang w:eastAsia="tr-TR"/>
              </w:rPr>
              <w:t>) (Değişik fıkra: 9/11/1988 - 3494/13 md</w:t>
            </w:r>
            <w:r w:rsidR="00793144" w:rsidRPr="00A23740">
              <w:rPr>
                <w:rStyle w:val="KIRMIZIChar"/>
                <w:rFonts w:eastAsia="Calibri"/>
              </w:rPr>
              <w:t>.)</w:t>
            </w:r>
            <w:r w:rsidR="00793144" w:rsidRPr="005C601A">
              <w:rPr>
                <w:rStyle w:val="KIRMIZIChar"/>
                <w:rFonts w:eastAsia="Calibri"/>
                <w:strike w:val="0"/>
              </w:rPr>
              <w:t xml:space="preserve"> </w:t>
            </w:r>
            <w:r w:rsidR="00AA5C8C" w:rsidRPr="00A23740">
              <w:rPr>
                <w:rFonts w:eastAsia="Times New Roman"/>
                <w:szCs w:val="24"/>
                <w:lang w:eastAsia="tr-TR"/>
              </w:rPr>
              <w:t xml:space="preserve">Taksitlerden biri zamanında </w:t>
            </w:r>
            <w:r w:rsidR="00AA5C8C" w:rsidRPr="00A23740">
              <w:rPr>
                <w:rFonts w:eastAsia="Times New Roman"/>
                <w:b/>
                <w:strike/>
                <w:color w:val="FF0000"/>
                <w:szCs w:val="24"/>
                <w:lang w:eastAsia="tr-TR"/>
              </w:rPr>
              <w:t>verilmezse</w:t>
            </w:r>
            <w:r w:rsidR="00AA5C8C" w:rsidRPr="00A23740">
              <w:rPr>
                <w:rFonts w:eastAsia="Times New Roman"/>
                <w:szCs w:val="24"/>
                <w:lang w:eastAsia="tr-TR"/>
              </w:rPr>
              <w:t xml:space="preserve"> icra </w:t>
            </w:r>
            <w:r w:rsidR="00AA5C8C" w:rsidRPr="00A23740">
              <w:rPr>
                <w:rFonts w:eastAsia="Times New Roman"/>
                <w:b/>
                <w:strike/>
                <w:color w:val="FF0000"/>
                <w:szCs w:val="24"/>
                <w:lang w:eastAsia="tr-TR"/>
              </w:rPr>
              <w:t>muamelesi</w:t>
            </w:r>
            <w:r w:rsidR="00AA5C8C" w:rsidRPr="00A23740">
              <w:rPr>
                <w:rFonts w:eastAsia="Times New Roman"/>
                <w:szCs w:val="24"/>
                <w:lang w:eastAsia="tr-TR"/>
              </w:rPr>
              <w:t xml:space="preserve"> ve süreler kaldığı yerden devam eder.</w:t>
            </w:r>
            <w:r w:rsidR="00AA5C8C" w:rsidRPr="00A23740">
              <w:t xml:space="preserve"> </w:t>
            </w:r>
          </w:p>
          <w:p w:rsidR="00AA5C8C" w:rsidRPr="00A23740" w:rsidRDefault="00AA5C8C" w:rsidP="009431FF">
            <w:pPr>
              <w:pStyle w:val="YEL"/>
              <w:rPr>
                <w:lang w:val="tr-TR"/>
              </w:rPr>
            </w:pPr>
          </w:p>
        </w:tc>
        <w:tc>
          <w:tcPr>
            <w:tcW w:w="2500" w:type="pct"/>
          </w:tcPr>
          <w:p w:rsidR="00AA5C8C" w:rsidRPr="00A23740" w:rsidRDefault="0025794C" w:rsidP="009431FF">
            <w:pPr>
              <w:pStyle w:val="Balk4"/>
              <w:rPr>
                <w:lang w:val="tr-TR"/>
              </w:rPr>
            </w:pPr>
            <w:r w:rsidRPr="00A23740">
              <w:rPr>
                <w:lang w:val="tr-TR"/>
              </w:rPr>
              <w:t>SEKİZİNCİ AYRIM</w:t>
            </w:r>
          </w:p>
          <w:p w:rsidR="00AA5C8C" w:rsidRPr="00A23740" w:rsidRDefault="00523A28" w:rsidP="009431FF">
            <w:pPr>
              <w:pStyle w:val="Balk4"/>
              <w:rPr>
                <w:lang w:val="tr-TR"/>
              </w:rPr>
            </w:pPr>
            <w:r w:rsidRPr="00A23740">
              <w:rPr>
                <w:lang w:val="tr-TR"/>
              </w:rPr>
              <w:t>Taksitle Ödeme</w:t>
            </w:r>
          </w:p>
          <w:p w:rsidR="00AA5C8C" w:rsidRPr="00A23740" w:rsidRDefault="00AA5C8C" w:rsidP="009431FF">
            <w:pPr>
              <w:pStyle w:val="YEL"/>
              <w:jc w:val="center"/>
              <w:rPr>
                <w:lang w:val="tr-TR" w:eastAsia="tr-TR"/>
              </w:rPr>
            </w:pPr>
          </w:p>
          <w:p w:rsidR="00AA5C8C" w:rsidRPr="00A23740" w:rsidRDefault="00AA5C8C" w:rsidP="009431FF">
            <w:pPr>
              <w:tabs>
                <w:tab w:val="left" w:pos="567"/>
              </w:tabs>
              <w:rPr>
                <w:rStyle w:val="YELChar"/>
              </w:rPr>
            </w:pPr>
            <w:r w:rsidRPr="00A23740">
              <w:rPr>
                <w:b/>
              </w:rPr>
              <w:t xml:space="preserve">Taksitle ödeme </w:t>
            </w:r>
            <w:r w:rsidRPr="00A23740">
              <w:rPr>
                <w:rStyle w:val="MaviChar"/>
              </w:rPr>
              <w:t>taahhüdünün</w:t>
            </w:r>
            <w:r w:rsidRPr="00A23740">
              <w:rPr>
                <w:b/>
              </w:rPr>
              <w:t xml:space="preserve"> </w:t>
            </w:r>
            <w:r w:rsidRPr="00A23740">
              <w:rPr>
                <w:b/>
                <w:bCs/>
                <w:color w:val="0000FF"/>
                <w:szCs w:val="24"/>
                <w:lang w:eastAsia="x-none"/>
              </w:rPr>
              <w:t xml:space="preserve">şartları </w:t>
            </w:r>
            <w:r w:rsidRPr="00A23740">
              <w:rPr>
                <w:rStyle w:val="MaviChar"/>
              </w:rPr>
              <w:t>ve sonuçları</w:t>
            </w:r>
          </w:p>
          <w:p w:rsidR="00AA5C8C" w:rsidRPr="00A23740" w:rsidRDefault="007C3593" w:rsidP="009431FF">
            <w:pPr>
              <w:tabs>
                <w:tab w:val="left" w:pos="567"/>
              </w:tabs>
            </w:pPr>
            <w:r w:rsidRPr="00A23740">
              <w:rPr>
                <w:b/>
                <w:bCs/>
                <w:color w:val="0000FF"/>
                <w:szCs w:val="24"/>
                <w:lang w:eastAsia="x-none"/>
              </w:rPr>
              <w:t xml:space="preserve">MADDE </w:t>
            </w:r>
            <w:r w:rsidR="0025794C" w:rsidRPr="00A23740">
              <w:rPr>
                <w:b/>
                <w:bCs/>
                <w:color w:val="0000FF"/>
                <w:szCs w:val="24"/>
                <w:lang w:eastAsia="x-none"/>
              </w:rPr>
              <w:t>204</w:t>
            </w:r>
            <w:r w:rsidR="00AA5C8C" w:rsidRPr="00A23740">
              <w:rPr>
                <w:b/>
                <w:bCs/>
                <w:color w:val="0000FF"/>
                <w:szCs w:val="24"/>
                <w:lang w:eastAsia="x-none"/>
              </w:rPr>
              <w:t xml:space="preserve">- (1) Borca </w:t>
            </w:r>
            <w:r w:rsidR="002B6E0A" w:rsidRPr="00D33D21">
              <w:rPr>
                <w:rStyle w:val="Balk1Char"/>
                <w:rFonts w:eastAsia="Calibri"/>
              </w:rPr>
              <w:t>yetecek</w:t>
            </w:r>
            <w:r w:rsidR="002B6E0A" w:rsidRPr="00A23740">
              <w:rPr>
                <w:b/>
                <w:bCs/>
                <w:color w:val="385623"/>
                <w:szCs w:val="24"/>
                <w:lang w:eastAsia="x-none"/>
              </w:rPr>
              <w:t xml:space="preserve"> </w:t>
            </w:r>
            <w:r w:rsidR="00AA5C8C" w:rsidRPr="00A23740">
              <w:rPr>
                <w:b/>
                <w:bCs/>
                <w:color w:val="0000FF"/>
                <w:szCs w:val="24"/>
                <w:lang w:eastAsia="x-none"/>
              </w:rPr>
              <w:t>miktarda malı haczedilmiş bulunan borçlu, satış talebinden önce borcunu aylık eşit taksitlerle ve en fazla altı taksitle ödemeyi, yazılı olarak veya icra tutanağına bağlanmak kaydıyla sözlü olarak taahhüt eder ve birinci taksidi de derh</w:t>
            </w:r>
            <w:r w:rsidR="00DF22A1" w:rsidRPr="00A23740">
              <w:rPr>
                <w:b/>
                <w:bCs/>
                <w:color w:val="0000FF"/>
                <w:szCs w:val="24"/>
                <w:lang w:eastAsia="x-none"/>
              </w:rPr>
              <w:t>â</w:t>
            </w:r>
            <w:r w:rsidR="00AA5C8C" w:rsidRPr="00A23740">
              <w:rPr>
                <w:b/>
                <w:bCs/>
                <w:color w:val="0000FF"/>
                <w:szCs w:val="24"/>
                <w:lang w:eastAsia="x-none"/>
              </w:rPr>
              <w:t>l öderse</w:t>
            </w:r>
            <w:r w:rsidR="00AA5C8C" w:rsidRPr="00A23740">
              <w:rPr>
                <w:rStyle w:val="MaviChar"/>
              </w:rPr>
              <w:t>,</w:t>
            </w:r>
            <w:r w:rsidR="00AA5C8C" w:rsidRPr="00A23740">
              <w:rPr>
                <w:b/>
                <w:bCs/>
                <w:color w:val="0000FF"/>
                <w:szCs w:val="24"/>
                <w:lang w:eastAsia="x-none"/>
              </w:rPr>
              <w:t xml:space="preserve"> icra takibi taksitle ödeme taahhüdünde bulunan borçlu yönünden </w:t>
            </w:r>
            <w:r w:rsidR="00333ADB" w:rsidRPr="00A23740">
              <w:t xml:space="preserve">durur </w:t>
            </w:r>
            <w:r w:rsidR="00333ADB" w:rsidRPr="00A23740">
              <w:rPr>
                <w:rStyle w:val="MaviChar"/>
              </w:rPr>
              <w:t>ve süreler işlemez.</w:t>
            </w:r>
          </w:p>
          <w:p w:rsidR="00AA5C8C" w:rsidRPr="00A23740" w:rsidRDefault="00AA5C8C" w:rsidP="009431FF">
            <w:pPr>
              <w:tabs>
                <w:tab w:val="left" w:pos="567"/>
              </w:tabs>
            </w:pPr>
          </w:p>
          <w:p w:rsidR="000A2887" w:rsidRPr="00A23740" w:rsidRDefault="000A2887" w:rsidP="009431FF">
            <w:pPr>
              <w:tabs>
                <w:tab w:val="left" w:pos="567"/>
              </w:tabs>
            </w:pPr>
          </w:p>
          <w:p w:rsidR="004740E6" w:rsidRPr="00A23740" w:rsidRDefault="004740E6" w:rsidP="009431FF">
            <w:pPr>
              <w:tabs>
                <w:tab w:val="left" w:pos="567"/>
              </w:tabs>
            </w:pPr>
          </w:p>
          <w:p w:rsidR="00AA5C8C" w:rsidRPr="00A23740" w:rsidRDefault="00AA5C8C" w:rsidP="009431FF">
            <w:pPr>
              <w:tabs>
                <w:tab w:val="left" w:pos="567"/>
              </w:tabs>
              <w:rPr>
                <w:rFonts w:eastAsia="Times New Roman"/>
                <w:szCs w:val="24"/>
                <w:lang w:eastAsia="tr-TR"/>
              </w:rPr>
            </w:pPr>
            <w:r w:rsidRPr="00A23740">
              <w:rPr>
                <w:b/>
                <w:bCs/>
                <w:color w:val="0000FF"/>
                <w:szCs w:val="24"/>
                <w:lang w:val="x-none" w:eastAsia="x-none"/>
              </w:rPr>
              <w:t>(2)</w:t>
            </w:r>
            <w:r w:rsidRPr="00A23740">
              <w:rPr>
                <w:rFonts w:eastAsia="Times New Roman"/>
                <w:szCs w:val="24"/>
                <w:lang w:eastAsia="tr-TR"/>
              </w:rPr>
              <w:t xml:space="preserve"> Taksitlerden biri zamanında </w:t>
            </w:r>
            <w:r w:rsidRPr="00A23740">
              <w:rPr>
                <w:rFonts w:eastAsia="Times New Roman"/>
                <w:b/>
                <w:color w:val="0000FF"/>
                <w:szCs w:val="24"/>
                <w:lang w:eastAsia="tr-TR"/>
              </w:rPr>
              <w:t>ödenmezse</w:t>
            </w:r>
            <w:r w:rsidRPr="00A23740">
              <w:rPr>
                <w:rFonts w:eastAsia="Times New Roman"/>
                <w:szCs w:val="24"/>
                <w:lang w:eastAsia="tr-TR"/>
              </w:rPr>
              <w:t xml:space="preserve"> icra </w:t>
            </w:r>
            <w:r w:rsidRPr="00A23740">
              <w:rPr>
                <w:rFonts w:eastAsia="Times New Roman"/>
                <w:b/>
                <w:color w:val="0000FF"/>
                <w:szCs w:val="24"/>
                <w:lang w:eastAsia="tr-TR"/>
              </w:rPr>
              <w:t>takibi</w:t>
            </w:r>
            <w:r w:rsidRPr="00A23740">
              <w:rPr>
                <w:rFonts w:eastAsia="Times New Roman"/>
                <w:szCs w:val="24"/>
                <w:lang w:eastAsia="tr-TR"/>
              </w:rPr>
              <w:t xml:space="preserve"> ve süreler kaldığı yerden devam eder.</w:t>
            </w:r>
          </w:p>
          <w:p w:rsidR="00AA5C8C" w:rsidRPr="00A23740" w:rsidRDefault="00AA5C8C" w:rsidP="009431FF">
            <w:pPr>
              <w:pStyle w:val="KIRMIZI"/>
              <w:rPr>
                <w:b w:val="0"/>
                <w:color w:val="0000FF"/>
                <w:lang w:val="tr-TR" w:eastAsia="tr-TR"/>
              </w:rPr>
            </w:pPr>
          </w:p>
        </w:tc>
      </w:tr>
      <w:tr w:rsidR="001F6221" w:rsidRPr="00A23740" w:rsidTr="009431FF">
        <w:tblPrEx>
          <w:tblLook w:val="01E0" w:firstRow="1" w:lastRow="1" w:firstColumn="1" w:lastColumn="1" w:noHBand="0" w:noVBand="0"/>
        </w:tblPrEx>
        <w:tc>
          <w:tcPr>
            <w:tcW w:w="5000" w:type="pct"/>
            <w:gridSpan w:val="2"/>
            <w:shd w:val="clear" w:color="auto" w:fill="DEEAF6"/>
          </w:tcPr>
          <w:p w:rsidR="00523A28" w:rsidRPr="00A23740" w:rsidRDefault="00523A28" w:rsidP="009431FF">
            <w:pPr>
              <w:tabs>
                <w:tab w:val="left" w:pos="567"/>
              </w:tabs>
              <w:ind w:firstLine="709"/>
              <w:rPr>
                <w:rFonts w:eastAsia="Times New Roman"/>
                <w:b/>
                <w:szCs w:val="24"/>
                <w:lang w:eastAsia="tr-TR"/>
              </w:rPr>
            </w:pPr>
          </w:p>
          <w:p w:rsidR="00D773F7" w:rsidRPr="00A23740" w:rsidRDefault="007C3593" w:rsidP="009431FF">
            <w:pPr>
              <w:tabs>
                <w:tab w:val="left" w:pos="567"/>
              </w:tabs>
              <w:ind w:firstLine="709"/>
              <w:rPr>
                <w:rFonts w:eastAsia="Times New Roman"/>
                <w:color w:val="000000"/>
                <w:szCs w:val="24"/>
                <w:lang w:eastAsia="tr-TR"/>
              </w:rPr>
            </w:pPr>
            <w:r w:rsidRPr="00A23740">
              <w:rPr>
                <w:rFonts w:eastAsia="Times New Roman"/>
                <w:b/>
                <w:szCs w:val="24"/>
                <w:lang w:eastAsia="tr-TR"/>
              </w:rPr>
              <w:t xml:space="preserve">MADDE </w:t>
            </w:r>
            <w:r w:rsidR="0025794C" w:rsidRPr="00A23740">
              <w:rPr>
                <w:rFonts w:eastAsia="Times New Roman"/>
                <w:b/>
                <w:szCs w:val="24"/>
                <w:lang w:eastAsia="tr-TR"/>
              </w:rPr>
              <w:t>204</w:t>
            </w:r>
            <w:r w:rsidR="001F6221" w:rsidRPr="00A23740">
              <w:rPr>
                <w:rFonts w:eastAsia="Times New Roman"/>
                <w:b/>
                <w:szCs w:val="24"/>
                <w:lang w:eastAsia="tr-TR"/>
              </w:rPr>
              <w:t>-</w:t>
            </w:r>
            <w:r w:rsidR="001F6221" w:rsidRPr="00A23740">
              <w:rPr>
                <w:rFonts w:eastAsia="Times New Roman"/>
                <w:szCs w:val="24"/>
                <w:lang w:eastAsia="tr-TR"/>
              </w:rPr>
              <w:t xml:space="preserve"> Maddeyle, taksitle ödeme taahhüdünün şartları ve sonuçlarına ilişkin hususlar düzenlenmektedir. Madde, 2004 sayılı Kanunun 111 inci maddesinin birinci, ikinci ve üçüncü fıkralarına karşılık gelmekte olup,</w:t>
            </w:r>
            <w:r w:rsidR="00B75D95" w:rsidRPr="00A23740">
              <w:rPr>
                <w:rFonts w:eastAsia="Times New Roman"/>
                <w:szCs w:val="24"/>
                <w:lang w:eastAsia="tr-TR"/>
              </w:rPr>
              <w:t xml:space="preserve"> ödeme taahhüdü ve taksit sözleşmesiyle ilgili ayrım </w:t>
            </w:r>
            <w:r w:rsidR="001F6221" w:rsidRPr="00A23740">
              <w:rPr>
                <w:rFonts w:eastAsia="Times New Roman"/>
                <w:szCs w:val="24"/>
                <w:lang w:eastAsia="tr-TR"/>
              </w:rPr>
              <w:t>içerik olarak aynen muhafaza edilmektedir.</w:t>
            </w:r>
            <w:r w:rsidR="00D773F7" w:rsidRPr="00A23740">
              <w:rPr>
                <w:rFonts w:eastAsia="Times New Roman"/>
                <w:szCs w:val="24"/>
                <w:lang w:eastAsia="tr-TR"/>
              </w:rPr>
              <w:t xml:space="preserve"> </w:t>
            </w:r>
            <w:r w:rsidR="00D773F7" w:rsidRPr="00A23740">
              <w:rPr>
                <w:color w:val="000000"/>
                <w:lang w:eastAsia="tr-TR"/>
              </w:rPr>
              <w:t xml:space="preserve">Taksitle ödemenin yeri konusunda Bilim Komisyonunda yapılan tartışmalar neticesinde, taksitle ödemenin satış talebinden önce vuku bulması ve diğer taraftan borçlunun mallarının yeterli kısmına haciz konulması </w:t>
            </w:r>
            <w:r w:rsidR="00B349B3" w:rsidRPr="00A23740">
              <w:rPr>
                <w:color w:val="000000"/>
                <w:lang w:eastAsia="tr-TR"/>
              </w:rPr>
              <w:t xml:space="preserve">gerektiği </w:t>
            </w:r>
            <w:r w:rsidR="00D773F7" w:rsidRPr="00A23740">
              <w:rPr>
                <w:color w:val="000000"/>
                <w:lang w:eastAsia="tr-TR"/>
              </w:rPr>
              <w:t>dikkate alınarak, hükmün paraya çevirmeden önce, hacze tahsis edilmiş olan bölümde yer almasının sistematik olarak daha uygun olacağı sonucuna varılmıştır.</w:t>
            </w:r>
          </w:p>
          <w:p w:rsidR="001F6221" w:rsidRPr="00A23740" w:rsidRDefault="001F6221" w:rsidP="009431FF">
            <w:pPr>
              <w:tabs>
                <w:tab w:val="left" w:pos="567"/>
              </w:tabs>
              <w:ind w:firstLine="709"/>
              <w:rPr>
                <w:rFonts w:eastAsia="Times New Roman"/>
                <w:szCs w:val="24"/>
                <w:lang w:eastAsia="tr-TR"/>
              </w:rPr>
            </w:pPr>
            <w:r w:rsidRPr="00A23740">
              <w:rPr>
                <w:rFonts w:eastAsia="Times New Roman"/>
                <w:szCs w:val="24"/>
                <w:lang w:eastAsia="tr-TR"/>
              </w:rPr>
              <w:t xml:space="preserve">Birinci fıkraya göre, borca </w:t>
            </w:r>
            <w:r w:rsidR="003B460A" w:rsidRPr="00D60C1D">
              <w:rPr>
                <w:rFonts w:eastAsia="Times New Roman"/>
                <w:color w:val="000000"/>
                <w:szCs w:val="24"/>
                <w:lang w:eastAsia="tr-TR"/>
              </w:rPr>
              <w:t>yetecek</w:t>
            </w:r>
            <w:r w:rsidR="003B460A" w:rsidRPr="00A23740">
              <w:rPr>
                <w:rFonts w:eastAsia="Times New Roman"/>
                <w:szCs w:val="24"/>
                <w:lang w:eastAsia="tr-TR"/>
              </w:rPr>
              <w:t xml:space="preserve"> </w:t>
            </w:r>
            <w:r w:rsidRPr="00A23740">
              <w:rPr>
                <w:rFonts w:eastAsia="Times New Roman"/>
                <w:szCs w:val="24"/>
                <w:lang w:eastAsia="tr-TR"/>
              </w:rPr>
              <w:t>miktarda malı haczedilmiş bulunan borçlu, satış talebinden önce borcunu aylık eşit taksitlerle ve en fazla altı taksitle ödemeyi, yazılı olarak veya icra tutanağına bağla</w:t>
            </w:r>
            <w:r w:rsidR="00B349B3" w:rsidRPr="00A23740">
              <w:rPr>
                <w:rFonts w:eastAsia="Times New Roman"/>
                <w:szCs w:val="24"/>
                <w:lang w:eastAsia="tr-TR"/>
              </w:rPr>
              <w:t>t</w:t>
            </w:r>
            <w:r w:rsidRPr="00A23740">
              <w:rPr>
                <w:rFonts w:eastAsia="Times New Roman"/>
                <w:szCs w:val="24"/>
                <w:lang w:eastAsia="tr-TR"/>
              </w:rPr>
              <w:t xml:space="preserve">mak kaydıyla sözlü olarak taahhüt eder ve birinci taksidi de </w:t>
            </w:r>
            <w:r w:rsidR="00DF22A1" w:rsidRPr="00A23740">
              <w:rPr>
                <w:szCs w:val="24"/>
              </w:rPr>
              <w:t xml:space="preserve">derhâl </w:t>
            </w:r>
            <w:r w:rsidRPr="00A23740">
              <w:rPr>
                <w:rFonts w:eastAsia="Times New Roman"/>
                <w:szCs w:val="24"/>
                <w:lang w:eastAsia="tr-TR"/>
              </w:rPr>
              <w:t>öderse, icra takibi taksitle ödeme taahhüdünd</w:t>
            </w:r>
            <w:r w:rsidR="008E04ED" w:rsidRPr="00A23740">
              <w:rPr>
                <w:rFonts w:eastAsia="Times New Roman"/>
                <w:szCs w:val="24"/>
                <w:lang w:eastAsia="tr-TR"/>
              </w:rPr>
              <w:t>e bulunan borçlu yönünden durur ve süreler işlemez.</w:t>
            </w:r>
            <w:r w:rsidRPr="00A23740">
              <w:rPr>
                <w:rFonts w:eastAsia="Times New Roman"/>
                <w:szCs w:val="24"/>
                <w:lang w:eastAsia="tr-TR"/>
              </w:rPr>
              <w:t xml:space="preserve"> </w:t>
            </w:r>
            <w:r w:rsidR="002D23AC" w:rsidRPr="00A23740">
              <w:rPr>
                <w:rFonts w:eastAsia="Times New Roman"/>
                <w:szCs w:val="24"/>
                <w:lang w:eastAsia="tr-TR"/>
              </w:rPr>
              <w:t>Bu taahhüt, şartların bulunması h</w:t>
            </w:r>
            <w:r w:rsidR="001D7D44" w:rsidRPr="00A23740">
              <w:rPr>
                <w:rFonts w:eastAsia="Times New Roman"/>
                <w:szCs w:val="24"/>
                <w:lang w:eastAsia="tr-TR"/>
              </w:rPr>
              <w:t>â</w:t>
            </w:r>
            <w:r w:rsidR="002D23AC" w:rsidRPr="00A23740">
              <w:rPr>
                <w:rFonts w:eastAsia="Times New Roman"/>
                <w:szCs w:val="24"/>
                <w:lang w:eastAsia="tr-TR"/>
              </w:rPr>
              <w:t>linde alacaklının kabulüne bağlı olmaksızın işleme konulur. Taahhüdün yerine getirilmemesi</w:t>
            </w:r>
            <w:r w:rsidR="00BA26B6" w:rsidRPr="00A23740">
              <w:rPr>
                <w:rFonts w:eastAsia="Times New Roman"/>
                <w:szCs w:val="24"/>
                <w:lang w:eastAsia="tr-TR"/>
              </w:rPr>
              <w:t xml:space="preserve"> h</w:t>
            </w:r>
            <w:r w:rsidR="001D7D44" w:rsidRPr="00A23740">
              <w:rPr>
                <w:rFonts w:eastAsia="Times New Roman"/>
                <w:szCs w:val="24"/>
                <w:lang w:eastAsia="tr-TR"/>
              </w:rPr>
              <w:t>â</w:t>
            </w:r>
            <w:r w:rsidR="00BA26B6" w:rsidRPr="00A23740">
              <w:rPr>
                <w:rFonts w:eastAsia="Times New Roman"/>
                <w:szCs w:val="24"/>
                <w:lang w:eastAsia="tr-TR"/>
              </w:rPr>
              <w:t>linde Taslağın</w:t>
            </w:r>
            <w:r w:rsidR="00735952" w:rsidRPr="00A23740">
              <w:rPr>
                <w:rFonts w:eastAsia="Times New Roman"/>
                <w:szCs w:val="24"/>
                <w:lang w:eastAsia="tr-TR"/>
              </w:rPr>
              <w:t xml:space="preserve"> </w:t>
            </w:r>
            <w:r w:rsidR="00735952" w:rsidRPr="00D60C1D">
              <w:rPr>
                <w:rStyle w:val="KonuBalChar"/>
                <w:rFonts w:eastAsia="Calibri"/>
                <w:b w:val="0"/>
                <w:color w:val="000000"/>
              </w:rPr>
              <w:t>512 nci</w:t>
            </w:r>
            <w:r w:rsidR="00BA26B6" w:rsidRPr="00A23740">
              <w:t xml:space="preserve"> maddesinde</w:t>
            </w:r>
            <w:r w:rsidR="002D23AC" w:rsidRPr="00A23740">
              <w:rPr>
                <w:rFonts w:eastAsia="Times New Roman"/>
                <w:szCs w:val="24"/>
                <w:lang w:eastAsia="tr-TR"/>
              </w:rPr>
              <w:t xml:space="preserve"> </w:t>
            </w:r>
            <w:r w:rsidR="00BA26B6" w:rsidRPr="00A23740">
              <w:rPr>
                <w:rFonts w:eastAsia="Times New Roman"/>
                <w:szCs w:val="24"/>
                <w:lang w:eastAsia="tr-TR"/>
              </w:rPr>
              <w:t>düzenlenen müeyyide</w:t>
            </w:r>
            <w:r w:rsidR="002D23AC" w:rsidRPr="00A23740">
              <w:rPr>
                <w:rFonts w:eastAsia="Times New Roman"/>
                <w:szCs w:val="24"/>
                <w:lang w:eastAsia="tr-TR"/>
              </w:rPr>
              <w:t>nin</w:t>
            </w:r>
            <w:r w:rsidR="00BA26B6" w:rsidRPr="00A23740">
              <w:rPr>
                <w:rFonts w:eastAsia="Times New Roman"/>
                <w:szCs w:val="24"/>
                <w:lang w:eastAsia="tr-TR"/>
              </w:rPr>
              <w:t xml:space="preserve"> uygulanması söz konusu olacağı için</w:t>
            </w:r>
            <w:r w:rsidR="00B349B3" w:rsidRPr="00A23740">
              <w:rPr>
                <w:rFonts w:eastAsia="Times New Roman"/>
                <w:szCs w:val="24"/>
                <w:lang w:eastAsia="tr-TR"/>
              </w:rPr>
              <w:t>,</w:t>
            </w:r>
            <w:r w:rsidR="002D23AC" w:rsidRPr="00A23740">
              <w:rPr>
                <w:rFonts w:eastAsia="Times New Roman"/>
                <w:szCs w:val="24"/>
                <w:lang w:eastAsia="tr-TR"/>
              </w:rPr>
              <w:t xml:space="preserve"> </w:t>
            </w:r>
            <w:r w:rsidR="00BA26B6" w:rsidRPr="00A23740">
              <w:rPr>
                <w:rFonts w:eastAsia="Times New Roman"/>
                <w:szCs w:val="24"/>
                <w:lang w:eastAsia="tr-TR"/>
              </w:rPr>
              <w:t>her</w:t>
            </w:r>
            <w:r w:rsidR="00D773F7" w:rsidRPr="00A23740">
              <w:rPr>
                <w:rFonts w:eastAsia="Times New Roman"/>
                <w:szCs w:val="24"/>
                <w:lang w:eastAsia="tr-TR"/>
              </w:rPr>
              <w:t xml:space="preserve"> </w:t>
            </w:r>
            <w:r w:rsidR="00BA26B6" w:rsidRPr="00A23740">
              <w:rPr>
                <w:rFonts w:eastAsia="Times New Roman"/>
                <w:szCs w:val="24"/>
                <w:lang w:eastAsia="tr-TR"/>
              </w:rPr>
              <w:t>bir taksidin tutarının ve ödeme tarihinin kuşkuya yer vermeyecek şekilde açıkça tutanakta</w:t>
            </w:r>
            <w:r w:rsidR="002D23AC" w:rsidRPr="00A23740">
              <w:rPr>
                <w:rFonts w:eastAsia="Times New Roman"/>
                <w:szCs w:val="24"/>
                <w:lang w:eastAsia="tr-TR"/>
              </w:rPr>
              <w:t xml:space="preserve"> belirtilmesi gerekir. </w:t>
            </w:r>
            <w:r w:rsidRPr="00A23740">
              <w:rPr>
                <w:rFonts w:eastAsia="Times New Roman"/>
                <w:szCs w:val="24"/>
                <w:lang w:eastAsia="tr-TR"/>
              </w:rPr>
              <w:t>2004 sayılı Kanunun 111 inci maddesinin ikinci fıkrasına göre azami taksit sayısı dört iken</w:t>
            </w:r>
            <w:r w:rsidR="00D773F7" w:rsidRPr="00A23740">
              <w:rPr>
                <w:rFonts w:eastAsia="Times New Roman"/>
                <w:szCs w:val="24"/>
                <w:lang w:eastAsia="tr-TR"/>
              </w:rPr>
              <w:t>,</w:t>
            </w:r>
            <w:r w:rsidRPr="00A23740">
              <w:rPr>
                <w:rFonts w:eastAsia="Times New Roman"/>
                <w:szCs w:val="24"/>
                <w:lang w:eastAsia="tr-TR"/>
              </w:rPr>
              <w:t xml:space="preserve"> borçlunun daha elverişli koşullarda borcunu ödeyebilmesi düşüncesiyle </w:t>
            </w:r>
            <w:r w:rsidR="00523A28" w:rsidRPr="00A23740">
              <w:rPr>
                <w:rFonts w:eastAsia="Times New Roman"/>
                <w:szCs w:val="24"/>
                <w:lang w:eastAsia="tr-TR"/>
              </w:rPr>
              <w:t>hükümde</w:t>
            </w:r>
            <w:r w:rsidRPr="00A23740">
              <w:rPr>
                <w:rFonts w:eastAsia="Times New Roman"/>
                <w:szCs w:val="24"/>
                <w:lang w:eastAsia="tr-TR"/>
              </w:rPr>
              <w:t xml:space="preserve"> azami taksit sayısı artırılarak altıya çıkarılmaktadır.</w:t>
            </w:r>
            <w:r w:rsidR="000749E2" w:rsidRPr="00A23740">
              <w:rPr>
                <w:rFonts w:eastAsia="Times New Roman"/>
                <w:szCs w:val="24"/>
                <w:lang w:eastAsia="tr-TR"/>
              </w:rPr>
              <w:t xml:space="preserve"> Ayrıca, </w:t>
            </w:r>
            <w:r w:rsidR="00B75D95" w:rsidRPr="00A23740">
              <w:rPr>
                <w:rFonts w:eastAsia="Times New Roman"/>
                <w:szCs w:val="24"/>
                <w:lang w:eastAsia="tr-TR"/>
              </w:rPr>
              <w:t>borçlunun taahhütte bulunma şeklinin daha iyi uygulanması ve anlaşılması amacıyla</w:t>
            </w:r>
            <w:r w:rsidR="000749E2" w:rsidRPr="00A23740">
              <w:rPr>
                <w:rFonts w:eastAsia="Times New Roman"/>
                <w:szCs w:val="24"/>
                <w:lang w:eastAsia="tr-TR"/>
              </w:rPr>
              <w:t xml:space="preserve"> taahhüdü</w:t>
            </w:r>
            <w:r w:rsidR="00B75D95" w:rsidRPr="00A23740">
              <w:rPr>
                <w:rFonts w:eastAsia="Times New Roman"/>
                <w:szCs w:val="24"/>
                <w:lang w:eastAsia="tr-TR"/>
              </w:rPr>
              <w:t>n “yazılı veya icra tutanağına bağlanmak kaydıyla sözlü olarak”</w:t>
            </w:r>
            <w:r w:rsidR="000749E2" w:rsidRPr="00A23740">
              <w:rPr>
                <w:rFonts w:eastAsia="Times New Roman"/>
                <w:szCs w:val="24"/>
                <w:lang w:eastAsia="tr-TR"/>
              </w:rPr>
              <w:t xml:space="preserve"> </w:t>
            </w:r>
            <w:r w:rsidR="00B75D95" w:rsidRPr="00A23740">
              <w:rPr>
                <w:rFonts w:eastAsia="Times New Roman"/>
                <w:szCs w:val="24"/>
                <w:lang w:eastAsia="tr-TR"/>
              </w:rPr>
              <w:t xml:space="preserve">yapılabileceği hükümde ifade edilmektedir. </w:t>
            </w:r>
            <w:r w:rsidRPr="00A23740">
              <w:rPr>
                <w:rFonts w:eastAsia="Times New Roman"/>
                <w:szCs w:val="24"/>
                <w:lang w:eastAsia="tr-TR"/>
              </w:rPr>
              <w:t>İcra takibinin durmasından sonra, mal taksitlendirmenin yapıldığı aşamaya kadar muhafaza altına alınmamış ise taksitlendirme işleminden sonra da takibin durması nedeniyle malın muhafaza altına alınamayacağı husu</w:t>
            </w:r>
            <w:r w:rsidR="00523A28" w:rsidRPr="00A23740">
              <w:rPr>
                <w:rFonts w:eastAsia="Times New Roman"/>
                <w:szCs w:val="24"/>
                <w:lang w:eastAsia="tr-TR"/>
              </w:rPr>
              <w:t xml:space="preserve">sunda tereddüt bulunmamaktadır. </w:t>
            </w:r>
            <w:r w:rsidRPr="00A23740">
              <w:rPr>
                <w:rFonts w:eastAsia="Times New Roman"/>
                <w:szCs w:val="24"/>
                <w:lang w:eastAsia="tr-TR"/>
              </w:rPr>
              <w:t xml:space="preserve">Yine taksitlendirmeden önce maaş haczi vasıtasıyla tahsilat yapılıyorsa, taksitlendirme </w:t>
            </w:r>
            <w:r w:rsidR="00523A28" w:rsidRPr="00A23740">
              <w:rPr>
                <w:rFonts w:eastAsia="Times New Roman"/>
                <w:szCs w:val="24"/>
                <w:lang w:eastAsia="tr-TR"/>
              </w:rPr>
              <w:t>üzerine</w:t>
            </w:r>
            <w:r w:rsidRPr="00A23740">
              <w:rPr>
                <w:rFonts w:eastAsia="Times New Roman"/>
                <w:szCs w:val="24"/>
                <w:lang w:eastAsia="tr-TR"/>
              </w:rPr>
              <w:t xml:space="preserve"> takibin d</w:t>
            </w:r>
            <w:r w:rsidR="00523A28" w:rsidRPr="00A23740">
              <w:rPr>
                <w:rFonts w:eastAsia="Times New Roman"/>
                <w:szCs w:val="24"/>
                <w:lang w:eastAsia="tr-TR"/>
              </w:rPr>
              <w:t xml:space="preserve">urması nedeniyle bu kesintiler </w:t>
            </w:r>
            <w:r w:rsidRPr="00A23740">
              <w:rPr>
                <w:rFonts w:eastAsia="Times New Roman"/>
                <w:szCs w:val="24"/>
                <w:lang w:eastAsia="tr-TR"/>
              </w:rPr>
              <w:t>du</w:t>
            </w:r>
            <w:r w:rsidR="00523A28" w:rsidRPr="00A23740">
              <w:rPr>
                <w:rFonts w:eastAsia="Times New Roman"/>
                <w:szCs w:val="24"/>
                <w:lang w:eastAsia="tr-TR"/>
              </w:rPr>
              <w:t>rma süresince yapılamayacak</w:t>
            </w:r>
            <w:r w:rsidRPr="00A23740">
              <w:rPr>
                <w:rFonts w:eastAsia="Times New Roman"/>
                <w:szCs w:val="24"/>
                <w:lang w:eastAsia="tr-TR"/>
              </w:rPr>
              <w:t xml:space="preserve"> olup, ancak taksitlerden birinin vadesinde ödenememesi h</w:t>
            </w:r>
            <w:r w:rsidR="001D7D44" w:rsidRPr="00A23740">
              <w:rPr>
                <w:rFonts w:eastAsia="Times New Roman"/>
                <w:szCs w:val="24"/>
                <w:lang w:eastAsia="tr-TR"/>
              </w:rPr>
              <w:t>â</w:t>
            </w:r>
            <w:r w:rsidRPr="00A23740">
              <w:rPr>
                <w:rFonts w:eastAsia="Times New Roman"/>
                <w:szCs w:val="24"/>
                <w:lang w:eastAsia="tr-TR"/>
              </w:rPr>
              <w:t>l</w:t>
            </w:r>
            <w:r w:rsidR="00523A28" w:rsidRPr="00A23740">
              <w:rPr>
                <w:rFonts w:eastAsia="Times New Roman"/>
                <w:szCs w:val="24"/>
                <w:lang w:eastAsia="tr-TR"/>
              </w:rPr>
              <w:t xml:space="preserve">inde takibin durması sona ereceği için </w:t>
            </w:r>
            <w:r w:rsidRPr="00A23740">
              <w:rPr>
                <w:rFonts w:eastAsia="Times New Roman"/>
                <w:szCs w:val="24"/>
                <w:lang w:eastAsia="tr-TR"/>
              </w:rPr>
              <w:t xml:space="preserve">maaş haczi kesintilerine devam edilebilecektir. </w:t>
            </w:r>
          </w:p>
          <w:p w:rsidR="001F6221" w:rsidRDefault="001F6221" w:rsidP="005C601A">
            <w:pPr>
              <w:tabs>
                <w:tab w:val="left" w:pos="567"/>
              </w:tabs>
              <w:ind w:firstLine="709"/>
              <w:rPr>
                <w:rFonts w:eastAsia="Times New Roman"/>
                <w:szCs w:val="24"/>
                <w:lang w:eastAsia="tr-TR"/>
              </w:rPr>
            </w:pPr>
            <w:r w:rsidRPr="00A23740">
              <w:rPr>
                <w:rFonts w:eastAsia="Times New Roman"/>
                <w:szCs w:val="24"/>
                <w:lang w:eastAsia="tr-TR"/>
              </w:rPr>
              <w:t>İkinci fıkrayla, taksitlerden biri</w:t>
            </w:r>
            <w:r w:rsidR="0048051C" w:rsidRPr="00A23740">
              <w:rPr>
                <w:rFonts w:eastAsia="Times New Roman"/>
                <w:szCs w:val="24"/>
                <w:lang w:eastAsia="tr-TR"/>
              </w:rPr>
              <w:t>nin</w:t>
            </w:r>
            <w:r w:rsidRPr="00A23740">
              <w:rPr>
                <w:rFonts w:eastAsia="Times New Roman"/>
                <w:szCs w:val="24"/>
                <w:lang w:eastAsia="tr-TR"/>
              </w:rPr>
              <w:t xml:space="preserve"> zamanında ödenmemesi h</w:t>
            </w:r>
            <w:r w:rsidR="001D7D44" w:rsidRPr="00A23740">
              <w:rPr>
                <w:rFonts w:eastAsia="Times New Roman"/>
                <w:szCs w:val="24"/>
                <w:lang w:eastAsia="tr-TR"/>
              </w:rPr>
              <w:t>â</w:t>
            </w:r>
            <w:r w:rsidRPr="00A23740">
              <w:rPr>
                <w:rFonts w:eastAsia="Times New Roman"/>
                <w:szCs w:val="24"/>
                <w:lang w:eastAsia="tr-TR"/>
              </w:rPr>
              <w:t>linde icra takibinin ve sürelerin kaldığı yerden deva</w:t>
            </w:r>
            <w:r w:rsidR="00523A28" w:rsidRPr="00A23740">
              <w:rPr>
                <w:rFonts w:eastAsia="Times New Roman"/>
                <w:szCs w:val="24"/>
                <w:lang w:eastAsia="tr-TR"/>
              </w:rPr>
              <w:t>m edeceği hükme bağlanmaktadır.</w:t>
            </w:r>
          </w:p>
          <w:p w:rsidR="005C601A" w:rsidRPr="00A23740" w:rsidRDefault="005C601A" w:rsidP="005C601A">
            <w:pPr>
              <w:tabs>
                <w:tab w:val="left" w:pos="567"/>
              </w:tabs>
              <w:ind w:firstLine="709"/>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Style w:val="KIRMIZIChar"/>
                <w:rFonts w:eastAsia="Calibri"/>
              </w:rPr>
            </w:pPr>
            <w:r w:rsidRPr="00A23740">
              <w:rPr>
                <w:rStyle w:val="KIRMIZIChar"/>
                <w:rFonts w:eastAsia="Calibri"/>
              </w:rPr>
              <w:t>Taksitle ödeme</w:t>
            </w:r>
            <w:r w:rsidRPr="00A23740">
              <w:rPr>
                <w:rStyle w:val="KIRMIZIChar"/>
                <w:rFonts w:eastAsia="Calibri"/>
                <w:strike w:val="0"/>
              </w:rPr>
              <w:t>:</w:t>
            </w:r>
          </w:p>
          <w:p w:rsidR="00AA5C8C" w:rsidRPr="00A23740" w:rsidRDefault="00523A28" w:rsidP="009431FF">
            <w:pPr>
              <w:tabs>
                <w:tab w:val="left" w:pos="567"/>
              </w:tabs>
              <w:rPr>
                <w:rFonts w:eastAsia="Times New Roman"/>
                <w:b/>
                <w:strike/>
                <w:color w:val="FF0000"/>
                <w:szCs w:val="24"/>
                <w:lang w:eastAsia="tr-TR"/>
              </w:rPr>
            </w:pPr>
            <w:r w:rsidRPr="00A23740">
              <w:rPr>
                <w:rStyle w:val="KIRMIZIChar"/>
                <w:rFonts w:eastAsia="Calibri"/>
              </w:rPr>
              <w:t>Madde 111 – …</w:t>
            </w:r>
            <w:r w:rsidR="00AA5C8C" w:rsidRPr="00A23740">
              <w:rPr>
                <w:rFonts w:eastAsia="Times New Roman"/>
                <w:b/>
                <w:strike/>
                <w:color w:val="FF0000"/>
                <w:szCs w:val="24"/>
                <w:lang w:eastAsia="tr-TR"/>
              </w:rPr>
              <w:t xml:space="preserve"> </w:t>
            </w:r>
          </w:p>
          <w:p w:rsidR="00AA5C8C" w:rsidRPr="00A23740" w:rsidRDefault="008728D3" w:rsidP="009431FF">
            <w:pPr>
              <w:tabs>
                <w:tab w:val="left" w:pos="567"/>
              </w:tabs>
              <w:rPr>
                <w:rFonts w:eastAsia="Times New Roman"/>
                <w:szCs w:val="24"/>
                <w:lang w:eastAsia="tr-TR"/>
              </w:rPr>
            </w:pPr>
            <w:r w:rsidRPr="00A23740">
              <w:rPr>
                <w:rFonts w:eastAsia="Times New Roman"/>
                <w:b/>
                <w:strike/>
                <w:color w:val="FF0000"/>
                <w:szCs w:val="24"/>
                <w:lang w:eastAsia="tr-TR"/>
              </w:rPr>
              <w:t>(3</w:t>
            </w:r>
            <w:r w:rsidR="00AA5C8C" w:rsidRPr="00A23740">
              <w:rPr>
                <w:rFonts w:eastAsia="Times New Roman"/>
                <w:b/>
                <w:strike/>
                <w:color w:val="FF0000"/>
                <w:szCs w:val="24"/>
                <w:lang w:eastAsia="tr-TR"/>
              </w:rPr>
              <w:t>) (Ek fıkra: 9/11/1988 - 3494/13 md.; Değişik üçüncü fıkra: 17/7/2003-4949/26 md</w:t>
            </w:r>
            <w:r w:rsidRPr="00A23740">
              <w:rPr>
                <w:rStyle w:val="KIRMIZIChar"/>
                <w:rFonts w:eastAsia="Calibri"/>
              </w:rPr>
              <w:t>.)</w:t>
            </w:r>
            <w:r w:rsidR="00AA5C8C" w:rsidRPr="00A23740">
              <w:rPr>
                <w:rFonts w:eastAsia="Times New Roman"/>
                <w:b/>
                <w:szCs w:val="24"/>
                <w:lang w:eastAsia="tr-TR"/>
              </w:rPr>
              <w:t xml:space="preserve"> </w:t>
            </w:r>
            <w:r w:rsidR="00AA5C8C" w:rsidRPr="00A23740">
              <w:rPr>
                <w:rFonts w:eastAsia="Times New Roman"/>
                <w:szCs w:val="24"/>
                <w:lang w:eastAsia="tr-TR"/>
              </w:rPr>
              <w:t xml:space="preserve">Borçlu </w:t>
            </w:r>
            <w:r w:rsidR="00AA5C8C" w:rsidRPr="00A23740">
              <w:rPr>
                <w:rStyle w:val="KIRMIZIChar"/>
                <w:rFonts w:eastAsia="Calibri"/>
              </w:rPr>
              <w:t>ile</w:t>
            </w:r>
            <w:r w:rsidR="00AA5C8C" w:rsidRPr="00A23740">
              <w:rPr>
                <w:rFonts w:eastAsia="Times New Roman"/>
                <w:szCs w:val="24"/>
                <w:lang w:eastAsia="tr-TR"/>
              </w:rPr>
              <w:t xml:space="preserve"> alacaklının borcun taksitlendirilmesi için icra dairesinde yapa</w:t>
            </w:r>
            <w:r w:rsidR="00AA5C8C" w:rsidRPr="00A23740">
              <w:rPr>
                <w:rFonts w:eastAsia="Times New Roman"/>
                <w:b/>
                <w:strike/>
                <w:color w:val="FF0000"/>
                <w:szCs w:val="24"/>
                <w:lang w:eastAsia="tr-TR"/>
              </w:rPr>
              <w:t>cakları</w:t>
            </w:r>
            <w:r w:rsidR="00AA5C8C" w:rsidRPr="00A23740">
              <w:rPr>
                <w:rFonts w:eastAsia="Times New Roman"/>
                <w:szCs w:val="24"/>
                <w:lang w:eastAsia="tr-TR"/>
              </w:rPr>
              <w:t xml:space="preserve"> sözleşme </w:t>
            </w:r>
            <w:r w:rsidR="00AA5C8C" w:rsidRPr="00A23740">
              <w:rPr>
                <w:rFonts w:eastAsia="Times New Roman"/>
                <w:b/>
                <w:strike/>
                <w:color w:val="FF0000"/>
                <w:szCs w:val="24"/>
                <w:lang w:eastAsia="tr-TR"/>
              </w:rPr>
              <w:t>veya</w:t>
            </w:r>
            <w:r w:rsidR="00AA5C8C" w:rsidRPr="00A23740">
              <w:rPr>
                <w:rFonts w:eastAsia="Times New Roman"/>
                <w:szCs w:val="24"/>
                <w:lang w:eastAsia="tr-TR"/>
              </w:rPr>
              <w:t xml:space="preserve"> sözleşmelerin devamı süresince </w:t>
            </w:r>
            <w:r w:rsidR="00AA5C8C" w:rsidRPr="00A23740">
              <w:rPr>
                <w:rFonts w:eastAsia="Times New Roman"/>
                <w:b/>
                <w:strike/>
                <w:color w:val="FF0000"/>
                <w:szCs w:val="24"/>
                <w:lang w:eastAsia="tr-TR"/>
              </w:rPr>
              <w:t>106 ve 150/e maddelerindeki</w:t>
            </w:r>
            <w:r w:rsidR="00AA5C8C" w:rsidRPr="00A23740">
              <w:rPr>
                <w:rFonts w:eastAsia="Times New Roman"/>
                <w:szCs w:val="24"/>
                <w:lang w:eastAsia="tr-TR"/>
              </w:rPr>
              <w:t xml:space="preserve"> süreler işlemez. Ancak bu sözleşme </w:t>
            </w:r>
            <w:r w:rsidR="00AA5C8C" w:rsidRPr="00A23740">
              <w:rPr>
                <w:rFonts w:eastAsia="Times New Roman"/>
                <w:b/>
                <w:strike/>
                <w:color w:val="FF0000"/>
                <w:szCs w:val="24"/>
                <w:lang w:eastAsia="tr-TR"/>
              </w:rPr>
              <w:t>veya</w:t>
            </w:r>
            <w:r w:rsidR="00AA5C8C" w:rsidRPr="00A23740">
              <w:rPr>
                <w:rFonts w:eastAsia="Times New Roman"/>
                <w:szCs w:val="24"/>
                <w:lang w:eastAsia="tr-TR"/>
              </w:rPr>
              <w:t xml:space="preserve"> sözleşmelerin toplam süresinin on yılı aşması hâlinde</w:t>
            </w:r>
            <w:r w:rsidR="00AA5C8C" w:rsidRPr="00A23740">
              <w:rPr>
                <w:rStyle w:val="KIRMIZIChar"/>
                <w:rFonts w:eastAsia="Calibri"/>
              </w:rPr>
              <w:t>,</w:t>
            </w:r>
            <w:r w:rsidR="00AA5C8C" w:rsidRPr="00A23740">
              <w:rPr>
                <w:rFonts w:eastAsia="Times New Roman"/>
                <w:szCs w:val="24"/>
                <w:lang w:eastAsia="tr-TR"/>
              </w:rPr>
              <w:t xml:space="preserve"> aştığı tarihten itibaren süreler kaldığı yerden işlemeye başlar.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KIRMIZI"/>
              <w:rPr>
                <w:i/>
                <w:lang w:eastAsia="tr-TR"/>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Taksit sözleşmesinin şartları ve sonuçları</w:t>
            </w:r>
          </w:p>
          <w:p w:rsidR="00AA5C8C" w:rsidRPr="00A23740" w:rsidRDefault="00AA5C8C" w:rsidP="009431FF">
            <w:pPr>
              <w:tabs>
                <w:tab w:val="left" w:pos="567"/>
              </w:tabs>
              <w:rPr>
                <w:rStyle w:val="KIRMIZIChar"/>
                <w:rFonts w:eastAsia="Calibri"/>
              </w:rPr>
            </w:pPr>
            <w:r w:rsidRPr="00A23740">
              <w:rPr>
                <w:rFonts w:eastAsia="Times New Roman"/>
                <w:b/>
                <w:color w:val="0000FF"/>
                <w:lang w:eastAsia="tr-TR"/>
              </w:rPr>
              <w:t xml:space="preserve">MADDE </w:t>
            </w:r>
            <w:r w:rsidR="0025794C" w:rsidRPr="00A23740">
              <w:rPr>
                <w:rFonts w:eastAsia="Times New Roman"/>
                <w:b/>
                <w:color w:val="0000FF"/>
                <w:lang w:eastAsia="tr-TR"/>
              </w:rPr>
              <w:t>205</w:t>
            </w:r>
            <w:r w:rsidRPr="00A23740">
              <w:rPr>
                <w:rFonts w:eastAsia="Times New Roman"/>
                <w:b/>
                <w:color w:val="0000FF"/>
                <w:lang w:eastAsia="tr-TR"/>
              </w:rPr>
              <w:t>-</w:t>
            </w:r>
            <w:r w:rsidRPr="00A23740">
              <w:t xml:space="preserve"> </w:t>
            </w:r>
            <w:r w:rsidRPr="00A23740">
              <w:rPr>
                <w:rStyle w:val="MaviChar"/>
                <w:lang w:val="tr-TR"/>
              </w:rPr>
              <w:t>(1)</w:t>
            </w:r>
            <w:r w:rsidRPr="00A23740">
              <w:rPr>
                <w:rFonts w:eastAsia="Times New Roman"/>
                <w:szCs w:val="24"/>
                <w:lang w:eastAsia="tr-TR"/>
              </w:rPr>
              <w:t xml:space="preserve"> Borçlu </w:t>
            </w:r>
            <w:r w:rsidRPr="00A23740">
              <w:rPr>
                <w:rStyle w:val="MaviChar"/>
                <w:lang w:val="tr-TR"/>
              </w:rPr>
              <w:t>ve</w:t>
            </w:r>
            <w:r w:rsidRPr="00A23740">
              <w:rPr>
                <w:rFonts w:eastAsia="Times New Roman"/>
                <w:szCs w:val="24"/>
                <w:lang w:eastAsia="tr-TR"/>
              </w:rPr>
              <w:t xml:space="preserve"> alacaklı</w:t>
            </w:r>
            <w:r w:rsidRPr="00A23740">
              <w:rPr>
                <w:rStyle w:val="MaviChar"/>
              </w:rPr>
              <w:t>,</w:t>
            </w:r>
            <w:r w:rsidRPr="00A23740">
              <w:rPr>
                <w:rFonts w:eastAsia="Times New Roman"/>
                <w:szCs w:val="24"/>
                <w:lang w:eastAsia="tr-TR"/>
              </w:rPr>
              <w:t xml:space="preserve"> borcun taksitlendirilmesi için </w:t>
            </w:r>
            <w:r w:rsidRPr="00A23740">
              <w:rPr>
                <w:rStyle w:val="MaviChar"/>
                <w:lang w:val="tr-TR"/>
              </w:rPr>
              <w:t xml:space="preserve">haciz mahallinde icra </w:t>
            </w:r>
            <w:r w:rsidRPr="00A23740">
              <w:rPr>
                <w:rStyle w:val="MaviChar"/>
              </w:rPr>
              <w:t>ve iflas</w:t>
            </w:r>
            <w:r w:rsidRPr="00A23740">
              <w:rPr>
                <w:rStyle w:val="YELChar"/>
              </w:rPr>
              <w:t xml:space="preserve"> </w:t>
            </w:r>
            <w:r w:rsidR="002B6E0A" w:rsidRPr="00D33D21">
              <w:rPr>
                <w:rStyle w:val="MaviChar"/>
              </w:rPr>
              <w:t xml:space="preserve">dairesi </w:t>
            </w:r>
            <w:r w:rsidR="008F4DE3" w:rsidRPr="00D33D21">
              <w:rPr>
                <w:rStyle w:val="MaviChar"/>
              </w:rPr>
              <w:t>görevlisi</w:t>
            </w:r>
            <w:r w:rsidR="008F4DE3" w:rsidRPr="00A23740">
              <w:rPr>
                <w:rStyle w:val="YELChar"/>
              </w:rPr>
              <w:t xml:space="preserve"> </w:t>
            </w:r>
            <w:r w:rsidRPr="00A23740">
              <w:rPr>
                <w:rStyle w:val="MaviChar"/>
                <w:lang w:val="tr-TR"/>
              </w:rPr>
              <w:t>huzurunda veya</w:t>
            </w:r>
            <w:r w:rsidRPr="00A23740">
              <w:rPr>
                <w:rFonts w:eastAsia="Times New Roman"/>
                <w:szCs w:val="24"/>
                <w:lang w:eastAsia="tr-TR"/>
              </w:rPr>
              <w:t xml:space="preserve"> </w:t>
            </w:r>
            <w:r w:rsidR="00B349B3" w:rsidRPr="00A23740">
              <w:rPr>
                <w:rFonts w:eastAsia="Times New Roman"/>
                <w:szCs w:val="24"/>
                <w:lang w:eastAsia="tr-TR"/>
              </w:rPr>
              <w:t xml:space="preserve">haciz mahalli dışında </w:t>
            </w:r>
            <w:r w:rsidRPr="00A23740">
              <w:rPr>
                <w:rFonts w:eastAsia="Times New Roman"/>
                <w:szCs w:val="24"/>
                <w:lang w:eastAsia="tr-TR"/>
              </w:rPr>
              <w:t xml:space="preserve">icra </w:t>
            </w:r>
            <w:r w:rsidRPr="00A23740">
              <w:rPr>
                <w:rStyle w:val="MaviChar"/>
              </w:rPr>
              <w:t>ve iflas</w:t>
            </w:r>
            <w:r w:rsidRPr="00A23740">
              <w:rPr>
                <w:rStyle w:val="YELChar"/>
              </w:rPr>
              <w:t xml:space="preserve"> </w:t>
            </w:r>
            <w:r w:rsidRPr="00A23740">
              <w:rPr>
                <w:rFonts w:eastAsia="Times New Roman"/>
                <w:szCs w:val="24"/>
                <w:lang w:eastAsia="tr-TR"/>
              </w:rPr>
              <w:t xml:space="preserve">dairesinde </w:t>
            </w:r>
            <w:r w:rsidR="008F4DE3" w:rsidRPr="00D33D21">
              <w:rPr>
                <w:rStyle w:val="MaviChar"/>
              </w:rPr>
              <w:t>anlaşarak taksit sözleşmesi yapabilirler.</w:t>
            </w:r>
          </w:p>
          <w:p w:rsidR="002D23AC" w:rsidRPr="00A23740" w:rsidRDefault="002D23AC" w:rsidP="009431FF">
            <w:pPr>
              <w:tabs>
                <w:tab w:val="left" w:pos="567"/>
              </w:tabs>
              <w:rPr>
                <w:rFonts w:eastAsia="Times New Roman"/>
                <w:szCs w:val="24"/>
                <w:lang w:eastAsia="tr-TR"/>
              </w:rPr>
            </w:pPr>
          </w:p>
          <w:p w:rsidR="00425DCC" w:rsidRPr="00A23740" w:rsidRDefault="00AA5C8C" w:rsidP="009431FF">
            <w:pPr>
              <w:tabs>
                <w:tab w:val="left" w:pos="567"/>
              </w:tabs>
              <w:rPr>
                <w:rFonts w:eastAsia="Times New Roman"/>
                <w:szCs w:val="24"/>
                <w:lang w:eastAsia="tr-TR"/>
              </w:rPr>
            </w:pPr>
            <w:r w:rsidRPr="00A23740">
              <w:rPr>
                <w:rStyle w:val="MaviChar"/>
              </w:rPr>
              <w:t>(2)</w:t>
            </w:r>
            <w:r w:rsidRPr="00A23740">
              <w:rPr>
                <w:rFonts w:eastAsia="Times New Roman"/>
                <w:szCs w:val="24"/>
                <w:lang w:eastAsia="tr-TR"/>
              </w:rPr>
              <w:t xml:space="preserve"> </w:t>
            </w:r>
            <w:r w:rsidRPr="00A23740">
              <w:rPr>
                <w:rStyle w:val="MaviChar"/>
                <w:lang w:val="tr-TR"/>
              </w:rPr>
              <w:t>Taksit</w:t>
            </w:r>
            <w:r w:rsidRPr="00A23740">
              <w:rPr>
                <w:rFonts w:eastAsia="Times New Roman"/>
                <w:szCs w:val="24"/>
                <w:lang w:eastAsia="tr-TR"/>
              </w:rPr>
              <w:t xml:space="preserve"> sözleşmesi </w:t>
            </w:r>
            <w:r w:rsidRPr="00A23740">
              <w:rPr>
                <w:rStyle w:val="MaviChar"/>
                <w:lang w:val="tr-TR"/>
              </w:rPr>
              <w:t>ve sonraki</w:t>
            </w:r>
            <w:r w:rsidRPr="00A23740">
              <w:rPr>
                <w:rFonts w:eastAsia="Times New Roman"/>
                <w:b/>
                <w:color w:val="0000FF"/>
                <w:szCs w:val="24"/>
                <w:lang w:eastAsia="tr-TR"/>
              </w:rPr>
              <w:t xml:space="preserve"> taksitlendirme</w:t>
            </w:r>
            <w:r w:rsidRPr="00A23740">
              <w:rPr>
                <w:rFonts w:eastAsia="Times New Roman"/>
                <w:szCs w:val="24"/>
                <w:lang w:eastAsia="tr-TR"/>
              </w:rPr>
              <w:t xml:space="preserve"> sözleşmelerinin devamı süresince </w:t>
            </w:r>
            <w:r w:rsidRPr="00A23740">
              <w:rPr>
                <w:rFonts w:eastAsia="Times New Roman"/>
                <w:b/>
                <w:color w:val="0000FF"/>
                <w:szCs w:val="24"/>
                <w:lang w:eastAsia="tr-TR"/>
              </w:rPr>
              <w:t>takip durur ve</w:t>
            </w:r>
            <w:r w:rsidRPr="00A23740">
              <w:rPr>
                <w:rFonts w:eastAsia="Times New Roman"/>
                <w:szCs w:val="24"/>
                <w:lang w:eastAsia="tr-TR"/>
              </w:rPr>
              <w:t xml:space="preserve"> süreler işlemez. </w:t>
            </w:r>
            <w:r w:rsidR="000A3F8D" w:rsidRPr="00A23740">
              <w:rPr>
                <w:rStyle w:val="MaviChar"/>
              </w:rPr>
              <w:t>Taksitlerden biri zamanında ödenmezse icra takibi ve süreler kaldığı yerden devam eder.</w:t>
            </w:r>
            <w:r w:rsidR="000A3F8D" w:rsidRPr="00A23740">
              <w:t xml:space="preserve"> </w:t>
            </w:r>
            <w:r w:rsidRPr="00A23740">
              <w:rPr>
                <w:rFonts w:eastAsia="Times New Roman"/>
                <w:szCs w:val="24"/>
                <w:lang w:eastAsia="tr-TR"/>
              </w:rPr>
              <w:t xml:space="preserve">Ancak bu sözleşme ve </w:t>
            </w:r>
            <w:r w:rsidRPr="00A23740">
              <w:rPr>
                <w:rFonts w:eastAsia="Times New Roman"/>
                <w:b/>
                <w:color w:val="0000FF"/>
                <w:szCs w:val="24"/>
                <w:lang w:eastAsia="tr-TR"/>
              </w:rPr>
              <w:t>sonraki taksitlendirme</w:t>
            </w:r>
            <w:r w:rsidRPr="00A23740">
              <w:rPr>
                <w:rFonts w:eastAsia="Times New Roman"/>
                <w:szCs w:val="24"/>
                <w:lang w:eastAsia="tr-TR"/>
              </w:rPr>
              <w:t xml:space="preserve"> sözleşmelerinin toplam s</w:t>
            </w:r>
            <w:r w:rsidR="000A3F8D" w:rsidRPr="00A23740">
              <w:rPr>
                <w:rFonts w:eastAsia="Times New Roman"/>
                <w:szCs w:val="24"/>
                <w:lang w:eastAsia="tr-TR"/>
              </w:rPr>
              <w:t xml:space="preserve">üresinin on yılı aşması hâlinde </w:t>
            </w:r>
            <w:r w:rsidR="000A3F8D" w:rsidRPr="00A23740">
              <w:rPr>
                <w:rStyle w:val="MaviChar"/>
              </w:rPr>
              <w:t>ise</w:t>
            </w:r>
            <w:r w:rsidRPr="00A23740">
              <w:rPr>
                <w:rFonts w:eastAsia="Times New Roman"/>
                <w:szCs w:val="24"/>
                <w:lang w:eastAsia="tr-TR"/>
              </w:rPr>
              <w:t xml:space="preserve"> aştığı tarihten itibaren</w:t>
            </w:r>
            <w:r w:rsidR="000A3F8D" w:rsidRPr="00A23740">
              <w:rPr>
                <w:rFonts w:eastAsia="Times New Roman"/>
                <w:szCs w:val="24"/>
                <w:lang w:eastAsia="tr-TR"/>
              </w:rPr>
              <w:t xml:space="preserve"> </w:t>
            </w:r>
            <w:r w:rsidRPr="00A23740">
              <w:rPr>
                <w:rFonts w:eastAsia="Times New Roman"/>
                <w:szCs w:val="24"/>
                <w:lang w:eastAsia="tr-TR"/>
              </w:rPr>
              <w:t>süreler kaldığı yerden işlemeye başlar.</w:t>
            </w:r>
          </w:p>
          <w:p w:rsidR="00425DCC" w:rsidRPr="00A23740" w:rsidRDefault="00425DCC" w:rsidP="009431FF">
            <w:pPr>
              <w:tabs>
                <w:tab w:val="left" w:pos="567"/>
              </w:tabs>
              <w:rPr>
                <w:lang w:eastAsia="tr-TR"/>
              </w:rPr>
            </w:pPr>
          </w:p>
        </w:tc>
      </w:tr>
      <w:tr w:rsidR="001F6221" w:rsidRPr="00A23740" w:rsidTr="009431FF">
        <w:tblPrEx>
          <w:tblLook w:val="01E0" w:firstRow="1" w:lastRow="1" w:firstColumn="1" w:lastColumn="1" w:noHBand="0" w:noVBand="0"/>
        </w:tblPrEx>
        <w:tc>
          <w:tcPr>
            <w:tcW w:w="5000" w:type="pct"/>
            <w:gridSpan w:val="2"/>
            <w:shd w:val="clear" w:color="auto" w:fill="DEEAF6"/>
          </w:tcPr>
          <w:p w:rsidR="0048051C" w:rsidRPr="00A23740" w:rsidRDefault="0048051C" w:rsidP="009431FF">
            <w:pPr>
              <w:tabs>
                <w:tab w:val="left" w:pos="567"/>
              </w:tabs>
              <w:ind w:firstLine="709"/>
              <w:rPr>
                <w:rFonts w:eastAsia="Times New Roman"/>
                <w:b/>
                <w:szCs w:val="24"/>
                <w:lang w:eastAsia="tr-TR"/>
              </w:rPr>
            </w:pPr>
          </w:p>
          <w:p w:rsidR="001F6221" w:rsidRPr="00A23740" w:rsidRDefault="001F6221" w:rsidP="009431FF">
            <w:pPr>
              <w:tabs>
                <w:tab w:val="left" w:pos="567"/>
              </w:tabs>
              <w:ind w:firstLine="709"/>
              <w:rPr>
                <w:rFonts w:eastAsia="Times New Roman"/>
                <w:szCs w:val="24"/>
                <w:lang w:eastAsia="tr-TR"/>
              </w:rPr>
            </w:pPr>
            <w:r w:rsidRPr="00A23740">
              <w:rPr>
                <w:rFonts w:eastAsia="Times New Roman"/>
                <w:b/>
                <w:szCs w:val="24"/>
                <w:lang w:eastAsia="tr-TR"/>
              </w:rPr>
              <w:t xml:space="preserve">MADDE </w:t>
            </w:r>
            <w:r w:rsidR="0025794C" w:rsidRPr="00A23740">
              <w:rPr>
                <w:rFonts w:eastAsia="Times New Roman"/>
                <w:b/>
                <w:szCs w:val="24"/>
                <w:lang w:eastAsia="tr-TR"/>
              </w:rPr>
              <w:t>205</w:t>
            </w:r>
            <w:r w:rsidRPr="00A23740">
              <w:rPr>
                <w:rFonts w:eastAsia="Times New Roman"/>
                <w:b/>
                <w:szCs w:val="24"/>
                <w:lang w:eastAsia="tr-TR"/>
              </w:rPr>
              <w:t>-</w:t>
            </w:r>
            <w:r w:rsidRPr="00A23740">
              <w:rPr>
                <w:rFonts w:eastAsia="Times New Roman"/>
                <w:szCs w:val="24"/>
                <w:lang w:eastAsia="tr-TR"/>
              </w:rPr>
              <w:t xml:space="preserve"> Maddeyle, taksit sözleşmesinin şartları ve sonuçlarına ilişkin hususlar düzenlenmektedir. Madde, 2004 sayılı Kanunun 111 inci maddesinin dördüncü fıkrasına karşılık gelmekte olup, içerik olarak aynen muhafaza edilmektedir.</w:t>
            </w:r>
          </w:p>
          <w:p w:rsidR="001F6221" w:rsidRPr="00A23740" w:rsidRDefault="001F6221" w:rsidP="009431FF">
            <w:pPr>
              <w:tabs>
                <w:tab w:val="left" w:pos="567"/>
              </w:tabs>
              <w:ind w:firstLine="709"/>
              <w:rPr>
                <w:rFonts w:eastAsia="Times New Roman"/>
                <w:szCs w:val="24"/>
                <w:lang w:eastAsia="tr-TR"/>
              </w:rPr>
            </w:pPr>
            <w:r w:rsidRPr="00A23740">
              <w:rPr>
                <w:rFonts w:eastAsia="Times New Roman"/>
                <w:szCs w:val="24"/>
                <w:lang w:eastAsia="tr-TR"/>
              </w:rPr>
              <w:t xml:space="preserve">Birinci fıkrayla, borçlu ve alacaklının, borcun taksitlendirilmesi için haciz mahallinde icra </w:t>
            </w:r>
            <w:r w:rsidR="007D74DD" w:rsidRPr="00D60C1D">
              <w:rPr>
                <w:color w:val="000000"/>
              </w:rPr>
              <w:t>ve iflas</w:t>
            </w:r>
            <w:r w:rsidR="007D74DD" w:rsidRPr="00A23740">
              <w:rPr>
                <w:b/>
                <w:color w:val="385623"/>
              </w:rPr>
              <w:t xml:space="preserve"> </w:t>
            </w:r>
            <w:r w:rsidRPr="00A23740">
              <w:rPr>
                <w:rFonts w:eastAsia="Times New Roman"/>
                <w:szCs w:val="24"/>
                <w:lang w:eastAsia="tr-TR"/>
              </w:rPr>
              <w:t>müdürü huzurunda veya icra</w:t>
            </w:r>
            <w:r w:rsidR="00B73523" w:rsidRPr="00A23740">
              <w:rPr>
                <w:b/>
                <w:color w:val="538135"/>
              </w:rPr>
              <w:t xml:space="preserve"> </w:t>
            </w:r>
            <w:r w:rsidR="00B73523" w:rsidRPr="00D60C1D">
              <w:rPr>
                <w:color w:val="000000"/>
              </w:rPr>
              <w:t>ve iflas</w:t>
            </w:r>
            <w:r w:rsidRPr="00A23740">
              <w:rPr>
                <w:rFonts w:eastAsia="Times New Roman"/>
                <w:szCs w:val="24"/>
                <w:lang w:eastAsia="tr-TR"/>
              </w:rPr>
              <w:t xml:space="preserve"> dairesinde taksit sözleşmesi </w:t>
            </w:r>
            <w:r w:rsidR="00B349B3" w:rsidRPr="00A23740">
              <w:rPr>
                <w:rFonts w:eastAsia="Times New Roman"/>
                <w:szCs w:val="24"/>
                <w:lang w:eastAsia="tr-TR"/>
              </w:rPr>
              <w:t xml:space="preserve">yapabilecekleri </w:t>
            </w:r>
            <w:r w:rsidRPr="00A23740">
              <w:rPr>
                <w:rFonts w:eastAsia="Times New Roman"/>
                <w:szCs w:val="24"/>
                <w:lang w:eastAsia="tr-TR"/>
              </w:rPr>
              <w:t>hükme bağlanmaktadır.</w:t>
            </w:r>
            <w:r w:rsidR="002D23AC" w:rsidRPr="00A23740">
              <w:rPr>
                <w:rFonts w:eastAsia="Times New Roman"/>
                <w:szCs w:val="24"/>
                <w:lang w:eastAsia="tr-TR"/>
              </w:rPr>
              <w:t xml:space="preserve"> Hükümde sözleşmenin yapılacağı zaman bakımından bir kısıtlama yer almadığından</w:t>
            </w:r>
            <w:r w:rsidR="00B349B3" w:rsidRPr="00A23740">
              <w:rPr>
                <w:rFonts w:eastAsia="Times New Roman"/>
                <w:szCs w:val="24"/>
                <w:lang w:eastAsia="tr-TR"/>
              </w:rPr>
              <w:t>.</w:t>
            </w:r>
            <w:r w:rsidR="002D23AC" w:rsidRPr="00A23740">
              <w:rPr>
                <w:rFonts w:eastAsia="Times New Roman"/>
                <w:szCs w:val="24"/>
                <w:lang w:eastAsia="tr-TR"/>
              </w:rPr>
              <w:t xml:space="preserve"> bu sözleşme hacizden önce veya hacizden sonra yapılabilir. </w:t>
            </w:r>
            <w:r w:rsidR="00BA26B6" w:rsidRPr="00A23740">
              <w:rPr>
                <w:rFonts w:eastAsia="Times New Roman"/>
                <w:szCs w:val="24"/>
                <w:lang w:eastAsia="tr-TR"/>
              </w:rPr>
              <w:t>Sözleşme uyarınca kabul edilen ödeme yükümlülüğünün yerine getirilmemesi h</w:t>
            </w:r>
            <w:r w:rsidR="00A56090" w:rsidRPr="00A23740">
              <w:rPr>
                <w:rFonts w:eastAsia="Times New Roman"/>
                <w:szCs w:val="24"/>
                <w:lang w:eastAsia="tr-TR"/>
              </w:rPr>
              <w:t>â</w:t>
            </w:r>
            <w:r w:rsidR="00BA26B6" w:rsidRPr="00A23740">
              <w:rPr>
                <w:rFonts w:eastAsia="Times New Roman"/>
                <w:szCs w:val="24"/>
                <w:lang w:eastAsia="tr-TR"/>
              </w:rPr>
              <w:t>linde</w:t>
            </w:r>
            <w:r w:rsidR="00A56090" w:rsidRPr="00A23740">
              <w:rPr>
                <w:rFonts w:eastAsia="Times New Roman"/>
                <w:szCs w:val="24"/>
                <w:lang w:eastAsia="tr-TR"/>
              </w:rPr>
              <w:t>,</w:t>
            </w:r>
            <w:r w:rsidR="00BA26B6" w:rsidRPr="00A23740">
              <w:rPr>
                <w:rFonts w:eastAsia="Times New Roman"/>
                <w:szCs w:val="24"/>
                <w:lang w:eastAsia="tr-TR"/>
              </w:rPr>
              <w:t xml:space="preserve"> Taslağın </w:t>
            </w:r>
            <w:r w:rsidR="00C072C8" w:rsidRPr="00D60C1D">
              <w:rPr>
                <w:rStyle w:val="KonuBalChar"/>
                <w:rFonts w:eastAsia="Calibri"/>
                <w:b w:val="0"/>
                <w:color w:val="000000"/>
              </w:rPr>
              <w:t>512 nci</w:t>
            </w:r>
            <w:r w:rsidR="00C072C8" w:rsidRPr="00A23740">
              <w:t xml:space="preserve"> </w:t>
            </w:r>
            <w:r w:rsidR="00BA26B6" w:rsidRPr="00A23740">
              <w:t>maddesinde</w:t>
            </w:r>
            <w:r w:rsidR="00BA26B6" w:rsidRPr="00A23740">
              <w:rPr>
                <w:rFonts w:eastAsia="Times New Roman"/>
                <w:szCs w:val="24"/>
                <w:lang w:eastAsia="tr-TR"/>
              </w:rPr>
              <w:t xml:space="preserve"> düzenlenen müeyyidenin uygulanması söz konusu olacağı için</w:t>
            </w:r>
            <w:r w:rsidR="00A56090" w:rsidRPr="00A23740">
              <w:rPr>
                <w:rFonts w:eastAsia="Times New Roman"/>
                <w:szCs w:val="24"/>
                <w:lang w:eastAsia="tr-TR"/>
              </w:rPr>
              <w:t>,</w:t>
            </w:r>
            <w:r w:rsidR="00BA26B6" w:rsidRPr="00A23740">
              <w:rPr>
                <w:rFonts w:eastAsia="Times New Roman"/>
                <w:szCs w:val="24"/>
                <w:lang w:eastAsia="tr-TR"/>
              </w:rPr>
              <w:t xml:space="preserve"> her</w:t>
            </w:r>
            <w:r w:rsidR="00A56090" w:rsidRPr="00A23740">
              <w:rPr>
                <w:rFonts w:eastAsia="Times New Roman"/>
                <w:szCs w:val="24"/>
                <w:lang w:eastAsia="tr-TR"/>
              </w:rPr>
              <w:t xml:space="preserve"> </w:t>
            </w:r>
            <w:r w:rsidR="00BA26B6" w:rsidRPr="00A23740">
              <w:rPr>
                <w:rFonts w:eastAsia="Times New Roman"/>
                <w:szCs w:val="24"/>
                <w:lang w:eastAsia="tr-TR"/>
              </w:rPr>
              <w:t xml:space="preserve">bir taksidin tutarının ve ödeme tarihinin kuşkuya yer vermeyecek şekilde açıkça sözleşmede belirtilmesi gerekir. </w:t>
            </w:r>
            <w:r w:rsidR="00F95F85" w:rsidRPr="00A23740">
              <w:rPr>
                <w:rFonts w:eastAsia="Times New Roman"/>
                <w:szCs w:val="24"/>
                <w:lang w:eastAsia="tr-TR"/>
              </w:rPr>
              <w:t xml:space="preserve">2004 sayılı </w:t>
            </w:r>
            <w:r w:rsidR="00A56090" w:rsidRPr="00D60C1D">
              <w:rPr>
                <w:rStyle w:val="Balk1Char"/>
                <w:rFonts w:eastAsia="Calibri"/>
                <w:b w:val="0"/>
                <w:color w:val="000000"/>
              </w:rPr>
              <w:t>Kanunda</w:t>
            </w:r>
            <w:r w:rsidR="00A56090" w:rsidRPr="00A23740">
              <w:rPr>
                <w:rFonts w:eastAsia="Times New Roman"/>
                <w:szCs w:val="24"/>
                <w:lang w:eastAsia="tr-TR"/>
              </w:rPr>
              <w:t xml:space="preserve"> </w:t>
            </w:r>
            <w:r w:rsidR="00F95F85" w:rsidRPr="00A23740">
              <w:rPr>
                <w:rFonts w:eastAsia="Times New Roman"/>
                <w:szCs w:val="24"/>
                <w:lang w:eastAsia="tr-TR"/>
              </w:rPr>
              <w:t>sözleşmenin icra</w:t>
            </w:r>
            <w:r w:rsidR="00B73523" w:rsidRPr="00A23740">
              <w:rPr>
                <w:b/>
                <w:color w:val="538135"/>
              </w:rPr>
              <w:t xml:space="preserve"> </w:t>
            </w:r>
            <w:r w:rsidR="00B73523" w:rsidRPr="00D60C1D">
              <w:rPr>
                <w:color w:val="000000"/>
              </w:rPr>
              <w:t>ve iflas</w:t>
            </w:r>
            <w:r w:rsidR="00F95F85" w:rsidRPr="00A23740">
              <w:rPr>
                <w:rFonts w:eastAsia="Times New Roman"/>
                <w:szCs w:val="24"/>
                <w:lang w:eastAsia="tr-TR"/>
              </w:rPr>
              <w:t xml:space="preserve"> dairesinde yapılacağı belirtilmiş iken</w:t>
            </w:r>
            <w:r w:rsidR="00A56090" w:rsidRPr="00A23740">
              <w:rPr>
                <w:rFonts w:eastAsia="Times New Roman"/>
                <w:szCs w:val="24"/>
                <w:lang w:eastAsia="tr-TR"/>
              </w:rPr>
              <w:t>,</w:t>
            </w:r>
            <w:r w:rsidR="00F95F85" w:rsidRPr="00A23740">
              <w:rPr>
                <w:rFonts w:eastAsia="Times New Roman"/>
                <w:szCs w:val="24"/>
                <w:lang w:eastAsia="tr-TR"/>
              </w:rPr>
              <w:t xml:space="preserve"> </w:t>
            </w:r>
            <w:r w:rsidR="00A56090" w:rsidRPr="00D60C1D">
              <w:rPr>
                <w:rStyle w:val="Balk1Char"/>
                <w:rFonts w:eastAsia="Calibri"/>
                <w:b w:val="0"/>
                <w:color w:val="000000"/>
              </w:rPr>
              <w:t>gelişen uygulama doğrultusunda Taslakta</w:t>
            </w:r>
            <w:r w:rsidR="00A56090" w:rsidRPr="00D60C1D">
              <w:rPr>
                <w:rFonts w:eastAsia="Times New Roman"/>
                <w:b/>
                <w:color w:val="000000"/>
                <w:szCs w:val="24"/>
                <w:lang w:eastAsia="tr-TR"/>
              </w:rPr>
              <w:t xml:space="preserve"> </w:t>
            </w:r>
            <w:r w:rsidR="00A56090" w:rsidRPr="00D60C1D">
              <w:rPr>
                <w:rStyle w:val="Balk1Char"/>
                <w:rFonts w:eastAsia="Calibri"/>
                <w:b w:val="0"/>
                <w:color w:val="000000"/>
              </w:rPr>
              <w:t>bu sözleşmenin</w:t>
            </w:r>
            <w:r w:rsidR="00A56090" w:rsidRPr="00A23740">
              <w:rPr>
                <w:rFonts w:eastAsia="Times New Roman"/>
                <w:szCs w:val="24"/>
                <w:lang w:eastAsia="tr-TR"/>
              </w:rPr>
              <w:t xml:space="preserve"> </w:t>
            </w:r>
            <w:r w:rsidR="00F95F85" w:rsidRPr="00A23740">
              <w:rPr>
                <w:rFonts w:eastAsia="Times New Roman"/>
                <w:szCs w:val="24"/>
                <w:lang w:eastAsia="tr-TR"/>
              </w:rPr>
              <w:t>haciz mahallinde</w:t>
            </w:r>
            <w:r w:rsidR="00A56090" w:rsidRPr="00A23740">
              <w:rPr>
                <w:rFonts w:eastAsia="Times New Roman"/>
                <w:szCs w:val="24"/>
                <w:lang w:eastAsia="tr-TR"/>
              </w:rPr>
              <w:t xml:space="preserve"> </w:t>
            </w:r>
            <w:r w:rsidR="00A56090" w:rsidRPr="00D60C1D">
              <w:rPr>
                <w:rStyle w:val="Balk1Char"/>
                <w:rFonts w:eastAsia="Calibri"/>
                <w:b w:val="0"/>
                <w:color w:val="000000"/>
              </w:rPr>
              <w:t>veya</w:t>
            </w:r>
            <w:r w:rsidR="00F95F85" w:rsidRPr="00A23740">
              <w:rPr>
                <w:rFonts w:eastAsia="Times New Roman"/>
                <w:szCs w:val="24"/>
                <w:lang w:eastAsia="tr-TR"/>
              </w:rPr>
              <w:t xml:space="preserve"> </w:t>
            </w:r>
            <w:r w:rsidR="00B349B3" w:rsidRPr="00A23740">
              <w:rPr>
                <w:rFonts w:eastAsia="Times New Roman"/>
                <w:szCs w:val="24"/>
                <w:lang w:eastAsia="tr-TR"/>
              </w:rPr>
              <w:t xml:space="preserve">haciz mahalli dışında </w:t>
            </w:r>
            <w:r w:rsidR="00F95F85" w:rsidRPr="00A23740">
              <w:rPr>
                <w:rFonts w:eastAsia="Times New Roman"/>
                <w:szCs w:val="24"/>
                <w:lang w:eastAsia="tr-TR"/>
              </w:rPr>
              <w:t xml:space="preserve">icra </w:t>
            </w:r>
            <w:r w:rsidR="00A56090" w:rsidRPr="00D60C1D">
              <w:rPr>
                <w:rStyle w:val="Balk1Char"/>
                <w:rFonts w:eastAsia="Calibri"/>
                <w:b w:val="0"/>
                <w:color w:val="000000"/>
              </w:rPr>
              <w:t>ve iflas</w:t>
            </w:r>
            <w:r w:rsidR="00A56090" w:rsidRPr="00A23740">
              <w:rPr>
                <w:rFonts w:eastAsia="Times New Roman"/>
                <w:szCs w:val="24"/>
                <w:lang w:eastAsia="tr-TR"/>
              </w:rPr>
              <w:t xml:space="preserve"> </w:t>
            </w:r>
            <w:r w:rsidR="00F95F85" w:rsidRPr="00A23740">
              <w:rPr>
                <w:rFonts w:eastAsia="Times New Roman"/>
                <w:szCs w:val="24"/>
                <w:lang w:eastAsia="tr-TR"/>
              </w:rPr>
              <w:t xml:space="preserve">dairesinde </w:t>
            </w:r>
            <w:r w:rsidR="00A56090" w:rsidRPr="00D60C1D">
              <w:rPr>
                <w:rStyle w:val="Balk1Char"/>
                <w:rFonts w:eastAsia="Calibri"/>
                <w:b w:val="0"/>
                <w:color w:val="000000"/>
              </w:rPr>
              <w:t>yapılabilmesine imkân verilmektedir.</w:t>
            </w:r>
          </w:p>
          <w:p w:rsidR="00AE57E0" w:rsidRPr="00A23740" w:rsidRDefault="001F6221" w:rsidP="009431FF">
            <w:pPr>
              <w:tabs>
                <w:tab w:val="left" w:pos="567"/>
              </w:tabs>
              <w:ind w:firstLine="709"/>
              <w:rPr>
                <w:rFonts w:eastAsia="Times New Roman"/>
                <w:b/>
                <w:szCs w:val="24"/>
                <w:lang w:eastAsia="tr-TR"/>
              </w:rPr>
            </w:pPr>
            <w:r w:rsidRPr="00A23740">
              <w:rPr>
                <w:rFonts w:eastAsia="Times New Roman"/>
                <w:szCs w:val="24"/>
                <w:lang w:eastAsia="tr-TR"/>
              </w:rPr>
              <w:t xml:space="preserve">İkinci fıkraya göre, taksit sözleşmesi ve sonraki taksitlendirme sözleşmelerinin devamı süresince takip durur ve süreler işlemez. </w:t>
            </w:r>
            <w:r w:rsidR="000A3F8D" w:rsidRPr="00A23740">
              <w:rPr>
                <w:rFonts w:eastAsia="Times New Roman"/>
                <w:szCs w:val="24"/>
                <w:lang w:eastAsia="tr-TR"/>
              </w:rPr>
              <w:t>Bu kapsamda, taksitlerden biri zamanında ödenmezse</w:t>
            </w:r>
            <w:r w:rsidR="00B349B3" w:rsidRPr="00A23740">
              <w:rPr>
                <w:rFonts w:eastAsia="Times New Roman"/>
                <w:szCs w:val="24"/>
                <w:lang w:eastAsia="tr-TR"/>
              </w:rPr>
              <w:t>,</w:t>
            </w:r>
            <w:r w:rsidR="000A3F8D" w:rsidRPr="00A23740">
              <w:rPr>
                <w:rFonts w:eastAsia="Times New Roman"/>
                <w:szCs w:val="24"/>
                <w:lang w:eastAsia="tr-TR"/>
              </w:rPr>
              <w:t xml:space="preserve"> icra takibi ve süreler kaldığı yerden devam eder. </w:t>
            </w:r>
            <w:r w:rsidRPr="00A23740">
              <w:rPr>
                <w:rFonts w:eastAsia="Times New Roman"/>
                <w:szCs w:val="24"/>
                <w:lang w:eastAsia="tr-TR"/>
              </w:rPr>
              <w:t>Ancak bu sözleşme ve sonraki taksitlendirme sözleşmelerinin toplam s</w:t>
            </w:r>
            <w:r w:rsidR="000A3F8D" w:rsidRPr="00A23740">
              <w:rPr>
                <w:rFonts w:eastAsia="Times New Roman"/>
                <w:szCs w:val="24"/>
                <w:lang w:eastAsia="tr-TR"/>
              </w:rPr>
              <w:t>üresinin on yılı aşması hâlinde ise</w:t>
            </w:r>
            <w:r w:rsidR="00A56090" w:rsidRPr="00A23740">
              <w:rPr>
                <w:rFonts w:eastAsia="Times New Roman"/>
                <w:szCs w:val="24"/>
                <w:lang w:eastAsia="tr-TR"/>
              </w:rPr>
              <w:t>,</w:t>
            </w:r>
            <w:r w:rsidRPr="00A23740">
              <w:rPr>
                <w:rFonts w:eastAsia="Times New Roman"/>
                <w:szCs w:val="24"/>
                <w:lang w:eastAsia="tr-TR"/>
              </w:rPr>
              <w:t xml:space="preserve"> aştığı tarihten itibaren süreler kaldığı yerden işlemeye başlar.</w:t>
            </w:r>
          </w:p>
          <w:p w:rsidR="00AE57E0" w:rsidRPr="00A23740" w:rsidRDefault="00AE57E0" w:rsidP="009431FF">
            <w:pPr>
              <w:tabs>
                <w:tab w:val="left" w:pos="567"/>
              </w:tabs>
              <w:ind w:firstLine="709"/>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Style w:val="KIRMIZIChar"/>
                <w:rFonts w:eastAsia="Calibri"/>
              </w:rPr>
            </w:pPr>
            <w:r w:rsidRPr="00A23740">
              <w:rPr>
                <w:rStyle w:val="KIRMIZIChar"/>
                <w:rFonts w:eastAsia="Calibri"/>
              </w:rPr>
              <w:t>Taksitle ödeme</w:t>
            </w:r>
            <w:r w:rsidRPr="00A23740">
              <w:rPr>
                <w:rStyle w:val="KIRMIZIChar"/>
                <w:rFonts w:eastAsia="Calibri"/>
                <w:b w:val="0"/>
                <w:strike w:val="0"/>
              </w:rPr>
              <w:t>:</w:t>
            </w:r>
          </w:p>
          <w:p w:rsidR="00AA5C8C" w:rsidRPr="00A23740" w:rsidRDefault="00523A28" w:rsidP="009431FF">
            <w:pPr>
              <w:tabs>
                <w:tab w:val="left" w:pos="567"/>
              </w:tabs>
              <w:rPr>
                <w:rFonts w:eastAsia="Times New Roman"/>
                <w:szCs w:val="24"/>
                <w:lang w:eastAsia="tr-TR"/>
              </w:rPr>
            </w:pPr>
            <w:r w:rsidRPr="00A23740">
              <w:rPr>
                <w:rStyle w:val="KIRMIZIChar"/>
                <w:rFonts w:eastAsia="Calibri"/>
              </w:rPr>
              <w:t xml:space="preserve">Madde 111 – … </w:t>
            </w:r>
          </w:p>
          <w:p w:rsidR="00AA5C8C" w:rsidRPr="00A23740" w:rsidRDefault="00AA5C8C" w:rsidP="009431FF">
            <w:pPr>
              <w:rPr>
                <w:rStyle w:val="KIRMIZIChar"/>
                <w:rFonts w:eastAsia="Calibri"/>
              </w:rPr>
            </w:pPr>
            <w:r w:rsidRPr="00A23740">
              <w:rPr>
                <w:rStyle w:val="KIRMIZIChar"/>
                <w:rFonts w:eastAsia="Calibri"/>
              </w:rPr>
              <w:t>(5) (Ek fıkra:24/11/2021-7343/11 md.)</w:t>
            </w:r>
            <w:r w:rsidRPr="00A23740">
              <w:rPr>
                <w:rStyle w:val="KIRMIZIChar"/>
                <w:rFonts w:eastAsia="Calibri"/>
                <w:b w:val="0"/>
              </w:rPr>
              <w:t xml:space="preserve"> </w:t>
            </w:r>
            <w:r w:rsidRPr="00A23740">
              <w:rPr>
                <w:rStyle w:val="KIRMIZIChar"/>
                <w:rFonts w:eastAsia="Calibri"/>
              </w:rPr>
              <w:t xml:space="preserve">Borçlunun borcunu muntazam taksitlerle </w:t>
            </w:r>
            <w:r w:rsidRPr="00A23740">
              <w:rPr>
                <w:rFonts w:eastAsia="Times New Roman"/>
                <w:szCs w:val="24"/>
                <w:lang w:eastAsia="tr-TR"/>
              </w:rPr>
              <w:t>ödeme</w:t>
            </w:r>
            <w:r w:rsidRPr="00A23740">
              <w:rPr>
                <w:rStyle w:val="KIRMIZIChar"/>
                <w:rFonts w:eastAsia="Calibri"/>
              </w:rPr>
              <w:t xml:space="preserve">yi </w:t>
            </w:r>
            <w:r w:rsidRPr="00A23740">
              <w:rPr>
                <w:rFonts w:eastAsia="Times New Roman"/>
                <w:szCs w:val="24"/>
                <w:lang w:eastAsia="tr-TR"/>
              </w:rPr>
              <w:t xml:space="preserve">taahhüdü veya </w:t>
            </w:r>
            <w:r w:rsidRPr="00A23740">
              <w:rPr>
                <w:rStyle w:val="KIRMIZIChar"/>
                <w:rFonts w:eastAsia="Calibri"/>
              </w:rPr>
              <w:t>alacaklı ile borçlunun hacizden önce ya da hacizden sonra</w:t>
            </w:r>
            <w:r w:rsidRPr="00A23740">
              <w:rPr>
                <w:rFonts w:eastAsia="Times New Roman"/>
                <w:szCs w:val="24"/>
                <w:lang w:eastAsia="tr-TR"/>
              </w:rPr>
              <w:t xml:space="preserve"> borcun taksitlendirilmesi için yapacakları sözleşme nedeniyle icra dairesinde düzenlenecek tutanak veya </w:t>
            </w:r>
            <w:r w:rsidRPr="00A23740">
              <w:rPr>
                <w:rStyle w:val="KIRMIZIChar"/>
                <w:rFonts w:eastAsia="Calibri"/>
              </w:rPr>
              <w:t>kâğıt,</w:t>
            </w:r>
            <w:r w:rsidRPr="00A23740">
              <w:rPr>
                <w:rFonts w:eastAsia="Times New Roman"/>
                <w:szCs w:val="24"/>
                <w:lang w:eastAsia="tr-TR"/>
              </w:rPr>
              <w:t xml:space="preserve"> damga vergisinden </w:t>
            </w:r>
            <w:r w:rsidRPr="00A23740">
              <w:rPr>
                <w:rStyle w:val="KIRMIZIChar"/>
                <w:rFonts w:eastAsia="Calibri"/>
              </w:rPr>
              <w:t>istisnadır.</w:t>
            </w:r>
          </w:p>
          <w:p w:rsidR="00AA5C8C" w:rsidRPr="00A23740" w:rsidRDefault="00AA5C8C" w:rsidP="009431FF">
            <w:pPr>
              <w:rPr>
                <w:rFonts w:eastAsia="Times New Roman"/>
                <w:i/>
                <w:szCs w:val="24"/>
                <w:lang w:eastAsia="tr-TR"/>
              </w:rPr>
            </w:pPr>
          </w:p>
        </w:tc>
        <w:tc>
          <w:tcPr>
            <w:tcW w:w="2500" w:type="pct"/>
          </w:tcPr>
          <w:p w:rsidR="00AA5C8C" w:rsidRPr="00A23740" w:rsidRDefault="00AA5C8C" w:rsidP="009431FF">
            <w:pPr>
              <w:pStyle w:val="Mavi"/>
            </w:pPr>
            <w:r w:rsidRPr="00A23740">
              <w:t>Taksitle ödemeye ilişkin çeşitli hükümler</w:t>
            </w:r>
          </w:p>
          <w:p w:rsidR="00AA5C8C" w:rsidRPr="00A23740" w:rsidRDefault="00AA5C8C" w:rsidP="009431FF">
            <w:pPr>
              <w:rPr>
                <w:rFonts w:eastAsia="Times New Roman"/>
                <w:szCs w:val="24"/>
                <w:lang w:eastAsia="tr-TR"/>
              </w:rPr>
            </w:pPr>
            <w:r w:rsidRPr="00A23740">
              <w:rPr>
                <w:b/>
                <w:color w:val="0000FF"/>
                <w:szCs w:val="24"/>
                <w:lang w:eastAsia="tr-TR"/>
              </w:rPr>
              <w:t xml:space="preserve">MADDE </w:t>
            </w:r>
            <w:r w:rsidR="0025794C" w:rsidRPr="00A23740">
              <w:rPr>
                <w:b/>
                <w:color w:val="0000FF"/>
                <w:szCs w:val="24"/>
                <w:lang w:eastAsia="tr-TR"/>
              </w:rPr>
              <w:t>206</w:t>
            </w:r>
            <w:r w:rsidRPr="00A23740">
              <w:rPr>
                <w:b/>
                <w:color w:val="0000FF"/>
                <w:szCs w:val="24"/>
                <w:lang w:eastAsia="tr-TR"/>
              </w:rPr>
              <w:t xml:space="preserve">- </w:t>
            </w:r>
            <w:r w:rsidRPr="00A23740">
              <w:rPr>
                <w:b/>
                <w:bCs/>
                <w:color w:val="0000FF"/>
                <w:szCs w:val="24"/>
                <w:lang w:val="x-none" w:eastAsia="x-none"/>
              </w:rPr>
              <w:t>(1)</w:t>
            </w:r>
            <w:r w:rsidRPr="00A23740">
              <w:rPr>
                <w:rFonts w:eastAsia="Times New Roman"/>
                <w:szCs w:val="24"/>
                <w:lang w:eastAsia="tr-TR"/>
              </w:rPr>
              <w:t xml:space="preserve"> </w:t>
            </w:r>
            <w:r w:rsidR="00976958" w:rsidRPr="00A23740">
              <w:rPr>
                <w:rFonts w:eastAsia="Times New Roman"/>
                <w:szCs w:val="24"/>
                <w:lang w:eastAsia="tr-TR"/>
              </w:rPr>
              <w:t>Borçlunun t</w:t>
            </w:r>
            <w:r w:rsidR="00EF6ADD" w:rsidRPr="00A23740">
              <w:rPr>
                <w:rFonts w:eastAsia="Times New Roman"/>
                <w:szCs w:val="24"/>
                <w:lang w:eastAsia="tr-TR"/>
              </w:rPr>
              <w:t xml:space="preserve">aksitle ödeme taahhüdü veya </w:t>
            </w:r>
            <w:r w:rsidR="00976958" w:rsidRPr="00A23740">
              <w:rPr>
                <w:rFonts w:eastAsia="Times New Roman"/>
                <w:szCs w:val="24"/>
                <w:lang w:eastAsia="tr-TR"/>
              </w:rPr>
              <w:t xml:space="preserve">alacaklı ile borçlunun yapacakları </w:t>
            </w:r>
            <w:r w:rsidR="00976958" w:rsidRPr="00A23740">
              <w:rPr>
                <w:b/>
                <w:bCs/>
                <w:color w:val="0000FF"/>
                <w:szCs w:val="24"/>
                <w:lang w:val="x-none" w:eastAsia="x-none"/>
              </w:rPr>
              <w:t>taksit</w:t>
            </w:r>
            <w:r w:rsidR="00976958" w:rsidRPr="00A23740">
              <w:rPr>
                <w:rFonts w:eastAsia="Times New Roman"/>
                <w:szCs w:val="24"/>
                <w:lang w:eastAsia="tr-TR"/>
              </w:rPr>
              <w:t xml:space="preserve"> sözleşme</w:t>
            </w:r>
            <w:r w:rsidR="00976958" w:rsidRPr="00A23740">
              <w:rPr>
                <w:rStyle w:val="MaviChar"/>
              </w:rPr>
              <w:t>si</w:t>
            </w:r>
            <w:r w:rsidR="00976958" w:rsidRPr="00A23740">
              <w:rPr>
                <w:rFonts w:eastAsia="Times New Roman"/>
                <w:szCs w:val="24"/>
                <w:lang w:eastAsia="tr-TR"/>
              </w:rPr>
              <w:t xml:space="preserve"> </w:t>
            </w:r>
            <w:r w:rsidR="00EF6ADD" w:rsidRPr="00A23740">
              <w:rPr>
                <w:rFonts w:eastAsia="Times New Roman"/>
                <w:szCs w:val="24"/>
                <w:lang w:eastAsia="tr-TR"/>
              </w:rPr>
              <w:t xml:space="preserve">nedeniyle icra </w:t>
            </w:r>
            <w:r w:rsidR="00EF6ADD" w:rsidRPr="00A23740">
              <w:rPr>
                <w:rStyle w:val="MaviChar"/>
              </w:rPr>
              <w:t>ve iflas</w:t>
            </w:r>
            <w:r w:rsidR="00EF6ADD" w:rsidRPr="00A23740">
              <w:rPr>
                <w:rFonts w:eastAsia="Times New Roman"/>
                <w:szCs w:val="24"/>
                <w:lang w:eastAsia="tr-TR"/>
              </w:rPr>
              <w:t xml:space="preserve"> dairesinde düzenlenecek tutanak veya</w:t>
            </w:r>
            <w:r w:rsidR="00A56090" w:rsidRPr="00A23740">
              <w:rPr>
                <w:rFonts w:eastAsia="Times New Roman"/>
                <w:szCs w:val="24"/>
                <w:lang w:eastAsia="tr-TR"/>
              </w:rPr>
              <w:t xml:space="preserve"> </w:t>
            </w:r>
            <w:r w:rsidR="00A56090" w:rsidRPr="00A23740">
              <w:rPr>
                <w:rStyle w:val="Balk1Char"/>
                <w:rFonts w:eastAsia="Calibri"/>
              </w:rPr>
              <w:t>belge,</w:t>
            </w:r>
            <w:r w:rsidR="00EF6ADD" w:rsidRPr="00A23740">
              <w:rPr>
                <w:rFonts w:eastAsia="Times New Roman"/>
                <w:szCs w:val="24"/>
                <w:lang w:eastAsia="tr-TR"/>
              </w:rPr>
              <w:t xml:space="preserve"> damga vergisinden</w:t>
            </w:r>
            <w:r w:rsidR="00F9267A" w:rsidRPr="00A23740">
              <w:rPr>
                <w:rStyle w:val="KIRMIZIChar"/>
                <w:rFonts w:eastAsia="Calibri"/>
                <w:strike w:val="0"/>
              </w:rPr>
              <w:t xml:space="preserve"> </w:t>
            </w:r>
            <w:r w:rsidR="00F9267A" w:rsidRPr="00A23740">
              <w:rPr>
                <w:rStyle w:val="Balk1Char"/>
                <w:rFonts w:eastAsia="Calibri"/>
              </w:rPr>
              <w:t>müstesnadır.</w:t>
            </w:r>
          </w:p>
          <w:p w:rsidR="00EF6ADD" w:rsidRPr="00A23740" w:rsidRDefault="00EF6ADD" w:rsidP="009431FF">
            <w:pPr>
              <w:rPr>
                <w:b/>
                <w:color w:val="0000FF"/>
                <w:szCs w:val="24"/>
                <w:lang w:eastAsia="tr-TR"/>
              </w:rPr>
            </w:pPr>
          </w:p>
          <w:p w:rsidR="000A2887" w:rsidRPr="00A23740" w:rsidRDefault="000A2887" w:rsidP="009431FF">
            <w:pPr>
              <w:pStyle w:val="Mavi"/>
              <w:rPr>
                <w:lang w:val="tr-TR"/>
              </w:rPr>
            </w:pPr>
          </w:p>
          <w:p w:rsidR="00AF221D" w:rsidRPr="00A23740" w:rsidRDefault="00AF221D" w:rsidP="009431FF">
            <w:pPr>
              <w:pStyle w:val="Mavi"/>
            </w:pPr>
            <w:r w:rsidRPr="00A23740">
              <w:rPr>
                <w:lang w:val="tr-TR"/>
              </w:rPr>
              <w:t>(2) T</w:t>
            </w:r>
            <w:r w:rsidRPr="00A23740">
              <w:t>aksitle ödeme taahhüdünün veya taksit sözleşmesinin</w:t>
            </w:r>
            <w:r w:rsidRPr="00A23740">
              <w:rPr>
                <w:lang w:val="tr-TR"/>
              </w:rPr>
              <w:t xml:space="preserve"> ihlali h</w:t>
            </w:r>
            <w:r w:rsidR="00A56090" w:rsidRPr="00A23740">
              <w:rPr>
                <w:lang w:val="tr-TR"/>
              </w:rPr>
              <w:t>â</w:t>
            </w:r>
            <w:r w:rsidRPr="00A23740">
              <w:rPr>
                <w:lang w:val="tr-TR"/>
              </w:rPr>
              <w:t xml:space="preserve">linde </w:t>
            </w:r>
            <w:r w:rsidR="00C072C8" w:rsidRPr="00D33D21">
              <w:t>512 nci</w:t>
            </w:r>
            <w:r w:rsidRPr="00A23740">
              <w:rPr>
                <w:lang w:val="tr-TR"/>
              </w:rPr>
              <w:t xml:space="preserve"> </w:t>
            </w:r>
            <w:r w:rsidRPr="00A23740">
              <w:t>madde</w:t>
            </w:r>
            <w:r w:rsidRPr="00A23740">
              <w:rPr>
                <w:lang w:val="tr-TR"/>
              </w:rPr>
              <w:t xml:space="preserve"> </w:t>
            </w:r>
            <w:r w:rsidRPr="00A23740">
              <w:t xml:space="preserve">hükmü </w:t>
            </w:r>
            <w:r w:rsidRPr="00A23740">
              <w:rPr>
                <w:lang w:val="tr-TR"/>
              </w:rPr>
              <w:t xml:space="preserve">uygulanır. </w:t>
            </w:r>
          </w:p>
          <w:p w:rsidR="000A369C" w:rsidRPr="00A23740" w:rsidRDefault="000A369C" w:rsidP="009431FF">
            <w:pPr>
              <w:tabs>
                <w:tab w:val="left" w:pos="567"/>
              </w:tabs>
              <w:rPr>
                <w:lang w:eastAsia="tr-TR"/>
              </w:rPr>
            </w:pPr>
          </w:p>
          <w:p w:rsidR="00F15392" w:rsidRPr="00A23740" w:rsidRDefault="00F15392" w:rsidP="009431FF">
            <w:pPr>
              <w:pStyle w:val="Mavi"/>
              <w:rPr>
                <w:lang w:val="tr-TR"/>
              </w:rPr>
            </w:pPr>
            <w:r w:rsidRPr="00A23740">
              <w:rPr>
                <w:lang w:eastAsia="tr-TR"/>
              </w:rPr>
              <w:t xml:space="preserve">(3) </w:t>
            </w:r>
            <w:r w:rsidRPr="00A23740">
              <w:rPr>
                <w:lang w:val="tr-TR"/>
              </w:rPr>
              <w:t>T</w:t>
            </w:r>
            <w:r w:rsidRPr="00A23740">
              <w:t xml:space="preserve">aksitle ödeme taahhüdü ile taksit sözleşmesine ilişkin usul ve esaslar </w:t>
            </w:r>
            <w:r w:rsidR="00F9267A" w:rsidRPr="00A23740">
              <w:rPr>
                <w:rStyle w:val="Balk1Char"/>
                <w:rFonts w:eastAsia="Calibri"/>
                <w:b/>
              </w:rPr>
              <w:t>Adalet Bakanlığı tarafından</w:t>
            </w:r>
            <w:r w:rsidR="00F9267A" w:rsidRPr="00A23740">
              <w:t xml:space="preserve"> </w:t>
            </w:r>
            <w:r w:rsidRPr="00A23740">
              <w:t xml:space="preserve">çıkarılacak </w:t>
            </w:r>
            <w:r w:rsidRPr="00A23740">
              <w:rPr>
                <w:lang w:val="tr-TR"/>
              </w:rPr>
              <w:t>yönetmelikle belirlenir.</w:t>
            </w:r>
          </w:p>
          <w:p w:rsidR="00F15392" w:rsidRPr="00A23740" w:rsidRDefault="00F15392" w:rsidP="009431FF">
            <w:pPr>
              <w:tabs>
                <w:tab w:val="left" w:pos="567"/>
              </w:tabs>
              <w:rPr>
                <w:lang w:eastAsia="tr-TR"/>
              </w:rPr>
            </w:pPr>
          </w:p>
        </w:tc>
      </w:tr>
      <w:tr w:rsidR="001F6221" w:rsidRPr="00A23740" w:rsidTr="009431FF">
        <w:tblPrEx>
          <w:tblLook w:val="01E0" w:firstRow="1" w:lastRow="1" w:firstColumn="1" w:lastColumn="1" w:noHBand="0" w:noVBand="0"/>
        </w:tblPrEx>
        <w:tc>
          <w:tcPr>
            <w:tcW w:w="5000" w:type="pct"/>
            <w:gridSpan w:val="2"/>
            <w:shd w:val="clear" w:color="auto" w:fill="DEEAF6"/>
          </w:tcPr>
          <w:p w:rsidR="0048051C" w:rsidRPr="00A23740" w:rsidRDefault="0048051C" w:rsidP="009431FF">
            <w:pPr>
              <w:tabs>
                <w:tab w:val="left" w:pos="567"/>
              </w:tabs>
              <w:ind w:firstLine="709"/>
              <w:rPr>
                <w:rFonts w:eastAsia="Times New Roman"/>
                <w:b/>
                <w:szCs w:val="24"/>
                <w:lang w:eastAsia="tr-TR"/>
              </w:rPr>
            </w:pPr>
          </w:p>
          <w:p w:rsidR="001F6221" w:rsidRPr="00A23740" w:rsidRDefault="001F6221" w:rsidP="009431FF">
            <w:pPr>
              <w:tabs>
                <w:tab w:val="left" w:pos="567"/>
              </w:tabs>
              <w:ind w:firstLine="709"/>
              <w:rPr>
                <w:rFonts w:eastAsia="Times New Roman"/>
                <w:szCs w:val="24"/>
                <w:lang w:eastAsia="tr-TR"/>
              </w:rPr>
            </w:pPr>
            <w:r w:rsidRPr="00A23740">
              <w:rPr>
                <w:rFonts w:eastAsia="Times New Roman"/>
                <w:b/>
                <w:szCs w:val="24"/>
                <w:lang w:eastAsia="tr-TR"/>
              </w:rPr>
              <w:t xml:space="preserve">MADDE </w:t>
            </w:r>
            <w:r w:rsidR="0025794C" w:rsidRPr="00A23740">
              <w:rPr>
                <w:rFonts w:eastAsia="Times New Roman"/>
                <w:b/>
                <w:szCs w:val="24"/>
                <w:lang w:eastAsia="tr-TR"/>
              </w:rPr>
              <w:t>206</w:t>
            </w:r>
            <w:r w:rsidRPr="00A23740">
              <w:rPr>
                <w:rFonts w:eastAsia="Times New Roman"/>
                <w:b/>
                <w:szCs w:val="24"/>
                <w:lang w:eastAsia="tr-TR"/>
              </w:rPr>
              <w:t>-</w:t>
            </w:r>
            <w:r w:rsidRPr="00A23740">
              <w:rPr>
                <w:rFonts w:eastAsia="Times New Roman"/>
                <w:szCs w:val="24"/>
                <w:lang w:eastAsia="tr-TR"/>
              </w:rPr>
              <w:t xml:space="preserve"> Maddeyle, taksitle ödemeye ilişkin çeşitli hükümler düzenlenmektedir. Madde, 2004 sayılı Kanunun 111 inci maddesinin beşinci fıkrasına karşılık gelmekte olup, aynen muhafaza edilmektedir.</w:t>
            </w:r>
          </w:p>
          <w:p w:rsidR="001F6221" w:rsidRPr="00A23740" w:rsidRDefault="001F6221" w:rsidP="009431FF">
            <w:pPr>
              <w:tabs>
                <w:tab w:val="left" w:pos="567"/>
              </w:tabs>
              <w:ind w:firstLine="709"/>
              <w:rPr>
                <w:rFonts w:eastAsia="Times New Roman"/>
                <w:szCs w:val="24"/>
                <w:lang w:eastAsia="tr-TR"/>
              </w:rPr>
            </w:pPr>
            <w:r w:rsidRPr="00A23740">
              <w:rPr>
                <w:rFonts w:eastAsia="Times New Roman"/>
                <w:szCs w:val="24"/>
                <w:lang w:eastAsia="tr-TR"/>
              </w:rPr>
              <w:t>Bir</w:t>
            </w:r>
            <w:r w:rsidR="00976958" w:rsidRPr="00A23740">
              <w:rPr>
                <w:rFonts w:eastAsia="Times New Roman"/>
                <w:szCs w:val="24"/>
                <w:lang w:eastAsia="tr-TR"/>
              </w:rPr>
              <w:t>inci fıkraya göre borçlunun</w:t>
            </w:r>
            <w:r w:rsidRPr="00A23740">
              <w:rPr>
                <w:rFonts w:eastAsia="Times New Roman"/>
                <w:szCs w:val="24"/>
                <w:lang w:eastAsia="tr-TR"/>
              </w:rPr>
              <w:t xml:space="preserve"> taksitle ödeme taahhüdü veya alacaklı ile borçlunun yapacakları taksit sözleşmesi nedeniyle icra ve iflas dairesinde düzenlenecek tutanak veya </w:t>
            </w:r>
            <w:r w:rsidR="00A56090" w:rsidRPr="00A23740">
              <w:rPr>
                <w:rFonts w:eastAsia="Times New Roman"/>
                <w:szCs w:val="24"/>
                <w:lang w:eastAsia="tr-TR"/>
              </w:rPr>
              <w:t xml:space="preserve"> </w:t>
            </w:r>
            <w:r w:rsidR="00A56090" w:rsidRPr="00D60C1D">
              <w:rPr>
                <w:rStyle w:val="Balk1Char"/>
                <w:rFonts w:eastAsia="Calibri"/>
                <w:b w:val="0"/>
                <w:color w:val="000000"/>
              </w:rPr>
              <w:t>belge,</w:t>
            </w:r>
            <w:r w:rsidR="00A56090" w:rsidRPr="00A23740">
              <w:rPr>
                <w:rFonts w:eastAsia="Times New Roman"/>
                <w:szCs w:val="24"/>
                <w:lang w:eastAsia="tr-TR"/>
              </w:rPr>
              <w:t xml:space="preserve"> </w:t>
            </w:r>
            <w:r w:rsidRPr="00A23740">
              <w:rPr>
                <w:rFonts w:eastAsia="Times New Roman"/>
                <w:szCs w:val="24"/>
                <w:lang w:eastAsia="tr-TR"/>
              </w:rPr>
              <w:t>damga vergisinden</w:t>
            </w:r>
            <w:r w:rsidR="00F9267A" w:rsidRPr="00A23740">
              <w:rPr>
                <w:rStyle w:val="KIRMIZIChar"/>
                <w:rFonts w:eastAsia="Calibri"/>
                <w:strike w:val="0"/>
              </w:rPr>
              <w:t xml:space="preserve"> </w:t>
            </w:r>
            <w:r w:rsidR="00F9267A" w:rsidRPr="00D60C1D">
              <w:rPr>
                <w:rStyle w:val="Balk1Char"/>
                <w:rFonts w:eastAsia="Calibri"/>
                <w:b w:val="0"/>
                <w:color w:val="000000"/>
              </w:rPr>
              <w:t>müstesnadır.</w:t>
            </w:r>
          </w:p>
          <w:p w:rsidR="00AF221D" w:rsidRPr="00A23740" w:rsidRDefault="001F6221" w:rsidP="009431FF">
            <w:pPr>
              <w:tabs>
                <w:tab w:val="left" w:pos="567"/>
              </w:tabs>
              <w:ind w:firstLine="709"/>
            </w:pPr>
            <w:r w:rsidRPr="00A23740">
              <w:rPr>
                <w:rFonts w:eastAsia="Times New Roman"/>
                <w:szCs w:val="24"/>
                <w:lang w:eastAsia="tr-TR"/>
              </w:rPr>
              <w:t>İk</w:t>
            </w:r>
            <w:r w:rsidR="008071B7" w:rsidRPr="00A23740">
              <w:rPr>
                <w:rFonts w:eastAsia="Times New Roman"/>
                <w:szCs w:val="24"/>
                <w:lang w:eastAsia="tr-TR"/>
              </w:rPr>
              <w:t>inci fıkra</w:t>
            </w:r>
            <w:r w:rsidR="00B349B3" w:rsidRPr="00A23740">
              <w:rPr>
                <w:rFonts w:eastAsia="Times New Roman"/>
                <w:szCs w:val="24"/>
                <w:lang w:eastAsia="tr-TR"/>
              </w:rPr>
              <w:t>da</w:t>
            </w:r>
            <w:r w:rsidR="008071B7" w:rsidRPr="00A23740">
              <w:rPr>
                <w:rFonts w:eastAsia="Times New Roman"/>
                <w:szCs w:val="24"/>
                <w:lang w:eastAsia="tr-TR"/>
              </w:rPr>
              <w:t xml:space="preserve">, </w:t>
            </w:r>
            <w:r w:rsidR="00AF221D" w:rsidRPr="00A23740">
              <w:t>taksitle ödeme taahhüdünün veya taksit sözleşmesinin ihlali h</w:t>
            </w:r>
            <w:r w:rsidR="001D7D44" w:rsidRPr="00A23740">
              <w:t>â</w:t>
            </w:r>
            <w:r w:rsidR="00AF221D" w:rsidRPr="00A23740">
              <w:t xml:space="preserve">linde Taslağın </w:t>
            </w:r>
            <w:r w:rsidR="00C072C8" w:rsidRPr="00D60C1D">
              <w:rPr>
                <w:rStyle w:val="KonuBalChar"/>
                <w:rFonts w:eastAsia="Calibri"/>
                <w:b w:val="0"/>
                <w:color w:val="000000"/>
              </w:rPr>
              <w:t>512 nci</w:t>
            </w:r>
            <w:r w:rsidR="00AF221D" w:rsidRPr="00A23740">
              <w:t xml:space="preserve"> maddesinin uygulanacağı</w:t>
            </w:r>
            <w:r w:rsidR="00B349B3" w:rsidRPr="00A23740">
              <w:t xml:space="preserve"> belirtilmektedir</w:t>
            </w:r>
            <w:r w:rsidR="00AF221D" w:rsidRPr="00A23740">
              <w:t xml:space="preserve">. </w:t>
            </w:r>
          </w:p>
          <w:p w:rsidR="008071B7" w:rsidRPr="00A23740" w:rsidRDefault="00F15392" w:rsidP="005C601A">
            <w:pPr>
              <w:tabs>
                <w:tab w:val="left" w:pos="567"/>
              </w:tabs>
              <w:ind w:firstLine="709"/>
              <w:rPr>
                <w:rFonts w:eastAsia="Times New Roman"/>
                <w:b/>
                <w:color w:val="0000FF"/>
                <w:szCs w:val="24"/>
                <w:lang w:eastAsia="tr-TR"/>
              </w:rPr>
            </w:pPr>
            <w:r w:rsidRPr="00A23740">
              <w:t xml:space="preserve">Üçüncü fıkrayla, taksitle ödeme taahhüdü ile taksit sözleşmesine ilişkin usul ve esasların </w:t>
            </w:r>
            <w:r w:rsidR="00F9267A" w:rsidRPr="00D60C1D">
              <w:rPr>
                <w:rStyle w:val="Balk1Char"/>
                <w:rFonts w:eastAsia="Calibri"/>
                <w:b w:val="0"/>
                <w:color w:val="000000"/>
              </w:rPr>
              <w:t>Adalet Bakanlığı tarafından</w:t>
            </w:r>
            <w:r w:rsidR="00F9267A" w:rsidRPr="00A23740">
              <w:t xml:space="preserve"> </w:t>
            </w:r>
            <w:r w:rsidRPr="00A23740">
              <w:t>çıkarılacak yönetmelikle belirleneceği hükme bağlanmaktadır.</w:t>
            </w:r>
          </w:p>
          <w:p w:rsidR="00F9267A" w:rsidRPr="00A23740" w:rsidRDefault="00F9267A" w:rsidP="005C601A">
            <w:pPr>
              <w:tabs>
                <w:tab w:val="left" w:pos="567"/>
              </w:tabs>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p>
          <w:p w:rsidR="00AA5C8C" w:rsidRPr="00A23740" w:rsidRDefault="00AA5C8C" w:rsidP="009431FF">
            <w:pPr>
              <w:tabs>
                <w:tab w:val="left" w:pos="567"/>
              </w:tabs>
              <w:rPr>
                <w:rFonts w:eastAsia="Times New Roman"/>
                <w:i/>
                <w:szCs w:val="24"/>
                <w:lang w:eastAsia="tr-TR"/>
              </w:rPr>
            </w:pPr>
          </w:p>
          <w:p w:rsidR="00AA5C8C" w:rsidRPr="00A23740" w:rsidRDefault="00AA5C8C" w:rsidP="009431FF">
            <w:pPr>
              <w:tabs>
                <w:tab w:val="left" w:pos="567"/>
              </w:tabs>
              <w:rPr>
                <w:rFonts w:eastAsia="Times New Roman"/>
                <w:i/>
                <w:szCs w:val="24"/>
                <w:lang w:eastAsia="tr-TR"/>
              </w:rPr>
            </w:pPr>
          </w:p>
          <w:p w:rsidR="00AA5C8C" w:rsidRPr="00A23740" w:rsidRDefault="00AA5C8C" w:rsidP="009431FF">
            <w:pPr>
              <w:tabs>
                <w:tab w:val="left" w:pos="567"/>
              </w:tabs>
              <w:rPr>
                <w:rFonts w:eastAsia="Times New Roman"/>
                <w:i/>
                <w:szCs w:val="24"/>
                <w:lang w:eastAsia="tr-TR"/>
              </w:rPr>
            </w:pPr>
          </w:p>
          <w:p w:rsidR="00AA5C8C" w:rsidRPr="00A23740" w:rsidRDefault="00AA5C8C" w:rsidP="009431FF">
            <w:pPr>
              <w:rPr>
                <w:rFonts w:eastAsia="Times New Roman"/>
                <w:i/>
                <w:szCs w:val="24"/>
                <w:lang w:eastAsia="tr-TR"/>
              </w:rPr>
            </w:pPr>
          </w:p>
          <w:p w:rsidR="00AA5C8C" w:rsidRPr="00A23740" w:rsidRDefault="00AA5C8C" w:rsidP="009431FF">
            <w:pPr>
              <w:tabs>
                <w:tab w:val="left" w:pos="567"/>
              </w:tabs>
              <w:rPr>
                <w:rFonts w:eastAsia="Times New Roman"/>
                <w:i/>
                <w:szCs w:val="24"/>
                <w:lang w:eastAsia="tr-TR"/>
              </w:rPr>
            </w:pPr>
            <w:r w:rsidRPr="00A23740">
              <w:rPr>
                <w:rFonts w:eastAsia="Times New Roman"/>
                <w:i/>
                <w:szCs w:val="24"/>
                <w:lang w:eastAsia="tr-TR"/>
              </w:rPr>
              <w:t>Ödeme yerine alaca</w:t>
            </w:r>
            <w:r w:rsidRPr="00A23740">
              <w:rPr>
                <w:rFonts w:eastAsia="Times New Roman"/>
                <w:b/>
                <w:strike/>
                <w:color w:val="FF0000"/>
                <w:szCs w:val="24"/>
                <w:lang w:eastAsia="tr-TR"/>
              </w:rPr>
              <w:t>kların</w:t>
            </w:r>
            <w:r w:rsidRPr="00A23740">
              <w:rPr>
                <w:rFonts w:eastAsia="Times New Roman"/>
                <w:i/>
                <w:szCs w:val="24"/>
                <w:lang w:eastAsia="tr-TR"/>
              </w:rPr>
              <w:t xml:space="preserve"> devri</w:t>
            </w:r>
            <w:r w:rsidRPr="00A23740">
              <w:rPr>
                <w:rStyle w:val="KIRMIZIChar"/>
                <w:rFonts w:eastAsia="Calibri"/>
              </w:rPr>
              <w:t>:</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120 – (1)</w:t>
            </w:r>
            <w:r w:rsidRPr="00A23740">
              <w:rPr>
                <w:rFonts w:eastAsia="Times New Roman"/>
                <w:b/>
                <w:szCs w:val="24"/>
                <w:lang w:eastAsia="tr-TR"/>
              </w:rPr>
              <w:t xml:space="preserve"> </w:t>
            </w:r>
            <w:r w:rsidRPr="00A23740">
              <w:rPr>
                <w:rFonts w:eastAsia="Times New Roman"/>
                <w:szCs w:val="24"/>
                <w:lang w:eastAsia="tr-TR"/>
              </w:rPr>
              <w:t xml:space="preserve">Hacze iştirak eden bütün alacaklılar </w:t>
            </w:r>
            <w:r w:rsidRPr="00A23740">
              <w:rPr>
                <w:rFonts w:eastAsia="Times New Roman"/>
                <w:b/>
                <w:strike/>
                <w:color w:val="FF0000"/>
                <w:szCs w:val="24"/>
                <w:lang w:eastAsia="tr-TR"/>
              </w:rPr>
              <w:t>muvafakat</w:t>
            </w:r>
            <w:r w:rsidRPr="00A23740">
              <w:rPr>
                <w:rFonts w:eastAsia="Times New Roman"/>
                <w:szCs w:val="24"/>
                <w:lang w:eastAsia="tr-TR"/>
              </w:rPr>
              <w:t xml:space="preserve"> ederlerse borçlunun borsada ve piyasada fiyatı olm</w:t>
            </w:r>
            <w:r w:rsidRPr="00A23740">
              <w:rPr>
                <w:rStyle w:val="KIRMIZIChar"/>
                <w:rFonts w:eastAsia="Calibri"/>
              </w:rPr>
              <w:t>ı</w:t>
            </w:r>
            <w:r w:rsidRPr="00A23740">
              <w:rPr>
                <w:rFonts w:eastAsia="Times New Roman"/>
                <w:szCs w:val="24"/>
                <w:lang w:eastAsia="tr-TR"/>
              </w:rPr>
              <w:t>yan alacakları, ödeme yerine geçmek üzere</w:t>
            </w:r>
            <w:r w:rsidRPr="00A23740">
              <w:rPr>
                <w:rFonts w:eastAsia="Times New Roman"/>
                <w:b/>
                <w:color w:val="FF0000"/>
                <w:szCs w:val="24"/>
                <w:lang w:eastAsia="tr-TR"/>
              </w:rPr>
              <w:t xml:space="preserve"> </w:t>
            </w:r>
            <w:r w:rsidRPr="00A23740">
              <w:rPr>
                <w:rFonts w:eastAsia="Times New Roman"/>
                <w:b/>
                <w:strike/>
                <w:color w:val="FF0000"/>
                <w:szCs w:val="24"/>
                <w:lang w:eastAsia="tr-TR"/>
              </w:rPr>
              <w:t>itibari</w:t>
            </w:r>
            <w:r w:rsidRPr="00A23740">
              <w:rPr>
                <w:rFonts w:eastAsia="Times New Roman"/>
                <w:b/>
                <w:color w:val="FF0000"/>
                <w:szCs w:val="24"/>
                <w:lang w:eastAsia="tr-TR"/>
              </w:rPr>
              <w:t xml:space="preserve"> </w:t>
            </w:r>
            <w:r w:rsidRPr="00A23740">
              <w:rPr>
                <w:rFonts w:eastAsia="Times New Roman"/>
                <w:szCs w:val="24"/>
                <w:lang w:eastAsia="tr-TR"/>
              </w:rPr>
              <w:t xml:space="preserve">kıymetleriyle kendilerine veya hesaplarına </w:t>
            </w:r>
            <w:r w:rsidRPr="00A23740">
              <w:rPr>
                <w:rFonts w:eastAsia="Times New Roman"/>
                <w:b/>
                <w:strike/>
                <w:color w:val="FF0000"/>
                <w:szCs w:val="24"/>
                <w:lang w:eastAsia="tr-TR"/>
              </w:rPr>
              <w:t>olarak</w:t>
            </w:r>
            <w:r w:rsidRPr="00A23740">
              <w:rPr>
                <w:rFonts w:eastAsia="Times New Roman"/>
                <w:b/>
                <w:color w:val="FF0000"/>
                <w:szCs w:val="24"/>
                <w:lang w:eastAsia="tr-TR"/>
              </w:rPr>
              <w:t xml:space="preserve"> </w:t>
            </w:r>
            <w:r w:rsidRPr="00A23740">
              <w:rPr>
                <w:rFonts w:eastAsia="Times New Roman"/>
                <w:szCs w:val="24"/>
                <w:lang w:eastAsia="tr-TR"/>
              </w:rPr>
              <w:t xml:space="preserve">içlerinden birine devredilir. Bu halde alacaklılar, alacakları </w:t>
            </w:r>
            <w:r w:rsidRPr="00A23740">
              <w:rPr>
                <w:rStyle w:val="KIRMIZIChar"/>
                <w:rFonts w:eastAsia="Calibri"/>
              </w:rPr>
              <w:t>nispetinde</w:t>
            </w:r>
            <w:r w:rsidRPr="00A23740">
              <w:rPr>
                <w:rFonts w:eastAsia="Times New Roman"/>
                <w:szCs w:val="24"/>
                <w:lang w:eastAsia="tr-TR"/>
              </w:rPr>
              <w:t xml:space="preserve"> borçlunun haklarına halef olurlar.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KIRMIZI"/>
              <w:rPr>
                <w:lang w:val="tr-TR"/>
              </w:rPr>
            </w:pPr>
            <w:r w:rsidRPr="00A23740">
              <w:rPr>
                <w:rStyle w:val="KIRMIZIChar"/>
                <w:rFonts w:eastAsia="Calibri"/>
                <w:b/>
                <w:bCs/>
                <w:strike/>
                <w:lang w:val="tr-TR"/>
              </w:rPr>
              <w:t>(2)</w:t>
            </w:r>
            <w:r w:rsidRPr="00A23740">
              <w:rPr>
                <w:lang w:val="tr-TR"/>
              </w:rPr>
              <w:t xml:space="preserve"> Aynı suretle hacze iştirak edenlerin hepsi veya içlerinden birisi borçlunun üçüncü bir şahıstaki alacağının tahsilini veya böyle bir şahsa karşı haiz olduğu dava hakkının kullanılmasını, masraf kendilerine ait olmak ve fakat haklarına halel gelmemek şartiyle üzerlerine alabilirler.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rStyle w:val="KIRMIZIChar"/>
                <w:rFonts w:eastAsia="Calibri"/>
                <w:b/>
                <w:bCs/>
                <w:strike/>
                <w:lang w:val="tr-TR"/>
              </w:rPr>
              <w:t>(3)</w:t>
            </w:r>
            <w:r w:rsidRPr="00A23740">
              <w:rPr>
                <w:lang w:val="tr-TR"/>
              </w:rPr>
              <w:t xml:space="preserve"> Bu suretle elde edilecek para ilk önce üzerlerine alanların alacak ve masraflarının ödenmesine karşılık tutulur.</w:t>
            </w:r>
          </w:p>
          <w:p w:rsidR="00AA5C8C" w:rsidRPr="00A23740" w:rsidRDefault="00AA5C8C" w:rsidP="009431FF">
            <w:pPr>
              <w:tabs>
                <w:tab w:val="left" w:pos="567"/>
              </w:tabs>
              <w:rPr>
                <w:rFonts w:eastAsia="Times New Roman"/>
                <w:b/>
                <w:szCs w:val="24"/>
                <w:lang w:eastAsia="tr-TR"/>
              </w:rPr>
            </w:pPr>
          </w:p>
        </w:tc>
        <w:tc>
          <w:tcPr>
            <w:tcW w:w="2500" w:type="pct"/>
          </w:tcPr>
          <w:p w:rsidR="00AA5C8C" w:rsidRPr="00A23740" w:rsidRDefault="00AA5C8C" w:rsidP="009431FF">
            <w:pPr>
              <w:jc w:val="center"/>
              <w:rPr>
                <w:rFonts w:eastAsia="Times New Roman"/>
                <w:b/>
                <w:color w:val="0000FF"/>
                <w:szCs w:val="24"/>
                <w:lang w:eastAsia="tr-TR"/>
              </w:rPr>
            </w:pPr>
            <w:r w:rsidRPr="00A23740">
              <w:rPr>
                <w:rFonts w:eastAsia="Times New Roman"/>
                <w:b/>
                <w:color w:val="0000FF"/>
                <w:szCs w:val="24"/>
                <w:lang w:eastAsia="tr-TR"/>
              </w:rPr>
              <w:t>İKİNCİ BÖLÜM</w:t>
            </w:r>
          </w:p>
          <w:p w:rsidR="00AA5C8C" w:rsidRPr="00A23740" w:rsidRDefault="00AA5C8C" w:rsidP="009431FF">
            <w:pPr>
              <w:pStyle w:val="Mavi"/>
              <w:jc w:val="center"/>
              <w:rPr>
                <w:lang w:val="tr-TR"/>
              </w:rPr>
            </w:pPr>
            <w:r w:rsidRPr="00A23740">
              <w:rPr>
                <w:lang w:val="tr-TR"/>
              </w:rPr>
              <w:t>Paraya Çevirme</w:t>
            </w:r>
          </w:p>
          <w:p w:rsidR="00AA5C8C" w:rsidRPr="00A23740" w:rsidRDefault="00AA5C8C" w:rsidP="009431FF">
            <w:pPr>
              <w:jc w:val="center"/>
              <w:rPr>
                <w:rFonts w:eastAsia="Times New Roman"/>
                <w:b/>
                <w:szCs w:val="24"/>
                <w:lang w:eastAsia="tr-TR"/>
              </w:rPr>
            </w:pPr>
          </w:p>
          <w:p w:rsidR="00AA5C8C" w:rsidRPr="00A23740" w:rsidRDefault="00AA5C8C" w:rsidP="009431FF">
            <w:pPr>
              <w:jc w:val="center"/>
              <w:rPr>
                <w:rFonts w:eastAsia="Times New Roman"/>
                <w:b/>
                <w:color w:val="0000FF"/>
                <w:szCs w:val="24"/>
                <w:lang w:eastAsia="tr-TR"/>
              </w:rPr>
            </w:pPr>
            <w:r w:rsidRPr="00A23740">
              <w:rPr>
                <w:rFonts w:eastAsia="Times New Roman"/>
                <w:b/>
                <w:color w:val="0000FF"/>
                <w:szCs w:val="24"/>
                <w:lang w:eastAsia="tr-TR"/>
              </w:rPr>
              <w:t>BİRİNCİ AYRIM</w:t>
            </w:r>
          </w:p>
          <w:p w:rsidR="00AA5C8C" w:rsidRPr="00A23740" w:rsidRDefault="00AA5C8C" w:rsidP="009431FF">
            <w:pPr>
              <w:jc w:val="center"/>
              <w:rPr>
                <w:rFonts w:eastAsia="Times New Roman"/>
                <w:b/>
                <w:color w:val="0000FF"/>
                <w:szCs w:val="24"/>
                <w:lang w:eastAsia="tr-TR"/>
              </w:rPr>
            </w:pPr>
            <w:r w:rsidRPr="00A23740">
              <w:rPr>
                <w:rFonts w:eastAsia="Times New Roman"/>
                <w:b/>
                <w:color w:val="0000FF"/>
                <w:szCs w:val="24"/>
                <w:lang w:eastAsia="tr-TR"/>
              </w:rPr>
              <w:t>Satış Dışında Paraya Çevirme Biçimleri</w:t>
            </w:r>
          </w:p>
          <w:p w:rsidR="00AA5C8C" w:rsidRPr="00A23740" w:rsidRDefault="00AA5C8C" w:rsidP="009431FF">
            <w:pPr>
              <w:rPr>
                <w:rFonts w:eastAsia="Times New Roman"/>
                <w:b/>
                <w:color w:val="0000FF"/>
                <w:szCs w:val="24"/>
                <w:lang w:eastAsia="tr-TR"/>
              </w:rPr>
            </w:pPr>
          </w:p>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Haczedilen </w:t>
            </w:r>
            <w:r w:rsidRPr="00A23740">
              <w:rPr>
                <w:rFonts w:eastAsia="Times New Roman"/>
                <w:b/>
                <w:szCs w:val="24"/>
                <w:lang w:eastAsia="tr-TR"/>
              </w:rPr>
              <w:t>alaca</w:t>
            </w:r>
            <w:r w:rsidRPr="00A23740">
              <w:rPr>
                <w:rStyle w:val="MaviChar"/>
                <w:lang w:val="tr-TR"/>
              </w:rPr>
              <w:t>ğın</w:t>
            </w:r>
            <w:r w:rsidRPr="00A23740">
              <w:rPr>
                <w:rStyle w:val="MaviChar"/>
                <w:b w:val="0"/>
                <w:lang w:val="tr-TR"/>
              </w:rPr>
              <w:t xml:space="preserve"> </w:t>
            </w:r>
            <w:r w:rsidRPr="00A23740">
              <w:rPr>
                <w:rFonts w:eastAsia="Times New Roman"/>
                <w:b/>
                <w:szCs w:val="24"/>
                <w:lang w:eastAsia="tr-TR"/>
              </w:rPr>
              <w:t xml:space="preserve">ödeme yerine </w:t>
            </w:r>
            <w:r w:rsidRPr="00A23740">
              <w:rPr>
                <w:rFonts w:eastAsia="Times New Roman"/>
                <w:b/>
                <w:color w:val="0000FF"/>
                <w:szCs w:val="24"/>
                <w:lang w:eastAsia="tr-TR"/>
              </w:rPr>
              <w:t>geçmek üzere</w:t>
            </w:r>
            <w:r w:rsidRPr="00A23740">
              <w:rPr>
                <w:rFonts w:eastAsia="Times New Roman"/>
                <w:b/>
                <w:szCs w:val="24"/>
                <w:lang w:eastAsia="tr-TR"/>
              </w:rPr>
              <w:t xml:space="preserve"> devri</w:t>
            </w:r>
          </w:p>
          <w:p w:rsidR="00AA5C8C" w:rsidRPr="00A23740" w:rsidRDefault="00AA5C8C" w:rsidP="009431FF">
            <w:pPr>
              <w:rPr>
                <w:rFonts w:eastAsia="ヒラギノ明朝 Pro W3"/>
                <w:b/>
                <w:color w:val="339933"/>
                <w:szCs w:val="24"/>
              </w:rPr>
            </w:pPr>
            <w:r w:rsidRPr="00A23740">
              <w:rPr>
                <w:rFonts w:eastAsia="Times New Roman"/>
                <w:b/>
                <w:color w:val="0000FF"/>
                <w:szCs w:val="24"/>
                <w:lang w:eastAsia="tr-TR"/>
              </w:rPr>
              <w:t xml:space="preserve">MADDE </w:t>
            </w:r>
            <w:r w:rsidR="0025794C" w:rsidRPr="00A23740">
              <w:rPr>
                <w:rStyle w:val="MaviChar"/>
                <w:lang w:val="tr-TR"/>
              </w:rPr>
              <w:t>207</w:t>
            </w:r>
            <w:r w:rsidRPr="00A23740">
              <w:rPr>
                <w:rStyle w:val="MaviChar"/>
              </w:rPr>
              <w:t>-</w:t>
            </w:r>
            <w:r w:rsidRPr="00A23740">
              <w:rPr>
                <w:rFonts w:eastAsia="Times New Roman"/>
                <w:b/>
                <w:color w:val="0000FF"/>
                <w:szCs w:val="24"/>
                <w:lang w:eastAsia="tr-TR"/>
              </w:rPr>
              <w:t xml:space="preserve"> (1) </w:t>
            </w:r>
            <w:r w:rsidRPr="00A23740">
              <w:rPr>
                <w:rFonts w:eastAsia="Times New Roman"/>
                <w:szCs w:val="24"/>
                <w:lang w:eastAsia="tr-TR"/>
              </w:rPr>
              <w:t>Hacze iştirak eden bütün alacaklılar</w:t>
            </w:r>
            <w:r w:rsidRPr="00A23740">
              <w:rPr>
                <w:rFonts w:eastAsia="Times New Roman"/>
                <w:b/>
                <w:color w:val="0000FF"/>
                <w:lang w:eastAsia="tr-TR"/>
              </w:rPr>
              <w:t xml:space="preserve"> talep </w:t>
            </w:r>
            <w:r w:rsidRPr="00A23740">
              <w:rPr>
                <w:rFonts w:eastAsia="Times New Roman"/>
                <w:szCs w:val="24"/>
                <w:lang w:eastAsia="tr-TR"/>
              </w:rPr>
              <w:t>ederlerse</w:t>
            </w:r>
            <w:r w:rsidR="00F9267A" w:rsidRPr="00A23740">
              <w:rPr>
                <w:rStyle w:val="Balk1Char"/>
                <w:rFonts w:eastAsia="Calibri"/>
              </w:rPr>
              <w:t>,</w:t>
            </w:r>
            <w:r w:rsidRPr="00A23740">
              <w:rPr>
                <w:rFonts w:eastAsia="Times New Roman"/>
                <w:b/>
                <w:color w:val="0000FF"/>
                <w:lang w:eastAsia="tr-TR"/>
              </w:rPr>
              <w:t xml:space="preserve"> </w:t>
            </w:r>
            <w:r w:rsidRPr="00A23740">
              <w:rPr>
                <w:rFonts w:eastAsia="Times New Roman"/>
                <w:szCs w:val="24"/>
                <w:lang w:eastAsia="tr-TR"/>
              </w:rPr>
              <w:t>borçlunun borsada veya piyasada fiyatı olm</w:t>
            </w:r>
            <w:r w:rsidRPr="00A23740">
              <w:rPr>
                <w:rStyle w:val="MaviChar"/>
              </w:rPr>
              <w:t>a</w:t>
            </w:r>
            <w:r w:rsidRPr="00A23740">
              <w:rPr>
                <w:rFonts w:eastAsia="Times New Roman"/>
                <w:szCs w:val="24"/>
                <w:lang w:eastAsia="tr-TR"/>
              </w:rPr>
              <w:t>yan</w:t>
            </w:r>
            <w:r w:rsidRPr="00A23740">
              <w:rPr>
                <w:rFonts w:eastAsia="Times New Roman"/>
                <w:b/>
                <w:color w:val="0000FF"/>
                <w:lang w:eastAsia="tr-TR"/>
              </w:rPr>
              <w:t xml:space="preserve"> para </w:t>
            </w:r>
            <w:r w:rsidRPr="00A23740">
              <w:rPr>
                <w:rFonts w:eastAsia="Times New Roman"/>
                <w:szCs w:val="24"/>
                <w:lang w:eastAsia="tr-TR"/>
              </w:rPr>
              <w:t>alacakları,</w:t>
            </w:r>
            <w:r w:rsidRPr="00A23740">
              <w:rPr>
                <w:rFonts w:eastAsia="Times New Roman"/>
                <w:b/>
                <w:color w:val="0000FF"/>
                <w:lang w:eastAsia="tr-TR"/>
              </w:rPr>
              <w:t xml:space="preserve"> </w:t>
            </w:r>
            <w:r w:rsidRPr="00A23740">
              <w:rPr>
                <w:rFonts w:eastAsia="Times New Roman"/>
                <w:szCs w:val="24"/>
                <w:lang w:eastAsia="tr-TR"/>
              </w:rPr>
              <w:t>ödeme yerine geçmek üzere</w:t>
            </w:r>
            <w:r w:rsidRPr="00A23740">
              <w:rPr>
                <w:rFonts w:eastAsia="Times New Roman"/>
                <w:b/>
                <w:color w:val="0000FF"/>
                <w:lang w:eastAsia="tr-TR"/>
              </w:rPr>
              <w:t xml:space="preserve"> nominal </w:t>
            </w:r>
            <w:r w:rsidRPr="00A23740">
              <w:rPr>
                <w:rFonts w:eastAsia="Times New Roman"/>
                <w:szCs w:val="24"/>
                <w:lang w:eastAsia="tr-TR"/>
              </w:rPr>
              <w:t xml:space="preserve">kıymetleriyle </w:t>
            </w:r>
            <w:r w:rsidRPr="00A23740">
              <w:rPr>
                <w:rStyle w:val="MaviChar"/>
              </w:rPr>
              <w:t>bu alacaklılara</w:t>
            </w:r>
            <w:r w:rsidRPr="00A23740">
              <w:rPr>
                <w:rFonts w:eastAsia="Times New Roman"/>
                <w:szCs w:val="24"/>
                <w:lang w:eastAsia="tr-TR"/>
              </w:rPr>
              <w:t xml:space="preserve"> veya </w:t>
            </w:r>
            <w:r w:rsidRPr="00A23740">
              <w:rPr>
                <w:rStyle w:val="MaviChar"/>
              </w:rPr>
              <w:t>onların</w:t>
            </w:r>
            <w:r w:rsidRPr="00A23740">
              <w:rPr>
                <w:rFonts w:eastAsia="Times New Roman"/>
                <w:szCs w:val="24"/>
                <w:lang w:eastAsia="tr-TR"/>
              </w:rPr>
              <w:t xml:space="preserve"> hesaplarına </w:t>
            </w:r>
            <w:r w:rsidRPr="00A23740">
              <w:rPr>
                <w:rFonts w:eastAsia="Times New Roman"/>
                <w:b/>
                <w:color w:val="0000FF"/>
                <w:lang w:eastAsia="tr-TR"/>
              </w:rPr>
              <w:t xml:space="preserve">olmak üzere </w:t>
            </w:r>
            <w:r w:rsidRPr="00A23740">
              <w:rPr>
                <w:rFonts w:eastAsia="Times New Roman"/>
                <w:szCs w:val="24"/>
                <w:lang w:eastAsia="tr-TR"/>
              </w:rPr>
              <w:t>içlerinden</w:t>
            </w:r>
            <w:r w:rsidRPr="00A23740">
              <w:rPr>
                <w:rFonts w:eastAsia="Times New Roman"/>
                <w:b/>
                <w:color w:val="0000FF"/>
                <w:lang w:eastAsia="tr-TR"/>
              </w:rPr>
              <w:t xml:space="preserve"> </w:t>
            </w:r>
            <w:r w:rsidRPr="00A23740">
              <w:rPr>
                <w:rFonts w:eastAsia="Times New Roman"/>
                <w:szCs w:val="24"/>
                <w:lang w:eastAsia="tr-TR"/>
              </w:rPr>
              <w:t>birine devredilir.</w:t>
            </w:r>
            <w:r w:rsidRPr="00A23740">
              <w:rPr>
                <w:rFonts w:eastAsia="Times New Roman"/>
                <w:b/>
                <w:color w:val="0000FF"/>
                <w:lang w:eastAsia="tr-TR"/>
              </w:rPr>
              <w:t xml:space="preserve"> </w:t>
            </w:r>
            <w:r w:rsidRPr="00A23740">
              <w:rPr>
                <w:rFonts w:eastAsia="Times New Roman"/>
                <w:szCs w:val="24"/>
                <w:lang w:eastAsia="tr-TR"/>
              </w:rPr>
              <w:t>Bu h</w:t>
            </w:r>
            <w:r w:rsidR="00F9267A" w:rsidRPr="00A23740">
              <w:rPr>
                <w:rFonts w:eastAsia="Times New Roman"/>
                <w:szCs w:val="24"/>
                <w:lang w:eastAsia="tr-TR"/>
              </w:rPr>
              <w:t>â</w:t>
            </w:r>
            <w:r w:rsidRPr="00A23740">
              <w:rPr>
                <w:rFonts w:eastAsia="Times New Roman"/>
                <w:szCs w:val="24"/>
                <w:lang w:eastAsia="tr-TR"/>
              </w:rPr>
              <w:t>lde</w:t>
            </w:r>
            <w:r w:rsidRPr="00A23740">
              <w:rPr>
                <w:rFonts w:eastAsia="Times New Roman"/>
                <w:b/>
                <w:color w:val="0000FF"/>
                <w:lang w:eastAsia="tr-TR"/>
              </w:rPr>
              <w:t xml:space="preserve"> </w:t>
            </w:r>
            <w:r w:rsidRPr="00A23740">
              <w:rPr>
                <w:rFonts w:eastAsia="Times New Roman"/>
                <w:szCs w:val="24"/>
                <w:lang w:eastAsia="tr-TR"/>
              </w:rPr>
              <w:t xml:space="preserve">alacaklılar, alacakları </w:t>
            </w:r>
            <w:r w:rsidR="00F9267A" w:rsidRPr="00A23740">
              <w:rPr>
                <w:rStyle w:val="Balk1Char"/>
                <w:rFonts w:eastAsia="Calibri"/>
              </w:rPr>
              <w:t>oranında</w:t>
            </w:r>
            <w:r w:rsidR="00F9267A" w:rsidRPr="00A23740">
              <w:rPr>
                <w:rFonts w:eastAsia="Times New Roman"/>
                <w:szCs w:val="24"/>
                <w:lang w:eastAsia="tr-TR"/>
              </w:rPr>
              <w:t xml:space="preserve"> </w:t>
            </w:r>
            <w:r w:rsidRPr="00A23740">
              <w:rPr>
                <w:rFonts w:eastAsia="Times New Roman"/>
                <w:szCs w:val="24"/>
                <w:lang w:eastAsia="tr-TR"/>
              </w:rPr>
              <w:t>borçlunun haklarına halef olurlar.</w:t>
            </w:r>
          </w:p>
        </w:tc>
      </w:tr>
      <w:tr w:rsidR="00D25904" w:rsidRPr="00A23740" w:rsidTr="009431FF">
        <w:tblPrEx>
          <w:tblLook w:val="01E0" w:firstRow="1" w:lastRow="1" w:firstColumn="1" w:lastColumn="1" w:noHBand="0" w:noVBand="0"/>
        </w:tblPrEx>
        <w:tc>
          <w:tcPr>
            <w:tcW w:w="5000" w:type="pct"/>
            <w:gridSpan w:val="2"/>
            <w:shd w:val="clear" w:color="auto" w:fill="DEEAF6"/>
          </w:tcPr>
          <w:p w:rsidR="00BC72D0" w:rsidRPr="00A23740" w:rsidRDefault="00BC72D0" w:rsidP="009431FF">
            <w:pPr>
              <w:ind w:firstLine="709"/>
              <w:rPr>
                <w:b/>
                <w:szCs w:val="24"/>
              </w:rPr>
            </w:pPr>
          </w:p>
          <w:p w:rsidR="00D25904" w:rsidRPr="00A23740" w:rsidRDefault="00ED3ED4" w:rsidP="009431FF">
            <w:pPr>
              <w:pStyle w:val="Mavi"/>
              <w:ind w:firstLine="567"/>
              <w:rPr>
                <w:color w:val="auto"/>
                <w:lang w:val="tr-TR"/>
              </w:rPr>
            </w:pPr>
            <w:r w:rsidRPr="004740E6">
              <w:rPr>
                <w:color w:val="auto"/>
              </w:rPr>
              <w:t>MADDE 207-</w:t>
            </w:r>
            <w:r w:rsidRPr="004740E6">
              <w:rPr>
                <w:rFonts w:eastAsia="Times New Roman"/>
                <w:b w:val="0"/>
                <w:color w:val="auto"/>
                <w:lang w:eastAsia="tr-TR"/>
              </w:rPr>
              <w:t xml:space="preserve"> </w:t>
            </w:r>
            <w:r w:rsidR="00FD5BAD" w:rsidRPr="004740E6">
              <w:rPr>
                <w:b w:val="0"/>
                <w:color w:val="auto"/>
              </w:rPr>
              <w:t xml:space="preserve">Madde, 2004 sayılı Kanunun, ödeme yerine çekişmeli alacakların devrini düzenleyen 120 nci maddesine kısmen karşılık gelmektedir. </w:t>
            </w:r>
            <w:r w:rsidR="00060F23" w:rsidRPr="004740E6">
              <w:rPr>
                <w:b w:val="0"/>
                <w:color w:val="auto"/>
                <w:lang w:val="tr-TR"/>
              </w:rPr>
              <w:t xml:space="preserve">Sözü </w:t>
            </w:r>
            <w:r w:rsidR="00FD5BAD" w:rsidRPr="004740E6">
              <w:rPr>
                <w:b w:val="0"/>
                <w:color w:val="auto"/>
              </w:rPr>
              <w:t>geçen 120 nci maddenin başlığı her ne kadar “</w:t>
            </w:r>
            <w:r w:rsidR="00FD5BAD" w:rsidRPr="004740E6">
              <w:rPr>
                <w:b w:val="0"/>
                <w:i/>
                <w:iCs/>
                <w:color w:val="auto"/>
              </w:rPr>
              <w:t>Ödeme yerine alacakların devri</w:t>
            </w:r>
            <w:r w:rsidR="00FD5BAD" w:rsidRPr="004740E6">
              <w:rPr>
                <w:b w:val="0"/>
                <w:color w:val="auto"/>
              </w:rPr>
              <w:t>” olsa da aslında bu maddede birbirinden farklı iki hukuki kurum düzenlenmekteydi. Maddenin birinci fıkrasında çekişmeli alacağın ödeme yerine geçmek üzere doğrudan devri; ikinci ve üçüncü fıkralarında ise çekişmeli alacağın tahsiliyle sınırlı olmak üzere, bu alacak hakkındaki dava veya icra takip yetkisinin devri hususları yer almaktaydı. Maddenin birinci fıkrası, 2004 sayılı Kanunun 120 nci maddesinin birinci fıkrasını karşılamaktadır. Buna göre, borsada fiyatı olmayan, diğer bir de</w:t>
            </w:r>
            <w:r w:rsidR="00060F23" w:rsidRPr="004740E6">
              <w:rPr>
                <w:b w:val="0"/>
                <w:color w:val="auto"/>
                <w:lang w:val="tr-TR"/>
              </w:rPr>
              <w:t>y</w:t>
            </w:r>
            <w:r w:rsidR="00FD5BAD" w:rsidRPr="004740E6">
              <w:rPr>
                <w:b w:val="0"/>
                <w:color w:val="auto"/>
              </w:rPr>
              <w:t>işle alelade nitelik taşıyan çekişmeli para alacakları; pay senedi, tahvil, çek, poliçe veya emre yazılı senede bağlanmış olsalar dahi, nominal kıymetleriyle alacaklılara devredilebilecektir. Taslaktaki hükümle, 2004 sayılı Kanundaki düzenlemeden farklı olarak, hacze iştirak eden tüm alacaklıların muvafakati yerine, bunların tamamının birlikte talepte bulunması esası getirilmiştir. Bu çerçevede icra ve iflas dairesinin muvafakat sorgulamak gibi bir görevi olmayacak; hacze iştirak eden alacaklıların devir konusundaki iradeleri, talebe bağlanmış ve daha net şekilde somutlaşmış olacaktır. Bu madde hükmüne göre</w:t>
            </w:r>
            <w:r w:rsidR="00060F23" w:rsidRPr="004740E6">
              <w:rPr>
                <w:b w:val="0"/>
                <w:color w:val="auto"/>
                <w:lang w:val="tr-TR"/>
              </w:rPr>
              <w:t>,</w:t>
            </w:r>
            <w:r w:rsidR="00FD5BAD" w:rsidRPr="004740E6">
              <w:rPr>
                <w:b w:val="0"/>
                <w:color w:val="auto"/>
              </w:rPr>
              <w:t xml:space="preserve"> yapılacak olan devir, tüm alacaklılara veya onların hesaplarına olmak üzere içlerinden birine gerçekleştirilecektir. 2004 sayılı Kanunda olduğu gibi, Taslak hükmünde de h</w:t>
            </w:r>
            <w:r w:rsidR="00707B08" w:rsidRPr="004740E6">
              <w:rPr>
                <w:b w:val="0"/>
                <w:color w:val="auto"/>
                <w:lang w:val="tr-TR"/>
              </w:rPr>
              <w:t>a</w:t>
            </w:r>
            <w:r w:rsidR="00FD5BAD" w:rsidRPr="004740E6">
              <w:rPr>
                <w:b w:val="0"/>
                <w:color w:val="auto"/>
              </w:rPr>
              <w:t>lefiyet prensibi esas alınmıştır. Buna göre alacağı devralmış olan alacaklı, devir üzerine, kendisinin takip konusu alacağı oranında, takip borçlusunun haklarına sahip olacaktır.</w:t>
            </w:r>
          </w:p>
          <w:p w:rsidR="00B27342" w:rsidRPr="00A23740" w:rsidRDefault="00B27342" w:rsidP="009431FF">
            <w:pPr>
              <w:pStyle w:val="Mavi"/>
              <w:ind w:firstLine="567"/>
              <w:rPr>
                <w:rFonts w:eastAsia="Times New Roman"/>
                <w:b w:val="0"/>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r w:rsidRPr="00A23740">
              <w:rPr>
                <w:rFonts w:eastAsia="Times New Roman"/>
                <w:b/>
                <w:strike/>
                <w:color w:val="FF0000"/>
                <w:szCs w:val="24"/>
                <w:lang w:eastAsia="tr-TR"/>
              </w:rPr>
              <w:t>Ödeme yerine alacakların</w:t>
            </w:r>
            <w:r w:rsidRPr="00A23740">
              <w:rPr>
                <w:rFonts w:eastAsia="Times New Roman"/>
                <w:i/>
                <w:szCs w:val="24"/>
                <w:lang w:eastAsia="tr-TR"/>
              </w:rPr>
              <w:t xml:space="preserve"> devri</w:t>
            </w:r>
            <w:r w:rsidRPr="00A23740">
              <w:rPr>
                <w:rFonts w:eastAsia="Times New Roman"/>
                <w:b/>
                <w:strike/>
                <w:color w:val="FF0000"/>
                <w:szCs w:val="24"/>
                <w:lang w:eastAsia="tr-TR"/>
              </w:rPr>
              <w:t>:</w:t>
            </w:r>
          </w:p>
          <w:p w:rsidR="00AA5C8C" w:rsidRPr="00A23740" w:rsidRDefault="00AA5C8C" w:rsidP="009431FF">
            <w:pPr>
              <w:tabs>
                <w:tab w:val="left" w:pos="567"/>
              </w:tabs>
              <w:rPr>
                <w:rStyle w:val="KIRMIZIChar"/>
                <w:rFonts w:eastAsia="Calibri"/>
              </w:rPr>
            </w:pPr>
            <w:r w:rsidRPr="00A23740">
              <w:rPr>
                <w:rStyle w:val="KIRMIZIChar"/>
                <w:rFonts w:eastAsia="Calibri"/>
              </w:rPr>
              <w:t>Madde 120</w:t>
            </w:r>
            <w:r w:rsidRPr="00A23740">
              <w:rPr>
                <w:rFonts w:eastAsia="Times New Roman"/>
                <w:b/>
                <w:szCs w:val="24"/>
                <w:lang w:eastAsia="tr-TR"/>
              </w:rPr>
              <w:t xml:space="preserve"> – </w:t>
            </w:r>
          </w:p>
          <w:p w:rsidR="00AA5C8C" w:rsidRPr="00A23740" w:rsidRDefault="000B640A" w:rsidP="009431FF">
            <w:pPr>
              <w:tabs>
                <w:tab w:val="left" w:pos="567"/>
              </w:tabs>
              <w:rPr>
                <w:rFonts w:eastAsia="Times New Roman"/>
                <w:szCs w:val="24"/>
                <w:lang w:eastAsia="tr-TR"/>
              </w:rPr>
            </w:pPr>
            <w:r w:rsidRPr="00A23740">
              <w:rPr>
                <w:rFonts w:eastAsia="Times New Roman"/>
                <w:szCs w:val="24"/>
                <w:lang w:eastAsia="tr-TR"/>
              </w:rPr>
              <w:t>…</w:t>
            </w:r>
          </w:p>
          <w:p w:rsidR="00AA5C8C" w:rsidRPr="00A23740" w:rsidRDefault="000B640A" w:rsidP="009431FF">
            <w:pPr>
              <w:tabs>
                <w:tab w:val="left" w:pos="567"/>
              </w:tabs>
              <w:rPr>
                <w:rStyle w:val="KIRMIZIChar"/>
                <w:rFonts w:eastAsia="Calibri"/>
              </w:rPr>
            </w:pPr>
            <w:r w:rsidRPr="00A23740">
              <w:rPr>
                <w:rStyle w:val="KIRMIZIChar"/>
                <w:rFonts w:eastAsia="Calibri"/>
              </w:rPr>
              <w:t>(2</w:t>
            </w:r>
            <w:r w:rsidR="00AA5C8C" w:rsidRPr="00A23740">
              <w:rPr>
                <w:rStyle w:val="KIRMIZIChar"/>
                <w:rFonts w:eastAsia="Calibri"/>
              </w:rPr>
              <w:t>) Aynı suretle</w:t>
            </w:r>
            <w:r w:rsidR="00AA5C8C" w:rsidRPr="00A23740">
              <w:rPr>
                <w:rFonts w:eastAsia="Times New Roman"/>
                <w:szCs w:val="24"/>
                <w:lang w:eastAsia="tr-TR"/>
              </w:rPr>
              <w:t xml:space="preserve"> hacze iştirak eden</w:t>
            </w:r>
            <w:r w:rsidR="00AA5C8C" w:rsidRPr="00A23740">
              <w:rPr>
                <w:rStyle w:val="KIRMIZIChar"/>
                <w:rFonts w:eastAsia="Calibri"/>
              </w:rPr>
              <w:t>lerin</w:t>
            </w:r>
            <w:r w:rsidR="00AA5C8C" w:rsidRPr="00A23740">
              <w:rPr>
                <w:rFonts w:eastAsia="Times New Roman"/>
                <w:szCs w:val="24"/>
                <w:lang w:eastAsia="tr-TR"/>
              </w:rPr>
              <w:t xml:space="preserve"> </w:t>
            </w:r>
            <w:r w:rsidR="00AA5C8C" w:rsidRPr="00A23740">
              <w:rPr>
                <w:rStyle w:val="KIRMIZIChar"/>
                <w:rFonts w:eastAsia="Calibri"/>
              </w:rPr>
              <w:t>hepsi</w:t>
            </w:r>
            <w:r w:rsidR="00AA5C8C" w:rsidRPr="00A23740">
              <w:rPr>
                <w:rFonts w:eastAsia="Times New Roman"/>
                <w:szCs w:val="24"/>
                <w:lang w:eastAsia="tr-TR"/>
              </w:rPr>
              <w:t xml:space="preserve"> veya </w:t>
            </w:r>
            <w:r w:rsidR="00AA5C8C" w:rsidRPr="00A23740">
              <w:rPr>
                <w:rFonts w:eastAsia="Times New Roman"/>
                <w:bCs/>
                <w:lang w:eastAsia="tr-TR"/>
              </w:rPr>
              <w:t xml:space="preserve">içlerinden </w:t>
            </w:r>
            <w:r w:rsidR="00AA5C8C" w:rsidRPr="00A23740">
              <w:rPr>
                <w:rStyle w:val="KIRMIZIChar"/>
                <w:rFonts w:eastAsia="Calibri"/>
              </w:rPr>
              <w:t>birisi</w:t>
            </w:r>
            <w:r w:rsidR="00AA5C8C" w:rsidRPr="00A23740">
              <w:rPr>
                <w:rFonts w:eastAsia="Times New Roman"/>
                <w:szCs w:val="24"/>
                <w:lang w:eastAsia="tr-TR"/>
              </w:rPr>
              <w:t xml:space="preserve"> borçlunun üçüncü </w:t>
            </w:r>
            <w:r w:rsidR="00AA5C8C" w:rsidRPr="00A23740">
              <w:rPr>
                <w:rStyle w:val="KIRMIZIChar"/>
                <w:rFonts w:eastAsia="Calibri"/>
              </w:rPr>
              <w:t>bir şahıstaki</w:t>
            </w:r>
            <w:r w:rsidR="00AA5C8C" w:rsidRPr="00A23740">
              <w:rPr>
                <w:rFonts w:eastAsia="Times New Roman"/>
                <w:szCs w:val="24"/>
                <w:lang w:eastAsia="tr-TR"/>
              </w:rPr>
              <w:t xml:space="preserve"> alacağının tahsili</w:t>
            </w:r>
            <w:r w:rsidR="00AA5C8C" w:rsidRPr="00A23740">
              <w:rPr>
                <w:rStyle w:val="KIRMIZIChar"/>
                <w:rFonts w:eastAsia="Calibri"/>
              </w:rPr>
              <w:t>ni</w:t>
            </w:r>
            <w:r w:rsidR="00AA5C8C" w:rsidRPr="00A23740">
              <w:rPr>
                <w:rFonts w:eastAsia="Times New Roman"/>
                <w:szCs w:val="24"/>
                <w:lang w:eastAsia="tr-TR"/>
              </w:rPr>
              <w:t xml:space="preserve"> veya </w:t>
            </w:r>
            <w:r w:rsidR="00AA5C8C" w:rsidRPr="00A23740">
              <w:rPr>
                <w:rStyle w:val="KIRMIZIChar"/>
                <w:rFonts w:eastAsia="Calibri"/>
              </w:rPr>
              <w:t>böyle bir şahsa</w:t>
            </w:r>
            <w:r w:rsidR="00AA5C8C" w:rsidRPr="00A23740">
              <w:rPr>
                <w:rFonts w:eastAsia="Times New Roman"/>
                <w:szCs w:val="24"/>
                <w:lang w:eastAsia="tr-TR"/>
              </w:rPr>
              <w:t xml:space="preserve"> karşı </w:t>
            </w:r>
            <w:r w:rsidR="00AA5C8C" w:rsidRPr="00A23740">
              <w:rPr>
                <w:rStyle w:val="KIRMIZIChar"/>
                <w:rFonts w:eastAsia="Calibri"/>
              </w:rPr>
              <w:t>haiz</w:t>
            </w:r>
            <w:r w:rsidR="00AA5C8C" w:rsidRPr="00A23740">
              <w:rPr>
                <w:rFonts w:eastAsia="Times New Roman"/>
                <w:szCs w:val="24"/>
                <w:lang w:eastAsia="tr-TR"/>
              </w:rPr>
              <w:t xml:space="preserve"> olduğu dava hakkının kullanılmasını, </w:t>
            </w:r>
            <w:r w:rsidR="00AA5C8C" w:rsidRPr="00A23740">
              <w:rPr>
                <w:rStyle w:val="KIRMIZIChar"/>
                <w:rFonts w:eastAsia="Calibri"/>
              </w:rPr>
              <w:t>masraf</w:t>
            </w:r>
            <w:r w:rsidR="00AA5C8C" w:rsidRPr="00A23740">
              <w:rPr>
                <w:rFonts w:eastAsia="Times New Roman"/>
                <w:bCs/>
                <w:lang w:eastAsia="tr-TR"/>
              </w:rPr>
              <w:t xml:space="preserve"> kendilerine ait olmak ve </w:t>
            </w:r>
            <w:r w:rsidR="00AA5C8C" w:rsidRPr="00A23740">
              <w:rPr>
                <w:rStyle w:val="KIRMIZIChar"/>
                <w:rFonts w:eastAsia="Calibri"/>
              </w:rPr>
              <w:t>fakat</w:t>
            </w:r>
            <w:r w:rsidR="00AA5C8C" w:rsidRPr="00A23740">
              <w:rPr>
                <w:rStyle w:val="KIRMIZIChar"/>
                <w:rFonts w:eastAsia="Calibri"/>
                <w:strike w:val="0"/>
              </w:rPr>
              <w:t xml:space="preserve"> </w:t>
            </w:r>
            <w:r w:rsidR="00AA5C8C" w:rsidRPr="00A23740">
              <w:rPr>
                <w:rFonts w:eastAsia="Times New Roman"/>
                <w:bCs/>
                <w:lang w:eastAsia="tr-TR"/>
              </w:rPr>
              <w:t>haklarına halel gelmemek</w:t>
            </w:r>
            <w:r w:rsidR="00AA5C8C" w:rsidRPr="00A23740">
              <w:rPr>
                <w:rStyle w:val="KIRMIZIChar"/>
                <w:rFonts w:eastAsia="Calibri"/>
                <w:strike w:val="0"/>
              </w:rPr>
              <w:t xml:space="preserve"> </w:t>
            </w:r>
            <w:r w:rsidR="00AA5C8C" w:rsidRPr="00A23740">
              <w:rPr>
                <w:rStyle w:val="KIRMIZIChar"/>
                <w:rFonts w:eastAsia="Calibri"/>
              </w:rPr>
              <w:t>şartiyle üzerlerine alabilirler.</w:t>
            </w:r>
          </w:p>
          <w:p w:rsidR="000B640A" w:rsidRPr="00A23740" w:rsidRDefault="000B640A" w:rsidP="009431FF">
            <w:pPr>
              <w:tabs>
                <w:tab w:val="left" w:pos="567"/>
              </w:tabs>
              <w:rPr>
                <w:rFonts w:eastAsia="Times New Roman"/>
                <w:b/>
                <w:strike/>
                <w:color w:val="FF0000"/>
                <w:szCs w:val="24"/>
                <w:lang w:eastAsia="tr-TR"/>
              </w:rPr>
            </w:pPr>
          </w:p>
          <w:p w:rsidR="00AA5C8C" w:rsidRPr="00A23740" w:rsidRDefault="000B640A" w:rsidP="009431FF">
            <w:pPr>
              <w:tabs>
                <w:tab w:val="left" w:pos="567"/>
              </w:tabs>
              <w:rPr>
                <w:rFonts w:eastAsia="Times New Roman"/>
                <w:b/>
                <w:strike/>
                <w:color w:val="FF0000"/>
                <w:szCs w:val="24"/>
                <w:lang w:eastAsia="tr-TR"/>
              </w:rPr>
            </w:pPr>
            <w:r w:rsidRPr="00A23740">
              <w:rPr>
                <w:rStyle w:val="KIRMIZIChar"/>
                <w:rFonts w:eastAsia="Calibri"/>
              </w:rPr>
              <w:t>(3</w:t>
            </w:r>
            <w:r w:rsidR="00AA5C8C" w:rsidRPr="00A23740">
              <w:rPr>
                <w:rStyle w:val="KIRMIZIChar"/>
                <w:rFonts w:eastAsia="Calibri"/>
              </w:rPr>
              <w:t>)</w:t>
            </w:r>
            <w:r w:rsidR="00AA5C8C" w:rsidRPr="00A23740">
              <w:rPr>
                <w:rFonts w:eastAsia="Times New Roman"/>
                <w:b/>
                <w:strike/>
                <w:color w:val="FF0000"/>
                <w:szCs w:val="24"/>
                <w:lang w:eastAsia="tr-TR"/>
              </w:rPr>
              <w:t xml:space="preserve"> Bu suretle</w:t>
            </w:r>
            <w:r w:rsidR="00AA5C8C" w:rsidRPr="00A23740">
              <w:rPr>
                <w:rFonts w:eastAsia="Times New Roman"/>
                <w:szCs w:val="24"/>
                <w:lang w:eastAsia="tr-TR"/>
              </w:rPr>
              <w:t xml:space="preserve"> elde </w:t>
            </w:r>
            <w:r w:rsidR="00AA5C8C" w:rsidRPr="00A23740">
              <w:rPr>
                <w:rStyle w:val="KIRMIZIChar"/>
                <w:rFonts w:eastAsia="Calibri"/>
              </w:rPr>
              <w:t>edilecek</w:t>
            </w:r>
            <w:r w:rsidR="00AA5C8C" w:rsidRPr="00A23740">
              <w:rPr>
                <w:rFonts w:eastAsia="Times New Roman"/>
                <w:szCs w:val="24"/>
                <w:lang w:eastAsia="tr-TR"/>
              </w:rPr>
              <w:t xml:space="preserve"> para ilk önce üzerlerine alanların alacak ve </w:t>
            </w:r>
            <w:r w:rsidR="00AA5C8C" w:rsidRPr="00A23740">
              <w:rPr>
                <w:rStyle w:val="KIRMIZIChar"/>
                <w:rFonts w:eastAsia="Calibri"/>
              </w:rPr>
              <w:t>masraflarının</w:t>
            </w:r>
            <w:r w:rsidR="00AA5C8C" w:rsidRPr="00A23740">
              <w:rPr>
                <w:rFonts w:eastAsia="Times New Roman"/>
                <w:szCs w:val="24"/>
                <w:lang w:eastAsia="tr-TR"/>
              </w:rPr>
              <w:t xml:space="preserve"> </w:t>
            </w:r>
            <w:r w:rsidR="00AA5C8C" w:rsidRPr="00A23740">
              <w:rPr>
                <w:rFonts w:eastAsia="Times New Roman"/>
                <w:b/>
                <w:strike/>
                <w:color w:val="FF0000"/>
                <w:szCs w:val="24"/>
                <w:lang w:eastAsia="tr-TR"/>
              </w:rPr>
              <w:t>ödenmesine karşılık tutulur.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rPr>
                <w:rFonts w:eastAsia="Times New Roman"/>
                <w:b/>
                <w:szCs w:val="24"/>
                <w:lang w:eastAsia="tr-TR"/>
              </w:rPr>
            </w:pPr>
          </w:p>
        </w:tc>
        <w:tc>
          <w:tcPr>
            <w:tcW w:w="2500" w:type="pct"/>
          </w:tcPr>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Haczedilen alacağın tahsil için </w:t>
            </w:r>
            <w:r w:rsidRPr="00A23740">
              <w:rPr>
                <w:rFonts w:eastAsia="Times New Roman"/>
                <w:b/>
                <w:bCs/>
                <w:szCs w:val="24"/>
                <w:lang w:eastAsia="tr-TR"/>
              </w:rPr>
              <w:t>devri</w:t>
            </w:r>
          </w:p>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MADDE </w:t>
            </w:r>
            <w:r w:rsidR="0025794C" w:rsidRPr="00A23740">
              <w:rPr>
                <w:rStyle w:val="MaviChar"/>
                <w:lang w:val="tr-TR"/>
              </w:rPr>
              <w:t>208</w:t>
            </w:r>
            <w:r w:rsidRPr="00A23740">
              <w:rPr>
                <w:rStyle w:val="MaviChar"/>
              </w:rPr>
              <w:t>-</w:t>
            </w:r>
            <w:r w:rsidRPr="00A23740">
              <w:rPr>
                <w:rFonts w:eastAsia="Times New Roman"/>
                <w:b/>
                <w:color w:val="0000FF"/>
                <w:szCs w:val="24"/>
                <w:lang w:eastAsia="tr-TR"/>
              </w:rPr>
              <w:t xml:space="preserve"> (1) </w:t>
            </w:r>
            <w:r w:rsidRPr="00A23740">
              <w:rPr>
                <w:rFonts w:eastAsia="Times New Roman"/>
                <w:szCs w:val="24"/>
                <w:lang w:eastAsia="tr-TR"/>
              </w:rPr>
              <w:t>Hacze iştirak eden</w:t>
            </w:r>
            <w:r w:rsidRPr="00A23740">
              <w:rPr>
                <w:rFonts w:eastAsia="Times New Roman"/>
                <w:b/>
                <w:color w:val="0000FF"/>
                <w:szCs w:val="24"/>
                <w:lang w:eastAsia="tr-TR"/>
              </w:rPr>
              <w:t xml:space="preserve"> bütün alacaklılar kabul ederse alacaklıların hepsi </w:t>
            </w:r>
            <w:r w:rsidRPr="00A23740">
              <w:rPr>
                <w:rFonts w:eastAsia="Times New Roman"/>
                <w:szCs w:val="24"/>
                <w:lang w:eastAsia="tr-TR"/>
              </w:rPr>
              <w:t>veya içlerinden</w:t>
            </w:r>
            <w:r w:rsidRPr="00A23740">
              <w:rPr>
                <w:rFonts w:eastAsia="Times New Roman"/>
                <w:b/>
                <w:color w:val="0000FF"/>
                <w:szCs w:val="24"/>
                <w:lang w:eastAsia="tr-TR"/>
              </w:rPr>
              <w:t xml:space="preserve"> bazıları, </w:t>
            </w:r>
            <w:r w:rsidRPr="00A23740">
              <w:rPr>
                <w:rFonts w:eastAsia="Times New Roman"/>
                <w:szCs w:val="24"/>
                <w:lang w:eastAsia="tr-TR"/>
              </w:rPr>
              <w:t>borçlunun üçüncü</w:t>
            </w:r>
            <w:r w:rsidRPr="00A23740">
              <w:rPr>
                <w:rFonts w:eastAsia="Times New Roman"/>
                <w:b/>
                <w:color w:val="0000FF"/>
                <w:szCs w:val="24"/>
                <w:lang w:eastAsia="tr-TR"/>
              </w:rPr>
              <w:t xml:space="preserve"> kişideki </w:t>
            </w:r>
            <w:r w:rsidRPr="00A23740">
              <w:rPr>
                <w:rFonts w:eastAsia="Times New Roman"/>
                <w:szCs w:val="24"/>
                <w:lang w:eastAsia="tr-TR"/>
              </w:rPr>
              <w:t>alacağının tahsili</w:t>
            </w:r>
            <w:r w:rsidRPr="00A23740">
              <w:rPr>
                <w:rFonts w:eastAsia="Times New Roman"/>
                <w:b/>
                <w:color w:val="0000FF"/>
                <w:szCs w:val="24"/>
                <w:lang w:eastAsia="tr-TR"/>
              </w:rPr>
              <w:t xml:space="preserve"> için, </w:t>
            </w:r>
            <w:r w:rsidRPr="00A23740">
              <w:rPr>
                <w:rStyle w:val="MaviChar"/>
              </w:rPr>
              <w:t xml:space="preserve">giderleri üstlenmek </w:t>
            </w:r>
            <w:r w:rsidRPr="00A23740">
              <w:rPr>
                <w:rFonts w:eastAsia="Times New Roman"/>
                <w:szCs w:val="24"/>
                <w:lang w:eastAsia="tr-TR"/>
              </w:rPr>
              <w:t>ve</w:t>
            </w:r>
            <w:r w:rsidRPr="00A23740">
              <w:rPr>
                <w:rFonts w:eastAsia="Times New Roman"/>
                <w:b/>
                <w:color w:val="0000FF"/>
                <w:szCs w:val="24"/>
                <w:lang w:eastAsia="tr-TR"/>
              </w:rPr>
              <w:t xml:space="preserve"> borçluya karşı talep </w:t>
            </w:r>
            <w:r w:rsidRPr="00A23740">
              <w:rPr>
                <w:rFonts w:eastAsia="Times New Roman"/>
                <w:szCs w:val="24"/>
                <w:lang w:eastAsia="tr-TR"/>
              </w:rPr>
              <w:t xml:space="preserve">haklarına </w:t>
            </w:r>
            <w:r w:rsidRPr="00A23740">
              <w:rPr>
                <w:rStyle w:val="MaviChar"/>
              </w:rPr>
              <w:t>zarar</w:t>
            </w:r>
            <w:r w:rsidR="008F4DE3" w:rsidRPr="00A23740">
              <w:rPr>
                <w:rStyle w:val="MaviChar"/>
              </w:rPr>
              <w:t xml:space="preserve"> </w:t>
            </w:r>
            <w:r w:rsidR="008F4DE3" w:rsidRPr="00D33D21">
              <w:rPr>
                <w:rStyle w:val="MaviChar"/>
              </w:rPr>
              <w:t>gelmemek</w:t>
            </w:r>
            <w:r w:rsidRPr="00A23740">
              <w:rPr>
                <w:rStyle w:val="MaviChar"/>
                <w:color w:val="385623"/>
              </w:rPr>
              <w:t xml:space="preserve"> </w:t>
            </w:r>
            <w:r w:rsidRPr="00A23740">
              <w:rPr>
                <w:rStyle w:val="MaviChar"/>
              </w:rPr>
              <w:t>kaydıyla</w:t>
            </w:r>
            <w:r w:rsidRPr="00A23740">
              <w:rPr>
                <w:rFonts w:eastAsia="Times New Roman"/>
                <w:b/>
                <w:color w:val="0000FF"/>
                <w:szCs w:val="24"/>
                <w:lang w:eastAsia="tr-TR"/>
              </w:rPr>
              <w:t xml:space="preserve">, kendilerine dava veya icra takip yetkisinin verilmesini icra </w:t>
            </w:r>
            <w:r w:rsidRPr="00A23740">
              <w:rPr>
                <w:rStyle w:val="MaviChar"/>
              </w:rPr>
              <w:t>ve iflas</w:t>
            </w:r>
            <w:r w:rsidRPr="00A23740">
              <w:rPr>
                <w:rStyle w:val="YELChar"/>
              </w:rPr>
              <w:t xml:space="preserve"> </w:t>
            </w:r>
            <w:r w:rsidRPr="00A23740">
              <w:rPr>
                <w:rFonts w:eastAsia="Times New Roman"/>
                <w:b/>
                <w:color w:val="0000FF"/>
                <w:szCs w:val="24"/>
                <w:lang w:eastAsia="tr-TR"/>
              </w:rPr>
              <w:t>dairesinden talep edebilirler.</w:t>
            </w:r>
          </w:p>
          <w:p w:rsidR="00AA5C8C" w:rsidRPr="00A23740" w:rsidRDefault="00AA5C8C" w:rsidP="009431FF">
            <w:pPr>
              <w:rPr>
                <w:rFonts w:eastAsia="Times New Roman"/>
                <w:b/>
                <w:color w:val="0000FF"/>
                <w:szCs w:val="24"/>
                <w:lang w:eastAsia="tr-TR"/>
              </w:rPr>
            </w:pPr>
          </w:p>
          <w:p w:rsidR="004740E6" w:rsidRPr="00A23740" w:rsidRDefault="004740E6" w:rsidP="009431FF">
            <w:pPr>
              <w:rPr>
                <w:rFonts w:eastAsia="Times New Roman"/>
                <w:b/>
                <w:color w:val="0000FF"/>
                <w:szCs w:val="24"/>
                <w:lang w:eastAsia="tr-TR"/>
              </w:rPr>
            </w:pPr>
          </w:p>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(2) Tahsil amacıyla alacağı devralan kişinin </w:t>
            </w:r>
            <w:r w:rsidRPr="00A23740">
              <w:rPr>
                <w:rFonts w:eastAsia="Times New Roman"/>
                <w:szCs w:val="24"/>
                <w:lang w:eastAsia="tr-TR"/>
              </w:rPr>
              <w:t xml:space="preserve">elde </w:t>
            </w:r>
            <w:r w:rsidRPr="00A23740">
              <w:rPr>
                <w:rStyle w:val="MaviChar"/>
                <w:lang w:val="tr-TR"/>
              </w:rPr>
              <w:t>ettiği</w:t>
            </w:r>
            <w:r w:rsidRPr="00A23740">
              <w:rPr>
                <w:rFonts w:eastAsia="Times New Roman"/>
                <w:szCs w:val="24"/>
                <w:lang w:eastAsia="tr-TR"/>
              </w:rPr>
              <w:t xml:space="preserve"> para</w:t>
            </w:r>
            <w:r w:rsidRPr="00A23740">
              <w:rPr>
                <w:rStyle w:val="MaviChar"/>
                <w:lang w:val="tr-TR"/>
              </w:rPr>
              <w:t>dan</w:t>
            </w:r>
            <w:r w:rsidRPr="00A23740">
              <w:rPr>
                <w:rFonts w:eastAsia="Times New Roman"/>
                <w:szCs w:val="24"/>
                <w:lang w:eastAsia="tr-TR"/>
              </w:rPr>
              <w:t xml:space="preserve"> ilk önce devralan alacaklının alacak ve </w:t>
            </w:r>
            <w:r w:rsidRPr="00A23740">
              <w:rPr>
                <w:rStyle w:val="MaviChar"/>
              </w:rPr>
              <w:t>giderleri</w:t>
            </w:r>
            <w:r w:rsidRPr="00A23740">
              <w:rPr>
                <w:rFonts w:eastAsia="Times New Roman"/>
                <w:b/>
                <w:color w:val="0000FF"/>
                <w:szCs w:val="24"/>
                <w:lang w:eastAsia="tr-TR"/>
              </w:rPr>
              <w:t xml:space="preserve"> ödenir. </w:t>
            </w:r>
            <w:r w:rsidRPr="00A23740">
              <w:rPr>
                <w:rFonts w:eastAsia="Times New Roman"/>
                <w:b/>
                <w:color w:val="0000FF"/>
                <w:lang w:eastAsia="tr-TR"/>
              </w:rPr>
              <w:t xml:space="preserve">Bakiye bedel, icra </w:t>
            </w:r>
            <w:r w:rsidRPr="00A23740">
              <w:rPr>
                <w:rStyle w:val="MaviChar"/>
              </w:rPr>
              <w:t>ve iflas</w:t>
            </w:r>
            <w:r w:rsidRPr="00A23740">
              <w:rPr>
                <w:rFonts w:eastAsia="Times New Roman"/>
                <w:b/>
                <w:color w:val="0000FF"/>
                <w:lang w:eastAsia="tr-TR"/>
              </w:rPr>
              <w:t xml:space="preserve"> dairesine tevdi edilir.</w:t>
            </w:r>
          </w:p>
          <w:p w:rsidR="00AA5C8C" w:rsidRPr="00A23740" w:rsidRDefault="00AA5C8C" w:rsidP="009431FF">
            <w:pPr>
              <w:rPr>
                <w:rFonts w:eastAsia="Times New Roman"/>
                <w:b/>
                <w:color w:val="0000FF"/>
                <w:szCs w:val="24"/>
                <w:lang w:eastAsia="tr-TR"/>
              </w:rPr>
            </w:pPr>
          </w:p>
          <w:p w:rsidR="00AA5C8C" w:rsidRPr="00A23740" w:rsidRDefault="00AA5C8C" w:rsidP="009431FF">
            <w:pPr>
              <w:rPr>
                <w:rFonts w:eastAsia="Times New Roman"/>
                <w:b/>
                <w:color w:val="0000FF"/>
                <w:lang w:eastAsia="tr-TR"/>
              </w:rPr>
            </w:pPr>
            <w:r w:rsidRPr="00A23740">
              <w:rPr>
                <w:rFonts w:eastAsia="Times New Roman"/>
                <w:b/>
                <w:color w:val="0000FF"/>
                <w:szCs w:val="24"/>
                <w:lang w:eastAsia="tr-TR"/>
              </w:rPr>
              <w:t xml:space="preserve">(3) İcra </w:t>
            </w:r>
            <w:r w:rsidRPr="00A23740">
              <w:rPr>
                <w:rStyle w:val="MaviChar"/>
              </w:rPr>
              <w:t>ve iflas</w:t>
            </w:r>
            <w:r w:rsidRPr="00A23740">
              <w:rPr>
                <w:rFonts w:eastAsia="Times New Roman"/>
                <w:b/>
                <w:color w:val="0000FF"/>
                <w:szCs w:val="24"/>
                <w:lang w:eastAsia="tr-TR"/>
              </w:rPr>
              <w:t xml:space="preserve"> dairesi, alacağı tahsil için devralan alacaklıya, gerekli işlemleri yapmak üzere bir yetki belgesi verir. Bu h</w:t>
            </w:r>
            <w:r w:rsidR="000B640A" w:rsidRPr="00A23740">
              <w:rPr>
                <w:rFonts w:eastAsia="Times New Roman"/>
                <w:b/>
                <w:color w:val="0000FF"/>
                <w:szCs w:val="24"/>
                <w:lang w:eastAsia="tr-TR"/>
              </w:rPr>
              <w:t>â</w:t>
            </w:r>
            <w:r w:rsidRPr="00A23740">
              <w:rPr>
                <w:rFonts w:eastAsia="Times New Roman"/>
                <w:b/>
                <w:color w:val="0000FF"/>
                <w:szCs w:val="24"/>
                <w:lang w:eastAsia="tr-TR"/>
              </w:rPr>
              <w:t xml:space="preserve">lde alacaklının belgenin kendisine verildiği tarihten itibaren en geç bir ay içinde dava açması veya icra </w:t>
            </w:r>
            <w:r w:rsidRPr="00A23740">
              <w:rPr>
                <w:rStyle w:val="MaviChar"/>
              </w:rPr>
              <w:t>takibi</w:t>
            </w:r>
            <w:r w:rsidRPr="00A23740">
              <w:rPr>
                <w:rFonts w:eastAsia="Times New Roman"/>
                <w:b/>
                <w:color w:val="0000FF"/>
                <w:szCs w:val="24"/>
                <w:lang w:eastAsia="tr-TR"/>
              </w:rPr>
              <w:t xml:space="preserve"> yapması gerekir. </w:t>
            </w:r>
            <w:r w:rsidRPr="00A23740">
              <w:rPr>
                <w:rFonts w:eastAsia="Times New Roman"/>
                <w:b/>
                <w:color w:val="0000FF"/>
                <w:lang w:eastAsia="tr-TR"/>
              </w:rPr>
              <w:t>Aksi takdirde yetki belgesi kendiliğinden hükümsüz kalır.</w:t>
            </w:r>
          </w:p>
          <w:p w:rsidR="00AA5C8C" w:rsidRPr="00A23740" w:rsidRDefault="00AA5C8C" w:rsidP="009431FF">
            <w:pPr>
              <w:pStyle w:val="YEL"/>
              <w:rPr>
                <w:rFonts w:eastAsia="Times New Roman"/>
                <w:b w:val="0"/>
                <w:color w:val="FF0000"/>
                <w:lang w:eastAsia="tr-TR"/>
              </w:rPr>
            </w:pPr>
          </w:p>
        </w:tc>
      </w:tr>
      <w:tr w:rsidR="00D25904" w:rsidRPr="00A23740" w:rsidTr="009431FF">
        <w:tblPrEx>
          <w:tblLook w:val="01E0" w:firstRow="1" w:lastRow="1" w:firstColumn="1" w:lastColumn="1" w:noHBand="0" w:noVBand="0"/>
        </w:tblPrEx>
        <w:tc>
          <w:tcPr>
            <w:tcW w:w="5000" w:type="pct"/>
            <w:gridSpan w:val="2"/>
            <w:shd w:val="clear" w:color="auto" w:fill="DEEAF6"/>
          </w:tcPr>
          <w:p w:rsidR="00D25904" w:rsidRPr="00A23740" w:rsidRDefault="00D25904" w:rsidP="009431FF">
            <w:pPr>
              <w:tabs>
                <w:tab w:val="left" w:pos="567"/>
              </w:tabs>
              <w:ind w:firstLine="709"/>
              <w:rPr>
                <w:rFonts w:eastAsia="Times New Roman"/>
                <w:b/>
                <w:szCs w:val="24"/>
                <w:lang w:eastAsia="tr-TR"/>
              </w:rPr>
            </w:pPr>
          </w:p>
          <w:p w:rsidR="00FD5BAD" w:rsidRPr="00D60C1D" w:rsidRDefault="0029115E" w:rsidP="009431FF">
            <w:pPr>
              <w:pStyle w:val="Mavi"/>
              <w:ind w:firstLine="567"/>
              <w:rPr>
                <w:b w:val="0"/>
                <w:color w:val="000000"/>
              </w:rPr>
            </w:pPr>
            <w:r w:rsidRPr="00D60C1D">
              <w:rPr>
                <w:color w:val="000000"/>
                <w:lang w:val="tr-TR"/>
              </w:rPr>
              <w:t xml:space="preserve">MADDE 208- </w:t>
            </w:r>
            <w:r w:rsidR="00FD5BAD" w:rsidRPr="00D60C1D">
              <w:rPr>
                <w:b w:val="0"/>
                <w:color w:val="000000"/>
              </w:rPr>
              <w:t xml:space="preserve">Madde, 2004 sayılı Kanunun 120 nci maddesinin ikinci fıkrasını kısmen karşılamakta olup, yeni ihdas edilmiştir. </w:t>
            </w:r>
            <w:r w:rsidR="00060F23" w:rsidRPr="00D60C1D">
              <w:rPr>
                <w:b w:val="0"/>
                <w:color w:val="000000"/>
                <w:lang w:val="tr-TR"/>
              </w:rPr>
              <w:t xml:space="preserve">Sözü </w:t>
            </w:r>
            <w:r w:rsidR="00FD5BAD" w:rsidRPr="00D60C1D">
              <w:rPr>
                <w:b w:val="0"/>
                <w:color w:val="000000"/>
              </w:rPr>
              <w:t>geçen 120 nci maddenin birinci ve ikinci fıkralarında düzenlenmiş olan devirlerin hukuki nitelikleri birbirinden farklı olduğu için, meselenin ayrı maddelerde düzenlenmesi uygun görülmüştür. Bu madde, takip borçlusunun sahip olduğu alacağın sadece tahsil hakkının devrine ilişkindir. Madde metninde, uygulama ve öğretide kabul edildiği şekilde, açık olarak (dava veya icra) takip yetkisinin devri kavramı kullanılmıştır.</w:t>
            </w:r>
          </w:p>
          <w:p w:rsidR="00FD5BAD" w:rsidRPr="00D60C1D" w:rsidRDefault="00FD5BAD" w:rsidP="009431FF">
            <w:pPr>
              <w:pStyle w:val="Mavi"/>
              <w:ind w:firstLine="567"/>
              <w:rPr>
                <w:b w:val="0"/>
                <w:color w:val="000000"/>
              </w:rPr>
            </w:pPr>
            <w:r w:rsidRPr="00D60C1D">
              <w:rPr>
                <w:b w:val="0"/>
                <w:color w:val="000000"/>
              </w:rPr>
              <w:t>Maddenin birinci fıkrası ile, hacze iştirak eden alacaklıların tamamı veya içlerinden bazıları, takip borçlusunun sahip olduğu çekişmeli bir alacağın tahsilinin sağlanması</w:t>
            </w:r>
            <w:r w:rsidR="00060F23" w:rsidRPr="00D60C1D">
              <w:rPr>
                <w:b w:val="0"/>
                <w:color w:val="000000"/>
                <w:lang w:val="tr-TR"/>
              </w:rPr>
              <w:t>yla</w:t>
            </w:r>
            <w:r w:rsidRPr="00D60C1D">
              <w:rPr>
                <w:b w:val="0"/>
                <w:color w:val="000000"/>
              </w:rPr>
              <w:t xml:space="preserve"> sınırlı olacak şekilde, dava veya icra takip yetkisinin kendilerine devredilmesini isteyebilirler. Burada, Taslağın 207 nci maddesindeki düzenlemeden farklı olarak, hacze iştirak eden tüm alacaklıların birlikte talepte bulunması gerekli görülmemiştir. Ancak dava veya takip yetkinin icra ve iflas dairesince devredilebilmesi için, hacze iştirak eden tüm alacaklıların bunu kabul etmesi gerekmektedir. 2004 sayılı Kanunun 120 nci maddesinin ikinci fıkrası metninin bu bağlamda bir belirsizlik içerdiği düşünülerek, madde, mehaz Kanundaki hükme daha yakın olacak şekilde yeniden kaleme alınmıştır. Hükme göre dava veya takip yetkisini devralan alacaklı veya alacaklılar, alacağı değil takip yetkisini devraldıkları için, borçluya karşı talep haklarına herhangi bir zarar gelmeyecektir. Bununla birlikte, bahsi geçen dava veya icra takip yetkisine, çekişmeli alacağın dava edilmesi için gerekli olan dava şartı olarak arabuluculuğa gitme</w:t>
            </w:r>
            <w:r w:rsidR="00350E53" w:rsidRPr="00D60C1D">
              <w:rPr>
                <w:b w:val="0"/>
                <w:color w:val="000000"/>
                <w:lang w:val="tr-TR"/>
              </w:rPr>
              <w:t>nin de</w:t>
            </w:r>
            <w:r w:rsidRPr="00D60C1D">
              <w:rPr>
                <w:b w:val="0"/>
                <w:color w:val="000000"/>
              </w:rPr>
              <w:t xml:space="preserve"> dâhil olduğu kabul edilmelidir.</w:t>
            </w:r>
            <w:r w:rsidRPr="00A23740">
              <w:t xml:space="preserve"> </w:t>
            </w:r>
            <w:r w:rsidRPr="00D60C1D">
              <w:rPr>
                <w:b w:val="0"/>
                <w:color w:val="000000"/>
              </w:rPr>
              <w:t>Devralan alacaklıların açacakları dava veya takiplerde yapacakları gider, bu aşamada kendilerince karşılanacaktır.</w:t>
            </w:r>
          </w:p>
          <w:p w:rsidR="00FD5BAD" w:rsidRPr="00D60C1D" w:rsidRDefault="00FD5BAD" w:rsidP="009431FF">
            <w:pPr>
              <w:pStyle w:val="Mavi"/>
              <w:ind w:firstLine="567"/>
              <w:rPr>
                <w:b w:val="0"/>
                <w:color w:val="000000"/>
              </w:rPr>
            </w:pPr>
            <w:r w:rsidRPr="00D60C1D">
              <w:rPr>
                <w:b w:val="0"/>
                <w:color w:val="000000"/>
              </w:rPr>
              <w:t xml:space="preserve">Maddenin ikinci fıkrası, 2004 sayılı Kanunun 120 nci maddesinin son fıkrasına karşılık gelmektedir. </w:t>
            </w:r>
            <w:r w:rsidR="00060F23" w:rsidRPr="00D60C1D">
              <w:rPr>
                <w:b w:val="0"/>
                <w:color w:val="000000"/>
                <w:lang w:val="tr-TR"/>
              </w:rPr>
              <w:t>Bu çedçevede</w:t>
            </w:r>
            <w:r w:rsidRPr="00D60C1D">
              <w:rPr>
                <w:b w:val="0"/>
                <w:color w:val="000000"/>
              </w:rPr>
              <w:t xml:space="preserve">, bu maddeye göre elde edilen tahsilatlardan, öncelikle alacağı tahsil amacıyla devralan alacaklı veya alacaklıların asıl dosyadaki takip alacakları ve tahsil amacıyla gerçekleştirmiş </w:t>
            </w:r>
            <w:r w:rsidR="00060F23" w:rsidRPr="00D60C1D">
              <w:rPr>
                <w:b w:val="0"/>
                <w:color w:val="000000"/>
                <w:lang w:val="tr-TR"/>
              </w:rPr>
              <w:t xml:space="preserve"> oldukları </w:t>
            </w:r>
            <w:r w:rsidRPr="00D60C1D">
              <w:rPr>
                <w:b w:val="0"/>
                <w:color w:val="000000"/>
              </w:rPr>
              <w:t>giderler ödenir. Bakiye bedel ise, diğer alacaklılara ve artarsa borçluya verilmek üzere icra ve iflas dairesine tevdi edil</w:t>
            </w:r>
            <w:r w:rsidR="00060F23" w:rsidRPr="00D60C1D">
              <w:rPr>
                <w:b w:val="0"/>
                <w:color w:val="000000"/>
                <w:lang w:val="tr-TR"/>
              </w:rPr>
              <w:t>ir</w:t>
            </w:r>
            <w:r w:rsidRPr="00D60C1D">
              <w:rPr>
                <w:b w:val="0"/>
                <w:color w:val="000000"/>
              </w:rPr>
              <w:t>.</w:t>
            </w:r>
          </w:p>
          <w:p w:rsidR="00FD5BAD" w:rsidRPr="00A23740" w:rsidRDefault="00FD5BAD" w:rsidP="009431FF">
            <w:pPr>
              <w:pStyle w:val="Mavi"/>
              <w:ind w:firstLine="567"/>
              <w:rPr>
                <w:strike/>
                <w:color w:val="auto"/>
                <w:lang w:val="tr-TR"/>
              </w:rPr>
            </w:pPr>
            <w:r w:rsidRPr="00D60C1D">
              <w:rPr>
                <w:b w:val="0"/>
                <w:color w:val="000000"/>
              </w:rPr>
              <w:t>Maddenin son fıkrası, uygulamadaki tereddütlerin önüne geçilmesi amacıyla yeni ihdas edilmiştir. Buna göre, borçluya ait çekişmeli alacağı devralmak isteyen alacaklı veya alacaklılara (hacze iştirak eden tüm alacaklıların muvafakati sağlandıktan sonra), icra ve iflas dairesi tarafından bir yetki belgesi verilecektir. Devralan alacaklı, çekişmeli alacak hakkındaki dava veya takip işlemlerini, bu belgede yazılmış olan dava veya icra takip yetkisini kullanarak gerçekleştirecektir. Yapılması gereken işlemlerin sürüncemede bırakılmaması ve bu bağlamda diğer alacaklılar ile borçlunun da korunmasının sağlanabilmesi için, devralana bir ay içinde harekete geçme yükümlülüğü getirilmektedir. Devralan alacaklı, belgenin kendisine verildiği tarihten itibaren bir ay içinde dava açmaz veya takip yapmazsa, belge kendiliğinden hükümsüz kalacaktır.</w:t>
            </w:r>
          </w:p>
          <w:p w:rsidR="00D25904" w:rsidRPr="00A23740" w:rsidRDefault="00D25904" w:rsidP="009431FF">
            <w:pPr>
              <w:tabs>
                <w:tab w:val="left" w:pos="567"/>
              </w:tabs>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483727" w:rsidRPr="00A23740" w:rsidRDefault="00483727"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A23740" w:rsidRDefault="00AA5C8C" w:rsidP="005C601A">
            <w:pPr>
              <w:widowControl w:val="0"/>
              <w:tabs>
                <w:tab w:val="left" w:pos="567"/>
              </w:tabs>
              <w:rPr>
                <w:rFonts w:eastAsia="Times New Roman"/>
                <w:i/>
                <w:szCs w:val="24"/>
                <w:lang w:eastAsia="tr-TR"/>
              </w:rPr>
            </w:pPr>
          </w:p>
          <w:p w:rsidR="00AA5C8C" w:rsidRPr="009D5E73" w:rsidRDefault="00AA5C8C" w:rsidP="005C601A">
            <w:pPr>
              <w:pStyle w:val="KIRMIZI"/>
              <w:widowControl w:val="0"/>
              <w:rPr>
                <w:i/>
              </w:rPr>
            </w:pPr>
            <w:r w:rsidRPr="009D5E73">
              <w:rPr>
                <w:i/>
              </w:rPr>
              <w:t>Aile mal ortaklığı:</w:t>
            </w:r>
          </w:p>
          <w:p w:rsidR="00AA5C8C" w:rsidRPr="00A23740" w:rsidRDefault="00AA5C8C" w:rsidP="005C601A">
            <w:pPr>
              <w:widowControl w:val="0"/>
              <w:tabs>
                <w:tab w:val="left" w:pos="567"/>
              </w:tabs>
              <w:rPr>
                <w:rFonts w:eastAsia="Times New Roman"/>
                <w:szCs w:val="24"/>
                <w:lang w:eastAsia="tr-TR"/>
              </w:rPr>
            </w:pPr>
            <w:r w:rsidRPr="00A23740">
              <w:rPr>
                <w:rStyle w:val="KIRMIZIChar"/>
                <w:rFonts w:eastAsia="Calibri"/>
              </w:rPr>
              <w:t>Madde 122 – (1)</w:t>
            </w:r>
            <w:r w:rsidRPr="00A23740">
              <w:rPr>
                <w:rFonts w:eastAsia="Times New Roman"/>
                <w:szCs w:val="24"/>
                <w:lang w:eastAsia="tr-TR"/>
              </w:rPr>
              <w:t xml:space="preserve"> Aile mal ortaklığında bir </w:t>
            </w:r>
            <w:r w:rsidRPr="00A23740">
              <w:rPr>
                <w:rStyle w:val="KIRMIZIChar"/>
                <w:rFonts w:eastAsia="Calibri"/>
              </w:rPr>
              <w:t>hissenin</w:t>
            </w:r>
            <w:r w:rsidRPr="00A23740">
              <w:rPr>
                <w:rFonts w:eastAsia="Times New Roman"/>
                <w:szCs w:val="24"/>
                <w:lang w:eastAsia="tr-TR"/>
              </w:rPr>
              <w:t xml:space="preserve"> satışı </w:t>
            </w:r>
            <w:r w:rsidRPr="00A23740">
              <w:rPr>
                <w:rStyle w:val="KIRMIZIChar"/>
                <w:rFonts w:eastAsia="Calibri"/>
              </w:rPr>
              <w:t>121 inci maddeye</w:t>
            </w:r>
            <w:r w:rsidRPr="00A23740">
              <w:rPr>
                <w:rFonts w:eastAsia="Times New Roman"/>
                <w:szCs w:val="24"/>
                <w:lang w:eastAsia="tr-TR"/>
              </w:rPr>
              <w:t xml:space="preserve"> göre yapılır. Kanunu Medeni</w:t>
            </w:r>
            <w:r w:rsidRPr="00A23740">
              <w:rPr>
                <w:rFonts w:eastAsia="Times New Roman"/>
                <w:b/>
                <w:strike/>
                <w:color w:val="FF0000"/>
                <w:szCs w:val="24"/>
                <w:lang w:eastAsia="tr-TR"/>
              </w:rPr>
              <w:t>nin 331 in</w:t>
            </w:r>
            <w:r w:rsidRPr="00A23740">
              <w:rPr>
                <w:rFonts w:eastAsia="Times New Roman"/>
                <w:szCs w:val="24"/>
                <w:lang w:eastAsia="tr-TR"/>
              </w:rPr>
              <w:t>ci madde</w:t>
            </w:r>
            <w:r w:rsidRPr="00A23740">
              <w:rPr>
                <w:rFonts w:eastAsia="Times New Roman"/>
                <w:b/>
                <w:strike/>
                <w:color w:val="FF0000"/>
                <w:szCs w:val="24"/>
                <w:lang w:eastAsia="tr-TR"/>
              </w:rPr>
              <w:t>si</w:t>
            </w:r>
            <w:r w:rsidRPr="00A23740">
              <w:rPr>
                <w:rFonts w:eastAsia="Times New Roman"/>
                <w:szCs w:val="24"/>
                <w:lang w:eastAsia="tr-TR"/>
              </w:rPr>
              <w:t xml:space="preserve"> hükümleri </w:t>
            </w:r>
            <w:r w:rsidRPr="00A23740">
              <w:rPr>
                <w:rFonts w:eastAsia="Times New Roman"/>
                <w:b/>
                <w:strike/>
                <w:color w:val="FF0000"/>
                <w:szCs w:val="24"/>
                <w:lang w:eastAsia="tr-TR"/>
              </w:rPr>
              <w:t>mahfuzdur.</w:t>
            </w:r>
          </w:p>
        </w:tc>
        <w:tc>
          <w:tcPr>
            <w:tcW w:w="2500" w:type="pct"/>
          </w:tcPr>
          <w:p w:rsidR="00AA5C8C" w:rsidRPr="00A23740" w:rsidRDefault="00AA5C8C" w:rsidP="005C601A">
            <w:pPr>
              <w:widowControl w:val="0"/>
              <w:rPr>
                <w:rFonts w:eastAsia="Times New Roman"/>
                <w:b/>
                <w:color w:val="0000FF"/>
                <w:szCs w:val="24"/>
                <w:lang w:eastAsia="tr-TR"/>
              </w:rPr>
            </w:pPr>
            <w:r w:rsidRPr="00A23740">
              <w:rPr>
                <w:rFonts w:eastAsia="Times New Roman"/>
                <w:b/>
                <w:color w:val="0000FF"/>
                <w:szCs w:val="24"/>
                <w:lang w:eastAsia="tr-TR"/>
              </w:rPr>
              <w:t xml:space="preserve">Elbirliği </w:t>
            </w:r>
            <w:r w:rsidRPr="00A23740">
              <w:rPr>
                <w:rStyle w:val="MaviChar"/>
              </w:rPr>
              <w:t>mülkiyetine konu malların</w:t>
            </w:r>
            <w:r w:rsidRPr="00A23740">
              <w:rPr>
                <w:rFonts w:eastAsia="Times New Roman"/>
                <w:b/>
                <w:color w:val="0000FF"/>
                <w:szCs w:val="24"/>
                <w:lang w:eastAsia="tr-TR"/>
              </w:rPr>
              <w:t xml:space="preserve"> paraya çevrilmesi</w:t>
            </w:r>
          </w:p>
          <w:p w:rsidR="00AA5C8C" w:rsidRPr="00A23740" w:rsidRDefault="00AA5C8C" w:rsidP="005C601A">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 xml:space="preserve">MADDE </w:t>
            </w:r>
            <w:r w:rsidR="0025794C" w:rsidRPr="00A23740">
              <w:rPr>
                <w:rStyle w:val="MaviChar"/>
                <w:lang w:val="tr-TR"/>
              </w:rPr>
              <w:t>209</w:t>
            </w:r>
            <w:r w:rsidRPr="00A23740">
              <w:rPr>
                <w:rStyle w:val="MaviChar"/>
              </w:rPr>
              <w:t>-</w:t>
            </w:r>
            <w:r w:rsidRPr="00A23740">
              <w:rPr>
                <w:rFonts w:eastAsia="Times New Roman"/>
                <w:b/>
                <w:color w:val="0000FF"/>
                <w:szCs w:val="24"/>
                <w:lang w:eastAsia="tr-TR"/>
              </w:rPr>
              <w:t xml:space="preserve"> (1) Elbirliği mülkiyetine konu </w:t>
            </w:r>
            <w:r w:rsidRPr="00A23740">
              <w:rPr>
                <w:rStyle w:val="MaviChar"/>
              </w:rPr>
              <w:t>olan bir mal</w:t>
            </w:r>
            <w:r w:rsidR="008358BA" w:rsidRPr="00A23740">
              <w:rPr>
                <w:rStyle w:val="MaviChar"/>
                <w:lang w:val="tr-TR"/>
              </w:rPr>
              <w:t>ın</w:t>
            </w:r>
            <w:r w:rsidRPr="00A23740">
              <w:rPr>
                <w:rStyle w:val="MaviChar"/>
              </w:rPr>
              <w:t xml:space="preserve"> </w:t>
            </w:r>
            <w:r w:rsidR="008358BA" w:rsidRPr="00A23740">
              <w:rPr>
                <w:rStyle w:val="MaviChar"/>
                <w:lang w:val="tr-TR"/>
              </w:rPr>
              <w:t>payı</w:t>
            </w:r>
            <w:r w:rsidRPr="00A23740">
              <w:rPr>
                <w:rStyle w:val="MaviChar"/>
              </w:rPr>
              <w:t xml:space="preserve"> haczedilerse,</w:t>
            </w:r>
            <w:r w:rsidRPr="00A23740">
              <w:rPr>
                <w:rStyle w:val="YELChar"/>
              </w:rPr>
              <w:t xml:space="preserve"> </w:t>
            </w:r>
            <w:r w:rsidRPr="00A23740">
              <w:rPr>
                <w:rFonts w:eastAsia="Times New Roman"/>
                <w:b/>
                <w:color w:val="0000FF"/>
                <w:szCs w:val="24"/>
                <w:lang w:eastAsia="tr-TR"/>
              </w:rPr>
              <w:t xml:space="preserve">alacaklının </w:t>
            </w:r>
            <w:r w:rsidRPr="00A23740">
              <w:rPr>
                <w:rStyle w:val="MaviChar"/>
                <w:lang w:val="tr-TR"/>
              </w:rPr>
              <w:t>süresi içinde</w:t>
            </w:r>
            <w:r w:rsidRPr="00A23740">
              <w:rPr>
                <w:rFonts w:eastAsia="Times New Roman"/>
                <w:b/>
                <w:color w:val="0000FF"/>
                <w:szCs w:val="24"/>
                <w:lang w:eastAsia="tr-TR"/>
              </w:rPr>
              <w:t xml:space="preserve"> satış talebinde bulunması üzerine icra </w:t>
            </w:r>
            <w:r w:rsidRPr="00A23740">
              <w:rPr>
                <w:rStyle w:val="MaviChar"/>
              </w:rPr>
              <w:t>ve iflas dairesi,</w:t>
            </w:r>
            <w:r w:rsidRPr="00A23740">
              <w:rPr>
                <w:rFonts w:eastAsia="Times New Roman"/>
                <w:b/>
                <w:color w:val="0000FF"/>
                <w:szCs w:val="24"/>
                <w:lang w:eastAsia="tr-TR"/>
              </w:rPr>
              <w:t xml:space="preserve"> alacaklıya görevli mahkemeye başvurup elbirliği mülkiyetinin paylı mülkiyete dönüştürülmesi, paylaşma ya da ortaklığın giderilmesi davası açması için yetki </w:t>
            </w:r>
            <w:r w:rsidRPr="00A23740">
              <w:rPr>
                <w:rStyle w:val="MaviChar"/>
              </w:rPr>
              <w:t>verir</w:t>
            </w:r>
            <w:r w:rsidRPr="00A23740">
              <w:rPr>
                <w:rStyle w:val="MaviChar"/>
                <w:lang w:val="tr-TR"/>
              </w:rPr>
              <w:t xml:space="preserve">. Bu davanın, yetki belgesi verilmesine ilişkin kararın alacaklıya tebliğinden itibaren en geç bir ay içinde açılması gerekir. Davada verilen kararın kesinleşmesinden itibaren bir ay içinde alacaklının talebi üzerine satış işlemlerine devam olunur. </w:t>
            </w:r>
            <w:r w:rsidRPr="00A23740">
              <w:rPr>
                <w:rStyle w:val="MaviChar"/>
              </w:rPr>
              <w:t xml:space="preserve">Sulh hukuk </w:t>
            </w:r>
            <w:r w:rsidR="00866E6C" w:rsidRPr="00A23740">
              <w:rPr>
                <w:rStyle w:val="MaviChar"/>
                <w:lang w:val="tr-TR"/>
              </w:rPr>
              <w:t xml:space="preserve">mahkemesi </w:t>
            </w:r>
            <w:r w:rsidRPr="00A23740">
              <w:rPr>
                <w:rStyle w:val="MaviChar"/>
              </w:rPr>
              <w:t>h</w:t>
            </w:r>
            <w:r w:rsidR="000B640A" w:rsidRPr="00A23740">
              <w:rPr>
                <w:rStyle w:val="MaviChar"/>
                <w:lang w:val="tr-TR"/>
              </w:rPr>
              <w:t>â</w:t>
            </w:r>
            <w:r w:rsidRPr="00A23740">
              <w:rPr>
                <w:rStyle w:val="MaviChar"/>
              </w:rPr>
              <w:t>kimi tarafından görevlendirilen</w:t>
            </w:r>
            <w:r w:rsidRPr="00A23740">
              <w:rPr>
                <w:rStyle w:val="MaviChar"/>
                <w:lang w:val="tr-TR"/>
              </w:rPr>
              <w:t xml:space="preserve"> satış </w:t>
            </w:r>
            <w:r w:rsidRPr="00A23740">
              <w:rPr>
                <w:rStyle w:val="MaviChar"/>
              </w:rPr>
              <w:t>memuru</w:t>
            </w:r>
            <w:r w:rsidRPr="00A23740">
              <w:rPr>
                <w:rStyle w:val="MaviChar"/>
                <w:lang w:val="tr-TR"/>
              </w:rPr>
              <w:t xml:space="preserve"> bu başvuruyu</w:t>
            </w:r>
            <w:r w:rsidRPr="00A23740">
              <w:rPr>
                <w:rFonts w:eastAsia="Times New Roman"/>
                <w:b/>
                <w:color w:val="0000FF"/>
                <w:szCs w:val="24"/>
                <w:lang w:eastAsia="tr-TR"/>
              </w:rPr>
              <w:t xml:space="preserve"> takip yapan icra </w:t>
            </w:r>
            <w:r w:rsidRPr="00A23740">
              <w:rPr>
                <w:rStyle w:val="MaviChar"/>
              </w:rPr>
              <w:t>ve iflas dairesine</w:t>
            </w:r>
            <w:r w:rsidRPr="00A23740">
              <w:rPr>
                <w:rFonts w:eastAsia="Times New Roman"/>
                <w:b/>
                <w:color w:val="0000FF"/>
                <w:szCs w:val="24"/>
                <w:lang w:eastAsia="tr-TR"/>
              </w:rPr>
              <w:t xml:space="preserve"> bildirir.</w:t>
            </w:r>
          </w:p>
          <w:p w:rsidR="005C601A" w:rsidRDefault="005C601A" w:rsidP="005C601A">
            <w:pPr>
              <w:widowControl w:val="0"/>
              <w:tabs>
                <w:tab w:val="left" w:pos="567"/>
              </w:tabs>
              <w:rPr>
                <w:rStyle w:val="MaviChar"/>
                <w:lang w:val="tr-TR"/>
              </w:rPr>
            </w:pPr>
          </w:p>
          <w:p w:rsidR="00AA5C8C" w:rsidRPr="00A23740" w:rsidRDefault="00AA5C8C" w:rsidP="005C601A">
            <w:pPr>
              <w:widowControl w:val="0"/>
              <w:tabs>
                <w:tab w:val="left" w:pos="567"/>
              </w:tabs>
              <w:rPr>
                <w:rFonts w:eastAsia="Times New Roman"/>
                <w:b/>
                <w:color w:val="0000FF"/>
                <w:szCs w:val="24"/>
                <w:lang w:eastAsia="tr-TR"/>
              </w:rPr>
            </w:pPr>
            <w:r w:rsidRPr="00A23740">
              <w:rPr>
                <w:rStyle w:val="MaviChar"/>
                <w:lang w:val="tr-TR"/>
              </w:rPr>
              <w:t>(2) Alacaklı, süresi içinde dava açmaz veya kesinleşen karar üzerine belirtilen sürede satışın devamını talep etmezse</w:t>
            </w:r>
            <w:r w:rsidR="00687714" w:rsidRPr="00A23740">
              <w:rPr>
                <w:rStyle w:val="MaviChar"/>
                <w:lang w:val="tr-TR"/>
              </w:rPr>
              <w:t>,</w:t>
            </w:r>
            <w:r w:rsidRPr="00A23740">
              <w:rPr>
                <w:rStyle w:val="MaviChar"/>
                <w:lang w:val="tr-TR"/>
              </w:rPr>
              <w:t xml:space="preserve"> satış talebi yapılmamış sayılır.</w:t>
            </w:r>
            <w:r w:rsidRPr="00A23740">
              <w:rPr>
                <w:rFonts w:eastAsia="Times New Roman"/>
                <w:b/>
                <w:color w:val="0000FF"/>
                <w:szCs w:val="24"/>
                <w:lang w:eastAsia="tr-TR"/>
              </w:rPr>
              <w:t xml:space="preserve"> </w:t>
            </w:r>
          </w:p>
          <w:p w:rsidR="00AA5C8C" w:rsidRPr="00A23740" w:rsidRDefault="00AA5C8C" w:rsidP="005C601A">
            <w:pPr>
              <w:widowControl w:val="0"/>
              <w:tabs>
                <w:tab w:val="left" w:pos="567"/>
              </w:tabs>
              <w:rPr>
                <w:rFonts w:eastAsia="Times New Roman"/>
                <w:b/>
                <w:color w:val="0000FF"/>
                <w:szCs w:val="24"/>
                <w:lang w:eastAsia="tr-TR"/>
              </w:rPr>
            </w:pPr>
          </w:p>
          <w:p w:rsidR="00AA5C8C" w:rsidRPr="00A23740" w:rsidRDefault="00AA5C8C" w:rsidP="005C601A">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 xml:space="preserve">(3) Dava </w:t>
            </w:r>
            <w:r w:rsidR="00687714" w:rsidRPr="00A23740">
              <w:rPr>
                <w:rStyle w:val="MaviChar"/>
                <w:lang w:val="tr-TR"/>
              </w:rPr>
              <w:t xml:space="preserve">sırasında </w:t>
            </w:r>
            <w:r w:rsidRPr="00A23740">
              <w:rPr>
                <w:rStyle w:val="MaviChar"/>
                <w:lang w:val="tr-TR"/>
              </w:rPr>
              <w:t xml:space="preserve">ve </w:t>
            </w:r>
            <w:r w:rsidRPr="00A23740">
              <w:rPr>
                <w:rStyle w:val="MaviChar"/>
              </w:rPr>
              <w:t>birinci</w:t>
            </w:r>
            <w:r w:rsidRPr="00A23740">
              <w:rPr>
                <w:rStyle w:val="MaviChar"/>
                <w:lang w:val="tr-TR"/>
              </w:rPr>
              <w:t xml:space="preserve"> fıkrada düzenlenen </w:t>
            </w:r>
            <w:r w:rsidR="00687714" w:rsidRPr="00A23740">
              <w:rPr>
                <w:rStyle w:val="MaviChar"/>
                <w:lang w:val="tr-TR"/>
              </w:rPr>
              <w:t xml:space="preserve">süreler söz konusu olduğunda, </w:t>
            </w:r>
            <w:r w:rsidRPr="00A23740">
              <w:rPr>
                <w:rStyle w:val="MaviChar"/>
                <w:lang w:val="tr-TR"/>
              </w:rPr>
              <w:t xml:space="preserve">satış isteme </w:t>
            </w:r>
            <w:r w:rsidRPr="00A23740">
              <w:rPr>
                <w:rStyle w:val="MaviChar"/>
              </w:rPr>
              <w:t>süreleri</w:t>
            </w:r>
            <w:r w:rsidRPr="00A23740">
              <w:rPr>
                <w:rStyle w:val="MaviChar"/>
                <w:lang w:val="tr-TR"/>
              </w:rPr>
              <w:t xml:space="preserve"> </w:t>
            </w:r>
            <w:r w:rsidR="00687714" w:rsidRPr="00A23740">
              <w:rPr>
                <w:rStyle w:val="MaviChar"/>
                <w:lang w:val="tr-TR"/>
              </w:rPr>
              <w:t xml:space="preserve">ile </w:t>
            </w:r>
            <w:r w:rsidRPr="00A23740">
              <w:rPr>
                <w:rStyle w:val="MaviChar"/>
              </w:rPr>
              <w:t>maddi hukuka ilişkin</w:t>
            </w:r>
            <w:r w:rsidRPr="00A23740">
              <w:rPr>
                <w:rStyle w:val="MaviChar"/>
                <w:lang w:val="tr-TR"/>
              </w:rPr>
              <w:t xml:space="preserve"> süreler</w:t>
            </w:r>
            <w:r w:rsidRPr="00A23740">
              <w:rPr>
                <w:rStyle w:val="KIRMIZIChar"/>
                <w:rFonts w:eastAsia="Calibri"/>
                <w:strike w:val="0"/>
              </w:rPr>
              <w:t xml:space="preserve"> </w:t>
            </w:r>
            <w:r w:rsidRPr="00A23740">
              <w:rPr>
                <w:rStyle w:val="MaviChar"/>
                <w:lang w:val="tr-TR"/>
              </w:rPr>
              <w:t>işlemez.</w:t>
            </w:r>
          </w:p>
          <w:p w:rsidR="00AA5C8C" w:rsidRPr="00A23740" w:rsidRDefault="00AA5C8C" w:rsidP="005C601A">
            <w:pPr>
              <w:widowControl w:val="0"/>
              <w:rPr>
                <w:rFonts w:eastAsia="Times New Roman"/>
                <w:b/>
                <w:color w:val="FF0000"/>
                <w:szCs w:val="24"/>
                <w:lang w:eastAsia="tr-TR"/>
              </w:rPr>
            </w:pPr>
          </w:p>
          <w:p w:rsidR="00AA5C8C" w:rsidRPr="00A23740" w:rsidRDefault="00AA5C8C" w:rsidP="005C601A">
            <w:pPr>
              <w:widowControl w:val="0"/>
              <w:rPr>
                <w:rFonts w:eastAsia="Times New Roman"/>
                <w:b/>
                <w:color w:val="0000FF"/>
                <w:szCs w:val="24"/>
                <w:lang w:eastAsia="tr-TR"/>
              </w:rPr>
            </w:pPr>
            <w:r w:rsidRPr="00A23740">
              <w:rPr>
                <w:rFonts w:eastAsia="Times New Roman"/>
                <w:b/>
                <w:color w:val="0000FF"/>
                <w:szCs w:val="24"/>
                <w:lang w:eastAsia="tr-TR"/>
              </w:rPr>
              <w:t>(4)</w:t>
            </w:r>
            <w:r w:rsidRPr="00A23740">
              <w:t xml:space="preserve"> Aile mal ortaklığında bir </w:t>
            </w:r>
            <w:r w:rsidRPr="00A23740">
              <w:rPr>
                <w:rStyle w:val="MaviChar"/>
              </w:rPr>
              <w:t>payın</w:t>
            </w:r>
            <w:r w:rsidRPr="00A23740">
              <w:t xml:space="preserve"> satışı </w:t>
            </w:r>
            <w:r w:rsidRPr="00A23740">
              <w:rPr>
                <w:rFonts w:eastAsia="Times New Roman"/>
                <w:b/>
                <w:color w:val="0000FF"/>
                <w:szCs w:val="24"/>
                <w:lang w:eastAsia="tr-TR"/>
              </w:rPr>
              <w:t xml:space="preserve">da </w:t>
            </w:r>
            <w:r w:rsidR="00866E6C" w:rsidRPr="00A23740">
              <w:rPr>
                <w:rFonts w:eastAsia="Times New Roman"/>
                <w:b/>
                <w:color w:val="0000FF"/>
                <w:szCs w:val="24"/>
                <w:lang w:eastAsia="tr-TR"/>
              </w:rPr>
              <w:t xml:space="preserve">niteliğine uygun düştüğü ölçüde bu madde hükümlerine tabidir. </w:t>
            </w:r>
            <w:r w:rsidRPr="00A23740">
              <w:rPr>
                <w:rFonts w:eastAsia="Times New Roman"/>
                <w:b/>
                <w:color w:val="0000FF"/>
                <w:szCs w:val="24"/>
                <w:lang w:eastAsia="tr-TR"/>
              </w:rPr>
              <w:t>Türk</w:t>
            </w:r>
            <w:r w:rsidRPr="00A23740">
              <w:t xml:space="preserve"> </w:t>
            </w:r>
            <w:r w:rsidRPr="00A23740">
              <w:rPr>
                <w:rFonts w:eastAsia="Times New Roman"/>
                <w:szCs w:val="24"/>
                <w:lang w:eastAsia="tr-TR"/>
              </w:rPr>
              <w:t>Medeni Kanunu</w:t>
            </w:r>
            <w:r w:rsidRPr="00A23740">
              <w:rPr>
                <w:rFonts w:eastAsia="Times New Roman"/>
                <w:b/>
                <w:color w:val="0000FF"/>
                <w:szCs w:val="24"/>
                <w:lang w:eastAsia="tr-TR"/>
              </w:rPr>
              <w:t xml:space="preserve">nun 381 </w:t>
            </w:r>
            <w:r w:rsidR="00687714" w:rsidRPr="00A23740">
              <w:rPr>
                <w:rFonts w:eastAsia="Times New Roman"/>
                <w:b/>
                <w:color w:val="0000FF"/>
                <w:szCs w:val="24"/>
                <w:lang w:eastAsia="tr-TR"/>
              </w:rPr>
              <w:t>i</w:t>
            </w:r>
            <w:r w:rsidRPr="00A23740">
              <w:rPr>
                <w:rFonts w:eastAsia="Times New Roman"/>
                <w:b/>
                <w:color w:val="0000FF"/>
                <w:szCs w:val="24"/>
                <w:lang w:eastAsia="tr-TR"/>
              </w:rPr>
              <w:t>nci madde</w:t>
            </w:r>
            <w:r w:rsidR="00350E53" w:rsidRPr="00D33D21">
              <w:rPr>
                <w:rStyle w:val="Balk1Char"/>
                <w:rFonts w:eastAsia="ヒラギノ明朝 Pro W3"/>
              </w:rPr>
              <w:t>si</w:t>
            </w:r>
            <w:r w:rsidRPr="00A23740">
              <w:rPr>
                <w:rFonts w:eastAsia="Times New Roman"/>
                <w:b/>
                <w:color w:val="0000FF"/>
                <w:szCs w:val="24"/>
                <w:lang w:eastAsia="tr-TR"/>
              </w:rPr>
              <w:t xml:space="preserve"> saklıdır.</w:t>
            </w:r>
          </w:p>
          <w:p w:rsidR="00AA5C8C" w:rsidRPr="00A23740" w:rsidRDefault="00AA5C8C" w:rsidP="005C601A">
            <w:pPr>
              <w:widowControl w:val="0"/>
              <w:rPr>
                <w:b/>
                <w:color w:val="0000FF"/>
                <w:lang w:eastAsia="tr-TR"/>
              </w:rPr>
            </w:pPr>
          </w:p>
        </w:tc>
      </w:tr>
      <w:tr w:rsidR="00D25904" w:rsidRPr="00A23740" w:rsidTr="009431FF">
        <w:tblPrEx>
          <w:tblLook w:val="01E0" w:firstRow="1" w:lastRow="1" w:firstColumn="1" w:lastColumn="1" w:noHBand="0" w:noVBand="0"/>
        </w:tblPrEx>
        <w:tc>
          <w:tcPr>
            <w:tcW w:w="5000" w:type="pct"/>
            <w:gridSpan w:val="2"/>
            <w:shd w:val="clear" w:color="auto" w:fill="DEEAF6"/>
          </w:tcPr>
          <w:p w:rsidR="00D25904" w:rsidRPr="00A23740" w:rsidRDefault="00D25904" w:rsidP="009431FF">
            <w:pPr>
              <w:tabs>
                <w:tab w:val="left" w:pos="567"/>
              </w:tabs>
              <w:ind w:firstLine="709"/>
              <w:rPr>
                <w:rFonts w:eastAsia="Times New Roman"/>
                <w:b/>
                <w:szCs w:val="24"/>
                <w:lang w:eastAsia="tr-TR"/>
              </w:rPr>
            </w:pPr>
          </w:p>
          <w:p w:rsidR="00FD5BAD" w:rsidRPr="00D60C1D" w:rsidRDefault="00FD5BAD" w:rsidP="009431FF">
            <w:pPr>
              <w:tabs>
                <w:tab w:val="left" w:pos="567"/>
              </w:tabs>
              <w:ind w:firstLine="567"/>
              <w:rPr>
                <w:bCs/>
                <w:color w:val="000000"/>
                <w:szCs w:val="24"/>
                <w:lang w:val="x-none" w:eastAsia="x-none"/>
              </w:rPr>
            </w:pPr>
            <w:r w:rsidRPr="00D60C1D">
              <w:rPr>
                <w:b/>
                <w:bCs/>
                <w:color w:val="000000"/>
                <w:szCs w:val="24"/>
                <w:lang w:val="x-none" w:eastAsia="x-none"/>
              </w:rPr>
              <w:t xml:space="preserve">MADDE 209- </w:t>
            </w:r>
            <w:r w:rsidRPr="00D60C1D">
              <w:rPr>
                <w:bCs/>
                <w:color w:val="000000"/>
                <w:szCs w:val="24"/>
                <w:lang w:val="x-none" w:eastAsia="x-none"/>
              </w:rPr>
              <w:t>Madde, 2004 sayılı Kanunun 121 ve 122 nci maddelerine karşılık gelmekle birlikte, önemli bazı yeni düzenlemeler içermektedir. 2004 sayılı Kanunda yer alan 121 nci madde, “</w:t>
            </w:r>
            <w:r w:rsidRPr="00D60C1D">
              <w:rPr>
                <w:bCs/>
                <w:i/>
                <w:iCs/>
                <w:color w:val="000000"/>
                <w:szCs w:val="24"/>
                <w:lang w:val="x-none" w:eastAsia="x-none"/>
              </w:rPr>
              <w:t>Paraya çevirmenin diğer tarzı. İştirak halinde mülkiyet hisseleri:</w:t>
            </w:r>
            <w:r w:rsidRPr="00D60C1D">
              <w:rPr>
                <w:bCs/>
                <w:color w:val="000000"/>
                <w:szCs w:val="24"/>
                <w:lang w:val="x-none" w:eastAsia="x-none"/>
              </w:rPr>
              <w:t>” başlığını taşımakta ve bu özelliği haiz bir malın haczedilmiş olması h</w:t>
            </w:r>
            <w:r w:rsidR="00707B08" w:rsidRPr="00D60C1D">
              <w:rPr>
                <w:bCs/>
                <w:color w:val="000000"/>
                <w:szCs w:val="24"/>
                <w:lang w:eastAsia="x-none"/>
              </w:rPr>
              <w:t>â</w:t>
            </w:r>
            <w:r w:rsidRPr="00D60C1D">
              <w:rPr>
                <w:bCs/>
                <w:color w:val="000000"/>
                <w:szCs w:val="24"/>
                <w:lang w:val="x-none" w:eastAsia="x-none"/>
              </w:rPr>
              <w:t xml:space="preserve">linde, bunun nasıl paraya çevrileceği konusunda icra mahkemesine geniş bir takdir yetkisi tanınmaktaydı. </w:t>
            </w:r>
            <w:r w:rsidR="008F5E0C" w:rsidRPr="00D60C1D">
              <w:rPr>
                <w:bCs/>
                <w:color w:val="000000"/>
                <w:szCs w:val="24"/>
                <w:lang w:eastAsia="x-none"/>
              </w:rPr>
              <w:t>Taslaktaki düzenlemeyle b</w:t>
            </w:r>
            <w:r w:rsidRPr="00D60C1D">
              <w:rPr>
                <w:bCs/>
                <w:color w:val="000000"/>
                <w:szCs w:val="24"/>
                <w:lang w:val="x-none" w:eastAsia="x-none"/>
              </w:rPr>
              <w:t>u tür malların ne şekilde paraya çevrileceği hususu, , cebr</w:t>
            </w:r>
            <w:r w:rsidR="00436506" w:rsidRPr="00D60C1D">
              <w:rPr>
                <w:bCs/>
                <w:color w:val="000000"/>
                <w:szCs w:val="24"/>
                <w:lang w:eastAsia="x-none"/>
              </w:rPr>
              <w:t>î</w:t>
            </w:r>
            <w:r w:rsidRPr="00D60C1D">
              <w:rPr>
                <w:bCs/>
                <w:color w:val="000000"/>
                <w:szCs w:val="24"/>
                <w:lang w:val="x-none" w:eastAsia="x-none"/>
              </w:rPr>
              <w:t xml:space="preserve"> icra hukukunda hukuki güvenlik ilkesine de uygun olacak şekilde, daha öngörülebilir ve somut olarak kaleme alınmıştır. Taslakta ayrıca, “</w:t>
            </w:r>
            <w:r w:rsidRPr="00D60C1D">
              <w:rPr>
                <w:bCs/>
                <w:i/>
                <w:iCs/>
                <w:color w:val="000000"/>
                <w:szCs w:val="24"/>
                <w:lang w:val="x-none" w:eastAsia="x-none"/>
              </w:rPr>
              <w:t>iştirak h</w:t>
            </w:r>
            <w:r w:rsidR="00707B08" w:rsidRPr="00D60C1D">
              <w:rPr>
                <w:bCs/>
                <w:i/>
                <w:iCs/>
                <w:color w:val="000000"/>
                <w:szCs w:val="24"/>
                <w:lang w:eastAsia="x-none"/>
              </w:rPr>
              <w:t>â</w:t>
            </w:r>
            <w:r w:rsidRPr="00D60C1D">
              <w:rPr>
                <w:bCs/>
                <w:i/>
                <w:iCs/>
                <w:color w:val="000000"/>
                <w:szCs w:val="24"/>
                <w:lang w:val="x-none" w:eastAsia="x-none"/>
              </w:rPr>
              <w:t>linde mülkiyet</w:t>
            </w:r>
            <w:r w:rsidRPr="00D60C1D">
              <w:rPr>
                <w:bCs/>
                <w:color w:val="000000"/>
                <w:szCs w:val="24"/>
                <w:lang w:val="x-none" w:eastAsia="x-none"/>
              </w:rPr>
              <w:t>” kavramı yerine,</w:t>
            </w:r>
            <w:r w:rsidRPr="00A23740">
              <w:rPr>
                <w:b/>
                <w:bCs/>
                <w:color w:val="0000FF"/>
                <w:szCs w:val="24"/>
                <w:lang w:val="x-none" w:eastAsia="x-none"/>
              </w:rPr>
              <w:t xml:space="preserve"> </w:t>
            </w:r>
            <w:r w:rsidR="008F75C3" w:rsidRPr="00D60C1D">
              <w:rPr>
                <w:rStyle w:val="KonuBalChar"/>
                <w:rFonts w:eastAsia="Calibri"/>
                <w:b w:val="0"/>
                <w:color w:val="000000"/>
              </w:rPr>
              <w:t xml:space="preserve">4721 sayılı </w:t>
            </w:r>
            <w:r w:rsidR="008F75C3" w:rsidRPr="00D60C1D">
              <w:rPr>
                <w:rStyle w:val="KonuBalChar"/>
                <w:rFonts w:eastAsia="Calibri"/>
                <w:b w:val="0"/>
                <w:color w:val="000000"/>
                <w:lang w:val="tr-TR"/>
              </w:rPr>
              <w:t>K</w:t>
            </w:r>
            <w:r w:rsidR="00D426F9" w:rsidRPr="00D60C1D">
              <w:rPr>
                <w:rStyle w:val="KonuBalChar"/>
                <w:rFonts w:eastAsia="Calibri"/>
                <w:b w:val="0"/>
                <w:color w:val="000000"/>
                <w:lang w:val="tr-TR"/>
              </w:rPr>
              <w:t>anun</w:t>
            </w:r>
            <w:r w:rsidR="008F75C3" w:rsidRPr="00D60C1D">
              <w:rPr>
                <w:rStyle w:val="KonuBalChar"/>
                <w:rFonts w:eastAsia="Calibri"/>
                <w:b w:val="0"/>
                <w:color w:val="000000"/>
                <w:lang w:val="tr-TR"/>
              </w:rPr>
              <w:t>daki</w:t>
            </w:r>
            <w:r w:rsidR="008F75C3" w:rsidRPr="00D60C1D">
              <w:rPr>
                <w:bCs/>
                <w:color w:val="000000"/>
                <w:szCs w:val="24"/>
                <w:lang w:val="x-none" w:eastAsia="x-none"/>
              </w:rPr>
              <w:t xml:space="preserve"> </w:t>
            </w:r>
            <w:r w:rsidRPr="00D60C1D">
              <w:rPr>
                <w:bCs/>
                <w:color w:val="000000"/>
                <w:szCs w:val="24"/>
                <w:lang w:val="x-none" w:eastAsia="x-none"/>
              </w:rPr>
              <w:t>kullanıma uygun olarak, “</w:t>
            </w:r>
            <w:r w:rsidRPr="00D60C1D">
              <w:rPr>
                <w:bCs/>
                <w:i/>
                <w:iCs/>
                <w:color w:val="000000"/>
                <w:szCs w:val="24"/>
                <w:lang w:val="x-none" w:eastAsia="x-none"/>
              </w:rPr>
              <w:t>elbirliği mülkiyeti</w:t>
            </w:r>
            <w:r w:rsidRPr="00D60C1D">
              <w:rPr>
                <w:bCs/>
                <w:color w:val="000000"/>
                <w:szCs w:val="24"/>
                <w:lang w:val="x-none" w:eastAsia="x-none"/>
              </w:rPr>
              <w:t>” kavramı tercih edilmiştir.</w:t>
            </w:r>
          </w:p>
          <w:p w:rsidR="00FD5BAD" w:rsidRPr="00D60C1D" w:rsidRDefault="00FD5BAD" w:rsidP="009431FF">
            <w:pPr>
              <w:tabs>
                <w:tab w:val="left" w:pos="567"/>
              </w:tabs>
              <w:ind w:firstLine="567"/>
              <w:rPr>
                <w:bCs/>
                <w:color w:val="000000"/>
                <w:szCs w:val="24"/>
                <w:lang w:val="x-none" w:eastAsia="x-none"/>
              </w:rPr>
            </w:pPr>
            <w:r w:rsidRPr="00D60C1D">
              <w:rPr>
                <w:bCs/>
                <w:color w:val="000000"/>
                <w:szCs w:val="24"/>
                <w:lang w:val="x-none" w:eastAsia="x-none"/>
              </w:rPr>
              <w:t>Maddenin birinci fıkrası</w:t>
            </w:r>
            <w:r w:rsidR="00117AB0" w:rsidRPr="00D60C1D">
              <w:rPr>
                <w:bCs/>
                <w:color w:val="000000"/>
                <w:szCs w:val="24"/>
                <w:lang w:eastAsia="x-none"/>
              </w:rPr>
              <w:t>yla</w:t>
            </w:r>
            <w:r w:rsidRPr="00D60C1D">
              <w:rPr>
                <w:bCs/>
                <w:color w:val="000000"/>
                <w:szCs w:val="24"/>
                <w:lang w:val="x-none" w:eastAsia="x-none"/>
              </w:rPr>
              <w:t>, elbirliği mülkiyetine konu olan bir malın paraya çevrilmesi bakımından dava takip yetkisinin devredilmesi, kural h</w:t>
            </w:r>
            <w:r w:rsidR="00707B08" w:rsidRPr="00D60C1D">
              <w:rPr>
                <w:bCs/>
                <w:color w:val="000000"/>
                <w:szCs w:val="24"/>
                <w:lang w:eastAsia="x-none"/>
              </w:rPr>
              <w:t>â</w:t>
            </w:r>
            <w:r w:rsidRPr="00D60C1D">
              <w:rPr>
                <w:bCs/>
                <w:color w:val="000000"/>
                <w:szCs w:val="24"/>
                <w:lang w:val="x-none" w:eastAsia="x-none"/>
              </w:rPr>
              <w:t>line getirilmektedir. Dava takip yetkisinin devri, 2004 sayılı Kanunun 121 nci maddesinin ikinci fıkrasında yer alan ve mahkemenin takdir yetkisine bırakılmış olan yollardan “</w:t>
            </w:r>
            <w:r w:rsidRPr="00D60C1D">
              <w:rPr>
                <w:bCs/>
                <w:i/>
                <w:iCs/>
                <w:color w:val="000000"/>
                <w:szCs w:val="24"/>
                <w:lang w:val="x-none" w:eastAsia="x-none"/>
              </w:rPr>
              <w:t>iktiza eden diğer bir tedbir</w:t>
            </w:r>
            <w:r w:rsidRPr="00D60C1D">
              <w:rPr>
                <w:bCs/>
                <w:color w:val="000000"/>
                <w:szCs w:val="24"/>
                <w:lang w:val="x-none" w:eastAsia="x-none"/>
              </w:rPr>
              <w:t>” kavramı içinde yer almakta ve bu husustaki en etkin çözüm yolu olarak uygulanmaktaydı. Fıkraya göre, bu tür bir mahcuzun paraya çevrilebilmesi için, alacaklıya dava takip yetkisi verilecektir. Burada dikkat edilmesi gereken husus, bu yetkinin, 2004 sayılı Kanun uygulamasında Yargıtay içtihatları</w:t>
            </w:r>
            <w:r w:rsidR="00117AB0" w:rsidRPr="00D60C1D">
              <w:rPr>
                <w:bCs/>
                <w:color w:val="000000"/>
                <w:szCs w:val="24"/>
                <w:lang w:eastAsia="x-none"/>
              </w:rPr>
              <w:t>yla</w:t>
            </w:r>
            <w:r w:rsidRPr="00D60C1D">
              <w:rPr>
                <w:bCs/>
                <w:color w:val="000000"/>
                <w:szCs w:val="24"/>
                <w:lang w:val="x-none" w:eastAsia="x-none"/>
              </w:rPr>
              <w:t xml:space="preserve"> yerleşmiş olan kuralın aksine, icra hukuk mahkemesince değil, icra ve iflas dairesince verilecek olmasıdır. Böylece, alacağın tahsil için devrini düzenleyen Taslağın 208 nci maddesi</w:t>
            </w:r>
            <w:r w:rsidR="00117AB0" w:rsidRPr="00D60C1D">
              <w:rPr>
                <w:bCs/>
                <w:color w:val="000000"/>
                <w:szCs w:val="24"/>
                <w:lang w:eastAsia="x-none"/>
              </w:rPr>
              <w:t>yle</w:t>
            </w:r>
            <w:r w:rsidRPr="00D60C1D">
              <w:rPr>
                <w:bCs/>
                <w:color w:val="000000"/>
                <w:szCs w:val="24"/>
                <w:lang w:val="x-none" w:eastAsia="x-none"/>
              </w:rPr>
              <w:t xml:space="preserve"> de uyum sağlanmış olmaktadır. 208 nci maddede olduğu gibi, burada da takip yetkisinin mutlaka bir ay </w:t>
            </w:r>
            <w:r w:rsidR="00117AB0" w:rsidRPr="00D60C1D">
              <w:rPr>
                <w:bCs/>
                <w:color w:val="000000"/>
                <w:szCs w:val="24"/>
                <w:lang w:eastAsia="x-none"/>
              </w:rPr>
              <w:t>içinde</w:t>
            </w:r>
            <w:r w:rsidRPr="00D60C1D">
              <w:rPr>
                <w:bCs/>
                <w:color w:val="000000"/>
                <w:szCs w:val="24"/>
                <w:lang w:val="x-none" w:eastAsia="x-none"/>
              </w:rPr>
              <w:t xml:space="preserve"> kullanılması; mülkiyetinin paylı mülkiyete dönüştürülmesi, paylaşma ya da ortaklığın giderilmesi davasının bu sürede açılması gerekmektedir. Alacaklıya verilen dava takip yetkisine, çekişmeli alacağın dava edilmesi için gerekli olan dava şartı olarak arabuluculuğa gitme</w:t>
            </w:r>
            <w:r w:rsidR="00117AB0" w:rsidRPr="00D60C1D">
              <w:rPr>
                <w:bCs/>
                <w:color w:val="000000"/>
                <w:szCs w:val="24"/>
                <w:lang w:eastAsia="x-none"/>
              </w:rPr>
              <w:t>nin de</w:t>
            </w:r>
            <w:r w:rsidRPr="00D60C1D">
              <w:rPr>
                <w:bCs/>
                <w:color w:val="000000"/>
                <w:szCs w:val="24"/>
                <w:lang w:val="x-none" w:eastAsia="x-none"/>
              </w:rPr>
              <w:t xml:space="preserve"> dâhil olduğu kabul edilmelidir.</w:t>
            </w:r>
            <w:r w:rsidRPr="00A23740">
              <w:rPr>
                <w:b/>
                <w:bCs/>
                <w:color w:val="0000FF"/>
                <w:szCs w:val="24"/>
                <w:lang w:val="x-none" w:eastAsia="x-none"/>
              </w:rPr>
              <w:t xml:space="preserve"> </w:t>
            </w:r>
            <w:r w:rsidRPr="00D60C1D">
              <w:rPr>
                <w:bCs/>
                <w:color w:val="000000"/>
                <w:szCs w:val="24"/>
                <w:lang w:val="x-none" w:eastAsia="x-none"/>
              </w:rPr>
              <w:t>Alacaklının bu maddeye göre aldığı yetki</w:t>
            </w:r>
            <w:r w:rsidR="00117AB0" w:rsidRPr="00D60C1D">
              <w:rPr>
                <w:bCs/>
                <w:color w:val="000000"/>
                <w:szCs w:val="24"/>
                <w:lang w:eastAsia="x-none"/>
              </w:rPr>
              <w:t>yle</w:t>
            </w:r>
            <w:r w:rsidRPr="00D60C1D">
              <w:rPr>
                <w:bCs/>
                <w:color w:val="000000"/>
                <w:szCs w:val="24"/>
                <w:lang w:val="x-none" w:eastAsia="x-none"/>
              </w:rPr>
              <w:t xml:space="preserve"> ilgili olarak bir sorumluluğu daha bulunmaktadır. Alacaklı, açtığı davada verilen kararın kesinleşmesinden itibaren bir ay içinde talepte bulunarak, satış işlemlerinin devamını</w:t>
            </w:r>
            <w:r w:rsidR="00117AB0" w:rsidRPr="00D60C1D">
              <w:rPr>
                <w:bCs/>
                <w:color w:val="000000"/>
                <w:szCs w:val="24"/>
                <w:lang w:eastAsia="x-none"/>
              </w:rPr>
              <w:t xml:space="preserve"> da</w:t>
            </w:r>
            <w:r w:rsidRPr="00D60C1D">
              <w:rPr>
                <w:bCs/>
                <w:color w:val="000000"/>
                <w:szCs w:val="24"/>
                <w:lang w:val="x-none" w:eastAsia="x-none"/>
              </w:rPr>
              <w:t xml:space="preserve"> sağlamalıdır. Sulh hukuk mahkemesi hâkimi tarafından görevlendirilen satış memuru bu başvuruyu, takip yapan icra ve</w:t>
            </w:r>
            <w:r w:rsidR="00117AB0" w:rsidRPr="00D60C1D">
              <w:rPr>
                <w:bCs/>
                <w:color w:val="000000"/>
                <w:szCs w:val="24"/>
                <w:lang w:val="x-none" w:eastAsia="x-none"/>
              </w:rPr>
              <w:t xml:space="preserve"> iflas dairesine bildirecektir.</w:t>
            </w:r>
          </w:p>
          <w:p w:rsidR="00FD5BAD" w:rsidRPr="00D60C1D" w:rsidRDefault="00FD5BAD" w:rsidP="009431FF">
            <w:pPr>
              <w:tabs>
                <w:tab w:val="left" w:pos="567"/>
              </w:tabs>
              <w:ind w:firstLine="567"/>
              <w:rPr>
                <w:bCs/>
                <w:color w:val="000000"/>
                <w:szCs w:val="24"/>
                <w:lang w:val="x-none" w:eastAsia="x-none"/>
              </w:rPr>
            </w:pPr>
            <w:r w:rsidRPr="00D60C1D">
              <w:rPr>
                <w:bCs/>
                <w:color w:val="000000"/>
                <w:szCs w:val="24"/>
                <w:lang w:val="x-none" w:eastAsia="x-none"/>
              </w:rPr>
              <w:t>Maddenin ikinci fıkrası</w:t>
            </w:r>
            <w:r w:rsidR="00117AB0" w:rsidRPr="00D60C1D">
              <w:rPr>
                <w:bCs/>
                <w:color w:val="000000"/>
                <w:szCs w:val="24"/>
                <w:lang w:eastAsia="x-none"/>
              </w:rPr>
              <w:t>yla</w:t>
            </w:r>
            <w:r w:rsidRPr="00D60C1D">
              <w:rPr>
                <w:bCs/>
                <w:color w:val="000000"/>
                <w:szCs w:val="24"/>
                <w:lang w:val="x-none" w:eastAsia="x-none"/>
              </w:rPr>
              <w:t>, alacaklının birinci fıkraya göre kendisine tanınan bir aylık süreler içinde dava açmaması ve verilen hükmün icrasını talep etmemesi h</w:t>
            </w:r>
            <w:r w:rsidR="00707B08" w:rsidRPr="00D60C1D">
              <w:rPr>
                <w:bCs/>
                <w:color w:val="000000"/>
                <w:szCs w:val="24"/>
                <w:lang w:eastAsia="x-none"/>
              </w:rPr>
              <w:t>â</w:t>
            </w:r>
            <w:r w:rsidRPr="00D60C1D">
              <w:rPr>
                <w:bCs/>
                <w:color w:val="000000"/>
                <w:szCs w:val="24"/>
                <w:lang w:val="x-none" w:eastAsia="x-none"/>
              </w:rPr>
              <w:t xml:space="preserve">linde uygulanacak yaptırım düzenlenmektedir. Burada yaptırım sadece takip yetkisi belgesinin hükümsüz kalması değil; bunun yanı sıra satış talebinin dahi yapılmamış sayılmasıdır. Bu çerçevede kendisine dava takip yetkisi verilmesini isteyen alacaklı, maddede belirtilen sorumluluklarını yerine getirmediği takdirde çok önemli bir yaptırımla karşılaşacağını bilmelidir. </w:t>
            </w:r>
          </w:p>
          <w:p w:rsidR="00FD5BAD" w:rsidRPr="00D60C1D" w:rsidRDefault="00FD5BAD" w:rsidP="009431FF">
            <w:pPr>
              <w:tabs>
                <w:tab w:val="left" w:pos="567"/>
              </w:tabs>
              <w:ind w:firstLine="567"/>
              <w:rPr>
                <w:bCs/>
                <w:color w:val="000000"/>
                <w:szCs w:val="24"/>
                <w:lang w:val="x-none" w:eastAsia="x-none"/>
              </w:rPr>
            </w:pPr>
            <w:r w:rsidRPr="00D60C1D">
              <w:rPr>
                <w:bCs/>
                <w:color w:val="000000"/>
                <w:szCs w:val="24"/>
                <w:lang w:val="x-none" w:eastAsia="x-none"/>
              </w:rPr>
              <w:t>Üçüncü fıkra</w:t>
            </w:r>
            <w:r w:rsidR="00117AB0" w:rsidRPr="00D60C1D">
              <w:rPr>
                <w:bCs/>
                <w:color w:val="000000"/>
                <w:szCs w:val="24"/>
                <w:lang w:eastAsia="x-none"/>
              </w:rPr>
              <w:t>yla</w:t>
            </w:r>
            <w:r w:rsidRPr="00D60C1D">
              <w:rPr>
                <w:bCs/>
                <w:color w:val="000000"/>
                <w:szCs w:val="24"/>
                <w:lang w:val="x-none" w:eastAsia="x-none"/>
              </w:rPr>
              <w:t>, uygulamada doğabilecek tereddütlerin önüne geçilmesi amacıyla, bu maddeye göre açılmış olan d</w:t>
            </w:r>
            <w:r w:rsidRPr="00D60C1D">
              <w:rPr>
                <w:rFonts w:eastAsia="Times New Roman"/>
                <w:bCs/>
                <w:color w:val="000000"/>
                <w:szCs w:val="24"/>
                <w:lang w:val="x-none" w:eastAsia="tr-TR"/>
              </w:rPr>
              <w:t xml:space="preserve">ava </w:t>
            </w:r>
            <w:r w:rsidRPr="00D60C1D">
              <w:rPr>
                <w:bCs/>
                <w:color w:val="000000"/>
                <w:szCs w:val="24"/>
                <w:lang w:val="x-none" w:eastAsia="x-none"/>
              </w:rPr>
              <w:t>sırasında ve birinci fıkrada düzenlenen süreler söz konusu olduğunda, satış isteme süreleri ile maddi hukuka ilişkin sürelerin işlemeyeceği hususu açık şekilde düzenlenmiştir.</w:t>
            </w:r>
          </w:p>
          <w:p w:rsidR="00FD5BAD" w:rsidRPr="00A23740" w:rsidRDefault="00FD5BAD" w:rsidP="009431FF">
            <w:pPr>
              <w:tabs>
                <w:tab w:val="left" w:pos="567"/>
              </w:tabs>
              <w:ind w:firstLine="567"/>
              <w:rPr>
                <w:b/>
                <w:bCs/>
                <w:color w:val="0000FF"/>
                <w:szCs w:val="24"/>
                <w:lang w:val="x-none" w:eastAsia="x-none"/>
              </w:rPr>
            </w:pPr>
            <w:r w:rsidRPr="00D60C1D">
              <w:rPr>
                <w:bCs/>
                <w:color w:val="000000"/>
                <w:szCs w:val="24"/>
                <w:lang w:val="x-none" w:eastAsia="x-none"/>
              </w:rPr>
              <w:t>Maddenin dördüncü fıkrası, aile mal ortaklığında bulunan mahcuz payların satışını düzenlemektedir ve 2004 sayılı Kanunun 122 nci maddesini karşılamaktadır. Buna göre, maddenin diğer fıkralarında düzenlenmiş olan takip yetkisi verilmesi usulü, niteliğine uygun düştüğü ölçüde, aile mal ortaklığında bulunan mahcuz payların satışı bakımından da uygulanacaktır. 2004 sayılı Kanunda olduğu gibi,</w:t>
            </w:r>
            <w:r w:rsidRPr="00A23740">
              <w:rPr>
                <w:b/>
                <w:bCs/>
                <w:color w:val="0000FF"/>
                <w:szCs w:val="24"/>
                <w:lang w:val="x-none" w:eastAsia="x-none"/>
              </w:rPr>
              <w:t xml:space="preserve"> </w:t>
            </w:r>
            <w:r w:rsidR="008F75C3" w:rsidRPr="00D60C1D">
              <w:rPr>
                <w:rStyle w:val="KonuBalChar"/>
                <w:rFonts w:eastAsia="Calibri"/>
                <w:b w:val="0"/>
                <w:color w:val="000000"/>
              </w:rPr>
              <w:t xml:space="preserve">4721 sayılı </w:t>
            </w:r>
            <w:r w:rsidR="008F75C3" w:rsidRPr="00D60C1D">
              <w:rPr>
                <w:rStyle w:val="KonuBalChar"/>
                <w:rFonts w:eastAsia="Calibri"/>
                <w:b w:val="0"/>
                <w:color w:val="000000"/>
                <w:lang w:val="tr-TR"/>
              </w:rPr>
              <w:t xml:space="preserve">Kanunun </w:t>
            </w:r>
            <w:r w:rsidRPr="00D60C1D">
              <w:rPr>
                <w:bCs/>
                <w:color w:val="000000"/>
                <w:szCs w:val="24"/>
                <w:lang w:val="x-none" w:eastAsia="x-none"/>
              </w:rPr>
              <w:t>“</w:t>
            </w:r>
            <w:r w:rsidRPr="00D60C1D">
              <w:rPr>
                <w:bCs/>
                <w:i/>
                <w:color w:val="000000"/>
                <w:szCs w:val="24"/>
                <w:lang w:val="x-none" w:eastAsia="x-none"/>
              </w:rPr>
              <w:t>Fesih bildirimi, ödemeden aciz, evlenme</w:t>
            </w:r>
            <w:r w:rsidRPr="00D60C1D">
              <w:rPr>
                <w:bCs/>
                <w:color w:val="000000"/>
                <w:szCs w:val="24"/>
                <w:lang w:val="x-none" w:eastAsia="x-none"/>
              </w:rPr>
              <w:t>” başlığını taşıyan 381 nci maddesi saklı tutulmuştur.</w:t>
            </w:r>
          </w:p>
          <w:p w:rsidR="00D25904" w:rsidRPr="00A23740" w:rsidRDefault="00D25904" w:rsidP="005C601A">
            <w:pPr>
              <w:tabs>
                <w:tab w:val="left" w:pos="567"/>
              </w:tabs>
              <w:ind w:firstLine="567"/>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color w:val="0000FF"/>
                <w:szCs w:val="24"/>
                <w:lang w:eastAsia="tr-TR"/>
              </w:rPr>
            </w:pPr>
          </w:p>
        </w:tc>
        <w:tc>
          <w:tcPr>
            <w:tcW w:w="2500" w:type="pct"/>
          </w:tcPr>
          <w:p w:rsidR="00AA5C8C" w:rsidRPr="00A23740" w:rsidRDefault="00AA5C8C" w:rsidP="009431FF">
            <w:pPr>
              <w:pStyle w:val="Mavi"/>
            </w:pPr>
            <w:r w:rsidRPr="00A23740">
              <w:t>Kayden izlenen sermaye piyasası araçlarının paraya çevrilmesi</w:t>
            </w:r>
          </w:p>
          <w:p w:rsidR="00AA5C8C" w:rsidRPr="00A23740" w:rsidRDefault="00AA5C8C" w:rsidP="009431FF">
            <w:pPr>
              <w:pStyle w:val="Mavi"/>
            </w:pPr>
            <w:r w:rsidRPr="00A23740">
              <w:t xml:space="preserve">MADDE </w:t>
            </w:r>
            <w:r w:rsidR="0025794C" w:rsidRPr="00A23740">
              <w:rPr>
                <w:lang w:val="tr-TR"/>
              </w:rPr>
              <w:t>210</w:t>
            </w:r>
            <w:r w:rsidRPr="00A23740">
              <w:t xml:space="preserve">- (1) Borsa İstanbul Anonim Şirketi nezdindeki piyasalarda işlem gören sermaye piyasası araçları, haczi uygulayan icra </w:t>
            </w:r>
            <w:r w:rsidR="007D74DD" w:rsidRPr="00BF6B46">
              <w:rPr>
                <w:rStyle w:val="Balk1Char"/>
                <w:rFonts w:eastAsia="Calibri"/>
                <w:b/>
              </w:rPr>
              <w:t>ve iflas</w:t>
            </w:r>
            <w:r w:rsidR="007D74DD" w:rsidRPr="00A23740">
              <w:rPr>
                <w:b w:val="0"/>
                <w:color w:val="385623"/>
                <w:lang w:val="tr-TR"/>
              </w:rPr>
              <w:t xml:space="preserve"> </w:t>
            </w:r>
            <w:r w:rsidRPr="00A23740">
              <w:t>müdürlüğünün talebi üzerine, hacizli menkul kıymetlerin bulunduğu Merkezi Kayıt Kuruluşu üyesi tarafından Borsada satılarak paraya çevrilir. Üyenin Borsada satış yetkisi yoksa, satış işlemi Borsa İstanbul Anonim Şirketi tarafından yapılır. Haciz konulan sermaye piyasası araçlarının satışı üzerine elde edilen miktar, icra ve iflas dairesinin</w:t>
            </w:r>
            <w:r w:rsidR="008C2C3C" w:rsidRPr="00A23740">
              <w:t xml:space="preserve"> hesabına aktarılır.</w:t>
            </w:r>
          </w:p>
          <w:p w:rsidR="00AA5C8C" w:rsidRPr="00A23740" w:rsidRDefault="00AA5C8C" w:rsidP="009431FF">
            <w:pPr>
              <w:pStyle w:val="YEL"/>
              <w:rPr>
                <w:lang w:val="tr-TR"/>
              </w:rPr>
            </w:pPr>
          </w:p>
          <w:p w:rsidR="00AA5C8C" w:rsidRPr="00A23740" w:rsidRDefault="00AA5C8C" w:rsidP="009431FF">
            <w:pPr>
              <w:pStyle w:val="Mavi"/>
              <w:rPr>
                <w:rStyle w:val="YELChar"/>
                <w:rFonts w:eastAsia="Calibri"/>
                <w:b/>
                <w:color w:val="0000FF"/>
                <w:lang w:eastAsia="x-none"/>
              </w:rPr>
            </w:pPr>
            <w:r w:rsidRPr="00A23740">
              <w:rPr>
                <w:rStyle w:val="YELChar"/>
                <w:rFonts w:eastAsia="Calibri"/>
                <w:b/>
                <w:color w:val="0000FF"/>
                <w:lang w:eastAsia="x-none"/>
              </w:rPr>
              <w:t xml:space="preserve">(2) </w:t>
            </w:r>
            <w:r w:rsidRPr="00A23740">
              <w:rPr>
                <w:rStyle w:val="YELChar"/>
                <w:rFonts w:eastAsia="Calibri"/>
                <w:b/>
                <w:color w:val="0000FF"/>
                <w:lang w:val="tr-TR" w:eastAsia="x-none"/>
              </w:rPr>
              <w:t xml:space="preserve">Sermaye Piyasası Kanunu </w:t>
            </w:r>
            <w:r w:rsidRPr="00A23740">
              <w:rPr>
                <w:rStyle w:val="YELChar"/>
                <w:rFonts w:eastAsia="Calibri"/>
                <w:b/>
                <w:color w:val="0000FF"/>
                <w:lang w:eastAsia="x-none"/>
              </w:rPr>
              <w:t>uyarınca kurulmuş borsalar ile teşkilatlanmış pazar yerlerinde işlem gören payların kıymeti bu piyasalardaki fiyatıdır. Bu payların satışı</w:t>
            </w:r>
            <w:r w:rsidR="008F4DE3" w:rsidRPr="00A23740">
              <w:rPr>
                <w:rStyle w:val="YELChar"/>
                <w:rFonts w:eastAsia="Calibri"/>
                <w:b/>
                <w:color w:val="385623"/>
                <w:lang w:eastAsia="x-none"/>
              </w:rPr>
              <w:t>,</w:t>
            </w:r>
            <w:r w:rsidRPr="00A23740">
              <w:rPr>
                <w:rStyle w:val="YELChar"/>
                <w:rFonts w:eastAsia="Calibri"/>
                <w:b/>
                <w:color w:val="0000FF"/>
                <w:lang w:val="tr-TR" w:eastAsia="x-none"/>
              </w:rPr>
              <w:t xml:space="preserve"> </w:t>
            </w:r>
            <w:r w:rsidRPr="00A23740">
              <w:t>söz konusu</w:t>
            </w:r>
            <w:r w:rsidRPr="00A23740">
              <w:rPr>
                <w:rStyle w:val="YELChar"/>
                <w:rFonts w:eastAsia="Calibri"/>
                <w:b/>
                <w:color w:val="0000FF"/>
                <w:lang w:eastAsia="x-none"/>
              </w:rPr>
              <w:t xml:space="preserve"> borsa ve pazar yerlerinde yapılır.</w:t>
            </w:r>
          </w:p>
          <w:p w:rsidR="00AA5C8C" w:rsidRPr="00A23740" w:rsidRDefault="00AA5C8C" w:rsidP="009431FF">
            <w:pPr>
              <w:tabs>
                <w:tab w:val="left" w:pos="540"/>
                <w:tab w:val="left" w:pos="567"/>
                <w:tab w:val="left" w:pos="2160"/>
              </w:tabs>
              <w:rPr>
                <w:b/>
                <w:bCs/>
                <w:color w:val="0000FF"/>
                <w:szCs w:val="24"/>
                <w:lang w:eastAsia="x-none"/>
              </w:rPr>
            </w:pPr>
          </w:p>
          <w:p w:rsidR="00AA5C8C" w:rsidRPr="00A23740" w:rsidRDefault="00AA5C8C" w:rsidP="009431FF">
            <w:pPr>
              <w:pStyle w:val="Mavi"/>
            </w:pPr>
            <w:r w:rsidRPr="00A23740">
              <w:t xml:space="preserve">(3) Kayden izlenen sermaye piyasası araçlarından Borsa İstanbul Anonim </w:t>
            </w:r>
            <w:r w:rsidRPr="00A23740">
              <w:rPr>
                <w:lang w:val="tr-TR"/>
              </w:rPr>
              <w:t>Şirketinde</w:t>
            </w:r>
            <w:r w:rsidRPr="00A23740">
              <w:t xml:space="preserve"> işlem görmeyen nitelikte olanların paraya çevrilmesinde, taşınırların satışına ilişkin hükümler kıyasen uygulanır. </w:t>
            </w:r>
          </w:p>
          <w:p w:rsidR="00AA5C8C" w:rsidRPr="00A23740" w:rsidRDefault="00AA5C8C" w:rsidP="009431FF">
            <w:pPr>
              <w:pStyle w:val="YEL"/>
              <w:rPr>
                <w:lang w:val="tr-TR"/>
              </w:rPr>
            </w:pPr>
          </w:p>
          <w:p w:rsidR="00AA5C8C" w:rsidRPr="00A23740" w:rsidRDefault="00AA5C8C" w:rsidP="009431FF">
            <w:pPr>
              <w:pStyle w:val="Mavi"/>
            </w:pPr>
            <w:r w:rsidRPr="00A23740">
              <w:t>(4) Elektronik ürün senetlerinin paraya</w:t>
            </w:r>
            <w:r w:rsidR="008F4DE3" w:rsidRPr="00A23740">
              <w:t xml:space="preserve"> </w:t>
            </w:r>
            <w:r w:rsidR="008F4DE3" w:rsidRPr="00BF6B46">
              <w:t>çevrilmesi</w:t>
            </w:r>
            <w:r w:rsidRPr="00A23740">
              <w:rPr>
                <w:color w:val="385623"/>
              </w:rPr>
              <w:t xml:space="preserve"> </w:t>
            </w:r>
            <w:r w:rsidRPr="00A23740">
              <w:t>işlemi, haczi uygulayan icra ve iflas dairesinin talebi üzerine, hacizli menkul</w:t>
            </w:r>
            <w:r w:rsidRPr="00A23740">
              <w:rPr>
                <w:lang w:val="tr-TR"/>
              </w:rPr>
              <w:t xml:space="preserve"> </w:t>
            </w:r>
            <w:r w:rsidRPr="00A23740">
              <w:t>kıymetlerin bulunduğu Merkezi Kayıt Kuruluşu üyesi tarafından Türkiye Ürün İhtisas Borsasına talebin iletilmesi suretiyle yerine getirilir.</w:t>
            </w:r>
          </w:p>
          <w:p w:rsidR="007A4173" w:rsidRPr="00A23740" w:rsidRDefault="007A4173" w:rsidP="009431FF">
            <w:pPr>
              <w:pStyle w:val="KIRMIZI"/>
            </w:pPr>
          </w:p>
        </w:tc>
      </w:tr>
      <w:tr w:rsidR="00D25904" w:rsidRPr="00A23740" w:rsidTr="009431FF">
        <w:tblPrEx>
          <w:tblLook w:val="01E0" w:firstRow="1" w:lastRow="1" w:firstColumn="1" w:lastColumn="1" w:noHBand="0" w:noVBand="0"/>
        </w:tblPrEx>
        <w:tc>
          <w:tcPr>
            <w:tcW w:w="5000" w:type="pct"/>
            <w:gridSpan w:val="2"/>
            <w:shd w:val="clear" w:color="auto" w:fill="DEEAF6"/>
          </w:tcPr>
          <w:p w:rsidR="00D25904" w:rsidRPr="00A23740" w:rsidRDefault="00D25904" w:rsidP="009431FF">
            <w:pPr>
              <w:tabs>
                <w:tab w:val="left" w:pos="567"/>
              </w:tabs>
              <w:ind w:firstLine="709"/>
              <w:rPr>
                <w:rFonts w:eastAsia="Times New Roman"/>
                <w:b/>
                <w:szCs w:val="24"/>
                <w:lang w:eastAsia="tr-TR"/>
              </w:rPr>
            </w:pPr>
          </w:p>
          <w:p w:rsidR="00D179F1" w:rsidRPr="00A23740" w:rsidRDefault="00D25904" w:rsidP="009431FF">
            <w:pPr>
              <w:tabs>
                <w:tab w:val="left" w:pos="567"/>
              </w:tabs>
              <w:ind w:firstLine="709"/>
              <w:rPr>
                <w:rFonts w:eastAsia="Times New Roman"/>
                <w:bCs/>
                <w:szCs w:val="24"/>
                <w:lang w:eastAsia="tr-TR"/>
              </w:rPr>
            </w:pPr>
            <w:r w:rsidRPr="00A23740">
              <w:rPr>
                <w:rFonts w:eastAsia="Times New Roman"/>
                <w:b/>
                <w:szCs w:val="24"/>
                <w:lang w:eastAsia="tr-TR"/>
              </w:rPr>
              <w:t xml:space="preserve">MADDE </w:t>
            </w:r>
            <w:r w:rsidR="0025794C" w:rsidRPr="00A23740">
              <w:rPr>
                <w:rFonts w:eastAsia="Times New Roman"/>
                <w:b/>
                <w:szCs w:val="24"/>
                <w:lang w:eastAsia="tr-TR"/>
              </w:rPr>
              <w:t>210</w:t>
            </w:r>
            <w:r w:rsidRPr="00A23740">
              <w:rPr>
                <w:rFonts w:eastAsia="Times New Roman"/>
                <w:b/>
                <w:szCs w:val="24"/>
                <w:lang w:eastAsia="tr-TR"/>
              </w:rPr>
              <w:t>-</w:t>
            </w:r>
            <w:r w:rsidRPr="00A23740">
              <w:rPr>
                <w:rFonts w:eastAsia="Times New Roman"/>
                <w:szCs w:val="24"/>
                <w:lang w:eastAsia="tr-TR"/>
              </w:rPr>
              <w:t xml:space="preserve"> </w:t>
            </w:r>
            <w:r w:rsidR="00D179F1" w:rsidRPr="00A23740">
              <w:rPr>
                <w:rFonts w:eastAsia="Times New Roman"/>
                <w:bCs/>
                <w:szCs w:val="24"/>
                <w:lang w:eastAsia="tr-TR"/>
              </w:rPr>
              <w:t>Maddeyle, k</w:t>
            </w:r>
            <w:r w:rsidR="00D179F1" w:rsidRPr="00A23740">
              <w:rPr>
                <w:rFonts w:eastAsia="Times New Roman"/>
                <w:bCs/>
                <w:szCs w:val="24"/>
                <w:lang w:val="x-none" w:eastAsia="tr-TR"/>
              </w:rPr>
              <w:t>ayden izlenen sermaye piyasası araçlarının paraya çevrilmesi</w:t>
            </w:r>
            <w:r w:rsidR="000D6816" w:rsidRPr="00A23740">
              <w:rPr>
                <w:rFonts w:eastAsia="Times New Roman"/>
                <w:bCs/>
                <w:szCs w:val="24"/>
                <w:lang w:eastAsia="tr-TR"/>
              </w:rPr>
              <w:t xml:space="preserve"> düzenlenmektedir. </w:t>
            </w:r>
          </w:p>
          <w:p w:rsidR="00D179F1" w:rsidRPr="00A23740" w:rsidRDefault="00D179F1" w:rsidP="009431FF">
            <w:pPr>
              <w:ind w:firstLine="709"/>
              <w:rPr>
                <w:rFonts w:eastAsia="Times New Roman"/>
                <w:bCs/>
                <w:szCs w:val="24"/>
                <w:lang w:eastAsia="tr-TR"/>
              </w:rPr>
            </w:pPr>
            <w:r w:rsidRPr="00A23740">
              <w:rPr>
                <w:rFonts w:eastAsia="Times New Roman"/>
                <w:bCs/>
                <w:szCs w:val="24"/>
                <w:lang w:eastAsia="tr-TR"/>
              </w:rPr>
              <w:t xml:space="preserve">Maddenin ilk fıkrasında, </w:t>
            </w:r>
            <w:r w:rsidRPr="00A23740">
              <w:rPr>
                <w:rFonts w:eastAsia="Times New Roman"/>
                <w:bCs/>
                <w:szCs w:val="24"/>
                <w:lang w:val="x-none" w:eastAsia="tr-TR"/>
              </w:rPr>
              <w:t>Borsa İstanbul Anonim Şirketi nezdindeki piyasalarda işlem gören sermaye piyasası araçları</w:t>
            </w:r>
            <w:r w:rsidRPr="00A23740">
              <w:rPr>
                <w:rFonts w:eastAsia="Times New Roman"/>
                <w:bCs/>
                <w:szCs w:val="24"/>
                <w:lang w:eastAsia="tr-TR"/>
              </w:rPr>
              <w:t xml:space="preserve">nın paraya çevrilmesine ilişkin esaslar belirlenmektedir. Buna göre, </w:t>
            </w:r>
            <w:r w:rsidRPr="00A23740">
              <w:rPr>
                <w:rFonts w:eastAsia="Times New Roman"/>
                <w:bCs/>
                <w:szCs w:val="24"/>
                <w:lang w:val="x-none" w:eastAsia="tr-TR"/>
              </w:rPr>
              <w:t>Borsa İstanbul Anonim Şirketi nezdindeki piyasalarda işlem gören sermaye piyasası araçları</w:t>
            </w:r>
            <w:r w:rsidRPr="00A23740">
              <w:rPr>
                <w:rFonts w:eastAsia="Times New Roman"/>
                <w:bCs/>
                <w:szCs w:val="24"/>
                <w:lang w:eastAsia="tr-TR"/>
              </w:rPr>
              <w:t xml:space="preserve">, </w:t>
            </w:r>
            <w:r w:rsidRPr="00A23740">
              <w:rPr>
                <w:rFonts w:eastAsia="Times New Roman"/>
                <w:bCs/>
                <w:szCs w:val="24"/>
                <w:lang w:val="x-none" w:eastAsia="tr-TR"/>
              </w:rPr>
              <w:t xml:space="preserve">haczi uygulayan icra </w:t>
            </w:r>
            <w:r w:rsidR="007D74DD" w:rsidRPr="00D60C1D">
              <w:rPr>
                <w:color w:val="000000"/>
              </w:rPr>
              <w:t>ve iflas</w:t>
            </w:r>
            <w:r w:rsidR="007D74DD" w:rsidRPr="00A23740">
              <w:rPr>
                <w:b/>
                <w:color w:val="385623"/>
              </w:rPr>
              <w:t xml:space="preserve"> </w:t>
            </w:r>
            <w:r w:rsidRPr="00A23740">
              <w:rPr>
                <w:rFonts w:eastAsia="Times New Roman"/>
                <w:bCs/>
                <w:szCs w:val="24"/>
                <w:lang w:val="x-none" w:eastAsia="tr-TR"/>
              </w:rPr>
              <w:t>müdürlüğünün talebi üzerine, hacizli menkul kıymetlerin bulunduğu Merkezi Kayıt Kuruluşu üyesi tarafından Borsada satılarak paraya çevril</w:t>
            </w:r>
            <w:r w:rsidRPr="00A23740">
              <w:rPr>
                <w:rFonts w:eastAsia="Times New Roman"/>
                <w:bCs/>
                <w:szCs w:val="24"/>
                <w:lang w:eastAsia="tr-TR"/>
              </w:rPr>
              <w:t xml:space="preserve">ecektir. </w:t>
            </w:r>
            <w:r w:rsidRPr="00A23740">
              <w:rPr>
                <w:rFonts w:eastAsia="Times New Roman"/>
                <w:bCs/>
                <w:szCs w:val="24"/>
                <w:lang w:val="x-none" w:eastAsia="tr-TR"/>
              </w:rPr>
              <w:t xml:space="preserve">Üyenin Borsada satış yetkisi </w:t>
            </w:r>
            <w:r w:rsidRPr="00A23740">
              <w:rPr>
                <w:rFonts w:eastAsia="Times New Roman"/>
                <w:bCs/>
                <w:szCs w:val="24"/>
                <w:lang w:eastAsia="tr-TR"/>
              </w:rPr>
              <w:t>bulunmaması h</w:t>
            </w:r>
            <w:r w:rsidR="00707B08" w:rsidRPr="00A23740">
              <w:rPr>
                <w:rFonts w:eastAsia="Times New Roman"/>
                <w:bCs/>
                <w:szCs w:val="24"/>
                <w:lang w:eastAsia="tr-TR"/>
              </w:rPr>
              <w:t>â</w:t>
            </w:r>
            <w:r w:rsidRPr="00A23740">
              <w:rPr>
                <w:rFonts w:eastAsia="Times New Roman"/>
                <w:bCs/>
                <w:szCs w:val="24"/>
                <w:lang w:eastAsia="tr-TR"/>
              </w:rPr>
              <w:t>lind</w:t>
            </w:r>
            <w:r w:rsidR="00707B08" w:rsidRPr="00A23740">
              <w:rPr>
                <w:rFonts w:eastAsia="Times New Roman"/>
                <w:bCs/>
                <w:szCs w:val="24"/>
                <w:lang w:eastAsia="tr-TR"/>
              </w:rPr>
              <w:t>e</w:t>
            </w:r>
            <w:r w:rsidRPr="00A23740">
              <w:rPr>
                <w:rFonts w:eastAsia="Times New Roman"/>
                <w:bCs/>
                <w:szCs w:val="24"/>
                <w:lang w:val="x-none" w:eastAsia="tr-TR"/>
              </w:rPr>
              <w:t>, satış işlemi Borsa İstanbul Anonim Şirketi tarafından yapıl</w:t>
            </w:r>
            <w:r w:rsidRPr="00A23740">
              <w:rPr>
                <w:rFonts w:eastAsia="Times New Roman"/>
                <w:bCs/>
                <w:szCs w:val="24"/>
                <w:lang w:eastAsia="tr-TR"/>
              </w:rPr>
              <w:t>acaktır</w:t>
            </w:r>
            <w:r w:rsidRPr="00A23740">
              <w:rPr>
                <w:rFonts w:eastAsia="Times New Roman"/>
                <w:bCs/>
                <w:szCs w:val="24"/>
                <w:lang w:val="x-none" w:eastAsia="tr-TR"/>
              </w:rPr>
              <w:t>. Haciz konulan sermaye piyasası araçlarının satışı üzerine elde edilen miktar, icra ve iflas dairesinin hesabına aktarıl</w:t>
            </w:r>
            <w:r w:rsidRPr="00A23740">
              <w:rPr>
                <w:rFonts w:eastAsia="Times New Roman"/>
                <w:bCs/>
                <w:szCs w:val="24"/>
                <w:lang w:eastAsia="tr-TR"/>
              </w:rPr>
              <w:t xml:space="preserve">acaktır. </w:t>
            </w:r>
          </w:p>
          <w:p w:rsidR="00D179F1" w:rsidRPr="00A23740" w:rsidRDefault="00D179F1" w:rsidP="009431FF">
            <w:pPr>
              <w:ind w:firstLine="709"/>
              <w:rPr>
                <w:rFonts w:eastAsia="Times New Roman"/>
                <w:bCs/>
                <w:szCs w:val="24"/>
                <w:lang w:eastAsia="tr-TR"/>
              </w:rPr>
            </w:pPr>
            <w:r w:rsidRPr="00A23740">
              <w:rPr>
                <w:rFonts w:eastAsia="Times New Roman"/>
                <w:bCs/>
                <w:szCs w:val="24"/>
                <w:lang w:eastAsia="tr-TR"/>
              </w:rPr>
              <w:t xml:space="preserve">Maddenin ikinci fıkrasına göre, Sermaye Piyasası Kanunu uyarınca kurulmuş borsalar ile teşkilatlanmış pazar yerlerinde işlem gören payların kıymetinin, bu piyasalardaki fiyatı olacak ve bu payların satışı söz konusu borsa ve </w:t>
            </w:r>
            <w:r w:rsidR="000D6816" w:rsidRPr="00A23740">
              <w:rPr>
                <w:rFonts w:eastAsia="Times New Roman"/>
                <w:bCs/>
                <w:szCs w:val="24"/>
                <w:lang w:eastAsia="tr-TR"/>
              </w:rPr>
              <w:t xml:space="preserve">pazar yerlerinde yapılacaktır. </w:t>
            </w:r>
          </w:p>
          <w:p w:rsidR="00D179F1" w:rsidRPr="00A23740" w:rsidRDefault="00D179F1" w:rsidP="009431FF">
            <w:pPr>
              <w:ind w:firstLine="709"/>
              <w:rPr>
                <w:rFonts w:eastAsia="Times New Roman"/>
                <w:bCs/>
                <w:szCs w:val="24"/>
                <w:lang w:eastAsia="tr-TR"/>
              </w:rPr>
            </w:pPr>
            <w:r w:rsidRPr="00A23740">
              <w:rPr>
                <w:rFonts w:eastAsia="Times New Roman"/>
                <w:bCs/>
                <w:szCs w:val="24"/>
                <w:lang w:eastAsia="tr-TR"/>
              </w:rPr>
              <w:t xml:space="preserve">Maddenin üçüncü fıkrasında, </w:t>
            </w:r>
            <w:r w:rsidR="008F5E0C" w:rsidRPr="00A23740">
              <w:rPr>
                <w:rFonts w:eastAsia="Times New Roman"/>
                <w:bCs/>
                <w:szCs w:val="24"/>
                <w:lang w:eastAsia="tr-TR"/>
              </w:rPr>
              <w:t>k</w:t>
            </w:r>
            <w:r w:rsidRPr="00A23740">
              <w:rPr>
                <w:rFonts w:eastAsia="Times New Roman"/>
                <w:bCs/>
                <w:szCs w:val="24"/>
                <w:lang w:val="x-none" w:eastAsia="tr-TR"/>
              </w:rPr>
              <w:t>ayden izlenen sermaye piyasası araçlarından</w:t>
            </w:r>
            <w:r w:rsidRPr="00A23740">
              <w:rPr>
                <w:rFonts w:eastAsia="Times New Roman"/>
                <w:bCs/>
                <w:szCs w:val="24"/>
                <w:lang w:eastAsia="tr-TR"/>
              </w:rPr>
              <w:t xml:space="preserve"> </w:t>
            </w:r>
            <w:r w:rsidRPr="00A23740">
              <w:rPr>
                <w:rFonts w:eastAsia="Times New Roman"/>
                <w:bCs/>
                <w:szCs w:val="24"/>
                <w:lang w:val="x-none" w:eastAsia="tr-TR"/>
              </w:rPr>
              <w:t xml:space="preserve">Borsa İstanbul Anonim </w:t>
            </w:r>
            <w:r w:rsidRPr="00A23740">
              <w:rPr>
                <w:rFonts w:eastAsia="Times New Roman"/>
                <w:bCs/>
                <w:szCs w:val="24"/>
                <w:lang w:eastAsia="tr-TR"/>
              </w:rPr>
              <w:t>Şirketinde</w:t>
            </w:r>
            <w:r w:rsidRPr="00A23740">
              <w:rPr>
                <w:rFonts w:eastAsia="Times New Roman"/>
                <w:bCs/>
                <w:szCs w:val="24"/>
                <w:lang w:val="x-none" w:eastAsia="tr-TR"/>
              </w:rPr>
              <w:t xml:space="preserve"> işlem görmeyen nitelikte olanların paraya çevrilmesin</w:t>
            </w:r>
            <w:r w:rsidRPr="00A23740">
              <w:rPr>
                <w:rFonts w:eastAsia="Times New Roman"/>
                <w:bCs/>
                <w:szCs w:val="24"/>
                <w:lang w:eastAsia="tr-TR"/>
              </w:rPr>
              <w:t xml:space="preserve">e ilişkin esaslar düzenlenmektedir. Bu nitelikteki kayden izlenen sermaye piyasası araçları, hakkında </w:t>
            </w:r>
            <w:r w:rsidRPr="00A23740">
              <w:rPr>
                <w:rFonts w:eastAsia="Times New Roman"/>
                <w:bCs/>
                <w:szCs w:val="24"/>
                <w:lang w:val="x-none" w:eastAsia="tr-TR"/>
              </w:rPr>
              <w:t>taşınırların satışına ilişkin hükümler kıyasen uygulan</w:t>
            </w:r>
            <w:r w:rsidR="000D6816" w:rsidRPr="00A23740">
              <w:rPr>
                <w:rFonts w:eastAsia="Times New Roman"/>
                <w:bCs/>
                <w:szCs w:val="24"/>
                <w:lang w:eastAsia="tr-TR"/>
              </w:rPr>
              <w:t xml:space="preserve">acaktır. </w:t>
            </w:r>
          </w:p>
          <w:p w:rsidR="00D25904" w:rsidRPr="00A23740" w:rsidRDefault="00D179F1" w:rsidP="005C601A">
            <w:pPr>
              <w:ind w:firstLine="709"/>
              <w:rPr>
                <w:rFonts w:eastAsia="Times New Roman"/>
                <w:b/>
                <w:color w:val="0000FF"/>
                <w:szCs w:val="24"/>
                <w:lang w:eastAsia="tr-TR"/>
              </w:rPr>
            </w:pPr>
            <w:r w:rsidRPr="00A23740">
              <w:rPr>
                <w:rFonts w:eastAsia="Times New Roman"/>
                <w:bCs/>
                <w:szCs w:val="24"/>
                <w:lang w:eastAsia="tr-TR"/>
              </w:rPr>
              <w:t>Maddenin dördüncü fıkrasında, elektronik ürün senetlerinin paraya çevrilmesi düzenlenmektedir. Elektronik ürün senetlerinin paraya çevrilmesi işlemi, haczi uygulayan icra ve iflas dairesinin talebi üzerine, hacizli menkul kıymetlerin bulunduğu Merkezi Kayıt Kuruluşu üyesi tarafından Türkiye Ürün İhtisas Borsasına talebin iletilmesi suretiyle yerine ge</w:t>
            </w:r>
            <w:r w:rsidR="005C601A">
              <w:rPr>
                <w:rFonts w:eastAsia="Times New Roman"/>
                <w:bCs/>
                <w:szCs w:val="24"/>
                <w:lang w:eastAsia="tr-TR"/>
              </w:rPr>
              <w:t>tirilecektir.</w:t>
            </w:r>
          </w:p>
          <w:p w:rsidR="00D25904" w:rsidRPr="00A23740" w:rsidRDefault="00D25904" w:rsidP="005C601A">
            <w:pPr>
              <w:tabs>
                <w:tab w:val="left" w:pos="567"/>
              </w:tabs>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rPr>
                <w:b w:val="0"/>
                <w:bCs w:val="0"/>
                <w:i/>
                <w:strike w:val="0"/>
                <w:color w:val="auto"/>
                <w:lang w:val="tr-TR" w:eastAsia="tr-TR"/>
              </w:rPr>
              <w:t>Paraya</w:t>
            </w:r>
            <w:r w:rsidRPr="00A23740">
              <w:t xml:space="preserve"> çevirmenin diğer tarzı. </w:t>
            </w:r>
          </w:p>
          <w:p w:rsidR="00AA5C8C" w:rsidRPr="00A23740" w:rsidRDefault="00AA5C8C" w:rsidP="009431FF">
            <w:pPr>
              <w:pStyle w:val="KIRMIZI"/>
            </w:pPr>
            <w:r w:rsidRPr="00A23740">
              <w:t>İştirak halinde mülkiyet hisseleri: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121 – (1</w:t>
            </w:r>
            <w:r w:rsidRPr="00A23740">
              <w:rPr>
                <w:rFonts w:eastAsia="Times New Roman"/>
                <w:bCs/>
                <w:lang w:eastAsia="tr-TR"/>
              </w:rPr>
              <w:t>)</w:t>
            </w:r>
            <w:r w:rsidRPr="00A23740">
              <w:rPr>
                <w:rFonts w:eastAsia="Times New Roman"/>
                <w:b/>
                <w:strike/>
                <w:color w:val="FF0000"/>
                <w:szCs w:val="24"/>
                <w:lang w:eastAsia="tr-TR"/>
              </w:rPr>
              <w:t xml:space="preserve"> Bir intifa hakkı veya taksim</w:t>
            </w:r>
            <w:r w:rsidRPr="00A23740">
              <w:rPr>
                <w:rStyle w:val="KIRMIZIChar"/>
                <w:rFonts w:eastAsia="Calibri"/>
              </w:rPr>
              <w:t xml:space="preserve"> edilmemiş bir miras </w:t>
            </w:r>
            <w:r w:rsidRPr="00A23740">
              <w:rPr>
                <w:rFonts w:eastAsia="Times New Roman"/>
                <w:b/>
                <w:strike/>
                <w:color w:val="FF0000"/>
                <w:szCs w:val="24"/>
                <w:lang w:eastAsia="tr-TR"/>
              </w:rPr>
              <w:t>veya bir şirket yahut iştirak halinde tasarruf olunan bir mal hissesi gibi yukarki maddelerde gösterilmeyen</w:t>
            </w:r>
            <w:r w:rsidRPr="00A23740">
              <w:t xml:space="preserve"> başka nevi mal</w:t>
            </w:r>
            <w:r w:rsidRPr="00A23740">
              <w:rPr>
                <w:rFonts w:eastAsia="Times New Roman"/>
                <w:b/>
                <w:strike/>
                <w:color w:val="FF0000"/>
                <w:szCs w:val="24"/>
                <w:lang w:eastAsia="tr-TR"/>
              </w:rPr>
              <w:t xml:space="preserve">ların </w:t>
            </w:r>
            <w:r w:rsidRPr="00A23740">
              <w:t>satılması lazım</w:t>
            </w:r>
            <w:r w:rsidRPr="00A23740">
              <w:rPr>
                <w:rFonts w:eastAsia="Times New Roman"/>
                <w:szCs w:val="24"/>
                <w:lang w:eastAsia="tr-TR"/>
              </w:rPr>
              <w:t xml:space="preserve"> gelirse icra </w:t>
            </w:r>
            <w:r w:rsidRPr="00A23740">
              <w:rPr>
                <w:rStyle w:val="KIRMIZIChar"/>
                <w:rFonts w:eastAsia="Calibri"/>
              </w:rPr>
              <w:t>memuru</w:t>
            </w:r>
            <w:r w:rsidRPr="00A23740">
              <w:rPr>
                <w:rFonts w:eastAsia="Times New Roman"/>
                <w:szCs w:val="24"/>
                <w:lang w:eastAsia="tr-TR"/>
              </w:rPr>
              <w:t xml:space="preserve"> satışın nasıl yapılacağını icra mahkemesinden sorar.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İcra mahkemesi, yerleşim yerleri </w:t>
            </w:r>
            <w:r w:rsidRPr="00A23740">
              <w:rPr>
                <w:rFonts w:eastAsia="Times New Roman"/>
                <w:b/>
                <w:strike/>
                <w:color w:val="FF0000"/>
                <w:szCs w:val="24"/>
                <w:lang w:eastAsia="tr-TR"/>
              </w:rPr>
              <w:t>malüm olan alakadarları</w:t>
            </w:r>
            <w:r w:rsidRPr="00A23740">
              <w:rPr>
                <w:rFonts w:eastAsia="Times New Roman"/>
                <w:szCs w:val="24"/>
                <w:lang w:eastAsia="tr-TR"/>
              </w:rPr>
              <w:t xml:space="preserve"> davet ve gelenleri</w:t>
            </w:r>
            <w:r w:rsidRPr="00A23740">
              <w:rPr>
                <w:rStyle w:val="KIRMIZIChar"/>
                <w:rFonts w:eastAsia="Calibri"/>
              </w:rPr>
              <w:t>ni</w:t>
            </w:r>
            <w:r w:rsidRPr="00A23740">
              <w:rPr>
                <w:rFonts w:eastAsia="Times New Roman"/>
                <w:szCs w:val="24"/>
                <w:lang w:eastAsia="tr-TR"/>
              </w:rPr>
              <w:t xml:space="preserve"> dinledikten sonra açık artırma yaptırabileceği gibi satış için bir memur da tayin edebilir</w:t>
            </w:r>
            <w:r w:rsidRPr="00A23740">
              <w:rPr>
                <w:rStyle w:val="KIRMIZIChar"/>
                <w:rFonts w:eastAsia="Calibri"/>
              </w:rPr>
              <w:t>, yahut iktiza eden</w:t>
            </w:r>
            <w:r w:rsidRPr="00A23740">
              <w:rPr>
                <w:rFonts w:eastAsia="Times New Roman"/>
                <w:szCs w:val="24"/>
                <w:lang w:eastAsia="tr-TR"/>
              </w:rPr>
              <w:t xml:space="preserve"> diğer bir tedbiri alabilir.</w:t>
            </w:r>
          </w:p>
          <w:p w:rsidR="00AA5C8C" w:rsidRPr="00A23740" w:rsidRDefault="00AA5C8C" w:rsidP="009431FF">
            <w:pPr>
              <w:tabs>
                <w:tab w:val="left" w:pos="567"/>
              </w:tabs>
              <w:rPr>
                <w:rFonts w:eastAsia="Times New Roman"/>
                <w:b/>
                <w:szCs w:val="24"/>
                <w:lang w:eastAsia="tr-TR"/>
              </w:rPr>
            </w:pPr>
          </w:p>
        </w:tc>
        <w:tc>
          <w:tcPr>
            <w:tcW w:w="2500" w:type="pct"/>
          </w:tcPr>
          <w:p w:rsidR="00AA5C8C" w:rsidRPr="00A23740" w:rsidRDefault="00AA5C8C" w:rsidP="009431FF">
            <w:pPr>
              <w:pStyle w:val="Mavi"/>
            </w:pPr>
            <w:r w:rsidRPr="00A23740">
              <w:rPr>
                <w:rFonts w:eastAsia="Times New Roman"/>
                <w:bCs w:val="0"/>
                <w:color w:val="auto"/>
                <w:lang w:val="tr-TR" w:eastAsia="tr-TR"/>
              </w:rPr>
              <w:t xml:space="preserve">Paraya </w:t>
            </w:r>
            <w:r w:rsidRPr="00A23740">
              <w:t>çevrilmesi özellik arz eden diğer mal ve haklar</w:t>
            </w:r>
          </w:p>
          <w:p w:rsidR="00AA5C8C" w:rsidRPr="00A23740" w:rsidRDefault="00AA5C8C" w:rsidP="009431FF">
            <w:pPr>
              <w:rPr>
                <w:rFonts w:eastAsia="Times New Roman"/>
                <w:szCs w:val="24"/>
                <w:lang w:eastAsia="tr-TR"/>
              </w:rPr>
            </w:pPr>
            <w:r w:rsidRPr="00A23740">
              <w:rPr>
                <w:rStyle w:val="MaviChar"/>
              </w:rPr>
              <w:t xml:space="preserve">MADDE </w:t>
            </w:r>
            <w:r w:rsidR="0025794C" w:rsidRPr="00A23740">
              <w:rPr>
                <w:rStyle w:val="MaviChar"/>
                <w:lang w:val="tr-TR"/>
              </w:rPr>
              <w:t>211</w:t>
            </w:r>
            <w:r w:rsidRPr="00A23740">
              <w:rPr>
                <w:rStyle w:val="MaviChar"/>
              </w:rPr>
              <w:t>-</w:t>
            </w:r>
            <w:r w:rsidRPr="00A23740">
              <w:t xml:space="preserve"> </w:t>
            </w:r>
            <w:r w:rsidRPr="00A23740">
              <w:rPr>
                <w:rFonts w:eastAsia="Times New Roman"/>
                <w:b/>
                <w:color w:val="0000FF"/>
                <w:szCs w:val="24"/>
                <w:lang w:eastAsia="tr-TR"/>
              </w:rPr>
              <w:t xml:space="preserve">(1) </w:t>
            </w:r>
            <w:r w:rsidRPr="00A23740">
              <w:rPr>
                <w:rStyle w:val="MaviChar"/>
              </w:rPr>
              <w:t xml:space="preserve">Kanunda </w:t>
            </w:r>
            <w:r w:rsidRPr="00A23740">
              <w:rPr>
                <w:rStyle w:val="Balk1Char"/>
                <w:rFonts w:eastAsia="Calibri"/>
              </w:rPr>
              <w:t>ne şekilde paraya çevrileceği</w:t>
            </w:r>
            <w:r w:rsidRPr="00A23740">
              <w:rPr>
                <w:rStyle w:val="MaviChar"/>
              </w:rPr>
              <w:t xml:space="preserve"> gösterilmeyen</w:t>
            </w:r>
            <w:r w:rsidRPr="00A23740">
              <w:rPr>
                <w:rStyle w:val="MAVChar"/>
                <w:rFonts w:eastAsia="Calibri"/>
                <w:u w:val="none"/>
              </w:rPr>
              <w:t xml:space="preserve"> </w:t>
            </w:r>
            <w:r w:rsidRPr="00A23740">
              <w:rPr>
                <w:rFonts w:eastAsia="Times New Roman"/>
                <w:szCs w:val="24"/>
                <w:lang w:eastAsia="tr-TR"/>
              </w:rPr>
              <w:t xml:space="preserve">mal </w:t>
            </w:r>
            <w:r w:rsidRPr="00A23740">
              <w:rPr>
                <w:rStyle w:val="MAVChar"/>
                <w:rFonts w:eastAsia="Calibri"/>
                <w:u w:val="none"/>
              </w:rPr>
              <w:t xml:space="preserve">ya da hakların </w:t>
            </w:r>
            <w:r w:rsidRPr="00A23740">
              <w:rPr>
                <w:rStyle w:val="MaviChar"/>
              </w:rPr>
              <w:t>paraya çevrilmesi</w:t>
            </w:r>
            <w:r w:rsidR="007A4173" w:rsidRPr="00A23740">
              <w:rPr>
                <w:rStyle w:val="MaviChar"/>
                <w:lang w:val="tr-TR"/>
              </w:rPr>
              <w:t xml:space="preserve"> gerekirse,</w:t>
            </w:r>
            <w:r w:rsidRPr="00A23740">
              <w:rPr>
                <w:rFonts w:eastAsia="Times New Roman"/>
                <w:szCs w:val="24"/>
                <w:lang w:eastAsia="tr-TR"/>
              </w:rPr>
              <w:t xml:space="preserve"> icra </w:t>
            </w:r>
            <w:r w:rsidRPr="00A23740">
              <w:rPr>
                <w:rStyle w:val="MaviChar"/>
              </w:rPr>
              <w:t>ve iflas dairesi paraya çevirmenin</w:t>
            </w:r>
            <w:r w:rsidRPr="00A23740">
              <w:rPr>
                <w:rFonts w:eastAsia="Times New Roman"/>
                <w:szCs w:val="24"/>
                <w:lang w:eastAsia="tr-TR"/>
              </w:rPr>
              <w:t xml:space="preserve"> nasıl yapılacağını icra </w:t>
            </w:r>
            <w:r w:rsidRPr="00A23740">
              <w:rPr>
                <w:rStyle w:val="MaviChar"/>
              </w:rPr>
              <w:t>hukuk</w:t>
            </w:r>
            <w:r w:rsidRPr="00A23740">
              <w:rPr>
                <w:rFonts w:eastAsia="Times New Roman"/>
                <w:szCs w:val="24"/>
                <w:lang w:eastAsia="tr-TR"/>
              </w:rPr>
              <w:t xml:space="preserve"> mahkemesinden sorar.</w:t>
            </w:r>
          </w:p>
          <w:p w:rsidR="00AA5C8C" w:rsidRPr="00A23740" w:rsidRDefault="00AA5C8C" w:rsidP="009431FF">
            <w:pPr>
              <w:pStyle w:val="Mavi"/>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MaviChar"/>
              </w:rPr>
              <w:t>(2)</w:t>
            </w:r>
            <w:r w:rsidRPr="00A23740">
              <w:rPr>
                <w:rFonts w:eastAsia="Times New Roman"/>
                <w:szCs w:val="24"/>
                <w:lang w:eastAsia="tr-TR"/>
              </w:rPr>
              <w:t xml:space="preserve"> İcra </w:t>
            </w:r>
            <w:r w:rsidRPr="00A23740">
              <w:rPr>
                <w:rStyle w:val="MaviChar"/>
              </w:rPr>
              <w:t>hukuk</w:t>
            </w:r>
            <w:r w:rsidRPr="00A23740">
              <w:rPr>
                <w:rFonts w:eastAsia="Times New Roman"/>
                <w:szCs w:val="24"/>
                <w:lang w:eastAsia="tr-TR"/>
              </w:rPr>
              <w:t xml:space="preserve"> mahkemesi, yerleşim yerleri </w:t>
            </w:r>
            <w:r w:rsidRPr="00A23740">
              <w:rPr>
                <w:rFonts w:eastAsia="Times New Roman"/>
                <w:b/>
                <w:color w:val="0000FF"/>
                <w:szCs w:val="24"/>
                <w:lang w:eastAsia="tr-TR"/>
              </w:rPr>
              <w:t>bilinen ilgilileri</w:t>
            </w:r>
            <w:r w:rsidRPr="00A23740">
              <w:rPr>
                <w:rFonts w:eastAsia="Times New Roman"/>
                <w:szCs w:val="24"/>
                <w:lang w:eastAsia="tr-TR"/>
              </w:rPr>
              <w:t xml:space="preserve"> davet</w:t>
            </w:r>
            <w:r w:rsidR="00C075C5" w:rsidRPr="00A23740">
              <w:rPr>
                <w:rFonts w:eastAsia="Times New Roman"/>
                <w:szCs w:val="24"/>
                <w:lang w:eastAsia="tr-TR"/>
              </w:rPr>
              <w:t xml:space="preserve"> </w:t>
            </w:r>
            <w:r w:rsidR="00C075C5" w:rsidRPr="00BF6B46">
              <w:rPr>
                <w:rStyle w:val="MaviChar"/>
              </w:rPr>
              <w:t>edip</w:t>
            </w:r>
            <w:r w:rsidRPr="00A23740">
              <w:rPr>
                <w:rFonts w:eastAsia="Times New Roman"/>
                <w:color w:val="385623"/>
                <w:szCs w:val="24"/>
                <w:lang w:eastAsia="tr-TR"/>
              </w:rPr>
              <w:t xml:space="preserve"> </w:t>
            </w:r>
            <w:r w:rsidRPr="00A23740">
              <w:rPr>
                <w:rFonts w:eastAsia="Times New Roman"/>
                <w:szCs w:val="24"/>
                <w:lang w:eastAsia="tr-TR"/>
              </w:rPr>
              <w:t>gelenleri dinledikten sonra açık artırma yaptırabileceği gibi</w:t>
            </w:r>
            <w:r w:rsidR="008F4DE3" w:rsidRPr="00A23740">
              <w:rPr>
                <w:rFonts w:eastAsia="Times New Roman"/>
                <w:b/>
                <w:bCs/>
                <w:color w:val="385623"/>
                <w:szCs w:val="24"/>
                <w:lang w:eastAsia="tr-TR"/>
              </w:rPr>
              <w:t>,</w:t>
            </w:r>
            <w:r w:rsidRPr="00A23740">
              <w:rPr>
                <w:rFonts w:eastAsia="Times New Roman"/>
                <w:szCs w:val="24"/>
                <w:lang w:eastAsia="tr-TR"/>
              </w:rPr>
              <w:t xml:space="preserve"> satış için bir </w:t>
            </w:r>
            <w:r w:rsidRPr="00A23740">
              <w:rPr>
                <w:rStyle w:val="MaviChar"/>
              </w:rPr>
              <w:t>görevli de</w:t>
            </w:r>
            <w:r w:rsidRPr="00A23740">
              <w:rPr>
                <w:rFonts w:eastAsia="Times New Roman"/>
                <w:szCs w:val="24"/>
                <w:lang w:eastAsia="tr-TR"/>
              </w:rPr>
              <w:t xml:space="preserve"> tayin edebilir </w:t>
            </w:r>
            <w:r w:rsidRPr="00A23740">
              <w:rPr>
                <w:rStyle w:val="MaviChar"/>
                <w:lang w:val="tr-TR"/>
              </w:rPr>
              <w:t>veya gereken</w:t>
            </w:r>
            <w:r w:rsidRPr="00A23740">
              <w:rPr>
                <w:rFonts w:eastAsia="Times New Roman"/>
                <w:szCs w:val="24"/>
                <w:lang w:eastAsia="tr-TR"/>
              </w:rPr>
              <w:t xml:space="preserve"> diğer tedbirleri alabilir.</w:t>
            </w:r>
          </w:p>
          <w:p w:rsidR="00AA5C8C" w:rsidRPr="00A23740" w:rsidRDefault="00AA5C8C" w:rsidP="009431FF">
            <w:pPr>
              <w:pStyle w:val="KIRMIZI"/>
              <w:rPr>
                <w:b w:val="0"/>
                <w:color w:val="0000FF"/>
                <w:lang w:eastAsia="tr-TR"/>
              </w:rPr>
            </w:pPr>
          </w:p>
        </w:tc>
      </w:tr>
      <w:tr w:rsidR="00D25904" w:rsidRPr="00A23740" w:rsidTr="009431FF">
        <w:tblPrEx>
          <w:tblLook w:val="01E0" w:firstRow="1" w:lastRow="1" w:firstColumn="1" w:lastColumn="1" w:noHBand="0" w:noVBand="0"/>
        </w:tblPrEx>
        <w:tc>
          <w:tcPr>
            <w:tcW w:w="5000" w:type="pct"/>
            <w:gridSpan w:val="2"/>
            <w:shd w:val="clear" w:color="auto" w:fill="DEEAF6"/>
          </w:tcPr>
          <w:p w:rsidR="00D25904" w:rsidRPr="00A23740" w:rsidRDefault="00D25904" w:rsidP="009431FF">
            <w:pPr>
              <w:tabs>
                <w:tab w:val="left" w:pos="567"/>
              </w:tabs>
              <w:ind w:firstLine="709"/>
              <w:rPr>
                <w:rFonts w:eastAsia="Times New Roman"/>
                <w:b/>
                <w:szCs w:val="24"/>
                <w:lang w:eastAsia="tr-TR"/>
              </w:rPr>
            </w:pPr>
          </w:p>
          <w:p w:rsidR="00D179F1" w:rsidRPr="00A23740" w:rsidRDefault="00D25904" w:rsidP="009431FF">
            <w:pPr>
              <w:tabs>
                <w:tab w:val="left" w:pos="567"/>
              </w:tabs>
              <w:ind w:firstLine="709"/>
              <w:rPr>
                <w:rFonts w:eastAsia="Times New Roman"/>
                <w:bCs/>
                <w:szCs w:val="24"/>
                <w:lang w:eastAsia="tr-TR"/>
              </w:rPr>
            </w:pPr>
            <w:r w:rsidRPr="00A23740">
              <w:rPr>
                <w:rFonts w:eastAsia="Times New Roman"/>
                <w:b/>
                <w:szCs w:val="24"/>
                <w:lang w:eastAsia="tr-TR"/>
              </w:rPr>
              <w:t xml:space="preserve">MADDE </w:t>
            </w:r>
            <w:r w:rsidR="0025794C" w:rsidRPr="00A23740">
              <w:rPr>
                <w:rFonts w:eastAsia="Times New Roman"/>
                <w:b/>
                <w:szCs w:val="24"/>
                <w:lang w:eastAsia="tr-TR"/>
              </w:rPr>
              <w:t>211</w:t>
            </w:r>
            <w:r w:rsidRPr="00A23740">
              <w:rPr>
                <w:rFonts w:eastAsia="Times New Roman"/>
                <w:b/>
                <w:szCs w:val="24"/>
                <w:lang w:eastAsia="tr-TR"/>
              </w:rPr>
              <w:t>-</w:t>
            </w:r>
            <w:r w:rsidRPr="00A23740">
              <w:rPr>
                <w:rFonts w:eastAsia="Times New Roman"/>
                <w:szCs w:val="24"/>
                <w:lang w:eastAsia="tr-TR"/>
              </w:rPr>
              <w:t xml:space="preserve"> </w:t>
            </w:r>
            <w:r w:rsidR="00D179F1" w:rsidRPr="00A23740">
              <w:rPr>
                <w:rFonts w:eastAsia="Times New Roman"/>
                <w:bCs/>
                <w:szCs w:val="24"/>
                <w:lang w:eastAsia="tr-TR"/>
              </w:rPr>
              <w:t xml:space="preserve">Maddeyle, </w:t>
            </w:r>
            <w:r w:rsidR="00D179F1" w:rsidRPr="00A23740">
              <w:rPr>
                <w:rFonts w:eastAsia="Times New Roman"/>
                <w:bCs/>
                <w:szCs w:val="24"/>
                <w:lang w:val="x-none" w:eastAsia="tr-TR"/>
              </w:rPr>
              <w:t>Kanunda ne şekilde</w:t>
            </w:r>
            <w:r w:rsidR="00D179F1" w:rsidRPr="00A23740">
              <w:rPr>
                <w:rFonts w:eastAsia="Times New Roman"/>
                <w:bCs/>
                <w:szCs w:val="24"/>
                <w:lang w:eastAsia="tr-TR"/>
              </w:rPr>
              <w:t xml:space="preserve"> paraya </w:t>
            </w:r>
            <w:r w:rsidR="00D179F1" w:rsidRPr="00A23740">
              <w:rPr>
                <w:rFonts w:eastAsia="Times New Roman"/>
                <w:bCs/>
                <w:szCs w:val="24"/>
                <w:lang w:val="x-none" w:eastAsia="tr-TR"/>
              </w:rPr>
              <w:t>çevrileceği gösterilmeyen</w:t>
            </w:r>
            <w:r w:rsidR="00D179F1" w:rsidRPr="00A23740">
              <w:rPr>
                <w:rFonts w:eastAsia="Times New Roman"/>
                <w:bCs/>
                <w:szCs w:val="24"/>
                <w:lang w:eastAsia="tr-TR"/>
              </w:rPr>
              <w:t xml:space="preserve"> mal ya da hakların </w:t>
            </w:r>
            <w:r w:rsidR="00D179F1" w:rsidRPr="00A23740">
              <w:rPr>
                <w:rFonts w:eastAsia="Times New Roman"/>
                <w:bCs/>
                <w:szCs w:val="24"/>
                <w:lang w:val="x-none" w:eastAsia="tr-TR"/>
              </w:rPr>
              <w:t>paraya çevrilmesi</w:t>
            </w:r>
            <w:r w:rsidR="00D179F1" w:rsidRPr="00A23740">
              <w:rPr>
                <w:rFonts w:eastAsia="Times New Roman"/>
                <w:bCs/>
                <w:szCs w:val="24"/>
                <w:lang w:eastAsia="tr-TR"/>
              </w:rPr>
              <w:t>ne ilişkin esaslar düzenlenmektedir.</w:t>
            </w:r>
            <w:r w:rsidR="007A4173" w:rsidRPr="00A23740">
              <w:rPr>
                <w:rFonts w:eastAsia="Times New Roman"/>
                <w:bCs/>
                <w:szCs w:val="24"/>
                <w:lang w:eastAsia="tr-TR"/>
              </w:rPr>
              <w:t xml:space="preserve"> Madde, 2004 s</w:t>
            </w:r>
            <w:r w:rsidR="00FA34CB" w:rsidRPr="00A23740">
              <w:rPr>
                <w:rFonts w:eastAsia="Times New Roman"/>
                <w:bCs/>
                <w:szCs w:val="24"/>
                <w:lang w:eastAsia="tr-TR"/>
              </w:rPr>
              <w:t>ayılı Kanunun 121 inci</w:t>
            </w:r>
            <w:r w:rsidR="00D179F1" w:rsidRPr="00A23740">
              <w:rPr>
                <w:rFonts w:eastAsia="Times New Roman"/>
                <w:bCs/>
                <w:szCs w:val="24"/>
                <w:lang w:eastAsia="tr-TR"/>
              </w:rPr>
              <w:t xml:space="preserve"> maddesin</w:t>
            </w:r>
            <w:r w:rsidR="0068242A" w:rsidRPr="00A23740">
              <w:rPr>
                <w:rFonts w:eastAsia="Times New Roman"/>
                <w:bCs/>
                <w:szCs w:val="24"/>
                <w:lang w:eastAsia="tr-TR"/>
              </w:rPr>
              <w:t xml:space="preserve">e kısmen karşılık gelmektedir. </w:t>
            </w:r>
          </w:p>
          <w:p w:rsidR="00D179F1" w:rsidRPr="00A23740" w:rsidRDefault="00D179F1" w:rsidP="009431FF">
            <w:pPr>
              <w:ind w:firstLine="709"/>
              <w:rPr>
                <w:rFonts w:eastAsia="Times New Roman"/>
                <w:bCs/>
                <w:szCs w:val="24"/>
                <w:lang w:eastAsia="tr-TR"/>
              </w:rPr>
            </w:pPr>
            <w:r w:rsidRPr="00A23740">
              <w:rPr>
                <w:rFonts w:eastAsia="Times New Roman"/>
                <w:bCs/>
                <w:szCs w:val="24"/>
                <w:lang w:eastAsia="tr-TR"/>
              </w:rPr>
              <w:t>Maddenin birinci fıkrasında, k</w:t>
            </w:r>
            <w:r w:rsidRPr="00A23740">
              <w:rPr>
                <w:rFonts w:eastAsia="Times New Roman"/>
                <w:bCs/>
                <w:szCs w:val="24"/>
                <w:lang w:val="x-none" w:eastAsia="tr-TR"/>
              </w:rPr>
              <w:t>anunda ne şekilde</w:t>
            </w:r>
            <w:r w:rsidRPr="00A23740">
              <w:rPr>
                <w:rFonts w:eastAsia="Times New Roman"/>
                <w:bCs/>
                <w:szCs w:val="24"/>
                <w:lang w:eastAsia="tr-TR"/>
              </w:rPr>
              <w:t xml:space="preserve"> paraya </w:t>
            </w:r>
            <w:r w:rsidRPr="00A23740">
              <w:rPr>
                <w:rFonts w:eastAsia="Times New Roman"/>
                <w:bCs/>
                <w:szCs w:val="24"/>
                <w:lang w:val="x-none" w:eastAsia="tr-TR"/>
              </w:rPr>
              <w:t>çevrileceği gösterilmeyen</w:t>
            </w:r>
            <w:r w:rsidRPr="00A23740">
              <w:rPr>
                <w:rFonts w:eastAsia="Times New Roman"/>
                <w:bCs/>
                <w:szCs w:val="24"/>
                <w:lang w:eastAsia="tr-TR"/>
              </w:rPr>
              <w:t xml:space="preserve"> mal ya da hakların </w:t>
            </w:r>
            <w:r w:rsidR="007A4173" w:rsidRPr="00D60C1D">
              <w:rPr>
                <w:rStyle w:val="Balk1Char"/>
                <w:rFonts w:eastAsia="Calibri"/>
                <w:b w:val="0"/>
                <w:color w:val="000000"/>
              </w:rPr>
              <w:t>(örneğin intifa haklarının)</w:t>
            </w:r>
            <w:r w:rsidR="007A4173" w:rsidRPr="00A23740">
              <w:rPr>
                <w:rFonts w:eastAsia="Times New Roman"/>
                <w:bCs/>
                <w:szCs w:val="24"/>
                <w:lang w:eastAsia="tr-TR"/>
              </w:rPr>
              <w:t xml:space="preserve"> </w:t>
            </w:r>
            <w:r w:rsidRPr="00A23740">
              <w:rPr>
                <w:rFonts w:eastAsia="Times New Roman"/>
                <w:bCs/>
                <w:szCs w:val="24"/>
                <w:lang w:val="x-none" w:eastAsia="tr-TR"/>
              </w:rPr>
              <w:t>paraya çevrilmesi</w:t>
            </w:r>
            <w:r w:rsidRPr="00A23740">
              <w:rPr>
                <w:rFonts w:eastAsia="Times New Roman"/>
                <w:bCs/>
                <w:szCs w:val="24"/>
                <w:lang w:eastAsia="tr-TR"/>
              </w:rPr>
              <w:t xml:space="preserve">nin söz konusu olması durumunda, icra </w:t>
            </w:r>
            <w:r w:rsidRPr="00A23740">
              <w:rPr>
                <w:rFonts w:eastAsia="Times New Roman"/>
                <w:bCs/>
                <w:szCs w:val="24"/>
                <w:lang w:val="x-none" w:eastAsia="tr-TR"/>
              </w:rPr>
              <w:t>ve iflas dairesi</w:t>
            </w:r>
            <w:r w:rsidRPr="00A23740">
              <w:rPr>
                <w:rFonts w:eastAsia="Times New Roman"/>
                <w:bCs/>
                <w:szCs w:val="24"/>
                <w:lang w:eastAsia="tr-TR"/>
              </w:rPr>
              <w:t xml:space="preserve">nin, </w:t>
            </w:r>
            <w:r w:rsidRPr="00A23740">
              <w:rPr>
                <w:rFonts w:eastAsia="Times New Roman"/>
                <w:bCs/>
                <w:szCs w:val="24"/>
                <w:lang w:val="x-none" w:eastAsia="tr-TR"/>
              </w:rPr>
              <w:t>paraya çevirmenin</w:t>
            </w:r>
            <w:r w:rsidRPr="00A23740">
              <w:rPr>
                <w:rFonts w:eastAsia="Times New Roman"/>
                <w:bCs/>
                <w:szCs w:val="24"/>
                <w:lang w:eastAsia="tr-TR"/>
              </w:rPr>
              <w:t xml:space="preserve"> nasıl yapılacağını icra </w:t>
            </w:r>
            <w:r w:rsidRPr="00A23740">
              <w:rPr>
                <w:rFonts w:eastAsia="Times New Roman"/>
                <w:bCs/>
                <w:szCs w:val="24"/>
                <w:lang w:val="x-none" w:eastAsia="tr-TR"/>
              </w:rPr>
              <w:t>hukuk</w:t>
            </w:r>
            <w:r w:rsidRPr="00A23740">
              <w:rPr>
                <w:rFonts w:eastAsia="Times New Roman"/>
                <w:bCs/>
                <w:szCs w:val="24"/>
                <w:lang w:eastAsia="tr-TR"/>
              </w:rPr>
              <w:t xml:space="preserve"> mahke</w:t>
            </w:r>
            <w:r w:rsidR="0068242A" w:rsidRPr="00A23740">
              <w:rPr>
                <w:rFonts w:eastAsia="Times New Roman"/>
                <w:bCs/>
                <w:szCs w:val="24"/>
                <w:lang w:eastAsia="tr-TR"/>
              </w:rPr>
              <w:t>mesine soracağı düzenlenmiştir.</w:t>
            </w:r>
          </w:p>
          <w:p w:rsidR="00D25904" w:rsidRPr="00A23740" w:rsidRDefault="00D179F1" w:rsidP="005C601A">
            <w:pPr>
              <w:ind w:firstLine="709"/>
              <w:rPr>
                <w:rFonts w:eastAsia="Times New Roman"/>
                <w:b/>
                <w:szCs w:val="24"/>
                <w:lang w:eastAsia="tr-TR"/>
              </w:rPr>
            </w:pPr>
            <w:r w:rsidRPr="00A23740">
              <w:rPr>
                <w:rFonts w:eastAsia="Times New Roman"/>
                <w:bCs/>
                <w:szCs w:val="24"/>
                <w:lang w:eastAsia="tr-TR"/>
              </w:rPr>
              <w:t xml:space="preserve">Maddenin ikinci fıkrası uyarınca icra </w:t>
            </w:r>
            <w:r w:rsidRPr="00A23740">
              <w:rPr>
                <w:rFonts w:eastAsia="Times New Roman"/>
                <w:bCs/>
                <w:szCs w:val="24"/>
                <w:lang w:val="x-none" w:eastAsia="tr-TR"/>
              </w:rPr>
              <w:t>hukuk</w:t>
            </w:r>
            <w:r w:rsidRPr="00A23740">
              <w:rPr>
                <w:rFonts w:eastAsia="Times New Roman"/>
                <w:bCs/>
                <w:szCs w:val="24"/>
                <w:lang w:eastAsia="tr-TR"/>
              </w:rPr>
              <w:t xml:space="preserve"> mahkemesi, yerleşim yerleri bilinen ilgilileri davet ve gelenleri dinledikten sonra açık artırma yaptırabileceği gibi satış için bir </w:t>
            </w:r>
            <w:r w:rsidRPr="00A23740">
              <w:rPr>
                <w:rFonts w:eastAsia="Times New Roman"/>
                <w:bCs/>
                <w:szCs w:val="24"/>
                <w:lang w:val="x-none" w:eastAsia="tr-TR"/>
              </w:rPr>
              <w:t>görevli de</w:t>
            </w:r>
            <w:r w:rsidRPr="00A23740">
              <w:rPr>
                <w:rFonts w:eastAsia="Times New Roman"/>
                <w:bCs/>
                <w:szCs w:val="24"/>
                <w:lang w:eastAsia="tr-TR"/>
              </w:rPr>
              <w:t xml:space="preserve"> tayin edebilecek veya gereken diğer tedbirleri alabilecektir.</w:t>
            </w:r>
            <w:r w:rsidR="007A4173" w:rsidRPr="00A23740">
              <w:rPr>
                <w:rFonts w:eastAsia="Times New Roman"/>
                <w:bCs/>
                <w:szCs w:val="24"/>
                <w:lang w:eastAsia="tr-TR"/>
              </w:rPr>
              <w:t xml:space="preserve"> Maddenin ikinci fıkrası, 2004 s</w:t>
            </w:r>
            <w:r w:rsidRPr="00A23740">
              <w:rPr>
                <w:rFonts w:eastAsia="Times New Roman"/>
                <w:bCs/>
                <w:szCs w:val="24"/>
                <w:lang w:eastAsia="tr-TR"/>
              </w:rPr>
              <w:t>ayılı Kanunun 121</w:t>
            </w:r>
            <w:r w:rsidR="007A54DC" w:rsidRPr="00A23740">
              <w:rPr>
                <w:rFonts w:eastAsia="Times New Roman"/>
                <w:bCs/>
                <w:szCs w:val="24"/>
                <w:lang w:eastAsia="tr-TR"/>
              </w:rPr>
              <w:t xml:space="preserve"> i</w:t>
            </w:r>
            <w:r w:rsidRPr="00A23740">
              <w:rPr>
                <w:rFonts w:eastAsia="Times New Roman"/>
                <w:bCs/>
                <w:szCs w:val="24"/>
                <w:lang w:eastAsia="tr-TR"/>
              </w:rPr>
              <w:t xml:space="preserve">nci maddesinin ikinci fıkrasına karşılık gelmektedir. </w:t>
            </w:r>
            <w:r w:rsidR="00D25904" w:rsidRPr="00A23740">
              <w:rPr>
                <w:rFonts w:eastAsia="Times New Roman"/>
                <w:b/>
                <w:szCs w:val="24"/>
                <w:lang w:eastAsia="tr-TR"/>
              </w:rPr>
              <w:t xml:space="preserve"> </w:t>
            </w:r>
          </w:p>
          <w:p w:rsidR="00D25904" w:rsidRPr="00A23740" w:rsidRDefault="00D25904" w:rsidP="009431FF">
            <w:pPr>
              <w:tabs>
                <w:tab w:val="left" w:pos="567"/>
              </w:tabs>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66021D" w:rsidRPr="00A23740" w:rsidRDefault="0066021D" w:rsidP="005C601A">
            <w:pPr>
              <w:pStyle w:val="KIRMIZI"/>
              <w:widowControl w:val="0"/>
            </w:pPr>
          </w:p>
          <w:p w:rsidR="0066021D" w:rsidRPr="00A23740" w:rsidRDefault="0066021D" w:rsidP="005C601A">
            <w:pPr>
              <w:pStyle w:val="KIRMIZI"/>
              <w:widowControl w:val="0"/>
            </w:pPr>
          </w:p>
          <w:p w:rsidR="0072771C" w:rsidRPr="00A23740" w:rsidRDefault="0072771C" w:rsidP="005C601A">
            <w:pPr>
              <w:pStyle w:val="KIRMIZI"/>
              <w:widowControl w:val="0"/>
            </w:pPr>
          </w:p>
          <w:p w:rsidR="0072771C" w:rsidRPr="00A23740" w:rsidRDefault="0072771C" w:rsidP="005C601A">
            <w:pPr>
              <w:pStyle w:val="KIRMIZI"/>
              <w:widowControl w:val="0"/>
            </w:pPr>
          </w:p>
          <w:p w:rsidR="0072771C" w:rsidRPr="00A23740" w:rsidRDefault="0072771C" w:rsidP="005C601A">
            <w:pPr>
              <w:pStyle w:val="KIRMIZI"/>
              <w:widowControl w:val="0"/>
            </w:pPr>
          </w:p>
          <w:p w:rsidR="0066021D" w:rsidRPr="00A23740" w:rsidRDefault="0066021D" w:rsidP="005C601A">
            <w:pPr>
              <w:pStyle w:val="KIRMIZI"/>
              <w:widowControl w:val="0"/>
            </w:pPr>
          </w:p>
          <w:p w:rsidR="0066021D" w:rsidRPr="00A23740" w:rsidRDefault="0066021D" w:rsidP="005C601A">
            <w:pPr>
              <w:widowControl w:val="0"/>
              <w:rPr>
                <w:b/>
                <w:bCs/>
                <w:strike/>
                <w:color w:val="FF0000"/>
                <w:szCs w:val="24"/>
                <w:lang w:val="x-none" w:eastAsia="x-none"/>
              </w:rPr>
            </w:pPr>
            <w:r w:rsidRPr="00A23740">
              <w:rPr>
                <w:b/>
                <w:bCs/>
                <w:strike/>
                <w:color w:val="FF0000"/>
                <w:szCs w:val="24"/>
                <w:lang w:val="x-none" w:eastAsia="x-none"/>
              </w:rPr>
              <w:t>Elektronik ortamda açık artırma suretiyle satış:</w:t>
            </w:r>
          </w:p>
          <w:p w:rsidR="0066021D" w:rsidRPr="00A23740" w:rsidRDefault="0066021D" w:rsidP="005C601A">
            <w:pPr>
              <w:widowControl w:val="0"/>
              <w:rPr>
                <w:b/>
                <w:bCs/>
                <w:strike/>
                <w:color w:val="FF0000"/>
                <w:szCs w:val="24"/>
                <w:lang w:val="x-none" w:eastAsia="x-none"/>
              </w:rPr>
            </w:pPr>
            <w:r w:rsidRPr="00A23740">
              <w:rPr>
                <w:b/>
                <w:szCs w:val="24"/>
                <w:lang w:eastAsia="tr-TR"/>
              </w:rPr>
              <w:t xml:space="preserve">MADDE </w:t>
            </w:r>
            <w:r w:rsidRPr="00A23740">
              <w:rPr>
                <w:b/>
                <w:bCs/>
                <w:strike/>
                <w:color w:val="FF0000"/>
                <w:szCs w:val="24"/>
                <w:lang w:val="x-none" w:eastAsia="x-none"/>
              </w:rPr>
              <w:t xml:space="preserve">111/b- (Ek:24/11/2021-7343/13 md.) </w:t>
            </w:r>
          </w:p>
          <w:p w:rsidR="0066021D" w:rsidRPr="00A23740" w:rsidRDefault="0066021D" w:rsidP="005C601A">
            <w:pPr>
              <w:widowControl w:val="0"/>
              <w:rPr>
                <w:szCs w:val="24"/>
                <w:lang w:eastAsia="tr-TR"/>
              </w:rPr>
            </w:pPr>
            <w:r w:rsidRPr="00A23740">
              <w:rPr>
                <w:b/>
                <w:bCs/>
                <w:strike/>
                <w:color w:val="FF0000"/>
                <w:szCs w:val="24"/>
                <w:lang w:val="x-none" w:eastAsia="x-none"/>
              </w:rPr>
              <w:t xml:space="preserve">(1) </w:t>
            </w:r>
            <w:r w:rsidRPr="00A23740">
              <w:rPr>
                <w:rFonts w:eastAsia="Times New Roman"/>
                <w:color w:val="000000"/>
                <w:szCs w:val="24"/>
                <w:lang w:eastAsia="tr-TR"/>
              </w:rPr>
              <w:t>Haczolunan</w:t>
            </w:r>
            <w:r w:rsidRPr="00A23740">
              <w:rPr>
                <w:b/>
                <w:bCs/>
                <w:strike/>
                <w:color w:val="FF0000"/>
                <w:szCs w:val="24"/>
                <w:lang w:val="x-none" w:eastAsia="x-none"/>
              </w:rPr>
              <w:t xml:space="preserve"> malın </w:t>
            </w:r>
            <w:r w:rsidRPr="00A23740">
              <w:rPr>
                <w:rFonts w:eastAsia="Times New Roman"/>
                <w:color w:val="000000"/>
                <w:szCs w:val="24"/>
                <w:lang w:eastAsia="tr-TR"/>
              </w:rPr>
              <w:t>satışı,</w:t>
            </w:r>
            <w:r w:rsidRPr="00A23740">
              <w:rPr>
                <w:b/>
                <w:bCs/>
                <w:color w:val="FF0000"/>
                <w:szCs w:val="24"/>
                <w:lang w:val="x-none" w:eastAsia="x-none"/>
              </w:rPr>
              <w:t xml:space="preserve"> </w:t>
            </w:r>
            <w:r w:rsidRPr="00A23740">
              <w:rPr>
                <w:b/>
                <w:bCs/>
                <w:strike/>
                <w:color w:val="FF0000"/>
                <w:szCs w:val="24"/>
                <w:lang w:val="x-none" w:eastAsia="x-none"/>
              </w:rPr>
              <w:t xml:space="preserve">Ulusal Yargı Ağı Bilişim Sistemine </w:t>
            </w:r>
            <w:r w:rsidRPr="00A23740">
              <w:rPr>
                <w:rFonts w:eastAsia="Times New Roman"/>
                <w:color w:val="000000"/>
                <w:szCs w:val="24"/>
                <w:lang w:eastAsia="tr-TR"/>
              </w:rPr>
              <w:t>entegre elektronik satış portalında açık artırma suretiyle yapılır.</w:t>
            </w:r>
          </w:p>
          <w:p w:rsidR="0066021D" w:rsidRPr="00A23740" w:rsidRDefault="0066021D" w:rsidP="005C601A">
            <w:pPr>
              <w:pStyle w:val="KIRMIZI"/>
              <w:widowControl w:val="0"/>
              <w:rPr>
                <w:lang w:val="tr-TR"/>
              </w:rPr>
            </w:pPr>
          </w:p>
          <w:p w:rsidR="00AA5C8C" w:rsidRPr="00A23740" w:rsidRDefault="00AA5C8C" w:rsidP="005C601A">
            <w:pPr>
              <w:pStyle w:val="Mavi"/>
              <w:widowControl w:val="0"/>
              <w:jc w:val="center"/>
              <w:rPr>
                <w:rFonts w:eastAsia="Times New Roman"/>
                <w:b w:val="0"/>
                <w:bCs w:val="0"/>
                <w:color w:val="auto"/>
                <w:lang w:val="tr-TR" w:eastAsia="tr-TR"/>
              </w:rPr>
            </w:pPr>
          </w:p>
        </w:tc>
        <w:tc>
          <w:tcPr>
            <w:tcW w:w="2500" w:type="pct"/>
          </w:tcPr>
          <w:p w:rsidR="00AA5C8C" w:rsidRPr="00A23740" w:rsidRDefault="00AA5C8C" w:rsidP="005C601A">
            <w:pPr>
              <w:widowControl w:val="0"/>
              <w:jc w:val="center"/>
              <w:rPr>
                <w:rFonts w:eastAsia="Times New Roman"/>
                <w:b/>
                <w:color w:val="0000FF"/>
                <w:szCs w:val="24"/>
                <w:lang w:eastAsia="tr-TR"/>
              </w:rPr>
            </w:pPr>
            <w:r w:rsidRPr="00A23740">
              <w:rPr>
                <w:rFonts w:eastAsia="Times New Roman"/>
                <w:b/>
                <w:color w:val="0000FF"/>
                <w:szCs w:val="24"/>
                <w:lang w:eastAsia="tr-TR"/>
              </w:rPr>
              <w:t>İKİNCİ AYRIM</w:t>
            </w:r>
          </w:p>
          <w:p w:rsidR="00AA5C8C" w:rsidRPr="00A23740" w:rsidRDefault="00AA5C8C" w:rsidP="005C601A">
            <w:pPr>
              <w:widowControl w:val="0"/>
              <w:jc w:val="center"/>
              <w:rPr>
                <w:rFonts w:eastAsia="Times New Roman"/>
                <w:b/>
                <w:color w:val="0000FF"/>
                <w:szCs w:val="24"/>
                <w:lang w:eastAsia="tr-TR"/>
              </w:rPr>
            </w:pPr>
            <w:r w:rsidRPr="00A23740">
              <w:rPr>
                <w:rFonts w:eastAsia="Times New Roman"/>
                <w:b/>
                <w:color w:val="0000FF"/>
                <w:szCs w:val="24"/>
                <w:lang w:eastAsia="tr-TR"/>
              </w:rPr>
              <w:t>Satış Suretiyle Paraya Çevirme Biçimleri</w:t>
            </w:r>
          </w:p>
          <w:p w:rsidR="0072771C" w:rsidRPr="00A23740" w:rsidRDefault="0072771C" w:rsidP="005C601A">
            <w:pPr>
              <w:widowControl w:val="0"/>
              <w:jc w:val="center"/>
              <w:rPr>
                <w:rFonts w:eastAsia="Times New Roman"/>
                <w:b/>
                <w:color w:val="0000FF"/>
                <w:szCs w:val="24"/>
                <w:lang w:eastAsia="tr-TR"/>
              </w:rPr>
            </w:pPr>
          </w:p>
          <w:p w:rsidR="0072771C" w:rsidRPr="00A23740" w:rsidRDefault="0072771C" w:rsidP="005C601A">
            <w:pPr>
              <w:widowControl w:val="0"/>
              <w:jc w:val="center"/>
              <w:rPr>
                <w:rFonts w:eastAsia="Times New Roman"/>
                <w:b/>
                <w:color w:val="0000FF"/>
                <w:szCs w:val="24"/>
                <w:lang w:eastAsia="tr-TR"/>
              </w:rPr>
            </w:pPr>
            <w:r w:rsidRPr="00A23740">
              <w:rPr>
                <w:rFonts w:eastAsia="Times New Roman"/>
                <w:b/>
                <w:color w:val="0000FF"/>
                <w:szCs w:val="24"/>
                <w:lang w:eastAsia="tr-TR"/>
              </w:rPr>
              <w:t xml:space="preserve">BİRİNCİ ALT AYRIM </w:t>
            </w:r>
          </w:p>
          <w:p w:rsidR="0072771C" w:rsidRPr="00A23740" w:rsidRDefault="0072771C" w:rsidP="005C601A">
            <w:pPr>
              <w:pStyle w:val="Mavi"/>
              <w:widowControl w:val="0"/>
              <w:jc w:val="center"/>
              <w:rPr>
                <w:rStyle w:val="KIRMIZIChar"/>
                <w:rFonts w:eastAsia="Calibri"/>
                <w:b/>
                <w:bCs/>
                <w:strike w:val="0"/>
                <w:color w:val="0000FF"/>
              </w:rPr>
            </w:pPr>
            <w:r w:rsidRPr="00A23740">
              <w:rPr>
                <w:rStyle w:val="KIRMIZIChar"/>
                <w:rFonts w:eastAsia="Calibri"/>
                <w:b/>
                <w:bCs/>
                <w:strike w:val="0"/>
                <w:color w:val="0000FF"/>
              </w:rPr>
              <w:t>Paraya Çevirme Biçimleri</w:t>
            </w:r>
          </w:p>
          <w:p w:rsidR="0072771C" w:rsidRPr="00A23740" w:rsidRDefault="0072771C" w:rsidP="005C601A">
            <w:pPr>
              <w:widowControl w:val="0"/>
              <w:jc w:val="center"/>
              <w:rPr>
                <w:rFonts w:eastAsia="Times New Roman"/>
                <w:b/>
                <w:color w:val="0000FF"/>
                <w:szCs w:val="24"/>
                <w:lang w:eastAsia="tr-TR"/>
              </w:rPr>
            </w:pPr>
          </w:p>
          <w:p w:rsidR="0072771C" w:rsidRPr="00A23740" w:rsidRDefault="0072771C" w:rsidP="005C601A">
            <w:pPr>
              <w:widowControl w:val="0"/>
              <w:jc w:val="center"/>
              <w:rPr>
                <w:rFonts w:eastAsia="Times New Roman"/>
                <w:b/>
                <w:color w:val="0000FF"/>
                <w:szCs w:val="24"/>
                <w:lang w:eastAsia="tr-TR"/>
              </w:rPr>
            </w:pPr>
          </w:p>
          <w:p w:rsidR="00AA5C8C" w:rsidRPr="00A23740" w:rsidRDefault="00286FDE" w:rsidP="005C601A">
            <w:pPr>
              <w:pStyle w:val="KIRMIZI"/>
              <w:widowControl w:val="0"/>
              <w:rPr>
                <w:lang w:val="tr-TR"/>
              </w:rPr>
            </w:pPr>
            <w:r w:rsidRPr="00A23740">
              <w:rPr>
                <w:rStyle w:val="MaviChar"/>
                <w:b/>
                <w:strike w:val="0"/>
              </w:rPr>
              <w:t>Satış türleri</w:t>
            </w:r>
          </w:p>
          <w:p w:rsidR="00AA5C8C" w:rsidRPr="00A23740" w:rsidRDefault="00AA5C8C" w:rsidP="005C601A">
            <w:pPr>
              <w:pStyle w:val="Mavi"/>
              <w:widowControl w:val="0"/>
            </w:pPr>
            <w:r w:rsidRPr="00A23740">
              <w:t xml:space="preserve">MADDE </w:t>
            </w:r>
            <w:r w:rsidR="0025794C" w:rsidRPr="00A23740">
              <w:rPr>
                <w:lang w:val="tr-TR"/>
              </w:rPr>
              <w:t>212</w:t>
            </w:r>
            <w:r w:rsidRPr="00A23740">
              <w:t xml:space="preserve">- (1) </w:t>
            </w:r>
            <w:r w:rsidRPr="00A23740">
              <w:rPr>
                <w:rFonts w:eastAsia="Times New Roman"/>
                <w:b w:val="0"/>
                <w:bCs w:val="0"/>
                <w:color w:val="000000"/>
                <w:lang w:val="tr-TR" w:eastAsia="tr-TR"/>
              </w:rPr>
              <w:t xml:space="preserve">Haczolunan </w:t>
            </w:r>
            <w:r w:rsidRPr="00A23740">
              <w:t xml:space="preserve">mal veya hakkın </w:t>
            </w:r>
            <w:r w:rsidRPr="00A23740">
              <w:rPr>
                <w:rFonts w:eastAsia="Times New Roman"/>
                <w:b w:val="0"/>
                <w:bCs w:val="0"/>
                <w:color w:val="000000"/>
                <w:lang w:val="tr-TR" w:eastAsia="tr-TR"/>
              </w:rPr>
              <w:t>satışı</w:t>
            </w:r>
            <w:r w:rsidR="00243E6A" w:rsidRPr="00A23740">
              <w:rPr>
                <w:rFonts w:eastAsia="Times New Roman"/>
                <w:b w:val="0"/>
                <w:bCs w:val="0"/>
                <w:color w:val="000000"/>
                <w:lang w:val="tr-TR" w:eastAsia="tr-TR"/>
              </w:rPr>
              <w:t>,</w:t>
            </w:r>
            <w:r w:rsidRPr="00A23740">
              <w:t xml:space="preserve"> UYAP’a </w:t>
            </w:r>
            <w:r w:rsidRPr="00A23740">
              <w:rPr>
                <w:rFonts w:eastAsia="Times New Roman"/>
                <w:b w:val="0"/>
                <w:bCs w:val="0"/>
                <w:color w:val="000000"/>
                <w:lang w:val="tr-TR" w:eastAsia="tr-TR"/>
              </w:rPr>
              <w:t>entegre elektronik satış portalında açık artırma suretiyle yapılır.</w:t>
            </w:r>
          </w:p>
          <w:p w:rsidR="00AA5C8C" w:rsidRPr="00A23740" w:rsidRDefault="00AA5C8C" w:rsidP="005C601A">
            <w:pPr>
              <w:pStyle w:val="Mavi"/>
              <w:widowControl w:val="0"/>
            </w:pPr>
          </w:p>
          <w:p w:rsidR="005B281A" w:rsidRPr="00A23740" w:rsidRDefault="005B281A" w:rsidP="005C601A">
            <w:pPr>
              <w:pStyle w:val="Mavi"/>
              <w:widowControl w:val="0"/>
            </w:pPr>
            <w:r w:rsidRPr="00A23740">
              <w:rPr>
                <w:lang w:val="tr-TR"/>
              </w:rPr>
              <w:t xml:space="preserve">(2) </w:t>
            </w:r>
            <w:r w:rsidRPr="00A23740">
              <w:t>Haczolunan mal</w:t>
            </w:r>
            <w:r w:rsidRPr="00A23740">
              <w:rPr>
                <w:lang w:val="tr-TR"/>
              </w:rPr>
              <w:t xml:space="preserve">ın satışı, borçluya rızaen satış yetkisi verilmesi </w:t>
            </w:r>
            <w:r w:rsidRPr="00A23740">
              <w:t>suretiyle yapılır.</w:t>
            </w:r>
          </w:p>
          <w:p w:rsidR="005B281A" w:rsidRPr="00A23740" w:rsidRDefault="005B281A" w:rsidP="005C601A">
            <w:pPr>
              <w:pStyle w:val="Mavi"/>
              <w:widowControl w:val="0"/>
            </w:pPr>
          </w:p>
          <w:p w:rsidR="00AA5C8C" w:rsidRPr="00A23740" w:rsidRDefault="00AA5C8C" w:rsidP="005C601A">
            <w:pPr>
              <w:pStyle w:val="Mavi"/>
              <w:widowControl w:val="0"/>
            </w:pPr>
            <w:r w:rsidRPr="00A23740">
              <w:t>(</w:t>
            </w:r>
            <w:r w:rsidR="005B281A" w:rsidRPr="00A23740">
              <w:rPr>
                <w:lang w:val="tr-TR"/>
              </w:rPr>
              <w:t>3</w:t>
            </w:r>
            <w:r w:rsidRPr="00A23740">
              <w:t xml:space="preserve">) </w:t>
            </w:r>
            <w:r w:rsidR="00E328D2" w:rsidRPr="00A23740">
              <w:t>Haczolunan</w:t>
            </w:r>
            <w:r w:rsidR="00E328D2" w:rsidRPr="00A23740">
              <w:rPr>
                <w:lang w:val="tr-TR"/>
              </w:rPr>
              <w:t xml:space="preserve"> t</w:t>
            </w:r>
            <w:r w:rsidR="005B281A" w:rsidRPr="00A23740">
              <w:rPr>
                <w:lang w:val="tr-TR"/>
              </w:rPr>
              <w:t xml:space="preserve">aşınırın satışı, </w:t>
            </w:r>
            <w:r w:rsidRPr="00A23740">
              <w:t>pazarlık suretiyle de yapılabilir.</w:t>
            </w:r>
          </w:p>
          <w:p w:rsidR="00AA5C8C" w:rsidRPr="00A23740" w:rsidRDefault="00AA5C8C" w:rsidP="005C601A">
            <w:pPr>
              <w:widowControl w:val="0"/>
              <w:rPr>
                <w:lang w:eastAsia="x-none"/>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5C601A" w:rsidRPr="00A23740" w:rsidRDefault="009A2F56"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212</w:t>
            </w:r>
            <w:r w:rsidR="006203E7" w:rsidRPr="00A23740">
              <w:rPr>
                <w:rFonts w:eastAsia="Times New Roman"/>
                <w:color w:val="000000"/>
                <w:szCs w:val="24"/>
                <w:lang w:eastAsia="tr-TR"/>
              </w:rPr>
              <w:t xml:space="preserve">- Maddeyle, paraya çevirme biçimleri </w:t>
            </w:r>
            <w:r w:rsidR="00C833D3" w:rsidRPr="00A23740">
              <w:rPr>
                <w:rFonts w:eastAsia="Times New Roman"/>
                <w:color w:val="000000"/>
                <w:szCs w:val="24"/>
                <w:lang w:eastAsia="tr-TR"/>
              </w:rPr>
              <w:t>belirlenmektedir</w:t>
            </w:r>
            <w:r w:rsidR="006203E7" w:rsidRPr="00A23740">
              <w:rPr>
                <w:rFonts w:eastAsia="Times New Roman"/>
                <w:color w:val="000000"/>
                <w:szCs w:val="24"/>
                <w:lang w:eastAsia="tr-TR"/>
              </w:rPr>
              <w:t>.</w:t>
            </w:r>
            <w:r w:rsidR="00D25904" w:rsidRPr="00A23740">
              <w:rPr>
                <w:rFonts w:eastAsia="Times New Roman"/>
                <w:color w:val="000000"/>
                <w:szCs w:val="24"/>
                <w:lang w:eastAsia="tr-TR"/>
              </w:rPr>
              <w:t xml:space="preserve"> Hüküm, 2004 sayılı Kanunun 111/b maddesinin birinci fıkrasına kar</w:t>
            </w:r>
            <w:r w:rsidR="00B0428A" w:rsidRPr="00A23740">
              <w:rPr>
                <w:rFonts w:eastAsia="Times New Roman"/>
                <w:color w:val="000000"/>
                <w:szCs w:val="24"/>
                <w:lang w:eastAsia="tr-TR"/>
              </w:rPr>
              <w:t>şılık gelmektedir.</w:t>
            </w:r>
          </w:p>
          <w:p w:rsidR="006203E7" w:rsidRPr="00A23740" w:rsidRDefault="006203E7" w:rsidP="009431FF">
            <w:pPr>
              <w:ind w:firstLine="709"/>
              <w:rPr>
                <w:rFonts w:eastAsia="Times New Roman"/>
                <w:bCs/>
                <w:color w:val="000000"/>
                <w:lang w:eastAsia="tr-TR"/>
              </w:rPr>
            </w:pPr>
            <w:r w:rsidRPr="00A23740">
              <w:t xml:space="preserve">Birinci fıkrada, haczolunan mal veya hakkın satışının UYAP’a entegre elektronik satış portalında </w:t>
            </w:r>
            <w:r w:rsidRPr="00A23740">
              <w:rPr>
                <w:rFonts w:eastAsia="Times New Roman"/>
                <w:color w:val="000000"/>
                <w:szCs w:val="24"/>
                <w:lang w:eastAsia="tr-TR"/>
              </w:rPr>
              <w:t>açık artırma suretiyle yapıl</w:t>
            </w:r>
            <w:r w:rsidR="00C833D3" w:rsidRPr="00A23740">
              <w:rPr>
                <w:rFonts w:eastAsia="Times New Roman"/>
                <w:color w:val="000000"/>
                <w:szCs w:val="24"/>
                <w:lang w:eastAsia="tr-TR"/>
              </w:rPr>
              <w:t>ması öngörülmektedir.</w:t>
            </w:r>
            <w:r w:rsidR="00BC1F0A" w:rsidRPr="00A23740">
              <w:rPr>
                <w:rFonts w:eastAsia="Times New Roman"/>
                <w:color w:val="000000"/>
                <w:szCs w:val="24"/>
                <w:lang w:eastAsia="tr-TR"/>
              </w:rPr>
              <w:t xml:space="preserve"> B</w:t>
            </w:r>
            <w:r w:rsidR="0066021D" w:rsidRPr="00A23740">
              <w:rPr>
                <w:rFonts w:eastAsia="Times New Roman"/>
                <w:color w:val="000000"/>
                <w:szCs w:val="24"/>
                <w:lang w:eastAsia="tr-TR"/>
              </w:rPr>
              <w:t>u hüküm, 2004 sayılı Kanunun 111/b</w:t>
            </w:r>
            <w:r w:rsidR="00BC1F0A" w:rsidRPr="00A23740">
              <w:rPr>
                <w:rFonts w:eastAsia="Times New Roman"/>
                <w:color w:val="000000"/>
                <w:szCs w:val="24"/>
                <w:lang w:eastAsia="tr-TR"/>
              </w:rPr>
              <w:t xml:space="preserve"> maddesinin birinci fıkrasına karşılık gelmekte olup, aynen muhafaza edilmektedir.</w:t>
            </w:r>
          </w:p>
          <w:p w:rsidR="002F3C4B" w:rsidRPr="00A23740" w:rsidRDefault="002F3C4B" w:rsidP="009431FF">
            <w:pPr>
              <w:ind w:firstLine="709"/>
              <w:rPr>
                <w:rFonts w:eastAsia="Times New Roman"/>
                <w:color w:val="000000"/>
                <w:szCs w:val="24"/>
                <w:lang w:eastAsia="tr-TR"/>
              </w:rPr>
            </w:pPr>
            <w:r w:rsidRPr="00A23740">
              <w:rPr>
                <w:rFonts w:eastAsia="Times New Roman"/>
                <w:color w:val="000000"/>
                <w:szCs w:val="24"/>
                <w:lang w:eastAsia="tr-TR"/>
              </w:rPr>
              <w:t>İkinci fıkrayla, haczolunan malın satışının, borçluya rızaen satış yetkisi verilmesi suretiyle yapılması hükme bağlanmaktadır.</w:t>
            </w:r>
          </w:p>
          <w:p w:rsidR="009A2F56" w:rsidRPr="00A23740" w:rsidRDefault="005B281A" w:rsidP="009431FF">
            <w:pPr>
              <w:ind w:firstLine="709"/>
              <w:rPr>
                <w:rFonts w:eastAsia="Times New Roman"/>
                <w:color w:val="000000"/>
                <w:szCs w:val="24"/>
                <w:lang w:eastAsia="tr-TR"/>
              </w:rPr>
            </w:pPr>
            <w:r w:rsidRPr="00A23740">
              <w:rPr>
                <w:rFonts w:eastAsia="Times New Roman"/>
                <w:color w:val="000000"/>
                <w:szCs w:val="24"/>
                <w:lang w:eastAsia="tr-TR"/>
              </w:rPr>
              <w:t>Üçüncü</w:t>
            </w:r>
            <w:r w:rsidR="00243E6A" w:rsidRPr="00A23740">
              <w:rPr>
                <w:rFonts w:eastAsia="Times New Roman"/>
                <w:color w:val="000000"/>
                <w:szCs w:val="24"/>
                <w:lang w:eastAsia="tr-TR"/>
              </w:rPr>
              <w:t xml:space="preserve"> fıkrayla,</w:t>
            </w:r>
            <w:r w:rsidR="006203E7" w:rsidRPr="00A23740">
              <w:rPr>
                <w:rFonts w:eastAsia="Times New Roman"/>
                <w:color w:val="000000"/>
                <w:szCs w:val="24"/>
                <w:lang w:eastAsia="tr-TR"/>
              </w:rPr>
              <w:t xml:space="preserve"> </w:t>
            </w:r>
            <w:r w:rsidR="00E328D2" w:rsidRPr="00A23740">
              <w:rPr>
                <w:rFonts w:eastAsia="Times New Roman"/>
                <w:color w:val="000000"/>
                <w:szCs w:val="24"/>
                <w:lang w:eastAsia="tr-TR"/>
              </w:rPr>
              <w:t xml:space="preserve">haczolunan </w:t>
            </w:r>
            <w:r w:rsidRPr="00A23740">
              <w:rPr>
                <w:rFonts w:eastAsia="Times New Roman"/>
                <w:color w:val="000000"/>
                <w:szCs w:val="24"/>
                <w:lang w:eastAsia="tr-TR"/>
              </w:rPr>
              <w:t>taşınırın satışının, pazarlık suretiyle de yapılması düzenlenmektedir.</w:t>
            </w:r>
          </w:p>
          <w:p w:rsidR="009A2F56" w:rsidRPr="00A23740" w:rsidRDefault="009A2F56" w:rsidP="005C601A">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Style w:val="KIRMIZIChar"/>
                <w:rFonts w:eastAsia="Calibri"/>
              </w:rPr>
              <w:t>III.</w:t>
            </w:r>
            <w:r w:rsidRPr="00A23740">
              <w:rPr>
                <w:rFonts w:eastAsia="Times New Roman"/>
                <w:b/>
                <w:szCs w:val="24"/>
                <w:lang w:eastAsia="tr-TR"/>
              </w:rPr>
              <w:t xml:space="preserve"> PARAYA ÇEVİRME</w:t>
            </w:r>
          </w:p>
          <w:p w:rsidR="00AA5C8C" w:rsidRPr="00A23740" w:rsidRDefault="00AA5C8C" w:rsidP="009431FF">
            <w:pPr>
              <w:tabs>
                <w:tab w:val="left" w:pos="567"/>
              </w:tabs>
              <w:rPr>
                <w:rFonts w:eastAsia="Times New Roman"/>
                <w:b/>
                <w:szCs w:val="24"/>
                <w:lang w:eastAsia="tr-TR"/>
              </w:rPr>
            </w:pPr>
            <w:r w:rsidRPr="00A23740">
              <w:rPr>
                <w:rFonts w:eastAsia="Times New Roman"/>
                <w:b/>
                <w:strike/>
                <w:color w:val="FF0000"/>
                <w:szCs w:val="24"/>
                <w:lang w:eastAsia="tr-TR"/>
              </w:rPr>
              <w:t xml:space="preserve">1 </w:t>
            </w:r>
            <w:r w:rsidRPr="00A23740">
              <w:rPr>
                <w:rStyle w:val="KIRMIZIChar"/>
                <w:rFonts w:eastAsia="Calibri"/>
              </w:rPr>
              <w:t>– Satış Talebi</w:t>
            </w:r>
          </w:p>
          <w:p w:rsidR="00AA5C8C" w:rsidRPr="00A23740" w:rsidRDefault="00AA5C8C" w:rsidP="009431FF">
            <w:pPr>
              <w:pStyle w:val="KIRMIZI"/>
            </w:pPr>
            <w:r w:rsidRPr="00A23740">
              <w:t>Talep için müddetler ve giderlerin yatırılması:</w:t>
            </w:r>
          </w:p>
          <w:p w:rsidR="00AA5C8C" w:rsidRPr="00A23740" w:rsidRDefault="00AA5C8C" w:rsidP="009431FF">
            <w:pPr>
              <w:rPr>
                <w:rFonts w:eastAsia="Times New Roman"/>
                <w:b/>
                <w:szCs w:val="24"/>
                <w:lang w:eastAsia="tr-TR"/>
              </w:rPr>
            </w:pPr>
            <w:r w:rsidRPr="00A23740">
              <w:rPr>
                <w:rStyle w:val="KIRMIZIChar"/>
                <w:rFonts w:eastAsia="Calibri"/>
              </w:rPr>
              <w:t>Madde 106 – (Başlığı ile Birlikte Değişik:24/11/2021-7343/9 md.)</w:t>
            </w:r>
          </w:p>
          <w:p w:rsidR="00AA5C8C" w:rsidRPr="00A23740" w:rsidRDefault="00AA5C8C" w:rsidP="009431FF">
            <w:pPr>
              <w:rPr>
                <w:rFonts w:eastAsia="Times New Roman"/>
                <w:szCs w:val="24"/>
                <w:lang w:eastAsia="tr-TR"/>
              </w:rPr>
            </w:pPr>
            <w:r w:rsidRPr="00A23740">
              <w:rPr>
                <w:rStyle w:val="KIRMIZIChar"/>
                <w:rFonts w:eastAsia="Calibri"/>
              </w:rPr>
              <w:t>(1)</w:t>
            </w:r>
            <w:r w:rsidRPr="00A23740">
              <w:rPr>
                <w:rFonts w:eastAsia="Times New Roman"/>
                <w:szCs w:val="24"/>
                <w:lang w:eastAsia="tr-TR"/>
              </w:rPr>
              <w:t xml:space="preserve"> Alacaklı veya borçlu, </w:t>
            </w:r>
            <w:r w:rsidRPr="00A23740">
              <w:rPr>
                <w:rStyle w:val="KIRMIZIChar"/>
                <w:rFonts w:eastAsia="Calibri"/>
              </w:rPr>
              <w:t>hacizden</w:t>
            </w:r>
            <w:r w:rsidRPr="00A23740">
              <w:rPr>
                <w:rFonts w:eastAsia="Times New Roman"/>
                <w:szCs w:val="24"/>
                <w:lang w:eastAsia="tr-TR"/>
              </w:rPr>
              <w:t xml:space="preserve"> itibaren bir yıl içinde haczolunan mal</w:t>
            </w:r>
            <w:r w:rsidRPr="00A23740">
              <w:rPr>
                <w:rStyle w:val="KIRMIZIChar"/>
                <w:rFonts w:eastAsia="Calibri"/>
              </w:rPr>
              <w:t>ın</w:t>
            </w:r>
            <w:r w:rsidRPr="00A23740">
              <w:rPr>
                <w:rFonts w:eastAsia="Times New Roman"/>
                <w:szCs w:val="24"/>
                <w:lang w:eastAsia="tr-TR"/>
              </w:rPr>
              <w:t xml:space="preserve"> satışını </w:t>
            </w:r>
            <w:r w:rsidRPr="00A23740">
              <w:rPr>
                <w:rStyle w:val="KIRMIZIChar"/>
                <w:rFonts w:eastAsia="Calibri"/>
              </w:rPr>
              <w:t>isteyebilir</w:t>
            </w:r>
            <w:r w:rsidRPr="00A23740">
              <w:rPr>
                <w:rFonts w:eastAsia="Times New Roman"/>
                <w:szCs w:val="24"/>
                <w:lang w:eastAsia="tr-TR"/>
              </w:rPr>
              <w:t xml:space="preserve">. </w:t>
            </w:r>
            <w:r w:rsidRPr="00A23740">
              <w:rPr>
                <w:rStyle w:val="KIRMIZIChar"/>
                <w:rFonts w:eastAsia="Calibri"/>
              </w:rPr>
              <w:t>Borçlunun üçüncü şahıslardaki alacağı da bu hükme tabidir.</w:t>
            </w:r>
          </w:p>
          <w:p w:rsidR="001D68CF" w:rsidRPr="00A23740" w:rsidRDefault="001D68CF" w:rsidP="009431FF">
            <w:pPr>
              <w:rPr>
                <w:rFonts w:eastAsia="Times New Roman"/>
                <w:szCs w:val="24"/>
                <w:lang w:eastAsia="tr-TR"/>
              </w:rPr>
            </w:pPr>
          </w:p>
          <w:p w:rsidR="001D68CF" w:rsidRPr="00A23740" w:rsidRDefault="001D68CF" w:rsidP="009431FF">
            <w:pPr>
              <w:pStyle w:val="KIRMIZI"/>
              <w:rPr>
                <w:lang w:val="tr-TR"/>
              </w:rPr>
            </w:pPr>
            <w:r w:rsidRPr="00A23740">
              <w:rPr>
                <w:lang w:val="tr-TR"/>
              </w:rPr>
              <w:t>Müddetler:</w:t>
            </w:r>
          </w:p>
          <w:p w:rsidR="001D68CF" w:rsidRPr="00A23740" w:rsidRDefault="001D68CF" w:rsidP="009431FF">
            <w:pPr>
              <w:pStyle w:val="KIRMIZI"/>
              <w:rPr>
                <w:lang w:eastAsia="tr-TR"/>
              </w:rPr>
            </w:pPr>
            <w:r w:rsidRPr="00A23740">
              <w:rPr>
                <w:rFonts w:eastAsia="Calibri"/>
              </w:rPr>
              <w:t>Madde 112 – (1)</w:t>
            </w:r>
            <w:r w:rsidRPr="00A23740">
              <w:t xml:space="preserve"> Taşınır</w:t>
            </w:r>
            <w:r w:rsidRPr="00A23740">
              <w:rPr>
                <w:lang w:val="tr-TR"/>
              </w:rPr>
              <w:t xml:space="preserve"> mallar satış talebinden nihayet iki ay içinde satılır.</w:t>
            </w:r>
          </w:p>
          <w:p w:rsidR="001D68CF" w:rsidRPr="00A23740" w:rsidRDefault="001D68CF" w:rsidP="009431FF">
            <w:pPr>
              <w:tabs>
                <w:tab w:val="left" w:pos="567"/>
              </w:tabs>
              <w:rPr>
                <w:rFonts w:eastAsia="Times New Roman"/>
                <w:szCs w:val="24"/>
                <w:lang w:eastAsia="tr-TR"/>
              </w:rPr>
            </w:pPr>
          </w:p>
          <w:p w:rsidR="001D68CF" w:rsidRPr="00A23740" w:rsidRDefault="001D68CF" w:rsidP="009431FF">
            <w:pPr>
              <w:tabs>
                <w:tab w:val="left" w:pos="567"/>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Yetişmemiş </w:t>
            </w:r>
            <w:r w:rsidRPr="00A23740">
              <w:rPr>
                <w:rStyle w:val="KIRMIZIChar"/>
                <w:rFonts w:eastAsia="Calibri"/>
              </w:rPr>
              <w:t>mahsüller</w:t>
            </w:r>
            <w:r w:rsidRPr="00A23740">
              <w:rPr>
                <w:rFonts w:eastAsia="Times New Roman"/>
                <w:szCs w:val="24"/>
                <w:lang w:eastAsia="tr-TR"/>
              </w:rPr>
              <w:t>, borçlunun muvafakati olmadıkça satılamaz.</w:t>
            </w:r>
          </w:p>
          <w:p w:rsidR="001D68CF" w:rsidRPr="00A23740" w:rsidRDefault="001D68CF" w:rsidP="009431FF">
            <w:pPr>
              <w:rPr>
                <w:rFonts w:eastAsia="Times New Roman"/>
                <w:szCs w:val="24"/>
                <w:lang w:eastAsia="tr-TR"/>
              </w:rPr>
            </w:pPr>
          </w:p>
          <w:p w:rsidR="0080493C" w:rsidRPr="00A23740" w:rsidRDefault="0080493C" w:rsidP="009431FF">
            <w:pPr>
              <w:pStyle w:val="KIRMIZI"/>
            </w:pPr>
            <w:r w:rsidRPr="00A23740">
              <w:t>Talep hakkı:</w:t>
            </w:r>
          </w:p>
          <w:p w:rsidR="0080493C" w:rsidRPr="00A23740" w:rsidRDefault="0080493C" w:rsidP="009431FF">
            <w:pPr>
              <w:tabs>
                <w:tab w:val="left" w:pos="567"/>
              </w:tabs>
              <w:rPr>
                <w:rFonts w:eastAsia="Times New Roman"/>
                <w:szCs w:val="24"/>
                <w:lang w:eastAsia="tr-TR"/>
              </w:rPr>
            </w:pPr>
            <w:r w:rsidRPr="00A23740">
              <w:rPr>
                <w:rStyle w:val="KIRMIZIChar"/>
                <w:rFonts w:eastAsia="Calibri"/>
              </w:rPr>
              <w:t>Madde 107 – (1)</w:t>
            </w:r>
            <w:r w:rsidRPr="00A23740">
              <w:rPr>
                <w:rFonts w:eastAsia="Times New Roman"/>
                <w:szCs w:val="24"/>
                <w:lang w:eastAsia="tr-TR"/>
              </w:rPr>
              <w:t xml:space="preserve"> Her alacaklı </w:t>
            </w:r>
            <w:r w:rsidRPr="00A23740">
              <w:rPr>
                <w:rFonts w:eastAsia="Times New Roman"/>
                <w:b/>
                <w:strike/>
                <w:color w:val="FF0000"/>
                <w:szCs w:val="24"/>
                <w:lang w:eastAsia="tr-TR"/>
              </w:rPr>
              <w:t>mensup</w:t>
            </w:r>
            <w:r w:rsidRPr="00A23740">
              <w:rPr>
                <w:rFonts w:eastAsia="Times New Roman"/>
                <w:szCs w:val="24"/>
                <w:lang w:eastAsia="tr-TR"/>
              </w:rPr>
              <w:t xml:space="preserve"> olduğu derece namına satış </w:t>
            </w:r>
            <w:r w:rsidRPr="00A23740">
              <w:rPr>
                <w:rStyle w:val="KIRMIZIChar"/>
                <w:rFonts w:eastAsia="Calibri"/>
              </w:rPr>
              <w:t>talebinde bulunabilir</w:t>
            </w:r>
            <w:r w:rsidRPr="00A23740">
              <w:rPr>
                <w:rFonts w:eastAsia="Times New Roman"/>
                <w:szCs w:val="24"/>
                <w:lang w:eastAsia="tr-TR"/>
              </w:rPr>
              <w:t xml:space="preserve">. 100 üncü maddenin son fıkrası </w:t>
            </w:r>
            <w:r w:rsidRPr="00A23740">
              <w:rPr>
                <w:rFonts w:eastAsia="Times New Roman"/>
                <w:b/>
                <w:strike/>
                <w:color w:val="FF0000"/>
                <w:szCs w:val="24"/>
                <w:lang w:eastAsia="tr-TR"/>
              </w:rPr>
              <w:t>mucibince</w:t>
            </w:r>
            <w:r w:rsidRPr="00A23740">
              <w:rPr>
                <w:rFonts w:eastAsia="Times New Roman"/>
                <w:szCs w:val="24"/>
                <w:lang w:eastAsia="tr-TR"/>
              </w:rPr>
              <w:t xml:space="preserve"> hacizleri </w:t>
            </w:r>
            <w:r w:rsidRPr="00A23740">
              <w:rPr>
                <w:rStyle w:val="KIRMIZIChar"/>
                <w:rFonts w:eastAsia="Calibri"/>
              </w:rPr>
              <w:t>evvelki</w:t>
            </w:r>
            <w:r w:rsidRPr="00A23740">
              <w:rPr>
                <w:rFonts w:eastAsia="Times New Roman"/>
                <w:szCs w:val="24"/>
                <w:lang w:eastAsia="tr-TR"/>
              </w:rPr>
              <w:t xml:space="preserve"> dereceden artacak bedeller için </w:t>
            </w:r>
            <w:r w:rsidRPr="00A23740">
              <w:rPr>
                <w:rFonts w:eastAsia="Times New Roman"/>
                <w:b/>
                <w:strike/>
                <w:color w:val="FF0000"/>
                <w:szCs w:val="24"/>
                <w:lang w:eastAsia="tr-TR"/>
              </w:rPr>
              <w:t>muteber</w:t>
            </w:r>
            <w:r w:rsidRPr="00A23740">
              <w:rPr>
                <w:rFonts w:eastAsia="Times New Roman"/>
                <w:szCs w:val="24"/>
                <w:lang w:eastAsia="tr-TR"/>
              </w:rPr>
              <w:t xml:space="preserve"> olan alacaklılardan her biri dahi </w:t>
            </w:r>
            <w:r w:rsidRPr="00A23740">
              <w:rPr>
                <w:rFonts w:eastAsia="Times New Roman"/>
                <w:b/>
                <w:strike/>
                <w:color w:val="FF0000"/>
                <w:szCs w:val="24"/>
                <w:lang w:eastAsia="tr-TR"/>
              </w:rPr>
              <w:t>mensup</w:t>
            </w:r>
            <w:r w:rsidRPr="00A23740">
              <w:rPr>
                <w:rFonts w:eastAsia="Times New Roman"/>
                <w:szCs w:val="24"/>
                <w:lang w:eastAsia="tr-TR"/>
              </w:rPr>
              <w:t xml:space="preserve"> olduğu derece namına satış </w:t>
            </w:r>
            <w:r w:rsidRPr="00A23740">
              <w:rPr>
                <w:rStyle w:val="KIRMIZIChar"/>
                <w:rFonts w:eastAsia="Calibri"/>
              </w:rPr>
              <w:t>isteyebilir</w:t>
            </w:r>
            <w:r w:rsidRPr="00A23740">
              <w:rPr>
                <w:rFonts w:eastAsia="Times New Roman"/>
                <w:szCs w:val="24"/>
                <w:lang w:eastAsia="tr-TR"/>
              </w:rPr>
              <w:t>.</w:t>
            </w:r>
          </w:p>
          <w:p w:rsidR="0080493C" w:rsidRPr="00A23740" w:rsidRDefault="0080493C" w:rsidP="009431FF">
            <w:pPr>
              <w:rPr>
                <w:rFonts w:eastAsia="Times New Roman"/>
                <w:szCs w:val="24"/>
                <w:lang w:eastAsia="tr-TR"/>
              </w:rPr>
            </w:pPr>
          </w:p>
          <w:p w:rsidR="00FE47C4" w:rsidRPr="00A23740" w:rsidRDefault="00FE47C4" w:rsidP="009431FF">
            <w:pPr>
              <w:tabs>
                <w:tab w:val="left" w:pos="567"/>
              </w:tabs>
              <w:rPr>
                <w:rFonts w:eastAsia="Times New Roman"/>
                <w:b/>
                <w:strike/>
                <w:color w:val="FF0000"/>
                <w:szCs w:val="24"/>
                <w:lang w:eastAsia="tr-TR"/>
              </w:rPr>
            </w:pPr>
            <w:r w:rsidRPr="00A23740">
              <w:rPr>
                <w:b/>
                <w:strike/>
                <w:color w:val="FF0000"/>
              </w:rPr>
              <w:t>Haczin kalkması</w:t>
            </w:r>
            <w:r w:rsidRPr="00A23740">
              <w:rPr>
                <w:rFonts w:eastAsia="Times New Roman"/>
                <w:b/>
                <w:strike/>
                <w:color w:val="FF0000"/>
                <w:szCs w:val="24"/>
                <w:lang w:eastAsia="tr-TR"/>
              </w:rPr>
              <w:t>:</w:t>
            </w:r>
          </w:p>
          <w:p w:rsidR="00FE47C4" w:rsidRPr="00A23740" w:rsidRDefault="00FE47C4" w:rsidP="009431FF">
            <w:pPr>
              <w:tabs>
                <w:tab w:val="left" w:pos="567"/>
              </w:tabs>
              <w:rPr>
                <w:rFonts w:eastAsia="Times New Roman"/>
                <w:b/>
                <w:szCs w:val="24"/>
                <w:lang w:eastAsia="tr-TR"/>
              </w:rPr>
            </w:pPr>
            <w:r w:rsidRPr="00A23740">
              <w:rPr>
                <w:rStyle w:val="KIRMIZIChar"/>
                <w:rFonts w:eastAsia="Calibri"/>
              </w:rPr>
              <w:t xml:space="preserve">Madde 110 – </w:t>
            </w:r>
            <w:r w:rsidRPr="00A23740">
              <w:rPr>
                <w:rStyle w:val="KIRMIZIChar"/>
                <w:rFonts w:eastAsia="ヒラギノ明朝 Pro W3"/>
              </w:rPr>
              <w:t xml:space="preserve">(1) </w:t>
            </w:r>
            <w:r w:rsidRPr="00A23740">
              <w:rPr>
                <w:rStyle w:val="KIRMIZIChar"/>
                <w:rFonts w:eastAsia="Calibri"/>
              </w:rPr>
              <w:t>(Değişik</w:t>
            </w:r>
            <w:r w:rsidRPr="00A23740">
              <w:rPr>
                <w:rFonts w:eastAsia="Times New Roman"/>
                <w:b/>
                <w:strike/>
                <w:color w:val="FF0000"/>
                <w:szCs w:val="24"/>
                <w:lang w:eastAsia="tr-TR"/>
              </w:rPr>
              <w:t>: 2/7/2012-6352/22 md.)</w:t>
            </w:r>
          </w:p>
          <w:p w:rsidR="00FE47C4" w:rsidRPr="00A23740" w:rsidRDefault="00FE47C4" w:rsidP="009431FF">
            <w:pPr>
              <w:tabs>
                <w:tab w:val="left" w:pos="566"/>
              </w:tabs>
              <w:rPr>
                <w:rFonts w:eastAsia="ヒラギノ明朝 Pro W3"/>
                <w:szCs w:val="24"/>
                <w:lang w:eastAsia="tr-TR"/>
              </w:rPr>
            </w:pPr>
            <w:r w:rsidRPr="00A23740">
              <w:rPr>
                <w:rStyle w:val="KIRMIZIChar"/>
                <w:rFonts w:eastAsia="Calibri"/>
              </w:rPr>
              <w:t>Bir malın satılması kanuni müddet içinde istenmez</w:t>
            </w:r>
            <w:r w:rsidRPr="00A23740">
              <w:rPr>
                <w:rStyle w:val="KIRMIZIChar"/>
                <w:rFonts w:eastAsia="Calibri"/>
                <w:strike w:val="0"/>
              </w:rPr>
              <w:t xml:space="preserve"> </w:t>
            </w:r>
            <w:r w:rsidRPr="00A23740">
              <w:rPr>
                <w:rStyle w:val="KIRMIZIChar"/>
                <w:rFonts w:eastAsia="Calibri"/>
              </w:rPr>
              <w:t>veya icra müdürü tarafından verilecek karar gereği gerekli gider onbeş gün içinde depo edilmezse veya</w:t>
            </w:r>
            <w:r w:rsidRPr="00A23740">
              <w:rPr>
                <w:rStyle w:val="KIRMIZIChar"/>
                <w:rFonts w:eastAsia="Calibri"/>
                <w:strike w:val="0"/>
              </w:rPr>
              <w:t xml:space="preserve"> </w:t>
            </w:r>
            <w:r w:rsidRPr="00A23740">
              <w:rPr>
                <w:rStyle w:val="KIRMIZIChar"/>
                <w:rFonts w:eastAsia="Calibri"/>
              </w:rPr>
              <w:t>talep geri alınıp da kanuni müddet içinde</w:t>
            </w:r>
            <w:r w:rsidRPr="00A23740">
              <w:rPr>
                <w:rStyle w:val="KIRMIZIChar"/>
                <w:rFonts w:eastAsia="Calibri"/>
                <w:strike w:val="0"/>
              </w:rPr>
              <w:t xml:space="preserve"> </w:t>
            </w:r>
            <w:r w:rsidRPr="00A23740">
              <w:rPr>
                <w:rStyle w:val="KIRMIZIChar"/>
                <w:rFonts w:eastAsia="Calibri"/>
              </w:rPr>
              <w:t>yenilenmezse o</w:t>
            </w:r>
            <w:r w:rsidRPr="00A23740">
              <w:rPr>
                <w:rStyle w:val="KIRMIZIChar"/>
                <w:rFonts w:eastAsia="Calibri"/>
                <w:strike w:val="0"/>
              </w:rPr>
              <w:t xml:space="preserve"> </w:t>
            </w:r>
            <w:r w:rsidRPr="00A23740">
              <w:rPr>
                <w:rStyle w:val="KIRMIZIChar"/>
                <w:rFonts w:eastAsia="Calibri"/>
              </w:rPr>
              <w:t>mal üzerindeki haciz kalkar.</w:t>
            </w:r>
            <w:r w:rsidRPr="00A23740">
              <w:rPr>
                <w:rFonts w:eastAsia="ヒラギノ明朝 Pro W3"/>
                <w:szCs w:val="24"/>
                <w:lang w:eastAsia="tr-TR"/>
              </w:rPr>
              <w:t xml:space="preserve"> </w:t>
            </w:r>
            <w:r w:rsidRPr="00A23740">
              <w:rPr>
                <w:rStyle w:val="KIRMIZIChar"/>
                <w:rFonts w:eastAsia="ヒラギノ明朝 Pro W3"/>
              </w:rPr>
              <w:t>Hacizli malın satılması yönündeki talep</w:t>
            </w:r>
            <w:r w:rsidRPr="00A23740">
              <w:rPr>
                <w:rFonts w:eastAsia="ヒラギノ明朝 Pro W3"/>
                <w:szCs w:val="24"/>
                <w:lang w:eastAsia="tr-TR"/>
              </w:rPr>
              <w:t xml:space="preserve"> bir defa geri alınabilir.</w:t>
            </w:r>
          </w:p>
          <w:p w:rsidR="00AA5C8C" w:rsidRPr="00A23740" w:rsidRDefault="00AA5C8C" w:rsidP="009431FF">
            <w:pPr>
              <w:rPr>
                <w:rFonts w:eastAsia="Times New Roman"/>
                <w:szCs w:val="24"/>
                <w:lang w:eastAsia="tr-TR"/>
              </w:rPr>
            </w:pPr>
          </w:p>
          <w:p w:rsidR="00AA5C8C" w:rsidRPr="00A23740" w:rsidRDefault="00AA5C8C" w:rsidP="009431FF">
            <w:pPr>
              <w:pStyle w:val="KIRMIZI"/>
            </w:pPr>
            <w:r w:rsidRPr="00A23740">
              <w:rPr>
                <w:rStyle w:val="KIRMIZIChar"/>
                <w:rFonts w:eastAsia="Calibri"/>
                <w:b/>
                <w:strike/>
              </w:rPr>
              <w:t>(2)</w:t>
            </w:r>
            <w:r w:rsidRPr="00A23740">
              <w:rPr>
                <w:b w:val="0"/>
                <w:strike w:val="0"/>
              </w:rPr>
              <w:t xml:space="preserve"> </w:t>
            </w:r>
            <w:r w:rsidRPr="00A23740">
              <w:rPr>
                <w:b w:val="0"/>
              </w:rPr>
              <w:t>Bir</w:t>
            </w:r>
            <w:r w:rsidRPr="00A23740">
              <w:t xml:space="preserve"> yıllık süre içinde satışı istenip de artırma sonucu satışı gerçekleştirilemeyen mahcuz hakkındaki satış isteme süresi, satış isteyen alacaklı bakımından birinci fıkrada belirtilen sürenin sona ermesinden itibaren bir yıl daha uzar.</w:t>
            </w:r>
          </w:p>
          <w:p w:rsidR="000930B4" w:rsidRPr="00A23740" w:rsidRDefault="000930B4" w:rsidP="009431FF">
            <w:pPr>
              <w:rPr>
                <w:rFonts w:eastAsia="Times New Roman"/>
                <w:szCs w:val="24"/>
                <w:lang w:eastAsia="tr-TR"/>
              </w:rPr>
            </w:pPr>
          </w:p>
          <w:p w:rsidR="00AA5C8C" w:rsidRPr="00A23740" w:rsidRDefault="00AA5C8C" w:rsidP="009431FF">
            <w:pPr>
              <w:pStyle w:val="KIRMIZI"/>
            </w:pPr>
            <w:r w:rsidRPr="00A23740">
              <w:t>Vaktinden evvel satış:</w:t>
            </w:r>
          </w:p>
          <w:p w:rsidR="00AA5C8C" w:rsidRPr="00A23740" w:rsidRDefault="00AA5C8C" w:rsidP="009431FF">
            <w:pPr>
              <w:pStyle w:val="KIRMIZI"/>
            </w:pPr>
            <w:r w:rsidRPr="00A23740">
              <w:rPr>
                <w:rStyle w:val="KIRMIZIChar"/>
                <w:rFonts w:eastAsia="Calibri"/>
                <w:b/>
                <w:bCs/>
                <w:strike/>
              </w:rPr>
              <w:t>Madde 113 – (1)</w:t>
            </w:r>
            <w:r w:rsidRPr="00A23740">
              <w:t xml:space="preserve"> Alacaklı talep etmeden borçlunun talebiyle de satış yapılabilir.  </w:t>
            </w:r>
          </w:p>
          <w:p w:rsidR="00AA5C8C" w:rsidRPr="00A23740" w:rsidRDefault="00AA5C8C" w:rsidP="009431FF">
            <w:pPr>
              <w:pStyle w:val="KIRMIZI"/>
            </w:pPr>
          </w:p>
          <w:p w:rsidR="00AA5C8C" w:rsidRPr="00A23740" w:rsidRDefault="00AA5C8C" w:rsidP="009431FF">
            <w:pPr>
              <w:pStyle w:val="KIRMIZI"/>
              <w:rPr>
                <w:lang w:val="tr-TR"/>
              </w:rPr>
            </w:pPr>
            <w:r w:rsidRPr="00A23740">
              <w:rPr>
                <w:rStyle w:val="KIRMIZIChar"/>
                <w:rFonts w:eastAsia="Calibri"/>
                <w:b/>
                <w:bCs/>
                <w:strike/>
              </w:rPr>
              <w:t>(2)</w:t>
            </w:r>
            <w:r w:rsidRPr="00A23740">
              <w:t xml:space="preserve"> İcra memuru kıymeti süratle düşen veyahut muhafazası masraflı olan malların satılmasına her zaman karar verebilir.</w:t>
            </w:r>
          </w:p>
          <w:p w:rsidR="00AA5C8C" w:rsidRPr="00A23740" w:rsidRDefault="00AA5C8C" w:rsidP="009431FF">
            <w:pPr>
              <w:rPr>
                <w:rFonts w:eastAsia="Times New Roman"/>
                <w:szCs w:val="24"/>
                <w:lang w:eastAsia="tr-TR"/>
              </w:rPr>
            </w:pPr>
          </w:p>
        </w:tc>
        <w:tc>
          <w:tcPr>
            <w:tcW w:w="2500" w:type="pct"/>
          </w:tcPr>
          <w:p w:rsidR="00AA5C8C" w:rsidRPr="00A23740" w:rsidRDefault="0072771C" w:rsidP="009431FF">
            <w:pPr>
              <w:jc w:val="center"/>
              <w:rPr>
                <w:rFonts w:eastAsia="Times New Roman"/>
                <w:b/>
                <w:color w:val="0000FF"/>
                <w:szCs w:val="24"/>
                <w:lang w:eastAsia="tr-TR"/>
              </w:rPr>
            </w:pPr>
            <w:r w:rsidRPr="00A23740">
              <w:rPr>
                <w:rFonts w:eastAsia="Times New Roman"/>
                <w:b/>
                <w:color w:val="0000FF"/>
                <w:szCs w:val="24"/>
                <w:lang w:eastAsia="tr-TR"/>
              </w:rPr>
              <w:t>İKİNCİ</w:t>
            </w:r>
            <w:r w:rsidR="00AA5C8C" w:rsidRPr="00A23740">
              <w:rPr>
                <w:rFonts w:eastAsia="Times New Roman"/>
                <w:b/>
                <w:color w:val="0000FF"/>
                <w:szCs w:val="24"/>
                <w:lang w:eastAsia="tr-TR"/>
              </w:rPr>
              <w:t xml:space="preserve"> ALT AYRIM</w:t>
            </w:r>
          </w:p>
          <w:p w:rsidR="00AA5C8C" w:rsidRPr="00A23740" w:rsidRDefault="00AA5C8C" w:rsidP="009431FF">
            <w:pPr>
              <w:pStyle w:val="Mavi"/>
              <w:jc w:val="center"/>
            </w:pPr>
            <w:r w:rsidRPr="00A23740">
              <w:t>Elektronik Ortamda Açık Artırma Suretiyle Satış</w:t>
            </w:r>
          </w:p>
          <w:p w:rsidR="00AA5C8C" w:rsidRPr="00A23740" w:rsidRDefault="00AA5C8C" w:rsidP="009431FF">
            <w:pPr>
              <w:rPr>
                <w:rFonts w:eastAsia="Times New Roman"/>
                <w:b/>
                <w:szCs w:val="24"/>
                <w:lang w:eastAsia="tr-TR"/>
              </w:rPr>
            </w:pPr>
          </w:p>
          <w:p w:rsidR="00AA5C8C" w:rsidRPr="00A23740" w:rsidRDefault="00AA5C8C" w:rsidP="009431FF">
            <w:pPr>
              <w:rPr>
                <w:rFonts w:eastAsia="Times New Roman"/>
                <w:b/>
                <w:szCs w:val="24"/>
                <w:lang w:eastAsia="tr-TR"/>
              </w:rPr>
            </w:pPr>
            <w:r w:rsidRPr="00A23740">
              <w:rPr>
                <w:rFonts w:eastAsia="Times New Roman"/>
                <w:b/>
                <w:szCs w:val="24"/>
                <w:lang w:eastAsia="tr-TR"/>
              </w:rPr>
              <w:t>Satış talebi</w:t>
            </w:r>
          </w:p>
          <w:p w:rsidR="000B6816" w:rsidRPr="00A23740" w:rsidRDefault="00AA5C8C" w:rsidP="009431FF">
            <w:pPr>
              <w:tabs>
                <w:tab w:val="left" w:pos="567"/>
              </w:tabs>
              <w:rPr>
                <w:rStyle w:val="MaviChar"/>
                <w:lang w:val="tr-TR"/>
              </w:rPr>
            </w:pPr>
            <w:r w:rsidRPr="00A23740">
              <w:rPr>
                <w:rStyle w:val="MaviChar"/>
                <w:lang w:val="tr-TR"/>
              </w:rPr>
              <w:t xml:space="preserve">MADDE </w:t>
            </w:r>
            <w:r w:rsidR="0025794C" w:rsidRPr="00A23740">
              <w:rPr>
                <w:rStyle w:val="MaviChar"/>
                <w:lang w:val="tr-TR"/>
              </w:rPr>
              <w:t>213</w:t>
            </w:r>
            <w:r w:rsidRPr="00A23740">
              <w:rPr>
                <w:rStyle w:val="MaviChar"/>
              </w:rPr>
              <w:t>-</w:t>
            </w:r>
            <w:r w:rsidRPr="00A23740">
              <w:rPr>
                <w:rStyle w:val="MAVChar"/>
                <w:rFonts w:eastAsia="Calibri"/>
                <w:u w:val="none"/>
              </w:rPr>
              <w:t xml:space="preserve"> (</w:t>
            </w:r>
            <w:r w:rsidRPr="00A23740">
              <w:rPr>
                <w:rFonts w:eastAsia="Times New Roman"/>
                <w:b/>
                <w:color w:val="0000FF"/>
                <w:szCs w:val="24"/>
                <w:lang w:eastAsia="tr-TR"/>
              </w:rPr>
              <w:t xml:space="preserve">1) Hacizden itibaren </w:t>
            </w:r>
            <w:r w:rsidR="0043793E" w:rsidRPr="00A23740">
              <w:rPr>
                <w:rFonts w:eastAsia="Times New Roman"/>
                <w:b/>
                <w:color w:val="0000FF"/>
                <w:szCs w:val="24"/>
                <w:lang w:eastAsia="tr-TR"/>
              </w:rPr>
              <w:t xml:space="preserve">bir ay </w:t>
            </w:r>
            <w:r w:rsidRPr="00A23740">
              <w:rPr>
                <w:rFonts w:eastAsia="Times New Roman"/>
                <w:b/>
                <w:color w:val="0000FF"/>
                <w:szCs w:val="24"/>
                <w:lang w:eastAsia="tr-TR"/>
              </w:rPr>
              <w:t>geçmeden satış</w:t>
            </w:r>
            <w:r w:rsidR="0080493C" w:rsidRPr="00A23740">
              <w:rPr>
                <w:rFonts w:eastAsia="Times New Roman"/>
                <w:b/>
                <w:color w:val="0000FF"/>
                <w:szCs w:val="24"/>
                <w:lang w:eastAsia="tr-TR"/>
              </w:rPr>
              <w:t xml:space="preserve"> talep edilemez</w:t>
            </w:r>
            <w:r w:rsidRPr="00A23740">
              <w:rPr>
                <w:rFonts w:eastAsia="Times New Roman"/>
                <w:b/>
                <w:color w:val="0000FF"/>
                <w:szCs w:val="24"/>
                <w:lang w:eastAsia="tr-TR"/>
              </w:rPr>
              <w:t>.</w:t>
            </w:r>
            <w:r w:rsidR="000B6816" w:rsidRPr="00A23740">
              <w:rPr>
                <w:rFonts w:eastAsia="Times New Roman"/>
                <w:szCs w:val="24"/>
                <w:lang w:eastAsia="tr-TR"/>
              </w:rPr>
              <w:t xml:space="preserve"> Alacaklı veya borçlu,</w:t>
            </w:r>
            <w:r w:rsidRPr="00A23740">
              <w:rPr>
                <w:rFonts w:eastAsia="Times New Roman"/>
                <w:szCs w:val="24"/>
                <w:lang w:eastAsia="tr-TR"/>
              </w:rPr>
              <w:t xml:space="preserve"> haczoluna</w:t>
            </w:r>
            <w:r w:rsidRPr="00A23740">
              <w:t>n mal</w:t>
            </w:r>
            <w:r w:rsidR="005E079C" w:rsidRPr="00A23740">
              <w:t xml:space="preserve"> </w:t>
            </w:r>
            <w:r w:rsidR="005E079C" w:rsidRPr="00A23740">
              <w:rPr>
                <w:rStyle w:val="MaviChar"/>
              </w:rPr>
              <w:t>ve hakk</w:t>
            </w:r>
            <w:r w:rsidRPr="00A23740">
              <w:rPr>
                <w:rStyle w:val="MaviChar"/>
              </w:rPr>
              <w:t>ın</w:t>
            </w:r>
            <w:r w:rsidRPr="00A23740">
              <w:rPr>
                <w:rFonts w:eastAsia="Times New Roman"/>
                <w:b/>
                <w:color w:val="0000FF"/>
                <w:szCs w:val="24"/>
                <w:lang w:eastAsia="tr-TR"/>
              </w:rPr>
              <w:t xml:space="preserve"> </w:t>
            </w:r>
            <w:r w:rsidRPr="00A23740">
              <w:t xml:space="preserve">satışını </w:t>
            </w:r>
            <w:r w:rsidR="0043793E" w:rsidRPr="00A23740">
              <w:rPr>
                <w:rFonts w:eastAsia="Times New Roman"/>
                <w:b/>
                <w:color w:val="0000FF"/>
                <w:szCs w:val="24"/>
                <w:lang w:eastAsia="tr-TR"/>
              </w:rPr>
              <w:t xml:space="preserve">bir aylık </w:t>
            </w:r>
            <w:r w:rsidRPr="00A23740">
              <w:rPr>
                <w:rFonts w:eastAsia="Times New Roman"/>
                <w:b/>
                <w:color w:val="0000FF"/>
                <w:szCs w:val="24"/>
                <w:lang w:eastAsia="tr-TR"/>
              </w:rPr>
              <w:t>bu sürenin sonundan</w:t>
            </w:r>
            <w:r w:rsidRPr="00A23740">
              <w:rPr>
                <w:rFonts w:eastAsia="Times New Roman"/>
                <w:szCs w:val="24"/>
                <w:lang w:eastAsia="tr-TR"/>
              </w:rPr>
              <w:t xml:space="preserve"> itibaren bir yıl içinde</w:t>
            </w:r>
            <w:r w:rsidR="0080493C" w:rsidRPr="00A23740">
              <w:rPr>
                <w:rFonts w:eastAsia="Times New Roman"/>
                <w:szCs w:val="24"/>
                <w:lang w:eastAsia="tr-TR"/>
              </w:rPr>
              <w:t xml:space="preserve"> </w:t>
            </w:r>
            <w:r w:rsidR="0080493C" w:rsidRPr="00A23740">
              <w:rPr>
                <w:rStyle w:val="MaviChar"/>
              </w:rPr>
              <w:t>talep edebilir</w:t>
            </w:r>
            <w:r w:rsidRPr="00A23740">
              <w:t>.</w:t>
            </w:r>
            <w:r w:rsidRPr="00A23740">
              <w:rPr>
                <w:rFonts w:eastAsia="Times New Roman"/>
                <w:b/>
                <w:color w:val="0000FF"/>
                <w:szCs w:val="24"/>
                <w:lang w:eastAsia="tr-TR"/>
              </w:rPr>
              <w:t xml:space="preserve"> </w:t>
            </w:r>
            <w:r w:rsidR="00FE47C4" w:rsidRPr="00A23740">
              <w:rPr>
                <w:rStyle w:val="MaviChar"/>
                <w:lang w:val="tr-TR"/>
              </w:rPr>
              <w:t xml:space="preserve">Bu süreler, </w:t>
            </w:r>
            <w:r w:rsidRPr="00A23740">
              <w:rPr>
                <w:rStyle w:val="MaviChar"/>
                <w:lang w:val="tr-TR"/>
              </w:rPr>
              <w:t>satış dışında</w:t>
            </w:r>
            <w:r w:rsidRPr="00A23740">
              <w:rPr>
                <w:rStyle w:val="MaviChar"/>
              </w:rPr>
              <w:t>ki</w:t>
            </w:r>
            <w:r w:rsidRPr="00A23740">
              <w:rPr>
                <w:rStyle w:val="MaviChar"/>
                <w:lang w:val="tr-TR"/>
              </w:rPr>
              <w:t xml:space="preserve"> paraya çevirme h</w:t>
            </w:r>
            <w:r w:rsidR="00286FDE" w:rsidRPr="00A23740">
              <w:rPr>
                <w:rStyle w:val="MaviChar"/>
                <w:lang w:val="tr-TR"/>
              </w:rPr>
              <w:t>â</w:t>
            </w:r>
            <w:r w:rsidRPr="00A23740">
              <w:rPr>
                <w:rStyle w:val="MaviChar"/>
                <w:lang w:val="tr-TR"/>
              </w:rPr>
              <w:t>llerinde de kıyasen uygulanır.</w:t>
            </w:r>
          </w:p>
          <w:p w:rsidR="00FE47C4" w:rsidRPr="00A23740" w:rsidRDefault="00FE47C4" w:rsidP="009431FF">
            <w:pPr>
              <w:tabs>
                <w:tab w:val="left" w:pos="567"/>
              </w:tabs>
              <w:rPr>
                <w:rStyle w:val="MaviChar"/>
                <w:lang w:val="tr-TR"/>
              </w:rPr>
            </w:pPr>
          </w:p>
          <w:p w:rsidR="001D68CF" w:rsidRPr="00A23740" w:rsidRDefault="001D68CF" w:rsidP="009431FF">
            <w:pPr>
              <w:tabs>
                <w:tab w:val="left" w:pos="567"/>
              </w:tabs>
              <w:rPr>
                <w:rStyle w:val="MaviChar"/>
                <w:lang w:val="tr-TR"/>
              </w:rPr>
            </w:pPr>
          </w:p>
          <w:p w:rsidR="001D68CF" w:rsidRPr="00A23740" w:rsidRDefault="001D68CF" w:rsidP="009431FF">
            <w:pPr>
              <w:tabs>
                <w:tab w:val="left" w:pos="567"/>
              </w:tabs>
              <w:rPr>
                <w:rStyle w:val="MaviChar"/>
                <w:lang w:val="tr-TR"/>
              </w:rPr>
            </w:pPr>
          </w:p>
          <w:p w:rsidR="001D68CF" w:rsidRPr="00A23740" w:rsidRDefault="001D68CF" w:rsidP="009431FF">
            <w:pPr>
              <w:tabs>
                <w:tab w:val="left" w:pos="567"/>
              </w:tabs>
              <w:rPr>
                <w:rStyle w:val="MaviChar"/>
                <w:lang w:val="tr-TR"/>
              </w:rPr>
            </w:pPr>
          </w:p>
          <w:p w:rsidR="001D68CF" w:rsidRPr="00A23740" w:rsidRDefault="001D68CF" w:rsidP="009431FF">
            <w:pPr>
              <w:pStyle w:val="Mavi"/>
            </w:pPr>
            <w:r w:rsidRPr="00A23740">
              <w:rPr>
                <w:rStyle w:val="YELChar"/>
                <w:rFonts w:eastAsia="Calibri"/>
                <w:b/>
                <w:color w:val="0000FF"/>
                <w:lang w:eastAsia="x-none"/>
              </w:rPr>
              <w:t xml:space="preserve">(2) </w:t>
            </w:r>
            <w:r w:rsidR="00286FDE" w:rsidRPr="00A23740">
              <w:rPr>
                <w:rFonts w:eastAsia="Times New Roman"/>
                <w:b w:val="0"/>
                <w:color w:val="000000"/>
                <w:lang w:eastAsia="tr-TR"/>
              </w:rPr>
              <w:t xml:space="preserve">Yetişmemiş </w:t>
            </w:r>
            <w:r w:rsidR="00286FDE" w:rsidRPr="00A23740">
              <w:rPr>
                <w:rStyle w:val="Balk1Char"/>
                <w:rFonts w:eastAsia="Calibri"/>
                <w:b/>
              </w:rPr>
              <w:t>ürünler</w:t>
            </w:r>
            <w:r w:rsidR="00286FDE" w:rsidRPr="00A23740">
              <w:rPr>
                <w:rFonts w:eastAsia="Times New Roman"/>
                <w:b w:val="0"/>
                <w:color w:val="000000"/>
                <w:lang w:eastAsia="tr-TR"/>
              </w:rPr>
              <w:t>, borçlunun muvafakati olmadıkça satılamaz.</w:t>
            </w:r>
          </w:p>
          <w:p w:rsidR="001D68CF" w:rsidRPr="00A23740" w:rsidRDefault="001D68CF" w:rsidP="009431FF">
            <w:pPr>
              <w:tabs>
                <w:tab w:val="left" w:pos="567"/>
              </w:tabs>
              <w:rPr>
                <w:rStyle w:val="MaviChar"/>
                <w:lang w:val="tr-TR"/>
              </w:rPr>
            </w:pPr>
          </w:p>
          <w:p w:rsidR="008D71B2" w:rsidRDefault="008D71B2" w:rsidP="009431FF">
            <w:pPr>
              <w:tabs>
                <w:tab w:val="left" w:pos="567"/>
              </w:tabs>
              <w:rPr>
                <w:rStyle w:val="MaviChar"/>
                <w:lang w:val="tr-TR"/>
              </w:rPr>
            </w:pPr>
          </w:p>
          <w:p w:rsidR="004740E6" w:rsidRPr="00A23740" w:rsidRDefault="004740E6" w:rsidP="009431FF">
            <w:pPr>
              <w:tabs>
                <w:tab w:val="left" w:pos="567"/>
              </w:tabs>
              <w:rPr>
                <w:rStyle w:val="MaviChar"/>
                <w:lang w:val="tr-TR"/>
              </w:rPr>
            </w:pPr>
          </w:p>
          <w:p w:rsidR="0080493C" w:rsidRPr="00A23740" w:rsidRDefault="001D68CF" w:rsidP="009431FF">
            <w:pPr>
              <w:pStyle w:val="Mavi"/>
              <w:rPr>
                <w:rFonts w:eastAsia="Times New Roman"/>
                <w:b w:val="0"/>
                <w:bCs w:val="0"/>
                <w:color w:val="auto"/>
                <w:lang w:val="tr-TR" w:eastAsia="tr-TR"/>
              </w:rPr>
            </w:pPr>
            <w:r w:rsidRPr="00A23740">
              <w:rPr>
                <w:rStyle w:val="YELChar"/>
                <w:rFonts w:eastAsia="Calibri"/>
                <w:b/>
                <w:color w:val="0000FF"/>
                <w:lang w:eastAsia="x-none"/>
              </w:rPr>
              <w:t>(3</w:t>
            </w:r>
            <w:r w:rsidR="0080493C" w:rsidRPr="00A23740">
              <w:rPr>
                <w:rStyle w:val="YELChar"/>
                <w:rFonts w:eastAsia="Calibri"/>
                <w:b/>
                <w:color w:val="0000FF"/>
                <w:lang w:eastAsia="x-none"/>
              </w:rPr>
              <w:t>)</w:t>
            </w:r>
            <w:r w:rsidR="0080493C" w:rsidRPr="00A23740">
              <w:t xml:space="preserve"> </w:t>
            </w:r>
            <w:r w:rsidR="0080493C" w:rsidRPr="00A23740">
              <w:rPr>
                <w:rFonts w:eastAsia="Times New Roman"/>
                <w:b w:val="0"/>
                <w:bCs w:val="0"/>
                <w:color w:val="auto"/>
                <w:lang w:val="tr-TR" w:eastAsia="tr-TR"/>
              </w:rPr>
              <w:t>Her alacaklı</w:t>
            </w:r>
            <w:r w:rsidR="0080493C" w:rsidRPr="00A23740">
              <w:t xml:space="preserve">, dâhil </w:t>
            </w:r>
            <w:r w:rsidR="0080493C" w:rsidRPr="00A23740">
              <w:rPr>
                <w:rFonts w:eastAsia="Times New Roman"/>
                <w:b w:val="0"/>
                <w:bCs w:val="0"/>
                <w:color w:val="auto"/>
                <w:lang w:val="tr-TR" w:eastAsia="tr-TR"/>
              </w:rPr>
              <w:t>olduğu</w:t>
            </w:r>
            <w:r w:rsidR="0080493C" w:rsidRPr="00A23740">
              <w:t xml:space="preserve"> </w:t>
            </w:r>
            <w:r w:rsidR="0080493C" w:rsidRPr="00A23740">
              <w:rPr>
                <w:rStyle w:val="MaviChar"/>
                <w:b/>
                <w:bCs/>
              </w:rPr>
              <w:t>iştirak</w:t>
            </w:r>
            <w:r w:rsidR="0080493C" w:rsidRPr="00A23740">
              <w:t xml:space="preserve"> </w:t>
            </w:r>
            <w:r w:rsidR="0080493C" w:rsidRPr="00A23740">
              <w:rPr>
                <w:rFonts w:eastAsia="Times New Roman"/>
                <w:b w:val="0"/>
                <w:bCs w:val="0"/>
                <w:color w:val="auto"/>
                <w:lang w:val="tr-TR" w:eastAsia="tr-TR"/>
              </w:rPr>
              <w:t>derece</w:t>
            </w:r>
            <w:r w:rsidR="0080493C" w:rsidRPr="00A23740">
              <w:t>si</w:t>
            </w:r>
            <w:r w:rsidR="0080493C" w:rsidRPr="00A23740">
              <w:rPr>
                <w:lang w:val="tr-TR"/>
              </w:rPr>
              <w:t xml:space="preserve"> </w:t>
            </w:r>
            <w:r w:rsidR="0080493C" w:rsidRPr="00A23740">
              <w:t xml:space="preserve">adına </w:t>
            </w:r>
            <w:r w:rsidR="0080493C" w:rsidRPr="00A23740">
              <w:rPr>
                <w:rFonts w:eastAsia="Times New Roman"/>
                <w:b w:val="0"/>
                <w:bCs w:val="0"/>
                <w:color w:val="auto"/>
                <w:lang w:val="tr-TR" w:eastAsia="tr-TR"/>
              </w:rPr>
              <w:t xml:space="preserve">satış </w:t>
            </w:r>
            <w:r w:rsidRPr="00A23740">
              <w:t>talep edebilir</w:t>
            </w:r>
            <w:r w:rsidR="0080493C" w:rsidRPr="00A23740">
              <w:rPr>
                <w:rFonts w:eastAsia="Times New Roman"/>
                <w:b w:val="0"/>
                <w:bCs w:val="0"/>
                <w:color w:val="auto"/>
                <w:lang w:val="tr-TR" w:eastAsia="tr-TR"/>
              </w:rPr>
              <w:t>.</w:t>
            </w:r>
            <w:r w:rsidR="00AF503C" w:rsidRPr="00A23740">
              <w:rPr>
                <w:rFonts w:eastAsia="Times New Roman"/>
                <w:b w:val="0"/>
                <w:bCs w:val="0"/>
                <w:color w:val="auto"/>
                <w:lang w:val="tr-TR" w:eastAsia="tr-TR"/>
              </w:rPr>
              <w:t xml:space="preserve"> </w:t>
            </w:r>
            <w:r w:rsidR="00AF503C" w:rsidRPr="00BF6B46">
              <w:t>198 inci</w:t>
            </w:r>
            <w:r w:rsidR="0080493C" w:rsidRPr="00A23740">
              <w:rPr>
                <w:lang w:val="tr-TR"/>
              </w:rPr>
              <w:t xml:space="preserve"> </w:t>
            </w:r>
            <w:r w:rsidR="0080493C" w:rsidRPr="00A23740">
              <w:rPr>
                <w:rFonts w:eastAsia="Times New Roman"/>
                <w:b w:val="0"/>
                <w:bCs w:val="0"/>
                <w:color w:val="auto"/>
                <w:lang w:val="tr-TR" w:eastAsia="tr-TR"/>
              </w:rPr>
              <w:t>maddenin son fıkrası</w:t>
            </w:r>
            <w:r w:rsidR="0080493C" w:rsidRPr="00A23740">
              <w:t xml:space="preserve"> uyarınca </w:t>
            </w:r>
            <w:r w:rsidR="0080493C" w:rsidRPr="00A23740">
              <w:rPr>
                <w:rFonts w:eastAsia="Times New Roman"/>
                <w:b w:val="0"/>
                <w:bCs w:val="0"/>
                <w:color w:val="auto"/>
                <w:lang w:val="tr-TR" w:eastAsia="tr-TR"/>
              </w:rPr>
              <w:t>hacizleri</w:t>
            </w:r>
            <w:r w:rsidR="0080493C" w:rsidRPr="00A23740">
              <w:t xml:space="preserve"> önceki </w:t>
            </w:r>
            <w:r w:rsidR="0080493C" w:rsidRPr="00A23740">
              <w:rPr>
                <w:rFonts w:eastAsia="Times New Roman"/>
                <w:b w:val="0"/>
                <w:bCs w:val="0"/>
                <w:color w:val="auto"/>
                <w:lang w:val="tr-TR" w:eastAsia="tr-TR"/>
              </w:rPr>
              <w:t>dereceden artacak bedeller için</w:t>
            </w:r>
            <w:r w:rsidR="0080493C" w:rsidRPr="00A23740">
              <w:t xml:space="preserve"> geçerli </w:t>
            </w:r>
            <w:r w:rsidR="0080493C" w:rsidRPr="00A23740">
              <w:rPr>
                <w:rFonts w:eastAsia="Times New Roman"/>
                <w:b w:val="0"/>
                <w:bCs w:val="0"/>
                <w:color w:val="auto"/>
                <w:lang w:val="tr-TR" w:eastAsia="tr-TR"/>
              </w:rPr>
              <w:t>olan alacaklılardan her biri dahi</w:t>
            </w:r>
            <w:r w:rsidR="008F4DE3" w:rsidRPr="00A23740">
              <w:rPr>
                <w:rFonts w:eastAsia="Times New Roman"/>
                <w:color w:val="385623"/>
                <w:lang w:val="tr-TR" w:eastAsia="tr-TR"/>
              </w:rPr>
              <w:t>,</w:t>
            </w:r>
            <w:r w:rsidR="0080493C" w:rsidRPr="00A23740">
              <w:t xml:space="preserve"> dâhil </w:t>
            </w:r>
            <w:r w:rsidR="0080493C" w:rsidRPr="00A23740">
              <w:rPr>
                <w:rFonts w:eastAsia="Times New Roman"/>
                <w:b w:val="0"/>
                <w:bCs w:val="0"/>
                <w:color w:val="auto"/>
                <w:lang w:val="tr-TR" w:eastAsia="tr-TR"/>
              </w:rPr>
              <w:t>olduğu derece namına satış</w:t>
            </w:r>
            <w:r w:rsidRPr="00A23740">
              <w:rPr>
                <w:rFonts w:eastAsia="Times New Roman"/>
                <w:b w:val="0"/>
                <w:bCs w:val="0"/>
                <w:color w:val="auto"/>
                <w:lang w:val="tr-TR" w:eastAsia="tr-TR"/>
              </w:rPr>
              <w:t xml:space="preserve"> </w:t>
            </w:r>
            <w:r w:rsidRPr="00A23740">
              <w:t>talep edebilir</w:t>
            </w:r>
            <w:r w:rsidR="0080493C" w:rsidRPr="00A23740">
              <w:rPr>
                <w:rFonts w:eastAsia="Times New Roman"/>
                <w:b w:val="0"/>
                <w:bCs w:val="0"/>
                <w:color w:val="auto"/>
                <w:lang w:val="tr-TR" w:eastAsia="tr-TR"/>
              </w:rPr>
              <w:t>.</w:t>
            </w:r>
          </w:p>
          <w:p w:rsidR="0080493C" w:rsidRPr="00A23740" w:rsidRDefault="0080493C" w:rsidP="009431FF">
            <w:pPr>
              <w:tabs>
                <w:tab w:val="left" w:pos="567"/>
              </w:tabs>
              <w:rPr>
                <w:rStyle w:val="MaviChar"/>
                <w:lang w:val="tr-TR"/>
              </w:rPr>
            </w:pPr>
          </w:p>
          <w:p w:rsidR="008C2C3C" w:rsidRPr="00A23740" w:rsidRDefault="008C2C3C" w:rsidP="009431FF">
            <w:pPr>
              <w:tabs>
                <w:tab w:val="left" w:pos="567"/>
              </w:tabs>
              <w:rPr>
                <w:rStyle w:val="MaviChar"/>
                <w:lang w:val="tr-TR"/>
              </w:rPr>
            </w:pPr>
          </w:p>
          <w:p w:rsidR="008C2C3C" w:rsidRPr="00A23740" w:rsidRDefault="008C2C3C" w:rsidP="009431FF">
            <w:pPr>
              <w:tabs>
                <w:tab w:val="left" w:pos="567"/>
              </w:tabs>
              <w:rPr>
                <w:rStyle w:val="MaviChar"/>
                <w:lang w:val="tr-TR"/>
              </w:rPr>
            </w:pPr>
          </w:p>
          <w:p w:rsidR="008C2C3C" w:rsidRPr="00A23740" w:rsidRDefault="008C2C3C" w:rsidP="009431FF">
            <w:pPr>
              <w:tabs>
                <w:tab w:val="left" w:pos="567"/>
              </w:tabs>
              <w:rPr>
                <w:rStyle w:val="MaviChar"/>
                <w:lang w:val="tr-TR"/>
              </w:rPr>
            </w:pPr>
          </w:p>
          <w:p w:rsidR="008C2C3C" w:rsidRDefault="008C2C3C" w:rsidP="009431FF">
            <w:pPr>
              <w:tabs>
                <w:tab w:val="left" w:pos="567"/>
              </w:tabs>
              <w:rPr>
                <w:rStyle w:val="MaviChar"/>
                <w:lang w:val="tr-TR"/>
              </w:rPr>
            </w:pPr>
          </w:p>
          <w:p w:rsidR="004740E6" w:rsidRPr="00A23740" w:rsidRDefault="004740E6" w:rsidP="009431FF">
            <w:pPr>
              <w:tabs>
                <w:tab w:val="left" w:pos="567"/>
              </w:tabs>
              <w:rPr>
                <w:rStyle w:val="MaviChar"/>
                <w:lang w:val="tr-TR"/>
              </w:rPr>
            </w:pPr>
          </w:p>
          <w:p w:rsidR="008C2C3C" w:rsidRPr="00A23740" w:rsidRDefault="008C2C3C" w:rsidP="009431FF">
            <w:pPr>
              <w:tabs>
                <w:tab w:val="left" w:pos="567"/>
              </w:tabs>
              <w:rPr>
                <w:rStyle w:val="MaviChar"/>
                <w:lang w:val="tr-TR"/>
              </w:rPr>
            </w:pPr>
          </w:p>
          <w:p w:rsidR="008C2C3C" w:rsidRPr="00A23740" w:rsidRDefault="008C2C3C" w:rsidP="009431FF">
            <w:pPr>
              <w:tabs>
                <w:tab w:val="left" w:pos="567"/>
              </w:tabs>
              <w:rPr>
                <w:rStyle w:val="MaviChar"/>
                <w:lang w:val="tr-TR"/>
              </w:rPr>
            </w:pPr>
          </w:p>
          <w:p w:rsidR="000B6816" w:rsidRPr="00A23740" w:rsidRDefault="000B6816" w:rsidP="009431FF">
            <w:pPr>
              <w:tabs>
                <w:tab w:val="left" w:pos="567"/>
              </w:tabs>
              <w:rPr>
                <w:rStyle w:val="MaviChar"/>
                <w:lang w:val="tr-TR"/>
              </w:rPr>
            </w:pPr>
            <w:r w:rsidRPr="00A23740">
              <w:rPr>
                <w:rStyle w:val="MaviChar"/>
                <w:lang w:val="tr-TR"/>
              </w:rPr>
              <w:t>(</w:t>
            </w:r>
            <w:r w:rsidR="001D68CF" w:rsidRPr="00A23740">
              <w:rPr>
                <w:rStyle w:val="MaviChar"/>
                <w:lang w:val="tr-TR"/>
              </w:rPr>
              <w:t>4</w:t>
            </w:r>
            <w:r w:rsidRPr="00A23740">
              <w:rPr>
                <w:rStyle w:val="MaviChar"/>
                <w:lang w:val="tr-TR"/>
              </w:rPr>
              <w:t xml:space="preserve">) Satış talebi, </w:t>
            </w:r>
            <w:r w:rsidRPr="00A23740">
              <w:rPr>
                <w:rFonts w:eastAsia="ヒラギノ明朝 Pro W3"/>
                <w:bCs/>
                <w:lang w:eastAsia="tr-TR"/>
              </w:rPr>
              <w:t>bir defa geri alınabilir.</w:t>
            </w:r>
          </w:p>
          <w:p w:rsidR="000B6816" w:rsidRPr="00A23740" w:rsidRDefault="000B6816" w:rsidP="009431FF">
            <w:pPr>
              <w:tabs>
                <w:tab w:val="left" w:pos="567"/>
              </w:tabs>
              <w:rPr>
                <w:rStyle w:val="MaviChar"/>
                <w:lang w:val="tr-TR"/>
              </w:rPr>
            </w:pPr>
          </w:p>
          <w:p w:rsidR="00AA5C8C" w:rsidRPr="00A23740" w:rsidRDefault="000B6816" w:rsidP="009431FF">
            <w:pPr>
              <w:tabs>
                <w:tab w:val="left" w:pos="567"/>
              </w:tabs>
              <w:rPr>
                <w:rFonts w:eastAsia="Times New Roman"/>
                <w:b/>
                <w:color w:val="FF3399"/>
                <w:szCs w:val="24"/>
                <w:lang w:eastAsia="tr-TR"/>
              </w:rPr>
            </w:pPr>
            <w:r w:rsidRPr="00A23740">
              <w:rPr>
                <w:rStyle w:val="MaviChar"/>
                <w:lang w:val="tr-TR"/>
              </w:rPr>
              <w:t>(</w:t>
            </w:r>
            <w:r w:rsidR="001D68CF" w:rsidRPr="00A23740">
              <w:rPr>
                <w:rStyle w:val="MaviChar"/>
                <w:lang w:val="tr-TR"/>
              </w:rPr>
              <w:t>5</w:t>
            </w:r>
            <w:r w:rsidRPr="00A23740">
              <w:rPr>
                <w:rStyle w:val="MaviChar"/>
                <w:lang w:val="tr-TR"/>
              </w:rPr>
              <w:t xml:space="preserve">) </w:t>
            </w:r>
            <w:r w:rsidR="00FE47C4" w:rsidRPr="00A23740">
              <w:rPr>
                <w:rStyle w:val="MaviChar"/>
                <w:lang w:val="tr-TR"/>
              </w:rPr>
              <w:t>İ</w:t>
            </w:r>
            <w:r w:rsidRPr="00A23740">
              <w:rPr>
                <w:rStyle w:val="MaviChar"/>
                <w:lang w:val="tr-TR"/>
              </w:rPr>
              <w:t xml:space="preserve">cra </w:t>
            </w:r>
            <w:r w:rsidR="0081036D" w:rsidRPr="00A23740">
              <w:rPr>
                <w:rStyle w:val="MaviChar"/>
                <w:lang w:val="tr-TR"/>
              </w:rPr>
              <w:t xml:space="preserve">ve iflas </w:t>
            </w:r>
            <w:r w:rsidRPr="00A23740">
              <w:rPr>
                <w:rStyle w:val="MaviChar"/>
                <w:lang w:val="tr-TR"/>
              </w:rPr>
              <w:t xml:space="preserve">dairesi, </w:t>
            </w:r>
            <w:r w:rsidRPr="00A23740">
              <w:rPr>
                <w:rFonts w:eastAsia="Times New Roman"/>
                <w:b/>
                <w:color w:val="0000FF"/>
                <w:szCs w:val="24"/>
                <w:lang w:eastAsia="tr-TR"/>
              </w:rPr>
              <w:t>şartların yerine gelmiş olduğunu tespit ederse satış kararı verir ve haczedilen mal</w:t>
            </w:r>
            <w:r w:rsidRPr="00A23740">
              <w:rPr>
                <w:rStyle w:val="YELChar"/>
              </w:rPr>
              <w:t xml:space="preserve"> </w:t>
            </w:r>
            <w:r w:rsidRPr="00A23740">
              <w:rPr>
                <w:rStyle w:val="MaviChar"/>
              </w:rPr>
              <w:t>ve hak</w:t>
            </w:r>
            <w:r w:rsidRPr="00A23740">
              <w:rPr>
                <w:rFonts w:eastAsia="Times New Roman"/>
                <w:b/>
                <w:color w:val="0000FF"/>
                <w:szCs w:val="24"/>
                <w:lang w:eastAsia="tr-TR"/>
              </w:rPr>
              <w:t xml:space="preserve"> resm</w:t>
            </w:r>
            <w:r w:rsidR="00286FDE" w:rsidRPr="00A23740">
              <w:rPr>
                <w:rFonts w:eastAsia="Times New Roman"/>
                <w:b/>
                <w:color w:val="0000FF"/>
                <w:szCs w:val="24"/>
                <w:lang w:eastAsia="tr-TR"/>
              </w:rPr>
              <w:t>î</w:t>
            </w:r>
            <w:r w:rsidRPr="00A23740">
              <w:rPr>
                <w:rFonts w:eastAsia="Times New Roman"/>
                <w:b/>
                <w:color w:val="0000FF"/>
                <w:szCs w:val="24"/>
                <w:lang w:eastAsia="tr-TR"/>
              </w:rPr>
              <w:t xml:space="preserve"> sicile kayıtlı ise bu kararı derh</w:t>
            </w:r>
            <w:r w:rsidR="00DF22A1" w:rsidRPr="00A23740">
              <w:rPr>
                <w:rFonts w:eastAsia="Times New Roman"/>
                <w:b/>
                <w:color w:val="0000FF"/>
                <w:szCs w:val="24"/>
                <w:lang w:eastAsia="tr-TR"/>
              </w:rPr>
              <w:t>â</w:t>
            </w:r>
            <w:r w:rsidRPr="00A23740">
              <w:rPr>
                <w:rFonts w:eastAsia="Times New Roman"/>
                <w:b/>
                <w:color w:val="0000FF"/>
                <w:szCs w:val="24"/>
                <w:lang w:eastAsia="tr-TR"/>
              </w:rPr>
              <w:t>l ilgili resm</w:t>
            </w:r>
            <w:r w:rsidR="00286FDE" w:rsidRPr="00A23740">
              <w:rPr>
                <w:rFonts w:eastAsia="Times New Roman"/>
                <w:b/>
                <w:color w:val="0000FF"/>
                <w:szCs w:val="24"/>
                <w:lang w:eastAsia="tr-TR"/>
              </w:rPr>
              <w:t>î</w:t>
            </w:r>
            <w:r w:rsidRPr="00A23740">
              <w:rPr>
                <w:rFonts w:eastAsia="Times New Roman"/>
                <w:b/>
                <w:color w:val="0000FF"/>
                <w:szCs w:val="24"/>
                <w:lang w:eastAsia="tr-TR"/>
              </w:rPr>
              <w:t xml:space="preserve"> sicile şerh edilmek üzere bildirir.</w:t>
            </w:r>
          </w:p>
          <w:p w:rsidR="00AA5C8C" w:rsidRDefault="00AA5C8C" w:rsidP="009431FF">
            <w:pPr>
              <w:tabs>
                <w:tab w:val="left" w:pos="566"/>
              </w:tabs>
              <w:contextualSpacing/>
              <w:rPr>
                <w:rFonts w:eastAsia="Times New Roman"/>
                <w:b/>
                <w:color w:val="FF0000"/>
                <w:szCs w:val="24"/>
                <w:lang w:eastAsia="tr-TR"/>
              </w:rPr>
            </w:pPr>
          </w:p>
          <w:p w:rsidR="004740E6" w:rsidRPr="00A23740" w:rsidRDefault="004740E6" w:rsidP="009431FF">
            <w:pPr>
              <w:tabs>
                <w:tab w:val="left" w:pos="566"/>
              </w:tabs>
              <w:contextualSpacing/>
              <w:rPr>
                <w:rFonts w:eastAsia="Times New Roman"/>
                <w:b/>
                <w:color w:val="FF0000"/>
                <w:szCs w:val="24"/>
                <w:lang w:eastAsia="tr-TR"/>
              </w:rPr>
            </w:pPr>
          </w:p>
          <w:p w:rsidR="00AA5C8C" w:rsidRPr="00A23740" w:rsidRDefault="001D68CF" w:rsidP="009431FF">
            <w:pPr>
              <w:tabs>
                <w:tab w:val="left" w:pos="566"/>
              </w:tabs>
              <w:rPr>
                <w:rFonts w:eastAsia="Times New Roman"/>
                <w:b/>
                <w:color w:val="0000FF"/>
                <w:szCs w:val="24"/>
                <w:lang w:eastAsia="tr-TR"/>
              </w:rPr>
            </w:pPr>
            <w:r w:rsidRPr="00A23740">
              <w:rPr>
                <w:rFonts w:eastAsia="Times New Roman"/>
                <w:b/>
                <w:color w:val="0000FF"/>
                <w:szCs w:val="24"/>
                <w:lang w:eastAsia="tr-TR"/>
              </w:rPr>
              <w:t>(6</w:t>
            </w:r>
            <w:r w:rsidR="00AA5C8C" w:rsidRPr="00A23740">
              <w:rPr>
                <w:rFonts w:eastAsia="Times New Roman"/>
                <w:b/>
                <w:color w:val="0000FF"/>
                <w:szCs w:val="24"/>
                <w:lang w:eastAsia="tr-TR"/>
              </w:rPr>
              <w:t>) Satış talebi icra</w:t>
            </w:r>
            <w:r w:rsidR="00AA5C8C" w:rsidRPr="00A23740">
              <w:rPr>
                <w:rFonts w:eastAsia="Times New Roman"/>
                <w:b/>
                <w:color w:val="385623"/>
                <w:szCs w:val="24"/>
                <w:lang w:eastAsia="tr-TR"/>
              </w:rPr>
              <w:t xml:space="preserve"> </w:t>
            </w:r>
            <w:r w:rsidR="008F4DE3" w:rsidRPr="00BF6B46">
              <w:rPr>
                <w:rStyle w:val="Balk1Char"/>
                <w:rFonts w:eastAsia="Calibri"/>
              </w:rPr>
              <w:t>ve iflas</w:t>
            </w:r>
            <w:r w:rsidR="008F4DE3" w:rsidRPr="00A23740">
              <w:rPr>
                <w:rFonts w:eastAsia="Times New Roman"/>
                <w:b/>
                <w:color w:val="385623"/>
                <w:szCs w:val="24"/>
                <w:lang w:eastAsia="tr-TR"/>
              </w:rPr>
              <w:t xml:space="preserve"> </w:t>
            </w:r>
            <w:r w:rsidR="00AA5C8C" w:rsidRPr="00A23740">
              <w:rPr>
                <w:rFonts w:eastAsia="Times New Roman"/>
                <w:b/>
                <w:color w:val="0000FF"/>
                <w:szCs w:val="24"/>
                <w:lang w:eastAsia="tr-TR"/>
              </w:rPr>
              <w:t>dairesince reddedildiği takdirde, ret kararı şikâyet üzerine iptal edilmedikçe satış talebi yapılmamış sayılır.</w:t>
            </w:r>
          </w:p>
          <w:p w:rsidR="0032285B" w:rsidRPr="00A23740" w:rsidRDefault="0032285B" w:rsidP="009431FF">
            <w:pPr>
              <w:pStyle w:val="KIRMIZI"/>
              <w:rPr>
                <w:rFonts w:eastAsia="ヒラギノ明朝 Pro W3"/>
                <w:strike w:val="0"/>
                <w:lang w:val="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C11B2F" w:rsidRPr="00A23740" w:rsidRDefault="00C11B2F" w:rsidP="009431FF">
            <w:pPr>
              <w:ind w:firstLine="709"/>
              <w:rPr>
                <w:rFonts w:eastAsia="Times New Roman"/>
                <w:b/>
                <w:color w:val="000000"/>
                <w:szCs w:val="24"/>
                <w:lang w:eastAsia="tr-TR"/>
              </w:rPr>
            </w:pPr>
          </w:p>
          <w:p w:rsidR="00C11B2F" w:rsidRPr="00A23740" w:rsidRDefault="00C11B2F" w:rsidP="009431FF">
            <w:pPr>
              <w:tabs>
                <w:tab w:val="left" w:pos="567"/>
              </w:tabs>
              <w:ind w:firstLine="709"/>
              <w:rPr>
                <w:rFonts w:eastAsia="Times New Roman"/>
                <w:color w:val="000000"/>
                <w:szCs w:val="24"/>
                <w:lang w:eastAsia="tr-TR"/>
              </w:rPr>
            </w:pPr>
            <w:r w:rsidRPr="00A23740">
              <w:rPr>
                <w:b/>
                <w:bCs/>
                <w:szCs w:val="24"/>
                <w:lang w:eastAsia="x-none"/>
              </w:rPr>
              <w:t xml:space="preserve">MADDE </w:t>
            </w:r>
            <w:r w:rsidR="0025794C" w:rsidRPr="00A23740">
              <w:rPr>
                <w:b/>
                <w:bCs/>
                <w:szCs w:val="24"/>
                <w:lang w:eastAsia="x-none"/>
              </w:rPr>
              <w:t>213</w:t>
            </w:r>
            <w:r w:rsidRPr="00A23740">
              <w:rPr>
                <w:b/>
                <w:bCs/>
                <w:szCs w:val="24"/>
                <w:lang w:eastAsia="x-none"/>
              </w:rPr>
              <w:t>-</w:t>
            </w:r>
            <w:r w:rsidR="00750D6B" w:rsidRPr="00A23740">
              <w:rPr>
                <w:rFonts w:eastAsia="Times New Roman"/>
                <w:color w:val="000000"/>
                <w:szCs w:val="24"/>
                <w:lang w:eastAsia="tr-TR"/>
              </w:rPr>
              <w:t xml:space="preserve"> Maddeyle, </w:t>
            </w:r>
            <w:r w:rsidR="00AD7756" w:rsidRPr="00A23740">
              <w:rPr>
                <w:rFonts w:eastAsia="Times New Roman"/>
                <w:color w:val="000000"/>
                <w:szCs w:val="24"/>
                <w:lang w:eastAsia="tr-TR"/>
              </w:rPr>
              <w:t>elektronik ortamda açık artırma suretiyle</w:t>
            </w:r>
            <w:r w:rsidRPr="00A23740">
              <w:rPr>
                <w:rFonts w:eastAsia="Times New Roman"/>
                <w:color w:val="000000"/>
                <w:szCs w:val="24"/>
                <w:lang w:eastAsia="tr-TR"/>
              </w:rPr>
              <w:t xml:space="preserve"> satış talebine ilişkin hususlar düzenlenmektedir.</w:t>
            </w:r>
            <w:r w:rsidR="0081036D" w:rsidRPr="00A23740">
              <w:rPr>
                <w:rFonts w:eastAsia="Times New Roman"/>
                <w:color w:val="000000"/>
                <w:szCs w:val="24"/>
                <w:lang w:eastAsia="tr-TR"/>
              </w:rPr>
              <w:t xml:space="preserve"> Madde, içeriği itibarıyla 2004 sayılı Kanunun 106, 107, 110 ve 113 üncü maddelerine karşılık gelmektedir.</w:t>
            </w:r>
          </w:p>
          <w:p w:rsidR="0043793E" w:rsidRPr="00A23740" w:rsidRDefault="00D55ED6" w:rsidP="009431FF">
            <w:pPr>
              <w:ind w:firstLine="709"/>
              <w:rPr>
                <w:rFonts w:eastAsia="Times New Roman"/>
                <w:color w:val="000000"/>
                <w:szCs w:val="24"/>
                <w:lang w:eastAsia="tr-TR"/>
              </w:rPr>
            </w:pPr>
            <w:r w:rsidRPr="00A23740">
              <w:rPr>
                <w:rFonts w:eastAsia="Times New Roman"/>
                <w:color w:val="000000"/>
                <w:szCs w:val="24"/>
                <w:lang w:eastAsia="tr-TR"/>
              </w:rPr>
              <w:t>Birinci fıkrayla, satış talep etme süreleri ile buna ilişkin işlemler belirlenme</w:t>
            </w:r>
            <w:r w:rsidR="00F66D0E" w:rsidRPr="00A23740">
              <w:rPr>
                <w:rFonts w:eastAsia="Times New Roman"/>
                <w:color w:val="000000"/>
                <w:szCs w:val="24"/>
                <w:lang w:eastAsia="tr-TR"/>
              </w:rPr>
              <w:t xml:space="preserve">ktedir. Hükümle, </w:t>
            </w:r>
            <w:r w:rsidRPr="00A23740">
              <w:rPr>
                <w:rFonts w:eastAsia="Times New Roman"/>
                <w:color w:val="000000"/>
                <w:szCs w:val="24"/>
                <w:lang w:eastAsia="tr-TR"/>
              </w:rPr>
              <w:t xml:space="preserve">hacizden </w:t>
            </w:r>
            <w:r w:rsidRPr="00D60C1D">
              <w:rPr>
                <w:rFonts w:eastAsia="Times New Roman"/>
                <w:color w:val="000000"/>
                <w:szCs w:val="24"/>
                <w:lang w:eastAsia="tr-TR"/>
              </w:rPr>
              <w:t xml:space="preserve">itibaren </w:t>
            </w:r>
            <w:r w:rsidR="0043793E" w:rsidRPr="00D60C1D">
              <w:rPr>
                <w:rFonts w:eastAsia="Times New Roman"/>
                <w:color w:val="000000"/>
                <w:szCs w:val="24"/>
                <w:lang w:eastAsia="tr-TR"/>
              </w:rPr>
              <w:t xml:space="preserve">işlemesi öngörülen bir “soğuma süresi” boyunca satış talep </w:t>
            </w:r>
            <w:r w:rsidR="00E427EC" w:rsidRPr="00D60C1D">
              <w:rPr>
                <w:rFonts w:eastAsia="Times New Roman"/>
                <w:color w:val="000000"/>
                <w:szCs w:val="24"/>
                <w:lang w:eastAsia="tr-TR"/>
              </w:rPr>
              <w:t xml:space="preserve">edilememesi </w:t>
            </w:r>
            <w:r w:rsidR="0043793E" w:rsidRPr="00D60C1D">
              <w:rPr>
                <w:rFonts w:eastAsia="Times New Roman"/>
                <w:color w:val="000000"/>
                <w:szCs w:val="24"/>
                <w:lang w:eastAsia="tr-TR"/>
              </w:rPr>
              <w:t xml:space="preserve">öngörülmüştür. Bilim Komisyonu çalışmaları sırasında ilk </w:t>
            </w:r>
            <w:r w:rsidR="00E427EC" w:rsidRPr="00D60C1D">
              <w:rPr>
                <w:rFonts w:eastAsia="Times New Roman"/>
                <w:color w:val="000000"/>
                <w:szCs w:val="24"/>
                <w:lang w:eastAsia="tr-TR"/>
              </w:rPr>
              <w:t xml:space="preserve"> önce </w:t>
            </w:r>
            <w:r w:rsidR="0043793E" w:rsidRPr="00D60C1D">
              <w:rPr>
                <w:rFonts w:eastAsia="Times New Roman"/>
                <w:color w:val="000000"/>
                <w:szCs w:val="24"/>
                <w:lang w:eastAsia="tr-TR"/>
              </w:rPr>
              <w:t>söz konusu sürenin iki hafta olması yeterli görülmüşken</w:t>
            </w:r>
            <w:r w:rsidR="00E427EC" w:rsidRPr="00D60C1D">
              <w:rPr>
                <w:rFonts w:eastAsia="Times New Roman"/>
                <w:color w:val="000000"/>
                <w:szCs w:val="24"/>
                <w:lang w:eastAsia="tr-TR"/>
              </w:rPr>
              <w:t>,</w:t>
            </w:r>
            <w:r w:rsidR="0043793E" w:rsidRPr="00D60C1D">
              <w:rPr>
                <w:rFonts w:eastAsia="Times New Roman"/>
                <w:color w:val="000000"/>
                <w:szCs w:val="24"/>
                <w:lang w:eastAsia="tr-TR"/>
              </w:rPr>
              <w:t xml:space="preserve"> daha sonra yapılan müzakerelerde iki haftalık sürenin borçlunun hacizli malı satıştan kurtaracak bir mali imkân bulması için yetersiz kalacağı düşüncesiyle süre bir aya çıkarılmıştır. Söz konusu süre mehaz Kanunun 116 ncı maddesinin birinci fıkrasında taşınır mallar için bir ay, taşınmaz mallar için altı aydır.</w:t>
            </w:r>
          </w:p>
          <w:p w:rsidR="0032285B" w:rsidRPr="00A23740" w:rsidRDefault="00F66D0E" w:rsidP="009431FF">
            <w:pPr>
              <w:ind w:firstLine="709"/>
              <w:rPr>
                <w:rFonts w:eastAsia="Times New Roman"/>
                <w:color w:val="000000"/>
                <w:szCs w:val="24"/>
                <w:lang w:eastAsia="tr-TR"/>
              </w:rPr>
            </w:pPr>
            <w:r w:rsidRPr="00A23740">
              <w:rPr>
                <w:rFonts w:eastAsia="Times New Roman"/>
                <w:color w:val="000000"/>
                <w:szCs w:val="24"/>
                <w:lang w:eastAsia="tr-TR"/>
              </w:rPr>
              <w:t>Satış isteme süreleri,</w:t>
            </w:r>
            <w:r w:rsidR="00C11B2F" w:rsidRPr="00A23740">
              <w:rPr>
                <w:rFonts w:eastAsia="Times New Roman"/>
                <w:color w:val="000000"/>
                <w:szCs w:val="24"/>
                <w:lang w:eastAsia="tr-TR"/>
              </w:rPr>
              <w:t xml:space="preserve"> satış dışındaki</w:t>
            </w:r>
            <w:r w:rsidR="00AD7756" w:rsidRPr="00A23740">
              <w:rPr>
                <w:rFonts w:eastAsia="Times New Roman"/>
                <w:color w:val="000000"/>
                <w:szCs w:val="24"/>
                <w:lang w:eastAsia="tr-TR"/>
              </w:rPr>
              <w:t xml:space="preserve"> </w:t>
            </w:r>
            <w:r w:rsidR="00C11B2F" w:rsidRPr="00A23740">
              <w:rPr>
                <w:rFonts w:eastAsia="Times New Roman"/>
                <w:color w:val="000000"/>
                <w:szCs w:val="24"/>
                <w:lang w:eastAsia="tr-TR"/>
              </w:rPr>
              <w:t>paraya çevirme h</w:t>
            </w:r>
            <w:r w:rsidR="00707B08" w:rsidRPr="00A23740">
              <w:rPr>
                <w:rFonts w:eastAsia="Times New Roman"/>
                <w:color w:val="000000"/>
                <w:szCs w:val="24"/>
                <w:lang w:eastAsia="tr-TR"/>
              </w:rPr>
              <w:t>â</w:t>
            </w:r>
            <w:r w:rsidR="00C11B2F" w:rsidRPr="00A23740">
              <w:rPr>
                <w:rFonts w:eastAsia="Times New Roman"/>
                <w:color w:val="000000"/>
                <w:szCs w:val="24"/>
                <w:lang w:eastAsia="tr-TR"/>
              </w:rPr>
              <w:t>ll</w:t>
            </w:r>
            <w:r w:rsidRPr="00A23740">
              <w:rPr>
                <w:rFonts w:eastAsia="Times New Roman"/>
                <w:color w:val="000000"/>
                <w:szCs w:val="24"/>
                <w:lang w:eastAsia="tr-TR"/>
              </w:rPr>
              <w:t>erinde de kıyasen uygulanı</w:t>
            </w:r>
            <w:r w:rsidR="00D55ED6" w:rsidRPr="00A23740">
              <w:rPr>
                <w:rFonts w:eastAsia="Times New Roman"/>
                <w:color w:val="000000"/>
                <w:szCs w:val="24"/>
                <w:lang w:eastAsia="tr-TR"/>
              </w:rPr>
              <w:t>r</w:t>
            </w:r>
            <w:r w:rsidR="00C11B2F" w:rsidRPr="00A23740">
              <w:rPr>
                <w:rFonts w:eastAsia="Times New Roman"/>
                <w:color w:val="000000"/>
                <w:szCs w:val="24"/>
                <w:lang w:eastAsia="tr-TR"/>
              </w:rPr>
              <w:t xml:space="preserve">. </w:t>
            </w:r>
            <w:r w:rsidR="00D55ED6" w:rsidRPr="00A23740">
              <w:rPr>
                <w:rFonts w:eastAsia="Times New Roman"/>
                <w:bCs/>
                <w:color w:val="000000"/>
                <w:lang w:eastAsia="tr-TR"/>
              </w:rPr>
              <w:t>2004 sayılı Kanunun 88 inci maddesi kapsamında uygulamada görülen “müzekkere”</w:t>
            </w:r>
            <w:r w:rsidR="00E427EC" w:rsidRPr="00A23740">
              <w:rPr>
                <w:rFonts w:eastAsia="Times New Roman"/>
                <w:bCs/>
                <w:color w:val="000000"/>
                <w:lang w:eastAsia="tr-TR"/>
              </w:rPr>
              <w:t>yle</w:t>
            </w:r>
            <w:r w:rsidR="00D55ED6" w:rsidRPr="00A23740">
              <w:rPr>
                <w:rFonts w:eastAsia="Times New Roman"/>
                <w:bCs/>
                <w:color w:val="000000"/>
                <w:lang w:eastAsia="tr-TR"/>
              </w:rPr>
              <w:t xml:space="preserve"> haciz uygulaması Taslakla kaldırıld</w:t>
            </w:r>
            <w:r w:rsidRPr="00A23740">
              <w:rPr>
                <w:rFonts w:eastAsia="Times New Roman"/>
                <w:bCs/>
                <w:color w:val="000000"/>
                <w:lang w:eastAsia="tr-TR"/>
              </w:rPr>
              <w:t xml:space="preserve">ığından, </w:t>
            </w:r>
            <w:r w:rsidR="00D55ED6" w:rsidRPr="00A23740">
              <w:rPr>
                <w:rFonts w:eastAsia="Times New Roman"/>
                <w:bCs/>
                <w:color w:val="000000"/>
                <w:lang w:eastAsia="tr-TR"/>
              </w:rPr>
              <w:t xml:space="preserve">2004 sayılı Kanunun 106 ncı maddesinin birinci fıkrasının son cümlesinde yer alan “borçlunun üçüncü şahıslardaki alacağı da bu hükme tabidir.” </w:t>
            </w:r>
            <w:r w:rsidRPr="00A23740">
              <w:rPr>
                <w:rFonts w:eastAsia="Times New Roman"/>
                <w:bCs/>
                <w:color w:val="000000"/>
                <w:lang w:eastAsia="tr-TR"/>
              </w:rPr>
              <w:t>düzenlemesine</w:t>
            </w:r>
            <w:r w:rsidR="00D55ED6" w:rsidRPr="00A23740">
              <w:rPr>
                <w:rFonts w:eastAsia="Times New Roman"/>
                <w:bCs/>
                <w:color w:val="000000"/>
                <w:lang w:eastAsia="tr-TR"/>
              </w:rPr>
              <w:t xml:space="preserve"> maddede yer verilmemektedir.</w:t>
            </w:r>
            <w:r w:rsidR="00D55ED6" w:rsidRPr="00A23740">
              <w:rPr>
                <w:rFonts w:eastAsia="Times New Roman"/>
                <w:color w:val="000000"/>
                <w:szCs w:val="24"/>
                <w:lang w:eastAsia="tr-TR"/>
              </w:rPr>
              <w:t xml:space="preserve"> 2004 sayılı Kanunun 106 ncı maddesinin ikinci fıkrasına, borçlunun malının iki yıl gibi uzun bir süre bloke edilmesinin hakkaniyete uygun olmadığı kabul edilerek maddede yer verilmemektedir. </w:t>
            </w:r>
            <w:r w:rsidR="00C11B2F" w:rsidRPr="00A23740">
              <w:rPr>
                <w:rFonts w:eastAsia="Times New Roman"/>
                <w:color w:val="000000"/>
                <w:szCs w:val="24"/>
                <w:lang w:eastAsia="tr-TR"/>
              </w:rPr>
              <w:t>Bu fıkra, 2004 sayılı Kanunun 106 ncı maddesinin birinci fıkrasına karşılık gelmektedir.</w:t>
            </w:r>
            <w:r w:rsidR="00FF776C" w:rsidRPr="00A23740">
              <w:rPr>
                <w:rFonts w:eastAsia="Times New Roman"/>
                <w:color w:val="000000"/>
                <w:szCs w:val="24"/>
                <w:lang w:eastAsia="tr-TR"/>
              </w:rPr>
              <w:t xml:space="preserve"> Öte yandan, 2004 sayılı Kanunun 113 üncü maddesini</w:t>
            </w:r>
            <w:r w:rsidRPr="00A23740">
              <w:rPr>
                <w:rFonts w:eastAsia="Times New Roman"/>
                <w:color w:val="000000"/>
                <w:szCs w:val="24"/>
                <w:lang w:eastAsia="tr-TR"/>
              </w:rPr>
              <w:t xml:space="preserve">n birinci fıkrasında </w:t>
            </w:r>
            <w:r w:rsidR="00FF776C" w:rsidRPr="00A23740">
              <w:rPr>
                <w:rFonts w:eastAsia="Times New Roman"/>
                <w:color w:val="000000"/>
                <w:szCs w:val="24"/>
                <w:lang w:eastAsia="tr-TR"/>
              </w:rPr>
              <w:t xml:space="preserve">yer alan </w:t>
            </w:r>
            <w:r w:rsidR="00E427EC" w:rsidRPr="00A23740">
              <w:rPr>
                <w:rFonts w:eastAsia="Times New Roman"/>
                <w:color w:val="000000"/>
                <w:szCs w:val="24"/>
                <w:lang w:eastAsia="tr-TR"/>
              </w:rPr>
              <w:t xml:space="preserve">ve </w:t>
            </w:r>
            <w:r w:rsidR="00FF776C" w:rsidRPr="00A23740">
              <w:rPr>
                <w:rFonts w:eastAsia="Times New Roman"/>
                <w:color w:val="000000"/>
                <w:szCs w:val="24"/>
                <w:lang w:eastAsia="tr-TR"/>
              </w:rPr>
              <w:t xml:space="preserve">borçluya satış talep </w:t>
            </w:r>
            <w:r w:rsidRPr="00A23740">
              <w:rPr>
                <w:rFonts w:eastAsia="Times New Roman"/>
                <w:color w:val="000000"/>
                <w:szCs w:val="24"/>
                <w:lang w:eastAsia="tr-TR"/>
              </w:rPr>
              <w:t xml:space="preserve">etme </w:t>
            </w:r>
            <w:r w:rsidR="00FF776C" w:rsidRPr="00A23740">
              <w:rPr>
                <w:rFonts w:eastAsia="Times New Roman"/>
                <w:color w:val="000000"/>
                <w:szCs w:val="24"/>
                <w:lang w:eastAsia="tr-TR"/>
              </w:rPr>
              <w:t>yetkisi veren hüküm</w:t>
            </w:r>
            <w:r w:rsidRPr="00A23740">
              <w:rPr>
                <w:rFonts w:eastAsia="Times New Roman"/>
                <w:color w:val="000000"/>
                <w:szCs w:val="24"/>
                <w:lang w:eastAsia="tr-TR"/>
              </w:rPr>
              <w:t>,</w:t>
            </w:r>
            <w:r w:rsidR="00FF776C" w:rsidRPr="00A23740">
              <w:rPr>
                <w:rFonts w:eastAsia="Times New Roman"/>
                <w:color w:val="000000"/>
                <w:szCs w:val="24"/>
                <w:lang w:eastAsia="tr-TR"/>
              </w:rPr>
              <w:t xml:space="preserve"> birinci fıkrada düzenlendiğinden</w:t>
            </w:r>
            <w:r w:rsidRPr="00A23740">
              <w:rPr>
                <w:rFonts w:eastAsia="Times New Roman"/>
                <w:color w:val="000000"/>
                <w:szCs w:val="24"/>
                <w:lang w:eastAsia="tr-TR"/>
              </w:rPr>
              <w:t>,</w:t>
            </w:r>
            <w:r w:rsidR="00FF776C" w:rsidRPr="00A23740">
              <w:rPr>
                <w:rFonts w:eastAsia="Times New Roman"/>
                <w:color w:val="000000"/>
                <w:szCs w:val="24"/>
                <w:lang w:eastAsia="tr-TR"/>
              </w:rPr>
              <w:t xml:space="preserve"> Taslakta </w:t>
            </w:r>
            <w:r w:rsidRPr="00A23740">
              <w:rPr>
                <w:rFonts w:eastAsia="Times New Roman"/>
                <w:color w:val="000000"/>
                <w:szCs w:val="24"/>
                <w:lang w:eastAsia="tr-TR"/>
              </w:rPr>
              <w:t>muhafaza edilmemektedir</w:t>
            </w:r>
            <w:r w:rsidR="00FF776C" w:rsidRPr="00A23740">
              <w:rPr>
                <w:rFonts w:eastAsia="Times New Roman"/>
                <w:color w:val="000000"/>
                <w:szCs w:val="24"/>
                <w:lang w:eastAsia="tr-TR"/>
              </w:rPr>
              <w:t>.</w:t>
            </w:r>
          </w:p>
          <w:p w:rsidR="00A93042" w:rsidRPr="00D60C1D" w:rsidRDefault="0032285B" w:rsidP="009431FF">
            <w:pPr>
              <w:ind w:firstLine="709"/>
              <w:rPr>
                <w:rFonts w:eastAsia="Times New Roman"/>
                <w:color w:val="000000"/>
                <w:szCs w:val="24"/>
                <w:lang w:eastAsia="tr-TR"/>
              </w:rPr>
            </w:pPr>
            <w:r w:rsidRPr="00D60C1D">
              <w:rPr>
                <w:color w:val="000000"/>
                <w:lang w:eastAsia="tr-TR"/>
              </w:rPr>
              <w:t xml:space="preserve">Bilim Komisyonu çalışmaları sırasında </w:t>
            </w:r>
            <w:r w:rsidR="00A93042" w:rsidRPr="00D60C1D">
              <w:rPr>
                <w:color w:val="000000"/>
                <w:lang w:eastAsia="tr-TR"/>
              </w:rPr>
              <w:t>Taslağın birinci fıkrasında</w:t>
            </w:r>
            <w:r w:rsidRPr="00D60C1D">
              <w:rPr>
                <w:color w:val="000000"/>
                <w:lang w:eastAsia="tr-TR"/>
              </w:rPr>
              <w:t>ki</w:t>
            </w:r>
            <w:r w:rsidR="00A93042" w:rsidRPr="00D60C1D">
              <w:rPr>
                <w:color w:val="000000"/>
                <w:lang w:eastAsia="tr-TR"/>
              </w:rPr>
              <w:t xml:space="preserve"> satış isteme süresinin haczi takip eden iki haftanın sonunda başlamasının hacizden haberdar olmayabilecek borçlu bakımından sakıncalı olacağı y</w:t>
            </w:r>
            <w:r w:rsidRPr="00D60C1D">
              <w:rPr>
                <w:color w:val="000000"/>
                <w:lang w:eastAsia="tr-TR"/>
              </w:rPr>
              <w:t>önünde görüşler ileri sürülmüş</w:t>
            </w:r>
            <w:r w:rsidR="00A93042" w:rsidRPr="00D60C1D">
              <w:rPr>
                <w:color w:val="000000"/>
                <w:lang w:eastAsia="tr-TR"/>
              </w:rPr>
              <w:t>se de</w:t>
            </w:r>
            <w:r w:rsidR="00E427EC" w:rsidRPr="00D60C1D">
              <w:rPr>
                <w:color w:val="000000"/>
                <w:lang w:eastAsia="tr-TR"/>
              </w:rPr>
              <w:t>,</w:t>
            </w:r>
            <w:r w:rsidRPr="00D60C1D">
              <w:rPr>
                <w:color w:val="000000"/>
                <w:lang w:eastAsia="tr-TR"/>
              </w:rPr>
              <w:t xml:space="preserve"> haciz tutanağının borçluya tebliği </w:t>
            </w:r>
            <w:r w:rsidR="00E427EC" w:rsidRPr="00D60C1D">
              <w:rPr>
                <w:color w:val="000000"/>
                <w:lang w:eastAsia="tr-TR"/>
              </w:rPr>
              <w:t xml:space="preserve">konusunda oluşturulan </w:t>
            </w:r>
            <w:r w:rsidRPr="00D60C1D">
              <w:rPr>
                <w:color w:val="000000"/>
                <w:lang w:eastAsia="tr-TR"/>
              </w:rPr>
              <w:t>düzenlemeler</w:t>
            </w:r>
            <w:r w:rsidR="00A93042" w:rsidRPr="00D60C1D">
              <w:rPr>
                <w:color w:val="000000"/>
                <w:lang w:eastAsia="tr-TR"/>
              </w:rPr>
              <w:t xml:space="preserve"> </w:t>
            </w:r>
            <w:r w:rsidRPr="00D60C1D">
              <w:rPr>
                <w:color w:val="000000"/>
                <w:lang w:eastAsia="tr-TR"/>
              </w:rPr>
              <w:t xml:space="preserve">ve elektronik haciz hâlinde haciz tarihinin elektronik kayıttan öğrenilebilmesi imkânı bulunması </w:t>
            </w:r>
            <w:r w:rsidR="00A93042" w:rsidRPr="00D60C1D">
              <w:rPr>
                <w:color w:val="000000"/>
                <w:lang w:eastAsia="tr-TR"/>
              </w:rPr>
              <w:t>dolayısıyla</w:t>
            </w:r>
            <w:r w:rsidR="00E427EC" w:rsidRPr="00D60C1D">
              <w:rPr>
                <w:color w:val="000000"/>
                <w:lang w:eastAsia="tr-TR"/>
              </w:rPr>
              <w:t>,</w:t>
            </w:r>
            <w:r w:rsidR="00A93042" w:rsidRPr="00D60C1D">
              <w:rPr>
                <w:color w:val="000000"/>
                <w:lang w:eastAsia="tr-TR"/>
              </w:rPr>
              <w:t xml:space="preserve"> bu sakıncanın vari</w:t>
            </w:r>
            <w:r w:rsidR="00E427EC" w:rsidRPr="00D60C1D">
              <w:rPr>
                <w:color w:val="000000"/>
                <w:lang w:eastAsia="tr-TR"/>
              </w:rPr>
              <w:t>t</w:t>
            </w:r>
            <w:r w:rsidR="00A93042" w:rsidRPr="00D60C1D">
              <w:rPr>
                <w:color w:val="000000"/>
                <w:lang w:eastAsia="tr-TR"/>
              </w:rPr>
              <w:t xml:space="preserve"> olmadığı yönündeki görüş kabul edilmiş</w:t>
            </w:r>
            <w:r w:rsidRPr="00D60C1D">
              <w:rPr>
                <w:color w:val="000000"/>
                <w:lang w:eastAsia="tr-TR"/>
              </w:rPr>
              <w:t>tir.</w:t>
            </w:r>
          </w:p>
          <w:p w:rsidR="001D68CF" w:rsidRPr="00A23740" w:rsidRDefault="001D68CF" w:rsidP="009431FF">
            <w:pPr>
              <w:tabs>
                <w:tab w:val="left" w:pos="567"/>
              </w:tabs>
              <w:ind w:firstLine="709"/>
              <w:rPr>
                <w:rFonts w:eastAsia="Times New Roman"/>
                <w:bCs/>
                <w:color w:val="000000"/>
                <w:lang w:eastAsia="tr-TR"/>
              </w:rPr>
            </w:pPr>
            <w:r w:rsidRPr="00A23740">
              <w:rPr>
                <w:bCs/>
                <w:szCs w:val="24"/>
                <w:lang w:eastAsia="x-none"/>
              </w:rPr>
              <w:t>İkinci fıkrayla,</w:t>
            </w:r>
            <w:r w:rsidRPr="00A23740">
              <w:rPr>
                <w:rFonts w:eastAsia="Times New Roman"/>
                <w:szCs w:val="24"/>
                <w:lang w:eastAsia="tr-TR"/>
              </w:rPr>
              <w:t xml:space="preserve"> borçluya ait yetişmemiş ürünlerin satışına icra </w:t>
            </w:r>
            <w:r w:rsidR="007D74DD" w:rsidRPr="00D60C1D">
              <w:rPr>
                <w:color w:val="000000"/>
              </w:rPr>
              <w:t>ve iflas</w:t>
            </w:r>
            <w:r w:rsidR="007D74DD" w:rsidRPr="00A23740">
              <w:rPr>
                <w:b/>
                <w:color w:val="385623"/>
              </w:rPr>
              <w:t xml:space="preserve"> </w:t>
            </w:r>
            <w:r w:rsidRPr="00A23740">
              <w:rPr>
                <w:rFonts w:eastAsia="Times New Roman"/>
                <w:szCs w:val="24"/>
                <w:lang w:eastAsia="tr-TR"/>
              </w:rPr>
              <w:t xml:space="preserve">müdürü tarafından ancak onun muvafakati üzerine karar verilebileceği düzenlenmektedir. </w:t>
            </w:r>
            <w:r w:rsidR="00F66D0E" w:rsidRPr="00A23740">
              <w:rPr>
                <w:rFonts w:eastAsia="Times New Roman"/>
                <w:szCs w:val="24"/>
                <w:lang w:eastAsia="tr-TR"/>
              </w:rPr>
              <w:t xml:space="preserve">Hükümle, yetişmemiş ürünlerin daha düşük fiyata satılarak borçlunun zarar görmesinin önlenmesi amaçlanmaktadır. </w:t>
            </w:r>
            <w:r w:rsidR="00500E3B" w:rsidRPr="00A23740">
              <w:rPr>
                <w:rFonts w:eastAsia="Times New Roman"/>
                <w:szCs w:val="24"/>
                <w:lang w:eastAsia="tr-TR"/>
              </w:rPr>
              <w:t>2004 sayılı Kanunun 112 nci maddesinin ikinci fıkrasında yer alan “mahsül” ibaresi</w:t>
            </w:r>
            <w:r w:rsidR="00E427EC" w:rsidRPr="00A23740">
              <w:rPr>
                <w:rFonts w:eastAsia="Times New Roman"/>
                <w:szCs w:val="24"/>
                <w:lang w:eastAsia="tr-TR"/>
              </w:rPr>
              <w:t>,</w:t>
            </w:r>
            <w:r w:rsidR="00500E3B" w:rsidRPr="00A23740">
              <w:rPr>
                <w:rFonts w:eastAsia="Times New Roman"/>
                <w:szCs w:val="24"/>
                <w:lang w:eastAsia="tr-TR"/>
              </w:rPr>
              <w:t xml:space="preserve"> daha yaygın olarak kullanıldığı için “ürün” olarak değiştirilmektedir. </w:t>
            </w:r>
            <w:r w:rsidRPr="00A23740">
              <w:rPr>
                <w:rFonts w:eastAsia="Times New Roman"/>
                <w:szCs w:val="24"/>
                <w:lang w:eastAsia="tr-TR"/>
              </w:rPr>
              <w:t>Bu fıkra, 2004 sayılı Kanunun 112 nci maddesinin ikinci fıkrasına karşılık gelmekte olup dili sadeleştirilmek suretiyle muhafaza edilmektedir.</w:t>
            </w:r>
          </w:p>
          <w:p w:rsidR="001D68CF" w:rsidRPr="00A23740" w:rsidRDefault="001D68CF" w:rsidP="009431FF">
            <w:pPr>
              <w:tabs>
                <w:tab w:val="left" w:pos="567"/>
              </w:tabs>
              <w:ind w:firstLine="709"/>
              <w:rPr>
                <w:rFonts w:eastAsia="Times New Roman"/>
                <w:szCs w:val="24"/>
                <w:lang w:eastAsia="tr-TR"/>
              </w:rPr>
            </w:pPr>
            <w:r w:rsidRPr="00A23740">
              <w:rPr>
                <w:bCs/>
                <w:szCs w:val="24"/>
                <w:lang w:eastAsia="x-none"/>
              </w:rPr>
              <w:t>Üçüncü fıkra</w:t>
            </w:r>
            <w:r w:rsidR="00E427EC" w:rsidRPr="00A23740">
              <w:rPr>
                <w:bCs/>
                <w:szCs w:val="24"/>
                <w:lang w:eastAsia="x-none"/>
              </w:rPr>
              <w:t>da</w:t>
            </w:r>
            <w:r w:rsidRPr="00A23740">
              <w:rPr>
                <w:bCs/>
                <w:szCs w:val="24"/>
                <w:lang w:eastAsia="x-none"/>
              </w:rPr>
              <w:t>, cebr</w:t>
            </w:r>
            <w:r w:rsidR="00436506" w:rsidRPr="00A23740">
              <w:rPr>
                <w:bCs/>
                <w:szCs w:val="24"/>
                <w:lang w:eastAsia="x-none"/>
              </w:rPr>
              <w:t>î</w:t>
            </w:r>
            <w:r w:rsidRPr="00A23740">
              <w:rPr>
                <w:bCs/>
                <w:szCs w:val="24"/>
                <w:lang w:eastAsia="x-none"/>
              </w:rPr>
              <w:t xml:space="preserve"> icraya konu mal üzerinde, birden fazla kesin haciz sahibi alacaklının varlığı h</w:t>
            </w:r>
            <w:r w:rsidR="00707B08" w:rsidRPr="00A23740">
              <w:rPr>
                <w:bCs/>
                <w:szCs w:val="24"/>
                <w:lang w:eastAsia="x-none"/>
              </w:rPr>
              <w:t>â</w:t>
            </w:r>
            <w:r w:rsidRPr="00A23740">
              <w:rPr>
                <w:bCs/>
                <w:szCs w:val="24"/>
                <w:lang w:eastAsia="x-none"/>
              </w:rPr>
              <w:t>linde her alacaklının dâhil olduğu iştirak derecesi adına satış talebinde bulunabileceği düzenlenmektedir. Hükme göre alacaklılardan her biri ancak kendi iştirak derecesi adına satış talep edebilir. Bu satış, satış isteyen alacaklının iştirak derecesindeki diğer alacaklıları kapsar. Ancak satış, satış isteyen alacaklının iştirak derecesi dışındaki</w:t>
            </w:r>
            <w:r w:rsidRPr="00A23740">
              <w:rPr>
                <w:b/>
                <w:bCs/>
                <w:color w:val="0000FF"/>
                <w:szCs w:val="24"/>
                <w:lang w:eastAsia="x-none"/>
              </w:rPr>
              <w:t xml:space="preserve"> </w:t>
            </w:r>
            <w:r w:rsidRPr="00A23740">
              <w:rPr>
                <w:bCs/>
                <w:szCs w:val="24"/>
                <w:lang w:eastAsia="x-none"/>
              </w:rPr>
              <w:t>diğer iştirak derecelerindeki alacaklılar adına yapılmış sayılmaz. Taslağın</w:t>
            </w:r>
            <w:r w:rsidR="00105003" w:rsidRPr="00A23740">
              <w:rPr>
                <w:bCs/>
                <w:szCs w:val="24"/>
                <w:lang w:eastAsia="x-none"/>
              </w:rPr>
              <w:t xml:space="preserve"> </w:t>
            </w:r>
            <w:r w:rsidR="00105003" w:rsidRPr="00D60C1D">
              <w:rPr>
                <w:rStyle w:val="KonuBalChar"/>
                <w:rFonts w:eastAsia="Calibri"/>
                <w:b w:val="0"/>
                <w:color w:val="000000"/>
              </w:rPr>
              <w:t>198 inci</w:t>
            </w:r>
            <w:r w:rsidRPr="00A23740">
              <w:rPr>
                <w:bCs/>
                <w:szCs w:val="24"/>
                <w:lang w:eastAsia="x-none"/>
              </w:rPr>
              <w:t xml:space="preserve"> maddesinin son fıkrası uyarınca, hacizleri önceki dereceden artacak bedeller için geçerli olan alacaklılardan her biri dahi, dâhil olduğu derece namına satış isteyebilir. Bu fıkra, 2004 sayılı Kanunun 107 nci maddesinin birinci fıkrasına karşılık </w:t>
            </w:r>
            <w:r w:rsidRPr="00A23740">
              <w:rPr>
                <w:rFonts w:eastAsia="Times New Roman"/>
                <w:szCs w:val="24"/>
                <w:lang w:eastAsia="tr-TR"/>
              </w:rPr>
              <w:t>gelmekte olup</w:t>
            </w:r>
            <w:r w:rsidR="00E427EC" w:rsidRPr="00A23740">
              <w:rPr>
                <w:rFonts w:eastAsia="Times New Roman"/>
                <w:szCs w:val="24"/>
                <w:lang w:eastAsia="tr-TR"/>
              </w:rPr>
              <w:t>,</w:t>
            </w:r>
            <w:r w:rsidRPr="00A23740">
              <w:rPr>
                <w:rFonts w:eastAsia="Times New Roman"/>
                <w:szCs w:val="24"/>
                <w:lang w:eastAsia="tr-TR"/>
              </w:rPr>
              <w:t xml:space="preserve"> dili sadeleştirilmek suretiyle muhafaza edilmektedir.</w:t>
            </w:r>
          </w:p>
          <w:p w:rsidR="00A93042" w:rsidRPr="00D60C1D" w:rsidRDefault="00A93042" w:rsidP="009431FF">
            <w:pPr>
              <w:ind w:firstLine="709"/>
              <w:rPr>
                <w:rFonts w:eastAsia="Times New Roman"/>
                <w:color w:val="000000"/>
                <w:szCs w:val="24"/>
                <w:lang w:eastAsia="tr-TR"/>
              </w:rPr>
            </w:pPr>
            <w:r w:rsidRPr="00D60C1D">
              <w:rPr>
                <w:color w:val="000000"/>
              </w:rPr>
              <w:t>2004 sayılı Kanunun her alacaklının dâhil olduğu iştirak derecesi namına satış talebinde bulunabileceğine ilişkin 107 nci maddesinin ilk cümlesi maddeye üçüncü fıkra olarak alınmıştır. Her iştirak derecesindeki alacaklı mensup olduğu derece namına satış talebinde bulunabileceğinden</w:t>
            </w:r>
            <w:r w:rsidR="00E427EC" w:rsidRPr="00D60C1D">
              <w:rPr>
                <w:color w:val="000000"/>
              </w:rPr>
              <w:t>,</w:t>
            </w:r>
            <w:r w:rsidRPr="00D60C1D">
              <w:rPr>
                <w:color w:val="000000"/>
              </w:rPr>
              <w:t xml:space="preserve">bu satış talebi diğer iştirak derecelerindeki alacaklılar adına yapılmış sayılmayacak ve onlar </w:t>
            </w:r>
            <w:r w:rsidR="00E427EC" w:rsidRPr="00D60C1D">
              <w:rPr>
                <w:color w:val="000000"/>
              </w:rPr>
              <w:t xml:space="preserve"> bakımından </w:t>
            </w:r>
            <w:r w:rsidRPr="00D60C1D">
              <w:rPr>
                <w:color w:val="000000"/>
              </w:rPr>
              <w:t>satış isteme süresini kesmeyecektir.</w:t>
            </w:r>
          </w:p>
          <w:p w:rsidR="001D68CF" w:rsidRPr="00A23740" w:rsidRDefault="001D68CF" w:rsidP="009431FF">
            <w:pPr>
              <w:ind w:firstLine="709"/>
              <w:rPr>
                <w:rFonts w:eastAsia="Times New Roman"/>
                <w:bCs/>
                <w:color w:val="000000"/>
                <w:lang w:eastAsia="tr-TR"/>
              </w:rPr>
            </w:pPr>
            <w:r w:rsidRPr="00A23740">
              <w:rPr>
                <w:rFonts w:eastAsia="Times New Roman"/>
                <w:bCs/>
                <w:color w:val="000000"/>
                <w:lang w:eastAsia="tr-TR"/>
              </w:rPr>
              <w:t>Dördüncü</w:t>
            </w:r>
            <w:r w:rsidR="002D5CCC" w:rsidRPr="00A23740">
              <w:rPr>
                <w:rFonts w:eastAsia="Times New Roman"/>
                <w:bCs/>
                <w:color w:val="000000"/>
                <w:lang w:eastAsia="tr-TR"/>
              </w:rPr>
              <w:t xml:space="preserve"> fıkrayla</w:t>
            </w:r>
            <w:r w:rsidR="008F65D5" w:rsidRPr="00A23740">
              <w:rPr>
                <w:rFonts w:eastAsia="Times New Roman"/>
                <w:bCs/>
                <w:color w:val="000000"/>
                <w:lang w:eastAsia="tr-TR"/>
              </w:rPr>
              <w:t>, 2004 sayılı Kanunun 110 uncu maddesinin birinci fıkrasının son cümlesinde yer alan satış talebinin bir defa geri alınabilmesine ilişkin kural</w:t>
            </w:r>
            <w:r w:rsidR="002D5CCC" w:rsidRPr="00A23740">
              <w:rPr>
                <w:rFonts w:eastAsia="Times New Roman"/>
                <w:bCs/>
                <w:color w:val="000000"/>
                <w:lang w:eastAsia="tr-TR"/>
              </w:rPr>
              <w:t xml:space="preserve"> yeniden</w:t>
            </w:r>
            <w:r w:rsidR="008F65D5" w:rsidRPr="00A23740">
              <w:rPr>
                <w:rFonts w:eastAsia="Times New Roman"/>
                <w:bCs/>
                <w:color w:val="000000"/>
                <w:lang w:eastAsia="tr-TR"/>
              </w:rPr>
              <w:t xml:space="preserve"> düzenlenmektedir.</w:t>
            </w:r>
            <w:r w:rsidR="002D5CCC" w:rsidRPr="00A23740">
              <w:rPr>
                <w:rFonts w:eastAsia="Times New Roman"/>
                <w:bCs/>
                <w:color w:val="000000"/>
                <w:lang w:eastAsia="tr-TR"/>
              </w:rPr>
              <w:t xml:space="preserve"> Hükümle, satış talebinin </w:t>
            </w:r>
            <w:r w:rsidR="003864FD" w:rsidRPr="00A23740">
              <w:rPr>
                <w:rFonts w:eastAsia="Times New Roman"/>
                <w:bCs/>
                <w:color w:val="000000"/>
                <w:lang w:eastAsia="tr-TR"/>
              </w:rPr>
              <w:t>geri alınmasına</w:t>
            </w:r>
            <w:r w:rsidR="00F66D0E" w:rsidRPr="00A23740">
              <w:rPr>
                <w:rFonts w:eastAsia="Times New Roman"/>
                <w:bCs/>
                <w:color w:val="000000"/>
                <w:lang w:eastAsia="tr-TR"/>
              </w:rPr>
              <w:t xml:space="preserve"> ilişkin hak</w:t>
            </w:r>
            <w:r w:rsidR="003864FD" w:rsidRPr="00A23740">
              <w:rPr>
                <w:rFonts w:eastAsia="Times New Roman"/>
                <w:bCs/>
                <w:color w:val="000000"/>
                <w:lang w:eastAsia="tr-TR"/>
              </w:rPr>
              <w:t>kın kaç defa kullanılabileceği</w:t>
            </w:r>
            <w:r w:rsidR="00E427EC" w:rsidRPr="00A23740">
              <w:rPr>
                <w:rFonts w:eastAsia="Times New Roman"/>
                <w:bCs/>
                <w:color w:val="000000"/>
                <w:lang w:eastAsia="tr-TR"/>
              </w:rPr>
              <w:t xml:space="preserve"> konusunda </w:t>
            </w:r>
            <w:r w:rsidR="002D5CCC" w:rsidRPr="00A23740">
              <w:rPr>
                <w:rFonts w:eastAsia="Times New Roman"/>
                <w:bCs/>
                <w:color w:val="000000"/>
                <w:lang w:eastAsia="tr-TR"/>
              </w:rPr>
              <w:t>oluşabilecek tereddütlerin giderilmesi amaçlanmaktadır.</w:t>
            </w:r>
          </w:p>
          <w:p w:rsidR="001C2009" w:rsidRPr="00A23740" w:rsidRDefault="001D68CF" w:rsidP="009431FF">
            <w:pPr>
              <w:tabs>
                <w:tab w:val="left" w:pos="567"/>
              </w:tabs>
              <w:ind w:firstLine="709"/>
              <w:rPr>
                <w:rFonts w:eastAsia="Times New Roman"/>
                <w:szCs w:val="24"/>
                <w:lang w:eastAsia="tr-TR"/>
              </w:rPr>
            </w:pPr>
            <w:r w:rsidRPr="00A23740">
              <w:rPr>
                <w:rFonts w:eastAsia="Times New Roman"/>
                <w:szCs w:val="24"/>
                <w:lang w:eastAsia="tr-TR"/>
              </w:rPr>
              <w:t>Beşinci</w:t>
            </w:r>
            <w:r w:rsidR="001C2009" w:rsidRPr="00A23740">
              <w:rPr>
                <w:rFonts w:eastAsia="Times New Roman"/>
                <w:szCs w:val="24"/>
                <w:lang w:eastAsia="tr-TR"/>
              </w:rPr>
              <w:t xml:space="preserve"> fıkrayla,</w:t>
            </w:r>
            <w:r w:rsidR="001C2009" w:rsidRPr="00A23740">
              <w:rPr>
                <w:rFonts w:eastAsia="Times New Roman"/>
                <w:b/>
                <w:bCs/>
                <w:lang w:eastAsia="tr-TR"/>
              </w:rPr>
              <w:t xml:space="preserve"> </w:t>
            </w:r>
            <w:r w:rsidR="001C2009" w:rsidRPr="00A23740">
              <w:rPr>
                <w:rFonts w:eastAsia="Times New Roman"/>
                <w:szCs w:val="24"/>
                <w:lang w:eastAsia="tr-TR"/>
              </w:rPr>
              <w:t>alacaklı veya borçlunun satış talebi üzerine icra</w:t>
            </w:r>
            <w:r w:rsidR="00B73523" w:rsidRPr="00A23740">
              <w:rPr>
                <w:b/>
                <w:color w:val="538135"/>
              </w:rPr>
              <w:t xml:space="preserve"> </w:t>
            </w:r>
            <w:r w:rsidR="00B73523" w:rsidRPr="00D60C1D">
              <w:rPr>
                <w:color w:val="000000"/>
              </w:rPr>
              <w:t>ve iflas</w:t>
            </w:r>
            <w:r w:rsidR="001C2009" w:rsidRPr="00A23740">
              <w:rPr>
                <w:rFonts w:eastAsia="Times New Roman"/>
                <w:szCs w:val="24"/>
                <w:lang w:eastAsia="tr-TR"/>
              </w:rPr>
              <w:t xml:space="preserve"> dairesi, gerekli şartların yerine gelmiş olduğunu tespit ederse satış kararı vereceği ve haczedilen mal ve hak resm</w:t>
            </w:r>
            <w:r w:rsidR="00043B01" w:rsidRPr="00A23740">
              <w:rPr>
                <w:rFonts w:eastAsia="Times New Roman"/>
                <w:szCs w:val="24"/>
                <w:lang w:eastAsia="tr-TR"/>
              </w:rPr>
              <w:t>î</w:t>
            </w:r>
            <w:r w:rsidR="001C2009" w:rsidRPr="00A23740">
              <w:rPr>
                <w:rFonts w:eastAsia="Times New Roman"/>
                <w:szCs w:val="24"/>
                <w:lang w:eastAsia="tr-TR"/>
              </w:rPr>
              <w:t xml:space="preserve"> sicile kayıtlı ise bu kararı </w:t>
            </w:r>
            <w:r w:rsidR="00DF22A1" w:rsidRPr="00A23740">
              <w:rPr>
                <w:szCs w:val="24"/>
              </w:rPr>
              <w:t>derhâl</w:t>
            </w:r>
            <w:r w:rsidR="00E427EC" w:rsidRPr="00A23740">
              <w:rPr>
                <w:szCs w:val="24"/>
              </w:rPr>
              <w:t xml:space="preserve">, şerh edilmek üzere, </w:t>
            </w:r>
            <w:r w:rsidR="001C2009" w:rsidRPr="00A23740">
              <w:rPr>
                <w:rFonts w:eastAsia="Times New Roman"/>
                <w:szCs w:val="24"/>
                <w:lang w:eastAsia="tr-TR"/>
              </w:rPr>
              <w:t>ilgili resm</w:t>
            </w:r>
            <w:r w:rsidR="00FA728C" w:rsidRPr="00A23740">
              <w:rPr>
                <w:rFonts w:eastAsia="Times New Roman"/>
                <w:szCs w:val="24"/>
                <w:lang w:eastAsia="tr-TR"/>
              </w:rPr>
              <w:t>î</w:t>
            </w:r>
            <w:r w:rsidR="001C2009" w:rsidRPr="00A23740">
              <w:rPr>
                <w:rFonts w:eastAsia="Times New Roman"/>
                <w:szCs w:val="24"/>
                <w:lang w:eastAsia="tr-TR"/>
              </w:rPr>
              <w:t xml:space="preserve"> sicile bildireceği düzenlenmektedir. </w:t>
            </w:r>
            <w:r w:rsidR="003864FD" w:rsidRPr="00A23740">
              <w:rPr>
                <w:rFonts w:eastAsia="Times New Roman"/>
                <w:szCs w:val="24"/>
                <w:lang w:eastAsia="tr-TR"/>
              </w:rPr>
              <w:t>Düzenlemeyle, resm</w:t>
            </w:r>
            <w:r w:rsidR="00FA728C" w:rsidRPr="00A23740">
              <w:rPr>
                <w:rFonts w:eastAsia="Times New Roman"/>
                <w:szCs w:val="24"/>
                <w:lang w:eastAsia="tr-TR"/>
              </w:rPr>
              <w:t>î</w:t>
            </w:r>
            <w:r w:rsidR="003864FD" w:rsidRPr="00A23740">
              <w:rPr>
                <w:rFonts w:eastAsia="Times New Roman"/>
                <w:szCs w:val="24"/>
                <w:lang w:eastAsia="tr-TR"/>
              </w:rPr>
              <w:t xml:space="preserve"> sicile kayıtlı mal ve haklarla ilgili olarak üçüncü kişilerin satış kararından haberdar edilme</w:t>
            </w:r>
            <w:r w:rsidR="00EB338B" w:rsidRPr="00A23740">
              <w:rPr>
                <w:rFonts w:eastAsia="Times New Roman"/>
                <w:szCs w:val="24"/>
                <w:lang w:eastAsia="tr-TR"/>
              </w:rPr>
              <w:t>ler</w:t>
            </w:r>
            <w:r w:rsidR="003864FD" w:rsidRPr="00A23740">
              <w:rPr>
                <w:rFonts w:eastAsia="Times New Roman"/>
                <w:szCs w:val="24"/>
                <w:lang w:eastAsia="tr-TR"/>
              </w:rPr>
              <w:t>inin sağlanması ve böylelikle bunların haklarının korunması amaçlanmaktadır.</w:t>
            </w:r>
          </w:p>
          <w:p w:rsidR="00163107" w:rsidRDefault="001D68CF" w:rsidP="009431FF">
            <w:pPr>
              <w:tabs>
                <w:tab w:val="left" w:pos="567"/>
              </w:tabs>
              <w:ind w:firstLine="709"/>
              <w:rPr>
                <w:bCs/>
                <w:szCs w:val="24"/>
                <w:lang w:eastAsia="x-none"/>
              </w:rPr>
            </w:pPr>
            <w:r w:rsidRPr="00A23740">
              <w:rPr>
                <w:bCs/>
                <w:szCs w:val="24"/>
                <w:lang w:eastAsia="x-none"/>
              </w:rPr>
              <w:t>Altıncı</w:t>
            </w:r>
            <w:r w:rsidR="00C11B2F" w:rsidRPr="00A23740">
              <w:rPr>
                <w:bCs/>
                <w:szCs w:val="24"/>
                <w:lang w:eastAsia="x-none"/>
              </w:rPr>
              <w:t xml:space="preserve"> fıkrayla, icra </w:t>
            </w:r>
            <w:r w:rsidR="00B73523" w:rsidRPr="00D60C1D">
              <w:rPr>
                <w:color w:val="000000"/>
              </w:rPr>
              <w:t>ve iflas</w:t>
            </w:r>
            <w:r w:rsidR="00B73523" w:rsidRPr="00A23740">
              <w:rPr>
                <w:b/>
                <w:bCs/>
                <w:color w:val="0000FF"/>
                <w:szCs w:val="24"/>
                <w:lang w:val="x-none" w:eastAsia="x-none"/>
              </w:rPr>
              <w:t xml:space="preserve"> </w:t>
            </w:r>
            <w:r w:rsidR="00C11B2F" w:rsidRPr="00A23740">
              <w:rPr>
                <w:bCs/>
                <w:szCs w:val="24"/>
                <w:lang w:eastAsia="x-none"/>
              </w:rPr>
              <w:t xml:space="preserve">dairesince satış talebinin reddedilmesi </w:t>
            </w:r>
            <w:r w:rsidR="00EB338B" w:rsidRPr="00A23740">
              <w:rPr>
                <w:bCs/>
                <w:szCs w:val="24"/>
                <w:lang w:eastAsia="x-none"/>
              </w:rPr>
              <w:t xml:space="preserve">olasılığı </w:t>
            </w:r>
            <w:r w:rsidR="00C11B2F" w:rsidRPr="00A23740">
              <w:rPr>
                <w:bCs/>
                <w:szCs w:val="24"/>
                <w:lang w:eastAsia="x-none"/>
              </w:rPr>
              <w:t>düzenlenmektedir. Hükümle bir yenilik olar</w:t>
            </w:r>
            <w:r w:rsidRPr="00A23740">
              <w:rPr>
                <w:bCs/>
                <w:szCs w:val="24"/>
                <w:lang w:eastAsia="x-none"/>
              </w:rPr>
              <w:t>ak, icra</w:t>
            </w:r>
            <w:r w:rsidR="00C11B2F" w:rsidRPr="00A23740">
              <w:rPr>
                <w:bCs/>
                <w:szCs w:val="24"/>
                <w:lang w:eastAsia="x-none"/>
              </w:rPr>
              <w:t xml:space="preserve"> </w:t>
            </w:r>
            <w:r w:rsidR="00B73523" w:rsidRPr="00D60C1D">
              <w:rPr>
                <w:color w:val="000000"/>
              </w:rPr>
              <w:t>ve iflas</w:t>
            </w:r>
            <w:r w:rsidR="00B73523" w:rsidRPr="00A23740">
              <w:rPr>
                <w:b/>
                <w:bCs/>
                <w:color w:val="0000FF"/>
                <w:szCs w:val="24"/>
                <w:lang w:val="x-none" w:eastAsia="x-none"/>
              </w:rPr>
              <w:t xml:space="preserve"> </w:t>
            </w:r>
            <w:r w:rsidR="00C11B2F" w:rsidRPr="00A23740">
              <w:rPr>
                <w:bCs/>
                <w:szCs w:val="24"/>
                <w:lang w:eastAsia="x-none"/>
              </w:rPr>
              <w:t>dairesinin şartları taşımayan satış talebin</w:t>
            </w:r>
            <w:r w:rsidR="00AD7756" w:rsidRPr="00A23740">
              <w:rPr>
                <w:bCs/>
                <w:szCs w:val="24"/>
                <w:lang w:eastAsia="x-none"/>
              </w:rPr>
              <w:t>i</w:t>
            </w:r>
            <w:r w:rsidR="00C11B2F" w:rsidRPr="00A23740">
              <w:rPr>
                <w:bCs/>
                <w:szCs w:val="24"/>
                <w:lang w:eastAsia="x-none"/>
              </w:rPr>
              <w:t xml:space="preserve"> reddetmesi durumunda, bu ret kararı şikâyet üzerine iptal edilmedikçe satış talebi yapılmamış sayılacaktır. Bunun sonucunda</w:t>
            </w:r>
            <w:r w:rsidR="00D55ED6" w:rsidRPr="00A23740">
              <w:rPr>
                <w:bCs/>
                <w:szCs w:val="24"/>
                <w:lang w:eastAsia="x-none"/>
              </w:rPr>
              <w:t>,</w:t>
            </w:r>
            <w:r w:rsidR="00C11B2F" w:rsidRPr="00A23740">
              <w:rPr>
                <w:bCs/>
                <w:szCs w:val="24"/>
                <w:lang w:eastAsia="x-none"/>
              </w:rPr>
              <w:t xml:space="preserve"> sa</w:t>
            </w:r>
            <w:r w:rsidR="006E5F8B" w:rsidRPr="00A23740">
              <w:rPr>
                <w:bCs/>
                <w:szCs w:val="24"/>
                <w:lang w:eastAsia="x-none"/>
              </w:rPr>
              <w:t>tış isteme süresi devam</w:t>
            </w:r>
            <w:r w:rsidR="00EB338B" w:rsidRPr="00A23740">
              <w:rPr>
                <w:bCs/>
                <w:szCs w:val="24"/>
                <w:lang w:eastAsia="x-none"/>
              </w:rPr>
              <w:t xml:space="preserve"> edecektir</w:t>
            </w:r>
            <w:r w:rsidRPr="00A23740">
              <w:rPr>
                <w:bCs/>
                <w:szCs w:val="24"/>
                <w:lang w:eastAsia="x-none"/>
              </w:rPr>
              <w:t>.</w:t>
            </w:r>
          </w:p>
          <w:p w:rsidR="001971CE" w:rsidRDefault="001971CE" w:rsidP="009431FF">
            <w:pPr>
              <w:tabs>
                <w:tab w:val="left" w:pos="567"/>
              </w:tabs>
              <w:ind w:firstLine="709"/>
              <w:rPr>
                <w:bCs/>
                <w:szCs w:val="24"/>
                <w:lang w:eastAsia="x-none"/>
              </w:rPr>
            </w:pPr>
          </w:p>
          <w:p w:rsidR="001971CE" w:rsidRPr="00A23740" w:rsidRDefault="001971CE" w:rsidP="009431FF">
            <w:pPr>
              <w:tabs>
                <w:tab w:val="left" w:pos="567"/>
              </w:tabs>
              <w:ind w:firstLine="709"/>
              <w:rPr>
                <w:rFonts w:eastAsia="Times New Roman"/>
                <w:szCs w:val="24"/>
                <w:lang w:eastAsia="tr-TR"/>
              </w:rPr>
            </w:pPr>
          </w:p>
          <w:p w:rsidR="0043793E" w:rsidRPr="00A23740" w:rsidRDefault="0043793E"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r w:rsidRPr="00A23740">
              <w:rPr>
                <w:rFonts w:eastAsia="Times New Roman"/>
                <w:b/>
                <w:i/>
                <w:strike/>
                <w:color w:val="FF0000"/>
                <w:szCs w:val="24"/>
                <w:lang w:eastAsia="tr-TR"/>
              </w:rPr>
              <w:t>Muvakkat</w:t>
            </w:r>
            <w:r w:rsidRPr="00A23740">
              <w:rPr>
                <w:rFonts w:eastAsia="Times New Roman"/>
                <w:i/>
                <w:szCs w:val="24"/>
                <w:lang w:eastAsia="tr-TR"/>
              </w:rPr>
              <w:t xml:space="preserve"> haciz halinde</w:t>
            </w:r>
            <w:r w:rsidRPr="00A23740">
              <w:rPr>
                <w:rFonts w:eastAsia="Times New Roman"/>
                <w:b/>
                <w:i/>
                <w:strike/>
                <w:color w:val="FF0000"/>
                <w:szCs w:val="24"/>
                <w:lang w:eastAsia="tr-TR"/>
              </w:rPr>
              <w:t>:</w:t>
            </w: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Madde 108 – (1)</w:t>
            </w:r>
            <w:r w:rsidRPr="00A23740">
              <w:rPr>
                <w:rFonts w:eastAsia="Times New Roman"/>
                <w:b/>
                <w:szCs w:val="24"/>
                <w:lang w:eastAsia="tr-TR"/>
              </w:rPr>
              <w:t xml:space="preserve"> </w:t>
            </w:r>
            <w:r w:rsidRPr="00A23740">
              <w:rPr>
                <w:rFonts w:eastAsia="Times New Roman"/>
                <w:szCs w:val="24"/>
                <w:lang w:eastAsia="tr-TR"/>
              </w:rPr>
              <w:t>Hacz</w:t>
            </w:r>
            <w:r w:rsidRPr="00A23740">
              <w:rPr>
                <w:rFonts w:eastAsia="Times New Roman"/>
                <w:b/>
                <w:strike/>
                <w:color w:val="FF0000"/>
                <w:szCs w:val="24"/>
                <w:lang w:eastAsia="tr-TR"/>
              </w:rPr>
              <w:t>i</w:t>
            </w:r>
            <w:r w:rsidRPr="00A23740">
              <w:rPr>
                <w:rFonts w:eastAsia="Times New Roman"/>
                <w:szCs w:val="24"/>
                <w:lang w:eastAsia="tr-TR"/>
              </w:rPr>
              <w:t xml:space="preserve"> </w:t>
            </w:r>
            <w:r w:rsidRPr="00A23740">
              <w:rPr>
                <w:rFonts w:eastAsia="Times New Roman"/>
                <w:b/>
                <w:strike/>
                <w:color w:val="FF0000"/>
                <w:szCs w:val="24"/>
                <w:lang w:eastAsia="tr-TR"/>
              </w:rPr>
              <w:t>muvakkat olan</w:t>
            </w:r>
            <w:r w:rsidRPr="00A23740">
              <w:rPr>
                <w:rFonts w:eastAsia="Times New Roman"/>
                <w:szCs w:val="24"/>
                <w:lang w:eastAsia="tr-TR"/>
              </w:rPr>
              <w:t xml:space="preserve"> alacaklı satış talebinde bulunamaz ve hakkında 106 ncı maddedeki </w:t>
            </w:r>
            <w:r w:rsidRPr="00A23740">
              <w:rPr>
                <w:rFonts w:eastAsia="Times New Roman"/>
                <w:b/>
                <w:strike/>
                <w:color w:val="FF0000"/>
                <w:szCs w:val="24"/>
                <w:lang w:eastAsia="tr-TR"/>
              </w:rPr>
              <w:t>müddetler cerayan etmez.</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(2) (Ek: 6/6/1985 - 3222/12 md.)</w:t>
            </w:r>
            <w:r w:rsidRPr="00A23740">
              <w:rPr>
                <w:rFonts w:eastAsia="Times New Roman"/>
                <w:szCs w:val="24"/>
                <w:lang w:eastAsia="tr-TR"/>
              </w:rPr>
              <w:t xml:space="preserve"> </w:t>
            </w:r>
            <w:r w:rsidRPr="00A23740">
              <w:rPr>
                <w:rFonts w:eastAsia="Times New Roman"/>
                <w:b/>
                <w:strike/>
                <w:color w:val="FF0000"/>
                <w:szCs w:val="24"/>
                <w:lang w:eastAsia="tr-TR"/>
              </w:rPr>
              <w:t>Muvakkaten</w:t>
            </w:r>
            <w:r w:rsidRPr="00A23740">
              <w:rPr>
                <w:rFonts w:eastAsia="Times New Roman"/>
                <w:szCs w:val="24"/>
                <w:lang w:eastAsia="tr-TR"/>
              </w:rPr>
              <w:t xml:space="preserve"> </w:t>
            </w:r>
            <w:r w:rsidRPr="00A23740">
              <w:rPr>
                <w:rStyle w:val="KIRMIZIChar"/>
                <w:rFonts w:eastAsia="Calibri"/>
              </w:rPr>
              <w:t>veya</w:t>
            </w:r>
            <w:r w:rsidRPr="00A23740">
              <w:rPr>
                <w:rFonts w:eastAsia="Times New Roman"/>
                <w:szCs w:val="24"/>
                <w:lang w:eastAsia="tr-TR"/>
              </w:rPr>
              <w:t xml:space="preserve"> </w:t>
            </w:r>
            <w:r w:rsidRPr="00A23740">
              <w:rPr>
                <w:rStyle w:val="KIRMIZIChar"/>
                <w:rFonts w:eastAsia="Calibri"/>
              </w:rPr>
              <w:t>ihtiyaten haczedilen</w:t>
            </w:r>
            <w:r w:rsidRPr="00A23740">
              <w:rPr>
                <w:rStyle w:val="KIRMIZIChar"/>
                <w:rFonts w:eastAsia="Calibri"/>
                <w:strike w:val="0"/>
              </w:rPr>
              <w:t xml:space="preserve"> </w:t>
            </w:r>
            <w:r w:rsidRPr="00A23740">
              <w:rPr>
                <w:rFonts w:eastAsia="Times New Roman"/>
                <w:szCs w:val="24"/>
                <w:lang w:eastAsia="tr-TR"/>
              </w:rPr>
              <w:t xml:space="preserve">mallar ancak </w:t>
            </w:r>
            <w:r w:rsidRPr="00A23740">
              <w:rPr>
                <w:rStyle w:val="KIRMIZIChar"/>
                <w:rFonts w:eastAsia="Calibri"/>
              </w:rPr>
              <w:t>113 üncü</w:t>
            </w:r>
            <w:r w:rsidRPr="00A23740">
              <w:rPr>
                <w:rFonts w:eastAsia="Times New Roman"/>
                <w:szCs w:val="24"/>
                <w:lang w:eastAsia="tr-TR"/>
              </w:rPr>
              <w:t xml:space="preserve"> maddenin son fıkrasında yazılı hallerde satılabilir.</w:t>
            </w:r>
          </w:p>
          <w:p w:rsidR="00AA5C8C" w:rsidRPr="00A23740" w:rsidRDefault="00AA5C8C" w:rsidP="009431FF">
            <w:pPr>
              <w:tabs>
                <w:tab w:val="left" w:pos="567"/>
              </w:tabs>
              <w:rPr>
                <w:rFonts w:eastAsia="Times New Roman"/>
                <w:b/>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color w:val="0000FF"/>
                <w:szCs w:val="24"/>
                <w:lang w:eastAsia="tr-TR"/>
              </w:rPr>
              <w:t xml:space="preserve">Hacze geçici iştirak ve ihtiyati </w:t>
            </w:r>
            <w:r w:rsidRPr="00A23740">
              <w:rPr>
                <w:rFonts w:eastAsia="Times New Roman"/>
                <w:b/>
                <w:szCs w:val="24"/>
                <w:lang w:eastAsia="tr-TR"/>
              </w:rPr>
              <w:t>haciz h</w:t>
            </w:r>
            <w:r w:rsidR="00707B08" w:rsidRPr="00A23740">
              <w:rPr>
                <w:rFonts w:eastAsia="Times New Roman"/>
                <w:b/>
                <w:szCs w:val="24"/>
                <w:lang w:eastAsia="tr-TR"/>
              </w:rPr>
              <w:t>â</w:t>
            </w:r>
            <w:r w:rsidRPr="00A23740">
              <w:rPr>
                <w:rFonts w:eastAsia="Times New Roman"/>
                <w:b/>
                <w:szCs w:val="24"/>
                <w:lang w:eastAsia="tr-TR"/>
              </w:rPr>
              <w:t xml:space="preserve">linde </w:t>
            </w:r>
            <w:r w:rsidRPr="00A23740">
              <w:rPr>
                <w:rFonts w:eastAsia="Times New Roman"/>
                <w:b/>
                <w:color w:val="0000FF"/>
                <w:szCs w:val="24"/>
                <w:lang w:eastAsia="tr-TR"/>
              </w:rPr>
              <w:t>satış talebi</w:t>
            </w:r>
          </w:p>
          <w:p w:rsidR="00AA5C8C" w:rsidRPr="00A23740" w:rsidRDefault="00AA5C8C" w:rsidP="009431FF">
            <w:pPr>
              <w:tabs>
                <w:tab w:val="left" w:pos="567"/>
              </w:tabs>
              <w:rPr>
                <w:rFonts w:eastAsia="Times New Roman"/>
                <w:b/>
                <w:color w:val="0000FF"/>
                <w:szCs w:val="24"/>
                <w:lang w:eastAsia="tr-TR"/>
              </w:rPr>
            </w:pPr>
            <w:r w:rsidRPr="00A23740">
              <w:rPr>
                <w:rStyle w:val="MAVChar"/>
                <w:rFonts w:eastAsia="Calibri"/>
                <w:u w:val="none"/>
              </w:rPr>
              <w:t xml:space="preserve">MADDE </w:t>
            </w:r>
            <w:r w:rsidR="0025794C" w:rsidRPr="00A23740">
              <w:rPr>
                <w:rStyle w:val="MAVChar"/>
                <w:rFonts w:eastAsia="Calibri"/>
                <w:u w:val="none"/>
              </w:rPr>
              <w:t>214</w:t>
            </w:r>
            <w:r w:rsidRPr="00A23740">
              <w:rPr>
                <w:rStyle w:val="MAVChar"/>
                <w:rFonts w:eastAsia="Calibri"/>
                <w:u w:val="none"/>
              </w:rPr>
              <w:t>-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szCs w:val="24"/>
                <w:lang w:eastAsia="tr-TR"/>
              </w:rPr>
              <w:t>Hacz</w:t>
            </w:r>
            <w:r w:rsidRPr="00A23740">
              <w:rPr>
                <w:rFonts w:eastAsia="Times New Roman"/>
                <w:b/>
                <w:color w:val="0000FF"/>
                <w:szCs w:val="24"/>
                <w:lang w:eastAsia="tr-TR"/>
              </w:rPr>
              <w:t>e</w:t>
            </w:r>
            <w:r w:rsidR="00105003" w:rsidRPr="00A23740">
              <w:rPr>
                <w:rFonts w:eastAsia="Times New Roman"/>
                <w:b/>
                <w:color w:val="0000FF"/>
                <w:szCs w:val="24"/>
                <w:lang w:eastAsia="tr-TR"/>
              </w:rPr>
              <w:t xml:space="preserve"> </w:t>
            </w:r>
            <w:r w:rsidR="00105003" w:rsidRPr="00BF6B46">
              <w:rPr>
                <w:rStyle w:val="Balk1Char"/>
                <w:rFonts w:eastAsia="Calibri"/>
              </w:rPr>
              <w:t>199 uncu</w:t>
            </w:r>
            <w:r w:rsidRPr="00A23740">
              <w:rPr>
                <w:rFonts w:eastAsia="Times New Roman"/>
                <w:b/>
                <w:color w:val="0000FF"/>
                <w:szCs w:val="24"/>
                <w:lang w:eastAsia="tr-TR"/>
              </w:rPr>
              <w:t xml:space="preserve"> maddenin ikinci fıkrası uyarınca</w:t>
            </w:r>
            <w:r w:rsidRPr="00A23740">
              <w:rPr>
                <w:rFonts w:eastAsia="Times New Roman"/>
                <w:szCs w:val="24"/>
                <w:lang w:eastAsia="tr-TR"/>
              </w:rPr>
              <w:t xml:space="preserve"> </w:t>
            </w:r>
            <w:r w:rsidRPr="00A23740">
              <w:rPr>
                <w:rFonts w:eastAsia="Times New Roman"/>
                <w:b/>
                <w:color w:val="0000FF"/>
                <w:szCs w:val="24"/>
                <w:lang w:eastAsia="tr-TR"/>
              </w:rPr>
              <w:t>geçici olarak iştirak eden</w:t>
            </w:r>
            <w:r w:rsidRPr="00A23740">
              <w:rPr>
                <w:rFonts w:eastAsia="Times New Roman"/>
                <w:szCs w:val="24"/>
                <w:lang w:eastAsia="tr-TR"/>
              </w:rPr>
              <w:t xml:space="preserve"> alacaklı</w:t>
            </w:r>
            <w:r w:rsidRPr="00A23740">
              <w:rPr>
                <w:rFonts w:eastAsia="Times New Roman"/>
                <w:b/>
                <w:color w:val="0000FF"/>
                <w:szCs w:val="24"/>
                <w:lang w:eastAsia="tr-TR"/>
              </w:rPr>
              <w:t xml:space="preserve">, </w:t>
            </w:r>
            <w:r w:rsidRPr="00A23740">
              <w:rPr>
                <w:rFonts w:eastAsia="Times New Roman"/>
                <w:szCs w:val="24"/>
                <w:lang w:eastAsia="tr-TR"/>
              </w:rPr>
              <w:t>satış talebinde bulunamaz ve hakkında</w:t>
            </w:r>
            <w:r w:rsidR="00105003" w:rsidRPr="00A23740">
              <w:rPr>
                <w:rFonts w:eastAsia="Times New Roman"/>
                <w:szCs w:val="24"/>
                <w:lang w:eastAsia="tr-TR"/>
              </w:rPr>
              <w:t xml:space="preserve"> </w:t>
            </w:r>
            <w:r w:rsidR="00105003" w:rsidRPr="00BF6B46">
              <w:rPr>
                <w:rStyle w:val="Balk1Char"/>
                <w:rFonts w:eastAsia="Calibri"/>
              </w:rPr>
              <w:t>213 üncü</w:t>
            </w:r>
            <w:r w:rsidRPr="00A23740">
              <w:rPr>
                <w:rFonts w:eastAsia="Times New Roman"/>
                <w:szCs w:val="24"/>
                <w:lang w:eastAsia="tr-TR"/>
              </w:rPr>
              <w:t xml:space="preserve"> maddedeki </w:t>
            </w:r>
            <w:r w:rsidRPr="00A23740">
              <w:rPr>
                <w:rFonts w:eastAsia="Times New Roman"/>
                <w:b/>
                <w:color w:val="0000FF"/>
                <w:szCs w:val="24"/>
                <w:lang w:eastAsia="tr-TR"/>
              </w:rPr>
              <w:t xml:space="preserve">süreler işlemez. </w:t>
            </w:r>
          </w:p>
          <w:p w:rsidR="004740E6" w:rsidRDefault="004740E6" w:rsidP="009431FF">
            <w:pPr>
              <w:tabs>
                <w:tab w:val="left" w:pos="567"/>
              </w:tabs>
              <w:rPr>
                <w:rFonts w:eastAsia="Times New Roman"/>
                <w:b/>
                <w:color w:val="0000FF"/>
                <w:szCs w:val="24"/>
                <w:lang w:eastAsia="tr-TR"/>
              </w:rPr>
            </w:pPr>
          </w:p>
          <w:p w:rsidR="004740E6" w:rsidRDefault="004740E6"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(2) Haczine geçici olarak iştirak edilen</w:t>
            </w:r>
            <w:r w:rsidRPr="00A23740">
              <w:rPr>
                <w:rFonts w:eastAsia="Times New Roman"/>
                <w:szCs w:val="24"/>
                <w:lang w:eastAsia="tr-TR"/>
              </w:rPr>
              <w:t xml:space="preserve"> mallar ancak</w:t>
            </w:r>
            <w:r w:rsidR="001018AD" w:rsidRPr="00A23740">
              <w:rPr>
                <w:rFonts w:eastAsia="Times New Roman"/>
                <w:szCs w:val="24"/>
                <w:lang w:eastAsia="tr-TR"/>
              </w:rPr>
              <w:t xml:space="preserve"> </w:t>
            </w:r>
            <w:r w:rsidR="001018AD" w:rsidRPr="00BF6B46">
              <w:rPr>
                <w:rStyle w:val="MaviChar"/>
              </w:rPr>
              <w:t>244 üncü</w:t>
            </w:r>
            <w:r w:rsidRPr="00A23740">
              <w:rPr>
                <w:rFonts w:eastAsia="Times New Roman"/>
                <w:szCs w:val="24"/>
                <w:lang w:eastAsia="tr-TR"/>
              </w:rPr>
              <w:t xml:space="preserve"> maddenin son fıkrasında yazılı h</w:t>
            </w:r>
            <w:r w:rsidR="00707B08" w:rsidRPr="00A23740">
              <w:rPr>
                <w:rFonts w:eastAsia="Times New Roman"/>
                <w:szCs w:val="24"/>
                <w:lang w:eastAsia="tr-TR"/>
              </w:rPr>
              <w:t>â</w:t>
            </w:r>
            <w:r w:rsidRPr="00A23740">
              <w:rPr>
                <w:rFonts w:eastAsia="Times New Roman"/>
                <w:szCs w:val="24"/>
                <w:lang w:eastAsia="tr-TR"/>
              </w:rPr>
              <w:t>llerde satılabilir.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Mavi"/>
            </w:pPr>
            <w:r w:rsidRPr="00A23740">
              <w:t xml:space="preserve">(3) Birinci ve ikinci </w:t>
            </w:r>
            <w:r w:rsidR="00A92592" w:rsidRPr="00A23740">
              <w:t>fıkra</w:t>
            </w:r>
            <w:r w:rsidR="00387D60" w:rsidRPr="00A23740">
              <w:t>daki</w:t>
            </w:r>
            <w:r w:rsidRPr="00A23740">
              <w:t xml:space="preserve"> esaslar</w:t>
            </w:r>
            <w:r w:rsidR="00A92592" w:rsidRPr="00A23740">
              <w:rPr>
                <w:lang w:val="tr-TR"/>
              </w:rPr>
              <w:t>,</w:t>
            </w:r>
            <w:r w:rsidRPr="00A23740">
              <w:t xml:space="preserve"> ihtiyati hacizde de uygulanır.</w:t>
            </w:r>
          </w:p>
          <w:p w:rsidR="00AA5C8C" w:rsidRPr="00A23740" w:rsidRDefault="00AA5C8C" w:rsidP="009431FF">
            <w:pPr>
              <w:rPr>
                <w:rFonts w:eastAsia="Times New Roman"/>
                <w:b/>
                <w:color w:val="0000FF"/>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750D6B" w:rsidRPr="00A23740" w:rsidRDefault="00750D6B" w:rsidP="009431FF">
            <w:pPr>
              <w:ind w:firstLine="709"/>
              <w:rPr>
                <w:rFonts w:eastAsia="Times New Roman"/>
                <w:color w:val="000000"/>
                <w:szCs w:val="24"/>
                <w:lang w:eastAsia="tr-TR"/>
              </w:rPr>
            </w:pPr>
          </w:p>
          <w:p w:rsidR="00C11B2F" w:rsidRPr="00A23740" w:rsidRDefault="00C11B2F" w:rsidP="009431FF">
            <w:pPr>
              <w:tabs>
                <w:tab w:val="left" w:pos="567"/>
              </w:tabs>
              <w:ind w:firstLine="709"/>
              <w:rPr>
                <w:rFonts w:eastAsia="Times New Roman"/>
                <w:szCs w:val="24"/>
                <w:lang w:eastAsia="tr-TR"/>
              </w:rPr>
            </w:pPr>
            <w:r w:rsidRPr="00A23740">
              <w:rPr>
                <w:b/>
                <w:bCs/>
                <w:szCs w:val="24"/>
                <w:lang w:eastAsia="x-none"/>
              </w:rPr>
              <w:t xml:space="preserve">MADDE </w:t>
            </w:r>
            <w:r w:rsidR="0025794C" w:rsidRPr="00A23740">
              <w:rPr>
                <w:b/>
                <w:bCs/>
                <w:szCs w:val="24"/>
                <w:lang w:eastAsia="x-none"/>
              </w:rPr>
              <w:t>214</w:t>
            </w:r>
            <w:r w:rsidRPr="00A23740">
              <w:rPr>
                <w:b/>
                <w:bCs/>
                <w:szCs w:val="24"/>
                <w:lang w:eastAsia="x-none"/>
              </w:rPr>
              <w:t>-</w:t>
            </w:r>
            <w:r w:rsidRPr="00A23740">
              <w:rPr>
                <w:rFonts w:eastAsia="Times New Roman"/>
                <w:color w:val="000000"/>
                <w:szCs w:val="24"/>
                <w:lang w:eastAsia="tr-TR"/>
              </w:rPr>
              <w:t xml:space="preserve"> Maddeyle,</w:t>
            </w:r>
            <w:r w:rsidRPr="00A23740">
              <w:t xml:space="preserve"> </w:t>
            </w:r>
            <w:r w:rsidRPr="00A23740">
              <w:rPr>
                <w:rFonts w:eastAsia="Times New Roman"/>
                <w:color w:val="000000"/>
                <w:szCs w:val="24"/>
                <w:lang w:eastAsia="tr-TR"/>
              </w:rPr>
              <w:t>hacze geçici iştirak ve ihtiyati haciz h</w:t>
            </w:r>
            <w:r w:rsidR="00707B08" w:rsidRPr="00A23740">
              <w:rPr>
                <w:rFonts w:eastAsia="Times New Roman"/>
                <w:color w:val="000000"/>
                <w:szCs w:val="24"/>
                <w:lang w:eastAsia="tr-TR"/>
              </w:rPr>
              <w:t>â</w:t>
            </w:r>
            <w:r w:rsidRPr="00A23740">
              <w:rPr>
                <w:rFonts w:eastAsia="Times New Roman"/>
                <w:color w:val="000000"/>
                <w:szCs w:val="24"/>
                <w:lang w:eastAsia="tr-TR"/>
              </w:rPr>
              <w:t>linde satış talebine ilişkin hususlar düzenlenmektedir.</w:t>
            </w:r>
            <w:r w:rsidR="005630AD" w:rsidRPr="00A23740">
              <w:rPr>
                <w:rFonts w:eastAsia="Times New Roman"/>
                <w:color w:val="000000"/>
                <w:szCs w:val="24"/>
                <w:lang w:eastAsia="tr-TR"/>
              </w:rPr>
              <w:t xml:space="preserve"> </w:t>
            </w:r>
            <w:r w:rsidR="005630AD" w:rsidRPr="00A23740">
              <w:rPr>
                <w:rFonts w:eastAsia="Times New Roman"/>
                <w:szCs w:val="24"/>
                <w:lang w:eastAsia="tr-TR"/>
              </w:rPr>
              <w:t>Bu hüküm, 2004 sayılı Kanunun 108 inci maddesine karşılık gelmekte olup</w:t>
            </w:r>
            <w:r w:rsidR="00EB338B" w:rsidRPr="00A23740">
              <w:rPr>
                <w:rFonts w:eastAsia="Times New Roman"/>
                <w:szCs w:val="24"/>
                <w:lang w:eastAsia="tr-TR"/>
              </w:rPr>
              <w:t>,</w:t>
            </w:r>
            <w:r w:rsidR="005630AD" w:rsidRPr="00A23740">
              <w:rPr>
                <w:rFonts w:eastAsia="Times New Roman"/>
                <w:szCs w:val="24"/>
                <w:lang w:eastAsia="tr-TR"/>
              </w:rPr>
              <w:t xml:space="preserve"> maddenin başlığı hükmün içeriğine uygun olarak yeniden belirlenmektedir. </w:t>
            </w:r>
          </w:p>
          <w:p w:rsidR="00C11B2F" w:rsidRPr="00A23740" w:rsidRDefault="00C11B2F" w:rsidP="009431FF">
            <w:pPr>
              <w:tabs>
                <w:tab w:val="left" w:pos="567"/>
              </w:tabs>
              <w:ind w:firstLine="709"/>
              <w:rPr>
                <w:rFonts w:eastAsia="Times New Roman"/>
                <w:szCs w:val="24"/>
                <w:lang w:eastAsia="tr-TR"/>
              </w:rPr>
            </w:pPr>
            <w:r w:rsidRPr="00A23740">
              <w:rPr>
                <w:rFonts w:eastAsia="Times New Roman"/>
                <w:color w:val="000000"/>
                <w:szCs w:val="24"/>
                <w:lang w:eastAsia="tr-TR"/>
              </w:rPr>
              <w:t xml:space="preserve">Birinci fıkrayla, </w:t>
            </w:r>
            <w:r w:rsidR="00750D6B" w:rsidRPr="00A23740">
              <w:rPr>
                <w:rFonts w:eastAsia="Times New Roman"/>
                <w:color w:val="000000"/>
                <w:szCs w:val="24"/>
                <w:lang w:eastAsia="tr-TR"/>
              </w:rPr>
              <w:t>Taslağın</w:t>
            </w:r>
            <w:r w:rsidRPr="00A23740">
              <w:rPr>
                <w:rFonts w:eastAsia="Times New Roman"/>
                <w:color w:val="000000"/>
                <w:szCs w:val="24"/>
                <w:lang w:eastAsia="tr-TR"/>
              </w:rPr>
              <w:t xml:space="preserve"> </w:t>
            </w:r>
            <w:r w:rsidR="00317D99" w:rsidRPr="00D60C1D">
              <w:rPr>
                <w:rStyle w:val="KonuBalChar"/>
                <w:rFonts w:eastAsia="Calibri"/>
                <w:b w:val="0"/>
                <w:color w:val="000000"/>
              </w:rPr>
              <w:t>199 uncu</w:t>
            </w:r>
            <w:r w:rsidRPr="00A23740">
              <w:rPr>
                <w:rFonts w:eastAsia="Times New Roman"/>
                <w:color w:val="000000"/>
                <w:szCs w:val="24"/>
                <w:lang w:eastAsia="tr-TR"/>
              </w:rPr>
              <w:t xml:space="preserve"> madde</w:t>
            </w:r>
            <w:r w:rsidR="00750D6B" w:rsidRPr="00A23740">
              <w:rPr>
                <w:rFonts w:eastAsia="Times New Roman"/>
                <w:color w:val="000000"/>
                <w:szCs w:val="24"/>
                <w:lang w:eastAsia="tr-TR"/>
              </w:rPr>
              <w:t>si</w:t>
            </w:r>
            <w:r w:rsidRPr="00A23740">
              <w:rPr>
                <w:rFonts w:eastAsia="Times New Roman"/>
                <w:color w:val="000000"/>
                <w:szCs w:val="24"/>
                <w:lang w:eastAsia="tr-TR"/>
              </w:rPr>
              <w:t xml:space="preserve">nin ikinci fıkrası uyarınca </w:t>
            </w:r>
            <w:r w:rsidR="00A92592" w:rsidRPr="00A23740">
              <w:rPr>
                <w:rFonts w:eastAsia="Times New Roman"/>
                <w:color w:val="000000"/>
                <w:szCs w:val="24"/>
                <w:lang w:eastAsia="tr-TR"/>
              </w:rPr>
              <w:t xml:space="preserve">hacze </w:t>
            </w:r>
            <w:r w:rsidRPr="00A23740">
              <w:rPr>
                <w:rFonts w:eastAsia="Times New Roman"/>
                <w:color w:val="000000"/>
                <w:szCs w:val="24"/>
                <w:lang w:eastAsia="tr-TR"/>
              </w:rPr>
              <w:t>geçici olarak iştirak eden alacaklının satış talebinde bulunam</w:t>
            </w:r>
            <w:r w:rsidR="00750D6B" w:rsidRPr="00A23740">
              <w:rPr>
                <w:rFonts w:eastAsia="Times New Roman"/>
                <w:color w:val="000000"/>
                <w:szCs w:val="24"/>
                <w:lang w:eastAsia="tr-TR"/>
              </w:rPr>
              <w:t>aması</w:t>
            </w:r>
            <w:r w:rsidRPr="00A23740">
              <w:rPr>
                <w:rFonts w:eastAsia="Times New Roman"/>
                <w:color w:val="000000"/>
                <w:szCs w:val="24"/>
                <w:lang w:eastAsia="tr-TR"/>
              </w:rPr>
              <w:t xml:space="preserve"> düzenlenmektedir. Buna göre, </w:t>
            </w:r>
            <w:r w:rsidRPr="00A23740">
              <w:rPr>
                <w:rFonts w:eastAsia="Times New Roman"/>
                <w:szCs w:val="24"/>
                <w:lang w:eastAsia="tr-TR"/>
              </w:rPr>
              <w:t xml:space="preserve">borçlunun eşi, çocukları ve vasi veya kayyımı olduğu kişilerin, evlenme, velayet veya vesayetten doğan alacaklarından dolayı daha önce konulmuş hacze geçici </w:t>
            </w:r>
            <w:r w:rsidR="00EB338B" w:rsidRPr="00A23740">
              <w:rPr>
                <w:rFonts w:eastAsia="Times New Roman"/>
                <w:szCs w:val="24"/>
                <w:lang w:eastAsia="tr-TR"/>
              </w:rPr>
              <w:t xml:space="preserve">olarak </w:t>
            </w:r>
            <w:r w:rsidRPr="00A23740">
              <w:rPr>
                <w:rFonts w:eastAsia="Times New Roman"/>
                <w:szCs w:val="24"/>
                <w:lang w:eastAsia="tr-TR"/>
              </w:rPr>
              <w:t>iştirak etmeleri h</w:t>
            </w:r>
            <w:r w:rsidR="00707B08" w:rsidRPr="00A23740">
              <w:rPr>
                <w:rFonts w:eastAsia="Times New Roman"/>
                <w:szCs w:val="24"/>
                <w:lang w:eastAsia="tr-TR"/>
              </w:rPr>
              <w:t>â</w:t>
            </w:r>
            <w:r w:rsidRPr="00A23740">
              <w:rPr>
                <w:rFonts w:eastAsia="Times New Roman"/>
                <w:szCs w:val="24"/>
                <w:lang w:eastAsia="tr-TR"/>
              </w:rPr>
              <w:t>linde</w:t>
            </w:r>
            <w:r w:rsidR="000034BD" w:rsidRPr="00A23740">
              <w:rPr>
                <w:rFonts w:eastAsia="Times New Roman"/>
                <w:szCs w:val="24"/>
                <w:lang w:eastAsia="tr-TR"/>
              </w:rPr>
              <w:t xml:space="preserve"> bu kişiler</w:t>
            </w:r>
            <w:r w:rsidRPr="00A23740">
              <w:rPr>
                <w:rFonts w:eastAsia="Times New Roman"/>
                <w:szCs w:val="24"/>
                <w:lang w:eastAsia="tr-TR"/>
              </w:rPr>
              <w:t xml:space="preserve"> sat</w:t>
            </w:r>
            <w:r w:rsidR="00750D6B" w:rsidRPr="00A23740">
              <w:rPr>
                <w:rFonts w:eastAsia="Times New Roman"/>
                <w:szCs w:val="24"/>
                <w:lang w:eastAsia="tr-TR"/>
              </w:rPr>
              <w:t>ış talebinde bulunamaz</w:t>
            </w:r>
            <w:r w:rsidR="00EB338B" w:rsidRPr="00A23740">
              <w:rPr>
                <w:rFonts w:eastAsia="Times New Roman"/>
                <w:szCs w:val="24"/>
                <w:lang w:eastAsia="tr-TR"/>
              </w:rPr>
              <w:t>lar</w:t>
            </w:r>
            <w:r w:rsidRPr="00A23740">
              <w:rPr>
                <w:rFonts w:eastAsia="Times New Roman"/>
                <w:szCs w:val="24"/>
                <w:lang w:eastAsia="tr-TR"/>
              </w:rPr>
              <w:t xml:space="preserve">. Ayrıca bunlar hakkında </w:t>
            </w:r>
            <w:r w:rsidR="000034BD" w:rsidRPr="00A23740">
              <w:rPr>
                <w:rFonts w:eastAsia="Times New Roman"/>
                <w:szCs w:val="24"/>
                <w:lang w:eastAsia="tr-TR"/>
              </w:rPr>
              <w:t xml:space="preserve">Taslağın </w:t>
            </w:r>
            <w:r w:rsidR="00317D99" w:rsidRPr="00D60C1D">
              <w:rPr>
                <w:rStyle w:val="KonuBalChar"/>
                <w:rFonts w:eastAsia="Calibri"/>
                <w:b w:val="0"/>
                <w:color w:val="000000"/>
              </w:rPr>
              <w:t>213 üncü</w:t>
            </w:r>
            <w:r w:rsidRPr="00A23740">
              <w:rPr>
                <w:rFonts w:eastAsia="Times New Roman"/>
                <w:szCs w:val="24"/>
                <w:lang w:eastAsia="tr-TR"/>
              </w:rPr>
              <w:t xml:space="preserve"> madde</w:t>
            </w:r>
            <w:r w:rsidR="000034BD" w:rsidRPr="00A23740">
              <w:rPr>
                <w:rFonts w:eastAsia="Times New Roman"/>
                <w:szCs w:val="24"/>
                <w:lang w:eastAsia="tr-TR"/>
              </w:rPr>
              <w:t>sin</w:t>
            </w:r>
            <w:r w:rsidRPr="00A23740">
              <w:rPr>
                <w:rFonts w:eastAsia="Times New Roman"/>
                <w:szCs w:val="24"/>
                <w:lang w:eastAsia="tr-TR"/>
              </w:rPr>
              <w:t>deki</w:t>
            </w:r>
            <w:r w:rsidRPr="00A23740">
              <w:rPr>
                <w:rFonts w:eastAsia="Times New Roman"/>
                <w:color w:val="000000"/>
                <w:szCs w:val="24"/>
                <w:lang w:eastAsia="tr-TR"/>
              </w:rPr>
              <w:t xml:space="preserve"> satış isteme süreleri işlemez.</w:t>
            </w:r>
            <w:r w:rsidR="005630AD" w:rsidRPr="00A23740">
              <w:rPr>
                <w:rFonts w:eastAsia="Times New Roman"/>
                <w:color w:val="000000"/>
                <w:szCs w:val="24"/>
                <w:lang w:eastAsia="tr-TR"/>
              </w:rPr>
              <w:t xml:space="preserve"> 2004 sayılı Kanunun 108 inci maddesinin birinci fıkrasında yer alan “haczin muvakkat” olmasına ilişkin ibare, hükmü daha sarih h</w:t>
            </w:r>
            <w:r w:rsidR="00707B08" w:rsidRPr="00A23740">
              <w:rPr>
                <w:rFonts w:eastAsia="Times New Roman"/>
                <w:color w:val="000000"/>
                <w:szCs w:val="24"/>
                <w:lang w:eastAsia="tr-TR"/>
              </w:rPr>
              <w:t>â</w:t>
            </w:r>
            <w:r w:rsidR="005630AD" w:rsidRPr="00A23740">
              <w:rPr>
                <w:rFonts w:eastAsia="Times New Roman"/>
                <w:color w:val="000000"/>
                <w:szCs w:val="24"/>
                <w:lang w:eastAsia="tr-TR"/>
              </w:rPr>
              <w:t xml:space="preserve">le </w:t>
            </w:r>
            <w:r w:rsidR="00EB338B" w:rsidRPr="00A23740">
              <w:rPr>
                <w:rFonts w:eastAsia="Times New Roman"/>
                <w:color w:val="000000"/>
                <w:szCs w:val="24"/>
                <w:lang w:eastAsia="tr-TR"/>
              </w:rPr>
              <w:t xml:space="preserve">getirmek için </w:t>
            </w:r>
            <w:r w:rsidR="005630AD" w:rsidRPr="00A23740">
              <w:rPr>
                <w:rFonts w:eastAsia="Times New Roman"/>
                <w:color w:val="000000"/>
                <w:szCs w:val="24"/>
                <w:lang w:eastAsia="tr-TR"/>
              </w:rPr>
              <w:t xml:space="preserve">“hacze geçici olarak iştirak” şeklinde değiştirilmektedir. </w:t>
            </w:r>
            <w:r w:rsidRPr="00A23740">
              <w:rPr>
                <w:rFonts w:eastAsia="Times New Roman"/>
                <w:color w:val="000000"/>
                <w:szCs w:val="24"/>
                <w:lang w:eastAsia="tr-TR"/>
              </w:rPr>
              <w:t xml:space="preserve"> </w:t>
            </w:r>
          </w:p>
          <w:p w:rsidR="00C11B2F"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 xml:space="preserve">İkinci fıkrayla, haczine geçici olarak iştirak edilen malların ancak </w:t>
            </w:r>
            <w:r w:rsidR="000034BD" w:rsidRPr="00A23740">
              <w:rPr>
                <w:rFonts w:eastAsia="Times New Roman"/>
                <w:szCs w:val="24"/>
                <w:lang w:eastAsia="tr-TR"/>
              </w:rPr>
              <w:t xml:space="preserve">Taslağın </w:t>
            </w:r>
            <w:r w:rsidR="00317D99" w:rsidRPr="00D60C1D">
              <w:rPr>
                <w:rStyle w:val="KonuBalChar"/>
                <w:rFonts w:eastAsia="Calibri"/>
                <w:b w:val="0"/>
                <w:color w:val="000000"/>
              </w:rPr>
              <w:t>244 üncü</w:t>
            </w:r>
            <w:r w:rsidRPr="00A23740">
              <w:rPr>
                <w:rFonts w:eastAsia="Times New Roman"/>
                <w:szCs w:val="24"/>
                <w:lang w:eastAsia="tr-TR"/>
              </w:rPr>
              <w:t xml:space="preserve"> madde</w:t>
            </w:r>
            <w:r w:rsidR="000034BD" w:rsidRPr="00A23740">
              <w:rPr>
                <w:rFonts w:eastAsia="Times New Roman"/>
                <w:szCs w:val="24"/>
                <w:lang w:eastAsia="tr-TR"/>
              </w:rPr>
              <w:t>si</w:t>
            </w:r>
            <w:r w:rsidRPr="00A23740">
              <w:rPr>
                <w:rFonts w:eastAsia="Times New Roman"/>
                <w:szCs w:val="24"/>
                <w:lang w:eastAsia="tr-TR"/>
              </w:rPr>
              <w:t>nin son fıkrasında yazılı h</w:t>
            </w:r>
            <w:r w:rsidR="00707B08" w:rsidRPr="00A23740">
              <w:rPr>
                <w:rFonts w:eastAsia="Times New Roman"/>
                <w:szCs w:val="24"/>
                <w:lang w:eastAsia="tr-TR"/>
              </w:rPr>
              <w:t>â</w:t>
            </w:r>
            <w:r w:rsidRPr="00A23740">
              <w:rPr>
                <w:rFonts w:eastAsia="Times New Roman"/>
                <w:szCs w:val="24"/>
                <w:lang w:eastAsia="tr-TR"/>
              </w:rPr>
              <w:t>llerde satılabileceği düzenlenmektedir. Buna göre, haczin</w:t>
            </w:r>
            <w:r w:rsidR="000034BD" w:rsidRPr="00A23740">
              <w:rPr>
                <w:rFonts w:eastAsia="Times New Roman"/>
                <w:szCs w:val="24"/>
                <w:lang w:eastAsia="tr-TR"/>
              </w:rPr>
              <w:t xml:space="preserve">e geçici </w:t>
            </w:r>
            <w:r w:rsidR="00EB338B" w:rsidRPr="00A23740">
              <w:rPr>
                <w:rFonts w:eastAsia="Times New Roman"/>
                <w:szCs w:val="24"/>
                <w:lang w:eastAsia="tr-TR"/>
              </w:rPr>
              <w:t xml:space="preserve">olarak </w:t>
            </w:r>
            <w:r w:rsidR="000034BD" w:rsidRPr="00A23740">
              <w:rPr>
                <w:rFonts w:eastAsia="Times New Roman"/>
                <w:szCs w:val="24"/>
                <w:lang w:eastAsia="tr-TR"/>
              </w:rPr>
              <w:t>iştirak edilen malların</w:t>
            </w:r>
            <w:r w:rsidRPr="00A23740">
              <w:rPr>
                <w:rFonts w:eastAsia="Times New Roman"/>
                <w:szCs w:val="24"/>
                <w:lang w:eastAsia="tr-TR"/>
              </w:rPr>
              <w:t xml:space="preserve"> kıymetinin süratle düşmesi veya muhafazası</w:t>
            </w:r>
            <w:r w:rsidR="00B31446" w:rsidRPr="00A23740">
              <w:rPr>
                <w:rFonts w:eastAsia="Times New Roman"/>
                <w:szCs w:val="24"/>
                <w:lang w:eastAsia="tr-TR"/>
              </w:rPr>
              <w:t>nın</w:t>
            </w:r>
            <w:r w:rsidRPr="00A23740">
              <w:rPr>
                <w:rFonts w:eastAsia="Times New Roman"/>
                <w:szCs w:val="24"/>
                <w:lang w:eastAsia="tr-TR"/>
              </w:rPr>
              <w:t xml:space="preserve"> masraflı olması h</w:t>
            </w:r>
            <w:r w:rsidR="00707B08" w:rsidRPr="00A23740">
              <w:rPr>
                <w:rFonts w:eastAsia="Times New Roman"/>
                <w:szCs w:val="24"/>
                <w:lang w:eastAsia="tr-TR"/>
              </w:rPr>
              <w:t>â</w:t>
            </w:r>
            <w:r w:rsidRPr="00A23740">
              <w:rPr>
                <w:rFonts w:eastAsia="Times New Roman"/>
                <w:szCs w:val="24"/>
                <w:lang w:eastAsia="tr-TR"/>
              </w:rPr>
              <w:t xml:space="preserve">linde, </w:t>
            </w:r>
            <w:r w:rsidR="000034BD" w:rsidRPr="00A23740">
              <w:rPr>
                <w:rFonts w:eastAsia="Times New Roman"/>
                <w:szCs w:val="24"/>
                <w:lang w:eastAsia="tr-TR"/>
              </w:rPr>
              <w:t>bu mallar</w:t>
            </w:r>
            <w:r w:rsidR="00A92592" w:rsidRPr="00A23740">
              <w:rPr>
                <w:rFonts w:eastAsia="Times New Roman"/>
                <w:szCs w:val="24"/>
                <w:lang w:eastAsia="tr-TR"/>
              </w:rPr>
              <w:t>,</w:t>
            </w:r>
            <w:r w:rsidR="000034BD" w:rsidRPr="00A23740">
              <w:rPr>
                <w:rFonts w:eastAsia="Times New Roman"/>
                <w:szCs w:val="24"/>
                <w:lang w:eastAsia="tr-TR"/>
              </w:rPr>
              <w:t xml:space="preserve"> </w:t>
            </w:r>
            <w:r w:rsidRPr="00A23740">
              <w:rPr>
                <w:rFonts w:eastAsia="Times New Roman"/>
                <w:szCs w:val="24"/>
                <w:lang w:eastAsia="tr-TR"/>
              </w:rPr>
              <w:t xml:space="preserve">icra ve iflas dairesince pazarlık suretiyle </w:t>
            </w:r>
            <w:r w:rsidR="000034BD" w:rsidRPr="00A23740">
              <w:rPr>
                <w:rFonts w:eastAsia="Times New Roman"/>
                <w:szCs w:val="24"/>
                <w:lang w:eastAsia="tr-TR"/>
              </w:rPr>
              <w:t>her zaman satılabil</w:t>
            </w:r>
            <w:r w:rsidRPr="00A23740">
              <w:rPr>
                <w:rFonts w:eastAsia="Times New Roman"/>
                <w:szCs w:val="24"/>
                <w:lang w:eastAsia="tr-TR"/>
              </w:rPr>
              <w:t>ir.</w:t>
            </w:r>
          </w:p>
          <w:p w:rsidR="00B31446"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Üçüncü fıkrayla, birinci ve ikinci fıkra</w:t>
            </w:r>
            <w:r w:rsidR="00EB338B" w:rsidRPr="00A23740">
              <w:rPr>
                <w:rFonts w:eastAsia="Times New Roman"/>
                <w:szCs w:val="24"/>
                <w:lang w:eastAsia="tr-TR"/>
              </w:rPr>
              <w:t>lar</w:t>
            </w:r>
            <w:r w:rsidRPr="00A23740">
              <w:rPr>
                <w:rFonts w:eastAsia="Times New Roman"/>
                <w:szCs w:val="24"/>
                <w:lang w:eastAsia="tr-TR"/>
              </w:rPr>
              <w:t xml:space="preserve">daki esasların </w:t>
            </w:r>
            <w:r w:rsidR="000034BD" w:rsidRPr="00A23740">
              <w:rPr>
                <w:rFonts w:eastAsia="Times New Roman"/>
                <w:szCs w:val="24"/>
                <w:lang w:eastAsia="tr-TR"/>
              </w:rPr>
              <w:t>ihtiyati hacizde de uygulanması öngörülmektedir</w:t>
            </w:r>
            <w:r w:rsidRPr="00A23740">
              <w:rPr>
                <w:rFonts w:eastAsia="Times New Roman"/>
                <w:szCs w:val="24"/>
                <w:lang w:eastAsia="tr-TR"/>
              </w:rPr>
              <w:t xml:space="preserve">. </w:t>
            </w:r>
            <w:r w:rsidR="00A92592" w:rsidRPr="00A23740">
              <w:rPr>
                <w:rFonts w:eastAsia="Times New Roman"/>
                <w:szCs w:val="24"/>
                <w:lang w:eastAsia="tr-TR"/>
              </w:rPr>
              <w:t>İhtiyati haczin, hacze geçici iştirak h</w:t>
            </w:r>
            <w:r w:rsidR="00707B08" w:rsidRPr="00A23740">
              <w:rPr>
                <w:rFonts w:eastAsia="Times New Roman"/>
                <w:szCs w:val="24"/>
                <w:lang w:eastAsia="tr-TR"/>
              </w:rPr>
              <w:t>â</w:t>
            </w:r>
            <w:r w:rsidR="00A92592" w:rsidRPr="00A23740">
              <w:rPr>
                <w:rFonts w:eastAsia="Times New Roman"/>
                <w:szCs w:val="24"/>
                <w:lang w:eastAsia="tr-TR"/>
              </w:rPr>
              <w:t>llerinden biri olduğu dikkate alındığında</w:t>
            </w:r>
            <w:r w:rsidR="00EB338B" w:rsidRPr="00A23740">
              <w:rPr>
                <w:rFonts w:eastAsia="Times New Roman"/>
                <w:szCs w:val="24"/>
                <w:lang w:eastAsia="tr-TR"/>
              </w:rPr>
              <w:t>,</w:t>
            </w:r>
            <w:r w:rsidR="00A92592" w:rsidRPr="00A23740">
              <w:rPr>
                <w:rFonts w:eastAsia="Times New Roman"/>
                <w:szCs w:val="24"/>
                <w:lang w:eastAsia="tr-TR"/>
              </w:rPr>
              <w:t xml:space="preserve"> birinci fıkradaki esaslar ihtiyati haciz h</w:t>
            </w:r>
            <w:r w:rsidR="00707B08" w:rsidRPr="00A23740">
              <w:rPr>
                <w:rFonts w:eastAsia="Times New Roman"/>
                <w:szCs w:val="24"/>
                <w:lang w:eastAsia="tr-TR"/>
              </w:rPr>
              <w:t>â</w:t>
            </w:r>
            <w:r w:rsidR="00A92592" w:rsidRPr="00A23740">
              <w:rPr>
                <w:rFonts w:eastAsia="Times New Roman"/>
                <w:szCs w:val="24"/>
                <w:lang w:eastAsia="tr-TR"/>
              </w:rPr>
              <w:t xml:space="preserve">linde de uygulanabilir. </w:t>
            </w:r>
            <w:r w:rsidRPr="00A23740">
              <w:rPr>
                <w:rFonts w:eastAsia="Times New Roman"/>
                <w:szCs w:val="24"/>
                <w:lang w:eastAsia="tr-TR"/>
              </w:rPr>
              <w:t xml:space="preserve">Buna </w:t>
            </w:r>
            <w:r w:rsidR="005630AD" w:rsidRPr="00A23740">
              <w:rPr>
                <w:rFonts w:eastAsia="Times New Roman"/>
                <w:szCs w:val="24"/>
                <w:lang w:eastAsia="tr-TR"/>
              </w:rPr>
              <w:t>göre, ihtiyat</w:t>
            </w:r>
            <w:r w:rsidR="00F2630C" w:rsidRPr="00A23740">
              <w:rPr>
                <w:rFonts w:eastAsia="Times New Roman"/>
                <w:szCs w:val="24"/>
                <w:lang w:eastAsia="tr-TR"/>
              </w:rPr>
              <w:t>i haciz koyduran alacaklı</w:t>
            </w:r>
            <w:r w:rsidR="00A92592" w:rsidRPr="00A23740">
              <w:rPr>
                <w:rFonts w:eastAsia="Times New Roman"/>
                <w:szCs w:val="24"/>
                <w:lang w:eastAsia="tr-TR"/>
              </w:rPr>
              <w:t>,</w:t>
            </w:r>
            <w:r w:rsidR="00F2630C" w:rsidRPr="00A23740">
              <w:rPr>
                <w:rFonts w:eastAsia="Times New Roman"/>
                <w:szCs w:val="24"/>
                <w:lang w:eastAsia="tr-TR"/>
              </w:rPr>
              <w:t xml:space="preserve"> </w:t>
            </w:r>
            <w:r w:rsidRPr="00A23740">
              <w:rPr>
                <w:rFonts w:eastAsia="Times New Roman"/>
                <w:szCs w:val="24"/>
                <w:lang w:eastAsia="tr-TR"/>
              </w:rPr>
              <w:t xml:space="preserve">hacze konu mal hakkında </w:t>
            </w:r>
            <w:r w:rsidRPr="00A23740">
              <w:rPr>
                <w:rFonts w:eastAsia="Times New Roman"/>
                <w:color w:val="000000"/>
                <w:szCs w:val="24"/>
                <w:lang w:eastAsia="tr-TR"/>
              </w:rPr>
              <w:t>satış talebinde</w:t>
            </w:r>
            <w:r w:rsidR="000034BD" w:rsidRPr="00A23740">
              <w:rPr>
                <w:rFonts w:eastAsia="Times New Roman"/>
                <w:color w:val="000000"/>
                <w:szCs w:val="24"/>
                <w:lang w:eastAsia="tr-TR"/>
              </w:rPr>
              <w:t xml:space="preserve"> bulunamaz</w:t>
            </w:r>
            <w:r w:rsidRPr="00A23740">
              <w:rPr>
                <w:rFonts w:eastAsia="Times New Roman"/>
                <w:color w:val="000000"/>
                <w:szCs w:val="24"/>
                <w:lang w:eastAsia="tr-TR"/>
              </w:rPr>
              <w:t xml:space="preserve"> ve </w:t>
            </w:r>
            <w:r w:rsidR="00A92592" w:rsidRPr="00A23740">
              <w:rPr>
                <w:rFonts w:eastAsia="Times New Roman"/>
                <w:szCs w:val="24"/>
                <w:lang w:eastAsia="tr-TR"/>
              </w:rPr>
              <w:t>bu mallar</w:t>
            </w:r>
            <w:r w:rsidR="000034BD" w:rsidRPr="00A23740">
              <w:rPr>
                <w:rFonts w:eastAsia="Times New Roman"/>
                <w:szCs w:val="24"/>
                <w:lang w:eastAsia="tr-TR"/>
              </w:rPr>
              <w:t xml:space="preserve"> hakkında</w:t>
            </w:r>
            <w:r w:rsidRPr="00A23740">
              <w:rPr>
                <w:rFonts w:eastAsia="Times New Roman"/>
                <w:szCs w:val="24"/>
                <w:lang w:eastAsia="tr-TR"/>
              </w:rPr>
              <w:t xml:space="preserve"> </w:t>
            </w:r>
            <w:r w:rsidRPr="00A23740">
              <w:rPr>
                <w:rFonts w:eastAsia="Times New Roman"/>
                <w:color w:val="000000"/>
                <w:szCs w:val="24"/>
                <w:lang w:eastAsia="tr-TR"/>
              </w:rPr>
              <w:t>satış isteme süreler</w:t>
            </w:r>
            <w:r w:rsidR="000034BD" w:rsidRPr="00A23740">
              <w:rPr>
                <w:rFonts w:eastAsia="Times New Roman"/>
                <w:color w:val="000000"/>
                <w:szCs w:val="24"/>
                <w:lang w:eastAsia="tr-TR"/>
              </w:rPr>
              <w:t>i işlemez</w:t>
            </w:r>
            <w:r w:rsidRPr="00A23740">
              <w:rPr>
                <w:rFonts w:eastAsia="Times New Roman"/>
                <w:color w:val="000000"/>
                <w:szCs w:val="24"/>
                <w:lang w:eastAsia="tr-TR"/>
              </w:rPr>
              <w:t xml:space="preserve">. </w:t>
            </w:r>
            <w:r w:rsidR="00A92592" w:rsidRPr="00A23740">
              <w:rPr>
                <w:rFonts w:eastAsia="Times New Roman"/>
                <w:color w:val="000000"/>
                <w:szCs w:val="24"/>
                <w:lang w:eastAsia="tr-TR"/>
              </w:rPr>
              <w:t xml:space="preserve">Öte yandan </w:t>
            </w:r>
            <w:r w:rsidR="00A92592" w:rsidRPr="00A23740">
              <w:rPr>
                <w:rFonts w:eastAsia="Times New Roman"/>
                <w:szCs w:val="24"/>
                <w:lang w:eastAsia="tr-TR"/>
              </w:rPr>
              <w:t>2004 sayılı Kanunun 108 inci maddesinin ikinci fıkrasında</w:t>
            </w:r>
            <w:r w:rsidR="00EB338B" w:rsidRPr="00A23740">
              <w:rPr>
                <w:rFonts w:eastAsia="Times New Roman"/>
                <w:szCs w:val="24"/>
                <w:lang w:eastAsia="tr-TR"/>
              </w:rPr>
              <w:t>,</w:t>
            </w:r>
            <w:r w:rsidR="00A92592" w:rsidRPr="00A23740">
              <w:rPr>
                <w:rFonts w:eastAsia="Times New Roman"/>
                <w:szCs w:val="24"/>
                <w:lang w:eastAsia="tr-TR"/>
              </w:rPr>
              <w:t xml:space="preserve"> ihtiyaten haczedilen malların satılabilmesine ilişkin kural üçüncü fıkrada muhafaza edilmektedir. Hükme göre,</w:t>
            </w:r>
            <w:r w:rsidR="00A92592" w:rsidRPr="00A23740">
              <w:rPr>
                <w:rFonts w:eastAsia="Times New Roman"/>
                <w:color w:val="000000"/>
                <w:szCs w:val="24"/>
                <w:lang w:eastAsia="tr-TR"/>
              </w:rPr>
              <w:t xml:space="preserve"> ihtiyat</w:t>
            </w:r>
            <w:r w:rsidRPr="00A23740">
              <w:rPr>
                <w:rFonts w:eastAsia="Times New Roman"/>
                <w:color w:val="000000"/>
                <w:szCs w:val="24"/>
                <w:lang w:eastAsia="tr-TR"/>
              </w:rPr>
              <w:t>i hacze konu mal</w:t>
            </w:r>
            <w:r w:rsidR="00A92592" w:rsidRPr="00A23740">
              <w:rPr>
                <w:rFonts w:eastAsia="Times New Roman"/>
                <w:color w:val="000000"/>
                <w:szCs w:val="24"/>
                <w:lang w:eastAsia="tr-TR"/>
              </w:rPr>
              <w:t>ın</w:t>
            </w:r>
            <w:r w:rsidRPr="00A23740">
              <w:rPr>
                <w:rFonts w:eastAsia="Times New Roman"/>
                <w:color w:val="000000"/>
                <w:szCs w:val="24"/>
                <w:lang w:eastAsia="tr-TR"/>
              </w:rPr>
              <w:t xml:space="preserve">, </w:t>
            </w:r>
            <w:r w:rsidRPr="00A23740">
              <w:rPr>
                <w:rFonts w:eastAsia="Times New Roman"/>
                <w:szCs w:val="24"/>
                <w:lang w:eastAsia="tr-TR"/>
              </w:rPr>
              <w:t xml:space="preserve">kıymetinin süratle düşmesi veya muhafazasının masraflı olması </w:t>
            </w:r>
            <w:r w:rsidR="000034BD" w:rsidRPr="00A23740">
              <w:rPr>
                <w:rFonts w:eastAsia="Times New Roman"/>
                <w:szCs w:val="24"/>
                <w:lang w:eastAsia="tr-TR"/>
              </w:rPr>
              <w:t>durumunda bu mallar</w:t>
            </w:r>
            <w:r w:rsidR="00E54485" w:rsidRPr="00A23740">
              <w:rPr>
                <w:rFonts w:eastAsia="Times New Roman"/>
                <w:szCs w:val="24"/>
                <w:lang w:eastAsia="tr-TR"/>
              </w:rPr>
              <w:t>,</w:t>
            </w:r>
            <w:r w:rsidRPr="00A23740">
              <w:rPr>
                <w:rFonts w:eastAsia="Times New Roman"/>
                <w:szCs w:val="24"/>
                <w:lang w:eastAsia="tr-TR"/>
              </w:rPr>
              <w:t xml:space="preserve"> icra ve iflas dairesince pazarlık suretiyle </w:t>
            </w:r>
            <w:r w:rsidR="000034BD" w:rsidRPr="00A23740">
              <w:rPr>
                <w:rFonts w:eastAsia="Times New Roman"/>
                <w:szCs w:val="24"/>
                <w:lang w:eastAsia="tr-TR"/>
              </w:rPr>
              <w:t>her zaman satılabilir</w:t>
            </w:r>
            <w:r w:rsidRPr="00A23740">
              <w:rPr>
                <w:rFonts w:eastAsia="Times New Roman"/>
                <w:szCs w:val="24"/>
                <w:lang w:eastAsia="tr-TR"/>
              </w:rPr>
              <w:t>.</w:t>
            </w:r>
            <w:r w:rsidR="00A92592" w:rsidRPr="00A23740">
              <w:rPr>
                <w:rFonts w:eastAsia="Times New Roman"/>
                <w:szCs w:val="24"/>
                <w:lang w:eastAsia="tr-TR"/>
              </w:rPr>
              <w:t xml:space="preserve"> </w:t>
            </w:r>
          </w:p>
          <w:p w:rsidR="00C11B2F" w:rsidRPr="00A23740" w:rsidRDefault="00C11B2F"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Style w:val="KIRMIZIChar"/>
                <w:rFonts w:eastAsia="Calibri"/>
              </w:rPr>
              <w:t>Talep için müddetler ve</w:t>
            </w:r>
            <w:r w:rsidRPr="00A23740">
              <w:rPr>
                <w:rStyle w:val="KIRMIZIChar"/>
                <w:rFonts w:eastAsia="Calibri"/>
                <w:b w:val="0"/>
              </w:rPr>
              <w:t xml:space="preserve"> </w:t>
            </w:r>
            <w:r w:rsidRPr="00A23740">
              <w:rPr>
                <w:rStyle w:val="KIRMIZIChar"/>
                <w:rFonts w:eastAsia="Calibri"/>
              </w:rPr>
              <w:t>giderlerin</w:t>
            </w:r>
            <w:r w:rsidRPr="00A23740">
              <w:rPr>
                <w:rStyle w:val="KIRMIZIChar"/>
                <w:rFonts w:eastAsia="Calibri"/>
                <w:b w:val="0"/>
              </w:rPr>
              <w:t xml:space="preserve"> </w:t>
            </w:r>
            <w:r w:rsidRPr="00A23740">
              <w:rPr>
                <w:rStyle w:val="KIRMIZIChar"/>
                <w:rFonts w:eastAsia="Calibri"/>
              </w:rPr>
              <w:t>yatırılması:</w:t>
            </w:r>
          </w:p>
          <w:p w:rsidR="00AA5C8C" w:rsidRPr="00A23740" w:rsidRDefault="00AA5C8C" w:rsidP="009431FF">
            <w:pPr>
              <w:pStyle w:val="KIRMIZI"/>
            </w:pPr>
            <w:r w:rsidRPr="00A23740">
              <w:t>Madde 106 – (Başlığı ile Birlikte Değişik:24/11/2021-7343/9 md.)</w:t>
            </w:r>
          </w:p>
          <w:p w:rsidR="00AA5C8C" w:rsidRPr="00A23740" w:rsidRDefault="00AA5C8C" w:rsidP="009431FF">
            <w:pPr>
              <w:pStyle w:val="KIRMIZI"/>
            </w:pPr>
            <w:r w:rsidRPr="00A23740">
              <w:t>(1)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KIRMIZI"/>
            </w:pPr>
            <w:r w:rsidRPr="00A23740">
              <w:t>(2)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bCs/>
                <w:strike/>
                <w:color w:val="FF0000"/>
                <w:szCs w:val="24"/>
                <w:lang w:val="x-none" w:eastAsia="x-none"/>
              </w:rPr>
              <w:t>(3)</w:t>
            </w:r>
            <w:r w:rsidRPr="00A23740">
              <w:rPr>
                <w:rFonts w:eastAsia="Times New Roman"/>
                <w:szCs w:val="24"/>
                <w:lang w:eastAsia="tr-TR"/>
              </w:rPr>
              <w:t xml:space="preserve"> Satış talebiyle birlikte kıymet takdiri ve satış giderlerinin tamamının peşin olarak yatırılması zorunludur.</w:t>
            </w:r>
          </w:p>
          <w:p w:rsidR="0074551E" w:rsidRPr="00A23740" w:rsidRDefault="0074551E"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bCs/>
                <w:strike/>
                <w:color w:val="FF0000"/>
                <w:szCs w:val="24"/>
                <w:lang w:val="x-none" w:eastAsia="x-none"/>
              </w:rPr>
              <w:t>(4)</w:t>
            </w:r>
            <w:r w:rsidRPr="00A23740">
              <w:rPr>
                <w:rFonts w:eastAsia="Times New Roman"/>
                <w:szCs w:val="24"/>
                <w:lang w:eastAsia="tr-TR"/>
              </w:rPr>
              <w:t xml:space="preserve"> Sicile kayıtlı motorlu kara araçları bakımından muhafaza, kıymet takdiri ve satış talebinin birlikte yapılması ve bunlara ilişkin giderlerin tamamının birlikte ve peşin olarak yatırılması zorunludur.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bCs/>
                <w:strike/>
                <w:color w:val="FF0000"/>
                <w:szCs w:val="24"/>
                <w:lang w:val="x-none" w:eastAsia="x-none"/>
              </w:rPr>
              <w:t>(5)</w:t>
            </w:r>
            <w:r w:rsidRPr="00A23740">
              <w:rPr>
                <w:rFonts w:eastAsia="Times New Roman"/>
                <w:szCs w:val="24"/>
                <w:lang w:eastAsia="tr-TR"/>
              </w:rPr>
              <w:t xml:space="preserve"> Kıymet takdiri ve satış giderlerinin, sicile kayıtlı motorlu kara araçları bakımından </w:t>
            </w:r>
            <w:r w:rsidRPr="00A23740">
              <w:rPr>
                <w:rFonts w:eastAsia="Times New Roman"/>
                <w:b/>
                <w:strike/>
                <w:color w:val="FF0000"/>
                <w:szCs w:val="24"/>
                <w:lang w:eastAsia="tr-TR"/>
              </w:rPr>
              <w:t>ilaveten</w:t>
            </w:r>
            <w:r w:rsidRPr="00A23740">
              <w:rPr>
                <w:rFonts w:eastAsia="Times New Roman"/>
                <w:szCs w:val="24"/>
                <w:lang w:eastAsia="tr-TR"/>
              </w:rPr>
              <w:t xml:space="preserve"> muhafaza giderinin tamamı, satış talebiyle birlikte peşin olarak yatırılmazsa satış talebi vaki olmamış sayılır.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bCs/>
                <w:strike/>
                <w:color w:val="FF0000"/>
                <w:szCs w:val="24"/>
                <w:lang w:val="x-none" w:eastAsia="x-none"/>
              </w:rPr>
              <w:t>(6)</w:t>
            </w:r>
            <w:r w:rsidRPr="00A23740">
              <w:rPr>
                <w:rFonts w:eastAsia="Times New Roman"/>
                <w:szCs w:val="24"/>
                <w:lang w:eastAsia="tr-TR"/>
              </w:rPr>
              <w:t xml:space="preserve"> Yukarıdaki fıkralar uyarınca satış talebiyle birlikte peşin olarak yatırılan miktarın satış işlemleri sırasında yetersiz kaldığı anlaşılırsa icra müdürü tarafından satış isteyene </w:t>
            </w:r>
            <w:r w:rsidRPr="00A23740">
              <w:rPr>
                <w:rStyle w:val="KIRMIZIChar"/>
                <w:rFonts w:eastAsia="Calibri"/>
              </w:rPr>
              <w:t>on beş günlük</w:t>
            </w:r>
            <w:r w:rsidRPr="00A23740">
              <w:rPr>
                <w:rFonts w:eastAsia="Times New Roman"/>
                <w:szCs w:val="24"/>
                <w:lang w:eastAsia="tr-TR"/>
              </w:rPr>
              <w:t xml:space="preserve"> süre verilir ve bu sürede eksik miktar tamamlanmazsa satış talebi vaki olmamış sayılır.</w:t>
            </w:r>
          </w:p>
          <w:p w:rsidR="00AA5C8C" w:rsidRPr="00A23740" w:rsidRDefault="00AA5C8C" w:rsidP="009431FF">
            <w:pPr>
              <w:tabs>
                <w:tab w:val="left" w:pos="567"/>
              </w:tabs>
              <w:rPr>
                <w:rFonts w:eastAsia="Times New Roman"/>
                <w:szCs w:val="24"/>
                <w:lang w:eastAsia="tr-TR"/>
              </w:rPr>
            </w:pPr>
          </w:p>
          <w:p w:rsidR="00AC3C7D" w:rsidRPr="00A23740" w:rsidRDefault="00AC3C7D"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bCs/>
                <w:strike/>
                <w:color w:val="FF0000"/>
                <w:szCs w:val="24"/>
                <w:lang w:val="x-none" w:eastAsia="x-none"/>
              </w:rPr>
              <w:t>(7)</w:t>
            </w:r>
            <w:r w:rsidRPr="00A23740">
              <w:rPr>
                <w:rFonts w:eastAsia="Times New Roman"/>
                <w:szCs w:val="24"/>
                <w:lang w:eastAsia="tr-TR"/>
              </w:rPr>
              <w:t xml:space="preserve"> Bu maddede belirtilen giderler </w:t>
            </w:r>
            <w:r w:rsidRPr="00A23740">
              <w:rPr>
                <w:rStyle w:val="KIRMIZIChar"/>
                <w:rFonts w:eastAsia="Calibri"/>
              </w:rPr>
              <w:t>Adalet Bakanlığınca</w:t>
            </w:r>
            <w:r w:rsidRPr="00A23740">
              <w:rPr>
                <w:rFonts w:eastAsia="Times New Roman"/>
                <w:szCs w:val="24"/>
                <w:lang w:eastAsia="tr-TR"/>
              </w:rPr>
              <w:t xml:space="preserve"> </w:t>
            </w:r>
            <w:r w:rsidRPr="00A23740">
              <w:rPr>
                <w:rStyle w:val="KIRMIZIChar"/>
                <w:rFonts w:eastAsia="Calibri"/>
              </w:rPr>
              <w:t>her yıl</w:t>
            </w:r>
            <w:r w:rsidRPr="00A23740">
              <w:rPr>
                <w:rFonts w:eastAsia="Times New Roman"/>
                <w:szCs w:val="24"/>
                <w:lang w:eastAsia="tr-TR"/>
              </w:rPr>
              <w:t xml:space="preserve"> </w:t>
            </w:r>
            <w:r w:rsidRPr="00A23740">
              <w:rPr>
                <w:rStyle w:val="KIRMIZIChar"/>
                <w:rFonts w:eastAsia="Calibri"/>
              </w:rPr>
              <w:t>yürürlüğe konulan</w:t>
            </w:r>
            <w:r w:rsidRPr="00A23740">
              <w:rPr>
                <w:rFonts w:eastAsia="Times New Roman"/>
                <w:szCs w:val="24"/>
                <w:lang w:eastAsia="tr-TR"/>
              </w:rPr>
              <w:t xml:space="preserve"> </w:t>
            </w:r>
            <w:r w:rsidRPr="00A23740">
              <w:rPr>
                <w:rStyle w:val="KIRMIZIChar"/>
                <w:rFonts w:eastAsia="Calibri"/>
              </w:rPr>
              <w:t>tarifede</w:t>
            </w:r>
            <w:r w:rsidRPr="00A23740">
              <w:rPr>
                <w:rFonts w:eastAsia="Times New Roman"/>
                <w:szCs w:val="24"/>
                <w:lang w:eastAsia="tr-TR"/>
              </w:rPr>
              <w:t xml:space="preserve"> belirlenir.</w:t>
            </w:r>
          </w:p>
          <w:p w:rsidR="00AA5C8C" w:rsidRPr="00A23740" w:rsidRDefault="00AA5C8C" w:rsidP="009431FF">
            <w:pPr>
              <w:tabs>
                <w:tab w:val="left" w:pos="567"/>
              </w:tabs>
              <w:rPr>
                <w:rFonts w:eastAsia="Times New Roman"/>
                <w:b/>
                <w:szCs w:val="24"/>
                <w:lang w:eastAsia="tr-TR"/>
              </w:rPr>
            </w:pPr>
          </w:p>
        </w:tc>
        <w:tc>
          <w:tcPr>
            <w:tcW w:w="2500" w:type="pct"/>
          </w:tcPr>
          <w:p w:rsidR="00AA5C8C" w:rsidRPr="00A23740" w:rsidRDefault="00AA5C8C" w:rsidP="009431FF">
            <w:pPr>
              <w:pStyle w:val="YEL"/>
              <w:rPr>
                <w:lang w:val="tr-TR" w:eastAsia="tr-TR"/>
              </w:rPr>
            </w:pPr>
          </w:p>
          <w:p w:rsidR="00AA5C8C" w:rsidRPr="00A23740" w:rsidRDefault="00AA5C8C" w:rsidP="009431FF">
            <w:pPr>
              <w:pStyle w:val="YEL"/>
              <w:rPr>
                <w:lang w:val="tr-TR" w:eastAsia="tr-TR"/>
              </w:rPr>
            </w:pPr>
          </w:p>
          <w:p w:rsidR="00AA5C8C" w:rsidRPr="00A23740" w:rsidRDefault="00AA5C8C" w:rsidP="009431FF">
            <w:pPr>
              <w:pStyle w:val="YEL"/>
              <w:rPr>
                <w:lang w:val="tr-TR" w:eastAsia="tr-TR"/>
              </w:rPr>
            </w:pPr>
          </w:p>
          <w:p w:rsidR="00AA5C8C" w:rsidRPr="00A23740" w:rsidRDefault="00AA5C8C" w:rsidP="009431FF">
            <w:pPr>
              <w:pStyle w:val="YEL"/>
              <w:rPr>
                <w:lang w:val="tr-TR" w:eastAsia="tr-TR"/>
              </w:rPr>
            </w:pPr>
          </w:p>
          <w:p w:rsidR="00AA5C8C" w:rsidRPr="00A23740" w:rsidRDefault="00AA5C8C" w:rsidP="009431FF">
            <w:pPr>
              <w:pStyle w:val="YEL"/>
              <w:rPr>
                <w:lang w:val="tr-TR" w:eastAsia="tr-TR"/>
              </w:rPr>
            </w:pPr>
          </w:p>
          <w:p w:rsidR="00AA5C8C" w:rsidRPr="00A23740" w:rsidRDefault="00AA5C8C" w:rsidP="009431FF">
            <w:pPr>
              <w:pStyle w:val="Mavi"/>
            </w:pPr>
            <w:r w:rsidRPr="00A23740">
              <w:t>Satış giderlerinin ödenmesi</w:t>
            </w:r>
          </w:p>
          <w:p w:rsidR="00AA5C8C" w:rsidRPr="00A23740" w:rsidRDefault="00AA5C8C" w:rsidP="009431FF">
            <w:pPr>
              <w:pStyle w:val="Mavi"/>
              <w:rPr>
                <w:rFonts w:eastAsia="Times New Roman"/>
                <w:b w:val="0"/>
                <w:bCs w:val="0"/>
                <w:color w:val="auto"/>
                <w:lang w:val="tr-TR" w:eastAsia="tr-TR"/>
              </w:rPr>
            </w:pPr>
            <w:r w:rsidRPr="00A23740">
              <w:rPr>
                <w:rStyle w:val="YELChar"/>
                <w:rFonts w:eastAsia="Calibri"/>
                <w:b/>
                <w:color w:val="0000FF"/>
                <w:lang w:eastAsia="x-none"/>
              </w:rPr>
              <w:t xml:space="preserve">MADDE </w:t>
            </w:r>
            <w:r w:rsidR="0025794C" w:rsidRPr="00A23740">
              <w:rPr>
                <w:rStyle w:val="YELChar"/>
                <w:rFonts w:eastAsia="Calibri"/>
                <w:b/>
                <w:color w:val="0000FF"/>
                <w:lang w:val="tr-TR" w:eastAsia="x-none"/>
              </w:rPr>
              <w:t>215</w:t>
            </w:r>
            <w:r w:rsidRPr="00A23740">
              <w:rPr>
                <w:rStyle w:val="YELChar"/>
                <w:rFonts w:eastAsia="Calibri"/>
                <w:b/>
                <w:color w:val="0000FF"/>
                <w:lang w:eastAsia="x-none"/>
              </w:rPr>
              <w:t>-</w:t>
            </w:r>
            <w:r w:rsidRPr="00A23740">
              <w:t xml:space="preserve"> </w:t>
            </w:r>
            <w:r w:rsidRPr="00A23740">
              <w:rPr>
                <w:lang w:val="tr-TR" w:eastAsia="tr-TR"/>
              </w:rPr>
              <w:t>(1)</w:t>
            </w:r>
            <w:r w:rsidRPr="00A23740">
              <w:rPr>
                <w:rFonts w:eastAsia="Times New Roman"/>
                <w:bCs w:val="0"/>
                <w:color w:val="auto"/>
                <w:lang w:val="tr-TR" w:eastAsia="tr-TR"/>
              </w:rPr>
              <w:t xml:space="preserve"> </w:t>
            </w:r>
            <w:r w:rsidRPr="00A23740">
              <w:rPr>
                <w:rFonts w:eastAsia="Times New Roman"/>
                <w:b w:val="0"/>
                <w:bCs w:val="0"/>
                <w:color w:val="auto"/>
                <w:lang w:val="tr-TR" w:eastAsia="tr-TR"/>
              </w:rPr>
              <w:t>Satış talebiyle birlikte kıymet takdiri ve satış giderlerinin tamamının</w:t>
            </w:r>
            <w:r w:rsidR="0074551E" w:rsidRPr="00A23740">
              <w:rPr>
                <w:rFonts w:eastAsia="Times New Roman"/>
                <w:b w:val="0"/>
                <w:bCs w:val="0"/>
                <w:color w:val="auto"/>
                <w:lang w:val="tr-TR" w:eastAsia="tr-TR"/>
              </w:rPr>
              <w:t xml:space="preserve"> </w:t>
            </w:r>
            <w:r w:rsidRPr="00A23740">
              <w:rPr>
                <w:rFonts w:eastAsia="Times New Roman"/>
                <w:b w:val="0"/>
                <w:bCs w:val="0"/>
                <w:color w:val="auto"/>
                <w:lang w:val="tr-TR" w:eastAsia="tr-TR"/>
              </w:rPr>
              <w:t>peşin olarak yatırılması zorunludur.</w:t>
            </w:r>
          </w:p>
          <w:p w:rsidR="00AC3C7D" w:rsidRPr="00A23740" w:rsidRDefault="00AC3C7D" w:rsidP="009431FF">
            <w:pPr>
              <w:pStyle w:val="Mavi"/>
            </w:pPr>
          </w:p>
          <w:p w:rsidR="00AA5C8C" w:rsidRPr="00A23740" w:rsidRDefault="00AA5C8C" w:rsidP="009431FF">
            <w:pPr>
              <w:pStyle w:val="Mavi"/>
              <w:rPr>
                <w:rFonts w:eastAsia="Times New Roman"/>
                <w:b w:val="0"/>
                <w:bCs w:val="0"/>
                <w:color w:val="auto"/>
                <w:lang w:val="tr-TR" w:eastAsia="tr-TR"/>
              </w:rPr>
            </w:pPr>
            <w:r w:rsidRPr="00A23740">
              <w:t xml:space="preserve">(2) </w:t>
            </w:r>
            <w:r w:rsidRPr="00A23740">
              <w:rPr>
                <w:rFonts w:eastAsia="Times New Roman"/>
                <w:b w:val="0"/>
                <w:bCs w:val="0"/>
                <w:color w:val="auto"/>
                <w:lang w:val="tr-TR" w:eastAsia="tr-TR"/>
              </w:rPr>
              <w:t xml:space="preserve">Sicile kayıtlı motorlu kara araçları bakımından muhafaza, kıymet takdiri ve satış talebinin birlikte yapılması ve bunlara ilişkin giderlerin tamamının birlikte ve peşin olarak yatırılması zorunludur. </w:t>
            </w:r>
          </w:p>
          <w:p w:rsidR="00AA5C8C" w:rsidRPr="00A23740" w:rsidRDefault="00AA5C8C" w:rsidP="009431FF">
            <w:pPr>
              <w:pStyle w:val="Mavi"/>
            </w:pPr>
          </w:p>
          <w:p w:rsidR="00AA5C8C" w:rsidRPr="00A23740" w:rsidRDefault="00AA5C8C" w:rsidP="009431FF">
            <w:pPr>
              <w:pStyle w:val="Mavi"/>
              <w:rPr>
                <w:rFonts w:eastAsia="Times New Roman"/>
                <w:b w:val="0"/>
                <w:bCs w:val="0"/>
                <w:color w:val="auto"/>
                <w:lang w:val="tr-TR" w:eastAsia="tr-TR"/>
              </w:rPr>
            </w:pPr>
            <w:r w:rsidRPr="00A23740">
              <w:t xml:space="preserve">(3) </w:t>
            </w:r>
            <w:r w:rsidRPr="00A23740">
              <w:rPr>
                <w:rFonts w:eastAsia="Times New Roman"/>
                <w:b w:val="0"/>
                <w:bCs w:val="0"/>
                <w:color w:val="auto"/>
                <w:lang w:val="tr-TR" w:eastAsia="tr-TR"/>
              </w:rPr>
              <w:t>Kıymet takdiri ve satış giderlerinin, sicile kayıtlı motorlu k</w:t>
            </w:r>
            <w:r w:rsidR="00422DDD" w:rsidRPr="00A23740">
              <w:rPr>
                <w:rFonts w:eastAsia="Times New Roman"/>
                <w:b w:val="0"/>
                <w:bCs w:val="0"/>
                <w:color w:val="auto"/>
                <w:lang w:val="tr-TR" w:eastAsia="tr-TR"/>
              </w:rPr>
              <w:t xml:space="preserve">ara araçları bakımından </w:t>
            </w:r>
            <w:r w:rsidR="00422DDD" w:rsidRPr="00A23740">
              <w:t>ilave olarak</w:t>
            </w:r>
            <w:r w:rsidRPr="00A23740">
              <w:rPr>
                <w:rFonts w:eastAsia="Times New Roman"/>
                <w:b w:val="0"/>
                <w:bCs w:val="0"/>
                <w:color w:val="auto"/>
                <w:lang w:val="tr-TR" w:eastAsia="tr-TR"/>
              </w:rPr>
              <w:t xml:space="preserve"> muhafaza giderinin tamamı, satış talebiyle birlikte peşin olarak yatırılmazsa satış talebi vaki olmamış sayılır.</w:t>
            </w:r>
          </w:p>
          <w:p w:rsidR="00AA5C8C" w:rsidRPr="00A23740" w:rsidRDefault="00AA5C8C" w:rsidP="009431FF">
            <w:pPr>
              <w:pStyle w:val="Mavi"/>
            </w:pPr>
          </w:p>
          <w:p w:rsidR="00AA5C8C" w:rsidRPr="00A23740" w:rsidRDefault="00AA5C8C" w:rsidP="009431FF">
            <w:pPr>
              <w:pStyle w:val="Mavi"/>
            </w:pPr>
            <w:r w:rsidRPr="00A23740">
              <w:t xml:space="preserve">(4) </w:t>
            </w:r>
            <w:r w:rsidRPr="00A23740">
              <w:rPr>
                <w:rFonts w:eastAsia="Times New Roman"/>
                <w:b w:val="0"/>
                <w:bCs w:val="0"/>
                <w:color w:val="auto"/>
                <w:lang w:val="tr-TR" w:eastAsia="tr-TR"/>
              </w:rPr>
              <w:t>Yukarıdaki fıkralar uyarınca satış talebiyle birlikte peşin olarak yatırılan miktarın satış işlemleri sırasında yetersiz kaldığı anlaşılırsa</w:t>
            </w:r>
            <w:r w:rsidR="00C075C5" w:rsidRPr="00A23740">
              <w:rPr>
                <w:rFonts w:eastAsia="Times New Roman"/>
                <w:color w:val="385623"/>
                <w:lang w:val="tr-TR" w:eastAsia="tr-TR"/>
              </w:rPr>
              <w:t>,</w:t>
            </w:r>
            <w:r w:rsidRPr="00A23740">
              <w:rPr>
                <w:rFonts w:eastAsia="Times New Roman"/>
                <w:b w:val="0"/>
                <w:bCs w:val="0"/>
                <w:color w:val="auto"/>
                <w:lang w:val="tr-TR" w:eastAsia="tr-TR"/>
              </w:rPr>
              <w:t xml:space="preserve"> icra </w:t>
            </w:r>
            <w:r w:rsidRPr="00A23740">
              <w:t>ve iflas dairesi</w:t>
            </w:r>
            <w:r w:rsidRPr="00A23740">
              <w:rPr>
                <w:rFonts w:eastAsia="Times New Roman"/>
                <w:b w:val="0"/>
                <w:bCs w:val="0"/>
                <w:color w:val="auto"/>
                <w:lang w:val="tr-TR" w:eastAsia="tr-TR"/>
              </w:rPr>
              <w:t xml:space="preserve"> tarafından satış isteyene </w:t>
            </w:r>
            <w:r w:rsidRPr="00A23740">
              <w:t>iki haftalık</w:t>
            </w:r>
            <w:r w:rsidRPr="00A23740">
              <w:rPr>
                <w:rFonts w:eastAsia="Times New Roman"/>
                <w:b w:val="0"/>
                <w:bCs w:val="0"/>
                <w:color w:val="auto"/>
                <w:lang w:val="tr-TR" w:eastAsia="tr-TR"/>
              </w:rPr>
              <w:t xml:space="preserve"> süre verilir ve bu sürede eksik miktar tamamlanmazsa satış talebi vaki olmamış sayılır.</w:t>
            </w:r>
          </w:p>
          <w:p w:rsidR="00F30ECB" w:rsidRPr="00A23740" w:rsidRDefault="00F30ECB" w:rsidP="009431FF">
            <w:pPr>
              <w:pStyle w:val="Mavi"/>
              <w:rPr>
                <w:rFonts w:eastAsia="Times New Roman"/>
                <w:b w:val="0"/>
                <w:bCs w:val="0"/>
                <w:color w:val="auto"/>
                <w:lang w:val="tr-TR" w:eastAsia="tr-TR"/>
              </w:rPr>
            </w:pPr>
          </w:p>
          <w:p w:rsidR="00C075C5" w:rsidRPr="00A23740" w:rsidRDefault="00C075C5" w:rsidP="009431FF">
            <w:pPr>
              <w:pStyle w:val="Balk1"/>
              <w:jc w:val="both"/>
              <w:rPr>
                <w:lang w:eastAsia="tr-TR"/>
              </w:rPr>
            </w:pPr>
            <w:r w:rsidRPr="00A23740">
              <w:rPr>
                <w:lang w:eastAsia="tr-TR"/>
              </w:rPr>
              <w:t xml:space="preserve">(5) </w:t>
            </w:r>
            <w:r w:rsidRPr="004740E6">
              <w:rPr>
                <w:b w:val="0"/>
                <w:bCs w:val="0"/>
                <w:color w:val="auto"/>
                <w:kern w:val="0"/>
                <w:szCs w:val="24"/>
                <w:lang w:val="tr-TR" w:eastAsia="tr-TR"/>
              </w:rPr>
              <w:t>Bu maddede belirtilen</w:t>
            </w:r>
            <w:r w:rsidRPr="00A23740">
              <w:rPr>
                <w:lang w:eastAsia="tr-TR"/>
              </w:rPr>
              <w:t xml:space="preserve"> ve satış gider avansı tarifesinde belirlenen giderler icra ve iflas dairesinin banka hesabına yatırılır.</w:t>
            </w:r>
          </w:p>
          <w:p w:rsidR="00C075C5" w:rsidRPr="00A23740" w:rsidRDefault="00C075C5" w:rsidP="009431FF">
            <w:pPr>
              <w:pStyle w:val="YEL"/>
              <w:rPr>
                <w:rFonts w:eastAsia="Times New Roman"/>
                <w:b w:val="0"/>
                <w:color w:val="0000FF"/>
                <w:lang w:val="tr-TR" w:eastAsia="tr-TR"/>
              </w:rPr>
            </w:pPr>
            <w:r w:rsidRPr="00A23740">
              <w:rPr>
                <w:rFonts w:eastAsia="Times New Roman"/>
                <w:b w:val="0"/>
                <w:color w:val="0000FF"/>
                <w:lang w:val="tr-TR" w:eastAsia="tr-TR"/>
              </w:rPr>
              <w:t xml:space="preserve"> </w:t>
            </w:r>
          </w:p>
        </w:tc>
      </w:tr>
      <w:tr w:rsidR="009A2F56" w:rsidRPr="00A23740" w:rsidTr="009431FF">
        <w:tblPrEx>
          <w:tblLook w:val="01E0" w:firstRow="1" w:lastRow="1" w:firstColumn="1" w:lastColumn="1" w:noHBand="0" w:noVBand="0"/>
        </w:tblPrEx>
        <w:tc>
          <w:tcPr>
            <w:tcW w:w="5000" w:type="pct"/>
            <w:gridSpan w:val="2"/>
            <w:shd w:val="clear" w:color="auto" w:fill="DEEAF6"/>
          </w:tcPr>
          <w:p w:rsidR="00422DDD" w:rsidRPr="00A23740" w:rsidRDefault="00422DDD" w:rsidP="009431FF">
            <w:pPr>
              <w:tabs>
                <w:tab w:val="left" w:pos="567"/>
              </w:tabs>
              <w:ind w:firstLine="709"/>
              <w:rPr>
                <w:b/>
                <w:bCs/>
                <w:szCs w:val="24"/>
                <w:lang w:eastAsia="x-none"/>
              </w:rPr>
            </w:pPr>
          </w:p>
          <w:p w:rsidR="00C11B2F" w:rsidRPr="00A23740" w:rsidRDefault="00C11B2F" w:rsidP="009431FF">
            <w:pPr>
              <w:tabs>
                <w:tab w:val="left" w:pos="567"/>
              </w:tabs>
              <w:ind w:firstLine="709"/>
              <w:rPr>
                <w:rFonts w:eastAsia="Times New Roman"/>
                <w:color w:val="000000"/>
                <w:szCs w:val="24"/>
                <w:lang w:eastAsia="tr-TR"/>
              </w:rPr>
            </w:pPr>
            <w:r w:rsidRPr="00A23740">
              <w:rPr>
                <w:b/>
                <w:bCs/>
                <w:szCs w:val="24"/>
                <w:lang w:eastAsia="x-none"/>
              </w:rPr>
              <w:t xml:space="preserve">MADDE </w:t>
            </w:r>
            <w:r w:rsidR="0025794C" w:rsidRPr="00A23740">
              <w:rPr>
                <w:b/>
                <w:bCs/>
                <w:szCs w:val="24"/>
                <w:lang w:eastAsia="x-none"/>
              </w:rPr>
              <w:t>215</w:t>
            </w:r>
            <w:r w:rsidRPr="00A23740">
              <w:rPr>
                <w:b/>
                <w:bCs/>
                <w:szCs w:val="24"/>
                <w:lang w:eastAsia="x-none"/>
              </w:rPr>
              <w:t>-</w:t>
            </w:r>
            <w:r w:rsidRPr="00A23740">
              <w:rPr>
                <w:rFonts w:eastAsia="Times New Roman"/>
                <w:color w:val="000000"/>
                <w:szCs w:val="24"/>
                <w:lang w:eastAsia="tr-TR"/>
              </w:rPr>
              <w:t xml:space="preserve"> Maddeyle,</w:t>
            </w:r>
            <w:r w:rsidRPr="00A23740">
              <w:t xml:space="preserve"> </w:t>
            </w:r>
            <w:r w:rsidRPr="00A23740">
              <w:rPr>
                <w:rFonts w:eastAsia="Times New Roman"/>
                <w:color w:val="000000"/>
                <w:szCs w:val="24"/>
                <w:lang w:eastAsia="tr-TR"/>
              </w:rPr>
              <w:t>satış giderlerinin ödenmesi düzenlenmektedir.</w:t>
            </w:r>
          </w:p>
          <w:p w:rsidR="00C11B2F" w:rsidRPr="00A23740" w:rsidRDefault="00C11B2F" w:rsidP="009431FF">
            <w:pPr>
              <w:tabs>
                <w:tab w:val="left" w:pos="567"/>
              </w:tabs>
              <w:ind w:firstLine="709"/>
              <w:rPr>
                <w:rFonts w:eastAsia="Times New Roman"/>
                <w:szCs w:val="24"/>
                <w:lang w:eastAsia="tr-TR"/>
              </w:rPr>
            </w:pPr>
            <w:r w:rsidRPr="00A23740">
              <w:rPr>
                <w:rFonts w:eastAsia="Times New Roman"/>
                <w:color w:val="000000"/>
                <w:szCs w:val="24"/>
                <w:lang w:eastAsia="tr-TR"/>
              </w:rPr>
              <w:t xml:space="preserve">Birinci fıkrayla, </w:t>
            </w:r>
            <w:r w:rsidRPr="00A23740">
              <w:rPr>
                <w:rFonts w:eastAsia="Times New Roman"/>
                <w:szCs w:val="24"/>
                <w:lang w:eastAsia="tr-TR"/>
              </w:rPr>
              <w:t xml:space="preserve">satış talebiyle birlikte kıymet takdiri ve satış giderlerinin tamamının peşin olarak yatırılmasının zorunlu olduğu hükme bağlanmaktadır. Böylelikle, haczedilen malların satışının hızlı bir şekilde yapılabilmesi hedeflenmektedir. </w:t>
            </w:r>
            <w:r w:rsidRPr="00A23740">
              <w:rPr>
                <w:rFonts w:eastAsia="Times New Roman"/>
                <w:bCs/>
                <w:szCs w:val="24"/>
                <w:lang w:eastAsia="tr-TR"/>
              </w:rPr>
              <w:t>Fıkra, 2004 sayılı Kanunun 106 ncı maddesinin üçüncü fıkrasına</w:t>
            </w:r>
            <w:r w:rsidR="00B31446" w:rsidRPr="00A23740">
              <w:rPr>
                <w:rFonts w:eastAsia="Times New Roman"/>
                <w:bCs/>
                <w:szCs w:val="24"/>
                <w:lang w:eastAsia="tr-TR"/>
              </w:rPr>
              <w:t xml:space="preserve"> karşılık gelmektedir.</w:t>
            </w:r>
          </w:p>
          <w:p w:rsidR="00C11B2F"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İkinci fıkrayla, sicile kayıtlı motorlu kara araçları bakımından muhafaza, kıymet takdiri ve satış talebinin birlikte yapılması ve bunlara ilişkin giderlerin birlikte ve peşin olarak yatırılması zoru</w:t>
            </w:r>
            <w:r w:rsidR="00422DDD" w:rsidRPr="00A23740">
              <w:rPr>
                <w:rFonts w:eastAsia="Times New Roman"/>
                <w:szCs w:val="24"/>
                <w:lang w:eastAsia="tr-TR"/>
              </w:rPr>
              <w:t>nluluğu getirilmektedir. Böylece</w:t>
            </w:r>
            <w:r w:rsidRPr="00A23740">
              <w:rPr>
                <w:rFonts w:eastAsia="Times New Roman"/>
                <w:szCs w:val="24"/>
                <w:lang w:eastAsia="tr-TR"/>
              </w:rPr>
              <w:t xml:space="preserve"> motorlu kara araçlarının satışı hızlı bir şekilde </w:t>
            </w:r>
            <w:r w:rsidR="00422DDD" w:rsidRPr="00A23740">
              <w:rPr>
                <w:rFonts w:eastAsia="Times New Roman"/>
                <w:szCs w:val="24"/>
                <w:lang w:eastAsia="tr-TR"/>
              </w:rPr>
              <w:t>yapılabilir.</w:t>
            </w:r>
            <w:r w:rsidRPr="00A23740">
              <w:rPr>
                <w:rFonts w:eastAsia="Times New Roman"/>
                <w:bCs/>
                <w:szCs w:val="24"/>
                <w:lang w:eastAsia="tr-TR"/>
              </w:rPr>
              <w:t xml:space="preserve"> Fıkra, 2004 sayılı Kanunun 106 ncı maddesinin dördüncü fıkrasına karşılık gelmektedir. </w:t>
            </w:r>
          </w:p>
          <w:p w:rsidR="00C11B2F"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 xml:space="preserve">Üçüncü fıkrayla, kıymet takdiri ve satış giderlerinin, sicile kayıtlı motorlu kara </w:t>
            </w:r>
            <w:r w:rsidR="00422DDD" w:rsidRPr="00A23740">
              <w:rPr>
                <w:rFonts w:eastAsia="Times New Roman"/>
                <w:szCs w:val="24"/>
                <w:lang w:eastAsia="tr-TR"/>
              </w:rPr>
              <w:t>araçları bakımından ise ilave olarak</w:t>
            </w:r>
            <w:r w:rsidRPr="00A23740">
              <w:rPr>
                <w:rFonts w:eastAsia="Times New Roman"/>
                <w:szCs w:val="24"/>
                <w:lang w:eastAsia="tr-TR"/>
              </w:rPr>
              <w:t xml:space="preserve"> muhafaza giderinin tamamının satış talebiyle birlikte peşin olarak yatırılmaması h</w:t>
            </w:r>
            <w:r w:rsidR="00707B08" w:rsidRPr="00A23740">
              <w:rPr>
                <w:rFonts w:eastAsia="Times New Roman"/>
                <w:szCs w:val="24"/>
                <w:lang w:eastAsia="tr-TR"/>
              </w:rPr>
              <w:t>â</w:t>
            </w:r>
            <w:r w:rsidRPr="00A23740">
              <w:rPr>
                <w:rFonts w:eastAsia="Times New Roman"/>
                <w:szCs w:val="24"/>
                <w:lang w:eastAsia="tr-TR"/>
              </w:rPr>
              <w:t>linde satış talebinin vaki olmamış sayılacağı hükme bağlanmaktadır. Böylece</w:t>
            </w:r>
            <w:r w:rsidR="00EB338B" w:rsidRPr="00A23740">
              <w:rPr>
                <w:rFonts w:eastAsia="Times New Roman"/>
                <w:szCs w:val="24"/>
                <w:lang w:eastAsia="tr-TR"/>
              </w:rPr>
              <w:t>,</w:t>
            </w:r>
            <w:r w:rsidRPr="00A23740">
              <w:rPr>
                <w:rFonts w:eastAsia="Times New Roman"/>
                <w:szCs w:val="24"/>
                <w:lang w:eastAsia="tr-TR"/>
              </w:rPr>
              <w:t xml:space="preserve"> süresi içinde yapılan satış talebiyle birlikte, tarifeyle belirlenen gerekli giderler tam ve peşin olarak yatırılmazsa satış </w:t>
            </w:r>
            <w:r w:rsidR="00422DDD" w:rsidRPr="00A23740">
              <w:rPr>
                <w:rFonts w:eastAsia="Times New Roman"/>
                <w:szCs w:val="24"/>
                <w:lang w:eastAsia="tr-TR"/>
              </w:rPr>
              <w:t>talebi yapılmamış kabul edilir, s</w:t>
            </w:r>
            <w:r w:rsidRPr="00A23740">
              <w:rPr>
                <w:rFonts w:eastAsia="Times New Roman"/>
                <w:szCs w:val="24"/>
                <w:lang w:eastAsia="tr-TR"/>
              </w:rPr>
              <w:t>atış isteme süre</w:t>
            </w:r>
            <w:r w:rsidR="00422DDD" w:rsidRPr="00A23740">
              <w:rPr>
                <w:rFonts w:eastAsia="Times New Roman"/>
                <w:szCs w:val="24"/>
                <w:lang w:eastAsia="tr-TR"/>
              </w:rPr>
              <w:t>si işler</w:t>
            </w:r>
            <w:r w:rsidRPr="00A23740">
              <w:rPr>
                <w:rFonts w:eastAsia="Times New Roman"/>
                <w:szCs w:val="24"/>
                <w:lang w:eastAsia="tr-TR"/>
              </w:rPr>
              <w:t xml:space="preserve"> ve buna bağlı olarak sürenin </w:t>
            </w:r>
            <w:r w:rsidR="00422DDD" w:rsidRPr="00A23740">
              <w:rPr>
                <w:rFonts w:eastAsia="Times New Roman"/>
                <w:szCs w:val="24"/>
                <w:lang w:eastAsia="tr-TR"/>
              </w:rPr>
              <w:t>dolması h</w:t>
            </w:r>
            <w:r w:rsidR="00707B08" w:rsidRPr="00A23740">
              <w:rPr>
                <w:rFonts w:eastAsia="Times New Roman"/>
                <w:szCs w:val="24"/>
                <w:lang w:eastAsia="tr-TR"/>
              </w:rPr>
              <w:t>â</w:t>
            </w:r>
            <w:r w:rsidR="00422DDD" w:rsidRPr="00A23740">
              <w:rPr>
                <w:rFonts w:eastAsia="Times New Roman"/>
                <w:szCs w:val="24"/>
                <w:lang w:eastAsia="tr-TR"/>
              </w:rPr>
              <w:t>linde haciz kalka</w:t>
            </w:r>
            <w:r w:rsidRPr="00A23740">
              <w:rPr>
                <w:rFonts w:eastAsia="Times New Roman"/>
                <w:szCs w:val="24"/>
                <w:lang w:eastAsia="tr-TR"/>
              </w:rPr>
              <w:t>r.</w:t>
            </w:r>
            <w:r w:rsidRPr="00A23740">
              <w:rPr>
                <w:rFonts w:eastAsia="Times New Roman"/>
                <w:bCs/>
                <w:szCs w:val="24"/>
                <w:lang w:eastAsia="tr-TR"/>
              </w:rPr>
              <w:t xml:space="preserve"> Fıkra, 2004 sayılı Kanunun 106 ncı maddesinin beşinci fıkrasına</w:t>
            </w:r>
            <w:r w:rsidR="00422DDD" w:rsidRPr="00A23740">
              <w:rPr>
                <w:rFonts w:eastAsia="Times New Roman"/>
                <w:bCs/>
                <w:szCs w:val="24"/>
                <w:lang w:eastAsia="tr-TR"/>
              </w:rPr>
              <w:t xml:space="preserve"> karşılık gelmektedir.</w:t>
            </w:r>
          </w:p>
          <w:p w:rsidR="00C11B2F" w:rsidRPr="00A23740" w:rsidRDefault="00C37560" w:rsidP="009431FF">
            <w:pPr>
              <w:tabs>
                <w:tab w:val="left" w:pos="567"/>
              </w:tabs>
              <w:ind w:firstLine="709"/>
              <w:rPr>
                <w:rFonts w:eastAsia="Times New Roman"/>
                <w:szCs w:val="24"/>
                <w:lang w:eastAsia="tr-TR"/>
              </w:rPr>
            </w:pPr>
            <w:r w:rsidRPr="00A23740">
              <w:rPr>
                <w:rFonts w:eastAsia="Times New Roman"/>
                <w:szCs w:val="24"/>
                <w:lang w:eastAsia="tr-TR"/>
              </w:rPr>
              <w:t>Dördüncü fıkrayla</w:t>
            </w:r>
            <w:r w:rsidR="00C11B2F" w:rsidRPr="00A23740">
              <w:rPr>
                <w:rFonts w:eastAsia="Times New Roman"/>
                <w:szCs w:val="24"/>
                <w:lang w:eastAsia="tr-TR"/>
              </w:rPr>
              <w:t xml:space="preserve"> birinci, ikinci ve üçüncü fıkralar uyarınca, peşin olarak yatırılan miktarın satış işlemleri sırasında yetersiz kaldığının anlaşılması h</w:t>
            </w:r>
            <w:r w:rsidR="00707B08" w:rsidRPr="00A23740">
              <w:rPr>
                <w:rFonts w:eastAsia="Times New Roman"/>
                <w:szCs w:val="24"/>
                <w:lang w:eastAsia="tr-TR"/>
              </w:rPr>
              <w:t>â</w:t>
            </w:r>
            <w:r w:rsidR="00C11B2F" w:rsidRPr="00A23740">
              <w:rPr>
                <w:rFonts w:eastAsia="Times New Roman"/>
                <w:szCs w:val="24"/>
                <w:lang w:eastAsia="tr-TR"/>
              </w:rPr>
              <w:t>linde icra ve iflas</w:t>
            </w:r>
            <w:r w:rsidR="00422DDD" w:rsidRPr="00A23740">
              <w:rPr>
                <w:rFonts w:eastAsia="Times New Roman"/>
                <w:szCs w:val="24"/>
                <w:lang w:eastAsia="tr-TR"/>
              </w:rPr>
              <w:t xml:space="preserve"> dairesince yapılması gereken işlemler</w:t>
            </w:r>
            <w:r w:rsidR="00C11B2F" w:rsidRPr="00A23740">
              <w:rPr>
                <w:rFonts w:eastAsia="Times New Roman"/>
                <w:szCs w:val="24"/>
                <w:lang w:eastAsia="tr-TR"/>
              </w:rPr>
              <w:t xml:space="preserve"> düzenlenmektedir. Buna göre, satış talebiyle birlikte peşin olarak yatırılan miktarın satış işlemleri sırasında yetersiz kaldığının anlaşılması h</w:t>
            </w:r>
            <w:r w:rsidR="00707B08" w:rsidRPr="00A23740">
              <w:rPr>
                <w:rFonts w:eastAsia="Times New Roman"/>
                <w:szCs w:val="24"/>
                <w:lang w:eastAsia="tr-TR"/>
              </w:rPr>
              <w:t>â</w:t>
            </w:r>
            <w:r w:rsidR="00C11B2F" w:rsidRPr="00A23740">
              <w:rPr>
                <w:rFonts w:eastAsia="Times New Roman"/>
                <w:szCs w:val="24"/>
                <w:lang w:eastAsia="tr-TR"/>
              </w:rPr>
              <w:t>linde, icra ve iflas dairesin</w:t>
            </w:r>
            <w:r w:rsidR="00240EBF" w:rsidRPr="00A23740">
              <w:rPr>
                <w:rFonts w:eastAsia="Times New Roman"/>
                <w:szCs w:val="24"/>
                <w:lang w:eastAsia="tr-TR"/>
              </w:rPr>
              <w:t>ce</w:t>
            </w:r>
            <w:r w:rsidR="00C11B2F" w:rsidRPr="00A23740">
              <w:rPr>
                <w:rFonts w:eastAsia="Times New Roman"/>
                <w:szCs w:val="24"/>
                <w:lang w:eastAsia="tr-TR"/>
              </w:rPr>
              <w:t xml:space="preserve"> satış isteyene iki haftalık süre</w:t>
            </w:r>
            <w:r w:rsidR="00422DDD" w:rsidRPr="00A23740">
              <w:rPr>
                <w:rFonts w:eastAsia="Times New Roman"/>
                <w:szCs w:val="24"/>
                <w:lang w:eastAsia="tr-TR"/>
              </w:rPr>
              <w:t xml:space="preserve"> verilir</w:t>
            </w:r>
            <w:r w:rsidR="00C11B2F" w:rsidRPr="00A23740">
              <w:rPr>
                <w:rFonts w:eastAsia="Times New Roman"/>
                <w:szCs w:val="24"/>
                <w:lang w:eastAsia="tr-TR"/>
              </w:rPr>
              <w:t xml:space="preserve"> ve bu sürede eksik miktarın tamamlanmaması h</w:t>
            </w:r>
            <w:r w:rsidR="00707B08" w:rsidRPr="00A23740">
              <w:rPr>
                <w:rFonts w:eastAsia="Times New Roman"/>
                <w:szCs w:val="24"/>
                <w:lang w:eastAsia="tr-TR"/>
              </w:rPr>
              <w:t>â</w:t>
            </w:r>
            <w:r w:rsidR="00C11B2F" w:rsidRPr="00A23740">
              <w:rPr>
                <w:rFonts w:eastAsia="Times New Roman"/>
                <w:szCs w:val="24"/>
                <w:lang w:eastAsia="tr-TR"/>
              </w:rPr>
              <w:t xml:space="preserve">linde ise satış </w:t>
            </w:r>
            <w:r w:rsidR="00240EBF" w:rsidRPr="00D60C1D">
              <w:rPr>
                <w:rStyle w:val="Balk1Char"/>
                <w:rFonts w:eastAsia="Calibri"/>
                <w:b w:val="0"/>
                <w:color w:val="000000"/>
              </w:rPr>
              <w:t>talebi</w:t>
            </w:r>
            <w:r w:rsidR="00240EBF" w:rsidRPr="00A23740">
              <w:rPr>
                <w:rFonts w:eastAsia="Times New Roman"/>
                <w:szCs w:val="24"/>
                <w:lang w:eastAsia="tr-TR"/>
              </w:rPr>
              <w:t xml:space="preserve"> </w:t>
            </w:r>
            <w:r w:rsidR="00C11B2F" w:rsidRPr="00A23740">
              <w:rPr>
                <w:rFonts w:eastAsia="Times New Roman"/>
                <w:szCs w:val="24"/>
                <w:lang w:eastAsia="tr-TR"/>
              </w:rPr>
              <w:t>vaki olmamış</w:t>
            </w:r>
            <w:r w:rsidR="00422DDD" w:rsidRPr="00A23740">
              <w:rPr>
                <w:rFonts w:eastAsia="Times New Roman"/>
                <w:szCs w:val="24"/>
                <w:lang w:eastAsia="tr-TR"/>
              </w:rPr>
              <w:t xml:space="preserve"> sayılır</w:t>
            </w:r>
            <w:r w:rsidR="00C11B2F" w:rsidRPr="00A23740">
              <w:rPr>
                <w:rFonts w:eastAsia="Times New Roman"/>
                <w:szCs w:val="24"/>
                <w:lang w:eastAsia="tr-TR"/>
              </w:rPr>
              <w:t>.</w:t>
            </w:r>
            <w:r w:rsidR="00C11B2F" w:rsidRPr="00A23740">
              <w:rPr>
                <w:rFonts w:eastAsia="Times New Roman"/>
                <w:bCs/>
                <w:szCs w:val="24"/>
                <w:lang w:eastAsia="tr-TR"/>
              </w:rPr>
              <w:t xml:space="preserve"> </w:t>
            </w:r>
            <w:r w:rsidR="00422DDD" w:rsidRPr="00A23740">
              <w:rPr>
                <w:rFonts w:eastAsia="Times New Roman"/>
                <w:bCs/>
                <w:szCs w:val="24"/>
                <w:lang w:eastAsia="tr-TR"/>
              </w:rPr>
              <w:t>2004 sayılı Kanunda düzenlenen on beş günlük süre, Taslağın genelinde</w:t>
            </w:r>
            <w:r w:rsidR="00B473B3" w:rsidRPr="00A23740">
              <w:rPr>
                <w:rFonts w:eastAsia="Times New Roman"/>
                <w:bCs/>
                <w:szCs w:val="24"/>
                <w:lang w:eastAsia="tr-TR"/>
              </w:rPr>
              <w:t xml:space="preserve"> sürelerin hafta olarak belirlenmesine ilişkin kabule uygun olarak iki hafta şeklinde </w:t>
            </w:r>
            <w:r w:rsidR="00422DDD" w:rsidRPr="00A23740">
              <w:rPr>
                <w:rFonts w:eastAsia="Times New Roman"/>
                <w:bCs/>
                <w:szCs w:val="24"/>
                <w:lang w:eastAsia="tr-TR"/>
              </w:rPr>
              <w:t xml:space="preserve">düzenlenmektedir. </w:t>
            </w:r>
            <w:r w:rsidR="00C11B2F" w:rsidRPr="00A23740">
              <w:rPr>
                <w:rFonts w:eastAsia="Times New Roman"/>
                <w:bCs/>
                <w:szCs w:val="24"/>
                <w:lang w:eastAsia="tr-TR"/>
              </w:rPr>
              <w:t>Fıkra, 2004 sayılı Kanunun 106 ncı maddesinin altınca fıkrasına karşılık gelmektedir.</w:t>
            </w:r>
          </w:p>
          <w:p w:rsidR="00F30ECB" w:rsidRPr="00A23740" w:rsidRDefault="00C11B2F" w:rsidP="009431FF">
            <w:pPr>
              <w:ind w:firstLine="709"/>
              <w:rPr>
                <w:rFonts w:eastAsia="Times New Roman"/>
                <w:color w:val="000000"/>
                <w:szCs w:val="24"/>
                <w:lang w:eastAsia="tr-TR"/>
              </w:rPr>
            </w:pPr>
            <w:r w:rsidRPr="00A23740">
              <w:rPr>
                <w:rFonts w:eastAsia="Times New Roman"/>
                <w:szCs w:val="24"/>
                <w:lang w:eastAsia="tr-TR"/>
              </w:rPr>
              <w:t>Beşinci fıkrayla,</w:t>
            </w:r>
            <w:r w:rsidRPr="00A23740">
              <w:t xml:space="preserve"> </w:t>
            </w:r>
            <w:r w:rsidRPr="00A23740">
              <w:rPr>
                <w:rFonts w:eastAsia="Times New Roman"/>
                <w:szCs w:val="24"/>
                <w:lang w:eastAsia="tr-TR"/>
              </w:rPr>
              <w:t xml:space="preserve">bu maddede belirtilen giderlerin, </w:t>
            </w:r>
            <w:r w:rsidR="00B473B3" w:rsidRPr="00A23740">
              <w:rPr>
                <w:rFonts w:eastAsia="Times New Roman"/>
                <w:szCs w:val="24"/>
                <w:lang w:eastAsia="tr-TR"/>
              </w:rPr>
              <w:t xml:space="preserve">satış gider avansı tarifesinde </w:t>
            </w:r>
            <w:r w:rsidRPr="00A23740">
              <w:rPr>
                <w:rFonts w:eastAsia="Times New Roman"/>
                <w:szCs w:val="24"/>
                <w:lang w:eastAsia="tr-TR"/>
              </w:rPr>
              <w:t>belirleneceği</w:t>
            </w:r>
            <w:r w:rsidR="0074551E" w:rsidRPr="00A23740">
              <w:rPr>
                <w:rFonts w:eastAsia="Times New Roman"/>
                <w:szCs w:val="24"/>
                <w:lang w:eastAsia="tr-TR"/>
              </w:rPr>
              <w:t xml:space="preserve"> ve </w:t>
            </w:r>
            <w:r w:rsidR="0074551E" w:rsidRPr="00D60C1D">
              <w:rPr>
                <w:rFonts w:eastAsia="Times New Roman"/>
                <w:color w:val="000000"/>
                <w:szCs w:val="24"/>
                <w:lang w:eastAsia="tr-TR"/>
              </w:rPr>
              <w:t xml:space="preserve">icra </w:t>
            </w:r>
            <w:r w:rsidR="00B73523" w:rsidRPr="00D60C1D">
              <w:rPr>
                <w:color w:val="000000"/>
              </w:rPr>
              <w:t>ve iflas</w:t>
            </w:r>
            <w:r w:rsidR="00B73523" w:rsidRPr="00D60C1D">
              <w:rPr>
                <w:bCs/>
                <w:color w:val="000000"/>
                <w:szCs w:val="24"/>
                <w:lang w:val="x-none" w:eastAsia="x-none"/>
              </w:rPr>
              <w:t xml:space="preserve"> </w:t>
            </w:r>
            <w:r w:rsidR="0074551E" w:rsidRPr="00D60C1D">
              <w:rPr>
                <w:rFonts w:eastAsia="Times New Roman"/>
                <w:color w:val="000000"/>
                <w:szCs w:val="24"/>
                <w:lang w:eastAsia="tr-TR"/>
              </w:rPr>
              <w:t>dairesi</w:t>
            </w:r>
            <w:r w:rsidR="00EB338B" w:rsidRPr="00D60C1D">
              <w:rPr>
                <w:rFonts w:eastAsia="Times New Roman"/>
                <w:color w:val="000000"/>
                <w:szCs w:val="24"/>
                <w:lang w:eastAsia="tr-TR"/>
              </w:rPr>
              <w:t>nin</w:t>
            </w:r>
            <w:r w:rsidR="00F30ECB" w:rsidRPr="00D60C1D">
              <w:rPr>
                <w:rFonts w:eastAsia="Times New Roman"/>
                <w:color w:val="000000"/>
                <w:szCs w:val="24"/>
                <w:lang w:eastAsia="tr-TR"/>
              </w:rPr>
              <w:t xml:space="preserve"> banka hesabına</w:t>
            </w:r>
            <w:r w:rsidR="0074551E" w:rsidRPr="00A23740">
              <w:rPr>
                <w:rFonts w:eastAsia="Times New Roman"/>
                <w:szCs w:val="24"/>
                <w:lang w:eastAsia="tr-TR"/>
              </w:rPr>
              <w:t xml:space="preserve"> yatırılacağı</w:t>
            </w:r>
            <w:r w:rsidRPr="00A23740">
              <w:rPr>
                <w:rFonts w:eastAsia="Times New Roman"/>
                <w:szCs w:val="24"/>
                <w:lang w:eastAsia="tr-TR"/>
              </w:rPr>
              <w:t xml:space="preserve"> hükme bağlanmaktadır.</w:t>
            </w:r>
            <w:r w:rsidR="00B473B3" w:rsidRPr="00A23740">
              <w:rPr>
                <w:rFonts w:eastAsia="Times New Roman"/>
                <w:szCs w:val="24"/>
                <w:lang w:eastAsia="tr-TR"/>
              </w:rPr>
              <w:t xml:space="preserve"> Bu tarife</w:t>
            </w:r>
            <w:r w:rsidR="0074551E" w:rsidRPr="00A23740">
              <w:rPr>
                <w:rFonts w:eastAsia="Times New Roman"/>
                <w:szCs w:val="24"/>
                <w:lang w:eastAsia="tr-TR"/>
              </w:rPr>
              <w:t>,</w:t>
            </w:r>
            <w:r w:rsidR="00B473B3" w:rsidRPr="00A23740">
              <w:rPr>
                <w:rFonts w:eastAsia="Times New Roman"/>
                <w:szCs w:val="24"/>
                <w:lang w:eastAsia="tr-TR"/>
              </w:rPr>
              <w:t xml:space="preserve"> Taslağın</w:t>
            </w:r>
            <w:r w:rsidR="002738A2" w:rsidRPr="00A23740">
              <w:rPr>
                <w:rFonts w:eastAsia="Times New Roman"/>
                <w:szCs w:val="24"/>
                <w:lang w:eastAsia="tr-TR"/>
              </w:rPr>
              <w:t xml:space="preserve"> </w:t>
            </w:r>
            <w:r w:rsidR="002738A2" w:rsidRPr="00D60C1D">
              <w:rPr>
                <w:rStyle w:val="KonuBalChar"/>
                <w:rFonts w:eastAsia="Calibri"/>
                <w:b w:val="0"/>
                <w:color w:val="000000"/>
              </w:rPr>
              <w:t>548 inci</w:t>
            </w:r>
            <w:r w:rsidR="00B473B3" w:rsidRPr="00A23740">
              <w:rPr>
                <w:rFonts w:eastAsia="Times New Roman"/>
                <w:szCs w:val="24"/>
                <w:lang w:eastAsia="tr-TR"/>
              </w:rPr>
              <w:t xml:space="preserve"> maddesinin ikinci fıkrası uyarınca Adalet B</w:t>
            </w:r>
            <w:r w:rsidR="0074551E" w:rsidRPr="00A23740">
              <w:rPr>
                <w:rFonts w:eastAsia="Times New Roman"/>
                <w:szCs w:val="24"/>
                <w:lang w:eastAsia="tr-TR"/>
              </w:rPr>
              <w:t>akanlığı tarafından çıkarılır</w:t>
            </w:r>
            <w:r w:rsidR="00B473B3" w:rsidRPr="00A23740">
              <w:rPr>
                <w:rFonts w:eastAsia="Times New Roman"/>
                <w:szCs w:val="24"/>
                <w:lang w:eastAsia="tr-TR"/>
              </w:rPr>
              <w:t xml:space="preserve"> ve her takvim yı</w:t>
            </w:r>
            <w:r w:rsidR="0074551E" w:rsidRPr="00A23740">
              <w:rPr>
                <w:rFonts w:eastAsia="Times New Roman"/>
                <w:szCs w:val="24"/>
                <w:lang w:eastAsia="tr-TR"/>
              </w:rPr>
              <w:t>lı başında yürürlüğe konulu</w:t>
            </w:r>
            <w:r w:rsidR="00B473B3" w:rsidRPr="00A23740">
              <w:rPr>
                <w:rFonts w:eastAsia="Times New Roman"/>
                <w:szCs w:val="24"/>
                <w:lang w:eastAsia="tr-TR"/>
              </w:rPr>
              <w:t>r.</w:t>
            </w:r>
            <w:r w:rsidRPr="00A23740">
              <w:rPr>
                <w:rFonts w:eastAsia="Times New Roman"/>
                <w:bCs/>
                <w:szCs w:val="24"/>
                <w:lang w:eastAsia="tr-TR"/>
              </w:rPr>
              <w:t xml:space="preserve"> Fıkra, 2004 sayılı Kanunun 106 ncı maddesinin yedinci fıkrasına karşılık gelmektedir.</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r w:rsidRPr="00A23740">
              <w:t>Haczin kalkması</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b/>
                <w:szCs w:val="24"/>
                <w:lang w:eastAsia="tr-TR"/>
              </w:rPr>
            </w:pPr>
            <w:r w:rsidRPr="00A23740">
              <w:rPr>
                <w:rStyle w:val="KIRMIZIChar"/>
                <w:rFonts w:eastAsia="Calibri"/>
              </w:rPr>
              <w:t xml:space="preserve">Madde 110 – </w:t>
            </w:r>
            <w:r w:rsidRPr="00A23740">
              <w:rPr>
                <w:rStyle w:val="KIRMIZIChar"/>
                <w:rFonts w:eastAsia="ヒラギノ明朝 Pro W3"/>
              </w:rPr>
              <w:t xml:space="preserve">(1) </w:t>
            </w:r>
            <w:r w:rsidRPr="00A23740">
              <w:rPr>
                <w:rStyle w:val="KIRMIZIChar"/>
                <w:rFonts w:eastAsia="Calibri"/>
              </w:rPr>
              <w:t>(Değişik</w:t>
            </w:r>
            <w:r w:rsidRPr="00A23740">
              <w:rPr>
                <w:rFonts w:eastAsia="Times New Roman"/>
                <w:b/>
                <w:strike/>
                <w:color w:val="FF0000"/>
                <w:szCs w:val="24"/>
                <w:lang w:eastAsia="tr-TR"/>
              </w:rPr>
              <w:t>: 2/7/2012-6352/22 md.)</w:t>
            </w:r>
          </w:p>
          <w:p w:rsidR="00AA5C8C" w:rsidRPr="00A23740" w:rsidRDefault="00AA5C8C" w:rsidP="009431FF">
            <w:pPr>
              <w:tabs>
                <w:tab w:val="left" w:pos="566"/>
              </w:tabs>
              <w:rPr>
                <w:rFonts w:eastAsia="ヒラギノ明朝 Pro W3"/>
                <w:szCs w:val="24"/>
                <w:lang w:eastAsia="tr-TR"/>
              </w:rPr>
            </w:pPr>
            <w:r w:rsidRPr="00A23740">
              <w:rPr>
                <w:rStyle w:val="KIRMIZIChar"/>
                <w:rFonts w:eastAsia="ヒラギノ明朝 Pro W3"/>
              </w:rPr>
              <w:t>Bir malın</w:t>
            </w:r>
            <w:r w:rsidRPr="00A23740">
              <w:rPr>
                <w:rFonts w:eastAsia="ヒラギノ明朝 Pro W3"/>
                <w:szCs w:val="24"/>
                <w:lang w:eastAsia="tr-TR"/>
              </w:rPr>
              <w:t xml:space="preserve"> satılması kanuni </w:t>
            </w:r>
            <w:r w:rsidRPr="00A23740">
              <w:rPr>
                <w:rFonts w:eastAsia="Times New Roman"/>
                <w:b/>
                <w:strike/>
                <w:color w:val="FF0000"/>
                <w:szCs w:val="24"/>
                <w:lang w:eastAsia="tr-TR"/>
              </w:rPr>
              <w:t>müddet</w:t>
            </w:r>
            <w:r w:rsidRPr="00A23740">
              <w:rPr>
                <w:rFonts w:eastAsia="ヒラギノ明朝 Pro W3"/>
                <w:szCs w:val="24"/>
                <w:lang w:eastAsia="tr-TR"/>
              </w:rPr>
              <w:t xml:space="preserve"> içinde </w:t>
            </w:r>
            <w:r w:rsidRPr="00A23740">
              <w:rPr>
                <w:rFonts w:eastAsia="Times New Roman"/>
                <w:b/>
                <w:strike/>
                <w:color w:val="FF0000"/>
                <w:szCs w:val="24"/>
                <w:lang w:eastAsia="tr-TR"/>
              </w:rPr>
              <w:t xml:space="preserve">istenmez </w:t>
            </w:r>
            <w:r w:rsidRPr="00A23740">
              <w:rPr>
                <w:rStyle w:val="KIRMIZIChar"/>
                <w:rFonts w:eastAsia="Calibri"/>
              </w:rPr>
              <w:t>veya</w:t>
            </w:r>
            <w:r w:rsidRPr="00A23740">
              <w:rPr>
                <w:rStyle w:val="KIRMIZIChar"/>
                <w:rFonts w:eastAsia="ヒラギノ明朝 Pro W3"/>
              </w:rPr>
              <w:t xml:space="preserve"> </w:t>
            </w:r>
            <w:r w:rsidR="00A4785B" w:rsidRPr="00A23740">
              <w:rPr>
                <w:rStyle w:val="KIRMIZIChar"/>
                <w:rFonts w:eastAsia="ヒラギノ明朝 Pro W3"/>
              </w:rPr>
              <w:t>(…)</w:t>
            </w:r>
            <w:r w:rsidR="00A4785B" w:rsidRPr="00A23740">
              <w:rPr>
                <w:rStyle w:val="KIRMIZIChar"/>
                <w:rFonts w:eastAsia="ヒラギノ明朝 Pro W3"/>
                <w:strike w:val="0"/>
              </w:rPr>
              <w:t xml:space="preserve"> </w:t>
            </w:r>
            <w:r w:rsidRPr="00A23740">
              <w:t>tale</w:t>
            </w:r>
            <w:r w:rsidRPr="00A23740">
              <w:rPr>
                <w:rStyle w:val="KIRMIZIChar"/>
                <w:rFonts w:eastAsia="Calibri"/>
              </w:rPr>
              <w:t>p</w:t>
            </w:r>
            <w:r w:rsidRPr="00A23740">
              <w:t xml:space="preserve"> geri alınıp da </w:t>
            </w:r>
            <w:r w:rsidRPr="00A23740">
              <w:rPr>
                <w:rFonts w:eastAsia="Times New Roman"/>
                <w:b/>
                <w:strike/>
                <w:color w:val="FF0000"/>
                <w:szCs w:val="24"/>
                <w:lang w:eastAsia="tr-TR"/>
              </w:rPr>
              <w:t>kanuni müddet</w:t>
            </w:r>
            <w:r w:rsidRPr="00A23740">
              <w:rPr>
                <w:rFonts w:eastAsia="Times New Roman"/>
                <w:b/>
                <w:color w:val="FF0000"/>
                <w:szCs w:val="24"/>
                <w:lang w:eastAsia="tr-TR"/>
              </w:rPr>
              <w:t xml:space="preserve"> </w:t>
            </w:r>
            <w:r w:rsidRPr="00A23740">
              <w:rPr>
                <w:rFonts w:eastAsia="ヒラギノ明朝 Pro W3"/>
                <w:szCs w:val="24"/>
                <w:lang w:eastAsia="tr-TR"/>
              </w:rPr>
              <w:t>içinde</w:t>
            </w:r>
            <w:r w:rsidRPr="00A23740">
              <w:rPr>
                <w:rFonts w:eastAsia="Times New Roman"/>
                <w:b/>
                <w:color w:val="FF0000"/>
                <w:szCs w:val="24"/>
                <w:lang w:eastAsia="tr-TR"/>
              </w:rPr>
              <w:t xml:space="preserve"> </w:t>
            </w:r>
            <w:r w:rsidRPr="00A23740">
              <w:rPr>
                <w:rStyle w:val="KIRMIZIChar"/>
                <w:rFonts w:eastAsia="Calibri"/>
              </w:rPr>
              <w:t xml:space="preserve">yenilenmezse </w:t>
            </w:r>
            <w:r w:rsidRPr="00A23740">
              <w:rPr>
                <w:rStyle w:val="KIRMIZIChar"/>
                <w:rFonts w:eastAsia="ヒラギノ明朝 Pro W3"/>
              </w:rPr>
              <w:t>o</w:t>
            </w:r>
            <w:r w:rsidRPr="00A23740">
              <w:rPr>
                <w:rFonts w:eastAsia="ヒラギノ明朝 Pro W3"/>
                <w:szCs w:val="24"/>
                <w:lang w:eastAsia="tr-TR"/>
              </w:rPr>
              <w:t xml:space="preserve"> mal üzerindeki haciz </w:t>
            </w:r>
            <w:r w:rsidRPr="00A23740">
              <w:t>kalkar</w:t>
            </w:r>
            <w:r w:rsidRPr="00A23740">
              <w:rPr>
                <w:rFonts w:eastAsia="ヒラギノ明朝 Pro W3"/>
                <w:szCs w:val="24"/>
                <w:lang w:eastAsia="tr-TR"/>
              </w:rPr>
              <w:t xml:space="preserve">. </w:t>
            </w:r>
            <w:r w:rsidRPr="00A23740">
              <w:rPr>
                <w:rStyle w:val="KIRMIZIChar"/>
                <w:rFonts w:eastAsia="ヒラギノ明朝 Pro W3"/>
              </w:rPr>
              <w:t>Hacizli malın satılması yönündeki talep bir defa geri alınabilir.</w:t>
            </w:r>
          </w:p>
          <w:p w:rsidR="00AA5C8C" w:rsidRPr="00A23740" w:rsidRDefault="00AA5C8C" w:rsidP="009431FF">
            <w:pPr>
              <w:tabs>
                <w:tab w:val="left" w:pos="566"/>
              </w:tabs>
              <w:rPr>
                <w:rFonts w:eastAsia="ヒラギノ明朝 Pro W3"/>
                <w:szCs w:val="24"/>
                <w:lang w:eastAsia="tr-TR"/>
              </w:rPr>
            </w:pPr>
          </w:p>
          <w:p w:rsidR="00AA5C8C" w:rsidRPr="00A23740" w:rsidRDefault="00AA5C8C" w:rsidP="009431FF">
            <w:pPr>
              <w:tabs>
                <w:tab w:val="left" w:pos="566"/>
              </w:tabs>
            </w:pPr>
            <w:r w:rsidRPr="00A23740">
              <w:rPr>
                <w:rStyle w:val="KIRMIZIChar"/>
                <w:rFonts w:eastAsia="Calibri"/>
              </w:rPr>
              <w:t>(2) Haczedilen</w:t>
            </w:r>
            <w:r w:rsidRPr="00A23740">
              <w:t xml:space="preserve"> resmi sicile kayıtlı mal</w:t>
            </w:r>
            <w:r w:rsidRPr="00A23740">
              <w:rPr>
                <w:rStyle w:val="KIRMIZIChar"/>
                <w:rFonts w:eastAsia="Calibri"/>
              </w:rPr>
              <w:t>ların</w:t>
            </w:r>
            <w:r w:rsidRPr="00A23740">
              <w:t xml:space="preserve">, </w:t>
            </w:r>
            <w:r w:rsidRPr="00A23740">
              <w:rPr>
                <w:rStyle w:val="KIRMIZIChar"/>
                <w:rFonts w:eastAsia="Calibri"/>
              </w:rPr>
              <w:t>icra dairesiyle yapılacak yazışmalar sonucunda haczinin kalktığının tespit edilmesi hâlinde,</w:t>
            </w:r>
            <w:r w:rsidRPr="00A23740">
              <w:t xml:space="preserve"> sicili tutan </w:t>
            </w:r>
            <w:r w:rsidRPr="00A23740">
              <w:rPr>
                <w:rStyle w:val="KIRMIZIChar"/>
                <w:rFonts w:eastAsia="Calibri"/>
              </w:rPr>
              <w:t>idare</w:t>
            </w:r>
            <w:r w:rsidRPr="00A23740">
              <w:t xml:space="preserve"> tarafından </w:t>
            </w:r>
            <w:r w:rsidRPr="00A23740">
              <w:rPr>
                <w:rStyle w:val="KIRMIZIChar"/>
                <w:rFonts w:eastAsia="Calibri"/>
              </w:rPr>
              <w:t>haciz şerhi</w:t>
            </w:r>
            <w:r w:rsidRPr="00A23740">
              <w:t xml:space="preserve"> terkin edilir </w:t>
            </w:r>
            <w:r w:rsidRPr="00A23740">
              <w:rPr>
                <w:rStyle w:val="KIRMIZIChar"/>
                <w:rFonts w:eastAsia="Calibri"/>
              </w:rPr>
              <w:t>ve</w:t>
            </w:r>
            <w:r w:rsidRPr="00A23740">
              <w:t xml:space="preserve"> işlem ilgili icra dairesine bildirilir.</w:t>
            </w:r>
          </w:p>
          <w:p w:rsidR="00AA5C8C" w:rsidRPr="00A23740" w:rsidRDefault="00AA5C8C" w:rsidP="009431FF">
            <w:pPr>
              <w:tabs>
                <w:tab w:val="left" w:pos="566"/>
              </w:tabs>
              <w:rPr>
                <w:rFonts w:eastAsia="Times New Roman"/>
                <w:b/>
                <w:strike/>
                <w:color w:val="FF0000"/>
                <w:szCs w:val="24"/>
                <w:lang w:eastAsia="tr-TR"/>
              </w:rPr>
            </w:pPr>
          </w:p>
          <w:p w:rsidR="00AA5C8C" w:rsidRPr="00A23740" w:rsidRDefault="00AA5C8C" w:rsidP="009431FF">
            <w:pPr>
              <w:tabs>
                <w:tab w:val="left" w:pos="566"/>
              </w:tabs>
              <w:rPr>
                <w:rFonts w:eastAsia="Times New Roman"/>
                <w:szCs w:val="24"/>
                <w:lang w:eastAsia="tr-TR"/>
              </w:rPr>
            </w:pPr>
            <w:r w:rsidRPr="00A23740">
              <w:rPr>
                <w:rStyle w:val="KIRMIZIChar"/>
                <w:rFonts w:eastAsia="ヒラギノ明朝 Pro W3"/>
              </w:rPr>
              <w:t>(3)</w:t>
            </w:r>
            <w:r w:rsidRPr="00A23740">
              <w:rPr>
                <w:rFonts w:eastAsia="ヒラギノ明朝 Pro W3"/>
                <w:szCs w:val="24"/>
                <w:lang w:eastAsia="tr-TR"/>
              </w:rPr>
              <w:t xml:space="preserve"> Birinci fıkra gereğince </w:t>
            </w:r>
            <w:r w:rsidRPr="00A23740">
              <w:rPr>
                <w:bCs/>
                <w:lang w:eastAsia="tr-TR"/>
              </w:rPr>
              <w:t>haczin</w:t>
            </w:r>
            <w:r w:rsidRPr="00A23740">
              <w:rPr>
                <w:rFonts w:eastAsia="ヒラギノ明朝 Pro W3"/>
                <w:szCs w:val="24"/>
                <w:lang w:eastAsia="tr-TR"/>
              </w:rPr>
              <w:t xml:space="preserve"> kalkmasına sebebiyet veren alacaklı o mal</w:t>
            </w:r>
            <w:r w:rsidRPr="00A23740">
              <w:rPr>
                <w:rStyle w:val="KIRMIZIChar"/>
                <w:rFonts w:eastAsia="ヒラギノ明朝 Pro W3"/>
              </w:rPr>
              <w:t>a</w:t>
            </w:r>
            <w:r w:rsidRPr="00A23740">
              <w:rPr>
                <w:rFonts w:eastAsia="ヒラギノ明朝 Pro W3"/>
                <w:szCs w:val="24"/>
                <w:lang w:eastAsia="tr-TR"/>
              </w:rPr>
              <w:t xml:space="preserve"> yönelik olarak, haczin konulması ve muhafazası gibi tüm giderlerden sorumlu olur.</w:t>
            </w:r>
          </w:p>
        </w:tc>
        <w:tc>
          <w:tcPr>
            <w:tcW w:w="2500" w:type="pct"/>
          </w:tcPr>
          <w:p w:rsidR="00AA5C8C" w:rsidRPr="00A23740" w:rsidRDefault="00AA5C8C" w:rsidP="009431FF">
            <w:r w:rsidRPr="00A23740">
              <w:rPr>
                <w:rStyle w:val="YELChar"/>
                <w:rFonts w:eastAsia="Calibri"/>
                <w:color w:val="auto"/>
                <w:szCs w:val="22"/>
              </w:rPr>
              <w:t>Haczin kalkması</w:t>
            </w:r>
          </w:p>
          <w:p w:rsidR="00AA5C8C" w:rsidRPr="00A23740" w:rsidRDefault="00AA5C8C" w:rsidP="009431FF">
            <w:pPr>
              <w:pStyle w:val="Mavi"/>
            </w:pPr>
            <w:r w:rsidRPr="00A23740">
              <w:rPr>
                <w:rStyle w:val="MaviChar"/>
                <w:b/>
                <w:bCs/>
              </w:rPr>
              <w:t xml:space="preserve">MADDE </w:t>
            </w:r>
            <w:r w:rsidR="0025794C" w:rsidRPr="00A23740">
              <w:rPr>
                <w:rStyle w:val="MaviChar"/>
                <w:b/>
                <w:bCs/>
                <w:lang w:val="tr-TR"/>
              </w:rPr>
              <w:t>216</w:t>
            </w:r>
            <w:r w:rsidRPr="00A23740">
              <w:rPr>
                <w:rStyle w:val="MaviChar"/>
                <w:b/>
                <w:bCs/>
              </w:rPr>
              <w:t>-</w:t>
            </w:r>
            <w:r w:rsidRPr="00A23740">
              <w:rPr>
                <w:rStyle w:val="MaviChar"/>
                <w:b/>
                <w:bCs/>
                <w:lang w:val="tr-TR"/>
              </w:rPr>
              <w:t xml:space="preserve"> </w:t>
            </w:r>
            <w:r w:rsidRPr="00A23740">
              <w:t xml:space="preserve">(1) </w:t>
            </w:r>
            <w:r w:rsidR="005E079C" w:rsidRPr="00A23740">
              <w:t>Mal ve hakkın</w:t>
            </w:r>
            <w:r w:rsidR="005E079C" w:rsidRPr="00A23740">
              <w:rPr>
                <w:rFonts w:eastAsia="ヒラギノ明朝 Pro W3"/>
                <w:b w:val="0"/>
                <w:bCs w:val="0"/>
                <w:color w:val="auto"/>
                <w:lang w:val="tr-TR" w:eastAsia="tr-TR"/>
              </w:rPr>
              <w:t xml:space="preserve"> </w:t>
            </w:r>
            <w:r w:rsidRPr="00A23740">
              <w:rPr>
                <w:rFonts w:eastAsia="ヒラギノ明朝 Pro W3"/>
                <w:b w:val="0"/>
                <w:bCs w:val="0"/>
                <w:color w:val="auto"/>
                <w:lang w:val="tr-TR" w:eastAsia="tr-TR"/>
              </w:rPr>
              <w:t xml:space="preserve">satılması kanuni </w:t>
            </w:r>
            <w:r w:rsidRPr="00A23740">
              <w:rPr>
                <w:lang w:val="tr-TR" w:eastAsia="tr-TR"/>
              </w:rPr>
              <w:t>süre</w:t>
            </w:r>
            <w:r w:rsidRPr="00A23740">
              <w:rPr>
                <w:rFonts w:eastAsia="ヒラギノ明朝 Pro W3"/>
                <w:b w:val="0"/>
                <w:bCs w:val="0"/>
                <w:color w:val="auto"/>
                <w:lang w:val="tr-TR" w:eastAsia="tr-TR"/>
              </w:rPr>
              <w:t xml:space="preserve"> içinde </w:t>
            </w:r>
            <w:r w:rsidRPr="00A23740">
              <w:rPr>
                <w:lang w:val="tr-TR" w:eastAsia="tr-TR"/>
              </w:rPr>
              <w:t>talep edilmez</w:t>
            </w:r>
            <w:r w:rsidRPr="00A23740">
              <w:rPr>
                <w:rFonts w:eastAsia="ヒラギノ明朝 Pro W3"/>
                <w:b w:val="0"/>
                <w:bCs w:val="0"/>
                <w:color w:val="auto"/>
                <w:lang w:val="tr-TR" w:eastAsia="tr-TR"/>
              </w:rPr>
              <w:t xml:space="preserve"> veya </w:t>
            </w:r>
            <w:r w:rsidRPr="00A23740">
              <w:rPr>
                <w:lang w:val="tr-TR" w:eastAsia="tr-TR"/>
              </w:rPr>
              <w:t>satış</w:t>
            </w:r>
            <w:r w:rsidRPr="00A23740">
              <w:rPr>
                <w:rFonts w:eastAsia="ヒラギノ明朝 Pro W3"/>
                <w:b w:val="0"/>
                <w:bCs w:val="0"/>
                <w:color w:val="auto"/>
                <w:lang w:val="tr-TR" w:eastAsia="tr-TR"/>
              </w:rPr>
              <w:t xml:space="preserve"> tale</w:t>
            </w:r>
            <w:r w:rsidRPr="00A23740">
              <w:rPr>
                <w:lang w:val="tr-TR" w:eastAsia="tr-TR"/>
              </w:rPr>
              <w:t>bi</w:t>
            </w:r>
            <w:r w:rsidRPr="00A23740">
              <w:rPr>
                <w:rFonts w:eastAsia="ヒラギノ明朝 Pro W3"/>
                <w:b w:val="0"/>
                <w:bCs w:val="0"/>
                <w:color w:val="auto"/>
                <w:lang w:val="tr-TR" w:eastAsia="tr-TR"/>
              </w:rPr>
              <w:t xml:space="preserve"> geri alınıp da </w:t>
            </w:r>
            <w:r w:rsidRPr="00A23740">
              <w:rPr>
                <w:lang w:val="tr-TR" w:eastAsia="tr-TR"/>
              </w:rPr>
              <w:t>kalan süre</w:t>
            </w:r>
            <w:r w:rsidRPr="00A23740">
              <w:rPr>
                <w:rFonts w:eastAsia="ヒラギノ明朝 Pro W3"/>
                <w:b w:val="0"/>
                <w:bCs w:val="0"/>
                <w:color w:val="auto"/>
                <w:lang w:val="tr-TR" w:eastAsia="tr-TR"/>
              </w:rPr>
              <w:t xml:space="preserve"> içinde </w:t>
            </w:r>
            <w:r w:rsidRPr="00A23740">
              <w:rPr>
                <w:lang w:val="tr-TR" w:eastAsia="tr-TR"/>
              </w:rPr>
              <w:t>yeniden talepte bulunulmazsa</w:t>
            </w:r>
            <w:r w:rsidR="00240EBF" w:rsidRPr="00A23740">
              <w:rPr>
                <w:lang w:val="tr-TR" w:eastAsia="tr-TR"/>
              </w:rPr>
              <w:t>,</w:t>
            </w:r>
            <w:r w:rsidRPr="00A23740">
              <w:rPr>
                <w:rFonts w:eastAsia="ヒラギノ明朝 Pro W3"/>
                <w:b w:val="0"/>
                <w:bCs w:val="0"/>
                <w:color w:val="auto"/>
                <w:lang w:val="tr-TR" w:eastAsia="tr-TR"/>
              </w:rPr>
              <w:t xml:space="preserve"> mal </w:t>
            </w:r>
            <w:r w:rsidR="001160FE" w:rsidRPr="00A23740">
              <w:t>ve hak</w:t>
            </w:r>
            <w:r w:rsidR="001160FE" w:rsidRPr="00A23740">
              <w:rPr>
                <w:rFonts w:eastAsia="ヒラギノ明朝 Pro W3"/>
                <w:b w:val="0"/>
                <w:bCs w:val="0"/>
                <w:color w:val="auto"/>
                <w:lang w:val="tr-TR" w:eastAsia="tr-TR"/>
              </w:rPr>
              <w:t xml:space="preserve"> </w:t>
            </w:r>
            <w:r w:rsidRPr="00A23740">
              <w:rPr>
                <w:rFonts w:eastAsia="ヒラギノ明朝 Pro W3"/>
                <w:b w:val="0"/>
                <w:bCs w:val="0"/>
                <w:color w:val="auto"/>
                <w:lang w:val="tr-TR" w:eastAsia="tr-TR"/>
              </w:rPr>
              <w:t xml:space="preserve">üzerindeki haciz kalkar </w:t>
            </w:r>
            <w:r w:rsidRPr="00A23740">
              <w:rPr>
                <w:lang w:val="tr-TR" w:eastAsia="tr-TR"/>
              </w:rPr>
              <w:t>ve aynı icra takibi içinde bu mal tekrar haczedilemez</w:t>
            </w:r>
            <w:r w:rsidRPr="00A23740">
              <w:rPr>
                <w:rFonts w:eastAsia="ヒラギノ明朝 Pro W3"/>
                <w:b w:val="0"/>
                <w:bCs w:val="0"/>
                <w:color w:val="auto"/>
                <w:lang w:val="tr-TR" w:eastAsia="tr-TR"/>
              </w:rPr>
              <w:t xml:space="preserve">.  </w:t>
            </w:r>
          </w:p>
          <w:p w:rsidR="003864FD" w:rsidRPr="00A23740" w:rsidRDefault="003864FD" w:rsidP="009431FF">
            <w:pPr>
              <w:tabs>
                <w:tab w:val="left" w:pos="566"/>
              </w:tabs>
              <w:rPr>
                <w:rFonts w:eastAsia="Times New Roman"/>
                <w:b/>
                <w:color w:val="FF0000"/>
                <w:szCs w:val="24"/>
                <w:lang w:eastAsia="tr-TR"/>
              </w:rPr>
            </w:pPr>
          </w:p>
          <w:p w:rsidR="00AA5C8C" w:rsidRPr="00A23740" w:rsidRDefault="00AA5C8C" w:rsidP="009431FF">
            <w:pPr>
              <w:tabs>
                <w:tab w:val="left" w:pos="566"/>
              </w:tabs>
              <w:rPr>
                <w:rFonts w:eastAsia="Times New Roman"/>
                <w:b/>
                <w:color w:val="FF0000"/>
                <w:szCs w:val="24"/>
                <w:lang w:eastAsia="tr-TR"/>
              </w:rPr>
            </w:pPr>
          </w:p>
          <w:p w:rsidR="00AA5C8C" w:rsidRPr="00A23740" w:rsidRDefault="00AA5C8C" w:rsidP="009431FF">
            <w:pPr>
              <w:tabs>
                <w:tab w:val="left" w:pos="566"/>
              </w:tabs>
              <w:rPr>
                <w:rFonts w:eastAsia="Times New Roman"/>
                <w:b/>
                <w:color w:val="FF0000"/>
                <w:szCs w:val="24"/>
                <w:lang w:eastAsia="tr-TR"/>
              </w:rPr>
            </w:pPr>
            <w:r w:rsidRPr="00A23740">
              <w:rPr>
                <w:rFonts w:eastAsia="Times New Roman"/>
                <w:b/>
                <w:color w:val="0000FF"/>
                <w:szCs w:val="24"/>
                <w:lang w:eastAsia="tr-TR"/>
              </w:rPr>
              <w:t xml:space="preserve">(2) </w:t>
            </w:r>
            <w:r w:rsidRPr="00A23740">
              <w:t>Resm</w:t>
            </w:r>
            <w:r w:rsidR="00240EBF" w:rsidRPr="00A23740">
              <w:t>î</w:t>
            </w:r>
            <w:r w:rsidRPr="00A23740">
              <w:t xml:space="preserve"> sicile kayıtlı mal </w:t>
            </w:r>
            <w:r w:rsidRPr="00A23740">
              <w:rPr>
                <w:rStyle w:val="MaviChar"/>
              </w:rPr>
              <w:t>ve haklara ilişkin</w:t>
            </w:r>
            <w:r w:rsidRPr="00A23740">
              <w:t xml:space="preserve"> </w:t>
            </w:r>
            <w:r w:rsidRPr="00A23740">
              <w:rPr>
                <w:rStyle w:val="MaviChar"/>
              </w:rPr>
              <w:t>haciz şerhi</w:t>
            </w:r>
            <w:r w:rsidRPr="00A23740">
              <w:t xml:space="preserve">, sicili tutan </w:t>
            </w:r>
            <w:r w:rsidRPr="00A23740">
              <w:rPr>
                <w:rStyle w:val="MaviChar"/>
              </w:rPr>
              <w:t>kurum veya kuruluş</w:t>
            </w:r>
            <w:r w:rsidRPr="00A23740">
              <w:t xml:space="preserve"> tarafından </w:t>
            </w:r>
            <w:r w:rsidRPr="00A23740">
              <w:rPr>
                <w:rStyle w:val="MaviChar"/>
              </w:rPr>
              <w:t>ancak icra</w:t>
            </w:r>
            <w:r w:rsidRPr="00A23740">
              <w:rPr>
                <w:rStyle w:val="MaviChar"/>
                <w:lang w:val="tr-TR"/>
              </w:rPr>
              <w:t xml:space="preserve"> </w:t>
            </w:r>
            <w:r w:rsidR="001D05C6" w:rsidRPr="00A23740">
              <w:rPr>
                <w:rStyle w:val="MaviChar"/>
                <w:lang w:val="tr-TR"/>
              </w:rPr>
              <w:t xml:space="preserve">ve iflas </w:t>
            </w:r>
            <w:r w:rsidRPr="00A23740">
              <w:rPr>
                <w:rStyle w:val="MaviChar"/>
              </w:rPr>
              <w:t>dairesinin bildirimi üzerine</w:t>
            </w:r>
            <w:r w:rsidRPr="00A23740">
              <w:t xml:space="preserve"> terkin edilir</w:t>
            </w:r>
            <w:r w:rsidRPr="00A23740">
              <w:rPr>
                <w:rStyle w:val="MaviChar"/>
              </w:rPr>
              <w:t>;</w:t>
            </w:r>
            <w:r w:rsidRPr="00A23740">
              <w:t xml:space="preserve"> </w:t>
            </w:r>
            <w:r w:rsidRPr="00A23740">
              <w:rPr>
                <w:rStyle w:val="MaviChar"/>
              </w:rPr>
              <w:t>terkin</w:t>
            </w:r>
            <w:r w:rsidRPr="00A23740">
              <w:t xml:space="preserve"> işlem</w:t>
            </w:r>
            <w:r w:rsidRPr="00A23740">
              <w:rPr>
                <w:rStyle w:val="MaviChar"/>
              </w:rPr>
              <w:t>i</w:t>
            </w:r>
            <w:r w:rsidRPr="00A23740">
              <w:t xml:space="preserve"> ilgili icra </w:t>
            </w:r>
            <w:r w:rsidR="001D05C6" w:rsidRPr="00A23740">
              <w:rPr>
                <w:rStyle w:val="Balk1Char"/>
                <w:rFonts w:eastAsia="Calibri"/>
              </w:rPr>
              <w:t>ve iflas</w:t>
            </w:r>
            <w:r w:rsidR="001D05C6" w:rsidRPr="00A23740">
              <w:t xml:space="preserve"> </w:t>
            </w:r>
            <w:r w:rsidRPr="00A23740">
              <w:t>dairesine bildirilir.</w:t>
            </w:r>
            <w:r w:rsidRPr="00A23740">
              <w:rPr>
                <w:rFonts w:eastAsia="Times New Roman"/>
                <w:b/>
                <w:color w:val="0000FF"/>
                <w:szCs w:val="24"/>
                <w:lang w:eastAsia="tr-TR"/>
              </w:rPr>
              <w:t xml:space="preserve"> </w:t>
            </w:r>
          </w:p>
          <w:p w:rsidR="00AA5C8C" w:rsidRPr="00A23740" w:rsidRDefault="00AA5C8C" w:rsidP="009431FF">
            <w:pPr>
              <w:tabs>
                <w:tab w:val="left" w:pos="566"/>
              </w:tabs>
              <w:rPr>
                <w:rFonts w:eastAsia="Times New Roman"/>
                <w:b/>
                <w:color w:val="0000FF"/>
                <w:szCs w:val="24"/>
                <w:lang w:eastAsia="tr-TR"/>
              </w:rPr>
            </w:pPr>
          </w:p>
          <w:p w:rsidR="00AA5C8C" w:rsidRDefault="00AA5C8C" w:rsidP="009431FF">
            <w:pPr>
              <w:tabs>
                <w:tab w:val="left" w:pos="566"/>
              </w:tabs>
              <w:rPr>
                <w:rFonts w:eastAsia="ヒラギノ明朝 Pro W3"/>
                <w:szCs w:val="24"/>
                <w:lang w:eastAsia="tr-TR"/>
              </w:rPr>
            </w:pPr>
            <w:r w:rsidRPr="00A23740">
              <w:rPr>
                <w:rFonts w:eastAsia="Times New Roman"/>
                <w:b/>
                <w:color w:val="0000FF"/>
                <w:szCs w:val="24"/>
                <w:lang w:eastAsia="tr-TR"/>
              </w:rPr>
              <w:t>(3)</w:t>
            </w:r>
            <w:r w:rsidRPr="00A23740">
              <w:rPr>
                <w:rFonts w:eastAsia="ヒラギノ明朝 Pro W3"/>
                <w:szCs w:val="24"/>
                <w:lang w:eastAsia="tr-TR"/>
              </w:rPr>
              <w:t xml:space="preserve"> Birinci fıkra gereğince </w:t>
            </w:r>
            <w:r w:rsidRPr="00A23740">
              <w:rPr>
                <w:rFonts w:eastAsia="ヒラギノ明朝 Pro W3"/>
                <w:bCs/>
                <w:lang w:eastAsia="tr-TR"/>
              </w:rPr>
              <w:t>haczin kalkmasına</w:t>
            </w:r>
            <w:r w:rsidRPr="00A23740">
              <w:rPr>
                <w:rFonts w:eastAsia="ヒラギノ明朝 Pro W3"/>
                <w:szCs w:val="24"/>
                <w:lang w:eastAsia="tr-TR"/>
              </w:rPr>
              <w:t xml:space="preserve"> sebebiyet veren alacaklı</w:t>
            </w:r>
            <w:r w:rsidR="00B16A59" w:rsidRPr="00A23740">
              <w:rPr>
                <w:rFonts w:eastAsia="ヒラギノ明朝 Pro W3"/>
                <w:szCs w:val="24"/>
                <w:lang w:eastAsia="tr-TR"/>
              </w:rPr>
              <w:t>,</w:t>
            </w:r>
            <w:r w:rsidR="001160FE" w:rsidRPr="00A23740">
              <w:rPr>
                <w:rFonts w:eastAsia="ヒラギノ明朝 Pro W3"/>
                <w:szCs w:val="24"/>
                <w:lang w:eastAsia="tr-TR"/>
              </w:rPr>
              <w:t xml:space="preserve"> o mal </w:t>
            </w:r>
            <w:r w:rsidR="001160FE" w:rsidRPr="00A23740">
              <w:rPr>
                <w:rStyle w:val="MaviChar"/>
              </w:rPr>
              <w:t>ve hakka</w:t>
            </w:r>
            <w:r w:rsidRPr="00A23740">
              <w:rPr>
                <w:rFonts w:eastAsia="ヒラギノ明朝 Pro W3"/>
                <w:szCs w:val="24"/>
                <w:lang w:eastAsia="tr-TR"/>
              </w:rPr>
              <w:t xml:space="preserve"> yönelik olarak, haczin konulması ve muhafazası gibi tüm giderlerden sorumlu olur.</w:t>
            </w:r>
          </w:p>
          <w:p w:rsidR="001971CE" w:rsidRPr="00A23740" w:rsidRDefault="001971CE" w:rsidP="009431FF">
            <w:pPr>
              <w:tabs>
                <w:tab w:val="left" w:pos="566"/>
              </w:tabs>
              <w:rPr>
                <w:rFonts w:eastAsia="ヒラギノ明朝 Pro W3"/>
                <w:szCs w:val="24"/>
                <w:lang w:eastAsia="tr-TR"/>
              </w:rPr>
            </w:pPr>
          </w:p>
          <w:p w:rsidR="00835536" w:rsidRPr="00A23740" w:rsidRDefault="00835536" w:rsidP="009431FF">
            <w:pPr>
              <w:tabs>
                <w:tab w:val="left" w:pos="566"/>
              </w:tabs>
              <w:rPr>
                <w:rFonts w:eastAsia="ヒラギノ明朝 Pro W3"/>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A4785B" w:rsidRPr="00A23740" w:rsidRDefault="00A4785B" w:rsidP="009431FF">
            <w:pPr>
              <w:tabs>
                <w:tab w:val="left" w:pos="567"/>
              </w:tabs>
              <w:ind w:firstLine="709"/>
              <w:rPr>
                <w:b/>
                <w:bCs/>
                <w:szCs w:val="24"/>
                <w:lang w:eastAsia="x-none"/>
              </w:rPr>
            </w:pPr>
          </w:p>
          <w:p w:rsidR="00C11B2F" w:rsidRPr="00A23740" w:rsidRDefault="00C11B2F" w:rsidP="009431FF">
            <w:pPr>
              <w:tabs>
                <w:tab w:val="left" w:pos="567"/>
              </w:tabs>
              <w:ind w:firstLine="709"/>
              <w:rPr>
                <w:rFonts w:eastAsia="Times New Roman"/>
                <w:szCs w:val="24"/>
                <w:lang w:eastAsia="tr-TR"/>
              </w:rPr>
            </w:pPr>
            <w:r w:rsidRPr="00A23740">
              <w:rPr>
                <w:b/>
                <w:bCs/>
                <w:szCs w:val="24"/>
                <w:lang w:eastAsia="x-none"/>
              </w:rPr>
              <w:t xml:space="preserve">MADDE </w:t>
            </w:r>
            <w:r w:rsidR="0025794C" w:rsidRPr="00A23740">
              <w:rPr>
                <w:b/>
                <w:bCs/>
                <w:szCs w:val="24"/>
                <w:lang w:eastAsia="x-none"/>
              </w:rPr>
              <w:t>216</w:t>
            </w:r>
            <w:r w:rsidRPr="00A23740">
              <w:rPr>
                <w:b/>
                <w:bCs/>
                <w:szCs w:val="24"/>
                <w:lang w:eastAsia="x-none"/>
              </w:rPr>
              <w:t>-</w:t>
            </w:r>
            <w:r w:rsidRPr="00A23740">
              <w:rPr>
                <w:rFonts w:eastAsia="Times New Roman"/>
                <w:color w:val="000000"/>
                <w:szCs w:val="24"/>
                <w:lang w:eastAsia="tr-TR"/>
              </w:rPr>
              <w:t xml:space="preserve"> Maddeyle, haczin kalkmasına ilişkin esaslar düzenlenmektedir. </w:t>
            </w:r>
            <w:r w:rsidRPr="00A23740">
              <w:rPr>
                <w:rFonts w:eastAsia="Times New Roman"/>
                <w:szCs w:val="24"/>
                <w:lang w:eastAsia="tr-TR"/>
              </w:rPr>
              <w:t>Madde</w:t>
            </w:r>
            <w:r w:rsidR="003864FD" w:rsidRPr="00A23740">
              <w:rPr>
                <w:rFonts w:eastAsia="Times New Roman"/>
                <w:szCs w:val="24"/>
                <w:lang w:eastAsia="tr-TR"/>
              </w:rPr>
              <w:t>,</w:t>
            </w:r>
            <w:r w:rsidRPr="00A23740">
              <w:rPr>
                <w:rFonts w:eastAsia="Times New Roman"/>
                <w:szCs w:val="24"/>
                <w:lang w:eastAsia="tr-TR"/>
              </w:rPr>
              <w:t xml:space="preserve"> 2004 sayılı Kanunun 110 uncu </w:t>
            </w:r>
            <w:r w:rsidR="003B3065" w:rsidRPr="00A23740">
              <w:rPr>
                <w:rFonts w:eastAsia="Times New Roman"/>
                <w:szCs w:val="24"/>
                <w:lang w:eastAsia="tr-TR"/>
              </w:rPr>
              <w:t>maddesine karşılık gelmektedir.</w:t>
            </w:r>
          </w:p>
          <w:p w:rsidR="00C11B2F" w:rsidRPr="00A23740" w:rsidRDefault="00C11B2F" w:rsidP="009431FF">
            <w:pPr>
              <w:tabs>
                <w:tab w:val="left" w:pos="567"/>
              </w:tabs>
              <w:ind w:firstLine="709"/>
            </w:pPr>
            <w:r w:rsidRPr="00A23740">
              <w:rPr>
                <w:rFonts w:eastAsia="Times New Roman"/>
                <w:color w:val="000000"/>
                <w:szCs w:val="24"/>
                <w:lang w:eastAsia="tr-TR"/>
              </w:rPr>
              <w:t xml:space="preserve">Birinci fıkrayla, </w:t>
            </w:r>
            <w:r w:rsidRPr="00A23740">
              <w:rPr>
                <w:rFonts w:eastAsia="Times New Roman"/>
                <w:szCs w:val="24"/>
                <w:lang w:eastAsia="tr-TR"/>
              </w:rPr>
              <w:t>b</w:t>
            </w:r>
            <w:r w:rsidR="005E079C" w:rsidRPr="00A23740">
              <w:rPr>
                <w:rFonts w:eastAsia="Times New Roman"/>
                <w:szCs w:val="24"/>
                <w:lang w:eastAsia="tr-TR"/>
              </w:rPr>
              <w:t>ir mal ve hakkın</w:t>
            </w:r>
            <w:r w:rsidRPr="00A23740">
              <w:rPr>
                <w:rFonts w:eastAsia="Times New Roman"/>
                <w:szCs w:val="24"/>
                <w:lang w:eastAsia="tr-TR"/>
              </w:rPr>
              <w:t xml:space="preserve"> satılmasının kanuni süre içinde talep edilmemesi veya talep edildikten sonra talebin geri alınması ve </w:t>
            </w:r>
            <w:r w:rsidR="001E1EA4" w:rsidRPr="00D60C1D">
              <w:rPr>
                <w:rStyle w:val="Balk1Char"/>
                <w:rFonts w:eastAsia="Calibri"/>
                <w:b w:val="0"/>
                <w:color w:val="000000"/>
              </w:rPr>
              <w:t>geri alındıktan sonra</w:t>
            </w:r>
            <w:r w:rsidR="001E1EA4" w:rsidRPr="00A23740">
              <w:rPr>
                <w:rFonts w:eastAsia="Times New Roman"/>
                <w:szCs w:val="24"/>
                <w:lang w:eastAsia="tr-TR"/>
              </w:rPr>
              <w:t xml:space="preserve"> </w:t>
            </w:r>
            <w:r w:rsidRPr="00A23740">
              <w:rPr>
                <w:rFonts w:eastAsia="Times New Roman"/>
                <w:szCs w:val="24"/>
                <w:lang w:eastAsia="tr-TR"/>
              </w:rPr>
              <w:t>kalan süre içinde yeniden talepte bulunulmaması h</w:t>
            </w:r>
            <w:r w:rsidR="00707B08" w:rsidRPr="00A23740">
              <w:rPr>
                <w:rFonts w:eastAsia="Times New Roman"/>
                <w:szCs w:val="24"/>
                <w:lang w:eastAsia="tr-TR"/>
              </w:rPr>
              <w:t>â</w:t>
            </w:r>
            <w:r w:rsidRPr="00A23740">
              <w:rPr>
                <w:rFonts w:eastAsia="Times New Roman"/>
                <w:szCs w:val="24"/>
                <w:lang w:eastAsia="tr-TR"/>
              </w:rPr>
              <w:t>linde, hacizli</w:t>
            </w:r>
            <w:r w:rsidR="003864FD" w:rsidRPr="00A23740">
              <w:rPr>
                <w:rFonts w:eastAsia="Times New Roman"/>
                <w:szCs w:val="24"/>
                <w:lang w:eastAsia="tr-TR"/>
              </w:rPr>
              <w:t xml:space="preserve"> mal </w:t>
            </w:r>
            <w:r w:rsidR="001160FE" w:rsidRPr="00A23740">
              <w:rPr>
                <w:rFonts w:eastAsia="Times New Roman"/>
                <w:szCs w:val="24"/>
                <w:lang w:eastAsia="tr-TR"/>
              </w:rPr>
              <w:t xml:space="preserve">ve hak </w:t>
            </w:r>
            <w:r w:rsidR="003864FD" w:rsidRPr="00A23740">
              <w:rPr>
                <w:rFonts w:eastAsia="Times New Roman"/>
                <w:szCs w:val="24"/>
                <w:lang w:eastAsia="tr-TR"/>
              </w:rPr>
              <w:t>üzerindeki haczin kalkması</w:t>
            </w:r>
            <w:r w:rsidRPr="00A23740">
              <w:rPr>
                <w:rFonts w:eastAsia="Times New Roman"/>
                <w:szCs w:val="24"/>
                <w:lang w:eastAsia="tr-TR"/>
              </w:rPr>
              <w:t xml:space="preserve"> ve aynı icra takibi içinde b</w:t>
            </w:r>
            <w:r w:rsidR="003864FD" w:rsidRPr="00A23740">
              <w:rPr>
                <w:rFonts w:eastAsia="Times New Roman"/>
                <w:szCs w:val="24"/>
                <w:lang w:eastAsia="tr-TR"/>
              </w:rPr>
              <w:t>u mal</w:t>
            </w:r>
            <w:r w:rsidR="001160FE" w:rsidRPr="00A23740">
              <w:rPr>
                <w:rFonts w:eastAsia="Times New Roman"/>
                <w:szCs w:val="24"/>
                <w:lang w:eastAsia="tr-TR"/>
              </w:rPr>
              <w:t xml:space="preserve"> ve hakkın</w:t>
            </w:r>
            <w:r w:rsidR="003864FD" w:rsidRPr="00A23740">
              <w:rPr>
                <w:rFonts w:eastAsia="Times New Roman"/>
                <w:szCs w:val="24"/>
                <w:lang w:eastAsia="tr-TR"/>
              </w:rPr>
              <w:t xml:space="preserve"> tekrar haczedil</w:t>
            </w:r>
            <w:r w:rsidR="001E1EA4" w:rsidRPr="00D60C1D">
              <w:rPr>
                <w:rStyle w:val="Balk1Char"/>
                <w:rFonts w:eastAsia="Calibri"/>
                <w:b w:val="0"/>
                <w:color w:val="000000"/>
              </w:rPr>
              <w:t>e</w:t>
            </w:r>
            <w:r w:rsidR="003864FD" w:rsidRPr="00A23740">
              <w:rPr>
                <w:rFonts w:eastAsia="Times New Roman"/>
                <w:szCs w:val="24"/>
                <w:lang w:eastAsia="tr-TR"/>
              </w:rPr>
              <w:t>memesi düzenlenmektedir.</w:t>
            </w:r>
            <w:r w:rsidR="001160FE" w:rsidRPr="00A23740">
              <w:rPr>
                <w:rFonts w:eastAsia="Times New Roman"/>
                <w:szCs w:val="24"/>
                <w:lang w:eastAsia="tr-TR"/>
              </w:rPr>
              <w:t xml:space="preserve"> </w:t>
            </w:r>
            <w:r w:rsidR="001E1EA4" w:rsidRPr="00D60C1D">
              <w:rPr>
                <w:rStyle w:val="Balk1Char"/>
                <w:rFonts w:eastAsia="Calibri"/>
                <w:b w:val="0"/>
                <w:color w:val="000000"/>
              </w:rPr>
              <w:t>Bu noktada</w:t>
            </w:r>
            <w:r w:rsidR="00005B51" w:rsidRPr="00D60C1D">
              <w:rPr>
                <w:rStyle w:val="Balk1Char"/>
                <w:rFonts w:eastAsia="Calibri"/>
                <w:b w:val="0"/>
                <w:color w:val="000000"/>
              </w:rPr>
              <w:t>, 2004 sayılı Kanunun sistemi temelde muhafaza edilerek</w:t>
            </w:r>
            <w:r w:rsidR="00BC75CE" w:rsidRPr="00D60C1D">
              <w:rPr>
                <w:rStyle w:val="Balk1Char"/>
                <w:rFonts w:eastAsia="Calibri"/>
                <w:b w:val="0"/>
                <w:color w:val="000000"/>
              </w:rPr>
              <w:t xml:space="preserve"> ve</w:t>
            </w:r>
            <w:r w:rsidR="001E1EA4" w:rsidRPr="00D60C1D">
              <w:rPr>
                <w:rStyle w:val="Balk1Char"/>
                <w:rFonts w:eastAsia="Calibri"/>
                <w:b w:val="0"/>
                <w:color w:val="000000"/>
              </w:rPr>
              <w:t xml:space="preserve"> İsviçre</w:t>
            </w:r>
            <w:r w:rsidR="00E47822" w:rsidRPr="00D60C1D">
              <w:rPr>
                <w:rStyle w:val="KonuBalChar"/>
                <w:rFonts w:eastAsia="Calibri"/>
                <w:b w:val="0"/>
                <w:color w:val="000000"/>
              </w:rPr>
              <w:t>’nin</w:t>
            </w:r>
            <w:r w:rsidR="001E1EA4" w:rsidRPr="00D60C1D">
              <w:rPr>
                <w:rStyle w:val="Balk1Char"/>
                <w:rFonts w:eastAsia="Calibri"/>
                <w:b w:val="0"/>
                <w:color w:val="000000"/>
              </w:rPr>
              <w:t xml:space="preserve"> Borç İçin Takip ve İflas Hakkında Federal Kanun</w:t>
            </w:r>
            <w:r w:rsidR="001D05C6" w:rsidRPr="00D60C1D">
              <w:rPr>
                <w:rStyle w:val="Balk1Char"/>
                <w:rFonts w:eastAsia="Calibri"/>
                <w:b w:val="0"/>
                <w:color w:val="000000"/>
              </w:rPr>
              <w:t>un 121 inci maddesinden</w:t>
            </w:r>
            <w:r w:rsidR="00005B51" w:rsidRPr="00D60C1D">
              <w:rPr>
                <w:rStyle w:val="Balk1Char"/>
                <w:rFonts w:eastAsia="Calibri"/>
                <w:b w:val="0"/>
                <w:color w:val="000000"/>
              </w:rPr>
              <w:t xml:space="preserve"> farklı olarak, İsviçre’de icra takibinin düşmesi şeklinde olan yaptırım yerine haczin düşmesi şeklindeki yaptırım benimsenmiştir. Ancak, 2004 sayılı Kanundan bi</w:t>
            </w:r>
            <w:r w:rsidR="00BC75CE" w:rsidRPr="00D60C1D">
              <w:rPr>
                <w:rStyle w:val="Balk1Char"/>
                <w:rFonts w:eastAsia="Calibri"/>
                <w:b w:val="0"/>
                <w:color w:val="000000"/>
              </w:rPr>
              <w:t>r</w:t>
            </w:r>
            <w:r w:rsidR="00005B51" w:rsidRPr="00D60C1D">
              <w:rPr>
                <w:rStyle w:val="Balk1Char"/>
                <w:rFonts w:eastAsia="Calibri"/>
                <w:b w:val="0"/>
                <w:color w:val="000000"/>
              </w:rPr>
              <w:t xml:space="preserve"> farklılık arz etmek</w:t>
            </w:r>
            <w:r w:rsidR="00BC75CE" w:rsidRPr="00D60C1D">
              <w:rPr>
                <w:rStyle w:val="Balk1Char"/>
                <w:rFonts w:eastAsia="Calibri"/>
                <w:b w:val="0"/>
                <w:color w:val="000000"/>
              </w:rPr>
              <w:t xml:space="preserve"> ve</w:t>
            </w:r>
            <w:r w:rsidR="00005B51" w:rsidRPr="00D60C1D">
              <w:rPr>
                <w:rStyle w:val="Balk1Char"/>
                <w:rFonts w:eastAsia="Calibri"/>
                <w:b w:val="0"/>
                <w:color w:val="000000"/>
              </w:rPr>
              <w:t xml:space="preserve"> </w:t>
            </w:r>
            <w:r w:rsidR="00BC75CE" w:rsidRPr="00D60C1D">
              <w:rPr>
                <w:rStyle w:val="Balk1Char"/>
                <w:rFonts w:eastAsia="Calibri"/>
                <w:b w:val="0"/>
                <w:color w:val="000000"/>
              </w:rPr>
              <w:t xml:space="preserve">Türk hukukunda </w:t>
            </w:r>
            <w:r w:rsidR="00005B51" w:rsidRPr="00D60C1D">
              <w:rPr>
                <w:rStyle w:val="Balk1Char"/>
                <w:rFonts w:eastAsia="Calibri"/>
                <w:b w:val="0"/>
                <w:color w:val="000000"/>
              </w:rPr>
              <w:t>bir yenilik ol</w:t>
            </w:r>
            <w:r w:rsidR="00BC75CE" w:rsidRPr="00D60C1D">
              <w:rPr>
                <w:rStyle w:val="Balk1Char"/>
                <w:rFonts w:eastAsia="Calibri"/>
                <w:b w:val="0"/>
                <w:color w:val="000000"/>
              </w:rPr>
              <w:t>mak üzere</w:t>
            </w:r>
            <w:r w:rsidR="00EB338B" w:rsidRPr="00D60C1D">
              <w:rPr>
                <w:rStyle w:val="Balk1Char"/>
                <w:rFonts w:eastAsia="Calibri"/>
                <w:b w:val="0"/>
                <w:color w:val="000000"/>
              </w:rPr>
              <w:t>,</w:t>
            </w:r>
            <w:r w:rsidR="00BC75CE" w:rsidRPr="00D60C1D">
              <w:rPr>
                <w:rStyle w:val="Balk1Char"/>
                <w:rFonts w:eastAsia="Calibri"/>
                <w:b w:val="0"/>
                <w:color w:val="000000"/>
              </w:rPr>
              <w:t xml:space="preserve"> haczedilen ve süresi içinde satışı talep edilmeyen </w:t>
            </w:r>
            <w:r w:rsidR="00005B51" w:rsidRPr="00D60C1D">
              <w:rPr>
                <w:rStyle w:val="Balk1Char"/>
                <w:rFonts w:eastAsia="Calibri"/>
                <w:b w:val="0"/>
                <w:color w:val="000000"/>
              </w:rPr>
              <w:t>mal veya hakkın aynı icra takibinde tekrar haczedilememesi</w:t>
            </w:r>
            <w:r w:rsidR="00BC75CE" w:rsidRPr="00D60C1D">
              <w:rPr>
                <w:rStyle w:val="Balk1Char"/>
                <w:rFonts w:eastAsia="Calibri"/>
                <w:b w:val="0"/>
                <w:color w:val="000000"/>
              </w:rPr>
              <w:t xml:space="preserve"> şeklinde bir yaptırım da</w:t>
            </w:r>
            <w:r w:rsidR="00005B51" w:rsidRPr="00D60C1D">
              <w:rPr>
                <w:rStyle w:val="Balk1Char"/>
                <w:rFonts w:eastAsia="Calibri"/>
                <w:b w:val="0"/>
                <w:color w:val="000000"/>
              </w:rPr>
              <w:t xml:space="preserve"> kabul edilmektedir.</w:t>
            </w:r>
            <w:r w:rsidR="00BC75CE" w:rsidRPr="00D60C1D">
              <w:rPr>
                <w:rStyle w:val="Balk1Char"/>
                <w:rFonts w:eastAsia="Calibri"/>
                <w:b w:val="0"/>
                <w:color w:val="000000"/>
              </w:rPr>
              <w:t xml:space="preserve"> Esasen bu düzenleme şekli de mehaz </w:t>
            </w:r>
            <w:r w:rsidR="00EB338B" w:rsidRPr="00D60C1D">
              <w:rPr>
                <w:rStyle w:val="Balk1Char"/>
                <w:rFonts w:eastAsia="Calibri"/>
                <w:b w:val="0"/>
                <w:color w:val="000000"/>
              </w:rPr>
              <w:t>K</w:t>
            </w:r>
            <w:r w:rsidR="00BC75CE" w:rsidRPr="00D60C1D">
              <w:rPr>
                <w:rStyle w:val="Balk1Char"/>
                <w:rFonts w:eastAsia="Calibri"/>
                <w:b w:val="0"/>
                <w:color w:val="000000"/>
              </w:rPr>
              <w:t>anundan esinlenmiş olup,</w:t>
            </w:r>
            <w:r w:rsidR="00BC75CE" w:rsidRPr="00A23740">
              <w:rPr>
                <w:rStyle w:val="Balk1Char"/>
                <w:rFonts w:eastAsia="Calibri"/>
              </w:rPr>
              <w:t xml:space="preserve"> </w:t>
            </w:r>
            <w:r w:rsidR="00E47822" w:rsidRPr="00D60C1D">
              <w:rPr>
                <w:rStyle w:val="KonuBalChar"/>
                <w:rFonts w:eastAsia="Calibri"/>
                <w:b w:val="0"/>
                <w:color w:val="000000"/>
              </w:rPr>
              <w:t>İsviçre’nin Borç İçin Takip ve İflas Hakkında Federal Kanununun</w:t>
            </w:r>
            <w:r w:rsidR="00B27CE0" w:rsidRPr="00D60C1D">
              <w:rPr>
                <w:rStyle w:val="Balk1Char"/>
                <w:rFonts w:eastAsia="Calibri"/>
                <w:b w:val="0"/>
                <w:color w:val="000000"/>
              </w:rPr>
              <w:t xml:space="preserve"> </w:t>
            </w:r>
            <w:r w:rsidR="00BC75CE" w:rsidRPr="00D60C1D">
              <w:rPr>
                <w:rStyle w:val="Balk1Char"/>
                <w:rFonts w:eastAsia="Calibri"/>
                <w:b w:val="0"/>
                <w:color w:val="000000"/>
              </w:rPr>
              <w:t>126 ncı maddesinde sadece satışa çıkartılan mal için pey süren kimse çıkmaması veya karşılama prensibine uygun pey sür</w:t>
            </w:r>
            <w:r w:rsidR="00EB338B" w:rsidRPr="00D60C1D">
              <w:rPr>
                <w:rStyle w:val="Balk1Char"/>
                <w:rFonts w:eastAsia="Calibri"/>
                <w:b w:val="0"/>
                <w:color w:val="000000"/>
              </w:rPr>
              <w:t>ül</w:t>
            </w:r>
            <w:r w:rsidR="00BC75CE" w:rsidRPr="00D60C1D">
              <w:rPr>
                <w:rStyle w:val="Balk1Char"/>
                <w:rFonts w:eastAsia="Calibri"/>
                <w:b w:val="0"/>
                <w:color w:val="000000"/>
              </w:rPr>
              <w:t>memesi h</w:t>
            </w:r>
            <w:r w:rsidR="00707B08" w:rsidRPr="00D60C1D">
              <w:rPr>
                <w:rStyle w:val="Balk1Char"/>
                <w:rFonts w:eastAsia="Calibri"/>
                <w:b w:val="0"/>
                <w:color w:val="000000"/>
              </w:rPr>
              <w:t>â</w:t>
            </w:r>
            <w:r w:rsidR="00BC75CE" w:rsidRPr="00D60C1D">
              <w:rPr>
                <w:rStyle w:val="Balk1Char"/>
                <w:rFonts w:eastAsia="Calibri"/>
                <w:b w:val="0"/>
                <w:color w:val="000000"/>
              </w:rPr>
              <w:t>linde uygulanan “satışa çıkartılan münferit mal üzerindeki haczin düşmesi ve bu malın aynı takipte tekrar haczedilememesi” hakkındaki kural benimsenmiş olmaktadır.</w:t>
            </w:r>
            <w:r w:rsidR="00005B51" w:rsidRPr="00A23740">
              <w:rPr>
                <w:rStyle w:val="Balk1Char"/>
                <w:rFonts w:eastAsia="Calibri"/>
              </w:rPr>
              <w:t xml:space="preserve"> </w:t>
            </w:r>
            <w:r w:rsidR="00B16A59" w:rsidRPr="00A23740">
              <w:rPr>
                <w:rFonts w:eastAsia="Times New Roman"/>
                <w:szCs w:val="24"/>
                <w:lang w:eastAsia="tr-TR"/>
              </w:rPr>
              <w:t>Satış talebinin bir defa geri alınabileceğine dair 2004 sayılı Kanunun 110 uncu maddesinin birinci fıkrasının son cümlesi, Taslağın satış talebine ilişkin</w:t>
            </w:r>
            <w:r w:rsidR="007613A0" w:rsidRPr="00A23740">
              <w:rPr>
                <w:rFonts w:eastAsia="Times New Roman"/>
                <w:szCs w:val="24"/>
                <w:lang w:eastAsia="tr-TR"/>
              </w:rPr>
              <w:t xml:space="preserve"> </w:t>
            </w:r>
            <w:r w:rsidR="007613A0" w:rsidRPr="00D60C1D">
              <w:rPr>
                <w:rStyle w:val="KonuBalChar"/>
                <w:rFonts w:eastAsia="Calibri"/>
                <w:b w:val="0"/>
                <w:color w:val="000000"/>
              </w:rPr>
              <w:t>213 üncü</w:t>
            </w:r>
            <w:r w:rsidR="00B16A59" w:rsidRPr="00A23740">
              <w:rPr>
                <w:rFonts w:eastAsia="Times New Roman"/>
                <w:szCs w:val="24"/>
                <w:lang w:eastAsia="tr-TR"/>
              </w:rPr>
              <w:t xml:space="preserve"> maddesinde düzenlendiği için fıkrada yer almamaktadır.</w:t>
            </w:r>
          </w:p>
          <w:p w:rsidR="00B16A59" w:rsidRPr="00A23740" w:rsidRDefault="00C11B2F" w:rsidP="009431FF">
            <w:pPr>
              <w:tabs>
                <w:tab w:val="left" w:pos="566"/>
              </w:tabs>
              <w:ind w:firstLine="709"/>
              <w:rPr>
                <w:rFonts w:eastAsia="Times New Roman"/>
                <w:b/>
                <w:color w:val="0000FF"/>
                <w:szCs w:val="24"/>
                <w:lang w:eastAsia="tr-TR"/>
              </w:rPr>
            </w:pPr>
            <w:r w:rsidRPr="00A23740">
              <w:rPr>
                <w:rFonts w:eastAsia="Times New Roman"/>
                <w:szCs w:val="24"/>
                <w:lang w:eastAsia="tr-TR"/>
              </w:rPr>
              <w:t>İkinci fıkrayla, resm</w:t>
            </w:r>
            <w:r w:rsidR="001D05C6" w:rsidRPr="00A23740">
              <w:rPr>
                <w:rFonts w:eastAsia="Times New Roman"/>
                <w:szCs w:val="24"/>
                <w:lang w:eastAsia="tr-TR"/>
              </w:rPr>
              <w:t>î</w:t>
            </w:r>
            <w:r w:rsidRPr="00A23740">
              <w:rPr>
                <w:rFonts w:eastAsia="Times New Roman"/>
                <w:szCs w:val="24"/>
                <w:lang w:eastAsia="tr-TR"/>
              </w:rPr>
              <w:t xml:space="preserve"> sicile kayıtlı mal ve haklara ilişkin haciz şerhinin, ancak icra </w:t>
            </w:r>
            <w:r w:rsidR="00B73523" w:rsidRPr="00D60C1D">
              <w:rPr>
                <w:color w:val="000000"/>
              </w:rPr>
              <w:t>ve iflas</w:t>
            </w:r>
            <w:r w:rsidR="00B73523" w:rsidRPr="00A23740">
              <w:rPr>
                <w:b/>
                <w:bCs/>
                <w:color w:val="0000FF"/>
                <w:szCs w:val="24"/>
                <w:lang w:val="x-none" w:eastAsia="x-none"/>
              </w:rPr>
              <w:t xml:space="preserve"> </w:t>
            </w:r>
            <w:r w:rsidRPr="00A23740">
              <w:rPr>
                <w:rFonts w:eastAsia="Times New Roman"/>
                <w:szCs w:val="24"/>
                <w:lang w:eastAsia="tr-TR"/>
              </w:rPr>
              <w:t xml:space="preserve">dairesinin bildirimi üzerine sicili tutan kurum veya kuruluş tarafından terkin edileceği ve terkin işleminin ilgili icra </w:t>
            </w:r>
            <w:r w:rsidR="00B73523" w:rsidRPr="00D60C1D">
              <w:rPr>
                <w:color w:val="000000"/>
              </w:rPr>
              <w:t>ve iflas</w:t>
            </w:r>
            <w:r w:rsidR="00B73523" w:rsidRPr="00A23740">
              <w:rPr>
                <w:b/>
                <w:bCs/>
                <w:color w:val="0000FF"/>
                <w:szCs w:val="24"/>
                <w:lang w:val="x-none" w:eastAsia="x-none"/>
              </w:rPr>
              <w:t xml:space="preserve"> </w:t>
            </w:r>
            <w:r w:rsidRPr="00A23740">
              <w:rPr>
                <w:rFonts w:eastAsia="Times New Roman"/>
                <w:szCs w:val="24"/>
                <w:lang w:eastAsia="tr-TR"/>
              </w:rPr>
              <w:t xml:space="preserve">dairesine </w:t>
            </w:r>
            <w:r w:rsidR="005E079C" w:rsidRPr="00A23740">
              <w:rPr>
                <w:rFonts w:eastAsia="Times New Roman"/>
                <w:szCs w:val="24"/>
                <w:lang w:eastAsia="tr-TR"/>
              </w:rPr>
              <w:t>bildirileceği düzenlenmektedir.</w:t>
            </w:r>
          </w:p>
          <w:p w:rsidR="009A2F56" w:rsidRPr="00A23740" w:rsidRDefault="00C11B2F" w:rsidP="001971CE">
            <w:pPr>
              <w:tabs>
                <w:tab w:val="left" w:pos="567"/>
              </w:tabs>
              <w:ind w:firstLine="709"/>
              <w:rPr>
                <w:rFonts w:eastAsia="Times New Roman"/>
                <w:color w:val="000000"/>
                <w:szCs w:val="24"/>
                <w:lang w:eastAsia="tr-TR"/>
              </w:rPr>
            </w:pPr>
            <w:r w:rsidRPr="00A23740">
              <w:rPr>
                <w:rFonts w:eastAsia="Times New Roman"/>
                <w:szCs w:val="24"/>
                <w:lang w:eastAsia="tr-TR"/>
              </w:rPr>
              <w:t>Üçüncü fıkrayla, birinci fıkra gereğince haczin kalkmasına sebebiyet veren alacaklının,</w:t>
            </w:r>
            <w:r w:rsidR="001160FE" w:rsidRPr="00A23740">
              <w:rPr>
                <w:rFonts w:eastAsia="Times New Roman"/>
                <w:szCs w:val="24"/>
                <w:lang w:eastAsia="tr-TR"/>
              </w:rPr>
              <w:t xml:space="preserve"> o mal ve hakka</w:t>
            </w:r>
            <w:r w:rsidRPr="00A23740">
              <w:rPr>
                <w:rFonts w:eastAsia="Times New Roman"/>
                <w:szCs w:val="24"/>
                <w:lang w:eastAsia="tr-TR"/>
              </w:rPr>
              <w:t xml:space="preserve"> yönelik olarak, haczin konulması ve muhafazası gibi tüm giderlerinden sorumlu olacağı</w:t>
            </w:r>
            <w:r w:rsidR="001E1EA4" w:rsidRPr="00A23740">
              <w:rPr>
                <w:rFonts w:eastAsia="Times New Roman"/>
                <w:szCs w:val="24"/>
                <w:lang w:eastAsia="tr-TR"/>
              </w:rPr>
              <w:t xml:space="preserve"> </w:t>
            </w:r>
            <w:r w:rsidR="001E1EA4" w:rsidRPr="00D60C1D">
              <w:rPr>
                <w:rStyle w:val="Balk1Char"/>
                <w:rFonts w:eastAsia="Calibri"/>
                <w:b w:val="0"/>
                <w:color w:val="000000"/>
              </w:rPr>
              <w:t>hüküm altına alınmaktadır.</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Mükellefiyetler</w:t>
            </w:r>
            <w:r w:rsidRPr="00A23740">
              <w:rPr>
                <w:rStyle w:val="KIRMIZIChar"/>
                <w:rFonts w:eastAsia="Calibri"/>
                <w:b/>
                <w:bCs/>
                <w:strike/>
              </w:rPr>
              <w:t>in</w:t>
            </w:r>
            <w:r w:rsidRPr="00A23740">
              <w:t xml:space="preserve"> listesi: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128 – (1) …</w:t>
            </w:r>
            <w:r w:rsidRPr="00A23740">
              <w:rPr>
                <w:rFonts w:eastAsia="Times New Roman"/>
                <w:szCs w:val="24"/>
                <w:lang w:eastAsia="tr-TR"/>
              </w:rPr>
              <w:t xml:space="preserve"> </w:t>
            </w: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 xml:space="preserve">(2) … </w:t>
            </w: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(3) …</w:t>
            </w: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(4) …</w:t>
            </w:r>
          </w:p>
          <w:p w:rsidR="00AA5C8C" w:rsidRPr="00A23740" w:rsidRDefault="00AA5C8C" w:rsidP="009431FF">
            <w:pPr>
              <w:tabs>
                <w:tab w:val="left" w:pos="567"/>
              </w:tabs>
              <w:rPr>
                <w:rStyle w:val="KIRMIZIChar"/>
                <w:rFonts w:eastAsia="Calibri"/>
              </w:rPr>
            </w:pPr>
            <w:r w:rsidRPr="00A23740">
              <w:rPr>
                <w:rStyle w:val="KIRMIZIChar"/>
                <w:rFonts w:eastAsia="Calibri"/>
              </w:rPr>
              <w:t>(5) (Ek fıkra: 28/2/2018-7101/1 md.) </w:t>
            </w:r>
            <w:r w:rsidRPr="00A23740">
              <w:t>Ticari ve ekonomik bütünlük arz eden ya da bir bütün hâlinde satıldığı takdirde daha yüksek gelir elde edileceği anlaşılan mal ve haklar</w:t>
            </w:r>
            <w:r w:rsidRPr="00A23740">
              <w:rPr>
                <w:bCs/>
              </w:rPr>
              <w:t xml:space="preserve"> bir bütün olarak</w:t>
            </w:r>
            <w:r w:rsidRPr="00A23740">
              <w:rPr>
                <w:rStyle w:val="KIRMIZIChar"/>
                <w:rFonts w:eastAsia="Calibri"/>
                <w:strike w:val="0"/>
              </w:rPr>
              <w:t xml:space="preserve"> </w:t>
            </w:r>
            <w:r w:rsidRPr="00A23740">
              <w:rPr>
                <w:rStyle w:val="KIRMIZIChar"/>
                <w:rFonts w:eastAsia="Calibri"/>
              </w:rPr>
              <w:t>paraya çevrilir.</w:t>
            </w:r>
          </w:p>
          <w:p w:rsidR="00AA5C8C" w:rsidRPr="00A23740" w:rsidRDefault="00AA5C8C" w:rsidP="009431FF">
            <w:pPr>
              <w:rPr>
                <w:rFonts w:eastAsia="Times New Roman"/>
                <w:szCs w:val="24"/>
                <w:lang w:eastAsia="tr-TR"/>
              </w:rPr>
            </w:pPr>
          </w:p>
        </w:tc>
        <w:tc>
          <w:tcPr>
            <w:tcW w:w="2500" w:type="pct"/>
          </w:tcPr>
          <w:p w:rsidR="00AA5C8C" w:rsidRPr="00A23740" w:rsidRDefault="00AA5C8C" w:rsidP="009431FF">
            <w:pPr>
              <w:pStyle w:val="Mavi"/>
            </w:pPr>
            <w:r w:rsidRPr="00A23740">
              <w:t>Ticari ve e</w:t>
            </w:r>
            <w:r w:rsidR="00B45D47" w:rsidRPr="00A23740">
              <w:t>konomik bütünlük arz eden mal ve hakların satışı</w:t>
            </w:r>
          </w:p>
          <w:p w:rsidR="00AA5C8C" w:rsidRPr="00A23740" w:rsidRDefault="00AA5C8C" w:rsidP="009431FF">
            <w:pPr>
              <w:pStyle w:val="Mavi"/>
            </w:pPr>
            <w:r w:rsidRPr="00A23740">
              <w:t xml:space="preserve">MADDE </w:t>
            </w:r>
            <w:r w:rsidR="0025794C" w:rsidRPr="00A23740">
              <w:rPr>
                <w:lang w:val="tr-TR"/>
              </w:rPr>
              <w:t>217</w:t>
            </w:r>
            <w:r w:rsidRPr="00A23740">
              <w:t xml:space="preserve">- </w:t>
            </w:r>
            <w:r w:rsidRPr="00A23740">
              <w:rPr>
                <w:rStyle w:val="MaviChar"/>
                <w:b/>
                <w:bCs/>
              </w:rPr>
              <w:t>(1)</w:t>
            </w:r>
            <w:r w:rsidRPr="00A23740">
              <w:t xml:space="preserve"> </w:t>
            </w:r>
            <w:r w:rsidRPr="00A23740">
              <w:rPr>
                <w:b w:val="0"/>
                <w:bCs w:val="0"/>
                <w:color w:val="auto"/>
                <w:szCs w:val="22"/>
                <w:lang w:val="tr-TR" w:eastAsia="en-US"/>
              </w:rPr>
              <w:t xml:space="preserve">Ticari ve ekonomik bütünlük arz eden ya da bir bütün hâlinde satıldığı takdirde daha yüksek gelir elde edileceği anlaşılan </w:t>
            </w:r>
            <w:r w:rsidRPr="00A23740">
              <w:rPr>
                <w:lang w:val="tr-TR" w:eastAsia="en-US"/>
              </w:rPr>
              <w:t>hacizli</w:t>
            </w:r>
            <w:r w:rsidRPr="00A23740">
              <w:rPr>
                <w:b w:val="0"/>
                <w:bCs w:val="0"/>
                <w:color w:val="auto"/>
                <w:szCs w:val="22"/>
                <w:lang w:val="tr-TR" w:eastAsia="en-US"/>
              </w:rPr>
              <w:t xml:space="preserve"> mal ve haklar </w:t>
            </w:r>
            <w:r w:rsidRPr="00A23740">
              <w:rPr>
                <w:lang w:val="tr-TR" w:eastAsia="en-US"/>
              </w:rPr>
              <w:t>ile bu mal ve hakları</w:t>
            </w:r>
            <w:r w:rsidRPr="00A23740">
              <w:t xml:space="preserve"> bünyesinde bulunduran işletmeler </w:t>
            </w:r>
            <w:r w:rsidRPr="00A23740">
              <w:rPr>
                <w:b w:val="0"/>
                <w:bCs w:val="0"/>
                <w:color w:val="auto"/>
                <w:szCs w:val="22"/>
                <w:lang w:val="tr-TR" w:eastAsia="en-US"/>
              </w:rPr>
              <w:t>bir bütün olarak</w:t>
            </w:r>
            <w:r w:rsidRPr="00A23740">
              <w:t xml:space="preserve"> satılır. </w:t>
            </w:r>
            <w:r w:rsidR="000D45F4" w:rsidRPr="00A23740">
              <w:rPr>
                <w:rStyle w:val="MaviChar"/>
                <w:b/>
                <w:bCs/>
                <w:lang w:val="tr-TR"/>
              </w:rPr>
              <w:t xml:space="preserve">Satış kararı verilirken </w:t>
            </w:r>
            <w:r w:rsidR="005B58EB" w:rsidRPr="00A23740">
              <w:rPr>
                <w:rStyle w:val="MaviChar"/>
                <w:b/>
                <w:bCs/>
              </w:rPr>
              <w:t>işletmenin devamlılığı ve ekonomiye olan katkısı gözetilir. Bir bütün olarak satış gerçekleşmezse mal ve haklar ayrı ayrı satılır.</w:t>
            </w:r>
            <w:r w:rsidRPr="00A23740">
              <w:t xml:space="preserve"> </w:t>
            </w:r>
          </w:p>
          <w:p w:rsidR="00AA5C8C" w:rsidRPr="00A23740" w:rsidRDefault="00AA5C8C" w:rsidP="009431FF">
            <w:pPr>
              <w:pStyle w:val="Mavi"/>
            </w:pPr>
          </w:p>
          <w:p w:rsidR="00AA5C8C" w:rsidRDefault="00AA5C8C" w:rsidP="009431FF">
            <w:pPr>
              <w:pStyle w:val="Mavi"/>
              <w:rPr>
                <w:rStyle w:val="MaviChar"/>
                <w:b/>
                <w:bCs/>
              </w:rPr>
            </w:pPr>
            <w:r w:rsidRPr="00A23740">
              <w:rPr>
                <w:lang w:val="tr-TR"/>
              </w:rPr>
              <w:t xml:space="preserve">(2) </w:t>
            </w:r>
            <w:r w:rsidRPr="00A23740">
              <w:rPr>
                <w:rStyle w:val="MaviChar"/>
                <w:b/>
                <w:bCs/>
              </w:rPr>
              <w:t xml:space="preserve">Bu </w:t>
            </w:r>
            <w:r w:rsidRPr="00A23740">
              <w:rPr>
                <w:rStyle w:val="MaviChar"/>
                <w:b/>
                <w:bCs/>
                <w:lang w:val="tr-TR"/>
              </w:rPr>
              <w:t>maddenin</w:t>
            </w:r>
            <w:r w:rsidRPr="00A23740">
              <w:rPr>
                <w:rStyle w:val="MaviChar"/>
                <w:b/>
                <w:bCs/>
              </w:rPr>
              <w:t xml:space="preserve"> uygulanmasına ilişkin usul ve esaslar</w:t>
            </w:r>
            <w:r w:rsidR="006547F1" w:rsidRPr="00A23740">
              <w:rPr>
                <w:rStyle w:val="MaviChar"/>
                <w:b/>
                <w:bCs/>
                <w:lang w:val="tr-TR"/>
              </w:rPr>
              <w:t>,</w:t>
            </w:r>
            <w:r w:rsidRPr="00A23740">
              <w:rPr>
                <w:rStyle w:val="MaviChar"/>
                <w:b/>
                <w:bCs/>
              </w:rPr>
              <w:t xml:space="preserve"> </w:t>
            </w:r>
            <w:r w:rsidR="001D05C6" w:rsidRPr="00A23740">
              <w:rPr>
                <w:rStyle w:val="MaviChar"/>
                <w:b/>
                <w:bCs/>
                <w:lang w:val="tr-TR"/>
              </w:rPr>
              <w:t xml:space="preserve">Adalet Bakanlığı tarafından </w:t>
            </w:r>
            <w:r w:rsidR="006547F1" w:rsidRPr="00A23740">
              <w:rPr>
                <w:rStyle w:val="MaviChar"/>
                <w:b/>
                <w:bCs/>
                <w:lang w:val="tr-TR"/>
              </w:rPr>
              <w:t xml:space="preserve">çıkarılacak </w:t>
            </w:r>
            <w:r w:rsidRPr="00A23740">
              <w:rPr>
                <w:rStyle w:val="MaviChar"/>
                <w:b/>
                <w:bCs/>
              </w:rPr>
              <w:t xml:space="preserve">yönetmelikle </w:t>
            </w:r>
            <w:r w:rsidR="006547F1" w:rsidRPr="00A23740">
              <w:rPr>
                <w:rStyle w:val="MaviChar"/>
                <w:b/>
                <w:bCs/>
                <w:lang w:val="tr-TR"/>
              </w:rPr>
              <w:t>düzenlenir</w:t>
            </w:r>
            <w:r w:rsidRPr="00A23740">
              <w:rPr>
                <w:rStyle w:val="MaviChar"/>
                <w:b/>
                <w:bCs/>
              </w:rPr>
              <w:t>.</w:t>
            </w:r>
          </w:p>
          <w:p w:rsidR="001971CE" w:rsidRPr="00A23740" w:rsidRDefault="001971CE" w:rsidP="009431FF">
            <w:pPr>
              <w:pStyle w:val="Mavi"/>
              <w:rPr>
                <w:rStyle w:val="MaviChar"/>
                <w:b/>
                <w:bCs/>
                <w:color w:val="FF0000"/>
                <w:lang w:val="tr-TR" w:eastAsia="en-US"/>
              </w:rPr>
            </w:pPr>
          </w:p>
          <w:p w:rsidR="00AA5C8C" w:rsidRPr="00A23740" w:rsidRDefault="00AA5C8C" w:rsidP="009431FF">
            <w:pPr>
              <w:tabs>
                <w:tab w:val="left" w:pos="567"/>
              </w:tabs>
              <w:rPr>
                <w:rFonts w:eastAsia="Times New Roman"/>
                <w:b/>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B17E2B" w:rsidRPr="00A23740" w:rsidRDefault="00C11B2F" w:rsidP="009431FF">
            <w:pPr>
              <w:tabs>
                <w:tab w:val="left" w:pos="567"/>
              </w:tabs>
              <w:ind w:firstLine="709"/>
              <w:rPr>
                <w:rFonts w:eastAsia="Times New Roman"/>
                <w:szCs w:val="24"/>
                <w:lang w:eastAsia="tr-TR"/>
              </w:rPr>
            </w:pPr>
            <w:r w:rsidRPr="00A23740">
              <w:rPr>
                <w:b/>
                <w:bCs/>
                <w:szCs w:val="24"/>
                <w:lang w:eastAsia="x-none"/>
              </w:rPr>
              <w:t xml:space="preserve">MADDE </w:t>
            </w:r>
            <w:r w:rsidR="0025794C" w:rsidRPr="00A23740">
              <w:rPr>
                <w:b/>
                <w:bCs/>
                <w:szCs w:val="24"/>
                <w:lang w:eastAsia="x-none"/>
              </w:rPr>
              <w:t>217</w:t>
            </w:r>
            <w:r w:rsidRPr="00A23740">
              <w:rPr>
                <w:b/>
                <w:bCs/>
                <w:szCs w:val="24"/>
                <w:lang w:eastAsia="x-none"/>
              </w:rPr>
              <w:t>-</w:t>
            </w:r>
            <w:r w:rsidRPr="00A23740">
              <w:rPr>
                <w:rFonts w:eastAsia="Times New Roman"/>
                <w:color w:val="000000"/>
                <w:szCs w:val="24"/>
                <w:lang w:eastAsia="tr-TR"/>
              </w:rPr>
              <w:t xml:space="preserve"> Maddeyle,</w:t>
            </w:r>
            <w:r w:rsidRPr="00A23740">
              <w:t xml:space="preserve"> t</w:t>
            </w:r>
            <w:r w:rsidRPr="00A23740">
              <w:rPr>
                <w:rFonts w:eastAsia="Times New Roman"/>
                <w:color w:val="000000"/>
                <w:szCs w:val="24"/>
                <w:lang w:eastAsia="tr-TR"/>
              </w:rPr>
              <w:t xml:space="preserve">icari ve ekonomik bütünlük arz eden </w:t>
            </w:r>
            <w:r w:rsidR="00B17E2B" w:rsidRPr="00A23740">
              <w:rPr>
                <w:rFonts w:eastAsia="Times New Roman"/>
                <w:color w:val="000000"/>
                <w:szCs w:val="24"/>
                <w:lang w:eastAsia="tr-TR"/>
              </w:rPr>
              <w:t xml:space="preserve">hacizli </w:t>
            </w:r>
            <w:r w:rsidRPr="00A23740">
              <w:rPr>
                <w:rFonts w:eastAsia="Times New Roman"/>
                <w:color w:val="000000"/>
                <w:szCs w:val="24"/>
                <w:lang w:eastAsia="tr-TR"/>
              </w:rPr>
              <w:t>mal</w:t>
            </w:r>
            <w:r w:rsidR="006547F1" w:rsidRPr="00A23740">
              <w:rPr>
                <w:rFonts w:eastAsia="Times New Roman"/>
                <w:color w:val="000000"/>
                <w:szCs w:val="24"/>
                <w:lang w:eastAsia="tr-TR"/>
              </w:rPr>
              <w:t xml:space="preserve"> ve hak</w:t>
            </w:r>
            <w:r w:rsidRPr="00A23740">
              <w:rPr>
                <w:rFonts w:eastAsia="Times New Roman"/>
                <w:color w:val="000000"/>
                <w:szCs w:val="24"/>
                <w:lang w:eastAsia="tr-TR"/>
              </w:rPr>
              <w:t>ların paraya çevrilmesine ilişkin esaslar düzenlenmektedir.</w:t>
            </w:r>
            <w:r w:rsidR="00B17E2B" w:rsidRPr="00A23740">
              <w:rPr>
                <w:rFonts w:eastAsia="Times New Roman"/>
                <w:color w:val="000000"/>
                <w:szCs w:val="24"/>
                <w:lang w:eastAsia="tr-TR"/>
              </w:rPr>
              <w:t xml:space="preserve"> Bu hüküm</w:t>
            </w:r>
            <w:r w:rsidR="00F82A6F" w:rsidRPr="00A23740">
              <w:rPr>
                <w:rFonts w:eastAsia="Times New Roman"/>
                <w:color w:val="000000"/>
                <w:szCs w:val="24"/>
                <w:lang w:eastAsia="tr-TR"/>
              </w:rPr>
              <w:t>,</w:t>
            </w:r>
            <w:r w:rsidR="00B17E2B" w:rsidRPr="00A23740">
              <w:rPr>
                <w:rFonts w:eastAsia="Times New Roman"/>
                <w:color w:val="000000"/>
                <w:szCs w:val="24"/>
                <w:lang w:eastAsia="tr-TR"/>
              </w:rPr>
              <w:t xml:space="preserve"> </w:t>
            </w:r>
            <w:r w:rsidR="00B17E2B" w:rsidRPr="00A23740">
              <w:rPr>
                <w:rFonts w:eastAsia="Times New Roman"/>
                <w:szCs w:val="24"/>
                <w:lang w:eastAsia="tr-TR"/>
              </w:rPr>
              <w:t>2004 sayılı Kanunun 128 inci maddesinin beşinci fıkrasına kısmen karşılık gelmektedir.</w:t>
            </w:r>
          </w:p>
          <w:p w:rsidR="00B45D47" w:rsidRPr="00A23740" w:rsidRDefault="00C11B2F" w:rsidP="009431FF">
            <w:pPr>
              <w:tabs>
                <w:tab w:val="left" w:pos="567"/>
              </w:tabs>
              <w:ind w:firstLine="709"/>
              <w:rPr>
                <w:rFonts w:eastAsia="Times New Roman"/>
                <w:szCs w:val="24"/>
                <w:lang w:eastAsia="tr-TR"/>
              </w:rPr>
            </w:pPr>
            <w:r w:rsidRPr="00A23740">
              <w:rPr>
                <w:rFonts w:eastAsia="Times New Roman"/>
                <w:color w:val="000000"/>
                <w:szCs w:val="24"/>
                <w:lang w:eastAsia="tr-TR"/>
              </w:rPr>
              <w:t xml:space="preserve">Birinci fıkrayla, </w:t>
            </w:r>
            <w:r w:rsidR="00B17E2B" w:rsidRPr="00A23740">
              <w:rPr>
                <w:rFonts w:eastAsia="Times New Roman"/>
                <w:color w:val="000000"/>
                <w:szCs w:val="24"/>
                <w:lang w:eastAsia="tr-TR"/>
              </w:rPr>
              <w:t>t</w:t>
            </w:r>
            <w:r w:rsidR="00B17E2B" w:rsidRPr="00A23740">
              <w:rPr>
                <w:rFonts w:eastAsia="Times New Roman"/>
                <w:szCs w:val="24"/>
                <w:lang w:eastAsia="tr-TR"/>
              </w:rPr>
              <w:t xml:space="preserve">icari ve ekonomik bütünlük arz eden </w:t>
            </w:r>
            <w:r w:rsidR="00B17E2B" w:rsidRPr="00A23740">
              <w:rPr>
                <w:rFonts w:eastAsia="Times New Roman"/>
                <w:color w:val="000000"/>
                <w:szCs w:val="24"/>
                <w:lang w:eastAsia="tr-TR"/>
              </w:rPr>
              <w:t xml:space="preserve">mal ve haklar ile bunları bünyesinde bulunduran işletmelerin satışı düzenlenmektedir. </w:t>
            </w:r>
            <w:r w:rsidR="006547F1" w:rsidRPr="00A23740">
              <w:rPr>
                <w:rFonts w:eastAsia="Times New Roman"/>
                <w:szCs w:val="24"/>
                <w:lang w:eastAsia="tr-TR"/>
              </w:rPr>
              <w:t xml:space="preserve">2004 sayılı Kanunun 241 </w:t>
            </w:r>
            <w:r w:rsidR="00F82A6F" w:rsidRPr="00A23740">
              <w:rPr>
                <w:rFonts w:eastAsia="Times New Roman"/>
                <w:szCs w:val="24"/>
                <w:lang w:eastAsia="tr-TR"/>
              </w:rPr>
              <w:t>i</w:t>
            </w:r>
            <w:r w:rsidR="006547F1" w:rsidRPr="00A23740">
              <w:rPr>
                <w:rFonts w:eastAsia="Times New Roman"/>
                <w:szCs w:val="24"/>
                <w:lang w:eastAsia="tr-TR"/>
              </w:rPr>
              <w:t>nci maddesinin üçüncü fıkrasında yer alan ve Taslağın</w:t>
            </w:r>
            <w:r w:rsidR="00F029D6" w:rsidRPr="00A23740">
              <w:rPr>
                <w:rFonts w:eastAsia="Times New Roman"/>
                <w:szCs w:val="24"/>
                <w:lang w:eastAsia="tr-TR"/>
              </w:rPr>
              <w:t xml:space="preserve"> </w:t>
            </w:r>
            <w:r w:rsidR="00F029D6" w:rsidRPr="00D60C1D">
              <w:rPr>
                <w:rStyle w:val="KonuBalChar"/>
                <w:rFonts w:eastAsia="Calibri"/>
                <w:b w:val="0"/>
                <w:color w:val="000000"/>
              </w:rPr>
              <w:t>358 inci</w:t>
            </w:r>
            <w:r w:rsidR="006547F1" w:rsidRPr="00A23740">
              <w:rPr>
                <w:rFonts w:eastAsia="Times New Roman"/>
                <w:szCs w:val="24"/>
                <w:lang w:eastAsia="tr-TR"/>
              </w:rPr>
              <w:t xml:space="preserve"> maddesinde de aynen benimsenen esaslar, haciz bakımından da kabul edimektedir. </w:t>
            </w:r>
            <w:r w:rsidR="005B58EB" w:rsidRPr="00A23740">
              <w:rPr>
                <w:rFonts w:eastAsia="Times New Roman"/>
                <w:szCs w:val="24"/>
                <w:lang w:eastAsia="tr-TR"/>
              </w:rPr>
              <w:t>2004 sayılı Kanunun 128 inci maddesinin beşinci fıkrasında yer alıp ticari ve ekonomik bütünlük arz eden ya da bir bütün hâlinde satıldığı takdirde daha yüksek gelir elde edileceği anlaşılan mal ve hakların bir bütün h</w:t>
            </w:r>
            <w:r w:rsidR="001D05C6" w:rsidRPr="00A23740">
              <w:rPr>
                <w:rFonts w:eastAsia="Times New Roman"/>
                <w:szCs w:val="24"/>
                <w:lang w:eastAsia="tr-TR"/>
              </w:rPr>
              <w:t>â</w:t>
            </w:r>
            <w:r w:rsidR="005B58EB" w:rsidRPr="00A23740">
              <w:rPr>
                <w:rFonts w:eastAsia="Times New Roman"/>
                <w:szCs w:val="24"/>
                <w:lang w:eastAsia="tr-TR"/>
              </w:rPr>
              <w:t>linde paraya çevrilmesine ilişkin olan imk</w:t>
            </w:r>
            <w:r w:rsidR="00BE53A8" w:rsidRPr="00A23740">
              <w:rPr>
                <w:rFonts w:eastAsia="Times New Roman"/>
                <w:szCs w:val="24"/>
                <w:lang w:eastAsia="tr-TR"/>
              </w:rPr>
              <w:t>â</w:t>
            </w:r>
            <w:r w:rsidR="005B58EB" w:rsidRPr="00A23740">
              <w:rPr>
                <w:rFonts w:eastAsia="Times New Roman"/>
                <w:szCs w:val="24"/>
                <w:lang w:eastAsia="tr-TR"/>
              </w:rPr>
              <w:t>nın yanı sıra bu mal ve hakları bünyesinde bulunduran işletmelerin de bir bütün olarak paraya çevrilmesinin mümkün olduğu açıkça belirtilmektedir. Bir bütün olarak yapılacak bu satışlarda</w:t>
            </w:r>
            <w:r w:rsidR="00F82A6F" w:rsidRPr="00A23740">
              <w:rPr>
                <w:rFonts w:eastAsia="Times New Roman"/>
                <w:szCs w:val="24"/>
                <w:lang w:eastAsia="tr-TR"/>
              </w:rPr>
              <w:t>,</w:t>
            </w:r>
            <w:r w:rsidR="005B58EB" w:rsidRPr="00A23740">
              <w:rPr>
                <w:rFonts w:eastAsia="Times New Roman"/>
                <w:szCs w:val="24"/>
                <w:lang w:eastAsia="tr-TR"/>
              </w:rPr>
              <w:t xml:space="preserve"> işletmenin devamlılığı ve ekonomiye olan katkısı gözetilir</w:t>
            </w:r>
            <w:r w:rsidR="00B45D47" w:rsidRPr="00A23740">
              <w:rPr>
                <w:rFonts w:eastAsia="Times New Roman"/>
                <w:szCs w:val="24"/>
                <w:lang w:eastAsia="tr-TR"/>
              </w:rPr>
              <w:t>. Yapılan</w:t>
            </w:r>
            <w:r w:rsidR="005B58EB" w:rsidRPr="00A23740">
              <w:rPr>
                <w:rFonts w:eastAsia="Times New Roman"/>
                <w:szCs w:val="24"/>
                <w:lang w:eastAsia="tr-TR"/>
              </w:rPr>
              <w:t xml:space="preserve"> bu satışla</w:t>
            </w:r>
            <w:r w:rsidR="00B45D47" w:rsidRPr="00A23740">
              <w:rPr>
                <w:rFonts w:eastAsia="Times New Roman"/>
                <w:szCs w:val="24"/>
                <w:lang w:eastAsia="tr-TR"/>
              </w:rPr>
              <w:t>,</w:t>
            </w:r>
            <w:r w:rsidR="005B58EB" w:rsidRPr="00A23740">
              <w:rPr>
                <w:rFonts w:eastAsia="Times New Roman"/>
                <w:szCs w:val="24"/>
                <w:lang w:eastAsia="tr-TR"/>
              </w:rPr>
              <w:t xml:space="preserve"> sadece müflise ait işletmelerin mülkiyetinde değişiklik olacak ve bu sayede işletmenin sürekliliği sağlanarak ekonomiye olan katkısı devam ettirilecektir. Zira, o işletmede sağlanan istihdamın ve ekonomik hayata verdiği katma değerin korunabilmesi, ancak o işletmenin devamlılığının sağlanması ile mümkün olabil</w:t>
            </w:r>
            <w:r w:rsidR="00B45D47" w:rsidRPr="00A23740">
              <w:rPr>
                <w:rFonts w:eastAsia="Times New Roman"/>
                <w:szCs w:val="24"/>
                <w:lang w:eastAsia="tr-TR"/>
              </w:rPr>
              <w:t xml:space="preserve">ir. </w:t>
            </w:r>
          </w:p>
          <w:p w:rsidR="009A2F56" w:rsidRPr="00A23740" w:rsidRDefault="00B45D47" w:rsidP="009431FF">
            <w:pPr>
              <w:ind w:firstLine="709"/>
              <w:rPr>
                <w:rFonts w:eastAsia="Times New Roman"/>
                <w:color w:val="000000"/>
                <w:szCs w:val="24"/>
                <w:lang w:eastAsia="tr-TR"/>
              </w:rPr>
            </w:pPr>
            <w:r w:rsidRPr="00A23740">
              <w:rPr>
                <w:rFonts w:eastAsia="Times New Roman"/>
                <w:szCs w:val="24"/>
                <w:lang w:eastAsia="tr-TR"/>
              </w:rPr>
              <w:t xml:space="preserve">İkinci fıkrayla, uygulama </w:t>
            </w:r>
            <w:r w:rsidR="005B58EB" w:rsidRPr="00A23740">
              <w:rPr>
                <w:rFonts w:eastAsia="Times New Roman"/>
                <w:szCs w:val="24"/>
                <w:lang w:eastAsia="tr-TR"/>
              </w:rPr>
              <w:t xml:space="preserve">kolaylığını sağlayabilmek amacıyla bu tip satışlarda ikincil düzenlemelerin de </w:t>
            </w:r>
            <w:r w:rsidR="00DC2DE3" w:rsidRPr="00A23740">
              <w:rPr>
                <w:rFonts w:eastAsia="Times New Roman"/>
                <w:szCs w:val="24"/>
                <w:lang w:eastAsia="tr-TR"/>
              </w:rPr>
              <w:t xml:space="preserve">yapılmasına ihtiyaç hasıl olabileceği </w:t>
            </w:r>
            <w:r w:rsidR="009C43B7" w:rsidRPr="00D60C1D">
              <w:rPr>
                <w:rStyle w:val="Balk1Char"/>
                <w:rFonts w:eastAsia="Calibri"/>
                <w:b w:val="0"/>
                <w:color w:val="000000"/>
              </w:rPr>
              <w:t>göz önüne</w:t>
            </w:r>
            <w:r w:rsidR="005B58EB" w:rsidRPr="00A23740">
              <w:rPr>
                <w:rFonts w:eastAsia="Times New Roman"/>
                <w:szCs w:val="24"/>
                <w:lang w:eastAsia="tr-TR"/>
              </w:rPr>
              <w:t xml:space="preserve"> </w:t>
            </w:r>
            <w:r w:rsidR="00DC2DE3" w:rsidRPr="00A23740">
              <w:rPr>
                <w:rFonts w:eastAsia="Times New Roman"/>
                <w:szCs w:val="24"/>
                <w:lang w:eastAsia="tr-TR"/>
              </w:rPr>
              <w:t>alınarak</w:t>
            </w:r>
            <w:r w:rsidR="005B58EB" w:rsidRPr="00A23740">
              <w:rPr>
                <w:rFonts w:eastAsia="Times New Roman"/>
                <w:szCs w:val="24"/>
                <w:lang w:eastAsia="tr-TR"/>
              </w:rPr>
              <w:t>, bu fıkranın uygulanmasına ilişkin usul ve esasların Adalet Bakanlığı tarafından çıkarılacak yönetmelikle düzen</w:t>
            </w:r>
            <w:r w:rsidR="00F82A6F" w:rsidRPr="00A23740">
              <w:rPr>
                <w:rFonts w:eastAsia="Times New Roman"/>
                <w:szCs w:val="24"/>
                <w:lang w:eastAsia="tr-TR"/>
              </w:rPr>
              <w:t>lenmesine ilişkin yetki hükmü belirlenmektedir.</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r w:rsidRPr="00A23740">
              <w:rPr>
                <w:rFonts w:eastAsia="Times New Roman"/>
                <w:i/>
                <w:szCs w:val="24"/>
                <w:lang w:eastAsia="tr-TR"/>
              </w:rPr>
              <w:t>Mükellefiyetler</w:t>
            </w:r>
            <w:r w:rsidRPr="00A23740">
              <w:rPr>
                <w:rStyle w:val="KIRMIZIChar"/>
                <w:rFonts w:eastAsia="Calibri"/>
              </w:rPr>
              <w:t>in</w:t>
            </w:r>
            <w:r w:rsidRPr="00A23740">
              <w:rPr>
                <w:rFonts w:eastAsia="Times New Roman"/>
                <w:i/>
                <w:szCs w:val="24"/>
                <w:lang w:eastAsia="tr-TR"/>
              </w:rPr>
              <w:t xml:space="preserve"> listesi</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b/>
                <w:strike/>
                <w:color w:val="FF0000"/>
                <w:szCs w:val="24"/>
                <w:lang w:eastAsia="tr-TR"/>
              </w:rPr>
            </w:pPr>
            <w:r w:rsidRPr="00A23740">
              <w:rPr>
                <w:rStyle w:val="KIRMIZIChar"/>
                <w:rFonts w:eastAsia="Calibri"/>
              </w:rPr>
              <w:t>Madde 128 – (1)</w:t>
            </w:r>
            <w:r w:rsidRPr="00A23740">
              <w:rPr>
                <w:rFonts w:eastAsia="Times New Roman"/>
                <w:szCs w:val="24"/>
                <w:lang w:eastAsia="tr-TR"/>
              </w:rPr>
              <w:t xml:space="preserve"> İcra </w:t>
            </w:r>
            <w:r w:rsidRPr="00A23740">
              <w:rPr>
                <w:rFonts w:eastAsia="Times New Roman"/>
                <w:b/>
                <w:strike/>
                <w:color w:val="FF0000"/>
                <w:szCs w:val="24"/>
                <w:lang w:eastAsia="tr-TR"/>
              </w:rPr>
              <w:t>memuru satışa başlamazdan evvel taşınmaz üzerindeki tapu</w:t>
            </w:r>
            <w:r w:rsidRPr="00A23740">
              <w:rPr>
                <w:rFonts w:eastAsia="Times New Roman"/>
                <w:b/>
                <w:color w:val="FF0000"/>
                <w:szCs w:val="24"/>
                <w:lang w:eastAsia="tr-TR"/>
              </w:rPr>
              <w:t xml:space="preserve"> </w:t>
            </w:r>
            <w:r w:rsidRPr="00A23740">
              <w:rPr>
                <w:rFonts w:eastAsia="Times New Roman"/>
                <w:szCs w:val="24"/>
                <w:lang w:eastAsia="tr-TR"/>
              </w:rPr>
              <w:t>sicil</w:t>
            </w:r>
            <w:r w:rsidRPr="00A23740">
              <w:rPr>
                <w:rStyle w:val="KIRMIZIChar"/>
                <w:rFonts w:eastAsia="Calibri"/>
              </w:rPr>
              <w:t>l</w:t>
            </w:r>
            <w:r w:rsidRPr="00A23740">
              <w:rPr>
                <w:rFonts w:eastAsia="Times New Roman"/>
                <w:szCs w:val="24"/>
                <w:lang w:eastAsia="tr-TR"/>
              </w:rPr>
              <w:t>in</w:t>
            </w:r>
            <w:r w:rsidRPr="00A23740">
              <w:rPr>
                <w:bCs/>
                <w:lang w:eastAsia="tr-TR"/>
              </w:rPr>
              <w:t>e</w:t>
            </w:r>
            <w:r w:rsidRPr="00A23740">
              <w:rPr>
                <w:rStyle w:val="KIRMIZIChar"/>
                <w:rFonts w:eastAsia="Calibri"/>
                <w:strike w:val="0"/>
              </w:rPr>
              <w:t xml:space="preserve"> </w:t>
            </w:r>
            <w:r w:rsidRPr="00A23740">
              <w:rPr>
                <w:rFonts w:eastAsia="Times New Roman"/>
                <w:b/>
                <w:strike/>
                <w:color w:val="FF0000"/>
                <w:szCs w:val="24"/>
                <w:lang w:eastAsia="tr-TR"/>
              </w:rPr>
              <w:t>mukayyet</w:t>
            </w:r>
            <w:r w:rsidRPr="00A23740">
              <w:rPr>
                <w:rFonts w:eastAsia="Times New Roman"/>
                <w:b/>
                <w:color w:val="FF0000"/>
                <w:szCs w:val="24"/>
                <w:lang w:eastAsia="tr-TR"/>
              </w:rPr>
              <w:t xml:space="preserve"> </w:t>
            </w:r>
            <w:r w:rsidRPr="00A23740">
              <w:rPr>
                <w:rFonts w:eastAsia="Times New Roman"/>
                <w:szCs w:val="24"/>
                <w:lang w:eastAsia="tr-TR"/>
              </w:rPr>
              <w:t xml:space="preserve">veya resmi senede </w:t>
            </w:r>
            <w:r w:rsidRPr="00A23740">
              <w:rPr>
                <w:rFonts w:eastAsia="Times New Roman"/>
                <w:b/>
                <w:strike/>
                <w:color w:val="FF0000"/>
                <w:szCs w:val="24"/>
                <w:lang w:eastAsia="tr-TR"/>
              </w:rPr>
              <w:t>müstenit</w:t>
            </w:r>
            <w:r w:rsidRPr="00A23740">
              <w:rPr>
                <w:rFonts w:eastAsia="Times New Roman"/>
                <w:b/>
                <w:color w:val="FF0000"/>
                <w:szCs w:val="24"/>
                <w:lang w:eastAsia="tr-TR"/>
              </w:rPr>
              <w:t xml:space="preserve"> </w:t>
            </w:r>
            <w:r w:rsidRPr="00A23740">
              <w:rPr>
                <w:rFonts w:eastAsia="Times New Roman"/>
                <w:szCs w:val="24"/>
                <w:lang w:eastAsia="tr-TR"/>
              </w:rPr>
              <w:t xml:space="preserve">olan mükellefiyetlerin hepsinin bir listesini yapar </w:t>
            </w:r>
            <w:r w:rsidRPr="00A23740">
              <w:rPr>
                <w:rFonts w:eastAsia="Times New Roman"/>
                <w:b/>
                <w:strike/>
                <w:color w:val="FF0000"/>
                <w:szCs w:val="24"/>
                <w:lang w:eastAsia="tr-TR"/>
              </w:rPr>
              <w:t>ve</w:t>
            </w:r>
            <w:r w:rsidRPr="00A23740">
              <w:rPr>
                <w:rFonts w:eastAsia="Times New Roman"/>
                <w:szCs w:val="24"/>
                <w:lang w:eastAsia="tr-TR"/>
              </w:rPr>
              <w:t xml:space="preserve"> bu listeyi </w:t>
            </w:r>
            <w:r w:rsidRPr="00A23740">
              <w:rPr>
                <w:rStyle w:val="KIRMIZIChar"/>
                <w:rFonts w:eastAsia="Calibri"/>
              </w:rPr>
              <w:t>haczedenlerle</w:t>
            </w:r>
            <w:r w:rsidRPr="00A23740">
              <w:rPr>
                <w:rFonts w:eastAsia="Times New Roman"/>
                <w:szCs w:val="24"/>
                <w:lang w:eastAsia="tr-TR"/>
              </w:rPr>
              <w:t xml:space="preserve"> borçluya tebliğ eder ve itirazlarını bildirmeleri için </w:t>
            </w:r>
            <w:r w:rsidRPr="00A23740">
              <w:rPr>
                <w:rStyle w:val="KIRMIZIChar"/>
                <w:rFonts w:eastAsia="Calibri"/>
              </w:rPr>
              <w:t>üç gün mühlet</w:t>
            </w:r>
            <w:r w:rsidRPr="00A23740">
              <w:rPr>
                <w:rFonts w:eastAsia="Times New Roman"/>
                <w:szCs w:val="24"/>
                <w:lang w:eastAsia="tr-TR"/>
              </w:rPr>
              <w:t xml:space="preserve"> verir. 96 ve 97 nci maddeler hükümleri burada da</w:t>
            </w:r>
            <w:r w:rsidRPr="00A23740">
              <w:rPr>
                <w:rFonts w:eastAsia="Times New Roman"/>
                <w:b/>
                <w:color w:val="FF0000"/>
                <w:szCs w:val="24"/>
                <w:lang w:eastAsia="tr-TR"/>
              </w:rPr>
              <w:t xml:space="preserve"> </w:t>
            </w:r>
            <w:r w:rsidRPr="00A23740">
              <w:rPr>
                <w:rFonts w:eastAsia="Times New Roman"/>
                <w:b/>
                <w:strike/>
                <w:color w:val="FF0000"/>
                <w:szCs w:val="24"/>
                <w:lang w:eastAsia="tr-TR"/>
              </w:rPr>
              <w:t>caridir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682D80" w:rsidRPr="00A23740" w:rsidRDefault="00682D80" w:rsidP="009431FF">
            <w:pPr>
              <w:tabs>
                <w:tab w:val="left" w:pos="567"/>
              </w:tabs>
              <w:rPr>
                <w:rFonts w:eastAsia="Times New Roman"/>
                <w:szCs w:val="24"/>
                <w:lang w:eastAsia="tr-TR"/>
              </w:rPr>
            </w:pPr>
          </w:p>
          <w:p w:rsidR="00682D80" w:rsidRPr="00A23740" w:rsidRDefault="00682D80"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(Değişik: 9/11/1988 - 3494/19 md.) İcra dairesi taşınmazın kıymetini takdir ettirir, taşınmazın kıymetinin takdirinde, taşınmaz üzerindeki mükellefiyetlerin kıymete olan etkisi de nazara alınır. (Ek cümle : 17/7/2003-4949/33 md.) Taşınmazın önceden takdir edilen kıymetini etkileyen mükellefiyetlerin ortaya çıkması hâlinde, icra dairesi satışa esas olmak üzere taşınmazın kıymetini yeniden takdir ettirir.Kıymet takdirine ilişkin rapor borçluya, haciz koydurmuş alacaklılara ve diğer ipotekli alacaklılara tebligatın yapıldığı icra dosyasındaki, ayrıca bildirilmiş bulunması hali müstesna olmak üzere, tapudaki mevcut adresleri esas alınmak sureti ile tebliğ edilir. (Mülga son cümle: 17/7/2003-4949/103 md.)</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(3) (Ek fıkra: 21/2/2007-5582/2 md.) İcra dairesi, 2499 sayılı Sermaye Piyasası Kanununun 38/A maddesinin birinci fıkrasında tanımlanan konut finansmanından kaynaklanan alacaklar ile Toplu Konut İdaresi Başkanlığının rehinle temin edilmiş alacaklarının takibinde, satışı istenen taşınmaz için kıymet takdirini, aynı Kanunun 22 nci maddesinin birinci fıkrasının (r) bendi uyarınca yetki verilmiş kişi veya kurumlara yaptırır.</w:t>
            </w:r>
            <w:r w:rsidRPr="00A23740">
              <w:rPr>
                <w:rFonts w:eastAsia="Times New Roman"/>
                <w:b/>
                <w:strike/>
                <w:color w:val="FF0000"/>
                <w:szCs w:val="24"/>
                <w:lang w:eastAsia="tr-TR"/>
              </w:rPr>
              <w:br w:type="page"/>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(4) (Ek fıkra: 17/7/2003-4949/33 md.) Satışa çıkarılan taşınmazda eklenti niteliğinde teşvikli mal varsa icra müdürlüğü bu malların kıymetini ayrıca takdir ettirir. Satıştan önce ilgili kurumlardan bu mallar üzerindeki vergi, resim, harç gibi yükümlülükler sorulur. Satış isteyen alacaklının talebi üzerine bu mallar satış dışında tutulabileceği gibi, üzerlerindeki vergi, resim, harç gibi malın aynından kaynaklanan kamu alacakları dikkate alınarak 129 uncu madde hükümlerine göre taşınmazla birlikte ihale de edilebilir.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Style w:val="KIRMIZIChar"/>
                <w:rFonts w:eastAsia="Calibri"/>
              </w:rPr>
            </w:pPr>
            <w:r w:rsidRPr="00A23740">
              <w:rPr>
                <w:rStyle w:val="KIRMIZIChar"/>
                <w:rFonts w:eastAsia="Calibri"/>
              </w:rPr>
              <w:t>(5) (Ek fıkra: 28/2/2018-7101/1 md.) Ticari ve ekonomik bütünlük arz eden ya da bir bütün hâlinde satıldığı takdirde daha yüksek gelir elde edileceği anlaşılan mal ve haklar bir bütün olarak paraya çevrilir.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Mükellefiyetler listesi</w:t>
            </w:r>
          </w:p>
          <w:p w:rsidR="005323C2"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 xml:space="preserve">MADDE </w:t>
            </w:r>
            <w:r w:rsidR="0025794C" w:rsidRPr="00A23740">
              <w:rPr>
                <w:rStyle w:val="MaviChar"/>
                <w:lang w:val="tr-TR"/>
              </w:rPr>
              <w:t>218</w:t>
            </w:r>
            <w:r w:rsidRPr="00A23740">
              <w:rPr>
                <w:rStyle w:val="MaviChar"/>
              </w:rPr>
              <w:t>-</w:t>
            </w:r>
            <w:r w:rsidRPr="00A23740">
              <w:rPr>
                <w:rFonts w:eastAsia="Times New Roman"/>
                <w:b/>
                <w:color w:val="0000FF"/>
                <w:szCs w:val="24"/>
                <w:lang w:eastAsia="tr-TR"/>
              </w:rPr>
              <w:t xml:space="preserve"> (1)</w:t>
            </w:r>
            <w:r w:rsidRPr="00A23740">
              <w:rPr>
                <w:rFonts w:eastAsia="Times New Roman"/>
                <w:szCs w:val="24"/>
                <w:lang w:eastAsia="tr-TR"/>
              </w:rPr>
              <w:t xml:space="preserve"> İcra </w:t>
            </w:r>
            <w:r w:rsidR="009C43B7" w:rsidRPr="00A23740">
              <w:rPr>
                <w:rStyle w:val="Balk1Char"/>
                <w:rFonts w:eastAsia="Calibri"/>
              </w:rPr>
              <w:t>ve iflas</w:t>
            </w:r>
            <w:r w:rsidR="009C43B7" w:rsidRPr="00A23740">
              <w:rPr>
                <w:rFonts w:eastAsia="Times New Roman"/>
                <w:szCs w:val="24"/>
                <w:lang w:eastAsia="tr-TR"/>
              </w:rPr>
              <w:t xml:space="preserve"> </w:t>
            </w:r>
            <w:r w:rsidRPr="00A23740">
              <w:rPr>
                <w:rStyle w:val="MaviChar"/>
              </w:rPr>
              <w:t>dairesi</w:t>
            </w:r>
            <w:r w:rsidR="00812A85" w:rsidRPr="00A23740">
              <w:rPr>
                <w:rStyle w:val="MaviChar"/>
                <w:lang w:val="tr-TR"/>
              </w:rPr>
              <w:t>,</w:t>
            </w:r>
            <w:r w:rsidRPr="00A23740">
              <w:rPr>
                <w:rFonts w:eastAsia="Times New Roman"/>
                <w:b/>
                <w:color w:val="0000FF"/>
                <w:szCs w:val="24"/>
                <w:lang w:eastAsia="tr-TR"/>
              </w:rPr>
              <w:t xml:space="preserve"> kıymet takdiri yapılmadan önce</w:t>
            </w:r>
            <w:r w:rsidR="009C43B7" w:rsidRPr="00A23740">
              <w:rPr>
                <w:rFonts w:eastAsia="Times New Roman"/>
                <w:b/>
                <w:color w:val="0000FF"/>
                <w:szCs w:val="24"/>
                <w:lang w:eastAsia="tr-TR"/>
              </w:rPr>
              <w:t>,</w:t>
            </w:r>
            <w:r w:rsidRPr="00A23740">
              <w:rPr>
                <w:rFonts w:eastAsia="Times New Roman"/>
                <w:b/>
                <w:color w:val="0000FF"/>
                <w:szCs w:val="24"/>
                <w:lang w:eastAsia="tr-TR"/>
              </w:rPr>
              <w:t xml:space="preserve"> haczedilen malın resm</w:t>
            </w:r>
            <w:r w:rsidR="009C43B7" w:rsidRPr="00A23740">
              <w:rPr>
                <w:rFonts w:eastAsia="Times New Roman"/>
                <w:b/>
                <w:color w:val="0000FF"/>
                <w:szCs w:val="24"/>
                <w:lang w:eastAsia="tr-TR"/>
              </w:rPr>
              <w:t>î</w:t>
            </w:r>
            <w:r w:rsidRPr="00A23740">
              <w:rPr>
                <w:rFonts w:eastAsia="Times New Roman"/>
                <w:b/>
                <w:color w:val="0000FF"/>
                <w:szCs w:val="24"/>
                <w:lang w:eastAsia="tr-TR"/>
              </w:rPr>
              <w:t xml:space="preserve"> </w:t>
            </w:r>
            <w:r w:rsidRPr="00A23740">
              <w:rPr>
                <w:rFonts w:eastAsia="Times New Roman"/>
                <w:szCs w:val="24"/>
                <w:lang w:eastAsia="tr-TR"/>
              </w:rPr>
              <w:t>sicilin</w:t>
            </w:r>
            <w:r w:rsidRPr="00A23740">
              <w:rPr>
                <w:rFonts w:eastAsia="Times New Roman"/>
                <w:b/>
                <w:color w:val="0000FF"/>
                <w:szCs w:val="24"/>
                <w:lang w:eastAsia="tr-TR"/>
              </w:rPr>
              <w:t>d</w:t>
            </w:r>
            <w:r w:rsidRPr="00A23740">
              <w:rPr>
                <w:rFonts w:eastAsia="Times New Roman"/>
                <w:szCs w:val="24"/>
                <w:lang w:eastAsia="tr-TR"/>
              </w:rPr>
              <w:t>e</w:t>
            </w:r>
            <w:r w:rsidRPr="00A23740">
              <w:rPr>
                <w:rFonts w:eastAsia="Times New Roman"/>
                <w:b/>
                <w:color w:val="0000FF"/>
                <w:szCs w:val="24"/>
                <w:lang w:eastAsia="tr-TR"/>
              </w:rPr>
              <w:t xml:space="preserve"> kayıtlı</w:t>
            </w:r>
            <w:r w:rsidRPr="00A23740">
              <w:rPr>
                <w:rFonts w:eastAsia="Times New Roman"/>
                <w:szCs w:val="24"/>
                <w:lang w:eastAsia="tr-TR"/>
              </w:rPr>
              <w:t xml:space="preserve"> veya resm</w:t>
            </w:r>
            <w:r w:rsidR="009C43B7" w:rsidRPr="00A23740">
              <w:rPr>
                <w:rFonts w:eastAsia="Times New Roman"/>
                <w:szCs w:val="24"/>
                <w:lang w:eastAsia="tr-TR"/>
              </w:rPr>
              <w:t>î</w:t>
            </w:r>
            <w:r w:rsidRPr="00A23740">
              <w:rPr>
                <w:rFonts w:eastAsia="Times New Roman"/>
                <w:szCs w:val="24"/>
                <w:lang w:eastAsia="tr-TR"/>
              </w:rPr>
              <w:t xml:space="preserve"> senede </w:t>
            </w:r>
            <w:r w:rsidRPr="00A23740">
              <w:rPr>
                <w:rFonts w:eastAsia="Times New Roman"/>
                <w:b/>
                <w:color w:val="0000FF"/>
                <w:szCs w:val="24"/>
                <w:lang w:eastAsia="tr-TR"/>
              </w:rPr>
              <w:t>dayalı</w:t>
            </w:r>
            <w:r w:rsidRPr="00A23740">
              <w:rPr>
                <w:rFonts w:eastAsia="Times New Roman"/>
                <w:szCs w:val="24"/>
                <w:lang w:eastAsia="tr-TR"/>
              </w:rPr>
              <w:t xml:space="preserve"> olan mükellefiyetlerin hepsinin bir listesini yapar</w:t>
            </w:r>
            <w:r w:rsidR="005323C2" w:rsidRPr="00A23740">
              <w:rPr>
                <w:rFonts w:eastAsia="Times New Roman"/>
                <w:szCs w:val="24"/>
                <w:lang w:eastAsia="tr-TR"/>
              </w:rPr>
              <w:t>.</w:t>
            </w:r>
          </w:p>
          <w:p w:rsidR="005323C2" w:rsidRPr="00A23740" w:rsidRDefault="005323C2" w:rsidP="009431FF">
            <w:pPr>
              <w:tabs>
                <w:tab w:val="left" w:pos="567"/>
              </w:tabs>
              <w:rPr>
                <w:rFonts w:eastAsia="Times New Roman"/>
                <w:szCs w:val="24"/>
                <w:lang w:eastAsia="tr-TR"/>
              </w:rPr>
            </w:pPr>
          </w:p>
          <w:p w:rsidR="005323C2" w:rsidRPr="00A23740" w:rsidRDefault="005323C2" w:rsidP="009431FF">
            <w:pPr>
              <w:tabs>
                <w:tab w:val="left" w:pos="567"/>
              </w:tabs>
              <w:rPr>
                <w:rFonts w:eastAsia="Times New Roman"/>
                <w:szCs w:val="24"/>
                <w:lang w:eastAsia="tr-TR"/>
              </w:rPr>
            </w:pPr>
            <w:r w:rsidRPr="00A23740">
              <w:rPr>
                <w:rFonts w:eastAsia="Times New Roman"/>
                <w:b/>
                <w:color w:val="0000FF"/>
                <w:szCs w:val="24"/>
                <w:lang w:eastAsia="tr-TR"/>
              </w:rPr>
              <w:t xml:space="preserve">(2) Mükellefiyetler listesi, </w:t>
            </w:r>
            <w:r w:rsidR="00C73A53" w:rsidRPr="00A23740">
              <w:rPr>
                <w:rFonts w:eastAsia="Times New Roman"/>
                <w:b/>
                <w:color w:val="0000FF"/>
                <w:szCs w:val="24"/>
                <w:lang w:eastAsia="tr-TR"/>
              </w:rPr>
              <w:t>haciz koyduran alacaklı ile</w:t>
            </w:r>
            <w:r w:rsidR="00AA5C8C" w:rsidRPr="00A23740">
              <w:rPr>
                <w:rFonts w:eastAsia="Times New Roman"/>
                <w:szCs w:val="24"/>
                <w:lang w:eastAsia="tr-TR"/>
              </w:rPr>
              <w:t xml:space="preserve"> borçluya tebliğ ed</w:t>
            </w:r>
            <w:r w:rsidRPr="00A23740">
              <w:rPr>
                <w:rFonts w:eastAsia="Times New Roman"/>
                <w:szCs w:val="24"/>
                <w:lang w:eastAsia="tr-TR"/>
              </w:rPr>
              <w:t>ilir</w:t>
            </w:r>
            <w:r w:rsidR="00AA5C8C" w:rsidRPr="00A23740">
              <w:rPr>
                <w:rFonts w:eastAsia="Times New Roman"/>
                <w:szCs w:val="24"/>
                <w:lang w:eastAsia="tr-TR"/>
              </w:rPr>
              <w:t xml:space="preserve"> ve itirazlarını bildirmeleri için</w:t>
            </w:r>
            <w:r w:rsidRPr="00A23740">
              <w:rPr>
                <w:rFonts w:eastAsia="Times New Roman"/>
                <w:szCs w:val="24"/>
                <w:lang w:eastAsia="tr-TR"/>
              </w:rPr>
              <w:t xml:space="preserve"> </w:t>
            </w:r>
            <w:r w:rsidRPr="00A23740">
              <w:rPr>
                <w:rFonts w:eastAsia="Times New Roman"/>
                <w:b/>
                <w:color w:val="0000FF"/>
                <w:szCs w:val="24"/>
                <w:lang w:eastAsia="tr-TR"/>
              </w:rPr>
              <w:t>kendilerine</w:t>
            </w:r>
            <w:r w:rsidR="00AA5C8C" w:rsidRPr="00A23740">
              <w:rPr>
                <w:rFonts w:eastAsia="Times New Roman"/>
                <w:szCs w:val="24"/>
                <w:lang w:eastAsia="tr-TR"/>
              </w:rPr>
              <w:t xml:space="preserve"> </w:t>
            </w:r>
            <w:r w:rsidR="00E07A1C" w:rsidRPr="00A23740">
              <w:rPr>
                <w:rStyle w:val="MaviChar"/>
              </w:rPr>
              <w:t>bir hafta</w:t>
            </w:r>
            <w:r w:rsidR="00E07A1C" w:rsidRPr="00A23740">
              <w:rPr>
                <w:rStyle w:val="MaviChar"/>
                <w:lang w:val="tr-TR"/>
              </w:rPr>
              <w:t xml:space="preserve"> süre</w:t>
            </w:r>
            <w:r w:rsidR="00AA5C8C" w:rsidRPr="00A23740">
              <w:rPr>
                <w:rFonts w:eastAsia="Times New Roman"/>
                <w:szCs w:val="24"/>
                <w:lang w:eastAsia="tr-TR"/>
              </w:rPr>
              <w:t xml:space="preserve"> veri</w:t>
            </w:r>
            <w:r w:rsidRPr="00A23740">
              <w:rPr>
                <w:rFonts w:eastAsia="Times New Roman"/>
                <w:szCs w:val="24"/>
                <w:lang w:eastAsia="tr-TR"/>
              </w:rPr>
              <w:t>lir.</w:t>
            </w:r>
          </w:p>
          <w:p w:rsidR="005323C2" w:rsidRPr="00A23740" w:rsidRDefault="005323C2" w:rsidP="009431FF">
            <w:pPr>
              <w:tabs>
                <w:tab w:val="left" w:pos="567"/>
              </w:tabs>
              <w:rPr>
                <w:rFonts w:eastAsia="Times New Roman"/>
                <w:szCs w:val="24"/>
                <w:lang w:eastAsia="tr-TR"/>
              </w:rPr>
            </w:pPr>
          </w:p>
          <w:p w:rsidR="00AA5C8C" w:rsidRPr="00A23740" w:rsidRDefault="00D74183" w:rsidP="001971CE">
            <w:pPr>
              <w:tabs>
                <w:tab w:val="left" w:pos="567"/>
              </w:tabs>
              <w:rPr>
                <w:rFonts w:eastAsia="Times New Roman"/>
                <w:b/>
                <w:color w:val="0000FF"/>
                <w:szCs w:val="24"/>
                <w:lang w:eastAsia="tr-TR"/>
              </w:rPr>
            </w:pPr>
            <w:r w:rsidRPr="00A23740">
              <w:rPr>
                <w:rFonts w:eastAsia="Times New Roman"/>
                <w:b/>
                <w:color w:val="0000FF"/>
                <w:szCs w:val="24"/>
                <w:lang w:eastAsia="tr-TR"/>
              </w:rPr>
              <w:t xml:space="preserve">(3) </w:t>
            </w:r>
            <w:r w:rsidR="009C43B7" w:rsidRPr="00A23740">
              <w:rPr>
                <w:rFonts w:eastAsia="Times New Roman"/>
                <w:b/>
                <w:color w:val="0000FF"/>
                <w:szCs w:val="24"/>
                <w:lang w:eastAsia="tr-TR"/>
              </w:rPr>
              <w:t>İ</w:t>
            </w:r>
            <w:r w:rsidRPr="00A23740">
              <w:rPr>
                <w:rFonts w:eastAsia="Times New Roman"/>
                <w:b/>
                <w:color w:val="0000FF"/>
                <w:szCs w:val="24"/>
                <w:lang w:eastAsia="tr-TR"/>
              </w:rPr>
              <w:t xml:space="preserve">tiraz hakkında, </w:t>
            </w:r>
            <w:r w:rsidR="009C43B7" w:rsidRPr="00A23740">
              <w:rPr>
                <w:rFonts w:eastAsia="Times New Roman"/>
                <w:b/>
                <w:color w:val="0000FF"/>
                <w:szCs w:val="24"/>
                <w:lang w:eastAsia="tr-TR"/>
              </w:rPr>
              <w:t xml:space="preserve">istihkak </w:t>
            </w:r>
            <w:r w:rsidR="001F1746" w:rsidRPr="00A23740">
              <w:rPr>
                <w:rFonts w:eastAsia="Times New Roman"/>
                <w:b/>
                <w:color w:val="0000FF"/>
                <w:szCs w:val="24"/>
                <w:lang w:eastAsia="tr-TR"/>
              </w:rPr>
              <w:t>davasına</w:t>
            </w:r>
            <w:r w:rsidR="009C43B7" w:rsidRPr="00A23740">
              <w:rPr>
                <w:rFonts w:eastAsia="Times New Roman"/>
                <w:b/>
                <w:color w:val="0000FF"/>
                <w:szCs w:val="24"/>
                <w:lang w:eastAsia="tr-TR"/>
              </w:rPr>
              <w:t xml:space="preserve"> </w:t>
            </w:r>
            <w:r w:rsidR="005323C2" w:rsidRPr="00A23740">
              <w:rPr>
                <w:rFonts w:eastAsia="Times New Roman"/>
                <w:b/>
                <w:color w:val="0000FF"/>
                <w:szCs w:val="24"/>
                <w:lang w:eastAsia="tr-TR"/>
              </w:rPr>
              <w:t>ilişkin</w:t>
            </w:r>
            <w:r w:rsidR="00F23DA0" w:rsidRPr="00A23740">
              <w:rPr>
                <w:rFonts w:eastAsia="Times New Roman"/>
                <w:b/>
                <w:color w:val="0000FF"/>
                <w:szCs w:val="24"/>
                <w:lang w:eastAsia="tr-TR"/>
              </w:rPr>
              <w:t xml:space="preserve"> </w:t>
            </w:r>
            <w:r w:rsidR="00F23DA0" w:rsidRPr="00BF6B46">
              <w:rPr>
                <w:rStyle w:val="Balk1Char"/>
                <w:rFonts w:eastAsia="Calibri"/>
              </w:rPr>
              <w:t>43</w:t>
            </w:r>
            <w:r w:rsidR="00F23DA0" w:rsidRPr="001971CE">
              <w:rPr>
                <w:rStyle w:val="MaviChar"/>
              </w:rPr>
              <w:t>3</w:t>
            </w:r>
            <w:r w:rsidR="00AA5C8C" w:rsidRPr="001971CE">
              <w:rPr>
                <w:rStyle w:val="MaviChar"/>
              </w:rPr>
              <w:t>,</w:t>
            </w:r>
            <w:r w:rsidR="00F23DA0" w:rsidRPr="00A23740">
              <w:rPr>
                <w:rFonts w:eastAsia="Times New Roman"/>
                <w:szCs w:val="24"/>
                <w:lang w:eastAsia="tr-TR"/>
              </w:rPr>
              <w:t xml:space="preserve"> </w:t>
            </w:r>
            <w:r w:rsidR="00F23DA0" w:rsidRPr="00BF6B46">
              <w:rPr>
                <w:rStyle w:val="Balk1Char"/>
                <w:rFonts w:eastAsia="Calibri"/>
              </w:rPr>
              <w:t xml:space="preserve">434 ve 435 </w:t>
            </w:r>
            <w:r w:rsidR="001971CE">
              <w:rPr>
                <w:rStyle w:val="Balk1Char"/>
                <w:rFonts w:eastAsia="Calibri"/>
              </w:rPr>
              <w:t>inci</w:t>
            </w:r>
            <w:r w:rsidR="00AA5C8C" w:rsidRPr="00A23740">
              <w:rPr>
                <w:rFonts w:eastAsia="Times New Roman"/>
                <w:szCs w:val="24"/>
                <w:lang w:eastAsia="tr-TR"/>
              </w:rPr>
              <w:t xml:space="preserve"> </w:t>
            </w:r>
            <w:r w:rsidR="009C43B7" w:rsidRPr="00A23740">
              <w:rPr>
                <w:rStyle w:val="Balk1Char"/>
                <w:rFonts w:eastAsia="Calibri"/>
              </w:rPr>
              <w:t>maddeleri</w:t>
            </w:r>
            <w:r w:rsidR="009C43B7" w:rsidRPr="00A23740">
              <w:rPr>
                <w:rFonts w:eastAsia="Times New Roman"/>
                <w:szCs w:val="24"/>
                <w:lang w:eastAsia="tr-TR"/>
              </w:rPr>
              <w:t xml:space="preserve"> </w:t>
            </w:r>
            <w:r w:rsidR="00AA5C8C" w:rsidRPr="00A23740">
              <w:rPr>
                <w:rFonts w:eastAsia="Times New Roman"/>
                <w:b/>
                <w:color w:val="0000FF"/>
                <w:szCs w:val="24"/>
                <w:lang w:eastAsia="tr-TR"/>
              </w:rPr>
              <w:t>uygulanır</w:t>
            </w:r>
            <w:r w:rsidR="00AA5C8C" w:rsidRPr="00A23740">
              <w:rPr>
                <w:rFonts w:eastAsia="Times New Roman"/>
                <w:szCs w:val="24"/>
                <w:lang w:eastAsia="tr-TR"/>
              </w:rPr>
              <w:t>.</w:t>
            </w: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C11B2F" w:rsidRPr="00A23740" w:rsidRDefault="00C11B2F" w:rsidP="009431FF">
            <w:pPr>
              <w:tabs>
                <w:tab w:val="left" w:pos="567"/>
              </w:tabs>
              <w:ind w:firstLine="709"/>
              <w:rPr>
                <w:rFonts w:eastAsia="Times New Roman"/>
                <w:szCs w:val="24"/>
                <w:lang w:eastAsia="tr-TR"/>
              </w:rPr>
            </w:pPr>
            <w:r w:rsidRPr="00A23740">
              <w:rPr>
                <w:b/>
                <w:bCs/>
                <w:szCs w:val="24"/>
                <w:lang w:eastAsia="x-none"/>
              </w:rPr>
              <w:t xml:space="preserve">MADDE </w:t>
            </w:r>
            <w:r w:rsidR="0025794C" w:rsidRPr="00A23740">
              <w:rPr>
                <w:b/>
                <w:bCs/>
                <w:szCs w:val="24"/>
                <w:lang w:eastAsia="x-none"/>
              </w:rPr>
              <w:t>218</w:t>
            </w:r>
            <w:r w:rsidRPr="00A23740">
              <w:rPr>
                <w:b/>
                <w:bCs/>
                <w:szCs w:val="24"/>
                <w:lang w:eastAsia="x-none"/>
              </w:rPr>
              <w:t>-</w:t>
            </w:r>
            <w:r w:rsidRPr="00A23740">
              <w:rPr>
                <w:rFonts w:eastAsia="Times New Roman"/>
                <w:color w:val="000000"/>
                <w:szCs w:val="24"/>
                <w:lang w:eastAsia="tr-TR"/>
              </w:rPr>
              <w:t xml:space="preserve"> Maddeyle,</w:t>
            </w:r>
            <w:r w:rsidRPr="00A23740">
              <w:t xml:space="preserve"> </w:t>
            </w:r>
            <w:r w:rsidR="005323C2" w:rsidRPr="00A23740">
              <w:rPr>
                <w:rFonts w:eastAsia="Times New Roman"/>
                <w:szCs w:val="24"/>
                <w:lang w:eastAsia="tr-TR"/>
              </w:rPr>
              <w:t xml:space="preserve">mükellefiyetler listesine ilişkin hususlar </w:t>
            </w:r>
            <w:r w:rsidRPr="00A23740">
              <w:rPr>
                <w:rFonts w:eastAsia="Times New Roman"/>
                <w:szCs w:val="24"/>
                <w:lang w:eastAsia="tr-TR"/>
              </w:rPr>
              <w:t xml:space="preserve">düzenlenmektedir. </w:t>
            </w:r>
            <w:r w:rsidR="005323C2" w:rsidRPr="00A23740">
              <w:rPr>
                <w:rFonts w:eastAsia="Times New Roman"/>
                <w:szCs w:val="24"/>
                <w:lang w:eastAsia="tr-TR"/>
              </w:rPr>
              <w:t xml:space="preserve">Hüküm, </w:t>
            </w:r>
            <w:r w:rsidR="00E81A10" w:rsidRPr="00A23740">
              <w:rPr>
                <w:rFonts w:eastAsia="Times New Roman"/>
                <w:szCs w:val="24"/>
                <w:lang w:eastAsia="tr-TR"/>
              </w:rPr>
              <w:t>2</w:t>
            </w:r>
            <w:r w:rsidRPr="00A23740">
              <w:rPr>
                <w:rFonts w:eastAsia="Times New Roman"/>
                <w:szCs w:val="24"/>
                <w:lang w:eastAsia="tr-TR"/>
              </w:rPr>
              <w:t>004 sayılı Kanunun 128 inci maddesinin birinci fıkrasına karşılık gelmektedir.</w:t>
            </w:r>
          </w:p>
          <w:p w:rsidR="00E65D91" w:rsidRPr="00A23740" w:rsidRDefault="00C11B2F" w:rsidP="009431FF">
            <w:pPr>
              <w:tabs>
                <w:tab w:val="left" w:pos="567"/>
              </w:tabs>
              <w:ind w:firstLine="709"/>
              <w:rPr>
                <w:rFonts w:eastAsia="Times New Roman"/>
                <w:szCs w:val="24"/>
                <w:lang w:eastAsia="tr-TR"/>
              </w:rPr>
            </w:pPr>
            <w:r w:rsidRPr="00A23740">
              <w:rPr>
                <w:rFonts w:eastAsia="Times New Roman"/>
                <w:color w:val="000000"/>
                <w:szCs w:val="24"/>
                <w:lang w:eastAsia="tr-TR"/>
              </w:rPr>
              <w:t xml:space="preserve">Birinci fıkrayla, </w:t>
            </w:r>
            <w:r w:rsidR="004E0A85" w:rsidRPr="00A23740">
              <w:rPr>
                <w:rFonts w:eastAsia="Times New Roman"/>
                <w:color w:val="000000"/>
                <w:szCs w:val="24"/>
                <w:lang w:eastAsia="tr-TR"/>
              </w:rPr>
              <w:t xml:space="preserve">icra </w:t>
            </w:r>
            <w:r w:rsidR="009C43B7" w:rsidRPr="00D60C1D">
              <w:rPr>
                <w:rStyle w:val="Balk1Char"/>
                <w:rFonts w:eastAsia="Calibri"/>
                <w:b w:val="0"/>
                <w:color w:val="000000"/>
              </w:rPr>
              <w:t>ve iflas</w:t>
            </w:r>
            <w:r w:rsidR="009C43B7" w:rsidRPr="00A23740">
              <w:rPr>
                <w:rFonts w:eastAsia="Times New Roman"/>
                <w:color w:val="000000"/>
                <w:szCs w:val="24"/>
                <w:lang w:eastAsia="tr-TR"/>
              </w:rPr>
              <w:t xml:space="preserve"> </w:t>
            </w:r>
            <w:r w:rsidR="004E0A85" w:rsidRPr="00A23740">
              <w:rPr>
                <w:rFonts w:eastAsia="Times New Roman"/>
                <w:color w:val="000000"/>
                <w:szCs w:val="24"/>
                <w:lang w:eastAsia="tr-TR"/>
              </w:rPr>
              <w:t>dairesinin</w:t>
            </w:r>
            <w:r w:rsidR="005323C2" w:rsidRPr="00A23740">
              <w:rPr>
                <w:rFonts w:eastAsia="Times New Roman"/>
                <w:color w:val="000000"/>
                <w:szCs w:val="24"/>
                <w:lang w:eastAsia="tr-TR"/>
              </w:rPr>
              <w:t>,</w:t>
            </w:r>
            <w:r w:rsidR="004E0A85" w:rsidRPr="00A23740">
              <w:rPr>
                <w:rFonts w:eastAsia="Times New Roman"/>
                <w:color w:val="000000"/>
                <w:szCs w:val="24"/>
                <w:lang w:eastAsia="tr-TR"/>
              </w:rPr>
              <w:t xml:space="preserve"> </w:t>
            </w:r>
            <w:r w:rsidR="00631BA1" w:rsidRPr="00A23740">
              <w:rPr>
                <w:rFonts w:eastAsia="Times New Roman"/>
                <w:color w:val="000000"/>
                <w:szCs w:val="24"/>
                <w:lang w:eastAsia="tr-TR"/>
              </w:rPr>
              <w:t>kıymet takdiri yapılmadan önce</w:t>
            </w:r>
            <w:r w:rsidR="009C43B7" w:rsidRPr="00A23740">
              <w:rPr>
                <w:rFonts w:eastAsia="Times New Roman"/>
                <w:color w:val="000000"/>
                <w:szCs w:val="24"/>
                <w:lang w:eastAsia="tr-TR"/>
              </w:rPr>
              <w:t>,</w:t>
            </w:r>
            <w:r w:rsidR="00631BA1" w:rsidRPr="00A23740">
              <w:rPr>
                <w:rFonts w:eastAsia="Times New Roman"/>
                <w:color w:val="000000"/>
                <w:szCs w:val="24"/>
                <w:lang w:eastAsia="tr-TR"/>
              </w:rPr>
              <w:t xml:space="preserve"> haczedilen malın resm</w:t>
            </w:r>
            <w:r w:rsidR="009C43B7" w:rsidRPr="00A23740">
              <w:rPr>
                <w:rFonts w:eastAsia="Times New Roman"/>
                <w:color w:val="000000"/>
                <w:szCs w:val="24"/>
                <w:lang w:eastAsia="tr-TR"/>
              </w:rPr>
              <w:t>î</w:t>
            </w:r>
            <w:r w:rsidR="00631BA1" w:rsidRPr="00A23740">
              <w:rPr>
                <w:rFonts w:eastAsia="Times New Roman"/>
                <w:color w:val="000000"/>
                <w:szCs w:val="24"/>
                <w:lang w:eastAsia="tr-TR"/>
              </w:rPr>
              <w:t xml:space="preserve"> sicilinde kayıtlı veya resm</w:t>
            </w:r>
            <w:r w:rsidR="009C43B7" w:rsidRPr="00A23740">
              <w:rPr>
                <w:rFonts w:eastAsia="Times New Roman"/>
                <w:color w:val="000000"/>
                <w:szCs w:val="24"/>
                <w:lang w:eastAsia="tr-TR"/>
              </w:rPr>
              <w:t>î</w:t>
            </w:r>
            <w:r w:rsidR="00631BA1" w:rsidRPr="00A23740">
              <w:rPr>
                <w:rFonts w:eastAsia="Times New Roman"/>
                <w:color w:val="000000"/>
                <w:szCs w:val="24"/>
                <w:lang w:eastAsia="tr-TR"/>
              </w:rPr>
              <w:t xml:space="preserve"> senede dayalı olan mükellefiyetlerin hepsinin bir listesini</w:t>
            </w:r>
            <w:r w:rsidR="005323C2" w:rsidRPr="00A23740">
              <w:rPr>
                <w:rFonts w:eastAsia="Times New Roman"/>
                <w:szCs w:val="24"/>
                <w:lang w:eastAsia="tr-TR"/>
              </w:rPr>
              <w:t xml:space="preserve"> </w:t>
            </w:r>
            <w:r w:rsidR="009C43B7" w:rsidRPr="00D60C1D">
              <w:rPr>
                <w:rStyle w:val="Balk1Char"/>
                <w:rFonts w:eastAsia="Calibri"/>
                <w:b w:val="0"/>
                <w:color w:val="000000"/>
              </w:rPr>
              <w:t>yapması</w:t>
            </w:r>
            <w:r w:rsidR="009C43B7" w:rsidRPr="00A23740">
              <w:rPr>
                <w:rFonts w:eastAsia="Times New Roman"/>
                <w:szCs w:val="24"/>
                <w:lang w:eastAsia="tr-TR"/>
              </w:rPr>
              <w:t xml:space="preserve"> </w:t>
            </w:r>
            <w:r w:rsidR="005323C2" w:rsidRPr="00A23740">
              <w:rPr>
                <w:rFonts w:eastAsia="Times New Roman"/>
                <w:szCs w:val="24"/>
                <w:lang w:eastAsia="tr-TR"/>
              </w:rPr>
              <w:t xml:space="preserve">düzenlenmektedir. </w:t>
            </w:r>
            <w:r w:rsidR="00E07A1C" w:rsidRPr="00A23740">
              <w:rPr>
                <w:rFonts w:eastAsia="Times New Roman"/>
                <w:color w:val="000000"/>
                <w:szCs w:val="24"/>
                <w:lang w:eastAsia="tr-TR"/>
              </w:rPr>
              <w:t>Satış</w:t>
            </w:r>
            <w:r w:rsidR="005323C2" w:rsidRPr="00A23740">
              <w:rPr>
                <w:rFonts w:eastAsia="Times New Roman"/>
                <w:color w:val="000000"/>
                <w:szCs w:val="24"/>
                <w:lang w:eastAsia="tr-TR"/>
              </w:rPr>
              <w:t>la ilgili işlemlerin</w:t>
            </w:r>
            <w:r w:rsidR="00E07A1C" w:rsidRPr="00A23740">
              <w:rPr>
                <w:rFonts w:eastAsia="Times New Roman"/>
                <w:color w:val="000000"/>
                <w:szCs w:val="24"/>
                <w:lang w:eastAsia="tr-TR"/>
              </w:rPr>
              <w:t xml:space="preserve"> önemli bir bölümünü oluşturan mükellefiyet</w:t>
            </w:r>
            <w:r w:rsidR="00E81A10" w:rsidRPr="00A23740">
              <w:rPr>
                <w:rFonts w:eastAsia="Times New Roman"/>
                <w:color w:val="000000"/>
                <w:szCs w:val="24"/>
                <w:lang w:eastAsia="tr-TR"/>
              </w:rPr>
              <w:t>ler</w:t>
            </w:r>
            <w:r w:rsidR="00E07A1C" w:rsidRPr="00A23740">
              <w:rPr>
                <w:rFonts w:eastAsia="Times New Roman"/>
                <w:color w:val="000000"/>
                <w:szCs w:val="24"/>
                <w:lang w:eastAsia="tr-TR"/>
              </w:rPr>
              <w:t xml:space="preserve"> listesi, satışa çıkarılan mal üzerinde bulunan her türlü yükleri gösteren ve icra </w:t>
            </w:r>
            <w:r w:rsidR="009C43B7" w:rsidRPr="00D60C1D">
              <w:rPr>
                <w:rStyle w:val="Balk1Char"/>
                <w:rFonts w:eastAsia="Calibri"/>
                <w:b w:val="0"/>
                <w:color w:val="000000"/>
              </w:rPr>
              <w:t>ve iflas</w:t>
            </w:r>
            <w:r w:rsidR="009C43B7" w:rsidRPr="00A23740">
              <w:rPr>
                <w:rFonts w:eastAsia="Times New Roman"/>
                <w:color w:val="000000"/>
                <w:szCs w:val="24"/>
                <w:lang w:eastAsia="tr-TR"/>
              </w:rPr>
              <w:t xml:space="preserve"> </w:t>
            </w:r>
            <w:r w:rsidR="00E07A1C" w:rsidRPr="00A23740">
              <w:rPr>
                <w:rFonts w:eastAsia="Times New Roman"/>
                <w:color w:val="000000"/>
                <w:szCs w:val="24"/>
                <w:lang w:eastAsia="tr-TR"/>
              </w:rPr>
              <w:t xml:space="preserve">dairesi tarafından düzenlenen bir listedir. </w:t>
            </w:r>
            <w:r w:rsidR="00C73A53" w:rsidRPr="00A23740">
              <w:rPr>
                <w:rFonts w:eastAsia="Times New Roman"/>
                <w:szCs w:val="24"/>
                <w:lang w:eastAsia="tr-TR"/>
              </w:rPr>
              <w:t>L</w:t>
            </w:r>
            <w:r w:rsidR="00D92F3D" w:rsidRPr="00A23740">
              <w:rPr>
                <w:rFonts w:eastAsia="Times New Roman"/>
                <w:szCs w:val="24"/>
                <w:lang w:eastAsia="tr-TR"/>
              </w:rPr>
              <w:t>istede;</w:t>
            </w:r>
            <w:r w:rsidR="00C73A53" w:rsidRPr="00A23740">
              <w:rPr>
                <w:rFonts w:eastAsia="Times New Roman"/>
                <w:szCs w:val="24"/>
                <w:lang w:eastAsia="tr-TR"/>
              </w:rPr>
              <w:t xml:space="preserve"> ipotek, ipotekli borç senedi, irad senedi, her türlü irtifak hakkı, tapu siciline tescil edilmiş kişisel haklar gibi </w:t>
            </w:r>
            <w:r w:rsidR="00E81A10" w:rsidRPr="00A23740">
              <w:rPr>
                <w:rFonts w:eastAsia="Times New Roman"/>
                <w:szCs w:val="24"/>
                <w:lang w:eastAsia="tr-TR"/>
              </w:rPr>
              <w:t>hususlar</w:t>
            </w:r>
            <w:r w:rsidR="00C73A53" w:rsidRPr="00A23740">
              <w:rPr>
                <w:rFonts w:eastAsia="Times New Roman"/>
                <w:szCs w:val="24"/>
                <w:lang w:eastAsia="tr-TR"/>
              </w:rPr>
              <w:t xml:space="preserve"> </w:t>
            </w:r>
            <w:r w:rsidR="00D92F3D" w:rsidRPr="00A23740">
              <w:rPr>
                <w:rFonts w:eastAsia="Times New Roman"/>
                <w:szCs w:val="24"/>
                <w:lang w:eastAsia="tr-TR"/>
              </w:rPr>
              <w:t>gösterilir</w:t>
            </w:r>
            <w:r w:rsidR="00C73A53" w:rsidRPr="00A23740">
              <w:rPr>
                <w:rFonts w:eastAsia="Times New Roman"/>
                <w:szCs w:val="24"/>
                <w:lang w:eastAsia="tr-TR"/>
              </w:rPr>
              <w:t xml:space="preserve">. </w:t>
            </w:r>
            <w:r w:rsidR="00E07A1C" w:rsidRPr="00A23740">
              <w:rPr>
                <w:rFonts w:eastAsia="Times New Roman"/>
                <w:szCs w:val="24"/>
                <w:lang w:eastAsia="tr-TR"/>
              </w:rPr>
              <w:t>Bu liste</w:t>
            </w:r>
            <w:r w:rsidR="005323C2" w:rsidRPr="00A23740">
              <w:rPr>
                <w:rFonts w:eastAsia="Times New Roman"/>
                <w:szCs w:val="24"/>
                <w:lang w:eastAsia="tr-TR"/>
              </w:rPr>
              <w:t>nin</w:t>
            </w:r>
            <w:r w:rsidR="009C43B7" w:rsidRPr="00A23740">
              <w:rPr>
                <w:rFonts w:eastAsia="Times New Roman"/>
                <w:szCs w:val="24"/>
                <w:lang w:eastAsia="tr-TR"/>
              </w:rPr>
              <w:t xml:space="preserve"> şartnamede yer alması ve şart</w:t>
            </w:r>
            <w:r w:rsidR="00631BA1" w:rsidRPr="00A23740">
              <w:rPr>
                <w:rFonts w:eastAsia="Times New Roman"/>
                <w:szCs w:val="24"/>
                <w:lang w:eastAsia="tr-TR"/>
              </w:rPr>
              <w:t>n</w:t>
            </w:r>
            <w:r w:rsidR="009C43B7" w:rsidRPr="00A23740">
              <w:rPr>
                <w:rFonts w:eastAsia="Times New Roman"/>
                <w:szCs w:val="24"/>
                <w:lang w:eastAsia="tr-TR"/>
              </w:rPr>
              <w:t>a</w:t>
            </w:r>
            <w:r w:rsidR="00631BA1" w:rsidRPr="00A23740">
              <w:rPr>
                <w:rFonts w:eastAsia="Times New Roman"/>
                <w:szCs w:val="24"/>
                <w:lang w:eastAsia="tr-TR"/>
              </w:rPr>
              <w:t>menin de elektronik satış portalında ilan edilmesi gerektiği için artırmaya başla</w:t>
            </w:r>
            <w:r w:rsidR="001F1746" w:rsidRPr="00D60C1D">
              <w:rPr>
                <w:rStyle w:val="Balk1Char"/>
                <w:rFonts w:eastAsia="Calibri"/>
                <w:b w:val="0"/>
                <w:color w:val="000000"/>
              </w:rPr>
              <w:t>n</w:t>
            </w:r>
            <w:r w:rsidR="00631BA1" w:rsidRPr="00A23740">
              <w:rPr>
                <w:rFonts w:eastAsia="Times New Roman"/>
                <w:szCs w:val="24"/>
                <w:lang w:eastAsia="tr-TR"/>
              </w:rPr>
              <w:t>m</w:t>
            </w:r>
            <w:r w:rsidR="00BE6C15" w:rsidRPr="00A23740">
              <w:rPr>
                <w:rFonts w:eastAsia="Times New Roman"/>
                <w:szCs w:val="24"/>
                <w:lang w:eastAsia="tr-TR"/>
              </w:rPr>
              <w:t>a</w:t>
            </w:r>
            <w:r w:rsidR="00631BA1" w:rsidRPr="00A23740">
              <w:rPr>
                <w:rFonts w:eastAsia="Times New Roman"/>
                <w:szCs w:val="24"/>
                <w:lang w:eastAsia="tr-TR"/>
              </w:rPr>
              <w:t>dan önce düzenlenmesi</w:t>
            </w:r>
            <w:r w:rsidR="00D92F3D" w:rsidRPr="00A23740">
              <w:rPr>
                <w:rFonts w:eastAsia="Times New Roman"/>
                <w:szCs w:val="24"/>
                <w:lang w:eastAsia="tr-TR"/>
              </w:rPr>
              <w:t xml:space="preserve"> ve kesinleşmesi</w:t>
            </w:r>
            <w:r w:rsidR="00631BA1" w:rsidRPr="00A23740">
              <w:rPr>
                <w:rFonts w:eastAsia="Times New Roman"/>
                <w:szCs w:val="24"/>
                <w:lang w:eastAsia="tr-TR"/>
              </w:rPr>
              <w:t xml:space="preserve"> gerek</w:t>
            </w:r>
            <w:r w:rsidR="00D92F3D" w:rsidRPr="00A23740">
              <w:rPr>
                <w:rFonts w:eastAsia="Times New Roman"/>
                <w:szCs w:val="24"/>
                <w:lang w:eastAsia="tr-TR"/>
              </w:rPr>
              <w:t>mekted</w:t>
            </w:r>
            <w:r w:rsidR="00631BA1" w:rsidRPr="00A23740">
              <w:rPr>
                <w:rFonts w:eastAsia="Times New Roman"/>
                <w:szCs w:val="24"/>
                <w:lang w:eastAsia="tr-TR"/>
              </w:rPr>
              <w:t>i</w:t>
            </w:r>
            <w:r w:rsidR="00E81A10" w:rsidRPr="00A23740">
              <w:rPr>
                <w:rFonts w:eastAsia="Times New Roman"/>
                <w:szCs w:val="24"/>
                <w:lang w:eastAsia="tr-TR"/>
              </w:rPr>
              <w:t>r.</w:t>
            </w:r>
          </w:p>
          <w:p w:rsidR="00D74183" w:rsidRPr="00A23740" w:rsidRDefault="00E65D91" w:rsidP="009431FF">
            <w:pPr>
              <w:tabs>
                <w:tab w:val="left" w:pos="567"/>
              </w:tabs>
              <w:ind w:firstLine="709"/>
              <w:rPr>
                <w:rFonts w:eastAsia="Times New Roman"/>
                <w:szCs w:val="24"/>
                <w:lang w:eastAsia="tr-TR"/>
              </w:rPr>
            </w:pPr>
            <w:r w:rsidRPr="00A23740">
              <w:rPr>
                <w:rFonts w:eastAsia="Times New Roman"/>
                <w:szCs w:val="24"/>
                <w:lang w:eastAsia="tr-TR"/>
              </w:rPr>
              <w:t>İkinci fıkrayla, mükellefiyetler</w:t>
            </w:r>
            <w:r w:rsidR="00D21161" w:rsidRPr="00A23740">
              <w:rPr>
                <w:rFonts w:eastAsia="Times New Roman"/>
                <w:szCs w:val="24"/>
                <w:lang w:eastAsia="tr-TR"/>
              </w:rPr>
              <w:t xml:space="preserve"> listesine yazılan hakkın varlığı, sırası, vâdesi veya miktarı hakkında uyuşmazlık bulunup bulunmadığının tespiti için </w:t>
            </w:r>
            <w:r w:rsidR="0071005E" w:rsidRPr="00A23740">
              <w:rPr>
                <w:rFonts w:eastAsia="Times New Roman"/>
                <w:szCs w:val="24"/>
                <w:lang w:eastAsia="tr-TR"/>
              </w:rPr>
              <w:t xml:space="preserve">listenin </w:t>
            </w:r>
            <w:r w:rsidRPr="00A23740">
              <w:rPr>
                <w:rFonts w:eastAsia="Times New Roman"/>
                <w:szCs w:val="24"/>
                <w:lang w:eastAsia="tr-TR"/>
              </w:rPr>
              <w:t>haciz koyduran alacaklı</w:t>
            </w:r>
            <w:r w:rsidR="0071005E" w:rsidRPr="00A23740">
              <w:rPr>
                <w:rFonts w:eastAsia="Times New Roman"/>
                <w:szCs w:val="24"/>
                <w:lang w:eastAsia="tr-TR"/>
              </w:rPr>
              <w:t xml:space="preserve">ya ve </w:t>
            </w:r>
            <w:r w:rsidRPr="00A23740">
              <w:rPr>
                <w:rFonts w:eastAsia="Times New Roman"/>
                <w:szCs w:val="24"/>
                <w:lang w:eastAsia="tr-TR"/>
              </w:rPr>
              <w:t xml:space="preserve">borçluya tebliğ edilmesi ve itirazlarını bildirmeleri için kendilerine bir hafta süre verilmesi gerektiği </w:t>
            </w:r>
            <w:r w:rsidR="001F1746" w:rsidRPr="00D60C1D">
              <w:rPr>
                <w:rStyle w:val="Balk1Char"/>
                <w:rFonts w:eastAsia="Calibri"/>
                <w:b w:val="0"/>
                <w:color w:val="000000"/>
              </w:rPr>
              <w:t>hususu</w:t>
            </w:r>
            <w:r w:rsidR="001F1746" w:rsidRPr="00A23740">
              <w:rPr>
                <w:rFonts w:eastAsia="Times New Roman"/>
                <w:szCs w:val="24"/>
                <w:lang w:eastAsia="tr-TR"/>
              </w:rPr>
              <w:t xml:space="preserve"> </w:t>
            </w:r>
            <w:r w:rsidRPr="00A23740">
              <w:rPr>
                <w:rFonts w:eastAsia="Times New Roman"/>
                <w:szCs w:val="24"/>
                <w:lang w:eastAsia="tr-TR"/>
              </w:rPr>
              <w:t>düzenlenmektedir. 2004 sayılı Kanundan farklı olarak</w:t>
            </w:r>
            <w:r w:rsidR="001F1746" w:rsidRPr="00D60C1D">
              <w:rPr>
                <w:rStyle w:val="Balk1Char"/>
                <w:rFonts w:eastAsia="Calibri"/>
                <w:b w:val="0"/>
                <w:color w:val="000000"/>
              </w:rPr>
              <w:t>,</w:t>
            </w:r>
            <w:r w:rsidRPr="00A23740">
              <w:rPr>
                <w:rFonts w:eastAsia="Times New Roman"/>
                <w:szCs w:val="24"/>
                <w:lang w:eastAsia="tr-TR"/>
              </w:rPr>
              <w:t xml:space="preserve"> yeknasalığın sağlanması amacıyla </w:t>
            </w:r>
            <w:r w:rsidR="00D92F3D" w:rsidRPr="00A23740">
              <w:rPr>
                <w:rFonts w:eastAsia="Times New Roman"/>
                <w:szCs w:val="24"/>
                <w:lang w:eastAsia="tr-TR"/>
              </w:rPr>
              <w:t xml:space="preserve">üç günlük itiraz </w:t>
            </w:r>
            <w:r w:rsidRPr="00A23740">
              <w:rPr>
                <w:rFonts w:eastAsia="Times New Roman"/>
                <w:szCs w:val="24"/>
                <w:lang w:eastAsia="tr-TR"/>
              </w:rPr>
              <w:t>süre</w:t>
            </w:r>
            <w:r w:rsidR="00D92F3D" w:rsidRPr="00A23740">
              <w:rPr>
                <w:rFonts w:eastAsia="Times New Roman"/>
                <w:szCs w:val="24"/>
                <w:lang w:eastAsia="tr-TR"/>
              </w:rPr>
              <w:t>si</w:t>
            </w:r>
            <w:r w:rsidRPr="00A23740">
              <w:rPr>
                <w:rFonts w:eastAsia="Times New Roman"/>
                <w:szCs w:val="24"/>
                <w:lang w:eastAsia="tr-TR"/>
              </w:rPr>
              <w:t xml:space="preserve"> bir hafta olarak belirlenmektedir. </w:t>
            </w:r>
            <w:r w:rsidR="00C73A53" w:rsidRPr="00A23740">
              <w:rPr>
                <w:rFonts w:eastAsia="Times New Roman"/>
                <w:szCs w:val="24"/>
                <w:lang w:eastAsia="tr-TR"/>
              </w:rPr>
              <w:t>Tebliğ üzerine</w:t>
            </w:r>
            <w:r w:rsidR="001F1746" w:rsidRPr="00D60C1D">
              <w:rPr>
                <w:rStyle w:val="Balk1Char"/>
                <w:rFonts w:eastAsia="Calibri"/>
                <w:b w:val="0"/>
                <w:color w:val="000000"/>
              </w:rPr>
              <w:t>,</w:t>
            </w:r>
            <w:r w:rsidR="00C73A53" w:rsidRPr="00A23740">
              <w:rPr>
                <w:rFonts w:eastAsia="Times New Roman"/>
                <w:szCs w:val="24"/>
                <w:lang w:eastAsia="tr-TR"/>
              </w:rPr>
              <w:t xml:space="preserve"> bu kişiler</w:t>
            </w:r>
            <w:r w:rsidR="00C5236C" w:rsidRPr="00A23740">
              <w:rPr>
                <w:rFonts w:eastAsia="Times New Roman"/>
                <w:szCs w:val="24"/>
                <w:lang w:eastAsia="tr-TR"/>
              </w:rPr>
              <w:t xml:space="preserve"> </w:t>
            </w:r>
            <w:r w:rsidR="00C73A53" w:rsidRPr="00A23740">
              <w:rPr>
                <w:rFonts w:eastAsia="Times New Roman"/>
                <w:szCs w:val="24"/>
                <w:lang w:eastAsia="tr-TR"/>
              </w:rPr>
              <w:t>liste</w:t>
            </w:r>
            <w:r w:rsidRPr="00A23740">
              <w:rPr>
                <w:rFonts w:eastAsia="Times New Roman"/>
                <w:szCs w:val="24"/>
                <w:lang w:eastAsia="tr-TR"/>
              </w:rPr>
              <w:t>ye</w:t>
            </w:r>
            <w:r w:rsidR="00C73A53" w:rsidRPr="00A23740">
              <w:rPr>
                <w:rFonts w:eastAsia="Times New Roman"/>
                <w:szCs w:val="24"/>
                <w:lang w:eastAsia="tr-TR"/>
              </w:rPr>
              <w:t> itiraz etmezlerse</w:t>
            </w:r>
            <w:r w:rsidR="00D21161" w:rsidRPr="00A23740">
              <w:rPr>
                <w:rFonts w:eastAsia="Times New Roman"/>
                <w:szCs w:val="24"/>
                <w:lang w:eastAsia="tr-TR"/>
              </w:rPr>
              <w:t xml:space="preserve"> </w:t>
            </w:r>
            <w:r w:rsidRPr="00A23740">
              <w:rPr>
                <w:rFonts w:eastAsia="Times New Roman"/>
                <w:szCs w:val="24"/>
                <w:lang w:eastAsia="tr-TR"/>
              </w:rPr>
              <w:t>liste</w:t>
            </w:r>
            <w:r w:rsidR="00C5236C" w:rsidRPr="00A23740">
              <w:rPr>
                <w:rFonts w:eastAsia="Times New Roman"/>
                <w:szCs w:val="24"/>
                <w:lang w:eastAsia="tr-TR"/>
              </w:rPr>
              <w:t xml:space="preserve"> kesinleşir ve mal</w:t>
            </w:r>
            <w:r w:rsidR="00C73A53" w:rsidRPr="00A23740">
              <w:rPr>
                <w:rFonts w:eastAsia="Times New Roman"/>
                <w:szCs w:val="24"/>
                <w:lang w:eastAsia="tr-TR"/>
              </w:rPr>
              <w:t xml:space="preserve"> bu listede yer alan </w:t>
            </w:r>
            <w:r w:rsidRPr="00A23740">
              <w:rPr>
                <w:rFonts w:eastAsia="Times New Roman"/>
                <w:szCs w:val="24"/>
                <w:lang w:eastAsia="tr-TR"/>
              </w:rPr>
              <w:t xml:space="preserve">mükellefiyetlerle </w:t>
            </w:r>
            <w:r w:rsidR="00C73A53" w:rsidRPr="00A23740">
              <w:rPr>
                <w:rFonts w:eastAsia="Times New Roman"/>
                <w:szCs w:val="24"/>
                <w:lang w:eastAsia="tr-TR"/>
              </w:rPr>
              <w:t>birlikte satışa çıkarılır.</w:t>
            </w:r>
          </w:p>
          <w:p w:rsidR="00D74183" w:rsidRPr="00A23740" w:rsidRDefault="00D21161" w:rsidP="009431FF">
            <w:pPr>
              <w:tabs>
                <w:tab w:val="left" w:pos="567"/>
              </w:tabs>
              <w:ind w:firstLine="709"/>
              <w:rPr>
                <w:rFonts w:eastAsia="Times New Roman"/>
                <w:szCs w:val="24"/>
                <w:lang w:eastAsia="tr-TR"/>
              </w:rPr>
            </w:pPr>
            <w:r w:rsidRPr="00A23740">
              <w:rPr>
                <w:rFonts w:eastAsia="Times New Roman"/>
                <w:szCs w:val="24"/>
                <w:lang w:eastAsia="tr-TR"/>
              </w:rPr>
              <w:t>Üçüncü fıkra</w:t>
            </w:r>
            <w:r w:rsidR="006845C8" w:rsidRPr="00A23740">
              <w:rPr>
                <w:rFonts w:eastAsia="Times New Roman"/>
                <w:szCs w:val="24"/>
                <w:lang w:eastAsia="tr-TR"/>
              </w:rPr>
              <w:t>da</w:t>
            </w:r>
            <w:r w:rsidRPr="00A23740">
              <w:rPr>
                <w:rFonts w:eastAsia="Times New Roman"/>
                <w:szCs w:val="24"/>
                <w:lang w:eastAsia="tr-TR"/>
              </w:rPr>
              <w:t xml:space="preserve">, </w:t>
            </w:r>
            <w:r w:rsidR="00D74183" w:rsidRPr="00A23740">
              <w:rPr>
                <w:rFonts w:eastAsia="Times New Roman"/>
                <w:szCs w:val="24"/>
                <w:lang w:eastAsia="tr-TR"/>
              </w:rPr>
              <w:t xml:space="preserve">itiraz hakkında </w:t>
            </w:r>
            <w:r w:rsidR="001F1746" w:rsidRPr="00D60C1D">
              <w:rPr>
                <w:rStyle w:val="Balk1Char"/>
                <w:rFonts w:eastAsia="Calibri"/>
                <w:b w:val="0"/>
                <w:color w:val="000000"/>
              </w:rPr>
              <w:t>istihkak davasına</w:t>
            </w:r>
            <w:r w:rsidR="001F1746" w:rsidRPr="00A23740">
              <w:rPr>
                <w:rFonts w:eastAsia="Times New Roman"/>
                <w:szCs w:val="24"/>
                <w:lang w:eastAsia="tr-TR"/>
              </w:rPr>
              <w:t xml:space="preserve"> </w:t>
            </w:r>
            <w:r w:rsidR="00D74183" w:rsidRPr="00A23740">
              <w:rPr>
                <w:rFonts w:eastAsia="Times New Roman"/>
                <w:szCs w:val="24"/>
                <w:lang w:eastAsia="tr-TR"/>
              </w:rPr>
              <w:t xml:space="preserve">ilişkin hükümlerin </w:t>
            </w:r>
            <w:r w:rsidR="006845C8" w:rsidRPr="00A23740">
              <w:rPr>
                <w:rFonts w:eastAsia="Times New Roman"/>
                <w:szCs w:val="24"/>
                <w:lang w:eastAsia="tr-TR"/>
              </w:rPr>
              <w:t xml:space="preserve">uygulanması </w:t>
            </w:r>
            <w:r w:rsidR="00D74183" w:rsidRPr="00A23740">
              <w:rPr>
                <w:rFonts w:eastAsia="Times New Roman"/>
                <w:szCs w:val="24"/>
                <w:lang w:eastAsia="tr-TR"/>
              </w:rPr>
              <w:t xml:space="preserve">düzenlenmektedir. Hükümle, </w:t>
            </w:r>
            <w:r w:rsidRPr="00A23740">
              <w:rPr>
                <w:rFonts w:eastAsia="Times New Roman"/>
                <w:szCs w:val="24"/>
                <w:lang w:eastAsia="tr-TR"/>
              </w:rPr>
              <w:t>listeye </w:t>
            </w:r>
            <w:r w:rsidRPr="00A23740">
              <w:rPr>
                <w:rFonts w:eastAsia="Times New Roman"/>
                <w:iCs/>
                <w:szCs w:val="24"/>
                <w:lang w:eastAsia="tr-TR"/>
              </w:rPr>
              <w:t xml:space="preserve">itiraz </w:t>
            </w:r>
            <w:r w:rsidR="00D74183" w:rsidRPr="00A23740">
              <w:rPr>
                <w:rFonts w:eastAsia="Times New Roman"/>
                <w:iCs/>
                <w:szCs w:val="24"/>
                <w:lang w:eastAsia="tr-TR"/>
              </w:rPr>
              <w:t>h</w:t>
            </w:r>
            <w:r w:rsidR="009C43B7" w:rsidRPr="00A23740">
              <w:rPr>
                <w:rFonts w:eastAsia="Times New Roman"/>
                <w:iCs/>
                <w:szCs w:val="24"/>
                <w:lang w:eastAsia="tr-TR"/>
              </w:rPr>
              <w:t>â</w:t>
            </w:r>
            <w:r w:rsidR="00D74183" w:rsidRPr="00A23740">
              <w:rPr>
                <w:rFonts w:eastAsia="Times New Roman"/>
                <w:iCs/>
                <w:szCs w:val="24"/>
                <w:lang w:eastAsia="tr-TR"/>
              </w:rPr>
              <w:t>linde</w:t>
            </w:r>
            <w:r w:rsidRPr="00A23740">
              <w:rPr>
                <w:rFonts w:eastAsia="Times New Roman"/>
                <w:iCs/>
                <w:szCs w:val="24"/>
                <w:lang w:eastAsia="tr-TR"/>
              </w:rPr>
              <w:t xml:space="preserve"> malın borçlu</w:t>
            </w:r>
            <w:r w:rsidR="00D74183" w:rsidRPr="00A23740">
              <w:rPr>
                <w:rFonts w:eastAsia="Times New Roman"/>
                <w:iCs/>
                <w:szCs w:val="24"/>
                <w:lang w:eastAsia="tr-TR"/>
              </w:rPr>
              <w:t>nun</w:t>
            </w:r>
            <w:r w:rsidRPr="00A23740">
              <w:rPr>
                <w:rFonts w:eastAsia="Times New Roman"/>
                <w:iCs/>
                <w:szCs w:val="24"/>
                <w:lang w:eastAsia="tr-TR"/>
              </w:rPr>
              <w:t xml:space="preserve"> elinde bulunduğu </w:t>
            </w:r>
            <w:r w:rsidRPr="00A23740">
              <w:rPr>
                <w:rFonts w:eastAsia="Times New Roman"/>
                <w:szCs w:val="24"/>
                <w:lang w:eastAsia="tr-TR"/>
              </w:rPr>
              <w:t>kabul edilmekte ve uyuşmazlığın Taslağın</w:t>
            </w:r>
            <w:r w:rsidR="00D74183" w:rsidRPr="00A23740">
              <w:rPr>
                <w:rFonts w:eastAsia="Times New Roman"/>
                <w:szCs w:val="24"/>
                <w:lang w:eastAsia="tr-TR"/>
              </w:rPr>
              <w:t xml:space="preserve"> </w:t>
            </w:r>
            <w:r w:rsidR="001F1746" w:rsidRPr="00D60C1D">
              <w:rPr>
                <w:rStyle w:val="Balk1Char"/>
                <w:rFonts w:eastAsia="Calibri"/>
                <w:b w:val="0"/>
                <w:color w:val="000000"/>
              </w:rPr>
              <w:t>istihkak davasına</w:t>
            </w:r>
            <w:r w:rsidR="001F1746" w:rsidRPr="00A23740">
              <w:rPr>
                <w:rFonts w:eastAsia="Times New Roman"/>
                <w:szCs w:val="24"/>
                <w:lang w:eastAsia="tr-TR"/>
              </w:rPr>
              <w:t xml:space="preserve"> </w:t>
            </w:r>
            <w:r w:rsidR="00D74183" w:rsidRPr="00A23740">
              <w:rPr>
                <w:rFonts w:eastAsia="Times New Roman"/>
                <w:szCs w:val="24"/>
                <w:lang w:eastAsia="tr-TR"/>
              </w:rPr>
              <w:t>ilişkin</w:t>
            </w:r>
            <w:r w:rsidRPr="00A23740">
              <w:rPr>
                <w:rFonts w:eastAsia="Times New Roman"/>
                <w:szCs w:val="24"/>
                <w:lang w:eastAsia="tr-TR"/>
              </w:rPr>
              <w:t xml:space="preserve"> </w:t>
            </w:r>
            <w:r w:rsidR="002700A0" w:rsidRPr="00D60C1D">
              <w:rPr>
                <w:rStyle w:val="KonuBalChar"/>
                <w:rFonts w:eastAsia="Calibri"/>
                <w:b w:val="0"/>
                <w:color w:val="000000"/>
              </w:rPr>
              <w:t>433</w:t>
            </w:r>
            <w:r w:rsidR="002700A0" w:rsidRPr="00A23740">
              <w:rPr>
                <w:rFonts w:eastAsia="Times New Roman"/>
                <w:szCs w:val="24"/>
                <w:lang w:eastAsia="tr-TR"/>
              </w:rPr>
              <w:t xml:space="preserve">, </w:t>
            </w:r>
            <w:r w:rsidR="002700A0" w:rsidRPr="00D60C1D">
              <w:rPr>
                <w:rStyle w:val="KonuBalChar"/>
                <w:rFonts w:eastAsia="Calibri"/>
                <w:b w:val="0"/>
                <w:color w:val="000000"/>
              </w:rPr>
              <w:t xml:space="preserve">434 ve 435 </w:t>
            </w:r>
            <w:r w:rsidR="001971CE">
              <w:rPr>
                <w:rStyle w:val="KonuBalChar"/>
                <w:rFonts w:eastAsia="Calibri"/>
                <w:b w:val="0"/>
                <w:color w:val="000000"/>
                <w:lang w:val="tr-TR"/>
              </w:rPr>
              <w:t>inci</w:t>
            </w:r>
            <w:r w:rsidR="002700A0" w:rsidRPr="00A23740">
              <w:rPr>
                <w:rFonts w:eastAsia="Times New Roman"/>
                <w:szCs w:val="24"/>
                <w:lang w:eastAsia="tr-TR"/>
              </w:rPr>
              <w:t xml:space="preserve"> </w:t>
            </w:r>
            <w:r w:rsidR="001F1746" w:rsidRPr="00D60C1D">
              <w:rPr>
                <w:rStyle w:val="Balk1Char"/>
                <w:rFonts w:eastAsia="Calibri"/>
                <w:b w:val="0"/>
                <w:color w:val="000000"/>
              </w:rPr>
              <w:t>maddelerinin</w:t>
            </w:r>
            <w:r w:rsidR="001F1746" w:rsidRPr="00A23740">
              <w:rPr>
                <w:rFonts w:eastAsia="Times New Roman"/>
                <w:szCs w:val="24"/>
                <w:lang w:eastAsia="tr-TR"/>
              </w:rPr>
              <w:t xml:space="preserve"> </w:t>
            </w:r>
            <w:r w:rsidRPr="00A23740">
              <w:rPr>
                <w:rFonts w:eastAsia="Times New Roman"/>
                <w:szCs w:val="24"/>
                <w:lang w:eastAsia="tr-TR"/>
              </w:rPr>
              <w:t>uygulanması suretiyle çözüme kavuşturulması öngörülmektedir.</w:t>
            </w:r>
            <w:r w:rsidR="00D74183" w:rsidRPr="00A23740">
              <w:rPr>
                <w:rFonts w:eastAsia="Times New Roman"/>
                <w:szCs w:val="24"/>
                <w:lang w:eastAsia="tr-TR"/>
              </w:rPr>
              <w:t xml:space="preserve"> </w:t>
            </w:r>
            <w:r w:rsidR="00D92F3D" w:rsidRPr="00A23740">
              <w:rPr>
                <w:rFonts w:eastAsia="Times New Roman"/>
                <w:szCs w:val="24"/>
                <w:lang w:eastAsia="tr-TR"/>
              </w:rPr>
              <w:t>L</w:t>
            </w:r>
            <w:r w:rsidR="00E81A10" w:rsidRPr="00A23740">
              <w:rPr>
                <w:rFonts w:eastAsia="Times New Roman"/>
                <w:szCs w:val="24"/>
                <w:lang w:eastAsia="tr-TR"/>
              </w:rPr>
              <w:t>iste</w:t>
            </w:r>
            <w:r w:rsidR="001F1746" w:rsidRPr="00A23740">
              <w:rPr>
                <w:rFonts w:eastAsia="Times New Roman"/>
                <w:szCs w:val="24"/>
                <w:lang w:eastAsia="tr-TR"/>
              </w:rPr>
              <w:t>n</w:t>
            </w:r>
            <w:r w:rsidR="00D74183" w:rsidRPr="00A23740">
              <w:rPr>
                <w:rFonts w:eastAsia="Times New Roman"/>
                <w:szCs w:val="24"/>
                <w:lang w:eastAsia="tr-TR"/>
              </w:rPr>
              <w:t>in kesinleşmesi için</w:t>
            </w:r>
            <w:r w:rsidR="001F1746" w:rsidRPr="00A23740">
              <w:rPr>
                <w:rFonts w:eastAsia="Times New Roman"/>
                <w:szCs w:val="24"/>
                <w:lang w:eastAsia="tr-TR"/>
              </w:rPr>
              <w:t>,</w:t>
            </w:r>
            <w:r w:rsidR="00D74183" w:rsidRPr="00A23740">
              <w:rPr>
                <w:rFonts w:eastAsia="Times New Roman"/>
                <w:szCs w:val="24"/>
                <w:lang w:eastAsia="tr-TR"/>
              </w:rPr>
              <w:t xml:space="preserve"> istihkak sürecinin tamamlanması gerekir.</w:t>
            </w:r>
          </w:p>
          <w:p w:rsidR="00D4606A"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 xml:space="preserve">2004 sayılı Kanunun 128 inci maddesinin </w:t>
            </w:r>
            <w:r w:rsidR="004660BA" w:rsidRPr="00A23740">
              <w:rPr>
                <w:rFonts w:eastAsia="Times New Roman"/>
                <w:szCs w:val="24"/>
                <w:lang w:eastAsia="tr-TR"/>
              </w:rPr>
              <w:t>ikinci fıkrası</w:t>
            </w:r>
            <w:r w:rsidR="001F1746" w:rsidRPr="00D60C1D">
              <w:rPr>
                <w:rStyle w:val="Balk1Char"/>
                <w:rFonts w:eastAsia="Calibri"/>
                <w:b w:val="0"/>
                <w:color w:val="000000"/>
              </w:rPr>
              <w:t>,</w:t>
            </w:r>
            <w:r w:rsidR="004660BA" w:rsidRPr="00A23740">
              <w:rPr>
                <w:rFonts w:eastAsia="Times New Roman"/>
                <w:szCs w:val="24"/>
                <w:lang w:eastAsia="tr-TR"/>
              </w:rPr>
              <w:t xml:space="preserve"> Taslağın</w:t>
            </w:r>
            <w:r w:rsidR="002700A0" w:rsidRPr="00A23740">
              <w:rPr>
                <w:rFonts w:eastAsia="Times New Roman"/>
                <w:szCs w:val="24"/>
                <w:lang w:eastAsia="tr-TR"/>
              </w:rPr>
              <w:t xml:space="preserve"> </w:t>
            </w:r>
            <w:r w:rsidR="002700A0" w:rsidRPr="00D60C1D">
              <w:rPr>
                <w:rStyle w:val="KonuBalChar"/>
                <w:rFonts w:eastAsia="Calibri"/>
                <w:b w:val="0"/>
                <w:color w:val="000000"/>
              </w:rPr>
              <w:t>176 ncı</w:t>
            </w:r>
            <w:r w:rsidR="004660BA" w:rsidRPr="00A23740">
              <w:rPr>
                <w:rFonts w:eastAsia="Times New Roman"/>
                <w:szCs w:val="24"/>
                <w:lang w:eastAsia="tr-TR"/>
              </w:rPr>
              <w:t xml:space="preserve"> maddesinin ikinci fıkrasında</w:t>
            </w:r>
            <w:r w:rsidR="001F1746" w:rsidRPr="00D60C1D">
              <w:rPr>
                <w:rStyle w:val="Balk1Char"/>
                <w:rFonts w:eastAsia="Calibri"/>
                <w:b w:val="0"/>
                <w:color w:val="000000"/>
              </w:rPr>
              <w:t>;</w:t>
            </w:r>
            <w:r w:rsidR="00D4606A" w:rsidRPr="00A23740">
              <w:rPr>
                <w:rFonts w:eastAsia="Times New Roman"/>
                <w:szCs w:val="24"/>
                <w:lang w:eastAsia="tr-TR"/>
              </w:rPr>
              <w:t xml:space="preserve"> </w:t>
            </w:r>
            <w:r w:rsidRPr="00A23740">
              <w:rPr>
                <w:rFonts w:eastAsia="Times New Roman"/>
                <w:szCs w:val="24"/>
                <w:lang w:eastAsia="tr-TR"/>
              </w:rPr>
              <w:t>dördüncü fıkrası</w:t>
            </w:r>
            <w:r w:rsidR="001F1746" w:rsidRPr="00D60C1D">
              <w:rPr>
                <w:rStyle w:val="Balk1Char"/>
                <w:rFonts w:eastAsia="Calibri"/>
                <w:b w:val="0"/>
                <w:color w:val="000000"/>
              </w:rPr>
              <w:t>,</w:t>
            </w:r>
            <w:r w:rsidR="00D4606A" w:rsidRPr="00A23740">
              <w:rPr>
                <w:rFonts w:eastAsia="Times New Roman"/>
                <w:szCs w:val="24"/>
                <w:lang w:eastAsia="tr-TR"/>
              </w:rPr>
              <w:t xml:space="preserve"> </w:t>
            </w:r>
            <w:r w:rsidR="004660BA" w:rsidRPr="00A23740">
              <w:rPr>
                <w:rFonts w:eastAsia="Times New Roman"/>
                <w:szCs w:val="24"/>
                <w:lang w:eastAsia="tr-TR"/>
              </w:rPr>
              <w:t>Taslağın</w:t>
            </w:r>
            <w:r w:rsidR="002700A0" w:rsidRPr="00A23740">
              <w:rPr>
                <w:rFonts w:eastAsia="Times New Roman"/>
                <w:szCs w:val="24"/>
                <w:lang w:eastAsia="tr-TR"/>
              </w:rPr>
              <w:t xml:space="preserve"> </w:t>
            </w:r>
            <w:r w:rsidR="002700A0" w:rsidRPr="00D60C1D">
              <w:rPr>
                <w:rStyle w:val="KonuBalChar"/>
                <w:rFonts w:eastAsia="Calibri"/>
                <w:b w:val="0"/>
                <w:color w:val="000000"/>
              </w:rPr>
              <w:t>166 ncı</w:t>
            </w:r>
            <w:r w:rsidRPr="00A23740">
              <w:rPr>
                <w:rFonts w:eastAsia="Times New Roman"/>
                <w:szCs w:val="24"/>
                <w:lang w:eastAsia="tr-TR"/>
              </w:rPr>
              <w:t xml:space="preserve"> maddesinin üçüncü fıkrasında</w:t>
            </w:r>
            <w:r w:rsidR="001F1746" w:rsidRPr="00D60C1D">
              <w:rPr>
                <w:rStyle w:val="Balk1Char"/>
                <w:rFonts w:eastAsia="Calibri"/>
                <w:b w:val="0"/>
                <w:color w:val="000000"/>
              </w:rPr>
              <w:t>;</w:t>
            </w:r>
            <w:r w:rsidR="00D4606A" w:rsidRPr="00A23740">
              <w:rPr>
                <w:rFonts w:eastAsia="Times New Roman"/>
                <w:szCs w:val="24"/>
                <w:lang w:eastAsia="tr-TR"/>
              </w:rPr>
              <w:t xml:space="preserve"> </w:t>
            </w:r>
            <w:r w:rsidRPr="00A23740">
              <w:rPr>
                <w:rFonts w:eastAsia="Times New Roman"/>
                <w:szCs w:val="24"/>
                <w:lang w:eastAsia="tr-TR"/>
              </w:rPr>
              <w:t>beşinci fıkrası</w:t>
            </w:r>
            <w:r w:rsidR="001F1746" w:rsidRPr="00D60C1D">
              <w:rPr>
                <w:rStyle w:val="Balk1Char"/>
                <w:rFonts w:eastAsia="Calibri"/>
                <w:b w:val="0"/>
                <w:color w:val="000000"/>
              </w:rPr>
              <w:t>,</w:t>
            </w:r>
            <w:r w:rsidRPr="00A23740">
              <w:rPr>
                <w:rFonts w:eastAsia="Times New Roman"/>
                <w:szCs w:val="24"/>
                <w:lang w:eastAsia="tr-TR"/>
              </w:rPr>
              <w:t xml:space="preserve"> </w:t>
            </w:r>
            <w:r w:rsidR="004660BA" w:rsidRPr="00A23740">
              <w:rPr>
                <w:rFonts w:eastAsia="Times New Roman"/>
                <w:szCs w:val="24"/>
                <w:lang w:eastAsia="tr-TR"/>
              </w:rPr>
              <w:t>Taslağın</w:t>
            </w:r>
            <w:r w:rsidR="002700A0" w:rsidRPr="00A23740">
              <w:rPr>
                <w:rFonts w:eastAsia="Times New Roman"/>
                <w:szCs w:val="24"/>
                <w:lang w:eastAsia="tr-TR"/>
              </w:rPr>
              <w:t xml:space="preserve"> </w:t>
            </w:r>
            <w:r w:rsidR="002700A0" w:rsidRPr="00D60C1D">
              <w:rPr>
                <w:rStyle w:val="KonuBalChar"/>
                <w:rFonts w:eastAsia="Calibri"/>
                <w:b w:val="0"/>
                <w:color w:val="000000"/>
              </w:rPr>
              <w:t>217 nci</w:t>
            </w:r>
            <w:r w:rsidRPr="00A23740">
              <w:rPr>
                <w:rFonts w:eastAsia="Times New Roman"/>
                <w:szCs w:val="24"/>
                <w:lang w:eastAsia="tr-TR"/>
              </w:rPr>
              <w:t xml:space="preserve"> maddesinin birinci fıkrasında</w:t>
            </w:r>
            <w:r w:rsidR="00D4606A" w:rsidRPr="00A23740">
              <w:rPr>
                <w:rFonts w:eastAsia="Times New Roman"/>
                <w:szCs w:val="24"/>
                <w:lang w:eastAsia="tr-TR"/>
              </w:rPr>
              <w:t xml:space="preserve"> </w:t>
            </w:r>
            <w:r w:rsidRPr="00A23740">
              <w:rPr>
                <w:rFonts w:eastAsia="Times New Roman"/>
                <w:szCs w:val="24"/>
                <w:lang w:eastAsia="tr-TR"/>
              </w:rPr>
              <w:t>düzenlendiğinden</w:t>
            </w:r>
            <w:r w:rsidR="001F1746" w:rsidRPr="00D60C1D">
              <w:rPr>
                <w:rStyle w:val="Balk1Char"/>
                <w:rFonts w:eastAsia="Calibri"/>
                <w:b w:val="0"/>
                <w:color w:val="000000"/>
              </w:rPr>
              <w:t>, bu fıkralara</w:t>
            </w:r>
            <w:r w:rsidRPr="00A23740">
              <w:rPr>
                <w:rFonts w:eastAsia="Times New Roman"/>
                <w:szCs w:val="24"/>
                <w:lang w:eastAsia="tr-TR"/>
              </w:rPr>
              <w:t xml:space="preserve"> maddede yer verilme</w:t>
            </w:r>
            <w:r w:rsidR="00C41500" w:rsidRPr="00A23740">
              <w:rPr>
                <w:rFonts w:eastAsia="Times New Roman"/>
                <w:szCs w:val="24"/>
                <w:lang w:eastAsia="tr-TR"/>
              </w:rPr>
              <w:t>mektedir.</w:t>
            </w:r>
          </w:p>
          <w:p w:rsidR="00F20A98" w:rsidRPr="00A23740" w:rsidRDefault="00135939" w:rsidP="001971CE">
            <w:pPr>
              <w:tabs>
                <w:tab w:val="left" w:pos="567"/>
              </w:tabs>
              <w:ind w:firstLine="709"/>
              <w:rPr>
                <w:rFonts w:eastAsia="Times New Roman"/>
                <w:szCs w:val="24"/>
                <w:lang w:eastAsia="tr-TR"/>
              </w:rPr>
            </w:pPr>
            <w:r w:rsidRPr="00A23740">
              <w:rPr>
                <w:rFonts w:eastAsia="Times New Roman"/>
                <w:szCs w:val="24"/>
                <w:lang w:eastAsia="tr-TR"/>
              </w:rPr>
              <w:t>Taslağın</w:t>
            </w:r>
            <w:r w:rsidR="00F71B33" w:rsidRPr="00A23740">
              <w:rPr>
                <w:rFonts w:eastAsia="Times New Roman"/>
                <w:szCs w:val="24"/>
                <w:lang w:eastAsia="tr-TR"/>
              </w:rPr>
              <w:t xml:space="preserve"> </w:t>
            </w:r>
            <w:r w:rsidR="00F71B33" w:rsidRPr="00D60C1D">
              <w:rPr>
                <w:rStyle w:val="KonuBalChar"/>
                <w:rFonts w:eastAsia="Calibri"/>
                <w:b w:val="0"/>
                <w:color w:val="000000"/>
              </w:rPr>
              <w:t xml:space="preserve">175 </w:t>
            </w:r>
            <w:r w:rsidR="00F71B33" w:rsidRPr="00D60C1D">
              <w:rPr>
                <w:rStyle w:val="KonuBalChar"/>
                <w:rFonts w:eastAsia="Calibri"/>
                <w:b w:val="0"/>
                <w:color w:val="000000"/>
                <w:lang w:val="tr-TR"/>
              </w:rPr>
              <w:t>ve 176 ncı</w:t>
            </w:r>
            <w:r w:rsidRPr="00A23740">
              <w:rPr>
                <w:rFonts w:eastAsia="Times New Roman"/>
                <w:szCs w:val="24"/>
                <w:lang w:eastAsia="tr-TR"/>
              </w:rPr>
              <w:t xml:space="preserve"> madde</w:t>
            </w:r>
            <w:r w:rsidR="00223FA6" w:rsidRPr="00A23740">
              <w:rPr>
                <w:rFonts w:eastAsia="Times New Roman"/>
                <w:szCs w:val="24"/>
                <w:lang w:eastAsia="tr-TR"/>
              </w:rPr>
              <w:t xml:space="preserve">leri uyarınca </w:t>
            </w:r>
            <w:r w:rsidRPr="00A23740">
              <w:rPr>
                <w:rFonts w:eastAsia="Times New Roman"/>
                <w:szCs w:val="24"/>
                <w:lang w:eastAsia="tr-TR"/>
              </w:rPr>
              <w:t xml:space="preserve">sicile kayıtlı malların kıymet takdirinin bilirkişilik bölge kurulu listesinde kayıtlı ve bu konuda Adalet Bakanlığınca izin verilen bilirkişilere yaptırılması düzenlendiğinden, </w:t>
            </w:r>
            <w:r w:rsidR="00223FA6" w:rsidRPr="00A23740">
              <w:rPr>
                <w:rFonts w:eastAsia="Times New Roman"/>
                <w:szCs w:val="24"/>
                <w:lang w:eastAsia="tr-TR"/>
              </w:rPr>
              <w:t xml:space="preserve">bazı alacakların takibi kapsamında yapılan </w:t>
            </w:r>
            <w:r w:rsidRPr="00A23740">
              <w:rPr>
                <w:rFonts w:eastAsia="Times New Roman"/>
                <w:szCs w:val="24"/>
                <w:lang w:eastAsia="tr-TR"/>
              </w:rPr>
              <w:t xml:space="preserve">kıymet takdirinin ayrı ve özel bir usulle </w:t>
            </w:r>
            <w:r w:rsidR="00223FA6" w:rsidRPr="00A23740">
              <w:rPr>
                <w:rFonts w:eastAsia="Times New Roman"/>
                <w:szCs w:val="24"/>
                <w:lang w:eastAsia="tr-TR"/>
              </w:rPr>
              <w:t xml:space="preserve">düzenlenmesi </w:t>
            </w:r>
            <w:r w:rsidRPr="00A23740">
              <w:rPr>
                <w:rFonts w:eastAsia="Times New Roman"/>
                <w:szCs w:val="24"/>
                <w:lang w:eastAsia="tr-TR"/>
              </w:rPr>
              <w:t>gerekli görülmediği için 2004 sayılı Kanunun 128 inci maddesinin üçüncü fıkrasına Taslakta yer</w:t>
            </w:r>
            <w:r w:rsidR="006845C8" w:rsidRPr="00A23740">
              <w:rPr>
                <w:rFonts w:eastAsia="Times New Roman"/>
                <w:szCs w:val="24"/>
                <w:lang w:eastAsia="tr-TR"/>
              </w:rPr>
              <w:t xml:space="preserve"> verilmemiştir</w:t>
            </w:r>
            <w:r w:rsidRPr="00A23740">
              <w:rPr>
                <w:rFonts w:eastAsia="Times New Roman"/>
                <w:szCs w:val="24"/>
                <w:lang w:eastAsia="tr-TR"/>
              </w:rPr>
              <w:t>.</w:t>
            </w:r>
          </w:p>
          <w:p w:rsidR="009A2F56" w:rsidRPr="00A23740" w:rsidRDefault="009A2F56" w:rsidP="001971CE">
            <w:pPr>
              <w:tabs>
                <w:tab w:val="left" w:pos="567"/>
              </w:tabs>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Style w:val="KIRMIZIChar"/>
                <w:rFonts w:eastAsia="Calibri"/>
              </w:rPr>
            </w:pPr>
            <w:r w:rsidRPr="00A23740">
              <w:rPr>
                <w:rFonts w:eastAsia="Times New Roman"/>
                <w:i/>
                <w:szCs w:val="24"/>
                <w:lang w:eastAsia="tr-TR"/>
              </w:rPr>
              <w:t xml:space="preserve">Mükellefiyetlerin </w:t>
            </w:r>
            <w:r w:rsidRPr="00A23740">
              <w:rPr>
                <w:rStyle w:val="KIRMIZIChar"/>
                <w:rFonts w:eastAsia="Calibri"/>
              </w:rPr>
              <w:t>listesi: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128 – (1) …</w:t>
            </w:r>
          </w:p>
          <w:p w:rsidR="005F6587"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(2) (Değişik: 9/11/1988 - 3494/19 md.) İcra dairesi taşınmazın kıymetini takdir ettirir, taşınmazın kıymetinin takdirinde, taşınmaz üzerindeki mükellefiyetlerin kıymete olan etkisi de nazara alınır. (Ek cümle : 17/7/2003-4949/33 md.) Taşınmazın önceden takdir edilen kıymetini etkileyen mükellefiyetlerin ortaya çıkması hâlinde, icra dairesi satışa esas olmak üzere taşınmazın kıymetini yeniden takdir ettirir.Kıymet takdirine ilişkin rapor borçluya, haciz koydurmuş alacaklılara ve diğer ipotekli alacaklılara tebligatın yapıldığı icra dosyasındaki, ayrıca bildirilmiş bulunması hali müstesna olmak üzere, tapudaki mevcut adresleri esas alınmak sureti ile tebliğ edilir. (Mülga son cümle: 17/7/2003-4949/103 md.)</w:t>
            </w:r>
          </w:p>
          <w:p w:rsidR="005F6587" w:rsidRPr="00A23740" w:rsidRDefault="005F6587" w:rsidP="009431FF">
            <w:pPr>
              <w:tabs>
                <w:tab w:val="left" w:pos="567"/>
              </w:tabs>
              <w:rPr>
                <w:rFonts w:eastAsia="Times New Roman"/>
                <w:szCs w:val="24"/>
                <w:lang w:eastAsia="tr-TR"/>
              </w:rPr>
            </w:pPr>
          </w:p>
          <w:p w:rsidR="00AA5C8C" w:rsidRPr="00A23740" w:rsidRDefault="005F6587" w:rsidP="009431FF">
            <w:pPr>
              <w:tabs>
                <w:tab w:val="left" w:pos="567"/>
              </w:tabs>
              <w:rPr>
                <w:rFonts w:eastAsia="Times New Roman"/>
                <w:szCs w:val="24"/>
                <w:lang w:eastAsia="tr-TR"/>
              </w:rPr>
            </w:pPr>
            <w:r>
              <w:rPr>
                <w:rFonts w:eastAsia="Times New Roman"/>
                <w:b/>
                <w:strike/>
                <w:color w:val="FF0000"/>
                <w:szCs w:val="24"/>
                <w:lang w:eastAsia="tr-TR"/>
              </w:rPr>
              <w:t>(F</w:t>
            </w:r>
            <w:r w:rsidR="00AA5C8C" w:rsidRPr="00A23740">
              <w:rPr>
                <w:rFonts w:eastAsia="Times New Roman"/>
                <w:b/>
                <w:strike/>
                <w:color w:val="FF0000"/>
                <w:szCs w:val="24"/>
                <w:lang w:eastAsia="tr-TR"/>
              </w:rPr>
              <w:t>2</w:t>
            </w:r>
            <w:r>
              <w:rPr>
                <w:rFonts w:eastAsia="Times New Roman"/>
                <w:b/>
                <w:strike/>
                <w:color w:val="FF0000"/>
                <w:szCs w:val="24"/>
                <w:lang w:eastAsia="tr-TR"/>
              </w:rPr>
              <w:t>.C</w:t>
            </w:r>
            <w:r w:rsidR="00AA5C8C" w:rsidRPr="00A23740">
              <w:rPr>
                <w:rFonts w:eastAsia="Times New Roman"/>
                <w:b/>
                <w:strike/>
                <w:color w:val="FF0000"/>
                <w:szCs w:val="24"/>
                <w:lang w:eastAsia="tr-TR"/>
              </w:rPr>
              <w:t xml:space="preserve">3) </w:t>
            </w:r>
            <w:r w:rsidR="00AA5C8C" w:rsidRPr="00A23740">
              <w:rPr>
                <w:rFonts w:eastAsia="Times New Roman"/>
                <w:color w:val="000000"/>
                <w:szCs w:val="24"/>
                <w:lang w:eastAsia="tr-TR"/>
              </w:rPr>
              <w:t>Kıymet takdirine ilişkin rapor</w:t>
            </w:r>
            <w:r w:rsidR="00AA5C8C" w:rsidRPr="00A23740">
              <w:rPr>
                <w:rFonts w:eastAsia="Times New Roman"/>
                <w:b/>
                <w:color w:val="FF0000"/>
                <w:szCs w:val="24"/>
                <w:lang w:eastAsia="tr-TR"/>
              </w:rPr>
              <w:t xml:space="preserve"> </w:t>
            </w:r>
            <w:r w:rsidR="00AA5C8C" w:rsidRPr="00A23740">
              <w:rPr>
                <w:rFonts w:eastAsia="Times New Roman"/>
                <w:b/>
                <w:strike/>
                <w:color w:val="FF0000"/>
                <w:szCs w:val="24"/>
                <w:lang w:eastAsia="tr-TR"/>
              </w:rPr>
              <w:t>borçluya,</w:t>
            </w:r>
            <w:r w:rsidR="00AA5C8C" w:rsidRPr="00A23740">
              <w:rPr>
                <w:rFonts w:eastAsia="Times New Roman"/>
                <w:color w:val="000000"/>
                <w:szCs w:val="24"/>
                <w:lang w:eastAsia="tr-TR"/>
              </w:rPr>
              <w:t xml:space="preserve"> haciz</w:t>
            </w:r>
            <w:r w:rsidR="00AA5C8C" w:rsidRPr="00A23740">
              <w:rPr>
                <w:rFonts w:eastAsia="Times New Roman"/>
                <w:b/>
                <w:color w:val="FF0000"/>
                <w:szCs w:val="24"/>
                <w:lang w:eastAsia="tr-TR"/>
              </w:rPr>
              <w:t xml:space="preserve"> </w:t>
            </w:r>
            <w:r w:rsidR="00AA5C8C" w:rsidRPr="00A23740">
              <w:rPr>
                <w:rFonts w:eastAsia="Times New Roman"/>
                <w:b/>
                <w:strike/>
                <w:color w:val="FF0000"/>
                <w:szCs w:val="24"/>
                <w:lang w:eastAsia="tr-TR"/>
              </w:rPr>
              <w:t>koydurmuş</w:t>
            </w:r>
            <w:r w:rsidR="00AA5C8C" w:rsidRPr="00A23740">
              <w:rPr>
                <w:rFonts w:eastAsia="Times New Roman"/>
                <w:color w:val="000000"/>
                <w:szCs w:val="24"/>
                <w:lang w:eastAsia="tr-TR"/>
              </w:rPr>
              <w:t xml:space="preserve"> alacaklılara </w:t>
            </w:r>
            <w:r w:rsidR="00AA5C8C" w:rsidRPr="00A23740">
              <w:rPr>
                <w:rFonts w:eastAsia="Times New Roman"/>
                <w:b/>
                <w:strike/>
                <w:color w:val="FF0000"/>
                <w:szCs w:val="24"/>
                <w:lang w:eastAsia="tr-TR"/>
              </w:rPr>
              <w:t>ve diğer</w:t>
            </w:r>
            <w:r w:rsidR="00AA5C8C" w:rsidRPr="00A23740">
              <w:rPr>
                <w:rFonts w:eastAsia="Times New Roman"/>
                <w:color w:val="000000"/>
                <w:szCs w:val="24"/>
                <w:lang w:eastAsia="tr-TR"/>
              </w:rPr>
              <w:t xml:space="preserve"> ipotek</w:t>
            </w:r>
            <w:r w:rsidR="00AA5C8C" w:rsidRPr="00A23740">
              <w:rPr>
                <w:rFonts w:eastAsia="Times New Roman"/>
                <w:b/>
                <w:strike/>
                <w:color w:val="FF0000"/>
                <w:szCs w:val="24"/>
                <w:lang w:eastAsia="tr-TR"/>
              </w:rPr>
              <w:t>li</w:t>
            </w:r>
            <w:r w:rsidR="00AA5C8C" w:rsidRPr="00A23740">
              <w:rPr>
                <w:rFonts w:eastAsia="Times New Roman"/>
                <w:color w:val="000000"/>
                <w:szCs w:val="24"/>
                <w:lang w:eastAsia="tr-TR"/>
              </w:rPr>
              <w:t xml:space="preserve"> alacaklılara </w:t>
            </w:r>
            <w:r w:rsidR="00AA5C8C" w:rsidRPr="00A23740">
              <w:rPr>
                <w:rFonts w:eastAsia="Times New Roman"/>
                <w:b/>
                <w:strike/>
                <w:color w:val="FF0000"/>
                <w:szCs w:val="24"/>
                <w:lang w:eastAsia="tr-TR"/>
              </w:rPr>
              <w:t>tebligatın yapıldığı icra dosyasındaki, ayrıca bildirilmiş bulunması hali müstesna olmak üzere, tapudaki mevcut adresleri esas alınmak sureti ile</w:t>
            </w:r>
            <w:r w:rsidR="00AA5C8C" w:rsidRPr="00A23740">
              <w:rPr>
                <w:rFonts w:eastAsia="Times New Roman"/>
                <w:color w:val="000000"/>
                <w:szCs w:val="24"/>
                <w:lang w:eastAsia="tr-TR"/>
              </w:rPr>
              <w:t xml:space="preserve"> tebliğ edilir. </w:t>
            </w:r>
            <w:r w:rsidR="00AA5C8C" w:rsidRPr="00A23740">
              <w:rPr>
                <w:rFonts w:eastAsia="Times New Roman"/>
                <w:b/>
                <w:strike/>
                <w:color w:val="FF0000"/>
                <w:szCs w:val="24"/>
                <w:lang w:eastAsia="tr-TR"/>
              </w:rPr>
              <w:t>(Mülga son cümle: 17/7/2003-4949/103 md.)</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pStyle w:val="Mavi"/>
            </w:pPr>
            <w:r w:rsidRPr="00A23740">
              <w:rPr>
                <w:rFonts w:eastAsia="Times New Roman"/>
                <w:bCs w:val="0"/>
                <w:color w:val="auto"/>
                <w:lang w:val="tr-TR" w:eastAsia="tr-TR"/>
              </w:rPr>
              <w:t>Mükellefiyetler</w:t>
            </w:r>
            <w:r w:rsidRPr="00A23740">
              <w:t>in kıymet takdiri</w:t>
            </w:r>
            <w:r w:rsidRPr="00A23740">
              <w:rPr>
                <w:rStyle w:val="YELChar"/>
                <w:rFonts w:eastAsia="Calibri"/>
                <w:b/>
                <w:color w:val="0000FF"/>
                <w:lang w:eastAsia="x-none"/>
              </w:rPr>
              <w:t>ne etkisi</w:t>
            </w:r>
          </w:p>
          <w:p w:rsidR="00AA5C8C" w:rsidRPr="00A23740" w:rsidRDefault="00AA5C8C" w:rsidP="009431FF">
            <w:pPr>
              <w:tabs>
                <w:tab w:val="left" w:pos="567"/>
              </w:tabs>
              <w:rPr>
                <w:rStyle w:val="MaviChar"/>
              </w:rPr>
            </w:pPr>
            <w:r w:rsidRPr="00A23740">
              <w:rPr>
                <w:rFonts w:eastAsia="Times New Roman"/>
                <w:b/>
                <w:color w:val="0000FF"/>
                <w:szCs w:val="24"/>
                <w:lang w:eastAsia="tr-TR"/>
              </w:rPr>
              <w:t xml:space="preserve">MADDE </w:t>
            </w:r>
            <w:r w:rsidR="0025794C" w:rsidRPr="00A23740">
              <w:rPr>
                <w:rStyle w:val="MaviChar"/>
                <w:lang w:val="tr-TR"/>
              </w:rPr>
              <w:t>219</w:t>
            </w:r>
            <w:r w:rsidRPr="00A23740">
              <w:rPr>
                <w:rStyle w:val="MaviChar"/>
              </w:rPr>
              <w:t>-</w:t>
            </w:r>
            <w:r w:rsidRPr="00A23740">
              <w:rPr>
                <w:rFonts w:eastAsia="Times New Roman"/>
                <w:b/>
                <w:color w:val="0000FF"/>
                <w:szCs w:val="24"/>
                <w:lang w:eastAsia="tr-TR"/>
              </w:rPr>
              <w:t xml:space="preserve"> </w:t>
            </w:r>
            <w:r w:rsidRPr="00A23740">
              <w:rPr>
                <w:rStyle w:val="MaviChar"/>
              </w:rPr>
              <w:t>(1) Malın haciz aşamasındaki kıymet takdirinden sonra bildirilen mükellefiyetler bu kıymet takdirini etkilerse, icra ve iflas dairesi malın kıymetini</w:t>
            </w:r>
            <w:r w:rsidR="003423D3" w:rsidRPr="00A23740">
              <w:rPr>
                <w:rStyle w:val="MaviChar"/>
                <w:lang w:val="tr-TR"/>
              </w:rPr>
              <w:t xml:space="preserve"> </w:t>
            </w:r>
            <w:r w:rsidR="003423D3" w:rsidRPr="00BF6B46">
              <w:rPr>
                <w:rStyle w:val="Balk1Char"/>
                <w:rFonts w:eastAsia="Calibri"/>
              </w:rPr>
              <w:t>175 inci</w:t>
            </w:r>
            <w:r w:rsidR="00B60131" w:rsidRPr="00A23740">
              <w:rPr>
                <w:rStyle w:val="MaviChar"/>
                <w:lang w:val="tr-TR"/>
              </w:rPr>
              <w:t xml:space="preserve"> </w:t>
            </w:r>
            <w:r w:rsidR="001F1746" w:rsidRPr="00A23740">
              <w:rPr>
                <w:rStyle w:val="MaviChar"/>
                <w:lang w:val="tr-TR"/>
              </w:rPr>
              <w:t xml:space="preserve">maddenin </w:t>
            </w:r>
            <w:r w:rsidR="00B60131" w:rsidRPr="00A23740">
              <w:rPr>
                <w:rStyle w:val="MaviChar"/>
                <w:lang w:val="tr-TR"/>
              </w:rPr>
              <w:t xml:space="preserve">ikinci fıkrası uyarınca </w:t>
            </w:r>
            <w:r w:rsidRPr="00A23740">
              <w:rPr>
                <w:rStyle w:val="MaviChar"/>
              </w:rPr>
              <w:t>bilirkişi aracılığı</w:t>
            </w:r>
            <w:r w:rsidR="00B60131" w:rsidRPr="00A23740">
              <w:rPr>
                <w:rStyle w:val="MaviChar"/>
                <w:lang w:val="tr-TR"/>
              </w:rPr>
              <w:t>yla</w:t>
            </w:r>
            <w:r w:rsidRPr="00A23740">
              <w:rPr>
                <w:rStyle w:val="MaviChar"/>
              </w:rPr>
              <w:t xml:space="preserve"> </w:t>
            </w:r>
            <w:r w:rsidR="00B60131" w:rsidRPr="00A23740">
              <w:rPr>
                <w:rStyle w:val="MaviChar"/>
              </w:rPr>
              <w:t xml:space="preserve">yeniden </w:t>
            </w:r>
            <w:r w:rsidRPr="00A23740">
              <w:rPr>
                <w:rStyle w:val="MaviChar"/>
              </w:rPr>
              <w:t>tespit ettirir.</w:t>
            </w:r>
            <w:r w:rsidR="00455B27" w:rsidRPr="00A23740">
              <w:rPr>
                <w:rStyle w:val="MaviChar"/>
                <w:lang w:val="tr-TR"/>
              </w:rPr>
              <w:t xml:space="preserve"> </w:t>
            </w:r>
            <w:r w:rsidR="00A955D0" w:rsidRPr="00BF6B46">
              <w:rPr>
                <w:rStyle w:val="Balk1Char"/>
                <w:rFonts w:eastAsia="Calibri"/>
              </w:rPr>
              <w:t>220 nci</w:t>
            </w:r>
            <w:r w:rsidRPr="00A23740">
              <w:rPr>
                <w:rStyle w:val="MaviChar"/>
              </w:rPr>
              <w:t xml:space="preserve"> maddenin birinci fıkrası saklıdır.</w:t>
            </w:r>
          </w:p>
          <w:p w:rsidR="00B60131" w:rsidRPr="00A23740" w:rsidRDefault="00B60131" w:rsidP="009431FF">
            <w:pPr>
              <w:tabs>
                <w:tab w:val="left" w:pos="567"/>
              </w:tabs>
              <w:rPr>
                <w:bCs/>
                <w:strike/>
                <w:color w:val="FF0000"/>
              </w:rPr>
            </w:pPr>
          </w:p>
          <w:p w:rsidR="00AA5C8C" w:rsidRPr="00A23740" w:rsidRDefault="00AA5C8C" w:rsidP="009431FF">
            <w:pPr>
              <w:tabs>
                <w:tab w:val="left" w:pos="567"/>
              </w:tabs>
              <w:rPr>
                <w:b/>
                <w:bCs/>
                <w:strike/>
                <w:color w:val="FF0000"/>
                <w:szCs w:val="24"/>
              </w:rPr>
            </w:pPr>
          </w:p>
          <w:p w:rsidR="008C2C3C" w:rsidRPr="00A23740" w:rsidRDefault="008C2C3C" w:rsidP="009431FF">
            <w:pPr>
              <w:tabs>
                <w:tab w:val="left" w:pos="567"/>
              </w:tabs>
              <w:rPr>
                <w:b/>
                <w:bCs/>
                <w:strike/>
                <w:color w:val="FF0000"/>
                <w:szCs w:val="24"/>
              </w:rPr>
            </w:pPr>
          </w:p>
          <w:p w:rsidR="008C2C3C" w:rsidRPr="00A23740" w:rsidRDefault="008C2C3C" w:rsidP="009431FF">
            <w:pPr>
              <w:tabs>
                <w:tab w:val="left" w:pos="567"/>
              </w:tabs>
              <w:rPr>
                <w:b/>
                <w:bCs/>
                <w:strike/>
                <w:color w:val="FF0000"/>
                <w:szCs w:val="24"/>
              </w:rPr>
            </w:pPr>
          </w:p>
          <w:p w:rsidR="008C2C3C" w:rsidRPr="00A23740" w:rsidRDefault="008C2C3C" w:rsidP="009431FF">
            <w:pPr>
              <w:tabs>
                <w:tab w:val="left" w:pos="567"/>
              </w:tabs>
              <w:rPr>
                <w:b/>
                <w:bCs/>
                <w:strike/>
                <w:color w:val="FF0000"/>
                <w:szCs w:val="24"/>
              </w:rPr>
            </w:pPr>
          </w:p>
          <w:p w:rsidR="008C2C3C" w:rsidRDefault="008C2C3C" w:rsidP="009431FF">
            <w:pPr>
              <w:tabs>
                <w:tab w:val="left" w:pos="567"/>
              </w:tabs>
              <w:rPr>
                <w:b/>
                <w:bCs/>
                <w:strike/>
                <w:color w:val="FF0000"/>
                <w:szCs w:val="24"/>
              </w:rPr>
            </w:pPr>
          </w:p>
          <w:p w:rsidR="002E4573" w:rsidRPr="00A23740" w:rsidRDefault="002E4573" w:rsidP="009431FF">
            <w:pPr>
              <w:tabs>
                <w:tab w:val="left" w:pos="567"/>
              </w:tabs>
              <w:rPr>
                <w:b/>
                <w:bCs/>
                <w:strike/>
                <w:color w:val="FF0000"/>
                <w:szCs w:val="24"/>
              </w:rPr>
            </w:pPr>
          </w:p>
          <w:p w:rsidR="008C2C3C" w:rsidRPr="00A23740" w:rsidRDefault="008C2C3C" w:rsidP="009431FF">
            <w:pPr>
              <w:tabs>
                <w:tab w:val="left" w:pos="567"/>
              </w:tabs>
              <w:rPr>
                <w:b/>
                <w:bCs/>
                <w:strike/>
                <w:color w:val="FF0000"/>
                <w:szCs w:val="24"/>
              </w:rPr>
            </w:pPr>
          </w:p>
          <w:p w:rsidR="008C2C3C" w:rsidRPr="00A23740" w:rsidRDefault="008C2C3C" w:rsidP="009431FF">
            <w:pPr>
              <w:tabs>
                <w:tab w:val="left" w:pos="567"/>
              </w:tabs>
              <w:rPr>
                <w:b/>
                <w:bCs/>
                <w:strike/>
                <w:color w:val="FF0000"/>
                <w:szCs w:val="24"/>
              </w:rPr>
            </w:pPr>
          </w:p>
          <w:p w:rsidR="00AA5C8C" w:rsidRPr="00A23740" w:rsidRDefault="00AA5C8C" w:rsidP="009431FF">
            <w:pPr>
              <w:tabs>
                <w:tab w:val="left" w:pos="567"/>
              </w:tabs>
              <w:rPr>
                <w:rFonts w:eastAsia="Times New Roman"/>
                <w:color w:val="000000"/>
                <w:szCs w:val="24"/>
                <w:lang w:eastAsia="tr-TR"/>
              </w:rPr>
            </w:pPr>
            <w:r w:rsidRPr="00A23740">
              <w:rPr>
                <w:rFonts w:eastAsia="Times New Roman"/>
                <w:b/>
                <w:color w:val="0000FF"/>
                <w:szCs w:val="24"/>
                <w:lang w:eastAsia="tr-TR"/>
              </w:rPr>
              <w:t xml:space="preserve">(2) </w:t>
            </w:r>
            <w:r w:rsidR="009E4259" w:rsidRPr="00A23740">
              <w:rPr>
                <w:rFonts w:eastAsia="Times New Roman"/>
                <w:b/>
                <w:color w:val="0000FF"/>
                <w:szCs w:val="24"/>
                <w:lang w:eastAsia="tr-TR"/>
              </w:rPr>
              <w:t>Y</w:t>
            </w:r>
            <w:r w:rsidRPr="00A23740">
              <w:rPr>
                <w:rStyle w:val="MaviChar"/>
              </w:rPr>
              <w:t>eniden</w:t>
            </w:r>
            <w:r w:rsidRPr="00A23740">
              <w:rPr>
                <w:rFonts w:eastAsia="Times New Roman"/>
                <w:b/>
                <w:color w:val="0000FF"/>
                <w:szCs w:val="24"/>
                <w:lang w:eastAsia="tr-TR"/>
              </w:rPr>
              <w:t xml:space="preserve"> yapılan </w:t>
            </w:r>
            <w:r w:rsidRPr="00A23740">
              <w:rPr>
                <w:rFonts w:eastAsia="Times New Roman"/>
                <w:color w:val="000000"/>
                <w:szCs w:val="24"/>
                <w:lang w:eastAsia="tr-TR"/>
              </w:rPr>
              <w:t>kıymet takdirine ilişkin rapor</w:t>
            </w:r>
            <w:r w:rsidRPr="00A23740">
              <w:rPr>
                <w:rFonts w:eastAsia="Times New Roman"/>
                <w:b/>
                <w:color w:val="0000FF"/>
                <w:szCs w:val="24"/>
                <w:lang w:eastAsia="tr-TR"/>
              </w:rPr>
              <w:t>, takibin tarafları</w:t>
            </w:r>
            <w:r w:rsidR="00D76571" w:rsidRPr="00A23740">
              <w:rPr>
                <w:rFonts w:eastAsia="Times New Roman"/>
                <w:b/>
                <w:color w:val="0000FF"/>
                <w:szCs w:val="24"/>
                <w:lang w:eastAsia="tr-TR"/>
              </w:rPr>
              <w:t>na,</w:t>
            </w:r>
            <w:r w:rsidRPr="00A23740">
              <w:rPr>
                <w:rFonts w:eastAsia="Times New Roman"/>
                <w:b/>
                <w:color w:val="0000FF"/>
                <w:szCs w:val="24"/>
                <w:lang w:eastAsia="tr-TR"/>
              </w:rPr>
              <w:t xml:space="preserve"> </w:t>
            </w:r>
            <w:r w:rsidRPr="00A23740">
              <w:rPr>
                <w:rFonts w:eastAsia="Times New Roman"/>
                <w:color w:val="000000"/>
                <w:szCs w:val="24"/>
                <w:lang w:eastAsia="tr-TR"/>
              </w:rPr>
              <w:t xml:space="preserve">haciz </w:t>
            </w:r>
            <w:r w:rsidRPr="00A23740">
              <w:rPr>
                <w:rStyle w:val="MaviChar"/>
              </w:rPr>
              <w:t>koydurmuş alacaklılara,</w:t>
            </w:r>
            <w:r w:rsidRPr="00A23740">
              <w:rPr>
                <w:rFonts w:eastAsia="Times New Roman"/>
                <w:b/>
                <w:color w:val="0000FF"/>
                <w:szCs w:val="24"/>
                <w:lang w:eastAsia="tr-TR"/>
              </w:rPr>
              <w:t xml:space="preserve"> </w:t>
            </w:r>
            <w:r w:rsidRPr="00A23740">
              <w:rPr>
                <w:rStyle w:val="MaviChar"/>
              </w:rPr>
              <w:t>varsa</w:t>
            </w:r>
            <w:r w:rsidRPr="00A23740">
              <w:rPr>
                <w:rFonts w:eastAsia="Times New Roman"/>
                <w:b/>
                <w:color w:val="0000FF"/>
                <w:szCs w:val="24"/>
                <w:lang w:eastAsia="tr-TR"/>
              </w:rPr>
              <w:t xml:space="preserve"> rehin </w:t>
            </w:r>
            <w:r w:rsidRPr="00A23740">
              <w:rPr>
                <w:rStyle w:val="MaviChar"/>
              </w:rPr>
              <w:t xml:space="preserve">veya </w:t>
            </w:r>
            <w:r w:rsidRPr="00A23740">
              <w:rPr>
                <w:rFonts w:eastAsia="Times New Roman"/>
                <w:color w:val="000000"/>
                <w:szCs w:val="24"/>
                <w:lang w:eastAsia="tr-TR"/>
              </w:rPr>
              <w:t>ipotek</w:t>
            </w:r>
            <w:r w:rsidRPr="00A23740">
              <w:rPr>
                <w:rFonts w:eastAsia="Times New Roman"/>
                <w:b/>
                <w:color w:val="0000FF"/>
                <w:szCs w:val="24"/>
                <w:lang w:eastAsia="tr-TR"/>
              </w:rPr>
              <w:t xml:space="preserve"> hakkı bulunan </w:t>
            </w:r>
            <w:r w:rsidRPr="00A23740">
              <w:rPr>
                <w:rFonts w:eastAsia="Times New Roman"/>
                <w:color w:val="000000"/>
                <w:szCs w:val="24"/>
                <w:lang w:eastAsia="tr-TR"/>
              </w:rPr>
              <w:t>alacaklılara</w:t>
            </w:r>
            <w:r w:rsidRPr="00A23740">
              <w:rPr>
                <w:rFonts w:eastAsia="Times New Roman"/>
                <w:b/>
                <w:color w:val="0000FF"/>
                <w:szCs w:val="24"/>
                <w:lang w:eastAsia="tr-TR"/>
              </w:rPr>
              <w:t xml:space="preserve"> </w:t>
            </w:r>
            <w:r w:rsidRPr="00A23740">
              <w:rPr>
                <w:rStyle w:val="MaviChar"/>
              </w:rPr>
              <w:t>ve</w:t>
            </w:r>
            <w:r w:rsidRPr="00A23740">
              <w:rPr>
                <w:rFonts w:eastAsia="Times New Roman"/>
                <w:b/>
                <w:color w:val="0000FF"/>
                <w:szCs w:val="24"/>
                <w:lang w:eastAsia="tr-TR"/>
              </w:rPr>
              <w:t xml:space="preserve"> ortaklığın giderilmesi satışlarında ortaklara </w:t>
            </w:r>
            <w:r w:rsidRPr="00A23740">
              <w:rPr>
                <w:rFonts w:eastAsia="Times New Roman"/>
                <w:color w:val="000000"/>
                <w:szCs w:val="24"/>
                <w:lang w:eastAsia="tr-TR"/>
              </w:rPr>
              <w:t>tebliğ edilir.</w:t>
            </w: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C11B2F" w:rsidRPr="00A23740" w:rsidRDefault="00C11B2F" w:rsidP="009431FF">
            <w:pPr>
              <w:tabs>
                <w:tab w:val="left" w:pos="567"/>
              </w:tabs>
              <w:ind w:firstLine="709"/>
              <w:rPr>
                <w:rFonts w:eastAsia="Times New Roman"/>
                <w:szCs w:val="24"/>
                <w:lang w:eastAsia="tr-TR"/>
              </w:rPr>
            </w:pPr>
            <w:r w:rsidRPr="00A23740">
              <w:rPr>
                <w:b/>
                <w:bCs/>
                <w:szCs w:val="24"/>
                <w:lang w:eastAsia="x-none"/>
              </w:rPr>
              <w:t xml:space="preserve">MADDE </w:t>
            </w:r>
            <w:r w:rsidR="0025794C" w:rsidRPr="00A23740">
              <w:rPr>
                <w:b/>
                <w:bCs/>
                <w:szCs w:val="24"/>
                <w:lang w:eastAsia="x-none"/>
              </w:rPr>
              <w:t>219</w:t>
            </w:r>
            <w:r w:rsidRPr="00A23740">
              <w:rPr>
                <w:b/>
                <w:bCs/>
                <w:szCs w:val="24"/>
                <w:lang w:eastAsia="x-none"/>
              </w:rPr>
              <w:t>-</w:t>
            </w:r>
            <w:r w:rsidRPr="00A23740">
              <w:rPr>
                <w:rFonts w:eastAsia="Times New Roman"/>
                <w:color w:val="000000"/>
                <w:szCs w:val="24"/>
                <w:lang w:eastAsia="tr-TR"/>
              </w:rPr>
              <w:t xml:space="preserve"> Maddeyle,</w:t>
            </w:r>
            <w:r w:rsidRPr="00A23740">
              <w:t xml:space="preserve"> </w:t>
            </w:r>
            <w:r w:rsidRPr="00A23740">
              <w:rPr>
                <w:rFonts w:eastAsia="Times New Roman"/>
                <w:color w:val="000000"/>
                <w:szCs w:val="24"/>
                <w:lang w:eastAsia="tr-TR"/>
              </w:rPr>
              <w:t xml:space="preserve">mükellefiyetlerin kıymet takdirine </w:t>
            </w:r>
            <w:r w:rsidR="006845C8" w:rsidRPr="00A23740">
              <w:rPr>
                <w:rFonts w:eastAsia="Times New Roman"/>
                <w:color w:val="000000"/>
                <w:szCs w:val="24"/>
                <w:lang w:eastAsia="tr-TR"/>
              </w:rPr>
              <w:t xml:space="preserve">olabilecek </w:t>
            </w:r>
            <w:r w:rsidRPr="00A23740">
              <w:rPr>
                <w:rFonts w:eastAsia="Times New Roman"/>
                <w:color w:val="000000"/>
                <w:szCs w:val="24"/>
                <w:lang w:eastAsia="tr-TR"/>
              </w:rPr>
              <w:t>etkisine ilişkin hususlar</w:t>
            </w:r>
            <w:r w:rsidRPr="00A23740">
              <w:rPr>
                <w:rFonts w:eastAsia="Times New Roman"/>
                <w:szCs w:val="24"/>
                <w:lang w:eastAsia="tr-TR"/>
              </w:rPr>
              <w:t xml:space="preserve"> düzenlenmektedir</w:t>
            </w:r>
            <w:r w:rsidR="00FF0AFA" w:rsidRPr="00A23740">
              <w:rPr>
                <w:rFonts w:eastAsia="Times New Roman"/>
                <w:szCs w:val="24"/>
                <w:lang w:eastAsia="tr-TR"/>
              </w:rPr>
              <w:t>.</w:t>
            </w:r>
          </w:p>
          <w:p w:rsidR="00C11B2F"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Birinci fıkrayla, cebr</w:t>
            </w:r>
            <w:r w:rsidR="001F1746" w:rsidRPr="00A23740">
              <w:rPr>
                <w:rFonts w:eastAsia="Times New Roman"/>
                <w:szCs w:val="24"/>
                <w:lang w:eastAsia="tr-TR"/>
              </w:rPr>
              <w:t>î</w:t>
            </w:r>
            <w:r w:rsidRPr="00A23740">
              <w:rPr>
                <w:rFonts w:eastAsia="Times New Roman"/>
                <w:szCs w:val="24"/>
                <w:lang w:eastAsia="tr-TR"/>
              </w:rPr>
              <w:t xml:space="preserve"> icraya konu malın haciz aşamasındaki kıymet takdirinden sonra bildirilen mükellefiyetlerin, bu kıymet takdirini etkilemesi h</w:t>
            </w:r>
            <w:r w:rsidR="001F1746" w:rsidRPr="00A23740">
              <w:rPr>
                <w:rFonts w:eastAsia="Times New Roman"/>
                <w:szCs w:val="24"/>
                <w:lang w:eastAsia="tr-TR"/>
              </w:rPr>
              <w:t>â</w:t>
            </w:r>
            <w:r w:rsidRPr="00A23740">
              <w:rPr>
                <w:rFonts w:eastAsia="Times New Roman"/>
                <w:szCs w:val="24"/>
                <w:lang w:eastAsia="tr-TR"/>
              </w:rPr>
              <w:t xml:space="preserve">linde, icra </w:t>
            </w:r>
            <w:r w:rsidR="001F1746" w:rsidRPr="00D60C1D">
              <w:rPr>
                <w:rStyle w:val="Balk1Char"/>
                <w:rFonts w:eastAsia="Calibri"/>
                <w:b w:val="0"/>
                <w:color w:val="000000"/>
              </w:rPr>
              <w:t>ve iflas</w:t>
            </w:r>
            <w:r w:rsidR="001F1746" w:rsidRPr="00A23740">
              <w:rPr>
                <w:rFonts w:eastAsia="Times New Roman"/>
                <w:szCs w:val="24"/>
                <w:lang w:eastAsia="tr-TR"/>
              </w:rPr>
              <w:t xml:space="preserve"> </w:t>
            </w:r>
            <w:r w:rsidRPr="00A23740">
              <w:rPr>
                <w:rFonts w:eastAsia="Times New Roman"/>
                <w:szCs w:val="24"/>
                <w:lang w:eastAsia="tr-TR"/>
              </w:rPr>
              <w:t xml:space="preserve">dairesinin malın kıymetini </w:t>
            </w:r>
            <w:r w:rsidR="00A955D0" w:rsidRPr="00D60C1D">
              <w:rPr>
                <w:rStyle w:val="KonuBalChar"/>
                <w:rFonts w:eastAsia="Calibri"/>
                <w:b w:val="0"/>
                <w:color w:val="000000"/>
              </w:rPr>
              <w:t>175 inci</w:t>
            </w:r>
            <w:r w:rsidR="003B63A4" w:rsidRPr="00A23740">
              <w:rPr>
                <w:rFonts w:eastAsia="Times New Roman"/>
                <w:szCs w:val="24"/>
                <w:lang w:eastAsia="tr-TR"/>
              </w:rPr>
              <w:t xml:space="preserve"> madde</w:t>
            </w:r>
            <w:r w:rsidR="00B60131" w:rsidRPr="00A23740">
              <w:rPr>
                <w:rFonts w:eastAsia="Times New Roman"/>
                <w:szCs w:val="24"/>
                <w:lang w:eastAsia="tr-TR"/>
              </w:rPr>
              <w:t xml:space="preserve">nin ikinci fıkrası uyarınca </w:t>
            </w:r>
            <w:r w:rsidRPr="00A23740">
              <w:rPr>
                <w:rFonts w:eastAsia="Times New Roman"/>
                <w:szCs w:val="24"/>
                <w:lang w:eastAsia="tr-TR"/>
              </w:rPr>
              <w:t>yeniden bilirkişi aracılığı</w:t>
            </w:r>
            <w:r w:rsidR="00B60131" w:rsidRPr="00A23740">
              <w:rPr>
                <w:rFonts w:eastAsia="Times New Roman"/>
                <w:szCs w:val="24"/>
                <w:lang w:eastAsia="tr-TR"/>
              </w:rPr>
              <w:t>yla</w:t>
            </w:r>
            <w:r w:rsidRPr="00A23740">
              <w:rPr>
                <w:rFonts w:eastAsia="Times New Roman"/>
                <w:szCs w:val="24"/>
                <w:lang w:eastAsia="tr-TR"/>
              </w:rPr>
              <w:t xml:space="preserve"> tespit </w:t>
            </w:r>
            <w:r w:rsidR="006845C8" w:rsidRPr="00A23740">
              <w:rPr>
                <w:rFonts w:eastAsia="Times New Roman"/>
                <w:szCs w:val="24"/>
                <w:lang w:eastAsia="tr-TR"/>
              </w:rPr>
              <w:t xml:space="preserve"> ettirmesi </w:t>
            </w:r>
            <w:r w:rsidRPr="00A23740">
              <w:rPr>
                <w:rFonts w:eastAsia="Times New Roman"/>
                <w:szCs w:val="24"/>
                <w:lang w:eastAsia="tr-TR"/>
              </w:rPr>
              <w:t xml:space="preserve">düzenlenmektedir. </w:t>
            </w:r>
            <w:r w:rsidR="00F96D43" w:rsidRPr="00A23740">
              <w:rPr>
                <w:rFonts w:eastAsia="Times New Roman"/>
                <w:szCs w:val="24"/>
                <w:lang w:eastAsia="tr-TR"/>
              </w:rPr>
              <w:t>Malın haciz aşamasındaki kıymet takdiri,</w:t>
            </w:r>
            <w:r w:rsidR="00A955D0" w:rsidRPr="00A23740">
              <w:rPr>
                <w:rFonts w:eastAsia="Times New Roman"/>
                <w:szCs w:val="24"/>
                <w:lang w:eastAsia="tr-TR"/>
              </w:rPr>
              <w:t xml:space="preserve"> </w:t>
            </w:r>
            <w:r w:rsidR="00A955D0" w:rsidRPr="00D60C1D">
              <w:rPr>
                <w:rStyle w:val="KonuBalChar"/>
                <w:rFonts w:eastAsia="Calibri"/>
                <w:b w:val="0"/>
                <w:color w:val="000000"/>
              </w:rPr>
              <w:t xml:space="preserve">175 </w:t>
            </w:r>
            <w:r w:rsidR="00A955D0" w:rsidRPr="00D60C1D">
              <w:rPr>
                <w:rStyle w:val="KonuBalChar"/>
                <w:rFonts w:eastAsia="Calibri"/>
                <w:b w:val="0"/>
                <w:color w:val="000000"/>
                <w:lang w:val="tr-TR"/>
              </w:rPr>
              <w:t>ve 176 ncı</w:t>
            </w:r>
            <w:r w:rsidR="00A955D0" w:rsidRPr="00A23740">
              <w:rPr>
                <w:rFonts w:eastAsia="Times New Roman"/>
                <w:szCs w:val="24"/>
                <w:lang w:eastAsia="tr-TR"/>
              </w:rPr>
              <w:t xml:space="preserve"> </w:t>
            </w:r>
            <w:r w:rsidR="003B63A4" w:rsidRPr="00A23740">
              <w:rPr>
                <w:rFonts w:eastAsia="Times New Roman"/>
                <w:szCs w:val="24"/>
                <w:lang w:eastAsia="tr-TR"/>
              </w:rPr>
              <w:t>maddeler</w:t>
            </w:r>
            <w:r w:rsidR="00C465BA" w:rsidRPr="00A23740">
              <w:rPr>
                <w:rFonts w:eastAsia="Times New Roman"/>
                <w:szCs w:val="24"/>
                <w:lang w:eastAsia="tr-TR"/>
              </w:rPr>
              <w:t xml:space="preserve">e göre </w:t>
            </w:r>
            <w:r w:rsidR="00F96D43" w:rsidRPr="00A23740">
              <w:rPr>
                <w:rFonts w:eastAsia="Times New Roman"/>
                <w:szCs w:val="24"/>
                <w:lang w:eastAsia="tr-TR"/>
              </w:rPr>
              <w:t>icra</w:t>
            </w:r>
            <w:r w:rsidR="00B8679E" w:rsidRPr="00A23740">
              <w:rPr>
                <w:rFonts w:eastAsia="Times New Roman"/>
                <w:szCs w:val="24"/>
                <w:lang w:eastAsia="tr-TR"/>
              </w:rPr>
              <w:t xml:space="preserve"> </w:t>
            </w:r>
            <w:r w:rsidR="00B8679E" w:rsidRPr="00D60C1D">
              <w:rPr>
                <w:rStyle w:val="Balk1Char"/>
                <w:rFonts w:eastAsia="Calibri"/>
                <w:b w:val="0"/>
                <w:color w:val="000000"/>
              </w:rPr>
              <w:t>ve iflas</w:t>
            </w:r>
            <w:r w:rsidR="00B8679E" w:rsidRPr="00A23740">
              <w:rPr>
                <w:rFonts w:eastAsia="Times New Roman"/>
                <w:szCs w:val="24"/>
                <w:lang w:eastAsia="tr-TR"/>
              </w:rPr>
              <w:t xml:space="preserve"> </w:t>
            </w:r>
            <w:r w:rsidR="00F96D43" w:rsidRPr="00A23740">
              <w:rPr>
                <w:rFonts w:eastAsia="Times New Roman"/>
                <w:szCs w:val="24"/>
                <w:lang w:eastAsia="tr-TR"/>
              </w:rPr>
              <w:t xml:space="preserve"> müdürü veya görevlendirdiği </w:t>
            </w:r>
            <w:r w:rsidR="00B8679E" w:rsidRPr="00D60C1D">
              <w:rPr>
                <w:rStyle w:val="Balk1Char"/>
                <w:rFonts w:eastAsia="Calibri"/>
                <w:b w:val="0"/>
                <w:color w:val="000000"/>
              </w:rPr>
              <w:t>memur</w:t>
            </w:r>
            <w:r w:rsidR="00B8679E" w:rsidRPr="00A23740">
              <w:rPr>
                <w:rFonts w:eastAsia="Times New Roman"/>
                <w:szCs w:val="24"/>
                <w:lang w:eastAsia="tr-TR"/>
              </w:rPr>
              <w:t xml:space="preserve"> </w:t>
            </w:r>
            <w:r w:rsidR="00F96D43" w:rsidRPr="00A23740">
              <w:rPr>
                <w:rFonts w:eastAsia="Times New Roman"/>
                <w:szCs w:val="24"/>
                <w:lang w:eastAsia="tr-TR"/>
              </w:rPr>
              <w:t xml:space="preserve">ya da </w:t>
            </w:r>
            <w:r w:rsidR="004D4BDB" w:rsidRPr="00D60C1D">
              <w:rPr>
                <w:rStyle w:val="Balk1Char"/>
                <w:rFonts w:eastAsia="Calibri"/>
                <w:b w:val="0"/>
                <w:color w:val="000000"/>
              </w:rPr>
              <w:t>atadığı</w:t>
            </w:r>
            <w:r w:rsidR="004D4BDB" w:rsidRPr="00A23740">
              <w:rPr>
                <w:rFonts w:eastAsia="Times New Roman"/>
                <w:szCs w:val="24"/>
                <w:lang w:eastAsia="tr-TR"/>
              </w:rPr>
              <w:t xml:space="preserve"> </w:t>
            </w:r>
            <w:r w:rsidR="00F96D43" w:rsidRPr="00A23740">
              <w:rPr>
                <w:rFonts w:eastAsia="Times New Roman"/>
                <w:szCs w:val="24"/>
                <w:lang w:eastAsia="tr-TR"/>
              </w:rPr>
              <w:t xml:space="preserve">bilirkişi tarafından yapılan kıymet takdiridir. </w:t>
            </w:r>
            <w:r w:rsidR="00B60131" w:rsidRPr="00A23740">
              <w:rPr>
                <w:rFonts w:eastAsia="Times New Roman"/>
                <w:szCs w:val="24"/>
                <w:lang w:eastAsia="tr-TR"/>
              </w:rPr>
              <w:t xml:space="preserve">Hükümle, malın gerçek değeri üzerinden satışa sunularak daha çabuk satılması amaçlanmaktadır. </w:t>
            </w:r>
            <w:r w:rsidR="003B63A4" w:rsidRPr="00A23740">
              <w:rPr>
                <w:rFonts w:eastAsia="Times New Roman"/>
                <w:szCs w:val="24"/>
                <w:lang w:eastAsia="tr-TR"/>
              </w:rPr>
              <w:t>Ayrıca</w:t>
            </w:r>
            <w:r w:rsidRPr="00A23740">
              <w:rPr>
                <w:rFonts w:eastAsia="Times New Roman"/>
                <w:szCs w:val="24"/>
                <w:lang w:eastAsia="tr-TR"/>
              </w:rPr>
              <w:t xml:space="preserve"> </w:t>
            </w:r>
            <w:r w:rsidR="003B63A4" w:rsidRPr="00A23740">
              <w:rPr>
                <w:rFonts w:eastAsia="Times New Roman"/>
                <w:szCs w:val="24"/>
                <w:lang w:eastAsia="tr-TR"/>
              </w:rPr>
              <w:t xml:space="preserve">fıkrada, </w:t>
            </w:r>
            <w:r w:rsidR="00B60131" w:rsidRPr="00A23740">
              <w:rPr>
                <w:rFonts w:eastAsia="Times New Roman"/>
                <w:szCs w:val="24"/>
                <w:lang w:eastAsia="tr-TR"/>
              </w:rPr>
              <w:t>Taslağın</w:t>
            </w:r>
            <w:r w:rsidRPr="00A23740">
              <w:rPr>
                <w:rFonts w:eastAsia="Times New Roman"/>
                <w:szCs w:val="24"/>
                <w:lang w:eastAsia="tr-TR"/>
              </w:rPr>
              <w:t xml:space="preserve"> </w:t>
            </w:r>
            <w:r w:rsidR="00A955D0" w:rsidRPr="00D60C1D">
              <w:rPr>
                <w:rStyle w:val="KonuBalChar"/>
                <w:rFonts w:eastAsia="Calibri"/>
                <w:b w:val="0"/>
                <w:color w:val="000000"/>
                <w:lang w:val="tr-TR"/>
              </w:rPr>
              <w:t>220 nci</w:t>
            </w:r>
            <w:r w:rsidR="00A955D0" w:rsidRPr="00A23740">
              <w:rPr>
                <w:rStyle w:val="MaviChar"/>
              </w:rPr>
              <w:t xml:space="preserve"> </w:t>
            </w:r>
            <w:r w:rsidRPr="00A23740">
              <w:rPr>
                <w:rFonts w:eastAsia="Times New Roman"/>
                <w:szCs w:val="24"/>
                <w:lang w:eastAsia="tr-TR"/>
              </w:rPr>
              <w:t>madde</w:t>
            </w:r>
            <w:r w:rsidR="003B3065" w:rsidRPr="00A23740">
              <w:rPr>
                <w:rFonts w:eastAsia="Times New Roman"/>
                <w:szCs w:val="24"/>
                <w:lang w:eastAsia="tr-TR"/>
              </w:rPr>
              <w:t>si</w:t>
            </w:r>
            <w:r w:rsidRPr="00A23740">
              <w:rPr>
                <w:rFonts w:eastAsia="Times New Roman"/>
                <w:szCs w:val="24"/>
                <w:lang w:eastAsia="tr-TR"/>
              </w:rPr>
              <w:t>nin birinci fıkrası</w:t>
            </w:r>
            <w:r w:rsidR="003B63A4" w:rsidRPr="00A23740">
              <w:rPr>
                <w:rFonts w:eastAsia="Times New Roman"/>
                <w:szCs w:val="24"/>
                <w:lang w:eastAsia="tr-TR"/>
              </w:rPr>
              <w:t>nın</w:t>
            </w:r>
            <w:r w:rsidRPr="00A23740">
              <w:rPr>
                <w:rFonts w:eastAsia="Times New Roman"/>
                <w:szCs w:val="24"/>
                <w:lang w:eastAsia="tr-TR"/>
              </w:rPr>
              <w:t xml:space="preserve"> saklı olduğu belirtilmektedir. Bu fıkra, 2004 sayılı Kanunun 128 inci maddesinin ikinci fıkrasına kısmen karşılık gelmektedir.</w:t>
            </w:r>
            <w:r w:rsidR="00F96D43" w:rsidRPr="00A23740">
              <w:rPr>
                <w:rFonts w:eastAsia="Times New Roman"/>
                <w:szCs w:val="24"/>
                <w:lang w:eastAsia="tr-TR"/>
              </w:rPr>
              <w:t xml:space="preserve"> 2004 sayılı Kanunun 128 </w:t>
            </w:r>
            <w:r w:rsidR="003B63A4" w:rsidRPr="00A23740">
              <w:rPr>
                <w:rFonts w:eastAsia="Times New Roman"/>
                <w:szCs w:val="24"/>
                <w:lang w:eastAsia="tr-TR"/>
              </w:rPr>
              <w:t>i</w:t>
            </w:r>
            <w:r w:rsidR="00F96D43" w:rsidRPr="00A23740">
              <w:rPr>
                <w:rFonts w:eastAsia="Times New Roman"/>
                <w:szCs w:val="24"/>
                <w:lang w:eastAsia="tr-TR"/>
              </w:rPr>
              <w:t>nci maddesinin ikinci fıkrasının birinci cümlesi, Taslağın</w:t>
            </w:r>
            <w:r w:rsidR="00257198" w:rsidRPr="00A23740">
              <w:rPr>
                <w:rFonts w:eastAsia="Times New Roman"/>
                <w:szCs w:val="24"/>
                <w:lang w:eastAsia="tr-TR"/>
              </w:rPr>
              <w:t xml:space="preserve"> </w:t>
            </w:r>
            <w:r w:rsidR="00257198" w:rsidRPr="00D60C1D">
              <w:rPr>
                <w:rStyle w:val="KonuBalChar"/>
                <w:rFonts w:eastAsia="Calibri"/>
                <w:b w:val="0"/>
                <w:color w:val="000000"/>
              </w:rPr>
              <w:t>176 ncı</w:t>
            </w:r>
            <w:r w:rsidR="00F96D43" w:rsidRPr="00A23740">
              <w:rPr>
                <w:rFonts w:eastAsia="Times New Roman"/>
                <w:szCs w:val="24"/>
                <w:lang w:eastAsia="tr-TR"/>
              </w:rPr>
              <w:t xml:space="preserve"> maddesinin birinci ve ikinci fıkralarında düzenlenmektedir.</w:t>
            </w:r>
          </w:p>
          <w:p w:rsidR="00F96D43"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İkinci fıkrayla, haczedilen malın birinci fıkra uyarınca yeniden yapılan kıymet takdirine ilişkin bilirkişi raporunun, takibin taraflarıyla birlikte haciz koydurmuş alacaklılara, varsa rehin veya ipotek hakkı bulunan alacaklılara ve ortaklığın giderilmesi satışlarında ortaklara tebliğ edileceği hükme bağlanmaktadır. Bu fıkra, 2004 sayılı Kanunun 128 inci maddesinin ikinci fıkras</w:t>
            </w:r>
            <w:r w:rsidR="003B63A4" w:rsidRPr="00A23740">
              <w:rPr>
                <w:rFonts w:eastAsia="Times New Roman"/>
                <w:szCs w:val="24"/>
                <w:lang w:eastAsia="tr-TR"/>
              </w:rPr>
              <w:t xml:space="preserve">ına kısmen karşılık gelmekte olup dili sadeleştirilmek suretiyle muhafaza edilmektedir. </w:t>
            </w:r>
            <w:r w:rsidR="00B8679E" w:rsidRPr="00D60C1D">
              <w:rPr>
                <w:rStyle w:val="Balk1Char"/>
                <w:rFonts w:eastAsia="Calibri"/>
                <w:b w:val="0"/>
                <w:color w:val="000000"/>
              </w:rPr>
              <w:t>2004 sayılı Kanunun</w:t>
            </w:r>
            <w:r w:rsidR="00B8679E" w:rsidRPr="00D60C1D">
              <w:rPr>
                <w:rFonts w:eastAsia="Times New Roman"/>
                <w:b/>
                <w:color w:val="000000"/>
                <w:szCs w:val="24"/>
                <w:lang w:eastAsia="tr-TR"/>
              </w:rPr>
              <w:t xml:space="preserve"> </w:t>
            </w:r>
            <w:r w:rsidR="00B8679E" w:rsidRPr="00D60C1D">
              <w:rPr>
                <w:rStyle w:val="Balk1Char"/>
                <w:rFonts w:eastAsia="Calibri"/>
                <w:b w:val="0"/>
                <w:color w:val="000000"/>
              </w:rPr>
              <w:t>t</w:t>
            </w:r>
            <w:r w:rsidR="002156DE" w:rsidRPr="00A23740">
              <w:rPr>
                <w:rFonts w:eastAsia="Times New Roman"/>
                <w:szCs w:val="24"/>
                <w:lang w:eastAsia="tr-TR"/>
              </w:rPr>
              <w:t xml:space="preserve">apudaki adrese </w:t>
            </w:r>
            <w:r w:rsidR="00B8679E" w:rsidRPr="00D60C1D">
              <w:rPr>
                <w:rStyle w:val="Balk1Char"/>
                <w:rFonts w:eastAsia="Calibri"/>
                <w:b w:val="0"/>
                <w:color w:val="000000"/>
              </w:rPr>
              <w:t>tebligat</w:t>
            </w:r>
            <w:r w:rsidR="00B8679E" w:rsidRPr="00A23740">
              <w:rPr>
                <w:rFonts w:eastAsia="Times New Roman"/>
                <w:szCs w:val="24"/>
                <w:lang w:eastAsia="tr-TR"/>
              </w:rPr>
              <w:t xml:space="preserve"> </w:t>
            </w:r>
            <w:r w:rsidR="0041186F" w:rsidRPr="00A23740">
              <w:rPr>
                <w:rFonts w:eastAsia="Times New Roman"/>
                <w:szCs w:val="24"/>
                <w:lang w:eastAsia="tr-TR"/>
              </w:rPr>
              <w:t xml:space="preserve">yapılacağına </w:t>
            </w:r>
            <w:r w:rsidR="00B8679E" w:rsidRPr="00D60C1D">
              <w:rPr>
                <w:rStyle w:val="Balk1Char"/>
                <w:rFonts w:eastAsia="Calibri"/>
                <w:b w:val="0"/>
                <w:color w:val="000000"/>
              </w:rPr>
              <w:t>ilişkin hükmüne,</w:t>
            </w:r>
            <w:r w:rsidR="00B8679E" w:rsidRPr="00A23740">
              <w:rPr>
                <w:rFonts w:eastAsia="Times New Roman"/>
                <w:szCs w:val="24"/>
                <w:lang w:eastAsia="tr-TR"/>
              </w:rPr>
              <w:t xml:space="preserve"> </w:t>
            </w:r>
            <w:r w:rsidR="0041186F" w:rsidRPr="00A23740">
              <w:rPr>
                <w:rFonts w:eastAsia="Times New Roman"/>
                <w:szCs w:val="24"/>
                <w:lang w:eastAsia="tr-TR"/>
              </w:rPr>
              <w:t xml:space="preserve">bu </w:t>
            </w:r>
            <w:r w:rsidR="002156DE" w:rsidRPr="00A23740">
              <w:rPr>
                <w:rFonts w:eastAsia="Times New Roman"/>
                <w:szCs w:val="24"/>
                <w:lang w:eastAsia="tr-TR"/>
              </w:rPr>
              <w:t xml:space="preserve">adresin </w:t>
            </w:r>
            <w:r w:rsidR="0041186F" w:rsidRPr="00A23740">
              <w:rPr>
                <w:rFonts w:eastAsia="Times New Roman"/>
                <w:szCs w:val="24"/>
                <w:lang w:eastAsia="tr-TR"/>
              </w:rPr>
              <w:t xml:space="preserve">güncel adres </w:t>
            </w:r>
            <w:r w:rsidR="002156DE" w:rsidRPr="00A23740">
              <w:rPr>
                <w:rFonts w:eastAsia="Times New Roman"/>
                <w:szCs w:val="24"/>
                <w:lang w:eastAsia="tr-TR"/>
              </w:rPr>
              <w:t xml:space="preserve">olmaması </w:t>
            </w:r>
            <w:r w:rsidR="0041186F" w:rsidRPr="00A23740">
              <w:rPr>
                <w:rFonts w:eastAsia="Times New Roman"/>
                <w:szCs w:val="24"/>
                <w:lang w:eastAsia="tr-TR"/>
              </w:rPr>
              <w:t>h</w:t>
            </w:r>
            <w:r w:rsidR="00B8679E" w:rsidRPr="00A23740">
              <w:rPr>
                <w:rFonts w:eastAsia="Times New Roman"/>
                <w:szCs w:val="24"/>
                <w:lang w:eastAsia="tr-TR"/>
              </w:rPr>
              <w:t>â</w:t>
            </w:r>
            <w:r w:rsidR="0041186F" w:rsidRPr="00A23740">
              <w:rPr>
                <w:rFonts w:eastAsia="Times New Roman"/>
                <w:szCs w:val="24"/>
                <w:lang w:eastAsia="tr-TR"/>
              </w:rPr>
              <w:t>linde</w:t>
            </w:r>
            <w:r w:rsidR="002156DE" w:rsidRPr="00A23740">
              <w:rPr>
                <w:rFonts w:eastAsia="Times New Roman"/>
                <w:szCs w:val="24"/>
                <w:lang w:eastAsia="tr-TR"/>
              </w:rPr>
              <w:t xml:space="preserve"> </w:t>
            </w:r>
            <w:r w:rsidR="0041186F" w:rsidRPr="00A23740">
              <w:rPr>
                <w:rFonts w:eastAsia="Times New Roman"/>
                <w:szCs w:val="24"/>
                <w:lang w:eastAsia="tr-TR"/>
              </w:rPr>
              <w:t>bildirimden haberdar olunamayacağı ve bu durumda hak kayıpları meydana gelebileceği için</w:t>
            </w:r>
            <w:r w:rsidR="00B8679E" w:rsidRPr="00D60C1D">
              <w:rPr>
                <w:rStyle w:val="Balk1Char"/>
                <w:rFonts w:eastAsia="Calibri"/>
                <w:b w:val="0"/>
                <w:color w:val="000000"/>
              </w:rPr>
              <w:t>,</w:t>
            </w:r>
            <w:r w:rsidR="0041186F" w:rsidRPr="00A23740">
              <w:rPr>
                <w:rFonts w:eastAsia="Times New Roman"/>
                <w:szCs w:val="24"/>
                <w:lang w:eastAsia="tr-TR"/>
              </w:rPr>
              <w:t xml:space="preserve"> </w:t>
            </w:r>
            <w:r w:rsidR="00A955D0" w:rsidRPr="00A23740">
              <w:rPr>
                <w:rFonts w:eastAsia="Times New Roman"/>
                <w:szCs w:val="24"/>
                <w:lang w:eastAsia="tr-TR"/>
              </w:rPr>
              <w:t>Taslakta yer verilmemektedir.</w:t>
            </w:r>
          </w:p>
          <w:p w:rsidR="009A2F56" w:rsidRPr="00A23740" w:rsidRDefault="009A2F56" w:rsidP="001971CE">
            <w:pPr>
              <w:tabs>
                <w:tab w:val="left" w:pos="567"/>
              </w:tabs>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rPr>
                <w:i/>
              </w:rPr>
            </w:pPr>
            <w:r w:rsidRPr="00A23740">
              <w:rPr>
                <w:i/>
              </w:rPr>
              <w:t>Kıymet takdirine ilişkin şikâyet:</w:t>
            </w:r>
          </w:p>
          <w:p w:rsidR="00AA5C8C" w:rsidRPr="00A23740" w:rsidRDefault="00AA5C8C" w:rsidP="009431FF">
            <w:pPr>
              <w:tabs>
                <w:tab w:val="left" w:pos="540"/>
              </w:tabs>
              <w:rPr>
                <w:rFonts w:eastAsia="Times New Roman"/>
                <w:b/>
                <w:szCs w:val="24"/>
                <w:lang w:eastAsia="tr-TR"/>
              </w:rPr>
            </w:pPr>
            <w:r w:rsidRPr="00A23740">
              <w:rPr>
                <w:rStyle w:val="KIRMIZIChar"/>
                <w:rFonts w:eastAsia="Calibri"/>
              </w:rPr>
              <w:t>Madde 128/a- (1) (Ek</w:t>
            </w:r>
            <w:r w:rsidRPr="00A23740">
              <w:rPr>
                <w:rFonts w:eastAsia="Times New Roman"/>
                <w:b/>
                <w:strike/>
                <w:color w:val="FF0000"/>
                <w:szCs w:val="24"/>
                <w:lang w:eastAsia="tr-TR"/>
              </w:rPr>
              <w:t xml:space="preserve"> : 17/7/2003-4949/34 md.)</w:t>
            </w:r>
          </w:p>
          <w:p w:rsidR="00AA5C8C" w:rsidRPr="00A23740" w:rsidRDefault="00AA5C8C" w:rsidP="009431FF">
            <w:pPr>
              <w:tabs>
                <w:tab w:val="left" w:pos="540"/>
              </w:tabs>
              <w:rPr>
                <w:rStyle w:val="KIRMIZIChar"/>
                <w:rFonts w:eastAsia="Calibri"/>
                <w:strike w:val="0"/>
              </w:rPr>
            </w:pPr>
            <w:r w:rsidRPr="00A23740">
              <w:rPr>
                <w:rFonts w:eastAsia="Times New Roman"/>
                <w:szCs w:val="24"/>
                <w:lang w:eastAsia="tr-TR"/>
              </w:rPr>
              <w:t xml:space="preserve">Kıymet takdirinin tebliğ edildiği ilgililer, raporun tebliğinden itibaren </w:t>
            </w:r>
            <w:r w:rsidRPr="00A23740">
              <w:rPr>
                <w:rStyle w:val="KIRMIZIChar"/>
                <w:rFonts w:eastAsia="Calibri"/>
              </w:rPr>
              <w:t>yedi gün</w:t>
            </w:r>
            <w:r w:rsidRPr="00A23740">
              <w:rPr>
                <w:rFonts w:eastAsia="Times New Roman"/>
                <w:szCs w:val="24"/>
                <w:lang w:eastAsia="tr-TR"/>
              </w:rPr>
              <w:t xml:space="preserve"> içinde </w:t>
            </w:r>
            <w:r w:rsidRPr="00A23740">
              <w:rPr>
                <w:rStyle w:val="KIRMIZIChar"/>
                <w:rFonts w:eastAsia="Calibri"/>
              </w:rPr>
              <w:t>raporu düzenleten</w:t>
            </w:r>
            <w:r w:rsidRPr="00A23740">
              <w:rPr>
                <w:rFonts w:eastAsia="Times New Roman"/>
                <w:szCs w:val="24"/>
                <w:lang w:eastAsia="tr-TR"/>
              </w:rPr>
              <w:t xml:space="preserve"> icra dairesinin bulunduğu yerdeki icra mahkemesinde şikâyette bulunabilir</w:t>
            </w:r>
            <w:r w:rsidRPr="00A23740">
              <w:rPr>
                <w:rStyle w:val="KIRMIZIChar"/>
                <w:rFonts w:eastAsia="Calibri"/>
              </w:rPr>
              <w:t>ler</w:t>
            </w:r>
            <w:r w:rsidRPr="00A23740">
              <w:rPr>
                <w:rFonts w:eastAsia="Times New Roman"/>
                <w:szCs w:val="24"/>
                <w:lang w:eastAsia="tr-TR"/>
              </w:rPr>
              <w:t xml:space="preserve">. </w:t>
            </w:r>
            <w:r w:rsidRPr="00A23740">
              <w:rPr>
                <w:rStyle w:val="KIRMIZIChar"/>
                <w:rFonts w:eastAsia="Calibri"/>
              </w:rPr>
              <w:t>Şikâyet tarihinden itibaren yedi gün içinde gerekli masraf ve ücretin mahkeme veznesine yatırılması hâlinde yeniden bilirkişi incelemesi yaptırılabilir; aksi hâlde başka bir işleme gerek olmaksızın şikâyet kesin olarak reddedilir.</w:t>
            </w:r>
          </w:p>
          <w:p w:rsidR="00AA5C8C" w:rsidRPr="00A23740" w:rsidRDefault="00AA5C8C" w:rsidP="009431FF">
            <w:pPr>
              <w:tabs>
                <w:tab w:val="left" w:pos="540"/>
              </w:tabs>
              <w:rPr>
                <w:rFonts w:eastAsia="Times New Roman"/>
                <w:b/>
                <w:strike/>
                <w:color w:val="FF0000"/>
                <w:szCs w:val="24"/>
                <w:lang w:eastAsia="tr-TR"/>
              </w:rPr>
            </w:pPr>
          </w:p>
          <w:p w:rsidR="00AA5C8C" w:rsidRPr="00A23740" w:rsidRDefault="00AA5C8C" w:rsidP="009431FF">
            <w:pPr>
              <w:tabs>
                <w:tab w:val="left" w:pos="540"/>
              </w:tabs>
              <w:rPr>
                <w:rFonts w:eastAsia="Times New Roman"/>
                <w:b/>
                <w:strike/>
                <w:color w:val="FF0000"/>
                <w:szCs w:val="24"/>
                <w:lang w:eastAsia="tr-TR"/>
              </w:rPr>
            </w:pPr>
          </w:p>
          <w:p w:rsidR="00AA5C8C" w:rsidRPr="00A23740" w:rsidRDefault="00AA5C8C" w:rsidP="009431FF">
            <w:pPr>
              <w:tabs>
                <w:tab w:val="left" w:pos="540"/>
              </w:tabs>
              <w:rPr>
                <w:rFonts w:eastAsia="Times New Roman"/>
                <w:b/>
                <w:strike/>
                <w:color w:val="FF0000"/>
                <w:szCs w:val="24"/>
                <w:lang w:eastAsia="tr-TR"/>
              </w:rPr>
            </w:pPr>
          </w:p>
          <w:p w:rsidR="00AA5C8C" w:rsidRPr="00A23740" w:rsidRDefault="00AA5C8C" w:rsidP="009431FF">
            <w:pPr>
              <w:tabs>
                <w:tab w:val="left" w:pos="540"/>
              </w:tabs>
              <w:rPr>
                <w:rFonts w:eastAsia="Times New Roman"/>
                <w:b/>
                <w:szCs w:val="24"/>
                <w:lang w:eastAsia="tr-TR"/>
              </w:rPr>
            </w:pPr>
          </w:p>
        </w:tc>
        <w:tc>
          <w:tcPr>
            <w:tcW w:w="2500" w:type="pct"/>
          </w:tcPr>
          <w:p w:rsidR="00AA5C8C" w:rsidRPr="00A23740" w:rsidRDefault="009625AF" w:rsidP="009431FF">
            <w:pPr>
              <w:pStyle w:val="Mavi"/>
            </w:pPr>
            <w:r w:rsidRPr="00BF6B46">
              <w:t>Kıymet takdirine ilişkin ş</w:t>
            </w:r>
            <w:r w:rsidR="00AA5C8C" w:rsidRPr="00A23740">
              <w:rPr>
                <w:rStyle w:val="YELChar"/>
                <w:rFonts w:eastAsia="Calibri"/>
                <w:b/>
                <w:color w:val="0000FF"/>
                <w:lang w:eastAsia="x-none"/>
              </w:rPr>
              <w:t>ik</w:t>
            </w:r>
            <w:r w:rsidR="00B8679E" w:rsidRPr="00A23740">
              <w:rPr>
                <w:rStyle w:val="YELChar"/>
                <w:rFonts w:eastAsia="Calibri"/>
                <w:b/>
                <w:color w:val="0000FF"/>
                <w:lang w:val="tr-TR" w:eastAsia="x-none"/>
              </w:rPr>
              <w:t>â</w:t>
            </w:r>
            <w:r w:rsidR="00AA5C8C" w:rsidRPr="00A23740">
              <w:rPr>
                <w:rStyle w:val="YELChar"/>
                <w:rFonts w:eastAsia="Calibri"/>
                <w:b/>
                <w:color w:val="0000FF"/>
                <w:lang w:eastAsia="x-none"/>
              </w:rPr>
              <w:t>yet başvurusu ve süresi</w:t>
            </w: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MADDE </w:t>
            </w:r>
            <w:r w:rsidR="0025794C" w:rsidRPr="00A23740">
              <w:rPr>
                <w:rStyle w:val="MaviChar"/>
                <w:lang w:val="tr-TR"/>
              </w:rPr>
              <w:t>220</w:t>
            </w:r>
            <w:r w:rsidRPr="00A23740">
              <w:rPr>
                <w:rStyle w:val="MaviChar"/>
              </w:rPr>
              <w:t>-</w:t>
            </w:r>
            <w:r w:rsidRPr="00A23740">
              <w:rPr>
                <w:rFonts w:eastAsia="Times New Roman"/>
                <w:b/>
                <w:color w:val="0000FF"/>
                <w:szCs w:val="24"/>
                <w:lang w:eastAsia="tr-TR"/>
              </w:rPr>
              <w:t xml:space="preserve"> (1) </w:t>
            </w:r>
            <w:r w:rsidR="0051705F" w:rsidRPr="00BF6B46">
              <w:rPr>
                <w:rStyle w:val="MaviChar"/>
              </w:rPr>
              <w:t>218 inci</w:t>
            </w:r>
            <w:r w:rsidR="0051705F" w:rsidRPr="00A23740">
              <w:rPr>
                <w:rFonts w:eastAsia="Times New Roman"/>
                <w:b/>
                <w:color w:val="0000FF"/>
                <w:szCs w:val="24"/>
                <w:lang w:eastAsia="tr-TR"/>
              </w:rPr>
              <w:t xml:space="preserve"> </w:t>
            </w:r>
            <w:r w:rsidRPr="00A23740">
              <w:rPr>
                <w:rStyle w:val="MaviChar"/>
              </w:rPr>
              <w:t>madde</w:t>
            </w:r>
            <w:r w:rsidR="00B74920" w:rsidRPr="00A23740">
              <w:rPr>
                <w:rStyle w:val="MaviChar"/>
                <w:lang w:val="tr-TR"/>
              </w:rPr>
              <w:t xml:space="preserve">ye </w:t>
            </w:r>
            <w:r w:rsidRPr="00A23740">
              <w:rPr>
                <w:rStyle w:val="MaviChar"/>
              </w:rPr>
              <w:t>göre yapılan</w:t>
            </w:r>
            <w:r w:rsidRPr="00A23740">
              <w:t xml:space="preserve"> kıymet takdirinin tebliğ edildiği ilgililer, raporun tebliğinden itibaren</w:t>
            </w:r>
            <w:r w:rsidRPr="00A23740">
              <w:rPr>
                <w:rFonts w:eastAsia="Times New Roman"/>
                <w:b/>
                <w:color w:val="0000FF"/>
                <w:szCs w:val="24"/>
                <w:lang w:eastAsia="tr-TR"/>
              </w:rPr>
              <w:t xml:space="preserve"> </w:t>
            </w:r>
            <w:r w:rsidRPr="00A23740">
              <w:rPr>
                <w:rStyle w:val="MaviChar"/>
                <w:lang w:val="tr-TR"/>
              </w:rPr>
              <w:t>bir hafta</w:t>
            </w:r>
            <w:r w:rsidRPr="00A23740">
              <w:rPr>
                <w:rFonts w:eastAsia="Times New Roman"/>
                <w:b/>
                <w:color w:val="0000FF"/>
                <w:szCs w:val="24"/>
                <w:lang w:eastAsia="tr-TR"/>
              </w:rPr>
              <w:t xml:space="preserve"> </w:t>
            </w:r>
            <w:r w:rsidRPr="00A23740">
              <w:t>içinde</w:t>
            </w:r>
            <w:r w:rsidRPr="00A23740">
              <w:rPr>
                <w:rStyle w:val="MaviChar"/>
              </w:rPr>
              <w:t>,</w:t>
            </w:r>
            <w:r w:rsidRPr="00A23740">
              <w:t xml:space="preserve"> </w:t>
            </w:r>
            <w:r w:rsidRPr="00A23740">
              <w:rPr>
                <w:rStyle w:val="MaviChar"/>
              </w:rPr>
              <w:t>kıymet takdirini yapan</w:t>
            </w:r>
            <w:r w:rsidRPr="00A23740">
              <w:rPr>
                <w:rFonts w:eastAsia="Times New Roman"/>
                <w:szCs w:val="24"/>
                <w:lang w:eastAsia="tr-TR"/>
              </w:rPr>
              <w:t xml:space="preserve"> </w:t>
            </w:r>
            <w:r w:rsidRPr="00A23740">
              <w:t xml:space="preserve">icra </w:t>
            </w:r>
            <w:r w:rsidR="004D4BDB" w:rsidRPr="00A23740">
              <w:rPr>
                <w:rStyle w:val="Balk1Char"/>
                <w:rFonts w:eastAsia="Calibri"/>
              </w:rPr>
              <w:t>ve iflas</w:t>
            </w:r>
            <w:r w:rsidR="004D4BDB" w:rsidRPr="00A23740">
              <w:t xml:space="preserve"> </w:t>
            </w:r>
            <w:r w:rsidRPr="00A23740">
              <w:t>dairesinin bulunduğu yerde</w:t>
            </w:r>
            <w:r w:rsidR="00A42CB5" w:rsidRPr="00A23740">
              <w:t xml:space="preserve">ki </w:t>
            </w:r>
            <w:r w:rsidRPr="00A23740">
              <w:t>icra</w:t>
            </w:r>
            <w:r w:rsidRPr="00A23740">
              <w:rPr>
                <w:rFonts w:eastAsia="Times New Roman"/>
                <w:szCs w:val="24"/>
                <w:lang w:eastAsia="tr-TR"/>
              </w:rPr>
              <w:t xml:space="preserve"> </w:t>
            </w:r>
            <w:r w:rsidRPr="00A23740">
              <w:rPr>
                <w:rStyle w:val="MaviChar"/>
                <w:lang w:val="tr-TR"/>
              </w:rPr>
              <w:t>hukuk</w:t>
            </w:r>
            <w:r w:rsidRPr="00A23740">
              <w:rPr>
                <w:rFonts w:eastAsia="Times New Roman"/>
                <w:szCs w:val="24"/>
                <w:lang w:eastAsia="tr-TR"/>
              </w:rPr>
              <w:t xml:space="preserve"> </w:t>
            </w:r>
            <w:r w:rsidRPr="00A23740">
              <w:t>mahkemesinde</w:t>
            </w:r>
            <w:r w:rsidR="00543D3C" w:rsidRPr="00A23740">
              <w:t>,</w:t>
            </w:r>
            <w:r w:rsidRPr="00A23740">
              <w:rPr>
                <w:rFonts w:eastAsia="Times New Roman"/>
                <w:szCs w:val="24"/>
                <w:lang w:eastAsia="tr-TR"/>
              </w:rPr>
              <w:t xml:space="preserve"> </w:t>
            </w:r>
            <w:r w:rsidR="004F4B9E" w:rsidRPr="00A23740">
              <w:rPr>
                <w:rFonts w:eastAsia="Times New Roman"/>
                <w:b/>
                <w:color w:val="0000FF"/>
                <w:szCs w:val="24"/>
                <w:lang w:eastAsia="tr-TR"/>
              </w:rPr>
              <w:t>gider avansı</w:t>
            </w:r>
            <w:r w:rsidRPr="00A23740">
              <w:rPr>
                <w:rStyle w:val="MaviChar"/>
                <w:lang w:val="tr-TR"/>
              </w:rPr>
              <w:t xml:space="preserve"> tarifesinde yazılı </w:t>
            </w:r>
            <w:r w:rsidR="00543D3C" w:rsidRPr="00A23740">
              <w:rPr>
                <w:rStyle w:val="MaviChar"/>
                <w:lang w:val="tr-TR"/>
              </w:rPr>
              <w:t>tutarı</w:t>
            </w:r>
            <w:r w:rsidRPr="00A23740">
              <w:rPr>
                <w:rStyle w:val="MaviChar"/>
                <w:lang w:val="tr-TR"/>
              </w:rPr>
              <w:t xml:space="preserve"> yatırarak</w:t>
            </w:r>
            <w:r w:rsidRPr="00A23740">
              <w:t xml:space="preserve"> şikâyette bulunabilir.</w:t>
            </w:r>
          </w:p>
          <w:p w:rsidR="00AA5C8C" w:rsidRPr="00A23740" w:rsidRDefault="00AA5C8C" w:rsidP="009431FF">
            <w:pPr>
              <w:tabs>
                <w:tab w:val="left" w:pos="567"/>
              </w:tabs>
              <w:rPr>
                <w:rFonts w:eastAsia="Times New Roman"/>
                <w:b/>
                <w:color w:val="0000FF"/>
                <w:szCs w:val="24"/>
                <w:lang w:eastAsia="tr-TR"/>
              </w:rPr>
            </w:pPr>
          </w:p>
          <w:p w:rsidR="008C2C3C" w:rsidRPr="00A23740" w:rsidRDefault="008C2C3C" w:rsidP="009431FF">
            <w:pPr>
              <w:rPr>
                <w:rFonts w:eastAsia="Times New Roman"/>
                <w:b/>
                <w:color w:val="0000FF"/>
                <w:szCs w:val="24"/>
                <w:lang w:eastAsia="tr-TR"/>
              </w:rPr>
            </w:pPr>
          </w:p>
          <w:p w:rsidR="00B74920"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(2) </w:t>
            </w:r>
            <w:r w:rsidR="00124530" w:rsidRPr="00A23740">
              <w:rPr>
                <w:rFonts w:eastAsia="Times New Roman"/>
                <w:b/>
                <w:color w:val="0000FF"/>
                <w:szCs w:val="24"/>
                <w:lang w:eastAsia="tr-TR"/>
              </w:rPr>
              <w:t xml:space="preserve">İlgililer, kıymet </w:t>
            </w:r>
            <w:r w:rsidRPr="00A23740">
              <w:rPr>
                <w:rFonts w:eastAsia="Times New Roman"/>
                <w:b/>
                <w:color w:val="0000FF"/>
                <w:szCs w:val="24"/>
                <w:lang w:eastAsia="tr-TR"/>
              </w:rPr>
              <w:t>takdirine karşı süresi içinde şik</w:t>
            </w:r>
            <w:r w:rsidR="004D4BDB" w:rsidRPr="00A23740">
              <w:rPr>
                <w:rFonts w:eastAsia="Times New Roman"/>
                <w:b/>
                <w:color w:val="0000FF"/>
                <w:szCs w:val="24"/>
                <w:lang w:eastAsia="tr-TR"/>
              </w:rPr>
              <w:t>â</w:t>
            </w:r>
            <w:r w:rsidRPr="00A23740">
              <w:rPr>
                <w:rFonts w:eastAsia="Times New Roman"/>
                <w:b/>
                <w:color w:val="0000FF"/>
                <w:szCs w:val="24"/>
                <w:lang w:eastAsia="tr-TR"/>
              </w:rPr>
              <w:t>yette</w:t>
            </w:r>
            <w:r w:rsidR="009C30CE" w:rsidRPr="00A23740">
              <w:rPr>
                <w:rFonts w:eastAsia="Times New Roman"/>
                <w:b/>
                <w:color w:val="0000FF"/>
                <w:szCs w:val="24"/>
                <w:lang w:eastAsia="tr-TR"/>
              </w:rPr>
              <w:t xml:space="preserve"> </w:t>
            </w:r>
            <w:r w:rsidR="004D4BDB" w:rsidRPr="00A23740">
              <w:rPr>
                <w:rFonts w:eastAsia="Times New Roman"/>
                <w:b/>
                <w:color w:val="0000FF"/>
                <w:szCs w:val="24"/>
                <w:lang w:eastAsia="tr-TR"/>
              </w:rPr>
              <w:t xml:space="preserve">bulunmazlarsa, </w:t>
            </w:r>
            <w:r w:rsidR="009C30CE" w:rsidRPr="00A23740">
              <w:rPr>
                <w:rFonts w:eastAsia="Times New Roman"/>
                <w:b/>
                <w:color w:val="0000FF"/>
                <w:szCs w:val="24"/>
                <w:lang w:eastAsia="tr-TR"/>
              </w:rPr>
              <w:t>kıymet takdirinin usulsüzlüğünü</w:t>
            </w:r>
            <w:r w:rsidRPr="00A23740">
              <w:rPr>
                <w:rFonts w:eastAsia="Times New Roman"/>
                <w:b/>
                <w:color w:val="0000FF"/>
                <w:szCs w:val="24"/>
                <w:lang w:eastAsia="tr-TR"/>
              </w:rPr>
              <w:t xml:space="preserve"> ihalenin </w:t>
            </w:r>
            <w:r w:rsidRPr="00A23740">
              <w:rPr>
                <w:rStyle w:val="MaviChar"/>
              </w:rPr>
              <w:t>iptali</w:t>
            </w:r>
            <w:r w:rsidRPr="00A23740">
              <w:rPr>
                <w:rFonts w:eastAsia="Times New Roman"/>
                <w:b/>
                <w:color w:val="0000FF"/>
                <w:szCs w:val="24"/>
                <w:lang w:eastAsia="tr-TR"/>
              </w:rPr>
              <w:t xml:space="preserve"> sebebi olarak ileri</w:t>
            </w:r>
            <w:r w:rsidR="004D4BDB" w:rsidRPr="00A23740">
              <w:rPr>
                <w:rFonts w:eastAsia="Times New Roman"/>
                <w:b/>
                <w:color w:val="0000FF"/>
                <w:szCs w:val="24"/>
                <w:lang w:eastAsia="tr-TR"/>
              </w:rPr>
              <w:t xml:space="preserve"> süremezler.</w:t>
            </w:r>
          </w:p>
          <w:p w:rsidR="009C30CE" w:rsidRPr="00A23740" w:rsidRDefault="009C30CE" w:rsidP="009431FF">
            <w:pPr>
              <w:rPr>
                <w:rFonts w:eastAsia="Times New Roman"/>
                <w:b/>
                <w:color w:val="0000FF"/>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C11B2F" w:rsidRPr="00A23740" w:rsidRDefault="00C11B2F" w:rsidP="009431FF">
            <w:pPr>
              <w:tabs>
                <w:tab w:val="left" w:pos="567"/>
              </w:tabs>
              <w:ind w:firstLine="709"/>
              <w:rPr>
                <w:rFonts w:eastAsia="Times New Roman"/>
                <w:szCs w:val="24"/>
                <w:lang w:eastAsia="tr-TR"/>
              </w:rPr>
            </w:pPr>
            <w:r w:rsidRPr="00A23740">
              <w:rPr>
                <w:b/>
                <w:bCs/>
                <w:szCs w:val="24"/>
                <w:lang w:eastAsia="x-none"/>
              </w:rPr>
              <w:t xml:space="preserve">MADDE </w:t>
            </w:r>
            <w:r w:rsidR="0025794C" w:rsidRPr="00A23740">
              <w:rPr>
                <w:b/>
                <w:bCs/>
                <w:szCs w:val="24"/>
                <w:lang w:eastAsia="x-none"/>
              </w:rPr>
              <w:t>220</w:t>
            </w:r>
            <w:r w:rsidRPr="00A23740">
              <w:rPr>
                <w:b/>
                <w:bCs/>
                <w:szCs w:val="24"/>
                <w:lang w:eastAsia="x-none"/>
              </w:rPr>
              <w:t>-</w:t>
            </w:r>
            <w:r w:rsidRPr="00A23740">
              <w:rPr>
                <w:rFonts w:eastAsia="Times New Roman"/>
                <w:color w:val="000000"/>
                <w:szCs w:val="24"/>
                <w:lang w:eastAsia="tr-TR"/>
              </w:rPr>
              <w:t xml:space="preserve"> Maddeyle,</w:t>
            </w:r>
            <w:r w:rsidRPr="00A23740">
              <w:t xml:space="preserve"> </w:t>
            </w:r>
            <w:r w:rsidRPr="00A23740">
              <w:rPr>
                <w:rFonts w:eastAsia="Times New Roman"/>
                <w:color w:val="000000"/>
                <w:szCs w:val="24"/>
                <w:lang w:eastAsia="tr-TR"/>
              </w:rPr>
              <w:t>kıymet takdirine ilişkin şikâyet başvurusu ve süresine ilişkin hususlar</w:t>
            </w:r>
            <w:r w:rsidRPr="00A23740">
              <w:rPr>
                <w:rFonts w:eastAsia="Times New Roman"/>
                <w:szCs w:val="24"/>
                <w:lang w:eastAsia="tr-TR"/>
              </w:rPr>
              <w:t xml:space="preserve"> düzenlenmektedir. </w:t>
            </w:r>
          </w:p>
          <w:p w:rsidR="00C11B2F" w:rsidRPr="00A23740" w:rsidRDefault="00C11B2F" w:rsidP="009431FF">
            <w:pPr>
              <w:tabs>
                <w:tab w:val="left" w:pos="567"/>
              </w:tabs>
              <w:ind w:firstLine="709"/>
              <w:rPr>
                <w:rFonts w:eastAsia="Times New Roman"/>
                <w:szCs w:val="24"/>
                <w:lang w:eastAsia="tr-TR"/>
              </w:rPr>
            </w:pPr>
            <w:r w:rsidRPr="00A23740">
              <w:rPr>
                <w:rFonts w:eastAsia="Times New Roman"/>
                <w:szCs w:val="24"/>
                <w:lang w:eastAsia="tr-TR"/>
              </w:rPr>
              <w:t>Birinci fıkrayla,</w:t>
            </w:r>
            <w:r w:rsidRPr="00A23740">
              <w:rPr>
                <w:b/>
                <w:bCs/>
                <w:color w:val="0000FF"/>
                <w:szCs w:val="24"/>
                <w:lang w:val="x-none" w:eastAsia="x-none"/>
              </w:rPr>
              <w:t xml:space="preserve"> </w:t>
            </w:r>
            <w:r w:rsidR="00713191" w:rsidRPr="00D60C1D">
              <w:rPr>
                <w:rStyle w:val="KonuBalChar"/>
                <w:rFonts w:eastAsia="Calibri"/>
                <w:b w:val="0"/>
                <w:color w:val="000000"/>
              </w:rPr>
              <w:t>218 inci</w:t>
            </w:r>
            <w:r w:rsidR="00713191" w:rsidRPr="00A23740">
              <w:rPr>
                <w:rFonts w:eastAsia="Times New Roman"/>
                <w:b/>
                <w:color w:val="0000FF"/>
                <w:szCs w:val="24"/>
                <w:lang w:eastAsia="tr-TR"/>
              </w:rPr>
              <w:t xml:space="preserve"> </w:t>
            </w:r>
            <w:r w:rsidR="00B74920" w:rsidRPr="00A23740">
              <w:rPr>
                <w:rFonts w:eastAsia="Times New Roman"/>
                <w:szCs w:val="24"/>
                <w:lang w:eastAsia="tr-TR"/>
              </w:rPr>
              <w:t>madde</w:t>
            </w:r>
            <w:r w:rsidR="00A73665" w:rsidRPr="00A23740">
              <w:rPr>
                <w:rFonts w:eastAsia="Times New Roman"/>
                <w:szCs w:val="24"/>
                <w:lang w:eastAsia="tr-TR"/>
              </w:rPr>
              <w:t xml:space="preserve">ye </w:t>
            </w:r>
            <w:r w:rsidRPr="00A23740">
              <w:rPr>
                <w:rFonts w:eastAsia="Times New Roman"/>
                <w:szCs w:val="24"/>
                <w:lang w:eastAsia="tr-TR"/>
              </w:rPr>
              <w:t>göre yapılan kıymet takdiri</w:t>
            </w:r>
            <w:r w:rsidR="0097576B" w:rsidRPr="00A23740">
              <w:rPr>
                <w:rFonts w:eastAsia="Times New Roman"/>
                <w:szCs w:val="24"/>
                <w:lang w:eastAsia="tr-TR"/>
              </w:rPr>
              <w:t xml:space="preserve"> raporunun</w:t>
            </w:r>
            <w:r w:rsidRPr="00A23740">
              <w:rPr>
                <w:rFonts w:eastAsia="Times New Roman"/>
                <w:szCs w:val="24"/>
                <w:lang w:eastAsia="tr-TR"/>
              </w:rPr>
              <w:t xml:space="preserve"> tebliğ edildiği ilgililerin, raporun tebliğinden itibaren bir hafta içinde, kıymet takdirini yapan icra </w:t>
            </w:r>
            <w:r w:rsidR="004D4BDB" w:rsidRPr="00D60C1D">
              <w:rPr>
                <w:rStyle w:val="Balk1Char"/>
                <w:rFonts w:eastAsia="Calibri"/>
                <w:b w:val="0"/>
                <w:color w:val="000000"/>
              </w:rPr>
              <w:t>ve iflas</w:t>
            </w:r>
            <w:r w:rsidR="004D4BDB" w:rsidRPr="00A23740">
              <w:rPr>
                <w:rFonts w:eastAsia="Times New Roman"/>
                <w:szCs w:val="24"/>
                <w:lang w:eastAsia="tr-TR"/>
              </w:rPr>
              <w:t xml:space="preserve"> </w:t>
            </w:r>
            <w:r w:rsidRPr="00A23740">
              <w:rPr>
                <w:rFonts w:eastAsia="Times New Roman"/>
                <w:szCs w:val="24"/>
                <w:lang w:eastAsia="tr-TR"/>
              </w:rPr>
              <w:t xml:space="preserve">dairesinin bulunduğu yerdeki icra hukuk mahkemesinde icra gider avansı tarifesinde yazılı </w:t>
            </w:r>
            <w:r w:rsidR="00B74920" w:rsidRPr="00A23740">
              <w:rPr>
                <w:rFonts w:eastAsia="Times New Roman"/>
                <w:szCs w:val="24"/>
                <w:lang w:eastAsia="tr-TR"/>
              </w:rPr>
              <w:t>avansı</w:t>
            </w:r>
            <w:r w:rsidRPr="00A23740">
              <w:rPr>
                <w:rFonts w:eastAsia="Times New Roman"/>
                <w:szCs w:val="24"/>
                <w:lang w:eastAsia="tr-TR"/>
              </w:rPr>
              <w:t xml:space="preserve"> yatırarak şikâyette bulunabilece</w:t>
            </w:r>
            <w:r w:rsidR="0097576B" w:rsidRPr="00A23740">
              <w:rPr>
                <w:rFonts w:eastAsia="Times New Roman"/>
                <w:szCs w:val="24"/>
                <w:lang w:eastAsia="tr-TR"/>
              </w:rPr>
              <w:t>kleri</w:t>
            </w:r>
            <w:r w:rsidRPr="00A23740">
              <w:rPr>
                <w:rFonts w:eastAsia="Times New Roman"/>
                <w:szCs w:val="24"/>
                <w:lang w:eastAsia="tr-TR"/>
              </w:rPr>
              <w:t xml:space="preserve"> düzenlenmektedir. </w:t>
            </w:r>
            <w:r w:rsidR="00B74920" w:rsidRPr="00A23740">
              <w:rPr>
                <w:rFonts w:eastAsia="Times New Roman"/>
                <w:szCs w:val="24"/>
                <w:lang w:eastAsia="tr-TR"/>
              </w:rPr>
              <w:t xml:space="preserve">2004 sayılı Kanunun 128/a maddesinin birinci fıkrasında yer alan “raporu düzenleyen” ifadesi, “kıymet takdirini yapan” icra </w:t>
            </w:r>
            <w:r w:rsidR="004D4BDB" w:rsidRPr="00D60C1D">
              <w:rPr>
                <w:rStyle w:val="Balk1Char"/>
                <w:rFonts w:eastAsia="Calibri"/>
                <w:b w:val="0"/>
                <w:color w:val="000000"/>
              </w:rPr>
              <w:t>ve iflas</w:t>
            </w:r>
            <w:r w:rsidR="004D4BDB" w:rsidRPr="00A23740">
              <w:rPr>
                <w:rFonts w:eastAsia="Times New Roman"/>
                <w:szCs w:val="24"/>
                <w:lang w:eastAsia="tr-TR"/>
              </w:rPr>
              <w:t xml:space="preserve"> </w:t>
            </w:r>
            <w:r w:rsidR="00B74920" w:rsidRPr="00A23740">
              <w:rPr>
                <w:rFonts w:eastAsia="Times New Roman"/>
                <w:szCs w:val="24"/>
                <w:lang w:eastAsia="tr-TR"/>
              </w:rPr>
              <w:t xml:space="preserve">dairesi olarak değiştirilerek açıklığa kavuşturulmaktadır. </w:t>
            </w:r>
            <w:r w:rsidRPr="00A23740">
              <w:rPr>
                <w:rFonts w:eastAsia="Times New Roman"/>
                <w:szCs w:val="24"/>
                <w:lang w:eastAsia="tr-TR"/>
              </w:rPr>
              <w:t>Fıkra, 2004 sayılı Kanunun 128/a maddesinin birinci fıkrasına karşılık gelmektedir.</w:t>
            </w:r>
          </w:p>
          <w:p w:rsidR="009A2F56" w:rsidRPr="00A23740" w:rsidRDefault="00C11B2F" w:rsidP="001971CE">
            <w:pPr>
              <w:tabs>
                <w:tab w:val="left" w:pos="567"/>
              </w:tabs>
              <w:ind w:firstLine="709"/>
              <w:rPr>
                <w:rFonts w:eastAsia="Times New Roman"/>
                <w:color w:val="000000"/>
                <w:szCs w:val="24"/>
                <w:lang w:eastAsia="tr-TR"/>
              </w:rPr>
            </w:pPr>
            <w:r w:rsidRPr="00A23740">
              <w:rPr>
                <w:rFonts w:eastAsia="Times New Roman"/>
                <w:szCs w:val="24"/>
                <w:lang w:eastAsia="tr-TR"/>
              </w:rPr>
              <w:t>İkinci fıkra</w:t>
            </w:r>
            <w:r w:rsidR="0097576B" w:rsidRPr="00A23740">
              <w:rPr>
                <w:rFonts w:eastAsia="Times New Roman"/>
                <w:szCs w:val="24"/>
                <w:lang w:eastAsia="tr-TR"/>
              </w:rPr>
              <w:t>da</w:t>
            </w:r>
            <w:r w:rsidRPr="00A23740">
              <w:rPr>
                <w:rFonts w:eastAsia="Times New Roman"/>
                <w:szCs w:val="24"/>
                <w:lang w:eastAsia="tr-TR"/>
              </w:rPr>
              <w:t>, bir yenilik olarak, ilgililerin kıymet takdirine karşı süresi içinde şik</w:t>
            </w:r>
            <w:r w:rsidR="004D4BDB" w:rsidRPr="00A23740">
              <w:rPr>
                <w:rFonts w:eastAsia="Times New Roman"/>
                <w:szCs w:val="24"/>
                <w:lang w:eastAsia="tr-TR"/>
              </w:rPr>
              <w:t>â</w:t>
            </w:r>
            <w:r w:rsidRPr="00A23740">
              <w:rPr>
                <w:rFonts w:eastAsia="Times New Roman"/>
                <w:szCs w:val="24"/>
                <w:lang w:eastAsia="tr-TR"/>
              </w:rPr>
              <w:t xml:space="preserve">yette </w:t>
            </w:r>
            <w:r w:rsidR="004D4BDB" w:rsidRPr="00D60C1D">
              <w:rPr>
                <w:rStyle w:val="Balk1Char"/>
                <w:rFonts w:eastAsia="Calibri"/>
                <w:b w:val="0"/>
                <w:color w:val="000000"/>
              </w:rPr>
              <w:t>bulunmamalarının</w:t>
            </w:r>
            <w:r w:rsidR="004D4BDB" w:rsidRPr="00A23740">
              <w:rPr>
                <w:rFonts w:eastAsia="Times New Roman"/>
                <w:szCs w:val="24"/>
                <w:lang w:eastAsia="tr-TR"/>
              </w:rPr>
              <w:t xml:space="preserve"> </w:t>
            </w:r>
            <w:r w:rsidRPr="00A23740">
              <w:rPr>
                <w:rFonts w:eastAsia="Times New Roman"/>
                <w:szCs w:val="24"/>
                <w:lang w:eastAsia="tr-TR"/>
              </w:rPr>
              <w:t xml:space="preserve">sonucu düzenlenmektedir. Buna göre, </w:t>
            </w:r>
            <w:r w:rsidR="00A73665" w:rsidRPr="00A23740">
              <w:rPr>
                <w:rFonts w:eastAsia="Times New Roman"/>
                <w:szCs w:val="24"/>
                <w:lang w:eastAsia="tr-TR"/>
              </w:rPr>
              <w:t xml:space="preserve">ilgililer, </w:t>
            </w:r>
            <w:r w:rsidRPr="00A23740">
              <w:rPr>
                <w:rFonts w:eastAsia="Times New Roman"/>
                <w:szCs w:val="24"/>
                <w:lang w:eastAsia="tr-TR"/>
              </w:rPr>
              <w:t>kıymet takdirine karşı süresi içinde şikâyette</w:t>
            </w:r>
            <w:r w:rsidR="009C30CE" w:rsidRPr="00A23740">
              <w:rPr>
                <w:rFonts w:eastAsia="Times New Roman"/>
                <w:szCs w:val="24"/>
                <w:lang w:eastAsia="tr-TR"/>
              </w:rPr>
              <w:t xml:space="preserve"> </w:t>
            </w:r>
            <w:r w:rsidR="004D4BDB" w:rsidRPr="00D60C1D">
              <w:rPr>
                <w:rStyle w:val="Balk1Char"/>
                <w:rFonts w:eastAsia="Calibri"/>
                <w:b w:val="0"/>
                <w:color w:val="000000"/>
              </w:rPr>
              <w:t>bulunmazlarsa,</w:t>
            </w:r>
            <w:r w:rsidR="004D4BDB" w:rsidRPr="00A23740">
              <w:rPr>
                <w:rFonts w:eastAsia="Times New Roman"/>
                <w:szCs w:val="24"/>
                <w:lang w:eastAsia="tr-TR"/>
              </w:rPr>
              <w:t xml:space="preserve"> </w:t>
            </w:r>
            <w:r w:rsidR="009C30CE" w:rsidRPr="00A23740">
              <w:rPr>
                <w:rFonts w:eastAsia="Times New Roman"/>
                <w:szCs w:val="24"/>
                <w:lang w:eastAsia="tr-TR"/>
              </w:rPr>
              <w:t>kıymet takdirinin usulsüzlüğünü</w:t>
            </w:r>
            <w:r w:rsidRPr="00A23740">
              <w:rPr>
                <w:rFonts w:eastAsia="Times New Roman"/>
                <w:szCs w:val="24"/>
                <w:lang w:eastAsia="tr-TR"/>
              </w:rPr>
              <w:t xml:space="preserve"> ihalenin iptali sebebi </w:t>
            </w:r>
            <w:r w:rsidR="009C30CE" w:rsidRPr="00A23740">
              <w:rPr>
                <w:rFonts w:eastAsia="Times New Roman"/>
                <w:szCs w:val="24"/>
                <w:lang w:eastAsia="tr-TR"/>
              </w:rPr>
              <w:t xml:space="preserve">olarak ileri </w:t>
            </w:r>
            <w:r w:rsidR="004D4BDB" w:rsidRPr="00D60C1D">
              <w:rPr>
                <w:rStyle w:val="Balk1Char"/>
                <w:rFonts w:eastAsia="Calibri"/>
                <w:b w:val="0"/>
                <w:color w:val="000000"/>
              </w:rPr>
              <w:t>süremezler.</w:t>
            </w:r>
            <w:r w:rsidR="004D4BDB" w:rsidRPr="00A23740">
              <w:rPr>
                <w:rFonts w:eastAsia="Times New Roman"/>
                <w:szCs w:val="24"/>
                <w:lang w:eastAsia="tr-TR"/>
              </w:rPr>
              <w:t xml:space="preserve"> </w:t>
            </w:r>
            <w:r w:rsidR="009C30CE" w:rsidRPr="00A23740">
              <w:rPr>
                <w:rFonts w:eastAsia="Times New Roman"/>
                <w:szCs w:val="24"/>
                <w:lang w:eastAsia="tr-TR"/>
              </w:rPr>
              <w:t xml:space="preserve">Hükümle, </w:t>
            </w:r>
            <w:r w:rsidR="00FE045C" w:rsidRPr="00A23740">
              <w:rPr>
                <w:rFonts w:eastAsia="Times New Roman"/>
                <w:szCs w:val="24"/>
                <w:lang w:eastAsia="tr-TR"/>
              </w:rPr>
              <w:t>bu hususla ilgili olarak uygulamada oluşabilecek</w:t>
            </w:r>
            <w:r w:rsidR="009C30CE" w:rsidRPr="00A23740">
              <w:rPr>
                <w:rFonts w:eastAsia="Times New Roman"/>
                <w:szCs w:val="24"/>
                <w:lang w:eastAsia="tr-TR"/>
              </w:rPr>
              <w:t xml:space="preserve"> tereddütlerin giderilmesi amaçlanmaktadır.</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1971CE">
            <w:pPr>
              <w:pStyle w:val="KIRMIZI"/>
              <w:widowControl w:val="0"/>
            </w:pPr>
            <w:r w:rsidRPr="00A23740">
              <w:t>Kıymet takdirine ilişkin şikâyet:</w:t>
            </w:r>
          </w:p>
          <w:p w:rsidR="00AA5C8C" w:rsidRPr="00A23740" w:rsidRDefault="00AA5C8C" w:rsidP="001971CE">
            <w:pPr>
              <w:widowControl w:val="0"/>
              <w:tabs>
                <w:tab w:val="left" w:pos="540"/>
              </w:tabs>
              <w:rPr>
                <w:rFonts w:eastAsia="Times New Roman"/>
                <w:b/>
                <w:szCs w:val="24"/>
                <w:lang w:eastAsia="tr-TR"/>
              </w:rPr>
            </w:pPr>
            <w:r w:rsidRPr="00A23740">
              <w:rPr>
                <w:rStyle w:val="KIRMIZIChar"/>
                <w:rFonts w:eastAsia="Calibri"/>
              </w:rPr>
              <w:t>Madde 128/a- (1) (Ek</w:t>
            </w:r>
            <w:r w:rsidRPr="00A23740">
              <w:rPr>
                <w:rFonts w:eastAsia="Times New Roman"/>
                <w:b/>
                <w:strike/>
                <w:color w:val="FF0000"/>
                <w:szCs w:val="24"/>
                <w:lang w:eastAsia="tr-TR"/>
              </w:rPr>
              <w:t xml:space="preserve"> : 17/7/2003-4949/34 md.)</w:t>
            </w:r>
          </w:p>
          <w:p w:rsidR="00AA5C8C" w:rsidRPr="00A23740" w:rsidRDefault="00AA5C8C" w:rsidP="001971CE">
            <w:pPr>
              <w:widowControl w:val="0"/>
              <w:tabs>
                <w:tab w:val="left" w:pos="540"/>
              </w:tabs>
            </w:pPr>
            <w:r w:rsidRPr="00A23740">
              <w:rPr>
                <w:rStyle w:val="KIRMIZIChar"/>
                <w:rFonts w:eastAsia="Calibri"/>
              </w:rPr>
              <w:t>Kıymet takdirinin tebliğ edildiği ilgililer, raporun tebliğinden itibaren yedi gün içinde raporu düzenleten icra dairesinin bulunduğu yerdeki icra mahkemesinde şikâyette bulunabilirler.</w:t>
            </w:r>
            <w:r w:rsidRPr="00A23740">
              <w:rPr>
                <w:rFonts w:eastAsia="Times New Roman"/>
                <w:szCs w:val="24"/>
                <w:lang w:eastAsia="tr-TR"/>
              </w:rPr>
              <w:t xml:space="preserve"> </w:t>
            </w:r>
            <w:r w:rsidRPr="00A23740">
              <w:rPr>
                <w:rStyle w:val="KIRMIZIChar"/>
                <w:rFonts w:eastAsia="Calibri"/>
              </w:rPr>
              <w:t>Şikâyet tarihinden itibaren yedi gün içinde gerekli</w:t>
            </w:r>
            <w:r w:rsidRPr="00A23740">
              <w:t xml:space="preserve"> </w:t>
            </w:r>
            <w:r w:rsidRPr="00A23740">
              <w:rPr>
                <w:rStyle w:val="KIRMIZIChar"/>
                <w:rFonts w:eastAsia="Calibri"/>
              </w:rPr>
              <w:t>masraf</w:t>
            </w:r>
            <w:r w:rsidRPr="00A23740">
              <w:t xml:space="preserve"> </w:t>
            </w:r>
            <w:r w:rsidRPr="00A23740">
              <w:rPr>
                <w:rStyle w:val="KIRMIZIChar"/>
                <w:rFonts w:eastAsia="Calibri"/>
              </w:rPr>
              <w:t>ve ücretin mahkeme veznesine</w:t>
            </w:r>
            <w:r w:rsidRPr="00A23740">
              <w:t xml:space="preserve"> yatırılması hâlinde yeniden bilirkişi incelemesi yaptırıl</w:t>
            </w:r>
            <w:r w:rsidRPr="00A23740">
              <w:rPr>
                <w:rStyle w:val="KIRMIZIChar"/>
                <w:rFonts w:eastAsia="Calibri"/>
              </w:rPr>
              <w:t xml:space="preserve">abilir; </w:t>
            </w:r>
            <w:r w:rsidRPr="00A23740">
              <w:t xml:space="preserve">aksi hâlde başka bir işleme gerek </w:t>
            </w:r>
            <w:r w:rsidRPr="00A23740">
              <w:rPr>
                <w:rStyle w:val="KIRMIZIChar"/>
                <w:rFonts w:eastAsia="Calibri"/>
              </w:rPr>
              <w:t>olmaksızın</w:t>
            </w:r>
            <w:r w:rsidRPr="00A23740">
              <w:t xml:space="preserve"> şikâyet kesin olarak reddedilir.</w:t>
            </w:r>
          </w:p>
          <w:p w:rsidR="00AA5C8C" w:rsidRPr="00A23740" w:rsidRDefault="00AA5C8C" w:rsidP="001971CE">
            <w:pPr>
              <w:pStyle w:val="KIRMIZI"/>
              <w:widowControl w:val="0"/>
              <w:rPr>
                <w:lang w:val="tr-TR"/>
              </w:rPr>
            </w:pPr>
          </w:p>
          <w:p w:rsidR="00AA5C8C" w:rsidRPr="00A23740" w:rsidRDefault="00AA5C8C" w:rsidP="001971CE">
            <w:pPr>
              <w:widowControl w:val="0"/>
              <w:tabs>
                <w:tab w:val="left" w:pos="540"/>
              </w:tabs>
              <w:rPr>
                <w:rFonts w:eastAsia="Times New Roman"/>
                <w:szCs w:val="24"/>
                <w:lang w:eastAsia="tr-TR"/>
              </w:rPr>
            </w:pPr>
            <w:r w:rsidRPr="00A23740">
              <w:rPr>
                <w:rFonts w:eastAsia="Times New Roman"/>
                <w:b/>
                <w:strike/>
                <w:color w:val="FF0000"/>
                <w:szCs w:val="24"/>
                <w:lang w:eastAsia="tr-TR"/>
              </w:rPr>
              <w:t xml:space="preserve">(2) … </w:t>
            </w:r>
          </w:p>
          <w:p w:rsidR="00AA5C8C" w:rsidRPr="00A23740" w:rsidRDefault="00AA5C8C" w:rsidP="001971CE">
            <w:pPr>
              <w:widowControl w:val="0"/>
              <w:tabs>
                <w:tab w:val="left" w:pos="540"/>
              </w:tabs>
              <w:rPr>
                <w:rFonts w:eastAsia="Times New Roman"/>
                <w:szCs w:val="24"/>
                <w:lang w:eastAsia="tr-TR"/>
              </w:rPr>
            </w:pPr>
          </w:p>
          <w:p w:rsidR="007C61CF" w:rsidRPr="00A23740" w:rsidRDefault="007C61CF" w:rsidP="001971CE">
            <w:pPr>
              <w:widowControl w:val="0"/>
              <w:tabs>
                <w:tab w:val="left" w:pos="540"/>
              </w:tabs>
              <w:rPr>
                <w:rFonts w:eastAsia="Times New Roman"/>
                <w:szCs w:val="24"/>
                <w:lang w:eastAsia="tr-TR"/>
              </w:rPr>
            </w:pPr>
          </w:p>
          <w:p w:rsidR="007C61CF" w:rsidRPr="00A23740" w:rsidRDefault="007C61CF" w:rsidP="001971CE">
            <w:pPr>
              <w:widowControl w:val="0"/>
              <w:tabs>
                <w:tab w:val="left" w:pos="540"/>
              </w:tabs>
              <w:rPr>
                <w:rFonts w:eastAsia="Times New Roman"/>
                <w:szCs w:val="24"/>
                <w:lang w:eastAsia="tr-TR"/>
              </w:rPr>
            </w:pPr>
          </w:p>
          <w:p w:rsidR="007C61CF" w:rsidRPr="00A23740" w:rsidRDefault="007C61CF" w:rsidP="001971CE">
            <w:pPr>
              <w:widowControl w:val="0"/>
              <w:tabs>
                <w:tab w:val="left" w:pos="540"/>
              </w:tabs>
              <w:rPr>
                <w:rFonts w:eastAsia="Times New Roman"/>
                <w:szCs w:val="24"/>
                <w:lang w:eastAsia="tr-TR"/>
              </w:rPr>
            </w:pPr>
          </w:p>
          <w:p w:rsidR="007C61CF" w:rsidRPr="00A23740" w:rsidRDefault="007C61CF" w:rsidP="001971CE">
            <w:pPr>
              <w:widowControl w:val="0"/>
              <w:tabs>
                <w:tab w:val="left" w:pos="540"/>
              </w:tabs>
              <w:rPr>
                <w:rFonts w:eastAsia="Times New Roman"/>
                <w:szCs w:val="24"/>
                <w:lang w:eastAsia="tr-TR"/>
              </w:rPr>
            </w:pPr>
          </w:p>
          <w:p w:rsidR="007C61CF" w:rsidRPr="00A23740" w:rsidRDefault="007C61CF" w:rsidP="001971CE">
            <w:pPr>
              <w:widowControl w:val="0"/>
              <w:tabs>
                <w:tab w:val="left" w:pos="540"/>
              </w:tabs>
              <w:rPr>
                <w:rFonts w:eastAsia="Times New Roman"/>
                <w:szCs w:val="24"/>
                <w:lang w:eastAsia="tr-TR"/>
              </w:rPr>
            </w:pPr>
          </w:p>
          <w:p w:rsidR="007C61CF" w:rsidRPr="00A23740" w:rsidRDefault="007C61CF" w:rsidP="001971CE">
            <w:pPr>
              <w:widowControl w:val="0"/>
              <w:tabs>
                <w:tab w:val="left" w:pos="540"/>
              </w:tabs>
              <w:rPr>
                <w:rFonts w:eastAsia="Times New Roman"/>
                <w:szCs w:val="24"/>
                <w:lang w:eastAsia="tr-TR"/>
              </w:rPr>
            </w:pPr>
          </w:p>
          <w:p w:rsidR="00AA5C8C" w:rsidRPr="00A23740" w:rsidRDefault="00AA5C8C" w:rsidP="001971CE">
            <w:pPr>
              <w:widowControl w:val="0"/>
              <w:tabs>
                <w:tab w:val="left" w:pos="567"/>
              </w:tabs>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Kıymet takdirine ilişkin şikâyet yetkisiz icra mahkemesine yapılırsa, </w:t>
            </w:r>
            <w:r w:rsidRPr="00A23740">
              <w:rPr>
                <w:rStyle w:val="KIRMIZIChar"/>
                <w:rFonts w:eastAsia="Calibri"/>
              </w:rPr>
              <w:t>icra</w:t>
            </w:r>
            <w:r w:rsidRPr="00A23740">
              <w:rPr>
                <w:rFonts w:eastAsia="Times New Roman"/>
                <w:szCs w:val="24"/>
                <w:lang w:eastAsia="tr-TR"/>
              </w:rPr>
              <w:t xml:space="preserve"> mahkeme</w:t>
            </w:r>
            <w:r w:rsidRPr="00A23740">
              <w:rPr>
                <w:rStyle w:val="KIRMIZIChar"/>
                <w:rFonts w:eastAsia="Calibri"/>
              </w:rPr>
              <w:t>si</w:t>
            </w:r>
            <w:r w:rsidRPr="00A23740">
              <w:rPr>
                <w:rFonts w:eastAsia="Times New Roman"/>
                <w:szCs w:val="24"/>
                <w:lang w:eastAsia="tr-TR"/>
              </w:rPr>
              <w:t xml:space="preserve"> </w:t>
            </w:r>
            <w:r w:rsidRPr="00A23740">
              <w:rPr>
                <w:rStyle w:val="KIRMIZIChar"/>
                <w:rFonts w:eastAsia="Calibri"/>
              </w:rPr>
              <w:t>evrak</w:t>
            </w:r>
            <w:r w:rsidRPr="00A23740">
              <w:rPr>
                <w:rFonts w:eastAsia="Times New Roman"/>
                <w:szCs w:val="24"/>
                <w:lang w:eastAsia="tr-TR"/>
              </w:rPr>
              <w:t xml:space="preserve"> üzerinde inceleme yaparak başvuru tarihinden itibaren en geç </w:t>
            </w:r>
            <w:r w:rsidRPr="00A23740">
              <w:rPr>
                <w:rStyle w:val="KIRMIZIChar"/>
                <w:rFonts w:eastAsia="Calibri"/>
              </w:rPr>
              <w:t>on gün</w:t>
            </w:r>
            <w:r w:rsidRPr="00A23740">
              <w:rPr>
                <w:rFonts w:eastAsia="Times New Roman"/>
                <w:szCs w:val="24"/>
                <w:lang w:eastAsia="tr-TR"/>
              </w:rPr>
              <w:t xml:space="preserve"> içinde yetkisizlik kararı verir ve </w:t>
            </w:r>
            <w:r w:rsidRPr="00A23740">
              <w:rPr>
                <w:rStyle w:val="KIRMIZIChar"/>
                <w:rFonts w:eastAsia="Calibri"/>
              </w:rPr>
              <w:t>masrafını</w:t>
            </w:r>
            <w:r w:rsidRPr="00A23740">
              <w:rPr>
                <w:rFonts w:eastAsia="Times New Roman"/>
                <w:szCs w:val="24"/>
                <w:lang w:eastAsia="tr-TR"/>
              </w:rPr>
              <w:t xml:space="preserve"> gider avansından karşılamak suretiyle dosyayı resen yetkili icra mahkemesine gönderir.</w:t>
            </w:r>
          </w:p>
          <w:p w:rsidR="00AA5C8C" w:rsidRPr="00A23740" w:rsidRDefault="00AA5C8C" w:rsidP="001971CE">
            <w:pPr>
              <w:widowControl w:val="0"/>
              <w:tabs>
                <w:tab w:val="left" w:pos="540"/>
              </w:tabs>
              <w:rPr>
                <w:rFonts w:eastAsia="Times New Roman"/>
                <w:szCs w:val="24"/>
                <w:lang w:eastAsia="tr-TR"/>
              </w:rPr>
            </w:pPr>
          </w:p>
          <w:p w:rsidR="00AA5C8C" w:rsidRPr="00A23740" w:rsidRDefault="00AA5C8C" w:rsidP="001971CE">
            <w:pPr>
              <w:widowControl w:val="0"/>
              <w:tabs>
                <w:tab w:val="left" w:pos="540"/>
              </w:tabs>
              <w:rPr>
                <w:rFonts w:eastAsia="Times New Roman"/>
                <w:szCs w:val="24"/>
                <w:lang w:eastAsia="tr-TR"/>
              </w:rPr>
            </w:pPr>
            <w:r w:rsidRPr="00A23740">
              <w:rPr>
                <w:rStyle w:val="KIRMIZIChar"/>
                <w:rFonts w:eastAsia="Calibri"/>
              </w:rPr>
              <w:t>(5)</w:t>
            </w:r>
            <w:r w:rsidRPr="00A23740">
              <w:rPr>
                <w:rFonts w:eastAsia="Times New Roman"/>
                <w:szCs w:val="24"/>
                <w:lang w:eastAsia="tr-TR"/>
              </w:rPr>
              <w:t xml:space="preserve"> Bu madde gereğince </w:t>
            </w:r>
            <w:r w:rsidRPr="00A23740">
              <w:rPr>
                <w:rFonts w:eastAsia="Times New Roman"/>
                <w:b/>
                <w:strike/>
                <w:color w:val="FF0000"/>
                <w:szCs w:val="24"/>
                <w:lang w:eastAsia="tr-TR"/>
              </w:rPr>
              <w:t>icra mahkemesinin verdiği</w:t>
            </w:r>
            <w:r w:rsidRPr="00A23740">
              <w:rPr>
                <w:rFonts w:eastAsia="Times New Roman"/>
                <w:szCs w:val="24"/>
                <w:lang w:eastAsia="tr-TR"/>
              </w:rPr>
              <w:t xml:space="preserve"> kararlar </w:t>
            </w:r>
            <w:r w:rsidRPr="00A23740">
              <w:rPr>
                <w:rFonts w:eastAsia="Times New Roman"/>
                <w:b/>
                <w:strike/>
                <w:color w:val="FF0000"/>
                <w:szCs w:val="24"/>
                <w:lang w:eastAsia="tr-TR"/>
              </w:rPr>
              <w:t>kesindir.</w:t>
            </w:r>
            <w:r w:rsidRPr="00A23740">
              <w:rPr>
                <w:rFonts w:eastAsia="Times New Roman"/>
                <w:szCs w:val="24"/>
                <w:lang w:eastAsia="tr-TR"/>
              </w:rPr>
              <w:t xml:space="preserve"> </w:t>
            </w:r>
          </w:p>
          <w:p w:rsidR="00AA5C8C" w:rsidRPr="00A23740" w:rsidRDefault="00AA5C8C" w:rsidP="001971CE">
            <w:pPr>
              <w:widowControl w:val="0"/>
              <w:tabs>
                <w:tab w:val="left" w:pos="540"/>
              </w:tabs>
              <w:rPr>
                <w:rFonts w:eastAsia="Times New Roman"/>
                <w:szCs w:val="24"/>
                <w:lang w:eastAsia="tr-TR"/>
              </w:rPr>
            </w:pPr>
          </w:p>
          <w:p w:rsidR="00AA5C8C" w:rsidRPr="00A23740" w:rsidRDefault="00AA5C8C" w:rsidP="001971CE">
            <w:pPr>
              <w:pStyle w:val="KIRMIZI"/>
              <w:widowControl w:val="0"/>
              <w:rPr>
                <w:lang w:val="tr-TR"/>
              </w:rPr>
            </w:pPr>
          </w:p>
        </w:tc>
        <w:tc>
          <w:tcPr>
            <w:tcW w:w="2500" w:type="pct"/>
            <w:shd w:val="clear" w:color="auto" w:fill="auto"/>
          </w:tcPr>
          <w:p w:rsidR="00AA5C8C" w:rsidRPr="00A23740" w:rsidRDefault="00AA5C8C" w:rsidP="001971CE">
            <w:pPr>
              <w:pStyle w:val="Mavi"/>
              <w:widowControl w:val="0"/>
            </w:pPr>
            <w:r w:rsidRPr="00A23740">
              <w:t>Şik</w:t>
            </w:r>
            <w:r w:rsidR="004D4BDB" w:rsidRPr="00A23740">
              <w:rPr>
                <w:lang w:val="tr-TR"/>
              </w:rPr>
              <w:t>â</w:t>
            </w:r>
            <w:r w:rsidRPr="00A23740">
              <w:t>yetin incelenmesi usulü</w:t>
            </w:r>
          </w:p>
          <w:p w:rsidR="00B74920" w:rsidRPr="00A23740" w:rsidRDefault="00AA5C8C" w:rsidP="001971CE">
            <w:pPr>
              <w:widowControl w:val="0"/>
              <w:tabs>
                <w:tab w:val="left" w:pos="567"/>
              </w:tabs>
              <w:rPr>
                <w:rFonts w:eastAsia="Times New Roman"/>
                <w:b/>
                <w:color w:val="0000FF"/>
                <w:szCs w:val="24"/>
                <w:lang w:eastAsia="tr-TR"/>
              </w:rPr>
            </w:pPr>
            <w:r w:rsidRPr="00A23740">
              <w:rPr>
                <w:rStyle w:val="MaviChar"/>
              </w:rPr>
              <w:t xml:space="preserve">MADDE </w:t>
            </w:r>
            <w:r w:rsidR="0025794C" w:rsidRPr="00A23740">
              <w:rPr>
                <w:rStyle w:val="MaviChar"/>
                <w:lang w:val="tr-TR"/>
              </w:rPr>
              <w:t>221</w:t>
            </w:r>
            <w:r w:rsidRPr="00A23740">
              <w:rPr>
                <w:rStyle w:val="MaviChar"/>
              </w:rPr>
              <w:t>-</w:t>
            </w:r>
            <w:r w:rsidRPr="00A23740">
              <w:t xml:space="preserve"> </w:t>
            </w:r>
            <w:r w:rsidRPr="00A23740">
              <w:rPr>
                <w:rFonts w:eastAsia="Times New Roman"/>
                <w:b/>
                <w:color w:val="0000FF"/>
                <w:szCs w:val="24"/>
                <w:lang w:eastAsia="tr-TR"/>
              </w:rPr>
              <w:t xml:space="preserve">(1) </w:t>
            </w:r>
            <w:r w:rsidR="00712CBD" w:rsidRPr="00A23740">
              <w:rPr>
                <w:rFonts w:eastAsia="Times New Roman"/>
                <w:b/>
                <w:color w:val="0000FF"/>
                <w:szCs w:val="24"/>
                <w:lang w:eastAsia="tr-TR"/>
              </w:rPr>
              <w:t>Kıymet takdirine şik</w:t>
            </w:r>
            <w:r w:rsidR="004D4BDB" w:rsidRPr="00A23740">
              <w:rPr>
                <w:rFonts w:eastAsia="Times New Roman"/>
                <w:b/>
                <w:color w:val="0000FF"/>
                <w:szCs w:val="24"/>
                <w:lang w:eastAsia="tr-TR"/>
              </w:rPr>
              <w:t>â</w:t>
            </w:r>
            <w:r w:rsidR="007C61CF" w:rsidRPr="00A23740">
              <w:rPr>
                <w:rFonts w:eastAsia="Times New Roman"/>
                <w:b/>
                <w:color w:val="0000FF"/>
                <w:szCs w:val="24"/>
                <w:lang w:eastAsia="tr-TR"/>
              </w:rPr>
              <w:t xml:space="preserve">yet üzerine, yatırılan </w:t>
            </w:r>
            <w:r w:rsidR="00712CBD" w:rsidRPr="00A23740">
              <w:rPr>
                <w:rFonts w:eastAsia="Times New Roman"/>
                <w:b/>
                <w:color w:val="0000FF"/>
                <w:szCs w:val="24"/>
                <w:lang w:eastAsia="tr-TR"/>
              </w:rPr>
              <w:t>gider</w:t>
            </w:r>
            <w:r w:rsidR="007C61CF" w:rsidRPr="00A23740">
              <w:rPr>
                <w:rFonts w:eastAsia="Times New Roman"/>
                <w:b/>
                <w:color w:val="0000FF"/>
                <w:szCs w:val="24"/>
                <w:lang w:eastAsia="tr-TR"/>
              </w:rPr>
              <w:t xml:space="preserve"> avansının</w:t>
            </w:r>
            <w:r w:rsidR="00712CBD" w:rsidRPr="00A23740">
              <w:rPr>
                <w:rFonts w:eastAsia="Times New Roman"/>
                <w:b/>
                <w:color w:val="0000FF"/>
                <w:szCs w:val="24"/>
                <w:lang w:eastAsia="tr-TR"/>
              </w:rPr>
              <w:t xml:space="preserve"> </w:t>
            </w:r>
            <w:r w:rsidRPr="00A23740">
              <w:rPr>
                <w:rFonts w:eastAsia="Times New Roman"/>
                <w:b/>
                <w:color w:val="0000FF"/>
                <w:szCs w:val="24"/>
                <w:lang w:eastAsia="tr-TR"/>
              </w:rPr>
              <w:t xml:space="preserve">eksik </w:t>
            </w:r>
            <w:r w:rsidR="00712CBD" w:rsidRPr="00A23740">
              <w:rPr>
                <w:rFonts w:eastAsia="Times New Roman"/>
                <w:b/>
                <w:color w:val="0000FF"/>
                <w:szCs w:val="24"/>
                <w:lang w:eastAsia="tr-TR"/>
              </w:rPr>
              <w:t xml:space="preserve">olduğu tespit edilirse, </w:t>
            </w:r>
            <w:r w:rsidRPr="00A23740">
              <w:rPr>
                <w:rFonts w:eastAsia="Times New Roman"/>
                <w:b/>
                <w:color w:val="0000FF"/>
                <w:szCs w:val="24"/>
                <w:lang w:eastAsia="tr-TR"/>
              </w:rPr>
              <w:t>he</w:t>
            </w:r>
            <w:r w:rsidR="001D685E" w:rsidRPr="00A23740">
              <w:rPr>
                <w:rFonts w:eastAsia="Times New Roman"/>
                <w:b/>
                <w:color w:val="0000FF"/>
                <w:szCs w:val="24"/>
                <w:lang w:eastAsia="tr-TR"/>
              </w:rPr>
              <w:t xml:space="preserve">sap edilen bakiye kısmın </w:t>
            </w:r>
            <w:r w:rsidRPr="00A23740">
              <w:rPr>
                <w:rFonts w:eastAsia="Times New Roman"/>
                <w:b/>
                <w:color w:val="0000FF"/>
                <w:szCs w:val="24"/>
                <w:lang w:eastAsia="tr-TR"/>
              </w:rPr>
              <w:t>mahkeme veznesine yatır</w:t>
            </w:r>
            <w:r w:rsidR="001D685E" w:rsidRPr="00A23740">
              <w:rPr>
                <w:rFonts w:eastAsia="Times New Roman"/>
                <w:b/>
                <w:color w:val="0000FF"/>
                <w:szCs w:val="24"/>
                <w:lang w:eastAsia="tr-TR"/>
              </w:rPr>
              <w:t>ıl</w:t>
            </w:r>
            <w:r w:rsidRPr="00A23740">
              <w:rPr>
                <w:rFonts w:eastAsia="Times New Roman"/>
                <w:b/>
                <w:color w:val="0000FF"/>
                <w:szCs w:val="24"/>
                <w:lang w:eastAsia="tr-TR"/>
              </w:rPr>
              <w:t>ması için ilgiliye bir haftalık kesin süre veri</w:t>
            </w:r>
            <w:r w:rsidR="001D685E" w:rsidRPr="00A23740">
              <w:rPr>
                <w:rFonts w:eastAsia="Times New Roman"/>
                <w:b/>
                <w:color w:val="0000FF"/>
                <w:szCs w:val="24"/>
                <w:lang w:eastAsia="tr-TR"/>
              </w:rPr>
              <w:t>li</w:t>
            </w:r>
            <w:r w:rsidRPr="00A23740">
              <w:rPr>
                <w:rFonts w:eastAsia="Times New Roman"/>
                <w:b/>
                <w:color w:val="0000FF"/>
                <w:szCs w:val="24"/>
                <w:lang w:eastAsia="tr-TR"/>
              </w:rPr>
              <w:t>r. Giderin yatırılması h</w:t>
            </w:r>
            <w:r w:rsidR="004D4BDB" w:rsidRPr="00A23740">
              <w:rPr>
                <w:rFonts w:eastAsia="Times New Roman"/>
                <w:b/>
                <w:color w:val="0000FF"/>
                <w:szCs w:val="24"/>
                <w:lang w:eastAsia="tr-TR"/>
              </w:rPr>
              <w:t>â</w:t>
            </w:r>
            <w:r w:rsidRPr="00A23740">
              <w:rPr>
                <w:rFonts w:eastAsia="Times New Roman"/>
                <w:b/>
                <w:color w:val="0000FF"/>
                <w:szCs w:val="24"/>
                <w:lang w:eastAsia="tr-TR"/>
              </w:rPr>
              <w:t xml:space="preserve">linde yeniden </w:t>
            </w:r>
            <w:r w:rsidRPr="00A23740">
              <w:rPr>
                <w:rStyle w:val="MaviChar"/>
              </w:rPr>
              <w:t>kıymet takdiri yaptırılır</w:t>
            </w:r>
            <w:r w:rsidRPr="00A23740">
              <w:rPr>
                <w:rFonts w:eastAsia="Times New Roman"/>
                <w:b/>
                <w:color w:val="0000FF"/>
                <w:szCs w:val="24"/>
                <w:lang w:eastAsia="tr-TR"/>
              </w:rPr>
              <w:t xml:space="preserve">; </w:t>
            </w:r>
            <w:r w:rsidRPr="00A23740">
              <w:t>aksi h</w:t>
            </w:r>
            <w:r w:rsidR="00707B08" w:rsidRPr="00A23740">
              <w:t>â</w:t>
            </w:r>
            <w:r w:rsidRPr="00A23740">
              <w:t>lde başka bir işleme gerek</w:t>
            </w:r>
            <w:r w:rsidRPr="00A23740">
              <w:rPr>
                <w:rFonts w:eastAsia="Times New Roman"/>
                <w:b/>
                <w:color w:val="0000FF"/>
                <w:szCs w:val="24"/>
                <w:lang w:eastAsia="tr-TR"/>
              </w:rPr>
              <w:t xml:space="preserve"> kalmaksızın </w:t>
            </w:r>
            <w:r w:rsidRPr="00A23740">
              <w:t>şikâyet kesin olarak reddedilir.</w:t>
            </w:r>
          </w:p>
          <w:p w:rsidR="00B74920" w:rsidRPr="00A23740" w:rsidRDefault="00B74920" w:rsidP="001971CE">
            <w:pPr>
              <w:widowControl w:val="0"/>
              <w:tabs>
                <w:tab w:val="left" w:pos="567"/>
              </w:tabs>
              <w:rPr>
                <w:rFonts w:eastAsia="Times New Roman"/>
                <w:b/>
                <w:color w:val="0000FF"/>
                <w:szCs w:val="24"/>
                <w:lang w:eastAsia="tr-TR"/>
              </w:rPr>
            </w:pPr>
          </w:p>
          <w:p w:rsidR="00B74920" w:rsidRPr="00A23740" w:rsidRDefault="00B74920" w:rsidP="001971CE">
            <w:pPr>
              <w:widowControl w:val="0"/>
              <w:tabs>
                <w:tab w:val="left" w:pos="567"/>
              </w:tabs>
              <w:rPr>
                <w:rFonts w:eastAsia="Times New Roman"/>
                <w:b/>
                <w:color w:val="0000FF"/>
                <w:szCs w:val="24"/>
                <w:lang w:eastAsia="tr-TR"/>
              </w:rPr>
            </w:pPr>
          </w:p>
          <w:p w:rsidR="00975725" w:rsidRPr="00A23740" w:rsidRDefault="00B74920" w:rsidP="001971CE">
            <w:pPr>
              <w:widowControl w:val="0"/>
              <w:tabs>
                <w:tab w:val="left" w:pos="567"/>
              </w:tabs>
              <w:rPr>
                <w:rFonts w:eastAsia="Times New Roman"/>
                <w:szCs w:val="24"/>
                <w:lang w:eastAsia="tr-TR"/>
              </w:rPr>
            </w:pPr>
            <w:r w:rsidRPr="00A23740">
              <w:rPr>
                <w:rFonts w:eastAsia="Times New Roman"/>
                <w:b/>
                <w:color w:val="0000FF"/>
                <w:szCs w:val="24"/>
                <w:lang w:eastAsia="tr-TR"/>
              </w:rPr>
              <w:t xml:space="preserve">(2) </w:t>
            </w:r>
            <w:r w:rsidR="00975725" w:rsidRPr="00A23740">
              <w:rPr>
                <w:rStyle w:val="MaviChar"/>
                <w:lang w:val="tr-TR"/>
              </w:rPr>
              <w:t xml:space="preserve">Kıymet takdiri, keşif tarihindeki değer dikkate alınmak suretiyle yapılır. </w:t>
            </w:r>
          </w:p>
          <w:p w:rsidR="00975725" w:rsidRPr="00A23740" w:rsidRDefault="00975725" w:rsidP="001971CE">
            <w:pPr>
              <w:pStyle w:val="Mavi"/>
              <w:widowControl w:val="0"/>
            </w:pPr>
          </w:p>
          <w:p w:rsidR="007C61CF" w:rsidRPr="00A23740" w:rsidRDefault="00AA5C8C" w:rsidP="001971CE">
            <w:pPr>
              <w:pStyle w:val="Mavi"/>
              <w:widowControl w:val="0"/>
            </w:pPr>
            <w:r w:rsidRPr="00A23740">
              <w:t>(</w:t>
            </w:r>
            <w:r w:rsidR="00B74920" w:rsidRPr="00A23740">
              <w:rPr>
                <w:lang w:val="tr-TR"/>
              </w:rPr>
              <w:t>3</w:t>
            </w:r>
            <w:r w:rsidRPr="00A23740">
              <w:t xml:space="preserve">) </w:t>
            </w:r>
            <w:r w:rsidR="007C61CF" w:rsidRPr="00A23740">
              <w:t>Kıymet takdirine ilişkin şik</w:t>
            </w:r>
            <w:r w:rsidR="007C61CF" w:rsidRPr="00A23740">
              <w:rPr>
                <w:lang w:val="tr-TR"/>
              </w:rPr>
              <w:t>â</w:t>
            </w:r>
            <w:r w:rsidR="007C61CF" w:rsidRPr="00A23740">
              <w:t xml:space="preserve">yet görevsiz mahkemeye yapılırsa, mahkeme dosya üzerinde inceleme yaparak başvuru tarihinden itibaren en geç bir hafta içinde görevsizlik kararı verir ve </w:t>
            </w:r>
            <w:r w:rsidR="007C61CF" w:rsidRPr="00A23740">
              <w:rPr>
                <w:lang w:val="tr-TR"/>
              </w:rPr>
              <w:t>giderini</w:t>
            </w:r>
            <w:r w:rsidR="007C61CF" w:rsidRPr="00A23740">
              <w:t xml:space="preserve"> gider avansından karşılamak suretiyle dosyayı resen ve doğrudan yetkili icra hukuk mahkemesine gönderir.</w:t>
            </w:r>
          </w:p>
          <w:p w:rsidR="00AA5C8C" w:rsidRPr="00A23740" w:rsidRDefault="00AA5C8C" w:rsidP="001971CE">
            <w:pPr>
              <w:pStyle w:val="Mavi"/>
              <w:widowControl w:val="0"/>
            </w:pPr>
          </w:p>
          <w:p w:rsidR="007C61CF" w:rsidRPr="00A23740" w:rsidRDefault="00AA5C8C" w:rsidP="001971CE">
            <w:pPr>
              <w:pStyle w:val="Mavi"/>
              <w:widowControl w:val="0"/>
            </w:pPr>
            <w:r w:rsidRPr="00A23740">
              <w:t>(</w:t>
            </w:r>
            <w:r w:rsidR="00B74920" w:rsidRPr="00A23740">
              <w:rPr>
                <w:lang w:val="tr-TR"/>
              </w:rPr>
              <w:t>4</w:t>
            </w:r>
            <w:r w:rsidRPr="00A23740">
              <w:t xml:space="preserve">) </w:t>
            </w:r>
            <w:r w:rsidR="007C61CF" w:rsidRPr="00A23740">
              <w:rPr>
                <w:rFonts w:eastAsia="Times New Roman"/>
                <w:b w:val="0"/>
                <w:bCs w:val="0"/>
                <w:color w:val="auto"/>
                <w:lang w:val="tr-TR" w:eastAsia="tr-TR"/>
              </w:rPr>
              <w:t>Kıymet takdirine ilişkin şikâyet yetkisiz icra</w:t>
            </w:r>
            <w:r w:rsidR="007C61CF" w:rsidRPr="00A23740">
              <w:t xml:space="preserve"> hukuk </w:t>
            </w:r>
            <w:r w:rsidR="007C61CF" w:rsidRPr="00A23740">
              <w:rPr>
                <w:rFonts w:eastAsia="Times New Roman"/>
                <w:b w:val="0"/>
                <w:bCs w:val="0"/>
                <w:color w:val="auto"/>
                <w:lang w:val="tr-TR" w:eastAsia="tr-TR"/>
              </w:rPr>
              <w:t>mahkemesine</w:t>
            </w:r>
            <w:r w:rsidR="007C61CF" w:rsidRPr="00A23740">
              <w:t xml:space="preserve"> </w:t>
            </w:r>
            <w:r w:rsidR="007C61CF" w:rsidRPr="00A23740">
              <w:rPr>
                <w:rFonts w:eastAsia="Times New Roman"/>
                <w:b w:val="0"/>
                <w:bCs w:val="0"/>
                <w:color w:val="auto"/>
                <w:lang w:val="tr-TR" w:eastAsia="tr-TR"/>
              </w:rPr>
              <w:t>yapılırsa,</w:t>
            </w:r>
            <w:r w:rsidR="007C61CF" w:rsidRPr="00A23740">
              <w:t xml:space="preserve"> </w:t>
            </w:r>
            <w:r w:rsidR="007C61CF" w:rsidRPr="00A23740">
              <w:rPr>
                <w:rFonts w:eastAsia="Times New Roman"/>
                <w:b w:val="0"/>
                <w:bCs w:val="0"/>
                <w:color w:val="auto"/>
                <w:lang w:val="tr-TR" w:eastAsia="tr-TR"/>
              </w:rPr>
              <w:t>mahkeme</w:t>
            </w:r>
            <w:r w:rsidR="007C61CF" w:rsidRPr="00A23740">
              <w:t xml:space="preserve"> dosya</w:t>
            </w:r>
            <w:r w:rsidR="007C61CF" w:rsidRPr="00A23740">
              <w:rPr>
                <w:color w:val="FF0000"/>
              </w:rPr>
              <w:t xml:space="preserve"> </w:t>
            </w:r>
            <w:r w:rsidR="007C61CF" w:rsidRPr="00A23740">
              <w:rPr>
                <w:rFonts w:eastAsia="Times New Roman"/>
                <w:b w:val="0"/>
                <w:bCs w:val="0"/>
                <w:color w:val="auto"/>
                <w:lang w:val="tr-TR" w:eastAsia="tr-TR"/>
              </w:rPr>
              <w:t>üzerinde</w:t>
            </w:r>
            <w:r w:rsidR="007C61CF" w:rsidRPr="00A23740">
              <w:t xml:space="preserve"> </w:t>
            </w:r>
            <w:r w:rsidR="007C61CF" w:rsidRPr="00A23740">
              <w:rPr>
                <w:rFonts w:eastAsia="Times New Roman"/>
                <w:b w:val="0"/>
                <w:bCs w:val="0"/>
                <w:color w:val="auto"/>
                <w:lang w:val="tr-TR" w:eastAsia="tr-TR"/>
              </w:rPr>
              <w:t>inceleme yaparak</w:t>
            </w:r>
            <w:r w:rsidR="007C61CF" w:rsidRPr="00A23740">
              <w:t xml:space="preserve"> </w:t>
            </w:r>
            <w:r w:rsidR="007C61CF" w:rsidRPr="00A23740">
              <w:rPr>
                <w:rFonts w:eastAsia="Times New Roman"/>
                <w:b w:val="0"/>
                <w:bCs w:val="0"/>
                <w:color w:val="auto"/>
                <w:lang w:val="tr-TR" w:eastAsia="tr-TR"/>
              </w:rPr>
              <w:t>başvuru tarihinden itibaren en geç</w:t>
            </w:r>
            <w:r w:rsidR="007C61CF" w:rsidRPr="00A23740">
              <w:t xml:space="preserve"> bir hafta </w:t>
            </w:r>
            <w:r w:rsidR="007C61CF" w:rsidRPr="00A23740">
              <w:rPr>
                <w:rFonts w:eastAsia="Times New Roman"/>
                <w:b w:val="0"/>
                <w:bCs w:val="0"/>
                <w:color w:val="auto"/>
                <w:lang w:val="tr-TR" w:eastAsia="tr-TR"/>
              </w:rPr>
              <w:t>içinde</w:t>
            </w:r>
            <w:r w:rsidR="007C61CF" w:rsidRPr="00A23740">
              <w:t xml:space="preserve"> </w:t>
            </w:r>
            <w:r w:rsidR="007C61CF" w:rsidRPr="00A23740">
              <w:rPr>
                <w:rFonts w:eastAsia="Times New Roman"/>
                <w:b w:val="0"/>
                <w:bCs w:val="0"/>
                <w:color w:val="auto"/>
                <w:lang w:val="tr-TR" w:eastAsia="tr-TR"/>
              </w:rPr>
              <w:t>yetkisizlik kararı verir ve</w:t>
            </w:r>
            <w:r w:rsidR="007C61CF" w:rsidRPr="00A23740">
              <w:t xml:space="preserve"> giderini</w:t>
            </w:r>
            <w:r w:rsidR="007C61CF" w:rsidRPr="00A23740">
              <w:rPr>
                <w:rFonts w:eastAsia="Times New Roman"/>
                <w:b w:val="0"/>
                <w:bCs w:val="0"/>
                <w:color w:val="auto"/>
                <w:lang w:val="tr-TR" w:eastAsia="tr-TR"/>
              </w:rPr>
              <w:t xml:space="preserve"> gider avansından karşılamak suretiyle dosyayı resen </w:t>
            </w:r>
            <w:r w:rsidR="007C61CF" w:rsidRPr="00A23740">
              <w:t>ve doğrudan</w:t>
            </w:r>
            <w:r w:rsidR="007C61CF" w:rsidRPr="00A23740">
              <w:rPr>
                <w:rFonts w:eastAsia="Times New Roman"/>
                <w:b w:val="0"/>
                <w:bCs w:val="0"/>
                <w:color w:val="auto"/>
                <w:lang w:val="tr-TR" w:eastAsia="tr-TR"/>
              </w:rPr>
              <w:t xml:space="preserve"> yetkili icra</w:t>
            </w:r>
            <w:r w:rsidR="007C61CF" w:rsidRPr="00A23740">
              <w:t xml:space="preserve"> hukuk </w:t>
            </w:r>
            <w:r w:rsidR="007C61CF" w:rsidRPr="00A23740">
              <w:rPr>
                <w:rFonts w:eastAsia="Times New Roman"/>
                <w:b w:val="0"/>
                <w:bCs w:val="0"/>
                <w:color w:val="auto"/>
                <w:lang w:val="tr-TR" w:eastAsia="tr-TR"/>
              </w:rPr>
              <w:t>mahkemesine gönderir.</w:t>
            </w:r>
            <w:r w:rsidR="007C61CF" w:rsidRPr="00A23740">
              <w:t xml:space="preserve"> </w:t>
            </w:r>
          </w:p>
          <w:p w:rsidR="00AA5C8C" w:rsidRPr="00A23740" w:rsidRDefault="00AA5C8C" w:rsidP="001971CE">
            <w:pPr>
              <w:pStyle w:val="Mavi"/>
              <w:widowControl w:val="0"/>
            </w:pPr>
          </w:p>
          <w:p w:rsidR="00AA5C8C" w:rsidRPr="00A23740" w:rsidRDefault="00B74920" w:rsidP="001971CE">
            <w:pPr>
              <w:pStyle w:val="Mavi"/>
              <w:widowControl w:val="0"/>
            </w:pPr>
            <w:r w:rsidRPr="00A23740">
              <w:t>(5</w:t>
            </w:r>
            <w:r w:rsidR="00AA5C8C" w:rsidRPr="00A23740">
              <w:t xml:space="preserve">) </w:t>
            </w:r>
            <w:r w:rsidRPr="00A23740">
              <w:rPr>
                <w:lang w:val="tr-TR"/>
              </w:rPr>
              <w:t xml:space="preserve">Yukarıdaki fıkralar </w:t>
            </w:r>
            <w:r w:rsidR="00AA5C8C" w:rsidRPr="00A23740">
              <w:rPr>
                <w:rFonts w:eastAsia="Times New Roman"/>
                <w:b w:val="0"/>
                <w:bCs w:val="0"/>
                <w:color w:val="auto"/>
                <w:lang w:val="tr-TR" w:eastAsia="tr-TR"/>
              </w:rPr>
              <w:t>gereğince</w:t>
            </w:r>
            <w:r w:rsidR="00AA5C8C" w:rsidRPr="00A23740">
              <w:t xml:space="preserve"> verilen görevsizlik ve yetkisizlik kararları kesin olup</w:t>
            </w:r>
            <w:r w:rsidR="00AA5C8C" w:rsidRPr="00A23740">
              <w:rPr>
                <w:lang w:val="tr-TR"/>
              </w:rPr>
              <w:t>,</w:t>
            </w:r>
            <w:r w:rsidR="00AA5C8C" w:rsidRPr="00A23740">
              <w:t xml:space="preserve"> bu </w:t>
            </w:r>
            <w:r w:rsidR="00AA5C8C" w:rsidRPr="00A23740">
              <w:rPr>
                <w:rFonts w:eastAsia="Times New Roman"/>
                <w:b w:val="0"/>
                <w:bCs w:val="0"/>
                <w:color w:val="auto"/>
                <w:lang w:val="tr-TR" w:eastAsia="tr-TR"/>
              </w:rPr>
              <w:t>kararlar</w:t>
            </w:r>
            <w:r w:rsidR="00AA5C8C" w:rsidRPr="00A23740">
              <w:t xml:space="preserve"> diğer mahkemeyi bağlar.</w:t>
            </w:r>
          </w:p>
          <w:p w:rsidR="00AA5C8C" w:rsidRPr="00A23740" w:rsidRDefault="00AA5C8C" w:rsidP="001971CE">
            <w:pPr>
              <w:pStyle w:val="YEL"/>
              <w:widowControl w:val="0"/>
              <w:rPr>
                <w:lang w:val="tr-TR"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6936F7" w:rsidRPr="00A23740" w:rsidRDefault="006936F7" w:rsidP="009431FF">
            <w:pPr>
              <w:ind w:firstLine="709"/>
              <w:rPr>
                <w:rFonts w:eastAsia="Times New Roman"/>
                <w:b/>
                <w:color w:val="000000"/>
                <w:szCs w:val="24"/>
                <w:lang w:eastAsia="tr-TR"/>
              </w:rPr>
            </w:pPr>
          </w:p>
          <w:p w:rsidR="00B0774A" w:rsidRPr="00A23740" w:rsidRDefault="00B0774A"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221</w:t>
            </w:r>
            <w:r w:rsidRPr="00A23740">
              <w:rPr>
                <w:rFonts w:eastAsia="Times New Roman"/>
                <w:color w:val="000000"/>
                <w:szCs w:val="24"/>
                <w:lang w:eastAsia="tr-TR"/>
              </w:rPr>
              <w:t xml:space="preserve">- Maddeyle, </w:t>
            </w:r>
            <w:r w:rsidR="00975725" w:rsidRPr="00A23740">
              <w:rPr>
                <w:rFonts w:eastAsia="Times New Roman"/>
                <w:color w:val="000000"/>
                <w:szCs w:val="24"/>
                <w:lang w:eastAsia="tr-TR"/>
              </w:rPr>
              <w:t xml:space="preserve">kıymet takdirine yönelik </w:t>
            </w:r>
            <w:r w:rsidRPr="00A23740">
              <w:rPr>
                <w:rFonts w:eastAsia="Times New Roman"/>
                <w:color w:val="000000"/>
                <w:szCs w:val="24"/>
                <w:lang w:eastAsia="tr-TR"/>
              </w:rPr>
              <w:t>şik</w:t>
            </w:r>
            <w:r w:rsidR="007C61CF" w:rsidRPr="00A23740">
              <w:rPr>
                <w:rFonts w:eastAsia="Times New Roman"/>
                <w:color w:val="000000"/>
                <w:szCs w:val="24"/>
                <w:lang w:eastAsia="tr-TR"/>
              </w:rPr>
              <w:t>â</w:t>
            </w:r>
            <w:r w:rsidRPr="00A23740">
              <w:rPr>
                <w:rFonts w:eastAsia="Times New Roman"/>
                <w:color w:val="000000"/>
                <w:szCs w:val="24"/>
                <w:lang w:eastAsia="tr-TR"/>
              </w:rPr>
              <w:t>yetin incelenmesi usulü düzenlenmektedir. Hüküm, 2004 sayılı Kanunun 128/a maddesine karşılık gelmektedir.</w:t>
            </w:r>
          </w:p>
          <w:p w:rsidR="00B0774A" w:rsidRPr="00A23740" w:rsidRDefault="00B0774A" w:rsidP="009431FF">
            <w:pPr>
              <w:ind w:firstLine="709"/>
              <w:rPr>
                <w:rFonts w:eastAsia="Times New Roman"/>
                <w:color w:val="000000"/>
                <w:szCs w:val="24"/>
                <w:lang w:eastAsia="tr-TR"/>
              </w:rPr>
            </w:pPr>
            <w:r w:rsidRPr="00A23740">
              <w:rPr>
                <w:rFonts w:eastAsia="Times New Roman"/>
                <w:color w:val="000000"/>
                <w:szCs w:val="24"/>
                <w:lang w:eastAsia="tr-TR"/>
              </w:rPr>
              <w:t xml:space="preserve">Birinci fıkrayla, </w:t>
            </w:r>
            <w:r w:rsidR="00975725" w:rsidRPr="00A23740">
              <w:rPr>
                <w:rFonts w:eastAsia="Times New Roman"/>
                <w:color w:val="000000"/>
                <w:szCs w:val="24"/>
                <w:lang w:eastAsia="tr-TR"/>
              </w:rPr>
              <w:t>şik</w:t>
            </w:r>
            <w:r w:rsidR="007C61CF" w:rsidRPr="00A23740">
              <w:rPr>
                <w:rFonts w:eastAsia="Times New Roman"/>
                <w:color w:val="000000"/>
                <w:szCs w:val="24"/>
                <w:lang w:eastAsia="tr-TR"/>
              </w:rPr>
              <w:t>â</w:t>
            </w:r>
            <w:r w:rsidR="00975725" w:rsidRPr="00A23740">
              <w:rPr>
                <w:rFonts w:eastAsia="Times New Roman"/>
                <w:color w:val="000000"/>
                <w:szCs w:val="24"/>
                <w:lang w:eastAsia="tr-TR"/>
              </w:rPr>
              <w:t xml:space="preserve">yet üzerine </w:t>
            </w:r>
            <w:r w:rsidRPr="00D60C1D">
              <w:rPr>
                <w:rStyle w:val="Balk1Char"/>
                <w:rFonts w:eastAsia="Calibri"/>
                <w:b w:val="0"/>
                <w:color w:val="000000"/>
              </w:rPr>
              <w:t xml:space="preserve">gider </w:t>
            </w:r>
            <w:r w:rsidR="007C61CF" w:rsidRPr="00D60C1D">
              <w:rPr>
                <w:rStyle w:val="Balk1Char"/>
                <w:rFonts w:eastAsia="Calibri"/>
                <w:b w:val="0"/>
                <w:color w:val="000000"/>
              </w:rPr>
              <w:t>avansının</w:t>
            </w:r>
            <w:r w:rsidR="007C61CF" w:rsidRPr="00A23740">
              <w:rPr>
                <w:rFonts w:eastAsia="Times New Roman"/>
                <w:color w:val="000000"/>
                <w:szCs w:val="24"/>
                <w:lang w:eastAsia="tr-TR"/>
              </w:rPr>
              <w:t xml:space="preserve"> </w:t>
            </w:r>
            <w:r w:rsidRPr="00A23740">
              <w:rPr>
                <w:rFonts w:eastAsia="Times New Roman"/>
                <w:color w:val="000000"/>
                <w:szCs w:val="24"/>
                <w:lang w:eastAsia="tr-TR"/>
              </w:rPr>
              <w:t xml:space="preserve">eksik </w:t>
            </w:r>
            <w:r w:rsidR="007C61CF" w:rsidRPr="00D60C1D">
              <w:rPr>
                <w:rStyle w:val="Balk1Char"/>
                <w:rFonts w:eastAsia="Calibri"/>
                <w:b w:val="0"/>
                <w:color w:val="000000"/>
              </w:rPr>
              <w:t>olduğunun mahkemece tespiti</w:t>
            </w:r>
            <w:r w:rsidR="007C61CF" w:rsidRPr="00A23740">
              <w:rPr>
                <w:rFonts w:eastAsia="Times New Roman"/>
                <w:color w:val="000000"/>
                <w:szCs w:val="24"/>
                <w:lang w:eastAsia="tr-TR"/>
              </w:rPr>
              <w:t xml:space="preserve"> </w:t>
            </w:r>
            <w:r w:rsidRPr="00A23740">
              <w:rPr>
                <w:rFonts w:eastAsia="Times New Roman"/>
                <w:color w:val="000000"/>
                <w:szCs w:val="24"/>
                <w:lang w:eastAsia="tr-TR"/>
              </w:rPr>
              <w:t>h</w:t>
            </w:r>
            <w:r w:rsidR="007C61CF" w:rsidRPr="00A23740">
              <w:rPr>
                <w:rFonts w:eastAsia="Times New Roman"/>
                <w:color w:val="000000"/>
                <w:szCs w:val="24"/>
                <w:lang w:eastAsia="tr-TR"/>
              </w:rPr>
              <w:t>â</w:t>
            </w:r>
            <w:r w:rsidRPr="00A23740">
              <w:rPr>
                <w:rFonts w:eastAsia="Times New Roman"/>
                <w:color w:val="000000"/>
                <w:szCs w:val="24"/>
                <w:lang w:eastAsia="tr-TR"/>
              </w:rPr>
              <w:t>linde</w:t>
            </w:r>
            <w:r w:rsidR="007C61CF" w:rsidRPr="00A23740">
              <w:rPr>
                <w:rFonts w:eastAsia="Times New Roman"/>
                <w:color w:val="000000"/>
                <w:szCs w:val="24"/>
                <w:lang w:eastAsia="tr-TR"/>
              </w:rPr>
              <w:t>,</w:t>
            </w:r>
            <w:r w:rsidRPr="00A23740">
              <w:rPr>
                <w:rFonts w:eastAsia="Times New Roman"/>
                <w:color w:val="000000"/>
                <w:szCs w:val="24"/>
                <w:lang w:eastAsia="tr-TR"/>
              </w:rPr>
              <w:t xml:space="preserve"> hesap edilen bakiye kısmı</w:t>
            </w:r>
            <w:r w:rsidR="00975725" w:rsidRPr="00A23740">
              <w:rPr>
                <w:rFonts w:eastAsia="Times New Roman"/>
                <w:color w:val="000000"/>
                <w:szCs w:val="24"/>
                <w:lang w:eastAsia="tr-TR"/>
              </w:rPr>
              <w:t>n</w:t>
            </w:r>
            <w:r w:rsidRPr="00A23740">
              <w:rPr>
                <w:rFonts w:eastAsia="Times New Roman"/>
                <w:color w:val="000000"/>
                <w:szCs w:val="24"/>
                <w:lang w:eastAsia="tr-TR"/>
              </w:rPr>
              <w:t xml:space="preserve"> mahkeme veznesine yatır</w:t>
            </w:r>
            <w:r w:rsidR="00975725" w:rsidRPr="00A23740">
              <w:rPr>
                <w:rFonts w:eastAsia="Times New Roman"/>
                <w:color w:val="000000"/>
                <w:szCs w:val="24"/>
                <w:lang w:eastAsia="tr-TR"/>
              </w:rPr>
              <w:t>ıl</w:t>
            </w:r>
            <w:r w:rsidRPr="00A23740">
              <w:rPr>
                <w:rFonts w:eastAsia="Times New Roman"/>
                <w:color w:val="000000"/>
                <w:szCs w:val="24"/>
                <w:lang w:eastAsia="tr-TR"/>
              </w:rPr>
              <w:t>ması için ilgiliye bir haftalık kesin süre verileceği ve giderin yatırılması h</w:t>
            </w:r>
            <w:r w:rsidR="007C61CF" w:rsidRPr="00A23740">
              <w:rPr>
                <w:rFonts w:eastAsia="Times New Roman"/>
                <w:color w:val="000000"/>
                <w:szCs w:val="24"/>
                <w:lang w:eastAsia="tr-TR"/>
              </w:rPr>
              <w:t>â</w:t>
            </w:r>
            <w:r w:rsidRPr="00A23740">
              <w:rPr>
                <w:rFonts w:eastAsia="Times New Roman"/>
                <w:color w:val="000000"/>
                <w:szCs w:val="24"/>
                <w:lang w:eastAsia="tr-TR"/>
              </w:rPr>
              <w:t>linde yeniden kıymet takdiri yaptırılacağı; aksi h</w:t>
            </w:r>
            <w:r w:rsidR="007C61CF" w:rsidRPr="00A23740">
              <w:rPr>
                <w:rFonts w:eastAsia="Times New Roman"/>
                <w:color w:val="000000"/>
                <w:szCs w:val="24"/>
                <w:lang w:eastAsia="tr-TR"/>
              </w:rPr>
              <w:t>â</w:t>
            </w:r>
            <w:r w:rsidRPr="00A23740">
              <w:rPr>
                <w:rFonts w:eastAsia="Times New Roman"/>
                <w:color w:val="000000"/>
                <w:szCs w:val="24"/>
                <w:lang w:eastAsia="tr-TR"/>
              </w:rPr>
              <w:t xml:space="preserve">lde başka bir işleme gerek kalmaksızın şikâyetin kesin olarak reddedileceği hükme bağlanmaktadır. </w:t>
            </w:r>
          </w:p>
          <w:p w:rsidR="00F20A98" w:rsidRPr="00A23740" w:rsidRDefault="006936F7" w:rsidP="009431FF">
            <w:pPr>
              <w:ind w:firstLine="709"/>
              <w:rPr>
                <w:rFonts w:eastAsia="Times New Roman"/>
                <w:b/>
                <w:bCs/>
                <w:color w:val="000000"/>
                <w:lang w:eastAsia="tr-TR"/>
              </w:rPr>
            </w:pPr>
            <w:r w:rsidRPr="00A23740">
              <w:rPr>
                <w:rFonts w:eastAsia="Times New Roman"/>
                <w:color w:val="000000"/>
                <w:szCs w:val="24"/>
                <w:lang w:eastAsia="tr-TR"/>
              </w:rPr>
              <w:t xml:space="preserve">İkinci fıkrayla, </w:t>
            </w:r>
            <w:r w:rsidR="00F20A98" w:rsidRPr="00A23740">
              <w:rPr>
                <w:rFonts w:eastAsia="Times New Roman"/>
                <w:color w:val="000000"/>
                <w:szCs w:val="24"/>
                <w:lang w:eastAsia="tr-TR"/>
              </w:rPr>
              <w:t xml:space="preserve">bir yenilik olarak </w:t>
            </w:r>
            <w:r w:rsidRPr="00A23740">
              <w:rPr>
                <w:rFonts w:eastAsia="Times New Roman"/>
                <w:color w:val="000000"/>
                <w:szCs w:val="24"/>
                <w:lang w:eastAsia="tr-TR"/>
              </w:rPr>
              <w:t xml:space="preserve">malın gerçek değerinin tespit edilmesinin </w:t>
            </w:r>
            <w:r w:rsidR="0097576B" w:rsidRPr="00A23740">
              <w:rPr>
                <w:rFonts w:eastAsia="Times New Roman"/>
                <w:color w:val="000000"/>
                <w:szCs w:val="24"/>
                <w:lang w:eastAsia="tr-TR"/>
              </w:rPr>
              <w:t xml:space="preserve"> sağlanması </w:t>
            </w:r>
            <w:r w:rsidRPr="00A23740">
              <w:rPr>
                <w:rFonts w:eastAsia="Times New Roman"/>
                <w:color w:val="000000"/>
                <w:szCs w:val="24"/>
                <w:lang w:eastAsia="tr-TR"/>
              </w:rPr>
              <w:t>için keşif tarihindeki değer dikkate alınmak suretiyle kıymet takdirinin yapılacağı belirtilmektedir.</w:t>
            </w:r>
            <w:r w:rsidRPr="00A23740">
              <w:rPr>
                <w:rFonts w:eastAsia="Times New Roman"/>
                <w:b/>
                <w:bCs/>
                <w:color w:val="000000"/>
                <w:lang w:eastAsia="tr-TR"/>
              </w:rPr>
              <w:t xml:space="preserve"> </w:t>
            </w:r>
          </w:p>
          <w:p w:rsidR="00B0774A" w:rsidRPr="00A23740" w:rsidRDefault="00C30856" w:rsidP="009431FF">
            <w:pPr>
              <w:ind w:firstLine="709"/>
              <w:rPr>
                <w:rFonts w:eastAsia="Times New Roman"/>
                <w:color w:val="000000"/>
                <w:szCs w:val="24"/>
                <w:lang w:eastAsia="tr-TR"/>
              </w:rPr>
            </w:pPr>
            <w:r w:rsidRPr="00D60C1D">
              <w:rPr>
                <w:rStyle w:val="Balk1Char"/>
                <w:rFonts w:eastAsia="Calibri"/>
                <w:b w:val="0"/>
                <w:color w:val="000000"/>
              </w:rPr>
              <w:t>Üçüncü</w:t>
            </w:r>
            <w:r w:rsidRPr="00A23740">
              <w:rPr>
                <w:rFonts w:eastAsia="Times New Roman"/>
                <w:color w:val="000000"/>
                <w:szCs w:val="24"/>
                <w:lang w:eastAsia="tr-TR"/>
              </w:rPr>
              <w:t xml:space="preserve"> </w:t>
            </w:r>
            <w:r w:rsidR="00B0774A" w:rsidRPr="00A23740">
              <w:rPr>
                <w:rFonts w:eastAsia="Times New Roman"/>
                <w:color w:val="000000"/>
                <w:szCs w:val="24"/>
                <w:lang w:eastAsia="tr-TR"/>
              </w:rPr>
              <w:t>fıkrayla, kıymet takdirine ilişkin şik</w:t>
            </w:r>
            <w:r w:rsidR="007C61CF" w:rsidRPr="00A23740">
              <w:rPr>
                <w:rFonts w:eastAsia="Times New Roman"/>
                <w:color w:val="000000"/>
                <w:szCs w:val="24"/>
                <w:lang w:eastAsia="tr-TR"/>
              </w:rPr>
              <w:t>â</w:t>
            </w:r>
            <w:r w:rsidR="00B0774A" w:rsidRPr="00A23740">
              <w:rPr>
                <w:rFonts w:eastAsia="Times New Roman"/>
                <w:color w:val="000000"/>
                <w:szCs w:val="24"/>
                <w:lang w:eastAsia="tr-TR"/>
              </w:rPr>
              <w:t>yetin görevsiz mahkemeye yapılması h</w:t>
            </w:r>
            <w:r w:rsidR="007C61CF" w:rsidRPr="00A23740">
              <w:rPr>
                <w:rFonts w:eastAsia="Times New Roman"/>
                <w:color w:val="000000"/>
                <w:szCs w:val="24"/>
                <w:lang w:eastAsia="tr-TR"/>
              </w:rPr>
              <w:t>â</w:t>
            </w:r>
            <w:r w:rsidR="00B0774A" w:rsidRPr="00A23740">
              <w:rPr>
                <w:rFonts w:eastAsia="Times New Roman"/>
                <w:color w:val="000000"/>
                <w:szCs w:val="24"/>
                <w:lang w:eastAsia="tr-TR"/>
              </w:rPr>
              <w:t xml:space="preserve">linde, mahkemenin dosya üzerinde inceleme yaparak başvuru tarihinden itibaren en geç bir hafta içinde görevsizlik kararı vereceği ve </w:t>
            </w:r>
            <w:r w:rsidR="006936F7" w:rsidRPr="00A23740">
              <w:rPr>
                <w:rFonts w:eastAsia="Times New Roman"/>
                <w:color w:val="000000"/>
                <w:szCs w:val="24"/>
                <w:lang w:eastAsia="tr-TR"/>
              </w:rPr>
              <w:t>masrafını</w:t>
            </w:r>
            <w:r w:rsidR="00B0774A" w:rsidRPr="00A23740">
              <w:rPr>
                <w:rFonts w:eastAsia="Times New Roman"/>
                <w:color w:val="000000"/>
                <w:szCs w:val="24"/>
                <w:lang w:eastAsia="tr-TR"/>
              </w:rPr>
              <w:t xml:space="preserve"> gider avansından karşılamak suretiyle dosyayı resen ve doğrudan yetkili icra hukuk mahkemesine göndereceği düzenlenmektedir. Bu </w:t>
            </w:r>
            <w:r w:rsidR="0097576B" w:rsidRPr="00A23740">
              <w:rPr>
                <w:rFonts w:eastAsia="Times New Roman"/>
                <w:color w:val="000000"/>
                <w:szCs w:val="24"/>
                <w:lang w:eastAsia="tr-TR"/>
              </w:rPr>
              <w:t xml:space="preserve"> hükme </w:t>
            </w:r>
            <w:r w:rsidR="00B0774A" w:rsidRPr="00A23740">
              <w:rPr>
                <w:rFonts w:eastAsia="Times New Roman"/>
                <w:color w:val="000000"/>
                <w:szCs w:val="24"/>
                <w:lang w:eastAsia="tr-TR"/>
              </w:rPr>
              <w:t xml:space="preserve">göre mahkeme, her ne kadar kendisinin görevsiz olduğuna karar vermiş olsa da dosyayı “yetkili” icra hukuk mahkemesine </w:t>
            </w:r>
            <w:r w:rsidR="006936F7" w:rsidRPr="00A23740">
              <w:rPr>
                <w:rFonts w:eastAsia="Times New Roman"/>
                <w:color w:val="000000"/>
                <w:szCs w:val="24"/>
                <w:lang w:eastAsia="tr-TR"/>
              </w:rPr>
              <w:t>gönderir</w:t>
            </w:r>
            <w:r w:rsidR="00B0774A" w:rsidRPr="00A23740">
              <w:rPr>
                <w:rFonts w:eastAsia="Times New Roman"/>
                <w:color w:val="000000"/>
                <w:szCs w:val="24"/>
                <w:lang w:eastAsia="tr-TR"/>
              </w:rPr>
              <w:t>. Bir başka deyişle, bu hükümde görevsizliğe ilişkin şik</w:t>
            </w:r>
            <w:r w:rsidR="007C61CF" w:rsidRPr="00A23740">
              <w:rPr>
                <w:rFonts w:eastAsia="Times New Roman"/>
                <w:color w:val="000000"/>
                <w:szCs w:val="24"/>
                <w:lang w:eastAsia="tr-TR"/>
              </w:rPr>
              <w:t>â</w:t>
            </w:r>
            <w:r w:rsidR="00B0774A" w:rsidRPr="00A23740">
              <w:rPr>
                <w:rFonts w:eastAsia="Times New Roman"/>
                <w:color w:val="000000"/>
                <w:szCs w:val="24"/>
                <w:lang w:eastAsia="tr-TR"/>
              </w:rPr>
              <w:t>yet kurumu düzenleniyor olsa da</w:t>
            </w:r>
            <w:r w:rsidR="0097576B" w:rsidRPr="00A23740">
              <w:rPr>
                <w:rFonts w:eastAsia="Times New Roman"/>
                <w:color w:val="000000"/>
                <w:szCs w:val="24"/>
                <w:lang w:eastAsia="tr-TR"/>
              </w:rPr>
              <w:t>,</w:t>
            </w:r>
            <w:r w:rsidR="00B0774A" w:rsidRPr="00A23740">
              <w:rPr>
                <w:rFonts w:eastAsia="Times New Roman"/>
                <w:color w:val="000000"/>
                <w:szCs w:val="24"/>
                <w:lang w:eastAsia="tr-TR"/>
              </w:rPr>
              <w:t xml:space="preserve"> “görevli” ibaresi yerine “yetkili” ibaresi </w:t>
            </w:r>
            <w:r w:rsidR="00873C3A" w:rsidRPr="00A23740">
              <w:rPr>
                <w:rFonts w:eastAsia="Times New Roman"/>
                <w:color w:val="000000"/>
                <w:szCs w:val="24"/>
                <w:lang w:eastAsia="tr-TR"/>
              </w:rPr>
              <w:t xml:space="preserve">bilinçli olarak </w:t>
            </w:r>
            <w:r w:rsidR="00B0774A" w:rsidRPr="00A23740">
              <w:rPr>
                <w:rFonts w:eastAsia="Times New Roman"/>
                <w:color w:val="000000"/>
                <w:szCs w:val="24"/>
                <w:lang w:eastAsia="tr-TR"/>
              </w:rPr>
              <w:t xml:space="preserve">tercih </w:t>
            </w:r>
            <w:r w:rsidR="006936F7" w:rsidRPr="00A23740">
              <w:rPr>
                <w:rFonts w:eastAsia="Times New Roman"/>
                <w:color w:val="000000"/>
                <w:szCs w:val="24"/>
                <w:lang w:eastAsia="tr-TR"/>
              </w:rPr>
              <w:t>edilmektedir</w:t>
            </w:r>
            <w:r w:rsidR="00257849" w:rsidRPr="00A23740">
              <w:rPr>
                <w:rFonts w:eastAsia="Times New Roman"/>
                <w:color w:val="000000"/>
                <w:szCs w:val="24"/>
                <w:lang w:eastAsia="tr-TR"/>
              </w:rPr>
              <w:t xml:space="preserve">. Zira, </w:t>
            </w:r>
            <w:r w:rsidR="00B0774A" w:rsidRPr="00A23740">
              <w:rPr>
                <w:rFonts w:eastAsia="Times New Roman"/>
                <w:color w:val="000000"/>
                <w:szCs w:val="24"/>
                <w:lang w:eastAsia="tr-TR"/>
              </w:rPr>
              <w:t>kıymet takdirine ilişkin şik</w:t>
            </w:r>
            <w:r w:rsidR="007C61CF" w:rsidRPr="00A23740">
              <w:rPr>
                <w:rFonts w:eastAsia="Times New Roman"/>
                <w:color w:val="000000"/>
                <w:szCs w:val="24"/>
                <w:lang w:eastAsia="tr-TR"/>
              </w:rPr>
              <w:t>â</w:t>
            </w:r>
            <w:r w:rsidR="00B0774A" w:rsidRPr="00A23740">
              <w:rPr>
                <w:rFonts w:eastAsia="Times New Roman"/>
                <w:color w:val="000000"/>
                <w:szCs w:val="24"/>
                <w:lang w:eastAsia="tr-TR"/>
              </w:rPr>
              <w:t xml:space="preserve">yetin görevsiz </w:t>
            </w:r>
            <w:r w:rsidR="00257849" w:rsidRPr="00A23740">
              <w:rPr>
                <w:rFonts w:eastAsia="Times New Roman"/>
                <w:color w:val="000000"/>
                <w:szCs w:val="24"/>
                <w:lang w:eastAsia="tr-TR"/>
              </w:rPr>
              <w:t xml:space="preserve">ve </w:t>
            </w:r>
            <w:r w:rsidR="00B0774A" w:rsidRPr="00A23740">
              <w:rPr>
                <w:rFonts w:eastAsia="Times New Roman"/>
                <w:color w:val="000000"/>
                <w:szCs w:val="24"/>
                <w:lang w:eastAsia="tr-TR"/>
              </w:rPr>
              <w:t>yetkisiz mahkemeye yapılması ve mahkemenin</w:t>
            </w:r>
            <w:r w:rsidR="00257849" w:rsidRPr="00A23740">
              <w:rPr>
                <w:rFonts w:eastAsia="Times New Roman"/>
                <w:color w:val="000000"/>
                <w:szCs w:val="24"/>
                <w:lang w:eastAsia="tr-TR"/>
              </w:rPr>
              <w:t xml:space="preserve"> de</w:t>
            </w:r>
            <w:r w:rsidR="00B0774A" w:rsidRPr="00A23740">
              <w:rPr>
                <w:rFonts w:eastAsia="Times New Roman"/>
                <w:color w:val="000000"/>
                <w:szCs w:val="24"/>
                <w:lang w:eastAsia="tr-TR"/>
              </w:rPr>
              <w:t xml:space="preserve"> kendisini hem görevsiz hem de yetkisiz </w:t>
            </w:r>
            <w:r w:rsidR="00257849" w:rsidRPr="00A23740">
              <w:rPr>
                <w:rFonts w:eastAsia="Times New Roman"/>
                <w:color w:val="000000"/>
                <w:szCs w:val="24"/>
                <w:lang w:eastAsia="tr-TR"/>
              </w:rPr>
              <w:t>kabul etmesi</w:t>
            </w:r>
            <w:r w:rsidR="00B0774A" w:rsidRPr="00A23740">
              <w:rPr>
                <w:rFonts w:eastAsia="Times New Roman"/>
                <w:color w:val="000000"/>
                <w:szCs w:val="24"/>
                <w:lang w:eastAsia="tr-TR"/>
              </w:rPr>
              <w:t xml:space="preserve"> h</w:t>
            </w:r>
            <w:r w:rsidR="007C61CF" w:rsidRPr="00A23740">
              <w:rPr>
                <w:rFonts w:eastAsia="Times New Roman"/>
                <w:color w:val="000000"/>
                <w:szCs w:val="24"/>
                <w:lang w:eastAsia="tr-TR"/>
              </w:rPr>
              <w:t>â</w:t>
            </w:r>
            <w:r w:rsidR="00B0774A" w:rsidRPr="00A23740">
              <w:rPr>
                <w:rFonts w:eastAsia="Times New Roman"/>
                <w:color w:val="000000"/>
                <w:szCs w:val="24"/>
                <w:lang w:eastAsia="tr-TR"/>
              </w:rPr>
              <w:t xml:space="preserve">linde, dosyayı üçüncü </w:t>
            </w:r>
            <w:r w:rsidR="00873C3A" w:rsidRPr="00A23740">
              <w:rPr>
                <w:rFonts w:eastAsia="Times New Roman"/>
                <w:color w:val="000000"/>
                <w:szCs w:val="24"/>
                <w:lang w:eastAsia="tr-TR"/>
              </w:rPr>
              <w:t xml:space="preserve">ve dördüncü </w:t>
            </w:r>
            <w:r w:rsidR="00B0774A" w:rsidRPr="00A23740">
              <w:rPr>
                <w:rFonts w:eastAsia="Times New Roman"/>
                <w:color w:val="000000"/>
                <w:szCs w:val="24"/>
                <w:lang w:eastAsia="tr-TR"/>
              </w:rPr>
              <w:t xml:space="preserve">fıkralarda belirtilen hükümlere uygun bir şekilde yetkili ve görevli mahkemeye göndermesi </w:t>
            </w:r>
            <w:r w:rsidR="00257849" w:rsidRPr="00A23740">
              <w:rPr>
                <w:rFonts w:eastAsia="Times New Roman"/>
                <w:color w:val="000000"/>
                <w:szCs w:val="24"/>
                <w:lang w:eastAsia="tr-TR"/>
              </w:rPr>
              <w:t>gerekir</w:t>
            </w:r>
            <w:r w:rsidR="00B0774A" w:rsidRPr="00A23740">
              <w:rPr>
                <w:rFonts w:eastAsia="Times New Roman"/>
                <w:color w:val="000000"/>
                <w:szCs w:val="24"/>
                <w:lang w:eastAsia="tr-TR"/>
              </w:rPr>
              <w:t>. Böylelikle hem yetki hem de görev hususlarını bir arada içeren şik</w:t>
            </w:r>
            <w:r w:rsidR="007C61CF" w:rsidRPr="00A23740">
              <w:rPr>
                <w:rFonts w:eastAsia="Times New Roman"/>
                <w:color w:val="000000"/>
                <w:szCs w:val="24"/>
                <w:lang w:eastAsia="tr-TR"/>
              </w:rPr>
              <w:t>â</w:t>
            </w:r>
            <w:r w:rsidR="00B0774A" w:rsidRPr="00A23740">
              <w:rPr>
                <w:rFonts w:eastAsia="Times New Roman"/>
                <w:color w:val="000000"/>
                <w:szCs w:val="24"/>
                <w:lang w:eastAsia="tr-TR"/>
              </w:rPr>
              <w:t xml:space="preserve">yetin, birden fazla mahkemece incelenmesiyle </w:t>
            </w:r>
            <w:r w:rsidR="00257849" w:rsidRPr="00A23740">
              <w:rPr>
                <w:rFonts w:eastAsia="Times New Roman"/>
                <w:color w:val="000000"/>
                <w:szCs w:val="24"/>
                <w:lang w:eastAsia="tr-TR"/>
              </w:rPr>
              <w:t xml:space="preserve">oluşabilecek gecikmenin </w:t>
            </w:r>
            <w:r w:rsidR="00B0774A" w:rsidRPr="00A23740">
              <w:rPr>
                <w:rFonts w:eastAsia="Times New Roman"/>
                <w:color w:val="000000"/>
                <w:szCs w:val="24"/>
                <w:lang w:eastAsia="tr-TR"/>
              </w:rPr>
              <w:t>ö</w:t>
            </w:r>
            <w:r w:rsidR="00873C3A" w:rsidRPr="00A23740">
              <w:rPr>
                <w:rFonts w:eastAsia="Times New Roman"/>
                <w:color w:val="000000"/>
                <w:szCs w:val="24"/>
                <w:lang w:eastAsia="tr-TR"/>
              </w:rPr>
              <w:t xml:space="preserve">nüne geçilmesi </w:t>
            </w:r>
            <w:r w:rsidR="00F20A98" w:rsidRPr="00A23740">
              <w:rPr>
                <w:rFonts w:eastAsia="Times New Roman"/>
                <w:color w:val="000000"/>
                <w:szCs w:val="24"/>
                <w:lang w:eastAsia="tr-TR"/>
              </w:rPr>
              <w:t>amaçlanmaktadır</w:t>
            </w:r>
            <w:r w:rsidR="00873C3A" w:rsidRPr="00A23740">
              <w:rPr>
                <w:rFonts w:eastAsia="Times New Roman"/>
                <w:color w:val="000000"/>
                <w:szCs w:val="24"/>
                <w:lang w:eastAsia="tr-TR"/>
              </w:rPr>
              <w:t xml:space="preserve">. </w:t>
            </w:r>
          </w:p>
          <w:p w:rsidR="00C30856" w:rsidRPr="00A23740" w:rsidRDefault="00C30856" w:rsidP="009431FF">
            <w:pPr>
              <w:ind w:firstLine="709"/>
              <w:rPr>
                <w:rFonts w:eastAsia="Times New Roman"/>
                <w:color w:val="000000"/>
                <w:szCs w:val="24"/>
                <w:lang w:eastAsia="tr-TR"/>
              </w:rPr>
            </w:pPr>
            <w:r w:rsidRPr="00D60C1D">
              <w:rPr>
                <w:rStyle w:val="Balk1Char"/>
                <w:rFonts w:eastAsia="Calibri"/>
                <w:b w:val="0"/>
                <w:color w:val="000000"/>
              </w:rPr>
              <w:t>Dördüncü</w:t>
            </w:r>
            <w:r w:rsidRPr="00A23740">
              <w:rPr>
                <w:rFonts w:eastAsia="Times New Roman"/>
                <w:color w:val="000000"/>
                <w:szCs w:val="24"/>
                <w:lang w:eastAsia="tr-TR"/>
              </w:rPr>
              <w:t xml:space="preserve"> fıkraya göre, kıymet takdirine ilişkin şikâyetin yetkisiz icra hukuk mahkemesine yapılması hâlinde mahkeme, dosya üzerinde inceleme yaparak başvuru tarihinden itibaren en geç bir hafta içinde yetkisizlik kararı verir ve masrafını gider avansından karşılamak suretiyle dosyayı resen ve doğrudan yetkili icra hukuk mahkemesine gönderir. 2004 sayılı Kanunun 128/a maddesinin dördüncü fıkrasına göre</w:t>
            </w:r>
            <w:r w:rsidRPr="00A23740">
              <w:rPr>
                <w:rStyle w:val="Balk1Char"/>
                <w:rFonts w:eastAsia="Calibri"/>
              </w:rPr>
              <w:t>,</w:t>
            </w:r>
            <w:r w:rsidRPr="00A23740">
              <w:rPr>
                <w:rFonts w:eastAsia="Times New Roman"/>
                <w:color w:val="000000"/>
                <w:szCs w:val="24"/>
                <w:lang w:eastAsia="tr-TR"/>
              </w:rPr>
              <w:t xml:space="preserve"> şikâyet başvurusunun yetkisiz mahkemeye yapılması hâlinde, mahkemenin başvuru tarihinden itibaren en geç on gün içinde yetkisizlik kararı vermesi gerekirken, sürelerin yeknesak hâle getirilmesi ilkesi kapsamında hükümde bu süre bir haftaya indirilmektedir.</w:t>
            </w:r>
          </w:p>
          <w:p w:rsidR="00B0774A" w:rsidRPr="00A23740" w:rsidRDefault="006936F7" w:rsidP="001971CE">
            <w:pPr>
              <w:ind w:firstLine="709"/>
              <w:rPr>
                <w:rFonts w:eastAsia="Times New Roman"/>
                <w:color w:val="000000"/>
                <w:szCs w:val="24"/>
                <w:lang w:eastAsia="tr-TR"/>
              </w:rPr>
            </w:pPr>
            <w:r w:rsidRPr="00A23740">
              <w:rPr>
                <w:rFonts w:eastAsia="Times New Roman"/>
                <w:color w:val="000000"/>
                <w:szCs w:val="24"/>
                <w:lang w:eastAsia="tr-TR"/>
              </w:rPr>
              <w:t>Beşinci</w:t>
            </w:r>
            <w:r w:rsidR="00B0774A" w:rsidRPr="00A23740">
              <w:rPr>
                <w:rFonts w:eastAsia="Times New Roman"/>
                <w:color w:val="000000"/>
                <w:szCs w:val="24"/>
                <w:lang w:eastAsia="tr-TR"/>
              </w:rPr>
              <w:t xml:space="preserve"> fıkraya göre, üçüncü </w:t>
            </w:r>
            <w:r w:rsidR="00F20A98" w:rsidRPr="00A23740">
              <w:rPr>
                <w:rFonts w:eastAsia="Times New Roman"/>
                <w:color w:val="000000"/>
                <w:szCs w:val="24"/>
                <w:lang w:eastAsia="tr-TR"/>
              </w:rPr>
              <w:t xml:space="preserve">ve dördüncü </w:t>
            </w:r>
            <w:r w:rsidR="00B0774A" w:rsidRPr="00A23740">
              <w:rPr>
                <w:rFonts w:eastAsia="Times New Roman"/>
                <w:color w:val="000000"/>
                <w:szCs w:val="24"/>
                <w:lang w:eastAsia="tr-TR"/>
              </w:rPr>
              <w:t>fıkralar uyarınca verilen görevsizlik ve yetkisizlik kararları kesin olup, bu kararlar diğer mahkemeyi bağla</w:t>
            </w:r>
            <w:r w:rsidR="00F20A98" w:rsidRPr="00A23740">
              <w:rPr>
                <w:rFonts w:eastAsia="Times New Roman"/>
                <w:color w:val="000000"/>
                <w:szCs w:val="24"/>
                <w:lang w:eastAsia="tr-TR"/>
              </w:rPr>
              <w:t>r</w:t>
            </w:r>
            <w:r w:rsidR="001971CE">
              <w:rPr>
                <w:rFonts w:eastAsia="Times New Roman"/>
                <w:color w:val="000000"/>
                <w:szCs w:val="24"/>
                <w:lang w:eastAsia="tr-TR"/>
              </w:rPr>
              <w:t>.</w:t>
            </w:r>
          </w:p>
          <w:p w:rsidR="00C30856" w:rsidRPr="00A23740" w:rsidRDefault="00C308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Kıymet takdirine ilişkin şikâyet:</w:t>
            </w:r>
          </w:p>
          <w:p w:rsidR="00AA5C8C" w:rsidRPr="00A23740" w:rsidRDefault="00AA5C8C" w:rsidP="009431FF">
            <w:pPr>
              <w:tabs>
                <w:tab w:val="left" w:pos="540"/>
              </w:tabs>
              <w:rPr>
                <w:rStyle w:val="KIRMIZIChar"/>
                <w:rFonts w:eastAsia="Calibri"/>
              </w:rPr>
            </w:pPr>
            <w:r w:rsidRPr="00A23740">
              <w:rPr>
                <w:rStyle w:val="KIRMIZIChar"/>
                <w:rFonts w:eastAsia="Calibri"/>
              </w:rPr>
              <w:t>Madde 128/a- (1) …</w:t>
            </w:r>
          </w:p>
          <w:p w:rsidR="00AA5C8C" w:rsidRPr="00A23740" w:rsidRDefault="00AA5C8C" w:rsidP="009431FF">
            <w:pPr>
              <w:tabs>
                <w:tab w:val="left" w:pos="540"/>
              </w:tabs>
              <w:rPr>
                <w:rStyle w:val="KIRMIZIChar"/>
                <w:rFonts w:eastAsia="Calibri"/>
              </w:rPr>
            </w:pPr>
          </w:p>
          <w:p w:rsidR="00AA5C8C" w:rsidRPr="00A23740" w:rsidRDefault="00AA5C8C" w:rsidP="009431FF">
            <w:pPr>
              <w:tabs>
                <w:tab w:val="left" w:pos="540"/>
              </w:tabs>
              <w:rPr>
                <w:rStyle w:val="KIRMIZIChar"/>
                <w:rFonts w:eastAsia="Calibri"/>
              </w:rPr>
            </w:pPr>
            <w:r w:rsidRPr="00A23740">
              <w:rPr>
                <w:rStyle w:val="KIRMIZIChar"/>
                <w:rFonts w:eastAsia="Calibri"/>
              </w:rPr>
              <w:t>(2) …</w:t>
            </w:r>
          </w:p>
          <w:p w:rsidR="00AA5C8C" w:rsidRPr="00A23740" w:rsidRDefault="00AA5C8C" w:rsidP="009431FF">
            <w:pPr>
              <w:tabs>
                <w:tab w:val="left" w:pos="540"/>
              </w:tabs>
              <w:rPr>
                <w:rFonts w:eastAsia="Times New Roman"/>
                <w:szCs w:val="24"/>
                <w:lang w:eastAsia="tr-TR"/>
              </w:rPr>
            </w:pPr>
          </w:p>
          <w:p w:rsidR="00AA5C8C" w:rsidRPr="00A23740" w:rsidRDefault="00AA5C8C" w:rsidP="009431FF">
            <w:pPr>
              <w:tabs>
                <w:tab w:val="left" w:pos="540"/>
              </w:tabs>
              <w:rPr>
                <w:rFonts w:eastAsia="Times New Roman"/>
                <w:szCs w:val="24"/>
                <w:lang w:eastAsia="tr-TR"/>
              </w:rPr>
            </w:pPr>
            <w:r w:rsidRPr="00A23740">
              <w:rPr>
                <w:rFonts w:eastAsia="Times New Roman"/>
                <w:b/>
                <w:strike/>
                <w:color w:val="FF0000"/>
                <w:szCs w:val="24"/>
                <w:lang w:eastAsia="tr-TR"/>
              </w:rPr>
              <w:t>(3) (Değişik birinci cümle: 12/2/2004-5092/2 md.)</w:t>
            </w:r>
            <w:r w:rsidRPr="00A23740">
              <w:rPr>
                <w:rFonts w:eastAsia="Times New Roman"/>
                <w:b/>
                <w:szCs w:val="24"/>
                <w:lang w:eastAsia="tr-TR"/>
              </w:rPr>
              <w:t xml:space="preserve"> </w:t>
            </w:r>
            <w:r w:rsidRPr="00A23740">
              <w:rPr>
                <w:rFonts w:eastAsia="Times New Roman"/>
                <w:szCs w:val="24"/>
                <w:lang w:eastAsia="tr-TR"/>
              </w:rPr>
              <w:t xml:space="preserve">Kesinleşen kıymet takdirinin yapıldığı tarihten itibaren </w:t>
            </w:r>
            <w:r w:rsidRPr="00A23740">
              <w:rPr>
                <w:rStyle w:val="KIRMIZIChar"/>
                <w:rFonts w:eastAsia="Calibri"/>
              </w:rPr>
              <w:t>iki</w:t>
            </w:r>
            <w:r w:rsidRPr="00A23740">
              <w:rPr>
                <w:rFonts w:eastAsia="Times New Roman"/>
                <w:szCs w:val="24"/>
                <w:lang w:eastAsia="tr-TR"/>
              </w:rPr>
              <w:t xml:space="preserve"> yıl geçmedikçe yeniden kıymet takdiri istenemez. Ancak, doğal afetler </w:t>
            </w:r>
            <w:r w:rsidRPr="00A23740">
              <w:rPr>
                <w:rStyle w:val="KIRMIZIChar"/>
                <w:rFonts w:eastAsia="Calibri"/>
              </w:rPr>
              <w:t>ve</w:t>
            </w:r>
            <w:r w:rsidRPr="00A23740">
              <w:rPr>
                <w:rFonts w:eastAsia="Times New Roman"/>
                <w:szCs w:val="24"/>
                <w:lang w:eastAsia="tr-TR"/>
              </w:rPr>
              <w:t xml:space="preserve"> imar durumundaki çok önemli değişiklikler meydana getiren benzer hallerde yeniden kıymet takdiri istenebilir.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KIRMIZI"/>
            </w:pPr>
            <w:r w:rsidRPr="00A23740">
              <w:t>(4) …</w:t>
            </w:r>
          </w:p>
          <w:p w:rsidR="00AA5C8C" w:rsidRPr="00A23740" w:rsidRDefault="00AA5C8C" w:rsidP="009431FF">
            <w:pPr>
              <w:pStyle w:val="KIRMIZI"/>
            </w:pPr>
          </w:p>
          <w:p w:rsidR="00AA5C8C" w:rsidRPr="00A23740" w:rsidRDefault="00AA5C8C" w:rsidP="009431FF">
            <w:pPr>
              <w:pStyle w:val="KIRMIZI"/>
            </w:pPr>
            <w:r w:rsidRPr="00A23740">
              <w:t>(5) …</w:t>
            </w:r>
          </w:p>
          <w:p w:rsidR="00AA5C8C" w:rsidRPr="00A23740" w:rsidRDefault="00AA5C8C" w:rsidP="009431FF">
            <w:pPr>
              <w:tabs>
                <w:tab w:val="left" w:pos="540"/>
              </w:tabs>
            </w:pPr>
          </w:p>
        </w:tc>
        <w:tc>
          <w:tcPr>
            <w:tcW w:w="2500" w:type="pct"/>
          </w:tcPr>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Yeni kıymet takdiri</w:t>
            </w:r>
          </w:p>
          <w:p w:rsidR="00851D91" w:rsidRPr="00A23740" w:rsidRDefault="00AA5C8C" w:rsidP="009431FF">
            <w:pPr>
              <w:tabs>
                <w:tab w:val="left" w:pos="567"/>
              </w:tabs>
            </w:pPr>
            <w:r w:rsidRPr="00A23740">
              <w:rPr>
                <w:rFonts w:eastAsia="Times New Roman"/>
                <w:b/>
                <w:color w:val="0000FF"/>
                <w:szCs w:val="24"/>
                <w:lang w:eastAsia="tr-TR"/>
              </w:rPr>
              <w:t xml:space="preserve">MADDE </w:t>
            </w:r>
            <w:r w:rsidR="0025794C" w:rsidRPr="00A23740">
              <w:rPr>
                <w:rFonts w:eastAsia="Times New Roman"/>
                <w:b/>
                <w:color w:val="0000FF"/>
                <w:szCs w:val="24"/>
                <w:lang w:eastAsia="tr-TR"/>
              </w:rPr>
              <w:t>222</w:t>
            </w:r>
            <w:r w:rsidRPr="00A23740">
              <w:rPr>
                <w:rFonts w:eastAsia="Times New Roman"/>
                <w:b/>
                <w:color w:val="0000FF"/>
                <w:szCs w:val="24"/>
                <w:lang w:eastAsia="tr-TR"/>
              </w:rPr>
              <w:t xml:space="preserve">- </w:t>
            </w:r>
            <w:r w:rsidRPr="00A23740">
              <w:rPr>
                <w:rStyle w:val="MaviChar"/>
              </w:rPr>
              <w:t xml:space="preserve">(1) </w:t>
            </w:r>
            <w:r w:rsidRPr="00A23740">
              <w:rPr>
                <w:rStyle w:val="MaviChar"/>
                <w:lang w:val="tr-TR"/>
              </w:rPr>
              <w:t>İ</w:t>
            </w:r>
            <w:r w:rsidRPr="00A23740">
              <w:rPr>
                <w:rStyle w:val="MaviChar"/>
              </w:rPr>
              <w:t xml:space="preserve">cra ve iflas dairesince yapılan </w:t>
            </w:r>
            <w:r w:rsidRPr="00A23740">
              <w:rPr>
                <w:rStyle w:val="MaviChar"/>
                <w:lang w:val="tr-TR"/>
              </w:rPr>
              <w:t xml:space="preserve">veya </w:t>
            </w:r>
            <w:r w:rsidRPr="00A23740">
              <w:rPr>
                <w:rStyle w:val="MaviChar"/>
              </w:rPr>
              <w:t>yaptırılan kıymet takdirine karşı şik</w:t>
            </w:r>
            <w:r w:rsidR="0005103C" w:rsidRPr="00A23740">
              <w:rPr>
                <w:rStyle w:val="MaviChar"/>
                <w:lang w:val="tr-TR"/>
              </w:rPr>
              <w:t>â</w:t>
            </w:r>
            <w:r w:rsidRPr="00A23740">
              <w:rPr>
                <w:rStyle w:val="MaviChar"/>
              </w:rPr>
              <w:t>yet yoluna başvurulmadığı h</w:t>
            </w:r>
            <w:r w:rsidR="0005103C" w:rsidRPr="00A23740">
              <w:rPr>
                <w:rStyle w:val="MaviChar"/>
                <w:lang w:val="tr-TR"/>
              </w:rPr>
              <w:t>â</w:t>
            </w:r>
            <w:r w:rsidRPr="00A23740">
              <w:rPr>
                <w:rStyle w:val="MaviChar"/>
              </w:rPr>
              <w:t xml:space="preserve">llerde, bu </w:t>
            </w:r>
            <w:r w:rsidRPr="00A23740">
              <w:t>kıymet takdirinin yapıldığı</w:t>
            </w:r>
            <w:r w:rsidRPr="00A23740">
              <w:rPr>
                <w:rStyle w:val="MaviChar"/>
              </w:rPr>
              <w:t xml:space="preserve"> veya raporun verildiği tarihten; şik</w:t>
            </w:r>
            <w:r w:rsidR="0005103C" w:rsidRPr="00A23740">
              <w:rPr>
                <w:rStyle w:val="MaviChar"/>
                <w:lang w:val="tr-TR"/>
              </w:rPr>
              <w:t>â</w:t>
            </w:r>
            <w:r w:rsidRPr="00A23740">
              <w:rPr>
                <w:rStyle w:val="MaviChar"/>
              </w:rPr>
              <w:t>yet yoluna başvurulduğu ve icra hukuk mahkemesince şik</w:t>
            </w:r>
            <w:r w:rsidR="0005103C" w:rsidRPr="00A23740">
              <w:rPr>
                <w:rStyle w:val="MaviChar"/>
                <w:lang w:val="tr-TR"/>
              </w:rPr>
              <w:t>â</w:t>
            </w:r>
            <w:r w:rsidRPr="00A23740">
              <w:rPr>
                <w:rStyle w:val="MaviChar"/>
              </w:rPr>
              <w:t>yetin kabul edildiği durumlarda ise</w:t>
            </w:r>
            <w:r w:rsidR="00945F6C" w:rsidRPr="00A23740">
              <w:rPr>
                <w:rStyle w:val="MaviChar"/>
                <w:color w:val="385623"/>
              </w:rPr>
              <w:t>,</w:t>
            </w:r>
            <w:r w:rsidRPr="00A23740">
              <w:rPr>
                <w:rStyle w:val="MaviChar"/>
              </w:rPr>
              <w:t xml:space="preserve"> icra hukuk mahkemesinin karar verdiği </w:t>
            </w:r>
            <w:r w:rsidRPr="00A23740">
              <w:t>tarihten itibaren</w:t>
            </w:r>
            <w:r w:rsidRPr="00A23740">
              <w:rPr>
                <w:rStyle w:val="MaviChar"/>
              </w:rPr>
              <w:t xml:space="preserve"> bir </w:t>
            </w:r>
            <w:r w:rsidRPr="00A23740">
              <w:t>yıl geçmedikçe yeniden kıymet takdiri</w:t>
            </w:r>
            <w:r w:rsidRPr="00A23740">
              <w:rPr>
                <w:rStyle w:val="MaviChar"/>
              </w:rPr>
              <w:t xml:space="preserve"> </w:t>
            </w:r>
            <w:r w:rsidRPr="00A23740">
              <w:t xml:space="preserve">istenemez. </w:t>
            </w:r>
          </w:p>
          <w:p w:rsidR="00851D91" w:rsidRPr="00A23740" w:rsidRDefault="00851D91" w:rsidP="009431FF">
            <w:pPr>
              <w:tabs>
                <w:tab w:val="left" w:pos="567"/>
              </w:tabs>
            </w:pPr>
          </w:p>
          <w:p w:rsidR="00AA5C8C" w:rsidRPr="00A23740" w:rsidRDefault="00851D91" w:rsidP="009431FF">
            <w:pPr>
              <w:tabs>
                <w:tab w:val="left" w:pos="567"/>
              </w:tabs>
            </w:pPr>
            <w:r w:rsidRPr="00A23740">
              <w:rPr>
                <w:rStyle w:val="MaviChar"/>
              </w:rPr>
              <w:t>(2)</w:t>
            </w:r>
            <w:r w:rsidRPr="00A23740">
              <w:t xml:space="preserve"> Doğal </w:t>
            </w:r>
            <w:r w:rsidR="00AA5C8C" w:rsidRPr="00A23740">
              <w:t xml:space="preserve">afetler, </w:t>
            </w:r>
            <w:r w:rsidR="005357AA" w:rsidRPr="00A23740">
              <w:t xml:space="preserve">imar </w:t>
            </w:r>
            <w:r w:rsidR="0005103C" w:rsidRPr="00A23740">
              <w:rPr>
                <w:rStyle w:val="Balk1Char"/>
                <w:rFonts w:eastAsia="Calibri"/>
              </w:rPr>
              <w:t>durumundaki değişiklikler</w:t>
            </w:r>
            <w:r w:rsidR="0005103C" w:rsidRPr="00A23740">
              <w:t xml:space="preserve"> </w:t>
            </w:r>
            <w:r w:rsidRPr="00A23740">
              <w:t>veya</w:t>
            </w:r>
            <w:r w:rsidR="005357AA" w:rsidRPr="00A23740">
              <w:t xml:space="preserve"> ekonomik</w:t>
            </w:r>
            <w:r w:rsidR="0005103C" w:rsidRPr="00A23740">
              <w:t xml:space="preserve"> </w:t>
            </w:r>
            <w:r w:rsidR="0005103C" w:rsidRPr="00A23740">
              <w:rPr>
                <w:rStyle w:val="Balk1Char"/>
                <w:rFonts w:eastAsia="Calibri"/>
              </w:rPr>
              <w:t>kriz hâllerinde ya da mevcut kıymet takdirlerinde</w:t>
            </w:r>
            <w:r w:rsidR="005357AA" w:rsidRPr="00A23740">
              <w:t xml:space="preserve"> </w:t>
            </w:r>
            <w:r w:rsidR="00AA5C8C" w:rsidRPr="00A23740">
              <w:t>önemli değişiklikler meydana getiren benzer h</w:t>
            </w:r>
            <w:r w:rsidR="0005103C" w:rsidRPr="00A23740">
              <w:t>â</w:t>
            </w:r>
            <w:r w:rsidR="00AA5C8C" w:rsidRPr="00A23740">
              <w:t>llerde</w:t>
            </w:r>
            <w:r w:rsidR="00945F6C" w:rsidRPr="00A23740">
              <w:rPr>
                <w:b/>
                <w:bCs/>
                <w:color w:val="385623"/>
              </w:rPr>
              <w:t>,</w:t>
            </w:r>
            <w:r w:rsidRPr="00A23740">
              <w:t xml:space="preserve"> </w:t>
            </w:r>
            <w:r w:rsidR="005357AA" w:rsidRPr="00A23740">
              <w:rPr>
                <w:rStyle w:val="MaviChar"/>
              </w:rPr>
              <w:t xml:space="preserve">bir yıllık süre </w:t>
            </w:r>
            <w:r w:rsidR="00945F6C" w:rsidRPr="00C92583">
              <w:rPr>
                <w:rStyle w:val="Balk1Char"/>
                <w:rFonts w:eastAsia="Calibri"/>
              </w:rPr>
              <w:t>geçmemiş olsa</w:t>
            </w:r>
            <w:r w:rsidR="00945F6C" w:rsidRPr="00A23740">
              <w:rPr>
                <w:rStyle w:val="MaviChar"/>
              </w:rPr>
              <w:t xml:space="preserve"> </w:t>
            </w:r>
            <w:r w:rsidR="005357AA" w:rsidRPr="00A23740">
              <w:rPr>
                <w:rStyle w:val="MaviChar"/>
              </w:rPr>
              <w:t>dahi</w:t>
            </w:r>
            <w:r w:rsidR="005357AA" w:rsidRPr="00A23740">
              <w:t xml:space="preserve"> </w:t>
            </w:r>
            <w:r w:rsidR="00AA5C8C" w:rsidRPr="00A23740">
              <w:t>yeniden kıymet takdiri istenebilir.</w:t>
            </w:r>
          </w:p>
          <w:p w:rsidR="00AA5C8C" w:rsidRPr="00A23740" w:rsidRDefault="00AA5C8C" w:rsidP="009431FF">
            <w:pPr>
              <w:pStyle w:val="YEL"/>
              <w:rPr>
                <w:lang w:val="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4C486E" w:rsidRPr="00A23740" w:rsidRDefault="004C486E" w:rsidP="009431FF">
            <w:pPr>
              <w:ind w:firstLine="709"/>
              <w:rPr>
                <w:rFonts w:eastAsia="Times New Roman"/>
                <w:b/>
                <w:color w:val="000000"/>
                <w:szCs w:val="24"/>
                <w:lang w:eastAsia="tr-TR"/>
              </w:rPr>
            </w:pPr>
          </w:p>
          <w:p w:rsidR="00B0774A" w:rsidRPr="00A23740" w:rsidRDefault="00B0774A"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222</w:t>
            </w:r>
            <w:r w:rsidRPr="00A23740">
              <w:rPr>
                <w:rFonts w:eastAsia="Times New Roman"/>
                <w:color w:val="000000"/>
                <w:szCs w:val="24"/>
                <w:lang w:eastAsia="tr-TR"/>
              </w:rPr>
              <w:t>- Maddeyle, yeni kıymet takdiri düzenlenmektedir. Hüküm, 2004 sayılı Kanunun 128/a maddesinin üçüncü fıkrasına karşılık gelmektedir.</w:t>
            </w:r>
          </w:p>
          <w:p w:rsidR="00A81FDB" w:rsidRPr="00A23740" w:rsidRDefault="00B0774A" w:rsidP="009431FF">
            <w:pPr>
              <w:ind w:firstLine="709"/>
              <w:rPr>
                <w:rFonts w:eastAsia="Times New Roman"/>
                <w:color w:val="000000"/>
                <w:szCs w:val="24"/>
                <w:lang w:eastAsia="tr-TR"/>
              </w:rPr>
            </w:pPr>
            <w:r w:rsidRPr="00A23740">
              <w:rPr>
                <w:rFonts w:eastAsia="Times New Roman"/>
                <w:color w:val="000000"/>
                <w:szCs w:val="24"/>
                <w:lang w:eastAsia="tr-TR"/>
              </w:rPr>
              <w:t>Birinci fıkra</w:t>
            </w:r>
            <w:r w:rsidR="0097576B" w:rsidRPr="00A23740">
              <w:rPr>
                <w:rFonts w:eastAsia="Times New Roman"/>
                <w:color w:val="000000"/>
                <w:szCs w:val="24"/>
                <w:lang w:eastAsia="tr-TR"/>
              </w:rPr>
              <w:t>da</w:t>
            </w:r>
            <w:r w:rsidRPr="00A23740">
              <w:rPr>
                <w:rFonts w:eastAsia="Times New Roman"/>
                <w:color w:val="000000"/>
                <w:szCs w:val="24"/>
                <w:lang w:eastAsia="tr-TR"/>
              </w:rPr>
              <w:t>,</w:t>
            </w:r>
            <w:r w:rsidR="004C486E" w:rsidRPr="00A23740">
              <w:rPr>
                <w:rFonts w:eastAsia="Times New Roman"/>
                <w:color w:val="000000"/>
                <w:szCs w:val="24"/>
                <w:lang w:eastAsia="tr-TR"/>
              </w:rPr>
              <w:t xml:space="preserve"> yeni kıymet takdirinin en erken </w:t>
            </w:r>
            <w:r w:rsidR="0097576B" w:rsidRPr="00A23740">
              <w:rPr>
                <w:rFonts w:eastAsia="Times New Roman"/>
                <w:color w:val="000000"/>
                <w:szCs w:val="24"/>
                <w:lang w:eastAsia="tr-TR"/>
              </w:rPr>
              <w:t xml:space="preserve">ne zaman </w:t>
            </w:r>
            <w:r w:rsidR="004C486E" w:rsidRPr="00A23740">
              <w:rPr>
                <w:rFonts w:eastAsia="Times New Roman"/>
                <w:color w:val="000000"/>
                <w:szCs w:val="24"/>
                <w:lang w:eastAsia="tr-TR"/>
              </w:rPr>
              <w:t>yapılabileceği belirlenmektedir. Hükme göre</w:t>
            </w:r>
            <w:r w:rsidRPr="00A23740">
              <w:rPr>
                <w:rFonts w:eastAsia="Times New Roman"/>
                <w:color w:val="000000"/>
                <w:szCs w:val="24"/>
                <w:lang w:eastAsia="tr-TR"/>
              </w:rPr>
              <w:t xml:space="preserve"> </w:t>
            </w:r>
            <w:r w:rsidR="004C486E" w:rsidRPr="00A23740">
              <w:rPr>
                <w:rFonts w:eastAsia="Times New Roman"/>
                <w:color w:val="000000"/>
                <w:szCs w:val="24"/>
                <w:lang w:eastAsia="tr-TR"/>
              </w:rPr>
              <w:t xml:space="preserve">icra </w:t>
            </w:r>
            <w:r w:rsidR="0005103C" w:rsidRPr="00D60C1D">
              <w:rPr>
                <w:rStyle w:val="Balk1Char"/>
                <w:rFonts w:eastAsia="Calibri"/>
                <w:b w:val="0"/>
                <w:color w:val="000000"/>
              </w:rPr>
              <w:t>ve iflas</w:t>
            </w:r>
            <w:r w:rsidR="0005103C" w:rsidRPr="00A23740">
              <w:rPr>
                <w:rFonts w:eastAsia="Times New Roman"/>
                <w:color w:val="000000"/>
                <w:szCs w:val="24"/>
                <w:lang w:eastAsia="tr-TR"/>
              </w:rPr>
              <w:t xml:space="preserve"> </w:t>
            </w:r>
            <w:r w:rsidRPr="00A23740">
              <w:rPr>
                <w:rFonts w:eastAsia="Times New Roman"/>
                <w:color w:val="000000"/>
                <w:szCs w:val="24"/>
                <w:lang w:eastAsia="tr-TR"/>
              </w:rPr>
              <w:t>dairesince yapılan veya yaptırılan kıymet takdirine karşı şik</w:t>
            </w:r>
            <w:r w:rsidR="0005103C" w:rsidRPr="00A23740">
              <w:rPr>
                <w:rFonts w:eastAsia="Times New Roman"/>
                <w:color w:val="000000"/>
                <w:szCs w:val="24"/>
                <w:lang w:eastAsia="tr-TR"/>
              </w:rPr>
              <w:t>â</w:t>
            </w:r>
            <w:r w:rsidRPr="00A23740">
              <w:rPr>
                <w:rFonts w:eastAsia="Times New Roman"/>
                <w:color w:val="000000"/>
                <w:szCs w:val="24"/>
                <w:lang w:eastAsia="tr-TR"/>
              </w:rPr>
              <w:t>yet yoluna başvurulmadığı h</w:t>
            </w:r>
            <w:r w:rsidR="00C224B4" w:rsidRPr="00A23740">
              <w:rPr>
                <w:rFonts w:eastAsia="Times New Roman"/>
                <w:color w:val="000000"/>
                <w:szCs w:val="24"/>
                <w:lang w:eastAsia="tr-TR"/>
              </w:rPr>
              <w:t>â</w:t>
            </w:r>
            <w:r w:rsidRPr="00A23740">
              <w:rPr>
                <w:rFonts w:eastAsia="Times New Roman"/>
                <w:color w:val="000000"/>
                <w:szCs w:val="24"/>
                <w:lang w:eastAsia="tr-TR"/>
              </w:rPr>
              <w:t>llerde, bu kıymet takdirinin yapıldığı veya raporun verildiği tarihten; şik</w:t>
            </w:r>
            <w:r w:rsidR="0005103C" w:rsidRPr="00A23740">
              <w:rPr>
                <w:rFonts w:eastAsia="Times New Roman"/>
                <w:color w:val="000000"/>
                <w:szCs w:val="24"/>
                <w:lang w:eastAsia="tr-TR"/>
              </w:rPr>
              <w:t>â</w:t>
            </w:r>
            <w:r w:rsidRPr="00A23740">
              <w:rPr>
                <w:rFonts w:eastAsia="Times New Roman"/>
                <w:color w:val="000000"/>
                <w:szCs w:val="24"/>
                <w:lang w:eastAsia="tr-TR"/>
              </w:rPr>
              <w:t>yet yoluna başvurulduğu ve icra hukuk mahkemesince şik</w:t>
            </w:r>
            <w:r w:rsidR="0005103C" w:rsidRPr="00A23740">
              <w:rPr>
                <w:rFonts w:eastAsia="Times New Roman"/>
                <w:color w:val="000000"/>
                <w:szCs w:val="24"/>
                <w:lang w:eastAsia="tr-TR"/>
              </w:rPr>
              <w:t>â</w:t>
            </w:r>
            <w:r w:rsidRPr="00A23740">
              <w:rPr>
                <w:rFonts w:eastAsia="Times New Roman"/>
                <w:color w:val="000000"/>
                <w:szCs w:val="24"/>
                <w:lang w:eastAsia="tr-TR"/>
              </w:rPr>
              <w:t>yeti</w:t>
            </w:r>
            <w:r w:rsidR="004C486E" w:rsidRPr="00A23740">
              <w:rPr>
                <w:rFonts w:eastAsia="Times New Roman"/>
                <w:color w:val="000000"/>
                <w:szCs w:val="24"/>
                <w:lang w:eastAsia="tr-TR"/>
              </w:rPr>
              <w:t>n kabul edildiği durumlarda ise</w:t>
            </w:r>
            <w:r w:rsidRPr="00A23740">
              <w:rPr>
                <w:rFonts w:eastAsia="Times New Roman"/>
                <w:color w:val="000000"/>
                <w:szCs w:val="24"/>
                <w:lang w:eastAsia="tr-TR"/>
              </w:rPr>
              <w:t xml:space="preserve"> icra hukuk mahkemesinin karar verdiği tarihten itibaren bir yıl geçmedikçe</w:t>
            </w:r>
            <w:r w:rsidR="0097576B" w:rsidRPr="00A23740">
              <w:rPr>
                <w:rFonts w:eastAsia="Times New Roman"/>
                <w:color w:val="000000"/>
                <w:szCs w:val="24"/>
                <w:lang w:eastAsia="tr-TR"/>
              </w:rPr>
              <w:t>,</w:t>
            </w:r>
            <w:r w:rsidRPr="00A23740">
              <w:rPr>
                <w:rFonts w:eastAsia="Times New Roman"/>
                <w:color w:val="000000"/>
                <w:szCs w:val="24"/>
                <w:lang w:eastAsia="tr-TR"/>
              </w:rPr>
              <w:t xml:space="preserve"> yeniden kıymet takdiri istenemeyeceği hükme bağlanmaktadır.</w:t>
            </w:r>
            <w:r w:rsidR="00F07946" w:rsidRPr="00A23740">
              <w:rPr>
                <w:rFonts w:eastAsia="Times New Roman"/>
                <w:color w:val="000000"/>
                <w:szCs w:val="24"/>
                <w:lang w:eastAsia="tr-TR"/>
              </w:rPr>
              <w:t xml:space="preserve"> Hükümde önemli bir yenilik olarak, tereddütlerin giderilmesi amacıyla</w:t>
            </w:r>
            <w:r w:rsidR="0097576B" w:rsidRPr="00A23740">
              <w:rPr>
                <w:rFonts w:eastAsia="Times New Roman"/>
                <w:color w:val="000000"/>
                <w:szCs w:val="24"/>
                <w:lang w:eastAsia="tr-TR"/>
              </w:rPr>
              <w:t>,</w:t>
            </w:r>
            <w:r w:rsidR="00F07946" w:rsidRPr="00A23740">
              <w:rPr>
                <w:rFonts w:eastAsia="Times New Roman"/>
                <w:color w:val="000000"/>
                <w:szCs w:val="24"/>
                <w:lang w:eastAsia="tr-TR"/>
              </w:rPr>
              <w:t xml:space="preserve"> bir yıllık sürenin başlayacağı tarih açık bir şekilde belirlenmektedir.</w:t>
            </w:r>
            <w:r w:rsidR="00A81FDB" w:rsidRPr="00A23740">
              <w:rPr>
                <w:rFonts w:eastAsia="Times New Roman"/>
                <w:color w:val="000000"/>
                <w:szCs w:val="24"/>
                <w:lang w:eastAsia="tr-TR"/>
              </w:rPr>
              <w:t xml:space="preserve"> Öte yandan 2004 sayılı Kanunun 128/a maddesinin üçüncü fıkrasına göre</w:t>
            </w:r>
            <w:r w:rsidR="0097576B" w:rsidRPr="00A23740">
              <w:rPr>
                <w:rFonts w:eastAsia="Times New Roman"/>
                <w:color w:val="000000"/>
                <w:szCs w:val="24"/>
                <w:lang w:eastAsia="tr-TR"/>
              </w:rPr>
              <w:t>,</w:t>
            </w:r>
            <w:r w:rsidR="00A81FDB" w:rsidRPr="00A23740">
              <w:rPr>
                <w:rFonts w:eastAsia="Times New Roman"/>
                <w:color w:val="000000"/>
                <w:szCs w:val="24"/>
                <w:lang w:eastAsia="tr-TR"/>
              </w:rPr>
              <w:t xml:space="preserve"> kesinleşen kıymet takdirinin yapıldığı tarihten itibaren iki yıl geçmedikçe yeniden kıymet takdiri istenemez iken</w:t>
            </w:r>
            <w:r w:rsidR="0005103C" w:rsidRPr="001971CE">
              <w:rPr>
                <w:rFonts w:eastAsia="Times New Roman"/>
                <w:bCs/>
                <w:color w:val="000000"/>
                <w:szCs w:val="24"/>
                <w:lang w:eastAsia="tr-TR"/>
              </w:rPr>
              <w:t>,</w:t>
            </w:r>
            <w:r w:rsidR="00A81FDB" w:rsidRPr="00A23740">
              <w:rPr>
                <w:rFonts w:eastAsia="Times New Roman"/>
                <w:color w:val="000000"/>
                <w:szCs w:val="24"/>
                <w:lang w:eastAsia="tr-TR"/>
              </w:rPr>
              <w:t xml:space="preserve"> bu süre Taslakta malın güncel değerinin belirlenebilmesi ve satışın da yeni değer üzerinden yapılabilmesi için</w:t>
            </w:r>
            <w:r w:rsidR="00243BBC" w:rsidRPr="00A23740">
              <w:rPr>
                <w:rFonts w:eastAsia="Times New Roman"/>
                <w:color w:val="000000"/>
                <w:szCs w:val="24"/>
                <w:lang w:eastAsia="tr-TR"/>
              </w:rPr>
              <w:t xml:space="preserve"> bir yıla indirilmektedir.</w:t>
            </w:r>
          </w:p>
          <w:p w:rsidR="0005103C" w:rsidRPr="00A23740" w:rsidRDefault="004C486E" w:rsidP="001971CE">
            <w:pPr>
              <w:ind w:firstLine="709"/>
              <w:rPr>
                <w:rFonts w:eastAsia="Times New Roman"/>
                <w:color w:val="000000"/>
                <w:szCs w:val="24"/>
                <w:lang w:eastAsia="tr-TR"/>
              </w:rPr>
            </w:pPr>
            <w:r w:rsidRPr="00A23740">
              <w:rPr>
                <w:rFonts w:eastAsia="Times New Roman"/>
                <w:color w:val="000000"/>
                <w:szCs w:val="24"/>
                <w:lang w:eastAsia="tr-TR"/>
              </w:rPr>
              <w:t xml:space="preserve">İkinci fıkrayla, </w:t>
            </w:r>
            <w:r w:rsidR="0005103C" w:rsidRPr="00A23740">
              <w:t xml:space="preserve">doğal afetler, imar </w:t>
            </w:r>
            <w:r w:rsidR="0005103C" w:rsidRPr="00D60C1D">
              <w:rPr>
                <w:rStyle w:val="Balk1Char"/>
                <w:rFonts w:eastAsia="Calibri"/>
                <w:b w:val="0"/>
                <w:color w:val="000000"/>
              </w:rPr>
              <w:t>durumundaki değişiklikler</w:t>
            </w:r>
            <w:r w:rsidR="0005103C" w:rsidRPr="00A23740">
              <w:t xml:space="preserve"> veya ekonomik </w:t>
            </w:r>
            <w:r w:rsidR="0005103C" w:rsidRPr="00D60C1D">
              <w:rPr>
                <w:rStyle w:val="Balk1Char"/>
                <w:rFonts w:eastAsia="Calibri"/>
                <w:b w:val="0"/>
                <w:color w:val="000000"/>
              </w:rPr>
              <w:t>kriz hâllerinde ya da mevcut kıymet takdirlerinde</w:t>
            </w:r>
            <w:r w:rsidR="0005103C" w:rsidRPr="00A23740">
              <w:t xml:space="preserve"> önemli değişiklikler meydana getiren benzer hâllerde</w:t>
            </w:r>
            <w:r w:rsidR="0005103C" w:rsidRPr="00D60C1D">
              <w:rPr>
                <w:rStyle w:val="Balk1Char"/>
                <w:rFonts w:eastAsia="Calibri"/>
                <w:b w:val="0"/>
                <w:color w:val="000000"/>
              </w:rPr>
              <w:t>,</w:t>
            </w:r>
            <w:r w:rsidR="0005103C" w:rsidRPr="00A23740">
              <w:t xml:space="preserve"> </w:t>
            </w:r>
            <w:r w:rsidRPr="00A23740">
              <w:rPr>
                <w:rFonts w:eastAsia="Times New Roman"/>
                <w:color w:val="000000"/>
                <w:szCs w:val="24"/>
                <w:lang w:eastAsia="tr-TR"/>
              </w:rPr>
              <w:t>birinci fıkrada belirtilen bir yıllık süre geçmese dahi</w:t>
            </w:r>
            <w:r w:rsidR="00B0774A" w:rsidRPr="00A23740">
              <w:rPr>
                <w:rFonts w:eastAsia="Times New Roman"/>
                <w:color w:val="000000"/>
                <w:szCs w:val="24"/>
                <w:lang w:eastAsia="tr-TR"/>
              </w:rPr>
              <w:t xml:space="preserve"> yeniden kıymet takdiri</w:t>
            </w:r>
            <w:r w:rsidRPr="00A23740">
              <w:rPr>
                <w:rFonts w:eastAsia="Times New Roman"/>
                <w:color w:val="000000"/>
                <w:szCs w:val="24"/>
                <w:lang w:eastAsia="tr-TR"/>
              </w:rPr>
              <w:t>nin</w:t>
            </w:r>
            <w:r w:rsidR="00B0774A" w:rsidRPr="00A23740">
              <w:rPr>
                <w:rFonts w:eastAsia="Times New Roman"/>
                <w:color w:val="000000"/>
                <w:szCs w:val="24"/>
                <w:lang w:eastAsia="tr-TR"/>
              </w:rPr>
              <w:t xml:space="preserve"> </w:t>
            </w:r>
            <w:r w:rsidR="0097576B" w:rsidRPr="00A23740">
              <w:rPr>
                <w:rFonts w:eastAsia="Times New Roman"/>
                <w:color w:val="000000"/>
                <w:szCs w:val="24"/>
                <w:lang w:eastAsia="tr-TR"/>
              </w:rPr>
              <w:t xml:space="preserve"> istenebilmesine imkan verilmektedir</w:t>
            </w:r>
            <w:r w:rsidR="00B0774A" w:rsidRPr="00A23740">
              <w:rPr>
                <w:rFonts w:eastAsia="Times New Roman"/>
                <w:color w:val="000000"/>
                <w:szCs w:val="24"/>
                <w:lang w:eastAsia="tr-TR"/>
              </w:rPr>
              <w:t>.</w:t>
            </w:r>
          </w:p>
          <w:p w:rsidR="0005103C" w:rsidRPr="00A23740" w:rsidRDefault="0005103C" w:rsidP="001971CE">
            <w:pPr>
              <w:ind w:firstLine="709"/>
              <w:rPr>
                <w:rFonts w:eastAsia="Times New Roman"/>
                <w:b/>
                <w:color w:val="000000"/>
                <w:szCs w:val="24"/>
                <w:lang w:eastAsia="tr-TR"/>
              </w:rPr>
            </w:pPr>
          </w:p>
        </w:tc>
      </w:tr>
      <w:tr w:rsidR="007C5C54" w:rsidRPr="00A23740" w:rsidTr="009431FF">
        <w:tblPrEx>
          <w:tblLook w:val="01E0" w:firstRow="1" w:lastRow="1" w:firstColumn="1" w:lastColumn="1" w:noHBand="0" w:noVBand="0"/>
        </w:tblPrEx>
        <w:tc>
          <w:tcPr>
            <w:tcW w:w="2500" w:type="pct"/>
          </w:tcPr>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Artırma şartları:</w:t>
            </w:r>
          </w:p>
          <w:p w:rsidR="007C5C54" w:rsidRPr="00A23740" w:rsidRDefault="007C5C54" w:rsidP="009431FF">
            <w:pPr>
              <w:tabs>
                <w:tab w:val="left" w:pos="567"/>
              </w:tabs>
              <w:rPr>
                <w:b/>
                <w:szCs w:val="24"/>
                <w:lang w:eastAsia="tr-TR"/>
              </w:rPr>
            </w:pPr>
            <w:r w:rsidRPr="00A23740">
              <w:rPr>
                <w:b/>
                <w:bCs/>
                <w:strike/>
                <w:color w:val="FF0000"/>
                <w:szCs w:val="24"/>
              </w:rPr>
              <w:t>1 –</w:t>
            </w:r>
            <w:r w:rsidRPr="00A23740">
              <w:rPr>
                <w:b/>
                <w:szCs w:val="24"/>
                <w:lang w:eastAsia="tr-TR"/>
              </w:rPr>
              <w:t xml:space="preserve"> Şartname</w:t>
            </w:r>
            <w:r w:rsidRPr="00A23740">
              <w:rPr>
                <w:b/>
                <w:bCs/>
                <w:strike/>
                <w:color w:val="FF0000"/>
                <w:szCs w:val="24"/>
              </w:rPr>
              <w:t>:</w:t>
            </w:r>
          </w:p>
          <w:p w:rsidR="007C5C54" w:rsidRPr="00A23740" w:rsidRDefault="007C5C54" w:rsidP="009431FF">
            <w:pPr>
              <w:tabs>
                <w:tab w:val="left" w:pos="567"/>
              </w:tabs>
              <w:rPr>
                <w:rFonts w:eastAsia="Times New Roman"/>
                <w:szCs w:val="24"/>
                <w:lang w:eastAsia="tr-TR"/>
              </w:rPr>
            </w:pPr>
            <w:r w:rsidRPr="00A23740">
              <w:rPr>
                <w:b/>
                <w:bCs/>
                <w:strike/>
                <w:color w:val="FF0000"/>
                <w:szCs w:val="24"/>
              </w:rPr>
              <w:t>Madde 124 – (1)</w:t>
            </w:r>
            <w:r w:rsidRPr="00A23740">
              <w:rPr>
                <w:rFonts w:eastAsia="Times New Roman"/>
                <w:szCs w:val="24"/>
                <w:lang w:eastAsia="tr-TR"/>
              </w:rPr>
              <w:t xml:space="preserve"> İcra dairesi </w:t>
            </w:r>
            <w:r w:rsidRPr="00A23740">
              <w:rPr>
                <w:rFonts w:eastAsia="Times New Roman"/>
                <w:b/>
                <w:bCs/>
                <w:strike/>
                <w:color w:val="FF0000"/>
                <w:szCs w:val="24"/>
                <w:lang w:eastAsia="x-none"/>
              </w:rPr>
              <w:t>taşınmazların</w:t>
            </w:r>
            <w:r w:rsidRPr="00A23740">
              <w:rPr>
                <w:rFonts w:eastAsia="Times New Roman"/>
                <w:szCs w:val="24"/>
                <w:lang w:eastAsia="tr-TR"/>
              </w:rPr>
              <w:t xml:space="preserve"> bulunduğu yerin </w:t>
            </w:r>
            <w:r w:rsidRPr="00A23740">
              <w:rPr>
                <w:b/>
                <w:bCs/>
                <w:strike/>
                <w:color w:val="FF0000"/>
                <w:szCs w:val="24"/>
              </w:rPr>
              <w:t>adetlerine göre</w:t>
            </w:r>
            <w:r w:rsidRPr="00A23740">
              <w:rPr>
                <w:rFonts w:eastAsia="Times New Roman"/>
                <w:szCs w:val="24"/>
                <w:lang w:eastAsia="tr-TR"/>
              </w:rPr>
              <w:t xml:space="preserve"> en elverişli tarzda </w:t>
            </w:r>
            <w:r w:rsidRPr="00A23740">
              <w:rPr>
                <w:b/>
                <w:bCs/>
                <w:strike/>
                <w:color w:val="FF0000"/>
                <w:szCs w:val="24"/>
              </w:rPr>
              <w:t>artırma</w:t>
            </w:r>
            <w:r w:rsidRPr="00A23740">
              <w:rPr>
                <w:rFonts w:eastAsia="Times New Roman"/>
                <w:szCs w:val="24"/>
                <w:lang w:eastAsia="tr-TR"/>
              </w:rPr>
              <w:t xml:space="preserve"> </w:t>
            </w:r>
            <w:r w:rsidRPr="00A23740">
              <w:rPr>
                <w:b/>
                <w:bCs/>
                <w:strike/>
                <w:color w:val="FF0000"/>
                <w:szCs w:val="24"/>
              </w:rPr>
              <w:t>şartlarını</w:t>
            </w:r>
            <w:r w:rsidRPr="00A23740">
              <w:rPr>
                <w:rFonts w:eastAsia="Times New Roman"/>
                <w:szCs w:val="24"/>
                <w:lang w:eastAsia="tr-TR"/>
              </w:rPr>
              <w:t xml:space="preserve"> </w:t>
            </w:r>
            <w:r w:rsidRPr="00A23740">
              <w:rPr>
                <w:b/>
                <w:bCs/>
                <w:strike/>
                <w:color w:val="FF0000"/>
                <w:szCs w:val="24"/>
              </w:rPr>
              <w:t>tesbit</w:t>
            </w:r>
            <w:r w:rsidRPr="00A23740">
              <w:rPr>
                <w:rFonts w:eastAsia="Times New Roman"/>
                <w:szCs w:val="24"/>
                <w:lang w:eastAsia="tr-TR"/>
              </w:rPr>
              <w:t xml:space="preserve"> eder.</w:t>
            </w:r>
          </w:p>
          <w:p w:rsidR="007C5C54" w:rsidRPr="00A23740" w:rsidRDefault="007C5C54" w:rsidP="009431FF">
            <w:pPr>
              <w:tabs>
                <w:tab w:val="left" w:pos="567"/>
              </w:tabs>
              <w:rPr>
                <w:rFonts w:eastAsia="Times New Roman"/>
                <w:b/>
                <w:szCs w:val="24"/>
                <w:lang w:eastAsia="tr-TR"/>
              </w:rPr>
            </w:pPr>
            <w:r w:rsidRPr="00A23740">
              <w:rPr>
                <w:rFonts w:eastAsia="Times New Roman"/>
                <w:b/>
                <w:szCs w:val="24"/>
                <w:lang w:eastAsia="tr-TR"/>
              </w:rPr>
              <w:t>(Mülga ikinci fıkra:24/11/2021-7343/19 md.)</w:t>
            </w:r>
          </w:p>
          <w:p w:rsidR="007C5C54" w:rsidRPr="00A23740" w:rsidRDefault="007C5C54" w:rsidP="009431FF">
            <w:pPr>
              <w:tabs>
                <w:tab w:val="left" w:pos="567"/>
              </w:tabs>
              <w:rPr>
                <w:rFonts w:eastAsia="Times New Roman"/>
                <w:b/>
                <w:szCs w:val="24"/>
                <w:lang w:eastAsia="tr-TR"/>
              </w:rPr>
            </w:pPr>
          </w:p>
          <w:p w:rsidR="007C5C54" w:rsidRPr="00A23740" w:rsidRDefault="007C5C54" w:rsidP="009431FF">
            <w:pPr>
              <w:tabs>
                <w:tab w:val="left" w:pos="567"/>
              </w:tabs>
              <w:rPr>
                <w:rFonts w:eastAsia="Times New Roman"/>
                <w:b/>
                <w:szCs w:val="24"/>
                <w:lang w:eastAsia="tr-TR"/>
              </w:rPr>
            </w:pPr>
            <w:r w:rsidRPr="00A23740">
              <w:rPr>
                <w:rFonts w:eastAsia="Times New Roman"/>
                <w:b/>
                <w:szCs w:val="24"/>
                <w:lang w:eastAsia="tr-TR"/>
              </w:rPr>
              <w:t>(Mülga üçüncü fıkra:24/11/2021-7343/19 md.)</w:t>
            </w:r>
          </w:p>
          <w:p w:rsidR="007C5C54" w:rsidRPr="00A23740" w:rsidRDefault="007C5C54" w:rsidP="009431FF">
            <w:pPr>
              <w:tabs>
                <w:tab w:val="left" w:pos="567"/>
              </w:tabs>
              <w:rPr>
                <w:rFonts w:eastAsia="Times New Roman"/>
                <w:b/>
                <w:szCs w:val="24"/>
                <w:lang w:eastAsia="tr-TR"/>
              </w:rPr>
            </w:pPr>
          </w:p>
          <w:p w:rsidR="007C5C54" w:rsidRPr="00A23740" w:rsidRDefault="007C5C54" w:rsidP="009431FF">
            <w:pPr>
              <w:tabs>
                <w:tab w:val="left" w:pos="567"/>
              </w:tabs>
              <w:rPr>
                <w:rFonts w:eastAsia="Times New Roman"/>
                <w:b/>
                <w:szCs w:val="24"/>
                <w:lang w:eastAsia="tr-TR"/>
              </w:rPr>
            </w:pPr>
            <w:r w:rsidRPr="00A23740">
              <w:rPr>
                <w:rFonts w:eastAsia="Times New Roman"/>
                <w:b/>
                <w:szCs w:val="24"/>
                <w:lang w:eastAsia="tr-TR"/>
              </w:rPr>
              <w:t>(Mülga dördüncü fıkra:24/11/2021-7343/19 md.)</w:t>
            </w:r>
          </w:p>
          <w:p w:rsidR="007C5C54" w:rsidRPr="00A23740" w:rsidRDefault="007C5C54" w:rsidP="009431FF">
            <w:pPr>
              <w:rPr>
                <w:b/>
                <w:bCs/>
                <w:strike/>
                <w:color w:val="FF0000"/>
                <w:szCs w:val="24"/>
              </w:rPr>
            </w:pPr>
          </w:p>
          <w:p w:rsidR="007C5C54" w:rsidRPr="00A23740" w:rsidRDefault="007C5C54" w:rsidP="009431FF">
            <w:pPr>
              <w:rPr>
                <w:b/>
                <w:bCs/>
                <w:strike/>
                <w:color w:val="FF0000"/>
                <w:szCs w:val="24"/>
              </w:rPr>
            </w:pPr>
            <w:r w:rsidRPr="00A23740">
              <w:rPr>
                <w:b/>
                <w:bCs/>
                <w:strike/>
                <w:color w:val="FF0000"/>
                <w:szCs w:val="24"/>
              </w:rPr>
              <w:t>Artırma</w:t>
            </w:r>
            <w:r w:rsidRPr="00A23740">
              <w:rPr>
                <w:bCs/>
                <w:strike/>
                <w:color w:val="FF0000"/>
                <w:szCs w:val="24"/>
              </w:rPr>
              <w:t xml:space="preserve"> </w:t>
            </w:r>
            <w:r w:rsidRPr="00A23740">
              <w:rPr>
                <w:b/>
                <w:bCs/>
                <w:strike/>
                <w:color w:val="FF0000"/>
                <w:szCs w:val="24"/>
              </w:rPr>
              <w:t>hazırlık tedbirleri:</w:t>
            </w: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 xml:space="preserve">Madde 114 – (Değişik:24/11/2021-7343/14 md.) </w:t>
            </w:r>
          </w:p>
          <w:p w:rsidR="007C5C54" w:rsidRPr="00A23740" w:rsidRDefault="007C5C5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val="x-none" w:eastAsia="x-none"/>
              </w:rPr>
              <w:t>(1) …</w:t>
            </w:r>
            <w:r w:rsidRPr="00A23740">
              <w:rPr>
                <w:rFonts w:eastAsia="Times New Roman"/>
                <w:b/>
                <w:bCs/>
                <w:strike/>
                <w:color w:val="FF0000"/>
                <w:szCs w:val="24"/>
                <w:lang w:eastAsia="x-none"/>
              </w:rPr>
              <w:t xml:space="preserve"> (Taslak 203/1)</w:t>
            </w:r>
          </w:p>
          <w:p w:rsidR="007C5C54" w:rsidRPr="00A23740" w:rsidRDefault="007C5C5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val="x-none" w:eastAsia="x-none"/>
              </w:rPr>
              <w:t>(2) …</w:t>
            </w:r>
            <w:r w:rsidRPr="00A23740">
              <w:rPr>
                <w:rFonts w:eastAsia="Times New Roman"/>
                <w:b/>
                <w:bCs/>
                <w:strike/>
                <w:color w:val="FF0000"/>
                <w:szCs w:val="24"/>
                <w:lang w:eastAsia="x-none"/>
              </w:rPr>
              <w:t xml:space="preserve"> (Taslak 217/1)</w:t>
            </w: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 xml:space="preserve">(3) … </w:t>
            </w:r>
            <w:r w:rsidRPr="00A23740">
              <w:rPr>
                <w:rFonts w:eastAsia="Times New Roman"/>
                <w:b/>
                <w:bCs/>
                <w:strike/>
                <w:color w:val="FF0000"/>
                <w:szCs w:val="24"/>
                <w:lang w:eastAsia="x-none"/>
              </w:rPr>
              <w:t>(Taslak 217 ve 219/1)</w:t>
            </w: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(4) …</w:t>
            </w:r>
            <w:r w:rsidRPr="00A23740">
              <w:rPr>
                <w:rFonts w:eastAsia="Times New Roman"/>
                <w:b/>
                <w:bCs/>
                <w:strike/>
                <w:color w:val="FF0000"/>
                <w:szCs w:val="24"/>
                <w:lang w:eastAsia="x-none"/>
              </w:rPr>
              <w:t xml:space="preserve"> (Taslak 219/2)</w:t>
            </w:r>
          </w:p>
          <w:p w:rsidR="007C5C54" w:rsidRPr="00A23740" w:rsidRDefault="007C5C5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val="x-none" w:eastAsia="x-none"/>
              </w:rPr>
              <w:t xml:space="preserve">(5) … </w:t>
            </w:r>
            <w:r w:rsidRPr="00A23740">
              <w:rPr>
                <w:rFonts w:eastAsia="Times New Roman"/>
                <w:b/>
                <w:bCs/>
                <w:strike/>
                <w:color w:val="FF0000"/>
                <w:szCs w:val="24"/>
                <w:lang w:eastAsia="x-none"/>
              </w:rPr>
              <w:t>(Taslak 221/1-2)</w:t>
            </w:r>
          </w:p>
          <w:p w:rsidR="00516A4D" w:rsidRPr="00A23740" w:rsidRDefault="00516A4D" w:rsidP="009431FF">
            <w:pPr>
              <w:rPr>
                <w:b/>
                <w:bCs/>
                <w:strike/>
                <w:color w:val="FF0000"/>
                <w:szCs w:val="24"/>
                <w:lang w:val="x-none" w:eastAsia="x-none"/>
              </w:rPr>
            </w:pPr>
          </w:p>
          <w:p w:rsidR="007C5C54" w:rsidRPr="00A23740" w:rsidRDefault="007C5C54" w:rsidP="009431FF">
            <w:pPr>
              <w:rPr>
                <w:rFonts w:eastAsia="Times New Roman"/>
                <w:szCs w:val="24"/>
                <w:lang w:eastAsia="tr-TR"/>
              </w:rPr>
            </w:pPr>
            <w:r w:rsidRPr="00A23740">
              <w:rPr>
                <w:b/>
                <w:bCs/>
                <w:strike/>
                <w:color w:val="FF0000"/>
                <w:szCs w:val="24"/>
                <w:lang w:val="x-none" w:eastAsia="x-none"/>
              </w:rPr>
              <w:t>(6)</w:t>
            </w:r>
            <w:r w:rsidRPr="00A23740">
              <w:rPr>
                <w:rFonts w:eastAsia="Times New Roman"/>
                <w:szCs w:val="24"/>
                <w:lang w:eastAsia="tr-TR"/>
              </w:rPr>
              <w:t xml:space="preserve"> </w:t>
            </w:r>
            <w:r w:rsidRPr="00A23740">
              <w:rPr>
                <w:b/>
                <w:bCs/>
                <w:strike/>
                <w:color w:val="FF0000"/>
                <w:szCs w:val="24"/>
                <w:lang w:val="x-none" w:eastAsia="x-none"/>
              </w:rPr>
              <w:t>Elektronik satış portalında yapılacak ilanda</w:t>
            </w:r>
            <w:r w:rsidRPr="00A23740">
              <w:rPr>
                <w:rFonts w:eastAsia="Times New Roman"/>
                <w:szCs w:val="24"/>
                <w:lang w:eastAsia="tr-TR"/>
              </w:rPr>
              <w:t xml:space="preserve"> aşağıdaki hususlar yer alır:</w:t>
            </w:r>
          </w:p>
          <w:p w:rsidR="007C5C54" w:rsidRPr="00A23740" w:rsidRDefault="007C5C54" w:rsidP="009431FF">
            <w:pPr>
              <w:rPr>
                <w:rFonts w:eastAsia="Times New Roman"/>
                <w:szCs w:val="24"/>
                <w:lang w:eastAsia="tr-TR"/>
              </w:rPr>
            </w:pPr>
            <w:r w:rsidRPr="00A23740">
              <w:rPr>
                <w:b/>
                <w:bCs/>
                <w:strike/>
                <w:color w:val="FF0000"/>
                <w:szCs w:val="24"/>
              </w:rPr>
              <w:t>1.</w:t>
            </w:r>
            <w:r w:rsidRPr="00A23740">
              <w:rPr>
                <w:rFonts w:eastAsia="Times New Roman"/>
                <w:szCs w:val="24"/>
                <w:lang w:eastAsia="tr-TR"/>
              </w:rPr>
              <w:t xml:space="preserve"> Satılacak şeyin cinsi, mahiyeti, önemli vasıfları, </w:t>
            </w:r>
            <w:r w:rsidRPr="00A23740">
              <w:rPr>
                <w:b/>
                <w:bCs/>
                <w:strike/>
                <w:color w:val="FF0000"/>
                <w:szCs w:val="24"/>
              </w:rPr>
              <w:t>muhammen</w:t>
            </w:r>
            <w:r w:rsidRPr="00A23740">
              <w:rPr>
                <w:rFonts w:eastAsia="Times New Roman"/>
                <w:szCs w:val="24"/>
                <w:lang w:eastAsia="tr-TR"/>
              </w:rPr>
              <w:t xml:space="preserve"> kıymeti, bulunduğu yer ve varsa görselleri </w:t>
            </w:r>
            <w:r w:rsidRPr="00A23740">
              <w:rPr>
                <w:b/>
                <w:bCs/>
                <w:strike/>
                <w:color w:val="FF0000"/>
                <w:szCs w:val="24"/>
              </w:rPr>
              <w:t>ile artırma şartnamesinde yer alan diğer bilgileri</w:t>
            </w:r>
            <w:r w:rsidRPr="00A23740">
              <w:rPr>
                <w:rFonts w:eastAsia="Times New Roman"/>
                <w:szCs w:val="24"/>
                <w:lang w:eastAsia="tr-TR"/>
              </w:rPr>
              <w:t>.</w:t>
            </w:r>
          </w:p>
        </w:tc>
        <w:tc>
          <w:tcPr>
            <w:tcW w:w="2500" w:type="pct"/>
          </w:tcPr>
          <w:p w:rsidR="007C5C54" w:rsidRPr="00A23740" w:rsidRDefault="007C5C54"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Artırma </w:t>
            </w:r>
            <w:r w:rsidRPr="00A23740">
              <w:rPr>
                <w:b/>
                <w:szCs w:val="24"/>
                <w:lang w:eastAsia="tr-TR"/>
              </w:rPr>
              <w:t>şartname</w:t>
            </w:r>
            <w:r w:rsidRPr="00A23740">
              <w:rPr>
                <w:rFonts w:eastAsia="Times New Roman"/>
                <w:b/>
                <w:color w:val="0000FF"/>
                <w:szCs w:val="24"/>
                <w:lang w:eastAsia="tr-TR"/>
              </w:rPr>
              <w:t>si</w:t>
            </w:r>
          </w:p>
          <w:p w:rsidR="007C5C54" w:rsidRPr="00A23740" w:rsidRDefault="007C5C54"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MADDE </w:t>
            </w:r>
            <w:r w:rsidRPr="00A23740">
              <w:rPr>
                <w:b/>
                <w:bCs/>
                <w:color w:val="0000FF"/>
                <w:szCs w:val="24"/>
                <w:lang w:val="x-none" w:eastAsia="x-none"/>
              </w:rPr>
              <w:t>223</w:t>
            </w:r>
            <w:r w:rsidRPr="00A23740">
              <w:rPr>
                <w:rFonts w:eastAsia="Times New Roman"/>
                <w:b/>
                <w:color w:val="0000FF"/>
                <w:szCs w:val="24"/>
                <w:lang w:eastAsia="tr-TR"/>
              </w:rPr>
              <w:t>- (1)</w:t>
            </w:r>
            <w:r w:rsidRPr="00A23740">
              <w:rPr>
                <w:rFonts w:eastAsia="Times New Roman"/>
                <w:szCs w:val="24"/>
                <w:lang w:eastAsia="tr-TR"/>
              </w:rPr>
              <w:t xml:space="preserve"> İcra</w:t>
            </w:r>
            <w:r w:rsidR="00516A4D" w:rsidRPr="00A23740">
              <w:rPr>
                <w:rFonts w:eastAsia="Times New Roman"/>
                <w:szCs w:val="24"/>
                <w:lang w:eastAsia="tr-TR"/>
              </w:rPr>
              <w:t xml:space="preserve"> </w:t>
            </w:r>
            <w:r w:rsidR="00516A4D" w:rsidRPr="00A23740">
              <w:rPr>
                <w:rFonts w:eastAsia="Times New Roman"/>
                <w:b/>
                <w:color w:val="0000FF"/>
                <w:szCs w:val="24"/>
                <w:lang w:eastAsia="tr-TR"/>
              </w:rPr>
              <w:t>ve iflas</w:t>
            </w:r>
            <w:r w:rsidRPr="00A23740">
              <w:rPr>
                <w:rFonts w:eastAsia="Times New Roman"/>
                <w:szCs w:val="24"/>
                <w:lang w:eastAsia="tr-TR"/>
              </w:rPr>
              <w:t xml:space="preserve"> dairesi</w:t>
            </w:r>
            <w:r w:rsidRPr="00A23740">
              <w:rPr>
                <w:b/>
                <w:bCs/>
                <w:color w:val="0000FF"/>
                <w:szCs w:val="24"/>
                <w:lang w:val="x-none" w:eastAsia="x-none"/>
              </w:rPr>
              <w:t>,</w:t>
            </w:r>
            <w:r w:rsidRPr="00A23740">
              <w:rPr>
                <w:rFonts w:eastAsia="Times New Roman"/>
                <w:szCs w:val="24"/>
                <w:lang w:eastAsia="tr-TR"/>
              </w:rPr>
              <w:t xml:space="preserve"> </w:t>
            </w:r>
            <w:r w:rsidRPr="00A23740">
              <w:rPr>
                <w:rFonts w:eastAsia="Times New Roman"/>
                <w:b/>
                <w:color w:val="0000FF"/>
                <w:szCs w:val="24"/>
                <w:lang w:eastAsia="tr-TR"/>
              </w:rPr>
              <w:t>malın</w:t>
            </w:r>
            <w:r w:rsidRPr="00A23740">
              <w:rPr>
                <w:rFonts w:eastAsia="Times New Roman"/>
                <w:szCs w:val="24"/>
                <w:lang w:eastAsia="tr-TR"/>
              </w:rPr>
              <w:t xml:space="preserve"> bulunduğu yerin </w:t>
            </w:r>
            <w:r w:rsidR="007D7A27" w:rsidRPr="00A23740">
              <w:rPr>
                <w:b/>
                <w:bCs/>
                <w:color w:val="0000FF"/>
                <w:szCs w:val="24"/>
                <w:lang w:eastAsia="x-none"/>
              </w:rPr>
              <w:t>â</w:t>
            </w:r>
            <w:r w:rsidRPr="00A23740">
              <w:rPr>
                <w:b/>
                <w:bCs/>
                <w:color w:val="0000FF"/>
                <w:szCs w:val="24"/>
                <w:lang w:val="x-none" w:eastAsia="x-none"/>
              </w:rPr>
              <w:t>detleri ile bu maddedeki esasları dikkate alarak şartnamede bulunması gereken hususları</w:t>
            </w:r>
            <w:r w:rsidRPr="00A23740">
              <w:rPr>
                <w:rFonts w:eastAsia="Times New Roman"/>
                <w:szCs w:val="24"/>
                <w:lang w:eastAsia="tr-TR"/>
              </w:rPr>
              <w:t xml:space="preserve"> en elverişli tarzda </w:t>
            </w:r>
            <w:r w:rsidRPr="00A23740">
              <w:rPr>
                <w:b/>
                <w:bCs/>
                <w:color w:val="0000FF"/>
                <w:kern w:val="32"/>
                <w:szCs w:val="32"/>
              </w:rPr>
              <w:t>tespit</w:t>
            </w:r>
            <w:r w:rsidRPr="00A23740">
              <w:rPr>
                <w:rFonts w:eastAsia="Times New Roman"/>
                <w:szCs w:val="24"/>
                <w:lang w:eastAsia="tr-TR"/>
              </w:rPr>
              <w:t xml:space="preserve"> eder.</w:t>
            </w: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7C5C54" w:rsidRPr="00A23740" w:rsidRDefault="007C5C54" w:rsidP="009431FF">
            <w:pPr>
              <w:tabs>
                <w:tab w:val="left" w:pos="567"/>
              </w:tabs>
              <w:rPr>
                <w:b/>
                <w:bCs/>
                <w:color w:val="0000FF"/>
                <w:szCs w:val="24"/>
                <w:lang w:val="x-none" w:eastAsia="x-none"/>
              </w:rPr>
            </w:pPr>
          </w:p>
          <w:p w:rsidR="00EB7B06" w:rsidRPr="00A23740" w:rsidRDefault="007C5C54" w:rsidP="009431FF">
            <w:pPr>
              <w:rPr>
                <w:rStyle w:val="KIRMIZIChar"/>
                <w:rFonts w:eastAsia="Calibri"/>
              </w:rPr>
            </w:pPr>
            <w:r w:rsidRPr="00A23740">
              <w:rPr>
                <w:b/>
                <w:bCs/>
                <w:color w:val="0000FF"/>
                <w:szCs w:val="24"/>
                <w:lang w:val="x-none" w:eastAsia="x-none"/>
              </w:rPr>
              <w:t xml:space="preserve">(2) </w:t>
            </w:r>
            <w:r w:rsidR="00EB7B06" w:rsidRPr="00A23740">
              <w:rPr>
                <w:b/>
                <w:bCs/>
                <w:color w:val="0000FF"/>
                <w:szCs w:val="24"/>
                <w:lang w:val="x-none" w:eastAsia="tr-TR"/>
              </w:rPr>
              <w:t>Şartnamede; s</w:t>
            </w:r>
            <w:r w:rsidR="00EB7B06" w:rsidRPr="00A23740">
              <w:rPr>
                <w:lang w:eastAsia="tr-TR"/>
              </w:rPr>
              <w:t>atılacak şeyin cinsi,</w:t>
            </w:r>
            <w:r w:rsidR="007D7A27" w:rsidRPr="00A23740">
              <w:rPr>
                <w:lang w:eastAsia="tr-TR"/>
              </w:rPr>
              <w:t xml:space="preserve"> </w:t>
            </w:r>
            <w:r w:rsidR="007D7A27" w:rsidRPr="00C92583">
              <w:rPr>
                <w:rStyle w:val="Balk1Char"/>
                <w:rFonts w:eastAsia="ヒラギノ明朝 Pro W3"/>
              </w:rPr>
              <w:t>niteliği,</w:t>
            </w:r>
            <w:r w:rsidR="00EB7B06" w:rsidRPr="00A23740">
              <w:rPr>
                <w:lang w:eastAsia="tr-TR"/>
              </w:rPr>
              <w:t xml:space="preserve"> önemli</w:t>
            </w:r>
            <w:r w:rsidR="007D7A27" w:rsidRPr="00A23740">
              <w:rPr>
                <w:lang w:eastAsia="tr-TR"/>
              </w:rPr>
              <w:t xml:space="preserve"> </w:t>
            </w:r>
            <w:r w:rsidR="007D7A27" w:rsidRPr="00C92583">
              <w:rPr>
                <w:rStyle w:val="Balk1Char"/>
                <w:rFonts w:eastAsia="ヒラギノ明朝 Pro W3"/>
              </w:rPr>
              <w:t>özellikleri</w:t>
            </w:r>
            <w:r w:rsidR="00EB7B06" w:rsidRPr="00A23740">
              <w:rPr>
                <w:bCs/>
                <w:lang w:eastAsia="tr-TR"/>
              </w:rPr>
              <w:t>,</w:t>
            </w:r>
            <w:r w:rsidR="00EB7B06" w:rsidRPr="00A23740">
              <w:rPr>
                <w:lang w:eastAsia="tr-TR"/>
              </w:rPr>
              <w:t xml:space="preserve"> bulunduğu yer ve varsa görselleri, m</w:t>
            </w:r>
            <w:r w:rsidR="00EB7B06" w:rsidRPr="00A23740">
              <w:rPr>
                <w:b/>
                <w:color w:val="0000FF"/>
                <w:szCs w:val="24"/>
                <w:lang w:eastAsia="tr-TR"/>
              </w:rPr>
              <w:t xml:space="preserve">alın takdir olunan </w:t>
            </w:r>
            <w:r w:rsidR="00EB7B06" w:rsidRPr="00A23740">
              <w:rPr>
                <w:lang w:eastAsia="tr-TR"/>
              </w:rPr>
              <w:t>kıymeti</w:t>
            </w:r>
            <w:r w:rsidR="00EB7B06" w:rsidRPr="00A23740">
              <w:rPr>
                <w:b/>
                <w:color w:val="0000FF"/>
                <w:szCs w:val="24"/>
                <w:lang w:eastAsia="tr-TR"/>
              </w:rPr>
              <w:t xml:space="preserve">, taşınmazın </w:t>
            </w:r>
            <w:r w:rsidR="007C4E36" w:rsidRPr="00A23740">
              <w:rPr>
                <w:b/>
                <w:bCs/>
                <w:color w:val="0000FF"/>
                <w:szCs w:val="24"/>
                <w:lang w:val="x-none" w:eastAsia="x-none"/>
              </w:rPr>
              <w:t>tapu kayıt bilgileri, yüz</w:t>
            </w:r>
            <w:r w:rsidR="00EB7B06" w:rsidRPr="00A23740">
              <w:rPr>
                <w:b/>
                <w:bCs/>
                <w:color w:val="0000FF"/>
                <w:szCs w:val="24"/>
                <w:lang w:val="x-none" w:eastAsia="x-none"/>
              </w:rPr>
              <w:t>ölçümü, son imar durumu, adresi ve varsa mükellefiyetler listesi ile</w:t>
            </w:r>
            <w:r w:rsidR="00945F6C" w:rsidRPr="00A23740">
              <w:rPr>
                <w:b/>
                <w:bCs/>
                <w:color w:val="0000FF"/>
                <w:szCs w:val="24"/>
                <w:lang w:val="x-none" w:eastAsia="x-none"/>
              </w:rPr>
              <w:t xml:space="preserve"> </w:t>
            </w:r>
            <w:r w:rsidR="00945F6C" w:rsidRPr="00C92583">
              <w:rPr>
                <w:rStyle w:val="Balk1Char"/>
                <w:rFonts w:eastAsia="Calibri"/>
              </w:rPr>
              <w:t>takip eden</w:t>
            </w:r>
            <w:r w:rsidR="00945F6C" w:rsidRPr="00A23740">
              <w:rPr>
                <w:b/>
                <w:bCs/>
                <w:color w:val="0000FF"/>
                <w:szCs w:val="24"/>
                <w:lang w:val="x-none" w:eastAsia="x-none"/>
              </w:rPr>
              <w:t xml:space="preserve"> </w:t>
            </w:r>
            <w:r w:rsidR="00EB7B06" w:rsidRPr="00A23740">
              <w:rPr>
                <w:b/>
                <w:bCs/>
                <w:color w:val="0000FF"/>
                <w:szCs w:val="24"/>
                <w:lang w:val="x-none" w:eastAsia="x-none"/>
              </w:rPr>
              <w:t xml:space="preserve">maddelerde </w:t>
            </w:r>
            <w:r w:rsidR="00945F6C" w:rsidRPr="00C92583">
              <w:rPr>
                <w:rStyle w:val="Balk1Char"/>
                <w:rFonts w:eastAsia="Calibri"/>
              </w:rPr>
              <w:t>yer alıp</w:t>
            </w:r>
            <w:r w:rsidR="00945F6C" w:rsidRPr="00A23740">
              <w:rPr>
                <w:b/>
                <w:bCs/>
                <w:color w:val="0000FF"/>
                <w:szCs w:val="24"/>
                <w:lang w:val="x-none" w:eastAsia="x-none"/>
              </w:rPr>
              <w:t xml:space="preserve"> </w:t>
            </w:r>
            <w:r w:rsidR="00EB7B06" w:rsidRPr="00A23740">
              <w:rPr>
                <w:b/>
                <w:bCs/>
                <w:color w:val="0000FF"/>
                <w:szCs w:val="24"/>
                <w:lang w:val="x-none" w:eastAsia="x-none"/>
              </w:rPr>
              <w:t xml:space="preserve">artırma </w:t>
            </w:r>
            <w:r w:rsidR="00945F6C" w:rsidRPr="00A23740">
              <w:rPr>
                <w:b/>
                <w:bCs/>
                <w:color w:val="0000FF"/>
                <w:szCs w:val="24"/>
                <w:lang w:val="x-none" w:eastAsia="x-none"/>
              </w:rPr>
              <w:t xml:space="preserve">ve </w:t>
            </w:r>
            <w:r w:rsidR="00EB7B06" w:rsidRPr="00A23740">
              <w:rPr>
                <w:b/>
                <w:bCs/>
                <w:color w:val="0000FF"/>
                <w:szCs w:val="24"/>
                <w:lang w:val="x-none" w:eastAsia="x-none"/>
              </w:rPr>
              <w:t xml:space="preserve">satış usulü </w:t>
            </w:r>
            <w:r w:rsidR="00945F6C" w:rsidRPr="00C92583">
              <w:rPr>
                <w:rStyle w:val="MaviChar"/>
              </w:rPr>
              <w:t>ile</w:t>
            </w:r>
            <w:r w:rsidR="00945F6C" w:rsidRPr="00A23740">
              <w:rPr>
                <w:b/>
                <w:bCs/>
                <w:color w:val="385623"/>
                <w:szCs w:val="24"/>
                <w:lang w:val="x-none" w:eastAsia="x-none"/>
              </w:rPr>
              <w:t xml:space="preserve"> </w:t>
            </w:r>
            <w:r w:rsidR="00EB7B06" w:rsidRPr="00A23740">
              <w:rPr>
                <w:b/>
                <w:bCs/>
                <w:color w:val="0000FF"/>
                <w:szCs w:val="24"/>
                <w:lang w:val="x-none" w:eastAsia="x-none"/>
              </w:rPr>
              <w:t xml:space="preserve">sonuçlarına ilişkin hususlar </w:t>
            </w:r>
            <w:r w:rsidR="00945F6C" w:rsidRPr="00C92583">
              <w:rPr>
                <w:rStyle w:val="Balk1Char"/>
                <w:rFonts w:eastAsia="Calibri"/>
              </w:rPr>
              <w:t>bulunur.</w:t>
            </w:r>
            <w:r w:rsidR="00945F6C" w:rsidRPr="00A23740">
              <w:rPr>
                <w:b/>
                <w:bCs/>
                <w:color w:val="385623"/>
                <w:szCs w:val="24"/>
                <w:lang w:val="x-none" w:eastAsia="x-none"/>
              </w:rPr>
              <w:t xml:space="preserve"> </w:t>
            </w:r>
          </w:p>
          <w:p w:rsidR="007C5C54" w:rsidRPr="00A23740" w:rsidRDefault="007C5C54" w:rsidP="009431FF">
            <w:pPr>
              <w:rPr>
                <w:b/>
                <w:bCs/>
                <w:color w:val="0000FF"/>
                <w:szCs w:val="24"/>
                <w:lang w:val="x-none" w:eastAsia="tr-TR"/>
              </w:rPr>
            </w:pPr>
          </w:p>
          <w:p w:rsidR="00EB7B06" w:rsidRPr="00A23740" w:rsidRDefault="007C5C54" w:rsidP="009431FF">
            <w:pPr>
              <w:rPr>
                <w:b/>
                <w:bCs/>
                <w:color w:val="0000FF"/>
                <w:szCs w:val="24"/>
                <w:lang w:val="x-none" w:eastAsia="x-none"/>
              </w:rPr>
            </w:pPr>
            <w:r w:rsidRPr="00A23740">
              <w:rPr>
                <w:b/>
                <w:bCs/>
                <w:color w:val="0000FF"/>
                <w:szCs w:val="24"/>
                <w:lang w:val="x-none" w:eastAsia="tr-TR"/>
              </w:rPr>
              <w:t xml:space="preserve">(3) </w:t>
            </w:r>
            <w:r w:rsidR="00EB7B06" w:rsidRPr="00A23740">
              <w:rPr>
                <w:b/>
                <w:bCs/>
                <w:color w:val="0000FF"/>
                <w:szCs w:val="24"/>
                <w:lang w:val="x-none" w:eastAsia="x-none"/>
              </w:rPr>
              <w:t>Şartname, artırmanın başlamasından en az iki hafta öncesinden itibaren ve artırma süresince elektronik satış portalında erişime açık tutulur.</w:t>
            </w:r>
          </w:p>
          <w:p w:rsidR="007C5C54" w:rsidRPr="00A23740" w:rsidRDefault="007C5C54" w:rsidP="009431FF">
            <w:pPr>
              <w:rPr>
                <w:lang w:eastAsia="tr-TR"/>
              </w:rPr>
            </w:pPr>
          </w:p>
        </w:tc>
      </w:tr>
      <w:tr w:rsidR="00444F0F" w:rsidRPr="00A23740" w:rsidTr="009431FF">
        <w:tblPrEx>
          <w:tblLook w:val="01E0" w:firstRow="1" w:lastRow="1" w:firstColumn="1" w:lastColumn="1" w:noHBand="0" w:noVBand="0"/>
        </w:tblPrEx>
        <w:tc>
          <w:tcPr>
            <w:tcW w:w="5000" w:type="pct"/>
            <w:gridSpan w:val="2"/>
            <w:shd w:val="clear" w:color="auto" w:fill="DEEAF6"/>
          </w:tcPr>
          <w:p w:rsidR="00444F0F" w:rsidRPr="00A23740" w:rsidRDefault="00444F0F" w:rsidP="009431FF">
            <w:pPr>
              <w:ind w:firstLine="709"/>
              <w:rPr>
                <w:rFonts w:eastAsia="Times New Roman"/>
                <w:color w:val="000000"/>
                <w:szCs w:val="24"/>
                <w:lang w:eastAsia="tr-TR"/>
              </w:rPr>
            </w:pPr>
          </w:p>
          <w:p w:rsidR="00444F0F" w:rsidRPr="00A23740" w:rsidRDefault="00444F0F" w:rsidP="009431FF">
            <w:pPr>
              <w:ind w:firstLine="709"/>
              <w:rPr>
                <w:rFonts w:eastAsia="Times New Roman"/>
                <w:color w:val="000000"/>
                <w:szCs w:val="24"/>
                <w:lang w:eastAsia="tr-TR"/>
              </w:rPr>
            </w:pPr>
            <w:r w:rsidRPr="00A23740">
              <w:rPr>
                <w:rFonts w:eastAsia="Times New Roman"/>
                <w:b/>
                <w:color w:val="000000"/>
                <w:szCs w:val="24"/>
                <w:lang w:eastAsia="tr-TR"/>
              </w:rPr>
              <w:t>MADDE 223</w:t>
            </w:r>
            <w:r w:rsidRPr="00A23740">
              <w:rPr>
                <w:rFonts w:eastAsia="Times New Roman"/>
                <w:color w:val="000000"/>
                <w:szCs w:val="24"/>
                <w:lang w:eastAsia="tr-TR"/>
              </w:rPr>
              <w:t>- Maddeyle, artırma şartnamesi düzenlenmektedir. Hüküm, 2004 sayılı Kanunun 114 ve 124 üncü maddelerine karşılık gelmektedir.</w:t>
            </w:r>
          </w:p>
          <w:p w:rsidR="00444F0F" w:rsidRPr="00A23740" w:rsidRDefault="00444F0F" w:rsidP="009431FF">
            <w:pPr>
              <w:ind w:firstLine="709"/>
              <w:rPr>
                <w:lang w:eastAsia="tr-TR"/>
              </w:rPr>
            </w:pPr>
            <w:r w:rsidRPr="00A23740">
              <w:rPr>
                <w:rFonts w:eastAsia="Times New Roman"/>
                <w:color w:val="000000"/>
                <w:szCs w:val="24"/>
                <w:lang w:eastAsia="tr-TR"/>
              </w:rPr>
              <w:t>Birinci fıkrayla</w:t>
            </w:r>
            <w:r w:rsidR="0097576B" w:rsidRPr="00A23740">
              <w:rPr>
                <w:rFonts w:eastAsia="Times New Roman"/>
                <w:color w:val="000000"/>
                <w:szCs w:val="24"/>
                <w:lang w:eastAsia="tr-TR"/>
              </w:rPr>
              <w:t>,</w:t>
            </w:r>
            <w:r w:rsidRPr="00A23740">
              <w:rPr>
                <w:rFonts w:eastAsia="Times New Roman"/>
                <w:color w:val="000000"/>
                <w:szCs w:val="24"/>
                <w:lang w:eastAsia="tr-TR"/>
              </w:rPr>
              <w:t xml:space="preserve"> icra</w:t>
            </w:r>
            <w:r w:rsidR="00516A4D" w:rsidRPr="00A23740">
              <w:rPr>
                <w:rFonts w:eastAsia="Times New Roman"/>
                <w:color w:val="000000"/>
                <w:szCs w:val="24"/>
                <w:lang w:eastAsia="tr-TR"/>
              </w:rPr>
              <w:t xml:space="preserve"> ve iflas</w:t>
            </w:r>
            <w:r w:rsidRPr="00A23740">
              <w:rPr>
                <w:rFonts w:eastAsia="Times New Roman"/>
                <w:color w:val="000000"/>
                <w:szCs w:val="24"/>
                <w:lang w:eastAsia="tr-TR"/>
              </w:rPr>
              <w:t xml:space="preserve"> dairesinin, haczedilen malın bulunduğu yerin adetleri ile bu maddedeki esasları dikkate alarak şartnamede bulunması gereken hususları en elverişli tarzda tespit edeceği hükme bağlanmaktadır. 2004 sayılı </w:t>
            </w:r>
            <w:r w:rsidRPr="00A23740">
              <w:rPr>
                <w:lang w:eastAsia="tr-TR"/>
              </w:rPr>
              <w:t xml:space="preserve">Kanunun 124 üncü maddesinin birinci fıkrasında yer alan </w:t>
            </w:r>
            <w:r w:rsidR="0097576B" w:rsidRPr="00A23740">
              <w:rPr>
                <w:lang w:eastAsia="tr-TR"/>
              </w:rPr>
              <w:t xml:space="preserve">ve </w:t>
            </w:r>
            <w:r w:rsidRPr="00A23740">
              <w:rPr>
                <w:lang w:eastAsia="tr-TR"/>
              </w:rPr>
              <w:t xml:space="preserve">“taşınmazların bulunduğu yer” </w:t>
            </w:r>
            <w:r w:rsidR="0097576B" w:rsidRPr="00A23740">
              <w:rPr>
                <w:lang w:eastAsia="tr-TR"/>
              </w:rPr>
              <w:t xml:space="preserve">şeklinde olan </w:t>
            </w:r>
            <w:r w:rsidRPr="00A23740">
              <w:rPr>
                <w:lang w:eastAsia="tr-TR"/>
              </w:rPr>
              <w:t xml:space="preserve">ifade, “malın bulunduğu yer” </w:t>
            </w:r>
            <w:r w:rsidR="0097576B" w:rsidRPr="00A23740">
              <w:rPr>
                <w:lang w:eastAsia="tr-TR"/>
              </w:rPr>
              <w:t xml:space="preserve">ibaresiyle </w:t>
            </w:r>
            <w:r w:rsidRPr="00A23740">
              <w:rPr>
                <w:lang w:eastAsia="tr-TR"/>
              </w:rPr>
              <w:t>değiştirilere</w:t>
            </w:r>
            <w:r w:rsidRPr="001971CE">
              <w:rPr>
                <w:lang w:eastAsia="tr-TR"/>
              </w:rPr>
              <w:t>k</w:t>
            </w:r>
            <w:r w:rsidR="007D7A27" w:rsidRPr="001971CE">
              <w:rPr>
                <w:lang w:eastAsia="tr-TR"/>
              </w:rPr>
              <w:t>,</w:t>
            </w:r>
            <w:r w:rsidRPr="00A23740">
              <w:rPr>
                <w:lang w:eastAsia="tr-TR"/>
              </w:rPr>
              <w:t xml:space="preserve"> anılan hükmün hem taşınmazlar hem de taşınırlar için uygulanması</w:t>
            </w:r>
            <w:r w:rsidR="0097576B" w:rsidRPr="00A23740">
              <w:rPr>
                <w:lang w:eastAsia="tr-TR"/>
              </w:rPr>
              <w:t xml:space="preserve"> öngörülmüştür</w:t>
            </w:r>
            <w:r w:rsidRPr="00A23740">
              <w:rPr>
                <w:lang w:eastAsia="tr-TR"/>
              </w:rPr>
              <w:t>.</w:t>
            </w:r>
          </w:p>
          <w:p w:rsidR="00444F0F" w:rsidRPr="00A23740" w:rsidRDefault="007D7A27" w:rsidP="009431FF">
            <w:pPr>
              <w:ind w:firstLine="709"/>
              <w:rPr>
                <w:rStyle w:val="KIRMIZIChar"/>
                <w:rFonts w:eastAsia="Calibri"/>
              </w:rPr>
            </w:pPr>
            <w:r w:rsidRPr="00A23740">
              <w:rPr>
                <w:lang w:eastAsia="tr-TR"/>
              </w:rPr>
              <w:t>İ</w:t>
            </w:r>
            <w:r w:rsidR="00EB7B06" w:rsidRPr="00A23740">
              <w:rPr>
                <w:lang w:eastAsia="tr-TR"/>
              </w:rPr>
              <w:t>kinci</w:t>
            </w:r>
            <w:r w:rsidR="00444F0F" w:rsidRPr="00A23740">
              <w:rPr>
                <w:lang w:eastAsia="tr-TR"/>
              </w:rPr>
              <w:t xml:space="preserve"> fıkrayla</w:t>
            </w:r>
            <w:r w:rsidR="0097576B" w:rsidRPr="00A23740">
              <w:rPr>
                <w:lang w:eastAsia="tr-TR"/>
              </w:rPr>
              <w:t>,</w:t>
            </w:r>
            <w:r w:rsidR="00516A4D" w:rsidRPr="00A23740">
              <w:rPr>
                <w:lang w:eastAsia="tr-TR"/>
              </w:rPr>
              <w:t xml:space="preserve"> </w:t>
            </w:r>
            <w:r w:rsidR="00444F0F" w:rsidRPr="00A23740">
              <w:rPr>
                <w:lang w:eastAsia="tr-TR"/>
              </w:rPr>
              <w:t>şartnamede</w:t>
            </w:r>
            <w:r w:rsidR="00EB7B06" w:rsidRPr="00A23740">
              <w:rPr>
                <w:lang w:eastAsia="tr-TR"/>
              </w:rPr>
              <w:t xml:space="preserve"> bulunması ger</w:t>
            </w:r>
            <w:r w:rsidR="002E4573">
              <w:rPr>
                <w:lang w:eastAsia="tr-TR"/>
              </w:rPr>
              <w:t>eken hususlar düzenlenmektedir.</w:t>
            </w:r>
          </w:p>
          <w:p w:rsidR="00444F0F" w:rsidRPr="00A23740" w:rsidRDefault="00EB7B06" w:rsidP="009431FF">
            <w:pPr>
              <w:ind w:firstLine="709"/>
              <w:rPr>
                <w:rFonts w:eastAsia="Times New Roman"/>
                <w:color w:val="000000"/>
                <w:szCs w:val="24"/>
                <w:lang w:eastAsia="tr-TR"/>
              </w:rPr>
            </w:pPr>
            <w:r w:rsidRPr="00A23740">
              <w:rPr>
                <w:lang w:eastAsia="tr-TR"/>
              </w:rPr>
              <w:t>Üçüncü fıkrayla şartnamenin, artırmanın başlamasından en az iki hafta öncesinden itibaren ve artırma süresince elektronik satış portalında erişime açık tutulacağı belirtilmektedir.</w:t>
            </w:r>
          </w:p>
          <w:p w:rsidR="00EB7B06" w:rsidRPr="00A23740" w:rsidRDefault="00EB7B06" w:rsidP="001971CE">
            <w:pPr>
              <w:ind w:firstLine="709"/>
              <w:rPr>
                <w:rFonts w:eastAsia="Times New Roman"/>
                <w:color w:val="000000"/>
                <w:szCs w:val="24"/>
                <w:lang w:eastAsia="tr-TR"/>
              </w:rPr>
            </w:pPr>
          </w:p>
        </w:tc>
      </w:tr>
      <w:tr w:rsidR="007C5C54" w:rsidRPr="00A23740" w:rsidTr="009431FF">
        <w:tblPrEx>
          <w:tblLook w:val="01E0" w:firstRow="1" w:lastRow="1" w:firstColumn="1" w:lastColumn="1" w:noHBand="0" w:noVBand="0"/>
        </w:tblPrEx>
        <w:tc>
          <w:tcPr>
            <w:tcW w:w="2500" w:type="pct"/>
          </w:tcPr>
          <w:p w:rsidR="007C5C54" w:rsidRPr="00A23740" w:rsidRDefault="007C5C54" w:rsidP="009431FF">
            <w:pPr>
              <w:tabs>
                <w:tab w:val="left" w:pos="567"/>
              </w:tabs>
              <w:rPr>
                <w:b/>
                <w:bCs/>
                <w:strike/>
                <w:color w:val="FF0000"/>
                <w:szCs w:val="24"/>
                <w:lang w:val="x-none" w:eastAsia="x-none"/>
              </w:rPr>
            </w:pPr>
          </w:p>
          <w:p w:rsidR="007C5C54" w:rsidRPr="00A23740" w:rsidRDefault="007C5C54" w:rsidP="009431FF">
            <w:pPr>
              <w:tabs>
                <w:tab w:val="left" w:pos="567"/>
              </w:tabs>
              <w:rPr>
                <w:b/>
                <w:bCs/>
                <w:strike/>
                <w:color w:val="FF0000"/>
                <w:szCs w:val="24"/>
                <w:lang w:val="x-none" w:eastAsia="x-none"/>
              </w:rPr>
            </w:pPr>
            <w:r w:rsidRPr="00A23740">
              <w:rPr>
                <w:b/>
                <w:bCs/>
                <w:strike/>
                <w:color w:val="FF0000"/>
                <w:szCs w:val="24"/>
                <w:lang w:val="x-none" w:eastAsia="x-none"/>
              </w:rPr>
              <w:t>Artırma hazırlık tedbirleri:</w:t>
            </w: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114 –</w:t>
            </w:r>
          </w:p>
          <w:p w:rsidR="007C5C54" w:rsidRPr="00A23740" w:rsidRDefault="007C5C54" w:rsidP="009431FF">
            <w:pPr>
              <w:rPr>
                <w:rFonts w:eastAsia="Times New Roman"/>
                <w:szCs w:val="24"/>
                <w:lang w:eastAsia="tr-TR"/>
              </w:rPr>
            </w:pPr>
            <w:r w:rsidRPr="00A23740">
              <w:rPr>
                <w:b/>
                <w:bCs/>
                <w:strike/>
                <w:color w:val="FF0000"/>
                <w:szCs w:val="24"/>
              </w:rPr>
              <w:t>4.</w:t>
            </w:r>
            <w:r w:rsidRPr="00A23740">
              <w:rPr>
                <w:rFonts w:eastAsia="Times New Roman"/>
                <w:szCs w:val="24"/>
                <w:lang w:eastAsia="tr-TR"/>
              </w:rPr>
              <w:t xml:space="preserve"> Temsilci vasıtasıyla artırmaya katılacakların, en geç artırma süresinin bitiminden önceki iş günü mesai bitimine kadar satışı yapan icra dairesine müracaat etmelerinin zorunlu olduğu.</w:t>
            </w:r>
          </w:p>
          <w:p w:rsidR="007C5C54" w:rsidRPr="00A23740" w:rsidRDefault="007C5C54" w:rsidP="009431FF">
            <w:pPr>
              <w:tabs>
                <w:tab w:val="left" w:pos="567"/>
              </w:tabs>
              <w:rPr>
                <w:rFonts w:eastAsia="Times New Roman"/>
                <w:b/>
                <w:bCs/>
                <w:strike/>
                <w:color w:val="FF0000"/>
                <w:szCs w:val="24"/>
                <w:lang w:val="x-none" w:eastAsia="x-none"/>
              </w:rPr>
            </w:pPr>
          </w:p>
          <w:p w:rsidR="007C5C54" w:rsidRPr="00A23740" w:rsidRDefault="007C5C54" w:rsidP="009431FF">
            <w:pPr>
              <w:rPr>
                <w:rFonts w:eastAsia="Times New Roman"/>
                <w:szCs w:val="24"/>
                <w:lang w:eastAsia="tr-TR"/>
              </w:rPr>
            </w:pPr>
            <w:r w:rsidRPr="00A23740">
              <w:rPr>
                <w:b/>
                <w:bCs/>
                <w:strike/>
                <w:color w:val="FF0000"/>
                <w:szCs w:val="24"/>
              </w:rPr>
              <w:t>5.</w:t>
            </w:r>
            <w:r w:rsidRPr="00A23740">
              <w:rPr>
                <w:rFonts w:eastAsia="Times New Roman"/>
                <w:szCs w:val="24"/>
                <w:lang w:eastAsia="tr-TR"/>
              </w:rPr>
              <w:t xml:space="preserve"> Hisseli satışın mümkün olduğu hâllerde açık artırma konusu malı belirli paylarla satın almak isteyen müşterek alıcıların, en geç artırma süresinin bitiminden önceki iş günü mesai bitimine kadar satışı yapan icra dairesine müracaat etmelerinin zorunlu olduğu.</w:t>
            </w:r>
          </w:p>
          <w:p w:rsidR="007C5C54" w:rsidRPr="00A23740" w:rsidRDefault="007C5C54"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b/>
                <w:bCs/>
                <w:strike/>
                <w:color w:val="FF0000"/>
                <w:szCs w:val="24"/>
              </w:rPr>
              <w:t>2.</w:t>
            </w:r>
            <w:r w:rsidRPr="00A23740">
              <w:rPr>
                <w:rFonts w:eastAsia="Times New Roman"/>
                <w:szCs w:val="24"/>
                <w:lang w:eastAsia="tr-TR"/>
              </w:rPr>
              <w:t xml:space="preserve"> Artırmaya katılabilmek için </w:t>
            </w:r>
            <w:r w:rsidRPr="00A23740">
              <w:rPr>
                <w:b/>
                <w:bCs/>
                <w:strike/>
                <w:color w:val="FF0000"/>
                <w:szCs w:val="24"/>
              </w:rPr>
              <w:t>mahcuzun</w:t>
            </w:r>
            <w:r w:rsidRPr="00A23740">
              <w:rPr>
                <w:rFonts w:eastAsia="Times New Roman"/>
                <w:szCs w:val="24"/>
                <w:lang w:eastAsia="tr-TR"/>
              </w:rPr>
              <w:t xml:space="preserve"> kıymetinin yüzde onunu karşılayacak tutardaki teminatın satışı yapan icra dairesinin banka hesabına yatırılmasının zorunlu olduğu, teminatın nakit olması durumunda en geç artırma süresinin bitiminden önceki gün saat 23</w:t>
            </w:r>
            <w:r w:rsidRPr="00A23740">
              <w:rPr>
                <w:rStyle w:val="KIRMIZIChar"/>
                <w:rFonts w:eastAsia="Calibri"/>
              </w:rPr>
              <w:t>:</w:t>
            </w:r>
            <w:r w:rsidRPr="00A23740">
              <w:rPr>
                <w:rFonts w:eastAsia="Times New Roman"/>
                <w:szCs w:val="24"/>
                <w:lang w:eastAsia="tr-TR"/>
              </w:rPr>
              <w:t>30’a kadar yatırılması gerektiği.</w:t>
            </w:r>
          </w:p>
          <w:p w:rsidR="007C5C54" w:rsidRPr="00A23740" w:rsidRDefault="007C5C54"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b/>
                <w:bCs/>
                <w:strike/>
                <w:color w:val="FF0000"/>
                <w:szCs w:val="24"/>
              </w:rPr>
              <w:t>6. S</w:t>
            </w:r>
            <w:r w:rsidRPr="00A23740">
              <w:rPr>
                <w:rFonts w:eastAsia="Times New Roman"/>
                <w:szCs w:val="24"/>
                <w:lang w:eastAsia="tr-TR"/>
              </w:rPr>
              <w:t xml:space="preserve">atış talep eden </w:t>
            </w:r>
            <w:r w:rsidRPr="00A23740">
              <w:rPr>
                <w:b/>
                <w:bCs/>
                <w:strike/>
                <w:color w:val="FF0000"/>
                <w:szCs w:val="24"/>
              </w:rPr>
              <w:t>ve artırmaya katılmak isteyen</w:t>
            </w:r>
            <w:r w:rsidRPr="00A23740">
              <w:rPr>
                <w:rFonts w:eastAsia="Times New Roman"/>
                <w:szCs w:val="24"/>
                <w:lang w:eastAsia="tr-TR"/>
              </w:rPr>
              <w:t xml:space="preserve"> alacaklı ile ortaklığın satış suretiyle giderilmesinde artırmaya katılmak isteyen pay sahibinin, en geç artırma süresinin bitiminden önceki iş günü mesai bitimine kadar satışı yapan icra dairesine müracaat etmeleri hâlinde alacağın veya ortaklık payının teminatı karşıladığı miktar kadar kendilerinden teminat alınmayacağı.</w:t>
            </w:r>
          </w:p>
          <w:p w:rsidR="007C5C54" w:rsidRPr="00A23740" w:rsidRDefault="007C5C54" w:rsidP="009431FF">
            <w:pPr>
              <w:tabs>
                <w:tab w:val="left" w:pos="567"/>
              </w:tabs>
              <w:rPr>
                <w:rFonts w:eastAsia="Times New Roman"/>
                <w:b/>
                <w:bCs/>
                <w:strike/>
                <w:color w:val="FF0000"/>
                <w:szCs w:val="24"/>
                <w:lang w:val="x-none" w:eastAsia="x-none"/>
              </w:rPr>
            </w:pPr>
          </w:p>
          <w:p w:rsidR="007C5C54" w:rsidRPr="00A23740" w:rsidRDefault="007C5C54" w:rsidP="009431FF">
            <w:pPr>
              <w:rPr>
                <w:rFonts w:eastAsia="Times New Roman"/>
                <w:szCs w:val="24"/>
                <w:lang w:eastAsia="tr-TR"/>
              </w:rPr>
            </w:pPr>
            <w:r w:rsidRPr="00A23740">
              <w:rPr>
                <w:b/>
                <w:bCs/>
                <w:strike/>
                <w:color w:val="FF0000"/>
                <w:szCs w:val="24"/>
              </w:rPr>
              <w:t>3.</w:t>
            </w:r>
            <w:r w:rsidRPr="00A23740">
              <w:rPr>
                <w:rFonts w:eastAsia="Times New Roman"/>
                <w:szCs w:val="24"/>
                <w:lang w:eastAsia="tr-TR"/>
              </w:rPr>
              <w:t xml:space="preserve"> Gösterilecek teminatın teminat mektubu olması hâlinde, artırmaya katılacakların, en geç artırma süresinin bitiminden önceki iş günü mesai bitimine kadar satışa konu </w:t>
            </w:r>
            <w:r w:rsidRPr="00A23740">
              <w:rPr>
                <w:b/>
                <w:bCs/>
                <w:strike/>
                <w:color w:val="FF0000"/>
                <w:szCs w:val="24"/>
              </w:rPr>
              <w:t>mahcuzun</w:t>
            </w:r>
            <w:r w:rsidRPr="00A23740">
              <w:rPr>
                <w:rFonts w:eastAsia="Times New Roman"/>
                <w:szCs w:val="24"/>
                <w:lang w:eastAsia="tr-TR"/>
              </w:rPr>
              <w:t xml:space="preserve"> kıymetinin yüzde onunu karşılayacak tutarda kesin ve süresiz banka teminat mektubunu, satışı yapan icra dairesine tevdi etmelerinin zorunlu olduğu.</w:t>
            </w:r>
          </w:p>
          <w:p w:rsidR="007C5C54" w:rsidRPr="00A23740" w:rsidRDefault="007C5C54"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b/>
                <w:bCs/>
                <w:strike/>
                <w:color w:val="FF0000"/>
                <w:szCs w:val="24"/>
              </w:rPr>
              <w:t>9.</w:t>
            </w:r>
            <w:r w:rsidRPr="00A23740">
              <w:rPr>
                <w:rFonts w:eastAsia="Times New Roman"/>
                <w:szCs w:val="24"/>
                <w:lang w:eastAsia="tr-TR"/>
              </w:rPr>
              <w:t xml:space="preserve"> İhale alıcısının en yüksek teklifi verip de süresi içinde ihale bedelini yatırmaması hâlinde, alınan teminatın iade edilmeyip öncelikle satış </w:t>
            </w:r>
            <w:r w:rsidRPr="00A23740">
              <w:rPr>
                <w:b/>
                <w:bCs/>
                <w:strike/>
                <w:color w:val="FF0000"/>
                <w:szCs w:val="24"/>
              </w:rPr>
              <w:t>masraflarından</w:t>
            </w:r>
            <w:r w:rsidRPr="00A23740">
              <w:rPr>
                <w:rFonts w:eastAsia="Times New Roman"/>
                <w:szCs w:val="24"/>
                <w:lang w:eastAsia="tr-TR"/>
              </w:rPr>
              <w:t xml:space="preserve"> düşülmek üzere alacaklarına mahsuben hak sahiplerine ödeneceği.</w:t>
            </w:r>
          </w:p>
          <w:p w:rsidR="007C5C54" w:rsidRPr="00A23740" w:rsidRDefault="007C5C54"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b/>
                <w:bCs/>
                <w:strike/>
                <w:color w:val="FF0000"/>
                <w:szCs w:val="24"/>
              </w:rPr>
              <w:t>12.</w:t>
            </w:r>
            <w:r w:rsidRPr="00A23740">
              <w:rPr>
                <w:rFonts w:eastAsia="Times New Roman"/>
                <w:szCs w:val="24"/>
                <w:lang w:eastAsia="tr-TR"/>
              </w:rPr>
              <w:t xml:space="preserve"> Satışa katılanların bütün ekleriyle birlikte şartnameyi görmüş ve içeriğini kabul etmiş sayılacakları.</w:t>
            </w:r>
          </w:p>
          <w:p w:rsidR="007C5C54" w:rsidRPr="00A23740" w:rsidRDefault="007C5C54" w:rsidP="009431FF">
            <w:pPr>
              <w:tabs>
                <w:tab w:val="left" w:pos="567"/>
              </w:tabs>
              <w:rPr>
                <w:rFonts w:eastAsia="Times New Roman"/>
                <w:b/>
                <w:bCs/>
                <w:strike/>
                <w:color w:val="FF0000"/>
                <w:szCs w:val="24"/>
                <w:lang w:val="x-none" w:eastAsia="x-none"/>
              </w:rPr>
            </w:pPr>
          </w:p>
        </w:tc>
        <w:tc>
          <w:tcPr>
            <w:tcW w:w="2500" w:type="pct"/>
          </w:tcPr>
          <w:p w:rsidR="007C5C54" w:rsidRPr="00A23740" w:rsidRDefault="007C5C54" w:rsidP="009431FF">
            <w:pPr>
              <w:rPr>
                <w:b/>
                <w:bCs/>
                <w:color w:val="0000FF"/>
                <w:szCs w:val="24"/>
                <w:lang w:val="x-none" w:eastAsia="tr-TR"/>
              </w:rPr>
            </w:pPr>
            <w:r w:rsidRPr="00A23740">
              <w:rPr>
                <w:b/>
                <w:bCs/>
                <w:color w:val="0000FF"/>
                <w:szCs w:val="24"/>
                <w:lang w:val="x-none" w:eastAsia="tr-TR"/>
              </w:rPr>
              <w:t>Artırmaya katılacaklar</w:t>
            </w:r>
            <w:r w:rsidR="006344B4" w:rsidRPr="00A23740">
              <w:rPr>
                <w:b/>
                <w:bCs/>
                <w:color w:val="0000FF"/>
                <w:szCs w:val="24"/>
                <w:lang w:eastAsia="tr-TR"/>
              </w:rPr>
              <w:t xml:space="preserve"> </w:t>
            </w:r>
            <w:r w:rsidR="00CF6E80" w:rsidRPr="00C92583">
              <w:rPr>
                <w:rStyle w:val="MaviChar"/>
              </w:rPr>
              <w:t>hakkında</w:t>
            </w:r>
            <w:r w:rsidR="00CF6E80" w:rsidRPr="00A23740">
              <w:rPr>
                <w:b/>
                <w:bCs/>
                <w:color w:val="0000FF"/>
                <w:szCs w:val="24"/>
                <w:lang w:eastAsia="tr-TR"/>
              </w:rPr>
              <w:t xml:space="preserve"> </w:t>
            </w:r>
            <w:r w:rsidRPr="00A23740">
              <w:rPr>
                <w:b/>
                <w:bCs/>
                <w:color w:val="0000FF"/>
                <w:szCs w:val="24"/>
                <w:lang w:val="x-none" w:eastAsia="tr-TR"/>
              </w:rPr>
              <w:t>şartnameye yazılacak hususlar</w:t>
            </w:r>
          </w:p>
          <w:p w:rsidR="007C5C54" w:rsidRPr="00A23740" w:rsidRDefault="007C5C54" w:rsidP="009431FF">
            <w:pPr>
              <w:rPr>
                <w:lang w:eastAsia="tr-TR"/>
              </w:rPr>
            </w:pPr>
            <w:r w:rsidRPr="00A23740">
              <w:rPr>
                <w:b/>
                <w:bCs/>
                <w:color w:val="0000FF"/>
                <w:szCs w:val="24"/>
                <w:lang w:val="x-none" w:eastAsia="tr-TR"/>
              </w:rPr>
              <w:t xml:space="preserve">MADDE 224- (1) Şartnamede, </w:t>
            </w:r>
            <w:r w:rsidRPr="00A23740">
              <w:rPr>
                <w:b/>
                <w:bCs/>
                <w:color w:val="0000FF"/>
                <w:szCs w:val="24"/>
                <w:lang w:eastAsia="tr-TR"/>
              </w:rPr>
              <w:t>artırmaya katılacaklar</w:t>
            </w:r>
            <w:r w:rsidR="00CF6E80" w:rsidRPr="00A23740">
              <w:rPr>
                <w:b/>
                <w:bCs/>
                <w:color w:val="0000FF"/>
                <w:szCs w:val="24"/>
                <w:lang w:eastAsia="x-none"/>
              </w:rPr>
              <w:t xml:space="preserve"> </w:t>
            </w:r>
            <w:r w:rsidR="00CF6E80" w:rsidRPr="00C92583">
              <w:rPr>
                <w:rStyle w:val="MaviChar"/>
              </w:rPr>
              <w:t>hakkında</w:t>
            </w:r>
            <w:r w:rsidRPr="00A23740">
              <w:rPr>
                <w:rFonts w:eastAsia="ヒラギノ明朝 Pro W3"/>
                <w:b/>
                <w:bCs/>
                <w:color w:val="339933"/>
                <w:szCs w:val="24"/>
                <w:lang w:val="x-none" w:eastAsia="x-none"/>
              </w:rPr>
              <w:t xml:space="preserve"> </w:t>
            </w:r>
            <w:r w:rsidRPr="00A23740">
              <w:rPr>
                <w:b/>
                <w:bCs/>
                <w:color w:val="0000FF"/>
                <w:szCs w:val="24"/>
                <w:lang w:val="x-none" w:eastAsia="x-none"/>
              </w:rPr>
              <w:t>aşağıdaki</w:t>
            </w:r>
            <w:r w:rsidRPr="00A23740">
              <w:rPr>
                <w:lang w:eastAsia="tr-TR"/>
              </w:rPr>
              <w:t xml:space="preserve"> </w:t>
            </w:r>
            <w:r w:rsidRPr="00A23740">
              <w:rPr>
                <w:b/>
                <w:bCs/>
                <w:color w:val="0000FF"/>
                <w:szCs w:val="24"/>
                <w:lang w:val="x-none" w:eastAsia="x-none"/>
              </w:rPr>
              <w:t>hususlar yer alır:</w:t>
            </w:r>
          </w:p>
          <w:p w:rsidR="007C5C54" w:rsidRPr="00A23740" w:rsidRDefault="007C5C54" w:rsidP="009431FF">
            <w:pPr>
              <w:rPr>
                <w:lang w:eastAsia="tr-TR"/>
              </w:rPr>
            </w:pPr>
            <w:r w:rsidRPr="00A23740">
              <w:rPr>
                <w:b/>
                <w:bCs/>
                <w:color w:val="0000FF"/>
                <w:szCs w:val="24"/>
                <w:lang w:val="x-none" w:eastAsia="x-none"/>
              </w:rPr>
              <w:t xml:space="preserve">a) </w:t>
            </w:r>
            <w:r w:rsidRPr="00A23740">
              <w:rPr>
                <w:lang w:eastAsia="tr-TR"/>
              </w:rPr>
              <w:t>Temsilci</w:t>
            </w:r>
            <w:r w:rsidRPr="00A23740">
              <w:rPr>
                <w:b/>
                <w:bCs/>
                <w:color w:val="0000FF"/>
                <w:szCs w:val="24"/>
                <w:lang w:val="x-none" w:eastAsia="x-none"/>
              </w:rPr>
              <w:t xml:space="preserve"> veya avukat</w:t>
            </w:r>
            <w:r w:rsidRPr="00A23740">
              <w:rPr>
                <w:rFonts w:eastAsia="ヒラギノ明朝 Pro W3"/>
                <w:b/>
                <w:color w:val="339933"/>
                <w:szCs w:val="24"/>
              </w:rPr>
              <w:t xml:space="preserve"> </w:t>
            </w:r>
            <w:r w:rsidRPr="00A23740">
              <w:rPr>
                <w:lang w:eastAsia="tr-TR"/>
              </w:rPr>
              <w:t>vasıtasıyla artırmaya katılacakların, en geç artırma süresinin bitiminden önceki iş günü mesai bitimine kadar satışı yapan icra</w:t>
            </w:r>
            <w:r w:rsidR="001B7289" w:rsidRPr="00A23740">
              <w:rPr>
                <w:lang w:eastAsia="tr-TR"/>
              </w:rPr>
              <w:t xml:space="preserve"> </w:t>
            </w:r>
            <w:r w:rsidR="001B7289" w:rsidRPr="00A23740">
              <w:rPr>
                <w:b/>
                <w:bCs/>
                <w:color w:val="0000FF"/>
                <w:szCs w:val="24"/>
                <w:lang w:val="x-none" w:eastAsia="x-none"/>
              </w:rPr>
              <w:t>ve iflas</w:t>
            </w:r>
            <w:r w:rsidRPr="00A23740">
              <w:rPr>
                <w:lang w:eastAsia="tr-TR"/>
              </w:rPr>
              <w:t xml:space="preserve"> dairesine müracaat etmelerinin zorunlu olduğu.</w:t>
            </w:r>
          </w:p>
          <w:p w:rsidR="002E4573" w:rsidRPr="00A23740" w:rsidRDefault="002E4573" w:rsidP="009431FF">
            <w:pPr>
              <w:rPr>
                <w:lang w:eastAsia="tr-TR"/>
              </w:rPr>
            </w:pPr>
          </w:p>
          <w:p w:rsidR="007C5C54" w:rsidRPr="00A23740" w:rsidRDefault="007C5C54" w:rsidP="009431FF">
            <w:pPr>
              <w:rPr>
                <w:rFonts w:eastAsia="Times New Roman"/>
                <w:szCs w:val="24"/>
                <w:lang w:eastAsia="tr-TR"/>
              </w:rPr>
            </w:pPr>
            <w:r w:rsidRPr="00A23740">
              <w:rPr>
                <w:b/>
                <w:bCs/>
                <w:color w:val="0000FF"/>
                <w:szCs w:val="24"/>
                <w:lang w:val="x-none" w:eastAsia="x-none"/>
              </w:rPr>
              <w:t>b)</w:t>
            </w:r>
            <w:r w:rsidRPr="00A23740">
              <w:rPr>
                <w:b/>
                <w:bCs/>
                <w:color w:val="0000FF"/>
                <w:szCs w:val="24"/>
                <w:lang w:val="x-none" w:eastAsia="tr-TR"/>
              </w:rPr>
              <w:t xml:space="preserve"> </w:t>
            </w:r>
            <w:r w:rsidRPr="00A23740">
              <w:rPr>
                <w:rFonts w:eastAsia="Times New Roman"/>
                <w:szCs w:val="24"/>
                <w:lang w:eastAsia="tr-TR"/>
              </w:rPr>
              <w:t>Hisseli satışın mümkün olduğu h</w:t>
            </w:r>
            <w:r w:rsidR="00D44C05" w:rsidRPr="00A23740">
              <w:rPr>
                <w:rFonts w:eastAsia="Times New Roman"/>
                <w:szCs w:val="24"/>
                <w:lang w:eastAsia="tr-TR"/>
              </w:rPr>
              <w:t>â</w:t>
            </w:r>
            <w:r w:rsidRPr="00A23740">
              <w:rPr>
                <w:rFonts w:eastAsia="Times New Roman"/>
                <w:szCs w:val="24"/>
                <w:lang w:eastAsia="tr-TR"/>
              </w:rPr>
              <w:t>llerde açık artırma konusu malı belirli paylarla satın almak isteyen müşterek alıcıların, en geç artırma süresinin bitiminden önceki iş günü mesai bitimine kadar satışı yapan icra</w:t>
            </w:r>
            <w:r w:rsidR="00D44C05" w:rsidRPr="00A23740">
              <w:rPr>
                <w:rFonts w:eastAsia="Times New Roman"/>
                <w:szCs w:val="24"/>
                <w:lang w:eastAsia="tr-TR"/>
              </w:rPr>
              <w:t xml:space="preserve"> </w:t>
            </w:r>
            <w:r w:rsidR="00D44C05" w:rsidRPr="00A23740">
              <w:rPr>
                <w:rFonts w:eastAsia="Times New Roman"/>
                <w:b/>
                <w:color w:val="0000FF"/>
                <w:szCs w:val="24"/>
                <w:lang w:eastAsia="tr-TR"/>
              </w:rPr>
              <w:t>ve iflas</w:t>
            </w:r>
            <w:r w:rsidRPr="00A23740">
              <w:rPr>
                <w:rFonts w:eastAsia="Times New Roman"/>
                <w:szCs w:val="24"/>
                <w:lang w:eastAsia="tr-TR"/>
              </w:rPr>
              <w:t xml:space="preserve"> dairesine müracaat etmelerinin zorunlu olduğu.</w:t>
            </w:r>
          </w:p>
          <w:p w:rsidR="007C5C54" w:rsidRPr="00A23740" w:rsidRDefault="007C5C54" w:rsidP="009431FF">
            <w:pPr>
              <w:rPr>
                <w:b/>
                <w:bCs/>
                <w:color w:val="0000FF"/>
                <w:szCs w:val="24"/>
                <w:lang w:eastAsia="x-none"/>
              </w:rPr>
            </w:pPr>
          </w:p>
          <w:p w:rsidR="007C5C54" w:rsidRPr="00A23740" w:rsidRDefault="007C5C54" w:rsidP="009431FF">
            <w:pPr>
              <w:rPr>
                <w:lang w:eastAsia="tr-TR"/>
              </w:rPr>
            </w:pPr>
            <w:r w:rsidRPr="00A23740">
              <w:rPr>
                <w:b/>
                <w:bCs/>
                <w:color w:val="0000FF"/>
                <w:szCs w:val="24"/>
                <w:lang w:val="x-none" w:eastAsia="x-none"/>
              </w:rPr>
              <w:t>c)</w:t>
            </w:r>
            <w:r w:rsidRPr="00A23740">
              <w:rPr>
                <w:lang w:eastAsia="tr-TR"/>
              </w:rPr>
              <w:t xml:space="preserve"> Artırmaya katılabilmek için </w:t>
            </w:r>
            <w:r w:rsidRPr="00A23740">
              <w:rPr>
                <w:b/>
                <w:bCs/>
                <w:color w:val="0000FF"/>
                <w:szCs w:val="24"/>
                <w:lang w:val="x-none" w:eastAsia="x-none"/>
              </w:rPr>
              <w:t>malın</w:t>
            </w:r>
            <w:r w:rsidRPr="00A23740">
              <w:rPr>
                <w:lang w:eastAsia="tr-TR"/>
              </w:rPr>
              <w:t xml:space="preserve"> kıymetinin yüzde onunu karşılayacak tutardaki teminatın satışı yapan icra </w:t>
            </w:r>
            <w:r w:rsidRPr="00A23740">
              <w:rPr>
                <w:b/>
                <w:bCs/>
                <w:color w:val="0000FF"/>
                <w:szCs w:val="24"/>
                <w:lang w:val="x-none" w:eastAsia="x-none"/>
              </w:rPr>
              <w:t>ve iflas</w:t>
            </w:r>
            <w:r w:rsidRPr="00A23740">
              <w:rPr>
                <w:lang w:eastAsia="tr-TR"/>
              </w:rPr>
              <w:t xml:space="preserve"> dairesinin banka hesabına yatırılmasının zorunlu olduğu, teminatın nakit olması durumunda en geç artırma süresinin bitiminden önceki gün saat 23</w:t>
            </w:r>
            <w:r w:rsidR="009167B3" w:rsidRPr="00A23740">
              <w:rPr>
                <w:rStyle w:val="YELChar"/>
              </w:rPr>
              <w:t>.</w:t>
            </w:r>
            <w:r w:rsidRPr="00A23740">
              <w:rPr>
                <w:lang w:eastAsia="tr-TR"/>
              </w:rPr>
              <w:t>30’a kadar yatırılması gerektiği.</w:t>
            </w:r>
          </w:p>
          <w:p w:rsidR="007C5C54" w:rsidRPr="00A23740" w:rsidRDefault="007C5C54" w:rsidP="009431FF">
            <w:pPr>
              <w:rPr>
                <w:lang w:eastAsia="tr-TR"/>
              </w:rPr>
            </w:pPr>
          </w:p>
          <w:p w:rsidR="007C5C54" w:rsidRPr="00A23740" w:rsidRDefault="007C5C54" w:rsidP="009431FF">
            <w:pPr>
              <w:rPr>
                <w:lang w:eastAsia="tr-TR"/>
              </w:rPr>
            </w:pPr>
            <w:r w:rsidRPr="00A23740">
              <w:rPr>
                <w:b/>
                <w:bCs/>
                <w:color w:val="0000FF"/>
                <w:szCs w:val="24"/>
                <w:lang w:val="x-none" w:eastAsia="x-none"/>
              </w:rPr>
              <w:t>ç)</w:t>
            </w:r>
            <w:r w:rsidRPr="00A23740">
              <w:rPr>
                <w:lang w:eastAsia="tr-TR"/>
              </w:rPr>
              <w:t xml:space="preserve"> </w:t>
            </w:r>
            <w:r w:rsidR="001053A2" w:rsidRPr="00C92583">
              <w:rPr>
                <w:rStyle w:val="MaviChar"/>
              </w:rPr>
              <w:t>Satış talep eden veya</w:t>
            </w:r>
            <w:r w:rsidR="001053A2" w:rsidRPr="00A23740">
              <w:rPr>
                <w:lang w:eastAsia="tr-TR"/>
              </w:rPr>
              <w:t xml:space="preserve"> </w:t>
            </w:r>
            <w:r w:rsidR="001053A2" w:rsidRPr="00A23740">
              <w:rPr>
                <w:rFonts w:eastAsia="Times New Roman"/>
                <w:b/>
                <w:color w:val="0000FF"/>
                <w:szCs w:val="24"/>
                <w:lang w:eastAsia="tr-TR"/>
              </w:rPr>
              <w:t>s</w:t>
            </w:r>
            <w:r w:rsidRPr="00A23740">
              <w:rPr>
                <w:rFonts w:eastAsia="Times New Roman"/>
                <w:b/>
                <w:color w:val="0000FF"/>
                <w:szCs w:val="24"/>
                <w:lang w:eastAsia="tr-TR"/>
              </w:rPr>
              <w:t xml:space="preserve">atışa çıkarılan mal üzerinde </w:t>
            </w:r>
            <w:r w:rsidRPr="00A23740">
              <w:rPr>
                <w:b/>
                <w:bCs/>
                <w:color w:val="0000FF"/>
                <w:szCs w:val="24"/>
                <w:lang w:val="x-none" w:eastAsia="x-none"/>
              </w:rPr>
              <w:t>ayni</w:t>
            </w:r>
            <w:r w:rsidRPr="00A23740">
              <w:rPr>
                <w:rFonts w:eastAsia="Times New Roman"/>
                <w:b/>
                <w:color w:val="0000FF"/>
                <w:szCs w:val="24"/>
                <w:lang w:eastAsia="tr-TR"/>
              </w:rPr>
              <w:t xml:space="preserve"> hakkı olan </w:t>
            </w:r>
            <w:r w:rsidRPr="00A23740">
              <w:rPr>
                <w:lang w:eastAsia="tr-TR"/>
              </w:rPr>
              <w:t xml:space="preserve">alacaklı ile ortaklığın satış suretiyle giderilmesinde artırmaya katılmak isteyen pay sahibinin, en geç artırma süresinin bitiminden önceki iş günü mesai bitimine kadar satışı yapan icra </w:t>
            </w:r>
            <w:r w:rsidRPr="00A23740">
              <w:rPr>
                <w:b/>
                <w:bCs/>
                <w:color w:val="0000FF"/>
                <w:szCs w:val="24"/>
                <w:lang w:val="x-none" w:eastAsia="x-none"/>
              </w:rPr>
              <w:t xml:space="preserve">ve iflas </w:t>
            </w:r>
            <w:r w:rsidRPr="00A23740">
              <w:rPr>
                <w:lang w:eastAsia="tr-TR"/>
              </w:rPr>
              <w:t>dairesine müracaat etmeleri h</w:t>
            </w:r>
            <w:r w:rsidR="00D44C05" w:rsidRPr="00A23740">
              <w:rPr>
                <w:lang w:eastAsia="tr-TR"/>
              </w:rPr>
              <w:t>â</w:t>
            </w:r>
            <w:r w:rsidRPr="00A23740">
              <w:rPr>
                <w:lang w:eastAsia="tr-TR"/>
              </w:rPr>
              <w:t>linde alacağın veya ortaklık payının teminatı karşıladığı miktar kadar kendilerinden teminat alınmayacağı.</w:t>
            </w:r>
          </w:p>
          <w:p w:rsidR="002E4573" w:rsidRPr="00A23740" w:rsidRDefault="002E4573" w:rsidP="009431FF">
            <w:pPr>
              <w:rPr>
                <w:lang w:eastAsia="tr-TR"/>
              </w:rPr>
            </w:pPr>
          </w:p>
          <w:p w:rsidR="007C5C54" w:rsidRPr="00A23740" w:rsidRDefault="007C5C54" w:rsidP="009431FF">
            <w:pPr>
              <w:rPr>
                <w:lang w:eastAsia="tr-TR"/>
              </w:rPr>
            </w:pPr>
            <w:r w:rsidRPr="00A23740">
              <w:rPr>
                <w:b/>
                <w:bCs/>
                <w:color w:val="0000FF"/>
                <w:szCs w:val="24"/>
                <w:lang w:val="x-none" w:eastAsia="x-none"/>
              </w:rPr>
              <w:t>d)</w:t>
            </w:r>
            <w:r w:rsidRPr="00A23740">
              <w:rPr>
                <w:lang w:eastAsia="tr-TR"/>
              </w:rPr>
              <w:t xml:space="preserve"> Gösterilecek teminatın teminat mektubu olması h</w:t>
            </w:r>
            <w:r w:rsidR="006344B4" w:rsidRPr="00A23740">
              <w:rPr>
                <w:lang w:eastAsia="tr-TR"/>
              </w:rPr>
              <w:t>â</w:t>
            </w:r>
            <w:r w:rsidRPr="00A23740">
              <w:rPr>
                <w:lang w:eastAsia="tr-TR"/>
              </w:rPr>
              <w:t xml:space="preserve">linde, artırmaya katılacakların, en geç artırma süresinin bitiminden önceki iş günü mesai bitimine kadar satışa konu </w:t>
            </w:r>
            <w:r w:rsidRPr="00A23740">
              <w:rPr>
                <w:b/>
                <w:bCs/>
                <w:color w:val="0000FF"/>
                <w:szCs w:val="24"/>
                <w:lang w:val="x-none" w:eastAsia="x-none"/>
              </w:rPr>
              <w:t>malın</w:t>
            </w:r>
            <w:r w:rsidRPr="00A23740">
              <w:rPr>
                <w:lang w:eastAsia="tr-TR"/>
              </w:rPr>
              <w:t xml:space="preserve"> kıymetinin yüzde onunu karşılayacak tutarda kesin ve süresiz banka teminat mektubunu, satışı yapan icra</w:t>
            </w:r>
            <w:r w:rsidR="00D44C05" w:rsidRPr="00A23740">
              <w:rPr>
                <w:lang w:eastAsia="tr-TR"/>
              </w:rPr>
              <w:t xml:space="preserve"> </w:t>
            </w:r>
            <w:r w:rsidR="00D44C05" w:rsidRPr="00A23740">
              <w:rPr>
                <w:b/>
                <w:bCs/>
                <w:color w:val="0000FF"/>
                <w:szCs w:val="24"/>
                <w:lang w:val="x-none" w:eastAsia="x-none"/>
              </w:rPr>
              <w:t>ve iflas</w:t>
            </w:r>
            <w:r w:rsidRPr="00A23740">
              <w:rPr>
                <w:lang w:eastAsia="tr-TR"/>
              </w:rPr>
              <w:t xml:space="preserve"> dairesine tevdi etmelerinin zorunlu olduğu.</w:t>
            </w:r>
          </w:p>
          <w:p w:rsidR="007C5C54" w:rsidRPr="00A23740" w:rsidRDefault="007C5C54" w:rsidP="009431FF">
            <w:pPr>
              <w:rPr>
                <w:lang w:eastAsia="tr-TR"/>
              </w:rPr>
            </w:pPr>
          </w:p>
          <w:p w:rsidR="007C5C54" w:rsidRPr="00A23740" w:rsidRDefault="007C5C54" w:rsidP="009431FF">
            <w:pPr>
              <w:rPr>
                <w:lang w:eastAsia="tr-TR"/>
              </w:rPr>
            </w:pPr>
            <w:r w:rsidRPr="00A23740">
              <w:rPr>
                <w:b/>
                <w:bCs/>
                <w:color w:val="0000FF"/>
                <w:szCs w:val="24"/>
                <w:lang w:val="x-none" w:eastAsia="x-none"/>
              </w:rPr>
              <w:t>e)</w:t>
            </w:r>
            <w:r w:rsidRPr="00A23740">
              <w:rPr>
                <w:lang w:eastAsia="tr-TR"/>
              </w:rPr>
              <w:t xml:space="preserve"> İhale alıcısının en yüksek teklifi verip de süresi içinde ihale bedelini yatırmaması h</w:t>
            </w:r>
            <w:r w:rsidR="00D44C05" w:rsidRPr="00A23740">
              <w:rPr>
                <w:lang w:eastAsia="tr-TR"/>
              </w:rPr>
              <w:t>â</w:t>
            </w:r>
            <w:r w:rsidRPr="00A23740">
              <w:rPr>
                <w:lang w:eastAsia="tr-TR"/>
              </w:rPr>
              <w:t xml:space="preserve">linde, alınan teminatın iade edilmeyip öncelikle satış </w:t>
            </w:r>
            <w:r w:rsidRPr="00A23740">
              <w:rPr>
                <w:b/>
                <w:bCs/>
                <w:color w:val="0000FF"/>
                <w:szCs w:val="24"/>
                <w:lang w:val="x-none" w:eastAsia="x-none"/>
              </w:rPr>
              <w:t>giderlerinden</w:t>
            </w:r>
            <w:r w:rsidRPr="00A23740">
              <w:rPr>
                <w:lang w:eastAsia="tr-TR"/>
              </w:rPr>
              <w:t xml:space="preserve"> düşülmek üzere alacaklarına mahsuben hak sahiplerine ödeneceği.</w:t>
            </w:r>
          </w:p>
          <w:p w:rsidR="007C5C54" w:rsidRPr="00A23740" w:rsidRDefault="007C5C54" w:rsidP="009431FF">
            <w:pPr>
              <w:rPr>
                <w:lang w:eastAsia="tr-TR"/>
              </w:rPr>
            </w:pPr>
          </w:p>
          <w:p w:rsidR="007C5C54" w:rsidRPr="00A23740" w:rsidRDefault="007C5C54" w:rsidP="009431FF">
            <w:pPr>
              <w:tabs>
                <w:tab w:val="left" w:pos="567"/>
              </w:tabs>
              <w:rPr>
                <w:lang w:eastAsia="tr-TR"/>
              </w:rPr>
            </w:pPr>
            <w:r w:rsidRPr="00A23740">
              <w:rPr>
                <w:b/>
                <w:bCs/>
                <w:color w:val="0000FF"/>
                <w:szCs w:val="24"/>
                <w:lang w:val="x-none" w:eastAsia="x-none"/>
              </w:rPr>
              <w:t>f)</w:t>
            </w:r>
            <w:r w:rsidRPr="00A23740">
              <w:rPr>
                <w:lang w:eastAsia="tr-TR"/>
              </w:rPr>
              <w:t xml:space="preserve"> Satışa katılanların bütün ekleriyle birlikte şartnameyi görmüş ve içeriğini kabul etmiş sayılacakları.</w:t>
            </w:r>
          </w:p>
          <w:p w:rsidR="007C5C54" w:rsidRPr="00A23740" w:rsidRDefault="007C5C54" w:rsidP="009431FF">
            <w:pPr>
              <w:tabs>
                <w:tab w:val="left" w:pos="567"/>
              </w:tabs>
              <w:rPr>
                <w:rFonts w:eastAsia="Times New Roman"/>
                <w:b/>
                <w:color w:val="0000FF"/>
                <w:szCs w:val="24"/>
                <w:lang w:eastAsia="tr-TR"/>
              </w:rPr>
            </w:pPr>
          </w:p>
        </w:tc>
      </w:tr>
      <w:tr w:rsidR="00444F0F" w:rsidRPr="00A23740" w:rsidTr="009431FF">
        <w:tblPrEx>
          <w:tblLook w:val="01E0" w:firstRow="1" w:lastRow="1" w:firstColumn="1" w:lastColumn="1" w:noHBand="0" w:noVBand="0"/>
        </w:tblPrEx>
        <w:tc>
          <w:tcPr>
            <w:tcW w:w="5000" w:type="pct"/>
            <w:gridSpan w:val="2"/>
            <w:shd w:val="clear" w:color="auto" w:fill="DEEAF6"/>
          </w:tcPr>
          <w:p w:rsidR="00444F0F" w:rsidRPr="00A23740" w:rsidRDefault="00444F0F" w:rsidP="009431FF">
            <w:pPr>
              <w:ind w:firstLine="709"/>
              <w:rPr>
                <w:rFonts w:eastAsia="Times New Roman"/>
                <w:color w:val="000000"/>
                <w:szCs w:val="24"/>
                <w:lang w:eastAsia="tr-TR"/>
              </w:rPr>
            </w:pPr>
          </w:p>
          <w:p w:rsidR="00444F0F" w:rsidRPr="00A23740" w:rsidRDefault="00D44C05" w:rsidP="009431FF">
            <w:pPr>
              <w:rPr>
                <w:rFonts w:eastAsia="Times New Roman"/>
                <w:color w:val="000000"/>
                <w:szCs w:val="24"/>
                <w:lang w:eastAsia="tr-TR"/>
              </w:rPr>
            </w:pPr>
            <w:r w:rsidRPr="00A23740">
              <w:rPr>
                <w:rFonts w:eastAsia="Times New Roman"/>
                <w:b/>
                <w:color w:val="000000"/>
                <w:szCs w:val="24"/>
                <w:lang w:eastAsia="tr-TR"/>
              </w:rPr>
              <w:tab/>
            </w:r>
            <w:r w:rsidR="00444F0F" w:rsidRPr="00A23740">
              <w:rPr>
                <w:rFonts w:eastAsia="Times New Roman"/>
                <w:b/>
                <w:color w:val="000000"/>
                <w:szCs w:val="24"/>
                <w:lang w:eastAsia="tr-TR"/>
              </w:rPr>
              <w:t>MADDE</w:t>
            </w:r>
            <w:r w:rsidRPr="00A23740">
              <w:rPr>
                <w:rFonts w:eastAsia="Times New Roman"/>
                <w:b/>
                <w:color w:val="000000"/>
                <w:szCs w:val="24"/>
                <w:lang w:eastAsia="tr-TR"/>
              </w:rPr>
              <w:t xml:space="preserve"> 224</w:t>
            </w:r>
            <w:r w:rsidR="00444F0F" w:rsidRPr="00A23740">
              <w:rPr>
                <w:rFonts w:eastAsia="Times New Roman"/>
                <w:color w:val="000000"/>
                <w:szCs w:val="24"/>
                <w:lang w:eastAsia="tr-TR"/>
              </w:rPr>
              <w:t xml:space="preserve">- Maddeyle, </w:t>
            </w:r>
            <w:r w:rsidR="006344B4" w:rsidRPr="00A23740">
              <w:rPr>
                <w:rFonts w:eastAsia="Times New Roman"/>
                <w:color w:val="000000"/>
                <w:szCs w:val="24"/>
                <w:lang w:eastAsia="tr-TR"/>
              </w:rPr>
              <w:t>artırmaya katılacaklar bakımından</w:t>
            </w:r>
            <w:r w:rsidRPr="00A23740">
              <w:rPr>
                <w:rFonts w:eastAsia="Times New Roman"/>
                <w:color w:val="000000"/>
                <w:szCs w:val="24"/>
                <w:lang w:eastAsia="tr-TR"/>
              </w:rPr>
              <w:t xml:space="preserve"> şartname</w:t>
            </w:r>
            <w:r w:rsidR="006344B4" w:rsidRPr="00A23740">
              <w:rPr>
                <w:rFonts w:eastAsia="Times New Roman"/>
                <w:color w:val="000000"/>
                <w:szCs w:val="24"/>
                <w:lang w:eastAsia="tr-TR"/>
              </w:rPr>
              <w:t xml:space="preserve">de bulunması gereken hususlar düzenlenmektedir. </w:t>
            </w:r>
            <w:r w:rsidR="00444F0F" w:rsidRPr="00A23740">
              <w:rPr>
                <w:rFonts w:eastAsia="Times New Roman"/>
                <w:color w:val="000000"/>
                <w:szCs w:val="24"/>
                <w:lang w:eastAsia="tr-TR"/>
              </w:rPr>
              <w:t>Hüküm, 2004 sayılı Kanunun 114</w:t>
            </w:r>
            <w:r w:rsidRPr="00A23740">
              <w:rPr>
                <w:rFonts w:eastAsia="Times New Roman"/>
                <w:color w:val="000000"/>
                <w:szCs w:val="24"/>
                <w:lang w:eastAsia="tr-TR"/>
              </w:rPr>
              <w:t xml:space="preserve"> üncü maddesine</w:t>
            </w:r>
            <w:r w:rsidR="00444F0F" w:rsidRPr="00A23740">
              <w:rPr>
                <w:rFonts w:eastAsia="Times New Roman"/>
                <w:color w:val="000000"/>
                <w:szCs w:val="24"/>
                <w:lang w:eastAsia="tr-TR"/>
              </w:rPr>
              <w:t xml:space="preserve"> karşılık gelmektedir.</w:t>
            </w:r>
          </w:p>
          <w:p w:rsidR="00444F0F" w:rsidRPr="00A23740" w:rsidRDefault="00D44C05" w:rsidP="009431FF">
            <w:pPr>
              <w:ind w:firstLine="709"/>
              <w:rPr>
                <w:rFonts w:eastAsia="Times New Roman"/>
                <w:color w:val="000000"/>
                <w:szCs w:val="24"/>
                <w:lang w:eastAsia="tr-TR"/>
              </w:rPr>
            </w:pPr>
            <w:r w:rsidRPr="00A23740">
              <w:rPr>
                <w:rFonts w:eastAsia="Times New Roman"/>
                <w:color w:val="000000"/>
                <w:szCs w:val="24"/>
                <w:lang w:eastAsia="tr-TR"/>
              </w:rPr>
              <w:t xml:space="preserve">Birinci </w:t>
            </w:r>
            <w:r w:rsidR="006344B4" w:rsidRPr="00A23740">
              <w:rPr>
                <w:rFonts w:eastAsia="Times New Roman"/>
                <w:color w:val="000000"/>
                <w:szCs w:val="24"/>
                <w:lang w:eastAsia="tr-TR"/>
              </w:rPr>
              <w:t>fıkrad</w:t>
            </w:r>
            <w:r w:rsidR="00444F0F" w:rsidRPr="00A23740">
              <w:rPr>
                <w:rFonts w:eastAsia="Times New Roman"/>
                <w:color w:val="000000"/>
                <w:szCs w:val="24"/>
                <w:lang w:eastAsia="tr-TR"/>
              </w:rPr>
              <w:t>a, artırmaya katılacaklara ilişkin şartnamede yer alması gereken hususlar bentler h</w:t>
            </w:r>
            <w:r w:rsidR="006344B4" w:rsidRPr="00A23740">
              <w:rPr>
                <w:rFonts w:eastAsia="Times New Roman"/>
                <w:color w:val="000000"/>
                <w:szCs w:val="24"/>
                <w:lang w:eastAsia="tr-TR"/>
              </w:rPr>
              <w:t>â</w:t>
            </w:r>
            <w:r w:rsidR="00444F0F" w:rsidRPr="00A23740">
              <w:rPr>
                <w:rFonts w:eastAsia="Times New Roman"/>
                <w:color w:val="000000"/>
                <w:szCs w:val="24"/>
                <w:lang w:eastAsia="tr-TR"/>
              </w:rPr>
              <w:t>linde sayılmaktadır.</w:t>
            </w:r>
            <w:r w:rsidR="00732AD2" w:rsidRPr="00A23740">
              <w:rPr>
                <w:rFonts w:eastAsia="Times New Roman"/>
                <w:color w:val="000000"/>
                <w:szCs w:val="24"/>
                <w:lang w:eastAsia="tr-TR"/>
              </w:rPr>
              <w:t xml:space="preserve"> Buna göre;</w:t>
            </w:r>
          </w:p>
          <w:p w:rsidR="00444F0F" w:rsidRPr="00A23740" w:rsidRDefault="00444F0F" w:rsidP="009431FF">
            <w:pPr>
              <w:ind w:firstLine="709"/>
              <w:rPr>
                <w:rFonts w:eastAsia="Times New Roman"/>
                <w:color w:val="000000"/>
                <w:szCs w:val="24"/>
                <w:lang w:eastAsia="tr-TR"/>
              </w:rPr>
            </w:pPr>
            <w:r w:rsidRPr="00A23740">
              <w:rPr>
                <w:rFonts w:eastAsia="Times New Roman"/>
                <w:color w:val="000000"/>
                <w:szCs w:val="24"/>
                <w:lang w:eastAsia="tr-TR"/>
              </w:rPr>
              <w:t>(a) bendin</w:t>
            </w:r>
            <w:r w:rsidR="006344B4" w:rsidRPr="00A23740">
              <w:rPr>
                <w:rFonts w:eastAsia="Times New Roman"/>
                <w:color w:val="000000"/>
                <w:szCs w:val="24"/>
                <w:lang w:eastAsia="tr-TR"/>
              </w:rPr>
              <w:t>d</w:t>
            </w:r>
            <w:r w:rsidRPr="00A23740">
              <w:rPr>
                <w:rFonts w:eastAsia="Times New Roman"/>
                <w:color w:val="000000"/>
                <w:szCs w:val="24"/>
                <w:lang w:eastAsia="tr-TR"/>
              </w:rPr>
              <w:t>e</w:t>
            </w:r>
            <w:r w:rsidR="00732AD2" w:rsidRPr="00A23740">
              <w:rPr>
                <w:rFonts w:eastAsia="Times New Roman"/>
                <w:color w:val="000000"/>
                <w:szCs w:val="24"/>
                <w:lang w:eastAsia="tr-TR"/>
              </w:rPr>
              <w:t>,</w:t>
            </w:r>
            <w:r w:rsidRPr="00A23740">
              <w:rPr>
                <w:rFonts w:eastAsia="Times New Roman"/>
                <w:color w:val="000000"/>
                <w:szCs w:val="24"/>
                <w:lang w:eastAsia="tr-TR"/>
              </w:rPr>
              <w:t xml:space="preserve"> temsilci veya avukat vasıtasıyla artırmaya katılacakların, en geç artırma süresinin bitiminden önceki iş günü mesai bitimine kadar satışı yapan icra</w:t>
            </w:r>
            <w:r w:rsidR="00B0761E" w:rsidRPr="00A23740">
              <w:rPr>
                <w:rFonts w:eastAsia="Times New Roman"/>
                <w:color w:val="000000"/>
                <w:szCs w:val="24"/>
                <w:lang w:eastAsia="tr-TR"/>
              </w:rPr>
              <w:t xml:space="preserve"> ve iflas</w:t>
            </w:r>
            <w:r w:rsidRPr="00A23740">
              <w:rPr>
                <w:rFonts w:eastAsia="Times New Roman"/>
                <w:color w:val="000000"/>
                <w:szCs w:val="24"/>
                <w:lang w:eastAsia="tr-TR"/>
              </w:rPr>
              <w:t xml:space="preserve"> dairesine müracaat etmelerinin zorunlu olduğu</w:t>
            </w:r>
            <w:r w:rsidR="00732AD2" w:rsidRPr="00A23740">
              <w:rPr>
                <w:rFonts w:eastAsia="Times New Roman"/>
                <w:color w:val="000000"/>
                <w:szCs w:val="24"/>
                <w:lang w:eastAsia="tr-TR"/>
              </w:rPr>
              <w:t xml:space="preserve"> belirtilmektedir.</w:t>
            </w:r>
          </w:p>
          <w:p w:rsidR="00444F0F" w:rsidRPr="00A23740" w:rsidRDefault="00444F0F" w:rsidP="009431FF">
            <w:pPr>
              <w:ind w:firstLine="709"/>
              <w:rPr>
                <w:lang w:eastAsia="tr-TR"/>
              </w:rPr>
            </w:pPr>
            <w:r w:rsidRPr="00A23740">
              <w:rPr>
                <w:rFonts w:eastAsia="Times New Roman"/>
                <w:color w:val="000000"/>
                <w:szCs w:val="24"/>
                <w:lang w:eastAsia="tr-TR"/>
              </w:rPr>
              <w:t>(b) bendin</w:t>
            </w:r>
            <w:r w:rsidR="00732AD2" w:rsidRPr="00A23740">
              <w:rPr>
                <w:rFonts w:eastAsia="Times New Roman"/>
                <w:color w:val="000000"/>
                <w:szCs w:val="24"/>
                <w:lang w:eastAsia="tr-TR"/>
              </w:rPr>
              <w:t xml:space="preserve">de, </w:t>
            </w:r>
            <w:r w:rsidRPr="00A23740">
              <w:rPr>
                <w:lang w:eastAsia="tr-TR"/>
              </w:rPr>
              <w:t>hisseli satışın mümkün olduğu h</w:t>
            </w:r>
            <w:r w:rsidR="006344B4" w:rsidRPr="00A23740">
              <w:rPr>
                <w:lang w:eastAsia="tr-TR"/>
              </w:rPr>
              <w:t>â</w:t>
            </w:r>
            <w:r w:rsidRPr="00A23740">
              <w:rPr>
                <w:lang w:eastAsia="tr-TR"/>
              </w:rPr>
              <w:t xml:space="preserve">llerde açık artırma konusu malı belirli paylarla satın almak isteyen müşterek alıcıların, en geç artırma süresinin bitiminden önceki iş günü mesai bitimine kadar satışı yapan icra </w:t>
            </w:r>
            <w:r w:rsidR="00B0761E" w:rsidRPr="00A23740">
              <w:rPr>
                <w:lang w:eastAsia="tr-TR"/>
              </w:rPr>
              <w:t xml:space="preserve">ve iflas </w:t>
            </w:r>
            <w:r w:rsidRPr="00A23740">
              <w:rPr>
                <w:lang w:eastAsia="tr-TR"/>
              </w:rPr>
              <w:t>dairesine müracaat etmelerinin zorunlu olduğu</w:t>
            </w:r>
            <w:r w:rsidR="00732AD2" w:rsidRPr="00A23740">
              <w:rPr>
                <w:lang w:eastAsia="tr-TR"/>
              </w:rPr>
              <w:t xml:space="preserve"> hüküm altına alınmaktadır.</w:t>
            </w:r>
          </w:p>
          <w:p w:rsidR="00444F0F" w:rsidRPr="00A23740" w:rsidRDefault="00444F0F" w:rsidP="009431FF">
            <w:pPr>
              <w:ind w:firstLine="709"/>
              <w:rPr>
                <w:lang w:eastAsia="tr-TR"/>
              </w:rPr>
            </w:pPr>
            <w:r w:rsidRPr="00A23740">
              <w:rPr>
                <w:lang w:eastAsia="tr-TR"/>
              </w:rPr>
              <w:t>(c) bendin</w:t>
            </w:r>
            <w:r w:rsidR="00732AD2" w:rsidRPr="00A23740">
              <w:rPr>
                <w:lang w:eastAsia="tr-TR"/>
              </w:rPr>
              <w:t>d</w:t>
            </w:r>
            <w:r w:rsidRPr="00A23740">
              <w:rPr>
                <w:lang w:eastAsia="tr-TR"/>
              </w:rPr>
              <w:t>e</w:t>
            </w:r>
            <w:r w:rsidR="00732AD2" w:rsidRPr="00A23740">
              <w:rPr>
                <w:lang w:eastAsia="tr-TR"/>
              </w:rPr>
              <w:t>,</w:t>
            </w:r>
            <w:r w:rsidRPr="00A23740">
              <w:rPr>
                <w:lang w:eastAsia="tr-TR"/>
              </w:rPr>
              <w:t xml:space="preserve"> artırmaya katılabilmek için malın kıymetinin yüzde onunu karşılayacak tutardaki teminatın satışı yapan icra</w:t>
            </w:r>
            <w:r w:rsidR="00B0761E" w:rsidRPr="00A23740">
              <w:rPr>
                <w:lang w:eastAsia="tr-TR"/>
              </w:rPr>
              <w:t xml:space="preserve"> ve iflas</w:t>
            </w:r>
            <w:r w:rsidRPr="00A23740">
              <w:rPr>
                <w:lang w:eastAsia="tr-TR"/>
              </w:rPr>
              <w:t xml:space="preserve"> dairesinin banka hesabına yatırılmasının zorunlu olduğu ve teminatın nakit olması durumunda en geç artırma süresini</w:t>
            </w:r>
            <w:r w:rsidR="009167B3" w:rsidRPr="00A23740">
              <w:rPr>
                <w:lang w:eastAsia="tr-TR"/>
              </w:rPr>
              <w:t>n bitiminden önceki gün saat 23.</w:t>
            </w:r>
            <w:r w:rsidRPr="00A23740">
              <w:rPr>
                <w:lang w:eastAsia="tr-TR"/>
              </w:rPr>
              <w:t>30’a kadar yatırılmasının gerektiği</w:t>
            </w:r>
            <w:r w:rsidR="00732AD2" w:rsidRPr="00A23740">
              <w:rPr>
                <w:lang w:eastAsia="tr-TR"/>
              </w:rPr>
              <w:t xml:space="preserve"> düzenlenmektedir.</w:t>
            </w:r>
          </w:p>
          <w:p w:rsidR="00444F0F" w:rsidRPr="00A23740" w:rsidRDefault="00444F0F" w:rsidP="009431FF">
            <w:pPr>
              <w:ind w:firstLine="709"/>
              <w:rPr>
                <w:lang w:eastAsia="tr-TR"/>
              </w:rPr>
            </w:pPr>
            <w:r w:rsidRPr="00A23740">
              <w:rPr>
                <w:lang w:eastAsia="tr-TR"/>
              </w:rPr>
              <w:t>(ç) bendin</w:t>
            </w:r>
            <w:r w:rsidR="00732AD2" w:rsidRPr="00A23740">
              <w:rPr>
                <w:lang w:eastAsia="tr-TR"/>
              </w:rPr>
              <w:t xml:space="preserve">de, </w:t>
            </w:r>
            <w:r w:rsidR="009167B3" w:rsidRPr="00A23740">
              <w:rPr>
                <w:lang w:eastAsia="tr-TR"/>
              </w:rPr>
              <w:t xml:space="preserve">satış talep eden veya </w:t>
            </w:r>
            <w:r w:rsidRPr="00A23740">
              <w:rPr>
                <w:lang w:eastAsia="tr-TR"/>
              </w:rPr>
              <w:t xml:space="preserve">satışa çıkarılan mal üzerinde ayni hakkı olan </w:t>
            </w:r>
            <w:r w:rsidR="009167B3" w:rsidRPr="00A23740">
              <w:rPr>
                <w:lang w:eastAsia="tr-TR"/>
              </w:rPr>
              <w:t>alacaklı</w:t>
            </w:r>
            <w:r w:rsidRPr="00A23740">
              <w:rPr>
                <w:lang w:eastAsia="tr-TR"/>
              </w:rPr>
              <w:t xml:space="preserve"> ile ortaklığın satış suretiyle giderilmesinde artırmaya katılmak isteyen pay sahibinin, en geç artırma süresinin bitiminden önceki iş günü mesai bitimine kadar satışı yapan icra ve iflas dairesine müracaat etmeleri h</w:t>
            </w:r>
            <w:r w:rsidR="00732AD2" w:rsidRPr="00A23740">
              <w:rPr>
                <w:lang w:eastAsia="tr-TR"/>
              </w:rPr>
              <w:t>â</w:t>
            </w:r>
            <w:r w:rsidRPr="00A23740">
              <w:rPr>
                <w:lang w:eastAsia="tr-TR"/>
              </w:rPr>
              <w:t>linde alacağın veya ortaklık payının teminatı karşıladığı miktar kadar kend</w:t>
            </w:r>
            <w:r w:rsidR="00732AD2" w:rsidRPr="00A23740">
              <w:rPr>
                <w:lang w:eastAsia="tr-TR"/>
              </w:rPr>
              <w:t xml:space="preserve">ilerinden teminat alınmayacağı </w:t>
            </w:r>
            <w:r w:rsidRPr="00A23740">
              <w:rPr>
                <w:lang w:eastAsia="tr-TR"/>
              </w:rPr>
              <w:t>belirtilme</w:t>
            </w:r>
            <w:r w:rsidR="00732AD2" w:rsidRPr="00A23740">
              <w:rPr>
                <w:lang w:eastAsia="tr-TR"/>
              </w:rPr>
              <w:t>ktedir.</w:t>
            </w:r>
            <w:r w:rsidRPr="00A23740">
              <w:rPr>
                <w:lang w:eastAsia="tr-TR"/>
              </w:rPr>
              <w:t xml:space="preserve"> Böylelikle bu hak sadece satış talep edip attırmaya katılmak isteyen alacaklıya özgülenmemiş olup, satışa çıkarılan mal üzerinde ayni hakkı olan herhangi bir </w:t>
            </w:r>
            <w:r w:rsidR="009167B3" w:rsidRPr="00D60C1D">
              <w:rPr>
                <w:rStyle w:val="YELChar"/>
                <w:b w:val="0"/>
                <w:color w:val="000000"/>
              </w:rPr>
              <w:t>alacaklıya da</w:t>
            </w:r>
            <w:r w:rsidR="009167B3" w:rsidRPr="00A23740">
              <w:rPr>
                <w:lang w:eastAsia="tr-TR"/>
              </w:rPr>
              <w:t xml:space="preserve"> </w:t>
            </w:r>
            <w:r w:rsidRPr="00A23740">
              <w:rPr>
                <w:lang w:eastAsia="tr-TR"/>
              </w:rPr>
              <w:t>satış talebinde bulunmamış olsa dahi</w:t>
            </w:r>
            <w:r w:rsidR="00732AD2" w:rsidRPr="00A23740">
              <w:rPr>
                <w:lang w:eastAsia="tr-TR"/>
              </w:rPr>
              <w:t>,</w:t>
            </w:r>
            <w:r w:rsidRPr="00A23740">
              <w:rPr>
                <w:lang w:eastAsia="tr-TR"/>
              </w:rPr>
              <w:t xml:space="preserve"> </w:t>
            </w:r>
            <w:r w:rsidR="00732AD2" w:rsidRPr="00A23740">
              <w:rPr>
                <w:lang w:eastAsia="tr-TR"/>
              </w:rPr>
              <w:t xml:space="preserve">teminattan muaf olma hakkının </w:t>
            </w:r>
            <w:r w:rsidRPr="00A23740">
              <w:rPr>
                <w:lang w:eastAsia="tr-TR"/>
              </w:rPr>
              <w:t xml:space="preserve">verilmesi suretiyle </w:t>
            </w:r>
            <w:r w:rsidR="00732AD2" w:rsidRPr="00A23740">
              <w:rPr>
                <w:lang w:eastAsia="tr-TR"/>
              </w:rPr>
              <w:t>alacaklı, borçlu ve diğer ilgililerin menfaat</w:t>
            </w:r>
            <w:r w:rsidR="009167B3" w:rsidRPr="00D60C1D">
              <w:rPr>
                <w:rStyle w:val="YELChar"/>
                <w:b w:val="0"/>
                <w:color w:val="000000"/>
              </w:rPr>
              <w:t>ler</w:t>
            </w:r>
            <w:r w:rsidR="00732AD2" w:rsidRPr="00A23740">
              <w:rPr>
                <w:lang w:eastAsia="tr-TR"/>
              </w:rPr>
              <w:t>i en yüksek seviyede korunmaktadır.</w:t>
            </w:r>
          </w:p>
          <w:p w:rsidR="00444F0F" w:rsidRPr="00A23740" w:rsidRDefault="00444F0F" w:rsidP="009431FF">
            <w:pPr>
              <w:ind w:firstLine="709"/>
              <w:rPr>
                <w:lang w:eastAsia="tr-TR"/>
              </w:rPr>
            </w:pPr>
            <w:r w:rsidRPr="00A23740">
              <w:rPr>
                <w:lang w:eastAsia="tr-TR"/>
              </w:rPr>
              <w:t>(</w:t>
            </w:r>
            <w:r w:rsidRPr="00A23740">
              <w:rPr>
                <w:bCs/>
                <w:lang w:eastAsia="tr-TR"/>
              </w:rPr>
              <w:t>d)</w:t>
            </w:r>
            <w:r w:rsidRPr="00A23740">
              <w:rPr>
                <w:lang w:eastAsia="tr-TR"/>
              </w:rPr>
              <w:t xml:space="preserve"> bendin</w:t>
            </w:r>
            <w:r w:rsidR="00B0761E" w:rsidRPr="00A23740">
              <w:rPr>
                <w:lang w:eastAsia="tr-TR"/>
              </w:rPr>
              <w:t xml:space="preserve">de, </w:t>
            </w:r>
            <w:r w:rsidRPr="00A23740">
              <w:rPr>
                <w:lang w:eastAsia="tr-TR"/>
              </w:rPr>
              <w:t>gösterilecek teminatın, teminat mektubu olması h</w:t>
            </w:r>
            <w:r w:rsidR="006344B4" w:rsidRPr="00A23740">
              <w:rPr>
                <w:lang w:eastAsia="tr-TR"/>
              </w:rPr>
              <w:t>â</w:t>
            </w:r>
            <w:r w:rsidRPr="00A23740">
              <w:rPr>
                <w:lang w:eastAsia="tr-TR"/>
              </w:rPr>
              <w:t xml:space="preserve">linde artırmaya katılacakların, en geç artırma süresinin </w:t>
            </w:r>
            <w:r w:rsidR="00916CE3" w:rsidRPr="00A23740">
              <w:rPr>
                <w:lang w:eastAsia="tr-TR"/>
              </w:rPr>
              <w:t xml:space="preserve">sona ermesinden </w:t>
            </w:r>
            <w:r w:rsidRPr="00A23740">
              <w:rPr>
                <w:lang w:eastAsia="tr-TR"/>
              </w:rPr>
              <w:t>önceki iş günü mesai bitimine kadar</w:t>
            </w:r>
            <w:r w:rsidR="00B0761E" w:rsidRPr="00A23740">
              <w:rPr>
                <w:lang w:eastAsia="tr-TR"/>
              </w:rPr>
              <w:t>,</w:t>
            </w:r>
            <w:r w:rsidRPr="00A23740">
              <w:rPr>
                <w:lang w:eastAsia="tr-TR"/>
              </w:rPr>
              <w:t xml:space="preserve"> satışa konu </w:t>
            </w:r>
            <w:r w:rsidRPr="00A23740">
              <w:rPr>
                <w:bCs/>
                <w:lang w:eastAsia="tr-TR"/>
              </w:rPr>
              <w:t>malın</w:t>
            </w:r>
            <w:r w:rsidRPr="00A23740">
              <w:rPr>
                <w:lang w:eastAsia="tr-TR"/>
              </w:rPr>
              <w:t xml:space="preserve"> kıymetinin yüzde onunu karşılayacak tutarda kesin ve süresiz banka teminat mektubunu, satışı yapan icra ve iflas dairesine tevdi etmelerinin zorunlu olduğ</w:t>
            </w:r>
            <w:r w:rsidR="00B0761E" w:rsidRPr="00A23740">
              <w:rPr>
                <w:lang w:eastAsia="tr-TR"/>
              </w:rPr>
              <w:t>u hüküm altına alınmaktadır.</w:t>
            </w:r>
          </w:p>
          <w:p w:rsidR="00444F0F" w:rsidRPr="00A23740" w:rsidRDefault="00444F0F" w:rsidP="009431FF">
            <w:pPr>
              <w:ind w:firstLine="709"/>
              <w:rPr>
                <w:lang w:eastAsia="tr-TR"/>
              </w:rPr>
            </w:pPr>
            <w:r w:rsidRPr="00A23740">
              <w:rPr>
                <w:bCs/>
                <w:lang w:eastAsia="tr-TR"/>
              </w:rPr>
              <w:t>(e)</w:t>
            </w:r>
            <w:r w:rsidRPr="00A23740">
              <w:rPr>
                <w:lang w:eastAsia="tr-TR"/>
              </w:rPr>
              <w:t xml:space="preserve"> bendin</w:t>
            </w:r>
            <w:r w:rsidR="00B0761E" w:rsidRPr="00A23740">
              <w:rPr>
                <w:lang w:eastAsia="tr-TR"/>
              </w:rPr>
              <w:t xml:space="preserve">de, </w:t>
            </w:r>
            <w:r w:rsidRPr="00A23740">
              <w:rPr>
                <w:lang w:eastAsia="tr-TR"/>
              </w:rPr>
              <w:t>ihale alıcısının en yüksek teklifi verip de süresi içinde ihale bedelini yatırmaması h</w:t>
            </w:r>
            <w:r w:rsidR="00B0761E" w:rsidRPr="00A23740">
              <w:rPr>
                <w:lang w:eastAsia="tr-TR"/>
              </w:rPr>
              <w:t>â</w:t>
            </w:r>
            <w:r w:rsidRPr="00A23740">
              <w:rPr>
                <w:lang w:eastAsia="tr-TR"/>
              </w:rPr>
              <w:t xml:space="preserve">linde, alınan teminatın iade edilmeyip öncelikle satış </w:t>
            </w:r>
            <w:r w:rsidRPr="00A23740">
              <w:rPr>
                <w:bCs/>
                <w:lang w:eastAsia="tr-TR"/>
              </w:rPr>
              <w:t>giderlerinden</w:t>
            </w:r>
            <w:r w:rsidRPr="00A23740">
              <w:rPr>
                <w:lang w:eastAsia="tr-TR"/>
              </w:rPr>
              <w:t xml:space="preserve"> düşülmek üzere alacaklarına mahsuben hak sahiplerine ödeneceği</w:t>
            </w:r>
            <w:r w:rsidR="00B0761E" w:rsidRPr="00A23740">
              <w:rPr>
                <w:lang w:eastAsia="tr-TR"/>
              </w:rPr>
              <w:t xml:space="preserve"> düzenlenmektedir.</w:t>
            </w:r>
          </w:p>
          <w:p w:rsidR="00D44C05" w:rsidRPr="00A23740" w:rsidRDefault="00444F0F" w:rsidP="009431FF">
            <w:pPr>
              <w:ind w:firstLine="709"/>
              <w:rPr>
                <w:rFonts w:eastAsia="Times New Roman"/>
                <w:b/>
                <w:color w:val="000000"/>
                <w:szCs w:val="24"/>
                <w:lang w:eastAsia="tr-TR"/>
              </w:rPr>
            </w:pPr>
            <w:r w:rsidRPr="00A23740">
              <w:rPr>
                <w:bCs/>
                <w:lang w:eastAsia="tr-TR"/>
              </w:rPr>
              <w:t>(f)</w:t>
            </w:r>
            <w:r w:rsidRPr="00A23740">
              <w:rPr>
                <w:lang w:eastAsia="tr-TR"/>
              </w:rPr>
              <w:t xml:space="preserve"> bendin</w:t>
            </w:r>
            <w:r w:rsidR="00B0761E" w:rsidRPr="00A23740">
              <w:rPr>
                <w:lang w:eastAsia="tr-TR"/>
              </w:rPr>
              <w:t>d</w:t>
            </w:r>
            <w:r w:rsidRPr="00A23740">
              <w:rPr>
                <w:lang w:eastAsia="tr-TR"/>
              </w:rPr>
              <w:t>e</w:t>
            </w:r>
            <w:r w:rsidR="00B0761E" w:rsidRPr="00A23740">
              <w:rPr>
                <w:lang w:eastAsia="tr-TR"/>
              </w:rPr>
              <w:t>,</w:t>
            </w:r>
            <w:r w:rsidRPr="00A23740">
              <w:rPr>
                <w:lang w:eastAsia="tr-TR"/>
              </w:rPr>
              <w:t xml:space="preserve"> satışa katılanların bütün ekleriyle birlikte şartnameyi görmüş ve içeriğini kabul etmiş sayılacakları</w:t>
            </w:r>
            <w:r w:rsidR="00B0761E" w:rsidRPr="00A23740">
              <w:rPr>
                <w:lang w:eastAsia="tr-TR"/>
              </w:rPr>
              <w:t xml:space="preserve"> belirtilmektedir.</w:t>
            </w:r>
          </w:p>
          <w:p w:rsidR="00444F0F" w:rsidRPr="00A23740" w:rsidRDefault="00444F0F" w:rsidP="001971CE">
            <w:pPr>
              <w:ind w:firstLine="709"/>
              <w:rPr>
                <w:rFonts w:eastAsia="Times New Roman"/>
                <w:color w:val="000000"/>
                <w:szCs w:val="24"/>
                <w:lang w:eastAsia="tr-TR"/>
              </w:rPr>
            </w:pPr>
          </w:p>
        </w:tc>
      </w:tr>
      <w:tr w:rsidR="007C5C54" w:rsidRPr="00A23740" w:rsidTr="009431FF">
        <w:tblPrEx>
          <w:tblLook w:val="01E0" w:firstRow="1" w:lastRow="1" w:firstColumn="1" w:lastColumn="1" w:noHBand="0" w:noVBand="0"/>
        </w:tblPrEx>
        <w:tc>
          <w:tcPr>
            <w:tcW w:w="2500" w:type="pct"/>
          </w:tcPr>
          <w:p w:rsidR="007C5C54" w:rsidRPr="00A23740" w:rsidRDefault="007C5C54" w:rsidP="009431FF">
            <w:pPr>
              <w:tabs>
                <w:tab w:val="left" w:pos="567"/>
              </w:tabs>
              <w:rPr>
                <w:rFonts w:eastAsia="Times New Roman"/>
                <w:b/>
                <w:bCs/>
                <w:strike/>
                <w:color w:val="FF0000"/>
                <w:szCs w:val="24"/>
                <w:lang w:val="x-none"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8C2C3C" w:rsidRPr="00A23740" w:rsidRDefault="008C2C3C" w:rsidP="009431FF">
            <w:pPr>
              <w:tabs>
                <w:tab w:val="left" w:pos="567"/>
              </w:tabs>
              <w:rPr>
                <w:rFonts w:eastAsia="Times New Roman"/>
                <w:b/>
                <w:bCs/>
                <w:color w:val="FF0000"/>
                <w:szCs w:val="24"/>
                <w:lang w:eastAsia="x-none"/>
              </w:rPr>
            </w:pPr>
          </w:p>
          <w:p w:rsidR="008C2C3C" w:rsidRPr="00A23740" w:rsidRDefault="008C2C3C"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tabs>
                <w:tab w:val="left" w:pos="567"/>
              </w:tabs>
              <w:rPr>
                <w:rFonts w:eastAsia="Times New Roman"/>
                <w:b/>
                <w:bCs/>
                <w:color w:val="FF0000"/>
                <w:szCs w:val="24"/>
                <w:lang w:eastAsia="x-none"/>
              </w:rPr>
            </w:pPr>
          </w:p>
          <w:p w:rsidR="007C5C54" w:rsidRPr="00A23740" w:rsidRDefault="007C5C54" w:rsidP="009431FF">
            <w:pPr>
              <w:rPr>
                <w:rFonts w:eastAsia="Times New Roman"/>
                <w:szCs w:val="24"/>
                <w:lang w:eastAsia="tr-TR"/>
              </w:rPr>
            </w:pPr>
            <w:r w:rsidRPr="00A23740">
              <w:rPr>
                <w:b/>
                <w:bCs/>
                <w:strike/>
                <w:color w:val="FF0000"/>
                <w:szCs w:val="24"/>
                <w:lang w:val="x-none" w:eastAsia="x-none"/>
              </w:rPr>
              <w:t>7.</w:t>
            </w:r>
            <w:r w:rsidRPr="00A23740">
              <w:rPr>
                <w:rFonts w:eastAsia="Times New Roman"/>
                <w:szCs w:val="24"/>
                <w:lang w:eastAsia="tr-TR"/>
              </w:rPr>
              <w:t xml:space="preserve"> Şartlar yerine gelmişse malın en yüksek </w:t>
            </w:r>
            <w:r w:rsidRPr="00A23740">
              <w:rPr>
                <w:rFonts w:eastAsia="Times New Roman"/>
                <w:bCs/>
                <w:lang w:eastAsia="tr-TR"/>
              </w:rPr>
              <w:t>teklif</w:t>
            </w:r>
            <w:r w:rsidRPr="00A23740">
              <w:rPr>
                <w:rFonts w:eastAsia="Times New Roman"/>
                <w:szCs w:val="24"/>
                <w:lang w:eastAsia="tr-TR"/>
              </w:rPr>
              <w:t xml:space="preserve"> </w:t>
            </w:r>
            <w:r w:rsidRPr="00A23740">
              <w:rPr>
                <w:rFonts w:eastAsia="Times New Roman"/>
                <w:bCs/>
                <w:lang w:eastAsia="tr-TR"/>
              </w:rPr>
              <w:t>verene</w:t>
            </w:r>
            <w:r w:rsidRPr="00A23740">
              <w:rPr>
                <w:rFonts w:eastAsia="Times New Roman"/>
                <w:szCs w:val="24"/>
                <w:lang w:eastAsia="tr-TR"/>
              </w:rPr>
              <w:t xml:space="preserve"> ihale edileceği.</w:t>
            </w:r>
          </w:p>
          <w:p w:rsidR="008C2C3C" w:rsidRPr="00A23740" w:rsidRDefault="008C2C3C"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b/>
                <w:bCs/>
                <w:strike/>
                <w:color w:val="FF0000"/>
                <w:szCs w:val="24"/>
                <w:lang w:val="x-none" w:eastAsia="x-none"/>
              </w:rPr>
              <w:t>8.</w:t>
            </w:r>
            <w:r w:rsidRPr="00A23740">
              <w:rPr>
                <w:rFonts w:eastAsia="Times New Roman"/>
                <w:szCs w:val="24"/>
                <w:lang w:eastAsia="tr-TR"/>
              </w:rPr>
              <w:t xml:space="preserve"> Elektronik satış portalında verilecek tekliflerin </w:t>
            </w:r>
            <w:r w:rsidRPr="00A23740">
              <w:rPr>
                <w:b/>
                <w:bCs/>
                <w:strike/>
                <w:color w:val="FF0000"/>
                <w:szCs w:val="24"/>
                <w:lang w:val="x-none" w:eastAsia="x-none"/>
              </w:rPr>
              <w:t>haczedilen</w:t>
            </w:r>
            <w:r w:rsidRPr="00A23740">
              <w:rPr>
                <w:rFonts w:eastAsia="Times New Roman"/>
                <w:szCs w:val="24"/>
                <w:lang w:eastAsia="tr-TR"/>
              </w:rPr>
              <w:t xml:space="preserve"> malın </w:t>
            </w:r>
            <w:r w:rsidRPr="00A23740">
              <w:rPr>
                <w:b/>
                <w:bCs/>
                <w:strike/>
                <w:color w:val="FF0000"/>
                <w:szCs w:val="24"/>
                <w:lang w:val="x-none" w:eastAsia="x-none"/>
              </w:rPr>
              <w:t>muhammen</w:t>
            </w:r>
            <w:r w:rsidRPr="00A23740">
              <w:rPr>
                <w:rFonts w:eastAsia="Times New Roman"/>
                <w:szCs w:val="24"/>
                <w:lang w:eastAsia="tr-TR"/>
              </w:rPr>
              <w:t xml:space="preserve"> kıymetinin yüzde ellisi ile o malla güvence altına alınan ve satış isteyenin alacağına rüçhanı olan alacakların toplamından hangisi fazla ise bu miktarı ve ayrıca bu miktara ilave olarak paraya çevirme ve paylaştırma </w:t>
            </w:r>
            <w:r w:rsidRPr="00A23740">
              <w:rPr>
                <w:b/>
                <w:bCs/>
                <w:strike/>
                <w:color w:val="FF0000"/>
                <w:szCs w:val="24"/>
                <w:lang w:val="x-none" w:eastAsia="x-none"/>
              </w:rPr>
              <w:t>masraflarını</w:t>
            </w:r>
            <w:r w:rsidRPr="00A23740">
              <w:rPr>
                <w:rFonts w:eastAsia="Times New Roman"/>
                <w:szCs w:val="24"/>
                <w:lang w:eastAsia="tr-TR"/>
              </w:rPr>
              <w:t xml:space="preserve"> geçmesi gerektiği.</w:t>
            </w:r>
          </w:p>
          <w:p w:rsidR="008C2C3C" w:rsidRPr="00A23740" w:rsidRDefault="008C2C3C"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b/>
                <w:bCs/>
                <w:strike/>
                <w:color w:val="FF0000"/>
                <w:szCs w:val="24"/>
                <w:lang w:val="x-none" w:eastAsia="x-none"/>
              </w:rPr>
              <w:t>10.</w:t>
            </w:r>
            <w:r w:rsidRPr="00A23740">
              <w:rPr>
                <w:rFonts w:eastAsia="Times New Roman"/>
                <w:szCs w:val="24"/>
                <w:lang w:eastAsia="tr-TR"/>
              </w:rPr>
              <w:t xml:space="preserve"> Asgari ihale bedelinin teklif edilmemesi nedeniyle ihalenin yapılamadığı veya en yüksek teklif verenin ihale bedelini yatırmaması sebebiyle ihalenin </w:t>
            </w:r>
            <w:r w:rsidRPr="00A23740">
              <w:rPr>
                <w:b/>
                <w:bCs/>
                <w:strike/>
                <w:color w:val="FF0000"/>
                <w:szCs w:val="24"/>
              </w:rPr>
              <w:t>iptal edildiği</w:t>
            </w:r>
            <w:r w:rsidRPr="00A23740">
              <w:rPr>
                <w:rFonts w:eastAsia="Times New Roman"/>
                <w:szCs w:val="24"/>
                <w:lang w:eastAsia="tr-TR"/>
              </w:rPr>
              <w:t xml:space="preserve"> hâllerde ikinci artırmanın ilk açık artırmadaki şartlar çerçevesinde tekrar yapılacağı.</w:t>
            </w:r>
          </w:p>
          <w:p w:rsidR="008C2C3C" w:rsidRPr="00A23740" w:rsidRDefault="008C2C3C" w:rsidP="009431FF">
            <w:pPr>
              <w:rPr>
                <w:rFonts w:eastAsia="Times New Roman"/>
                <w:szCs w:val="24"/>
                <w:lang w:eastAsia="tr-TR"/>
              </w:rPr>
            </w:pPr>
          </w:p>
          <w:p w:rsidR="007C5C54" w:rsidRPr="00A23740" w:rsidRDefault="007C5C54" w:rsidP="009431FF">
            <w:pPr>
              <w:tabs>
                <w:tab w:val="left" w:pos="567"/>
              </w:tabs>
              <w:rPr>
                <w:rFonts w:eastAsia="Times New Roman"/>
                <w:szCs w:val="24"/>
                <w:lang w:eastAsia="tr-TR"/>
              </w:rPr>
            </w:pPr>
            <w:r w:rsidRPr="00A23740">
              <w:rPr>
                <w:b/>
                <w:bCs/>
                <w:strike/>
                <w:color w:val="FF0000"/>
                <w:szCs w:val="24"/>
                <w:lang w:val="x-none" w:eastAsia="x-none"/>
              </w:rPr>
              <w:t>11.</w:t>
            </w:r>
            <w:r w:rsidRPr="00A23740">
              <w:rPr>
                <w:rFonts w:eastAsia="Times New Roman"/>
                <w:szCs w:val="24"/>
                <w:lang w:eastAsia="tr-TR"/>
              </w:rPr>
              <w:t xml:space="preserve"> İhale alıcısının, satış bedelinin tamamını ihalenin gerçekleştiğine ilişkin tutanağın elektronik satış portalında ilan edildiği tarihten itibaren en geç </w:t>
            </w:r>
            <w:r w:rsidRPr="00A23740">
              <w:rPr>
                <w:b/>
                <w:bCs/>
                <w:strike/>
                <w:color w:val="FF0000"/>
                <w:szCs w:val="24"/>
                <w:lang w:val="x-none" w:eastAsia="x-none"/>
              </w:rPr>
              <w:t>yedi gün</w:t>
            </w:r>
            <w:r w:rsidRPr="00A23740">
              <w:rPr>
                <w:rFonts w:eastAsia="Times New Roman"/>
                <w:szCs w:val="24"/>
                <w:lang w:eastAsia="tr-TR"/>
              </w:rPr>
              <w:t xml:space="preserve"> içinde icra dairesi hesabına ödemesi gerektiği.</w:t>
            </w:r>
          </w:p>
          <w:p w:rsidR="007C5C54" w:rsidRPr="00A23740" w:rsidRDefault="007C5C54" w:rsidP="009431FF">
            <w:pPr>
              <w:tabs>
                <w:tab w:val="left" w:pos="567"/>
              </w:tabs>
              <w:rPr>
                <w:rFonts w:eastAsia="Times New Roman"/>
                <w:szCs w:val="24"/>
                <w:lang w:eastAsia="tr-TR"/>
              </w:rPr>
            </w:pP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2 – Münderecatı:</w:t>
            </w:r>
          </w:p>
          <w:p w:rsidR="007C5C54" w:rsidRPr="00A23740" w:rsidRDefault="007C5C54"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val="x-none" w:eastAsia="x-none"/>
              </w:rPr>
              <w:t>Madde 125</w:t>
            </w: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eastAsia="x-none"/>
              </w:rPr>
              <w:t xml:space="preserve">(4) </w:t>
            </w:r>
            <w:r w:rsidRPr="00A23740">
              <w:rPr>
                <w:rFonts w:eastAsia="Times New Roman"/>
                <w:b/>
                <w:bCs/>
                <w:strike/>
                <w:color w:val="FF0000"/>
                <w:szCs w:val="24"/>
                <w:lang w:val="x-none" w:eastAsia="x-none"/>
              </w:rPr>
              <w:t>Artırma şartnamesinde hangi masrafların müşteriye ait olacağı tasrih olunur.</w:t>
            </w:r>
          </w:p>
          <w:p w:rsidR="007C5C54" w:rsidRPr="00A23740" w:rsidRDefault="007C5C54" w:rsidP="009431FF">
            <w:pPr>
              <w:tabs>
                <w:tab w:val="left" w:pos="567"/>
              </w:tabs>
              <w:rPr>
                <w:rFonts w:eastAsia="Times New Roman"/>
                <w:b/>
                <w:bCs/>
                <w:strike/>
                <w:color w:val="FF0000"/>
                <w:szCs w:val="24"/>
                <w:lang w:val="x-none" w:eastAsia="x-none"/>
              </w:rPr>
            </w:pP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2 – Münderecatı:</w:t>
            </w: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125</w:t>
            </w:r>
            <w:r w:rsidRPr="00A23740">
              <w:rPr>
                <w:rFonts w:eastAsia="Times New Roman"/>
                <w:b/>
                <w:bCs/>
                <w:strike/>
                <w:color w:val="FF0000"/>
                <w:szCs w:val="24"/>
                <w:lang w:eastAsia="x-none"/>
              </w:rPr>
              <w:t xml:space="preserve">- (1) </w:t>
            </w:r>
            <w:r w:rsidRPr="00A23740">
              <w:rPr>
                <w:rFonts w:eastAsia="Times New Roman"/>
                <w:b/>
                <w:bCs/>
                <w:strike/>
                <w:color w:val="FF0000"/>
                <w:szCs w:val="24"/>
                <w:lang w:val="x-none" w:eastAsia="x-none"/>
              </w:rPr>
              <w:t xml:space="preserve">Artırma şartnamesinde </w:t>
            </w:r>
            <w:r w:rsidRPr="00A23740">
              <w:rPr>
                <w:rFonts w:eastAsia="Times New Roman"/>
                <w:b/>
                <w:bCs/>
                <w:strike/>
                <w:color w:val="FF0000"/>
                <w:szCs w:val="24"/>
                <w:lang w:eastAsia="tr-TR"/>
              </w:rPr>
              <w:t xml:space="preserve">taşınmazın, üzerindeki irtifak hakları, taşınmaz mükellefiyetleri, ipotekler, ipotekli borç senetleri, irat senetleriyle birlikte </w:t>
            </w:r>
            <w:r w:rsidRPr="00A23740">
              <w:rPr>
                <w:rFonts w:eastAsia="Times New Roman"/>
                <w:b/>
                <w:bCs/>
                <w:strike/>
                <w:color w:val="FF0000"/>
                <w:szCs w:val="24"/>
                <w:lang w:val="x-none" w:eastAsia="x-none"/>
              </w:rPr>
              <w:t xml:space="preserve">satıldığı </w:t>
            </w:r>
            <w:r w:rsidRPr="00A23740">
              <w:rPr>
                <w:rFonts w:eastAsia="Times New Roman"/>
                <w:b/>
                <w:bCs/>
                <w:strike/>
                <w:color w:val="FF0000"/>
                <w:szCs w:val="24"/>
                <w:lang w:eastAsia="tr-TR"/>
              </w:rPr>
              <w:t>ve borçlunun bu taşınmaz ile temin edilmiş şahsi borçlarının da alıcıya intikal</w:t>
            </w:r>
            <w:r w:rsidRPr="00A23740">
              <w:rPr>
                <w:rFonts w:eastAsia="Times New Roman"/>
                <w:b/>
                <w:bCs/>
                <w:strike/>
                <w:color w:val="FF0000"/>
                <w:szCs w:val="24"/>
                <w:lang w:val="x-none" w:eastAsia="x-none"/>
              </w:rPr>
              <w:t xml:space="preserve"> eyliyeceği tasrih olunur.</w:t>
            </w:r>
          </w:p>
          <w:p w:rsidR="007C5C54" w:rsidRPr="00A23740" w:rsidRDefault="007C5C54" w:rsidP="009431FF">
            <w:pPr>
              <w:tabs>
                <w:tab w:val="left" w:pos="567"/>
              </w:tabs>
              <w:rPr>
                <w:rFonts w:eastAsia="Times New Roman"/>
                <w:szCs w:val="24"/>
                <w:lang w:eastAsia="tr-TR"/>
              </w:rPr>
            </w:pPr>
            <w:r w:rsidRPr="00A23740">
              <w:rPr>
                <w:rFonts w:eastAsia="Times New Roman"/>
                <w:b/>
                <w:bCs/>
                <w:strike/>
                <w:color w:val="FF0000"/>
                <w:szCs w:val="24"/>
                <w:lang w:val="x-none" w:eastAsia="x-none"/>
              </w:rPr>
              <w:t>(3)</w:t>
            </w:r>
            <w:r w:rsidRPr="00A23740">
              <w:rPr>
                <w:rFonts w:eastAsia="Times New Roman"/>
                <w:szCs w:val="24"/>
                <w:lang w:eastAsia="tr-TR"/>
              </w:rPr>
              <w:t xml:space="preserve"> </w:t>
            </w:r>
            <w:r w:rsidRPr="00A23740">
              <w:rPr>
                <w:rFonts w:eastAsia="Times New Roman"/>
                <w:b/>
                <w:bCs/>
                <w:strike/>
                <w:color w:val="FF0000"/>
                <w:szCs w:val="24"/>
                <w:lang w:eastAsia="tr-TR"/>
              </w:rPr>
              <w:t>Taşınmaz rehinle temin edilmiş muaccel borçlar, müşteriye devredilmeyip satış bedelinden tercihen öde</w:t>
            </w:r>
            <w:r w:rsidRPr="00A23740">
              <w:rPr>
                <w:rFonts w:eastAsia="Times New Roman"/>
                <w:b/>
                <w:bCs/>
                <w:strike/>
                <w:color w:val="FF0000"/>
                <w:szCs w:val="24"/>
                <w:lang w:val="x-none" w:eastAsia="x-none"/>
              </w:rPr>
              <w:t>nir.</w:t>
            </w:r>
          </w:p>
          <w:p w:rsidR="007C5C54" w:rsidRPr="00A23740" w:rsidRDefault="007C5C54" w:rsidP="009431FF">
            <w:pPr>
              <w:tabs>
                <w:tab w:val="left" w:pos="567"/>
              </w:tabs>
              <w:rPr>
                <w:rFonts w:eastAsia="Times New Roman"/>
                <w:b/>
                <w:bCs/>
                <w:strike/>
                <w:color w:val="FF0000"/>
                <w:szCs w:val="24"/>
                <w:lang w:val="x-none" w:eastAsia="x-none"/>
              </w:rPr>
            </w:pP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(2)</w:t>
            </w:r>
            <w:r w:rsidRPr="00A23740">
              <w:rPr>
                <w:rFonts w:eastAsia="Times New Roman"/>
                <w:szCs w:val="24"/>
                <w:lang w:eastAsia="tr-TR"/>
              </w:rPr>
              <w:t xml:space="preserve"> İpotek ve ipotekli borç senediyle temin edilmiş </w:t>
            </w:r>
            <w:r w:rsidRPr="00A23740">
              <w:rPr>
                <w:rFonts w:eastAsia="Times New Roman"/>
                <w:b/>
                <w:bCs/>
                <w:strike/>
                <w:color w:val="FF0000"/>
                <w:szCs w:val="24"/>
                <w:lang w:val="x-none" w:eastAsia="x-none"/>
              </w:rPr>
              <w:t>olupta</w:t>
            </w:r>
            <w:r w:rsidRPr="00A23740">
              <w:rPr>
                <w:rFonts w:eastAsia="Times New Roman"/>
                <w:szCs w:val="24"/>
                <w:lang w:eastAsia="tr-TR"/>
              </w:rPr>
              <w:t xml:space="preserve"> bu suretle </w:t>
            </w:r>
            <w:r w:rsidRPr="00A23740">
              <w:rPr>
                <w:rFonts w:eastAsia="Times New Roman"/>
                <w:b/>
                <w:bCs/>
                <w:strike/>
                <w:color w:val="FF0000"/>
                <w:szCs w:val="24"/>
                <w:lang w:val="x-none" w:eastAsia="x-none"/>
              </w:rPr>
              <w:t>müşteriye</w:t>
            </w:r>
            <w:r w:rsidRPr="00A23740">
              <w:rPr>
                <w:rFonts w:eastAsia="Times New Roman"/>
                <w:szCs w:val="24"/>
                <w:lang w:eastAsia="tr-TR"/>
              </w:rPr>
              <w:t xml:space="preserve"> devrolunan borçtan asıl borçlunun kurtulması alacaklının müracaat hakkının </w:t>
            </w:r>
            <w:r w:rsidRPr="00A23740">
              <w:rPr>
                <w:rFonts w:eastAsia="Times New Roman"/>
                <w:b/>
                <w:bCs/>
                <w:strike/>
                <w:color w:val="FF0000"/>
                <w:szCs w:val="24"/>
                <w:lang w:val="x-none" w:eastAsia="x-none"/>
              </w:rPr>
              <w:t>mahfuz</w:t>
            </w:r>
            <w:r w:rsidRPr="00A23740">
              <w:rPr>
                <w:rFonts w:eastAsia="Times New Roman"/>
                <w:b/>
                <w:bCs/>
                <w:color w:val="FF0000"/>
                <w:szCs w:val="24"/>
                <w:lang w:val="x-none" w:eastAsia="x-none"/>
              </w:rPr>
              <w:t xml:space="preserve"> </w:t>
            </w:r>
            <w:r w:rsidRPr="00A23740">
              <w:rPr>
                <w:rFonts w:eastAsia="Times New Roman"/>
                <w:szCs w:val="24"/>
                <w:lang w:eastAsia="tr-TR"/>
              </w:rPr>
              <w:t xml:space="preserve">olduğunu ihaleden itibaren bir </w:t>
            </w:r>
            <w:r w:rsidRPr="00A23740">
              <w:rPr>
                <w:rFonts w:eastAsia="Times New Roman"/>
                <w:b/>
                <w:bCs/>
                <w:strike/>
                <w:color w:val="FF0000"/>
                <w:szCs w:val="24"/>
                <w:lang w:eastAsia="tr-TR"/>
              </w:rPr>
              <w:t>sene</w:t>
            </w:r>
            <w:r w:rsidRPr="00A23740">
              <w:rPr>
                <w:rFonts w:eastAsia="Times New Roman"/>
                <w:szCs w:val="24"/>
                <w:lang w:eastAsia="tr-TR"/>
              </w:rPr>
              <w:t xml:space="preserve"> içinde </w:t>
            </w:r>
            <w:r w:rsidRPr="00A23740">
              <w:rPr>
                <w:rFonts w:eastAsia="Times New Roman"/>
                <w:b/>
                <w:bCs/>
                <w:strike/>
                <w:color w:val="FF0000"/>
                <w:szCs w:val="24"/>
                <w:lang w:val="x-none" w:eastAsia="x-none"/>
              </w:rPr>
              <w:t>kendisine</w:t>
            </w:r>
            <w:r w:rsidRPr="00A23740">
              <w:rPr>
                <w:rFonts w:eastAsia="Times New Roman"/>
                <w:szCs w:val="24"/>
                <w:lang w:eastAsia="tr-TR"/>
              </w:rPr>
              <w:t xml:space="preserve"> bildirmemiş olmasına </w:t>
            </w:r>
            <w:r w:rsidRPr="00A23740">
              <w:rPr>
                <w:rFonts w:eastAsia="Times New Roman"/>
                <w:b/>
                <w:bCs/>
                <w:strike/>
                <w:color w:val="FF0000"/>
                <w:szCs w:val="24"/>
                <w:lang w:val="x-none" w:eastAsia="x-none"/>
              </w:rPr>
              <w:t>bağlıdır. (K. M. 803)</w:t>
            </w:r>
          </w:p>
          <w:p w:rsidR="007C5C54" w:rsidRPr="00A23740" w:rsidRDefault="007C5C54" w:rsidP="009431FF">
            <w:pPr>
              <w:tabs>
                <w:tab w:val="left" w:pos="567"/>
              </w:tabs>
              <w:rPr>
                <w:rFonts w:eastAsia="Times New Roman"/>
                <w:b/>
                <w:bCs/>
                <w:strike/>
                <w:color w:val="FF0000"/>
                <w:szCs w:val="24"/>
                <w:lang w:val="x-none" w:eastAsia="x-none"/>
              </w:rPr>
            </w:pPr>
          </w:p>
          <w:p w:rsidR="007C5C54" w:rsidRPr="00A23740" w:rsidRDefault="007C5C54" w:rsidP="009431FF">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13. İhalenin kesinleşmesi üzerine malın tescil ve teslim işlemlerinin yapılacağı.</w:t>
            </w:r>
          </w:p>
          <w:p w:rsidR="007C5C54" w:rsidRPr="00A23740" w:rsidRDefault="007C5C54"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rFonts w:eastAsia="Times New Roman"/>
                <w:b/>
                <w:color w:val="FF0000"/>
                <w:szCs w:val="24"/>
                <w:lang w:eastAsia="tr-TR"/>
              </w:rPr>
              <w:t>(7)</w:t>
            </w:r>
            <w:r w:rsidRPr="00A23740">
              <w:rPr>
                <w:rFonts w:eastAsia="Times New Roman"/>
                <w:szCs w:val="24"/>
                <w:lang w:eastAsia="tr-TR"/>
              </w:rPr>
              <w:t xml:space="preserve"> İhalenin kesinleşmesi üzerine taşınırın ihale alıcısına teslimi veya sicile kayıtlı malın ihale alıcısı adına tescili, damga vergisi ve katma değer vergisinin yatırılmasından sonra gerçekleştiri</w:t>
            </w:r>
            <w:r w:rsidRPr="00A23740">
              <w:rPr>
                <w:rFonts w:eastAsia="Times New Roman"/>
                <w:bCs/>
                <w:lang w:eastAsia="tr-TR"/>
              </w:rPr>
              <w:t>l</w:t>
            </w:r>
            <w:r w:rsidRPr="00A23740">
              <w:rPr>
                <w:b/>
                <w:bCs/>
                <w:strike/>
                <w:color w:val="FF0000"/>
                <w:szCs w:val="24"/>
              </w:rPr>
              <w:t>ir</w:t>
            </w:r>
            <w:r w:rsidRPr="00A23740">
              <w:rPr>
                <w:rFonts w:eastAsia="Times New Roman"/>
                <w:szCs w:val="24"/>
                <w:lang w:eastAsia="tr-TR"/>
              </w:rPr>
              <w:t>.</w:t>
            </w:r>
          </w:p>
          <w:p w:rsidR="007C5C54" w:rsidRPr="00A23740" w:rsidRDefault="007C5C54" w:rsidP="009431FF">
            <w:pPr>
              <w:tabs>
                <w:tab w:val="left" w:pos="540"/>
              </w:tabs>
              <w:rPr>
                <w:rFonts w:eastAsia="ヒラギノ明朝 Pro W3"/>
                <w:b/>
                <w:color w:val="0000FF"/>
                <w:szCs w:val="24"/>
                <w:lang w:eastAsia="tr-TR"/>
              </w:rPr>
            </w:pPr>
          </w:p>
          <w:p w:rsidR="007C5C54" w:rsidRPr="00A23740" w:rsidRDefault="007C5C54" w:rsidP="009431FF">
            <w:pPr>
              <w:tabs>
                <w:tab w:val="left" w:pos="567"/>
              </w:tabs>
              <w:rPr>
                <w:b/>
                <w:bCs/>
                <w:strike/>
                <w:color w:val="FF0000"/>
                <w:szCs w:val="24"/>
                <w:lang w:val="x-none" w:eastAsia="x-none"/>
              </w:rPr>
            </w:pPr>
            <w:r w:rsidRPr="00A23740">
              <w:rPr>
                <w:b/>
                <w:bCs/>
                <w:strike/>
                <w:color w:val="FF0000"/>
                <w:szCs w:val="24"/>
                <w:lang w:val="x-none" w:eastAsia="x-none"/>
              </w:rPr>
              <w:t>Artırma hazırlık tedbirleri:</w:t>
            </w:r>
          </w:p>
          <w:p w:rsidR="007C5C54" w:rsidRPr="00A23740" w:rsidRDefault="007C5C54" w:rsidP="009431FF">
            <w:pPr>
              <w:tabs>
                <w:tab w:val="left" w:pos="567"/>
              </w:tabs>
              <w:rPr>
                <w:rFonts w:eastAsia="Times New Roman"/>
                <w:b/>
                <w:bCs/>
                <w:strike/>
                <w:color w:val="FF0000"/>
                <w:szCs w:val="24"/>
                <w:lang w:val="x-none" w:eastAsia="x-none"/>
              </w:rPr>
            </w:pPr>
            <w:r w:rsidRPr="00A23740">
              <w:rPr>
                <w:b/>
                <w:bCs/>
                <w:strike/>
                <w:color w:val="FF0000"/>
                <w:szCs w:val="24"/>
                <w:lang w:val="x-none" w:eastAsia="x-none"/>
              </w:rPr>
              <w:t>Madde 126 – (Başlığı ile Birlikte Değişik:24/11/2021-7343/20 md.)</w:t>
            </w:r>
            <w:r w:rsidRPr="00A23740">
              <w:rPr>
                <w:rFonts w:eastAsia="Times New Roman"/>
                <w:b/>
                <w:bCs/>
                <w:strike/>
                <w:color w:val="FF0000"/>
                <w:szCs w:val="24"/>
                <w:lang w:val="x-none" w:eastAsia="x-none"/>
              </w:rPr>
              <w:t xml:space="preserve"> </w:t>
            </w:r>
            <w:r w:rsidRPr="00A23740">
              <w:rPr>
                <w:b/>
                <w:bCs/>
                <w:strike/>
                <w:color w:val="FF0000"/>
                <w:szCs w:val="24"/>
                <w:lang w:val="x-none" w:eastAsia="x-none"/>
              </w:rPr>
              <w:t>(1)</w:t>
            </w:r>
            <w:r w:rsidRPr="00A23740">
              <w:rPr>
                <w:rFonts w:eastAsia="Times New Roman"/>
                <w:b/>
                <w:bCs/>
                <w:strike/>
                <w:color w:val="FF0000"/>
                <w:szCs w:val="24"/>
                <w:lang w:val="x-none" w:eastAsia="x-none"/>
              </w:rPr>
              <w:t xml:space="preserve"> 114 üncü madde hükmü, taşınmazın açık artırma hazırlık tedbirleri hakkında da uygulanır.</w:t>
            </w:r>
          </w:p>
          <w:p w:rsidR="007C5C54" w:rsidRPr="00A23740" w:rsidRDefault="007C5C54" w:rsidP="009431FF">
            <w:pPr>
              <w:rPr>
                <w:rFonts w:eastAsia="Times New Roman"/>
                <w:szCs w:val="24"/>
                <w:lang w:eastAsia="tr-TR"/>
              </w:rPr>
            </w:pPr>
          </w:p>
          <w:p w:rsidR="007C5C54" w:rsidRPr="00A23740" w:rsidRDefault="007C5C54" w:rsidP="009431FF">
            <w:pPr>
              <w:rPr>
                <w:rFonts w:eastAsia="Times New Roman"/>
                <w:szCs w:val="24"/>
                <w:lang w:eastAsia="tr-TR"/>
              </w:rPr>
            </w:pPr>
            <w:r w:rsidRPr="00A23740">
              <w:rPr>
                <w:b/>
                <w:bCs/>
                <w:strike/>
                <w:color w:val="FF0000"/>
                <w:szCs w:val="24"/>
              </w:rPr>
              <w:t>(2)</w:t>
            </w:r>
            <w:r w:rsidRPr="00A23740">
              <w:rPr>
                <w:rFonts w:eastAsia="Times New Roman"/>
                <w:szCs w:val="24"/>
                <w:lang w:eastAsia="tr-TR"/>
              </w:rPr>
              <w:t xml:space="preserve"> </w:t>
            </w:r>
            <w:r w:rsidRPr="00A23740">
              <w:rPr>
                <w:b/>
                <w:bCs/>
                <w:strike/>
                <w:color w:val="FF0000"/>
                <w:szCs w:val="24"/>
              </w:rPr>
              <w:t>Elektronik satış portalında yapılacak satış ilanında; 114 üncü maddede belirtilen hususlarla birlikte varsa i</w:t>
            </w:r>
            <w:r w:rsidRPr="00A23740">
              <w:rPr>
                <w:rFonts w:eastAsia="Times New Roman"/>
                <w:szCs w:val="24"/>
                <w:lang w:eastAsia="tr-TR"/>
              </w:rPr>
              <w:t xml:space="preserve">potek </w:t>
            </w:r>
            <w:r w:rsidRPr="00A23740">
              <w:rPr>
                <w:b/>
                <w:bCs/>
                <w:strike/>
                <w:color w:val="FF0000"/>
                <w:szCs w:val="24"/>
              </w:rPr>
              <w:t>sahibi</w:t>
            </w:r>
            <w:r w:rsidRPr="00A23740">
              <w:rPr>
                <w:rFonts w:eastAsia="Times New Roman"/>
                <w:szCs w:val="24"/>
                <w:lang w:eastAsia="tr-TR"/>
              </w:rPr>
              <w:t xml:space="preserve"> alacaklılar ile diğer ilgililerin taşınmaz üzerindeki haklarını, </w:t>
            </w:r>
            <w:r w:rsidRPr="00A23740">
              <w:rPr>
                <w:b/>
                <w:bCs/>
                <w:strike/>
                <w:color w:val="FF0000"/>
                <w:szCs w:val="24"/>
              </w:rPr>
              <w:t>hususiyle</w:t>
            </w:r>
            <w:r w:rsidRPr="00A23740">
              <w:rPr>
                <w:rFonts w:eastAsia="Times New Roman"/>
                <w:szCs w:val="24"/>
                <w:lang w:eastAsia="tr-TR"/>
              </w:rPr>
              <w:t xml:space="preserve"> faiz ve </w:t>
            </w:r>
            <w:r w:rsidRPr="00A23740">
              <w:rPr>
                <w:b/>
                <w:bCs/>
                <w:strike/>
                <w:color w:val="FF0000"/>
                <w:szCs w:val="24"/>
              </w:rPr>
              <w:t>masrafa</w:t>
            </w:r>
            <w:r w:rsidRPr="00A23740">
              <w:rPr>
                <w:rFonts w:eastAsia="Times New Roman"/>
                <w:szCs w:val="24"/>
                <w:lang w:eastAsia="tr-TR"/>
              </w:rPr>
              <w:t xml:space="preserve"> dair olan iddialarını </w:t>
            </w:r>
            <w:r w:rsidRPr="00A23740">
              <w:rPr>
                <w:b/>
                <w:bCs/>
                <w:strike/>
                <w:color w:val="FF0000"/>
                <w:szCs w:val="24"/>
              </w:rPr>
              <w:t>evrakı müsbiteleriyle on beş gün</w:t>
            </w:r>
            <w:r w:rsidRPr="00A23740">
              <w:rPr>
                <w:rFonts w:eastAsia="Times New Roman"/>
                <w:szCs w:val="24"/>
                <w:lang w:eastAsia="tr-TR"/>
              </w:rPr>
              <w:t xml:space="preserve"> içinde icra dairesine bildirmeleri gerektiği, aksi halde hakları tapu sicili</w:t>
            </w:r>
            <w:r w:rsidRPr="00A23740">
              <w:rPr>
                <w:b/>
                <w:bCs/>
                <w:strike/>
                <w:color w:val="FF0000"/>
                <w:szCs w:val="24"/>
              </w:rPr>
              <w:t>yle</w:t>
            </w:r>
            <w:r w:rsidRPr="00A23740">
              <w:rPr>
                <w:rFonts w:eastAsia="Times New Roman"/>
                <w:szCs w:val="24"/>
                <w:lang w:eastAsia="tr-TR"/>
              </w:rPr>
              <w:t xml:space="preserve"> sabit olmadıkça, satış bedelinin paylaşmasından hariç kalacakları </w:t>
            </w:r>
            <w:r w:rsidRPr="00A23740">
              <w:rPr>
                <w:b/>
                <w:bCs/>
                <w:strike/>
                <w:color w:val="FF0000"/>
                <w:szCs w:val="24"/>
              </w:rPr>
              <w:t>ve bu hususların irtifak hakkı sahipleri için de geçerli olacağı belirtilir</w:t>
            </w:r>
            <w:r w:rsidRPr="00A23740">
              <w:rPr>
                <w:rFonts w:eastAsia="Times New Roman"/>
                <w:szCs w:val="24"/>
                <w:lang w:eastAsia="tr-TR"/>
              </w:rPr>
              <w:t>.</w:t>
            </w:r>
          </w:p>
          <w:p w:rsidR="007C5C54" w:rsidRPr="00A23740" w:rsidRDefault="007C5C54" w:rsidP="009431FF">
            <w:pPr>
              <w:tabs>
                <w:tab w:val="left" w:pos="567"/>
              </w:tabs>
              <w:rPr>
                <w:rFonts w:eastAsia="Times New Roman"/>
                <w:b/>
                <w:bCs/>
                <w:color w:val="FF0000"/>
                <w:szCs w:val="24"/>
                <w:lang w:eastAsia="x-none"/>
              </w:rPr>
            </w:pPr>
          </w:p>
        </w:tc>
        <w:tc>
          <w:tcPr>
            <w:tcW w:w="2500" w:type="pct"/>
          </w:tcPr>
          <w:p w:rsidR="007C5C54" w:rsidRPr="00A23740" w:rsidRDefault="007C5C54" w:rsidP="009431FF">
            <w:pPr>
              <w:rPr>
                <w:b/>
                <w:bCs/>
                <w:color w:val="0000FF"/>
                <w:szCs w:val="24"/>
                <w:lang w:val="x-none" w:eastAsia="tr-TR"/>
              </w:rPr>
            </w:pPr>
            <w:r w:rsidRPr="00A23740">
              <w:rPr>
                <w:b/>
                <w:bCs/>
                <w:color w:val="0000FF"/>
                <w:szCs w:val="24"/>
                <w:lang w:val="x-none" w:eastAsia="tr-TR"/>
              </w:rPr>
              <w:t xml:space="preserve">Satış usulü ve sonuçları </w:t>
            </w:r>
            <w:r w:rsidR="009167B3" w:rsidRPr="00C92583">
              <w:rPr>
                <w:rStyle w:val="Balk1Char"/>
                <w:rFonts w:eastAsia="ヒラギノ明朝 Pro W3"/>
              </w:rPr>
              <w:t>hakkında</w:t>
            </w:r>
            <w:r w:rsidR="009167B3" w:rsidRPr="00A23740">
              <w:rPr>
                <w:b/>
                <w:bCs/>
                <w:color w:val="0000FF"/>
                <w:szCs w:val="24"/>
                <w:lang w:eastAsia="tr-TR"/>
              </w:rPr>
              <w:t xml:space="preserve"> </w:t>
            </w:r>
            <w:r w:rsidRPr="00A23740">
              <w:rPr>
                <w:b/>
                <w:bCs/>
                <w:color w:val="0000FF"/>
                <w:szCs w:val="24"/>
                <w:lang w:val="x-none" w:eastAsia="tr-TR"/>
              </w:rPr>
              <w:t>şartnameye yazılacak hususlar</w:t>
            </w:r>
          </w:p>
          <w:p w:rsidR="007C5C54" w:rsidRPr="00A23740" w:rsidRDefault="007C5C54" w:rsidP="009431FF">
            <w:pPr>
              <w:rPr>
                <w:lang w:eastAsia="tr-TR"/>
              </w:rPr>
            </w:pPr>
            <w:r w:rsidRPr="00A23740">
              <w:rPr>
                <w:b/>
                <w:bCs/>
                <w:color w:val="0000FF"/>
                <w:szCs w:val="24"/>
                <w:lang w:eastAsia="x-none"/>
              </w:rPr>
              <w:t>MADDE 225- (1) Şartnamede, satış usulü ve sonuçları</w:t>
            </w:r>
            <w:r w:rsidR="00CF6E80" w:rsidRPr="00A23740">
              <w:rPr>
                <w:b/>
                <w:bCs/>
                <w:color w:val="0000FF"/>
                <w:szCs w:val="24"/>
                <w:lang w:eastAsia="x-none"/>
              </w:rPr>
              <w:t xml:space="preserve"> </w:t>
            </w:r>
            <w:r w:rsidR="00CF6E80" w:rsidRPr="00C92583">
              <w:rPr>
                <w:rStyle w:val="Balk1Char"/>
                <w:rFonts w:eastAsia="ヒラギノ明朝 Pro W3"/>
              </w:rPr>
              <w:t>hakkında</w:t>
            </w:r>
            <w:r w:rsidRPr="00A23740">
              <w:rPr>
                <w:b/>
                <w:bCs/>
                <w:color w:val="0000FF"/>
                <w:szCs w:val="24"/>
                <w:lang w:eastAsia="x-none"/>
              </w:rPr>
              <w:t xml:space="preserve"> aşağıdaki hususlar yer alır:</w:t>
            </w:r>
          </w:p>
          <w:p w:rsidR="007C5C54" w:rsidRPr="00A23740" w:rsidRDefault="007C5C54" w:rsidP="009431FF">
            <w:pPr>
              <w:rPr>
                <w:b/>
                <w:bCs/>
                <w:color w:val="0000FF"/>
                <w:szCs w:val="24"/>
                <w:lang w:eastAsia="x-none"/>
              </w:rPr>
            </w:pPr>
            <w:r w:rsidRPr="00A23740">
              <w:rPr>
                <w:b/>
                <w:bCs/>
                <w:color w:val="0000FF"/>
                <w:szCs w:val="24"/>
                <w:lang w:val="x-none" w:eastAsia="x-none"/>
              </w:rPr>
              <w:t>a)</w:t>
            </w:r>
            <w:r w:rsidRPr="00A23740">
              <w:rPr>
                <w:b/>
                <w:bCs/>
                <w:color w:val="0000FF"/>
                <w:szCs w:val="24"/>
                <w:lang w:eastAsia="x-none"/>
              </w:rPr>
              <w:t xml:space="preserve"> </w:t>
            </w:r>
            <w:r w:rsidR="00945F6C" w:rsidRPr="00C92583">
              <w:rPr>
                <w:rStyle w:val="Balk1Char"/>
                <w:rFonts w:eastAsia="Calibri"/>
              </w:rPr>
              <w:t>İhalenin e</w:t>
            </w:r>
            <w:r w:rsidRPr="00A23740">
              <w:rPr>
                <w:b/>
                <w:bCs/>
                <w:color w:val="0000FF"/>
                <w:szCs w:val="24"/>
                <w:lang w:eastAsia="x-none"/>
              </w:rPr>
              <w:t>lektronik satış portalında teklif verme suretiyle yapılacağı.</w:t>
            </w:r>
          </w:p>
          <w:p w:rsidR="008C2C3C" w:rsidRPr="00A23740" w:rsidRDefault="008C2C3C" w:rsidP="009431FF">
            <w:pPr>
              <w:rPr>
                <w:b/>
                <w:bCs/>
                <w:color w:val="0000FF"/>
                <w:szCs w:val="24"/>
                <w:lang w:eastAsia="x-none"/>
              </w:rPr>
            </w:pPr>
          </w:p>
          <w:p w:rsidR="007C5C54" w:rsidRPr="00A23740" w:rsidRDefault="007C5C54" w:rsidP="009431FF">
            <w:pPr>
              <w:rPr>
                <w:b/>
                <w:bCs/>
                <w:color w:val="0000FF"/>
                <w:szCs w:val="24"/>
                <w:lang w:val="x-none" w:eastAsia="x-none"/>
              </w:rPr>
            </w:pPr>
            <w:r w:rsidRPr="00A23740">
              <w:rPr>
                <w:b/>
                <w:bCs/>
                <w:color w:val="0000FF"/>
                <w:szCs w:val="24"/>
                <w:lang w:val="x-none" w:eastAsia="x-none"/>
              </w:rPr>
              <w:t>b)</w:t>
            </w:r>
            <w:r w:rsidRPr="00A23740">
              <w:t xml:space="preserve"> </w:t>
            </w:r>
            <w:r w:rsidRPr="00A23740">
              <w:rPr>
                <w:b/>
                <w:bCs/>
                <w:color w:val="0000FF"/>
                <w:szCs w:val="24"/>
                <w:lang w:val="x-none" w:eastAsia="x-none"/>
              </w:rPr>
              <w:t>Teklifin verilebileceği zaman aralığı</w:t>
            </w:r>
            <w:r w:rsidRPr="00A23740">
              <w:rPr>
                <w:b/>
                <w:color w:val="0000FF"/>
                <w:szCs w:val="24"/>
                <w:lang w:val="x-none" w:eastAsia="x-none"/>
              </w:rPr>
              <w:t xml:space="preserve"> ile</w:t>
            </w:r>
            <w:r w:rsidRPr="00A23740">
              <w:rPr>
                <w:b/>
                <w:bCs/>
                <w:color w:val="0000FF"/>
                <w:szCs w:val="24"/>
                <w:lang w:val="x-none" w:eastAsia="x-none"/>
              </w:rPr>
              <w:t xml:space="preserve"> teklif verme ve ihale usul ve şartları.</w:t>
            </w:r>
          </w:p>
          <w:p w:rsidR="008C2C3C" w:rsidRPr="00A23740" w:rsidRDefault="008C2C3C" w:rsidP="009431FF">
            <w:pPr>
              <w:rPr>
                <w:lang w:eastAsia="tr-TR"/>
              </w:rPr>
            </w:pPr>
          </w:p>
          <w:p w:rsidR="007C5C54" w:rsidRPr="00A23740" w:rsidRDefault="007C5C54" w:rsidP="009431FF">
            <w:pPr>
              <w:rPr>
                <w:b/>
                <w:bCs/>
                <w:color w:val="0000FF"/>
                <w:szCs w:val="24"/>
                <w:lang w:eastAsia="x-none"/>
              </w:rPr>
            </w:pPr>
            <w:r w:rsidRPr="00A23740">
              <w:rPr>
                <w:b/>
                <w:bCs/>
                <w:color w:val="0000FF"/>
                <w:szCs w:val="24"/>
                <w:lang w:val="x-none" w:eastAsia="x-none"/>
              </w:rPr>
              <w:t>c)</w:t>
            </w:r>
            <w:r w:rsidRPr="00A23740">
              <w:rPr>
                <w:b/>
                <w:bCs/>
                <w:color w:val="0000FF"/>
                <w:szCs w:val="24"/>
                <w:lang w:eastAsia="x-none"/>
              </w:rPr>
              <w:t xml:space="preserve"> Satış talebinin artırma başladıktan sonra geri alınamayacağı, borcun ödenmesi nedeniyle satışın ise artırmanın sonuna kadar durdurulabileceği.</w:t>
            </w:r>
          </w:p>
          <w:p w:rsidR="008C2C3C" w:rsidRPr="00A23740" w:rsidRDefault="008C2C3C" w:rsidP="009431FF">
            <w:pPr>
              <w:rPr>
                <w:b/>
                <w:bCs/>
                <w:color w:val="0000FF"/>
                <w:szCs w:val="24"/>
                <w:lang w:eastAsia="x-none"/>
              </w:rPr>
            </w:pPr>
          </w:p>
          <w:p w:rsidR="007C5C54" w:rsidRPr="00A23740" w:rsidRDefault="007C5C54" w:rsidP="009431FF">
            <w:pPr>
              <w:rPr>
                <w:lang w:eastAsia="tr-TR"/>
              </w:rPr>
            </w:pPr>
            <w:r w:rsidRPr="00A23740">
              <w:rPr>
                <w:b/>
                <w:bCs/>
                <w:color w:val="0000FF"/>
                <w:szCs w:val="24"/>
                <w:lang w:val="x-none" w:eastAsia="x-none"/>
              </w:rPr>
              <w:t>ç)</w:t>
            </w:r>
            <w:r w:rsidRPr="00A23740">
              <w:rPr>
                <w:lang w:eastAsia="tr-TR"/>
              </w:rPr>
              <w:t xml:space="preserve"> Şartlar yerine gelmişse malın en yüksek </w:t>
            </w:r>
            <w:r w:rsidRPr="00A23740">
              <w:rPr>
                <w:rFonts w:eastAsia="Times New Roman"/>
                <w:bCs/>
                <w:lang w:eastAsia="tr-TR"/>
              </w:rPr>
              <w:t>teklif</w:t>
            </w:r>
            <w:r w:rsidRPr="00A23740">
              <w:rPr>
                <w:rFonts w:eastAsia="Times New Roman"/>
                <w:szCs w:val="24"/>
                <w:lang w:eastAsia="tr-TR"/>
              </w:rPr>
              <w:t xml:space="preserve"> </w:t>
            </w:r>
            <w:r w:rsidRPr="00A23740">
              <w:rPr>
                <w:rFonts w:eastAsia="Times New Roman"/>
                <w:bCs/>
                <w:lang w:eastAsia="tr-TR"/>
              </w:rPr>
              <w:t>verene</w:t>
            </w:r>
            <w:r w:rsidRPr="00A23740">
              <w:rPr>
                <w:rFonts w:eastAsia="Times New Roman"/>
                <w:szCs w:val="24"/>
                <w:lang w:eastAsia="tr-TR"/>
              </w:rPr>
              <w:t xml:space="preserve"> </w:t>
            </w:r>
            <w:r w:rsidRPr="00A23740">
              <w:rPr>
                <w:lang w:eastAsia="tr-TR"/>
              </w:rPr>
              <w:t>ihale edileceği.</w:t>
            </w:r>
          </w:p>
          <w:p w:rsidR="008C2C3C" w:rsidRPr="00A23740" w:rsidRDefault="008C2C3C" w:rsidP="009431FF">
            <w:pPr>
              <w:rPr>
                <w:lang w:eastAsia="tr-TR"/>
              </w:rPr>
            </w:pPr>
          </w:p>
          <w:p w:rsidR="007C5C54" w:rsidRPr="00A23740" w:rsidRDefault="007C5C54" w:rsidP="009431FF">
            <w:pPr>
              <w:rPr>
                <w:lang w:eastAsia="tr-TR"/>
              </w:rPr>
            </w:pPr>
            <w:r w:rsidRPr="00A23740">
              <w:rPr>
                <w:b/>
                <w:bCs/>
                <w:color w:val="0000FF"/>
                <w:szCs w:val="24"/>
                <w:lang w:val="x-none" w:eastAsia="x-none"/>
              </w:rPr>
              <w:t>d)</w:t>
            </w:r>
            <w:r w:rsidRPr="00A23740">
              <w:rPr>
                <w:lang w:eastAsia="tr-TR"/>
              </w:rPr>
              <w:t xml:space="preserve"> Elektronik satış portalında verilecek tekliflerin malın </w:t>
            </w:r>
            <w:r w:rsidRPr="00A23740">
              <w:rPr>
                <w:b/>
                <w:bCs/>
                <w:color w:val="0000FF"/>
                <w:szCs w:val="24"/>
                <w:lang w:val="x-none" w:eastAsia="x-none"/>
              </w:rPr>
              <w:t>tahmin edilen</w:t>
            </w:r>
            <w:r w:rsidRPr="00A23740">
              <w:rPr>
                <w:lang w:eastAsia="tr-TR"/>
              </w:rPr>
              <w:t xml:space="preserve"> kıymetinin yüzde ellisi ile o malla güvence altına alınan ve satış isteyenin alacağına rüçhanı olan alacakların toplamından hangisi fazla ise bu miktarı ve ayrıca bu miktara ilave olarak paraya çevirme ve paylaştırma </w:t>
            </w:r>
            <w:r w:rsidRPr="00A23740">
              <w:rPr>
                <w:b/>
                <w:bCs/>
                <w:color w:val="0000FF"/>
                <w:szCs w:val="24"/>
                <w:lang w:val="x-none" w:eastAsia="x-none"/>
              </w:rPr>
              <w:t>giderlerini</w:t>
            </w:r>
            <w:r w:rsidRPr="00A23740">
              <w:rPr>
                <w:lang w:eastAsia="tr-TR"/>
              </w:rPr>
              <w:t xml:space="preserve"> geçmesi gerektiği.</w:t>
            </w:r>
          </w:p>
          <w:p w:rsidR="008C2C3C" w:rsidRPr="00A23740" w:rsidRDefault="008C2C3C" w:rsidP="009431FF">
            <w:pPr>
              <w:rPr>
                <w:lang w:eastAsia="tr-TR"/>
              </w:rPr>
            </w:pPr>
          </w:p>
          <w:p w:rsidR="007C5C54" w:rsidRPr="00A23740" w:rsidRDefault="007C5C54" w:rsidP="009431FF">
            <w:pPr>
              <w:rPr>
                <w:lang w:eastAsia="tr-TR"/>
              </w:rPr>
            </w:pPr>
            <w:r w:rsidRPr="00A23740">
              <w:rPr>
                <w:b/>
                <w:bCs/>
                <w:color w:val="0000FF"/>
                <w:szCs w:val="24"/>
                <w:lang w:val="x-none" w:eastAsia="x-none"/>
              </w:rPr>
              <w:t>e)</w:t>
            </w:r>
            <w:r w:rsidRPr="00A23740">
              <w:rPr>
                <w:lang w:eastAsia="tr-TR"/>
              </w:rPr>
              <w:t xml:space="preserve"> Asgari ihale bedelinin teklif edilmemesi nedeniyle ihalenin yapılamadığı veya en yüksek teklif verenin ihale bedelini yatırmaması sebebiyle ihalenin </w:t>
            </w:r>
            <w:r w:rsidRPr="00A23740">
              <w:rPr>
                <w:b/>
                <w:bCs/>
                <w:color w:val="0000FF"/>
                <w:szCs w:val="24"/>
                <w:lang w:val="x-none" w:eastAsia="x-none"/>
              </w:rPr>
              <w:t>kaldırıldığı</w:t>
            </w:r>
            <w:r w:rsidRPr="00A23740">
              <w:rPr>
                <w:lang w:eastAsia="tr-TR"/>
              </w:rPr>
              <w:t xml:space="preserve"> h</w:t>
            </w:r>
            <w:r w:rsidR="00396AB6" w:rsidRPr="00A23740">
              <w:rPr>
                <w:lang w:eastAsia="tr-TR"/>
              </w:rPr>
              <w:t>â</w:t>
            </w:r>
            <w:r w:rsidRPr="00A23740">
              <w:rPr>
                <w:lang w:eastAsia="tr-TR"/>
              </w:rPr>
              <w:t>llerde ikinci artırmanın ilk açık artırmadaki şartlar çerçevesinde tekrar yapılacağı.</w:t>
            </w:r>
          </w:p>
          <w:p w:rsidR="008C2C3C" w:rsidRPr="00A23740" w:rsidRDefault="008C2C3C" w:rsidP="009431FF">
            <w:pPr>
              <w:rPr>
                <w:lang w:eastAsia="tr-TR"/>
              </w:rPr>
            </w:pPr>
          </w:p>
          <w:p w:rsidR="007C5C54" w:rsidRPr="00A23740" w:rsidRDefault="007C5C54" w:rsidP="009431FF">
            <w:pPr>
              <w:rPr>
                <w:lang w:eastAsia="tr-TR"/>
              </w:rPr>
            </w:pPr>
            <w:r w:rsidRPr="00A23740">
              <w:rPr>
                <w:b/>
                <w:bCs/>
                <w:color w:val="0000FF"/>
                <w:szCs w:val="24"/>
                <w:lang w:val="x-none" w:eastAsia="x-none"/>
              </w:rPr>
              <w:t>f)</w:t>
            </w:r>
            <w:r w:rsidRPr="00A23740">
              <w:rPr>
                <w:lang w:eastAsia="tr-TR"/>
              </w:rPr>
              <w:t xml:space="preserve"> İhale alıcısının, satış bedelinin tamamını ihalenin gerçekleştiğine ilişkin tutanağın elektronik satış portalında ilan edildiği tarihten itibaren </w:t>
            </w:r>
            <w:r w:rsidRPr="00A23740">
              <w:rPr>
                <w:b/>
                <w:bCs/>
                <w:color w:val="0000FF"/>
                <w:szCs w:val="24"/>
                <w:lang w:val="x-none" w:eastAsia="x-none"/>
              </w:rPr>
              <w:t>bir hafta</w:t>
            </w:r>
            <w:r w:rsidRPr="00A23740">
              <w:rPr>
                <w:lang w:eastAsia="tr-TR"/>
              </w:rPr>
              <w:t xml:space="preserve"> içinde icra</w:t>
            </w:r>
            <w:r w:rsidR="00396AB6" w:rsidRPr="00A23740">
              <w:rPr>
                <w:lang w:eastAsia="tr-TR"/>
              </w:rPr>
              <w:t xml:space="preserve"> </w:t>
            </w:r>
            <w:r w:rsidR="00396AB6" w:rsidRPr="00A23740">
              <w:rPr>
                <w:b/>
                <w:bCs/>
                <w:color w:val="0000FF"/>
                <w:szCs w:val="24"/>
                <w:lang w:val="x-none" w:eastAsia="x-none"/>
              </w:rPr>
              <w:t>ve iflas</w:t>
            </w:r>
            <w:r w:rsidRPr="00A23740">
              <w:rPr>
                <w:lang w:eastAsia="tr-TR"/>
              </w:rPr>
              <w:t xml:space="preserve"> dairesi hesabına ödemesi gerektiği.</w:t>
            </w:r>
          </w:p>
          <w:p w:rsidR="007C5C54" w:rsidRPr="00A23740" w:rsidRDefault="007C5C54" w:rsidP="009431FF">
            <w:pPr>
              <w:rPr>
                <w:b/>
                <w:bCs/>
                <w:color w:val="0000FF"/>
                <w:szCs w:val="24"/>
                <w:lang w:val="x-none" w:eastAsia="x-none"/>
              </w:rPr>
            </w:pPr>
          </w:p>
          <w:p w:rsidR="007C5C54" w:rsidRPr="00A23740" w:rsidRDefault="007C5C54" w:rsidP="009431FF">
            <w:pPr>
              <w:rPr>
                <w:b/>
                <w:color w:val="0000FF"/>
                <w:szCs w:val="24"/>
                <w:lang w:eastAsia="tr-TR"/>
              </w:rPr>
            </w:pPr>
            <w:r w:rsidRPr="00A23740">
              <w:rPr>
                <w:b/>
                <w:bCs/>
                <w:color w:val="0000FF"/>
                <w:szCs w:val="24"/>
                <w:lang w:val="x-none" w:eastAsia="x-none"/>
              </w:rPr>
              <w:t>g)</w:t>
            </w:r>
            <w:r w:rsidRPr="00A23740">
              <w:rPr>
                <w:b/>
                <w:color w:val="0000FF"/>
                <w:szCs w:val="24"/>
                <w:lang w:eastAsia="tr-TR"/>
              </w:rPr>
              <w:t xml:space="preserve"> Borçluya ve alıcılara tanınan muafiyet ve istisnalar</w:t>
            </w:r>
            <w:r w:rsidR="00945F6C" w:rsidRPr="00C92583">
              <w:rPr>
                <w:rStyle w:val="Balk1Char"/>
                <w:rFonts w:eastAsia="Calibri"/>
              </w:rPr>
              <w:t>ın neler olduğu ve</w:t>
            </w:r>
            <w:r w:rsidRPr="00C92583">
              <w:rPr>
                <w:rStyle w:val="Balk1Char"/>
                <w:rFonts w:eastAsia="Calibri"/>
              </w:rPr>
              <w:t xml:space="preserve"> </w:t>
            </w:r>
            <w:r w:rsidRPr="00A23740">
              <w:rPr>
                <w:b/>
                <w:color w:val="0000FF"/>
                <w:szCs w:val="24"/>
                <w:lang w:eastAsia="tr-TR"/>
              </w:rPr>
              <w:t>tapu harcı, vergi, tescil, tahliye ve teslim gibi giderlerin hangilerinin alıcıya ait olacağı.</w:t>
            </w:r>
          </w:p>
          <w:p w:rsidR="007C5C54" w:rsidRPr="00A23740" w:rsidRDefault="007C5C54" w:rsidP="009431FF">
            <w:pPr>
              <w:rPr>
                <w:b/>
                <w:bCs/>
                <w:color w:val="0000FF"/>
                <w:szCs w:val="24"/>
                <w:lang w:val="x-none" w:eastAsia="x-none"/>
              </w:rPr>
            </w:pPr>
          </w:p>
          <w:p w:rsidR="007C5C54" w:rsidRPr="00A23740" w:rsidRDefault="007C5C54" w:rsidP="009431FF">
            <w:pPr>
              <w:rPr>
                <w:b/>
                <w:color w:val="0000FF"/>
                <w:szCs w:val="24"/>
                <w:lang w:eastAsia="tr-TR"/>
              </w:rPr>
            </w:pPr>
            <w:r w:rsidRPr="00A23740">
              <w:rPr>
                <w:b/>
                <w:bCs/>
                <w:color w:val="0000FF"/>
                <w:szCs w:val="24"/>
                <w:lang w:val="x-none" w:eastAsia="x-none"/>
              </w:rPr>
              <w:t>ğ)</w:t>
            </w:r>
            <w:r w:rsidRPr="00A23740">
              <w:rPr>
                <w:b/>
                <w:color w:val="0000FF"/>
                <w:szCs w:val="24"/>
                <w:lang w:eastAsia="tr-TR"/>
              </w:rPr>
              <w:t xml:space="preserve"> İhale edilen malın mülkiyetinin iktisabı için özel kanunlarda aranan diğer şartların neler olduğu.</w:t>
            </w:r>
          </w:p>
          <w:p w:rsidR="00396AB6" w:rsidRPr="00A23740" w:rsidRDefault="00396AB6" w:rsidP="009431FF">
            <w:pPr>
              <w:rPr>
                <w:b/>
                <w:bCs/>
                <w:color w:val="0000FF"/>
                <w:szCs w:val="24"/>
                <w:lang w:val="x-none" w:eastAsia="x-none"/>
              </w:rPr>
            </w:pPr>
          </w:p>
          <w:p w:rsidR="007C5C54" w:rsidRPr="00A23740" w:rsidRDefault="007C5C54" w:rsidP="009431FF">
            <w:pPr>
              <w:rPr>
                <w:b/>
                <w:bCs/>
                <w:color w:val="0000FF"/>
                <w:szCs w:val="24"/>
                <w:lang w:val="x-none" w:eastAsia="x-none"/>
              </w:rPr>
            </w:pPr>
            <w:r w:rsidRPr="00A23740">
              <w:rPr>
                <w:b/>
                <w:bCs/>
                <w:color w:val="0000FF"/>
                <w:szCs w:val="24"/>
                <w:lang w:val="x-none" w:eastAsia="x-none"/>
              </w:rPr>
              <w:t>h)</w:t>
            </w:r>
            <w:r w:rsidRPr="00A23740">
              <w:rPr>
                <w:b/>
                <w:color w:val="0000FF"/>
                <w:szCs w:val="24"/>
                <w:lang w:eastAsia="tr-TR"/>
              </w:rPr>
              <w:t xml:space="preserve"> Taşınmazın mükellefiyetler listesinde yazılı bulunan yükümlülüklerle birlikte satılacağı, </w:t>
            </w:r>
            <w:r w:rsidRPr="00A23740">
              <w:rPr>
                <w:b/>
                <w:bCs/>
                <w:color w:val="0000FF"/>
                <w:szCs w:val="24"/>
                <w:lang w:val="x-none" w:eastAsia="x-none"/>
              </w:rPr>
              <w:t>ipotekle temin edilmiş muaccel borçların ise alıcıya intikal etmeyip satış bedelinden öncelikle ödeneceği.</w:t>
            </w:r>
          </w:p>
          <w:p w:rsidR="00396AB6" w:rsidRPr="00A23740" w:rsidRDefault="00396AB6" w:rsidP="009431FF">
            <w:pPr>
              <w:rPr>
                <w:b/>
                <w:bCs/>
                <w:color w:val="0000FF"/>
                <w:szCs w:val="24"/>
                <w:lang w:val="x-none" w:eastAsia="x-none"/>
              </w:rPr>
            </w:pPr>
          </w:p>
          <w:p w:rsidR="008C2C3C" w:rsidRPr="00A23740" w:rsidRDefault="008C2C3C" w:rsidP="009431FF">
            <w:pPr>
              <w:rPr>
                <w:b/>
                <w:bCs/>
                <w:color w:val="0000FF"/>
                <w:szCs w:val="24"/>
                <w:lang w:val="x-none" w:eastAsia="x-none"/>
              </w:rPr>
            </w:pPr>
          </w:p>
          <w:p w:rsidR="007C5C54" w:rsidRPr="00A23740" w:rsidRDefault="007C5C54" w:rsidP="009431FF">
            <w:pPr>
              <w:rPr>
                <w:rFonts w:eastAsia="Times New Roman"/>
                <w:szCs w:val="24"/>
                <w:lang w:eastAsia="tr-TR"/>
              </w:rPr>
            </w:pPr>
            <w:r w:rsidRPr="00A23740">
              <w:rPr>
                <w:b/>
                <w:bCs/>
                <w:color w:val="0000FF"/>
                <w:szCs w:val="24"/>
                <w:lang w:val="x-none" w:eastAsia="x-none"/>
              </w:rPr>
              <w:t>ı)</w:t>
            </w:r>
            <w:r w:rsidRPr="00A23740">
              <w:rPr>
                <w:rFonts w:eastAsia="Times New Roman"/>
                <w:szCs w:val="24"/>
                <w:lang w:eastAsia="tr-TR"/>
              </w:rPr>
              <w:t xml:space="preserve"> İpotek ve ipotekli borç senediyle temin edilmiş </w:t>
            </w:r>
            <w:r w:rsidRPr="00A23740">
              <w:rPr>
                <w:b/>
                <w:bCs/>
                <w:color w:val="0000FF"/>
                <w:szCs w:val="24"/>
                <w:lang w:val="x-none" w:eastAsia="x-none"/>
              </w:rPr>
              <w:t>olup</w:t>
            </w:r>
            <w:r w:rsidRPr="00A23740">
              <w:rPr>
                <w:rFonts w:eastAsia="Times New Roman"/>
                <w:szCs w:val="24"/>
                <w:lang w:eastAsia="tr-TR"/>
              </w:rPr>
              <w:t xml:space="preserve"> </w:t>
            </w:r>
            <w:r w:rsidRPr="00A23740">
              <w:rPr>
                <w:b/>
                <w:bCs/>
                <w:color w:val="0000FF"/>
                <w:szCs w:val="24"/>
                <w:lang w:val="x-none" w:eastAsia="x-none"/>
              </w:rPr>
              <w:t>da</w:t>
            </w:r>
            <w:r w:rsidRPr="00A23740">
              <w:rPr>
                <w:rFonts w:eastAsia="Times New Roman"/>
                <w:szCs w:val="24"/>
                <w:lang w:eastAsia="tr-TR"/>
              </w:rPr>
              <w:t xml:space="preserve"> bu suretle </w:t>
            </w:r>
            <w:r w:rsidRPr="00A23740">
              <w:rPr>
                <w:b/>
                <w:bCs/>
                <w:color w:val="0000FF"/>
                <w:szCs w:val="24"/>
                <w:lang w:val="x-none" w:eastAsia="x-none"/>
              </w:rPr>
              <w:t>alıcıya</w:t>
            </w:r>
            <w:r w:rsidRPr="00A23740">
              <w:rPr>
                <w:rFonts w:eastAsia="Times New Roman"/>
                <w:szCs w:val="24"/>
                <w:lang w:eastAsia="tr-TR"/>
              </w:rPr>
              <w:t xml:space="preserve"> devrolunan borçtan asıl borçlunun kurtulması</w:t>
            </w:r>
            <w:r w:rsidRPr="00A23740">
              <w:rPr>
                <w:b/>
                <w:bCs/>
                <w:color w:val="0000FF"/>
                <w:szCs w:val="24"/>
                <w:lang w:val="x-none" w:eastAsia="x-none"/>
              </w:rPr>
              <w:t>nın</w:t>
            </w:r>
            <w:r w:rsidRPr="00A23740">
              <w:rPr>
                <w:rFonts w:eastAsia="Times New Roman"/>
                <w:szCs w:val="24"/>
                <w:lang w:eastAsia="tr-TR"/>
              </w:rPr>
              <w:t xml:space="preserve"> alacaklının müracaat hakkının </w:t>
            </w:r>
            <w:r w:rsidRPr="00A23740">
              <w:rPr>
                <w:b/>
                <w:bCs/>
                <w:color w:val="0000FF"/>
                <w:szCs w:val="24"/>
                <w:lang w:val="x-none" w:eastAsia="x-none"/>
              </w:rPr>
              <w:t xml:space="preserve">saklı </w:t>
            </w:r>
            <w:r w:rsidRPr="00A23740">
              <w:rPr>
                <w:rFonts w:eastAsia="Times New Roman"/>
                <w:szCs w:val="24"/>
                <w:lang w:eastAsia="tr-TR"/>
              </w:rPr>
              <w:t xml:space="preserve">olduğunu ihaleden itibaren bir </w:t>
            </w:r>
            <w:r w:rsidRPr="00A23740">
              <w:rPr>
                <w:b/>
                <w:bCs/>
                <w:color w:val="0000FF"/>
                <w:szCs w:val="24"/>
                <w:lang w:val="x-none" w:eastAsia="x-none"/>
              </w:rPr>
              <w:t>yıl</w:t>
            </w:r>
            <w:r w:rsidRPr="00A23740">
              <w:rPr>
                <w:rFonts w:eastAsia="Times New Roman"/>
                <w:szCs w:val="24"/>
                <w:lang w:eastAsia="tr-TR"/>
              </w:rPr>
              <w:t xml:space="preserve"> içinde </w:t>
            </w:r>
            <w:r w:rsidRPr="00A23740">
              <w:rPr>
                <w:b/>
                <w:bCs/>
                <w:color w:val="0000FF"/>
                <w:szCs w:val="24"/>
                <w:lang w:val="x-none" w:eastAsia="x-none"/>
              </w:rPr>
              <w:t>borçluya</w:t>
            </w:r>
            <w:r w:rsidRPr="00A23740">
              <w:rPr>
                <w:rFonts w:eastAsia="Times New Roman"/>
                <w:szCs w:val="24"/>
                <w:lang w:eastAsia="tr-TR"/>
              </w:rPr>
              <w:t xml:space="preserve"> bildirmemiş olmasına</w:t>
            </w:r>
            <w:r w:rsidRPr="00A23740">
              <w:rPr>
                <w:b/>
                <w:bCs/>
                <w:color w:val="0000FF"/>
                <w:szCs w:val="24"/>
                <w:lang w:val="x-none" w:eastAsia="x-none"/>
              </w:rPr>
              <w:t xml:space="preserve"> bağlı olacağı</w:t>
            </w:r>
            <w:r w:rsidRPr="00A23740">
              <w:rPr>
                <w:rFonts w:eastAsia="Times New Roman"/>
                <w:szCs w:val="24"/>
                <w:lang w:eastAsia="tr-TR"/>
              </w:rPr>
              <w:t>.</w:t>
            </w:r>
          </w:p>
          <w:p w:rsidR="007C5C54" w:rsidRPr="00A23740" w:rsidRDefault="007C5C54" w:rsidP="009431FF">
            <w:pPr>
              <w:rPr>
                <w:rFonts w:eastAsia="Times New Roman"/>
                <w:szCs w:val="24"/>
                <w:lang w:eastAsia="tr-TR"/>
              </w:rPr>
            </w:pPr>
          </w:p>
          <w:p w:rsidR="008C2C3C" w:rsidRPr="00A23740" w:rsidRDefault="008C2C3C" w:rsidP="009431FF">
            <w:pPr>
              <w:rPr>
                <w:rFonts w:eastAsia="Times New Roman"/>
                <w:szCs w:val="24"/>
                <w:lang w:eastAsia="tr-TR"/>
              </w:rPr>
            </w:pPr>
          </w:p>
          <w:p w:rsidR="008C2C3C" w:rsidRPr="00A23740" w:rsidRDefault="008C2C3C" w:rsidP="009431FF">
            <w:pPr>
              <w:rPr>
                <w:rFonts w:eastAsia="Times New Roman"/>
                <w:szCs w:val="24"/>
                <w:lang w:eastAsia="tr-TR"/>
              </w:rPr>
            </w:pPr>
          </w:p>
          <w:p w:rsidR="008C2C3C" w:rsidRPr="00A23740" w:rsidRDefault="008C2C3C" w:rsidP="009431FF">
            <w:pPr>
              <w:rPr>
                <w:rFonts w:eastAsia="Times New Roman"/>
                <w:szCs w:val="24"/>
                <w:lang w:eastAsia="tr-TR"/>
              </w:rPr>
            </w:pPr>
          </w:p>
          <w:p w:rsidR="007C5C54" w:rsidRPr="00A23740" w:rsidRDefault="007C5C54" w:rsidP="009431FF">
            <w:pPr>
              <w:rPr>
                <w:lang w:eastAsia="tr-TR"/>
              </w:rPr>
            </w:pPr>
            <w:r w:rsidRPr="00A23740">
              <w:rPr>
                <w:b/>
                <w:bCs/>
                <w:color w:val="0000FF"/>
                <w:szCs w:val="24"/>
                <w:lang w:val="x-none" w:eastAsia="x-none"/>
              </w:rPr>
              <w:t>i)</w:t>
            </w:r>
            <w:r w:rsidRPr="00A23740">
              <w:rPr>
                <w:lang w:eastAsia="tr-TR"/>
              </w:rPr>
              <w:t xml:space="preserve"> İhalenin kesinleşmesi üzerine taşınırın ihale alıcısına tesliminin veya sicile kayıtlı malın ihale alıcısı adına tescilinin, damga vergisi ve katma değer vergisinin yatırılmasından sonra gerçekleştiril</w:t>
            </w:r>
            <w:r w:rsidRPr="00A23740">
              <w:rPr>
                <w:b/>
                <w:bCs/>
                <w:color w:val="0000FF"/>
                <w:szCs w:val="24"/>
                <w:lang w:val="x-none" w:eastAsia="x-none"/>
              </w:rPr>
              <w:t>eceği</w:t>
            </w:r>
            <w:r w:rsidRPr="00A23740">
              <w:rPr>
                <w:lang w:eastAsia="tr-TR"/>
              </w:rPr>
              <w:t>.</w:t>
            </w:r>
          </w:p>
          <w:p w:rsidR="007C5C54" w:rsidRPr="00A23740" w:rsidRDefault="007C5C54" w:rsidP="009431FF">
            <w:pPr>
              <w:rPr>
                <w:lang w:eastAsia="tr-TR"/>
              </w:rPr>
            </w:pPr>
          </w:p>
          <w:p w:rsidR="007C5C54" w:rsidRPr="00A23740" w:rsidRDefault="007C5C54" w:rsidP="009431FF">
            <w:pPr>
              <w:rPr>
                <w:lang w:eastAsia="tr-TR"/>
              </w:rPr>
            </w:pPr>
          </w:p>
          <w:p w:rsidR="008C2C3C" w:rsidRPr="00A23740" w:rsidRDefault="008C2C3C" w:rsidP="009431FF">
            <w:pPr>
              <w:rPr>
                <w:lang w:eastAsia="tr-TR"/>
              </w:rPr>
            </w:pPr>
          </w:p>
          <w:p w:rsidR="008C2C3C" w:rsidRPr="00A23740" w:rsidRDefault="008C2C3C" w:rsidP="009431FF">
            <w:pPr>
              <w:rPr>
                <w:lang w:eastAsia="tr-TR"/>
              </w:rPr>
            </w:pPr>
          </w:p>
          <w:p w:rsidR="008C2C3C" w:rsidRPr="00A23740" w:rsidRDefault="008C2C3C" w:rsidP="009431FF">
            <w:pPr>
              <w:rPr>
                <w:lang w:eastAsia="tr-TR"/>
              </w:rPr>
            </w:pPr>
          </w:p>
          <w:p w:rsidR="008C2C3C" w:rsidRDefault="008C2C3C" w:rsidP="009431FF">
            <w:pPr>
              <w:rPr>
                <w:lang w:eastAsia="tr-TR"/>
              </w:rPr>
            </w:pPr>
          </w:p>
          <w:p w:rsidR="00BD41B4" w:rsidRPr="00A23740" w:rsidRDefault="00BD41B4" w:rsidP="009431FF">
            <w:pPr>
              <w:rPr>
                <w:lang w:eastAsia="tr-TR"/>
              </w:rPr>
            </w:pPr>
          </w:p>
          <w:p w:rsidR="007C5C54" w:rsidRPr="00A23740" w:rsidRDefault="007C5C54" w:rsidP="009431FF">
            <w:pPr>
              <w:tabs>
                <w:tab w:val="left" w:pos="567"/>
              </w:tabs>
              <w:rPr>
                <w:szCs w:val="24"/>
                <w:lang w:eastAsia="tr-TR"/>
              </w:rPr>
            </w:pPr>
            <w:r w:rsidRPr="00A23740">
              <w:rPr>
                <w:rFonts w:eastAsia="Times New Roman"/>
                <w:b/>
                <w:color w:val="0000FF"/>
                <w:szCs w:val="24"/>
                <w:lang w:eastAsia="tr-TR"/>
              </w:rPr>
              <w:t xml:space="preserve">j) </w:t>
            </w:r>
            <w:r w:rsidRPr="00A23740">
              <w:rPr>
                <w:b/>
                <w:bCs/>
                <w:color w:val="0000FF"/>
                <w:kern w:val="32"/>
                <w:szCs w:val="32"/>
              </w:rPr>
              <w:t>İ</w:t>
            </w:r>
            <w:r w:rsidRPr="00A23740">
              <w:rPr>
                <w:szCs w:val="24"/>
                <w:lang w:eastAsia="tr-TR"/>
              </w:rPr>
              <w:t>potek</w:t>
            </w:r>
            <w:r w:rsidRPr="00A23740">
              <w:rPr>
                <w:rFonts w:eastAsia="Times New Roman"/>
                <w:b/>
                <w:color w:val="0000FF"/>
                <w:szCs w:val="24"/>
                <w:lang w:eastAsia="tr-TR"/>
              </w:rPr>
              <w:t xml:space="preserve"> ve irtifak hakkına sahip </w:t>
            </w:r>
            <w:r w:rsidRPr="00A23740">
              <w:rPr>
                <w:szCs w:val="24"/>
                <w:lang w:eastAsia="tr-TR"/>
              </w:rPr>
              <w:t>alacaklılar ile diğer ilgililerin</w:t>
            </w:r>
            <w:r w:rsidRPr="00A23740">
              <w:rPr>
                <w:b/>
                <w:bCs/>
                <w:color w:val="0000FF"/>
                <w:szCs w:val="24"/>
                <w:lang w:val="x-none" w:eastAsia="x-none"/>
              </w:rPr>
              <w:t>,</w:t>
            </w:r>
            <w:r w:rsidRPr="00A23740">
              <w:rPr>
                <w:szCs w:val="24"/>
                <w:lang w:eastAsia="tr-TR"/>
              </w:rPr>
              <w:t xml:space="preserve"> taşınmaz üzerindeki haklarını, </w:t>
            </w:r>
            <w:r w:rsidRPr="00A23740">
              <w:rPr>
                <w:b/>
                <w:bCs/>
                <w:color w:val="0000FF"/>
                <w:szCs w:val="24"/>
                <w:lang w:val="x-none" w:eastAsia="x-none"/>
              </w:rPr>
              <w:t>özellikle</w:t>
            </w:r>
            <w:r w:rsidRPr="00A23740">
              <w:rPr>
                <w:szCs w:val="24"/>
                <w:lang w:eastAsia="tr-TR"/>
              </w:rPr>
              <w:t xml:space="preserve"> faiz ve </w:t>
            </w:r>
            <w:r w:rsidRPr="00A23740">
              <w:rPr>
                <w:b/>
                <w:bCs/>
                <w:color w:val="0000FF"/>
                <w:szCs w:val="24"/>
                <w:lang w:val="x-none" w:eastAsia="x-none"/>
              </w:rPr>
              <w:t>gidere</w:t>
            </w:r>
            <w:r w:rsidRPr="00A23740">
              <w:rPr>
                <w:szCs w:val="24"/>
                <w:lang w:eastAsia="tr-TR"/>
              </w:rPr>
              <w:t xml:space="preserve"> dair olan iddialarını </w:t>
            </w:r>
            <w:r w:rsidRPr="00A23740">
              <w:rPr>
                <w:b/>
                <w:bCs/>
                <w:color w:val="0000FF"/>
                <w:szCs w:val="24"/>
                <w:lang w:val="x-none" w:eastAsia="x-none"/>
              </w:rPr>
              <w:t>dayanak belgeleriyle birlikte satış ilanının elektronik satış portalında erişime açıldığı tarihten itibaren</w:t>
            </w:r>
            <w:r w:rsidRPr="00A23740">
              <w:rPr>
                <w:rFonts w:eastAsia="ヒラギノ明朝 Pro W3"/>
                <w:b/>
                <w:color w:val="339933"/>
                <w:szCs w:val="24"/>
              </w:rPr>
              <w:t xml:space="preserve"> </w:t>
            </w:r>
            <w:r w:rsidRPr="00A23740">
              <w:rPr>
                <w:b/>
                <w:bCs/>
                <w:color w:val="0000FF"/>
                <w:szCs w:val="24"/>
                <w:lang w:val="x-none" w:eastAsia="x-none"/>
              </w:rPr>
              <w:t xml:space="preserve">iki hafta </w:t>
            </w:r>
            <w:r w:rsidRPr="00A23740">
              <w:rPr>
                <w:szCs w:val="24"/>
                <w:lang w:eastAsia="tr-TR"/>
              </w:rPr>
              <w:t xml:space="preserve">içinde icra </w:t>
            </w:r>
            <w:r w:rsidRPr="00A23740">
              <w:rPr>
                <w:b/>
                <w:bCs/>
                <w:color w:val="0000FF"/>
                <w:szCs w:val="24"/>
                <w:lang w:val="x-none" w:eastAsia="x-none"/>
              </w:rPr>
              <w:t>ve iflas</w:t>
            </w:r>
            <w:r w:rsidRPr="00A23740">
              <w:rPr>
                <w:szCs w:val="24"/>
                <w:lang w:eastAsia="tr-TR"/>
              </w:rPr>
              <w:t xml:space="preserve"> dairesine bildirmeleri gerektiği</w:t>
            </w:r>
            <w:r w:rsidR="00945F6C" w:rsidRPr="00A23740">
              <w:rPr>
                <w:rStyle w:val="KIRMIZIChar"/>
                <w:rFonts w:eastAsia="Calibri"/>
                <w:strike w:val="0"/>
                <w:color w:val="385623"/>
              </w:rPr>
              <w:t xml:space="preserve">; </w:t>
            </w:r>
            <w:r w:rsidRPr="00A23740">
              <w:rPr>
                <w:szCs w:val="24"/>
                <w:lang w:eastAsia="tr-TR"/>
              </w:rPr>
              <w:t>aksi</w:t>
            </w:r>
            <w:r w:rsidR="00945F6C" w:rsidRPr="00A23740">
              <w:rPr>
                <w:szCs w:val="24"/>
                <w:lang w:eastAsia="tr-TR"/>
              </w:rPr>
              <w:t xml:space="preserve"> </w:t>
            </w:r>
            <w:r w:rsidR="00945F6C" w:rsidRPr="00C92583">
              <w:rPr>
                <w:rStyle w:val="Balk1Char"/>
                <w:rFonts w:eastAsia="Calibri"/>
              </w:rPr>
              <w:t>takdirde,</w:t>
            </w:r>
            <w:r w:rsidRPr="00A23740">
              <w:rPr>
                <w:color w:val="385623"/>
                <w:szCs w:val="24"/>
                <w:lang w:eastAsia="tr-TR"/>
              </w:rPr>
              <w:t xml:space="preserve"> </w:t>
            </w:r>
            <w:r w:rsidRPr="00A23740">
              <w:rPr>
                <w:szCs w:val="24"/>
                <w:lang w:eastAsia="tr-TR"/>
              </w:rPr>
              <w:t>hakları tapu sicili</w:t>
            </w:r>
            <w:r w:rsidRPr="00A23740">
              <w:rPr>
                <w:b/>
                <w:bCs/>
                <w:color w:val="0000FF"/>
                <w:szCs w:val="24"/>
                <w:lang w:val="x-none" w:eastAsia="x-none"/>
              </w:rPr>
              <w:t xml:space="preserve">nden anlaşılmadıkça </w:t>
            </w:r>
            <w:r w:rsidRPr="00A23740">
              <w:rPr>
                <w:szCs w:val="24"/>
                <w:lang w:eastAsia="tr-TR"/>
              </w:rPr>
              <w:t>satış bedelinin paylaş</w:t>
            </w:r>
            <w:r w:rsidRPr="00A23740">
              <w:rPr>
                <w:b/>
                <w:bCs/>
                <w:color w:val="0000FF"/>
                <w:szCs w:val="24"/>
                <w:lang w:val="x-none" w:eastAsia="x-none"/>
              </w:rPr>
              <w:t>tırıl</w:t>
            </w:r>
            <w:r w:rsidRPr="00A23740">
              <w:rPr>
                <w:szCs w:val="24"/>
                <w:lang w:eastAsia="tr-TR"/>
              </w:rPr>
              <w:t>masından hariç kalacakları.</w:t>
            </w:r>
          </w:p>
          <w:p w:rsidR="007C5C54" w:rsidRPr="00A23740" w:rsidRDefault="007C5C54" w:rsidP="009431FF">
            <w:pPr>
              <w:pStyle w:val="KIRMIZI"/>
              <w:rPr>
                <w:lang w:eastAsia="tr-TR"/>
              </w:rPr>
            </w:pPr>
          </w:p>
        </w:tc>
      </w:tr>
      <w:tr w:rsidR="00444F0F" w:rsidRPr="00A23740" w:rsidTr="009431FF">
        <w:tblPrEx>
          <w:tblLook w:val="01E0" w:firstRow="1" w:lastRow="1" w:firstColumn="1" w:lastColumn="1" w:noHBand="0" w:noVBand="0"/>
        </w:tblPrEx>
        <w:tc>
          <w:tcPr>
            <w:tcW w:w="5000" w:type="pct"/>
            <w:gridSpan w:val="2"/>
            <w:shd w:val="clear" w:color="auto" w:fill="DEEAF6"/>
          </w:tcPr>
          <w:p w:rsidR="00444F0F" w:rsidRPr="00A23740" w:rsidRDefault="00444F0F" w:rsidP="009431FF">
            <w:pPr>
              <w:ind w:firstLine="709"/>
              <w:rPr>
                <w:rFonts w:eastAsia="Times New Roman"/>
                <w:color w:val="000000"/>
                <w:szCs w:val="24"/>
                <w:lang w:eastAsia="tr-TR"/>
              </w:rPr>
            </w:pPr>
          </w:p>
          <w:p w:rsidR="00444F0F" w:rsidRPr="00A23740" w:rsidRDefault="00444F0F"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D44C05" w:rsidRPr="00A23740">
              <w:rPr>
                <w:rFonts w:eastAsia="Times New Roman"/>
                <w:b/>
                <w:color w:val="000000"/>
                <w:szCs w:val="24"/>
                <w:lang w:eastAsia="tr-TR"/>
              </w:rPr>
              <w:t>225</w:t>
            </w:r>
            <w:r w:rsidRPr="00A23740">
              <w:rPr>
                <w:rFonts w:eastAsia="Times New Roman"/>
                <w:color w:val="000000"/>
                <w:szCs w:val="24"/>
                <w:lang w:eastAsia="tr-TR"/>
              </w:rPr>
              <w:t xml:space="preserve">- Maddeyle, </w:t>
            </w:r>
            <w:r w:rsidR="003E212E" w:rsidRPr="00A23740">
              <w:rPr>
                <w:rFonts w:eastAsia="Times New Roman"/>
                <w:color w:val="000000"/>
                <w:szCs w:val="24"/>
                <w:lang w:eastAsia="tr-TR"/>
              </w:rPr>
              <w:t>s</w:t>
            </w:r>
            <w:r w:rsidR="00D44C05" w:rsidRPr="00A23740">
              <w:rPr>
                <w:rFonts w:eastAsia="Times New Roman"/>
                <w:color w:val="000000"/>
                <w:szCs w:val="24"/>
                <w:lang w:eastAsia="tr-TR"/>
              </w:rPr>
              <w:t>atış usulü ve sonuçlarına ilişkin olarak şartname</w:t>
            </w:r>
            <w:r w:rsidR="003E212E" w:rsidRPr="00A23740">
              <w:rPr>
                <w:rFonts w:eastAsia="Times New Roman"/>
                <w:color w:val="000000"/>
                <w:szCs w:val="24"/>
                <w:lang w:eastAsia="tr-TR"/>
              </w:rPr>
              <w:t xml:space="preserve">de yer alması gereken </w:t>
            </w:r>
            <w:r w:rsidR="00D44C05" w:rsidRPr="00A23740">
              <w:rPr>
                <w:rFonts w:eastAsia="Times New Roman"/>
                <w:color w:val="000000"/>
                <w:szCs w:val="24"/>
                <w:lang w:eastAsia="tr-TR"/>
              </w:rPr>
              <w:t xml:space="preserve">hususlar </w:t>
            </w:r>
            <w:r w:rsidRPr="00A23740">
              <w:rPr>
                <w:rFonts w:eastAsia="Times New Roman"/>
                <w:color w:val="000000"/>
                <w:szCs w:val="24"/>
                <w:lang w:eastAsia="tr-TR"/>
              </w:rPr>
              <w:t xml:space="preserve"> düzenlenmektedir. Hüküm, 2004 sayılı Kanunun 125 ve 126 ncı maddelerine karşılık gelmektedir.</w:t>
            </w:r>
          </w:p>
          <w:p w:rsidR="00444F0F" w:rsidRPr="00A23740" w:rsidRDefault="00F30ECB" w:rsidP="001971CE">
            <w:pPr>
              <w:pStyle w:val="YeniYeil"/>
              <w:rPr>
                <w:color w:val="000000"/>
                <w:lang w:eastAsia="tr-TR"/>
              </w:rPr>
            </w:pPr>
            <w:r w:rsidRPr="00A23740">
              <w:rPr>
                <w:lang w:val="tr-TR" w:eastAsia="tr-TR"/>
              </w:rPr>
              <w:tab/>
            </w:r>
            <w:r w:rsidR="00E374E2" w:rsidRPr="00D60C1D">
              <w:rPr>
                <w:b w:val="0"/>
                <w:color w:val="000000"/>
                <w:lang w:val="tr-TR" w:eastAsia="tr-TR"/>
              </w:rPr>
              <w:t>Birinci fıkrada, satış usulü ve sonuçlarına ilişkin olarak şartnamede yer alacak hususlar bentler hâlinde sayılmaktadır.</w:t>
            </w:r>
          </w:p>
          <w:p w:rsidR="00444F0F" w:rsidRPr="00A23740" w:rsidRDefault="00444F0F"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F22B90" w:rsidRPr="00A23740" w:rsidRDefault="00F22B90" w:rsidP="009431FF">
            <w:pPr>
              <w:tabs>
                <w:tab w:val="left" w:pos="567"/>
              </w:tabs>
              <w:rPr>
                <w:rStyle w:val="KIRMIZIChar"/>
                <w:rFonts w:eastAsia="Calibri"/>
              </w:rPr>
            </w:pPr>
          </w:p>
          <w:p w:rsidR="00F22B90" w:rsidRPr="00A23740" w:rsidRDefault="00F22B90" w:rsidP="009431FF">
            <w:pPr>
              <w:tabs>
                <w:tab w:val="left" w:pos="567"/>
              </w:tabs>
              <w:rPr>
                <w:rStyle w:val="KIRMIZIChar"/>
                <w:rFonts w:eastAsia="Calibri"/>
              </w:rPr>
            </w:pPr>
          </w:p>
          <w:p w:rsidR="00F22B90" w:rsidRPr="00A23740" w:rsidRDefault="00F22B90" w:rsidP="009431FF">
            <w:pPr>
              <w:tabs>
                <w:tab w:val="left" w:pos="567"/>
              </w:tabs>
              <w:rPr>
                <w:rStyle w:val="KIRMIZIChar"/>
                <w:rFonts w:eastAsia="Calibri"/>
              </w:rPr>
            </w:pPr>
          </w:p>
          <w:p w:rsidR="00F22B90" w:rsidRPr="00A23740" w:rsidRDefault="00F22B90" w:rsidP="009431FF">
            <w:pPr>
              <w:tabs>
                <w:tab w:val="left" w:pos="567"/>
              </w:tabs>
              <w:rPr>
                <w:rStyle w:val="KIRMIZIChar"/>
                <w:rFonts w:eastAsia="Calibri"/>
              </w:rPr>
            </w:pPr>
          </w:p>
          <w:p w:rsidR="00F22B90" w:rsidRPr="00A23740" w:rsidRDefault="00F22B90" w:rsidP="009431FF">
            <w:pPr>
              <w:tabs>
                <w:tab w:val="left" w:pos="567"/>
              </w:tabs>
              <w:rPr>
                <w:rStyle w:val="KIRMIZIChar"/>
                <w:rFonts w:eastAsia="Calibri"/>
              </w:rPr>
            </w:pPr>
          </w:p>
          <w:p w:rsidR="00AA5C8C" w:rsidRPr="00A23740" w:rsidRDefault="00AA5C8C" w:rsidP="009431FF">
            <w:pPr>
              <w:tabs>
                <w:tab w:val="left" w:pos="567"/>
              </w:tabs>
              <w:rPr>
                <w:rStyle w:val="KIRMIZIChar"/>
                <w:rFonts w:eastAsia="Calibri"/>
                <w:b w:val="0"/>
                <w:strike w:val="0"/>
              </w:rPr>
            </w:pPr>
            <w:r w:rsidRPr="00A23740">
              <w:rPr>
                <w:rStyle w:val="KIRMIZIChar"/>
                <w:rFonts w:eastAsia="Calibri"/>
              </w:rPr>
              <w:t>Müddetler</w:t>
            </w:r>
            <w:r w:rsidRPr="00A23740">
              <w:rPr>
                <w:rStyle w:val="KIRMIZIChar"/>
                <w:rFonts w:eastAsia="Calibri"/>
                <w:strike w:val="0"/>
              </w:rPr>
              <w:t>:</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112 – (1)</w:t>
            </w:r>
            <w:r w:rsidRPr="00A23740">
              <w:rPr>
                <w:rFonts w:eastAsia="Times New Roman"/>
                <w:b/>
                <w:szCs w:val="24"/>
                <w:lang w:eastAsia="tr-TR"/>
              </w:rPr>
              <w:t xml:space="preserve"> </w:t>
            </w:r>
            <w:r w:rsidRPr="00A23740">
              <w:rPr>
                <w:rStyle w:val="KIRMIZIChar"/>
                <w:rFonts w:eastAsia="Calibri"/>
              </w:rPr>
              <w:t>Taşınır</w:t>
            </w:r>
            <w:r w:rsidRPr="00A23740">
              <w:rPr>
                <w:rFonts w:eastAsia="Times New Roman"/>
                <w:szCs w:val="24"/>
                <w:lang w:eastAsia="tr-TR"/>
              </w:rPr>
              <w:t xml:space="preserve"> mallar </w:t>
            </w:r>
            <w:r w:rsidRPr="00A23740">
              <w:rPr>
                <w:rFonts w:eastAsia="Times New Roman"/>
                <w:b/>
                <w:strike/>
                <w:color w:val="FF0000"/>
                <w:szCs w:val="24"/>
                <w:lang w:eastAsia="tr-TR"/>
              </w:rPr>
              <w:t>satış talebinden nihayet</w:t>
            </w:r>
            <w:r w:rsidRPr="00A23740">
              <w:rPr>
                <w:rFonts w:eastAsia="Times New Roman"/>
                <w:szCs w:val="24"/>
                <w:lang w:eastAsia="tr-TR"/>
              </w:rPr>
              <w:t xml:space="preserve"> iki ay içinde satılır.</w:t>
            </w:r>
          </w:p>
          <w:p w:rsidR="00DC47BD" w:rsidRPr="00A23740" w:rsidRDefault="00DC47BD" w:rsidP="009431FF">
            <w:pPr>
              <w:pStyle w:val="KIRMIZI"/>
            </w:pPr>
            <w:r w:rsidRPr="00A23740">
              <w:t>3 – Taşınmazların satışı:</w:t>
            </w:r>
          </w:p>
          <w:p w:rsidR="00DC47BD" w:rsidRPr="00A23740" w:rsidRDefault="00DC47BD" w:rsidP="009431FF">
            <w:pPr>
              <w:pStyle w:val="KIRMIZI"/>
              <w:rPr>
                <w:i/>
                <w:iCs/>
              </w:rPr>
            </w:pPr>
            <w:r w:rsidRPr="00A23740">
              <w:t>Satış müddeti:</w:t>
            </w:r>
          </w:p>
          <w:p w:rsidR="00DC47BD" w:rsidRPr="00A23740" w:rsidRDefault="00DC47BD" w:rsidP="009431FF">
            <w:pPr>
              <w:pStyle w:val="KIRMIZI"/>
            </w:pPr>
            <w:r w:rsidRPr="00A23740">
              <w:t>Madde 123 – Taşınmazlar, satış talebinden nihayet üç</w:t>
            </w:r>
            <w:r w:rsidRPr="00A23740">
              <w:rPr>
                <w:b w:val="0"/>
                <w:bCs w:val="0"/>
                <w:strike w:val="0"/>
                <w:color w:val="auto"/>
                <w:lang w:val="tr-TR" w:eastAsia="tr-TR"/>
              </w:rPr>
              <w:t xml:space="preserve"> ay içinde </w:t>
            </w:r>
            <w:r w:rsidRPr="00A23740">
              <w:t xml:space="preserve">icra dairesi tarafından açık artırma ile </w:t>
            </w:r>
            <w:r w:rsidRPr="00A23740">
              <w:rPr>
                <w:b w:val="0"/>
                <w:bCs w:val="0"/>
                <w:strike w:val="0"/>
                <w:color w:val="auto"/>
                <w:lang w:val="tr-TR" w:eastAsia="tr-TR"/>
              </w:rPr>
              <w:t>satılır.</w:t>
            </w:r>
          </w:p>
          <w:p w:rsidR="00DC47BD" w:rsidRPr="00A23740" w:rsidRDefault="00DC47BD" w:rsidP="009431FF">
            <w:pPr>
              <w:tabs>
                <w:tab w:val="left" w:pos="567"/>
              </w:tabs>
              <w:rPr>
                <w:rStyle w:val="KIRMIZIChar"/>
                <w:rFonts w:eastAsia="Calibri"/>
              </w:rPr>
            </w:pPr>
          </w:p>
          <w:p w:rsidR="00DC47BD" w:rsidRPr="00A23740" w:rsidRDefault="00DC47BD" w:rsidP="009431FF">
            <w:pPr>
              <w:tabs>
                <w:tab w:val="left" w:pos="567"/>
              </w:tabs>
              <w:rPr>
                <w:rStyle w:val="KIRMIZIChar"/>
                <w:rFonts w:eastAsia="Calibri"/>
                <w:b w:val="0"/>
                <w:strike w:val="0"/>
              </w:rPr>
            </w:pPr>
            <w:r w:rsidRPr="00A23740">
              <w:rPr>
                <w:rStyle w:val="KIRMIZIChar"/>
                <w:rFonts w:eastAsia="Calibri"/>
              </w:rPr>
              <w:t>Müddetler</w:t>
            </w:r>
            <w:r w:rsidRPr="00A23740">
              <w:rPr>
                <w:rStyle w:val="KIRMIZIChar"/>
                <w:rFonts w:eastAsia="Calibri"/>
                <w:strike w:val="0"/>
              </w:rPr>
              <w:t>:</w:t>
            </w:r>
          </w:p>
          <w:p w:rsidR="00DC47BD" w:rsidRPr="00A23740" w:rsidRDefault="00DC47BD" w:rsidP="009431FF">
            <w:pPr>
              <w:tabs>
                <w:tab w:val="left" w:pos="567"/>
              </w:tabs>
              <w:rPr>
                <w:rFonts w:eastAsia="Times New Roman"/>
                <w:szCs w:val="24"/>
                <w:vertAlign w:val="superscript"/>
                <w:lang w:eastAsia="tr-TR"/>
              </w:rPr>
            </w:pPr>
            <w:r w:rsidRPr="00A23740">
              <w:rPr>
                <w:rStyle w:val="KIRMIZIChar"/>
                <w:rFonts w:eastAsia="Calibri"/>
              </w:rPr>
              <w:t>Madde 112- …</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(2) Yetişmemiş mahsüller, borçlunun muvafakati olmadıkça satılamaz.</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pStyle w:val="KIRMIZI"/>
            </w:pPr>
            <w:r w:rsidRPr="00A23740">
              <w:t>Haczedilen malların istinabe suretiyle satışı</w:t>
            </w:r>
            <w:r w:rsidRPr="00A23740">
              <w:rPr>
                <w:rStyle w:val="KIRMIZIChar"/>
                <w:rFonts w:eastAsia="Calibri"/>
                <w:lang w:eastAsia="tr-TR"/>
              </w:rPr>
              <w:t>:</w:t>
            </w:r>
          </w:p>
          <w:p w:rsidR="00AA5C8C" w:rsidRPr="00A23740" w:rsidRDefault="00AA5C8C" w:rsidP="009431FF">
            <w:pPr>
              <w:rPr>
                <w:rFonts w:eastAsia="Times New Roman"/>
                <w:color w:val="000000"/>
                <w:szCs w:val="24"/>
                <w:lang w:eastAsia="tr-TR"/>
              </w:rPr>
            </w:pPr>
            <w:r w:rsidRPr="00A23740">
              <w:rPr>
                <w:rStyle w:val="KIRMIZIChar"/>
                <w:rFonts w:eastAsia="Calibri"/>
                <w:lang w:eastAsia="tr-TR"/>
              </w:rPr>
              <w:t>Madde 360 –</w:t>
            </w:r>
            <w:r w:rsidRPr="00A23740">
              <w:rPr>
                <w:rFonts w:eastAsia="Times New Roman"/>
                <w:b/>
                <w:bCs/>
                <w:color w:val="000000"/>
                <w:szCs w:val="24"/>
                <w:lang w:eastAsia="tr-TR"/>
              </w:rPr>
              <w:t> </w:t>
            </w:r>
            <w:r w:rsidRPr="00A23740">
              <w:rPr>
                <w:rFonts w:eastAsia="Times New Roman"/>
                <w:color w:val="000000"/>
                <w:szCs w:val="24"/>
                <w:lang w:eastAsia="tr-TR"/>
              </w:rPr>
              <w:t xml:space="preserve">Haczedilen mallar başka bir yerde bulunduğu takdirde satış, istinabe suretiyle yapılır. Artırma ve ihaleye </w:t>
            </w:r>
            <w:r w:rsidRPr="00A23740">
              <w:rPr>
                <w:rStyle w:val="KIRMIZIChar"/>
                <w:rFonts w:eastAsia="Calibri"/>
              </w:rPr>
              <w:t>mütedair</w:t>
            </w:r>
            <w:r w:rsidRPr="00A23740">
              <w:rPr>
                <w:rFonts w:eastAsia="Times New Roman"/>
                <w:color w:val="000000"/>
                <w:szCs w:val="24"/>
                <w:lang w:eastAsia="tr-TR"/>
              </w:rPr>
              <w:t xml:space="preserve"> ihtilaflar istinabe olunan icra dairesinin </w:t>
            </w:r>
            <w:r w:rsidRPr="00A23740">
              <w:rPr>
                <w:rStyle w:val="KIRMIZIChar"/>
                <w:rFonts w:eastAsia="Calibri"/>
              </w:rPr>
              <w:t>tabi</w:t>
            </w:r>
            <w:r w:rsidRPr="00A23740">
              <w:rPr>
                <w:rFonts w:eastAsia="Times New Roman"/>
                <w:color w:val="000000"/>
                <w:szCs w:val="24"/>
                <w:lang w:eastAsia="tr-TR"/>
              </w:rPr>
              <w:t xml:space="preserve"> bulunduğu icra mahkemesince </w:t>
            </w:r>
            <w:r w:rsidRPr="00A23740">
              <w:rPr>
                <w:rStyle w:val="KIRMIZIChar"/>
                <w:rFonts w:eastAsia="Calibri"/>
              </w:rPr>
              <w:t>hallolunur</w:t>
            </w:r>
            <w:r w:rsidRPr="00A23740">
              <w:rPr>
                <w:rFonts w:eastAsia="Times New Roman"/>
                <w:color w:val="000000"/>
                <w:szCs w:val="24"/>
                <w:lang w:eastAsia="tr-TR"/>
              </w:rPr>
              <w:t>.</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Satış günü verilmesi ve istinabe suretiyle satış</w:t>
            </w:r>
          </w:p>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MADDE </w:t>
            </w:r>
            <w:r w:rsidR="00396AB6" w:rsidRPr="00A23740">
              <w:rPr>
                <w:rStyle w:val="MaviChar"/>
                <w:lang w:val="tr-TR"/>
              </w:rPr>
              <w:t>226</w:t>
            </w:r>
            <w:r w:rsidRPr="00A23740">
              <w:rPr>
                <w:rStyle w:val="MaviChar"/>
              </w:rPr>
              <w:t>-</w:t>
            </w:r>
            <w:r w:rsidRPr="00A23740">
              <w:rPr>
                <w:rFonts w:eastAsia="Times New Roman"/>
                <w:b/>
                <w:color w:val="0000FF"/>
                <w:szCs w:val="24"/>
                <w:lang w:eastAsia="tr-TR"/>
              </w:rPr>
              <w:t xml:space="preserve"> (1) İcra </w:t>
            </w:r>
            <w:r w:rsidRPr="00A23740">
              <w:rPr>
                <w:rStyle w:val="MaviChar"/>
              </w:rPr>
              <w:t>ve iflas dairesi,</w:t>
            </w:r>
            <w:r w:rsidRPr="00A23740">
              <w:rPr>
                <w:rFonts w:eastAsia="Times New Roman"/>
                <w:b/>
                <w:color w:val="0000FF"/>
                <w:szCs w:val="24"/>
                <w:lang w:eastAsia="tr-TR"/>
              </w:rPr>
              <w:t xml:space="preserve"> kıymet takdirinin yapılmasından ve varsa buna ilişkin şikâyetler sonuçlandırılıp kıymet takdiri kesinleştikten sonra, </w:t>
            </w:r>
            <w:r w:rsidR="00ED6DD2" w:rsidRPr="00A23740">
              <w:rPr>
                <w:rFonts w:eastAsia="Times New Roman"/>
                <w:b/>
                <w:color w:val="0000FF"/>
                <w:szCs w:val="24"/>
                <w:lang w:eastAsia="tr-TR"/>
              </w:rPr>
              <w:t>derh</w:t>
            </w:r>
            <w:r w:rsidR="00DF22A1" w:rsidRPr="00A23740">
              <w:rPr>
                <w:rFonts w:eastAsia="Times New Roman"/>
                <w:b/>
                <w:color w:val="0000FF"/>
                <w:szCs w:val="24"/>
                <w:lang w:eastAsia="tr-TR"/>
              </w:rPr>
              <w:t>â</w:t>
            </w:r>
            <w:r w:rsidR="00ED6DD2" w:rsidRPr="00A23740">
              <w:rPr>
                <w:rFonts w:eastAsia="Times New Roman"/>
                <w:b/>
                <w:color w:val="0000FF"/>
                <w:szCs w:val="24"/>
                <w:lang w:eastAsia="tr-TR"/>
              </w:rPr>
              <w:t xml:space="preserve">l, </w:t>
            </w:r>
            <w:r w:rsidRPr="00A23740">
              <w:rPr>
                <w:rFonts w:eastAsia="Times New Roman"/>
                <w:b/>
                <w:color w:val="0000FF"/>
                <w:szCs w:val="24"/>
                <w:lang w:eastAsia="tr-TR"/>
              </w:rPr>
              <w:t>başka bir talebe gerek olmaksızın</w:t>
            </w:r>
            <w:r w:rsidR="00ED6DD2" w:rsidRPr="00A23740">
              <w:rPr>
                <w:rFonts w:eastAsia="Times New Roman"/>
                <w:b/>
                <w:color w:val="0000FF"/>
                <w:szCs w:val="24"/>
                <w:lang w:eastAsia="tr-TR"/>
              </w:rPr>
              <w:t>,</w:t>
            </w:r>
            <w:r w:rsidRPr="00A23740">
              <w:rPr>
                <w:rFonts w:eastAsia="Times New Roman"/>
                <w:b/>
                <w:color w:val="0000FF"/>
                <w:szCs w:val="24"/>
                <w:lang w:eastAsia="tr-TR"/>
              </w:rPr>
              <w:t xml:space="preserve"> satış için tarih belirler.</w:t>
            </w:r>
          </w:p>
          <w:p w:rsidR="00AA5C8C" w:rsidRPr="00A23740" w:rsidRDefault="00AA5C8C" w:rsidP="009431FF">
            <w:pPr>
              <w:rPr>
                <w:rFonts w:eastAsia="Times New Roman"/>
                <w:b/>
                <w:strike/>
                <w:color w:val="FF0000"/>
                <w:szCs w:val="24"/>
                <w:lang w:eastAsia="tr-TR"/>
              </w:rPr>
            </w:pPr>
          </w:p>
          <w:p w:rsidR="00AA5C8C" w:rsidRPr="00A23740" w:rsidRDefault="00AA5C8C" w:rsidP="009431FF">
            <w:pPr>
              <w:rPr>
                <w:rFonts w:eastAsia="Times New Roman"/>
                <w:szCs w:val="24"/>
                <w:lang w:eastAsia="tr-TR"/>
              </w:rPr>
            </w:pPr>
            <w:r w:rsidRPr="00A23740">
              <w:rPr>
                <w:rFonts w:eastAsia="Times New Roman"/>
                <w:b/>
                <w:color w:val="0000FF"/>
                <w:szCs w:val="24"/>
                <w:lang w:eastAsia="tr-TR"/>
              </w:rPr>
              <w:t>(2)</w:t>
            </w:r>
            <w:r w:rsidRPr="00A23740">
              <w:rPr>
                <w:rFonts w:eastAsia="Times New Roman"/>
                <w:szCs w:val="24"/>
                <w:lang w:eastAsia="tr-TR"/>
              </w:rPr>
              <w:t xml:space="preserve"> </w:t>
            </w:r>
            <w:r w:rsidR="00F22B90" w:rsidRPr="00A23740">
              <w:rPr>
                <w:rFonts w:eastAsia="Times New Roman"/>
                <w:szCs w:val="24"/>
                <w:lang w:eastAsia="tr-TR"/>
              </w:rPr>
              <w:t>Mallar</w:t>
            </w:r>
            <w:r w:rsidR="00F22B90" w:rsidRPr="00A23740">
              <w:rPr>
                <w:rStyle w:val="MaviChar"/>
              </w:rPr>
              <w:t>,</w:t>
            </w:r>
            <w:r w:rsidR="00F22B90" w:rsidRPr="00A23740">
              <w:rPr>
                <w:rFonts w:eastAsia="Times New Roman"/>
                <w:szCs w:val="24"/>
                <w:lang w:eastAsia="tr-TR"/>
              </w:rPr>
              <w:t xml:space="preserve"> </w:t>
            </w:r>
            <w:r w:rsidRPr="00A23740">
              <w:rPr>
                <w:rFonts w:eastAsia="Times New Roman"/>
                <w:b/>
                <w:color w:val="0000FF"/>
                <w:szCs w:val="24"/>
                <w:lang w:eastAsia="tr-TR"/>
              </w:rPr>
              <w:t>kıymet takdirinin kesinleştiği tarihten itibaren</w:t>
            </w:r>
            <w:r w:rsidRPr="00A23740">
              <w:rPr>
                <w:rFonts w:eastAsia="Times New Roman"/>
                <w:szCs w:val="24"/>
                <w:lang w:eastAsia="tr-TR"/>
              </w:rPr>
              <w:t xml:space="preserve"> iki ay içinde satılır.</w:t>
            </w:r>
          </w:p>
          <w:p w:rsidR="00AA5C8C" w:rsidRPr="00A23740" w:rsidRDefault="00AA5C8C" w:rsidP="009431FF">
            <w:pPr>
              <w:rPr>
                <w:rFonts w:eastAsia="Times New Roman"/>
                <w:b/>
                <w:color w:val="FF0000"/>
                <w:szCs w:val="24"/>
                <w:lang w:eastAsia="tr-TR"/>
              </w:rPr>
            </w:pPr>
          </w:p>
          <w:p w:rsidR="00DC47BD" w:rsidRPr="00A23740" w:rsidRDefault="00DC47BD" w:rsidP="009431FF">
            <w:pPr>
              <w:rPr>
                <w:rFonts w:eastAsia="Times New Roman"/>
                <w:b/>
                <w:color w:val="FF0000"/>
                <w:szCs w:val="24"/>
                <w:lang w:eastAsia="tr-TR"/>
              </w:rPr>
            </w:pPr>
          </w:p>
          <w:p w:rsidR="00DC47BD" w:rsidRPr="00A23740" w:rsidRDefault="00DC47BD" w:rsidP="009431FF">
            <w:pPr>
              <w:rPr>
                <w:rFonts w:eastAsia="Times New Roman"/>
                <w:b/>
                <w:color w:val="FF0000"/>
                <w:szCs w:val="24"/>
                <w:lang w:eastAsia="tr-TR"/>
              </w:rPr>
            </w:pPr>
          </w:p>
          <w:p w:rsidR="00DC47BD" w:rsidRPr="00A23740" w:rsidRDefault="00DC47BD" w:rsidP="009431FF">
            <w:pPr>
              <w:rPr>
                <w:rFonts w:eastAsia="Times New Roman"/>
                <w:b/>
                <w:color w:val="FF0000"/>
                <w:szCs w:val="24"/>
                <w:lang w:eastAsia="tr-TR"/>
              </w:rPr>
            </w:pPr>
          </w:p>
          <w:p w:rsidR="00DC47BD" w:rsidRPr="00A23740" w:rsidRDefault="00DC47BD" w:rsidP="009431FF">
            <w:pPr>
              <w:rPr>
                <w:rFonts w:eastAsia="Times New Roman"/>
                <w:b/>
                <w:color w:val="FF0000"/>
                <w:szCs w:val="24"/>
                <w:lang w:eastAsia="tr-TR"/>
              </w:rPr>
            </w:pPr>
          </w:p>
          <w:p w:rsidR="00DC47BD" w:rsidRPr="00A23740" w:rsidRDefault="00DC47BD" w:rsidP="009431FF">
            <w:pPr>
              <w:rPr>
                <w:rFonts w:eastAsia="Times New Roman"/>
                <w:b/>
                <w:color w:val="FF0000"/>
                <w:szCs w:val="24"/>
                <w:lang w:eastAsia="tr-TR"/>
              </w:rPr>
            </w:pPr>
          </w:p>
          <w:p w:rsidR="00DC47BD" w:rsidRPr="00A23740" w:rsidRDefault="00DC47BD" w:rsidP="009431FF">
            <w:pPr>
              <w:rPr>
                <w:rFonts w:eastAsia="Times New Roman"/>
                <w:b/>
                <w:color w:val="FF0000"/>
                <w:szCs w:val="24"/>
                <w:lang w:eastAsia="tr-TR"/>
              </w:rPr>
            </w:pPr>
          </w:p>
          <w:p w:rsidR="00AA5C8C" w:rsidRPr="00A23740" w:rsidRDefault="00AA5C8C" w:rsidP="009431FF">
            <w:pPr>
              <w:rPr>
                <w:rFonts w:eastAsia="Times New Roman"/>
                <w:color w:val="FF0000"/>
                <w:lang w:eastAsia="tr-TR"/>
              </w:rPr>
            </w:pPr>
          </w:p>
          <w:p w:rsidR="008C2C3C" w:rsidRPr="00A23740" w:rsidRDefault="008C2C3C" w:rsidP="009431FF">
            <w:pPr>
              <w:rPr>
                <w:rFonts w:eastAsia="Times New Roman"/>
                <w:color w:val="FF0000"/>
                <w:lang w:eastAsia="tr-TR"/>
              </w:rPr>
            </w:pPr>
          </w:p>
          <w:p w:rsidR="008C2C3C" w:rsidRPr="00A23740" w:rsidRDefault="008C2C3C" w:rsidP="009431FF">
            <w:pPr>
              <w:rPr>
                <w:rStyle w:val="MaviChar"/>
              </w:rPr>
            </w:pPr>
          </w:p>
          <w:p w:rsidR="00AA5C8C" w:rsidRDefault="00AA5C8C" w:rsidP="009431FF">
            <w:pPr>
              <w:rPr>
                <w:rStyle w:val="MaviChar"/>
              </w:rPr>
            </w:pPr>
          </w:p>
          <w:p w:rsidR="00C92583" w:rsidRPr="00A23740" w:rsidRDefault="00C92583" w:rsidP="009431FF">
            <w:pPr>
              <w:rPr>
                <w:rStyle w:val="MaviChar"/>
              </w:rPr>
            </w:pPr>
          </w:p>
          <w:p w:rsidR="00AA5C8C" w:rsidRPr="00A23740" w:rsidRDefault="00AA5C8C" w:rsidP="009431FF">
            <w:pPr>
              <w:rPr>
                <w:rFonts w:eastAsia="Times New Roman"/>
                <w:b/>
                <w:color w:val="FF0000"/>
                <w:szCs w:val="24"/>
                <w:lang w:eastAsia="tr-TR"/>
              </w:rPr>
            </w:pPr>
            <w:r w:rsidRPr="00A23740">
              <w:rPr>
                <w:rStyle w:val="MaviChar"/>
              </w:rPr>
              <w:t>(3)</w:t>
            </w:r>
            <w:r w:rsidRPr="00A23740">
              <w:rPr>
                <w:rFonts w:eastAsia="Times New Roman"/>
                <w:b/>
                <w:bCs/>
                <w:color w:val="000000"/>
                <w:szCs w:val="24"/>
                <w:lang w:eastAsia="tr-TR"/>
              </w:rPr>
              <w:t xml:space="preserve"> </w:t>
            </w:r>
            <w:r w:rsidRPr="00A23740">
              <w:rPr>
                <w:rFonts w:eastAsia="Times New Roman"/>
                <w:color w:val="000000"/>
                <w:szCs w:val="24"/>
                <w:lang w:eastAsia="tr-TR"/>
              </w:rPr>
              <w:t>Haczedilen mallar başka bir yerde bulunduğu takdirde satış, istinabe suretiyle yapılır. Artırma ve ihaley</w:t>
            </w:r>
            <w:r w:rsidRPr="00A23740">
              <w:rPr>
                <w:rStyle w:val="MaviChar"/>
              </w:rPr>
              <w:t>le ilgili uyuşmazlıklar</w:t>
            </w:r>
            <w:r w:rsidRPr="00A23740">
              <w:rPr>
                <w:rFonts w:eastAsia="Times New Roman"/>
                <w:color w:val="000000"/>
                <w:szCs w:val="24"/>
                <w:lang w:eastAsia="tr-TR"/>
              </w:rPr>
              <w:t xml:space="preserve"> istinabe olunan icra </w:t>
            </w:r>
            <w:r w:rsidRPr="00A23740">
              <w:rPr>
                <w:rStyle w:val="MaviChar"/>
              </w:rPr>
              <w:t>ve iflas</w:t>
            </w:r>
            <w:r w:rsidRPr="00A23740">
              <w:rPr>
                <w:rFonts w:eastAsia="Times New Roman"/>
                <w:color w:val="000000"/>
                <w:szCs w:val="24"/>
                <w:lang w:eastAsia="tr-TR"/>
              </w:rPr>
              <w:t xml:space="preserve"> dairesinin bulunduğu </w:t>
            </w:r>
            <w:r w:rsidRPr="00A23740">
              <w:rPr>
                <w:rStyle w:val="MaviChar"/>
              </w:rPr>
              <w:t>yer</w:t>
            </w:r>
            <w:r w:rsidRPr="00A23740">
              <w:rPr>
                <w:rFonts w:eastAsia="Times New Roman"/>
                <w:color w:val="000000"/>
                <w:szCs w:val="24"/>
                <w:lang w:eastAsia="tr-TR"/>
              </w:rPr>
              <w:t xml:space="preserve"> icra </w:t>
            </w:r>
            <w:r w:rsidRPr="00A23740">
              <w:rPr>
                <w:rStyle w:val="MaviChar"/>
              </w:rPr>
              <w:t>hukuk</w:t>
            </w:r>
            <w:r w:rsidRPr="00A23740">
              <w:rPr>
                <w:rFonts w:eastAsia="Times New Roman"/>
                <w:color w:val="000000"/>
                <w:szCs w:val="24"/>
                <w:lang w:eastAsia="tr-TR"/>
              </w:rPr>
              <w:t xml:space="preserve"> mahkemesince </w:t>
            </w:r>
            <w:r w:rsidRPr="00A23740">
              <w:rPr>
                <w:rStyle w:val="MaviChar"/>
              </w:rPr>
              <w:t>çözümlenir</w:t>
            </w:r>
            <w:r w:rsidRPr="00A23740">
              <w:rPr>
                <w:rFonts w:eastAsia="Times New Roman"/>
                <w:color w:val="000000"/>
                <w:szCs w:val="24"/>
                <w:lang w:eastAsia="tr-TR"/>
              </w:rPr>
              <w:t>.</w:t>
            </w: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rPr>
                <w:lang w:val="tr-TR"/>
              </w:rPr>
            </w:pPr>
            <w:r w:rsidRPr="00A23740">
              <w:rPr>
                <w:lang w:val="tr-TR"/>
              </w:rPr>
              <w:t>İhalenin feshi ve farkının tahsili:</w:t>
            </w:r>
          </w:p>
          <w:p w:rsidR="00AA5C8C" w:rsidRPr="00A23740" w:rsidRDefault="00AA5C8C" w:rsidP="009431FF">
            <w:pPr>
              <w:pStyle w:val="KIRMIZI"/>
              <w:rPr>
                <w:lang w:val="tr-TR"/>
              </w:rPr>
            </w:pPr>
            <w:r w:rsidRPr="00A23740">
              <w:rPr>
                <w:lang w:val="tr-TR"/>
              </w:rPr>
              <w:t>Madde 133 – (Değişik: 6/6/1985-3222/16 md.) (Mülga:24/11/2021-7343/32 md.)</w:t>
            </w:r>
          </w:p>
          <w:p w:rsidR="00ED6DD2" w:rsidRPr="00A23740" w:rsidRDefault="00ED6DD2" w:rsidP="009431FF">
            <w:pPr>
              <w:pStyle w:val="KIRMIZI"/>
              <w:rPr>
                <w:lang w:val="tr-TR"/>
              </w:rPr>
            </w:pPr>
          </w:p>
        </w:tc>
        <w:tc>
          <w:tcPr>
            <w:tcW w:w="2500" w:type="pct"/>
          </w:tcPr>
          <w:p w:rsidR="00AA5C8C" w:rsidRPr="00A23740" w:rsidRDefault="00AA5C8C" w:rsidP="009431FF">
            <w:pPr>
              <w:tabs>
                <w:tab w:val="left" w:pos="567"/>
              </w:tabs>
              <w:rPr>
                <w:rFonts w:eastAsia="Times New Roman"/>
                <w:b/>
                <w:color w:val="0000FF"/>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B0774A" w:rsidRPr="00A23740" w:rsidRDefault="00B0774A"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22</w:t>
            </w:r>
            <w:r w:rsidR="00396AB6" w:rsidRPr="00A23740">
              <w:rPr>
                <w:rFonts w:eastAsia="Times New Roman"/>
                <w:b/>
                <w:color w:val="000000"/>
                <w:szCs w:val="24"/>
                <w:lang w:eastAsia="tr-TR"/>
              </w:rPr>
              <w:t>6</w:t>
            </w:r>
            <w:r w:rsidRPr="00A23740">
              <w:rPr>
                <w:rFonts w:eastAsia="Times New Roman"/>
                <w:color w:val="000000"/>
                <w:szCs w:val="24"/>
                <w:lang w:eastAsia="tr-TR"/>
              </w:rPr>
              <w:t xml:space="preserve">- Maddeyle, satış günü verilmesi ve istinabe suretiyle satış </w:t>
            </w:r>
            <w:r w:rsidR="00F22B90" w:rsidRPr="00A23740">
              <w:rPr>
                <w:rFonts w:eastAsia="Times New Roman"/>
                <w:color w:val="000000"/>
                <w:szCs w:val="24"/>
                <w:lang w:eastAsia="tr-TR"/>
              </w:rPr>
              <w:t>düzenlenmektedir.</w:t>
            </w:r>
          </w:p>
          <w:p w:rsidR="00B0774A" w:rsidRPr="00A23740" w:rsidRDefault="00B0774A" w:rsidP="009431FF">
            <w:pPr>
              <w:ind w:firstLine="709"/>
              <w:rPr>
                <w:rFonts w:eastAsia="Times New Roman"/>
                <w:color w:val="000000"/>
                <w:szCs w:val="24"/>
                <w:lang w:eastAsia="tr-TR"/>
              </w:rPr>
            </w:pPr>
            <w:r w:rsidRPr="00A23740">
              <w:rPr>
                <w:rFonts w:eastAsia="Times New Roman"/>
                <w:color w:val="000000"/>
                <w:szCs w:val="24"/>
                <w:lang w:eastAsia="tr-TR"/>
              </w:rPr>
              <w:t>Birinci fıkrayla</w:t>
            </w:r>
            <w:r w:rsidR="00916CE3" w:rsidRPr="00A23740">
              <w:rPr>
                <w:rFonts w:eastAsia="Times New Roman"/>
                <w:color w:val="000000"/>
                <w:szCs w:val="24"/>
                <w:lang w:eastAsia="tr-TR"/>
              </w:rPr>
              <w:t>,</w:t>
            </w:r>
            <w:r w:rsidRPr="00A23740">
              <w:rPr>
                <w:rFonts w:eastAsia="Times New Roman"/>
                <w:color w:val="000000"/>
                <w:szCs w:val="24"/>
                <w:lang w:eastAsia="tr-TR"/>
              </w:rPr>
              <w:t xml:space="preserve"> icra ve iflas dairesinin, kıymet takdirinin yapılmasından ve varsa buna ilişkin şikâyetler sonuçlandırılıp kıymet takdiri kesinleştikten sonra, başka bir talebe gerek olmaksızın satış için tarih belirleneceği hükme bağlanmaktadır.</w:t>
            </w:r>
            <w:r w:rsidR="00916CE3" w:rsidRPr="00A23740">
              <w:rPr>
                <w:rFonts w:eastAsia="Times New Roman"/>
                <w:color w:val="000000"/>
                <w:szCs w:val="24"/>
                <w:lang w:eastAsia="tr-TR"/>
              </w:rPr>
              <w:t>Bu bağlamda</w:t>
            </w:r>
            <w:r w:rsidR="00F22B90" w:rsidRPr="00A23740">
              <w:rPr>
                <w:rFonts w:eastAsia="Times New Roman"/>
                <w:color w:val="000000"/>
                <w:szCs w:val="24"/>
                <w:lang w:eastAsia="tr-TR"/>
              </w:rPr>
              <w:t xml:space="preserve">, 2004 sayılı Kanundan farklı olarak kıymet takdiri yapılan hacizli malın bir an önce satışa çıkarılabilmesi için icra </w:t>
            </w:r>
            <w:r w:rsidR="00575DD9" w:rsidRPr="00C92583">
              <w:rPr>
                <w:rFonts w:eastAsia="Times New Roman"/>
                <w:color w:val="000000"/>
                <w:szCs w:val="24"/>
                <w:lang w:eastAsia="tr-TR"/>
              </w:rPr>
              <w:t>ve</w:t>
            </w:r>
            <w:r w:rsidR="00575DD9" w:rsidRPr="00C92583">
              <w:rPr>
                <w:rFonts w:eastAsia="Times New Roman"/>
                <w:b/>
                <w:bCs/>
                <w:color w:val="000000"/>
                <w:szCs w:val="24"/>
                <w:lang w:eastAsia="tr-TR"/>
              </w:rPr>
              <w:t xml:space="preserve"> </w:t>
            </w:r>
            <w:r w:rsidR="00575DD9" w:rsidRPr="00C92583">
              <w:rPr>
                <w:rFonts w:eastAsia="Times New Roman"/>
                <w:color w:val="000000"/>
                <w:szCs w:val="24"/>
                <w:lang w:eastAsia="tr-TR"/>
              </w:rPr>
              <w:t>iflas</w:t>
            </w:r>
            <w:r w:rsidR="00575DD9" w:rsidRPr="00A23740">
              <w:rPr>
                <w:rFonts w:eastAsia="Times New Roman"/>
                <w:color w:val="000000"/>
                <w:szCs w:val="24"/>
                <w:lang w:eastAsia="tr-TR"/>
              </w:rPr>
              <w:t xml:space="preserve"> </w:t>
            </w:r>
            <w:r w:rsidR="00F22B90" w:rsidRPr="00A23740">
              <w:rPr>
                <w:rFonts w:eastAsia="Times New Roman"/>
                <w:color w:val="000000"/>
                <w:szCs w:val="24"/>
                <w:lang w:eastAsia="tr-TR"/>
              </w:rPr>
              <w:t xml:space="preserve">müdürüne görev verilmektedir. </w:t>
            </w:r>
          </w:p>
          <w:p w:rsidR="00B0774A" w:rsidRPr="00A23740" w:rsidRDefault="00B0774A" w:rsidP="009431FF">
            <w:pPr>
              <w:ind w:firstLine="709"/>
              <w:rPr>
                <w:rFonts w:eastAsia="Times New Roman"/>
                <w:color w:val="000000"/>
                <w:szCs w:val="24"/>
                <w:lang w:eastAsia="tr-TR"/>
              </w:rPr>
            </w:pPr>
            <w:r w:rsidRPr="00A23740">
              <w:rPr>
                <w:rFonts w:eastAsia="Times New Roman"/>
                <w:color w:val="000000"/>
                <w:szCs w:val="24"/>
                <w:lang w:eastAsia="tr-TR"/>
              </w:rPr>
              <w:t>İkinci fıkrayla, mallar</w:t>
            </w:r>
            <w:r w:rsidR="00F22B90" w:rsidRPr="00A23740">
              <w:rPr>
                <w:rFonts w:eastAsia="Times New Roman"/>
                <w:color w:val="000000"/>
                <w:szCs w:val="24"/>
                <w:lang w:eastAsia="tr-TR"/>
              </w:rPr>
              <w:t>ın</w:t>
            </w:r>
            <w:r w:rsidRPr="00A23740">
              <w:rPr>
                <w:rFonts w:eastAsia="Times New Roman"/>
                <w:color w:val="000000"/>
                <w:szCs w:val="24"/>
                <w:lang w:eastAsia="tr-TR"/>
              </w:rPr>
              <w:t xml:space="preserve"> kıymet takdirinin kesinleştiği tarihten itibaren iki ay içinde satılacağı düzenlenmektedir. Bu hüküm, 2004 sayılı Kanunun müddetlerle ilgili 112 nci </w:t>
            </w:r>
            <w:r w:rsidR="00ED6DD2" w:rsidRPr="00D60C1D">
              <w:rPr>
                <w:rStyle w:val="Balk1Char"/>
                <w:rFonts w:eastAsia="Calibri"/>
                <w:b w:val="0"/>
                <w:color w:val="000000"/>
              </w:rPr>
              <w:t>ve 123 üncü maddelerine</w:t>
            </w:r>
            <w:r w:rsidR="00ED6DD2" w:rsidRPr="00A23740">
              <w:rPr>
                <w:rFonts w:eastAsia="Times New Roman"/>
                <w:color w:val="000000"/>
                <w:szCs w:val="24"/>
                <w:lang w:eastAsia="tr-TR"/>
              </w:rPr>
              <w:t xml:space="preserve"> </w:t>
            </w:r>
            <w:r w:rsidRPr="00A23740">
              <w:rPr>
                <w:rFonts w:eastAsia="Times New Roman"/>
                <w:color w:val="000000"/>
                <w:szCs w:val="24"/>
                <w:lang w:eastAsia="tr-TR"/>
              </w:rPr>
              <w:t xml:space="preserve">karşılık gelmektedir. </w:t>
            </w:r>
            <w:r w:rsidR="00575DD9" w:rsidRPr="00D60C1D">
              <w:rPr>
                <w:rStyle w:val="Balk1Char"/>
                <w:rFonts w:eastAsia="Calibri"/>
                <w:b w:val="0"/>
                <w:color w:val="000000"/>
              </w:rPr>
              <w:t xml:space="preserve">Ne var ki, </w:t>
            </w:r>
            <w:r w:rsidR="00ED6DD2" w:rsidRPr="00D60C1D">
              <w:rPr>
                <w:rStyle w:val="Balk1Char"/>
                <w:rFonts w:eastAsia="Calibri"/>
                <w:b w:val="0"/>
                <w:color w:val="000000"/>
              </w:rPr>
              <w:t>satışın gerçekleştirileceği süre,</w:t>
            </w:r>
            <w:r w:rsidR="00ED6DD2" w:rsidRPr="00A23740">
              <w:rPr>
                <w:rFonts w:eastAsia="Times New Roman"/>
                <w:color w:val="000000"/>
                <w:szCs w:val="24"/>
                <w:lang w:eastAsia="tr-TR"/>
              </w:rPr>
              <w:t xml:space="preserve"> </w:t>
            </w:r>
            <w:r w:rsidRPr="00A23740">
              <w:rPr>
                <w:rFonts w:eastAsia="Times New Roman"/>
                <w:color w:val="000000"/>
                <w:szCs w:val="24"/>
                <w:lang w:eastAsia="tr-TR"/>
              </w:rPr>
              <w:t xml:space="preserve">2004 sayılı Kanunun ilgili hükmüne göre satış talebinden itibaren başlarken; </w:t>
            </w:r>
            <w:r w:rsidR="00ED6DD2" w:rsidRPr="00D60C1D">
              <w:rPr>
                <w:rStyle w:val="Balk1Char"/>
                <w:rFonts w:eastAsia="Calibri"/>
                <w:b w:val="0"/>
                <w:color w:val="000000"/>
              </w:rPr>
              <w:t>Taslağın</w:t>
            </w:r>
            <w:r w:rsidR="00ED6DD2" w:rsidRPr="00A23740">
              <w:rPr>
                <w:rFonts w:eastAsia="Times New Roman"/>
                <w:color w:val="000000"/>
                <w:szCs w:val="24"/>
                <w:lang w:eastAsia="tr-TR"/>
              </w:rPr>
              <w:t xml:space="preserve"> </w:t>
            </w:r>
            <w:r w:rsidRPr="00A23740">
              <w:rPr>
                <w:rFonts w:eastAsia="Times New Roman"/>
                <w:color w:val="000000"/>
                <w:szCs w:val="24"/>
                <w:lang w:eastAsia="tr-TR"/>
              </w:rPr>
              <w:t>bu hükmüne göre kıymet takdirinin kesinleştiği tarihten itibaren</w:t>
            </w:r>
            <w:r w:rsidR="00575DD9" w:rsidRPr="00A23740">
              <w:rPr>
                <w:rFonts w:eastAsia="Times New Roman"/>
                <w:color w:val="000000"/>
                <w:szCs w:val="24"/>
                <w:lang w:eastAsia="tr-TR"/>
              </w:rPr>
              <w:t xml:space="preserve"> başlamaktadır.</w:t>
            </w:r>
          </w:p>
          <w:p w:rsidR="00B0774A" w:rsidRPr="00A23740" w:rsidRDefault="00F22B90" w:rsidP="009431FF">
            <w:pPr>
              <w:ind w:firstLine="709"/>
              <w:rPr>
                <w:rFonts w:eastAsia="Times New Roman"/>
                <w:color w:val="000000"/>
                <w:szCs w:val="24"/>
                <w:lang w:eastAsia="tr-TR"/>
              </w:rPr>
            </w:pPr>
            <w:r w:rsidRPr="00A23740">
              <w:rPr>
                <w:rFonts w:eastAsia="Times New Roman"/>
                <w:color w:val="000000"/>
                <w:szCs w:val="24"/>
                <w:lang w:eastAsia="tr-TR"/>
              </w:rPr>
              <w:t>Üçüncü fıkraya göre</w:t>
            </w:r>
            <w:r w:rsidR="00B0774A" w:rsidRPr="00A23740">
              <w:rPr>
                <w:rFonts w:eastAsia="Times New Roman"/>
                <w:color w:val="000000"/>
                <w:szCs w:val="24"/>
                <w:lang w:eastAsia="tr-TR"/>
              </w:rPr>
              <w:t xml:space="preserve"> haczedilen malların başka bir yerde bulunması h</w:t>
            </w:r>
            <w:r w:rsidR="00C224B4" w:rsidRPr="00A23740">
              <w:rPr>
                <w:rFonts w:eastAsia="Times New Roman"/>
                <w:color w:val="000000"/>
                <w:szCs w:val="24"/>
                <w:lang w:eastAsia="tr-TR"/>
              </w:rPr>
              <w:t>â</w:t>
            </w:r>
            <w:r w:rsidR="00B0774A" w:rsidRPr="00A23740">
              <w:rPr>
                <w:rFonts w:eastAsia="Times New Roman"/>
                <w:color w:val="000000"/>
                <w:szCs w:val="24"/>
                <w:lang w:eastAsia="tr-TR"/>
              </w:rPr>
              <w:t xml:space="preserve">linde satış, istinabe suretiyle yapılacak olup, artırma ve ihaleyle ilgili uyuşmazlıklar istinabe olunan icra ve iflas dairesinin bulunduğu </w:t>
            </w:r>
            <w:r w:rsidR="00575DD9" w:rsidRPr="00D60C1D">
              <w:rPr>
                <w:rStyle w:val="Balk1Char"/>
                <w:rFonts w:eastAsia="Calibri"/>
                <w:b w:val="0"/>
                <w:color w:val="000000"/>
              </w:rPr>
              <w:t>yerde bağlı olduğu</w:t>
            </w:r>
            <w:r w:rsidR="00B0774A" w:rsidRPr="00A23740">
              <w:rPr>
                <w:rFonts w:eastAsia="Times New Roman"/>
                <w:color w:val="000000"/>
                <w:szCs w:val="24"/>
                <w:lang w:eastAsia="tr-TR"/>
              </w:rPr>
              <w:t xml:space="preserve"> icra huku</w:t>
            </w:r>
            <w:r w:rsidRPr="00A23740">
              <w:rPr>
                <w:rFonts w:eastAsia="Times New Roman"/>
                <w:color w:val="000000"/>
                <w:szCs w:val="24"/>
                <w:lang w:eastAsia="tr-TR"/>
              </w:rPr>
              <w:t>k mahkemesince çözülür.</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Artırma hazırlık tedbirleri:</w:t>
            </w:r>
          </w:p>
          <w:p w:rsidR="00AA5C8C" w:rsidRPr="00A23740" w:rsidRDefault="00AA5C8C" w:rsidP="009431FF">
            <w:pPr>
              <w:pStyle w:val="KIRMIZI"/>
              <w:rPr>
                <w:rStyle w:val="KIRMIZIChar"/>
                <w:rFonts w:eastAsia="Calibri"/>
              </w:rPr>
            </w:pPr>
            <w:r w:rsidRPr="00A23740">
              <w:t xml:space="preserve">Madde 114 – (Değişik:24/11/2021-7343/14 md.) </w:t>
            </w:r>
            <w:r w:rsidRPr="00A23740">
              <w:rPr>
                <w:rFonts w:eastAsia="Calibri"/>
              </w:rPr>
              <w:t>(1) Satış açık artırma ile yapılır.</w:t>
            </w:r>
            <w:r w:rsidRPr="00A23740">
              <w:rPr>
                <w:rStyle w:val="KIRMIZIChar"/>
                <w:rFonts w:eastAsia="Calibri"/>
              </w:rPr>
              <w:t xml:space="preserve"> </w:t>
            </w:r>
          </w:p>
          <w:p w:rsidR="00AA5C8C" w:rsidRPr="00A23740" w:rsidRDefault="00AA5C8C" w:rsidP="009431FF">
            <w:pPr>
              <w:rPr>
                <w:rStyle w:val="KIRMIZIChar"/>
                <w:rFonts w:eastAsia="Calibri"/>
                <w:b w:val="0"/>
              </w:rPr>
            </w:pPr>
          </w:p>
          <w:p w:rsidR="004A656A" w:rsidRPr="00A23740" w:rsidRDefault="004A656A" w:rsidP="009431FF">
            <w:pPr>
              <w:rPr>
                <w:rStyle w:val="KIRMIZIChar"/>
                <w:rFonts w:eastAsia="Calibri"/>
                <w:b w:val="0"/>
              </w:rPr>
            </w:pPr>
            <w:r w:rsidRPr="00A23740">
              <w:rPr>
                <w:rStyle w:val="KIRMIZIChar"/>
                <w:rFonts w:eastAsia="Calibri"/>
              </w:rPr>
              <w:t>(4) (Ek fıkra: 13/10/2022 -7418/25 md.)</w:t>
            </w:r>
            <w:r w:rsidRPr="00A23740">
              <w:rPr>
                <w:color w:val="000000"/>
                <w:szCs w:val="24"/>
              </w:rPr>
              <w:t> </w:t>
            </w:r>
            <w:r w:rsidRPr="00A23740">
              <w:rPr>
                <w:rStyle w:val="KIRMIZIChar"/>
                <w:rFonts w:eastAsia="Calibri"/>
              </w:rPr>
              <w:t>Toplam muhammen bedeli beş yüz bin Türk lirasına kadar olan satışlar için gazete veya internet haber sitesi ile ilan yapılıp yapılmayacağına</w:t>
            </w:r>
            <w:r w:rsidRPr="00A23740">
              <w:rPr>
                <w:color w:val="000000"/>
                <w:szCs w:val="24"/>
              </w:rPr>
              <w:t xml:space="preserve"> </w:t>
            </w:r>
            <w:r w:rsidRPr="00A23740">
              <w:rPr>
                <w:rStyle w:val="KIRMIZIChar"/>
                <w:rFonts w:eastAsia="Calibri"/>
              </w:rPr>
              <w:t>icra dairesince</w:t>
            </w:r>
            <w:r w:rsidRPr="00A23740">
              <w:rPr>
                <w:color w:val="000000"/>
                <w:szCs w:val="24"/>
              </w:rPr>
              <w:t xml:space="preserve"> </w:t>
            </w:r>
            <w:r w:rsidRPr="00A23740">
              <w:rPr>
                <w:rStyle w:val="KIRMIZIChar"/>
                <w:rFonts w:eastAsia="Calibri"/>
              </w:rPr>
              <w:t>alakadarların</w:t>
            </w:r>
            <w:r w:rsidRPr="00A23740">
              <w:rPr>
                <w:color w:val="000000"/>
                <w:szCs w:val="24"/>
              </w:rPr>
              <w:t xml:space="preserve"> menfaatleri dikkate </w:t>
            </w:r>
            <w:r w:rsidRPr="00A23740">
              <w:rPr>
                <w:rStyle w:val="KIRMIZIChar"/>
                <w:rFonts w:eastAsia="Calibri"/>
              </w:rPr>
              <w:t>alınarak karar verilir.</w:t>
            </w:r>
            <w:r w:rsidRPr="00A23740">
              <w:rPr>
                <w:color w:val="000000"/>
                <w:szCs w:val="24"/>
              </w:rPr>
              <w:t xml:space="preserve"> </w:t>
            </w:r>
            <w:r w:rsidRPr="00A23740">
              <w:rPr>
                <w:rStyle w:val="KIRMIZIChar"/>
                <w:rFonts w:eastAsia="Calibri"/>
              </w:rPr>
              <w:t>Ancak;</w:t>
            </w:r>
          </w:p>
          <w:p w:rsidR="004A656A" w:rsidRPr="00A23740" w:rsidRDefault="004A656A" w:rsidP="009431FF">
            <w:pPr>
              <w:rPr>
                <w:rStyle w:val="KIRMIZIChar"/>
                <w:rFonts w:eastAsia="Calibri"/>
                <w:b w:val="0"/>
              </w:rPr>
            </w:pPr>
          </w:p>
          <w:p w:rsidR="00AA5C8C" w:rsidRPr="00A23740" w:rsidRDefault="004A656A" w:rsidP="009431FF">
            <w:pPr>
              <w:rPr>
                <w:rStyle w:val="KIRMIZIChar"/>
                <w:rFonts w:eastAsia="Calibri"/>
              </w:rPr>
            </w:pPr>
            <w:r w:rsidRPr="00A23740">
              <w:rPr>
                <w:rStyle w:val="KIRMIZIChar"/>
                <w:rFonts w:eastAsia="Calibri"/>
              </w:rPr>
              <w:t>(</w:t>
            </w:r>
            <w:r w:rsidR="008C6539" w:rsidRPr="00A23740">
              <w:rPr>
                <w:rStyle w:val="KIRMIZIChar"/>
                <w:rFonts w:eastAsia="Calibri"/>
              </w:rPr>
              <w:t>2</w:t>
            </w:r>
            <w:r w:rsidRPr="00A23740">
              <w:rPr>
                <w:rStyle w:val="KIRMIZIChar"/>
                <w:rFonts w:eastAsia="Calibri"/>
              </w:rPr>
              <w:t>)</w:t>
            </w:r>
            <w:r w:rsidRPr="00A23740">
              <w:rPr>
                <w:bCs/>
                <w:lang w:eastAsia="tr-TR"/>
              </w:rPr>
              <w:t xml:space="preserve"> Birinci ve ikinci artırmanın yapılacağı gün ve saat aralığı</w:t>
            </w:r>
            <w:r w:rsidRPr="00B74B96">
              <w:rPr>
                <w:rStyle w:val="KIRMIZIChar"/>
                <w:rFonts w:eastAsia="Calibri"/>
              </w:rPr>
              <w:t>,</w:t>
            </w:r>
            <w:r w:rsidRPr="00A23740">
              <w:rPr>
                <w:bCs/>
                <w:lang w:eastAsia="tr-TR"/>
              </w:rPr>
              <w:t xml:space="preserve"> artırmaya </w:t>
            </w:r>
            <w:r w:rsidRPr="00B74B96">
              <w:rPr>
                <w:rStyle w:val="KIRMIZIChar"/>
                <w:rFonts w:eastAsia="Calibri"/>
              </w:rPr>
              <w:t>başlangıç tarihinden en az</w:t>
            </w:r>
            <w:r w:rsidRPr="00A23740">
              <w:rPr>
                <w:bCs/>
                <w:lang w:eastAsia="tr-TR"/>
              </w:rPr>
              <w:t xml:space="preserve"> </w:t>
            </w:r>
            <w:r w:rsidRPr="00A23740">
              <w:rPr>
                <w:rStyle w:val="KIRMIZIChar"/>
                <w:rFonts w:eastAsia="Calibri"/>
                <w:lang w:eastAsia="tr-TR"/>
              </w:rPr>
              <w:t>on beş gün</w:t>
            </w:r>
            <w:r w:rsidRPr="00A23740">
              <w:rPr>
                <w:bCs/>
                <w:lang w:eastAsia="tr-TR"/>
              </w:rPr>
              <w:t xml:space="preserve"> </w:t>
            </w:r>
            <w:r w:rsidRPr="00B74B96">
              <w:rPr>
                <w:rStyle w:val="KIRMIZIChar"/>
                <w:rFonts w:eastAsia="Calibri"/>
              </w:rPr>
              <w:t>önce ilan edilir.</w:t>
            </w:r>
            <w:r w:rsidRPr="00A23740">
              <w:rPr>
                <w:bCs/>
                <w:lang w:eastAsia="tr-TR"/>
              </w:rPr>
              <w:t xml:space="preserve"> </w:t>
            </w:r>
            <w:r w:rsidRPr="00A23740">
              <w:rPr>
                <w:rStyle w:val="KIRMIZIChar"/>
                <w:rFonts w:eastAsia="Calibri"/>
                <w:lang w:eastAsia="tr-TR"/>
              </w:rPr>
              <w:t xml:space="preserve">Elektronik satış portalı ve Basın İlân Kurumu İlan Portalında yapılacak ilan, artırmanın bitimine kadar erişime açık tutulur. </w:t>
            </w:r>
            <w:r w:rsidRPr="00A23740">
              <w:rPr>
                <w:bCs/>
                <w:lang w:eastAsia="tr-TR"/>
              </w:rPr>
              <w:t>İkinci artırmanın başlangıç tarihi</w:t>
            </w:r>
            <w:r w:rsidRPr="00B74B96">
              <w:rPr>
                <w:rStyle w:val="KIRMIZIChar"/>
                <w:rFonts w:eastAsia="Calibri"/>
              </w:rPr>
              <w:t>,</w:t>
            </w:r>
            <w:r w:rsidRPr="00A23740">
              <w:rPr>
                <w:bCs/>
                <w:lang w:eastAsia="tr-TR"/>
              </w:rPr>
              <w:t xml:space="preserve"> birinci artırmanın bitimi tarihinden itibaren bir ayı </w:t>
            </w:r>
            <w:r w:rsidRPr="00A23740">
              <w:rPr>
                <w:rStyle w:val="KIRMIZIChar"/>
                <w:rFonts w:eastAsia="Calibri"/>
              </w:rPr>
              <w:t>geçmeyecek şekilde belirlenir</w:t>
            </w:r>
            <w:r w:rsidRPr="00A23740">
              <w:rPr>
                <w:bCs/>
                <w:lang w:eastAsia="tr-TR"/>
              </w:rPr>
              <w:t>.</w:t>
            </w:r>
          </w:p>
          <w:p w:rsidR="00AA5C8C" w:rsidRPr="00A23740" w:rsidRDefault="00AA5C8C" w:rsidP="009431FF">
            <w:pPr>
              <w:rPr>
                <w:rFonts w:eastAsia="Times New Roman"/>
                <w:szCs w:val="24"/>
                <w:lang w:eastAsia="tr-TR"/>
              </w:rPr>
            </w:pPr>
          </w:p>
          <w:p w:rsidR="00AA5C8C" w:rsidRPr="00A23740" w:rsidRDefault="00AA5C8C" w:rsidP="009431FF">
            <w:pPr>
              <w:pStyle w:val="KIRMIZI"/>
            </w:pPr>
            <w:r w:rsidRPr="00A23740">
              <w:rPr>
                <w:rStyle w:val="KIRMIZIChar"/>
                <w:rFonts w:eastAsia="Calibri"/>
                <w:b/>
                <w:bCs/>
                <w:strike/>
              </w:rPr>
              <w:t>(4)</w:t>
            </w:r>
            <w:r w:rsidR="008C2C3C" w:rsidRPr="00A23740">
              <w:t xml:space="preserve"> . . .</w:t>
            </w:r>
          </w:p>
          <w:p w:rsidR="00AA5C8C" w:rsidRPr="00A23740" w:rsidRDefault="00AA5C8C" w:rsidP="009431FF">
            <w:pPr>
              <w:rPr>
                <w:szCs w:val="24"/>
                <w:lang w:eastAsia="tr-TR"/>
              </w:rPr>
            </w:pPr>
            <w:r w:rsidRPr="00A23740">
              <w:rPr>
                <w:rStyle w:val="KIRMIZIChar"/>
                <w:rFonts w:eastAsia="Calibri"/>
              </w:rPr>
              <w:t>(5) . . .</w:t>
            </w:r>
            <w:r w:rsidRPr="00A23740">
              <w:rPr>
                <w:szCs w:val="24"/>
                <w:lang w:eastAsia="tr-TR"/>
              </w:rPr>
              <w:t xml:space="preserve"> </w:t>
            </w:r>
          </w:p>
          <w:p w:rsidR="00AA5C8C" w:rsidRPr="00A23740" w:rsidRDefault="00AA5C8C" w:rsidP="009431FF">
            <w:pPr>
              <w:pStyle w:val="KIRMIZI"/>
            </w:pPr>
            <w:r w:rsidRPr="00A23740">
              <w:t xml:space="preserve">(6) … </w:t>
            </w:r>
          </w:p>
          <w:p w:rsidR="00AA5C8C" w:rsidRPr="00A23740" w:rsidRDefault="00AA5C8C" w:rsidP="009431FF">
            <w:pPr>
              <w:pStyle w:val="KIRMIZI"/>
              <w:rPr>
                <w:color w:val="0000FF"/>
              </w:rPr>
            </w:pPr>
            <w:r w:rsidRPr="00A23740">
              <w:t>(7) …</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pStyle w:val="Mavi"/>
            </w:pPr>
          </w:p>
          <w:p w:rsidR="00AA5C8C" w:rsidRPr="00A23740" w:rsidRDefault="00AA5C8C" w:rsidP="009431FF">
            <w:pPr>
              <w:pStyle w:val="Mavi"/>
            </w:pPr>
          </w:p>
          <w:p w:rsidR="00AA5C8C" w:rsidRPr="00A23740" w:rsidRDefault="00AA5C8C" w:rsidP="009431FF">
            <w:pPr>
              <w:pStyle w:val="Mavi"/>
            </w:pPr>
          </w:p>
          <w:p w:rsidR="00AA5C8C" w:rsidRPr="00A23740" w:rsidRDefault="00AA5C8C" w:rsidP="009431FF">
            <w:pPr>
              <w:pStyle w:val="Mavi"/>
            </w:pPr>
            <w:r w:rsidRPr="00A23740">
              <w:t xml:space="preserve">Satış ilanının şekli </w:t>
            </w:r>
          </w:p>
          <w:p w:rsidR="00005734" w:rsidRPr="00A23740" w:rsidRDefault="00AA5C8C" w:rsidP="009431FF">
            <w:pPr>
              <w:rPr>
                <w:rFonts w:eastAsia="Times New Roman"/>
                <w:szCs w:val="24"/>
                <w:lang w:eastAsia="tr-TR"/>
              </w:rPr>
            </w:pPr>
            <w:r w:rsidRPr="00A23740">
              <w:rPr>
                <w:rStyle w:val="MaviChar"/>
              </w:rPr>
              <w:t xml:space="preserve">MADDE </w:t>
            </w:r>
            <w:r w:rsidR="0025794C" w:rsidRPr="00A23740">
              <w:rPr>
                <w:rStyle w:val="MaviChar"/>
                <w:lang w:val="tr-TR"/>
              </w:rPr>
              <w:t>22</w:t>
            </w:r>
            <w:r w:rsidR="00396AB6" w:rsidRPr="00A23740">
              <w:rPr>
                <w:rStyle w:val="MaviChar"/>
                <w:lang w:val="tr-TR"/>
              </w:rPr>
              <w:t>7</w:t>
            </w:r>
            <w:r w:rsidRPr="00A23740">
              <w:rPr>
                <w:rStyle w:val="MaviChar"/>
              </w:rPr>
              <w:t>-</w:t>
            </w:r>
            <w:r w:rsidRPr="00A23740">
              <w:t xml:space="preserve"> </w:t>
            </w:r>
            <w:r w:rsidR="00005734" w:rsidRPr="00A23740">
              <w:rPr>
                <w:rFonts w:eastAsia="Times New Roman"/>
                <w:b/>
                <w:color w:val="0000FF"/>
                <w:szCs w:val="24"/>
                <w:lang w:eastAsia="tr-TR"/>
              </w:rPr>
              <w:t xml:space="preserve">(1) İcra </w:t>
            </w:r>
            <w:r w:rsidR="00575DD9" w:rsidRPr="00A23740">
              <w:rPr>
                <w:rFonts w:eastAsia="Times New Roman"/>
                <w:b/>
                <w:color w:val="0000FF"/>
                <w:szCs w:val="24"/>
                <w:lang w:eastAsia="tr-TR"/>
              </w:rPr>
              <w:t xml:space="preserve">ve iflas </w:t>
            </w:r>
            <w:r w:rsidR="00005734" w:rsidRPr="00A23740">
              <w:rPr>
                <w:rFonts w:eastAsia="Times New Roman"/>
                <w:b/>
                <w:color w:val="0000FF"/>
                <w:szCs w:val="24"/>
                <w:lang w:eastAsia="tr-TR"/>
              </w:rPr>
              <w:t xml:space="preserve">dairesi, </w:t>
            </w:r>
            <w:r w:rsidR="00005734" w:rsidRPr="00B74B96">
              <w:rPr>
                <w:rStyle w:val="MaviChar"/>
              </w:rPr>
              <w:t xml:space="preserve">ilanın </w:t>
            </w:r>
            <w:r w:rsidR="00575DD9" w:rsidRPr="00B74B96">
              <w:rPr>
                <w:rStyle w:val="MaviChar"/>
              </w:rPr>
              <w:t>şeklini</w:t>
            </w:r>
            <w:r w:rsidR="00005734" w:rsidRPr="00B74B96">
              <w:rPr>
                <w:rStyle w:val="MaviChar"/>
              </w:rPr>
              <w:t xml:space="preserve"> ve gazeteyle yapılıp yapılmayacağını</w:t>
            </w:r>
            <w:r w:rsidR="00575DD9" w:rsidRPr="00B74B96">
              <w:rPr>
                <w:rStyle w:val="MaviChar"/>
              </w:rPr>
              <w:t>,</w:t>
            </w:r>
            <w:r w:rsidR="00005734" w:rsidRPr="00A23740">
              <w:rPr>
                <w:rFonts w:eastAsia="Times New Roman"/>
                <w:szCs w:val="24"/>
                <w:lang w:eastAsia="tr-TR"/>
              </w:rPr>
              <w:t xml:space="preserve"> </w:t>
            </w:r>
            <w:r w:rsidR="00005734" w:rsidRPr="00A23740">
              <w:rPr>
                <w:rStyle w:val="MaviChar"/>
              </w:rPr>
              <w:t>ilgililerin</w:t>
            </w:r>
            <w:r w:rsidR="00005734" w:rsidRPr="00A23740">
              <w:rPr>
                <w:rFonts w:eastAsia="Times New Roman"/>
                <w:b/>
                <w:color w:val="0000FF"/>
                <w:szCs w:val="24"/>
                <w:lang w:eastAsia="tr-TR"/>
              </w:rPr>
              <w:t xml:space="preserve"> </w:t>
            </w:r>
            <w:r w:rsidR="00005734" w:rsidRPr="00A23740">
              <w:rPr>
                <w:rFonts w:eastAsia="Times New Roman"/>
                <w:szCs w:val="24"/>
                <w:lang w:eastAsia="tr-TR"/>
              </w:rPr>
              <w:t>menfaatleri</w:t>
            </w:r>
            <w:r w:rsidR="00005734" w:rsidRPr="00A23740">
              <w:rPr>
                <w:rStyle w:val="MaviChar"/>
              </w:rPr>
              <w:t>ne</w:t>
            </w:r>
            <w:r w:rsidR="00005734" w:rsidRPr="00A23740">
              <w:rPr>
                <w:rFonts w:eastAsia="Times New Roman"/>
                <w:b/>
                <w:color w:val="0000FF"/>
                <w:szCs w:val="24"/>
                <w:lang w:eastAsia="tr-TR"/>
              </w:rPr>
              <w:t xml:space="preserve"> </w:t>
            </w:r>
            <w:r w:rsidR="00005734" w:rsidRPr="00B74B96">
              <w:rPr>
                <w:rStyle w:val="MaviChar"/>
              </w:rPr>
              <w:t>en</w:t>
            </w:r>
            <w:r w:rsidR="00005734" w:rsidRPr="00A23740">
              <w:rPr>
                <w:rFonts w:eastAsia="Times New Roman"/>
                <w:b/>
                <w:color w:val="0000FF"/>
                <w:szCs w:val="24"/>
                <w:lang w:eastAsia="tr-TR"/>
              </w:rPr>
              <w:t xml:space="preserve"> </w:t>
            </w:r>
            <w:r w:rsidR="00005734" w:rsidRPr="00A23740">
              <w:rPr>
                <w:rStyle w:val="MaviChar"/>
              </w:rPr>
              <w:t>uygun</w:t>
            </w:r>
            <w:r w:rsidR="00005734" w:rsidRPr="00A23740">
              <w:rPr>
                <w:rFonts w:eastAsia="Times New Roman"/>
                <w:b/>
                <w:color w:val="0000FF"/>
                <w:szCs w:val="24"/>
                <w:lang w:eastAsia="tr-TR"/>
              </w:rPr>
              <w:t xml:space="preserve"> </w:t>
            </w:r>
            <w:r w:rsidR="000E2B05" w:rsidRPr="00A23740">
              <w:rPr>
                <w:rFonts w:eastAsia="Times New Roman"/>
                <w:b/>
                <w:color w:val="0000FF"/>
                <w:szCs w:val="24"/>
                <w:lang w:eastAsia="tr-TR"/>
              </w:rPr>
              <w:t xml:space="preserve">olanı </w:t>
            </w:r>
            <w:r w:rsidR="00005734" w:rsidRPr="00A23740">
              <w:rPr>
                <w:rFonts w:eastAsia="Times New Roman"/>
                <w:szCs w:val="24"/>
                <w:lang w:eastAsia="tr-TR"/>
              </w:rPr>
              <w:t xml:space="preserve">dikkate </w:t>
            </w:r>
            <w:r w:rsidR="00005734" w:rsidRPr="00A23740">
              <w:rPr>
                <w:rStyle w:val="MaviChar"/>
              </w:rPr>
              <w:t>alarak tespit eder</w:t>
            </w:r>
            <w:r w:rsidR="00005734" w:rsidRPr="00A23740">
              <w:rPr>
                <w:rFonts w:eastAsia="Times New Roman"/>
                <w:szCs w:val="24"/>
                <w:lang w:eastAsia="tr-TR"/>
              </w:rPr>
              <w:t>.</w:t>
            </w:r>
            <w:r w:rsidR="00B76733" w:rsidRPr="00A23740">
              <w:rPr>
                <w:rFonts w:eastAsia="Times New Roman"/>
                <w:szCs w:val="24"/>
                <w:lang w:eastAsia="tr-TR"/>
              </w:rPr>
              <w:t xml:space="preserve"> </w:t>
            </w:r>
          </w:p>
          <w:p w:rsidR="008C6539" w:rsidRPr="00A23740" w:rsidRDefault="008C6539" w:rsidP="009431FF">
            <w:pPr>
              <w:pStyle w:val="Mavi"/>
            </w:pPr>
          </w:p>
          <w:p w:rsidR="00575DD9" w:rsidRPr="00A23740" w:rsidRDefault="00575DD9" w:rsidP="009431FF">
            <w:pPr>
              <w:pStyle w:val="Mavi"/>
            </w:pPr>
          </w:p>
          <w:p w:rsidR="00BD41B4" w:rsidRPr="00A23740" w:rsidRDefault="00BD41B4" w:rsidP="009431FF">
            <w:pPr>
              <w:pStyle w:val="Mavi"/>
            </w:pPr>
          </w:p>
          <w:p w:rsidR="00AA5C8C" w:rsidRPr="00A23740" w:rsidRDefault="00005734" w:rsidP="009431FF">
            <w:pPr>
              <w:pStyle w:val="Mavi"/>
            </w:pPr>
            <w:r w:rsidRPr="00A23740">
              <w:rPr>
                <w:rFonts w:eastAsia="Times New Roman"/>
              </w:rPr>
              <w:t>(2</w:t>
            </w:r>
            <w:r w:rsidR="00AA5C8C" w:rsidRPr="00A23740">
              <w:rPr>
                <w:rFonts w:eastAsia="Times New Roman"/>
              </w:rPr>
              <w:t xml:space="preserve">) </w:t>
            </w:r>
            <w:r w:rsidR="00D83844" w:rsidRPr="00B74B96">
              <w:rPr>
                <w:rFonts w:eastAsia="Times New Roman"/>
                <w:b w:val="0"/>
                <w:color w:val="auto"/>
                <w:lang w:val="tr-TR"/>
              </w:rPr>
              <w:t>B</w:t>
            </w:r>
            <w:r w:rsidR="00B76733" w:rsidRPr="00B74B96">
              <w:rPr>
                <w:rFonts w:eastAsia="Times New Roman"/>
                <w:b w:val="0"/>
                <w:color w:val="auto"/>
                <w:lang w:val="tr-TR"/>
              </w:rPr>
              <w:t xml:space="preserve">irinci ve ikinci artırmanın </w:t>
            </w:r>
            <w:r w:rsidR="00D83844" w:rsidRPr="00B74B96">
              <w:rPr>
                <w:rFonts w:eastAsia="Times New Roman"/>
                <w:b w:val="0"/>
                <w:color w:val="auto"/>
                <w:lang w:val="tr-TR"/>
              </w:rPr>
              <w:t>yapılacağı gün ve saat aralığı</w:t>
            </w:r>
            <w:r w:rsidR="00B76733" w:rsidRPr="00A23740">
              <w:rPr>
                <w:rFonts w:eastAsia="Times New Roman"/>
                <w:lang w:val="tr-TR"/>
              </w:rPr>
              <w:t xml:space="preserve"> belirle</w:t>
            </w:r>
            <w:r w:rsidR="00D83844" w:rsidRPr="00A23740">
              <w:rPr>
                <w:rFonts w:eastAsia="Times New Roman"/>
                <w:lang w:val="tr-TR"/>
              </w:rPr>
              <w:t>ni</w:t>
            </w:r>
            <w:r w:rsidR="00B76733" w:rsidRPr="00A23740">
              <w:rPr>
                <w:rFonts w:eastAsia="Times New Roman"/>
                <w:lang w:val="tr-TR"/>
              </w:rPr>
              <w:t xml:space="preserve">r. Şu kadar ki, </w:t>
            </w:r>
            <w:r w:rsidR="00B76733" w:rsidRPr="00A23740">
              <w:rPr>
                <w:b w:val="0"/>
                <w:bCs w:val="0"/>
                <w:color w:val="auto"/>
                <w:lang w:val="tr-TR" w:eastAsia="tr-TR"/>
              </w:rPr>
              <w:t>i</w:t>
            </w:r>
            <w:r w:rsidR="00AA5C8C" w:rsidRPr="00A23740">
              <w:rPr>
                <w:b w:val="0"/>
                <w:bCs w:val="0"/>
                <w:color w:val="auto"/>
                <w:lang w:val="tr-TR" w:eastAsia="tr-TR"/>
              </w:rPr>
              <w:t xml:space="preserve">kinci artırmanın başlangıç tarihi birinci artırmanın bitimi tarihinden itibaren bir </w:t>
            </w:r>
            <w:r w:rsidR="00B76733" w:rsidRPr="00A23740">
              <w:rPr>
                <w:b w:val="0"/>
                <w:bCs w:val="0"/>
                <w:color w:val="auto"/>
                <w:lang w:val="tr-TR" w:eastAsia="tr-TR"/>
              </w:rPr>
              <w:t xml:space="preserve">ayı </w:t>
            </w:r>
            <w:r w:rsidR="00B76733" w:rsidRPr="00A23740">
              <w:t>geçemez</w:t>
            </w:r>
            <w:r w:rsidR="00AA5C8C" w:rsidRPr="00A23740">
              <w:rPr>
                <w:b w:val="0"/>
                <w:bCs w:val="0"/>
                <w:color w:val="auto"/>
                <w:lang w:val="tr-TR" w:eastAsia="tr-TR"/>
              </w:rPr>
              <w:t>.</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pStyle w:val="YEL"/>
              <w:rPr>
                <w:lang w:val="tr-TR"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8C6539" w:rsidRPr="00A23740" w:rsidRDefault="00B0774A"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22</w:t>
            </w:r>
            <w:r w:rsidR="00396AB6" w:rsidRPr="00A23740">
              <w:rPr>
                <w:rFonts w:eastAsia="Times New Roman"/>
                <w:b/>
                <w:color w:val="000000"/>
                <w:szCs w:val="24"/>
                <w:lang w:eastAsia="tr-TR"/>
              </w:rPr>
              <w:t>7</w:t>
            </w:r>
            <w:r w:rsidRPr="00A23740">
              <w:rPr>
                <w:rFonts w:eastAsia="Times New Roman"/>
                <w:color w:val="000000"/>
                <w:szCs w:val="24"/>
                <w:lang w:eastAsia="tr-TR"/>
              </w:rPr>
              <w:t>- Maddeyle, satış ilanının şekli düzenlenmektedir. Hüküm, 2004 sayılı Kanunun artırma</w:t>
            </w:r>
            <w:r w:rsidR="00916CE3" w:rsidRPr="00A23740">
              <w:rPr>
                <w:rFonts w:eastAsia="Times New Roman"/>
                <w:color w:val="000000"/>
                <w:szCs w:val="24"/>
                <w:lang w:eastAsia="tr-TR"/>
              </w:rPr>
              <w:t>ya</w:t>
            </w:r>
            <w:r w:rsidRPr="00A23740">
              <w:rPr>
                <w:rFonts w:eastAsia="Times New Roman"/>
                <w:color w:val="000000"/>
                <w:szCs w:val="24"/>
                <w:lang w:eastAsia="tr-TR"/>
              </w:rPr>
              <w:t xml:space="preserve"> hazırlık tedbirleriyle ilgili 114 üncü maddesinin ikinci ve </w:t>
            </w:r>
            <w:r w:rsidR="008C6539" w:rsidRPr="00A23740">
              <w:rPr>
                <w:rFonts w:eastAsia="Times New Roman"/>
                <w:color w:val="000000"/>
                <w:szCs w:val="24"/>
                <w:lang w:eastAsia="tr-TR"/>
              </w:rPr>
              <w:t>dördüncü</w:t>
            </w:r>
            <w:r w:rsidRPr="00A23740">
              <w:rPr>
                <w:rFonts w:eastAsia="Times New Roman"/>
                <w:color w:val="000000"/>
                <w:szCs w:val="24"/>
                <w:lang w:eastAsia="tr-TR"/>
              </w:rPr>
              <w:t xml:space="preserve"> fıkralarına karşılık gelmektedir.</w:t>
            </w:r>
          </w:p>
          <w:p w:rsidR="00D83844" w:rsidRPr="00A23740" w:rsidRDefault="008C6539" w:rsidP="009431FF">
            <w:pPr>
              <w:ind w:firstLine="709"/>
              <w:rPr>
                <w:rFonts w:eastAsia="Times New Roman"/>
                <w:bCs/>
                <w:lang w:eastAsia="tr-TR"/>
              </w:rPr>
            </w:pPr>
            <w:r w:rsidRPr="00A23740">
              <w:rPr>
                <w:rFonts w:eastAsia="Times New Roman"/>
                <w:szCs w:val="24"/>
                <w:lang w:eastAsia="tr-TR"/>
              </w:rPr>
              <w:t>Birinci fıkrayla, icra</w:t>
            </w:r>
            <w:r w:rsidR="000E2B05" w:rsidRPr="00A23740">
              <w:rPr>
                <w:rFonts w:eastAsia="Times New Roman"/>
                <w:szCs w:val="24"/>
                <w:lang w:eastAsia="tr-TR"/>
              </w:rPr>
              <w:t xml:space="preserve"> </w:t>
            </w:r>
            <w:r w:rsidR="000E2B05" w:rsidRPr="00D60C1D">
              <w:rPr>
                <w:rStyle w:val="Balk1Char"/>
                <w:rFonts w:eastAsia="Calibri"/>
                <w:b w:val="0"/>
                <w:color w:val="000000"/>
              </w:rPr>
              <w:t>ve iflas</w:t>
            </w:r>
            <w:r w:rsidR="000E2B05" w:rsidRPr="00A23740">
              <w:rPr>
                <w:rFonts w:eastAsia="Times New Roman"/>
                <w:szCs w:val="24"/>
                <w:lang w:eastAsia="tr-TR"/>
              </w:rPr>
              <w:t xml:space="preserve"> </w:t>
            </w:r>
            <w:r w:rsidRPr="00A23740">
              <w:rPr>
                <w:rFonts w:eastAsia="Times New Roman"/>
                <w:szCs w:val="24"/>
                <w:lang w:eastAsia="tr-TR"/>
              </w:rPr>
              <w:t>dairesinin, ilanın şekli</w:t>
            </w:r>
            <w:r w:rsidR="00F30ECB" w:rsidRPr="00D60C1D">
              <w:rPr>
                <w:rFonts w:eastAsia="Times New Roman"/>
                <w:color w:val="000000"/>
                <w:szCs w:val="24"/>
                <w:lang w:eastAsia="tr-TR"/>
              </w:rPr>
              <w:t>ni</w:t>
            </w:r>
            <w:r w:rsidRPr="00A23740">
              <w:rPr>
                <w:rFonts w:eastAsia="Times New Roman"/>
                <w:szCs w:val="24"/>
                <w:lang w:eastAsia="tr-TR"/>
              </w:rPr>
              <w:t xml:space="preserve"> ve gazete</w:t>
            </w:r>
            <w:r w:rsidRPr="00A23740">
              <w:rPr>
                <w:rFonts w:eastAsia="Times New Roman"/>
                <w:bCs/>
                <w:lang w:eastAsia="tr-TR"/>
              </w:rPr>
              <w:t>yle</w:t>
            </w:r>
            <w:r w:rsidRPr="00A23740">
              <w:rPr>
                <w:rFonts w:eastAsia="Times New Roman"/>
                <w:szCs w:val="24"/>
                <w:lang w:eastAsia="tr-TR"/>
              </w:rPr>
              <w:t xml:space="preserve"> yapılıp yapılmayacağı</w:t>
            </w:r>
            <w:r w:rsidRPr="00A23740">
              <w:rPr>
                <w:rFonts w:eastAsia="Times New Roman"/>
                <w:bCs/>
                <w:lang w:eastAsia="tr-TR"/>
              </w:rPr>
              <w:t>nı</w:t>
            </w:r>
            <w:r w:rsidRPr="00A23740">
              <w:rPr>
                <w:rFonts w:eastAsia="Times New Roman"/>
                <w:szCs w:val="24"/>
                <w:lang w:eastAsia="tr-TR"/>
              </w:rPr>
              <w:t xml:space="preserve"> </w:t>
            </w:r>
            <w:r w:rsidRPr="00A23740">
              <w:rPr>
                <w:rFonts w:eastAsia="Times New Roman"/>
                <w:bCs/>
                <w:lang w:eastAsia="tr-TR"/>
              </w:rPr>
              <w:t>ilgililerin</w:t>
            </w:r>
            <w:r w:rsidRPr="00A23740">
              <w:rPr>
                <w:rFonts w:eastAsia="Times New Roman"/>
                <w:szCs w:val="24"/>
                <w:lang w:eastAsia="tr-TR"/>
              </w:rPr>
              <w:t xml:space="preserve"> menfaatleri</w:t>
            </w:r>
            <w:r w:rsidRPr="00A23740">
              <w:rPr>
                <w:rFonts w:eastAsia="Times New Roman"/>
                <w:bCs/>
                <w:lang w:eastAsia="tr-TR"/>
              </w:rPr>
              <w:t>ne</w:t>
            </w:r>
            <w:r w:rsidRPr="00A23740">
              <w:rPr>
                <w:rFonts w:eastAsia="Times New Roman"/>
                <w:szCs w:val="24"/>
                <w:lang w:eastAsia="tr-TR"/>
              </w:rPr>
              <w:t xml:space="preserve"> en </w:t>
            </w:r>
            <w:r w:rsidRPr="00A23740">
              <w:rPr>
                <w:rFonts w:eastAsia="Times New Roman"/>
                <w:bCs/>
                <w:lang w:eastAsia="tr-TR"/>
              </w:rPr>
              <w:t>uygun</w:t>
            </w:r>
            <w:r w:rsidRPr="00A23740">
              <w:rPr>
                <w:rFonts w:eastAsia="Times New Roman"/>
                <w:szCs w:val="24"/>
                <w:lang w:eastAsia="tr-TR"/>
              </w:rPr>
              <w:t xml:space="preserve"> geleni dikkate </w:t>
            </w:r>
            <w:r w:rsidRPr="00A23740">
              <w:rPr>
                <w:rFonts w:eastAsia="Times New Roman"/>
                <w:bCs/>
                <w:lang w:eastAsia="tr-TR"/>
              </w:rPr>
              <w:t xml:space="preserve">alarak tespit edeceği düzenlenmektedir. 7343 sayılı Kanunla getirilen </w:t>
            </w:r>
            <w:r w:rsidR="00916CE3" w:rsidRPr="00A23740">
              <w:rPr>
                <w:rFonts w:eastAsia="Times New Roman"/>
                <w:bCs/>
                <w:lang w:eastAsia="tr-TR"/>
              </w:rPr>
              <w:t xml:space="preserve">ve </w:t>
            </w:r>
            <w:r w:rsidRPr="00A23740">
              <w:rPr>
                <w:rFonts w:eastAsia="Times New Roman"/>
                <w:bCs/>
                <w:lang w:eastAsia="tr-TR"/>
              </w:rPr>
              <w:t xml:space="preserve">elektronik ortamda açık artırma suretiyle satışa ilişkin </w:t>
            </w:r>
            <w:r w:rsidR="00916CE3" w:rsidRPr="00A23740">
              <w:rPr>
                <w:rFonts w:eastAsia="Times New Roman"/>
                <w:bCs/>
                <w:lang w:eastAsia="tr-TR"/>
              </w:rPr>
              <w:t xml:space="preserve">olan </w:t>
            </w:r>
            <w:r w:rsidRPr="00A23740">
              <w:rPr>
                <w:rFonts w:eastAsia="Times New Roman"/>
                <w:bCs/>
                <w:lang w:eastAsia="tr-TR"/>
              </w:rPr>
              <w:t xml:space="preserve">hükümler uyarınca artırma şartnamesi ve artırma ilanının elektronik satış portalında ücretsiz bir şekilde ilan edildiği dikkate alındığında, satış ilanının ayrıca zorunlu olarak </w:t>
            </w:r>
            <w:r w:rsidR="000E2B05" w:rsidRPr="00D60C1D">
              <w:rPr>
                <w:rStyle w:val="Balk1Char"/>
                <w:rFonts w:eastAsia="Calibri"/>
                <w:b w:val="0"/>
                <w:color w:val="000000"/>
              </w:rPr>
              <w:t>gazeteyle</w:t>
            </w:r>
            <w:r w:rsidR="000E2B05" w:rsidRPr="00A23740">
              <w:rPr>
                <w:rFonts w:eastAsia="Times New Roman"/>
                <w:bCs/>
                <w:lang w:eastAsia="tr-TR"/>
              </w:rPr>
              <w:t xml:space="preserve"> </w:t>
            </w:r>
            <w:r w:rsidRPr="00A23740">
              <w:rPr>
                <w:rFonts w:eastAsia="Times New Roman"/>
                <w:bCs/>
                <w:lang w:eastAsia="tr-TR"/>
              </w:rPr>
              <w:t>yapılması borçluya ağır külfet getireceği için Taslağa 2004 sayılı Kanunun 114 üncü maddesinde 7418 sayılı Kanunla yapılan değişiklikler alınmamaktadır.</w:t>
            </w:r>
          </w:p>
          <w:p w:rsidR="00B0774A" w:rsidRPr="00A23740" w:rsidRDefault="00D83844" w:rsidP="009431FF">
            <w:pPr>
              <w:ind w:firstLine="709"/>
              <w:rPr>
                <w:rFonts w:eastAsia="Times New Roman"/>
                <w:color w:val="000000"/>
                <w:szCs w:val="24"/>
                <w:lang w:eastAsia="tr-TR"/>
              </w:rPr>
            </w:pPr>
            <w:r w:rsidRPr="00A23740">
              <w:rPr>
                <w:rFonts w:eastAsia="Times New Roman"/>
                <w:bCs/>
                <w:lang w:eastAsia="tr-TR"/>
              </w:rPr>
              <w:t xml:space="preserve">İkinci fıkrayla, icra </w:t>
            </w:r>
            <w:r w:rsidR="000E2B05" w:rsidRPr="00D60C1D">
              <w:rPr>
                <w:rStyle w:val="Balk1Char"/>
                <w:rFonts w:eastAsia="Calibri"/>
                <w:b w:val="0"/>
                <w:color w:val="000000"/>
              </w:rPr>
              <w:t>ve iflas</w:t>
            </w:r>
            <w:r w:rsidR="000E2B05" w:rsidRPr="00A23740">
              <w:rPr>
                <w:rFonts w:eastAsia="Times New Roman"/>
                <w:bCs/>
                <w:lang w:eastAsia="tr-TR"/>
              </w:rPr>
              <w:t xml:space="preserve"> </w:t>
            </w:r>
            <w:r w:rsidRPr="00A23740">
              <w:rPr>
                <w:rFonts w:eastAsia="Times New Roman"/>
                <w:bCs/>
                <w:lang w:eastAsia="tr-TR"/>
              </w:rPr>
              <w:t xml:space="preserve">dairesinin </w:t>
            </w:r>
            <w:r w:rsidRPr="00A23740">
              <w:rPr>
                <w:rFonts w:eastAsia="Times New Roman"/>
              </w:rPr>
              <w:t xml:space="preserve">birinci ve ikinci artırmanın yapılacağı gün ve saat aralığını ve </w:t>
            </w:r>
            <w:r w:rsidRPr="00A23740">
              <w:rPr>
                <w:bCs/>
                <w:lang w:eastAsia="tr-TR"/>
              </w:rPr>
              <w:t xml:space="preserve">ikinci artırmanın başlangıç tarihini birinci artırmanın bitimi tarihinden itibaren bir ayı </w:t>
            </w:r>
            <w:r w:rsidR="000E2B05" w:rsidRPr="00D60C1D">
              <w:rPr>
                <w:rStyle w:val="Balk1Char"/>
                <w:rFonts w:eastAsia="Calibri"/>
                <w:b w:val="0"/>
                <w:color w:val="000000"/>
              </w:rPr>
              <w:t>geçmeyecek</w:t>
            </w:r>
            <w:r w:rsidR="000E2B05" w:rsidRPr="00A23740">
              <w:t xml:space="preserve"> </w:t>
            </w:r>
            <w:r w:rsidRPr="00A23740">
              <w:t xml:space="preserve">şekilde </w:t>
            </w:r>
            <w:r w:rsidR="00BD41B4">
              <w:t>belirleyeceği düzenlenmektedir.</w:t>
            </w:r>
          </w:p>
          <w:p w:rsidR="00090DC6" w:rsidRPr="00A23740" w:rsidRDefault="00090DC6" w:rsidP="001971CE">
            <w:pPr>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Artırma hazırlık tedbirleri:</w:t>
            </w:r>
          </w:p>
          <w:p w:rsidR="00AA5C8C" w:rsidRPr="00A23740" w:rsidRDefault="00AA5C8C" w:rsidP="009431FF">
            <w:pPr>
              <w:pStyle w:val="KIRMIZI"/>
            </w:pPr>
            <w:r w:rsidRPr="00A23740">
              <w:t xml:space="preserve">Madde 114 – </w:t>
            </w:r>
            <w:r w:rsidRPr="00A23740">
              <w:rPr>
                <w:rFonts w:eastAsia="Calibri"/>
              </w:rPr>
              <w:t>(1). . .</w:t>
            </w:r>
            <w:r w:rsidRPr="00A23740">
              <w:rPr>
                <w:rStyle w:val="KIRMIZIChar"/>
                <w:rFonts w:eastAsia="Calibri"/>
              </w:rPr>
              <w:t xml:space="preserve"> </w:t>
            </w:r>
          </w:p>
          <w:p w:rsidR="00AA5C8C" w:rsidRPr="00A23740" w:rsidRDefault="00AA5C8C" w:rsidP="009431FF">
            <w:pPr>
              <w:rPr>
                <w:szCs w:val="24"/>
                <w:lang w:eastAsia="tr-TR"/>
              </w:rPr>
            </w:pPr>
          </w:p>
          <w:p w:rsidR="000B0858" w:rsidRPr="00A23740" w:rsidRDefault="000B0858" w:rsidP="009431FF">
            <w:pPr>
              <w:rPr>
                <w:rFonts w:eastAsia="Times New Roman"/>
                <w:color w:val="000000"/>
                <w:szCs w:val="24"/>
                <w:lang w:eastAsia="tr-TR"/>
              </w:rPr>
            </w:pPr>
            <w:r w:rsidRPr="00A23740">
              <w:rPr>
                <w:rStyle w:val="KIRMIZIChar"/>
                <w:rFonts w:eastAsia="Calibri"/>
              </w:rPr>
              <w:t xml:space="preserve">(2) </w:t>
            </w:r>
            <w:r w:rsidRPr="00A23740">
              <w:rPr>
                <w:rStyle w:val="KIRMIZIChar"/>
                <w:rFonts w:eastAsia="Calibri"/>
                <w:lang w:eastAsia="tr-TR"/>
              </w:rPr>
              <w:t>Birinci ve ikinci artırmanın yapılacağı gün ve saat aralığı, artırmaya başlangıç tarihinden en az on beş gün önce ilan edilir. Elektronik satış portalı ve Basın İlân Kurumu İlan Portalında yapılacak ilan,</w:t>
            </w:r>
            <w:r w:rsidRPr="00A23740">
              <w:rPr>
                <w:rFonts w:eastAsia="Times New Roman"/>
                <w:color w:val="000000"/>
                <w:szCs w:val="24"/>
                <w:lang w:eastAsia="tr-TR"/>
              </w:rPr>
              <w:t xml:space="preserve"> artırmanın bitimine kadar erişime açık tutulur. </w:t>
            </w:r>
            <w:r w:rsidRPr="00A23740">
              <w:rPr>
                <w:rStyle w:val="KIRMIZIChar"/>
                <w:rFonts w:eastAsia="Calibri"/>
                <w:lang w:eastAsia="tr-TR"/>
              </w:rPr>
              <w:t>İkinci artırmanın başlangıç tarihi, birinci artırmanın bitimi tarihinden itibaren bir ayı geçmeyecek şekilde belirlenir.</w:t>
            </w:r>
          </w:p>
          <w:p w:rsidR="00AA5C8C" w:rsidRPr="00A23740" w:rsidRDefault="00AA5C8C" w:rsidP="009431FF">
            <w:pPr>
              <w:rPr>
                <w:b/>
                <w:lang w:eastAsia="tr-TR"/>
              </w:rPr>
            </w:pPr>
          </w:p>
          <w:p w:rsidR="00AA5C8C" w:rsidRPr="00A23740" w:rsidRDefault="000B0858" w:rsidP="009431FF">
            <w:pPr>
              <w:rPr>
                <w:szCs w:val="24"/>
                <w:lang w:eastAsia="tr-TR"/>
              </w:rPr>
            </w:pPr>
            <w:r w:rsidRPr="00A23740">
              <w:rPr>
                <w:rStyle w:val="KIRMIZIChar"/>
                <w:rFonts w:eastAsia="Calibri"/>
              </w:rPr>
              <w:t>(7</w:t>
            </w:r>
            <w:r w:rsidR="00AA5C8C" w:rsidRPr="00A23740">
              <w:rPr>
                <w:rStyle w:val="KIRMIZIChar"/>
                <w:rFonts w:eastAsia="Calibri"/>
              </w:rPr>
              <w:t>)</w:t>
            </w:r>
            <w:r w:rsidR="00AA5C8C" w:rsidRPr="00A23740">
              <w:rPr>
                <w:szCs w:val="24"/>
                <w:lang w:eastAsia="tr-TR"/>
              </w:rPr>
              <w:t xml:space="preserve"> Elektronik satış portalında yapılacak ilanda aşağıdaki hususlar yer alır:</w:t>
            </w:r>
          </w:p>
          <w:p w:rsidR="00AA5C8C" w:rsidRPr="00A23740" w:rsidRDefault="00AA5C8C" w:rsidP="009431FF">
            <w:pPr>
              <w:rPr>
                <w:szCs w:val="24"/>
                <w:lang w:eastAsia="tr-TR"/>
              </w:rPr>
            </w:pPr>
          </w:p>
          <w:p w:rsidR="00AA5C8C" w:rsidRPr="00A23740" w:rsidRDefault="00AA5C8C" w:rsidP="009431FF">
            <w:pPr>
              <w:rPr>
                <w:szCs w:val="24"/>
                <w:lang w:eastAsia="tr-TR"/>
              </w:rPr>
            </w:pPr>
            <w:r w:rsidRPr="00A23740">
              <w:rPr>
                <w:rStyle w:val="KIRMIZIChar"/>
                <w:rFonts w:eastAsia="Calibri"/>
                <w:lang w:eastAsia="tr-TR"/>
              </w:rPr>
              <w:t>1. Satılacak şeyin cinsi, mahiyeti, önemli vasıfları, muhammen kıymeti, bulunduğu yer ve varsa görselleri ile artırma şartnamesinde yer alan diğer bilgileri.</w:t>
            </w:r>
          </w:p>
          <w:p w:rsidR="00A92754" w:rsidRPr="00A23740" w:rsidRDefault="00A92754" w:rsidP="009431FF">
            <w:pPr>
              <w:rPr>
                <w:b/>
                <w:lang w:eastAsia="tr-TR"/>
              </w:rPr>
            </w:pPr>
          </w:p>
          <w:p w:rsidR="00AA5C8C" w:rsidRPr="00A23740" w:rsidRDefault="00AA5C8C" w:rsidP="009431FF">
            <w:pPr>
              <w:rPr>
                <w:b/>
                <w:lang w:eastAsia="tr-TR"/>
              </w:rPr>
            </w:pPr>
          </w:p>
          <w:p w:rsidR="00AA5C8C" w:rsidRPr="00A23740" w:rsidRDefault="00AA5C8C" w:rsidP="009431FF">
            <w:pPr>
              <w:rPr>
                <w:b/>
                <w:lang w:eastAsia="tr-TR"/>
              </w:rPr>
            </w:pPr>
          </w:p>
          <w:p w:rsidR="00AA5C8C" w:rsidRPr="00A23740" w:rsidRDefault="00AA5C8C" w:rsidP="009431FF">
            <w:pPr>
              <w:rPr>
                <w:szCs w:val="24"/>
                <w:lang w:eastAsia="tr-TR"/>
              </w:rPr>
            </w:pPr>
          </w:p>
          <w:p w:rsidR="00AA5C8C" w:rsidRPr="00A23740" w:rsidRDefault="00AA5C8C" w:rsidP="009431FF">
            <w:pPr>
              <w:rPr>
                <w:szCs w:val="24"/>
                <w:lang w:eastAsia="tr-TR"/>
              </w:rPr>
            </w:pPr>
          </w:p>
          <w:p w:rsidR="00AA5C8C" w:rsidRPr="00A23740" w:rsidRDefault="00AA5C8C" w:rsidP="009431FF">
            <w:pPr>
              <w:rPr>
                <w:b/>
                <w:lang w:eastAsia="tr-TR"/>
              </w:rPr>
            </w:pPr>
          </w:p>
          <w:p w:rsidR="00AA5C8C" w:rsidRPr="00A23740" w:rsidRDefault="00AA5C8C" w:rsidP="009431FF">
            <w:pPr>
              <w:rPr>
                <w:b/>
                <w:lang w:eastAsia="tr-TR"/>
              </w:rPr>
            </w:pPr>
          </w:p>
        </w:tc>
        <w:tc>
          <w:tcPr>
            <w:tcW w:w="2500" w:type="pct"/>
          </w:tcPr>
          <w:p w:rsidR="00AA5C8C" w:rsidRPr="00A23740" w:rsidRDefault="00AA5C8C" w:rsidP="009431FF">
            <w:pPr>
              <w:pStyle w:val="Mavi"/>
            </w:pPr>
            <w:r w:rsidRPr="00A23740">
              <w:t xml:space="preserve">Elektronik satış portalında ilan </w:t>
            </w:r>
          </w:p>
          <w:p w:rsidR="00AA5C8C" w:rsidRPr="00A23740" w:rsidRDefault="00AA5C8C" w:rsidP="009431FF">
            <w:pPr>
              <w:pStyle w:val="Mavi"/>
              <w:rPr>
                <w:b w:val="0"/>
                <w:bCs w:val="0"/>
                <w:color w:val="auto"/>
                <w:lang w:val="tr-TR" w:eastAsia="tr-TR"/>
              </w:rPr>
            </w:pPr>
            <w:r w:rsidRPr="00A23740">
              <w:t xml:space="preserve">MADDE </w:t>
            </w:r>
            <w:r w:rsidR="0025794C" w:rsidRPr="00A23740">
              <w:rPr>
                <w:lang w:val="tr-TR"/>
              </w:rPr>
              <w:t>22</w:t>
            </w:r>
            <w:r w:rsidR="00396AB6" w:rsidRPr="00A23740">
              <w:rPr>
                <w:lang w:val="tr-TR"/>
              </w:rPr>
              <w:t>8</w:t>
            </w:r>
            <w:r w:rsidRPr="00A23740">
              <w:t xml:space="preserve">- </w:t>
            </w:r>
            <w:r w:rsidRPr="00A23740">
              <w:rPr>
                <w:rFonts w:eastAsia="Times New Roman"/>
              </w:rPr>
              <w:t xml:space="preserve">(1) Satış ilanı, </w:t>
            </w:r>
            <w:r w:rsidR="00B76733" w:rsidRPr="00A23740">
              <w:t>artırmaya başlangıç tarihinden en az iki hafta önce</w:t>
            </w:r>
            <w:r w:rsidR="00B76733" w:rsidRPr="00A23740">
              <w:rPr>
                <w:b w:val="0"/>
                <w:bCs w:val="0"/>
                <w:color w:val="auto"/>
                <w:lang w:val="tr-TR" w:eastAsia="tr-TR"/>
              </w:rPr>
              <w:t xml:space="preserve"> </w:t>
            </w:r>
            <w:r w:rsidRPr="00A23740">
              <w:rPr>
                <w:rFonts w:eastAsia="Times New Roman"/>
              </w:rPr>
              <w:t>elektronik satış portalında yapılır ve</w:t>
            </w:r>
            <w:r w:rsidRPr="00A23740">
              <w:rPr>
                <w:b w:val="0"/>
                <w:bCs w:val="0"/>
                <w:color w:val="auto"/>
                <w:lang w:val="tr-TR" w:eastAsia="tr-TR"/>
              </w:rPr>
              <w:t xml:space="preserve"> artırmanın bitimine kadar erişime açık tutulur.</w:t>
            </w:r>
          </w:p>
          <w:p w:rsidR="00AA5C8C" w:rsidRPr="00A23740" w:rsidRDefault="00AA5C8C" w:rsidP="009431FF">
            <w:pPr>
              <w:tabs>
                <w:tab w:val="left" w:pos="567"/>
              </w:tabs>
              <w:rPr>
                <w:rFonts w:eastAsia="Times New Roman"/>
                <w:b/>
                <w:color w:val="0000FF"/>
                <w:szCs w:val="24"/>
                <w:lang w:eastAsia="tr-TR"/>
              </w:rPr>
            </w:pPr>
          </w:p>
          <w:p w:rsidR="001D0CAB" w:rsidRPr="00A23740" w:rsidRDefault="001D0CAB" w:rsidP="009431FF">
            <w:pPr>
              <w:tabs>
                <w:tab w:val="left" w:pos="567"/>
              </w:tabs>
              <w:rPr>
                <w:rFonts w:eastAsia="Times New Roman"/>
                <w:b/>
                <w:color w:val="0000FF"/>
                <w:szCs w:val="24"/>
                <w:lang w:eastAsia="tr-TR"/>
              </w:rPr>
            </w:pPr>
          </w:p>
          <w:p w:rsidR="00265182" w:rsidRPr="00A23740" w:rsidRDefault="00265182" w:rsidP="009431FF">
            <w:pPr>
              <w:tabs>
                <w:tab w:val="left" w:pos="567"/>
              </w:tabs>
              <w:rPr>
                <w:rFonts w:eastAsia="Times New Roman"/>
                <w:b/>
                <w:color w:val="0000FF"/>
                <w:szCs w:val="24"/>
                <w:lang w:eastAsia="tr-TR"/>
              </w:rPr>
            </w:pPr>
          </w:p>
          <w:p w:rsidR="00265182" w:rsidRPr="00A23740" w:rsidRDefault="00265182"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rPr>
                <w:rFonts w:eastAsia="Times New Roman"/>
                <w:b/>
                <w:bCs/>
                <w:color w:val="0000FF"/>
                <w:szCs w:val="24"/>
                <w:lang w:eastAsia="tr-TR"/>
              </w:rPr>
            </w:pPr>
            <w:r w:rsidRPr="00A23740">
              <w:rPr>
                <w:rFonts w:eastAsia="Times New Roman"/>
                <w:b/>
                <w:bCs/>
                <w:color w:val="0000FF"/>
                <w:szCs w:val="24"/>
                <w:lang w:eastAsia="tr-TR"/>
              </w:rPr>
              <w:t xml:space="preserve">(2) </w:t>
            </w:r>
            <w:r w:rsidRPr="00A23740">
              <w:rPr>
                <w:szCs w:val="24"/>
                <w:lang w:eastAsia="tr-TR"/>
              </w:rPr>
              <w:t>Elektronik satış portalında yapılacak ilanda aşağıdaki hususlar yer alır:</w:t>
            </w:r>
          </w:p>
          <w:p w:rsidR="00AA5C8C" w:rsidRPr="00A23740" w:rsidRDefault="00AA5C8C" w:rsidP="009431FF">
            <w:pPr>
              <w:tabs>
                <w:tab w:val="left" w:pos="567"/>
              </w:tabs>
              <w:rPr>
                <w:rFonts w:eastAsia="Times New Roman"/>
                <w:b/>
                <w:bCs/>
                <w:color w:val="0000FF"/>
                <w:szCs w:val="24"/>
                <w:lang w:eastAsia="tr-TR"/>
              </w:rPr>
            </w:pPr>
          </w:p>
          <w:p w:rsidR="00AA5C8C" w:rsidRPr="00A23740" w:rsidRDefault="00AA5C8C" w:rsidP="009431FF">
            <w:pPr>
              <w:tabs>
                <w:tab w:val="left" w:pos="567"/>
              </w:tabs>
              <w:rPr>
                <w:rFonts w:eastAsia="Times New Roman"/>
                <w:b/>
                <w:bCs/>
                <w:color w:val="0000FF"/>
                <w:szCs w:val="24"/>
                <w:lang w:eastAsia="tr-TR"/>
              </w:rPr>
            </w:pPr>
            <w:r w:rsidRPr="00A23740">
              <w:rPr>
                <w:rFonts w:eastAsia="Times New Roman"/>
                <w:b/>
                <w:bCs/>
                <w:color w:val="0000FF"/>
                <w:szCs w:val="24"/>
                <w:lang w:eastAsia="tr-TR"/>
              </w:rPr>
              <w:t xml:space="preserve">a) </w:t>
            </w:r>
            <w:r w:rsidR="000B0858" w:rsidRPr="00A23740">
              <w:rPr>
                <w:b/>
                <w:bCs/>
                <w:color w:val="0000FF"/>
                <w:szCs w:val="24"/>
                <w:lang w:eastAsia="x-none"/>
              </w:rPr>
              <w:t>A</w:t>
            </w:r>
            <w:r w:rsidR="001D0CAB" w:rsidRPr="00A23740">
              <w:rPr>
                <w:b/>
                <w:bCs/>
                <w:color w:val="0000FF"/>
                <w:szCs w:val="24"/>
                <w:lang w:val="x-none" w:eastAsia="x-none"/>
              </w:rPr>
              <w:t>rtırma şartnamesi,</w:t>
            </w:r>
            <w:r w:rsidRPr="00A23740">
              <w:rPr>
                <w:b/>
                <w:bCs/>
                <w:color w:val="0000FF"/>
                <w:szCs w:val="24"/>
                <w:lang w:val="x-none" w:eastAsia="x-none"/>
              </w:rPr>
              <w:t xml:space="preserve"> malın tanımlanmasını</w:t>
            </w:r>
            <w:r w:rsidRPr="00A23740">
              <w:rPr>
                <w:rFonts w:eastAsia="Times New Roman"/>
                <w:b/>
                <w:color w:val="0000FF"/>
                <w:szCs w:val="24"/>
                <w:lang w:eastAsia="tr-TR"/>
              </w:rPr>
              <w:t xml:space="preserve"> sağlayan ve özelliklerini </w:t>
            </w:r>
            <w:r w:rsidR="00B67688" w:rsidRPr="00A23740">
              <w:rPr>
                <w:rFonts w:eastAsia="Times New Roman"/>
                <w:b/>
                <w:color w:val="0000FF"/>
                <w:szCs w:val="24"/>
                <w:lang w:eastAsia="tr-TR"/>
              </w:rPr>
              <w:t xml:space="preserve">içeren </w:t>
            </w:r>
            <w:r w:rsidRPr="00A23740">
              <w:rPr>
                <w:rFonts w:eastAsia="Times New Roman"/>
                <w:b/>
                <w:color w:val="0000FF"/>
                <w:szCs w:val="24"/>
                <w:lang w:eastAsia="tr-TR"/>
              </w:rPr>
              <w:t>görseller ile kıymet takdir raporu</w:t>
            </w:r>
            <w:r w:rsidRPr="00A23740">
              <w:rPr>
                <w:rFonts w:eastAsia="Times New Roman"/>
                <w:b/>
                <w:bCs/>
                <w:color w:val="0000FF"/>
                <w:szCs w:val="24"/>
                <w:lang w:eastAsia="tr-TR"/>
              </w:rPr>
              <w:t>.</w:t>
            </w:r>
          </w:p>
          <w:p w:rsidR="00A92754" w:rsidRPr="00A23740" w:rsidRDefault="00A92754" w:rsidP="009431FF">
            <w:pPr>
              <w:rPr>
                <w:b/>
                <w:bCs/>
                <w:lang w:eastAsia="tr-TR"/>
              </w:rPr>
            </w:pPr>
          </w:p>
          <w:p w:rsidR="00A92754" w:rsidRPr="00A23740" w:rsidRDefault="00A92754" w:rsidP="009431FF">
            <w:pPr>
              <w:pStyle w:val="Mavi"/>
            </w:pPr>
            <w:r w:rsidRPr="00A23740">
              <w:t>b) Birinci ve ikinci artırmanın gün ve saat aralığı.</w:t>
            </w:r>
          </w:p>
          <w:p w:rsidR="00090DC6" w:rsidRPr="00A23740" w:rsidRDefault="00090DC6" w:rsidP="009431FF">
            <w:pPr>
              <w:tabs>
                <w:tab w:val="left" w:pos="567"/>
              </w:tabs>
              <w:rPr>
                <w:rFonts w:eastAsia="Times New Roman"/>
                <w:b/>
                <w:color w:val="0000FF"/>
                <w:szCs w:val="24"/>
                <w:lang w:eastAsia="tr-TR"/>
              </w:rPr>
            </w:pPr>
          </w:p>
          <w:p w:rsidR="00AA5C8C" w:rsidRDefault="00A92754" w:rsidP="009431FF">
            <w:pPr>
              <w:tabs>
                <w:tab w:val="left" w:pos="567"/>
              </w:tabs>
              <w:rPr>
                <w:rFonts w:eastAsia="Times New Roman"/>
                <w:b/>
                <w:color w:val="0000FF"/>
                <w:szCs w:val="24"/>
                <w:lang w:eastAsia="tr-TR"/>
              </w:rPr>
            </w:pPr>
            <w:r w:rsidRPr="00A23740">
              <w:rPr>
                <w:rFonts w:eastAsia="Times New Roman"/>
                <w:b/>
                <w:color w:val="0000FF"/>
                <w:szCs w:val="24"/>
                <w:lang w:eastAsia="tr-TR"/>
              </w:rPr>
              <w:t>c</w:t>
            </w:r>
            <w:r w:rsidR="00AA5C8C" w:rsidRPr="00A23740">
              <w:rPr>
                <w:rFonts w:eastAsia="Times New Roman"/>
                <w:b/>
                <w:color w:val="0000FF"/>
                <w:szCs w:val="24"/>
                <w:lang w:eastAsia="tr-TR"/>
              </w:rPr>
              <w:t xml:space="preserve">) İlgililerin ilanın tebliği üzerine ilanda ve şartnamede yazılı hususlar </w:t>
            </w:r>
            <w:r w:rsidR="00AA5C8C" w:rsidRPr="00A23740">
              <w:rPr>
                <w:rStyle w:val="MaviChar"/>
              </w:rPr>
              <w:t>hakkında</w:t>
            </w:r>
            <w:r w:rsidR="00AA5C8C" w:rsidRPr="00A23740">
              <w:rPr>
                <w:rFonts w:eastAsia="Times New Roman"/>
                <w:b/>
                <w:color w:val="0000FF"/>
                <w:szCs w:val="24"/>
                <w:lang w:eastAsia="tr-TR"/>
              </w:rPr>
              <w:t xml:space="preserve"> süresi içinde</w:t>
            </w:r>
            <w:r w:rsidR="00AA5C8C" w:rsidRPr="00A23740">
              <w:rPr>
                <w:rFonts w:eastAsia="Times New Roman"/>
                <w:color w:val="0000FF"/>
                <w:szCs w:val="24"/>
                <w:lang w:eastAsia="tr-TR"/>
              </w:rPr>
              <w:t xml:space="preserve"> </w:t>
            </w:r>
            <w:r w:rsidR="00AA5C8C" w:rsidRPr="00A23740">
              <w:rPr>
                <w:rFonts w:eastAsia="Times New Roman"/>
                <w:b/>
                <w:color w:val="0000FF"/>
                <w:szCs w:val="24"/>
                <w:lang w:eastAsia="tr-TR"/>
              </w:rPr>
              <w:t xml:space="preserve">şikâyet yoluna başvurabilecekleri, şikâyet konusu yapılmayan usulsüzlük ve hataların daha sonra ihalenin </w:t>
            </w:r>
            <w:r w:rsidR="00AA5C8C" w:rsidRPr="00A23740">
              <w:rPr>
                <w:rStyle w:val="MaviChar"/>
              </w:rPr>
              <w:t>iptali</w:t>
            </w:r>
            <w:r w:rsidR="00AA5C8C" w:rsidRPr="00A23740">
              <w:rPr>
                <w:rFonts w:eastAsia="Times New Roman"/>
                <w:b/>
                <w:color w:val="0000FF"/>
                <w:szCs w:val="24"/>
                <w:lang w:eastAsia="tr-TR"/>
              </w:rPr>
              <w:t xml:space="preserve"> sebebi yapılamayacağı.</w:t>
            </w:r>
          </w:p>
          <w:p w:rsidR="001971CE" w:rsidRDefault="001971CE" w:rsidP="009431FF">
            <w:pPr>
              <w:tabs>
                <w:tab w:val="left" w:pos="567"/>
              </w:tabs>
              <w:rPr>
                <w:rFonts w:eastAsia="Times New Roman"/>
                <w:b/>
                <w:color w:val="0000FF"/>
                <w:szCs w:val="24"/>
                <w:lang w:eastAsia="tr-TR"/>
              </w:rPr>
            </w:pPr>
          </w:p>
          <w:p w:rsidR="001971CE" w:rsidRPr="00A23740" w:rsidRDefault="001971CE" w:rsidP="009431FF">
            <w:pPr>
              <w:tabs>
                <w:tab w:val="left" w:pos="567"/>
              </w:tabs>
              <w:rPr>
                <w:b/>
                <w:color w:val="0000FF"/>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3E6776" w:rsidRPr="00A23740" w:rsidRDefault="003E6776" w:rsidP="009431FF">
            <w:pPr>
              <w:ind w:firstLine="709"/>
              <w:rPr>
                <w:rFonts w:eastAsia="Times New Roman"/>
                <w:color w:val="000000"/>
                <w:szCs w:val="24"/>
                <w:lang w:eastAsia="tr-TR"/>
              </w:rPr>
            </w:pPr>
          </w:p>
          <w:p w:rsidR="00B0774A" w:rsidRPr="00A23740" w:rsidRDefault="00B0774A"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396AB6" w:rsidRPr="00A23740">
              <w:rPr>
                <w:rFonts w:eastAsia="Times New Roman"/>
                <w:b/>
                <w:color w:val="000000"/>
                <w:szCs w:val="24"/>
                <w:lang w:eastAsia="tr-TR"/>
              </w:rPr>
              <w:t>228</w:t>
            </w:r>
            <w:r w:rsidRPr="00A23740">
              <w:rPr>
                <w:rFonts w:eastAsia="Times New Roman"/>
                <w:color w:val="000000"/>
                <w:szCs w:val="24"/>
                <w:lang w:eastAsia="tr-TR"/>
              </w:rPr>
              <w:t xml:space="preserve">- Maddeyle, elektronik satış portalında ilan </w:t>
            </w:r>
            <w:r w:rsidR="003E6776" w:rsidRPr="00A23740">
              <w:rPr>
                <w:rFonts w:eastAsia="Times New Roman"/>
                <w:color w:val="000000"/>
                <w:szCs w:val="24"/>
                <w:lang w:eastAsia="tr-TR"/>
              </w:rPr>
              <w:t>düzenlenmektedir.</w:t>
            </w:r>
          </w:p>
          <w:p w:rsidR="00B0774A" w:rsidRPr="00A23740" w:rsidRDefault="00B0774A" w:rsidP="009431FF">
            <w:pPr>
              <w:ind w:firstLine="709"/>
              <w:rPr>
                <w:rFonts w:eastAsia="Times New Roman"/>
                <w:color w:val="000000"/>
                <w:szCs w:val="24"/>
                <w:lang w:eastAsia="tr-TR"/>
              </w:rPr>
            </w:pPr>
            <w:r w:rsidRPr="00A23740">
              <w:rPr>
                <w:rFonts w:eastAsia="Times New Roman"/>
                <w:color w:val="000000"/>
                <w:szCs w:val="24"/>
                <w:lang w:eastAsia="tr-TR"/>
              </w:rPr>
              <w:t>Birinci fıkrayla,</w:t>
            </w:r>
            <w:r w:rsidR="003E6776" w:rsidRPr="00A23740">
              <w:rPr>
                <w:rFonts w:eastAsia="Times New Roman"/>
              </w:rPr>
              <w:t xml:space="preserve"> satış ilanının, </w:t>
            </w:r>
            <w:r w:rsidR="003E6776" w:rsidRPr="00A23740">
              <w:t>artırmaya başlangıç tarihinden en az iki hafta önce</w:t>
            </w:r>
            <w:r w:rsidR="003E6776" w:rsidRPr="00A23740">
              <w:rPr>
                <w:b/>
                <w:bCs/>
                <w:lang w:eastAsia="tr-TR"/>
              </w:rPr>
              <w:t xml:space="preserve"> </w:t>
            </w:r>
            <w:r w:rsidR="003E6776" w:rsidRPr="00A23740">
              <w:rPr>
                <w:rFonts w:eastAsia="Times New Roman"/>
              </w:rPr>
              <w:t>elektronik satış portalında yapılacağı ve</w:t>
            </w:r>
            <w:r w:rsidRPr="00A23740">
              <w:rPr>
                <w:rFonts w:eastAsia="Times New Roman"/>
                <w:color w:val="000000"/>
                <w:szCs w:val="24"/>
                <w:lang w:eastAsia="tr-TR"/>
              </w:rPr>
              <w:t xml:space="preserve"> artırmanın bitimine kadar erişime açık tutulacağı hükme bağlanmaktadır. Anılan hüküm, 2004 sayılı Kanunun artırma hazırlık tedbirleriyle ilgili 114 üncü maddesinin ikinci </w:t>
            </w:r>
            <w:r w:rsidR="003E6776" w:rsidRPr="00A23740">
              <w:rPr>
                <w:rFonts w:eastAsia="Times New Roman"/>
                <w:color w:val="000000"/>
                <w:szCs w:val="24"/>
                <w:lang w:eastAsia="tr-TR"/>
              </w:rPr>
              <w:t>fıkrasının üçüncü cümlesine karş</w:t>
            </w:r>
            <w:r w:rsidRPr="00A23740">
              <w:rPr>
                <w:rFonts w:eastAsia="Times New Roman"/>
                <w:color w:val="000000"/>
                <w:szCs w:val="24"/>
                <w:lang w:eastAsia="tr-TR"/>
              </w:rPr>
              <w:t>ılık gelmekte</w:t>
            </w:r>
            <w:r w:rsidR="003E6776" w:rsidRPr="00A23740">
              <w:rPr>
                <w:rFonts w:eastAsia="Times New Roman"/>
                <w:color w:val="000000"/>
                <w:szCs w:val="24"/>
                <w:lang w:eastAsia="tr-TR"/>
              </w:rPr>
              <w:t>dir.</w:t>
            </w:r>
          </w:p>
          <w:p w:rsidR="00B0774A" w:rsidRPr="00A23740" w:rsidRDefault="00B0774A" w:rsidP="009431FF">
            <w:pPr>
              <w:ind w:firstLine="709"/>
              <w:rPr>
                <w:rFonts w:eastAsia="Times New Roman"/>
                <w:color w:val="000000"/>
                <w:szCs w:val="24"/>
                <w:lang w:eastAsia="tr-TR"/>
              </w:rPr>
            </w:pPr>
            <w:r w:rsidRPr="00A23740">
              <w:rPr>
                <w:rFonts w:eastAsia="Times New Roman"/>
                <w:color w:val="000000"/>
                <w:szCs w:val="24"/>
                <w:lang w:eastAsia="tr-TR"/>
              </w:rPr>
              <w:t>İkinci fıkrayla, elektronik satış portalında yapılacak ilanda yer alması gereken hususlar</w:t>
            </w:r>
            <w:r w:rsidR="003E6776" w:rsidRPr="00A23740">
              <w:rPr>
                <w:rFonts w:eastAsia="Times New Roman"/>
                <w:color w:val="000000"/>
                <w:szCs w:val="24"/>
                <w:lang w:eastAsia="tr-TR"/>
              </w:rPr>
              <w:t xml:space="preserve"> bentler h</w:t>
            </w:r>
            <w:r w:rsidR="00B67688" w:rsidRPr="00A23740">
              <w:rPr>
                <w:rFonts w:eastAsia="Times New Roman"/>
                <w:color w:val="000000"/>
                <w:szCs w:val="24"/>
                <w:lang w:eastAsia="tr-TR"/>
              </w:rPr>
              <w:t>â</w:t>
            </w:r>
            <w:r w:rsidR="003E6776" w:rsidRPr="00A23740">
              <w:rPr>
                <w:rFonts w:eastAsia="Times New Roman"/>
                <w:color w:val="000000"/>
                <w:szCs w:val="24"/>
                <w:lang w:eastAsia="tr-TR"/>
              </w:rPr>
              <w:t>linde</w:t>
            </w:r>
            <w:r w:rsidRPr="00A23740">
              <w:rPr>
                <w:rFonts w:eastAsia="Times New Roman"/>
                <w:color w:val="000000"/>
                <w:szCs w:val="24"/>
                <w:lang w:eastAsia="tr-TR"/>
              </w:rPr>
              <w:t xml:space="preserve"> sayılm</w:t>
            </w:r>
            <w:r w:rsidR="003E6776" w:rsidRPr="00A23740">
              <w:rPr>
                <w:rFonts w:eastAsia="Times New Roman"/>
                <w:color w:val="000000"/>
                <w:szCs w:val="24"/>
                <w:lang w:eastAsia="tr-TR"/>
              </w:rPr>
              <w:t>aktadır</w:t>
            </w:r>
            <w:r w:rsidRPr="00A23740">
              <w:rPr>
                <w:rFonts w:eastAsia="Times New Roman"/>
                <w:color w:val="000000"/>
                <w:szCs w:val="24"/>
                <w:lang w:eastAsia="tr-TR"/>
              </w:rPr>
              <w:t>.</w:t>
            </w:r>
          </w:p>
          <w:p w:rsidR="003E6776" w:rsidRPr="00A23740" w:rsidRDefault="003E6776" w:rsidP="009431FF">
            <w:pPr>
              <w:ind w:firstLine="709"/>
              <w:rPr>
                <w:rFonts w:eastAsia="Times New Roman"/>
                <w:color w:val="000000"/>
                <w:szCs w:val="24"/>
                <w:lang w:eastAsia="tr-TR"/>
              </w:rPr>
            </w:pPr>
            <w:r w:rsidRPr="00A23740">
              <w:rPr>
                <w:rFonts w:eastAsia="Times New Roman"/>
                <w:color w:val="000000"/>
                <w:szCs w:val="24"/>
                <w:lang w:eastAsia="tr-TR"/>
              </w:rPr>
              <w:t xml:space="preserve">(a) bendine göre satış ilanında, artırma şartnamesi, malın tanımlanmasını sağlayan ve özelliklerini </w:t>
            </w:r>
            <w:r w:rsidR="00B67688" w:rsidRPr="00D60C1D">
              <w:rPr>
                <w:rStyle w:val="Balk1Char"/>
                <w:rFonts w:eastAsia="Calibri"/>
                <w:b w:val="0"/>
                <w:color w:val="000000"/>
              </w:rPr>
              <w:t>içeren</w:t>
            </w:r>
            <w:r w:rsidR="00B67688" w:rsidRPr="00A23740">
              <w:rPr>
                <w:rFonts w:eastAsia="Times New Roman"/>
                <w:color w:val="000000"/>
                <w:szCs w:val="24"/>
                <w:lang w:eastAsia="tr-TR"/>
              </w:rPr>
              <w:t xml:space="preserve"> </w:t>
            </w:r>
            <w:r w:rsidRPr="00A23740">
              <w:rPr>
                <w:rFonts w:eastAsia="Times New Roman"/>
                <w:color w:val="000000"/>
                <w:szCs w:val="24"/>
                <w:lang w:eastAsia="tr-TR"/>
              </w:rPr>
              <w:t>görseller ile kıymet takdir raporu yer alır.</w:t>
            </w:r>
          </w:p>
          <w:p w:rsidR="003E6776" w:rsidRPr="00A23740" w:rsidRDefault="003E6776" w:rsidP="009431FF">
            <w:pPr>
              <w:ind w:firstLine="709"/>
            </w:pPr>
            <w:r w:rsidRPr="00A23740">
              <w:rPr>
                <w:rFonts w:eastAsia="Times New Roman"/>
                <w:color w:val="000000"/>
                <w:szCs w:val="24"/>
                <w:lang w:eastAsia="tr-TR"/>
              </w:rPr>
              <w:t>(</w:t>
            </w:r>
            <w:r w:rsidRPr="00A23740">
              <w:t>b) bendine göre</w:t>
            </w:r>
            <w:r w:rsidR="00916CE3" w:rsidRPr="00A23740">
              <w:t>,</w:t>
            </w:r>
            <w:r w:rsidRPr="00A23740">
              <w:t xml:space="preserve"> satış ilanında, birinci ve ikinci artırmanın gün ve saat aralığı yer alır.</w:t>
            </w:r>
          </w:p>
          <w:p w:rsidR="00B0774A" w:rsidRPr="00A23740" w:rsidRDefault="00B0774A" w:rsidP="001971CE">
            <w:pPr>
              <w:ind w:firstLine="709"/>
              <w:rPr>
                <w:rFonts w:eastAsia="Times New Roman"/>
                <w:color w:val="000000"/>
                <w:szCs w:val="24"/>
                <w:lang w:eastAsia="tr-TR"/>
              </w:rPr>
            </w:pPr>
            <w:r w:rsidRPr="00A23740">
              <w:rPr>
                <w:rFonts w:eastAsia="Times New Roman"/>
                <w:color w:val="000000"/>
                <w:szCs w:val="24"/>
                <w:lang w:eastAsia="tr-TR"/>
              </w:rPr>
              <w:t>(</w:t>
            </w:r>
            <w:r w:rsidR="003E6776" w:rsidRPr="00A23740">
              <w:rPr>
                <w:rFonts w:eastAsia="Times New Roman"/>
                <w:color w:val="000000"/>
                <w:szCs w:val="24"/>
                <w:lang w:eastAsia="tr-TR"/>
              </w:rPr>
              <w:t>c</w:t>
            </w:r>
            <w:r w:rsidRPr="00A23740">
              <w:rPr>
                <w:rFonts w:eastAsia="Times New Roman"/>
                <w:color w:val="000000"/>
                <w:szCs w:val="24"/>
                <w:lang w:eastAsia="tr-TR"/>
              </w:rPr>
              <w:t>) bendine göre</w:t>
            </w:r>
            <w:r w:rsidR="00916CE3" w:rsidRPr="00A23740">
              <w:rPr>
                <w:rFonts w:eastAsia="Times New Roman"/>
                <w:color w:val="000000"/>
                <w:szCs w:val="24"/>
                <w:lang w:eastAsia="tr-TR"/>
              </w:rPr>
              <w:t>,</w:t>
            </w:r>
            <w:r w:rsidRPr="00A23740">
              <w:rPr>
                <w:rFonts w:eastAsia="Times New Roman"/>
                <w:color w:val="000000"/>
                <w:szCs w:val="24"/>
                <w:lang w:eastAsia="tr-TR"/>
              </w:rPr>
              <w:t xml:space="preserve"> ilgililerin</w:t>
            </w:r>
            <w:r w:rsidR="00B56273" w:rsidRPr="00A23740">
              <w:rPr>
                <w:rFonts w:eastAsia="Times New Roman"/>
                <w:color w:val="000000"/>
                <w:szCs w:val="24"/>
                <w:lang w:eastAsia="tr-TR"/>
              </w:rPr>
              <w:t>,</w:t>
            </w:r>
            <w:r w:rsidRPr="00A23740">
              <w:rPr>
                <w:rFonts w:eastAsia="Times New Roman"/>
                <w:color w:val="000000"/>
                <w:szCs w:val="24"/>
                <w:lang w:eastAsia="tr-TR"/>
              </w:rPr>
              <w:t xml:space="preserve"> ilanın tebliği üzerine</w:t>
            </w:r>
            <w:r w:rsidR="00916CE3" w:rsidRPr="00A23740">
              <w:rPr>
                <w:rFonts w:eastAsia="Times New Roman"/>
                <w:color w:val="000000"/>
                <w:szCs w:val="24"/>
                <w:lang w:eastAsia="tr-TR"/>
              </w:rPr>
              <w:t>,</w:t>
            </w:r>
            <w:r w:rsidRPr="00A23740">
              <w:rPr>
                <w:rFonts w:eastAsia="Times New Roman"/>
                <w:color w:val="000000"/>
                <w:szCs w:val="24"/>
                <w:lang w:eastAsia="tr-TR"/>
              </w:rPr>
              <w:t xml:space="preserve"> ilanda ve şartnamede yazılı hususlar hakkında süresi içinde şikâyet yoluna başvurabilecekleri, şikâyet konusu yapılmayan usulsüzlük ve hataların daha sonra ihalen</w:t>
            </w:r>
            <w:r w:rsidR="00C41698" w:rsidRPr="00A23740">
              <w:rPr>
                <w:rFonts w:eastAsia="Times New Roman"/>
                <w:color w:val="000000"/>
                <w:szCs w:val="24"/>
                <w:lang w:eastAsia="tr-TR"/>
              </w:rPr>
              <w:t>in iptali sebebi yapılamayacağı</w:t>
            </w:r>
            <w:r w:rsidR="00B56273" w:rsidRPr="00A23740">
              <w:rPr>
                <w:rFonts w:eastAsia="Times New Roman"/>
                <w:color w:val="000000"/>
                <w:szCs w:val="24"/>
                <w:lang w:eastAsia="tr-TR"/>
              </w:rPr>
              <w:t xml:space="preserve"> satış ilanında belirtilir</w:t>
            </w:r>
            <w:r w:rsidR="00C41698" w:rsidRPr="00A23740">
              <w:rPr>
                <w:rFonts w:eastAsia="Times New Roman"/>
                <w:color w:val="000000"/>
                <w:szCs w:val="24"/>
                <w:lang w:eastAsia="tr-TR"/>
              </w:rPr>
              <w:t>.</w:t>
            </w:r>
            <w:r w:rsidRPr="00A23740">
              <w:rPr>
                <w:rFonts w:eastAsia="Times New Roman"/>
                <w:color w:val="000000"/>
                <w:szCs w:val="24"/>
                <w:lang w:eastAsia="tr-TR"/>
              </w:rPr>
              <w:t xml:space="preserve"> </w:t>
            </w:r>
            <w:r w:rsidR="00D92CA5" w:rsidRPr="00A23740">
              <w:rPr>
                <w:rFonts w:eastAsia="Times New Roman"/>
                <w:color w:val="000000"/>
                <w:szCs w:val="24"/>
                <w:lang w:eastAsia="tr-TR"/>
              </w:rPr>
              <w:t>Taslağın</w:t>
            </w:r>
            <w:r w:rsidRPr="00A23740">
              <w:rPr>
                <w:rFonts w:eastAsia="Times New Roman"/>
                <w:color w:val="000000"/>
                <w:szCs w:val="24"/>
                <w:lang w:eastAsia="tr-TR"/>
              </w:rPr>
              <w:t xml:space="preserve"> 22 nci</w:t>
            </w:r>
            <w:r w:rsidR="000548D3" w:rsidRPr="00A23740">
              <w:rPr>
                <w:rFonts w:eastAsia="Times New Roman"/>
                <w:color w:val="000000"/>
                <w:szCs w:val="24"/>
                <w:lang w:eastAsia="tr-TR"/>
              </w:rPr>
              <w:t xml:space="preserve"> </w:t>
            </w:r>
            <w:r w:rsidRPr="00A23740">
              <w:rPr>
                <w:rFonts w:eastAsia="Times New Roman"/>
                <w:color w:val="000000"/>
                <w:szCs w:val="24"/>
                <w:lang w:eastAsia="tr-TR"/>
              </w:rPr>
              <w:t>maddesiyle, şikâyet başvurusunun, aksine hüküm bulunmayan hâllerde işlemin öğrenildiği tarihten itibaren bir hafta içinde yapılması gerektiği; 23 üncü</w:t>
            </w:r>
            <w:r w:rsidR="000548D3" w:rsidRPr="00A23740">
              <w:rPr>
                <w:rFonts w:eastAsia="Times New Roman"/>
                <w:color w:val="000000"/>
                <w:szCs w:val="24"/>
                <w:lang w:eastAsia="tr-TR"/>
              </w:rPr>
              <w:t xml:space="preserve"> </w:t>
            </w:r>
            <w:r w:rsidRPr="00A23740">
              <w:rPr>
                <w:rFonts w:eastAsia="Times New Roman"/>
                <w:color w:val="000000"/>
                <w:szCs w:val="24"/>
                <w:lang w:eastAsia="tr-TR"/>
              </w:rPr>
              <w:t>maddesiyle ise, icra ve ifl</w:t>
            </w:r>
            <w:r w:rsidR="00656C77" w:rsidRPr="00A23740">
              <w:rPr>
                <w:rFonts w:eastAsia="Times New Roman"/>
                <w:color w:val="000000"/>
                <w:szCs w:val="24"/>
                <w:lang w:eastAsia="tr-TR"/>
              </w:rPr>
              <w:t>a</w:t>
            </w:r>
            <w:r w:rsidRPr="00A23740">
              <w:rPr>
                <w:rFonts w:eastAsia="Times New Roman"/>
                <w:color w:val="000000"/>
                <w:szCs w:val="24"/>
                <w:lang w:eastAsia="tr-TR"/>
              </w:rPr>
              <w:t>s dairelerince haklı bir sebep bulunmaksızın, yapılması gereken işlemlerin yapılmaması veya sürüncemede bırakılmasından dolayı şik</w:t>
            </w:r>
            <w:r w:rsidR="00B67688" w:rsidRPr="00A23740">
              <w:rPr>
                <w:rFonts w:eastAsia="Times New Roman"/>
                <w:color w:val="000000"/>
                <w:szCs w:val="24"/>
                <w:lang w:eastAsia="tr-TR"/>
              </w:rPr>
              <w:t>â</w:t>
            </w:r>
            <w:r w:rsidRPr="00A23740">
              <w:rPr>
                <w:rFonts w:eastAsia="Times New Roman"/>
                <w:color w:val="000000"/>
                <w:szCs w:val="24"/>
                <w:lang w:eastAsia="tr-TR"/>
              </w:rPr>
              <w:t>yet başvurusunun süresiz bir şekilde her zaman yapılabileceği hüküm altına alınm</w:t>
            </w:r>
            <w:r w:rsidR="000D3F4B" w:rsidRPr="00A23740">
              <w:rPr>
                <w:rFonts w:eastAsia="Times New Roman"/>
                <w:color w:val="000000"/>
                <w:szCs w:val="24"/>
                <w:lang w:eastAsia="tr-TR"/>
              </w:rPr>
              <w:t>aktadır</w:t>
            </w:r>
            <w:r w:rsidRPr="00A23740">
              <w:rPr>
                <w:rFonts w:eastAsia="Times New Roman"/>
                <w:color w:val="000000"/>
                <w:szCs w:val="24"/>
                <w:lang w:eastAsia="tr-TR"/>
              </w:rPr>
              <w:t>. Bu bent hükmünde yer alan şik</w:t>
            </w:r>
            <w:r w:rsidR="00B67688" w:rsidRPr="00A23740">
              <w:rPr>
                <w:rFonts w:eastAsia="Times New Roman"/>
                <w:color w:val="000000"/>
                <w:szCs w:val="24"/>
                <w:lang w:eastAsia="tr-TR"/>
              </w:rPr>
              <w:t>â</w:t>
            </w:r>
            <w:r w:rsidRPr="00A23740">
              <w:rPr>
                <w:rFonts w:eastAsia="Times New Roman"/>
                <w:color w:val="000000"/>
                <w:szCs w:val="24"/>
                <w:lang w:eastAsia="tr-TR"/>
              </w:rPr>
              <w:t>yet sebepleri</w:t>
            </w:r>
            <w:r w:rsidR="000D3F4B" w:rsidRPr="00A23740">
              <w:rPr>
                <w:rFonts w:eastAsia="Times New Roman"/>
                <w:color w:val="000000"/>
                <w:szCs w:val="24"/>
                <w:lang w:eastAsia="tr-TR"/>
              </w:rPr>
              <w:t xml:space="preserve">, </w:t>
            </w:r>
            <w:r w:rsidR="00D92CA5" w:rsidRPr="00A23740">
              <w:rPr>
                <w:rFonts w:eastAsia="Times New Roman"/>
                <w:color w:val="000000"/>
                <w:szCs w:val="24"/>
                <w:lang w:eastAsia="tr-TR"/>
              </w:rPr>
              <w:t>Taslağın</w:t>
            </w:r>
            <w:r w:rsidRPr="00A23740">
              <w:rPr>
                <w:rFonts w:eastAsia="Times New Roman"/>
                <w:color w:val="000000"/>
                <w:szCs w:val="24"/>
                <w:lang w:eastAsia="tr-TR"/>
              </w:rPr>
              <w:t xml:space="preserve"> </w:t>
            </w:r>
            <w:r w:rsidR="000548D3" w:rsidRPr="00A23740">
              <w:rPr>
                <w:rFonts w:eastAsia="Times New Roman"/>
                <w:color w:val="000000"/>
                <w:szCs w:val="24"/>
                <w:lang w:eastAsia="tr-TR"/>
              </w:rPr>
              <w:t xml:space="preserve">23 üncü </w:t>
            </w:r>
            <w:r w:rsidRPr="00A23740">
              <w:rPr>
                <w:rFonts w:eastAsia="Times New Roman"/>
                <w:color w:val="000000"/>
                <w:szCs w:val="24"/>
                <w:lang w:eastAsia="tr-TR"/>
              </w:rPr>
              <w:t>maddesinde de belirtildiği üzere kanuna aykırılık ve hadiseye uygun bulunma</w:t>
            </w:r>
            <w:r w:rsidR="000D3F4B" w:rsidRPr="00A23740">
              <w:rPr>
                <w:rFonts w:eastAsia="Times New Roman"/>
                <w:color w:val="000000"/>
                <w:szCs w:val="24"/>
                <w:lang w:eastAsia="tr-TR"/>
              </w:rPr>
              <w:t>yan</w:t>
            </w:r>
            <w:r w:rsidRPr="00A23740">
              <w:rPr>
                <w:rFonts w:eastAsia="Times New Roman"/>
                <w:color w:val="000000"/>
                <w:szCs w:val="24"/>
                <w:lang w:eastAsia="tr-TR"/>
              </w:rPr>
              <w:t xml:space="preserve"> h</w:t>
            </w:r>
            <w:r w:rsidR="00B67688" w:rsidRPr="00A23740">
              <w:rPr>
                <w:rFonts w:eastAsia="Times New Roman"/>
                <w:color w:val="000000"/>
                <w:szCs w:val="24"/>
                <w:lang w:eastAsia="tr-TR"/>
              </w:rPr>
              <w:t>â</w:t>
            </w:r>
            <w:r w:rsidRPr="00A23740">
              <w:rPr>
                <w:rFonts w:eastAsia="Times New Roman"/>
                <w:color w:val="000000"/>
                <w:szCs w:val="24"/>
                <w:lang w:eastAsia="tr-TR"/>
              </w:rPr>
              <w:t>lleri</w:t>
            </w:r>
            <w:r w:rsidR="000D3F4B" w:rsidRPr="00A23740">
              <w:rPr>
                <w:rFonts w:eastAsia="Times New Roman"/>
                <w:color w:val="000000"/>
                <w:szCs w:val="24"/>
                <w:lang w:eastAsia="tr-TR"/>
              </w:rPr>
              <w:t xml:space="preserve"> kapsadığından,</w:t>
            </w:r>
            <w:r w:rsidRPr="00A23740">
              <w:rPr>
                <w:rFonts w:eastAsia="Times New Roman"/>
                <w:color w:val="000000"/>
                <w:szCs w:val="24"/>
                <w:lang w:eastAsia="tr-TR"/>
              </w:rPr>
              <w:t xml:space="preserve"> </w:t>
            </w:r>
            <w:r w:rsidR="00916CE3" w:rsidRPr="00A23740">
              <w:rPr>
                <w:rFonts w:eastAsia="Times New Roman"/>
                <w:color w:val="000000"/>
                <w:szCs w:val="24"/>
                <w:lang w:eastAsia="tr-TR"/>
              </w:rPr>
              <w:t>Taslakta</w:t>
            </w:r>
            <w:r w:rsidR="000D3F4B" w:rsidRPr="00A23740">
              <w:rPr>
                <w:rFonts w:eastAsia="Times New Roman"/>
                <w:color w:val="000000"/>
                <w:szCs w:val="24"/>
                <w:lang w:eastAsia="tr-TR"/>
              </w:rPr>
              <w:t xml:space="preserve"> yer alan</w:t>
            </w:r>
            <w:r w:rsidRPr="00A23740">
              <w:rPr>
                <w:rFonts w:eastAsia="Times New Roman"/>
                <w:color w:val="000000"/>
                <w:szCs w:val="24"/>
                <w:lang w:eastAsia="tr-TR"/>
              </w:rPr>
              <w:t xml:space="preserve"> diğer </w:t>
            </w:r>
            <w:r w:rsidR="00B67688" w:rsidRPr="00D60C1D">
              <w:rPr>
                <w:rStyle w:val="Balk1Char"/>
                <w:rFonts w:eastAsia="Calibri"/>
                <w:b w:val="0"/>
                <w:color w:val="000000"/>
              </w:rPr>
              <w:t>süresiz</w:t>
            </w:r>
            <w:r w:rsidR="00B67688" w:rsidRPr="00A23740">
              <w:rPr>
                <w:rFonts w:eastAsia="Times New Roman"/>
                <w:color w:val="000000"/>
                <w:szCs w:val="24"/>
                <w:lang w:eastAsia="tr-TR"/>
              </w:rPr>
              <w:t xml:space="preserve"> </w:t>
            </w:r>
            <w:r w:rsidRPr="00A23740">
              <w:rPr>
                <w:rFonts w:eastAsia="Times New Roman"/>
                <w:color w:val="000000"/>
                <w:szCs w:val="24"/>
                <w:lang w:eastAsia="tr-TR"/>
              </w:rPr>
              <w:t>şik</w:t>
            </w:r>
            <w:r w:rsidR="00B67688" w:rsidRPr="00A23740">
              <w:rPr>
                <w:rFonts w:eastAsia="Times New Roman"/>
                <w:color w:val="000000"/>
                <w:szCs w:val="24"/>
                <w:lang w:eastAsia="tr-TR"/>
              </w:rPr>
              <w:t>â</w:t>
            </w:r>
            <w:r w:rsidRPr="00A23740">
              <w:rPr>
                <w:rFonts w:eastAsia="Times New Roman"/>
                <w:color w:val="000000"/>
                <w:szCs w:val="24"/>
                <w:lang w:eastAsia="tr-TR"/>
              </w:rPr>
              <w:t xml:space="preserve">yet sebepleri </w:t>
            </w:r>
            <w:r w:rsidR="000D3F4B" w:rsidRPr="00A23740">
              <w:rPr>
                <w:rFonts w:eastAsia="Times New Roman"/>
                <w:color w:val="000000"/>
                <w:szCs w:val="24"/>
                <w:lang w:eastAsia="tr-TR"/>
              </w:rPr>
              <w:t>ile</w:t>
            </w:r>
            <w:r w:rsidRPr="00A23740">
              <w:rPr>
                <w:rFonts w:eastAsia="Times New Roman"/>
                <w:color w:val="000000"/>
                <w:szCs w:val="24"/>
                <w:lang w:eastAsia="tr-TR"/>
              </w:rPr>
              <w:t xml:space="preserve"> Yargıtay tarafından geliştirilmiş bulunan kamu </w:t>
            </w:r>
            <w:r w:rsidR="000D3F4B" w:rsidRPr="00A23740">
              <w:rPr>
                <w:rFonts w:eastAsia="Times New Roman"/>
                <w:color w:val="000000"/>
                <w:szCs w:val="24"/>
                <w:lang w:eastAsia="tr-TR"/>
              </w:rPr>
              <w:t>düzenine dayanan şik</w:t>
            </w:r>
            <w:r w:rsidR="00B67688" w:rsidRPr="00A23740">
              <w:rPr>
                <w:rFonts w:eastAsia="Times New Roman"/>
                <w:color w:val="000000"/>
                <w:szCs w:val="24"/>
                <w:lang w:eastAsia="tr-TR"/>
              </w:rPr>
              <w:t>â</w:t>
            </w:r>
            <w:r w:rsidR="000D3F4B" w:rsidRPr="00A23740">
              <w:rPr>
                <w:rFonts w:eastAsia="Times New Roman"/>
                <w:color w:val="000000"/>
                <w:szCs w:val="24"/>
                <w:lang w:eastAsia="tr-TR"/>
              </w:rPr>
              <w:t>yet sebeplerinin</w:t>
            </w:r>
            <w:r w:rsidRPr="00A23740">
              <w:rPr>
                <w:rFonts w:eastAsia="Times New Roman"/>
                <w:color w:val="000000"/>
                <w:szCs w:val="24"/>
                <w:lang w:eastAsia="tr-TR"/>
              </w:rPr>
              <w:t xml:space="preserve"> bir süreye tabi olmadığı</w:t>
            </w:r>
            <w:r w:rsidR="000D3F4B" w:rsidRPr="00A23740">
              <w:rPr>
                <w:rFonts w:eastAsia="Times New Roman"/>
                <w:color w:val="000000"/>
                <w:szCs w:val="24"/>
                <w:lang w:eastAsia="tr-TR"/>
              </w:rPr>
              <w:t xml:space="preserve"> ve</w:t>
            </w:r>
            <w:r w:rsidRPr="00A23740">
              <w:rPr>
                <w:rFonts w:eastAsia="Times New Roman"/>
                <w:color w:val="000000"/>
                <w:szCs w:val="24"/>
                <w:lang w:eastAsia="tr-TR"/>
              </w:rPr>
              <w:t xml:space="preserve"> ihalenin feshi nedeni olarak bilahare iler</w:t>
            </w:r>
            <w:r w:rsidR="00B56273" w:rsidRPr="00A23740">
              <w:rPr>
                <w:rFonts w:eastAsia="Times New Roman"/>
                <w:color w:val="000000"/>
                <w:szCs w:val="24"/>
                <w:lang w:eastAsia="tr-TR"/>
              </w:rPr>
              <w:t>i sürülebilece</w:t>
            </w:r>
            <w:r w:rsidR="000D3F4B" w:rsidRPr="00A23740">
              <w:rPr>
                <w:rFonts w:eastAsia="Times New Roman"/>
                <w:color w:val="000000"/>
                <w:szCs w:val="24"/>
                <w:lang w:eastAsia="tr-TR"/>
              </w:rPr>
              <w:t>ği konusunda tereddüt bulunmamaktadır</w:t>
            </w:r>
            <w:r w:rsidR="00B56273" w:rsidRPr="00A23740">
              <w:rPr>
                <w:rFonts w:eastAsia="Times New Roman"/>
                <w:color w:val="000000"/>
                <w:szCs w:val="24"/>
                <w:lang w:eastAsia="tr-TR"/>
              </w:rPr>
              <w:t>.</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7409FD" w:rsidRPr="00A23740" w:rsidRDefault="007409FD" w:rsidP="009431FF">
            <w:pPr>
              <w:pStyle w:val="KIRMIZI"/>
            </w:pPr>
            <w:r w:rsidRPr="00A23740">
              <w:t>Artırma hazırlık tedbirleri:</w:t>
            </w:r>
          </w:p>
          <w:p w:rsidR="007409FD" w:rsidRPr="00A23740" w:rsidRDefault="007409FD" w:rsidP="009431FF">
            <w:pPr>
              <w:pStyle w:val="KIRMIZI"/>
            </w:pPr>
            <w:r w:rsidRPr="00A23740">
              <w:t xml:space="preserve">Madde 114 – (Değişik:24/11/2021-7343/14 md.) </w:t>
            </w:r>
            <w:r w:rsidRPr="00A23740">
              <w:rPr>
                <w:rFonts w:eastAsia="Calibri"/>
              </w:rPr>
              <w:t>(1) . . .</w:t>
            </w:r>
            <w:r w:rsidRPr="00A23740">
              <w:rPr>
                <w:rStyle w:val="KIRMIZIChar"/>
                <w:rFonts w:eastAsia="Calibri"/>
              </w:rPr>
              <w:t xml:space="preserve">  </w:t>
            </w:r>
          </w:p>
          <w:p w:rsidR="008614C3" w:rsidRPr="00A23740" w:rsidRDefault="00410768" w:rsidP="009431FF">
            <w:pPr>
              <w:rPr>
                <w:rFonts w:eastAsia="Times New Roman"/>
                <w:szCs w:val="24"/>
                <w:lang w:eastAsia="tr-TR"/>
              </w:rPr>
            </w:pPr>
            <w:r w:rsidRPr="00A23740">
              <w:rPr>
                <w:rStyle w:val="KIRMIZIChar"/>
                <w:rFonts w:eastAsia="Calibri"/>
              </w:rPr>
              <w:t>7418 SK. ÖNCESİ: (3)</w:t>
            </w:r>
            <w:r w:rsidRPr="00A23740">
              <w:rPr>
                <w:b/>
                <w:color w:val="FF0000"/>
                <w:szCs w:val="24"/>
                <w:lang w:eastAsia="tr-TR"/>
              </w:rPr>
              <w:t xml:space="preserve"> </w:t>
            </w:r>
            <w:r w:rsidRPr="00A23740">
              <w:rPr>
                <w:rStyle w:val="KIRMIZIChar"/>
                <w:rFonts w:eastAsia="Calibri"/>
              </w:rPr>
              <w:t>İlanın şekli ve gazete ile yapılıp yapılmayacağı icra dairesince alakadarların menfaatlerine en muvafık geleni nazarı dikkate alınarak tayin olunur.</w:t>
            </w:r>
            <w:r w:rsidRPr="00A23740">
              <w:rPr>
                <w:color w:val="000000"/>
                <w:shd w:val="clear" w:color="auto" w:fill="FDFDFD"/>
              </w:rPr>
              <w:t xml:space="preserve"> </w:t>
            </w:r>
            <w:r w:rsidR="008614C3" w:rsidRPr="00A23740">
              <w:rPr>
                <w:rFonts w:eastAsia="Times New Roman"/>
                <w:szCs w:val="24"/>
                <w:lang w:eastAsia="tr-TR"/>
              </w:rPr>
              <w:t xml:space="preserve">İlânın </w:t>
            </w:r>
            <w:r w:rsidR="008614C3" w:rsidRPr="00A23740">
              <w:rPr>
                <w:rStyle w:val="KIRMIZIChar"/>
                <w:rFonts w:eastAsia="Calibri"/>
              </w:rPr>
              <w:t>yurt</w:t>
            </w:r>
            <w:r w:rsidR="008614C3" w:rsidRPr="00A23740">
              <w:rPr>
                <w:rFonts w:eastAsia="Times New Roman"/>
                <w:szCs w:val="24"/>
                <w:lang w:eastAsia="tr-TR"/>
              </w:rPr>
              <w:t xml:space="preserve"> </w:t>
            </w:r>
            <w:r w:rsidR="008614C3" w:rsidRPr="00A23740">
              <w:rPr>
                <w:rStyle w:val="KIRMIZIChar"/>
                <w:rFonts w:eastAsia="Calibri"/>
              </w:rPr>
              <w:t>düzeyinde</w:t>
            </w:r>
            <w:r w:rsidR="008614C3" w:rsidRPr="00A23740">
              <w:rPr>
                <w:rFonts w:eastAsia="Times New Roman"/>
                <w:szCs w:val="24"/>
                <w:lang w:eastAsia="tr-TR"/>
              </w:rPr>
              <w:t xml:space="preserve"> yayımlanan bir gazete </w:t>
            </w:r>
            <w:r w:rsidR="008614C3" w:rsidRPr="00A23740">
              <w:rPr>
                <w:b/>
                <w:bCs/>
                <w:strike/>
                <w:color w:val="FF0000"/>
                <w:szCs w:val="24"/>
              </w:rPr>
              <w:t>ile</w:t>
            </w:r>
            <w:r w:rsidR="008614C3" w:rsidRPr="00A23740">
              <w:rPr>
                <w:rFonts w:eastAsia="Times New Roman"/>
                <w:szCs w:val="24"/>
                <w:lang w:eastAsia="tr-TR"/>
              </w:rPr>
              <w:t xml:space="preserve"> yapılmasına karar verilmesi hâlinde bu ilân </w:t>
            </w:r>
            <w:r w:rsidR="008614C3" w:rsidRPr="00A23740">
              <w:rPr>
                <w:rStyle w:val="KIRMIZIChar"/>
                <w:rFonts w:eastAsia="Calibri"/>
              </w:rPr>
              <w:t>satış</w:t>
            </w:r>
            <w:r w:rsidR="008614C3" w:rsidRPr="00A23740">
              <w:rPr>
                <w:rFonts w:eastAsia="Times New Roman"/>
                <w:szCs w:val="24"/>
                <w:lang w:eastAsia="tr-TR"/>
              </w:rPr>
              <w:t xml:space="preserve"> talebi </w:t>
            </w:r>
            <w:r w:rsidR="008614C3" w:rsidRPr="00A23740">
              <w:rPr>
                <w:rStyle w:val="KIRMIZIChar"/>
                <w:rFonts w:eastAsia="Calibri"/>
              </w:rPr>
              <w:t>tarihinde</w:t>
            </w:r>
            <w:r w:rsidR="008614C3" w:rsidRPr="00A23740">
              <w:rPr>
                <w:rFonts w:eastAsia="Times New Roman"/>
                <w:szCs w:val="24"/>
                <w:lang w:eastAsia="tr-TR"/>
              </w:rPr>
              <w:t xml:space="preserve"> tirajı ellibinin </w:t>
            </w:r>
            <w:r w:rsidR="008614C3" w:rsidRPr="00A23740">
              <w:rPr>
                <w:rStyle w:val="KIRMIZIChar"/>
                <w:rFonts w:eastAsia="Calibri"/>
              </w:rPr>
              <w:t>(50.000)</w:t>
            </w:r>
            <w:r w:rsidR="008614C3" w:rsidRPr="00A23740">
              <w:rPr>
                <w:rFonts w:eastAsia="Times New Roman"/>
                <w:szCs w:val="24"/>
                <w:lang w:eastAsia="tr-TR"/>
              </w:rPr>
              <w:t xml:space="preserve"> üzerinde olan ve </w:t>
            </w:r>
            <w:r w:rsidR="008614C3" w:rsidRPr="00A23740">
              <w:rPr>
                <w:rStyle w:val="KIRMIZIChar"/>
                <w:rFonts w:eastAsia="Calibri"/>
              </w:rPr>
              <w:t>yurt</w:t>
            </w:r>
            <w:r w:rsidR="008614C3" w:rsidRPr="00A23740">
              <w:rPr>
                <w:rFonts w:eastAsia="Times New Roman"/>
                <w:szCs w:val="24"/>
                <w:lang w:eastAsia="tr-TR"/>
              </w:rPr>
              <w:t xml:space="preserve"> </w:t>
            </w:r>
            <w:r w:rsidR="008614C3" w:rsidRPr="00A23740">
              <w:rPr>
                <w:rStyle w:val="KIRMIZIChar"/>
                <w:rFonts w:eastAsia="Calibri"/>
              </w:rPr>
              <w:t>düzeyinde</w:t>
            </w:r>
            <w:r w:rsidR="008614C3" w:rsidRPr="00A23740">
              <w:rPr>
                <w:rFonts w:eastAsia="Times New Roman"/>
                <w:szCs w:val="24"/>
                <w:lang w:eastAsia="tr-TR"/>
              </w:rPr>
              <w:t xml:space="preserve"> dağıtımı </w:t>
            </w:r>
            <w:r w:rsidR="008614C3" w:rsidRPr="00A23740">
              <w:rPr>
                <w:b/>
                <w:bCs/>
                <w:strike/>
                <w:color w:val="FF0000"/>
                <w:szCs w:val="24"/>
              </w:rPr>
              <w:t>yapılan</w:t>
            </w:r>
            <w:r w:rsidR="008614C3" w:rsidRPr="00A23740">
              <w:rPr>
                <w:rFonts w:eastAsia="Times New Roman"/>
                <w:szCs w:val="24"/>
                <w:lang w:eastAsia="tr-TR"/>
              </w:rPr>
              <w:t xml:space="preserve"> gazetelerden biriyle yapılır.</w:t>
            </w:r>
          </w:p>
          <w:p w:rsidR="008614C3" w:rsidRPr="00A23740" w:rsidRDefault="008614C3" w:rsidP="009431FF">
            <w:pPr>
              <w:rPr>
                <w:rFonts w:eastAsia="Times New Roman"/>
                <w:szCs w:val="24"/>
                <w:lang w:eastAsia="tr-TR"/>
              </w:rPr>
            </w:pPr>
          </w:p>
          <w:p w:rsidR="008614C3" w:rsidRPr="00A23740" w:rsidRDefault="00410768" w:rsidP="009431FF">
            <w:pPr>
              <w:rPr>
                <w:szCs w:val="24"/>
                <w:lang w:eastAsia="tr-TR"/>
              </w:rPr>
            </w:pPr>
            <w:r w:rsidRPr="00A23740">
              <w:rPr>
                <w:rStyle w:val="KIRMIZIChar"/>
                <w:rFonts w:eastAsia="Calibri"/>
              </w:rPr>
              <w:t xml:space="preserve">7418 SK. ÖNCESİ: </w:t>
            </w:r>
            <w:r w:rsidR="008614C3" w:rsidRPr="00A23740">
              <w:rPr>
                <w:b/>
                <w:bCs/>
                <w:strike/>
                <w:color w:val="FF0000"/>
                <w:szCs w:val="24"/>
              </w:rPr>
              <w:t>(4)</w:t>
            </w:r>
            <w:r w:rsidR="008614C3" w:rsidRPr="00A23740">
              <w:rPr>
                <w:szCs w:val="24"/>
                <w:lang w:eastAsia="tr-TR"/>
              </w:rPr>
              <w:t xml:space="preserve"> Gazete </w:t>
            </w:r>
            <w:r w:rsidR="008614C3" w:rsidRPr="00A23740">
              <w:rPr>
                <w:b/>
                <w:bCs/>
                <w:strike/>
                <w:color w:val="FF0000"/>
                <w:szCs w:val="24"/>
              </w:rPr>
              <w:t>ile</w:t>
            </w:r>
            <w:r w:rsidR="008614C3" w:rsidRPr="00A23740">
              <w:rPr>
                <w:szCs w:val="24"/>
                <w:lang w:eastAsia="tr-TR"/>
              </w:rPr>
              <w:t xml:space="preserve"> yapılacak ilanlara satış şartnamesi </w:t>
            </w:r>
            <w:r w:rsidR="008614C3" w:rsidRPr="00A23740">
              <w:rPr>
                <w:b/>
                <w:bCs/>
                <w:strike/>
                <w:color w:val="FF0000"/>
                <w:szCs w:val="24"/>
              </w:rPr>
              <w:t>eklentisiyle</w:t>
            </w:r>
            <w:r w:rsidR="008614C3" w:rsidRPr="00A23740">
              <w:rPr>
                <w:szCs w:val="24"/>
                <w:lang w:eastAsia="tr-TR"/>
              </w:rPr>
              <w:t xml:space="preserve"> </w:t>
            </w:r>
            <w:r w:rsidR="008614C3" w:rsidRPr="00A23740">
              <w:rPr>
                <w:b/>
                <w:bCs/>
                <w:strike/>
                <w:color w:val="FF0000"/>
                <w:szCs w:val="24"/>
              </w:rPr>
              <w:t>geçirilmeyip</w:t>
            </w:r>
            <w:r w:rsidR="008614C3" w:rsidRPr="00A23740">
              <w:rPr>
                <w:szCs w:val="24"/>
                <w:lang w:eastAsia="tr-TR"/>
              </w:rPr>
              <w:t xml:space="preserve">, satılacak şeyin cinsi, mahiyeti, önemli </w:t>
            </w:r>
            <w:r w:rsidR="008614C3" w:rsidRPr="00A23740">
              <w:rPr>
                <w:rStyle w:val="KIRMIZIChar"/>
                <w:rFonts w:eastAsia="Calibri"/>
              </w:rPr>
              <w:t>vasıfları, muhammen</w:t>
            </w:r>
            <w:r w:rsidR="008614C3" w:rsidRPr="00A23740">
              <w:rPr>
                <w:szCs w:val="24"/>
                <w:lang w:eastAsia="tr-TR"/>
              </w:rPr>
              <w:t xml:space="preserve"> kıymeti ve bulunduğu yer, birinci ve ikinci artırmanın yapılacağı gün ve saat aralığı ile artırmaya ilişkin bilgilerin yer aldığı elektronik satış portalı yazılmakla </w:t>
            </w:r>
            <w:r w:rsidR="008614C3" w:rsidRPr="00A23740">
              <w:rPr>
                <w:rStyle w:val="KIRMIZIChar"/>
                <w:rFonts w:eastAsia="Calibri"/>
              </w:rPr>
              <w:t>iktifa olunur</w:t>
            </w:r>
            <w:r w:rsidR="008614C3" w:rsidRPr="00A23740">
              <w:rPr>
                <w:szCs w:val="24"/>
                <w:lang w:eastAsia="tr-TR"/>
              </w:rPr>
              <w:t>.</w:t>
            </w:r>
          </w:p>
          <w:p w:rsidR="008614C3" w:rsidRPr="00A23740" w:rsidRDefault="008614C3" w:rsidP="009431FF">
            <w:pPr>
              <w:pStyle w:val="KIRMIZI"/>
            </w:pPr>
            <w:r w:rsidRPr="00A23740">
              <w:t>Gazete veya internet haber sitesi ile yapılacak ilanlara satış şartnamesi eklentisiyle geçirilmeyip, satılacak şeyin cinsi, mahiyeti, önemli vasıfları, muhammen kıymeti ve bulunduğu yer, birinci ve ikinci artırmanın yapılacağı gün ve saat aralığı ile artırmaya ilişkin bilgilerin yer aldığı elektronik satış portalı yazılmakla iktifa olunur.</w:t>
            </w:r>
          </w:p>
          <w:p w:rsidR="008614C3" w:rsidRPr="00A23740" w:rsidRDefault="008614C3" w:rsidP="009431FF">
            <w:pPr>
              <w:rPr>
                <w:rStyle w:val="KIRMIZIChar"/>
                <w:rFonts w:eastAsia="Calibri"/>
                <w:b w:val="0"/>
              </w:rPr>
            </w:pPr>
          </w:p>
          <w:p w:rsidR="007409FD" w:rsidRPr="00A23740" w:rsidRDefault="007409FD" w:rsidP="009431FF">
            <w:pPr>
              <w:rPr>
                <w:rStyle w:val="KIRMIZIChar"/>
                <w:rFonts w:eastAsia="Calibri"/>
              </w:rPr>
            </w:pPr>
            <w:r w:rsidRPr="00A23740">
              <w:rPr>
                <w:rStyle w:val="KIRMIZIChar"/>
                <w:rFonts w:eastAsia="Calibri"/>
                <w:b w:val="0"/>
              </w:rPr>
              <w:t>(</w:t>
            </w:r>
            <w:r w:rsidR="001B232B" w:rsidRPr="00A23740">
              <w:rPr>
                <w:rStyle w:val="KIRMIZIChar"/>
                <w:rFonts w:eastAsia="Calibri"/>
              </w:rPr>
              <w:t>2)</w:t>
            </w:r>
            <w:r w:rsidR="001B232B" w:rsidRPr="00A23740">
              <w:rPr>
                <w:rStyle w:val="KIRMIZIChar"/>
                <w:rFonts w:eastAsia="Calibri"/>
                <w:strike w:val="0"/>
              </w:rPr>
              <w:t xml:space="preserve">  </w:t>
            </w:r>
            <w:r w:rsidR="001B232B" w:rsidRPr="00A23740">
              <w:rPr>
                <w:rStyle w:val="KIRMIZIChar"/>
                <w:rFonts w:eastAsia="Calibri"/>
              </w:rPr>
              <w:t>Birinci ve ikinci artırmanın yapılacağı gün ve saat aralığı, artırmaya başlangıç tarihinden en az on beş gün önce ilan edilir. Elektronik satış portalı ve Basın İlân Kurumu İlan Portalında yapılacak ilan, artırmanın bitimine kadar erişime açık tutulur. İkinci artırmanın başlangıç tarihi, birinci artırmanın bitimi tarihinden itibaren bir ayı geçmeyecek şekilde belirlenir.</w:t>
            </w:r>
          </w:p>
          <w:p w:rsidR="004A656A" w:rsidRPr="00A23740" w:rsidRDefault="007409FD" w:rsidP="009431FF">
            <w:pPr>
              <w:rPr>
                <w:szCs w:val="24"/>
                <w:lang w:eastAsia="tr-TR"/>
              </w:rPr>
            </w:pPr>
            <w:r w:rsidRPr="00A23740">
              <w:rPr>
                <w:szCs w:val="24"/>
                <w:lang w:eastAsia="tr-TR"/>
              </w:rPr>
              <w:t xml:space="preserve"> </w:t>
            </w:r>
          </w:p>
          <w:p w:rsidR="004A656A" w:rsidRPr="00A23740" w:rsidRDefault="001B232B" w:rsidP="009431FF">
            <w:pPr>
              <w:pStyle w:val="KIRMIZI"/>
            </w:pPr>
            <w:r w:rsidRPr="00A23740">
              <w:t xml:space="preserve">(3) </w:t>
            </w:r>
            <w:r w:rsidR="004A656A" w:rsidRPr="00A23740">
              <w:t>(Değişik fıkra: 13/10/2022 -7418/25 md.) Gazete ve internet haber sitesi ilanları Basın-İlân Kurumu aracılığıyla aşağıda belirtilen usulde yapılır.</w:t>
            </w:r>
          </w:p>
          <w:p w:rsidR="00696687" w:rsidRPr="00A23740" w:rsidRDefault="00696687" w:rsidP="009431FF">
            <w:pPr>
              <w:rPr>
                <w:szCs w:val="24"/>
                <w:lang w:eastAsia="tr-TR"/>
              </w:rPr>
            </w:pPr>
          </w:p>
          <w:p w:rsidR="004A656A" w:rsidRPr="00A23740" w:rsidRDefault="001B232B" w:rsidP="009431FF">
            <w:pPr>
              <w:pStyle w:val="KIRMIZI"/>
            </w:pPr>
            <w:r w:rsidRPr="00A23740">
              <w:t xml:space="preserve">(4) </w:t>
            </w:r>
            <w:r w:rsidR="004A656A" w:rsidRPr="00A23740">
              <w:t>(Ek fıkra: 13/10/2022 -7418/25 md.) Toplam muhammen bedeli beş yüz bin Türk lirasına kadar olan satışlar için gazete veya internet haber sitesi ile ilan yapılıp yapılmayacağına icra dairesince alakadarların menfaatleri dikkate alınarak karar verilir. Ancak;</w:t>
            </w:r>
          </w:p>
          <w:p w:rsidR="004A656A" w:rsidRPr="00A23740" w:rsidRDefault="004A656A" w:rsidP="009431FF">
            <w:pPr>
              <w:pStyle w:val="KIRMIZI"/>
              <w:rPr>
                <w:lang w:eastAsia="tr-TR"/>
              </w:rPr>
            </w:pPr>
          </w:p>
          <w:p w:rsidR="004A656A" w:rsidRPr="00A23740" w:rsidRDefault="004A656A" w:rsidP="009431FF">
            <w:pPr>
              <w:pStyle w:val="KIRMIZI"/>
              <w:rPr>
                <w:lang w:eastAsia="tr-TR"/>
              </w:rPr>
            </w:pPr>
            <w:r w:rsidRPr="00A23740">
              <w:rPr>
                <w:lang w:eastAsia="tr-TR"/>
              </w:rPr>
              <w:t>1. Toplam muhammen bedeli beş yüz bin Türk lirasının üzerinde ve iki milyon Türk lirasının altında olanlar, satışın yapılacağı yerde yayınlanan resmî ilan yayınlama hakkını haiz bir yerel gazete veya bir internet haber sitesinde ilan edilir. Satışın yapılacağı yerde resmî ilan yayınlama hakkını haiz yerel gazete veya internet haber sitesi yönetimi bulunmaması hâlinde ilan, icra dairesinin belirleyeceği aynı il mülki sınırları içerisinde bulunan başka bir yayın yerinde resmî ilan yayınlama hakkını haiz bir yerel gazete veya bir internet haber sitesi aracılığıyla duyurulur.</w:t>
            </w:r>
          </w:p>
          <w:p w:rsidR="004A656A" w:rsidRPr="00A23740" w:rsidRDefault="004A656A" w:rsidP="009431FF">
            <w:pPr>
              <w:pStyle w:val="KIRMIZI"/>
              <w:rPr>
                <w:lang w:eastAsia="tr-TR"/>
              </w:rPr>
            </w:pPr>
          </w:p>
          <w:p w:rsidR="004A656A" w:rsidRPr="00A23740" w:rsidRDefault="004A656A" w:rsidP="009431FF">
            <w:pPr>
              <w:pStyle w:val="KIRMIZI"/>
              <w:rPr>
                <w:lang w:eastAsia="tr-TR"/>
              </w:rPr>
            </w:pPr>
            <w:r w:rsidRPr="00A23740">
              <w:rPr>
                <w:lang w:eastAsia="tr-TR"/>
              </w:rPr>
              <w:t>2. Toplam muhammen bedeli iki milyon Türk lirası ve üzerinde olanlar ise bir internet haber sitesinde veya yurt genelinde dağıtılıp satışa sunulan ve ilan talebi tarihinde günlük fiilî satışı elli bin adedin üzerinde olan resmî ilan yayınlama hakkını haiz bir gazetede yayınlatılır.</w:t>
            </w:r>
          </w:p>
          <w:p w:rsidR="004A656A" w:rsidRPr="00A23740" w:rsidRDefault="004A656A" w:rsidP="009431FF">
            <w:pPr>
              <w:pStyle w:val="KIRMIZI"/>
              <w:rPr>
                <w:lang w:eastAsia="tr-TR"/>
              </w:rPr>
            </w:pPr>
          </w:p>
          <w:p w:rsidR="004A656A" w:rsidRPr="00A23740" w:rsidRDefault="004A656A" w:rsidP="009431FF">
            <w:pPr>
              <w:pStyle w:val="KIRMIZI"/>
              <w:rPr>
                <w:lang w:eastAsia="tr-TR"/>
              </w:rPr>
            </w:pPr>
            <w:r w:rsidRPr="00A23740">
              <w:rPr>
                <w:lang w:eastAsia="tr-TR"/>
              </w:rPr>
              <w:t>3. Gazete veya internet haber sitesinde yayınlanacak ilanlar eş zamanlı olarak Basın İlân Kurumu İlan Portalında da duyurulur.</w:t>
            </w:r>
          </w:p>
          <w:p w:rsidR="004A656A" w:rsidRPr="00A23740" w:rsidRDefault="004A656A" w:rsidP="009431FF">
            <w:pPr>
              <w:pStyle w:val="KIRMIZI"/>
              <w:rPr>
                <w:lang w:eastAsia="tr-TR"/>
              </w:rPr>
            </w:pPr>
          </w:p>
          <w:p w:rsidR="004A656A" w:rsidRPr="00A23740" w:rsidRDefault="004A656A" w:rsidP="009431FF">
            <w:pPr>
              <w:pStyle w:val="KIRMIZI"/>
              <w:rPr>
                <w:lang w:eastAsia="tr-TR"/>
              </w:rPr>
            </w:pPr>
            <w:r w:rsidRPr="00A23740">
              <w:rPr>
                <w:lang w:eastAsia="tr-TR"/>
              </w:rPr>
              <w:t>4. Bu madde kapsamında Basın İlân Kurumu İlan Portalında yayınlanacak ilanlardan ücret alınmaz.</w:t>
            </w:r>
          </w:p>
          <w:p w:rsidR="004A656A" w:rsidRPr="00A23740" w:rsidRDefault="004A656A" w:rsidP="009431FF">
            <w:pPr>
              <w:pStyle w:val="KIRMIZI"/>
              <w:rPr>
                <w:lang w:eastAsia="tr-TR"/>
              </w:rPr>
            </w:pPr>
          </w:p>
          <w:p w:rsidR="004A656A" w:rsidRPr="00A23740" w:rsidRDefault="004A656A" w:rsidP="009431FF">
            <w:pPr>
              <w:pStyle w:val="KIRMIZI"/>
              <w:rPr>
                <w:lang w:eastAsia="tr-TR"/>
              </w:rPr>
            </w:pPr>
            <w:r w:rsidRPr="00A23740">
              <w:rPr>
                <w:lang w:eastAsia="tr-TR"/>
              </w:rPr>
              <w:t>5. Bu fıkrada yer alan parasal limitler bir önceki yılın Aralık ayındaki yıllık Üretici Fiyat Endeksi esas alınarak Adalet Bakanlığı tarafından güncellenir ve her yıl 1 Şubat gününden itibaren geçerli olmak üzere aynı güne kadar Resmî Gazete’de ilan edilir. Parasal limitler olağanüstü hâllerde Adalet Bakanlığının teklifi üzerine Cumhurbaşkanı kararı ile güncellenebilir.</w:t>
            </w:r>
          </w:p>
          <w:p w:rsidR="004A656A" w:rsidRPr="00A23740" w:rsidRDefault="004A656A" w:rsidP="009431FF">
            <w:pPr>
              <w:pStyle w:val="KIRMIZI"/>
              <w:rPr>
                <w:lang w:eastAsia="tr-TR"/>
              </w:rPr>
            </w:pPr>
          </w:p>
          <w:p w:rsidR="004A656A" w:rsidRPr="00A23740" w:rsidRDefault="001B232B" w:rsidP="009431FF">
            <w:pPr>
              <w:pStyle w:val="KIRMIZI"/>
              <w:rPr>
                <w:lang w:eastAsia="tr-TR"/>
              </w:rPr>
            </w:pPr>
            <w:r w:rsidRPr="00A23740">
              <w:rPr>
                <w:lang w:eastAsia="tr-TR"/>
              </w:rPr>
              <w:t xml:space="preserve">(5) </w:t>
            </w:r>
            <w:r w:rsidR="004A656A" w:rsidRPr="00A23740">
              <w:rPr>
                <w:lang w:eastAsia="tr-TR"/>
              </w:rPr>
              <w:t>Gazete veya internet haber sitesi ile yapılacak ilanlara satış şartnamesi eklentisiyle geçirilmeyip, satılacak şeyin cinsi, mahiyeti, önemli vasıfları, muhammen kıymeti ve bulunduğu yer, birinci ve ikinci artırmanın yapılacağı gün ve saat aralığı ile artırmaya ilişkin bilgilerin yer aldığı elektronik satış portalı yazılmakla iktifa olunur. İcra dairesince yapılması zaruri ilanlar dışında, taraflar elektronik satış portalında yer alan ilan metnini, masrafı kendilerine ait olmak üzere, diledikleri vasıtalarla ilan edebilir. Ancak hususi mahiyetteki bu ilan resmî muameleye tesir etmez.</w:t>
            </w:r>
          </w:p>
          <w:p w:rsidR="00AA5C8C" w:rsidRPr="00A23740" w:rsidRDefault="00AA5C8C" w:rsidP="009431FF">
            <w:pPr>
              <w:pStyle w:val="KIRMIZI"/>
              <w:rPr>
                <w:b w:val="0"/>
                <w:lang w:eastAsia="tr-TR"/>
              </w:rPr>
            </w:pPr>
          </w:p>
        </w:tc>
        <w:tc>
          <w:tcPr>
            <w:tcW w:w="2500" w:type="pct"/>
          </w:tcPr>
          <w:p w:rsidR="00AA5C8C" w:rsidRPr="00A23740" w:rsidRDefault="00AA5C8C" w:rsidP="009431FF">
            <w:pPr>
              <w:pStyle w:val="Mavi"/>
            </w:pPr>
            <w:r w:rsidRPr="00A23740">
              <w:t>Gazete</w:t>
            </w:r>
            <w:r w:rsidRPr="00A23740">
              <w:rPr>
                <w:lang w:val="tr-TR"/>
              </w:rPr>
              <w:t>de</w:t>
            </w:r>
            <w:r w:rsidRPr="00A23740">
              <w:t xml:space="preserve"> ilan</w:t>
            </w:r>
          </w:p>
          <w:p w:rsidR="00AA5C8C" w:rsidRPr="00A23740" w:rsidRDefault="00AA5C8C" w:rsidP="009431FF">
            <w:pPr>
              <w:pStyle w:val="Mavi"/>
              <w:rPr>
                <w:rFonts w:eastAsia="Times New Roman"/>
                <w:b w:val="0"/>
                <w:bCs w:val="0"/>
                <w:color w:val="auto"/>
                <w:lang w:val="tr-TR" w:eastAsia="tr-TR"/>
              </w:rPr>
            </w:pPr>
            <w:r w:rsidRPr="00A23740">
              <w:t xml:space="preserve">MADDE </w:t>
            </w:r>
            <w:r w:rsidR="0025794C" w:rsidRPr="00A23740">
              <w:rPr>
                <w:lang w:val="tr-TR"/>
              </w:rPr>
              <w:t>22</w:t>
            </w:r>
            <w:r w:rsidR="00396AB6" w:rsidRPr="00A23740">
              <w:rPr>
                <w:lang w:val="tr-TR"/>
              </w:rPr>
              <w:t>9</w:t>
            </w:r>
            <w:r w:rsidRPr="00A23740">
              <w:t xml:space="preserve">- </w:t>
            </w:r>
            <w:r w:rsidRPr="00A23740">
              <w:rPr>
                <w:rFonts w:eastAsia="Times New Roman"/>
              </w:rPr>
              <w:t xml:space="preserve">(1) </w:t>
            </w:r>
            <w:r w:rsidRPr="00A23740">
              <w:rPr>
                <w:rFonts w:eastAsia="Times New Roman"/>
                <w:b w:val="0"/>
                <w:bCs w:val="0"/>
                <w:color w:val="auto"/>
                <w:lang w:val="tr-TR" w:eastAsia="tr-TR"/>
              </w:rPr>
              <w:t>İl</w:t>
            </w:r>
            <w:r w:rsidR="00B67688" w:rsidRPr="00A23740">
              <w:rPr>
                <w:rFonts w:eastAsia="Times New Roman"/>
                <w:b w:val="0"/>
                <w:bCs w:val="0"/>
                <w:color w:val="auto"/>
                <w:lang w:val="tr-TR" w:eastAsia="tr-TR"/>
              </w:rPr>
              <w:t>a</w:t>
            </w:r>
            <w:r w:rsidRPr="00A23740">
              <w:rPr>
                <w:rFonts w:eastAsia="Times New Roman"/>
                <w:b w:val="0"/>
                <w:bCs w:val="0"/>
                <w:color w:val="auto"/>
                <w:lang w:val="tr-TR" w:eastAsia="tr-TR"/>
              </w:rPr>
              <w:t xml:space="preserve">nın </w:t>
            </w:r>
            <w:r w:rsidR="00CC0478" w:rsidRPr="00A23740">
              <w:t>Türkiye</w:t>
            </w:r>
            <w:r w:rsidR="00CC0478" w:rsidRPr="00A23740">
              <w:rPr>
                <w:rFonts w:eastAsia="Times New Roman"/>
                <w:b w:val="0"/>
                <w:bCs w:val="0"/>
                <w:color w:val="auto"/>
                <w:lang w:val="tr-TR" w:eastAsia="tr-TR"/>
              </w:rPr>
              <w:t xml:space="preserve"> </w:t>
            </w:r>
            <w:r w:rsidR="00CC0478" w:rsidRPr="00A23740">
              <w:t>genelinde</w:t>
            </w:r>
            <w:r w:rsidRPr="00A23740">
              <w:rPr>
                <w:rFonts w:eastAsia="Times New Roman"/>
                <w:b w:val="0"/>
                <w:bCs w:val="0"/>
                <w:color w:val="auto"/>
                <w:lang w:val="tr-TR" w:eastAsia="tr-TR"/>
              </w:rPr>
              <w:t xml:space="preserve"> yayımlanan bir gazete</w:t>
            </w:r>
            <w:r w:rsidRPr="00A23740">
              <w:t>de</w:t>
            </w:r>
            <w:r w:rsidRPr="00A23740">
              <w:rPr>
                <w:rFonts w:eastAsia="Times New Roman"/>
                <w:b w:val="0"/>
                <w:bCs w:val="0"/>
                <w:color w:val="auto"/>
                <w:lang w:val="tr-TR" w:eastAsia="tr-TR"/>
              </w:rPr>
              <w:t xml:space="preserve"> yapılmasına karar verilmesi hâlinde bu il</w:t>
            </w:r>
            <w:r w:rsidR="00930910" w:rsidRPr="00A23740">
              <w:rPr>
                <w:rFonts w:eastAsia="Times New Roman"/>
                <w:b w:val="0"/>
                <w:bCs w:val="0"/>
                <w:color w:val="auto"/>
                <w:lang w:val="tr-TR" w:eastAsia="tr-TR"/>
              </w:rPr>
              <w:t>a</w:t>
            </w:r>
            <w:r w:rsidRPr="00A23740">
              <w:rPr>
                <w:rFonts w:eastAsia="Times New Roman"/>
                <w:b w:val="0"/>
                <w:bCs w:val="0"/>
                <w:color w:val="auto"/>
                <w:lang w:val="tr-TR" w:eastAsia="tr-TR"/>
              </w:rPr>
              <w:t>n</w:t>
            </w:r>
            <w:r w:rsidRPr="00A23740">
              <w:t>, ilan talebi tarihi itibarıyla</w:t>
            </w:r>
            <w:r w:rsidRPr="00A23740">
              <w:rPr>
                <w:rFonts w:eastAsia="Times New Roman"/>
                <w:b w:val="0"/>
                <w:bCs w:val="0"/>
                <w:color w:val="auto"/>
                <w:lang w:val="tr-TR" w:eastAsia="tr-TR"/>
              </w:rPr>
              <w:t xml:space="preserve"> tirajı ellibinin üzerinde olan ve </w:t>
            </w:r>
            <w:r w:rsidR="00CC0478" w:rsidRPr="00A23740">
              <w:t>Türkiye</w:t>
            </w:r>
            <w:r w:rsidR="00CC0478" w:rsidRPr="00A23740">
              <w:rPr>
                <w:rFonts w:eastAsia="Times New Roman"/>
                <w:b w:val="0"/>
                <w:bCs w:val="0"/>
                <w:color w:val="auto"/>
                <w:lang w:val="tr-TR" w:eastAsia="tr-TR"/>
              </w:rPr>
              <w:t xml:space="preserve"> </w:t>
            </w:r>
            <w:r w:rsidR="00CC0478" w:rsidRPr="00A23740">
              <w:t>genelinde</w:t>
            </w:r>
            <w:r w:rsidRPr="00A23740">
              <w:rPr>
                <w:rFonts w:eastAsia="Times New Roman"/>
                <w:b w:val="0"/>
                <w:bCs w:val="0"/>
                <w:color w:val="auto"/>
                <w:lang w:val="tr-TR" w:eastAsia="tr-TR"/>
              </w:rPr>
              <w:t xml:space="preserve"> dağıtımı </w:t>
            </w:r>
            <w:r w:rsidRPr="00A23740">
              <w:t>gerçekleştirilen</w:t>
            </w:r>
            <w:r w:rsidRPr="00A23740">
              <w:rPr>
                <w:rFonts w:eastAsia="Times New Roman"/>
                <w:b w:val="0"/>
                <w:bCs w:val="0"/>
                <w:color w:val="auto"/>
                <w:lang w:val="tr-TR" w:eastAsia="tr-TR"/>
              </w:rPr>
              <w:t xml:space="preserve"> gazetelerden biriyle yapılır.</w:t>
            </w:r>
          </w:p>
          <w:p w:rsidR="00AA5C8C" w:rsidRPr="00A23740" w:rsidRDefault="00AA5C8C" w:rsidP="009431FF">
            <w:pPr>
              <w:tabs>
                <w:tab w:val="left" w:pos="567"/>
              </w:tabs>
              <w:rPr>
                <w:rFonts w:eastAsia="Times New Roman"/>
                <w:b/>
                <w:color w:val="0000FF"/>
                <w:szCs w:val="24"/>
                <w:lang w:eastAsia="tr-TR"/>
              </w:rPr>
            </w:pPr>
          </w:p>
          <w:p w:rsidR="008614C3" w:rsidRPr="00A23740" w:rsidRDefault="008614C3" w:rsidP="009431FF">
            <w:pPr>
              <w:tabs>
                <w:tab w:val="left" w:pos="567"/>
              </w:tabs>
              <w:rPr>
                <w:rFonts w:eastAsia="Times New Roman"/>
                <w:b/>
                <w:color w:val="0000FF"/>
                <w:szCs w:val="24"/>
                <w:lang w:eastAsia="tr-TR"/>
              </w:rPr>
            </w:pPr>
          </w:p>
          <w:p w:rsidR="00410768" w:rsidRPr="00A23740" w:rsidRDefault="00410768" w:rsidP="009431FF">
            <w:pPr>
              <w:tabs>
                <w:tab w:val="left" w:pos="567"/>
              </w:tabs>
              <w:rPr>
                <w:rFonts w:eastAsia="Times New Roman"/>
                <w:b/>
                <w:color w:val="0000FF"/>
                <w:szCs w:val="24"/>
                <w:lang w:eastAsia="tr-TR"/>
              </w:rPr>
            </w:pPr>
          </w:p>
          <w:p w:rsidR="00410768" w:rsidRPr="00A23740" w:rsidRDefault="00410768"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(2)  </w:t>
            </w:r>
            <w:r w:rsidRPr="00A23740">
              <w:rPr>
                <w:rFonts w:eastAsia="Times New Roman"/>
                <w:szCs w:val="24"/>
                <w:lang w:eastAsia="tr-TR"/>
              </w:rPr>
              <w:t>Gazete</w:t>
            </w:r>
            <w:r w:rsidRPr="00A23740">
              <w:rPr>
                <w:rStyle w:val="MaviChar"/>
              </w:rPr>
              <w:t>de</w:t>
            </w:r>
            <w:r w:rsidRPr="00A23740">
              <w:rPr>
                <w:rFonts w:eastAsia="Times New Roman"/>
                <w:szCs w:val="24"/>
                <w:lang w:eastAsia="tr-TR"/>
              </w:rPr>
              <w:t xml:space="preserve"> yapılacak ilanlara satış şartnamesi </w:t>
            </w:r>
            <w:r w:rsidRPr="00A23740">
              <w:rPr>
                <w:rStyle w:val="MaviChar"/>
              </w:rPr>
              <w:t>tüm ayrıntılarıyla yazılmayıp</w:t>
            </w:r>
            <w:r w:rsidRPr="00A23740">
              <w:rPr>
                <w:rFonts w:eastAsia="Times New Roman"/>
                <w:szCs w:val="24"/>
                <w:lang w:eastAsia="tr-TR"/>
              </w:rPr>
              <w:t xml:space="preserve">, satılacak şeyin cinsi, </w:t>
            </w:r>
            <w:r w:rsidRPr="00A23740">
              <w:rPr>
                <w:rStyle w:val="MaviChar"/>
              </w:rPr>
              <w:t>niteliği,</w:t>
            </w:r>
            <w:r w:rsidRPr="00A23740">
              <w:rPr>
                <w:rFonts w:eastAsia="Times New Roman"/>
                <w:szCs w:val="24"/>
                <w:lang w:eastAsia="tr-TR"/>
              </w:rPr>
              <w:t xml:space="preserve"> önemli </w:t>
            </w:r>
            <w:r w:rsidRPr="00A23740">
              <w:rPr>
                <w:rStyle w:val="MaviChar"/>
              </w:rPr>
              <w:t>özellikleri,</w:t>
            </w:r>
            <w:r w:rsidRPr="00A23740">
              <w:rPr>
                <w:rFonts w:eastAsia="Times New Roman"/>
                <w:szCs w:val="24"/>
                <w:lang w:eastAsia="tr-TR"/>
              </w:rPr>
              <w:t xml:space="preserve"> </w:t>
            </w:r>
            <w:r w:rsidRPr="00A23740">
              <w:rPr>
                <w:rStyle w:val="MaviChar"/>
              </w:rPr>
              <w:t>tahmin edilen</w:t>
            </w:r>
            <w:r w:rsidRPr="00A23740">
              <w:rPr>
                <w:rFonts w:eastAsia="Times New Roman"/>
                <w:szCs w:val="24"/>
                <w:lang w:eastAsia="tr-TR"/>
              </w:rPr>
              <w:t xml:space="preserve"> kıymeti ve bulunduğu yer, birinci ve ikinci artırmanın yapılacağı gün ve saat aralığı ile artırmaya ilişkin bilgilerin yer aldığı elektronik satış portalı yazılmakla </w:t>
            </w:r>
            <w:r w:rsidRPr="00A23740">
              <w:rPr>
                <w:rStyle w:val="MaviChar"/>
              </w:rPr>
              <w:t>yetinilir.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7409FD" w:rsidRPr="00A23740" w:rsidRDefault="007409FD" w:rsidP="009431FF">
            <w:pPr>
              <w:ind w:firstLine="709"/>
              <w:rPr>
                <w:rFonts w:eastAsia="Times New Roman"/>
                <w:color w:val="000000"/>
                <w:szCs w:val="24"/>
                <w:lang w:eastAsia="tr-TR"/>
              </w:rPr>
            </w:pPr>
          </w:p>
          <w:p w:rsidR="007409FD" w:rsidRPr="00A23740" w:rsidRDefault="007409FD"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22</w:t>
            </w:r>
            <w:r w:rsidR="00396AB6" w:rsidRPr="00A23740">
              <w:rPr>
                <w:rFonts w:eastAsia="Times New Roman"/>
                <w:b/>
                <w:color w:val="000000"/>
                <w:szCs w:val="24"/>
                <w:lang w:eastAsia="tr-TR"/>
              </w:rPr>
              <w:t>9</w:t>
            </w:r>
            <w:r w:rsidRPr="00A23740">
              <w:rPr>
                <w:rFonts w:eastAsia="Times New Roman"/>
                <w:color w:val="000000"/>
                <w:szCs w:val="24"/>
                <w:lang w:eastAsia="tr-TR"/>
              </w:rPr>
              <w:t>- Maddeyle, il</w:t>
            </w:r>
            <w:r w:rsidR="00930910" w:rsidRPr="00A23740">
              <w:rPr>
                <w:rFonts w:eastAsia="Times New Roman"/>
                <w:color w:val="000000"/>
                <w:szCs w:val="24"/>
                <w:lang w:eastAsia="tr-TR"/>
              </w:rPr>
              <w:t>a</w:t>
            </w:r>
            <w:r w:rsidRPr="00A23740">
              <w:rPr>
                <w:rFonts w:eastAsia="Times New Roman"/>
                <w:color w:val="000000"/>
                <w:szCs w:val="24"/>
                <w:lang w:eastAsia="tr-TR"/>
              </w:rPr>
              <w:t>nın gazetede yapılmasına karar verilmesi h</w:t>
            </w:r>
            <w:r w:rsidR="00B67688" w:rsidRPr="00A23740">
              <w:rPr>
                <w:rFonts w:eastAsia="Times New Roman"/>
                <w:color w:val="000000"/>
                <w:szCs w:val="24"/>
                <w:lang w:eastAsia="tr-TR"/>
              </w:rPr>
              <w:t>â</w:t>
            </w:r>
            <w:r w:rsidRPr="00A23740">
              <w:rPr>
                <w:rFonts w:eastAsia="Times New Roman"/>
                <w:color w:val="000000"/>
                <w:szCs w:val="24"/>
                <w:lang w:eastAsia="tr-TR"/>
              </w:rPr>
              <w:t xml:space="preserve">linde uygulanacak esaslar düzenlenmektedir. Hüküm, </w:t>
            </w:r>
            <w:r w:rsidR="00B67688" w:rsidRPr="00D60C1D">
              <w:rPr>
                <w:rStyle w:val="Balk1Char"/>
                <w:rFonts w:eastAsia="Calibri"/>
                <w:b w:val="0"/>
                <w:color w:val="000000"/>
              </w:rPr>
              <w:t>kısmen,</w:t>
            </w:r>
            <w:r w:rsidR="00B67688" w:rsidRPr="00A23740">
              <w:rPr>
                <w:rFonts w:eastAsia="Times New Roman"/>
                <w:color w:val="000000"/>
                <w:szCs w:val="24"/>
                <w:lang w:eastAsia="tr-TR"/>
              </w:rPr>
              <w:t xml:space="preserve"> </w:t>
            </w:r>
            <w:r w:rsidRPr="00A23740">
              <w:rPr>
                <w:rFonts w:eastAsia="Times New Roman"/>
                <w:color w:val="000000"/>
                <w:szCs w:val="24"/>
                <w:lang w:eastAsia="tr-TR"/>
              </w:rPr>
              <w:t xml:space="preserve">2004 sayılı Kanunun </w:t>
            </w:r>
            <w:r w:rsidR="00410768" w:rsidRPr="00A23740">
              <w:rPr>
                <w:rFonts w:eastAsia="Times New Roman"/>
                <w:color w:val="000000"/>
                <w:szCs w:val="24"/>
                <w:lang w:eastAsia="tr-TR"/>
              </w:rPr>
              <w:t>114 üncü maddesine karşılık gelmektedir</w:t>
            </w:r>
            <w:r w:rsidRPr="00A23740">
              <w:rPr>
                <w:rFonts w:eastAsia="Times New Roman"/>
                <w:color w:val="000000"/>
                <w:szCs w:val="24"/>
                <w:lang w:eastAsia="tr-TR"/>
              </w:rPr>
              <w:t xml:space="preserve">. </w:t>
            </w:r>
          </w:p>
          <w:p w:rsidR="007409FD" w:rsidRPr="00A23740" w:rsidRDefault="007409FD" w:rsidP="009431FF">
            <w:pPr>
              <w:ind w:firstLine="709"/>
              <w:rPr>
                <w:rFonts w:eastAsia="Times New Roman"/>
                <w:color w:val="000000"/>
                <w:szCs w:val="24"/>
                <w:lang w:eastAsia="tr-TR"/>
              </w:rPr>
            </w:pPr>
            <w:r w:rsidRPr="00A23740">
              <w:rPr>
                <w:rFonts w:eastAsia="Times New Roman"/>
                <w:color w:val="000000"/>
                <w:szCs w:val="24"/>
                <w:lang w:eastAsia="tr-TR"/>
              </w:rPr>
              <w:t>Birinci fıkrayla, il</w:t>
            </w:r>
            <w:r w:rsidR="00930910" w:rsidRPr="00A23740">
              <w:rPr>
                <w:rFonts w:eastAsia="Times New Roman"/>
                <w:color w:val="000000"/>
                <w:szCs w:val="24"/>
                <w:lang w:eastAsia="tr-TR"/>
              </w:rPr>
              <w:t>a</w:t>
            </w:r>
            <w:r w:rsidRPr="00A23740">
              <w:rPr>
                <w:rFonts w:eastAsia="Times New Roman"/>
                <w:color w:val="000000"/>
                <w:szCs w:val="24"/>
                <w:lang w:eastAsia="tr-TR"/>
              </w:rPr>
              <w:t>nın yurt düzeyinde yayımlanan bir gazetede yapılmasına karar verilmesi hâlinde bu il</w:t>
            </w:r>
            <w:r w:rsidR="00930910" w:rsidRPr="00A23740">
              <w:rPr>
                <w:rFonts w:eastAsia="Times New Roman"/>
                <w:color w:val="000000"/>
                <w:szCs w:val="24"/>
                <w:lang w:eastAsia="tr-TR"/>
              </w:rPr>
              <w:t>a</w:t>
            </w:r>
            <w:r w:rsidRPr="00A23740">
              <w:rPr>
                <w:rFonts w:eastAsia="Times New Roman"/>
                <w:color w:val="000000"/>
                <w:szCs w:val="24"/>
                <w:lang w:eastAsia="tr-TR"/>
              </w:rPr>
              <w:t>nın</w:t>
            </w:r>
            <w:r w:rsidRPr="00A23740">
              <w:rPr>
                <w:rFonts w:eastAsia="Times New Roman"/>
                <w:color w:val="000000"/>
                <w:lang w:eastAsia="tr-TR"/>
              </w:rPr>
              <w:t>,</w:t>
            </w:r>
            <w:r w:rsidRPr="00A23740">
              <w:rPr>
                <w:rFonts w:eastAsia="Times New Roman"/>
                <w:color w:val="000000"/>
                <w:szCs w:val="24"/>
                <w:lang w:eastAsia="tr-TR"/>
              </w:rPr>
              <w:t xml:space="preserve"> </w:t>
            </w:r>
            <w:r w:rsidRPr="00A23740">
              <w:rPr>
                <w:rFonts w:eastAsia="Times New Roman"/>
                <w:color w:val="000000"/>
                <w:lang w:eastAsia="tr-TR"/>
              </w:rPr>
              <w:t>ilan talebi tarihi itibarıyla</w:t>
            </w:r>
            <w:r w:rsidRPr="00A23740">
              <w:rPr>
                <w:rFonts w:eastAsia="Times New Roman"/>
                <w:color w:val="000000"/>
                <w:szCs w:val="24"/>
                <w:lang w:eastAsia="tr-TR"/>
              </w:rPr>
              <w:t xml:space="preserve"> tirajı ellibinin üzerinde olan ve yurt düzeyinde dağıtımı gerçekleştirilen gazetelerden biriyle yapılacağı hükme bağlanmaktadır. </w:t>
            </w:r>
          </w:p>
          <w:p w:rsidR="00410768" w:rsidRPr="00A23740" w:rsidRDefault="007409FD" w:rsidP="009431FF">
            <w:pPr>
              <w:ind w:firstLine="709"/>
              <w:rPr>
                <w:rFonts w:eastAsia="Times New Roman"/>
                <w:color w:val="000000"/>
                <w:szCs w:val="24"/>
                <w:lang w:eastAsia="tr-TR"/>
              </w:rPr>
            </w:pPr>
            <w:r w:rsidRPr="00A23740">
              <w:rPr>
                <w:rFonts w:eastAsia="Times New Roman"/>
                <w:color w:val="000000"/>
                <w:szCs w:val="24"/>
                <w:lang w:eastAsia="tr-TR"/>
              </w:rPr>
              <w:t>İkinci fıkrayla, gezetede yapılacak ilanlarda bulunması gereken bilgiler düzenlenmektedir. Hüküm uyarınca, gazetede yapılacak ilanlara satış şartnamesinin tüm ayrıntılarıyla yazılması gerekmemektedir. Buna göre, satılacak şeyin cinsi, niteliği, önemli özellikleri, tahmin edilen kıymeti ve bulunduğu yer, birinci ve ikinci artırmanın yapılacağı gün ve saat aralığı ile artırmaya ilişkin bilgilerin yer aldığı elektronik satış portalı yazılmakla yetinilir.</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Artırma hazırlık tedbirleri:</w:t>
            </w:r>
          </w:p>
          <w:p w:rsidR="00AA5C8C" w:rsidRPr="00A23740" w:rsidRDefault="00AA5C8C" w:rsidP="009431FF">
            <w:pPr>
              <w:pStyle w:val="KIRMIZI"/>
              <w:rPr>
                <w:lang w:val="tr-TR" w:eastAsia="tr-TR"/>
              </w:rPr>
            </w:pPr>
            <w:r w:rsidRPr="00A23740">
              <w:t xml:space="preserve">Madde 114 – </w:t>
            </w:r>
            <w:r w:rsidR="00410768" w:rsidRPr="00A23740">
              <w:rPr>
                <w:lang w:val="tr-TR"/>
              </w:rPr>
              <w:t>…</w:t>
            </w:r>
          </w:p>
          <w:p w:rsidR="00AA5C8C" w:rsidRPr="00A23740" w:rsidRDefault="00410768" w:rsidP="009431FF">
            <w:pPr>
              <w:rPr>
                <w:color w:val="000000"/>
              </w:rPr>
            </w:pPr>
            <w:r w:rsidRPr="00A23740">
              <w:rPr>
                <w:rStyle w:val="KIRMIZIChar"/>
                <w:rFonts w:eastAsia="Calibri"/>
              </w:rPr>
              <w:t>(5)</w:t>
            </w:r>
            <w:r w:rsidRPr="00A23740">
              <w:rPr>
                <w:color w:val="000000"/>
              </w:rPr>
              <w:t xml:space="preserve"> </w:t>
            </w:r>
            <w:r w:rsidRPr="00A23740">
              <w:rPr>
                <w:rStyle w:val="KIRMIZIChar"/>
                <w:rFonts w:eastAsia="Calibri"/>
              </w:rPr>
              <w:t>Gazete veya internet haber sitesi ile yapılacak ilanlara satış şartnamesi eklentisiyle geçirilmeyip, satılacak şeyin cinsi, mahiyeti, önemli vasıfları, muhammen kıymeti ve bulunduğu yer, birinci ve ikinci artırmanın yapılacağı gün ve saat aralığı ile artırmaya ilişkin bilgilerin yer aldığı elektronik satış portalı yazılmakla iktifa olunur.</w:t>
            </w:r>
            <w:r w:rsidRPr="00A23740">
              <w:rPr>
                <w:color w:val="000000"/>
              </w:rPr>
              <w:t xml:space="preserve"> İcra dairesince yapılması </w:t>
            </w:r>
            <w:r w:rsidRPr="00A23740">
              <w:rPr>
                <w:rStyle w:val="KIRMIZIChar"/>
                <w:rFonts w:eastAsia="Calibri"/>
              </w:rPr>
              <w:t>zaruri</w:t>
            </w:r>
            <w:r w:rsidRPr="00A23740">
              <w:rPr>
                <w:color w:val="000000"/>
              </w:rPr>
              <w:t xml:space="preserve"> ilanlar dışında, taraflar elektronik satış portalında yer alan ilan metnini, </w:t>
            </w:r>
            <w:r w:rsidRPr="00A23740">
              <w:rPr>
                <w:rStyle w:val="KIRMIZIChar"/>
                <w:rFonts w:eastAsia="Calibri"/>
              </w:rPr>
              <w:t>masrafı</w:t>
            </w:r>
            <w:r w:rsidRPr="00A23740">
              <w:rPr>
                <w:color w:val="000000"/>
              </w:rPr>
              <w:t xml:space="preserve"> kendilerine ait olmak üzere, diledikleri </w:t>
            </w:r>
            <w:r w:rsidRPr="00A23740">
              <w:rPr>
                <w:rStyle w:val="KIRMIZIChar"/>
                <w:rFonts w:eastAsia="Calibri"/>
              </w:rPr>
              <w:t>vasıtalarla</w:t>
            </w:r>
            <w:r w:rsidRPr="00A23740">
              <w:rPr>
                <w:color w:val="000000"/>
              </w:rPr>
              <w:t xml:space="preserve"> ilan edebilir. </w:t>
            </w:r>
            <w:r w:rsidRPr="00A23740">
              <w:rPr>
                <w:rStyle w:val="KIRMIZIChar"/>
                <w:rFonts w:eastAsia="Calibri"/>
              </w:rPr>
              <w:t>Ancak hususi mahiyetteki bu ilan resmî muameleye tesir etmez.</w:t>
            </w:r>
          </w:p>
          <w:p w:rsidR="00AA5C8C" w:rsidRPr="00A23740" w:rsidRDefault="00AA5C8C" w:rsidP="009431FF">
            <w:pPr>
              <w:rPr>
                <w:szCs w:val="24"/>
                <w:lang w:eastAsia="tr-TR"/>
              </w:rPr>
            </w:pPr>
          </w:p>
          <w:p w:rsidR="00AA5C8C" w:rsidRPr="00A23740" w:rsidRDefault="005F6587" w:rsidP="009431FF">
            <w:pPr>
              <w:rPr>
                <w:rFonts w:eastAsia="Times New Roman"/>
                <w:szCs w:val="24"/>
                <w:lang w:eastAsia="tr-TR"/>
              </w:rPr>
            </w:pPr>
            <w:r>
              <w:rPr>
                <w:b/>
                <w:color w:val="FF0000"/>
                <w:szCs w:val="24"/>
                <w:lang w:eastAsia="tr-TR"/>
              </w:rPr>
              <w:t>C</w:t>
            </w:r>
            <w:r w:rsidR="00AA5C8C" w:rsidRPr="00A23740">
              <w:rPr>
                <w:b/>
                <w:color w:val="FF0000"/>
                <w:szCs w:val="24"/>
                <w:lang w:eastAsia="tr-TR"/>
              </w:rPr>
              <w:t>3</w:t>
            </w:r>
            <w:r>
              <w:rPr>
                <w:b/>
                <w:color w:val="FF0000"/>
                <w:szCs w:val="24"/>
                <w:lang w:eastAsia="tr-TR"/>
              </w:rPr>
              <w:t>:</w:t>
            </w:r>
            <w:r w:rsidR="00AA5C8C" w:rsidRPr="00A23740">
              <w:rPr>
                <w:szCs w:val="24"/>
                <w:lang w:eastAsia="tr-TR"/>
              </w:rPr>
              <w:t xml:space="preserve"> </w:t>
            </w:r>
            <w:r w:rsidR="00AA5C8C" w:rsidRPr="00A23740">
              <w:rPr>
                <w:rStyle w:val="KIRMIZIChar"/>
                <w:rFonts w:eastAsia="Calibri"/>
              </w:rPr>
              <w:t>Ancak</w:t>
            </w:r>
            <w:r w:rsidR="00AA5C8C" w:rsidRPr="00A23740">
              <w:rPr>
                <w:szCs w:val="24"/>
                <w:lang w:eastAsia="tr-TR"/>
              </w:rPr>
              <w:t xml:space="preserve"> </w:t>
            </w:r>
            <w:r w:rsidR="00AA5C8C" w:rsidRPr="00A23740">
              <w:rPr>
                <w:rStyle w:val="KIRMIZIChar"/>
                <w:rFonts w:eastAsia="Calibri"/>
              </w:rPr>
              <w:t>hususi</w:t>
            </w:r>
            <w:r w:rsidR="00AA5C8C" w:rsidRPr="00A23740">
              <w:rPr>
                <w:szCs w:val="24"/>
                <w:lang w:eastAsia="tr-TR"/>
              </w:rPr>
              <w:t xml:space="preserve"> </w:t>
            </w:r>
            <w:r w:rsidR="00AA5C8C" w:rsidRPr="00A23740">
              <w:rPr>
                <w:rStyle w:val="KIRMIZIChar"/>
                <w:rFonts w:eastAsia="Calibri"/>
              </w:rPr>
              <w:t>mahiyetteki</w:t>
            </w:r>
            <w:r w:rsidR="00AA5C8C" w:rsidRPr="00A23740">
              <w:rPr>
                <w:szCs w:val="24"/>
                <w:lang w:eastAsia="tr-TR"/>
              </w:rPr>
              <w:t xml:space="preserve"> bu ilan resmi </w:t>
            </w:r>
            <w:r w:rsidR="00AA5C8C" w:rsidRPr="00A23740">
              <w:rPr>
                <w:rStyle w:val="KIRMIZIChar"/>
                <w:rFonts w:eastAsia="Calibri"/>
              </w:rPr>
              <w:t>muameleye tesir etmez</w:t>
            </w:r>
            <w:r w:rsidR="00AA5C8C" w:rsidRPr="00A23740">
              <w:rPr>
                <w:szCs w:val="24"/>
                <w:lang w:eastAsia="tr-TR"/>
              </w:rPr>
              <w:t>.</w:t>
            </w:r>
          </w:p>
          <w:p w:rsidR="00AA5C8C" w:rsidRPr="00A23740" w:rsidRDefault="00AA5C8C" w:rsidP="009431FF">
            <w:pPr>
              <w:pStyle w:val="KIRMIZI"/>
              <w:rPr>
                <w:b w:val="0"/>
                <w:lang w:eastAsia="tr-TR"/>
              </w:rPr>
            </w:pPr>
          </w:p>
        </w:tc>
        <w:tc>
          <w:tcPr>
            <w:tcW w:w="2500" w:type="pct"/>
          </w:tcPr>
          <w:p w:rsidR="00AA5C8C" w:rsidRPr="00A23740" w:rsidRDefault="00AA5C8C" w:rsidP="009431FF">
            <w:pPr>
              <w:pStyle w:val="Mavi"/>
            </w:pPr>
            <w:r w:rsidRPr="00A23740">
              <w:t xml:space="preserve">Taraflarca yapılacak özel ilanlar </w:t>
            </w:r>
          </w:p>
          <w:p w:rsidR="00AA5C8C" w:rsidRPr="00A23740" w:rsidRDefault="00AA5C8C" w:rsidP="009431FF">
            <w:pPr>
              <w:pStyle w:val="Mavi"/>
              <w:rPr>
                <w:rFonts w:eastAsia="Times New Roman"/>
              </w:rPr>
            </w:pPr>
            <w:r w:rsidRPr="00A23740">
              <w:t xml:space="preserve">MADDE </w:t>
            </w:r>
            <w:r w:rsidR="0025794C" w:rsidRPr="00A23740">
              <w:rPr>
                <w:lang w:val="tr-TR"/>
              </w:rPr>
              <w:t>2</w:t>
            </w:r>
            <w:r w:rsidR="00396AB6" w:rsidRPr="00A23740">
              <w:rPr>
                <w:lang w:val="tr-TR"/>
              </w:rPr>
              <w:t>30</w:t>
            </w:r>
            <w:r w:rsidRPr="00A23740">
              <w:t>-</w:t>
            </w:r>
            <w:r w:rsidRPr="00A23740">
              <w:rPr>
                <w:rFonts w:eastAsia="Times New Roman"/>
              </w:rPr>
              <w:t xml:space="preserve"> (1) </w:t>
            </w:r>
            <w:r w:rsidRPr="00A23740">
              <w:rPr>
                <w:b w:val="0"/>
                <w:bCs w:val="0"/>
                <w:color w:val="auto"/>
                <w:lang w:val="tr-TR" w:eastAsia="tr-TR"/>
              </w:rPr>
              <w:t xml:space="preserve">İcra </w:t>
            </w:r>
            <w:r w:rsidRPr="00A23740">
              <w:t xml:space="preserve">ve iflas </w:t>
            </w:r>
            <w:r w:rsidRPr="00A23740">
              <w:rPr>
                <w:b w:val="0"/>
                <w:bCs w:val="0"/>
                <w:color w:val="auto"/>
                <w:lang w:val="tr-TR" w:eastAsia="tr-TR"/>
              </w:rPr>
              <w:t xml:space="preserve">dairesince yapılması </w:t>
            </w:r>
            <w:r w:rsidRPr="00A23740">
              <w:t xml:space="preserve">zorunlu olan </w:t>
            </w:r>
            <w:r w:rsidRPr="00A23740">
              <w:rPr>
                <w:b w:val="0"/>
                <w:bCs w:val="0"/>
                <w:color w:val="auto"/>
                <w:lang w:val="tr-TR" w:eastAsia="tr-TR"/>
              </w:rPr>
              <w:t xml:space="preserve">ilanlar dışında, taraflar elektronik satış portalında yer alan ilan metnini, </w:t>
            </w:r>
            <w:r w:rsidRPr="00A23740">
              <w:t>gideri</w:t>
            </w:r>
            <w:r w:rsidRPr="00A23740">
              <w:rPr>
                <w:b w:val="0"/>
                <w:bCs w:val="0"/>
                <w:color w:val="auto"/>
                <w:lang w:val="tr-TR" w:eastAsia="tr-TR"/>
              </w:rPr>
              <w:t xml:space="preserve"> kendilerine ait olmak üzere, diledikleri </w:t>
            </w:r>
            <w:r w:rsidRPr="00A23740">
              <w:t>yöntemlerle</w:t>
            </w:r>
            <w:r w:rsidRPr="00A23740">
              <w:rPr>
                <w:b w:val="0"/>
                <w:bCs w:val="0"/>
                <w:color w:val="auto"/>
                <w:lang w:val="tr-TR" w:eastAsia="tr-TR"/>
              </w:rPr>
              <w:t xml:space="preserve"> ilan</w:t>
            </w:r>
            <w:r w:rsidR="00720EF4" w:rsidRPr="00A23740">
              <w:rPr>
                <w:b w:val="0"/>
                <w:bCs w:val="0"/>
                <w:color w:val="auto"/>
                <w:lang w:val="tr-TR" w:eastAsia="tr-TR"/>
              </w:rPr>
              <w:t xml:space="preserve"> </w:t>
            </w:r>
            <w:r w:rsidR="00720EF4" w:rsidRPr="00A23740">
              <w:rPr>
                <w:rStyle w:val="Balk1Char"/>
                <w:rFonts w:eastAsia="Calibri"/>
                <w:b/>
              </w:rPr>
              <w:t>edebilirler.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177E21" w:rsidRPr="00A23740" w:rsidRDefault="00177E21" w:rsidP="009431FF">
            <w:pPr>
              <w:tabs>
                <w:tab w:val="left" w:pos="567"/>
              </w:tabs>
              <w:rPr>
                <w:rFonts w:eastAsia="Times New Roman"/>
                <w:b/>
                <w:color w:val="0000FF"/>
                <w:szCs w:val="24"/>
                <w:lang w:eastAsia="tr-TR"/>
              </w:rPr>
            </w:pPr>
          </w:p>
          <w:p w:rsidR="00177E21" w:rsidRPr="00A23740" w:rsidRDefault="00177E21" w:rsidP="009431FF">
            <w:pPr>
              <w:tabs>
                <w:tab w:val="left" w:pos="567"/>
              </w:tabs>
              <w:rPr>
                <w:rFonts w:eastAsia="Times New Roman"/>
                <w:b/>
                <w:color w:val="0000FF"/>
                <w:szCs w:val="24"/>
                <w:lang w:eastAsia="tr-TR"/>
              </w:rPr>
            </w:pPr>
          </w:p>
          <w:p w:rsidR="00177E21" w:rsidRPr="00A23740" w:rsidRDefault="00177E21" w:rsidP="009431FF">
            <w:pPr>
              <w:tabs>
                <w:tab w:val="left" w:pos="567"/>
              </w:tabs>
              <w:rPr>
                <w:rFonts w:eastAsia="Times New Roman"/>
                <w:b/>
                <w:color w:val="0000FF"/>
                <w:szCs w:val="24"/>
                <w:lang w:eastAsia="tr-TR"/>
              </w:rPr>
            </w:pPr>
          </w:p>
          <w:p w:rsidR="00177E21" w:rsidRPr="00A23740" w:rsidRDefault="00177E21" w:rsidP="009431FF">
            <w:pPr>
              <w:tabs>
                <w:tab w:val="left" w:pos="567"/>
              </w:tabs>
              <w:rPr>
                <w:rFonts w:eastAsia="Times New Roman"/>
                <w:b/>
                <w:color w:val="0000FF"/>
                <w:szCs w:val="24"/>
                <w:lang w:eastAsia="tr-TR"/>
              </w:rPr>
            </w:pPr>
          </w:p>
          <w:p w:rsidR="00177E21" w:rsidRPr="00A23740" w:rsidRDefault="00177E21"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(2) </w:t>
            </w:r>
            <w:r w:rsidRPr="00A23740">
              <w:rPr>
                <w:rStyle w:val="MaviChar"/>
              </w:rPr>
              <w:t>Özel</w:t>
            </w:r>
            <w:r w:rsidRPr="00A23740">
              <w:rPr>
                <w:szCs w:val="24"/>
                <w:lang w:eastAsia="tr-TR"/>
              </w:rPr>
              <w:t xml:space="preserve"> </w:t>
            </w:r>
            <w:r w:rsidRPr="00A23740">
              <w:rPr>
                <w:rStyle w:val="MaviChar"/>
              </w:rPr>
              <w:t>nitelikteki</w:t>
            </w:r>
            <w:r w:rsidRPr="00A23740">
              <w:rPr>
                <w:szCs w:val="24"/>
                <w:lang w:eastAsia="tr-TR"/>
              </w:rPr>
              <w:t xml:space="preserve"> bu ilan resm</w:t>
            </w:r>
            <w:r w:rsidR="00720EF4" w:rsidRPr="00A23740">
              <w:rPr>
                <w:szCs w:val="24"/>
                <w:lang w:eastAsia="tr-TR"/>
              </w:rPr>
              <w:t>î</w:t>
            </w:r>
            <w:r w:rsidRPr="00A23740">
              <w:rPr>
                <w:szCs w:val="24"/>
                <w:lang w:eastAsia="tr-TR"/>
              </w:rPr>
              <w:t xml:space="preserve"> </w:t>
            </w:r>
            <w:r w:rsidRPr="00A23740">
              <w:rPr>
                <w:rStyle w:val="MaviChar"/>
              </w:rPr>
              <w:t>işlemleri etkilemez</w:t>
            </w:r>
            <w:r w:rsidRPr="00A23740">
              <w:rPr>
                <w:szCs w:val="24"/>
                <w:lang w:eastAsia="tr-TR"/>
              </w:rPr>
              <w:t>.</w:t>
            </w:r>
          </w:p>
          <w:p w:rsidR="00AA5C8C" w:rsidRPr="00A23740" w:rsidRDefault="00AA5C8C" w:rsidP="009431FF">
            <w:pPr>
              <w:tabs>
                <w:tab w:val="left" w:pos="567"/>
              </w:tabs>
              <w:rPr>
                <w:rFonts w:eastAsia="Times New Roman"/>
                <w:b/>
                <w:color w:val="0000FF"/>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7409FD" w:rsidRPr="00A23740" w:rsidRDefault="007409FD"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w:t>
            </w:r>
            <w:r w:rsidR="00396AB6" w:rsidRPr="00A23740">
              <w:rPr>
                <w:rFonts w:eastAsia="Times New Roman"/>
                <w:b/>
                <w:color w:val="000000"/>
                <w:szCs w:val="24"/>
                <w:lang w:eastAsia="tr-TR"/>
              </w:rPr>
              <w:t>30</w:t>
            </w:r>
            <w:r w:rsidRPr="00A23740">
              <w:rPr>
                <w:rFonts w:eastAsia="Times New Roman"/>
                <w:color w:val="000000"/>
                <w:szCs w:val="24"/>
                <w:lang w:eastAsia="tr-TR"/>
              </w:rPr>
              <w:t>- Maddeyle, taraflarca yapılacak özel ilanlara dair esaslar düzenlenmektedir. Hüküm, 2004 sayılı Kanunun 114 üncü maddesinin beşinci fıkrasının ikinci ve üçüncü cümlelerine karşılık gelmektedir.</w:t>
            </w:r>
          </w:p>
          <w:p w:rsidR="007409FD" w:rsidRPr="00A23740" w:rsidRDefault="007409FD" w:rsidP="009431FF">
            <w:pPr>
              <w:ind w:firstLine="709"/>
              <w:rPr>
                <w:rStyle w:val="Balk1Char"/>
                <w:rFonts w:eastAsia="Calibri"/>
              </w:rPr>
            </w:pPr>
            <w:r w:rsidRPr="00A23740">
              <w:rPr>
                <w:rFonts w:eastAsia="Times New Roman"/>
                <w:color w:val="000000"/>
                <w:szCs w:val="24"/>
                <w:lang w:eastAsia="tr-TR"/>
              </w:rPr>
              <w:t>Birinci fıkrayla, icra ve iflas dairesince yapılması zorunlu olan ilanlar dışında, tarafların elektronik satış portalında yer alan ilan metnini, gideri kendilerine ait olmak üzere, diledikleri yöntemlerle ilan edilebilecekleri hükme bağlanmaktadır.</w:t>
            </w:r>
            <w:r w:rsidR="00D23946" w:rsidRPr="00A23740">
              <w:rPr>
                <w:rFonts w:eastAsia="Times New Roman"/>
                <w:color w:val="000000"/>
                <w:szCs w:val="24"/>
                <w:lang w:eastAsia="tr-TR"/>
              </w:rPr>
              <w:t xml:space="preserve"> Taslak uyarınca ilanın elektronik satış portalında veya gazetede yapılması kabul edildiğinden</w:t>
            </w:r>
            <w:r w:rsidR="00720EF4" w:rsidRPr="00D60C1D">
              <w:rPr>
                <w:rStyle w:val="Balk1Char"/>
                <w:rFonts w:eastAsia="Calibri"/>
                <w:b w:val="0"/>
                <w:color w:val="000000"/>
              </w:rPr>
              <w:t>,</w:t>
            </w:r>
            <w:r w:rsidR="00D23946" w:rsidRPr="00A23740">
              <w:rPr>
                <w:rFonts w:eastAsia="Times New Roman"/>
                <w:color w:val="000000"/>
                <w:szCs w:val="24"/>
                <w:lang w:eastAsia="tr-TR"/>
              </w:rPr>
              <w:t xml:space="preserve"> 7418 sayılı Kanunla 2004 sayılı Kanunun 114 üncü maddesinde yapılan ilan usulüne ilişkin değişiklikler maddeye</w:t>
            </w:r>
            <w:r w:rsidRPr="00A23740">
              <w:rPr>
                <w:rFonts w:eastAsia="Times New Roman"/>
                <w:color w:val="000000"/>
                <w:szCs w:val="24"/>
                <w:lang w:eastAsia="tr-TR"/>
              </w:rPr>
              <w:t xml:space="preserve"> </w:t>
            </w:r>
            <w:r w:rsidR="00720EF4" w:rsidRPr="00D60C1D">
              <w:rPr>
                <w:rStyle w:val="Balk1Char"/>
                <w:rFonts w:eastAsia="Calibri"/>
                <w:b w:val="0"/>
                <w:color w:val="000000"/>
              </w:rPr>
              <w:t>alınmamıştır.</w:t>
            </w:r>
          </w:p>
          <w:p w:rsidR="009A2F56" w:rsidRPr="00A23740" w:rsidRDefault="007409FD" w:rsidP="001971CE">
            <w:pPr>
              <w:ind w:firstLine="709"/>
              <w:rPr>
                <w:rFonts w:eastAsia="Times New Roman"/>
                <w:color w:val="000000"/>
                <w:szCs w:val="24"/>
                <w:lang w:eastAsia="tr-TR"/>
              </w:rPr>
            </w:pPr>
            <w:r w:rsidRPr="00A23740">
              <w:rPr>
                <w:rFonts w:eastAsia="Times New Roman"/>
                <w:color w:val="000000"/>
                <w:szCs w:val="24"/>
                <w:lang w:eastAsia="tr-TR"/>
              </w:rPr>
              <w:t>İkinci fıkrayla,</w:t>
            </w:r>
            <w:r w:rsidR="00177E21" w:rsidRPr="00A23740">
              <w:rPr>
                <w:rFonts w:eastAsia="Times New Roman"/>
                <w:color w:val="000000"/>
                <w:szCs w:val="24"/>
                <w:lang w:eastAsia="tr-TR"/>
              </w:rPr>
              <w:t xml:space="preserve"> birinci fıkra kapsamında yapılan</w:t>
            </w:r>
            <w:r w:rsidRPr="00A23740">
              <w:rPr>
                <w:rFonts w:eastAsia="Times New Roman"/>
                <w:color w:val="000000"/>
                <w:szCs w:val="24"/>
                <w:lang w:eastAsia="tr-TR"/>
              </w:rPr>
              <w:t xml:space="preserve"> özel nitelikteki bu ilanın resm</w:t>
            </w:r>
            <w:r w:rsidR="00720EF4" w:rsidRPr="00A23740">
              <w:rPr>
                <w:rFonts w:eastAsia="Times New Roman"/>
                <w:color w:val="000000"/>
                <w:szCs w:val="24"/>
                <w:lang w:eastAsia="tr-TR"/>
              </w:rPr>
              <w:t>î</w:t>
            </w:r>
            <w:r w:rsidRPr="00A23740">
              <w:rPr>
                <w:rFonts w:eastAsia="Times New Roman"/>
                <w:color w:val="000000"/>
                <w:szCs w:val="24"/>
                <w:lang w:eastAsia="tr-TR"/>
              </w:rPr>
              <w:t xml:space="preserve"> işlemleri etkilemeyeceği vurgulanmaktadır. </w:t>
            </w: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Artırma hazırlık tedbirleri:</w:t>
            </w:r>
          </w:p>
          <w:p w:rsidR="00D23946" w:rsidRPr="00A23740" w:rsidRDefault="00AA5C8C" w:rsidP="009431FF">
            <w:pPr>
              <w:pStyle w:val="KIRMIZI"/>
              <w:rPr>
                <w:lang w:eastAsia="tr-TR"/>
              </w:rPr>
            </w:pPr>
            <w:r w:rsidRPr="00A23740">
              <w:t xml:space="preserve">Madde 114 – </w:t>
            </w:r>
            <w:r w:rsidR="00D23946" w:rsidRPr="00A23740">
              <w:rPr>
                <w:rStyle w:val="KIRMIZIChar"/>
                <w:rFonts w:eastAsia="Calibri"/>
                <w:b/>
                <w:bCs/>
                <w:strike/>
              </w:rPr>
              <w:t>…</w:t>
            </w:r>
          </w:p>
          <w:p w:rsidR="00AA5C8C" w:rsidRPr="00A23740" w:rsidRDefault="00AA5C8C" w:rsidP="009431FF">
            <w:pPr>
              <w:rPr>
                <w:rFonts w:eastAsia="Times New Roman"/>
                <w:b/>
                <w:szCs w:val="24"/>
                <w:lang w:eastAsia="tr-TR"/>
              </w:rPr>
            </w:pPr>
            <w:r w:rsidRPr="00A23740">
              <w:rPr>
                <w:rStyle w:val="KIRMIZIChar"/>
                <w:rFonts w:eastAsia="Calibri"/>
                <w:lang w:eastAsia="tr-TR"/>
              </w:rPr>
              <w:t>(6)</w:t>
            </w:r>
            <w:r w:rsidRPr="00A23740">
              <w:rPr>
                <w:szCs w:val="24"/>
                <w:lang w:eastAsia="tr-TR"/>
              </w:rPr>
              <w:t xml:space="preserve"> </w:t>
            </w:r>
            <w:r w:rsidR="00D23946" w:rsidRPr="00A23740">
              <w:rPr>
                <w:szCs w:val="24"/>
                <w:lang w:eastAsia="tr-TR"/>
              </w:rPr>
              <w:t>İlan edilen metinler arasında farklılık bulunması hâlinde elektronik satış portalında ilan edilen metin esas alınır. </w:t>
            </w:r>
            <w:r w:rsidR="00D23946" w:rsidRPr="00A23740">
              <w:rPr>
                <w:rStyle w:val="KIRMIZIChar"/>
                <w:rFonts w:eastAsia="Calibri"/>
                <w:lang w:eastAsia="tr-TR"/>
              </w:rPr>
              <w:t>(Değişik ikinci cümle: 13/10/2022 -7418/25 md.) Şu kadar ki,</w:t>
            </w:r>
            <w:r w:rsidR="00D23946" w:rsidRPr="00A23740">
              <w:rPr>
                <w:szCs w:val="24"/>
                <w:lang w:eastAsia="tr-TR"/>
              </w:rPr>
              <w:t xml:space="preserve"> gazetede</w:t>
            </w:r>
            <w:r w:rsidR="00D23946" w:rsidRPr="00A23740">
              <w:rPr>
                <w:rStyle w:val="KIRMIZIChar"/>
                <w:rFonts w:eastAsia="Calibri"/>
                <w:lang w:eastAsia="tr-TR"/>
              </w:rPr>
              <w:t>, internet haber sitesinde,</w:t>
            </w:r>
            <w:r w:rsidR="00D23946" w:rsidRPr="00A23740">
              <w:rPr>
                <w:rStyle w:val="KIRMIZIChar"/>
                <w:rFonts w:eastAsia="Calibri"/>
                <w:strike w:val="0"/>
                <w:lang w:eastAsia="tr-TR"/>
              </w:rPr>
              <w:t xml:space="preserve"> </w:t>
            </w:r>
            <w:r w:rsidR="00D23946" w:rsidRPr="00A23740">
              <w:rPr>
                <w:szCs w:val="24"/>
                <w:lang w:eastAsia="tr-TR"/>
              </w:rPr>
              <w:t>elektronik satış portalında </w:t>
            </w:r>
            <w:r w:rsidR="00D23946" w:rsidRPr="00A23740">
              <w:rPr>
                <w:rStyle w:val="KIRMIZIChar"/>
                <w:rFonts w:eastAsia="Calibri"/>
                <w:lang w:eastAsia="tr-TR"/>
              </w:rPr>
              <w:t>veya Basın İlân Kurumu İlan Portalında</w:t>
            </w:r>
            <w:r w:rsidR="00D23946" w:rsidRPr="00A23740">
              <w:rPr>
                <w:szCs w:val="24"/>
                <w:lang w:eastAsia="tr-TR"/>
              </w:rPr>
              <w:t> ilanı yapılan metindeki hatalar, ihale tarihi değiştirilmeksizin sadece elektronik satış portalında </w:t>
            </w:r>
            <w:r w:rsidR="00D23946" w:rsidRPr="00A23740">
              <w:rPr>
                <w:rStyle w:val="KIRMIZIChar"/>
                <w:rFonts w:eastAsia="Calibri"/>
                <w:lang w:eastAsia="tr-TR"/>
              </w:rPr>
              <w:t>ilanen</w:t>
            </w:r>
            <w:r w:rsidR="00D23946" w:rsidRPr="00A23740">
              <w:rPr>
                <w:szCs w:val="24"/>
                <w:lang w:eastAsia="tr-TR"/>
              </w:rPr>
              <w:t xml:space="preserve"> düzeltilir. Bu düzeltme ilanı ilgililere ayrıca tebliğ edilmez.</w:t>
            </w:r>
          </w:p>
        </w:tc>
        <w:tc>
          <w:tcPr>
            <w:tcW w:w="2500" w:type="pct"/>
          </w:tcPr>
          <w:p w:rsidR="00AA5C8C" w:rsidRPr="00A23740" w:rsidRDefault="00AA5C8C" w:rsidP="009431FF">
            <w:pPr>
              <w:pStyle w:val="Mavi"/>
            </w:pPr>
            <w:r w:rsidRPr="00A23740">
              <w:t>İlan metinleri arasındaki farklılıklar ve ilanlardaki hatalar</w:t>
            </w:r>
          </w:p>
          <w:p w:rsidR="00AA5C8C" w:rsidRPr="00A23740" w:rsidRDefault="00AA5C8C" w:rsidP="009431FF">
            <w:pPr>
              <w:pStyle w:val="Mavi"/>
            </w:pPr>
            <w:r w:rsidRPr="00A23740">
              <w:t xml:space="preserve">MADDE </w:t>
            </w:r>
            <w:r w:rsidR="00396AB6" w:rsidRPr="00A23740">
              <w:rPr>
                <w:lang w:val="tr-TR"/>
              </w:rPr>
              <w:t>231</w:t>
            </w:r>
            <w:r w:rsidRPr="00A23740">
              <w:t xml:space="preserve">- </w:t>
            </w:r>
            <w:r w:rsidRPr="00A23740">
              <w:rPr>
                <w:rFonts w:eastAsia="Times New Roman"/>
              </w:rPr>
              <w:t xml:space="preserve">(1) Yapılan </w:t>
            </w:r>
            <w:r w:rsidRPr="00A23740">
              <w:rPr>
                <w:b w:val="0"/>
                <w:bCs w:val="0"/>
                <w:color w:val="auto"/>
                <w:lang w:val="tr-TR" w:eastAsia="tr-TR"/>
              </w:rPr>
              <w:t>ilan</w:t>
            </w:r>
            <w:r w:rsidRPr="00A23740">
              <w:rPr>
                <w:rFonts w:eastAsia="Times New Roman"/>
              </w:rPr>
              <w:t xml:space="preserve">lar </w:t>
            </w:r>
            <w:r w:rsidRPr="00A23740">
              <w:rPr>
                <w:b w:val="0"/>
                <w:bCs w:val="0"/>
                <w:color w:val="auto"/>
                <w:lang w:val="tr-TR" w:eastAsia="tr-TR"/>
              </w:rPr>
              <w:t>arasında farklılık bulunması h</w:t>
            </w:r>
            <w:r w:rsidR="00720EF4" w:rsidRPr="00A23740">
              <w:rPr>
                <w:b w:val="0"/>
                <w:bCs w:val="0"/>
                <w:color w:val="auto"/>
                <w:lang w:val="tr-TR" w:eastAsia="tr-TR"/>
              </w:rPr>
              <w:t>â</w:t>
            </w:r>
            <w:r w:rsidRPr="00A23740">
              <w:rPr>
                <w:b w:val="0"/>
                <w:bCs w:val="0"/>
                <w:color w:val="auto"/>
                <w:lang w:val="tr-TR" w:eastAsia="tr-TR"/>
              </w:rPr>
              <w:t>linde</w:t>
            </w:r>
            <w:r w:rsidR="00720EF4" w:rsidRPr="00A23740">
              <w:rPr>
                <w:rStyle w:val="Balk1Char"/>
                <w:rFonts w:eastAsia="Calibri"/>
              </w:rPr>
              <w:t>,</w:t>
            </w:r>
            <w:r w:rsidRPr="00A23740">
              <w:rPr>
                <w:b w:val="0"/>
                <w:bCs w:val="0"/>
                <w:color w:val="auto"/>
                <w:lang w:val="tr-TR" w:eastAsia="tr-TR"/>
              </w:rPr>
              <w:t xml:space="preserve"> elektronik satış portalında ilan edilen metin esas alınır.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(2) </w:t>
            </w:r>
            <w:r w:rsidRPr="00A23740">
              <w:rPr>
                <w:szCs w:val="24"/>
                <w:lang w:eastAsia="tr-TR"/>
              </w:rPr>
              <w:t xml:space="preserve">Gazetede </w:t>
            </w:r>
            <w:r w:rsidRPr="00A23740">
              <w:rPr>
                <w:rStyle w:val="MaviChar"/>
              </w:rPr>
              <w:t>veya</w:t>
            </w:r>
            <w:r w:rsidRPr="00A23740">
              <w:rPr>
                <w:szCs w:val="24"/>
                <w:lang w:eastAsia="tr-TR"/>
              </w:rPr>
              <w:t xml:space="preserve"> elektronik satış portalında ilanı yapılan metindeki hatalar, ihale tarihi değiştirilmeksizin sadece elektronik satış portalında </w:t>
            </w:r>
            <w:r w:rsidRPr="00A23740">
              <w:rPr>
                <w:rStyle w:val="MaviChar"/>
              </w:rPr>
              <w:t>ilan yoluyla</w:t>
            </w:r>
            <w:r w:rsidRPr="00A23740">
              <w:rPr>
                <w:szCs w:val="24"/>
                <w:lang w:eastAsia="tr-TR"/>
              </w:rPr>
              <w:t xml:space="preserve"> düzeltilir. Bu düzeltme ilanı ilgililere ayrıca tebliğ edilmez.</w:t>
            </w:r>
          </w:p>
          <w:p w:rsidR="00AA5C8C" w:rsidRPr="00A23740" w:rsidRDefault="00AA5C8C" w:rsidP="009431FF">
            <w:pPr>
              <w:tabs>
                <w:tab w:val="left" w:pos="567"/>
              </w:tabs>
              <w:rPr>
                <w:rFonts w:eastAsia="Times New Roman"/>
                <w:b/>
                <w:color w:val="0000FF"/>
                <w:szCs w:val="24"/>
                <w:lang w:eastAsia="tr-TR"/>
              </w:rPr>
            </w:pPr>
          </w:p>
          <w:p w:rsidR="00D23946" w:rsidRPr="00A23740" w:rsidRDefault="00D23946" w:rsidP="009431FF">
            <w:pPr>
              <w:tabs>
                <w:tab w:val="left" w:pos="567"/>
              </w:tabs>
              <w:rPr>
                <w:rFonts w:eastAsia="Times New Roman"/>
                <w:b/>
                <w:color w:val="0000FF"/>
                <w:szCs w:val="24"/>
                <w:lang w:eastAsia="tr-TR"/>
              </w:rPr>
            </w:pPr>
          </w:p>
        </w:tc>
      </w:tr>
      <w:tr w:rsidR="009A2F56" w:rsidRPr="00A23740" w:rsidTr="009431FF">
        <w:tblPrEx>
          <w:tblLook w:val="01E0" w:firstRow="1" w:lastRow="1" w:firstColumn="1" w:lastColumn="1" w:noHBand="0" w:noVBand="0"/>
        </w:tblPrEx>
        <w:tc>
          <w:tcPr>
            <w:tcW w:w="5000" w:type="pct"/>
            <w:gridSpan w:val="2"/>
            <w:shd w:val="clear" w:color="auto" w:fill="DEEAF6"/>
          </w:tcPr>
          <w:p w:rsidR="009A2F56" w:rsidRPr="00A23740" w:rsidRDefault="009A2F56" w:rsidP="009431FF">
            <w:pPr>
              <w:ind w:firstLine="709"/>
              <w:rPr>
                <w:rFonts w:eastAsia="Times New Roman"/>
                <w:color w:val="000000"/>
                <w:szCs w:val="24"/>
                <w:lang w:eastAsia="tr-TR"/>
              </w:rPr>
            </w:pPr>
          </w:p>
          <w:p w:rsidR="007409FD" w:rsidRPr="00A23740" w:rsidRDefault="007409FD"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396AB6" w:rsidRPr="00A23740">
              <w:rPr>
                <w:rFonts w:eastAsia="Times New Roman"/>
                <w:b/>
                <w:color w:val="000000"/>
                <w:szCs w:val="24"/>
                <w:lang w:eastAsia="tr-TR"/>
              </w:rPr>
              <w:t>231</w:t>
            </w:r>
            <w:r w:rsidRPr="00A23740">
              <w:rPr>
                <w:rFonts w:eastAsia="Times New Roman"/>
                <w:color w:val="000000"/>
                <w:szCs w:val="24"/>
                <w:lang w:eastAsia="tr-TR"/>
              </w:rPr>
              <w:t xml:space="preserve">- Maddeyle, ilan metinleri arasında farklılık </w:t>
            </w:r>
            <w:r w:rsidR="003F2639" w:rsidRPr="00A23740">
              <w:rPr>
                <w:rFonts w:eastAsia="Times New Roman"/>
                <w:color w:val="000000"/>
                <w:szCs w:val="24"/>
                <w:lang w:eastAsia="tr-TR"/>
              </w:rPr>
              <w:t xml:space="preserve">ya da </w:t>
            </w:r>
            <w:r w:rsidRPr="00A23740">
              <w:rPr>
                <w:rFonts w:eastAsia="Times New Roman"/>
                <w:color w:val="000000"/>
                <w:szCs w:val="24"/>
                <w:lang w:eastAsia="tr-TR"/>
              </w:rPr>
              <w:t>ilanda hata bulunması h</w:t>
            </w:r>
            <w:r w:rsidR="00720EF4" w:rsidRPr="00A23740">
              <w:rPr>
                <w:rFonts w:eastAsia="Times New Roman"/>
                <w:color w:val="000000"/>
                <w:szCs w:val="24"/>
                <w:lang w:eastAsia="tr-TR"/>
              </w:rPr>
              <w:t>â</w:t>
            </w:r>
            <w:r w:rsidRPr="00A23740">
              <w:rPr>
                <w:rFonts w:eastAsia="Times New Roman"/>
                <w:color w:val="000000"/>
                <w:szCs w:val="24"/>
                <w:lang w:eastAsia="tr-TR"/>
              </w:rPr>
              <w:t>linde yapılacaklar düzenlenmektedir. Hüküm, 2004 sayılı Kanunun 114 üncü maddesinin altıncı fıkrasına karşılık gelmektedir.</w:t>
            </w:r>
          </w:p>
          <w:p w:rsidR="007409FD" w:rsidRPr="00A23740" w:rsidRDefault="007409FD" w:rsidP="009431FF">
            <w:pPr>
              <w:ind w:firstLine="709"/>
              <w:rPr>
                <w:rFonts w:eastAsia="Times New Roman"/>
                <w:color w:val="000000"/>
                <w:szCs w:val="24"/>
                <w:lang w:eastAsia="tr-TR"/>
              </w:rPr>
            </w:pPr>
            <w:r w:rsidRPr="00A23740">
              <w:rPr>
                <w:rFonts w:eastAsia="Times New Roman"/>
                <w:color w:val="000000"/>
                <w:szCs w:val="24"/>
                <w:lang w:eastAsia="tr-TR"/>
              </w:rPr>
              <w:t>Birinci fıkrayla, yapılan il</w:t>
            </w:r>
            <w:r w:rsidR="00930910" w:rsidRPr="00A23740">
              <w:rPr>
                <w:rFonts w:eastAsia="Times New Roman"/>
                <w:color w:val="000000"/>
                <w:szCs w:val="24"/>
                <w:lang w:eastAsia="tr-TR"/>
              </w:rPr>
              <w:t>a</w:t>
            </w:r>
            <w:r w:rsidRPr="00A23740">
              <w:rPr>
                <w:rFonts w:eastAsia="Times New Roman"/>
                <w:color w:val="000000"/>
                <w:szCs w:val="24"/>
                <w:lang w:eastAsia="tr-TR"/>
              </w:rPr>
              <w:t>nlar arasında farklılık bulunması h</w:t>
            </w:r>
            <w:r w:rsidR="00720EF4" w:rsidRPr="00A23740">
              <w:rPr>
                <w:rFonts w:eastAsia="Times New Roman"/>
                <w:color w:val="000000"/>
                <w:szCs w:val="24"/>
                <w:lang w:eastAsia="tr-TR"/>
              </w:rPr>
              <w:t>â</w:t>
            </w:r>
            <w:r w:rsidRPr="00A23740">
              <w:rPr>
                <w:rFonts w:eastAsia="Times New Roman"/>
                <w:color w:val="000000"/>
                <w:szCs w:val="24"/>
                <w:lang w:eastAsia="tr-TR"/>
              </w:rPr>
              <w:t>linde, elektronik satış portalında ilan edilen metnin esas alınacağı kabul edilmektedir.</w:t>
            </w:r>
            <w:r w:rsidR="00D23946" w:rsidRPr="00A23740">
              <w:rPr>
                <w:rFonts w:eastAsia="Times New Roman"/>
                <w:color w:val="000000"/>
                <w:szCs w:val="24"/>
                <w:lang w:eastAsia="tr-TR"/>
              </w:rPr>
              <w:t xml:space="preserve"> Taslak uyarınca ilanın elektronik satış portalında veya gazetede yapılması kabul edildiğinden</w:t>
            </w:r>
            <w:r w:rsidR="003F2639" w:rsidRPr="00A23740">
              <w:rPr>
                <w:rFonts w:eastAsia="Times New Roman"/>
                <w:color w:val="000000"/>
                <w:szCs w:val="24"/>
                <w:lang w:eastAsia="tr-TR"/>
              </w:rPr>
              <w:t>,</w:t>
            </w:r>
            <w:r w:rsidR="00D23946" w:rsidRPr="00A23740">
              <w:rPr>
                <w:rFonts w:eastAsia="Times New Roman"/>
                <w:color w:val="000000"/>
                <w:szCs w:val="24"/>
                <w:lang w:eastAsia="tr-TR"/>
              </w:rPr>
              <w:t xml:space="preserve"> 7418 sayılı Kanunla 2004 sayılı Kanunun 114 üncü maddesinde yapılan ilan usulüne ilişkin değişiklikler maddeye alınmamaktadır.</w:t>
            </w:r>
          </w:p>
          <w:p w:rsidR="007409FD" w:rsidRPr="00A23740" w:rsidRDefault="007409FD" w:rsidP="009431FF">
            <w:pPr>
              <w:ind w:firstLine="709"/>
              <w:rPr>
                <w:rFonts w:eastAsia="Times New Roman"/>
                <w:color w:val="000000"/>
                <w:szCs w:val="24"/>
                <w:lang w:eastAsia="tr-TR"/>
              </w:rPr>
            </w:pPr>
            <w:r w:rsidRPr="00A23740">
              <w:rPr>
                <w:rFonts w:eastAsia="Times New Roman"/>
                <w:color w:val="000000"/>
                <w:szCs w:val="24"/>
                <w:lang w:eastAsia="tr-TR"/>
              </w:rPr>
              <w:t>İkinci fıkrayla, g</w:t>
            </w:r>
            <w:r w:rsidRPr="00A23740">
              <w:rPr>
                <w:szCs w:val="24"/>
                <w:lang w:eastAsia="tr-TR"/>
              </w:rPr>
              <w:t xml:space="preserve">azetede veya elektronik satış portalında ilanı yapılan metinlerdeki hataların nasıl düzeltileceği hükme bağlanmaktadır. Buna göre, gazetede veya elektronik satış portalında ilanı yapılan metindeki hatalar, ihale tarihi değiştirilmeksizin sadece elektronik satış portalında </w:t>
            </w:r>
            <w:r w:rsidRPr="00A23740">
              <w:rPr>
                <w:rFonts w:eastAsia="Times New Roman"/>
                <w:color w:val="000000"/>
                <w:szCs w:val="24"/>
                <w:lang w:eastAsia="tr-TR"/>
              </w:rPr>
              <w:t>ilan yoluyla</w:t>
            </w:r>
            <w:r w:rsidRPr="00A23740">
              <w:rPr>
                <w:szCs w:val="24"/>
                <w:lang w:eastAsia="tr-TR"/>
              </w:rPr>
              <w:t xml:space="preserve"> düzeltilir. Bu düzeltme ilanı ilgililere ayrıca tebliğ edilmez.</w:t>
            </w:r>
          </w:p>
          <w:p w:rsidR="009A2F56" w:rsidRPr="00A23740" w:rsidRDefault="009A2F56" w:rsidP="001971CE">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3F10EF">
            <w:pPr>
              <w:pStyle w:val="KIRMIZI"/>
              <w:widowControl w:val="0"/>
              <w:rPr>
                <w:lang w:val="tr-TR"/>
              </w:rPr>
            </w:pPr>
            <w:r w:rsidRPr="00A23740">
              <w:rPr>
                <w:lang w:val="tr-TR"/>
              </w:rPr>
              <w:t>Ayrıca tebliğler:</w:t>
            </w:r>
          </w:p>
          <w:p w:rsidR="00AA5C8C" w:rsidRPr="00A23740" w:rsidRDefault="00AA5C8C" w:rsidP="003F10EF">
            <w:pPr>
              <w:pStyle w:val="KIRMIZI"/>
              <w:widowControl w:val="0"/>
              <w:rPr>
                <w:lang w:val="tr-TR"/>
              </w:rPr>
            </w:pPr>
            <w:r w:rsidRPr="00A23740">
              <w:rPr>
                <w:lang w:val="tr-TR"/>
              </w:rPr>
              <w:t>Madde 127 – (1) (Değişik: 2/7/2012-6352/30 md.)</w:t>
            </w:r>
          </w:p>
          <w:p w:rsidR="00AA5C8C" w:rsidRPr="00A23740" w:rsidRDefault="00AA5C8C" w:rsidP="003F10EF">
            <w:pPr>
              <w:widowControl w:val="0"/>
              <w:tabs>
                <w:tab w:val="left" w:pos="567"/>
              </w:tabs>
              <w:rPr>
                <w:rFonts w:eastAsia="Times New Roman"/>
                <w:color w:val="000000"/>
                <w:szCs w:val="24"/>
                <w:lang w:eastAsia="tr-TR"/>
              </w:rPr>
            </w:pPr>
            <w:r w:rsidRPr="00A23740">
              <w:rPr>
                <w:rFonts w:eastAsia="Times New Roman"/>
                <w:b/>
                <w:bCs/>
                <w:strike/>
                <w:color w:val="FF0000"/>
                <w:szCs w:val="24"/>
                <w:lang w:eastAsia="x-none"/>
              </w:rPr>
              <w:t>İlanın birer sureti</w:t>
            </w:r>
            <w:r w:rsidRPr="00A23740">
              <w:rPr>
                <w:rFonts w:eastAsia="Times New Roman"/>
                <w:color w:val="000000"/>
                <w:szCs w:val="24"/>
                <w:lang w:eastAsia="tr-TR"/>
              </w:rPr>
              <w:t xml:space="preserve"> borçluya </w:t>
            </w:r>
            <w:r w:rsidRPr="00A23740">
              <w:rPr>
                <w:rFonts w:eastAsia="Times New Roman"/>
                <w:b/>
                <w:bCs/>
                <w:strike/>
                <w:color w:val="FF0000"/>
                <w:szCs w:val="24"/>
                <w:lang w:eastAsia="x-none"/>
              </w:rPr>
              <w:t>ve</w:t>
            </w:r>
            <w:r w:rsidRPr="00A23740">
              <w:rPr>
                <w:rFonts w:eastAsia="Times New Roman"/>
                <w:color w:val="000000"/>
                <w:szCs w:val="24"/>
                <w:lang w:eastAsia="tr-TR"/>
              </w:rPr>
              <w:t xml:space="preserve"> alacaklıya ve </w:t>
            </w:r>
            <w:r w:rsidRPr="00A23740">
              <w:rPr>
                <w:rFonts w:eastAsia="Times New Roman"/>
                <w:b/>
                <w:bCs/>
                <w:strike/>
                <w:color w:val="FF0000"/>
                <w:szCs w:val="24"/>
                <w:lang w:eastAsia="x-none"/>
              </w:rPr>
              <w:t>taşınmazın tapu</w:t>
            </w:r>
            <w:r w:rsidRPr="00A23740">
              <w:rPr>
                <w:rFonts w:eastAsia="Times New Roman"/>
                <w:color w:val="000000"/>
                <w:szCs w:val="24"/>
                <w:lang w:eastAsia="tr-TR"/>
              </w:rPr>
              <w:t xml:space="preserve"> sicil</w:t>
            </w:r>
            <w:r w:rsidRPr="00A23740">
              <w:rPr>
                <w:rFonts w:eastAsia="Times New Roman"/>
                <w:b/>
                <w:bCs/>
                <w:strike/>
                <w:color w:val="FF0000"/>
                <w:szCs w:val="24"/>
                <w:lang w:eastAsia="x-none"/>
              </w:rPr>
              <w:t>ine</w:t>
            </w:r>
            <w:r w:rsidRPr="00A23740">
              <w:rPr>
                <w:rFonts w:eastAsia="Times New Roman"/>
                <w:color w:val="000000"/>
                <w:szCs w:val="24"/>
                <w:lang w:eastAsia="tr-TR"/>
              </w:rPr>
              <w:t xml:space="preserve"> kayıtlı bulunan ilgililerin</w:t>
            </w:r>
            <w:r w:rsidRPr="00A23740">
              <w:rPr>
                <w:rFonts w:eastAsia="Times New Roman"/>
                <w:b/>
                <w:bCs/>
                <w:strike/>
                <w:color w:val="FF0000"/>
                <w:szCs w:val="24"/>
                <w:lang w:eastAsia="x-none"/>
              </w:rPr>
              <w:t>in tapuda kayıtlı adresleri varsa bu adreslerine</w:t>
            </w:r>
            <w:r w:rsidRPr="00A23740">
              <w:rPr>
                <w:rFonts w:eastAsia="Times New Roman"/>
                <w:color w:val="000000"/>
                <w:szCs w:val="24"/>
                <w:lang w:eastAsia="tr-TR"/>
              </w:rPr>
              <w:t xml:space="preserve"> tebliğ </w:t>
            </w:r>
            <w:r w:rsidRPr="00A23740">
              <w:rPr>
                <w:rFonts w:eastAsia="Times New Roman"/>
                <w:b/>
                <w:bCs/>
                <w:strike/>
                <w:color w:val="FF0000"/>
                <w:szCs w:val="24"/>
                <w:lang w:eastAsia="x-none"/>
              </w:rPr>
              <w:t>olunur</w:t>
            </w:r>
            <w:r w:rsidRPr="00A23740">
              <w:rPr>
                <w:rFonts w:eastAsia="Times New Roman"/>
                <w:color w:val="000000"/>
                <w:szCs w:val="24"/>
                <w:lang w:eastAsia="tr-TR"/>
              </w:rPr>
              <w:t xml:space="preserve">. </w:t>
            </w:r>
            <w:r w:rsidRPr="00A23740">
              <w:rPr>
                <w:rFonts w:eastAsia="Times New Roman"/>
                <w:b/>
                <w:bCs/>
                <w:strike/>
                <w:color w:val="FF0000"/>
                <w:szCs w:val="24"/>
                <w:lang w:eastAsia="x-none"/>
              </w:rPr>
              <w:t>Adresin tapuda</w:t>
            </w:r>
            <w:r w:rsidRPr="00A23740">
              <w:rPr>
                <w:rFonts w:eastAsia="Times New Roman"/>
                <w:color w:val="000000"/>
                <w:szCs w:val="24"/>
                <w:lang w:eastAsia="tr-TR"/>
              </w:rPr>
              <w:t xml:space="preserve"> kayıtlı </w:t>
            </w:r>
            <w:r w:rsidRPr="00A23740">
              <w:rPr>
                <w:rFonts w:eastAsia="Times New Roman"/>
                <w:b/>
                <w:bCs/>
                <w:strike/>
                <w:color w:val="FF0000"/>
                <w:szCs w:val="24"/>
                <w:lang w:eastAsia="x-none"/>
              </w:rPr>
              <w:t>olmaması hâlinde,</w:t>
            </w:r>
            <w:r w:rsidRPr="00A23740">
              <w:rPr>
                <w:rFonts w:eastAsia="Times New Roman"/>
                <w:color w:val="000000"/>
                <w:szCs w:val="24"/>
                <w:lang w:eastAsia="tr-TR"/>
              </w:rPr>
              <w:t xml:space="preserve"> </w:t>
            </w:r>
            <w:r w:rsidRPr="00A23740">
              <w:rPr>
                <w:rFonts w:eastAsia="Times New Roman"/>
                <w:b/>
                <w:bCs/>
                <w:strike/>
                <w:color w:val="FF0000"/>
                <w:szCs w:val="24"/>
                <w:lang w:eastAsia="x-none"/>
              </w:rPr>
              <w:t>varsa</w:t>
            </w:r>
            <w:r w:rsidRPr="00A23740">
              <w:rPr>
                <w:rFonts w:eastAsia="Times New Roman"/>
                <w:color w:val="000000"/>
                <w:szCs w:val="24"/>
                <w:lang w:eastAsia="tr-TR"/>
              </w:rPr>
              <w:t xml:space="preserve"> adres kayıt sisteminde</w:t>
            </w:r>
            <w:r w:rsidRPr="00A23740">
              <w:rPr>
                <w:rFonts w:eastAsia="Times New Roman"/>
                <w:b/>
                <w:bCs/>
                <w:strike/>
                <w:color w:val="FF0000"/>
                <w:szCs w:val="24"/>
                <w:lang w:eastAsia="x-none"/>
              </w:rPr>
              <w:t>ki</w:t>
            </w:r>
            <w:r w:rsidRPr="00A23740">
              <w:rPr>
                <w:rFonts w:eastAsia="Times New Roman"/>
                <w:color w:val="000000"/>
                <w:szCs w:val="24"/>
                <w:lang w:eastAsia="tr-TR"/>
              </w:rPr>
              <w:t xml:space="preserve"> </w:t>
            </w:r>
            <w:r w:rsidRPr="00A23740">
              <w:rPr>
                <w:rStyle w:val="KIRMIZIChar"/>
                <w:rFonts w:eastAsia="Calibri"/>
              </w:rPr>
              <w:t xml:space="preserve">adresleri </w:t>
            </w:r>
            <w:r w:rsidRPr="00A23740">
              <w:rPr>
                <w:rFonts w:eastAsia="Times New Roman"/>
                <w:color w:val="000000"/>
                <w:szCs w:val="24"/>
                <w:lang w:eastAsia="tr-TR"/>
              </w:rPr>
              <w:t xml:space="preserve">tebligat </w:t>
            </w:r>
            <w:r w:rsidRPr="00A23740">
              <w:rPr>
                <w:rFonts w:eastAsia="Times New Roman"/>
                <w:b/>
                <w:bCs/>
                <w:strike/>
                <w:color w:val="FF0000"/>
                <w:szCs w:val="24"/>
                <w:lang w:eastAsia="x-none"/>
              </w:rPr>
              <w:t>adresleri olarak kabul edilir. Bunların dışında</w:t>
            </w:r>
            <w:r w:rsidRPr="00A23740">
              <w:rPr>
                <w:rFonts w:eastAsia="Times New Roman"/>
                <w:color w:val="000000"/>
                <w:szCs w:val="24"/>
                <w:lang w:eastAsia="tr-TR"/>
              </w:rPr>
              <w:t xml:space="preserve"> ayrıca adres tahkiki yapılmaz</w:t>
            </w:r>
            <w:r w:rsidRPr="00A23740">
              <w:rPr>
                <w:rStyle w:val="KIRMIZIChar"/>
                <w:rFonts w:eastAsia="Calibri"/>
              </w:rPr>
              <w:t>,</w:t>
            </w:r>
            <w:r w:rsidRPr="00A23740">
              <w:rPr>
                <w:rFonts w:eastAsia="Times New Roman"/>
                <w:color w:val="000000"/>
                <w:szCs w:val="24"/>
                <w:lang w:eastAsia="tr-TR"/>
              </w:rPr>
              <w:t xml:space="preserve"> </w:t>
            </w:r>
            <w:r w:rsidRPr="00A23740">
              <w:rPr>
                <w:rFonts w:eastAsia="Times New Roman"/>
                <w:b/>
                <w:bCs/>
                <w:strike/>
                <w:color w:val="FF0000"/>
                <w:szCs w:val="24"/>
                <w:lang w:eastAsia="x-none"/>
              </w:rPr>
              <w:t>gazetede</w:t>
            </w:r>
            <w:r w:rsidRPr="00A23740">
              <w:rPr>
                <w:rFonts w:eastAsia="Times New Roman"/>
                <w:color w:val="000000"/>
                <w:szCs w:val="24"/>
                <w:lang w:eastAsia="tr-TR"/>
              </w:rPr>
              <w:t xml:space="preserve"> </w:t>
            </w:r>
            <w:r w:rsidRPr="00A23740">
              <w:rPr>
                <w:rFonts w:eastAsia="Times New Roman"/>
                <w:b/>
                <w:bCs/>
                <w:strike/>
                <w:color w:val="FF0000"/>
                <w:szCs w:val="24"/>
                <w:lang w:eastAsia="x-none"/>
              </w:rPr>
              <w:t>veya</w:t>
            </w:r>
            <w:r w:rsidRPr="00A23740">
              <w:rPr>
                <w:rFonts w:eastAsia="Times New Roman"/>
                <w:color w:val="000000"/>
                <w:szCs w:val="24"/>
                <w:lang w:eastAsia="tr-TR"/>
              </w:rPr>
              <w:t xml:space="preserve"> elektronik satış portalında yapılan satış ilanı tebligat yerine geçer.</w:t>
            </w:r>
          </w:p>
          <w:p w:rsidR="00AA5C8C" w:rsidRPr="00A23740" w:rsidRDefault="00AA5C8C" w:rsidP="003F10EF">
            <w:pPr>
              <w:widowControl w:val="0"/>
              <w:tabs>
                <w:tab w:val="left" w:pos="567"/>
              </w:tabs>
              <w:rPr>
                <w:rFonts w:eastAsia="Times New Roman"/>
                <w:b/>
                <w:color w:val="FF0000"/>
                <w:szCs w:val="24"/>
                <w:lang w:eastAsia="tr-TR"/>
              </w:rPr>
            </w:pPr>
          </w:p>
          <w:p w:rsidR="00AA5C8C" w:rsidRPr="00A23740" w:rsidRDefault="00AA5C8C" w:rsidP="003F10EF">
            <w:pPr>
              <w:widowControl w:val="0"/>
              <w:tabs>
                <w:tab w:val="left" w:pos="567"/>
              </w:tabs>
              <w:rPr>
                <w:b/>
                <w:szCs w:val="24"/>
              </w:rPr>
            </w:pPr>
          </w:p>
          <w:p w:rsidR="00AA5C8C" w:rsidRPr="00A23740" w:rsidRDefault="00AA5C8C" w:rsidP="003F10EF">
            <w:pPr>
              <w:widowControl w:val="0"/>
              <w:tabs>
                <w:tab w:val="left" w:pos="567"/>
              </w:tabs>
              <w:rPr>
                <w:b/>
                <w:szCs w:val="24"/>
              </w:rPr>
            </w:pPr>
          </w:p>
          <w:p w:rsidR="00AA5C8C" w:rsidRPr="00A23740" w:rsidRDefault="00AA5C8C" w:rsidP="003F10EF">
            <w:pPr>
              <w:widowControl w:val="0"/>
              <w:tabs>
                <w:tab w:val="left" w:pos="567"/>
              </w:tabs>
              <w:rPr>
                <w:rFonts w:eastAsia="Times New Roman"/>
                <w:b/>
                <w:color w:val="FF0000"/>
                <w:szCs w:val="24"/>
                <w:lang w:eastAsia="tr-TR"/>
              </w:rPr>
            </w:pPr>
          </w:p>
        </w:tc>
        <w:tc>
          <w:tcPr>
            <w:tcW w:w="2500" w:type="pct"/>
          </w:tcPr>
          <w:p w:rsidR="00AA5C8C" w:rsidRPr="00A23740" w:rsidRDefault="00AA5C8C" w:rsidP="003F10EF">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Satış ilanının tebliği</w:t>
            </w:r>
          </w:p>
          <w:p w:rsidR="00AA5C8C" w:rsidRPr="00A23740" w:rsidRDefault="00AA5C8C" w:rsidP="003F10EF">
            <w:pPr>
              <w:widowControl w:val="0"/>
              <w:tabs>
                <w:tab w:val="left" w:pos="567"/>
              </w:tabs>
              <w:rPr>
                <w:rFonts w:eastAsia="Times New Roman"/>
                <w:b/>
                <w:strike/>
                <w:color w:val="FF0000"/>
                <w:szCs w:val="24"/>
                <w:lang w:eastAsia="tr-TR"/>
              </w:rPr>
            </w:pPr>
            <w:r w:rsidRPr="00A23740">
              <w:rPr>
                <w:rFonts w:eastAsia="Times New Roman"/>
                <w:b/>
                <w:color w:val="0000FF"/>
                <w:szCs w:val="24"/>
                <w:lang w:eastAsia="tr-TR"/>
              </w:rPr>
              <w:t xml:space="preserve">MADDE </w:t>
            </w:r>
            <w:r w:rsidR="0025794C" w:rsidRPr="00A23740">
              <w:rPr>
                <w:rStyle w:val="MaviChar"/>
                <w:lang w:val="tr-TR"/>
              </w:rPr>
              <w:t>23</w:t>
            </w:r>
            <w:r w:rsidR="00396AB6" w:rsidRPr="00A23740">
              <w:rPr>
                <w:rStyle w:val="MaviChar"/>
                <w:lang w:val="tr-TR"/>
              </w:rPr>
              <w:t>2</w:t>
            </w:r>
            <w:r w:rsidRPr="00A23740">
              <w:rPr>
                <w:rStyle w:val="MaviChar"/>
              </w:rPr>
              <w:t>-</w:t>
            </w:r>
            <w:r w:rsidRPr="00A23740">
              <w:rPr>
                <w:rFonts w:eastAsia="Times New Roman"/>
                <w:b/>
                <w:color w:val="0000FF"/>
                <w:szCs w:val="24"/>
                <w:lang w:eastAsia="tr-TR"/>
              </w:rPr>
              <w:t xml:space="preserve"> (1) Açık artırma ilanı, </w:t>
            </w:r>
            <w:r w:rsidRPr="00A23740">
              <w:rPr>
                <w:rFonts w:eastAsia="Times New Roman"/>
                <w:color w:val="000000"/>
                <w:szCs w:val="24"/>
                <w:lang w:eastAsia="tr-TR"/>
              </w:rPr>
              <w:t>borçluya</w:t>
            </w:r>
            <w:r w:rsidRPr="00A23740">
              <w:rPr>
                <w:rFonts w:eastAsia="Times New Roman"/>
                <w:b/>
                <w:color w:val="0000FF"/>
                <w:szCs w:val="24"/>
                <w:lang w:eastAsia="tr-TR"/>
              </w:rPr>
              <w:t>,</w:t>
            </w:r>
            <w:r w:rsidRPr="00A23740">
              <w:rPr>
                <w:rFonts w:eastAsia="Times New Roman"/>
                <w:color w:val="000000"/>
                <w:szCs w:val="24"/>
                <w:lang w:eastAsia="tr-TR"/>
              </w:rPr>
              <w:t xml:space="preserve"> alacaklıya ve </w:t>
            </w:r>
            <w:r w:rsidRPr="00A23740">
              <w:rPr>
                <w:rFonts w:eastAsia="Times New Roman"/>
                <w:b/>
                <w:color w:val="0000FF"/>
                <w:szCs w:val="24"/>
                <w:lang w:eastAsia="tr-TR"/>
              </w:rPr>
              <w:t>haczedilen malın resm</w:t>
            </w:r>
            <w:r w:rsidR="00720EF4" w:rsidRPr="00A23740">
              <w:rPr>
                <w:rFonts w:eastAsia="Times New Roman"/>
                <w:b/>
                <w:color w:val="0000FF"/>
                <w:szCs w:val="24"/>
                <w:lang w:eastAsia="tr-TR"/>
              </w:rPr>
              <w:t>î</w:t>
            </w:r>
            <w:r w:rsidRPr="00A23740">
              <w:rPr>
                <w:rFonts w:eastAsia="Times New Roman"/>
                <w:color w:val="000000"/>
                <w:szCs w:val="24"/>
                <w:lang w:eastAsia="tr-TR"/>
              </w:rPr>
              <w:t xml:space="preserve"> sicil</w:t>
            </w:r>
            <w:r w:rsidRPr="00A23740">
              <w:rPr>
                <w:rStyle w:val="MaviChar"/>
              </w:rPr>
              <w:t>in</w:t>
            </w:r>
            <w:r w:rsidRPr="00A23740">
              <w:rPr>
                <w:rFonts w:eastAsia="Times New Roman"/>
                <w:b/>
                <w:color w:val="0000FF"/>
                <w:szCs w:val="24"/>
                <w:lang w:eastAsia="tr-TR"/>
              </w:rPr>
              <w:t>de</w:t>
            </w:r>
            <w:r w:rsidRPr="00A23740">
              <w:rPr>
                <w:rFonts w:eastAsia="Times New Roman"/>
                <w:color w:val="000000"/>
                <w:szCs w:val="24"/>
                <w:lang w:eastAsia="tr-TR"/>
              </w:rPr>
              <w:t xml:space="preserve"> kayıtlı bulunan </w:t>
            </w:r>
            <w:r w:rsidRPr="00A23740">
              <w:rPr>
                <w:rFonts w:eastAsia="Times New Roman"/>
                <w:b/>
                <w:color w:val="0000FF"/>
                <w:szCs w:val="24"/>
                <w:lang w:eastAsia="tr-TR"/>
              </w:rPr>
              <w:t xml:space="preserve">diğer </w:t>
            </w:r>
            <w:r w:rsidRPr="00A23740">
              <w:rPr>
                <w:rStyle w:val="MaviChar"/>
              </w:rPr>
              <w:t>ilgililere</w:t>
            </w:r>
            <w:r w:rsidRPr="00A23740">
              <w:rPr>
                <w:rFonts w:eastAsia="Times New Roman"/>
                <w:color w:val="000000"/>
                <w:szCs w:val="24"/>
                <w:lang w:eastAsia="tr-TR"/>
              </w:rPr>
              <w:t xml:space="preserve"> tebliğ </w:t>
            </w:r>
            <w:r w:rsidRPr="00A23740">
              <w:rPr>
                <w:rFonts w:eastAsia="Times New Roman"/>
                <w:b/>
                <w:color w:val="0000FF"/>
                <w:szCs w:val="24"/>
                <w:lang w:eastAsia="tr-TR"/>
              </w:rPr>
              <w:t>edilir. Haczedilen malın resm</w:t>
            </w:r>
            <w:r w:rsidR="00720EF4" w:rsidRPr="00A23740">
              <w:rPr>
                <w:rFonts w:eastAsia="Times New Roman"/>
                <w:b/>
                <w:color w:val="0000FF"/>
                <w:szCs w:val="24"/>
                <w:lang w:eastAsia="tr-TR"/>
              </w:rPr>
              <w:t>î</w:t>
            </w:r>
            <w:r w:rsidRPr="00A23740">
              <w:rPr>
                <w:rFonts w:eastAsia="Times New Roman"/>
                <w:b/>
                <w:color w:val="0000FF"/>
                <w:szCs w:val="24"/>
                <w:lang w:eastAsia="tr-TR"/>
              </w:rPr>
              <w:t xml:space="preserve"> sicilinde</w:t>
            </w:r>
            <w:r w:rsidRPr="00A23740">
              <w:rPr>
                <w:rFonts w:eastAsia="Times New Roman"/>
                <w:color w:val="000000"/>
                <w:szCs w:val="24"/>
                <w:lang w:eastAsia="tr-TR"/>
              </w:rPr>
              <w:t xml:space="preserve"> kayıtlı </w:t>
            </w:r>
            <w:r w:rsidRPr="00A23740">
              <w:rPr>
                <w:rFonts w:eastAsia="Times New Roman"/>
                <w:b/>
                <w:color w:val="0000FF"/>
                <w:szCs w:val="24"/>
                <w:lang w:eastAsia="tr-TR"/>
              </w:rPr>
              <w:t xml:space="preserve">ilgililerin </w:t>
            </w:r>
            <w:r w:rsidRPr="00A23740">
              <w:rPr>
                <w:rFonts w:eastAsia="Times New Roman"/>
                <w:color w:val="000000"/>
                <w:szCs w:val="24"/>
                <w:lang w:eastAsia="tr-TR"/>
              </w:rPr>
              <w:t>adres kayıt sisteminde</w:t>
            </w:r>
            <w:r w:rsidR="00234568" w:rsidRPr="00A23740">
              <w:rPr>
                <w:rFonts w:eastAsia="Times New Roman"/>
                <w:color w:val="000000"/>
                <w:szCs w:val="24"/>
                <w:lang w:eastAsia="tr-TR"/>
              </w:rPr>
              <w:t xml:space="preserve"> </w:t>
            </w:r>
            <w:r w:rsidR="00234568" w:rsidRPr="00A23740">
              <w:rPr>
                <w:rStyle w:val="MaviChar"/>
              </w:rPr>
              <w:t>kayıtlı</w:t>
            </w:r>
            <w:r w:rsidRPr="00A23740">
              <w:rPr>
                <w:rStyle w:val="MaviChar"/>
              </w:rPr>
              <w:t xml:space="preserve"> adres</w:t>
            </w:r>
            <w:r w:rsidR="00234568" w:rsidRPr="00A23740">
              <w:rPr>
                <w:rStyle w:val="MaviChar"/>
              </w:rPr>
              <w:t>in</w:t>
            </w:r>
            <w:r w:rsidR="00234568" w:rsidRPr="00A23740">
              <w:rPr>
                <w:rStyle w:val="MaviChar"/>
                <w:lang w:val="tr-TR"/>
              </w:rPr>
              <w:t>in</w:t>
            </w:r>
            <w:r w:rsidRPr="00A23740">
              <w:rPr>
                <w:rFonts w:eastAsia="Times New Roman"/>
                <w:color w:val="000000"/>
                <w:szCs w:val="24"/>
                <w:lang w:eastAsia="tr-TR"/>
              </w:rPr>
              <w:t xml:space="preserve"> </w:t>
            </w:r>
            <w:r w:rsidRPr="00A23740">
              <w:rPr>
                <w:rFonts w:eastAsia="Times New Roman"/>
                <w:b/>
                <w:color w:val="0000FF"/>
                <w:szCs w:val="24"/>
                <w:lang w:eastAsia="tr-TR"/>
              </w:rPr>
              <w:t xml:space="preserve">bulunmaması veya bu adrese </w:t>
            </w:r>
            <w:r w:rsidRPr="00A23740">
              <w:rPr>
                <w:rFonts w:eastAsia="Times New Roman"/>
                <w:color w:val="000000"/>
                <w:szCs w:val="24"/>
                <w:lang w:eastAsia="tr-TR"/>
              </w:rPr>
              <w:t xml:space="preserve">tebligat </w:t>
            </w:r>
            <w:r w:rsidRPr="00A23740">
              <w:rPr>
                <w:rFonts w:eastAsia="Times New Roman"/>
                <w:b/>
                <w:color w:val="0000FF"/>
                <w:szCs w:val="24"/>
                <w:lang w:eastAsia="tr-TR"/>
              </w:rPr>
              <w:t>yapılamaması durumunda</w:t>
            </w:r>
            <w:r w:rsidRPr="00A23740">
              <w:rPr>
                <w:rFonts w:eastAsia="Times New Roman"/>
                <w:color w:val="000000"/>
                <w:szCs w:val="24"/>
                <w:lang w:eastAsia="tr-TR"/>
              </w:rPr>
              <w:t xml:space="preserve"> ayrıca adres </w:t>
            </w:r>
            <w:r w:rsidRPr="00A23740">
              <w:rPr>
                <w:rStyle w:val="MaviChar"/>
              </w:rPr>
              <w:t>araştırması</w:t>
            </w:r>
            <w:r w:rsidRPr="00A23740">
              <w:rPr>
                <w:rFonts w:eastAsia="Times New Roman"/>
                <w:color w:val="000000"/>
                <w:szCs w:val="24"/>
                <w:lang w:eastAsia="tr-TR"/>
              </w:rPr>
              <w:t xml:space="preserve"> </w:t>
            </w:r>
            <w:r w:rsidR="00234568" w:rsidRPr="00A23740">
              <w:rPr>
                <w:rFonts w:eastAsia="Times New Roman"/>
                <w:color w:val="000000"/>
                <w:szCs w:val="24"/>
                <w:lang w:eastAsia="tr-TR"/>
              </w:rPr>
              <w:t xml:space="preserve">yapılmaz </w:t>
            </w:r>
            <w:r w:rsidR="00234568" w:rsidRPr="00A23740">
              <w:rPr>
                <w:rStyle w:val="MaviChar"/>
              </w:rPr>
              <w:t>ve</w:t>
            </w:r>
            <w:r w:rsidRPr="00A23740">
              <w:rPr>
                <w:rFonts w:eastAsia="Times New Roman"/>
                <w:b/>
                <w:color w:val="0000FF"/>
                <w:szCs w:val="24"/>
                <w:lang w:eastAsia="tr-TR"/>
              </w:rPr>
              <w:t xml:space="preserve"> </w:t>
            </w:r>
            <w:r w:rsidRPr="00A23740">
              <w:rPr>
                <w:rFonts w:eastAsia="Times New Roman"/>
                <w:color w:val="000000"/>
                <w:szCs w:val="24"/>
                <w:lang w:eastAsia="tr-TR"/>
              </w:rPr>
              <w:t>elektronik satış</w:t>
            </w:r>
            <w:r w:rsidRPr="00A23740">
              <w:rPr>
                <w:rFonts w:eastAsia="Times New Roman"/>
                <w:b/>
                <w:bCs/>
                <w:color w:val="000000"/>
                <w:lang w:eastAsia="tr-TR"/>
              </w:rPr>
              <w:t xml:space="preserve"> </w:t>
            </w:r>
            <w:r w:rsidRPr="00A23740">
              <w:rPr>
                <w:rFonts w:eastAsia="Times New Roman"/>
                <w:color w:val="000000"/>
                <w:szCs w:val="24"/>
                <w:lang w:eastAsia="tr-TR"/>
              </w:rPr>
              <w:t>portalında yapılan satış ilanı tebligat yerine geçer.</w:t>
            </w:r>
          </w:p>
          <w:p w:rsidR="00AA5C8C" w:rsidRPr="00A23740" w:rsidRDefault="00AA5C8C" w:rsidP="003F10EF">
            <w:pPr>
              <w:widowControl w:val="0"/>
              <w:tabs>
                <w:tab w:val="left" w:pos="567"/>
              </w:tabs>
              <w:rPr>
                <w:rFonts w:eastAsia="Times New Roman"/>
                <w:b/>
                <w:color w:val="FF0000"/>
                <w:szCs w:val="24"/>
                <w:lang w:eastAsia="tr-TR"/>
              </w:rPr>
            </w:pPr>
          </w:p>
          <w:p w:rsidR="00AA5C8C" w:rsidRPr="00A23740" w:rsidRDefault="00AA5C8C" w:rsidP="003F10EF">
            <w:pPr>
              <w:widowControl w:val="0"/>
              <w:tabs>
                <w:tab w:val="left" w:pos="567"/>
              </w:tabs>
              <w:rPr>
                <w:rFonts w:eastAsia="Times New Roman"/>
                <w:b/>
                <w:color w:val="FF0000"/>
                <w:szCs w:val="24"/>
                <w:lang w:eastAsia="tr-TR"/>
              </w:rPr>
            </w:pPr>
          </w:p>
          <w:p w:rsidR="00AA5C8C" w:rsidRPr="00A23740" w:rsidRDefault="00AA5C8C" w:rsidP="003F10EF">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(2) Satış ilanının vekile tebliği için vek</w:t>
            </w:r>
            <w:r w:rsidR="00720EF4" w:rsidRPr="00A23740">
              <w:rPr>
                <w:rFonts w:eastAsia="Times New Roman"/>
                <w:b/>
                <w:color w:val="0000FF"/>
                <w:szCs w:val="24"/>
                <w:lang w:eastAsia="tr-TR"/>
              </w:rPr>
              <w:t>â</w:t>
            </w:r>
            <w:r w:rsidRPr="00A23740">
              <w:rPr>
                <w:rFonts w:eastAsia="Times New Roman"/>
                <w:b/>
                <w:color w:val="0000FF"/>
                <w:szCs w:val="24"/>
                <w:lang w:eastAsia="tr-TR"/>
              </w:rPr>
              <w:t>letnamenin satış ilanının tebliğe çıkartılmasından önce icra dosyasına ibrazı zorunludur. Vek</w:t>
            </w:r>
            <w:r w:rsidR="00720EF4" w:rsidRPr="00A23740">
              <w:rPr>
                <w:rFonts w:eastAsia="Times New Roman"/>
                <w:b/>
                <w:color w:val="0000FF"/>
                <w:szCs w:val="24"/>
                <w:lang w:eastAsia="tr-TR"/>
              </w:rPr>
              <w:t>â</w:t>
            </w:r>
            <w:r w:rsidRPr="00A23740">
              <w:rPr>
                <w:rFonts w:eastAsia="Times New Roman"/>
                <w:b/>
                <w:color w:val="0000FF"/>
                <w:szCs w:val="24"/>
                <w:lang w:eastAsia="tr-TR"/>
              </w:rPr>
              <w:t>letname satış ilanının tebliğe çıkartılmasından sonra ibraz edilmişs</w:t>
            </w:r>
            <w:r w:rsidRPr="00A23740">
              <w:rPr>
                <w:rStyle w:val="MaviChar"/>
              </w:rPr>
              <w:t>e,</w:t>
            </w:r>
            <w:r w:rsidRPr="00A23740">
              <w:rPr>
                <w:rFonts w:eastAsia="Times New Roman"/>
                <w:b/>
                <w:color w:val="0000FF"/>
                <w:szCs w:val="24"/>
                <w:lang w:eastAsia="tr-TR"/>
              </w:rPr>
              <w:t xml:space="preserve"> vekile ayrıca </w:t>
            </w:r>
            <w:r w:rsidRPr="00A23740">
              <w:rPr>
                <w:rStyle w:val="MaviChar"/>
              </w:rPr>
              <w:t>tebligat</w:t>
            </w:r>
            <w:r w:rsidRPr="00A23740">
              <w:rPr>
                <w:rFonts w:eastAsia="Times New Roman"/>
                <w:b/>
                <w:color w:val="0000FF"/>
                <w:szCs w:val="24"/>
                <w:lang w:eastAsia="tr-TR"/>
              </w:rPr>
              <w:t xml:space="preserve"> yapılmaz.</w:t>
            </w:r>
          </w:p>
          <w:p w:rsidR="00720EF4" w:rsidRPr="00A23740" w:rsidRDefault="00720EF4" w:rsidP="003F10EF">
            <w:pPr>
              <w:widowControl w:val="0"/>
              <w:tabs>
                <w:tab w:val="left" w:pos="567"/>
              </w:tabs>
              <w:rPr>
                <w:rFonts w:eastAsia="Times New Roman"/>
                <w:b/>
                <w:color w:val="0000FF"/>
                <w:szCs w:val="24"/>
                <w:lang w:eastAsia="tr-TR"/>
              </w:rPr>
            </w:pPr>
          </w:p>
        </w:tc>
      </w:tr>
      <w:tr w:rsidR="006203E7" w:rsidRPr="00A23740" w:rsidTr="009431FF">
        <w:tblPrEx>
          <w:tblLook w:val="01E0" w:firstRow="1" w:lastRow="1" w:firstColumn="1" w:lastColumn="1" w:noHBand="0" w:noVBand="0"/>
        </w:tblPrEx>
        <w:tc>
          <w:tcPr>
            <w:tcW w:w="5000" w:type="pct"/>
            <w:gridSpan w:val="2"/>
            <w:shd w:val="clear" w:color="auto" w:fill="DEEAF6"/>
          </w:tcPr>
          <w:p w:rsidR="006203E7" w:rsidRPr="00A23740" w:rsidRDefault="006203E7" w:rsidP="009431FF">
            <w:pPr>
              <w:ind w:firstLine="709"/>
              <w:rPr>
                <w:rFonts w:eastAsia="Times New Roman"/>
                <w:color w:val="000000"/>
                <w:szCs w:val="24"/>
                <w:lang w:eastAsia="tr-TR"/>
              </w:rPr>
            </w:pPr>
          </w:p>
          <w:p w:rsidR="007409FD" w:rsidRPr="00A23740" w:rsidRDefault="007409FD"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23</w:t>
            </w:r>
            <w:r w:rsidR="00396AB6" w:rsidRPr="00A23740">
              <w:rPr>
                <w:rFonts w:eastAsia="Times New Roman"/>
                <w:b/>
                <w:color w:val="000000"/>
                <w:szCs w:val="24"/>
                <w:lang w:eastAsia="tr-TR"/>
              </w:rPr>
              <w:t>2</w:t>
            </w:r>
            <w:r w:rsidRPr="00A23740">
              <w:rPr>
                <w:rFonts w:eastAsia="Times New Roman"/>
                <w:color w:val="000000"/>
                <w:szCs w:val="24"/>
                <w:lang w:eastAsia="tr-TR"/>
              </w:rPr>
              <w:t>- Maddeyle, satış ilanının tebliği düzenlenmektedir. Hüküm, 2004 sayılı Kanunun 127 nci maddesinin birinci fıkrasına kısmen karşılık gelmektedir.</w:t>
            </w:r>
          </w:p>
          <w:p w:rsidR="007409FD" w:rsidRPr="00A23740" w:rsidRDefault="007409FD" w:rsidP="009431FF">
            <w:pPr>
              <w:ind w:firstLine="709"/>
              <w:rPr>
                <w:rFonts w:eastAsia="Times New Roman"/>
                <w:color w:val="000000"/>
                <w:szCs w:val="24"/>
                <w:lang w:eastAsia="tr-TR"/>
              </w:rPr>
            </w:pPr>
            <w:r w:rsidRPr="00A23740">
              <w:rPr>
                <w:rFonts w:eastAsia="Times New Roman"/>
                <w:color w:val="000000"/>
                <w:szCs w:val="24"/>
                <w:lang w:eastAsia="tr-TR"/>
              </w:rPr>
              <w:t>Birinci fıkrayla,</w:t>
            </w:r>
            <w:r w:rsidR="00751FB9" w:rsidRPr="00A23740">
              <w:rPr>
                <w:rFonts w:eastAsia="Times New Roman"/>
                <w:color w:val="000000"/>
                <w:szCs w:val="24"/>
                <w:lang w:eastAsia="tr-TR"/>
              </w:rPr>
              <w:t xml:space="preserve"> açık artırma ilanının tebliği usulü düzenlenmektedir. Hükme göre açık artırma ilanı,</w:t>
            </w:r>
            <w:r w:rsidRPr="00A23740">
              <w:rPr>
                <w:rFonts w:eastAsia="Times New Roman"/>
                <w:color w:val="000000"/>
                <w:szCs w:val="24"/>
                <w:lang w:eastAsia="tr-TR"/>
              </w:rPr>
              <w:t xml:space="preserve"> borçluya, alacaklıya ve haczedilen malın resm</w:t>
            </w:r>
            <w:r w:rsidR="00720EF4" w:rsidRPr="00A23740">
              <w:rPr>
                <w:rFonts w:eastAsia="Times New Roman"/>
                <w:color w:val="000000"/>
                <w:szCs w:val="24"/>
                <w:lang w:eastAsia="tr-TR"/>
              </w:rPr>
              <w:t>î</w:t>
            </w:r>
            <w:r w:rsidRPr="00A23740">
              <w:rPr>
                <w:rFonts w:eastAsia="Times New Roman"/>
                <w:color w:val="000000"/>
                <w:szCs w:val="24"/>
                <w:lang w:eastAsia="tr-TR"/>
              </w:rPr>
              <w:t xml:space="preserve"> sicil</w:t>
            </w:r>
            <w:r w:rsidRPr="00A23740">
              <w:rPr>
                <w:rFonts w:eastAsia="Times New Roman"/>
                <w:bCs/>
                <w:color w:val="000000"/>
                <w:lang w:eastAsia="tr-TR"/>
              </w:rPr>
              <w:t>in</w:t>
            </w:r>
            <w:r w:rsidRPr="00A23740">
              <w:rPr>
                <w:rFonts w:eastAsia="Times New Roman"/>
                <w:color w:val="000000"/>
                <w:szCs w:val="24"/>
                <w:lang w:eastAsia="tr-TR"/>
              </w:rPr>
              <w:t xml:space="preserve">de kayıtlı bulunan diğer </w:t>
            </w:r>
            <w:r w:rsidRPr="00A23740">
              <w:rPr>
                <w:rFonts w:eastAsia="Times New Roman"/>
                <w:bCs/>
                <w:color w:val="000000"/>
                <w:lang w:eastAsia="tr-TR"/>
              </w:rPr>
              <w:t>ilgililere</w:t>
            </w:r>
            <w:r w:rsidRPr="00A23740">
              <w:rPr>
                <w:rFonts w:eastAsia="Times New Roman"/>
                <w:color w:val="000000"/>
                <w:szCs w:val="24"/>
                <w:lang w:eastAsia="tr-TR"/>
              </w:rPr>
              <w:t xml:space="preserve"> tebliğ edilir. </w:t>
            </w:r>
            <w:r w:rsidR="00751FB9" w:rsidRPr="00A23740">
              <w:rPr>
                <w:rFonts w:eastAsia="Times New Roman"/>
                <w:color w:val="000000"/>
                <w:szCs w:val="24"/>
                <w:lang w:eastAsia="tr-TR"/>
              </w:rPr>
              <w:t xml:space="preserve">2004 sayılı Kanunda yer alan </w:t>
            </w:r>
            <w:r w:rsidR="003F2639" w:rsidRPr="00A23740">
              <w:rPr>
                <w:rFonts w:eastAsia="Times New Roman"/>
                <w:color w:val="000000"/>
                <w:szCs w:val="24"/>
                <w:lang w:eastAsia="tr-TR"/>
              </w:rPr>
              <w:t xml:space="preserve">ve </w:t>
            </w:r>
            <w:r w:rsidR="00751FB9" w:rsidRPr="00A23740">
              <w:rPr>
                <w:rFonts w:eastAsia="Times New Roman"/>
                <w:color w:val="000000"/>
                <w:szCs w:val="24"/>
                <w:lang w:eastAsia="tr-TR"/>
              </w:rPr>
              <w:t xml:space="preserve">taşınmazla ilgili </w:t>
            </w:r>
            <w:r w:rsidR="003F2639" w:rsidRPr="00A23740">
              <w:rPr>
                <w:rFonts w:eastAsia="Times New Roman"/>
                <w:color w:val="000000"/>
                <w:szCs w:val="24"/>
                <w:lang w:eastAsia="tr-TR"/>
              </w:rPr>
              <w:t xml:space="preserve">olan </w:t>
            </w:r>
            <w:r w:rsidR="00751FB9" w:rsidRPr="00A23740">
              <w:rPr>
                <w:rFonts w:eastAsia="Times New Roman"/>
                <w:color w:val="000000"/>
                <w:szCs w:val="24"/>
                <w:lang w:eastAsia="tr-TR"/>
              </w:rPr>
              <w:t xml:space="preserve">sınırlama tüm malları kapsayacak şekilde genişletilmektedir. </w:t>
            </w:r>
            <w:r w:rsidR="00234568" w:rsidRPr="00A23740">
              <w:rPr>
                <w:rFonts w:eastAsia="Times New Roman"/>
                <w:color w:val="000000"/>
                <w:szCs w:val="24"/>
                <w:lang w:eastAsia="tr-TR"/>
              </w:rPr>
              <w:t xml:space="preserve">Ayrıca 2004 sayılı Kanunda yer alan </w:t>
            </w:r>
            <w:r w:rsidR="003F2639" w:rsidRPr="00A23740">
              <w:rPr>
                <w:rFonts w:eastAsia="Times New Roman"/>
                <w:color w:val="000000"/>
                <w:szCs w:val="24"/>
                <w:lang w:eastAsia="tr-TR"/>
              </w:rPr>
              <w:t xml:space="preserve">ve </w:t>
            </w:r>
            <w:r w:rsidR="00234568" w:rsidRPr="00A23740">
              <w:rPr>
                <w:rFonts w:eastAsia="Times New Roman"/>
                <w:color w:val="000000"/>
                <w:szCs w:val="24"/>
                <w:lang w:eastAsia="tr-TR"/>
              </w:rPr>
              <w:t xml:space="preserve">tebligatın tapuda kayıtlı adrese yapılmasına ilişkin </w:t>
            </w:r>
            <w:r w:rsidR="003F2639" w:rsidRPr="00A23740">
              <w:rPr>
                <w:rFonts w:eastAsia="Times New Roman"/>
                <w:color w:val="000000"/>
                <w:szCs w:val="24"/>
                <w:lang w:eastAsia="tr-TR"/>
              </w:rPr>
              <w:t xml:space="preserve">olan </w:t>
            </w:r>
            <w:r w:rsidR="00234568" w:rsidRPr="00A23740">
              <w:rPr>
                <w:rFonts w:eastAsia="Times New Roman"/>
                <w:color w:val="000000"/>
                <w:szCs w:val="24"/>
                <w:lang w:eastAsia="tr-TR"/>
              </w:rPr>
              <w:t>hüküm</w:t>
            </w:r>
            <w:r w:rsidR="00634049" w:rsidRPr="00A23740">
              <w:rPr>
                <w:rFonts w:eastAsia="Times New Roman"/>
                <w:color w:val="000000"/>
                <w:szCs w:val="24"/>
                <w:lang w:eastAsia="tr-TR"/>
              </w:rPr>
              <w:t>,</w:t>
            </w:r>
            <w:r w:rsidR="00234568" w:rsidRPr="00A23740">
              <w:rPr>
                <w:rFonts w:eastAsia="Times New Roman"/>
                <w:color w:val="000000"/>
                <w:szCs w:val="24"/>
                <w:lang w:eastAsia="tr-TR"/>
              </w:rPr>
              <w:t xml:space="preserve"> bu adresin her zaman güncel olmaması ve buna bağlı olarak ilgililerin</w:t>
            </w:r>
            <w:r w:rsidR="00634049" w:rsidRPr="00A23740">
              <w:rPr>
                <w:rFonts w:eastAsia="Times New Roman"/>
                <w:color w:val="000000"/>
                <w:szCs w:val="24"/>
                <w:lang w:eastAsia="tr-TR"/>
              </w:rPr>
              <w:t xml:space="preserve"> tebligattan haberdar </w:t>
            </w:r>
            <w:r w:rsidR="003F2639" w:rsidRPr="00A23740">
              <w:rPr>
                <w:rFonts w:eastAsia="Times New Roman"/>
                <w:color w:val="000000"/>
                <w:szCs w:val="24"/>
                <w:lang w:eastAsia="tr-TR"/>
              </w:rPr>
              <w:t>bulun</w:t>
            </w:r>
            <w:r w:rsidR="00234568" w:rsidRPr="00A23740">
              <w:rPr>
                <w:rFonts w:eastAsia="Times New Roman"/>
                <w:color w:val="000000"/>
                <w:szCs w:val="24"/>
                <w:lang w:eastAsia="tr-TR"/>
              </w:rPr>
              <w:t>a</w:t>
            </w:r>
            <w:r w:rsidR="00634049" w:rsidRPr="00A23740">
              <w:rPr>
                <w:rFonts w:eastAsia="Times New Roman"/>
                <w:color w:val="000000"/>
                <w:szCs w:val="24"/>
                <w:lang w:eastAsia="tr-TR"/>
              </w:rPr>
              <w:t>ma</w:t>
            </w:r>
            <w:r w:rsidR="00234568" w:rsidRPr="00A23740">
              <w:rPr>
                <w:rFonts w:eastAsia="Times New Roman"/>
                <w:color w:val="000000"/>
                <w:szCs w:val="24"/>
                <w:lang w:eastAsia="tr-TR"/>
              </w:rPr>
              <w:t xml:space="preserve">ması </w:t>
            </w:r>
            <w:r w:rsidR="00634049" w:rsidRPr="00A23740">
              <w:rPr>
                <w:rFonts w:eastAsia="Times New Roman"/>
                <w:color w:val="000000"/>
                <w:szCs w:val="24"/>
                <w:lang w:eastAsia="tr-TR"/>
              </w:rPr>
              <w:t xml:space="preserve">ihtimali </w:t>
            </w:r>
            <w:r w:rsidR="00234568" w:rsidRPr="00A23740">
              <w:rPr>
                <w:rFonts w:eastAsia="Times New Roman"/>
                <w:color w:val="000000"/>
                <w:szCs w:val="24"/>
                <w:lang w:eastAsia="tr-TR"/>
              </w:rPr>
              <w:t>nedeniyle kaldırılmaktadır.</w:t>
            </w:r>
            <w:r w:rsidR="00634049" w:rsidRPr="00A23740">
              <w:rPr>
                <w:rFonts w:eastAsia="Times New Roman"/>
                <w:color w:val="000000"/>
                <w:szCs w:val="24"/>
                <w:lang w:eastAsia="tr-TR"/>
              </w:rPr>
              <w:t xml:space="preserve"> Dolayısıyla</w:t>
            </w:r>
            <w:r w:rsidR="00B30A09" w:rsidRPr="00BD41B4">
              <w:rPr>
                <w:rFonts w:eastAsia="Times New Roman"/>
                <w:color w:val="000000"/>
                <w:szCs w:val="24"/>
                <w:lang w:eastAsia="tr-TR"/>
              </w:rPr>
              <w:t>,</w:t>
            </w:r>
            <w:r w:rsidR="00634049" w:rsidRPr="00A23740">
              <w:rPr>
                <w:rFonts w:eastAsia="Times New Roman"/>
                <w:color w:val="000000"/>
                <w:szCs w:val="24"/>
                <w:lang w:eastAsia="tr-TR"/>
              </w:rPr>
              <w:t xml:space="preserve"> tebligat, adres kayıt sisteminde kayıtlı olan adrese yapılır. B</w:t>
            </w:r>
            <w:r w:rsidRPr="00A23740">
              <w:rPr>
                <w:rFonts w:eastAsia="Times New Roman"/>
                <w:color w:val="000000"/>
                <w:szCs w:val="24"/>
                <w:lang w:eastAsia="tr-TR"/>
              </w:rPr>
              <w:t xml:space="preserve">u adrese tebligat </w:t>
            </w:r>
            <w:r w:rsidR="00634049" w:rsidRPr="00A23740">
              <w:rPr>
                <w:rFonts w:eastAsia="Times New Roman"/>
                <w:color w:val="000000"/>
                <w:szCs w:val="24"/>
                <w:lang w:eastAsia="tr-TR"/>
              </w:rPr>
              <w:t>yapılmazsa</w:t>
            </w:r>
            <w:r w:rsidRPr="00A23740">
              <w:rPr>
                <w:rFonts w:eastAsia="Times New Roman"/>
                <w:color w:val="000000"/>
                <w:szCs w:val="24"/>
                <w:lang w:eastAsia="tr-TR"/>
              </w:rPr>
              <w:t xml:space="preserve"> ayrıca adres </w:t>
            </w:r>
            <w:r w:rsidRPr="00A23740">
              <w:rPr>
                <w:rFonts w:eastAsia="Times New Roman"/>
                <w:bCs/>
                <w:color w:val="000000"/>
                <w:lang w:eastAsia="tr-TR"/>
              </w:rPr>
              <w:t>araştırması</w:t>
            </w:r>
            <w:r w:rsidRPr="00A23740">
              <w:rPr>
                <w:rFonts w:eastAsia="Times New Roman"/>
                <w:color w:val="000000"/>
                <w:szCs w:val="24"/>
                <w:lang w:eastAsia="tr-TR"/>
              </w:rPr>
              <w:t xml:space="preserve"> </w:t>
            </w:r>
            <w:r w:rsidR="00634049" w:rsidRPr="00A23740">
              <w:rPr>
                <w:rFonts w:eastAsia="Times New Roman"/>
                <w:color w:val="000000"/>
                <w:szCs w:val="24"/>
                <w:lang w:eastAsia="tr-TR"/>
              </w:rPr>
              <w:t>usulü uygulanmaz ve</w:t>
            </w:r>
            <w:r w:rsidR="00234568" w:rsidRPr="00A23740">
              <w:rPr>
                <w:rFonts w:eastAsia="Times New Roman"/>
                <w:color w:val="000000"/>
                <w:szCs w:val="24"/>
                <w:lang w:eastAsia="tr-TR"/>
              </w:rPr>
              <w:t xml:space="preserve"> </w:t>
            </w:r>
            <w:r w:rsidR="00751FB9" w:rsidRPr="00A23740">
              <w:rPr>
                <w:rFonts w:eastAsia="Times New Roman"/>
                <w:color w:val="000000"/>
                <w:szCs w:val="24"/>
                <w:lang w:eastAsia="tr-TR"/>
              </w:rPr>
              <w:t>e</w:t>
            </w:r>
            <w:r w:rsidRPr="00A23740">
              <w:rPr>
                <w:rFonts w:eastAsia="Times New Roman"/>
                <w:color w:val="000000"/>
                <w:szCs w:val="24"/>
                <w:lang w:eastAsia="tr-TR"/>
              </w:rPr>
              <w:t>lektronik satış portalında yapılan satış ilanı</w:t>
            </w:r>
            <w:r w:rsidR="003F2639" w:rsidRPr="00A23740">
              <w:rPr>
                <w:rFonts w:eastAsia="Times New Roman"/>
                <w:color w:val="000000"/>
                <w:szCs w:val="24"/>
                <w:lang w:eastAsia="tr-TR"/>
              </w:rPr>
              <w:t>,</w:t>
            </w:r>
            <w:r w:rsidRPr="00A23740">
              <w:rPr>
                <w:rFonts w:eastAsia="Times New Roman"/>
                <w:color w:val="000000"/>
                <w:szCs w:val="24"/>
                <w:lang w:eastAsia="tr-TR"/>
              </w:rPr>
              <w:t xml:space="preserve"> tebligat yerine geçer.</w:t>
            </w:r>
          </w:p>
          <w:p w:rsidR="007409FD" w:rsidRPr="00A23740" w:rsidRDefault="00634049" w:rsidP="009431FF">
            <w:pPr>
              <w:ind w:firstLine="709"/>
              <w:rPr>
                <w:rFonts w:eastAsia="Times New Roman"/>
                <w:color w:val="000000"/>
                <w:szCs w:val="24"/>
                <w:lang w:eastAsia="tr-TR"/>
              </w:rPr>
            </w:pPr>
            <w:r w:rsidRPr="00A23740">
              <w:rPr>
                <w:rFonts w:eastAsia="Times New Roman"/>
                <w:color w:val="000000"/>
                <w:szCs w:val="24"/>
                <w:lang w:eastAsia="tr-TR"/>
              </w:rPr>
              <w:t>İkinci fıkrayla, satış ilanının vekile tebliği için vek</w:t>
            </w:r>
            <w:r w:rsidR="00720EF4" w:rsidRPr="00A23740">
              <w:rPr>
                <w:rFonts w:eastAsia="Times New Roman"/>
                <w:color w:val="000000"/>
                <w:szCs w:val="24"/>
                <w:lang w:eastAsia="tr-TR"/>
              </w:rPr>
              <w:t>â</w:t>
            </w:r>
            <w:r w:rsidRPr="00A23740">
              <w:rPr>
                <w:rFonts w:eastAsia="Times New Roman"/>
                <w:color w:val="000000"/>
                <w:szCs w:val="24"/>
                <w:lang w:eastAsia="tr-TR"/>
              </w:rPr>
              <w:t>letnamenin satış ilanının tebliğe çıkartılmasından önce icra dosyasına ibrazının zorunlu olduğu hükme bağlanmaktadır. Ancak vek</w:t>
            </w:r>
            <w:r w:rsidR="00720EF4" w:rsidRPr="00A23740">
              <w:rPr>
                <w:rFonts w:eastAsia="Times New Roman"/>
                <w:color w:val="000000"/>
                <w:szCs w:val="24"/>
                <w:lang w:eastAsia="tr-TR"/>
              </w:rPr>
              <w:t>â</w:t>
            </w:r>
            <w:r w:rsidRPr="00A23740">
              <w:rPr>
                <w:rFonts w:eastAsia="Times New Roman"/>
                <w:color w:val="000000"/>
                <w:szCs w:val="24"/>
                <w:lang w:eastAsia="tr-TR"/>
              </w:rPr>
              <w:t>letname, satış ilanının tebliğe çıkartılmasından sonra ibraz edilirs</w:t>
            </w:r>
            <w:r w:rsidRPr="00A23740">
              <w:rPr>
                <w:rFonts w:eastAsia="Times New Roman"/>
                <w:bCs/>
                <w:color w:val="000000"/>
                <w:lang w:eastAsia="tr-TR"/>
              </w:rPr>
              <w:t>e, bu husus dikkate alınmaz ve</w:t>
            </w:r>
            <w:r w:rsidRPr="00A23740">
              <w:rPr>
                <w:rFonts w:eastAsia="Times New Roman"/>
                <w:color w:val="000000"/>
                <w:szCs w:val="24"/>
                <w:lang w:eastAsia="tr-TR"/>
              </w:rPr>
              <w:t xml:space="preserve"> vekile ayrıca </w:t>
            </w:r>
            <w:r w:rsidRPr="00A23740">
              <w:rPr>
                <w:rFonts w:eastAsia="Times New Roman"/>
                <w:bCs/>
                <w:color w:val="000000"/>
                <w:lang w:eastAsia="tr-TR"/>
              </w:rPr>
              <w:t>tebligat</w:t>
            </w:r>
            <w:r w:rsidRPr="00A23740">
              <w:rPr>
                <w:rFonts w:eastAsia="Times New Roman"/>
                <w:color w:val="000000"/>
                <w:szCs w:val="24"/>
                <w:lang w:eastAsia="tr-TR"/>
              </w:rPr>
              <w:t xml:space="preserve"> yapılmaz. H</w:t>
            </w:r>
            <w:r w:rsidR="00EE5358" w:rsidRPr="00A23740">
              <w:rPr>
                <w:rFonts w:eastAsia="Times New Roman"/>
                <w:color w:val="000000"/>
                <w:szCs w:val="24"/>
                <w:lang w:eastAsia="tr-TR"/>
              </w:rPr>
              <w:t>ükümle, tebligatın hangi anda vekile yapılacağı açıkça düzenlenmekte ve uygulamada oluşabilecek tereddütl</w:t>
            </w:r>
            <w:r w:rsidR="00BD41B4">
              <w:rPr>
                <w:rFonts w:eastAsia="Times New Roman"/>
                <w:color w:val="000000"/>
                <w:szCs w:val="24"/>
                <w:lang w:eastAsia="tr-TR"/>
              </w:rPr>
              <w:t>erin önlenmesi amaçlanmaktadır.</w:t>
            </w:r>
          </w:p>
          <w:p w:rsidR="006203E7" w:rsidRPr="00A23740" w:rsidRDefault="006203E7"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rPr>
                <w:b/>
                <w:szCs w:val="24"/>
                <w:lang w:eastAsia="tr-TR"/>
              </w:rPr>
            </w:pPr>
            <w:r w:rsidRPr="00A23740">
              <w:rPr>
                <w:b/>
                <w:szCs w:val="24"/>
                <w:lang w:eastAsia="tr-TR"/>
              </w:rPr>
              <w:t xml:space="preserve">Elektronik ortamda açık artırma </w:t>
            </w:r>
            <w:r w:rsidRPr="00A23740">
              <w:rPr>
                <w:rStyle w:val="KIRMIZIChar"/>
                <w:rFonts w:eastAsia="Calibri"/>
              </w:rPr>
              <w:t>suretiyle satış:</w:t>
            </w:r>
          </w:p>
          <w:p w:rsidR="0066021D" w:rsidRPr="00A23740" w:rsidRDefault="00AA5C8C" w:rsidP="009431FF">
            <w:pPr>
              <w:rPr>
                <w:rStyle w:val="KIRMIZIChar"/>
                <w:rFonts w:eastAsia="Calibri"/>
              </w:rPr>
            </w:pPr>
            <w:r w:rsidRPr="00A23740">
              <w:rPr>
                <w:b/>
                <w:szCs w:val="24"/>
                <w:lang w:eastAsia="tr-TR"/>
              </w:rPr>
              <w:t xml:space="preserve">MADDE </w:t>
            </w:r>
            <w:r w:rsidRPr="00A23740">
              <w:rPr>
                <w:rStyle w:val="KIRMIZIChar"/>
                <w:rFonts w:eastAsia="Calibri"/>
              </w:rPr>
              <w:t>111/b- (Ek:24/11/2021-7343/13 md.)</w:t>
            </w:r>
            <w:r w:rsidR="0066021D" w:rsidRPr="00A23740">
              <w:rPr>
                <w:rStyle w:val="KIRMIZIChar"/>
                <w:rFonts w:eastAsia="Calibri"/>
              </w:rPr>
              <w:t xml:space="preserve"> </w:t>
            </w:r>
          </w:p>
          <w:p w:rsidR="00CC44DE" w:rsidRPr="00A23740" w:rsidRDefault="00CC44DE" w:rsidP="009431FF">
            <w:pPr>
              <w:rPr>
                <w:szCs w:val="24"/>
                <w:lang w:eastAsia="tr-TR"/>
              </w:rPr>
            </w:pPr>
            <w:r w:rsidRPr="00A23740">
              <w:rPr>
                <w:rStyle w:val="KIRMIZIChar"/>
                <w:rFonts w:eastAsia="Calibri"/>
              </w:rPr>
              <w:t>(3)</w:t>
            </w:r>
            <w:r w:rsidRPr="00A23740">
              <w:rPr>
                <w:szCs w:val="24"/>
                <w:lang w:eastAsia="tr-TR"/>
              </w:rPr>
              <w:t xml:space="preserve"> Açık artırma, ilanda belirtilen gün ve saat aralığında ve teklif verme yoluyla yapılır. Teklif verenlerin kişisel bilgileri, artırma süresi içinde bilişim sistemini işleten kamu görevlileri hariç hiç kimse tarafından görülemez ve bilişim sisteminde gösterilemez.</w:t>
            </w:r>
          </w:p>
          <w:p w:rsidR="004C010E" w:rsidRPr="00A23740" w:rsidRDefault="004C010E" w:rsidP="009431FF">
            <w:pPr>
              <w:rPr>
                <w:szCs w:val="24"/>
                <w:lang w:eastAsia="tr-TR"/>
              </w:rPr>
            </w:pPr>
          </w:p>
          <w:p w:rsidR="004C010E" w:rsidRPr="00A23740" w:rsidRDefault="004C010E" w:rsidP="009431FF">
            <w:pPr>
              <w:rPr>
                <w:szCs w:val="24"/>
                <w:lang w:eastAsia="tr-TR"/>
              </w:rPr>
            </w:pPr>
          </w:p>
          <w:p w:rsidR="0066021D" w:rsidRPr="00A23740" w:rsidRDefault="0066021D" w:rsidP="009431FF">
            <w:pPr>
              <w:rPr>
                <w:szCs w:val="24"/>
                <w:lang w:eastAsia="tr-TR"/>
              </w:rPr>
            </w:pPr>
            <w:r w:rsidRPr="00A23740">
              <w:rPr>
                <w:rStyle w:val="KIRMIZIChar"/>
                <w:rFonts w:eastAsia="Calibri"/>
              </w:rPr>
              <w:t>(2)</w:t>
            </w:r>
            <w:r w:rsidRPr="00A23740">
              <w:rPr>
                <w:szCs w:val="24"/>
                <w:lang w:eastAsia="tr-TR"/>
              </w:rPr>
              <w:t xml:space="preserve"> </w:t>
            </w:r>
            <w:r w:rsidRPr="00A23740">
              <w:rPr>
                <w:rStyle w:val="KIRMIZIChar"/>
                <w:rFonts w:eastAsia="Calibri"/>
              </w:rPr>
              <w:t>Açık artırmada</w:t>
            </w:r>
            <w:r w:rsidRPr="00A23740">
              <w:rPr>
                <w:szCs w:val="24"/>
                <w:lang w:eastAsia="tr-TR"/>
              </w:rPr>
              <w:t xml:space="preserve"> teklif verme süresi </w:t>
            </w:r>
            <w:r w:rsidRPr="00A23740">
              <w:rPr>
                <w:rStyle w:val="KIRMIZIChar"/>
                <w:rFonts w:eastAsia="Calibri"/>
              </w:rPr>
              <w:t>yedi gündür</w:t>
            </w:r>
            <w:r w:rsidRPr="00A23740">
              <w:rPr>
                <w:szCs w:val="24"/>
                <w:lang w:eastAsia="tr-TR"/>
              </w:rPr>
              <w:t>.</w:t>
            </w:r>
          </w:p>
          <w:p w:rsidR="00AA5C8C" w:rsidRPr="00A23740" w:rsidRDefault="00AA5C8C" w:rsidP="009431FF">
            <w:pPr>
              <w:rPr>
                <w:szCs w:val="24"/>
                <w:lang w:eastAsia="tr-TR"/>
              </w:rPr>
            </w:pPr>
          </w:p>
          <w:p w:rsidR="00AA5C8C" w:rsidRPr="00A23740" w:rsidRDefault="00AA5C8C" w:rsidP="009431FF">
            <w:pPr>
              <w:rPr>
                <w:szCs w:val="24"/>
                <w:lang w:eastAsia="tr-TR"/>
              </w:rPr>
            </w:pPr>
          </w:p>
          <w:p w:rsidR="00AA5C8C" w:rsidRPr="00A23740" w:rsidRDefault="00AA5C8C" w:rsidP="009431FF">
            <w:pPr>
              <w:rPr>
                <w:szCs w:val="24"/>
                <w:lang w:eastAsia="tr-TR"/>
              </w:rPr>
            </w:pPr>
          </w:p>
          <w:p w:rsidR="00BD41B4" w:rsidRPr="00A23740" w:rsidRDefault="00BD41B4" w:rsidP="009431FF">
            <w:pPr>
              <w:rPr>
                <w:szCs w:val="24"/>
                <w:lang w:eastAsia="tr-TR"/>
              </w:rPr>
            </w:pPr>
          </w:p>
          <w:p w:rsidR="008514F2" w:rsidRPr="00A23740" w:rsidRDefault="00AA5C8C" w:rsidP="009431FF">
            <w:pPr>
              <w:rPr>
                <w:szCs w:val="24"/>
                <w:lang w:eastAsia="tr-TR"/>
              </w:rPr>
            </w:pPr>
            <w:r w:rsidRPr="00A23740">
              <w:rPr>
                <w:rStyle w:val="KIRMIZIChar"/>
                <w:rFonts w:eastAsia="Calibri"/>
              </w:rPr>
              <w:t>(4)</w:t>
            </w:r>
            <w:r w:rsidRPr="00A23740">
              <w:rPr>
                <w:szCs w:val="24"/>
                <w:lang w:eastAsia="tr-TR"/>
              </w:rPr>
              <w:t xml:space="preserve"> </w:t>
            </w:r>
            <w:r w:rsidR="008514F2" w:rsidRPr="00A23740">
              <w:rPr>
                <w:color w:val="000000"/>
              </w:rPr>
              <w:t xml:space="preserve">Teklifler arasındaki fark, satışa çıkarılan malın </w:t>
            </w:r>
            <w:r w:rsidR="008514F2" w:rsidRPr="00A23740">
              <w:rPr>
                <w:rStyle w:val="KIRMIZIChar"/>
                <w:rFonts w:eastAsia="Calibri"/>
              </w:rPr>
              <w:t>muhammen</w:t>
            </w:r>
            <w:r w:rsidR="008514F2" w:rsidRPr="00A23740">
              <w:rPr>
                <w:color w:val="000000"/>
              </w:rPr>
              <w:t xml:space="preserve"> kıymetinin binde beşinden ve her hâlde bin Türk lirasından az olamaz.</w:t>
            </w:r>
          </w:p>
          <w:p w:rsidR="00AA5C8C" w:rsidRPr="00A23740" w:rsidRDefault="00AA5C8C" w:rsidP="009431FF">
            <w:pPr>
              <w:rPr>
                <w:szCs w:val="24"/>
                <w:lang w:eastAsia="tr-TR"/>
              </w:rPr>
            </w:pPr>
          </w:p>
          <w:p w:rsidR="00D649CC" w:rsidRPr="00A23740" w:rsidRDefault="00D649CC" w:rsidP="009431FF">
            <w:pPr>
              <w:rPr>
                <w:rStyle w:val="KIRMIZIChar"/>
                <w:rFonts w:eastAsia="Calibri"/>
                <w:lang w:eastAsia="tr-TR"/>
              </w:rPr>
            </w:pPr>
            <w:r w:rsidRPr="00A23740">
              <w:rPr>
                <w:rFonts w:eastAsia="Times New Roman"/>
                <w:i/>
                <w:iCs/>
                <w:color w:val="000000"/>
                <w:szCs w:val="24"/>
                <w:lang w:eastAsia="tr-TR"/>
              </w:rPr>
              <w:t>İhale</w:t>
            </w:r>
            <w:r w:rsidRPr="00A23740">
              <w:rPr>
                <w:rStyle w:val="KIRMIZIChar"/>
                <w:rFonts w:eastAsia="Calibri"/>
              </w:rPr>
              <w:t>nin yapılması:</w:t>
            </w:r>
          </w:p>
          <w:p w:rsidR="00D649CC" w:rsidRPr="00A23740" w:rsidRDefault="00D649CC" w:rsidP="009431FF">
            <w:pPr>
              <w:rPr>
                <w:b/>
                <w:szCs w:val="24"/>
                <w:lang w:eastAsia="tr-TR"/>
              </w:rPr>
            </w:pPr>
            <w:r w:rsidRPr="00A23740">
              <w:rPr>
                <w:b/>
              </w:rPr>
              <w:t>Madde 115 …</w:t>
            </w:r>
          </w:p>
          <w:p w:rsidR="00D649CC" w:rsidRPr="00A23740" w:rsidRDefault="00D649CC" w:rsidP="009431FF">
            <w:pPr>
              <w:rPr>
                <w:szCs w:val="24"/>
                <w:lang w:eastAsia="tr-TR"/>
              </w:rPr>
            </w:pPr>
            <w:r w:rsidRPr="00A23740">
              <w:rPr>
                <w:rStyle w:val="KIRMIZIChar"/>
                <w:rFonts w:eastAsia="Calibri"/>
              </w:rPr>
              <w:t>(5)</w:t>
            </w:r>
            <w:r w:rsidRPr="00A23740">
              <w:rPr>
                <w:szCs w:val="24"/>
                <w:lang w:eastAsia="tr-TR"/>
              </w:rPr>
              <w:t xml:space="preserve"> Satış talebi teklif verme başladıktan sonra geri alınamaz. Teklif verme süresinin bitimine kadar borcun tamamen ödenmesi hâlinde satış durdurulur.</w:t>
            </w:r>
          </w:p>
          <w:p w:rsidR="00D649CC" w:rsidRPr="00A23740" w:rsidRDefault="00D649CC" w:rsidP="009431FF">
            <w:pPr>
              <w:rPr>
                <w:szCs w:val="24"/>
                <w:lang w:eastAsia="tr-TR"/>
              </w:rPr>
            </w:pPr>
          </w:p>
          <w:p w:rsidR="00D649CC" w:rsidRPr="00A23740" w:rsidRDefault="00D649CC" w:rsidP="009431FF">
            <w:pPr>
              <w:rPr>
                <w:szCs w:val="24"/>
                <w:lang w:eastAsia="tr-TR"/>
              </w:rPr>
            </w:pPr>
            <w:r w:rsidRPr="00A23740">
              <w:rPr>
                <w:b/>
                <w:szCs w:val="24"/>
                <w:lang w:eastAsia="tr-TR"/>
              </w:rPr>
              <w:t xml:space="preserve">MADDE </w:t>
            </w:r>
            <w:r w:rsidRPr="00A23740">
              <w:rPr>
                <w:rStyle w:val="KIRMIZIChar"/>
                <w:rFonts w:eastAsia="Calibri"/>
              </w:rPr>
              <w:t>111/b- …</w:t>
            </w:r>
          </w:p>
          <w:p w:rsidR="00D649CC" w:rsidRPr="00A23740" w:rsidRDefault="00D649CC" w:rsidP="009431FF">
            <w:pPr>
              <w:rPr>
                <w:szCs w:val="24"/>
                <w:lang w:eastAsia="tr-TR"/>
              </w:rPr>
            </w:pPr>
            <w:r w:rsidRPr="00A23740">
              <w:rPr>
                <w:rStyle w:val="KIRMIZIChar"/>
                <w:rFonts w:eastAsia="Calibri"/>
              </w:rPr>
              <w:t>(5)</w:t>
            </w:r>
            <w:r w:rsidRPr="00A23740">
              <w:rPr>
                <w:szCs w:val="24"/>
                <w:lang w:eastAsia="tr-TR"/>
              </w:rPr>
              <w:t xml:space="preserve"> Açık artırmada en yüksek teklifi veren, artırma süresi içinde kendisinden yüksek bir teklif verilmedikçe teklifini </w:t>
            </w:r>
            <w:r w:rsidRPr="00A23740">
              <w:rPr>
                <w:rStyle w:val="KIRMIZIChar"/>
                <w:rFonts w:eastAsia="Calibri"/>
              </w:rPr>
              <w:t>çekemez</w:t>
            </w:r>
            <w:r w:rsidRPr="00A23740">
              <w:rPr>
                <w:szCs w:val="24"/>
                <w:lang w:eastAsia="tr-TR"/>
              </w:rPr>
              <w:t xml:space="preserve"> ve teminatını alamaz.</w:t>
            </w:r>
          </w:p>
          <w:p w:rsidR="00AA5C8C" w:rsidRPr="00A23740" w:rsidRDefault="00AA5C8C" w:rsidP="009431FF">
            <w:pPr>
              <w:rPr>
                <w:szCs w:val="24"/>
                <w:lang w:eastAsia="tr-TR"/>
              </w:rPr>
            </w:pPr>
          </w:p>
          <w:p w:rsidR="00AA5C8C" w:rsidRPr="00A23740" w:rsidRDefault="00AA5C8C" w:rsidP="009431FF">
            <w:pPr>
              <w:rPr>
                <w:szCs w:val="24"/>
                <w:lang w:eastAsia="tr-TR"/>
              </w:rPr>
            </w:pPr>
            <w:r w:rsidRPr="00A23740">
              <w:rPr>
                <w:rStyle w:val="KIRMIZIChar"/>
                <w:rFonts w:eastAsia="Calibri"/>
              </w:rPr>
              <w:t>(6)</w:t>
            </w:r>
            <w:r w:rsidRPr="00A23740">
              <w:rPr>
                <w:szCs w:val="24"/>
                <w:lang w:eastAsia="tr-TR"/>
              </w:rPr>
              <w:t xml:space="preserve"> </w:t>
            </w:r>
            <w:r w:rsidR="000779D1" w:rsidRPr="00A23740">
              <w:rPr>
                <w:rStyle w:val="KIRMIZIChar"/>
                <w:rFonts w:eastAsia="Calibri"/>
              </w:rPr>
              <w:t>(Değişik altıncı fıkra:7/11/2024-7531/1 md.)</w:t>
            </w:r>
            <w:r w:rsidR="000779D1" w:rsidRPr="00A23740">
              <w:rPr>
                <w:rStyle w:val="KIRMIZIChar"/>
                <w:rFonts w:eastAsia="Calibri"/>
                <w:strike w:val="0"/>
              </w:rPr>
              <w:t>  </w:t>
            </w:r>
            <w:r w:rsidR="000779D1" w:rsidRPr="00A23740">
              <w:rPr>
                <w:color w:val="000000"/>
              </w:rPr>
              <w:t>Açık artırma süresinin son on dakikası içinde yeni bir teklifin verilmesi hâlinde açık artırma üç dakika uzatılır. Uzama süresi içinde yeni bir teklif verilmesi hâlinde açık artırma süresi her yeni teklifin verilmesinden itibaren üç dakika uzatılır. Son uzama süresi içinde yeni bir teklif verilmezse mal en yüksek teklif verene ihale edilir. Uzama sürelerinin toplamı bir saati geçemez. Bir saatlik süre Adalet Bakanlığının kararıyla kısaltılabilir, uzatılabilir veya kaldırılabilir ve bu kararlar Bakanlığın resmi internet sitesinde duyurulur.</w:t>
            </w:r>
          </w:p>
          <w:p w:rsidR="00AA5C8C" w:rsidRPr="00A23740" w:rsidRDefault="00AA5C8C" w:rsidP="009431FF">
            <w:pPr>
              <w:pStyle w:val="KIRMIZI"/>
            </w:pPr>
            <w:r w:rsidRPr="00A23740">
              <w:t>(7) . . .</w:t>
            </w:r>
          </w:p>
          <w:p w:rsidR="00AA5C8C" w:rsidRPr="00A23740" w:rsidRDefault="00AA5C8C" w:rsidP="009431FF">
            <w:pPr>
              <w:pStyle w:val="KIRMIZI"/>
              <w:rPr>
                <w:lang w:val="tr-TR"/>
              </w:rPr>
            </w:pPr>
            <w:r w:rsidRPr="00A23740">
              <w:t xml:space="preserve">(8) . . </w:t>
            </w:r>
            <w:r w:rsidRPr="00A23740">
              <w:rPr>
                <w:lang w:val="tr-TR"/>
              </w:rPr>
              <w:t>.</w:t>
            </w:r>
          </w:p>
          <w:p w:rsidR="00AA5C8C" w:rsidRPr="00A23740" w:rsidRDefault="00AA5C8C" w:rsidP="009431FF">
            <w:pPr>
              <w:rPr>
                <w:szCs w:val="24"/>
                <w:lang w:eastAsia="tr-TR"/>
              </w:rPr>
            </w:pPr>
          </w:p>
          <w:p w:rsidR="00AA5C8C" w:rsidRPr="00A23740" w:rsidRDefault="00AA5C8C" w:rsidP="009431FF">
            <w:pPr>
              <w:rPr>
                <w:szCs w:val="24"/>
                <w:lang w:eastAsia="tr-TR"/>
              </w:rPr>
            </w:pPr>
            <w:r w:rsidRPr="00A23740">
              <w:rPr>
                <w:rStyle w:val="KIRMIZIChar"/>
                <w:rFonts w:eastAsia="Calibri"/>
              </w:rPr>
              <w:t>(9)</w:t>
            </w:r>
            <w:r w:rsidRPr="00A23740">
              <w:rPr>
                <w:rStyle w:val="KIRMIZIChar"/>
                <w:rFonts w:eastAsia="Calibri"/>
                <w:strike w:val="0"/>
              </w:rPr>
              <w:t xml:space="preserve"> </w:t>
            </w:r>
            <w:r w:rsidRPr="00A23740">
              <w:rPr>
                <w:szCs w:val="24"/>
                <w:lang w:eastAsia="tr-TR"/>
              </w:rPr>
              <w:t>Teklif verme süresi içinde bilişim sisteminin bakımı veya iyileştirilmesi için gerekli olan işlemler yapılabilir. Bu işlemler, ihalenin geçerliliğini etkilemez.</w:t>
            </w:r>
          </w:p>
          <w:p w:rsidR="00AA5C8C" w:rsidRPr="00A23740" w:rsidRDefault="00AA5C8C" w:rsidP="009431FF">
            <w:pPr>
              <w:rPr>
                <w:szCs w:val="24"/>
                <w:lang w:eastAsia="tr-TR"/>
              </w:rPr>
            </w:pPr>
          </w:p>
          <w:p w:rsidR="00AA5C8C" w:rsidRPr="00A23740" w:rsidRDefault="00AA5C8C" w:rsidP="009431FF">
            <w:pPr>
              <w:rPr>
                <w:szCs w:val="24"/>
                <w:lang w:eastAsia="tr-TR"/>
              </w:rPr>
            </w:pPr>
            <w:r w:rsidRPr="00A23740">
              <w:rPr>
                <w:rStyle w:val="KIRMIZIChar"/>
                <w:rFonts w:eastAsia="Calibri"/>
              </w:rPr>
              <w:t>(10)</w:t>
            </w:r>
            <w:r w:rsidRPr="00A23740">
              <w:rPr>
                <w:szCs w:val="24"/>
                <w:lang w:eastAsia="tr-TR"/>
              </w:rPr>
              <w:t xml:space="preserve"> Bu maddenin uygulanmasına ve </w:t>
            </w:r>
            <w:r w:rsidRPr="00A23740">
              <w:rPr>
                <w:rStyle w:val="KIRMIZIChar"/>
                <w:rFonts w:eastAsia="Calibri"/>
              </w:rPr>
              <w:t>mahcuzların</w:t>
            </w:r>
            <w:r w:rsidRPr="00A23740">
              <w:rPr>
                <w:szCs w:val="24"/>
                <w:lang w:eastAsia="tr-TR"/>
              </w:rPr>
              <w:t xml:space="preserve"> elektronik ortamda açık artırma suretiyle satışına ilişkin </w:t>
            </w:r>
            <w:r w:rsidRPr="00A23740">
              <w:rPr>
                <w:rStyle w:val="KIRMIZIChar"/>
                <w:rFonts w:eastAsia="Calibri"/>
              </w:rPr>
              <w:t>usul ve esaslar</w:t>
            </w:r>
            <w:r w:rsidRPr="00A23740">
              <w:rPr>
                <w:szCs w:val="24"/>
                <w:lang w:eastAsia="tr-TR"/>
              </w:rPr>
              <w:t xml:space="preserve">, </w:t>
            </w:r>
            <w:r w:rsidRPr="00A23740">
              <w:rPr>
                <w:rStyle w:val="KIRMIZIChar"/>
                <w:rFonts w:eastAsia="Calibri"/>
              </w:rPr>
              <w:t>Adalet Bakanlığınca yürürlüğe konulan</w:t>
            </w:r>
            <w:r w:rsidRPr="00A23740">
              <w:rPr>
                <w:szCs w:val="24"/>
                <w:lang w:eastAsia="tr-TR"/>
              </w:rPr>
              <w:t xml:space="preserve"> yönetmelikle belirlenir.</w:t>
            </w:r>
          </w:p>
          <w:p w:rsidR="00AA5C8C" w:rsidRPr="00A23740" w:rsidRDefault="00AA5C8C" w:rsidP="009431FF">
            <w:pPr>
              <w:rPr>
                <w:szCs w:val="24"/>
                <w:lang w:eastAsia="tr-TR"/>
              </w:rPr>
            </w:pPr>
          </w:p>
        </w:tc>
        <w:tc>
          <w:tcPr>
            <w:tcW w:w="2500" w:type="pct"/>
          </w:tcPr>
          <w:p w:rsidR="00AA5C8C" w:rsidRPr="00A23740" w:rsidRDefault="00AA5C8C" w:rsidP="009431FF">
            <w:pPr>
              <w:rPr>
                <w:b/>
                <w:szCs w:val="24"/>
                <w:lang w:eastAsia="tr-TR"/>
              </w:rPr>
            </w:pPr>
            <w:r w:rsidRPr="00A23740">
              <w:rPr>
                <w:b/>
                <w:szCs w:val="24"/>
                <w:lang w:eastAsia="tr-TR"/>
              </w:rPr>
              <w:t>Elektronik ortamda açık artırma</w:t>
            </w:r>
            <w:r w:rsidRPr="00A23740">
              <w:rPr>
                <w:rStyle w:val="MaviChar"/>
              </w:rPr>
              <w:t>nın usul ve esasları</w:t>
            </w:r>
          </w:p>
          <w:p w:rsidR="00CC44DE" w:rsidRPr="00A23740" w:rsidRDefault="00AA5C8C" w:rsidP="009431FF">
            <w:pPr>
              <w:rPr>
                <w:szCs w:val="24"/>
                <w:lang w:eastAsia="tr-TR"/>
              </w:rPr>
            </w:pPr>
            <w:r w:rsidRPr="00A23740">
              <w:rPr>
                <w:b/>
                <w:szCs w:val="24"/>
                <w:lang w:eastAsia="tr-TR"/>
              </w:rPr>
              <w:t xml:space="preserve">MADDE </w:t>
            </w:r>
            <w:r w:rsidR="0025794C" w:rsidRPr="00A23740">
              <w:rPr>
                <w:rStyle w:val="MaviChar"/>
                <w:lang w:val="tr-TR"/>
              </w:rPr>
              <w:t>23</w:t>
            </w:r>
            <w:r w:rsidR="00396AB6" w:rsidRPr="00A23740">
              <w:rPr>
                <w:rStyle w:val="MaviChar"/>
                <w:lang w:val="tr-TR"/>
              </w:rPr>
              <w:t>3</w:t>
            </w:r>
            <w:r w:rsidRPr="00A23740">
              <w:rPr>
                <w:rStyle w:val="MaviChar"/>
              </w:rPr>
              <w:t>-</w:t>
            </w:r>
            <w:r w:rsidRPr="00A23740">
              <w:rPr>
                <w:rFonts w:eastAsia="ヒラギノ明朝 Pro W3"/>
                <w:b/>
                <w:color w:val="339933"/>
                <w:szCs w:val="24"/>
              </w:rPr>
              <w:t xml:space="preserve"> </w:t>
            </w:r>
            <w:r w:rsidRPr="00A23740">
              <w:rPr>
                <w:rStyle w:val="MaviChar"/>
              </w:rPr>
              <w:t>(1)</w:t>
            </w:r>
            <w:r w:rsidRPr="00A23740">
              <w:rPr>
                <w:szCs w:val="24"/>
                <w:lang w:eastAsia="tr-TR"/>
              </w:rPr>
              <w:t xml:space="preserve"> Açık artırma, ilanda belirtilen gün ve saat aralığında ve teklif verme yoluyla yapılır. </w:t>
            </w:r>
          </w:p>
          <w:p w:rsidR="00CC44DE" w:rsidRPr="00A23740" w:rsidRDefault="00CC44DE" w:rsidP="009431FF">
            <w:pPr>
              <w:rPr>
                <w:szCs w:val="24"/>
                <w:lang w:eastAsia="tr-TR"/>
              </w:rPr>
            </w:pPr>
          </w:p>
          <w:p w:rsidR="00AA5C8C" w:rsidRPr="00A23740" w:rsidRDefault="00CC44DE" w:rsidP="009431FF">
            <w:pPr>
              <w:rPr>
                <w:szCs w:val="24"/>
                <w:lang w:eastAsia="tr-TR"/>
              </w:rPr>
            </w:pPr>
            <w:r w:rsidRPr="00A23740">
              <w:rPr>
                <w:rStyle w:val="MaviChar"/>
              </w:rPr>
              <w:t>(2)</w:t>
            </w:r>
            <w:r w:rsidRPr="00A23740">
              <w:rPr>
                <w:szCs w:val="24"/>
                <w:lang w:eastAsia="tr-TR"/>
              </w:rPr>
              <w:t xml:space="preserve"> </w:t>
            </w:r>
            <w:r w:rsidR="00AA5C8C" w:rsidRPr="00A23740">
              <w:rPr>
                <w:szCs w:val="24"/>
                <w:lang w:eastAsia="tr-TR"/>
              </w:rPr>
              <w:t>Teklif verenlerin kişisel bilgileri, artırma süresi içinde bilişim sistemini işleten kamu görevlileri hariç hiç kimse tarafından görülemez ve bilişim sisteminde gösterilemez.</w:t>
            </w:r>
          </w:p>
          <w:p w:rsidR="00AA5C8C" w:rsidRPr="00A23740" w:rsidRDefault="00AA5C8C" w:rsidP="009431FF">
            <w:pPr>
              <w:rPr>
                <w:szCs w:val="24"/>
                <w:lang w:eastAsia="tr-TR"/>
              </w:rPr>
            </w:pPr>
          </w:p>
          <w:p w:rsidR="00AA5C8C" w:rsidRPr="00A23740" w:rsidRDefault="00D649CC" w:rsidP="009431FF">
            <w:pPr>
              <w:rPr>
                <w:szCs w:val="24"/>
              </w:rPr>
            </w:pPr>
            <w:r w:rsidRPr="00A23740">
              <w:rPr>
                <w:rStyle w:val="MaviChar"/>
                <w:lang w:val="tr-TR"/>
              </w:rPr>
              <w:t>(3</w:t>
            </w:r>
            <w:r w:rsidR="00AA5C8C" w:rsidRPr="00A23740">
              <w:rPr>
                <w:rStyle w:val="MaviChar"/>
                <w:lang w:val="tr-TR"/>
              </w:rPr>
              <w:t xml:space="preserve">) </w:t>
            </w:r>
            <w:r w:rsidR="00AA5C8C" w:rsidRPr="00A23740">
              <w:rPr>
                <w:szCs w:val="24"/>
                <w:lang w:eastAsia="tr-TR"/>
              </w:rPr>
              <w:t>Teklif verme süresi</w:t>
            </w:r>
            <w:r w:rsidR="00AA5C8C" w:rsidRPr="00A23740">
              <w:rPr>
                <w:rStyle w:val="MaviChar"/>
              </w:rPr>
              <w:t>,</w:t>
            </w:r>
            <w:r w:rsidR="00AA5C8C" w:rsidRPr="00A23740">
              <w:rPr>
                <w:szCs w:val="24"/>
                <w:lang w:eastAsia="tr-TR"/>
              </w:rPr>
              <w:t xml:space="preserve"> </w:t>
            </w:r>
            <w:r w:rsidR="00AA5C8C" w:rsidRPr="00A23740">
              <w:rPr>
                <w:rStyle w:val="MaviChar"/>
              </w:rPr>
              <w:t>açık artırmanın başlangıcından itibaren bir haftadır.</w:t>
            </w:r>
            <w:r w:rsidR="00AA5C8C" w:rsidRPr="00A23740">
              <w:rPr>
                <w:szCs w:val="24"/>
                <w:lang w:eastAsia="tr-TR"/>
              </w:rPr>
              <w:t xml:space="preserve"> </w:t>
            </w:r>
            <w:r w:rsidR="00AA5C8C" w:rsidRPr="00A23740">
              <w:rPr>
                <w:rStyle w:val="MaviChar"/>
              </w:rPr>
              <w:t>Şu kadar ki, antika veya sanat değeri olan eşya dışında altın, gümüş, platin gibi değerli madenlerde teklif verme süresi bir gündür.</w:t>
            </w:r>
          </w:p>
          <w:p w:rsidR="00AA5C8C" w:rsidRPr="00A23740" w:rsidRDefault="00AA5C8C" w:rsidP="009431FF">
            <w:pPr>
              <w:rPr>
                <w:szCs w:val="24"/>
              </w:rPr>
            </w:pPr>
          </w:p>
          <w:p w:rsidR="00AA5C8C" w:rsidRPr="00A23740" w:rsidRDefault="00D649CC" w:rsidP="009431FF">
            <w:pPr>
              <w:rPr>
                <w:szCs w:val="24"/>
                <w:lang w:eastAsia="tr-TR"/>
              </w:rPr>
            </w:pPr>
            <w:r w:rsidRPr="00A23740">
              <w:rPr>
                <w:rStyle w:val="MaviChar"/>
              </w:rPr>
              <w:t>(4</w:t>
            </w:r>
            <w:r w:rsidR="00AA5C8C" w:rsidRPr="00A23740">
              <w:rPr>
                <w:rStyle w:val="MaviChar"/>
              </w:rPr>
              <w:t>)</w:t>
            </w:r>
            <w:r w:rsidR="00AA5C8C" w:rsidRPr="00A23740">
              <w:rPr>
                <w:szCs w:val="24"/>
                <w:lang w:eastAsia="tr-TR"/>
              </w:rPr>
              <w:t xml:space="preserve"> Teklifler arasındaki fark, satışa çıkarılan malın </w:t>
            </w:r>
            <w:r w:rsidR="00AA5C8C" w:rsidRPr="00A23740">
              <w:rPr>
                <w:rStyle w:val="MaviChar"/>
              </w:rPr>
              <w:t>tahmin edilen</w:t>
            </w:r>
            <w:r w:rsidR="00AA5C8C" w:rsidRPr="00A23740">
              <w:rPr>
                <w:szCs w:val="24"/>
                <w:lang w:eastAsia="tr-TR"/>
              </w:rPr>
              <w:t xml:space="preserve"> kıymetinin binde </w:t>
            </w:r>
            <w:r w:rsidR="00CC44DE" w:rsidRPr="00D60C1D">
              <w:rPr>
                <w:rStyle w:val="Balk1Char"/>
                <w:rFonts w:eastAsia="Calibri"/>
                <w:b w:val="0"/>
                <w:color w:val="000000"/>
              </w:rPr>
              <w:t>beşinden</w:t>
            </w:r>
            <w:r w:rsidR="00AA5C8C" w:rsidRPr="00A23740">
              <w:rPr>
                <w:szCs w:val="24"/>
                <w:lang w:eastAsia="tr-TR"/>
              </w:rPr>
              <w:t xml:space="preserve"> ve her hâlde </w:t>
            </w:r>
            <w:r w:rsidR="007437C6" w:rsidRPr="00D60C1D">
              <w:rPr>
                <w:rStyle w:val="Balk1Char"/>
                <w:rFonts w:eastAsia="Calibri"/>
                <w:b w:val="0"/>
                <w:color w:val="000000"/>
              </w:rPr>
              <w:t>bin</w:t>
            </w:r>
            <w:r w:rsidR="007437C6" w:rsidRPr="00A23740">
              <w:rPr>
                <w:szCs w:val="24"/>
                <w:lang w:eastAsia="tr-TR"/>
              </w:rPr>
              <w:t xml:space="preserve"> </w:t>
            </w:r>
            <w:r w:rsidR="00AA5C8C" w:rsidRPr="00A23740">
              <w:rPr>
                <w:szCs w:val="24"/>
                <w:lang w:eastAsia="tr-TR"/>
              </w:rPr>
              <w:t>Türk lirasından az olamaz.</w:t>
            </w:r>
          </w:p>
          <w:p w:rsidR="008514F2" w:rsidRPr="00A23740" w:rsidRDefault="008514F2" w:rsidP="009431FF">
            <w:pPr>
              <w:rPr>
                <w:szCs w:val="24"/>
                <w:lang w:eastAsia="tr-TR"/>
              </w:rPr>
            </w:pPr>
          </w:p>
          <w:p w:rsidR="003C2B62" w:rsidRPr="00A23740" w:rsidRDefault="003C2B62" w:rsidP="009431FF">
            <w:pPr>
              <w:rPr>
                <w:szCs w:val="24"/>
                <w:lang w:eastAsia="tr-TR"/>
              </w:rPr>
            </w:pPr>
          </w:p>
          <w:p w:rsidR="003C2B62" w:rsidRPr="00A23740" w:rsidRDefault="003C2B62" w:rsidP="009431FF">
            <w:pPr>
              <w:rPr>
                <w:szCs w:val="24"/>
                <w:lang w:eastAsia="tr-TR"/>
              </w:rPr>
            </w:pPr>
          </w:p>
          <w:p w:rsidR="00D649CC" w:rsidRPr="00A23740" w:rsidRDefault="00D649CC" w:rsidP="009431FF">
            <w:pPr>
              <w:pStyle w:val="Mavi"/>
            </w:pPr>
            <w:r w:rsidRPr="00A23740">
              <w:rPr>
                <w:lang w:val="tr-TR"/>
              </w:rPr>
              <w:t>(</w:t>
            </w:r>
            <w:r w:rsidRPr="00A23740">
              <w:t xml:space="preserve">5) </w:t>
            </w:r>
            <w:r w:rsidRPr="00A23740">
              <w:rPr>
                <w:b w:val="0"/>
                <w:bCs w:val="0"/>
                <w:color w:val="auto"/>
                <w:lang w:val="tr-TR" w:eastAsia="tr-TR"/>
              </w:rPr>
              <w:t>Satış talebi</w:t>
            </w:r>
            <w:r w:rsidRPr="00A23740">
              <w:t>,</w:t>
            </w:r>
            <w:r w:rsidRPr="00A23740">
              <w:rPr>
                <w:b w:val="0"/>
                <w:bCs w:val="0"/>
                <w:color w:val="auto"/>
                <w:lang w:val="tr-TR" w:eastAsia="tr-TR"/>
              </w:rPr>
              <w:t xml:space="preserve"> teklif verme başladıktan sonra geri alınamaz. Teklif verme süresinin bitimine kadar borcun tamamen ödenmesi h</w:t>
            </w:r>
            <w:r w:rsidR="001910E1" w:rsidRPr="00A23740">
              <w:rPr>
                <w:b w:val="0"/>
                <w:bCs w:val="0"/>
                <w:color w:val="auto"/>
                <w:lang w:val="tr-TR" w:eastAsia="tr-TR"/>
              </w:rPr>
              <w:t>â</w:t>
            </w:r>
            <w:r w:rsidRPr="00A23740">
              <w:rPr>
                <w:b w:val="0"/>
                <w:bCs w:val="0"/>
                <w:color w:val="auto"/>
                <w:lang w:val="tr-TR" w:eastAsia="tr-TR"/>
              </w:rPr>
              <w:t xml:space="preserve">linde satış </w:t>
            </w:r>
            <w:r w:rsidRPr="00A23740">
              <w:t>derh</w:t>
            </w:r>
            <w:r w:rsidR="007437C6" w:rsidRPr="00A23740">
              <w:rPr>
                <w:lang w:val="tr-TR"/>
              </w:rPr>
              <w:t>â</w:t>
            </w:r>
            <w:r w:rsidRPr="00A23740">
              <w:t>l</w:t>
            </w:r>
            <w:r w:rsidRPr="00A23740">
              <w:rPr>
                <w:b w:val="0"/>
                <w:bCs w:val="0"/>
                <w:color w:val="auto"/>
                <w:lang w:val="tr-TR" w:eastAsia="tr-TR"/>
              </w:rPr>
              <w:t xml:space="preserve"> durdurulur.</w:t>
            </w:r>
          </w:p>
          <w:p w:rsidR="00D649CC" w:rsidRPr="00A23740" w:rsidRDefault="00D649CC" w:rsidP="009431FF">
            <w:pPr>
              <w:rPr>
                <w:szCs w:val="24"/>
                <w:lang w:eastAsia="tr-TR"/>
              </w:rPr>
            </w:pPr>
          </w:p>
          <w:p w:rsidR="003C2B62" w:rsidRPr="00A23740" w:rsidRDefault="003C2B62" w:rsidP="009431FF">
            <w:pPr>
              <w:rPr>
                <w:szCs w:val="24"/>
                <w:lang w:eastAsia="tr-TR"/>
              </w:rPr>
            </w:pPr>
          </w:p>
          <w:p w:rsidR="00AA5C8C" w:rsidRPr="00A23740" w:rsidRDefault="00CC44DE" w:rsidP="009431FF">
            <w:pPr>
              <w:rPr>
                <w:szCs w:val="24"/>
                <w:lang w:eastAsia="tr-TR"/>
              </w:rPr>
            </w:pPr>
            <w:r w:rsidRPr="00A23740">
              <w:rPr>
                <w:rStyle w:val="MaviChar"/>
              </w:rPr>
              <w:t>(6</w:t>
            </w:r>
            <w:r w:rsidR="00AA5C8C" w:rsidRPr="00A23740">
              <w:rPr>
                <w:rStyle w:val="MaviChar"/>
              </w:rPr>
              <w:t>)</w:t>
            </w:r>
            <w:r w:rsidR="00AA5C8C" w:rsidRPr="00A23740">
              <w:rPr>
                <w:szCs w:val="24"/>
                <w:lang w:eastAsia="tr-TR"/>
              </w:rPr>
              <w:t xml:space="preserve"> Açık artırmada en yüksek teklifi veren, artırma süresi içinde kendisinden yüksek bir teklif verilmedikçe teklifini</w:t>
            </w:r>
            <w:r w:rsidR="00D649CC" w:rsidRPr="00A23740">
              <w:rPr>
                <w:szCs w:val="24"/>
                <w:lang w:eastAsia="tr-TR"/>
              </w:rPr>
              <w:t xml:space="preserve"> </w:t>
            </w:r>
            <w:r w:rsidR="00AA5C8C" w:rsidRPr="00A23740">
              <w:rPr>
                <w:szCs w:val="24"/>
                <w:lang w:eastAsia="tr-TR"/>
              </w:rPr>
              <w:t xml:space="preserve">ve teminatını </w:t>
            </w:r>
            <w:r w:rsidR="00AA5C8C" w:rsidRPr="00A23740">
              <w:rPr>
                <w:rStyle w:val="MaviChar"/>
              </w:rPr>
              <w:t>geri</w:t>
            </w:r>
            <w:r w:rsidR="00AA5C8C" w:rsidRPr="00A23740">
              <w:rPr>
                <w:szCs w:val="24"/>
                <w:lang w:eastAsia="tr-TR"/>
              </w:rPr>
              <w:t xml:space="preserve"> alamaz.</w:t>
            </w:r>
          </w:p>
          <w:p w:rsidR="00D649CC" w:rsidRPr="00A23740" w:rsidRDefault="00D649CC" w:rsidP="009431FF">
            <w:pPr>
              <w:rPr>
                <w:szCs w:val="24"/>
                <w:lang w:eastAsia="tr-TR"/>
              </w:rPr>
            </w:pPr>
          </w:p>
          <w:p w:rsidR="000779D1" w:rsidRPr="00A23740" w:rsidRDefault="00CC44DE" w:rsidP="009431FF">
            <w:pPr>
              <w:rPr>
                <w:szCs w:val="24"/>
                <w:lang w:eastAsia="tr-TR"/>
              </w:rPr>
            </w:pPr>
            <w:r w:rsidRPr="00A23740">
              <w:rPr>
                <w:rStyle w:val="MaviChar"/>
              </w:rPr>
              <w:t>(7</w:t>
            </w:r>
            <w:r w:rsidR="00AA5C8C" w:rsidRPr="00A23740">
              <w:rPr>
                <w:rStyle w:val="MaviChar"/>
              </w:rPr>
              <w:t>)</w:t>
            </w:r>
            <w:r w:rsidR="00AA5C8C" w:rsidRPr="00A23740">
              <w:rPr>
                <w:szCs w:val="24"/>
                <w:lang w:eastAsia="tr-TR"/>
              </w:rPr>
              <w:t xml:space="preserve"> </w:t>
            </w:r>
            <w:r w:rsidR="000779D1" w:rsidRPr="00D60C1D">
              <w:rPr>
                <w:rStyle w:val="KonuBalChar"/>
                <w:rFonts w:eastAsia="Calibri"/>
                <w:b w:val="0"/>
                <w:color w:val="000000"/>
              </w:rPr>
              <w:t>Açık artırma süresinin son on dakikası içinde yeni bir teklifin verilmesi hâlinde açık artırma üç dakika uzatılır. Uzama süresi içinde yeni bir teklif verilmesi hâlinde açık artırma süresi her yeni teklifin verilmesinden itibaren üç dakika uzatılır. Son uzama süresi içinde yeni bir teklif verilmezse</w:t>
            </w:r>
            <w:r w:rsidR="00A42CB5" w:rsidRPr="00D60C1D">
              <w:rPr>
                <w:rStyle w:val="KonuBalChar"/>
                <w:rFonts w:eastAsia="Calibri"/>
                <w:b w:val="0"/>
                <w:color w:val="000000"/>
              </w:rPr>
              <w:t>,</w:t>
            </w:r>
            <w:r w:rsidR="000779D1" w:rsidRPr="00D60C1D">
              <w:rPr>
                <w:rStyle w:val="KonuBalChar"/>
                <w:rFonts w:eastAsia="Calibri"/>
                <w:b w:val="0"/>
                <w:color w:val="000000"/>
              </w:rPr>
              <w:t xml:space="preserve"> mal en yüksek teklif verene ihale edilir. Uzama sürelerinin toplamı bir saati geçemez. Bir saatlik süre</w:t>
            </w:r>
            <w:r w:rsidR="00A42CB5" w:rsidRPr="00D60C1D">
              <w:rPr>
                <w:rStyle w:val="KonuBalChar"/>
                <w:rFonts w:eastAsia="Calibri"/>
                <w:b w:val="0"/>
                <w:color w:val="000000"/>
              </w:rPr>
              <w:t xml:space="preserve"> </w:t>
            </w:r>
            <w:r w:rsidR="00A42CB5" w:rsidRPr="00C92583">
              <w:rPr>
                <w:rStyle w:val="Balk1Char"/>
                <w:rFonts w:eastAsia="Calibri"/>
              </w:rPr>
              <w:t>sınırı,</w:t>
            </w:r>
            <w:r w:rsidR="000779D1" w:rsidRPr="00D60C1D">
              <w:rPr>
                <w:rStyle w:val="KonuBalChar"/>
                <w:rFonts w:eastAsia="Calibri"/>
                <w:b w:val="0"/>
                <w:color w:val="000000"/>
              </w:rPr>
              <w:t xml:space="preserve"> Adalet Bakanlığının kararıyla kısaltılabilir, uzatılabilir veya kaldırılabilir ve bu kararlar Bakanlığın resm</w:t>
            </w:r>
            <w:r w:rsidR="009625AF" w:rsidRPr="00D60C1D">
              <w:rPr>
                <w:rStyle w:val="KonuBalChar"/>
                <w:rFonts w:eastAsia="Calibri"/>
                <w:b w:val="0"/>
                <w:color w:val="000000"/>
                <w:lang w:val="tr-TR"/>
              </w:rPr>
              <w:t>î</w:t>
            </w:r>
            <w:r w:rsidR="000779D1" w:rsidRPr="00D60C1D">
              <w:rPr>
                <w:rStyle w:val="KonuBalChar"/>
                <w:rFonts w:eastAsia="Calibri"/>
                <w:b w:val="0"/>
                <w:color w:val="000000"/>
              </w:rPr>
              <w:t xml:space="preserve"> internet sitesinde duyurulur.</w:t>
            </w:r>
          </w:p>
          <w:p w:rsidR="00AA5C8C" w:rsidRPr="00A23740" w:rsidRDefault="00AA5C8C" w:rsidP="009431FF">
            <w:pPr>
              <w:rPr>
                <w:szCs w:val="24"/>
              </w:rPr>
            </w:pPr>
          </w:p>
          <w:p w:rsidR="003C2B62" w:rsidRDefault="003C2B62" w:rsidP="009431FF">
            <w:pPr>
              <w:rPr>
                <w:szCs w:val="24"/>
              </w:rPr>
            </w:pPr>
          </w:p>
          <w:p w:rsidR="00C92583" w:rsidRPr="00A23740" w:rsidRDefault="00C92583" w:rsidP="009431FF">
            <w:pPr>
              <w:rPr>
                <w:szCs w:val="24"/>
              </w:rPr>
            </w:pPr>
          </w:p>
          <w:p w:rsidR="003C2B62" w:rsidRPr="00A23740" w:rsidRDefault="003C2B62" w:rsidP="009431FF">
            <w:pPr>
              <w:rPr>
                <w:szCs w:val="24"/>
              </w:rPr>
            </w:pPr>
          </w:p>
          <w:p w:rsidR="00AA5C8C" w:rsidRPr="00A23740" w:rsidRDefault="00CC44DE" w:rsidP="009431FF">
            <w:pPr>
              <w:rPr>
                <w:szCs w:val="24"/>
                <w:lang w:eastAsia="tr-TR"/>
              </w:rPr>
            </w:pPr>
            <w:r w:rsidRPr="00A23740">
              <w:rPr>
                <w:rStyle w:val="MaviChar"/>
              </w:rPr>
              <w:t>(8</w:t>
            </w:r>
            <w:r w:rsidR="00AA5C8C" w:rsidRPr="00A23740">
              <w:rPr>
                <w:rStyle w:val="MaviChar"/>
              </w:rPr>
              <w:t>)</w:t>
            </w:r>
            <w:r w:rsidR="00AA5C8C" w:rsidRPr="00A23740">
              <w:rPr>
                <w:szCs w:val="24"/>
                <w:lang w:eastAsia="tr-TR"/>
              </w:rPr>
              <w:t xml:space="preserve"> Teklif verme süresi içinde bilişim sisteminin bakımı veya iyileştirilmesi için gerekli olan işlemler yapılabilir. Bu işlemler, ihalenin geçerliliğini etkilemez.</w:t>
            </w:r>
          </w:p>
          <w:p w:rsidR="00AA5C8C" w:rsidRPr="00A23740" w:rsidRDefault="00AA5C8C" w:rsidP="009431FF">
            <w:pPr>
              <w:rPr>
                <w:szCs w:val="24"/>
                <w:lang w:eastAsia="tr-TR"/>
              </w:rPr>
            </w:pPr>
          </w:p>
          <w:p w:rsidR="003F10EF" w:rsidRDefault="00CC44DE" w:rsidP="009431FF">
            <w:pPr>
              <w:rPr>
                <w:szCs w:val="24"/>
                <w:lang w:eastAsia="tr-TR"/>
              </w:rPr>
            </w:pPr>
            <w:r w:rsidRPr="00A23740">
              <w:rPr>
                <w:rStyle w:val="MaviChar"/>
              </w:rPr>
              <w:t>(9</w:t>
            </w:r>
            <w:r w:rsidR="00AA5C8C" w:rsidRPr="00A23740">
              <w:rPr>
                <w:rStyle w:val="MaviChar"/>
              </w:rPr>
              <w:t>)</w:t>
            </w:r>
            <w:r w:rsidR="00AA5C8C" w:rsidRPr="00A23740">
              <w:rPr>
                <w:szCs w:val="24"/>
                <w:lang w:eastAsia="tr-TR"/>
              </w:rPr>
              <w:t xml:space="preserve"> Bu maddenin uygulanmasına ve </w:t>
            </w:r>
            <w:r w:rsidR="00AA5C8C" w:rsidRPr="00A23740">
              <w:rPr>
                <w:rStyle w:val="MaviChar"/>
              </w:rPr>
              <w:t>haczedilen malın</w:t>
            </w:r>
            <w:r w:rsidR="00AA5C8C" w:rsidRPr="00A23740">
              <w:rPr>
                <w:szCs w:val="24"/>
                <w:lang w:eastAsia="tr-TR"/>
              </w:rPr>
              <w:t xml:space="preserve"> elektronik ortamda açık artırma suretiyle satışına ilişkin </w:t>
            </w:r>
            <w:r w:rsidR="00AA5C8C" w:rsidRPr="00A23740">
              <w:rPr>
                <w:rStyle w:val="MaviChar"/>
              </w:rPr>
              <w:t>diğer hususlar</w:t>
            </w:r>
            <w:r w:rsidR="00AA5C8C" w:rsidRPr="00A23740">
              <w:rPr>
                <w:szCs w:val="24"/>
                <w:lang w:eastAsia="tr-TR"/>
              </w:rPr>
              <w:t xml:space="preserve">, </w:t>
            </w:r>
            <w:r w:rsidR="007437C6" w:rsidRPr="00A23740">
              <w:rPr>
                <w:rStyle w:val="Balk1Char"/>
                <w:rFonts w:eastAsia="Calibri"/>
              </w:rPr>
              <w:t xml:space="preserve">Adalet Bakanlığınca </w:t>
            </w:r>
            <w:r w:rsidR="00607E0B" w:rsidRPr="00C92583">
              <w:rPr>
                <w:rStyle w:val="MaviChar"/>
              </w:rPr>
              <w:t>çıkarılacak</w:t>
            </w:r>
            <w:r w:rsidR="00607E0B" w:rsidRPr="00A23740">
              <w:rPr>
                <w:szCs w:val="24"/>
                <w:lang w:eastAsia="tr-TR"/>
              </w:rPr>
              <w:t xml:space="preserve"> </w:t>
            </w:r>
            <w:r w:rsidR="00AA5C8C" w:rsidRPr="00A23740">
              <w:rPr>
                <w:szCs w:val="24"/>
                <w:lang w:eastAsia="tr-TR"/>
              </w:rPr>
              <w:t>yönetmelikle belirlenir.</w:t>
            </w:r>
          </w:p>
          <w:p w:rsidR="003F10EF" w:rsidRPr="00A23740" w:rsidRDefault="003F10EF" w:rsidP="009431FF">
            <w:pPr>
              <w:rPr>
                <w:szCs w:val="24"/>
                <w:lang w:eastAsia="tr-TR"/>
              </w:rPr>
            </w:pPr>
          </w:p>
          <w:p w:rsidR="00AA5C8C" w:rsidRPr="00A23740" w:rsidRDefault="00AA5C8C" w:rsidP="009431FF">
            <w:pPr>
              <w:pStyle w:val="YEL"/>
              <w:rPr>
                <w:lang w:val="tr-TR" w:eastAsia="tr-TR"/>
              </w:rPr>
            </w:pPr>
          </w:p>
        </w:tc>
      </w:tr>
      <w:tr w:rsidR="006203E7" w:rsidRPr="00A23740" w:rsidTr="009431FF">
        <w:tblPrEx>
          <w:tblLook w:val="01E0" w:firstRow="1" w:lastRow="1" w:firstColumn="1" w:lastColumn="1" w:noHBand="0" w:noVBand="0"/>
        </w:tblPrEx>
        <w:tc>
          <w:tcPr>
            <w:tcW w:w="5000" w:type="pct"/>
            <w:gridSpan w:val="2"/>
            <w:shd w:val="clear" w:color="auto" w:fill="DEEAF6"/>
          </w:tcPr>
          <w:p w:rsidR="00465835" w:rsidRPr="00A23740" w:rsidRDefault="00465835" w:rsidP="009431FF">
            <w:pPr>
              <w:rPr>
                <w:rFonts w:eastAsia="Times New Roman"/>
                <w:b/>
                <w:color w:val="000000"/>
                <w:szCs w:val="24"/>
                <w:lang w:eastAsia="tr-TR"/>
              </w:rPr>
            </w:pPr>
          </w:p>
          <w:p w:rsidR="006203E7" w:rsidRPr="00A23740" w:rsidRDefault="006203E7"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23</w:t>
            </w:r>
            <w:r w:rsidR="00396AB6" w:rsidRPr="00A23740">
              <w:rPr>
                <w:rFonts w:eastAsia="Times New Roman"/>
                <w:b/>
                <w:color w:val="000000"/>
                <w:szCs w:val="24"/>
                <w:lang w:eastAsia="tr-TR"/>
              </w:rPr>
              <w:t>3</w:t>
            </w:r>
            <w:r w:rsidRPr="00A23740">
              <w:rPr>
                <w:rFonts w:eastAsia="Times New Roman"/>
                <w:color w:val="000000"/>
                <w:szCs w:val="24"/>
                <w:lang w:eastAsia="tr-TR"/>
              </w:rPr>
              <w:t xml:space="preserve">- Maddeyle, </w:t>
            </w:r>
            <w:r w:rsidR="00465835" w:rsidRPr="00A23740">
              <w:rPr>
                <w:rFonts w:eastAsia="Times New Roman"/>
                <w:color w:val="000000"/>
                <w:szCs w:val="24"/>
                <w:lang w:eastAsia="tr-TR"/>
              </w:rPr>
              <w:t xml:space="preserve">elektronik ortamda açık artırmanın usul ve esasları </w:t>
            </w:r>
            <w:r w:rsidRPr="00A23740">
              <w:rPr>
                <w:rFonts w:eastAsia="Times New Roman"/>
                <w:color w:val="000000"/>
                <w:szCs w:val="24"/>
                <w:lang w:eastAsia="tr-TR"/>
              </w:rPr>
              <w:t xml:space="preserve">düzenlenmektedir. Hüküm, 2004 sayılı Kanunun </w:t>
            </w:r>
            <w:r w:rsidR="00465835" w:rsidRPr="00A23740">
              <w:rPr>
                <w:rFonts w:eastAsia="Times New Roman"/>
                <w:color w:val="000000"/>
                <w:szCs w:val="24"/>
                <w:lang w:eastAsia="tr-TR"/>
              </w:rPr>
              <w:t xml:space="preserve">111/b </w:t>
            </w:r>
            <w:r w:rsidRPr="00A23740">
              <w:rPr>
                <w:rFonts w:eastAsia="Times New Roman"/>
                <w:color w:val="000000"/>
                <w:szCs w:val="24"/>
                <w:lang w:eastAsia="tr-TR"/>
              </w:rPr>
              <w:t>maddesine</w:t>
            </w:r>
            <w:r w:rsidR="009D2D11" w:rsidRPr="00A23740">
              <w:rPr>
                <w:rFonts w:eastAsia="Times New Roman"/>
                <w:color w:val="000000"/>
                <w:szCs w:val="24"/>
                <w:lang w:eastAsia="tr-TR"/>
              </w:rPr>
              <w:t xml:space="preserve"> kısmen</w:t>
            </w:r>
            <w:r w:rsidRPr="00A23740">
              <w:rPr>
                <w:rFonts w:eastAsia="Times New Roman"/>
                <w:color w:val="000000"/>
                <w:szCs w:val="24"/>
                <w:lang w:eastAsia="tr-TR"/>
              </w:rPr>
              <w:t xml:space="preserve"> karşılık gelmektedir.</w:t>
            </w:r>
          </w:p>
          <w:p w:rsidR="00AC0E27" w:rsidRPr="00A23740" w:rsidRDefault="00465835" w:rsidP="009431FF">
            <w:pPr>
              <w:ind w:firstLine="709"/>
              <w:rPr>
                <w:szCs w:val="24"/>
                <w:lang w:eastAsia="tr-TR"/>
              </w:rPr>
            </w:pPr>
            <w:r w:rsidRPr="00A23740">
              <w:rPr>
                <w:rFonts w:eastAsia="Times New Roman"/>
                <w:color w:val="000000"/>
                <w:szCs w:val="24"/>
                <w:lang w:eastAsia="tr-TR"/>
              </w:rPr>
              <w:t xml:space="preserve">Birinci fıkrayla, </w:t>
            </w:r>
            <w:r w:rsidRPr="00A23740">
              <w:rPr>
                <w:szCs w:val="24"/>
                <w:lang w:eastAsia="tr-TR"/>
              </w:rPr>
              <w:t>açık artırmanın, ilanda belirtilen gün ve saat aralığında ve teklif verme yoluyla yapılacağı düzenlenmektedir.</w:t>
            </w:r>
            <w:r w:rsidR="00AC0E27" w:rsidRPr="00A23740">
              <w:rPr>
                <w:szCs w:val="24"/>
                <w:lang w:eastAsia="tr-TR"/>
              </w:rPr>
              <w:t xml:space="preserve"> </w:t>
            </w:r>
          </w:p>
          <w:p w:rsidR="00465835" w:rsidRPr="00A23740" w:rsidRDefault="00465835" w:rsidP="009431FF">
            <w:pPr>
              <w:ind w:firstLine="709"/>
              <w:rPr>
                <w:szCs w:val="24"/>
                <w:lang w:eastAsia="tr-TR"/>
              </w:rPr>
            </w:pPr>
            <w:r w:rsidRPr="00A23740">
              <w:rPr>
                <w:szCs w:val="24"/>
                <w:lang w:eastAsia="tr-TR"/>
              </w:rPr>
              <w:t xml:space="preserve">İkinci fıkrayla, açık artırmada teklif verenlerin etki altında kalmadan teklif verebilmeleri için tedbir alınmaktadır. Buna göre </w:t>
            </w:r>
            <w:r w:rsidRPr="00A23740">
              <w:rPr>
                <w:bCs/>
                <w:lang w:eastAsia="tr-TR"/>
              </w:rPr>
              <w:t>t</w:t>
            </w:r>
            <w:r w:rsidRPr="00A23740">
              <w:rPr>
                <w:szCs w:val="24"/>
                <w:lang w:eastAsia="tr-TR"/>
              </w:rPr>
              <w:t>eklif verenlerin kişisel bilgileri, artırma süresi içinde bilişim sistemini işleten kamu görevlileri hariç hiç kimse tarafından görülemez ve bilişim sisteminde gösterilemez.</w:t>
            </w:r>
          </w:p>
          <w:p w:rsidR="00B63827" w:rsidRPr="00A23740" w:rsidRDefault="00465835" w:rsidP="009431FF">
            <w:pPr>
              <w:ind w:firstLine="709"/>
              <w:rPr>
                <w:bCs/>
                <w:lang w:eastAsia="tr-TR"/>
              </w:rPr>
            </w:pPr>
            <w:r w:rsidRPr="00A23740">
              <w:rPr>
                <w:szCs w:val="24"/>
                <w:lang w:eastAsia="tr-TR"/>
              </w:rPr>
              <w:t xml:space="preserve">Üçüncü fıkrayla, </w:t>
            </w:r>
            <w:r w:rsidR="00AC0E27" w:rsidRPr="00A23740">
              <w:rPr>
                <w:szCs w:val="24"/>
                <w:lang w:eastAsia="tr-TR"/>
              </w:rPr>
              <w:t>teklif verme süresi belirlenmektedir. Bu süre</w:t>
            </w:r>
            <w:r w:rsidR="00AC0E27" w:rsidRPr="00A23740">
              <w:rPr>
                <w:bCs/>
                <w:lang w:eastAsia="tr-TR"/>
              </w:rPr>
              <w:t>,</w:t>
            </w:r>
            <w:r w:rsidRPr="00A23740">
              <w:rPr>
                <w:szCs w:val="24"/>
                <w:lang w:eastAsia="tr-TR"/>
              </w:rPr>
              <w:t xml:space="preserve"> </w:t>
            </w:r>
            <w:r w:rsidRPr="00A23740">
              <w:rPr>
                <w:bCs/>
                <w:lang w:eastAsia="tr-TR"/>
              </w:rPr>
              <w:t>açık artırmanın başlangıcından itibaren bir haftadır.</w:t>
            </w:r>
            <w:r w:rsidR="00AC0E27" w:rsidRPr="00A23740">
              <w:rPr>
                <w:bCs/>
                <w:lang w:eastAsia="tr-TR"/>
              </w:rPr>
              <w:t xml:space="preserve"> 2004 sayılı Kanunda gün olarak belirlenen süreler Taslakta </w:t>
            </w:r>
            <w:r w:rsidR="001910E1" w:rsidRPr="00D60C1D">
              <w:rPr>
                <w:rStyle w:val="Balk1Char"/>
                <w:rFonts w:eastAsia="Calibri"/>
                <w:b w:val="0"/>
                <w:color w:val="000000"/>
              </w:rPr>
              <w:t>kural olarak</w:t>
            </w:r>
            <w:r w:rsidR="001910E1" w:rsidRPr="00A23740">
              <w:rPr>
                <w:bCs/>
                <w:lang w:eastAsia="tr-TR"/>
              </w:rPr>
              <w:t xml:space="preserve"> </w:t>
            </w:r>
            <w:r w:rsidR="00AC0E27" w:rsidRPr="00A23740">
              <w:rPr>
                <w:bCs/>
                <w:lang w:eastAsia="tr-TR"/>
              </w:rPr>
              <w:t xml:space="preserve">hafta </w:t>
            </w:r>
            <w:r w:rsidR="001910E1" w:rsidRPr="00D60C1D">
              <w:rPr>
                <w:rStyle w:val="Balk1Char"/>
                <w:rFonts w:eastAsia="Calibri"/>
                <w:b w:val="0"/>
                <w:color w:val="000000"/>
              </w:rPr>
              <w:t>şeklinde</w:t>
            </w:r>
            <w:r w:rsidR="001910E1" w:rsidRPr="00A23740">
              <w:rPr>
                <w:bCs/>
                <w:lang w:eastAsia="tr-TR"/>
              </w:rPr>
              <w:t xml:space="preserve"> </w:t>
            </w:r>
            <w:r w:rsidR="00AC0E27" w:rsidRPr="00A23740">
              <w:rPr>
                <w:bCs/>
                <w:lang w:eastAsia="tr-TR"/>
              </w:rPr>
              <w:t>değiştirildiğinden</w:t>
            </w:r>
            <w:r w:rsidR="003F2639" w:rsidRPr="00A23740">
              <w:rPr>
                <w:bCs/>
                <w:lang w:eastAsia="tr-TR"/>
              </w:rPr>
              <w:t>,</w:t>
            </w:r>
            <w:r w:rsidR="00AC0E27" w:rsidRPr="00A23740">
              <w:rPr>
                <w:bCs/>
                <w:lang w:eastAsia="tr-TR"/>
              </w:rPr>
              <w:t xml:space="preserve"> fıkrada yer alan teklif verme süresi hafta olarak düzenlenmektedir.</w:t>
            </w:r>
            <w:r w:rsidRPr="00A23740">
              <w:rPr>
                <w:szCs w:val="24"/>
                <w:lang w:eastAsia="tr-TR"/>
              </w:rPr>
              <w:t xml:space="preserve"> </w:t>
            </w:r>
            <w:r w:rsidR="00AC0E27" w:rsidRPr="00A23740">
              <w:rPr>
                <w:bCs/>
                <w:lang w:eastAsia="tr-TR"/>
              </w:rPr>
              <w:t>A</w:t>
            </w:r>
            <w:r w:rsidRPr="00A23740">
              <w:rPr>
                <w:bCs/>
                <w:lang w:eastAsia="tr-TR"/>
              </w:rPr>
              <w:t>ntika veya sanat değeri olan eşya dışında altın, gümüş, platin gibi değerli madenlerde teklif verme süresi bir gündür.</w:t>
            </w:r>
            <w:r w:rsidR="00AC0E27" w:rsidRPr="00A23740">
              <w:rPr>
                <w:bCs/>
                <w:lang w:eastAsia="tr-TR"/>
              </w:rPr>
              <w:t xml:space="preserve"> Değerli madenlerde bir haftalık teklif verme süresi madenin değeri yönünden ciddi sıkıntılara ve manipülasyonlara </w:t>
            </w:r>
            <w:r w:rsidR="009D2D11" w:rsidRPr="00A23740">
              <w:rPr>
                <w:bCs/>
                <w:lang w:eastAsia="tr-TR"/>
              </w:rPr>
              <w:t xml:space="preserve">yol açabileceğinden bu madenler, </w:t>
            </w:r>
            <w:r w:rsidR="00AC0E27" w:rsidRPr="00A23740">
              <w:rPr>
                <w:bCs/>
                <w:lang w:eastAsia="tr-TR"/>
              </w:rPr>
              <w:t xml:space="preserve">bakımından ana kuraldan ayrılarak teklif verme süresi bir günle sınırlandırılmaktadır. Ancak antika veya sanat değeri bulunan madenler </w:t>
            </w:r>
            <w:r w:rsidR="009D2D11" w:rsidRPr="00A23740">
              <w:rPr>
                <w:bCs/>
                <w:lang w:eastAsia="tr-TR"/>
              </w:rPr>
              <w:t>açısından ise</w:t>
            </w:r>
            <w:r w:rsidR="00AC0E27" w:rsidRPr="00A23740">
              <w:rPr>
                <w:bCs/>
                <w:lang w:eastAsia="tr-TR"/>
              </w:rPr>
              <w:t xml:space="preserve"> teklif verme süresi </w:t>
            </w:r>
            <w:r w:rsidR="009D2D11" w:rsidRPr="00A23740">
              <w:rPr>
                <w:bCs/>
                <w:lang w:eastAsia="tr-TR"/>
              </w:rPr>
              <w:t xml:space="preserve">ana kuralda olduğu gibi </w:t>
            </w:r>
            <w:r w:rsidR="00AC0E27" w:rsidRPr="00A23740">
              <w:rPr>
                <w:bCs/>
                <w:lang w:eastAsia="tr-TR"/>
              </w:rPr>
              <w:t>bir</w:t>
            </w:r>
            <w:r w:rsidR="00B63827" w:rsidRPr="00A23740">
              <w:rPr>
                <w:bCs/>
                <w:lang w:eastAsia="tr-TR"/>
              </w:rPr>
              <w:t xml:space="preserve"> hafta</w:t>
            </w:r>
            <w:r w:rsidR="009D2D11" w:rsidRPr="00A23740">
              <w:rPr>
                <w:bCs/>
                <w:lang w:eastAsia="tr-TR"/>
              </w:rPr>
              <w:t>dır</w:t>
            </w:r>
            <w:r w:rsidR="00B63827" w:rsidRPr="00A23740">
              <w:rPr>
                <w:bCs/>
                <w:lang w:eastAsia="tr-TR"/>
              </w:rPr>
              <w:t xml:space="preserve">. </w:t>
            </w:r>
          </w:p>
          <w:p w:rsidR="00B63827" w:rsidRPr="00A23740" w:rsidRDefault="009D2D11" w:rsidP="009431FF">
            <w:pPr>
              <w:ind w:firstLine="709"/>
              <w:rPr>
                <w:bCs/>
                <w:lang w:eastAsia="tr-TR"/>
              </w:rPr>
            </w:pPr>
            <w:r w:rsidRPr="00A23740">
              <w:rPr>
                <w:bCs/>
                <w:lang w:eastAsia="tr-TR"/>
              </w:rPr>
              <w:t>Dördüncü fıkr</w:t>
            </w:r>
            <w:r w:rsidR="00B63827" w:rsidRPr="00A23740">
              <w:rPr>
                <w:bCs/>
                <w:lang w:eastAsia="tr-TR"/>
              </w:rPr>
              <w:t xml:space="preserve">ayla, </w:t>
            </w:r>
            <w:r w:rsidR="00B63827" w:rsidRPr="00A23740">
              <w:rPr>
                <w:lang w:eastAsia="tr-TR"/>
              </w:rPr>
              <w:t>t</w:t>
            </w:r>
            <w:r w:rsidR="00B63827" w:rsidRPr="00A23740">
              <w:rPr>
                <w:bCs/>
                <w:lang w:eastAsia="tr-TR"/>
              </w:rPr>
              <w:t xml:space="preserve">eklifler arasındaki farkın satışa çıkarılan malın </w:t>
            </w:r>
            <w:r w:rsidR="00B63827" w:rsidRPr="00A23740">
              <w:rPr>
                <w:lang w:eastAsia="tr-TR"/>
              </w:rPr>
              <w:t>tahmin edilen</w:t>
            </w:r>
            <w:r w:rsidR="00B63827" w:rsidRPr="00A23740">
              <w:rPr>
                <w:bCs/>
                <w:lang w:eastAsia="tr-TR"/>
              </w:rPr>
              <w:t xml:space="preserve"> kıymetinin binde </w:t>
            </w:r>
            <w:r w:rsidR="00B63827" w:rsidRPr="00D60C1D">
              <w:rPr>
                <w:rStyle w:val="KonuBalChar"/>
                <w:rFonts w:eastAsia="Calibri"/>
                <w:b w:val="0"/>
                <w:color w:val="000000"/>
              </w:rPr>
              <w:t>beşinden</w:t>
            </w:r>
            <w:r w:rsidR="00B63827" w:rsidRPr="00A23740">
              <w:rPr>
                <w:bCs/>
                <w:lang w:eastAsia="tr-TR"/>
              </w:rPr>
              <w:t xml:space="preserve"> ve her hâlde </w:t>
            </w:r>
            <w:r w:rsidR="007437C6" w:rsidRPr="00D60C1D">
              <w:rPr>
                <w:rStyle w:val="KonuBalChar"/>
                <w:rFonts w:eastAsia="Calibri"/>
                <w:b w:val="0"/>
                <w:color w:val="000000"/>
                <w:lang w:eastAsia="tr-TR"/>
              </w:rPr>
              <w:t>bin</w:t>
            </w:r>
            <w:r w:rsidR="007437C6" w:rsidRPr="00A23740">
              <w:rPr>
                <w:bCs/>
                <w:lang w:eastAsia="tr-TR"/>
              </w:rPr>
              <w:t xml:space="preserve"> </w:t>
            </w:r>
            <w:r w:rsidR="00B63827" w:rsidRPr="00A23740">
              <w:rPr>
                <w:bCs/>
                <w:lang w:eastAsia="tr-TR"/>
              </w:rPr>
              <w:t>Türk lirasından az olamayacağı düzenlenmektedir. Hükümle, etkili bir artırmayla malın yüksek bir değere satılabilmesine imk</w:t>
            </w:r>
            <w:r w:rsidR="001910E1" w:rsidRPr="00A23740">
              <w:rPr>
                <w:bCs/>
                <w:lang w:eastAsia="tr-TR"/>
              </w:rPr>
              <w:t>â</w:t>
            </w:r>
            <w:r w:rsidR="00B63827" w:rsidRPr="00A23740">
              <w:rPr>
                <w:bCs/>
                <w:lang w:eastAsia="tr-TR"/>
              </w:rPr>
              <w:t>n sağlanmaktadır.</w:t>
            </w:r>
          </w:p>
          <w:p w:rsidR="00B63827" w:rsidRPr="00A23740" w:rsidRDefault="00B63827" w:rsidP="009431FF">
            <w:pPr>
              <w:ind w:firstLine="709"/>
              <w:rPr>
                <w:bCs/>
                <w:lang w:eastAsia="tr-TR"/>
              </w:rPr>
            </w:pPr>
            <w:r w:rsidRPr="00A23740">
              <w:rPr>
                <w:bCs/>
                <w:lang w:eastAsia="tr-TR"/>
              </w:rPr>
              <w:t>Beşinci fıkrayla, satış talebi</w:t>
            </w:r>
            <w:r w:rsidRPr="00A23740">
              <w:t>nin</w:t>
            </w:r>
            <w:r w:rsidRPr="00A23740">
              <w:rPr>
                <w:bCs/>
                <w:lang w:eastAsia="tr-TR"/>
              </w:rPr>
              <w:t xml:space="preserve"> teklif verme başladıktan sonra geri alınamayacağı ve teklif verme süresinin bitimine kadar borcun tamamen ödenmesi h</w:t>
            </w:r>
            <w:r w:rsidR="007437C6" w:rsidRPr="00A23740">
              <w:rPr>
                <w:bCs/>
                <w:lang w:eastAsia="tr-TR"/>
              </w:rPr>
              <w:t>â</w:t>
            </w:r>
            <w:r w:rsidRPr="00A23740">
              <w:rPr>
                <w:bCs/>
                <w:lang w:eastAsia="tr-TR"/>
              </w:rPr>
              <w:t xml:space="preserve">linde satışın </w:t>
            </w:r>
            <w:r w:rsidRPr="00A23740">
              <w:t>derh</w:t>
            </w:r>
            <w:r w:rsidR="007437C6" w:rsidRPr="00A23740">
              <w:t>â</w:t>
            </w:r>
            <w:r w:rsidRPr="00A23740">
              <w:t>l</w:t>
            </w:r>
            <w:r w:rsidRPr="00A23740">
              <w:rPr>
                <w:bCs/>
                <w:lang w:eastAsia="tr-TR"/>
              </w:rPr>
              <w:t xml:space="preserve"> durd</w:t>
            </w:r>
            <w:r w:rsidR="00FC257F" w:rsidRPr="00A23740">
              <w:rPr>
                <w:bCs/>
                <w:lang w:eastAsia="tr-TR"/>
              </w:rPr>
              <w:t xml:space="preserve">urulacağı hükme bağlanmaktadır. </w:t>
            </w:r>
            <w:r w:rsidRPr="00A23740">
              <w:rPr>
                <w:bCs/>
                <w:lang w:eastAsia="tr-TR"/>
              </w:rPr>
              <w:t>Taslağın</w:t>
            </w:r>
            <w:r w:rsidR="004C010E" w:rsidRPr="00A23740">
              <w:rPr>
                <w:bCs/>
                <w:lang w:eastAsia="tr-TR"/>
              </w:rPr>
              <w:t xml:space="preserve"> </w:t>
            </w:r>
            <w:r w:rsidR="004C010E" w:rsidRPr="00D60C1D">
              <w:rPr>
                <w:rStyle w:val="KonuBalChar"/>
                <w:rFonts w:eastAsia="Calibri"/>
                <w:b w:val="0"/>
                <w:color w:val="000000"/>
              </w:rPr>
              <w:t>21</w:t>
            </w:r>
            <w:r w:rsidR="00B936D8" w:rsidRPr="00D60C1D">
              <w:rPr>
                <w:rStyle w:val="KonuBalChar"/>
                <w:rFonts w:eastAsia="Calibri"/>
                <w:b w:val="0"/>
                <w:color w:val="000000"/>
              </w:rPr>
              <w:t>3 üncü</w:t>
            </w:r>
            <w:r w:rsidRPr="00A23740">
              <w:rPr>
                <w:rStyle w:val="KonuBalChar"/>
                <w:rFonts w:eastAsia="Calibri"/>
                <w:bCs w:val="0"/>
              </w:rPr>
              <w:t xml:space="preserve"> </w:t>
            </w:r>
            <w:r w:rsidR="009D2D11" w:rsidRPr="00A23740">
              <w:rPr>
                <w:bCs/>
                <w:lang w:eastAsia="tr-TR"/>
              </w:rPr>
              <w:t xml:space="preserve">maddesinin dördüncü fıkrasında, </w:t>
            </w:r>
            <w:r w:rsidRPr="00A23740">
              <w:rPr>
                <w:bCs/>
                <w:lang w:eastAsia="tr-TR"/>
              </w:rPr>
              <w:t>satış talebinin bir defa geri alınacağı düzenlenmekte</w:t>
            </w:r>
            <w:r w:rsidR="003F2639" w:rsidRPr="00A23740">
              <w:rPr>
                <w:bCs/>
                <w:lang w:eastAsia="tr-TR"/>
              </w:rPr>
              <w:t>,</w:t>
            </w:r>
            <w:r w:rsidRPr="00A23740">
              <w:rPr>
                <w:bCs/>
                <w:lang w:eastAsia="tr-TR"/>
              </w:rPr>
              <w:t xml:space="preserve"> ancak </w:t>
            </w:r>
            <w:r w:rsidR="009D2D11" w:rsidRPr="00A23740">
              <w:rPr>
                <w:bCs/>
                <w:lang w:eastAsia="tr-TR"/>
              </w:rPr>
              <w:t>art</w:t>
            </w:r>
            <w:r w:rsidRPr="00A23740">
              <w:rPr>
                <w:bCs/>
                <w:lang w:eastAsia="tr-TR"/>
              </w:rPr>
              <w:t xml:space="preserve">ırma başladıktan sonra geri </w:t>
            </w:r>
            <w:r w:rsidR="003F2639" w:rsidRPr="00A23740">
              <w:rPr>
                <w:bCs/>
                <w:lang w:eastAsia="tr-TR"/>
              </w:rPr>
              <w:t xml:space="preserve">alınabilip </w:t>
            </w:r>
            <w:r w:rsidRPr="00A23740">
              <w:rPr>
                <w:bCs/>
                <w:lang w:eastAsia="tr-TR"/>
              </w:rPr>
              <w:t>alın</w:t>
            </w:r>
            <w:r w:rsidR="003F2639" w:rsidRPr="00A23740">
              <w:rPr>
                <w:bCs/>
                <w:lang w:eastAsia="tr-TR"/>
              </w:rPr>
              <w:t>a</w:t>
            </w:r>
            <w:r w:rsidRPr="00A23740">
              <w:rPr>
                <w:bCs/>
                <w:lang w:eastAsia="tr-TR"/>
              </w:rPr>
              <w:t>mayacağıyla ilgili bir belirleme</w:t>
            </w:r>
            <w:r w:rsidR="00FC257F" w:rsidRPr="00A23740">
              <w:rPr>
                <w:bCs/>
                <w:lang w:eastAsia="tr-TR"/>
              </w:rPr>
              <w:t xml:space="preserve"> yapılmamaktadır</w:t>
            </w:r>
            <w:r w:rsidRPr="00A23740">
              <w:rPr>
                <w:bCs/>
                <w:lang w:eastAsia="tr-TR"/>
              </w:rPr>
              <w:t xml:space="preserve">. </w:t>
            </w:r>
            <w:r w:rsidR="00FC257F" w:rsidRPr="00A23740">
              <w:rPr>
                <w:bCs/>
                <w:lang w:eastAsia="tr-TR"/>
              </w:rPr>
              <w:t>Hükümle, a</w:t>
            </w:r>
            <w:r w:rsidR="009D2D11" w:rsidRPr="00A23740">
              <w:rPr>
                <w:bCs/>
                <w:lang w:eastAsia="tr-TR"/>
              </w:rPr>
              <w:t>r</w:t>
            </w:r>
            <w:r w:rsidR="00FC257F" w:rsidRPr="00A23740">
              <w:rPr>
                <w:bCs/>
                <w:lang w:eastAsia="tr-TR"/>
              </w:rPr>
              <w:t>tırmaya katılanların</w:t>
            </w:r>
            <w:r w:rsidRPr="00A23740">
              <w:rPr>
                <w:bCs/>
                <w:lang w:eastAsia="tr-TR"/>
              </w:rPr>
              <w:t xml:space="preserve"> teminat yatırarak mali külfet altına girdikleri dikkate alındığında</w:t>
            </w:r>
            <w:r w:rsidR="00104D45" w:rsidRPr="00A23740">
              <w:rPr>
                <w:bCs/>
                <w:lang w:eastAsia="tr-TR"/>
              </w:rPr>
              <w:t>,</w:t>
            </w:r>
            <w:r w:rsidRPr="00A23740">
              <w:rPr>
                <w:bCs/>
                <w:lang w:eastAsia="tr-TR"/>
              </w:rPr>
              <w:t xml:space="preserve"> </w:t>
            </w:r>
            <w:r w:rsidR="00FC257F" w:rsidRPr="00A23740">
              <w:rPr>
                <w:bCs/>
                <w:lang w:eastAsia="tr-TR"/>
              </w:rPr>
              <w:t xml:space="preserve">haklarının korunması </w:t>
            </w:r>
            <w:r w:rsidR="009D2D11" w:rsidRPr="00A23740">
              <w:rPr>
                <w:bCs/>
                <w:lang w:eastAsia="tr-TR"/>
              </w:rPr>
              <w:t>amacıyla ar</w:t>
            </w:r>
            <w:r w:rsidR="00FC257F" w:rsidRPr="00A23740">
              <w:rPr>
                <w:bCs/>
                <w:lang w:eastAsia="tr-TR"/>
              </w:rPr>
              <w:t xml:space="preserve">tırmanın kesintisiz bir şekilde yapılabilmesi </w:t>
            </w:r>
            <w:r w:rsidR="00104D45" w:rsidRPr="00A23740">
              <w:rPr>
                <w:bCs/>
                <w:lang w:eastAsia="tr-TR"/>
              </w:rPr>
              <w:t xml:space="preserve">sağlanmakta </w:t>
            </w:r>
            <w:r w:rsidR="00FC257F" w:rsidRPr="00A23740">
              <w:rPr>
                <w:bCs/>
                <w:lang w:eastAsia="tr-TR"/>
              </w:rPr>
              <w:t>ve bu kapsamda teklif verme süresince talebin geri alınması yasaklanmaktadır. Diğer taraftan</w:t>
            </w:r>
            <w:r w:rsidR="00104D45" w:rsidRPr="00A23740">
              <w:rPr>
                <w:bCs/>
                <w:lang w:eastAsia="tr-TR"/>
              </w:rPr>
              <w:t>,</w:t>
            </w:r>
            <w:r w:rsidR="00FC257F" w:rsidRPr="00A23740">
              <w:rPr>
                <w:bCs/>
                <w:lang w:eastAsia="tr-TR"/>
              </w:rPr>
              <w:t xml:space="preserve"> borcun tamamen ödenmesi nedeniyle</w:t>
            </w:r>
            <w:r w:rsidR="00006DB6" w:rsidRPr="00A23740">
              <w:rPr>
                <w:bCs/>
                <w:lang w:eastAsia="tr-TR"/>
              </w:rPr>
              <w:t xml:space="preserve"> satış yapılarak alacağın tahsil edilmesine yönelik ihtiyaç </w:t>
            </w:r>
            <w:r w:rsidR="00FC257F" w:rsidRPr="00A23740">
              <w:rPr>
                <w:bCs/>
                <w:lang w:eastAsia="tr-TR"/>
              </w:rPr>
              <w:t>o</w:t>
            </w:r>
            <w:r w:rsidR="00F46218" w:rsidRPr="00A23740">
              <w:rPr>
                <w:bCs/>
                <w:lang w:eastAsia="tr-TR"/>
              </w:rPr>
              <w:t>rtadan kalktığından</w:t>
            </w:r>
            <w:r w:rsidR="00104D45" w:rsidRPr="00A23740">
              <w:rPr>
                <w:bCs/>
                <w:lang w:eastAsia="tr-TR"/>
              </w:rPr>
              <w:t>,</w:t>
            </w:r>
            <w:r w:rsidR="00F46218" w:rsidRPr="00A23740">
              <w:rPr>
                <w:bCs/>
                <w:lang w:eastAsia="tr-TR"/>
              </w:rPr>
              <w:t xml:space="preserve"> bu ihtimal</w:t>
            </w:r>
            <w:r w:rsidR="00104D45" w:rsidRPr="00A23740">
              <w:rPr>
                <w:bCs/>
                <w:lang w:eastAsia="tr-TR"/>
              </w:rPr>
              <w:t>d</w:t>
            </w:r>
            <w:r w:rsidR="00F46218" w:rsidRPr="00A23740">
              <w:rPr>
                <w:bCs/>
                <w:lang w:eastAsia="tr-TR"/>
              </w:rPr>
              <w:t>e satışın durdurulması gerek</w:t>
            </w:r>
            <w:r w:rsidR="00104D45" w:rsidRPr="00A23740">
              <w:rPr>
                <w:bCs/>
                <w:lang w:eastAsia="tr-TR"/>
              </w:rPr>
              <w:t>mekted</w:t>
            </w:r>
            <w:r w:rsidR="00F46218" w:rsidRPr="00A23740">
              <w:rPr>
                <w:bCs/>
                <w:lang w:eastAsia="tr-TR"/>
              </w:rPr>
              <w:t>ir.</w:t>
            </w:r>
          </w:p>
          <w:p w:rsidR="00B63827" w:rsidRPr="00A23740" w:rsidRDefault="00B63827" w:rsidP="009431FF">
            <w:pPr>
              <w:ind w:firstLine="709"/>
              <w:rPr>
                <w:szCs w:val="24"/>
                <w:lang w:eastAsia="tr-TR"/>
              </w:rPr>
            </w:pPr>
            <w:r w:rsidRPr="00A23740">
              <w:rPr>
                <w:bCs/>
                <w:lang w:eastAsia="tr-TR"/>
              </w:rPr>
              <w:t xml:space="preserve">Altıncı fıkrayla, </w:t>
            </w:r>
            <w:r w:rsidRPr="00A23740">
              <w:rPr>
                <w:szCs w:val="24"/>
                <w:lang w:eastAsia="tr-TR"/>
              </w:rPr>
              <w:t>açık artırm</w:t>
            </w:r>
            <w:r w:rsidR="00006DB6" w:rsidRPr="00A23740">
              <w:rPr>
                <w:szCs w:val="24"/>
                <w:lang w:eastAsia="tr-TR"/>
              </w:rPr>
              <w:t>ada en yüksek teklifi verenin</w:t>
            </w:r>
            <w:r w:rsidRPr="00A23740">
              <w:rPr>
                <w:szCs w:val="24"/>
                <w:lang w:eastAsia="tr-TR"/>
              </w:rPr>
              <w:t xml:space="preserve"> artırma süresi içinde kendisinden yüksek bir teklif verilmedikçe teklifini ve teminatını </w:t>
            </w:r>
            <w:r w:rsidRPr="00A23740">
              <w:rPr>
                <w:bCs/>
                <w:lang w:eastAsia="tr-TR"/>
              </w:rPr>
              <w:t>geri</w:t>
            </w:r>
            <w:r w:rsidRPr="00A23740">
              <w:rPr>
                <w:szCs w:val="24"/>
                <w:lang w:eastAsia="tr-TR"/>
              </w:rPr>
              <w:t xml:space="preserve"> </w:t>
            </w:r>
            <w:r w:rsidR="00006DB6" w:rsidRPr="00A23740">
              <w:rPr>
                <w:szCs w:val="24"/>
                <w:lang w:eastAsia="tr-TR"/>
              </w:rPr>
              <w:t>alması yasaklanmaktadır.</w:t>
            </w:r>
          </w:p>
          <w:p w:rsidR="00BD41B4" w:rsidRDefault="00B63827" w:rsidP="009431FF">
            <w:pPr>
              <w:ind w:firstLine="709"/>
              <w:rPr>
                <w:rStyle w:val="KonuBalChar"/>
                <w:rFonts w:eastAsia="Calibri"/>
                <w:lang w:val="tr-TR"/>
              </w:rPr>
            </w:pPr>
            <w:r w:rsidRPr="00A23740">
              <w:rPr>
                <w:szCs w:val="24"/>
                <w:lang w:eastAsia="tr-TR"/>
              </w:rPr>
              <w:t xml:space="preserve">Yedinci fıkrayla, </w:t>
            </w:r>
            <w:r w:rsidR="00D74D85" w:rsidRPr="00D60C1D">
              <w:rPr>
                <w:rStyle w:val="KonuBalChar"/>
                <w:rFonts w:eastAsia="Calibri"/>
                <w:b w:val="0"/>
                <w:color w:val="000000"/>
              </w:rPr>
              <w:t>açık artırma süresinin son on dakikası içinde yeni bir teklifin verilmesi hâlinde açık artırma</w:t>
            </w:r>
            <w:r w:rsidR="00D74D85" w:rsidRPr="00D60C1D">
              <w:rPr>
                <w:rStyle w:val="KonuBalChar"/>
                <w:rFonts w:eastAsia="Calibri"/>
                <w:b w:val="0"/>
                <w:color w:val="000000"/>
                <w:lang w:val="tr-TR"/>
              </w:rPr>
              <w:t xml:space="preserve"> süresinin</w:t>
            </w:r>
            <w:r w:rsidR="00D74D85" w:rsidRPr="00D60C1D">
              <w:rPr>
                <w:rStyle w:val="KonuBalChar"/>
                <w:rFonts w:eastAsia="Calibri"/>
                <w:b w:val="0"/>
                <w:color w:val="000000"/>
              </w:rPr>
              <w:t xml:space="preserve"> üç dakika uzatılması kabul edilmektedir. Uzama süresi içinde yeni bir teklif verilmesi hâlinde </w:t>
            </w:r>
            <w:r w:rsidR="00D74D85" w:rsidRPr="00D60C1D">
              <w:rPr>
                <w:rStyle w:val="KonuBalChar"/>
                <w:rFonts w:eastAsia="Calibri"/>
                <w:b w:val="0"/>
                <w:color w:val="000000"/>
                <w:lang w:val="tr-TR"/>
              </w:rPr>
              <w:t>ise</w:t>
            </w:r>
            <w:r w:rsidR="00104D45" w:rsidRPr="00D60C1D">
              <w:rPr>
                <w:rStyle w:val="KonuBalChar"/>
                <w:rFonts w:eastAsia="Calibri"/>
                <w:b w:val="0"/>
                <w:color w:val="000000"/>
                <w:lang w:val="tr-TR"/>
              </w:rPr>
              <w:t>,</w:t>
            </w:r>
            <w:r w:rsidR="00D74D85" w:rsidRPr="00D60C1D">
              <w:rPr>
                <w:rStyle w:val="KonuBalChar"/>
                <w:rFonts w:eastAsia="Calibri"/>
                <w:b w:val="0"/>
                <w:color w:val="000000"/>
                <w:lang w:val="tr-TR"/>
              </w:rPr>
              <w:t xml:space="preserve"> </w:t>
            </w:r>
            <w:r w:rsidR="00D74D85" w:rsidRPr="00D60C1D">
              <w:rPr>
                <w:rStyle w:val="KonuBalChar"/>
                <w:rFonts w:eastAsia="Calibri"/>
                <w:b w:val="0"/>
                <w:color w:val="000000"/>
              </w:rPr>
              <w:t xml:space="preserve">açık artırma süresi her yeni teklif verilmesinden itibaren üç dakika </w:t>
            </w:r>
            <w:r w:rsidR="008514F2" w:rsidRPr="00D60C1D">
              <w:rPr>
                <w:rStyle w:val="KonuBalChar"/>
                <w:rFonts w:eastAsia="Calibri"/>
                <w:b w:val="0"/>
                <w:color w:val="000000"/>
                <w:lang w:val="tr-TR"/>
              </w:rPr>
              <w:t>uzatılacaktır</w:t>
            </w:r>
            <w:r w:rsidR="00D74D85" w:rsidRPr="00D60C1D">
              <w:rPr>
                <w:rStyle w:val="KonuBalChar"/>
                <w:rFonts w:eastAsia="Calibri"/>
                <w:b w:val="0"/>
                <w:color w:val="000000"/>
              </w:rPr>
              <w:t xml:space="preserve">. </w:t>
            </w:r>
            <w:r w:rsidR="00D74D85" w:rsidRPr="00D60C1D">
              <w:rPr>
                <w:rStyle w:val="KonuBalChar"/>
                <w:rFonts w:eastAsia="Calibri"/>
                <w:b w:val="0"/>
                <w:color w:val="000000"/>
                <w:lang w:val="tr-TR"/>
              </w:rPr>
              <w:t>S</w:t>
            </w:r>
            <w:r w:rsidR="00D74D85" w:rsidRPr="00D60C1D">
              <w:rPr>
                <w:rStyle w:val="KonuBalChar"/>
                <w:rFonts w:eastAsia="Calibri"/>
                <w:b w:val="0"/>
                <w:color w:val="000000"/>
              </w:rPr>
              <w:t>on uzama süresi içinde yeni bir teklif verilmezse</w:t>
            </w:r>
            <w:r w:rsidR="00104D45" w:rsidRPr="00D60C1D">
              <w:rPr>
                <w:rStyle w:val="KonuBalChar"/>
                <w:rFonts w:eastAsia="Calibri"/>
                <w:b w:val="0"/>
                <w:color w:val="000000"/>
                <w:lang w:val="tr-TR"/>
              </w:rPr>
              <w:t>,</w:t>
            </w:r>
            <w:r w:rsidR="00D74D85" w:rsidRPr="00D60C1D">
              <w:rPr>
                <w:rStyle w:val="KonuBalChar"/>
                <w:rFonts w:eastAsia="Calibri"/>
                <w:b w:val="0"/>
                <w:color w:val="000000"/>
              </w:rPr>
              <w:t xml:space="preserve"> mal en yü</w:t>
            </w:r>
            <w:r w:rsidR="001E78A6" w:rsidRPr="00D60C1D">
              <w:rPr>
                <w:rStyle w:val="KonuBalChar"/>
                <w:rFonts w:eastAsia="Calibri"/>
                <w:b w:val="0"/>
                <w:color w:val="000000"/>
              </w:rPr>
              <w:t>ksek teklif verene ihale edilecektir</w:t>
            </w:r>
            <w:r w:rsidR="00D74D85" w:rsidRPr="00D60C1D">
              <w:rPr>
                <w:rStyle w:val="KonuBalChar"/>
                <w:rFonts w:eastAsia="Calibri"/>
                <w:b w:val="0"/>
                <w:color w:val="000000"/>
              </w:rPr>
              <w:t>.</w:t>
            </w:r>
            <w:r w:rsidR="001E78A6" w:rsidRPr="00D60C1D">
              <w:rPr>
                <w:rStyle w:val="KonuBalChar"/>
                <w:rFonts w:eastAsia="Calibri"/>
                <w:b w:val="0"/>
                <w:color w:val="000000"/>
                <w:lang w:val="tr-TR"/>
              </w:rPr>
              <w:t xml:space="preserve"> Ancak</w:t>
            </w:r>
            <w:r w:rsidR="00D74D85" w:rsidRPr="00D60C1D">
              <w:rPr>
                <w:rStyle w:val="KonuBalChar"/>
                <w:rFonts w:eastAsia="Calibri"/>
                <w:b w:val="0"/>
                <w:color w:val="000000"/>
              </w:rPr>
              <w:t xml:space="preserve"> </w:t>
            </w:r>
            <w:r w:rsidR="001E78A6" w:rsidRPr="00D60C1D">
              <w:rPr>
                <w:rStyle w:val="KonuBalChar"/>
                <w:rFonts w:eastAsia="Calibri"/>
                <w:b w:val="0"/>
                <w:color w:val="000000"/>
              </w:rPr>
              <w:t>u</w:t>
            </w:r>
            <w:r w:rsidR="00D74D85" w:rsidRPr="00D60C1D">
              <w:rPr>
                <w:rStyle w:val="KonuBalChar"/>
                <w:rFonts w:eastAsia="Calibri"/>
                <w:b w:val="0"/>
                <w:color w:val="000000"/>
              </w:rPr>
              <w:t>zama sürele</w:t>
            </w:r>
            <w:r w:rsidR="001E78A6" w:rsidRPr="00D60C1D">
              <w:rPr>
                <w:rStyle w:val="KonuBalChar"/>
                <w:rFonts w:eastAsia="Calibri"/>
                <w:b w:val="0"/>
                <w:color w:val="000000"/>
              </w:rPr>
              <w:t>rinin toplamı bir saati geçemeyecektir.</w:t>
            </w:r>
            <w:r w:rsidR="00D74D85" w:rsidRPr="00D60C1D">
              <w:rPr>
                <w:rStyle w:val="KonuBalChar"/>
                <w:rFonts w:eastAsia="Calibri"/>
                <w:b w:val="0"/>
                <w:color w:val="000000"/>
              </w:rPr>
              <w:t xml:space="preserve"> </w:t>
            </w:r>
            <w:r w:rsidR="008514F2" w:rsidRPr="00D60C1D">
              <w:rPr>
                <w:rStyle w:val="KonuBalChar"/>
                <w:rFonts w:eastAsia="Calibri"/>
                <w:b w:val="0"/>
                <w:color w:val="000000"/>
                <w:lang w:val="tr-TR"/>
              </w:rPr>
              <w:t>Söz konusu bi</w:t>
            </w:r>
            <w:r w:rsidR="00D74D85" w:rsidRPr="00D60C1D">
              <w:rPr>
                <w:rStyle w:val="KonuBalChar"/>
                <w:rFonts w:eastAsia="Calibri"/>
                <w:b w:val="0"/>
                <w:color w:val="000000"/>
              </w:rPr>
              <w:t>r saatlik süre Adalet Bakan</w:t>
            </w:r>
            <w:r w:rsidR="008514F2" w:rsidRPr="00D60C1D">
              <w:rPr>
                <w:rStyle w:val="KonuBalChar"/>
                <w:rFonts w:eastAsia="Calibri"/>
                <w:b w:val="0"/>
                <w:color w:val="000000"/>
              </w:rPr>
              <w:t xml:space="preserve">lığının kararıyla kısaltılabilecek, uzatılabilecek veya kaldırılabilecektir. </w:t>
            </w:r>
            <w:r w:rsidR="008514F2" w:rsidRPr="00D60C1D">
              <w:rPr>
                <w:rStyle w:val="KonuBalChar"/>
                <w:rFonts w:eastAsia="Calibri"/>
                <w:b w:val="0"/>
                <w:color w:val="000000"/>
                <w:lang w:val="tr-TR"/>
              </w:rPr>
              <w:t>B</w:t>
            </w:r>
            <w:r w:rsidR="00D74D85" w:rsidRPr="00D60C1D">
              <w:rPr>
                <w:rStyle w:val="KonuBalChar"/>
                <w:rFonts w:eastAsia="Calibri"/>
                <w:b w:val="0"/>
                <w:color w:val="000000"/>
              </w:rPr>
              <w:t>u kararlar Bakanlığın res</w:t>
            </w:r>
            <w:r w:rsidR="008514F2" w:rsidRPr="00D60C1D">
              <w:rPr>
                <w:rStyle w:val="KonuBalChar"/>
                <w:rFonts w:eastAsia="Calibri"/>
                <w:b w:val="0"/>
                <w:color w:val="000000"/>
              </w:rPr>
              <w:t>m</w:t>
            </w:r>
            <w:r w:rsidR="00AC45AD" w:rsidRPr="00D60C1D">
              <w:rPr>
                <w:rStyle w:val="KonuBalChar"/>
                <w:rFonts w:eastAsia="Calibri"/>
                <w:b w:val="0"/>
                <w:color w:val="000000"/>
                <w:lang w:val="tr-TR"/>
              </w:rPr>
              <w:t>î</w:t>
            </w:r>
            <w:r w:rsidR="008514F2" w:rsidRPr="00D60C1D">
              <w:rPr>
                <w:rStyle w:val="KonuBalChar"/>
                <w:rFonts w:eastAsia="Calibri"/>
                <w:b w:val="0"/>
                <w:color w:val="000000"/>
              </w:rPr>
              <w:t xml:space="preserve"> internet sitesinde duyurul</w:t>
            </w:r>
            <w:r w:rsidR="008514F2" w:rsidRPr="00D60C1D">
              <w:rPr>
                <w:rStyle w:val="KonuBalChar"/>
                <w:rFonts w:eastAsia="Calibri"/>
                <w:b w:val="0"/>
                <w:color w:val="000000"/>
                <w:lang w:val="tr-TR"/>
              </w:rPr>
              <w:t>acaktır.</w:t>
            </w:r>
          </w:p>
          <w:p w:rsidR="00006DB6" w:rsidRPr="00A23740" w:rsidRDefault="00006DB6" w:rsidP="009431FF">
            <w:pPr>
              <w:ind w:firstLine="709"/>
              <w:rPr>
                <w:szCs w:val="24"/>
                <w:lang w:eastAsia="tr-TR"/>
              </w:rPr>
            </w:pPr>
            <w:r w:rsidRPr="00A23740">
              <w:rPr>
                <w:szCs w:val="24"/>
                <w:lang w:eastAsia="tr-TR"/>
              </w:rPr>
              <w:t>Sekizinci fıkrayla, teklif verme süresi içinde bilişim sisteminin bakımı veya iyileştirilmesi için gerekli olan işlemlerin yapılabilmesine imk</w:t>
            </w:r>
            <w:r w:rsidR="007437C6" w:rsidRPr="00A23740">
              <w:rPr>
                <w:szCs w:val="24"/>
                <w:lang w:eastAsia="tr-TR"/>
              </w:rPr>
              <w:t>â</w:t>
            </w:r>
            <w:r w:rsidRPr="00A23740">
              <w:rPr>
                <w:szCs w:val="24"/>
                <w:lang w:eastAsia="tr-TR"/>
              </w:rPr>
              <w:t>n sağlanmakta ve bu işlemlerin ihalenin geçerliliğini etkilemeyeceği kabul edilmektedir.</w:t>
            </w:r>
          </w:p>
          <w:p w:rsidR="006203E7" w:rsidRPr="00A23740" w:rsidRDefault="00006DB6" w:rsidP="003F10EF">
            <w:pPr>
              <w:ind w:firstLine="709"/>
              <w:rPr>
                <w:rFonts w:eastAsia="Times New Roman"/>
                <w:color w:val="000000"/>
                <w:szCs w:val="24"/>
                <w:lang w:eastAsia="tr-TR"/>
              </w:rPr>
            </w:pPr>
            <w:r w:rsidRPr="00A23740">
              <w:rPr>
                <w:szCs w:val="24"/>
                <w:lang w:eastAsia="tr-TR"/>
              </w:rPr>
              <w:t xml:space="preserve">Dokuzuncu fıkrayla, Adalet Bakanlığına yönetmelik </w:t>
            </w:r>
            <w:r w:rsidR="00104D45" w:rsidRPr="00A23740">
              <w:rPr>
                <w:szCs w:val="24"/>
                <w:lang w:eastAsia="tr-TR"/>
              </w:rPr>
              <w:t xml:space="preserve">çıkarma </w:t>
            </w:r>
            <w:r w:rsidRPr="00A23740">
              <w:rPr>
                <w:szCs w:val="24"/>
                <w:lang w:eastAsia="tr-TR"/>
              </w:rPr>
              <w:t>yetkisi verilmektedir.</w:t>
            </w:r>
          </w:p>
        </w:tc>
      </w:tr>
      <w:tr w:rsidR="004C6191" w:rsidRPr="00A23740" w:rsidTr="009431FF">
        <w:tblPrEx>
          <w:tblLook w:val="01E0" w:firstRow="1" w:lastRow="1" w:firstColumn="1" w:lastColumn="1" w:noHBand="0" w:noVBand="0"/>
        </w:tblPrEx>
        <w:tc>
          <w:tcPr>
            <w:tcW w:w="2500" w:type="pct"/>
          </w:tcPr>
          <w:p w:rsidR="004C6191" w:rsidRPr="00A23740" w:rsidRDefault="004C6191" w:rsidP="009431FF">
            <w:pPr>
              <w:rPr>
                <w:b/>
                <w:szCs w:val="24"/>
                <w:lang w:eastAsia="tr-TR"/>
              </w:rPr>
            </w:pPr>
            <w:r w:rsidRPr="00A23740">
              <w:rPr>
                <w:b/>
                <w:szCs w:val="24"/>
                <w:lang w:eastAsia="tr-TR"/>
              </w:rPr>
              <w:t>Elektronik ortamda açık artırma suretiyle satış</w:t>
            </w:r>
            <w:r w:rsidRPr="00A23740">
              <w:rPr>
                <w:rStyle w:val="KIRMIZIChar"/>
                <w:rFonts w:eastAsia="Calibri"/>
              </w:rPr>
              <w:t>:</w:t>
            </w:r>
          </w:p>
          <w:p w:rsidR="004C6191" w:rsidRPr="00A23740" w:rsidRDefault="004C6191" w:rsidP="009431FF">
            <w:pPr>
              <w:rPr>
                <w:b/>
                <w:szCs w:val="24"/>
                <w:lang w:eastAsia="tr-TR"/>
              </w:rPr>
            </w:pPr>
            <w:r w:rsidRPr="00A23740">
              <w:rPr>
                <w:b/>
                <w:szCs w:val="24"/>
                <w:lang w:eastAsia="tr-TR"/>
              </w:rPr>
              <w:t xml:space="preserve">MADDE </w:t>
            </w:r>
            <w:r w:rsidRPr="00A23740">
              <w:rPr>
                <w:rStyle w:val="KIRMIZIChar"/>
                <w:rFonts w:eastAsia="Calibri"/>
              </w:rPr>
              <w:t>111/b- (Ek:24/11/2021-7343/13 md.) …</w:t>
            </w:r>
          </w:p>
          <w:p w:rsidR="004C6191" w:rsidRPr="00A23740" w:rsidRDefault="004C6191" w:rsidP="009431FF">
            <w:pPr>
              <w:rPr>
                <w:szCs w:val="24"/>
                <w:lang w:eastAsia="tr-TR"/>
              </w:rPr>
            </w:pPr>
            <w:r w:rsidRPr="00A23740">
              <w:rPr>
                <w:rStyle w:val="KIRMIZIChar"/>
                <w:rFonts w:eastAsia="Calibri"/>
              </w:rPr>
              <w:t>(7)</w:t>
            </w:r>
            <w:r w:rsidRPr="00A23740">
              <w:rPr>
                <w:szCs w:val="24"/>
                <w:lang w:eastAsia="tr-TR"/>
              </w:rPr>
              <w:t xml:space="preserve"> Elektronik satış portalında satış işlemlerinin güvenli bir şekilde gerçekleştirilmesini engelleyen veya elektronik satış sistemi ile ihale alıcılarının hak ve menfaatlerine zarar veren internet siteleri hakkında, 4/5/2007 tarihli ve 5651 sayılı İnternet Ortamında Yapılan Yayınların Düzenlenmesi ve Bu Yayınlar Yoluyla İşlenen Suçlarla Mücadele Edilmesi Hakkında Kanunun 8/A maddesi </w:t>
            </w:r>
            <w:r w:rsidRPr="00A23740">
              <w:rPr>
                <w:rStyle w:val="KIRMIZIChar"/>
                <w:rFonts w:eastAsia="Calibri"/>
              </w:rPr>
              <w:t>hükümleri</w:t>
            </w:r>
            <w:r w:rsidRPr="00A23740">
              <w:rPr>
                <w:szCs w:val="24"/>
                <w:lang w:eastAsia="tr-TR"/>
              </w:rPr>
              <w:t xml:space="preserve"> uygulanır.</w:t>
            </w:r>
          </w:p>
          <w:p w:rsidR="004C6191" w:rsidRPr="00A23740" w:rsidRDefault="004C6191" w:rsidP="009431FF">
            <w:pPr>
              <w:rPr>
                <w:szCs w:val="24"/>
                <w:lang w:eastAsia="tr-TR"/>
              </w:rPr>
            </w:pPr>
          </w:p>
          <w:p w:rsidR="004C6191" w:rsidRPr="00A23740" w:rsidRDefault="004C6191" w:rsidP="009431FF">
            <w:pPr>
              <w:rPr>
                <w:szCs w:val="24"/>
                <w:lang w:eastAsia="tr-TR"/>
              </w:rPr>
            </w:pPr>
            <w:r w:rsidRPr="00A23740">
              <w:rPr>
                <w:rStyle w:val="KIRMIZIChar"/>
                <w:rFonts w:eastAsia="Calibri"/>
              </w:rPr>
              <w:t>(8)</w:t>
            </w:r>
            <w:r w:rsidRPr="00A23740">
              <w:rPr>
                <w:szCs w:val="24"/>
                <w:lang w:eastAsia="tr-TR"/>
              </w:rPr>
              <w:t xml:space="preserve"> Elektronik satış portalının işleyişini </w:t>
            </w:r>
            <w:r w:rsidRPr="00A23740">
              <w:rPr>
                <w:rStyle w:val="KIRMIZIChar"/>
                <w:rFonts w:eastAsia="Calibri"/>
              </w:rPr>
              <w:t>ya da</w:t>
            </w:r>
            <w:r w:rsidRPr="00A23740">
              <w:rPr>
                <w:szCs w:val="24"/>
                <w:lang w:eastAsia="tr-TR"/>
              </w:rPr>
              <w:t xml:space="preserve"> güvenliğini tehlikeye sokan </w:t>
            </w:r>
            <w:r w:rsidRPr="00A23740">
              <w:rPr>
                <w:rStyle w:val="KIRMIZIChar"/>
                <w:rFonts w:eastAsia="Calibri"/>
              </w:rPr>
              <w:t>veya</w:t>
            </w:r>
            <w:r w:rsidRPr="00A23740">
              <w:rPr>
                <w:szCs w:val="24"/>
                <w:lang w:eastAsia="tr-TR"/>
              </w:rPr>
              <w:t xml:space="preserve"> satış portalına erişimi engelleyen </w:t>
            </w:r>
            <w:r w:rsidRPr="00A23740">
              <w:rPr>
                <w:rStyle w:val="KIRMIZIChar"/>
                <w:rFonts w:eastAsia="Calibri"/>
              </w:rPr>
              <w:t>ya da</w:t>
            </w:r>
            <w:r w:rsidRPr="00A23740">
              <w:rPr>
                <w:szCs w:val="24"/>
                <w:lang w:eastAsia="tr-TR"/>
              </w:rPr>
              <w:t xml:space="preserve"> zorlaştıran nitelikte eylemlerde bulunan gerçek ve tüzel kişilerin, satış portalına girişi Adalet Bakanlığınca </w:t>
            </w:r>
            <w:r w:rsidRPr="00A23740">
              <w:rPr>
                <w:bCs/>
                <w:lang w:eastAsia="tr-TR"/>
              </w:rPr>
              <w:t>üç</w:t>
            </w:r>
            <w:r w:rsidRPr="00A23740">
              <w:rPr>
                <w:rStyle w:val="KIRMIZIChar"/>
                <w:rFonts w:eastAsia="Calibri"/>
              </w:rPr>
              <w:t xml:space="preserve"> ay</w:t>
            </w:r>
            <w:r w:rsidRPr="00A23740">
              <w:rPr>
                <w:szCs w:val="24"/>
                <w:lang w:eastAsia="tr-TR"/>
              </w:rPr>
              <w:t xml:space="preserve"> süreyle engellenir. Engelleme işlemi, derhâl uygulanmaya başlanır ve satış portalının ilgili kişilerin görebileceği bir bölümünde duyurulur. Bu işleme karşı, duyuru tarihinden itibaren </w:t>
            </w:r>
            <w:r w:rsidRPr="00A23740">
              <w:rPr>
                <w:rStyle w:val="KIRMIZIChar"/>
                <w:rFonts w:eastAsia="Calibri"/>
              </w:rPr>
              <w:t>on beş gün</w:t>
            </w:r>
            <w:r w:rsidRPr="00A23740">
              <w:rPr>
                <w:szCs w:val="24"/>
                <w:lang w:eastAsia="tr-TR"/>
              </w:rPr>
              <w:t xml:space="preserve"> içinde 30/3/2005 tarihli ve 5326 sayılı Kabahatler Kanunu hükümleri uyarınca </w:t>
            </w:r>
            <w:r w:rsidRPr="00A23740">
              <w:rPr>
                <w:rStyle w:val="KIRMIZIChar"/>
                <w:rFonts w:eastAsia="Calibri"/>
              </w:rPr>
              <w:t>sulh ceza hâkimliğine</w:t>
            </w:r>
            <w:r w:rsidRPr="00A23740">
              <w:rPr>
                <w:szCs w:val="24"/>
                <w:lang w:eastAsia="tr-TR"/>
              </w:rPr>
              <w:t xml:space="preserve"> başvurulabilir. </w:t>
            </w:r>
            <w:r w:rsidRPr="00A23740">
              <w:rPr>
                <w:rStyle w:val="KIRMIZIChar"/>
                <w:rFonts w:eastAsia="Calibri"/>
              </w:rPr>
              <w:t>Hâkim</w:t>
            </w:r>
            <w:r w:rsidRPr="00A23740">
              <w:rPr>
                <w:szCs w:val="24"/>
                <w:lang w:eastAsia="tr-TR"/>
              </w:rPr>
              <w:t>, başvuruyu ivedi olarak karara bağlar. Başvurunun yapılmış olması ihalenin tamamlanmasını engellemez.</w:t>
            </w:r>
          </w:p>
          <w:p w:rsidR="004C6191" w:rsidRPr="00A23740" w:rsidRDefault="004C6191" w:rsidP="009431FF">
            <w:pPr>
              <w:pStyle w:val="KIRMIZI"/>
              <w:rPr>
                <w:b w:val="0"/>
                <w:lang w:eastAsia="tr-TR"/>
              </w:rPr>
            </w:pPr>
          </w:p>
        </w:tc>
        <w:tc>
          <w:tcPr>
            <w:tcW w:w="2500" w:type="pct"/>
          </w:tcPr>
          <w:p w:rsidR="004C6191" w:rsidRPr="00A23740" w:rsidRDefault="004C6191" w:rsidP="009431FF">
            <w:pPr>
              <w:pStyle w:val="Mavi"/>
            </w:pPr>
            <w:r w:rsidRPr="00A23740">
              <w:t>Elektronik satış portalının güvenliğine müdahale</w:t>
            </w:r>
          </w:p>
          <w:p w:rsidR="004C6191" w:rsidRPr="00A23740" w:rsidRDefault="004C6191" w:rsidP="009431FF">
            <w:pPr>
              <w:pStyle w:val="Mavi"/>
            </w:pPr>
            <w:r w:rsidRPr="00A23740">
              <w:t xml:space="preserve">MADDE </w:t>
            </w:r>
            <w:r w:rsidR="0025794C" w:rsidRPr="00A23740">
              <w:rPr>
                <w:lang w:val="tr-TR"/>
              </w:rPr>
              <w:t>23</w:t>
            </w:r>
            <w:r w:rsidR="00396AB6" w:rsidRPr="00A23740">
              <w:rPr>
                <w:lang w:val="tr-TR"/>
              </w:rPr>
              <w:t>4</w:t>
            </w:r>
            <w:r w:rsidRPr="00A23740">
              <w:t>- (1)</w:t>
            </w:r>
            <w:r w:rsidRPr="00A23740">
              <w:rPr>
                <w:b w:val="0"/>
                <w:color w:val="auto"/>
              </w:rPr>
              <w:t xml:space="preserve"> Elektronik satış portalında satış işlemlerinin güvenli bir şekilde gerçekleştirilmesini engelleyen veya elektronik satış sistemi ile ihale alıcılarının hak ve menfaatlerine zarar veren internet siteleri hakkında, 4/5/2007 tarihli ve 5651 sayılı İnternet Ortamında Yapılan Yayınların Düzenlenmesi ve Bu Yayınlar Yoluyla İşlenen Suçlarla Mücadele Edilmesi Hakkında Kanunun 8/A maddesi uygulanır.</w:t>
            </w:r>
          </w:p>
          <w:p w:rsidR="00B936D8" w:rsidRDefault="00B936D8" w:rsidP="009431FF">
            <w:pPr>
              <w:rPr>
                <w:szCs w:val="24"/>
                <w:lang w:eastAsia="tr-TR"/>
              </w:rPr>
            </w:pPr>
          </w:p>
          <w:p w:rsidR="00BD41B4" w:rsidRPr="00A23740" w:rsidRDefault="00BD41B4" w:rsidP="009431FF">
            <w:pPr>
              <w:rPr>
                <w:szCs w:val="24"/>
                <w:lang w:eastAsia="tr-TR"/>
              </w:rPr>
            </w:pPr>
          </w:p>
          <w:p w:rsidR="004C6191" w:rsidRPr="00A23740" w:rsidRDefault="004C6191" w:rsidP="009431FF">
            <w:pPr>
              <w:rPr>
                <w:b/>
                <w:lang w:eastAsia="tr-TR"/>
              </w:rPr>
            </w:pPr>
            <w:r w:rsidRPr="00A23740">
              <w:rPr>
                <w:rStyle w:val="MaviChar"/>
              </w:rPr>
              <w:t>(2)</w:t>
            </w:r>
            <w:r w:rsidRPr="00A23740">
              <w:rPr>
                <w:szCs w:val="24"/>
                <w:lang w:eastAsia="tr-TR"/>
              </w:rPr>
              <w:t xml:space="preserve"> Elektronik satış portalının işleyişini </w:t>
            </w:r>
            <w:r w:rsidR="0036469E" w:rsidRPr="00A23740">
              <w:rPr>
                <w:rStyle w:val="Balk1Char"/>
                <w:rFonts w:eastAsia="Calibri"/>
              </w:rPr>
              <w:t>veya</w:t>
            </w:r>
            <w:r w:rsidR="0036469E" w:rsidRPr="00A23740">
              <w:rPr>
                <w:szCs w:val="24"/>
                <w:lang w:eastAsia="tr-TR"/>
              </w:rPr>
              <w:t xml:space="preserve"> </w:t>
            </w:r>
            <w:r w:rsidRPr="00A23740">
              <w:rPr>
                <w:szCs w:val="24"/>
                <w:lang w:eastAsia="tr-TR"/>
              </w:rPr>
              <w:t xml:space="preserve">güvenliğini tehlikeye sokan </w:t>
            </w:r>
            <w:r w:rsidR="0036469E" w:rsidRPr="00A23740">
              <w:rPr>
                <w:rStyle w:val="Balk1Char"/>
                <w:rFonts w:eastAsia="Calibri"/>
              </w:rPr>
              <w:t>ya da</w:t>
            </w:r>
            <w:r w:rsidR="0036469E" w:rsidRPr="00A23740">
              <w:rPr>
                <w:szCs w:val="24"/>
                <w:lang w:eastAsia="tr-TR"/>
              </w:rPr>
              <w:t xml:space="preserve"> </w:t>
            </w:r>
            <w:r w:rsidRPr="00A23740">
              <w:rPr>
                <w:szCs w:val="24"/>
                <w:lang w:eastAsia="tr-TR"/>
              </w:rPr>
              <w:t xml:space="preserve">satış portalına erişimi engelleyen </w:t>
            </w:r>
            <w:r w:rsidR="0036469E" w:rsidRPr="00A23740">
              <w:rPr>
                <w:rStyle w:val="Balk1Char"/>
                <w:rFonts w:eastAsia="Calibri"/>
              </w:rPr>
              <w:t>yahut</w:t>
            </w:r>
            <w:r w:rsidR="0036469E" w:rsidRPr="00A23740">
              <w:rPr>
                <w:szCs w:val="24"/>
                <w:lang w:eastAsia="tr-TR"/>
              </w:rPr>
              <w:t xml:space="preserve"> </w:t>
            </w:r>
            <w:r w:rsidRPr="00A23740">
              <w:rPr>
                <w:szCs w:val="24"/>
                <w:lang w:eastAsia="tr-TR"/>
              </w:rPr>
              <w:t xml:space="preserve">zorlaştıran nitelikte eylemlerde bulunan gerçek ve tüzel kişilerin, satış portalına girişi Adalet Bakanlığınca </w:t>
            </w:r>
            <w:r w:rsidRPr="00A23740">
              <w:rPr>
                <w:bCs/>
                <w:lang w:eastAsia="tr-TR"/>
              </w:rPr>
              <w:t xml:space="preserve">üç </w:t>
            </w:r>
            <w:r w:rsidRPr="00A23740">
              <w:rPr>
                <w:rStyle w:val="MaviChar"/>
              </w:rPr>
              <w:t>yıl</w:t>
            </w:r>
            <w:r w:rsidRPr="00A23740">
              <w:rPr>
                <w:szCs w:val="24"/>
                <w:lang w:eastAsia="tr-TR"/>
              </w:rPr>
              <w:t xml:space="preserve"> süreyle engellenir. Engelleme işlemi, derhâl uygulanmaya başlanır ve satış portalının ilgili kişilerin görebileceği bir bölümünde duyurulur. Bu işleme karşı, duyuru tarihinden itibaren </w:t>
            </w:r>
            <w:r w:rsidRPr="00A23740">
              <w:rPr>
                <w:rStyle w:val="MaviChar"/>
              </w:rPr>
              <w:t>iki hafta</w:t>
            </w:r>
            <w:r w:rsidRPr="00A23740">
              <w:rPr>
                <w:szCs w:val="24"/>
                <w:lang w:eastAsia="tr-TR"/>
              </w:rPr>
              <w:t xml:space="preserve"> içinde 30/3/2005 tarihli ve 5326 sayılı Kabahatler Kanunu hükümleri uyarınca </w:t>
            </w:r>
            <w:r w:rsidRPr="00A23740">
              <w:rPr>
                <w:rStyle w:val="MaviChar"/>
              </w:rPr>
              <w:t>icra ceza mahkemesine</w:t>
            </w:r>
            <w:r w:rsidRPr="00A23740">
              <w:rPr>
                <w:szCs w:val="24"/>
                <w:lang w:eastAsia="tr-TR"/>
              </w:rPr>
              <w:t xml:space="preserve"> başvurulabilir. </w:t>
            </w:r>
            <w:r w:rsidRPr="00A23740">
              <w:rPr>
                <w:rStyle w:val="MaviChar"/>
              </w:rPr>
              <w:t>Mahkeme</w:t>
            </w:r>
            <w:r w:rsidRPr="00A23740">
              <w:rPr>
                <w:szCs w:val="24"/>
                <w:lang w:eastAsia="tr-TR"/>
              </w:rPr>
              <w:t>, başvuruyu ivedi olarak karara bağlar. Başvurunun yapılmış olması ihalenin tamamlanmasını engellemez.</w:t>
            </w:r>
          </w:p>
        </w:tc>
      </w:tr>
      <w:tr w:rsidR="006203E7" w:rsidRPr="00A23740" w:rsidTr="009431FF">
        <w:tblPrEx>
          <w:tblLook w:val="01E0" w:firstRow="1" w:lastRow="1" w:firstColumn="1" w:lastColumn="1" w:noHBand="0" w:noVBand="0"/>
        </w:tblPrEx>
        <w:tc>
          <w:tcPr>
            <w:tcW w:w="5000" w:type="pct"/>
            <w:gridSpan w:val="2"/>
            <w:shd w:val="clear" w:color="auto" w:fill="DEEAF6"/>
          </w:tcPr>
          <w:p w:rsidR="006203E7" w:rsidRPr="00A23740" w:rsidRDefault="0020213C" w:rsidP="009431FF">
            <w:pPr>
              <w:ind w:firstLine="709"/>
              <w:rPr>
                <w:rFonts w:eastAsia="Times New Roman"/>
                <w:b/>
                <w:color w:val="000000"/>
                <w:szCs w:val="24"/>
                <w:lang w:eastAsia="tr-TR"/>
              </w:rPr>
            </w:pPr>
            <w:r w:rsidRPr="00A23740">
              <w:rPr>
                <w:rFonts w:eastAsia="Times New Roman"/>
                <w:b/>
                <w:color w:val="000000"/>
                <w:szCs w:val="24"/>
                <w:lang w:eastAsia="tr-TR"/>
              </w:rPr>
              <w:t xml:space="preserve"> </w:t>
            </w:r>
          </w:p>
          <w:p w:rsidR="004C6191" w:rsidRPr="00A23740" w:rsidRDefault="004C6191" w:rsidP="009431FF">
            <w:pPr>
              <w:tabs>
                <w:tab w:val="left" w:pos="567"/>
              </w:tabs>
              <w:ind w:firstLine="709"/>
              <w:rPr>
                <w:rFonts w:eastAsia="Times New Roman"/>
                <w:bCs/>
                <w:color w:val="000000"/>
                <w:szCs w:val="24"/>
                <w:lang w:val="x-none" w:eastAsia="tr-TR"/>
              </w:rPr>
            </w:pPr>
            <w:r w:rsidRPr="00A23740">
              <w:rPr>
                <w:b/>
                <w:szCs w:val="24"/>
                <w:lang w:eastAsia="tr-TR"/>
              </w:rPr>
              <w:t xml:space="preserve">MADDE </w:t>
            </w:r>
            <w:r w:rsidR="00396AB6" w:rsidRPr="00A23740">
              <w:rPr>
                <w:b/>
                <w:szCs w:val="24"/>
                <w:lang w:eastAsia="tr-TR"/>
              </w:rPr>
              <w:t>234</w:t>
            </w:r>
            <w:r w:rsidRPr="00A23740">
              <w:rPr>
                <w:b/>
                <w:szCs w:val="24"/>
                <w:lang w:eastAsia="tr-TR"/>
              </w:rPr>
              <w:t>-</w:t>
            </w:r>
            <w:r w:rsidRPr="00A23740">
              <w:rPr>
                <w:szCs w:val="24"/>
                <w:lang w:eastAsia="tr-TR"/>
              </w:rPr>
              <w:t xml:space="preserve"> Maddeyle, elektronik satış portalının güvenliğine müdahaleyle ilgili hususlar düzenlenmektedir.</w:t>
            </w:r>
            <w:r w:rsidRPr="00A23740">
              <w:rPr>
                <w:b/>
                <w:bCs/>
                <w:color w:val="0000FF"/>
                <w:szCs w:val="24"/>
                <w:lang w:eastAsia="x-none"/>
              </w:rPr>
              <w:t xml:space="preserve"> </w:t>
            </w:r>
            <w:r w:rsidRPr="00A23740">
              <w:rPr>
                <w:rFonts w:eastAsia="Times New Roman"/>
                <w:bCs/>
                <w:color w:val="000000"/>
                <w:szCs w:val="24"/>
                <w:lang w:val="x-none" w:eastAsia="tr-TR"/>
              </w:rPr>
              <w:t>Hüküm, 2004 sayılı Kanunun</w:t>
            </w:r>
            <w:r w:rsidRPr="00A23740">
              <w:rPr>
                <w:rFonts w:eastAsia="Times New Roman"/>
                <w:bCs/>
                <w:color w:val="000000"/>
                <w:szCs w:val="24"/>
                <w:lang w:eastAsia="tr-TR"/>
              </w:rPr>
              <w:t xml:space="preserve"> 111/b maddesinin yedinci ve sekizinci fıkralarına karşılık</w:t>
            </w:r>
            <w:r w:rsidRPr="00A23740">
              <w:rPr>
                <w:rFonts w:eastAsia="Times New Roman"/>
                <w:bCs/>
                <w:color w:val="000000"/>
                <w:szCs w:val="24"/>
                <w:lang w:val="x-none" w:eastAsia="tr-TR"/>
              </w:rPr>
              <w:t xml:space="preserve"> gelmektedir.</w:t>
            </w:r>
          </w:p>
          <w:p w:rsidR="004C6191" w:rsidRPr="00A23740" w:rsidRDefault="004C6191" w:rsidP="009431FF">
            <w:pPr>
              <w:tabs>
                <w:tab w:val="left" w:pos="567"/>
              </w:tabs>
              <w:ind w:firstLine="709"/>
              <w:rPr>
                <w:bCs/>
                <w:szCs w:val="24"/>
                <w:lang w:val="x-none" w:eastAsia="x-none"/>
              </w:rPr>
            </w:pPr>
            <w:r w:rsidRPr="00A23740">
              <w:rPr>
                <w:rFonts w:eastAsia="Times New Roman"/>
                <w:bCs/>
                <w:color w:val="000000"/>
                <w:szCs w:val="24"/>
                <w:lang w:eastAsia="tr-TR"/>
              </w:rPr>
              <w:t xml:space="preserve">Birinci fıkrayla, </w:t>
            </w:r>
            <w:r w:rsidRPr="00A23740">
              <w:rPr>
                <w:bCs/>
                <w:szCs w:val="24"/>
                <w:lang w:val="x-none" w:eastAsia="x-none"/>
              </w:rPr>
              <w:t>elektronik satış portalında satış işlemlerinin güvenli bir şekilde gerçekleştirilmesini engelleyen veya elektronik satış sistemi</w:t>
            </w:r>
            <w:r w:rsidR="00104D45" w:rsidRPr="00A23740">
              <w:rPr>
                <w:bCs/>
                <w:szCs w:val="24"/>
                <w:lang w:eastAsia="x-none"/>
              </w:rPr>
              <w:t>yle</w:t>
            </w:r>
            <w:r w:rsidRPr="00A23740">
              <w:rPr>
                <w:bCs/>
                <w:szCs w:val="24"/>
                <w:lang w:val="x-none" w:eastAsia="x-none"/>
              </w:rPr>
              <w:t xml:space="preserve"> ihale alıcılarının hak ve menfaatlerine zarar veren internet siteleri hakkında, 5651 sayılı Kanunun 8/A maddesi</w:t>
            </w:r>
            <w:r w:rsidRPr="00A23740">
              <w:rPr>
                <w:bCs/>
                <w:szCs w:val="24"/>
                <w:lang w:eastAsia="x-none"/>
              </w:rPr>
              <w:t>nin uygulanacağı düzenlenmektedir.</w:t>
            </w:r>
          </w:p>
          <w:p w:rsidR="004C6191" w:rsidRPr="00A23740" w:rsidRDefault="004C6191" w:rsidP="003F10EF">
            <w:pPr>
              <w:tabs>
                <w:tab w:val="left" w:pos="567"/>
              </w:tabs>
              <w:ind w:firstLine="709"/>
              <w:rPr>
                <w:rFonts w:eastAsia="Times New Roman"/>
                <w:color w:val="000000"/>
                <w:szCs w:val="24"/>
                <w:lang w:eastAsia="tr-TR"/>
              </w:rPr>
            </w:pPr>
            <w:r w:rsidRPr="00A23740">
              <w:rPr>
                <w:bCs/>
                <w:szCs w:val="24"/>
                <w:lang w:eastAsia="x-none"/>
              </w:rPr>
              <w:t xml:space="preserve">İkinci fıkrayla, elektronik satış portalının işleyişini </w:t>
            </w:r>
            <w:r w:rsidR="0036469E" w:rsidRPr="00D60C1D">
              <w:rPr>
                <w:rStyle w:val="Balk1Char"/>
                <w:rFonts w:eastAsia="Calibri"/>
                <w:b w:val="0"/>
                <w:color w:val="000000"/>
              </w:rPr>
              <w:t>veya</w:t>
            </w:r>
            <w:r w:rsidR="0036469E" w:rsidRPr="00A23740">
              <w:rPr>
                <w:bCs/>
                <w:szCs w:val="24"/>
                <w:lang w:eastAsia="x-none"/>
              </w:rPr>
              <w:t xml:space="preserve"> </w:t>
            </w:r>
            <w:r w:rsidRPr="00A23740">
              <w:rPr>
                <w:bCs/>
                <w:szCs w:val="24"/>
                <w:lang w:eastAsia="x-none"/>
              </w:rPr>
              <w:t xml:space="preserve">güvenliğini tehlikeye sokan </w:t>
            </w:r>
            <w:r w:rsidR="0036469E" w:rsidRPr="00D60C1D">
              <w:rPr>
                <w:rStyle w:val="Balk1Char"/>
                <w:rFonts w:eastAsia="Calibri"/>
                <w:b w:val="0"/>
                <w:color w:val="000000"/>
              </w:rPr>
              <w:t>ya da</w:t>
            </w:r>
            <w:r w:rsidR="0036469E" w:rsidRPr="00A23740">
              <w:rPr>
                <w:bCs/>
                <w:szCs w:val="24"/>
                <w:lang w:eastAsia="x-none"/>
              </w:rPr>
              <w:t xml:space="preserve"> </w:t>
            </w:r>
            <w:r w:rsidRPr="00A23740">
              <w:rPr>
                <w:bCs/>
                <w:szCs w:val="24"/>
                <w:lang w:eastAsia="x-none"/>
              </w:rPr>
              <w:t xml:space="preserve">satış portalına erişimi engelleyen </w:t>
            </w:r>
            <w:r w:rsidR="0036469E" w:rsidRPr="00D60C1D">
              <w:rPr>
                <w:rStyle w:val="Balk1Char"/>
                <w:rFonts w:eastAsia="Calibri"/>
                <w:b w:val="0"/>
                <w:color w:val="000000"/>
              </w:rPr>
              <w:t>yahut</w:t>
            </w:r>
            <w:r w:rsidR="0036469E" w:rsidRPr="00A23740">
              <w:rPr>
                <w:bCs/>
                <w:szCs w:val="24"/>
                <w:lang w:eastAsia="x-none"/>
              </w:rPr>
              <w:t xml:space="preserve"> </w:t>
            </w:r>
            <w:r w:rsidRPr="00A23740">
              <w:rPr>
                <w:bCs/>
                <w:szCs w:val="24"/>
                <w:lang w:eastAsia="x-none"/>
              </w:rPr>
              <w:t>zorlaştıran nitelikte eylemlerde bulunan gerçek ve tüzel kişilerin, elektronik satış portalına girişi</w:t>
            </w:r>
            <w:r w:rsidR="00104D45" w:rsidRPr="00A23740">
              <w:rPr>
                <w:bCs/>
                <w:szCs w:val="24"/>
                <w:lang w:eastAsia="x-none"/>
              </w:rPr>
              <w:t>nin</w:t>
            </w:r>
            <w:r w:rsidRPr="00A23740">
              <w:rPr>
                <w:bCs/>
                <w:szCs w:val="24"/>
                <w:lang w:eastAsia="x-none"/>
              </w:rPr>
              <w:t xml:space="preserve"> Adalet Bakanlığınca üç yıl süreyle </w:t>
            </w:r>
            <w:r w:rsidR="00104D45" w:rsidRPr="00A23740">
              <w:rPr>
                <w:bCs/>
                <w:szCs w:val="24"/>
                <w:lang w:eastAsia="x-none"/>
              </w:rPr>
              <w:t xml:space="preserve">engellenmesi </w:t>
            </w:r>
            <w:r w:rsidRPr="00A23740">
              <w:rPr>
                <w:bCs/>
                <w:szCs w:val="24"/>
                <w:lang w:eastAsia="x-none"/>
              </w:rPr>
              <w:t xml:space="preserve">düzenlenmektedir. Engelleme işlemi, derhâl uygulanmaya başlanır ve satış portalının ilgili kişilerin görebileceği bir bölümünde duyurulur. Bu işleme karşı, duyuru tarihinden itibaren iki hafta içinde 5326 sayılı Kanun hükümleri uyarınca icra ceza mahkemesine başvurulabilir. Mahkeme, başvuruyu ivedi olarak karara bağlar. Bu başvuru ihalenin tamamlanmasını engellemez. 2004 sayılı Kanunun 111/b maddesinin sekizinci fıkrasından farklı olarak; sistemin güvenliğinin daha etkin bir şekilde sağlanabilmesi için üç aylık engelleme süresi üç yıla çıkarılmakta, sürelerin yeknesaklaştırılması amacıyla başvuru süresi on beş gün yerine iki hafta olarak belirlenmekte ve Taslakla </w:t>
            </w:r>
            <w:r w:rsidR="00104D45" w:rsidRPr="00A23740">
              <w:rPr>
                <w:bCs/>
                <w:szCs w:val="24"/>
                <w:lang w:eastAsia="x-none"/>
              </w:rPr>
              <w:t xml:space="preserve">oluşturulan sistemde </w:t>
            </w:r>
            <w:r w:rsidRPr="00A23740">
              <w:rPr>
                <w:bCs/>
                <w:szCs w:val="24"/>
                <w:lang w:eastAsia="x-none"/>
              </w:rPr>
              <w:t>icra ceza mahkemesi kurulduğundan engelleme kararına karşı sulh ceza h</w:t>
            </w:r>
            <w:r w:rsidR="00407C95" w:rsidRPr="00A23740">
              <w:t>â</w:t>
            </w:r>
            <w:r w:rsidRPr="00A23740">
              <w:rPr>
                <w:bCs/>
                <w:szCs w:val="24"/>
                <w:lang w:eastAsia="x-none"/>
              </w:rPr>
              <w:t>kimliği yerine icra ceza mahkemesine başvurulması usulü kabul edilmektedir.</w:t>
            </w:r>
          </w:p>
          <w:p w:rsidR="006203E7" w:rsidRPr="00A23740" w:rsidRDefault="006203E7"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D35421" w:rsidRPr="00A23740" w:rsidRDefault="00D35421" w:rsidP="009431FF">
            <w:pPr>
              <w:pStyle w:val="KIRMIZI"/>
            </w:pPr>
            <w:r w:rsidRPr="00A23740">
              <w:t>İhalenin yapılması:</w:t>
            </w:r>
          </w:p>
          <w:p w:rsidR="00D35421" w:rsidRPr="00A23740" w:rsidRDefault="00D35421" w:rsidP="009431FF">
            <w:pPr>
              <w:pStyle w:val="KIRMIZI"/>
            </w:pPr>
            <w:r w:rsidRPr="00A23740">
              <w:t>Madde 115 – …</w:t>
            </w:r>
          </w:p>
          <w:p w:rsidR="00AA5C8C" w:rsidRPr="00A23740" w:rsidRDefault="00D35421" w:rsidP="009431FF">
            <w:pPr>
              <w:rPr>
                <w:color w:val="000000"/>
              </w:rPr>
            </w:pPr>
            <w:r w:rsidRPr="00A23740">
              <w:rPr>
                <w:rStyle w:val="KIRMIZIChar"/>
                <w:rFonts w:eastAsia="Calibri"/>
              </w:rPr>
              <w:t>(8)</w:t>
            </w:r>
            <w:r w:rsidRPr="00A23740">
              <w:rPr>
                <w:color w:val="000000"/>
              </w:rPr>
              <w:t xml:space="preserve"> </w:t>
            </w:r>
            <w:r w:rsidR="00AA5C8C" w:rsidRPr="00A23740">
              <w:rPr>
                <w:color w:val="000000"/>
              </w:rPr>
              <w:t xml:space="preserve">İcra </w:t>
            </w:r>
            <w:r w:rsidR="00AA5C8C" w:rsidRPr="00A23740">
              <w:rPr>
                <w:rStyle w:val="KIRMIZIChar"/>
                <w:rFonts w:eastAsia="Calibri"/>
              </w:rPr>
              <w:t>müdürü</w:t>
            </w:r>
            <w:r w:rsidR="00AA5C8C" w:rsidRPr="00A23740">
              <w:rPr>
                <w:color w:val="000000"/>
              </w:rPr>
              <w:t xml:space="preserve">, artırma bittikten sonraki ilk iş gününde elektronik satış portalından kaynaklanan teknik sebeplerle, artırmanın son on dakikası içinde teklif verilemediğini satış portalı kayıtlarından tespit ederse artırma süresinin bir gün uzatılmasına karar verir; kararda artırmanın başlayacağı ve biteceği tarih ve saatleri gösterir ve tüm bu hususları satış portalında derhâl duyurur. </w:t>
            </w:r>
            <w:r w:rsidR="00AA5C8C" w:rsidRPr="00A23740">
              <w:rPr>
                <w:rStyle w:val="KIRMIZIChar"/>
                <w:rFonts w:eastAsia="Calibri"/>
              </w:rPr>
              <w:t>Bu</w:t>
            </w:r>
            <w:r w:rsidR="00AA5C8C" w:rsidRPr="00A23740">
              <w:rPr>
                <w:color w:val="000000"/>
              </w:rPr>
              <w:t xml:space="preserve"> </w:t>
            </w:r>
            <w:r w:rsidR="00AA5C8C" w:rsidRPr="00A23740">
              <w:rPr>
                <w:rStyle w:val="KIRMIZIChar"/>
                <w:rFonts w:eastAsia="Calibri"/>
              </w:rPr>
              <w:t>durumda</w:t>
            </w:r>
            <w:r w:rsidR="00AA5C8C" w:rsidRPr="00A23740">
              <w:rPr>
                <w:color w:val="000000"/>
              </w:rPr>
              <w:t xml:space="preserve"> artırmanın başlangıç tarihi, artırma süresinin uzatılmasına karar verildiği tarihten itibaren üç günü geçemez. Bu süre içinde, daha önce en yüksek teklif veren teklifiyle </w:t>
            </w:r>
            <w:r w:rsidR="00AA5C8C" w:rsidRPr="00A23740">
              <w:rPr>
                <w:rStyle w:val="KIRMIZIChar"/>
                <w:rFonts w:eastAsia="Calibri"/>
              </w:rPr>
              <w:t>bağlı olacağı gibi</w:t>
            </w:r>
            <w:r w:rsidR="00AA5C8C" w:rsidRPr="00A23740">
              <w:rPr>
                <w:color w:val="000000"/>
              </w:rPr>
              <w:t xml:space="preserve"> yeni istekliler de teminat</w:t>
            </w:r>
            <w:r w:rsidR="00AA5C8C" w:rsidRPr="00A23740">
              <w:rPr>
                <w:rStyle w:val="KIRMIZIChar"/>
                <w:rFonts w:eastAsia="Calibri"/>
              </w:rPr>
              <w:t>ı</w:t>
            </w:r>
            <w:r w:rsidR="00AA5C8C" w:rsidRPr="00A23740">
              <w:rPr>
                <w:color w:val="000000"/>
              </w:rPr>
              <w:t xml:space="preserve"> </w:t>
            </w:r>
            <w:r w:rsidR="00AA5C8C" w:rsidRPr="00A23740">
              <w:rPr>
                <w:rStyle w:val="KIRMIZIChar"/>
                <w:rFonts w:eastAsia="Calibri"/>
              </w:rPr>
              <w:t>yatırmak</w:t>
            </w:r>
            <w:r w:rsidR="00AA5C8C" w:rsidRPr="00A23740">
              <w:rPr>
                <w:color w:val="000000"/>
              </w:rPr>
              <w:t xml:space="preserve"> </w:t>
            </w:r>
            <w:r w:rsidR="00AA5C8C" w:rsidRPr="00A23740">
              <w:rPr>
                <w:rStyle w:val="KIRMIZIChar"/>
                <w:rFonts w:eastAsia="Calibri"/>
              </w:rPr>
              <w:t>suretiyle</w:t>
            </w:r>
            <w:r w:rsidR="00AA5C8C" w:rsidRPr="00A23740">
              <w:rPr>
                <w:color w:val="000000"/>
              </w:rPr>
              <w:t xml:space="preserve"> artırmaya katılabilir.</w:t>
            </w:r>
          </w:p>
          <w:p w:rsidR="00AA5824" w:rsidRPr="00A23740" w:rsidRDefault="00AA5824" w:rsidP="009431FF">
            <w:pPr>
              <w:rPr>
                <w:color w:val="000000"/>
              </w:rPr>
            </w:pPr>
          </w:p>
          <w:p w:rsidR="00AA5824" w:rsidRPr="00A23740" w:rsidRDefault="00AA5824" w:rsidP="009431FF">
            <w:pPr>
              <w:pStyle w:val="KIRMIZI"/>
            </w:pPr>
            <w:r w:rsidRPr="00A23740">
              <w:t>(1)</w:t>
            </w:r>
            <w:r w:rsidRPr="00A23740">
              <w:rPr>
                <w:lang w:val="tr-TR"/>
              </w:rPr>
              <w:t xml:space="preserve"> Birinci fıkra: </w:t>
            </w:r>
            <w:r w:rsidRPr="00A23740">
              <w:t xml:space="preserve"> Taslak </w:t>
            </w:r>
            <w:r w:rsidRPr="00A23740">
              <w:rPr>
                <w:lang w:val="tr-TR"/>
              </w:rPr>
              <w:t>m.</w:t>
            </w:r>
            <w:r w:rsidRPr="00A23740">
              <w:t>239/1</w:t>
            </w:r>
          </w:p>
          <w:p w:rsidR="00AA5824" w:rsidRPr="00A23740" w:rsidRDefault="00AA5824" w:rsidP="009431FF">
            <w:pPr>
              <w:pStyle w:val="KIRMIZI"/>
              <w:rPr>
                <w:lang w:val="tr-TR"/>
              </w:rPr>
            </w:pPr>
            <w:r w:rsidRPr="00A23740">
              <w:t>(2)</w:t>
            </w:r>
            <w:r w:rsidRPr="00A23740">
              <w:rPr>
                <w:lang w:val="tr-TR"/>
              </w:rPr>
              <w:t xml:space="preserve"> İkinci fıkra: Taslak m. 240/1</w:t>
            </w:r>
            <w:r w:rsidRPr="00A23740">
              <w:t xml:space="preserve"> </w:t>
            </w:r>
          </w:p>
          <w:p w:rsidR="00AA5824" w:rsidRPr="00A23740" w:rsidRDefault="00AA5824" w:rsidP="009431FF">
            <w:pPr>
              <w:pStyle w:val="KIRMIZI"/>
              <w:rPr>
                <w:lang w:val="tr-TR"/>
              </w:rPr>
            </w:pPr>
            <w:r w:rsidRPr="00A23740">
              <w:t>(3)</w:t>
            </w:r>
            <w:r w:rsidRPr="00A23740">
              <w:rPr>
                <w:lang w:val="tr-TR"/>
              </w:rPr>
              <w:t xml:space="preserve"> Üçüncü fıkra: </w:t>
            </w:r>
            <w:r w:rsidRPr="00A23740">
              <w:t xml:space="preserve"> Taslak </w:t>
            </w:r>
            <w:r w:rsidRPr="00A23740">
              <w:rPr>
                <w:lang w:val="tr-TR"/>
              </w:rPr>
              <w:t>m.240/5</w:t>
            </w:r>
          </w:p>
          <w:p w:rsidR="00AA5824" w:rsidRPr="00A23740" w:rsidRDefault="00AA5824" w:rsidP="009431FF">
            <w:pPr>
              <w:pStyle w:val="KIRMIZI"/>
              <w:rPr>
                <w:lang w:val="tr-TR"/>
              </w:rPr>
            </w:pPr>
            <w:r w:rsidRPr="00A23740">
              <w:t>(4)</w:t>
            </w:r>
            <w:r w:rsidRPr="00A23740">
              <w:rPr>
                <w:lang w:val="tr-TR"/>
              </w:rPr>
              <w:t xml:space="preserve"> Dördüncü fıkra: </w:t>
            </w:r>
            <w:r w:rsidRPr="00A23740">
              <w:t xml:space="preserve"> Taslak</w:t>
            </w:r>
            <w:r w:rsidRPr="00A23740">
              <w:rPr>
                <w:lang w:val="tr-TR"/>
              </w:rPr>
              <w:t xml:space="preserve"> m.240/2</w:t>
            </w:r>
          </w:p>
          <w:p w:rsidR="00AA5824" w:rsidRPr="00A23740" w:rsidRDefault="00AA5824" w:rsidP="009431FF">
            <w:pPr>
              <w:pStyle w:val="KIRMIZI"/>
              <w:rPr>
                <w:lang w:val="tr-TR"/>
              </w:rPr>
            </w:pPr>
            <w:r w:rsidRPr="00A23740">
              <w:t>(5)</w:t>
            </w:r>
            <w:r w:rsidRPr="00A23740">
              <w:rPr>
                <w:lang w:val="tr-TR"/>
              </w:rPr>
              <w:t xml:space="preserve"> Beşinci fıkra: </w:t>
            </w:r>
            <w:r w:rsidRPr="00A23740">
              <w:t xml:space="preserve"> Taslak</w:t>
            </w:r>
            <w:r w:rsidRPr="00A23740">
              <w:rPr>
                <w:lang w:val="tr-TR"/>
              </w:rPr>
              <w:t xml:space="preserve"> m.223/5</w:t>
            </w:r>
          </w:p>
          <w:p w:rsidR="00AA5824" w:rsidRPr="00A23740" w:rsidRDefault="00AA5824" w:rsidP="009431FF">
            <w:pPr>
              <w:pStyle w:val="KIRMIZI"/>
              <w:rPr>
                <w:lang w:val="tr-TR"/>
              </w:rPr>
            </w:pPr>
            <w:r w:rsidRPr="00A23740">
              <w:t>(6)</w:t>
            </w:r>
            <w:r w:rsidRPr="00A23740">
              <w:rPr>
                <w:lang w:val="tr-TR"/>
              </w:rPr>
              <w:t xml:space="preserve"> Altıncı fıkra: </w:t>
            </w:r>
            <w:r w:rsidRPr="00A23740">
              <w:t xml:space="preserve"> Taslak</w:t>
            </w:r>
            <w:r w:rsidR="00085C28" w:rsidRPr="00A23740">
              <w:rPr>
                <w:lang w:val="tr-TR"/>
              </w:rPr>
              <w:t xml:space="preserve"> m.236</w:t>
            </w:r>
          </w:p>
          <w:p w:rsidR="00AA5824" w:rsidRPr="00A23740" w:rsidRDefault="00AA5824" w:rsidP="009431FF">
            <w:pPr>
              <w:pStyle w:val="KIRMIZI"/>
              <w:rPr>
                <w:lang w:val="tr-TR"/>
              </w:rPr>
            </w:pPr>
            <w:r w:rsidRPr="00A23740">
              <w:t>(7)</w:t>
            </w:r>
            <w:r w:rsidRPr="00A23740">
              <w:rPr>
                <w:lang w:val="tr-TR"/>
              </w:rPr>
              <w:t xml:space="preserve"> Yedinci fıkra: </w:t>
            </w:r>
            <w:r w:rsidRPr="00A23740">
              <w:t xml:space="preserve"> Taslak</w:t>
            </w:r>
            <w:r w:rsidRPr="00A23740">
              <w:rPr>
                <w:lang w:val="tr-TR"/>
              </w:rPr>
              <w:t xml:space="preserve"> m.241/1</w:t>
            </w:r>
          </w:p>
          <w:p w:rsidR="00D35421" w:rsidRPr="00A23740" w:rsidRDefault="00D35421" w:rsidP="009431FF">
            <w:pPr>
              <w:rPr>
                <w:rFonts w:eastAsia="Times New Roman"/>
                <w:szCs w:val="24"/>
                <w:lang w:eastAsia="tr-TR"/>
              </w:rPr>
            </w:pPr>
          </w:p>
        </w:tc>
        <w:tc>
          <w:tcPr>
            <w:tcW w:w="2500" w:type="pct"/>
          </w:tcPr>
          <w:p w:rsidR="00330D83" w:rsidRPr="00A23740" w:rsidRDefault="00330D83"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 </w:t>
            </w: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Açık artırmanın uzatılması</w:t>
            </w:r>
          </w:p>
          <w:p w:rsidR="00AA5C8C" w:rsidRPr="00A23740" w:rsidRDefault="00AA5C8C" w:rsidP="009431FF">
            <w:pPr>
              <w:tabs>
                <w:tab w:val="left" w:pos="567"/>
              </w:tabs>
              <w:rPr>
                <w:rStyle w:val="KIRMIZIChar"/>
                <w:rFonts w:eastAsia="Calibri"/>
              </w:rPr>
            </w:pPr>
            <w:r w:rsidRPr="00A23740">
              <w:rPr>
                <w:rFonts w:eastAsia="Times New Roman"/>
                <w:b/>
                <w:color w:val="0000FF"/>
                <w:szCs w:val="24"/>
                <w:lang w:eastAsia="tr-TR"/>
              </w:rPr>
              <w:t xml:space="preserve">MADDE </w:t>
            </w:r>
            <w:r w:rsidR="0025794C" w:rsidRPr="00A23740">
              <w:rPr>
                <w:rFonts w:eastAsia="Times New Roman"/>
                <w:b/>
                <w:color w:val="0000FF"/>
                <w:szCs w:val="24"/>
                <w:lang w:eastAsia="tr-TR"/>
              </w:rPr>
              <w:t>23</w:t>
            </w:r>
            <w:r w:rsidR="00396AB6" w:rsidRPr="00A23740">
              <w:rPr>
                <w:rFonts w:eastAsia="Times New Roman"/>
                <w:b/>
                <w:color w:val="0000FF"/>
                <w:szCs w:val="24"/>
                <w:lang w:eastAsia="tr-TR"/>
              </w:rPr>
              <w:t>5</w:t>
            </w:r>
            <w:r w:rsidRPr="00A23740">
              <w:rPr>
                <w:rFonts w:eastAsia="Times New Roman"/>
                <w:b/>
                <w:color w:val="0000FF"/>
                <w:szCs w:val="24"/>
                <w:lang w:eastAsia="tr-TR"/>
              </w:rPr>
              <w:t xml:space="preserve">- (1) </w:t>
            </w:r>
            <w:r w:rsidRPr="00A23740">
              <w:t xml:space="preserve">İcra </w:t>
            </w:r>
            <w:r w:rsidRPr="00A23740">
              <w:rPr>
                <w:rStyle w:val="MaviChar"/>
              </w:rPr>
              <w:t>ve iflas dairesi</w:t>
            </w:r>
            <w:r w:rsidRPr="00A23740">
              <w:t xml:space="preserve">, </w:t>
            </w:r>
            <w:r w:rsidR="00E80B73" w:rsidRPr="00A23740">
              <w:rPr>
                <w:rStyle w:val="MaviChar"/>
              </w:rPr>
              <w:t>açık</w:t>
            </w:r>
            <w:r w:rsidR="00E80B73" w:rsidRPr="00A23740">
              <w:t xml:space="preserve"> </w:t>
            </w:r>
            <w:r w:rsidRPr="00A23740">
              <w:t>artırma bittikten sonraki ilk iş gününde</w:t>
            </w:r>
            <w:r w:rsidR="0036469E" w:rsidRPr="00A23740">
              <w:rPr>
                <w:rStyle w:val="Balk1Char"/>
                <w:rFonts w:eastAsia="Calibri"/>
              </w:rPr>
              <w:t>,</w:t>
            </w:r>
            <w:r w:rsidRPr="00A23740">
              <w:t xml:space="preserve"> elektronik satış portalından kaynaklanan teknik sebeplerle artırmanın</w:t>
            </w:r>
            <w:r w:rsidR="00FB4158" w:rsidRPr="00A23740">
              <w:t xml:space="preserve"> </w:t>
            </w:r>
            <w:r w:rsidR="00FB4158" w:rsidRPr="00372868">
              <w:rPr>
                <w:rStyle w:val="MaviChar"/>
              </w:rPr>
              <w:t>şartnamede belirtilen son on dakikası ile uzama süresi</w:t>
            </w:r>
            <w:r w:rsidR="00FB4158" w:rsidRPr="00A23740">
              <w:rPr>
                <w:rStyle w:val="KonuBalChar"/>
                <w:rFonts w:eastAsia="Calibri"/>
              </w:rPr>
              <w:t xml:space="preserve"> </w:t>
            </w:r>
            <w:r w:rsidRPr="00A23740">
              <w:t>içinde teklif verilemediğini satış portalı kayıtlarından tespit ederse</w:t>
            </w:r>
            <w:r w:rsidR="0036469E" w:rsidRPr="00A23740">
              <w:rPr>
                <w:rStyle w:val="Balk1Char"/>
                <w:rFonts w:eastAsia="Calibri"/>
              </w:rPr>
              <w:t>,</w:t>
            </w:r>
            <w:r w:rsidRPr="00A23740">
              <w:t xml:space="preserve"> artırma süresinin bir gün uzatılmasına karar verir; kararda, artırmanın başlayacağı ve biteceği tarih ve saatleri </w:t>
            </w:r>
            <w:r w:rsidR="0036469E" w:rsidRPr="00A23740">
              <w:rPr>
                <w:rStyle w:val="Balk1Char"/>
                <w:rFonts w:eastAsia="Calibri"/>
              </w:rPr>
              <w:t>göstererek</w:t>
            </w:r>
            <w:r w:rsidRPr="00A23740">
              <w:t xml:space="preserve"> bu hususları satış portalında derh</w:t>
            </w:r>
            <w:r w:rsidR="0036469E" w:rsidRPr="00A23740">
              <w:t>â</w:t>
            </w:r>
            <w:r w:rsidRPr="00A23740">
              <w:t xml:space="preserve">l </w:t>
            </w:r>
            <w:r w:rsidR="0036469E" w:rsidRPr="00A23740">
              <w:rPr>
                <w:rStyle w:val="Balk1Char"/>
                <w:rFonts w:eastAsia="Calibri"/>
              </w:rPr>
              <w:t>ilan eder.</w:t>
            </w:r>
            <w:r w:rsidR="00104D6E" w:rsidRPr="00A23740">
              <w:rPr>
                <w:rStyle w:val="KIRMIZIChar"/>
                <w:rFonts w:eastAsia="Calibri"/>
                <w:strike w:val="0"/>
              </w:rPr>
              <w:t xml:space="preserve"> </w:t>
            </w:r>
            <w:r w:rsidR="00104D6E" w:rsidRPr="00372868">
              <w:rPr>
                <w:rStyle w:val="MaviChar"/>
              </w:rPr>
              <w:t>233 üncü maddenin yedinci fıkrası, bu fıkra uyarınca yapılan açık artırmalar hakkında da uygulanır.</w:t>
            </w:r>
          </w:p>
          <w:p w:rsidR="00AA5C8C" w:rsidRPr="00A23740" w:rsidRDefault="00AA5C8C" w:rsidP="009431FF">
            <w:pPr>
              <w:tabs>
                <w:tab w:val="left" w:pos="567"/>
              </w:tabs>
              <w:rPr>
                <w:rFonts w:eastAsia="Times New Roman"/>
                <w:b/>
                <w:color w:val="0000FF"/>
                <w:szCs w:val="24"/>
                <w:lang w:eastAsia="tr-TR"/>
              </w:rPr>
            </w:pPr>
          </w:p>
          <w:p w:rsidR="00FB4158"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(2) </w:t>
            </w:r>
            <w:r w:rsidRPr="00A23740">
              <w:rPr>
                <w:rStyle w:val="MaviChar"/>
              </w:rPr>
              <w:t>Uzatma</w:t>
            </w:r>
            <w:r w:rsidRPr="00A23740">
              <w:t xml:space="preserve"> </w:t>
            </w:r>
            <w:r w:rsidRPr="00A23740">
              <w:rPr>
                <w:rStyle w:val="MaviChar"/>
              </w:rPr>
              <w:t>durumunda</w:t>
            </w:r>
            <w:r w:rsidRPr="00A23740">
              <w:t xml:space="preserve"> artırmanın başlangıç tarihi, artırma süresinin uzatılmasına karar verildiği tarihten itibaren üç günü geçemez. </w:t>
            </w:r>
            <w:r w:rsidR="00D35421" w:rsidRPr="00A23740">
              <w:t xml:space="preserve">Bu süre içinde, daha önce en yüksek teklif veren teklifiyle </w:t>
            </w:r>
            <w:r w:rsidR="00D35421" w:rsidRPr="00A23740">
              <w:rPr>
                <w:rStyle w:val="MaviChar"/>
              </w:rPr>
              <w:t>bağlıdır ve</w:t>
            </w:r>
            <w:r w:rsidR="00D35421" w:rsidRPr="00A23740">
              <w:t xml:space="preserve"> yeni istekliler teminat </w:t>
            </w:r>
            <w:r w:rsidR="00D35421" w:rsidRPr="00A23740">
              <w:rPr>
                <w:rStyle w:val="MaviChar"/>
              </w:rPr>
              <w:t>yatırarak</w:t>
            </w:r>
            <w:r w:rsidR="00D35421" w:rsidRPr="00A23740">
              <w:t xml:space="preserve"> artırmaya katılabilir.</w:t>
            </w:r>
          </w:p>
        </w:tc>
      </w:tr>
      <w:tr w:rsidR="006203E7" w:rsidRPr="00A23740" w:rsidTr="009431FF">
        <w:tblPrEx>
          <w:tblLook w:val="01E0" w:firstRow="1" w:lastRow="1" w:firstColumn="1" w:lastColumn="1" w:noHBand="0" w:noVBand="0"/>
        </w:tblPrEx>
        <w:tc>
          <w:tcPr>
            <w:tcW w:w="5000" w:type="pct"/>
            <w:gridSpan w:val="2"/>
            <w:shd w:val="clear" w:color="auto" w:fill="DEEAF6"/>
          </w:tcPr>
          <w:p w:rsidR="006203E7" w:rsidRPr="00A23740" w:rsidRDefault="006203E7" w:rsidP="009431FF">
            <w:pPr>
              <w:ind w:firstLine="709"/>
              <w:rPr>
                <w:rFonts w:eastAsia="Times New Roman"/>
                <w:color w:val="000000"/>
                <w:szCs w:val="24"/>
                <w:lang w:eastAsia="tr-TR"/>
              </w:rPr>
            </w:pPr>
          </w:p>
          <w:p w:rsidR="006203E7" w:rsidRPr="00A23740" w:rsidRDefault="006203E7"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23</w:t>
            </w:r>
            <w:r w:rsidR="00396AB6" w:rsidRPr="00A23740">
              <w:rPr>
                <w:rFonts w:eastAsia="Times New Roman"/>
                <w:b/>
                <w:color w:val="000000"/>
                <w:szCs w:val="24"/>
                <w:lang w:eastAsia="tr-TR"/>
              </w:rPr>
              <w:t>5</w:t>
            </w:r>
            <w:r w:rsidRPr="00A23740">
              <w:rPr>
                <w:rFonts w:eastAsia="Times New Roman"/>
                <w:color w:val="000000"/>
                <w:szCs w:val="24"/>
                <w:lang w:eastAsia="tr-TR"/>
              </w:rPr>
              <w:t xml:space="preserve">- Maddeyle, </w:t>
            </w:r>
            <w:r w:rsidR="00D35421" w:rsidRPr="00A23740">
              <w:rPr>
                <w:rFonts w:eastAsia="Times New Roman"/>
                <w:color w:val="000000"/>
                <w:szCs w:val="24"/>
                <w:lang w:eastAsia="tr-TR"/>
              </w:rPr>
              <w:t xml:space="preserve">açık artırmanın uzatılması </w:t>
            </w:r>
            <w:r w:rsidRPr="00A23740">
              <w:rPr>
                <w:rFonts w:eastAsia="Times New Roman"/>
                <w:color w:val="000000"/>
                <w:szCs w:val="24"/>
                <w:lang w:eastAsia="tr-TR"/>
              </w:rPr>
              <w:t xml:space="preserve">düzenlenmektedir. Hüküm, 2004 sayılı Kanunun </w:t>
            </w:r>
            <w:r w:rsidR="00D35421" w:rsidRPr="00A23740">
              <w:rPr>
                <w:rFonts w:eastAsia="Times New Roman"/>
                <w:color w:val="000000"/>
                <w:szCs w:val="24"/>
                <w:lang w:eastAsia="tr-TR"/>
              </w:rPr>
              <w:t>115 inci maddesinin sekizinci fıkrasına</w:t>
            </w:r>
            <w:r w:rsidRPr="00A23740">
              <w:rPr>
                <w:rFonts w:eastAsia="Times New Roman"/>
                <w:color w:val="000000"/>
                <w:szCs w:val="24"/>
                <w:lang w:eastAsia="tr-TR"/>
              </w:rPr>
              <w:t xml:space="preserve"> karşılık gelmektedir.</w:t>
            </w:r>
          </w:p>
          <w:p w:rsidR="00104D6E" w:rsidRPr="00A23740" w:rsidRDefault="00D35421" w:rsidP="009431FF">
            <w:pPr>
              <w:ind w:firstLine="709"/>
              <w:rPr>
                <w:rStyle w:val="KonuBalChar"/>
                <w:rFonts w:eastAsia="Calibri"/>
                <w:lang w:val="tr-TR"/>
              </w:rPr>
            </w:pPr>
            <w:r w:rsidRPr="00A23740">
              <w:rPr>
                <w:rFonts w:eastAsia="Times New Roman"/>
                <w:color w:val="000000"/>
                <w:szCs w:val="24"/>
                <w:lang w:eastAsia="tr-TR"/>
              </w:rPr>
              <w:t xml:space="preserve">Birinci fıkrayla, açık artırmanın teknik sebeplerle uzatılmasına ilişkin esaslar belirlenmektedir. Hükme </w:t>
            </w:r>
            <w:r w:rsidRPr="00D60C1D">
              <w:rPr>
                <w:rFonts w:eastAsia="Times New Roman"/>
                <w:color w:val="000000"/>
                <w:szCs w:val="24"/>
                <w:lang w:eastAsia="tr-TR"/>
              </w:rPr>
              <w:t xml:space="preserve">göre </w:t>
            </w:r>
            <w:r w:rsidRPr="00D60C1D">
              <w:rPr>
                <w:color w:val="000000"/>
              </w:rPr>
              <w:t>icra</w:t>
            </w:r>
            <w:r w:rsidR="00B73523" w:rsidRPr="00D60C1D">
              <w:rPr>
                <w:color w:val="000000"/>
              </w:rPr>
              <w:t xml:space="preserve"> ve iflas</w:t>
            </w:r>
            <w:r w:rsidRPr="00D60C1D">
              <w:rPr>
                <w:color w:val="000000"/>
              </w:rPr>
              <w:t xml:space="preserve"> </w:t>
            </w:r>
            <w:r w:rsidRPr="00D60C1D">
              <w:rPr>
                <w:bCs/>
                <w:color w:val="000000"/>
              </w:rPr>
              <w:t>dairesi</w:t>
            </w:r>
            <w:r w:rsidRPr="00D60C1D">
              <w:rPr>
                <w:color w:val="000000"/>
              </w:rPr>
              <w:t xml:space="preserve">, artırma bittikten sonraki ilk iş gününde elektronik satış portalından kaynaklanan teknik sebeplerle, artırmanın </w:t>
            </w:r>
            <w:r w:rsidR="00104D6E" w:rsidRPr="00D60C1D">
              <w:rPr>
                <w:rStyle w:val="KonuBalChar"/>
                <w:rFonts w:eastAsia="Calibri"/>
                <w:b w:val="0"/>
                <w:color w:val="000000"/>
              </w:rPr>
              <w:t>şartnamede belirtilen son on dakikası ile uzama süresi</w:t>
            </w:r>
            <w:r w:rsidR="00104D6E" w:rsidRPr="00A23740">
              <w:rPr>
                <w:rStyle w:val="KonuBalChar"/>
                <w:rFonts w:eastAsia="Calibri"/>
              </w:rPr>
              <w:t xml:space="preserve"> </w:t>
            </w:r>
            <w:r w:rsidR="00104D6E" w:rsidRPr="00A23740">
              <w:t xml:space="preserve">içinde </w:t>
            </w:r>
            <w:r w:rsidRPr="00A23740">
              <w:t>teklif verilemediğini satış portalı kayıtlarından tespit ederse</w:t>
            </w:r>
            <w:r w:rsidR="00104D45" w:rsidRPr="00A23740">
              <w:t>,</w:t>
            </w:r>
            <w:r w:rsidRPr="00A23740">
              <w:t xml:space="preserve"> artırma süresinin b</w:t>
            </w:r>
            <w:r w:rsidR="00E80B73" w:rsidRPr="00A23740">
              <w:t>ir gün uzatılmasına karar verir.</w:t>
            </w:r>
            <w:r w:rsidRPr="00A23740">
              <w:t xml:space="preserve"> </w:t>
            </w:r>
            <w:r w:rsidR="00E80B73" w:rsidRPr="00A23740">
              <w:t>K</w:t>
            </w:r>
            <w:r w:rsidRPr="00A23740">
              <w:t>ararda, artırmanın başlayacağı ve biteceği tarih ve saatle</w:t>
            </w:r>
            <w:r w:rsidR="00E80B73" w:rsidRPr="00A23740">
              <w:t xml:space="preserve">ri gösterir ve tüm bu hususları elektronik </w:t>
            </w:r>
            <w:r w:rsidRPr="00A23740">
              <w:t xml:space="preserve">satış portalında </w:t>
            </w:r>
            <w:r w:rsidR="00DF22A1" w:rsidRPr="00D60C1D">
              <w:rPr>
                <w:color w:val="000000"/>
                <w:szCs w:val="24"/>
              </w:rPr>
              <w:t>derhâl</w:t>
            </w:r>
            <w:r w:rsidR="00DF22A1" w:rsidRPr="00D60C1D">
              <w:rPr>
                <w:b/>
                <w:color w:val="000000"/>
                <w:szCs w:val="24"/>
              </w:rPr>
              <w:t xml:space="preserve"> </w:t>
            </w:r>
            <w:r w:rsidR="00B6161A" w:rsidRPr="00D60C1D">
              <w:rPr>
                <w:rStyle w:val="Balk1Char"/>
                <w:rFonts w:eastAsia="Calibri"/>
                <w:b w:val="0"/>
                <w:color w:val="000000"/>
              </w:rPr>
              <w:t>ilan eder.</w:t>
            </w:r>
            <w:r w:rsidR="00104D6E" w:rsidRPr="00A23740">
              <w:t xml:space="preserve"> </w:t>
            </w:r>
            <w:r w:rsidR="00104D6E" w:rsidRPr="00D60C1D">
              <w:rPr>
                <w:rStyle w:val="KonuBalChar"/>
                <w:rFonts w:eastAsia="Calibri"/>
                <w:b w:val="0"/>
                <w:color w:val="000000"/>
              </w:rPr>
              <w:t>233 üncü maddenin yedinci fıkrası</w:t>
            </w:r>
            <w:r w:rsidR="009111A4" w:rsidRPr="00D60C1D">
              <w:rPr>
                <w:rStyle w:val="KonuBalChar"/>
                <w:rFonts w:eastAsia="Calibri"/>
                <w:b w:val="0"/>
                <w:color w:val="000000"/>
                <w:lang w:val="tr-TR"/>
              </w:rPr>
              <w:t>nın</w:t>
            </w:r>
            <w:r w:rsidR="00104D6E" w:rsidRPr="00D60C1D">
              <w:rPr>
                <w:rStyle w:val="KonuBalChar"/>
                <w:rFonts w:eastAsia="Calibri"/>
                <w:b w:val="0"/>
                <w:color w:val="000000"/>
              </w:rPr>
              <w:t>, bu fıkra uyarınca yapılan açık artırmalar hakkında da uygulan</w:t>
            </w:r>
            <w:r w:rsidR="00104D6E" w:rsidRPr="00D60C1D">
              <w:rPr>
                <w:rStyle w:val="KonuBalChar"/>
                <w:rFonts w:eastAsia="Calibri"/>
                <w:b w:val="0"/>
                <w:color w:val="000000"/>
                <w:lang w:val="tr-TR"/>
              </w:rPr>
              <w:t xml:space="preserve">acağı </w:t>
            </w:r>
            <w:r w:rsidR="00104D45" w:rsidRPr="00D60C1D">
              <w:rPr>
                <w:rStyle w:val="KonuBalChar"/>
                <w:rFonts w:eastAsia="Calibri"/>
                <w:b w:val="0"/>
                <w:color w:val="000000"/>
                <w:lang w:val="tr-TR"/>
              </w:rPr>
              <w:t xml:space="preserve">bu fıkrayla </w:t>
            </w:r>
            <w:r w:rsidR="00104D6E" w:rsidRPr="00D60C1D">
              <w:rPr>
                <w:rStyle w:val="KonuBalChar"/>
                <w:rFonts w:eastAsia="Calibri"/>
                <w:b w:val="0"/>
                <w:color w:val="000000"/>
                <w:lang w:val="tr-TR"/>
              </w:rPr>
              <w:t>hükme bağlanmaktadır.</w:t>
            </w:r>
            <w:r w:rsidR="00104D6E" w:rsidRPr="00A23740">
              <w:rPr>
                <w:rStyle w:val="KonuBalChar"/>
                <w:rFonts w:eastAsia="Calibri"/>
                <w:lang w:val="tr-TR"/>
              </w:rPr>
              <w:t xml:space="preserve"> </w:t>
            </w:r>
          </w:p>
          <w:p w:rsidR="006203E7" w:rsidRPr="00A23740" w:rsidRDefault="00D35421" w:rsidP="009431FF">
            <w:pPr>
              <w:ind w:firstLine="709"/>
              <w:rPr>
                <w:rFonts w:eastAsia="Times New Roman"/>
                <w:color w:val="000000"/>
                <w:szCs w:val="24"/>
                <w:lang w:eastAsia="tr-TR"/>
              </w:rPr>
            </w:pPr>
            <w:r w:rsidRPr="00A23740">
              <w:rPr>
                <w:rFonts w:eastAsia="Times New Roman"/>
                <w:color w:val="000000"/>
                <w:szCs w:val="24"/>
                <w:lang w:eastAsia="tr-TR"/>
              </w:rPr>
              <w:t xml:space="preserve">İkinci fıkrayla, </w:t>
            </w:r>
            <w:r w:rsidR="00E80B73" w:rsidRPr="00A23740">
              <w:rPr>
                <w:rFonts w:eastAsia="Times New Roman"/>
                <w:color w:val="000000"/>
                <w:szCs w:val="24"/>
                <w:lang w:eastAsia="tr-TR"/>
              </w:rPr>
              <w:t>artırmanın uzatılmasına karar verilmesi h</w:t>
            </w:r>
            <w:r w:rsidR="009111A4" w:rsidRPr="00A23740">
              <w:rPr>
                <w:rFonts w:eastAsia="Times New Roman"/>
                <w:color w:val="000000"/>
                <w:szCs w:val="24"/>
                <w:lang w:eastAsia="tr-TR"/>
              </w:rPr>
              <w:t>â</w:t>
            </w:r>
            <w:r w:rsidR="00E80B73" w:rsidRPr="00A23740">
              <w:rPr>
                <w:rFonts w:eastAsia="Times New Roman"/>
                <w:color w:val="000000"/>
                <w:szCs w:val="24"/>
                <w:lang w:eastAsia="tr-TR"/>
              </w:rPr>
              <w:t xml:space="preserve">linde yapılacak işlemler düzenlenmektedir. Buna göre </w:t>
            </w:r>
            <w:r w:rsidR="00E80B73" w:rsidRPr="00A23740">
              <w:t xml:space="preserve">artırmanın başlangıç tarihi, artırma süresinin uzatılmasına karar verildiği tarihten itibaren üç günü geçemez. Bu süre içinde, </w:t>
            </w:r>
            <w:r w:rsidR="0082137F" w:rsidRPr="00A23740">
              <w:t xml:space="preserve">açık artırma aynı şartlarda devam edeceği için </w:t>
            </w:r>
            <w:r w:rsidR="00E80B73" w:rsidRPr="00A23740">
              <w:t xml:space="preserve">daha önce en yüksek teklif veren teklifiyle </w:t>
            </w:r>
            <w:r w:rsidR="00E80B73" w:rsidRPr="00A23740">
              <w:rPr>
                <w:bCs/>
              </w:rPr>
              <w:t xml:space="preserve">bağlı olup </w:t>
            </w:r>
            <w:r w:rsidR="00E80B73" w:rsidRPr="00A23740">
              <w:t xml:space="preserve">yeni istekliler de teminat </w:t>
            </w:r>
            <w:r w:rsidR="00E80B73" w:rsidRPr="00A23740">
              <w:rPr>
                <w:bCs/>
              </w:rPr>
              <w:t>yatırarak</w:t>
            </w:r>
            <w:r w:rsidR="00E80B73" w:rsidRPr="00A23740">
              <w:t xml:space="preserve"> artırmaya katılabilir.</w:t>
            </w:r>
          </w:p>
          <w:p w:rsidR="006203E7" w:rsidRPr="00A23740" w:rsidRDefault="006203E7"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9136E7" w:rsidRPr="00A23740" w:rsidRDefault="009136E7" w:rsidP="009431FF">
            <w:pPr>
              <w:pStyle w:val="KIRMIZI"/>
            </w:pPr>
            <w:r w:rsidRPr="00A23740">
              <w:t>İhalenin yapılması:</w:t>
            </w:r>
          </w:p>
          <w:p w:rsidR="00AA5C8C" w:rsidRPr="00A23740" w:rsidRDefault="009136E7" w:rsidP="009431FF">
            <w:pPr>
              <w:pStyle w:val="KIRMIZI"/>
              <w:rPr>
                <w:rFonts w:eastAsia="ヒラギノ明朝 Pro W3"/>
                <w:b w:val="0"/>
                <w:lang w:eastAsia="tr-TR"/>
              </w:rPr>
            </w:pPr>
            <w:r w:rsidRPr="00A23740">
              <w:t>Madde 115 – …</w:t>
            </w:r>
          </w:p>
          <w:p w:rsidR="00AA5C8C" w:rsidRPr="00A23740" w:rsidRDefault="009136E7" w:rsidP="009431FF">
            <w:pPr>
              <w:tabs>
                <w:tab w:val="left" w:pos="567"/>
              </w:tabs>
              <w:rPr>
                <w:rFonts w:eastAsia="ヒラギノ明朝 Pro W3"/>
                <w:b/>
                <w:color w:val="339933"/>
                <w:sz w:val="22"/>
                <w:szCs w:val="24"/>
                <w:lang w:eastAsia="tr-TR"/>
              </w:rPr>
            </w:pPr>
            <w:r w:rsidRPr="00A23740">
              <w:rPr>
                <w:rStyle w:val="KIRMIZIChar"/>
                <w:rFonts w:eastAsia="ヒラギノ明朝 Pro W3"/>
              </w:rPr>
              <w:t>(6)</w:t>
            </w:r>
            <w:r w:rsidRPr="00A23740">
              <w:rPr>
                <w:rFonts w:eastAsia="ヒラギノ明朝 Pro W3"/>
                <w:b/>
                <w:color w:val="FF0000"/>
                <w:szCs w:val="24"/>
                <w:lang w:eastAsia="tr-TR"/>
              </w:rPr>
              <w:t xml:space="preserve"> </w:t>
            </w:r>
            <w:r w:rsidR="00AA5C8C" w:rsidRPr="00A23740">
              <w:rPr>
                <w:color w:val="000000"/>
              </w:rPr>
              <w:t xml:space="preserve">İcra </w:t>
            </w:r>
            <w:r w:rsidR="00AA5C8C" w:rsidRPr="00A23740">
              <w:rPr>
                <w:rStyle w:val="KIRMIZIChar"/>
                <w:rFonts w:eastAsia="Calibri"/>
              </w:rPr>
              <w:t>müdürü</w:t>
            </w:r>
            <w:r w:rsidR="00AA5C8C" w:rsidRPr="00A23740">
              <w:rPr>
                <w:color w:val="000000"/>
              </w:rPr>
              <w:t xml:space="preserve">, asgari ihale bedelinin teklif edilmediği, en yüksek teklif verenin ihale bedelini yatırmadığı veya teklif verme süresinin bitiminden önce borcun ödendiği hâllerde, ihalenin yapılamadığını veya </w:t>
            </w:r>
            <w:r w:rsidR="00AA5C8C" w:rsidRPr="00A23740">
              <w:rPr>
                <w:rStyle w:val="KIRMIZIChar"/>
                <w:rFonts w:eastAsia="Calibri"/>
              </w:rPr>
              <w:t>iptal edildiğini</w:t>
            </w:r>
            <w:r w:rsidR="00AA5C8C" w:rsidRPr="00A23740">
              <w:rPr>
                <w:color w:val="000000"/>
              </w:rPr>
              <w:t xml:space="preserve"> tutanakla tespit eder. Asgari ihale bedelinin teklif edilmediği veya en yüksek teklif verenin ihale bedelini yatırmadığı hâllerde ikinci artırma, birinci artırmadaki şartlar çerçevesinde daha önce ilan edilen tarihte başlar.</w:t>
            </w:r>
          </w:p>
        </w:tc>
        <w:tc>
          <w:tcPr>
            <w:tcW w:w="2500" w:type="pct"/>
          </w:tcPr>
          <w:p w:rsidR="00AA5C8C" w:rsidRPr="00A23740" w:rsidRDefault="00AA5C8C" w:rsidP="009431FF">
            <w:pPr>
              <w:pStyle w:val="Mavi"/>
            </w:pPr>
            <w:r w:rsidRPr="00A23740">
              <w:t>İkinci açık artırma</w:t>
            </w:r>
          </w:p>
          <w:p w:rsidR="00AA5C8C" w:rsidRPr="00A23740" w:rsidRDefault="00AA5C8C" w:rsidP="009431FF">
            <w:pPr>
              <w:pStyle w:val="Mavi"/>
            </w:pPr>
            <w:r w:rsidRPr="00A23740">
              <w:t xml:space="preserve">MADDE </w:t>
            </w:r>
            <w:r w:rsidR="0025794C" w:rsidRPr="00A23740">
              <w:rPr>
                <w:lang w:val="tr-TR"/>
              </w:rPr>
              <w:t>23</w:t>
            </w:r>
            <w:r w:rsidR="00396AB6" w:rsidRPr="00A23740">
              <w:rPr>
                <w:lang w:val="tr-TR"/>
              </w:rPr>
              <w:t>6</w:t>
            </w:r>
            <w:r w:rsidRPr="00A23740">
              <w:rPr>
                <w:lang w:val="tr-TR"/>
              </w:rPr>
              <w:t>-</w:t>
            </w:r>
            <w:r w:rsidRPr="00A23740">
              <w:t xml:space="preserve"> (1) </w:t>
            </w:r>
            <w:r w:rsidRPr="00A23740">
              <w:rPr>
                <w:b w:val="0"/>
                <w:bCs w:val="0"/>
                <w:color w:val="000000"/>
                <w:szCs w:val="22"/>
                <w:lang w:val="tr-TR" w:eastAsia="en-US"/>
              </w:rPr>
              <w:t xml:space="preserve">İcra </w:t>
            </w:r>
            <w:r w:rsidRPr="00A23740">
              <w:t>ve iflas dairesi</w:t>
            </w:r>
            <w:r w:rsidRPr="00A23740">
              <w:rPr>
                <w:b w:val="0"/>
                <w:bCs w:val="0"/>
                <w:color w:val="000000"/>
                <w:szCs w:val="22"/>
                <w:lang w:val="tr-TR" w:eastAsia="en-US"/>
              </w:rPr>
              <w:t>, asgari ihale bedelinin teklif edilmediği, en yüksek teklif verenin ihale bedelini yatırmadığı veya teklif verme süresinin bitiminden önce borcun ödendiği h</w:t>
            </w:r>
            <w:r w:rsidR="00B6161A" w:rsidRPr="00A23740">
              <w:rPr>
                <w:b w:val="0"/>
                <w:bCs w:val="0"/>
                <w:color w:val="000000"/>
                <w:szCs w:val="22"/>
                <w:lang w:val="tr-TR" w:eastAsia="en-US"/>
              </w:rPr>
              <w:t>â</w:t>
            </w:r>
            <w:r w:rsidRPr="00A23740">
              <w:rPr>
                <w:b w:val="0"/>
                <w:bCs w:val="0"/>
                <w:color w:val="000000"/>
                <w:szCs w:val="22"/>
                <w:lang w:val="tr-TR" w:eastAsia="en-US"/>
              </w:rPr>
              <w:t xml:space="preserve">llerde, ihalenin yapılamadığını veya </w:t>
            </w:r>
            <w:r w:rsidRPr="00A23740">
              <w:rPr>
                <w:lang w:val="tr-TR" w:eastAsia="en-US"/>
              </w:rPr>
              <w:t>kaldırıldığını</w:t>
            </w:r>
            <w:r w:rsidRPr="00A23740">
              <w:rPr>
                <w:b w:val="0"/>
                <w:bCs w:val="0"/>
                <w:color w:val="000000"/>
                <w:szCs w:val="22"/>
                <w:lang w:val="tr-TR" w:eastAsia="en-US"/>
              </w:rPr>
              <w:t xml:space="preserve"> tutanakla tespit eder.</w:t>
            </w:r>
          </w:p>
          <w:p w:rsidR="00AA5C8C" w:rsidRPr="00A23740" w:rsidRDefault="00AA5C8C" w:rsidP="009431FF">
            <w:pPr>
              <w:tabs>
                <w:tab w:val="left" w:pos="566"/>
              </w:tabs>
              <w:rPr>
                <w:rFonts w:eastAsia="ヒラギノ明朝 Pro W3"/>
                <w:b/>
                <w:color w:val="339933"/>
                <w:sz w:val="22"/>
                <w:szCs w:val="24"/>
                <w:lang w:eastAsia="tr-TR"/>
              </w:rPr>
            </w:pPr>
          </w:p>
          <w:p w:rsidR="00AA5C8C" w:rsidRDefault="00AA5C8C" w:rsidP="009431FF">
            <w:pPr>
              <w:pStyle w:val="Mavi"/>
              <w:rPr>
                <w:b w:val="0"/>
                <w:bCs w:val="0"/>
                <w:color w:val="000000"/>
                <w:szCs w:val="22"/>
                <w:lang w:val="tr-TR" w:eastAsia="en-US"/>
              </w:rPr>
            </w:pPr>
            <w:r w:rsidRPr="00A23740">
              <w:t xml:space="preserve">(2) </w:t>
            </w:r>
            <w:r w:rsidRPr="00A23740">
              <w:rPr>
                <w:b w:val="0"/>
                <w:bCs w:val="0"/>
                <w:color w:val="000000"/>
                <w:szCs w:val="22"/>
                <w:lang w:val="tr-TR" w:eastAsia="en-US"/>
              </w:rPr>
              <w:t>Asgari ihale bedelinin teklif edilmediği veya en yüksek teklif verenin ihale bedelini yatırmadığı h</w:t>
            </w:r>
            <w:r w:rsidR="00B6161A" w:rsidRPr="00A23740">
              <w:rPr>
                <w:b w:val="0"/>
                <w:bCs w:val="0"/>
                <w:color w:val="000000"/>
                <w:szCs w:val="22"/>
                <w:lang w:val="tr-TR" w:eastAsia="en-US"/>
              </w:rPr>
              <w:t>â</w:t>
            </w:r>
            <w:r w:rsidRPr="00A23740">
              <w:rPr>
                <w:b w:val="0"/>
                <w:bCs w:val="0"/>
                <w:color w:val="000000"/>
                <w:szCs w:val="22"/>
                <w:lang w:val="tr-TR" w:eastAsia="en-US"/>
              </w:rPr>
              <w:t>llerde ikinci artırma, birinci artırmadaki şartlar çerçevesinde daha önce ilan edilen tarihte başlar.</w:t>
            </w:r>
          </w:p>
          <w:p w:rsidR="00372868" w:rsidRPr="00A23740" w:rsidRDefault="00372868" w:rsidP="009431FF">
            <w:pPr>
              <w:pStyle w:val="Mavi"/>
            </w:pPr>
          </w:p>
        </w:tc>
      </w:tr>
      <w:tr w:rsidR="006203E7" w:rsidRPr="00A23740" w:rsidTr="009431FF">
        <w:tblPrEx>
          <w:tblLook w:val="01E0" w:firstRow="1" w:lastRow="1" w:firstColumn="1" w:lastColumn="1" w:noHBand="0" w:noVBand="0"/>
        </w:tblPrEx>
        <w:tc>
          <w:tcPr>
            <w:tcW w:w="5000" w:type="pct"/>
            <w:gridSpan w:val="2"/>
            <w:shd w:val="clear" w:color="auto" w:fill="DEEAF6"/>
          </w:tcPr>
          <w:p w:rsidR="006203E7" w:rsidRPr="00A23740" w:rsidRDefault="006203E7" w:rsidP="009431FF">
            <w:pPr>
              <w:ind w:firstLine="709"/>
              <w:rPr>
                <w:rFonts w:eastAsia="Times New Roman"/>
                <w:color w:val="000000"/>
                <w:szCs w:val="24"/>
                <w:lang w:eastAsia="tr-TR"/>
              </w:rPr>
            </w:pPr>
          </w:p>
          <w:p w:rsidR="006203E7" w:rsidRPr="00A23740" w:rsidRDefault="006203E7"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25794C" w:rsidRPr="00A23740">
              <w:rPr>
                <w:rFonts w:eastAsia="Times New Roman"/>
                <w:b/>
                <w:color w:val="000000"/>
                <w:szCs w:val="24"/>
                <w:lang w:eastAsia="tr-TR"/>
              </w:rPr>
              <w:t>23</w:t>
            </w:r>
            <w:r w:rsidR="00396AB6" w:rsidRPr="00A23740">
              <w:rPr>
                <w:rFonts w:eastAsia="Times New Roman"/>
                <w:b/>
                <w:color w:val="000000"/>
                <w:szCs w:val="24"/>
                <w:lang w:eastAsia="tr-TR"/>
              </w:rPr>
              <w:t>6</w:t>
            </w:r>
            <w:r w:rsidRPr="00A23740">
              <w:rPr>
                <w:rFonts w:eastAsia="Times New Roman"/>
                <w:color w:val="000000"/>
                <w:szCs w:val="24"/>
                <w:lang w:eastAsia="tr-TR"/>
              </w:rPr>
              <w:t xml:space="preserve">- Maddeyle, </w:t>
            </w:r>
            <w:r w:rsidR="009136E7" w:rsidRPr="00A23740">
              <w:rPr>
                <w:rFonts w:eastAsia="Times New Roman"/>
                <w:color w:val="000000"/>
                <w:szCs w:val="24"/>
                <w:lang w:eastAsia="tr-TR"/>
              </w:rPr>
              <w:t xml:space="preserve">ikinci açık artırmaya ilişkin hususlar </w:t>
            </w:r>
            <w:r w:rsidRPr="00A23740">
              <w:rPr>
                <w:rFonts w:eastAsia="Times New Roman"/>
                <w:color w:val="000000"/>
                <w:szCs w:val="24"/>
                <w:lang w:eastAsia="tr-TR"/>
              </w:rPr>
              <w:t xml:space="preserve">düzenlenmektedir. Hüküm, 2004 sayılı Kanunun </w:t>
            </w:r>
            <w:r w:rsidR="009136E7" w:rsidRPr="00A23740">
              <w:rPr>
                <w:rFonts w:eastAsia="Times New Roman"/>
                <w:color w:val="000000"/>
                <w:szCs w:val="24"/>
                <w:lang w:eastAsia="tr-TR"/>
              </w:rPr>
              <w:t xml:space="preserve">115 inci maddesinin altıncı fıkrasına </w:t>
            </w:r>
            <w:r w:rsidR="00E63146" w:rsidRPr="00A23740">
              <w:rPr>
                <w:rFonts w:eastAsia="Times New Roman"/>
                <w:color w:val="000000"/>
                <w:szCs w:val="24"/>
                <w:lang w:eastAsia="tr-TR"/>
              </w:rPr>
              <w:t>karşılık gelmekte olup aynen muhafaza edilmektedir</w:t>
            </w:r>
            <w:r w:rsidRPr="00A23740">
              <w:rPr>
                <w:rFonts w:eastAsia="Times New Roman"/>
                <w:color w:val="000000"/>
                <w:szCs w:val="24"/>
                <w:lang w:eastAsia="tr-TR"/>
              </w:rPr>
              <w:t>.</w:t>
            </w:r>
            <w:r w:rsidR="00E63146" w:rsidRPr="00A23740">
              <w:rPr>
                <w:rFonts w:eastAsia="Times New Roman"/>
                <w:color w:val="000000"/>
                <w:szCs w:val="24"/>
                <w:lang w:eastAsia="tr-TR"/>
              </w:rPr>
              <w:t xml:space="preserve"> </w:t>
            </w:r>
          </w:p>
          <w:p w:rsidR="00B6161A" w:rsidRPr="00A23740" w:rsidRDefault="009136E7" w:rsidP="009431FF">
            <w:pPr>
              <w:ind w:firstLine="709"/>
            </w:pPr>
            <w:r w:rsidRPr="00A23740">
              <w:rPr>
                <w:rFonts w:eastAsia="Times New Roman"/>
                <w:color w:val="000000"/>
                <w:szCs w:val="24"/>
                <w:lang w:eastAsia="tr-TR"/>
              </w:rPr>
              <w:t>B</w:t>
            </w:r>
            <w:r w:rsidR="00E63146" w:rsidRPr="00A23740">
              <w:rPr>
                <w:rFonts w:eastAsia="Times New Roman"/>
                <w:color w:val="000000"/>
                <w:szCs w:val="24"/>
                <w:lang w:eastAsia="tr-TR"/>
              </w:rPr>
              <w:t>irinci fıkraya göre</w:t>
            </w:r>
            <w:r w:rsidRPr="00A23740">
              <w:rPr>
                <w:rFonts w:eastAsia="Times New Roman"/>
                <w:color w:val="000000"/>
                <w:szCs w:val="24"/>
                <w:lang w:eastAsia="tr-TR"/>
              </w:rPr>
              <w:t xml:space="preserve"> </w:t>
            </w:r>
            <w:r w:rsidR="00E63146" w:rsidRPr="00A23740">
              <w:t>i</w:t>
            </w:r>
            <w:r w:rsidRPr="00A23740">
              <w:t xml:space="preserve">cra </w:t>
            </w:r>
            <w:r w:rsidR="00B6161A" w:rsidRPr="00D60C1D">
              <w:rPr>
                <w:rStyle w:val="Balk1Char"/>
                <w:rFonts w:eastAsia="Calibri"/>
                <w:b w:val="0"/>
                <w:color w:val="000000"/>
              </w:rPr>
              <w:t>ve iflas</w:t>
            </w:r>
            <w:r w:rsidR="00B6161A" w:rsidRPr="00A23740">
              <w:t xml:space="preserve"> </w:t>
            </w:r>
            <w:r w:rsidRPr="00A23740">
              <w:t>dairesi</w:t>
            </w:r>
            <w:r w:rsidR="00E63146" w:rsidRPr="00A23740">
              <w:t>,</w:t>
            </w:r>
            <w:r w:rsidRPr="00A23740">
              <w:t xml:space="preserve"> asgari ihale bedelinin teklif edilmediği, en yüksek teklif verenin ihale bedelini yatırmadığı veya teklif verme süresinin bitiminde</w:t>
            </w:r>
            <w:r w:rsidR="00E63146" w:rsidRPr="00A23740">
              <w:t>n önce borcun ödendiği h</w:t>
            </w:r>
            <w:r w:rsidR="00B6161A" w:rsidRPr="00A23740">
              <w:t>â</w:t>
            </w:r>
            <w:r w:rsidR="00E63146" w:rsidRPr="00A23740">
              <w:t xml:space="preserve">llerde, </w:t>
            </w:r>
            <w:r w:rsidRPr="00A23740">
              <w:t>ihalenin yapılamadığını veya kaldırıldığını tutanakla tespit eder.</w:t>
            </w:r>
            <w:r w:rsidR="00B6161A" w:rsidRPr="00A23740">
              <w:t xml:space="preserve"> Birinci fıkrada yer alan</w:t>
            </w:r>
            <w:r w:rsidR="00142C18" w:rsidRPr="00A23740">
              <w:t>,</w:t>
            </w:r>
            <w:r w:rsidR="00B6161A" w:rsidRPr="00A23740">
              <w:t xml:space="preserve"> süresi içinde ihale bedelinin öde</w:t>
            </w:r>
            <w:r w:rsidR="00142C18" w:rsidRPr="00A23740">
              <w:t>nmemesi sonucu yapılacak işlem,</w:t>
            </w:r>
            <w:r w:rsidR="00B6161A" w:rsidRPr="00A23740">
              <w:t xml:space="preserve"> 2004 sayılı Kanunun 115 inci maddesinden farklı olarak “ihalenin </w:t>
            </w:r>
            <w:r w:rsidR="00142C18" w:rsidRPr="00A23740">
              <w:t>iptali</w:t>
            </w:r>
            <w:r w:rsidR="00B6161A" w:rsidRPr="00A23740">
              <w:t xml:space="preserve">” </w:t>
            </w:r>
            <w:r w:rsidR="00142C18" w:rsidRPr="00A23740">
              <w:t>yerine “ihalenin kaldırılması” terimiyle</w:t>
            </w:r>
            <w:r w:rsidR="00B6161A" w:rsidRPr="00A23740">
              <w:t xml:space="preserve"> ifade edilmiştir. </w:t>
            </w:r>
            <w:r w:rsidR="00142C18" w:rsidRPr="00A23740">
              <w:t xml:space="preserve">2004 sayılı Kanunda “ihalenin feshi” olarak isimlendirilmiş olan kurum ise, Taslakta hukuki niteliğine daha uygun olacak şekilde, “ihalenin iptali” terimiyle yeniden düzenlenmiştir.  </w:t>
            </w:r>
          </w:p>
          <w:p w:rsidR="006203E7" w:rsidRPr="00A23740" w:rsidRDefault="00E63146" w:rsidP="009431FF">
            <w:pPr>
              <w:ind w:firstLine="709"/>
              <w:rPr>
                <w:rFonts w:eastAsia="Times New Roman"/>
                <w:color w:val="000000"/>
                <w:szCs w:val="24"/>
                <w:lang w:eastAsia="tr-TR"/>
              </w:rPr>
            </w:pPr>
            <w:r w:rsidRPr="00A23740">
              <w:t xml:space="preserve">İkinci fıkrayla, </w:t>
            </w:r>
            <w:r w:rsidRPr="00A23740">
              <w:rPr>
                <w:bCs/>
                <w:color w:val="000000"/>
              </w:rPr>
              <w:t>a</w:t>
            </w:r>
            <w:r w:rsidR="009136E7" w:rsidRPr="00A23740">
              <w:rPr>
                <w:bCs/>
                <w:color w:val="000000"/>
              </w:rPr>
              <w:t>sgari ihale bedelinin teklif edilmediği veya en yüksek teklif verenin ihale bedelini yatı</w:t>
            </w:r>
            <w:r w:rsidRPr="00A23740">
              <w:rPr>
                <w:bCs/>
                <w:color w:val="000000"/>
              </w:rPr>
              <w:t>rmadığı h</w:t>
            </w:r>
            <w:r w:rsidR="00B6161A" w:rsidRPr="00A23740">
              <w:rPr>
                <w:bCs/>
                <w:color w:val="000000"/>
              </w:rPr>
              <w:t>â</w:t>
            </w:r>
            <w:r w:rsidRPr="00A23740">
              <w:rPr>
                <w:bCs/>
                <w:color w:val="000000"/>
              </w:rPr>
              <w:t>llerde ikinci artırmanın</w:t>
            </w:r>
            <w:r w:rsidR="009136E7" w:rsidRPr="00A23740">
              <w:rPr>
                <w:bCs/>
                <w:color w:val="000000"/>
              </w:rPr>
              <w:t xml:space="preserve"> birinci artırmadaki şartlar çerçevesinde daha</w:t>
            </w:r>
            <w:r w:rsidRPr="00A23740">
              <w:rPr>
                <w:bCs/>
                <w:color w:val="000000"/>
              </w:rPr>
              <w:t xml:space="preserve"> önce ilan edilen tarihte başlayacağı hükme bağlanmaktadır</w:t>
            </w:r>
            <w:r w:rsidR="009136E7" w:rsidRPr="00A23740">
              <w:rPr>
                <w:bCs/>
                <w:color w:val="000000"/>
              </w:rPr>
              <w:t>.</w:t>
            </w:r>
          </w:p>
          <w:p w:rsidR="006203E7" w:rsidRPr="00A23740" w:rsidRDefault="006203E7" w:rsidP="003F10EF">
            <w:pPr>
              <w:ind w:firstLine="709"/>
              <w:rPr>
                <w:rFonts w:eastAsia="Times New Roman"/>
                <w:color w:val="000000"/>
                <w:szCs w:val="24"/>
                <w:lang w:eastAsia="tr-TR"/>
              </w:rPr>
            </w:pPr>
          </w:p>
        </w:tc>
      </w:tr>
      <w:tr w:rsidR="009136E7" w:rsidRPr="00A23740" w:rsidTr="009431FF">
        <w:tblPrEx>
          <w:tblLook w:val="01E0" w:firstRow="1" w:lastRow="1" w:firstColumn="1" w:lastColumn="1" w:noHBand="0" w:noVBand="0"/>
        </w:tblPrEx>
        <w:tc>
          <w:tcPr>
            <w:tcW w:w="2500" w:type="pct"/>
          </w:tcPr>
          <w:p w:rsidR="006E1D48" w:rsidRPr="00A23740" w:rsidRDefault="006E1D48" w:rsidP="009431FF">
            <w:pPr>
              <w:keepNext/>
              <w:outlineLvl w:val="0"/>
              <w:rPr>
                <w:rFonts w:eastAsia="Times New Roman"/>
                <w:b/>
                <w:bCs/>
                <w:strike/>
                <w:color w:val="FF0000"/>
                <w:kern w:val="32"/>
                <w:szCs w:val="32"/>
              </w:rPr>
            </w:pPr>
            <w:r w:rsidRPr="00A23740">
              <w:rPr>
                <w:rFonts w:eastAsia="Times New Roman"/>
                <w:b/>
                <w:bCs/>
                <w:strike/>
                <w:color w:val="FF0000"/>
                <w:kern w:val="32"/>
                <w:szCs w:val="32"/>
              </w:rPr>
              <w:t xml:space="preserve">Satışın tatili: </w:t>
            </w:r>
          </w:p>
          <w:p w:rsidR="006E1D48" w:rsidRPr="00A23740" w:rsidRDefault="006E1D48" w:rsidP="009431FF">
            <w:pPr>
              <w:keepNext/>
              <w:outlineLvl w:val="0"/>
              <w:rPr>
                <w:rFonts w:eastAsia="Times New Roman"/>
                <w:b/>
                <w:bCs/>
                <w:strike/>
                <w:color w:val="FF0000"/>
                <w:kern w:val="32"/>
                <w:szCs w:val="32"/>
              </w:rPr>
            </w:pPr>
            <w:r w:rsidRPr="00A23740">
              <w:rPr>
                <w:rFonts w:eastAsia="Times New Roman"/>
                <w:b/>
                <w:bCs/>
                <w:strike/>
                <w:color w:val="FF0000"/>
                <w:kern w:val="32"/>
                <w:szCs w:val="32"/>
              </w:rPr>
              <w:t xml:space="preserve">Madde 109 – (Değişik: 3/7/1940-3890/1 md.) Satış bedeli, haklarında haciz kat’ileşmiş olan alacakların mecmu mikdarına baliğ olursa satış tatil edilir. </w:t>
            </w:r>
          </w:p>
          <w:p w:rsidR="00142C18" w:rsidRPr="00A23740" w:rsidRDefault="00142C18" w:rsidP="009431FF">
            <w:pPr>
              <w:pStyle w:val="Balk1"/>
              <w:jc w:val="both"/>
              <w:rPr>
                <w:lang w:val="tr-TR" w:eastAsia="tr-TR"/>
              </w:rPr>
            </w:pPr>
          </w:p>
          <w:p w:rsidR="00142C18" w:rsidRPr="00A23740" w:rsidRDefault="00142C18" w:rsidP="009431FF">
            <w:pPr>
              <w:pStyle w:val="Balk1"/>
              <w:rPr>
                <w:lang w:val="tr-TR" w:eastAsia="tr-TR"/>
              </w:rPr>
            </w:pPr>
          </w:p>
          <w:p w:rsidR="00681BFC" w:rsidRPr="00A23740" w:rsidRDefault="00681BFC" w:rsidP="009431FF">
            <w:pPr>
              <w:pStyle w:val="Balk1"/>
              <w:rPr>
                <w:color w:val="FF0000"/>
                <w:u w:val="single"/>
                <w:lang w:val="tr-TR" w:eastAsia="tr-TR"/>
              </w:rPr>
            </w:pPr>
          </w:p>
          <w:p w:rsidR="009136E7" w:rsidRPr="00A23740" w:rsidRDefault="009136E7" w:rsidP="009431FF">
            <w:pPr>
              <w:pStyle w:val="Balk1"/>
              <w:rPr>
                <w:color w:val="FF0000"/>
                <w:u w:val="single"/>
                <w:lang w:val="tr-TR" w:eastAsia="tr-TR"/>
              </w:rPr>
            </w:pPr>
          </w:p>
        </w:tc>
        <w:tc>
          <w:tcPr>
            <w:tcW w:w="2500" w:type="pct"/>
          </w:tcPr>
          <w:p w:rsidR="006E1D48" w:rsidRPr="00A23740" w:rsidRDefault="006E1D48" w:rsidP="009431FF">
            <w:pPr>
              <w:tabs>
                <w:tab w:val="left" w:pos="567"/>
              </w:tabs>
              <w:rPr>
                <w:rFonts w:eastAsia="Times New Roman"/>
                <w:b/>
                <w:szCs w:val="24"/>
                <w:lang w:eastAsia="tr-TR"/>
              </w:rPr>
            </w:pPr>
            <w:r w:rsidRPr="00A23740">
              <w:rPr>
                <w:rFonts w:eastAsia="Times New Roman"/>
                <w:b/>
                <w:color w:val="0000FF"/>
                <w:szCs w:val="24"/>
                <w:lang w:eastAsia="tr-TR"/>
              </w:rPr>
              <w:t>Birden fazla malın satışı hâlinde</w:t>
            </w:r>
            <w:r w:rsidRPr="00A23740">
              <w:rPr>
                <w:rFonts w:eastAsia="Times New Roman"/>
                <w:b/>
                <w:szCs w:val="24"/>
                <w:lang w:eastAsia="tr-TR"/>
              </w:rPr>
              <w:t xml:space="preserve"> </w:t>
            </w:r>
            <w:r w:rsidRPr="00A23740">
              <w:rPr>
                <w:b/>
                <w:bCs/>
                <w:color w:val="0000FF"/>
                <w:szCs w:val="24"/>
                <w:lang w:val="x-none" w:eastAsia="x-none"/>
              </w:rPr>
              <w:t>satışın sona</w:t>
            </w:r>
            <w:r w:rsidRPr="00A23740">
              <w:rPr>
                <w:rFonts w:eastAsia="Times New Roman"/>
                <w:b/>
                <w:color w:val="0000FF"/>
                <w:szCs w:val="24"/>
                <w:lang w:eastAsia="tr-TR"/>
              </w:rPr>
              <w:t xml:space="preserve"> ermesi</w:t>
            </w:r>
          </w:p>
          <w:p w:rsidR="006E1D48" w:rsidRPr="00A23740" w:rsidRDefault="00396AB6" w:rsidP="009431FF">
            <w:pPr>
              <w:tabs>
                <w:tab w:val="left" w:pos="566"/>
              </w:tabs>
              <w:rPr>
                <w:rFonts w:eastAsia="Times New Roman"/>
                <w:b/>
                <w:color w:val="0000FF"/>
                <w:szCs w:val="24"/>
                <w:lang w:eastAsia="tr-TR"/>
              </w:rPr>
            </w:pPr>
            <w:r w:rsidRPr="00A23740">
              <w:rPr>
                <w:rFonts w:eastAsia="Times New Roman"/>
                <w:b/>
                <w:color w:val="0000FF"/>
                <w:szCs w:val="24"/>
                <w:lang w:eastAsia="tr-TR"/>
              </w:rPr>
              <w:t>MADDE 237</w:t>
            </w:r>
            <w:r w:rsidR="006E1D48" w:rsidRPr="00A23740">
              <w:rPr>
                <w:rFonts w:eastAsia="Times New Roman"/>
                <w:b/>
                <w:color w:val="0000FF"/>
                <w:szCs w:val="24"/>
                <w:lang w:eastAsia="tr-TR"/>
              </w:rPr>
              <w:t>- (1) Birden fazla malın satışa çıkarılması hâlinde, satılan malın bedeli, kesin haciz sahibi alacaklılar ile bu hacze geçici</w:t>
            </w:r>
            <w:r w:rsidR="00CE252B" w:rsidRPr="00A23740">
              <w:rPr>
                <w:rFonts w:eastAsia="Times New Roman"/>
                <w:b/>
                <w:color w:val="0000FF"/>
                <w:szCs w:val="24"/>
                <w:lang w:eastAsia="tr-TR"/>
              </w:rPr>
              <w:t xml:space="preserve"> </w:t>
            </w:r>
            <w:r w:rsidR="00CE252B" w:rsidRPr="00372868">
              <w:rPr>
                <w:rStyle w:val="Balk1Char"/>
                <w:rFonts w:eastAsia="Calibri"/>
              </w:rPr>
              <w:t>olarak</w:t>
            </w:r>
            <w:r w:rsidR="006E1D48" w:rsidRPr="00A23740">
              <w:rPr>
                <w:rFonts w:eastAsia="Times New Roman"/>
                <w:b/>
                <w:color w:val="70AD47"/>
                <w:szCs w:val="24"/>
                <w:lang w:eastAsia="tr-TR"/>
              </w:rPr>
              <w:t xml:space="preserve"> </w:t>
            </w:r>
            <w:r w:rsidR="006E1D48" w:rsidRPr="00A23740">
              <w:rPr>
                <w:rFonts w:eastAsia="Times New Roman"/>
                <w:b/>
                <w:color w:val="0000FF"/>
                <w:szCs w:val="24"/>
                <w:lang w:eastAsia="tr-TR"/>
              </w:rPr>
              <w:t xml:space="preserve">iştirak </w:t>
            </w:r>
            <w:r w:rsidR="00CE252B" w:rsidRPr="00372868">
              <w:rPr>
                <w:rStyle w:val="Balk1Char"/>
                <w:rFonts w:eastAsia="Calibri"/>
              </w:rPr>
              <w:t>eden</w:t>
            </w:r>
            <w:r w:rsidR="00CE252B" w:rsidRPr="00A23740">
              <w:rPr>
                <w:rFonts w:eastAsia="Times New Roman"/>
                <w:b/>
                <w:color w:val="70AD47"/>
                <w:szCs w:val="24"/>
                <w:lang w:eastAsia="tr-TR"/>
              </w:rPr>
              <w:t xml:space="preserve"> </w:t>
            </w:r>
            <w:r w:rsidR="006E1D48" w:rsidRPr="00A23740">
              <w:rPr>
                <w:rFonts w:eastAsia="Times New Roman"/>
                <w:b/>
                <w:color w:val="0000FF"/>
                <w:szCs w:val="24"/>
                <w:lang w:eastAsia="tr-TR"/>
              </w:rPr>
              <w:t>alacaklıların alacak toplamına ulaşırsa</w:t>
            </w:r>
            <w:r w:rsidR="00CE252B" w:rsidRPr="00372868">
              <w:rPr>
                <w:rStyle w:val="Balk1Char"/>
                <w:rFonts w:eastAsia="Calibri"/>
              </w:rPr>
              <w:t>,</w:t>
            </w:r>
            <w:r w:rsidR="006E1D48" w:rsidRPr="00A23740">
              <w:rPr>
                <w:rFonts w:eastAsia="Times New Roman"/>
                <w:b/>
                <w:color w:val="0000FF"/>
                <w:szCs w:val="24"/>
                <w:lang w:eastAsia="tr-TR"/>
              </w:rPr>
              <w:t xml:space="preserve"> diğer malların satışına geçilmez ve satış derhâl durdurulur. Bu hâlde paranın ödenmesine ilişkin</w:t>
            </w:r>
            <w:r w:rsidR="002F12C6" w:rsidRPr="00A23740">
              <w:rPr>
                <w:rFonts w:eastAsia="Times New Roman"/>
                <w:b/>
                <w:color w:val="0000FF"/>
                <w:szCs w:val="24"/>
                <w:lang w:eastAsia="tr-TR"/>
              </w:rPr>
              <w:t xml:space="preserve"> </w:t>
            </w:r>
            <w:r w:rsidR="002F12C6" w:rsidRPr="00372868">
              <w:rPr>
                <w:rStyle w:val="Balk1Char"/>
                <w:rFonts w:eastAsia="Calibri"/>
              </w:rPr>
              <w:t>258 inci</w:t>
            </w:r>
            <w:r w:rsidR="006E1D48" w:rsidRPr="00A23740">
              <w:rPr>
                <w:rFonts w:eastAsia="Times New Roman"/>
                <w:b/>
                <w:color w:val="0000FF"/>
                <w:szCs w:val="24"/>
                <w:lang w:eastAsia="tr-TR"/>
              </w:rPr>
              <w:t xml:space="preserve"> maddenin dördüncü fıkrası saklıdır. </w:t>
            </w:r>
          </w:p>
          <w:p w:rsidR="00142C18" w:rsidRPr="00A23740" w:rsidRDefault="00142C18" w:rsidP="009431FF">
            <w:pPr>
              <w:tabs>
                <w:tab w:val="left" w:pos="567"/>
              </w:tabs>
              <w:rPr>
                <w:rFonts w:eastAsia="Times New Roman"/>
                <w:szCs w:val="24"/>
                <w:lang w:eastAsia="tr-TR"/>
              </w:rPr>
            </w:pPr>
          </w:p>
        </w:tc>
      </w:tr>
      <w:tr w:rsidR="009136E7" w:rsidRPr="00A23740" w:rsidTr="009431FF">
        <w:tblPrEx>
          <w:tblLook w:val="01E0" w:firstRow="1" w:lastRow="1" w:firstColumn="1" w:lastColumn="1" w:noHBand="0" w:noVBand="0"/>
        </w:tblPrEx>
        <w:tc>
          <w:tcPr>
            <w:tcW w:w="5000" w:type="pct"/>
            <w:gridSpan w:val="2"/>
            <w:shd w:val="clear" w:color="auto" w:fill="DEEAF6"/>
          </w:tcPr>
          <w:p w:rsidR="006E1D48" w:rsidRPr="00A23740" w:rsidRDefault="006E1D48" w:rsidP="009431FF">
            <w:pPr>
              <w:rPr>
                <w:rFonts w:eastAsia="Times New Roman"/>
                <w:szCs w:val="24"/>
                <w:lang w:eastAsia="tr-TR"/>
              </w:rPr>
            </w:pPr>
          </w:p>
          <w:p w:rsidR="006E1D48" w:rsidRPr="00D60C1D" w:rsidRDefault="006E1D48" w:rsidP="009431FF">
            <w:pPr>
              <w:ind w:firstLine="709"/>
              <w:rPr>
                <w:bCs/>
                <w:color w:val="000000"/>
                <w:szCs w:val="24"/>
                <w:lang w:eastAsia="x-none"/>
              </w:rPr>
            </w:pPr>
            <w:r w:rsidRPr="00A23740">
              <w:rPr>
                <w:rFonts w:eastAsia="Times New Roman"/>
                <w:b/>
                <w:szCs w:val="24"/>
                <w:lang w:eastAsia="tr-TR"/>
              </w:rPr>
              <w:t>MADDE 23</w:t>
            </w:r>
            <w:r w:rsidR="0037744E" w:rsidRPr="00A23740">
              <w:rPr>
                <w:rFonts w:eastAsia="Times New Roman"/>
                <w:b/>
                <w:szCs w:val="24"/>
                <w:lang w:eastAsia="tr-TR"/>
              </w:rPr>
              <w:t>7</w:t>
            </w:r>
            <w:r w:rsidRPr="00A23740">
              <w:rPr>
                <w:rFonts w:eastAsia="Times New Roman"/>
                <w:b/>
                <w:szCs w:val="24"/>
                <w:lang w:eastAsia="tr-TR"/>
              </w:rPr>
              <w:t>-</w:t>
            </w:r>
            <w:r w:rsidRPr="00A23740">
              <w:rPr>
                <w:rFonts w:eastAsia="Times New Roman"/>
                <w:szCs w:val="24"/>
                <w:lang w:eastAsia="tr-TR"/>
              </w:rPr>
              <w:t xml:space="preserve"> </w:t>
            </w:r>
            <w:r w:rsidRPr="00D60C1D">
              <w:rPr>
                <w:rFonts w:eastAsia="Times New Roman"/>
                <w:color w:val="000000"/>
                <w:szCs w:val="24"/>
                <w:lang w:eastAsia="tr-TR"/>
              </w:rPr>
              <w:t xml:space="preserve">Madde, 2004 sayılı Kanunun 109 uncu maddesine kısmen karşılık gelmekte olup </w:t>
            </w:r>
            <w:r w:rsidRPr="00D60C1D">
              <w:rPr>
                <w:bCs/>
                <w:color w:val="000000"/>
                <w:szCs w:val="24"/>
                <w:lang w:val="x-none" w:eastAsia="x-none"/>
              </w:rPr>
              <w:t>İsviçre’nin Borç İçin Takip ve İflas Hakkında Federal Kanunun</w:t>
            </w:r>
            <w:r w:rsidRPr="00D60C1D">
              <w:rPr>
                <w:bCs/>
                <w:color w:val="000000"/>
                <w:szCs w:val="24"/>
                <w:lang w:eastAsia="x-none"/>
              </w:rPr>
              <w:t>u</w:t>
            </w:r>
            <w:r w:rsidRPr="00D60C1D">
              <w:rPr>
                <w:bCs/>
                <w:color w:val="000000"/>
                <w:szCs w:val="24"/>
                <w:lang w:val="x-none" w:eastAsia="x-none"/>
              </w:rPr>
              <w:t>n</w:t>
            </w:r>
            <w:r w:rsidRPr="00D60C1D">
              <w:rPr>
                <w:bCs/>
                <w:color w:val="000000"/>
                <w:szCs w:val="24"/>
                <w:lang w:eastAsia="x-none"/>
              </w:rPr>
              <w:t xml:space="preserve"> </w:t>
            </w:r>
            <w:r w:rsidRPr="00D60C1D">
              <w:rPr>
                <w:bCs/>
                <w:color w:val="000000"/>
                <w:szCs w:val="24"/>
                <w:lang w:val="x-none" w:eastAsia="x-none"/>
              </w:rPr>
              <w:t>1</w:t>
            </w:r>
            <w:r w:rsidRPr="00D60C1D">
              <w:rPr>
                <w:bCs/>
                <w:color w:val="000000"/>
                <w:szCs w:val="24"/>
                <w:lang w:eastAsia="x-none"/>
              </w:rPr>
              <w:t>1</w:t>
            </w:r>
            <w:r w:rsidRPr="00D60C1D">
              <w:rPr>
                <w:bCs/>
                <w:color w:val="000000"/>
                <w:szCs w:val="24"/>
                <w:lang w:val="x-none" w:eastAsia="x-none"/>
              </w:rPr>
              <w:t>9</w:t>
            </w:r>
            <w:r w:rsidRPr="00D60C1D">
              <w:rPr>
                <w:bCs/>
                <w:color w:val="000000"/>
                <w:szCs w:val="24"/>
                <w:lang w:eastAsia="x-none"/>
              </w:rPr>
              <w:t xml:space="preserve"> </w:t>
            </w:r>
            <w:r w:rsidRPr="00D60C1D">
              <w:rPr>
                <w:bCs/>
                <w:color w:val="000000"/>
                <w:szCs w:val="24"/>
                <w:lang w:val="x-none" w:eastAsia="x-none"/>
              </w:rPr>
              <w:t>u</w:t>
            </w:r>
            <w:r w:rsidRPr="00D60C1D">
              <w:rPr>
                <w:bCs/>
                <w:color w:val="000000"/>
                <w:szCs w:val="24"/>
                <w:lang w:eastAsia="x-none"/>
              </w:rPr>
              <w:t>n</w:t>
            </w:r>
            <w:r w:rsidRPr="00D60C1D">
              <w:rPr>
                <w:bCs/>
                <w:color w:val="000000"/>
                <w:szCs w:val="24"/>
                <w:lang w:val="x-none" w:eastAsia="x-none"/>
              </w:rPr>
              <w:t>c</w:t>
            </w:r>
            <w:r w:rsidRPr="00D60C1D">
              <w:rPr>
                <w:bCs/>
                <w:color w:val="000000"/>
                <w:szCs w:val="24"/>
                <w:lang w:eastAsia="x-none"/>
              </w:rPr>
              <w:t>u</w:t>
            </w:r>
            <w:r w:rsidRPr="00D60C1D">
              <w:rPr>
                <w:bCs/>
                <w:color w:val="000000"/>
                <w:szCs w:val="24"/>
                <w:lang w:val="x-none" w:eastAsia="x-none"/>
              </w:rPr>
              <w:t xml:space="preserve"> </w:t>
            </w:r>
            <w:r w:rsidRPr="00D60C1D">
              <w:rPr>
                <w:bCs/>
                <w:color w:val="000000"/>
                <w:szCs w:val="24"/>
                <w:lang w:eastAsia="x-none"/>
              </w:rPr>
              <w:t>m</w:t>
            </w:r>
            <w:r w:rsidRPr="00D60C1D">
              <w:rPr>
                <w:bCs/>
                <w:color w:val="000000"/>
                <w:szCs w:val="24"/>
                <w:lang w:val="x-none" w:eastAsia="x-none"/>
              </w:rPr>
              <w:t>a</w:t>
            </w:r>
            <w:r w:rsidRPr="00D60C1D">
              <w:rPr>
                <w:bCs/>
                <w:color w:val="000000"/>
                <w:szCs w:val="24"/>
                <w:lang w:eastAsia="x-none"/>
              </w:rPr>
              <w:t>d</w:t>
            </w:r>
            <w:r w:rsidRPr="00D60C1D">
              <w:rPr>
                <w:bCs/>
                <w:color w:val="000000"/>
                <w:szCs w:val="24"/>
                <w:lang w:val="x-none" w:eastAsia="x-none"/>
              </w:rPr>
              <w:t>d</w:t>
            </w:r>
            <w:r w:rsidRPr="00D60C1D">
              <w:rPr>
                <w:bCs/>
                <w:color w:val="000000"/>
                <w:szCs w:val="24"/>
                <w:lang w:eastAsia="x-none"/>
              </w:rPr>
              <w:t>e</w:t>
            </w:r>
            <w:r w:rsidRPr="00D60C1D">
              <w:rPr>
                <w:bCs/>
                <w:color w:val="000000"/>
                <w:szCs w:val="24"/>
                <w:lang w:val="x-none" w:eastAsia="x-none"/>
              </w:rPr>
              <w:t>s</w:t>
            </w:r>
            <w:r w:rsidRPr="00D60C1D">
              <w:rPr>
                <w:bCs/>
                <w:color w:val="000000"/>
                <w:szCs w:val="24"/>
                <w:lang w:eastAsia="x-none"/>
              </w:rPr>
              <w:t>i</w:t>
            </w:r>
            <w:r w:rsidRPr="00D60C1D">
              <w:rPr>
                <w:bCs/>
                <w:color w:val="000000"/>
                <w:szCs w:val="24"/>
                <w:lang w:val="x-none" w:eastAsia="x-none"/>
              </w:rPr>
              <w:t>n</w:t>
            </w:r>
            <w:r w:rsidRPr="00D60C1D">
              <w:rPr>
                <w:bCs/>
                <w:color w:val="000000"/>
                <w:szCs w:val="24"/>
                <w:lang w:eastAsia="x-none"/>
              </w:rPr>
              <w:t>i</w:t>
            </w:r>
            <w:r w:rsidRPr="00D60C1D">
              <w:rPr>
                <w:bCs/>
                <w:color w:val="000000"/>
                <w:szCs w:val="24"/>
                <w:lang w:val="x-none" w:eastAsia="x-none"/>
              </w:rPr>
              <w:t>n</w:t>
            </w:r>
            <w:r w:rsidRPr="00D60C1D">
              <w:rPr>
                <w:bCs/>
                <w:color w:val="000000"/>
                <w:szCs w:val="24"/>
                <w:lang w:eastAsia="x-none"/>
              </w:rPr>
              <w:t xml:space="preserve"> </w:t>
            </w:r>
            <w:r w:rsidRPr="00D60C1D">
              <w:rPr>
                <w:bCs/>
                <w:color w:val="000000"/>
                <w:szCs w:val="24"/>
                <w:lang w:val="x-none" w:eastAsia="x-none"/>
              </w:rPr>
              <w:t>i</w:t>
            </w:r>
            <w:r w:rsidRPr="00D60C1D">
              <w:rPr>
                <w:bCs/>
                <w:color w:val="000000"/>
                <w:szCs w:val="24"/>
                <w:lang w:eastAsia="x-none"/>
              </w:rPr>
              <w:t>k</w:t>
            </w:r>
            <w:r w:rsidRPr="00D60C1D">
              <w:rPr>
                <w:bCs/>
                <w:color w:val="000000"/>
                <w:szCs w:val="24"/>
                <w:lang w:val="x-none" w:eastAsia="x-none"/>
              </w:rPr>
              <w:t>i</w:t>
            </w:r>
            <w:r w:rsidRPr="00D60C1D">
              <w:rPr>
                <w:bCs/>
                <w:color w:val="000000"/>
                <w:szCs w:val="24"/>
                <w:lang w:eastAsia="x-none"/>
              </w:rPr>
              <w:t>n</w:t>
            </w:r>
            <w:r w:rsidRPr="00D60C1D">
              <w:rPr>
                <w:bCs/>
                <w:color w:val="000000"/>
                <w:szCs w:val="24"/>
                <w:lang w:val="x-none" w:eastAsia="x-none"/>
              </w:rPr>
              <w:t>c</w:t>
            </w:r>
            <w:r w:rsidRPr="00D60C1D">
              <w:rPr>
                <w:bCs/>
                <w:color w:val="000000"/>
                <w:szCs w:val="24"/>
                <w:lang w:eastAsia="x-none"/>
              </w:rPr>
              <w:t>i</w:t>
            </w:r>
            <w:r w:rsidRPr="00D60C1D">
              <w:rPr>
                <w:bCs/>
                <w:color w:val="000000"/>
                <w:szCs w:val="24"/>
                <w:lang w:val="x-none" w:eastAsia="x-none"/>
              </w:rPr>
              <w:t xml:space="preserve"> </w:t>
            </w:r>
            <w:r w:rsidRPr="00D60C1D">
              <w:rPr>
                <w:bCs/>
                <w:color w:val="000000"/>
                <w:szCs w:val="24"/>
                <w:lang w:eastAsia="x-none"/>
              </w:rPr>
              <w:t>f</w:t>
            </w:r>
            <w:r w:rsidRPr="00D60C1D">
              <w:rPr>
                <w:bCs/>
                <w:color w:val="000000"/>
                <w:szCs w:val="24"/>
                <w:lang w:val="x-none" w:eastAsia="x-none"/>
              </w:rPr>
              <w:t>ı</w:t>
            </w:r>
            <w:r w:rsidRPr="00D60C1D">
              <w:rPr>
                <w:bCs/>
                <w:color w:val="000000"/>
                <w:szCs w:val="24"/>
                <w:lang w:eastAsia="x-none"/>
              </w:rPr>
              <w:t>k</w:t>
            </w:r>
            <w:r w:rsidRPr="00D60C1D">
              <w:rPr>
                <w:bCs/>
                <w:color w:val="000000"/>
                <w:szCs w:val="24"/>
                <w:lang w:val="x-none" w:eastAsia="x-none"/>
              </w:rPr>
              <w:t>r</w:t>
            </w:r>
            <w:r w:rsidRPr="00D60C1D">
              <w:rPr>
                <w:bCs/>
                <w:color w:val="000000"/>
                <w:szCs w:val="24"/>
                <w:lang w:eastAsia="x-none"/>
              </w:rPr>
              <w:t>a</w:t>
            </w:r>
            <w:r w:rsidRPr="00D60C1D">
              <w:rPr>
                <w:bCs/>
                <w:color w:val="000000"/>
                <w:szCs w:val="24"/>
                <w:lang w:val="x-none" w:eastAsia="x-none"/>
              </w:rPr>
              <w:t>s</w:t>
            </w:r>
            <w:r w:rsidRPr="00D60C1D">
              <w:rPr>
                <w:bCs/>
                <w:color w:val="000000"/>
                <w:szCs w:val="24"/>
                <w:lang w:eastAsia="x-none"/>
              </w:rPr>
              <w:t>ı dikkate alınarak yeniden kaleme alınmıştır. Bu son düzenlemede 1994 yılında yapılan değişiklikle birlikte madde metnine, kesin hacizlerin yanına “</w:t>
            </w:r>
            <w:r w:rsidRPr="00D60C1D">
              <w:rPr>
                <w:bCs/>
                <w:i/>
                <w:color w:val="000000"/>
                <w:szCs w:val="24"/>
                <w:lang w:eastAsia="x-none"/>
              </w:rPr>
              <w:t>geçici hacizler</w:t>
            </w:r>
            <w:r w:rsidRPr="00D60C1D">
              <w:rPr>
                <w:bCs/>
                <w:color w:val="000000"/>
                <w:szCs w:val="24"/>
                <w:lang w:eastAsia="x-none"/>
              </w:rPr>
              <w:t>” de eklenmiştir. Oysa 1932 yılından bu yana Kanunun bu hükmünde hiçbir değişiklik yaşanmamış; 1940 yılında 3890 sayılı Kanunla maddeye eklenen ikinci fıkra, 1982 yılında 3222 sayılı Kanunla ilga edilmiş ve ilga edilen bu son fıkra hükmü, bugün de olduğu gibi Kanunun 108 inci maddesine yine bir ikinci f</w:t>
            </w:r>
            <w:r w:rsidR="00C37578" w:rsidRPr="00D60C1D">
              <w:rPr>
                <w:bCs/>
                <w:color w:val="000000"/>
                <w:szCs w:val="24"/>
                <w:lang w:eastAsia="x-none"/>
              </w:rPr>
              <w:t>ıkra olarak ilave edilmiştir.</w:t>
            </w:r>
          </w:p>
          <w:p w:rsidR="006E1D48" w:rsidRPr="00D60C1D" w:rsidRDefault="006E1D48" w:rsidP="009431FF">
            <w:pPr>
              <w:ind w:firstLine="709"/>
              <w:rPr>
                <w:bCs/>
                <w:color w:val="000000"/>
                <w:szCs w:val="24"/>
                <w:lang w:eastAsia="x-none"/>
              </w:rPr>
            </w:pPr>
            <w:r w:rsidRPr="00D60C1D">
              <w:rPr>
                <w:bCs/>
                <w:color w:val="000000"/>
                <w:szCs w:val="24"/>
                <w:lang w:eastAsia="x-none"/>
              </w:rPr>
              <w:t xml:space="preserve">Madde metni kaleme alınırken mehaz </w:t>
            </w:r>
            <w:r w:rsidR="00104D45" w:rsidRPr="00D60C1D">
              <w:rPr>
                <w:bCs/>
                <w:color w:val="000000"/>
                <w:szCs w:val="24"/>
                <w:lang w:eastAsia="x-none"/>
              </w:rPr>
              <w:t>K</w:t>
            </w:r>
            <w:r w:rsidRPr="00D60C1D">
              <w:rPr>
                <w:bCs/>
                <w:color w:val="000000"/>
                <w:szCs w:val="24"/>
                <w:lang w:val="x-none" w:eastAsia="x-none"/>
              </w:rPr>
              <w:t>a</w:t>
            </w:r>
            <w:r w:rsidRPr="00D60C1D">
              <w:rPr>
                <w:bCs/>
                <w:color w:val="000000"/>
                <w:szCs w:val="24"/>
                <w:lang w:eastAsia="x-none"/>
              </w:rPr>
              <w:t>n</w:t>
            </w:r>
            <w:r w:rsidRPr="00D60C1D">
              <w:rPr>
                <w:bCs/>
                <w:color w:val="000000"/>
                <w:szCs w:val="24"/>
                <w:lang w:val="x-none" w:eastAsia="x-none"/>
              </w:rPr>
              <w:t>u</w:t>
            </w:r>
            <w:r w:rsidRPr="00D60C1D">
              <w:rPr>
                <w:bCs/>
                <w:color w:val="000000"/>
                <w:szCs w:val="24"/>
                <w:lang w:eastAsia="x-none"/>
              </w:rPr>
              <w:t>n</w:t>
            </w:r>
            <w:r w:rsidRPr="00D60C1D">
              <w:rPr>
                <w:bCs/>
                <w:color w:val="000000"/>
                <w:szCs w:val="24"/>
                <w:lang w:val="x-none" w:eastAsia="x-none"/>
              </w:rPr>
              <w:t>d</w:t>
            </w:r>
            <w:r w:rsidRPr="00D60C1D">
              <w:rPr>
                <w:bCs/>
                <w:color w:val="000000"/>
                <w:szCs w:val="24"/>
                <w:lang w:eastAsia="x-none"/>
              </w:rPr>
              <w:t>a geçen “</w:t>
            </w:r>
            <w:r w:rsidRPr="00D60C1D">
              <w:rPr>
                <w:bCs/>
                <w:i/>
                <w:color w:val="000000"/>
                <w:szCs w:val="24"/>
                <w:lang w:eastAsia="x-none"/>
              </w:rPr>
              <w:t>geçici haciz</w:t>
            </w:r>
            <w:r w:rsidRPr="00D60C1D">
              <w:rPr>
                <w:bCs/>
                <w:color w:val="000000"/>
                <w:szCs w:val="24"/>
                <w:lang w:eastAsia="x-none"/>
              </w:rPr>
              <w:t xml:space="preserve">” kavramı kullanılmamıştır. Onun yerine </w:t>
            </w:r>
            <w:r w:rsidR="00104D45" w:rsidRPr="00D60C1D">
              <w:rPr>
                <w:bCs/>
                <w:color w:val="000000"/>
                <w:szCs w:val="24"/>
                <w:lang w:eastAsia="x-none"/>
              </w:rPr>
              <w:t xml:space="preserve">özellikle </w:t>
            </w:r>
            <w:r w:rsidRPr="00D60C1D">
              <w:rPr>
                <w:bCs/>
                <w:color w:val="000000"/>
                <w:szCs w:val="24"/>
                <w:lang w:eastAsia="x-none"/>
              </w:rPr>
              <w:t xml:space="preserve">Taslağın </w:t>
            </w:r>
            <w:r w:rsidR="002F12C6" w:rsidRPr="00D60C1D">
              <w:rPr>
                <w:rStyle w:val="KonuBalChar"/>
                <w:rFonts w:eastAsia="Calibri"/>
                <w:b w:val="0"/>
                <w:color w:val="000000"/>
              </w:rPr>
              <w:t>258 inci</w:t>
            </w:r>
            <w:r w:rsidRPr="00A23740">
              <w:rPr>
                <w:b/>
                <w:bCs/>
                <w:color w:val="0000FF"/>
                <w:szCs w:val="24"/>
                <w:lang w:eastAsia="x-none"/>
              </w:rPr>
              <w:t xml:space="preserve"> </w:t>
            </w:r>
            <w:r w:rsidRPr="00D60C1D">
              <w:rPr>
                <w:bCs/>
                <w:color w:val="000000"/>
                <w:szCs w:val="24"/>
                <w:lang w:eastAsia="x-none"/>
              </w:rPr>
              <w:t>maddesinin dördüncü fıkrasında geçtiği ve yine söz konusu düzenlemenin gerekçesinde de açıklandığı gibi</w:t>
            </w:r>
            <w:r w:rsidR="00104D45" w:rsidRPr="00D60C1D">
              <w:rPr>
                <w:bCs/>
                <w:color w:val="000000"/>
                <w:szCs w:val="24"/>
                <w:lang w:eastAsia="x-none"/>
              </w:rPr>
              <w:t>,</w:t>
            </w:r>
            <w:r w:rsidRPr="00D60C1D">
              <w:rPr>
                <w:bCs/>
                <w:color w:val="000000"/>
                <w:szCs w:val="24"/>
                <w:lang w:eastAsia="x-none"/>
              </w:rPr>
              <w:t xml:space="preserve"> “</w:t>
            </w:r>
            <w:r w:rsidRPr="00D60C1D">
              <w:rPr>
                <w:bCs/>
                <w:i/>
                <w:color w:val="000000"/>
                <w:szCs w:val="24"/>
                <w:lang w:eastAsia="x-none"/>
              </w:rPr>
              <w:t>imtiyazlı iştirak</w:t>
            </w:r>
            <w:r w:rsidRPr="00D60C1D">
              <w:rPr>
                <w:bCs/>
                <w:color w:val="000000"/>
                <w:szCs w:val="24"/>
                <w:lang w:eastAsia="x-none"/>
              </w:rPr>
              <w:t>” ve “</w:t>
            </w:r>
            <w:r w:rsidRPr="00D60C1D">
              <w:rPr>
                <w:bCs/>
                <w:i/>
                <w:color w:val="000000"/>
                <w:szCs w:val="24"/>
                <w:lang w:eastAsia="x-none"/>
              </w:rPr>
              <w:t>ihtiyati haciz</w:t>
            </w:r>
            <w:r w:rsidRPr="00D60C1D">
              <w:rPr>
                <w:bCs/>
                <w:color w:val="000000"/>
                <w:szCs w:val="24"/>
                <w:lang w:eastAsia="x-none"/>
              </w:rPr>
              <w:t xml:space="preserve">” </w:t>
            </w:r>
            <w:r w:rsidRPr="00D60C1D">
              <w:rPr>
                <w:color w:val="000000"/>
              </w:rPr>
              <w:t>sahibi alacaklıların durumunu karşılamak üzere “</w:t>
            </w:r>
            <w:r w:rsidRPr="00D60C1D">
              <w:rPr>
                <w:i/>
                <w:color w:val="000000"/>
              </w:rPr>
              <w:t xml:space="preserve">hacze </w:t>
            </w:r>
            <w:r w:rsidRPr="00D60C1D">
              <w:rPr>
                <w:bCs/>
                <w:i/>
                <w:color w:val="000000"/>
                <w:szCs w:val="24"/>
                <w:lang w:eastAsia="x-none"/>
              </w:rPr>
              <w:t>geçici iştirak etmek</w:t>
            </w:r>
            <w:r w:rsidRPr="00D60C1D">
              <w:rPr>
                <w:bCs/>
                <w:color w:val="000000"/>
                <w:szCs w:val="24"/>
                <w:lang w:eastAsia="x-none"/>
              </w:rPr>
              <w:t>” kavramı kullanılmıştır. Ü</w:t>
            </w:r>
            <w:r w:rsidRPr="00D60C1D">
              <w:rPr>
                <w:color w:val="000000"/>
              </w:rPr>
              <w:t>stelik</w:t>
            </w:r>
            <w:r w:rsidRPr="00D60C1D">
              <w:rPr>
                <w:bCs/>
                <w:color w:val="000000"/>
                <w:szCs w:val="24"/>
                <w:lang w:eastAsia="x-none"/>
              </w:rPr>
              <w:t>, Taslakta “</w:t>
            </w:r>
            <w:r w:rsidRPr="00D60C1D">
              <w:rPr>
                <w:bCs/>
                <w:i/>
                <w:color w:val="000000"/>
                <w:szCs w:val="24"/>
                <w:lang w:eastAsia="x-none"/>
              </w:rPr>
              <w:t>itirazın geçici kaldırılması</w:t>
            </w:r>
            <w:r w:rsidRPr="00D60C1D">
              <w:rPr>
                <w:bCs/>
                <w:color w:val="000000"/>
                <w:szCs w:val="24"/>
                <w:lang w:eastAsia="x-none"/>
              </w:rPr>
              <w:t xml:space="preserve">” şeklinde bir hukuki çareye </w:t>
            </w:r>
            <w:r w:rsidR="00104D45" w:rsidRPr="00D60C1D">
              <w:rPr>
                <w:bCs/>
                <w:color w:val="000000"/>
                <w:szCs w:val="24"/>
                <w:lang w:eastAsia="x-none"/>
              </w:rPr>
              <w:t xml:space="preserve">(artık) </w:t>
            </w:r>
            <w:r w:rsidRPr="00D60C1D">
              <w:rPr>
                <w:bCs/>
                <w:color w:val="000000"/>
                <w:szCs w:val="24"/>
                <w:lang w:eastAsia="x-none"/>
              </w:rPr>
              <w:t>yer verilmediğinden; onu da çağrıştırabilecek “</w:t>
            </w:r>
            <w:r w:rsidRPr="00D60C1D">
              <w:rPr>
                <w:bCs/>
                <w:i/>
                <w:color w:val="000000"/>
                <w:szCs w:val="24"/>
                <w:lang w:eastAsia="x-none"/>
              </w:rPr>
              <w:t>geçici haciz</w:t>
            </w:r>
            <w:r w:rsidRPr="00D60C1D">
              <w:rPr>
                <w:bCs/>
                <w:color w:val="000000"/>
                <w:szCs w:val="24"/>
                <w:lang w:eastAsia="x-none"/>
              </w:rPr>
              <w:t xml:space="preserve">” </w:t>
            </w:r>
            <w:r w:rsidR="00104D45" w:rsidRPr="00D60C1D">
              <w:rPr>
                <w:bCs/>
                <w:color w:val="000000"/>
                <w:szCs w:val="24"/>
                <w:lang w:eastAsia="x-none"/>
              </w:rPr>
              <w:t xml:space="preserve">teriminin </w:t>
            </w:r>
            <w:r w:rsidRPr="00D60C1D">
              <w:rPr>
                <w:bCs/>
                <w:color w:val="000000"/>
                <w:szCs w:val="24"/>
                <w:lang w:eastAsia="x-none"/>
              </w:rPr>
              <w:t xml:space="preserve">kullanılmasından özellikle imtina edilmiştir. </w:t>
            </w:r>
          </w:p>
          <w:p w:rsidR="006E1D48" w:rsidRPr="00D60C1D" w:rsidRDefault="006E1D48" w:rsidP="009431FF">
            <w:pPr>
              <w:ind w:firstLine="709"/>
              <w:rPr>
                <w:bCs/>
                <w:color w:val="000000"/>
                <w:szCs w:val="24"/>
                <w:lang w:eastAsia="x-none"/>
              </w:rPr>
            </w:pPr>
            <w:r w:rsidRPr="00D60C1D">
              <w:rPr>
                <w:bCs/>
                <w:color w:val="000000"/>
                <w:szCs w:val="24"/>
                <w:lang w:eastAsia="x-none"/>
              </w:rPr>
              <w:t>Böylece paraya çevirme aşamasında yapılan satış neticesinde elde edilen hasılat, o malı haczetmiş alacaklının veya bu hacze iştirak etmiş diğer tüm alacaklıların alacağını, tam olarak; masraflar</w:t>
            </w:r>
            <w:r w:rsidR="00C37578" w:rsidRPr="00D60C1D">
              <w:rPr>
                <w:bCs/>
                <w:color w:val="000000"/>
                <w:szCs w:val="24"/>
                <w:lang w:eastAsia="x-none"/>
              </w:rPr>
              <w:t xml:space="preserve"> </w:t>
            </w:r>
            <w:r w:rsidRPr="00D60C1D">
              <w:rPr>
                <w:bCs/>
                <w:color w:val="000000"/>
                <w:szCs w:val="24"/>
                <w:lang w:eastAsia="x-none"/>
              </w:rPr>
              <w:t>da dahil karşıla</w:t>
            </w:r>
            <w:r w:rsidRPr="00D60C1D">
              <w:rPr>
                <w:bCs/>
                <w:color w:val="000000"/>
                <w:szCs w:val="24"/>
                <w:lang w:val="x-none" w:eastAsia="x-none"/>
              </w:rPr>
              <w:t>d</w:t>
            </w:r>
            <w:r w:rsidRPr="00D60C1D">
              <w:rPr>
                <w:bCs/>
                <w:color w:val="000000"/>
                <w:szCs w:val="24"/>
                <w:lang w:eastAsia="x-none"/>
              </w:rPr>
              <w:t>ı</w:t>
            </w:r>
            <w:r w:rsidRPr="00D60C1D">
              <w:rPr>
                <w:bCs/>
                <w:color w:val="000000"/>
                <w:szCs w:val="24"/>
                <w:lang w:val="x-none" w:eastAsia="x-none"/>
              </w:rPr>
              <w:t>ğ</w:t>
            </w:r>
            <w:r w:rsidRPr="00D60C1D">
              <w:rPr>
                <w:bCs/>
                <w:color w:val="000000"/>
                <w:szCs w:val="24"/>
                <w:lang w:eastAsia="x-none"/>
              </w:rPr>
              <w:t>ı</w:t>
            </w:r>
            <w:r w:rsidRPr="00D60C1D">
              <w:rPr>
                <w:bCs/>
                <w:color w:val="000000"/>
                <w:szCs w:val="24"/>
                <w:lang w:val="x-none" w:eastAsia="x-none"/>
              </w:rPr>
              <w:t>n</w:t>
            </w:r>
            <w:r w:rsidRPr="00D60C1D">
              <w:rPr>
                <w:bCs/>
                <w:color w:val="000000"/>
                <w:szCs w:val="24"/>
                <w:lang w:eastAsia="x-none"/>
              </w:rPr>
              <w:t>d</w:t>
            </w:r>
            <w:r w:rsidRPr="00D60C1D">
              <w:rPr>
                <w:bCs/>
                <w:color w:val="000000"/>
                <w:szCs w:val="24"/>
                <w:lang w:val="x-none" w:eastAsia="x-none"/>
              </w:rPr>
              <w:t>a</w:t>
            </w:r>
            <w:r w:rsidRPr="00D60C1D">
              <w:rPr>
                <w:bCs/>
                <w:color w:val="000000"/>
                <w:szCs w:val="24"/>
                <w:lang w:eastAsia="x-none"/>
              </w:rPr>
              <w:t xml:space="preserve">, haczedilmiş </w:t>
            </w:r>
            <w:r w:rsidR="001F11B8" w:rsidRPr="00D60C1D">
              <w:rPr>
                <w:bCs/>
                <w:color w:val="000000"/>
                <w:szCs w:val="24"/>
                <w:lang w:eastAsia="x-none"/>
              </w:rPr>
              <w:t xml:space="preserve">olan </w:t>
            </w:r>
            <w:r w:rsidRPr="00D60C1D">
              <w:rPr>
                <w:bCs/>
                <w:color w:val="000000"/>
                <w:szCs w:val="24"/>
                <w:lang w:eastAsia="x-none"/>
              </w:rPr>
              <w:t xml:space="preserve">diğer malların satışına geçilmez ve icra </w:t>
            </w:r>
            <w:r w:rsidR="007D74DD" w:rsidRPr="00D60C1D">
              <w:rPr>
                <w:color w:val="000000"/>
              </w:rPr>
              <w:t xml:space="preserve">ve iflas </w:t>
            </w:r>
            <w:r w:rsidR="001F11B8" w:rsidRPr="00D60C1D">
              <w:rPr>
                <w:bCs/>
                <w:color w:val="000000"/>
                <w:szCs w:val="24"/>
                <w:lang w:eastAsia="x-none"/>
              </w:rPr>
              <w:t xml:space="preserve">müdürü </w:t>
            </w:r>
            <w:r w:rsidRPr="00D60C1D">
              <w:rPr>
                <w:bCs/>
                <w:color w:val="000000"/>
                <w:szCs w:val="24"/>
                <w:lang w:eastAsia="x-none"/>
              </w:rPr>
              <w:t>kendiliğinden satış</w:t>
            </w:r>
            <w:r w:rsidR="001F11B8" w:rsidRPr="00D60C1D">
              <w:rPr>
                <w:bCs/>
                <w:color w:val="000000"/>
                <w:szCs w:val="24"/>
                <w:lang w:eastAsia="x-none"/>
              </w:rPr>
              <w:t>ı</w:t>
            </w:r>
            <w:r w:rsidRPr="00D60C1D">
              <w:rPr>
                <w:bCs/>
                <w:color w:val="000000"/>
                <w:szCs w:val="24"/>
                <w:lang w:eastAsia="x-none"/>
              </w:rPr>
              <w:t xml:space="preserve"> durdurarak paraya çevirmeye son verir. Yapılan değişiklik neticesinde sadece kesin haciz sahibi alacaklıların değil</w:t>
            </w:r>
            <w:r w:rsidR="001F11B8" w:rsidRPr="00D60C1D">
              <w:rPr>
                <w:bCs/>
                <w:color w:val="000000"/>
                <w:szCs w:val="24"/>
                <w:lang w:eastAsia="x-none"/>
              </w:rPr>
              <w:t>,</w:t>
            </w:r>
            <w:r w:rsidRPr="00D60C1D">
              <w:rPr>
                <w:bCs/>
                <w:color w:val="000000"/>
                <w:szCs w:val="24"/>
                <w:lang w:eastAsia="x-none"/>
              </w:rPr>
              <w:t xml:space="preserve"> varsa söz konusu hacze geçici surette iştirak etmiş olan imtiyazlı iştirak sahibi alacaklılar</w:t>
            </w:r>
            <w:r w:rsidR="001F11B8" w:rsidRPr="00D60C1D">
              <w:rPr>
                <w:bCs/>
                <w:color w:val="000000"/>
                <w:szCs w:val="24"/>
                <w:lang w:eastAsia="x-none"/>
              </w:rPr>
              <w:t xml:space="preserve"> ile </w:t>
            </w:r>
            <w:r w:rsidRPr="00D60C1D">
              <w:rPr>
                <w:bCs/>
                <w:color w:val="000000"/>
                <w:szCs w:val="24"/>
                <w:lang w:eastAsia="x-none"/>
              </w:rPr>
              <w:t xml:space="preserve">ihtiyati sahibi diğer alacaklıların alacaklarının da karşılanıp karşılanmadığı gözetilecektir. Şüphesiz ki böyle bir durumda, hacze geçici olarak iştirak etmiş alacaklılara derhâl ödeme yapılmayacak; Taslağın </w:t>
            </w:r>
            <w:r w:rsidR="002F12C6" w:rsidRPr="00D60C1D">
              <w:rPr>
                <w:rStyle w:val="KonuBalChar"/>
                <w:rFonts w:eastAsia="Calibri"/>
                <w:b w:val="0"/>
                <w:color w:val="000000"/>
              </w:rPr>
              <w:t>258 inci</w:t>
            </w:r>
            <w:r w:rsidR="002F12C6" w:rsidRPr="00A23740">
              <w:rPr>
                <w:rFonts w:eastAsia="Times New Roman"/>
                <w:b/>
                <w:color w:val="0000FF"/>
                <w:szCs w:val="24"/>
                <w:lang w:eastAsia="tr-TR"/>
              </w:rPr>
              <w:t xml:space="preserve"> </w:t>
            </w:r>
            <w:r w:rsidRPr="00D60C1D">
              <w:rPr>
                <w:bCs/>
                <w:color w:val="000000"/>
                <w:szCs w:val="24"/>
                <w:lang w:eastAsia="x-none"/>
              </w:rPr>
              <w:t>maddesinin dördüncü fıkrasında da düzenlendiği üzere para, nemalandırılmak ve ileride hak sahiplerine ödenme</w:t>
            </w:r>
            <w:r w:rsidR="00B830AD" w:rsidRPr="00D60C1D">
              <w:rPr>
                <w:bCs/>
                <w:color w:val="000000"/>
                <w:szCs w:val="24"/>
                <w:lang w:eastAsia="x-none"/>
              </w:rPr>
              <w:t>k üzere bankaya yatırılacaktır.</w:t>
            </w:r>
          </w:p>
          <w:p w:rsidR="006E1D48" w:rsidRPr="00A23740" w:rsidRDefault="006E1D48" w:rsidP="009431FF">
            <w:pPr>
              <w:ind w:firstLine="709"/>
              <w:rPr>
                <w:b/>
                <w:bCs/>
                <w:color w:val="0000FF"/>
                <w:szCs w:val="24"/>
                <w:lang w:val="x-none" w:eastAsia="x-none"/>
              </w:rPr>
            </w:pPr>
            <w:r w:rsidRPr="00D60C1D">
              <w:rPr>
                <w:bCs/>
                <w:color w:val="000000"/>
                <w:szCs w:val="24"/>
                <w:lang w:eastAsia="x-none"/>
              </w:rPr>
              <w:t>Satılan mal üzerinde tek bir haciz sahibi alacaklının olması ve bu alacaklının alacağını almasından sonra satış bedelinden geriye bir tutar kalması hâlinde bu bedel, malın da sahibi olan takip borçlusuna iade edilecektir. Bu örnekte, haczedildiği h</w:t>
            </w:r>
            <w:r w:rsidR="00C224B4" w:rsidRPr="00D60C1D">
              <w:rPr>
                <w:bCs/>
                <w:color w:val="000000"/>
                <w:szCs w:val="24"/>
                <w:lang w:eastAsia="x-none"/>
              </w:rPr>
              <w:t>â</w:t>
            </w:r>
            <w:r w:rsidRPr="00D60C1D">
              <w:rPr>
                <w:bCs/>
                <w:color w:val="000000"/>
                <w:szCs w:val="24"/>
                <w:lang w:eastAsia="x-none"/>
              </w:rPr>
              <w:t xml:space="preserve">lde satılmayan diğer mallar üzerindeki hacizlerin de icra </w:t>
            </w:r>
            <w:r w:rsidR="007D74DD" w:rsidRPr="00D60C1D">
              <w:rPr>
                <w:color w:val="000000"/>
              </w:rPr>
              <w:t xml:space="preserve">ve iflas </w:t>
            </w:r>
            <w:r w:rsidRPr="00D60C1D">
              <w:rPr>
                <w:bCs/>
                <w:color w:val="000000"/>
                <w:szCs w:val="24"/>
                <w:lang w:eastAsia="x-none"/>
              </w:rPr>
              <w:t>müdürlüğünce kaldırılacağı ve malların sahibine iade edileceği açıktır. Bir başka örnekte, aynı malların bu kez birden fazla alacaklı tarafından haczedilmiş ve bunların da ilk hacze iştirak edememiş olmaları hâl</w:t>
            </w:r>
            <w:r w:rsidR="00C37578" w:rsidRPr="00D60C1D">
              <w:rPr>
                <w:bCs/>
                <w:color w:val="000000"/>
                <w:szCs w:val="24"/>
                <w:lang w:eastAsia="x-none"/>
              </w:rPr>
              <w:t>inde, satış bedelinden art</w:t>
            </w:r>
            <w:r w:rsidRPr="00D60C1D">
              <w:rPr>
                <w:bCs/>
                <w:color w:val="000000"/>
                <w:szCs w:val="24"/>
                <w:lang w:eastAsia="x-none"/>
              </w:rPr>
              <w:t xml:space="preserve">a kalan tutar </w:t>
            </w:r>
            <w:r w:rsidR="001F11B8" w:rsidRPr="00D60C1D">
              <w:rPr>
                <w:bCs/>
                <w:color w:val="000000"/>
                <w:szCs w:val="24"/>
                <w:lang w:eastAsia="x-none"/>
              </w:rPr>
              <w:t xml:space="preserve">olursa bunun </w:t>
            </w:r>
            <w:r w:rsidRPr="00D60C1D">
              <w:rPr>
                <w:bCs/>
                <w:color w:val="000000"/>
                <w:szCs w:val="24"/>
                <w:lang w:eastAsia="x-none"/>
              </w:rPr>
              <w:t>borçluya ödenmeyip sonraki derecelerde yer alan hacizli alacaklılar için haczedilmiş sayılması, bu hacizlerin hâlâ geçerli ve ayakta olmasına bağlıdır. Sonraki derecelerde yer alan hacizli alacaklıların da zaten satış istemiş olması hâlinde ise satışın bu kimseler için de durdurulmayacağı ve onların alacaklarının ödenmesi amacıyla satışa devam edileceği tabiîdir.</w:t>
            </w:r>
          </w:p>
          <w:p w:rsidR="009136E7" w:rsidRPr="00A23740" w:rsidRDefault="009136E7"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b/>
              </w:rPr>
            </w:pPr>
            <w:r w:rsidRPr="00A23740">
              <w:rPr>
                <w:b/>
              </w:rPr>
              <w:t>Borçluya satış yetkisi verilmesi:</w:t>
            </w:r>
          </w:p>
          <w:p w:rsidR="00AA5C8C" w:rsidRPr="00A23740" w:rsidRDefault="00AA5C8C" w:rsidP="009431FF">
            <w:pPr>
              <w:tabs>
                <w:tab w:val="left" w:pos="567"/>
              </w:tabs>
              <w:rPr>
                <w:b/>
              </w:rPr>
            </w:pPr>
            <w:r w:rsidRPr="00A23740">
              <w:rPr>
                <w:b/>
              </w:rPr>
              <w:t>MADDE 111/a- </w:t>
            </w:r>
            <w:r w:rsidRPr="00A23740">
              <w:t>(Ek:24/11/2021-7343/12 md.)</w:t>
            </w:r>
          </w:p>
          <w:p w:rsidR="00AA5C8C" w:rsidRPr="00A23740" w:rsidRDefault="008738BA" w:rsidP="009431FF">
            <w:pPr>
              <w:tabs>
                <w:tab w:val="left" w:pos="567"/>
              </w:tabs>
            </w:pPr>
            <w:r w:rsidRPr="00A23740">
              <w:rPr>
                <w:rStyle w:val="KIRMIZIChar"/>
                <w:rFonts w:eastAsia="Calibri"/>
              </w:rPr>
              <w:t>(1)</w:t>
            </w:r>
            <w:r w:rsidRPr="00A23740">
              <w:t xml:space="preserve"> </w:t>
            </w:r>
            <w:r w:rsidR="00AA5C8C" w:rsidRPr="00A23740">
              <w:t xml:space="preserve">Borçlu, kıymet takdirinin tebliğinden itibaren </w:t>
            </w:r>
            <w:r w:rsidR="00AA5C8C" w:rsidRPr="00A23740">
              <w:rPr>
                <w:rStyle w:val="KIRMIZIChar"/>
                <w:rFonts w:eastAsia="Calibri"/>
              </w:rPr>
              <w:t>yedi gün</w:t>
            </w:r>
            <w:r w:rsidR="00AA5C8C" w:rsidRPr="00A23740">
              <w:t xml:space="preserve"> içinde haczedilen malının rızaen satışı için kendisine yetki verilmesini talep edebilir. Kıymet takdiri yapılmadığı durumlarda borçlu da kıymet takdiri yapılmasını isteyebilir. İcra müdürü, kıymet takdirinin kesinleşmesinden sonra cebrî satış işlemlerini durdurarak borçluya </w:t>
            </w:r>
            <w:r w:rsidR="00AA5C8C" w:rsidRPr="00A23740">
              <w:rPr>
                <w:rStyle w:val="KIRMIZIChar"/>
                <w:rFonts w:eastAsia="Calibri"/>
              </w:rPr>
              <w:t>on beş günlük</w:t>
            </w:r>
            <w:r w:rsidR="00AA5C8C" w:rsidRPr="00A23740">
              <w:rPr>
                <w:rStyle w:val="KIRMIZIChar"/>
                <w:rFonts w:eastAsia="Calibri"/>
                <w:strike w:val="0"/>
              </w:rPr>
              <w:t xml:space="preserve"> </w:t>
            </w:r>
            <w:r w:rsidR="00AA5C8C" w:rsidRPr="00A23740">
              <w:t>süre verir. Borçluya verilen sürenin başlangıcından üçüncü fıkra uyarınca verilen icra mahkemesinin kararına kadar geçen sürede alacaklı bakımından satış isteme süresi işlemez.</w:t>
            </w:r>
          </w:p>
          <w:p w:rsidR="00AA5C8C" w:rsidRPr="00A23740" w:rsidRDefault="00AA5C8C" w:rsidP="009431FF">
            <w:pPr>
              <w:tabs>
                <w:tab w:val="left" w:pos="567"/>
              </w:tabs>
            </w:pPr>
          </w:p>
          <w:p w:rsidR="00AA5C8C" w:rsidRPr="00A23740" w:rsidRDefault="00AA5C8C" w:rsidP="009431FF">
            <w:pPr>
              <w:tabs>
                <w:tab w:val="left" w:pos="567"/>
              </w:tabs>
            </w:pPr>
          </w:p>
          <w:p w:rsidR="001263FC" w:rsidRDefault="001263FC" w:rsidP="009431FF">
            <w:pPr>
              <w:tabs>
                <w:tab w:val="left" w:pos="567"/>
              </w:tabs>
            </w:pPr>
          </w:p>
          <w:p w:rsidR="00BD41B4" w:rsidRPr="00A23740" w:rsidRDefault="00BD41B4" w:rsidP="009431FF">
            <w:pPr>
              <w:tabs>
                <w:tab w:val="left" w:pos="567"/>
              </w:tabs>
            </w:pPr>
          </w:p>
          <w:p w:rsidR="003C2B62" w:rsidRPr="00A23740" w:rsidRDefault="003C2B62" w:rsidP="009431FF">
            <w:pPr>
              <w:tabs>
                <w:tab w:val="left" w:pos="567"/>
              </w:tabs>
            </w:pPr>
          </w:p>
          <w:p w:rsidR="00AA5C8C" w:rsidRPr="00A23740" w:rsidRDefault="005F6587" w:rsidP="009431FF">
            <w:pPr>
              <w:tabs>
                <w:tab w:val="left" w:pos="567"/>
              </w:tabs>
            </w:pPr>
            <w:r>
              <w:rPr>
                <w:b/>
                <w:color w:val="FF0000"/>
              </w:rPr>
              <w:t>(F1.C</w:t>
            </w:r>
            <w:r w:rsidR="008738BA" w:rsidRPr="00A23740">
              <w:rPr>
                <w:b/>
                <w:color w:val="FF0000"/>
              </w:rPr>
              <w:t xml:space="preserve">2) </w:t>
            </w:r>
            <w:r w:rsidR="00AA5C8C" w:rsidRPr="00A23740">
              <w:t xml:space="preserve">Kıymet takdiri yapılmadığı durumlarda borçlu </w:t>
            </w:r>
            <w:r w:rsidR="00AA5C8C" w:rsidRPr="00A23740">
              <w:rPr>
                <w:rStyle w:val="KIRMIZIChar"/>
                <w:rFonts w:eastAsia="Calibri"/>
              </w:rPr>
              <w:t>da</w:t>
            </w:r>
            <w:r w:rsidR="00AA5C8C" w:rsidRPr="00A23740">
              <w:t xml:space="preserve"> kıymet takdiri yapılmasını </w:t>
            </w:r>
            <w:r w:rsidR="00AA5C8C" w:rsidRPr="00A23740">
              <w:rPr>
                <w:rStyle w:val="KIRMIZIChar"/>
                <w:rFonts w:eastAsia="Calibri"/>
              </w:rPr>
              <w:t>isteyebilir</w:t>
            </w:r>
            <w:r w:rsidR="00AA5C8C" w:rsidRPr="00A23740">
              <w:t xml:space="preserve">. </w:t>
            </w:r>
          </w:p>
          <w:p w:rsidR="008738BA" w:rsidRPr="00A23740" w:rsidRDefault="008738BA" w:rsidP="009431FF">
            <w:pPr>
              <w:tabs>
                <w:tab w:val="left" w:pos="567"/>
              </w:tabs>
            </w:pPr>
          </w:p>
          <w:p w:rsidR="00AA5C8C" w:rsidRPr="00A23740" w:rsidRDefault="008738BA" w:rsidP="009431FF">
            <w:pPr>
              <w:pStyle w:val="KIRMIZI"/>
            </w:pPr>
            <w:r w:rsidRPr="00A23740">
              <w:rPr>
                <w:rFonts w:eastAsia="Calibri"/>
                <w:lang w:val="tr-TR"/>
              </w:rPr>
              <w:t xml:space="preserve">(2) </w:t>
            </w:r>
            <w:r w:rsidR="00AA5C8C" w:rsidRPr="00A23740">
              <w:rPr>
                <w:rFonts w:eastAsia="Calibri"/>
              </w:rPr>
              <w:t>Rızai satışta bedel, malın muhammen kıymetinin yüzde doksanına karşılık gelen miktarı ile o malla güvence altına alınan ve satış isteyenin alacağına rüçhanı olan alacakların toplamından hangisi fazla ise bu miktarı ve ayrıca bu miktara ilave olarak bu aşamaya kadar bu mahcuz için yapılan takip masrafları toplamından az olamaz.</w:t>
            </w:r>
          </w:p>
          <w:p w:rsidR="00AA5C8C" w:rsidRPr="00A23740" w:rsidRDefault="00AA5C8C" w:rsidP="009431FF">
            <w:pPr>
              <w:tabs>
                <w:tab w:val="left" w:pos="567"/>
              </w:tabs>
            </w:pPr>
          </w:p>
          <w:p w:rsidR="00AA5C8C" w:rsidRPr="00A23740" w:rsidRDefault="008738BA" w:rsidP="009431FF">
            <w:pPr>
              <w:pStyle w:val="KIRMIZI"/>
            </w:pPr>
            <w:r w:rsidRPr="00A23740">
              <w:rPr>
                <w:rFonts w:eastAsia="Calibri"/>
                <w:lang w:val="tr-TR"/>
              </w:rPr>
              <w:t xml:space="preserve">(3) </w:t>
            </w:r>
            <w:r w:rsidR="00AA5C8C" w:rsidRPr="00A23740">
              <w:rPr>
                <w:rFonts w:eastAsia="Calibri"/>
              </w:rPr>
              <w:t>Borçluyla anlaşan alıcının belirlenen bedeli birinci fıkra uyarınca borçluya verilen on beş günlük süre içinde dosyaya ödemesi hâlinde icra müdürü, gerekli bilgi ve belgeleri temin ettikten sonra yukarıda belirtilen şartların bulunduğunu tespit ederse satışın onayı ile malın devir ve teslim işlemlerinin yapılmasına karar verilmesi için dosyayı derhâl icra mahkemesine gönderir. Mahkeme, en geç on gün içinde yapacağı inceleme sonucunda dosya üzerinden talebin kabulüne veya reddine kesin olarak karar verir. Kabul kararıyla malın mülkiyeti alıcıya geçer ve tüm hacizler kaldırılarak devir ve teslim işlemleri gerçekleştirilir. Ret kararı verilmesi hâlinde yatırdığı bedel alıcıya iade edilir.</w:t>
            </w:r>
          </w:p>
          <w:p w:rsidR="00AA5C8C" w:rsidRPr="00A23740" w:rsidRDefault="00AA5C8C" w:rsidP="009431FF">
            <w:pPr>
              <w:tabs>
                <w:tab w:val="left" w:pos="567"/>
              </w:tabs>
            </w:pPr>
          </w:p>
          <w:p w:rsidR="00AA5C8C" w:rsidRPr="00A23740" w:rsidRDefault="008738BA" w:rsidP="009431FF">
            <w:pPr>
              <w:pStyle w:val="KIRMIZI"/>
            </w:pPr>
            <w:r w:rsidRPr="00A23740">
              <w:rPr>
                <w:rFonts w:eastAsia="Calibri"/>
                <w:lang w:val="tr-TR"/>
              </w:rPr>
              <w:t xml:space="preserve">(4) </w:t>
            </w:r>
            <w:r w:rsidR="00AA5C8C" w:rsidRPr="00A23740">
              <w:rPr>
                <w:rFonts w:eastAsia="Calibri"/>
              </w:rPr>
              <w:t>Bu madde uyarınca yapılacak satışlar hakkında niteliğine uygun düştüğü ölçüde bu Kanunun diğer hükümleri uygulanır.</w:t>
            </w:r>
          </w:p>
          <w:p w:rsidR="00AA5C8C" w:rsidRPr="00A23740" w:rsidRDefault="00AA5C8C" w:rsidP="009431FF">
            <w:pPr>
              <w:tabs>
                <w:tab w:val="left" w:pos="567"/>
              </w:tabs>
            </w:pPr>
          </w:p>
          <w:p w:rsidR="00AA5C8C" w:rsidRPr="00A23740" w:rsidRDefault="008738BA" w:rsidP="009431FF">
            <w:pPr>
              <w:pStyle w:val="KIRMIZI"/>
              <w:rPr>
                <w:rFonts w:eastAsia="Calibri"/>
              </w:rPr>
            </w:pPr>
            <w:r w:rsidRPr="00A23740">
              <w:rPr>
                <w:rFonts w:eastAsia="Calibri"/>
                <w:lang w:val="tr-TR"/>
              </w:rPr>
              <w:t xml:space="preserve">(5) </w:t>
            </w:r>
            <w:r w:rsidR="00AA5C8C" w:rsidRPr="00A23740">
              <w:rPr>
                <w:rFonts w:eastAsia="Calibri"/>
              </w:rPr>
              <w:t>Bu maddenin uygulanmasına ilişkin usul ve esaslar, Adalet Bakanlığınca yürürlüğe konulan yönetmelikle belirlenir.</w:t>
            </w:r>
          </w:p>
          <w:p w:rsidR="00AA5C8C" w:rsidRPr="00A23740" w:rsidRDefault="00AA5C8C" w:rsidP="009431FF">
            <w:pPr>
              <w:rPr>
                <w:b/>
                <w:color w:val="0000FF"/>
                <w:szCs w:val="24"/>
                <w:lang w:eastAsia="tr-TR"/>
              </w:rPr>
            </w:pPr>
          </w:p>
        </w:tc>
        <w:tc>
          <w:tcPr>
            <w:tcW w:w="2500" w:type="pct"/>
          </w:tcPr>
          <w:p w:rsidR="00AA5C8C" w:rsidRPr="00A23740" w:rsidRDefault="0072771C" w:rsidP="009431FF">
            <w:pPr>
              <w:tabs>
                <w:tab w:val="left" w:pos="567"/>
              </w:tabs>
              <w:jc w:val="center"/>
              <w:rPr>
                <w:rFonts w:eastAsia="Times New Roman"/>
                <w:b/>
                <w:color w:val="0000FF"/>
                <w:szCs w:val="24"/>
                <w:lang w:eastAsia="tr-TR"/>
              </w:rPr>
            </w:pPr>
            <w:r w:rsidRPr="00A23740">
              <w:rPr>
                <w:rFonts w:eastAsia="Times New Roman"/>
                <w:b/>
                <w:color w:val="0000FF"/>
                <w:szCs w:val="24"/>
                <w:lang w:eastAsia="tr-TR"/>
              </w:rPr>
              <w:t>ÜÇÜNCÜ</w:t>
            </w:r>
            <w:r w:rsidR="00AA5C8C" w:rsidRPr="00A23740">
              <w:rPr>
                <w:rFonts w:eastAsia="Times New Roman"/>
                <w:b/>
                <w:color w:val="0000FF"/>
                <w:szCs w:val="24"/>
                <w:lang w:eastAsia="tr-TR"/>
              </w:rPr>
              <w:t xml:space="preserve"> ALT AYRIM</w:t>
            </w:r>
          </w:p>
          <w:p w:rsidR="00AA5C8C" w:rsidRPr="00A23740" w:rsidRDefault="00AA5C8C" w:rsidP="009431FF">
            <w:pPr>
              <w:tabs>
                <w:tab w:val="left" w:pos="567"/>
              </w:tabs>
              <w:jc w:val="center"/>
              <w:rPr>
                <w:rFonts w:eastAsia="Times New Roman"/>
                <w:b/>
                <w:color w:val="0000FF"/>
                <w:szCs w:val="24"/>
                <w:lang w:eastAsia="tr-TR"/>
              </w:rPr>
            </w:pPr>
            <w:r w:rsidRPr="00A23740">
              <w:rPr>
                <w:rFonts w:eastAsia="Times New Roman"/>
                <w:b/>
                <w:color w:val="0000FF"/>
                <w:szCs w:val="24"/>
                <w:lang w:eastAsia="tr-TR"/>
              </w:rPr>
              <w:t>Borçluya Rızaen Satış Yetkisi Verilmesi</w:t>
            </w:r>
          </w:p>
          <w:p w:rsidR="00AA5C8C" w:rsidRPr="00A23740" w:rsidRDefault="00AA5C8C" w:rsidP="009431FF">
            <w:pPr>
              <w:tabs>
                <w:tab w:val="left" w:pos="567"/>
              </w:tabs>
              <w:rPr>
                <w:b/>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Yetki talebi</w:t>
            </w:r>
          </w:p>
          <w:p w:rsidR="00AA5C8C" w:rsidRPr="00A23740" w:rsidRDefault="001263FC" w:rsidP="009431FF">
            <w:pPr>
              <w:tabs>
                <w:tab w:val="left" w:pos="567"/>
              </w:tabs>
              <w:rPr>
                <w:rFonts w:eastAsia="Times New Roman"/>
                <w:b/>
                <w:color w:val="0000FF"/>
                <w:szCs w:val="24"/>
                <w:lang w:eastAsia="tr-TR"/>
              </w:rPr>
            </w:pPr>
            <w:r w:rsidRPr="00A23740">
              <w:rPr>
                <w:rFonts w:eastAsia="Times New Roman"/>
                <w:b/>
                <w:color w:val="0000FF"/>
                <w:szCs w:val="24"/>
                <w:lang w:eastAsia="tr-TR"/>
              </w:rPr>
              <w:t>MADDE 23</w:t>
            </w:r>
            <w:r w:rsidR="0037744E" w:rsidRPr="00A23740">
              <w:rPr>
                <w:rFonts w:eastAsia="Times New Roman"/>
                <w:b/>
                <w:color w:val="0000FF"/>
                <w:szCs w:val="24"/>
                <w:lang w:eastAsia="tr-TR"/>
              </w:rPr>
              <w:t>8</w:t>
            </w:r>
            <w:r w:rsidR="00AA5C8C" w:rsidRPr="00A23740">
              <w:rPr>
                <w:rFonts w:eastAsia="Times New Roman"/>
                <w:b/>
                <w:color w:val="0000FF"/>
                <w:szCs w:val="24"/>
                <w:lang w:eastAsia="tr-TR"/>
              </w:rPr>
              <w:t xml:space="preserve">- (1) </w:t>
            </w:r>
            <w:r w:rsidR="00AA5C8C" w:rsidRPr="00A23740">
              <w:t>Borçlu</w:t>
            </w:r>
            <w:r w:rsidR="00AA5C8C" w:rsidRPr="00A23740">
              <w:rPr>
                <w:rStyle w:val="MaviChar"/>
              </w:rPr>
              <w:t>;</w:t>
            </w:r>
            <w:r w:rsidR="00F556CB" w:rsidRPr="00A23740">
              <w:rPr>
                <w:rStyle w:val="MaviChar"/>
                <w:lang w:val="tr-TR"/>
              </w:rPr>
              <w:t xml:space="preserve"> </w:t>
            </w:r>
            <w:r w:rsidR="00F556CB" w:rsidRPr="00372868">
              <w:rPr>
                <w:rStyle w:val="Balk1Char"/>
                <w:rFonts w:eastAsia="Calibri"/>
              </w:rPr>
              <w:t>175 ve 176 ncı</w:t>
            </w:r>
            <w:r w:rsidR="00AA5C8C" w:rsidRPr="00A23740">
              <w:t xml:space="preserve"> </w:t>
            </w:r>
            <w:r w:rsidR="00AA5C8C" w:rsidRPr="00A23740">
              <w:rPr>
                <w:rFonts w:eastAsia="Times New Roman"/>
                <w:b/>
                <w:color w:val="0000FF"/>
                <w:lang w:eastAsia="tr-TR"/>
              </w:rPr>
              <w:t>madde uyarınca yapılan</w:t>
            </w:r>
            <w:r w:rsidR="00AA5C8C" w:rsidRPr="00A23740">
              <w:t xml:space="preserve"> kıymet takdirinin tebliğinden </w:t>
            </w:r>
            <w:r w:rsidR="00AA5C8C" w:rsidRPr="00A23740">
              <w:rPr>
                <w:rStyle w:val="MaviChar"/>
              </w:rPr>
              <w:t>veya haciz tutanağının imza karşılığında kendisine</w:t>
            </w:r>
            <w:r w:rsidR="00AA5C8C" w:rsidRPr="00A23740">
              <w:rPr>
                <w:rStyle w:val="MaviChar"/>
                <w:lang w:val="tr-TR"/>
              </w:rPr>
              <w:t xml:space="preserve"> </w:t>
            </w:r>
            <w:r w:rsidR="00AA5C8C" w:rsidRPr="00A23740">
              <w:rPr>
                <w:rStyle w:val="MaviChar"/>
              </w:rPr>
              <w:t>tesliminden</w:t>
            </w:r>
            <w:r w:rsidR="00AA5C8C" w:rsidRPr="00A23740">
              <w:t xml:space="preserve"> itibaren </w:t>
            </w:r>
            <w:r w:rsidR="00AA5C8C" w:rsidRPr="00A23740">
              <w:rPr>
                <w:rFonts w:eastAsia="Times New Roman"/>
                <w:b/>
                <w:color w:val="0000FF"/>
                <w:szCs w:val="24"/>
                <w:lang w:eastAsia="tr-TR"/>
              </w:rPr>
              <w:t>bir hafta</w:t>
            </w:r>
            <w:r w:rsidR="00AA5C8C" w:rsidRPr="00A23740">
              <w:t xml:space="preserve"> içinde </w:t>
            </w:r>
            <w:r w:rsidR="00AA5C8C" w:rsidRPr="00372868">
              <w:rPr>
                <w:rStyle w:val="MaviChar"/>
              </w:rPr>
              <w:t>ve</w:t>
            </w:r>
            <w:r w:rsidR="00AA5C8C" w:rsidRPr="00A23740">
              <w:rPr>
                <w:rStyle w:val="MaviChar"/>
                <w:color w:val="70AD47"/>
              </w:rPr>
              <w:t xml:space="preserve"> </w:t>
            </w:r>
            <w:r w:rsidR="00AA5C8C" w:rsidRPr="00A23740">
              <w:rPr>
                <w:rStyle w:val="MaviChar"/>
              </w:rPr>
              <w:t>gerekli giderleri ödeyerek</w:t>
            </w:r>
            <w:r w:rsidR="00CE252B" w:rsidRPr="00A23740">
              <w:rPr>
                <w:rStyle w:val="MaviChar"/>
                <w:color w:val="70AD47"/>
              </w:rPr>
              <w:t>,</w:t>
            </w:r>
            <w:r w:rsidR="00AA5C8C" w:rsidRPr="00A23740">
              <w:t xml:space="preserve"> haczedilen malının rızaen satışı için kendisine yetki verilmesini talep edebilir. </w:t>
            </w:r>
            <w:r w:rsidR="00AA5C8C" w:rsidRPr="00A23740">
              <w:rPr>
                <w:rFonts w:eastAsia="Times New Roman"/>
                <w:b/>
                <w:color w:val="0000FF"/>
                <w:szCs w:val="24"/>
                <w:lang w:eastAsia="tr-TR"/>
              </w:rPr>
              <w:t xml:space="preserve">Bu talep, takip alacaklısı ile varsa rehinli alacaklılara </w:t>
            </w:r>
            <w:r w:rsidR="00AA5C8C" w:rsidRPr="00A23740">
              <w:rPr>
                <w:rStyle w:val="MaviChar"/>
              </w:rPr>
              <w:t>bildirilir</w:t>
            </w:r>
            <w:r w:rsidR="00AA5C8C" w:rsidRPr="00A23740">
              <w:rPr>
                <w:rFonts w:eastAsia="Times New Roman"/>
                <w:b/>
                <w:color w:val="0000FF"/>
                <w:szCs w:val="24"/>
                <w:lang w:eastAsia="tr-TR"/>
              </w:rPr>
              <w:t xml:space="preserve"> ve ayrıca UYAP elektronik satış portalında duyurulur.</w:t>
            </w:r>
          </w:p>
          <w:p w:rsidR="00AA5C8C" w:rsidRPr="00A23740" w:rsidRDefault="00AA5C8C" w:rsidP="009431FF">
            <w:pPr>
              <w:pStyle w:val="KIRMIZI"/>
              <w:rPr>
                <w:strike w:val="0"/>
                <w:lang w:val="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(2) </w:t>
            </w:r>
            <w:r w:rsidR="00CE252B" w:rsidRPr="00372868">
              <w:rPr>
                <w:rStyle w:val="MaviChar"/>
              </w:rPr>
              <w:t xml:space="preserve">Kıymet takdirinin </w:t>
            </w:r>
            <w:r w:rsidR="00F556CB" w:rsidRPr="00372868">
              <w:rPr>
                <w:rStyle w:val="MaviChar"/>
              </w:rPr>
              <w:t>179</w:t>
            </w:r>
            <w:r w:rsidR="00BD41B4">
              <w:rPr>
                <w:rStyle w:val="MaviChar"/>
                <w:lang w:val="tr-TR"/>
              </w:rPr>
              <w:t>,</w:t>
            </w:r>
            <w:r w:rsidR="00F556CB" w:rsidRPr="00A23740">
              <w:rPr>
                <w:rFonts w:eastAsia="Times New Roman"/>
                <w:b/>
                <w:color w:val="0000FF"/>
                <w:szCs w:val="24"/>
                <w:lang w:eastAsia="tr-TR"/>
              </w:rPr>
              <w:t xml:space="preserve"> </w:t>
            </w:r>
            <w:r w:rsidR="00F556CB" w:rsidRPr="00372868">
              <w:rPr>
                <w:rStyle w:val="MaviChar"/>
              </w:rPr>
              <w:t>219</w:t>
            </w:r>
            <w:r w:rsidRPr="00A23740">
              <w:rPr>
                <w:rStyle w:val="KIRMIZIChar"/>
                <w:rFonts w:eastAsia="Calibri"/>
                <w:strike w:val="0"/>
              </w:rPr>
              <w:t xml:space="preserve"> </w:t>
            </w:r>
            <w:r w:rsidRPr="00A23740">
              <w:rPr>
                <w:rStyle w:val="MaviChar"/>
              </w:rPr>
              <w:t>ve</w:t>
            </w:r>
            <w:r w:rsidR="00AF2FB7" w:rsidRPr="00A23740">
              <w:rPr>
                <w:rStyle w:val="MaviChar"/>
                <w:lang w:val="tr-TR"/>
              </w:rPr>
              <w:t xml:space="preserve"> </w:t>
            </w:r>
            <w:r w:rsidR="00AF2FB7" w:rsidRPr="00372868">
              <w:rPr>
                <w:rStyle w:val="MaviChar"/>
              </w:rPr>
              <w:t>222</w:t>
            </w:r>
            <w:r w:rsidR="00CE252B" w:rsidRPr="00372868">
              <w:rPr>
                <w:rStyle w:val="MaviChar"/>
              </w:rPr>
              <w:t xml:space="preserve"> nci</w:t>
            </w:r>
            <w:r w:rsidRPr="00A23740">
              <w:rPr>
                <w:rStyle w:val="MaviChar"/>
              </w:rPr>
              <w:t xml:space="preserve"> </w:t>
            </w:r>
            <w:r w:rsidRPr="00A23740">
              <w:rPr>
                <w:rFonts w:eastAsia="Times New Roman"/>
                <w:b/>
                <w:color w:val="0000FF"/>
                <w:szCs w:val="24"/>
                <w:lang w:eastAsia="tr-TR"/>
              </w:rPr>
              <w:t>maddeler uyarınca yapılması h</w:t>
            </w:r>
            <w:r w:rsidR="001263FC" w:rsidRPr="00A23740">
              <w:rPr>
                <w:rFonts w:eastAsia="Times New Roman"/>
                <w:b/>
                <w:color w:val="0000FF"/>
                <w:szCs w:val="24"/>
                <w:lang w:eastAsia="tr-TR"/>
              </w:rPr>
              <w:t>â</w:t>
            </w:r>
            <w:r w:rsidRPr="00A23740">
              <w:rPr>
                <w:rFonts w:eastAsia="Times New Roman"/>
                <w:b/>
                <w:color w:val="0000FF"/>
                <w:szCs w:val="24"/>
                <w:lang w:eastAsia="tr-TR"/>
              </w:rPr>
              <w:t xml:space="preserve">linde </w:t>
            </w:r>
            <w:r w:rsidRPr="00A23740">
              <w:rPr>
                <w:rStyle w:val="MaviChar"/>
              </w:rPr>
              <w:t>de</w:t>
            </w:r>
            <w:r w:rsidRPr="00A23740">
              <w:rPr>
                <w:rFonts w:eastAsia="Times New Roman"/>
                <w:b/>
                <w:color w:val="0000FF"/>
                <w:szCs w:val="24"/>
                <w:lang w:eastAsia="tr-TR"/>
              </w:rPr>
              <w:t xml:space="preserve"> borçlu, daha önce talep etmemiş olsa bile birinci fıkra uyarınca </w:t>
            </w:r>
            <w:r w:rsidR="000A49FB" w:rsidRPr="00A23740">
              <w:rPr>
                <w:rFonts w:eastAsia="Times New Roman"/>
                <w:b/>
                <w:color w:val="0000FF"/>
                <w:szCs w:val="24"/>
                <w:lang w:eastAsia="tr-TR"/>
              </w:rPr>
              <w:t xml:space="preserve">kendisine </w:t>
            </w:r>
            <w:r w:rsidRPr="00A23740">
              <w:rPr>
                <w:rFonts w:eastAsia="Times New Roman"/>
                <w:b/>
                <w:color w:val="0000FF"/>
                <w:szCs w:val="24"/>
                <w:lang w:eastAsia="tr-TR"/>
              </w:rPr>
              <w:t>satış yetkisi verilmesini isteyebilir.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pPr>
            <w:r w:rsidRPr="00A23740">
              <w:rPr>
                <w:rStyle w:val="MaviChar"/>
              </w:rPr>
              <w:t>(3)</w:t>
            </w:r>
            <w:r w:rsidRPr="00A23740">
              <w:t xml:space="preserve"> Kıymet takdiri yapılmadığı durumlarda </w:t>
            </w:r>
            <w:r w:rsidR="005F10B2" w:rsidRPr="00A23740">
              <w:t>borçlu</w:t>
            </w:r>
            <w:r w:rsidR="005F10B2" w:rsidRPr="00A23740">
              <w:rPr>
                <w:rStyle w:val="MaviChar"/>
              </w:rPr>
              <w:t>,</w:t>
            </w:r>
            <w:r w:rsidR="005F10B2" w:rsidRPr="00A23740">
              <w:t xml:space="preserve"> </w:t>
            </w:r>
            <w:r w:rsidRPr="00A23740">
              <w:t>kıymet takdiri</w:t>
            </w:r>
            <w:r w:rsidR="005F10B2" w:rsidRPr="00A23740">
              <w:rPr>
                <w:rStyle w:val="MaviChar"/>
              </w:rPr>
              <w:t>nin</w:t>
            </w:r>
            <w:r w:rsidRPr="00A23740">
              <w:t xml:space="preserve"> yapılmasını </w:t>
            </w:r>
            <w:r w:rsidR="005F10B2" w:rsidRPr="00A23740">
              <w:rPr>
                <w:rStyle w:val="MaviChar"/>
              </w:rPr>
              <w:t>talep edebilir</w:t>
            </w:r>
            <w:r w:rsidRPr="00A23740">
              <w:t>.</w:t>
            </w:r>
          </w:p>
          <w:p w:rsidR="00AA5C8C" w:rsidRPr="00A23740" w:rsidRDefault="00AA5C8C" w:rsidP="009431FF">
            <w:pPr>
              <w:tabs>
                <w:tab w:val="left" w:pos="567"/>
              </w:tabs>
              <w:rPr>
                <w:rFonts w:eastAsia="Times New Roman"/>
                <w:b/>
                <w:color w:val="0000FF"/>
                <w:szCs w:val="24"/>
                <w:lang w:eastAsia="tr-TR"/>
              </w:rPr>
            </w:pPr>
          </w:p>
          <w:p w:rsidR="00F06E05" w:rsidRPr="00A23740" w:rsidRDefault="00F06E05" w:rsidP="009431FF">
            <w:pPr>
              <w:pStyle w:val="Mavi"/>
              <w:rPr>
                <w:rFonts w:eastAsia="Times New Roman"/>
                <w:lang w:eastAsia="tr-TR"/>
              </w:rPr>
            </w:pPr>
            <w:r w:rsidRPr="00A23740">
              <w:t>(4)</w:t>
            </w:r>
            <w:r w:rsidRPr="00A23740">
              <w:rPr>
                <w:rFonts w:eastAsia="Times New Roman"/>
                <w:lang w:eastAsia="tr-TR"/>
              </w:rPr>
              <w:t xml:space="preserve"> </w:t>
            </w:r>
            <w:r w:rsidRPr="00A23740">
              <w:rPr>
                <w:rFonts w:eastAsia="Times New Roman"/>
                <w:lang w:val="tr-TR" w:eastAsia="tr-TR"/>
              </w:rPr>
              <w:t>Malın</w:t>
            </w:r>
            <w:r w:rsidRPr="00A23740">
              <w:rPr>
                <w:rFonts w:eastAsia="Times New Roman"/>
                <w:lang w:eastAsia="tr-TR"/>
              </w:rPr>
              <w:t xml:space="preserve"> </w:t>
            </w:r>
            <w:r w:rsidRPr="00A23740">
              <w:rPr>
                <w:rFonts w:eastAsia="Times New Roman"/>
                <w:lang w:val="tr-TR" w:eastAsia="tr-TR"/>
              </w:rPr>
              <w:t xml:space="preserve">birden fazla takip </w:t>
            </w:r>
            <w:r w:rsidRPr="00A23740">
              <w:rPr>
                <w:rFonts w:eastAsia="Times New Roman"/>
                <w:lang w:eastAsia="tr-TR"/>
              </w:rPr>
              <w:t xml:space="preserve">dosyasında hacizli olması </w:t>
            </w:r>
            <w:r w:rsidRPr="00A23740">
              <w:rPr>
                <w:rFonts w:eastAsia="Times New Roman"/>
                <w:lang w:val="tr-TR" w:eastAsia="tr-TR"/>
              </w:rPr>
              <w:t>h</w:t>
            </w:r>
            <w:r w:rsidR="001263FC" w:rsidRPr="00A23740">
              <w:rPr>
                <w:rFonts w:eastAsia="Times New Roman"/>
                <w:lang w:val="tr-TR" w:eastAsia="tr-TR"/>
              </w:rPr>
              <w:t>â</w:t>
            </w:r>
            <w:r w:rsidRPr="00A23740">
              <w:rPr>
                <w:rFonts w:eastAsia="Times New Roman"/>
                <w:lang w:val="tr-TR" w:eastAsia="tr-TR"/>
              </w:rPr>
              <w:t>linde</w:t>
            </w:r>
            <w:r w:rsidRPr="00A23740">
              <w:rPr>
                <w:rFonts w:eastAsia="Times New Roman"/>
                <w:lang w:eastAsia="tr-TR"/>
              </w:rPr>
              <w:t xml:space="preserve"> </w:t>
            </w:r>
            <w:r w:rsidRPr="00A23740">
              <w:rPr>
                <w:rFonts w:eastAsia="Times New Roman"/>
                <w:lang w:val="tr-TR" w:eastAsia="tr-TR"/>
              </w:rPr>
              <w:t xml:space="preserve">rızai </w:t>
            </w:r>
            <w:r w:rsidRPr="00A23740">
              <w:rPr>
                <w:rFonts w:eastAsia="Times New Roman"/>
                <w:lang w:eastAsia="tr-TR"/>
              </w:rPr>
              <w:t>satış</w:t>
            </w:r>
            <w:r w:rsidRPr="00A23740">
              <w:rPr>
                <w:rFonts w:eastAsia="Times New Roman"/>
                <w:lang w:val="tr-TR" w:eastAsia="tr-TR"/>
              </w:rPr>
              <w:t xml:space="preserve"> yetkisi,</w:t>
            </w:r>
            <w:r w:rsidRPr="00A23740">
              <w:rPr>
                <w:rFonts w:eastAsia="Times New Roman"/>
                <w:lang w:eastAsia="tr-TR"/>
              </w:rPr>
              <w:t xml:space="preserve"> kıymet takdirinin </w:t>
            </w:r>
            <w:r w:rsidRPr="00A23740">
              <w:t>ilk yapıldığı takip dosyasından talep edilir.</w:t>
            </w:r>
            <w:r w:rsidRPr="00A23740">
              <w:rPr>
                <w:lang w:val="tr-TR"/>
              </w:rPr>
              <w:t xml:space="preserve"> </w:t>
            </w:r>
            <w:r w:rsidRPr="00A23740">
              <w:t>Bu h</w:t>
            </w:r>
            <w:r w:rsidR="001263FC" w:rsidRPr="00A23740">
              <w:rPr>
                <w:lang w:val="tr-TR"/>
              </w:rPr>
              <w:t>â</w:t>
            </w:r>
            <w:r w:rsidRPr="00A23740">
              <w:t>lde bu dosyalardan herhangi birinde satış talep edilmişse, diğer dosyalardan rızai satış yetkisi talep edilemez.</w:t>
            </w:r>
          </w:p>
          <w:p w:rsidR="00F06E05" w:rsidRPr="00A23740" w:rsidRDefault="00F06E05" w:rsidP="009431FF">
            <w:pPr>
              <w:tabs>
                <w:tab w:val="left" w:pos="567"/>
              </w:tabs>
              <w:rPr>
                <w:rFonts w:eastAsia="Times New Roman"/>
                <w:b/>
                <w:color w:val="0000FF"/>
                <w:szCs w:val="24"/>
                <w:lang w:eastAsia="tr-TR"/>
              </w:rPr>
            </w:pPr>
          </w:p>
          <w:p w:rsidR="00AA5C8C" w:rsidRPr="00A23740" w:rsidRDefault="00F06E05" w:rsidP="009431FF">
            <w:pPr>
              <w:tabs>
                <w:tab w:val="left" w:pos="567"/>
              </w:tabs>
              <w:rPr>
                <w:rFonts w:eastAsia="Times New Roman"/>
                <w:b/>
                <w:color w:val="0000FF"/>
                <w:szCs w:val="24"/>
                <w:lang w:eastAsia="tr-TR"/>
              </w:rPr>
            </w:pPr>
            <w:r w:rsidRPr="00A23740">
              <w:rPr>
                <w:rStyle w:val="MaviChar"/>
              </w:rPr>
              <w:t>(5</w:t>
            </w:r>
            <w:r w:rsidR="00AA5C8C" w:rsidRPr="00A23740">
              <w:rPr>
                <w:rStyle w:val="MaviChar"/>
              </w:rPr>
              <w:t>)</w:t>
            </w:r>
            <w:r w:rsidR="00AA5C8C" w:rsidRPr="00A23740">
              <w:rPr>
                <w:rFonts w:eastAsia="Times New Roman"/>
                <w:b/>
                <w:color w:val="0000FF"/>
                <w:szCs w:val="24"/>
                <w:lang w:eastAsia="tr-TR"/>
              </w:rPr>
              <w:t xml:space="preserve"> Rehnin paraya çevrilmesi yoluyla takipte </w:t>
            </w:r>
            <w:r w:rsidR="00AA5C8C" w:rsidRPr="00A23740">
              <w:rPr>
                <w:rStyle w:val="MaviChar"/>
              </w:rPr>
              <w:t>kendisine</w:t>
            </w:r>
            <w:r w:rsidR="00AA5C8C" w:rsidRPr="00A23740">
              <w:rPr>
                <w:rFonts w:eastAsia="Times New Roman"/>
                <w:b/>
                <w:color w:val="0000FF"/>
                <w:szCs w:val="24"/>
                <w:lang w:eastAsia="tr-TR"/>
              </w:rPr>
              <w:t xml:space="preserve"> satış yetkisi verilmesini </w:t>
            </w:r>
            <w:r w:rsidR="00CE252B" w:rsidRPr="00372868">
              <w:rPr>
                <w:rStyle w:val="MaviChar"/>
              </w:rPr>
              <w:t>ancak</w:t>
            </w:r>
            <w:r w:rsidR="00CE252B" w:rsidRPr="00A23740">
              <w:rPr>
                <w:rFonts w:eastAsia="Times New Roman"/>
                <w:b/>
                <w:color w:val="70AD47"/>
                <w:szCs w:val="24"/>
                <w:lang w:eastAsia="tr-TR"/>
              </w:rPr>
              <w:t xml:space="preserve"> </w:t>
            </w:r>
            <w:r w:rsidR="000A49FB" w:rsidRPr="00A23740">
              <w:rPr>
                <w:rFonts w:eastAsia="Times New Roman"/>
                <w:b/>
                <w:color w:val="0000FF"/>
                <w:szCs w:val="24"/>
                <w:lang w:eastAsia="tr-TR"/>
              </w:rPr>
              <w:t>rehinli malın maliki talep edebilir.</w:t>
            </w:r>
          </w:p>
          <w:p w:rsidR="00AA5C8C" w:rsidRPr="00A23740" w:rsidRDefault="00AA5C8C" w:rsidP="009431FF">
            <w:pPr>
              <w:pStyle w:val="YEL"/>
              <w:rPr>
                <w:rFonts w:eastAsia="Times New Roman"/>
                <w:lang w:val="tr-TR" w:eastAsia="tr-TR"/>
              </w:rPr>
            </w:pPr>
          </w:p>
          <w:p w:rsidR="00CE252B" w:rsidRPr="00A23740" w:rsidRDefault="00CE252B" w:rsidP="009431FF">
            <w:pPr>
              <w:pStyle w:val="Mavi"/>
              <w:rPr>
                <w:rFonts w:eastAsia="Times New Roman"/>
                <w:lang w:eastAsia="tr-TR"/>
              </w:rPr>
            </w:pPr>
            <w:r w:rsidRPr="00A23740">
              <w:rPr>
                <w:rFonts w:eastAsia="Times New Roman"/>
                <w:lang w:eastAsia="tr-TR"/>
              </w:rPr>
              <w:t>(6) Haczedilen malın aile konutu olması hâlind</w:t>
            </w:r>
            <w:r w:rsidRPr="00372868">
              <w:t>e, satış yetkisi ancak eşinin açık rızasıyla verilir.</w:t>
            </w:r>
          </w:p>
          <w:p w:rsidR="00AA5C8C" w:rsidRPr="00A23740" w:rsidRDefault="00AA5C8C" w:rsidP="009431FF">
            <w:pPr>
              <w:pStyle w:val="YEL"/>
              <w:rPr>
                <w:color w:val="FF0000"/>
                <w:lang w:val="tr-TR" w:eastAsia="tr-TR"/>
              </w:rPr>
            </w:pPr>
          </w:p>
          <w:p w:rsidR="008738BA" w:rsidRPr="00A23740" w:rsidRDefault="00F06E05" w:rsidP="009431FF">
            <w:pPr>
              <w:pStyle w:val="Mavi"/>
              <w:rPr>
                <w:color w:val="FF0000"/>
              </w:rPr>
            </w:pPr>
            <w:r w:rsidRPr="00A23740">
              <w:t>(7</w:t>
            </w:r>
            <w:r w:rsidR="008738BA" w:rsidRPr="00A23740">
              <w:t>) Kanundan</w:t>
            </w:r>
            <w:r w:rsidR="008738BA" w:rsidRPr="00A23740">
              <w:rPr>
                <w:lang w:val="tr-TR"/>
              </w:rPr>
              <w:t xml:space="preserve"> </w:t>
            </w:r>
            <w:r w:rsidR="008738BA" w:rsidRPr="00A23740">
              <w:t>veya tapu kütüğüne şerh verilen sözleşmeden doğan önalım hakkı bulunan h</w:t>
            </w:r>
            <w:r w:rsidR="000A49FB" w:rsidRPr="00A23740">
              <w:rPr>
                <w:lang w:val="tr-TR"/>
              </w:rPr>
              <w:t>â</w:t>
            </w:r>
            <w:r w:rsidR="008738BA" w:rsidRPr="00A23740">
              <w:t>llerde rızai satış usulü uygulanamaz.</w:t>
            </w:r>
          </w:p>
          <w:p w:rsidR="008738BA" w:rsidRPr="00A23740" w:rsidRDefault="008738BA" w:rsidP="009431FF">
            <w:pPr>
              <w:pStyle w:val="YEL"/>
              <w:rPr>
                <w:color w:val="FF0000"/>
                <w:lang w:val="tr-TR" w:eastAsia="tr-TR"/>
              </w:rPr>
            </w:pP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pStyle w:val="KIRMIZI"/>
              <w:rPr>
                <w:b w:val="0"/>
                <w:lang w:eastAsia="tr-TR"/>
              </w:rPr>
            </w:pPr>
          </w:p>
        </w:tc>
      </w:tr>
      <w:tr w:rsidR="006203E7" w:rsidRPr="00A23740" w:rsidTr="009431FF">
        <w:tblPrEx>
          <w:tblLook w:val="01E0" w:firstRow="1" w:lastRow="1" w:firstColumn="1" w:lastColumn="1" w:noHBand="0" w:noVBand="0"/>
        </w:tblPrEx>
        <w:tc>
          <w:tcPr>
            <w:tcW w:w="5000" w:type="pct"/>
            <w:gridSpan w:val="2"/>
            <w:shd w:val="clear" w:color="auto" w:fill="DEEAF6"/>
          </w:tcPr>
          <w:p w:rsidR="006203E7" w:rsidRPr="00A23740" w:rsidRDefault="006203E7" w:rsidP="009431FF">
            <w:pPr>
              <w:ind w:firstLine="709"/>
              <w:rPr>
                <w:rFonts w:eastAsia="Times New Roman"/>
                <w:color w:val="000000"/>
                <w:szCs w:val="24"/>
                <w:lang w:eastAsia="tr-TR"/>
              </w:rPr>
            </w:pPr>
          </w:p>
          <w:p w:rsidR="00AA5824" w:rsidRPr="00A23740" w:rsidRDefault="006203E7"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B37BC2" w:rsidRPr="00A23740">
              <w:rPr>
                <w:rFonts w:eastAsia="Times New Roman"/>
                <w:b/>
                <w:color w:val="000000"/>
                <w:szCs w:val="24"/>
                <w:lang w:eastAsia="tr-TR"/>
              </w:rPr>
              <w:t>23</w:t>
            </w:r>
            <w:r w:rsidR="0037744E" w:rsidRPr="00A23740">
              <w:rPr>
                <w:rFonts w:eastAsia="Times New Roman"/>
                <w:b/>
                <w:color w:val="000000"/>
                <w:szCs w:val="24"/>
                <w:lang w:eastAsia="tr-TR"/>
              </w:rPr>
              <w:t>8</w:t>
            </w:r>
            <w:r w:rsidRPr="00A23740">
              <w:rPr>
                <w:rFonts w:eastAsia="Times New Roman"/>
                <w:color w:val="000000"/>
                <w:szCs w:val="24"/>
                <w:lang w:eastAsia="tr-TR"/>
              </w:rPr>
              <w:t xml:space="preserve">- Maddeyle, </w:t>
            </w:r>
            <w:r w:rsidR="001F11B8" w:rsidRPr="00A23740">
              <w:rPr>
                <w:rFonts w:eastAsia="Times New Roman"/>
                <w:color w:val="000000"/>
                <w:szCs w:val="24"/>
                <w:lang w:eastAsia="tr-TR"/>
              </w:rPr>
              <w:t xml:space="preserve">borçluya rızaen satış </w:t>
            </w:r>
            <w:r w:rsidR="00477CC8" w:rsidRPr="00A23740">
              <w:rPr>
                <w:rFonts w:eastAsia="Times New Roman"/>
                <w:color w:val="000000"/>
                <w:szCs w:val="24"/>
                <w:lang w:eastAsia="tr-TR"/>
              </w:rPr>
              <w:t>yetki</w:t>
            </w:r>
            <w:r w:rsidR="001F11B8" w:rsidRPr="00A23740">
              <w:rPr>
                <w:rFonts w:eastAsia="Times New Roman"/>
                <w:color w:val="000000"/>
                <w:szCs w:val="24"/>
                <w:lang w:eastAsia="tr-TR"/>
              </w:rPr>
              <w:t xml:space="preserve">si verilmesi </w:t>
            </w:r>
            <w:r w:rsidR="00477CC8" w:rsidRPr="00A23740">
              <w:rPr>
                <w:rFonts w:eastAsia="Times New Roman"/>
                <w:color w:val="000000"/>
                <w:szCs w:val="24"/>
                <w:lang w:eastAsia="tr-TR"/>
              </w:rPr>
              <w:t>talebi</w:t>
            </w:r>
            <w:r w:rsidR="00AA5824" w:rsidRPr="00A23740">
              <w:rPr>
                <w:rFonts w:eastAsia="Times New Roman"/>
                <w:color w:val="000000"/>
                <w:szCs w:val="24"/>
                <w:lang w:eastAsia="tr-TR"/>
              </w:rPr>
              <w:t>ne ilişkin hususlar</w:t>
            </w:r>
            <w:r w:rsidR="00477CC8" w:rsidRPr="00A23740">
              <w:rPr>
                <w:rFonts w:eastAsia="Times New Roman"/>
                <w:color w:val="000000"/>
                <w:szCs w:val="24"/>
                <w:lang w:eastAsia="tr-TR"/>
              </w:rPr>
              <w:t xml:space="preserve"> </w:t>
            </w:r>
            <w:r w:rsidRPr="00A23740">
              <w:rPr>
                <w:rFonts w:eastAsia="Times New Roman"/>
                <w:color w:val="000000"/>
                <w:szCs w:val="24"/>
                <w:lang w:eastAsia="tr-TR"/>
              </w:rPr>
              <w:t>düzenlenmektedir. Hüküm, 2004 sayılı Kanunun</w:t>
            </w:r>
            <w:r w:rsidR="00AA5824" w:rsidRPr="00A23740">
              <w:rPr>
                <w:rFonts w:eastAsia="Times New Roman"/>
                <w:color w:val="000000"/>
                <w:szCs w:val="24"/>
                <w:lang w:eastAsia="tr-TR"/>
              </w:rPr>
              <w:t xml:space="preserve"> 111/a</w:t>
            </w:r>
            <w:r w:rsidRPr="00A23740">
              <w:rPr>
                <w:rFonts w:eastAsia="Times New Roman"/>
                <w:color w:val="000000"/>
                <w:szCs w:val="24"/>
                <w:lang w:eastAsia="tr-TR"/>
              </w:rPr>
              <w:t xml:space="preserve"> maddesine </w:t>
            </w:r>
            <w:r w:rsidR="00AA5824" w:rsidRPr="00A23740">
              <w:rPr>
                <w:rFonts w:eastAsia="Times New Roman"/>
                <w:color w:val="000000"/>
                <w:szCs w:val="24"/>
                <w:lang w:eastAsia="tr-TR"/>
              </w:rPr>
              <w:t xml:space="preserve">kısmen </w:t>
            </w:r>
            <w:r w:rsidRPr="00A23740">
              <w:rPr>
                <w:rFonts w:eastAsia="Times New Roman"/>
                <w:color w:val="000000"/>
                <w:szCs w:val="24"/>
                <w:lang w:eastAsia="tr-TR"/>
              </w:rPr>
              <w:t>karşılık gelmektedir.</w:t>
            </w:r>
            <w:r w:rsidR="00AA5824" w:rsidRPr="00A23740">
              <w:rPr>
                <w:rFonts w:eastAsia="Times New Roman"/>
                <w:color w:val="000000"/>
                <w:szCs w:val="24"/>
                <w:lang w:eastAsia="tr-TR"/>
              </w:rPr>
              <w:t xml:space="preserve"> 2004 sayılı Kanunda </w:t>
            </w:r>
            <w:r w:rsidR="00761487" w:rsidRPr="00A23740">
              <w:rPr>
                <w:rFonts w:eastAsia="Times New Roman"/>
                <w:color w:val="000000"/>
                <w:szCs w:val="24"/>
                <w:lang w:eastAsia="tr-TR"/>
              </w:rPr>
              <w:t xml:space="preserve">borçluya satış yetkisi verilmesine ilişkin hükümler ilk kez 7343 sayılı Kanunla </w:t>
            </w:r>
            <w:r w:rsidR="00AA5824" w:rsidRPr="00A23740">
              <w:rPr>
                <w:rFonts w:eastAsia="Times New Roman"/>
                <w:color w:val="000000"/>
                <w:szCs w:val="24"/>
                <w:lang w:eastAsia="tr-TR"/>
              </w:rPr>
              <w:t xml:space="preserve">düzenlenmiş ve </w:t>
            </w:r>
            <w:r w:rsidR="004A4F58" w:rsidRPr="00A23740">
              <w:rPr>
                <w:rFonts w:eastAsia="Times New Roman"/>
                <w:color w:val="000000"/>
                <w:szCs w:val="24"/>
                <w:lang w:eastAsia="tr-TR"/>
              </w:rPr>
              <w:t xml:space="preserve">uygulamada bu usulün </w:t>
            </w:r>
            <w:r w:rsidR="001F11B8" w:rsidRPr="00A23740">
              <w:rPr>
                <w:rFonts w:eastAsia="Times New Roman"/>
                <w:color w:val="000000"/>
                <w:szCs w:val="24"/>
                <w:lang w:eastAsia="tr-TR"/>
              </w:rPr>
              <w:t xml:space="preserve">rağbet </w:t>
            </w:r>
            <w:r w:rsidR="004A4F58" w:rsidRPr="00A23740">
              <w:rPr>
                <w:rFonts w:eastAsia="Times New Roman"/>
                <w:color w:val="000000"/>
                <w:szCs w:val="24"/>
                <w:lang w:eastAsia="tr-TR"/>
              </w:rPr>
              <w:t>görmesi nedeniyle Bilim Komisyonunca kapsamı ile usul ve esasları genişletilmek suretiyle muhafaza edilmesinin yararlı olacağı kabul edilmiştir.</w:t>
            </w:r>
          </w:p>
          <w:p w:rsidR="00AA5824" w:rsidRPr="00A23740" w:rsidRDefault="00AA5824" w:rsidP="009431FF">
            <w:pPr>
              <w:ind w:firstLine="709"/>
              <w:rPr>
                <w:rFonts w:eastAsia="Times New Roman"/>
                <w:color w:val="000000"/>
                <w:szCs w:val="24"/>
                <w:lang w:eastAsia="tr-TR"/>
              </w:rPr>
            </w:pPr>
            <w:r w:rsidRPr="00A23740">
              <w:rPr>
                <w:rFonts w:eastAsia="Times New Roman"/>
                <w:color w:val="000000"/>
                <w:szCs w:val="24"/>
                <w:lang w:eastAsia="tr-TR"/>
              </w:rPr>
              <w:t>Birinci fıkrayla,</w:t>
            </w:r>
            <w:r w:rsidR="004A4F58" w:rsidRPr="00A23740">
              <w:rPr>
                <w:rFonts w:eastAsia="Times New Roman"/>
                <w:color w:val="000000"/>
                <w:szCs w:val="24"/>
                <w:lang w:eastAsia="tr-TR"/>
              </w:rPr>
              <w:t xml:space="preserve"> yetki talebine ilişkin esaslar düzenlenmektedir.</w:t>
            </w:r>
            <w:r w:rsidRPr="00A23740">
              <w:t xml:space="preserve"> </w:t>
            </w:r>
            <w:r w:rsidR="004A4F58" w:rsidRPr="00A23740">
              <w:t xml:space="preserve">Hükme göre </w:t>
            </w:r>
            <w:r w:rsidRPr="00A23740">
              <w:rPr>
                <w:rFonts w:eastAsia="Times New Roman"/>
                <w:color w:val="000000"/>
                <w:szCs w:val="24"/>
                <w:lang w:eastAsia="tr-TR"/>
              </w:rPr>
              <w:t xml:space="preserve">borçlu </w:t>
            </w:r>
            <w:r w:rsidR="009D62C8" w:rsidRPr="00D60C1D">
              <w:rPr>
                <w:rStyle w:val="KonuBalChar"/>
                <w:rFonts w:eastAsia="Calibri"/>
                <w:b w:val="0"/>
                <w:color w:val="000000"/>
              </w:rPr>
              <w:t>175 ve 176 ncı</w:t>
            </w:r>
            <w:r w:rsidR="009D62C8" w:rsidRPr="00A23740">
              <w:t xml:space="preserve"> </w:t>
            </w:r>
            <w:r w:rsidRPr="00A23740">
              <w:rPr>
                <w:rFonts w:eastAsia="Times New Roman"/>
                <w:color w:val="000000"/>
                <w:szCs w:val="24"/>
                <w:lang w:eastAsia="tr-TR"/>
              </w:rPr>
              <w:t>madde</w:t>
            </w:r>
            <w:r w:rsidR="004A4F58" w:rsidRPr="00A23740">
              <w:rPr>
                <w:rFonts w:eastAsia="Times New Roman"/>
                <w:color w:val="000000"/>
                <w:szCs w:val="24"/>
                <w:lang w:eastAsia="tr-TR"/>
              </w:rPr>
              <w:t>ler</w:t>
            </w:r>
            <w:r w:rsidRPr="00A23740">
              <w:rPr>
                <w:rFonts w:eastAsia="Times New Roman"/>
                <w:color w:val="000000"/>
                <w:szCs w:val="24"/>
                <w:lang w:eastAsia="tr-TR"/>
              </w:rPr>
              <w:t xml:space="preserve"> uyarınca yapılan kıymet takdirinin tebliğinden </w:t>
            </w:r>
            <w:r w:rsidRPr="00A23740">
              <w:rPr>
                <w:rFonts w:eastAsia="Times New Roman"/>
                <w:bCs/>
                <w:color w:val="000000"/>
                <w:lang w:eastAsia="tr-TR"/>
              </w:rPr>
              <w:t>veya haciz tutanağının imza karşılığında kendisine tesliminden</w:t>
            </w:r>
            <w:r w:rsidRPr="00A23740">
              <w:rPr>
                <w:rFonts w:eastAsia="Times New Roman"/>
                <w:color w:val="000000"/>
                <w:szCs w:val="24"/>
                <w:lang w:eastAsia="tr-TR"/>
              </w:rPr>
              <w:t xml:space="preserve"> itibaren bir hafta içinde </w:t>
            </w:r>
            <w:r w:rsidRPr="00A23740">
              <w:rPr>
                <w:rFonts w:eastAsia="Times New Roman"/>
                <w:bCs/>
                <w:color w:val="000000"/>
                <w:lang w:eastAsia="tr-TR"/>
              </w:rPr>
              <w:t>ve gerekli giderleri ödeyerek</w:t>
            </w:r>
            <w:r w:rsidR="001F11B8" w:rsidRPr="00A23740">
              <w:rPr>
                <w:rFonts w:eastAsia="Times New Roman"/>
                <w:bCs/>
                <w:color w:val="000000"/>
                <w:lang w:eastAsia="tr-TR"/>
              </w:rPr>
              <w:t>,</w:t>
            </w:r>
            <w:r w:rsidRPr="00A23740">
              <w:rPr>
                <w:rFonts w:eastAsia="Times New Roman"/>
                <w:color w:val="000000"/>
                <w:szCs w:val="24"/>
                <w:lang w:eastAsia="tr-TR"/>
              </w:rPr>
              <w:t xml:space="preserve"> haczedilen malının rızaen satışı için kendisine yetki verilmesini talep edebilir. Bu talep, </w:t>
            </w:r>
            <w:r w:rsidR="006B0026" w:rsidRPr="00A23740">
              <w:rPr>
                <w:rFonts w:eastAsia="Times New Roman"/>
                <w:color w:val="000000"/>
                <w:szCs w:val="24"/>
                <w:lang w:eastAsia="tr-TR"/>
              </w:rPr>
              <w:t xml:space="preserve">menfaatlerinin bulunması nedeniyle </w:t>
            </w:r>
            <w:r w:rsidRPr="00A23740">
              <w:rPr>
                <w:rFonts w:eastAsia="Times New Roman"/>
                <w:color w:val="000000"/>
                <w:szCs w:val="24"/>
                <w:lang w:eastAsia="tr-TR"/>
              </w:rPr>
              <w:t xml:space="preserve">takip alacaklısı ile varsa rehinli alacaklılara </w:t>
            </w:r>
            <w:r w:rsidRPr="00A23740">
              <w:rPr>
                <w:rFonts w:eastAsia="Times New Roman"/>
                <w:bCs/>
                <w:color w:val="000000"/>
                <w:lang w:eastAsia="tr-TR"/>
              </w:rPr>
              <w:t>bildirilir</w:t>
            </w:r>
            <w:r w:rsidR="006B0026" w:rsidRPr="00A23740">
              <w:rPr>
                <w:rFonts w:eastAsia="Times New Roman"/>
                <w:color w:val="000000"/>
                <w:szCs w:val="24"/>
                <w:lang w:eastAsia="tr-TR"/>
              </w:rPr>
              <w:t xml:space="preserve">. Ayrıca bu talep </w:t>
            </w:r>
            <w:r w:rsidRPr="00A23740">
              <w:rPr>
                <w:rFonts w:eastAsia="Times New Roman"/>
                <w:color w:val="000000"/>
                <w:szCs w:val="24"/>
                <w:lang w:eastAsia="tr-TR"/>
              </w:rPr>
              <w:t>UYAP elektronik satış portalında duyurulur.</w:t>
            </w:r>
            <w:r w:rsidR="00D449A9" w:rsidRPr="00A23740">
              <w:rPr>
                <w:rFonts w:eastAsia="Times New Roman"/>
                <w:color w:val="000000"/>
                <w:szCs w:val="24"/>
                <w:lang w:eastAsia="tr-TR"/>
              </w:rPr>
              <w:t xml:space="preserve"> 2004 sayılı Kanunda yer alan ve talebin kıymet takdirinin tebliğinden itibaren yapılmasına ilişkin hüküm madde atfı yapılmak suretiyle düzenlenmektedir. </w:t>
            </w:r>
            <w:r w:rsidR="001E4A13" w:rsidRPr="00A23740">
              <w:rPr>
                <w:rFonts w:eastAsia="Times New Roman"/>
                <w:color w:val="000000"/>
                <w:szCs w:val="24"/>
                <w:lang w:eastAsia="tr-TR"/>
              </w:rPr>
              <w:t xml:space="preserve">Rızaen satış usulünün taşınırlar hakkında da uygulanacağı dikkate alındığında ayrıca </w:t>
            </w:r>
            <w:r w:rsidR="00D449A9" w:rsidRPr="00A23740">
              <w:rPr>
                <w:rFonts w:eastAsia="Times New Roman"/>
                <w:color w:val="000000"/>
                <w:szCs w:val="24"/>
                <w:lang w:eastAsia="tr-TR"/>
              </w:rPr>
              <w:t xml:space="preserve">hükme, haciz tutanağının imza karşılığında borçluya tesliminden itibaren de </w:t>
            </w:r>
            <w:r w:rsidR="001E4A13" w:rsidRPr="00A23740">
              <w:rPr>
                <w:rFonts w:eastAsia="Times New Roman"/>
                <w:color w:val="000000"/>
                <w:szCs w:val="24"/>
                <w:lang w:eastAsia="tr-TR"/>
              </w:rPr>
              <w:t xml:space="preserve">yetki talebinin </w:t>
            </w:r>
            <w:r w:rsidR="00D449A9" w:rsidRPr="00A23740">
              <w:rPr>
                <w:rFonts w:eastAsia="Times New Roman"/>
                <w:color w:val="000000"/>
                <w:szCs w:val="24"/>
                <w:lang w:eastAsia="tr-TR"/>
              </w:rPr>
              <w:t xml:space="preserve">yapılabileceği </w:t>
            </w:r>
            <w:r w:rsidR="001F11B8" w:rsidRPr="00A23740">
              <w:rPr>
                <w:rFonts w:eastAsia="Times New Roman"/>
                <w:color w:val="000000"/>
                <w:szCs w:val="24"/>
                <w:lang w:eastAsia="tr-TR"/>
              </w:rPr>
              <w:t xml:space="preserve">yolunda bir hüküm </w:t>
            </w:r>
            <w:r w:rsidR="00D449A9" w:rsidRPr="00A23740">
              <w:rPr>
                <w:rFonts w:eastAsia="Times New Roman"/>
                <w:color w:val="000000"/>
                <w:szCs w:val="24"/>
                <w:lang w:eastAsia="tr-TR"/>
              </w:rPr>
              <w:t>e</w:t>
            </w:r>
            <w:r w:rsidR="001E4A13" w:rsidRPr="00A23740">
              <w:rPr>
                <w:rFonts w:eastAsia="Times New Roman"/>
                <w:color w:val="000000"/>
                <w:szCs w:val="24"/>
                <w:lang w:eastAsia="tr-TR"/>
              </w:rPr>
              <w:t>klenmektedir.</w:t>
            </w:r>
          </w:p>
          <w:p w:rsidR="006B0026" w:rsidRPr="00A23740" w:rsidRDefault="006B0026" w:rsidP="009431FF">
            <w:pPr>
              <w:ind w:firstLine="709"/>
              <w:rPr>
                <w:rFonts w:eastAsia="Times New Roman"/>
                <w:color w:val="000000"/>
                <w:szCs w:val="24"/>
                <w:lang w:eastAsia="tr-TR"/>
              </w:rPr>
            </w:pPr>
            <w:r w:rsidRPr="00A23740">
              <w:rPr>
                <w:rFonts w:eastAsia="Times New Roman"/>
                <w:color w:val="000000"/>
                <w:szCs w:val="24"/>
                <w:lang w:eastAsia="tr-TR"/>
              </w:rPr>
              <w:t>İkinci fıkrayla, yeni kıymet takdirinin yapıldığı h</w:t>
            </w:r>
            <w:r w:rsidR="00001DC7" w:rsidRPr="00A23740">
              <w:rPr>
                <w:rFonts w:eastAsia="Times New Roman"/>
                <w:color w:val="000000"/>
                <w:szCs w:val="24"/>
                <w:lang w:eastAsia="tr-TR"/>
              </w:rPr>
              <w:t>â</w:t>
            </w:r>
            <w:r w:rsidRPr="00A23740">
              <w:rPr>
                <w:rFonts w:eastAsia="Times New Roman"/>
                <w:color w:val="000000"/>
                <w:szCs w:val="24"/>
                <w:lang w:eastAsia="tr-TR"/>
              </w:rPr>
              <w:t>llerde</w:t>
            </w:r>
            <w:r w:rsidR="001F11B8" w:rsidRPr="00A23740">
              <w:rPr>
                <w:rFonts w:eastAsia="Times New Roman"/>
                <w:color w:val="000000"/>
                <w:szCs w:val="24"/>
                <w:lang w:eastAsia="tr-TR"/>
              </w:rPr>
              <w:t>,</w:t>
            </w:r>
            <w:r w:rsidRPr="00A23740">
              <w:rPr>
                <w:rFonts w:eastAsia="Times New Roman"/>
                <w:color w:val="000000"/>
                <w:szCs w:val="24"/>
                <w:lang w:eastAsia="tr-TR"/>
              </w:rPr>
              <w:t xml:space="preserve"> borçlu</w:t>
            </w:r>
            <w:r w:rsidR="001F11B8" w:rsidRPr="00A23740">
              <w:rPr>
                <w:rFonts w:eastAsia="Times New Roman"/>
                <w:color w:val="000000"/>
                <w:szCs w:val="24"/>
                <w:lang w:eastAsia="tr-TR"/>
              </w:rPr>
              <w:t>nun,</w:t>
            </w:r>
            <w:r w:rsidRPr="00A23740">
              <w:rPr>
                <w:rFonts w:eastAsia="Times New Roman"/>
                <w:color w:val="000000"/>
                <w:szCs w:val="24"/>
                <w:lang w:eastAsia="tr-TR"/>
              </w:rPr>
              <w:t xml:space="preserve"> daha önce talep etmemiş olsa da</w:t>
            </w:r>
            <w:r w:rsidR="001F11B8" w:rsidRPr="00A23740">
              <w:rPr>
                <w:rFonts w:eastAsia="Times New Roman"/>
                <w:color w:val="000000"/>
                <w:szCs w:val="24"/>
                <w:lang w:eastAsia="tr-TR"/>
              </w:rPr>
              <w:t>,</w:t>
            </w:r>
            <w:r w:rsidRPr="00A23740">
              <w:rPr>
                <w:rFonts w:eastAsia="Times New Roman"/>
                <w:color w:val="000000"/>
                <w:szCs w:val="24"/>
                <w:lang w:eastAsia="tr-TR"/>
              </w:rPr>
              <w:t xml:space="preserve"> rızaen satış yetkisi verilmesini isteyebileceği düzenlenmektedir.</w:t>
            </w:r>
            <w:r w:rsidR="005F10B2" w:rsidRPr="00A23740">
              <w:rPr>
                <w:rFonts w:eastAsia="Times New Roman"/>
                <w:color w:val="000000"/>
                <w:szCs w:val="24"/>
                <w:lang w:eastAsia="tr-TR"/>
              </w:rPr>
              <w:t xml:space="preserve"> Hükümle, yeni kıymet takdirinin yapıldığı h</w:t>
            </w:r>
            <w:r w:rsidR="00001DC7" w:rsidRPr="00A23740">
              <w:rPr>
                <w:rFonts w:eastAsia="Times New Roman"/>
                <w:color w:val="000000"/>
                <w:szCs w:val="24"/>
                <w:lang w:eastAsia="tr-TR"/>
              </w:rPr>
              <w:t>â</w:t>
            </w:r>
            <w:r w:rsidR="005F10B2" w:rsidRPr="00A23740">
              <w:rPr>
                <w:rFonts w:eastAsia="Times New Roman"/>
                <w:color w:val="000000"/>
                <w:szCs w:val="24"/>
                <w:lang w:eastAsia="tr-TR"/>
              </w:rPr>
              <w:t>llerde borçlunun bu hakkı kullanıp kullanamayacağı konusunda uygulamada oluşabilecek tereddütlerin giderilmesi amaçlanmaktadır.</w:t>
            </w:r>
            <w:r w:rsidRPr="00A23740">
              <w:rPr>
                <w:rFonts w:eastAsia="Times New Roman"/>
                <w:color w:val="000000"/>
                <w:szCs w:val="24"/>
                <w:lang w:eastAsia="tr-TR"/>
              </w:rPr>
              <w:t xml:space="preserve"> </w:t>
            </w:r>
          </w:p>
          <w:p w:rsidR="006B0026" w:rsidRPr="00A23740" w:rsidRDefault="00AA5824" w:rsidP="009431FF">
            <w:pPr>
              <w:ind w:firstLine="709"/>
            </w:pPr>
            <w:r w:rsidRPr="00A23740">
              <w:rPr>
                <w:rFonts w:eastAsia="Times New Roman"/>
                <w:color w:val="000000"/>
                <w:szCs w:val="24"/>
                <w:lang w:eastAsia="tr-TR"/>
              </w:rPr>
              <w:t xml:space="preserve">Üçüncü fıkrayla, </w:t>
            </w:r>
            <w:r w:rsidR="006B0026" w:rsidRPr="00A23740">
              <w:t xml:space="preserve">kıymet </w:t>
            </w:r>
            <w:r w:rsidR="00001DC7" w:rsidRPr="00D60C1D">
              <w:rPr>
                <w:rStyle w:val="Balk1Char"/>
                <w:rFonts w:eastAsia="Calibri"/>
                <w:b w:val="0"/>
                <w:color w:val="000000"/>
              </w:rPr>
              <w:t>takdirinin henüz</w:t>
            </w:r>
            <w:r w:rsidR="006B0026" w:rsidRPr="00A23740">
              <w:t xml:space="preserve"> yapılmadığı durumlarda</w:t>
            </w:r>
            <w:r w:rsidR="005F10B2" w:rsidRPr="00A23740">
              <w:t xml:space="preserve"> rızaen satış usulünün uygulanması için</w:t>
            </w:r>
            <w:r w:rsidR="006B0026" w:rsidRPr="00A23740">
              <w:t xml:space="preserve"> borçlu</w:t>
            </w:r>
            <w:r w:rsidR="005F10B2" w:rsidRPr="00A23740">
              <w:t>ya</w:t>
            </w:r>
            <w:r w:rsidR="006B0026" w:rsidRPr="00A23740">
              <w:t xml:space="preserve"> kıymet t</w:t>
            </w:r>
            <w:r w:rsidR="005F10B2" w:rsidRPr="00A23740">
              <w:t>akdirinin yapılmasını talep etme yetkisi verilmektedir</w:t>
            </w:r>
            <w:r w:rsidR="006B0026" w:rsidRPr="00A23740">
              <w:t>.</w:t>
            </w:r>
          </w:p>
          <w:p w:rsidR="00F06E05" w:rsidRPr="00A23740" w:rsidRDefault="006B0026" w:rsidP="009431FF">
            <w:pPr>
              <w:ind w:firstLine="709"/>
            </w:pPr>
            <w:r w:rsidRPr="00A23740">
              <w:t>Dö</w:t>
            </w:r>
            <w:r w:rsidR="005F10B2" w:rsidRPr="00A23740">
              <w:t xml:space="preserve">rdüncü fıkrayla, </w:t>
            </w:r>
            <w:r w:rsidR="00F06E05" w:rsidRPr="00A23740">
              <w:rPr>
                <w:rFonts w:eastAsia="Times New Roman"/>
                <w:color w:val="000000"/>
                <w:szCs w:val="24"/>
                <w:lang w:eastAsia="tr-TR"/>
              </w:rPr>
              <w:t>bir yenilik olarak malın başka takip dosyalarında hacizli olması h</w:t>
            </w:r>
            <w:r w:rsidR="00C224B4" w:rsidRPr="00A23740">
              <w:rPr>
                <w:rFonts w:eastAsia="Times New Roman"/>
                <w:color w:val="000000"/>
                <w:szCs w:val="24"/>
                <w:lang w:eastAsia="tr-TR"/>
              </w:rPr>
              <w:t>â</w:t>
            </w:r>
            <w:r w:rsidR="00F06E05" w:rsidRPr="00A23740">
              <w:rPr>
                <w:rFonts w:eastAsia="Times New Roman"/>
                <w:color w:val="000000"/>
                <w:szCs w:val="24"/>
                <w:lang w:eastAsia="tr-TR"/>
              </w:rPr>
              <w:t xml:space="preserve">linde yapılacak işlemler belirlenmektedir. </w:t>
            </w:r>
            <w:r w:rsidR="001F11B8" w:rsidRPr="00A23740">
              <w:rPr>
                <w:rFonts w:eastAsia="Times New Roman"/>
                <w:color w:val="000000"/>
                <w:szCs w:val="24"/>
                <w:lang w:eastAsia="tr-TR"/>
              </w:rPr>
              <w:t xml:space="preserve">Buna </w:t>
            </w:r>
            <w:r w:rsidR="00F06E05" w:rsidRPr="00A23740">
              <w:rPr>
                <w:rFonts w:eastAsia="Times New Roman"/>
                <w:color w:val="000000"/>
                <w:szCs w:val="24"/>
                <w:lang w:eastAsia="tr-TR"/>
              </w:rPr>
              <w:t xml:space="preserve">göre </w:t>
            </w:r>
            <w:r w:rsidR="00F06E05" w:rsidRPr="00A23740">
              <w:rPr>
                <w:rFonts w:eastAsia="Times New Roman"/>
                <w:lang w:eastAsia="tr-TR"/>
              </w:rPr>
              <w:t>malın birden fazla takip dosyasında hacizli olması h</w:t>
            </w:r>
            <w:r w:rsidR="00001DC7" w:rsidRPr="00A23740">
              <w:rPr>
                <w:rFonts w:eastAsia="Times New Roman"/>
                <w:lang w:eastAsia="tr-TR"/>
              </w:rPr>
              <w:t>â</w:t>
            </w:r>
            <w:r w:rsidR="00F06E05" w:rsidRPr="00A23740">
              <w:rPr>
                <w:rFonts w:eastAsia="Times New Roman"/>
                <w:lang w:eastAsia="tr-TR"/>
              </w:rPr>
              <w:t xml:space="preserve">linde rızai satış yetkisi, kıymet takdirinin </w:t>
            </w:r>
            <w:r w:rsidR="00F06E05" w:rsidRPr="00A23740">
              <w:t>ilk yapıldığı takip dosyasından talep edilir. Bu h</w:t>
            </w:r>
            <w:r w:rsidR="00001DC7" w:rsidRPr="00A23740">
              <w:t>â</w:t>
            </w:r>
            <w:r w:rsidR="00F06E05" w:rsidRPr="00A23740">
              <w:t xml:space="preserve">lde bu dosyalardan herhangi birinde satış talep edilmişse, diğer dosyalardan rızai satış yetkisi talep edilemez. Hükümle, uygulamada bu </w:t>
            </w:r>
            <w:r w:rsidR="001F11B8" w:rsidRPr="00A23740">
              <w:t xml:space="preserve">ihtimalde </w:t>
            </w:r>
            <w:r w:rsidR="00F06E05" w:rsidRPr="00A23740">
              <w:t>oluşabilecek tereddütlerin giderilmesi amaçlanmaktadır.</w:t>
            </w:r>
          </w:p>
          <w:p w:rsidR="00D71CF1" w:rsidRPr="00A23740" w:rsidRDefault="00F06E05" w:rsidP="009431FF">
            <w:pPr>
              <w:ind w:firstLine="709"/>
            </w:pPr>
            <w:r w:rsidRPr="00A23740">
              <w:t xml:space="preserve">Beşinci fıkrayla, </w:t>
            </w:r>
            <w:r w:rsidR="00D71CF1" w:rsidRPr="00A23740">
              <w:t xml:space="preserve">rızaen satış usulünün kapsamı genişletilerek </w:t>
            </w:r>
            <w:r w:rsidR="001E4A13" w:rsidRPr="00A23740">
              <w:t xml:space="preserve">bir yenilik olarak </w:t>
            </w:r>
            <w:r w:rsidR="00D71CF1" w:rsidRPr="00A23740">
              <w:t>rehnin paraya çevrilmesi yoluyla takipte rehinli malın malikine de rızaen satış talep edebilme imk</w:t>
            </w:r>
            <w:r w:rsidR="00001DC7" w:rsidRPr="00A23740">
              <w:t>â</w:t>
            </w:r>
            <w:r w:rsidR="00D71CF1" w:rsidRPr="00A23740">
              <w:t>nı verilmektedir</w:t>
            </w:r>
            <w:r w:rsidR="0092244C" w:rsidRPr="00A23740">
              <w:t>.</w:t>
            </w:r>
            <w:r w:rsidR="00001DC7" w:rsidRPr="00A23740">
              <w:t xml:space="preserve"> </w:t>
            </w:r>
            <w:r w:rsidR="00001DC7" w:rsidRPr="00D60C1D">
              <w:rPr>
                <w:rStyle w:val="Balk1Char"/>
                <w:rFonts w:eastAsia="Calibri"/>
                <w:b w:val="0"/>
                <w:color w:val="000000"/>
              </w:rPr>
              <w:t>Rehinle güvence altına alınan borcun borçlusu ile rehin konusu malın malikinin başka kişiler olması hâlinde rızai satış talep etme yetkisi borçluya değil</w:t>
            </w:r>
            <w:r w:rsidR="005D550C" w:rsidRPr="00D60C1D">
              <w:rPr>
                <w:rStyle w:val="Balk1Char"/>
                <w:rFonts w:eastAsia="Calibri"/>
                <w:b w:val="0"/>
                <w:color w:val="000000"/>
              </w:rPr>
              <w:t>,</w:t>
            </w:r>
            <w:r w:rsidR="00001DC7" w:rsidRPr="00D60C1D">
              <w:rPr>
                <w:rStyle w:val="Balk1Char"/>
                <w:rFonts w:eastAsia="Calibri"/>
                <w:b w:val="0"/>
                <w:color w:val="000000"/>
              </w:rPr>
              <w:t xml:space="preserve"> malike ait olacaktır.</w:t>
            </w:r>
          </w:p>
          <w:p w:rsidR="001E4A13" w:rsidRPr="00A23740" w:rsidRDefault="00F06E05" w:rsidP="009431FF">
            <w:pPr>
              <w:ind w:firstLine="709"/>
            </w:pPr>
            <w:r w:rsidRPr="00A23740">
              <w:t>Altıncı</w:t>
            </w:r>
            <w:r w:rsidR="00D71CF1" w:rsidRPr="00A23740">
              <w:t xml:space="preserve"> fıkrayla, haczedilen malın aile konutu olması h</w:t>
            </w:r>
            <w:r w:rsidR="00001DC7" w:rsidRPr="00A23740">
              <w:t>â</w:t>
            </w:r>
            <w:r w:rsidR="00D71CF1" w:rsidRPr="00A23740">
              <w:t>linde satış</w:t>
            </w:r>
            <w:r w:rsidR="0092244C" w:rsidRPr="00A23740">
              <w:t xml:space="preserve"> yetkisinin </w:t>
            </w:r>
            <w:r w:rsidR="00D71CF1" w:rsidRPr="00A23740">
              <w:t>veril</w:t>
            </w:r>
            <w:r w:rsidR="0092244C" w:rsidRPr="00A23740">
              <w:t>ebil</w:t>
            </w:r>
            <w:r w:rsidR="00D71CF1" w:rsidRPr="00A23740">
              <w:t>mesi için</w:t>
            </w:r>
            <w:r w:rsidR="005D550C" w:rsidRPr="00A23740">
              <w:t>,</w:t>
            </w:r>
            <w:r w:rsidR="00D71CF1" w:rsidRPr="00A23740">
              <w:t xml:space="preserve"> diğer eşin </w:t>
            </w:r>
            <w:r w:rsidR="00D71CF1" w:rsidRPr="00A23740">
              <w:rPr>
                <w:bCs/>
              </w:rPr>
              <w:t>açık</w:t>
            </w:r>
            <w:r w:rsidR="00D71CF1" w:rsidRPr="00A23740">
              <w:t xml:space="preserve"> rızası</w:t>
            </w:r>
            <w:r w:rsidR="0092244C" w:rsidRPr="00A23740">
              <w:t>nın alınması şartı getirilmektedir.</w:t>
            </w:r>
            <w:r w:rsidR="00831593" w:rsidRPr="00A23740">
              <w:t xml:space="preserve"> 4721 sayılı</w:t>
            </w:r>
            <w:r w:rsidR="008F75C3" w:rsidRPr="00A23740">
              <w:t xml:space="preserve"> </w:t>
            </w:r>
            <w:r w:rsidR="008F75C3" w:rsidRPr="00D60C1D">
              <w:rPr>
                <w:rStyle w:val="KonuBalChar"/>
                <w:rFonts w:eastAsia="Calibri"/>
                <w:b w:val="0"/>
                <w:color w:val="000000"/>
              </w:rPr>
              <w:t>Kanunun</w:t>
            </w:r>
            <w:r w:rsidR="00831593" w:rsidRPr="00A23740">
              <w:t xml:space="preserve"> 194 üncü maddesinin birinci fıkrasına göre eşlerden biri diğer eşin açık rızası bulunmadıkça aile konutunu devredemez. </w:t>
            </w:r>
            <w:r w:rsidR="0092244C" w:rsidRPr="00A23740">
              <w:t xml:space="preserve">Rızaen satış usulü, </w:t>
            </w:r>
            <w:r w:rsidR="00581557" w:rsidRPr="00A23740">
              <w:t xml:space="preserve">takip hukukunda düzenlenen </w:t>
            </w:r>
            <w:r w:rsidR="0092244C" w:rsidRPr="00A23740">
              <w:t>paraya çevirme usullerinden biri olsa da</w:t>
            </w:r>
            <w:r w:rsidR="005D550C" w:rsidRPr="00A23740">
              <w:t>,</w:t>
            </w:r>
            <w:r w:rsidR="00581557" w:rsidRPr="00A23740">
              <w:t xml:space="preserve"> borçlunun talebine bağlı olarak uygulanması ve </w:t>
            </w:r>
            <w:r w:rsidR="00831593" w:rsidRPr="00A23740">
              <w:t xml:space="preserve">özü itibarıyla 4721 sayılı Kanunun </w:t>
            </w:r>
            <w:r w:rsidR="00581557" w:rsidRPr="00A23740">
              <w:t>194 üncü maddesinin birinci fıkrasında düzenlenen maddi hukuka ilişkin esaslarla aynı mahiyette olması nedeniyle bu usul bakımından da eşin açık rızasının varlığı aranmaktadır.</w:t>
            </w:r>
          </w:p>
          <w:p w:rsidR="004C0B18" w:rsidRPr="00A23740" w:rsidRDefault="00F06E05" w:rsidP="009431FF">
            <w:pPr>
              <w:ind w:firstLine="709"/>
              <w:rPr>
                <w:rFonts w:eastAsia="Times New Roman"/>
                <w:color w:val="000000"/>
                <w:szCs w:val="24"/>
                <w:lang w:eastAsia="tr-TR"/>
              </w:rPr>
            </w:pPr>
            <w:r w:rsidRPr="00A23740">
              <w:t>Yedinci</w:t>
            </w:r>
            <w:r w:rsidR="008738BA" w:rsidRPr="00A23740">
              <w:t xml:space="preserve"> fıkrayla, </w:t>
            </w:r>
            <w:r w:rsidR="00001DC7" w:rsidRPr="00A23740">
              <w:rPr>
                <w:lang w:eastAsia="tr-TR"/>
              </w:rPr>
              <w:t>K</w:t>
            </w:r>
            <w:r w:rsidR="008738BA" w:rsidRPr="00A23740">
              <w:t>anundan</w:t>
            </w:r>
            <w:r w:rsidR="008738BA" w:rsidRPr="00A23740">
              <w:rPr>
                <w:lang w:eastAsia="tr-TR"/>
              </w:rPr>
              <w:t xml:space="preserve"> veya tapu kütüğüne şerh verilen sözleşmeden doğan önalım hakkı bulunan h</w:t>
            </w:r>
            <w:r w:rsidR="00001DC7" w:rsidRPr="00A23740">
              <w:rPr>
                <w:lang w:eastAsia="tr-TR"/>
              </w:rPr>
              <w:t>â</w:t>
            </w:r>
            <w:r w:rsidR="008738BA" w:rsidRPr="00A23740">
              <w:rPr>
                <w:lang w:eastAsia="tr-TR"/>
              </w:rPr>
              <w:t>llerde rızai satış usulünün uygulanamayacağı hükme bağlanmaktadır.</w:t>
            </w:r>
            <w:r w:rsidR="004C0B18" w:rsidRPr="00A23740">
              <w:rPr>
                <w:lang w:eastAsia="tr-TR"/>
              </w:rPr>
              <w:t xml:space="preserve"> </w:t>
            </w:r>
            <w:r w:rsidR="00B22AC0" w:rsidRPr="00A23740">
              <w:rPr>
                <w:rFonts w:eastAsia="Times New Roman"/>
                <w:color w:val="000000"/>
                <w:szCs w:val="24"/>
                <w:lang w:eastAsia="tr-TR"/>
              </w:rPr>
              <w:t xml:space="preserve">4721 sayılı </w:t>
            </w:r>
            <w:r w:rsidR="0062404C" w:rsidRPr="00A23740">
              <w:rPr>
                <w:rFonts w:eastAsia="Times New Roman"/>
                <w:color w:val="000000"/>
                <w:szCs w:val="24"/>
                <w:lang w:eastAsia="tr-TR"/>
              </w:rPr>
              <w:t xml:space="preserve">Kanunun </w:t>
            </w:r>
            <w:r w:rsidR="00B22AC0" w:rsidRPr="00A23740">
              <w:rPr>
                <w:rFonts w:eastAsia="Times New Roman"/>
                <w:color w:val="000000"/>
                <w:szCs w:val="24"/>
                <w:lang w:eastAsia="tr-TR"/>
              </w:rPr>
              <w:t>732 nci maddesine göre paylı mülkiyette bir paydaşın taşınmaz üzerindeki payını tamamen veya kısmen üçüncü kişiye satması hâlinde, diğer paydaşlar önalım hakkını kullanabilir</w:t>
            </w:r>
            <w:r w:rsidR="005D550C" w:rsidRPr="00A23740">
              <w:rPr>
                <w:rFonts w:eastAsia="Times New Roman"/>
                <w:color w:val="000000"/>
                <w:szCs w:val="24"/>
                <w:lang w:eastAsia="tr-TR"/>
              </w:rPr>
              <w:t>ler</w:t>
            </w:r>
            <w:r w:rsidR="00B22AC0" w:rsidRPr="00A23740">
              <w:rPr>
                <w:rFonts w:eastAsia="Times New Roman"/>
                <w:color w:val="000000"/>
                <w:szCs w:val="24"/>
                <w:lang w:eastAsia="tr-TR"/>
              </w:rPr>
              <w:t>. Yine 4721 sayılı Kanun</w:t>
            </w:r>
            <w:r w:rsidR="001E4A13" w:rsidRPr="00A23740">
              <w:rPr>
                <w:rFonts w:eastAsia="Times New Roman"/>
                <w:color w:val="000000"/>
                <w:szCs w:val="24"/>
                <w:lang w:eastAsia="tr-TR"/>
              </w:rPr>
              <w:t>un</w:t>
            </w:r>
            <w:r w:rsidR="00B22AC0" w:rsidRPr="00A23740">
              <w:rPr>
                <w:rFonts w:eastAsia="Times New Roman"/>
                <w:color w:val="000000"/>
                <w:szCs w:val="24"/>
                <w:lang w:eastAsia="tr-TR"/>
              </w:rPr>
              <w:t xml:space="preserve"> 733 üncü maddesinin birinci fı</w:t>
            </w:r>
            <w:r w:rsidR="006A3B52" w:rsidRPr="00A23740">
              <w:rPr>
                <w:rFonts w:eastAsia="Times New Roman"/>
                <w:color w:val="000000"/>
                <w:szCs w:val="24"/>
                <w:lang w:eastAsia="tr-TR"/>
              </w:rPr>
              <w:t xml:space="preserve">krasında, taşınmazın </w:t>
            </w:r>
            <w:r w:rsidR="00B22AC0" w:rsidRPr="00A23740">
              <w:rPr>
                <w:color w:val="000000"/>
              </w:rPr>
              <w:t xml:space="preserve">cebrî artırmayla </w:t>
            </w:r>
            <w:r w:rsidR="006A3B52" w:rsidRPr="00A23740">
              <w:rPr>
                <w:color w:val="000000"/>
              </w:rPr>
              <w:t xml:space="preserve">satışında </w:t>
            </w:r>
            <w:r w:rsidR="00B22AC0" w:rsidRPr="00A23740">
              <w:rPr>
                <w:color w:val="000000"/>
              </w:rPr>
              <w:t>önalım hakkı</w:t>
            </w:r>
            <w:r w:rsidR="006A3B52" w:rsidRPr="00A23740">
              <w:rPr>
                <w:color w:val="000000"/>
              </w:rPr>
              <w:t>nın</w:t>
            </w:r>
            <w:r w:rsidR="00B22AC0" w:rsidRPr="00A23740">
              <w:rPr>
                <w:color w:val="000000"/>
              </w:rPr>
              <w:t xml:space="preserve"> kullanılması yasaklanmıştır. </w:t>
            </w:r>
            <w:r w:rsidR="004C0B18" w:rsidRPr="00A23740">
              <w:t>Rızaen satış usulü, takip hukukunda düzenlenen paraya çevirme usullerinden biri olsa da</w:t>
            </w:r>
            <w:r w:rsidR="00831593" w:rsidRPr="00A23740">
              <w:t xml:space="preserve"> borçlu,</w:t>
            </w:r>
            <w:r w:rsidR="00B22AC0" w:rsidRPr="00A23740">
              <w:t xml:space="preserve"> aldığı yetki uyarınca </w:t>
            </w:r>
            <w:r w:rsidR="0062404C" w:rsidRPr="00A23740">
              <w:t xml:space="preserve">bir </w:t>
            </w:r>
            <w:r w:rsidR="00B22AC0" w:rsidRPr="00A23740">
              <w:t xml:space="preserve">alıcı bularak </w:t>
            </w:r>
            <w:r w:rsidR="001E4A13" w:rsidRPr="00A23740">
              <w:t>cebr</w:t>
            </w:r>
            <w:r w:rsidR="00001DC7" w:rsidRPr="00A23740">
              <w:t>î</w:t>
            </w:r>
            <w:r w:rsidR="001E4A13" w:rsidRPr="00A23740">
              <w:t xml:space="preserve"> icra organının karar</w:t>
            </w:r>
            <w:r w:rsidR="00831593" w:rsidRPr="00A23740">
              <w:t>ıyla iradi olarak</w:t>
            </w:r>
            <w:r w:rsidR="006A3B52" w:rsidRPr="00A23740">
              <w:t xml:space="preserve"> taşınmazını</w:t>
            </w:r>
            <w:r w:rsidR="00831593" w:rsidRPr="00A23740">
              <w:t xml:space="preserve"> devredebilmektedir</w:t>
            </w:r>
            <w:r w:rsidR="004C0B18" w:rsidRPr="00A23740">
              <w:t>.</w:t>
            </w:r>
            <w:r w:rsidR="00B22AC0" w:rsidRPr="00A23740">
              <w:t xml:space="preserve"> Rızai satışta önalım hakkının uygulanıp uygulanmayacağıyla ilgili açık bir düzenlemenin </w:t>
            </w:r>
            <w:r w:rsidR="00001DC7" w:rsidRPr="00D60C1D">
              <w:rPr>
                <w:rStyle w:val="Balk1Char"/>
                <w:rFonts w:eastAsia="Calibri"/>
                <w:b w:val="0"/>
                <w:color w:val="000000"/>
              </w:rPr>
              <w:t>bulunmaması nedeniyle</w:t>
            </w:r>
            <w:r w:rsidR="00001DC7" w:rsidRPr="00A23740">
              <w:t xml:space="preserve"> </w:t>
            </w:r>
            <w:r w:rsidR="00B22AC0" w:rsidRPr="00A23740">
              <w:t>u</w:t>
            </w:r>
            <w:r w:rsidR="00831593" w:rsidRPr="00A23740">
              <w:t xml:space="preserve">ygulamada tereddüt </w:t>
            </w:r>
            <w:r w:rsidR="00001DC7" w:rsidRPr="00D60C1D">
              <w:rPr>
                <w:rStyle w:val="Balk1Char"/>
                <w:rFonts w:eastAsia="Calibri"/>
                <w:b w:val="0"/>
                <w:color w:val="000000"/>
              </w:rPr>
              <w:t>ortaya çıkmıştır.</w:t>
            </w:r>
            <w:r w:rsidR="00831593" w:rsidRPr="00A23740">
              <w:t xml:space="preserve"> </w:t>
            </w:r>
            <w:r w:rsidR="004C0B18" w:rsidRPr="00D60C1D">
              <w:rPr>
                <w:rStyle w:val="Balk1Char"/>
                <w:rFonts w:eastAsia="Calibri"/>
                <w:b w:val="0"/>
                <w:color w:val="000000"/>
              </w:rPr>
              <w:t xml:space="preserve">Bu nedenle </w:t>
            </w:r>
            <w:r w:rsidR="00B37BC2" w:rsidRPr="00D60C1D">
              <w:rPr>
                <w:rStyle w:val="Balk1Char"/>
                <w:rFonts w:eastAsia="Calibri"/>
                <w:b w:val="0"/>
                <w:color w:val="000000"/>
              </w:rPr>
              <w:t>Kanundan veya tapu kütüğüne şerh verilen sözleşmeden doğan önalım hakkı bulunan hâllerde</w:t>
            </w:r>
            <w:r w:rsidR="00B37BC2" w:rsidRPr="00A23740">
              <w:t xml:space="preserve">  </w:t>
            </w:r>
            <w:r w:rsidR="00831593" w:rsidRPr="00A23740">
              <w:t xml:space="preserve">rızai satış usulünün </w:t>
            </w:r>
            <w:r w:rsidR="00001DC7" w:rsidRPr="00D60C1D">
              <w:rPr>
                <w:rStyle w:val="Balk1Char"/>
                <w:rFonts w:eastAsia="Calibri"/>
                <w:b w:val="0"/>
                <w:color w:val="000000"/>
              </w:rPr>
              <w:t>uygulanmayacağı kabul edilmiştir.</w:t>
            </w:r>
          </w:p>
          <w:p w:rsidR="0013360F" w:rsidRPr="00A23740" w:rsidRDefault="0013360F"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b/>
              </w:rPr>
            </w:pPr>
          </w:p>
          <w:p w:rsidR="00AA5C8C" w:rsidRPr="00A23740" w:rsidRDefault="00AA5C8C" w:rsidP="009431FF">
            <w:pPr>
              <w:tabs>
                <w:tab w:val="left" w:pos="567"/>
              </w:tabs>
              <w:rPr>
                <w:b/>
              </w:rPr>
            </w:pPr>
          </w:p>
          <w:p w:rsidR="00AA5C8C" w:rsidRPr="00A23740" w:rsidRDefault="00AA5C8C" w:rsidP="009431FF">
            <w:pPr>
              <w:tabs>
                <w:tab w:val="left" w:pos="567"/>
              </w:tabs>
              <w:rPr>
                <w:b/>
              </w:rPr>
            </w:pPr>
          </w:p>
          <w:p w:rsidR="00AA5C8C" w:rsidRPr="00A23740" w:rsidRDefault="00AA5C8C" w:rsidP="009431FF">
            <w:pPr>
              <w:tabs>
                <w:tab w:val="left" w:pos="567"/>
              </w:tabs>
              <w:rPr>
                <w:b/>
              </w:rPr>
            </w:pPr>
          </w:p>
          <w:p w:rsidR="00AA5C8C" w:rsidRPr="00A23740" w:rsidRDefault="00AA5C8C" w:rsidP="009431FF">
            <w:pPr>
              <w:tabs>
                <w:tab w:val="left" w:pos="567"/>
              </w:tabs>
              <w:rPr>
                <w:b/>
              </w:rPr>
            </w:pPr>
          </w:p>
          <w:p w:rsidR="00AA5C8C" w:rsidRPr="00A23740" w:rsidRDefault="00AA5C8C" w:rsidP="009431FF">
            <w:pPr>
              <w:tabs>
                <w:tab w:val="left" w:pos="567"/>
              </w:tabs>
              <w:rPr>
                <w:b/>
              </w:rPr>
            </w:pPr>
          </w:p>
          <w:p w:rsidR="006A1486" w:rsidRPr="00A23740" w:rsidRDefault="006A1486" w:rsidP="009431FF">
            <w:pPr>
              <w:pStyle w:val="KIRMIZI"/>
            </w:pPr>
            <w:r w:rsidRPr="00A23740">
              <w:t>Borçluya satış yetkisi verilmesi:</w:t>
            </w:r>
          </w:p>
          <w:p w:rsidR="00AA5C8C" w:rsidRPr="00A23740" w:rsidRDefault="006A1486" w:rsidP="009431FF">
            <w:pPr>
              <w:pStyle w:val="KIRMIZI"/>
              <w:rPr>
                <w:lang w:val="tr-TR"/>
              </w:rPr>
            </w:pPr>
            <w:r w:rsidRPr="00A23740">
              <w:t>MADDE 111/a- </w:t>
            </w:r>
            <w:r w:rsidRPr="00A23740">
              <w:rPr>
                <w:lang w:val="tr-TR"/>
              </w:rPr>
              <w:t xml:space="preserve"> </w:t>
            </w:r>
          </w:p>
          <w:p w:rsidR="00AA5C8C" w:rsidRPr="00A23740" w:rsidRDefault="005F6587" w:rsidP="009431FF">
            <w:pPr>
              <w:tabs>
                <w:tab w:val="left" w:pos="567"/>
              </w:tabs>
            </w:pPr>
            <w:r>
              <w:rPr>
                <w:b/>
                <w:color w:val="FF0000"/>
              </w:rPr>
              <w:t>(F1.C</w:t>
            </w:r>
            <w:r w:rsidR="00AA5C8C" w:rsidRPr="00A23740">
              <w:rPr>
                <w:b/>
                <w:color w:val="FF0000"/>
              </w:rPr>
              <w:t>4</w:t>
            </w:r>
            <w:r w:rsidR="006A1486" w:rsidRPr="00A23740">
              <w:rPr>
                <w:b/>
                <w:color w:val="FF0000"/>
              </w:rPr>
              <w:t>)</w:t>
            </w:r>
            <w:r w:rsidR="00AA5C8C" w:rsidRPr="00A23740">
              <w:t xml:space="preserve"> Borçluya verilen sürenin başlangıcından </w:t>
            </w:r>
            <w:r w:rsidR="00AA5C8C" w:rsidRPr="00A23740">
              <w:rPr>
                <w:rStyle w:val="KIRMIZIChar"/>
                <w:rFonts w:eastAsia="Calibri"/>
              </w:rPr>
              <w:t>üçüncü fıkra</w:t>
            </w:r>
            <w:r w:rsidR="00AA5C8C" w:rsidRPr="00A23740">
              <w:t xml:space="preserve"> uyarınca </w:t>
            </w:r>
            <w:r w:rsidR="00AA5C8C" w:rsidRPr="00A23740">
              <w:rPr>
                <w:rStyle w:val="KIRMIZIChar"/>
                <w:rFonts w:eastAsia="Calibri"/>
              </w:rPr>
              <w:t>verilen</w:t>
            </w:r>
            <w:r w:rsidR="00AA5C8C" w:rsidRPr="00A23740">
              <w:t xml:space="preserve"> icra mahkemesinin kararına kadar geçen sürede alacaklı bakımından satış isteme süresi işlemez.</w:t>
            </w:r>
          </w:p>
          <w:p w:rsidR="00AA5C8C" w:rsidRPr="00A23740" w:rsidRDefault="00AA5C8C" w:rsidP="009431FF">
            <w:pPr>
              <w:tabs>
                <w:tab w:val="left" w:pos="567"/>
              </w:tabs>
              <w:rPr>
                <w:b/>
              </w:rPr>
            </w:pPr>
          </w:p>
        </w:tc>
        <w:tc>
          <w:tcPr>
            <w:tcW w:w="2500" w:type="pct"/>
          </w:tcPr>
          <w:p w:rsidR="00AA5C8C" w:rsidRPr="00A23740" w:rsidRDefault="00AA5C8C" w:rsidP="009431FF">
            <w:pPr>
              <w:pStyle w:val="Mavi"/>
            </w:pPr>
            <w:r w:rsidRPr="00A23740">
              <w:t>Satış yetkisi</w:t>
            </w:r>
            <w:r w:rsidR="006A1486" w:rsidRPr="00A23740">
              <w:rPr>
                <w:lang w:val="tr-TR"/>
              </w:rPr>
              <w:t>nin</w:t>
            </w:r>
            <w:r w:rsidRPr="00A23740">
              <w:t xml:space="preserve"> verilmesi ve sonuçları</w:t>
            </w:r>
          </w:p>
          <w:p w:rsidR="00AA5C8C" w:rsidRPr="00A23740" w:rsidRDefault="006A1486" w:rsidP="009431FF">
            <w:pPr>
              <w:pStyle w:val="Mavi"/>
            </w:pPr>
            <w:r w:rsidRPr="00A23740">
              <w:t xml:space="preserve">MADDE </w:t>
            </w:r>
            <w:r w:rsidR="0037744E" w:rsidRPr="00A23740">
              <w:rPr>
                <w:lang w:val="tr-TR"/>
              </w:rPr>
              <w:t>239</w:t>
            </w:r>
            <w:r w:rsidR="00AA5C8C" w:rsidRPr="00A23740">
              <w:t>-</w:t>
            </w:r>
            <w:r w:rsidR="00AA5C8C" w:rsidRPr="00A23740">
              <w:rPr>
                <w:lang w:val="tr-TR"/>
              </w:rPr>
              <w:t xml:space="preserve"> </w:t>
            </w:r>
            <w:r w:rsidR="00AA5C8C" w:rsidRPr="00A23740">
              <w:t xml:space="preserve">(1) İcra ve iflas dairesi, kıymet takdirinin kesinleşmesinden sonra cebrî satış işlemlerini durdurarak borçluya </w:t>
            </w:r>
            <w:r w:rsidR="00AA5C8C" w:rsidRPr="00A23740">
              <w:rPr>
                <w:rFonts w:eastAsia="Times New Roman"/>
                <w:lang w:eastAsia="tr-TR"/>
              </w:rPr>
              <w:t>iki haftalık</w:t>
            </w:r>
            <w:r w:rsidR="00AA5C8C" w:rsidRPr="00A23740">
              <w:rPr>
                <w:rStyle w:val="KIRMIZIChar"/>
                <w:rFonts w:eastAsia="ヒラギノ明朝 Pro W3"/>
                <w:strike w:val="0"/>
              </w:rPr>
              <w:t xml:space="preserve"> </w:t>
            </w:r>
            <w:r w:rsidR="00AA5C8C" w:rsidRPr="00A23740">
              <w:t>süre verir. Bu sürenin verilmesinden sonra borçlu, satış isteme yetkisi</w:t>
            </w:r>
            <w:r w:rsidR="002505E0" w:rsidRPr="00A23740">
              <w:rPr>
                <w:lang w:val="tr-TR"/>
              </w:rPr>
              <w:t xml:space="preserve"> </w:t>
            </w:r>
            <w:r w:rsidR="002505E0" w:rsidRPr="00372868">
              <w:t>verilmesi</w:t>
            </w:r>
            <w:r w:rsidR="00AA5C8C" w:rsidRPr="00A23740">
              <w:t xml:space="preserve"> talebini geri alamaz ve bu maddenin ikinci fıkrasında öngörülen h</w:t>
            </w:r>
            <w:r w:rsidR="00C224B4" w:rsidRPr="00A23740">
              <w:rPr>
                <w:lang w:val="tr-TR"/>
              </w:rPr>
              <w:t>â</w:t>
            </w:r>
            <w:r w:rsidR="00AA5C8C" w:rsidRPr="00A23740">
              <w:t>ller dışında bu takip dosyasında bir daha satış ye</w:t>
            </w:r>
            <w:r w:rsidR="002505E0" w:rsidRPr="00A23740">
              <w:t>tkisi verilmesini talep edemez.</w:t>
            </w:r>
          </w:p>
          <w:p w:rsidR="00AA5C8C" w:rsidRPr="00A23740" w:rsidRDefault="00AA5C8C" w:rsidP="009431FF">
            <w:pPr>
              <w:tabs>
                <w:tab w:val="left" w:pos="567"/>
              </w:tabs>
            </w:pPr>
          </w:p>
          <w:p w:rsidR="00AA5C8C" w:rsidRPr="00A23740" w:rsidRDefault="00AA5C8C" w:rsidP="009431FF">
            <w:pPr>
              <w:tabs>
                <w:tab w:val="left" w:pos="567"/>
              </w:tabs>
            </w:pPr>
            <w:r w:rsidRPr="00A23740">
              <w:rPr>
                <w:rStyle w:val="MaviChar"/>
              </w:rPr>
              <w:t>(2)</w:t>
            </w:r>
            <w:r w:rsidRPr="00A23740">
              <w:t xml:space="preserve"> Borçluya verilen sürenin başlangıcından</w:t>
            </w:r>
            <w:r w:rsidR="00900BD1" w:rsidRPr="00A23740">
              <w:t xml:space="preserve"> </w:t>
            </w:r>
            <w:r w:rsidR="00900BD1" w:rsidRPr="00372868">
              <w:rPr>
                <w:rStyle w:val="MaviChar"/>
              </w:rPr>
              <w:t>241 inci</w:t>
            </w:r>
            <w:r w:rsidRPr="00A23740">
              <w:t xml:space="preserve"> </w:t>
            </w:r>
            <w:r w:rsidRPr="00A23740">
              <w:rPr>
                <w:rFonts w:eastAsia="Times New Roman"/>
                <w:b/>
                <w:color w:val="0000FF"/>
                <w:lang w:eastAsia="tr-TR"/>
              </w:rPr>
              <w:t xml:space="preserve"> madde </w:t>
            </w:r>
            <w:r w:rsidRPr="00A23740">
              <w:t>uyarınca</w:t>
            </w:r>
            <w:r w:rsidRPr="00A23740">
              <w:rPr>
                <w:rFonts w:eastAsia="Times New Roman"/>
                <w:b/>
                <w:color w:val="0000FF"/>
                <w:lang w:eastAsia="tr-TR"/>
              </w:rPr>
              <w:t xml:space="preserve"> </w:t>
            </w:r>
            <w:r w:rsidRPr="00A23740">
              <w:t xml:space="preserve">icra </w:t>
            </w:r>
            <w:r w:rsidRPr="00A23740">
              <w:rPr>
                <w:rFonts w:eastAsia="Times New Roman"/>
                <w:b/>
                <w:color w:val="0000FF"/>
                <w:lang w:eastAsia="tr-TR"/>
              </w:rPr>
              <w:t xml:space="preserve">hukuk </w:t>
            </w:r>
            <w:r w:rsidRPr="00A23740">
              <w:t xml:space="preserve">mahkemesi </w:t>
            </w:r>
            <w:r w:rsidR="00D517E3" w:rsidRPr="00372868">
              <w:rPr>
                <w:rStyle w:val="MaviChar"/>
              </w:rPr>
              <w:t>karar verinceye</w:t>
            </w:r>
            <w:r w:rsidRPr="00A23740">
              <w:t xml:space="preserve"> kadar alacaklı bakımından satış isteme süresi işlemez.</w:t>
            </w:r>
          </w:p>
          <w:p w:rsidR="00AA5C8C" w:rsidRPr="00A23740" w:rsidRDefault="00AA5C8C" w:rsidP="009431FF">
            <w:pPr>
              <w:tabs>
                <w:tab w:val="left" w:pos="567"/>
              </w:tabs>
            </w:pPr>
          </w:p>
          <w:p w:rsidR="00AA5C8C" w:rsidRPr="00A23740" w:rsidRDefault="007B738E" w:rsidP="003F10EF">
            <w:pPr>
              <w:tabs>
                <w:tab w:val="left" w:pos="567"/>
              </w:tabs>
            </w:pPr>
            <w:r w:rsidRPr="00A23740">
              <w:rPr>
                <w:rFonts w:eastAsia="Times New Roman"/>
                <w:b/>
                <w:color w:val="0000FF"/>
                <w:lang w:eastAsia="tr-TR"/>
              </w:rPr>
              <w:t>(3) Satış isteme süresi, satış yetkisi verilen malı başka bir icra takibinde haczettirmiş olan alacaklı bakımından da ikinci fıkrada belirtilen süre boyunca işlemez.</w:t>
            </w:r>
          </w:p>
        </w:tc>
      </w:tr>
      <w:tr w:rsidR="006203E7" w:rsidRPr="00A23740" w:rsidTr="009431FF">
        <w:tblPrEx>
          <w:tblLook w:val="01E0" w:firstRow="1" w:lastRow="1" w:firstColumn="1" w:lastColumn="1" w:noHBand="0" w:noVBand="0"/>
        </w:tblPrEx>
        <w:tc>
          <w:tcPr>
            <w:tcW w:w="5000" w:type="pct"/>
            <w:gridSpan w:val="2"/>
            <w:shd w:val="clear" w:color="auto" w:fill="DEEAF6"/>
          </w:tcPr>
          <w:p w:rsidR="006203E7" w:rsidRPr="00A23740" w:rsidRDefault="006203E7" w:rsidP="009431FF">
            <w:pPr>
              <w:ind w:firstLine="709"/>
              <w:rPr>
                <w:rFonts w:eastAsia="Times New Roman"/>
                <w:color w:val="000000"/>
                <w:szCs w:val="24"/>
                <w:lang w:eastAsia="tr-TR"/>
              </w:rPr>
            </w:pPr>
          </w:p>
          <w:p w:rsidR="006203E7" w:rsidRPr="00A23740" w:rsidRDefault="006203E7" w:rsidP="009431FF">
            <w:pPr>
              <w:ind w:firstLine="709"/>
              <w:rPr>
                <w:rFonts w:eastAsia="Times New Roman"/>
                <w:color w:val="000000"/>
                <w:szCs w:val="24"/>
                <w:lang w:eastAsia="tr-TR"/>
              </w:rPr>
            </w:pPr>
            <w:r w:rsidRPr="00A23740">
              <w:rPr>
                <w:rFonts w:eastAsia="Times New Roman"/>
                <w:b/>
                <w:color w:val="000000"/>
                <w:szCs w:val="24"/>
                <w:lang w:eastAsia="tr-TR"/>
              </w:rPr>
              <w:t>MADDE 2</w:t>
            </w:r>
            <w:r w:rsidR="00F21B21" w:rsidRPr="00A23740">
              <w:rPr>
                <w:rFonts w:eastAsia="Times New Roman"/>
                <w:b/>
                <w:color w:val="000000"/>
                <w:szCs w:val="24"/>
                <w:lang w:eastAsia="tr-TR"/>
              </w:rPr>
              <w:t>3</w:t>
            </w:r>
            <w:r w:rsidR="0037744E" w:rsidRPr="00A23740">
              <w:rPr>
                <w:rFonts w:eastAsia="Times New Roman"/>
                <w:b/>
                <w:color w:val="000000"/>
                <w:szCs w:val="24"/>
                <w:lang w:eastAsia="tr-TR"/>
              </w:rPr>
              <w:t>9</w:t>
            </w:r>
            <w:r w:rsidRPr="00A23740">
              <w:rPr>
                <w:rFonts w:eastAsia="Times New Roman"/>
                <w:color w:val="000000"/>
                <w:szCs w:val="24"/>
                <w:lang w:eastAsia="tr-TR"/>
              </w:rPr>
              <w:t xml:space="preserve">- Maddeyle, </w:t>
            </w:r>
            <w:r w:rsidR="006A1486" w:rsidRPr="00A23740">
              <w:rPr>
                <w:rFonts w:eastAsia="Times New Roman"/>
                <w:color w:val="000000"/>
                <w:szCs w:val="24"/>
                <w:lang w:eastAsia="tr-TR"/>
              </w:rPr>
              <w:t xml:space="preserve">satış yetkisinin verilmesi ve sonuçları </w:t>
            </w:r>
            <w:r w:rsidR="00F07603" w:rsidRPr="00A23740">
              <w:rPr>
                <w:rFonts w:eastAsia="Times New Roman"/>
                <w:color w:val="000000"/>
                <w:szCs w:val="24"/>
                <w:lang w:eastAsia="tr-TR"/>
              </w:rPr>
              <w:t>düzenlenmektedir.</w:t>
            </w:r>
          </w:p>
          <w:p w:rsidR="006A1486" w:rsidRPr="00A23740" w:rsidRDefault="006A1486" w:rsidP="009431FF">
            <w:pPr>
              <w:ind w:firstLine="709"/>
            </w:pPr>
            <w:r w:rsidRPr="00A23740">
              <w:rPr>
                <w:rFonts w:eastAsia="Times New Roman"/>
                <w:color w:val="000000"/>
                <w:szCs w:val="24"/>
                <w:lang w:eastAsia="tr-TR"/>
              </w:rPr>
              <w:t xml:space="preserve">Birinci fıkrayla, </w:t>
            </w:r>
            <w:r w:rsidR="00306337" w:rsidRPr="00A23740">
              <w:rPr>
                <w:rFonts w:eastAsia="Times New Roman"/>
                <w:color w:val="000000"/>
                <w:szCs w:val="24"/>
                <w:lang w:eastAsia="tr-TR"/>
              </w:rPr>
              <w:t>bir yenilik olarak ve rızai satış usulünün daha iyi bir şekilde uygulanabilmesi için</w:t>
            </w:r>
            <w:r w:rsidR="005D550C" w:rsidRPr="00A23740">
              <w:rPr>
                <w:rFonts w:eastAsia="Times New Roman"/>
                <w:color w:val="000000"/>
                <w:szCs w:val="24"/>
                <w:lang w:eastAsia="tr-TR"/>
              </w:rPr>
              <w:t>,</w:t>
            </w:r>
            <w:r w:rsidR="00306337" w:rsidRPr="00A23740">
              <w:rPr>
                <w:rFonts w:eastAsia="Times New Roman"/>
                <w:color w:val="000000"/>
                <w:szCs w:val="24"/>
                <w:lang w:eastAsia="tr-TR"/>
              </w:rPr>
              <w:t xml:space="preserve"> </w:t>
            </w:r>
            <w:r w:rsidRPr="00A23740">
              <w:rPr>
                <w:rFonts w:eastAsia="Times New Roman"/>
                <w:color w:val="000000"/>
                <w:szCs w:val="24"/>
                <w:lang w:eastAsia="tr-TR"/>
              </w:rPr>
              <w:t xml:space="preserve">satış yetkisinin verilmesi üzerine yapılacak işlemler belirlenmektedir. Hükme göre </w:t>
            </w:r>
            <w:r w:rsidRPr="00A23740">
              <w:t xml:space="preserve">icra ve iflas dairesi, kıymet takdirinin kesinleşmesinden sonra cebrî satış işlemlerini durdurarak borçluya </w:t>
            </w:r>
            <w:r w:rsidRPr="00A23740">
              <w:rPr>
                <w:rFonts w:eastAsia="Times New Roman"/>
                <w:lang w:eastAsia="tr-TR"/>
              </w:rPr>
              <w:t>iki haftalık</w:t>
            </w:r>
            <w:r w:rsidRPr="00A23740">
              <w:rPr>
                <w:rStyle w:val="KIRMIZIChar"/>
                <w:rFonts w:eastAsia="ヒラギノ明朝 Pro W3"/>
                <w:strike w:val="0"/>
              </w:rPr>
              <w:t xml:space="preserve"> </w:t>
            </w:r>
            <w:r w:rsidRPr="00A23740">
              <w:t>süre verir. Ancak bu sürenin verilmesinden sonra borçlu, satış isteme yetkisi talebini geri alamaz ve bu maddenin ikinci fıkrasında öngörülen h</w:t>
            </w:r>
            <w:r w:rsidR="00C224B4" w:rsidRPr="00A23740">
              <w:t>â</w:t>
            </w:r>
            <w:r w:rsidRPr="00A23740">
              <w:t xml:space="preserve">ller dışında bu takip dosyasında bir daha satış yetkisi verilmesini talep edemez. </w:t>
            </w:r>
            <w:r w:rsidR="00776140" w:rsidRPr="00A23740">
              <w:t>Hüküm, borçlunun satış isteme talebini geri alıp al</w:t>
            </w:r>
            <w:r w:rsidR="00F07603" w:rsidRPr="00A23740">
              <w:t>a</w:t>
            </w:r>
            <w:r w:rsidR="00776140" w:rsidRPr="00A23740">
              <w:t>mayacağı ile ilgili tereddütlerin gi</w:t>
            </w:r>
            <w:r w:rsidR="00F07603" w:rsidRPr="00A23740">
              <w:t>derilmesini amaçlamaktadır.</w:t>
            </w:r>
          </w:p>
          <w:p w:rsidR="00CF279B" w:rsidRPr="00A23740" w:rsidRDefault="006A1486" w:rsidP="009431FF">
            <w:pPr>
              <w:ind w:firstLine="709"/>
            </w:pPr>
            <w:r w:rsidRPr="00A23740">
              <w:t xml:space="preserve">İkinci fıkrayla, borçluya verilen sürenin başlangıcından </w:t>
            </w:r>
            <w:r w:rsidR="00776140" w:rsidRPr="00A23740">
              <w:t xml:space="preserve">Taslağın </w:t>
            </w:r>
            <w:r w:rsidR="00E43FCF" w:rsidRPr="00D60C1D">
              <w:rPr>
                <w:rStyle w:val="KonuBalChar"/>
                <w:rFonts w:eastAsia="Calibri"/>
                <w:b w:val="0"/>
                <w:color w:val="000000"/>
              </w:rPr>
              <w:t>241 inci</w:t>
            </w:r>
            <w:r w:rsidRPr="00A23740">
              <w:t xml:space="preserve"> maddesi uyarınca icra hukuk mahkemesi kararına kadar geçen sürede alacaklı bakımından satış isteme süresinin işlemeyeceği hükme bağlanmaktadır.</w:t>
            </w:r>
            <w:r w:rsidR="00CF279B" w:rsidRPr="00A23740">
              <w:t xml:space="preserve"> </w:t>
            </w:r>
            <w:r w:rsidR="00776140" w:rsidRPr="00A23740">
              <w:rPr>
                <w:rFonts w:eastAsia="Times New Roman"/>
                <w:color w:val="000000"/>
                <w:szCs w:val="24"/>
                <w:lang w:eastAsia="tr-TR"/>
              </w:rPr>
              <w:t>Hüküm, 2004 sayılı Kanunun 111/a maddesinin birinci fıkrasının dördüncü cümlesine karşılık gelmektedir.</w:t>
            </w:r>
          </w:p>
          <w:p w:rsidR="006A1486" w:rsidRPr="00A23740" w:rsidRDefault="006A1486" w:rsidP="009431FF">
            <w:pPr>
              <w:ind w:firstLine="709"/>
              <w:rPr>
                <w:rFonts w:eastAsia="Times New Roman"/>
                <w:color w:val="000000"/>
                <w:szCs w:val="24"/>
                <w:lang w:eastAsia="tr-TR"/>
              </w:rPr>
            </w:pPr>
            <w:r w:rsidRPr="00A23740">
              <w:t xml:space="preserve">Üçüncü fıkrayla, </w:t>
            </w:r>
            <w:r w:rsidR="00306337" w:rsidRPr="00A23740">
              <w:t>bir yenilik olarak</w:t>
            </w:r>
            <w:r w:rsidR="005D550C" w:rsidRPr="00A23740">
              <w:t>,</w:t>
            </w:r>
            <w:r w:rsidR="00306337" w:rsidRPr="00A23740">
              <w:t xml:space="preserve"> </w:t>
            </w:r>
            <w:r w:rsidR="00CF279B" w:rsidRPr="00A23740">
              <w:t>satış yetkisi verilen malın diğer bir takip dosyasında hacizli olması h</w:t>
            </w:r>
            <w:r w:rsidR="00C224B4" w:rsidRPr="00A23740">
              <w:t>â</w:t>
            </w:r>
            <w:r w:rsidR="00CF279B" w:rsidRPr="00A23740">
              <w:t>linde, o takipte, alacaklı bakımından satış isteme süresi</w:t>
            </w:r>
            <w:r w:rsidR="00C709C0" w:rsidRPr="00A23740">
              <w:t>nin</w:t>
            </w:r>
            <w:r w:rsidR="00776140" w:rsidRPr="00A23740">
              <w:t>,</w:t>
            </w:r>
            <w:r w:rsidR="00C709C0" w:rsidRPr="00A23740">
              <w:t xml:space="preserve"> borçluya verilen sürenin başlangıcından icra hukuk mahkemesinin</w:t>
            </w:r>
            <w:r w:rsidR="00F07603" w:rsidRPr="00A23740">
              <w:t xml:space="preserve"> </w:t>
            </w:r>
            <w:r w:rsidR="00505779" w:rsidRPr="00D60C1D">
              <w:rPr>
                <w:rStyle w:val="YELChar"/>
                <w:b w:val="0"/>
                <w:color w:val="000000"/>
              </w:rPr>
              <w:t>karar vermesine kadar</w:t>
            </w:r>
            <w:r w:rsidR="00505779" w:rsidRPr="00A23740">
              <w:t xml:space="preserve"> </w:t>
            </w:r>
            <w:r w:rsidR="00C709C0" w:rsidRPr="00A23740">
              <w:t>işlemeyeceği düzenlenmektedir</w:t>
            </w:r>
            <w:r w:rsidR="00CF279B" w:rsidRPr="00A23740">
              <w:t>.</w:t>
            </w:r>
          </w:p>
          <w:p w:rsidR="006203E7" w:rsidRPr="00A23740" w:rsidRDefault="006203E7"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72EA9" w:rsidRPr="00A23740" w:rsidRDefault="00A72EA9" w:rsidP="009431FF">
            <w:pPr>
              <w:pStyle w:val="KIRMIZI"/>
            </w:pPr>
            <w:r w:rsidRPr="00A23740">
              <w:t>Borçluya satış yetkisi verilmesi:</w:t>
            </w:r>
          </w:p>
          <w:p w:rsidR="00A72EA9" w:rsidRPr="00A23740" w:rsidRDefault="00A72EA9" w:rsidP="009431FF">
            <w:pPr>
              <w:pStyle w:val="KIRMIZI"/>
              <w:rPr>
                <w:lang w:val="tr-TR"/>
              </w:rPr>
            </w:pPr>
            <w:r w:rsidRPr="00A23740">
              <w:t>MADDE 111/a- </w:t>
            </w:r>
            <w:r w:rsidRPr="00A23740">
              <w:rPr>
                <w:lang w:val="tr-TR"/>
              </w:rPr>
              <w:t>…</w:t>
            </w:r>
          </w:p>
          <w:p w:rsidR="00AA5C8C" w:rsidRPr="00A23740" w:rsidRDefault="00A72EA9" w:rsidP="009431FF">
            <w:pPr>
              <w:tabs>
                <w:tab w:val="left" w:pos="567"/>
              </w:tabs>
            </w:pPr>
            <w:r w:rsidRPr="00A23740">
              <w:rPr>
                <w:b/>
                <w:color w:val="FF0000"/>
              </w:rPr>
              <w:t xml:space="preserve">(2) </w:t>
            </w:r>
            <w:r w:rsidR="00AA5C8C" w:rsidRPr="00A23740">
              <w:t>Rızai satışta bedel</w:t>
            </w:r>
            <w:r w:rsidR="00AA5C8C" w:rsidRPr="00A23740">
              <w:rPr>
                <w:rStyle w:val="KIRMIZIChar"/>
                <w:rFonts w:eastAsia="Calibri"/>
              </w:rPr>
              <w:t>,</w:t>
            </w:r>
            <w:r w:rsidR="00AA5C8C" w:rsidRPr="00A23740">
              <w:t xml:space="preserve"> malın </w:t>
            </w:r>
            <w:r w:rsidR="00AA5C8C" w:rsidRPr="00A23740">
              <w:rPr>
                <w:rStyle w:val="KIRMIZIChar"/>
                <w:rFonts w:eastAsia="Calibri"/>
              </w:rPr>
              <w:t>muhammen</w:t>
            </w:r>
            <w:r w:rsidR="00AA5C8C" w:rsidRPr="00A23740">
              <w:t xml:space="preserve"> kıymetinin yüzde doksanına karşılık gelen miktarı ile o malla güvence altına alınan ve satış isteyenin alacağına rüçhanı olan alacakların toplamından hangisi fazla ise bu miktarı ve ayrıca bu miktara ilave olarak </w:t>
            </w:r>
            <w:r w:rsidR="00AA5C8C" w:rsidRPr="00A23740">
              <w:rPr>
                <w:rStyle w:val="KIRMIZIChar"/>
                <w:rFonts w:eastAsia="Calibri"/>
              </w:rPr>
              <w:t>bu</w:t>
            </w:r>
            <w:r w:rsidR="00AA5C8C" w:rsidRPr="00A23740">
              <w:t xml:space="preserve"> aşamaya kadar bu </w:t>
            </w:r>
            <w:r w:rsidR="00AA5C8C" w:rsidRPr="00A23740">
              <w:rPr>
                <w:rStyle w:val="KIRMIZIChar"/>
                <w:rFonts w:eastAsia="Calibri"/>
              </w:rPr>
              <w:t>mahcuz</w:t>
            </w:r>
            <w:r w:rsidR="00AA5C8C" w:rsidRPr="00A23740">
              <w:t xml:space="preserve"> için yapılan </w:t>
            </w:r>
            <w:r w:rsidR="00AA5C8C" w:rsidRPr="00A23740">
              <w:rPr>
                <w:rStyle w:val="KIRMIZIChar"/>
                <w:rFonts w:eastAsia="Calibri"/>
              </w:rPr>
              <w:t>takip</w:t>
            </w:r>
            <w:r w:rsidR="00AA5C8C" w:rsidRPr="00A23740">
              <w:t xml:space="preserve"> </w:t>
            </w:r>
            <w:r w:rsidR="00AA5C8C" w:rsidRPr="00A23740">
              <w:rPr>
                <w:rStyle w:val="KIRMIZIChar"/>
                <w:rFonts w:eastAsia="Calibri"/>
              </w:rPr>
              <w:t>masrafları</w:t>
            </w:r>
            <w:r w:rsidR="00AA5C8C" w:rsidRPr="00A23740">
              <w:t xml:space="preserve"> toplamından az olamaz.</w:t>
            </w:r>
          </w:p>
          <w:p w:rsidR="00AA5C8C" w:rsidRPr="00A23740" w:rsidRDefault="00AA5C8C" w:rsidP="009431FF">
            <w:pPr>
              <w:tabs>
                <w:tab w:val="left" w:pos="567"/>
              </w:tabs>
            </w:pPr>
          </w:p>
          <w:p w:rsidR="00AA5C8C" w:rsidRPr="00A23740" w:rsidRDefault="00AA5C8C" w:rsidP="009431FF">
            <w:pPr>
              <w:tabs>
                <w:tab w:val="left" w:pos="567"/>
              </w:tabs>
            </w:pPr>
          </w:p>
          <w:p w:rsidR="00AA5C8C" w:rsidRPr="00A23740" w:rsidRDefault="00AA5C8C" w:rsidP="009431FF">
            <w:pPr>
              <w:tabs>
                <w:tab w:val="left" w:pos="567"/>
              </w:tabs>
              <w:rPr>
                <w:b/>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Style w:val="MaviChar"/>
              </w:rPr>
              <w:t>Asgari s</w:t>
            </w:r>
            <w:r w:rsidRPr="00A23740">
              <w:rPr>
                <w:rFonts w:eastAsia="Times New Roman"/>
                <w:b/>
                <w:color w:val="0000FF"/>
                <w:szCs w:val="24"/>
                <w:lang w:eastAsia="tr-TR"/>
              </w:rPr>
              <w:t>atış bedeli</w:t>
            </w:r>
          </w:p>
          <w:p w:rsidR="00AA5C8C" w:rsidRPr="00A23740" w:rsidRDefault="0037744E" w:rsidP="009431FF">
            <w:pPr>
              <w:tabs>
                <w:tab w:val="left" w:pos="567"/>
              </w:tabs>
            </w:pPr>
            <w:r w:rsidRPr="00A23740">
              <w:rPr>
                <w:rFonts w:eastAsia="Times New Roman"/>
                <w:b/>
                <w:color w:val="0000FF"/>
                <w:szCs w:val="24"/>
                <w:lang w:eastAsia="tr-TR"/>
              </w:rPr>
              <w:t>MADDE 240</w:t>
            </w:r>
            <w:r w:rsidR="00AA5C8C" w:rsidRPr="00A23740">
              <w:rPr>
                <w:rFonts w:eastAsia="Times New Roman"/>
                <w:b/>
                <w:color w:val="0000FF"/>
                <w:szCs w:val="24"/>
                <w:lang w:eastAsia="tr-TR"/>
              </w:rPr>
              <w:t xml:space="preserve">- (1) </w:t>
            </w:r>
            <w:r w:rsidR="00AA5C8C" w:rsidRPr="00A23740">
              <w:t>Rızai satışta bedel</w:t>
            </w:r>
            <w:r w:rsidR="00A72EA9" w:rsidRPr="00A23740">
              <w:rPr>
                <w:rStyle w:val="MaviChar"/>
              </w:rPr>
              <w:t>,</w:t>
            </w:r>
            <w:r w:rsidR="00AA5C8C" w:rsidRPr="00A23740">
              <w:rPr>
                <w:rStyle w:val="MaviChar"/>
              </w:rPr>
              <w:t xml:space="preserve"> </w:t>
            </w:r>
            <w:r w:rsidR="00AA5C8C" w:rsidRPr="00A23740">
              <w:t xml:space="preserve">malın </w:t>
            </w:r>
            <w:r w:rsidR="00AA5C8C" w:rsidRPr="00A23740">
              <w:rPr>
                <w:rStyle w:val="MaviChar"/>
              </w:rPr>
              <w:t>tahmin edilen</w:t>
            </w:r>
            <w:r w:rsidR="00AA5C8C" w:rsidRPr="00A23740">
              <w:t xml:space="preserve"> kıymetinin </w:t>
            </w:r>
            <w:r w:rsidR="00AA5C8C" w:rsidRPr="00A23740">
              <w:rPr>
                <w:rFonts w:eastAsia="Times New Roman"/>
                <w:b/>
                <w:color w:val="0000FF"/>
                <w:szCs w:val="24"/>
                <w:lang w:eastAsia="tr-TR"/>
              </w:rPr>
              <w:t>en az</w:t>
            </w:r>
            <w:r w:rsidR="00AA5C8C" w:rsidRPr="00A23740">
              <w:t xml:space="preserve"> yüzde doksanına karşılık gelen miktarı ile o malla güvence altına alınan ve satış isteyenin alacağına rüçhanı olan alacakların toplamından hangisi fazla ise bu miktarı ve ayrıca bu miktara ilave olarak </w:t>
            </w:r>
            <w:r w:rsidR="00AA5C8C" w:rsidRPr="00A23740">
              <w:rPr>
                <w:rStyle w:val="MaviChar"/>
              </w:rPr>
              <w:t>haczedilen mal</w:t>
            </w:r>
            <w:r w:rsidR="00AA5C8C" w:rsidRPr="00A23740">
              <w:t xml:space="preserve"> için</w:t>
            </w:r>
            <w:r w:rsidR="00F07603" w:rsidRPr="00A23740">
              <w:t xml:space="preserve"> </w:t>
            </w:r>
            <w:r w:rsidR="00F07603" w:rsidRPr="00A23740">
              <w:rPr>
                <w:rStyle w:val="MaviChar"/>
              </w:rPr>
              <w:t>o</w:t>
            </w:r>
            <w:r w:rsidR="00F07603" w:rsidRPr="00A23740">
              <w:t xml:space="preserve"> aşamaya kadar</w:t>
            </w:r>
            <w:r w:rsidR="00AA5C8C" w:rsidRPr="00A23740">
              <w:t xml:space="preserve"> yapılan </w:t>
            </w:r>
            <w:r w:rsidR="00AA5C8C" w:rsidRPr="00A23740">
              <w:rPr>
                <w:rStyle w:val="MaviChar"/>
              </w:rPr>
              <w:t>haciz, paraya çevirme ve paylaştırma</w:t>
            </w:r>
            <w:r w:rsidR="00AA5C8C" w:rsidRPr="00A23740">
              <w:rPr>
                <w:rStyle w:val="YELChar"/>
              </w:rPr>
              <w:t xml:space="preserve"> </w:t>
            </w:r>
            <w:r w:rsidR="00AA5C8C" w:rsidRPr="00A23740">
              <w:rPr>
                <w:rStyle w:val="MaviChar"/>
              </w:rPr>
              <w:t>giderleri</w:t>
            </w:r>
            <w:r w:rsidR="00AA5C8C" w:rsidRPr="00A23740">
              <w:t xml:space="preserve"> toplamından az olamaz.</w:t>
            </w:r>
          </w:p>
          <w:p w:rsidR="00AA5C8C" w:rsidRPr="00A23740" w:rsidRDefault="00AA5C8C" w:rsidP="009431FF">
            <w:pPr>
              <w:tabs>
                <w:tab w:val="left" w:pos="567"/>
              </w:tabs>
            </w:pPr>
          </w:p>
          <w:p w:rsidR="001A624C" w:rsidRPr="00A23740" w:rsidRDefault="001B15DA" w:rsidP="009431FF">
            <w:pPr>
              <w:tabs>
                <w:tab w:val="left" w:pos="567"/>
              </w:tabs>
              <w:rPr>
                <w:rStyle w:val="MaviChar"/>
                <w:lang w:val="tr-TR"/>
              </w:rPr>
            </w:pPr>
            <w:r w:rsidRPr="00A23740">
              <w:rPr>
                <w:rStyle w:val="MaviChar"/>
                <w:lang w:val="tr-TR"/>
              </w:rPr>
              <w:t>(2) Altın, gümüş, platin gibi değerli madenlerden yapılmış malların rızai satış bedeli maden kıymetinden az olamaz.</w:t>
            </w:r>
          </w:p>
          <w:p w:rsidR="00AA5C8C" w:rsidRPr="00A23740" w:rsidRDefault="00AA5C8C" w:rsidP="009431FF">
            <w:pPr>
              <w:tabs>
                <w:tab w:val="left" w:pos="567"/>
              </w:tabs>
              <w:rPr>
                <w:rFonts w:eastAsia="Times New Roman"/>
                <w:b/>
                <w:strike/>
                <w:color w:val="FF0000"/>
                <w:szCs w:val="24"/>
                <w:lang w:eastAsia="tr-TR"/>
              </w:rPr>
            </w:pPr>
          </w:p>
        </w:tc>
      </w:tr>
      <w:tr w:rsidR="006203E7" w:rsidRPr="00A23740" w:rsidTr="009431FF">
        <w:tblPrEx>
          <w:tblLook w:val="01E0" w:firstRow="1" w:lastRow="1" w:firstColumn="1" w:lastColumn="1" w:noHBand="0" w:noVBand="0"/>
        </w:tblPrEx>
        <w:tc>
          <w:tcPr>
            <w:tcW w:w="5000" w:type="pct"/>
            <w:gridSpan w:val="2"/>
            <w:shd w:val="clear" w:color="auto" w:fill="DEEAF6"/>
          </w:tcPr>
          <w:p w:rsidR="002F5AD4" w:rsidRPr="00A23740" w:rsidRDefault="002F5AD4" w:rsidP="009431FF">
            <w:pPr>
              <w:ind w:firstLine="709"/>
              <w:rPr>
                <w:rFonts w:eastAsia="Times New Roman"/>
                <w:b/>
                <w:color w:val="000000"/>
                <w:szCs w:val="24"/>
                <w:lang w:eastAsia="tr-TR"/>
              </w:rPr>
            </w:pPr>
          </w:p>
          <w:p w:rsidR="002F5AD4" w:rsidRPr="00A23740" w:rsidRDefault="0037744E" w:rsidP="009431FF">
            <w:pPr>
              <w:ind w:firstLine="709"/>
              <w:rPr>
                <w:rFonts w:eastAsia="Times New Roman"/>
                <w:color w:val="000000"/>
                <w:szCs w:val="24"/>
                <w:lang w:eastAsia="tr-TR"/>
              </w:rPr>
            </w:pPr>
            <w:bookmarkStart w:id="2" w:name="_Hlk168569348"/>
            <w:r w:rsidRPr="00A23740">
              <w:rPr>
                <w:rFonts w:eastAsia="Times New Roman"/>
                <w:b/>
                <w:color w:val="000000"/>
                <w:szCs w:val="24"/>
                <w:lang w:eastAsia="tr-TR"/>
              </w:rPr>
              <w:t>MADDE 240</w:t>
            </w:r>
            <w:r w:rsidR="002F5AD4" w:rsidRPr="00A23740">
              <w:rPr>
                <w:rFonts w:eastAsia="Times New Roman"/>
                <w:color w:val="000000"/>
                <w:szCs w:val="24"/>
                <w:lang w:eastAsia="tr-TR"/>
              </w:rPr>
              <w:t xml:space="preserve">- Maddeyle, asgari satış bedeline ilişkin hususlar düzenlenmektedir. </w:t>
            </w:r>
          </w:p>
          <w:p w:rsidR="002F5AD4" w:rsidRPr="00A23740" w:rsidRDefault="002F5AD4" w:rsidP="009431FF">
            <w:pPr>
              <w:ind w:firstLine="709"/>
              <w:rPr>
                <w:rFonts w:eastAsia="Times New Roman"/>
                <w:color w:val="000000"/>
                <w:szCs w:val="24"/>
                <w:lang w:eastAsia="tr-TR"/>
              </w:rPr>
            </w:pPr>
            <w:r w:rsidRPr="00A23740">
              <w:rPr>
                <w:rFonts w:eastAsia="Times New Roman"/>
                <w:color w:val="000000"/>
                <w:szCs w:val="24"/>
                <w:lang w:eastAsia="tr-TR"/>
              </w:rPr>
              <w:t>Birinci fıkrayla, rızai satış bedelinin belirlenmesine ilişkin esaslar hükme bağlanmaktadır. Buna göre rızai satışta bedel</w:t>
            </w:r>
            <w:r w:rsidR="005D550C" w:rsidRPr="00A23740">
              <w:rPr>
                <w:rFonts w:eastAsia="Times New Roman"/>
                <w:color w:val="000000"/>
                <w:szCs w:val="24"/>
                <w:lang w:eastAsia="tr-TR"/>
              </w:rPr>
              <w:t>;</w:t>
            </w:r>
            <w:r w:rsidRPr="00A23740">
              <w:rPr>
                <w:rFonts w:eastAsia="Times New Roman"/>
                <w:color w:val="000000"/>
                <w:szCs w:val="24"/>
                <w:lang w:eastAsia="tr-TR"/>
              </w:rPr>
              <w:t xml:space="preserve"> malın tahmin edilen kıymetinin en az yüzde doksanına karşılık gelen miktarı ile o malla güvence altına alınan ve satış isteyenin alacağına rüçhanı olan alacakların toplamından hangisi fazla ise bu miktarı ve ayrıca bu miktara ilave olarak o aşamaya kadar haczedilen mal için yapılan haciz, paraya çevirme ve paylaştırma giderleri toplamından az olamaz. 2004 sayılı Kanundan farklı olarak takip masraflarının</w:t>
            </w:r>
            <w:r w:rsidR="005D550C" w:rsidRPr="00A23740">
              <w:rPr>
                <w:rFonts w:eastAsia="Times New Roman"/>
                <w:color w:val="000000"/>
                <w:szCs w:val="24"/>
                <w:lang w:eastAsia="tr-TR"/>
              </w:rPr>
              <w:t>;</w:t>
            </w:r>
            <w:r w:rsidRPr="00A23740">
              <w:rPr>
                <w:rFonts w:eastAsia="Times New Roman"/>
                <w:color w:val="000000"/>
                <w:szCs w:val="24"/>
                <w:lang w:eastAsia="tr-TR"/>
              </w:rPr>
              <w:t xml:space="preserve"> </w:t>
            </w:r>
            <w:r w:rsidRPr="00A23740">
              <w:rPr>
                <w:rFonts w:eastAsia="Times New Roman"/>
                <w:bCs/>
                <w:color w:val="000000"/>
                <w:lang w:eastAsia="tr-TR"/>
              </w:rPr>
              <w:t>haciz, paraya çevirme ve paylaştırma</w:t>
            </w:r>
            <w:r w:rsidRPr="00A23740">
              <w:rPr>
                <w:rFonts w:eastAsia="Times New Roman"/>
                <w:color w:val="000000"/>
                <w:lang w:eastAsia="tr-TR"/>
              </w:rPr>
              <w:t xml:space="preserve"> </w:t>
            </w:r>
            <w:r w:rsidRPr="00A23740">
              <w:rPr>
                <w:rFonts w:eastAsia="Times New Roman"/>
                <w:bCs/>
                <w:color w:val="000000"/>
                <w:lang w:eastAsia="tr-TR"/>
              </w:rPr>
              <w:t>gideri</w:t>
            </w:r>
            <w:r w:rsidR="005D550C" w:rsidRPr="00A23740">
              <w:rPr>
                <w:rFonts w:eastAsia="Times New Roman"/>
                <w:bCs/>
                <w:color w:val="000000"/>
                <w:lang w:eastAsia="tr-TR"/>
              </w:rPr>
              <w:t>nden ibaret</w:t>
            </w:r>
            <w:r w:rsidRPr="00A23740">
              <w:rPr>
                <w:rFonts w:eastAsia="Times New Roman"/>
                <w:bCs/>
                <w:color w:val="000000"/>
                <w:lang w:eastAsia="tr-TR"/>
              </w:rPr>
              <w:t xml:space="preserve"> olduğu hükümde açık bir şekilde düzenlenmektedir.</w:t>
            </w:r>
            <w:r w:rsidRPr="00A23740">
              <w:rPr>
                <w:rFonts w:eastAsia="Times New Roman"/>
                <w:color w:val="000000"/>
                <w:szCs w:val="24"/>
                <w:lang w:eastAsia="tr-TR"/>
              </w:rPr>
              <w:t xml:space="preserve"> Hüküm, 2004 sayılı Kanunun 111/a maddesinin ikinci fıkrasına karşılık gelmektedir.</w:t>
            </w:r>
          </w:p>
          <w:p w:rsidR="007855E7" w:rsidRDefault="002F5AD4" w:rsidP="003F10EF">
            <w:pPr>
              <w:ind w:firstLine="709"/>
              <w:rPr>
                <w:bCs/>
                <w:color w:val="000000"/>
                <w:szCs w:val="24"/>
                <w:lang w:val="x-none" w:eastAsia="x-none"/>
              </w:rPr>
            </w:pPr>
            <w:r w:rsidRPr="00A23740">
              <w:rPr>
                <w:rFonts w:eastAsia="Times New Roman"/>
                <w:color w:val="000000"/>
                <w:szCs w:val="24"/>
                <w:lang w:eastAsia="tr-TR"/>
              </w:rPr>
              <w:t>İkinci fıkrayla, bir yenilik olarak</w:t>
            </w:r>
            <w:r w:rsidR="005D550C" w:rsidRPr="00A23740">
              <w:rPr>
                <w:rFonts w:eastAsia="Times New Roman"/>
                <w:color w:val="000000"/>
                <w:szCs w:val="24"/>
                <w:lang w:eastAsia="tr-TR"/>
              </w:rPr>
              <w:t>,</w:t>
            </w:r>
            <w:r w:rsidRPr="00A23740">
              <w:rPr>
                <w:rFonts w:eastAsia="Times New Roman"/>
                <w:color w:val="000000"/>
                <w:szCs w:val="24"/>
                <w:lang w:eastAsia="tr-TR"/>
              </w:rPr>
              <w:t xml:space="preserve"> rızai satışa konu malın altın, gümüş, platin gibi değerli madenlerden </w:t>
            </w:r>
            <w:r w:rsidRPr="00D60C1D">
              <w:rPr>
                <w:bCs/>
                <w:color w:val="000000"/>
                <w:szCs w:val="24"/>
                <w:lang w:val="x-none" w:eastAsia="x-none"/>
              </w:rPr>
              <w:t>yapılmış olması h</w:t>
            </w:r>
            <w:r w:rsidR="00C224B4" w:rsidRPr="00D60C1D">
              <w:rPr>
                <w:bCs/>
                <w:color w:val="000000"/>
                <w:szCs w:val="24"/>
                <w:lang w:eastAsia="x-none"/>
              </w:rPr>
              <w:t>â</w:t>
            </w:r>
            <w:r w:rsidRPr="00D60C1D">
              <w:rPr>
                <w:bCs/>
                <w:color w:val="000000"/>
                <w:szCs w:val="24"/>
                <w:lang w:val="x-none" w:eastAsia="x-none"/>
              </w:rPr>
              <w:t>linde, malın rızai satış bedelinin maden kıymetinden az olamayacağı hüküm altına alınarak, Taslağın asgari ihale bedeli hakkındaki</w:t>
            </w:r>
            <w:r w:rsidR="00AD1D89" w:rsidRPr="00D60C1D">
              <w:rPr>
                <w:bCs/>
                <w:color w:val="000000"/>
                <w:szCs w:val="24"/>
                <w:lang w:eastAsia="x-none"/>
              </w:rPr>
              <w:t xml:space="preserve"> </w:t>
            </w:r>
            <w:r w:rsidR="00AD1D89" w:rsidRPr="00D60C1D">
              <w:rPr>
                <w:rStyle w:val="KonuBalChar"/>
                <w:rFonts w:eastAsia="Calibri"/>
                <w:b w:val="0"/>
                <w:color w:val="000000"/>
              </w:rPr>
              <w:t>246 ncı</w:t>
            </w:r>
            <w:r w:rsidRPr="00A23740">
              <w:rPr>
                <w:b/>
                <w:bCs/>
                <w:color w:val="0000FF"/>
                <w:szCs w:val="24"/>
                <w:lang w:val="x-none" w:eastAsia="x-none"/>
              </w:rPr>
              <w:t xml:space="preserve"> </w:t>
            </w:r>
            <w:r w:rsidRPr="00D60C1D">
              <w:rPr>
                <w:bCs/>
                <w:color w:val="000000"/>
                <w:szCs w:val="24"/>
                <w:lang w:val="x-none" w:eastAsia="x-none"/>
              </w:rPr>
              <w:t>maddesi ile paralellik sağlanmıştır.</w:t>
            </w:r>
            <w:bookmarkEnd w:id="2"/>
          </w:p>
          <w:p w:rsidR="003F10EF" w:rsidRPr="00A23740" w:rsidRDefault="003F10EF"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b/>
              </w:rPr>
            </w:pPr>
          </w:p>
          <w:p w:rsidR="00AA5C8C" w:rsidRPr="00A23740" w:rsidRDefault="00AA5C8C" w:rsidP="009431FF">
            <w:pPr>
              <w:tabs>
                <w:tab w:val="left" w:pos="567"/>
              </w:tabs>
            </w:pPr>
            <w:r w:rsidRPr="00A23740">
              <w:rPr>
                <w:b/>
                <w:color w:val="FF0000"/>
              </w:rPr>
              <w:t>MADDE 111/a/3:</w:t>
            </w:r>
            <w:r w:rsidRPr="00A23740">
              <w:t xml:space="preserve"> Borçluyla anlaşan alıcının belirlenen bedeli </w:t>
            </w:r>
            <w:r w:rsidRPr="00A23740">
              <w:rPr>
                <w:rStyle w:val="KIRMIZIChar"/>
                <w:rFonts w:eastAsia="Calibri"/>
              </w:rPr>
              <w:t>birinci fıkra uyarınca</w:t>
            </w:r>
            <w:r w:rsidRPr="00A23740">
              <w:t xml:space="preserve"> borçluya verilen </w:t>
            </w:r>
            <w:r w:rsidRPr="00A23740">
              <w:rPr>
                <w:rStyle w:val="KIRMIZIChar"/>
                <w:rFonts w:eastAsia="Calibri"/>
              </w:rPr>
              <w:t>on beş günlük</w:t>
            </w:r>
            <w:r w:rsidRPr="00A23740">
              <w:t xml:space="preserve"> süre içinde </w:t>
            </w:r>
            <w:r w:rsidRPr="00A23740">
              <w:rPr>
                <w:rStyle w:val="KIRMIZIChar"/>
                <w:rFonts w:eastAsia="Calibri"/>
              </w:rPr>
              <w:t>dosyaya</w:t>
            </w:r>
            <w:r w:rsidRPr="00A23740">
              <w:t xml:space="preserve"> ödemesi hâlinde icra müdürü, gerekli bilgi ve belgeler</w:t>
            </w:r>
            <w:r w:rsidRPr="00A23740">
              <w:rPr>
                <w:rStyle w:val="KIRMIZIChar"/>
                <w:rFonts w:eastAsia="Calibri"/>
              </w:rPr>
              <w:t>i</w:t>
            </w:r>
            <w:r w:rsidRPr="00A23740">
              <w:t xml:space="preserve"> </w:t>
            </w:r>
            <w:r w:rsidRPr="00A23740">
              <w:rPr>
                <w:rStyle w:val="KIRMIZIChar"/>
                <w:rFonts w:eastAsia="Calibri"/>
              </w:rPr>
              <w:t>temin ettikten sonra yukarıda belirtilen</w:t>
            </w:r>
            <w:r w:rsidRPr="00A23740">
              <w:t xml:space="preserve"> şartların bulunduğunu tespit </w:t>
            </w:r>
            <w:r w:rsidRPr="00A23740">
              <w:rPr>
                <w:rStyle w:val="KIRMIZIChar"/>
                <w:rFonts w:eastAsia="Calibri"/>
              </w:rPr>
              <w:t>ederse</w:t>
            </w:r>
            <w:r w:rsidRPr="00A23740">
              <w:t xml:space="preserve"> satışın </w:t>
            </w:r>
            <w:r w:rsidRPr="00A23740">
              <w:rPr>
                <w:rStyle w:val="KIRMIZIChar"/>
                <w:rFonts w:eastAsia="Calibri"/>
              </w:rPr>
              <w:t>onayı ile</w:t>
            </w:r>
            <w:r w:rsidRPr="00A23740">
              <w:t xml:space="preserve"> malın devir ve teslim işlemlerinin </w:t>
            </w:r>
            <w:r w:rsidRPr="00A23740">
              <w:rPr>
                <w:rStyle w:val="KIRMIZIChar"/>
                <w:rFonts w:eastAsia="Calibri"/>
              </w:rPr>
              <w:t>yapılmasına</w:t>
            </w:r>
            <w:r w:rsidRPr="00A23740">
              <w:t xml:space="preserve"> karar verilmesi için dosyayı derhâl icra mahkemesine gönderir. </w:t>
            </w:r>
          </w:p>
          <w:p w:rsidR="00AA5C8C" w:rsidRPr="00A23740" w:rsidRDefault="00AA5C8C" w:rsidP="009431FF">
            <w:pPr>
              <w:tabs>
                <w:tab w:val="left" w:pos="567"/>
              </w:tabs>
            </w:pPr>
          </w:p>
          <w:p w:rsidR="005F6587" w:rsidRPr="00A23740" w:rsidRDefault="005F6587" w:rsidP="009431FF">
            <w:pPr>
              <w:tabs>
                <w:tab w:val="left" w:pos="567"/>
              </w:tabs>
            </w:pPr>
          </w:p>
          <w:p w:rsidR="00AA5C8C" w:rsidRPr="00A23740" w:rsidRDefault="005F6587" w:rsidP="009431FF">
            <w:pPr>
              <w:tabs>
                <w:tab w:val="left" w:pos="567"/>
              </w:tabs>
              <w:rPr>
                <w:b/>
                <w:bCs/>
                <w:strike/>
                <w:color w:val="FF0000"/>
                <w:szCs w:val="24"/>
              </w:rPr>
            </w:pPr>
            <w:r>
              <w:rPr>
                <w:b/>
                <w:color w:val="FF0000"/>
              </w:rPr>
              <w:t>M.111/a/3.C</w:t>
            </w:r>
            <w:r w:rsidR="00AA5C8C" w:rsidRPr="00A23740">
              <w:rPr>
                <w:b/>
                <w:color w:val="FF0000"/>
              </w:rPr>
              <w:t>2:</w:t>
            </w:r>
            <w:r w:rsidR="00AA5C8C" w:rsidRPr="00A23740">
              <w:t xml:space="preserve"> </w:t>
            </w:r>
            <w:r w:rsidR="00AA5C8C" w:rsidRPr="00A23740">
              <w:rPr>
                <w:rStyle w:val="KIRMIZIChar"/>
                <w:rFonts w:eastAsia="Calibri"/>
              </w:rPr>
              <w:t>Mahkeme, en geç on gün içinde yapacağı inceleme sonucunda dosya üzerinden talebin kabulüne veya reddine kesin olarak karar verir. Kabul kararıyla malın mülkiyeti alıcıya geçer ve tüm hacizler kaldırılarak devir ve teslim işlemleri gerçekleştirilir. Ret kararı verilmesi hâlinde yatır</w:t>
            </w:r>
            <w:r w:rsidR="00772D07" w:rsidRPr="00A23740">
              <w:rPr>
                <w:rStyle w:val="KIRMIZIChar"/>
                <w:rFonts w:eastAsia="Calibri"/>
              </w:rPr>
              <w:t>dığı bedel alıcıya iade edilir.</w:t>
            </w:r>
          </w:p>
          <w:p w:rsidR="00AA5C8C" w:rsidRPr="00A23740" w:rsidRDefault="00AA5C8C" w:rsidP="009431FF">
            <w:pPr>
              <w:tabs>
                <w:tab w:val="left" w:pos="567"/>
              </w:tabs>
              <w:rPr>
                <w:b/>
              </w:rPr>
            </w:pPr>
          </w:p>
        </w:tc>
        <w:tc>
          <w:tcPr>
            <w:tcW w:w="2500" w:type="pct"/>
          </w:tcPr>
          <w:p w:rsidR="00AD70FB" w:rsidRPr="00A23740" w:rsidRDefault="00AD70FB"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Satışın </w:t>
            </w:r>
            <w:r w:rsidRPr="00A23740">
              <w:rPr>
                <w:rStyle w:val="MaviChar"/>
              </w:rPr>
              <w:t>onaylanması ve</w:t>
            </w:r>
            <w:r w:rsidRPr="00A23740">
              <w:rPr>
                <w:rFonts w:eastAsia="Times New Roman"/>
                <w:b/>
                <w:color w:val="0000FF"/>
                <w:szCs w:val="24"/>
                <w:lang w:val="x-none" w:eastAsia="tr-TR"/>
              </w:rPr>
              <w:t xml:space="preserve"> </w:t>
            </w:r>
            <w:r w:rsidRPr="00A23740">
              <w:rPr>
                <w:rFonts w:eastAsia="Times New Roman"/>
                <w:b/>
                <w:color w:val="0000FF"/>
                <w:szCs w:val="24"/>
                <w:lang w:eastAsia="tr-TR"/>
              </w:rPr>
              <w:t>diğer işlemler</w:t>
            </w:r>
          </w:p>
          <w:p w:rsidR="00AD70FB" w:rsidRPr="00A23740" w:rsidRDefault="0037744E" w:rsidP="009431FF">
            <w:pPr>
              <w:tabs>
                <w:tab w:val="left" w:pos="567"/>
              </w:tabs>
            </w:pPr>
            <w:r w:rsidRPr="00A23740">
              <w:rPr>
                <w:rFonts w:eastAsia="Times New Roman"/>
                <w:b/>
                <w:color w:val="0000FF"/>
                <w:szCs w:val="24"/>
                <w:lang w:eastAsia="tr-TR"/>
              </w:rPr>
              <w:t>MADDE 241</w:t>
            </w:r>
            <w:r w:rsidR="00AD70FB" w:rsidRPr="00A23740">
              <w:rPr>
                <w:rFonts w:eastAsia="Times New Roman"/>
                <w:b/>
                <w:color w:val="0000FF"/>
                <w:szCs w:val="24"/>
                <w:lang w:eastAsia="tr-TR"/>
              </w:rPr>
              <w:t xml:space="preserve">- (1) </w:t>
            </w:r>
            <w:r w:rsidR="00AD70FB" w:rsidRPr="00A23740">
              <w:t xml:space="preserve">Borçluyla anlaşan alıcının belirlenen bedeli borçluya verilen </w:t>
            </w:r>
            <w:r w:rsidR="00AD70FB" w:rsidRPr="00A23740">
              <w:rPr>
                <w:rFonts w:eastAsia="Times New Roman"/>
                <w:b/>
                <w:color w:val="0000FF"/>
                <w:szCs w:val="24"/>
                <w:lang w:eastAsia="tr-TR"/>
              </w:rPr>
              <w:t>iki haftalık</w:t>
            </w:r>
            <w:r w:rsidR="00AD70FB" w:rsidRPr="00A23740">
              <w:t xml:space="preserve"> süre içinde </w:t>
            </w:r>
            <w:r w:rsidR="00AD70FB" w:rsidRPr="00A23740">
              <w:rPr>
                <w:rStyle w:val="MaviChar"/>
              </w:rPr>
              <w:t>icra ve iflas dairesinin banka hesabına</w:t>
            </w:r>
            <w:r w:rsidR="00AD70FB" w:rsidRPr="00A23740">
              <w:rPr>
                <w:lang w:val="x-none"/>
              </w:rPr>
              <w:t xml:space="preserve"> </w:t>
            </w:r>
            <w:r w:rsidR="00AD70FB" w:rsidRPr="00A23740">
              <w:t>ödemesi hâlinde</w:t>
            </w:r>
            <w:r w:rsidR="00FF45DC" w:rsidRPr="00372868">
              <w:rPr>
                <w:rStyle w:val="MaviChar"/>
              </w:rPr>
              <w:t>,</w:t>
            </w:r>
            <w:r w:rsidR="00AD70FB" w:rsidRPr="00A23740">
              <w:t xml:space="preserve"> icra </w:t>
            </w:r>
            <w:r w:rsidR="00AD70FB" w:rsidRPr="00A23740">
              <w:rPr>
                <w:rStyle w:val="MaviChar"/>
              </w:rPr>
              <w:t>ve iflas dairesi</w:t>
            </w:r>
            <w:r w:rsidR="00AD70FB" w:rsidRPr="00A23740">
              <w:t xml:space="preserve"> </w:t>
            </w:r>
            <w:r w:rsidR="00AD70FB" w:rsidRPr="00A23740">
              <w:rPr>
                <w:rStyle w:val="MaviChar"/>
              </w:rPr>
              <w:t>en geç üç gün içinde</w:t>
            </w:r>
            <w:r w:rsidR="00AD70FB" w:rsidRPr="00A23740">
              <w:rPr>
                <w:lang w:val="x-none"/>
              </w:rPr>
              <w:t xml:space="preserve"> </w:t>
            </w:r>
            <w:r w:rsidR="00AD70FB" w:rsidRPr="00A23740">
              <w:t>gerekli bilgi ve belgeler</w:t>
            </w:r>
            <w:r w:rsidR="00AD70FB" w:rsidRPr="00A23740">
              <w:rPr>
                <w:rStyle w:val="MaviChar"/>
              </w:rPr>
              <w:t>le birlikte ve satış şartlarının</w:t>
            </w:r>
            <w:r w:rsidR="00AD70FB" w:rsidRPr="00A23740">
              <w:t xml:space="preserve"> bulunduğunu tespit </w:t>
            </w:r>
            <w:r w:rsidR="00AD70FB" w:rsidRPr="00A23740">
              <w:rPr>
                <w:rStyle w:val="MaviChar"/>
              </w:rPr>
              <w:t>ettiği takdirde</w:t>
            </w:r>
            <w:r w:rsidR="00FF45DC" w:rsidRPr="00372868">
              <w:rPr>
                <w:rStyle w:val="MaviChar"/>
              </w:rPr>
              <w:t>,</w:t>
            </w:r>
            <w:r w:rsidR="00AD70FB" w:rsidRPr="00A23740">
              <w:t xml:space="preserve"> satışın </w:t>
            </w:r>
            <w:r w:rsidR="00AD70FB" w:rsidRPr="00A23740">
              <w:rPr>
                <w:rStyle w:val="MaviChar"/>
              </w:rPr>
              <w:t>onaylanmasına ve</w:t>
            </w:r>
            <w:r w:rsidR="00AD70FB" w:rsidRPr="00A23740">
              <w:rPr>
                <w:lang w:val="x-none"/>
              </w:rPr>
              <w:t xml:space="preserve"> </w:t>
            </w:r>
            <w:r w:rsidR="00AD70FB" w:rsidRPr="00A23740">
              <w:t xml:space="preserve">malın devir ve teslim işlemlerinin </w:t>
            </w:r>
            <w:r w:rsidR="00AD70FB" w:rsidRPr="00A23740">
              <w:rPr>
                <w:rStyle w:val="MaviChar"/>
              </w:rPr>
              <w:t>gerçekleştirilmesine</w:t>
            </w:r>
            <w:r w:rsidR="00AD70FB" w:rsidRPr="00A23740">
              <w:rPr>
                <w:lang w:val="x-none"/>
              </w:rPr>
              <w:t xml:space="preserve"> </w:t>
            </w:r>
            <w:r w:rsidR="00AD70FB" w:rsidRPr="00A23740">
              <w:t xml:space="preserve">karar verilmesi için dosyayı icra </w:t>
            </w:r>
            <w:r w:rsidR="00AD70FB" w:rsidRPr="00A23740">
              <w:rPr>
                <w:rFonts w:eastAsia="Times New Roman"/>
                <w:b/>
                <w:color w:val="0000FF"/>
                <w:szCs w:val="24"/>
                <w:lang w:eastAsia="tr-TR"/>
              </w:rPr>
              <w:t>hukuk</w:t>
            </w:r>
            <w:r w:rsidR="00AD70FB" w:rsidRPr="00A23740">
              <w:t xml:space="preserve"> mahkemesine gönderir.</w:t>
            </w:r>
          </w:p>
          <w:p w:rsidR="00AD70FB" w:rsidRPr="00A23740" w:rsidRDefault="00AD70FB" w:rsidP="009431FF">
            <w:pPr>
              <w:tabs>
                <w:tab w:val="left" w:pos="567"/>
              </w:tabs>
            </w:pPr>
          </w:p>
          <w:p w:rsidR="00AD70FB" w:rsidRPr="00A23740" w:rsidRDefault="00AD70FB" w:rsidP="009431FF">
            <w:pPr>
              <w:pStyle w:val="Mavi"/>
            </w:pPr>
            <w:r w:rsidRPr="00A23740">
              <w:rPr>
                <w:rStyle w:val="MaviChar"/>
                <w:b/>
                <w:bCs/>
              </w:rPr>
              <w:t>(2) İcra hukuk mahkemesi</w:t>
            </w:r>
            <w:r w:rsidR="00FE77A6" w:rsidRPr="00372868">
              <w:t>, derh</w:t>
            </w:r>
            <w:r w:rsidR="00DF22A1" w:rsidRPr="00372868">
              <w:t>â</w:t>
            </w:r>
            <w:r w:rsidR="00FE77A6" w:rsidRPr="00372868">
              <w:t>l,</w:t>
            </w:r>
            <w:r w:rsidRPr="00372868">
              <w:t xml:space="preserve"> talebi</w:t>
            </w:r>
            <w:r w:rsidR="00FF45DC" w:rsidRPr="00372868">
              <w:t xml:space="preserve"> ve belirleyeceği duruşma gününü bu mala</w:t>
            </w:r>
            <w:r w:rsidRPr="00A23740">
              <w:rPr>
                <w:rStyle w:val="MaviChar"/>
                <w:b/>
                <w:bCs/>
              </w:rPr>
              <w:t xml:space="preserve"> haciz</w:t>
            </w:r>
            <w:r w:rsidR="001B15DA" w:rsidRPr="00A23740">
              <w:rPr>
                <w:rStyle w:val="MaviChar"/>
                <w:b/>
                <w:bCs/>
                <w:lang w:val="tr-TR"/>
              </w:rPr>
              <w:t xml:space="preserve"> </w:t>
            </w:r>
            <w:r w:rsidR="001B15DA" w:rsidRPr="00372868">
              <w:t>koydurmuş</w:t>
            </w:r>
            <w:r w:rsidR="00FF45DC" w:rsidRPr="00372868">
              <w:t xml:space="preserve"> olan</w:t>
            </w:r>
            <w:r w:rsidR="001B15DA" w:rsidRPr="00A23740">
              <w:rPr>
                <w:rStyle w:val="MaviChar"/>
                <w:b/>
                <w:bCs/>
                <w:lang w:val="tr-TR"/>
              </w:rPr>
              <w:t xml:space="preserve"> </w:t>
            </w:r>
            <w:r w:rsidR="001B15DA" w:rsidRPr="00372868">
              <w:t>alacaklılara</w:t>
            </w:r>
            <w:r w:rsidRPr="00A23740">
              <w:rPr>
                <w:rStyle w:val="MaviChar"/>
                <w:b/>
                <w:bCs/>
              </w:rPr>
              <w:t>, borçluya ve gerekiyorsa diğer ilgilere tebliğ eder</w:t>
            </w:r>
            <w:r w:rsidR="00146046" w:rsidRPr="00A23740">
              <w:rPr>
                <w:rStyle w:val="MaviChar"/>
                <w:b/>
                <w:bCs/>
                <w:lang w:val="tr-TR"/>
              </w:rPr>
              <w:t>,</w:t>
            </w:r>
            <w:r w:rsidR="00FF45DC" w:rsidRPr="00A23740">
              <w:rPr>
                <w:rStyle w:val="MaviChar"/>
                <w:b/>
                <w:bCs/>
                <w:lang w:val="tr-TR"/>
              </w:rPr>
              <w:t xml:space="preserve"> </w:t>
            </w:r>
            <w:r w:rsidR="00FF45DC" w:rsidRPr="00372868">
              <w:t>belirlenen günde</w:t>
            </w:r>
            <w:r w:rsidR="00146046" w:rsidRPr="00A23740">
              <w:rPr>
                <w:rStyle w:val="MaviChar"/>
                <w:b/>
                <w:bCs/>
              </w:rPr>
              <w:t xml:space="preserve"> duruşma yapar ve ç</w:t>
            </w:r>
            <w:r w:rsidRPr="00A23740">
              <w:rPr>
                <w:rStyle w:val="MaviChar"/>
                <w:b/>
                <w:bCs/>
              </w:rPr>
              <w:t>ağrılan kimseler gelmese dahi dosya</w:t>
            </w:r>
            <w:r w:rsidR="00146046" w:rsidRPr="00A23740">
              <w:rPr>
                <w:rStyle w:val="MaviChar"/>
                <w:b/>
                <w:bCs/>
                <w:lang w:val="tr-TR"/>
              </w:rPr>
              <w:t>yı</w:t>
            </w:r>
            <w:r w:rsidRPr="00A23740">
              <w:rPr>
                <w:rStyle w:val="MaviChar"/>
                <w:b/>
                <w:bCs/>
              </w:rPr>
              <w:t xml:space="preserve"> incele</w:t>
            </w:r>
            <w:r w:rsidR="00146046" w:rsidRPr="00A23740">
              <w:rPr>
                <w:rStyle w:val="MaviChar"/>
                <w:b/>
                <w:bCs/>
                <w:lang w:val="tr-TR"/>
              </w:rPr>
              <w:t>yerek</w:t>
            </w:r>
            <w:r w:rsidR="003F30A8" w:rsidRPr="00A23740">
              <w:rPr>
                <w:rStyle w:val="YELChar"/>
                <w:b/>
                <w:lang w:val="tr-TR"/>
              </w:rPr>
              <w:t xml:space="preserve"> </w:t>
            </w:r>
            <w:r w:rsidR="003F30A8" w:rsidRPr="00372868">
              <w:t xml:space="preserve">duruşmadan itibaren en geç </w:t>
            </w:r>
            <w:r w:rsidR="00FE77A6" w:rsidRPr="00372868">
              <w:t>bir</w:t>
            </w:r>
            <w:r w:rsidR="003F30A8" w:rsidRPr="00372868">
              <w:t xml:space="preserve"> hafta içinde</w:t>
            </w:r>
            <w:r w:rsidR="00146046" w:rsidRPr="00A23740">
              <w:rPr>
                <w:rStyle w:val="MaviChar"/>
                <w:b/>
                <w:bCs/>
                <w:lang w:val="tr-TR"/>
              </w:rPr>
              <w:t xml:space="preserve"> </w:t>
            </w:r>
            <w:r w:rsidR="00FF45DC" w:rsidRPr="00A23740">
              <w:rPr>
                <w:lang w:val="tr-TR"/>
              </w:rPr>
              <w:t xml:space="preserve">onaylama </w:t>
            </w:r>
            <w:r w:rsidRPr="00A23740">
              <w:t>talebinin</w:t>
            </w:r>
            <w:r w:rsidR="00FF45DC" w:rsidRPr="00A23740">
              <w:rPr>
                <w:lang w:val="tr-TR"/>
              </w:rPr>
              <w:t xml:space="preserve"> </w:t>
            </w:r>
            <w:r w:rsidRPr="00A23740">
              <w:t>kabulüne veya reddine karar verir.</w:t>
            </w:r>
          </w:p>
          <w:p w:rsidR="00AA5C8C" w:rsidRPr="00A23740" w:rsidRDefault="00AA5C8C" w:rsidP="009431FF">
            <w:pPr>
              <w:tabs>
                <w:tab w:val="left" w:pos="567"/>
              </w:tabs>
              <w:rPr>
                <w:rStyle w:val="YELChar"/>
              </w:rPr>
            </w:pPr>
          </w:p>
        </w:tc>
      </w:tr>
      <w:tr w:rsidR="006203E7" w:rsidRPr="00A23740" w:rsidTr="009431FF">
        <w:tblPrEx>
          <w:tblLook w:val="01E0" w:firstRow="1" w:lastRow="1" w:firstColumn="1" w:lastColumn="1" w:noHBand="0" w:noVBand="0"/>
        </w:tblPrEx>
        <w:tc>
          <w:tcPr>
            <w:tcW w:w="5000" w:type="pct"/>
            <w:gridSpan w:val="2"/>
            <w:shd w:val="clear" w:color="auto" w:fill="DEEAF6"/>
          </w:tcPr>
          <w:p w:rsidR="002F5AD4" w:rsidRPr="00A23740" w:rsidRDefault="002F5AD4" w:rsidP="009431FF">
            <w:pPr>
              <w:ind w:firstLine="709"/>
              <w:rPr>
                <w:rFonts w:eastAsia="Times New Roman"/>
                <w:b/>
                <w:color w:val="000000"/>
                <w:szCs w:val="24"/>
                <w:lang w:eastAsia="tr-TR"/>
              </w:rPr>
            </w:pPr>
          </w:p>
          <w:p w:rsidR="002F5AD4" w:rsidRPr="00A23740" w:rsidRDefault="0037744E" w:rsidP="009431FF">
            <w:pPr>
              <w:ind w:firstLine="709"/>
              <w:rPr>
                <w:rFonts w:eastAsia="Times New Roman"/>
                <w:color w:val="000000"/>
                <w:szCs w:val="24"/>
                <w:lang w:eastAsia="tr-TR"/>
              </w:rPr>
            </w:pPr>
            <w:r w:rsidRPr="00A23740">
              <w:rPr>
                <w:rFonts w:eastAsia="Times New Roman"/>
                <w:b/>
                <w:color w:val="000000"/>
                <w:szCs w:val="24"/>
                <w:lang w:eastAsia="tr-TR"/>
              </w:rPr>
              <w:t>MADDE 241</w:t>
            </w:r>
            <w:r w:rsidR="002F5AD4" w:rsidRPr="00A23740">
              <w:rPr>
                <w:rFonts w:eastAsia="Times New Roman"/>
                <w:color w:val="000000"/>
                <w:szCs w:val="24"/>
                <w:lang w:eastAsia="tr-TR"/>
              </w:rPr>
              <w:t>- Maddeyle, satışın onaylanması ve diğer işlemlere ilişkin hususlar düzenlenmektedir. Hüküm, 2004 sayılı Kanunun 111/a maddesinin üçüncü fıkrasına karşılık gelmektedir.</w:t>
            </w:r>
          </w:p>
          <w:p w:rsidR="002F5AD4" w:rsidRPr="00A23740" w:rsidRDefault="002F5AD4" w:rsidP="009431FF">
            <w:pPr>
              <w:ind w:firstLine="709"/>
              <w:rPr>
                <w:rFonts w:eastAsia="Times New Roman"/>
                <w:color w:val="000000"/>
                <w:szCs w:val="24"/>
                <w:lang w:eastAsia="tr-TR"/>
              </w:rPr>
            </w:pPr>
            <w:r w:rsidRPr="00A23740">
              <w:rPr>
                <w:rFonts w:eastAsia="Times New Roman"/>
                <w:color w:val="000000"/>
                <w:szCs w:val="24"/>
                <w:lang w:eastAsia="tr-TR"/>
              </w:rPr>
              <w:t xml:space="preserve">Birinci fıkrayla, satış bedelinin ödenmesine ilişkin esaslar belirlenmektedir. Hükme göre borçluyla anlaşan alıcının, belirlenen bedeli borçluya verilen iki haftalık süre içinde icra </w:t>
            </w:r>
            <w:r w:rsidR="00B73523" w:rsidRPr="00372868">
              <w:rPr>
                <w:rFonts w:eastAsia="Times New Roman"/>
                <w:color w:val="000000"/>
                <w:szCs w:val="24"/>
                <w:lang w:eastAsia="tr-TR"/>
              </w:rPr>
              <w:t xml:space="preserve">ve iflas </w:t>
            </w:r>
            <w:r w:rsidRPr="00A23740">
              <w:rPr>
                <w:rFonts w:eastAsia="Times New Roman"/>
                <w:color w:val="000000"/>
                <w:szCs w:val="24"/>
                <w:lang w:eastAsia="tr-TR"/>
              </w:rPr>
              <w:t>dairesinin banka hesabına ödemesi hâlinde icra</w:t>
            </w:r>
            <w:r w:rsidR="00B73523" w:rsidRPr="00372868">
              <w:rPr>
                <w:rFonts w:eastAsia="Times New Roman"/>
                <w:color w:val="000000"/>
                <w:szCs w:val="24"/>
                <w:lang w:eastAsia="tr-TR"/>
              </w:rPr>
              <w:t xml:space="preserve"> ve iflas</w:t>
            </w:r>
            <w:r w:rsidRPr="00A23740">
              <w:rPr>
                <w:rFonts w:eastAsia="Times New Roman"/>
                <w:color w:val="000000"/>
                <w:szCs w:val="24"/>
                <w:lang w:eastAsia="tr-TR"/>
              </w:rPr>
              <w:t xml:space="preserve"> dairesi, en geç üç gün içinde, gerekli bilgi ve belgelerle birlikte ve satış şartlarının bulunduğunu tespit ettiği takdirde satışın onaylanmasına ve malın devir ve teslim işlemlerinin gerçekleştirilmesine karar verilmesi için dosyayı icra hukuk mahkemesine gönderir. 2004 sayılı Kanunun 111/a maddesinin üçüncü fıkrasından farklı olarak on beş günlük süre yeknesaklığın sağlanması amacıyla iki hafta olarak değiştirilmekte ve ayrıca işlemlerin daha hızlı bir şekilde yapılması için icra </w:t>
            </w:r>
            <w:r w:rsidR="00B73523" w:rsidRPr="00372868">
              <w:rPr>
                <w:rFonts w:eastAsia="Times New Roman"/>
                <w:color w:val="000000"/>
                <w:szCs w:val="24"/>
                <w:lang w:eastAsia="tr-TR"/>
              </w:rPr>
              <w:t xml:space="preserve">ve iflas </w:t>
            </w:r>
            <w:r w:rsidRPr="00A23740">
              <w:rPr>
                <w:rFonts w:eastAsia="Times New Roman"/>
                <w:color w:val="000000"/>
                <w:szCs w:val="24"/>
                <w:lang w:eastAsia="tr-TR"/>
              </w:rPr>
              <w:t xml:space="preserve">dairesine üç gün süre verilmektedir. </w:t>
            </w:r>
          </w:p>
          <w:p w:rsidR="003F30A8" w:rsidRPr="00A23740" w:rsidRDefault="002F5AD4" w:rsidP="009431FF">
            <w:pPr>
              <w:ind w:firstLine="709"/>
              <w:rPr>
                <w:rFonts w:eastAsia="Times New Roman"/>
                <w:color w:val="000000"/>
                <w:szCs w:val="24"/>
                <w:lang w:eastAsia="tr-TR"/>
              </w:rPr>
            </w:pPr>
            <w:r w:rsidRPr="00A23740">
              <w:rPr>
                <w:rFonts w:eastAsia="Times New Roman"/>
                <w:color w:val="000000"/>
                <w:szCs w:val="24"/>
                <w:lang w:eastAsia="tr-TR"/>
              </w:rPr>
              <w:t>İkinci fıkrayla, dosya kendisine gönderilen icra hukuk mahkemesinin yapacağı işlemler düzenlenmektedir. Buna göre, icra hukuk mahkemesi,</w:t>
            </w:r>
            <w:r w:rsidR="00FE77A6" w:rsidRPr="00A23740">
              <w:rPr>
                <w:rFonts w:eastAsia="Times New Roman"/>
                <w:color w:val="000000"/>
                <w:szCs w:val="24"/>
                <w:lang w:eastAsia="tr-TR"/>
              </w:rPr>
              <w:t xml:space="preserve"> </w:t>
            </w:r>
            <w:r w:rsidR="00DF22A1" w:rsidRPr="00A23740">
              <w:rPr>
                <w:szCs w:val="24"/>
              </w:rPr>
              <w:t>derhâl</w:t>
            </w:r>
            <w:r w:rsidR="00FE77A6" w:rsidRPr="00A23740">
              <w:rPr>
                <w:rFonts w:eastAsia="Times New Roman"/>
                <w:color w:val="000000"/>
                <w:szCs w:val="24"/>
                <w:lang w:eastAsia="tr-TR"/>
              </w:rPr>
              <w:t>,</w:t>
            </w:r>
            <w:r w:rsidRPr="00A23740">
              <w:rPr>
                <w:rFonts w:eastAsia="Times New Roman"/>
                <w:color w:val="000000"/>
                <w:szCs w:val="24"/>
                <w:lang w:eastAsia="tr-TR"/>
              </w:rPr>
              <w:t xml:space="preserve"> talebi </w:t>
            </w:r>
            <w:r w:rsidRPr="00D60C1D">
              <w:rPr>
                <w:bCs/>
                <w:color w:val="000000"/>
                <w:szCs w:val="24"/>
                <w:lang w:val="x-none" w:eastAsia="x-none"/>
              </w:rPr>
              <w:t>ve belirleyeceği duruşma gününü bu mala haciz koydurmuş olan alacaklılara,</w:t>
            </w:r>
            <w:r w:rsidRPr="00A23740">
              <w:rPr>
                <w:rFonts w:eastAsia="Times New Roman"/>
                <w:color w:val="000000"/>
                <w:szCs w:val="24"/>
                <w:lang w:eastAsia="tr-TR"/>
              </w:rPr>
              <w:t xml:space="preserve"> borçluya ve gerekiyorsa diğer ilgilere tebliğ edip, </w:t>
            </w:r>
            <w:r w:rsidRPr="00D60C1D">
              <w:rPr>
                <w:bCs/>
                <w:color w:val="000000"/>
                <w:szCs w:val="24"/>
                <w:lang w:val="x-none" w:eastAsia="x-none"/>
              </w:rPr>
              <w:t>belirlenen günde</w:t>
            </w:r>
            <w:r w:rsidRPr="00A23740">
              <w:rPr>
                <w:rFonts w:eastAsia="Times New Roman"/>
                <w:color w:val="000000"/>
                <w:szCs w:val="24"/>
                <w:lang w:eastAsia="tr-TR"/>
              </w:rPr>
              <w:t xml:space="preserve"> duruşma </w:t>
            </w:r>
            <w:r w:rsidRPr="00D60C1D">
              <w:rPr>
                <w:bCs/>
                <w:color w:val="000000"/>
                <w:szCs w:val="24"/>
                <w:lang w:val="x-none" w:eastAsia="x-none"/>
              </w:rPr>
              <w:t>yapar</w:t>
            </w:r>
            <w:r w:rsidRPr="00A23740">
              <w:rPr>
                <w:rFonts w:eastAsia="Times New Roman"/>
                <w:color w:val="000000"/>
                <w:szCs w:val="24"/>
                <w:lang w:eastAsia="tr-TR"/>
              </w:rPr>
              <w:t xml:space="preserve"> ve çağrılan kimseler gelmese</w:t>
            </w:r>
            <w:r w:rsidR="005D550C" w:rsidRPr="00A23740">
              <w:rPr>
                <w:rFonts w:eastAsia="Times New Roman"/>
                <w:color w:val="000000"/>
                <w:szCs w:val="24"/>
                <w:lang w:eastAsia="tr-TR"/>
              </w:rPr>
              <w:t>ler</w:t>
            </w:r>
            <w:r w:rsidRPr="00A23740">
              <w:rPr>
                <w:rFonts w:eastAsia="Times New Roman"/>
                <w:color w:val="000000"/>
                <w:szCs w:val="24"/>
                <w:lang w:eastAsia="tr-TR"/>
              </w:rPr>
              <w:t xml:space="preserve"> dahi dosyayı inceleyerek, </w:t>
            </w:r>
            <w:r w:rsidRPr="00D60C1D">
              <w:rPr>
                <w:bCs/>
                <w:color w:val="000000"/>
                <w:szCs w:val="24"/>
                <w:lang w:val="x-none" w:eastAsia="x-none"/>
              </w:rPr>
              <w:t xml:space="preserve">duruşmadan itibaren en geç </w:t>
            </w:r>
            <w:r w:rsidR="00FE77A6" w:rsidRPr="00D60C1D">
              <w:rPr>
                <w:bCs/>
                <w:color w:val="000000"/>
                <w:szCs w:val="24"/>
                <w:lang w:eastAsia="x-none"/>
              </w:rPr>
              <w:t>bir</w:t>
            </w:r>
            <w:r w:rsidRPr="00D60C1D">
              <w:rPr>
                <w:bCs/>
                <w:color w:val="000000"/>
                <w:szCs w:val="24"/>
                <w:lang w:val="x-none" w:eastAsia="x-none"/>
              </w:rPr>
              <w:t xml:space="preserve"> hafta içinde</w:t>
            </w:r>
            <w:r w:rsidRPr="00A23740">
              <w:rPr>
                <w:rFonts w:eastAsia="Times New Roman"/>
                <w:color w:val="000000"/>
                <w:szCs w:val="24"/>
                <w:lang w:eastAsia="tr-TR"/>
              </w:rPr>
              <w:t xml:space="preserve"> </w:t>
            </w:r>
            <w:r w:rsidR="00A84621" w:rsidRPr="00D60C1D">
              <w:rPr>
                <w:rFonts w:eastAsia="Times New Roman"/>
                <w:color w:val="000000"/>
                <w:szCs w:val="24"/>
                <w:lang w:eastAsia="tr-TR"/>
              </w:rPr>
              <w:t>onaylama</w:t>
            </w:r>
            <w:r w:rsidR="00A84621" w:rsidRPr="00A23740">
              <w:rPr>
                <w:rFonts w:eastAsia="Times New Roman"/>
                <w:color w:val="385623"/>
                <w:szCs w:val="24"/>
                <w:lang w:eastAsia="tr-TR"/>
              </w:rPr>
              <w:t xml:space="preserve"> </w:t>
            </w:r>
            <w:r w:rsidRPr="00A23740">
              <w:rPr>
                <w:rFonts w:eastAsia="Times New Roman"/>
                <w:color w:val="000000"/>
                <w:szCs w:val="24"/>
                <w:lang w:eastAsia="tr-TR"/>
              </w:rPr>
              <w:t xml:space="preserve">talebinin kabulüne veya reddine karar verir. 2004 sayılı Kanunun 111/a maddesinin üçüncü fıkrasına göre, </w:t>
            </w:r>
            <w:r w:rsidRPr="00D60C1D">
              <w:rPr>
                <w:bCs/>
                <w:color w:val="000000"/>
                <w:szCs w:val="24"/>
                <w:lang w:val="x-none" w:eastAsia="x-none"/>
              </w:rPr>
              <w:t>icra mahkemesinin dosya üzerinden inc</w:t>
            </w:r>
            <w:r w:rsidR="00FE77A6" w:rsidRPr="00D60C1D">
              <w:rPr>
                <w:bCs/>
                <w:color w:val="000000"/>
                <w:szCs w:val="24"/>
                <w:lang w:eastAsia="x-none"/>
              </w:rPr>
              <w:t>el</w:t>
            </w:r>
            <w:r w:rsidRPr="00D60C1D">
              <w:rPr>
                <w:bCs/>
                <w:color w:val="000000"/>
                <w:szCs w:val="24"/>
                <w:lang w:val="x-none" w:eastAsia="x-none"/>
              </w:rPr>
              <w:t>eme yaparak karar vermesi söz konusu iken</w:t>
            </w:r>
            <w:r w:rsidRPr="00A23740">
              <w:rPr>
                <w:rFonts w:eastAsia="Times New Roman"/>
                <w:color w:val="000000"/>
                <w:szCs w:val="24"/>
                <w:lang w:eastAsia="tr-TR"/>
              </w:rPr>
              <w:t xml:space="preserve">, </w:t>
            </w:r>
            <w:r w:rsidRPr="00D60C1D">
              <w:rPr>
                <w:bCs/>
                <w:color w:val="000000"/>
                <w:szCs w:val="24"/>
                <w:lang w:val="x-none" w:eastAsia="x-none"/>
              </w:rPr>
              <w:t>Taslaktaki</w:t>
            </w:r>
            <w:r w:rsidRPr="00D60C1D">
              <w:rPr>
                <w:rFonts w:eastAsia="Times New Roman"/>
                <w:color w:val="000000"/>
                <w:szCs w:val="24"/>
                <w:lang w:eastAsia="tr-TR"/>
              </w:rPr>
              <w:t xml:space="preserve"> </w:t>
            </w:r>
            <w:r w:rsidRPr="00D60C1D">
              <w:rPr>
                <w:bCs/>
                <w:color w:val="000000"/>
                <w:szCs w:val="24"/>
                <w:lang w:val="x-none" w:eastAsia="x-none"/>
              </w:rPr>
              <w:t>hükümle</w:t>
            </w:r>
            <w:r w:rsidRPr="00A23740">
              <w:rPr>
                <w:rFonts w:eastAsia="Times New Roman"/>
                <w:color w:val="000000"/>
                <w:szCs w:val="24"/>
                <w:lang w:eastAsia="tr-TR"/>
              </w:rPr>
              <w:t xml:space="preserve"> mahkemenin </w:t>
            </w:r>
            <w:r w:rsidRPr="00D60C1D">
              <w:rPr>
                <w:bCs/>
                <w:color w:val="000000"/>
                <w:kern w:val="32"/>
                <w:szCs w:val="32"/>
              </w:rPr>
              <w:t>bu hususta</w:t>
            </w:r>
            <w:r w:rsidRPr="00A23740">
              <w:rPr>
                <w:rFonts w:eastAsia="Times New Roman"/>
                <w:color w:val="000000"/>
                <w:szCs w:val="24"/>
                <w:lang w:eastAsia="tr-TR"/>
              </w:rPr>
              <w:t xml:space="preserve"> duruşma yapması </w:t>
            </w:r>
            <w:r w:rsidRPr="00D60C1D">
              <w:rPr>
                <w:bCs/>
                <w:color w:val="000000"/>
                <w:szCs w:val="24"/>
                <w:lang w:val="x-none" w:eastAsia="x-none"/>
              </w:rPr>
              <w:t>zorunlu kılınmıştır.</w:t>
            </w:r>
            <w:r w:rsidR="007E21DC">
              <w:rPr>
                <w:bCs/>
                <w:color w:val="000000"/>
                <w:szCs w:val="24"/>
                <w:lang w:eastAsia="x-none"/>
              </w:rPr>
              <w:t xml:space="preserve"> </w:t>
            </w:r>
            <w:r w:rsidRPr="00D60C1D">
              <w:rPr>
                <w:bCs/>
                <w:color w:val="000000"/>
                <w:szCs w:val="24"/>
                <w:lang w:val="x-none" w:eastAsia="x-none"/>
              </w:rPr>
              <w:t>Bu değişiklik doğrultusunda,</w:t>
            </w:r>
            <w:r w:rsidRPr="00A23740">
              <w:rPr>
                <w:b/>
                <w:bCs/>
                <w:color w:val="0000FF"/>
                <w:szCs w:val="24"/>
                <w:lang w:val="x-none" w:eastAsia="x-none"/>
              </w:rPr>
              <w:t xml:space="preserve"> </w:t>
            </w:r>
            <w:r w:rsidRPr="00D60C1D">
              <w:rPr>
                <w:bCs/>
                <w:color w:val="000000"/>
                <w:szCs w:val="24"/>
                <w:lang w:val="x-none" w:eastAsia="x-none"/>
              </w:rPr>
              <w:t>2004 sayılı Kanunda yer alan</w:t>
            </w:r>
            <w:r w:rsidR="00FE77A6" w:rsidRPr="00D60C1D">
              <w:rPr>
                <w:bCs/>
                <w:color w:val="000000"/>
                <w:szCs w:val="24"/>
                <w:lang w:eastAsia="x-none"/>
              </w:rPr>
              <w:t xml:space="preserve"> ve</w:t>
            </w:r>
            <w:r w:rsidRPr="00D60C1D">
              <w:rPr>
                <w:bCs/>
                <w:color w:val="000000"/>
                <w:szCs w:val="24"/>
                <w:lang w:val="x-none" w:eastAsia="x-none"/>
              </w:rPr>
              <w:t xml:space="preserve"> talebin onay için mahkemeye sunulmasından başlayan süre yerine, duruşmanın yapılması</w:t>
            </w:r>
            <w:r w:rsidR="00FE77A6" w:rsidRPr="00D60C1D">
              <w:rPr>
                <w:bCs/>
                <w:color w:val="000000"/>
                <w:szCs w:val="24"/>
                <w:lang w:eastAsia="x-none"/>
              </w:rPr>
              <w:t>yla</w:t>
            </w:r>
            <w:r w:rsidRPr="00D60C1D">
              <w:rPr>
                <w:bCs/>
                <w:color w:val="000000"/>
                <w:szCs w:val="24"/>
                <w:lang w:val="x-none" w:eastAsia="x-none"/>
              </w:rPr>
              <w:t xml:space="preserve"> başlayacak olan bir süre öngörülmüş ve </w:t>
            </w:r>
            <w:r w:rsidR="00FE77A6" w:rsidRPr="00D60C1D">
              <w:rPr>
                <w:bCs/>
                <w:color w:val="000000"/>
                <w:szCs w:val="24"/>
                <w:lang w:eastAsia="x-none"/>
              </w:rPr>
              <w:t xml:space="preserve">bu </w:t>
            </w:r>
            <w:r w:rsidRPr="00D60C1D">
              <w:rPr>
                <w:bCs/>
                <w:color w:val="000000"/>
                <w:szCs w:val="24"/>
                <w:lang w:val="x-none" w:eastAsia="x-none"/>
              </w:rPr>
              <w:t xml:space="preserve">süre </w:t>
            </w:r>
            <w:r w:rsidR="00FE77A6" w:rsidRPr="00D60C1D">
              <w:rPr>
                <w:bCs/>
                <w:color w:val="000000"/>
                <w:szCs w:val="24"/>
                <w:lang w:eastAsia="x-none"/>
              </w:rPr>
              <w:t>bir</w:t>
            </w:r>
            <w:r w:rsidRPr="00D60C1D">
              <w:rPr>
                <w:bCs/>
                <w:color w:val="000000"/>
                <w:szCs w:val="24"/>
                <w:lang w:val="x-none" w:eastAsia="x-none"/>
              </w:rPr>
              <w:t xml:space="preserve"> hafta olarak belirlenmiştir.</w:t>
            </w:r>
          </w:p>
          <w:p w:rsidR="006203E7" w:rsidRPr="00A23740" w:rsidRDefault="006203E7" w:rsidP="003F10EF">
            <w:pPr>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b/>
              </w:rPr>
            </w:pPr>
          </w:p>
        </w:tc>
        <w:tc>
          <w:tcPr>
            <w:tcW w:w="2500" w:type="pct"/>
          </w:tcPr>
          <w:p w:rsidR="00AA5C8C" w:rsidRPr="00A23740" w:rsidRDefault="00AA5C8C" w:rsidP="009431FF">
            <w:pPr>
              <w:pStyle w:val="Mavi"/>
            </w:pPr>
            <w:r w:rsidRPr="00A23740">
              <w:t>Rızai satış konusundaki karara itiraz</w:t>
            </w:r>
          </w:p>
          <w:p w:rsidR="00AA5C8C" w:rsidRPr="00A23740" w:rsidRDefault="00474FFF" w:rsidP="009431FF">
            <w:pPr>
              <w:pStyle w:val="Mavi"/>
            </w:pPr>
            <w:r w:rsidRPr="00A23740">
              <w:t>MADDE 2</w:t>
            </w:r>
            <w:r w:rsidR="0037744E" w:rsidRPr="00A23740">
              <w:rPr>
                <w:lang w:val="tr-TR"/>
              </w:rPr>
              <w:t>42</w:t>
            </w:r>
            <w:r w:rsidR="00AA5C8C" w:rsidRPr="00A23740">
              <w:t xml:space="preserve">- </w:t>
            </w:r>
            <w:r w:rsidR="00AA5C8C" w:rsidRPr="00A23740">
              <w:rPr>
                <w:rStyle w:val="YELChar"/>
                <w:rFonts w:eastAsia="Calibri"/>
                <w:b/>
                <w:color w:val="0000FF"/>
                <w:lang w:eastAsia="x-none"/>
              </w:rPr>
              <w:t>(1)</w:t>
            </w:r>
            <w:r w:rsidR="00AA5C8C" w:rsidRPr="00A23740">
              <w:t xml:space="preserve"> </w:t>
            </w:r>
            <w:r w:rsidR="00E807A2" w:rsidRPr="00A23740">
              <w:rPr>
                <w:lang w:val="tr-TR"/>
              </w:rPr>
              <w:t>İcra hukuk m</w:t>
            </w:r>
            <w:r w:rsidR="00AA5C8C" w:rsidRPr="00A23740">
              <w:t>ahkeme</w:t>
            </w:r>
            <w:r w:rsidR="00E807A2" w:rsidRPr="00A23740">
              <w:rPr>
                <w:lang w:val="tr-TR"/>
              </w:rPr>
              <w:t xml:space="preserve">si, </w:t>
            </w:r>
            <w:r w:rsidR="00AA5C8C" w:rsidRPr="00A23740">
              <w:t>kararı</w:t>
            </w:r>
            <w:r w:rsidR="00E807A2" w:rsidRPr="00A23740">
              <w:rPr>
                <w:lang w:val="tr-TR"/>
              </w:rPr>
              <w:t>nı</w:t>
            </w:r>
            <w:r w:rsidR="00AA5C8C" w:rsidRPr="00A23740">
              <w:t xml:space="preserve"> </w:t>
            </w:r>
            <w:r w:rsidR="00AA5C8C" w:rsidRPr="00A23740">
              <w:rPr>
                <w:rStyle w:val="YELChar"/>
                <w:rFonts w:eastAsia="Calibri"/>
                <w:b/>
                <w:color w:val="0000FF"/>
                <w:lang w:eastAsia="x-none"/>
              </w:rPr>
              <w:t>duruşmaya çağrılan kimselere</w:t>
            </w:r>
            <w:r w:rsidR="00AA5C8C" w:rsidRPr="00A23740">
              <w:t xml:space="preserve"> tebliğ ed</w:t>
            </w:r>
            <w:r w:rsidR="00E807A2" w:rsidRPr="00A23740">
              <w:rPr>
                <w:lang w:val="tr-TR"/>
              </w:rPr>
              <w:t>er</w:t>
            </w:r>
            <w:r w:rsidR="00E807A2" w:rsidRPr="00A23740">
              <w:t>.</w:t>
            </w:r>
            <w:r w:rsidR="00E807A2" w:rsidRPr="00A23740">
              <w:rPr>
                <w:lang w:val="tr-TR"/>
              </w:rPr>
              <w:t xml:space="preserve"> </w:t>
            </w:r>
            <w:r w:rsidR="00F4014E" w:rsidRPr="00A23740">
              <w:rPr>
                <w:lang w:val="tr-TR"/>
              </w:rPr>
              <w:t>İlgililer, b</w:t>
            </w:r>
            <w:r w:rsidR="00F4014E" w:rsidRPr="00A23740">
              <w:t xml:space="preserve">u </w:t>
            </w:r>
            <w:r w:rsidR="00772D07" w:rsidRPr="00A23740">
              <w:t>kararın tebliğ edil</w:t>
            </w:r>
            <w:r w:rsidR="00E807A2" w:rsidRPr="00A23740">
              <w:t>diği</w:t>
            </w:r>
            <w:r w:rsidR="00E807A2" w:rsidRPr="00A23740">
              <w:rPr>
                <w:lang w:val="tr-TR"/>
              </w:rPr>
              <w:t xml:space="preserve"> tarih</w:t>
            </w:r>
            <w:r w:rsidR="00772D07" w:rsidRPr="00A23740">
              <w:rPr>
                <w:lang w:val="tr-TR"/>
              </w:rPr>
              <w:t xml:space="preserve">ten </w:t>
            </w:r>
            <w:r w:rsidR="00AA5C8C" w:rsidRPr="00A23740">
              <w:t>itibaren bir hafta i</w:t>
            </w:r>
            <w:r w:rsidR="00E807A2" w:rsidRPr="00A23740">
              <w:t xml:space="preserve">çinde </w:t>
            </w:r>
            <w:r w:rsidR="00F4014E" w:rsidRPr="00A23740">
              <w:rPr>
                <w:lang w:val="tr-TR"/>
              </w:rPr>
              <w:t xml:space="preserve">karara </w:t>
            </w:r>
            <w:r w:rsidR="00F4014E" w:rsidRPr="00A23740">
              <w:t xml:space="preserve">itiraz </w:t>
            </w:r>
            <w:r w:rsidR="00742625" w:rsidRPr="00372868">
              <w:t>edebilirler</w:t>
            </w:r>
            <w:r w:rsidR="00E807A2" w:rsidRPr="00372868">
              <w:t>.</w:t>
            </w:r>
          </w:p>
          <w:p w:rsidR="00AA5C8C" w:rsidRPr="00A23740" w:rsidRDefault="00AA5C8C" w:rsidP="009431FF">
            <w:pPr>
              <w:pStyle w:val="Mavi"/>
            </w:pPr>
          </w:p>
          <w:p w:rsidR="00AA5C8C" w:rsidRPr="00A23740" w:rsidRDefault="00AA5C8C" w:rsidP="009431FF">
            <w:pPr>
              <w:pStyle w:val="Mavi"/>
              <w:rPr>
                <w:rStyle w:val="KIRMIZIChar"/>
                <w:rFonts w:eastAsia="Calibri"/>
                <w:b/>
                <w:bCs/>
                <w:strike w:val="0"/>
                <w:color w:val="0000FF"/>
              </w:rPr>
            </w:pPr>
            <w:r w:rsidRPr="00A23740">
              <w:rPr>
                <w:lang w:val="tr-TR"/>
              </w:rPr>
              <w:t xml:space="preserve">(2) </w:t>
            </w:r>
            <w:r w:rsidRPr="00A23740">
              <w:t>Mahkeme</w:t>
            </w:r>
            <w:r w:rsidRPr="00A23740">
              <w:rPr>
                <w:lang w:val="tr-TR"/>
              </w:rPr>
              <w:t>,</w:t>
            </w:r>
            <w:r w:rsidRPr="00A23740">
              <w:t xml:space="preserve"> itirazı incelemesi için o yerde icra hukuk</w:t>
            </w:r>
            <w:r w:rsidRPr="00A23740">
              <w:rPr>
                <w:lang w:val="tr-TR"/>
              </w:rPr>
              <w:t xml:space="preserve"> </w:t>
            </w:r>
            <w:r w:rsidRPr="00A23740">
              <w:t>mahkemesinin birden fazla dairesinin bulunması h</w:t>
            </w:r>
            <w:r w:rsidR="00CE252B" w:rsidRPr="00A23740">
              <w:rPr>
                <w:lang w:val="tr-TR"/>
              </w:rPr>
              <w:t>â</w:t>
            </w:r>
            <w:r w:rsidRPr="00A23740">
              <w:t>linde numara olarak kendisini izleyen daireye, son numaralı daire için birinci daireye, o yerde icra</w:t>
            </w:r>
            <w:r w:rsidRPr="00A23740">
              <w:rPr>
                <w:lang w:val="tr-TR"/>
              </w:rPr>
              <w:t xml:space="preserve"> </w:t>
            </w:r>
            <w:r w:rsidRPr="00A23740">
              <w:t xml:space="preserve">hukuk mahkemesinin tek </w:t>
            </w:r>
            <w:r w:rsidR="00742625" w:rsidRPr="00372868">
              <w:t>dairesinin</w:t>
            </w:r>
            <w:r w:rsidRPr="00A23740">
              <w:t xml:space="preserve"> bulunması h</w:t>
            </w:r>
            <w:r w:rsidR="00C224B4" w:rsidRPr="00A23740">
              <w:rPr>
                <w:lang w:val="tr-TR"/>
              </w:rPr>
              <w:t>â</w:t>
            </w:r>
            <w:r w:rsidRPr="00A23740">
              <w:t>linde asliye hukuk mahkemesine, icra</w:t>
            </w:r>
            <w:r w:rsidRPr="00A23740">
              <w:rPr>
                <w:lang w:val="tr-TR"/>
              </w:rPr>
              <w:t xml:space="preserve"> </w:t>
            </w:r>
            <w:r w:rsidRPr="00A23740">
              <w:t>hukuk mahkemesi hâkimi ile asliye hukuk mahkemesi hâkiminin aynı hâkim olması h</w:t>
            </w:r>
            <w:r w:rsidR="00C224B4" w:rsidRPr="00A23740">
              <w:rPr>
                <w:lang w:val="tr-TR"/>
              </w:rPr>
              <w:t>â</w:t>
            </w:r>
            <w:r w:rsidRPr="00A23740">
              <w:t xml:space="preserve">linde ise en yakın asliye hukuk mahkemesine gönderir. </w:t>
            </w:r>
            <w:r w:rsidRPr="00A23740">
              <w:rPr>
                <w:rStyle w:val="YELChar"/>
                <w:rFonts w:eastAsia="Calibri"/>
                <w:b/>
                <w:color w:val="0000FF"/>
                <w:lang w:eastAsia="x-none"/>
              </w:rPr>
              <w:t>Gönderilen mahkeme,</w:t>
            </w:r>
            <w:r w:rsidR="00742625" w:rsidRPr="00A23740">
              <w:rPr>
                <w:rStyle w:val="YELChar"/>
                <w:rFonts w:eastAsia="Calibri"/>
                <w:b/>
                <w:color w:val="0000FF"/>
                <w:lang w:val="tr-TR" w:eastAsia="x-none"/>
              </w:rPr>
              <w:t xml:space="preserve"> </w:t>
            </w:r>
            <w:r w:rsidR="00742625" w:rsidRPr="00372868">
              <w:t>dosyanın kendisine ulaşmasından itibaren</w:t>
            </w:r>
            <w:r w:rsidRPr="00A23740">
              <w:rPr>
                <w:rStyle w:val="YELChar"/>
                <w:rFonts w:eastAsia="Calibri"/>
                <w:b/>
                <w:color w:val="0000FF"/>
                <w:lang w:eastAsia="x-none"/>
              </w:rPr>
              <w:t xml:space="preserve"> bir hafta içinde dosya üzerinden inceleme yaparak kesin olarak karar verir.</w:t>
            </w:r>
          </w:p>
          <w:p w:rsidR="00AA5C8C" w:rsidRPr="00A23740" w:rsidRDefault="00AA5C8C" w:rsidP="009431FF">
            <w:pPr>
              <w:pStyle w:val="KIRMIZI"/>
              <w:rPr>
                <w:rStyle w:val="YELChar"/>
              </w:rPr>
            </w:pPr>
          </w:p>
        </w:tc>
      </w:tr>
      <w:tr w:rsidR="006203E7" w:rsidRPr="00A23740" w:rsidTr="009431FF">
        <w:tblPrEx>
          <w:tblLook w:val="01E0" w:firstRow="1" w:lastRow="1" w:firstColumn="1" w:lastColumn="1" w:noHBand="0" w:noVBand="0"/>
        </w:tblPrEx>
        <w:tc>
          <w:tcPr>
            <w:tcW w:w="5000" w:type="pct"/>
            <w:gridSpan w:val="2"/>
            <w:shd w:val="clear" w:color="auto" w:fill="DEEAF6"/>
          </w:tcPr>
          <w:p w:rsidR="00E807A2" w:rsidRPr="00A23740" w:rsidRDefault="00E807A2" w:rsidP="009431FF">
            <w:pPr>
              <w:ind w:firstLine="709"/>
              <w:rPr>
                <w:rFonts w:eastAsia="Times New Roman"/>
                <w:color w:val="000000"/>
                <w:szCs w:val="24"/>
                <w:lang w:eastAsia="tr-TR"/>
              </w:rPr>
            </w:pPr>
          </w:p>
          <w:p w:rsidR="00F4014E" w:rsidRPr="00A23740" w:rsidRDefault="0037744E" w:rsidP="009431FF">
            <w:pPr>
              <w:ind w:firstLine="709"/>
              <w:rPr>
                <w:rFonts w:eastAsia="Times New Roman"/>
                <w:color w:val="000000"/>
                <w:szCs w:val="24"/>
                <w:lang w:eastAsia="tr-TR"/>
              </w:rPr>
            </w:pPr>
            <w:r w:rsidRPr="00A23740">
              <w:rPr>
                <w:rFonts w:eastAsia="Times New Roman"/>
                <w:b/>
                <w:color w:val="000000"/>
                <w:szCs w:val="24"/>
                <w:lang w:eastAsia="tr-TR"/>
              </w:rPr>
              <w:t>MADDE 242</w:t>
            </w:r>
            <w:r w:rsidR="00E807A2" w:rsidRPr="00A23740">
              <w:rPr>
                <w:rFonts w:eastAsia="Times New Roman"/>
                <w:color w:val="000000"/>
                <w:szCs w:val="24"/>
                <w:lang w:eastAsia="tr-TR"/>
              </w:rPr>
              <w:t>- Maddeyle, rızai satış konusundaki karara itiraz usulü</w:t>
            </w:r>
            <w:r w:rsidR="00742625" w:rsidRPr="00A23740">
              <w:rPr>
                <w:rFonts w:eastAsia="Times New Roman"/>
                <w:color w:val="000000"/>
                <w:szCs w:val="24"/>
                <w:lang w:eastAsia="tr-TR"/>
              </w:rPr>
              <w:t xml:space="preserve"> düzenlenmektedir.</w:t>
            </w:r>
          </w:p>
          <w:p w:rsidR="00E807A2" w:rsidRPr="00A23740" w:rsidRDefault="00E807A2" w:rsidP="009431FF">
            <w:pPr>
              <w:ind w:firstLine="709"/>
              <w:rPr>
                <w:rFonts w:eastAsia="Times New Roman"/>
                <w:color w:val="000000"/>
                <w:szCs w:val="24"/>
                <w:lang w:eastAsia="tr-TR"/>
              </w:rPr>
            </w:pPr>
            <w:r w:rsidRPr="00A23740">
              <w:rPr>
                <w:rFonts w:eastAsia="Times New Roman"/>
                <w:color w:val="000000"/>
                <w:szCs w:val="24"/>
                <w:lang w:eastAsia="tr-TR"/>
              </w:rPr>
              <w:t xml:space="preserve">Birinci fıkrayla, </w:t>
            </w:r>
            <w:r w:rsidR="00F4014E" w:rsidRPr="00A23740">
              <w:rPr>
                <w:rFonts w:eastAsia="Times New Roman"/>
                <w:color w:val="000000"/>
                <w:szCs w:val="24"/>
                <w:lang w:eastAsia="tr-TR"/>
              </w:rPr>
              <w:t xml:space="preserve">icra hukuk mahkemesinin </w:t>
            </w:r>
            <w:r w:rsidRPr="00A23740">
              <w:rPr>
                <w:rFonts w:eastAsia="Times New Roman"/>
                <w:color w:val="000000"/>
                <w:szCs w:val="24"/>
                <w:lang w:eastAsia="tr-TR"/>
              </w:rPr>
              <w:t>kararı</w:t>
            </w:r>
            <w:r w:rsidR="005D550C" w:rsidRPr="00A23740">
              <w:rPr>
                <w:rFonts w:eastAsia="Times New Roman"/>
                <w:color w:val="000000"/>
                <w:szCs w:val="24"/>
                <w:lang w:eastAsia="tr-TR"/>
              </w:rPr>
              <w:t>nın</w:t>
            </w:r>
            <w:r w:rsidRPr="00A23740">
              <w:rPr>
                <w:rFonts w:eastAsia="Times New Roman"/>
                <w:color w:val="000000"/>
                <w:szCs w:val="24"/>
                <w:lang w:eastAsia="tr-TR"/>
              </w:rPr>
              <w:t xml:space="preserve"> duruşmaya çağrılan kimselere tebliğ </w:t>
            </w:r>
            <w:r w:rsidR="005D550C" w:rsidRPr="00A23740">
              <w:rPr>
                <w:rFonts w:eastAsia="Times New Roman"/>
                <w:color w:val="000000"/>
                <w:szCs w:val="24"/>
                <w:lang w:eastAsia="tr-TR"/>
              </w:rPr>
              <w:t xml:space="preserve">edileceği </w:t>
            </w:r>
            <w:r w:rsidRPr="00A23740">
              <w:rPr>
                <w:rFonts w:eastAsia="Times New Roman"/>
                <w:color w:val="000000"/>
                <w:szCs w:val="24"/>
                <w:lang w:eastAsia="tr-TR"/>
              </w:rPr>
              <w:t xml:space="preserve">ve bu kararın tebliğinden itibaren bir hafta içinde </w:t>
            </w:r>
            <w:r w:rsidR="00F4014E" w:rsidRPr="00A23740">
              <w:rPr>
                <w:rFonts w:eastAsia="Times New Roman"/>
                <w:color w:val="000000"/>
                <w:szCs w:val="24"/>
                <w:lang w:eastAsia="tr-TR"/>
              </w:rPr>
              <w:t xml:space="preserve">ilgililerin karara itiraz </w:t>
            </w:r>
            <w:r w:rsidR="005D550C" w:rsidRPr="00A23740">
              <w:rPr>
                <w:rFonts w:eastAsia="Times New Roman"/>
                <w:color w:val="000000"/>
                <w:szCs w:val="24"/>
                <w:lang w:eastAsia="tr-TR"/>
              </w:rPr>
              <w:t xml:space="preserve">edebilecekleri </w:t>
            </w:r>
            <w:r w:rsidRPr="00A23740">
              <w:rPr>
                <w:rFonts w:eastAsia="Times New Roman"/>
                <w:color w:val="000000"/>
                <w:szCs w:val="24"/>
                <w:lang w:eastAsia="tr-TR"/>
              </w:rPr>
              <w:t>hükme bağlanmaktadır.</w:t>
            </w:r>
          </w:p>
          <w:p w:rsidR="00AF540B" w:rsidRDefault="00E807A2" w:rsidP="009431FF">
            <w:pPr>
              <w:ind w:firstLine="709"/>
              <w:rPr>
                <w:rFonts w:eastAsia="Times New Roman"/>
                <w:b/>
                <w:color w:val="000000"/>
                <w:szCs w:val="24"/>
                <w:lang w:eastAsia="tr-TR"/>
              </w:rPr>
            </w:pPr>
            <w:r w:rsidRPr="00A23740">
              <w:rPr>
                <w:rFonts w:eastAsia="Times New Roman"/>
                <w:color w:val="000000"/>
                <w:szCs w:val="24"/>
                <w:lang w:eastAsia="tr-TR"/>
              </w:rPr>
              <w:t xml:space="preserve"> İkinci fıkrayla mahkemenin itirazı incelemesine ilişkin esaslar belirlenmektedir. Hükme göre mahkeme, itirazı incelemesi için o yerde icra hukuk mahkemesinin birden fazla dairesinin bulunması h</w:t>
            </w:r>
            <w:r w:rsidR="00C224B4" w:rsidRPr="00A23740">
              <w:rPr>
                <w:rFonts w:eastAsia="Times New Roman"/>
                <w:color w:val="000000"/>
                <w:szCs w:val="24"/>
                <w:lang w:eastAsia="tr-TR"/>
              </w:rPr>
              <w:t>â</w:t>
            </w:r>
            <w:r w:rsidRPr="00A23740">
              <w:rPr>
                <w:rFonts w:eastAsia="Times New Roman"/>
                <w:color w:val="000000"/>
                <w:szCs w:val="24"/>
                <w:lang w:eastAsia="tr-TR"/>
              </w:rPr>
              <w:t>linde numara olarak kendisini izleyen daireye, son numaralı daire için birinci daireye, o yerde icra hukuk mahkemesinin tek dairesi</w:t>
            </w:r>
            <w:r w:rsidR="0096021D" w:rsidRPr="00A23740">
              <w:rPr>
                <w:rFonts w:eastAsia="Times New Roman"/>
                <w:color w:val="000000"/>
                <w:szCs w:val="24"/>
                <w:lang w:eastAsia="tr-TR"/>
              </w:rPr>
              <w:t>nin</w:t>
            </w:r>
            <w:r w:rsidRPr="00A23740">
              <w:rPr>
                <w:rFonts w:eastAsia="Times New Roman"/>
                <w:color w:val="000000"/>
                <w:szCs w:val="24"/>
                <w:lang w:eastAsia="tr-TR"/>
              </w:rPr>
              <w:t xml:space="preserve"> bulunması h</w:t>
            </w:r>
            <w:r w:rsidR="00C224B4" w:rsidRPr="00A23740">
              <w:rPr>
                <w:rFonts w:eastAsia="Times New Roman"/>
                <w:color w:val="000000"/>
                <w:szCs w:val="24"/>
                <w:lang w:eastAsia="tr-TR"/>
              </w:rPr>
              <w:t>â</w:t>
            </w:r>
            <w:r w:rsidRPr="00A23740">
              <w:rPr>
                <w:rFonts w:eastAsia="Times New Roman"/>
                <w:color w:val="000000"/>
                <w:szCs w:val="24"/>
                <w:lang w:eastAsia="tr-TR"/>
              </w:rPr>
              <w:t>linde asliye hukuk mahkemesine, icra hukuk mahkemesi hâkimi ile asliye hukuk mahkemesi hâkiminin aynı hâkim olması h</w:t>
            </w:r>
            <w:r w:rsidR="00C224B4" w:rsidRPr="00A23740">
              <w:rPr>
                <w:rFonts w:eastAsia="Times New Roman"/>
                <w:color w:val="000000"/>
                <w:szCs w:val="24"/>
                <w:lang w:eastAsia="tr-TR"/>
              </w:rPr>
              <w:t>â</w:t>
            </w:r>
            <w:r w:rsidRPr="00A23740">
              <w:rPr>
                <w:rFonts w:eastAsia="Times New Roman"/>
                <w:color w:val="000000"/>
                <w:szCs w:val="24"/>
                <w:lang w:eastAsia="tr-TR"/>
              </w:rPr>
              <w:t xml:space="preserve">linde ise en yakın asliye hukuk mahkemesine gönderir ve itirazı incelemesi için gönderilen mahkeme, bir hafta içinde dosya üzerinden inceleme yaparak </w:t>
            </w:r>
            <w:r w:rsidR="00E31512" w:rsidRPr="00A23740">
              <w:rPr>
                <w:rFonts w:eastAsia="Times New Roman"/>
                <w:color w:val="000000"/>
                <w:szCs w:val="24"/>
                <w:lang w:eastAsia="tr-TR"/>
              </w:rPr>
              <w:t xml:space="preserve">itiraz hakkında </w:t>
            </w:r>
            <w:r w:rsidRPr="00A23740">
              <w:rPr>
                <w:rFonts w:eastAsia="Times New Roman"/>
                <w:color w:val="000000"/>
                <w:szCs w:val="24"/>
                <w:lang w:eastAsia="tr-TR"/>
              </w:rPr>
              <w:t xml:space="preserve">kesin olarak karar verir. </w:t>
            </w:r>
          </w:p>
          <w:p w:rsidR="007855E7" w:rsidRPr="00A23740" w:rsidRDefault="007855E7"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5F6587" w:rsidP="009431FF">
            <w:pPr>
              <w:tabs>
                <w:tab w:val="left" w:pos="567"/>
              </w:tabs>
            </w:pPr>
            <w:r>
              <w:rPr>
                <w:b/>
                <w:color w:val="FF0000"/>
              </w:rPr>
              <w:t>M.111/a/3.C</w:t>
            </w:r>
            <w:r w:rsidR="00AA5C8C" w:rsidRPr="00A23740">
              <w:rPr>
                <w:b/>
                <w:color w:val="FF0000"/>
              </w:rPr>
              <w:t>3:</w:t>
            </w:r>
            <w:r w:rsidR="00AA5C8C" w:rsidRPr="00A23740">
              <w:t xml:space="preserve"> Kabul kararı</w:t>
            </w:r>
            <w:r w:rsidR="00AA5C8C" w:rsidRPr="00A23740">
              <w:rPr>
                <w:rStyle w:val="KIRMIZIChar"/>
                <w:rFonts w:eastAsia="Calibri"/>
              </w:rPr>
              <w:t>yla</w:t>
            </w:r>
            <w:r w:rsidR="00AA5C8C" w:rsidRPr="00A23740">
              <w:t xml:space="preserve"> malın mülkiyeti alıcıya geçer ve tüm hacizler kaldırılarak devir ve teslim işlemleri gerçekleştirilir.</w:t>
            </w:r>
          </w:p>
          <w:p w:rsidR="00AA5C8C" w:rsidRPr="00A23740" w:rsidRDefault="00AA5C8C" w:rsidP="009431FF">
            <w:pPr>
              <w:pStyle w:val="KIRMIZI"/>
            </w:pPr>
          </w:p>
          <w:p w:rsidR="00AA5C8C" w:rsidRDefault="00AA5C8C" w:rsidP="009431FF">
            <w:pPr>
              <w:pStyle w:val="KIRMIZI"/>
            </w:pPr>
          </w:p>
          <w:p w:rsidR="00607AE3" w:rsidRPr="00A23740" w:rsidRDefault="00607AE3" w:rsidP="009431FF">
            <w:pPr>
              <w:pStyle w:val="KIRMIZI"/>
            </w:pPr>
          </w:p>
          <w:p w:rsidR="00AA5C8C" w:rsidRPr="00A23740" w:rsidRDefault="005F6587" w:rsidP="009431FF">
            <w:pPr>
              <w:tabs>
                <w:tab w:val="left" w:pos="567"/>
              </w:tabs>
            </w:pPr>
            <w:r>
              <w:rPr>
                <w:b/>
                <w:color w:val="FF0000"/>
              </w:rPr>
              <w:t>M.111/a/3.C</w:t>
            </w:r>
            <w:r w:rsidR="00AA5C8C" w:rsidRPr="00A23740">
              <w:rPr>
                <w:b/>
                <w:color w:val="FF0000"/>
              </w:rPr>
              <w:t>4:</w:t>
            </w:r>
            <w:r w:rsidR="00AA5C8C" w:rsidRPr="00A23740">
              <w:t xml:space="preserve"> Ret kararı verilmesi hâlinde yatırdığı bedel alıcıya iade edilir.</w:t>
            </w:r>
          </w:p>
          <w:p w:rsidR="00AA5C8C" w:rsidRPr="00A23740" w:rsidRDefault="00AA5C8C" w:rsidP="009431FF">
            <w:pPr>
              <w:pStyle w:val="KIRMIZI"/>
            </w:pPr>
          </w:p>
          <w:p w:rsidR="00AA5C8C" w:rsidRPr="00A23740" w:rsidRDefault="005F6587" w:rsidP="009431FF">
            <w:pPr>
              <w:pStyle w:val="KIRMIZI"/>
            </w:pPr>
            <w:r>
              <w:t>M.</w:t>
            </w:r>
            <w:r w:rsidR="00AA5C8C" w:rsidRPr="00A23740">
              <w:t>111/a/4:</w:t>
            </w:r>
            <w:r w:rsidR="00AA5C8C" w:rsidRPr="00A23740">
              <w:rPr>
                <w:lang w:val="tr-TR"/>
              </w:rPr>
              <w:t xml:space="preserve"> </w:t>
            </w:r>
            <w:r w:rsidR="00AA5C8C" w:rsidRPr="00A23740">
              <w:t xml:space="preserve">Bu </w:t>
            </w:r>
            <w:r w:rsidR="00AA5C8C" w:rsidRPr="00A23740">
              <w:rPr>
                <w:rStyle w:val="KIRMIZIChar"/>
                <w:rFonts w:eastAsia="Calibri"/>
                <w:b/>
                <w:bCs/>
                <w:strike/>
              </w:rPr>
              <w:t>madde</w:t>
            </w:r>
            <w:r w:rsidR="00AA5C8C" w:rsidRPr="00A23740">
              <w:t xml:space="preserve"> uyarınca yapılacak satışlar hakkında niteliğine uygun düştüğü ölçüde bu Kanunun diğer hükümleri uygulanır.</w:t>
            </w:r>
          </w:p>
          <w:p w:rsidR="00AA5C8C" w:rsidRPr="00A23740" w:rsidRDefault="00AA5C8C" w:rsidP="009431FF">
            <w:pPr>
              <w:tabs>
                <w:tab w:val="left" w:pos="567"/>
              </w:tabs>
              <w:rPr>
                <w:b/>
              </w:rPr>
            </w:pPr>
          </w:p>
        </w:tc>
        <w:tc>
          <w:tcPr>
            <w:tcW w:w="2500" w:type="pct"/>
          </w:tcPr>
          <w:p w:rsidR="00AA5C8C" w:rsidRPr="00A23740" w:rsidRDefault="00AA5C8C" w:rsidP="009431FF">
            <w:pPr>
              <w:pStyle w:val="Mavi"/>
            </w:pPr>
            <w:r w:rsidRPr="00A23740">
              <w:t>Kararın kesinleşmesi ve sonuçları</w:t>
            </w:r>
          </w:p>
          <w:p w:rsidR="00AA5C8C" w:rsidRPr="00A23740" w:rsidRDefault="00050FBB" w:rsidP="009431FF">
            <w:pPr>
              <w:pStyle w:val="Mavi"/>
              <w:rPr>
                <w:b w:val="0"/>
                <w:bCs w:val="0"/>
                <w:color w:val="auto"/>
                <w:szCs w:val="22"/>
                <w:lang w:val="tr-TR" w:eastAsia="en-US"/>
              </w:rPr>
            </w:pPr>
            <w:r w:rsidRPr="00A23740">
              <w:t>MADDE 2</w:t>
            </w:r>
            <w:r w:rsidR="0037744E" w:rsidRPr="00A23740">
              <w:rPr>
                <w:lang w:val="tr-TR"/>
              </w:rPr>
              <w:t>43</w:t>
            </w:r>
            <w:r w:rsidR="00AA5C8C" w:rsidRPr="00A23740">
              <w:t>-</w:t>
            </w:r>
            <w:r w:rsidR="00AA5C8C" w:rsidRPr="00A23740">
              <w:rPr>
                <w:lang w:val="tr-TR"/>
              </w:rPr>
              <w:t xml:space="preserve"> </w:t>
            </w:r>
            <w:r w:rsidR="00AA5C8C" w:rsidRPr="00A23740">
              <w:rPr>
                <w:rStyle w:val="YELChar"/>
                <w:rFonts w:eastAsia="Calibri"/>
                <w:b/>
                <w:color w:val="0000FF"/>
                <w:lang w:eastAsia="x-none"/>
              </w:rPr>
              <w:t>(1)</w:t>
            </w:r>
            <w:r w:rsidR="00AA5C8C" w:rsidRPr="00A23740">
              <w:t xml:space="preserve"> </w:t>
            </w:r>
            <w:r w:rsidR="00AA5C8C" w:rsidRPr="00A23740">
              <w:rPr>
                <w:b w:val="0"/>
                <w:bCs w:val="0"/>
                <w:color w:val="auto"/>
                <w:szCs w:val="22"/>
                <w:lang w:val="tr-TR" w:eastAsia="en-US"/>
              </w:rPr>
              <w:t>Kabul kararı</w:t>
            </w:r>
            <w:r w:rsidR="00AA5C8C" w:rsidRPr="00A23740">
              <w:rPr>
                <w:rStyle w:val="YELChar"/>
                <w:rFonts w:eastAsia="Calibri"/>
                <w:b/>
                <w:color w:val="0000FF"/>
                <w:lang w:eastAsia="x-none"/>
              </w:rPr>
              <w:t>nın kesinleşmesiyle</w:t>
            </w:r>
            <w:r w:rsidR="00AA5C8C" w:rsidRPr="00A23740">
              <w:t xml:space="preserve"> </w:t>
            </w:r>
            <w:r w:rsidR="00AA5C8C" w:rsidRPr="00A23740">
              <w:rPr>
                <w:b w:val="0"/>
                <w:bCs w:val="0"/>
                <w:color w:val="auto"/>
                <w:szCs w:val="22"/>
                <w:lang w:val="tr-TR" w:eastAsia="en-US"/>
              </w:rPr>
              <w:t>malın mülkiyeti alıcıya geçer ve tüm hacizler kaldırılarak devir ve teslim işlemleri gerçekleştirilir.</w:t>
            </w:r>
          </w:p>
          <w:p w:rsidR="00AA5C8C" w:rsidRPr="00A23740" w:rsidRDefault="00AA5C8C" w:rsidP="009431FF">
            <w:pPr>
              <w:tabs>
                <w:tab w:val="left" w:pos="567"/>
              </w:tabs>
            </w:pPr>
          </w:p>
          <w:p w:rsidR="00AA5C8C" w:rsidRPr="00A23740" w:rsidRDefault="00AA5C8C" w:rsidP="009431FF">
            <w:pPr>
              <w:tabs>
                <w:tab w:val="left" w:pos="567"/>
              </w:tabs>
            </w:pPr>
            <w:r w:rsidRPr="00A23740">
              <w:rPr>
                <w:rStyle w:val="MaviChar"/>
              </w:rPr>
              <w:t xml:space="preserve">(2) </w:t>
            </w:r>
            <w:r w:rsidRPr="00A23740">
              <w:t xml:space="preserve">Ret </w:t>
            </w:r>
            <w:r w:rsidR="00050FBB" w:rsidRPr="00372868">
              <w:rPr>
                <w:rStyle w:val="MaviChar"/>
              </w:rPr>
              <w:t>kararının kesinleşmesi üzerine,</w:t>
            </w:r>
            <w:r w:rsidRPr="00A23740">
              <w:t xml:space="preserve"> yatırdığı bedel alıcıya iade edilir.</w:t>
            </w:r>
          </w:p>
          <w:p w:rsidR="00AA5C8C" w:rsidRPr="00A23740" w:rsidRDefault="00AA5C8C" w:rsidP="009431FF">
            <w:pPr>
              <w:tabs>
                <w:tab w:val="left" w:pos="567"/>
              </w:tabs>
            </w:pPr>
          </w:p>
          <w:p w:rsidR="00AA5C8C" w:rsidRPr="00A23740" w:rsidRDefault="00AA5C8C" w:rsidP="009431FF">
            <w:pPr>
              <w:pStyle w:val="YEL"/>
              <w:rPr>
                <w:rStyle w:val="YELChar"/>
              </w:rPr>
            </w:pPr>
          </w:p>
        </w:tc>
      </w:tr>
      <w:tr w:rsidR="00847479" w:rsidRPr="00A23740" w:rsidTr="009431FF">
        <w:tblPrEx>
          <w:tblLook w:val="01E0" w:firstRow="1" w:lastRow="1" w:firstColumn="1" w:lastColumn="1" w:noHBand="0" w:noVBand="0"/>
        </w:tblPrEx>
        <w:tc>
          <w:tcPr>
            <w:tcW w:w="5000" w:type="pct"/>
            <w:gridSpan w:val="2"/>
            <w:shd w:val="clear" w:color="auto" w:fill="DEEAF6"/>
          </w:tcPr>
          <w:p w:rsidR="00847479" w:rsidRPr="00A23740" w:rsidRDefault="00847479" w:rsidP="009431FF">
            <w:pPr>
              <w:ind w:firstLine="709"/>
              <w:rPr>
                <w:rFonts w:eastAsia="Times New Roman"/>
                <w:color w:val="000000"/>
                <w:szCs w:val="24"/>
                <w:lang w:eastAsia="tr-TR"/>
              </w:rPr>
            </w:pPr>
          </w:p>
          <w:p w:rsidR="00847479" w:rsidRPr="00A23740" w:rsidRDefault="0037744E" w:rsidP="009431FF">
            <w:pPr>
              <w:ind w:firstLine="709"/>
              <w:rPr>
                <w:rFonts w:eastAsia="Times New Roman"/>
                <w:color w:val="000000"/>
                <w:szCs w:val="24"/>
                <w:lang w:eastAsia="tr-TR"/>
              </w:rPr>
            </w:pPr>
            <w:r w:rsidRPr="00A23740">
              <w:rPr>
                <w:rFonts w:eastAsia="Times New Roman"/>
                <w:b/>
                <w:color w:val="000000"/>
                <w:szCs w:val="24"/>
                <w:lang w:eastAsia="tr-TR"/>
              </w:rPr>
              <w:t>MADDE 243</w:t>
            </w:r>
            <w:r w:rsidR="00847479" w:rsidRPr="00A23740">
              <w:rPr>
                <w:rFonts w:eastAsia="Times New Roman"/>
                <w:color w:val="000000"/>
                <w:szCs w:val="24"/>
                <w:lang w:eastAsia="tr-TR"/>
              </w:rPr>
              <w:t>- Maddeyle, kararın kesinleşmesi ve sonuçlarına ilişkin hususlar düzenlenmektedir. Hüküm, 2004 sayılı Kanunun 111/a maddesinin üçüncü fıkrasına karşılık gelmekte</w:t>
            </w:r>
            <w:r w:rsidR="00C00BF7" w:rsidRPr="00A23740">
              <w:rPr>
                <w:rFonts w:eastAsia="Times New Roman"/>
                <w:color w:val="000000"/>
                <w:szCs w:val="24"/>
                <w:lang w:eastAsia="tr-TR"/>
              </w:rPr>
              <w:t>dir.</w:t>
            </w:r>
          </w:p>
          <w:p w:rsidR="00847479" w:rsidRPr="00A23740" w:rsidRDefault="00847479" w:rsidP="009431FF">
            <w:pPr>
              <w:ind w:firstLine="709"/>
              <w:rPr>
                <w:rFonts w:eastAsia="Times New Roman"/>
                <w:color w:val="000000"/>
                <w:szCs w:val="24"/>
                <w:lang w:eastAsia="tr-TR"/>
              </w:rPr>
            </w:pPr>
            <w:r w:rsidRPr="00A23740">
              <w:rPr>
                <w:rFonts w:eastAsia="Times New Roman"/>
                <w:color w:val="000000"/>
                <w:szCs w:val="24"/>
                <w:lang w:eastAsia="tr-TR"/>
              </w:rPr>
              <w:t xml:space="preserve">Birinci fıkrayla, kabul kararının kesinleşmesiyle malın mülkiyetinin alıcıya geçeceği ve tüm hacizlerin kaldırılması suretiyle devir ve teslim </w:t>
            </w:r>
            <w:r w:rsidR="0002550A" w:rsidRPr="00D60C1D">
              <w:rPr>
                <w:rStyle w:val="YELChar"/>
                <w:b w:val="0"/>
                <w:color w:val="000000"/>
              </w:rPr>
              <w:t>işlemlerinin</w:t>
            </w:r>
            <w:r w:rsidRPr="00A23740">
              <w:rPr>
                <w:rFonts w:eastAsia="Times New Roman"/>
                <w:color w:val="000000"/>
                <w:szCs w:val="24"/>
                <w:lang w:eastAsia="tr-TR"/>
              </w:rPr>
              <w:t xml:space="preserve"> gerçekleştirileceği hükme bağlanmaktadır. </w:t>
            </w:r>
            <w:r w:rsidR="00C33287" w:rsidRPr="00A23740">
              <w:rPr>
                <w:rFonts w:eastAsia="Times New Roman"/>
                <w:color w:val="000000"/>
                <w:szCs w:val="24"/>
                <w:lang w:eastAsia="tr-TR"/>
              </w:rPr>
              <w:t xml:space="preserve">2004 sayılı Kanundan farklı olarak belirliliğin sağlanması düşüncesiyle hükme “kesinleşme” ibaresi eklenmektedir. </w:t>
            </w:r>
          </w:p>
          <w:p w:rsidR="00847479" w:rsidRPr="00A23740" w:rsidRDefault="00847479" w:rsidP="009431FF">
            <w:pPr>
              <w:ind w:firstLine="709"/>
              <w:rPr>
                <w:rFonts w:eastAsia="Times New Roman"/>
                <w:color w:val="000000"/>
                <w:szCs w:val="24"/>
                <w:lang w:eastAsia="tr-TR"/>
              </w:rPr>
            </w:pPr>
            <w:r w:rsidRPr="00A23740">
              <w:rPr>
                <w:rFonts w:eastAsia="Times New Roman"/>
                <w:color w:val="000000"/>
                <w:szCs w:val="24"/>
                <w:lang w:eastAsia="tr-TR"/>
              </w:rPr>
              <w:t>İkinci fıkra</w:t>
            </w:r>
            <w:r w:rsidR="00C33287" w:rsidRPr="00A23740">
              <w:rPr>
                <w:rFonts w:eastAsia="Times New Roman"/>
                <w:color w:val="000000"/>
                <w:szCs w:val="24"/>
                <w:lang w:eastAsia="tr-TR"/>
              </w:rPr>
              <w:t>ya</w:t>
            </w:r>
            <w:r w:rsidRPr="00A23740">
              <w:rPr>
                <w:rFonts w:eastAsia="Times New Roman"/>
                <w:color w:val="000000"/>
                <w:szCs w:val="24"/>
                <w:lang w:eastAsia="tr-TR"/>
              </w:rPr>
              <w:t xml:space="preserve"> göre</w:t>
            </w:r>
            <w:r w:rsidR="00C33287" w:rsidRPr="00A23740">
              <w:rPr>
                <w:rFonts w:eastAsia="Times New Roman"/>
                <w:color w:val="000000"/>
                <w:szCs w:val="24"/>
                <w:lang w:eastAsia="tr-TR"/>
              </w:rPr>
              <w:t>,</w:t>
            </w:r>
            <w:r w:rsidRPr="00A23740">
              <w:rPr>
                <w:rFonts w:eastAsia="Times New Roman"/>
                <w:color w:val="000000"/>
                <w:szCs w:val="24"/>
                <w:lang w:eastAsia="tr-TR"/>
              </w:rPr>
              <w:t xml:space="preserve"> ret kararı verilmesi hâlinde</w:t>
            </w:r>
            <w:r w:rsidR="0002550A" w:rsidRPr="00A23740">
              <w:rPr>
                <w:rStyle w:val="YELChar"/>
              </w:rPr>
              <w:t xml:space="preserve"> </w:t>
            </w:r>
            <w:r w:rsidR="0002550A" w:rsidRPr="00D60C1D">
              <w:rPr>
                <w:rStyle w:val="YELChar"/>
                <w:b w:val="0"/>
                <w:color w:val="000000"/>
              </w:rPr>
              <w:t>bu</w:t>
            </w:r>
            <w:r w:rsidR="00050FBB" w:rsidRPr="00D60C1D">
              <w:rPr>
                <w:rStyle w:val="YELChar"/>
                <w:b w:val="0"/>
                <w:color w:val="000000"/>
              </w:rPr>
              <w:t xml:space="preserve"> kararın kesinleşmesi üzerine</w:t>
            </w:r>
            <w:r w:rsidR="0002550A" w:rsidRPr="00D60C1D">
              <w:rPr>
                <w:rStyle w:val="YELChar"/>
                <w:b w:val="0"/>
                <w:color w:val="000000"/>
              </w:rPr>
              <w:t>,</w:t>
            </w:r>
            <w:r w:rsidRPr="00A23740">
              <w:rPr>
                <w:rFonts w:eastAsia="Times New Roman"/>
                <w:color w:val="000000"/>
                <w:szCs w:val="24"/>
                <w:lang w:eastAsia="tr-TR"/>
              </w:rPr>
              <w:t xml:space="preserve"> yatırdığı bedel alıcıya iade edilir.</w:t>
            </w:r>
          </w:p>
          <w:p w:rsidR="00847479" w:rsidRPr="00A23740" w:rsidRDefault="00847479" w:rsidP="009431FF">
            <w:pPr>
              <w:ind w:firstLine="709"/>
              <w:rPr>
                <w:rFonts w:eastAsia="Times New Roman"/>
                <w:color w:val="000000"/>
                <w:szCs w:val="24"/>
                <w:lang w:eastAsia="tr-TR"/>
              </w:rPr>
            </w:pPr>
            <w:r w:rsidRPr="00A23740">
              <w:rPr>
                <w:rFonts w:eastAsia="Times New Roman"/>
                <w:color w:val="000000"/>
                <w:szCs w:val="24"/>
                <w:lang w:eastAsia="tr-TR"/>
              </w:rPr>
              <w:t>Öte yandan, 2004 sayılı Kanunun 111/a maddesinin dördüncü fıkrasında yer alan “bu madde uyarınca yapılacak satışlar hakkında niteliğine uygun düştüğü ölçüde bu Kanunun diğer hükümlerinin uygulanacağına” ilişkin cümle</w:t>
            </w:r>
            <w:r w:rsidR="00C760A2" w:rsidRPr="00A23740">
              <w:rPr>
                <w:rFonts w:eastAsia="Times New Roman"/>
                <w:color w:val="000000"/>
                <w:szCs w:val="24"/>
                <w:lang w:eastAsia="tr-TR"/>
              </w:rPr>
              <w:t>ye</w:t>
            </w:r>
            <w:r w:rsidRPr="00A23740">
              <w:rPr>
                <w:rFonts w:eastAsia="Times New Roman"/>
                <w:color w:val="000000"/>
                <w:szCs w:val="24"/>
                <w:lang w:eastAsia="tr-TR"/>
              </w:rPr>
              <w:t xml:space="preserve">, bu alt ayrımda hüküm bulunmasa bile ilgili </w:t>
            </w:r>
            <w:r w:rsidR="00E31512" w:rsidRPr="00A23740">
              <w:rPr>
                <w:rFonts w:eastAsia="Times New Roman"/>
                <w:color w:val="000000"/>
                <w:szCs w:val="24"/>
                <w:lang w:eastAsia="tr-TR"/>
              </w:rPr>
              <w:t xml:space="preserve">kanun </w:t>
            </w:r>
            <w:r w:rsidRPr="00A23740">
              <w:rPr>
                <w:rFonts w:eastAsia="Times New Roman"/>
                <w:color w:val="000000"/>
                <w:szCs w:val="24"/>
                <w:lang w:eastAsia="tr-TR"/>
              </w:rPr>
              <w:t>hükümlerin</w:t>
            </w:r>
            <w:r w:rsidR="00E31512" w:rsidRPr="00A23740">
              <w:rPr>
                <w:rFonts w:eastAsia="Times New Roman"/>
                <w:color w:val="000000"/>
                <w:szCs w:val="24"/>
                <w:lang w:eastAsia="tr-TR"/>
              </w:rPr>
              <w:t>in</w:t>
            </w:r>
            <w:r w:rsidRPr="00A23740">
              <w:rPr>
                <w:rFonts w:eastAsia="Times New Roman"/>
                <w:color w:val="000000"/>
                <w:szCs w:val="24"/>
                <w:lang w:eastAsia="tr-TR"/>
              </w:rPr>
              <w:t xml:space="preserve"> çıkabilecek boşluklara uygulanması mümkün olacağı için </w:t>
            </w:r>
            <w:r w:rsidR="00E31512" w:rsidRPr="00A23740">
              <w:rPr>
                <w:rFonts w:eastAsia="Times New Roman"/>
                <w:color w:val="000000"/>
                <w:szCs w:val="24"/>
                <w:lang w:eastAsia="tr-TR"/>
              </w:rPr>
              <w:t>T</w:t>
            </w:r>
            <w:r w:rsidRPr="00A23740">
              <w:rPr>
                <w:rFonts w:eastAsia="Times New Roman"/>
                <w:color w:val="000000"/>
                <w:szCs w:val="24"/>
                <w:lang w:eastAsia="tr-TR"/>
              </w:rPr>
              <w:t>aslakta yer</w:t>
            </w:r>
            <w:r w:rsidR="00E31512" w:rsidRPr="00A23740">
              <w:rPr>
                <w:rFonts w:eastAsia="Times New Roman"/>
                <w:color w:val="000000"/>
                <w:szCs w:val="24"/>
                <w:lang w:eastAsia="tr-TR"/>
              </w:rPr>
              <w:t xml:space="preserve"> verilmemiştir</w:t>
            </w:r>
            <w:r w:rsidRPr="00A23740">
              <w:rPr>
                <w:rFonts w:eastAsia="Times New Roman"/>
                <w:color w:val="000000"/>
                <w:szCs w:val="24"/>
                <w:lang w:eastAsia="tr-TR"/>
              </w:rPr>
              <w:t>.</w:t>
            </w:r>
          </w:p>
          <w:p w:rsidR="00847479" w:rsidRPr="00A23740" w:rsidRDefault="00847479" w:rsidP="003F10EF">
            <w:pPr>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widowControl w:val="0"/>
              <w:tabs>
                <w:tab w:val="left" w:pos="567"/>
              </w:tabs>
              <w:rPr>
                <w:rFonts w:eastAsia="Times New Roman"/>
                <w:i/>
                <w:szCs w:val="24"/>
                <w:lang w:eastAsia="tr-TR"/>
              </w:rPr>
            </w:pPr>
          </w:p>
          <w:p w:rsidR="00AA5C8C" w:rsidRPr="00A23740" w:rsidRDefault="00AA5C8C" w:rsidP="009431FF">
            <w:pPr>
              <w:widowControl w:val="0"/>
              <w:tabs>
                <w:tab w:val="left" w:pos="567"/>
              </w:tabs>
              <w:rPr>
                <w:rFonts w:eastAsia="Times New Roman"/>
                <w:i/>
                <w:szCs w:val="24"/>
                <w:lang w:eastAsia="tr-TR"/>
              </w:rPr>
            </w:pPr>
          </w:p>
          <w:p w:rsidR="00AA5C8C" w:rsidRPr="00A23740" w:rsidRDefault="00AA5C8C" w:rsidP="009431FF">
            <w:pPr>
              <w:widowControl w:val="0"/>
              <w:tabs>
                <w:tab w:val="left" w:pos="567"/>
              </w:tabs>
              <w:rPr>
                <w:rFonts w:eastAsia="Times New Roman"/>
                <w:i/>
                <w:szCs w:val="24"/>
                <w:lang w:eastAsia="tr-TR"/>
              </w:rPr>
            </w:pPr>
          </w:p>
          <w:p w:rsidR="00AA5C8C" w:rsidRPr="00A23740" w:rsidRDefault="00AA5C8C" w:rsidP="009431FF">
            <w:pPr>
              <w:widowControl w:val="0"/>
              <w:tabs>
                <w:tab w:val="left" w:pos="567"/>
              </w:tabs>
              <w:rPr>
                <w:rFonts w:eastAsia="Times New Roman"/>
                <w:i/>
                <w:szCs w:val="24"/>
                <w:lang w:eastAsia="tr-TR"/>
              </w:rPr>
            </w:pPr>
            <w:r w:rsidRPr="00A23740">
              <w:rPr>
                <w:rFonts w:eastAsia="Times New Roman"/>
                <w:i/>
                <w:szCs w:val="24"/>
                <w:lang w:eastAsia="tr-TR"/>
              </w:rPr>
              <w:t>Pazarlık suretiyle satış</w:t>
            </w:r>
            <w:r w:rsidRPr="00A23740">
              <w:rPr>
                <w:rFonts w:eastAsia="Times New Roman"/>
                <w:b/>
                <w:i/>
                <w:strike/>
                <w:color w:val="FF0000"/>
                <w:szCs w:val="24"/>
                <w:lang w:eastAsia="tr-TR"/>
              </w:rPr>
              <w:t>:</w:t>
            </w:r>
          </w:p>
          <w:p w:rsidR="00AA5C8C" w:rsidRPr="00A23740" w:rsidRDefault="00AA5C8C" w:rsidP="009431FF">
            <w:pPr>
              <w:widowControl w:val="0"/>
              <w:tabs>
                <w:tab w:val="left" w:pos="567"/>
              </w:tabs>
              <w:rPr>
                <w:rFonts w:eastAsia="Times New Roman"/>
                <w:szCs w:val="24"/>
                <w:lang w:eastAsia="tr-TR"/>
              </w:rPr>
            </w:pPr>
            <w:r w:rsidRPr="00A23740">
              <w:rPr>
                <w:rStyle w:val="KIRMIZIChar"/>
                <w:rFonts w:eastAsia="Calibri"/>
              </w:rPr>
              <w:t>Madde 119 – (1)</w:t>
            </w:r>
            <w:r w:rsidRPr="00A23740">
              <w:rPr>
                <w:rFonts w:eastAsia="Times New Roman"/>
                <w:b/>
                <w:szCs w:val="24"/>
                <w:lang w:eastAsia="tr-TR"/>
              </w:rPr>
              <w:t xml:space="preserve"> </w:t>
            </w:r>
            <w:r w:rsidRPr="00A23740">
              <w:t>Aşağıdaki hallerde satış</w:t>
            </w:r>
            <w:r w:rsidRPr="00A23740">
              <w:rPr>
                <w:rFonts w:eastAsia="Times New Roman"/>
                <w:szCs w:val="24"/>
                <w:lang w:eastAsia="tr-TR"/>
              </w:rPr>
              <w:t xml:space="preserve"> pazarlık suretiyle yapılabilir:</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b/>
                <w:strike/>
                <w:color w:val="FF0000"/>
                <w:szCs w:val="24"/>
                <w:lang w:eastAsia="tr-TR"/>
              </w:rPr>
              <w:t>1 –</w:t>
            </w:r>
            <w:r w:rsidRPr="00A23740">
              <w:rPr>
                <w:rFonts w:eastAsia="Times New Roman"/>
                <w:szCs w:val="24"/>
                <w:lang w:eastAsia="tr-TR"/>
              </w:rPr>
              <w:t xml:space="preserve"> Bütün </w:t>
            </w:r>
            <w:r w:rsidRPr="00A23740">
              <w:rPr>
                <w:rFonts w:eastAsia="Times New Roman"/>
                <w:b/>
                <w:strike/>
                <w:color w:val="FF0000"/>
                <w:szCs w:val="24"/>
                <w:lang w:eastAsia="tr-TR"/>
              </w:rPr>
              <w:t>alakadarlar isterse</w:t>
            </w:r>
            <w:r w:rsidRPr="00A23740">
              <w:rPr>
                <w:rFonts w:eastAsia="Times New Roman"/>
                <w:szCs w:val="24"/>
                <w:lang w:eastAsia="tr-TR"/>
              </w:rPr>
              <w:t>,</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b/>
                <w:strike/>
                <w:color w:val="FF0000"/>
                <w:szCs w:val="24"/>
                <w:lang w:eastAsia="tr-TR"/>
              </w:rPr>
              <w:t>2 –</w:t>
            </w:r>
            <w:r w:rsidRPr="00A23740">
              <w:rPr>
                <w:rFonts w:eastAsia="Times New Roman"/>
                <w:szCs w:val="24"/>
                <w:lang w:eastAsia="tr-TR"/>
              </w:rPr>
              <w:t xml:space="preserve"> Borsa veya piyasada fiyatı bulunan kıymetli evrak veya diğer mallar için o günün piyasasında </w:t>
            </w:r>
            <w:r w:rsidRPr="00A23740">
              <w:rPr>
                <w:rFonts w:eastAsia="Times New Roman"/>
                <w:b/>
                <w:strike/>
                <w:color w:val="FF0000"/>
                <w:szCs w:val="24"/>
                <w:lang w:eastAsia="tr-TR"/>
              </w:rPr>
              <w:t>mukarrer</w:t>
            </w:r>
            <w:r w:rsidRPr="00A23740">
              <w:rPr>
                <w:rFonts w:eastAsia="Times New Roman"/>
                <w:szCs w:val="24"/>
                <w:lang w:eastAsia="tr-TR"/>
              </w:rPr>
              <w:t xml:space="preserve"> fiyat teklif edilirse,</w:t>
            </w:r>
          </w:p>
          <w:p w:rsidR="00AA5C8C" w:rsidRPr="00A23740" w:rsidRDefault="00AA5C8C" w:rsidP="009431FF">
            <w:pPr>
              <w:widowControl w:val="0"/>
              <w:tabs>
                <w:tab w:val="left" w:pos="567"/>
              </w:tabs>
              <w:rPr>
                <w:rFonts w:eastAsia="Times New Roman"/>
                <w:szCs w:val="24"/>
                <w:lang w:eastAsia="tr-TR"/>
              </w:rPr>
            </w:pPr>
          </w:p>
          <w:p w:rsidR="0009539A" w:rsidRPr="00A23740" w:rsidRDefault="00AA5C8C" w:rsidP="009431FF">
            <w:pPr>
              <w:widowControl w:val="0"/>
              <w:tabs>
                <w:tab w:val="left" w:pos="567"/>
              </w:tabs>
              <w:rPr>
                <w:rFonts w:eastAsia="Times New Roman"/>
                <w:szCs w:val="24"/>
                <w:lang w:eastAsia="tr-TR"/>
              </w:rPr>
            </w:pPr>
            <w:r w:rsidRPr="00A23740">
              <w:rPr>
                <w:rFonts w:eastAsia="Times New Roman"/>
                <w:b/>
                <w:strike/>
                <w:color w:val="FF0000"/>
                <w:szCs w:val="24"/>
                <w:lang w:eastAsia="tr-TR"/>
              </w:rPr>
              <w:t>3 –</w:t>
            </w:r>
            <w:r w:rsidRPr="00A23740">
              <w:rPr>
                <w:rFonts w:eastAsia="Times New Roman"/>
                <w:szCs w:val="24"/>
                <w:lang w:eastAsia="tr-TR"/>
              </w:rPr>
              <w:t xml:space="preserve"> Artırmada maden kıymetini bulmamış olan </w:t>
            </w:r>
            <w:r w:rsidRPr="00A23740">
              <w:rPr>
                <w:rFonts w:eastAsia="Times New Roman"/>
                <w:b/>
                <w:strike/>
                <w:color w:val="FF0000"/>
                <w:szCs w:val="24"/>
                <w:lang w:eastAsia="tr-TR"/>
              </w:rPr>
              <w:t>altın ve gümüş eşyaya</w:t>
            </w:r>
            <w:r w:rsidR="003C2B62" w:rsidRPr="00A23740">
              <w:rPr>
                <w:rFonts w:eastAsia="Times New Roman"/>
                <w:szCs w:val="24"/>
                <w:lang w:eastAsia="tr-TR"/>
              </w:rPr>
              <w:t xml:space="preserve"> bu kıymet verilirse,</w:t>
            </w:r>
          </w:p>
          <w:p w:rsidR="0009539A" w:rsidRPr="00A23740" w:rsidRDefault="0009539A"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b/>
                <w:strike/>
                <w:color w:val="FF0000"/>
                <w:szCs w:val="24"/>
                <w:lang w:eastAsia="tr-TR"/>
              </w:rPr>
            </w:pPr>
            <w:r w:rsidRPr="00A23740">
              <w:rPr>
                <w:rFonts w:eastAsia="Times New Roman"/>
                <w:b/>
                <w:strike/>
                <w:color w:val="FF0000"/>
                <w:szCs w:val="24"/>
                <w:lang w:eastAsia="tr-TR"/>
              </w:rPr>
              <w:t>4 – 113 üncü maddenin ikinci fıkrasında gösterilen haller bulunursa,</w:t>
            </w:r>
          </w:p>
          <w:p w:rsidR="003C2B62" w:rsidRPr="00A23740" w:rsidRDefault="00AA5C8C" w:rsidP="009431FF">
            <w:pPr>
              <w:widowControl w:val="0"/>
              <w:tabs>
                <w:tab w:val="left" w:pos="567"/>
              </w:tabs>
              <w:rPr>
                <w:rFonts w:eastAsia="Times New Roman"/>
                <w:b/>
                <w:strike/>
                <w:color w:val="FF0000"/>
                <w:szCs w:val="24"/>
                <w:lang w:eastAsia="tr-TR"/>
              </w:rPr>
            </w:pPr>
            <w:r w:rsidRPr="00A23740">
              <w:rPr>
                <w:rFonts w:eastAsia="Times New Roman"/>
                <w:b/>
                <w:strike/>
                <w:color w:val="FF0000"/>
                <w:szCs w:val="24"/>
                <w:lang w:eastAsia="tr-TR"/>
              </w:rPr>
              <w:t xml:space="preserve">5 – (Değişik: 17/7/2003-4949/31 md.) Mahcuz </w:t>
            </w:r>
            <w:r w:rsidRPr="00A23740">
              <w:rPr>
                <w:rFonts w:eastAsia="Times New Roman"/>
                <w:szCs w:val="24"/>
                <w:lang w:eastAsia="tr-TR"/>
              </w:rPr>
              <w:t xml:space="preserve">malın tahmin edilen </w:t>
            </w:r>
            <w:r w:rsidRPr="00A23740">
              <w:rPr>
                <w:rFonts w:eastAsia="Times New Roman"/>
                <w:b/>
                <w:strike/>
                <w:color w:val="FF0000"/>
                <w:szCs w:val="24"/>
                <w:lang w:eastAsia="tr-TR"/>
              </w:rPr>
              <w:t>değeri birmilyar</w:t>
            </w:r>
            <w:r w:rsidRPr="00A23740">
              <w:rPr>
                <w:rFonts w:eastAsia="Times New Roman"/>
                <w:szCs w:val="24"/>
                <w:lang w:eastAsia="tr-TR"/>
              </w:rPr>
              <w:t xml:space="preserve"> lirayı geçmezse.</w:t>
            </w:r>
          </w:p>
          <w:p w:rsidR="003C2B62" w:rsidRPr="00A23740" w:rsidRDefault="003C2B62" w:rsidP="009431FF">
            <w:pPr>
              <w:widowControl w:val="0"/>
              <w:tabs>
                <w:tab w:val="left" w:pos="567"/>
              </w:tabs>
              <w:rPr>
                <w:rFonts w:eastAsia="Times New Roman"/>
                <w:b/>
                <w:strike/>
                <w:color w:val="FF0000"/>
                <w:szCs w:val="24"/>
                <w:lang w:eastAsia="tr-TR"/>
              </w:rPr>
            </w:pPr>
          </w:p>
          <w:p w:rsidR="00AA5C8C" w:rsidRPr="00A23740" w:rsidRDefault="00AA5C8C" w:rsidP="009431FF">
            <w:pPr>
              <w:widowControl w:val="0"/>
              <w:tabs>
                <w:tab w:val="left" w:pos="567"/>
              </w:tabs>
              <w:rPr>
                <w:rFonts w:eastAsia="Times New Roman"/>
                <w:b/>
                <w:strike/>
                <w:color w:val="FF0000"/>
                <w:szCs w:val="24"/>
                <w:lang w:eastAsia="tr-TR"/>
              </w:rPr>
            </w:pPr>
            <w:r w:rsidRPr="00A23740">
              <w:rPr>
                <w:rFonts w:eastAsia="Times New Roman"/>
                <w:i/>
                <w:szCs w:val="24"/>
                <w:lang w:eastAsia="tr-TR"/>
              </w:rPr>
              <w:t>Vaktinden evvel satış</w:t>
            </w:r>
            <w:r w:rsidRPr="00A23740">
              <w:rPr>
                <w:rFonts w:eastAsia="Times New Roman"/>
                <w:b/>
                <w:strike/>
                <w:color w:val="FF0000"/>
                <w:szCs w:val="24"/>
                <w:lang w:eastAsia="tr-TR"/>
              </w:rPr>
              <w:t>:</w:t>
            </w:r>
          </w:p>
          <w:p w:rsidR="00AA5C8C" w:rsidRPr="00A23740" w:rsidRDefault="00EA4089" w:rsidP="009431FF">
            <w:pPr>
              <w:widowControl w:val="0"/>
              <w:tabs>
                <w:tab w:val="left" w:pos="567"/>
              </w:tabs>
              <w:rPr>
                <w:rFonts w:eastAsia="Times New Roman"/>
                <w:szCs w:val="24"/>
                <w:lang w:eastAsia="tr-TR"/>
              </w:rPr>
            </w:pPr>
            <w:r w:rsidRPr="00A23740">
              <w:rPr>
                <w:rStyle w:val="KIRMIZIChar"/>
                <w:rFonts w:eastAsia="Calibri"/>
              </w:rPr>
              <w:t>Madde 113 –…</w:t>
            </w:r>
          </w:p>
          <w:p w:rsidR="00AA5C8C" w:rsidRPr="00A23740" w:rsidRDefault="00AA5C8C" w:rsidP="009431FF">
            <w:pPr>
              <w:widowControl w:val="0"/>
              <w:tabs>
                <w:tab w:val="left" w:pos="567"/>
              </w:tabs>
              <w:rPr>
                <w:rFonts w:eastAsia="Times New Roman"/>
                <w:b/>
                <w:strike/>
                <w:color w:val="FF0000"/>
                <w:szCs w:val="24"/>
                <w:lang w:eastAsia="tr-TR"/>
              </w:rPr>
            </w:pPr>
            <w:r w:rsidRPr="00A23740">
              <w:rPr>
                <w:rFonts w:eastAsia="Times New Roman"/>
                <w:b/>
                <w:strike/>
                <w:color w:val="FF0000"/>
                <w:szCs w:val="24"/>
                <w:lang w:eastAsia="tr-TR"/>
              </w:rPr>
              <w:t>(2)</w:t>
            </w:r>
            <w:r w:rsidRPr="00A23740">
              <w:t xml:space="preserve"> İcra </w:t>
            </w:r>
            <w:r w:rsidRPr="00A23740">
              <w:rPr>
                <w:rFonts w:eastAsia="Times New Roman"/>
                <w:b/>
                <w:strike/>
                <w:color w:val="FF0000"/>
                <w:szCs w:val="24"/>
                <w:lang w:eastAsia="tr-TR"/>
              </w:rPr>
              <w:t>memuru</w:t>
            </w:r>
            <w:r w:rsidRPr="00A23740">
              <w:rPr>
                <w:rFonts w:eastAsia="Times New Roman"/>
                <w:szCs w:val="24"/>
                <w:lang w:eastAsia="tr-TR"/>
              </w:rPr>
              <w:t xml:space="preserve"> kıymeti süratle düşen veyahut muhafazası masraflı olan malların </w:t>
            </w:r>
            <w:r w:rsidRPr="00A23740">
              <w:t>satılmasına her zaman karar verebilir.</w:t>
            </w:r>
          </w:p>
        </w:tc>
        <w:tc>
          <w:tcPr>
            <w:tcW w:w="2500" w:type="pct"/>
          </w:tcPr>
          <w:p w:rsidR="00AA5C8C" w:rsidRPr="00A23740" w:rsidRDefault="0072771C" w:rsidP="009431FF">
            <w:pPr>
              <w:widowControl w:val="0"/>
              <w:tabs>
                <w:tab w:val="left" w:pos="567"/>
              </w:tabs>
              <w:jc w:val="center"/>
              <w:rPr>
                <w:rFonts w:eastAsia="Times New Roman"/>
                <w:b/>
                <w:color w:val="0000FF"/>
                <w:szCs w:val="24"/>
                <w:lang w:eastAsia="tr-TR"/>
              </w:rPr>
            </w:pPr>
            <w:r w:rsidRPr="00A23740">
              <w:rPr>
                <w:rFonts w:eastAsia="Times New Roman"/>
                <w:b/>
                <w:color w:val="0000FF"/>
                <w:szCs w:val="24"/>
                <w:lang w:eastAsia="tr-TR"/>
              </w:rPr>
              <w:t>DÖRDÜNCÜ</w:t>
            </w:r>
            <w:r w:rsidR="00AA5C8C" w:rsidRPr="00A23740">
              <w:rPr>
                <w:rFonts w:eastAsia="Times New Roman"/>
                <w:b/>
                <w:color w:val="0000FF"/>
                <w:szCs w:val="24"/>
                <w:lang w:eastAsia="tr-TR"/>
              </w:rPr>
              <w:t xml:space="preserve"> ALT AYRIM</w:t>
            </w:r>
          </w:p>
          <w:p w:rsidR="00AA5C8C" w:rsidRPr="00A23740" w:rsidRDefault="00AA5C8C" w:rsidP="009431FF">
            <w:pPr>
              <w:widowControl w:val="0"/>
              <w:tabs>
                <w:tab w:val="left" w:pos="567"/>
              </w:tabs>
              <w:jc w:val="center"/>
              <w:rPr>
                <w:rFonts w:eastAsia="Times New Roman"/>
                <w:b/>
                <w:color w:val="0000FF"/>
                <w:szCs w:val="24"/>
                <w:lang w:eastAsia="tr-TR"/>
              </w:rPr>
            </w:pPr>
            <w:r w:rsidRPr="00A23740">
              <w:rPr>
                <w:rFonts w:eastAsia="Times New Roman"/>
                <w:b/>
                <w:color w:val="0000FF"/>
                <w:szCs w:val="24"/>
                <w:lang w:eastAsia="tr-TR"/>
              </w:rPr>
              <w:t>Pazarlık Suretiyle Satış</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b/>
                <w:szCs w:val="24"/>
                <w:lang w:eastAsia="tr-TR"/>
              </w:rPr>
              <w:t>Pazarlık suretiyle satış</w:t>
            </w:r>
            <w:r w:rsidRPr="00A23740">
              <w:rPr>
                <w:rFonts w:eastAsia="Times New Roman"/>
                <w:szCs w:val="24"/>
                <w:lang w:eastAsia="tr-TR"/>
              </w:rPr>
              <w:t xml:space="preserve"> </w:t>
            </w:r>
            <w:r w:rsidRPr="00A23740">
              <w:rPr>
                <w:rFonts w:eastAsia="Times New Roman"/>
                <w:b/>
                <w:color w:val="0000FF"/>
                <w:szCs w:val="24"/>
                <w:lang w:eastAsia="tr-TR"/>
              </w:rPr>
              <w:t>h</w:t>
            </w:r>
            <w:r w:rsidR="00E973CC" w:rsidRPr="00A23740">
              <w:rPr>
                <w:rFonts w:eastAsia="Times New Roman"/>
                <w:b/>
                <w:color w:val="0000FF"/>
                <w:szCs w:val="24"/>
                <w:lang w:eastAsia="tr-TR"/>
              </w:rPr>
              <w:t>â</w:t>
            </w:r>
            <w:r w:rsidRPr="00A23740">
              <w:rPr>
                <w:rFonts w:eastAsia="Times New Roman"/>
                <w:b/>
                <w:color w:val="0000FF"/>
                <w:szCs w:val="24"/>
                <w:lang w:eastAsia="tr-TR"/>
              </w:rPr>
              <w:t>lleri</w:t>
            </w:r>
          </w:p>
          <w:p w:rsidR="00AA5C8C" w:rsidRPr="00A23740" w:rsidRDefault="00AA5C8C" w:rsidP="009431FF">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MADDE 2</w:t>
            </w:r>
            <w:r w:rsidR="0037744E" w:rsidRPr="00A23740">
              <w:rPr>
                <w:rFonts w:eastAsia="Times New Roman"/>
                <w:b/>
                <w:color w:val="0000FF"/>
                <w:szCs w:val="24"/>
                <w:lang w:eastAsia="tr-TR"/>
              </w:rPr>
              <w:t>44</w:t>
            </w:r>
            <w:r w:rsidRPr="00A23740">
              <w:rPr>
                <w:rFonts w:eastAsia="Times New Roman"/>
                <w:b/>
                <w:color w:val="0000FF"/>
                <w:szCs w:val="24"/>
                <w:lang w:eastAsia="tr-TR"/>
              </w:rPr>
              <w:t xml:space="preserve">- (1) </w:t>
            </w:r>
            <w:r w:rsidRPr="00A23740">
              <w:rPr>
                <w:rFonts w:eastAsia="Times New Roman"/>
                <w:szCs w:val="24"/>
                <w:lang w:eastAsia="tr-TR"/>
              </w:rPr>
              <w:t>Aşağı</w:t>
            </w:r>
            <w:r w:rsidR="0009539A" w:rsidRPr="00A23740">
              <w:t>daki h</w:t>
            </w:r>
            <w:r w:rsidR="00E973CC" w:rsidRPr="00A23740">
              <w:t>â</w:t>
            </w:r>
            <w:r w:rsidR="0009539A" w:rsidRPr="00A23740">
              <w:t xml:space="preserve">llerde </w:t>
            </w:r>
            <w:r w:rsidRPr="00A23740">
              <w:rPr>
                <w:rFonts w:eastAsia="Times New Roman"/>
                <w:b/>
                <w:color w:val="0000FF"/>
                <w:szCs w:val="24"/>
                <w:lang w:eastAsia="tr-TR"/>
              </w:rPr>
              <w:t xml:space="preserve">taşınır mallar için </w:t>
            </w:r>
            <w:r w:rsidRPr="00A23740">
              <w:rPr>
                <w:rFonts w:eastAsia="Times New Roman"/>
                <w:szCs w:val="24"/>
                <w:lang w:eastAsia="tr-TR"/>
              </w:rPr>
              <w:t>pazarlık suretiyle satış yapılabilir:</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Style w:val="MaviChar"/>
                <w:lang w:val="tr-TR"/>
              </w:rPr>
            </w:pPr>
            <w:r w:rsidRPr="00A23740">
              <w:rPr>
                <w:rFonts w:eastAsia="Times New Roman"/>
                <w:b/>
                <w:color w:val="0000FF"/>
                <w:szCs w:val="24"/>
                <w:lang w:eastAsia="tr-TR"/>
              </w:rPr>
              <w:t xml:space="preserve">a) </w:t>
            </w:r>
            <w:r w:rsidRPr="00A23740">
              <w:rPr>
                <w:rFonts w:eastAsia="Times New Roman"/>
                <w:szCs w:val="24"/>
                <w:lang w:eastAsia="tr-TR"/>
              </w:rPr>
              <w:t xml:space="preserve">Bütün </w:t>
            </w:r>
            <w:r w:rsidRPr="00A23740">
              <w:rPr>
                <w:rFonts w:eastAsia="Times New Roman"/>
                <w:b/>
                <w:color w:val="0000FF"/>
                <w:szCs w:val="24"/>
                <w:lang w:eastAsia="tr-TR"/>
              </w:rPr>
              <w:t>ilgililer talep ederse</w:t>
            </w:r>
            <w:r w:rsidRPr="00A23740">
              <w:rPr>
                <w:rStyle w:val="MaviChar"/>
                <w:lang w:val="tr-TR"/>
              </w:rPr>
              <w:t>.</w:t>
            </w:r>
          </w:p>
          <w:p w:rsidR="00AA5C8C" w:rsidRPr="00A23740" w:rsidRDefault="00AA5C8C" w:rsidP="009431FF">
            <w:pPr>
              <w:widowControl w:val="0"/>
              <w:tabs>
                <w:tab w:val="left" w:pos="567"/>
              </w:tabs>
              <w:contextualSpacing/>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 xml:space="preserve">b) </w:t>
            </w:r>
            <w:r w:rsidRPr="00A23740">
              <w:rPr>
                <w:rFonts w:eastAsia="Times New Roman"/>
                <w:szCs w:val="24"/>
                <w:lang w:eastAsia="tr-TR"/>
              </w:rPr>
              <w:t>Borsa veya piyasada fiyatı bulunan kıymetli evrak veya diğer mallar için</w:t>
            </w:r>
            <w:r w:rsidR="00521D9D" w:rsidRPr="00372868">
              <w:rPr>
                <w:rStyle w:val="MaviChar"/>
              </w:rPr>
              <w:t>,</w:t>
            </w:r>
            <w:r w:rsidRPr="00A23740">
              <w:rPr>
                <w:rFonts w:eastAsia="Times New Roman"/>
                <w:szCs w:val="24"/>
                <w:lang w:eastAsia="tr-TR"/>
              </w:rPr>
              <w:t xml:space="preserve"> o günün piyasasında </w:t>
            </w:r>
            <w:r w:rsidRPr="00A23740">
              <w:rPr>
                <w:rFonts w:eastAsia="Times New Roman"/>
                <w:b/>
                <w:color w:val="0000FF"/>
                <w:szCs w:val="24"/>
                <w:lang w:eastAsia="tr-TR"/>
              </w:rPr>
              <w:t>geçerli</w:t>
            </w:r>
            <w:r w:rsidRPr="00A23740">
              <w:rPr>
                <w:rFonts w:eastAsia="Times New Roman"/>
                <w:szCs w:val="24"/>
                <w:lang w:eastAsia="tr-TR"/>
              </w:rPr>
              <w:t xml:space="preserve"> fiyat teklif edilirse</w:t>
            </w:r>
            <w:r w:rsidRPr="00A23740">
              <w:rPr>
                <w:rStyle w:val="MaviChar"/>
                <w:lang w:val="tr-TR"/>
              </w:rPr>
              <w:t>.</w:t>
            </w:r>
          </w:p>
          <w:p w:rsidR="00AA5C8C" w:rsidRPr="00A23740" w:rsidRDefault="00AA5C8C" w:rsidP="009431FF">
            <w:pPr>
              <w:widowControl w:val="0"/>
              <w:tabs>
                <w:tab w:val="left" w:pos="567"/>
              </w:tabs>
              <w:contextualSpacing/>
              <w:rPr>
                <w:rFonts w:eastAsia="Times New Roman"/>
                <w:b/>
                <w:color w:val="0000FF"/>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b/>
                <w:color w:val="0000FF"/>
                <w:szCs w:val="24"/>
                <w:lang w:eastAsia="tr-TR"/>
              </w:rPr>
              <w:t>c</w:t>
            </w:r>
            <w:r w:rsidRPr="00A23740">
              <w:rPr>
                <w:rStyle w:val="MaviChar"/>
              </w:rPr>
              <w:t>)</w:t>
            </w:r>
            <w:r w:rsidRPr="00A23740">
              <w:rPr>
                <w:rFonts w:eastAsia="Times New Roman"/>
                <w:szCs w:val="24"/>
                <w:lang w:eastAsia="tr-TR"/>
              </w:rPr>
              <w:t xml:space="preserve"> Artırmada maden kıymetini bulmamış olan</w:t>
            </w:r>
            <w:r w:rsidRPr="00A23740">
              <w:rPr>
                <w:rFonts w:eastAsia="Times New Roman"/>
                <w:b/>
                <w:color w:val="0000FF"/>
                <w:szCs w:val="24"/>
                <w:lang w:eastAsia="tr-TR"/>
              </w:rPr>
              <w:t xml:space="preserve"> </w:t>
            </w:r>
            <w:r w:rsidRPr="00A23740">
              <w:rPr>
                <w:b/>
                <w:color w:val="0000FF"/>
                <w:szCs w:val="24"/>
              </w:rPr>
              <w:t>değerli madenler</w:t>
            </w:r>
            <w:r w:rsidRPr="00A23740">
              <w:rPr>
                <w:b/>
                <w:color w:val="0000FF"/>
              </w:rPr>
              <w:t>den</w:t>
            </w:r>
            <w:r w:rsidRPr="00A23740">
              <w:rPr>
                <w:b/>
                <w:color w:val="0000FF"/>
                <w:szCs w:val="24"/>
              </w:rPr>
              <w:t xml:space="preserve"> </w:t>
            </w:r>
            <w:r w:rsidRPr="00A23740">
              <w:rPr>
                <w:b/>
                <w:color w:val="0000FF"/>
              </w:rPr>
              <w:t>yapılmış eşyaya maden</w:t>
            </w:r>
            <w:r w:rsidRPr="00A23740">
              <w:rPr>
                <w:rStyle w:val="YELChar"/>
              </w:rPr>
              <w:t xml:space="preserve"> </w:t>
            </w:r>
            <w:r w:rsidRPr="00A23740">
              <w:rPr>
                <w:rFonts w:eastAsia="Times New Roman"/>
                <w:szCs w:val="24"/>
                <w:lang w:eastAsia="tr-TR"/>
              </w:rPr>
              <w:t>kıymeti verilirse</w:t>
            </w:r>
            <w:r w:rsidRPr="00A23740">
              <w:rPr>
                <w:rStyle w:val="MaviChar"/>
                <w:lang w:val="tr-TR"/>
              </w:rPr>
              <w:t>.</w:t>
            </w:r>
          </w:p>
          <w:p w:rsidR="0009539A" w:rsidRPr="00A23740" w:rsidRDefault="0009539A" w:rsidP="009431FF">
            <w:pPr>
              <w:widowControl w:val="0"/>
              <w:tabs>
                <w:tab w:val="left" w:pos="567"/>
              </w:tabs>
              <w:contextualSpacing/>
              <w:rPr>
                <w:rFonts w:eastAsia="Times New Roman"/>
                <w:b/>
                <w:strike/>
                <w:color w:val="FF0000"/>
                <w:szCs w:val="24"/>
                <w:lang w:eastAsia="tr-TR"/>
              </w:rPr>
            </w:pPr>
          </w:p>
          <w:p w:rsidR="003C2B62" w:rsidRPr="00A23740" w:rsidRDefault="003C2B62" w:rsidP="009431FF">
            <w:pPr>
              <w:widowControl w:val="0"/>
              <w:tabs>
                <w:tab w:val="left" w:pos="567"/>
              </w:tabs>
              <w:contextualSpacing/>
              <w:rPr>
                <w:rFonts w:eastAsia="Times New Roman"/>
                <w:b/>
                <w:strike/>
                <w:color w:val="FF0000"/>
                <w:szCs w:val="24"/>
                <w:lang w:eastAsia="tr-TR"/>
              </w:rPr>
            </w:pPr>
          </w:p>
          <w:p w:rsidR="003C2B62" w:rsidRPr="00A23740" w:rsidRDefault="003C2B62" w:rsidP="009431FF">
            <w:pPr>
              <w:widowControl w:val="0"/>
              <w:tabs>
                <w:tab w:val="left" w:pos="567"/>
              </w:tabs>
              <w:contextualSpacing/>
              <w:rPr>
                <w:rFonts w:eastAsia="Times New Roman"/>
                <w:b/>
                <w:strike/>
                <w:color w:val="FF0000"/>
                <w:szCs w:val="24"/>
                <w:lang w:eastAsia="tr-TR"/>
              </w:rPr>
            </w:pPr>
          </w:p>
          <w:p w:rsidR="003C2B62" w:rsidRPr="00A23740" w:rsidRDefault="00AA5C8C" w:rsidP="009431FF">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 xml:space="preserve">ç) Haczedilen </w:t>
            </w:r>
            <w:r w:rsidRPr="00A23740">
              <w:rPr>
                <w:rFonts w:eastAsia="Times New Roman"/>
                <w:szCs w:val="24"/>
                <w:lang w:eastAsia="tr-TR"/>
              </w:rPr>
              <w:t xml:space="preserve">malın tahmin edilen </w:t>
            </w:r>
            <w:r w:rsidRPr="00A23740">
              <w:rPr>
                <w:rFonts w:eastAsia="Times New Roman"/>
                <w:b/>
                <w:color w:val="0000FF"/>
                <w:szCs w:val="24"/>
                <w:lang w:eastAsia="tr-TR"/>
              </w:rPr>
              <w:t xml:space="preserve">kıymeti </w:t>
            </w:r>
            <w:r w:rsidRPr="00A23740">
              <w:rPr>
                <w:rStyle w:val="MaviChar"/>
              </w:rPr>
              <w:t>yirmi beş bin</w:t>
            </w:r>
            <w:r w:rsidRPr="00A23740">
              <w:rPr>
                <w:rFonts w:eastAsia="Times New Roman"/>
                <w:b/>
                <w:color w:val="0000FF"/>
                <w:szCs w:val="24"/>
                <w:lang w:eastAsia="tr-TR"/>
              </w:rPr>
              <w:t xml:space="preserve"> Türk</w:t>
            </w:r>
            <w:r w:rsidR="00E973CC" w:rsidRPr="00A23740">
              <w:rPr>
                <w:rFonts w:eastAsia="Times New Roman"/>
                <w:szCs w:val="24"/>
                <w:lang w:eastAsia="tr-TR"/>
              </w:rPr>
              <w:t xml:space="preserve"> l</w:t>
            </w:r>
            <w:r w:rsidRPr="00A23740">
              <w:rPr>
                <w:rFonts w:eastAsia="Times New Roman"/>
                <w:szCs w:val="24"/>
                <w:lang w:eastAsia="tr-TR"/>
              </w:rPr>
              <w:t>ira</w:t>
            </w:r>
            <w:r w:rsidRPr="00A23740">
              <w:rPr>
                <w:rFonts w:eastAsia="Times New Roman"/>
                <w:b/>
                <w:color w:val="0000FF"/>
                <w:szCs w:val="24"/>
                <w:lang w:eastAsia="tr-TR"/>
              </w:rPr>
              <w:t>sın</w:t>
            </w:r>
            <w:r w:rsidRPr="00A23740">
              <w:rPr>
                <w:rFonts w:eastAsia="Times New Roman"/>
                <w:szCs w:val="24"/>
                <w:lang w:eastAsia="tr-TR"/>
              </w:rPr>
              <w:t>ı geçmezse</w:t>
            </w:r>
            <w:r w:rsidRPr="00A23740">
              <w:rPr>
                <w:rStyle w:val="MaviChar"/>
                <w:lang w:val="tr-TR"/>
              </w:rPr>
              <w:t>.</w:t>
            </w:r>
          </w:p>
          <w:p w:rsidR="003C2B62" w:rsidRPr="00A23740" w:rsidRDefault="003C2B62" w:rsidP="009431FF">
            <w:pPr>
              <w:widowControl w:val="0"/>
              <w:tabs>
                <w:tab w:val="left" w:pos="567"/>
              </w:tabs>
              <w:rPr>
                <w:rFonts w:eastAsia="Times New Roman"/>
                <w:b/>
                <w:color w:val="0000FF"/>
                <w:szCs w:val="24"/>
                <w:lang w:eastAsia="tr-TR"/>
              </w:rPr>
            </w:pPr>
          </w:p>
          <w:p w:rsidR="003C2B62" w:rsidRPr="00A23740" w:rsidRDefault="003C2B62" w:rsidP="009431FF">
            <w:pPr>
              <w:widowControl w:val="0"/>
              <w:tabs>
                <w:tab w:val="left" w:pos="567"/>
              </w:tabs>
              <w:rPr>
                <w:rFonts w:eastAsia="Times New Roman"/>
                <w:b/>
                <w:color w:val="0000FF"/>
                <w:szCs w:val="24"/>
                <w:lang w:eastAsia="tr-TR"/>
              </w:rPr>
            </w:pPr>
          </w:p>
          <w:p w:rsidR="003C2B62" w:rsidRPr="00A23740" w:rsidRDefault="003C2B62"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(2)</w:t>
            </w:r>
            <w:r w:rsidRPr="00A23740">
              <w:t xml:space="preserve"> İcra </w:t>
            </w:r>
            <w:r w:rsidRPr="00A23740">
              <w:rPr>
                <w:rStyle w:val="MaviChar"/>
              </w:rPr>
              <w:t>ve iflas dairesi</w:t>
            </w:r>
            <w:r w:rsidRPr="00A23740">
              <w:rPr>
                <w:rStyle w:val="MaviChar"/>
                <w:lang w:val="tr-TR"/>
              </w:rPr>
              <w:t>,</w:t>
            </w:r>
            <w:r w:rsidRPr="00A23740">
              <w:t xml:space="preserve"> </w:t>
            </w:r>
            <w:r w:rsidRPr="00A23740">
              <w:rPr>
                <w:rFonts w:eastAsia="Times New Roman"/>
                <w:szCs w:val="24"/>
                <w:lang w:eastAsia="tr-TR"/>
              </w:rPr>
              <w:t xml:space="preserve">kıymeti süratle düşen veya muhafazası masraflı olan malların </w:t>
            </w:r>
            <w:r w:rsidRPr="00A23740">
              <w:rPr>
                <w:rStyle w:val="MaviChar"/>
              </w:rPr>
              <w:t>pazarlık suretiyle</w:t>
            </w:r>
            <w:r w:rsidRPr="00A23740">
              <w:rPr>
                <w:rFonts w:eastAsia="Times New Roman"/>
                <w:szCs w:val="24"/>
                <w:lang w:eastAsia="tr-TR"/>
              </w:rPr>
              <w:t xml:space="preserve"> satılmasına her zaman karar verebilir.</w:t>
            </w:r>
          </w:p>
          <w:p w:rsidR="00AA5C8C" w:rsidRPr="00A23740" w:rsidRDefault="00AA5C8C" w:rsidP="009431FF">
            <w:pPr>
              <w:pStyle w:val="KIRMIZI"/>
              <w:widowControl w:val="0"/>
              <w:rPr>
                <w:b w:val="0"/>
                <w:color w:val="0000FF"/>
                <w:lang w:eastAsia="tr-TR"/>
              </w:rPr>
            </w:pPr>
          </w:p>
        </w:tc>
      </w:tr>
      <w:tr w:rsidR="00AA5C8C" w:rsidRPr="00A23740" w:rsidTr="009431FF">
        <w:tc>
          <w:tcPr>
            <w:tcW w:w="5000" w:type="pct"/>
            <w:gridSpan w:val="2"/>
            <w:shd w:val="clear" w:color="auto" w:fill="DEEAF6"/>
          </w:tcPr>
          <w:p w:rsidR="00AA5C8C" w:rsidRPr="00A23740" w:rsidRDefault="00AA5C8C" w:rsidP="009431FF">
            <w:pPr>
              <w:ind w:firstLine="567"/>
            </w:pPr>
          </w:p>
          <w:p w:rsidR="00AA5C8C" w:rsidRPr="00A23740" w:rsidRDefault="00AA5C8C" w:rsidP="009431FF">
            <w:pPr>
              <w:ind w:firstLine="567"/>
              <w:rPr>
                <w:lang w:eastAsia="x-none"/>
              </w:rPr>
            </w:pPr>
            <w:r w:rsidRPr="00A23740">
              <w:rPr>
                <w:b/>
              </w:rPr>
              <w:t xml:space="preserve">MADDE </w:t>
            </w:r>
            <w:r w:rsidR="00C33287" w:rsidRPr="00A23740">
              <w:rPr>
                <w:b/>
              </w:rPr>
              <w:t>2</w:t>
            </w:r>
            <w:r w:rsidR="0037744E" w:rsidRPr="00A23740">
              <w:rPr>
                <w:b/>
              </w:rPr>
              <w:t>44</w:t>
            </w:r>
            <w:r w:rsidRPr="00A23740">
              <w:rPr>
                <w:b/>
              </w:rPr>
              <w:t>-</w:t>
            </w:r>
            <w:r w:rsidRPr="00A23740">
              <w:rPr>
                <w:lang w:eastAsia="x-none"/>
              </w:rPr>
              <w:t xml:space="preserve"> Maddeyle, taşınır mallara ilişkin pazarlıkla satışın şartları düzenlenmektedir. Pazarlıkla satış, açık artırma yoluyla satışın alternatifi olan istisnai bir satış yöntemidir.</w:t>
            </w:r>
          </w:p>
          <w:p w:rsidR="0009539A" w:rsidRPr="00A23740" w:rsidRDefault="00AA5C8C" w:rsidP="009431FF">
            <w:pPr>
              <w:ind w:firstLine="567"/>
              <w:rPr>
                <w:lang w:eastAsia="x-none"/>
              </w:rPr>
            </w:pPr>
            <w:r w:rsidRPr="00A23740">
              <w:rPr>
                <w:lang w:eastAsia="x-none"/>
              </w:rPr>
              <w:t>Birinci fıkrayla, pazarlıkla satışın gerçekleştirileceği h</w:t>
            </w:r>
            <w:r w:rsidR="00C224B4" w:rsidRPr="00A23740">
              <w:rPr>
                <w:lang w:eastAsia="x-none"/>
              </w:rPr>
              <w:t>â</w:t>
            </w:r>
            <w:r w:rsidRPr="00A23740">
              <w:rPr>
                <w:lang w:eastAsia="x-none"/>
              </w:rPr>
              <w:t>ller sa</w:t>
            </w:r>
            <w:r w:rsidR="0009539A" w:rsidRPr="00A23740">
              <w:rPr>
                <w:lang w:eastAsia="x-none"/>
              </w:rPr>
              <w:t>yma suretiyle belirlenmektedir.</w:t>
            </w:r>
          </w:p>
          <w:p w:rsidR="00AA5C8C" w:rsidRPr="00A23740" w:rsidRDefault="00AA5C8C" w:rsidP="009431FF">
            <w:pPr>
              <w:ind w:firstLine="567"/>
              <w:rPr>
                <w:rFonts w:eastAsia="Times New Roman"/>
                <w:b/>
                <w:color w:val="0000FF"/>
                <w:szCs w:val="24"/>
                <w:lang w:eastAsia="tr-TR"/>
              </w:rPr>
            </w:pPr>
            <w:r w:rsidRPr="00A23740">
              <w:rPr>
                <w:lang w:eastAsia="x-none"/>
              </w:rPr>
              <w:t>Fıkranın (a) bendi uyarınca</w:t>
            </w:r>
            <w:r w:rsidR="0009539A" w:rsidRPr="00A23740">
              <w:rPr>
                <w:lang w:eastAsia="x-none"/>
              </w:rPr>
              <w:t>,</w:t>
            </w:r>
            <w:r w:rsidRPr="00A23740">
              <w:rPr>
                <w:lang w:eastAsia="x-none"/>
              </w:rPr>
              <w:t xml:space="preserve"> tüm ilgililerin talebi h</w:t>
            </w:r>
            <w:r w:rsidR="00C224B4" w:rsidRPr="00A23740">
              <w:rPr>
                <w:lang w:eastAsia="x-none"/>
              </w:rPr>
              <w:t>â</w:t>
            </w:r>
            <w:r w:rsidRPr="00A23740">
              <w:rPr>
                <w:lang w:eastAsia="x-none"/>
              </w:rPr>
              <w:t>linde mallar pazarlıkla satılabi</w:t>
            </w:r>
            <w:r w:rsidR="00C33287" w:rsidRPr="00A23740">
              <w:rPr>
                <w:lang w:eastAsia="x-none"/>
              </w:rPr>
              <w:t xml:space="preserve">lir. </w:t>
            </w:r>
            <w:r w:rsidR="0009539A" w:rsidRPr="00A23740">
              <w:rPr>
                <w:lang w:eastAsia="x-none"/>
              </w:rPr>
              <w:t>Hükümde</w:t>
            </w:r>
            <w:r w:rsidR="00C33287" w:rsidRPr="00A23740">
              <w:rPr>
                <w:lang w:eastAsia="x-none"/>
              </w:rPr>
              <w:t>,</w:t>
            </w:r>
            <w:r w:rsidRPr="00A23740">
              <w:rPr>
                <w:lang w:eastAsia="x-none"/>
              </w:rPr>
              <w:t xml:space="preserve"> pazarlıkla satışı kimlerin talep edebileceği konusunda sınırlayıcı bir sayım yapmak yerine “ilgililer” ibaresi kullan</w:t>
            </w:r>
            <w:r w:rsidR="00E31512" w:rsidRPr="00A23740">
              <w:rPr>
                <w:lang w:eastAsia="x-none"/>
              </w:rPr>
              <w:t>ıl</w:t>
            </w:r>
            <w:r w:rsidRPr="00A23740">
              <w:rPr>
                <w:lang w:eastAsia="x-none"/>
              </w:rPr>
              <w:t>m</w:t>
            </w:r>
            <w:r w:rsidR="0009539A" w:rsidRPr="00A23740">
              <w:rPr>
                <w:lang w:eastAsia="x-none"/>
              </w:rPr>
              <w:t>akta</w:t>
            </w:r>
            <w:r w:rsidRPr="00A23740">
              <w:rPr>
                <w:lang w:eastAsia="x-none"/>
              </w:rPr>
              <w:t xml:space="preserve"> ve ka</w:t>
            </w:r>
            <w:r w:rsidR="0009539A" w:rsidRPr="00A23740">
              <w:rPr>
                <w:lang w:eastAsia="x-none"/>
              </w:rPr>
              <w:t>vramın içeriğinin doldurulması</w:t>
            </w:r>
            <w:r w:rsidRPr="00A23740">
              <w:rPr>
                <w:lang w:eastAsia="x-none"/>
              </w:rPr>
              <w:t xml:space="preserve"> </w:t>
            </w:r>
            <w:r w:rsidR="00D81869" w:rsidRPr="00D60C1D">
              <w:rPr>
                <w:bCs/>
                <w:color w:val="000000"/>
                <w:szCs w:val="52"/>
                <w:lang w:val="x-none" w:eastAsia="x-none"/>
              </w:rPr>
              <w:t>bilimsel ve yargısal</w:t>
            </w:r>
            <w:r w:rsidRPr="00A23740">
              <w:rPr>
                <w:lang w:eastAsia="x-none"/>
              </w:rPr>
              <w:t xml:space="preserve"> içtihatlara bırak</w:t>
            </w:r>
            <w:r w:rsidR="0009539A" w:rsidRPr="00A23740">
              <w:rPr>
                <w:lang w:eastAsia="x-none"/>
              </w:rPr>
              <w:t>ılmaktadır</w:t>
            </w:r>
            <w:r w:rsidRPr="00A23740">
              <w:rPr>
                <w:lang w:eastAsia="x-none"/>
              </w:rPr>
              <w:t xml:space="preserve">. İlgililer kavramının içine borçlunun, rehinli alacaklının, </w:t>
            </w:r>
            <w:r w:rsidR="00E31512" w:rsidRPr="00A23740">
              <w:rPr>
                <w:lang w:eastAsia="x-none"/>
              </w:rPr>
              <w:t xml:space="preserve">kesin haciz sahibi </w:t>
            </w:r>
            <w:r w:rsidRPr="00A23740">
              <w:rPr>
                <w:lang w:eastAsia="x-none"/>
              </w:rPr>
              <w:t>alacaklının ve hisseli mahcuzlarda hisse hakkı sahibinin gir</w:t>
            </w:r>
            <w:r w:rsidR="0009539A" w:rsidRPr="00A23740">
              <w:rPr>
                <w:lang w:eastAsia="x-none"/>
              </w:rPr>
              <w:t>diği hususunda tereddüt bulunmamaktadır.</w:t>
            </w:r>
            <w:r w:rsidRPr="00A23740">
              <w:rPr>
                <w:lang w:eastAsia="x-none"/>
              </w:rPr>
              <w:t xml:space="preserve"> </w:t>
            </w:r>
            <w:r w:rsidR="00C33287" w:rsidRPr="00A23740">
              <w:rPr>
                <w:lang w:eastAsia="x-none"/>
              </w:rPr>
              <w:t>Bu bent</w:t>
            </w:r>
            <w:r w:rsidRPr="00A23740">
              <w:rPr>
                <w:lang w:eastAsia="x-none"/>
              </w:rPr>
              <w:t>, 2004 sayılı Kanunun 119 uncu madde</w:t>
            </w:r>
            <w:r w:rsidR="00C33287" w:rsidRPr="00A23740">
              <w:rPr>
                <w:lang w:eastAsia="x-none"/>
              </w:rPr>
              <w:t>si</w:t>
            </w:r>
            <w:r w:rsidRPr="00A23740">
              <w:rPr>
                <w:lang w:eastAsia="x-none"/>
              </w:rPr>
              <w:t>nin birinci fıkrasının (1) numaralı bendine karşılık gelmektedir.</w:t>
            </w:r>
          </w:p>
          <w:p w:rsidR="00AA5C8C" w:rsidRPr="00A23740" w:rsidRDefault="00AA5C8C" w:rsidP="009431FF">
            <w:pPr>
              <w:ind w:firstLine="567"/>
              <w:rPr>
                <w:lang w:eastAsia="x-none"/>
              </w:rPr>
            </w:pPr>
            <w:r w:rsidRPr="00A23740">
              <w:rPr>
                <w:lang w:eastAsia="x-none"/>
              </w:rPr>
              <w:t>Fıkranın (b) bendinde</w:t>
            </w:r>
            <w:r w:rsidR="0009539A" w:rsidRPr="00A23740">
              <w:rPr>
                <w:lang w:eastAsia="x-none"/>
              </w:rPr>
              <w:t>,</w:t>
            </w:r>
            <w:r w:rsidRPr="00A23740">
              <w:rPr>
                <w:lang w:eastAsia="x-none"/>
              </w:rPr>
              <w:t xml:space="preserve"> </w:t>
            </w:r>
            <w:r w:rsidRPr="00A23740">
              <w:rPr>
                <w:rFonts w:eastAsia="Times New Roman"/>
                <w:szCs w:val="24"/>
                <w:lang w:eastAsia="tr-TR"/>
              </w:rPr>
              <w:t xml:space="preserve">borsa veya piyasada fiyatı bulunan kıymetli evrak veya diğer mallar için o günün piyasasında </w:t>
            </w:r>
            <w:r w:rsidRPr="00A23740">
              <w:rPr>
                <w:rFonts w:eastAsia="Times New Roman"/>
                <w:bCs/>
                <w:szCs w:val="24"/>
                <w:lang w:eastAsia="tr-TR"/>
              </w:rPr>
              <w:t>geçerli</w:t>
            </w:r>
            <w:r w:rsidRPr="00A23740">
              <w:rPr>
                <w:rFonts w:eastAsia="Times New Roman"/>
                <w:szCs w:val="24"/>
                <w:lang w:eastAsia="tr-TR"/>
              </w:rPr>
              <w:t xml:space="preserve"> fiyat teklif edilmesi durumunda pazarlıkla satışın mümkün olacağı hükme bağlanmaktadır. Zira, borsa ve piyasada </w:t>
            </w:r>
            <w:r w:rsidR="00E31512" w:rsidRPr="00A23740">
              <w:rPr>
                <w:rFonts w:eastAsia="Times New Roman"/>
                <w:szCs w:val="24"/>
                <w:lang w:eastAsia="tr-TR"/>
              </w:rPr>
              <w:t xml:space="preserve">fiyatı </w:t>
            </w:r>
            <w:r w:rsidRPr="00A23740">
              <w:rPr>
                <w:rFonts w:eastAsia="Times New Roman"/>
                <w:szCs w:val="24"/>
                <w:lang w:eastAsia="tr-TR"/>
              </w:rPr>
              <w:t>bulunan mallar için o günkü değer verildiği takdirde</w:t>
            </w:r>
            <w:r w:rsidR="00C33287" w:rsidRPr="00A23740">
              <w:rPr>
                <w:rFonts w:eastAsia="Times New Roman"/>
                <w:szCs w:val="24"/>
                <w:lang w:eastAsia="tr-TR"/>
              </w:rPr>
              <w:t>,</w:t>
            </w:r>
            <w:r w:rsidRPr="00A23740">
              <w:rPr>
                <w:rFonts w:eastAsia="Times New Roman"/>
                <w:szCs w:val="24"/>
                <w:lang w:eastAsia="tr-TR"/>
              </w:rPr>
              <w:t xml:space="preserve"> bundan daha uygun fiyat elde edilmesi olasılığının bulunmaması sebebiyle</w:t>
            </w:r>
            <w:r w:rsidR="00C33287" w:rsidRPr="00A23740">
              <w:rPr>
                <w:rFonts w:eastAsia="Times New Roman"/>
                <w:szCs w:val="24"/>
                <w:lang w:eastAsia="tr-TR"/>
              </w:rPr>
              <w:t>,</w:t>
            </w:r>
            <w:r w:rsidRPr="00A23740">
              <w:rPr>
                <w:rFonts w:eastAsia="Times New Roman"/>
                <w:szCs w:val="24"/>
                <w:lang w:eastAsia="tr-TR"/>
              </w:rPr>
              <w:t xml:space="preserve"> açık artırma yoluyla satış gereksiz kalmaktadır. </w:t>
            </w:r>
            <w:r w:rsidR="00C33287" w:rsidRPr="00A23740">
              <w:rPr>
                <w:rFonts w:eastAsia="Times New Roman"/>
                <w:szCs w:val="24"/>
                <w:lang w:eastAsia="tr-TR"/>
              </w:rPr>
              <w:t xml:space="preserve">Bu </w:t>
            </w:r>
            <w:r w:rsidR="00C33287" w:rsidRPr="00A23740">
              <w:rPr>
                <w:lang w:eastAsia="x-none"/>
              </w:rPr>
              <w:t>bent</w:t>
            </w:r>
            <w:r w:rsidRPr="00A23740">
              <w:rPr>
                <w:lang w:eastAsia="x-none"/>
              </w:rPr>
              <w:t>, 2004 sayılı Kanunun 119 uncu madde</w:t>
            </w:r>
            <w:r w:rsidR="00C33287" w:rsidRPr="00A23740">
              <w:rPr>
                <w:lang w:eastAsia="x-none"/>
              </w:rPr>
              <w:t>si</w:t>
            </w:r>
            <w:r w:rsidRPr="00A23740">
              <w:rPr>
                <w:lang w:eastAsia="x-none"/>
              </w:rPr>
              <w:t>nin birinci fıkrasının (2) numaralı bendine karşılık gelmektedir.</w:t>
            </w:r>
          </w:p>
          <w:p w:rsidR="0009539A" w:rsidRPr="00A23740" w:rsidRDefault="00AA5C8C" w:rsidP="009431FF">
            <w:pPr>
              <w:ind w:firstLine="567"/>
              <w:rPr>
                <w:bCs/>
                <w:szCs w:val="24"/>
              </w:rPr>
            </w:pPr>
            <w:r w:rsidRPr="00A23740">
              <w:rPr>
                <w:rFonts w:eastAsia="Times New Roman"/>
                <w:szCs w:val="24"/>
                <w:lang w:eastAsia="tr-TR"/>
              </w:rPr>
              <w:t xml:space="preserve">Fıkranın </w:t>
            </w:r>
            <w:r w:rsidR="0009539A" w:rsidRPr="00A23740">
              <w:rPr>
                <w:rFonts w:eastAsia="Times New Roman"/>
                <w:szCs w:val="24"/>
                <w:lang w:eastAsia="tr-TR"/>
              </w:rPr>
              <w:t>(</w:t>
            </w:r>
            <w:r w:rsidRPr="00A23740">
              <w:rPr>
                <w:rFonts w:eastAsia="Times New Roman"/>
                <w:szCs w:val="24"/>
                <w:lang w:eastAsia="tr-TR"/>
              </w:rPr>
              <w:t>c</w:t>
            </w:r>
            <w:r w:rsidR="0009539A" w:rsidRPr="00A23740">
              <w:rPr>
                <w:rFonts w:eastAsia="Times New Roman"/>
                <w:szCs w:val="24"/>
                <w:lang w:eastAsia="tr-TR"/>
              </w:rPr>
              <w:t>)</w:t>
            </w:r>
            <w:r w:rsidRPr="00A23740">
              <w:rPr>
                <w:rFonts w:eastAsia="Times New Roman"/>
                <w:szCs w:val="24"/>
                <w:lang w:eastAsia="tr-TR"/>
              </w:rPr>
              <w:t xml:space="preserve"> bendinde, artırmada maden kıymetini bulmamış olan</w:t>
            </w:r>
            <w:r w:rsidRPr="00A23740">
              <w:rPr>
                <w:rFonts w:eastAsia="Times New Roman"/>
                <w:b/>
                <w:color w:val="0000FF"/>
                <w:szCs w:val="24"/>
                <w:lang w:eastAsia="tr-TR"/>
              </w:rPr>
              <w:t xml:space="preserve"> </w:t>
            </w:r>
            <w:r w:rsidRPr="00A23740">
              <w:rPr>
                <w:bCs/>
                <w:szCs w:val="24"/>
              </w:rPr>
              <w:t>değerli madenler</w:t>
            </w:r>
            <w:r w:rsidRPr="00A23740">
              <w:rPr>
                <w:bCs/>
              </w:rPr>
              <w:t>den</w:t>
            </w:r>
            <w:r w:rsidRPr="00A23740">
              <w:rPr>
                <w:bCs/>
                <w:szCs w:val="24"/>
              </w:rPr>
              <w:t xml:space="preserve"> </w:t>
            </w:r>
            <w:r w:rsidRPr="00A23740">
              <w:rPr>
                <w:bCs/>
              </w:rPr>
              <w:t xml:space="preserve">yapılmış </w:t>
            </w:r>
            <w:r w:rsidR="00E31512" w:rsidRPr="00A23740">
              <w:rPr>
                <w:bCs/>
              </w:rPr>
              <w:t xml:space="preserve">bulunan </w:t>
            </w:r>
            <w:r w:rsidRPr="00A23740">
              <w:rPr>
                <w:bCs/>
              </w:rPr>
              <w:t>eşyaya maden</w:t>
            </w:r>
            <w:r w:rsidRPr="00A23740">
              <w:rPr>
                <w:rFonts w:eastAsia="ヒラギノ明朝 Pro W3"/>
                <w:b/>
                <w:color w:val="339933"/>
              </w:rPr>
              <w:t xml:space="preserve"> </w:t>
            </w:r>
            <w:r w:rsidRPr="00A23740">
              <w:rPr>
                <w:rFonts w:eastAsia="Times New Roman"/>
                <w:szCs w:val="24"/>
                <w:lang w:eastAsia="tr-TR"/>
              </w:rPr>
              <w:t>kıymeti verilmesi h</w:t>
            </w:r>
            <w:r w:rsidR="00C224B4" w:rsidRPr="00A23740">
              <w:rPr>
                <w:rFonts w:eastAsia="Times New Roman"/>
                <w:szCs w:val="24"/>
                <w:lang w:eastAsia="tr-TR"/>
              </w:rPr>
              <w:t>â</w:t>
            </w:r>
            <w:r w:rsidRPr="00A23740">
              <w:rPr>
                <w:rFonts w:eastAsia="Times New Roman"/>
                <w:szCs w:val="24"/>
                <w:lang w:eastAsia="tr-TR"/>
              </w:rPr>
              <w:t>linde</w:t>
            </w:r>
            <w:r w:rsidR="00C33287" w:rsidRPr="00A23740">
              <w:rPr>
                <w:rFonts w:eastAsia="Times New Roman"/>
                <w:szCs w:val="24"/>
                <w:lang w:eastAsia="tr-TR"/>
              </w:rPr>
              <w:t>,</w:t>
            </w:r>
            <w:r w:rsidRPr="00A23740">
              <w:rPr>
                <w:rFonts w:eastAsia="Times New Roman"/>
                <w:szCs w:val="24"/>
                <w:lang w:eastAsia="tr-TR"/>
              </w:rPr>
              <w:t xml:space="preserve"> pazarlıkla satışın mümkün olacağı düzenlenmektedir.</w:t>
            </w:r>
            <w:r w:rsidRPr="00A23740">
              <w:rPr>
                <w:lang w:eastAsia="x-none"/>
              </w:rPr>
              <w:t xml:space="preserve"> </w:t>
            </w:r>
            <w:r w:rsidR="00C33287" w:rsidRPr="00A23740">
              <w:rPr>
                <w:lang w:eastAsia="x-none"/>
              </w:rPr>
              <w:t>Bu bent</w:t>
            </w:r>
            <w:r w:rsidRPr="00A23740">
              <w:rPr>
                <w:lang w:eastAsia="x-none"/>
              </w:rPr>
              <w:t>, 2004 sayılı Kanunun 119 uncu madde</w:t>
            </w:r>
            <w:r w:rsidR="00C33287" w:rsidRPr="00A23740">
              <w:rPr>
                <w:lang w:eastAsia="x-none"/>
              </w:rPr>
              <w:t>si</w:t>
            </w:r>
            <w:r w:rsidRPr="00A23740">
              <w:rPr>
                <w:lang w:eastAsia="x-none"/>
              </w:rPr>
              <w:t>nin birinci fıkrasının (3) numaralı bendine karşılık gelmektedir.</w:t>
            </w:r>
            <w:r w:rsidRPr="00A23740">
              <w:rPr>
                <w:rFonts w:eastAsia="Times New Roman"/>
                <w:szCs w:val="24"/>
                <w:lang w:eastAsia="tr-TR"/>
              </w:rPr>
              <w:t xml:space="preserve"> 2004 sayılı Kanundaki hükümde “altın ve gümüş eşya” ibareleri yer almışken, </w:t>
            </w:r>
            <w:r w:rsidR="00163E5A" w:rsidRPr="00A23740">
              <w:rPr>
                <w:rFonts w:eastAsia="Times New Roman"/>
                <w:szCs w:val="24"/>
                <w:lang w:eastAsia="tr-TR"/>
              </w:rPr>
              <w:t>Taslakta</w:t>
            </w:r>
            <w:r w:rsidRPr="00A23740">
              <w:rPr>
                <w:rFonts w:eastAsia="Times New Roman"/>
                <w:szCs w:val="24"/>
                <w:lang w:eastAsia="tr-TR"/>
              </w:rPr>
              <w:t xml:space="preserve"> “değerli madenlerden yapılmış eşya” </w:t>
            </w:r>
            <w:r w:rsidR="00E31512" w:rsidRPr="00A23740">
              <w:rPr>
                <w:rFonts w:eastAsia="Times New Roman"/>
                <w:szCs w:val="24"/>
                <w:lang w:eastAsia="tr-TR"/>
              </w:rPr>
              <w:t xml:space="preserve">ibaresine </w:t>
            </w:r>
            <w:r w:rsidRPr="00A23740">
              <w:rPr>
                <w:rFonts w:eastAsia="Times New Roman"/>
                <w:szCs w:val="24"/>
                <w:lang w:eastAsia="tr-TR"/>
              </w:rPr>
              <w:t>yer verilm</w:t>
            </w:r>
            <w:r w:rsidR="0009539A" w:rsidRPr="00A23740">
              <w:rPr>
                <w:rFonts w:eastAsia="Times New Roman"/>
                <w:szCs w:val="24"/>
                <w:lang w:eastAsia="tr-TR"/>
              </w:rPr>
              <w:t>ektedir</w:t>
            </w:r>
            <w:r w:rsidRPr="00A23740">
              <w:rPr>
                <w:rFonts w:eastAsia="Times New Roman"/>
                <w:szCs w:val="24"/>
                <w:lang w:eastAsia="tr-TR"/>
              </w:rPr>
              <w:t xml:space="preserve">. Böylelikle maddenin daha geniş uygulama alanı bulması </w:t>
            </w:r>
            <w:r w:rsidRPr="00A23740">
              <w:rPr>
                <w:bCs/>
                <w:szCs w:val="24"/>
              </w:rPr>
              <w:t>sağlanm</w:t>
            </w:r>
            <w:r w:rsidR="0009539A" w:rsidRPr="00A23740">
              <w:rPr>
                <w:bCs/>
                <w:szCs w:val="24"/>
              </w:rPr>
              <w:t>akta</w:t>
            </w:r>
            <w:r w:rsidRPr="00A23740">
              <w:rPr>
                <w:bCs/>
                <w:szCs w:val="24"/>
              </w:rPr>
              <w:t xml:space="preserve"> ve pırlanta, elmas, yakut, zümrüt gibi değerli taşların maden kıymetlerinin bulunması h</w:t>
            </w:r>
            <w:r w:rsidR="00C224B4" w:rsidRPr="00A23740">
              <w:rPr>
                <w:bCs/>
                <w:szCs w:val="24"/>
              </w:rPr>
              <w:t>â</w:t>
            </w:r>
            <w:r w:rsidRPr="00A23740">
              <w:rPr>
                <w:bCs/>
                <w:szCs w:val="24"/>
              </w:rPr>
              <w:t>linde de pazarlıkla satış mümkün kılınm</w:t>
            </w:r>
            <w:r w:rsidR="0009539A" w:rsidRPr="00A23740">
              <w:rPr>
                <w:bCs/>
                <w:szCs w:val="24"/>
              </w:rPr>
              <w:t>aktadır</w:t>
            </w:r>
            <w:r w:rsidRPr="00A23740">
              <w:rPr>
                <w:bCs/>
                <w:szCs w:val="24"/>
              </w:rPr>
              <w:t>.</w:t>
            </w:r>
            <w:r w:rsidR="0009539A" w:rsidRPr="00A23740">
              <w:rPr>
                <w:bCs/>
                <w:szCs w:val="24"/>
              </w:rPr>
              <w:t xml:space="preserve"> Hükümde kullanılan “değerli maden” terimi</w:t>
            </w:r>
            <w:r w:rsidR="00E31512" w:rsidRPr="00A23740">
              <w:rPr>
                <w:bCs/>
                <w:szCs w:val="24"/>
              </w:rPr>
              <w:t>, İsviçre öğretisinde ve içtihatlarında da kabul edildiği üzere,</w:t>
            </w:r>
            <w:r w:rsidR="0009539A" w:rsidRPr="00A23740">
              <w:rPr>
                <w:bCs/>
                <w:szCs w:val="24"/>
              </w:rPr>
              <w:t xml:space="preserve"> pırlanta, elmas, yakut,</w:t>
            </w:r>
            <w:r w:rsidR="009F33EC" w:rsidRPr="00A23740">
              <w:rPr>
                <w:bCs/>
                <w:szCs w:val="24"/>
              </w:rPr>
              <w:t xml:space="preserve"> zümrüt gibi değerli taşları da</w:t>
            </w:r>
            <w:r w:rsidR="0009539A" w:rsidRPr="00A23740">
              <w:rPr>
                <w:bCs/>
                <w:szCs w:val="24"/>
              </w:rPr>
              <w:t xml:space="preserve"> kapsamaktadır.</w:t>
            </w:r>
          </w:p>
          <w:p w:rsidR="00AA5C8C" w:rsidRPr="00A23740" w:rsidRDefault="00AA5C8C" w:rsidP="009431FF">
            <w:pPr>
              <w:ind w:firstLine="567"/>
              <w:rPr>
                <w:rFonts w:eastAsia="Times New Roman"/>
                <w:szCs w:val="24"/>
                <w:lang w:eastAsia="tr-TR"/>
              </w:rPr>
            </w:pPr>
            <w:r w:rsidRPr="00A23740">
              <w:rPr>
                <w:rFonts w:eastAsia="Times New Roman"/>
                <w:szCs w:val="24"/>
                <w:lang w:eastAsia="tr-TR"/>
              </w:rPr>
              <w:t xml:space="preserve">Fıkranın </w:t>
            </w:r>
            <w:r w:rsidR="0009539A" w:rsidRPr="00A23740">
              <w:rPr>
                <w:rFonts w:eastAsia="Times New Roman"/>
                <w:szCs w:val="24"/>
                <w:lang w:eastAsia="tr-TR"/>
              </w:rPr>
              <w:t>(</w:t>
            </w:r>
            <w:r w:rsidRPr="00A23740">
              <w:rPr>
                <w:rFonts w:eastAsia="Times New Roman"/>
                <w:szCs w:val="24"/>
                <w:lang w:eastAsia="tr-TR"/>
              </w:rPr>
              <w:t>ç</w:t>
            </w:r>
            <w:r w:rsidR="0009539A" w:rsidRPr="00A23740">
              <w:rPr>
                <w:rFonts w:eastAsia="Times New Roman"/>
                <w:szCs w:val="24"/>
                <w:lang w:eastAsia="tr-TR"/>
              </w:rPr>
              <w:t>)</w:t>
            </w:r>
            <w:r w:rsidRPr="00A23740">
              <w:rPr>
                <w:rFonts w:eastAsia="Times New Roman"/>
                <w:szCs w:val="24"/>
                <w:lang w:eastAsia="tr-TR"/>
              </w:rPr>
              <w:t xml:space="preserve"> bendinde, </w:t>
            </w:r>
            <w:r w:rsidR="00EA4089" w:rsidRPr="00A23740">
              <w:rPr>
                <w:rFonts w:eastAsia="Times New Roman"/>
                <w:szCs w:val="24"/>
                <w:lang w:eastAsia="tr-TR"/>
              </w:rPr>
              <w:t>haczedilen malın</w:t>
            </w:r>
            <w:r w:rsidRPr="00A23740">
              <w:rPr>
                <w:rFonts w:eastAsia="Times New Roman"/>
                <w:szCs w:val="24"/>
                <w:lang w:eastAsia="tr-TR"/>
              </w:rPr>
              <w:t xml:space="preserve"> tahmin edilen </w:t>
            </w:r>
            <w:r w:rsidR="00EA4089" w:rsidRPr="00A23740">
              <w:rPr>
                <w:rFonts w:eastAsia="Times New Roman"/>
                <w:szCs w:val="24"/>
                <w:lang w:eastAsia="tr-TR"/>
              </w:rPr>
              <w:t>kıymetinin</w:t>
            </w:r>
            <w:r w:rsidRPr="00A23740">
              <w:rPr>
                <w:rFonts w:eastAsia="Times New Roman"/>
                <w:szCs w:val="24"/>
                <w:lang w:eastAsia="tr-TR"/>
              </w:rPr>
              <w:t xml:space="preserve"> yirmi beş bin Türk </w:t>
            </w:r>
            <w:r w:rsidR="009052BF" w:rsidRPr="00A23740">
              <w:rPr>
                <w:rFonts w:eastAsia="Times New Roman"/>
                <w:szCs w:val="24"/>
                <w:lang w:eastAsia="tr-TR"/>
              </w:rPr>
              <w:t xml:space="preserve">lirasını </w:t>
            </w:r>
            <w:r w:rsidRPr="00A23740">
              <w:rPr>
                <w:rFonts w:eastAsia="Times New Roman"/>
                <w:szCs w:val="24"/>
                <w:lang w:eastAsia="tr-TR"/>
              </w:rPr>
              <w:t>geçmemesi h</w:t>
            </w:r>
            <w:r w:rsidR="00C224B4" w:rsidRPr="00A23740">
              <w:rPr>
                <w:rFonts w:eastAsia="Times New Roman"/>
                <w:szCs w:val="24"/>
                <w:lang w:eastAsia="tr-TR"/>
              </w:rPr>
              <w:t>â</w:t>
            </w:r>
            <w:r w:rsidRPr="00A23740">
              <w:rPr>
                <w:rFonts w:eastAsia="Times New Roman"/>
                <w:szCs w:val="24"/>
                <w:lang w:eastAsia="tr-TR"/>
              </w:rPr>
              <w:t>linde pazarlıkla satış</w:t>
            </w:r>
            <w:r w:rsidR="00C33287" w:rsidRPr="00A23740">
              <w:rPr>
                <w:rFonts w:eastAsia="Times New Roman"/>
                <w:szCs w:val="24"/>
                <w:lang w:eastAsia="tr-TR"/>
              </w:rPr>
              <w:t>ın</w:t>
            </w:r>
            <w:r w:rsidRPr="00A23740">
              <w:rPr>
                <w:rFonts w:eastAsia="Times New Roman"/>
                <w:szCs w:val="24"/>
                <w:lang w:eastAsia="tr-TR"/>
              </w:rPr>
              <w:t xml:space="preserve"> mümkün olduğu düzenlenmektedir. </w:t>
            </w:r>
            <w:r w:rsidR="00C33287" w:rsidRPr="00A23740">
              <w:rPr>
                <w:rFonts w:eastAsia="Times New Roman"/>
                <w:szCs w:val="24"/>
                <w:lang w:eastAsia="tr-TR"/>
              </w:rPr>
              <w:t xml:space="preserve">Bu </w:t>
            </w:r>
            <w:r w:rsidR="00C33287" w:rsidRPr="00A23740">
              <w:rPr>
                <w:lang w:eastAsia="x-none"/>
              </w:rPr>
              <w:t>bent</w:t>
            </w:r>
            <w:r w:rsidRPr="00A23740">
              <w:rPr>
                <w:lang w:eastAsia="x-none"/>
              </w:rPr>
              <w:t>, 2004 sayılı Kanunun 119 uncu madde</w:t>
            </w:r>
            <w:r w:rsidR="00C33287" w:rsidRPr="00A23740">
              <w:rPr>
                <w:lang w:eastAsia="x-none"/>
              </w:rPr>
              <w:t>si</w:t>
            </w:r>
            <w:r w:rsidRPr="00A23740">
              <w:rPr>
                <w:lang w:eastAsia="x-none"/>
              </w:rPr>
              <w:t>nin birinci fıkrasının (5) numaralı bendine karşılık gelmektedir.</w:t>
            </w:r>
          </w:p>
          <w:p w:rsidR="00AA5C8C" w:rsidRPr="00A23740" w:rsidRDefault="00AA5C8C" w:rsidP="003F10EF">
            <w:pPr>
              <w:ind w:firstLine="567"/>
            </w:pPr>
            <w:r w:rsidRPr="00A23740">
              <w:rPr>
                <w:rFonts w:eastAsia="Times New Roman"/>
                <w:szCs w:val="24"/>
                <w:lang w:eastAsia="tr-TR"/>
              </w:rPr>
              <w:t>İkinci fıkrayla</w:t>
            </w:r>
            <w:r w:rsidR="00EA4089" w:rsidRPr="00A23740">
              <w:rPr>
                <w:rFonts w:eastAsia="Times New Roman"/>
                <w:szCs w:val="24"/>
                <w:lang w:eastAsia="tr-TR"/>
              </w:rPr>
              <w:t>,</w:t>
            </w:r>
            <w:r w:rsidRPr="00A23740">
              <w:rPr>
                <w:rFonts w:eastAsia="Times New Roman"/>
                <w:szCs w:val="24"/>
                <w:lang w:eastAsia="tr-TR"/>
              </w:rPr>
              <w:t xml:space="preserve"> kıymeti süratle düşen ve muhafazası masraflı olan malların icra ve iflas dairesi tarafından her zaman pazarlıkla satılabileceği belirtilmektedir. Bu konuda geniş bir takdir yetkisine sahip olan icra </w:t>
            </w:r>
            <w:r w:rsidR="007D74DD" w:rsidRPr="00D60C1D">
              <w:rPr>
                <w:color w:val="000000"/>
              </w:rPr>
              <w:t>ve iflas</w:t>
            </w:r>
            <w:r w:rsidR="007D74DD" w:rsidRPr="00A23740">
              <w:rPr>
                <w:b/>
                <w:color w:val="385623"/>
              </w:rPr>
              <w:t xml:space="preserve"> </w:t>
            </w:r>
            <w:r w:rsidRPr="00A23740">
              <w:rPr>
                <w:rFonts w:eastAsia="Times New Roman"/>
                <w:szCs w:val="24"/>
                <w:lang w:eastAsia="tr-TR"/>
              </w:rPr>
              <w:t>müdürü, pazarlıkla satışın açık artırmaya nazaran daha faydalı olacağını düşünüyorsa</w:t>
            </w:r>
            <w:r w:rsidR="00E31512" w:rsidRPr="00A23740">
              <w:rPr>
                <w:rFonts w:eastAsia="Times New Roman"/>
                <w:szCs w:val="24"/>
                <w:lang w:eastAsia="tr-TR"/>
              </w:rPr>
              <w:t>,</w:t>
            </w:r>
            <w:r w:rsidRPr="00A23740">
              <w:rPr>
                <w:rFonts w:eastAsia="Times New Roman"/>
                <w:szCs w:val="24"/>
                <w:lang w:eastAsia="tr-TR"/>
              </w:rPr>
              <w:t xml:space="preserve"> malları pazarlıkla satabilir. </w:t>
            </w:r>
            <w:r w:rsidR="00E47822" w:rsidRPr="00D60C1D">
              <w:rPr>
                <w:rStyle w:val="KonuBalChar"/>
                <w:rFonts w:eastAsia="Calibri"/>
                <w:b w:val="0"/>
                <w:color w:val="000000"/>
              </w:rPr>
              <w:t>İsviçre’nin Borç İçin Takip ve İflas Hakkında Federal Kanun</w:t>
            </w:r>
            <w:r w:rsidR="00E47822" w:rsidRPr="00D60C1D">
              <w:rPr>
                <w:rStyle w:val="KonuBalChar"/>
                <w:rFonts w:eastAsia="Calibri"/>
                <w:b w:val="0"/>
                <w:color w:val="000000"/>
                <w:lang w:val="tr-TR"/>
              </w:rPr>
              <w:t>un</w:t>
            </w:r>
            <w:r w:rsidR="00E47822" w:rsidRPr="00D60C1D">
              <w:rPr>
                <w:rStyle w:val="KonuBalChar"/>
                <w:rFonts w:eastAsia="Calibri"/>
                <w:b w:val="0"/>
                <w:color w:val="000000"/>
              </w:rPr>
              <w:t>un</w:t>
            </w:r>
            <w:r w:rsidR="00E47822" w:rsidRPr="00A23740">
              <w:rPr>
                <w:rFonts w:eastAsia="Times New Roman"/>
                <w:szCs w:val="24"/>
                <w:lang w:eastAsia="tr-TR"/>
              </w:rPr>
              <w:t xml:space="preserve"> </w:t>
            </w:r>
            <w:r w:rsidRPr="00A23740">
              <w:rPr>
                <w:rFonts w:eastAsia="Times New Roman"/>
                <w:szCs w:val="24"/>
                <w:lang w:eastAsia="tr-TR"/>
              </w:rPr>
              <w:t>124</w:t>
            </w:r>
            <w:r w:rsidR="00EA4089" w:rsidRPr="00A23740">
              <w:rPr>
                <w:rFonts w:eastAsia="Times New Roman"/>
                <w:szCs w:val="24"/>
                <w:lang w:eastAsia="tr-TR"/>
              </w:rPr>
              <w:t xml:space="preserve"> üncü m</w:t>
            </w:r>
            <w:r w:rsidRPr="00A23740">
              <w:rPr>
                <w:rFonts w:eastAsia="Times New Roman"/>
                <w:szCs w:val="24"/>
                <w:lang w:eastAsia="tr-TR"/>
              </w:rPr>
              <w:t xml:space="preserve">addesinin ikinci fıkrasında olduğu gibi icra </w:t>
            </w:r>
            <w:r w:rsidR="007D74DD" w:rsidRPr="00D60C1D">
              <w:rPr>
                <w:color w:val="000000"/>
              </w:rPr>
              <w:t>ve iflas</w:t>
            </w:r>
            <w:r w:rsidR="007D74DD" w:rsidRPr="00A23740">
              <w:rPr>
                <w:b/>
                <w:color w:val="385623"/>
              </w:rPr>
              <w:t xml:space="preserve"> </w:t>
            </w:r>
            <w:r w:rsidRPr="00A23740">
              <w:rPr>
                <w:rFonts w:eastAsia="Times New Roman"/>
                <w:szCs w:val="24"/>
                <w:lang w:eastAsia="tr-TR"/>
              </w:rPr>
              <w:t>müdürü</w:t>
            </w:r>
            <w:r w:rsidR="00C33287" w:rsidRPr="00A23740">
              <w:rPr>
                <w:rFonts w:eastAsia="Times New Roman"/>
                <w:szCs w:val="24"/>
                <w:lang w:eastAsia="tr-TR"/>
              </w:rPr>
              <w:t>,</w:t>
            </w:r>
            <w:r w:rsidRPr="00A23740">
              <w:rPr>
                <w:rFonts w:eastAsia="Times New Roman"/>
                <w:szCs w:val="24"/>
                <w:lang w:eastAsia="tr-TR"/>
              </w:rPr>
              <w:t xml:space="preserve"> bu tür satışlarda geniş bir esneklik alanına sahip olduğundan</w:t>
            </w:r>
            <w:r w:rsidR="00C33287" w:rsidRPr="00A23740">
              <w:rPr>
                <w:rFonts w:eastAsia="Times New Roman"/>
                <w:szCs w:val="24"/>
                <w:lang w:eastAsia="tr-TR"/>
              </w:rPr>
              <w:t>,</w:t>
            </w:r>
            <w:r w:rsidRPr="00A23740">
              <w:rPr>
                <w:rFonts w:eastAsia="Times New Roman"/>
                <w:szCs w:val="24"/>
                <w:lang w:eastAsia="tr-TR"/>
              </w:rPr>
              <w:t xml:space="preserve"> karşılama prensibi aranmaksızın mahcuzun satışı mümkün olabilir. </w:t>
            </w:r>
            <w:r w:rsidR="00C33287" w:rsidRPr="00A23740">
              <w:rPr>
                <w:rFonts w:eastAsia="Times New Roman"/>
                <w:szCs w:val="24"/>
                <w:lang w:eastAsia="tr-TR"/>
              </w:rPr>
              <w:t xml:space="preserve">Bu </w:t>
            </w:r>
            <w:r w:rsidR="001743FA" w:rsidRPr="00A23740">
              <w:rPr>
                <w:lang w:eastAsia="x-none"/>
              </w:rPr>
              <w:t>fıkra</w:t>
            </w:r>
            <w:r w:rsidRPr="00A23740">
              <w:rPr>
                <w:lang w:eastAsia="x-none"/>
              </w:rPr>
              <w:t>, 2004 sayılı Kanunun 119 uncu madde</w:t>
            </w:r>
            <w:r w:rsidR="00C33287" w:rsidRPr="00A23740">
              <w:rPr>
                <w:lang w:eastAsia="x-none"/>
              </w:rPr>
              <w:t>si</w:t>
            </w:r>
            <w:r w:rsidRPr="00A23740">
              <w:rPr>
                <w:lang w:eastAsia="x-none"/>
              </w:rPr>
              <w:t>nin birinci fıkrasının (4) numaralı bendinin atfıyla 113 üncü madde</w:t>
            </w:r>
            <w:r w:rsidR="00C33287" w:rsidRPr="00A23740">
              <w:rPr>
                <w:lang w:eastAsia="x-none"/>
              </w:rPr>
              <w:t>si</w:t>
            </w:r>
            <w:r w:rsidRPr="00A23740">
              <w:rPr>
                <w:lang w:eastAsia="x-none"/>
              </w:rPr>
              <w:t>nin ikinci fıkrasına karşılık gelmektedir.</w:t>
            </w:r>
          </w:p>
          <w:p w:rsidR="00AA5C8C" w:rsidRPr="00A23740" w:rsidRDefault="00AA5C8C" w:rsidP="009431FF">
            <w:pPr>
              <w:pStyle w:val="Mavi"/>
              <w:ind w:firstLine="567"/>
              <w:rPr>
                <w:color w:val="auto"/>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p>
        </w:tc>
        <w:tc>
          <w:tcPr>
            <w:tcW w:w="2500" w:type="pct"/>
          </w:tcPr>
          <w:p w:rsidR="00AA5C8C" w:rsidRPr="00A23740" w:rsidRDefault="00AA5C8C" w:rsidP="009431FF">
            <w:pPr>
              <w:pStyle w:val="Mavi"/>
            </w:pPr>
            <w:r w:rsidRPr="00A23740">
              <w:t>Pazarlık suretiyle satışın hüküm ve sonuçları</w:t>
            </w:r>
          </w:p>
          <w:p w:rsidR="00AA5C8C" w:rsidRPr="00A23740" w:rsidRDefault="00AA5C8C" w:rsidP="009431FF">
            <w:pPr>
              <w:pStyle w:val="Mavi"/>
            </w:pPr>
            <w:r w:rsidRPr="00A23740">
              <w:t xml:space="preserve">MADDE </w:t>
            </w:r>
            <w:r w:rsidR="0018753E" w:rsidRPr="00A23740">
              <w:t>2</w:t>
            </w:r>
            <w:r w:rsidR="0018753E" w:rsidRPr="00A23740">
              <w:rPr>
                <w:lang w:val="tr-TR"/>
              </w:rPr>
              <w:t>4</w:t>
            </w:r>
            <w:r w:rsidR="00490C3E" w:rsidRPr="00A23740">
              <w:rPr>
                <w:lang w:val="tr-TR"/>
              </w:rPr>
              <w:t>5</w:t>
            </w:r>
            <w:r w:rsidRPr="00A23740">
              <w:t xml:space="preserve">- (1) </w:t>
            </w:r>
            <w:r w:rsidRPr="00A23740">
              <w:rPr>
                <w:rStyle w:val="MaviChar"/>
                <w:b/>
              </w:rPr>
              <w:t xml:space="preserve">Pazarlıkla satış UYAP satış portalında ilan </w:t>
            </w:r>
            <w:r w:rsidRPr="00A23740">
              <w:t>edilir</w:t>
            </w:r>
            <w:r w:rsidR="002B5785" w:rsidRPr="00A23740">
              <w:rPr>
                <w:lang w:val="tr-TR"/>
              </w:rPr>
              <w:t>. A</w:t>
            </w:r>
            <w:r w:rsidRPr="00A23740">
              <w:t>ncak acele durumlarda ilan yapılmaksızın teklif almak suretiyle de pazarlıkla satış yapılabilir</w:t>
            </w:r>
            <w:r w:rsidRPr="00A23740">
              <w:rPr>
                <w:rStyle w:val="MaviChar"/>
                <w:b/>
              </w:rPr>
              <w:t>.</w:t>
            </w:r>
          </w:p>
          <w:p w:rsidR="00AA5C8C" w:rsidRPr="00A23740" w:rsidRDefault="00AA5C8C" w:rsidP="009431FF">
            <w:pPr>
              <w:tabs>
                <w:tab w:val="left" w:pos="567"/>
              </w:tabs>
              <w:contextualSpacing/>
              <w:rPr>
                <w:rFonts w:eastAsia="Times New Roman"/>
                <w:b/>
                <w:color w:val="0000FF"/>
                <w:szCs w:val="24"/>
                <w:lang w:eastAsia="tr-TR"/>
              </w:rPr>
            </w:pPr>
          </w:p>
          <w:p w:rsidR="00AA5C8C" w:rsidRPr="00A23740" w:rsidRDefault="00AA5C8C" w:rsidP="009431FF">
            <w:pPr>
              <w:pStyle w:val="Mavi"/>
              <w:rPr>
                <w:rStyle w:val="YELChar"/>
                <w:rFonts w:eastAsia="Calibri"/>
                <w:b/>
                <w:color w:val="0000FF"/>
                <w:lang w:eastAsia="x-none"/>
              </w:rPr>
            </w:pPr>
            <w:r w:rsidRPr="00A23740">
              <w:rPr>
                <w:rStyle w:val="YELChar"/>
                <w:rFonts w:eastAsia="Calibri"/>
                <w:b/>
                <w:color w:val="0000FF"/>
                <w:lang w:eastAsia="x-none"/>
              </w:rPr>
              <w:t>(2)</w:t>
            </w:r>
            <w:r w:rsidRPr="00A23740">
              <w:t xml:space="preserve"> </w:t>
            </w:r>
            <w:r w:rsidRPr="00A23740">
              <w:rPr>
                <w:rStyle w:val="YELChar"/>
                <w:rFonts w:eastAsia="Calibri"/>
                <w:b/>
                <w:color w:val="0000FF"/>
                <w:lang w:eastAsia="x-none"/>
              </w:rPr>
              <w:t>Pazarlık suretiyle satışta ilgililere tebligat yapılmaz.</w:t>
            </w:r>
          </w:p>
          <w:p w:rsidR="00AA5C8C" w:rsidRPr="00A23740" w:rsidRDefault="00AA5C8C" w:rsidP="009431FF">
            <w:pPr>
              <w:pStyle w:val="Mavi"/>
              <w:rPr>
                <w:rStyle w:val="YELChar"/>
                <w:rFonts w:eastAsia="Calibri"/>
                <w:b/>
                <w:color w:val="0000FF"/>
                <w:lang w:eastAsia="x-none"/>
              </w:rPr>
            </w:pPr>
          </w:p>
          <w:p w:rsidR="00AA5C8C" w:rsidRPr="00A23740" w:rsidRDefault="00AA5C8C" w:rsidP="009431FF">
            <w:pPr>
              <w:pStyle w:val="Mavi"/>
            </w:pPr>
            <w:r w:rsidRPr="00A23740">
              <w:rPr>
                <w:rStyle w:val="YELChar"/>
                <w:rFonts w:eastAsia="Calibri"/>
                <w:b/>
                <w:color w:val="0000FF"/>
                <w:lang w:eastAsia="x-none"/>
              </w:rPr>
              <w:t>(3)</w:t>
            </w:r>
            <w:r w:rsidRPr="00A23740">
              <w:t xml:space="preserve"> Pazarlık suretiyle satışta satış bedeli peşin ödenir. Bunun için alıcıya bir süre verilmez. Satış bedelinin ödenmesi üzerine mal alıcıya teslim edilir.</w:t>
            </w:r>
          </w:p>
          <w:p w:rsidR="00AA5C8C" w:rsidRPr="00A23740" w:rsidRDefault="00AA5C8C" w:rsidP="009431FF">
            <w:pPr>
              <w:tabs>
                <w:tab w:val="left" w:pos="567"/>
              </w:tabs>
              <w:contextualSpacing/>
              <w:rPr>
                <w:rFonts w:eastAsia="Times New Roman"/>
                <w:b/>
                <w:color w:val="0000FF"/>
                <w:szCs w:val="24"/>
                <w:lang w:eastAsia="tr-TR"/>
              </w:rPr>
            </w:pPr>
          </w:p>
          <w:p w:rsidR="00AA5C8C" w:rsidRPr="00A23740" w:rsidRDefault="00AA5C8C" w:rsidP="009431FF">
            <w:pPr>
              <w:pStyle w:val="Mavi"/>
              <w:rPr>
                <w:rStyle w:val="KIRMIZIChar"/>
                <w:rFonts w:eastAsia="Calibri"/>
                <w:b/>
                <w:bCs/>
                <w:strike w:val="0"/>
                <w:color w:val="0000FF"/>
              </w:rPr>
            </w:pPr>
            <w:r w:rsidRPr="00A23740">
              <w:rPr>
                <w:rStyle w:val="YELChar"/>
                <w:rFonts w:eastAsia="Calibri"/>
                <w:b/>
                <w:color w:val="0000FF"/>
                <w:lang w:eastAsia="x-none"/>
              </w:rPr>
              <w:t>(4)</w:t>
            </w:r>
            <w:r w:rsidRPr="00A23740">
              <w:t xml:space="preserve"> Mülkiyet, teslim ile alıcıya geçer. Pazarlık suretiyle satışın </w:t>
            </w:r>
            <w:r w:rsidRPr="00A23740">
              <w:rPr>
                <w:rStyle w:val="YELChar"/>
                <w:rFonts w:eastAsia="Calibri"/>
                <w:b/>
                <w:color w:val="0000FF"/>
                <w:lang w:eastAsia="x-none"/>
              </w:rPr>
              <w:t>tamamlandığı</w:t>
            </w:r>
            <w:r w:rsidRPr="00A23740">
              <w:t xml:space="preserve"> </w:t>
            </w:r>
            <w:r w:rsidR="00CE252B" w:rsidRPr="00372868">
              <w:t>hususu</w:t>
            </w:r>
            <w:r w:rsidR="00CE252B" w:rsidRPr="00A23740">
              <w:rPr>
                <w:color w:val="70AD47"/>
              </w:rPr>
              <w:t xml:space="preserve"> </w:t>
            </w:r>
            <w:r w:rsidRPr="00A23740">
              <w:t xml:space="preserve">UYAP portalında ilan </w:t>
            </w:r>
            <w:r w:rsidRPr="00A23740">
              <w:rPr>
                <w:rStyle w:val="YELChar"/>
                <w:rFonts w:eastAsia="Calibri"/>
                <w:b/>
                <w:color w:val="0000FF"/>
                <w:lang w:eastAsia="x-none"/>
              </w:rPr>
              <w:t>edilir. İlgili</w:t>
            </w:r>
            <w:r w:rsidRPr="00A23740">
              <w:rPr>
                <w:rStyle w:val="YELChar"/>
                <w:rFonts w:eastAsia="Calibri"/>
                <w:b/>
                <w:color w:val="0000FF"/>
                <w:lang w:val="tr-TR" w:eastAsia="x-none"/>
              </w:rPr>
              <w:t>l</w:t>
            </w:r>
            <w:r w:rsidRPr="00A23740">
              <w:rPr>
                <w:rStyle w:val="YELChar"/>
                <w:rFonts w:eastAsia="Calibri"/>
                <w:b/>
                <w:color w:val="0000FF"/>
                <w:lang w:eastAsia="x-none"/>
              </w:rPr>
              <w:t>er, bu ilandan</w:t>
            </w:r>
            <w:r w:rsidRPr="00A23740">
              <w:t xml:space="preserve"> itibaren </w:t>
            </w:r>
            <w:r w:rsidRPr="00A23740">
              <w:rPr>
                <w:rStyle w:val="MaviChar"/>
                <w:b/>
                <w:bCs/>
              </w:rPr>
              <w:t xml:space="preserve">bir hafta </w:t>
            </w:r>
            <w:r w:rsidRPr="00A23740">
              <w:rPr>
                <w:rStyle w:val="YELChar"/>
                <w:rFonts w:eastAsia="Calibri"/>
                <w:b/>
                <w:color w:val="0000FF"/>
                <w:lang w:eastAsia="x-none"/>
              </w:rPr>
              <w:t>içinde, pazarlık suretiyle satışa ilişkin şartların yerine gelmediğini şik</w:t>
            </w:r>
            <w:r w:rsidR="0018753E" w:rsidRPr="00A23740">
              <w:rPr>
                <w:rStyle w:val="YELChar"/>
                <w:rFonts w:eastAsia="Calibri"/>
                <w:b/>
                <w:color w:val="0000FF"/>
                <w:lang w:val="tr-TR" w:eastAsia="x-none"/>
              </w:rPr>
              <w:t>â</w:t>
            </w:r>
            <w:r w:rsidRPr="00A23740">
              <w:rPr>
                <w:rStyle w:val="YELChar"/>
                <w:rFonts w:eastAsia="Calibri"/>
                <w:b/>
                <w:color w:val="0000FF"/>
                <w:lang w:eastAsia="x-none"/>
              </w:rPr>
              <w:t>yet yoluyla icra hukuk mahkemesine başvurarak sa</w:t>
            </w:r>
            <w:r w:rsidR="00572CF1" w:rsidRPr="00A23740">
              <w:rPr>
                <w:rStyle w:val="YELChar"/>
                <w:rFonts w:eastAsia="Calibri"/>
                <w:b/>
                <w:color w:val="0000FF"/>
                <w:lang w:eastAsia="x-none"/>
              </w:rPr>
              <w:t xml:space="preserve">tışın iptalini talep </w:t>
            </w:r>
            <w:r w:rsidR="00572CF1" w:rsidRPr="00372868">
              <w:t>edebilir</w:t>
            </w:r>
            <w:r w:rsidR="00CE252B" w:rsidRPr="00372868">
              <w:t>ler</w:t>
            </w:r>
            <w:r w:rsidRPr="00372868">
              <w:t>.</w:t>
            </w:r>
            <w:r w:rsidRPr="00A23740">
              <w:rPr>
                <w:rStyle w:val="KIRMIZIChar"/>
                <w:rFonts w:eastAsia="Calibri"/>
                <w:b/>
                <w:bCs/>
                <w:strike w:val="0"/>
                <w:color w:val="0000FF"/>
              </w:rPr>
              <w:t xml:space="preserve"> </w:t>
            </w:r>
            <w:r w:rsidRPr="00A23740">
              <w:rPr>
                <w:rStyle w:val="YELChar"/>
                <w:rFonts w:eastAsia="Calibri"/>
                <w:b/>
                <w:color w:val="0000FF"/>
                <w:lang w:eastAsia="x-none"/>
              </w:rPr>
              <w:t xml:space="preserve">Bir haftalık süre içinde satışın iptali talep </w:t>
            </w:r>
            <w:r w:rsidRPr="00A23740">
              <w:t>edilmişse, satış kesinleşene kadar satış bedeli alacaklıya ödenmez ve bu bedel</w:t>
            </w:r>
            <w:r w:rsidRPr="00A23740">
              <w:rPr>
                <w:rStyle w:val="YELChar"/>
                <w:rFonts w:eastAsia="Calibri"/>
                <w:b/>
                <w:color w:val="0000FF"/>
                <w:lang w:eastAsia="x-none"/>
              </w:rPr>
              <w:t xml:space="preserve"> bankada nemalandırılır.</w:t>
            </w:r>
          </w:p>
          <w:p w:rsidR="00AA5C8C" w:rsidRPr="00A23740" w:rsidRDefault="00AA5C8C" w:rsidP="009431FF">
            <w:pPr>
              <w:tabs>
                <w:tab w:val="left" w:pos="567"/>
              </w:tabs>
              <w:contextualSpacing/>
              <w:rPr>
                <w:rFonts w:eastAsia="Times New Roman"/>
                <w:b/>
                <w:color w:val="FF0000"/>
                <w:szCs w:val="24"/>
                <w:lang w:eastAsia="tr-TR"/>
              </w:rPr>
            </w:pPr>
          </w:p>
          <w:p w:rsidR="008856D7" w:rsidRPr="00A23740" w:rsidRDefault="008856D7" w:rsidP="009431FF">
            <w:pPr>
              <w:pStyle w:val="Mavi"/>
              <w:rPr>
                <w:rFonts w:eastAsia="Times New Roman"/>
                <w:lang w:val="tr-TR"/>
              </w:rPr>
            </w:pPr>
            <w:r w:rsidRPr="00A23740">
              <w:rPr>
                <w:rStyle w:val="YELChar"/>
                <w:rFonts w:eastAsia="Calibri"/>
                <w:b/>
                <w:color w:val="0000FF"/>
                <w:lang w:eastAsia="x-none"/>
              </w:rPr>
              <w:t>(</w:t>
            </w:r>
            <w:r w:rsidRPr="00A23740">
              <w:rPr>
                <w:rStyle w:val="YELChar"/>
                <w:rFonts w:eastAsia="Calibri"/>
                <w:b/>
                <w:color w:val="0000FF"/>
                <w:lang w:val="tr-TR" w:eastAsia="x-none"/>
              </w:rPr>
              <w:t>5</w:t>
            </w:r>
            <w:r w:rsidRPr="00A23740">
              <w:rPr>
                <w:rStyle w:val="YELChar"/>
                <w:rFonts w:eastAsia="Calibri"/>
                <w:b/>
                <w:color w:val="0000FF"/>
                <w:lang w:eastAsia="x-none"/>
              </w:rPr>
              <w:t>)</w:t>
            </w:r>
            <w:r w:rsidRPr="00A23740">
              <w:t xml:space="preserve"> Pazarlık</w:t>
            </w:r>
            <w:r w:rsidRPr="00A23740">
              <w:rPr>
                <w:rFonts w:eastAsia="Times New Roman"/>
              </w:rPr>
              <w:t xml:space="preserve"> suretiyle satışa ilişkin usul ve esaslar,</w:t>
            </w:r>
            <w:r w:rsidR="0018753E" w:rsidRPr="00A23740">
              <w:rPr>
                <w:rFonts w:eastAsia="Times New Roman"/>
                <w:lang w:val="tr-TR"/>
              </w:rPr>
              <w:t xml:space="preserve"> </w:t>
            </w:r>
            <w:r w:rsidR="0018753E" w:rsidRPr="00372868">
              <w:t>Adalet Bakanlığınca çıkarılacak</w:t>
            </w:r>
            <w:r w:rsidRPr="00A23740">
              <w:rPr>
                <w:rFonts w:eastAsia="Times New Roman"/>
              </w:rPr>
              <w:t xml:space="preserve"> </w:t>
            </w:r>
            <w:r w:rsidRPr="00A23740">
              <w:rPr>
                <w:bCs w:val="0"/>
              </w:rPr>
              <w:t>yönetmelikle düzenlenir</w:t>
            </w:r>
            <w:r w:rsidR="0018753E" w:rsidRPr="00A23740">
              <w:rPr>
                <w:b w:val="0"/>
              </w:rPr>
              <w:t>.</w:t>
            </w:r>
          </w:p>
          <w:p w:rsidR="008856D7" w:rsidRPr="00A23740" w:rsidRDefault="008856D7" w:rsidP="009431FF">
            <w:pPr>
              <w:pStyle w:val="KIRMIZI"/>
              <w:rPr>
                <w:b w:val="0"/>
                <w:color w:val="0000FF"/>
                <w:lang w:eastAsia="tr-TR"/>
              </w:rPr>
            </w:pPr>
          </w:p>
        </w:tc>
      </w:tr>
      <w:tr w:rsidR="00AA5C8C" w:rsidRPr="00A23740" w:rsidTr="009431FF">
        <w:tc>
          <w:tcPr>
            <w:tcW w:w="5000" w:type="pct"/>
            <w:gridSpan w:val="2"/>
            <w:shd w:val="clear" w:color="auto" w:fill="DEEAF6"/>
          </w:tcPr>
          <w:p w:rsidR="00AA5C8C" w:rsidRPr="00A23740" w:rsidRDefault="00AA5C8C" w:rsidP="009431FF">
            <w:pPr>
              <w:ind w:firstLine="567"/>
            </w:pPr>
          </w:p>
          <w:p w:rsidR="00AA5C8C" w:rsidRPr="00A23740" w:rsidRDefault="00AA5C8C" w:rsidP="009431FF">
            <w:pPr>
              <w:ind w:firstLine="567"/>
            </w:pPr>
            <w:r w:rsidRPr="00A23740">
              <w:rPr>
                <w:b/>
              </w:rPr>
              <w:t xml:space="preserve">MADDE </w:t>
            </w:r>
            <w:r w:rsidR="00864F47" w:rsidRPr="00A23740">
              <w:rPr>
                <w:b/>
              </w:rPr>
              <w:t>24</w:t>
            </w:r>
            <w:r w:rsidR="00490C3E" w:rsidRPr="00A23740">
              <w:rPr>
                <w:b/>
              </w:rPr>
              <w:t>5</w:t>
            </w:r>
            <w:r w:rsidRPr="00A23740">
              <w:rPr>
                <w:b/>
              </w:rPr>
              <w:t>-</w:t>
            </w:r>
            <w:r w:rsidRPr="00A23740">
              <w:rPr>
                <w:lang w:eastAsia="x-none"/>
              </w:rPr>
              <w:t xml:space="preserve"> </w:t>
            </w:r>
            <w:r w:rsidRPr="00A23740">
              <w:rPr>
                <w:szCs w:val="24"/>
                <w:lang w:eastAsia="x-none"/>
              </w:rPr>
              <w:t xml:space="preserve">Maddeyle, </w:t>
            </w:r>
            <w:r w:rsidRPr="00A23740">
              <w:t>pazarlık suretiyle satışın hüküm</w:t>
            </w:r>
            <w:r w:rsidR="001743FA" w:rsidRPr="00A23740">
              <w:t xml:space="preserve"> ve sonuçları düzenlenmektedir.</w:t>
            </w:r>
          </w:p>
          <w:p w:rsidR="00AA5C8C" w:rsidRPr="00A23740" w:rsidRDefault="00AA5C8C" w:rsidP="009431FF">
            <w:pPr>
              <w:ind w:firstLine="567"/>
            </w:pPr>
            <w:r w:rsidRPr="00A23740">
              <w:t xml:space="preserve">Birinci fıkrayla, </w:t>
            </w:r>
            <w:r w:rsidRPr="00A23740">
              <w:rPr>
                <w:bCs/>
              </w:rPr>
              <w:t>pazarlıkla satışın UYAP satış portalında ilan</w:t>
            </w:r>
            <w:r w:rsidRPr="00A23740">
              <w:rPr>
                <w:rStyle w:val="MaviChar"/>
                <w:b w:val="0"/>
              </w:rPr>
              <w:t xml:space="preserve"> </w:t>
            </w:r>
            <w:r w:rsidRPr="00A23740">
              <w:t>edileceği</w:t>
            </w:r>
            <w:r w:rsidR="002B5785" w:rsidRPr="00A23740">
              <w:t>,</w:t>
            </w:r>
            <w:r w:rsidRPr="00A23740">
              <w:t xml:space="preserve"> ancak acele durumlarda ilan yapılmaksızın teklif almak suretiyle de pazarlıkla satış yapılabil</w:t>
            </w:r>
            <w:r w:rsidR="00572CF1" w:rsidRPr="00A23740">
              <w:t xml:space="preserve">eceği </w:t>
            </w:r>
            <w:r w:rsidRPr="00A23740">
              <w:t>düzenlenmektedir.</w:t>
            </w:r>
            <w:r w:rsidR="002B5785" w:rsidRPr="00A23740">
              <w:t xml:space="preserve"> Hükmün </w:t>
            </w:r>
            <w:r w:rsidRPr="00A23740">
              <w:t>ruhuna genel olarak h</w:t>
            </w:r>
            <w:r w:rsidR="00407C95" w:rsidRPr="00A23740">
              <w:t>â</w:t>
            </w:r>
            <w:r w:rsidRPr="00A23740">
              <w:t xml:space="preserve">kim olan düşünce, pazarlık suretiyle satışın esnek hükümler içerdiği ve </w:t>
            </w:r>
            <w:r w:rsidR="00E31512" w:rsidRPr="00A23740">
              <w:t xml:space="preserve">mahcuzun </w:t>
            </w:r>
            <w:r w:rsidRPr="00A23740">
              <w:t xml:space="preserve">açık artırma yoluyla satışa nazaran daha hızlı bir şekilde satılabileceğidir. Pazarlıkla satış ilanının UYAP satış portalında </w:t>
            </w:r>
            <w:r w:rsidR="00E92DC1" w:rsidRPr="00A23740">
              <w:t xml:space="preserve">yapılması </w:t>
            </w:r>
            <w:r w:rsidRPr="00A23740">
              <w:t>kural ise de</w:t>
            </w:r>
            <w:r w:rsidR="00E92DC1" w:rsidRPr="00A23740">
              <w:t>,</w:t>
            </w:r>
            <w:r w:rsidRPr="00A23740">
              <w:t xml:space="preserve"> acele durumlarda teklif alınmak suretiyle de pazarlıkla satışın yapılabilmesi mümkündür.</w:t>
            </w:r>
          </w:p>
          <w:p w:rsidR="00AA5C8C" w:rsidRPr="00A23740" w:rsidRDefault="00AA5C8C" w:rsidP="009431FF">
            <w:pPr>
              <w:ind w:firstLine="567"/>
              <w:rPr>
                <w:szCs w:val="24"/>
                <w:lang w:eastAsia="x-none"/>
              </w:rPr>
            </w:pPr>
            <w:r w:rsidRPr="00A23740">
              <w:rPr>
                <w:szCs w:val="24"/>
                <w:lang w:eastAsia="x-none"/>
              </w:rPr>
              <w:t>İkinci fıkrayla, pazarlıkla satışın</w:t>
            </w:r>
            <w:r w:rsidR="002B5785" w:rsidRPr="00A23740">
              <w:rPr>
                <w:szCs w:val="24"/>
                <w:lang w:eastAsia="x-none"/>
              </w:rPr>
              <w:t xml:space="preserve"> daha </w:t>
            </w:r>
            <w:r w:rsidR="00572CF1" w:rsidRPr="00A23740">
              <w:rPr>
                <w:szCs w:val="24"/>
                <w:lang w:eastAsia="x-none"/>
              </w:rPr>
              <w:t>süratli</w:t>
            </w:r>
            <w:r w:rsidR="002B5785" w:rsidRPr="00A23740">
              <w:rPr>
                <w:szCs w:val="24"/>
                <w:lang w:eastAsia="x-none"/>
              </w:rPr>
              <w:t xml:space="preserve"> bir şekilde yapılabilmesi için</w:t>
            </w:r>
            <w:r w:rsidRPr="00A23740">
              <w:rPr>
                <w:szCs w:val="24"/>
                <w:lang w:eastAsia="x-none"/>
              </w:rPr>
              <w:t xml:space="preserve"> ilgililere tebliğ edilmeyeceği hükme bağlanmaktadır.</w:t>
            </w:r>
          </w:p>
          <w:p w:rsidR="00AA5C8C" w:rsidRPr="00A23740" w:rsidRDefault="00AA5C8C" w:rsidP="009431FF">
            <w:pPr>
              <w:ind w:firstLine="567"/>
              <w:rPr>
                <w:szCs w:val="24"/>
                <w:lang w:eastAsia="x-none"/>
              </w:rPr>
            </w:pPr>
            <w:r w:rsidRPr="00A23740">
              <w:rPr>
                <w:szCs w:val="24"/>
                <w:lang w:eastAsia="x-none"/>
              </w:rPr>
              <w:t>Üçüncü fıkrayla, pazarlıkla satışta vadenin mümkün olmayacağı, satışın peşin para ile yapılması gerektiği emredici bir kuralla hüküm altına alınmaktadır. Açık artırma yoluyla satıştan farklı olarak alıcıya</w:t>
            </w:r>
            <w:r w:rsidR="00572CF1" w:rsidRPr="00A23740">
              <w:rPr>
                <w:szCs w:val="24"/>
                <w:lang w:eastAsia="x-none"/>
              </w:rPr>
              <w:t>,</w:t>
            </w:r>
            <w:r w:rsidRPr="00A23740">
              <w:rPr>
                <w:szCs w:val="24"/>
                <w:lang w:eastAsia="x-none"/>
              </w:rPr>
              <w:t xml:space="preserve"> satış bedelinin ödenmesi için herhangi bir süre verilme</w:t>
            </w:r>
            <w:r w:rsidR="002B5785" w:rsidRPr="00A23740">
              <w:rPr>
                <w:szCs w:val="24"/>
                <w:lang w:eastAsia="x-none"/>
              </w:rPr>
              <w:t>z</w:t>
            </w:r>
            <w:r w:rsidRPr="00A23740">
              <w:rPr>
                <w:szCs w:val="24"/>
                <w:lang w:eastAsia="x-none"/>
              </w:rPr>
              <w:t>. Satış bedelinin ödenmesi üzerine de mal alıcıya teslim edilir.</w:t>
            </w:r>
            <w:r w:rsidR="002B5785" w:rsidRPr="00A23740">
              <w:rPr>
                <w:szCs w:val="24"/>
                <w:lang w:eastAsia="x-none"/>
              </w:rPr>
              <w:t xml:space="preserve"> Açık artırmayla satışta </w:t>
            </w:r>
            <w:r w:rsidR="00E92DC1" w:rsidRPr="00A23740">
              <w:rPr>
                <w:szCs w:val="24"/>
                <w:lang w:eastAsia="x-none"/>
              </w:rPr>
              <w:t xml:space="preserve">olanın </w:t>
            </w:r>
            <w:r w:rsidR="002B5785" w:rsidRPr="00A23740">
              <w:rPr>
                <w:szCs w:val="24"/>
                <w:lang w:eastAsia="x-none"/>
              </w:rPr>
              <w:t>aksine ihalenin belirlenen günde yapılması ihtiyacı pazarlıkla satışlarda mevcut olmadığı için satış bedelini hazır etmekte zorluk çeken alıcıya bir süre verilmesi ve satışın bu süre sonunda peşin parayla yapılması daha uygun olacağından</w:t>
            </w:r>
            <w:r w:rsidR="00E92DC1" w:rsidRPr="00A23740">
              <w:rPr>
                <w:szCs w:val="24"/>
                <w:lang w:eastAsia="x-none"/>
              </w:rPr>
              <w:t>,</w:t>
            </w:r>
            <w:r w:rsidR="002B5785" w:rsidRPr="00A23740">
              <w:rPr>
                <w:szCs w:val="24"/>
                <w:lang w:eastAsia="x-none"/>
              </w:rPr>
              <w:t xml:space="preserve"> bu yolun </w:t>
            </w:r>
            <w:r w:rsidR="00E92DC1" w:rsidRPr="00A23740">
              <w:rPr>
                <w:szCs w:val="24"/>
                <w:lang w:eastAsia="x-none"/>
              </w:rPr>
              <w:t xml:space="preserve">seçilmesi </w:t>
            </w:r>
            <w:r w:rsidR="002B5785" w:rsidRPr="00A23740">
              <w:rPr>
                <w:szCs w:val="24"/>
                <w:lang w:eastAsia="x-none"/>
              </w:rPr>
              <w:t xml:space="preserve">ihale bedelinin ödenmemesi sebebiyle ihalenin kaldırılması ihtiyacını </w:t>
            </w:r>
            <w:r w:rsidR="00572CF1" w:rsidRPr="00A23740">
              <w:rPr>
                <w:szCs w:val="24"/>
                <w:lang w:eastAsia="x-none"/>
              </w:rPr>
              <w:t xml:space="preserve">bertaraf etmektedir. </w:t>
            </w:r>
          </w:p>
          <w:p w:rsidR="00CD4F8A" w:rsidRPr="00A23740" w:rsidRDefault="00AA5C8C" w:rsidP="009431FF">
            <w:pPr>
              <w:ind w:firstLine="567"/>
              <w:rPr>
                <w:szCs w:val="24"/>
                <w:lang w:eastAsia="x-none"/>
              </w:rPr>
            </w:pPr>
            <w:r w:rsidRPr="00A23740">
              <w:rPr>
                <w:szCs w:val="24"/>
                <w:lang w:eastAsia="x-none"/>
              </w:rPr>
              <w:t>Dördüncü fıkrayla, mülkiyetin satış anıyla değil</w:t>
            </w:r>
            <w:r w:rsidR="00E92DC1" w:rsidRPr="00A23740">
              <w:rPr>
                <w:szCs w:val="24"/>
                <w:lang w:eastAsia="x-none"/>
              </w:rPr>
              <w:t>,</w:t>
            </w:r>
            <w:r w:rsidRPr="00A23740">
              <w:rPr>
                <w:szCs w:val="24"/>
                <w:lang w:eastAsia="x-none"/>
              </w:rPr>
              <w:t xml:space="preserve"> 6098 sayılı</w:t>
            </w:r>
            <w:r w:rsidR="00CB4D3D" w:rsidRPr="00A23740">
              <w:rPr>
                <w:szCs w:val="24"/>
                <w:lang w:eastAsia="x-none"/>
              </w:rPr>
              <w:t xml:space="preserve"> </w:t>
            </w:r>
            <w:r w:rsidR="00CB4D3D" w:rsidRPr="00D60C1D">
              <w:rPr>
                <w:rStyle w:val="KonuBalChar"/>
                <w:rFonts w:eastAsia="Calibri"/>
                <w:b w:val="0"/>
                <w:color w:val="000000"/>
              </w:rPr>
              <w:t>Kanunda</w:t>
            </w:r>
            <w:r w:rsidRPr="00A23740">
              <w:rPr>
                <w:szCs w:val="24"/>
                <w:lang w:eastAsia="x-none"/>
              </w:rPr>
              <w:t xml:space="preserve"> düzenlenen satışa ilişkin genel hükümlere uygun bir şekilde teslimle alıcıya geçeceği belirtilm</w:t>
            </w:r>
            <w:r w:rsidR="008856D7" w:rsidRPr="00A23740">
              <w:rPr>
                <w:szCs w:val="24"/>
                <w:lang w:eastAsia="x-none"/>
              </w:rPr>
              <w:t>ektedir</w:t>
            </w:r>
            <w:r w:rsidRPr="00A23740">
              <w:rPr>
                <w:szCs w:val="24"/>
                <w:lang w:eastAsia="x-none"/>
              </w:rPr>
              <w:t>. Paranın ödenmesi ve mülkiyetin alıcıya intikaliyle birlikte satışın tamamlandığı hususu UYAP üzerinden ilan edilir. Bu ilandan itibaren bir hafta içinde ilgililer, pazar</w:t>
            </w:r>
            <w:r w:rsidR="00572CF1" w:rsidRPr="00A23740">
              <w:rPr>
                <w:szCs w:val="24"/>
                <w:lang w:eastAsia="x-none"/>
              </w:rPr>
              <w:t xml:space="preserve">lık suretiyle satışın koşullarının </w:t>
            </w:r>
            <w:r w:rsidRPr="00A23740">
              <w:rPr>
                <w:szCs w:val="24"/>
                <w:lang w:eastAsia="x-none"/>
              </w:rPr>
              <w:t>oluşmadığı gerekçesiyle şik</w:t>
            </w:r>
            <w:r w:rsidR="00407C95" w:rsidRPr="00A23740">
              <w:rPr>
                <w:szCs w:val="24"/>
                <w:lang w:eastAsia="x-none"/>
              </w:rPr>
              <w:t>â</w:t>
            </w:r>
            <w:r w:rsidRPr="00A23740">
              <w:rPr>
                <w:szCs w:val="24"/>
                <w:lang w:eastAsia="x-none"/>
              </w:rPr>
              <w:t>yet yoluyla satışın iptalini talep edebilir</w:t>
            </w:r>
            <w:r w:rsidR="008856D7" w:rsidRPr="00A23740">
              <w:rPr>
                <w:szCs w:val="24"/>
                <w:lang w:eastAsia="x-none"/>
              </w:rPr>
              <w:t>.</w:t>
            </w:r>
            <w:r w:rsidRPr="00A23740">
              <w:rPr>
                <w:rStyle w:val="KIRMIZIChar"/>
                <w:rFonts w:eastAsia="Calibri"/>
                <w:strike w:val="0"/>
              </w:rPr>
              <w:t xml:space="preserve"> </w:t>
            </w:r>
            <w:r w:rsidRPr="00A23740">
              <w:rPr>
                <w:szCs w:val="24"/>
                <w:lang w:eastAsia="x-none"/>
              </w:rPr>
              <w:t>Bu süre içinde şik</w:t>
            </w:r>
            <w:r w:rsidR="00ED0593" w:rsidRPr="00A23740">
              <w:rPr>
                <w:szCs w:val="24"/>
                <w:lang w:eastAsia="x-none"/>
              </w:rPr>
              <w:t>â</w:t>
            </w:r>
            <w:r w:rsidRPr="00A23740">
              <w:rPr>
                <w:szCs w:val="24"/>
                <w:lang w:eastAsia="x-none"/>
              </w:rPr>
              <w:t>yet yoluna başvurularak satışın iptali istenmişse</w:t>
            </w:r>
            <w:r w:rsidR="00E92DC1" w:rsidRPr="00A23740">
              <w:rPr>
                <w:szCs w:val="24"/>
                <w:lang w:eastAsia="x-none"/>
              </w:rPr>
              <w:t>,</w:t>
            </w:r>
            <w:r w:rsidRPr="00A23740">
              <w:rPr>
                <w:szCs w:val="24"/>
                <w:lang w:eastAsia="x-none"/>
              </w:rPr>
              <w:t xml:space="preserve"> satış kesinleşinceye kadar bedel alacaklıya ödenme</w:t>
            </w:r>
            <w:r w:rsidR="008C23BE" w:rsidRPr="00A23740">
              <w:rPr>
                <w:szCs w:val="24"/>
                <w:lang w:eastAsia="x-none"/>
              </w:rPr>
              <w:t xml:space="preserve">z </w:t>
            </w:r>
            <w:r w:rsidRPr="00A23740">
              <w:rPr>
                <w:szCs w:val="24"/>
                <w:lang w:eastAsia="x-none"/>
              </w:rPr>
              <w:t>ve bankada nemalandırılır. Satış bedeli ödenmediği sürec</w:t>
            </w:r>
            <w:r w:rsidR="008C23BE" w:rsidRPr="00A23740">
              <w:rPr>
                <w:szCs w:val="24"/>
                <w:lang w:eastAsia="x-none"/>
              </w:rPr>
              <w:t>e malın teslimi de mümkün olma</w:t>
            </w:r>
            <w:r w:rsidR="008856D7" w:rsidRPr="00A23740">
              <w:rPr>
                <w:szCs w:val="24"/>
                <w:lang w:eastAsia="x-none"/>
              </w:rPr>
              <w:t>z</w:t>
            </w:r>
            <w:r w:rsidRPr="00A23740">
              <w:rPr>
                <w:szCs w:val="24"/>
                <w:lang w:eastAsia="x-none"/>
              </w:rPr>
              <w:t xml:space="preserve">. </w:t>
            </w:r>
            <w:r w:rsidR="00371300" w:rsidRPr="00A23740">
              <w:rPr>
                <w:szCs w:val="24"/>
                <w:lang w:eastAsia="x-none"/>
              </w:rPr>
              <w:t>İsviçre</w:t>
            </w:r>
            <w:r w:rsidR="00371300" w:rsidRPr="00D60C1D">
              <w:rPr>
                <w:rStyle w:val="KonuBalChar"/>
                <w:rFonts w:eastAsia="Calibri"/>
                <w:b w:val="0"/>
                <w:color w:val="000000"/>
              </w:rPr>
              <w:t>’nin</w:t>
            </w:r>
            <w:r w:rsidR="00371300" w:rsidRPr="00A23740">
              <w:rPr>
                <w:szCs w:val="24"/>
                <w:lang w:eastAsia="x-none"/>
              </w:rPr>
              <w:t xml:space="preserve"> </w:t>
            </w:r>
            <w:r w:rsidR="00906A54" w:rsidRPr="00A23740">
              <w:rPr>
                <w:szCs w:val="24"/>
                <w:lang w:eastAsia="x-none"/>
              </w:rPr>
              <w:t xml:space="preserve">Borç </w:t>
            </w:r>
            <w:r w:rsidR="00371300" w:rsidRPr="00A23740">
              <w:rPr>
                <w:szCs w:val="24"/>
                <w:lang w:eastAsia="x-none"/>
              </w:rPr>
              <w:t xml:space="preserve">için </w:t>
            </w:r>
            <w:r w:rsidR="00906A54" w:rsidRPr="00A23740">
              <w:rPr>
                <w:szCs w:val="24"/>
                <w:lang w:eastAsia="x-none"/>
              </w:rPr>
              <w:t>Takip ve İflas Hakkında Federal</w:t>
            </w:r>
            <w:r w:rsidRPr="00A23740">
              <w:rPr>
                <w:szCs w:val="24"/>
                <w:lang w:eastAsia="x-none"/>
              </w:rPr>
              <w:t xml:space="preserve"> </w:t>
            </w:r>
            <w:r w:rsidR="00864F47" w:rsidRPr="00A23740">
              <w:rPr>
                <w:szCs w:val="24"/>
                <w:lang w:eastAsia="x-none"/>
              </w:rPr>
              <w:t>Kanunun</w:t>
            </w:r>
            <w:r w:rsidR="00CD4F8A" w:rsidRPr="00D60C1D">
              <w:rPr>
                <w:rStyle w:val="KonuBalChar"/>
                <w:rFonts w:eastAsia="Calibri"/>
                <w:b w:val="0"/>
                <w:color w:val="000000"/>
              </w:rPr>
              <w:t>un</w:t>
            </w:r>
            <w:r w:rsidRPr="00A23740">
              <w:rPr>
                <w:szCs w:val="24"/>
                <w:lang w:eastAsia="x-none"/>
              </w:rPr>
              <w:t xml:space="preserve"> 132a maddesinde de pazarlık suretiyle satışın şik</w:t>
            </w:r>
            <w:r w:rsidR="00407C95" w:rsidRPr="00A23740">
              <w:rPr>
                <w:szCs w:val="24"/>
                <w:lang w:eastAsia="x-none"/>
              </w:rPr>
              <w:t>â</w:t>
            </w:r>
            <w:r w:rsidRPr="00A23740">
              <w:rPr>
                <w:szCs w:val="24"/>
                <w:lang w:eastAsia="x-none"/>
              </w:rPr>
              <w:t>yet yoluyla iptal edilebileceği açıkça düzenle</w:t>
            </w:r>
            <w:r w:rsidR="008C23BE" w:rsidRPr="00A23740">
              <w:rPr>
                <w:szCs w:val="24"/>
                <w:lang w:eastAsia="x-none"/>
              </w:rPr>
              <w:t>n</w:t>
            </w:r>
            <w:r w:rsidRPr="00A23740">
              <w:rPr>
                <w:szCs w:val="24"/>
                <w:lang w:eastAsia="x-none"/>
              </w:rPr>
              <w:t>m</w:t>
            </w:r>
            <w:r w:rsidR="008856D7" w:rsidRPr="00A23740">
              <w:rPr>
                <w:szCs w:val="24"/>
                <w:lang w:eastAsia="x-none"/>
              </w:rPr>
              <w:t>iştir.</w:t>
            </w:r>
          </w:p>
          <w:p w:rsidR="008856D7" w:rsidRPr="00A23740" w:rsidRDefault="008856D7" w:rsidP="009431FF">
            <w:pPr>
              <w:ind w:firstLine="567"/>
              <w:rPr>
                <w:szCs w:val="24"/>
                <w:lang w:eastAsia="x-none"/>
              </w:rPr>
            </w:pPr>
            <w:r w:rsidRPr="00A23740">
              <w:rPr>
                <w:szCs w:val="24"/>
                <w:lang w:eastAsia="x-none"/>
              </w:rPr>
              <w:t xml:space="preserve">Beşinci fıkrayla, </w:t>
            </w:r>
            <w:r w:rsidRPr="00A23740">
              <w:t>pazarlık</w:t>
            </w:r>
            <w:r w:rsidRPr="00A23740">
              <w:rPr>
                <w:rFonts w:eastAsia="Times New Roman"/>
              </w:rPr>
              <w:t xml:space="preserve"> suretiyle satışa ilişkin usul ve esasları belirleme konusunda </w:t>
            </w:r>
            <w:r w:rsidRPr="00A23740">
              <w:rPr>
                <w:szCs w:val="24"/>
                <w:lang w:eastAsia="x-none"/>
              </w:rPr>
              <w:t xml:space="preserve">Adalet Bakanlığına yetki verilmektedir. </w:t>
            </w:r>
            <w:r w:rsidR="00ED0593" w:rsidRPr="00D60C1D">
              <w:rPr>
                <w:rStyle w:val="KonuBalChar"/>
                <w:rFonts w:eastAsia="Calibri"/>
                <w:b w:val="0"/>
                <w:color w:val="000000"/>
              </w:rPr>
              <w:t>Taslakla</w:t>
            </w:r>
            <w:r w:rsidRPr="00A23740">
              <w:rPr>
                <w:lang w:eastAsia="x-none"/>
              </w:rPr>
              <w:t xml:space="preserve"> pazarlıkla satış, iflas hukukunda olduğu gibi cüzi icrada da geniş bir uygulama alanına kavuşturulmaktadır. Bu önemli paraya çevirme yönteminin usul ve esaslarının detaylı bir şekilde Yönetmelikle belirlenmesi hem pazarlık suretiyle satışın daha fazla uygulama alanı </w:t>
            </w:r>
            <w:r w:rsidR="00864F47" w:rsidRPr="00D60C1D">
              <w:rPr>
                <w:rStyle w:val="YELChar"/>
                <w:b w:val="0"/>
                <w:color w:val="000000"/>
              </w:rPr>
              <w:t>bulmasını</w:t>
            </w:r>
            <w:r w:rsidRPr="00A23740">
              <w:rPr>
                <w:lang w:eastAsia="x-none"/>
              </w:rPr>
              <w:t xml:space="preserve"> </w:t>
            </w:r>
            <w:r w:rsidR="005A0B8D" w:rsidRPr="00A23740">
              <w:rPr>
                <w:lang w:eastAsia="x-none"/>
              </w:rPr>
              <w:t xml:space="preserve">sağlayacak </w:t>
            </w:r>
            <w:r w:rsidRPr="00A23740">
              <w:rPr>
                <w:lang w:eastAsia="x-none"/>
              </w:rPr>
              <w:t>hem de hak sahiplerin</w:t>
            </w:r>
            <w:r w:rsidR="005A0B8D" w:rsidRPr="00A23740">
              <w:rPr>
                <w:lang w:eastAsia="x-none"/>
              </w:rPr>
              <w:t>e</w:t>
            </w:r>
            <w:r w:rsidRPr="00A23740">
              <w:rPr>
                <w:lang w:eastAsia="x-none"/>
              </w:rPr>
              <w:t xml:space="preserve"> haklarını daha rahat koruma ve kullanma imk</w:t>
            </w:r>
            <w:r w:rsidR="00BE53A8" w:rsidRPr="00A23740">
              <w:rPr>
                <w:rFonts w:eastAsia="Times New Roman"/>
                <w:szCs w:val="24"/>
                <w:lang w:eastAsia="tr-TR"/>
              </w:rPr>
              <w:t>â</w:t>
            </w:r>
            <w:r w:rsidRPr="00A23740">
              <w:rPr>
                <w:lang w:eastAsia="x-none"/>
              </w:rPr>
              <w:t>nı sağlayacaktır.</w:t>
            </w:r>
          </w:p>
          <w:p w:rsidR="00372868" w:rsidRPr="00A23740" w:rsidRDefault="00372868" w:rsidP="003F10EF">
            <w:pPr>
              <w:tabs>
                <w:tab w:val="left" w:pos="567"/>
              </w:tabs>
              <w:ind w:firstLine="567"/>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rPr>
                <w:rFonts w:eastAsia="Times New Roman"/>
                <w:iCs/>
                <w:color w:val="000000"/>
                <w:szCs w:val="24"/>
                <w:lang w:eastAsia="tr-TR"/>
              </w:rPr>
            </w:pPr>
            <w:bookmarkStart w:id="3" w:name="_Hlk107803858"/>
          </w:p>
          <w:p w:rsidR="00AA5C8C" w:rsidRPr="00A23740" w:rsidRDefault="00AA5C8C" w:rsidP="009431FF">
            <w:pPr>
              <w:rPr>
                <w:rFonts w:eastAsia="Times New Roman"/>
                <w:i/>
                <w:iCs/>
                <w:color w:val="000000"/>
                <w:szCs w:val="24"/>
                <w:lang w:eastAsia="tr-TR"/>
              </w:rPr>
            </w:pPr>
          </w:p>
          <w:p w:rsidR="00AA5C8C" w:rsidRPr="00A23740" w:rsidRDefault="00AA5C8C" w:rsidP="009431FF">
            <w:pPr>
              <w:rPr>
                <w:rFonts w:eastAsia="Times New Roman"/>
                <w:i/>
                <w:iCs/>
                <w:color w:val="000000"/>
                <w:szCs w:val="24"/>
                <w:lang w:eastAsia="tr-TR"/>
              </w:rPr>
            </w:pPr>
            <w:r w:rsidRPr="00A23740">
              <w:rPr>
                <w:rFonts w:eastAsia="Times New Roman"/>
                <w:i/>
                <w:iCs/>
                <w:color w:val="000000"/>
                <w:szCs w:val="24"/>
                <w:lang w:eastAsia="tr-TR"/>
              </w:rPr>
              <w:t>İhalenin yapılması:</w:t>
            </w:r>
          </w:p>
          <w:p w:rsidR="00AA5C8C" w:rsidRPr="00A23740" w:rsidRDefault="00AA5C8C" w:rsidP="009431FF">
            <w:pPr>
              <w:rPr>
                <w:rFonts w:eastAsia="Times New Roman"/>
                <w:color w:val="000000"/>
                <w:szCs w:val="24"/>
                <w:lang w:eastAsia="tr-TR"/>
              </w:rPr>
            </w:pPr>
            <w:r w:rsidRPr="00A23740">
              <w:rPr>
                <w:rFonts w:eastAsia="Times New Roman"/>
                <w:b/>
                <w:bCs/>
                <w:color w:val="000000"/>
                <w:szCs w:val="24"/>
                <w:lang w:eastAsia="tr-TR"/>
              </w:rPr>
              <w:t>Madde 115 – (Değişik:24/11/2021-7343/17 md.)</w:t>
            </w:r>
          </w:p>
          <w:p w:rsidR="00AA5C8C" w:rsidRPr="00A23740" w:rsidRDefault="00AA5C8C" w:rsidP="009431FF">
            <w:pPr>
              <w:rPr>
                <w:rFonts w:eastAsia="Times New Roman"/>
                <w:color w:val="000000"/>
                <w:szCs w:val="24"/>
                <w:lang w:eastAsia="tr-TR"/>
              </w:rPr>
            </w:pPr>
            <w:r w:rsidRPr="00A23740">
              <w:rPr>
                <w:rStyle w:val="KIRMIZIChar"/>
                <w:rFonts w:eastAsia="Calibri"/>
              </w:rPr>
              <w:t xml:space="preserve">(1) </w:t>
            </w:r>
            <w:r w:rsidRPr="00A23740">
              <w:rPr>
                <w:rStyle w:val="KIRMIZIChar"/>
                <w:rFonts w:eastAsia="Calibri"/>
                <w:lang w:eastAsia="tr-TR"/>
              </w:rPr>
              <w:t>Birinci ve ikinci ihale, icra müdürü tarafından, ilanda belirlenen gün ve saatte,</w:t>
            </w:r>
            <w:r w:rsidRPr="00A23740">
              <w:rPr>
                <w:rFonts w:eastAsia="Times New Roman"/>
                <w:color w:val="000000"/>
                <w:szCs w:val="24"/>
                <w:lang w:eastAsia="tr-TR"/>
              </w:rPr>
              <w:t xml:space="preserve"> haczedilen malın </w:t>
            </w:r>
            <w:r w:rsidRPr="00A23740">
              <w:rPr>
                <w:rStyle w:val="KIRMIZIChar"/>
                <w:rFonts w:eastAsia="Calibri"/>
                <w:lang w:eastAsia="tr-TR"/>
              </w:rPr>
              <w:t>muhammen</w:t>
            </w:r>
            <w:r w:rsidRPr="00A23740">
              <w:rPr>
                <w:rStyle w:val="KIRMIZIChar"/>
                <w:rFonts w:eastAsia="Calibri"/>
              </w:rPr>
              <w:t xml:space="preserve"> </w:t>
            </w:r>
            <w:r w:rsidRPr="00A23740">
              <w:rPr>
                <w:rStyle w:val="KIRMIZIChar"/>
                <w:rFonts w:eastAsia="Calibri"/>
                <w:bCs w:val="0"/>
                <w:lang w:eastAsia="tr-TR"/>
              </w:rPr>
              <w:t>kıymetinin yüzde ellisi</w:t>
            </w:r>
            <w:r w:rsidRPr="00A23740">
              <w:rPr>
                <w:rFonts w:eastAsia="Times New Roman"/>
                <w:color w:val="000000"/>
                <w:szCs w:val="24"/>
                <w:lang w:eastAsia="tr-TR"/>
              </w:rPr>
              <w:t xml:space="preserve"> </w:t>
            </w:r>
            <w:r w:rsidRPr="00A23740">
              <w:rPr>
                <w:rStyle w:val="KIRMIZIChar"/>
                <w:rFonts w:eastAsia="Calibri"/>
                <w:lang w:eastAsia="tr-TR"/>
              </w:rPr>
              <w:t>üzerinden başlatılır.</w:t>
            </w:r>
            <w:r w:rsidRPr="00A23740">
              <w:rPr>
                <w:rFonts w:eastAsia="Times New Roman"/>
                <w:color w:val="000000"/>
                <w:szCs w:val="24"/>
                <w:lang w:eastAsia="tr-TR"/>
              </w:rPr>
              <w:t xml:space="preserve"> </w:t>
            </w:r>
            <w:r w:rsidRPr="00A23740">
              <w:rPr>
                <w:rStyle w:val="KIRMIZIChar"/>
                <w:rFonts w:eastAsia="Calibri"/>
                <w:lang w:eastAsia="tr-TR"/>
              </w:rPr>
              <w:t>Şartların yerine gelmesi hâlinde mal, en yüksek teklif verene ihale edilir.</w:t>
            </w:r>
            <w:r w:rsidRPr="00A23740">
              <w:rPr>
                <w:rFonts w:eastAsia="Times New Roman"/>
                <w:color w:val="000000"/>
                <w:szCs w:val="24"/>
                <w:lang w:eastAsia="tr-TR"/>
              </w:rPr>
              <w:t xml:space="preserve"> </w:t>
            </w:r>
            <w:r w:rsidRPr="00A23740">
              <w:rPr>
                <w:rStyle w:val="KIRMIZIChar"/>
                <w:rFonts w:eastAsia="Calibri"/>
                <w:lang w:eastAsia="tr-TR"/>
              </w:rPr>
              <w:t>Şu kadar ki,</w:t>
            </w:r>
            <w:r w:rsidRPr="00A23740">
              <w:rPr>
                <w:rFonts w:eastAsia="Times New Roman"/>
                <w:color w:val="000000"/>
                <w:szCs w:val="24"/>
                <w:lang w:eastAsia="tr-TR"/>
              </w:rPr>
              <w:t xml:space="preserve"> </w:t>
            </w:r>
            <w:r w:rsidRPr="00A23740">
              <w:rPr>
                <w:rStyle w:val="KIRMIZIChar"/>
                <w:rFonts w:eastAsia="Calibri"/>
                <w:lang w:eastAsia="tr-TR"/>
              </w:rPr>
              <w:t>artırma bedelinin haczedilen malın muhammen</w:t>
            </w:r>
            <w:r w:rsidRPr="00A23740">
              <w:rPr>
                <w:rFonts w:eastAsia="Times New Roman"/>
                <w:color w:val="000000"/>
                <w:szCs w:val="24"/>
                <w:lang w:eastAsia="tr-TR"/>
              </w:rPr>
              <w:t xml:space="preserve"> kıymetinin yüzde ellisi ile o malla güvence altına alınan ve satış isteyenin alacağına rüçhanı olan alacakların toplamından hangisi fazla ise bu miktarı ve ayrıca bu miktara ilave olarak paraya çevirme ve paylaştırma </w:t>
            </w:r>
            <w:r w:rsidRPr="00A23740">
              <w:rPr>
                <w:rStyle w:val="KIRMIZIChar"/>
                <w:rFonts w:eastAsia="Calibri"/>
              </w:rPr>
              <w:t>masraflarını</w:t>
            </w:r>
            <w:r w:rsidRPr="00A23740">
              <w:rPr>
                <w:rFonts w:eastAsia="Times New Roman"/>
                <w:color w:val="000000"/>
                <w:szCs w:val="24"/>
                <w:lang w:eastAsia="tr-TR"/>
              </w:rPr>
              <w:t xml:space="preserve"> </w:t>
            </w:r>
            <w:r w:rsidRPr="00A23740">
              <w:rPr>
                <w:rStyle w:val="KIRMIZIChar"/>
                <w:rFonts w:eastAsia="Calibri"/>
              </w:rPr>
              <w:t>da</w:t>
            </w:r>
            <w:r w:rsidRPr="00A23740">
              <w:rPr>
                <w:rFonts w:eastAsia="Times New Roman"/>
                <w:color w:val="000000"/>
                <w:szCs w:val="24"/>
                <w:lang w:eastAsia="tr-TR"/>
              </w:rPr>
              <w:t xml:space="preserve"> geçmesi şarttır.</w:t>
            </w:r>
          </w:p>
          <w:bookmarkEnd w:id="3"/>
          <w:p w:rsidR="00AA5C8C" w:rsidRPr="00A23740" w:rsidRDefault="00AA5C8C" w:rsidP="009431FF">
            <w:pPr>
              <w:pStyle w:val="Mavi"/>
              <w:rPr>
                <w:rFonts w:eastAsia="Times New Roman"/>
                <w:b w:val="0"/>
                <w:i/>
                <w:lang w:eastAsia="tr-TR"/>
              </w:rPr>
            </w:pPr>
          </w:p>
          <w:p w:rsidR="00AA5C8C" w:rsidRPr="00A23740" w:rsidRDefault="00AA5C8C" w:rsidP="009431FF">
            <w:pPr>
              <w:pStyle w:val="KIRMIZI"/>
            </w:pPr>
            <w:r w:rsidRPr="00A23740">
              <w:t>Altın ve gümüş eşya:</w:t>
            </w:r>
          </w:p>
          <w:p w:rsidR="00AA5C8C" w:rsidRPr="00A23740" w:rsidRDefault="00AA5C8C" w:rsidP="009431FF">
            <w:pPr>
              <w:tabs>
                <w:tab w:val="left" w:pos="567"/>
              </w:tabs>
              <w:rPr>
                <w:rFonts w:eastAsia="Times New Roman"/>
                <w:szCs w:val="24"/>
                <w:lang w:eastAsia="tr-TR"/>
              </w:rPr>
            </w:pPr>
            <w:r w:rsidRPr="00A23740">
              <w:rPr>
                <w:rStyle w:val="KIRMIZIChar"/>
                <w:rFonts w:eastAsia="Calibri"/>
                <w:lang w:eastAsia="tr-TR"/>
              </w:rPr>
              <w:t>Madde 117 –</w:t>
            </w:r>
            <w:r w:rsidRPr="00A23740">
              <w:rPr>
                <w:rFonts w:eastAsia="Times New Roman"/>
                <w:szCs w:val="24"/>
                <w:lang w:eastAsia="tr-TR"/>
              </w:rPr>
              <w:t xml:space="preserve"> Altın </w:t>
            </w:r>
            <w:r w:rsidRPr="00A23740">
              <w:rPr>
                <w:rStyle w:val="KIRMIZIChar"/>
                <w:rFonts w:eastAsia="Calibri"/>
                <w:lang w:eastAsia="tr-TR"/>
              </w:rPr>
              <w:t>ve</w:t>
            </w:r>
            <w:r w:rsidRPr="00A23740">
              <w:rPr>
                <w:rFonts w:eastAsia="Times New Roman"/>
                <w:szCs w:val="24"/>
                <w:lang w:eastAsia="tr-TR"/>
              </w:rPr>
              <w:t xml:space="preserve"> gümüş </w:t>
            </w:r>
            <w:r w:rsidRPr="00A23740">
              <w:rPr>
                <w:rStyle w:val="KIRMIZIChar"/>
                <w:rFonts w:eastAsia="Calibri"/>
                <w:lang w:eastAsia="tr-TR"/>
              </w:rPr>
              <w:t>eşya</w:t>
            </w:r>
            <w:r w:rsidRPr="00A23740">
              <w:rPr>
                <w:rFonts w:eastAsia="Times New Roman"/>
                <w:szCs w:val="24"/>
                <w:lang w:eastAsia="tr-TR"/>
              </w:rPr>
              <w:t xml:space="preserve"> maden </w:t>
            </w:r>
            <w:r w:rsidRPr="00A23740">
              <w:rPr>
                <w:rStyle w:val="KIRMIZIChar"/>
                <w:rFonts w:eastAsia="Calibri"/>
                <w:lang w:eastAsia="tr-TR"/>
              </w:rPr>
              <w:t>halindeki</w:t>
            </w:r>
            <w:r w:rsidRPr="00A23740">
              <w:rPr>
                <w:rFonts w:eastAsia="Times New Roman"/>
                <w:szCs w:val="24"/>
                <w:lang w:eastAsia="tr-TR"/>
              </w:rPr>
              <w:t xml:space="preserve"> kıymet</w:t>
            </w:r>
            <w:r w:rsidRPr="00A23740">
              <w:rPr>
                <w:rStyle w:val="KIRMIZIChar"/>
                <w:rFonts w:eastAsia="Calibri"/>
                <w:lang w:eastAsia="tr-TR"/>
              </w:rPr>
              <w:t>ler</w:t>
            </w:r>
            <w:r w:rsidRPr="00A23740">
              <w:rPr>
                <w:rFonts w:eastAsia="Times New Roman"/>
                <w:szCs w:val="24"/>
                <w:lang w:eastAsia="tr-TR"/>
              </w:rPr>
              <w:t xml:space="preserve">inden daha </w:t>
            </w:r>
            <w:r w:rsidRPr="00A23740">
              <w:rPr>
                <w:rStyle w:val="KIRMIZIChar"/>
                <w:rFonts w:eastAsia="Calibri"/>
                <w:lang w:eastAsia="tr-TR"/>
              </w:rPr>
              <w:t>aşağı bir</w:t>
            </w:r>
            <w:r w:rsidRPr="00A23740">
              <w:rPr>
                <w:rFonts w:eastAsia="Times New Roman"/>
                <w:szCs w:val="24"/>
                <w:lang w:eastAsia="tr-TR"/>
              </w:rPr>
              <w:t xml:space="preserve"> bedel </w:t>
            </w:r>
            <w:r w:rsidRPr="00A23740">
              <w:rPr>
                <w:rStyle w:val="KIRMIZIChar"/>
                <w:rFonts w:eastAsia="Calibri"/>
                <w:lang w:eastAsia="tr-TR"/>
              </w:rPr>
              <w:t>ile satılamaz</w:t>
            </w:r>
            <w:r w:rsidRPr="00A23740">
              <w:rPr>
                <w:rFonts w:eastAsia="Times New Roman"/>
                <w:szCs w:val="24"/>
                <w:lang w:eastAsia="tr-TR"/>
              </w:rPr>
              <w:t>.</w:t>
            </w:r>
          </w:p>
          <w:p w:rsidR="00AA5C8C" w:rsidRPr="00A23740" w:rsidRDefault="00AA5C8C" w:rsidP="009431FF">
            <w:pPr>
              <w:pStyle w:val="Mavi"/>
              <w:rPr>
                <w:rFonts w:eastAsia="Times New Roman"/>
                <w:b w:val="0"/>
                <w:i/>
                <w:lang w:eastAsia="tr-TR"/>
              </w:rPr>
            </w:pPr>
          </w:p>
        </w:tc>
        <w:tc>
          <w:tcPr>
            <w:tcW w:w="2500" w:type="pct"/>
          </w:tcPr>
          <w:p w:rsidR="00AA5C8C" w:rsidRPr="00A23740" w:rsidRDefault="00342891" w:rsidP="009431FF">
            <w:pPr>
              <w:tabs>
                <w:tab w:val="left" w:pos="567"/>
              </w:tabs>
              <w:jc w:val="center"/>
              <w:rPr>
                <w:rFonts w:eastAsia="Times New Roman"/>
                <w:b/>
                <w:color w:val="0000FF"/>
                <w:szCs w:val="24"/>
                <w:lang w:eastAsia="tr-TR"/>
              </w:rPr>
            </w:pPr>
            <w:r w:rsidRPr="00A23740">
              <w:rPr>
                <w:rFonts w:eastAsia="Times New Roman"/>
                <w:b/>
                <w:color w:val="0000FF"/>
                <w:szCs w:val="24"/>
                <w:lang w:eastAsia="tr-TR"/>
              </w:rPr>
              <w:t>BEŞİNCİ</w:t>
            </w:r>
            <w:r w:rsidR="00AA5C8C" w:rsidRPr="00A23740">
              <w:rPr>
                <w:rFonts w:eastAsia="Times New Roman"/>
                <w:b/>
                <w:color w:val="0000FF"/>
                <w:szCs w:val="24"/>
                <w:lang w:eastAsia="tr-TR"/>
              </w:rPr>
              <w:t xml:space="preserve"> ALT AYRIM</w:t>
            </w:r>
          </w:p>
          <w:p w:rsidR="00AA5C8C" w:rsidRPr="00A23740" w:rsidRDefault="00AA5C8C" w:rsidP="009431FF">
            <w:pPr>
              <w:tabs>
                <w:tab w:val="left" w:pos="567"/>
              </w:tabs>
              <w:jc w:val="center"/>
              <w:rPr>
                <w:rFonts w:eastAsia="Times New Roman"/>
                <w:b/>
                <w:color w:val="0000FF"/>
                <w:szCs w:val="24"/>
                <w:lang w:eastAsia="tr-TR"/>
              </w:rPr>
            </w:pPr>
            <w:r w:rsidRPr="00A23740">
              <w:rPr>
                <w:rFonts w:eastAsia="Times New Roman"/>
                <w:b/>
                <w:color w:val="0000FF"/>
                <w:szCs w:val="24"/>
                <w:lang w:eastAsia="tr-TR"/>
              </w:rPr>
              <w:t>İhale ve Sonuçları</w:t>
            </w:r>
          </w:p>
          <w:p w:rsidR="00AA5C8C" w:rsidRPr="00A23740" w:rsidRDefault="00AA5C8C" w:rsidP="009431FF">
            <w:pPr>
              <w:tabs>
                <w:tab w:val="left" w:pos="567"/>
              </w:tabs>
              <w:jc w:val="center"/>
              <w:rPr>
                <w:rFonts w:eastAsia="Times New Roman"/>
                <w:b/>
                <w:color w:val="0000FF"/>
                <w:szCs w:val="24"/>
                <w:lang w:eastAsia="tr-TR"/>
              </w:rPr>
            </w:pPr>
          </w:p>
          <w:p w:rsidR="00AA5C8C" w:rsidRPr="00A23740" w:rsidRDefault="00AA5C8C" w:rsidP="009431FF">
            <w:pPr>
              <w:pStyle w:val="Mavi"/>
            </w:pPr>
            <w:r w:rsidRPr="00A23740">
              <w:t>Asgari ihale bedeli</w:t>
            </w:r>
          </w:p>
          <w:p w:rsidR="00AA5C8C" w:rsidRPr="00A23740" w:rsidRDefault="00864F47" w:rsidP="009431FF">
            <w:pPr>
              <w:pStyle w:val="Mavi"/>
            </w:pPr>
            <w:r w:rsidRPr="00A23740">
              <w:t>MADDE 2</w:t>
            </w:r>
            <w:r w:rsidRPr="00A23740">
              <w:rPr>
                <w:lang w:val="tr-TR"/>
              </w:rPr>
              <w:t>4</w:t>
            </w:r>
            <w:r w:rsidR="00490C3E" w:rsidRPr="00A23740">
              <w:rPr>
                <w:lang w:val="tr-TR"/>
              </w:rPr>
              <w:t>6</w:t>
            </w:r>
            <w:r w:rsidR="00AA5C8C" w:rsidRPr="00A23740">
              <w:t xml:space="preserve">- (1) İhalenin gerçekleşebilmesi için verilen en yüksek teklifin </w:t>
            </w:r>
            <w:r w:rsidR="00AA5C8C" w:rsidRPr="00A23740">
              <w:rPr>
                <w:rFonts w:eastAsia="Times New Roman"/>
                <w:b w:val="0"/>
                <w:bCs w:val="0"/>
                <w:color w:val="000000"/>
                <w:lang w:val="tr-TR" w:eastAsia="tr-TR"/>
              </w:rPr>
              <w:t>haczedilen malın</w:t>
            </w:r>
            <w:r w:rsidR="00AA5C8C" w:rsidRPr="00A23740">
              <w:t xml:space="preserve"> tahmin edilen </w:t>
            </w:r>
            <w:r w:rsidR="00AA5C8C" w:rsidRPr="00A23740">
              <w:rPr>
                <w:rFonts w:eastAsia="Times New Roman"/>
                <w:b w:val="0"/>
                <w:bCs w:val="0"/>
                <w:color w:val="000000"/>
                <w:lang w:val="tr-TR" w:eastAsia="tr-TR"/>
              </w:rPr>
              <w:t>kıymetinin yüzde ellisi</w:t>
            </w:r>
            <w:r w:rsidR="00AA5C8C" w:rsidRPr="00A23740">
              <w:t xml:space="preserve"> </w:t>
            </w:r>
            <w:r w:rsidR="00AA5C8C" w:rsidRPr="00A23740">
              <w:rPr>
                <w:rFonts w:eastAsia="Times New Roman"/>
                <w:b w:val="0"/>
                <w:bCs w:val="0"/>
                <w:color w:val="000000"/>
                <w:lang w:val="tr-TR" w:eastAsia="tr-TR"/>
              </w:rPr>
              <w:t>ile</w:t>
            </w:r>
            <w:r w:rsidR="00AA5C8C" w:rsidRPr="00A23740">
              <w:t xml:space="preserve"> </w:t>
            </w:r>
            <w:r w:rsidR="00AA5C8C" w:rsidRPr="00A23740">
              <w:rPr>
                <w:rFonts w:eastAsia="Times New Roman"/>
                <w:b w:val="0"/>
                <w:bCs w:val="0"/>
                <w:color w:val="000000"/>
                <w:lang w:val="tr-TR" w:eastAsia="tr-TR"/>
              </w:rPr>
              <w:t>o malla güvence altına alınan ve satışı isteyenin alacağına rüçhanı olan alacakların toplamından hangisi fazla ise</w:t>
            </w:r>
            <w:r w:rsidR="00654C33" w:rsidRPr="00A23740">
              <w:rPr>
                <w:rStyle w:val="YELChar"/>
                <w:b/>
              </w:rPr>
              <w:t>,</w:t>
            </w:r>
            <w:r w:rsidR="00AA5C8C" w:rsidRPr="00A23740">
              <w:rPr>
                <w:rFonts w:eastAsia="Times New Roman"/>
                <w:b w:val="0"/>
                <w:bCs w:val="0"/>
                <w:color w:val="000000"/>
                <w:lang w:val="tr-TR" w:eastAsia="tr-TR"/>
              </w:rPr>
              <w:t xml:space="preserve"> bu miktarı ve ayrıca bu miktara ilave olarak paraya çevirme ve paylaştırma </w:t>
            </w:r>
            <w:r w:rsidR="00AA5C8C" w:rsidRPr="00A23740">
              <w:t>giderlerini de</w:t>
            </w:r>
            <w:r w:rsidR="00AA5C8C" w:rsidRPr="00A23740">
              <w:rPr>
                <w:rFonts w:eastAsia="Times New Roman"/>
                <w:b w:val="0"/>
                <w:bCs w:val="0"/>
                <w:color w:val="000000"/>
                <w:lang w:val="tr-TR" w:eastAsia="tr-TR"/>
              </w:rPr>
              <w:t xml:space="preserve"> geçmesi şarttır.</w:t>
            </w:r>
            <w:r w:rsidR="00AA5C8C" w:rsidRPr="00A23740">
              <w:t xml:space="preserve"> Şu kadar ki, satış isteyen alacaklı paraya çevirme ve paylaştırma </w:t>
            </w:r>
            <w:r w:rsidR="00AA5C8C" w:rsidRPr="00A23740">
              <w:rPr>
                <w:lang w:val="tr-TR"/>
              </w:rPr>
              <w:t>giderlerinin</w:t>
            </w:r>
            <w:r w:rsidR="00AA5C8C" w:rsidRPr="00A23740">
              <w:t xml:space="preserve"> karşılanmasından feragat edebilir.</w:t>
            </w:r>
          </w:p>
          <w:p w:rsidR="00AA5C8C" w:rsidRPr="00A23740" w:rsidRDefault="00AA5C8C" w:rsidP="009431FF">
            <w:pPr>
              <w:pStyle w:val="YEL"/>
              <w:rPr>
                <w:lang w:val="tr-TR"/>
              </w:rPr>
            </w:pPr>
          </w:p>
          <w:p w:rsidR="00AA5C8C" w:rsidRPr="00A23740" w:rsidRDefault="00AA5C8C" w:rsidP="009431FF">
            <w:pPr>
              <w:pStyle w:val="YEL"/>
              <w:rPr>
                <w:lang w:val="tr-TR"/>
              </w:rPr>
            </w:pPr>
          </w:p>
          <w:p w:rsidR="003C2B62" w:rsidRPr="00A23740" w:rsidRDefault="003C2B62" w:rsidP="009431FF">
            <w:pPr>
              <w:pStyle w:val="YEL"/>
              <w:rPr>
                <w:lang w:val="tr-TR"/>
              </w:rPr>
            </w:pPr>
          </w:p>
          <w:p w:rsidR="003C2B62" w:rsidRPr="00A23740" w:rsidRDefault="003C2B62" w:rsidP="009431FF">
            <w:pPr>
              <w:pStyle w:val="YEL"/>
              <w:rPr>
                <w:lang w:val="tr-TR"/>
              </w:rPr>
            </w:pPr>
          </w:p>
          <w:p w:rsidR="00AA5C8C" w:rsidRPr="00A23740" w:rsidRDefault="00AA5C8C" w:rsidP="009431FF">
            <w:pPr>
              <w:pStyle w:val="Mavi"/>
              <w:rPr>
                <w:rFonts w:eastAsia="Times New Roman"/>
                <w:b w:val="0"/>
                <w:bCs w:val="0"/>
                <w:color w:val="auto"/>
                <w:lang w:val="tr-TR" w:eastAsia="tr-TR"/>
              </w:rPr>
            </w:pPr>
            <w:r w:rsidRPr="00A23740">
              <w:t xml:space="preserve">(2) İhalenin konusu </w:t>
            </w:r>
            <w:r w:rsidRPr="00A23740">
              <w:rPr>
                <w:rFonts w:eastAsia="Times New Roman"/>
                <w:b w:val="0"/>
                <w:bCs w:val="0"/>
                <w:color w:val="auto"/>
                <w:lang w:val="tr-TR" w:eastAsia="tr-TR"/>
              </w:rPr>
              <w:t>altın</w:t>
            </w:r>
            <w:r w:rsidRPr="00A23740">
              <w:t xml:space="preserve">, </w:t>
            </w:r>
            <w:r w:rsidRPr="00A23740">
              <w:rPr>
                <w:rFonts w:eastAsia="Times New Roman"/>
                <w:b w:val="0"/>
                <w:bCs w:val="0"/>
                <w:color w:val="auto"/>
                <w:lang w:val="tr-TR" w:eastAsia="tr-TR"/>
              </w:rPr>
              <w:t>gümüş</w:t>
            </w:r>
            <w:r w:rsidRPr="00A23740">
              <w:t xml:space="preserve">, platin gibi değerli </w:t>
            </w:r>
            <w:r w:rsidRPr="00A23740">
              <w:rPr>
                <w:rFonts w:eastAsia="Times New Roman"/>
                <w:b w:val="0"/>
                <w:bCs w:val="0"/>
                <w:color w:val="auto"/>
                <w:lang w:val="tr-TR" w:eastAsia="tr-TR"/>
              </w:rPr>
              <w:t>maden</w:t>
            </w:r>
            <w:r w:rsidR="001B15DA" w:rsidRPr="000D6BE5">
              <w:t>lerden yapılmış eşya</w:t>
            </w:r>
            <w:r w:rsidRPr="000D6BE5">
              <w:t xml:space="preserve"> </w:t>
            </w:r>
            <w:r w:rsidRPr="00A23740">
              <w:t xml:space="preserve">ise ihale, maden </w:t>
            </w:r>
            <w:r w:rsidRPr="00A23740">
              <w:rPr>
                <w:rFonts w:eastAsia="Times New Roman"/>
                <w:b w:val="0"/>
                <w:bCs w:val="0"/>
                <w:color w:val="auto"/>
                <w:lang w:val="tr-TR" w:eastAsia="tr-TR"/>
              </w:rPr>
              <w:t>kıymetinden</w:t>
            </w:r>
            <w:r w:rsidRPr="00A23740">
              <w:t xml:space="preserve"> </w:t>
            </w:r>
            <w:r w:rsidRPr="00A23740">
              <w:rPr>
                <w:rFonts w:eastAsia="Times New Roman"/>
                <w:b w:val="0"/>
                <w:bCs w:val="0"/>
                <w:color w:val="auto"/>
                <w:lang w:val="tr-TR" w:eastAsia="tr-TR"/>
              </w:rPr>
              <w:t>daha</w:t>
            </w:r>
            <w:r w:rsidRPr="00A23740">
              <w:t xml:space="preserve"> az </w:t>
            </w:r>
            <w:r w:rsidRPr="00A23740">
              <w:rPr>
                <w:rFonts w:eastAsia="Times New Roman"/>
                <w:b w:val="0"/>
                <w:bCs w:val="0"/>
                <w:color w:val="auto"/>
                <w:lang w:val="tr-TR" w:eastAsia="tr-TR"/>
              </w:rPr>
              <w:t>bedel</w:t>
            </w:r>
            <w:r w:rsidRPr="00A23740">
              <w:t>le yapılamaz</w:t>
            </w:r>
            <w:r w:rsidRPr="00A23740">
              <w:rPr>
                <w:rFonts w:eastAsia="Times New Roman"/>
                <w:b w:val="0"/>
                <w:bCs w:val="0"/>
                <w:color w:val="auto"/>
                <w:lang w:val="tr-TR" w:eastAsia="tr-TR"/>
              </w:rPr>
              <w:t>.</w:t>
            </w:r>
          </w:p>
          <w:p w:rsidR="001B15DA" w:rsidRPr="00A23740" w:rsidRDefault="001B15DA" w:rsidP="009431FF">
            <w:pPr>
              <w:tabs>
                <w:tab w:val="left" w:pos="567"/>
              </w:tabs>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8856D7" w:rsidRPr="00A23740" w:rsidRDefault="008856D7" w:rsidP="009431FF">
            <w:pPr>
              <w:tabs>
                <w:tab w:val="left" w:pos="566"/>
              </w:tabs>
              <w:ind w:firstLine="709"/>
              <w:rPr>
                <w:rFonts w:eastAsia="Times New Roman"/>
                <w:b/>
                <w:szCs w:val="24"/>
                <w:lang w:eastAsia="tr-TR"/>
              </w:rPr>
            </w:pPr>
          </w:p>
          <w:p w:rsidR="008856D7" w:rsidRPr="00A23740" w:rsidRDefault="008856D7" w:rsidP="009431FF">
            <w:pPr>
              <w:tabs>
                <w:tab w:val="left" w:pos="566"/>
              </w:tabs>
              <w:ind w:firstLine="709"/>
              <w:rPr>
                <w:rFonts w:eastAsia="Times New Roman"/>
                <w:b/>
                <w:szCs w:val="24"/>
                <w:lang w:eastAsia="tr-TR"/>
              </w:rPr>
            </w:pPr>
            <w:r w:rsidRPr="00A23740">
              <w:rPr>
                <w:rFonts w:eastAsia="Times New Roman"/>
                <w:b/>
                <w:szCs w:val="24"/>
                <w:lang w:eastAsia="tr-TR"/>
              </w:rPr>
              <w:t xml:space="preserve">MADDE </w:t>
            </w:r>
            <w:r w:rsidR="00490C3E" w:rsidRPr="00A23740">
              <w:rPr>
                <w:rFonts w:eastAsia="Times New Roman"/>
                <w:b/>
                <w:szCs w:val="24"/>
                <w:lang w:eastAsia="tr-TR"/>
              </w:rPr>
              <w:t>246</w:t>
            </w:r>
            <w:r w:rsidR="00AA5C8C" w:rsidRPr="00A23740">
              <w:rPr>
                <w:rFonts w:eastAsia="Times New Roman"/>
                <w:b/>
                <w:szCs w:val="24"/>
                <w:lang w:eastAsia="tr-TR"/>
              </w:rPr>
              <w:t xml:space="preserve">- </w:t>
            </w:r>
            <w:r w:rsidRPr="00A23740">
              <w:rPr>
                <w:rFonts w:eastAsia="Times New Roman"/>
                <w:szCs w:val="24"/>
                <w:lang w:eastAsia="tr-TR"/>
              </w:rPr>
              <w:t>Maddeyle, asgari ihale bedeli düzenlenmektedir.</w:t>
            </w:r>
          </w:p>
          <w:p w:rsidR="00AA5C8C" w:rsidRPr="00A23740" w:rsidRDefault="00FA285C" w:rsidP="009431FF">
            <w:pPr>
              <w:tabs>
                <w:tab w:val="left" w:pos="566"/>
              </w:tabs>
              <w:ind w:firstLine="709"/>
              <w:rPr>
                <w:rFonts w:eastAsia="Times New Roman"/>
                <w:color w:val="000000"/>
                <w:szCs w:val="24"/>
                <w:lang w:eastAsia="tr-TR"/>
              </w:rPr>
            </w:pPr>
            <w:r w:rsidRPr="00A23740">
              <w:rPr>
                <w:rFonts w:eastAsia="Times New Roman"/>
                <w:color w:val="000000"/>
                <w:szCs w:val="24"/>
                <w:lang w:eastAsia="tr-TR"/>
              </w:rPr>
              <w:t>Birinci fıkrayla asgari ihale bedeli belirlenmektedir. Hükme göre ihalenin gerçekleşebilmesi için verilen en yüksek teklifin, haczedilen malın tahmin edilen kıymetinin yüzde ellisi ile o malla güvence altına alınan ve satışı isteyenin alacağına rüçhanı olan alacakların toplamından hangisi fazla ise bu miktarı ve ayrıca bu miktara ek olarak paraya çevirme ve paylaştırma giderlerini de geçmesi gerek</w:t>
            </w:r>
            <w:r w:rsidR="009455B9" w:rsidRPr="00A23740">
              <w:rPr>
                <w:rFonts w:eastAsia="Times New Roman"/>
                <w:color w:val="000000"/>
                <w:szCs w:val="24"/>
                <w:lang w:eastAsia="tr-TR"/>
              </w:rPr>
              <w:t xml:space="preserve">mektedir. </w:t>
            </w:r>
            <w:r w:rsidRPr="00A23740">
              <w:rPr>
                <w:rFonts w:eastAsia="Times New Roman"/>
                <w:color w:val="000000"/>
                <w:szCs w:val="24"/>
                <w:lang w:eastAsia="tr-TR"/>
              </w:rPr>
              <w:t xml:space="preserve">Fıkranın </w:t>
            </w:r>
            <w:r w:rsidR="00AA5C8C" w:rsidRPr="00A23740">
              <w:rPr>
                <w:rFonts w:eastAsia="Times New Roman"/>
                <w:color w:val="000000"/>
                <w:szCs w:val="24"/>
                <w:lang w:eastAsia="tr-TR"/>
              </w:rPr>
              <w:t>birinci cümlesi, 2004 sayılı Kanunun 115</w:t>
            </w:r>
            <w:r w:rsidRPr="00A23740">
              <w:rPr>
                <w:rFonts w:eastAsia="Times New Roman"/>
                <w:color w:val="000000"/>
                <w:szCs w:val="24"/>
                <w:lang w:eastAsia="tr-TR"/>
              </w:rPr>
              <w:t xml:space="preserve"> inci</w:t>
            </w:r>
            <w:r w:rsidR="00AA5C8C" w:rsidRPr="00A23740">
              <w:rPr>
                <w:rFonts w:eastAsia="Times New Roman"/>
                <w:color w:val="000000"/>
                <w:szCs w:val="24"/>
                <w:lang w:eastAsia="tr-TR"/>
              </w:rPr>
              <w:t xml:space="preserve"> maddesinin birinci fıkrasına karşılık gelmektedir.</w:t>
            </w:r>
            <w:r w:rsidRPr="00A23740">
              <w:rPr>
                <w:rFonts w:eastAsia="Times New Roman"/>
                <w:color w:val="000000"/>
                <w:szCs w:val="24"/>
                <w:lang w:eastAsia="tr-TR"/>
              </w:rPr>
              <w:t xml:space="preserve"> </w:t>
            </w:r>
            <w:r w:rsidR="00AA5C8C" w:rsidRPr="00A23740">
              <w:rPr>
                <w:rFonts w:eastAsia="Times New Roman"/>
                <w:color w:val="000000"/>
                <w:szCs w:val="24"/>
                <w:lang w:eastAsia="tr-TR"/>
              </w:rPr>
              <w:t>İşbu kuralın 2004 sayılı Kanun</w:t>
            </w:r>
            <w:r w:rsidRPr="00A23740">
              <w:rPr>
                <w:rFonts w:eastAsia="Times New Roman"/>
                <w:color w:val="000000"/>
                <w:szCs w:val="24"/>
                <w:lang w:eastAsia="tr-TR"/>
              </w:rPr>
              <w:t xml:space="preserve">dan </w:t>
            </w:r>
            <w:r w:rsidR="00AA5C8C" w:rsidRPr="00A23740">
              <w:rPr>
                <w:rFonts w:eastAsia="Times New Roman"/>
                <w:color w:val="000000"/>
                <w:szCs w:val="24"/>
                <w:lang w:eastAsia="tr-TR"/>
              </w:rPr>
              <w:t>herhangi bir farkı bulunmamaktadır. Ancak 2004 sayılı Kanunda bulunmayan ve fıkraya eklenm</w:t>
            </w:r>
            <w:r w:rsidRPr="00A23740">
              <w:rPr>
                <w:rFonts w:eastAsia="Times New Roman"/>
                <w:color w:val="000000"/>
                <w:szCs w:val="24"/>
                <w:lang w:eastAsia="tr-TR"/>
              </w:rPr>
              <w:t>ekte o</w:t>
            </w:r>
            <w:r w:rsidR="00AA5C8C" w:rsidRPr="00A23740">
              <w:rPr>
                <w:rFonts w:eastAsia="Times New Roman"/>
                <w:color w:val="000000"/>
                <w:szCs w:val="24"/>
                <w:lang w:eastAsia="tr-TR"/>
              </w:rPr>
              <w:t xml:space="preserve">lan son cümleyle satış isteyen alacaklının paraya çevirme ve paylaştırma giderlerinin karşılanmasından feragat </w:t>
            </w:r>
            <w:r w:rsidR="005A0B8D" w:rsidRPr="00A23740">
              <w:rPr>
                <w:rFonts w:eastAsia="Times New Roman"/>
                <w:color w:val="000000"/>
                <w:szCs w:val="24"/>
                <w:lang w:eastAsia="tr-TR"/>
              </w:rPr>
              <w:t xml:space="preserve"> edebilmesine açıkça yer verilmektedir</w:t>
            </w:r>
            <w:r w:rsidR="009455B9" w:rsidRPr="00A23740">
              <w:rPr>
                <w:rFonts w:eastAsia="Times New Roman"/>
                <w:color w:val="000000"/>
                <w:szCs w:val="24"/>
                <w:lang w:eastAsia="tr-TR"/>
              </w:rPr>
              <w:t xml:space="preserve">. </w:t>
            </w:r>
            <w:r w:rsidR="00AA5C8C" w:rsidRPr="00A23740">
              <w:rPr>
                <w:rFonts w:eastAsia="Times New Roman"/>
                <w:color w:val="000000"/>
                <w:szCs w:val="24"/>
                <w:lang w:eastAsia="tr-TR"/>
              </w:rPr>
              <w:t>Böylece birinci cümledeki paraya çevirme ve paylaştırma giderlerine ilişkin ana kurala bir istisna getirilm</w:t>
            </w:r>
            <w:r w:rsidRPr="00A23740">
              <w:rPr>
                <w:rFonts w:eastAsia="Times New Roman"/>
                <w:color w:val="000000"/>
                <w:szCs w:val="24"/>
                <w:lang w:eastAsia="tr-TR"/>
              </w:rPr>
              <w:t>ektedir</w:t>
            </w:r>
            <w:r w:rsidR="00AA5C8C" w:rsidRPr="00A23740">
              <w:rPr>
                <w:rFonts w:eastAsia="Times New Roman"/>
                <w:color w:val="000000"/>
                <w:szCs w:val="24"/>
                <w:lang w:eastAsia="tr-TR"/>
              </w:rPr>
              <w:t>. Bilindiği gibi asgari ihale bedelinin hesaplanmasında yapılan hatalar sebebiyle ihalenin fesih kararları verilmektedir. Uygulamada bu sonucun ortaya çıkmasının önlenmesi için satış isteyen alacaklılar, söz konusu masraf alacaklarından feragat etme yoluna başvurmaktadır. Uygulamada geliştirilen bu çözüm şeklinin tarafların menfaati bakımından uygun olduğu mütalaa edilerek, bir kanun hükmüyle de desteklenmesi yararlı görüldüğünden, fıkraya böyle bir ekleme yapılm</w:t>
            </w:r>
            <w:r w:rsidRPr="00A23740">
              <w:rPr>
                <w:rFonts w:eastAsia="Times New Roman"/>
                <w:color w:val="000000"/>
                <w:szCs w:val="24"/>
                <w:lang w:eastAsia="tr-TR"/>
              </w:rPr>
              <w:t>aktadır</w:t>
            </w:r>
            <w:r w:rsidR="00AA5C8C" w:rsidRPr="00A23740">
              <w:rPr>
                <w:rFonts w:eastAsia="Times New Roman"/>
                <w:color w:val="000000"/>
                <w:szCs w:val="24"/>
                <w:lang w:eastAsia="tr-TR"/>
              </w:rPr>
              <w:t xml:space="preserve">. Öte yandan, Bilim Komisyonu görüşmelerinde, aynı bağlamda ihalenin feshine engel olabilmek için rüçhanlı alacaklıların rüçhan haklarından veya rüçhanlı alacaklarının bir kısmından feragat etmelerine imkân tanınması hususunun da </w:t>
            </w:r>
            <w:r w:rsidR="009455B9" w:rsidRPr="00A23740">
              <w:rPr>
                <w:rFonts w:eastAsia="Times New Roman"/>
                <w:color w:val="000000"/>
                <w:szCs w:val="24"/>
                <w:lang w:eastAsia="tr-TR"/>
              </w:rPr>
              <w:t>metne</w:t>
            </w:r>
            <w:r w:rsidR="00AA5C8C" w:rsidRPr="00A23740">
              <w:rPr>
                <w:rFonts w:eastAsia="Times New Roman"/>
                <w:color w:val="000000"/>
                <w:szCs w:val="24"/>
                <w:lang w:eastAsia="tr-TR"/>
              </w:rPr>
              <w:t xml:space="preserve"> eklenmesi önerilerek tartışılmış ise de</w:t>
            </w:r>
            <w:r w:rsidR="005A0B8D" w:rsidRPr="00A23740">
              <w:rPr>
                <w:rFonts w:eastAsia="Times New Roman"/>
                <w:color w:val="000000"/>
                <w:szCs w:val="24"/>
                <w:lang w:eastAsia="tr-TR"/>
              </w:rPr>
              <w:t>,</w:t>
            </w:r>
            <w:r w:rsidR="00AA5C8C" w:rsidRPr="00A23740">
              <w:rPr>
                <w:rFonts w:eastAsia="Times New Roman"/>
                <w:color w:val="000000"/>
                <w:szCs w:val="24"/>
                <w:lang w:eastAsia="tr-TR"/>
              </w:rPr>
              <w:t xml:space="preserve"> rüçhanlı alacakların sadece alacaklıyı değil</w:t>
            </w:r>
            <w:r w:rsidR="005A0B8D" w:rsidRPr="00A23740">
              <w:rPr>
                <w:rFonts w:eastAsia="Times New Roman"/>
                <w:color w:val="000000"/>
                <w:szCs w:val="24"/>
                <w:lang w:eastAsia="tr-TR"/>
              </w:rPr>
              <w:t>,</w:t>
            </w:r>
            <w:r w:rsidR="00AA5C8C" w:rsidRPr="00A23740">
              <w:rPr>
                <w:rFonts w:eastAsia="Times New Roman"/>
                <w:color w:val="000000"/>
                <w:szCs w:val="24"/>
                <w:lang w:eastAsia="tr-TR"/>
              </w:rPr>
              <w:t xml:space="preserve"> o </w:t>
            </w:r>
            <w:r w:rsidR="00B65310" w:rsidRPr="00D60C1D">
              <w:rPr>
                <w:rStyle w:val="Balk1Char"/>
                <w:rFonts w:eastAsia="Calibri"/>
                <w:b w:val="0"/>
                <w:color w:val="000000"/>
              </w:rPr>
              <w:t>oranda</w:t>
            </w:r>
            <w:r w:rsidR="00B65310" w:rsidRPr="00A23740">
              <w:rPr>
                <w:rFonts w:eastAsia="Times New Roman"/>
                <w:color w:val="385623"/>
                <w:szCs w:val="24"/>
                <w:lang w:eastAsia="tr-TR"/>
              </w:rPr>
              <w:t xml:space="preserve"> </w:t>
            </w:r>
            <w:r w:rsidR="00AA5C8C" w:rsidRPr="00A23740">
              <w:rPr>
                <w:rFonts w:eastAsia="Times New Roman"/>
                <w:color w:val="000000"/>
                <w:szCs w:val="24"/>
                <w:lang w:eastAsia="tr-TR"/>
              </w:rPr>
              <w:t xml:space="preserve">borcundan kurtulacak olan borçluyu da ilgilendirdiği dikkate alınarak belirtilen şekilde bir düzenlemenin yapılması kabul edilmemiştir. </w:t>
            </w:r>
            <w:r w:rsidR="004D1B90" w:rsidRPr="00D60C1D">
              <w:rPr>
                <w:rStyle w:val="YELChar"/>
                <w:b w:val="0"/>
                <w:color w:val="000000"/>
              </w:rPr>
              <w:t>Nitekim</w:t>
            </w:r>
            <w:r w:rsidR="00AA5C8C" w:rsidRPr="00A23740">
              <w:rPr>
                <w:rFonts w:eastAsia="Times New Roman"/>
                <w:color w:val="000000"/>
                <w:szCs w:val="24"/>
                <w:lang w:eastAsia="tr-TR"/>
              </w:rPr>
              <w:t xml:space="preserve">, konuyla ilgili İsviçre Federal Mahkemesinin </w:t>
            </w:r>
            <w:r w:rsidR="00134588" w:rsidRPr="00A23740">
              <w:rPr>
                <w:rFonts w:eastAsia="Times New Roman"/>
                <w:color w:val="000000"/>
                <w:szCs w:val="24"/>
                <w:lang w:eastAsia="tr-TR"/>
              </w:rPr>
              <w:t>(</w:t>
            </w:r>
            <w:r w:rsidR="00AA5C8C" w:rsidRPr="00A23740">
              <w:rPr>
                <w:rFonts w:eastAsia="Times New Roman"/>
                <w:color w:val="000000"/>
                <w:szCs w:val="24"/>
                <w:lang w:eastAsia="tr-TR"/>
              </w:rPr>
              <w:t>BGE III 79, E.3</w:t>
            </w:r>
            <w:r w:rsidR="00134588" w:rsidRPr="00A23740">
              <w:rPr>
                <w:rFonts w:eastAsia="Times New Roman"/>
                <w:color w:val="000000"/>
                <w:szCs w:val="24"/>
                <w:lang w:eastAsia="tr-TR"/>
              </w:rPr>
              <w:t xml:space="preserve">) </w:t>
            </w:r>
            <w:r w:rsidR="00AA5C8C" w:rsidRPr="00A23740">
              <w:rPr>
                <w:rFonts w:eastAsia="Times New Roman"/>
                <w:color w:val="000000"/>
                <w:szCs w:val="24"/>
                <w:lang w:eastAsia="tr-TR"/>
              </w:rPr>
              <w:t>içtihadı da aynı yöndedir.</w:t>
            </w:r>
          </w:p>
          <w:p w:rsidR="008856D7" w:rsidRPr="00A23740" w:rsidRDefault="00134588"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İkinci fıkra</w:t>
            </w:r>
            <w:r w:rsidR="00B15FDF" w:rsidRPr="00A23740">
              <w:rPr>
                <w:rFonts w:eastAsia="Times New Roman"/>
                <w:color w:val="000000"/>
                <w:szCs w:val="24"/>
                <w:lang w:eastAsia="tr-TR"/>
              </w:rPr>
              <w:t xml:space="preserve">da, </w:t>
            </w:r>
            <w:r w:rsidR="00AA5C8C" w:rsidRPr="00A23740">
              <w:rPr>
                <w:rFonts w:eastAsia="Times New Roman"/>
                <w:color w:val="000000"/>
                <w:szCs w:val="24"/>
                <w:lang w:eastAsia="tr-TR"/>
              </w:rPr>
              <w:t xml:space="preserve">ihale konusunun altın, gümüş, platin gibi değerli </w:t>
            </w:r>
            <w:r w:rsidR="008A5A99" w:rsidRPr="00D60C1D">
              <w:rPr>
                <w:rStyle w:val="YELChar"/>
                <w:b w:val="0"/>
                <w:color w:val="000000"/>
              </w:rPr>
              <w:t>madenden yapılmış bir eşya</w:t>
            </w:r>
            <w:r w:rsidR="00AA5C8C" w:rsidRPr="00A23740">
              <w:rPr>
                <w:rFonts w:eastAsia="Times New Roman"/>
                <w:color w:val="000000"/>
                <w:szCs w:val="24"/>
                <w:lang w:eastAsia="tr-TR"/>
              </w:rPr>
              <w:t xml:space="preserve"> olması durumunda ihalenin,</w:t>
            </w:r>
            <w:r w:rsidR="008A5A99" w:rsidRPr="00A23740">
              <w:rPr>
                <w:rFonts w:eastAsia="Times New Roman"/>
                <w:color w:val="000000"/>
                <w:szCs w:val="24"/>
                <w:lang w:eastAsia="tr-TR"/>
              </w:rPr>
              <w:t xml:space="preserve"> </w:t>
            </w:r>
            <w:r w:rsidR="008A5A99" w:rsidRPr="00D60C1D">
              <w:rPr>
                <w:rStyle w:val="YELChar"/>
                <w:b w:val="0"/>
                <w:color w:val="000000"/>
              </w:rPr>
              <w:t>malın</w:t>
            </w:r>
            <w:r w:rsidR="00AA5C8C" w:rsidRPr="00A23740">
              <w:rPr>
                <w:rFonts w:eastAsia="Times New Roman"/>
                <w:color w:val="000000"/>
                <w:szCs w:val="24"/>
                <w:lang w:eastAsia="tr-TR"/>
              </w:rPr>
              <w:t xml:space="preserve"> maden kıymetinden daha az bir bedelle yapılamayacağı kabul edilm</w:t>
            </w:r>
            <w:r w:rsidR="00B15FDF" w:rsidRPr="00A23740">
              <w:rPr>
                <w:rFonts w:eastAsia="Times New Roman"/>
                <w:color w:val="000000"/>
                <w:szCs w:val="24"/>
                <w:lang w:eastAsia="tr-TR"/>
              </w:rPr>
              <w:t>ektedir</w:t>
            </w:r>
            <w:r w:rsidR="00AA5C8C" w:rsidRPr="00A23740">
              <w:rPr>
                <w:rFonts w:eastAsia="Times New Roman"/>
                <w:color w:val="000000"/>
                <w:szCs w:val="24"/>
                <w:lang w:eastAsia="tr-TR"/>
              </w:rPr>
              <w:t xml:space="preserve">. </w:t>
            </w:r>
            <w:r w:rsidR="00B15FDF" w:rsidRPr="00A23740">
              <w:rPr>
                <w:rFonts w:eastAsia="Times New Roman"/>
                <w:color w:val="000000"/>
                <w:szCs w:val="24"/>
                <w:lang w:eastAsia="tr-TR"/>
              </w:rPr>
              <w:t xml:space="preserve">Hüküm, 2004 sayılı Kanunun 117 nci maddesine karşılık gelmektedir. </w:t>
            </w:r>
            <w:r w:rsidR="00AA5C8C" w:rsidRPr="00A23740">
              <w:rPr>
                <w:rFonts w:eastAsia="Times New Roman"/>
                <w:color w:val="000000"/>
                <w:szCs w:val="24"/>
                <w:lang w:eastAsia="tr-TR"/>
              </w:rPr>
              <w:t>2004 sayılı Kanundan farklı olarak madde, altın ve gümüş ile sınırlandırılma</w:t>
            </w:r>
            <w:r w:rsidR="00B15FDF" w:rsidRPr="00A23740">
              <w:rPr>
                <w:rFonts w:eastAsia="Times New Roman"/>
                <w:color w:val="000000"/>
                <w:szCs w:val="24"/>
                <w:lang w:eastAsia="tr-TR"/>
              </w:rPr>
              <w:t>makta</w:t>
            </w:r>
            <w:r w:rsidR="00AA5C8C" w:rsidRPr="00A23740">
              <w:rPr>
                <w:rFonts w:eastAsia="Times New Roman"/>
                <w:color w:val="000000"/>
                <w:szCs w:val="24"/>
                <w:lang w:eastAsia="tr-TR"/>
              </w:rPr>
              <w:t>, tersine “platin gibi” eklemesi yapılmak suretiyle diğer değerli madenlerin de paraya çevrilmesi bakımından ortak bir kural h</w:t>
            </w:r>
            <w:r w:rsidR="00C224B4" w:rsidRPr="00A23740">
              <w:rPr>
                <w:rFonts w:eastAsia="Times New Roman"/>
                <w:color w:val="000000"/>
                <w:szCs w:val="24"/>
                <w:lang w:eastAsia="tr-TR"/>
              </w:rPr>
              <w:t>â</w:t>
            </w:r>
            <w:r w:rsidR="00AA5C8C" w:rsidRPr="00A23740">
              <w:rPr>
                <w:rFonts w:eastAsia="Times New Roman"/>
                <w:color w:val="000000"/>
                <w:szCs w:val="24"/>
                <w:lang w:eastAsia="tr-TR"/>
              </w:rPr>
              <w:t>line getirilm</w:t>
            </w:r>
            <w:r w:rsidR="00B15FDF" w:rsidRPr="00A23740">
              <w:rPr>
                <w:rFonts w:eastAsia="Times New Roman"/>
                <w:color w:val="000000"/>
                <w:szCs w:val="24"/>
                <w:lang w:eastAsia="tr-TR"/>
              </w:rPr>
              <w:t>ekted</w:t>
            </w:r>
            <w:r w:rsidR="00AA5C8C" w:rsidRPr="00A23740">
              <w:rPr>
                <w:rFonts w:eastAsia="Times New Roman"/>
                <w:color w:val="000000"/>
                <w:szCs w:val="24"/>
                <w:lang w:eastAsia="tr-TR"/>
              </w:rPr>
              <w:t>ir. Böylece örneğin haczedilmiş pırlanta, elmas veya benzeri bir takı paraya çevrilirken bunların maden değeri altında satılması mümkün olmadığından</w:t>
            </w:r>
            <w:r w:rsidR="004D1B90" w:rsidRPr="00AF540B">
              <w:rPr>
                <w:rStyle w:val="YELChar"/>
                <w:b w:val="0"/>
                <w:color w:val="auto"/>
              </w:rPr>
              <w:t>,</w:t>
            </w:r>
            <w:r w:rsidR="00AA5C8C" w:rsidRPr="00A23740">
              <w:rPr>
                <w:rFonts w:eastAsia="Times New Roman"/>
                <w:color w:val="000000"/>
                <w:szCs w:val="24"/>
                <w:lang w:eastAsia="tr-TR"/>
              </w:rPr>
              <w:t xml:space="preserve"> asgari ihale bedelini belirleyen birinci fıkra hükmü burada geçerli olmaz</w:t>
            </w:r>
            <w:r w:rsidR="008856D7" w:rsidRPr="00A23740">
              <w:rPr>
                <w:rFonts w:eastAsia="Times New Roman"/>
                <w:color w:val="000000"/>
                <w:szCs w:val="24"/>
                <w:lang w:eastAsia="tr-TR"/>
              </w:rPr>
              <w:t>.</w:t>
            </w:r>
          </w:p>
          <w:p w:rsidR="00AA5C8C" w:rsidRPr="00A23740" w:rsidRDefault="00AA5C8C" w:rsidP="003F10EF">
            <w:pPr>
              <w:tabs>
                <w:tab w:val="left" w:pos="567"/>
              </w:tabs>
              <w:ind w:firstLine="709"/>
              <w:rPr>
                <w:rFonts w:eastAsia="Times New Roman"/>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rPr>
                <w:rStyle w:val="KIRMIZIChar"/>
                <w:rFonts w:eastAsia="Calibri"/>
                <w:lang w:eastAsia="tr-TR"/>
              </w:rPr>
            </w:pPr>
            <w:r w:rsidRPr="00A23740">
              <w:rPr>
                <w:rFonts w:eastAsia="Times New Roman"/>
                <w:i/>
                <w:iCs/>
                <w:color w:val="000000"/>
                <w:szCs w:val="24"/>
                <w:lang w:eastAsia="tr-TR"/>
              </w:rPr>
              <w:t>İhale</w:t>
            </w:r>
            <w:r w:rsidRPr="00A23740">
              <w:rPr>
                <w:rStyle w:val="KIRMIZIChar"/>
                <w:rFonts w:eastAsia="Calibri"/>
              </w:rPr>
              <w:t>nin yapılması:</w:t>
            </w:r>
          </w:p>
          <w:p w:rsidR="00AA5C8C" w:rsidRPr="00A23740" w:rsidRDefault="00AA5C8C" w:rsidP="009431FF">
            <w:pPr>
              <w:pStyle w:val="KIRMIZI"/>
            </w:pPr>
            <w:r w:rsidRPr="00A23740">
              <w:t>Madde 115 – (Değişik:24/11/2021-7343/17 md.)</w:t>
            </w:r>
          </w:p>
          <w:p w:rsidR="00AA5C8C" w:rsidRPr="00A23740" w:rsidRDefault="00AA5C8C" w:rsidP="009431FF">
            <w:pPr>
              <w:rPr>
                <w:rFonts w:eastAsia="Times New Roman"/>
                <w:color w:val="000000"/>
                <w:szCs w:val="24"/>
                <w:lang w:val="en-GB" w:eastAsia="tr-TR"/>
              </w:rPr>
            </w:pPr>
            <w:r w:rsidRPr="00A23740">
              <w:rPr>
                <w:rStyle w:val="KIRMIZIChar"/>
                <w:rFonts w:eastAsia="Calibri"/>
              </w:rPr>
              <w:t>(2)</w:t>
            </w:r>
            <w:r w:rsidRPr="00A23740">
              <w:rPr>
                <w:rFonts w:eastAsia="Times New Roman"/>
                <w:color w:val="000000"/>
                <w:szCs w:val="24"/>
                <w:lang w:val="en-GB" w:eastAsia="tr-TR"/>
              </w:rPr>
              <w:t xml:space="preserve"> Artırmanın sona erdiği gün ve saatte </w:t>
            </w:r>
            <w:r w:rsidRPr="00A23740">
              <w:rPr>
                <w:rStyle w:val="KIRMIZIChar"/>
                <w:rFonts w:eastAsia="Calibri"/>
                <w:lang w:val="en-GB" w:eastAsia="tr-TR"/>
              </w:rPr>
              <w:t>şartların bulunması hâlinde,</w:t>
            </w:r>
            <w:r w:rsidRPr="00A23740">
              <w:rPr>
                <w:rFonts w:eastAsia="Times New Roman"/>
                <w:color w:val="000000"/>
                <w:szCs w:val="24"/>
                <w:lang w:val="en-GB" w:eastAsia="tr-TR"/>
              </w:rPr>
              <w:t xml:space="preserve"> mal en yüksek teklif verene ihale edilmiş olur ve </w:t>
            </w:r>
            <w:r w:rsidRPr="00A23740">
              <w:rPr>
                <w:rStyle w:val="KIRMIZIChar"/>
                <w:rFonts w:eastAsia="Calibri"/>
                <w:lang w:val="en-GB" w:eastAsia="tr-TR"/>
              </w:rPr>
              <w:t>malın</w:t>
            </w:r>
            <w:r w:rsidRPr="00A23740">
              <w:rPr>
                <w:rFonts w:eastAsia="Times New Roman"/>
                <w:color w:val="000000"/>
                <w:szCs w:val="24"/>
                <w:lang w:val="en-GB" w:eastAsia="tr-TR"/>
              </w:rPr>
              <w:t xml:space="preserve"> mülkiyet</w:t>
            </w:r>
            <w:r w:rsidRPr="00A23740">
              <w:rPr>
                <w:rStyle w:val="KIRMIZIChar"/>
                <w:rFonts w:eastAsia="Calibri"/>
                <w:lang w:val="en-GB" w:eastAsia="tr-TR"/>
              </w:rPr>
              <w:t>i</w:t>
            </w:r>
            <w:r w:rsidRPr="00A23740">
              <w:rPr>
                <w:rFonts w:eastAsia="Times New Roman"/>
                <w:color w:val="000000"/>
                <w:szCs w:val="24"/>
                <w:lang w:val="en-GB" w:eastAsia="tr-TR"/>
              </w:rPr>
              <w:t xml:space="preserve"> ihale alıcısına geçer.</w:t>
            </w:r>
          </w:p>
          <w:p w:rsidR="00C105DB" w:rsidRPr="00A23740" w:rsidRDefault="00C105DB" w:rsidP="009431FF">
            <w:pPr>
              <w:rPr>
                <w:rFonts w:eastAsia="Times New Roman"/>
                <w:color w:val="000000"/>
                <w:szCs w:val="24"/>
                <w:lang w:val="en-GB" w:eastAsia="tr-TR"/>
              </w:rPr>
            </w:pPr>
          </w:p>
          <w:p w:rsidR="00AA5C8C" w:rsidRPr="00A23740" w:rsidRDefault="00AA5C8C" w:rsidP="009431FF">
            <w:pPr>
              <w:pStyle w:val="KIRMIZI"/>
            </w:pPr>
            <w:r w:rsidRPr="00A23740">
              <w:t>İhale bedelinin ödenmesi ve malın teslimi:</w:t>
            </w:r>
          </w:p>
          <w:p w:rsidR="00AA5C8C" w:rsidRPr="00A23740" w:rsidRDefault="00AA5C8C" w:rsidP="009431FF">
            <w:pPr>
              <w:pStyle w:val="KIRMIZI"/>
              <w:rPr>
                <w:i/>
                <w:iCs/>
              </w:rPr>
            </w:pPr>
            <w:r w:rsidRPr="00A23740">
              <w:t>Madde 118 – (Başlığı ile Birlikte Değişik:24/11/2021-7343/18 md.)</w:t>
            </w: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val="en-GB" w:eastAsia="tr-TR"/>
              </w:rPr>
              <w:t xml:space="preserve"> </w:t>
            </w:r>
            <w:r w:rsidRPr="00A23740">
              <w:rPr>
                <w:rFonts w:eastAsia="Times New Roman"/>
                <w:bCs/>
                <w:color w:val="000000"/>
              </w:rPr>
              <w:t>Satılan</w:t>
            </w:r>
            <w:r w:rsidRPr="00A23740">
              <w:rPr>
                <w:rFonts w:eastAsia="Times New Roman"/>
                <w:color w:val="000000"/>
                <w:szCs w:val="24"/>
                <w:lang w:val="en-GB" w:eastAsia="tr-TR"/>
              </w:rPr>
              <w:t xml:space="preserve"> mal</w:t>
            </w:r>
            <w:r w:rsidRPr="00A23740">
              <w:rPr>
                <w:rFonts w:eastAsia="Times New Roman"/>
                <w:bCs/>
                <w:color w:val="000000"/>
              </w:rPr>
              <w:t>,</w:t>
            </w:r>
            <w:r w:rsidRPr="00A23740">
              <w:rPr>
                <w:rFonts w:eastAsia="Times New Roman"/>
                <w:color w:val="000000"/>
                <w:szCs w:val="24"/>
                <w:lang w:val="en-GB" w:eastAsia="tr-TR"/>
              </w:rPr>
              <w:t xml:space="preserve"> ihale kesinleşmed</w:t>
            </w:r>
            <w:r w:rsidRPr="00A23740">
              <w:rPr>
                <w:rFonts w:eastAsia="Times New Roman"/>
                <w:bCs/>
                <w:color w:val="000000"/>
              </w:rPr>
              <w:t>en</w:t>
            </w:r>
            <w:r w:rsidRPr="00A23740">
              <w:rPr>
                <w:rFonts w:eastAsia="Times New Roman"/>
                <w:color w:val="000000"/>
                <w:szCs w:val="24"/>
                <w:lang w:val="en-GB" w:eastAsia="tr-TR"/>
              </w:rPr>
              <w:t xml:space="preserve"> teslim </w:t>
            </w:r>
            <w:r w:rsidRPr="00A23740">
              <w:rPr>
                <w:rFonts w:eastAsia="Times New Roman"/>
                <w:bCs/>
                <w:color w:val="000000"/>
              </w:rPr>
              <w:t xml:space="preserve">olunmaz ve </w:t>
            </w:r>
            <w:r w:rsidRPr="00A23740">
              <w:rPr>
                <w:rStyle w:val="KIRMIZIChar"/>
                <w:rFonts w:eastAsia="Calibri"/>
              </w:rPr>
              <w:t>resmî sicilde</w:t>
            </w:r>
            <w:r w:rsidRPr="00A23740">
              <w:rPr>
                <w:rFonts w:eastAsia="Times New Roman"/>
                <w:color w:val="000000"/>
                <w:szCs w:val="24"/>
                <w:lang w:val="en-GB" w:eastAsia="tr-TR"/>
              </w:rPr>
              <w:t xml:space="preserve"> alıcı adına tescil </w:t>
            </w:r>
            <w:r w:rsidRPr="00A23740">
              <w:rPr>
                <w:rFonts w:eastAsia="Times New Roman"/>
                <w:bCs/>
                <w:color w:val="000000"/>
              </w:rPr>
              <w:t>edilmez</w:t>
            </w:r>
            <w:r w:rsidRPr="00A23740">
              <w:rPr>
                <w:rFonts w:eastAsia="Times New Roman"/>
                <w:color w:val="000000"/>
                <w:szCs w:val="24"/>
                <w:lang w:val="en-GB" w:eastAsia="tr-TR"/>
              </w:rPr>
              <w:t>.</w:t>
            </w:r>
          </w:p>
          <w:p w:rsidR="00AA5C8C" w:rsidRPr="00A23740" w:rsidRDefault="00AA5C8C" w:rsidP="009431FF">
            <w:pPr>
              <w:pStyle w:val="KIRMIZI"/>
              <w:rPr>
                <w:rStyle w:val="KIRMIZIChar"/>
                <w:rFonts w:eastAsia="Calibri"/>
                <w:b/>
                <w:bCs/>
                <w:strike/>
              </w:rPr>
            </w:pPr>
          </w:p>
          <w:p w:rsidR="0018123F" w:rsidRPr="00A23740" w:rsidRDefault="0018123F" w:rsidP="009431FF">
            <w:pPr>
              <w:pStyle w:val="KIRMIZI"/>
              <w:rPr>
                <w:rStyle w:val="KIRMIZIChar"/>
                <w:rFonts w:eastAsia="Calibri"/>
                <w:b/>
                <w:bCs/>
                <w:strike/>
                <w:lang w:val="tr-TR"/>
              </w:rPr>
            </w:pPr>
            <w:r w:rsidRPr="00A23740">
              <w:rPr>
                <w:rStyle w:val="KIRMIZIChar"/>
                <w:rFonts w:eastAsia="Calibri"/>
                <w:b/>
                <w:bCs/>
                <w:strike/>
                <w:lang w:val="tr-TR"/>
              </w:rPr>
              <w:t>Madde 115</w:t>
            </w:r>
          </w:p>
          <w:p w:rsidR="00AA5C8C" w:rsidRPr="00A23740" w:rsidRDefault="00AA5C8C" w:rsidP="009431FF">
            <w:pPr>
              <w:pStyle w:val="KIRMIZI"/>
            </w:pPr>
            <w:r w:rsidRPr="00A23740">
              <w:rPr>
                <w:rStyle w:val="KIRMIZIChar"/>
                <w:rFonts w:eastAsia="Calibri"/>
                <w:b/>
                <w:bCs/>
                <w:strike/>
              </w:rPr>
              <w:t>(1) Birinci ve ikinci ihale, icra müdürü tarafından, ilanda belirlenen gün ve saatte,</w:t>
            </w:r>
            <w:r w:rsidRPr="00A23740">
              <w:t xml:space="preserve"> haczedilen malın </w:t>
            </w:r>
            <w:r w:rsidRPr="00A23740">
              <w:rPr>
                <w:rStyle w:val="KIRMIZIChar"/>
                <w:rFonts w:eastAsia="Calibri"/>
                <w:b/>
                <w:bCs/>
                <w:strike/>
              </w:rPr>
              <w:t>muhammen</w:t>
            </w:r>
            <w:r w:rsidRPr="00A23740">
              <w:rPr>
                <w:rStyle w:val="KIRMIZIChar"/>
                <w:b/>
                <w:bCs/>
                <w:strike/>
              </w:rPr>
              <w:t xml:space="preserve"> </w:t>
            </w:r>
            <w:r w:rsidRPr="00A23740">
              <w:rPr>
                <w:rStyle w:val="KIRMIZIChar"/>
                <w:rFonts w:eastAsia="Calibri"/>
                <w:b/>
                <w:bCs/>
                <w:strike/>
              </w:rPr>
              <w:t>kıymetinin yüzde ellisi</w:t>
            </w:r>
            <w:r w:rsidRPr="00A23740">
              <w:t xml:space="preserve"> </w:t>
            </w:r>
            <w:r w:rsidRPr="00A23740">
              <w:rPr>
                <w:rStyle w:val="KIRMIZIChar"/>
                <w:rFonts w:eastAsia="Calibri"/>
                <w:b/>
                <w:bCs/>
                <w:strike/>
              </w:rPr>
              <w:t>üzerinden başlatılır.</w:t>
            </w:r>
            <w:r w:rsidRPr="00A23740">
              <w:t xml:space="preserve"> </w:t>
            </w:r>
            <w:r w:rsidRPr="00A23740">
              <w:rPr>
                <w:rStyle w:val="KIRMIZIChar"/>
                <w:rFonts w:eastAsia="Calibri"/>
                <w:b/>
                <w:bCs/>
                <w:strike/>
              </w:rPr>
              <w:t>Şartların yerine gelmesi hâlinde mal, en yüksek teklif verene ihale edilir.</w:t>
            </w:r>
            <w:r w:rsidRPr="00A23740">
              <w:t xml:space="preserve"> </w:t>
            </w:r>
            <w:r w:rsidRPr="00A23740">
              <w:rPr>
                <w:rStyle w:val="KIRMIZIChar"/>
                <w:rFonts w:eastAsia="Calibri"/>
                <w:b/>
                <w:bCs/>
                <w:strike/>
              </w:rPr>
              <w:t>Şu kadar ki,</w:t>
            </w:r>
            <w:r w:rsidRPr="00A23740">
              <w:t xml:space="preserve"> </w:t>
            </w:r>
            <w:r w:rsidRPr="00A23740">
              <w:rPr>
                <w:rStyle w:val="KIRMIZIChar"/>
                <w:rFonts w:eastAsia="Calibri"/>
                <w:b/>
                <w:bCs/>
                <w:strike/>
              </w:rPr>
              <w:t>artırma bedelinin haczedilen malın muhammen</w:t>
            </w:r>
            <w:r w:rsidRPr="00A23740">
              <w:t xml:space="preserve"> kıymetinin yüzde ellisi ile o malla güvence altına alınan ve satış isteyenin alacağına rüçhanı olan alacakların toplamından hangisi fazla ise bu miktarı ve ayrıca bu miktara ilave olarak paraya çevirme ve paylaştırma masraflarını da geçmesi şarttır.</w:t>
            </w:r>
          </w:p>
          <w:p w:rsidR="00AA5C8C" w:rsidRPr="00A23740" w:rsidRDefault="00AA5C8C" w:rsidP="009431FF">
            <w:pPr>
              <w:pStyle w:val="KIRMIZI"/>
            </w:pPr>
          </w:p>
          <w:p w:rsidR="00AA5C8C" w:rsidRPr="00A23740" w:rsidRDefault="00AA5C8C" w:rsidP="009431FF">
            <w:pPr>
              <w:pStyle w:val="KIRMIZI"/>
              <w:rPr>
                <w:rStyle w:val="KIRMIZIChar"/>
                <w:rFonts w:eastAsia="Calibri"/>
                <w:b/>
                <w:bCs/>
                <w:strike/>
              </w:rPr>
            </w:pPr>
            <w:r w:rsidRPr="00A23740">
              <w:t>İhale</w:t>
            </w:r>
            <w:r w:rsidRPr="00A23740">
              <w:rPr>
                <w:rStyle w:val="KIRMIZIChar"/>
                <w:rFonts w:eastAsia="Calibri"/>
                <w:b/>
                <w:bCs/>
                <w:strike/>
              </w:rPr>
              <w:t>nin yapılması:</w:t>
            </w:r>
          </w:p>
          <w:p w:rsidR="00AA5C8C" w:rsidRPr="00A23740" w:rsidRDefault="00AA5C8C" w:rsidP="009431FF">
            <w:pPr>
              <w:pStyle w:val="KIRMIZI"/>
            </w:pPr>
            <w:r w:rsidRPr="00A23740">
              <w:t xml:space="preserve">Madde 115 – . . . </w:t>
            </w:r>
          </w:p>
          <w:p w:rsidR="00AA5C8C" w:rsidRPr="00A23740" w:rsidRDefault="00AA5C8C" w:rsidP="009431FF">
            <w:pPr>
              <w:rPr>
                <w:rFonts w:eastAsia="Times New Roman"/>
                <w:color w:val="000000"/>
                <w:szCs w:val="24"/>
                <w:lang w:val="en-GB" w:eastAsia="tr-TR"/>
              </w:rPr>
            </w:pPr>
            <w:r w:rsidRPr="00A23740">
              <w:rPr>
                <w:rStyle w:val="KIRMIZIChar"/>
                <w:rFonts w:eastAsia="Calibri"/>
              </w:rPr>
              <w:t>(4)</w:t>
            </w:r>
            <w:r w:rsidRPr="00A23740">
              <w:rPr>
                <w:rFonts w:eastAsia="Times New Roman"/>
                <w:color w:val="000000"/>
                <w:szCs w:val="24"/>
                <w:lang w:val="en-GB" w:eastAsia="tr-TR"/>
              </w:rPr>
              <w:t xml:space="preserve"> İcra müdürü, elektronik satış portalında artırma bittikten sonraki ilk iş gününde artırmanın sonucuyla ilgili bir artırma sonuç tutanağı düzenler ve bu tutanaktaki bilgileri aynı gün satış portalında ilan eder. Tutanakta; ihalenin hangi gün ve saatte tamamlandığı, şartlar yerine gelmişse en yüksek teklifi verene malın ihale edildiği, tutanağın ilanından itibaren </w:t>
            </w:r>
            <w:r w:rsidRPr="00A23740">
              <w:rPr>
                <w:rStyle w:val="KIRMIZIChar"/>
                <w:rFonts w:eastAsia="Calibri"/>
                <w:lang w:val="en-GB" w:eastAsia="tr-TR"/>
              </w:rPr>
              <w:t>yedi gün</w:t>
            </w:r>
            <w:r w:rsidRPr="00A23740">
              <w:rPr>
                <w:rFonts w:eastAsia="Times New Roman"/>
                <w:color w:val="000000"/>
                <w:szCs w:val="24"/>
                <w:lang w:val="en-GB" w:eastAsia="tr-TR"/>
              </w:rPr>
              <w:t xml:space="preserve"> içinde ihale bedelinin icra dairesi hesabına yatırılması gerektiği </w:t>
            </w:r>
            <w:r w:rsidRPr="00A23740">
              <w:rPr>
                <w:rStyle w:val="KIRMIZIChar"/>
                <w:rFonts w:eastAsia="Calibri"/>
                <w:lang w:val="en-GB" w:eastAsia="tr-TR"/>
              </w:rPr>
              <w:t>ve</w:t>
            </w:r>
            <w:r w:rsidRPr="00A23740">
              <w:rPr>
                <w:rFonts w:eastAsia="Times New Roman"/>
                <w:color w:val="000000"/>
                <w:szCs w:val="24"/>
                <w:lang w:val="en-GB" w:eastAsia="tr-TR"/>
              </w:rPr>
              <w:t xml:space="preserve"> şartlar yerine gelmediği takdirde ihalenin hangi gerekçeyle yapılamadığı belirtilir.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310CE9" w:rsidRPr="00A23740" w:rsidRDefault="00310CE9" w:rsidP="009431FF">
            <w:pPr>
              <w:pStyle w:val="KIRMIZI"/>
              <w:rPr>
                <w:rStyle w:val="KIRMIZIChar"/>
                <w:rFonts w:eastAsia="Calibri"/>
                <w:b/>
                <w:bCs/>
                <w:strike/>
              </w:rPr>
            </w:pPr>
            <w:r w:rsidRPr="00A23740">
              <w:t>İhale</w:t>
            </w:r>
            <w:r w:rsidRPr="00A23740">
              <w:rPr>
                <w:rStyle w:val="KIRMIZIChar"/>
                <w:rFonts w:eastAsia="Calibri"/>
                <w:b/>
                <w:bCs/>
                <w:strike/>
              </w:rPr>
              <w:t>nin yapılması:</w:t>
            </w:r>
          </w:p>
          <w:p w:rsidR="00AA5C8C" w:rsidRPr="00A23740" w:rsidRDefault="00310CE9" w:rsidP="009431FF">
            <w:pPr>
              <w:pStyle w:val="KIRMIZI"/>
            </w:pPr>
            <w:r w:rsidRPr="00A23740">
              <w:t xml:space="preserve">Madde 115 – . . . </w:t>
            </w:r>
          </w:p>
          <w:p w:rsidR="00AA5C8C" w:rsidRPr="00A23740" w:rsidRDefault="00AA5C8C" w:rsidP="009431FF">
            <w:pPr>
              <w:rPr>
                <w:rFonts w:eastAsia="Times New Roman"/>
                <w:color w:val="000000"/>
                <w:szCs w:val="24"/>
                <w:lang w:eastAsia="tr-TR"/>
              </w:rPr>
            </w:pPr>
            <w:r w:rsidRPr="00A23740">
              <w:rPr>
                <w:rStyle w:val="KIRMIZIChar"/>
                <w:rFonts w:eastAsia="Calibri"/>
                <w:strike w:val="0"/>
              </w:rPr>
              <w:t xml:space="preserve">(3) </w:t>
            </w:r>
            <w:r w:rsidRPr="00A23740">
              <w:rPr>
                <w:rFonts w:eastAsia="Times New Roman"/>
                <w:color w:val="000000"/>
                <w:szCs w:val="24"/>
                <w:lang w:eastAsia="tr-TR"/>
              </w:rPr>
              <w:t xml:space="preserve">İhale alıcısının en yüksek teklifi verip de süresi içinde ihale bedelini yatırmaması hâlinde alınan teminat iade edilmeyip öncelikle satış </w:t>
            </w:r>
            <w:r w:rsidRPr="00A23740">
              <w:rPr>
                <w:rStyle w:val="KIRMIZIChar"/>
                <w:rFonts w:eastAsia="Calibri"/>
              </w:rPr>
              <w:t>masraflarından</w:t>
            </w:r>
            <w:r w:rsidRPr="00A23740">
              <w:rPr>
                <w:rFonts w:eastAsia="Times New Roman"/>
                <w:color w:val="000000"/>
                <w:szCs w:val="24"/>
                <w:lang w:eastAsia="tr-TR"/>
              </w:rPr>
              <w:t xml:space="preserve"> düşülmek üzere hak sahiplerine alacaklarına mahsuben ödenir.</w:t>
            </w:r>
          </w:p>
          <w:p w:rsidR="00AA5C8C" w:rsidRPr="00A23740" w:rsidRDefault="00AA5C8C" w:rsidP="009431FF">
            <w:pPr>
              <w:rPr>
                <w:rFonts w:eastAsia="Times New Roman"/>
                <w:color w:val="000000"/>
                <w:szCs w:val="24"/>
                <w:lang w:eastAsia="tr-TR"/>
              </w:rPr>
            </w:pPr>
          </w:p>
          <w:p w:rsidR="00AA5C8C" w:rsidRPr="00A23740" w:rsidRDefault="00AA5C8C" w:rsidP="009431FF">
            <w:pPr>
              <w:pStyle w:val="KIRMIZI"/>
            </w:pPr>
            <w:r w:rsidRPr="00A23740">
              <w:t>(5) Satış talebi teklif verme başladıktan sonra geri alınamaz. Teklif verme süresinin bitimine kadar borcun tamamen ödenmesi hâlinde satış durdurulur.</w:t>
            </w:r>
          </w:p>
          <w:p w:rsidR="00AA5C8C" w:rsidRPr="00A23740" w:rsidRDefault="00AA5C8C" w:rsidP="009431FF">
            <w:pPr>
              <w:rPr>
                <w:rFonts w:eastAsia="Times New Roman"/>
                <w:color w:val="000000"/>
                <w:szCs w:val="24"/>
                <w:lang w:eastAsia="tr-TR"/>
              </w:rPr>
            </w:pPr>
          </w:p>
          <w:p w:rsidR="00AA5C8C" w:rsidRPr="00A23740" w:rsidRDefault="00AA5C8C" w:rsidP="009431FF">
            <w:pPr>
              <w:pStyle w:val="KIRMIZI"/>
            </w:pPr>
            <w:r w:rsidRPr="00A23740">
              <w:t>(6) İcra müdürü, asgari ihale bedelinin teklif edilmediği, en yüksek teklif verenin ihale bedelini yatırmadığı veya teklif verme süresinin bitiminden önce borcun ödendiği hâllerde, ihalenin yapılamadığını veya iptal edildiğini tutanakla tespit eder. Asgari ihale bedelinin teklif edilmediği veya en yüksek teklif verenin ihale bedelini yatırmadığı hâllerde ikinci artırma, birinci artırmadaki şartlar çerçevesinde daha önce ilan edilen tarihte başlar.</w:t>
            </w:r>
          </w:p>
          <w:p w:rsidR="00AA5C8C" w:rsidRPr="00A23740" w:rsidRDefault="00AA5C8C" w:rsidP="009431FF">
            <w:pPr>
              <w:rPr>
                <w:rFonts w:eastAsia="Times New Roman"/>
                <w:color w:val="000000"/>
                <w:szCs w:val="24"/>
                <w:lang w:eastAsia="tr-TR"/>
              </w:rPr>
            </w:pPr>
          </w:p>
          <w:p w:rsidR="00AA5C8C" w:rsidRPr="00A23740" w:rsidRDefault="00AA5C8C" w:rsidP="009431FF">
            <w:pPr>
              <w:pStyle w:val="KIRMIZI"/>
            </w:pPr>
            <w:r w:rsidRPr="00A23740">
              <w:t>(7) Artırmada, alıcı çıkmazsa veya bu maddede yazılı şartlar gerçekleşmezse alacaklı, önceki satış talebinden kalan satış isteme süresi içinde satış günü verilmesini talep edebilir. Satış isteme süresi satış talebiyle birlikte durur ve duran bu süre, ihalenin yapılamadığına veya iptal edildiğine ilişkin tutanak tarihinden itibaren kaldığı yerden işlemeye başlar.</w:t>
            </w:r>
          </w:p>
          <w:p w:rsidR="00AA5C8C" w:rsidRPr="00A23740" w:rsidRDefault="00AA5C8C" w:rsidP="009431FF">
            <w:pPr>
              <w:rPr>
                <w:rFonts w:eastAsia="Times New Roman"/>
                <w:color w:val="000000"/>
                <w:szCs w:val="24"/>
                <w:lang w:eastAsia="tr-TR"/>
              </w:rPr>
            </w:pPr>
          </w:p>
          <w:p w:rsidR="00AA5C8C" w:rsidRDefault="00AA5C8C" w:rsidP="009431FF">
            <w:pPr>
              <w:pStyle w:val="KIRMIZI"/>
            </w:pPr>
            <w:r w:rsidRPr="00A23740">
              <w:t>(8) İcra müdürü, artırma bittikten sonraki ilk iş gününde elektronik satış portalından kaynaklanan teknik sebeplerle, artırmanın son on dakikası içinde teklif verilemediğini satış portalı kayıtlarından tespit ederse artırma süresinin bir gün uzatılmasına karar verir; kararda artırmanın başlayacağı ve biteceği tarih ve saatleri gösterir ve tüm bu hususları satış portalında derhâl duyurur. Bu durumda artırmanın başlangıç tarihi, artırma süresinin uzatılmasına karar verildiği tarihten itibaren üç günü geçemez. Bu süre içinde, daha önce en yüksek teklif veren teklifiyle bağlı olacağı gibi yeni istekliler de teminatı yatırmak suretiyle artırmaya katılabilir.</w:t>
            </w:r>
          </w:p>
          <w:p w:rsidR="003F10EF" w:rsidRPr="00A23740" w:rsidRDefault="003F10EF" w:rsidP="009431FF">
            <w:pPr>
              <w:pStyle w:val="KIRMIZI"/>
            </w:pPr>
          </w:p>
          <w:p w:rsidR="003C2B62" w:rsidRPr="00A23740" w:rsidRDefault="003C2B62" w:rsidP="009431FF">
            <w:pPr>
              <w:pStyle w:val="KIRMIZI"/>
              <w:rPr>
                <w:lang w:eastAsia="tr-TR"/>
              </w:rPr>
            </w:pPr>
          </w:p>
        </w:tc>
        <w:tc>
          <w:tcPr>
            <w:tcW w:w="2500" w:type="pct"/>
          </w:tcPr>
          <w:p w:rsidR="00AA5C8C" w:rsidRPr="00A23740" w:rsidRDefault="00AA5C8C" w:rsidP="009431FF">
            <w:pPr>
              <w:rPr>
                <w:rFonts w:eastAsia="Times New Roman"/>
                <w:b/>
                <w:color w:val="000000"/>
                <w:szCs w:val="24"/>
                <w:lang w:val="en-GB" w:eastAsia="tr-TR"/>
              </w:rPr>
            </w:pPr>
            <w:r w:rsidRPr="00A23740">
              <w:rPr>
                <w:rFonts w:eastAsia="Times New Roman"/>
                <w:b/>
                <w:color w:val="000000"/>
                <w:szCs w:val="24"/>
                <w:lang w:val="en-GB" w:eastAsia="tr-TR"/>
              </w:rPr>
              <w:t>İhale</w:t>
            </w:r>
          </w:p>
          <w:p w:rsidR="00AA5C8C" w:rsidRPr="00A23740" w:rsidRDefault="00AA5C8C" w:rsidP="009431FF">
            <w:pPr>
              <w:tabs>
                <w:tab w:val="left" w:pos="567"/>
              </w:tabs>
              <w:rPr>
                <w:rFonts w:eastAsia="Times New Roman"/>
                <w:bCs/>
                <w:color w:val="000000"/>
                <w:szCs w:val="24"/>
                <w:lang w:val="en-GB" w:eastAsia="tr-TR"/>
              </w:rPr>
            </w:pPr>
            <w:r w:rsidRPr="00A23740">
              <w:rPr>
                <w:rFonts w:eastAsia="Times New Roman"/>
                <w:b/>
                <w:color w:val="0000FF"/>
                <w:szCs w:val="24"/>
                <w:lang w:eastAsia="tr-TR"/>
              </w:rPr>
              <w:t>MADDE 24</w:t>
            </w:r>
            <w:r w:rsidR="00490C3E" w:rsidRPr="00A23740">
              <w:rPr>
                <w:rFonts w:eastAsia="Times New Roman"/>
                <w:b/>
                <w:color w:val="0000FF"/>
                <w:szCs w:val="24"/>
                <w:lang w:eastAsia="tr-TR"/>
              </w:rPr>
              <w:t>7</w:t>
            </w:r>
            <w:r w:rsidRPr="00A23740">
              <w:rPr>
                <w:rFonts w:eastAsia="Times New Roman"/>
                <w:b/>
                <w:color w:val="0000FF"/>
                <w:szCs w:val="24"/>
                <w:lang w:eastAsia="tr-TR"/>
              </w:rPr>
              <w:t xml:space="preserve">- </w:t>
            </w:r>
            <w:r w:rsidRPr="00A23740">
              <w:rPr>
                <w:rStyle w:val="MaviChar"/>
              </w:rPr>
              <w:t xml:space="preserve">(1) </w:t>
            </w:r>
            <w:r w:rsidRPr="00A23740">
              <w:rPr>
                <w:rFonts w:eastAsia="Times New Roman"/>
                <w:bCs/>
                <w:color w:val="000000"/>
                <w:szCs w:val="24"/>
                <w:lang w:val="en-GB" w:eastAsia="tr-TR"/>
              </w:rPr>
              <w:t>Artırmanın sona erdiği gün ve saatte mal</w:t>
            </w:r>
            <w:r w:rsidRPr="00A23740">
              <w:rPr>
                <w:rStyle w:val="MaviChar"/>
              </w:rPr>
              <w:t>,</w:t>
            </w:r>
            <w:r w:rsidR="00D47E99" w:rsidRPr="00A23740">
              <w:rPr>
                <w:rStyle w:val="MaviChar"/>
                <w:lang w:val="tr-TR"/>
              </w:rPr>
              <w:t xml:space="preserve"> </w:t>
            </w:r>
            <w:r w:rsidR="00D47E99" w:rsidRPr="000D6BE5">
              <w:rPr>
                <w:rStyle w:val="Balk1Char"/>
                <w:rFonts w:eastAsia="ヒラギノ明朝 Pro W3"/>
              </w:rPr>
              <w:t>asgari ihale bedeline ilişkin</w:t>
            </w:r>
            <w:r w:rsidR="00E9528D" w:rsidRPr="000D6BE5">
              <w:rPr>
                <w:rStyle w:val="Balk1Char"/>
                <w:rFonts w:eastAsia="ヒラギノ明朝 Pro W3"/>
              </w:rPr>
              <w:t xml:space="preserve"> 246 ncı</w:t>
            </w:r>
            <w:r w:rsidRPr="00A23740">
              <w:rPr>
                <w:rStyle w:val="MaviChar"/>
                <w:lang w:val="tr-TR"/>
              </w:rPr>
              <w:t xml:space="preserve"> </w:t>
            </w:r>
            <w:r w:rsidRPr="00A23740">
              <w:rPr>
                <w:rStyle w:val="MaviChar"/>
              </w:rPr>
              <w:t>maddedeki</w:t>
            </w:r>
            <w:r w:rsidRPr="00A23740">
              <w:rPr>
                <w:rStyle w:val="YELChar"/>
              </w:rPr>
              <w:t xml:space="preserve"> </w:t>
            </w:r>
            <w:r w:rsidRPr="00A23740">
              <w:rPr>
                <w:rStyle w:val="MaviChar"/>
              </w:rPr>
              <w:t xml:space="preserve">koşulları taşıması kaydıyla </w:t>
            </w:r>
            <w:r w:rsidRPr="00A23740">
              <w:rPr>
                <w:rFonts w:eastAsia="Times New Roman"/>
                <w:color w:val="000000"/>
                <w:szCs w:val="24"/>
                <w:lang w:val="en-GB" w:eastAsia="tr-TR"/>
              </w:rPr>
              <w:t>en yüksek teklif verene ihale edilmiş olur ve mülkiyet</w:t>
            </w:r>
            <w:r w:rsidR="00D47E99" w:rsidRPr="003F10EF">
              <w:rPr>
                <w:rStyle w:val="MaviChar"/>
              </w:rPr>
              <w:t>,</w:t>
            </w:r>
            <w:r w:rsidRPr="00A23740">
              <w:rPr>
                <w:rFonts w:eastAsia="Times New Roman"/>
                <w:color w:val="000000"/>
                <w:szCs w:val="24"/>
                <w:lang w:val="en-GB" w:eastAsia="tr-TR"/>
              </w:rPr>
              <w:t xml:space="preserve"> ihale alıcısına geçer.</w:t>
            </w:r>
            <w:r w:rsidRPr="00A23740">
              <w:rPr>
                <w:rStyle w:val="MaviChar"/>
              </w:rPr>
              <w:t xml:space="preserve"> Ancak</w:t>
            </w:r>
            <w:r w:rsidRPr="00A23740">
              <w:rPr>
                <w:rFonts w:eastAsia="Times New Roman"/>
                <w:bCs/>
                <w:color w:val="000000"/>
                <w:szCs w:val="24"/>
                <w:lang w:val="en-GB" w:eastAsia="tr-TR"/>
              </w:rPr>
              <w:t xml:space="preserve"> </w:t>
            </w:r>
            <w:r w:rsidRPr="00A23740">
              <w:rPr>
                <w:rFonts w:eastAsia="Times New Roman"/>
                <w:bCs/>
                <w:color w:val="000000"/>
              </w:rPr>
              <w:t>satılan</w:t>
            </w:r>
            <w:r w:rsidRPr="00A23740">
              <w:rPr>
                <w:rFonts w:eastAsia="Times New Roman"/>
                <w:color w:val="000000"/>
                <w:szCs w:val="24"/>
                <w:lang w:val="en-GB" w:eastAsia="tr-TR"/>
              </w:rPr>
              <w:t xml:space="preserve"> mal</w:t>
            </w:r>
            <w:r w:rsidRPr="00A23740">
              <w:rPr>
                <w:rFonts w:eastAsia="Times New Roman"/>
                <w:bCs/>
                <w:color w:val="000000"/>
              </w:rPr>
              <w:t>,</w:t>
            </w:r>
            <w:r w:rsidRPr="00A23740">
              <w:rPr>
                <w:rFonts w:eastAsia="Times New Roman"/>
                <w:color w:val="000000"/>
                <w:szCs w:val="24"/>
                <w:lang w:val="en-GB" w:eastAsia="tr-TR"/>
              </w:rPr>
              <w:t xml:space="preserve"> ihale kesinleşmed</w:t>
            </w:r>
            <w:r w:rsidRPr="00A23740">
              <w:rPr>
                <w:rFonts w:eastAsia="Times New Roman"/>
                <w:bCs/>
                <w:color w:val="000000"/>
              </w:rPr>
              <w:t>en</w:t>
            </w:r>
            <w:r w:rsidRPr="00A23740">
              <w:rPr>
                <w:rFonts w:eastAsia="Times New Roman"/>
                <w:color w:val="000000"/>
                <w:szCs w:val="24"/>
                <w:lang w:val="en-GB" w:eastAsia="tr-TR"/>
              </w:rPr>
              <w:t xml:space="preserve"> </w:t>
            </w:r>
            <w:r w:rsidRPr="00A23740">
              <w:rPr>
                <w:rStyle w:val="MaviChar"/>
              </w:rPr>
              <w:t>alıcıya</w:t>
            </w:r>
            <w:r w:rsidRPr="00A23740">
              <w:rPr>
                <w:rFonts w:eastAsia="Times New Roman"/>
                <w:color w:val="000000"/>
                <w:szCs w:val="24"/>
                <w:lang w:val="en-GB" w:eastAsia="tr-TR"/>
              </w:rPr>
              <w:t xml:space="preserve"> teslim </w:t>
            </w:r>
            <w:r w:rsidRPr="00A23740">
              <w:rPr>
                <w:rFonts w:eastAsia="Times New Roman"/>
                <w:bCs/>
                <w:color w:val="000000"/>
              </w:rPr>
              <w:t xml:space="preserve">olunmaz ve alıcı adına </w:t>
            </w:r>
            <w:r w:rsidRPr="00A23740">
              <w:rPr>
                <w:rFonts w:eastAsia="Times New Roman"/>
                <w:color w:val="000000"/>
                <w:szCs w:val="24"/>
                <w:lang w:val="en-GB" w:eastAsia="tr-TR"/>
              </w:rPr>
              <w:t xml:space="preserve">tescil </w:t>
            </w:r>
            <w:r w:rsidRPr="00A23740">
              <w:rPr>
                <w:rFonts w:eastAsia="Times New Roman"/>
                <w:bCs/>
                <w:color w:val="000000"/>
              </w:rPr>
              <w:t>edilmez</w:t>
            </w:r>
            <w:r w:rsidRPr="00A23740">
              <w:rPr>
                <w:rFonts w:eastAsia="Times New Roman"/>
                <w:color w:val="000000"/>
                <w:szCs w:val="24"/>
                <w:lang w:val="en-GB" w:eastAsia="tr-TR"/>
              </w:rPr>
              <w:t>.</w:t>
            </w: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3C2B62" w:rsidRPr="00A23740" w:rsidRDefault="003C2B62" w:rsidP="009431FF">
            <w:pPr>
              <w:tabs>
                <w:tab w:val="left" w:pos="567"/>
              </w:tabs>
              <w:rPr>
                <w:rFonts w:eastAsia="ヒラギノ明朝 Pro W3"/>
                <w:b/>
                <w:color w:val="0000FF"/>
                <w:szCs w:val="24"/>
                <w:lang w:eastAsia="tr-TR"/>
              </w:rPr>
            </w:pPr>
          </w:p>
          <w:p w:rsidR="003C2B62" w:rsidRPr="00A23740" w:rsidRDefault="003C2B62" w:rsidP="009431FF">
            <w:pPr>
              <w:tabs>
                <w:tab w:val="left" w:pos="567"/>
              </w:tabs>
              <w:rPr>
                <w:rFonts w:eastAsia="ヒラギノ明朝 Pro W3"/>
                <w:b/>
                <w:color w:val="0000FF"/>
                <w:szCs w:val="24"/>
                <w:lang w:eastAsia="tr-TR"/>
              </w:rPr>
            </w:pPr>
          </w:p>
          <w:p w:rsidR="003C2B62" w:rsidRPr="00A23740" w:rsidRDefault="003C2B62" w:rsidP="009431FF">
            <w:pPr>
              <w:tabs>
                <w:tab w:val="left" w:pos="567"/>
              </w:tabs>
              <w:rPr>
                <w:rFonts w:eastAsia="ヒラギノ明朝 Pro W3"/>
                <w:b/>
                <w:color w:val="0000FF"/>
                <w:szCs w:val="24"/>
                <w:lang w:eastAsia="tr-TR"/>
              </w:rPr>
            </w:pPr>
          </w:p>
          <w:p w:rsidR="003C2B62" w:rsidRPr="00A23740" w:rsidRDefault="003C2B62" w:rsidP="009431FF">
            <w:pPr>
              <w:tabs>
                <w:tab w:val="left" w:pos="567"/>
              </w:tabs>
              <w:rPr>
                <w:rFonts w:eastAsia="ヒラギノ明朝 Pro W3"/>
                <w:b/>
                <w:color w:val="0000FF"/>
                <w:szCs w:val="24"/>
                <w:lang w:eastAsia="tr-TR"/>
              </w:rPr>
            </w:pPr>
          </w:p>
          <w:p w:rsidR="003C2B62" w:rsidRPr="00A23740" w:rsidRDefault="003C2B62"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p>
          <w:p w:rsidR="00483727" w:rsidRPr="00A23740" w:rsidRDefault="00483727" w:rsidP="009431FF">
            <w:pPr>
              <w:tabs>
                <w:tab w:val="left" w:pos="567"/>
              </w:tabs>
              <w:rPr>
                <w:rFonts w:eastAsia="ヒラギノ明朝 Pro W3"/>
                <w:b/>
                <w:color w:val="0000FF"/>
                <w:szCs w:val="24"/>
                <w:lang w:eastAsia="tr-TR"/>
              </w:rPr>
            </w:pPr>
          </w:p>
          <w:p w:rsidR="00483727" w:rsidRPr="00A23740" w:rsidRDefault="00483727" w:rsidP="009431FF">
            <w:pPr>
              <w:tabs>
                <w:tab w:val="left" w:pos="567"/>
              </w:tabs>
              <w:rPr>
                <w:rFonts w:eastAsia="ヒラギノ明朝 Pro W3"/>
                <w:b/>
                <w:color w:val="0000FF"/>
                <w:szCs w:val="24"/>
                <w:lang w:eastAsia="tr-TR"/>
              </w:rPr>
            </w:pPr>
          </w:p>
          <w:p w:rsidR="0018123F" w:rsidRPr="00A23740" w:rsidRDefault="0018123F" w:rsidP="009431FF">
            <w:pPr>
              <w:tabs>
                <w:tab w:val="left" w:pos="567"/>
              </w:tabs>
              <w:rPr>
                <w:rFonts w:eastAsia="ヒラギノ明朝 Pro W3"/>
                <w:b/>
                <w:color w:val="0000FF"/>
                <w:szCs w:val="24"/>
                <w:lang w:eastAsia="tr-TR"/>
              </w:rPr>
            </w:pPr>
          </w:p>
          <w:p w:rsidR="00AA5C8C" w:rsidRPr="00A23740" w:rsidRDefault="00AA5C8C" w:rsidP="009431FF">
            <w:pPr>
              <w:tabs>
                <w:tab w:val="left" w:pos="567"/>
              </w:tabs>
              <w:rPr>
                <w:rFonts w:eastAsia="ヒラギノ明朝 Pro W3"/>
                <w:b/>
                <w:color w:val="0000FF"/>
                <w:szCs w:val="24"/>
                <w:lang w:eastAsia="tr-TR"/>
              </w:rPr>
            </w:pPr>
            <w:r w:rsidRPr="00A23740">
              <w:rPr>
                <w:rFonts w:eastAsia="ヒラギノ明朝 Pro W3"/>
                <w:b/>
                <w:color w:val="0000FF"/>
                <w:szCs w:val="24"/>
                <w:lang w:eastAsia="tr-TR"/>
              </w:rPr>
              <w:t xml:space="preserve">(2) </w:t>
            </w:r>
            <w:r w:rsidRPr="00A23740">
              <w:rPr>
                <w:rFonts w:eastAsia="Times New Roman"/>
                <w:color w:val="000000"/>
                <w:szCs w:val="24"/>
                <w:lang w:eastAsia="tr-TR"/>
              </w:rPr>
              <w:t xml:space="preserve">İcra </w:t>
            </w:r>
            <w:r w:rsidRPr="00A23740">
              <w:rPr>
                <w:rStyle w:val="MaviChar"/>
              </w:rPr>
              <w:t>ve iflas dairesi</w:t>
            </w:r>
            <w:r w:rsidRPr="00A23740">
              <w:rPr>
                <w:rFonts w:eastAsia="Times New Roman"/>
                <w:color w:val="000000"/>
                <w:szCs w:val="24"/>
                <w:lang w:eastAsia="tr-TR"/>
              </w:rPr>
              <w:t xml:space="preserve">, elektronik satış portalında artırma bittikten sonraki ilk iş gününde artırmanın sonucuyla ilgili bir artırma sonuç tutanağı düzenler ve bu tutanaktaki bilgileri aynı gün satış portalında ilan eder. Tutanakta; ihalenin hangi gün ve saatte tamamlandığı, şartlar yerine gelmişse en yüksek teklifi verene malın ihale edildiği, tutanağın ilanından itibaren </w:t>
            </w:r>
            <w:r w:rsidRPr="00A23740">
              <w:rPr>
                <w:rStyle w:val="MaviChar"/>
                <w:lang w:val="tr-TR"/>
              </w:rPr>
              <w:t>bir hafta</w:t>
            </w:r>
            <w:r w:rsidRPr="00A23740">
              <w:rPr>
                <w:rFonts w:eastAsia="Times New Roman"/>
                <w:color w:val="000000"/>
                <w:szCs w:val="24"/>
                <w:lang w:eastAsia="tr-TR"/>
              </w:rPr>
              <w:t xml:space="preserve"> içinde ihale bedelinin icra </w:t>
            </w:r>
            <w:r w:rsidRPr="00A23740">
              <w:rPr>
                <w:rStyle w:val="MaviChar"/>
              </w:rPr>
              <w:t>ve iflas</w:t>
            </w:r>
            <w:r w:rsidRPr="00A23740">
              <w:rPr>
                <w:rFonts w:eastAsia="Times New Roman"/>
                <w:color w:val="000000"/>
                <w:szCs w:val="24"/>
                <w:lang w:eastAsia="tr-TR"/>
              </w:rPr>
              <w:t xml:space="preserve"> dairesi hesabına yatırılması gerektiği</w:t>
            </w:r>
            <w:r w:rsidRPr="00A23740">
              <w:rPr>
                <w:rStyle w:val="MaviChar"/>
                <w:lang w:val="tr-TR"/>
              </w:rPr>
              <w:t>,</w:t>
            </w:r>
            <w:r w:rsidRPr="00A23740">
              <w:rPr>
                <w:rFonts w:eastAsia="Times New Roman"/>
                <w:color w:val="000000"/>
                <w:szCs w:val="24"/>
                <w:lang w:eastAsia="tr-TR"/>
              </w:rPr>
              <w:t xml:space="preserve"> şartlar yerine gelmediği takdirde ihalenin hangi gerekçeyle yapılamadığı belirtilir.</w:t>
            </w:r>
          </w:p>
          <w:p w:rsidR="00AA5C8C" w:rsidRPr="00A23740" w:rsidRDefault="00AA5C8C" w:rsidP="009431FF">
            <w:pPr>
              <w:tabs>
                <w:tab w:val="left" w:pos="567"/>
              </w:tabs>
              <w:rPr>
                <w:rFonts w:eastAsia="ヒラギノ明朝 Pro W3"/>
                <w:b/>
                <w:color w:val="0000FF"/>
                <w:szCs w:val="24"/>
                <w:lang w:eastAsia="tr-TR"/>
              </w:rPr>
            </w:pPr>
          </w:p>
          <w:p w:rsidR="006E579B" w:rsidRPr="00A23740" w:rsidRDefault="006E579B" w:rsidP="009431FF">
            <w:pPr>
              <w:tabs>
                <w:tab w:val="left" w:pos="567"/>
              </w:tabs>
              <w:rPr>
                <w:b/>
                <w:color w:val="0000FF"/>
                <w:szCs w:val="24"/>
                <w:lang w:eastAsia="tr-TR"/>
              </w:rPr>
            </w:pPr>
            <w:r w:rsidRPr="00A23740">
              <w:rPr>
                <w:b/>
                <w:color w:val="0000FF"/>
                <w:szCs w:val="24"/>
                <w:lang w:eastAsia="tr-TR"/>
              </w:rPr>
              <w:t xml:space="preserve">(3) İhalenin </w:t>
            </w:r>
            <w:r w:rsidRPr="00A23740">
              <w:rPr>
                <w:rStyle w:val="MaviChar"/>
              </w:rPr>
              <w:t>takip alacaklısına</w:t>
            </w:r>
            <w:r w:rsidRPr="00A23740">
              <w:rPr>
                <w:b/>
                <w:color w:val="0000FF"/>
                <w:szCs w:val="24"/>
                <w:lang w:eastAsia="tr-TR"/>
              </w:rPr>
              <w:t xml:space="preserve"> yapılması hâlinde icra </w:t>
            </w:r>
            <w:r w:rsidRPr="00A23740">
              <w:rPr>
                <w:rStyle w:val="MaviChar"/>
              </w:rPr>
              <w:t xml:space="preserve">ve iflas dairesi, </w:t>
            </w:r>
            <w:r w:rsidRPr="00A23740">
              <w:rPr>
                <w:b/>
                <w:color w:val="0000FF"/>
                <w:szCs w:val="24"/>
                <w:lang w:eastAsia="tr-TR"/>
              </w:rPr>
              <w:t>ihalenin yapıldığı tarihten itibaren üç iş günü içinde ihale alıcısının</w:t>
            </w:r>
            <w:r w:rsidR="00375DA1" w:rsidRPr="00A23740">
              <w:rPr>
                <w:b/>
                <w:color w:val="0000FF"/>
                <w:szCs w:val="24"/>
                <w:lang w:eastAsia="tr-TR"/>
              </w:rPr>
              <w:t>,</w:t>
            </w:r>
            <w:r w:rsidRPr="00A23740">
              <w:rPr>
                <w:b/>
                <w:color w:val="0000FF"/>
                <w:szCs w:val="24"/>
                <w:lang w:eastAsia="tr-TR"/>
              </w:rPr>
              <w:t xml:space="preserve"> varsa yatırması gereken ihale bedelini hesaplar ve bu bedelin ilandan itibaren bir hafta içinde ödenmesi gerektiğini elektronik satış portalında ilan edeceği tutanakta gösterir. İhale bedelinin hesaplanmasında, alacaklının alacağına rüçhanı olan alacaklar ile hacze iştirak eden diğer alacaklar; satışa konu malın sicil kayıtları ve dosya içeriği gözönünde bulundurularak, ihale alıcısı </w:t>
            </w:r>
            <w:r w:rsidRPr="00A23740">
              <w:rPr>
                <w:rStyle w:val="MaviChar"/>
              </w:rPr>
              <w:t>olan takip alacaklısının</w:t>
            </w:r>
            <w:r w:rsidRPr="00A23740">
              <w:rPr>
                <w:b/>
                <w:color w:val="0000FF"/>
                <w:szCs w:val="24"/>
                <w:lang w:eastAsia="tr-TR"/>
              </w:rPr>
              <w:t xml:space="preserve"> </w:t>
            </w:r>
            <w:r w:rsidRPr="00A23740">
              <w:rPr>
                <w:rStyle w:val="MaviChar"/>
              </w:rPr>
              <w:t>alacak</w:t>
            </w:r>
            <w:r w:rsidRPr="00A23740">
              <w:rPr>
                <w:b/>
                <w:color w:val="0000FF"/>
                <w:szCs w:val="24"/>
                <w:lang w:eastAsia="tr-TR"/>
              </w:rPr>
              <w:t xml:space="preserve"> tutarı, ihale bedelinden mahsup edilir</w:t>
            </w:r>
            <w:r w:rsidRPr="00A23740">
              <w:rPr>
                <w:rStyle w:val="MaviChar"/>
                <w:lang w:val="tr-TR"/>
              </w:rPr>
              <w:t>.</w:t>
            </w:r>
            <w:r w:rsidR="00A659D8" w:rsidRPr="00A23740">
              <w:rPr>
                <w:rStyle w:val="MaviChar"/>
                <w:lang w:val="tr-TR"/>
              </w:rPr>
              <w:t xml:space="preserve"> </w:t>
            </w:r>
            <w:r w:rsidR="00A659D8" w:rsidRPr="00A23740">
              <w:rPr>
                <w:b/>
                <w:color w:val="0000FF"/>
                <w:szCs w:val="24"/>
                <w:lang w:eastAsia="tr-TR"/>
              </w:rPr>
              <w:t xml:space="preserve">İhale alıcısı </w:t>
            </w:r>
            <w:r w:rsidR="00A659D8" w:rsidRPr="00A23740">
              <w:rPr>
                <w:rStyle w:val="MaviChar"/>
              </w:rPr>
              <w:t>olan takip alacaklısının</w:t>
            </w:r>
            <w:r w:rsidR="00A659D8" w:rsidRPr="00A23740">
              <w:rPr>
                <w:b/>
                <w:color w:val="0000FF"/>
                <w:szCs w:val="24"/>
                <w:lang w:eastAsia="tr-TR"/>
              </w:rPr>
              <w:t xml:space="preserve"> yatırması gereken bedelin net miktarı derece kararının düzenlenmesiyle </w:t>
            </w:r>
            <w:r w:rsidR="00375DA1" w:rsidRPr="000D6BE5">
              <w:rPr>
                <w:rStyle w:val="Balk1Char"/>
                <w:rFonts w:eastAsia="ヒラギノ明朝 Pro W3"/>
              </w:rPr>
              <w:t>belirlenir</w:t>
            </w:r>
            <w:r w:rsidR="00A659D8" w:rsidRPr="00A23740">
              <w:rPr>
                <w:b/>
                <w:color w:val="0000FF"/>
                <w:szCs w:val="24"/>
                <w:lang w:eastAsia="tr-TR"/>
              </w:rPr>
              <w:t>.</w:t>
            </w:r>
          </w:p>
          <w:p w:rsidR="00375DA1" w:rsidRPr="00A23740" w:rsidRDefault="00375DA1"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(4) İhalenin kime hangi bedelle yapıldığı</w:t>
            </w:r>
            <w:r w:rsidRPr="00A23740">
              <w:rPr>
                <w:rStyle w:val="MaviChar"/>
              </w:rPr>
              <w:t>,</w:t>
            </w:r>
            <w:r w:rsidRPr="00A23740">
              <w:rPr>
                <w:rFonts w:eastAsia="Times New Roman"/>
                <w:b/>
                <w:color w:val="0000FF"/>
                <w:szCs w:val="24"/>
                <w:lang w:eastAsia="tr-TR"/>
              </w:rPr>
              <w:t xml:space="preserve"> malın kayıtlı olduğu sicile, ihale istinabe edilen icra </w:t>
            </w:r>
            <w:r w:rsidRPr="00A23740">
              <w:rPr>
                <w:rStyle w:val="MaviChar"/>
              </w:rPr>
              <w:t xml:space="preserve">ve iflas </w:t>
            </w:r>
            <w:r w:rsidRPr="00A23740">
              <w:rPr>
                <w:rFonts w:eastAsia="Times New Roman"/>
                <w:b/>
                <w:color w:val="0000FF"/>
                <w:szCs w:val="24"/>
                <w:lang w:eastAsia="tr-TR"/>
              </w:rPr>
              <w:t xml:space="preserve">dairesince yapılmış ise asıl icra </w:t>
            </w:r>
            <w:r w:rsidRPr="00A23740">
              <w:rPr>
                <w:rStyle w:val="MaviChar"/>
              </w:rPr>
              <w:t xml:space="preserve">ve iflas </w:t>
            </w:r>
            <w:r w:rsidRPr="00A23740">
              <w:rPr>
                <w:rFonts w:eastAsia="Times New Roman"/>
                <w:b/>
                <w:color w:val="0000FF"/>
                <w:szCs w:val="24"/>
                <w:lang w:eastAsia="tr-TR"/>
              </w:rPr>
              <w:t>dairesine bildirilir.</w:t>
            </w:r>
          </w:p>
          <w:p w:rsidR="00310CE9" w:rsidRPr="00A23740" w:rsidRDefault="00310CE9" w:rsidP="009431FF">
            <w:pPr>
              <w:rPr>
                <w:szCs w:val="24"/>
              </w:rPr>
            </w:pPr>
          </w:p>
          <w:p w:rsidR="00AA5C8C" w:rsidRPr="00A23740" w:rsidRDefault="00AA5C8C" w:rsidP="009431FF">
            <w:pPr>
              <w:pStyle w:val="Mavi"/>
              <w:rPr>
                <w:rFonts w:eastAsia="Times New Roman"/>
                <w:b w:val="0"/>
                <w:bCs w:val="0"/>
                <w:color w:val="000000"/>
                <w:lang w:val="tr-TR" w:eastAsia="tr-TR"/>
              </w:rPr>
            </w:pPr>
            <w:r w:rsidRPr="00A23740">
              <w:t xml:space="preserve">(5) </w:t>
            </w:r>
            <w:r w:rsidRPr="00A23740">
              <w:rPr>
                <w:rFonts w:eastAsia="Times New Roman"/>
                <w:b w:val="0"/>
                <w:bCs w:val="0"/>
                <w:color w:val="000000"/>
                <w:lang w:val="tr-TR" w:eastAsia="tr-TR"/>
              </w:rPr>
              <w:t>İhale alıcısının en yüksek teklifi verip de süresi içinde ihale bedelini yatırmaması h</w:t>
            </w:r>
            <w:r w:rsidR="00C224B4" w:rsidRPr="00A23740">
              <w:rPr>
                <w:rFonts w:eastAsia="Times New Roman"/>
                <w:b w:val="0"/>
                <w:bCs w:val="0"/>
                <w:color w:val="000000"/>
                <w:lang w:val="tr-TR" w:eastAsia="tr-TR"/>
              </w:rPr>
              <w:t>â</w:t>
            </w:r>
            <w:r w:rsidRPr="00A23740">
              <w:rPr>
                <w:rFonts w:eastAsia="Times New Roman"/>
                <w:b w:val="0"/>
                <w:bCs w:val="0"/>
                <w:color w:val="000000"/>
                <w:lang w:val="tr-TR" w:eastAsia="tr-TR"/>
              </w:rPr>
              <w:t>linde</w:t>
            </w:r>
            <w:r w:rsidRPr="00A23740">
              <w:t>,</w:t>
            </w:r>
            <w:r w:rsidRPr="00A23740">
              <w:rPr>
                <w:rFonts w:eastAsia="Times New Roman"/>
                <w:b w:val="0"/>
                <w:bCs w:val="0"/>
                <w:color w:val="000000"/>
                <w:lang w:val="tr-TR" w:eastAsia="tr-TR"/>
              </w:rPr>
              <w:t xml:space="preserve"> alınan teminat iade edilmeyip öncelikle satış </w:t>
            </w:r>
            <w:r w:rsidRPr="00A23740">
              <w:t>giderlerinden</w:t>
            </w:r>
            <w:r w:rsidRPr="00A23740">
              <w:rPr>
                <w:rFonts w:eastAsia="Times New Roman"/>
                <w:b w:val="0"/>
                <w:bCs w:val="0"/>
                <w:color w:val="000000"/>
                <w:lang w:val="tr-TR" w:eastAsia="tr-TR"/>
              </w:rPr>
              <w:t xml:space="preserve"> düşülmek üzere hak sahiplerine alacaklarına mahsuben ödenir.</w:t>
            </w:r>
          </w:p>
          <w:p w:rsidR="00AA5C8C" w:rsidRPr="00A23740" w:rsidRDefault="00AA5C8C" w:rsidP="009431FF">
            <w:pPr>
              <w:pStyle w:val="YEL"/>
              <w:rPr>
                <w:lang w:val="tr-TR" w:eastAsia="tr-TR"/>
              </w:rPr>
            </w:pPr>
          </w:p>
          <w:p w:rsidR="00AA5C8C" w:rsidRPr="00A23740" w:rsidRDefault="00AA5C8C" w:rsidP="009431FF">
            <w:pPr>
              <w:tabs>
                <w:tab w:val="left" w:pos="567"/>
              </w:tabs>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9455B9" w:rsidRPr="00A23740" w:rsidRDefault="009455B9" w:rsidP="009431FF">
            <w:pPr>
              <w:ind w:firstLine="709"/>
              <w:rPr>
                <w:rFonts w:eastAsia="Times New Roman"/>
                <w:b/>
                <w:color w:val="000000"/>
                <w:szCs w:val="24"/>
                <w:lang w:eastAsia="tr-TR"/>
              </w:rPr>
            </w:pPr>
          </w:p>
          <w:p w:rsidR="006949A7" w:rsidRPr="00A23740" w:rsidRDefault="007855E7" w:rsidP="009431FF">
            <w:pPr>
              <w:ind w:firstLine="709"/>
              <w:rPr>
                <w:rFonts w:eastAsia="Times New Roman"/>
                <w:color w:val="000000"/>
                <w:szCs w:val="24"/>
                <w:lang w:eastAsia="tr-TR"/>
              </w:rPr>
            </w:pPr>
            <w:r w:rsidRPr="00A23740">
              <w:rPr>
                <w:rFonts w:eastAsia="Times New Roman"/>
                <w:b/>
                <w:color w:val="000000"/>
                <w:szCs w:val="24"/>
                <w:lang w:eastAsia="tr-TR"/>
              </w:rPr>
              <w:t xml:space="preserve">MADDE </w:t>
            </w:r>
            <w:r w:rsidR="00AA5C8C" w:rsidRPr="00A23740">
              <w:rPr>
                <w:rFonts w:eastAsia="Times New Roman"/>
                <w:b/>
                <w:color w:val="000000"/>
                <w:szCs w:val="24"/>
                <w:lang w:eastAsia="tr-TR"/>
              </w:rPr>
              <w:t>24</w:t>
            </w:r>
            <w:r w:rsidR="00490C3E" w:rsidRPr="00A23740">
              <w:rPr>
                <w:rFonts w:eastAsia="Times New Roman"/>
                <w:b/>
                <w:color w:val="000000"/>
                <w:szCs w:val="24"/>
                <w:lang w:eastAsia="tr-TR"/>
              </w:rPr>
              <w:t>7</w:t>
            </w:r>
            <w:r w:rsidR="00AA5C8C" w:rsidRPr="00A23740">
              <w:rPr>
                <w:rFonts w:eastAsia="Times New Roman"/>
                <w:b/>
                <w:color w:val="000000"/>
                <w:szCs w:val="24"/>
                <w:lang w:eastAsia="tr-TR"/>
              </w:rPr>
              <w:t xml:space="preserve">- </w:t>
            </w:r>
            <w:r w:rsidR="009455B9" w:rsidRPr="00A23740">
              <w:rPr>
                <w:rFonts w:eastAsia="Times New Roman"/>
                <w:color w:val="000000"/>
                <w:szCs w:val="24"/>
                <w:lang w:eastAsia="tr-TR"/>
              </w:rPr>
              <w:t>Maddeyle, malın ihale edilmesi</w:t>
            </w:r>
            <w:r w:rsidR="006949A7" w:rsidRPr="00A23740">
              <w:rPr>
                <w:rFonts w:eastAsia="Times New Roman"/>
                <w:color w:val="000000"/>
                <w:szCs w:val="24"/>
                <w:lang w:eastAsia="tr-TR"/>
              </w:rPr>
              <w:t>ne ilişkin usul</w:t>
            </w:r>
            <w:r w:rsidR="009455B9" w:rsidRPr="00A23740">
              <w:rPr>
                <w:rFonts w:eastAsia="Times New Roman"/>
                <w:color w:val="000000"/>
                <w:szCs w:val="24"/>
                <w:lang w:eastAsia="tr-TR"/>
              </w:rPr>
              <w:t xml:space="preserve"> </w:t>
            </w:r>
            <w:r w:rsidR="006949A7" w:rsidRPr="00A23740">
              <w:rPr>
                <w:rFonts w:eastAsia="Times New Roman"/>
                <w:color w:val="000000"/>
                <w:szCs w:val="24"/>
                <w:lang w:eastAsia="tr-TR"/>
              </w:rPr>
              <w:t>düzenlenmektedir.</w:t>
            </w:r>
          </w:p>
          <w:p w:rsidR="006949A7" w:rsidRPr="00A23740" w:rsidRDefault="006949A7" w:rsidP="009431FF">
            <w:pPr>
              <w:ind w:firstLine="709"/>
              <w:rPr>
                <w:rFonts w:eastAsia="Times New Roman"/>
                <w:color w:val="000000"/>
                <w:szCs w:val="24"/>
                <w:lang w:eastAsia="tr-TR"/>
              </w:rPr>
            </w:pPr>
            <w:r w:rsidRPr="00A23740">
              <w:rPr>
                <w:rFonts w:eastAsia="Times New Roman"/>
                <w:color w:val="000000"/>
                <w:szCs w:val="24"/>
                <w:lang w:eastAsia="tr-TR"/>
              </w:rPr>
              <w:t xml:space="preserve">Birinci fıkrayla, </w:t>
            </w:r>
            <w:r w:rsidRPr="00A23740">
              <w:rPr>
                <w:rFonts w:eastAsia="Times New Roman"/>
                <w:bCs/>
                <w:color w:val="000000"/>
                <w:szCs w:val="24"/>
                <w:lang w:eastAsia="tr-TR"/>
              </w:rPr>
              <w:t xml:space="preserve">artırmanın sona erdiği gün ve </w:t>
            </w:r>
            <w:r w:rsidRPr="00A23740">
              <w:rPr>
                <w:rFonts w:eastAsia="Times New Roman"/>
                <w:color w:val="000000"/>
                <w:szCs w:val="24"/>
                <w:lang w:eastAsia="tr-TR"/>
              </w:rPr>
              <w:t xml:space="preserve">saatte malın, Taslağın </w:t>
            </w:r>
            <w:r w:rsidR="00E9528D" w:rsidRPr="00D60C1D">
              <w:rPr>
                <w:rStyle w:val="KonuBalChar"/>
                <w:rFonts w:eastAsia="ヒラギノ明朝 Pro W3"/>
                <w:b w:val="0"/>
                <w:color w:val="000000"/>
              </w:rPr>
              <w:t>246 ncı</w:t>
            </w:r>
            <w:r w:rsidRPr="00A23740">
              <w:rPr>
                <w:rFonts w:eastAsia="Times New Roman"/>
                <w:color w:val="000000"/>
                <w:szCs w:val="24"/>
                <w:lang w:eastAsia="tr-TR"/>
              </w:rPr>
              <w:t xml:space="preserve"> maddesindeki koşulları taşıması kaydıyla en yüksek teklif verene ihale edilmiş olacağı ve mülkiyetinin ihale alıcısına geçeceği kabul edilmektedir. Ancak malın mülkiyeti</w:t>
            </w:r>
            <w:r w:rsidR="0018123F" w:rsidRPr="00A23740">
              <w:rPr>
                <w:rFonts w:eastAsia="Times New Roman"/>
                <w:color w:val="000000"/>
                <w:szCs w:val="24"/>
                <w:lang w:eastAsia="tr-TR"/>
              </w:rPr>
              <w:t>,</w:t>
            </w:r>
            <w:r w:rsidRPr="00A23740">
              <w:rPr>
                <w:rFonts w:eastAsia="Times New Roman"/>
                <w:color w:val="000000"/>
                <w:szCs w:val="24"/>
                <w:lang w:eastAsia="tr-TR"/>
              </w:rPr>
              <w:t xml:space="preserve"> ihale</w:t>
            </w:r>
            <w:r w:rsidR="0018123F" w:rsidRPr="00A23740">
              <w:rPr>
                <w:rFonts w:eastAsia="Times New Roman"/>
                <w:color w:val="000000"/>
                <w:szCs w:val="24"/>
                <w:lang w:eastAsia="tr-TR"/>
              </w:rPr>
              <w:t>yle</w:t>
            </w:r>
            <w:r w:rsidRPr="00A23740">
              <w:rPr>
                <w:rFonts w:eastAsia="Times New Roman"/>
                <w:color w:val="000000"/>
                <w:szCs w:val="24"/>
                <w:lang w:eastAsia="tr-TR"/>
              </w:rPr>
              <w:t xml:space="preserve"> alıcıya geçmekte ise de satılan mal, ihale kesinleşmeden alıcıya teslim olunmaz ve eğer tescile tabi bir mal veya hak ise alıcı adına tescil edilmez. Fıkranın birinci cümlesi</w:t>
            </w:r>
            <w:r w:rsidR="0018123F" w:rsidRPr="00A23740">
              <w:rPr>
                <w:rFonts w:eastAsia="Times New Roman"/>
                <w:color w:val="000000"/>
                <w:szCs w:val="24"/>
                <w:lang w:eastAsia="tr-TR"/>
              </w:rPr>
              <w:t xml:space="preserve"> 2004 sayılı Kanunun</w:t>
            </w:r>
            <w:r w:rsidRPr="00A23740">
              <w:rPr>
                <w:rFonts w:eastAsia="Times New Roman"/>
                <w:color w:val="000000"/>
                <w:szCs w:val="24"/>
                <w:lang w:eastAsia="tr-TR"/>
              </w:rPr>
              <w:t xml:space="preserve"> 115 inci maddesinin ikinci fıkrasına, ikinci cümlesi ise 118 inci maddesinin ikinci fıkrasına karşılık gelmektedir. </w:t>
            </w:r>
            <w:r w:rsidR="000A2F6D" w:rsidRPr="00A23740">
              <w:rPr>
                <w:rFonts w:eastAsia="Times New Roman"/>
                <w:color w:val="000000"/>
                <w:szCs w:val="24"/>
                <w:lang w:eastAsia="tr-TR"/>
              </w:rPr>
              <w:t xml:space="preserve">Diğer taraftan, birinci fıkra hükmü 2004 sayılı Kanunun 134 üncü maddesinin birinci fıkrasında yer alan ihale alıcısının taşınmazın mülkiyetini iktisap ettiğine ilişkin hükmü kapsamaktadır. </w:t>
            </w:r>
          </w:p>
          <w:p w:rsidR="006949A7" w:rsidRPr="00A23740" w:rsidRDefault="006949A7" w:rsidP="009431FF">
            <w:pPr>
              <w:ind w:firstLine="709"/>
              <w:rPr>
                <w:rFonts w:eastAsia="Times New Roman"/>
                <w:color w:val="000000"/>
                <w:szCs w:val="24"/>
                <w:lang w:eastAsia="tr-TR"/>
              </w:rPr>
            </w:pPr>
            <w:r w:rsidRPr="00A23740">
              <w:rPr>
                <w:rFonts w:eastAsia="Times New Roman"/>
                <w:color w:val="000000"/>
                <w:szCs w:val="24"/>
                <w:lang w:eastAsia="tr-TR"/>
              </w:rPr>
              <w:t xml:space="preserve">İkinci fıkrayla, icra </w:t>
            </w:r>
            <w:r w:rsidR="00B73523" w:rsidRPr="00D60C1D">
              <w:rPr>
                <w:color w:val="000000"/>
              </w:rPr>
              <w:t>ve iflas</w:t>
            </w:r>
            <w:r w:rsidR="00B73523" w:rsidRPr="00A23740">
              <w:rPr>
                <w:b/>
                <w:bCs/>
                <w:color w:val="0000FF"/>
                <w:szCs w:val="24"/>
                <w:lang w:val="x-none" w:eastAsia="x-none"/>
              </w:rPr>
              <w:t xml:space="preserve"> </w:t>
            </w:r>
            <w:r w:rsidR="0018123F" w:rsidRPr="00A23740">
              <w:rPr>
                <w:rFonts w:eastAsia="Times New Roman"/>
                <w:color w:val="000000"/>
                <w:szCs w:val="24"/>
                <w:lang w:eastAsia="tr-TR"/>
              </w:rPr>
              <w:t>dairesinin yapacağı işlemler</w:t>
            </w:r>
            <w:r w:rsidRPr="00A23740">
              <w:rPr>
                <w:rFonts w:eastAsia="Times New Roman"/>
                <w:color w:val="000000"/>
                <w:szCs w:val="24"/>
                <w:lang w:eastAsia="tr-TR"/>
              </w:rPr>
              <w:t xml:space="preserve"> düzenlenmektedir. </w:t>
            </w:r>
            <w:r w:rsidR="0018123F" w:rsidRPr="00A23740">
              <w:rPr>
                <w:rFonts w:eastAsia="Times New Roman"/>
                <w:color w:val="000000"/>
                <w:szCs w:val="24"/>
                <w:lang w:eastAsia="tr-TR"/>
              </w:rPr>
              <w:t>Buna göre</w:t>
            </w:r>
            <w:r w:rsidRPr="00A23740">
              <w:rPr>
                <w:rFonts w:eastAsia="Times New Roman"/>
                <w:color w:val="000000"/>
                <w:szCs w:val="24"/>
                <w:lang w:eastAsia="tr-TR"/>
              </w:rPr>
              <w:t xml:space="preserve"> icra</w:t>
            </w:r>
            <w:r w:rsidR="00B73523" w:rsidRPr="00A23740">
              <w:rPr>
                <w:b/>
                <w:color w:val="538135"/>
              </w:rPr>
              <w:t xml:space="preserve"> </w:t>
            </w:r>
            <w:r w:rsidR="00B73523" w:rsidRPr="00D60C1D">
              <w:rPr>
                <w:color w:val="000000"/>
              </w:rPr>
              <w:t>ve iflas</w:t>
            </w:r>
            <w:r w:rsidRPr="00A23740">
              <w:rPr>
                <w:rFonts w:eastAsia="Times New Roman"/>
                <w:color w:val="000000"/>
                <w:szCs w:val="24"/>
                <w:lang w:eastAsia="tr-TR"/>
              </w:rPr>
              <w:t xml:space="preserve"> dairesi</w:t>
            </w:r>
            <w:r w:rsidR="0018123F" w:rsidRPr="00A23740">
              <w:rPr>
                <w:rFonts w:eastAsia="Times New Roman"/>
                <w:color w:val="000000"/>
                <w:szCs w:val="24"/>
                <w:lang w:eastAsia="tr-TR"/>
              </w:rPr>
              <w:t>,</w:t>
            </w:r>
            <w:r w:rsidRPr="00A23740">
              <w:rPr>
                <w:rFonts w:eastAsia="Times New Roman"/>
                <w:color w:val="000000"/>
                <w:szCs w:val="24"/>
                <w:lang w:eastAsia="tr-TR"/>
              </w:rPr>
              <w:t xml:space="preserve"> elektronik satış portalında artırma bittikten sonraki ilk iş gününde artırmanın sonucuyla ilgili bir artırma sonuç tutanağı düzenler ve bu tutanaktaki bilgileri aynı gün satış portalında ilan eder. Tutanakta; ihalenin hangi gün ve saatte tamamlandığı, şartlar yerine gelmişse en yüksek teklifi verene malın ihale edildiği, tutanağın ilanından itibaren bir hafta içinde ihale bedelinin icra ve iflas dairesi hesabına yatırılması gerektiği, şartlar yerine gelmediği takdirde ihalenin hangi gerekçeyle yapılamadığı belirtilir. Fıkra</w:t>
            </w:r>
            <w:r w:rsidR="0018123F" w:rsidRPr="00A23740">
              <w:rPr>
                <w:rFonts w:eastAsia="Times New Roman"/>
                <w:color w:val="000000"/>
                <w:szCs w:val="24"/>
                <w:lang w:eastAsia="tr-TR"/>
              </w:rPr>
              <w:t>,</w:t>
            </w:r>
            <w:r w:rsidRPr="00A23740">
              <w:rPr>
                <w:rFonts w:eastAsia="Times New Roman"/>
                <w:color w:val="000000"/>
                <w:szCs w:val="24"/>
                <w:lang w:eastAsia="tr-TR"/>
              </w:rPr>
              <w:t xml:space="preserve"> 2004 sayılı Kanunun 115 inci maddesinin dördüncü fıkrasına karşılık gelmektedir. </w:t>
            </w:r>
            <w:r w:rsidR="00AA5C8C" w:rsidRPr="00A23740">
              <w:rPr>
                <w:rFonts w:eastAsia="Times New Roman"/>
                <w:color w:val="000000"/>
                <w:szCs w:val="24"/>
                <w:lang w:eastAsia="tr-TR"/>
              </w:rPr>
              <w:t xml:space="preserve">İşbu fıkra da 2004 sayılı Kanundaki </w:t>
            </w:r>
            <w:r w:rsidRPr="00A23740">
              <w:rPr>
                <w:rFonts w:eastAsia="Times New Roman"/>
                <w:color w:val="000000"/>
                <w:szCs w:val="24"/>
                <w:lang w:eastAsia="tr-TR"/>
              </w:rPr>
              <w:t>hükümlerle</w:t>
            </w:r>
            <w:r w:rsidR="00AA5C8C" w:rsidRPr="00A23740">
              <w:rPr>
                <w:rFonts w:eastAsia="Times New Roman"/>
                <w:color w:val="000000"/>
                <w:szCs w:val="24"/>
                <w:lang w:eastAsia="tr-TR"/>
              </w:rPr>
              <w:t xml:space="preserve"> esas olarak bir farklılık içermemekte olup </w:t>
            </w:r>
            <w:r w:rsidRPr="00A23740">
              <w:rPr>
                <w:rFonts w:eastAsia="Times New Roman"/>
                <w:color w:val="000000"/>
                <w:szCs w:val="24"/>
                <w:lang w:eastAsia="tr-TR"/>
              </w:rPr>
              <w:t>sürelerin yeknesak h</w:t>
            </w:r>
            <w:r w:rsidR="00C224B4" w:rsidRPr="00A23740">
              <w:rPr>
                <w:rFonts w:eastAsia="Times New Roman"/>
                <w:color w:val="000000"/>
                <w:szCs w:val="24"/>
                <w:lang w:eastAsia="tr-TR"/>
              </w:rPr>
              <w:t>â</w:t>
            </w:r>
            <w:r w:rsidRPr="00A23740">
              <w:rPr>
                <w:rFonts w:eastAsia="Times New Roman"/>
                <w:color w:val="000000"/>
                <w:szCs w:val="24"/>
                <w:lang w:eastAsia="tr-TR"/>
              </w:rPr>
              <w:t xml:space="preserve">le getirilmesi ilkesine uygun olarak </w:t>
            </w:r>
            <w:r w:rsidR="00AA5C8C" w:rsidRPr="00A23740">
              <w:rPr>
                <w:rFonts w:eastAsia="Times New Roman"/>
                <w:color w:val="000000"/>
                <w:szCs w:val="24"/>
                <w:lang w:eastAsia="tr-TR"/>
              </w:rPr>
              <w:t xml:space="preserve">yedi günlük süre bir hafta olarak </w:t>
            </w:r>
            <w:r w:rsidRPr="00A23740">
              <w:rPr>
                <w:rFonts w:eastAsia="Times New Roman"/>
                <w:color w:val="000000"/>
                <w:szCs w:val="24"/>
                <w:lang w:eastAsia="tr-TR"/>
              </w:rPr>
              <w:t xml:space="preserve">değiştirilmektedir. </w:t>
            </w:r>
          </w:p>
          <w:p w:rsidR="00AA5C8C" w:rsidRPr="00A23740" w:rsidRDefault="006949A7" w:rsidP="009431FF">
            <w:pPr>
              <w:ind w:firstLine="709"/>
              <w:rPr>
                <w:rFonts w:eastAsia="ヒラギノ明朝 Pro W3"/>
                <w:szCs w:val="24"/>
                <w:lang w:eastAsia="tr-TR"/>
              </w:rPr>
            </w:pPr>
            <w:r w:rsidRPr="00A23740">
              <w:rPr>
                <w:rFonts w:eastAsia="Times New Roman"/>
                <w:color w:val="000000"/>
                <w:szCs w:val="24"/>
                <w:lang w:eastAsia="tr-TR"/>
              </w:rPr>
              <w:t xml:space="preserve">Üçüncü </w:t>
            </w:r>
            <w:r w:rsidRPr="00A23740">
              <w:rPr>
                <w:rFonts w:eastAsia="ヒラギノ明朝 Pro W3"/>
                <w:szCs w:val="24"/>
                <w:lang w:eastAsia="tr-TR"/>
              </w:rPr>
              <w:t xml:space="preserve">fıkrayla, </w:t>
            </w:r>
            <w:r w:rsidR="00067309" w:rsidRPr="00A23740">
              <w:rPr>
                <w:rFonts w:eastAsia="ヒラギノ明朝 Pro W3"/>
                <w:szCs w:val="24"/>
                <w:lang w:eastAsia="tr-TR"/>
              </w:rPr>
              <w:t>bir yenilik olarak ihalenin takip alacaklısına</w:t>
            </w:r>
            <w:r w:rsidRPr="00A23740">
              <w:rPr>
                <w:rFonts w:eastAsia="ヒラギノ明朝 Pro W3"/>
                <w:szCs w:val="24"/>
                <w:lang w:eastAsia="tr-TR"/>
              </w:rPr>
              <w:t xml:space="preserve"> yapılması h</w:t>
            </w:r>
            <w:r w:rsidR="00C224B4" w:rsidRPr="00A23740">
              <w:rPr>
                <w:rFonts w:eastAsia="ヒラギノ明朝 Pro W3"/>
                <w:szCs w:val="24"/>
                <w:lang w:eastAsia="tr-TR"/>
              </w:rPr>
              <w:t>â</w:t>
            </w:r>
            <w:r w:rsidRPr="00A23740">
              <w:rPr>
                <w:rFonts w:eastAsia="ヒラギノ明朝 Pro W3"/>
                <w:szCs w:val="24"/>
                <w:lang w:eastAsia="tr-TR"/>
              </w:rPr>
              <w:t>linde ihale bedelinin ödenmesi usu</w:t>
            </w:r>
            <w:r w:rsidR="0018123F" w:rsidRPr="00A23740">
              <w:rPr>
                <w:rFonts w:eastAsia="ヒラギノ明朝 Pro W3"/>
                <w:szCs w:val="24"/>
                <w:lang w:eastAsia="tr-TR"/>
              </w:rPr>
              <w:t>lü düzenlenmektedir. Hükme göre</w:t>
            </w:r>
            <w:r w:rsidRPr="00A23740">
              <w:rPr>
                <w:rFonts w:eastAsia="ヒラギノ明朝 Pro W3"/>
                <w:szCs w:val="24"/>
                <w:lang w:eastAsia="tr-TR"/>
              </w:rPr>
              <w:t xml:space="preserve"> icra ve iflas dairesi, ihalenin yapıldığı tarihten itibaren üç iş günü içinde, alacaklının alacağına rüçhanı olan </w:t>
            </w:r>
            <w:r w:rsidR="00610E93" w:rsidRPr="00D60C1D">
              <w:rPr>
                <w:rStyle w:val="YELChar"/>
                <w:b w:val="0"/>
                <w:color w:val="000000"/>
              </w:rPr>
              <w:t>alacaklar</w:t>
            </w:r>
            <w:r w:rsidRPr="00A23740">
              <w:rPr>
                <w:rFonts w:eastAsia="ヒラギノ明朝 Pro W3"/>
                <w:szCs w:val="24"/>
                <w:lang w:eastAsia="tr-TR"/>
              </w:rPr>
              <w:t xml:space="preserve"> ile hacze iştirak eden diğer alacakları, satışa konu malın sicil kayıtlarını ve dosya içeriğini gözönünde bulundurmak suretiyle, gerektiğinde ihale alıcısı olan takip alacaklısının alacak tutarını ihale bedelinden mahsup eder</w:t>
            </w:r>
            <w:r w:rsidR="00067309" w:rsidRPr="00A23740">
              <w:rPr>
                <w:rFonts w:eastAsia="ヒラギノ明朝 Pro W3"/>
                <w:szCs w:val="24"/>
                <w:lang w:eastAsia="tr-TR"/>
              </w:rPr>
              <w:t>.</w:t>
            </w:r>
            <w:r w:rsidRPr="00A23740">
              <w:rPr>
                <w:rFonts w:eastAsia="ヒラギノ明朝 Pro W3"/>
                <w:szCs w:val="24"/>
                <w:lang w:eastAsia="tr-TR"/>
              </w:rPr>
              <w:t xml:space="preserve"> </w:t>
            </w:r>
            <w:r w:rsidR="00067309" w:rsidRPr="00A23740">
              <w:rPr>
                <w:rFonts w:eastAsia="ヒラギノ明朝 Pro W3"/>
                <w:szCs w:val="24"/>
                <w:lang w:eastAsia="tr-TR"/>
              </w:rPr>
              <w:t xml:space="preserve">Ayrıca varsa yatırması gereken ihale </w:t>
            </w:r>
            <w:r w:rsidRPr="00A23740">
              <w:rPr>
                <w:rFonts w:eastAsia="ヒラギノ明朝 Pro W3"/>
                <w:szCs w:val="24"/>
                <w:lang w:eastAsia="tr-TR"/>
              </w:rPr>
              <w:t xml:space="preserve">bedelini hesaplar ve bu bedeli ilandan itibaren bir hafta içinde ödemesi gerektiğini de elektronik satış portalında ilan edeceği tutanakta gösterir. </w:t>
            </w:r>
            <w:r w:rsidR="00067309" w:rsidRPr="00A23740">
              <w:rPr>
                <w:rFonts w:eastAsia="ヒラギノ明朝 Pro W3"/>
                <w:szCs w:val="24"/>
                <w:lang w:eastAsia="tr-TR"/>
              </w:rPr>
              <w:t>Bu düzenlemeyle, uygulamada sıklıkla karşılaşılan takip alacaklısının ihale alıcı</w:t>
            </w:r>
            <w:r w:rsidR="0018123F" w:rsidRPr="00A23740">
              <w:rPr>
                <w:rFonts w:eastAsia="ヒラギノ明朝 Pro W3"/>
                <w:szCs w:val="24"/>
                <w:lang w:eastAsia="tr-TR"/>
              </w:rPr>
              <w:t>sı</w:t>
            </w:r>
            <w:r w:rsidR="00067309" w:rsidRPr="00A23740">
              <w:rPr>
                <w:rFonts w:eastAsia="ヒラギノ明朝 Pro W3"/>
                <w:szCs w:val="24"/>
                <w:lang w:eastAsia="tr-TR"/>
              </w:rPr>
              <w:t xml:space="preserve"> olması durumunda icra ve iflas dairesine ödemesi gereken ihale bedelinin hangi esaslara göre hesaplanarak ödeneceği hususu, diğer alacaklılar dikkate alındığında</w:t>
            </w:r>
            <w:r w:rsidR="0018123F" w:rsidRPr="00A23740">
              <w:rPr>
                <w:rFonts w:eastAsia="ヒラギノ明朝 Pro W3"/>
                <w:szCs w:val="24"/>
                <w:lang w:eastAsia="tr-TR"/>
              </w:rPr>
              <w:t>,</w:t>
            </w:r>
            <w:r w:rsidR="00067309" w:rsidRPr="00A23740">
              <w:rPr>
                <w:rFonts w:eastAsia="ヒラギノ明朝 Pro W3"/>
                <w:szCs w:val="24"/>
                <w:lang w:eastAsia="tr-TR"/>
              </w:rPr>
              <w:t xml:space="preserve"> uygulamada ortaya çıkabilecek sorunların önlenebilmesi amacıyla açıkça gösterilmektedir. Ayrıca fıkranın son cümlesiyle,</w:t>
            </w:r>
            <w:r w:rsidR="00AA5C8C" w:rsidRPr="00A23740">
              <w:rPr>
                <w:rFonts w:eastAsia="ヒラギノ明朝 Pro W3"/>
                <w:szCs w:val="24"/>
                <w:lang w:eastAsia="tr-TR"/>
              </w:rPr>
              <w:t xml:space="preserve"> ihale alıcısı olan takip alacaklısının yatırması gereken bedelin net miktarının </w:t>
            </w:r>
            <w:r w:rsidR="00067309" w:rsidRPr="00A23740">
              <w:rPr>
                <w:rFonts w:eastAsia="ヒラギノ明朝 Pro W3"/>
                <w:szCs w:val="24"/>
                <w:lang w:eastAsia="tr-TR"/>
              </w:rPr>
              <w:t xml:space="preserve">derece kararının </w:t>
            </w:r>
            <w:r w:rsidR="00AA5C8C" w:rsidRPr="00A23740">
              <w:rPr>
                <w:rFonts w:eastAsia="ヒラギノ明朝 Pro W3"/>
                <w:szCs w:val="24"/>
                <w:lang w:eastAsia="tr-TR"/>
              </w:rPr>
              <w:t>düzenlenmesiyle kesinlik kazanacağı hüküm altına alınm</w:t>
            </w:r>
            <w:r w:rsidR="00067309" w:rsidRPr="00A23740">
              <w:rPr>
                <w:rFonts w:eastAsia="ヒラギノ明朝 Pro W3"/>
                <w:szCs w:val="24"/>
                <w:lang w:eastAsia="tr-TR"/>
              </w:rPr>
              <w:t xml:space="preserve">aktadır. </w:t>
            </w:r>
            <w:r w:rsidR="00AA5C8C" w:rsidRPr="00A23740">
              <w:rPr>
                <w:rFonts w:eastAsia="ヒラギノ明朝 Pro W3"/>
                <w:szCs w:val="24"/>
                <w:lang w:eastAsia="tr-TR"/>
              </w:rPr>
              <w:t>Zira ihale alıcısı olan alacaklı ile diğer alacaklıların nihai alacakları derece kararında gösterileceğinden, ihale alıcısının (alacaklının) ödemesi gereken kesin bedel de ancak derece kara</w:t>
            </w:r>
            <w:r w:rsidR="00067309" w:rsidRPr="00A23740">
              <w:rPr>
                <w:rFonts w:eastAsia="ヒラギノ明朝 Pro W3"/>
                <w:szCs w:val="24"/>
                <w:lang w:eastAsia="tr-TR"/>
              </w:rPr>
              <w:t>rıyla tespit edilebilir.</w:t>
            </w:r>
          </w:p>
          <w:p w:rsidR="00067309" w:rsidRPr="00A23740" w:rsidRDefault="00067309" w:rsidP="009431FF">
            <w:pPr>
              <w:ind w:firstLine="709"/>
              <w:rPr>
                <w:rFonts w:eastAsia="ヒラギノ明朝 Pro W3"/>
                <w:szCs w:val="24"/>
                <w:lang w:eastAsia="tr-TR"/>
              </w:rPr>
            </w:pPr>
            <w:r w:rsidRPr="00A23740">
              <w:rPr>
                <w:rFonts w:eastAsia="ヒラギノ明朝 Pro W3"/>
                <w:szCs w:val="24"/>
                <w:lang w:eastAsia="tr-TR"/>
              </w:rPr>
              <w:t>Dördüncü fıkrayla, bir yenilik olarak ihalenin kime hangi bedelle yapıldığı hususunun, malın kayıtlı olduğu sicile, ihale istinabe edilen icra ve iflas dairesince yapılmış ise asıl icra ve iflas dairesine bildirileceği düzenlenmektedir. İstinabe durumunda kendisine bildirim yapılan icra ve iflas dairesi de ilgili sicile ihalenin kime ve hangi bedelle yapıldığını bilgisini iletir.</w:t>
            </w:r>
          </w:p>
          <w:p w:rsidR="00AA5C8C" w:rsidRPr="00A23740" w:rsidRDefault="00067309" w:rsidP="009431FF">
            <w:pPr>
              <w:ind w:firstLine="709"/>
              <w:rPr>
                <w:rFonts w:eastAsia="Times New Roman"/>
                <w:b/>
                <w:color w:val="000000"/>
                <w:szCs w:val="24"/>
                <w:lang w:eastAsia="tr-TR"/>
              </w:rPr>
            </w:pPr>
            <w:r w:rsidRPr="00A23740">
              <w:rPr>
                <w:rFonts w:eastAsia="ヒラギノ明朝 Pro W3"/>
                <w:szCs w:val="24"/>
                <w:lang w:eastAsia="tr-TR"/>
              </w:rPr>
              <w:t>Beşinci fıkrayla, ihale alıcısının en yüksek teklifi verip de süresi içinde ihale bedelini yatırmaması h</w:t>
            </w:r>
            <w:r w:rsidR="00C224B4" w:rsidRPr="00A23740">
              <w:rPr>
                <w:rFonts w:eastAsia="ヒラギノ明朝 Pro W3"/>
                <w:szCs w:val="24"/>
                <w:lang w:eastAsia="tr-TR"/>
              </w:rPr>
              <w:t>â</w:t>
            </w:r>
            <w:r w:rsidRPr="00A23740">
              <w:rPr>
                <w:rFonts w:eastAsia="ヒラギノ明朝 Pro W3"/>
                <w:szCs w:val="24"/>
                <w:lang w:eastAsia="tr-TR"/>
              </w:rPr>
              <w:t>linde</w:t>
            </w:r>
            <w:r w:rsidRPr="00A23740">
              <w:rPr>
                <w:lang w:eastAsia="tr-TR"/>
              </w:rPr>
              <w:t>,</w:t>
            </w:r>
            <w:r w:rsidRPr="00A23740">
              <w:rPr>
                <w:rFonts w:eastAsia="ヒラギノ明朝 Pro W3"/>
                <w:szCs w:val="24"/>
                <w:lang w:eastAsia="tr-TR"/>
              </w:rPr>
              <w:t xml:space="preserve"> alınan teminatın iade edilmeyeceği ve öncelikle satış giderlerinden düşülmek üzere hak sahiplerine alacaklarına mahsuben ödeneceği kabul edilmektedir. </w:t>
            </w:r>
            <w:r w:rsidR="00AA5C8C" w:rsidRPr="00A23740">
              <w:rPr>
                <w:rFonts w:eastAsia="ヒラギノ明朝 Pro W3"/>
                <w:szCs w:val="24"/>
                <w:lang w:eastAsia="tr-TR"/>
              </w:rPr>
              <w:t>Uygulamada</w:t>
            </w:r>
            <w:r w:rsidRPr="00A23740">
              <w:rPr>
                <w:rFonts w:eastAsia="ヒラギノ明朝 Pro W3"/>
                <w:szCs w:val="24"/>
                <w:lang w:eastAsia="tr-TR"/>
              </w:rPr>
              <w:t>,</w:t>
            </w:r>
            <w:r w:rsidR="00AA5C8C" w:rsidRPr="00A23740">
              <w:rPr>
                <w:rFonts w:eastAsia="ヒラギノ明朝 Pro W3"/>
                <w:szCs w:val="24"/>
                <w:lang w:eastAsia="tr-TR"/>
              </w:rPr>
              <w:t xml:space="preserve"> </w:t>
            </w:r>
            <w:r w:rsidRPr="00A23740">
              <w:rPr>
                <w:rFonts w:eastAsia="ヒラギノ明朝 Pro W3"/>
                <w:szCs w:val="24"/>
                <w:lang w:eastAsia="tr-TR"/>
              </w:rPr>
              <w:t>açık artırmada</w:t>
            </w:r>
            <w:r w:rsidR="00AA5C8C" w:rsidRPr="00A23740">
              <w:rPr>
                <w:rFonts w:eastAsia="ヒラギノ明朝 Pro W3"/>
                <w:szCs w:val="24"/>
                <w:lang w:eastAsia="tr-TR"/>
              </w:rPr>
              <w:t xml:space="preserve"> en yüksek teklifi veren alıcının süresi içinde ihale bedelini yatırmaması durumuna sıklıkla rastlanılmaktadır. İşte böyle durumlarda, yeni bir ihale yapılmasına sebep olan</w:t>
            </w:r>
            <w:r w:rsidRPr="00A23740">
              <w:rPr>
                <w:rFonts w:eastAsia="ヒラギノ明朝 Pro W3"/>
                <w:szCs w:val="24"/>
                <w:lang w:eastAsia="tr-TR"/>
              </w:rPr>
              <w:t>,</w:t>
            </w:r>
            <w:r w:rsidR="00AA5C8C" w:rsidRPr="00A23740">
              <w:rPr>
                <w:rFonts w:eastAsia="ヒラギノ明朝 Pro W3"/>
                <w:szCs w:val="24"/>
                <w:lang w:eastAsia="tr-TR"/>
              </w:rPr>
              <w:t xml:space="preserve"> yani alacaklının alacağına daha geç kavuşmasına, borçlunun da borcundan daha geç kurtulmasına sebep olan alıcının ihaleye katılabilmek için ödediği teminatın iade edilme</w:t>
            </w:r>
            <w:r w:rsidRPr="00A23740">
              <w:rPr>
                <w:rFonts w:eastAsia="ヒラギノ明朝 Pro W3"/>
                <w:szCs w:val="24"/>
                <w:lang w:eastAsia="tr-TR"/>
              </w:rPr>
              <w:t>mesi kuralı benimsenmektedir. Hüküm, 2004 sayılı Kanunun 115 inci maddesinin üçüncü fıkrasına karşılık gelmektedir.</w:t>
            </w:r>
          </w:p>
          <w:p w:rsidR="007855E7" w:rsidRPr="00A23740" w:rsidRDefault="007855E7" w:rsidP="003F10EF">
            <w:pPr>
              <w:tabs>
                <w:tab w:val="left" w:pos="567"/>
              </w:tabs>
              <w:ind w:firstLine="709"/>
              <w:rPr>
                <w:rFonts w:eastAsia="Times New Roman"/>
                <w:b/>
                <w:color w:val="00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rPr>
                <w:rStyle w:val="KIRMIZIChar"/>
                <w:rFonts w:eastAsia="Calibri"/>
                <w:lang w:eastAsia="tr-TR"/>
              </w:rPr>
            </w:pPr>
            <w:bookmarkStart w:id="4" w:name="_Hlk107803864"/>
            <w:r w:rsidRPr="00A23740">
              <w:rPr>
                <w:rStyle w:val="KIRMIZIChar"/>
                <w:rFonts w:eastAsia="Calibri"/>
              </w:rPr>
              <w:t>İhalenin yapılması:</w:t>
            </w:r>
          </w:p>
          <w:p w:rsidR="00AA5C8C" w:rsidRPr="00A23740" w:rsidRDefault="00AA5C8C" w:rsidP="009431FF">
            <w:pPr>
              <w:pStyle w:val="KIRMIZI"/>
              <w:rPr>
                <w:lang w:val="tr-TR"/>
              </w:rPr>
            </w:pPr>
            <w:r w:rsidRPr="00A23740">
              <w:t>Madde 115 – …</w:t>
            </w:r>
          </w:p>
          <w:p w:rsidR="00AA5C8C" w:rsidRPr="00A23740" w:rsidRDefault="00AA5C8C" w:rsidP="009431FF">
            <w:pPr>
              <w:rPr>
                <w:rStyle w:val="KIRMIZIChar"/>
                <w:rFonts w:eastAsia="Calibri"/>
              </w:rPr>
            </w:pPr>
            <w:r w:rsidRPr="00A23740">
              <w:rPr>
                <w:rStyle w:val="KIRMIZIChar"/>
                <w:rFonts w:eastAsia="Calibri"/>
              </w:rPr>
              <w:t>(7)</w:t>
            </w:r>
            <w:r w:rsidRPr="00A23740">
              <w:rPr>
                <w:rFonts w:eastAsia="Times New Roman"/>
                <w:color w:val="000000"/>
                <w:szCs w:val="24"/>
                <w:lang w:eastAsia="tr-TR"/>
              </w:rPr>
              <w:t xml:space="preserve"> </w:t>
            </w:r>
            <w:r w:rsidRPr="00A23740">
              <w:rPr>
                <w:rStyle w:val="KIRMIZIChar"/>
                <w:rFonts w:eastAsia="Calibri"/>
                <w:lang w:eastAsia="tr-TR"/>
              </w:rPr>
              <w:t>Artırmada, alıcı çıkmazsa veya bu maddede yazılı şartlar gerçekleşmezse</w:t>
            </w:r>
            <w:r w:rsidRPr="00A23740">
              <w:rPr>
                <w:rStyle w:val="KIRMIZIChar"/>
                <w:rFonts w:eastAsia="Calibri"/>
                <w:strike w:val="0"/>
                <w:lang w:eastAsia="tr-TR"/>
              </w:rPr>
              <w:t xml:space="preserve"> </w:t>
            </w:r>
            <w:r w:rsidRPr="00A23740">
              <w:rPr>
                <w:rFonts w:eastAsia="Times New Roman"/>
                <w:bCs/>
                <w:color w:val="000000"/>
                <w:lang w:eastAsia="tr-TR"/>
              </w:rPr>
              <w:t>alacaklı</w:t>
            </w:r>
            <w:r w:rsidRPr="00A23740">
              <w:rPr>
                <w:rFonts w:eastAsia="Times New Roman"/>
                <w:bCs/>
                <w:color w:val="000000"/>
              </w:rPr>
              <w:t>,</w:t>
            </w:r>
            <w:r w:rsidRPr="00A23740">
              <w:rPr>
                <w:rFonts w:eastAsia="Times New Roman"/>
                <w:color w:val="000000"/>
                <w:szCs w:val="24"/>
                <w:lang w:eastAsia="tr-TR"/>
              </w:rPr>
              <w:t xml:space="preserve"> önceki satış talebinden kalan satış isteme süresi içinde satış </w:t>
            </w:r>
            <w:r w:rsidRPr="00A23740">
              <w:rPr>
                <w:rStyle w:val="KIRMIZIChar"/>
                <w:rFonts w:eastAsia="Calibri"/>
                <w:lang w:eastAsia="tr-TR"/>
              </w:rPr>
              <w:t>günü verilmesini</w:t>
            </w:r>
            <w:r w:rsidRPr="00A23740">
              <w:rPr>
                <w:rFonts w:eastAsia="Times New Roman"/>
                <w:color w:val="000000"/>
                <w:szCs w:val="24"/>
                <w:lang w:eastAsia="tr-TR"/>
              </w:rPr>
              <w:t xml:space="preserve"> talep edebilir. </w:t>
            </w:r>
            <w:r w:rsidRPr="00A23740">
              <w:rPr>
                <w:rStyle w:val="KIRMIZIChar"/>
                <w:rFonts w:eastAsia="Calibri"/>
                <w:lang w:eastAsia="tr-TR"/>
              </w:rPr>
              <w:t>Satış isteme süresi satış talebiyle birlikte durur ve duran bu süre, ihalenin yapılamadığına veya iptal edildiğine ilişkin tutanak tarihinden itibaren kaldığı yerden işlemeye başlar.</w:t>
            </w:r>
          </w:p>
          <w:p w:rsidR="00AA5C8C" w:rsidRPr="00A23740" w:rsidRDefault="00AA5C8C" w:rsidP="009431FF">
            <w:pPr>
              <w:rPr>
                <w:rFonts w:eastAsia="Times New Roman"/>
                <w:color w:val="000000"/>
                <w:szCs w:val="24"/>
                <w:lang w:eastAsia="tr-TR"/>
              </w:rPr>
            </w:pPr>
          </w:p>
          <w:bookmarkEnd w:id="4"/>
          <w:p w:rsidR="00AA5C8C" w:rsidRPr="00A23740" w:rsidRDefault="00AA5C8C" w:rsidP="009431FF">
            <w:pPr>
              <w:rPr>
                <w:rFonts w:eastAsia="Times New Roman"/>
                <w:color w:val="000000"/>
                <w:szCs w:val="24"/>
                <w:lang w:eastAsia="tr-TR"/>
              </w:rPr>
            </w:pPr>
          </w:p>
          <w:p w:rsidR="00AA5C8C" w:rsidRPr="00A23740" w:rsidRDefault="00AA5C8C" w:rsidP="009431FF">
            <w:pPr>
              <w:tabs>
                <w:tab w:val="left" w:pos="567"/>
              </w:tabs>
              <w:rPr>
                <w:rFonts w:eastAsia="Times New Roman"/>
                <w:b/>
                <w:color w:val="0000FF"/>
                <w:szCs w:val="24"/>
                <w:lang w:eastAsia="tr-TR"/>
              </w:rPr>
            </w:pPr>
          </w:p>
        </w:tc>
        <w:tc>
          <w:tcPr>
            <w:tcW w:w="2500" w:type="pct"/>
          </w:tcPr>
          <w:p w:rsidR="00AA5C8C" w:rsidRPr="00A23740" w:rsidRDefault="00AA5C8C" w:rsidP="009431FF">
            <w:pPr>
              <w:pStyle w:val="Mavi"/>
            </w:pPr>
            <w:r w:rsidRPr="00A23740">
              <w:rPr>
                <w:rFonts w:eastAsia="Times New Roman"/>
                <w:lang w:eastAsia="tr-TR"/>
              </w:rPr>
              <w:t xml:space="preserve">Satışın </w:t>
            </w:r>
            <w:r w:rsidRPr="00A23740">
              <w:rPr>
                <w:rStyle w:val="YELChar"/>
                <w:rFonts w:eastAsia="Calibri"/>
                <w:b/>
                <w:color w:val="0000FF"/>
                <w:lang w:eastAsia="x-none"/>
              </w:rPr>
              <w:t>gerçekleşmemesi ve yeniden satış talebi</w:t>
            </w:r>
            <w:r w:rsidRPr="00A23740">
              <w:t xml:space="preserve"> </w:t>
            </w:r>
          </w:p>
          <w:p w:rsidR="0018123F" w:rsidRPr="00A23740" w:rsidRDefault="00AA5C8C" w:rsidP="009431FF">
            <w:pPr>
              <w:pStyle w:val="Mavi"/>
            </w:pPr>
            <w:r w:rsidRPr="00A23740">
              <w:t>MADDE 24</w:t>
            </w:r>
            <w:r w:rsidR="00490C3E" w:rsidRPr="00A23740">
              <w:rPr>
                <w:lang w:val="tr-TR"/>
              </w:rPr>
              <w:t>8</w:t>
            </w:r>
            <w:r w:rsidRPr="00A23740">
              <w:t>- (1) Bir yıllık süre içinde satışı istenip de</w:t>
            </w:r>
            <w:r w:rsidR="004D1AB3" w:rsidRPr="00A23740">
              <w:rPr>
                <w:lang w:val="tr-TR"/>
              </w:rPr>
              <w:t xml:space="preserve"> </w:t>
            </w:r>
            <w:r w:rsidR="004D1AB3" w:rsidRPr="007E21DC">
              <w:rPr>
                <w:rStyle w:val="KonuBalChar"/>
                <w:rFonts w:eastAsia="Calibri"/>
                <w:b/>
                <w:color w:val="0000FF"/>
              </w:rPr>
              <w:t>23</w:t>
            </w:r>
            <w:r w:rsidR="00434195" w:rsidRPr="007E21DC">
              <w:rPr>
                <w:rStyle w:val="KonuBalChar"/>
                <w:rFonts w:eastAsia="Calibri"/>
                <w:b/>
                <w:color w:val="0000FF"/>
                <w:lang w:val="tr-TR"/>
              </w:rPr>
              <w:t>6</w:t>
            </w:r>
            <w:r w:rsidR="004D1AB3" w:rsidRPr="007E21DC">
              <w:rPr>
                <w:rStyle w:val="KonuBalChar"/>
                <w:rFonts w:eastAsia="Calibri"/>
                <w:b/>
                <w:color w:val="0000FF"/>
              </w:rPr>
              <w:t xml:space="preserve"> </w:t>
            </w:r>
            <w:r w:rsidR="00434195" w:rsidRPr="007E21DC">
              <w:rPr>
                <w:rStyle w:val="KonuBalChar"/>
                <w:rFonts w:eastAsia="Calibri"/>
                <w:b/>
                <w:color w:val="0000FF"/>
              </w:rPr>
              <w:t>ncı</w:t>
            </w:r>
            <w:r w:rsidRPr="00A23740">
              <w:t xml:space="preserve"> </w:t>
            </w:r>
            <w:r w:rsidRPr="00A23740">
              <w:rPr>
                <w:lang w:val="tr-TR"/>
              </w:rPr>
              <w:t xml:space="preserve"> </w:t>
            </w:r>
            <w:r w:rsidRPr="00A23740">
              <w:t xml:space="preserve">maddeye göre yapılan ikinci açık artırma sonucunda da satışı gerçekleştirilemeyen </w:t>
            </w:r>
            <w:r w:rsidRPr="00A23740">
              <w:rPr>
                <w:lang w:val="tr-TR"/>
              </w:rPr>
              <w:t>mal</w:t>
            </w:r>
            <w:r w:rsidR="00D6629C" w:rsidRPr="00A23740">
              <w:rPr>
                <w:lang w:val="tr-TR"/>
              </w:rPr>
              <w:t xml:space="preserve"> </w:t>
            </w:r>
            <w:r w:rsidR="00D6629C" w:rsidRPr="000D6BE5">
              <w:t>veya hak</w:t>
            </w:r>
            <w:r w:rsidRPr="00A23740">
              <w:rPr>
                <w:color w:val="70AD47"/>
              </w:rPr>
              <w:t xml:space="preserve"> </w:t>
            </w:r>
            <w:r w:rsidRPr="00A23740">
              <w:t xml:space="preserve">hakkında </w:t>
            </w:r>
            <w:r w:rsidRPr="00A23740">
              <w:rPr>
                <w:rFonts w:eastAsia="Times New Roman"/>
                <w:b w:val="0"/>
                <w:bCs w:val="0"/>
                <w:color w:val="000000"/>
                <w:lang w:val="en-GB" w:eastAsia="tr-TR"/>
              </w:rPr>
              <w:t xml:space="preserve">alacaklı, önceki satış talebinden </w:t>
            </w:r>
            <w:r w:rsidRPr="00A23740">
              <w:rPr>
                <w:lang w:val="en-GB" w:eastAsia="tr-TR"/>
              </w:rPr>
              <w:t>sonra</w:t>
            </w:r>
            <w:r w:rsidRPr="00A23740">
              <w:rPr>
                <w:rFonts w:eastAsia="Times New Roman"/>
                <w:b w:val="0"/>
                <w:bCs w:val="0"/>
                <w:color w:val="000000"/>
                <w:lang w:val="en-GB" w:eastAsia="tr-TR"/>
              </w:rPr>
              <w:t xml:space="preserve"> kalan satış isteme süresi içinde</w:t>
            </w:r>
            <w:r w:rsidR="00606ACA" w:rsidRPr="00A23740">
              <w:rPr>
                <w:rFonts w:eastAsia="Times New Roman"/>
                <w:b w:val="0"/>
                <w:bCs w:val="0"/>
                <w:color w:val="000000"/>
                <w:lang w:val="en-GB" w:eastAsia="tr-TR"/>
              </w:rPr>
              <w:t xml:space="preserve"> </w:t>
            </w:r>
            <w:r w:rsidR="00606ACA" w:rsidRPr="000D6BE5">
              <w:t>bir defaya mahsus olmak üzere</w:t>
            </w:r>
            <w:r w:rsidRPr="00A23740">
              <w:rPr>
                <w:rFonts w:eastAsia="Times New Roman"/>
                <w:b w:val="0"/>
                <w:bCs w:val="0"/>
                <w:color w:val="000000"/>
                <w:lang w:val="en-GB" w:eastAsia="tr-TR"/>
              </w:rPr>
              <w:t xml:space="preserve"> </w:t>
            </w:r>
            <w:r w:rsidRPr="00A23740">
              <w:rPr>
                <w:lang w:val="en-GB" w:eastAsia="tr-TR"/>
              </w:rPr>
              <w:t>yeniden</w:t>
            </w:r>
            <w:r w:rsidRPr="00A23740">
              <w:rPr>
                <w:rFonts w:eastAsia="Times New Roman"/>
                <w:b w:val="0"/>
                <w:bCs w:val="0"/>
                <w:color w:val="000000"/>
                <w:lang w:val="en-GB" w:eastAsia="tr-TR"/>
              </w:rPr>
              <w:t xml:space="preserve"> satış talep edebilir.</w:t>
            </w:r>
          </w:p>
          <w:p w:rsidR="00401547" w:rsidRPr="00A23740" w:rsidRDefault="00401547" w:rsidP="009431FF">
            <w:pPr>
              <w:pStyle w:val="Mavi"/>
            </w:pPr>
          </w:p>
          <w:p w:rsidR="00F86D20" w:rsidRPr="00A23740" w:rsidRDefault="00F86D20" w:rsidP="009431FF">
            <w:pPr>
              <w:pStyle w:val="Mavi"/>
              <w:rPr>
                <w:lang w:val="tr-TR"/>
              </w:rPr>
            </w:pPr>
          </w:p>
          <w:p w:rsidR="00AA5C8C" w:rsidRPr="00A23740" w:rsidRDefault="0018123F" w:rsidP="009431FF">
            <w:pPr>
              <w:pStyle w:val="Mavi"/>
            </w:pPr>
            <w:r w:rsidRPr="00A23740">
              <w:rPr>
                <w:lang w:val="tr-TR"/>
              </w:rPr>
              <w:t xml:space="preserve">(2) </w:t>
            </w:r>
            <w:r w:rsidR="00401547" w:rsidRPr="00A23740">
              <w:rPr>
                <w:lang w:val="tr-TR"/>
              </w:rPr>
              <w:t xml:space="preserve">Kalan satış isteme </w:t>
            </w:r>
            <w:r w:rsidR="00401547" w:rsidRPr="00A23740">
              <w:t xml:space="preserve">süresi </w:t>
            </w:r>
            <w:r w:rsidR="00AA5C8C" w:rsidRPr="00A23740">
              <w:t xml:space="preserve">içinde yeniden satış talebinde </w:t>
            </w:r>
            <w:r w:rsidR="00606ACA" w:rsidRPr="000D6BE5">
              <w:t>bulunulmaz veya satış talebinde bulunulur da satış yine gerçekleştirilemezse,</w:t>
            </w:r>
            <w:r w:rsidR="00AA5C8C" w:rsidRPr="00A23740">
              <w:t xml:space="preserve"> </w:t>
            </w:r>
            <w:r w:rsidR="00AA5C8C" w:rsidRPr="00A23740">
              <w:rPr>
                <w:lang w:val="tr-TR"/>
              </w:rPr>
              <w:t>mal</w:t>
            </w:r>
            <w:r w:rsidR="00AA5C8C" w:rsidRPr="00A23740">
              <w:t xml:space="preserve"> üzerindeki haciz kalkar ve aynı icra takibi içinde bu mal artık tekrar haczedilemez.</w:t>
            </w:r>
          </w:p>
          <w:p w:rsidR="003F2612" w:rsidRPr="00A23740" w:rsidRDefault="003F2612" w:rsidP="009431FF">
            <w:pPr>
              <w:pStyle w:val="KIRMIZI"/>
              <w:rPr>
                <w:b w:val="0"/>
                <w:lang w:eastAsia="tr-TR"/>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18123F" w:rsidRPr="00A23740" w:rsidRDefault="0018123F" w:rsidP="009431FF">
            <w:pPr>
              <w:tabs>
                <w:tab w:val="left" w:pos="567"/>
              </w:tabs>
              <w:ind w:firstLine="709"/>
              <w:rPr>
                <w:rFonts w:eastAsia="Times New Roman"/>
                <w:b/>
                <w:color w:val="000000"/>
                <w:szCs w:val="24"/>
                <w:lang w:eastAsia="tr-TR"/>
              </w:rPr>
            </w:pPr>
          </w:p>
          <w:p w:rsidR="00AA5C8C" w:rsidRPr="00A23740" w:rsidRDefault="007855E7" w:rsidP="009431FF">
            <w:pPr>
              <w:tabs>
                <w:tab w:val="left" w:pos="567"/>
              </w:tabs>
              <w:ind w:firstLine="709"/>
              <w:rPr>
                <w:rFonts w:eastAsia="Times New Roman"/>
                <w:color w:val="000000"/>
                <w:szCs w:val="24"/>
                <w:lang w:eastAsia="tr-TR"/>
              </w:rPr>
            </w:pPr>
            <w:r w:rsidRPr="00A23740">
              <w:rPr>
                <w:rFonts w:eastAsia="Times New Roman"/>
                <w:b/>
                <w:bCs/>
                <w:color w:val="000000"/>
                <w:szCs w:val="24"/>
                <w:lang w:eastAsia="tr-TR"/>
              </w:rPr>
              <w:t xml:space="preserve">MADDE </w:t>
            </w:r>
            <w:r w:rsidR="00AA5C8C" w:rsidRPr="00A23740">
              <w:rPr>
                <w:rFonts w:eastAsia="Times New Roman"/>
                <w:b/>
                <w:bCs/>
                <w:color w:val="000000"/>
                <w:szCs w:val="24"/>
                <w:lang w:eastAsia="tr-TR"/>
              </w:rPr>
              <w:t>24</w:t>
            </w:r>
            <w:r w:rsidR="00490C3E" w:rsidRPr="00A23740">
              <w:rPr>
                <w:rFonts w:eastAsia="Times New Roman"/>
                <w:b/>
                <w:bCs/>
                <w:color w:val="000000"/>
                <w:szCs w:val="24"/>
                <w:lang w:eastAsia="tr-TR"/>
              </w:rPr>
              <w:t>8</w:t>
            </w:r>
            <w:r w:rsidR="00AA5C8C" w:rsidRPr="00A23740">
              <w:rPr>
                <w:rFonts w:eastAsia="Times New Roman"/>
                <w:b/>
                <w:bCs/>
                <w:color w:val="000000"/>
                <w:szCs w:val="24"/>
                <w:lang w:eastAsia="tr-TR"/>
              </w:rPr>
              <w:t xml:space="preserve">- </w:t>
            </w:r>
            <w:r w:rsidR="0018123F" w:rsidRPr="00A23740">
              <w:rPr>
                <w:rFonts w:eastAsia="Times New Roman"/>
                <w:bCs/>
                <w:color w:val="000000"/>
                <w:szCs w:val="24"/>
                <w:lang w:eastAsia="tr-TR"/>
              </w:rPr>
              <w:t>Maddeyle</w:t>
            </w:r>
            <w:r w:rsidR="00ED3C41" w:rsidRPr="00A23740">
              <w:rPr>
                <w:rFonts w:eastAsia="Times New Roman"/>
                <w:bCs/>
                <w:color w:val="000000"/>
                <w:szCs w:val="24"/>
                <w:lang w:eastAsia="tr-TR"/>
              </w:rPr>
              <w:t>,</w:t>
            </w:r>
            <w:r w:rsidR="0018123F" w:rsidRPr="00A23740">
              <w:rPr>
                <w:rFonts w:eastAsia="Times New Roman"/>
                <w:bCs/>
                <w:color w:val="000000"/>
                <w:szCs w:val="24"/>
                <w:lang w:eastAsia="tr-TR"/>
              </w:rPr>
              <w:t xml:space="preserve"> satışın gerçekleşmemesi ve yeniden satış talebi düzenlenmektedir.</w:t>
            </w:r>
            <w:r w:rsidR="0018123F" w:rsidRPr="00A23740">
              <w:rPr>
                <w:rFonts w:eastAsia="Times New Roman"/>
                <w:b/>
                <w:bCs/>
                <w:color w:val="000000"/>
                <w:szCs w:val="24"/>
                <w:lang w:eastAsia="tr-TR"/>
              </w:rPr>
              <w:t xml:space="preserve"> </w:t>
            </w:r>
          </w:p>
          <w:p w:rsidR="00DD2D43" w:rsidRPr="00A23740" w:rsidRDefault="0018123F" w:rsidP="009431FF">
            <w:pPr>
              <w:tabs>
                <w:tab w:val="left" w:pos="567"/>
              </w:tabs>
              <w:ind w:firstLine="709"/>
              <w:rPr>
                <w:rFonts w:eastAsia="Times New Roman"/>
                <w:bCs/>
                <w:color w:val="000000"/>
              </w:rPr>
            </w:pPr>
            <w:r w:rsidRPr="00A23740">
              <w:rPr>
                <w:rFonts w:eastAsia="Times New Roman"/>
                <w:color w:val="000000"/>
                <w:szCs w:val="24"/>
                <w:lang w:eastAsia="tr-TR"/>
              </w:rPr>
              <w:t xml:space="preserve">Birinci fıkrayla, </w:t>
            </w:r>
            <w:r w:rsidR="00401547" w:rsidRPr="00A23740">
              <w:t xml:space="preserve">bir </w:t>
            </w:r>
            <w:r w:rsidRPr="00A23740">
              <w:t xml:space="preserve">yıllık süre içinde satışı istenip de yapılan ikinci açık artırma sonucunda da satışı gerçekleştirilemeyen mal hakkında </w:t>
            </w:r>
            <w:r w:rsidRPr="00A23740">
              <w:rPr>
                <w:rFonts w:eastAsia="Times New Roman"/>
                <w:bCs/>
                <w:color w:val="000000"/>
                <w:lang w:eastAsia="tr-TR"/>
              </w:rPr>
              <w:t>alacaklı</w:t>
            </w:r>
            <w:r w:rsidR="00401547" w:rsidRPr="00A23740">
              <w:rPr>
                <w:rFonts w:eastAsia="Times New Roman"/>
                <w:bCs/>
                <w:color w:val="000000"/>
                <w:lang w:eastAsia="tr-TR"/>
              </w:rPr>
              <w:t>nın</w:t>
            </w:r>
            <w:r w:rsidRPr="00A23740">
              <w:rPr>
                <w:rFonts w:eastAsia="Times New Roman"/>
                <w:bCs/>
                <w:color w:val="000000"/>
                <w:lang w:eastAsia="tr-TR"/>
              </w:rPr>
              <w:t xml:space="preserve">, önceki satış talebinden </w:t>
            </w:r>
            <w:r w:rsidRPr="00A23740">
              <w:rPr>
                <w:lang w:eastAsia="tr-TR"/>
              </w:rPr>
              <w:t>sonra</w:t>
            </w:r>
            <w:r w:rsidRPr="00A23740">
              <w:rPr>
                <w:rFonts w:eastAsia="Times New Roman"/>
                <w:bCs/>
                <w:color w:val="000000"/>
                <w:lang w:eastAsia="tr-TR"/>
              </w:rPr>
              <w:t xml:space="preserve"> kalan satış isteme süresi içinde </w:t>
            </w:r>
            <w:r w:rsidRPr="00A23740">
              <w:rPr>
                <w:lang w:eastAsia="tr-TR"/>
              </w:rPr>
              <w:t>yeniden</w:t>
            </w:r>
            <w:r w:rsidR="00401547" w:rsidRPr="00A23740">
              <w:rPr>
                <w:rFonts w:eastAsia="Times New Roman"/>
                <w:bCs/>
                <w:color w:val="000000"/>
                <w:lang w:eastAsia="tr-TR"/>
              </w:rPr>
              <w:t xml:space="preserve"> satış talep edebileceği belirtilmektedir.</w:t>
            </w:r>
            <w:r w:rsidR="00401547" w:rsidRPr="00A23740">
              <w:rPr>
                <w:rFonts w:eastAsia="Times New Roman"/>
                <w:b/>
                <w:bCs/>
                <w:color w:val="000000"/>
                <w:lang w:eastAsia="tr-TR"/>
              </w:rPr>
              <w:t xml:space="preserve"> </w:t>
            </w:r>
            <w:r w:rsidR="00AA5C8C" w:rsidRPr="00A23740">
              <w:rPr>
                <w:szCs w:val="24"/>
              </w:rPr>
              <w:t>Buna göre, alacaklı ilk kez satış talep ettiğinde satış isteme süresi duracak, satışın gerçekleşmediği andan itibaren bu süre kaldığı yerden işlemeye devam edecektir. Alacaklı da bakiye süre içinde yeniden satış günü verilmesini talep edebilecektir. Böylece yeni bir satış isteme süresinin işlemeye başlamayacağı açıklığa kavuşturulm</w:t>
            </w:r>
            <w:r w:rsidR="00DD2D43" w:rsidRPr="00A23740">
              <w:rPr>
                <w:szCs w:val="24"/>
              </w:rPr>
              <w:t xml:space="preserve">aktadır. </w:t>
            </w:r>
            <w:r w:rsidR="00DD2D43" w:rsidRPr="00A23740">
              <w:rPr>
                <w:rFonts w:eastAsia="Times New Roman"/>
                <w:color w:val="000000"/>
                <w:szCs w:val="24"/>
                <w:lang w:eastAsia="tr-TR"/>
              </w:rPr>
              <w:t xml:space="preserve">Bu hüküm </w:t>
            </w:r>
            <w:r w:rsidR="00ED3C41" w:rsidRPr="00A23740">
              <w:rPr>
                <w:rFonts w:eastAsia="Times New Roman"/>
                <w:color w:val="000000"/>
                <w:szCs w:val="24"/>
                <w:lang w:eastAsia="tr-TR"/>
              </w:rPr>
              <w:t>içerik itibarıyla</w:t>
            </w:r>
            <w:r w:rsidR="00DD2D43" w:rsidRPr="00A23740">
              <w:rPr>
                <w:rFonts w:eastAsia="Times New Roman"/>
                <w:color w:val="000000"/>
                <w:szCs w:val="24"/>
                <w:lang w:eastAsia="tr-TR"/>
              </w:rPr>
              <w:t>, 2004 sayılı Kanunun 115 inci maddesinin yedinci fıkrasının birinci cümlesine karşılık gelmektedir.</w:t>
            </w:r>
            <w:r w:rsidR="00ED3C41" w:rsidRPr="00A23740">
              <w:rPr>
                <w:rFonts w:eastAsia="Times New Roman"/>
                <w:color w:val="000000"/>
                <w:szCs w:val="24"/>
                <w:lang w:eastAsia="tr-TR"/>
              </w:rPr>
              <w:t xml:space="preserve"> Diğer taraftan, birinci fıkra hükmü</w:t>
            </w:r>
            <w:r w:rsidR="00ED3C41" w:rsidRPr="00A23740">
              <w:rPr>
                <w:rFonts w:eastAsia="Times New Roman"/>
                <w:bCs/>
                <w:color w:val="000000"/>
              </w:rPr>
              <w:t xml:space="preserve">, 2004 sayılı Kanunun 115 inci maddesinin yedinci fıkrasının ikinci cümlesini içerik olarak karşıladığından, hükümde bu cümleye ayrıca yer verilmemektedir. </w:t>
            </w:r>
            <w:r w:rsidR="00B24278" w:rsidRPr="00D60C1D">
              <w:rPr>
                <w:rStyle w:val="YELChar"/>
                <w:b w:val="0"/>
                <w:color w:val="000000"/>
              </w:rPr>
              <w:t>Sonuç itibarıyla süresi içinde satış istenmemesi veya satış talebi</w:t>
            </w:r>
            <w:r w:rsidR="00626E3B" w:rsidRPr="00D60C1D">
              <w:rPr>
                <w:rStyle w:val="YELChar"/>
                <w:b w:val="0"/>
                <w:color w:val="000000"/>
              </w:rPr>
              <w:t>nin</w:t>
            </w:r>
            <w:r w:rsidR="00B24278" w:rsidRPr="00D60C1D">
              <w:rPr>
                <w:rStyle w:val="YELChar"/>
                <w:b w:val="0"/>
                <w:color w:val="000000"/>
              </w:rPr>
              <w:t xml:space="preserve"> geri alınıp da yenilenmemesi hakkındak</w:t>
            </w:r>
            <w:r w:rsidR="003F2612" w:rsidRPr="00D60C1D">
              <w:rPr>
                <w:rStyle w:val="YELChar"/>
                <w:b w:val="0"/>
                <w:color w:val="000000"/>
              </w:rPr>
              <w:t>i</w:t>
            </w:r>
            <w:r w:rsidR="00B24278" w:rsidRPr="00D60C1D">
              <w:rPr>
                <w:rStyle w:val="YELChar"/>
                <w:b w:val="0"/>
                <w:color w:val="000000"/>
              </w:rPr>
              <w:t xml:space="preserve"> 216 ncı</w:t>
            </w:r>
            <w:r w:rsidR="00434195" w:rsidRPr="00A23740">
              <w:rPr>
                <w:rStyle w:val="YELChar"/>
              </w:rPr>
              <w:t xml:space="preserve"> </w:t>
            </w:r>
            <w:r w:rsidR="00B24278" w:rsidRPr="00D60C1D">
              <w:rPr>
                <w:rStyle w:val="YELChar"/>
                <w:b w:val="0"/>
                <w:color w:val="000000"/>
              </w:rPr>
              <w:t>maddede öngörülen hukuki sonuç ile bu maddede satışın gerçekleşmemesine bağlanan hukuki sonuç birbiriyle aynı olmaktadır.</w:t>
            </w:r>
          </w:p>
          <w:p w:rsidR="00A84621" w:rsidRPr="00A23740" w:rsidRDefault="00DD2D43" w:rsidP="009431FF">
            <w:pPr>
              <w:tabs>
                <w:tab w:val="left" w:pos="567"/>
              </w:tabs>
              <w:ind w:firstLine="709"/>
              <w:rPr>
                <w:rFonts w:eastAsia="Times New Roman"/>
                <w:color w:val="000000"/>
                <w:szCs w:val="24"/>
                <w:lang w:eastAsia="tr-TR"/>
              </w:rPr>
            </w:pPr>
            <w:r w:rsidRPr="00A23740">
              <w:rPr>
                <w:szCs w:val="24"/>
              </w:rPr>
              <w:t xml:space="preserve">İkinci fıkrayla, </w:t>
            </w:r>
            <w:r w:rsidRPr="00A23740">
              <w:t>kalan satış isteme süresi içinde yeniden satış talebinde bulunulmazsa mal üzerindeki haczin kalkacağı ve aynı icra takibi içinde bu malın artık tekrar haczedilmeyeceği düzenlenmektedir.</w:t>
            </w:r>
            <w:r w:rsidR="006734F4" w:rsidRPr="00A23740">
              <w:rPr>
                <w:szCs w:val="24"/>
              </w:rPr>
              <w:t xml:space="preserve"> </w:t>
            </w:r>
            <w:r w:rsidR="00F60C15" w:rsidRPr="00A23740">
              <w:rPr>
                <w:szCs w:val="24"/>
              </w:rPr>
              <w:t>Taslağın</w:t>
            </w:r>
            <w:r w:rsidR="00434195" w:rsidRPr="00A23740">
              <w:rPr>
                <w:szCs w:val="24"/>
              </w:rPr>
              <w:t xml:space="preserve"> </w:t>
            </w:r>
            <w:r w:rsidR="00434195" w:rsidRPr="00D60C1D">
              <w:rPr>
                <w:rStyle w:val="KonuBalChar"/>
                <w:rFonts w:eastAsia="Calibri"/>
                <w:b w:val="0"/>
                <w:color w:val="000000"/>
              </w:rPr>
              <w:t>216 ncı</w:t>
            </w:r>
            <w:r w:rsidR="00ED3C41" w:rsidRPr="00A23740">
              <w:rPr>
                <w:szCs w:val="24"/>
              </w:rPr>
              <w:t xml:space="preserve"> </w:t>
            </w:r>
            <w:r w:rsidR="00F60C15" w:rsidRPr="00A23740">
              <w:rPr>
                <w:szCs w:val="24"/>
              </w:rPr>
              <w:t xml:space="preserve">maddesinin birinci fıkrasında </w:t>
            </w:r>
            <w:r w:rsidR="00ED3C41" w:rsidRPr="00A23740">
              <w:rPr>
                <w:szCs w:val="24"/>
              </w:rPr>
              <w:t xml:space="preserve">düzenlenen </w:t>
            </w:r>
            <w:r w:rsidR="00F60C15" w:rsidRPr="00A23740">
              <w:rPr>
                <w:szCs w:val="24"/>
              </w:rPr>
              <w:t xml:space="preserve">esaslar bu ihtimalde de kabul edilmektedir. Anılan hükme göre, mal ve hakkın satılması kanuni süre içinde talep edilmez veya satış talebi geri alınıp da kalan süre içinde yeniden talepte bulunulmazsa </w:t>
            </w:r>
            <w:r w:rsidR="00A84621" w:rsidRPr="00D60C1D">
              <w:rPr>
                <w:color w:val="000000"/>
                <w:szCs w:val="24"/>
              </w:rPr>
              <w:t>veya satış talebinde bulunulur da satış yine gerçekleştirilemezse</w:t>
            </w:r>
            <w:r w:rsidR="00626E3B" w:rsidRPr="00D60C1D">
              <w:rPr>
                <w:color w:val="000000"/>
                <w:szCs w:val="24"/>
              </w:rPr>
              <w:t>,</w:t>
            </w:r>
            <w:r w:rsidR="00A84621" w:rsidRPr="00A23740">
              <w:rPr>
                <w:szCs w:val="24"/>
              </w:rPr>
              <w:t xml:space="preserve"> </w:t>
            </w:r>
            <w:r w:rsidR="00F60C15" w:rsidRPr="00A23740">
              <w:rPr>
                <w:szCs w:val="24"/>
              </w:rPr>
              <w:t xml:space="preserve">mal ve hak üzerindeki haciz kalkar ve aynı icra takibi içinde bu mal tekrar haczedilemez. </w:t>
            </w:r>
            <w:r w:rsidR="00AA5C8C" w:rsidRPr="00A23740">
              <w:rPr>
                <w:rFonts w:eastAsia="Times New Roman"/>
                <w:color w:val="000000"/>
                <w:szCs w:val="24"/>
                <w:lang w:eastAsia="tr-TR"/>
              </w:rPr>
              <w:t>Böylece alacaklının (kalan süre içinde</w:t>
            </w:r>
            <w:r w:rsidR="005A1ED0" w:rsidRPr="00A23740">
              <w:rPr>
                <w:rFonts w:eastAsia="Times New Roman"/>
                <w:color w:val="000000"/>
                <w:szCs w:val="24"/>
                <w:lang w:eastAsia="tr-TR"/>
              </w:rPr>
              <w:t xml:space="preserve">, </w:t>
            </w:r>
            <w:r w:rsidR="00AA5C8C" w:rsidRPr="00A23740">
              <w:rPr>
                <w:rFonts w:eastAsia="Times New Roman"/>
                <w:color w:val="000000"/>
                <w:szCs w:val="24"/>
                <w:lang w:eastAsia="tr-TR"/>
              </w:rPr>
              <w:t>yeniden satış isteme) yükümlülüğünü yerine getirmesine rağmen, malın satılamaması h</w:t>
            </w:r>
            <w:r w:rsidR="00C224B4" w:rsidRPr="00A23740">
              <w:rPr>
                <w:rFonts w:eastAsia="Times New Roman"/>
                <w:color w:val="000000"/>
                <w:szCs w:val="24"/>
                <w:lang w:eastAsia="tr-TR"/>
              </w:rPr>
              <w:t>â</w:t>
            </w:r>
            <w:r w:rsidR="00AA5C8C" w:rsidRPr="00A23740">
              <w:rPr>
                <w:rFonts w:eastAsia="Times New Roman"/>
                <w:color w:val="000000"/>
                <w:szCs w:val="24"/>
                <w:lang w:eastAsia="tr-TR"/>
              </w:rPr>
              <w:t>linde takibin düşmesine nazaran daha hafif olan haczin düşmesi ve malın yeniden haczedilememe yaptırımı</w:t>
            </w:r>
            <w:r w:rsidR="00626E3B" w:rsidRPr="00A23740">
              <w:rPr>
                <w:rFonts w:eastAsia="Times New Roman"/>
                <w:color w:val="000000"/>
                <w:szCs w:val="24"/>
                <w:lang w:eastAsia="tr-TR"/>
              </w:rPr>
              <w:t>yla</w:t>
            </w:r>
            <w:r w:rsidR="00AA5C8C" w:rsidRPr="00A23740">
              <w:rPr>
                <w:rFonts w:eastAsia="Times New Roman"/>
                <w:color w:val="000000"/>
                <w:szCs w:val="24"/>
                <w:lang w:eastAsia="tr-TR"/>
              </w:rPr>
              <w:t xml:space="preserve"> karşı karşıya kalması ka</w:t>
            </w:r>
            <w:r w:rsidR="006734F4" w:rsidRPr="00A23740">
              <w:rPr>
                <w:rFonts w:eastAsia="Times New Roman"/>
                <w:color w:val="000000"/>
                <w:szCs w:val="24"/>
                <w:lang w:eastAsia="tr-TR"/>
              </w:rPr>
              <w:t xml:space="preserve">bul edilmektedir. </w:t>
            </w:r>
            <w:r w:rsidR="00AA5C8C" w:rsidRPr="00A23740">
              <w:rPr>
                <w:rFonts w:eastAsia="Times New Roman"/>
                <w:color w:val="000000"/>
                <w:szCs w:val="24"/>
                <w:lang w:eastAsia="tr-TR"/>
              </w:rPr>
              <w:t>2004 sayılı Kanunda bulunmayan ve Taslakla getirilmiş söz konusu kuralla, uygulamada hem borçlu ve ilgililer hem de sistem için olumsuzluklara sebep olan cebr</w:t>
            </w:r>
            <w:r w:rsidR="00436506" w:rsidRPr="00A23740">
              <w:rPr>
                <w:rFonts w:eastAsia="Times New Roman"/>
                <w:color w:val="000000"/>
                <w:szCs w:val="24"/>
                <w:lang w:eastAsia="tr-TR"/>
              </w:rPr>
              <w:t>î</w:t>
            </w:r>
            <w:r w:rsidR="00AA5C8C" w:rsidRPr="00A23740">
              <w:rPr>
                <w:rFonts w:eastAsia="Times New Roman"/>
                <w:color w:val="000000"/>
                <w:szCs w:val="24"/>
                <w:lang w:eastAsia="tr-TR"/>
              </w:rPr>
              <w:t xml:space="preserve"> icra sistemini harekete geçirmiş olan alacaklının üzerine düşen yükümlülükleri zamanında yerine getirerek takibi sürüncemede bırakması durumunun önlenmesi amaçlanm</w:t>
            </w:r>
            <w:r w:rsidR="006734F4" w:rsidRPr="00A23740">
              <w:rPr>
                <w:rFonts w:eastAsia="Times New Roman"/>
                <w:color w:val="000000"/>
                <w:szCs w:val="24"/>
                <w:lang w:eastAsia="tr-TR"/>
              </w:rPr>
              <w:t>aktadır.</w:t>
            </w:r>
          </w:p>
          <w:p w:rsidR="005A1ED0" w:rsidRPr="00A23740" w:rsidRDefault="005A1ED0" w:rsidP="003F10EF">
            <w:pPr>
              <w:tabs>
                <w:tab w:val="left" w:pos="567"/>
              </w:tabs>
              <w:ind w:firstLine="709"/>
              <w:rPr>
                <w:b/>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i/>
                <w:szCs w:val="24"/>
                <w:lang w:eastAsia="tr-TR"/>
              </w:rPr>
            </w:pPr>
            <w:r w:rsidRPr="00A23740">
              <w:rPr>
                <w:rStyle w:val="KIRMIZIChar"/>
                <w:rFonts w:eastAsia="Calibri"/>
              </w:rPr>
              <w:t>Ödeme müddeti içinde taşınmazın</w:t>
            </w:r>
            <w:r w:rsidRPr="00A23740">
              <w:rPr>
                <w:rFonts w:eastAsia="Times New Roman"/>
                <w:i/>
                <w:szCs w:val="24"/>
                <w:lang w:eastAsia="tr-TR"/>
              </w:rPr>
              <w:t xml:space="preserve"> idaresi</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131 – (1</w:t>
            </w:r>
            <w:r w:rsidRPr="00A23740">
              <w:rPr>
                <w:rFonts w:eastAsia="Times New Roman"/>
                <w:b/>
                <w:strike/>
                <w:color w:val="FF0000"/>
                <w:szCs w:val="24"/>
                <w:lang w:eastAsia="tr-TR"/>
              </w:rPr>
              <w:t>) Satış</w:t>
            </w:r>
            <w:r w:rsidRPr="00A23740">
              <w:t xml:space="preserve"> bedelinin ödenmesi </w:t>
            </w:r>
            <w:r w:rsidRPr="00A23740">
              <w:rPr>
                <w:rFonts w:eastAsia="Times New Roman"/>
                <w:b/>
                <w:strike/>
                <w:color w:val="FF0000"/>
                <w:szCs w:val="24"/>
                <w:lang w:eastAsia="tr-TR"/>
              </w:rPr>
              <w:t xml:space="preserve">için mühlet verilmiş ise para verilinceye </w:t>
            </w:r>
            <w:r w:rsidRPr="00A23740">
              <w:rPr>
                <w:rFonts w:eastAsia="Times New Roman"/>
                <w:szCs w:val="24"/>
                <w:lang w:eastAsia="tr-TR"/>
              </w:rPr>
              <w:t xml:space="preserve">kadar hasar ve </w:t>
            </w:r>
            <w:r w:rsidRPr="00A23740">
              <w:rPr>
                <w:rStyle w:val="KIRMIZIChar"/>
                <w:rFonts w:eastAsia="Calibri"/>
              </w:rPr>
              <w:t>masrafı</w:t>
            </w:r>
            <w:r w:rsidRPr="00A23740">
              <w:rPr>
                <w:rFonts w:eastAsia="Times New Roman"/>
                <w:szCs w:val="24"/>
                <w:lang w:eastAsia="tr-TR"/>
              </w:rPr>
              <w:t xml:space="preserve"> </w:t>
            </w:r>
            <w:r w:rsidRPr="00A23740">
              <w:rPr>
                <w:rFonts w:eastAsia="Times New Roman"/>
                <w:b/>
                <w:strike/>
                <w:color w:val="FF0000"/>
                <w:szCs w:val="24"/>
                <w:lang w:eastAsia="tr-TR"/>
              </w:rPr>
              <w:t>müşteriye</w:t>
            </w:r>
            <w:r w:rsidRPr="00A23740">
              <w:rPr>
                <w:rFonts w:eastAsia="Times New Roman"/>
                <w:szCs w:val="24"/>
                <w:lang w:eastAsia="tr-TR"/>
              </w:rPr>
              <w:t xml:space="preserve"> ait olmak üzere </w:t>
            </w:r>
            <w:r w:rsidRPr="00A23740">
              <w:rPr>
                <w:rFonts w:eastAsia="Times New Roman"/>
                <w:b/>
                <w:strike/>
                <w:color w:val="FF0000"/>
                <w:szCs w:val="24"/>
                <w:lang w:eastAsia="tr-TR"/>
              </w:rPr>
              <w:t>taşınmaz</w:t>
            </w:r>
            <w:r w:rsidRPr="00A23740">
              <w:rPr>
                <w:rFonts w:eastAsia="Times New Roman"/>
                <w:szCs w:val="24"/>
                <w:lang w:eastAsia="tr-TR"/>
              </w:rPr>
              <w:t>, icra dairesi tarafından idare olunur.</w:t>
            </w:r>
            <w:r w:rsidR="006931E2" w:rsidRPr="00A23740">
              <w:rPr>
                <w:rFonts w:eastAsia="Times New Roman"/>
                <w:szCs w:val="24"/>
                <w:lang w:eastAsia="tr-TR"/>
              </w:rPr>
              <w:t xml:space="preserve"> </w:t>
            </w:r>
            <w:r w:rsidR="006931E2" w:rsidRPr="00A23740">
              <w:rPr>
                <w:rStyle w:val="KIRMIZIChar"/>
                <w:rFonts w:eastAsia="Calibri"/>
              </w:rPr>
              <w:t>Bu müddet içinde icra dairesinin müsaadesi olmaksızın tapuca hiç bir tescil yapılamaz. İcra dairesi satış bedelini temin için ayrıca teminat gösterilmesini isteyebilir.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5F6587" w:rsidP="009431FF">
            <w:pPr>
              <w:tabs>
                <w:tab w:val="left" w:pos="567"/>
              </w:tabs>
              <w:rPr>
                <w:rFonts w:eastAsia="Times New Roman"/>
                <w:b/>
                <w:szCs w:val="24"/>
                <w:lang w:eastAsia="tr-TR"/>
              </w:rPr>
            </w:pPr>
            <w:r>
              <w:rPr>
                <w:rFonts w:eastAsia="Times New Roman"/>
                <w:b/>
                <w:color w:val="FF0000"/>
                <w:szCs w:val="24"/>
                <w:lang w:eastAsia="tr-TR"/>
              </w:rPr>
              <w:t>(F1.</w:t>
            </w:r>
            <w:r w:rsidR="006931E2" w:rsidRPr="00A23740">
              <w:rPr>
                <w:rFonts w:eastAsia="Times New Roman"/>
                <w:b/>
                <w:color w:val="FF0000"/>
                <w:szCs w:val="24"/>
                <w:lang w:eastAsia="tr-TR"/>
              </w:rPr>
              <w:t xml:space="preserve">C.2.3.) </w:t>
            </w:r>
            <w:r w:rsidR="00AA5C8C" w:rsidRPr="00A23740">
              <w:rPr>
                <w:rFonts w:eastAsia="Times New Roman"/>
                <w:b/>
                <w:strike/>
                <w:color w:val="FF0000"/>
                <w:szCs w:val="24"/>
                <w:lang w:eastAsia="tr-TR"/>
              </w:rPr>
              <w:t>Bu müddet içinde</w:t>
            </w:r>
            <w:r w:rsidR="00AA5C8C" w:rsidRPr="00A23740">
              <w:rPr>
                <w:rFonts w:eastAsia="Times New Roman"/>
                <w:szCs w:val="24"/>
                <w:lang w:eastAsia="tr-TR"/>
              </w:rPr>
              <w:t xml:space="preserve"> icra dairesinin </w:t>
            </w:r>
            <w:r w:rsidR="00AA5C8C" w:rsidRPr="00A23740">
              <w:rPr>
                <w:rStyle w:val="KIRMIZIChar"/>
                <w:rFonts w:eastAsia="Calibri"/>
              </w:rPr>
              <w:t>müsaadesi</w:t>
            </w:r>
            <w:r w:rsidR="00AA5C8C" w:rsidRPr="00A23740">
              <w:rPr>
                <w:rFonts w:eastAsia="Times New Roman"/>
                <w:szCs w:val="24"/>
                <w:lang w:eastAsia="tr-TR"/>
              </w:rPr>
              <w:t xml:space="preserve"> olmaksızın </w:t>
            </w:r>
            <w:r w:rsidR="00AA5C8C" w:rsidRPr="00A23740">
              <w:rPr>
                <w:rStyle w:val="KIRMIZIChar"/>
                <w:rFonts w:eastAsia="Calibri"/>
              </w:rPr>
              <w:t>tapuca</w:t>
            </w:r>
            <w:r w:rsidR="00AA5C8C" w:rsidRPr="00A23740">
              <w:rPr>
                <w:rFonts w:eastAsia="Times New Roman"/>
                <w:szCs w:val="24"/>
                <w:lang w:eastAsia="tr-TR"/>
              </w:rPr>
              <w:t xml:space="preserve"> hiç bir tescil yapılamaz. </w:t>
            </w:r>
            <w:r w:rsidR="00AA5C8C" w:rsidRPr="00A23740">
              <w:rPr>
                <w:rStyle w:val="KIRMIZIChar"/>
                <w:rFonts w:eastAsia="Calibri"/>
                <w:lang w:eastAsia="tr-TR"/>
              </w:rPr>
              <w:t>İcra dairesi satış bedelini temin için ayrıca teminat gösterilmesini isteyebilir.</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rPr>
                <w:rFonts w:eastAsia="Times New Roman"/>
                <w:b/>
                <w:szCs w:val="24"/>
                <w:lang w:eastAsia="tr-TR"/>
              </w:rPr>
            </w:pPr>
            <w:r w:rsidRPr="00A23740">
              <w:rPr>
                <w:rFonts w:eastAsia="Times New Roman"/>
                <w:b/>
                <w:szCs w:val="24"/>
                <w:lang w:eastAsia="tr-TR"/>
              </w:rPr>
              <w:t>İhalenin neticesi ve feshi:</w:t>
            </w:r>
          </w:p>
          <w:p w:rsidR="00AA5C8C" w:rsidRPr="00A23740" w:rsidRDefault="00AA5C8C" w:rsidP="009431FF">
            <w:pPr>
              <w:rPr>
                <w:rFonts w:eastAsia="Times New Roman"/>
                <w:b/>
                <w:szCs w:val="24"/>
                <w:lang w:eastAsia="tr-TR"/>
              </w:rPr>
            </w:pPr>
            <w:r w:rsidRPr="00A23740">
              <w:rPr>
                <w:rFonts w:eastAsia="Times New Roman"/>
                <w:b/>
                <w:szCs w:val="24"/>
                <w:lang w:eastAsia="tr-TR"/>
              </w:rPr>
              <w:t>Madde 134 – …</w:t>
            </w:r>
          </w:p>
          <w:p w:rsidR="00AA5C8C" w:rsidRPr="00A23740" w:rsidRDefault="00AA5C8C" w:rsidP="009431FF">
            <w:pPr>
              <w:rPr>
                <w:rFonts w:eastAsia="Times New Roman"/>
                <w:szCs w:val="24"/>
                <w:lang w:eastAsia="tr-TR"/>
              </w:rPr>
            </w:pPr>
            <w:r w:rsidRPr="00A23740">
              <w:rPr>
                <w:rFonts w:eastAsia="Times New Roman"/>
                <w:b/>
                <w:color w:val="FF0000"/>
                <w:szCs w:val="24"/>
              </w:rPr>
              <w:t>(1)</w:t>
            </w:r>
            <w:r w:rsidRPr="00A23740">
              <w:rPr>
                <w:rFonts w:eastAsia="Times New Roman"/>
                <w:szCs w:val="24"/>
                <w:lang w:eastAsia="tr-TR"/>
              </w:rPr>
              <w:t xml:space="preserve"> </w:t>
            </w:r>
            <w:r w:rsidRPr="00A23740">
              <w:rPr>
                <w:rStyle w:val="KIRMIZIChar"/>
                <w:rFonts w:eastAsia="Calibri"/>
              </w:rPr>
              <w:t>İcra dairesi tarafından taşınmaz kendisine ihale edilen alıcı o taşınmazın mülkiyetini iktisap etmiş olur. İhale kesinleşinceye kadar taşınmazın ne şekilde muhafaza ve idare edileceği icra dairesi tarafından kararlaştırılır. (Ek cümleler:24/11/2021-7343/27 md.)</w:t>
            </w:r>
            <w:r w:rsidRPr="00A23740">
              <w:rPr>
                <w:b/>
              </w:rPr>
              <w:t xml:space="preserve"> </w:t>
            </w:r>
            <w:r w:rsidRPr="00A23740">
              <w:t xml:space="preserve">İhale alıcısının talebi üzerine icra </w:t>
            </w:r>
            <w:r w:rsidRPr="00A23740">
              <w:rPr>
                <w:rStyle w:val="KIRMIZIChar"/>
                <w:rFonts w:eastAsia="Calibri"/>
              </w:rPr>
              <w:t>dairesi, satışı yapılan taşınmazda</w:t>
            </w:r>
            <w:r w:rsidRPr="00A23740">
              <w:rPr>
                <w:rStyle w:val="KIRMIZIChar"/>
                <w:rFonts w:eastAsia="Calibri"/>
                <w:strike w:val="0"/>
              </w:rPr>
              <w:t xml:space="preserve"> </w:t>
            </w:r>
            <w:r w:rsidRPr="00A23740">
              <w:t>kira sözleşmesine</w:t>
            </w:r>
            <w:r w:rsidRPr="00A23740">
              <w:rPr>
                <w:rStyle w:val="KIRMIZIChar"/>
                <w:rFonts w:eastAsia="Calibri"/>
                <w:strike w:val="0"/>
              </w:rPr>
              <w:t xml:space="preserve"> </w:t>
            </w:r>
            <w:r w:rsidRPr="00A23740">
              <w:rPr>
                <w:rStyle w:val="KIRMIZIChar"/>
                <w:rFonts w:eastAsia="Calibri"/>
              </w:rPr>
              <w:t>bağlı olarak oturan kişiye kira bedelini,</w:t>
            </w:r>
            <w:r w:rsidRPr="00A23740">
              <w:t xml:space="preserve"> diğer hallerde ise </w:t>
            </w:r>
            <w:r w:rsidRPr="00A23740">
              <w:rPr>
                <w:rStyle w:val="KIRMIZIChar"/>
                <w:rFonts w:eastAsia="Calibri"/>
              </w:rPr>
              <w:t>taşınmazı</w:t>
            </w:r>
            <w:r w:rsidRPr="00A23740">
              <w:t xml:space="preserve"> kullanan kişiye bilirkişi marifetiyle tespit edilen aylık kullanım bedelini icra dairesine yatırmasını emreder. İlgili, ihtara rağmen kirayı veya belirlenen bedeli icra dairesine yatırmazsa hakkında 356 ncı madde hükmü kıyasen uygulanır. Bu şekilde depo edilen bedel, ihalenin sonucuna göre hak sahibine ödenir.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İhalenin kesinleşmesine kadar malın </w:t>
            </w:r>
            <w:r w:rsidRPr="00A23740">
              <w:rPr>
                <w:b/>
              </w:rPr>
              <w:t>idaresi</w:t>
            </w: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MADDE 24</w:t>
            </w:r>
            <w:r w:rsidR="00490C3E" w:rsidRPr="00A23740">
              <w:rPr>
                <w:rFonts w:eastAsia="Times New Roman"/>
                <w:b/>
                <w:color w:val="0000FF"/>
                <w:szCs w:val="24"/>
                <w:lang w:eastAsia="tr-TR"/>
              </w:rPr>
              <w:t>9</w:t>
            </w:r>
            <w:r w:rsidRPr="00A23740">
              <w:rPr>
                <w:rFonts w:eastAsia="Times New Roman"/>
                <w:b/>
                <w:color w:val="0000FF"/>
                <w:szCs w:val="24"/>
                <w:lang w:eastAsia="tr-TR"/>
              </w:rPr>
              <w:t>- (1) İhale</w:t>
            </w:r>
            <w:r w:rsidRPr="00A23740">
              <w:t xml:space="preserve"> bedelinin ödenmesi</w:t>
            </w:r>
            <w:r w:rsidRPr="00A23740">
              <w:rPr>
                <w:rFonts w:eastAsia="Times New Roman"/>
                <w:b/>
                <w:color w:val="0000FF"/>
                <w:szCs w:val="24"/>
                <w:lang w:eastAsia="tr-TR"/>
              </w:rPr>
              <w:t xml:space="preserve">ne veya ihalenin iptali talep edilmişse ihalenin kesinleşmesine </w:t>
            </w:r>
            <w:r w:rsidRPr="00A23740">
              <w:rPr>
                <w:rFonts w:eastAsia="Times New Roman"/>
                <w:szCs w:val="24"/>
                <w:lang w:eastAsia="tr-TR"/>
              </w:rPr>
              <w:t>kadar</w:t>
            </w:r>
            <w:r w:rsidR="000E25E5" w:rsidRPr="00A23740">
              <w:rPr>
                <w:rStyle w:val="MaviChar"/>
                <w:lang w:val="tr-TR"/>
              </w:rPr>
              <w:t xml:space="preserve"> </w:t>
            </w:r>
            <w:r w:rsidR="000E25E5" w:rsidRPr="000D6BE5">
              <w:rPr>
                <w:rStyle w:val="Balk1Char"/>
                <w:rFonts w:eastAsia="ヒラギノ明朝 Pro W3"/>
              </w:rPr>
              <w:t>mal,</w:t>
            </w:r>
            <w:r w:rsidRPr="00A23740">
              <w:rPr>
                <w:rFonts w:eastAsia="Times New Roman"/>
                <w:szCs w:val="24"/>
                <w:lang w:eastAsia="tr-TR"/>
              </w:rPr>
              <w:t xml:space="preserve"> hasar ve </w:t>
            </w:r>
            <w:r w:rsidRPr="00A23740">
              <w:rPr>
                <w:rStyle w:val="MaviChar"/>
              </w:rPr>
              <w:t>gideri</w:t>
            </w:r>
            <w:r w:rsidRPr="00A23740">
              <w:rPr>
                <w:rFonts w:eastAsia="Times New Roman"/>
                <w:b/>
                <w:color w:val="0000FF"/>
                <w:szCs w:val="24"/>
                <w:lang w:eastAsia="tr-TR"/>
              </w:rPr>
              <w:t xml:space="preserve"> alıcıya</w:t>
            </w:r>
            <w:r w:rsidRPr="00A23740">
              <w:rPr>
                <w:rFonts w:eastAsia="Times New Roman"/>
                <w:szCs w:val="24"/>
                <w:lang w:eastAsia="tr-TR"/>
              </w:rPr>
              <w:t xml:space="preserve"> ait olmak </w:t>
            </w:r>
            <w:r w:rsidRPr="00A23740">
              <w:rPr>
                <w:bCs/>
                <w:lang w:eastAsia="tr-TR"/>
              </w:rPr>
              <w:t>üzere</w:t>
            </w:r>
            <w:r w:rsidRPr="00A23740">
              <w:rPr>
                <w:rFonts w:eastAsia="Times New Roman"/>
                <w:szCs w:val="24"/>
                <w:lang w:eastAsia="tr-TR"/>
              </w:rPr>
              <w:t xml:space="preserve"> icra </w:t>
            </w:r>
            <w:r w:rsidRPr="00A23740">
              <w:rPr>
                <w:rStyle w:val="MaviChar"/>
              </w:rPr>
              <w:t>ve iflas</w:t>
            </w:r>
            <w:r w:rsidRPr="00A23740">
              <w:rPr>
                <w:rFonts w:eastAsia="Times New Roman"/>
                <w:szCs w:val="24"/>
                <w:lang w:eastAsia="tr-TR"/>
              </w:rPr>
              <w:t xml:space="preserve"> dairesi tarafından </w:t>
            </w:r>
            <w:r w:rsidRPr="00A23740">
              <w:rPr>
                <w:rStyle w:val="MaviChar"/>
              </w:rPr>
              <w:t>muhafaza ve</w:t>
            </w:r>
            <w:r w:rsidR="000E25E5" w:rsidRPr="00A23740">
              <w:rPr>
                <w:rFonts w:eastAsia="Times New Roman"/>
                <w:szCs w:val="24"/>
                <w:lang w:eastAsia="tr-TR"/>
              </w:rPr>
              <w:t xml:space="preserve"> idare olunur.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Style w:val="MaviChar"/>
              </w:rPr>
            </w:pPr>
            <w:r w:rsidRPr="00A23740">
              <w:rPr>
                <w:rStyle w:val="MaviChar"/>
              </w:rPr>
              <w:t>(2)</w:t>
            </w:r>
            <w:r w:rsidRPr="00A23740">
              <w:rPr>
                <w:rFonts w:eastAsia="Times New Roman"/>
                <w:szCs w:val="24"/>
                <w:lang w:eastAsia="tr-TR"/>
              </w:rPr>
              <w:t xml:space="preserve"> </w:t>
            </w:r>
            <w:r w:rsidRPr="00A23740">
              <w:rPr>
                <w:rStyle w:val="MaviChar"/>
              </w:rPr>
              <w:t>İcra ve iflas dairesi</w:t>
            </w:r>
            <w:r w:rsidRPr="00A23740">
              <w:rPr>
                <w:rStyle w:val="MaviChar"/>
                <w:lang w:val="tr-TR"/>
              </w:rPr>
              <w:t xml:space="preserve"> </w:t>
            </w:r>
            <w:r w:rsidRPr="00A23740">
              <w:rPr>
                <w:rStyle w:val="MaviChar"/>
              </w:rPr>
              <w:t>şartların uygun olduğu kanaatine varırsa</w:t>
            </w:r>
            <w:r w:rsidRPr="00A23740">
              <w:rPr>
                <w:rStyle w:val="YELChar"/>
              </w:rPr>
              <w:t>,</w:t>
            </w:r>
            <w:r w:rsidRPr="00A23740">
              <w:rPr>
                <w:rStyle w:val="MaviChar"/>
              </w:rPr>
              <w:t xml:space="preserve"> ihale kesinleşmeden </w:t>
            </w:r>
            <w:r w:rsidRPr="00A23740">
              <w:rPr>
                <w:rStyle w:val="MaviChar"/>
                <w:lang w:val="tr-TR"/>
              </w:rPr>
              <w:t>malı</w:t>
            </w:r>
            <w:r w:rsidRPr="00A23740">
              <w:rPr>
                <w:rStyle w:val="MaviChar"/>
              </w:rPr>
              <w:t xml:space="preserve"> teminat karşılığında ve istendiğinde derh</w:t>
            </w:r>
            <w:r w:rsidR="00DF22A1" w:rsidRPr="00A23740">
              <w:rPr>
                <w:rStyle w:val="MaviChar"/>
                <w:lang w:val="tr-TR"/>
              </w:rPr>
              <w:t>â</w:t>
            </w:r>
            <w:r w:rsidRPr="00A23740">
              <w:rPr>
                <w:rStyle w:val="MaviChar"/>
              </w:rPr>
              <w:t>l icra</w:t>
            </w:r>
            <w:r w:rsidRPr="00A23740">
              <w:rPr>
                <w:rStyle w:val="MaviChar"/>
                <w:lang w:val="tr-TR"/>
              </w:rPr>
              <w:t xml:space="preserve"> </w:t>
            </w:r>
            <w:r w:rsidRPr="00A23740">
              <w:rPr>
                <w:rStyle w:val="MaviChar"/>
              </w:rPr>
              <w:t>ve iflas dairesine iade edilmek kaydıyla yediemin olarak alıcıya teslim edebilir.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MaviChar"/>
              </w:rPr>
              <w:t>(3) İhale tarihinden itibaren, ihale konusu taşınmazın tapu siciline veya bir sicile kayıtlı taşınırlar bakımından ilgili sicile tesciline kadar tapu sicilinde veya ilgili sicilde</w:t>
            </w:r>
            <w:r w:rsidRPr="00A23740">
              <w:rPr>
                <w:rStyle w:val="YELChar"/>
              </w:rPr>
              <w:t xml:space="preserve"> </w:t>
            </w:r>
            <w:r w:rsidRPr="00A23740">
              <w:rPr>
                <w:rFonts w:eastAsia="Times New Roman"/>
                <w:szCs w:val="24"/>
                <w:lang w:eastAsia="tr-TR"/>
              </w:rPr>
              <w:t xml:space="preserve">icra </w:t>
            </w:r>
            <w:r w:rsidRPr="00A23740">
              <w:rPr>
                <w:rStyle w:val="MaviChar"/>
              </w:rPr>
              <w:t>ve iflas</w:t>
            </w:r>
            <w:r w:rsidRPr="00A23740">
              <w:rPr>
                <w:rFonts w:eastAsia="Times New Roman"/>
                <w:szCs w:val="24"/>
                <w:lang w:eastAsia="tr-TR"/>
              </w:rPr>
              <w:t xml:space="preserve"> dairesinin </w:t>
            </w:r>
            <w:r w:rsidRPr="00A23740">
              <w:rPr>
                <w:rStyle w:val="MaviChar"/>
              </w:rPr>
              <w:t>izni</w:t>
            </w:r>
            <w:r w:rsidRPr="00A23740">
              <w:rPr>
                <w:rFonts w:eastAsia="Times New Roman"/>
                <w:szCs w:val="24"/>
                <w:lang w:eastAsia="tr-TR"/>
              </w:rPr>
              <w:t xml:space="preserve"> olmaksızın</w:t>
            </w:r>
            <w:r w:rsidRPr="00A23740">
              <w:rPr>
                <w:rStyle w:val="YELChar"/>
              </w:rPr>
              <w:t xml:space="preserve"> </w:t>
            </w:r>
            <w:r w:rsidRPr="00A23740">
              <w:rPr>
                <w:rStyle w:val="MaviChar"/>
              </w:rPr>
              <w:t>başkaca</w:t>
            </w:r>
            <w:r w:rsidRPr="00A23740">
              <w:rPr>
                <w:rFonts w:eastAsia="Times New Roman"/>
                <w:szCs w:val="24"/>
                <w:lang w:eastAsia="tr-TR"/>
              </w:rPr>
              <w:t xml:space="preserve"> hiçbir tescil yapılamaz. </w:t>
            </w:r>
          </w:p>
          <w:p w:rsidR="00AA5C8C" w:rsidRPr="00A23740" w:rsidRDefault="00AA5C8C" w:rsidP="009431FF">
            <w:pPr>
              <w:tabs>
                <w:tab w:val="left" w:pos="567"/>
              </w:tabs>
              <w:rPr>
                <w:rFonts w:eastAsia="Times New Roman"/>
                <w:szCs w:val="24"/>
                <w:lang w:eastAsia="tr-TR"/>
              </w:rPr>
            </w:pPr>
          </w:p>
          <w:p w:rsidR="003C2B62" w:rsidRPr="00A23740" w:rsidRDefault="003C2B62" w:rsidP="009431FF">
            <w:pPr>
              <w:tabs>
                <w:tab w:val="left" w:pos="567"/>
              </w:tabs>
              <w:rPr>
                <w:rFonts w:eastAsia="Times New Roman"/>
                <w:szCs w:val="24"/>
                <w:lang w:eastAsia="tr-TR"/>
              </w:rPr>
            </w:pPr>
          </w:p>
          <w:p w:rsidR="00AA5C8C" w:rsidRPr="00A23740" w:rsidRDefault="00AA5C8C" w:rsidP="009431FF">
            <w:pPr>
              <w:rPr>
                <w:rFonts w:eastAsia="Times New Roman"/>
                <w:b/>
                <w:color w:val="0000FF"/>
                <w:szCs w:val="24"/>
              </w:rPr>
            </w:pPr>
            <w:r w:rsidRPr="00A23740">
              <w:rPr>
                <w:rFonts w:eastAsia="Times New Roman"/>
                <w:b/>
                <w:color w:val="0000FF"/>
                <w:szCs w:val="24"/>
              </w:rPr>
              <w:t xml:space="preserve">(4) </w:t>
            </w:r>
            <w:r w:rsidRPr="00A23740">
              <w:t xml:space="preserve">İhale alıcısının talebi üzerine icra </w:t>
            </w:r>
            <w:r w:rsidRPr="00A23740">
              <w:rPr>
                <w:rStyle w:val="MaviChar"/>
              </w:rPr>
              <w:t xml:space="preserve">ve iflas dairesi, </w:t>
            </w:r>
            <w:r w:rsidRPr="00A23740">
              <w:rPr>
                <w:rStyle w:val="MaviChar"/>
                <w:lang w:val="tr-TR"/>
              </w:rPr>
              <w:t>malın</w:t>
            </w:r>
            <w:r w:rsidRPr="00A23740">
              <w:rPr>
                <w:rStyle w:val="MaviChar"/>
              </w:rPr>
              <w:t xml:space="preserve"> borçlu veya üçüncü kişi tarafından </w:t>
            </w:r>
            <w:r w:rsidRPr="00A23740">
              <w:t>kira sözleşmesine</w:t>
            </w:r>
            <w:r w:rsidRPr="00A23740">
              <w:rPr>
                <w:rStyle w:val="MaviChar"/>
              </w:rPr>
              <w:t xml:space="preserve"> dayanılarak kullanılması h</w:t>
            </w:r>
            <w:r w:rsidR="00C224B4" w:rsidRPr="00A23740">
              <w:rPr>
                <w:rStyle w:val="MaviChar"/>
                <w:lang w:val="tr-TR"/>
              </w:rPr>
              <w:t>â</w:t>
            </w:r>
            <w:r w:rsidRPr="00A23740">
              <w:rPr>
                <w:rStyle w:val="MaviChar"/>
              </w:rPr>
              <w:t xml:space="preserve">linde </w:t>
            </w:r>
            <w:r w:rsidRPr="00A23740">
              <w:t>kira</w:t>
            </w:r>
            <w:r w:rsidRPr="00A23740">
              <w:rPr>
                <w:rStyle w:val="MaviChar"/>
              </w:rPr>
              <w:t>yı,</w:t>
            </w:r>
            <w:r w:rsidRPr="00A23740">
              <w:t xml:space="preserve"> diğer h</w:t>
            </w:r>
            <w:r w:rsidR="00C224B4" w:rsidRPr="00A23740">
              <w:t>â</w:t>
            </w:r>
            <w:r w:rsidRPr="00A23740">
              <w:t xml:space="preserve">llerde ise bilirkişi marifetiyle tespit edilen aylık kullanım bedelini icra </w:t>
            </w:r>
            <w:r w:rsidRPr="00A23740">
              <w:rPr>
                <w:rStyle w:val="MaviChar"/>
              </w:rPr>
              <w:t>ve iflas</w:t>
            </w:r>
            <w:r w:rsidRPr="00A23740">
              <w:t xml:space="preserve"> dairesine yatırmasını </w:t>
            </w:r>
            <w:r w:rsidRPr="00A23740">
              <w:rPr>
                <w:rStyle w:val="MaviChar"/>
              </w:rPr>
              <w:t>malı</w:t>
            </w:r>
            <w:r w:rsidRPr="00A23740">
              <w:t xml:space="preserve"> kullanan kişiye emreder. </w:t>
            </w:r>
            <w:r w:rsidRPr="00A23740">
              <w:rPr>
                <w:rStyle w:val="MaviChar"/>
              </w:rPr>
              <w:t>Bu kişi</w:t>
            </w:r>
            <w:r w:rsidRPr="00A23740">
              <w:t xml:space="preserve">, ihtara rağmen kirayı veya belirlenen bedeli icra </w:t>
            </w:r>
            <w:r w:rsidRPr="00A23740">
              <w:rPr>
                <w:rStyle w:val="MaviChar"/>
              </w:rPr>
              <w:t>ve iflas</w:t>
            </w:r>
            <w:r w:rsidRPr="00A23740">
              <w:t xml:space="preserve"> dairesine yatırmazsa hakkında</w:t>
            </w:r>
            <w:r w:rsidR="00434195" w:rsidRPr="00A23740">
              <w:t xml:space="preserve"> </w:t>
            </w:r>
            <w:r w:rsidR="00434195" w:rsidRPr="000D6BE5">
              <w:rPr>
                <w:rStyle w:val="Balk1Char"/>
                <w:rFonts w:eastAsia="Calibri"/>
              </w:rPr>
              <w:t>163 üncü</w:t>
            </w:r>
            <w:r w:rsidRPr="00A23740">
              <w:t xml:space="preserve"> madde hükmü kıyasen uygulanır. Bu şekilde depo edilen </w:t>
            </w:r>
            <w:r w:rsidRPr="00A23740">
              <w:rPr>
                <w:rStyle w:val="MaviChar"/>
              </w:rPr>
              <w:t>kira veya</w:t>
            </w:r>
            <w:r w:rsidRPr="00A23740">
              <w:t xml:space="preserve"> bedel, ihalenin sonucuna göre hak sahibine ödenir.</w:t>
            </w:r>
          </w:p>
          <w:p w:rsidR="00AA5C8C" w:rsidRPr="00A23740" w:rsidRDefault="00AA5C8C" w:rsidP="009431FF">
            <w:pPr>
              <w:pStyle w:val="KIRMIZI"/>
              <w:rPr>
                <w:strike w:val="0"/>
                <w:lang w:val="tr-TR"/>
              </w:rPr>
            </w:pPr>
            <w:r w:rsidRPr="00A23740">
              <w:rPr>
                <w:strike w:val="0"/>
                <w:lang w:val="tr-TR"/>
              </w:rPr>
              <w:t xml:space="preserve"> </w:t>
            </w:r>
          </w:p>
          <w:p w:rsidR="00AA5C8C" w:rsidRPr="00A23740" w:rsidRDefault="00AA5C8C" w:rsidP="009431FF">
            <w:pPr>
              <w:pStyle w:val="KIRMIZI"/>
              <w:rPr>
                <w:b w:val="0"/>
                <w:color w:val="0000FF"/>
                <w:lang w:val="tr-TR" w:eastAsia="tr-TR"/>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ED3C41" w:rsidRPr="00A23740" w:rsidRDefault="00ED3C41" w:rsidP="009431FF">
            <w:pPr>
              <w:tabs>
                <w:tab w:val="left" w:pos="567"/>
              </w:tabs>
              <w:ind w:firstLine="709"/>
              <w:rPr>
                <w:rFonts w:eastAsia="Times New Roman"/>
                <w:b/>
                <w:color w:val="000000"/>
                <w:szCs w:val="24"/>
                <w:lang w:eastAsia="tr-TR"/>
              </w:rPr>
            </w:pPr>
          </w:p>
          <w:p w:rsidR="006931E2" w:rsidRPr="00A23740" w:rsidRDefault="007855E7" w:rsidP="009431FF">
            <w:pPr>
              <w:tabs>
                <w:tab w:val="left" w:pos="567"/>
              </w:tabs>
              <w:ind w:firstLine="709"/>
              <w:rPr>
                <w:rFonts w:eastAsia="Times New Roman"/>
                <w:color w:val="000000"/>
                <w:szCs w:val="24"/>
                <w:lang w:eastAsia="tr-TR"/>
              </w:rPr>
            </w:pPr>
            <w:r w:rsidRPr="00A23740">
              <w:rPr>
                <w:rFonts w:eastAsia="Times New Roman"/>
                <w:b/>
                <w:color w:val="000000"/>
                <w:szCs w:val="24"/>
                <w:lang w:eastAsia="tr-TR"/>
              </w:rPr>
              <w:t xml:space="preserve">MADDE </w:t>
            </w:r>
            <w:r w:rsidR="00AA5C8C" w:rsidRPr="00A23740">
              <w:rPr>
                <w:rFonts w:eastAsia="Times New Roman"/>
                <w:b/>
                <w:color w:val="000000"/>
                <w:szCs w:val="24"/>
                <w:lang w:eastAsia="tr-TR"/>
              </w:rPr>
              <w:t>24</w:t>
            </w:r>
            <w:r w:rsidR="00490C3E" w:rsidRPr="00A23740">
              <w:rPr>
                <w:rFonts w:eastAsia="Times New Roman"/>
                <w:b/>
                <w:color w:val="000000"/>
                <w:szCs w:val="24"/>
                <w:lang w:eastAsia="tr-TR"/>
              </w:rPr>
              <w:t>9</w:t>
            </w:r>
            <w:r w:rsidR="00AA5C8C" w:rsidRPr="00A23740">
              <w:rPr>
                <w:rFonts w:eastAsia="Times New Roman"/>
                <w:b/>
                <w:color w:val="000000"/>
                <w:szCs w:val="24"/>
                <w:lang w:eastAsia="tr-TR"/>
              </w:rPr>
              <w:t xml:space="preserve">- </w:t>
            </w:r>
            <w:r w:rsidR="00ED3C41" w:rsidRPr="00A23740">
              <w:rPr>
                <w:rFonts w:eastAsia="Times New Roman"/>
                <w:color w:val="000000"/>
                <w:szCs w:val="24"/>
                <w:lang w:eastAsia="tr-TR"/>
              </w:rPr>
              <w:t>Maddeyle, ihalenin kesinleşmesine kadar m</w:t>
            </w:r>
            <w:r w:rsidR="006931E2" w:rsidRPr="00A23740">
              <w:rPr>
                <w:rFonts w:eastAsia="Times New Roman"/>
                <w:color w:val="000000"/>
                <w:szCs w:val="24"/>
                <w:lang w:eastAsia="tr-TR"/>
              </w:rPr>
              <w:t>alın idaresi</w:t>
            </w:r>
            <w:r w:rsidR="00C222A6" w:rsidRPr="00A23740">
              <w:rPr>
                <w:rFonts w:eastAsia="Times New Roman"/>
                <w:color w:val="000000"/>
                <w:szCs w:val="24"/>
                <w:lang w:eastAsia="tr-TR"/>
              </w:rPr>
              <w:t>ne ilişkin hususlar</w:t>
            </w:r>
            <w:r w:rsidR="006931E2" w:rsidRPr="00A23740">
              <w:rPr>
                <w:rFonts w:eastAsia="Times New Roman"/>
                <w:color w:val="000000"/>
                <w:szCs w:val="24"/>
                <w:lang w:eastAsia="tr-TR"/>
              </w:rPr>
              <w:t xml:space="preserve"> düzenlenmektedir. </w:t>
            </w:r>
          </w:p>
          <w:p w:rsidR="006931E2" w:rsidRPr="00A23740" w:rsidRDefault="006931E2"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 xml:space="preserve">Birinci fıkraya göre, ihale </w:t>
            </w:r>
            <w:r w:rsidR="00ED3C41" w:rsidRPr="00A23740">
              <w:rPr>
                <w:rFonts w:eastAsia="Times New Roman"/>
                <w:color w:val="000000"/>
                <w:szCs w:val="24"/>
                <w:lang w:eastAsia="tr-TR"/>
              </w:rPr>
              <w:t>bedelinin ödenmesine veya ihalenin iptali talep edilmişse ihalenin kesinleşmesine kadar, hasar ve gideri alıcıya ait olmak üzere mal, icra ve iflas dairesi tarafından muhafaza ve</w:t>
            </w:r>
            <w:r w:rsidRPr="00A23740">
              <w:rPr>
                <w:rFonts w:eastAsia="Times New Roman"/>
                <w:color w:val="000000"/>
                <w:szCs w:val="24"/>
                <w:lang w:eastAsia="tr-TR"/>
              </w:rPr>
              <w:t xml:space="preserve"> idare edilir. </w:t>
            </w:r>
            <w:r w:rsidR="00AA5C8C" w:rsidRPr="00A23740">
              <w:rPr>
                <w:rFonts w:eastAsia="Times New Roman"/>
                <w:color w:val="000000"/>
                <w:szCs w:val="24"/>
                <w:lang w:eastAsia="tr-TR"/>
              </w:rPr>
              <w:t>Bilindiği gibi uygulamada özellikle 2004 sayılı Kanun kapsamında ihalenin feshi</w:t>
            </w:r>
            <w:r w:rsidR="00626E3B" w:rsidRPr="00A23740">
              <w:rPr>
                <w:rFonts w:eastAsia="Times New Roman"/>
                <w:color w:val="000000"/>
                <w:szCs w:val="24"/>
                <w:lang w:eastAsia="tr-TR"/>
              </w:rPr>
              <w:t>nin</w:t>
            </w:r>
            <w:r w:rsidR="00AA5C8C" w:rsidRPr="00A23740">
              <w:rPr>
                <w:rFonts w:eastAsia="Times New Roman"/>
                <w:color w:val="000000"/>
                <w:szCs w:val="24"/>
                <w:lang w:eastAsia="tr-TR"/>
              </w:rPr>
              <w:t xml:space="preserve"> talep edildiği durumlarda, ihalenin feshi sürecinde malın değer kaybetmeden korunması ve yönetilmesi alıcı için </w:t>
            </w:r>
            <w:r w:rsidR="00626E3B" w:rsidRPr="00A23740">
              <w:rPr>
                <w:rFonts w:eastAsia="Times New Roman"/>
                <w:color w:val="000000"/>
                <w:szCs w:val="24"/>
                <w:lang w:eastAsia="tr-TR"/>
              </w:rPr>
              <w:t xml:space="preserve">büyük </w:t>
            </w:r>
            <w:r w:rsidR="00AA5C8C" w:rsidRPr="00A23740">
              <w:rPr>
                <w:rFonts w:eastAsia="Times New Roman"/>
                <w:color w:val="000000"/>
                <w:szCs w:val="24"/>
                <w:lang w:eastAsia="tr-TR"/>
              </w:rPr>
              <w:t>önem arz etmektedir. İşbu kuralla bu hus</w:t>
            </w:r>
            <w:r w:rsidRPr="00A23740">
              <w:rPr>
                <w:rFonts w:eastAsia="Times New Roman"/>
                <w:color w:val="000000"/>
                <w:szCs w:val="24"/>
                <w:lang w:eastAsia="tr-TR"/>
              </w:rPr>
              <w:t>us da açıkça hüküm altına alınmaktadır.</w:t>
            </w:r>
            <w:r w:rsidR="00AA5C8C" w:rsidRPr="00A23740">
              <w:rPr>
                <w:rFonts w:eastAsia="Times New Roman"/>
                <w:color w:val="000000"/>
                <w:szCs w:val="24"/>
                <w:lang w:eastAsia="tr-TR"/>
              </w:rPr>
              <w:t xml:space="preserve"> </w:t>
            </w:r>
            <w:r w:rsidRPr="00A23740">
              <w:rPr>
                <w:rFonts w:eastAsia="Times New Roman"/>
                <w:color w:val="000000"/>
                <w:szCs w:val="24"/>
                <w:lang w:eastAsia="tr-TR"/>
              </w:rPr>
              <w:t xml:space="preserve">Fıkra, 2004 sayılı Kanunun 131 inci maddesinin birinci fıkrasının birinci cümlesine karşılık gelmektedir. </w:t>
            </w:r>
          </w:p>
          <w:p w:rsidR="006931E2" w:rsidRPr="00A23740" w:rsidRDefault="006931E2"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 xml:space="preserve">İkinci fıkrayla, </w:t>
            </w:r>
            <w:r w:rsidR="005E6E29" w:rsidRPr="00A23740">
              <w:rPr>
                <w:rFonts w:eastAsia="Times New Roman"/>
                <w:color w:val="000000"/>
                <w:szCs w:val="24"/>
                <w:lang w:eastAsia="tr-TR"/>
              </w:rPr>
              <w:t>bir yenilik olarak</w:t>
            </w:r>
            <w:r w:rsidR="00626E3B" w:rsidRPr="00A23740">
              <w:rPr>
                <w:rFonts w:eastAsia="Times New Roman"/>
                <w:color w:val="000000"/>
                <w:szCs w:val="24"/>
                <w:lang w:eastAsia="tr-TR"/>
              </w:rPr>
              <w:t>,</w:t>
            </w:r>
            <w:r w:rsidR="005E6E29" w:rsidRPr="00A23740">
              <w:rPr>
                <w:rFonts w:eastAsia="Times New Roman"/>
                <w:color w:val="000000"/>
                <w:szCs w:val="24"/>
                <w:lang w:eastAsia="tr-TR"/>
              </w:rPr>
              <w:t xml:space="preserve"> </w:t>
            </w:r>
            <w:r w:rsidRPr="00A23740">
              <w:rPr>
                <w:rFonts w:eastAsia="Times New Roman"/>
                <w:color w:val="000000"/>
                <w:szCs w:val="24"/>
                <w:lang w:eastAsia="tr-TR"/>
              </w:rPr>
              <w:t>icra ve iflas dairesinin şartların uygun olduğu kanaatine varması h</w:t>
            </w:r>
            <w:r w:rsidR="00C224B4" w:rsidRPr="00A23740">
              <w:rPr>
                <w:rFonts w:eastAsia="Times New Roman"/>
                <w:color w:val="000000"/>
                <w:szCs w:val="24"/>
                <w:lang w:eastAsia="tr-TR"/>
              </w:rPr>
              <w:t>â</w:t>
            </w:r>
            <w:r w:rsidRPr="00A23740">
              <w:rPr>
                <w:rFonts w:eastAsia="Times New Roman"/>
                <w:color w:val="000000"/>
                <w:szCs w:val="24"/>
                <w:lang w:eastAsia="tr-TR"/>
              </w:rPr>
              <w:t xml:space="preserve">linde, ihale kesinleşmeden malı teminat karşılığında ve istendiğinde </w:t>
            </w:r>
            <w:r w:rsidR="00DF22A1" w:rsidRPr="00A23740">
              <w:rPr>
                <w:szCs w:val="24"/>
              </w:rPr>
              <w:t xml:space="preserve">derhâl </w:t>
            </w:r>
            <w:r w:rsidRPr="00A23740">
              <w:rPr>
                <w:rFonts w:eastAsia="Times New Roman"/>
                <w:color w:val="000000"/>
                <w:szCs w:val="24"/>
                <w:lang w:eastAsia="tr-TR"/>
              </w:rPr>
              <w:t>daireye iade edilmek kaydıyla yediemin olarak alıcıya teslim edebilmesine imk</w:t>
            </w:r>
            <w:r w:rsidR="00BE53A8" w:rsidRPr="00A23740">
              <w:rPr>
                <w:rFonts w:eastAsia="Times New Roman"/>
                <w:szCs w:val="24"/>
                <w:lang w:eastAsia="tr-TR"/>
              </w:rPr>
              <w:t>â</w:t>
            </w:r>
            <w:r w:rsidRPr="00A23740">
              <w:rPr>
                <w:rFonts w:eastAsia="Times New Roman"/>
                <w:color w:val="000000"/>
                <w:szCs w:val="24"/>
                <w:lang w:eastAsia="tr-TR"/>
              </w:rPr>
              <w:t>n verilmektedir. Bu hüküm, Taslağın</w:t>
            </w:r>
            <w:r w:rsidR="00434195" w:rsidRPr="00A23740">
              <w:rPr>
                <w:rFonts w:eastAsia="Times New Roman"/>
                <w:color w:val="000000"/>
                <w:szCs w:val="24"/>
                <w:lang w:eastAsia="tr-TR"/>
              </w:rPr>
              <w:t xml:space="preserve"> </w:t>
            </w:r>
            <w:r w:rsidR="00434195" w:rsidRPr="00D60C1D">
              <w:rPr>
                <w:rStyle w:val="KonuBalChar"/>
                <w:rFonts w:eastAsia="Calibri"/>
                <w:b w:val="0"/>
                <w:color w:val="000000"/>
              </w:rPr>
              <w:t>247 nci</w:t>
            </w:r>
            <w:r w:rsidR="00D71A10" w:rsidRPr="00A23740">
              <w:rPr>
                <w:rFonts w:eastAsia="Times New Roman"/>
                <w:color w:val="000000"/>
                <w:szCs w:val="24"/>
                <w:lang w:eastAsia="tr-TR"/>
              </w:rPr>
              <w:t xml:space="preserve"> </w:t>
            </w:r>
            <w:r w:rsidRPr="00A23740">
              <w:rPr>
                <w:rFonts w:eastAsia="Times New Roman"/>
                <w:color w:val="000000"/>
                <w:szCs w:val="24"/>
                <w:lang w:eastAsia="tr-TR"/>
              </w:rPr>
              <w:t>maddesinin birinci fıkrasının son cümlesine istisna teşkil etmektedir. Uygulamada, ihalenin feshinin istendiği durumlarda alıcı, ihale bedelini ödemiş olmasına rağmen malı teslim alamamakta ve kendi iradesi dışında gelişen fesih sürecinde mala kavuşamaması sebebiyle mağduriyetler yaşamaktadır. Bu durum, aynı zamanda cebr</w:t>
            </w:r>
            <w:r w:rsidR="00436506" w:rsidRPr="00A23740">
              <w:rPr>
                <w:rFonts w:eastAsia="Times New Roman"/>
                <w:color w:val="000000"/>
                <w:szCs w:val="24"/>
                <w:lang w:eastAsia="tr-TR"/>
              </w:rPr>
              <w:t>î</w:t>
            </w:r>
            <w:r w:rsidRPr="00A23740">
              <w:rPr>
                <w:rFonts w:eastAsia="Times New Roman"/>
                <w:color w:val="000000"/>
                <w:szCs w:val="24"/>
                <w:lang w:eastAsia="tr-TR"/>
              </w:rPr>
              <w:t xml:space="preserve"> icra ihalelerine katılımı ve ilgiyi de azaltmaktadır. Bu nedenlerle ihale henüz kesinleşmeden malın alıcıya verilebilmesinin yolunun açılmasının uygun olacağı ve böylece taraf ve ilgililerin menfaatine olacak şekilde hem ihaleden beklenen faydanın sağlanması hem de ihalenin kesinleşme sürecinde zamanın da etkisiyle kullanılmamadan dolayı malın durumunun kötüleşmesinin önüne geçilebileceği düşüncesiyle ikinci fıkra düzenlemesi kabul edilm</w:t>
            </w:r>
            <w:r w:rsidR="0076406F" w:rsidRPr="00A23740">
              <w:rPr>
                <w:rFonts w:eastAsia="Times New Roman"/>
                <w:color w:val="000000"/>
                <w:szCs w:val="24"/>
                <w:lang w:eastAsia="tr-TR"/>
              </w:rPr>
              <w:t xml:space="preserve">ektedir. </w:t>
            </w:r>
            <w:r w:rsidRPr="00A23740">
              <w:rPr>
                <w:rFonts w:eastAsia="Times New Roman"/>
                <w:color w:val="000000"/>
                <w:szCs w:val="24"/>
                <w:lang w:eastAsia="tr-TR"/>
              </w:rPr>
              <w:t>Bu kararı verme yetkisi icra ve iflas dairesine ait olup, ihalenin kesinleşmeme veya teslim edilen malın zarar görmesi riski hesaba katılarak alıcıdan teminat alınacağı ve yedieminliğin hem hukuki hem de cezai sorumluluklarının alıcıya yüklenmesi suretiyle müessesenin işletilmesi esası benimsenm</w:t>
            </w:r>
            <w:r w:rsidR="0076406F" w:rsidRPr="00A23740">
              <w:rPr>
                <w:rFonts w:eastAsia="Times New Roman"/>
                <w:color w:val="000000"/>
                <w:szCs w:val="24"/>
                <w:lang w:eastAsia="tr-TR"/>
              </w:rPr>
              <w:t xml:space="preserve">ektedir. Teminatın türü ve miktarını belirleme konusunda icra </w:t>
            </w:r>
            <w:r w:rsidR="00B73523" w:rsidRPr="00D60C1D">
              <w:rPr>
                <w:color w:val="000000"/>
              </w:rPr>
              <w:t>ve iflas</w:t>
            </w:r>
            <w:r w:rsidR="00B73523" w:rsidRPr="00A23740">
              <w:rPr>
                <w:b/>
                <w:bCs/>
                <w:color w:val="0000FF"/>
                <w:szCs w:val="24"/>
                <w:lang w:val="x-none" w:eastAsia="x-none"/>
              </w:rPr>
              <w:t xml:space="preserve"> </w:t>
            </w:r>
            <w:r w:rsidR="0076406F" w:rsidRPr="00A23740">
              <w:rPr>
                <w:rFonts w:eastAsia="Times New Roman"/>
                <w:color w:val="000000"/>
                <w:szCs w:val="24"/>
                <w:lang w:eastAsia="tr-TR"/>
              </w:rPr>
              <w:t xml:space="preserve">dairesinin yetkili olduğu şüphesizdir. </w:t>
            </w:r>
          </w:p>
          <w:p w:rsidR="00AA5C8C" w:rsidRPr="00D60C1D" w:rsidRDefault="0076406F" w:rsidP="009431FF">
            <w:pPr>
              <w:tabs>
                <w:tab w:val="left" w:pos="567"/>
              </w:tabs>
              <w:ind w:firstLine="709"/>
              <w:rPr>
                <w:rFonts w:eastAsia="Times New Roman"/>
                <w:b/>
                <w:color w:val="000000"/>
                <w:szCs w:val="24"/>
                <w:lang w:eastAsia="tr-TR"/>
              </w:rPr>
            </w:pPr>
            <w:r w:rsidRPr="00A23740">
              <w:rPr>
                <w:rFonts w:eastAsia="Times New Roman"/>
                <w:bCs/>
                <w:color w:val="000000"/>
                <w:lang w:eastAsia="tr-TR"/>
              </w:rPr>
              <w:t xml:space="preserve">Üçüncü </w:t>
            </w:r>
            <w:r w:rsidRPr="00A23740">
              <w:rPr>
                <w:rFonts w:eastAsia="Times New Roman"/>
                <w:color w:val="000000"/>
                <w:szCs w:val="24"/>
                <w:lang w:eastAsia="tr-TR"/>
              </w:rPr>
              <w:t>fıkrayla</w:t>
            </w:r>
            <w:r w:rsidRPr="00A23740">
              <w:rPr>
                <w:rFonts w:eastAsia="Times New Roman"/>
                <w:bCs/>
                <w:color w:val="000000"/>
                <w:lang w:eastAsia="tr-TR"/>
              </w:rPr>
              <w:t>, ihale tarihinden itibaren, ihale konusu taşınmazın tapu siciline veya bir sicile kayıtlı taşınırlar bakımından ilgili sicile tesciline kadar tapu sicilinde veya ilgili sicilde</w:t>
            </w:r>
            <w:r w:rsidRPr="00A23740">
              <w:rPr>
                <w:rFonts w:eastAsia="Times New Roman"/>
                <w:color w:val="000000"/>
                <w:lang w:eastAsia="tr-TR"/>
              </w:rPr>
              <w:t xml:space="preserve"> </w:t>
            </w:r>
            <w:r w:rsidRPr="00A23740">
              <w:rPr>
                <w:rFonts w:eastAsia="Times New Roman"/>
                <w:color w:val="000000"/>
                <w:szCs w:val="24"/>
                <w:lang w:eastAsia="tr-TR"/>
              </w:rPr>
              <w:t xml:space="preserve">icra </w:t>
            </w:r>
            <w:r w:rsidRPr="00A23740">
              <w:rPr>
                <w:rFonts w:eastAsia="Times New Roman"/>
                <w:bCs/>
                <w:color w:val="000000"/>
                <w:lang w:eastAsia="tr-TR"/>
              </w:rPr>
              <w:t>ve iflas</w:t>
            </w:r>
            <w:r w:rsidRPr="00A23740">
              <w:rPr>
                <w:rFonts w:eastAsia="Times New Roman"/>
                <w:color w:val="000000"/>
                <w:szCs w:val="24"/>
                <w:lang w:eastAsia="tr-TR"/>
              </w:rPr>
              <w:t xml:space="preserve"> dairesinin </w:t>
            </w:r>
            <w:r w:rsidRPr="00A23740">
              <w:rPr>
                <w:rFonts w:eastAsia="Times New Roman"/>
                <w:bCs/>
                <w:color w:val="000000"/>
                <w:lang w:eastAsia="tr-TR"/>
              </w:rPr>
              <w:t>izni</w:t>
            </w:r>
            <w:r w:rsidRPr="00A23740">
              <w:rPr>
                <w:rFonts w:eastAsia="Times New Roman"/>
                <w:color w:val="000000"/>
                <w:szCs w:val="24"/>
                <w:lang w:eastAsia="tr-TR"/>
              </w:rPr>
              <w:t xml:space="preserve"> olmaksızın</w:t>
            </w:r>
            <w:r w:rsidRPr="00A23740">
              <w:rPr>
                <w:rFonts w:eastAsia="Times New Roman"/>
                <w:color w:val="000000"/>
                <w:lang w:eastAsia="tr-TR"/>
              </w:rPr>
              <w:t xml:space="preserve"> </w:t>
            </w:r>
            <w:r w:rsidRPr="00A23740">
              <w:rPr>
                <w:rFonts w:eastAsia="Times New Roman"/>
                <w:bCs/>
                <w:color w:val="000000"/>
                <w:lang w:eastAsia="tr-TR"/>
              </w:rPr>
              <w:t>başkaca</w:t>
            </w:r>
            <w:r w:rsidRPr="00A23740">
              <w:rPr>
                <w:rFonts w:eastAsia="Times New Roman"/>
                <w:color w:val="000000"/>
                <w:szCs w:val="24"/>
                <w:lang w:eastAsia="tr-TR"/>
              </w:rPr>
              <w:t xml:space="preserve"> hiçbir tescil işleminin yapılamayacağı düzenlenmektedir. </w:t>
            </w:r>
            <w:r w:rsidR="00AA5C8C" w:rsidRPr="00A23740">
              <w:rPr>
                <w:rFonts w:eastAsia="Times New Roman"/>
                <w:color w:val="000000"/>
                <w:szCs w:val="24"/>
                <w:lang w:eastAsia="tr-TR"/>
              </w:rPr>
              <w:t xml:space="preserve">Taslağın </w:t>
            </w:r>
            <w:r w:rsidR="00434195" w:rsidRPr="00D60C1D">
              <w:rPr>
                <w:rStyle w:val="KonuBalChar"/>
                <w:rFonts w:eastAsia="Calibri"/>
                <w:b w:val="0"/>
                <w:color w:val="000000"/>
              </w:rPr>
              <w:t>247 nci</w:t>
            </w:r>
            <w:r w:rsidR="00434195" w:rsidRPr="00A23740">
              <w:rPr>
                <w:rFonts w:eastAsia="Times New Roman"/>
                <w:color w:val="000000"/>
                <w:szCs w:val="24"/>
                <w:lang w:eastAsia="tr-TR"/>
              </w:rPr>
              <w:t xml:space="preserve"> </w:t>
            </w:r>
            <w:r w:rsidR="00AA5C8C" w:rsidRPr="00A23740">
              <w:rPr>
                <w:rFonts w:eastAsia="Times New Roman"/>
                <w:color w:val="000000"/>
                <w:szCs w:val="24"/>
                <w:lang w:eastAsia="tr-TR"/>
              </w:rPr>
              <w:t>maddesinin birinci fıkrasında, ihale konusu malın mülkiyetinin ihaleyle alıcıya geçeceği ve ihale kesinleşmeden alıcı adına tesc</w:t>
            </w:r>
            <w:r w:rsidRPr="00A23740">
              <w:rPr>
                <w:rFonts w:eastAsia="Times New Roman"/>
                <w:color w:val="000000"/>
                <w:szCs w:val="24"/>
                <w:lang w:eastAsia="tr-TR"/>
              </w:rPr>
              <w:t>il edilmeyeceği kabul edilmektedir</w:t>
            </w:r>
            <w:r w:rsidR="00AA5C8C" w:rsidRPr="00A23740">
              <w:rPr>
                <w:rFonts w:eastAsia="Times New Roman"/>
                <w:color w:val="000000"/>
                <w:szCs w:val="24"/>
                <w:lang w:eastAsia="tr-TR"/>
              </w:rPr>
              <w:t>. İşte maddenin üçüncü fıkrasında da ihaleden sonra kesinleşme sürecinde olası mülkiyet sorunlarının önlenebilmesi amacıyla sicilde başka bir tescil işleminin ancak icra ve iflas dairesinin izniyle yapılabileceği ifade edilm</w:t>
            </w:r>
            <w:r w:rsidRPr="00A23740">
              <w:rPr>
                <w:rFonts w:eastAsia="Times New Roman"/>
                <w:color w:val="000000"/>
                <w:szCs w:val="24"/>
                <w:lang w:eastAsia="tr-TR"/>
              </w:rPr>
              <w:t>ektedir.</w:t>
            </w:r>
            <w:r w:rsidR="00C222A6" w:rsidRPr="00A23740">
              <w:rPr>
                <w:rFonts w:eastAsia="Times New Roman"/>
                <w:color w:val="000000"/>
                <w:szCs w:val="24"/>
                <w:lang w:eastAsia="tr-TR"/>
              </w:rPr>
              <w:t xml:space="preserve"> Fıkra, 2004 sayılı Kanunun 131 inci maddesinin birinci fıkrasının ikinci cümlesine karşılık gelmektedir.</w:t>
            </w:r>
            <w:r w:rsidR="00F423C5" w:rsidRPr="00A23740">
              <w:rPr>
                <w:rFonts w:eastAsia="Times New Roman"/>
                <w:color w:val="000000"/>
                <w:szCs w:val="24"/>
                <w:lang w:eastAsia="tr-TR"/>
              </w:rPr>
              <w:t xml:space="preserve"> </w:t>
            </w:r>
            <w:r w:rsidR="00F423C5" w:rsidRPr="00D60C1D">
              <w:rPr>
                <w:rStyle w:val="YELChar"/>
                <w:b w:val="0"/>
                <w:color w:val="000000"/>
              </w:rPr>
              <w:t>Bununla beraber 2004 sayılı Kanunun 131 inci maddesinin</w:t>
            </w:r>
            <w:r w:rsidR="006353A4" w:rsidRPr="00D60C1D">
              <w:rPr>
                <w:rStyle w:val="KIRMIZIChar"/>
                <w:rFonts w:eastAsia="ヒラギノ明朝 Pro W3"/>
                <w:b w:val="0"/>
                <w:strike w:val="0"/>
                <w:color w:val="000000"/>
              </w:rPr>
              <w:t xml:space="preserve"> </w:t>
            </w:r>
            <w:r w:rsidR="006353A4" w:rsidRPr="00D60C1D">
              <w:rPr>
                <w:rStyle w:val="KonuBalChar"/>
                <w:rFonts w:eastAsia="ヒラギノ明朝 Pro W3"/>
                <w:b w:val="0"/>
                <w:color w:val="000000"/>
              </w:rPr>
              <w:t>birinci fıkrasının</w:t>
            </w:r>
            <w:r w:rsidR="00F423C5" w:rsidRPr="00D60C1D">
              <w:rPr>
                <w:rStyle w:val="YELChar"/>
                <w:b w:val="0"/>
                <w:color w:val="000000"/>
              </w:rPr>
              <w:t xml:space="preserve"> son cümlesinin</w:t>
            </w:r>
            <w:r w:rsidR="00F423C5" w:rsidRPr="00A23740">
              <w:rPr>
                <w:rStyle w:val="YELChar"/>
              </w:rPr>
              <w:t xml:space="preserve"> </w:t>
            </w:r>
            <w:r w:rsidR="00F423C5" w:rsidRPr="00D60C1D">
              <w:rPr>
                <w:rStyle w:val="YELChar"/>
                <w:b w:val="0"/>
                <w:color w:val="000000"/>
              </w:rPr>
              <w:t>“icra</w:t>
            </w:r>
            <w:r w:rsidR="00B73523" w:rsidRPr="00D60C1D">
              <w:rPr>
                <w:b/>
                <w:color w:val="000000"/>
              </w:rPr>
              <w:t xml:space="preserve"> </w:t>
            </w:r>
            <w:r w:rsidR="00B73523" w:rsidRPr="00D60C1D">
              <w:rPr>
                <w:color w:val="000000"/>
              </w:rPr>
              <w:t>ve iflas</w:t>
            </w:r>
            <w:r w:rsidR="00F423C5" w:rsidRPr="00D60C1D">
              <w:rPr>
                <w:rStyle w:val="YELChar"/>
                <w:b w:val="0"/>
                <w:color w:val="000000"/>
              </w:rPr>
              <w:t xml:space="preserve"> dairesi satış bedelini temin için ayrıca teminat gösterilmesini isteyebilir” şeklindeki düzenlemesi Taslağa alınmamıştır. 2004 sayılı Kanun döneminde icra </w:t>
            </w:r>
            <w:r w:rsidR="007D74DD" w:rsidRPr="00D60C1D">
              <w:rPr>
                <w:color w:val="000000"/>
              </w:rPr>
              <w:t>ve iflas</w:t>
            </w:r>
            <w:r w:rsidR="007D74DD" w:rsidRPr="00D60C1D">
              <w:rPr>
                <w:b/>
                <w:color w:val="000000"/>
              </w:rPr>
              <w:t xml:space="preserve"> </w:t>
            </w:r>
            <w:r w:rsidR="00F423C5" w:rsidRPr="00D60C1D">
              <w:rPr>
                <w:rStyle w:val="YELChar"/>
                <w:b w:val="0"/>
                <w:color w:val="000000"/>
              </w:rPr>
              <w:t>müdürünün ihale bedelini ödemek üzere alıcıya süre verebilmesi mümkün</w:t>
            </w:r>
            <w:r w:rsidR="00626E3B" w:rsidRPr="00D60C1D">
              <w:rPr>
                <w:rStyle w:val="YELChar"/>
                <w:b w:val="0"/>
                <w:color w:val="000000"/>
              </w:rPr>
              <w:t xml:space="preserve"> i</w:t>
            </w:r>
            <w:r w:rsidR="00F423C5" w:rsidRPr="00D60C1D">
              <w:rPr>
                <w:rStyle w:val="YELChar"/>
                <w:b w:val="0"/>
                <w:color w:val="000000"/>
              </w:rPr>
              <w:t>ken</w:t>
            </w:r>
            <w:r w:rsidR="00626E3B" w:rsidRPr="00D60C1D">
              <w:rPr>
                <w:rStyle w:val="YELChar"/>
                <w:b w:val="0"/>
                <w:color w:val="000000"/>
              </w:rPr>
              <w:t>,</w:t>
            </w:r>
            <w:r w:rsidR="00F423C5" w:rsidRPr="00D60C1D">
              <w:rPr>
                <w:rStyle w:val="YELChar"/>
                <w:b w:val="0"/>
                <w:color w:val="000000"/>
              </w:rPr>
              <w:t xml:space="preserve"> bu yeni düzenlemede ihale bedelinin artırma sonuç tutanağının ilanından itibaren yedi gün içinde nakden ödenmesi hükmü karşısında icra </w:t>
            </w:r>
            <w:r w:rsidR="007D74DD" w:rsidRPr="00D60C1D">
              <w:rPr>
                <w:color w:val="000000"/>
              </w:rPr>
              <w:t>ve iflas</w:t>
            </w:r>
            <w:r w:rsidR="007D74DD" w:rsidRPr="00D60C1D">
              <w:rPr>
                <w:b/>
                <w:color w:val="000000"/>
              </w:rPr>
              <w:t xml:space="preserve"> </w:t>
            </w:r>
            <w:r w:rsidR="00F423C5" w:rsidRPr="00D60C1D">
              <w:rPr>
                <w:rStyle w:val="YELChar"/>
                <w:b w:val="0"/>
                <w:color w:val="000000"/>
              </w:rPr>
              <w:t>müdürüne bir takdir yetkisi bırakılması söz konusu değildir. Öte yandan ihale alıcısının önceki Kanundan farklı olarak her durumda (taşınır-taşınmaz ayrımı olmaksızın) teminat yatırma zorunluluğu nedeniyle esasen ihale bedelini temin etmek bakımından yeni bir teminata ihtiyaç olmayacağı düşüncesiyle Taslakta bu tür bir düzenlemeye yer verilmemiştir.</w:t>
            </w:r>
          </w:p>
          <w:p w:rsidR="00DD477C" w:rsidRPr="00A23740" w:rsidRDefault="004729D8" w:rsidP="009431FF">
            <w:pPr>
              <w:tabs>
                <w:tab w:val="left" w:pos="567"/>
              </w:tabs>
              <w:ind w:firstLine="709"/>
              <w:rPr>
                <w:rFonts w:eastAsia="Times New Roman"/>
                <w:b/>
                <w:color w:val="0000FF"/>
                <w:szCs w:val="24"/>
                <w:lang w:eastAsia="tr-TR"/>
              </w:rPr>
            </w:pPr>
            <w:r w:rsidRPr="00A23740">
              <w:rPr>
                <w:rFonts w:eastAsia="Times New Roman"/>
                <w:color w:val="000000"/>
                <w:szCs w:val="24"/>
                <w:lang w:eastAsia="tr-TR"/>
              </w:rPr>
              <w:t xml:space="preserve">Dördüncü fıkrayla, </w:t>
            </w:r>
            <w:r w:rsidR="00AE7A9A" w:rsidRPr="00A23740">
              <w:rPr>
                <w:rFonts w:eastAsia="Times New Roman"/>
                <w:color w:val="000000"/>
                <w:szCs w:val="24"/>
                <w:lang w:eastAsia="tr-TR"/>
              </w:rPr>
              <w:t>malın kullanılması h</w:t>
            </w:r>
            <w:r w:rsidR="00C224B4" w:rsidRPr="00A23740">
              <w:rPr>
                <w:rFonts w:eastAsia="Times New Roman"/>
                <w:color w:val="000000"/>
                <w:szCs w:val="24"/>
                <w:lang w:eastAsia="tr-TR"/>
              </w:rPr>
              <w:t>â</w:t>
            </w:r>
            <w:r w:rsidR="00AE7A9A" w:rsidRPr="00A23740">
              <w:rPr>
                <w:rFonts w:eastAsia="Times New Roman"/>
                <w:color w:val="000000"/>
                <w:szCs w:val="24"/>
                <w:lang w:eastAsia="tr-TR"/>
              </w:rPr>
              <w:t xml:space="preserve">linde yapılacak işlemler belirlenmektedir. Buna göre, </w:t>
            </w:r>
            <w:r w:rsidRPr="00A23740">
              <w:rPr>
                <w:rFonts w:eastAsia="Times New Roman"/>
                <w:color w:val="000000"/>
                <w:szCs w:val="24"/>
                <w:lang w:eastAsia="tr-TR"/>
              </w:rPr>
              <w:t>ihale alıcısının talebi üzerine icra ve iflas dairesi, malın borçlu veya üçüncü kişi tarafından kira sözleşmesine dayanılarak kullanılması h</w:t>
            </w:r>
            <w:r w:rsidR="00C224B4" w:rsidRPr="00A23740">
              <w:rPr>
                <w:rFonts w:eastAsia="Times New Roman"/>
                <w:color w:val="000000"/>
                <w:szCs w:val="24"/>
                <w:lang w:eastAsia="tr-TR"/>
              </w:rPr>
              <w:t>â</w:t>
            </w:r>
            <w:r w:rsidRPr="00A23740">
              <w:rPr>
                <w:rFonts w:eastAsia="Times New Roman"/>
                <w:color w:val="000000"/>
                <w:szCs w:val="24"/>
                <w:lang w:eastAsia="tr-TR"/>
              </w:rPr>
              <w:t>linde kirayı, diğer h</w:t>
            </w:r>
            <w:r w:rsidR="00C224B4" w:rsidRPr="00A23740">
              <w:rPr>
                <w:rFonts w:eastAsia="Times New Roman"/>
                <w:color w:val="000000"/>
                <w:szCs w:val="24"/>
                <w:lang w:eastAsia="tr-TR"/>
              </w:rPr>
              <w:t>â</w:t>
            </w:r>
            <w:r w:rsidRPr="00A23740">
              <w:rPr>
                <w:rFonts w:eastAsia="Times New Roman"/>
                <w:color w:val="000000"/>
                <w:szCs w:val="24"/>
                <w:lang w:eastAsia="tr-TR"/>
              </w:rPr>
              <w:t xml:space="preserve">llerde ise bilirkişi marifetiyle tespit edilen aylık kullanım bedelini icra ve iflas </w:t>
            </w:r>
            <w:r w:rsidR="00C222A6" w:rsidRPr="00A23740">
              <w:rPr>
                <w:rFonts w:eastAsia="Times New Roman"/>
                <w:color w:val="000000"/>
                <w:szCs w:val="24"/>
                <w:lang w:eastAsia="tr-TR"/>
              </w:rPr>
              <w:t>dairesinin banka hesabına</w:t>
            </w:r>
            <w:r w:rsidRPr="00A23740">
              <w:rPr>
                <w:rFonts w:eastAsia="Times New Roman"/>
                <w:color w:val="000000"/>
                <w:szCs w:val="24"/>
                <w:lang w:eastAsia="tr-TR"/>
              </w:rPr>
              <w:t xml:space="preserve"> yatırmasını malı kullanan kişiye </w:t>
            </w:r>
            <w:r w:rsidR="00C222A6" w:rsidRPr="00A23740">
              <w:rPr>
                <w:rFonts w:eastAsia="Times New Roman"/>
                <w:color w:val="000000"/>
                <w:szCs w:val="24"/>
                <w:lang w:eastAsia="tr-TR"/>
              </w:rPr>
              <w:t>bir muhtırayla</w:t>
            </w:r>
            <w:r w:rsidR="00AE7A9A" w:rsidRPr="00A23740">
              <w:rPr>
                <w:rFonts w:eastAsia="Times New Roman"/>
                <w:color w:val="000000"/>
                <w:szCs w:val="24"/>
                <w:lang w:eastAsia="tr-TR"/>
              </w:rPr>
              <w:t xml:space="preserve"> </w:t>
            </w:r>
            <w:r w:rsidRPr="00A23740">
              <w:rPr>
                <w:rFonts w:eastAsia="Times New Roman"/>
                <w:color w:val="000000"/>
                <w:szCs w:val="24"/>
                <w:lang w:eastAsia="tr-TR"/>
              </w:rPr>
              <w:t xml:space="preserve">emreder. Bu kişi, ihtara rağmen kirayı veya belirlenen bedeli icra ve iflas dairesine yatırmazsa hakkında </w:t>
            </w:r>
            <w:r w:rsidR="000655BB" w:rsidRPr="00A23740">
              <w:rPr>
                <w:rFonts w:eastAsia="Times New Roman"/>
                <w:color w:val="000000"/>
                <w:szCs w:val="24"/>
                <w:lang w:eastAsia="tr-TR"/>
              </w:rPr>
              <w:t xml:space="preserve">Taslağın maaş ve ücretlerin haczine ilişkin usulü </w:t>
            </w:r>
            <w:r w:rsidR="00626E3B" w:rsidRPr="00A23740">
              <w:rPr>
                <w:rFonts w:eastAsia="Times New Roman"/>
                <w:color w:val="000000"/>
                <w:szCs w:val="24"/>
                <w:lang w:eastAsia="tr-TR"/>
              </w:rPr>
              <w:t xml:space="preserve">düzenleyen </w:t>
            </w:r>
            <w:r w:rsidR="00434195" w:rsidRPr="00D60C1D">
              <w:rPr>
                <w:rStyle w:val="KonuBalChar"/>
                <w:rFonts w:eastAsia="Calibri"/>
                <w:b w:val="0"/>
                <w:color w:val="000000"/>
              </w:rPr>
              <w:t>163 üncü</w:t>
            </w:r>
            <w:r w:rsidRPr="00A23740">
              <w:rPr>
                <w:rFonts w:eastAsia="Times New Roman"/>
                <w:color w:val="000000"/>
                <w:szCs w:val="24"/>
                <w:lang w:eastAsia="tr-TR"/>
              </w:rPr>
              <w:t xml:space="preserve"> madde</w:t>
            </w:r>
            <w:r w:rsidR="000655BB" w:rsidRPr="00A23740">
              <w:rPr>
                <w:rFonts w:eastAsia="Times New Roman"/>
                <w:color w:val="000000"/>
                <w:szCs w:val="24"/>
                <w:lang w:eastAsia="tr-TR"/>
              </w:rPr>
              <w:t>si</w:t>
            </w:r>
            <w:r w:rsidRPr="00A23740">
              <w:rPr>
                <w:rFonts w:eastAsia="Times New Roman"/>
                <w:color w:val="000000"/>
                <w:szCs w:val="24"/>
                <w:lang w:eastAsia="tr-TR"/>
              </w:rPr>
              <w:t xml:space="preserve"> kıyasen uygulanır. Bu şekilde depo edilen kira veya bedel, ihalenin sonucuna göre hak sahibine ödenir.</w:t>
            </w:r>
            <w:r w:rsidR="00AE7A9A" w:rsidRPr="00A23740">
              <w:rPr>
                <w:rFonts w:eastAsia="Times New Roman"/>
                <w:color w:val="000000"/>
                <w:szCs w:val="24"/>
                <w:lang w:eastAsia="tr-TR"/>
              </w:rPr>
              <w:t xml:space="preserve"> Fıkra, 2004 sayılı Kanunun 134 üncü maddesinin birinci fıkrasının üçüncü, dördüncü ve beşinci cü</w:t>
            </w:r>
            <w:r w:rsidR="003F10EF">
              <w:rPr>
                <w:rFonts w:eastAsia="Times New Roman"/>
                <w:color w:val="000000"/>
                <w:szCs w:val="24"/>
                <w:lang w:eastAsia="tr-TR"/>
              </w:rPr>
              <w:t>mlelerine karşılık gelmektedir.</w:t>
            </w:r>
          </w:p>
          <w:p w:rsidR="00ED3C41" w:rsidRPr="00A23740" w:rsidRDefault="00ED3C41" w:rsidP="009431FF">
            <w:pPr>
              <w:tabs>
                <w:tab w:val="left" w:pos="567"/>
              </w:tabs>
              <w:ind w:firstLine="709"/>
              <w:rPr>
                <w:rFonts w:eastAsia="Times New Roman"/>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zCs w:val="24"/>
                <w:lang w:eastAsia="tr-TR"/>
              </w:rPr>
              <w:t xml:space="preserve">Sonradan tesis edilen taşınmaz </w:t>
            </w:r>
            <w:r w:rsidRPr="00A23740">
              <w:rPr>
                <w:rStyle w:val="KIRMIZIChar"/>
                <w:rFonts w:eastAsia="Calibri"/>
              </w:rPr>
              <w:t>mükellefiyetleri</w:t>
            </w:r>
            <w:r w:rsidRPr="00A23740">
              <w:rPr>
                <w:rFonts w:eastAsia="Times New Roman"/>
                <w:b/>
                <w:szCs w:val="24"/>
                <w:lang w:eastAsia="tr-TR"/>
              </w:rPr>
              <w:t xml:space="preserve"> </w:t>
            </w:r>
            <w:r w:rsidRPr="00A23740">
              <w:rPr>
                <w:rStyle w:val="KIRMIZIChar"/>
                <w:rFonts w:eastAsia="Calibri"/>
              </w:rPr>
              <w:t>ve</w:t>
            </w:r>
            <w:r w:rsidRPr="00A23740">
              <w:rPr>
                <w:rFonts w:eastAsia="Times New Roman"/>
                <w:b/>
                <w:szCs w:val="24"/>
                <w:lang w:eastAsia="tr-TR"/>
              </w:rPr>
              <w:t xml:space="preserve"> ipotekli </w:t>
            </w:r>
            <w:r w:rsidRPr="00A23740">
              <w:rPr>
                <w:rStyle w:val="KIRMIZIChar"/>
                <w:rFonts w:eastAsia="Calibri"/>
              </w:rPr>
              <w:t>ve</w:t>
            </w:r>
            <w:r w:rsidRPr="00A23740">
              <w:rPr>
                <w:rFonts w:eastAsia="Times New Roman"/>
                <w:b/>
                <w:szCs w:val="24"/>
                <w:lang w:eastAsia="tr-TR"/>
              </w:rPr>
              <w:t xml:space="preserve"> </w:t>
            </w:r>
            <w:r w:rsidRPr="00A23740">
              <w:rPr>
                <w:rStyle w:val="KIRMIZIChar"/>
                <w:rFonts w:eastAsia="Calibri"/>
              </w:rPr>
              <w:t>mahcuz</w:t>
            </w:r>
            <w:r w:rsidRPr="00A23740">
              <w:rPr>
                <w:rFonts w:eastAsia="Times New Roman"/>
                <w:b/>
                <w:szCs w:val="24"/>
                <w:lang w:eastAsia="tr-TR"/>
              </w:rPr>
              <w:t xml:space="preserve"> taşınmazların kiralanmasında </w:t>
            </w:r>
            <w:r w:rsidRPr="00A23740">
              <w:rPr>
                <w:rStyle w:val="KIRMIZIChar"/>
                <w:rFonts w:eastAsia="Calibri"/>
              </w:rPr>
              <w:t>hüküm:</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132 – (1)</w:t>
            </w:r>
            <w:r w:rsidRPr="00A23740">
              <w:rPr>
                <w:rFonts w:eastAsia="Times New Roman"/>
                <w:szCs w:val="24"/>
                <w:lang w:eastAsia="tr-TR"/>
              </w:rPr>
              <w:t xml:space="preserve"> Alacak bir taşınmaz ile temin edildikten sonra borçlu o taşınmaz üzerinde alacaklının rızası olmaksızın bir irtifak hakkı yahut bir taşınmaz </w:t>
            </w:r>
            <w:r w:rsidRPr="00A23740">
              <w:rPr>
                <w:rStyle w:val="KIRMIZIChar"/>
                <w:rFonts w:eastAsia="Calibri"/>
              </w:rPr>
              <w:t>mükellefiyeti tesis ederse</w:t>
            </w:r>
            <w:r w:rsidRPr="00A23740">
              <w:rPr>
                <w:rFonts w:eastAsia="Times New Roman"/>
                <w:szCs w:val="24"/>
                <w:lang w:eastAsia="tr-TR"/>
              </w:rPr>
              <w:t xml:space="preserve"> bu </w:t>
            </w:r>
            <w:r w:rsidRPr="00A23740">
              <w:rPr>
                <w:rStyle w:val="KIRMIZIChar"/>
                <w:rFonts w:eastAsia="Calibri"/>
              </w:rPr>
              <w:t>tesis</w:t>
            </w:r>
            <w:r w:rsidRPr="00A23740">
              <w:rPr>
                <w:rFonts w:eastAsia="Times New Roman"/>
                <w:szCs w:val="24"/>
                <w:lang w:eastAsia="tr-TR"/>
              </w:rPr>
              <w:t xml:space="preserve"> alacaklının hakkına tesir etmez ve alacaklı taşınmazın o hak ile birlikte </w:t>
            </w:r>
            <w:r w:rsidRPr="00A23740">
              <w:rPr>
                <w:rStyle w:val="KIRMIZIChar"/>
                <w:rFonts w:eastAsia="Calibri"/>
              </w:rPr>
              <w:t>veya</w:t>
            </w:r>
            <w:r w:rsidRPr="00A23740">
              <w:rPr>
                <w:rFonts w:eastAsia="Times New Roman"/>
                <w:szCs w:val="24"/>
                <w:lang w:eastAsia="tr-TR"/>
              </w:rPr>
              <w:t xml:space="preserve"> o haktan ari olarak </w:t>
            </w:r>
            <w:r w:rsidRPr="00A23740">
              <w:rPr>
                <w:rFonts w:eastAsia="Times New Roman"/>
                <w:b/>
                <w:strike/>
                <w:color w:val="FF0000"/>
                <w:szCs w:val="24"/>
                <w:lang w:eastAsia="tr-TR"/>
              </w:rPr>
              <w:t>artırmağa</w:t>
            </w:r>
            <w:r w:rsidRPr="00A23740">
              <w:rPr>
                <w:rFonts w:eastAsia="Times New Roman"/>
                <w:szCs w:val="24"/>
                <w:lang w:eastAsia="tr-TR"/>
              </w:rPr>
              <w:t xml:space="preserve"> çıkarılmasını isteyebilir.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434195" w:rsidRPr="00A23740" w:rsidRDefault="00434195"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w:t>
            </w:r>
            <w:r w:rsidRPr="00A23740">
              <w:rPr>
                <w:rStyle w:val="KIRMIZIChar"/>
                <w:rFonts w:eastAsia="Calibri"/>
              </w:rPr>
              <w:t>Taşınmaz</w:t>
            </w:r>
            <w:r w:rsidRPr="00A23740">
              <w:rPr>
                <w:rFonts w:eastAsia="Times New Roman"/>
                <w:szCs w:val="24"/>
                <w:lang w:eastAsia="tr-TR"/>
              </w:rPr>
              <w:t xml:space="preserve"> </w:t>
            </w:r>
            <w:r w:rsidRPr="00A23740">
              <w:t xml:space="preserve">haktan ari olarak </w:t>
            </w:r>
            <w:r w:rsidRPr="00A23740">
              <w:rPr>
                <w:rStyle w:val="KIRMIZIChar"/>
                <w:rFonts w:eastAsia="Calibri"/>
              </w:rPr>
              <w:t>satılıp ta</w:t>
            </w:r>
            <w:r w:rsidRPr="00A23740">
              <w:rPr>
                <w:rFonts w:eastAsia="Times New Roman"/>
                <w:szCs w:val="24"/>
                <w:lang w:eastAsia="tr-TR"/>
              </w:rPr>
              <w:t xml:space="preserve"> bedeli alacaklının </w:t>
            </w:r>
            <w:r w:rsidRPr="00A23740">
              <w:t>alacağından fazla</w:t>
            </w:r>
            <w:r w:rsidRPr="00A23740">
              <w:rPr>
                <w:rFonts w:eastAsia="Times New Roman"/>
                <w:szCs w:val="24"/>
                <w:lang w:eastAsia="tr-TR"/>
              </w:rPr>
              <w:t xml:space="preserve"> çıkarsa o hakkın takdir edilecek kıymeti ödenmek üzere bedelin fazlası hak sahibine </w:t>
            </w:r>
            <w:r w:rsidRPr="00A23740">
              <w:rPr>
                <w:rFonts w:eastAsia="Times New Roman"/>
                <w:b/>
                <w:strike/>
                <w:color w:val="FF0000"/>
                <w:szCs w:val="24"/>
                <w:lang w:eastAsia="tr-TR"/>
              </w:rPr>
              <w:t>tahsis edilir</w:t>
            </w:r>
            <w:r w:rsidRPr="00A23740">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(3) İpotek yapılmış olan</w:t>
            </w:r>
            <w:r w:rsidRPr="00A23740">
              <w:rPr>
                <w:rFonts w:eastAsia="Times New Roman"/>
                <w:szCs w:val="24"/>
                <w:lang w:eastAsia="tr-TR"/>
              </w:rPr>
              <w:t xml:space="preserve"> taşınmazı </w:t>
            </w:r>
            <w:r w:rsidRPr="00A23740">
              <w:rPr>
                <w:rStyle w:val="KIRMIZIChar"/>
                <w:rFonts w:eastAsia="Calibri"/>
              </w:rPr>
              <w:t>borçlu</w:t>
            </w:r>
            <w:r w:rsidRPr="00A23740">
              <w:rPr>
                <w:rFonts w:eastAsia="Times New Roman"/>
                <w:szCs w:val="24"/>
                <w:lang w:eastAsia="tr-TR"/>
              </w:rPr>
              <w:t xml:space="preserve"> alacaklının rızası olmaksızın başkasına kiraya verir ve </w:t>
            </w:r>
            <w:r w:rsidRPr="00A23740">
              <w:rPr>
                <w:rFonts w:eastAsia="Times New Roman"/>
                <w:b/>
                <w:strike/>
                <w:color w:val="FF0000"/>
                <w:szCs w:val="24"/>
                <w:lang w:eastAsia="tr-TR"/>
              </w:rPr>
              <w:t>keyfiyeti</w:t>
            </w:r>
            <w:r w:rsidRPr="00A23740">
              <w:rPr>
                <w:rFonts w:eastAsia="Times New Roman"/>
                <w:szCs w:val="24"/>
                <w:lang w:eastAsia="tr-TR"/>
              </w:rPr>
              <w:t xml:space="preserve"> tapuya </w:t>
            </w:r>
            <w:r w:rsidRPr="00A23740">
              <w:rPr>
                <w:rStyle w:val="KIRMIZIChar"/>
                <w:rFonts w:eastAsia="Calibri"/>
              </w:rPr>
              <w:t>tescil</w:t>
            </w:r>
            <w:r w:rsidRPr="00A23740">
              <w:rPr>
                <w:rFonts w:eastAsia="Times New Roman"/>
                <w:szCs w:val="24"/>
                <w:lang w:eastAsia="tr-TR"/>
              </w:rPr>
              <w:t xml:space="preserve"> ettirirse </w:t>
            </w:r>
            <w:r w:rsidRPr="00A23740">
              <w:rPr>
                <w:rStyle w:val="KIRMIZIChar"/>
                <w:rFonts w:eastAsia="Calibri"/>
              </w:rPr>
              <w:t>bu tescil ipotekli alacaklının hakkına tesir etmez</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(4)</w:t>
            </w:r>
            <w:r w:rsidRPr="00A23740">
              <w:t xml:space="preserve"> Bu hüküm haczedilmiş olan taşınmazlarda da </w:t>
            </w:r>
            <w:r w:rsidRPr="00A23740">
              <w:rPr>
                <w:rFonts w:eastAsia="Times New Roman"/>
                <w:b/>
                <w:strike/>
                <w:color w:val="FF0000"/>
                <w:szCs w:val="24"/>
                <w:lang w:eastAsia="tr-TR"/>
              </w:rPr>
              <w:t>caridir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Sonradan tesis edilen taşınmaz </w:t>
            </w:r>
            <w:r w:rsidRPr="00A23740">
              <w:rPr>
                <w:rStyle w:val="MAVChar"/>
                <w:rFonts w:eastAsia="Calibri"/>
                <w:u w:val="none"/>
              </w:rPr>
              <w:t>yükleri ile</w:t>
            </w:r>
            <w:r w:rsidRPr="00A23740">
              <w:rPr>
                <w:rFonts w:eastAsia="Times New Roman"/>
                <w:b/>
                <w:szCs w:val="24"/>
                <w:lang w:eastAsia="tr-TR"/>
              </w:rPr>
              <w:t xml:space="preserve"> ipotekli </w:t>
            </w:r>
            <w:r w:rsidRPr="00A23740">
              <w:rPr>
                <w:rStyle w:val="MAVChar"/>
                <w:rFonts w:eastAsia="Calibri"/>
                <w:u w:val="none"/>
              </w:rPr>
              <w:t>veya hacizli</w:t>
            </w:r>
            <w:r w:rsidRPr="00A23740">
              <w:rPr>
                <w:rFonts w:eastAsia="Times New Roman"/>
                <w:b/>
                <w:szCs w:val="24"/>
                <w:lang w:eastAsia="tr-TR"/>
              </w:rPr>
              <w:t xml:space="preserve"> taşınmazların kiralanmasında </w:t>
            </w:r>
            <w:r w:rsidRPr="00A23740">
              <w:rPr>
                <w:rStyle w:val="MAVChar"/>
                <w:rFonts w:eastAsia="Calibri"/>
                <w:u w:val="none"/>
              </w:rPr>
              <w:t>uygulanacak esaslar</w:t>
            </w:r>
            <w:r w:rsidRPr="00A23740">
              <w:rPr>
                <w:rFonts w:eastAsia="Times New Roman"/>
                <w:b/>
                <w:szCs w:val="24"/>
                <w:lang w:eastAsia="tr-TR"/>
              </w:rPr>
              <w:t xml:space="preserve"> </w:t>
            </w:r>
          </w:p>
          <w:p w:rsidR="00AA5C8C" w:rsidRPr="00A23740" w:rsidRDefault="00490C3E" w:rsidP="009431FF">
            <w:pPr>
              <w:tabs>
                <w:tab w:val="left" w:pos="567"/>
              </w:tabs>
              <w:rPr>
                <w:rFonts w:eastAsia="Times New Roman"/>
                <w:b/>
                <w:color w:val="0000FF"/>
                <w:szCs w:val="24"/>
                <w:lang w:eastAsia="tr-TR"/>
              </w:rPr>
            </w:pPr>
            <w:r w:rsidRPr="00A23740">
              <w:rPr>
                <w:rFonts w:eastAsia="Times New Roman"/>
                <w:b/>
                <w:color w:val="0000FF"/>
                <w:szCs w:val="24"/>
                <w:lang w:eastAsia="tr-TR"/>
              </w:rPr>
              <w:t>MADDE 250</w:t>
            </w:r>
            <w:r w:rsidR="00AA5C8C" w:rsidRPr="00A23740">
              <w:rPr>
                <w:rFonts w:eastAsia="Times New Roman"/>
                <w:b/>
                <w:color w:val="0000FF"/>
                <w:szCs w:val="24"/>
                <w:lang w:eastAsia="tr-TR"/>
              </w:rPr>
              <w:t>- (1)</w:t>
            </w:r>
            <w:r w:rsidR="00AA5C8C" w:rsidRPr="00A23740">
              <w:rPr>
                <w:rFonts w:eastAsia="Times New Roman"/>
                <w:szCs w:val="24"/>
                <w:lang w:eastAsia="tr-TR"/>
              </w:rPr>
              <w:t xml:space="preserve"> Alacak bir taşınmaz ile temin edildikten sonra borçlu o taşınmaz üzerinde alacaklının rızası olmaksızın bir irtifak hakkı yahut bir taşınmaz </w:t>
            </w:r>
            <w:r w:rsidR="00AA5C8C" w:rsidRPr="00A23740">
              <w:rPr>
                <w:rStyle w:val="MaviChar"/>
              </w:rPr>
              <w:t>yükü</w:t>
            </w:r>
            <w:r w:rsidR="00AA5C8C" w:rsidRPr="00A23740">
              <w:rPr>
                <w:rFonts w:eastAsia="Times New Roman"/>
                <w:szCs w:val="24"/>
                <w:lang w:eastAsia="tr-TR"/>
              </w:rPr>
              <w:t xml:space="preserve"> </w:t>
            </w:r>
            <w:r w:rsidR="00AA5C8C" w:rsidRPr="00A23740">
              <w:rPr>
                <w:rStyle w:val="MaviChar"/>
              </w:rPr>
              <w:t>kurarsa,</w:t>
            </w:r>
            <w:r w:rsidR="00AA5C8C" w:rsidRPr="00A23740">
              <w:rPr>
                <w:rFonts w:eastAsia="Times New Roman"/>
                <w:szCs w:val="24"/>
                <w:lang w:eastAsia="tr-TR"/>
              </w:rPr>
              <w:t xml:space="preserve"> bu </w:t>
            </w:r>
            <w:r w:rsidR="00AA5C8C" w:rsidRPr="00A23740">
              <w:rPr>
                <w:rStyle w:val="MAVChar"/>
                <w:rFonts w:eastAsia="Calibri"/>
                <w:u w:val="none"/>
              </w:rPr>
              <w:t>işlem</w:t>
            </w:r>
            <w:r w:rsidR="00AA5C8C" w:rsidRPr="00A23740">
              <w:rPr>
                <w:rFonts w:eastAsia="Times New Roman"/>
                <w:szCs w:val="24"/>
                <w:lang w:eastAsia="tr-TR"/>
              </w:rPr>
              <w:t xml:space="preserve"> alacaklının </w:t>
            </w:r>
            <w:r w:rsidR="00F423C5" w:rsidRPr="000D6BE5">
              <w:rPr>
                <w:rStyle w:val="Balk1Char"/>
                <w:rFonts w:eastAsia="ヒラギノ明朝 Pro W3"/>
              </w:rPr>
              <w:t>hakkını</w:t>
            </w:r>
            <w:r w:rsidR="00AA5C8C" w:rsidRPr="00A23740">
              <w:rPr>
                <w:rFonts w:eastAsia="Times New Roman"/>
                <w:szCs w:val="24"/>
                <w:lang w:eastAsia="tr-TR"/>
              </w:rPr>
              <w:t xml:space="preserve"> </w:t>
            </w:r>
            <w:r w:rsidR="00F423C5" w:rsidRPr="000D6BE5">
              <w:rPr>
                <w:rStyle w:val="MaviChar"/>
              </w:rPr>
              <w:t>etkilemez</w:t>
            </w:r>
            <w:r w:rsidR="00AA5C8C" w:rsidRPr="00A23740">
              <w:rPr>
                <w:rFonts w:eastAsia="Times New Roman"/>
                <w:szCs w:val="24"/>
                <w:lang w:eastAsia="tr-TR"/>
              </w:rPr>
              <w:t xml:space="preserve"> ve alacaklı taşınmazın </w:t>
            </w:r>
            <w:r w:rsidR="00AA5C8C" w:rsidRPr="00A23740">
              <w:rPr>
                <w:rStyle w:val="MaviChar"/>
              </w:rPr>
              <w:t>ilk olarak</w:t>
            </w:r>
            <w:r w:rsidR="00AA5C8C" w:rsidRPr="00A23740">
              <w:rPr>
                <w:rFonts w:eastAsia="Times New Roman"/>
                <w:szCs w:val="24"/>
                <w:lang w:eastAsia="tr-TR"/>
              </w:rPr>
              <w:t xml:space="preserve"> o hak ile birlikte </w:t>
            </w:r>
            <w:r w:rsidR="00AA5C8C" w:rsidRPr="00A23740">
              <w:rPr>
                <w:rStyle w:val="MaviChar"/>
              </w:rPr>
              <w:t>ve sonra gerekirse</w:t>
            </w:r>
            <w:r w:rsidR="00AA5C8C" w:rsidRPr="00A23740">
              <w:rPr>
                <w:rFonts w:eastAsia="Times New Roman"/>
                <w:szCs w:val="24"/>
                <w:lang w:eastAsia="tr-TR"/>
              </w:rPr>
              <w:t xml:space="preserve"> o haktan </w:t>
            </w:r>
            <w:r w:rsidR="00B05199" w:rsidRPr="000D6BE5">
              <w:rPr>
                <w:rStyle w:val="MaviChar"/>
              </w:rPr>
              <w:t>arınmış</w:t>
            </w:r>
            <w:r w:rsidR="00AA5C8C" w:rsidRPr="00A23740">
              <w:rPr>
                <w:rFonts w:eastAsia="Times New Roman"/>
                <w:szCs w:val="24"/>
                <w:lang w:eastAsia="tr-TR"/>
              </w:rPr>
              <w:t xml:space="preserve"> olarak </w:t>
            </w:r>
            <w:r w:rsidR="00AA5C8C" w:rsidRPr="00A23740">
              <w:rPr>
                <w:rFonts w:eastAsia="Times New Roman"/>
                <w:b/>
                <w:color w:val="0000FF"/>
                <w:szCs w:val="24"/>
                <w:lang w:eastAsia="tr-TR"/>
              </w:rPr>
              <w:t>satışa</w:t>
            </w:r>
            <w:r w:rsidR="00AA5C8C" w:rsidRPr="00A23740">
              <w:rPr>
                <w:rFonts w:eastAsia="Times New Roman"/>
                <w:szCs w:val="24"/>
                <w:lang w:eastAsia="tr-TR"/>
              </w:rPr>
              <w:t xml:space="preserve"> çıkarılmasını isteyebilir.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pStyle w:val="Mavi"/>
              <w:rPr>
                <w:rStyle w:val="MaviChar"/>
                <w:b/>
                <w:bCs/>
              </w:rPr>
            </w:pPr>
            <w:r w:rsidRPr="00A23740">
              <w:rPr>
                <w:rFonts w:eastAsia="Times New Roman"/>
                <w:lang w:eastAsia="tr-TR"/>
              </w:rPr>
              <w:t xml:space="preserve">(2) </w:t>
            </w:r>
            <w:r w:rsidRPr="00A23740">
              <w:t xml:space="preserve">Taşınmaz, hak </w:t>
            </w:r>
            <w:r w:rsidRPr="00A23740">
              <w:rPr>
                <w:rStyle w:val="MaviChar"/>
                <w:b/>
                <w:bCs/>
              </w:rPr>
              <w:t xml:space="preserve">ile birlikte </w:t>
            </w:r>
            <w:r w:rsidRPr="00A23740">
              <w:t xml:space="preserve">satılıp </w:t>
            </w:r>
            <w:r w:rsidRPr="00A23740">
              <w:rPr>
                <w:rStyle w:val="MaviChar"/>
                <w:b/>
                <w:bCs/>
              </w:rPr>
              <w:t>da</w:t>
            </w:r>
            <w:r w:rsidRPr="00A23740">
              <w:t xml:space="preserve"> bedeli alacaklının alacağın</w:t>
            </w:r>
            <w:r w:rsidRPr="00A23740">
              <w:rPr>
                <w:rStyle w:val="MaviChar"/>
                <w:b/>
                <w:bCs/>
              </w:rPr>
              <w:t>ı</w:t>
            </w:r>
            <w:r w:rsidRPr="00A23740">
              <w:rPr>
                <w:rStyle w:val="KIRMIZIChar"/>
                <w:rFonts w:eastAsia="Calibri"/>
                <w:b/>
                <w:bCs/>
                <w:strike w:val="0"/>
                <w:color w:val="0000FF"/>
              </w:rPr>
              <w:t xml:space="preserve"> </w:t>
            </w:r>
            <w:r w:rsidRPr="000D6BE5">
              <w:t>karşılar</w:t>
            </w:r>
            <w:r w:rsidR="00D6629C" w:rsidRPr="000D6BE5">
              <w:t>sa</w:t>
            </w:r>
            <w:r w:rsidRPr="00A23740">
              <w:rPr>
                <w:rStyle w:val="MaviChar"/>
                <w:b/>
                <w:bCs/>
              </w:rPr>
              <w:t xml:space="preserve"> alacaklının rızası olmaksızın taşınmaz üzerinde tescil edilmiş olan hak</w:t>
            </w:r>
            <w:r w:rsidRPr="00A23740">
              <w:rPr>
                <w:rStyle w:val="MaviChar"/>
                <w:b/>
                <w:bCs/>
                <w:lang w:val="tr-TR"/>
              </w:rPr>
              <w:t>,</w:t>
            </w:r>
            <w:r w:rsidRPr="00A23740">
              <w:rPr>
                <w:rStyle w:val="MaviChar"/>
                <w:b/>
                <w:bCs/>
              </w:rPr>
              <w:t xml:space="preserve"> bu h</w:t>
            </w:r>
            <w:r w:rsidR="00C224B4" w:rsidRPr="00A23740">
              <w:rPr>
                <w:rStyle w:val="MaviChar"/>
                <w:b/>
                <w:bCs/>
                <w:lang w:val="tr-TR"/>
              </w:rPr>
              <w:t>â</w:t>
            </w:r>
            <w:r w:rsidRPr="00A23740">
              <w:rPr>
                <w:rStyle w:val="MaviChar"/>
                <w:b/>
                <w:bCs/>
              </w:rPr>
              <w:t>liyle taşınmaz üzerinde tescil edilmiş olarak kalır.</w:t>
            </w:r>
          </w:p>
          <w:p w:rsidR="00AA5C8C" w:rsidRPr="00A23740" w:rsidRDefault="00AA5C8C" w:rsidP="009431FF">
            <w:pPr>
              <w:pStyle w:val="Mavi"/>
              <w:rPr>
                <w:rStyle w:val="KIRMIZIChar"/>
                <w:rFonts w:eastAsia="Calibri"/>
                <w:b/>
                <w:bCs/>
                <w:strike w:val="0"/>
                <w:color w:val="0000FF"/>
              </w:rPr>
            </w:pPr>
          </w:p>
          <w:p w:rsidR="00AA5C8C" w:rsidRPr="00A23740" w:rsidRDefault="00AA5C8C" w:rsidP="009431FF">
            <w:pPr>
              <w:pStyle w:val="Mavi"/>
              <w:rPr>
                <w:rStyle w:val="MaviChar"/>
                <w:b/>
                <w:bCs/>
              </w:rPr>
            </w:pPr>
            <w:r w:rsidRPr="00A23740">
              <w:t>(3) Taşınmaz</w:t>
            </w:r>
            <w:r w:rsidRPr="00A23740">
              <w:rPr>
                <w:lang w:val="tr-TR"/>
              </w:rPr>
              <w:t>,</w:t>
            </w:r>
            <w:r w:rsidRPr="00A23740">
              <w:t xml:space="preserve"> hak </w:t>
            </w:r>
            <w:r w:rsidRPr="00A23740">
              <w:rPr>
                <w:rStyle w:val="MaviChar"/>
                <w:b/>
                <w:bCs/>
              </w:rPr>
              <w:t>ile birlikte</w:t>
            </w:r>
            <w:r w:rsidRPr="00A23740">
              <w:rPr>
                <w:rStyle w:val="MaviChar"/>
                <w:b/>
                <w:bCs/>
                <w:lang w:val="tr-TR"/>
              </w:rPr>
              <w:t xml:space="preserve"> </w:t>
            </w:r>
            <w:r w:rsidRPr="00A23740">
              <w:t>artırmaya çıkarılıp da teklif edilen bedel alacaklının alacağını</w:t>
            </w:r>
            <w:r w:rsidRPr="00A23740">
              <w:rPr>
                <w:rStyle w:val="KIRMIZIChar"/>
                <w:rFonts w:eastAsia="Calibri"/>
                <w:b/>
                <w:bCs/>
                <w:strike w:val="0"/>
                <w:color w:val="0000FF"/>
              </w:rPr>
              <w:t xml:space="preserve"> </w:t>
            </w:r>
            <w:r w:rsidRPr="000D6BE5">
              <w:t>karşılamaz</w:t>
            </w:r>
            <w:r w:rsidR="00D6629C" w:rsidRPr="000D6BE5">
              <w:t>sa,</w:t>
            </w:r>
            <w:r w:rsidRPr="00A23740">
              <w:rPr>
                <w:rStyle w:val="MaviChar"/>
                <w:b/>
                <w:bCs/>
              </w:rPr>
              <w:t xml:space="preserve"> alacaklının rızası olmaksızın taşınmaz üzerinde tescil edilmiş olan haklar terkin edilerek taşınmaz yeniden artırmaya çıkartılır. </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(4)</w:t>
            </w:r>
            <w:r w:rsidRPr="00A23740">
              <w:rPr>
                <w:rFonts w:eastAsia="Times New Roman"/>
                <w:szCs w:val="24"/>
                <w:lang w:eastAsia="tr-TR"/>
              </w:rPr>
              <w:t xml:space="preserve"> </w:t>
            </w:r>
            <w:r w:rsidRPr="00A23740">
              <w:rPr>
                <w:rStyle w:val="MaviChar"/>
              </w:rPr>
              <w:t>Bu suretle</w:t>
            </w:r>
            <w:r w:rsidRPr="00A23740">
              <w:rPr>
                <w:rFonts w:eastAsia="Times New Roman"/>
                <w:szCs w:val="24"/>
                <w:lang w:eastAsia="tr-TR"/>
              </w:rPr>
              <w:t xml:space="preserve"> haktan ari olarak </w:t>
            </w:r>
            <w:r w:rsidRPr="00A23740">
              <w:rPr>
                <w:rStyle w:val="MaviChar"/>
              </w:rPr>
              <w:t>satılan taşınmazın</w:t>
            </w:r>
            <w:r w:rsidRPr="00A23740">
              <w:rPr>
                <w:rFonts w:eastAsia="Times New Roman"/>
                <w:szCs w:val="24"/>
                <w:lang w:eastAsia="tr-TR"/>
              </w:rPr>
              <w:t xml:space="preserve"> bedeli alacaklının alacağından fazla çıkarsa</w:t>
            </w:r>
            <w:r w:rsidRPr="00A23740">
              <w:rPr>
                <w:rStyle w:val="MaviChar"/>
              </w:rPr>
              <w:t>,</w:t>
            </w:r>
            <w:r w:rsidRPr="00A23740">
              <w:rPr>
                <w:rFonts w:eastAsia="Times New Roman"/>
                <w:szCs w:val="24"/>
                <w:lang w:eastAsia="tr-TR"/>
              </w:rPr>
              <w:t xml:space="preserve"> o hakkın takdir edilecek kıymeti ödenmek üzere bedelin fazlası hak sahibine </w:t>
            </w:r>
            <w:r w:rsidRPr="00A23740">
              <w:rPr>
                <w:rFonts w:eastAsia="Times New Roman"/>
                <w:b/>
                <w:color w:val="0000FF"/>
                <w:szCs w:val="24"/>
                <w:lang w:eastAsia="tr-TR"/>
              </w:rPr>
              <w:t>verilir</w:t>
            </w:r>
            <w:r w:rsidRPr="00A23740">
              <w:t>.</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Style w:val="MaviChar"/>
              </w:rPr>
            </w:pPr>
            <w:r w:rsidRPr="00A23740">
              <w:rPr>
                <w:rFonts w:eastAsia="Times New Roman"/>
                <w:b/>
                <w:color w:val="0000FF"/>
                <w:szCs w:val="24"/>
                <w:lang w:eastAsia="tr-TR"/>
              </w:rPr>
              <w:t>(5)</w:t>
            </w:r>
            <w:r w:rsidRPr="00A23740">
              <w:rPr>
                <w:rFonts w:eastAsia="Times New Roman"/>
                <w:szCs w:val="24"/>
                <w:lang w:eastAsia="tr-TR"/>
              </w:rPr>
              <w:t xml:space="preserve"> </w:t>
            </w:r>
            <w:r w:rsidRPr="00A23740">
              <w:rPr>
                <w:rStyle w:val="MaviChar"/>
              </w:rPr>
              <w:t>Borçlu, ipotekli</w:t>
            </w:r>
            <w:r w:rsidRPr="00A23740">
              <w:rPr>
                <w:rFonts w:eastAsia="Times New Roman"/>
                <w:szCs w:val="24"/>
                <w:lang w:eastAsia="tr-TR"/>
              </w:rPr>
              <w:t xml:space="preserve"> taşınmazı alacaklının rızası olmaksızın başkasına kiraya verir ve </w:t>
            </w:r>
            <w:r w:rsidRPr="00A23740">
              <w:rPr>
                <w:rStyle w:val="MaviChar"/>
              </w:rPr>
              <w:t>durumu</w:t>
            </w:r>
            <w:r w:rsidRPr="00A23740">
              <w:rPr>
                <w:rFonts w:eastAsia="Times New Roman"/>
                <w:szCs w:val="24"/>
                <w:lang w:eastAsia="tr-TR"/>
              </w:rPr>
              <w:t xml:space="preserve"> tapuya </w:t>
            </w:r>
            <w:r w:rsidRPr="00A23740">
              <w:rPr>
                <w:rStyle w:val="MaviChar"/>
              </w:rPr>
              <w:t>şerh</w:t>
            </w:r>
            <w:r w:rsidRPr="00A23740">
              <w:rPr>
                <w:rStyle w:val="YELChar"/>
              </w:rPr>
              <w:t xml:space="preserve"> </w:t>
            </w:r>
            <w:r w:rsidRPr="00A23740">
              <w:rPr>
                <w:rFonts w:eastAsia="Times New Roman"/>
                <w:szCs w:val="24"/>
                <w:lang w:eastAsia="tr-TR"/>
              </w:rPr>
              <w:t>ettirirse</w:t>
            </w:r>
            <w:r w:rsidRPr="00A23740">
              <w:rPr>
                <w:rStyle w:val="MaviChar"/>
              </w:rPr>
              <w:t>,</w:t>
            </w:r>
            <w:r w:rsidRPr="00A23740">
              <w:rPr>
                <w:rFonts w:eastAsia="Times New Roman"/>
                <w:szCs w:val="24"/>
                <w:lang w:eastAsia="tr-TR"/>
              </w:rPr>
              <w:t xml:space="preserve"> </w:t>
            </w:r>
            <w:r w:rsidRPr="00A23740">
              <w:rPr>
                <w:rStyle w:val="MaviChar"/>
              </w:rPr>
              <w:t>yukarıdaki fıkralar hükümleri kıyasen uygulanır</w:t>
            </w:r>
            <w:r w:rsidRPr="00A23740">
              <w:t>.</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(6)</w:t>
            </w:r>
            <w:r w:rsidRPr="00A23740">
              <w:rPr>
                <w:rFonts w:eastAsia="Times New Roman"/>
                <w:szCs w:val="24"/>
                <w:lang w:eastAsia="tr-TR"/>
              </w:rPr>
              <w:t xml:space="preserve"> Bu </w:t>
            </w:r>
            <w:r w:rsidRPr="00A23740">
              <w:rPr>
                <w:rStyle w:val="MaviChar"/>
              </w:rPr>
              <w:t>madde hükümleri, hacizli</w:t>
            </w:r>
            <w:r w:rsidRPr="00A23740">
              <w:rPr>
                <w:rFonts w:eastAsia="Times New Roman"/>
                <w:szCs w:val="24"/>
                <w:lang w:eastAsia="tr-TR"/>
              </w:rPr>
              <w:t xml:space="preserve"> taşınmazlar </w:t>
            </w:r>
            <w:r w:rsidRPr="00A23740">
              <w:rPr>
                <w:rStyle w:val="MaviChar"/>
              </w:rPr>
              <w:t xml:space="preserve">hakkında </w:t>
            </w:r>
            <w:r w:rsidRPr="00A23740">
              <w:rPr>
                <w:rFonts w:eastAsia="Times New Roman"/>
                <w:szCs w:val="24"/>
                <w:lang w:eastAsia="tr-TR"/>
              </w:rPr>
              <w:t xml:space="preserve">da </w:t>
            </w:r>
            <w:r w:rsidRPr="00A23740">
              <w:rPr>
                <w:rStyle w:val="MaviChar"/>
              </w:rPr>
              <w:t>kıyasen uygulanır</w:t>
            </w:r>
            <w:r w:rsidRPr="00A23740">
              <w:t>.</w:t>
            </w:r>
          </w:p>
        </w:tc>
      </w:tr>
      <w:tr w:rsidR="00AA5C8C" w:rsidRPr="00A23740" w:rsidTr="009431FF">
        <w:tblPrEx>
          <w:tblLook w:val="01E0" w:firstRow="1" w:lastRow="1" w:firstColumn="1" w:lastColumn="1" w:noHBand="0" w:noVBand="0"/>
        </w:tblPrEx>
        <w:tc>
          <w:tcPr>
            <w:tcW w:w="5000" w:type="pct"/>
            <w:gridSpan w:val="2"/>
            <w:shd w:val="clear" w:color="auto" w:fill="DEEAF6"/>
          </w:tcPr>
          <w:p w:rsidR="00C222A6" w:rsidRPr="00A23740" w:rsidRDefault="00C222A6" w:rsidP="009431FF">
            <w:pPr>
              <w:tabs>
                <w:tab w:val="left" w:pos="567"/>
              </w:tabs>
              <w:ind w:firstLine="709"/>
              <w:rPr>
                <w:rFonts w:eastAsia="Times New Roman"/>
                <w:b/>
                <w:szCs w:val="24"/>
                <w:lang w:eastAsia="tr-TR"/>
              </w:rPr>
            </w:pPr>
          </w:p>
          <w:p w:rsidR="00607AE3" w:rsidRDefault="007855E7" w:rsidP="009431FF">
            <w:pPr>
              <w:tabs>
                <w:tab w:val="left" w:pos="567"/>
              </w:tabs>
              <w:ind w:firstLine="709"/>
              <w:rPr>
                <w:rFonts w:eastAsia="ヒラギノ明朝 Pro W3"/>
                <w:bCs/>
                <w:szCs w:val="24"/>
              </w:rPr>
            </w:pPr>
            <w:r w:rsidRPr="00A23740">
              <w:rPr>
                <w:rFonts w:eastAsia="Times New Roman"/>
                <w:b/>
                <w:color w:val="000000"/>
                <w:szCs w:val="24"/>
                <w:lang w:eastAsia="tr-TR"/>
              </w:rPr>
              <w:t xml:space="preserve">MADDE </w:t>
            </w:r>
            <w:r w:rsidR="00490C3E" w:rsidRPr="00A23740">
              <w:rPr>
                <w:rFonts w:eastAsia="Times New Roman"/>
                <w:b/>
                <w:color w:val="000000"/>
                <w:szCs w:val="24"/>
                <w:lang w:eastAsia="tr-TR"/>
              </w:rPr>
              <w:t>250</w:t>
            </w:r>
            <w:r w:rsidR="00AA5C8C" w:rsidRPr="00A23740">
              <w:rPr>
                <w:rFonts w:eastAsia="Times New Roman"/>
                <w:b/>
                <w:color w:val="000000"/>
                <w:szCs w:val="24"/>
                <w:lang w:eastAsia="tr-TR"/>
              </w:rPr>
              <w:t>-</w:t>
            </w:r>
            <w:r w:rsidR="00AA5C8C" w:rsidRPr="00A23740">
              <w:rPr>
                <w:rFonts w:eastAsia="Times New Roman"/>
                <w:color w:val="000000"/>
                <w:szCs w:val="24"/>
                <w:lang w:eastAsia="tr-TR"/>
              </w:rPr>
              <w:t xml:space="preserve"> </w:t>
            </w:r>
            <w:r w:rsidR="00C222A6" w:rsidRPr="00607AE3">
              <w:rPr>
                <w:rFonts w:eastAsia="ヒラギノ明朝 Pro W3"/>
                <w:bCs/>
                <w:szCs w:val="24"/>
              </w:rPr>
              <w:t>Maddeyle, sonradan tesis edilen taşınmaz yükleri ile ipotekli veya hacizli taşınmazların kiralanmasında uygulanacak esaslar düzenlenmektedir.</w:t>
            </w:r>
            <w:r w:rsidR="00607AE3">
              <w:rPr>
                <w:rFonts w:eastAsia="ヒラギノ明朝 Pro W3"/>
                <w:bCs/>
                <w:szCs w:val="24"/>
              </w:rPr>
              <w:t xml:space="preserve"> </w:t>
            </w:r>
          </w:p>
          <w:p w:rsidR="009856F1" w:rsidRPr="00A23740" w:rsidRDefault="00A82389" w:rsidP="009431FF">
            <w:pPr>
              <w:tabs>
                <w:tab w:val="left" w:pos="567"/>
              </w:tabs>
              <w:ind w:firstLine="709"/>
              <w:rPr>
                <w:rFonts w:eastAsia="Times New Roman"/>
                <w:b/>
                <w:szCs w:val="24"/>
                <w:lang w:eastAsia="tr-TR"/>
              </w:rPr>
            </w:pPr>
            <w:r w:rsidRPr="00A23740">
              <w:rPr>
                <w:rFonts w:eastAsia="ヒラギノ明朝 Pro W3"/>
                <w:bCs/>
                <w:szCs w:val="24"/>
              </w:rPr>
              <w:t>Hükümdeki esaslar</w:t>
            </w:r>
            <w:r w:rsidR="009856F1" w:rsidRPr="00A23740">
              <w:rPr>
                <w:rFonts w:eastAsia="ヒラギノ明朝 Pro W3"/>
                <w:bCs/>
                <w:szCs w:val="24"/>
              </w:rPr>
              <w:t xml:space="preserve">, öğretide de ifade edildiği üzere </w:t>
            </w:r>
            <w:r w:rsidR="00B05199" w:rsidRPr="00607AE3">
              <w:rPr>
                <w:bCs/>
              </w:rPr>
              <w:t>İsviçre</w:t>
            </w:r>
            <w:r w:rsidR="00E20D02" w:rsidRPr="00607AE3">
              <w:rPr>
                <w:szCs w:val="24"/>
              </w:rPr>
              <w:t>’nin</w:t>
            </w:r>
            <w:r w:rsidR="00B05199" w:rsidRPr="00607AE3">
              <w:rPr>
                <w:bCs/>
              </w:rPr>
              <w:t> Borç İçin Takip ve İflas Hakkında Federal </w:t>
            </w:r>
            <w:r w:rsidR="009856F1" w:rsidRPr="00607AE3">
              <w:rPr>
                <w:b/>
                <w:bCs/>
              </w:rPr>
              <w:t xml:space="preserve"> </w:t>
            </w:r>
            <w:r w:rsidR="00B05199" w:rsidRPr="00A23740">
              <w:rPr>
                <w:rFonts w:eastAsia="ヒラギノ明朝 Pro W3"/>
                <w:bCs/>
                <w:szCs w:val="24"/>
              </w:rPr>
              <w:t>Kanunun</w:t>
            </w:r>
            <w:r w:rsidR="00E20D02" w:rsidRPr="00607AE3">
              <w:rPr>
                <w:szCs w:val="24"/>
              </w:rPr>
              <w:t>un</w:t>
            </w:r>
            <w:r w:rsidR="009856F1" w:rsidRPr="00A23740">
              <w:rPr>
                <w:rFonts w:eastAsia="ヒラギノ明朝 Pro W3"/>
                <w:bCs/>
                <w:szCs w:val="24"/>
              </w:rPr>
              <w:t xml:space="preserve"> 142 nci maddesinden yapılan çeviri nedeniyle İsviçre</w:t>
            </w:r>
            <w:r w:rsidR="00B05199" w:rsidRPr="00A23740">
              <w:rPr>
                <w:rFonts w:eastAsia="ヒラギノ明朝 Pro W3"/>
                <w:bCs/>
                <w:szCs w:val="24"/>
              </w:rPr>
              <w:t>’</w:t>
            </w:r>
            <w:r w:rsidR="009856F1" w:rsidRPr="00A23740">
              <w:rPr>
                <w:rFonts w:eastAsia="ヒラギノ明朝 Pro W3"/>
                <w:bCs/>
                <w:szCs w:val="24"/>
              </w:rPr>
              <w:t>deki uygulamadan farklı anlaşılmıştır. İsviçre</w:t>
            </w:r>
            <w:r w:rsidR="00B05199" w:rsidRPr="00A23740">
              <w:rPr>
                <w:rFonts w:eastAsia="ヒラギノ明朝 Pro W3"/>
                <w:bCs/>
                <w:szCs w:val="24"/>
              </w:rPr>
              <w:t>’</w:t>
            </w:r>
            <w:r w:rsidR="009856F1" w:rsidRPr="00A23740">
              <w:rPr>
                <w:rFonts w:eastAsia="ヒラギノ明朝 Pro W3"/>
                <w:bCs/>
                <w:szCs w:val="24"/>
              </w:rPr>
              <w:t>de ipotekli yahut hacizli taşınmazın üzerinde sonraki tarihli sınırlı ayni haklar veya şerh edilmiş kiranın mevcudiyeti h</w:t>
            </w:r>
            <w:r w:rsidR="00C224B4" w:rsidRPr="00A23740">
              <w:rPr>
                <w:rFonts w:eastAsia="ヒラギノ明朝 Pro W3"/>
                <w:bCs/>
                <w:szCs w:val="24"/>
              </w:rPr>
              <w:t>â</w:t>
            </w:r>
            <w:r w:rsidR="009856F1" w:rsidRPr="00A23740">
              <w:rPr>
                <w:rFonts w:eastAsia="ヒラギノ明朝 Pro W3"/>
                <w:bCs/>
                <w:szCs w:val="24"/>
              </w:rPr>
              <w:t>linde satılması söz konusu olduğunda satışın iki kademeli (çifte satış) olarak yapılmasının benimsendiği ve söz konusu ayni yükler ile birlikte yapılan birinci satışta satış isteyen alacaklının alacağının, taşınmaz üzerindeki yükler terkin edilmemiş olmasına rağmen karşılanması h</w:t>
            </w:r>
            <w:r w:rsidR="00C224B4" w:rsidRPr="00A23740">
              <w:rPr>
                <w:rFonts w:eastAsia="ヒラギノ明朝 Pro W3"/>
                <w:bCs/>
                <w:szCs w:val="24"/>
              </w:rPr>
              <w:t>â</w:t>
            </w:r>
            <w:r w:rsidR="009856F1" w:rsidRPr="00A23740">
              <w:rPr>
                <w:rFonts w:eastAsia="ヒラギノ明朝 Pro W3"/>
                <w:bCs/>
                <w:szCs w:val="24"/>
              </w:rPr>
              <w:t>linde bu yüklerin terkini yoluna gidilmeyeceği ifade edilmiştir (İlhan E. Postacıoğlu, İcra Hukuku Esasları, İstanbul 1982, s. 500-501). Buna karşılık 2004 sayılı Kanunun 132 nci maddesinde yer alan ve alacaklıya ipotekli taşınmazın sonradan tesis edilen hak veya yük ile birlikte veya ondan ari şekilde satılmasını talep hakkı veren hükmün mehaz Kanunun 142 nci maddesine de uygun olmadığı dikkate alınarak 132 nci madde</w:t>
            </w:r>
            <w:r w:rsidR="00B21770" w:rsidRPr="00A23740">
              <w:rPr>
                <w:rFonts w:eastAsia="ヒラギノ明朝 Pro W3"/>
                <w:bCs/>
                <w:szCs w:val="24"/>
              </w:rPr>
              <w:t>ye</w:t>
            </w:r>
            <w:r w:rsidR="009856F1" w:rsidRPr="00A23740">
              <w:rPr>
                <w:rFonts w:eastAsia="ヒラギノ明朝 Pro W3"/>
                <w:bCs/>
                <w:szCs w:val="24"/>
              </w:rPr>
              <w:t xml:space="preserve"> tekabül eden Taslağın </w:t>
            </w:r>
            <w:r w:rsidR="007701A6" w:rsidRPr="007E21DC">
              <w:rPr>
                <w:rFonts w:eastAsia="ヒラギノ明朝 Pro W3"/>
                <w:bCs/>
                <w:szCs w:val="24"/>
              </w:rPr>
              <w:t>bu</w:t>
            </w:r>
            <w:r w:rsidR="0090504B" w:rsidRPr="00A23740">
              <w:rPr>
                <w:rStyle w:val="KIRMIZIChar"/>
                <w:rFonts w:eastAsia="ヒラギノ明朝 Pro W3"/>
                <w:strike w:val="0"/>
              </w:rPr>
              <w:t xml:space="preserve"> </w:t>
            </w:r>
            <w:r w:rsidR="00B05199" w:rsidRPr="00A23740">
              <w:rPr>
                <w:rFonts w:eastAsia="ヒラギノ明朝 Pro W3"/>
                <w:bCs/>
                <w:szCs w:val="24"/>
              </w:rPr>
              <w:t xml:space="preserve"> </w:t>
            </w:r>
            <w:r w:rsidR="009856F1" w:rsidRPr="00A23740">
              <w:rPr>
                <w:rFonts w:eastAsia="ヒラギノ明朝 Pro W3"/>
                <w:bCs/>
                <w:szCs w:val="24"/>
              </w:rPr>
              <w:t>maddesi, öteden beri ifade edilen yanlış anlamayı giderecek şekilde yeniden kaleme alınmaktadır.</w:t>
            </w:r>
          </w:p>
          <w:p w:rsidR="00F511F9" w:rsidRPr="00A23740" w:rsidRDefault="00DB1163" w:rsidP="009431FF">
            <w:pPr>
              <w:tabs>
                <w:tab w:val="left" w:pos="567"/>
              </w:tabs>
              <w:ind w:firstLine="709"/>
              <w:rPr>
                <w:rFonts w:eastAsia="Times New Roman"/>
                <w:color w:val="000000"/>
                <w:szCs w:val="24"/>
                <w:lang w:eastAsia="tr-TR"/>
              </w:rPr>
            </w:pPr>
            <w:r w:rsidRPr="00A23740">
              <w:rPr>
                <w:rFonts w:eastAsia="ヒラギノ明朝 Pro W3"/>
                <w:bCs/>
                <w:szCs w:val="24"/>
              </w:rPr>
              <w:t xml:space="preserve">Birinci fıkrayla, alacakla temin edilen taşınmaz üzerinde sonradan kurulan sınırlı ayni hakların satışa olan etkisi belirlenmektedir. Buna göre, alacak </w:t>
            </w:r>
            <w:r w:rsidR="00C222A6" w:rsidRPr="00A23740">
              <w:rPr>
                <w:rFonts w:eastAsia="ヒラギノ明朝 Pro W3"/>
                <w:bCs/>
                <w:szCs w:val="24"/>
              </w:rPr>
              <w:t>bir taşınmaz</w:t>
            </w:r>
            <w:r w:rsidR="00B21770" w:rsidRPr="00A23740">
              <w:rPr>
                <w:rFonts w:eastAsia="ヒラギノ明朝 Pro W3"/>
                <w:bCs/>
                <w:szCs w:val="24"/>
              </w:rPr>
              <w:t>la</w:t>
            </w:r>
            <w:r w:rsidR="00C222A6" w:rsidRPr="00A23740">
              <w:rPr>
                <w:rFonts w:eastAsia="ヒラギノ明朝 Pro W3"/>
                <w:bCs/>
                <w:szCs w:val="24"/>
              </w:rPr>
              <w:t xml:space="preserve"> temin edildikten sonra borçlu o taşınmaz üzerinde alacaklının rızası olmaksızın bir irtifak hakkı yahut bir taşınmaz yükü kurarsa, bu işlem alacaklının hakkına tesir etmez</w:t>
            </w:r>
            <w:r w:rsidRPr="00A23740">
              <w:rPr>
                <w:rFonts w:eastAsia="ヒラギノ明朝 Pro W3"/>
                <w:bCs/>
                <w:szCs w:val="24"/>
              </w:rPr>
              <w:t>.</w:t>
            </w:r>
            <w:r w:rsidR="00C222A6" w:rsidRPr="00A23740">
              <w:rPr>
                <w:rFonts w:eastAsia="ヒラギノ明朝 Pro W3"/>
                <w:bCs/>
                <w:szCs w:val="24"/>
              </w:rPr>
              <w:t xml:space="preserve"> </w:t>
            </w:r>
            <w:r w:rsidRPr="00A23740">
              <w:rPr>
                <w:rFonts w:eastAsia="ヒラギノ明朝 Pro W3"/>
                <w:bCs/>
                <w:szCs w:val="24"/>
              </w:rPr>
              <w:t>Bu kapsamda alacaklı</w:t>
            </w:r>
            <w:r w:rsidR="009856F1" w:rsidRPr="00A23740">
              <w:rPr>
                <w:rFonts w:eastAsia="ヒラギノ明朝 Pro W3"/>
                <w:bCs/>
                <w:szCs w:val="24"/>
              </w:rPr>
              <w:t>,</w:t>
            </w:r>
            <w:r w:rsidRPr="00A23740">
              <w:rPr>
                <w:rFonts w:eastAsia="ヒラギノ明朝 Pro W3"/>
                <w:bCs/>
                <w:szCs w:val="24"/>
              </w:rPr>
              <w:t xml:space="preserve"> </w:t>
            </w:r>
            <w:r w:rsidR="00C222A6" w:rsidRPr="00A23740">
              <w:rPr>
                <w:rFonts w:eastAsia="ヒラギノ明朝 Pro W3"/>
                <w:bCs/>
                <w:szCs w:val="24"/>
              </w:rPr>
              <w:t>taşınmazın ilk olarak o hak</w:t>
            </w:r>
            <w:r w:rsidR="00B21770" w:rsidRPr="00A23740">
              <w:rPr>
                <w:rFonts w:eastAsia="ヒラギノ明朝 Pro W3"/>
                <w:bCs/>
                <w:szCs w:val="24"/>
              </w:rPr>
              <w:t>la</w:t>
            </w:r>
            <w:r w:rsidR="00C222A6" w:rsidRPr="00A23740">
              <w:rPr>
                <w:rFonts w:eastAsia="ヒラギノ明朝 Pro W3"/>
                <w:bCs/>
                <w:szCs w:val="24"/>
              </w:rPr>
              <w:t xml:space="preserve"> birlikte ve sonra gerekirse o haktan ari olarak satışa çıkarılmasını isteyebilir.</w:t>
            </w:r>
            <w:r w:rsidRPr="00A23740">
              <w:rPr>
                <w:rFonts w:eastAsia="ヒラギノ明朝 Pro W3"/>
                <w:bCs/>
                <w:szCs w:val="24"/>
              </w:rPr>
              <w:t xml:space="preserve"> Fıkra, içerik olarak 2004 sayılı Kanunun 132 nci maddesinin birinci fıkrasına karşılık gelmektedir. </w:t>
            </w:r>
          </w:p>
          <w:p w:rsidR="00F511F9" w:rsidRPr="00A23740" w:rsidRDefault="00F511F9"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İkinci fıkrayla, bir yenilik olarak taşınmaz, birinci fıkraya göre üzerindeki hak</w:t>
            </w:r>
            <w:r w:rsidR="00B21770" w:rsidRPr="00A23740">
              <w:rPr>
                <w:rFonts w:eastAsia="Times New Roman"/>
                <w:color w:val="000000"/>
                <w:szCs w:val="24"/>
                <w:lang w:eastAsia="tr-TR"/>
              </w:rPr>
              <w:t>la</w:t>
            </w:r>
            <w:r w:rsidRPr="00A23740">
              <w:rPr>
                <w:rFonts w:eastAsia="Times New Roman"/>
                <w:color w:val="000000"/>
                <w:szCs w:val="24"/>
                <w:lang w:eastAsia="tr-TR"/>
              </w:rPr>
              <w:t xml:space="preserve"> </w:t>
            </w:r>
            <w:r w:rsidRPr="00A23740">
              <w:rPr>
                <w:rFonts w:eastAsia="Times New Roman"/>
                <w:color w:val="000000"/>
                <w:lang w:eastAsia="tr-TR"/>
              </w:rPr>
              <w:t xml:space="preserve">birlikte </w:t>
            </w:r>
            <w:r w:rsidRPr="00A23740">
              <w:rPr>
                <w:rFonts w:eastAsia="Times New Roman"/>
                <w:color w:val="000000"/>
                <w:szCs w:val="24"/>
                <w:lang w:eastAsia="tr-TR"/>
              </w:rPr>
              <w:t xml:space="preserve">satılıp </w:t>
            </w:r>
            <w:r w:rsidRPr="00A23740">
              <w:rPr>
                <w:rFonts w:eastAsia="Times New Roman"/>
                <w:color w:val="000000"/>
                <w:lang w:eastAsia="tr-TR"/>
              </w:rPr>
              <w:t>da</w:t>
            </w:r>
            <w:r w:rsidRPr="00A23740">
              <w:rPr>
                <w:rFonts w:eastAsia="Times New Roman"/>
                <w:color w:val="000000"/>
                <w:szCs w:val="24"/>
                <w:lang w:eastAsia="tr-TR"/>
              </w:rPr>
              <w:t xml:space="preserve"> bedeli alacaklının alacağın</w:t>
            </w:r>
            <w:r w:rsidRPr="00A23740">
              <w:rPr>
                <w:rFonts w:eastAsia="Times New Roman"/>
                <w:color w:val="000000"/>
                <w:lang w:eastAsia="tr-TR"/>
              </w:rPr>
              <w:t>ı karşılarsa, alacaklının rızası olmaksızın taşınmaz üzerinde tescil edilmiş olan hakkın, bu h</w:t>
            </w:r>
            <w:r w:rsidR="00C224B4" w:rsidRPr="00A23740">
              <w:rPr>
                <w:rFonts w:eastAsia="Times New Roman"/>
                <w:color w:val="000000"/>
                <w:lang w:eastAsia="tr-TR"/>
              </w:rPr>
              <w:t>â</w:t>
            </w:r>
            <w:r w:rsidRPr="00A23740">
              <w:rPr>
                <w:rFonts w:eastAsia="Times New Roman"/>
                <w:color w:val="000000"/>
                <w:lang w:eastAsia="tr-TR"/>
              </w:rPr>
              <w:t>liyle taşınmaz üzerinde tescil edilmiş olarak kalacağı kabul edilmektedir.</w:t>
            </w:r>
            <w:r w:rsidRPr="00A23740">
              <w:rPr>
                <w:rFonts w:eastAsia="Times New Roman"/>
                <w:color w:val="000000"/>
                <w:szCs w:val="24"/>
                <w:lang w:eastAsia="tr-TR"/>
              </w:rPr>
              <w:t xml:space="preserve"> </w:t>
            </w:r>
            <w:r w:rsidR="00AA5C8C" w:rsidRPr="00A23740">
              <w:rPr>
                <w:rFonts w:eastAsia="Times New Roman"/>
                <w:color w:val="000000"/>
                <w:szCs w:val="24"/>
                <w:lang w:eastAsia="tr-TR"/>
              </w:rPr>
              <w:t xml:space="preserve">Görüldüğü gibi burada taşınmazda sonradan tesis edilen hak sebebiyle alacaklının hakkına bir zarar gelmediği dikkate alınarak, tesis edilen hakkın devam etmesi </w:t>
            </w:r>
            <w:r w:rsidRPr="00A23740">
              <w:rPr>
                <w:rFonts w:eastAsia="Times New Roman"/>
                <w:color w:val="000000"/>
                <w:szCs w:val="24"/>
                <w:lang w:eastAsia="tr-TR"/>
              </w:rPr>
              <w:t>ilkesinin</w:t>
            </w:r>
            <w:r w:rsidR="00AA5C8C" w:rsidRPr="00A23740">
              <w:rPr>
                <w:rFonts w:eastAsia="Times New Roman"/>
                <w:color w:val="000000"/>
                <w:szCs w:val="24"/>
                <w:lang w:eastAsia="tr-TR"/>
              </w:rPr>
              <w:t xml:space="preserve"> ilgililerin menfa</w:t>
            </w:r>
            <w:r w:rsidRPr="00A23740">
              <w:rPr>
                <w:rFonts w:eastAsia="Times New Roman"/>
                <w:color w:val="000000"/>
                <w:szCs w:val="24"/>
                <w:lang w:eastAsia="tr-TR"/>
              </w:rPr>
              <w:t xml:space="preserve">atine uygun olacağı benimsenmektedir. </w:t>
            </w:r>
          </w:p>
          <w:p w:rsidR="00AA5C8C" w:rsidRPr="00A23740" w:rsidRDefault="00F511F9"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Üçüncü fıkrayla, bir yenilik olarak taşınmaz, hak</w:t>
            </w:r>
            <w:r w:rsidR="00B21770" w:rsidRPr="00A23740">
              <w:rPr>
                <w:rFonts w:eastAsia="Times New Roman"/>
                <w:color w:val="000000"/>
                <w:szCs w:val="24"/>
                <w:lang w:eastAsia="tr-TR"/>
              </w:rPr>
              <w:t>la</w:t>
            </w:r>
            <w:r w:rsidRPr="00A23740">
              <w:rPr>
                <w:rFonts w:eastAsia="Times New Roman"/>
                <w:color w:val="000000"/>
                <w:lang w:eastAsia="tr-TR"/>
              </w:rPr>
              <w:t xml:space="preserve"> birlikte </w:t>
            </w:r>
            <w:r w:rsidRPr="00A23740">
              <w:rPr>
                <w:rFonts w:eastAsia="Times New Roman"/>
                <w:color w:val="000000"/>
                <w:szCs w:val="24"/>
                <w:lang w:eastAsia="tr-TR"/>
              </w:rPr>
              <w:t>artırmaya çıkarılıp da teklif edilen bedel alacaklının alacağını</w:t>
            </w:r>
            <w:r w:rsidRPr="00A23740">
              <w:rPr>
                <w:rFonts w:eastAsia="Times New Roman"/>
                <w:color w:val="000000"/>
                <w:lang w:eastAsia="tr-TR"/>
              </w:rPr>
              <w:t xml:space="preserve"> karşılamazsa</w:t>
            </w:r>
            <w:r w:rsidRPr="00A23740">
              <w:rPr>
                <w:rFonts w:eastAsia="Times New Roman"/>
                <w:color w:val="000000"/>
                <w:szCs w:val="24"/>
                <w:lang w:eastAsia="tr-TR"/>
              </w:rPr>
              <w:t>,</w:t>
            </w:r>
            <w:r w:rsidRPr="00A23740">
              <w:rPr>
                <w:rFonts w:eastAsia="Times New Roman"/>
                <w:color w:val="000000"/>
                <w:lang w:eastAsia="tr-TR"/>
              </w:rPr>
              <w:t xml:space="preserve"> alacaklının rızası olmaksızın taşınmaz üzerinde tescil edilmiş olan haklar terkin edilerek</w:t>
            </w:r>
            <w:r w:rsidR="00B05199" w:rsidRPr="00A23740">
              <w:rPr>
                <w:rFonts w:eastAsia="Times New Roman"/>
                <w:color w:val="000000"/>
                <w:lang w:eastAsia="tr-TR"/>
              </w:rPr>
              <w:t>,</w:t>
            </w:r>
            <w:r w:rsidRPr="00A23740">
              <w:rPr>
                <w:rFonts w:eastAsia="Times New Roman"/>
                <w:color w:val="000000"/>
                <w:lang w:eastAsia="tr-TR"/>
              </w:rPr>
              <w:t xml:space="preserve"> taşınmazın yeniden artırmaya </w:t>
            </w:r>
            <w:r w:rsidR="00B21770" w:rsidRPr="00A23740">
              <w:rPr>
                <w:rFonts w:eastAsia="Times New Roman"/>
                <w:color w:val="000000"/>
                <w:lang w:eastAsia="tr-TR"/>
              </w:rPr>
              <w:t xml:space="preserve">sunulması </w:t>
            </w:r>
            <w:r w:rsidRPr="00A23740">
              <w:rPr>
                <w:rFonts w:eastAsia="Times New Roman"/>
                <w:color w:val="000000"/>
                <w:lang w:eastAsia="tr-TR"/>
              </w:rPr>
              <w:t>düzenlenmektedir.</w:t>
            </w:r>
            <w:r w:rsidRPr="00A23740">
              <w:t xml:space="preserve"> </w:t>
            </w:r>
            <w:r w:rsidR="00AA5C8C" w:rsidRPr="00A23740">
              <w:rPr>
                <w:rFonts w:eastAsia="Times New Roman"/>
                <w:color w:val="000000"/>
                <w:szCs w:val="24"/>
                <w:lang w:eastAsia="tr-TR"/>
              </w:rPr>
              <w:t xml:space="preserve">Burada, ikinci fıkradaki durumun aksine taşınmazda sonradan tesis edilen hak sebebiyle alacaklının hakkına zarar geldiği dikkate alınarak tesis edilen hakkın devam etmemesi </w:t>
            </w:r>
            <w:r w:rsidRPr="00A23740">
              <w:rPr>
                <w:rFonts w:eastAsia="Times New Roman"/>
                <w:color w:val="000000"/>
                <w:szCs w:val="24"/>
                <w:lang w:eastAsia="tr-TR"/>
              </w:rPr>
              <w:t>ilkesi</w:t>
            </w:r>
            <w:r w:rsidR="00286E27" w:rsidRPr="00A23740">
              <w:rPr>
                <w:rFonts w:eastAsia="Times New Roman"/>
                <w:color w:val="000000"/>
                <w:szCs w:val="24"/>
                <w:lang w:eastAsia="tr-TR"/>
              </w:rPr>
              <w:t xml:space="preserve"> </w:t>
            </w:r>
            <w:r w:rsidR="00AA5C8C" w:rsidRPr="00A23740">
              <w:rPr>
                <w:rFonts w:eastAsia="Times New Roman"/>
                <w:color w:val="000000"/>
                <w:szCs w:val="24"/>
                <w:lang w:eastAsia="tr-TR"/>
              </w:rPr>
              <w:t>kabul edilm</w:t>
            </w:r>
            <w:r w:rsidRPr="00A23740">
              <w:rPr>
                <w:rFonts w:eastAsia="Times New Roman"/>
                <w:color w:val="000000"/>
                <w:szCs w:val="24"/>
                <w:lang w:eastAsia="tr-TR"/>
              </w:rPr>
              <w:t xml:space="preserve">ektedir. </w:t>
            </w:r>
          </w:p>
          <w:p w:rsidR="00AA5C8C" w:rsidRPr="00A23740" w:rsidRDefault="00622200"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 xml:space="preserve">Dördüncü fıkrayla, </w:t>
            </w:r>
            <w:r w:rsidR="00710CD8" w:rsidRPr="00A23740">
              <w:rPr>
                <w:rFonts w:eastAsia="Times New Roman"/>
                <w:bCs/>
                <w:color w:val="000000"/>
                <w:lang w:eastAsia="tr-TR"/>
              </w:rPr>
              <w:t xml:space="preserve">üçüncü fıkra uyarınca </w:t>
            </w:r>
            <w:r w:rsidRPr="00A23740">
              <w:rPr>
                <w:rFonts w:eastAsia="Times New Roman"/>
                <w:color w:val="000000"/>
                <w:szCs w:val="24"/>
                <w:lang w:eastAsia="tr-TR"/>
              </w:rPr>
              <w:t xml:space="preserve">haktan </w:t>
            </w:r>
            <w:r w:rsidR="00B05199" w:rsidRPr="00A23740">
              <w:rPr>
                <w:rFonts w:eastAsia="Times New Roman"/>
                <w:color w:val="000000"/>
                <w:szCs w:val="24"/>
                <w:lang w:eastAsia="tr-TR"/>
              </w:rPr>
              <w:t>arındırılmış</w:t>
            </w:r>
            <w:r w:rsidRPr="00A23740">
              <w:rPr>
                <w:rFonts w:eastAsia="Times New Roman"/>
                <w:color w:val="000000"/>
                <w:szCs w:val="24"/>
                <w:lang w:eastAsia="tr-TR"/>
              </w:rPr>
              <w:t xml:space="preserve"> olarak </w:t>
            </w:r>
            <w:r w:rsidRPr="00A23740">
              <w:rPr>
                <w:rFonts w:eastAsia="Times New Roman"/>
                <w:bCs/>
                <w:color w:val="000000"/>
                <w:lang w:eastAsia="tr-TR"/>
              </w:rPr>
              <w:t>satılan taşınmazın</w:t>
            </w:r>
            <w:r w:rsidRPr="00A23740">
              <w:rPr>
                <w:rFonts w:eastAsia="Times New Roman"/>
                <w:color w:val="000000"/>
                <w:szCs w:val="24"/>
                <w:lang w:eastAsia="tr-TR"/>
              </w:rPr>
              <w:t xml:space="preserve"> bedeli alacaklının alacağından fazla çıkarsa</w:t>
            </w:r>
            <w:r w:rsidRPr="00A23740">
              <w:rPr>
                <w:rFonts w:eastAsia="Times New Roman"/>
                <w:color w:val="000000"/>
                <w:lang w:eastAsia="tr-TR"/>
              </w:rPr>
              <w:t>,</w:t>
            </w:r>
            <w:r w:rsidRPr="00A23740">
              <w:rPr>
                <w:rFonts w:eastAsia="Times New Roman"/>
                <w:color w:val="000000"/>
                <w:szCs w:val="24"/>
                <w:lang w:eastAsia="tr-TR"/>
              </w:rPr>
              <w:t xml:space="preserve"> o hakkın takdir edilecek kıymeti</w:t>
            </w:r>
            <w:r w:rsidR="00835692" w:rsidRPr="00A23740">
              <w:rPr>
                <w:rFonts w:eastAsia="Times New Roman"/>
                <w:color w:val="000000"/>
                <w:szCs w:val="24"/>
                <w:lang w:eastAsia="tr-TR"/>
              </w:rPr>
              <w:t>nin</w:t>
            </w:r>
            <w:r w:rsidRPr="00A23740">
              <w:rPr>
                <w:rFonts w:eastAsia="Times New Roman"/>
                <w:color w:val="000000"/>
                <w:szCs w:val="24"/>
                <w:lang w:eastAsia="tr-TR"/>
              </w:rPr>
              <w:t xml:space="preserve"> ödenmek üzere bedelin fazlası</w:t>
            </w:r>
            <w:r w:rsidR="00A30037" w:rsidRPr="00A23740">
              <w:rPr>
                <w:rFonts w:eastAsia="Times New Roman"/>
                <w:color w:val="000000"/>
                <w:szCs w:val="24"/>
                <w:lang w:eastAsia="tr-TR"/>
              </w:rPr>
              <w:t>nın</w:t>
            </w:r>
            <w:r w:rsidRPr="00A23740">
              <w:rPr>
                <w:rFonts w:eastAsia="Times New Roman"/>
                <w:color w:val="000000"/>
                <w:szCs w:val="24"/>
                <w:lang w:eastAsia="tr-TR"/>
              </w:rPr>
              <w:t xml:space="preserve"> </w:t>
            </w:r>
            <w:r w:rsidR="00A30037" w:rsidRPr="00A23740">
              <w:rPr>
                <w:rFonts w:eastAsia="Times New Roman"/>
                <w:color w:val="000000"/>
                <w:szCs w:val="24"/>
                <w:lang w:eastAsia="tr-TR"/>
              </w:rPr>
              <w:t xml:space="preserve">yeni </w:t>
            </w:r>
            <w:r w:rsidRPr="00A23740">
              <w:rPr>
                <w:rFonts w:eastAsia="Times New Roman"/>
                <w:color w:val="000000"/>
                <w:szCs w:val="24"/>
                <w:lang w:eastAsia="tr-TR"/>
              </w:rPr>
              <w:t xml:space="preserve">hak sahibine </w:t>
            </w:r>
            <w:r w:rsidR="00835692" w:rsidRPr="00A23740">
              <w:rPr>
                <w:rFonts w:eastAsia="Times New Roman"/>
                <w:color w:val="000000"/>
                <w:szCs w:val="24"/>
                <w:lang w:eastAsia="tr-TR"/>
              </w:rPr>
              <w:t>verileceği düzenlenmektedir</w:t>
            </w:r>
            <w:r w:rsidRPr="00A23740">
              <w:rPr>
                <w:rFonts w:eastAsia="Times New Roman"/>
                <w:color w:val="000000"/>
                <w:szCs w:val="24"/>
                <w:lang w:eastAsia="tr-TR"/>
              </w:rPr>
              <w:t>.</w:t>
            </w:r>
            <w:r w:rsidR="00710CD8" w:rsidRPr="00A23740">
              <w:rPr>
                <w:rFonts w:eastAsia="Times New Roman"/>
                <w:color w:val="000000"/>
                <w:szCs w:val="24"/>
                <w:lang w:eastAsia="tr-TR"/>
              </w:rPr>
              <w:t xml:space="preserve"> Fıkra, 2004 sayılı Kanunun 132 nci</w:t>
            </w:r>
            <w:r w:rsidR="00AA5C8C" w:rsidRPr="00A23740">
              <w:rPr>
                <w:rFonts w:eastAsia="Times New Roman"/>
                <w:color w:val="000000"/>
                <w:szCs w:val="24"/>
                <w:lang w:eastAsia="tr-TR"/>
              </w:rPr>
              <w:t xml:space="preserve"> maddesinin iki</w:t>
            </w:r>
            <w:r w:rsidR="00710CD8" w:rsidRPr="00A23740">
              <w:rPr>
                <w:rFonts w:eastAsia="Times New Roman"/>
                <w:color w:val="000000"/>
                <w:szCs w:val="24"/>
                <w:lang w:eastAsia="tr-TR"/>
              </w:rPr>
              <w:t xml:space="preserve">nci fıkrasına karşılık gelmekte </w:t>
            </w:r>
            <w:r w:rsidR="00AA5C8C" w:rsidRPr="00A23740">
              <w:rPr>
                <w:rFonts w:eastAsia="Times New Roman"/>
                <w:color w:val="000000"/>
                <w:szCs w:val="24"/>
                <w:lang w:eastAsia="tr-TR"/>
              </w:rPr>
              <w:t>olup</w:t>
            </w:r>
            <w:r w:rsidR="00B21770" w:rsidRPr="00A23740">
              <w:rPr>
                <w:rFonts w:eastAsia="Times New Roman"/>
                <w:color w:val="000000"/>
                <w:szCs w:val="24"/>
                <w:lang w:eastAsia="tr-TR"/>
              </w:rPr>
              <w:t>,</w:t>
            </w:r>
            <w:r w:rsidR="00AA5C8C" w:rsidRPr="00A23740">
              <w:rPr>
                <w:rFonts w:eastAsia="Times New Roman"/>
                <w:color w:val="000000"/>
                <w:szCs w:val="24"/>
                <w:lang w:eastAsia="tr-TR"/>
              </w:rPr>
              <w:t xml:space="preserve"> kuralda </w:t>
            </w:r>
            <w:r w:rsidR="00710CD8" w:rsidRPr="00A23740">
              <w:rPr>
                <w:rFonts w:eastAsia="Times New Roman"/>
                <w:color w:val="000000"/>
                <w:szCs w:val="24"/>
                <w:lang w:eastAsia="tr-TR"/>
              </w:rPr>
              <w:t xml:space="preserve">bir </w:t>
            </w:r>
            <w:r w:rsidR="00AA5C8C" w:rsidRPr="00A23740">
              <w:rPr>
                <w:rFonts w:eastAsia="Times New Roman"/>
                <w:color w:val="000000"/>
                <w:szCs w:val="24"/>
                <w:lang w:eastAsia="tr-TR"/>
              </w:rPr>
              <w:t xml:space="preserve">değişiklik </w:t>
            </w:r>
            <w:r w:rsidR="00710CD8" w:rsidRPr="00A23740">
              <w:rPr>
                <w:rFonts w:eastAsia="Times New Roman"/>
                <w:color w:val="000000"/>
                <w:szCs w:val="24"/>
                <w:lang w:eastAsia="tr-TR"/>
              </w:rPr>
              <w:t>yapılmamaktadır</w:t>
            </w:r>
            <w:r w:rsidR="00AA5C8C" w:rsidRPr="00A23740">
              <w:rPr>
                <w:rFonts w:eastAsia="Times New Roman"/>
                <w:color w:val="000000"/>
                <w:szCs w:val="24"/>
                <w:lang w:eastAsia="tr-TR"/>
              </w:rPr>
              <w:t xml:space="preserve">. </w:t>
            </w:r>
          </w:p>
          <w:p w:rsidR="00AA5C8C" w:rsidRPr="00A23740" w:rsidRDefault="00A4476D"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Beşinci fıkrayla, borçlu,</w:t>
            </w:r>
            <w:r w:rsidR="00710CD8" w:rsidRPr="00A23740">
              <w:rPr>
                <w:rFonts w:eastAsia="Times New Roman"/>
                <w:color w:val="000000"/>
                <w:szCs w:val="24"/>
                <w:lang w:eastAsia="tr-TR"/>
              </w:rPr>
              <w:t xml:space="preserve"> ipotekli taşınmazı alacaklının rızası olmaksızın başkasına kiraya verir ve durumu tapuya şerh ettirirse, yukarıdaki fıkralar</w:t>
            </w:r>
            <w:r w:rsidRPr="00A23740">
              <w:rPr>
                <w:rFonts w:eastAsia="Times New Roman"/>
                <w:color w:val="000000"/>
                <w:szCs w:val="24"/>
                <w:lang w:eastAsia="tr-TR"/>
              </w:rPr>
              <w:t>ın</w:t>
            </w:r>
            <w:r w:rsidR="00710CD8" w:rsidRPr="00A23740">
              <w:rPr>
                <w:rFonts w:eastAsia="Times New Roman"/>
                <w:color w:val="000000"/>
                <w:szCs w:val="24"/>
                <w:lang w:eastAsia="tr-TR"/>
              </w:rPr>
              <w:t xml:space="preserve"> </w:t>
            </w:r>
            <w:r w:rsidRPr="00A23740">
              <w:rPr>
                <w:rFonts w:eastAsia="Times New Roman"/>
                <w:color w:val="000000"/>
                <w:szCs w:val="24"/>
                <w:lang w:eastAsia="tr-TR"/>
              </w:rPr>
              <w:t>kıyasen uygulanacağı düzenlenmektedir</w:t>
            </w:r>
            <w:r w:rsidR="00710CD8" w:rsidRPr="00A23740">
              <w:rPr>
                <w:rFonts w:eastAsia="Times New Roman"/>
                <w:color w:val="000000"/>
                <w:szCs w:val="24"/>
                <w:lang w:eastAsia="tr-TR"/>
              </w:rPr>
              <w:t>.</w:t>
            </w:r>
            <w:r w:rsidRPr="00A23740">
              <w:rPr>
                <w:rFonts w:eastAsia="Times New Roman"/>
                <w:color w:val="000000"/>
                <w:szCs w:val="24"/>
                <w:lang w:eastAsia="tr-TR"/>
              </w:rPr>
              <w:t xml:space="preserve"> Fıkra, </w:t>
            </w:r>
            <w:r w:rsidR="00AA5C8C" w:rsidRPr="00A23740">
              <w:rPr>
                <w:rFonts w:eastAsia="Times New Roman"/>
                <w:color w:val="000000"/>
                <w:szCs w:val="24"/>
                <w:lang w:eastAsia="tr-TR"/>
              </w:rPr>
              <w:t>2004 sayılı Kanunun 132</w:t>
            </w:r>
            <w:r w:rsidRPr="00A23740">
              <w:rPr>
                <w:rFonts w:eastAsia="Times New Roman"/>
                <w:color w:val="000000"/>
                <w:szCs w:val="24"/>
                <w:lang w:eastAsia="tr-TR"/>
              </w:rPr>
              <w:t xml:space="preserve"> nci</w:t>
            </w:r>
            <w:r w:rsidR="00AA5C8C" w:rsidRPr="00A23740">
              <w:rPr>
                <w:rFonts w:eastAsia="Times New Roman"/>
                <w:color w:val="000000"/>
                <w:szCs w:val="24"/>
                <w:lang w:eastAsia="tr-TR"/>
              </w:rPr>
              <w:t xml:space="preserve"> maddesinin üçüncü fıkrasına karşılık gelmektedir. </w:t>
            </w:r>
          </w:p>
          <w:p w:rsidR="00A4476D" w:rsidRPr="00A23740" w:rsidRDefault="00A4476D"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Altıncı fıkrayla, maddenin</w:t>
            </w:r>
            <w:r w:rsidR="00710CD8" w:rsidRPr="00A23740">
              <w:rPr>
                <w:rFonts w:eastAsia="Times New Roman"/>
                <w:color w:val="000000"/>
                <w:szCs w:val="24"/>
                <w:lang w:eastAsia="tr-TR"/>
              </w:rPr>
              <w:t xml:space="preserve">, hacizli taşınmazlar hakkında da </w:t>
            </w:r>
            <w:r w:rsidRPr="00A23740">
              <w:rPr>
                <w:rFonts w:eastAsia="Times New Roman"/>
                <w:color w:val="000000"/>
                <w:szCs w:val="24"/>
                <w:lang w:eastAsia="tr-TR"/>
              </w:rPr>
              <w:t xml:space="preserve">kıyasen uygulanacağı </w:t>
            </w:r>
            <w:r w:rsidR="00340E94" w:rsidRPr="00A23740">
              <w:rPr>
                <w:rFonts w:eastAsia="Times New Roman"/>
                <w:color w:val="000000"/>
                <w:szCs w:val="24"/>
                <w:lang w:eastAsia="tr-TR"/>
              </w:rPr>
              <w:t>kabul edilmektedir</w:t>
            </w:r>
            <w:r w:rsidR="00710CD8" w:rsidRPr="00A23740">
              <w:rPr>
                <w:rFonts w:eastAsia="Times New Roman"/>
                <w:color w:val="000000"/>
                <w:szCs w:val="24"/>
                <w:lang w:eastAsia="tr-TR"/>
              </w:rPr>
              <w:t>.</w:t>
            </w:r>
            <w:r w:rsidRPr="00A23740">
              <w:rPr>
                <w:rFonts w:eastAsia="Times New Roman"/>
                <w:color w:val="000000"/>
                <w:szCs w:val="24"/>
                <w:lang w:eastAsia="tr-TR"/>
              </w:rPr>
              <w:t xml:space="preserve"> Fıkra,</w:t>
            </w:r>
            <w:r w:rsidR="00AA5C8C" w:rsidRPr="00A23740">
              <w:rPr>
                <w:rFonts w:eastAsia="Times New Roman"/>
                <w:color w:val="000000"/>
                <w:szCs w:val="24"/>
                <w:lang w:eastAsia="tr-TR"/>
              </w:rPr>
              <w:t xml:space="preserve"> 2004</w:t>
            </w:r>
            <w:r w:rsidRPr="00A23740">
              <w:rPr>
                <w:rFonts w:eastAsia="Times New Roman"/>
                <w:color w:val="000000"/>
                <w:szCs w:val="24"/>
                <w:lang w:eastAsia="tr-TR"/>
              </w:rPr>
              <w:t xml:space="preserve"> sayılı Kanunun 132 nci </w:t>
            </w:r>
            <w:r w:rsidR="00AA5C8C" w:rsidRPr="00A23740">
              <w:rPr>
                <w:rFonts w:eastAsia="Times New Roman"/>
                <w:color w:val="000000"/>
                <w:szCs w:val="24"/>
                <w:lang w:eastAsia="tr-TR"/>
              </w:rPr>
              <w:t>maddesinin dördüncü fıkrasına karşılık gelmektedir. Önceki düzenlemede bu maddenin doğrudan hacizli taşınmazlar hakkında da uygulanacağı kabul edilmişken, burada uygulamada ortaya çıkacak her bir durumun farklı özellikleri haiz olabileceği gözetilerek hacizli taşınmazlar hakkında işbu madde hük</w:t>
            </w:r>
            <w:r w:rsidR="00340E94" w:rsidRPr="00A23740">
              <w:rPr>
                <w:rFonts w:eastAsia="Times New Roman"/>
                <w:color w:val="000000"/>
                <w:szCs w:val="24"/>
                <w:lang w:eastAsia="tr-TR"/>
              </w:rPr>
              <w:t xml:space="preserve">ümlerinin, kıyasen uygulanması </w:t>
            </w:r>
            <w:r w:rsidR="00AA5C8C" w:rsidRPr="00A23740">
              <w:rPr>
                <w:rFonts w:eastAsia="Times New Roman"/>
                <w:color w:val="000000"/>
                <w:szCs w:val="24"/>
                <w:lang w:eastAsia="tr-TR"/>
              </w:rPr>
              <w:t>benimsen</w:t>
            </w:r>
            <w:r w:rsidR="003F10EF">
              <w:rPr>
                <w:rFonts w:eastAsia="Times New Roman"/>
                <w:color w:val="000000"/>
                <w:szCs w:val="24"/>
                <w:lang w:eastAsia="tr-TR"/>
              </w:rPr>
              <w:t>mektedir.</w:t>
            </w:r>
          </w:p>
          <w:p w:rsidR="00A4476D" w:rsidRPr="00A23740" w:rsidRDefault="00A4476D" w:rsidP="003F10EF">
            <w:pPr>
              <w:tabs>
                <w:tab w:val="left" w:pos="567"/>
              </w:tabs>
              <w:ind w:firstLine="709"/>
              <w:rPr>
                <w:rFonts w:eastAsia="Times New Roman"/>
                <w:b/>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İhalenin feshi ve farkının tahsili:</w:t>
            </w:r>
          </w:p>
          <w:p w:rsidR="00AA5C8C" w:rsidRPr="00A23740" w:rsidRDefault="00AA5C8C" w:rsidP="009431FF">
            <w:pPr>
              <w:pStyle w:val="KIRMIZI"/>
            </w:pPr>
            <w:r w:rsidRPr="00A23740">
              <w:t>Madde 133 – (Değişik: 6/6/1985-3222/16 md.)</w:t>
            </w:r>
            <w:r w:rsidR="00BF4EAA" w:rsidRPr="00A23740">
              <w:t xml:space="preserve"> (Mülga:24/11/2021-7343/32 md.)</w:t>
            </w:r>
          </w:p>
          <w:p w:rsidR="00932CB4" w:rsidRPr="00A23740" w:rsidRDefault="00932CB4" w:rsidP="009431FF">
            <w:pPr>
              <w:pStyle w:val="KIRMIZI"/>
            </w:pPr>
          </w:p>
        </w:tc>
        <w:tc>
          <w:tcPr>
            <w:tcW w:w="2500" w:type="pct"/>
          </w:tcPr>
          <w:p w:rsidR="00AA5C8C" w:rsidRPr="00A23740" w:rsidRDefault="00AA5C8C" w:rsidP="009431FF">
            <w:pPr>
              <w:spacing w:after="240"/>
              <w:rPr>
                <w:rFonts w:eastAsia="Times New Roman"/>
                <w:szCs w:val="24"/>
                <w:lang w:eastAsia="tr-TR"/>
              </w:rPr>
            </w:pPr>
          </w:p>
        </w:tc>
      </w:tr>
      <w:tr w:rsidR="004C6191" w:rsidRPr="00A23740" w:rsidTr="009431FF">
        <w:tblPrEx>
          <w:tblLook w:val="01E0" w:firstRow="1" w:lastRow="1" w:firstColumn="1" w:lastColumn="1" w:noHBand="0" w:noVBand="0"/>
        </w:tblPrEx>
        <w:tc>
          <w:tcPr>
            <w:tcW w:w="2500" w:type="pct"/>
          </w:tcPr>
          <w:p w:rsidR="004C6191" w:rsidRPr="00A23740" w:rsidRDefault="004C6191" w:rsidP="009431FF">
            <w:pPr>
              <w:rPr>
                <w:rFonts w:eastAsia="Times New Roman"/>
                <w:b/>
                <w:szCs w:val="24"/>
                <w:lang w:eastAsia="tr-TR"/>
              </w:rPr>
            </w:pPr>
            <w:r w:rsidRPr="00A23740">
              <w:rPr>
                <w:rFonts w:eastAsia="Times New Roman"/>
                <w:b/>
                <w:szCs w:val="24"/>
                <w:lang w:eastAsia="tr-TR"/>
              </w:rPr>
              <w:t xml:space="preserve">İhalenin </w:t>
            </w:r>
            <w:r w:rsidRPr="00A23740">
              <w:rPr>
                <w:rStyle w:val="KIRMIZIChar"/>
                <w:rFonts w:eastAsia="Calibri"/>
              </w:rPr>
              <w:t>neticesi ve feshi:</w:t>
            </w:r>
          </w:p>
          <w:p w:rsidR="004C6191" w:rsidRPr="00A23740" w:rsidRDefault="004C6191" w:rsidP="009431FF">
            <w:pPr>
              <w:rPr>
                <w:rFonts w:eastAsia="Times New Roman"/>
                <w:b/>
                <w:color w:val="FF0000"/>
                <w:szCs w:val="24"/>
              </w:rPr>
            </w:pPr>
            <w:r w:rsidRPr="00A23740">
              <w:rPr>
                <w:rFonts w:eastAsia="Times New Roman"/>
                <w:b/>
                <w:szCs w:val="24"/>
                <w:lang w:eastAsia="tr-TR"/>
              </w:rPr>
              <w:t>Madde 134- …</w:t>
            </w:r>
          </w:p>
          <w:p w:rsidR="004C6191" w:rsidRPr="00A23740" w:rsidRDefault="004C6191" w:rsidP="009431FF">
            <w:pPr>
              <w:rPr>
                <w:szCs w:val="24"/>
                <w:lang w:eastAsia="tr-TR"/>
              </w:rPr>
            </w:pPr>
            <w:r w:rsidRPr="00A23740">
              <w:rPr>
                <w:rFonts w:eastAsia="Times New Roman"/>
                <w:b/>
                <w:color w:val="FF0000"/>
                <w:szCs w:val="24"/>
              </w:rPr>
              <w:t>(8)</w:t>
            </w:r>
            <w:r w:rsidRPr="00A23740">
              <w:rPr>
                <w:szCs w:val="24"/>
                <w:lang w:eastAsia="tr-TR"/>
              </w:rPr>
              <w:t xml:space="preserve"> </w:t>
            </w:r>
            <w:r w:rsidRPr="00A23740">
              <w:rPr>
                <w:rStyle w:val="KIRMIZIChar"/>
                <w:rFonts w:eastAsia="Calibri"/>
              </w:rPr>
              <w:t>(Ek fıkra: 17/7/2003-4949/38 md.) Taşınmazı satın alanlar, ihaleye alacağına mahsuben iştirak etmemiş olmak kaydıyla,</w:t>
            </w:r>
            <w:r w:rsidRPr="00A23740">
              <w:rPr>
                <w:szCs w:val="24"/>
                <w:lang w:eastAsia="tr-TR"/>
              </w:rPr>
              <w:t xml:space="preserve"> ihalenin </w:t>
            </w:r>
            <w:r w:rsidRPr="00A23740">
              <w:rPr>
                <w:rStyle w:val="KIRMIZIChar"/>
                <w:rFonts w:eastAsia="Calibri"/>
              </w:rPr>
              <w:t>feshi</w:t>
            </w:r>
            <w:r w:rsidRPr="00A23740">
              <w:rPr>
                <w:szCs w:val="24"/>
                <w:lang w:eastAsia="tr-TR"/>
              </w:rPr>
              <w:t xml:space="preserve"> talep edilmiş olsa bile, satış bedelini derhâl veya </w:t>
            </w:r>
            <w:r w:rsidRPr="00A23740">
              <w:rPr>
                <w:rStyle w:val="KIRMIZIChar"/>
                <w:rFonts w:eastAsia="Calibri"/>
              </w:rPr>
              <w:t>130 uncu maddeye göre</w:t>
            </w:r>
            <w:r w:rsidRPr="00A23740">
              <w:rPr>
                <w:szCs w:val="24"/>
                <w:lang w:eastAsia="tr-TR"/>
              </w:rPr>
              <w:t xml:space="preserve"> verilen süre içinde nakden ödemek zorundadır</w:t>
            </w:r>
            <w:r w:rsidRPr="00A23740">
              <w:rPr>
                <w:rStyle w:val="KIRMIZIChar"/>
                <w:rFonts w:eastAsia="Calibri"/>
              </w:rPr>
              <w:t>lar</w:t>
            </w:r>
            <w:r w:rsidRPr="00A23740">
              <w:rPr>
                <w:szCs w:val="24"/>
                <w:lang w:eastAsia="tr-TR"/>
              </w:rPr>
              <w:t xml:space="preserve">. </w:t>
            </w:r>
            <w:r w:rsidRPr="00A23740">
              <w:rPr>
                <w:rStyle w:val="KIRMIZIChar"/>
                <w:rFonts w:eastAsia="Calibri"/>
              </w:rPr>
              <w:t>İcra müdürü, ödenen ihale bedeli ile ilgili olarak, ihalenin feshine yönelik şikâyet sonucunda verilecek karar kesinleşinceye kadar para bankalarda nemalandırılır. İhalenin feshine ilişkin şikâyetin kabulüne veya reddine ilişkin kararın kesinleşmesi üzerine, ihale bedeli nemaları ile birlikte hak sahiplerine ödenir.</w:t>
            </w:r>
          </w:p>
          <w:p w:rsidR="004C6191" w:rsidRPr="00A23740" w:rsidRDefault="004C6191" w:rsidP="009431FF">
            <w:pPr>
              <w:tabs>
                <w:tab w:val="left" w:pos="567"/>
              </w:tabs>
              <w:rPr>
                <w:szCs w:val="24"/>
                <w:lang w:eastAsia="tr-TR"/>
              </w:rPr>
            </w:pPr>
          </w:p>
          <w:p w:rsidR="004C6191" w:rsidRPr="00A23740" w:rsidRDefault="004C6191" w:rsidP="009431FF">
            <w:pPr>
              <w:rPr>
                <w:rStyle w:val="KIRMIZIChar"/>
                <w:rFonts w:eastAsia="Calibri"/>
              </w:rPr>
            </w:pPr>
            <w:r w:rsidRPr="00A23740">
              <w:rPr>
                <w:rStyle w:val="KIRMIZIChar"/>
                <w:rFonts w:eastAsia="Calibri"/>
              </w:rPr>
              <w:t>İhale bedelinin ödenmesi:</w:t>
            </w:r>
          </w:p>
          <w:p w:rsidR="004C6191" w:rsidRPr="00A23740" w:rsidRDefault="004C6191" w:rsidP="009431FF">
            <w:pPr>
              <w:rPr>
                <w:rStyle w:val="KIRMIZIChar"/>
                <w:rFonts w:eastAsia="Calibri"/>
              </w:rPr>
            </w:pPr>
            <w:r w:rsidRPr="00A23740">
              <w:rPr>
                <w:rStyle w:val="KIRMIZIChar"/>
                <w:rFonts w:eastAsia="Calibri"/>
                <w:bCs w:val="0"/>
              </w:rPr>
              <w:t>Madde 130 – (Başlığı ile Birlikte Değişik:24/11/2021-7343/24 md.)</w:t>
            </w:r>
          </w:p>
          <w:p w:rsidR="004C6191" w:rsidRPr="00A23740" w:rsidRDefault="004C6191" w:rsidP="009431FF">
            <w:pPr>
              <w:rPr>
                <w:rStyle w:val="KIRMIZIChar"/>
                <w:rFonts w:eastAsia="Calibri"/>
              </w:rPr>
            </w:pPr>
            <w:r w:rsidRPr="00A23740">
              <w:rPr>
                <w:rStyle w:val="KIRMIZIChar"/>
                <w:rFonts w:eastAsia="Calibri"/>
              </w:rPr>
              <w:t>(1) İhale alıcısı, ihalenin feshi talep edilmiş olsa dahi artırma sonuç tutanağının ilanından itibaren yedi gün içinde satış bedelini nakden ödemek zorundadır.</w:t>
            </w:r>
          </w:p>
          <w:p w:rsidR="00E83981" w:rsidRPr="00A23740" w:rsidRDefault="00E83981" w:rsidP="009431FF">
            <w:pPr>
              <w:rPr>
                <w:rStyle w:val="KIRMIZIChar"/>
                <w:rFonts w:eastAsia="Calibri"/>
              </w:rPr>
            </w:pPr>
          </w:p>
          <w:p w:rsidR="004C6191" w:rsidRPr="00A23740" w:rsidRDefault="004C6191" w:rsidP="009431FF">
            <w:pPr>
              <w:rPr>
                <w:rFonts w:eastAsia="Times New Roman"/>
                <w:b/>
                <w:szCs w:val="24"/>
                <w:lang w:eastAsia="tr-TR"/>
              </w:rPr>
            </w:pPr>
            <w:r w:rsidRPr="00A23740">
              <w:rPr>
                <w:rFonts w:eastAsia="Times New Roman"/>
                <w:b/>
                <w:szCs w:val="24"/>
                <w:lang w:eastAsia="tr-TR"/>
              </w:rPr>
              <w:t xml:space="preserve">İhalenin </w:t>
            </w:r>
            <w:r w:rsidRPr="00A23740">
              <w:rPr>
                <w:rStyle w:val="KIRMIZIChar"/>
                <w:rFonts w:eastAsia="Calibri"/>
              </w:rPr>
              <w:t>neticesi ve feshi:</w:t>
            </w:r>
          </w:p>
          <w:p w:rsidR="004C6191" w:rsidRPr="00A23740" w:rsidRDefault="004C6191" w:rsidP="009431FF">
            <w:pPr>
              <w:tabs>
                <w:tab w:val="left" w:pos="567"/>
              </w:tabs>
              <w:rPr>
                <w:rFonts w:eastAsia="Times New Roman"/>
                <w:b/>
                <w:szCs w:val="24"/>
                <w:lang w:eastAsia="tr-TR"/>
              </w:rPr>
            </w:pPr>
            <w:r w:rsidRPr="00A23740">
              <w:rPr>
                <w:rFonts w:eastAsia="Times New Roman"/>
                <w:b/>
                <w:szCs w:val="24"/>
                <w:lang w:eastAsia="tr-TR"/>
              </w:rPr>
              <w:t>Madde 134-</w:t>
            </w:r>
          </w:p>
          <w:p w:rsidR="004C6191" w:rsidRPr="00A23740" w:rsidRDefault="005F6587" w:rsidP="009431FF">
            <w:pPr>
              <w:tabs>
                <w:tab w:val="left" w:pos="567"/>
              </w:tabs>
              <w:rPr>
                <w:rFonts w:eastAsia="Times New Roman"/>
                <w:b/>
                <w:szCs w:val="24"/>
                <w:lang w:eastAsia="tr-TR"/>
              </w:rPr>
            </w:pPr>
            <w:r>
              <w:rPr>
                <w:b/>
                <w:color w:val="FF0000"/>
                <w:szCs w:val="24"/>
                <w:lang w:eastAsia="tr-TR"/>
              </w:rPr>
              <w:t>(F8.C2.</w:t>
            </w:r>
            <w:r w:rsidR="004C6191" w:rsidRPr="00A23740">
              <w:rPr>
                <w:b/>
                <w:color w:val="FF0000"/>
                <w:szCs w:val="24"/>
                <w:lang w:eastAsia="tr-TR"/>
              </w:rPr>
              <w:t>3</w:t>
            </w:r>
            <w:r w:rsidR="004C6191" w:rsidRPr="00A23740">
              <w:rPr>
                <w:rStyle w:val="KIRMIZIChar"/>
                <w:rFonts w:eastAsia="Calibri"/>
              </w:rPr>
              <w:t>) İcra müdürü, ö</w:t>
            </w:r>
            <w:r w:rsidR="004C6191" w:rsidRPr="00A23740">
              <w:rPr>
                <w:szCs w:val="24"/>
                <w:lang w:eastAsia="tr-TR"/>
              </w:rPr>
              <w:t xml:space="preserve">denen ihale bedeli </w:t>
            </w:r>
            <w:r w:rsidR="004C6191" w:rsidRPr="00A23740">
              <w:rPr>
                <w:rStyle w:val="KIRMIZIChar"/>
                <w:rFonts w:eastAsia="Calibri"/>
              </w:rPr>
              <w:t>ile ilgili olarak</w:t>
            </w:r>
            <w:r w:rsidR="004C6191" w:rsidRPr="00A23740">
              <w:rPr>
                <w:szCs w:val="24"/>
                <w:lang w:eastAsia="tr-TR"/>
              </w:rPr>
              <w:t xml:space="preserve">, ihalenin </w:t>
            </w:r>
            <w:r w:rsidR="004C6191" w:rsidRPr="00A23740">
              <w:rPr>
                <w:rStyle w:val="KIRMIZIChar"/>
                <w:rFonts w:eastAsia="Calibri"/>
              </w:rPr>
              <w:t>feshine</w:t>
            </w:r>
            <w:r w:rsidR="004C6191" w:rsidRPr="00A23740">
              <w:rPr>
                <w:szCs w:val="24"/>
                <w:lang w:eastAsia="tr-TR"/>
              </w:rPr>
              <w:t xml:space="preserve"> yönelik şikâyet sonucunda verilecek karar kesinleşinceye kadar </w:t>
            </w:r>
            <w:r w:rsidR="004C6191" w:rsidRPr="00A23740">
              <w:rPr>
                <w:rStyle w:val="KIRMIZIChar"/>
                <w:rFonts w:eastAsia="Calibri"/>
              </w:rPr>
              <w:t>para</w:t>
            </w:r>
            <w:r w:rsidR="004C6191" w:rsidRPr="00A23740">
              <w:rPr>
                <w:szCs w:val="24"/>
                <w:lang w:eastAsia="tr-TR"/>
              </w:rPr>
              <w:t xml:space="preserve"> bankalarda nemalandırılır. İhalenin </w:t>
            </w:r>
            <w:r w:rsidR="004C6191" w:rsidRPr="00A23740">
              <w:rPr>
                <w:rStyle w:val="KIRMIZIChar"/>
                <w:rFonts w:eastAsia="Calibri"/>
              </w:rPr>
              <w:t>feshine</w:t>
            </w:r>
            <w:r w:rsidR="004C6191" w:rsidRPr="00A23740">
              <w:rPr>
                <w:szCs w:val="24"/>
                <w:lang w:eastAsia="tr-TR"/>
              </w:rPr>
              <w:t xml:space="preserve"> ilişkin şikâyetin kabulüne veya reddine </w:t>
            </w:r>
            <w:r w:rsidR="004C6191" w:rsidRPr="00A23740">
              <w:rPr>
                <w:rStyle w:val="KIRMIZIChar"/>
                <w:rFonts w:eastAsia="Calibri"/>
              </w:rPr>
              <w:t>ilişkin</w:t>
            </w:r>
            <w:r w:rsidR="004C6191" w:rsidRPr="00A23740">
              <w:rPr>
                <w:szCs w:val="24"/>
                <w:lang w:eastAsia="tr-TR"/>
              </w:rPr>
              <w:t xml:space="preserve"> kararın kesinleşmesi üzerine, ihale bedeli nemaları ile birlikte hak sahiplerine ödenir.</w:t>
            </w:r>
          </w:p>
          <w:p w:rsidR="003C2B62" w:rsidRPr="00A23740" w:rsidRDefault="003C2B62" w:rsidP="009431FF">
            <w:pPr>
              <w:tabs>
                <w:tab w:val="left" w:pos="567"/>
              </w:tabs>
              <w:rPr>
                <w:szCs w:val="24"/>
                <w:lang w:eastAsia="tr-TR"/>
              </w:rPr>
            </w:pPr>
          </w:p>
          <w:p w:rsidR="004C6191" w:rsidRPr="00A23740" w:rsidRDefault="004C6191" w:rsidP="009431FF">
            <w:pPr>
              <w:rPr>
                <w:rFonts w:eastAsia="Times New Roman"/>
                <w:color w:val="000000"/>
                <w:szCs w:val="24"/>
                <w:lang w:eastAsia="tr-TR"/>
              </w:rPr>
            </w:pPr>
            <w:r w:rsidRPr="00A23740">
              <w:rPr>
                <w:rFonts w:eastAsia="Times New Roman"/>
                <w:b/>
                <w:color w:val="FF0000"/>
                <w:szCs w:val="24"/>
                <w:lang w:eastAsia="tr-TR"/>
              </w:rPr>
              <w:t>(9)</w:t>
            </w:r>
            <w:r w:rsidRPr="00A23740">
              <w:rPr>
                <w:rFonts w:eastAsia="Times New Roman"/>
                <w:color w:val="000000"/>
                <w:szCs w:val="24"/>
                <w:lang w:eastAsia="tr-TR"/>
              </w:rPr>
              <w:t xml:space="preserve"> </w:t>
            </w:r>
            <w:r w:rsidRPr="00A23740">
              <w:rPr>
                <w:rStyle w:val="KIRMIZIChar"/>
                <w:rFonts w:eastAsia="Calibri"/>
                <w:lang w:eastAsia="tr-TR"/>
              </w:rPr>
              <w:t>(Değişik fıkra:24/11/2021-7343/27 md.)</w:t>
            </w:r>
            <w:r w:rsidRPr="00A23740">
              <w:rPr>
                <w:rFonts w:eastAsia="Times New Roman"/>
                <w:color w:val="000000"/>
                <w:szCs w:val="24"/>
                <w:lang w:eastAsia="tr-TR"/>
              </w:rPr>
              <w:t xml:space="preserve"> İhale kesinleşmedikçe ve ihale konusu mal alıcıya teslim edilmedikçe veya teslime hazır hâle getirilmedikçe ihale bedeli alacaklılara ödenmez. İhale konusu malın teslim edilemeyeceği veya teslime hazır hale getirilemeyeceği durumlarda ihale icra müdürü tarafından </w:t>
            </w:r>
            <w:r w:rsidRPr="00A23740">
              <w:rPr>
                <w:rStyle w:val="KIRMIZIChar"/>
                <w:rFonts w:eastAsia="Calibri"/>
                <w:lang w:eastAsia="tr-TR"/>
              </w:rPr>
              <w:t>iptal olunarak</w:t>
            </w:r>
            <w:r w:rsidRPr="00A23740">
              <w:rPr>
                <w:rFonts w:eastAsia="Times New Roman"/>
                <w:color w:val="000000"/>
                <w:szCs w:val="24"/>
                <w:lang w:eastAsia="tr-TR"/>
              </w:rPr>
              <w:t xml:space="preserve"> ihale bedeli alıcısına ödenir.</w:t>
            </w:r>
          </w:p>
          <w:p w:rsidR="003C2B62" w:rsidRPr="00A23740" w:rsidRDefault="003C2B62" w:rsidP="009431FF">
            <w:pPr>
              <w:rPr>
                <w:rFonts w:eastAsia="Times New Roman"/>
                <w:color w:val="000000"/>
                <w:szCs w:val="24"/>
                <w:lang w:eastAsia="tr-TR"/>
              </w:rPr>
            </w:pPr>
          </w:p>
          <w:p w:rsidR="004C6191" w:rsidRPr="00A23740" w:rsidRDefault="004C6191" w:rsidP="009431FF">
            <w:pPr>
              <w:rPr>
                <w:rFonts w:eastAsia="Times New Roman"/>
                <w:b/>
                <w:color w:val="000000"/>
                <w:szCs w:val="24"/>
                <w:lang w:eastAsia="tr-TR"/>
              </w:rPr>
            </w:pPr>
            <w:r w:rsidRPr="00A23740">
              <w:rPr>
                <w:rFonts w:eastAsia="Times New Roman"/>
                <w:b/>
                <w:color w:val="000000"/>
                <w:szCs w:val="24"/>
                <w:lang w:eastAsia="tr-TR"/>
              </w:rPr>
              <w:t>Artırmaya hazırlık tedbirleri:</w:t>
            </w:r>
          </w:p>
          <w:p w:rsidR="004C6191" w:rsidRPr="00A23740" w:rsidRDefault="004C6191" w:rsidP="009431FF">
            <w:pPr>
              <w:rPr>
                <w:rFonts w:eastAsia="Times New Roman"/>
                <w:b/>
                <w:color w:val="000000"/>
                <w:szCs w:val="24"/>
                <w:lang w:eastAsia="tr-TR"/>
              </w:rPr>
            </w:pPr>
            <w:r w:rsidRPr="00A23740">
              <w:rPr>
                <w:rFonts w:eastAsia="Times New Roman"/>
                <w:b/>
                <w:color w:val="000000"/>
                <w:szCs w:val="24"/>
                <w:lang w:eastAsia="tr-TR"/>
              </w:rPr>
              <w:t>MADDE 114- …</w:t>
            </w:r>
          </w:p>
          <w:p w:rsidR="004C6191" w:rsidRPr="00A23740" w:rsidRDefault="004C6191" w:rsidP="009431FF">
            <w:pPr>
              <w:rPr>
                <w:szCs w:val="24"/>
                <w:lang w:eastAsia="tr-TR"/>
              </w:rPr>
            </w:pPr>
            <w:r w:rsidRPr="00A23740">
              <w:rPr>
                <w:rStyle w:val="KIRMIZIChar"/>
                <w:rFonts w:eastAsia="Calibri"/>
                <w:strike w:val="0"/>
              </w:rPr>
              <w:t>(8):</w:t>
            </w:r>
            <w:r w:rsidRPr="00A23740">
              <w:rPr>
                <w:szCs w:val="24"/>
                <w:lang w:eastAsia="tr-TR"/>
              </w:rPr>
              <w:t xml:space="preserve"> İhalenin kesinleşmesi üzerine taşınırın ihale alıcısına teslimi veya sicile kayıtlı malın ihale alıcısı adına tescili, damga vergisi ve katma değer vergisinin yatırılmasından sonra gerçekleştirilir.</w:t>
            </w:r>
          </w:p>
          <w:p w:rsidR="004C6191" w:rsidRPr="00A23740" w:rsidRDefault="004C6191" w:rsidP="009431FF">
            <w:pPr>
              <w:rPr>
                <w:rFonts w:eastAsia="Times New Roman"/>
                <w:color w:val="000000"/>
                <w:szCs w:val="24"/>
                <w:lang w:eastAsia="tr-TR"/>
              </w:rPr>
            </w:pPr>
          </w:p>
          <w:p w:rsidR="004C6191" w:rsidRPr="00A23740" w:rsidRDefault="004C6191" w:rsidP="009431FF">
            <w:pPr>
              <w:rPr>
                <w:rFonts w:eastAsia="Times New Roman"/>
                <w:szCs w:val="24"/>
                <w:lang w:eastAsia="tr-TR"/>
              </w:rPr>
            </w:pPr>
          </w:p>
          <w:p w:rsidR="004C6191" w:rsidRPr="00A23740" w:rsidRDefault="004C6191" w:rsidP="009431FF">
            <w:pPr>
              <w:rPr>
                <w:rFonts w:eastAsia="Times New Roman"/>
                <w:color w:val="000000"/>
                <w:szCs w:val="24"/>
                <w:lang w:eastAsia="tr-TR"/>
              </w:rPr>
            </w:pPr>
            <w:r w:rsidRPr="00A23740">
              <w:rPr>
                <w:rFonts w:eastAsia="Times New Roman"/>
                <w:b/>
                <w:color w:val="FF0000"/>
                <w:szCs w:val="24"/>
              </w:rPr>
              <w:t>(12)</w:t>
            </w:r>
            <w:r w:rsidRPr="00A23740">
              <w:rPr>
                <w:rFonts w:eastAsia="Times New Roman"/>
                <w:szCs w:val="24"/>
                <w:lang w:eastAsia="tr-TR"/>
              </w:rPr>
              <w:t xml:space="preserve"> </w:t>
            </w:r>
            <w:r w:rsidRPr="00A23740">
              <w:rPr>
                <w:rFonts w:eastAsia="Times New Roman"/>
                <w:color w:val="000000"/>
                <w:szCs w:val="24"/>
                <w:lang w:eastAsia="tr-TR"/>
              </w:rPr>
              <w:t xml:space="preserve">Tescil için </w:t>
            </w:r>
            <w:r w:rsidRPr="00A23740">
              <w:rPr>
                <w:rStyle w:val="KIRMIZIChar"/>
                <w:rFonts w:eastAsia="Calibri"/>
                <w:lang w:eastAsia="tr-TR"/>
              </w:rPr>
              <w:t>tapu idaresine</w:t>
            </w:r>
            <w:r w:rsidRPr="00A23740">
              <w:rPr>
                <w:rFonts w:eastAsia="Times New Roman"/>
                <w:color w:val="000000"/>
                <w:szCs w:val="24"/>
                <w:lang w:eastAsia="tr-TR"/>
              </w:rPr>
              <w:t xml:space="preserve"> yapılacak tebligat, şikayet için </w:t>
            </w:r>
            <w:r w:rsidRPr="00A23740">
              <w:rPr>
                <w:rStyle w:val="KIRMIZIChar"/>
                <w:rFonts w:eastAsia="Calibri"/>
                <w:lang w:eastAsia="tr-TR"/>
              </w:rPr>
              <w:t>muayyen müddetin</w:t>
            </w:r>
            <w:r w:rsidRPr="00A23740">
              <w:rPr>
                <w:rFonts w:eastAsia="Times New Roman"/>
                <w:color w:val="000000"/>
                <w:szCs w:val="24"/>
                <w:lang w:eastAsia="tr-TR"/>
              </w:rPr>
              <w:t xml:space="preserve"> geçmesinden veya şikayet </w:t>
            </w:r>
            <w:r w:rsidRPr="00A23740">
              <w:rPr>
                <w:rStyle w:val="KIRMIZIChar"/>
                <w:rFonts w:eastAsia="Calibri"/>
                <w:lang w:eastAsia="tr-TR"/>
              </w:rPr>
              <w:t>edilmişse</w:t>
            </w:r>
            <w:r w:rsidRPr="00A23740">
              <w:rPr>
                <w:rFonts w:eastAsia="Times New Roman"/>
                <w:color w:val="000000"/>
                <w:szCs w:val="24"/>
                <w:lang w:eastAsia="tr-TR"/>
              </w:rPr>
              <w:t xml:space="preserve"> şikayeti </w:t>
            </w:r>
            <w:r w:rsidRPr="00A23740">
              <w:rPr>
                <w:rStyle w:val="KIRMIZIChar"/>
                <w:rFonts w:eastAsia="Calibri"/>
                <w:lang w:eastAsia="tr-TR"/>
              </w:rPr>
              <w:t>neticelendiren</w:t>
            </w:r>
            <w:r w:rsidRPr="00A23740">
              <w:rPr>
                <w:rFonts w:eastAsia="Times New Roman"/>
                <w:color w:val="000000"/>
                <w:szCs w:val="24"/>
                <w:lang w:eastAsia="tr-TR"/>
              </w:rPr>
              <w:t xml:space="preserve"> kararın kesinleşmesinden sonra yapılır.</w:t>
            </w:r>
          </w:p>
          <w:p w:rsidR="004C6191" w:rsidRPr="00A23740" w:rsidRDefault="004C6191" w:rsidP="009431FF">
            <w:pPr>
              <w:rPr>
                <w:rFonts w:eastAsia="Times New Roman"/>
                <w:szCs w:val="24"/>
                <w:lang w:eastAsia="tr-TR"/>
              </w:rPr>
            </w:pPr>
          </w:p>
          <w:p w:rsidR="004C6191" w:rsidRPr="00A23740" w:rsidRDefault="004C6191" w:rsidP="009431FF">
            <w:pPr>
              <w:rPr>
                <w:rFonts w:eastAsia="Times New Roman"/>
                <w:b/>
                <w:strike/>
                <w:color w:val="FF0000"/>
                <w:szCs w:val="24"/>
              </w:rPr>
            </w:pPr>
          </w:p>
          <w:p w:rsidR="004C6191" w:rsidRPr="00A23740" w:rsidRDefault="004C6191" w:rsidP="009431FF">
            <w:pPr>
              <w:rPr>
                <w:rFonts w:eastAsia="Times New Roman"/>
                <w:szCs w:val="24"/>
                <w:lang w:eastAsia="tr-TR"/>
              </w:rPr>
            </w:pPr>
            <w:r w:rsidRPr="00A23740">
              <w:rPr>
                <w:rFonts w:eastAsia="Times New Roman"/>
                <w:b/>
                <w:color w:val="FF0000"/>
                <w:szCs w:val="24"/>
              </w:rPr>
              <w:t xml:space="preserve">(13) </w:t>
            </w:r>
            <w:r w:rsidRPr="00A23740">
              <w:rPr>
                <w:rFonts w:eastAsia="Times New Roman"/>
                <w:szCs w:val="24"/>
                <w:lang w:eastAsia="tr-TR"/>
              </w:rPr>
              <w:t>(Mülga son fıkra: 17/7/2003-4949/103 md.)</w:t>
            </w:r>
          </w:p>
          <w:p w:rsidR="004C6191" w:rsidRPr="00A23740" w:rsidRDefault="004C6191" w:rsidP="009431FF">
            <w:pPr>
              <w:pStyle w:val="KIRMIZI"/>
              <w:rPr>
                <w:lang w:val="tr-TR"/>
              </w:rPr>
            </w:pPr>
          </w:p>
          <w:p w:rsidR="004C6191" w:rsidRPr="00A23740" w:rsidRDefault="004C6191" w:rsidP="009431FF"/>
        </w:tc>
        <w:tc>
          <w:tcPr>
            <w:tcW w:w="2500" w:type="pct"/>
          </w:tcPr>
          <w:p w:rsidR="004C6191" w:rsidRPr="00A23740" w:rsidRDefault="004C6191" w:rsidP="009431FF">
            <w:pPr>
              <w:tabs>
                <w:tab w:val="left" w:pos="567"/>
              </w:tabs>
              <w:rPr>
                <w:rFonts w:eastAsia="Times New Roman"/>
                <w:b/>
                <w:color w:val="0000FF"/>
                <w:szCs w:val="24"/>
                <w:lang w:eastAsia="tr-TR"/>
              </w:rPr>
            </w:pPr>
            <w:r w:rsidRPr="00A23740">
              <w:rPr>
                <w:b/>
              </w:rPr>
              <w:t>İhalenin</w:t>
            </w:r>
            <w:r w:rsidRPr="00A23740">
              <w:t xml:space="preserve"> </w:t>
            </w:r>
            <w:r w:rsidRPr="00A23740">
              <w:rPr>
                <w:rStyle w:val="MaviChar"/>
              </w:rPr>
              <w:t>sonuçları</w:t>
            </w:r>
            <w:r w:rsidRPr="00A23740">
              <w:t xml:space="preserve"> </w:t>
            </w:r>
          </w:p>
          <w:p w:rsidR="004C6191" w:rsidRPr="00A23740" w:rsidRDefault="00490C3E" w:rsidP="009431FF">
            <w:pPr>
              <w:tabs>
                <w:tab w:val="left" w:pos="567"/>
              </w:tabs>
              <w:rPr>
                <w:rStyle w:val="MaviChar"/>
                <w:lang w:val="tr-TR"/>
              </w:rPr>
            </w:pPr>
            <w:r w:rsidRPr="00A23740">
              <w:rPr>
                <w:rFonts w:eastAsia="Times New Roman"/>
                <w:b/>
                <w:color w:val="0000FF"/>
                <w:szCs w:val="24"/>
                <w:lang w:eastAsia="tr-TR"/>
              </w:rPr>
              <w:t>MADDE 251</w:t>
            </w:r>
            <w:r w:rsidR="004C6191" w:rsidRPr="00A23740">
              <w:rPr>
                <w:rFonts w:eastAsia="Times New Roman"/>
                <w:b/>
                <w:color w:val="0000FF"/>
                <w:szCs w:val="24"/>
                <w:lang w:eastAsia="tr-TR"/>
              </w:rPr>
              <w:t>- (1)</w:t>
            </w:r>
            <w:r w:rsidR="004C6191" w:rsidRPr="00A23740">
              <w:rPr>
                <w:rFonts w:eastAsia="Times New Roman"/>
                <w:szCs w:val="24"/>
                <w:lang w:eastAsia="tr-TR"/>
              </w:rPr>
              <w:t xml:space="preserve"> </w:t>
            </w:r>
            <w:r w:rsidR="004C6191" w:rsidRPr="00A23740">
              <w:rPr>
                <w:rStyle w:val="MaviChar"/>
              </w:rPr>
              <w:t>İhale alıcısı,</w:t>
            </w:r>
            <w:r w:rsidR="004C6191" w:rsidRPr="00A23740">
              <w:rPr>
                <w:rFonts w:eastAsia="Times New Roman"/>
                <w:szCs w:val="24"/>
                <w:lang w:eastAsia="tr-TR"/>
              </w:rPr>
              <w:t xml:space="preserve"> ihalenin </w:t>
            </w:r>
            <w:r w:rsidR="004C6191" w:rsidRPr="00A23740">
              <w:rPr>
                <w:rFonts w:eastAsia="Times New Roman"/>
                <w:b/>
                <w:color w:val="0000FF"/>
                <w:szCs w:val="24"/>
                <w:lang w:eastAsia="tr-TR"/>
              </w:rPr>
              <w:t>iptali</w:t>
            </w:r>
            <w:r w:rsidR="004C6191" w:rsidRPr="00A23740">
              <w:rPr>
                <w:rFonts w:eastAsia="Times New Roman"/>
                <w:szCs w:val="24"/>
                <w:lang w:eastAsia="tr-TR"/>
              </w:rPr>
              <w:t xml:space="preserve"> talep edilmiş olsa bile, </w:t>
            </w:r>
            <w:r w:rsidR="00DF22A1" w:rsidRPr="00A23740">
              <w:rPr>
                <w:szCs w:val="24"/>
              </w:rPr>
              <w:t xml:space="preserve">derhâl </w:t>
            </w:r>
            <w:r w:rsidR="004C6191" w:rsidRPr="00A23740">
              <w:rPr>
                <w:rFonts w:eastAsia="Times New Roman"/>
                <w:b/>
                <w:color w:val="0000FF"/>
                <w:szCs w:val="24"/>
                <w:lang w:eastAsia="tr-TR"/>
              </w:rPr>
              <w:t>veya</w:t>
            </w:r>
            <w:r w:rsidR="00C33F02" w:rsidRPr="00A23740">
              <w:rPr>
                <w:rFonts w:eastAsia="Times New Roman"/>
                <w:b/>
                <w:color w:val="0000FF"/>
                <w:szCs w:val="24"/>
                <w:lang w:eastAsia="tr-TR"/>
              </w:rPr>
              <w:t xml:space="preserve"> </w:t>
            </w:r>
            <w:r w:rsidR="00E83981" w:rsidRPr="000D6BE5">
              <w:rPr>
                <w:rStyle w:val="MaviChar"/>
              </w:rPr>
              <w:t>22</w:t>
            </w:r>
            <w:r w:rsidR="00F10C6B" w:rsidRPr="000D6BE5">
              <w:rPr>
                <w:rStyle w:val="MaviChar"/>
              </w:rPr>
              <w:t>5 inci</w:t>
            </w:r>
            <w:r w:rsidR="00E83981" w:rsidRPr="00A23740">
              <w:rPr>
                <w:rFonts w:eastAsia="Times New Roman"/>
                <w:b/>
                <w:color w:val="0000FF"/>
                <w:szCs w:val="24"/>
                <w:lang w:eastAsia="tr-TR"/>
              </w:rPr>
              <w:t xml:space="preserve"> </w:t>
            </w:r>
            <w:r w:rsidR="004C6191" w:rsidRPr="00A23740">
              <w:rPr>
                <w:rStyle w:val="MaviChar"/>
              </w:rPr>
              <w:t>maddenin</w:t>
            </w:r>
            <w:r w:rsidR="00F10C6B" w:rsidRPr="00A23740">
              <w:rPr>
                <w:rStyle w:val="KonuBalChar"/>
                <w:rFonts w:eastAsia="Calibri"/>
              </w:rPr>
              <w:t xml:space="preserve"> </w:t>
            </w:r>
            <w:r w:rsidR="00F10C6B" w:rsidRPr="000D6BE5">
              <w:rPr>
                <w:rStyle w:val="Balk1Char"/>
                <w:rFonts w:eastAsia="Calibri"/>
              </w:rPr>
              <w:t>birinci fıkrasının (f)</w:t>
            </w:r>
            <w:r w:rsidR="004C6191" w:rsidRPr="00A23740">
              <w:rPr>
                <w:rStyle w:val="MaviChar"/>
              </w:rPr>
              <w:t xml:space="preserve"> bendi ile</w:t>
            </w:r>
            <w:r w:rsidR="00C33F02" w:rsidRPr="00A23740">
              <w:rPr>
                <w:rStyle w:val="MaviChar"/>
                <w:lang w:val="tr-TR"/>
              </w:rPr>
              <w:t xml:space="preserve"> </w:t>
            </w:r>
            <w:r w:rsidR="00C33F02" w:rsidRPr="000D6BE5">
              <w:rPr>
                <w:rStyle w:val="MaviChar"/>
              </w:rPr>
              <w:t>247 nci</w:t>
            </w:r>
            <w:r w:rsidR="004C6191" w:rsidRPr="00A23740">
              <w:rPr>
                <w:rFonts w:eastAsia="Times New Roman"/>
                <w:b/>
                <w:color w:val="0000FF"/>
                <w:szCs w:val="24"/>
                <w:lang w:eastAsia="tr-TR"/>
              </w:rPr>
              <w:t xml:space="preserve"> maddenin ikinci fıkrasında </w:t>
            </w:r>
            <w:r w:rsidR="005829C5" w:rsidRPr="000D6BE5">
              <w:rPr>
                <w:rStyle w:val="MaviChar"/>
              </w:rPr>
              <w:t>yazılı</w:t>
            </w:r>
            <w:r w:rsidR="004C6191" w:rsidRPr="00A23740">
              <w:rPr>
                <w:rFonts w:eastAsia="Times New Roman"/>
                <w:szCs w:val="24"/>
                <w:lang w:eastAsia="tr-TR"/>
              </w:rPr>
              <w:t xml:space="preserve"> süre içinde </w:t>
            </w:r>
            <w:r w:rsidR="004C6191" w:rsidRPr="00A23740">
              <w:t>satış bedelini</w:t>
            </w:r>
            <w:r w:rsidR="004C6191" w:rsidRPr="00A23740">
              <w:rPr>
                <w:rFonts w:eastAsia="Times New Roman"/>
                <w:szCs w:val="24"/>
                <w:lang w:eastAsia="tr-TR"/>
              </w:rPr>
              <w:t xml:space="preserve"> </w:t>
            </w:r>
            <w:r w:rsidR="00BD1999" w:rsidRPr="000D6BE5">
              <w:rPr>
                <w:rStyle w:val="MaviChar"/>
              </w:rPr>
              <w:t>icra ve iflas dairesi</w:t>
            </w:r>
            <w:r w:rsidR="00D6629C" w:rsidRPr="000D6BE5">
              <w:rPr>
                <w:rStyle w:val="MaviChar"/>
              </w:rPr>
              <w:t>nin banka</w:t>
            </w:r>
            <w:r w:rsidR="00BD1999" w:rsidRPr="000D6BE5">
              <w:rPr>
                <w:rStyle w:val="MaviChar"/>
              </w:rPr>
              <w:t xml:space="preserve"> hesabına ödemek</w:t>
            </w:r>
            <w:r w:rsidR="004C6191" w:rsidRPr="00A23740">
              <w:rPr>
                <w:rFonts w:eastAsia="Times New Roman"/>
                <w:szCs w:val="24"/>
                <w:lang w:eastAsia="tr-TR"/>
              </w:rPr>
              <w:t xml:space="preserve"> zorundadır.</w:t>
            </w:r>
            <w:r w:rsidR="004C6191" w:rsidRPr="00A23740">
              <w:rPr>
                <w:rStyle w:val="YELChar"/>
              </w:rPr>
              <w:t xml:space="preserve"> </w:t>
            </w:r>
            <w:r w:rsidR="004C6191" w:rsidRPr="00A23740">
              <w:rPr>
                <w:rStyle w:val="MaviChar"/>
              </w:rPr>
              <w:t>İhaleye alacağına mahsuben katılan alacaklı, sadece</w:t>
            </w:r>
            <w:r w:rsidR="005829C5" w:rsidRPr="00A23740">
              <w:rPr>
                <w:rStyle w:val="MaviChar"/>
                <w:lang w:val="tr-TR"/>
              </w:rPr>
              <w:t xml:space="preserve"> </w:t>
            </w:r>
            <w:r w:rsidR="005829C5" w:rsidRPr="000D6BE5">
              <w:rPr>
                <w:rStyle w:val="MaviChar"/>
              </w:rPr>
              <w:t>derece kararına göre</w:t>
            </w:r>
            <w:r w:rsidR="004C6191" w:rsidRPr="00A23740">
              <w:rPr>
                <w:rStyle w:val="MaviChar"/>
              </w:rPr>
              <w:t xml:space="preserve"> mahsubu a</w:t>
            </w:r>
            <w:r w:rsidR="005829C5" w:rsidRPr="00A23740">
              <w:rPr>
                <w:rStyle w:val="MaviChar"/>
              </w:rPr>
              <w:t>şan tutarı ödemekle yükümlüdür.</w:t>
            </w:r>
          </w:p>
          <w:p w:rsidR="004C6191" w:rsidRPr="00A23740" w:rsidRDefault="004C6191" w:rsidP="009431FF">
            <w:pPr>
              <w:tabs>
                <w:tab w:val="left" w:pos="567"/>
              </w:tabs>
              <w:rPr>
                <w:rStyle w:val="MaviChar"/>
              </w:rPr>
            </w:pPr>
          </w:p>
          <w:p w:rsidR="004C6191" w:rsidRPr="00A23740" w:rsidRDefault="004C6191" w:rsidP="009431FF">
            <w:pPr>
              <w:tabs>
                <w:tab w:val="left" w:pos="567"/>
              </w:tabs>
              <w:rPr>
                <w:rStyle w:val="MaviChar"/>
              </w:rPr>
            </w:pPr>
          </w:p>
          <w:p w:rsidR="003C2B62" w:rsidRPr="00A23740" w:rsidRDefault="003C2B62" w:rsidP="009431FF">
            <w:pPr>
              <w:tabs>
                <w:tab w:val="left" w:pos="567"/>
              </w:tabs>
              <w:rPr>
                <w:rStyle w:val="MaviChar"/>
                <w:color w:val="FF0000"/>
                <w:lang w:val="tr-TR"/>
              </w:rPr>
            </w:pPr>
          </w:p>
          <w:p w:rsidR="004C6191" w:rsidRPr="00A23740" w:rsidRDefault="004C6191" w:rsidP="009431FF">
            <w:pPr>
              <w:tabs>
                <w:tab w:val="left" w:pos="567"/>
              </w:tabs>
              <w:rPr>
                <w:rStyle w:val="MaviChar"/>
                <w:color w:val="FF0000"/>
                <w:lang w:val="tr-TR"/>
              </w:rPr>
            </w:pPr>
          </w:p>
          <w:p w:rsidR="004C6191" w:rsidRPr="00A23740" w:rsidRDefault="004C6191" w:rsidP="009431FF">
            <w:pPr>
              <w:tabs>
                <w:tab w:val="left" w:pos="567"/>
              </w:tabs>
              <w:rPr>
                <w:rStyle w:val="MaviChar"/>
              </w:rPr>
            </w:pPr>
            <w:r w:rsidRPr="00A23740">
              <w:rPr>
                <w:rStyle w:val="MaviChar"/>
              </w:rPr>
              <w:t xml:space="preserve">(2) Nakit teminat tutarı ihale bedelinin ödenmesinde kullanılır. </w:t>
            </w:r>
          </w:p>
          <w:p w:rsidR="00483727" w:rsidRPr="00A23740" w:rsidRDefault="00483727" w:rsidP="009431FF">
            <w:pPr>
              <w:tabs>
                <w:tab w:val="left" w:pos="567"/>
              </w:tabs>
              <w:rPr>
                <w:rStyle w:val="MaviChar"/>
              </w:rPr>
            </w:pPr>
          </w:p>
          <w:p w:rsidR="003C2B62" w:rsidRPr="00A23740" w:rsidRDefault="003C2B62" w:rsidP="009431FF">
            <w:pPr>
              <w:tabs>
                <w:tab w:val="left" w:pos="567"/>
              </w:tabs>
              <w:rPr>
                <w:rStyle w:val="MaviChar"/>
              </w:rPr>
            </w:pPr>
          </w:p>
          <w:p w:rsidR="003C2B62" w:rsidRPr="00A23740" w:rsidRDefault="003C2B62" w:rsidP="009431FF">
            <w:pPr>
              <w:tabs>
                <w:tab w:val="left" w:pos="567"/>
              </w:tabs>
              <w:rPr>
                <w:rStyle w:val="MaviChar"/>
              </w:rPr>
            </w:pPr>
          </w:p>
          <w:p w:rsidR="003C2B62" w:rsidRDefault="003C2B62" w:rsidP="009431FF">
            <w:pPr>
              <w:tabs>
                <w:tab w:val="left" w:pos="567"/>
              </w:tabs>
              <w:rPr>
                <w:rStyle w:val="MaviChar"/>
              </w:rPr>
            </w:pPr>
          </w:p>
          <w:p w:rsidR="007E21DC" w:rsidRDefault="007E21DC" w:rsidP="009431FF">
            <w:pPr>
              <w:tabs>
                <w:tab w:val="left" w:pos="567"/>
              </w:tabs>
              <w:rPr>
                <w:rStyle w:val="MaviChar"/>
              </w:rPr>
            </w:pPr>
          </w:p>
          <w:p w:rsidR="007E21DC" w:rsidRDefault="007E21DC" w:rsidP="009431FF">
            <w:pPr>
              <w:tabs>
                <w:tab w:val="left" w:pos="567"/>
              </w:tabs>
              <w:rPr>
                <w:rStyle w:val="MaviChar"/>
              </w:rPr>
            </w:pPr>
          </w:p>
          <w:p w:rsidR="007E21DC" w:rsidRPr="00A23740" w:rsidRDefault="007E21DC" w:rsidP="009431FF">
            <w:pPr>
              <w:tabs>
                <w:tab w:val="left" w:pos="567"/>
              </w:tabs>
              <w:rPr>
                <w:rStyle w:val="MaviChar"/>
              </w:rPr>
            </w:pPr>
          </w:p>
          <w:p w:rsidR="003C2B62" w:rsidRPr="00A23740" w:rsidRDefault="003C2B62" w:rsidP="009431FF">
            <w:pPr>
              <w:tabs>
                <w:tab w:val="left" w:pos="567"/>
              </w:tabs>
              <w:rPr>
                <w:rStyle w:val="MaviChar"/>
              </w:rPr>
            </w:pPr>
          </w:p>
          <w:p w:rsidR="004C6191" w:rsidRPr="00A23740" w:rsidRDefault="004C6191" w:rsidP="009431FF">
            <w:pPr>
              <w:tabs>
                <w:tab w:val="left" w:pos="567"/>
              </w:tabs>
              <w:rPr>
                <w:rFonts w:eastAsia="Times New Roman"/>
                <w:szCs w:val="24"/>
                <w:lang w:eastAsia="tr-TR"/>
              </w:rPr>
            </w:pPr>
            <w:r w:rsidRPr="00A23740">
              <w:rPr>
                <w:rStyle w:val="MaviChar"/>
                <w:lang w:val="tr-TR"/>
              </w:rPr>
              <w:t xml:space="preserve">(3) </w:t>
            </w:r>
            <w:r w:rsidRPr="00A23740">
              <w:rPr>
                <w:rStyle w:val="Balk1Char"/>
                <w:rFonts w:eastAsia="Calibri"/>
              </w:rPr>
              <w:t>Ö</w:t>
            </w:r>
            <w:r w:rsidRPr="00A23740">
              <w:rPr>
                <w:rFonts w:eastAsia="Times New Roman"/>
                <w:szCs w:val="24"/>
                <w:lang w:eastAsia="tr-TR"/>
              </w:rPr>
              <w:t>denen ihale bedeli,</w:t>
            </w:r>
            <w:r w:rsidRPr="00A23740">
              <w:rPr>
                <w:rFonts w:eastAsia="Times New Roman"/>
                <w:b/>
                <w:color w:val="CC00FF"/>
                <w:szCs w:val="24"/>
                <w:lang w:eastAsia="tr-TR"/>
              </w:rPr>
              <w:t xml:space="preserve"> </w:t>
            </w:r>
            <w:r w:rsidRPr="00A23740">
              <w:rPr>
                <w:rFonts w:eastAsia="Times New Roman"/>
                <w:szCs w:val="24"/>
                <w:lang w:eastAsia="tr-TR"/>
              </w:rPr>
              <w:t xml:space="preserve">ihalenin </w:t>
            </w:r>
            <w:r w:rsidRPr="00A23740">
              <w:rPr>
                <w:rStyle w:val="MaviChar"/>
              </w:rPr>
              <w:t>iptaline</w:t>
            </w:r>
            <w:r w:rsidRPr="00A23740">
              <w:rPr>
                <w:rFonts w:eastAsia="Times New Roman"/>
                <w:szCs w:val="24"/>
                <w:lang w:eastAsia="tr-TR"/>
              </w:rPr>
              <w:t xml:space="preserve"> yönelik şikâyet sonucunda verilecek karar kesinleşinceye kadar icra </w:t>
            </w:r>
            <w:r w:rsidRPr="00A23740">
              <w:rPr>
                <w:rStyle w:val="MaviChar"/>
              </w:rPr>
              <w:t xml:space="preserve">ve iflas </w:t>
            </w:r>
            <w:r w:rsidRPr="00A23740">
              <w:rPr>
                <w:rFonts w:eastAsia="Times New Roman"/>
                <w:szCs w:val="24"/>
                <w:lang w:eastAsia="tr-TR"/>
              </w:rPr>
              <w:t xml:space="preserve">müdürü </w:t>
            </w:r>
            <w:r w:rsidRPr="00A23740">
              <w:rPr>
                <w:rFonts w:eastAsia="Times New Roman"/>
                <w:b/>
                <w:color w:val="0000FF"/>
                <w:szCs w:val="24"/>
                <w:lang w:eastAsia="tr-TR"/>
              </w:rPr>
              <w:t xml:space="preserve">tarafından </w:t>
            </w:r>
            <w:r w:rsidRPr="00A23740">
              <w:rPr>
                <w:rFonts w:eastAsia="Times New Roman"/>
                <w:szCs w:val="24"/>
                <w:lang w:eastAsia="tr-TR"/>
              </w:rPr>
              <w:t xml:space="preserve">bankalarda nemalandırılır. İhalenin </w:t>
            </w:r>
            <w:r w:rsidRPr="00A23740">
              <w:rPr>
                <w:rStyle w:val="MaviChar"/>
              </w:rPr>
              <w:t>iptaline</w:t>
            </w:r>
            <w:r w:rsidRPr="00A23740">
              <w:rPr>
                <w:rFonts w:eastAsia="Times New Roman"/>
                <w:szCs w:val="24"/>
                <w:lang w:eastAsia="tr-TR"/>
              </w:rPr>
              <w:t xml:space="preserve"> ilişkin şikâyetin kabulüne veya reddine </w:t>
            </w:r>
            <w:r w:rsidRPr="00A23740">
              <w:rPr>
                <w:rStyle w:val="MaviChar"/>
              </w:rPr>
              <w:t>dair</w:t>
            </w:r>
            <w:r w:rsidRPr="00A23740">
              <w:rPr>
                <w:rFonts w:eastAsia="Times New Roman"/>
                <w:szCs w:val="24"/>
                <w:lang w:eastAsia="tr-TR"/>
              </w:rPr>
              <w:t xml:space="preserve"> kararın kesinleşmesi üzerine, ihale bedeli nemaları ile birlikte hak sahiplerine ödenir.</w:t>
            </w:r>
          </w:p>
          <w:p w:rsidR="003C2B62" w:rsidRPr="00A23740" w:rsidRDefault="003C2B62" w:rsidP="009431FF">
            <w:pPr>
              <w:tabs>
                <w:tab w:val="left" w:pos="567"/>
              </w:tabs>
              <w:rPr>
                <w:rFonts w:eastAsia="Times New Roman"/>
                <w:b/>
                <w:color w:val="FF0000"/>
                <w:szCs w:val="24"/>
                <w:lang w:eastAsia="tr-TR"/>
              </w:rPr>
            </w:pPr>
          </w:p>
          <w:p w:rsidR="004C6191" w:rsidRPr="00A23740" w:rsidRDefault="004C6191" w:rsidP="009431FF">
            <w:pPr>
              <w:pStyle w:val="Mavi"/>
            </w:pPr>
            <w:r w:rsidRPr="00A23740">
              <w:t xml:space="preserve">(4) </w:t>
            </w:r>
            <w:r w:rsidRPr="00A23740">
              <w:rPr>
                <w:b w:val="0"/>
                <w:bCs w:val="0"/>
                <w:color w:val="auto"/>
                <w:szCs w:val="22"/>
                <w:lang w:val="tr-TR" w:eastAsia="en-US"/>
              </w:rPr>
              <w:t>İhale kesinleşmedikçe ve ihale konusu mal alıcıya teslim edilmedikçe veya teslime hazır h</w:t>
            </w:r>
            <w:r w:rsidR="00C224B4" w:rsidRPr="00A23740">
              <w:rPr>
                <w:b w:val="0"/>
                <w:bCs w:val="0"/>
                <w:color w:val="auto"/>
                <w:szCs w:val="22"/>
                <w:lang w:val="tr-TR" w:eastAsia="en-US"/>
              </w:rPr>
              <w:t>â</w:t>
            </w:r>
            <w:r w:rsidRPr="00A23740">
              <w:rPr>
                <w:b w:val="0"/>
                <w:bCs w:val="0"/>
                <w:color w:val="auto"/>
                <w:szCs w:val="22"/>
                <w:lang w:val="tr-TR" w:eastAsia="en-US"/>
              </w:rPr>
              <w:t>le getirilmedikçe ihale bedeli alacaklılara ödenmez. İhale konusu malın teslim edilemeyeceği veya teslime hazır h</w:t>
            </w:r>
            <w:r w:rsidR="00C224B4" w:rsidRPr="00A23740">
              <w:rPr>
                <w:b w:val="0"/>
                <w:bCs w:val="0"/>
                <w:color w:val="auto"/>
                <w:szCs w:val="22"/>
                <w:lang w:val="tr-TR" w:eastAsia="en-US"/>
              </w:rPr>
              <w:t>â</w:t>
            </w:r>
            <w:r w:rsidRPr="00A23740">
              <w:rPr>
                <w:b w:val="0"/>
                <w:bCs w:val="0"/>
                <w:color w:val="auto"/>
                <w:szCs w:val="22"/>
                <w:lang w:val="tr-TR" w:eastAsia="en-US"/>
              </w:rPr>
              <w:t xml:space="preserve">le getirilemeyeceği durumlarda ihale icra </w:t>
            </w:r>
            <w:r w:rsidRPr="00A23740">
              <w:t xml:space="preserve">ve iflas </w:t>
            </w:r>
            <w:r w:rsidRPr="00A23740">
              <w:rPr>
                <w:b w:val="0"/>
                <w:bCs w:val="0"/>
                <w:color w:val="auto"/>
                <w:szCs w:val="22"/>
                <w:lang w:val="tr-TR" w:eastAsia="en-US"/>
              </w:rPr>
              <w:t xml:space="preserve">müdürü tarafından </w:t>
            </w:r>
            <w:r w:rsidRPr="00A23740">
              <w:rPr>
                <w:lang w:val="tr-TR" w:eastAsia="en-US"/>
              </w:rPr>
              <w:t>kaldırılarak</w:t>
            </w:r>
            <w:r w:rsidRPr="00A23740">
              <w:rPr>
                <w:b w:val="0"/>
                <w:bCs w:val="0"/>
                <w:color w:val="auto"/>
                <w:szCs w:val="22"/>
                <w:lang w:val="tr-TR" w:eastAsia="en-US"/>
              </w:rPr>
              <w:t xml:space="preserve"> ihale bedeli alıcısına ödenir.</w:t>
            </w:r>
          </w:p>
          <w:p w:rsidR="004C6191" w:rsidRPr="00A23740" w:rsidRDefault="004C6191" w:rsidP="009431FF">
            <w:pPr>
              <w:pStyle w:val="YEL"/>
              <w:rPr>
                <w:lang w:val="tr-TR" w:eastAsia="tr-TR"/>
              </w:rPr>
            </w:pPr>
          </w:p>
          <w:p w:rsidR="003C2B62" w:rsidRPr="00A23740" w:rsidRDefault="003C2B62" w:rsidP="009431FF">
            <w:pPr>
              <w:pStyle w:val="YEL"/>
              <w:rPr>
                <w:lang w:val="tr-TR" w:eastAsia="tr-TR"/>
              </w:rPr>
            </w:pPr>
          </w:p>
          <w:p w:rsidR="003C2B62" w:rsidRPr="00A23740" w:rsidRDefault="003C2B62" w:rsidP="009431FF">
            <w:pPr>
              <w:pStyle w:val="YEL"/>
              <w:rPr>
                <w:lang w:val="tr-TR" w:eastAsia="tr-TR"/>
              </w:rPr>
            </w:pPr>
          </w:p>
          <w:p w:rsidR="003C2B62" w:rsidRPr="00A23740" w:rsidRDefault="003C2B62" w:rsidP="009431FF">
            <w:pPr>
              <w:pStyle w:val="YEL"/>
              <w:rPr>
                <w:lang w:val="tr-TR" w:eastAsia="tr-TR"/>
              </w:rPr>
            </w:pPr>
          </w:p>
          <w:p w:rsidR="004C6191" w:rsidRPr="00A23740" w:rsidRDefault="004C6191" w:rsidP="009431FF">
            <w:pPr>
              <w:tabs>
                <w:tab w:val="left" w:pos="567"/>
              </w:tabs>
              <w:rPr>
                <w:rFonts w:eastAsia="Times New Roman"/>
                <w:b/>
                <w:color w:val="CC00FF"/>
                <w:szCs w:val="24"/>
                <w:lang w:eastAsia="tr-TR"/>
              </w:rPr>
            </w:pPr>
            <w:r w:rsidRPr="00A23740">
              <w:rPr>
                <w:rStyle w:val="MaviChar"/>
              </w:rPr>
              <w:t xml:space="preserve">(5) </w:t>
            </w:r>
            <w:r w:rsidRPr="00A23740">
              <w:rPr>
                <w:bCs/>
                <w:lang w:eastAsia="tr-TR"/>
              </w:rPr>
              <w:t>İhalenin kesinleşmesi üzerine taşınırın ihale alıcısına teslimi veya sicile kayıtlı taşınır ya da taşınmaz malın ihale alıcısı adına tescili damga vergisi ve katma değer vergisinin yatırılmasından sonra gerçekleştirilir.</w:t>
            </w:r>
            <w:r w:rsidRPr="00A23740">
              <w:rPr>
                <w:rFonts w:eastAsia="Times New Roman"/>
                <w:b/>
                <w:color w:val="CC00FF"/>
                <w:szCs w:val="24"/>
                <w:lang w:eastAsia="tr-TR"/>
              </w:rPr>
              <w:t xml:space="preserve"> </w:t>
            </w:r>
          </w:p>
          <w:p w:rsidR="004C6191" w:rsidRPr="00A23740" w:rsidRDefault="004C6191" w:rsidP="009431FF">
            <w:pPr>
              <w:tabs>
                <w:tab w:val="left" w:pos="567"/>
              </w:tabs>
              <w:rPr>
                <w:rFonts w:eastAsia="Times New Roman"/>
                <w:szCs w:val="24"/>
                <w:lang w:eastAsia="tr-TR"/>
              </w:rPr>
            </w:pPr>
          </w:p>
          <w:p w:rsidR="004C6191" w:rsidRPr="00A23740" w:rsidRDefault="004C6191" w:rsidP="009431FF">
            <w:pPr>
              <w:tabs>
                <w:tab w:val="left" w:pos="567"/>
              </w:tabs>
              <w:rPr>
                <w:rFonts w:eastAsia="Times New Roman"/>
                <w:b/>
                <w:strike/>
                <w:color w:val="FF0000"/>
                <w:szCs w:val="24"/>
                <w:lang w:eastAsia="tr-TR"/>
              </w:rPr>
            </w:pPr>
            <w:r w:rsidRPr="00A23740">
              <w:rPr>
                <w:rFonts w:eastAsia="Times New Roman"/>
                <w:b/>
                <w:color w:val="0000FF"/>
                <w:szCs w:val="24"/>
                <w:lang w:eastAsia="tr-TR"/>
              </w:rPr>
              <w:t>(6) İhale konusu malın alıcı adına</w:t>
            </w:r>
            <w:r w:rsidRPr="00A23740">
              <w:rPr>
                <w:rFonts w:eastAsia="Times New Roman"/>
                <w:szCs w:val="24"/>
                <w:lang w:eastAsia="tr-TR"/>
              </w:rPr>
              <w:t xml:space="preserve"> tescil</w:t>
            </w:r>
            <w:r w:rsidRPr="00A23740">
              <w:rPr>
                <w:rStyle w:val="MaviChar"/>
              </w:rPr>
              <w:t>i</w:t>
            </w:r>
            <w:r w:rsidRPr="00A23740">
              <w:rPr>
                <w:rFonts w:eastAsia="Times New Roman"/>
                <w:szCs w:val="24"/>
                <w:lang w:eastAsia="tr-TR"/>
              </w:rPr>
              <w:t xml:space="preserve"> için </w:t>
            </w:r>
            <w:r w:rsidRPr="00A23740">
              <w:rPr>
                <w:rFonts w:eastAsia="Times New Roman"/>
                <w:b/>
                <w:color w:val="0000FF"/>
                <w:szCs w:val="24"/>
                <w:lang w:eastAsia="tr-TR"/>
              </w:rPr>
              <w:t>ilgili sicile</w:t>
            </w:r>
            <w:r w:rsidRPr="00A23740">
              <w:rPr>
                <w:rFonts w:eastAsia="Times New Roman"/>
                <w:szCs w:val="24"/>
                <w:lang w:eastAsia="tr-TR"/>
              </w:rPr>
              <w:t xml:space="preserve"> yapılacak </w:t>
            </w:r>
            <w:r w:rsidR="00E91B85" w:rsidRPr="000D6BE5">
              <w:rPr>
                <w:rStyle w:val="MaviChar"/>
              </w:rPr>
              <w:t>bildirim</w:t>
            </w:r>
            <w:r w:rsidRPr="00A23740">
              <w:rPr>
                <w:rFonts w:eastAsia="Times New Roman"/>
                <w:szCs w:val="24"/>
                <w:lang w:eastAsia="tr-TR"/>
              </w:rPr>
              <w:t xml:space="preserve"> </w:t>
            </w:r>
            <w:r w:rsidRPr="00A23740">
              <w:rPr>
                <w:rFonts w:eastAsia="Times New Roman"/>
                <w:b/>
                <w:color w:val="0000FF"/>
                <w:szCs w:val="24"/>
                <w:lang w:eastAsia="tr-TR"/>
              </w:rPr>
              <w:t>veya taşınırın alıcıya teslimi</w:t>
            </w:r>
            <w:r w:rsidRPr="00A23740">
              <w:t xml:space="preserve">, </w:t>
            </w:r>
            <w:r w:rsidRPr="00A23740">
              <w:rPr>
                <w:rFonts w:eastAsia="Times New Roman"/>
                <w:szCs w:val="24"/>
                <w:lang w:eastAsia="tr-TR"/>
              </w:rPr>
              <w:t xml:space="preserve">şikâyet için </w:t>
            </w:r>
            <w:r w:rsidRPr="00A23740">
              <w:rPr>
                <w:rFonts w:eastAsia="Times New Roman"/>
                <w:b/>
                <w:color w:val="0000FF"/>
                <w:szCs w:val="24"/>
                <w:lang w:eastAsia="tr-TR"/>
              </w:rPr>
              <w:t>belirli sürenin</w:t>
            </w:r>
            <w:r w:rsidRPr="00A23740">
              <w:rPr>
                <w:rFonts w:eastAsia="Times New Roman"/>
                <w:szCs w:val="24"/>
                <w:lang w:eastAsia="tr-TR"/>
              </w:rPr>
              <w:t xml:space="preserve"> geçmesinden veya şikâyet </w:t>
            </w:r>
            <w:r w:rsidRPr="00A23740">
              <w:rPr>
                <w:rStyle w:val="MaviChar"/>
              </w:rPr>
              <w:t>yapılmışsa</w:t>
            </w:r>
            <w:r w:rsidRPr="00A23740">
              <w:rPr>
                <w:rFonts w:eastAsia="Times New Roman"/>
                <w:szCs w:val="24"/>
                <w:lang w:eastAsia="tr-TR"/>
              </w:rPr>
              <w:t xml:space="preserve"> şikâyeti </w:t>
            </w:r>
            <w:r w:rsidRPr="00A23740">
              <w:rPr>
                <w:rStyle w:val="MaviChar"/>
              </w:rPr>
              <w:t>sonuçlandıran</w:t>
            </w:r>
            <w:r w:rsidRPr="00A23740">
              <w:rPr>
                <w:rFonts w:eastAsia="Times New Roman"/>
                <w:szCs w:val="24"/>
                <w:lang w:eastAsia="tr-TR"/>
              </w:rPr>
              <w:t xml:space="preserve"> kararın kesinleşmesinden </w:t>
            </w:r>
            <w:r w:rsidRPr="00A23740">
              <w:t>sonra</w:t>
            </w:r>
            <w:r w:rsidRPr="00A23740">
              <w:rPr>
                <w:rFonts w:eastAsia="Times New Roman"/>
                <w:szCs w:val="24"/>
                <w:lang w:eastAsia="tr-TR"/>
              </w:rPr>
              <w:t xml:space="preserve"> yapılır.</w:t>
            </w:r>
          </w:p>
          <w:p w:rsidR="004C6191" w:rsidRPr="00A23740" w:rsidRDefault="004C6191" w:rsidP="009431FF">
            <w:pPr>
              <w:rPr>
                <w:rFonts w:eastAsia="Times New Roman"/>
                <w:b/>
                <w:bCs/>
                <w:color w:val="0000FF"/>
                <w:szCs w:val="24"/>
                <w:lang w:eastAsia="tr-TR"/>
              </w:rPr>
            </w:pPr>
          </w:p>
          <w:p w:rsidR="004C6191" w:rsidRPr="00A23740" w:rsidRDefault="004C6191" w:rsidP="009431FF">
            <w:pPr>
              <w:rPr>
                <w:rFonts w:eastAsia="Times New Roman"/>
                <w:b/>
                <w:bCs/>
                <w:color w:val="0000FF"/>
                <w:szCs w:val="24"/>
                <w:lang w:eastAsia="tr-TR"/>
              </w:rPr>
            </w:pPr>
            <w:r w:rsidRPr="00A23740">
              <w:rPr>
                <w:rFonts w:eastAsia="Times New Roman"/>
                <w:b/>
                <w:bCs/>
                <w:color w:val="0000FF"/>
                <w:szCs w:val="24"/>
                <w:lang w:eastAsia="tr-TR"/>
              </w:rPr>
              <w:t xml:space="preserve">(7) </w:t>
            </w:r>
            <w:r w:rsidRPr="00A23740">
              <w:rPr>
                <w:rStyle w:val="MaviChar"/>
              </w:rPr>
              <w:t>Sicile kayıtlı</w:t>
            </w:r>
            <w:r w:rsidRPr="00A23740">
              <w:rPr>
                <w:rFonts w:eastAsia="Times New Roman"/>
                <w:b/>
                <w:bCs/>
                <w:color w:val="0000FF"/>
                <w:szCs w:val="24"/>
                <w:lang w:eastAsia="tr-TR"/>
              </w:rPr>
              <w:t xml:space="preserve"> mal ve hakların </w:t>
            </w:r>
            <w:r w:rsidRPr="00A23740">
              <w:rPr>
                <w:rStyle w:val="MaviChar"/>
              </w:rPr>
              <w:t>haczinde,</w:t>
            </w:r>
            <w:r w:rsidRPr="00A23740">
              <w:rPr>
                <w:rFonts w:eastAsia="Times New Roman"/>
                <w:b/>
                <w:bCs/>
                <w:color w:val="0000FF"/>
                <w:szCs w:val="24"/>
                <w:lang w:eastAsia="tr-TR"/>
              </w:rPr>
              <w:t xml:space="preserve"> hacizden önce ya da sonra </w:t>
            </w:r>
            <w:r w:rsidRPr="00A23740">
              <w:rPr>
                <w:rStyle w:val="MaviChar"/>
              </w:rPr>
              <w:t>sicile</w:t>
            </w:r>
            <w:r w:rsidRPr="00A23740">
              <w:rPr>
                <w:rFonts w:eastAsia="Times New Roman"/>
                <w:b/>
                <w:bCs/>
                <w:color w:val="0000FF"/>
                <w:szCs w:val="24"/>
                <w:lang w:eastAsia="tr-TR"/>
              </w:rPr>
              <w:t xml:space="preserve"> işlenen ihtiyati tedbir kararı, bu kararda açıkça belirtilmiş olmadıkça</w:t>
            </w:r>
            <w:r w:rsidRPr="00A23740">
              <w:rPr>
                <w:rStyle w:val="MaviChar"/>
              </w:rPr>
              <w:t>,</w:t>
            </w:r>
            <w:r w:rsidRPr="00A23740">
              <w:rPr>
                <w:rFonts w:eastAsia="Times New Roman"/>
                <w:b/>
                <w:bCs/>
                <w:color w:val="0000FF"/>
                <w:szCs w:val="24"/>
                <w:lang w:eastAsia="tr-TR"/>
              </w:rPr>
              <w:t xml:space="preserve"> cebr</w:t>
            </w:r>
            <w:r w:rsidR="00436506" w:rsidRPr="00A23740">
              <w:rPr>
                <w:rFonts w:eastAsia="Times New Roman"/>
                <w:b/>
                <w:bCs/>
                <w:color w:val="0000FF"/>
                <w:szCs w:val="24"/>
                <w:lang w:eastAsia="tr-TR"/>
              </w:rPr>
              <w:t>î</w:t>
            </w:r>
            <w:r w:rsidRPr="00A23740">
              <w:rPr>
                <w:rFonts w:eastAsia="Times New Roman"/>
                <w:b/>
                <w:bCs/>
                <w:color w:val="0000FF"/>
                <w:szCs w:val="24"/>
                <w:lang w:eastAsia="tr-TR"/>
              </w:rPr>
              <w:t xml:space="preserve"> icra satışına </w:t>
            </w:r>
            <w:r w:rsidRPr="00A23740">
              <w:rPr>
                <w:rStyle w:val="MaviChar"/>
              </w:rPr>
              <w:t>ve</w:t>
            </w:r>
            <w:r w:rsidR="00AD7D81" w:rsidRPr="00A23740">
              <w:rPr>
                <w:rStyle w:val="MaviChar"/>
              </w:rPr>
              <w:t xml:space="preserve"> ihaleyle geçen mülkiyetin resm</w:t>
            </w:r>
            <w:r w:rsidR="00AD7D81" w:rsidRPr="00A23740">
              <w:rPr>
                <w:rStyle w:val="MaviChar"/>
                <w:lang w:val="tr-TR"/>
              </w:rPr>
              <w:t>î</w:t>
            </w:r>
            <w:r w:rsidRPr="00A23740">
              <w:rPr>
                <w:rStyle w:val="MaviChar"/>
              </w:rPr>
              <w:t xml:space="preserve"> sicile tesciline</w:t>
            </w:r>
            <w:r w:rsidRPr="00A23740">
              <w:rPr>
                <w:rFonts w:eastAsia="Times New Roman"/>
                <w:b/>
                <w:bCs/>
                <w:color w:val="0000FF"/>
                <w:szCs w:val="24"/>
                <w:lang w:eastAsia="tr-TR"/>
              </w:rPr>
              <w:t xml:space="preserve"> engel olmaz.</w:t>
            </w:r>
          </w:p>
          <w:p w:rsidR="004C6191" w:rsidRPr="00A23740" w:rsidRDefault="004C6191" w:rsidP="009431FF">
            <w:pPr>
              <w:pStyle w:val="YEL"/>
              <w:rPr>
                <w:strike/>
                <w:lang w:val="tr-TR"/>
              </w:rPr>
            </w:pPr>
          </w:p>
        </w:tc>
      </w:tr>
      <w:tr w:rsidR="004C6191" w:rsidRPr="00A23740" w:rsidTr="009431FF">
        <w:tblPrEx>
          <w:tblLook w:val="01E0" w:firstRow="1" w:lastRow="1" w:firstColumn="1" w:lastColumn="1" w:noHBand="0" w:noVBand="0"/>
        </w:tblPrEx>
        <w:tc>
          <w:tcPr>
            <w:tcW w:w="5000" w:type="pct"/>
            <w:gridSpan w:val="2"/>
            <w:shd w:val="clear" w:color="auto" w:fill="DEEAF6"/>
          </w:tcPr>
          <w:p w:rsidR="004C6191" w:rsidRPr="00A23740" w:rsidRDefault="004C6191" w:rsidP="009431FF">
            <w:pPr>
              <w:tabs>
                <w:tab w:val="left" w:pos="567"/>
              </w:tabs>
              <w:rPr>
                <w:rFonts w:eastAsia="Times New Roman"/>
                <w:b/>
                <w:color w:val="0000FF"/>
                <w:szCs w:val="24"/>
                <w:lang w:eastAsia="tr-TR"/>
              </w:rPr>
            </w:pPr>
            <w:r w:rsidRPr="00A23740">
              <w:t xml:space="preserve"> </w:t>
            </w:r>
          </w:p>
          <w:p w:rsidR="004C6191" w:rsidRPr="00A23740" w:rsidRDefault="00490C3E" w:rsidP="009431FF">
            <w:pPr>
              <w:tabs>
                <w:tab w:val="left" w:pos="567"/>
              </w:tabs>
              <w:ind w:firstLine="709"/>
              <w:rPr>
                <w:rFonts w:eastAsia="Times New Roman"/>
                <w:szCs w:val="24"/>
                <w:lang w:eastAsia="tr-TR"/>
              </w:rPr>
            </w:pPr>
            <w:r w:rsidRPr="00A23740">
              <w:rPr>
                <w:rFonts w:eastAsia="Times New Roman"/>
                <w:b/>
                <w:szCs w:val="24"/>
                <w:lang w:eastAsia="tr-TR"/>
              </w:rPr>
              <w:t>MADDE 251</w:t>
            </w:r>
            <w:r w:rsidR="004C6191" w:rsidRPr="00A23740">
              <w:rPr>
                <w:rFonts w:eastAsia="Times New Roman"/>
                <w:szCs w:val="24"/>
                <w:lang w:eastAsia="tr-TR"/>
              </w:rPr>
              <w:t>- Maddeyle, ihalenin sonuçları düzenlenmektedir.</w:t>
            </w:r>
          </w:p>
          <w:p w:rsidR="004C6191" w:rsidRPr="00A23740" w:rsidRDefault="004C6191" w:rsidP="009431FF">
            <w:pPr>
              <w:tabs>
                <w:tab w:val="left" w:pos="567"/>
              </w:tabs>
              <w:ind w:firstLine="709"/>
              <w:rPr>
                <w:rFonts w:eastAsia="Times New Roman"/>
                <w:szCs w:val="24"/>
                <w:lang w:eastAsia="tr-TR"/>
              </w:rPr>
            </w:pPr>
            <w:r w:rsidRPr="00A23740">
              <w:rPr>
                <w:rFonts w:eastAsia="Times New Roman"/>
                <w:szCs w:val="24"/>
                <w:lang w:eastAsia="tr-TR"/>
              </w:rPr>
              <w:t>Birinci fıkrayla, ihale bedelinin ödenme süresi belirlenmektedir. Alıcı, kural olarak ihalenin iptali talep edilmiş olsa bile</w:t>
            </w:r>
            <w:r w:rsidR="00B21770" w:rsidRPr="00A23740">
              <w:rPr>
                <w:rFonts w:eastAsia="Times New Roman"/>
                <w:szCs w:val="24"/>
                <w:lang w:eastAsia="tr-TR"/>
              </w:rPr>
              <w:t>,</w:t>
            </w:r>
            <w:r w:rsidRPr="00A23740">
              <w:rPr>
                <w:rFonts w:eastAsia="Times New Roman"/>
                <w:szCs w:val="24"/>
                <w:lang w:eastAsia="tr-TR"/>
              </w:rPr>
              <w:t xml:space="preserve"> ihale bedelini </w:t>
            </w:r>
            <w:r w:rsidR="00DF22A1" w:rsidRPr="00A23740">
              <w:rPr>
                <w:szCs w:val="24"/>
              </w:rPr>
              <w:t xml:space="preserve">derhâl </w:t>
            </w:r>
            <w:r w:rsidRPr="00A23740">
              <w:rPr>
                <w:rFonts w:eastAsia="Times New Roman"/>
                <w:szCs w:val="24"/>
                <w:lang w:eastAsia="tr-TR"/>
              </w:rPr>
              <w:t xml:space="preserve">ödemelidir. Taslağın </w:t>
            </w:r>
            <w:r w:rsidR="00F324B7" w:rsidRPr="00D60C1D">
              <w:rPr>
                <w:rStyle w:val="KonuBalChar"/>
                <w:rFonts w:eastAsia="Calibri"/>
                <w:b w:val="0"/>
                <w:color w:val="000000"/>
              </w:rPr>
              <w:t>22</w:t>
            </w:r>
            <w:r w:rsidR="00F324B7" w:rsidRPr="00D60C1D">
              <w:rPr>
                <w:rStyle w:val="KonuBalChar"/>
                <w:rFonts w:eastAsia="Calibri"/>
                <w:b w:val="0"/>
                <w:color w:val="000000"/>
                <w:lang w:val="tr-TR"/>
              </w:rPr>
              <w:t>5 inci</w:t>
            </w:r>
            <w:r w:rsidR="00F324B7" w:rsidRPr="00A23740">
              <w:rPr>
                <w:rFonts w:eastAsia="Times New Roman"/>
                <w:b/>
                <w:color w:val="0000FF"/>
                <w:szCs w:val="24"/>
                <w:lang w:eastAsia="tr-TR"/>
              </w:rPr>
              <w:t xml:space="preserve"> </w:t>
            </w:r>
            <w:r w:rsidRPr="00A23740">
              <w:rPr>
                <w:rFonts w:eastAsia="Times New Roman"/>
                <w:szCs w:val="24"/>
                <w:lang w:eastAsia="tr-TR"/>
              </w:rPr>
              <w:t>madde</w:t>
            </w:r>
            <w:r w:rsidR="00B21770" w:rsidRPr="00A23740">
              <w:rPr>
                <w:rFonts w:eastAsia="Times New Roman"/>
                <w:szCs w:val="24"/>
                <w:lang w:eastAsia="tr-TR"/>
              </w:rPr>
              <w:t>si</w:t>
            </w:r>
            <w:r w:rsidRPr="00A23740">
              <w:rPr>
                <w:rFonts w:eastAsia="Times New Roman"/>
                <w:szCs w:val="24"/>
                <w:lang w:eastAsia="tr-TR"/>
              </w:rPr>
              <w:t xml:space="preserve">nin </w:t>
            </w:r>
            <w:r w:rsidR="00F324B7" w:rsidRPr="00D60C1D">
              <w:rPr>
                <w:rStyle w:val="KonuBalChar"/>
                <w:rFonts w:eastAsia="Calibri"/>
                <w:b w:val="0"/>
                <w:color w:val="000000"/>
              </w:rPr>
              <w:t>birinci fıkrasının (f)</w:t>
            </w:r>
            <w:r w:rsidRPr="00A23740">
              <w:rPr>
                <w:rFonts w:eastAsia="Times New Roman"/>
                <w:szCs w:val="24"/>
                <w:lang w:eastAsia="tr-TR"/>
              </w:rPr>
              <w:t xml:space="preserve"> bendi uyarınca alıcı, ihale tarihinden itibaren bir hafta içinde </w:t>
            </w:r>
            <w:r w:rsidR="00F324B7" w:rsidRPr="00D60C1D">
              <w:rPr>
                <w:rStyle w:val="KonuBalChar"/>
                <w:rFonts w:eastAsia="Calibri"/>
                <w:b w:val="0"/>
                <w:color w:val="000000"/>
              </w:rPr>
              <w:t>satış bedelini icra ve iflas dairesi hesabına ödemek zorundadır</w:t>
            </w:r>
            <w:r w:rsidRPr="00D60C1D">
              <w:rPr>
                <w:rFonts w:eastAsia="Times New Roman"/>
                <w:b/>
                <w:color w:val="000000"/>
                <w:szCs w:val="24"/>
                <w:lang w:eastAsia="tr-TR"/>
              </w:rPr>
              <w:t>.</w:t>
            </w:r>
            <w:r w:rsidRPr="00A23740">
              <w:rPr>
                <w:rFonts w:eastAsia="Times New Roman"/>
                <w:szCs w:val="24"/>
                <w:lang w:eastAsia="tr-TR"/>
              </w:rPr>
              <w:t xml:space="preserve"> Ayrıca Taslağın </w:t>
            </w:r>
            <w:r w:rsidR="00E83981" w:rsidRPr="00D60C1D">
              <w:rPr>
                <w:rStyle w:val="KonuBalChar"/>
                <w:rFonts w:eastAsia="Calibri"/>
                <w:b w:val="0"/>
                <w:color w:val="000000"/>
              </w:rPr>
              <w:t>247 nci</w:t>
            </w:r>
            <w:r w:rsidRPr="00A23740">
              <w:rPr>
                <w:rFonts w:eastAsia="Times New Roman"/>
                <w:szCs w:val="24"/>
                <w:lang w:eastAsia="tr-TR"/>
              </w:rPr>
              <w:t xml:space="preserve"> madde</w:t>
            </w:r>
            <w:r w:rsidR="00B21770" w:rsidRPr="00A23740">
              <w:rPr>
                <w:rFonts w:eastAsia="Times New Roman"/>
                <w:szCs w:val="24"/>
                <w:lang w:eastAsia="tr-TR"/>
              </w:rPr>
              <w:t>si</w:t>
            </w:r>
            <w:r w:rsidRPr="00A23740">
              <w:rPr>
                <w:rFonts w:eastAsia="Times New Roman"/>
                <w:szCs w:val="24"/>
                <w:lang w:eastAsia="tr-TR"/>
              </w:rPr>
              <w:t>nin ikinci fıkrası uyarınca ihale alıcısının takip alacaklısı olması h</w:t>
            </w:r>
            <w:r w:rsidR="00C224B4" w:rsidRPr="00A23740">
              <w:rPr>
                <w:rFonts w:eastAsia="Times New Roman"/>
                <w:szCs w:val="24"/>
                <w:lang w:eastAsia="tr-TR"/>
              </w:rPr>
              <w:t>â</w:t>
            </w:r>
            <w:r w:rsidRPr="00A23740">
              <w:rPr>
                <w:rFonts w:eastAsia="Times New Roman"/>
                <w:szCs w:val="24"/>
                <w:lang w:eastAsia="tr-TR"/>
              </w:rPr>
              <w:t xml:space="preserve">linde mahsup işleminden sonra varsa ödenmesi gereken tutarı alacı, tutanağın ilan edildiği tarihten </w:t>
            </w:r>
            <w:r w:rsidR="00B21770" w:rsidRPr="00A23740">
              <w:rPr>
                <w:rFonts w:eastAsia="Times New Roman"/>
                <w:szCs w:val="24"/>
                <w:lang w:eastAsia="tr-TR"/>
              </w:rPr>
              <w:t xml:space="preserve">itibaren </w:t>
            </w:r>
            <w:r w:rsidRPr="00A23740">
              <w:rPr>
                <w:rFonts w:eastAsia="Times New Roman"/>
                <w:szCs w:val="24"/>
                <w:lang w:eastAsia="tr-TR"/>
              </w:rPr>
              <w:t xml:space="preserve">bir hafta içinde </w:t>
            </w:r>
            <w:r w:rsidR="005C3157" w:rsidRPr="00D60C1D">
              <w:rPr>
                <w:rStyle w:val="KonuBalChar"/>
                <w:rFonts w:eastAsia="Calibri"/>
                <w:b w:val="0"/>
                <w:color w:val="000000"/>
              </w:rPr>
              <w:t>icra ve iflas dairesi</w:t>
            </w:r>
            <w:r w:rsidR="00B21770" w:rsidRPr="00D60C1D">
              <w:rPr>
                <w:rStyle w:val="KonuBalChar"/>
                <w:rFonts w:eastAsia="Calibri"/>
                <w:b w:val="0"/>
                <w:color w:val="000000"/>
                <w:lang w:val="tr-TR"/>
              </w:rPr>
              <w:t>nin banka</w:t>
            </w:r>
            <w:r w:rsidR="005C3157" w:rsidRPr="00D60C1D">
              <w:rPr>
                <w:rStyle w:val="KonuBalChar"/>
                <w:rFonts w:eastAsia="Calibri"/>
                <w:b w:val="0"/>
                <w:color w:val="000000"/>
              </w:rPr>
              <w:t xml:space="preserve"> hesabına ödemek zorundadır</w:t>
            </w:r>
            <w:r w:rsidRPr="00A23740">
              <w:rPr>
                <w:rFonts w:eastAsia="Times New Roman"/>
                <w:szCs w:val="24"/>
                <w:lang w:eastAsia="tr-TR"/>
              </w:rPr>
              <w:t>. Son olarak</w:t>
            </w:r>
            <w:r w:rsidR="00B21770" w:rsidRPr="00A23740">
              <w:rPr>
                <w:rFonts w:eastAsia="Times New Roman"/>
                <w:szCs w:val="24"/>
                <w:lang w:eastAsia="tr-TR"/>
              </w:rPr>
              <w:t>,</w:t>
            </w:r>
            <w:r w:rsidRPr="00A23740">
              <w:rPr>
                <w:rFonts w:eastAsia="Times New Roman"/>
                <w:szCs w:val="24"/>
                <w:lang w:eastAsia="tr-TR"/>
              </w:rPr>
              <w:t xml:space="preserve"> ihaleye alacağına mahsuben katılan alacaklı, sadece</w:t>
            </w:r>
            <w:r w:rsidR="00E91B85" w:rsidRPr="00A23740">
              <w:rPr>
                <w:rFonts w:eastAsia="Times New Roman"/>
                <w:szCs w:val="24"/>
                <w:lang w:eastAsia="tr-TR"/>
              </w:rPr>
              <w:t xml:space="preserve"> </w:t>
            </w:r>
            <w:r w:rsidR="00E91B85" w:rsidRPr="00D60C1D">
              <w:rPr>
                <w:rStyle w:val="YELChar"/>
                <w:b w:val="0"/>
                <w:color w:val="000000"/>
              </w:rPr>
              <w:t>derece kararına göre</w:t>
            </w:r>
            <w:r w:rsidRPr="00A23740">
              <w:rPr>
                <w:rFonts w:eastAsia="Times New Roman"/>
                <w:szCs w:val="24"/>
                <w:lang w:eastAsia="tr-TR"/>
              </w:rPr>
              <w:t xml:space="preserve"> mahsubu aşan tutarı ödemekle yükümlüdür. Bu cümleye, uygulamadaki tereddütleri önlemek amacıyla Taslağın </w:t>
            </w:r>
            <w:r w:rsidR="00E83981" w:rsidRPr="00D60C1D">
              <w:rPr>
                <w:rStyle w:val="KonuBalChar"/>
                <w:rFonts w:eastAsia="Calibri"/>
                <w:b w:val="0"/>
                <w:color w:val="000000"/>
              </w:rPr>
              <w:t>247 nci</w:t>
            </w:r>
            <w:r w:rsidRPr="00A23740">
              <w:rPr>
                <w:rFonts w:eastAsia="Times New Roman"/>
                <w:szCs w:val="24"/>
                <w:lang w:eastAsia="tr-TR"/>
              </w:rPr>
              <w:t xml:space="preserve"> maddesinin üçüncü fıkrasının “ihale alıcısı olan takip alacaklısının yatırması gereken bedelin net miktarı sıra cetvelinin düzenlenmesiyle </w:t>
            </w:r>
            <w:r w:rsidR="00E91B85" w:rsidRPr="00D60C1D">
              <w:rPr>
                <w:rStyle w:val="YELChar"/>
                <w:b w:val="0"/>
                <w:color w:val="000000"/>
              </w:rPr>
              <w:t>belirlenir</w:t>
            </w:r>
            <w:r w:rsidRPr="00A23740">
              <w:rPr>
                <w:rFonts w:eastAsia="Times New Roman"/>
                <w:szCs w:val="24"/>
                <w:lang w:eastAsia="tr-TR"/>
              </w:rPr>
              <w:t xml:space="preserve">” şeklindeki son cümlesinin </w:t>
            </w:r>
            <w:r w:rsidR="00B21770" w:rsidRPr="00A23740">
              <w:rPr>
                <w:rFonts w:eastAsia="Times New Roman"/>
                <w:szCs w:val="24"/>
                <w:lang w:eastAsia="tr-TR"/>
              </w:rPr>
              <w:t xml:space="preserve">yansıması </w:t>
            </w:r>
            <w:r w:rsidRPr="00A23740">
              <w:rPr>
                <w:rFonts w:eastAsia="Times New Roman"/>
                <w:szCs w:val="24"/>
                <w:lang w:eastAsia="tr-TR"/>
              </w:rPr>
              <w:t xml:space="preserve">olarak hükümde yer verilmektedir. </w:t>
            </w:r>
            <w:r w:rsidRPr="00A23740">
              <w:rPr>
                <w:rFonts w:eastAsia="Times New Roman"/>
                <w:bCs/>
                <w:lang w:eastAsia="tr-TR"/>
              </w:rPr>
              <w:t xml:space="preserve">Fıkra, </w:t>
            </w:r>
            <w:r w:rsidRPr="00A23740">
              <w:rPr>
                <w:rFonts w:eastAsia="Times New Roman"/>
                <w:szCs w:val="24"/>
                <w:lang w:eastAsia="tr-TR"/>
              </w:rPr>
              <w:t>2004 saylı Kanunun 130 uncu maddesinin birinci fıkrası ile 134 üncü maddesinin sekizinci fıkrasının birinci cümlesi</w:t>
            </w:r>
            <w:r w:rsidR="00B21770" w:rsidRPr="00A23740">
              <w:rPr>
                <w:rFonts w:eastAsia="Times New Roman"/>
                <w:szCs w:val="24"/>
                <w:lang w:eastAsia="tr-TR"/>
              </w:rPr>
              <w:t>ne</w:t>
            </w:r>
            <w:r w:rsidRPr="00A23740">
              <w:rPr>
                <w:rFonts w:eastAsia="Times New Roman"/>
                <w:szCs w:val="24"/>
                <w:lang w:eastAsia="tr-TR"/>
              </w:rPr>
              <w:t xml:space="preserve"> karşılık gelmektedir.</w:t>
            </w:r>
          </w:p>
          <w:p w:rsidR="004C6191" w:rsidRPr="00A23740" w:rsidRDefault="004C6191" w:rsidP="009431FF">
            <w:pPr>
              <w:tabs>
                <w:tab w:val="left" w:pos="567"/>
              </w:tabs>
              <w:ind w:firstLine="709"/>
              <w:rPr>
                <w:rFonts w:eastAsia="Times New Roman"/>
                <w:szCs w:val="24"/>
                <w:lang w:eastAsia="tr-TR"/>
              </w:rPr>
            </w:pPr>
            <w:r w:rsidRPr="00A23740">
              <w:rPr>
                <w:rFonts w:eastAsia="Times New Roman"/>
                <w:szCs w:val="24"/>
                <w:lang w:eastAsia="tr-TR"/>
              </w:rPr>
              <w:t>İkinci fıkrayla, ihale alıcısı tarafından yatırılan nakit teminat tutarının ihale bedelinin ödenmesinde kullanılacağı düzenlenmektedir.</w:t>
            </w:r>
          </w:p>
          <w:p w:rsidR="004C6191" w:rsidRPr="00A23740" w:rsidRDefault="004C6191" w:rsidP="009431FF">
            <w:pPr>
              <w:tabs>
                <w:tab w:val="left" w:pos="567"/>
              </w:tabs>
              <w:ind w:firstLine="709"/>
              <w:rPr>
                <w:rFonts w:eastAsia="Times New Roman"/>
                <w:szCs w:val="24"/>
                <w:lang w:eastAsia="tr-TR"/>
              </w:rPr>
            </w:pPr>
            <w:r w:rsidRPr="00A23740">
              <w:rPr>
                <w:rFonts w:eastAsia="Times New Roman"/>
                <w:szCs w:val="24"/>
                <w:lang w:eastAsia="tr-TR"/>
              </w:rPr>
              <w:t xml:space="preserve">Üçüncü fıkrayla, icra </w:t>
            </w:r>
            <w:r w:rsidR="00B73523" w:rsidRPr="00D60C1D">
              <w:rPr>
                <w:color w:val="000000"/>
              </w:rPr>
              <w:t>ve iflas</w:t>
            </w:r>
            <w:r w:rsidR="00B73523" w:rsidRPr="00A23740">
              <w:rPr>
                <w:b/>
                <w:bCs/>
                <w:color w:val="0000FF"/>
                <w:szCs w:val="24"/>
                <w:lang w:val="x-none" w:eastAsia="x-none"/>
              </w:rPr>
              <w:t xml:space="preserve"> </w:t>
            </w:r>
            <w:r w:rsidRPr="00A23740">
              <w:rPr>
                <w:rFonts w:eastAsia="Times New Roman"/>
                <w:szCs w:val="24"/>
                <w:lang w:eastAsia="tr-TR"/>
              </w:rPr>
              <w:t>dairesine ödenen ihale bedelinin, ihalenin iptaline yönelik şikâyet sonucunda verilecek karar kesinleşinceye kadar icra ve iflas müdürü tarafından bankalarda nemalandırılacağı ve ihalenin iptaline ilişkin şikâyetin kabulüne veya reddine dair kararın kesinleşmesi üzerine, ihale bedelinin nemaları</w:t>
            </w:r>
            <w:r w:rsidR="00B21770" w:rsidRPr="00A23740">
              <w:rPr>
                <w:rFonts w:eastAsia="Times New Roman"/>
                <w:szCs w:val="24"/>
                <w:lang w:eastAsia="tr-TR"/>
              </w:rPr>
              <w:t>yla</w:t>
            </w:r>
            <w:r w:rsidRPr="00A23740">
              <w:rPr>
                <w:rFonts w:eastAsia="Times New Roman"/>
                <w:szCs w:val="24"/>
                <w:lang w:eastAsia="tr-TR"/>
              </w:rPr>
              <w:t xml:space="preserve"> birlikte hak sahiplerine ödeneceği hükme bağlanmaktadır. </w:t>
            </w:r>
            <w:r w:rsidRPr="00A23740">
              <w:rPr>
                <w:rFonts w:eastAsia="Times New Roman"/>
                <w:bCs/>
                <w:lang w:eastAsia="tr-TR"/>
              </w:rPr>
              <w:t xml:space="preserve">Fıkra, </w:t>
            </w:r>
            <w:r w:rsidRPr="00A23740">
              <w:rPr>
                <w:rFonts w:eastAsia="Times New Roman"/>
                <w:szCs w:val="24"/>
                <w:lang w:eastAsia="tr-TR"/>
              </w:rPr>
              <w:t xml:space="preserve">2004 saylı Kanunun 134 üncü maddesinin sekizinci fıkrasının ikinci ve üçüncü cümlelerine karşılık gelmektedir. Taslağın “Paranın nemalandırılması” başlıklı 12 nci maddesinde, icra ve iflas dairelerine yatırılan veya bu dairelerce tahsil edilen paranın, Adalet Bakanlığınca </w:t>
            </w:r>
            <w:r w:rsidR="00607E0B" w:rsidRPr="00D60C1D">
              <w:rPr>
                <w:rStyle w:val="KonuBalChar"/>
                <w:rFonts w:eastAsia="Calibri"/>
                <w:b w:val="0"/>
                <w:color w:val="000000"/>
              </w:rPr>
              <w:t>çıkarılacak</w:t>
            </w:r>
            <w:r w:rsidR="00607E0B" w:rsidRPr="00A23740">
              <w:rPr>
                <w:rFonts w:eastAsia="Times New Roman"/>
                <w:szCs w:val="24"/>
                <w:lang w:eastAsia="tr-TR"/>
              </w:rPr>
              <w:t xml:space="preserve"> </w:t>
            </w:r>
            <w:r w:rsidRPr="00A23740">
              <w:rPr>
                <w:rFonts w:eastAsia="Times New Roman"/>
                <w:szCs w:val="24"/>
                <w:lang w:eastAsia="tr-TR"/>
              </w:rPr>
              <w:t xml:space="preserve">yönetmelik hükümleri çerçevesinde nemalandırılacağı ve </w:t>
            </w:r>
            <w:r w:rsidR="00B21770" w:rsidRPr="00A23740">
              <w:rPr>
                <w:rFonts w:eastAsia="Times New Roman"/>
                <w:szCs w:val="24"/>
                <w:lang w:eastAsia="tr-TR"/>
              </w:rPr>
              <w:t>K</w:t>
            </w:r>
            <w:r w:rsidRPr="00A23740">
              <w:rPr>
                <w:rFonts w:eastAsia="Times New Roman"/>
                <w:szCs w:val="24"/>
                <w:lang w:eastAsia="tr-TR"/>
              </w:rPr>
              <w:t>anunda belirtilen kesintiler yapıldıktan sonra kalanın, nemalarıyla birlikte banka aracılığıyla hak sahiplerine ödeneceği düzenlenmektedir. Söz konusu genel nemalandırma maddesine rağmen, herhangi bir tartışmaya mahal verilmemesi için icra ve ifl</w:t>
            </w:r>
            <w:r w:rsidR="00656C77" w:rsidRPr="00A23740">
              <w:rPr>
                <w:rFonts w:eastAsia="Times New Roman"/>
                <w:szCs w:val="24"/>
                <w:lang w:eastAsia="tr-TR"/>
              </w:rPr>
              <w:t>a</w:t>
            </w:r>
            <w:r w:rsidRPr="00A23740">
              <w:rPr>
                <w:rFonts w:eastAsia="Times New Roman"/>
                <w:szCs w:val="24"/>
                <w:lang w:eastAsia="tr-TR"/>
              </w:rPr>
              <w:t xml:space="preserve">s dairesi hesabına yatan paranın nemalandırılması hususu </w:t>
            </w:r>
            <w:r w:rsidR="00B21770" w:rsidRPr="00A23740">
              <w:rPr>
                <w:rFonts w:eastAsia="Times New Roman"/>
                <w:szCs w:val="24"/>
                <w:lang w:eastAsia="tr-TR"/>
              </w:rPr>
              <w:t xml:space="preserve">burada da </w:t>
            </w:r>
            <w:r w:rsidRPr="00A23740">
              <w:rPr>
                <w:rFonts w:eastAsia="Times New Roman"/>
                <w:szCs w:val="24"/>
                <w:lang w:eastAsia="tr-TR"/>
              </w:rPr>
              <w:t>açıkça düzenlenm</w:t>
            </w:r>
            <w:r w:rsidR="00B21770" w:rsidRPr="00A23740">
              <w:rPr>
                <w:rFonts w:eastAsia="Times New Roman"/>
                <w:szCs w:val="24"/>
                <w:lang w:eastAsia="tr-TR"/>
              </w:rPr>
              <w:t>iştir</w:t>
            </w:r>
            <w:r w:rsidRPr="00A23740">
              <w:rPr>
                <w:rFonts w:eastAsia="Times New Roman"/>
                <w:szCs w:val="24"/>
                <w:lang w:eastAsia="tr-TR"/>
              </w:rPr>
              <w:t>.</w:t>
            </w:r>
          </w:p>
          <w:p w:rsidR="004C6191" w:rsidRPr="00A23740" w:rsidRDefault="004C6191" w:rsidP="009431FF">
            <w:pPr>
              <w:tabs>
                <w:tab w:val="left" w:pos="567"/>
              </w:tabs>
              <w:ind w:firstLine="709"/>
              <w:rPr>
                <w:rFonts w:eastAsia="Times New Roman"/>
                <w:szCs w:val="24"/>
                <w:lang w:eastAsia="tr-TR"/>
              </w:rPr>
            </w:pPr>
            <w:r w:rsidRPr="00A23740">
              <w:rPr>
                <w:rFonts w:eastAsia="Times New Roman"/>
                <w:szCs w:val="24"/>
                <w:lang w:eastAsia="tr-TR"/>
              </w:rPr>
              <w:t>Dördüncü fıkrayla, ihale kesinleşmedikçe ve ihale konusu mal alıcıya teslim edilmedikçe veya teslime hazır h</w:t>
            </w:r>
            <w:r w:rsidR="00C224B4" w:rsidRPr="00A23740">
              <w:rPr>
                <w:rFonts w:eastAsia="Times New Roman"/>
                <w:szCs w:val="24"/>
                <w:lang w:eastAsia="tr-TR"/>
              </w:rPr>
              <w:t>â</w:t>
            </w:r>
            <w:r w:rsidRPr="00A23740">
              <w:rPr>
                <w:rFonts w:eastAsia="Times New Roman"/>
                <w:szCs w:val="24"/>
                <w:lang w:eastAsia="tr-TR"/>
              </w:rPr>
              <w:t>le getirilmedikçe ihale bedelinin alacaklılara ödenmeyeceği ve ihale konusu malın teslim edilemeyeceği veya teslime hazır h</w:t>
            </w:r>
            <w:r w:rsidR="00C224B4" w:rsidRPr="00A23740">
              <w:rPr>
                <w:rFonts w:eastAsia="Times New Roman"/>
                <w:szCs w:val="24"/>
                <w:lang w:eastAsia="tr-TR"/>
              </w:rPr>
              <w:t>â</w:t>
            </w:r>
            <w:r w:rsidRPr="00A23740">
              <w:rPr>
                <w:rFonts w:eastAsia="Times New Roman"/>
                <w:szCs w:val="24"/>
                <w:lang w:eastAsia="tr-TR"/>
              </w:rPr>
              <w:t>le getirilemeyeceği durumlarda ise</w:t>
            </w:r>
            <w:r w:rsidR="00B21770" w:rsidRPr="00A23740">
              <w:rPr>
                <w:rFonts w:eastAsia="Times New Roman"/>
                <w:szCs w:val="24"/>
                <w:lang w:eastAsia="tr-TR"/>
              </w:rPr>
              <w:t>,</w:t>
            </w:r>
            <w:r w:rsidRPr="00A23740">
              <w:rPr>
                <w:rFonts w:eastAsia="Times New Roman"/>
                <w:szCs w:val="24"/>
                <w:lang w:eastAsia="tr-TR"/>
              </w:rPr>
              <w:t xml:space="preserve"> ihale</w:t>
            </w:r>
            <w:r w:rsidR="00B21770" w:rsidRPr="00A23740">
              <w:rPr>
                <w:rFonts w:eastAsia="Times New Roman"/>
                <w:szCs w:val="24"/>
                <w:lang w:eastAsia="tr-TR"/>
              </w:rPr>
              <w:t>nin</w:t>
            </w:r>
            <w:r w:rsidRPr="00A23740">
              <w:rPr>
                <w:rFonts w:eastAsia="Times New Roman"/>
                <w:szCs w:val="24"/>
                <w:lang w:eastAsia="tr-TR"/>
              </w:rPr>
              <w:t xml:space="preserve"> icra ve iflas müdürü tarafından kaldırılarak ihale bedelinin alıcıya ödeneceği belirtilmektedir. Fıkra, 2004 sayılı Kanunun 134 üncü maddesinin dokuzuncu fıkrasına karşılık gelmekte olup içerik olarak aynen benimsenmektedir. Ancak Taslakla, “ihalenin feshi” müessesesi “ihalenin iptali” şeklinde değiştirildiğinden, karışıklığa sebep olunmaması ve daha doğru bir ifade olduğu düşüncesiyle 2004 saylı Kanunda yer alan ihalenin icra </w:t>
            </w:r>
            <w:r w:rsidR="007D74DD" w:rsidRPr="00D60C1D">
              <w:rPr>
                <w:color w:val="000000"/>
              </w:rPr>
              <w:t>ve iflas</w:t>
            </w:r>
            <w:r w:rsidR="007D74DD" w:rsidRPr="00A23740">
              <w:rPr>
                <w:b/>
                <w:color w:val="385623"/>
              </w:rPr>
              <w:t xml:space="preserve"> </w:t>
            </w:r>
            <w:r w:rsidRPr="00A23740">
              <w:rPr>
                <w:rFonts w:eastAsia="Times New Roman"/>
                <w:szCs w:val="24"/>
                <w:lang w:eastAsia="tr-TR"/>
              </w:rPr>
              <w:t>müdürü tarafından “iptal” olunması ibaresi, hükümde “kaldırılır” şeklinde değiştirilmektedir.</w:t>
            </w:r>
          </w:p>
          <w:p w:rsidR="004C6191" w:rsidRPr="00A23740" w:rsidRDefault="004C6191" w:rsidP="009431FF">
            <w:pPr>
              <w:tabs>
                <w:tab w:val="left" w:pos="567"/>
              </w:tabs>
              <w:ind w:firstLine="709"/>
              <w:rPr>
                <w:rFonts w:eastAsia="Times New Roman"/>
                <w:szCs w:val="24"/>
                <w:lang w:eastAsia="tr-TR"/>
              </w:rPr>
            </w:pPr>
            <w:r w:rsidRPr="00A23740">
              <w:rPr>
                <w:rFonts w:eastAsia="Times New Roman"/>
                <w:szCs w:val="24"/>
                <w:lang w:eastAsia="tr-TR"/>
              </w:rPr>
              <w:t>Beşinci fıkrayla, ihalenin kesinleşmesi üzerine taşınırın ihale alıcısına teslimi veya sicile kayıtlı taşınır ya da taşınmaz malın ihale alıcısı adına tescilinin damga vergisi ve katma değer vergisinin yatırılmasından sonra gerçekleştirileceği düzenlenmektedir. İhale alıcısı, ihalenin kesinleşmesi üzerine icra</w:t>
            </w:r>
            <w:r w:rsidR="00B73523" w:rsidRPr="00A23740">
              <w:rPr>
                <w:b/>
                <w:color w:val="538135"/>
              </w:rPr>
              <w:t xml:space="preserve"> </w:t>
            </w:r>
            <w:r w:rsidR="00B73523" w:rsidRPr="00D60C1D">
              <w:rPr>
                <w:color w:val="000000"/>
              </w:rPr>
              <w:t>ve iflas</w:t>
            </w:r>
            <w:r w:rsidRPr="00A23740">
              <w:rPr>
                <w:rFonts w:eastAsia="Times New Roman"/>
                <w:szCs w:val="24"/>
                <w:lang w:eastAsia="tr-TR"/>
              </w:rPr>
              <w:t xml:space="preserve"> dairesine müracaatla katma değer vergisi beyannamesini düzenletecektir. Böylece, hükümde ihale bedeli ve gerekli vergilerin ödenmesinden sonra ihale alıcısının tescil ve teslim için başvurabileceği açıkça düzenlenerek ihale bedeli ile vergilerin ödenmesi de sağlanmakta ve uygulamaya paralel düzenleme yapılmaktadır. Fıkra, 2004 sayılı Kanunun 114 üncü maddesinin son fıkrasına karşılık gelmektedir.</w:t>
            </w:r>
          </w:p>
          <w:p w:rsidR="004C6191" w:rsidRPr="00A23740" w:rsidRDefault="004C6191" w:rsidP="009431FF">
            <w:pPr>
              <w:tabs>
                <w:tab w:val="left" w:pos="567"/>
              </w:tabs>
              <w:ind w:firstLine="709"/>
              <w:rPr>
                <w:rFonts w:eastAsia="Times New Roman"/>
                <w:szCs w:val="24"/>
                <w:lang w:eastAsia="tr-TR"/>
              </w:rPr>
            </w:pPr>
            <w:r w:rsidRPr="00A23740">
              <w:rPr>
                <w:rFonts w:eastAsia="Times New Roman"/>
                <w:szCs w:val="24"/>
                <w:lang w:eastAsia="tr-TR"/>
              </w:rPr>
              <w:t>Altıncı fıkrayla, ihale konusu malın alıcı adına tescil</w:t>
            </w:r>
            <w:r w:rsidRPr="00A23740">
              <w:rPr>
                <w:rFonts w:eastAsia="Times New Roman"/>
                <w:bCs/>
                <w:lang w:eastAsia="tr-TR"/>
              </w:rPr>
              <w:t>i</w:t>
            </w:r>
            <w:r w:rsidRPr="00A23740">
              <w:rPr>
                <w:rFonts w:eastAsia="Times New Roman"/>
                <w:szCs w:val="24"/>
                <w:lang w:eastAsia="tr-TR"/>
              </w:rPr>
              <w:t xml:space="preserve"> için ilgili sicile yapılacak tebligat veya taşınırın alıcıya teslimi</w:t>
            </w:r>
            <w:r w:rsidR="00B21770" w:rsidRPr="00A23740">
              <w:rPr>
                <w:rFonts w:eastAsia="Times New Roman"/>
                <w:szCs w:val="24"/>
                <w:lang w:eastAsia="tr-TR"/>
              </w:rPr>
              <w:t>nin</w:t>
            </w:r>
            <w:r w:rsidRPr="00A23740">
              <w:rPr>
                <w:rFonts w:eastAsia="Times New Roman"/>
                <w:szCs w:val="24"/>
                <w:lang w:eastAsia="tr-TR"/>
              </w:rPr>
              <w:t xml:space="preserve">, şikâyet için belirli sürenin geçmesinden veya şikâyet </w:t>
            </w:r>
            <w:r w:rsidRPr="00A23740">
              <w:rPr>
                <w:rFonts w:eastAsia="Times New Roman"/>
                <w:bCs/>
                <w:lang w:eastAsia="tr-TR"/>
              </w:rPr>
              <w:t>yapılmışsa</w:t>
            </w:r>
            <w:r w:rsidRPr="00A23740">
              <w:rPr>
                <w:rFonts w:eastAsia="Times New Roman"/>
                <w:szCs w:val="24"/>
                <w:lang w:eastAsia="tr-TR"/>
              </w:rPr>
              <w:t xml:space="preserve"> şikâyeti </w:t>
            </w:r>
            <w:r w:rsidRPr="00A23740">
              <w:rPr>
                <w:rFonts w:eastAsia="Times New Roman"/>
                <w:bCs/>
                <w:lang w:eastAsia="tr-TR"/>
              </w:rPr>
              <w:t>sonuçlandıran</w:t>
            </w:r>
            <w:r w:rsidRPr="00A23740">
              <w:rPr>
                <w:rFonts w:eastAsia="Times New Roman"/>
                <w:szCs w:val="24"/>
                <w:lang w:eastAsia="tr-TR"/>
              </w:rPr>
              <w:t xml:space="preserve"> kararın kesinleşmesinden sonra yapılacağı hükme bağlanmaktadır. Fıkra 2004 saylı Kanunun 134 üncü maddesinin on ikinci fıkrasına karşılık gelmektedir.</w:t>
            </w:r>
          </w:p>
          <w:p w:rsidR="008E67A1" w:rsidRPr="00A23740" w:rsidRDefault="004C6191" w:rsidP="009431FF">
            <w:pPr>
              <w:tabs>
                <w:tab w:val="left" w:pos="566"/>
              </w:tabs>
              <w:ind w:firstLine="709"/>
              <w:rPr>
                <w:rFonts w:eastAsia="Times New Roman"/>
                <w:szCs w:val="24"/>
                <w:lang w:eastAsia="tr-TR"/>
              </w:rPr>
            </w:pPr>
            <w:r w:rsidRPr="00A23740">
              <w:rPr>
                <w:rFonts w:eastAsia="Times New Roman"/>
                <w:szCs w:val="24"/>
                <w:lang w:eastAsia="tr-TR"/>
              </w:rPr>
              <w:t>Yedinci fıkrayla, bir yenilik olarak</w:t>
            </w:r>
            <w:r w:rsidR="00B21770" w:rsidRPr="00A23740">
              <w:rPr>
                <w:rFonts w:eastAsia="Times New Roman"/>
                <w:szCs w:val="24"/>
                <w:lang w:eastAsia="tr-TR"/>
              </w:rPr>
              <w:t>,</w:t>
            </w:r>
            <w:r w:rsidRPr="00A23740">
              <w:rPr>
                <w:rFonts w:eastAsia="Times New Roman"/>
                <w:szCs w:val="24"/>
                <w:lang w:eastAsia="tr-TR"/>
              </w:rPr>
              <w:t xml:space="preserve"> sicile kayıtlı mal ve hakların haczinde, hacizden önce ya da sonra sicile işlenen ihtiyati tedbir kararı</w:t>
            </w:r>
            <w:r w:rsidR="00B21770" w:rsidRPr="00A23740">
              <w:rPr>
                <w:rFonts w:eastAsia="Times New Roman"/>
                <w:szCs w:val="24"/>
                <w:lang w:eastAsia="tr-TR"/>
              </w:rPr>
              <w:t>nın</w:t>
            </w:r>
            <w:r w:rsidRPr="00A23740">
              <w:rPr>
                <w:rFonts w:eastAsia="Times New Roman"/>
                <w:szCs w:val="24"/>
                <w:lang w:eastAsia="tr-TR"/>
              </w:rPr>
              <w:t>, bu kararda açıkça belirtilmiş olmadıkça, cebr</w:t>
            </w:r>
            <w:r w:rsidR="00436506" w:rsidRPr="00A23740">
              <w:rPr>
                <w:rFonts w:eastAsia="Times New Roman"/>
                <w:szCs w:val="24"/>
                <w:lang w:eastAsia="tr-TR"/>
              </w:rPr>
              <w:t>î</w:t>
            </w:r>
            <w:r w:rsidRPr="00A23740">
              <w:rPr>
                <w:rFonts w:eastAsia="Times New Roman"/>
                <w:szCs w:val="24"/>
                <w:lang w:eastAsia="tr-TR"/>
              </w:rPr>
              <w:t xml:space="preserve"> icra satışına ve ihaleyle</w:t>
            </w:r>
            <w:r w:rsidR="00AD7D81" w:rsidRPr="00A23740">
              <w:rPr>
                <w:rFonts w:eastAsia="Times New Roman"/>
                <w:szCs w:val="24"/>
                <w:lang w:eastAsia="tr-TR"/>
              </w:rPr>
              <w:t xml:space="preserve"> geçen mülkiyetin resmî</w:t>
            </w:r>
            <w:r w:rsidRPr="00A23740">
              <w:rPr>
                <w:rFonts w:eastAsia="Times New Roman"/>
                <w:szCs w:val="24"/>
                <w:lang w:eastAsia="tr-TR"/>
              </w:rPr>
              <w:t xml:space="preserve"> sicile tesciline engel olmayacağı kabul edilmektedir. Hacizli bir mal ve hak için verilmiş ihtiyati tedbir kararının cebr</w:t>
            </w:r>
            <w:r w:rsidR="00436506" w:rsidRPr="00A23740">
              <w:rPr>
                <w:rFonts w:eastAsia="Times New Roman"/>
                <w:szCs w:val="24"/>
                <w:lang w:eastAsia="tr-TR"/>
              </w:rPr>
              <w:t>î</w:t>
            </w:r>
            <w:r w:rsidRPr="00A23740">
              <w:rPr>
                <w:rFonts w:eastAsia="Times New Roman"/>
                <w:szCs w:val="24"/>
                <w:lang w:eastAsia="tr-TR"/>
              </w:rPr>
              <w:t xml:space="preserve"> satışa veya malın mülkiyetinin ihaleden sonra sicile tesciline engel olup olmayacağı uygulamada bir kısım sorunlara ve görüş farklılıklarına sebep olmaktaydı. Hükümle, bu hususun çözümü ve uygulama kolaylığının sağlanması amaçlanmaktadır.</w:t>
            </w:r>
          </w:p>
          <w:p w:rsidR="004C6191" w:rsidRPr="00A23740" w:rsidRDefault="004C6191" w:rsidP="003F10EF">
            <w:pPr>
              <w:tabs>
                <w:tab w:val="left" w:pos="567"/>
              </w:tabs>
              <w:ind w:firstLine="709"/>
              <w:rPr>
                <w:rFonts w:eastAsia="Times New Roman"/>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bCs/>
                <w:lang w:eastAsia="tr-TR"/>
              </w:rPr>
              <w:t>Tescil için</w:t>
            </w:r>
            <w:r w:rsidRPr="00A23740">
              <w:rPr>
                <w:rFonts w:eastAsia="Times New Roman"/>
                <w:b/>
                <w:szCs w:val="24"/>
                <w:lang w:eastAsia="tr-TR"/>
              </w:rPr>
              <w:t xml:space="preserve"> tapuya </w:t>
            </w:r>
            <w:r w:rsidRPr="00A23740">
              <w:rPr>
                <w:rStyle w:val="KIRMIZIChar"/>
                <w:rFonts w:eastAsia="Calibri"/>
              </w:rPr>
              <w:t>tebliğ</w:t>
            </w:r>
            <w:r w:rsidRPr="00A23740">
              <w:rPr>
                <w:rFonts w:eastAsia="Times New Roman"/>
                <w:b/>
                <w:szCs w:val="24"/>
                <w:lang w:eastAsia="tr-TR"/>
              </w:rPr>
              <w:t xml:space="preserve"> </w:t>
            </w:r>
            <w:r w:rsidRPr="00A23740">
              <w:rPr>
                <w:rStyle w:val="KIRMIZIChar"/>
                <w:rFonts w:eastAsia="Calibri"/>
              </w:rPr>
              <w:t>ve zorla çıkarma:</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135 – (1)</w:t>
            </w:r>
            <w:r w:rsidRPr="00A23740">
              <w:rPr>
                <w:rFonts w:eastAsia="Times New Roman"/>
                <w:b/>
                <w:szCs w:val="24"/>
                <w:lang w:eastAsia="tr-TR"/>
              </w:rPr>
              <w:t xml:space="preserve"> </w:t>
            </w:r>
            <w:r w:rsidRPr="00A23740">
              <w:rPr>
                <w:rFonts w:eastAsia="Times New Roman"/>
                <w:szCs w:val="24"/>
                <w:lang w:eastAsia="tr-TR"/>
              </w:rPr>
              <w:t xml:space="preserve">Taşınmaz alıcıya ihale edilip bedeli alındıktan sonra alıcı </w:t>
            </w:r>
            <w:r w:rsidRPr="00A23740">
              <w:rPr>
                <w:rStyle w:val="KIRMIZIChar"/>
                <w:rFonts w:eastAsia="Calibri"/>
              </w:rPr>
              <w:t>namına</w:t>
            </w:r>
            <w:r w:rsidRPr="00A23740">
              <w:rPr>
                <w:rFonts w:eastAsia="Times New Roman"/>
                <w:szCs w:val="24"/>
                <w:lang w:eastAsia="tr-TR"/>
              </w:rPr>
              <w:t xml:space="preserve"> tescil edilmesi için </w:t>
            </w:r>
            <w:r w:rsidRPr="00A23740">
              <w:rPr>
                <w:rStyle w:val="KIRMIZIChar"/>
                <w:rFonts w:eastAsia="Calibri"/>
              </w:rPr>
              <w:t>(134)</w:t>
            </w:r>
            <w:r w:rsidRPr="00A23740">
              <w:rPr>
                <w:rFonts w:eastAsia="Times New Roman"/>
                <w:szCs w:val="24"/>
                <w:lang w:eastAsia="tr-TR"/>
              </w:rPr>
              <w:t xml:space="preserve"> üncü maddede </w:t>
            </w:r>
            <w:r w:rsidRPr="00A23740">
              <w:rPr>
                <w:rStyle w:val="KIRMIZIChar"/>
                <w:rFonts w:eastAsia="Calibri"/>
              </w:rPr>
              <w:t>yazılı müddete</w:t>
            </w:r>
            <w:r w:rsidRPr="00A23740">
              <w:rPr>
                <w:rFonts w:eastAsia="Times New Roman"/>
                <w:szCs w:val="24"/>
                <w:lang w:eastAsia="tr-TR"/>
              </w:rPr>
              <w:t xml:space="preserve"> </w:t>
            </w:r>
            <w:r w:rsidRPr="00A23740">
              <w:rPr>
                <w:rStyle w:val="KIRMIZIChar"/>
                <w:rFonts w:eastAsia="Calibri"/>
              </w:rPr>
              <w:t>riayet edilerek</w:t>
            </w:r>
            <w:r w:rsidRPr="00A23740">
              <w:rPr>
                <w:rFonts w:eastAsia="Times New Roman"/>
                <w:szCs w:val="24"/>
                <w:lang w:eastAsia="tr-TR"/>
              </w:rPr>
              <w:t xml:space="preserve"> tapuya müzekkere yazılır.</w:t>
            </w:r>
          </w:p>
          <w:p w:rsidR="00AA5C8C" w:rsidRPr="00A23740" w:rsidRDefault="00AA5C8C" w:rsidP="009431FF">
            <w:pPr>
              <w:tabs>
                <w:tab w:val="left" w:pos="567"/>
              </w:tabs>
              <w:rPr>
                <w:rFonts w:eastAsia="Times New Roman"/>
                <w:szCs w:val="24"/>
                <w:lang w:eastAsia="tr-TR"/>
              </w:rPr>
            </w:pPr>
          </w:p>
          <w:p w:rsidR="00AA5C8C" w:rsidRPr="00A23740" w:rsidRDefault="00477FF8" w:rsidP="009431FF">
            <w:pPr>
              <w:tabs>
                <w:tab w:val="left" w:pos="567"/>
              </w:tabs>
              <w:rPr>
                <w:rFonts w:eastAsia="Times New Roman"/>
                <w:szCs w:val="24"/>
                <w:lang w:eastAsia="tr-TR"/>
              </w:rPr>
            </w:pPr>
            <w:r w:rsidRPr="00A23740">
              <w:rPr>
                <w:rFonts w:eastAsia="Times New Roman"/>
                <w:b/>
                <w:strike/>
                <w:color w:val="FF0000"/>
                <w:szCs w:val="24"/>
                <w:lang w:eastAsia="tr-TR"/>
              </w:rPr>
              <w:t>(2) …</w:t>
            </w:r>
          </w:p>
          <w:p w:rsidR="00AA5C8C" w:rsidRPr="00A23740" w:rsidRDefault="00AA5C8C" w:rsidP="009431FF">
            <w:pPr>
              <w:rPr>
                <w:rFonts w:eastAsia="Times New Roman"/>
                <w:b/>
                <w:color w:val="FF0000"/>
                <w:szCs w:val="24"/>
                <w:lang w:eastAsia="x-none"/>
              </w:rPr>
            </w:pPr>
          </w:p>
          <w:p w:rsidR="00AA5C8C" w:rsidRPr="00A23740" w:rsidRDefault="00AA5C8C" w:rsidP="009431FF"/>
        </w:tc>
        <w:tc>
          <w:tcPr>
            <w:tcW w:w="2500" w:type="pct"/>
          </w:tcPr>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Taşınmaz ihalesinde</w:t>
            </w:r>
            <w:r w:rsidR="004C6191" w:rsidRPr="00A23740">
              <w:rPr>
                <w:rFonts w:eastAsia="Times New Roman"/>
                <w:b/>
                <w:szCs w:val="24"/>
                <w:lang w:eastAsia="tr-TR"/>
              </w:rPr>
              <w:t xml:space="preserve"> </w:t>
            </w:r>
            <w:r w:rsidR="00F42137" w:rsidRPr="00A23740">
              <w:rPr>
                <w:rFonts w:eastAsia="Times New Roman"/>
                <w:b/>
                <w:szCs w:val="24"/>
                <w:lang w:eastAsia="tr-TR"/>
              </w:rPr>
              <w:t xml:space="preserve">tescil </w:t>
            </w:r>
            <w:r w:rsidR="00F42137" w:rsidRPr="00A23740">
              <w:rPr>
                <w:rStyle w:val="MaviChar"/>
              </w:rPr>
              <w:t>ve</w:t>
            </w:r>
            <w:r w:rsidR="00F42137" w:rsidRPr="00A23740">
              <w:rPr>
                <w:rFonts w:eastAsia="Times New Roman"/>
                <w:b/>
                <w:szCs w:val="24"/>
                <w:lang w:eastAsia="tr-TR"/>
              </w:rPr>
              <w:t xml:space="preserve"> </w:t>
            </w:r>
            <w:r w:rsidR="00F42137" w:rsidRPr="00A23740">
              <w:rPr>
                <w:rStyle w:val="MaviChar"/>
              </w:rPr>
              <w:t>terkin</w:t>
            </w:r>
            <w:r w:rsidR="00F42137" w:rsidRPr="00A23740">
              <w:rPr>
                <w:rFonts w:eastAsia="Times New Roman"/>
                <w:b/>
                <w:szCs w:val="24"/>
                <w:lang w:eastAsia="tr-TR"/>
              </w:rPr>
              <w:t xml:space="preserve"> için </w:t>
            </w:r>
            <w:r w:rsidR="004C6191" w:rsidRPr="00A23740">
              <w:rPr>
                <w:rFonts w:eastAsia="Times New Roman"/>
                <w:b/>
                <w:szCs w:val="24"/>
                <w:lang w:eastAsia="tr-TR"/>
              </w:rPr>
              <w:t xml:space="preserve">tapuya </w:t>
            </w:r>
            <w:r w:rsidR="004C6191" w:rsidRPr="00A23740">
              <w:rPr>
                <w:rStyle w:val="MaviChar"/>
              </w:rPr>
              <w:t>bildirim</w:t>
            </w:r>
          </w:p>
          <w:p w:rsidR="00AA5C8C" w:rsidRPr="00A23740" w:rsidRDefault="00AA5C8C" w:rsidP="009431FF">
            <w:pPr>
              <w:tabs>
                <w:tab w:val="left" w:pos="567"/>
              </w:tabs>
              <w:rPr>
                <w:rFonts w:eastAsia="Times New Roman"/>
                <w:szCs w:val="24"/>
                <w:lang w:eastAsia="tr-TR"/>
              </w:rPr>
            </w:pPr>
            <w:r w:rsidRPr="00A23740">
              <w:rPr>
                <w:rFonts w:eastAsia="Times New Roman"/>
                <w:b/>
                <w:color w:val="0000FF"/>
                <w:szCs w:val="24"/>
                <w:lang w:eastAsia="tr-TR"/>
              </w:rPr>
              <w:t xml:space="preserve">MADDE </w:t>
            </w:r>
            <w:r w:rsidR="00880FBF" w:rsidRPr="00A23740">
              <w:rPr>
                <w:rFonts w:eastAsia="Times New Roman"/>
                <w:b/>
                <w:color w:val="0000FF"/>
                <w:szCs w:val="24"/>
                <w:lang w:eastAsia="tr-TR"/>
              </w:rPr>
              <w:t>25</w:t>
            </w:r>
            <w:r w:rsidR="00490C3E" w:rsidRPr="00A23740">
              <w:rPr>
                <w:rFonts w:eastAsia="Times New Roman"/>
                <w:b/>
                <w:color w:val="0000FF"/>
                <w:szCs w:val="24"/>
                <w:lang w:eastAsia="tr-TR"/>
              </w:rPr>
              <w:t>2</w:t>
            </w:r>
            <w:r w:rsidRPr="00A23740">
              <w:rPr>
                <w:rFonts w:eastAsia="Times New Roman"/>
                <w:b/>
                <w:color w:val="0000FF"/>
                <w:szCs w:val="24"/>
                <w:lang w:eastAsia="tr-TR"/>
              </w:rPr>
              <w:t xml:space="preserve">- (1) </w:t>
            </w:r>
            <w:r w:rsidRPr="00A23740">
              <w:rPr>
                <w:rFonts w:eastAsia="Times New Roman"/>
                <w:szCs w:val="24"/>
                <w:lang w:eastAsia="tr-TR"/>
              </w:rPr>
              <w:t xml:space="preserve">Taşınmaz alıcıya ihale edilip bedeli alındıktan sonra alıcı </w:t>
            </w:r>
            <w:r w:rsidRPr="00A23740">
              <w:rPr>
                <w:rFonts w:eastAsia="Times New Roman"/>
                <w:b/>
                <w:color w:val="0000FF"/>
                <w:szCs w:val="24"/>
                <w:lang w:eastAsia="tr-TR"/>
              </w:rPr>
              <w:t>adına</w:t>
            </w:r>
            <w:r w:rsidRPr="00A23740">
              <w:rPr>
                <w:rFonts w:eastAsia="Times New Roman"/>
                <w:szCs w:val="24"/>
                <w:lang w:eastAsia="tr-TR"/>
              </w:rPr>
              <w:t xml:space="preserve"> </w:t>
            </w:r>
            <w:r w:rsidR="00D6629C" w:rsidRPr="000D6BE5">
              <w:rPr>
                <w:rStyle w:val="MaviChar"/>
              </w:rPr>
              <w:t>tescilin gerçekleştirilmesi</w:t>
            </w:r>
            <w:r w:rsidR="00D6629C" w:rsidRPr="00A23740">
              <w:rPr>
                <w:rFonts w:eastAsia="Times New Roman"/>
                <w:szCs w:val="24"/>
                <w:lang w:eastAsia="tr-TR"/>
              </w:rPr>
              <w:t xml:space="preserve"> </w:t>
            </w:r>
            <w:r w:rsidRPr="00A23740">
              <w:rPr>
                <w:rFonts w:eastAsia="Times New Roman"/>
                <w:szCs w:val="24"/>
                <w:lang w:eastAsia="tr-TR"/>
              </w:rPr>
              <w:t>için</w:t>
            </w:r>
            <w:r w:rsidR="00E976ED" w:rsidRPr="00A23740">
              <w:rPr>
                <w:rFonts w:eastAsia="Times New Roman"/>
                <w:szCs w:val="24"/>
                <w:lang w:eastAsia="tr-TR"/>
              </w:rPr>
              <w:t xml:space="preserve"> </w:t>
            </w:r>
            <w:r w:rsidR="00E976ED" w:rsidRPr="000D6BE5">
              <w:rPr>
                <w:rStyle w:val="MaviChar"/>
              </w:rPr>
              <w:t>251 inci</w:t>
            </w:r>
            <w:r w:rsidRPr="00A23740">
              <w:rPr>
                <w:rFonts w:eastAsia="Times New Roman"/>
                <w:szCs w:val="24"/>
                <w:lang w:eastAsia="tr-TR"/>
              </w:rPr>
              <w:t xml:space="preserve"> madde</w:t>
            </w:r>
            <w:r w:rsidRPr="00A23740">
              <w:t>de</w:t>
            </w:r>
            <w:r w:rsidRPr="00A23740">
              <w:rPr>
                <w:rFonts w:eastAsia="Times New Roman"/>
                <w:b/>
                <w:color w:val="0000FF"/>
                <w:szCs w:val="24"/>
                <w:lang w:eastAsia="tr-TR"/>
              </w:rPr>
              <w:t xml:space="preserve">ki esaslara </w:t>
            </w:r>
            <w:r w:rsidRPr="00A23740">
              <w:rPr>
                <w:rStyle w:val="MaviChar"/>
              </w:rPr>
              <w:t>uyularak</w:t>
            </w:r>
            <w:r w:rsidRPr="00A23740">
              <w:t xml:space="preserve"> </w:t>
            </w:r>
            <w:r w:rsidRPr="00A23740">
              <w:rPr>
                <w:rFonts w:eastAsia="Times New Roman"/>
                <w:szCs w:val="24"/>
                <w:lang w:eastAsia="tr-TR"/>
              </w:rPr>
              <w:t xml:space="preserve">tapuya </w:t>
            </w:r>
            <w:r w:rsidR="00CC02A2" w:rsidRPr="000D6BE5">
              <w:rPr>
                <w:rStyle w:val="Balk1Char"/>
                <w:rFonts w:eastAsia="ヒラギノ明朝 Pro W3"/>
              </w:rPr>
              <w:t>bildirim yapılır</w:t>
            </w:r>
            <w:r w:rsidRPr="00D60C1D">
              <w:rPr>
                <w:rStyle w:val="Balk1Char"/>
                <w:rFonts w:eastAsia="Calibri"/>
                <w:b w:val="0"/>
                <w:color w:val="000000"/>
              </w:rPr>
              <w:t>.</w:t>
            </w:r>
          </w:p>
          <w:p w:rsidR="00F42137" w:rsidRPr="00A23740" w:rsidRDefault="00F42137" w:rsidP="009431FF">
            <w:pPr>
              <w:pStyle w:val="YEL"/>
              <w:rPr>
                <w:rStyle w:val="MaviChar"/>
                <w:b/>
                <w:bCs w:val="0"/>
              </w:rPr>
            </w:pPr>
          </w:p>
          <w:p w:rsidR="00AA5C8C" w:rsidRPr="00A23740" w:rsidRDefault="00F42137" w:rsidP="009431FF">
            <w:pPr>
              <w:tabs>
                <w:tab w:val="left" w:pos="567"/>
              </w:tabs>
              <w:rPr>
                <w:rFonts w:eastAsia="Times New Roman"/>
                <w:b/>
                <w:color w:val="0000FF"/>
                <w:szCs w:val="24"/>
                <w:lang w:eastAsia="tr-TR"/>
              </w:rPr>
            </w:pPr>
            <w:r w:rsidRPr="00A23740">
              <w:rPr>
                <w:rStyle w:val="MaviChar"/>
              </w:rPr>
              <w:t>(2</w:t>
            </w:r>
            <w:r w:rsidR="00AA5C8C" w:rsidRPr="00A23740">
              <w:rPr>
                <w:rStyle w:val="MaviChar"/>
              </w:rPr>
              <w:t>)</w:t>
            </w:r>
            <w:r w:rsidR="00AA5C8C" w:rsidRPr="00A23740">
              <w:rPr>
                <w:rFonts w:eastAsia="Times New Roman"/>
                <w:b/>
                <w:color w:val="0000FF"/>
                <w:szCs w:val="24"/>
                <w:lang w:eastAsia="tr-TR"/>
              </w:rPr>
              <w:t xml:space="preserve"> Bir taşınmazı paraya çeviren icra </w:t>
            </w:r>
            <w:r w:rsidR="00AA5C8C" w:rsidRPr="00A23740">
              <w:rPr>
                <w:rStyle w:val="MaviChar"/>
              </w:rPr>
              <w:t>ve iflas</w:t>
            </w:r>
            <w:r w:rsidR="00AA5C8C" w:rsidRPr="00A23740">
              <w:rPr>
                <w:rFonts w:eastAsia="Times New Roman"/>
                <w:b/>
                <w:color w:val="0000FF"/>
                <w:szCs w:val="24"/>
                <w:lang w:eastAsia="tr-TR"/>
              </w:rPr>
              <w:t xml:space="preserve"> dairesi</w:t>
            </w:r>
            <w:r w:rsidR="00932CB4" w:rsidRPr="00A23740">
              <w:rPr>
                <w:rStyle w:val="MaviChar"/>
              </w:rPr>
              <w:t>,</w:t>
            </w:r>
            <w:r w:rsidR="00AA5C8C" w:rsidRPr="00A23740">
              <w:rPr>
                <w:rFonts w:eastAsia="Times New Roman"/>
                <w:b/>
                <w:color w:val="0000FF"/>
                <w:szCs w:val="24"/>
                <w:lang w:eastAsia="tr-TR"/>
              </w:rPr>
              <w:t xml:space="preserve"> o taşınmaz üzerinde tesis edilmiş olup</w:t>
            </w:r>
            <w:r w:rsidR="00E976ED" w:rsidRPr="00A23740">
              <w:rPr>
                <w:rFonts w:eastAsia="Times New Roman"/>
                <w:b/>
                <w:color w:val="0000FF"/>
                <w:szCs w:val="24"/>
                <w:lang w:eastAsia="tr-TR"/>
              </w:rPr>
              <w:t xml:space="preserve"> </w:t>
            </w:r>
            <w:r w:rsidR="00E976ED" w:rsidRPr="000D6BE5">
              <w:rPr>
                <w:rStyle w:val="Balk1Char"/>
                <w:rFonts w:eastAsia="Calibri"/>
              </w:rPr>
              <w:t>250 nci</w:t>
            </w:r>
            <w:r w:rsidR="00AA5C8C" w:rsidRPr="00A23740">
              <w:rPr>
                <w:rFonts w:eastAsia="Times New Roman"/>
                <w:b/>
                <w:color w:val="0000FF"/>
                <w:szCs w:val="24"/>
                <w:lang w:eastAsia="tr-TR"/>
              </w:rPr>
              <w:t xml:space="preserve"> maddeye göre terkini gereken irtifak haklarına, taşınmaz </w:t>
            </w:r>
            <w:r w:rsidR="00EF0437" w:rsidRPr="000D6BE5">
              <w:rPr>
                <w:rStyle w:val="MaviChar"/>
              </w:rPr>
              <w:t>yüklerine</w:t>
            </w:r>
            <w:r w:rsidR="00F35AED" w:rsidRPr="00A23740">
              <w:rPr>
                <w:rStyle w:val="MaviChar"/>
              </w:rPr>
              <w:t>,</w:t>
            </w:r>
            <w:r w:rsidR="00AA5C8C" w:rsidRPr="00A23740">
              <w:rPr>
                <w:rFonts w:eastAsia="Times New Roman"/>
                <w:b/>
                <w:color w:val="0000FF"/>
                <w:szCs w:val="24"/>
                <w:lang w:eastAsia="tr-TR"/>
              </w:rPr>
              <w:t xml:space="preserve"> ipotek haklarına </w:t>
            </w:r>
            <w:r w:rsidR="00F35AED" w:rsidRPr="00A23740">
              <w:rPr>
                <w:rStyle w:val="MaviChar"/>
              </w:rPr>
              <w:t xml:space="preserve">ve </w:t>
            </w:r>
            <w:r w:rsidR="00E40FEF" w:rsidRPr="00A23740">
              <w:rPr>
                <w:rStyle w:val="MaviChar"/>
              </w:rPr>
              <w:t>kişisel haklara</w:t>
            </w:r>
            <w:r w:rsidR="00F35AED" w:rsidRPr="00A23740">
              <w:rPr>
                <w:rFonts w:eastAsia="Times New Roman"/>
                <w:b/>
                <w:color w:val="0000FF"/>
                <w:szCs w:val="24"/>
                <w:lang w:eastAsia="tr-TR"/>
              </w:rPr>
              <w:t xml:space="preserve"> </w:t>
            </w:r>
            <w:r w:rsidR="00AA5C8C" w:rsidRPr="00A23740">
              <w:rPr>
                <w:rFonts w:eastAsia="Times New Roman"/>
                <w:b/>
                <w:color w:val="0000FF"/>
                <w:szCs w:val="24"/>
                <w:lang w:eastAsia="tr-TR"/>
              </w:rPr>
              <w:t>dair kayıtların tapu sicilinden terkinlerini de yaptırır.</w:t>
            </w:r>
          </w:p>
          <w:p w:rsidR="00AF2D39" w:rsidRPr="00A23740" w:rsidRDefault="00AF2D39" w:rsidP="009431FF">
            <w:pPr>
              <w:pStyle w:val="KIRMIZI"/>
              <w:rPr>
                <w:strike w:val="0"/>
                <w:lang w:val="tr-TR"/>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4C6191" w:rsidRPr="00A23740" w:rsidRDefault="004C6191" w:rsidP="009431FF">
            <w:pPr>
              <w:tabs>
                <w:tab w:val="left" w:pos="567"/>
              </w:tabs>
              <w:ind w:firstLine="709"/>
              <w:rPr>
                <w:rFonts w:eastAsia="Times New Roman"/>
                <w:b/>
                <w:szCs w:val="24"/>
                <w:lang w:eastAsia="tr-TR"/>
              </w:rPr>
            </w:pPr>
          </w:p>
          <w:p w:rsidR="00CA1497" w:rsidRPr="00A23740" w:rsidRDefault="00F42137" w:rsidP="009431FF">
            <w:pPr>
              <w:tabs>
                <w:tab w:val="left" w:pos="567"/>
              </w:tabs>
              <w:ind w:firstLine="709"/>
              <w:rPr>
                <w:rFonts w:eastAsia="Times New Roman"/>
                <w:color w:val="000000"/>
                <w:szCs w:val="24"/>
                <w:lang w:eastAsia="tr-TR"/>
              </w:rPr>
            </w:pPr>
            <w:r w:rsidRPr="00A23740">
              <w:rPr>
                <w:rFonts w:eastAsia="Times New Roman"/>
                <w:b/>
                <w:bCs/>
                <w:color w:val="000000"/>
                <w:szCs w:val="24"/>
                <w:lang w:eastAsia="tr-TR"/>
              </w:rPr>
              <w:t xml:space="preserve">MADDE </w:t>
            </w:r>
            <w:r w:rsidR="00880FBF" w:rsidRPr="00A23740">
              <w:rPr>
                <w:rFonts w:eastAsia="Times New Roman"/>
                <w:b/>
                <w:bCs/>
                <w:color w:val="000000"/>
                <w:szCs w:val="24"/>
                <w:lang w:eastAsia="tr-TR"/>
              </w:rPr>
              <w:t>25</w:t>
            </w:r>
            <w:r w:rsidR="00490C3E" w:rsidRPr="00A23740">
              <w:rPr>
                <w:rFonts w:eastAsia="Times New Roman"/>
                <w:b/>
                <w:bCs/>
                <w:color w:val="000000"/>
                <w:szCs w:val="24"/>
                <w:lang w:eastAsia="tr-TR"/>
              </w:rPr>
              <w:t>2</w:t>
            </w:r>
            <w:r w:rsidR="00AA5C8C" w:rsidRPr="00A23740">
              <w:rPr>
                <w:rFonts w:eastAsia="Times New Roman"/>
                <w:b/>
                <w:bCs/>
                <w:color w:val="000000"/>
                <w:szCs w:val="24"/>
                <w:lang w:eastAsia="tr-TR"/>
              </w:rPr>
              <w:t xml:space="preserve">- </w:t>
            </w:r>
            <w:r w:rsidR="00CA1497" w:rsidRPr="00A23740">
              <w:rPr>
                <w:rFonts w:eastAsia="Times New Roman"/>
                <w:bCs/>
                <w:color w:val="000000"/>
                <w:szCs w:val="24"/>
                <w:lang w:eastAsia="tr-TR"/>
              </w:rPr>
              <w:t>Maddeyle,</w:t>
            </w:r>
            <w:r w:rsidR="00CA1497" w:rsidRPr="00A23740">
              <w:rPr>
                <w:rFonts w:eastAsia="Times New Roman"/>
                <w:b/>
                <w:bCs/>
                <w:color w:val="000000"/>
                <w:szCs w:val="24"/>
                <w:lang w:eastAsia="tr-TR"/>
              </w:rPr>
              <w:t xml:space="preserve"> </w:t>
            </w:r>
            <w:r w:rsidRPr="00A23740">
              <w:rPr>
                <w:rFonts w:eastAsia="Times New Roman"/>
                <w:color w:val="000000"/>
                <w:szCs w:val="24"/>
                <w:lang w:eastAsia="tr-TR"/>
              </w:rPr>
              <w:t>taşınmaz ihalesinde tescil ve terkin için tapuya bildirim</w:t>
            </w:r>
            <w:r w:rsidR="00AA5C8C" w:rsidRPr="00A23740">
              <w:rPr>
                <w:rFonts w:eastAsia="Times New Roman"/>
                <w:color w:val="000000"/>
                <w:szCs w:val="24"/>
                <w:lang w:eastAsia="tr-TR"/>
              </w:rPr>
              <w:t xml:space="preserve"> ilişkin hususlar düzenlenmektedir.</w:t>
            </w:r>
            <w:r w:rsidR="0007459B" w:rsidRPr="00A23740">
              <w:rPr>
                <w:rFonts w:eastAsia="Times New Roman"/>
                <w:color w:val="000000"/>
                <w:szCs w:val="24"/>
                <w:lang w:eastAsia="tr-TR"/>
              </w:rPr>
              <w:t xml:space="preserve"> </w:t>
            </w:r>
          </w:p>
          <w:p w:rsidR="008F2019" w:rsidRPr="00A23740" w:rsidRDefault="00CA1497" w:rsidP="009431FF">
            <w:pPr>
              <w:tabs>
                <w:tab w:val="left" w:pos="567"/>
              </w:tabs>
              <w:ind w:firstLine="709"/>
              <w:rPr>
                <w:rFonts w:eastAsia="Times New Roman"/>
                <w:szCs w:val="24"/>
                <w:lang w:eastAsia="tr-TR"/>
              </w:rPr>
            </w:pPr>
            <w:r w:rsidRPr="00A23740">
              <w:rPr>
                <w:rFonts w:eastAsia="Times New Roman"/>
                <w:color w:val="000000"/>
                <w:szCs w:val="24"/>
                <w:lang w:eastAsia="tr-TR"/>
              </w:rPr>
              <w:t xml:space="preserve">Birinci fıkrayla, </w:t>
            </w:r>
            <w:r w:rsidRPr="00A23740">
              <w:rPr>
                <w:rFonts w:eastAsia="Times New Roman"/>
                <w:szCs w:val="24"/>
                <w:lang w:eastAsia="tr-TR"/>
              </w:rPr>
              <w:t xml:space="preserve">taşınmaz alıcıya </w:t>
            </w:r>
            <w:r w:rsidRPr="00A23740">
              <w:rPr>
                <w:rFonts w:eastAsia="Times New Roman"/>
                <w:color w:val="000000"/>
                <w:szCs w:val="24"/>
                <w:lang w:eastAsia="tr-TR"/>
              </w:rPr>
              <w:t xml:space="preserve">ihale edilip bedeli alındıktan sonra taşınmazın alıcı adına tescil edilebilmesi için </w:t>
            </w:r>
            <w:r w:rsidR="0007459B" w:rsidRPr="00A23740">
              <w:rPr>
                <w:rFonts w:eastAsia="Times New Roman"/>
                <w:color w:val="000000"/>
                <w:szCs w:val="24"/>
                <w:lang w:eastAsia="tr-TR"/>
              </w:rPr>
              <w:t xml:space="preserve">Taslağın </w:t>
            </w:r>
            <w:r w:rsidR="000F0EF6" w:rsidRPr="00D60C1D">
              <w:rPr>
                <w:rStyle w:val="KonuBalChar"/>
                <w:rFonts w:eastAsia="Calibri"/>
                <w:b w:val="0"/>
                <w:color w:val="000000"/>
              </w:rPr>
              <w:t>25</w:t>
            </w:r>
            <w:r w:rsidR="000F0EF6" w:rsidRPr="00D60C1D">
              <w:rPr>
                <w:rStyle w:val="KonuBalChar"/>
                <w:rFonts w:eastAsia="Calibri"/>
                <w:b w:val="0"/>
                <w:color w:val="000000"/>
                <w:lang w:val="tr-TR"/>
              </w:rPr>
              <w:t>1</w:t>
            </w:r>
            <w:r w:rsidR="000F0EF6" w:rsidRPr="00D60C1D">
              <w:rPr>
                <w:rStyle w:val="KonuBalChar"/>
                <w:rFonts w:eastAsia="Calibri"/>
                <w:b w:val="0"/>
                <w:color w:val="000000"/>
              </w:rPr>
              <w:t xml:space="preserve"> </w:t>
            </w:r>
            <w:r w:rsidR="000F0EF6" w:rsidRPr="00D60C1D">
              <w:rPr>
                <w:rStyle w:val="KonuBalChar"/>
                <w:rFonts w:eastAsia="Calibri"/>
                <w:b w:val="0"/>
                <w:color w:val="000000"/>
                <w:lang w:val="tr-TR"/>
              </w:rPr>
              <w:t>i</w:t>
            </w:r>
            <w:r w:rsidR="000F0EF6" w:rsidRPr="00D60C1D">
              <w:rPr>
                <w:rStyle w:val="KonuBalChar"/>
                <w:rFonts w:eastAsia="Calibri"/>
                <w:b w:val="0"/>
                <w:color w:val="000000"/>
              </w:rPr>
              <w:t>nci</w:t>
            </w:r>
            <w:r w:rsidRPr="00A23740">
              <w:rPr>
                <w:rFonts w:eastAsia="Times New Roman"/>
                <w:color w:val="000000"/>
                <w:szCs w:val="24"/>
                <w:lang w:eastAsia="tr-TR"/>
              </w:rPr>
              <w:t xml:space="preserve"> madde</w:t>
            </w:r>
            <w:r w:rsidR="0007459B" w:rsidRPr="00A23740">
              <w:rPr>
                <w:rFonts w:eastAsia="Times New Roman"/>
                <w:color w:val="000000"/>
                <w:szCs w:val="24"/>
                <w:lang w:eastAsia="tr-TR"/>
              </w:rPr>
              <w:t>sin</w:t>
            </w:r>
            <w:r w:rsidRPr="00A23740">
              <w:rPr>
                <w:rFonts w:eastAsia="Times New Roman"/>
                <w:color w:val="000000"/>
                <w:szCs w:val="24"/>
                <w:lang w:eastAsia="tr-TR"/>
              </w:rPr>
              <w:t xml:space="preserve">deki esaslara </w:t>
            </w:r>
            <w:r w:rsidRPr="00A23740">
              <w:rPr>
                <w:rFonts w:eastAsia="Times New Roman"/>
                <w:bCs/>
                <w:color w:val="000000"/>
                <w:lang w:eastAsia="tr-TR"/>
              </w:rPr>
              <w:t>uyularak</w:t>
            </w:r>
            <w:r w:rsidRPr="00A23740">
              <w:rPr>
                <w:rFonts w:eastAsia="Times New Roman"/>
                <w:color w:val="000000"/>
                <w:szCs w:val="24"/>
                <w:lang w:eastAsia="tr-TR"/>
              </w:rPr>
              <w:t xml:space="preserve"> tapuya müzekkere yazılacağı düzenlenmektedir. </w:t>
            </w:r>
            <w:r w:rsidR="008F2019" w:rsidRPr="00A23740">
              <w:rPr>
                <w:rFonts w:eastAsia="Times New Roman"/>
                <w:color w:val="000000"/>
                <w:szCs w:val="24"/>
                <w:lang w:eastAsia="tr-TR"/>
              </w:rPr>
              <w:t>E</w:t>
            </w:r>
            <w:r w:rsidRPr="00A23740">
              <w:rPr>
                <w:rFonts w:eastAsia="Times New Roman"/>
                <w:color w:val="000000"/>
                <w:szCs w:val="24"/>
                <w:lang w:eastAsia="tr-TR"/>
              </w:rPr>
              <w:t xml:space="preserve">ski düzenlemenin </w:t>
            </w:r>
            <w:r w:rsidRPr="00A23740">
              <w:rPr>
                <w:rFonts w:eastAsia="Times New Roman"/>
                <w:szCs w:val="24"/>
                <w:lang w:eastAsia="tr-TR"/>
              </w:rPr>
              <w:t xml:space="preserve">büyük oranda korunduğu </w:t>
            </w:r>
            <w:r w:rsidR="0007459B" w:rsidRPr="00A23740">
              <w:rPr>
                <w:rFonts w:eastAsia="Times New Roman"/>
                <w:szCs w:val="24"/>
                <w:lang w:eastAsia="tr-TR"/>
              </w:rPr>
              <w:t>bu fıkrada</w:t>
            </w:r>
            <w:r w:rsidRPr="00A23740">
              <w:rPr>
                <w:rFonts w:eastAsia="Times New Roman"/>
                <w:szCs w:val="24"/>
                <w:lang w:eastAsia="tr-TR"/>
              </w:rPr>
              <w:t>, ihaleye konu taşınmazın alıcıya ihale edilip bedelinin tahsil edilmesinden sonra alıcı adına tescil edilmesi için</w:t>
            </w:r>
            <w:r w:rsidR="00B1644A" w:rsidRPr="00A23740">
              <w:rPr>
                <w:rFonts w:eastAsia="Times New Roman"/>
                <w:szCs w:val="24"/>
                <w:lang w:eastAsia="tr-TR"/>
              </w:rPr>
              <w:t>,</w:t>
            </w:r>
            <w:r w:rsidRPr="00A23740">
              <w:rPr>
                <w:rFonts w:eastAsia="Times New Roman"/>
                <w:szCs w:val="24"/>
                <w:lang w:eastAsia="tr-TR"/>
              </w:rPr>
              <w:t xml:space="preserve"> ihalenin kesinleşmesi ve kesinleşmesinden sonra damga ve ka</w:t>
            </w:r>
            <w:r w:rsidR="0007459B" w:rsidRPr="00A23740">
              <w:rPr>
                <w:rFonts w:eastAsia="Times New Roman"/>
                <w:szCs w:val="24"/>
                <w:lang w:eastAsia="tr-TR"/>
              </w:rPr>
              <w:t>tma değer vergilerinin ödenmesi üzerine</w:t>
            </w:r>
            <w:r w:rsidRPr="00A23740">
              <w:rPr>
                <w:rFonts w:eastAsia="Times New Roman"/>
                <w:szCs w:val="24"/>
                <w:lang w:eastAsia="tr-TR"/>
              </w:rPr>
              <w:t xml:space="preserve"> tapuya müzekkere yazılması gerekir.</w:t>
            </w:r>
            <w:r w:rsidR="00F42137" w:rsidRPr="00A23740">
              <w:rPr>
                <w:rFonts w:eastAsia="Times New Roman"/>
                <w:color w:val="000000"/>
                <w:szCs w:val="24"/>
                <w:lang w:eastAsia="tr-TR"/>
              </w:rPr>
              <w:t xml:space="preserve"> Fıkra, 2004 sayılı Kanunun 135 inci maddesinin birinci fıkrasına karşılık gelmektedir.</w:t>
            </w:r>
          </w:p>
          <w:p w:rsidR="00AA5C8C" w:rsidRPr="00A23740" w:rsidRDefault="00F42137" w:rsidP="009431FF">
            <w:pPr>
              <w:tabs>
                <w:tab w:val="left" w:pos="567"/>
              </w:tabs>
              <w:ind w:firstLine="709"/>
              <w:rPr>
                <w:rFonts w:eastAsia="Times New Roman"/>
                <w:szCs w:val="24"/>
                <w:lang w:eastAsia="tr-TR"/>
              </w:rPr>
            </w:pPr>
            <w:r w:rsidRPr="00A23740">
              <w:rPr>
                <w:rFonts w:eastAsia="Times New Roman"/>
                <w:szCs w:val="24"/>
                <w:lang w:eastAsia="tr-TR"/>
              </w:rPr>
              <w:t>İkinci</w:t>
            </w:r>
            <w:r w:rsidR="00FC1B1E" w:rsidRPr="00A23740">
              <w:rPr>
                <w:rFonts w:eastAsia="Times New Roman"/>
                <w:szCs w:val="24"/>
                <w:lang w:eastAsia="tr-TR"/>
              </w:rPr>
              <w:t xml:space="preserve"> fıkrayla, bir yenilik olarak</w:t>
            </w:r>
            <w:r w:rsidR="00B1644A" w:rsidRPr="00A23740">
              <w:rPr>
                <w:rFonts w:eastAsia="Times New Roman"/>
                <w:szCs w:val="24"/>
                <w:lang w:eastAsia="tr-TR"/>
              </w:rPr>
              <w:t>,</w:t>
            </w:r>
            <w:r w:rsidR="00FC1B1E" w:rsidRPr="00A23740">
              <w:rPr>
                <w:rFonts w:eastAsia="Times New Roman"/>
                <w:szCs w:val="24"/>
                <w:lang w:eastAsia="tr-TR"/>
              </w:rPr>
              <w:t xml:space="preserve"> ihale konusu taşınmaz üzerinde bulunan ve Taslağın “Sonradan tesis edilen taşınmaz yükleri ile ipotekli veya hacizli taşınmazların kiralanmasında uygulanacak esaslar” başlıklı </w:t>
            </w:r>
            <w:r w:rsidR="000F0EF6" w:rsidRPr="00D60C1D">
              <w:rPr>
                <w:rStyle w:val="KonuBalChar"/>
                <w:rFonts w:eastAsia="Calibri"/>
                <w:b w:val="0"/>
                <w:color w:val="000000"/>
              </w:rPr>
              <w:t>250 nci</w:t>
            </w:r>
            <w:r w:rsidR="00FC1B1E" w:rsidRPr="00A23740">
              <w:rPr>
                <w:rFonts w:eastAsia="Times New Roman"/>
                <w:szCs w:val="24"/>
                <w:lang w:eastAsia="tr-TR"/>
              </w:rPr>
              <w:t xml:space="preserve"> maddesine göre terkini gereken irtifak haklarına, taşınmaz mükellefiyetlerine ve ipotek haklarına dair kayıtların tapu sicilinden terkin işlemlerinin de ilgililere kolaylık sağlanması açısından icra ve ifl</w:t>
            </w:r>
            <w:r w:rsidR="00656C77" w:rsidRPr="00A23740">
              <w:rPr>
                <w:rFonts w:eastAsia="Times New Roman"/>
                <w:szCs w:val="24"/>
                <w:lang w:eastAsia="tr-TR"/>
              </w:rPr>
              <w:t>a</w:t>
            </w:r>
            <w:r w:rsidR="00FC1B1E" w:rsidRPr="00A23740">
              <w:rPr>
                <w:rFonts w:eastAsia="Times New Roman"/>
                <w:szCs w:val="24"/>
                <w:lang w:eastAsia="tr-TR"/>
              </w:rPr>
              <w:t xml:space="preserve">s dairesi tarafından yaptırılacağı </w:t>
            </w:r>
            <w:r w:rsidR="008619D8" w:rsidRPr="00A23740">
              <w:rPr>
                <w:rFonts w:eastAsia="Times New Roman"/>
                <w:szCs w:val="24"/>
                <w:lang w:eastAsia="tr-TR"/>
              </w:rPr>
              <w:t>düzenlenmektedir</w:t>
            </w:r>
            <w:r w:rsidR="00FC1B1E" w:rsidRPr="00A23740">
              <w:rPr>
                <w:rFonts w:eastAsia="Times New Roman"/>
                <w:szCs w:val="24"/>
                <w:lang w:eastAsia="tr-TR"/>
              </w:rPr>
              <w:t>.</w:t>
            </w:r>
            <w:r w:rsidR="00FA6E8E" w:rsidRPr="00A23740">
              <w:rPr>
                <w:rFonts w:eastAsia="Times New Roman"/>
                <w:szCs w:val="24"/>
                <w:lang w:eastAsia="tr-TR"/>
              </w:rPr>
              <w:t xml:space="preserve"> Hükümde yer alan “kişisel haklar” ile başta</w:t>
            </w:r>
            <w:r w:rsidR="00FA6E8E" w:rsidRPr="00A23740">
              <w:rPr>
                <w:rStyle w:val="KIRMIZIChar"/>
                <w:rFonts w:eastAsia="Calibri"/>
                <w:strike w:val="0"/>
              </w:rPr>
              <w:t xml:space="preserve"> </w:t>
            </w:r>
            <w:r w:rsidR="00FA6E8E" w:rsidRPr="00A23740">
              <w:rPr>
                <w:rFonts w:eastAsia="Times New Roman"/>
                <w:szCs w:val="24"/>
                <w:lang w:eastAsia="tr-TR"/>
              </w:rPr>
              <w:t>kira sözleşmesi olmak üzere tapu siciline şerh edilmiş kişisel haklar kastedilmektedir.</w:t>
            </w:r>
          </w:p>
          <w:p w:rsidR="00AA5C8C" w:rsidRPr="00A23740" w:rsidRDefault="00AA5C8C" w:rsidP="003F10EF">
            <w:pPr>
              <w:tabs>
                <w:tab w:val="left" w:pos="567"/>
              </w:tabs>
              <w:ind w:firstLine="709"/>
              <w:rPr>
                <w:rFonts w:eastAsia="Times New Roman"/>
                <w:b/>
                <w:color w:val="0000FF"/>
                <w:szCs w:val="24"/>
                <w:lang w:eastAsia="tr-TR"/>
              </w:rPr>
            </w:pPr>
          </w:p>
        </w:tc>
      </w:tr>
      <w:tr w:rsidR="00477FF8" w:rsidRPr="00A23740" w:rsidTr="009431FF">
        <w:tblPrEx>
          <w:tblLook w:val="01E0" w:firstRow="1" w:lastRow="1" w:firstColumn="1" w:lastColumn="1" w:noHBand="0" w:noVBand="0"/>
        </w:tblPrEx>
        <w:tc>
          <w:tcPr>
            <w:tcW w:w="2500" w:type="pct"/>
          </w:tcPr>
          <w:p w:rsidR="00477FF8" w:rsidRPr="00A23740" w:rsidRDefault="00477FF8" w:rsidP="009431FF">
            <w:pPr>
              <w:pStyle w:val="KIRMIZI"/>
            </w:pPr>
            <w:r w:rsidRPr="00A23740">
              <w:t xml:space="preserve">Tescil için tapuya </w:t>
            </w:r>
            <w:r w:rsidRPr="00A23740">
              <w:rPr>
                <w:bCs w:val="0"/>
              </w:rPr>
              <w:t>tebliğ</w:t>
            </w:r>
            <w:r w:rsidRPr="00A23740">
              <w:t xml:space="preserve"> ve zorla çıkarma:</w:t>
            </w:r>
          </w:p>
          <w:p w:rsidR="00477FF8" w:rsidRPr="00A23740" w:rsidRDefault="00477FF8" w:rsidP="009431FF">
            <w:pPr>
              <w:tabs>
                <w:tab w:val="left" w:pos="567"/>
              </w:tabs>
              <w:rPr>
                <w:rFonts w:eastAsia="Times New Roman"/>
                <w:szCs w:val="24"/>
                <w:lang w:eastAsia="tr-TR"/>
              </w:rPr>
            </w:pPr>
            <w:r w:rsidRPr="00A23740">
              <w:rPr>
                <w:rStyle w:val="KIRMIZIChar"/>
                <w:rFonts w:eastAsia="Calibri"/>
              </w:rPr>
              <w:t>Madde 135 – (1)</w:t>
            </w:r>
            <w:r w:rsidR="00F42137" w:rsidRPr="00A23740">
              <w:rPr>
                <w:rStyle w:val="KIRMIZIChar"/>
                <w:rFonts w:eastAsia="Calibri"/>
              </w:rPr>
              <w:t xml:space="preserve"> …</w:t>
            </w:r>
            <w:r w:rsidRPr="00A23740">
              <w:rPr>
                <w:rFonts w:eastAsia="Times New Roman"/>
                <w:b/>
                <w:szCs w:val="24"/>
                <w:lang w:eastAsia="tr-TR"/>
              </w:rPr>
              <w:t xml:space="preserve"> </w:t>
            </w:r>
          </w:p>
          <w:p w:rsidR="00477FF8" w:rsidRPr="00A23740" w:rsidRDefault="00477FF8" w:rsidP="009431FF">
            <w:pPr>
              <w:tabs>
                <w:tab w:val="left" w:pos="567"/>
              </w:tabs>
              <w:rPr>
                <w:rFonts w:eastAsia="Times New Roman"/>
                <w:szCs w:val="24"/>
                <w:lang w:eastAsia="tr-TR"/>
              </w:rPr>
            </w:pPr>
            <w:r w:rsidRPr="00A23740">
              <w:rPr>
                <w:rFonts w:eastAsia="Times New Roman"/>
                <w:b/>
                <w:strike/>
                <w:color w:val="FF0000"/>
                <w:szCs w:val="24"/>
                <w:lang w:eastAsia="tr-TR"/>
              </w:rPr>
              <w:t>(2) (Değişik 6/6/1985 - 3222/17 md.)</w:t>
            </w:r>
            <w:r w:rsidRPr="00A23740">
              <w:rPr>
                <w:rFonts w:eastAsia="Times New Roman"/>
                <w:szCs w:val="24"/>
                <w:lang w:eastAsia="tr-TR"/>
              </w:rPr>
              <w:t xml:space="preserve"> Taşınmaz borçlu </w:t>
            </w:r>
            <w:r w:rsidRPr="00A23740">
              <w:rPr>
                <w:rStyle w:val="KIRMIZIChar"/>
                <w:rFonts w:eastAsia="Calibri"/>
              </w:rPr>
              <w:t>tarafından</w:t>
            </w:r>
            <w:r w:rsidRPr="00A23740">
              <w:rPr>
                <w:rFonts w:eastAsia="Times New Roman"/>
                <w:szCs w:val="24"/>
                <w:lang w:eastAsia="tr-TR"/>
              </w:rPr>
              <w:t xml:space="preserve"> veya hacizden </w:t>
            </w:r>
            <w:r w:rsidRPr="00A23740">
              <w:rPr>
                <w:rStyle w:val="KIRMIZIChar"/>
                <w:rFonts w:eastAsia="Calibri"/>
              </w:rPr>
              <w:t>evvelki bir</w:t>
            </w:r>
            <w:r w:rsidRPr="00A23740">
              <w:rPr>
                <w:rFonts w:eastAsia="Times New Roman"/>
                <w:szCs w:val="24"/>
                <w:lang w:eastAsia="tr-TR"/>
              </w:rPr>
              <w:t xml:space="preserve"> tarihte yapıl</w:t>
            </w:r>
            <w:r w:rsidRPr="00A23740">
              <w:rPr>
                <w:rStyle w:val="KIRMIZIChar"/>
                <w:rFonts w:eastAsia="Calibri"/>
              </w:rPr>
              <w:t>dığı</w:t>
            </w:r>
            <w:r w:rsidRPr="00A23740">
              <w:rPr>
                <w:rFonts w:eastAsia="Times New Roman"/>
                <w:szCs w:val="24"/>
                <w:lang w:eastAsia="tr-TR"/>
              </w:rPr>
              <w:t xml:space="preserve"> resmi bir belge </w:t>
            </w:r>
            <w:r w:rsidRPr="00A23740">
              <w:rPr>
                <w:rStyle w:val="KIRMIZIChar"/>
                <w:rFonts w:eastAsia="Calibri"/>
              </w:rPr>
              <w:t>ile belgelenmiş</w:t>
            </w:r>
            <w:r w:rsidRPr="00A23740">
              <w:rPr>
                <w:rFonts w:eastAsia="Times New Roman"/>
                <w:szCs w:val="24"/>
                <w:lang w:eastAsia="tr-TR"/>
              </w:rPr>
              <w:t xml:space="preserve"> bir </w:t>
            </w:r>
            <w:r w:rsidRPr="00A23740">
              <w:rPr>
                <w:rFonts w:eastAsia="Times New Roman"/>
                <w:b/>
                <w:strike/>
                <w:color w:val="FF0000"/>
                <w:szCs w:val="24"/>
                <w:lang w:eastAsia="tr-TR"/>
              </w:rPr>
              <w:t>akte</w:t>
            </w:r>
            <w:r w:rsidRPr="00A23740">
              <w:rPr>
                <w:rFonts w:eastAsia="Times New Roman"/>
                <w:szCs w:val="24"/>
                <w:lang w:eastAsia="tr-TR"/>
              </w:rPr>
              <w:t xml:space="preserve"> dayanma</w:t>
            </w:r>
            <w:r w:rsidRPr="00A23740">
              <w:rPr>
                <w:rStyle w:val="KIRMIZIChar"/>
                <w:rFonts w:eastAsia="Calibri"/>
              </w:rPr>
              <w:t>yarak başkaları</w:t>
            </w:r>
            <w:r w:rsidRPr="00A23740">
              <w:rPr>
                <w:rFonts w:eastAsia="Times New Roman"/>
                <w:szCs w:val="24"/>
                <w:lang w:eastAsia="tr-TR"/>
              </w:rPr>
              <w:t xml:space="preserve"> tarafından işgal edil</w:t>
            </w:r>
            <w:r w:rsidRPr="00A23740">
              <w:rPr>
                <w:rStyle w:val="KIRMIZIChar"/>
                <w:rFonts w:eastAsia="Calibri"/>
              </w:rPr>
              <w:t xml:space="preserve">mekte ise onbeş </w:t>
            </w:r>
            <w:r w:rsidRPr="00A23740">
              <w:rPr>
                <w:rFonts w:eastAsia="Times New Roman"/>
                <w:b/>
                <w:strike/>
                <w:color w:val="FF0000"/>
                <w:szCs w:val="24"/>
                <w:lang w:eastAsia="tr-TR"/>
              </w:rPr>
              <w:t>gün</w:t>
            </w:r>
            <w:r w:rsidRPr="00A23740">
              <w:rPr>
                <w:rFonts w:eastAsia="Times New Roman"/>
                <w:szCs w:val="24"/>
                <w:lang w:eastAsia="tr-TR"/>
              </w:rPr>
              <w:t xml:space="preserve"> içinde tahliyesi için borçluya veya </w:t>
            </w:r>
            <w:r w:rsidRPr="00A23740">
              <w:rPr>
                <w:rStyle w:val="KIRMIZIChar"/>
                <w:rFonts w:eastAsia="Calibri"/>
              </w:rPr>
              <w:t>işgal edene</w:t>
            </w:r>
            <w:r w:rsidRPr="00A23740">
              <w:rPr>
                <w:rFonts w:eastAsia="Times New Roman"/>
                <w:szCs w:val="24"/>
                <w:lang w:eastAsia="tr-TR"/>
              </w:rPr>
              <w:t xml:space="preserve"> bir tahliye emri tebliğ edilir. Bu </w:t>
            </w:r>
            <w:r w:rsidRPr="00A23740">
              <w:rPr>
                <w:rFonts w:eastAsia="Times New Roman"/>
                <w:b/>
                <w:strike/>
                <w:color w:val="FF0000"/>
                <w:szCs w:val="24"/>
                <w:lang w:eastAsia="tr-TR"/>
              </w:rPr>
              <w:t>müddet</w:t>
            </w:r>
            <w:r w:rsidRPr="00A23740">
              <w:rPr>
                <w:rFonts w:eastAsia="Times New Roman"/>
                <w:szCs w:val="24"/>
                <w:lang w:eastAsia="tr-TR"/>
              </w:rPr>
              <w:t xml:space="preserve"> içinde tahliye edilmezse zorla çıkarılıp taşınmaz alıcıya teslim olunur.</w:t>
            </w:r>
          </w:p>
          <w:p w:rsidR="00477FF8" w:rsidRPr="00A23740" w:rsidRDefault="00477FF8" w:rsidP="009431FF">
            <w:pPr>
              <w:tabs>
                <w:tab w:val="left" w:pos="567"/>
              </w:tabs>
              <w:rPr>
                <w:rStyle w:val="MaviChar"/>
              </w:rPr>
            </w:pPr>
          </w:p>
          <w:p w:rsidR="00477FF8" w:rsidRPr="00A23740" w:rsidRDefault="00477FF8" w:rsidP="009431FF">
            <w:pPr>
              <w:rPr>
                <w:rFonts w:eastAsia="Times New Roman"/>
                <w:b/>
                <w:color w:val="FF0000"/>
                <w:szCs w:val="24"/>
                <w:lang w:eastAsia="x-none"/>
              </w:rPr>
            </w:pPr>
          </w:p>
          <w:p w:rsidR="00477FF8" w:rsidRPr="00A23740" w:rsidRDefault="00477FF8" w:rsidP="009431FF">
            <w:pPr>
              <w:rPr>
                <w:rFonts w:eastAsia="Times New Roman"/>
                <w:b/>
                <w:color w:val="FF0000"/>
                <w:szCs w:val="24"/>
                <w:lang w:eastAsia="x-none"/>
              </w:rPr>
            </w:pPr>
          </w:p>
          <w:p w:rsidR="00477FF8" w:rsidRPr="00A23740" w:rsidRDefault="00477FF8" w:rsidP="009431FF">
            <w:pPr>
              <w:rPr>
                <w:rFonts w:eastAsia="Times New Roman"/>
                <w:b/>
                <w:color w:val="FF0000"/>
                <w:szCs w:val="24"/>
                <w:lang w:eastAsia="x-none"/>
              </w:rPr>
            </w:pPr>
          </w:p>
          <w:p w:rsidR="00477FF8" w:rsidRPr="00A23740" w:rsidRDefault="00477FF8" w:rsidP="009431FF">
            <w:pPr>
              <w:rPr>
                <w:rFonts w:eastAsia="Times New Roman"/>
                <w:b/>
                <w:color w:val="FF0000"/>
                <w:szCs w:val="24"/>
                <w:lang w:eastAsia="x-none"/>
              </w:rPr>
            </w:pPr>
          </w:p>
          <w:p w:rsidR="00477FF8" w:rsidRPr="00A23740" w:rsidRDefault="00477FF8" w:rsidP="009431FF">
            <w:pPr>
              <w:rPr>
                <w:rFonts w:eastAsia="Times New Roman"/>
                <w:b/>
                <w:color w:val="FF0000"/>
                <w:szCs w:val="24"/>
                <w:lang w:eastAsia="x-none"/>
              </w:rPr>
            </w:pPr>
          </w:p>
          <w:p w:rsidR="00477FF8" w:rsidRPr="00A23740" w:rsidRDefault="00477FF8" w:rsidP="009431FF">
            <w:pPr>
              <w:rPr>
                <w:rFonts w:eastAsia="Times New Roman"/>
                <w:b/>
                <w:color w:val="FF0000"/>
                <w:szCs w:val="24"/>
                <w:lang w:eastAsia="x-none"/>
              </w:rPr>
            </w:pPr>
          </w:p>
          <w:p w:rsidR="00477FF8" w:rsidRPr="00A23740" w:rsidRDefault="00477FF8" w:rsidP="009431FF">
            <w:pPr>
              <w:rPr>
                <w:rFonts w:eastAsia="Times New Roman"/>
                <w:b/>
                <w:color w:val="FF0000"/>
                <w:szCs w:val="24"/>
                <w:lang w:eastAsia="x-none"/>
              </w:rPr>
            </w:pPr>
          </w:p>
          <w:p w:rsidR="00F42137" w:rsidRPr="00A23740" w:rsidRDefault="00F42137" w:rsidP="009431FF">
            <w:pPr>
              <w:rPr>
                <w:rFonts w:eastAsia="Times New Roman"/>
                <w:b/>
                <w:color w:val="FF0000"/>
                <w:szCs w:val="24"/>
                <w:lang w:eastAsia="x-none"/>
              </w:rPr>
            </w:pPr>
          </w:p>
          <w:p w:rsidR="00F42137" w:rsidRPr="00A23740" w:rsidRDefault="00F42137" w:rsidP="009431FF">
            <w:pPr>
              <w:rPr>
                <w:rFonts w:eastAsia="Times New Roman"/>
                <w:b/>
                <w:color w:val="FF0000"/>
                <w:szCs w:val="24"/>
                <w:lang w:eastAsia="x-none"/>
              </w:rPr>
            </w:pPr>
          </w:p>
          <w:p w:rsidR="00477FF8" w:rsidRPr="00A23740" w:rsidRDefault="00477FF8" w:rsidP="009431FF">
            <w:pPr>
              <w:rPr>
                <w:rFonts w:eastAsia="Times New Roman"/>
                <w:b/>
                <w:color w:val="FF0000"/>
                <w:szCs w:val="24"/>
                <w:lang w:eastAsia="x-none"/>
              </w:rPr>
            </w:pPr>
          </w:p>
          <w:p w:rsidR="00477FF8" w:rsidRDefault="002A258D" w:rsidP="009431FF">
            <w:pPr>
              <w:rPr>
                <w:color w:val="000000"/>
              </w:rPr>
            </w:pPr>
            <w:r>
              <w:rPr>
                <w:rFonts w:eastAsia="Times New Roman"/>
                <w:b/>
                <w:color w:val="FF0000"/>
                <w:szCs w:val="24"/>
                <w:lang w:eastAsia="x-none"/>
              </w:rPr>
              <w:t>(F2.C</w:t>
            </w:r>
            <w:r w:rsidR="00477FF8" w:rsidRPr="00A23740">
              <w:rPr>
                <w:rFonts w:eastAsia="Times New Roman"/>
                <w:b/>
                <w:color w:val="FF0000"/>
                <w:szCs w:val="24"/>
                <w:lang w:eastAsia="x-none"/>
              </w:rPr>
              <w:t xml:space="preserve">3) </w:t>
            </w:r>
            <w:r w:rsidR="00477FF8" w:rsidRPr="00A23740">
              <w:rPr>
                <w:rStyle w:val="KIRMIZIChar"/>
                <w:rFonts w:eastAsia="Calibri"/>
              </w:rPr>
              <w:t>(Ek cümle:24/11/2021-7343/28 md.)</w:t>
            </w:r>
            <w:r w:rsidR="00477FF8" w:rsidRPr="00A23740">
              <w:rPr>
                <w:b/>
                <w:bCs/>
                <w:color w:val="000000"/>
              </w:rPr>
              <w:t> </w:t>
            </w:r>
            <w:r w:rsidR="00477FF8" w:rsidRPr="00A23740">
              <w:rPr>
                <w:color w:val="000000"/>
              </w:rPr>
              <w:t>Taşınmazın ihale alıcısı adına tescilinden sonra henüz tahliye yapılmadan taşınmazı ihale alıcısından satın alan da bu fıkra gereğince tahliye isteme hakkına sahiptir.</w:t>
            </w:r>
          </w:p>
          <w:p w:rsidR="002A258D" w:rsidRPr="00A23740" w:rsidRDefault="002A258D" w:rsidP="009431FF"/>
        </w:tc>
        <w:tc>
          <w:tcPr>
            <w:tcW w:w="2500" w:type="pct"/>
          </w:tcPr>
          <w:p w:rsidR="00477FF8" w:rsidRPr="00A23740" w:rsidRDefault="00477FF8" w:rsidP="009431FF">
            <w:pPr>
              <w:tabs>
                <w:tab w:val="left" w:pos="567"/>
              </w:tabs>
              <w:rPr>
                <w:rFonts w:eastAsia="Times New Roman"/>
                <w:szCs w:val="24"/>
                <w:lang w:eastAsia="tr-TR"/>
              </w:rPr>
            </w:pPr>
            <w:r w:rsidRPr="00A23740">
              <w:rPr>
                <w:rFonts w:eastAsia="Times New Roman"/>
                <w:b/>
                <w:color w:val="0000FF"/>
                <w:szCs w:val="24"/>
                <w:lang w:eastAsia="tr-TR"/>
              </w:rPr>
              <w:t>Taşınmaz ihalesinde</w:t>
            </w:r>
            <w:r w:rsidR="00F42137" w:rsidRPr="00A23740">
              <w:rPr>
                <w:rFonts w:eastAsia="Times New Roman"/>
                <w:b/>
                <w:color w:val="0000FF"/>
                <w:szCs w:val="24"/>
                <w:lang w:eastAsia="tr-TR"/>
              </w:rPr>
              <w:t xml:space="preserve"> tahliye</w:t>
            </w:r>
          </w:p>
          <w:p w:rsidR="00F42137" w:rsidRPr="00A23740" w:rsidRDefault="00477FF8" w:rsidP="009431FF">
            <w:pPr>
              <w:tabs>
                <w:tab w:val="left" w:pos="567"/>
              </w:tabs>
              <w:rPr>
                <w:rStyle w:val="MaviChar"/>
              </w:rPr>
            </w:pPr>
            <w:r w:rsidRPr="00A23740">
              <w:rPr>
                <w:rFonts w:eastAsia="Times New Roman"/>
                <w:b/>
                <w:color w:val="0000FF"/>
                <w:szCs w:val="24"/>
                <w:lang w:eastAsia="tr-TR"/>
              </w:rPr>
              <w:t xml:space="preserve">MADDE </w:t>
            </w:r>
            <w:r w:rsidR="00EF0437" w:rsidRPr="00A23740">
              <w:rPr>
                <w:rFonts w:eastAsia="Times New Roman"/>
                <w:b/>
                <w:color w:val="0000FF"/>
                <w:szCs w:val="24"/>
                <w:lang w:eastAsia="tr-TR"/>
              </w:rPr>
              <w:t>25</w:t>
            </w:r>
            <w:r w:rsidR="00490C3E" w:rsidRPr="00A23740">
              <w:rPr>
                <w:rFonts w:eastAsia="Times New Roman"/>
                <w:b/>
                <w:color w:val="0000FF"/>
                <w:szCs w:val="24"/>
                <w:lang w:eastAsia="tr-TR"/>
              </w:rPr>
              <w:t>3</w:t>
            </w:r>
            <w:r w:rsidRPr="00A23740">
              <w:rPr>
                <w:rFonts w:eastAsia="Times New Roman"/>
                <w:b/>
                <w:color w:val="0000FF"/>
                <w:szCs w:val="24"/>
                <w:lang w:eastAsia="tr-TR"/>
              </w:rPr>
              <w:t xml:space="preserve">- (1) </w:t>
            </w:r>
            <w:r w:rsidRPr="00A23740">
              <w:rPr>
                <w:rFonts w:eastAsia="Times New Roman"/>
                <w:szCs w:val="24"/>
                <w:lang w:eastAsia="tr-TR"/>
              </w:rPr>
              <w:t>Taşınmaz</w:t>
            </w:r>
            <w:r w:rsidRPr="00A23740">
              <w:rPr>
                <w:rStyle w:val="MaviChar"/>
              </w:rPr>
              <w:t>ın</w:t>
            </w:r>
            <w:r w:rsidRPr="00A23740">
              <w:rPr>
                <w:rFonts w:eastAsia="Times New Roman"/>
                <w:szCs w:val="24"/>
                <w:lang w:eastAsia="tr-TR"/>
              </w:rPr>
              <w:t xml:space="preserve"> borçlu </w:t>
            </w:r>
            <w:r w:rsidRPr="00A23740">
              <w:t>veya hacizden</w:t>
            </w:r>
            <w:r w:rsidRPr="00A23740">
              <w:rPr>
                <w:rFonts w:eastAsia="Times New Roman"/>
                <w:b/>
                <w:color w:val="0000FF"/>
                <w:szCs w:val="24"/>
                <w:lang w:eastAsia="tr-TR"/>
              </w:rPr>
              <w:t xml:space="preserve"> yahut ipoteğin tesisinden önceki </w:t>
            </w:r>
            <w:r w:rsidRPr="00A23740">
              <w:t>tarihte yapıl</w:t>
            </w:r>
            <w:r w:rsidRPr="00A23740">
              <w:rPr>
                <w:rStyle w:val="MaviChar"/>
              </w:rPr>
              <w:t>an</w:t>
            </w:r>
            <w:r w:rsidRPr="00A23740">
              <w:t xml:space="preserve"> resm</w:t>
            </w:r>
            <w:r w:rsidR="006870EC" w:rsidRPr="00A23740">
              <w:t>î</w:t>
            </w:r>
            <w:r w:rsidRPr="00A23740">
              <w:t xml:space="preserve"> bir belge</w:t>
            </w:r>
            <w:r w:rsidRPr="00A23740">
              <w:rPr>
                <w:rFonts w:eastAsia="Times New Roman"/>
                <w:b/>
                <w:color w:val="0000FF"/>
                <w:szCs w:val="24"/>
                <w:lang w:eastAsia="tr-TR"/>
              </w:rPr>
              <w:t>ye ya da resm</w:t>
            </w:r>
            <w:r w:rsidR="006870EC" w:rsidRPr="00A23740">
              <w:rPr>
                <w:rFonts w:eastAsia="Times New Roman"/>
                <w:b/>
                <w:color w:val="0000FF"/>
                <w:szCs w:val="24"/>
                <w:lang w:eastAsia="tr-TR"/>
              </w:rPr>
              <w:t xml:space="preserve">î </w:t>
            </w:r>
            <w:r w:rsidRPr="00A23740">
              <w:rPr>
                <w:rFonts w:eastAsia="Times New Roman"/>
                <w:b/>
                <w:color w:val="0000FF"/>
                <w:szCs w:val="24"/>
                <w:lang w:eastAsia="tr-TR"/>
              </w:rPr>
              <w:t xml:space="preserve">işleme tabi tutulan </w:t>
            </w:r>
            <w:r w:rsidRPr="00A23740">
              <w:t>bir</w:t>
            </w:r>
            <w:r w:rsidRPr="00A23740">
              <w:rPr>
                <w:rFonts w:eastAsia="Times New Roman"/>
                <w:b/>
                <w:color w:val="0000FF"/>
                <w:szCs w:val="24"/>
                <w:lang w:eastAsia="tr-TR"/>
              </w:rPr>
              <w:t xml:space="preserve"> sözleşmeye</w:t>
            </w:r>
            <w:r w:rsidRPr="00A23740">
              <w:t xml:space="preserve"> dayanma</w:t>
            </w:r>
            <w:r w:rsidRPr="00A23740">
              <w:rPr>
                <w:rFonts w:eastAsia="Times New Roman"/>
                <w:b/>
                <w:color w:val="0000FF"/>
                <w:szCs w:val="24"/>
                <w:lang w:eastAsia="tr-TR"/>
              </w:rPr>
              <w:t>ksızın üçüncü kişiler</w:t>
            </w:r>
            <w:r w:rsidRPr="00A23740">
              <w:t xml:space="preserve"> tarafından işgal edil</w:t>
            </w:r>
            <w:r w:rsidRPr="00A23740">
              <w:rPr>
                <w:rFonts w:eastAsia="Times New Roman"/>
                <w:b/>
                <w:color w:val="0000FF"/>
                <w:szCs w:val="24"/>
                <w:lang w:eastAsia="tr-TR"/>
              </w:rPr>
              <w:t xml:space="preserve">diği mahallinde düzenlenecek tutanakla tespit </w:t>
            </w:r>
            <w:r w:rsidRPr="00A23740">
              <w:rPr>
                <w:rStyle w:val="MaviChar"/>
              </w:rPr>
              <w:t>edilirse, iki</w:t>
            </w:r>
            <w:r w:rsidRPr="00A23740">
              <w:rPr>
                <w:rFonts w:eastAsia="Times New Roman"/>
                <w:b/>
                <w:color w:val="0000FF"/>
                <w:szCs w:val="24"/>
                <w:lang w:eastAsia="tr-TR"/>
              </w:rPr>
              <w:t xml:space="preserve"> hafta</w:t>
            </w:r>
            <w:r w:rsidRPr="00A23740">
              <w:rPr>
                <w:rFonts w:eastAsia="Times New Roman"/>
                <w:szCs w:val="24"/>
                <w:lang w:eastAsia="tr-TR"/>
              </w:rPr>
              <w:t xml:space="preserve"> </w:t>
            </w:r>
            <w:r w:rsidRPr="00A23740">
              <w:t>içinde</w:t>
            </w:r>
            <w:r w:rsidRPr="00A23740">
              <w:rPr>
                <w:rStyle w:val="MaviChar"/>
              </w:rPr>
              <w:t xml:space="preserve"> </w:t>
            </w:r>
            <w:r w:rsidRPr="00A23740">
              <w:t xml:space="preserve">tahliyesi için borçluya veya </w:t>
            </w:r>
            <w:r w:rsidRPr="00A23740">
              <w:rPr>
                <w:rStyle w:val="MaviChar"/>
              </w:rPr>
              <w:t>taşınmazı kullanan üçüncü kişiye</w:t>
            </w:r>
            <w:r w:rsidRPr="00A23740">
              <w:t xml:space="preserve"> bir tahliye emri tebliğ edilir</w:t>
            </w:r>
            <w:r w:rsidRPr="00A23740">
              <w:rPr>
                <w:rStyle w:val="MaviChar"/>
              </w:rPr>
              <w:t>.</w:t>
            </w:r>
          </w:p>
          <w:p w:rsidR="00F42137" w:rsidRPr="00A23740" w:rsidRDefault="00F42137" w:rsidP="009431FF">
            <w:pPr>
              <w:tabs>
                <w:tab w:val="left" w:pos="567"/>
              </w:tabs>
              <w:rPr>
                <w:rStyle w:val="MaviChar"/>
              </w:rPr>
            </w:pPr>
          </w:p>
          <w:p w:rsidR="00F42137" w:rsidRPr="00A23740" w:rsidRDefault="00F42137" w:rsidP="009431FF">
            <w:pPr>
              <w:tabs>
                <w:tab w:val="left" w:pos="567"/>
              </w:tabs>
              <w:rPr>
                <w:rFonts w:eastAsia="Times New Roman"/>
                <w:szCs w:val="24"/>
                <w:lang w:eastAsia="tr-TR"/>
              </w:rPr>
            </w:pPr>
            <w:r w:rsidRPr="00A23740">
              <w:rPr>
                <w:rStyle w:val="MaviChar"/>
                <w:lang w:val="tr-TR"/>
              </w:rPr>
              <w:t xml:space="preserve">(2) </w:t>
            </w:r>
            <w:r w:rsidR="00477FF8" w:rsidRPr="00A23740">
              <w:rPr>
                <w:rStyle w:val="MaviChar"/>
              </w:rPr>
              <w:t>Tahliye emrine, alıcıya teslim olunan taşınmaza haklı bir sebep olmaksızın tekrar giren borçlunun veya üçüncü kişinin ayrıca mahkeme hükmüne gerek olmaksızın icra</w:t>
            </w:r>
            <w:r w:rsidR="00477FF8" w:rsidRPr="00A23740">
              <w:rPr>
                <w:rStyle w:val="MaviChar"/>
                <w:lang w:val="tr-TR"/>
              </w:rPr>
              <w:t xml:space="preserve"> </w:t>
            </w:r>
            <w:r w:rsidR="00477FF8" w:rsidRPr="00A23740">
              <w:rPr>
                <w:rStyle w:val="MaviChar"/>
              </w:rPr>
              <w:t>ve iflas dairesince zorla çıkarılacağı</w:t>
            </w:r>
            <w:r w:rsidR="00477FF8" w:rsidRPr="00A23740">
              <w:rPr>
                <w:rFonts w:eastAsia="Times New Roman"/>
                <w:b/>
                <w:bCs/>
                <w:color w:val="0000FF"/>
                <w:szCs w:val="24"/>
                <w:lang w:eastAsia="tr-TR"/>
              </w:rPr>
              <w:t>, aksi takdirde</w:t>
            </w:r>
            <w:r w:rsidR="00531D5B" w:rsidRPr="00A23740">
              <w:rPr>
                <w:rFonts w:eastAsia="Times New Roman"/>
                <w:b/>
                <w:bCs/>
                <w:color w:val="0000FF"/>
                <w:szCs w:val="24"/>
                <w:lang w:eastAsia="tr-TR"/>
              </w:rPr>
              <w:t xml:space="preserve"> </w:t>
            </w:r>
            <w:r w:rsidR="00531D5B" w:rsidRPr="000D6BE5">
              <w:rPr>
                <w:rStyle w:val="Balk1Char"/>
                <w:rFonts w:eastAsia="Calibri"/>
              </w:rPr>
              <w:t>521 inci</w:t>
            </w:r>
            <w:r w:rsidR="00477FF8" w:rsidRPr="00A23740">
              <w:rPr>
                <w:rFonts w:eastAsia="Times New Roman"/>
                <w:b/>
                <w:bCs/>
                <w:color w:val="0000FF"/>
                <w:szCs w:val="24"/>
                <w:lang w:eastAsia="tr-TR"/>
              </w:rPr>
              <w:t xml:space="preserve"> madde g</w:t>
            </w:r>
            <w:r w:rsidR="00F033D3" w:rsidRPr="00A23740">
              <w:rPr>
                <w:rFonts w:eastAsia="Times New Roman"/>
                <w:b/>
                <w:bCs/>
                <w:color w:val="0000FF"/>
                <w:szCs w:val="24"/>
                <w:lang w:eastAsia="tr-TR"/>
              </w:rPr>
              <w:t xml:space="preserve">ereğince </w:t>
            </w:r>
            <w:r w:rsidR="00D6629C" w:rsidRPr="00A23740">
              <w:rPr>
                <w:rFonts w:eastAsia="Times New Roman"/>
                <w:b/>
                <w:bCs/>
                <w:color w:val="0000FF"/>
                <w:szCs w:val="24"/>
                <w:lang w:eastAsia="tr-TR"/>
              </w:rPr>
              <w:t xml:space="preserve">hapis </w:t>
            </w:r>
            <w:r w:rsidR="00F033D3" w:rsidRPr="000D6BE5">
              <w:rPr>
                <w:rStyle w:val="MaviChar"/>
              </w:rPr>
              <w:t>cezası</w:t>
            </w:r>
            <w:r w:rsidR="00D6629C" w:rsidRPr="000D6BE5">
              <w:rPr>
                <w:rStyle w:val="MaviChar"/>
              </w:rPr>
              <w:t>yla</w:t>
            </w:r>
            <w:r w:rsidR="00F033D3" w:rsidRPr="00A23740">
              <w:rPr>
                <w:rFonts w:eastAsia="Times New Roman"/>
                <w:b/>
                <w:bCs/>
                <w:color w:val="0000FF"/>
                <w:szCs w:val="24"/>
                <w:lang w:eastAsia="tr-TR"/>
              </w:rPr>
              <w:t xml:space="preserve"> </w:t>
            </w:r>
            <w:r w:rsidR="00477FF8" w:rsidRPr="00A23740">
              <w:rPr>
                <w:rFonts w:eastAsia="Times New Roman"/>
                <w:b/>
                <w:bCs/>
                <w:color w:val="0000FF"/>
                <w:szCs w:val="24"/>
                <w:lang w:eastAsia="tr-TR"/>
              </w:rPr>
              <w:t>cezalandırılacağı ihtarı da yazılır.</w:t>
            </w:r>
            <w:r w:rsidR="00477FF8" w:rsidRPr="00A23740">
              <w:rPr>
                <w:rFonts w:eastAsia="Times New Roman"/>
                <w:szCs w:val="24"/>
                <w:lang w:eastAsia="tr-TR"/>
              </w:rPr>
              <w:t xml:space="preserve"> Bu </w:t>
            </w:r>
            <w:r w:rsidR="00477FF8" w:rsidRPr="00A23740">
              <w:rPr>
                <w:rFonts w:eastAsia="Times New Roman"/>
                <w:b/>
                <w:color w:val="0000FF"/>
                <w:szCs w:val="24"/>
                <w:lang w:eastAsia="tr-TR"/>
              </w:rPr>
              <w:t>süre</w:t>
            </w:r>
            <w:r w:rsidR="00477FF8" w:rsidRPr="00A23740">
              <w:rPr>
                <w:rFonts w:eastAsia="Times New Roman"/>
                <w:szCs w:val="24"/>
                <w:lang w:eastAsia="tr-TR"/>
              </w:rPr>
              <w:t xml:space="preserve"> içinde </w:t>
            </w:r>
            <w:r w:rsidR="00477FF8" w:rsidRPr="00A23740">
              <w:rPr>
                <w:rStyle w:val="MaviChar"/>
              </w:rPr>
              <w:t>taşınmaz</w:t>
            </w:r>
            <w:r w:rsidR="00477FF8" w:rsidRPr="00A23740">
              <w:rPr>
                <w:rStyle w:val="YELChar"/>
              </w:rPr>
              <w:t xml:space="preserve"> </w:t>
            </w:r>
            <w:r w:rsidR="00477FF8" w:rsidRPr="00A23740">
              <w:rPr>
                <w:rFonts w:eastAsia="Times New Roman"/>
                <w:szCs w:val="24"/>
                <w:lang w:eastAsia="tr-TR"/>
              </w:rPr>
              <w:t>tahliye edilmezse</w:t>
            </w:r>
            <w:r w:rsidR="00D6629C" w:rsidRPr="002A258D">
              <w:rPr>
                <w:rStyle w:val="MaviChar"/>
              </w:rPr>
              <w:t>,</w:t>
            </w:r>
            <w:r w:rsidR="00477FF8" w:rsidRPr="00A23740">
              <w:rPr>
                <w:rFonts w:eastAsia="Times New Roman"/>
                <w:szCs w:val="24"/>
                <w:lang w:eastAsia="tr-TR"/>
              </w:rPr>
              <w:t xml:space="preserve"> </w:t>
            </w:r>
            <w:r w:rsidR="00477FF8" w:rsidRPr="00A23740">
              <w:rPr>
                <w:rStyle w:val="MaviChar"/>
              </w:rPr>
              <w:t>borçlu veya üçüncü kişi</w:t>
            </w:r>
            <w:r w:rsidR="00477FF8" w:rsidRPr="00A23740">
              <w:rPr>
                <w:rFonts w:eastAsia="Times New Roman"/>
                <w:szCs w:val="24"/>
                <w:lang w:eastAsia="tr-TR"/>
              </w:rPr>
              <w:t xml:space="preserve"> zorla çıkarılıp </w:t>
            </w:r>
            <w:r w:rsidRPr="00A23740">
              <w:rPr>
                <w:rFonts w:eastAsia="Times New Roman"/>
                <w:szCs w:val="24"/>
                <w:lang w:eastAsia="tr-TR"/>
              </w:rPr>
              <w:t>taşınmaz alıcıya teslim olunur.</w:t>
            </w:r>
          </w:p>
          <w:p w:rsidR="00F42137" w:rsidRPr="00A23740" w:rsidRDefault="00F42137" w:rsidP="009431FF">
            <w:pPr>
              <w:tabs>
                <w:tab w:val="left" w:pos="567"/>
              </w:tabs>
              <w:rPr>
                <w:rFonts w:eastAsia="Times New Roman"/>
                <w:szCs w:val="24"/>
                <w:lang w:eastAsia="tr-TR"/>
              </w:rPr>
            </w:pPr>
          </w:p>
          <w:p w:rsidR="00477FF8" w:rsidRPr="00A23740" w:rsidRDefault="00F42137" w:rsidP="009431FF">
            <w:pPr>
              <w:tabs>
                <w:tab w:val="left" w:pos="567"/>
              </w:tabs>
              <w:rPr>
                <w:rStyle w:val="MaviChar"/>
              </w:rPr>
            </w:pPr>
            <w:r w:rsidRPr="00A23740">
              <w:rPr>
                <w:rStyle w:val="MaviChar"/>
              </w:rPr>
              <w:t>(3)</w:t>
            </w:r>
            <w:r w:rsidRPr="00A23740">
              <w:rPr>
                <w:rFonts w:eastAsia="Times New Roman"/>
                <w:szCs w:val="24"/>
                <w:lang w:eastAsia="tr-TR"/>
              </w:rPr>
              <w:t xml:space="preserve"> </w:t>
            </w:r>
            <w:r w:rsidR="00477FF8" w:rsidRPr="00A23740">
              <w:rPr>
                <w:rStyle w:val="MaviChar"/>
              </w:rPr>
              <w:t>Taşınmazda eşya bulunması h</w:t>
            </w:r>
            <w:r w:rsidR="00C224B4" w:rsidRPr="00A23740">
              <w:rPr>
                <w:rStyle w:val="MaviChar"/>
                <w:lang w:val="tr-TR"/>
              </w:rPr>
              <w:t>â</w:t>
            </w:r>
            <w:r w:rsidR="00477FF8" w:rsidRPr="00A23740">
              <w:rPr>
                <w:rStyle w:val="MaviChar"/>
              </w:rPr>
              <w:t xml:space="preserve">linde </w:t>
            </w:r>
            <w:r w:rsidR="00477FF8" w:rsidRPr="00A23740">
              <w:rPr>
                <w:rStyle w:val="KIRMIZIChar"/>
                <w:rFonts w:eastAsia="Calibri"/>
                <w:strike w:val="0"/>
                <w:color w:val="0000FF"/>
              </w:rPr>
              <w:t>73 üncü</w:t>
            </w:r>
            <w:r w:rsidR="00477FF8" w:rsidRPr="00A23740">
              <w:rPr>
                <w:rStyle w:val="KIRMIZIChar"/>
                <w:rFonts w:eastAsia="Calibri"/>
                <w:strike w:val="0"/>
              </w:rPr>
              <w:t xml:space="preserve"> </w:t>
            </w:r>
            <w:r w:rsidR="00477FF8" w:rsidRPr="00A23740">
              <w:rPr>
                <w:rStyle w:val="MaviChar"/>
              </w:rPr>
              <w:t xml:space="preserve">maddenin ikinci ve üçüncü </w:t>
            </w:r>
            <w:r w:rsidR="00477FF8" w:rsidRPr="000D6BE5">
              <w:rPr>
                <w:rStyle w:val="MaviChar"/>
              </w:rPr>
              <w:t>fıkra</w:t>
            </w:r>
            <w:r w:rsidR="00D6629C" w:rsidRPr="000D6BE5">
              <w:rPr>
                <w:rStyle w:val="MaviChar"/>
              </w:rPr>
              <w:t>ları</w:t>
            </w:r>
            <w:r w:rsidR="00477FF8" w:rsidRPr="00A23740">
              <w:rPr>
                <w:rStyle w:val="MaviChar"/>
              </w:rPr>
              <w:t xml:space="preserve"> kıyasen uygulanır.</w:t>
            </w:r>
          </w:p>
          <w:p w:rsidR="00477FF8" w:rsidRPr="00A23740" w:rsidRDefault="00477FF8" w:rsidP="009431FF">
            <w:pPr>
              <w:tabs>
                <w:tab w:val="left" w:pos="567"/>
              </w:tabs>
              <w:rPr>
                <w:rStyle w:val="MaviChar"/>
              </w:rPr>
            </w:pPr>
          </w:p>
          <w:p w:rsidR="00477FF8" w:rsidRPr="00A23740" w:rsidRDefault="00F42137" w:rsidP="009431FF">
            <w:pPr>
              <w:pStyle w:val="Mavi"/>
              <w:rPr>
                <w:rStyle w:val="MaviChar"/>
                <w:b/>
                <w:bCs/>
              </w:rPr>
            </w:pPr>
            <w:r w:rsidRPr="00A23740">
              <w:rPr>
                <w:rStyle w:val="MaviChar"/>
                <w:b/>
                <w:bCs/>
              </w:rPr>
              <w:t>(4</w:t>
            </w:r>
            <w:r w:rsidR="00477FF8" w:rsidRPr="00A23740">
              <w:rPr>
                <w:rStyle w:val="MaviChar"/>
                <w:b/>
                <w:bCs/>
              </w:rPr>
              <w:t xml:space="preserve">) </w:t>
            </w:r>
            <w:r w:rsidR="00477FF8" w:rsidRPr="00A23740">
              <w:rPr>
                <w:b w:val="0"/>
                <w:bCs w:val="0"/>
                <w:color w:val="000000"/>
                <w:szCs w:val="22"/>
                <w:lang w:val="en-GB" w:eastAsia="en-US"/>
              </w:rPr>
              <w:t>Taşınmazın ihale alıcısı adına tescilinden sonra</w:t>
            </w:r>
            <w:r w:rsidR="00D6629C" w:rsidRPr="00A23740">
              <w:rPr>
                <w:b w:val="0"/>
                <w:bCs w:val="0"/>
                <w:color w:val="000000"/>
                <w:szCs w:val="22"/>
                <w:lang w:val="en-GB" w:eastAsia="en-US"/>
              </w:rPr>
              <w:t xml:space="preserve"> </w:t>
            </w:r>
            <w:r w:rsidR="00D6629C" w:rsidRPr="000D6BE5">
              <w:t>ama</w:t>
            </w:r>
            <w:r w:rsidR="00477FF8" w:rsidRPr="00A23740">
              <w:rPr>
                <w:b w:val="0"/>
                <w:bCs w:val="0"/>
                <w:color w:val="70AD47"/>
                <w:szCs w:val="22"/>
                <w:lang w:val="en-GB" w:eastAsia="en-US"/>
              </w:rPr>
              <w:t xml:space="preserve"> </w:t>
            </w:r>
            <w:r w:rsidR="00477FF8" w:rsidRPr="00A23740">
              <w:rPr>
                <w:b w:val="0"/>
                <w:bCs w:val="0"/>
                <w:color w:val="000000"/>
                <w:szCs w:val="22"/>
                <w:lang w:val="en-GB" w:eastAsia="en-US"/>
              </w:rPr>
              <w:t xml:space="preserve">henüz </w:t>
            </w:r>
            <w:r w:rsidR="006870EC" w:rsidRPr="000D6BE5">
              <w:t>tahliyesi</w:t>
            </w:r>
            <w:r w:rsidR="00477FF8" w:rsidRPr="00A23740">
              <w:rPr>
                <w:b w:val="0"/>
                <w:bCs w:val="0"/>
                <w:color w:val="000000"/>
                <w:szCs w:val="22"/>
                <w:lang w:val="en-GB" w:eastAsia="en-US"/>
              </w:rPr>
              <w:t xml:space="preserve"> </w:t>
            </w:r>
            <w:r w:rsidR="006870EC" w:rsidRPr="000D6BE5">
              <w:t>gerçekleşmeden</w:t>
            </w:r>
            <w:r w:rsidR="00477FF8" w:rsidRPr="00A23740">
              <w:rPr>
                <w:b w:val="0"/>
                <w:bCs w:val="0"/>
                <w:color w:val="000000"/>
                <w:szCs w:val="22"/>
                <w:lang w:val="en-GB" w:eastAsia="en-US"/>
              </w:rPr>
              <w:t xml:space="preserve"> taşınmazı ihale alıcısından satın alan da</w:t>
            </w:r>
            <w:r w:rsidR="00D6629C" w:rsidRPr="003F10EF">
              <w:t>,</w:t>
            </w:r>
            <w:r w:rsidR="00477FF8" w:rsidRPr="00A23740">
              <w:rPr>
                <w:b w:val="0"/>
                <w:bCs w:val="0"/>
                <w:color w:val="000000"/>
                <w:szCs w:val="22"/>
                <w:lang w:val="en-GB" w:eastAsia="en-US"/>
              </w:rPr>
              <w:t xml:space="preserve"> ikinci fıkra gereğince tahliye isteme hakkına sahiptir.</w:t>
            </w:r>
          </w:p>
          <w:p w:rsidR="00F42137" w:rsidRPr="00A23740" w:rsidRDefault="00F42137" w:rsidP="009431FF">
            <w:pPr>
              <w:pStyle w:val="YEL"/>
              <w:rPr>
                <w:strike/>
                <w:lang w:val="tr-TR"/>
              </w:rPr>
            </w:pPr>
          </w:p>
          <w:p w:rsidR="00F42137" w:rsidRPr="00A23740" w:rsidRDefault="00F42137" w:rsidP="009431FF">
            <w:pPr>
              <w:pStyle w:val="YEL"/>
              <w:rPr>
                <w:strike/>
                <w:lang w:val="tr-TR"/>
              </w:rPr>
            </w:pPr>
          </w:p>
        </w:tc>
      </w:tr>
      <w:tr w:rsidR="00477FF8" w:rsidRPr="00A23740" w:rsidTr="009431FF">
        <w:tblPrEx>
          <w:tblLook w:val="01E0" w:firstRow="1" w:lastRow="1" w:firstColumn="1" w:lastColumn="1" w:noHBand="0" w:noVBand="0"/>
        </w:tblPrEx>
        <w:tc>
          <w:tcPr>
            <w:tcW w:w="5000" w:type="pct"/>
            <w:gridSpan w:val="2"/>
            <w:shd w:val="clear" w:color="auto" w:fill="DEEAF6"/>
          </w:tcPr>
          <w:p w:rsidR="00477FF8" w:rsidRPr="00A23740" w:rsidRDefault="00477FF8" w:rsidP="009431FF">
            <w:pPr>
              <w:tabs>
                <w:tab w:val="left" w:pos="567"/>
              </w:tabs>
              <w:ind w:firstLine="709"/>
              <w:rPr>
                <w:rFonts w:eastAsia="Times New Roman"/>
                <w:b/>
                <w:szCs w:val="24"/>
                <w:lang w:eastAsia="tr-TR"/>
              </w:rPr>
            </w:pPr>
          </w:p>
          <w:p w:rsidR="00477FF8" w:rsidRPr="00A23740" w:rsidRDefault="00BD51F6" w:rsidP="009431FF">
            <w:pPr>
              <w:tabs>
                <w:tab w:val="left" w:pos="567"/>
              </w:tabs>
              <w:ind w:firstLine="709"/>
              <w:rPr>
                <w:rFonts w:eastAsia="Times New Roman"/>
                <w:color w:val="000000"/>
                <w:szCs w:val="24"/>
                <w:lang w:eastAsia="tr-TR"/>
              </w:rPr>
            </w:pPr>
            <w:r w:rsidRPr="00A23740">
              <w:rPr>
                <w:rFonts w:eastAsia="Times New Roman"/>
                <w:b/>
                <w:bCs/>
                <w:color w:val="000000"/>
                <w:szCs w:val="24"/>
                <w:lang w:eastAsia="tr-TR"/>
              </w:rPr>
              <w:t>MADDE 25</w:t>
            </w:r>
            <w:r w:rsidR="00490C3E" w:rsidRPr="00A23740">
              <w:rPr>
                <w:rFonts w:eastAsia="Times New Roman"/>
                <w:b/>
                <w:bCs/>
                <w:color w:val="000000"/>
                <w:szCs w:val="24"/>
                <w:lang w:eastAsia="tr-TR"/>
              </w:rPr>
              <w:t>3</w:t>
            </w:r>
            <w:r w:rsidR="00477FF8" w:rsidRPr="00A23740">
              <w:rPr>
                <w:rFonts w:eastAsia="Times New Roman"/>
                <w:b/>
                <w:bCs/>
                <w:color w:val="000000"/>
                <w:szCs w:val="24"/>
                <w:lang w:eastAsia="tr-TR"/>
              </w:rPr>
              <w:t xml:space="preserve">- </w:t>
            </w:r>
            <w:r w:rsidR="00477FF8" w:rsidRPr="00A23740">
              <w:rPr>
                <w:rFonts w:eastAsia="Times New Roman"/>
                <w:bCs/>
                <w:color w:val="000000"/>
                <w:szCs w:val="24"/>
                <w:lang w:eastAsia="tr-TR"/>
              </w:rPr>
              <w:t>Maddeyle,</w:t>
            </w:r>
            <w:r w:rsidR="00477FF8" w:rsidRPr="00A23740">
              <w:rPr>
                <w:rFonts w:eastAsia="Times New Roman"/>
                <w:b/>
                <w:bCs/>
                <w:color w:val="000000"/>
                <w:szCs w:val="24"/>
                <w:lang w:eastAsia="tr-TR"/>
              </w:rPr>
              <w:t xml:space="preserve"> </w:t>
            </w:r>
            <w:r w:rsidR="00F42137" w:rsidRPr="00A23740">
              <w:rPr>
                <w:rFonts w:eastAsia="Times New Roman"/>
                <w:color w:val="000000"/>
                <w:szCs w:val="24"/>
                <w:lang w:eastAsia="tr-TR"/>
              </w:rPr>
              <w:t xml:space="preserve">taşınmaz ihalesinde tahliyeye </w:t>
            </w:r>
            <w:r w:rsidR="00477FF8" w:rsidRPr="00A23740">
              <w:rPr>
                <w:rFonts w:eastAsia="Times New Roman"/>
                <w:color w:val="000000"/>
                <w:szCs w:val="24"/>
                <w:lang w:eastAsia="tr-TR"/>
              </w:rPr>
              <w:t>ilişkin hususlar düzenlenmektedir. Madde, 2004 s</w:t>
            </w:r>
            <w:r w:rsidR="00F42137" w:rsidRPr="00A23740">
              <w:rPr>
                <w:rFonts w:eastAsia="Times New Roman"/>
                <w:color w:val="000000"/>
                <w:szCs w:val="24"/>
                <w:lang w:eastAsia="tr-TR"/>
              </w:rPr>
              <w:t>ayılı Kanunun 135 inci maddesinin ikinci fıkrasına</w:t>
            </w:r>
            <w:r w:rsidR="00477FF8" w:rsidRPr="00A23740">
              <w:rPr>
                <w:rFonts w:eastAsia="Times New Roman"/>
                <w:color w:val="000000"/>
                <w:szCs w:val="24"/>
                <w:lang w:eastAsia="tr-TR"/>
              </w:rPr>
              <w:t xml:space="preserve"> karşılık gelmektedir.</w:t>
            </w:r>
          </w:p>
          <w:p w:rsidR="0072771C" w:rsidRPr="00A23740" w:rsidRDefault="00F42137" w:rsidP="009431FF">
            <w:pPr>
              <w:tabs>
                <w:tab w:val="left" w:pos="567"/>
              </w:tabs>
              <w:ind w:firstLine="709"/>
              <w:rPr>
                <w:rFonts w:eastAsia="Times New Roman"/>
                <w:szCs w:val="24"/>
                <w:lang w:eastAsia="tr-TR"/>
              </w:rPr>
            </w:pPr>
            <w:r w:rsidRPr="00A23740">
              <w:rPr>
                <w:rFonts w:eastAsia="Times New Roman"/>
                <w:szCs w:val="24"/>
                <w:lang w:eastAsia="tr-TR"/>
              </w:rPr>
              <w:t>Birinci</w:t>
            </w:r>
            <w:r w:rsidR="00477FF8" w:rsidRPr="00A23740">
              <w:rPr>
                <w:rFonts w:eastAsia="Times New Roman"/>
                <w:szCs w:val="24"/>
                <w:lang w:eastAsia="tr-TR"/>
              </w:rPr>
              <w:t xml:space="preserve"> </w:t>
            </w:r>
            <w:r w:rsidRPr="00A23740">
              <w:rPr>
                <w:rFonts w:eastAsia="Times New Roman"/>
                <w:szCs w:val="24"/>
                <w:lang w:eastAsia="tr-TR"/>
              </w:rPr>
              <w:t xml:space="preserve">fıkrayla, </w:t>
            </w:r>
            <w:r w:rsidR="0072771C" w:rsidRPr="00A23740">
              <w:rPr>
                <w:rFonts w:eastAsia="Times New Roman"/>
                <w:szCs w:val="24"/>
                <w:lang w:eastAsia="tr-TR"/>
              </w:rPr>
              <w:t xml:space="preserve">ihalesi yapılan </w:t>
            </w:r>
            <w:r w:rsidRPr="00A23740">
              <w:rPr>
                <w:rFonts w:eastAsia="Times New Roman"/>
                <w:szCs w:val="24"/>
                <w:lang w:eastAsia="tr-TR"/>
              </w:rPr>
              <w:t>taşınmazın</w:t>
            </w:r>
            <w:r w:rsidR="0072771C" w:rsidRPr="00A23740">
              <w:rPr>
                <w:rFonts w:eastAsia="Times New Roman"/>
                <w:szCs w:val="24"/>
                <w:lang w:eastAsia="tr-TR"/>
              </w:rPr>
              <w:t xml:space="preserve"> işgal edilmesi h</w:t>
            </w:r>
            <w:r w:rsidR="00C224B4" w:rsidRPr="00A23740">
              <w:rPr>
                <w:rFonts w:eastAsia="Times New Roman"/>
                <w:szCs w:val="24"/>
                <w:lang w:eastAsia="tr-TR"/>
              </w:rPr>
              <w:t>â</w:t>
            </w:r>
            <w:r w:rsidR="0072771C" w:rsidRPr="00A23740">
              <w:rPr>
                <w:rFonts w:eastAsia="Times New Roman"/>
                <w:szCs w:val="24"/>
                <w:lang w:eastAsia="tr-TR"/>
              </w:rPr>
              <w:t>linde yapılacak</w:t>
            </w:r>
            <w:r w:rsidR="00477FF8" w:rsidRPr="00A23740">
              <w:rPr>
                <w:rFonts w:eastAsia="Times New Roman"/>
                <w:szCs w:val="24"/>
                <w:lang w:eastAsia="tr-TR"/>
              </w:rPr>
              <w:t xml:space="preserve"> işlemler belirlenmektedir. Hükme göre, ihale konusu taşınmazın borçlu veya hacizden yahut ipoteğin tesisin</w:t>
            </w:r>
            <w:r w:rsidR="00AD7D81" w:rsidRPr="00A23740">
              <w:rPr>
                <w:rFonts w:eastAsia="Times New Roman"/>
                <w:szCs w:val="24"/>
                <w:lang w:eastAsia="tr-TR"/>
              </w:rPr>
              <w:t>den önceki tarihte yapılan resmî</w:t>
            </w:r>
            <w:r w:rsidR="00477FF8" w:rsidRPr="00A23740">
              <w:rPr>
                <w:rFonts w:eastAsia="Times New Roman"/>
                <w:szCs w:val="24"/>
                <w:lang w:eastAsia="tr-TR"/>
              </w:rPr>
              <w:t xml:space="preserve"> bir belgeye ya da r</w:t>
            </w:r>
            <w:r w:rsidR="00AD7D81" w:rsidRPr="00A23740">
              <w:rPr>
                <w:rFonts w:eastAsia="Times New Roman"/>
                <w:szCs w:val="24"/>
                <w:lang w:eastAsia="tr-TR"/>
              </w:rPr>
              <w:t>esmî</w:t>
            </w:r>
            <w:r w:rsidR="00477FF8" w:rsidRPr="00A23740">
              <w:rPr>
                <w:rFonts w:eastAsia="Times New Roman"/>
                <w:szCs w:val="24"/>
                <w:lang w:eastAsia="tr-TR"/>
              </w:rPr>
              <w:t xml:space="preserve"> işleme tabi tutulan bir sözleşmeye dayanmaksızın üçüncü kişiler tarafından işgal edildiği icra ve iflas dairesince yerinde düzenlenecek bir tutanakla tespit edilirse, borçluya veya taşınmazı kullanan üçüncü kişiye taşınmazı iki hafta içinde tahliye etmesi için bir tahliye emri tebliğ</w:t>
            </w:r>
            <w:r w:rsidR="00B1644A" w:rsidRPr="00A23740">
              <w:rPr>
                <w:rFonts w:eastAsia="Times New Roman"/>
                <w:szCs w:val="24"/>
                <w:lang w:eastAsia="tr-TR"/>
              </w:rPr>
              <w:t xml:space="preserve"> edilmesi öngörülmektedir</w:t>
            </w:r>
            <w:r w:rsidR="00477FF8" w:rsidRPr="00A23740">
              <w:rPr>
                <w:rFonts w:eastAsia="Times New Roman"/>
                <w:szCs w:val="24"/>
                <w:lang w:eastAsia="tr-TR"/>
              </w:rPr>
              <w:t xml:space="preserve">. </w:t>
            </w:r>
          </w:p>
          <w:p w:rsidR="0072771C" w:rsidRPr="00A23740" w:rsidRDefault="0072771C" w:rsidP="009431FF">
            <w:pPr>
              <w:tabs>
                <w:tab w:val="left" w:pos="567"/>
              </w:tabs>
              <w:ind w:firstLine="709"/>
              <w:rPr>
                <w:rFonts w:eastAsia="Times New Roman"/>
                <w:szCs w:val="24"/>
                <w:lang w:eastAsia="tr-TR"/>
              </w:rPr>
            </w:pPr>
            <w:r w:rsidRPr="00A23740">
              <w:rPr>
                <w:rFonts w:eastAsia="Times New Roman"/>
                <w:szCs w:val="24"/>
                <w:lang w:eastAsia="tr-TR"/>
              </w:rPr>
              <w:t>İkinci fıkrayla, t</w:t>
            </w:r>
            <w:r w:rsidR="00477FF8" w:rsidRPr="00A23740">
              <w:rPr>
                <w:rFonts w:eastAsia="Times New Roman"/>
                <w:szCs w:val="24"/>
                <w:lang w:eastAsia="tr-TR"/>
              </w:rPr>
              <w:t>ahliye emrinde, ayrıca</w:t>
            </w:r>
            <w:r w:rsidR="00B1644A" w:rsidRPr="00A23740">
              <w:rPr>
                <w:rFonts w:eastAsia="Times New Roman"/>
                <w:szCs w:val="24"/>
                <w:lang w:eastAsia="tr-TR"/>
              </w:rPr>
              <w:t>,</w:t>
            </w:r>
            <w:r w:rsidR="00477FF8" w:rsidRPr="00A23740">
              <w:rPr>
                <w:rFonts w:eastAsia="Times New Roman"/>
                <w:szCs w:val="24"/>
                <w:lang w:eastAsia="tr-TR"/>
              </w:rPr>
              <w:t xml:space="preserve"> alıcıya teslim olunan taşınmaza haklı bir sebep olmaksızın tekrar giren borçlunun veya üçüncü kişinin bir mahkeme kararı olmaksızın icra ve iflas dairesince zorla çıkarılacağı, aksi takdirde Taslağın “Teslim edilen taşınmaza veya gemiye tekrar girilmesi” başlıklı </w:t>
            </w:r>
            <w:r w:rsidR="00531D5B" w:rsidRPr="00D60C1D">
              <w:rPr>
                <w:rStyle w:val="KonuBalChar"/>
                <w:rFonts w:eastAsia="Calibri"/>
                <w:b w:val="0"/>
                <w:color w:val="000000"/>
              </w:rPr>
              <w:t>521 inci</w:t>
            </w:r>
            <w:r w:rsidR="00477FF8" w:rsidRPr="00A23740">
              <w:rPr>
                <w:rFonts w:eastAsia="Times New Roman"/>
                <w:szCs w:val="24"/>
                <w:lang w:eastAsia="tr-TR"/>
              </w:rPr>
              <w:t xml:space="preserve"> maddesine göre cezalandırılacağı ihtarı yazılır. Söz konusu iki haftalık süre içinde taşınmazın tahliye edilmemesi h</w:t>
            </w:r>
            <w:r w:rsidR="00C224B4" w:rsidRPr="00A23740">
              <w:rPr>
                <w:rFonts w:eastAsia="Times New Roman"/>
                <w:szCs w:val="24"/>
                <w:lang w:eastAsia="tr-TR"/>
              </w:rPr>
              <w:t>â</w:t>
            </w:r>
            <w:r w:rsidR="00477FF8" w:rsidRPr="00A23740">
              <w:rPr>
                <w:rFonts w:eastAsia="Times New Roman"/>
                <w:szCs w:val="24"/>
                <w:lang w:eastAsia="tr-TR"/>
              </w:rPr>
              <w:t xml:space="preserve">linde, borçlu veya üçüncü kişi taşınmazdan zorla çıkarılır ve taşınmaz alıcıya teslim edilir. </w:t>
            </w:r>
          </w:p>
          <w:p w:rsidR="00477FF8" w:rsidRPr="00A23740" w:rsidRDefault="0072771C" w:rsidP="009431FF">
            <w:pPr>
              <w:tabs>
                <w:tab w:val="left" w:pos="567"/>
              </w:tabs>
              <w:ind w:firstLine="709"/>
              <w:rPr>
                <w:rFonts w:eastAsia="Times New Roman"/>
                <w:szCs w:val="24"/>
                <w:lang w:eastAsia="tr-TR"/>
              </w:rPr>
            </w:pPr>
            <w:r w:rsidRPr="00A23740">
              <w:rPr>
                <w:rFonts w:eastAsia="Times New Roman"/>
                <w:szCs w:val="24"/>
                <w:lang w:eastAsia="tr-TR"/>
              </w:rPr>
              <w:t>Üçüncü fıkrayla, t</w:t>
            </w:r>
            <w:r w:rsidR="00477FF8" w:rsidRPr="00A23740">
              <w:rPr>
                <w:rFonts w:eastAsia="Times New Roman"/>
                <w:szCs w:val="24"/>
                <w:lang w:eastAsia="tr-TR"/>
              </w:rPr>
              <w:t xml:space="preserve">aşınmazda herhangi bir eşya bulunması durumunda da Taslağın taşınmazın tahliye ve teslimine ilişkin ilamların icrası kapsamında taşınmazda eşya bulunduğunda yapılması gereken işlemleri düzenleyen </w:t>
            </w:r>
            <w:r w:rsidR="00531D5B" w:rsidRPr="00D60C1D">
              <w:rPr>
                <w:rStyle w:val="KIRMIZIChar"/>
                <w:rFonts w:eastAsia="Calibri"/>
                <w:b w:val="0"/>
                <w:strike w:val="0"/>
                <w:color w:val="000000"/>
              </w:rPr>
              <w:t>73 üncü</w:t>
            </w:r>
            <w:r w:rsidR="00531D5B" w:rsidRPr="00A23740">
              <w:rPr>
                <w:rStyle w:val="KIRMIZIChar"/>
                <w:rFonts w:eastAsia="Calibri"/>
                <w:strike w:val="0"/>
              </w:rPr>
              <w:t xml:space="preserve"> </w:t>
            </w:r>
            <w:r w:rsidR="00477FF8" w:rsidRPr="00A23740">
              <w:rPr>
                <w:rFonts w:eastAsia="Times New Roman"/>
                <w:szCs w:val="24"/>
                <w:lang w:eastAsia="tr-TR"/>
              </w:rPr>
              <w:t>maddesinin ikinci ve üçüncü fıkra hükümlerinin kıyasen uygulanması kabul edilmektedir.</w:t>
            </w:r>
          </w:p>
          <w:p w:rsidR="00477FF8" w:rsidRPr="00A23740" w:rsidRDefault="0072771C" w:rsidP="009431FF">
            <w:pPr>
              <w:tabs>
                <w:tab w:val="left" w:pos="567"/>
              </w:tabs>
              <w:ind w:firstLine="709"/>
              <w:rPr>
                <w:rFonts w:eastAsia="Times New Roman"/>
                <w:szCs w:val="24"/>
                <w:lang w:eastAsia="tr-TR"/>
              </w:rPr>
            </w:pPr>
            <w:r w:rsidRPr="00A23740">
              <w:rPr>
                <w:rFonts w:eastAsia="Times New Roman"/>
                <w:szCs w:val="24"/>
                <w:lang w:eastAsia="tr-TR"/>
              </w:rPr>
              <w:t>Dördüncü</w:t>
            </w:r>
            <w:r w:rsidR="00477FF8" w:rsidRPr="00A23740">
              <w:rPr>
                <w:rFonts w:eastAsia="Times New Roman"/>
                <w:szCs w:val="24"/>
                <w:lang w:eastAsia="tr-TR"/>
              </w:rPr>
              <w:t xml:space="preserve"> fıkrayla, </w:t>
            </w:r>
            <w:r w:rsidR="00477FF8" w:rsidRPr="00A23740">
              <w:rPr>
                <w:bCs/>
                <w:color w:val="000000"/>
              </w:rPr>
              <w:t xml:space="preserve">taşınmazın ihale alıcısı adına tescilinden sonra henüz tahliye </w:t>
            </w:r>
            <w:r w:rsidR="006870EC" w:rsidRPr="00D60C1D">
              <w:rPr>
                <w:rStyle w:val="YELChar"/>
                <w:b w:val="0"/>
                <w:color w:val="000000"/>
              </w:rPr>
              <w:t>gerçekleşmeden</w:t>
            </w:r>
            <w:r w:rsidR="00477FF8" w:rsidRPr="00A23740">
              <w:rPr>
                <w:bCs/>
                <w:color w:val="000000"/>
              </w:rPr>
              <w:t xml:space="preserve"> ihale konusu taşınmazı ihale alıcısından satın alan yeni malikin de ikinci fıkra gereğince tahliye isteme hakkının bulunduğu düzenlenmektedir.</w:t>
            </w:r>
          </w:p>
          <w:p w:rsidR="00477FF8" w:rsidRPr="00A23740" w:rsidRDefault="00477FF8" w:rsidP="0016377F">
            <w:pPr>
              <w:tabs>
                <w:tab w:val="left" w:pos="567"/>
              </w:tabs>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rPr>
                <w:lang w:val="tr-TR"/>
              </w:rPr>
            </w:pPr>
            <w:r w:rsidRPr="00A23740">
              <w:rPr>
                <w:lang w:val="tr-TR"/>
              </w:rPr>
              <w:t>Taşınmazların satışına ilişkin hükümlerin gemilere uygulanması:</w:t>
            </w:r>
          </w:p>
          <w:p w:rsidR="00AA5C8C" w:rsidRPr="00A23740" w:rsidRDefault="00AA5C8C" w:rsidP="009431FF">
            <w:pPr>
              <w:pStyle w:val="KIRMIZI"/>
              <w:rPr>
                <w:lang w:val="tr-TR"/>
              </w:rPr>
            </w:pPr>
            <w:r w:rsidRPr="00A23740">
              <w:rPr>
                <w:lang w:val="tr-TR"/>
              </w:rPr>
              <w:t>Madde 136 – (1) (Değişik: 14/1/2011-6103/41 md.)</w:t>
            </w:r>
          </w:p>
          <w:p w:rsidR="00AA5C8C" w:rsidRPr="00A23740" w:rsidRDefault="00AA5C8C" w:rsidP="009431FF">
            <w:pPr>
              <w:pStyle w:val="KIRMIZI"/>
              <w:rPr>
                <w:lang w:val="tr-TR"/>
              </w:rPr>
            </w:pPr>
            <w:r w:rsidRPr="00A23740">
              <w:rPr>
                <w:lang w:val="tr-TR"/>
              </w:rPr>
              <w:t>Taşınmaz malların satışına ilişkin hükümler, bayrağı dikkate alınmaksızın gemi siciline kayıtlı bütün gemiler hakkında da uygulanır. Bu hükümlerde geçen “tapu sicili” terimi gemi sicilini, “ipotek” terimi gemi ipoteklerini ve “irtifak hakkı” terimi sicile kayıtlı gemiler üzerindeki intifa hakkını ifade eder.</w:t>
            </w:r>
          </w:p>
          <w:p w:rsidR="00AA5C8C" w:rsidRDefault="00AA5C8C" w:rsidP="009431FF">
            <w:pPr>
              <w:pStyle w:val="KIRMIZI"/>
              <w:rPr>
                <w:lang w:val="tr-TR"/>
              </w:rPr>
            </w:pPr>
          </w:p>
          <w:p w:rsidR="00A303FE" w:rsidRDefault="00A303FE" w:rsidP="009431FF">
            <w:pPr>
              <w:pStyle w:val="KIRMIZI"/>
              <w:rPr>
                <w:lang w:val="tr-TR"/>
              </w:rPr>
            </w:pPr>
          </w:p>
          <w:p w:rsidR="00A303FE" w:rsidRPr="00A23740" w:rsidRDefault="00A303FE" w:rsidP="009431FF">
            <w:pPr>
              <w:pStyle w:val="KIRMIZI"/>
              <w:rPr>
                <w:lang w:val="tr-TR"/>
              </w:rPr>
            </w:pPr>
          </w:p>
        </w:tc>
        <w:tc>
          <w:tcPr>
            <w:tcW w:w="2500" w:type="pct"/>
          </w:tcPr>
          <w:p w:rsidR="00AA5C8C" w:rsidRDefault="00AA5C8C" w:rsidP="009431FF">
            <w:pPr>
              <w:pStyle w:val="KIRMIZI"/>
              <w:rPr>
                <w:lang w:val="tr-TR"/>
              </w:rPr>
            </w:pPr>
          </w:p>
          <w:p w:rsidR="00A303FE" w:rsidRPr="00A23740" w:rsidRDefault="00A303FE" w:rsidP="009431FF">
            <w:pPr>
              <w:pStyle w:val="KIRMIZI"/>
              <w:rPr>
                <w:lang w:val="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Aile yurtları</w:t>
            </w:r>
            <w:r w:rsidRPr="00A23740">
              <w:rPr>
                <w:rFonts w:eastAsia="Times New Roman"/>
                <w:b/>
                <w:strike/>
                <w:color w:val="FF0000"/>
                <w:szCs w:val="24"/>
                <w:lang w:eastAsia="tr-TR"/>
              </w:rPr>
              <w:t>:</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137 – (1)</w:t>
            </w:r>
            <w:r w:rsidRPr="00A23740">
              <w:rPr>
                <w:rFonts w:eastAsia="Times New Roman"/>
                <w:b/>
                <w:szCs w:val="24"/>
                <w:lang w:eastAsia="tr-TR"/>
              </w:rPr>
              <w:t xml:space="preserve"> </w:t>
            </w:r>
            <w:r w:rsidRPr="0057633D">
              <w:rPr>
                <w:rStyle w:val="KIRMIZIChar"/>
                <w:rFonts w:eastAsia="Calibri"/>
              </w:rPr>
              <w:t>Aile yurtlarına dair</w:t>
            </w:r>
            <w:r w:rsidRPr="00A23740">
              <w:rPr>
                <w:rFonts w:eastAsia="Times New Roman"/>
                <w:szCs w:val="24"/>
                <w:lang w:eastAsia="tr-TR"/>
              </w:rPr>
              <w:t xml:space="preserve"> Kanunu Medeni hükümleri </w:t>
            </w:r>
            <w:r w:rsidRPr="00A23740">
              <w:rPr>
                <w:rStyle w:val="KIRMIZIChar"/>
                <w:rFonts w:eastAsia="Calibri"/>
              </w:rPr>
              <w:t>mahfuzdur</w:t>
            </w:r>
            <w:r w:rsidRPr="00A23740">
              <w:rPr>
                <w:rFonts w:eastAsia="Times New Roman"/>
                <w:szCs w:val="24"/>
                <w:lang w:eastAsia="tr-TR"/>
              </w:rPr>
              <w:t>.</w:t>
            </w:r>
          </w:p>
        </w:tc>
        <w:tc>
          <w:tcPr>
            <w:tcW w:w="2500" w:type="pct"/>
          </w:tcPr>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Aile yurtları</w:t>
            </w:r>
          </w:p>
          <w:p w:rsidR="006870EC" w:rsidRPr="00A23740" w:rsidRDefault="006870EC" w:rsidP="009431FF">
            <w:pPr>
              <w:tabs>
                <w:tab w:val="left" w:pos="567"/>
              </w:tabs>
              <w:rPr>
                <w:rFonts w:eastAsia="Times New Roman"/>
                <w:b/>
                <w:color w:val="0000FF"/>
                <w:szCs w:val="24"/>
                <w:lang w:eastAsia="tr-TR"/>
              </w:rPr>
            </w:pPr>
            <w:r w:rsidRPr="00A23740">
              <w:rPr>
                <w:rFonts w:eastAsia="Times New Roman"/>
                <w:b/>
                <w:color w:val="0000FF"/>
                <w:szCs w:val="24"/>
                <w:lang w:eastAsia="tr-TR"/>
              </w:rPr>
              <w:t>MADDE 25</w:t>
            </w:r>
            <w:r w:rsidR="00490C3E" w:rsidRPr="00A23740">
              <w:rPr>
                <w:rFonts w:eastAsia="Times New Roman"/>
                <w:b/>
                <w:color w:val="0000FF"/>
                <w:szCs w:val="24"/>
                <w:lang w:eastAsia="tr-TR"/>
              </w:rPr>
              <w:t>4</w:t>
            </w:r>
            <w:r w:rsidR="00AA5C8C" w:rsidRPr="00A23740">
              <w:rPr>
                <w:rFonts w:eastAsia="Times New Roman"/>
                <w:b/>
                <w:color w:val="0000FF"/>
                <w:szCs w:val="24"/>
                <w:lang w:eastAsia="tr-TR"/>
              </w:rPr>
              <w:t xml:space="preserve">- </w:t>
            </w:r>
            <w:r w:rsidRPr="00A23740">
              <w:rPr>
                <w:rFonts w:eastAsia="Times New Roman"/>
                <w:b/>
                <w:color w:val="0000FF"/>
                <w:szCs w:val="24"/>
                <w:lang w:eastAsia="tr-TR"/>
              </w:rPr>
              <w:t>(1)</w:t>
            </w:r>
            <w:r w:rsidRPr="00A23740">
              <w:rPr>
                <w:rFonts w:eastAsia="Times New Roman"/>
                <w:b/>
                <w:szCs w:val="24"/>
                <w:lang w:eastAsia="tr-TR"/>
              </w:rPr>
              <w:t xml:space="preserve"> </w:t>
            </w:r>
            <w:r w:rsidRPr="00A23740">
              <w:rPr>
                <w:rFonts w:eastAsia="Times New Roman"/>
                <w:b/>
                <w:color w:val="0000FF"/>
                <w:szCs w:val="24"/>
                <w:lang w:eastAsia="tr-TR"/>
              </w:rPr>
              <w:t>Türk</w:t>
            </w:r>
            <w:r w:rsidRPr="00A23740">
              <w:t xml:space="preserve"> Medeni Kanunu</w:t>
            </w:r>
            <w:r w:rsidRPr="00A23740">
              <w:rPr>
                <w:rFonts w:eastAsia="Times New Roman"/>
                <w:b/>
                <w:color w:val="0000FF"/>
                <w:szCs w:val="24"/>
                <w:lang w:eastAsia="tr-TR"/>
              </w:rPr>
              <w:t xml:space="preserve">nun </w:t>
            </w:r>
            <w:r w:rsidRPr="000D6BE5">
              <w:rPr>
                <w:rStyle w:val="Balk1Char"/>
                <w:rFonts w:eastAsia="ヒラギノ明朝 Pro W3"/>
              </w:rPr>
              <w:t>aile yurtları hakkındaki</w:t>
            </w:r>
            <w:r w:rsidRPr="00A23740">
              <w:rPr>
                <w:rFonts w:eastAsia="Times New Roman"/>
                <w:b/>
                <w:color w:val="0000FF"/>
                <w:szCs w:val="24"/>
                <w:lang w:eastAsia="tr-TR"/>
              </w:rPr>
              <w:t xml:space="preserve"> </w:t>
            </w:r>
            <w:r w:rsidRPr="00A23740">
              <w:t xml:space="preserve">hükümleri </w:t>
            </w:r>
            <w:r w:rsidRPr="00A23740">
              <w:rPr>
                <w:rFonts w:eastAsia="Times New Roman"/>
                <w:b/>
                <w:color w:val="0000FF"/>
                <w:szCs w:val="24"/>
                <w:lang w:eastAsia="tr-TR"/>
              </w:rPr>
              <w:t>saklıdır.</w:t>
            </w:r>
          </w:p>
          <w:p w:rsidR="00FA6E8E" w:rsidRPr="00A23740" w:rsidRDefault="00FA6E8E" w:rsidP="009431FF">
            <w:pPr>
              <w:tabs>
                <w:tab w:val="left" w:pos="567"/>
              </w:tabs>
              <w:rPr>
                <w:rFonts w:eastAsia="Times New Roman"/>
                <w:szCs w:val="24"/>
                <w:lang w:eastAsia="tr-TR"/>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B468FD" w:rsidRPr="00A23740" w:rsidRDefault="00B468FD" w:rsidP="009431FF">
            <w:pPr>
              <w:tabs>
                <w:tab w:val="left" w:pos="567"/>
              </w:tabs>
              <w:ind w:firstLine="709"/>
              <w:rPr>
                <w:rFonts w:eastAsia="Times New Roman"/>
                <w:b/>
                <w:szCs w:val="24"/>
                <w:lang w:eastAsia="tr-TR"/>
              </w:rPr>
            </w:pPr>
          </w:p>
          <w:p w:rsidR="008B3679" w:rsidRPr="00A23740" w:rsidRDefault="00DA473A" w:rsidP="009431FF">
            <w:pPr>
              <w:tabs>
                <w:tab w:val="left" w:pos="567"/>
              </w:tabs>
              <w:ind w:firstLine="709"/>
              <w:rPr>
                <w:rFonts w:eastAsia="Times New Roman"/>
                <w:szCs w:val="24"/>
                <w:lang w:eastAsia="tr-TR"/>
              </w:rPr>
            </w:pPr>
            <w:r w:rsidRPr="00A23740">
              <w:rPr>
                <w:rFonts w:eastAsia="Times New Roman"/>
                <w:b/>
                <w:szCs w:val="24"/>
                <w:lang w:eastAsia="tr-TR"/>
              </w:rPr>
              <w:t xml:space="preserve">MADDE </w:t>
            </w:r>
            <w:r w:rsidR="006870EC" w:rsidRPr="00A23740">
              <w:rPr>
                <w:rFonts w:eastAsia="Times New Roman"/>
                <w:b/>
                <w:szCs w:val="24"/>
                <w:lang w:eastAsia="tr-TR"/>
              </w:rPr>
              <w:t>25</w:t>
            </w:r>
            <w:r w:rsidR="00490C3E" w:rsidRPr="00A23740">
              <w:rPr>
                <w:rFonts w:eastAsia="Times New Roman"/>
                <w:b/>
                <w:szCs w:val="24"/>
                <w:lang w:eastAsia="tr-TR"/>
              </w:rPr>
              <w:t>4</w:t>
            </w:r>
            <w:r w:rsidR="00AA5C8C" w:rsidRPr="00A23740">
              <w:rPr>
                <w:rFonts w:eastAsia="Times New Roman"/>
                <w:b/>
                <w:szCs w:val="24"/>
                <w:lang w:eastAsia="tr-TR"/>
              </w:rPr>
              <w:t xml:space="preserve">- </w:t>
            </w:r>
            <w:r w:rsidR="008B3679" w:rsidRPr="00A23740">
              <w:rPr>
                <w:rFonts w:eastAsia="Times New Roman"/>
                <w:szCs w:val="24"/>
                <w:lang w:eastAsia="tr-TR"/>
              </w:rPr>
              <w:t>Maddeyle, aile yurtlarına ilişkin hususlar düzenlenmektedir.</w:t>
            </w:r>
            <w:r w:rsidR="00477FF8" w:rsidRPr="00A23740">
              <w:rPr>
                <w:rFonts w:eastAsia="Times New Roman"/>
                <w:color w:val="000000"/>
                <w:szCs w:val="24"/>
                <w:lang w:eastAsia="tr-TR"/>
              </w:rPr>
              <w:t xml:space="preserve"> Madde, 2004 sayılı Kanunun 137 nci maddesine karşılık gelmektedir. </w:t>
            </w:r>
          </w:p>
          <w:p w:rsidR="00AA5C8C" w:rsidRPr="00A23740" w:rsidRDefault="00373995" w:rsidP="0016377F">
            <w:pPr>
              <w:tabs>
                <w:tab w:val="left" w:pos="567"/>
              </w:tabs>
              <w:ind w:firstLine="709"/>
              <w:rPr>
                <w:rFonts w:eastAsia="Times New Roman"/>
                <w:b/>
                <w:color w:val="FF0000"/>
                <w:szCs w:val="24"/>
                <w:lang w:eastAsia="tr-TR"/>
              </w:rPr>
            </w:pPr>
            <w:r w:rsidRPr="00A23740">
              <w:rPr>
                <w:rFonts w:eastAsia="Times New Roman"/>
                <w:szCs w:val="24"/>
                <w:lang w:eastAsia="tr-TR"/>
              </w:rPr>
              <w:t xml:space="preserve">Birinci fıkrayla, </w:t>
            </w:r>
            <w:r w:rsidRPr="00A23740">
              <w:t xml:space="preserve">aile yurtlarına dair düzenlemelerin yer verildiği </w:t>
            </w:r>
            <w:r w:rsidR="00477FF8" w:rsidRPr="00A23740">
              <w:t>4721 sayılı</w:t>
            </w:r>
            <w:r w:rsidR="008F75C3" w:rsidRPr="00A23740">
              <w:t xml:space="preserve"> </w:t>
            </w:r>
            <w:r w:rsidR="008F75C3" w:rsidRPr="00D60C1D">
              <w:rPr>
                <w:rStyle w:val="KonuBalChar"/>
                <w:rFonts w:eastAsia="Calibri"/>
                <w:b w:val="0"/>
                <w:color w:val="000000"/>
              </w:rPr>
              <w:t>Kanunun</w:t>
            </w:r>
            <w:r w:rsidR="00477FF8" w:rsidRPr="00A23740">
              <w:t xml:space="preserve"> </w:t>
            </w:r>
            <w:r w:rsidRPr="00A23740">
              <w:t>386 il</w:t>
            </w:r>
            <w:r w:rsidR="00F25FDB" w:rsidRPr="00A23740">
              <w:t>a</w:t>
            </w:r>
            <w:r w:rsidRPr="00A23740">
              <w:t xml:space="preserve"> 395 inci madde hükümlerinin saklı olduğu </w:t>
            </w:r>
            <w:r w:rsidR="00477FF8" w:rsidRPr="00A23740">
              <w:t>belirtilmektedir</w:t>
            </w:r>
            <w:r w:rsidRPr="00A23740">
              <w:t xml:space="preserve">. </w:t>
            </w:r>
            <w:r w:rsidRPr="00A23740">
              <w:rPr>
                <w:rFonts w:eastAsia="Times New Roman"/>
                <w:color w:val="000000"/>
                <w:szCs w:val="24"/>
                <w:lang w:eastAsia="tr-TR"/>
              </w:rPr>
              <w:t xml:space="preserve">2004 sayılı Kanunun yürürlüğe girdiği dönemden beri hiç değişmemiş olan aile yurtlarına dair </w:t>
            </w:r>
            <w:r w:rsidR="00477FF8" w:rsidRPr="00A23740">
              <w:rPr>
                <w:rFonts w:eastAsia="Times New Roman"/>
                <w:color w:val="000000"/>
                <w:szCs w:val="24"/>
                <w:lang w:eastAsia="tr-TR"/>
              </w:rPr>
              <w:t>4721 sayılı Kanun</w:t>
            </w:r>
            <w:r w:rsidRPr="00A23740">
              <w:rPr>
                <w:rFonts w:eastAsia="Times New Roman"/>
                <w:color w:val="000000"/>
                <w:szCs w:val="24"/>
                <w:lang w:eastAsia="tr-TR"/>
              </w:rPr>
              <w:t xml:space="preserve"> hükümlerinin saklı olduğu kuralı, Taslakta da aynen benimsenmektedir. </w:t>
            </w:r>
            <w:r w:rsidRPr="00A23740">
              <w:t xml:space="preserve">Buna göre, </w:t>
            </w:r>
            <w:r w:rsidR="00477FF8" w:rsidRPr="00A23740">
              <w:t xml:space="preserve">4721 sayılı Kanunun </w:t>
            </w:r>
            <w:r w:rsidRPr="00A23740">
              <w:t>391 inci maddesi uyarınca aile yurtları devredilemez, rehnedilemez ve aile yurtları hakkında cebr</w:t>
            </w:r>
            <w:r w:rsidR="00436506" w:rsidRPr="00A23740">
              <w:t>î</w:t>
            </w:r>
            <w:r w:rsidRPr="00A23740">
              <w:t xml:space="preserve"> icra yoluna başvurulamaz. Aile yurtlarının haciz ve ihale yoluyla paraya çevrilmesi söz konusu değildir.</w:t>
            </w:r>
          </w:p>
        </w:tc>
      </w:tr>
      <w:tr w:rsidR="00881BAF" w:rsidRPr="00A23740" w:rsidTr="009431FF">
        <w:tblPrEx>
          <w:tblLook w:val="01E0" w:firstRow="1" w:lastRow="1" w:firstColumn="1" w:lastColumn="1" w:noHBand="0" w:noVBand="0"/>
        </w:tblPrEx>
        <w:tc>
          <w:tcPr>
            <w:tcW w:w="2500" w:type="pct"/>
          </w:tcPr>
          <w:p w:rsidR="00881BAF" w:rsidRPr="00A23740" w:rsidRDefault="00881BAF" w:rsidP="009431FF">
            <w:pPr>
              <w:rPr>
                <w:rFonts w:eastAsia="Times New Roman"/>
                <w:b/>
                <w:szCs w:val="24"/>
                <w:lang w:eastAsia="tr-TR"/>
              </w:rPr>
            </w:pPr>
          </w:p>
          <w:p w:rsidR="00881BAF" w:rsidRPr="00A23740" w:rsidRDefault="00881BAF" w:rsidP="009431FF">
            <w:pPr>
              <w:rPr>
                <w:rFonts w:eastAsia="Times New Roman"/>
                <w:b/>
                <w:szCs w:val="24"/>
                <w:lang w:eastAsia="tr-TR"/>
              </w:rPr>
            </w:pPr>
          </w:p>
          <w:p w:rsidR="00881BAF" w:rsidRPr="00A23740" w:rsidRDefault="00881BAF" w:rsidP="009431FF">
            <w:pPr>
              <w:rPr>
                <w:rFonts w:eastAsia="Times New Roman"/>
                <w:b/>
                <w:szCs w:val="24"/>
                <w:lang w:eastAsia="tr-TR"/>
              </w:rPr>
            </w:pPr>
          </w:p>
          <w:p w:rsidR="00881BAF" w:rsidRPr="00A23740" w:rsidRDefault="00881BAF" w:rsidP="009431FF">
            <w:pPr>
              <w:rPr>
                <w:rFonts w:eastAsia="Times New Roman"/>
                <w:b/>
                <w:szCs w:val="24"/>
                <w:lang w:eastAsia="tr-TR"/>
              </w:rPr>
            </w:pPr>
            <w:r w:rsidRPr="00A23740">
              <w:rPr>
                <w:rFonts w:eastAsia="Times New Roman"/>
                <w:b/>
                <w:szCs w:val="24"/>
                <w:lang w:eastAsia="tr-TR"/>
              </w:rPr>
              <w:t xml:space="preserve">İhalenin </w:t>
            </w:r>
            <w:r w:rsidRPr="00A23740">
              <w:rPr>
                <w:rStyle w:val="KIRMIZIChar"/>
                <w:rFonts w:eastAsia="Calibri"/>
              </w:rPr>
              <w:t>neticesi ve feshi:</w:t>
            </w:r>
          </w:p>
          <w:p w:rsidR="00CC7CB0" w:rsidRPr="00A23740" w:rsidRDefault="004F5AAC" w:rsidP="009431FF">
            <w:pPr>
              <w:rPr>
                <w:b/>
                <w:bCs/>
                <w:strike/>
                <w:color w:val="FF0000"/>
                <w:szCs w:val="24"/>
              </w:rPr>
            </w:pPr>
            <w:r w:rsidRPr="00A23740">
              <w:rPr>
                <w:rFonts w:eastAsia="Times New Roman"/>
                <w:b/>
                <w:szCs w:val="24"/>
                <w:lang w:eastAsia="tr-TR"/>
              </w:rPr>
              <w:t>Madde 134</w:t>
            </w:r>
            <w:r w:rsidR="00881BAF" w:rsidRPr="00A23740">
              <w:rPr>
                <w:rFonts w:eastAsia="Times New Roman"/>
                <w:b/>
                <w:szCs w:val="24"/>
                <w:lang w:eastAsia="tr-TR"/>
              </w:rPr>
              <w:t xml:space="preserve">– </w:t>
            </w:r>
            <w:r w:rsidR="00881BAF" w:rsidRPr="00A23740">
              <w:rPr>
                <w:rStyle w:val="KIRMIZIChar"/>
                <w:rFonts w:eastAsia="Calibri"/>
              </w:rPr>
              <w:t>(2) (Değişik ikinci fıkra:24/11/2021-7343/27 md.)</w:t>
            </w:r>
            <w:r w:rsidR="00881BAF" w:rsidRPr="00A23740">
              <w:rPr>
                <w:rFonts w:eastAsia="Times New Roman"/>
                <w:color w:val="000000"/>
                <w:szCs w:val="24"/>
                <w:lang w:eastAsia="tr-TR"/>
              </w:rPr>
              <w:t xml:space="preserve"> </w:t>
            </w:r>
            <w:r w:rsidR="00881BAF" w:rsidRPr="00A23740">
              <w:rPr>
                <w:rStyle w:val="KIRMIZIChar"/>
                <w:rFonts w:eastAsia="Calibri"/>
              </w:rPr>
              <w:t>İhalenin feshini, Türk Borçlar Kanununun 281 inci maddesinde yazılı sebepler de dahil olmak üzere yalnız</w:t>
            </w:r>
            <w:r w:rsidR="00881BAF" w:rsidRPr="00A23740">
              <w:t xml:space="preserve"> satış isteyen alacaklı, borçlu, </w:t>
            </w:r>
            <w:r w:rsidR="00881BAF" w:rsidRPr="00A23740">
              <w:rPr>
                <w:rStyle w:val="KIRMIZIChar"/>
                <w:rFonts w:eastAsia="Calibri"/>
              </w:rPr>
              <w:t>mahcuzun</w:t>
            </w:r>
            <w:r w:rsidR="00881BAF" w:rsidRPr="00A23740">
              <w:t xml:space="preserve"> resmi sicil</w:t>
            </w:r>
            <w:r w:rsidR="00881BAF" w:rsidRPr="00A23740">
              <w:rPr>
                <w:rStyle w:val="KIRMIZIChar"/>
                <w:rFonts w:eastAsia="Calibri"/>
              </w:rPr>
              <w:t>inde kayıtlı olan</w:t>
            </w:r>
            <w:r w:rsidR="00881BAF" w:rsidRPr="00A23740">
              <w:t xml:space="preserve"> ilgililer ve sınırlı ayni hak sahipleri </w:t>
            </w:r>
            <w:r w:rsidR="00881BAF" w:rsidRPr="00A23740">
              <w:rPr>
                <w:rStyle w:val="KIRMIZIChar"/>
                <w:rFonts w:eastAsia="Calibri"/>
              </w:rPr>
              <w:t>ile</w:t>
            </w:r>
            <w:r w:rsidR="00881BAF" w:rsidRPr="00A23740">
              <w:t xml:space="preserve"> </w:t>
            </w:r>
            <w:r w:rsidR="00881BAF" w:rsidRPr="00A23740">
              <w:rPr>
                <w:rStyle w:val="KIRMIZIChar"/>
                <w:rFonts w:eastAsia="Calibri"/>
              </w:rPr>
              <w:t>pey sürmek</w:t>
            </w:r>
            <w:r w:rsidR="00881BAF" w:rsidRPr="00A23740">
              <w:t xml:space="preserve"> suretiyle ihaleye </w:t>
            </w:r>
            <w:r w:rsidR="00881BAF" w:rsidRPr="00A23740">
              <w:rPr>
                <w:rStyle w:val="KIRMIZIChar"/>
                <w:rFonts w:eastAsia="Calibri"/>
              </w:rPr>
              <w:t>iştirak edenler</w:t>
            </w:r>
            <w:r w:rsidR="00881BAF" w:rsidRPr="00A23740">
              <w:t xml:space="preserve"> yurt içinde bir adres gösterme</w:t>
            </w:r>
            <w:r w:rsidR="00881BAF" w:rsidRPr="00A23740">
              <w:rPr>
                <w:rStyle w:val="KIRMIZIChar"/>
                <w:rFonts w:eastAsia="Calibri"/>
              </w:rPr>
              <w:t>k</w:t>
            </w:r>
            <w:r w:rsidR="00881BAF" w:rsidRPr="00A23740">
              <w:t xml:space="preserve"> </w:t>
            </w:r>
            <w:r w:rsidR="00881BAF" w:rsidRPr="00A23740">
              <w:rPr>
                <w:rStyle w:val="KIRMIZIChar"/>
                <w:rFonts w:eastAsia="Calibri"/>
              </w:rPr>
              <w:t>koşuluyla</w:t>
            </w:r>
            <w:r w:rsidR="00881BAF" w:rsidRPr="00A23740">
              <w:t xml:space="preserve"> icra mahkemesinden şikayet yolu ile ihale tarihinden itibaren </w:t>
            </w:r>
            <w:r w:rsidR="00881BAF" w:rsidRPr="00A23740">
              <w:rPr>
                <w:rStyle w:val="KIRMIZIChar"/>
                <w:rFonts w:eastAsia="Calibri"/>
              </w:rPr>
              <w:t>yedi gün</w:t>
            </w:r>
            <w:r w:rsidR="00881BAF" w:rsidRPr="00A23740">
              <w:rPr>
                <w:rStyle w:val="KIRMIZIChar"/>
                <w:rFonts w:eastAsia="Calibri"/>
                <w:strike w:val="0"/>
              </w:rPr>
              <w:t xml:space="preserve"> </w:t>
            </w:r>
            <w:r w:rsidR="00881BAF" w:rsidRPr="00A23740">
              <w:t>içinde isteyebilir</w:t>
            </w:r>
            <w:r w:rsidR="00881BAF" w:rsidRPr="00A23740">
              <w:rPr>
                <w:rStyle w:val="KIRMIZIChar"/>
                <w:rFonts w:eastAsia="Calibri"/>
              </w:rPr>
              <w:t>ler</w:t>
            </w:r>
            <w:r w:rsidR="00881BAF" w:rsidRPr="00A23740">
              <w:t>.</w:t>
            </w:r>
            <w:r w:rsidR="00CC7CB0" w:rsidRPr="00A23740">
              <w:rPr>
                <w:rStyle w:val="KIRMIZIChar"/>
                <w:rFonts w:eastAsia="Calibri"/>
                <w:strike w:val="0"/>
              </w:rPr>
              <w:t xml:space="preserve"> </w:t>
            </w:r>
            <w:r w:rsidR="00CC7CB0" w:rsidRPr="00A23740">
              <w:rPr>
                <w:rStyle w:val="KIRMIZIChar"/>
                <w:rFonts w:eastAsia="Calibri"/>
              </w:rPr>
              <w:t>İlgililerin ihale yapıldığı ana kadar cereyan eden muamelelerdeki yolsuzluklara en geç ihale günü ıttıla peyda ettiği kabul edilir.</w:t>
            </w:r>
          </w:p>
          <w:p w:rsidR="00881BAF" w:rsidRPr="00A23740" w:rsidRDefault="00881BAF" w:rsidP="009431FF">
            <w:pPr>
              <w:rPr>
                <w:rFonts w:eastAsia="Times New Roman"/>
                <w:color w:val="000000"/>
                <w:szCs w:val="24"/>
                <w:lang w:eastAsia="tr-TR"/>
              </w:rPr>
            </w:pPr>
          </w:p>
          <w:p w:rsidR="00881BAF" w:rsidRPr="00A23740" w:rsidRDefault="002A258D" w:rsidP="009431FF">
            <w:pPr>
              <w:rPr>
                <w:szCs w:val="24"/>
              </w:rPr>
            </w:pPr>
            <w:r>
              <w:rPr>
                <w:rFonts w:eastAsia="Times New Roman"/>
                <w:b/>
                <w:color w:val="FF0000"/>
                <w:szCs w:val="24"/>
                <w:lang w:eastAsia="tr-TR"/>
              </w:rPr>
              <w:t>(F2.C</w:t>
            </w:r>
            <w:r w:rsidR="00830F39" w:rsidRPr="00A23740">
              <w:rPr>
                <w:rFonts w:eastAsia="Times New Roman"/>
                <w:b/>
                <w:color w:val="FF0000"/>
                <w:szCs w:val="24"/>
                <w:lang w:eastAsia="tr-TR"/>
              </w:rPr>
              <w:t>2)</w:t>
            </w:r>
            <w:r w:rsidR="00881BAF" w:rsidRPr="00A23740">
              <w:rPr>
                <w:rFonts w:eastAsia="Times New Roman"/>
                <w:b/>
                <w:color w:val="FF0000"/>
                <w:szCs w:val="24"/>
                <w:lang w:eastAsia="tr-TR"/>
              </w:rPr>
              <w:t xml:space="preserve"> </w:t>
            </w:r>
            <w:r w:rsidR="00881BAF" w:rsidRPr="00A23740">
              <w:rPr>
                <w:szCs w:val="24"/>
              </w:rPr>
              <w:t xml:space="preserve">İlgililerin ihale </w:t>
            </w:r>
            <w:r w:rsidR="00881BAF" w:rsidRPr="00A23740">
              <w:rPr>
                <w:rStyle w:val="KIRMIZIChar"/>
                <w:rFonts w:eastAsia="Calibri"/>
              </w:rPr>
              <w:t>yapıldığı</w:t>
            </w:r>
            <w:r w:rsidR="00881BAF" w:rsidRPr="00A23740">
              <w:rPr>
                <w:szCs w:val="24"/>
              </w:rPr>
              <w:t xml:space="preserve"> </w:t>
            </w:r>
            <w:r w:rsidR="00881BAF" w:rsidRPr="00A23740">
              <w:rPr>
                <w:rStyle w:val="KIRMIZIChar"/>
                <w:rFonts w:eastAsia="Calibri"/>
              </w:rPr>
              <w:t>ana</w:t>
            </w:r>
            <w:r w:rsidR="00881BAF" w:rsidRPr="00A23740">
              <w:rPr>
                <w:szCs w:val="24"/>
              </w:rPr>
              <w:t xml:space="preserve"> kadar </w:t>
            </w:r>
            <w:r w:rsidR="00881BAF" w:rsidRPr="00A23740">
              <w:rPr>
                <w:rStyle w:val="KIRMIZIChar"/>
                <w:rFonts w:eastAsia="Calibri"/>
              </w:rPr>
              <w:t>cereyan eden muamelelerdeki yolsuzluklara</w:t>
            </w:r>
            <w:r w:rsidR="00881BAF" w:rsidRPr="00A23740">
              <w:rPr>
                <w:szCs w:val="24"/>
              </w:rPr>
              <w:t xml:space="preserve"> en geç </w:t>
            </w:r>
            <w:r w:rsidR="00881BAF" w:rsidRPr="00A23740">
              <w:rPr>
                <w:rStyle w:val="KIRMIZIChar"/>
                <w:rFonts w:eastAsia="Calibri"/>
              </w:rPr>
              <w:t>ihale günü ıttıla peyda ettiği</w:t>
            </w:r>
            <w:r w:rsidR="00881BAF" w:rsidRPr="00A23740">
              <w:rPr>
                <w:szCs w:val="24"/>
              </w:rPr>
              <w:t xml:space="preserve"> kabul edilir.</w:t>
            </w:r>
          </w:p>
          <w:p w:rsidR="00830F39" w:rsidRPr="00A23740" w:rsidRDefault="00830F39" w:rsidP="009431FF">
            <w:pPr>
              <w:rPr>
                <w:rFonts w:eastAsia="Times New Roman"/>
                <w:b/>
                <w:color w:val="FF0000"/>
                <w:szCs w:val="24"/>
                <w:lang w:eastAsia="tr-TR"/>
              </w:rPr>
            </w:pPr>
          </w:p>
          <w:p w:rsidR="00882CE5" w:rsidRPr="00A23740" w:rsidRDefault="00882CE5" w:rsidP="009431FF">
            <w:pPr>
              <w:rPr>
                <w:rFonts w:eastAsia="Times New Roman"/>
                <w:b/>
                <w:color w:val="FF0000"/>
                <w:szCs w:val="24"/>
              </w:rPr>
            </w:pPr>
          </w:p>
          <w:p w:rsidR="00881BAF" w:rsidRPr="00A23740" w:rsidRDefault="00881BAF" w:rsidP="009431FF">
            <w:pPr>
              <w:rPr>
                <w:szCs w:val="24"/>
              </w:rPr>
            </w:pPr>
            <w:r w:rsidRPr="00A23740">
              <w:rPr>
                <w:rFonts w:eastAsia="Times New Roman"/>
                <w:b/>
                <w:color w:val="FF0000"/>
                <w:szCs w:val="24"/>
              </w:rPr>
              <w:t>(10)</w:t>
            </w:r>
            <w:r w:rsidRPr="00A23740">
              <w:rPr>
                <w:rFonts w:eastAsia="Times New Roman"/>
                <w:b/>
                <w:color w:val="FF0000"/>
                <w:szCs w:val="24"/>
                <w:lang w:eastAsia="tr-TR"/>
              </w:rPr>
              <w:t xml:space="preserve"> </w:t>
            </w:r>
            <w:r w:rsidRPr="00A23740">
              <w:rPr>
                <w:szCs w:val="24"/>
              </w:rPr>
              <w:t xml:space="preserve">Satış ilanı tebliğ edilmemiş veya satılan malın esaslı </w:t>
            </w:r>
            <w:r w:rsidRPr="00A23740">
              <w:rPr>
                <w:rStyle w:val="KIRMIZIChar"/>
                <w:rFonts w:eastAsia="Calibri"/>
              </w:rPr>
              <w:t>vasıflarındaki</w:t>
            </w:r>
            <w:r w:rsidRPr="00A23740">
              <w:rPr>
                <w:szCs w:val="24"/>
              </w:rPr>
              <w:t xml:space="preserve"> hata</w:t>
            </w:r>
            <w:r w:rsidRPr="00A23740">
              <w:rPr>
                <w:rStyle w:val="KIRMIZIChar"/>
                <w:rFonts w:eastAsia="Calibri"/>
              </w:rPr>
              <w:t>ya</w:t>
            </w:r>
            <w:r w:rsidRPr="00A23740">
              <w:rPr>
                <w:szCs w:val="24"/>
              </w:rPr>
              <w:t xml:space="preserve"> veya ihalede fesa</w:t>
            </w:r>
            <w:r w:rsidRPr="00A23740">
              <w:rPr>
                <w:rStyle w:val="KIRMIZIChar"/>
                <w:rFonts w:eastAsia="Calibri"/>
              </w:rPr>
              <w:t>da</w:t>
            </w:r>
            <w:r w:rsidRPr="00A23740">
              <w:rPr>
                <w:szCs w:val="24"/>
              </w:rPr>
              <w:t xml:space="preserve"> </w:t>
            </w:r>
            <w:r w:rsidRPr="00A23740">
              <w:rPr>
                <w:rStyle w:val="KIRMIZIChar"/>
                <w:rFonts w:eastAsia="Calibri"/>
              </w:rPr>
              <w:t>bilahare vakıf olunmuşsa</w:t>
            </w:r>
            <w:r w:rsidRPr="00A23740">
              <w:rPr>
                <w:szCs w:val="24"/>
              </w:rPr>
              <w:t xml:space="preserve"> şikayet </w:t>
            </w:r>
            <w:r w:rsidRPr="00A23740">
              <w:rPr>
                <w:rStyle w:val="KIRMIZIChar"/>
                <w:rFonts w:eastAsia="Calibri"/>
              </w:rPr>
              <w:t>müddeti ıttıla</w:t>
            </w:r>
            <w:r w:rsidRPr="00A23740">
              <w:rPr>
                <w:szCs w:val="24"/>
              </w:rPr>
              <w:t xml:space="preserve"> tarihinden başlar. Şu kadar ki, bu </w:t>
            </w:r>
            <w:r w:rsidRPr="00A23740">
              <w:rPr>
                <w:rStyle w:val="KIRMIZIChar"/>
                <w:rFonts w:eastAsia="Calibri"/>
              </w:rPr>
              <w:t>müddet</w:t>
            </w:r>
            <w:r w:rsidRPr="00A23740">
              <w:rPr>
                <w:szCs w:val="24"/>
              </w:rPr>
              <w:t xml:space="preserve"> </w:t>
            </w:r>
            <w:r w:rsidRPr="00A23740">
              <w:t>ihalenin yapıldığına ilişkin kararın elektronik satış portalında ilan edildiği tarihten itibaren</w:t>
            </w:r>
            <w:r w:rsidRPr="00A23740">
              <w:rPr>
                <w:szCs w:val="24"/>
              </w:rPr>
              <w:t xml:space="preserve"> bir </w:t>
            </w:r>
            <w:r w:rsidRPr="00A23740">
              <w:rPr>
                <w:rStyle w:val="KIRMIZIChar"/>
                <w:rFonts w:eastAsia="Calibri"/>
              </w:rPr>
              <w:t>seneyi</w:t>
            </w:r>
            <w:r w:rsidRPr="00A23740">
              <w:rPr>
                <w:szCs w:val="24"/>
              </w:rPr>
              <w:t xml:space="preserve"> geçemez.</w:t>
            </w:r>
          </w:p>
          <w:p w:rsidR="005D7F8C" w:rsidRPr="00A23740" w:rsidRDefault="005D7F8C" w:rsidP="009431FF">
            <w:pPr>
              <w:rPr>
                <w:rFonts w:eastAsia="Times New Roman"/>
                <w:szCs w:val="24"/>
                <w:lang w:eastAsia="tr-TR"/>
              </w:rPr>
            </w:pPr>
          </w:p>
          <w:p w:rsidR="00882CE5" w:rsidRPr="00A23740" w:rsidRDefault="00882CE5" w:rsidP="009431FF">
            <w:pPr>
              <w:rPr>
                <w:rStyle w:val="KIRMIZIChar"/>
                <w:rFonts w:eastAsia="Calibri"/>
              </w:rPr>
            </w:pPr>
          </w:p>
          <w:p w:rsidR="005D7F8C" w:rsidRPr="00A23740" w:rsidRDefault="005D7F8C" w:rsidP="009431FF">
            <w:pPr>
              <w:rPr>
                <w:rStyle w:val="KIRMIZIChar"/>
                <w:rFonts w:eastAsia="Calibri"/>
              </w:rPr>
            </w:pPr>
            <w:r w:rsidRPr="00A23740">
              <w:rPr>
                <w:rStyle w:val="KIRMIZIChar"/>
                <w:rFonts w:eastAsia="Calibri"/>
              </w:rPr>
              <w:t>(2) (Değişik ikinci fıkra:24/11/2021-7343/27 md.)</w:t>
            </w:r>
            <w:r w:rsidRPr="00A23740">
              <w:rPr>
                <w:rFonts w:eastAsia="Times New Roman"/>
                <w:color w:val="000000"/>
                <w:szCs w:val="24"/>
                <w:lang w:eastAsia="tr-TR"/>
              </w:rPr>
              <w:t xml:space="preserve"> </w:t>
            </w:r>
            <w:r w:rsidRPr="00A23740">
              <w:rPr>
                <w:rStyle w:val="KIRMIZIChar"/>
                <w:rFonts w:eastAsia="Calibri"/>
              </w:rPr>
              <w:t>İhalenin feshini, Türk Borçlar Kanununun 281 inci maddesinde yazılı sebepler de dahil olma</w:t>
            </w:r>
            <w:r w:rsidRPr="00A23740">
              <w:rPr>
                <w:rStyle w:val="KIRMIZIChar"/>
                <w:rFonts w:eastAsia="Calibri"/>
                <w:strike w:val="0"/>
              </w:rPr>
              <w:t>k üzere yalnız</w:t>
            </w:r>
            <w:r w:rsidRPr="00A23740">
              <w:rPr>
                <w:rStyle w:val="KIRMIZIChar"/>
                <w:rFonts w:eastAsia="Calibri"/>
              </w:rPr>
              <w:t xml:space="preserve"> satış isteyen alacaklı, borçlu, </w:t>
            </w:r>
            <w:r w:rsidRPr="00A23740">
              <w:rPr>
                <w:rStyle w:val="KIRMIZIChar"/>
                <w:rFonts w:eastAsia="Calibri"/>
                <w:strike w:val="0"/>
              </w:rPr>
              <w:t>mahcuzun</w:t>
            </w:r>
            <w:r w:rsidRPr="00A23740">
              <w:rPr>
                <w:rStyle w:val="KIRMIZIChar"/>
                <w:rFonts w:eastAsia="Calibri"/>
              </w:rPr>
              <w:t xml:space="preserve"> resmi sicil</w:t>
            </w:r>
            <w:r w:rsidRPr="00A23740">
              <w:rPr>
                <w:rStyle w:val="KIRMIZIChar"/>
                <w:rFonts w:eastAsia="Calibri"/>
                <w:strike w:val="0"/>
              </w:rPr>
              <w:t>inde kayıtlı olan</w:t>
            </w:r>
            <w:r w:rsidRPr="00A23740">
              <w:rPr>
                <w:rStyle w:val="KIRMIZIChar"/>
                <w:rFonts w:eastAsia="Calibri"/>
              </w:rPr>
              <w:t xml:space="preserve"> ilgililer ve sınırlı ayni hak sahipleri </w:t>
            </w:r>
            <w:r w:rsidRPr="00A23740">
              <w:rPr>
                <w:rStyle w:val="KIRMIZIChar"/>
                <w:rFonts w:eastAsia="Calibri"/>
                <w:strike w:val="0"/>
              </w:rPr>
              <w:t>ile</w:t>
            </w:r>
            <w:r w:rsidRPr="00A23740">
              <w:t xml:space="preserve"> </w:t>
            </w:r>
            <w:r w:rsidRPr="00A23740">
              <w:rPr>
                <w:rStyle w:val="KIRMIZIChar"/>
                <w:rFonts w:eastAsia="Calibri"/>
              </w:rPr>
              <w:t>pey sürmek suretiyle ihaleye iştirak edenler</w:t>
            </w:r>
            <w:r w:rsidRPr="00A23740">
              <w:t xml:space="preserve"> yurt içinde bir adres gösterme</w:t>
            </w:r>
            <w:r w:rsidRPr="00A23740">
              <w:rPr>
                <w:rStyle w:val="KIRMIZIChar"/>
                <w:rFonts w:eastAsia="Calibri"/>
              </w:rPr>
              <w:t>k</w:t>
            </w:r>
            <w:r w:rsidRPr="00A23740">
              <w:t xml:space="preserve"> </w:t>
            </w:r>
            <w:r w:rsidRPr="00A23740">
              <w:rPr>
                <w:rStyle w:val="KIRMIZIChar"/>
                <w:rFonts w:eastAsia="Calibri"/>
              </w:rPr>
              <w:t>koşuluyla icra mahkemesinden şikayet yolu ile ihale tarihinden itibaren yedi gün içinde isteyebilirler.</w:t>
            </w:r>
          </w:p>
          <w:p w:rsidR="00881BAF" w:rsidRPr="00A23740" w:rsidRDefault="00881BAF" w:rsidP="009431FF">
            <w:pPr>
              <w:rPr>
                <w:rFonts w:eastAsia="Times New Roman"/>
                <w:szCs w:val="24"/>
                <w:lang w:eastAsia="tr-TR"/>
              </w:rPr>
            </w:pPr>
          </w:p>
          <w:p w:rsidR="00881BAF" w:rsidRPr="00A23740" w:rsidRDefault="00881BAF" w:rsidP="009431FF">
            <w:pPr>
              <w:rPr>
                <w:rFonts w:eastAsia="Times New Roman"/>
                <w:b/>
                <w:szCs w:val="24"/>
                <w:lang w:eastAsia="tr-TR"/>
              </w:rPr>
            </w:pPr>
            <w:r w:rsidRPr="00A23740">
              <w:rPr>
                <w:rFonts w:eastAsia="Times New Roman"/>
                <w:b/>
                <w:szCs w:val="24"/>
                <w:lang w:eastAsia="tr-TR"/>
              </w:rPr>
              <w:t xml:space="preserve">İhalenin </w:t>
            </w:r>
            <w:r w:rsidRPr="00A23740">
              <w:rPr>
                <w:rStyle w:val="KIRMIZIChar"/>
                <w:rFonts w:eastAsia="Calibri"/>
              </w:rPr>
              <w:t>neticesi ve feshi:</w:t>
            </w:r>
          </w:p>
          <w:p w:rsidR="00881BAF" w:rsidRPr="00A23740" w:rsidRDefault="00881BAF" w:rsidP="009431FF">
            <w:pPr>
              <w:rPr>
                <w:rStyle w:val="KIRMIZIChar"/>
                <w:rFonts w:eastAsia="Calibri"/>
              </w:rPr>
            </w:pPr>
            <w:r w:rsidRPr="00A23740">
              <w:rPr>
                <w:rFonts w:eastAsia="Times New Roman"/>
                <w:b/>
                <w:szCs w:val="24"/>
                <w:lang w:eastAsia="tr-TR"/>
              </w:rPr>
              <w:t xml:space="preserve">Madde 134 – </w:t>
            </w:r>
            <w:r w:rsidRPr="00A23740">
              <w:rPr>
                <w:rStyle w:val="KIRMIZIChar"/>
                <w:rFonts w:eastAsia="Calibri"/>
              </w:rPr>
              <w:t>(2) (Değişik ikinci fıkra:24/11/2021-7343/27 md.)</w:t>
            </w:r>
            <w:r w:rsidRPr="00A23740">
              <w:rPr>
                <w:rFonts w:eastAsia="Times New Roman"/>
                <w:color w:val="000000"/>
                <w:szCs w:val="24"/>
                <w:lang w:eastAsia="tr-TR"/>
              </w:rPr>
              <w:t xml:space="preserve"> </w:t>
            </w:r>
            <w:r w:rsidRPr="00A23740">
              <w:t>İhalenin</w:t>
            </w:r>
            <w:r w:rsidRPr="00A23740">
              <w:rPr>
                <w:rStyle w:val="KIRMIZIChar"/>
                <w:rFonts w:eastAsia="Calibri"/>
                <w:strike w:val="0"/>
              </w:rPr>
              <w:t xml:space="preserve"> </w:t>
            </w:r>
            <w:r w:rsidRPr="00A23740">
              <w:rPr>
                <w:rStyle w:val="KIRMIZIChar"/>
                <w:rFonts w:eastAsia="Calibri"/>
              </w:rPr>
              <w:t>feshini</w:t>
            </w:r>
            <w:r w:rsidRPr="00A23740">
              <w:t xml:space="preserve">, Türk Borçlar Kanununun 281 inci maddesinde yazılı sebepler de dahil olmak üzere </w:t>
            </w:r>
            <w:r w:rsidRPr="00A23740">
              <w:rPr>
                <w:rStyle w:val="KIRMIZIChar"/>
                <w:rFonts w:eastAsia="Calibri"/>
              </w:rPr>
              <w:t xml:space="preserve">yalnız satış isteyen alacaklı, borçlu, mahcuzun resmi sicilinde kayıtlı olan ilgililer ve sınırlı ayni hak sahipleri ile pey sürmek suretiyle ihaleye iştirak edenler yurt içinde bir adres göstermek koşuluyla icra mahkemesinden şikayet yolu ile ihale tarihinden itibaren yedi gün içinde isteyebilirler. </w:t>
            </w:r>
          </w:p>
          <w:p w:rsidR="00881BAF" w:rsidRPr="00A23740" w:rsidRDefault="00881BAF" w:rsidP="009431FF">
            <w:pPr>
              <w:rPr>
                <w:rFonts w:eastAsia="Times New Roman"/>
                <w:szCs w:val="24"/>
                <w:lang w:eastAsia="tr-TR"/>
              </w:rPr>
            </w:pPr>
          </w:p>
          <w:p w:rsidR="00881BAF" w:rsidRPr="00A23740" w:rsidRDefault="00881BAF" w:rsidP="009431FF">
            <w:pPr>
              <w:rPr>
                <w:rFonts w:eastAsia="Times New Roman"/>
                <w:i/>
                <w:szCs w:val="24"/>
                <w:lang w:eastAsia="tr-TR"/>
              </w:rPr>
            </w:pPr>
          </w:p>
          <w:p w:rsidR="00881BAF" w:rsidRPr="00A23740" w:rsidRDefault="00881BAF" w:rsidP="009431FF">
            <w:pPr>
              <w:tabs>
                <w:tab w:val="left" w:pos="567"/>
              </w:tabs>
              <w:rPr>
                <w:rFonts w:eastAsia="Times New Roman"/>
                <w:b/>
                <w:szCs w:val="24"/>
                <w:lang w:eastAsia="tr-TR"/>
              </w:rPr>
            </w:pPr>
          </w:p>
          <w:p w:rsidR="00881BAF" w:rsidRPr="00A23740" w:rsidRDefault="00881BAF" w:rsidP="009431FF">
            <w:pPr>
              <w:tabs>
                <w:tab w:val="left" w:pos="567"/>
              </w:tabs>
              <w:rPr>
                <w:rFonts w:eastAsia="Times New Roman"/>
                <w:b/>
                <w:szCs w:val="24"/>
                <w:lang w:eastAsia="tr-TR"/>
              </w:rPr>
            </w:pPr>
          </w:p>
          <w:p w:rsidR="00881BAF" w:rsidRPr="00A23740" w:rsidRDefault="00881BAF" w:rsidP="009431FF">
            <w:pPr>
              <w:rPr>
                <w:rFonts w:eastAsia="Times New Roman"/>
                <w:szCs w:val="24"/>
                <w:lang w:eastAsia="tr-TR"/>
              </w:rPr>
            </w:pPr>
          </w:p>
        </w:tc>
        <w:tc>
          <w:tcPr>
            <w:tcW w:w="2500" w:type="pct"/>
          </w:tcPr>
          <w:p w:rsidR="00881BAF" w:rsidRPr="00A23740" w:rsidRDefault="00342891" w:rsidP="009431FF">
            <w:pPr>
              <w:jc w:val="center"/>
              <w:rPr>
                <w:rFonts w:eastAsia="Times New Roman"/>
                <w:b/>
                <w:color w:val="0000FF"/>
                <w:szCs w:val="24"/>
                <w:lang w:eastAsia="tr-TR"/>
              </w:rPr>
            </w:pPr>
            <w:r w:rsidRPr="00A23740">
              <w:rPr>
                <w:rFonts w:eastAsia="Times New Roman"/>
                <w:b/>
                <w:color w:val="0000FF"/>
                <w:szCs w:val="24"/>
                <w:lang w:eastAsia="tr-TR"/>
              </w:rPr>
              <w:t>ALTINCI</w:t>
            </w:r>
            <w:r w:rsidR="00881BAF" w:rsidRPr="00A23740">
              <w:rPr>
                <w:rFonts w:eastAsia="Times New Roman"/>
                <w:b/>
                <w:color w:val="0000FF"/>
                <w:szCs w:val="24"/>
                <w:lang w:eastAsia="tr-TR"/>
              </w:rPr>
              <w:t xml:space="preserve"> ALT AYRIM</w:t>
            </w:r>
          </w:p>
          <w:p w:rsidR="00881BAF" w:rsidRPr="00A23740" w:rsidRDefault="00881BAF" w:rsidP="009431FF">
            <w:pPr>
              <w:jc w:val="center"/>
              <w:rPr>
                <w:rFonts w:eastAsia="Times New Roman"/>
                <w:b/>
                <w:color w:val="0000FF"/>
                <w:szCs w:val="24"/>
                <w:lang w:eastAsia="tr-TR"/>
              </w:rPr>
            </w:pPr>
            <w:r w:rsidRPr="00A23740">
              <w:rPr>
                <w:rFonts w:eastAsia="Times New Roman"/>
                <w:b/>
                <w:color w:val="0000FF"/>
                <w:szCs w:val="24"/>
                <w:lang w:eastAsia="tr-TR"/>
              </w:rPr>
              <w:t xml:space="preserve">İhalenin İptali </w:t>
            </w:r>
          </w:p>
          <w:p w:rsidR="00881BAF" w:rsidRPr="00A23740" w:rsidRDefault="00881BAF" w:rsidP="009431FF">
            <w:pPr>
              <w:rPr>
                <w:rFonts w:eastAsia="Times New Roman"/>
                <w:b/>
                <w:szCs w:val="24"/>
                <w:lang w:eastAsia="tr-TR"/>
              </w:rPr>
            </w:pPr>
          </w:p>
          <w:p w:rsidR="00881BAF" w:rsidRPr="00A23740" w:rsidRDefault="00881BAF" w:rsidP="009431FF">
            <w:pPr>
              <w:rPr>
                <w:b/>
                <w:bCs/>
                <w:color w:val="0000FF"/>
                <w:szCs w:val="24"/>
                <w:lang w:eastAsia="x-none"/>
              </w:rPr>
            </w:pPr>
            <w:r w:rsidRPr="00A23740">
              <w:rPr>
                <w:rFonts w:eastAsia="Times New Roman"/>
                <w:b/>
                <w:szCs w:val="24"/>
                <w:lang w:eastAsia="tr-TR"/>
              </w:rPr>
              <w:t xml:space="preserve">İhalenin </w:t>
            </w:r>
            <w:r w:rsidRPr="00A23740">
              <w:rPr>
                <w:b/>
                <w:bCs/>
                <w:color w:val="0000FF"/>
                <w:szCs w:val="24"/>
                <w:lang w:eastAsia="x-none"/>
              </w:rPr>
              <w:t>iptali talebi</w:t>
            </w:r>
            <w:r w:rsidR="00830F39" w:rsidRPr="00A23740">
              <w:rPr>
                <w:b/>
                <w:bCs/>
                <w:color w:val="0000FF"/>
                <w:szCs w:val="24"/>
                <w:lang w:eastAsia="x-none"/>
              </w:rPr>
              <w:t xml:space="preserve"> </w:t>
            </w:r>
          </w:p>
          <w:p w:rsidR="00881BAF" w:rsidRPr="00A23740" w:rsidRDefault="00DB722E" w:rsidP="009431FF">
            <w:pPr>
              <w:tabs>
                <w:tab w:val="left" w:pos="567"/>
              </w:tabs>
            </w:pPr>
            <w:r w:rsidRPr="00A23740">
              <w:rPr>
                <w:b/>
                <w:bCs/>
                <w:color w:val="0000FF"/>
                <w:szCs w:val="24"/>
                <w:lang w:eastAsia="x-none"/>
              </w:rPr>
              <w:t>MADDE 25</w:t>
            </w:r>
            <w:r w:rsidR="00490C3E" w:rsidRPr="00A23740">
              <w:rPr>
                <w:b/>
                <w:bCs/>
                <w:color w:val="0000FF"/>
                <w:szCs w:val="24"/>
                <w:lang w:eastAsia="x-none"/>
              </w:rPr>
              <w:t>5</w:t>
            </w:r>
            <w:r w:rsidR="00881BAF" w:rsidRPr="00A23740">
              <w:rPr>
                <w:b/>
                <w:bCs/>
                <w:color w:val="0000FF"/>
                <w:szCs w:val="24"/>
                <w:lang w:eastAsia="x-none"/>
              </w:rPr>
              <w:t xml:space="preserve">- (1) </w:t>
            </w:r>
            <w:r w:rsidR="00881BAF" w:rsidRPr="00A23740">
              <w:rPr>
                <w:rStyle w:val="MaviChar"/>
              </w:rPr>
              <w:t>Borçlu,</w:t>
            </w:r>
            <w:r w:rsidR="00881BAF" w:rsidRPr="00A23740">
              <w:rPr>
                <w:b/>
                <w:bCs/>
                <w:color w:val="0000FF"/>
                <w:szCs w:val="24"/>
                <w:lang w:eastAsia="x-none"/>
              </w:rPr>
              <w:t xml:space="preserve"> s</w:t>
            </w:r>
            <w:r w:rsidR="00881BAF" w:rsidRPr="00A23740">
              <w:t xml:space="preserve">atış isteyen alacaklı, </w:t>
            </w:r>
            <w:r w:rsidR="00881BAF" w:rsidRPr="00A23740">
              <w:rPr>
                <w:rStyle w:val="MaviChar"/>
              </w:rPr>
              <w:t>ihale konusu mal üzerinde haciz sahibi olan diğer alacaklılar</w:t>
            </w:r>
            <w:r w:rsidR="00881BAF" w:rsidRPr="00A23740">
              <w:t xml:space="preserve"> </w:t>
            </w:r>
            <w:r w:rsidR="00881BAF" w:rsidRPr="00A23740">
              <w:rPr>
                <w:rStyle w:val="MaviChar"/>
              </w:rPr>
              <w:t>ve teklif vermek</w:t>
            </w:r>
            <w:r w:rsidR="00881BAF" w:rsidRPr="00A23740">
              <w:t xml:space="preserve"> suretiyle ihaleye </w:t>
            </w:r>
            <w:r w:rsidR="00881BAF" w:rsidRPr="00A23740">
              <w:rPr>
                <w:rStyle w:val="MaviChar"/>
              </w:rPr>
              <w:t>katılanlar ile satış kararı tarihi itibariyle</w:t>
            </w:r>
            <w:r w:rsidR="00881BAF" w:rsidRPr="00A23740">
              <w:t xml:space="preserve"> </w:t>
            </w:r>
            <w:r w:rsidR="00881BAF" w:rsidRPr="00A23740">
              <w:rPr>
                <w:rStyle w:val="MaviChar"/>
              </w:rPr>
              <w:t>malın</w:t>
            </w:r>
            <w:r w:rsidR="00881BAF" w:rsidRPr="00A23740">
              <w:t xml:space="preserve"> </w:t>
            </w:r>
            <w:r w:rsidR="00881BAF" w:rsidRPr="00A23740">
              <w:rPr>
                <w:rStyle w:val="MaviChar"/>
              </w:rPr>
              <w:t>kayıtlı olduğu</w:t>
            </w:r>
            <w:r w:rsidR="00AD7D81" w:rsidRPr="00A23740">
              <w:t xml:space="preserve"> resmî</w:t>
            </w:r>
            <w:r w:rsidR="00881BAF" w:rsidRPr="00A23740">
              <w:t xml:space="preserve"> </w:t>
            </w:r>
            <w:r w:rsidR="00D6629C" w:rsidRPr="000D6BE5">
              <w:rPr>
                <w:rStyle w:val="MaviChar"/>
              </w:rPr>
              <w:t>sicildeki</w:t>
            </w:r>
            <w:r w:rsidR="00D6629C" w:rsidRPr="00A23740">
              <w:rPr>
                <w:color w:val="70AD47"/>
              </w:rPr>
              <w:t xml:space="preserve"> </w:t>
            </w:r>
            <w:r w:rsidR="00881BAF" w:rsidRPr="00A23740">
              <w:t xml:space="preserve">ilgililer ve </w:t>
            </w:r>
            <w:r w:rsidR="00881BAF" w:rsidRPr="00A23740">
              <w:rPr>
                <w:rStyle w:val="MaviChar"/>
              </w:rPr>
              <w:t>mülkiyet veya</w:t>
            </w:r>
            <w:r w:rsidRPr="00A23740">
              <w:t xml:space="preserve"> sınırlı ayni hak sahipleri</w:t>
            </w:r>
            <w:r w:rsidR="00D6629C" w:rsidRPr="00A23740">
              <w:rPr>
                <w:b/>
                <w:bCs/>
                <w:color w:val="70AD47"/>
              </w:rPr>
              <w:t>,</w:t>
            </w:r>
            <w:r w:rsidRPr="00A23740">
              <w:t xml:space="preserve"> şikâ</w:t>
            </w:r>
            <w:r w:rsidR="00881BAF" w:rsidRPr="00A23740">
              <w:t xml:space="preserve">yet yoluyla ihale tarihinden itibaren </w:t>
            </w:r>
            <w:r w:rsidR="00881BAF" w:rsidRPr="00A23740">
              <w:rPr>
                <w:rStyle w:val="MaviChar"/>
              </w:rPr>
              <w:t>bir hafta</w:t>
            </w:r>
            <w:r w:rsidR="00881BAF" w:rsidRPr="00A23740">
              <w:t xml:space="preserve"> içinde icra </w:t>
            </w:r>
            <w:r w:rsidR="00881BAF" w:rsidRPr="00A23740">
              <w:rPr>
                <w:rStyle w:val="MaviChar"/>
              </w:rPr>
              <w:t>hukuk</w:t>
            </w:r>
            <w:r w:rsidR="00881BAF" w:rsidRPr="00A23740">
              <w:t xml:space="preserve"> mahkemesinden ihalenin </w:t>
            </w:r>
            <w:r w:rsidR="00881BAF" w:rsidRPr="00A23740">
              <w:rPr>
                <w:rStyle w:val="MaviChar"/>
              </w:rPr>
              <w:t>iptalini</w:t>
            </w:r>
            <w:r w:rsidR="00A148F3" w:rsidRPr="00A23740">
              <w:t xml:space="preserve"> isteyebilir</w:t>
            </w:r>
            <w:r w:rsidR="00881BAF" w:rsidRPr="00A23740">
              <w:t xml:space="preserve">. </w:t>
            </w:r>
          </w:p>
          <w:p w:rsidR="00881BAF" w:rsidRPr="00A23740" w:rsidRDefault="00881BAF" w:rsidP="009431FF">
            <w:pPr>
              <w:tabs>
                <w:tab w:val="left" w:pos="567"/>
              </w:tabs>
            </w:pPr>
          </w:p>
          <w:p w:rsidR="00881BAF" w:rsidRPr="00A23740" w:rsidRDefault="00881BAF" w:rsidP="009431FF">
            <w:pPr>
              <w:tabs>
                <w:tab w:val="left" w:pos="567"/>
              </w:tabs>
              <w:rPr>
                <w:b/>
                <w:bCs/>
                <w:color w:val="0000FF"/>
                <w:szCs w:val="24"/>
                <w:lang w:eastAsia="x-none"/>
              </w:rPr>
            </w:pPr>
          </w:p>
          <w:p w:rsidR="00881BAF" w:rsidRPr="00A23740" w:rsidRDefault="00881BAF" w:rsidP="009431FF">
            <w:pPr>
              <w:pStyle w:val="YEL"/>
              <w:rPr>
                <w:color w:val="FF0000"/>
                <w:lang w:val="tr-TR"/>
              </w:rPr>
            </w:pPr>
          </w:p>
          <w:p w:rsidR="003C2B62" w:rsidRPr="00A23740" w:rsidRDefault="003C2B62" w:rsidP="009431FF">
            <w:pPr>
              <w:pStyle w:val="YEL"/>
              <w:rPr>
                <w:color w:val="FF0000"/>
                <w:lang w:val="tr-TR"/>
              </w:rPr>
            </w:pPr>
          </w:p>
          <w:p w:rsidR="00830F39" w:rsidRPr="00A23740" w:rsidRDefault="005D7F8C" w:rsidP="009431FF">
            <w:pPr>
              <w:tabs>
                <w:tab w:val="left" w:pos="567"/>
              </w:tabs>
              <w:rPr>
                <w:rFonts w:eastAsia="Times New Roman"/>
                <w:szCs w:val="24"/>
                <w:lang w:eastAsia="tr-TR"/>
              </w:rPr>
            </w:pPr>
            <w:r w:rsidRPr="00A23740">
              <w:rPr>
                <w:b/>
                <w:bCs/>
                <w:color w:val="0000FF"/>
                <w:szCs w:val="24"/>
                <w:lang w:eastAsia="x-none"/>
              </w:rPr>
              <w:t>(2</w:t>
            </w:r>
            <w:r w:rsidR="00881BAF" w:rsidRPr="00A23740">
              <w:rPr>
                <w:b/>
                <w:bCs/>
                <w:color w:val="0000FF"/>
                <w:szCs w:val="24"/>
                <w:lang w:eastAsia="x-none"/>
              </w:rPr>
              <w:t>)</w:t>
            </w:r>
            <w:r w:rsidR="00881BAF" w:rsidRPr="00A23740">
              <w:rPr>
                <w:rFonts w:eastAsia="Times New Roman"/>
                <w:szCs w:val="24"/>
                <w:lang w:eastAsia="tr-TR"/>
              </w:rPr>
              <w:t xml:space="preserve"> İlgililerin ihale </w:t>
            </w:r>
            <w:r w:rsidR="00881BAF" w:rsidRPr="00A23740">
              <w:rPr>
                <w:rStyle w:val="MaviChar"/>
              </w:rPr>
              <w:t>anına</w:t>
            </w:r>
            <w:r w:rsidR="00881BAF" w:rsidRPr="00A23740">
              <w:rPr>
                <w:rFonts w:eastAsia="Times New Roman"/>
                <w:szCs w:val="24"/>
                <w:lang w:eastAsia="tr-TR"/>
              </w:rPr>
              <w:t xml:space="preserve"> kadar </w:t>
            </w:r>
            <w:r w:rsidR="00881BAF" w:rsidRPr="00A23740">
              <w:rPr>
                <w:rStyle w:val="MaviChar"/>
              </w:rPr>
              <w:t>yapılan işlemlerdeki hukuka aykırılıkları</w:t>
            </w:r>
            <w:r w:rsidR="00881BAF" w:rsidRPr="00A23740">
              <w:rPr>
                <w:rFonts w:eastAsia="Times New Roman"/>
                <w:szCs w:val="24"/>
                <w:lang w:eastAsia="tr-TR"/>
              </w:rPr>
              <w:t xml:space="preserve"> en geç</w:t>
            </w:r>
            <w:r w:rsidR="00882CE5" w:rsidRPr="00A23740">
              <w:rPr>
                <w:rFonts w:eastAsia="Times New Roman"/>
                <w:szCs w:val="24"/>
                <w:lang w:eastAsia="tr-TR"/>
              </w:rPr>
              <w:t xml:space="preserve"> </w:t>
            </w:r>
            <w:r w:rsidR="00882CE5" w:rsidRPr="000D6BE5">
              <w:rPr>
                <w:rStyle w:val="MaviChar"/>
              </w:rPr>
              <w:t>artırma sonuç tutanağının</w:t>
            </w:r>
            <w:r w:rsidR="00881BAF" w:rsidRPr="00A23740">
              <w:rPr>
                <w:rFonts w:eastAsia="Times New Roman"/>
                <w:szCs w:val="24"/>
                <w:lang w:eastAsia="tr-TR"/>
              </w:rPr>
              <w:t xml:space="preserve"> </w:t>
            </w:r>
            <w:r w:rsidR="00881BAF" w:rsidRPr="00A23740">
              <w:rPr>
                <w:rStyle w:val="MaviChar"/>
              </w:rPr>
              <w:t>elektronik satış portalında ilan edildiği tarihte</w:t>
            </w:r>
            <w:r w:rsidR="00881BAF" w:rsidRPr="00A23740">
              <w:rPr>
                <w:rFonts w:eastAsia="Times New Roman"/>
                <w:szCs w:val="24"/>
                <w:lang w:eastAsia="tr-TR"/>
              </w:rPr>
              <w:t xml:space="preserve"> </w:t>
            </w:r>
            <w:r w:rsidR="00881BAF" w:rsidRPr="00A23740">
              <w:rPr>
                <w:rStyle w:val="MaviChar"/>
              </w:rPr>
              <w:t>öğrendiği</w:t>
            </w:r>
            <w:r w:rsidR="00881BAF" w:rsidRPr="00A23740">
              <w:rPr>
                <w:rFonts w:eastAsia="Times New Roman"/>
                <w:szCs w:val="24"/>
                <w:lang w:eastAsia="tr-TR"/>
              </w:rPr>
              <w:t xml:space="preserve"> kabul edilir. </w:t>
            </w:r>
          </w:p>
          <w:p w:rsidR="00882CE5" w:rsidRDefault="00882CE5" w:rsidP="009431FF">
            <w:pPr>
              <w:tabs>
                <w:tab w:val="left" w:pos="567"/>
              </w:tabs>
              <w:rPr>
                <w:rFonts w:eastAsia="Times New Roman"/>
                <w:szCs w:val="24"/>
                <w:lang w:eastAsia="tr-TR"/>
              </w:rPr>
            </w:pPr>
          </w:p>
          <w:p w:rsidR="0057633D" w:rsidRPr="00A23740" w:rsidRDefault="0057633D" w:rsidP="009431FF">
            <w:pPr>
              <w:tabs>
                <w:tab w:val="left" w:pos="567"/>
              </w:tabs>
              <w:rPr>
                <w:rFonts w:eastAsia="Times New Roman"/>
                <w:szCs w:val="24"/>
                <w:lang w:eastAsia="tr-TR"/>
              </w:rPr>
            </w:pPr>
          </w:p>
          <w:p w:rsidR="00881BAF" w:rsidRPr="00A23740" w:rsidRDefault="00830F39" w:rsidP="009431FF">
            <w:pPr>
              <w:tabs>
                <w:tab w:val="left" w:pos="567"/>
              </w:tabs>
              <w:rPr>
                <w:rFonts w:eastAsia="Times New Roman"/>
                <w:szCs w:val="24"/>
                <w:lang w:eastAsia="tr-TR"/>
              </w:rPr>
            </w:pPr>
            <w:r w:rsidRPr="00A23740">
              <w:rPr>
                <w:rStyle w:val="MaviChar"/>
              </w:rPr>
              <w:t>(3)</w:t>
            </w:r>
            <w:r w:rsidRPr="00A23740">
              <w:rPr>
                <w:rFonts w:eastAsia="Times New Roman"/>
                <w:szCs w:val="24"/>
                <w:lang w:eastAsia="tr-TR"/>
              </w:rPr>
              <w:t xml:space="preserve"> </w:t>
            </w:r>
            <w:r w:rsidR="00881BAF" w:rsidRPr="00A23740">
              <w:rPr>
                <w:rFonts w:eastAsia="Times New Roman"/>
                <w:szCs w:val="24"/>
                <w:lang w:eastAsia="tr-TR"/>
              </w:rPr>
              <w:t xml:space="preserve">Satış ilanı tebliğ edilmemiş veya satılan malın esaslı </w:t>
            </w:r>
            <w:r w:rsidR="00881BAF" w:rsidRPr="00A23740">
              <w:rPr>
                <w:rStyle w:val="MaviChar"/>
              </w:rPr>
              <w:t>niteliklerinde</w:t>
            </w:r>
            <w:r w:rsidR="00881BAF" w:rsidRPr="00A23740">
              <w:rPr>
                <w:rFonts w:eastAsia="Times New Roman"/>
                <w:szCs w:val="24"/>
                <w:lang w:eastAsia="tr-TR"/>
              </w:rPr>
              <w:t xml:space="preserve"> hata </w:t>
            </w:r>
            <w:r w:rsidR="00882CE5" w:rsidRPr="000D6BE5">
              <w:rPr>
                <w:rStyle w:val="MaviChar"/>
              </w:rPr>
              <w:t>ya da</w:t>
            </w:r>
            <w:r w:rsidR="00882CE5" w:rsidRPr="00A23740">
              <w:rPr>
                <w:rFonts w:eastAsia="Times New Roman"/>
                <w:szCs w:val="24"/>
                <w:lang w:eastAsia="tr-TR"/>
              </w:rPr>
              <w:t xml:space="preserve"> </w:t>
            </w:r>
            <w:r w:rsidR="00882CE5" w:rsidRPr="000D6BE5">
              <w:rPr>
                <w:rStyle w:val="MaviChar"/>
              </w:rPr>
              <w:t>ihaleye fesat karıştırıldığı</w:t>
            </w:r>
            <w:r w:rsidR="00D6629C" w:rsidRPr="000D6BE5">
              <w:rPr>
                <w:rStyle w:val="MaviChar"/>
              </w:rPr>
              <w:t xml:space="preserve"> hususu</w:t>
            </w:r>
            <w:r w:rsidR="00881BAF" w:rsidRPr="00A23740">
              <w:rPr>
                <w:rFonts w:eastAsia="Times New Roman"/>
                <w:szCs w:val="24"/>
                <w:lang w:eastAsia="tr-TR"/>
              </w:rPr>
              <w:t xml:space="preserve"> </w:t>
            </w:r>
            <w:r w:rsidR="00881BAF" w:rsidRPr="00A23740">
              <w:rPr>
                <w:rStyle w:val="MaviChar"/>
              </w:rPr>
              <w:t xml:space="preserve">daha sonra öğrenilmişse, </w:t>
            </w:r>
            <w:r w:rsidR="00DB722E" w:rsidRPr="00A23740">
              <w:rPr>
                <w:rFonts w:eastAsia="Times New Roman"/>
                <w:szCs w:val="24"/>
                <w:lang w:eastAsia="tr-TR"/>
              </w:rPr>
              <w:t>şikâ</w:t>
            </w:r>
            <w:r w:rsidR="00881BAF" w:rsidRPr="00A23740">
              <w:rPr>
                <w:rFonts w:eastAsia="Times New Roman"/>
                <w:szCs w:val="24"/>
                <w:lang w:eastAsia="tr-TR"/>
              </w:rPr>
              <w:t xml:space="preserve">yet </w:t>
            </w:r>
            <w:r w:rsidR="00881BAF" w:rsidRPr="00A23740">
              <w:rPr>
                <w:rStyle w:val="MaviChar"/>
              </w:rPr>
              <w:t>süresi</w:t>
            </w:r>
            <w:r w:rsidR="00881BAF" w:rsidRPr="00A23740">
              <w:rPr>
                <w:rFonts w:eastAsia="Times New Roman"/>
                <w:szCs w:val="24"/>
                <w:lang w:eastAsia="tr-TR"/>
              </w:rPr>
              <w:t xml:space="preserve"> </w:t>
            </w:r>
            <w:r w:rsidR="00881BAF" w:rsidRPr="00A23740">
              <w:rPr>
                <w:rStyle w:val="MaviChar"/>
              </w:rPr>
              <w:t>öğrenme</w:t>
            </w:r>
            <w:r w:rsidR="00881BAF" w:rsidRPr="00A23740">
              <w:rPr>
                <w:rFonts w:eastAsia="Times New Roman"/>
                <w:szCs w:val="24"/>
                <w:lang w:eastAsia="tr-TR"/>
              </w:rPr>
              <w:t xml:space="preserve"> tarihinden başlar. Şu kadar ki, bu </w:t>
            </w:r>
            <w:r w:rsidR="00881BAF" w:rsidRPr="00A23740">
              <w:rPr>
                <w:rStyle w:val="MaviChar"/>
              </w:rPr>
              <w:t xml:space="preserve">süre </w:t>
            </w:r>
            <w:r w:rsidR="00881BAF" w:rsidRPr="00A23740">
              <w:t>ihalenin yapıldığına</w:t>
            </w:r>
            <w:r w:rsidR="00882CE5" w:rsidRPr="00A23740">
              <w:t xml:space="preserve"> </w:t>
            </w:r>
            <w:r w:rsidR="00882CE5" w:rsidRPr="000D6BE5">
              <w:rPr>
                <w:rStyle w:val="MaviChar"/>
              </w:rPr>
              <w:t>ilişkin</w:t>
            </w:r>
            <w:r w:rsidR="00882CE5" w:rsidRPr="00A23740">
              <w:rPr>
                <w:rStyle w:val="KIRMIZIChar"/>
                <w:rFonts w:eastAsia="Calibri"/>
                <w:strike w:val="0"/>
              </w:rPr>
              <w:t xml:space="preserve"> </w:t>
            </w:r>
            <w:r w:rsidR="00882CE5" w:rsidRPr="000D6BE5">
              <w:rPr>
                <w:rStyle w:val="MaviChar"/>
              </w:rPr>
              <w:t>artırma sonuç tutanağının</w:t>
            </w:r>
            <w:r w:rsidR="00881BAF" w:rsidRPr="00A23740">
              <w:t xml:space="preserve"> satış portalında ilan edildiği tarihten</w:t>
            </w:r>
            <w:r w:rsidR="00881BAF" w:rsidRPr="00A23740">
              <w:rPr>
                <w:rStyle w:val="YELChar"/>
              </w:rPr>
              <w:t xml:space="preserve"> </w:t>
            </w:r>
            <w:r w:rsidR="00881BAF" w:rsidRPr="00A23740">
              <w:rPr>
                <w:rFonts w:eastAsia="Times New Roman"/>
                <w:szCs w:val="24"/>
                <w:lang w:eastAsia="tr-TR"/>
              </w:rPr>
              <w:t xml:space="preserve">itibaren bir </w:t>
            </w:r>
            <w:r w:rsidR="00881BAF" w:rsidRPr="00A23740">
              <w:rPr>
                <w:rStyle w:val="MaviChar"/>
              </w:rPr>
              <w:t>yılı</w:t>
            </w:r>
            <w:r w:rsidR="00881BAF" w:rsidRPr="00A23740">
              <w:rPr>
                <w:rFonts w:eastAsia="Times New Roman"/>
                <w:szCs w:val="24"/>
                <w:lang w:eastAsia="tr-TR"/>
              </w:rPr>
              <w:t xml:space="preserve"> geçemez.</w:t>
            </w:r>
          </w:p>
          <w:p w:rsidR="00881BAF" w:rsidRDefault="00881BAF" w:rsidP="009431FF">
            <w:pPr>
              <w:tabs>
                <w:tab w:val="left" w:pos="567"/>
              </w:tabs>
              <w:rPr>
                <w:rFonts w:eastAsia="Times New Roman"/>
                <w:szCs w:val="24"/>
                <w:lang w:eastAsia="tr-TR"/>
              </w:rPr>
            </w:pPr>
          </w:p>
          <w:p w:rsidR="0057633D" w:rsidRPr="00A23740" w:rsidRDefault="0057633D" w:rsidP="009431FF">
            <w:pPr>
              <w:tabs>
                <w:tab w:val="left" w:pos="567"/>
              </w:tabs>
              <w:rPr>
                <w:rFonts w:eastAsia="Times New Roman"/>
                <w:szCs w:val="24"/>
                <w:lang w:eastAsia="tr-TR"/>
              </w:rPr>
            </w:pPr>
          </w:p>
          <w:p w:rsidR="005D7F8C" w:rsidRPr="00A23740" w:rsidRDefault="00830F39" w:rsidP="009431FF">
            <w:pPr>
              <w:tabs>
                <w:tab w:val="left" w:pos="567"/>
              </w:tabs>
              <w:rPr>
                <w:b/>
                <w:bCs/>
                <w:color w:val="0000FF"/>
                <w:szCs w:val="24"/>
                <w:lang w:eastAsia="x-none"/>
              </w:rPr>
            </w:pPr>
            <w:r w:rsidRPr="00A23740">
              <w:rPr>
                <w:rStyle w:val="MaviChar"/>
              </w:rPr>
              <w:t>(4</w:t>
            </w:r>
            <w:r w:rsidR="005D7F8C" w:rsidRPr="00A23740">
              <w:rPr>
                <w:rStyle w:val="MaviChar"/>
              </w:rPr>
              <w:t>) İhalenin iptalini isteyenin</w:t>
            </w:r>
            <w:r w:rsidR="005D7F8C" w:rsidRPr="00A23740">
              <w:t xml:space="preserve"> yurt içinde bir adres </w:t>
            </w:r>
            <w:r w:rsidR="00882CE5" w:rsidRPr="000D6BE5">
              <w:rPr>
                <w:rStyle w:val="MaviChar"/>
              </w:rPr>
              <w:t>veya</w:t>
            </w:r>
            <w:r w:rsidR="005D7F8C" w:rsidRPr="00A23740">
              <w:rPr>
                <w:rStyle w:val="MaviChar"/>
              </w:rPr>
              <w:t xml:space="preserve"> varsa elektronik tebligat adresi</w:t>
            </w:r>
            <w:r w:rsidR="005D7F8C" w:rsidRPr="00A23740">
              <w:t xml:space="preserve"> gösterme</w:t>
            </w:r>
            <w:r w:rsidR="005D7F8C" w:rsidRPr="00A23740">
              <w:rPr>
                <w:rStyle w:val="MaviChar"/>
              </w:rPr>
              <w:t>si</w:t>
            </w:r>
            <w:r w:rsidR="005D7F8C" w:rsidRPr="00A23740">
              <w:t xml:space="preserve"> </w:t>
            </w:r>
            <w:r w:rsidR="005D7F8C" w:rsidRPr="00A23740">
              <w:rPr>
                <w:rStyle w:val="MaviChar"/>
              </w:rPr>
              <w:t>zorunludur</w:t>
            </w:r>
            <w:r w:rsidR="005D7F8C" w:rsidRPr="00A23740">
              <w:t>.</w:t>
            </w:r>
          </w:p>
          <w:p w:rsidR="005D7F8C" w:rsidRPr="00A23740" w:rsidRDefault="005D7F8C" w:rsidP="009431FF">
            <w:pPr>
              <w:tabs>
                <w:tab w:val="left" w:pos="567"/>
              </w:tabs>
              <w:rPr>
                <w:rFonts w:eastAsia="Times New Roman"/>
                <w:szCs w:val="24"/>
                <w:lang w:eastAsia="tr-TR"/>
              </w:rPr>
            </w:pPr>
          </w:p>
          <w:p w:rsidR="005D7F8C" w:rsidRPr="00A23740" w:rsidRDefault="005D7F8C" w:rsidP="009431FF">
            <w:pPr>
              <w:tabs>
                <w:tab w:val="left" w:pos="567"/>
              </w:tabs>
              <w:rPr>
                <w:rFonts w:eastAsia="Times New Roman"/>
                <w:szCs w:val="24"/>
                <w:lang w:eastAsia="tr-TR"/>
              </w:rPr>
            </w:pPr>
          </w:p>
          <w:p w:rsidR="005D7F8C" w:rsidRPr="00A23740" w:rsidRDefault="005D7F8C" w:rsidP="009431FF">
            <w:pPr>
              <w:tabs>
                <w:tab w:val="left" w:pos="567"/>
              </w:tabs>
              <w:rPr>
                <w:rFonts w:eastAsia="Times New Roman"/>
                <w:szCs w:val="24"/>
                <w:lang w:eastAsia="tr-TR"/>
              </w:rPr>
            </w:pPr>
          </w:p>
          <w:p w:rsidR="005D7F8C" w:rsidRPr="00A23740" w:rsidRDefault="005D7F8C" w:rsidP="009431FF">
            <w:pPr>
              <w:tabs>
                <w:tab w:val="left" w:pos="567"/>
              </w:tabs>
              <w:rPr>
                <w:rFonts w:eastAsia="Times New Roman"/>
                <w:szCs w:val="24"/>
                <w:lang w:eastAsia="tr-TR"/>
              </w:rPr>
            </w:pPr>
          </w:p>
          <w:p w:rsidR="005D7F8C" w:rsidRPr="00A23740" w:rsidRDefault="005D7F8C" w:rsidP="009431FF">
            <w:pPr>
              <w:tabs>
                <w:tab w:val="left" w:pos="567"/>
              </w:tabs>
              <w:rPr>
                <w:rFonts w:eastAsia="Times New Roman"/>
                <w:szCs w:val="24"/>
                <w:lang w:eastAsia="tr-TR"/>
              </w:rPr>
            </w:pPr>
          </w:p>
          <w:p w:rsidR="005D7F8C" w:rsidRPr="00A23740" w:rsidRDefault="005D7F8C" w:rsidP="009431FF">
            <w:pPr>
              <w:tabs>
                <w:tab w:val="left" w:pos="567"/>
              </w:tabs>
              <w:rPr>
                <w:rFonts w:eastAsia="Times New Roman"/>
                <w:szCs w:val="24"/>
                <w:lang w:eastAsia="tr-TR"/>
              </w:rPr>
            </w:pPr>
          </w:p>
          <w:p w:rsidR="00882CE5" w:rsidRDefault="00882CE5" w:rsidP="009431FF">
            <w:pPr>
              <w:tabs>
                <w:tab w:val="left" w:pos="567"/>
              </w:tabs>
              <w:rPr>
                <w:rFonts w:eastAsia="Times New Roman"/>
                <w:b/>
                <w:color w:val="0000FF"/>
                <w:szCs w:val="24"/>
                <w:lang w:eastAsia="tr-TR"/>
              </w:rPr>
            </w:pPr>
          </w:p>
          <w:p w:rsidR="0016377F" w:rsidRPr="00A23740" w:rsidRDefault="0016377F" w:rsidP="009431FF">
            <w:pPr>
              <w:tabs>
                <w:tab w:val="left" w:pos="567"/>
              </w:tabs>
              <w:rPr>
                <w:rFonts w:eastAsia="Times New Roman"/>
                <w:b/>
                <w:color w:val="0000FF"/>
                <w:szCs w:val="24"/>
                <w:lang w:eastAsia="tr-TR"/>
              </w:rPr>
            </w:pPr>
          </w:p>
          <w:p w:rsidR="00881BAF" w:rsidRPr="00A23740" w:rsidRDefault="00830F39" w:rsidP="009431FF">
            <w:pPr>
              <w:tabs>
                <w:tab w:val="left" w:pos="567"/>
              </w:tabs>
              <w:rPr>
                <w:rStyle w:val="MaviChar"/>
              </w:rPr>
            </w:pPr>
            <w:r w:rsidRPr="00A23740">
              <w:rPr>
                <w:rFonts w:eastAsia="Times New Roman"/>
                <w:b/>
                <w:color w:val="0000FF"/>
                <w:szCs w:val="24"/>
                <w:lang w:eastAsia="tr-TR"/>
              </w:rPr>
              <w:t>(5</w:t>
            </w:r>
            <w:r w:rsidR="00881BAF" w:rsidRPr="00A23740">
              <w:rPr>
                <w:rFonts w:eastAsia="Times New Roman"/>
                <w:b/>
                <w:color w:val="0000FF"/>
                <w:szCs w:val="24"/>
                <w:lang w:eastAsia="tr-TR"/>
              </w:rPr>
              <w:t xml:space="preserve">) </w:t>
            </w:r>
            <w:r w:rsidR="00881BAF" w:rsidRPr="00A23740">
              <w:rPr>
                <w:szCs w:val="24"/>
              </w:rPr>
              <w:t xml:space="preserve">İhalenin </w:t>
            </w:r>
            <w:r w:rsidR="00881BAF" w:rsidRPr="00A23740">
              <w:rPr>
                <w:rStyle w:val="MaviChar"/>
              </w:rPr>
              <w:t>iptali</w:t>
            </w:r>
            <w:r w:rsidR="00881BAF" w:rsidRPr="00A23740">
              <w:t>,</w:t>
            </w:r>
            <w:r w:rsidR="00881BAF" w:rsidRPr="00A23740">
              <w:rPr>
                <w:rStyle w:val="MaviChar"/>
              </w:rPr>
              <w:t xml:space="preserve"> ilgililer tarafından,</w:t>
            </w:r>
            <w:r w:rsidR="00881BAF" w:rsidRPr="00A23740">
              <w:t xml:space="preserve"> Türk</w:t>
            </w:r>
            <w:r w:rsidR="00881BAF" w:rsidRPr="00A23740">
              <w:rPr>
                <w:szCs w:val="24"/>
              </w:rPr>
              <w:t xml:space="preserve"> Borçlar Kanunu</w:t>
            </w:r>
            <w:r w:rsidR="00881BAF" w:rsidRPr="00A23740">
              <w:t>nun 281 inci</w:t>
            </w:r>
            <w:r w:rsidR="00881BAF" w:rsidRPr="00A23740">
              <w:rPr>
                <w:szCs w:val="24"/>
              </w:rPr>
              <w:t xml:space="preserve"> maddesinde yazılı sebepler de dâhil olmak üzere</w:t>
            </w:r>
            <w:r w:rsidR="005107F7" w:rsidRPr="0057633D">
              <w:rPr>
                <w:rStyle w:val="YELChar"/>
                <w:color w:val="0000FF"/>
              </w:rPr>
              <w:t>,</w:t>
            </w:r>
            <w:r w:rsidR="00881BAF" w:rsidRPr="00A23740">
              <w:rPr>
                <w:szCs w:val="24"/>
              </w:rPr>
              <w:t xml:space="preserve"> </w:t>
            </w:r>
            <w:r w:rsidR="00881BAF" w:rsidRPr="00A23740">
              <w:rPr>
                <w:rStyle w:val="MaviChar"/>
              </w:rPr>
              <w:t>özellikle satış talebi ve artırmaya hazırlık dönemindeki usulsüzlükler</w:t>
            </w:r>
            <w:r w:rsidR="005107F7" w:rsidRPr="00A23740">
              <w:rPr>
                <w:rStyle w:val="MaviChar"/>
                <w:lang w:val="tr-TR"/>
              </w:rPr>
              <w:t xml:space="preserve"> </w:t>
            </w:r>
            <w:r w:rsidR="005107F7" w:rsidRPr="000D6BE5">
              <w:rPr>
                <w:rStyle w:val="MaviChar"/>
              </w:rPr>
              <w:t>ile</w:t>
            </w:r>
            <w:r w:rsidR="00881BAF" w:rsidRPr="00A23740">
              <w:rPr>
                <w:rStyle w:val="MaviChar"/>
              </w:rPr>
              <w:t xml:space="preserve"> alıcının satılan malın esaslı niteliklerinde hataya düşmüş bulunmasına</w:t>
            </w:r>
            <w:r w:rsidR="005107F7" w:rsidRPr="00A23740">
              <w:rPr>
                <w:rStyle w:val="MaviChar"/>
                <w:lang w:val="tr-TR"/>
              </w:rPr>
              <w:t xml:space="preserve"> </w:t>
            </w:r>
            <w:r w:rsidR="005107F7" w:rsidRPr="000D6BE5">
              <w:rPr>
                <w:rStyle w:val="MaviChar"/>
              </w:rPr>
              <w:t>veya artırmaya fesat karıştırılmış olmasına</w:t>
            </w:r>
            <w:r w:rsidR="005107F7" w:rsidRPr="00A23740">
              <w:rPr>
                <w:rStyle w:val="MaviChar"/>
                <w:lang w:val="tr-TR"/>
              </w:rPr>
              <w:t xml:space="preserve"> </w:t>
            </w:r>
            <w:r w:rsidR="00881BAF" w:rsidRPr="00A23740">
              <w:rPr>
                <w:rStyle w:val="MaviChar"/>
              </w:rPr>
              <w:t xml:space="preserve"> dayanılarak istenebilir. </w:t>
            </w:r>
            <w:r w:rsidR="00881BAF" w:rsidRPr="00A23740">
              <w:rPr>
                <w:rStyle w:val="MaviChar"/>
                <w:lang w:val="tr-TR"/>
              </w:rPr>
              <w:t>Malın</w:t>
            </w:r>
            <w:r w:rsidR="00881BAF" w:rsidRPr="00A23740">
              <w:rPr>
                <w:rStyle w:val="MaviChar"/>
              </w:rPr>
              <w:t xml:space="preserve"> tahmin edilen </w:t>
            </w:r>
            <w:r w:rsidR="005107F7" w:rsidRPr="000D6BE5">
              <w:rPr>
                <w:rStyle w:val="MaviChar"/>
              </w:rPr>
              <w:t>kıymetinin</w:t>
            </w:r>
            <w:r w:rsidR="00881BAF" w:rsidRPr="00A23740">
              <w:rPr>
                <w:rStyle w:val="MaviChar"/>
                <w:lang w:val="tr-TR"/>
              </w:rPr>
              <w:t xml:space="preserve"> </w:t>
            </w:r>
            <w:r w:rsidR="00881BAF" w:rsidRPr="00A23740">
              <w:rPr>
                <w:rStyle w:val="MaviChar"/>
              </w:rPr>
              <w:t>üzerinde satılmış olması</w:t>
            </w:r>
            <w:r w:rsidR="005107F7" w:rsidRPr="00A23740">
              <w:rPr>
                <w:rStyle w:val="YELChar"/>
              </w:rPr>
              <w:t>,</w:t>
            </w:r>
            <w:r w:rsidR="00881BAF" w:rsidRPr="00A23740">
              <w:rPr>
                <w:rStyle w:val="MaviChar"/>
              </w:rPr>
              <w:t xml:space="preserve"> ihalenin iptali tale</w:t>
            </w:r>
            <w:r w:rsidR="00882CE5" w:rsidRPr="00A23740">
              <w:rPr>
                <w:rStyle w:val="MaviChar"/>
              </w:rPr>
              <w:t>binin dinlenmesine engel olmaz.</w:t>
            </w:r>
          </w:p>
          <w:p w:rsidR="00881BAF" w:rsidRPr="00A23740" w:rsidRDefault="00881BAF" w:rsidP="009431FF">
            <w:pPr>
              <w:pStyle w:val="YEL"/>
              <w:rPr>
                <w:lang w:val="tr-TR" w:eastAsia="tr-TR"/>
              </w:rPr>
            </w:pPr>
          </w:p>
          <w:p w:rsidR="00881BAF" w:rsidRPr="00A23740" w:rsidRDefault="00830F39" w:rsidP="009431FF">
            <w:pPr>
              <w:pStyle w:val="Mavi"/>
            </w:pPr>
            <w:r w:rsidRPr="00A23740">
              <w:t>(6</w:t>
            </w:r>
            <w:r w:rsidR="00881BAF" w:rsidRPr="00A23740">
              <w:t>) Artırmaya hazırlık döneminde yapıl</w:t>
            </w:r>
            <w:r w:rsidR="00DB722E" w:rsidRPr="00A23740">
              <w:t>an işlem hakkında süresinde şik</w:t>
            </w:r>
            <w:r w:rsidR="00DB722E" w:rsidRPr="00A23740">
              <w:rPr>
                <w:lang w:val="tr-TR"/>
              </w:rPr>
              <w:t>â</w:t>
            </w:r>
            <w:r w:rsidR="00881BAF" w:rsidRPr="00A23740">
              <w:t xml:space="preserve">yet yoluna başvurmayan kimse, bu </w:t>
            </w:r>
            <w:r w:rsidR="00B00C81" w:rsidRPr="000D6BE5">
              <w:t>işlemle</w:t>
            </w:r>
            <w:r w:rsidR="00881BAF" w:rsidRPr="00A23740">
              <w:t xml:space="preserve"> ilgili olarak ihalenin iptalini</w:t>
            </w:r>
            <w:r w:rsidR="00D6629C" w:rsidRPr="00A23740">
              <w:t xml:space="preserve"> </w:t>
            </w:r>
            <w:r w:rsidR="00D6629C" w:rsidRPr="000D6BE5">
              <w:t>artık</w:t>
            </w:r>
            <w:r w:rsidR="00881BAF" w:rsidRPr="00A23740">
              <w:rPr>
                <w:color w:val="70AD47"/>
              </w:rPr>
              <w:t xml:space="preserve"> </w:t>
            </w:r>
            <w:r w:rsidR="001A031C" w:rsidRPr="00A23740">
              <w:t>isteyemez.</w:t>
            </w:r>
          </w:p>
          <w:p w:rsidR="001A031C" w:rsidRPr="00A23740" w:rsidRDefault="001A031C" w:rsidP="009431FF">
            <w:pPr>
              <w:pStyle w:val="Mavi"/>
            </w:pPr>
          </w:p>
        </w:tc>
      </w:tr>
      <w:tr w:rsidR="00881BAF" w:rsidRPr="00A23740" w:rsidTr="009431FF">
        <w:tblPrEx>
          <w:tblLook w:val="01E0" w:firstRow="1" w:lastRow="1" w:firstColumn="1" w:lastColumn="1" w:noHBand="0" w:noVBand="0"/>
        </w:tblPrEx>
        <w:tc>
          <w:tcPr>
            <w:tcW w:w="5000" w:type="pct"/>
            <w:gridSpan w:val="2"/>
            <w:shd w:val="clear" w:color="auto" w:fill="DEEAF6"/>
          </w:tcPr>
          <w:p w:rsidR="00342891" w:rsidRPr="0057633D" w:rsidRDefault="00342891" w:rsidP="009431FF">
            <w:pPr>
              <w:ind w:firstLine="709"/>
              <w:rPr>
                <w:rFonts w:eastAsia="Times New Roman"/>
                <w:b/>
                <w:szCs w:val="24"/>
                <w:lang w:eastAsia="tr-TR"/>
              </w:rPr>
            </w:pPr>
          </w:p>
          <w:p w:rsidR="00830F39" w:rsidRPr="0057633D" w:rsidRDefault="00B519EF" w:rsidP="009431FF">
            <w:pPr>
              <w:ind w:firstLine="709"/>
              <w:rPr>
                <w:rFonts w:eastAsia="Times New Roman"/>
                <w:szCs w:val="24"/>
                <w:lang w:eastAsia="tr-TR"/>
              </w:rPr>
            </w:pPr>
            <w:r w:rsidRPr="0057633D">
              <w:rPr>
                <w:rFonts w:eastAsia="Times New Roman"/>
                <w:b/>
                <w:szCs w:val="24"/>
                <w:lang w:eastAsia="tr-TR"/>
              </w:rPr>
              <w:t>MADDE</w:t>
            </w:r>
            <w:r w:rsidR="00B00C81" w:rsidRPr="0057633D">
              <w:rPr>
                <w:rFonts w:eastAsia="Times New Roman"/>
                <w:b/>
                <w:szCs w:val="24"/>
                <w:lang w:eastAsia="tr-TR"/>
              </w:rPr>
              <w:t xml:space="preserve"> 25</w:t>
            </w:r>
            <w:r w:rsidR="00490C3E" w:rsidRPr="0057633D">
              <w:rPr>
                <w:rFonts w:eastAsia="Times New Roman"/>
                <w:b/>
                <w:szCs w:val="24"/>
                <w:lang w:eastAsia="tr-TR"/>
              </w:rPr>
              <w:t>5</w:t>
            </w:r>
            <w:r w:rsidR="00881BAF" w:rsidRPr="0057633D">
              <w:rPr>
                <w:rFonts w:eastAsia="Times New Roman"/>
                <w:b/>
                <w:szCs w:val="24"/>
                <w:lang w:eastAsia="tr-TR"/>
              </w:rPr>
              <w:t xml:space="preserve">- </w:t>
            </w:r>
            <w:r w:rsidRPr="0057633D">
              <w:rPr>
                <w:rFonts w:eastAsia="Times New Roman"/>
                <w:szCs w:val="24"/>
                <w:lang w:eastAsia="tr-TR"/>
              </w:rPr>
              <w:t>Maddeyle, ihalenin iptaline ilişkin hususlar düzenlenmektedir.</w:t>
            </w:r>
            <w:r w:rsidRPr="0057633D">
              <w:rPr>
                <w:rFonts w:eastAsia="Times New Roman"/>
                <w:b/>
                <w:szCs w:val="24"/>
                <w:lang w:eastAsia="tr-TR"/>
              </w:rPr>
              <w:t xml:space="preserve"> </w:t>
            </w:r>
            <w:r w:rsidRPr="0057633D">
              <w:rPr>
                <w:rFonts w:eastAsia="Times New Roman"/>
                <w:szCs w:val="24"/>
                <w:lang w:eastAsia="tr-TR"/>
              </w:rPr>
              <w:t xml:space="preserve">Madde, 2004 sayılı Kanunun 134 üncü maddesine karşılık gelmektedir. </w:t>
            </w:r>
          </w:p>
          <w:p w:rsidR="00881BAF" w:rsidRPr="0057633D" w:rsidRDefault="00881BAF" w:rsidP="009431FF">
            <w:pPr>
              <w:ind w:firstLine="709"/>
              <w:rPr>
                <w:rFonts w:eastAsia="Times New Roman"/>
                <w:szCs w:val="24"/>
                <w:lang w:eastAsia="tr-TR"/>
              </w:rPr>
            </w:pPr>
            <w:r w:rsidRPr="0057633D">
              <w:rPr>
                <w:rFonts w:eastAsia="Times New Roman"/>
                <w:szCs w:val="24"/>
                <w:lang w:eastAsia="tr-TR"/>
              </w:rPr>
              <w:t xml:space="preserve">2004 sayılı Kanunda kullanılan “ihalenin feshi” kavramı yerine “ihalenin </w:t>
            </w:r>
            <w:r w:rsidR="00830F39" w:rsidRPr="0057633D">
              <w:rPr>
                <w:rFonts w:eastAsia="Times New Roman"/>
                <w:szCs w:val="24"/>
                <w:lang w:eastAsia="tr-TR"/>
              </w:rPr>
              <w:t>iptali” terimi tercih edilmektedir</w:t>
            </w:r>
            <w:r w:rsidRPr="0057633D">
              <w:rPr>
                <w:rFonts w:eastAsia="Times New Roman"/>
                <w:szCs w:val="24"/>
                <w:lang w:eastAsia="tr-TR"/>
              </w:rPr>
              <w:t xml:space="preserve">. </w:t>
            </w:r>
            <w:r w:rsidR="00830F39" w:rsidRPr="0057633D">
              <w:rPr>
                <w:rFonts w:eastAsia="Times New Roman"/>
                <w:szCs w:val="24"/>
                <w:lang w:eastAsia="tr-TR"/>
              </w:rPr>
              <w:t>Öğretide</w:t>
            </w:r>
            <w:r w:rsidRPr="0057633D">
              <w:rPr>
                <w:rFonts w:eastAsia="Times New Roman"/>
                <w:szCs w:val="24"/>
                <w:lang w:eastAsia="tr-TR"/>
              </w:rPr>
              <w:t xml:space="preserve"> </w:t>
            </w:r>
            <w:r w:rsidR="00830F39" w:rsidRPr="0057633D">
              <w:rPr>
                <w:rFonts w:eastAsia="Times New Roman"/>
                <w:szCs w:val="24"/>
                <w:lang w:eastAsia="tr-TR"/>
              </w:rPr>
              <w:t xml:space="preserve">de </w:t>
            </w:r>
            <w:r w:rsidRPr="0057633D">
              <w:rPr>
                <w:rFonts w:eastAsia="Times New Roman"/>
                <w:szCs w:val="24"/>
                <w:lang w:eastAsia="tr-TR"/>
              </w:rPr>
              <w:t xml:space="preserve">ifade edildiği üzere, “fesih” ve “iptal” farklı kavramlardır. İhale bir kamusal </w:t>
            </w:r>
            <w:r w:rsidR="00B00C81" w:rsidRPr="0057633D">
              <w:rPr>
                <w:rFonts w:eastAsia="Times New Roman"/>
                <w:szCs w:val="24"/>
                <w:lang w:eastAsia="tr-TR"/>
              </w:rPr>
              <w:t>(</w:t>
            </w:r>
            <w:r w:rsidRPr="0057633D">
              <w:rPr>
                <w:rFonts w:eastAsia="Times New Roman"/>
                <w:szCs w:val="24"/>
                <w:lang w:eastAsia="tr-TR"/>
              </w:rPr>
              <w:t>cebr</w:t>
            </w:r>
            <w:r w:rsidR="00B00C81" w:rsidRPr="0057633D">
              <w:rPr>
                <w:rFonts w:eastAsia="Times New Roman"/>
                <w:szCs w:val="24"/>
                <w:lang w:eastAsia="tr-TR"/>
              </w:rPr>
              <w:t>î)</w:t>
            </w:r>
            <w:r w:rsidRPr="0057633D">
              <w:rPr>
                <w:rFonts w:eastAsia="Times New Roman"/>
                <w:szCs w:val="24"/>
                <w:lang w:eastAsia="tr-TR"/>
              </w:rPr>
              <w:t xml:space="preserve"> işlem olduğu için sözleşmeler bakımından geçerli olan ve bir tarafın iradesiyle sözleşmeyi ileriye doğru geçersiz kılmaya yönelik </w:t>
            </w:r>
            <w:r w:rsidR="0030247D" w:rsidRPr="0057633D">
              <w:rPr>
                <w:rFonts w:eastAsia="Times New Roman"/>
                <w:szCs w:val="24"/>
                <w:lang w:eastAsia="tr-TR"/>
              </w:rPr>
              <w:t xml:space="preserve">bulunan </w:t>
            </w:r>
            <w:r w:rsidRPr="0057633D">
              <w:rPr>
                <w:rFonts w:eastAsia="Times New Roman"/>
                <w:szCs w:val="24"/>
                <w:lang w:eastAsia="tr-TR"/>
              </w:rPr>
              <w:t>“fesih” veya geçmişe dönük sona erdirmeyi amaçlayan “dönme”yi ifade eden taraf işlemlerinden bir</w:t>
            </w:r>
            <w:r w:rsidR="00830F39" w:rsidRPr="0057633D">
              <w:rPr>
                <w:rFonts w:eastAsia="Times New Roman"/>
                <w:szCs w:val="24"/>
                <w:lang w:eastAsia="tr-TR"/>
              </w:rPr>
              <w:t>isi olmadığı için</w:t>
            </w:r>
            <w:r w:rsidR="0030247D" w:rsidRPr="0057633D">
              <w:rPr>
                <w:rFonts w:eastAsia="Times New Roman"/>
                <w:szCs w:val="24"/>
                <w:lang w:eastAsia="tr-TR"/>
              </w:rPr>
              <w:t>,</w:t>
            </w:r>
            <w:r w:rsidR="00830F39" w:rsidRPr="0057633D">
              <w:rPr>
                <w:rFonts w:eastAsia="Times New Roman"/>
                <w:szCs w:val="24"/>
                <w:lang w:eastAsia="tr-TR"/>
              </w:rPr>
              <w:t xml:space="preserve"> burada fesihten değil, iptal</w:t>
            </w:r>
            <w:r w:rsidRPr="0057633D">
              <w:rPr>
                <w:rFonts w:eastAsia="Times New Roman"/>
                <w:szCs w:val="24"/>
                <w:lang w:eastAsia="tr-TR"/>
              </w:rPr>
              <w:t>den söz etmek gerekir (Ramazan Arslan, İcra ve İflâs Hukukunda İhale ve İhalenin Feshi, Ankara 1984, s. 72-73). Zira burada mahkeme, kamusal bir işlem olan cebr</w:t>
            </w:r>
            <w:r w:rsidR="00B00C81" w:rsidRPr="0057633D">
              <w:rPr>
                <w:rFonts w:eastAsia="Times New Roman"/>
                <w:szCs w:val="24"/>
                <w:lang w:eastAsia="tr-TR"/>
              </w:rPr>
              <w:t>î</w:t>
            </w:r>
            <w:r w:rsidRPr="0057633D">
              <w:rPr>
                <w:rFonts w:eastAsia="Times New Roman"/>
                <w:szCs w:val="24"/>
                <w:lang w:eastAsia="tr-TR"/>
              </w:rPr>
              <w:t xml:space="preserve"> açık artırma ve ihalenin hukuka uygun olup olmad</w:t>
            </w:r>
            <w:r w:rsidR="00B519EF" w:rsidRPr="0057633D">
              <w:rPr>
                <w:rFonts w:eastAsia="Times New Roman"/>
                <w:szCs w:val="24"/>
                <w:lang w:eastAsia="tr-TR"/>
              </w:rPr>
              <w:t>ığını şikâyet üzerine denetler.</w:t>
            </w:r>
          </w:p>
          <w:p w:rsidR="00B519EF" w:rsidRPr="0057633D" w:rsidRDefault="00881BAF" w:rsidP="009431FF">
            <w:pPr>
              <w:ind w:firstLine="709"/>
              <w:rPr>
                <w:rFonts w:eastAsia="Times New Roman"/>
                <w:szCs w:val="24"/>
                <w:lang w:eastAsia="tr-TR"/>
              </w:rPr>
            </w:pPr>
            <w:r w:rsidRPr="0057633D">
              <w:rPr>
                <w:rFonts w:eastAsia="Times New Roman"/>
                <w:szCs w:val="24"/>
                <w:lang w:eastAsia="tr-TR"/>
              </w:rPr>
              <w:t>İhalenin feshine iliş</w:t>
            </w:r>
            <w:r w:rsidR="00830F39" w:rsidRPr="0057633D">
              <w:rPr>
                <w:rFonts w:eastAsia="Times New Roman"/>
                <w:szCs w:val="24"/>
                <w:lang w:eastAsia="tr-TR"/>
              </w:rPr>
              <w:t xml:space="preserve">kin 2004 sayılı Kanun hükümleri, </w:t>
            </w:r>
            <w:r w:rsidRPr="0057633D">
              <w:rPr>
                <w:rFonts w:eastAsia="Times New Roman"/>
                <w:szCs w:val="24"/>
                <w:lang w:eastAsia="tr-TR"/>
              </w:rPr>
              <w:t>7343</w:t>
            </w:r>
            <w:r w:rsidR="00B519EF" w:rsidRPr="0057633D">
              <w:rPr>
                <w:rFonts w:eastAsia="Times New Roman"/>
                <w:szCs w:val="24"/>
                <w:lang w:eastAsia="tr-TR"/>
              </w:rPr>
              <w:t xml:space="preserve"> sayılı Kanunla</w:t>
            </w:r>
            <w:r w:rsidRPr="0057633D">
              <w:rPr>
                <w:rFonts w:eastAsia="Times New Roman"/>
                <w:szCs w:val="24"/>
                <w:lang w:eastAsia="tr-TR"/>
              </w:rPr>
              <w:t xml:space="preserve"> büyük ölçüde değiştirilmiştir. Bilim Komisyonu çalışmaları </w:t>
            </w:r>
            <w:r w:rsidR="00830F39" w:rsidRPr="0057633D">
              <w:rPr>
                <w:rFonts w:eastAsia="Times New Roman"/>
                <w:szCs w:val="24"/>
                <w:lang w:eastAsia="tr-TR"/>
              </w:rPr>
              <w:t xml:space="preserve">sırasında </w:t>
            </w:r>
            <w:r w:rsidRPr="0057633D">
              <w:rPr>
                <w:rFonts w:eastAsia="Times New Roman"/>
                <w:szCs w:val="24"/>
                <w:lang w:eastAsia="tr-TR"/>
              </w:rPr>
              <w:t xml:space="preserve">yapılmış olan kapsamlı değişiklikler, </w:t>
            </w:r>
            <w:r w:rsidR="0030247D" w:rsidRPr="0057633D">
              <w:rPr>
                <w:rFonts w:eastAsia="Times New Roman"/>
                <w:szCs w:val="24"/>
                <w:lang w:eastAsia="tr-TR"/>
              </w:rPr>
              <w:t xml:space="preserve">bunların </w:t>
            </w:r>
            <w:r w:rsidRPr="0057633D">
              <w:rPr>
                <w:rFonts w:eastAsia="Times New Roman"/>
                <w:szCs w:val="24"/>
                <w:lang w:eastAsia="tr-TR"/>
              </w:rPr>
              <w:t xml:space="preserve">Taslağın tamamına uyumu da dikkate alınarak gözden geçirilmiş ve hükümlerde gerekli olduğu değerlendirilen bir kısım </w:t>
            </w:r>
            <w:r w:rsidR="00B519EF" w:rsidRPr="0057633D">
              <w:rPr>
                <w:rFonts w:eastAsia="Times New Roman"/>
                <w:szCs w:val="24"/>
                <w:lang w:eastAsia="tr-TR"/>
              </w:rPr>
              <w:t xml:space="preserve">tadil çalışmaları </w:t>
            </w:r>
            <w:r w:rsidRPr="0057633D">
              <w:rPr>
                <w:rFonts w:eastAsia="Times New Roman"/>
                <w:szCs w:val="24"/>
                <w:lang w:eastAsia="tr-TR"/>
              </w:rPr>
              <w:t>yapılmıştır. Ay</w:t>
            </w:r>
            <w:r w:rsidR="00B519EF" w:rsidRPr="0057633D">
              <w:rPr>
                <w:rFonts w:eastAsia="Times New Roman"/>
                <w:szCs w:val="24"/>
                <w:lang w:eastAsia="tr-TR"/>
              </w:rPr>
              <w:t>rıca on iki fıkradan oluşan 134 üncü</w:t>
            </w:r>
            <w:r w:rsidRPr="0057633D">
              <w:rPr>
                <w:rFonts w:eastAsia="Times New Roman"/>
                <w:szCs w:val="24"/>
                <w:lang w:eastAsia="tr-TR"/>
              </w:rPr>
              <w:t xml:space="preserve"> madde, konusuna göre </w:t>
            </w:r>
            <w:r w:rsidR="00830F39" w:rsidRPr="0057633D">
              <w:rPr>
                <w:rFonts w:eastAsia="Times New Roman"/>
                <w:szCs w:val="24"/>
                <w:lang w:eastAsia="tr-TR"/>
              </w:rPr>
              <w:t>üç</w:t>
            </w:r>
            <w:r w:rsidRPr="0057633D">
              <w:rPr>
                <w:rFonts w:eastAsia="Times New Roman"/>
                <w:szCs w:val="24"/>
                <w:lang w:eastAsia="tr-TR"/>
              </w:rPr>
              <w:t xml:space="preserve"> maddeye bölünerek </w:t>
            </w:r>
            <w:r w:rsidR="00830F39" w:rsidRPr="0057633D">
              <w:rPr>
                <w:rFonts w:eastAsia="Times New Roman"/>
                <w:szCs w:val="24"/>
                <w:lang w:eastAsia="tr-TR"/>
              </w:rPr>
              <w:t xml:space="preserve">bir ayrım altında </w:t>
            </w:r>
            <w:r w:rsidRPr="0057633D">
              <w:rPr>
                <w:rFonts w:eastAsia="Times New Roman"/>
                <w:szCs w:val="24"/>
                <w:lang w:eastAsia="tr-TR"/>
              </w:rPr>
              <w:t xml:space="preserve">ihalenin iptali </w:t>
            </w:r>
            <w:r w:rsidR="00830F39" w:rsidRPr="0057633D">
              <w:rPr>
                <w:rFonts w:eastAsia="Times New Roman"/>
                <w:szCs w:val="24"/>
                <w:lang w:eastAsia="tr-TR"/>
              </w:rPr>
              <w:t xml:space="preserve">yeniden </w:t>
            </w:r>
            <w:r w:rsidR="00B00C81" w:rsidRPr="0057633D">
              <w:rPr>
                <w:rStyle w:val="YELChar"/>
                <w:b w:val="0"/>
                <w:color w:val="auto"/>
              </w:rPr>
              <w:t>düzenlenmiştir</w:t>
            </w:r>
            <w:r w:rsidR="00830F39" w:rsidRPr="0057633D">
              <w:rPr>
                <w:rFonts w:eastAsia="Times New Roman"/>
                <w:szCs w:val="24"/>
                <w:lang w:eastAsia="tr-TR"/>
              </w:rPr>
              <w:t>.</w:t>
            </w:r>
          </w:p>
          <w:p w:rsidR="00881BAF" w:rsidRPr="0057633D" w:rsidRDefault="00B519EF" w:rsidP="009431FF">
            <w:pPr>
              <w:ind w:firstLine="709"/>
              <w:rPr>
                <w:rFonts w:eastAsia="Times New Roman"/>
                <w:szCs w:val="24"/>
                <w:lang w:eastAsia="tr-TR"/>
              </w:rPr>
            </w:pPr>
            <w:r w:rsidRPr="0057633D">
              <w:rPr>
                <w:rFonts w:eastAsia="Times New Roman"/>
                <w:szCs w:val="24"/>
                <w:lang w:eastAsia="tr-TR"/>
              </w:rPr>
              <w:t xml:space="preserve">Birinci fıkrayla, ihalenin </w:t>
            </w:r>
            <w:r w:rsidR="00830F39" w:rsidRPr="0057633D">
              <w:rPr>
                <w:rFonts w:eastAsia="Times New Roman"/>
                <w:szCs w:val="24"/>
                <w:lang w:eastAsia="tr-TR"/>
              </w:rPr>
              <w:t>feshi talebinde bulunabilecek kişiler</w:t>
            </w:r>
            <w:r w:rsidR="0030247D" w:rsidRPr="0057633D">
              <w:rPr>
                <w:rFonts w:eastAsia="Times New Roman"/>
                <w:szCs w:val="24"/>
                <w:lang w:eastAsia="tr-TR"/>
              </w:rPr>
              <w:t>açıklanmaktadır</w:t>
            </w:r>
            <w:r w:rsidRPr="0057633D">
              <w:rPr>
                <w:rFonts w:eastAsia="Times New Roman"/>
                <w:szCs w:val="24"/>
                <w:lang w:eastAsia="tr-TR"/>
              </w:rPr>
              <w:t xml:space="preserve">. </w:t>
            </w:r>
            <w:r w:rsidRPr="0057633D">
              <w:t xml:space="preserve">Buna göre </w:t>
            </w:r>
            <w:r w:rsidRPr="0057633D">
              <w:rPr>
                <w:bCs/>
              </w:rPr>
              <w:t>borçlu,</w:t>
            </w:r>
            <w:r w:rsidRPr="0057633D">
              <w:t xml:space="preserve"> satış isteyen alacaklı, </w:t>
            </w:r>
            <w:r w:rsidRPr="0057633D">
              <w:rPr>
                <w:bCs/>
              </w:rPr>
              <w:t>ihale konusu mal üzerinde haciz sahibi olan diğer alacaklılar</w:t>
            </w:r>
            <w:r w:rsidRPr="0057633D">
              <w:t xml:space="preserve"> </w:t>
            </w:r>
            <w:r w:rsidRPr="0057633D">
              <w:rPr>
                <w:bCs/>
              </w:rPr>
              <w:t>ve teklif vermek</w:t>
            </w:r>
            <w:r w:rsidRPr="0057633D">
              <w:t xml:space="preserve"> suretiyle ihaleye </w:t>
            </w:r>
            <w:r w:rsidRPr="0057633D">
              <w:rPr>
                <w:bCs/>
              </w:rPr>
              <w:t>katılanlar ile satış kararı tarihi itibar</w:t>
            </w:r>
            <w:r w:rsidR="00B212AE" w:rsidRPr="0057633D">
              <w:rPr>
                <w:bCs/>
              </w:rPr>
              <w:t>ıyla</w:t>
            </w:r>
            <w:r w:rsidRPr="0057633D">
              <w:t xml:space="preserve"> </w:t>
            </w:r>
            <w:r w:rsidRPr="0057633D">
              <w:rPr>
                <w:bCs/>
              </w:rPr>
              <w:t>malın</w:t>
            </w:r>
            <w:r w:rsidRPr="0057633D">
              <w:t xml:space="preserve"> </w:t>
            </w:r>
            <w:r w:rsidRPr="0057633D">
              <w:rPr>
                <w:bCs/>
              </w:rPr>
              <w:t>kayıtlı olduğu</w:t>
            </w:r>
            <w:r w:rsidR="00B212AE" w:rsidRPr="0057633D">
              <w:t xml:space="preserve"> resmî</w:t>
            </w:r>
            <w:r w:rsidRPr="0057633D">
              <w:t xml:space="preserve"> sicil</w:t>
            </w:r>
            <w:r w:rsidRPr="0057633D">
              <w:rPr>
                <w:bCs/>
              </w:rPr>
              <w:t>indeki</w:t>
            </w:r>
            <w:r w:rsidRPr="0057633D">
              <w:t xml:space="preserve"> ilgililer ve </w:t>
            </w:r>
            <w:r w:rsidRPr="0057633D">
              <w:rPr>
                <w:bCs/>
              </w:rPr>
              <w:t>mülkiyet veya</w:t>
            </w:r>
            <w:r w:rsidRPr="0057633D">
              <w:t xml:space="preserve"> sınırlı ayni hak sahipleri</w:t>
            </w:r>
            <w:r w:rsidR="0030247D" w:rsidRPr="0057633D">
              <w:t>,</w:t>
            </w:r>
            <w:r w:rsidRPr="0057633D">
              <w:t xml:space="preserve"> şik</w:t>
            </w:r>
            <w:r w:rsidR="00B00C81" w:rsidRPr="0057633D">
              <w:t>â</w:t>
            </w:r>
            <w:r w:rsidRPr="0057633D">
              <w:t xml:space="preserve">yet yoluyla ihale tarihinden itibaren </w:t>
            </w:r>
            <w:r w:rsidRPr="0057633D">
              <w:rPr>
                <w:bCs/>
              </w:rPr>
              <w:t>bir hafta</w:t>
            </w:r>
            <w:r w:rsidRPr="0057633D">
              <w:t xml:space="preserve"> içinde icra </w:t>
            </w:r>
            <w:r w:rsidRPr="0057633D">
              <w:rPr>
                <w:bCs/>
              </w:rPr>
              <w:t>hukuk</w:t>
            </w:r>
            <w:r w:rsidRPr="0057633D">
              <w:t xml:space="preserve"> mahkemesinden ihalenin </w:t>
            </w:r>
            <w:r w:rsidRPr="0057633D">
              <w:rPr>
                <w:bCs/>
              </w:rPr>
              <w:t>iptalini</w:t>
            </w:r>
            <w:r w:rsidR="00830F39" w:rsidRPr="0057633D">
              <w:t xml:space="preserve"> </w:t>
            </w:r>
            <w:r w:rsidR="00B00C81" w:rsidRPr="0057633D">
              <w:rPr>
                <w:rStyle w:val="YELChar"/>
                <w:b w:val="0"/>
                <w:color w:val="auto"/>
              </w:rPr>
              <w:t>isteyebilirler</w:t>
            </w:r>
            <w:r w:rsidRPr="0057633D">
              <w:t xml:space="preserve">. Hüküm, </w:t>
            </w:r>
            <w:r w:rsidR="00830F39" w:rsidRPr="0057633D">
              <w:rPr>
                <w:rFonts w:eastAsia="Times New Roman"/>
                <w:szCs w:val="24"/>
                <w:lang w:eastAsia="tr-TR"/>
              </w:rPr>
              <w:t xml:space="preserve">2004 sayılı Kanunun </w:t>
            </w:r>
            <w:r w:rsidRPr="0057633D">
              <w:rPr>
                <w:rFonts w:eastAsia="Times New Roman"/>
                <w:szCs w:val="24"/>
                <w:lang w:eastAsia="tr-TR"/>
              </w:rPr>
              <w:t xml:space="preserve">134 üncü maddesinin ikinci fıkrasına karşılık gelmektedir. </w:t>
            </w:r>
            <w:r w:rsidR="00881BAF" w:rsidRPr="0057633D">
              <w:rPr>
                <w:rFonts w:eastAsia="Times New Roman"/>
                <w:szCs w:val="24"/>
                <w:lang w:eastAsia="tr-TR"/>
              </w:rPr>
              <w:t>2004 sayılı Kanunda ihalenin feshi talebinde bulunabilecek kişilerle ilgili olarak 09/11/1988 tar</w:t>
            </w:r>
            <w:r w:rsidRPr="0057633D">
              <w:rPr>
                <w:rFonts w:eastAsia="Times New Roman"/>
                <w:szCs w:val="24"/>
                <w:lang w:eastAsia="tr-TR"/>
              </w:rPr>
              <w:t xml:space="preserve">ihli ve 3494 sayılı Kanunun 2 nci </w:t>
            </w:r>
            <w:r w:rsidR="00881BAF" w:rsidRPr="0057633D">
              <w:rPr>
                <w:rFonts w:eastAsia="Times New Roman"/>
                <w:szCs w:val="24"/>
                <w:lang w:eastAsia="tr-TR"/>
              </w:rPr>
              <w:t>maddesiyle</w:t>
            </w:r>
            <w:r w:rsidRPr="0057633D">
              <w:rPr>
                <w:rFonts w:eastAsia="Times New Roman"/>
                <w:szCs w:val="24"/>
                <w:lang w:eastAsia="tr-TR"/>
              </w:rPr>
              <w:t xml:space="preserve"> 134 üncü</w:t>
            </w:r>
            <w:r w:rsidR="00881BAF" w:rsidRPr="0057633D">
              <w:rPr>
                <w:rFonts w:eastAsia="Times New Roman"/>
                <w:szCs w:val="24"/>
                <w:lang w:eastAsia="tr-TR"/>
              </w:rPr>
              <w:t xml:space="preserve"> maddede yapılan değişikliğe kadar</w:t>
            </w:r>
            <w:r w:rsidRPr="0057633D">
              <w:rPr>
                <w:rFonts w:eastAsia="Times New Roman"/>
                <w:szCs w:val="24"/>
                <w:lang w:eastAsia="tr-TR"/>
              </w:rPr>
              <w:t xml:space="preserve"> somut bir belirleme</w:t>
            </w:r>
            <w:r w:rsidR="00881BAF" w:rsidRPr="0057633D">
              <w:rPr>
                <w:rFonts w:eastAsia="Times New Roman"/>
                <w:szCs w:val="24"/>
                <w:lang w:eastAsia="tr-TR"/>
              </w:rPr>
              <w:t xml:space="preserve"> bulunmamaktaydı. Belirtilen değişiklikle ihalenin feshini, yalnız satış isteyen alacaklı, borçlu, tapu sicilindeki ilgililer ve </w:t>
            </w:r>
            <w:r w:rsidRPr="0057633D">
              <w:rPr>
                <w:rFonts w:eastAsia="Times New Roman"/>
                <w:szCs w:val="24"/>
                <w:lang w:eastAsia="tr-TR"/>
              </w:rPr>
              <w:t xml:space="preserve">teklif verme </w:t>
            </w:r>
            <w:r w:rsidR="00881BAF" w:rsidRPr="0057633D">
              <w:rPr>
                <w:rFonts w:eastAsia="Times New Roman"/>
                <w:szCs w:val="24"/>
                <w:lang w:eastAsia="tr-TR"/>
              </w:rPr>
              <w:t>suretiyle ihaleye iştirak edenlerin isteyebileceği kabul edilmişti. Değişikliğin gerekçesi ise Adalet Komisyonu Raporunda</w:t>
            </w:r>
            <w:r w:rsidR="00A148F3" w:rsidRPr="0057633D">
              <w:rPr>
                <w:rFonts w:eastAsia="Times New Roman"/>
                <w:szCs w:val="24"/>
                <w:lang w:eastAsia="tr-TR"/>
              </w:rPr>
              <w:t>,</w:t>
            </w:r>
            <w:r w:rsidR="00881BAF" w:rsidRPr="0057633D">
              <w:rPr>
                <w:rFonts w:eastAsia="Times New Roman"/>
                <w:szCs w:val="24"/>
                <w:lang w:eastAsia="tr-TR"/>
              </w:rPr>
              <w:t xml:space="preserve"> “Gayrimenkulle ve üzerindeki haklarla hiç bir ilgisi bulunmayan, ihaleye iştirak etmeyen bazı kimseler art düşüncelerle binbeşyüz lira harç ödemekle ihalenin feshini şikâyet ederek, ihalenin kesinleşmesine, alacaklının alacağına, alıcının aldığı mala sahip olmasına aylarca ve hatta yıllarca engel olmaktadırlar. İhalenin şikâyet yolu ile feshini talep edecek kimseler, o gayrimenkul ve satış ile ilgili kimselerle sınırlanmakta ve satış değerinin yüzde onu kadar teminat yatırma zorunluluğu getirilmektedir</w:t>
            </w:r>
            <w:r w:rsidRPr="0057633D">
              <w:rPr>
                <w:rFonts w:eastAsia="Times New Roman"/>
                <w:szCs w:val="24"/>
                <w:lang w:eastAsia="tr-TR"/>
              </w:rPr>
              <w:t>”</w:t>
            </w:r>
            <w:r w:rsidR="00881BAF" w:rsidRPr="0057633D">
              <w:rPr>
                <w:rFonts w:eastAsia="Times New Roman"/>
                <w:szCs w:val="24"/>
                <w:lang w:eastAsia="tr-TR"/>
              </w:rPr>
              <w:t xml:space="preserve"> şeklinde ifade edilmişti. Bu talepte bulunabilecek kişiler açısından söz konusu fıkrada yapılan so</w:t>
            </w:r>
            <w:r w:rsidR="00327176" w:rsidRPr="0057633D">
              <w:rPr>
                <w:rFonts w:eastAsia="Times New Roman"/>
                <w:szCs w:val="24"/>
                <w:lang w:eastAsia="tr-TR"/>
              </w:rPr>
              <w:t>nraki değişiklik ise 7343 sayılı Kanunla yapılmıştı. 7343 sayılı Kanun değişikliği, 3494 sayılı Kanun</w:t>
            </w:r>
            <w:r w:rsidR="00881BAF" w:rsidRPr="0057633D">
              <w:rPr>
                <w:rFonts w:eastAsia="Times New Roman"/>
                <w:szCs w:val="24"/>
                <w:lang w:eastAsia="tr-TR"/>
              </w:rPr>
              <w:t xml:space="preserve"> değişikliğiyle belirlenmiş olan kişilere bir de sınırlı ayni hak sahipleri</w:t>
            </w:r>
            <w:r w:rsidR="00B212AE" w:rsidRPr="0057633D">
              <w:rPr>
                <w:rFonts w:eastAsia="Times New Roman"/>
                <w:szCs w:val="24"/>
                <w:lang w:eastAsia="tr-TR"/>
              </w:rPr>
              <w:t>ni eklemişti.</w:t>
            </w:r>
            <w:r w:rsidR="00881BAF" w:rsidRPr="0057633D">
              <w:rPr>
                <w:rFonts w:eastAsia="Times New Roman"/>
                <w:szCs w:val="24"/>
                <w:lang w:eastAsia="tr-TR"/>
              </w:rPr>
              <w:t xml:space="preserve"> Uygulamada, özellikle satış isteyen alacaklı dışındaki diğer hacizli alacaklılar tarafından da ihalenin iptalinin istenip istenilmeyeceği konusunda tereddütler bulunmaktaydı (Kuru, Baki: İcra ve İflas Hukuku El Kitabı, 2. Baskı, Ankara 2013, s.712). Bilim K</w:t>
            </w:r>
            <w:r w:rsidR="004A63EA" w:rsidRPr="0057633D">
              <w:rPr>
                <w:rFonts w:eastAsia="Times New Roman"/>
                <w:szCs w:val="24"/>
                <w:lang w:eastAsia="tr-TR"/>
              </w:rPr>
              <w:t>omisyonu</w:t>
            </w:r>
            <w:r w:rsidR="0030247D" w:rsidRPr="0057633D">
              <w:rPr>
                <w:rFonts w:eastAsia="Times New Roman"/>
                <w:szCs w:val="24"/>
                <w:lang w:eastAsia="tr-TR"/>
              </w:rPr>
              <w:t>nun</w:t>
            </w:r>
            <w:r w:rsidR="004A63EA" w:rsidRPr="0057633D">
              <w:rPr>
                <w:rFonts w:eastAsia="Times New Roman"/>
                <w:szCs w:val="24"/>
                <w:lang w:eastAsia="tr-TR"/>
              </w:rPr>
              <w:t xml:space="preserve">, </w:t>
            </w:r>
            <w:r w:rsidR="00881BAF" w:rsidRPr="0057633D">
              <w:rPr>
                <w:rFonts w:eastAsia="Times New Roman"/>
                <w:szCs w:val="24"/>
                <w:lang w:eastAsia="tr-TR"/>
              </w:rPr>
              <w:t xml:space="preserve">bu hususta söz konusu </w:t>
            </w:r>
            <w:r w:rsidR="004A63EA" w:rsidRPr="0057633D">
              <w:rPr>
                <w:rFonts w:eastAsia="Times New Roman"/>
                <w:szCs w:val="24"/>
                <w:lang w:eastAsia="tr-TR"/>
              </w:rPr>
              <w:t>kişilerin de menfaatinin olduğuna ilişkin değerlendirme</w:t>
            </w:r>
            <w:r w:rsidR="0030247D" w:rsidRPr="0057633D">
              <w:rPr>
                <w:rFonts w:eastAsia="Times New Roman"/>
                <w:szCs w:val="24"/>
                <w:lang w:eastAsia="tr-TR"/>
              </w:rPr>
              <w:t>si</w:t>
            </w:r>
            <w:r w:rsidR="004A63EA" w:rsidRPr="0057633D">
              <w:rPr>
                <w:rFonts w:eastAsia="Times New Roman"/>
                <w:szCs w:val="24"/>
                <w:lang w:eastAsia="tr-TR"/>
              </w:rPr>
              <w:t xml:space="preserve"> uyarınca</w:t>
            </w:r>
            <w:r w:rsidR="00B00C81" w:rsidRPr="0057633D">
              <w:rPr>
                <w:rStyle w:val="YELChar"/>
                <w:color w:val="auto"/>
              </w:rPr>
              <w:t>,</w:t>
            </w:r>
            <w:r w:rsidR="004A63EA" w:rsidRPr="0057633D">
              <w:rPr>
                <w:rFonts w:eastAsia="Times New Roman"/>
                <w:szCs w:val="24"/>
                <w:lang w:eastAsia="tr-TR"/>
              </w:rPr>
              <w:t xml:space="preserve"> satış isteyen alacaklının yanı sıra diğer hacizli alacaklıların da ihalenin iptali talebinde bulunabilmesi </w:t>
            </w:r>
            <w:r w:rsidR="00881BAF" w:rsidRPr="0057633D">
              <w:rPr>
                <w:rFonts w:eastAsia="Times New Roman"/>
                <w:szCs w:val="24"/>
                <w:lang w:eastAsia="tr-TR"/>
              </w:rPr>
              <w:t>kabul edilmiştir. Böylece iptal</w:t>
            </w:r>
            <w:r w:rsidR="0030247D" w:rsidRPr="0057633D">
              <w:rPr>
                <w:rFonts w:eastAsia="Times New Roman"/>
                <w:szCs w:val="24"/>
                <w:lang w:eastAsia="tr-TR"/>
              </w:rPr>
              <w:t>i</w:t>
            </w:r>
            <w:r w:rsidR="00881BAF" w:rsidRPr="0057633D">
              <w:rPr>
                <w:rFonts w:eastAsia="Times New Roman"/>
                <w:szCs w:val="24"/>
                <w:lang w:eastAsia="tr-TR"/>
              </w:rPr>
              <w:t xml:space="preserve"> isteyebilecek</w:t>
            </w:r>
            <w:r w:rsidR="004A63EA" w:rsidRPr="0057633D">
              <w:rPr>
                <w:rFonts w:eastAsia="Times New Roman"/>
                <w:szCs w:val="24"/>
                <w:lang w:eastAsia="tr-TR"/>
              </w:rPr>
              <w:t xml:space="preserve"> kişilerin sayısı arttırılmaktadır</w:t>
            </w:r>
            <w:r w:rsidR="00881BAF" w:rsidRPr="0057633D">
              <w:rPr>
                <w:rFonts w:eastAsia="Times New Roman"/>
                <w:szCs w:val="24"/>
                <w:lang w:eastAsia="tr-TR"/>
              </w:rPr>
              <w:t>. İhale alıcısının</w:t>
            </w:r>
            <w:r w:rsidR="004A63EA" w:rsidRPr="0057633D">
              <w:rPr>
                <w:rFonts w:eastAsia="Times New Roman"/>
                <w:szCs w:val="24"/>
                <w:lang w:eastAsia="tr-TR"/>
              </w:rPr>
              <w:t>,</w:t>
            </w:r>
            <w:r w:rsidR="00881BAF" w:rsidRPr="0057633D">
              <w:rPr>
                <w:rFonts w:eastAsia="Times New Roman"/>
                <w:szCs w:val="24"/>
                <w:lang w:eastAsia="tr-TR"/>
              </w:rPr>
              <w:t xml:space="preserve"> örneğin</w:t>
            </w:r>
            <w:r w:rsidR="004A63EA" w:rsidRPr="0057633D">
              <w:rPr>
                <w:rFonts w:eastAsia="Times New Roman"/>
                <w:szCs w:val="24"/>
                <w:lang w:eastAsia="tr-TR"/>
              </w:rPr>
              <w:t>,</w:t>
            </w:r>
            <w:r w:rsidR="00881BAF" w:rsidRPr="0057633D">
              <w:rPr>
                <w:rFonts w:eastAsia="Times New Roman"/>
                <w:szCs w:val="24"/>
                <w:lang w:eastAsia="tr-TR"/>
              </w:rPr>
              <w:t xml:space="preserve"> malın esaslı vasıflarında hataya düşürülmüş olması nedeniyle ihalenin iptalini talep edebilme hakkı doğ</w:t>
            </w:r>
            <w:r w:rsidR="004A63EA" w:rsidRPr="0057633D">
              <w:rPr>
                <w:rFonts w:eastAsia="Times New Roman"/>
                <w:szCs w:val="24"/>
                <w:lang w:eastAsia="tr-TR"/>
              </w:rPr>
              <w:t xml:space="preserve">al olduğundan, ihale alıcısının </w:t>
            </w:r>
            <w:r w:rsidR="00881BAF" w:rsidRPr="0057633D">
              <w:rPr>
                <w:rFonts w:eastAsia="Times New Roman"/>
                <w:szCs w:val="24"/>
                <w:lang w:eastAsia="tr-TR"/>
              </w:rPr>
              <w:t xml:space="preserve">fıkra metninde iptali talep edebilecek kişiler arasında ayrıca </w:t>
            </w:r>
            <w:r w:rsidR="004A63EA" w:rsidRPr="0057633D">
              <w:rPr>
                <w:rFonts w:eastAsia="Times New Roman"/>
                <w:szCs w:val="24"/>
                <w:lang w:eastAsia="tr-TR"/>
              </w:rPr>
              <w:t xml:space="preserve">sayılmasına gerek </w:t>
            </w:r>
            <w:r w:rsidR="00B00C81" w:rsidRPr="0057633D">
              <w:rPr>
                <w:rStyle w:val="YELChar"/>
                <w:b w:val="0"/>
                <w:color w:val="auto"/>
              </w:rPr>
              <w:t>görülmemiştir</w:t>
            </w:r>
            <w:r w:rsidR="004A63EA" w:rsidRPr="0057633D">
              <w:rPr>
                <w:rFonts w:eastAsia="Times New Roman"/>
                <w:szCs w:val="24"/>
                <w:lang w:eastAsia="tr-TR"/>
              </w:rPr>
              <w:t>.</w:t>
            </w:r>
          </w:p>
          <w:p w:rsidR="00D36A12" w:rsidRPr="0057633D" w:rsidRDefault="004A63EA" w:rsidP="009431FF">
            <w:pPr>
              <w:ind w:firstLine="709"/>
              <w:rPr>
                <w:rFonts w:eastAsia="Times New Roman"/>
                <w:szCs w:val="24"/>
                <w:lang w:eastAsia="tr-TR"/>
              </w:rPr>
            </w:pPr>
            <w:r w:rsidRPr="0057633D">
              <w:rPr>
                <w:rFonts w:eastAsia="Times New Roman"/>
                <w:szCs w:val="24"/>
                <w:lang w:eastAsia="tr-TR"/>
              </w:rPr>
              <w:t>İkinci</w:t>
            </w:r>
            <w:r w:rsidR="00327176" w:rsidRPr="0057633D">
              <w:rPr>
                <w:rFonts w:eastAsia="Times New Roman"/>
                <w:szCs w:val="24"/>
                <w:lang w:eastAsia="tr-TR"/>
              </w:rPr>
              <w:t xml:space="preserve"> fıkrayla, ilgililerin ihale anına kadar yapılan işlemlerdeki hukuka aykırılıkları en geç ihalenin yapıldığına ilişkin </w:t>
            </w:r>
            <w:r w:rsidR="001408E1" w:rsidRPr="0057633D">
              <w:rPr>
                <w:rStyle w:val="YELChar"/>
                <w:b w:val="0"/>
                <w:color w:val="auto"/>
              </w:rPr>
              <w:t>artırma sonuç tutanağının</w:t>
            </w:r>
            <w:r w:rsidR="00327176" w:rsidRPr="0057633D">
              <w:rPr>
                <w:rFonts w:eastAsia="Times New Roman"/>
                <w:szCs w:val="24"/>
                <w:lang w:eastAsia="tr-TR"/>
              </w:rPr>
              <w:t xml:space="preserve"> elektronik satış portalında ilan edildiği tarihte öğrendiği kabul edileceği hükme </w:t>
            </w:r>
            <w:r w:rsidR="001408E1" w:rsidRPr="0057633D">
              <w:rPr>
                <w:rStyle w:val="YELChar"/>
                <w:b w:val="0"/>
                <w:color w:val="auto"/>
              </w:rPr>
              <w:t>bağlanmıştır</w:t>
            </w:r>
            <w:r w:rsidR="00327176" w:rsidRPr="0057633D">
              <w:rPr>
                <w:rFonts w:eastAsia="Times New Roman"/>
                <w:szCs w:val="24"/>
                <w:lang w:eastAsia="tr-TR"/>
              </w:rPr>
              <w:t>.</w:t>
            </w:r>
            <w:r w:rsidR="005D7F8C" w:rsidRPr="0057633D">
              <w:rPr>
                <w:rFonts w:eastAsia="Times New Roman"/>
                <w:szCs w:val="24"/>
                <w:lang w:eastAsia="tr-TR"/>
              </w:rPr>
              <w:t xml:space="preserve"> Hüküm, 2004 sayılı Kanunun 134 üncü maddesinin ikinci fıkrasının ikinci cümlesine karşılık gelmektedir.</w:t>
            </w:r>
          </w:p>
          <w:p w:rsidR="005D7F8C" w:rsidRPr="0057633D" w:rsidRDefault="00D36A12" w:rsidP="009431FF">
            <w:pPr>
              <w:ind w:firstLine="709"/>
              <w:rPr>
                <w:rFonts w:eastAsia="Times New Roman"/>
                <w:szCs w:val="24"/>
                <w:lang w:eastAsia="tr-TR"/>
              </w:rPr>
            </w:pPr>
            <w:r w:rsidRPr="0057633D">
              <w:rPr>
                <w:rFonts w:eastAsia="Times New Roman"/>
                <w:szCs w:val="24"/>
                <w:lang w:eastAsia="tr-TR"/>
              </w:rPr>
              <w:t>Üçüncü fıkraya göre, s</w:t>
            </w:r>
            <w:r w:rsidR="004A63EA" w:rsidRPr="0057633D">
              <w:rPr>
                <w:rFonts w:eastAsia="Times New Roman"/>
                <w:szCs w:val="24"/>
                <w:lang w:eastAsia="tr-TR"/>
              </w:rPr>
              <w:t xml:space="preserve">atış ilanı tebliğ edilmemiş veya satılan malın esaslı </w:t>
            </w:r>
            <w:r w:rsidR="004A63EA" w:rsidRPr="0057633D">
              <w:rPr>
                <w:rFonts w:eastAsia="Times New Roman"/>
                <w:bCs/>
                <w:lang w:eastAsia="tr-TR"/>
              </w:rPr>
              <w:t>niteliklerindeki</w:t>
            </w:r>
            <w:r w:rsidR="004A63EA" w:rsidRPr="0057633D">
              <w:rPr>
                <w:rFonts w:eastAsia="Times New Roman"/>
                <w:szCs w:val="24"/>
                <w:lang w:eastAsia="tr-TR"/>
              </w:rPr>
              <w:t xml:space="preserve"> hata veya ihalede fesa</w:t>
            </w:r>
            <w:r w:rsidR="004A63EA" w:rsidRPr="0057633D">
              <w:rPr>
                <w:rFonts w:eastAsia="Times New Roman"/>
                <w:bCs/>
                <w:lang w:eastAsia="tr-TR"/>
              </w:rPr>
              <w:t>t</w:t>
            </w:r>
            <w:r w:rsidR="004A63EA" w:rsidRPr="0057633D">
              <w:rPr>
                <w:rFonts w:eastAsia="Times New Roman"/>
                <w:szCs w:val="24"/>
                <w:lang w:eastAsia="tr-TR"/>
              </w:rPr>
              <w:t xml:space="preserve"> </w:t>
            </w:r>
            <w:r w:rsidR="004A63EA" w:rsidRPr="0057633D">
              <w:rPr>
                <w:rFonts w:eastAsia="Times New Roman"/>
                <w:bCs/>
                <w:lang w:eastAsia="tr-TR"/>
              </w:rPr>
              <w:t xml:space="preserve">daha sonra öğrenilmişse, </w:t>
            </w:r>
            <w:r w:rsidR="004A63EA" w:rsidRPr="0057633D">
              <w:rPr>
                <w:rFonts w:eastAsia="Times New Roman"/>
                <w:szCs w:val="24"/>
                <w:lang w:eastAsia="tr-TR"/>
              </w:rPr>
              <w:t>şik</w:t>
            </w:r>
            <w:r w:rsidR="00D4409E" w:rsidRPr="0057633D">
              <w:rPr>
                <w:rFonts w:eastAsia="Times New Roman"/>
                <w:szCs w:val="24"/>
                <w:lang w:eastAsia="tr-TR"/>
              </w:rPr>
              <w:t>â</w:t>
            </w:r>
            <w:r w:rsidR="004A63EA" w:rsidRPr="0057633D">
              <w:rPr>
                <w:rFonts w:eastAsia="Times New Roman"/>
                <w:szCs w:val="24"/>
                <w:lang w:eastAsia="tr-TR"/>
              </w:rPr>
              <w:t xml:space="preserve">yet </w:t>
            </w:r>
            <w:r w:rsidR="004A63EA" w:rsidRPr="0057633D">
              <w:rPr>
                <w:rFonts w:eastAsia="Times New Roman"/>
                <w:bCs/>
                <w:lang w:eastAsia="tr-TR"/>
              </w:rPr>
              <w:t>süresi</w:t>
            </w:r>
            <w:r w:rsidRPr="0057633D">
              <w:rPr>
                <w:rFonts w:eastAsia="Times New Roman"/>
                <w:bCs/>
                <w:lang w:eastAsia="tr-TR"/>
              </w:rPr>
              <w:t>,</w:t>
            </w:r>
            <w:r w:rsidR="004A63EA" w:rsidRPr="0057633D">
              <w:rPr>
                <w:rFonts w:eastAsia="Times New Roman"/>
                <w:szCs w:val="24"/>
                <w:lang w:eastAsia="tr-TR"/>
              </w:rPr>
              <w:t xml:space="preserve"> </w:t>
            </w:r>
            <w:r w:rsidR="004A63EA" w:rsidRPr="0057633D">
              <w:rPr>
                <w:rFonts w:eastAsia="Times New Roman"/>
                <w:bCs/>
                <w:lang w:eastAsia="tr-TR"/>
              </w:rPr>
              <w:t>öğrenme</w:t>
            </w:r>
            <w:r w:rsidR="004A63EA" w:rsidRPr="0057633D">
              <w:rPr>
                <w:rFonts w:eastAsia="Times New Roman"/>
                <w:szCs w:val="24"/>
                <w:lang w:eastAsia="tr-TR"/>
              </w:rPr>
              <w:t xml:space="preserve"> tarihinden </w:t>
            </w:r>
            <w:r w:rsidRPr="0057633D">
              <w:rPr>
                <w:rFonts w:eastAsia="Times New Roman"/>
                <w:szCs w:val="24"/>
                <w:lang w:eastAsia="tr-TR"/>
              </w:rPr>
              <w:t>itibaren</w:t>
            </w:r>
            <w:r w:rsidR="0030247D" w:rsidRPr="0057633D">
              <w:rPr>
                <w:rFonts w:eastAsia="Times New Roman"/>
                <w:szCs w:val="24"/>
                <w:lang w:eastAsia="tr-TR"/>
              </w:rPr>
              <w:t>başlayacaktır</w:t>
            </w:r>
            <w:r w:rsidR="004A63EA" w:rsidRPr="0057633D">
              <w:rPr>
                <w:rFonts w:eastAsia="Times New Roman"/>
                <w:szCs w:val="24"/>
                <w:lang w:eastAsia="tr-TR"/>
              </w:rPr>
              <w:t>.</w:t>
            </w:r>
            <w:r w:rsidRPr="0057633D">
              <w:rPr>
                <w:rFonts w:eastAsia="Times New Roman"/>
                <w:szCs w:val="24"/>
                <w:lang w:eastAsia="tr-TR"/>
              </w:rPr>
              <w:t xml:space="preserve"> Ancak</w:t>
            </w:r>
            <w:r w:rsidR="004A63EA" w:rsidRPr="0057633D">
              <w:rPr>
                <w:rStyle w:val="KIRMIZIChar"/>
                <w:rFonts w:eastAsia="Calibri"/>
                <w:color w:val="auto"/>
              </w:rPr>
              <w:t>,</w:t>
            </w:r>
            <w:r w:rsidR="004A63EA" w:rsidRPr="0057633D">
              <w:rPr>
                <w:rFonts w:eastAsia="Times New Roman"/>
                <w:szCs w:val="24"/>
                <w:lang w:eastAsia="tr-TR"/>
              </w:rPr>
              <w:t xml:space="preserve"> bu </w:t>
            </w:r>
            <w:r w:rsidR="004A63EA" w:rsidRPr="0057633D">
              <w:rPr>
                <w:rFonts w:eastAsia="Times New Roman"/>
                <w:bCs/>
                <w:lang w:eastAsia="tr-TR"/>
              </w:rPr>
              <w:t>süre</w:t>
            </w:r>
            <w:r w:rsidR="00D4409E" w:rsidRPr="0057633D">
              <w:rPr>
                <w:rStyle w:val="YELChar"/>
                <w:b w:val="0"/>
                <w:color w:val="auto"/>
              </w:rPr>
              <w:t>,</w:t>
            </w:r>
            <w:r w:rsidR="004A63EA" w:rsidRPr="0057633D">
              <w:rPr>
                <w:rFonts w:eastAsia="Times New Roman"/>
                <w:bCs/>
                <w:lang w:eastAsia="tr-TR"/>
              </w:rPr>
              <w:t xml:space="preserve"> </w:t>
            </w:r>
            <w:r w:rsidR="004A63EA" w:rsidRPr="0057633D">
              <w:rPr>
                <w:rFonts w:eastAsia="Times New Roman"/>
                <w:szCs w:val="24"/>
                <w:lang w:eastAsia="tr-TR"/>
              </w:rPr>
              <w:t xml:space="preserve">ihalenin yapıldığına ilişkin </w:t>
            </w:r>
            <w:r w:rsidR="00D4409E" w:rsidRPr="0057633D">
              <w:rPr>
                <w:rStyle w:val="YELChar"/>
                <w:b w:val="0"/>
                <w:color w:val="auto"/>
              </w:rPr>
              <w:t>artırma sonuç tutanağının</w:t>
            </w:r>
            <w:r w:rsidR="004A63EA" w:rsidRPr="0057633D">
              <w:rPr>
                <w:rFonts w:eastAsia="Times New Roman"/>
                <w:szCs w:val="24"/>
                <w:lang w:eastAsia="tr-TR"/>
              </w:rPr>
              <w:t xml:space="preserve"> elektronik satış portalında ilan edildiği tarihten</w:t>
            </w:r>
            <w:r w:rsidR="004A63EA" w:rsidRPr="0057633D">
              <w:rPr>
                <w:rFonts w:eastAsia="Times New Roman"/>
                <w:lang w:eastAsia="tr-TR"/>
              </w:rPr>
              <w:t xml:space="preserve"> </w:t>
            </w:r>
            <w:r w:rsidR="004A63EA" w:rsidRPr="0057633D">
              <w:rPr>
                <w:rFonts w:eastAsia="Times New Roman"/>
                <w:szCs w:val="24"/>
                <w:lang w:eastAsia="tr-TR"/>
              </w:rPr>
              <w:t xml:space="preserve">itibaren bir </w:t>
            </w:r>
            <w:r w:rsidR="004A63EA" w:rsidRPr="0057633D">
              <w:rPr>
                <w:rFonts w:eastAsia="Times New Roman"/>
                <w:bCs/>
                <w:lang w:eastAsia="tr-TR"/>
              </w:rPr>
              <w:t>yılı</w:t>
            </w:r>
            <w:r w:rsidR="004A63EA" w:rsidRPr="0057633D">
              <w:rPr>
                <w:rFonts w:eastAsia="Times New Roman"/>
                <w:szCs w:val="24"/>
                <w:lang w:eastAsia="tr-TR"/>
              </w:rPr>
              <w:t xml:space="preserve"> geçemez.</w:t>
            </w:r>
            <w:r w:rsidRPr="0057633D">
              <w:rPr>
                <w:rFonts w:eastAsia="Times New Roman"/>
                <w:szCs w:val="24"/>
                <w:lang w:eastAsia="tr-TR"/>
              </w:rPr>
              <w:t xml:space="preserve"> </w:t>
            </w:r>
            <w:r w:rsidR="005D7F8C" w:rsidRPr="0057633D">
              <w:rPr>
                <w:rFonts w:eastAsia="Times New Roman"/>
                <w:szCs w:val="24"/>
                <w:lang w:eastAsia="tr-TR"/>
              </w:rPr>
              <w:t xml:space="preserve">Hüküm, 2004 sayılı Kanunun 134 üncü maddesinin onuncu fıkrasına karşılık gelmektedir. Söz konusu hükümler 538 sayılı Kanun </w:t>
            </w:r>
            <w:r w:rsidR="00881BAF" w:rsidRPr="0057633D">
              <w:rPr>
                <w:rFonts w:eastAsia="Times New Roman"/>
                <w:szCs w:val="24"/>
                <w:lang w:eastAsia="tr-TR"/>
              </w:rPr>
              <w:t>değişikliğiyle 134</w:t>
            </w:r>
            <w:r w:rsidR="005D7F8C" w:rsidRPr="0057633D">
              <w:rPr>
                <w:rFonts w:eastAsia="Times New Roman"/>
                <w:szCs w:val="24"/>
                <w:lang w:eastAsia="tr-TR"/>
              </w:rPr>
              <w:t xml:space="preserve"> üncü</w:t>
            </w:r>
            <w:r w:rsidR="00881BAF" w:rsidRPr="0057633D">
              <w:rPr>
                <w:rFonts w:eastAsia="Times New Roman"/>
                <w:szCs w:val="24"/>
                <w:lang w:eastAsia="tr-TR"/>
              </w:rPr>
              <w:t xml:space="preserve"> </w:t>
            </w:r>
            <w:r w:rsidRPr="0057633D">
              <w:rPr>
                <w:rFonts w:eastAsia="Times New Roman"/>
                <w:szCs w:val="24"/>
                <w:lang w:eastAsia="tr-TR"/>
              </w:rPr>
              <w:t>maddeye eklenmişti. Maddede de</w:t>
            </w:r>
            <w:r w:rsidR="00881BAF" w:rsidRPr="0057633D">
              <w:rPr>
                <w:rFonts w:eastAsia="Times New Roman"/>
                <w:szCs w:val="24"/>
                <w:lang w:eastAsia="tr-TR"/>
              </w:rPr>
              <w:t xml:space="preserve"> prensip olarak</w:t>
            </w:r>
            <w:r w:rsidRPr="0057633D">
              <w:rPr>
                <w:rFonts w:eastAsia="Times New Roman"/>
                <w:szCs w:val="24"/>
                <w:lang w:eastAsia="tr-TR"/>
              </w:rPr>
              <w:t xml:space="preserve"> söz konusu hükümler </w:t>
            </w:r>
            <w:r w:rsidR="00D4409E" w:rsidRPr="0057633D">
              <w:rPr>
                <w:rStyle w:val="YELChar"/>
                <w:b w:val="0"/>
                <w:color w:val="auto"/>
              </w:rPr>
              <w:t>benimsenmiş</w:t>
            </w:r>
            <w:r w:rsidR="0030247D" w:rsidRPr="0057633D">
              <w:rPr>
                <w:rStyle w:val="YELChar"/>
                <w:b w:val="0"/>
                <w:color w:val="auto"/>
              </w:rPr>
              <w:t>,</w:t>
            </w:r>
            <w:r w:rsidR="00881BAF" w:rsidRPr="0057633D">
              <w:rPr>
                <w:rFonts w:eastAsia="Times New Roman"/>
                <w:szCs w:val="24"/>
                <w:lang w:eastAsia="tr-TR"/>
              </w:rPr>
              <w:t xml:space="preserve"> ancak elektronik satış portalı hususundaki ye</w:t>
            </w:r>
            <w:r w:rsidRPr="0057633D">
              <w:rPr>
                <w:rFonts w:eastAsia="Times New Roman"/>
                <w:szCs w:val="24"/>
                <w:lang w:eastAsia="tr-TR"/>
              </w:rPr>
              <w:t>nilikler nedeniyle 7343</w:t>
            </w:r>
            <w:r w:rsidR="005D7F8C" w:rsidRPr="0057633D">
              <w:rPr>
                <w:rFonts w:eastAsia="Times New Roman"/>
                <w:szCs w:val="24"/>
                <w:lang w:eastAsia="tr-TR"/>
              </w:rPr>
              <w:t xml:space="preserve"> sayılı Kanunla </w:t>
            </w:r>
            <w:r w:rsidR="00881BAF" w:rsidRPr="0057633D">
              <w:rPr>
                <w:rFonts w:eastAsia="Times New Roman"/>
                <w:szCs w:val="24"/>
                <w:lang w:eastAsia="tr-TR"/>
              </w:rPr>
              <w:t>yapılan değ</w:t>
            </w:r>
            <w:r w:rsidRPr="0057633D">
              <w:rPr>
                <w:rFonts w:eastAsia="Times New Roman"/>
                <w:szCs w:val="24"/>
                <w:lang w:eastAsia="tr-TR"/>
              </w:rPr>
              <w:t xml:space="preserve">işiklikler de dikkate </w:t>
            </w:r>
            <w:r w:rsidR="00D4409E" w:rsidRPr="0057633D">
              <w:rPr>
                <w:rStyle w:val="YELChar"/>
                <w:b w:val="0"/>
                <w:color w:val="auto"/>
              </w:rPr>
              <w:t>alınmıştır</w:t>
            </w:r>
            <w:r w:rsidR="00881BAF" w:rsidRPr="0057633D">
              <w:rPr>
                <w:rFonts w:eastAsia="Times New Roman"/>
                <w:szCs w:val="24"/>
                <w:lang w:eastAsia="tr-TR"/>
              </w:rPr>
              <w:t>.</w:t>
            </w:r>
          </w:p>
          <w:p w:rsidR="00D36A12" w:rsidRPr="0057633D" w:rsidRDefault="00D36A12" w:rsidP="009431FF">
            <w:pPr>
              <w:ind w:firstLine="709"/>
              <w:rPr>
                <w:rFonts w:eastAsia="Times New Roman"/>
                <w:szCs w:val="24"/>
                <w:lang w:eastAsia="tr-TR"/>
              </w:rPr>
            </w:pPr>
            <w:r w:rsidRPr="0057633D">
              <w:rPr>
                <w:rFonts w:eastAsia="Times New Roman"/>
                <w:szCs w:val="24"/>
                <w:lang w:eastAsia="tr-TR"/>
              </w:rPr>
              <w:t xml:space="preserve">Dördüncü fıkraya göre, ihalenin iptalini </w:t>
            </w:r>
            <w:r w:rsidR="00D4409E" w:rsidRPr="0057633D">
              <w:rPr>
                <w:rStyle w:val="YELChar"/>
                <w:b w:val="0"/>
                <w:color w:val="auto"/>
              </w:rPr>
              <w:t>isteyen kimsenin,</w:t>
            </w:r>
            <w:r w:rsidRPr="0057633D">
              <w:rPr>
                <w:rFonts w:eastAsia="Times New Roman"/>
                <w:szCs w:val="24"/>
                <w:lang w:eastAsia="tr-TR"/>
              </w:rPr>
              <w:t xml:space="preserve"> yurt içinde bir adres </w:t>
            </w:r>
            <w:r w:rsidR="00D4409E" w:rsidRPr="0057633D">
              <w:rPr>
                <w:rStyle w:val="YELChar"/>
                <w:b w:val="0"/>
                <w:color w:val="auto"/>
              </w:rPr>
              <w:t>veya</w:t>
            </w:r>
            <w:r w:rsidRPr="0057633D">
              <w:rPr>
                <w:rFonts w:eastAsia="Times New Roman"/>
                <w:szCs w:val="24"/>
                <w:lang w:eastAsia="tr-TR"/>
              </w:rPr>
              <w:t xml:space="preserve"> varsa elektronik tebligat adresi göstermesi zorunludur. Hüküm, 2004 sayılı Kanunun 134 üncü maddesinin ikinci fıkrasın</w:t>
            </w:r>
            <w:r w:rsidR="0030247D" w:rsidRPr="0057633D">
              <w:rPr>
                <w:rFonts w:eastAsia="Times New Roman"/>
                <w:szCs w:val="24"/>
                <w:lang w:eastAsia="tr-TR"/>
              </w:rPr>
              <w:t>ın</w:t>
            </w:r>
            <w:r w:rsidRPr="0057633D">
              <w:rPr>
                <w:rFonts w:eastAsia="Times New Roman"/>
                <w:szCs w:val="24"/>
                <w:lang w:eastAsia="tr-TR"/>
              </w:rPr>
              <w:t xml:space="preserve"> adres gösterme zorunluluğu kısmına karşılık gelmektedir. Bilindiği üzere 4949 sayılı Kanunla</w:t>
            </w:r>
            <w:r w:rsidR="0030247D" w:rsidRPr="0057633D">
              <w:rPr>
                <w:rFonts w:eastAsia="Times New Roman"/>
                <w:szCs w:val="24"/>
                <w:lang w:eastAsia="tr-TR"/>
              </w:rPr>
              <w:t>,</w:t>
            </w:r>
            <w:r w:rsidRPr="0057633D">
              <w:rPr>
                <w:rFonts w:eastAsia="Times New Roman"/>
                <w:szCs w:val="24"/>
                <w:lang w:eastAsia="tr-TR"/>
              </w:rPr>
              <w:t xml:space="preserve"> belirtilen fıkraya ihalenin feshi talebinde bulunulabilmesi için “yurt içinde adres göstermek” şartı </w:t>
            </w:r>
            <w:r w:rsidR="00D4409E" w:rsidRPr="0057633D">
              <w:rPr>
                <w:rStyle w:val="YELChar"/>
                <w:b w:val="0"/>
                <w:color w:val="auto"/>
              </w:rPr>
              <w:t>getirilmiştir</w:t>
            </w:r>
            <w:r w:rsidRPr="0057633D">
              <w:rPr>
                <w:rFonts w:eastAsia="Times New Roman"/>
                <w:szCs w:val="24"/>
                <w:lang w:eastAsia="tr-TR"/>
              </w:rPr>
              <w:t xml:space="preserve">. Aynı esas bu maddede de kabul </w:t>
            </w:r>
            <w:r w:rsidR="00D4409E" w:rsidRPr="0057633D">
              <w:rPr>
                <w:rStyle w:val="YELChar"/>
                <w:b w:val="0"/>
                <w:color w:val="auto"/>
              </w:rPr>
              <w:t>edilmiş</w:t>
            </w:r>
            <w:r w:rsidRPr="0057633D">
              <w:rPr>
                <w:rFonts w:eastAsia="Times New Roman"/>
                <w:szCs w:val="24"/>
                <w:lang w:eastAsia="tr-TR"/>
              </w:rPr>
              <w:t xml:space="preserve"> ve buna il</w:t>
            </w:r>
            <w:r w:rsidR="00F25FDB" w:rsidRPr="0057633D">
              <w:rPr>
                <w:rFonts w:eastAsia="Times New Roman"/>
                <w:szCs w:val="24"/>
                <w:lang w:eastAsia="tr-TR"/>
              </w:rPr>
              <w:t>a</w:t>
            </w:r>
            <w:r w:rsidRPr="0057633D">
              <w:rPr>
                <w:rFonts w:eastAsia="Times New Roman"/>
                <w:szCs w:val="24"/>
                <w:lang w:eastAsia="tr-TR"/>
              </w:rPr>
              <w:t xml:space="preserve">ve olarak 7201 sayılı Tebligat Kanunundaki elektronik tebligata ilişkin hükümler de gözetilerek, iptal talebinde bulunacak kişinin elektronik tebligat adresinin bulunması durumunda bu adresi de göstermesinin zorunlu olduğu kabul </w:t>
            </w:r>
            <w:r w:rsidR="00D4409E" w:rsidRPr="0057633D">
              <w:rPr>
                <w:rStyle w:val="YELChar"/>
                <w:b w:val="0"/>
                <w:color w:val="auto"/>
              </w:rPr>
              <w:t>edilmiştir</w:t>
            </w:r>
            <w:r w:rsidRPr="0057633D">
              <w:rPr>
                <w:rFonts w:eastAsia="Times New Roman"/>
                <w:szCs w:val="24"/>
                <w:lang w:eastAsia="tr-TR"/>
              </w:rPr>
              <w:t>.</w:t>
            </w:r>
          </w:p>
          <w:p w:rsidR="00881BAF" w:rsidRPr="0057633D" w:rsidRDefault="00D36A12" w:rsidP="009431FF">
            <w:pPr>
              <w:ind w:firstLine="709"/>
              <w:rPr>
                <w:rFonts w:eastAsia="Times New Roman"/>
                <w:szCs w:val="24"/>
                <w:lang w:eastAsia="tr-TR"/>
              </w:rPr>
            </w:pPr>
            <w:r w:rsidRPr="0057633D">
              <w:rPr>
                <w:rFonts w:eastAsia="Times New Roman"/>
                <w:szCs w:val="24"/>
                <w:lang w:eastAsia="tr-TR"/>
              </w:rPr>
              <w:t>Beşinci fıkraya göre ihalenin iptali</w:t>
            </w:r>
            <w:r w:rsidR="0030247D" w:rsidRPr="0057633D">
              <w:rPr>
                <w:rFonts w:eastAsia="Times New Roman"/>
                <w:szCs w:val="24"/>
                <w:lang w:eastAsia="tr-TR"/>
              </w:rPr>
              <w:t>;</w:t>
            </w:r>
            <w:r w:rsidRPr="0057633D">
              <w:rPr>
                <w:rFonts w:eastAsia="Times New Roman"/>
                <w:szCs w:val="24"/>
                <w:lang w:eastAsia="tr-TR"/>
              </w:rPr>
              <w:t xml:space="preserve"> ilgililer tarafından</w:t>
            </w:r>
            <w:r w:rsidRPr="0057633D">
              <w:rPr>
                <w:rStyle w:val="KIRMIZIChar"/>
                <w:rFonts w:eastAsia="Calibri"/>
                <w:color w:val="auto"/>
              </w:rPr>
              <w:t>,</w:t>
            </w:r>
            <w:r w:rsidRPr="0057633D">
              <w:rPr>
                <w:rFonts w:eastAsia="Times New Roman"/>
                <w:szCs w:val="24"/>
                <w:lang w:eastAsia="tr-TR"/>
              </w:rPr>
              <w:t xml:space="preserve"> 6098 sayılı</w:t>
            </w:r>
            <w:r w:rsidR="00CB4D3D" w:rsidRPr="0057633D">
              <w:rPr>
                <w:rFonts w:eastAsia="Times New Roman"/>
                <w:szCs w:val="24"/>
                <w:lang w:eastAsia="tr-TR"/>
              </w:rPr>
              <w:t xml:space="preserve"> </w:t>
            </w:r>
            <w:r w:rsidR="00CB4D3D" w:rsidRPr="0057633D">
              <w:rPr>
                <w:rStyle w:val="KonuBalChar"/>
                <w:rFonts w:eastAsia="Calibri"/>
                <w:b w:val="0"/>
                <w:color w:val="auto"/>
              </w:rPr>
              <w:t>Kanunun</w:t>
            </w:r>
            <w:r w:rsidRPr="0057633D">
              <w:rPr>
                <w:rFonts w:eastAsia="Times New Roman"/>
                <w:szCs w:val="24"/>
                <w:lang w:eastAsia="tr-TR"/>
              </w:rPr>
              <w:t xml:space="preserve"> 281 inci maddesinde yazılı sebepler de dâhil olmak üzere</w:t>
            </w:r>
            <w:r w:rsidR="00D4409E" w:rsidRPr="0057633D">
              <w:rPr>
                <w:rStyle w:val="YELChar"/>
                <w:b w:val="0"/>
                <w:color w:val="auto"/>
              </w:rPr>
              <w:t>,</w:t>
            </w:r>
            <w:r w:rsidRPr="0057633D">
              <w:rPr>
                <w:rFonts w:eastAsia="Times New Roman"/>
                <w:szCs w:val="24"/>
                <w:lang w:eastAsia="tr-TR"/>
              </w:rPr>
              <w:t xml:space="preserve"> özellikle satış talebi ve artırmaya hazırlık dönemindeki usulsüzlükler, artırmaya fesat karıştırılmış olması ve alıcının satılan malın esaslı niteliklerinde hataya düşmüş bulunmasına dayanılarak istenebilir. Fıkra, 2004 sayılı Kanunun 134 üncü maddesinin ikinci fıkrasının birinci cümlesine karşılık gelmektedir.</w:t>
            </w:r>
            <w:r w:rsidR="00E6453A" w:rsidRPr="0057633D">
              <w:rPr>
                <w:rFonts w:eastAsia="Times New Roman"/>
                <w:szCs w:val="24"/>
                <w:lang w:eastAsia="tr-TR"/>
              </w:rPr>
              <w:t xml:space="preserve"> </w:t>
            </w:r>
            <w:r w:rsidRPr="0057633D">
              <w:rPr>
                <w:rFonts w:eastAsia="Times New Roman"/>
                <w:szCs w:val="24"/>
                <w:lang w:eastAsia="tr-TR"/>
              </w:rPr>
              <w:t xml:space="preserve">2004 sayılı Kanunun </w:t>
            </w:r>
            <w:r w:rsidR="005D7F8C" w:rsidRPr="0057633D">
              <w:rPr>
                <w:rFonts w:eastAsia="Times New Roman"/>
                <w:szCs w:val="24"/>
                <w:lang w:eastAsia="tr-TR"/>
              </w:rPr>
              <w:t>134 üncü</w:t>
            </w:r>
            <w:r w:rsidR="00881BAF" w:rsidRPr="0057633D">
              <w:rPr>
                <w:rFonts w:eastAsia="Times New Roman"/>
                <w:szCs w:val="24"/>
                <w:lang w:eastAsia="tr-TR"/>
              </w:rPr>
              <w:t xml:space="preserve"> mad</w:t>
            </w:r>
            <w:r w:rsidRPr="0057633D">
              <w:rPr>
                <w:rFonts w:eastAsia="Times New Roman"/>
                <w:szCs w:val="24"/>
                <w:lang w:eastAsia="tr-TR"/>
              </w:rPr>
              <w:t>desin</w:t>
            </w:r>
            <w:r w:rsidR="00881BAF" w:rsidRPr="0057633D">
              <w:rPr>
                <w:rFonts w:eastAsia="Times New Roman"/>
                <w:szCs w:val="24"/>
                <w:lang w:eastAsia="tr-TR"/>
              </w:rPr>
              <w:t>de sebepler açıkça zikredilmeye</w:t>
            </w:r>
            <w:r w:rsidRPr="0057633D">
              <w:rPr>
                <w:rFonts w:eastAsia="Times New Roman"/>
                <w:szCs w:val="24"/>
                <w:lang w:eastAsia="tr-TR"/>
              </w:rPr>
              <w:t xml:space="preserve">rek 6098 sayılı Kanunun 281 inci </w:t>
            </w:r>
            <w:r w:rsidR="00881BAF" w:rsidRPr="0057633D">
              <w:rPr>
                <w:rFonts w:eastAsia="Times New Roman"/>
                <w:szCs w:val="24"/>
                <w:lang w:eastAsia="tr-TR"/>
              </w:rPr>
              <w:t>maddesindeki sebeplere de</w:t>
            </w:r>
            <w:r w:rsidR="00E6453A" w:rsidRPr="0057633D">
              <w:rPr>
                <w:rFonts w:eastAsia="Times New Roman"/>
                <w:szCs w:val="24"/>
                <w:lang w:eastAsia="tr-TR"/>
              </w:rPr>
              <w:t xml:space="preserve"> dayanılabileceği belirtilmişken Taslakta</w:t>
            </w:r>
            <w:r w:rsidR="00D4409E" w:rsidRPr="0057633D">
              <w:rPr>
                <w:rStyle w:val="YELChar"/>
                <w:b w:val="0"/>
                <w:color w:val="auto"/>
              </w:rPr>
              <w:t>,</w:t>
            </w:r>
            <w:r w:rsidR="00E6453A" w:rsidRPr="0057633D">
              <w:rPr>
                <w:rFonts w:eastAsia="Times New Roman"/>
                <w:szCs w:val="24"/>
                <w:lang w:eastAsia="tr-TR"/>
              </w:rPr>
              <w:t xml:space="preserve"> 6098 sayılı Kanunun 281 inci maddesinin</w:t>
            </w:r>
            <w:r w:rsidR="00881BAF" w:rsidRPr="0057633D">
              <w:rPr>
                <w:rFonts w:eastAsia="Times New Roman"/>
                <w:szCs w:val="24"/>
                <w:lang w:eastAsia="tr-TR"/>
              </w:rPr>
              <w:t xml:space="preserve"> icra hukuku bakımından uygulanması açısından bazı örne</w:t>
            </w:r>
            <w:r w:rsidR="00E6453A" w:rsidRPr="0057633D">
              <w:rPr>
                <w:rFonts w:eastAsia="Times New Roman"/>
                <w:szCs w:val="24"/>
                <w:lang w:eastAsia="tr-TR"/>
              </w:rPr>
              <w:t xml:space="preserve">kler verilmesi uygun </w:t>
            </w:r>
            <w:r w:rsidR="00D4409E" w:rsidRPr="0057633D">
              <w:rPr>
                <w:rStyle w:val="YELChar"/>
                <w:b w:val="0"/>
                <w:color w:val="auto"/>
              </w:rPr>
              <w:t>görülmüştür</w:t>
            </w:r>
            <w:r w:rsidR="00E6453A" w:rsidRPr="0057633D">
              <w:rPr>
                <w:rFonts w:eastAsia="Times New Roman"/>
                <w:szCs w:val="24"/>
                <w:lang w:eastAsia="tr-TR"/>
              </w:rPr>
              <w:t>. Buna göre</w:t>
            </w:r>
            <w:r w:rsidR="00881BAF" w:rsidRPr="0057633D">
              <w:rPr>
                <w:rFonts w:eastAsia="Times New Roman"/>
                <w:szCs w:val="24"/>
                <w:lang w:eastAsia="tr-TR"/>
              </w:rPr>
              <w:t xml:space="preserve"> ihalenin iptali,</w:t>
            </w:r>
            <w:r w:rsidR="00E6453A" w:rsidRPr="0057633D">
              <w:rPr>
                <w:rFonts w:eastAsia="Times New Roman"/>
                <w:szCs w:val="24"/>
                <w:lang w:eastAsia="tr-TR"/>
              </w:rPr>
              <w:t xml:space="preserve"> 6098 sayılı Kanunun 281 inci maddesinde</w:t>
            </w:r>
            <w:r w:rsidR="00881BAF" w:rsidRPr="0057633D">
              <w:rPr>
                <w:rFonts w:eastAsia="Times New Roman"/>
                <w:szCs w:val="24"/>
                <w:lang w:eastAsia="tr-TR"/>
              </w:rPr>
              <w:t xml:space="preserve"> </w:t>
            </w:r>
            <w:r w:rsidR="00E6453A" w:rsidRPr="0057633D">
              <w:rPr>
                <w:rFonts w:eastAsia="Times New Roman"/>
                <w:szCs w:val="24"/>
                <w:lang w:eastAsia="tr-TR"/>
              </w:rPr>
              <w:t xml:space="preserve">belirtilen </w:t>
            </w:r>
            <w:r w:rsidR="00881BAF" w:rsidRPr="0057633D">
              <w:rPr>
                <w:rFonts w:eastAsia="Times New Roman"/>
                <w:szCs w:val="24"/>
                <w:lang w:eastAsia="tr-TR"/>
              </w:rPr>
              <w:t>sebepler de dâhil olmak üzere</w:t>
            </w:r>
            <w:r w:rsidR="00D4409E" w:rsidRPr="0057633D">
              <w:rPr>
                <w:rStyle w:val="YELChar"/>
                <w:color w:val="auto"/>
              </w:rPr>
              <w:t>,</w:t>
            </w:r>
            <w:r w:rsidR="00881BAF" w:rsidRPr="0057633D">
              <w:rPr>
                <w:rFonts w:eastAsia="Times New Roman"/>
                <w:szCs w:val="24"/>
                <w:lang w:eastAsia="tr-TR"/>
              </w:rPr>
              <w:t xml:space="preserve"> özellikle satış talebi ve artırmaya hazırlık dönemindeki usulsüzlükler, artırmaya fesat karıştırılmış olması ve alıcının satılan malın esaslı niteliklerinde hataya düşmüş </w:t>
            </w:r>
            <w:r w:rsidR="00CC7CB0" w:rsidRPr="0057633D">
              <w:rPr>
                <w:rFonts w:eastAsia="Times New Roman"/>
                <w:szCs w:val="24"/>
                <w:lang w:eastAsia="tr-TR"/>
              </w:rPr>
              <w:t>bulunmasına dayanılarak istenile</w:t>
            </w:r>
            <w:r w:rsidR="00881BAF" w:rsidRPr="0057633D">
              <w:rPr>
                <w:rFonts w:eastAsia="Times New Roman"/>
                <w:szCs w:val="24"/>
                <w:lang w:eastAsia="tr-TR"/>
              </w:rPr>
              <w:t>bi</w:t>
            </w:r>
            <w:r w:rsidR="00CC7CB0" w:rsidRPr="0057633D">
              <w:rPr>
                <w:rFonts w:eastAsia="Times New Roman"/>
                <w:szCs w:val="24"/>
                <w:lang w:eastAsia="tr-TR"/>
              </w:rPr>
              <w:t xml:space="preserve">lir. </w:t>
            </w:r>
            <w:r w:rsidR="00E6453A" w:rsidRPr="0057633D">
              <w:rPr>
                <w:rFonts w:eastAsia="Times New Roman"/>
                <w:szCs w:val="24"/>
                <w:lang w:eastAsia="tr-TR"/>
              </w:rPr>
              <w:t>Öte yandan f</w:t>
            </w:r>
            <w:r w:rsidR="00881BAF" w:rsidRPr="0057633D">
              <w:rPr>
                <w:rFonts w:eastAsia="Times New Roman"/>
                <w:szCs w:val="24"/>
                <w:lang w:eastAsia="tr-TR"/>
              </w:rPr>
              <w:t>ıkranın son cümlesi</w:t>
            </w:r>
            <w:r w:rsidR="00881BAF" w:rsidRPr="0057633D">
              <w:rPr>
                <w:rStyle w:val="KIRMIZIChar"/>
                <w:rFonts w:eastAsia="Calibri"/>
                <w:color w:val="auto"/>
              </w:rPr>
              <w:t>,</w:t>
            </w:r>
            <w:r w:rsidR="00881BAF" w:rsidRPr="0057633D">
              <w:rPr>
                <w:rFonts w:eastAsia="Times New Roman"/>
                <w:szCs w:val="24"/>
                <w:lang w:eastAsia="tr-TR"/>
              </w:rPr>
              <w:t xml:space="preserve"> yeni bir hüküm olup</w:t>
            </w:r>
            <w:r w:rsidR="00093A54" w:rsidRPr="0057633D">
              <w:rPr>
                <w:rStyle w:val="YELChar"/>
                <w:b w:val="0"/>
                <w:color w:val="auto"/>
              </w:rPr>
              <w:t>,</w:t>
            </w:r>
            <w:r w:rsidR="00093A54" w:rsidRPr="0057633D">
              <w:rPr>
                <w:rStyle w:val="YELChar"/>
                <w:color w:val="auto"/>
              </w:rPr>
              <w:t xml:space="preserve"> </w:t>
            </w:r>
            <w:r w:rsidR="00881BAF" w:rsidRPr="0057633D">
              <w:rPr>
                <w:rFonts w:eastAsia="Times New Roman"/>
                <w:szCs w:val="24"/>
                <w:lang w:eastAsia="tr-TR"/>
              </w:rPr>
              <w:t xml:space="preserve">malın tahmin edilen kıymetinin üzerinde </w:t>
            </w:r>
            <w:r w:rsidR="00D4409E" w:rsidRPr="0057633D">
              <w:rPr>
                <w:rStyle w:val="YELChar"/>
                <w:b w:val="0"/>
                <w:color w:val="auto"/>
              </w:rPr>
              <w:t>satılmasının,</w:t>
            </w:r>
            <w:r w:rsidR="00881BAF" w:rsidRPr="0057633D">
              <w:rPr>
                <w:rFonts w:eastAsia="Times New Roman"/>
                <w:szCs w:val="24"/>
                <w:lang w:eastAsia="tr-TR"/>
              </w:rPr>
              <w:t xml:space="preserve"> ihalenin iptali talebinin dinlenmesine engel olma</w:t>
            </w:r>
            <w:r w:rsidR="00E6453A" w:rsidRPr="0057633D">
              <w:rPr>
                <w:rFonts w:eastAsia="Times New Roman"/>
                <w:szCs w:val="24"/>
                <w:lang w:eastAsia="tr-TR"/>
              </w:rPr>
              <w:t>yacağı</w:t>
            </w:r>
            <w:r w:rsidR="00D4409E" w:rsidRPr="0057633D">
              <w:rPr>
                <w:rFonts w:eastAsia="Times New Roman"/>
                <w:szCs w:val="24"/>
                <w:lang w:eastAsia="tr-TR"/>
              </w:rPr>
              <w:t xml:space="preserve"> </w:t>
            </w:r>
            <w:r w:rsidR="00093A54" w:rsidRPr="0057633D">
              <w:rPr>
                <w:rStyle w:val="YELChar"/>
                <w:b w:val="0"/>
                <w:color w:val="auto"/>
              </w:rPr>
              <w:t>maddede</w:t>
            </w:r>
            <w:r w:rsidR="00093A54" w:rsidRPr="0057633D">
              <w:rPr>
                <w:rFonts w:eastAsia="Times New Roman"/>
                <w:b/>
                <w:szCs w:val="24"/>
                <w:lang w:eastAsia="tr-TR"/>
              </w:rPr>
              <w:t xml:space="preserve"> </w:t>
            </w:r>
            <w:r w:rsidR="00D4409E" w:rsidRPr="0057633D">
              <w:rPr>
                <w:rStyle w:val="YELChar"/>
                <w:b w:val="0"/>
                <w:color w:val="auto"/>
              </w:rPr>
              <w:t>açıkça düzenlemiştir.</w:t>
            </w:r>
            <w:r w:rsidR="00D4409E" w:rsidRPr="0057633D">
              <w:rPr>
                <w:rFonts w:eastAsia="Times New Roman"/>
                <w:szCs w:val="24"/>
                <w:lang w:eastAsia="tr-TR"/>
              </w:rPr>
              <w:t xml:space="preserve"> </w:t>
            </w:r>
            <w:r w:rsidR="00D4409E" w:rsidRPr="0057633D">
              <w:rPr>
                <w:rStyle w:val="YELChar"/>
                <w:b w:val="0"/>
                <w:color w:val="auto"/>
              </w:rPr>
              <w:t>Böylece</w:t>
            </w:r>
            <w:r w:rsidR="00881BAF" w:rsidRPr="0057633D">
              <w:rPr>
                <w:rFonts w:eastAsia="Times New Roman"/>
                <w:szCs w:val="24"/>
                <w:lang w:eastAsia="tr-TR"/>
              </w:rPr>
              <w:t xml:space="preserve">, </w:t>
            </w:r>
            <w:r w:rsidR="00093A54" w:rsidRPr="0057633D">
              <w:rPr>
                <w:rStyle w:val="YELChar"/>
                <w:b w:val="0"/>
                <w:color w:val="auto"/>
              </w:rPr>
              <w:t>malın</w:t>
            </w:r>
            <w:r w:rsidR="00093A54" w:rsidRPr="0057633D">
              <w:rPr>
                <w:rFonts w:eastAsia="Times New Roman"/>
                <w:szCs w:val="24"/>
                <w:lang w:eastAsia="tr-TR"/>
              </w:rPr>
              <w:t xml:space="preserve"> </w:t>
            </w:r>
            <w:r w:rsidR="00881BAF" w:rsidRPr="0057633D">
              <w:rPr>
                <w:rFonts w:eastAsia="Times New Roman"/>
                <w:szCs w:val="24"/>
                <w:lang w:eastAsia="tr-TR"/>
              </w:rPr>
              <w:t xml:space="preserve">tahmin edilen </w:t>
            </w:r>
            <w:r w:rsidR="00093A54" w:rsidRPr="0057633D">
              <w:rPr>
                <w:rStyle w:val="YELChar"/>
                <w:b w:val="0"/>
                <w:color w:val="auto"/>
              </w:rPr>
              <w:t>kıymeti</w:t>
            </w:r>
            <w:r w:rsidR="00EF62F8" w:rsidRPr="0057633D">
              <w:rPr>
                <w:rStyle w:val="YELChar"/>
                <w:b w:val="0"/>
                <w:color w:val="auto"/>
              </w:rPr>
              <w:t>nin üzerine</w:t>
            </w:r>
            <w:r w:rsidR="00EF62F8" w:rsidRPr="0057633D">
              <w:rPr>
                <w:rStyle w:val="YELChar"/>
                <w:color w:val="auto"/>
              </w:rPr>
              <w:t xml:space="preserve"> </w:t>
            </w:r>
            <w:r w:rsidR="00EF62F8" w:rsidRPr="0057633D">
              <w:rPr>
                <w:rFonts w:eastAsia="Times New Roman"/>
                <w:szCs w:val="24"/>
                <w:lang w:eastAsia="tr-TR"/>
              </w:rPr>
              <w:t xml:space="preserve">çıkan artırmalarda </w:t>
            </w:r>
            <w:r w:rsidR="00881BAF" w:rsidRPr="0057633D">
              <w:rPr>
                <w:rFonts w:eastAsia="Times New Roman"/>
                <w:szCs w:val="24"/>
                <w:lang w:eastAsia="tr-TR"/>
              </w:rPr>
              <w:t>ihalelerin iptalinin istenilmesinde menfaat bulunmadığı yönündeki</w:t>
            </w:r>
            <w:r w:rsidR="00093A54" w:rsidRPr="0057633D">
              <w:rPr>
                <w:rFonts w:eastAsia="Times New Roman"/>
                <w:szCs w:val="24"/>
                <w:lang w:eastAsia="tr-TR"/>
              </w:rPr>
              <w:t xml:space="preserve"> </w:t>
            </w:r>
            <w:r w:rsidR="00093A54" w:rsidRPr="0057633D">
              <w:rPr>
                <w:rStyle w:val="YELChar"/>
                <w:b w:val="0"/>
                <w:color w:val="auto"/>
              </w:rPr>
              <w:t>değerlendirmelerin önüne geçilmesi</w:t>
            </w:r>
            <w:r w:rsidR="00881BAF" w:rsidRPr="0057633D">
              <w:rPr>
                <w:rFonts w:eastAsia="Times New Roman"/>
                <w:szCs w:val="24"/>
                <w:lang w:eastAsia="tr-TR"/>
              </w:rPr>
              <w:t xml:space="preserve"> </w:t>
            </w:r>
            <w:r w:rsidR="00D4409E" w:rsidRPr="0057633D">
              <w:rPr>
                <w:rStyle w:val="YELChar"/>
                <w:b w:val="0"/>
                <w:color w:val="auto"/>
              </w:rPr>
              <w:t>amaçlanmıştır</w:t>
            </w:r>
            <w:r w:rsidR="00E6453A" w:rsidRPr="0057633D">
              <w:rPr>
                <w:rFonts w:eastAsia="Times New Roman"/>
                <w:szCs w:val="24"/>
                <w:lang w:eastAsia="tr-TR"/>
              </w:rPr>
              <w:t>.</w:t>
            </w:r>
          </w:p>
          <w:p w:rsidR="008E67A1" w:rsidRPr="0057633D" w:rsidRDefault="00E6453A" w:rsidP="009431FF">
            <w:pPr>
              <w:ind w:firstLine="709"/>
              <w:rPr>
                <w:rFonts w:eastAsia="Times New Roman"/>
                <w:szCs w:val="24"/>
                <w:lang w:eastAsia="tr-TR"/>
              </w:rPr>
            </w:pPr>
            <w:r w:rsidRPr="0057633D">
              <w:rPr>
                <w:rFonts w:eastAsia="Times New Roman"/>
                <w:szCs w:val="24"/>
                <w:lang w:eastAsia="tr-TR"/>
              </w:rPr>
              <w:t>Altıncı fıkrayla, bir yenilik olarak</w:t>
            </w:r>
            <w:r w:rsidR="00EF62F8" w:rsidRPr="0057633D">
              <w:rPr>
                <w:rFonts w:eastAsia="Times New Roman"/>
                <w:szCs w:val="24"/>
                <w:lang w:eastAsia="tr-TR"/>
              </w:rPr>
              <w:t>,</w:t>
            </w:r>
            <w:r w:rsidRPr="0057633D">
              <w:rPr>
                <w:rFonts w:eastAsia="Times New Roman"/>
                <w:szCs w:val="24"/>
                <w:lang w:eastAsia="tr-TR"/>
              </w:rPr>
              <w:t xml:space="preserve"> artırmaya hazırlık döneminde yapılan işlem hakkında süresinde şik</w:t>
            </w:r>
            <w:r w:rsidR="008741BE" w:rsidRPr="0057633D">
              <w:rPr>
                <w:rFonts w:eastAsia="Times New Roman"/>
                <w:szCs w:val="24"/>
                <w:lang w:eastAsia="tr-TR"/>
              </w:rPr>
              <w:t>â</w:t>
            </w:r>
            <w:r w:rsidRPr="0057633D">
              <w:rPr>
                <w:rFonts w:eastAsia="Times New Roman"/>
                <w:szCs w:val="24"/>
                <w:lang w:eastAsia="tr-TR"/>
              </w:rPr>
              <w:t>yet yoluna başvurmayan kimse</w:t>
            </w:r>
            <w:r w:rsidR="008E623C" w:rsidRPr="0057633D">
              <w:rPr>
                <w:rFonts w:eastAsia="Times New Roman"/>
                <w:szCs w:val="24"/>
                <w:lang w:eastAsia="tr-TR"/>
              </w:rPr>
              <w:t>nin</w:t>
            </w:r>
            <w:r w:rsidRPr="0057633D">
              <w:rPr>
                <w:rFonts w:eastAsia="Times New Roman"/>
                <w:szCs w:val="24"/>
                <w:lang w:eastAsia="tr-TR"/>
              </w:rPr>
              <w:t xml:space="preserve">, bu </w:t>
            </w:r>
            <w:r w:rsidR="008741BE" w:rsidRPr="0057633D">
              <w:rPr>
                <w:rStyle w:val="YELChar"/>
                <w:b w:val="0"/>
                <w:color w:val="auto"/>
              </w:rPr>
              <w:t>işlemle</w:t>
            </w:r>
            <w:r w:rsidRPr="0057633D">
              <w:rPr>
                <w:rFonts w:eastAsia="Times New Roman"/>
                <w:szCs w:val="24"/>
                <w:lang w:eastAsia="tr-TR"/>
              </w:rPr>
              <w:t xml:space="preserve"> ilgili ola</w:t>
            </w:r>
            <w:r w:rsidR="008E623C" w:rsidRPr="0057633D">
              <w:rPr>
                <w:rFonts w:eastAsia="Times New Roman"/>
                <w:szCs w:val="24"/>
                <w:lang w:eastAsia="tr-TR"/>
              </w:rPr>
              <w:t xml:space="preserve">rak ihalenin iptalini isteyemeyeceği kesin bir şekilde belirtilmektedir. </w:t>
            </w:r>
            <w:r w:rsidR="00881BAF" w:rsidRPr="0057633D">
              <w:rPr>
                <w:rFonts w:eastAsia="Times New Roman"/>
                <w:szCs w:val="24"/>
                <w:lang w:eastAsia="tr-TR"/>
              </w:rPr>
              <w:t xml:space="preserve">Böylece </w:t>
            </w:r>
            <w:r w:rsidR="008741BE" w:rsidRPr="0057633D">
              <w:rPr>
                <w:rStyle w:val="YELChar"/>
                <w:b w:val="0"/>
                <w:color w:val="auto"/>
              </w:rPr>
              <w:t>bilimsel görüşlerde ve yargı içtihatlarında</w:t>
            </w:r>
            <w:r w:rsidR="008741BE" w:rsidRPr="0057633D">
              <w:rPr>
                <w:rStyle w:val="YELChar"/>
                <w:color w:val="auto"/>
              </w:rPr>
              <w:t xml:space="preserve"> </w:t>
            </w:r>
            <w:r w:rsidR="00881BAF" w:rsidRPr="0057633D">
              <w:rPr>
                <w:rFonts w:eastAsia="Times New Roman"/>
                <w:szCs w:val="24"/>
                <w:lang w:eastAsia="tr-TR"/>
              </w:rPr>
              <w:t>benimsenmiş olan husus</w:t>
            </w:r>
            <w:r w:rsidR="008741BE" w:rsidRPr="0057633D">
              <w:rPr>
                <w:rStyle w:val="YELChar"/>
                <w:color w:val="auto"/>
              </w:rPr>
              <w:t>,</w:t>
            </w:r>
            <w:r w:rsidR="008E623C" w:rsidRPr="0057633D">
              <w:rPr>
                <w:rFonts w:eastAsia="Times New Roman"/>
                <w:szCs w:val="24"/>
                <w:lang w:eastAsia="tr-TR"/>
              </w:rPr>
              <w:t xml:space="preserve"> hükümde</w:t>
            </w:r>
            <w:r w:rsidR="00881BAF" w:rsidRPr="0057633D">
              <w:rPr>
                <w:rFonts w:eastAsia="Times New Roman"/>
                <w:szCs w:val="24"/>
                <w:lang w:eastAsia="tr-TR"/>
              </w:rPr>
              <w:t xml:space="preserve"> </w:t>
            </w:r>
            <w:r w:rsidR="00EF62F8" w:rsidRPr="0057633D">
              <w:rPr>
                <w:rFonts w:eastAsia="Times New Roman"/>
                <w:szCs w:val="24"/>
                <w:lang w:eastAsia="tr-TR"/>
              </w:rPr>
              <w:t xml:space="preserve">açık şekilde </w:t>
            </w:r>
            <w:r w:rsidR="008E623C" w:rsidRPr="0057633D">
              <w:rPr>
                <w:rFonts w:eastAsia="Times New Roman"/>
                <w:szCs w:val="24"/>
                <w:lang w:eastAsia="tr-TR"/>
              </w:rPr>
              <w:t xml:space="preserve">ifade </w:t>
            </w:r>
            <w:r w:rsidR="008741BE" w:rsidRPr="0057633D">
              <w:rPr>
                <w:rStyle w:val="YELChar"/>
                <w:b w:val="0"/>
                <w:color w:val="auto"/>
              </w:rPr>
              <w:t>edilmiş</w:t>
            </w:r>
            <w:r w:rsidR="00EF62F8" w:rsidRPr="0057633D">
              <w:rPr>
                <w:rStyle w:val="YELChar"/>
                <w:b w:val="0"/>
                <w:color w:val="auto"/>
              </w:rPr>
              <w:t xml:space="preserve"> olmaktadır</w:t>
            </w:r>
            <w:r w:rsidR="00881BAF" w:rsidRPr="0057633D">
              <w:rPr>
                <w:rFonts w:eastAsia="Times New Roman"/>
                <w:szCs w:val="24"/>
                <w:lang w:eastAsia="tr-TR"/>
              </w:rPr>
              <w:t>. Ancak “süresinde şikâyet yoluna başvurmayan” ibaresinden de anlaşılacağı üzere, süresiz şikâyet h</w:t>
            </w:r>
            <w:r w:rsidR="00C224B4" w:rsidRPr="0057633D">
              <w:rPr>
                <w:rFonts w:eastAsia="Times New Roman"/>
                <w:szCs w:val="24"/>
                <w:lang w:eastAsia="tr-TR"/>
              </w:rPr>
              <w:t>â</w:t>
            </w:r>
            <w:r w:rsidR="00881BAF" w:rsidRPr="0057633D">
              <w:rPr>
                <w:rFonts w:eastAsia="Times New Roman"/>
                <w:szCs w:val="24"/>
                <w:lang w:eastAsia="tr-TR"/>
              </w:rPr>
              <w:t xml:space="preserve">llerinin bu fıkra kapsamı dışında kaldığının kabulü </w:t>
            </w:r>
            <w:r w:rsidR="008741BE" w:rsidRPr="0057633D">
              <w:rPr>
                <w:rStyle w:val="YELChar"/>
                <w:b w:val="0"/>
                <w:color w:val="auto"/>
              </w:rPr>
              <w:t>gerekir</w:t>
            </w:r>
            <w:r w:rsidR="00881BAF" w:rsidRPr="0057633D">
              <w:rPr>
                <w:rFonts w:eastAsia="Times New Roman"/>
                <w:szCs w:val="24"/>
                <w:lang w:eastAsia="tr-TR"/>
              </w:rPr>
              <w:t>.</w:t>
            </w:r>
          </w:p>
          <w:p w:rsidR="00881BAF" w:rsidRPr="0057633D" w:rsidRDefault="00881BAF" w:rsidP="0016377F">
            <w:pPr>
              <w:tabs>
                <w:tab w:val="left" w:pos="567"/>
              </w:tabs>
              <w:ind w:firstLine="709"/>
              <w:rPr>
                <w:b/>
                <w:bCs/>
                <w:szCs w:val="24"/>
                <w:lang w:eastAsia="x-none"/>
              </w:rPr>
            </w:pPr>
          </w:p>
        </w:tc>
      </w:tr>
      <w:tr w:rsidR="00881BAF" w:rsidRPr="00A23740" w:rsidTr="009431FF">
        <w:tblPrEx>
          <w:tblLook w:val="01E0" w:firstRow="1" w:lastRow="1" w:firstColumn="1" w:lastColumn="1" w:noHBand="0" w:noVBand="0"/>
        </w:tblPrEx>
        <w:tc>
          <w:tcPr>
            <w:tcW w:w="2500" w:type="pct"/>
          </w:tcPr>
          <w:p w:rsidR="004F5AAC" w:rsidRPr="00A23740" w:rsidRDefault="004F5AAC" w:rsidP="009431FF">
            <w:pPr>
              <w:rPr>
                <w:rFonts w:eastAsia="Times New Roman"/>
                <w:b/>
                <w:szCs w:val="24"/>
                <w:lang w:eastAsia="tr-TR"/>
              </w:rPr>
            </w:pPr>
            <w:r w:rsidRPr="00A23740">
              <w:rPr>
                <w:rFonts w:eastAsia="Times New Roman"/>
                <w:b/>
                <w:szCs w:val="24"/>
                <w:lang w:eastAsia="tr-TR"/>
              </w:rPr>
              <w:t xml:space="preserve">İhalenin </w:t>
            </w:r>
            <w:r w:rsidRPr="00A23740">
              <w:rPr>
                <w:rStyle w:val="KIRMIZIChar"/>
                <w:rFonts w:eastAsia="Calibri"/>
              </w:rPr>
              <w:t>neticesi ve feshi:</w:t>
            </w:r>
          </w:p>
          <w:p w:rsidR="004F5AAC" w:rsidRPr="00A23740" w:rsidRDefault="004F5AAC" w:rsidP="009431FF">
            <w:pPr>
              <w:rPr>
                <w:rStyle w:val="KIRMIZIChar"/>
                <w:rFonts w:eastAsia="Calibri"/>
              </w:rPr>
            </w:pPr>
            <w:r w:rsidRPr="00A23740">
              <w:rPr>
                <w:rStyle w:val="KIRMIZIChar"/>
                <w:rFonts w:eastAsia="Calibri"/>
              </w:rPr>
              <w:t>Madde 134- …</w:t>
            </w:r>
          </w:p>
          <w:p w:rsidR="00881BAF" w:rsidRPr="00A23740" w:rsidRDefault="00881BAF" w:rsidP="009431FF">
            <w:pPr>
              <w:tabs>
                <w:tab w:val="left" w:pos="567"/>
              </w:tabs>
            </w:pPr>
            <w:r w:rsidRPr="00A23740">
              <w:rPr>
                <w:rFonts w:eastAsia="Times New Roman"/>
                <w:b/>
                <w:color w:val="FF0000"/>
                <w:szCs w:val="24"/>
              </w:rPr>
              <w:t>(3)</w:t>
            </w:r>
            <w:r w:rsidRPr="00A23740">
              <w:rPr>
                <w:rFonts w:eastAsia="Times New Roman"/>
                <w:b/>
                <w:color w:val="000000"/>
                <w:szCs w:val="24"/>
                <w:lang w:eastAsia="tr-TR"/>
              </w:rPr>
              <w:t xml:space="preserve"> (Ek fıkra:24/11/2021-7343/27 md.)</w:t>
            </w:r>
            <w:r w:rsidRPr="00A23740">
              <w:rPr>
                <w:rFonts w:eastAsia="Times New Roman"/>
                <w:b/>
                <w:bCs/>
                <w:color w:val="0000FF"/>
                <w:szCs w:val="24"/>
                <w:lang w:eastAsia="tr-TR"/>
              </w:rPr>
              <w:t xml:space="preserve"> </w:t>
            </w:r>
            <w:r w:rsidRPr="00A23740">
              <w:t xml:space="preserve">Satış isteyen alacaklı, borçlu, resmi sicilde kayıtlı ilgililer ile sınırlı ayni hak sahipleri dışında kalan kişilerce yapılan ihalenin </w:t>
            </w:r>
            <w:r w:rsidRPr="00A23740">
              <w:rPr>
                <w:rStyle w:val="KIRMIZIChar"/>
                <w:rFonts w:eastAsia="Calibri"/>
              </w:rPr>
              <w:t>feshi</w:t>
            </w:r>
            <w:r w:rsidRPr="00A23740">
              <w:t xml:space="preserve"> talebi, ihale bedeli üzerinden nispi harca tabidir. Bu harcın yarısı talepte bulunulurken peşin olarak yatırılmak zorundadır. Talebin kabulü halinde bu harç başka bir kimseye yüklenmez ve </w:t>
            </w:r>
            <w:r w:rsidRPr="00A23740">
              <w:rPr>
                <w:rStyle w:val="KIRMIZIChar"/>
                <w:rFonts w:eastAsia="Calibri"/>
              </w:rPr>
              <w:t>istem</w:t>
            </w:r>
            <w:r w:rsidRPr="00A23740">
              <w:t xml:space="preserve"> halinde iade edilir. Talebin reddi halinde </w:t>
            </w:r>
            <w:r w:rsidRPr="00A23740">
              <w:rPr>
                <w:rStyle w:val="KIRMIZIChar"/>
                <w:rFonts w:eastAsia="Calibri"/>
              </w:rPr>
              <w:t>ise</w:t>
            </w:r>
            <w:r w:rsidRPr="00A23740">
              <w:t xml:space="preserve"> alınan </w:t>
            </w:r>
            <w:r w:rsidRPr="00A23740">
              <w:rPr>
                <w:rStyle w:val="KIRMIZIChar"/>
                <w:rFonts w:eastAsia="Calibri"/>
              </w:rPr>
              <w:t>bu</w:t>
            </w:r>
            <w:r w:rsidRPr="00A23740">
              <w:t xml:space="preserve"> harç iade edilmez ve harcın kalan kısmı</w:t>
            </w:r>
            <w:r w:rsidRPr="00A23740">
              <w:rPr>
                <w:rStyle w:val="KIRMIZIChar"/>
                <w:rFonts w:eastAsia="Calibri"/>
                <w:strike w:val="0"/>
              </w:rPr>
              <w:t xml:space="preserve"> </w:t>
            </w:r>
            <w:r w:rsidRPr="00A23740">
              <w:rPr>
                <w:rStyle w:val="KIRMIZIChar"/>
                <w:rFonts w:eastAsia="Calibri"/>
              </w:rPr>
              <w:t>ihalenin feshini isteyenden</w:t>
            </w:r>
            <w:r w:rsidRPr="00A23740">
              <w:t xml:space="preserve"> tahsil edilir.</w:t>
            </w:r>
          </w:p>
          <w:p w:rsidR="00881BAF" w:rsidRPr="00A23740" w:rsidRDefault="00881BAF" w:rsidP="009431FF">
            <w:pPr>
              <w:tabs>
                <w:tab w:val="left" w:pos="567"/>
              </w:tabs>
            </w:pPr>
          </w:p>
          <w:p w:rsidR="00881BAF" w:rsidRPr="00A23740" w:rsidRDefault="00881BAF" w:rsidP="009431FF">
            <w:pPr>
              <w:tabs>
                <w:tab w:val="left" w:pos="567"/>
              </w:tabs>
            </w:pPr>
          </w:p>
          <w:p w:rsidR="001A031C" w:rsidRPr="00A23740" w:rsidRDefault="001A031C" w:rsidP="009431FF">
            <w:pPr>
              <w:tabs>
                <w:tab w:val="left" w:pos="567"/>
              </w:tabs>
            </w:pPr>
          </w:p>
          <w:p w:rsidR="00881BAF" w:rsidRPr="00A23740" w:rsidRDefault="00881BAF" w:rsidP="009431FF">
            <w:pPr>
              <w:tabs>
                <w:tab w:val="left" w:pos="567"/>
              </w:tabs>
            </w:pPr>
            <w:r w:rsidRPr="00A23740">
              <w:rPr>
                <w:rFonts w:eastAsia="Times New Roman"/>
                <w:b/>
                <w:color w:val="FF0000"/>
                <w:szCs w:val="24"/>
              </w:rPr>
              <w:t xml:space="preserve">(4) </w:t>
            </w:r>
            <w:r w:rsidRPr="00A23740">
              <w:rPr>
                <w:rStyle w:val="KIRMIZIChar"/>
                <w:rFonts w:eastAsia="Calibri"/>
              </w:rPr>
              <w:t>(Ek fıkra:24/11/2021-7343/27 md.)</w:t>
            </w:r>
            <w:r w:rsidRPr="00A23740">
              <w:t xml:space="preserve"> Satış isteyen alacaklı, borçlu, resmî sicilde kayıtlı ilgililer ile sınırlı ayni hak sahipleri dışında kalan kişilerce yapılan ihalenin </w:t>
            </w:r>
            <w:r w:rsidRPr="00A23740">
              <w:rPr>
                <w:rStyle w:val="KIRMIZIChar"/>
                <w:rFonts w:eastAsia="Calibri"/>
              </w:rPr>
              <w:t>feshi</w:t>
            </w:r>
            <w:r w:rsidRPr="00A23740">
              <w:t xml:space="preserve"> talebinde, talepte bulunulurken, ilgili kişilerin muhtemel zararına karşılık olmak üzere ihale bedelinin yüzde beşi oranında teminat gösterilmesi şarttır. Talebin reddine ilişkin kararın kesinleşmesinden itibaren bir ay içinde genel hükümlere göre tazminat davasının açılmaması hâlinde hükmedilen para cezasının </w:t>
            </w:r>
            <w:r w:rsidRPr="00A23740">
              <w:rPr>
                <w:rStyle w:val="KIRMIZIChar"/>
                <w:rFonts w:eastAsia="Calibri"/>
              </w:rPr>
              <w:t>21/7/1953 tarihli ve</w:t>
            </w:r>
            <w:r w:rsidRPr="00A23740">
              <w:t xml:space="preserve"> </w:t>
            </w:r>
            <w:r w:rsidRPr="00A23740">
              <w:rPr>
                <w:rStyle w:val="KIRMIZIChar"/>
                <w:rFonts w:eastAsia="Calibri"/>
              </w:rPr>
              <w:t>6183 sayılı</w:t>
            </w:r>
            <w:r w:rsidRPr="00A23740">
              <w:t xml:space="preserve"> Amme Alacaklarının Tahsil Usulü Hakkında Kanun hükümleri uyarınca tahsili için durum mahkemece tahsil dairesine bildirilir. Tahsil dairesi alınan teminattan, bildirimin yapıldığı tarihten itibaren üç ay içinde para cezasını tahsil etmezse talep hâlinde teminat ilgilisine iade edilir.</w:t>
            </w:r>
          </w:p>
          <w:p w:rsidR="00881BAF" w:rsidRPr="00A23740" w:rsidRDefault="00881BAF" w:rsidP="009431FF">
            <w:pPr>
              <w:tabs>
                <w:tab w:val="left" w:pos="567"/>
              </w:tabs>
              <w:rPr>
                <w:rFonts w:eastAsia="Times New Roman"/>
                <w:b/>
                <w:szCs w:val="24"/>
                <w:lang w:eastAsia="tr-TR"/>
              </w:rPr>
            </w:pPr>
          </w:p>
        </w:tc>
        <w:tc>
          <w:tcPr>
            <w:tcW w:w="2500" w:type="pct"/>
          </w:tcPr>
          <w:p w:rsidR="00881BAF" w:rsidRPr="00A23740" w:rsidRDefault="00881BAF" w:rsidP="009431FF">
            <w:pPr>
              <w:pStyle w:val="Mavi"/>
            </w:pPr>
            <w:r w:rsidRPr="00A23740">
              <w:t>İhalenin iptali talebinde</w:t>
            </w:r>
            <w:r w:rsidRPr="00A23740">
              <w:rPr>
                <w:lang w:val="tr-TR"/>
              </w:rPr>
              <w:t xml:space="preserve"> harç ve </w:t>
            </w:r>
            <w:r w:rsidRPr="00A23740">
              <w:t>teminat</w:t>
            </w:r>
          </w:p>
          <w:p w:rsidR="00A92A3A" w:rsidRPr="00A23740" w:rsidRDefault="008741BE" w:rsidP="009431FF">
            <w:pPr>
              <w:pStyle w:val="Mavi"/>
              <w:rPr>
                <w:b w:val="0"/>
                <w:bCs w:val="0"/>
                <w:color w:val="auto"/>
                <w:szCs w:val="22"/>
                <w:lang w:val="tr-TR" w:eastAsia="en-US"/>
              </w:rPr>
            </w:pPr>
            <w:r w:rsidRPr="00A23740">
              <w:t>MADDE 2</w:t>
            </w:r>
            <w:r w:rsidRPr="00A23740">
              <w:rPr>
                <w:lang w:val="tr-TR"/>
              </w:rPr>
              <w:t>5</w:t>
            </w:r>
            <w:r w:rsidR="00490C3E" w:rsidRPr="00A23740">
              <w:rPr>
                <w:lang w:val="tr-TR"/>
              </w:rPr>
              <w:t>6</w:t>
            </w:r>
            <w:r w:rsidR="00881BAF" w:rsidRPr="00A23740">
              <w:t xml:space="preserve">- </w:t>
            </w:r>
            <w:r w:rsidR="00881BAF" w:rsidRPr="00A23740">
              <w:rPr>
                <w:lang w:val="tr-TR"/>
              </w:rPr>
              <w:t xml:space="preserve">(1) </w:t>
            </w:r>
            <w:r w:rsidR="00932CB4" w:rsidRPr="00A23740">
              <w:rPr>
                <w:b w:val="0"/>
                <w:bCs w:val="0"/>
                <w:color w:val="auto"/>
                <w:szCs w:val="22"/>
                <w:lang w:val="tr-TR" w:eastAsia="en-US"/>
              </w:rPr>
              <w:t>İ</w:t>
            </w:r>
            <w:r w:rsidR="00881BAF" w:rsidRPr="00A23740">
              <w:rPr>
                <w:b w:val="0"/>
                <w:bCs w:val="0"/>
                <w:color w:val="auto"/>
                <w:szCs w:val="22"/>
                <w:lang w:val="tr-TR" w:eastAsia="en-US"/>
              </w:rPr>
              <w:t xml:space="preserve">halenin </w:t>
            </w:r>
            <w:r w:rsidR="00881BAF" w:rsidRPr="00A23740">
              <w:rPr>
                <w:lang w:val="tr-TR" w:eastAsia="en-US"/>
              </w:rPr>
              <w:t>iptali</w:t>
            </w:r>
            <w:r w:rsidR="00881BAF" w:rsidRPr="00A23740">
              <w:rPr>
                <w:b w:val="0"/>
                <w:bCs w:val="0"/>
                <w:color w:val="auto"/>
                <w:szCs w:val="22"/>
                <w:lang w:val="tr-TR" w:eastAsia="en-US"/>
              </w:rPr>
              <w:t xml:space="preserve"> talebi, ihale bedeli üzerinden nispi </w:t>
            </w:r>
            <w:r w:rsidR="00881BAF" w:rsidRPr="00A23740">
              <w:rPr>
                <w:lang w:val="tr-TR" w:eastAsia="en-US"/>
              </w:rPr>
              <w:t>karar ve ilam</w:t>
            </w:r>
            <w:r w:rsidR="00881BAF" w:rsidRPr="00A23740">
              <w:rPr>
                <w:b w:val="0"/>
                <w:bCs w:val="0"/>
                <w:color w:val="auto"/>
                <w:szCs w:val="22"/>
                <w:lang w:val="tr-TR" w:eastAsia="en-US"/>
              </w:rPr>
              <w:t xml:space="preserve"> harc</w:t>
            </w:r>
            <w:r w:rsidR="00881BAF" w:rsidRPr="00A23740">
              <w:rPr>
                <w:lang w:val="tr-TR" w:eastAsia="en-US"/>
              </w:rPr>
              <w:t>ın</w:t>
            </w:r>
            <w:r w:rsidR="00881BAF" w:rsidRPr="00A23740">
              <w:rPr>
                <w:b w:val="0"/>
                <w:bCs w:val="0"/>
                <w:color w:val="auto"/>
                <w:szCs w:val="22"/>
                <w:lang w:val="tr-TR" w:eastAsia="en-US"/>
              </w:rPr>
              <w:t xml:space="preserve">a tabidir. </w:t>
            </w:r>
            <w:r w:rsidR="003D0636" w:rsidRPr="00A23740">
              <w:t>Ancak</w:t>
            </w:r>
            <w:r w:rsidR="003D0636" w:rsidRPr="00A23740">
              <w:rPr>
                <w:b w:val="0"/>
                <w:bCs w:val="0"/>
                <w:color w:val="auto"/>
                <w:szCs w:val="22"/>
                <w:lang w:val="tr-TR" w:eastAsia="en-US"/>
              </w:rPr>
              <w:t xml:space="preserve"> </w:t>
            </w:r>
            <w:r w:rsidR="003D0636" w:rsidRPr="00A23740">
              <w:rPr>
                <w:lang w:val="tr-TR" w:eastAsia="en-US"/>
              </w:rPr>
              <w:t xml:space="preserve">bu </w:t>
            </w:r>
            <w:r w:rsidR="00C42BA7" w:rsidRPr="00A23740">
              <w:rPr>
                <w:lang w:val="tr-TR" w:eastAsia="en-US"/>
              </w:rPr>
              <w:t>harç</w:t>
            </w:r>
            <w:r w:rsidR="00053F4E" w:rsidRPr="00D26970">
              <w:t>;</w:t>
            </w:r>
            <w:r w:rsidR="00C42BA7" w:rsidRPr="00A23740">
              <w:rPr>
                <w:b w:val="0"/>
                <w:bCs w:val="0"/>
                <w:color w:val="auto"/>
                <w:szCs w:val="22"/>
                <w:lang w:val="tr-TR" w:eastAsia="en-US"/>
              </w:rPr>
              <w:t xml:space="preserve"> </w:t>
            </w:r>
            <w:r w:rsidR="00932CB4" w:rsidRPr="00A23740">
              <w:rPr>
                <w:b w:val="0"/>
                <w:bCs w:val="0"/>
                <w:color w:val="auto"/>
                <w:szCs w:val="22"/>
                <w:lang w:val="tr-TR" w:eastAsia="en-US"/>
              </w:rPr>
              <w:t>b</w:t>
            </w:r>
            <w:r w:rsidR="00932CB4" w:rsidRPr="00A23740">
              <w:t>orçlu,</w:t>
            </w:r>
            <w:r w:rsidR="00932CB4" w:rsidRPr="00A23740">
              <w:rPr>
                <w:lang w:val="tr-TR"/>
              </w:rPr>
              <w:t xml:space="preserve"> s</w:t>
            </w:r>
            <w:r w:rsidR="00932CB4" w:rsidRPr="00A23740">
              <w:rPr>
                <w:b w:val="0"/>
                <w:bCs w:val="0"/>
                <w:color w:val="auto"/>
                <w:szCs w:val="22"/>
                <w:lang w:val="tr-TR" w:eastAsia="en-US"/>
              </w:rPr>
              <w:t xml:space="preserve">atış isteyen alacaklı, </w:t>
            </w:r>
            <w:r w:rsidR="00932CB4" w:rsidRPr="00A23740">
              <w:rPr>
                <w:lang w:val="tr-TR" w:eastAsia="en-US"/>
              </w:rPr>
              <w:t>ihale konusu mal üzerinde haczi bulunan diğer alacaklılar,</w:t>
            </w:r>
            <w:r w:rsidR="00932CB4" w:rsidRPr="00A23740">
              <w:rPr>
                <w:b w:val="0"/>
                <w:bCs w:val="0"/>
                <w:color w:val="auto"/>
                <w:szCs w:val="22"/>
                <w:lang w:val="tr-TR" w:eastAsia="en-US"/>
              </w:rPr>
              <w:t xml:space="preserve"> resm</w:t>
            </w:r>
            <w:r w:rsidR="00053F4E" w:rsidRPr="00A23740">
              <w:rPr>
                <w:b w:val="0"/>
                <w:bCs w:val="0"/>
                <w:color w:val="auto"/>
                <w:szCs w:val="22"/>
                <w:lang w:val="tr-TR" w:eastAsia="en-US"/>
              </w:rPr>
              <w:t>î</w:t>
            </w:r>
            <w:r w:rsidR="00932CB4" w:rsidRPr="00A23740">
              <w:rPr>
                <w:b w:val="0"/>
                <w:bCs w:val="0"/>
                <w:color w:val="auto"/>
                <w:szCs w:val="22"/>
                <w:lang w:val="tr-TR" w:eastAsia="en-US"/>
              </w:rPr>
              <w:t xml:space="preserve"> sicilde kayıtlı ilgililer, sınırlı ayni hak sahipleri </w:t>
            </w:r>
            <w:r w:rsidR="00932CB4" w:rsidRPr="00A23740">
              <w:rPr>
                <w:lang w:val="tr-TR" w:eastAsia="en-US"/>
              </w:rPr>
              <w:t>ve ihale alıcıları</w:t>
            </w:r>
            <w:r w:rsidR="00C42BA7" w:rsidRPr="00A23740">
              <w:rPr>
                <w:lang w:val="tr-TR" w:eastAsia="en-US"/>
              </w:rPr>
              <w:t xml:space="preserve">ndan </w:t>
            </w:r>
            <w:r w:rsidR="004F5AAC" w:rsidRPr="00A23740">
              <w:rPr>
                <w:lang w:val="tr-TR" w:eastAsia="en-US"/>
              </w:rPr>
              <w:t>alınmaz</w:t>
            </w:r>
            <w:r w:rsidR="00932CB4" w:rsidRPr="00A23740">
              <w:rPr>
                <w:lang w:val="tr-TR" w:eastAsia="en-US"/>
              </w:rPr>
              <w:t>.</w:t>
            </w:r>
            <w:r w:rsidR="00A92A3A" w:rsidRPr="00A23740">
              <w:rPr>
                <w:lang w:val="tr-TR" w:eastAsia="en-US"/>
              </w:rPr>
              <w:t xml:space="preserve"> </w:t>
            </w:r>
            <w:r w:rsidR="00A92A3A" w:rsidRPr="00A23740">
              <w:rPr>
                <w:b w:val="0"/>
                <w:bCs w:val="0"/>
                <w:color w:val="auto"/>
                <w:szCs w:val="22"/>
                <w:lang w:val="tr-TR" w:eastAsia="en-US"/>
              </w:rPr>
              <w:t>Bu h</w:t>
            </w:r>
            <w:r w:rsidR="00881BAF" w:rsidRPr="00A23740">
              <w:rPr>
                <w:b w:val="0"/>
                <w:bCs w:val="0"/>
                <w:color w:val="auto"/>
                <w:szCs w:val="22"/>
                <w:lang w:val="tr-TR" w:eastAsia="en-US"/>
              </w:rPr>
              <w:t xml:space="preserve">arcın yarısı </w:t>
            </w:r>
            <w:r w:rsidR="00D6629C" w:rsidRPr="00D26970">
              <w:t>iptal talebinde</w:t>
            </w:r>
            <w:r w:rsidR="00D6629C" w:rsidRPr="00A23740">
              <w:rPr>
                <w:b w:val="0"/>
                <w:bCs w:val="0"/>
                <w:color w:val="70AD47"/>
                <w:szCs w:val="22"/>
                <w:lang w:val="tr-TR" w:eastAsia="en-US"/>
              </w:rPr>
              <w:t xml:space="preserve"> </w:t>
            </w:r>
            <w:r w:rsidR="00D6629C" w:rsidRPr="00D26970">
              <w:rPr>
                <w:rStyle w:val="Balk1Char"/>
                <w:rFonts w:eastAsia="Calibri"/>
                <w:b/>
              </w:rPr>
              <w:t>bulunulurken</w:t>
            </w:r>
            <w:r w:rsidR="00D6629C" w:rsidRPr="00A23740">
              <w:rPr>
                <w:b w:val="0"/>
                <w:bCs w:val="0"/>
                <w:color w:val="70AD47"/>
                <w:szCs w:val="22"/>
                <w:lang w:val="tr-TR" w:eastAsia="en-US"/>
              </w:rPr>
              <w:t xml:space="preserve"> </w:t>
            </w:r>
            <w:r w:rsidR="00881BAF" w:rsidRPr="00A23740">
              <w:rPr>
                <w:b w:val="0"/>
                <w:bCs w:val="0"/>
                <w:color w:val="auto"/>
                <w:szCs w:val="22"/>
                <w:lang w:val="tr-TR" w:eastAsia="en-US"/>
              </w:rPr>
              <w:t>peşi</w:t>
            </w:r>
            <w:r w:rsidR="00A92A3A" w:rsidRPr="00A23740">
              <w:rPr>
                <w:b w:val="0"/>
                <w:bCs w:val="0"/>
                <w:color w:val="auto"/>
                <w:szCs w:val="22"/>
                <w:lang w:val="tr-TR" w:eastAsia="en-US"/>
              </w:rPr>
              <w:t>n olarak yatırılmak zorundadır.</w:t>
            </w:r>
          </w:p>
          <w:p w:rsidR="00A92A3A" w:rsidRPr="00A23740" w:rsidRDefault="00A92A3A" w:rsidP="009431FF">
            <w:pPr>
              <w:pStyle w:val="Mavi"/>
              <w:rPr>
                <w:b w:val="0"/>
                <w:bCs w:val="0"/>
                <w:color w:val="auto"/>
                <w:szCs w:val="22"/>
                <w:lang w:val="tr-TR" w:eastAsia="en-US"/>
              </w:rPr>
            </w:pPr>
          </w:p>
          <w:p w:rsidR="00881BAF" w:rsidRPr="00A23740" w:rsidRDefault="00A92A3A" w:rsidP="009431FF">
            <w:pPr>
              <w:pStyle w:val="Mavi"/>
              <w:rPr>
                <w:lang w:val="tr-TR"/>
              </w:rPr>
            </w:pPr>
            <w:r w:rsidRPr="00A23740">
              <w:t xml:space="preserve">(2) </w:t>
            </w:r>
            <w:r w:rsidR="00881BAF" w:rsidRPr="00A23740">
              <w:rPr>
                <w:b w:val="0"/>
                <w:bCs w:val="0"/>
                <w:color w:val="auto"/>
                <w:szCs w:val="22"/>
                <w:lang w:val="tr-TR" w:eastAsia="en-US"/>
              </w:rPr>
              <w:t>Talebin reddi h</w:t>
            </w:r>
            <w:r w:rsidR="00C224B4" w:rsidRPr="00A23740">
              <w:rPr>
                <w:b w:val="0"/>
                <w:bCs w:val="0"/>
                <w:color w:val="auto"/>
                <w:szCs w:val="22"/>
                <w:lang w:val="tr-TR" w:eastAsia="en-US"/>
              </w:rPr>
              <w:t>â</w:t>
            </w:r>
            <w:r w:rsidR="00881BAF" w:rsidRPr="00A23740">
              <w:rPr>
                <w:b w:val="0"/>
                <w:bCs w:val="0"/>
                <w:color w:val="auto"/>
                <w:szCs w:val="22"/>
                <w:lang w:val="tr-TR" w:eastAsia="en-US"/>
              </w:rPr>
              <w:t xml:space="preserve">linde alınan </w:t>
            </w:r>
            <w:r w:rsidR="00053F4E" w:rsidRPr="00D26970">
              <w:t>nispi</w:t>
            </w:r>
            <w:r w:rsidR="00053F4E" w:rsidRPr="00A23740">
              <w:rPr>
                <w:b w:val="0"/>
                <w:bCs w:val="0"/>
                <w:color w:val="auto"/>
                <w:szCs w:val="22"/>
                <w:lang w:val="tr-TR" w:eastAsia="en-US"/>
              </w:rPr>
              <w:t xml:space="preserve"> </w:t>
            </w:r>
            <w:r w:rsidR="00881BAF" w:rsidRPr="00A23740">
              <w:rPr>
                <w:b w:val="0"/>
                <w:bCs w:val="0"/>
                <w:color w:val="auto"/>
                <w:szCs w:val="22"/>
                <w:lang w:val="tr-TR" w:eastAsia="en-US"/>
              </w:rPr>
              <w:t xml:space="preserve">harç </w:t>
            </w:r>
            <w:r w:rsidR="00881BAF" w:rsidRPr="00A23740">
              <w:rPr>
                <w:lang w:val="tr-TR" w:eastAsia="en-US"/>
              </w:rPr>
              <w:t>ihalenin iptalini talep edene</w:t>
            </w:r>
            <w:r w:rsidR="00881BAF" w:rsidRPr="00A23740">
              <w:rPr>
                <w:b w:val="0"/>
                <w:bCs w:val="0"/>
                <w:color w:val="auto"/>
                <w:szCs w:val="22"/>
                <w:lang w:val="tr-TR" w:eastAsia="en-US"/>
              </w:rPr>
              <w:t xml:space="preserve"> iade edilmez ve harcın kalan kısmı </w:t>
            </w:r>
            <w:r w:rsidR="00881BAF" w:rsidRPr="00A23740">
              <w:t>talep edenden</w:t>
            </w:r>
            <w:r w:rsidR="00881BAF" w:rsidRPr="00A23740">
              <w:rPr>
                <w:b w:val="0"/>
                <w:bCs w:val="0"/>
                <w:color w:val="auto"/>
                <w:szCs w:val="22"/>
                <w:lang w:val="tr-TR" w:eastAsia="en-US"/>
              </w:rPr>
              <w:t xml:space="preserve"> tahsil edilir. Talebin kabulü h</w:t>
            </w:r>
            <w:r w:rsidR="00C224B4" w:rsidRPr="00A23740">
              <w:rPr>
                <w:b w:val="0"/>
                <w:bCs w:val="0"/>
                <w:color w:val="auto"/>
                <w:szCs w:val="22"/>
                <w:lang w:val="tr-TR" w:eastAsia="en-US"/>
              </w:rPr>
              <w:t>â</w:t>
            </w:r>
            <w:r w:rsidR="00881BAF" w:rsidRPr="00A23740">
              <w:rPr>
                <w:b w:val="0"/>
                <w:bCs w:val="0"/>
                <w:color w:val="auto"/>
                <w:szCs w:val="22"/>
                <w:lang w:val="tr-TR" w:eastAsia="en-US"/>
              </w:rPr>
              <w:t xml:space="preserve">linde bu harç başka bir kimseye yüklenmez ve </w:t>
            </w:r>
            <w:r w:rsidR="00881BAF" w:rsidRPr="00A23740">
              <w:rPr>
                <w:lang w:val="tr-TR" w:eastAsia="en-US"/>
              </w:rPr>
              <w:t>talep</w:t>
            </w:r>
            <w:r w:rsidR="00881BAF" w:rsidRPr="00A23740">
              <w:rPr>
                <w:b w:val="0"/>
                <w:bCs w:val="0"/>
                <w:color w:val="auto"/>
                <w:szCs w:val="22"/>
                <w:lang w:val="tr-TR" w:eastAsia="en-US"/>
              </w:rPr>
              <w:t xml:space="preserve"> h</w:t>
            </w:r>
            <w:r w:rsidR="00C224B4" w:rsidRPr="00A23740">
              <w:rPr>
                <w:b w:val="0"/>
                <w:bCs w:val="0"/>
                <w:color w:val="auto"/>
                <w:szCs w:val="22"/>
                <w:lang w:val="tr-TR" w:eastAsia="en-US"/>
              </w:rPr>
              <w:t>â</w:t>
            </w:r>
            <w:r w:rsidR="00881BAF" w:rsidRPr="00A23740">
              <w:rPr>
                <w:b w:val="0"/>
                <w:bCs w:val="0"/>
                <w:color w:val="auto"/>
                <w:szCs w:val="22"/>
                <w:lang w:val="tr-TR" w:eastAsia="en-US"/>
              </w:rPr>
              <w:t xml:space="preserve">linde </w:t>
            </w:r>
            <w:r w:rsidR="00881BAF" w:rsidRPr="00A23740">
              <w:rPr>
                <w:lang w:val="tr-TR" w:eastAsia="en-US"/>
              </w:rPr>
              <w:t>ihalenin iptalini talep edene</w:t>
            </w:r>
            <w:r w:rsidR="00881BAF" w:rsidRPr="00A23740">
              <w:rPr>
                <w:b w:val="0"/>
                <w:bCs w:val="0"/>
                <w:color w:val="auto"/>
                <w:szCs w:val="22"/>
                <w:lang w:val="tr-TR" w:eastAsia="en-US"/>
              </w:rPr>
              <w:t xml:space="preserve"> iade edilir.</w:t>
            </w:r>
          </w:p>
          <w:p w:rsidR="00881BAF" w:rsidRPr="00A23740" w:rsidRDefault="00881BAF" w:rsidP="009431FF">
            <w:pPr>
              <w:tabs>
                <w:tab w:val="left" w:pos="567"/>
              </w:tabs>
              <w:rPr>
                <w:rFonts w:eastAsia="Times New Roman"/>
                <w:b/>
                <w:color w:val="0000FF"/>
                <w:szCs w:val="24"/>
                <w:lang w:eastAsia="tr-TR"/>
              </w:rPr>
            </w:pPr>
          </w:p>
          <w:p w:rsidR="004F5AAC" w:rsidRPr="00A23740" w:rsidRDefault="00881BAF" w:rsidP="009431FF">
            <w:pPr>
              <w:pStyle w:val="Mavi"/>
              <w:rPr>
                <w:b w:val="0"/>
                <w:bCs w:val="0"/>
                <w:color w:val="auto"/>
                <w:szCs w:val="22"/>
                <w:lang w:val="tr-TR" w:eastAsia="en-US"/>
              </w:rPr>
            </w:pPr>
            <w:r w:rsidRPr="00A23740">
              <w:t>(</w:t>
            </w:r>
            <w:r w:rsidR="004F5AAC" w:rsidRPr="00A23740">
              <w:rPr>
                <w:lang w:val="tr-TR"/>
              </w:rPr>
              <w:t>3</w:t>
            </w:r>
            <w:r w:rsidRPr="00A23740">
              <w:t xml:space="preserve">) </w:t>
            </w:r>
            <w:r w:rsidR="004F5AAC" w:rsidRPr="00A23740">
              <w:rPr>
                <w:lang w:val="tr-TR"/>
              </w:rPr>
              <w:t>İ</w:t>
            </w:r>
            <w:r w:rsidRPr="00A23740">
              <w:rPr>
                <w:b w:val="0"/>
                <w:bCs w:val="0"/>
                <w:color w:val="auto"/>
                <w:szCs w:val="22"/>
                <w:lang w:val="tr-TR" w:eastAsia="en-US"/>
              </w:rPr>
              <w:t xml:space="preserve">halenin </w:t>
            </w:r>
            <w:r w:rsidRPr="00A23740">
              <w:rPr>
                <w:lang w:val="tr-TR" w:eastAsia="en-US"/>
              </w:rPr>
              <w:t>iptali</w:t>
            </w:r>
            <w:r w:rsidRPr="00A23740">
              <w:rPr>
                <w:b w:val="0"/>
                <w:bCs w:val="0"/>
                <w:color w:val="auto"/>
                <w:szCs w:val="22"/>
                <w:lang w:val="tr-TR" w:eastAsia="en-US"/>
              </w:rPr>
              <w:t xml:space="preserve"> talebinde</w:t>
            </w:r>
            <w:r w:rsidR="0057633D" w:rsidRPr="0057633D">
              <w:rPr>
                <w:rStyle w:val="KIRMIZIChar"/>
                <w:rFonts w:eastAsia="Calibri"/>
                <w:b/>
                <w:bCs/>
                <w:strike w:val="0"/>
              </w:rPr>
              <w:t xml:space="preserve"> </w:t>
            </w:r>
            <w:r w:rsidRPr="00A23740">
              <w:rPr>
                <w:b w:val="0"/>
                <w:bCs w:val="0"/>
                <w:color w:val="auto"/>
                <w:szCs w:val="22"/>
                <w:lang w:val="tr-TR" w:eastAsia="en-US"/>
              </w:rPr>
              <w:t xml:space="preserve">bulunulurken, ilgili kişilerin muhtemel zararına karşılık olmak üzere ihale bedelinin yüzde beşi oranında teminat gösterilmesi şarttır. </w:t>
            </w:r>
            <w:r w:rsidR="00A85DCB" w:rsidRPr="00A23740">
              <w:t>Ancak</w:t>
            </w:r>
            <w:r w:rsidR="00A85DCB" w:rsidRPr="00A23740">
              <w:rPr>
                <w:b w:val="0"/>
                <w:bCs w:val="0"/>
                <w:color w:val="auto"/>
                <w:szCs w:val="22"/>
                <w:lang w:val="tr-TR" w:eastAsia="en-US"/>
              </w:rPr>
              <w:t xml:space="preserve"> </w:t>
            </w:r>
            <w:r w:rsidR="00A85DCB" w:rsidRPr="00A23740">
              <w:t xml:space="preserve">bu </w:t>
            </w:r>
            <w:r w:rsidR="00C42BA7" w:rsidRPr="00A23740">
              <w:t>teminat</w:t>
            </w:r>
            <w:r w:rsidR="008A7C4F" w:rsidRPr="00D26970">
              <w:t>;</w:t>
            </w:r>
            <w:r w:rsidR="004F5AAC" w:rsidRPr="00A23740">
              <w:rPr>
                <w:b w:val="0"/>
                <w:bCs w:val="0"/>
                <w:color w:val="auto"/>
                <w:szCs w:val="22"/>
                <w:lang w:val="tr-TR" w:eastAsia="en-US"/>
              </w:rPr>
              <w:t xml:space="preserve"> b</w:t>
            </w:r>
            <w:r w:rsidR="004F5AAC" w:rsidRPr="00A23740">
              <w:t>orçlu,</w:t>
            </w:r>
            <w:r w:rsidR="004F5AAC" w:rsidRPr="00A23740">
              <w:rPr>
                <w:lang w:val="tr-TR"/>
              </w:rPr>
              <w:t xml:space="preserve"> s</w:t>
            </w:r>
            <w:r w:rsidR="004F5AAC" w:rsidRPr="00A23740">
              <w:rPr>
                <w:b w:val="0"/>
                <w:bCs w:val="0"/>
                <w:color w:val="auto"/>
                <w:szCs w:val="22"/>
                <w:lang w:val="tr-TR" w:eastAsia="en-US"/>
              </w:rPr>
              <w:t xml:space="preserve">atış isteyen alacaklı, </w:t>
            </w:r>
            <w:r w:rsidR="004F5AAC" w:rsidRPr="00A23740">
              <w:rPr>
                <w:lang w:val="tr-TR" w:eastAsia="en-US"/>
              </w:rPr>
              <w:t>ihale konusu mal üzerinde haczi bulunan diğer alacaklılar,</w:t>
            </w:r>
            <w:r w:rsidR="004F5AAC" w:rsidRPr="00A23740">
              <w:rPr>
                <w:b w:val="0"/>
                <w:bCs w:val="0"/>
                <w:color w:val="auto"/>
                <w:szCs w:val="22"/>
                <w:lang w:val="tr-TR" w:eastAsia="en-US"/>
              </w:rPr>
              <w:t xml:space="preserve"> resm</w:t>
            </w:r>
            <w:r w:rsidR="00053F4E" w:rsidRPr="00A23740">
              <w:rPr>
                <w:b w:val="0"/>
                <w:bCs w:val="0"/>
                <w:color w:val="auto"/>
                <w:szCs w:val="22"/>
                <w:lang w:val="tr-TR" w:eastAsia="en-US"/>
              </w:rPr>
              <w:t>î</w:t>
            </w:r>
            <w:r w:rsidR="004F5AAC" w:rsidRPr="00A23740">
              <w:rPr>
                <w:b w:val="0"/>
                <w:bCs w:val="0"/>
                <w:color w:val="auto"/>
                <w:szCs w:val="22"/>
                <w:lang w:val="tr-TR" w:eastAsia="en-US"/>
              </w:rPr>
              <w:t xml:space="preserve"> sicilde kayıtlı ilgililer, sınırlı ayni hak sahipleri </w:t>
            </w:r>
            <w:r w:rsidR="004F5AAC" w:rsidRPr="00A23740">
              <w:rPr>
                <w:lang w:val="tr-TR" w:eastAsia="en-US"/>
              </w:rPr>
              <w:t>ve ihale alıcılarından alınmaz.</w:t>
            </w:r>
          </w:p>
          <w:p w:rsidR="001A031C" w:rsidRPr="00A23740" w:rsidRDefault="001A031C" w:rsidP="009431FF">
            <w:pPr>
              <w:pStyle w:val="Mavi"/>
              <w:rPr>
                <w:b w:val="0"/>
                <w:bCs w:val="0"/>
                <w:color w:val="auto"/>
                <w:szCs w:val="22"/>
                <w:lang w:val="tr-TR" w:eastAsia="en-US"/>
              </w:rPr>
            </w:pPr>
          </w:p>
          <w:p w:rsidR="00881BAF" w:rsidRPr="00A23740" w:rsidRDefault="004F5AAC" w:rsidP="009431FF">
            <w:pPr>
              <w:pStyle w:val="Mavi"/>
              <w:rPr>
                <w:b w:val="0"/>
                <w:bCs w:val="0"/>
                <w:color w:val="auto"/>
                <w:szCs w:val="22"/>
                <w:lang w:val="tr-TR" w:eastAsia="en-US"/>
              </w:rPr>
            </w:pPr>
            <w:r w:rsidRPr="00A23740">
              <w:t>(4)</w:t>
            </w:r>
            <w:r w:rsidRPr="00A23740">
              <w:rPr>
                <w:b w:val="0"/>
                <w:bCs w:val="0"/>
                <w:color w:val="auto"/>
                <w:szCs w:val="22"/>
                <w:lang w:val="tr-TR" w:eastAsia="en-US"/>
              </w:rPr>
              <w:t xml:space="preserve"> </w:t>
            </w:r>
            <w:r w:rsidR="00881BAF" w:rsidRPr="00A23740">
              <w:rPr>
                <w:b w:val="0"/>
                <w:bCs w:val="0"/>
                <w:color w:val="auto"/>
                <w:szCs w:val="22"/>
                <w:lang w:val="tr-TR" w:eastAsia="en-US"/>
              </w:rPr>
              <w:t>Talebin reddine ilişkin kararın kesinleşmesinden itibaren bir ay içinde genel hükümlere göre tazminat davasının açılmaması h</w:t>
            </w:r>
            <w:r w:rsidR="00C224B4" w:rsidRPr="00A23740">
              <w:rPr>
                <w:b w:val="0"/>
                <w:bCs w:val="0"/>
                <w:color w:val="auto"/>
                <w:szCs w:val="22"/>
                <w:lang w:val="tr-TR" w:eastAsia="en-US"/>
              </w:rPr>
              <w:t>â</w:t>
            </w:r>
            <w:r w:rsidR="00881BAF" w:rsidRPr="00A23740">
              <w:rPr>
                <w:b w:val="0"/>
                <w:bCs w:val="0"/>
                <w:color w:val="auto"/>
                <w:szCs w:val="22"/>
                <w:lang w:val="tr-TR" w:eastAsia="en-US"/>
              </w:rPr>
              <w:t>linde</w:t>
            </w:r>
            <w:r w:rsidR="00881BAF" w:rsidRPr="00A23740">
              <w:t>,</w:t>
            </w:r>
            <w:r w:rsidR="008A7C4F" w:rsidRPr="00A23740">
              <w:rPr>
                <w:lang w:val="tr-TR"/>
              </w:rPr>
              <w:t xml:space="preserve"> </w:t>
            </w:r>
            <w:r w:rsidR="00D70780" w:rsidRPr="00D26970">
              <w:t>257 nci</w:t>
            </w:r>
            <w:r w:rsidR="00D70780" w:rsidRPr="00A23740">
              <w:rPr>
                <w:lang w:val="tr-TR"/>
              </w:rPr>
              <w:t xml:space="preserve"> </w:t>
            </w:r>
            <w:r w:rsidR="008A7C4F" w:rsidRPr="00D26970">
              <w:t>madde uyarınca</w:t>
            </w:r>
            <w:r w:rsidR="00881BAF" w:rsidRPr="00A23740">
              <w:rPr>
                <w:b w:val="0"/>
                <w:bCs w:val="0"/>
                <w:color w:val="auto"/>
                <w:szCs w:val="22"/>
                <w:lang w:val="tr-TR" w:eastAsia="en-US"/>
              </w:rPr>
              <w:t xml:space="preserve"> hükmedilen para cezasının Amme Alacaklarının Tahsil Usulü Hakkında Kanun hükümleri uyarınca tahsili için durum mahkemece tahsil dairesine bildirilir. Tahsil dairesi alınan teminattan, bildirimin yapıldığı tarihten itibaren üç ay içinde para cezasını tahsil etmezse talep h</w:t>
            </w:r>
            <w:r w:rsidR="00C224B4" w:rsidRPr="00A23740">
              <w:rPr>
                <w:b w:val="0"/>
                <w:bCs w:val="0"/>
                <w:color w:val="auto"/>
                <w:szCs w:val="22"/>
                <w:lang w:val="tr-TR" w:eastAsia="en-US"/>
              </w:rPr>
              <w:t>â</w:t>
            </w:r>
            <w:r w:rsidR="00881BAF" w:rsidRPr="00A23740">
              <w:rPr>
                <w:b w:val="0"/>
                <w:bCs w:val="0"/>
                <w:color w:val="auto"/>
                <w:szCs w:val="22"/>
                <w:lang w:val="tr-TR" w:eastAsia="en-US"/>
              </w:rPr>
              <w:t>linde teminat ilgilisine iade edilir.</w:t>
            </w:r>
          </w:p>
          <w:p w:rsidR="00881BAF" w:rsidRPr="00A23740" w:rsidRDefault="00881BAF" w:rsidP="009431FF">
            <w:pPr>
              <w:tabs>
                <w:tab w:val="left" w:pos="567"/>
              </w:tabs>
              <w:rPr>
                <w:rFonts w:eastAsia="Times New Roman"/>
                <w:b/>
                <w:szCs w:val="24"/>
                <w:lang w:eastAsia="tr-TR"/>
              </w:rPr>
            </w:pPr>
          </w:p>
        </w:tc>
      </w:tr>
      <w:tr w:rsidR="00881BAF" w:rsidRPr="00A23740" w:rsidTr="009431FF">
        <w:tblPrEx>
          <w:tblLook w:val="01E0" w:firstRow="1" w:lastRow="1" w:firstColumn="1" w:lastColumn="1" w:noHBand="0" w:noVBand="0"/>
        </w:tblPrEx>
        <w:tc>
          <w:tcPr>
            <w:tcW w:w="5000" w:type="pct"/>
            <w:gridSpan w:val="2"/>
            <w:shd w:val="clear" w:color="auto" w:fill="DEEAF6"/>
          </w:tcPr>
          <w:p w:rsidR="00C42BA7" w:rsidRPr="00A23740" w:rsidRDefault="00C42BA7" w:rsidP="009431FF">
            <w:pPr>
              <w:pStyle w:val="Mavi"/>
              <w:rPr>
                <w:b w:val="0"/>
                <w:bCs w:val="0"/>
                <w:color w:val="auto"/>
                <w:szCs w:val="22"/>
                <w:lang w:val="tr-TR" w:eastAsia="en-US"/>
              </w:rPr>
            </w:pPr>
          </w:p>
          <w:p w:rsidR="00881BAF" w:rsidRPr="00A23740" w:rsidRDefault="00C42BA7" w:rsidP="009431FF">
            <w:pPr>
              <w:tabs>
                <w:tab w:val="left" w:pos="567"/>
              </w:tabs>
              <w:ind w:firstLine="709"/>
              <w:rPr>
                <w:bCs/>
                <w:szCs w:val="24"/>
                <w:lang w:eastAsia="x-none"/>
              </w:rPr>
            </w:pPr>
            <w:r w:rsidRPr="00A23740">
              <w:rPr>
                <w:b/>
                <w:bCs/>
                <w:szCs w:val="24"/>
                <w:lang w:eastAsia="x-none"/>
              </w:rPr>
              <w:t xml:space="preserve">MADDE </w:t>
            </w:r>
            <w:r w:rsidR="008A7C4F" w:rsidRPr="00A23740">
              <w:rPr>
                <w:b/>
                <w:bCs/>
                <w:szCs w:val="24"/>
                <w:lang w:eastAsia="x-none"/>
              </w:rPr>
              <w:t>25</w:t>
            </w:r>
            <w:r w:rsidR="00490C3E" w:rsidRPr="00A23740">
              <w:rPr>
                <w:b/>
                <w:bCs/>
                <w:szCs w:val="24"/>
                <w:lang w:eastAsia="x-none"/>
              </w:rPr>
              <w:t>6</w:t>
            </w:r>
            <w:r w:rsidR="00881BAF" w:rsidRPr="00A23740">
              <w:rPr>
                <w:b/>
                <w:bCs/>
                <w:szCs w:val="24"/>
                <w:lang w:eastAsia="x-none"/>
              </w:rPr>
              <w:t xml:space="preserve">- </w:t>
            </w:r>
            <w:r w:rsidRPr="00A23740">
              <w:rPr>
                <w:bCs/>
                <w:szCs w:val="24"/>
                <w:lang w:eastAsia="x-none"/>
              </w:rPr>
              <w:t xml:space="preserve">Maddeyle, </w:t>
            </w:r>
            <w:r w:rsidR="00881BAF" w:rsidRPr="00A23740">
              <w:rPr>
                <w:bCs/>
                <w:szCs w:val="24"/>
                <w:lang w:eastAsia="x-none"/>
              </w:rPr>
              <w:t>ihalenin iptali talebinde harç ve teminata yönelik kurallar düzenlenmektedir.</w:t>
            </w:r>
            <w:r w:rsidR="00C603BA" w:rsidRPr="00A23740">
              <w:rPr>
                <w:bCs/>
                <w:szCs w:val="24"/>
                <w:lang w:eastAsia="x-none"/>
              </w:rPr>
              <w:t xml:space="preserve"> </w:t>
            </w:r>
          </w:p>
          <w:p w:rsidR="00881BAF" w:rsidRPr="00A23740" w:rsidRDefault="00C42BA7" w:rsidP="009431FF">
            <w:pPr>
              <w:tabs>
                <w:tab w:val="left" w:pos="567"/>
              </w:tabs>
              <w:ind w:firstLine="709"/>
              <w:rPr>
                <w:bCs/>
                <w:szCs w:val="24"/>
                <w:lang w:eastAsia="x-none"/>
              </w:rPr>
            </w:pPr>
            <w:r w:rsidRPr="00A23740">
              <w:rPr>
                <w:bCs/>
                <w:szCs w:val="24"/>
                <w:lang w:eastAsia="x-none"/>
              </w:rPr>
              <w:t>Birinci fıkraya göre, ihalenin iptali talebi, ihale bedeli üzerinden nispi karar ve ilam harcına tabidir. Bu harç borçlu, satış isteyen alacaklı, ihale konusu mal üzerinde haczi bulunan diğer alacaklılar, resm</w:t>
            </w:r>
            <w:r w:rsidR="008A7C4F" w:rsidRPr="00A23740">
              <w:rPr>
                <w:bCs/>
                <w:szCs w:val="24"/>
                <w:lang w:eastAsia="x-none"/>
              </w:rPr>
              <w:t>î</w:t>
            </w:r>
            <w:r w:rsidRPr="00A23740">
              <w:rPr>
                <w:bCs/>
                <w:szCs w:val="24"/>
                <w:lang w:eastAsia="x-none"/>
              </w:rPr>
              <w:t xml:space="preserve"> sicilde kayıtlı ilgililer, sınırlı ayni hak sahipleri ve ihale alıcılarından alınmaz.</w:t>
            </w:r>
            <w:r w:rsidR="00A92A3A" w:rsidRPr="00A23740">
              <w:rPr>
                <w:bCs/>
                <w:szCs w:val="24"/>
                <w:lang w:eastAsia="x-none"/>
              </w:rPr>
              <w:t xml:space="preserve"> Bu harcın </w:t>
            </w:r>
            <w:r w:rsidR="008A7C4F" w:rsidRPr="00D60C1D">
              <w:rPr>
                <w:rStyle w:val="YELChar"/>
                <w:b w:val="0"/>
                <w:color w:val="000000"/>
              </w:rPr>
              <w:t>yarısının</w:t>
            </w:r>
            <w:r w:rsidR="00A92A3A" w:rsidRPr="00A23740">
              <w:rPr>
                <w:bCs/>
                <w:szCs w:val="24"/>
                <w:lang w:eastAsia="x-none"/>
              </w:rPr>
              <w:t xml:space="preserve"> talepte bulunurken peşin olarak yatırılması gerekir.</w:t>
            </w:r>
            <w:r w:rsidR="00992FFB" w:rsidRPr="00A23740">
              <w:rPr>
                <w:bCs/>
                <w:szCs w:val="24"/>
                <w:lang w:eastAsia="x-none"/>
              </w:rPr>
              <w:t xml:space="preserve"> Fıkra, içerik olarak 2004 sayılı Kanunun 134 üncü maddesinin üçüncü fıkrasının birinci ve ikinci cümlelerine karşılık gelmektedir. </w:t>
            </w:r>
            <w:r w:rsidR="00881BAF" w:rsidRPr="00A23740">
              <w:rPr>
                <w:bCs/>
                <w:szCs w:val="24"/>
                <w:lang w:eastAsia="x-none"/>
              </w:rPr>
              <w:t>Yukarıda ihalenin iptali talebinde bulunabilecek kişileri düzenleyen Taslağın “ihalenin iptali talebi” başlıklı</w:t>
            </w:r>
            <w:r w:rsidR="005A0535" w:rsidRPr="00A23740">
              <w:rPr>
                <w:bCs/>
                <w:szCs w:val="24"/>
                <w:lang w:eastAsia="x-none"/>
              </w:rPr>
              <w:t xml:space="preserve"> </w:t>
            </w:r>
            <w:r w:rsidR="005A0535" w:rsidRPr="00D60C1D">
              <w:rPr>
                <w:rStyle w:val="KonuBalChar"/>
                <w:rFonts w:eastAsia="Calibri"/>
                <w:b w:val="0"/>
                <w:color w:val="000000"/>
              </w:rPr>
              <w:t>255 inci</w:t>
            </w:r>
            <w:r w:rsidR="00881BAF" w:rsidRPr="00A23740">
              <w:rPr>
                <w:bCs/>
                <w:szCs w:val="24"/>
                <w:lang w:eastAsia="x-none"/>
              </w:rPr>
              <w:t xml:space="preserve"> maddesinin birinci fıkrasının gerek</w:t>
            </w:r>
            <w:r w:rsidRPr="00A23740">
              <w:rPr>
                <w:bCs/>
                <w:szCs w:val="24"/>
                <w:lang w:eastAsia="x-none"/>
              </w:rPr>
              <w:t>çesindeki açıklamalarda, 3494 sayılı</w:t>
            </w:r>
            <w:r w:rsidR="00881BAF" w:rsidRPr="00A23740">
              <w:rPr>
                <w:bCs/>
                <w:szCs w:val="24"/>
                <w:lang w:eastAsia="x-none"/>
              </w:rPr>
              <w:t xml:space="preserve"> K</w:t>
            </w:r>
            <w:r w:rsidRPr="00A23740">
              <w:rPr>
                <w:bCs/>
                <w:szCs w:val="24"/>
                <w:lang w:eastAsia="x-none"/>
              </w:rPr>
              <w:t>anun</w:t>
            </w:r>
            <w:r w:rsidR="00EF62F8" w:rsidRPr="00A23740">
              <w:rPr>
                <w:bCs/>
                <w:szCs w:val="24"/>
                <w:lang w:eastAsia="x-none"/>
              </w:rPr>
              <w:t>la</w:t>
            </w:r>
            <w:r w:rsidR="00881BAF" w:rsidRPr="00A23740">
              <w:rPr>
                <w:bCs/>
                <w:szCs w:val="24"/>
                <w:lang w:eastAsia="x-none"/>
              </w:rPr>
              <w:t xml:space="preserve"> yapılmış değişiklik gerekçesinde müessesenin kötüye kullanıldığı hususu ve bunun da düşük miktarlı bir harç ödenmek suretiyle yapılabildiğinin belirtildiği ifade edilmişti. Anılan değişikliğe rağmen 1988 tarihli </w:t>
            </w:r>
            <w:r w:rsidR="00EF62F8" w:rsidRPr="00A23740">
              <w:rPr>
                <w:bCs/>
                <w:szCs w:val="24"/>
                <w:lang w:eastAsia="x-none"/>
              </w:rPr>
              <w:t xml:space="preserve">değişiklik </w:t>
            </w:r>
            <w:r w:rsidR="00881BAF" w:rsidRPr="00A23740">
              <w:rPr>
                <w:bCs/>
                <w:szCs w:val="24"/>
                <w:lang w:eastAsia="x-none"/>
              </w:rPr>
              <w:t>gerekçe</w:t>
            </w:r>
            <w:r w:rsidR="00EF62F8" w:rsidRPr="00A23740">
              <w:rPr>
                <w:bCs/>
                <w:szCs w:val="24"/>
                <w:lang w:eastAsia="x-none"/>
              </w:rPr>
              <w:t>sin</w:t>
            </w:r>
            <w:r w:rsidR="00881BAF" w:rsidRPr="00A23740">
              <w:rPr>
                <w:bCs/>
                <w:szCs w:val="24"/>
                <w:lang w:eastAsia="x-none"/>
              </w:rPr>
              <w:t xml:space="preserve">de </w:t>
            </w:r>
            <w:r w:rsidRPr="00A23740">
              <w:rPr>
                <w:bCs/>
                <w:szCs w:val="24"/>
                <w:lang w:eastAsia="x-none"/>
              </w:rPr>
              <w:t xml:space="preserve">belirtilen </w:t>
            </w:r>
            <w:r w:rsidR="00EF62F8" w:rsidRPr="00A23740">
              <w:rPr>
                <w:bCs/>
                <w:szCs w:val="24"/>
                <w:lang w:eastAsia="x-none"/>
              </w:rPr>
              <w:t xml:space="preserve">sakıncaların </w:t>
            </w:r>
            <w:r w:rsidR="00881BAF" w:rsidRPr="00A23740">
              <w:rPr>
                <w:bCs/>
                <w:szCs w:val="24"/>
                <w:lang w:eastAsia="x-none"/>
              </w:rPr>
              <w:t>tam olarak kalkmadığı; uygulamada kötüniyetli kişilerin birtakım haksız çıkarlar sağlamak amacıyla ihalenin feshi talebinde bulunarak süreci ilgililerin zarar göreceği şekilde akamete uğratması şeklindeki yaygın sorunun devam ettiği görülerek</w:t>
            </w:r>
            <w:r w:rsidR="008A7C4F" w:rsidRPr="00D60C1D">
              <w:rPr>
                <w:rStyle w:val="YELChar"/>
                <w:b w:val="0"/>
                <w:color w:val="000000"/>
              </w:rPr>
              <w:t>,</w:t>
            </w:r>
            <w:r w:rsidR="00881BAF" w:rsidRPr="00A23740">
              <w:rPr>
                <w:bCs/>
                <w:szCs w:val="24"/>
                <w:lang w:eastAsia="x-none"/>
              </w:rPr>
              <w:t xml:space="preserve"> </w:t>
            </w:r>
            <w:r w:rsidRPr="00A23740">
              <w:rPr>
                <w:bCs/>
                <w:szCs w:val="24"/>
                <w:lang w:eastAsia="x-none"/>
              </w:rPr>
              <w:t xml:space="preserve">2004 sayılı Kanunun </w:t>
            </w:r>
            <w:r w:rsidR="00881BAF" w:rsidRPr="00A23740">
              <w:rPr>
                <w:bCs/>
                <w:szCs w:val="24"/>
                <w:lang w:eastAsia="x-none"/>
              </w:rPr>
              <w:t>134</w:t>
            </w:r>
            <w:r w:rsidRPr="00A23740">
              <w:rPr>
                <w:bCs/>
                <w:szCs w:val="24"/>
                <w:lang w:eastAsia="x-none"/>
              </w:rPr>
              <w:t xml:space="preserve"> üncü</w:t>
            </w:r>
            <w:r w:rsidR="00881BAF" w:rsidRPr="00A23740">
              <w:rPr>
                <w:bCs/>
                <w:szCs w:val="24"/>
                <w:lang w:eastAsia="x-none"/>
              </w:rPr>
              <w:t xml:space="preserve"> madde</w:t>
            </w:r>
            <w:r w:rsidRPr="00A23740">
              <w:rPr>
                <w:bCs/>
                <w:szCs w:val="24"/>
                <w:lang w:eastAsia="x-none"/>
              </w:rPr>
              <w:t xml:space="preserve">sine 7343 </w:t>
            </w:r>
            <w:r w:rsidR="00992FFB" w:rsidRPr="00A23740">
              <w:rPr>
                <w:bCs/>
                <w:szCs w:val="24"/>
                <w:lang w:eastAsia="x-none"/>
              </w:rPr>
              <w:t xml:space="preserve">sayılı Kanunla </w:t>
            </w:r>
            <w:r w:rsidR="00881BAF" w:rsidRPr="00A23740">
              <w:rPr>
                <w:bCs/>
                <w:szCs w:val="24"/>
                <w:lang w:eastAsia="x-none"/>
              </w:rPr>
              <w:t>yeni üçüncü fıkra eklenmişti. Değişikliğin gerekçesi de Adalet Komisyonu Raporunda</w:t>
            </w:r>
            <w:r w:rsidRPr="00A23740">
              <w:rPr>
                <w:bCs/>
                <w:szCs w:val="24"/>
                <w:lang w:eastAsia="x-none"/>
              </w:rPr>
              <w:t>,</w:t>
            </w:r>
            <w:r w:rsidR="00881BAF" w:rsidRPr="00A23740">
              <w:rPr>
                <w:bCs/>
                <w:szCs w:val="24"/>
                <w:lang w:eastAsia="x-none"/>
              </w:rPr>
              <w:t xml:space="preserve"> “Maddeye eklenen yeni üçüncü fıkrayla, ihalenin feshi talebine ilişkin şartlar yeniden belirlenmektedir. Uygulamada ihalenin kesinleşmesine engel olmak amacıyla haksız ve kötüniyetli olarak ihalenin feshinin talep edildiği müşahede edilmektedir. Hak arama hürriyetine engel olmaksızın bu tür haksız ve kötüniyetli taleplerin önlenmesi amacıyla düzenleme yapılmaktadır. Buna göre satış ist</w:t>
            </w:r>
            <w:r w:rsidR="00AD7D81" w:rsidRPr="00A23740">
              <w:rPr>
                <w:bCs/>
                <w:szCs w:val="24"/>
                <w:lang w:eastAsia="x-none"/>
              </w:rPr>
              <w:t>eyen alacaklı, borçlu veya resmî</w:t>
            </w:r>
            <w:r w:rsidR="00881BAF" w:rsidRPr="00A23740">
              <w:rPr>
                <w:bCs/>
                <w:szCs w:val="24"/>
                <w:lang w:eastAsia="x-none"/>
              </w:rPr>
              <w:t xml:space="preserve"> sicilde kayıtlı ilgililer ile sınırlı ayni hak sahiplerinin dışında kalan kişilerce ihalenin feshi talebinin yapılması h</w:t>
            </w:r>
            <w:r w:rsidR="00C224B4" w:rsidRPr="00A23740">
              <w:rPr>
                <w:bCs/>
                <w:szCs w:val="24"/>
                <w:lang w:eastAsia="x-none"/>
              </w:rPr>
              <w:t>â</w:t>
            </w:r>
            <w:r w:rsidR="00881BAF" w:rsidRPr="00A23740">
              <w:rPr>
                <w:bCs/>
                <w:szCs w:val="24"/>
                <w:lang w:eastAsia="x-none"/>
              </w:rPr>
              <w:t>linde, ihale bedeli üzerinden nispi harç alınacak ve talebin reddi h</w:t>
            </w:r>
            <w:r w:rsidR="00C224B4" w:rsidRPr="00A23740">
              <w:rPr>
                <w:bCs/>
                <w:szCs w:val="24"/>
                <w:lang w:eastAsia="x-none"/>
              </w:rPr>
              <w:t>â</w:t>
            </w:r>
            <w:r w:rsidR="00881BAF" w:rsidRPr="00A23740">
              <w:rPr>
                <w:bCs/>
                <w:szCs w:val="24"/>
                <w:lang w:eastAsia="x-none"/>
              </w:rPr>
              <w:t>linde bu harç iade edilmeyecektir” olarak belirtilmişti. Bilim Komisyonu çalışmaları sırasında söz konusu hükmün gerekçesinin geçerliliğini sürdürdüğü sonucuna varılarak, bir kısım değişikliklerle 2004 s</w:t>
            </w:r>
            <w:r w:rsidRPr="00A23740">
              <w:rPr>
                <w:bCs/>
                <w:szCs w:val="24"/>
                <w:lang w:eastAsia="x-none"/>
              </w:rPr>
              <w:t>ayılı</w:t>
            </w:r>
            <w:r w:rsidR="00881BAF" w:rsidRPr="00A23740">
              <w:rPr>
                <w:bCs/>
                <w:szCs w:val="24"/>
                <w:lang w:eastAsia="x-none"/>
              </w:rPr>
              <w:t xml:space="preserve"> K</w:t>
            </w:r>
            <w:r w:rsidRPr="00A23740">
              <w:rPr>
                <w:bCs/>
                <w:szCs w:val="24"/>
                <w:lang w:eastAsia="x-none"/>
              </w:rPr>
              <w:t>anun</w:t>
            </w:r>
            <w:r w:rsidR="00881BAF" w:rsidRPr="00A23740">
              <w:rPr>
                <w:bCs/>
                <w:szCs w:val="24"/>
                <w:lang w:eastAsia="x-none"/>
              </w:rPr>
              <w:t xml:space="preserve"> metni büyük ölçüde </w:t>
            </w:r>
            <w:r w:rsidR="008A7C4F" w:rsidRPr="00D60C1D">
              <w:rPr>
                <w:rStyle w:val="YELChar"/>
                <w:b w:val="0"/>
                <w:color w:val="000000"/>
              </w:rPr>
              <w:t>korunmuştur</w:t>
            </w:r>
            <w:r w:rsidR="00881BAF" w:rsidRPr="00A23740">
              <w:rPr>
                <w:bCs/>
                <w:szCs w:val="24"/>
                <w:lang w:eastAsia="x-none"/>
              </w:rPr>
              <w:t>.</w:t>
            </w:r>
            <w:r w:rsidR="00A92A3A" w:rsidRPr="00A23740">
              <w:rPr>
                <w:bCs/>
                <w:szCs w:val="24"/>
                <w:lang w:eastAsia="x-none"/>
              </w:rPr>
              <w:t xml:space="preserve"> </w:t>
            </w:r>
            <w:r w:rsidRPr="00A23740">
              <w:rPr>
                <w:bCs/>
                <w:szCs w:val="24"/>
                <w:lang w:eastAsia="x-none"/>
              </w:rPr>
              <w:t xml:space="preserve">Ancak </w:t>
            </w:r>
            <w:r w:rsidR="008A7C4F" w:rsidRPr="00D60C1D">
              <w:rPr>
                <w:rStyle w:val="YELChar"/>
                <w:b w:val="0"/>
                <w:color w:val="000000"/>
              </w:rPr>
              <w:t>nispi harca</w:t>
            </w:r>
            <w:r w:rsidR="008A7C4F" w:rsidRPr="00A23740">
              <w:rPr>
                <w:bCs/>
                <w:szCs w:val="24"/>
                <w:lang w:eastAsia="x-none"/>
              </w:rPr>
              <w:t xml:space="preserve"> </w:t>
            </w:r>
            <w:r w:rsidR="00881BAF" w:rsidRPr="00A23740">
              <w:rPr>
                <w:bCs/>
                <w:szCs w:val="24"/>
                <w:lang w:eastAsia="x-none"/>
              </w:rPr>
              <w:t>tabi olmaya</w:t>
            </w:r>
            <w:r w:rsidRPr="00A23740">
              <w:rPr>
                <w:bCs/>
                <w:szCs w:val="24"/>
                <w:lang w:eastAsia="x-none"/>
              </w:rPr>
              <w:t>n</w:t>
            </w:r>
            <w:r w:rsidR="00881BAF" w:rsidRPr="00A23740">
              <w:rPr>
                <w:bCs/>
                <w:szCs w:val="24"/>
                <w:lang w:eastAsia="x-none"/>
              </w:rPr>
              <w:t xml:space="preserve"> kişilere</w:t>
            </w:r>
            <w:r w:rsidR="008A7C4F" w:rsidRPr="00D60C1D">
              <w:rPr>
                <w:rStyle w:val="YELChar"/>
                <w:b w:val="0"/>
                <w:color w:val="000000"/>
              </w:rPr>
              <w:t>,</w:t>
            </w:r>
            <w:r w:rsidR="008A7C4F" w:rsidRPr="00D60C1D">
              <w:rPr>
                <w:b/>
                <w:bCs/>
                <w:color w:val="000000"/>
                <w:szCs w:val="24"/>
                <w:lang w:eastAsia="x-none"/>
              </w:rPr>
              <w:t xml:space="preserve"> </w:t>
            </w:r>
            <w:r w:rsidR="008A7C4F" w:rsidRPr="00D60C1D">
              <w:rPr>
                <w:rStyle w:val="YELChar"/>
                <w:b w:val="0"/>
                <w:color w:val="000000"/>
              </w:rPr>
              <w:t>hakkaniyete uygun olacağı düşüncesiyle</w:t>
            </w:r>
            <w:r w:rsidR="00881BAF" w:rsidRPr="00A23740">
              <w:rPr>
                <w:bCs/>
                <w:szCs w:val="24"/>
                <w:lang w:eastAsia="x-none"/>
              </w:rPr>
              <w:t xml:space="preserve"> ihale konusu mal üzerinde haciz sahibi olan diğer alacaklılar ve ihale alıcısı da </w:t>
            </w:r>
            <w:r w:rsidR="008A7C4F" w:rsidRPr="00D60C1D">
              <w:rPr>
                <w:rStyle w:val="YELChar"/>
                <w:b w:val="0"/>
                <w:color w:val="000000"/>
              </w:rPr>
              <w:t>eklenmiştir</w:t>
            </w:r>
            <w:r w:rsidR="00881BAF" w:rsidRPr="00A23740">
              <w:rPr>
                <w:bCs/>
                <w:szCs w:val="24"/>
                <w:lang w:eastAsia="x-none"/>
              </w:rPr>
              <w:t>.</w:t>
            </w:r>
            <w:r w:rsidR="0057633D" w:rsidRPr="0057633D">
              <w:rPr>
                <w:rStyle w:val="KIRMIZIChar"/>
                <w:rFonts w:eastAsia="Calibri"/>
                <w:strike w:val="0"/>
              </w:rPr>
              <w:t xml:space="preserve"> </w:t>
            </w:r>
            <w:r w:rsidR="00EF62F8" w:rsidRPr="00A23740">
              <w:rPr>
                <w:bCs/>
                <w:szCs w:val="24"/>
                <w:lang w:eastAsia="x-none"/>
              </w:rPr>
              <w:t>Hükümde, i</w:t>
            </w:r>
            <w:r w:rsidR="00C65518" w:rsidRPr="00A23740">
              <w:rPr>
                <w:bCs/>
                <w:szCs w:val="24"/>
                <w:lang w:eastAsia="x-none"/>
              </w:rPr>
              <w:t xml:space="preserve">haleye </w:t>
            </w:r>
            <w:r w:rsidR="00881BAF" w:rsidRPr="00A23740">
              <w:rPr>
                <w:bCs/>
                <w:szCs w:val="24"/>
                <w:lang w:eastAsia="x-none"/>
              </w:rPr>
              <w:t xml:space="preserve">katılıp teklif veren kişilerin </w:t>
            </w:r>
            <w:r w:rsidR="00C65518" w:rsidRPr="00D60C1D">
              <w:rPr>
                <w:rStyle w:val="YELChar"/>
                <w:b w:val="0"/>
                <w:color w:val="000000"/>
              </w:rPr>
              <w:t>uygulamada</w:t>
            </w:r>
            <w:r w:rsidR="00C65518" w:rsidRPr="00A23740">
              <w:rPr>
                <w:bCs/>
                <w:szCs w:val="24"/>
                <w:lang w:eastAsia="x-none"/>
              </w:rPr>
              <w:t xml:space="preserve"> </w:t>
            </w:r>
            <w:r w:rsidR="00881BAF" w:rsidRPr="00A23740">
              <w:rPr>
                <w:bCs/>
                <w:szCs w:val="24"/>
                <w:lang w:eastAsia="x-none"/>
              </w:rPr>
              <w:t>suistimale yönelik işlemleri sebebiyle nispi harç esaslarına t</w:t>
            </w:r>
            <w:r w:rsidR="00D81869" w:rsidRPr="00A23740">
              <w:rPr>
                <w:bCs/>
                <w:szCs w:val="24"/>
                <w:lang w:eastAsia="x-none"/>
              </w:rPr>
              <w:t>a</w:t>
            </w:r>
            <w:r w:rsidR="00881BAF" w:rsidRPr="00A23740">
              <w:rPr>
                <w:bCs/>
                <w:szCs w:val="24"/>
                <w:lang w:eastAsia="x-none"/>
              </w:rPr>
              <w:t>bi olacakları</w:t>
            </w:r>
            <w:r w:rsidR="00C65518" w:rsidRPr="00A23740">
              <w:rPr>
                <w:bCs/>
                <w:szCs w:val="24"/>
                <w:lang w:eastAsia="x-none"/>
              </w:rPr>
              <w:t xml:space="preserve"> </w:t>
            </w:r>
            <w:r w:rsidR="00EF62F8" w:rsidRPr="00A23740">
              <w:rPr>
                <w:bCs/>
                <w:szCs w:val="24"/>
                <w:lang w:eastAsia="x-none"/>
              </w:rPr>
              <w:t xml:space="preserve">esası </w:t>
            </w:r>
            <w:r w:rsidR="00C65518" w:rsidRPr="00D60C1D">
              <w:rPr>
                <w:rStyle w:val="YELChar"/>
                <w:b w:val="0"/>
                <w:color w:val="000000"/>
              </w:rPr>
              <w:t>benimsenmiştir</w:t>
            </w:r>
            <w:r w:rsidR="00881BAF" w:rsidRPr="00A23740">
              <w:rPr>
                <w:bCs/>
                <w:szCs w:val="24"/>
                <w:lang w:eastAsia="x-none"/>
              </w:rPr>
              <w:t>.</w:t>
            </w:r>
            <w:r w:rsidR="00C65518" w:rsidRPr="00A23740">
              <w:rPr>
                <w:bCs/>
                <w:szCs w:val="24"/>
                <w:lang w:eastAsia="x-none"/>
              </w:rPr>
              <w:t xml:space="preserve"> </w:t>
            </w:r>
            <w:r w:rsidR="00881BAF" w:rsidRPr="00A23740">
              <w:rPr>
                <w:bCs/>
                <w:szCs w:val="24"/>
                <w:lang w:eastAsia="x-none"/>
              </w:rPr>
              <w:t>Ayrıca “sınırlı ayni hak sahipleri” söz konusu nispi harç yükümlülüğüne t</w:t>
            </w:r>
            <w:r w:rsidR="00D81869" w:rsidRPr="00A23740">
              <w:rPr>
                <w:bCs/>
                <w:szCs w:val="24"/>
                <w:lang w:eastAsia="x-none"/>
              </w:rPr>
              <w:t>a</w:t>
            </w:r>
            <w:r w:rsidR="00881BAF" w:rsidRPr="00A23740">
              <w:rPr>
                <w:bCs/>
                <w:szCs w:val="24"/>
                <w:lang w:eastAsia="x-none"/>
              </w:rPr>
              <w:t>bi kılınmamakla birlikte, kimlerin sınırlı ayni hak sahibi olduğu konusunda bir uyuşmazlık çıkarsa</w:t>
            </w:r>
            <w:r w:rsidR="00C65518" w:rsidRPr="00A23740">
              <w:rPr>
                <w:rStyle w:val="YELChar"/>
              </w:rPr>
              <w:t>,</w:t>
            </w:r>
            <w:r w:rsidR="00881BAF" w:rsidRPr="00A23740">
              <w:rPr>
                <w:bCs/>
                <w:szCs w:val="24"/>
                <w:lang w:eastAsia="x-none"/>
              </w:rPr>
              <w:t xml:space="preserve"> icra hukuk mahkemesi bu konuyu ön sorun yapmak suretiyle </w:t>
            </w:r>
            <w:r w:rsidR="00A92A3A" w:rsidRPr="00A23740">
              <w:rPr>
                <w:bCs/>
                <w:szCs w:val="24"/>
                <w:lang w:eastAsia="x-none"/>
              </w:rPr>
              <w:t>çözmelidir.</w:t>
            </w:r>
          </w:p>
          <w:p w:rsidR="00A92A3A" w:rsidRPr="00A23740" w:rsidRDefault="00A92A3A" w:rsidP="009431FF">
            <w:pPr>
              <w:tabs>
                <w:tab w:val="left" w:pos="567"/>
              </w:tabs>
              <w:ind w:firstLine="709"/>
              <w:rPr>
                <w:bCs/>
                <w:szCs w:val="24"/>
                <w:lang w:eastAsia="x-none"/>
              </w:rPr>
            </w:pPr>
            <w:r w:rsidRPr="00A23740">
              <w:rPr>
                <w:bCs/>
                <w:szCs w:val="24"/>
                <w:lang w:eastAsia="x-none"/>
              </w:rPr>
              <w:t>İkinci fıkraya göre, talebin reddi h</w:t>
            </w:r>
            <w:r w:rsidR="00C224B4" w:rsidRPr="00A23740">
              <w:rPr>
                <w:bCs/>
                <w:szCs w:val="24"/>
                <w:lang w:eastAsia="x-none"/>
              </w:rPr>
              <w:t>â</w:t>
            </w:r>
            <w:r w:rsidRPr="00A23740">
              <w:rPr>
                <w:bCs/>
                <w:szCs w:val="24"/>
                <w:lang w:eastAsia="x-none"/>
              </w:rPr>
              <w:t xml:space="preserve">linde alınan </w:t>
            </w:r>
            <w:r w:rsidR="00C65518" w:rsidRPr="00D60C1D">
              <w:rPr>
                <w:rStyle w:val="YELChar"/>
                <w:b w:val="0"/>
                <w:color w:val="000000"/>
              </w:rPr>
              <w:t>nispi</w:t>
            </w:r>
            <w:r w:rsidR="00C65518" w:rsidRPr="00A23740">
              <w:rPr>
                <w:bCs/>
                <w:szCs w:val="24"/>
                <w:lang w:eastAsia="x-none"/>
              </w:rPr>
              <w:t xml:space="preserve"> </w:t>
            </w:r>
            <w:r w:rsidRPr="00A23740">
              <w:rPr>
                <w:bCs/>
                <w:szCs w:val="24"/>
                <w:lang w:eastAsia="x-none"/>
              </w:rPr>
              <w:t>harç</w:t>
            </w:r>
            <w:r w:rsidR="00EF62F8" w:rsidRPr="00A23740">
              <w:rPr>
                <w:bCs/>
                <w:szCs w:val="24"/>
                <w:lang w:eastAsia="x-none"/>
              </w:rPr>
              <w:t>,</w:t>
            </w:r>
            <w:r w:rsidRPr="00A23740">
              <w:rPr>
                <w:bCs/>
                <w:szCs w:val="24"/>
                <w:lang w:eastAsia="x-none"/>
              </w:rPr>
              <w:t xml:space="preserve"> ihalenin iptalini talep edene iade edilmez ve </w:t>
            </w:r>
            <w:r w:rsidR="00C65518" w:rsidRPr="00D60C1D">
              <w:rPr>
                <w:rStyle w:val="YELChar"/>
                <w:b w:val="0"/>
                <w:color w:val="000000"/>
              </w:rPr>
              <w:t>nispi</w:t>
            </w:r>
            <w:r w:rsidR="00C65518" w:rsidRPr="00A23740">
              <w:rPr>
                <w:bCs/>
                <w:szCs w:val="24"/>
                <w:lang w:eastAsia="x-none"/>
              </w:rPr>
              <w:t xml:space="preserve"> </w:t>
            </w:r>
            <w:r w:rsidRPr="00A23740">
              <w:rPr>
                <w:bCs/>
                <w:szCs w:val="24"/>
                <w:lang w:eastAsia="x-none"/>
              </w:rPr>
              <w:t>harcın kalan kısmı talep edenden tahsil edilir. Talep kabul edilirse</w:t>
            </w:r>
            <w:r w:rsidR="00EF62F8" w:rsidRPr="00A23740">
              <w:rPr>
                <w:bCs/>
                <w:szCs w:val="24"/>
                <w:lang w:eastAsia="x-none"/>
              </w:rPr>
              <w:t>,</w:t>
            </w:r>
            <w:r w:rsidRPr="00A23740">
              <w:rPr>
                <w:bCs/>
                <w:szCs w:val="24"/>
                <w:lang w:eastAsia="x-none"/>
              </w:rPr>
              <w:t xml:space="preserve"> </w:t>
            </w:r>
            <w:r w:rsidR="00C65518" w:rsidRPr="00D60C1D">
              <w:rPr>
                <w:rStyle w:val="YELChar"/>
                <w:b w:val="0"/>
                <w:color w:val="000000"/>
              </w:rPr>
              <w:t>nispi</w:t>
            </w:r>
            <w:r w:rsidR="00C65518" w:rsidRPr="00A23740">
              <w:rPr>
                <w:bCs/>
                <w:szCs w:val="24"/>
                <w:lang w:eastAsia="x-none"/>
              </w:rPr>
              <w:t xml:space="preserve"> </w:t>
            </w:r>
            <w:r w:rsidRPr="00A23740">
              <w:rPr>
                <w:bCs/>
                <w:szCs w:val="24"/>
                <w:lang w:eastAsia="x-none"/>
              </w:rPr>
              <w:t>harç başka bir kimseye yüklenmez ve talep h</w:t>
            </w:r>
            <w:r w:rsidR="00C224B4" w:rsidRPr="00A23740">
              <w:rPr>
                <w:bCs/>
                <w:szCs w:val="24"/>
                <w:lang w:eastAsia="x-none"/>
              </w:rPr>
              <w:t>â</w:t>
            </w:r>
            <w:r w:rsidRPr="00A23740">
              <w:rPr>
                <w:bCs/>
                <w:szCs w:val="24"/>
                <w:lang w:eastAsia="x-none"/>
              </w:rPr>
              <w:t>linde ihalenin iptalini talep edene iade edilir.</w:t>
            </w:r>
            <w:r w:rsidR="00410CDA" w:rsidRPr="00A23740">
              <w:rPr>
                <w:bCs/>
                <w:szCs w:val="24"/>
                <w:lang w:eastAsia="x-none"/>
              </w:rPr>
              <w:t xml:space="preserve"> Birinci fıkranın gerekçesinde belirtilen </w:t>
            </w:r>
            <w:r w:rsidRPr="00A23740">
              <w:rPr>
                <w:bCs/>
                <w:szCs w:val="24"/>
                <w:lang w:eastAsia="x-none"/>
              </w:rPr>
              <w:t xml:space="preserve">amaca uygun olarak peşin alınan </w:t>
            </w:r>
            <w:r w:rsidR="00C65518" w:rsidRPr="00D60C1D">
              <w:rPr>
                <w:rStyle w:val="YELChar"/>
                <w:b w:val="0"/>
                <w:color w:val="000000"/>
              </w:rPr>
              <w:t>nispi</w:t>
            </w:r>
            <w:r w:rsidR="00C65518" w:rsidRPr="00A23740">
              <w:rPr>
                <w:bCs/>
                <w:szCs w:val="24"/>
                <w:lang w:eastAsia="x-none"/>
              </w:rPr>
              <w:t xml:space="preserve"> </w:t>
            </w:r>
            <w:r w:rsidR="00410CDA" w:rsidRPr="00A23740">
              <w:rPr>
                <w:bCs/>
                <w:szCs w:val="24"/>
                <w:lang w:eastAsia="x-none"/>
              </w:rPr>
              <w:t>harcın talebin reddi veya kabulüne göre</w:t>
            </w:r>
            <w:r w:rsidR="00011726" w:rsidRPr="00A23740">
              <w:rPr>
                <w:bCs/>
                <w:szCs w:val="24"/>
                <w:lang w:eastAsia="x-none"/>
              </w:rPr>
              <w:t xml:space="preserve"> </w:t>
            </w:r>
            <w:r w:rsidRPr="00A23740">
              <w:rPr>
                <w:bCs/>
                <w:szCs w:val="24"/>
                <w:lang w:eastAsia="x-none"/>
              </w:rPr>
              <w:t>i</w:t>
            </w:r>
            <w:r w:rsidR="00011726" w:rsidRPr="00A23740">
              <w:rPr>
                <w:bCs/>
                <w:szCs w:val="24"/>
                <w:lang w:eastAsia="x-none"/>
              </w:rPr>
              <w:t>a</w:t>
            </w:r>
            <w:r w:rsidR="00410CDA" w:rsidRPr="00A23740">
              <w:rPr>
                <w:bCs/>
                <w:szCs w:val="24"/>
                <w:lang w:eastAsia="x-none"/>
              </w:rPr>
              <w:t xml:space="preserve">desi veya iade </w:t>
            </w:r>
            <w:r w:rsidRPr="00A23740">
              <w:rPr>
                <w:bCs/>
                <w:szCs w:val="24"/>
                <w:lang w:eastAsia="x-none"/>
              </w:rPr>
              <w:t xml:space="preserve">edilmemesi </w:t>
            </w:r>
            <w:r w:rsidR="00C65518" w:rsidRPr="00D60C1D">
              <w:rPr>
                <w:rStyle w:val="YELChar"/>
                <w:b w:val="0"/>
                <w:color w:val="000000"/>
              </w:rPr>
              <w:t>öngörülmüştür</w:t>
            </w:r>
            <w:r w:rsidR="00011726" w:rsidRPr="00A23740">
              <w:rPr>
                <w:bCs/>
                <w:szCs w:val="24"/>
                <w:lang w:eastAsia="x-none"/>
              </w:rPr>
              <w:t>.</w:t>
            </w:r>
            <w:r w:rsidR="00992FFB" w:rsidRPr="00A23740">
              <w:rPr>
                <w:bCs/>
                <w:szCs w:val="24"/>
                <w:lang w:eastAsia="x-none"/>
              </w:rPr>
              <w:t xml:space="preserve"> Fıkra, içerik olarak 2004 sayılı Kanunun 134 üncü maddesinin üçüncü fıkrasının üçüncü ve dördüncü cümlelerine karşılık gelmektedir.</w:t>
            </w:r>
          </w:p>
          <w:p w:rsidR="00881BAF" w:rsidRPr="00A23740" w:rsidRDefault="00011726" w:rsidP="009431FF">
            <w:pPr>
              <w:tabs>
                <w:tab w:val="left" w:pos="567"/>
              </w:tabs>
              <w:ind w:firstLine="709"/>
            </w:pPr>
            <w:r w:rsidRPr="00A23740">
              <w:rPr>
                <w:bCs/>
                <w:szCs w:val="24"/>
                <w:lang w:eastAsia="x-none"/>
              </w:rPr>
              <w:t>Üçüncü fıkrayla</w:t>
            </w:r>
            <w:r w:rsidR="00410CDA" w:rsidRPr="00A23740">
              <w:rPr>
                <w:bCs/>
                <w:szCs w:val="24"/>
                <w:lang w:eastAsia="x-none"/>
              </w:rPr>
              <w:t>,</w:t>
            </w:r>
            <w:r w:rsidRPr="00A23740">
              <w:rPr>
                <w:bCs/>
                <w:szCs w:val="24"/>
                <w:lang w:eastAsia="x-none"/>
              </w:rPr>
              <w:t xml:space="preserve"> teminat gösterme yükümlülüğü </w:t>
            </w:r>
            <w:r w:rsidR="00C65518" w:rsidRPr="00D60C1D">
              <w:rPr>
                <w:rStyle w:val="YELChar"/>
                <w:b w:val="0"/>
                <w:color w:val="000000"/>
              </w:rPr>
              <w:t>getirilmiştir</w:t>
            </w:r>
            <w:r w:rsidRPr="00A23740">
              <w:rPr>
                <w:bCs/>
                <w:szCs w:val="24"/>
                <w:lang w:eastAsia="x-none"/>
              </w:rPr>
              <w:t>. Hükme göre ihalenin iptali talebinde ilgili kişilerin muhtemel zararına karşılık olmak üzere ihale bedelinin yüzde beşi oranında teminat gösterilmesi şarttır. Bu teminat</w:t>
            </w:r>
            <w:r w:rsidR="00C65518" w:rsidRPr="00D60C1D">
              <w:rPr>
                <w:rStyle w:val="YELChar"/>
                <w:b w:val="0"/>
                <w:color w:val="000000"/>
              </w:rPr>
              <w:t>;</w:t>
            </w:r>
            <w:r w:rsidRPr="00A23740">
              <w:rPr>
                <w:bCs/>
                <w:szCs w:val="24"/>
                <w:lang w:eastAsia="x-none"/>
              </w:rPr>
              <w:t xml:space="preserve"> borçlu, satış isteyen alacaklı, ihale konusu mal üzerinde haczi bulunan diğer alacaklılar, resm</w:t>
            </w:r>
            <w:r w:rsidR="00C65518" w:rsidRPr="00A23740">
              <w:rPr>
                <w:bCs/>
                <w:szCs w:val="24"/>
                <w:lang w:eastAsia="x-none"/>
              </w:rPr>
              <w:t>î</w:t>
            </w:r>
            <w:r w:rsidRPr="00A23740">
              <w:rPr>
                <w:bCs/>
                <w:szCs w:val="24"/>
                <w:lang w:eastAsia="x-none"/>
              </w:rPr>
              <w:t xml:space="preserve"> sicilde kayıtlı ilgililer, sınırlı ayni hak sahipleri ve ihale alıcılarından alınmaz.</w:t>
            </w:r>
            <w:r w:rsidR="00992FFB" w:rsidRPr="00A23740">
              <w:rPr>
                <w:bCs/>
                <w:szCs w:val="24"/>
                <w:lang w:eastAsia="x-none"/>
              </w:rPr>
              <w:t xml:space="preserve"> Fıkra, içerik olarak 2004 sayılı Kanunun 134 üncü maddesinin dördüncü fıkrasının birinci ve ikinci cümlelerine karşılık gelmekte olup </w:t>
            </w:r>
            <w:r w:rsidR="00881BAF" w:rsidRPr="00A23740">
              <w:rPr>
                <w:bCs/>
                <w:szCs w:val="24"/>
                <w:lang w:eastAsia="x-none"/>
              </w:rPr>
              <w:t>yukarıda ifade edil</w:t>
            </w:r>
            <w:r w:rsidR="00992FFB" w:rsidRPr="00A23740">
              <w:rPr>
                <w:bCs/>
                <w:szCs w:val="24"/>
                <w:lang w:eastAsia="x-none"/>
              </w:rPr>
              <w:t xml:space="preserve">en </w:t>
            </w:r>
            <w:r w:rsidR="00881BAF" w:rsidRPr="00A23740">
              <w:rPr>
                <w:bCs/>
                <w:szCs w:val="24"/>
                <w:lang w:eastAsia="x-none"/>
              </w:rPr>
              <w:t xml:space="preserve">suistimallerin önüne geçilebilmesi amacıyla 7343 </w:t>
            </w:r>
            <w:r w:rsidR="00992FFB" w:rsidRPr="00A23740">
              <w:rPr>
                <w:bCs/>
                <w:szCs w:val="24"/>
                <w:lang w:eastAsia="x-none"/>
              </w:rPr>
              <w:t>sayılı Kanunla</w:t>
            </w:r>
            <w:r w:rsidR="00881BAF" w:rsidRPr="00A23740">
              <w:rPr>
                <w:bCs/>
                <w:szCs w:val="24"/>
                <w:lang w:eastAsia="x-none"/>
              </w:rPr>
              <w:t xml:space="preserve"> </w:t>
            </w:r>
            <w:r w:rsidR="00D75989" w:rsidRPr="00A23740">
              <w:rPr>
                <w:bCs/>
                <w:szCs w:val="24"/>
                <w:lang w:eastAsia="x-none"/>
              </w:rPr>
              <w:t>getirilmiştir</w:t>
            </w:r>
            <w:r w:rsidR="00992FFB" w:rsidRPr="00A23740">
              <w:rPr>
                <w:bCs/>
                <w:szCs w:val="24"/>
                <w:lang w:eastAsia="x-none"/>
              </w:rPr>
              <w:t xml:space="preserve">. </w:t>
            </w:r>
            <w:r w:rsidR="00881BAF" w:rsidRPr="00A23740">
              <w:rPr>
                <w:bCs/>
                <w:szCs w:val="24"/>
                <w:lang w:eastAsia="x-none"/>
              </w:rPr>
              <w:t>Değişikliğin gerekçesi de Adalet Komisyonu Raporunda</w:t>
            </w:r>
            <w:r w:rsidR="001A61C9" w:rsidRPr="00A23740">
              <w:rPr>
                <w:bCs/>
                <w:szCs w:val="24"/>
                <w:lang w:eastAsia="x-none"/>
              </w:rPr>
              <w:t>,</w:t>
            </w:r>
            <w:r w:rsidR="00881BAF" w:rsidRPr="00A23740">
              <w:rPr>
                <w:bCs/>
                <w:szCs w:val="24"/>
                <w:lang w:eastAsia="x-none"/>
              </w:rPr>
              <w:t xml:space="preserve"> “Maddeye eklenen yeni dördüncü fıkrayla, haksız ve kötüniyetli olarak yapılan ihalenin feshi talebi nedeniyle, ilgililerin oluşması muhtemel zararlarının karşılanabilmesi amacıyla teminat yatırma zorunluluğu getirilmektedir. Hükümle, satış</w:t>
            </w:r>
            <w:r w:rsidR="00AD7D81" w:rsidRPr="00A23740">
              <w:rPr>
                <w:bCs/>
                <w:szCs w:val="24"/>
                <w:lang w:eastAsia="x-none"/>
              </w:rPr>
              <w:t xml:space="preserve"> isteyen alacaklı, borçlu, resmî</w:t>
            </w:r>
            <w:r w:rsidR="00881BAF" w:rsidRPr="00A23740">
              <w:rPr>
                <w:bCs/>
                <w:szCs w:val="24"/>
                <w:lang w:eastAsia="x-none"/>
              </w:rPr>
              <w:t xml:space="preserve"> sicilde kayıtlı ilgililer ile sınırlı ayni hak sahipleri dışında kalan kişilerce yapılan ihalenin feshi talebinde, ilgili kişilerin muhtemel zararına karşılık olmak üzere ihale bedelinin yüzde beşi oranında teminatın alınması zorunlu h</w:t>
            </w:r>
            <w:r w:rsidR="00C224B4" w:rsidRPr="00A23740">
              <w:rPr>
                <w:bCs/>
                <w:szCs w:val="24"/>
                <w:lang w:eastAsia="x-none"/>
              </w:rPr>
              <w:t>â</w:t>
            </w:r>
            <w:r w:rsidR="00881BAF" w:rsidRPr="00A23740">
              <w:rPr>
                <w:bCs/>
                <w:szCs w:val="24"/>
                <w:lang w:eastAsia="x-none"/>
              </w:rPr>
              <w:t>le getirilmektedir. İhalenin feshi talebinin reddine ilişkin kararın kesinleşmesinden itibaren bir ay içinde ilgililer tarafından ihalenin feshi talebi nedeniyle tazminat davası açılmaması h</w:t>
            </w:r>
            <w:r w:rsidR="00C224B4" w:rsidRPr="00A23740">
              <w:rPr>
                <w:bCs/>
                <w:szCs w:val="24"/>
                <w:lang w:eastAsia="x-none"/>
              </w:rPr>
              <w:t>â</w:t>
            </w:r>
            <w:r w:rsidR="00881BAF" w:rsidRPr="00A23740">
              <w:rPr>
                <w:bCs/>
                <w:szCs w:val="24"/>
                <w:lang w:eastAsia="x-none"/>
              </w:rPr>
              <w:t>linde hükmedilen para cezasının 6183 sayılı Kanun hükümleri uyarınca tahsili için durum mahkemece tahsil dairesine bildirilecektir. Tahsil dairesi alman teminattan, bildirimin yapıldığı tarihten itibaren üç ay içinde para cezasını tahsil etmezse talep h</w:t>
            </w:r>
            <w:r w:rsidR="00C224B4" w:rsidRPr="00A23740">
              <w:rPr>
                <w:bCs/>
                <w:szCs w:val="24"/>
                <w:lang w:eastAsia="x-none"/>
              </w:rPr>
              <w:t>â</w:t>
            </w:r>
            <w:r w:rsidR="00881BAF" w:rsidRPr="00A23740">
              <w:rPr>
                <w:bCs/>
                <w:szCs w:val="24"/>
                <w:lang w:eastAsia="x-none"/>
              </w:rPr>
              <w:t>linde teminat ilgilisine iade edilecektir</w:t>
            </w:r>
            <w:r w:rsidR="00881BAF" w:rsidRPr="00A23740">
              <w:rPr>
                <w:lang w:eastAsia="x-none"/>
              </w:rPr>
              <w:t>.</w:t>
            </w:r>
            <w:r w:rsidR="00881BAF" w:rsidRPr="00A23740">
              <w:rPr>
                <w:bCs/>
                <w:szCs w:val="24"/>
                <w:lang w:eastAsia="x-none"/>
              </w:rPr>
              <w:t xml:space="preserve">” olarak belirtilmiştir. Bilim Komisyonu çalışmaları sırasında söz konusu hükmün aynı </w:t>
            </w:r>
            <w:r w:rsidR="00881BAF" w:rsidRPr="00A23740">
              <w:t xml:space="preserve">gerekçelerle </w:t>
            </w:r>
            <w:r w:rsidR="00EF62F8" w:rsidRPr="00A23740">
              <w:t xml:space="preserve">geçerli olduğu </w:t>
            </w:r>
            <w:r w:rsidR="00881BAF" w:rsidRPr="00A23740">
              <w:t xml:space="preserve">sonucuna varılarak, bir kısım değişikliklerle 2004 sayılı Kanun metni büyük ölçüde </w:t>
            </w:r>
            <w:r w:rsidR="00C65518" w:rsidRPr="00D60C1D">
              <w:rPr>
                <w:rStyle w:val="YELChar"/>
                <w:b w:val="0"/>
                <w:color w:val="000000"/>
              </w:rPr>
              <w:t>korunmuştur</w:t>
            </w:r>
            <w:r w:rsidR="00881BAF" w:rsidRPr="00A23740">
              <w:t xml:space="preserve">. </w:t>
            </w:r>
            <w:r w:rsidR="00C65518" w:rsidRPr="00D60C1D">
              <w:rPr>
                <w:rStyle w:val="YELChar"/>
                <w:b w:val="0"/>
                <w:color w:val="000000"/>
              </w:rPr>
              <w:t>Bun</w:t>
            </w:r>
            <w:r w:rsidR="00167139" w:rsidRPr="00D60C1D">
              <w:rPr>
                <w:rStyle w:val="YELChar"/>
                <w:b w:val="0"/>
                <w:color w:val="000000"/>
              </w:rPr>
              <w:t>u</w:t>
            </w:r>
            <w:r w:rsidR="00C65518" w:rsidRPr="00D60C1D">
              <w:rPr>
                <w:rStyle w:val="YELChar"/>
                <w:b w:val="0"/>
                <w:color w:val="000000"/>
              </w:rPr>
              <w:t>nla birlikte</w:t>
            </w:r>
            <w:r w:rsidR="00EF62F8" w:rsidRPr="00D60C1D">
              <w:rPr>
                <w:rStyle w:val="YELChar"/>
                <w:b w:val="0"/>
                <w:color w:val="000000"/>
              </w:rPr>
              <w:t>,</w:t>
            </w:r>
            <w:r w:rsidR="00C65518" w:rsidRPr="00A23740">
              <w:rPr>
                <w:bCs/>
                <w:szCs w:val="24"/>
                <w:lang w:eastAsia="x-none"/>
              </w:rPr>
              <w:t xml:space="preserve"> </w:t>
            </w:r>
            <w:r w:rsidR="00B82322" w:rsidRPr="00A23740">
              <w:t xml:space="preserve">teminat </w:t>
            </w:r>
            <w:r w:rsidR="00881BAF" w:rsidRPr="00A23740">
              <w:t>göstermeyecek kişilere</w:t>
            </w:r>
            <w:r w:rsidR="00B82322" w:rsidRPr="00D60C1D">
              <w:rPr>
                <w:rStyle w:val="YELChar"/>
                <w:b w:val="0"/>
                <w:color w:val="000000"/>
              </w:rPr>
              <w:t>,</w:t>
            </w:r>
            <w:r w:rsidR="00B82322" w:rsidRPr="00D60C1D">
              <w:rPr>
                <w:b/>
                <w:color w:val="000000"/>
              </w:rPr>
              <w:t xml:space="preserve"> </w:t>
            </w:r>
            <w:r w:rsidR="00B82322" w:rsidRPr="00D60C1D">
              <w:rPr>
                <w:rStyle w:val="YELChar"/>
                <w:b w:val="0"/>
                <w:color w:val="000000"/>
              </w:rPr>
              <w:t>hakkaniyete uygun olacağı düşüncesiyle</w:t>
            </w:r>
            <w:r w:rsidR="00167139" w:rsidRPr="00D60C1D">
              <w:rPr>
                <w:rStyle w:val="YELChar"/>
                <w:b w:val="0"/>
                <w:color w:val="000000"/>
              </w:rPr>
              <w:t>,</w:t>
            </w:r>
            <w:r w:rsidR="00881BAF" w:rsidRPr="00A23740">
              <w:t xml:space="preserve"> </w:t>
            </w:r>
            <w:r w:rsidR="00D75989" w:rsidRPr="00A23740">
              <w:t xml:space="preserve">ihale konusu mal üzerinde haczi bulunan </w:t>
            </w:r>
            <w:r w:rsidR="00881BAF" w:rsidRPr="00A23740">
              <w:t xml:space="preserve">diğer alacaklılar ve ihale alıcısı da </w:t>
            </w:r>
            <w:r w:rsidR="00167139" w:rsidRPr="00D60C1D">
              <w:rPr>
                <w:rStyle w:val="YELChar"/>
                <w:b w:val="0"/>
                <w:color w:val="000000"/>
              </w:rPr>
              <w:t>eklenmiştir</w:t>
            </w:r>
            <w:r w:rsidR="00881BAF" w:rsidRPr="00A23740">
              <w:t>.</w:t>
            </w:r>
          </w:p>
          <w:p w:rsidR="008E67A1" w:rsidRPr="00A23740" w:rsidRDefault="00D75989" w:rsidP="009431FF">
            <w:pPr>
              <w:tabs>
                <w:tab w:val="left" w:pos="567"/>
              </w:tabs>
              <w:ind w:firstLine="709"/>
              <w:rPr>
                <w:bCs/>
                <w:szCs w:val="24"/>
                <w:lang w:eastAsia="x-none"/>
              </w:rPr>
            </w:pPr>
            <w:r w:rsidRPr="00A23740">
              <w:rPr>
                <w:bCs/>
                <w:szCs w:val="24"/>
                <w:lang w:eastAsia="x-none"/>
              </w:rPr>
              <w:t>Dördüncü fıkraya göre, talebin reddine ilişkin kararın kesinleşmesinden itibaren bir ay içinde genel hükümlere göre tazminat davası açılmaması h</w:t>
            </w:r>
            <w:r w:rsidR="00C224B4" w:rsidRPr="00A23740">
              <w:rPr>
                <w:bCs/>
                <w:szCs w:val="24"/>
                <w:lang w:eastAsia="x-none"/>
              </w:rPr>
              <w:t>â</w:t>
            </w:r>
            <w:r w:rsidRPr="00A23740">
              <w:rPr>
                <w:bCs/>
                <w:szCs w:val="24"/>
                <w:lang w:eastAsia="x-none"/>
              </w:rPr>
              <w:t xml:space="preserve">linde, Taslağın </w:t>
            </w:r>
            <w:r w:rsidR="005A0535" w:rsidRPr="00D60C1D">
              <w:rPr>
                <w:rStyle w:val="KonuBalChar"/>
                <w:rFonts w:eastAsia="Calibri"/>
                <w:b w:val="0"/>
                <w:color w:val="000000"/>
              </w:rPr>
              <w:t>257 nci</w:t>
            </w:r>
            <w:r w:rsidRPr="00A23740">
              <w:rPr>
                <w:bCs/>
                <w:szCs w:val="24"/>
                <w:lang w:eastAsia="x-none"/>
              </w:rPr>
              <w:t xml:space="preserve"> maddesinin dördüncü fıkrası uyarınca hükmedilen para cezasının 6183 sayılı Kanun hükümleri uyarınca tahsili için durum mahkemece tahsil dairesine bildirilir. Fıkra, içerik olarak 2004 sayılı Kanunun 134 üncü maddesinin dördüncü fıkrasının </w:t>
            </w:r>
            <w:r w:rsidR="00F23FBF" w:rsidRPr="00A23740">
              <w:rPr>
                <w:bCs/>
                <w:szCs w:val="24"/>
                <w:lang w:eastAsia="x-none"/>
              </w:rPr>
              <w:t xml:space="preserve">üçüncü ve dördüncü </w:t>
            </w:r>
            <w:r w:rsidRPr="00A23740">
              <w:rPr>
                <w:bCs/>
                <w:szCs w:val="24"/>
                <w:lang w:eastAsia="x-none"/>
              </w:rPr>
              <w:t>cümlelerine karşılık gelmekte</w:t>
            </w:r>
            <w:r w:rsidR="00F23FBF" w:rsidRPr="00A23740">
              <w:rPr>
                <w:bCs/>
                <w:szCs w:val="24"/>
                <w:lang w:eastAsia="x-none"/>
              </w:rPr>
              <w:t xml:space="preserve">dir. </w:t>
            </w:r>
            <w:r w:rsidRPr="00A23740">
              <w:rPr>
                <w:bCs/>
                <w:szCs w:val="24"/>
                <w:lang w:eastAsia="x-none"/>
              </w:rPr>
              <w:t>Tahsil dairesi alınan teminattan, bildirimin yapıldığı tarihten itibaren üç ay içinde para cezasını tahsil etmezse talep h</w:t>
            </w:r>
            <w:r w:rsidR="00C224B4" w:rsidRPr="00A23740">
              <w:rPr>
                <w:bCs/>
                <w:szCs w:val="24"/>
                <w:lang w:eastAsia="x-none"/>
              </w:rPr>
              <w:t>â</w:t>
            </w:r>
            <w:r w:rsidRPr="00A23740">
              <w:rPr>
                <w:bCs/>
                <w:szCs w:val="24"/>
                <w:lang w:eastAsia="x-none"/>
              </w:rPr>
              <w:t>linde teminat ilgilisine iade edilir. Tazminat davasının açılması h</w:t>
            </w:r>
            <w:r w:rsidR="00C224B4" w:rsidRPr="00A23740">
              <w:rPr>
                <w:bCs/>
                <w:szCs w:val="24"/>
                <w:lang w:eastAsia="x-none"/>
              </w:rPr>
              <w:t>â</w:t>
            </w:r>
            <w:r w:rsidRPr="00A23740">
              <w:rPr>
                <w:bCs/>
                <w:szCs w:val="24"/>
                <w:lang w:eastAsia="x-none"/>
              </w:rPr>
              <w:t>linde teminat iade edilme</w:t>
            </w:r>
            <w:r w:rsidR="001A61C9" w:rsidRPr="00A23740">
              <w:rPr>
                <w:bCs/>
                <w:szCs w:val="24"/>
                <w:lang w:eastAsia="x-none"/>
              </w:rPr>
              <w:t>z</w:t>
            </w:r>
            <w:r w:rsidRPr="00A23740">
              <w:rPr>
                <w:bCs/>
                <w:szCs w:val="24"/>
                <w:lang w:eastAsia="x-none"/>
              </w:rPr>
              <w:t>. Talebin kabulü durumunda ise bu fıkra hükmü uy</w:t>
            </w:r>
            <w:r w:rsidR="001A61C9" w:rsidRPr="00A23740">
              <w:rPr>
                <w:bCs/>
                <w:szCs w:val="24"/>
                <w:lang w:eastAsia="x-none"/>
              </w:rPr>
              <w:t>gulanmaz.</w:t>
            </w:r>
          </w:p>
          <w:p w:rsidR="00C5573C" w:rsidRPr="00A23740" w:rsidRDefault="00C5573C" w:rsidP="0016377F">
            <w:pPr>
              <w:tabs>
                <w:tab w:val="left" w:pos="567"/>
              </w:tabs>
              <w:ind w:firstLine="709"/>
              <w:rPr>
                <w:b/>
                <w:bCs/>
                <w:color w:val="FF0000"/>
                <w:szCs w:val="24"/>
                <w:lang w:eastAsia="x-none"/>
              </w:rPr>
            </w:pPr>
          </w:p>
        </w:tc>
      </w:tr>
      <w:tr w:rsidR="00881BAF" w:rsidRPr="00A23740" w:rsidTr="009431FF">
        <w:tblPrEx>
          <w:tblLook w:val="01E0" w:firstRow="1" w:lastRow="1" w:firstColumn="1" w:lastColumn="1" w:noHBand="0" w:noVBand="0"/>
        </w:tblPrEx>
        <w:tc>
          <w:tcPr>
            <w:tcW w:w="2500" w:type="pct"/>
          </w:tcPr>
          <w:p w:rsidR="00A268BB" w:rsidRPr="00A23740" w:rsidRDefault="00A268BB" w:rsidP="009431FF">
            <w:pPr>
              <w:rPr>
                <w:rFonts w:eastAsia="Times New Roman"/>
                <w:b/>
                <w:szCs w:val="24"/>
                <w:lang w:eastAsia="tr-TR"/>
              </w:rPr>
            </w:pPr>
            <w:r w:rsidRPr="00A23740">
              <w:rPr>
                <w:rFonts w:eastAsia="Times New Roman"/>
                <w:b/>
                <w:szCs w:val="24"/>
                <w:lang w:eastAsia="tr-TR"/>
              </w:rPr>
              <w:t xml:space="preserve">İhalenin </w:t>
            </w:r>
            <w:r w:rsidRPr="00A23740">
              <w:rPr>
                <w:rStyle w:val="KIRMIZIChar"/>
                <w:rFonts w:eastAsia="Calibri"/>
              </w:rPr>
              <w:t>neticesi ve feshi:</w:t>
            </w:r>
          </w:p>
          <w:p w:rsidR="00A268BB" w:rsidRPr="00A23740" w:rsidRDefault="00A268BB" w:rsidP="009431FF">
            <w:pPr>
              <w:rPr>
                <w:rStyle w:val="KIRMIZIChar"/>
                <w:rFonts w:eastAsia="Calibri"/>
              </w:rPr>
            </w:pPr>
            <w:r w:rsidRPr="00A23740">
              <w:rPr>
                <w:rStyle w:val="KIRMIZIChar"/>
                <w:rFonts w:eastAsia="Calibri"/>
              </w:rPr>
              <w:t>Madde 134- …</w:t>
            </w:r>
          </w:p>
          <w:p w:rsidR="00881BAF" w:rsidRPr="00A23740" w:rsidRDefault="00881BAF" w:rsidP="009431FF">
            <w:pPr>
              <w:tabs>
                <w:tab w:val="left" w:pos="567"/>
              </w:tabs>
            </w:pPr>
            <w:r w:rsidRPr="00A23740">
              <w:rPr>
                <w:rFonts w:eastAsia="Times New Roman"/>
                <w:b/>
                <w:color w:val="FF0000"/>
                <w:szCs w:val="24"/>
              </w:rPr>
              <w:t>(7)</w:t>
            </w:r>
            <w:r w:rsidRPr="00A23740">
              <w:rPr>
                <w:szCs w:val="24"/>
                <w:lang w:eastAsia="tr-TR"/>
              </w:rPr>
              <w:t xml:space="preserve"> İhalenin </w:t>
            </w:r>
            <w:r w:rsidRPr="00A23740">
              <w:rPr>
                <w:rStyle w:val="KIRMIZIChar"/>
                <w:rFonts w:eastAsia="Calibri"/>
              </w:rPr>
              <w:t>feshine</w:t>
            </w:r>
            <w:r w:rsidRPr="00A23740">
              <w:rPr>
                <w:szCs w:val="24"/>
                <w:lang w:eastAsia="tr-TR"/>
              </w:rPr>
              <w:t xml:space="preserve"> ilişkin şikâyet görevsiz veya yetkisiz </w:t>
            </w:r>
            <w:r w:rsidRPr="00A23740">
              <w:rPr>
                <w:rStyle w:val="KIRMIZIChar"/>
                <w:rFonts w:eastAsia="Calibri"/>
              </w:rPr>
              <w:t>icra mahkemesi veya</w:t>
            </w:r>
            <w:r w:rsidRPr="00A23740">
              <w:rPr>
                <w:szCs w:val="24"/>
                <w:lang w:eastAsia="tr-TR"/>
              </w:rPr>
              <w:t xml:space="preserve"> mahkemeye yapılırsa, </w:t>
            </w:r>
            <w:r w:rsidRPr="00A23740">
              <w:rPr>
                <w:rStyle w:val="KIRMIZIChar"/>
                <w:rFonts w:eastAsia="Calibri"/>
              </w:rPr>
              <w:t>icra mahkemesi veya</w:t>
            </w:r>
            <w:r w:rsidRPr="00A23740">
              <w:rPr>
                <w:b/>
                <w:bCs/>
                <w:color w:val="FF0000"/>
                <w:szCs w:val="24"/>
                <w:lang w:eastAsia="tr-TR"/>
              </w:rPr>
              <w:t xml:space="preserve"> </w:t>
            </w:r>
            <w:r w:rsidRPr="00A23740">
              <w:t xml:space="preserve">mahkeme </w:t>
            </w:r>
            <w:r w:rsidRPr="00A23740">
              <w:rPr>
                <w:szCs w:val="24"/>
                <w:lang w:eastAsia="tr-TR"/>
              </w:rPr>
              <w:t xml:space="preserve">evrak üzerinde inceleme yaparak başvuru tarihinden itibaren </w:t>
            </w:r>
            <w:r w:rsidRPr="00A23740">
              <w:t>en geç</w:t>
            </w:r>
            <w:r w:rsidRPr="00A23740">
              <w:rPr>
                <w:b/>
                <w:bCs/>
                <w:color w:val="FF0000"/>
                <w:szCs w:val="24"/>
                <w:lang w:eastAsia="tr-TR"/>
              </w:rPr>
              <w:t xml:space="preserve"> </w:t>
            </w:r>
            <w:r w:rsidRPr="00A23740">
              <w:rPr>
                <w:rStyle w:val="KIRMIZIChar"/>
                <w:rFonts w:eastAsia="Calibri"/>
              </w:rPr>
              <w:t>on gün</w:t>
            </w:r>
            <w:r w:rsidRPr="00A23740">
              <w:rPr>
                <w:b/>
                <w:bCs/>
                <w:color w:val="FF0000"/>
                <w:szCs w:val="24"/>
                <w:lang w:eastAsia="tr-TR"/>
              </w:rPr>
              <w:t xml:space="preserve"> </w:t>
            </w:r>
            <w:r w:rsidRPr="00A23740">
              <w:t>içinde</w:t>
            </w:r>
            <w:r w:rsidRPr="00A23740">
              <w:rPr>
                <w:szCs w:val="24"/>
                <w:lang w:eastAsia="tr-TR"/>
              </w:rPr>
              <w:t xml:space="preserve"> görevsizlik veya yetkisizl</w:t>
            </w:r>
            <w:r w:rsidRPr="00A23740">
              <w:t xml:space="preserve">ik kararı verir ve </w:t>
            </w:r>
            <w:r w:rsidRPr="00A23740">
              <w:rPr>
                <w:rStyle w:val="KIRMIZIChar"/>
                <w:rFonts w:eastAsia="Calibri"/>
              </w:rPr>
              <w:t>masrafını</w:t>
            </w:r>
            <w:r w:rsidRPr="00A23740">
              <w:t xml:space="preserve"> gider avansından karşılamak suretiyle dosyayı resen görevli veya yetkili icra mahkemesine gönderir. Bu kararlar</w:t>
            </w:r>
            <w:r w:rsidRPr="00A23740">
              <w:rPr>
                <w:szCs w:val="24"/>
                <w:lang w:eastAsia="tr-TR"/>
              </w:rPr>
              <w:t xml:space="preserve"> kesindir.</w:t>
            </w:r>
          </w:p>
          <w:p w:rsidR="00881BAF" w:rsidRPr="00A23740" w:rsidRDefault="00881BAF" w:rsidP="009431FF">
            <w:pPr>
              <w:tabs>
                <w:tab w:val="left" w:pos="567"/>
              </w:tabs>
              <w:rPr>
                <w:rFonts w:eastAsia="Times New Roman"/>
                <w:color w:val="000000"/>
                <w:szCs w:val="24"/>
                <w:lang w:eastAsia="tr-TR"/>
              </w:rPr>
            </w:pPr>
          </w:p>
          <w:p w:rsidR="00881BAF" w:rsidRPr="00A23740" w:rsidRDefault="00881BAF" w:rsidP="009431FF">
            <w:pPr>
              <w:rPr>
                <w:rFonts w:eastAsia="Times New Roman"/>
                <w:szCs w:val="24"/>
                <w:lang w:eastAsia="tr-TR"/>
              </w:rPr>
            </w:pPr>
            <w:r w:rsidRPr="00A23740">
              <w:rPr>
                <w:rFonts w:eastAsia="Times New Roman"/>
                <w:b/>
                <w:color w:val="FF0000"/>
                <w:szCs w:val="24"/>
              </w:rPr>
              <w:t>(11)</w:t>
            </w:r>
            <w:r w:rsidRPr="00A23740">
              <w:rPr>
                <w:rFonts w:eastAsia="Times New Roman"/>
                <w:szCs w:val="24"/>
                <w:lang w:eastAsia="tr-TR"/>
              </w:rPr>
              <w:t xml:space="preserve"> İhalenin </w:t>
            </w:r>
            <w:r w:rsidRPr="00A23740">
              <w:rPr>
                <w:rStyle w:val="KIRMIZIChar"/>
                <w:rFonts w:eastAsia="Calibri"/>
              </w:rPr>
              <w:t>feshini şikayet yolu ile</w:t>
            </w:r>
            <w:r w:rsidRPr="00A23740">
              <w:rPr>
                <w:rFonts w:eastAsia="Times New Roman"/>
                <w:szCs w:val="24"/>
                <w:lang w:eastAsia="tr-TR"/>
              </w:rPr>
              <w:t xml:space="preserve"> talep eden ilgili, vak</w:t>
            </w:r>
            <w:r w:rsidRPr="00A23740">
              <w:rPr>
                <w:rStyle w:val="KIRMIZIChar"/>
                <w:rFonts w:eastAsia="Calibri"/>
              </w:rPr>
              <w:t>ı</w:t>
            </w:r>
            <w:r w:rsidRPr="00A23740">
              <w:rPr>
                <w:rFonts w:eastAsia="Times New Roman"/>
                <w:szCs w:val="24"/>
                <w:lang w:eastAsia="tr-TR"/>
              </w:rPr>
              <w:t xml:space="preserve"> yolsuzluk </w:t>
            </w:r>
            <w:r w:rsidRPr="00A23740">
              <w:rPr>
                <w:rStyle w:val="KIRMIZIChar"/>
                <w:rFonts w:eastAsia="Calibri"/>
              </w:rPr>
              <w:t>neticesinde kendi menfaatlerinin muhtel olduğunu</w:t>
            </w:r>
            <w:r w:rsidRPr="00A23740">
              <w:rPr>
                <w:rStyle w:val="KIRMIZIChar"/>
                <w:rFonts w:eastAsia="Calibri"/>
                <w:strike w:val="0"/>
              </w:rPr>
              <w:t xml:space="preserve"> </w:t>
            </w:r>
            <w:r w:rsidRPr="00A23740">
              <w:t>ispat</w:t>
            </w:r>
            <w:r w:rsidRPr="00A23740">
              <w:rPr>
                <w:rStyle w:val="KIRMIZIChar"/>
                <w:rFonts w:eastAsia="Calibri"/>
              </w:rPr>
              <w:t>a mecburdur</w:t>
            </w:r>
            <w:r w:rsidRPr="00A23740">
              <w:t>.</w:t>
            </w:r>
          </w:p>
          <w:p w:rsidR="00881BAF" w:rsidRPr="00A23740" w:rsidRDefault="00881BAF" w:rsidP="009431FF">
            <w:pPr>
              <w:tabs>
                <w:tab w:val="left" w:pos="567"/>
              </w:tabs>
              <w:rPr>
                <w:rFonts w:eastAsia="Times New Roman"/>
                <w:color w:val="000000"/>
                <w:szCs w:val="24"/>
                <w:lang w:eastAsia="tr-TR"/>
              </w:rPr>
            </w:pPr>
          </w:p>
          <w:p w:rsidR="00881BAF" w:rsidRPr="00A23740" w:rsidRDefault="00881BAF" w:rsidP="009431FF">
            <w:pPr>
              <w:tabs>
                <w:tab w:val="left" w:pos="567"/>
              </w:tabs>
              <w:rPr>
                <w:lang w:eastAsia="tr-TR"/>
              </w:rPr>
            </w:pPr>
            <w:r w:rsidRPr="00A23740">
              <w:rPr>
                <w:rFonts w:eastAsia="Times New Roman"/>
                <w:b/>
                <w:color w:val="FF0000"/>
                <w:szCs w:val="24"/>
              </w:rPr>
              <w:t>(5)</w:t>
            </w:r>
            <w:r w:rsidRPr="00A23740">
              <w:rPr>
                <w:rFonts w:eastAsia="Times New Roman"/>
                <w:color w:val="000000"/>
                <w:szCs w:val="24"/>
                <w:lang w:eastAsia="tr-TR"/>
              </w:rPr>
              <w:t xml:space="preserve"> </w:t>
            </w:r>
            <w:r w:rsidRPr="00A23740">
              <w:rPr>
                <w:rStyle w:val="KIRMIZIChar"/>
                <w:rFonts w:eastAsia="Calibri"/>
              </w:rPr>
              <w:t xml:space="preserve">(Ek fıkra:24/11/2021-7343/27 md.) </w:t>
            </w:r>
            <w:r w:rsidRPr="00A23740">
              <w:rPr>
                <w:rFonts w:eastAsia="Times New Roman"/>
                <w:color w:val="000000"/>
                <w:szCs w:val="24"/>
                <w:lang w:eastAsia="tr-TR"/>
              </w:rPr>
              <w:t xml:space="preserve">İhalenin </w:t>
            </w:r>
            <w:r w:rsidRPr="00A23740">
              <w:rPr>
                <w:rStyle w:val="KIRMIZIChar"/>
                <w:rFonts w:eastAsia="Calibri"/>
              </w:rPr>
              <w:t>feshi</w:t>
            </w:r>
            <w:r w:rsidRPr="00A23740">
              <w:rPr>
                <w:rFonts w:eastAsia="Times New Roman"/>
                <w:color w:val="000000"/>
                <w:szCs w:val="24"/>
                <w:lang w:eastAsia="tr-TR"/>
              </w:rPr>
              <w:t xml:space="preserve"> talebi üzerine icra mahkemesi </w:t>
            </w:r>
            <w:r w:rsidRPr="00A23740">
              <w:rPr>
                <w:rStyle w:val="KIRMIZIChar"/>
                <w:rFonts w:eastAsia="Calibri"/>
              </w:rPr>
              <w:t>talep tarihinden itibaren yirmi gün içinde</w:t>
            </w:r>
            <w:r w:rsidRPr="00A23740">
              <w:rPr>
                <w:rFonts w:eastAsia="Times New Roman"/>
                <w:color w:val="000000"/>
                <w:szCs w:val="24"/>
                <w:lang w:eastAsia="tr-TR"/>
              </w:rPr>
              <w:t xml:space="preserve"> duruşma </w:t>
            </w:r>
            <w:r w:rsidRPr="00A23740">
              <w:rPr>
                <w:rStyle w:val="KIRMIZIChar"/>
                <w:rFonts w:eastAsia="Calibri"/>
              </w:rPr>
              <w:t>yapar</w:t>
            </w:r>
            <w:r w:rsidRPr="00A23740">
              <w:rPr>
                <w:rFonts w:eastAsia="Times New Roman"/>
                <w:color w:val="000000"/>
                <w:szCs w:val="24"/>
                <w:lang w:eastAsia="tr-TR"/>
              </w:rPr>
              <w:t xml:space="preserve"> ve taraflar gelmeseler bile </w:t>
            </w:r>
            <w:r w:rsidRPr="00A23740">
              <w:rPr>
                <w:rStyle w:val="KIRMIZIChar"/>
                <w:rFonts w:eastAsia="Calibri"/>
              </w:rPr>
              <w:t>icap eden</w:t>
            </w:r>
            <w:r w:rsidRPr="00A23740">
              <w:rPr>
                <w:rFonts w:eastAsia="Times New Roman"/>
                <w:color w:val="000000"/>
                <w:szCs w:val="24"/>
                <w:lang w:eastAsia="tr-TR"/>
              </w:rPr>
              <w:t xml:space="preserve"> kararı verir. </w:t>
            </w:r>
            <w:r w:rsidRPr="00A23740">
              <w:t xml:space="preserve">Ancak </w:t>
            </w:r>
            <w:r w:rsidRPr="00A23740">
              <w:rPr>
                <w:rStyle w:val="KIRMIZIChar"/>
                <w:rFonts w:eastAsia="Calibri"/>
              </w:rPr>
              <w:t>ihalenin feshi talebinin</w:t>
            </w:r>
            <w:r w:rsidRPr="00A23740">
              <w:t xml:space="preserve"> usulden reddi gereken hallerde duruşma yapılmadan </w:t>
            </w:r>
            <w:r w:rsidRPr="00A23740">
              <w:rPr>
                <w:rStyle w:val="KIRMIZIChar"/>
                <w:rFonts w:eastAsia="Calibri"/>
              </w:rPr>
              <w:t>da</w:t>
            </w:r>
            <w:r w:rsidRPr="00A23740">
              <w:t xml:space="preserve"> karar verilebilir. </w:t>
            </w:r>
            <w:r w:rsidRPr="00A23740">
              <w:rPr>
                <w:lang w:eastAsia="tr-TR"/>
              </w:rPr>
              <w:t>İcra mahkemesi;</w:t>
            </w:r>
          </w:p>
          <w:p w:rsidR="00881BAF" w:rsidRPr="00A23740" w:rsidRDefault="00881BAF" w:rsidP="009431FF">
            <w:pPr>
              <w:pStyle w:val="KIRMIZI"/>
            </w:pPr>
            <w:r w:rsidRPr="00A23740">
              <w:t>1. Satış isteyen alacaklı, borçlu, mahcuzun resmi sicilinde kayıtlı olan ilgililer ve sınırlı ayni hak sahipleri ile pey sürmek suretiyle ihaleye iştirak edenler dışında kalan kişilerce talep edilmesi nedeniyle,</w:t>
            </w:r>
          </w:p>
          <w:p w:rsidR="00881BAF" w:rsidRPr="00A23740" w:rsidRDefault="00881BAF" w:rsidP="009431FF">
            <w:pPr>
              <w:pStyle w:val="KIRMIZI"/>
            </w:pPr>
            <w:r w:rsidRPr="00A23740">
              <w:t>2. Satış isteyen alacaklı, borçlu, mahcuzun resmi sicilinde kayıtlı olan ilgililer ve sınırlı ayni hak sahipleri dışında kalan kişiler bakımından feragat nedeniyle,</w:t>
            </w:r>
          </w:p>
          <w:p w:rsidR="00881BAF" w:rsidRPr="00A23740" w:rsidRDefault="00881BAF" w:rsidP="009431FF">
            <w:pPr>
              <w:pStyle w:val="KIRMIZI"/>
            </w:pPr>
            <w:r w:rsidRPr="00A23740">
              <w:t>3.İşin esasına girerek,</w:t>
            </w:r>
          </w:p>
          <w:p w:rsidR="00881BAF" w:rsidRPr="00A23740" w:rsidRDefault="00881BAF" w:rsidP="009431FF">
            <w:pPr>
              <w:rPr>
                <w:rFonts w:eastAsia="Times New Roman"/>
                <w:color w:val="000000"/>
                <w:szCs w:val="24"/>
                <w:lang w:eastAsia="tr-TR"/>
              </w:rPr>
            </w:pPr>
            <w:r w:rsidRPr="00A23740">
              <w:rPr>
                <w:rStyle w:val="KIRMIZIChar"/>
                <w:rFonts w:eastAsia="Calibri"/>
              </w:rPr>
              <w:t>talebin reddine karar verirse ihalenin feshini talep edeni feshi istenilen</w:t>
            </w:r>
            <w:r w:rsidRPr="00A23740">
              <w:rPr>
                <w:color w:val="000000"/>
                <w:lang w:eastAsia="tr-TR"/>
              </w:rPr>
              <w:t xml:space="preserve"> ihale bedelinin yüzde </w:t>
            </w:r>
            <w:r w:rsidRPr="00A23740">
              <w:rPr>
                <w:lang w:eastAsia="tr-TR"/>
              </w:rPr>
              <w:t xml:space="preserve">onuna kadar </w:t>
            </w:r>
            <w:r w:rsidRPr="00A23740">
              <w:rPr>
                <w:color w:val="000000"/>
                <w:lang w:eastAsia="tr-TR"/>
              </w:rPr>
              <w:t>para cezasına mahkûm eder.</w:t>
            </w:r>
          </w:p>
          <w:p w:rsidR="00881BAF" w:rsidRPr="00A23740" w:rsidRDefault="00881BAF" w:rsidP="009431FF">
            <w:pPr>
              <w:tabs>
                <w:tab w:val="left" w:pos="567"/>
              </w:tabs>
              <w:rPr>
                <w:rFonts w:eastAsia="Times New Roman"/>
                <w:color w:val="000000"/>
                <w:szCs w:val="24"/>
                <w:lang w:eastAsia="tr-TR"/>
              </w:rPr>
            </w:pPr>
          </w:p>
          <w:p w:rsidR="00881BAF" w:rsidRPr="00A23740" w:rsidRDefault="00881BAF" w:rsidP="009431FF">
            <w:pPr>
              <w:tabs>
                <w:tab w:val="left" w:pos="567"/>
              </w:tabs>
              <w:rPr>
                <w:rStyle w:val="KIRMIZIChar"/>
                <w:rFonts w:eastAsia="Calibri"/>
              </w:rPr>
            </w:pPr>
            <w:r w:rsidRPr="00A23740">
              <w:rPr>
                <w:rFonts w:eastAsia="Times New Roman"/>
                <w:b/>
                <w:color w:val="FF0000"/>
                <w:szCs w:val="24"/>
                <w:lang w:eastAsia="tr-TR"/>
              </w:rPr>
              <w:t>(6)</w:t>
            </w:r>
            <w:r w:rsidRPr="00A23740">
              <w:rPr>
                <w:rFonts w:eastAsia="Times New Roman"/>
                <w:szCs w:val="24"/>
                <w:lang w:eastAsia="tr-TR"/>
              </w:rPr>
              <w:t xml:space="preserve"> </w:t>
            </w:r>
            <w:r w:rsidRPr="00A23740">
              <w:rPr>
                <w:rStyle w:val="KIRMIZIChar"/>
                <w:rFonts w:eastAsia="Calibri"/>
              </w:rPr>
              <w:t>(Ek fıkra: 21/2/2007-5582/4 md.) 2499 sayılı Sermaye Piyasası Kanununun 38/A maddesinin birinci fıkrasında tanımlanan konut finansmanından kaynaklanan alacaklar ile Toplu Konut İdaresi Başkanlığının rehinle temin edilmiş alacaklarının takibinde, beşinci fıkrada yer alan oran yüzde yirmi olarak uygulanır.</w:t>
            </w:r>
          </w:p>
          <w:p w:rsidR="00881BAF" w:rsidRPr="00A23740" w:rsidRDefault="00881BAF" w:rsidP="009431FF">
            <w:pPr>
              <w:tabs>
                <w:tab w:val="left" w:pos="567"/>
              </w:tabs>
              <w:rPr>
                <w:rFonts w:eastAsia="Times New Roman"/>
                <w:szCs w:val="24"/>
                <w:lang w:eastAsia="tr-TR"/>
              </w:rPr>
            </w:pPr>
          </w:p>
        </w:tc>
        <w:tc>
          <w:tcPr>
            <w:tcW w:w="2500" w:type="pct"/>
          </w:tcPr>
          <w:p w:rsidR="00881BAF" w:rsidRPr="00A23740" w:rsidRDefault="00881BAF" w:rsidP="009431FF">
            <w:pPr>
              <w:rPr>
                <w:b/>
                <w:bCs/>
                <w:color w:val="0000FF"/>
                <w:szCs w:val="24"/>
                <w:lang w:eastAsia="x-none"/>
              </w:rPr>
            </w:pPr>
            <w:r w:rsidRPr="00A23740">
              <w:rPr>
                <w:rFonts w:eastAsia="Times New Roman"/>
                <w:b/>
                <w:szCs w:val="24"/>
                <w:lang w:eastAsia="tr-TR"/>
              </w:rPr>
              <w:t xml:space="preserve">İhalenin </w:t>
            </w:r>
            <w:r w:rsidRPr="00A23740">
              <w:rPr>
                <w:rStyle w:val="MaviChar"/>
              </w:rPr>
              <w:t>iptalinin usulü ve sonuçları</w:t>
            </w:r>
          </w:p>
          <w:p w:rsidR="00881BAF" w:rsidRPr="00A23740" w:rsidRDefault="00AB4F56" w:rsidP="009431FF">
            <w:pPr>
              <w:tabs>
                <w:tab w:val="left" w:pos="567"/>
              </w:tabs>
              <w:rPr>
                <w:szCs w:val="24"/>
                <w:lang w:eastAsia="tr-TR"/>
              </w:rPr>
            </w:pPr>
            <w:r w:rsidRPr="00A23740">
              <w:rPr>
                <w:b/>
                <w:bCs/>
                <w:color w:val="0000FF"/>
                <w:szCs w:val="24"/>
                <w:lang w:eastAsia="x-none"/>
              </w:rPr>
              <w:t>MADDE 25</w:t>
            </w:r>
            <w:r w:rsidR="00490C3E" w:rsidRPr="00A23740">
              <w:rPr>
                <w:b/>
                <w:bCs/>
                <w:color w:val="0000FF"/>
                <w:szCs w:val="24"/>
                <w:lang w:eastAsia="x-none"/>
              </w:rPr>
              <w:t>7</w:t>
            </w:r>
            <w:r w:rsidR="00881BAF" w:rsidRPr="00A23740">
              <w:rPr>
                <w:b/>
                <w:bCs/>
                <w:color w:val="0000FF"/>
                <w:szCs w:val="24"/>
                <w:lang w:eastAsia="x-none"/>
              </w:rPr>
              <w:t>- (1)</w:t>
            </w:r>
            <w:r w:rsidR="00881BAF" w:rsidRPr="00A23740">
              <w:rPr>
                <w:rFonts w:eastAsia="Times New Roman"/>
                <w:szCs w:val="24"/>
                <w:lang w:eastAsia="tr-TR"/>
              </w:rPr>
              <w:t xml:space="preserve"> </w:t>
            </w:r>
            <w:r w:rsidR="00881BAF" w:rsidRPr="00A23740">
              <w:rPr>
                <w:szCs w:val="24"/>
                <w:lang w:eastAsia="tr-TR"/>
              </w:rPr>
              <w:t xml:space="preserve">İhalenin </w:t>
            </w:r>
            <w:r w:rsidR="00881BAF" w:rsidRPr="00A23740">
              <w:rPr>
                <w:rStyle w:val="MaviChar"/>
              </w:rPr>
              <w:t>iptaline</w:t>
            </w:r>
            <w:r w:rsidR="00881BAF" w:rsidRPr="00A23740">
              <w:rPr>
                <w:szCs w:val="24"/>
                <w:lang w:eastAsia="tr-TR"/>
              </w:rPr>
              <w:t xml:space="preserve"> ilişkin şikâyet görevsiz veya yetkisiz mahkemeye yapılırsa, mahkeme evrak üzerinde inceleme yaparak başvuru tarihinden itibaren en geç </w:t>
            </w:r>
            <w:r w:rsidR="00881BAF" w:rsidRPr="00A23740">
              <w:rPr>
                <w:rStyle w:val="MaviChar"/>
              </w:rPr>
              <w:t>bir hafta</w:t>
            </w:r>
            <w:r w:rsidR="00881BAF" w:rsidRPr="00A23740">
              <w:rPr>
                <w:szCs w:val="24"/>
                <w:lang w:eastAsia="tr-TR"/>
              </w:rPr>
              <w:t xml:space="preserve"> içinde görevsizlik veya yetkisizlik kararı </w:t>
            </w:r>
            <w:r w:rsidR="00881BAF" w:rsidRPr="00A23740">
              <w:t xml:space="preserve">verir ve </w:t>
            </w:r>
            <w:r w:rsidR="00881BAF" w:rsidRPr="00A23740">
              <w:rPr>
                <w:rStyle w:val="MaviChar"/>
              </w:rPr>
              <w:t>giderini</w:t>
            </w:r>
            <w:r w:rsidR="0089465A" w:rsidRPr="00A23740">
              <w:rPr>
                <w:rStyle w:val="MaviChar"/>
                <w:lang w:val="tr-TR"/>
              </w:rPr>
              <w:t>,</w:t>
            </w:r>
            <w:r w:rsidR="00881BAF" w:rsidRPr="00A23740">
              <w:t xml:space="preserve"> gider avansından karşılamak suretiyle dosyayı resen görevli ve yetkili icra </w:t>
            </w:r>
            <w:r w:rsidR="00881BAF" w:rsidRPr="00A23740">
              <w:rPr>
                <w:rStyle w:val="MaviChar"/>
              </w:rPr>
              <w:t>hukuk</w:t>
            </w:r>
            <w:r w:rsidR="00881BAF" w:rsidRPr="00A23740">
              <w:t xml:space="preserve"> mahkemesine gönderir. Bu</w:t>
            </w:r>
            <w:r w:rsidR="00881BAF" w:rsidRPr="00A23740">
              <w:rPr>
                <w:szCs w:val="24"/>
                <w:lang w:eastAsia="tr-TR"/>
              </w:rPr>
              <w:t xml:space="preserve"> karar kesindir.</w:t>
            </w:r>
          </w:p>
          <w:p w:rsidR="00881BAF" w:rsidRPr="00A23740" w:rsidRDefault="00881BAF" w:rsidP="009431FF">
            <w:pPr>
              <w:tabs>
                <w:tab w:val="left" w:pos="567"/>
              </w:tabs>
              <w:rPr>
                <w:szCs w:val="24"/>
                <w:lang w:eastAsia="tr-TR"/>
              </w:rPr>
            </w:pPr>
          </w:p>
          <w:p w:rsidR="008708C2" w:rsidRDefault="008708C2" w:rsidP="009431FF">
            <w:pPr>
              <w:tabs>
                <w:tab w:val="left" w:pos="567"/>
              </w:tabs>
              <w:rPr>
                <w:szCs w:val="24"/>
                <w:lang w:eastAsia="tr-TR"/>
              </w:rPr>
            </w:pPr>
          </w:p>
          <w:p w:rsidR="0016377F" w:rsidRPr="00A23740" w:rsidRDefault="0016377F" w:rsidP="009431FF">
            <w:pPr>
              <w:tabs>
                <w:tab w:val="left" w:pos="567"/>
              </w:tabs>
              <w:rPr>
                <w:szCs w:val="24"/>
                <w:lang w:eastAsia="tr-TR"/>
              </w:rPr>
            </w:pPr>
          </w:p>
          <w:p w:rsidR="00881BAF" w:rsidRPr="00A23740" w:rsidRDefault="00881BAF" w:rsidP="009431FF">
            <w:pPr>
              <w:tabs>
                <w:tab w:val="left" w:pos="567"/>
              </w:tabs>
            </w:pPr>
            <w:r w:rsidRPr="00A23740">
              <w:rPr>
                <w:rFonts w:eastAsia="Times New Roman"/>
                <w:b/>
                <w:color w:val="0000FF"/>
                <w:szCs w:val="24"/>
                <w:lang w:eastAsia="tr-TR"/>
              </w:rPr>
              <w:t>(2)</w:t>
            </w:r>
            <w:r w:rsidRPr="00A23740">
              <w:rPr>
                <w:rFonts w:eastAsia="Times New Roman"/>
                <w:szCs w:val="24"/>
                <w:lang w:eastAsia="tr-TR"/>
              </w:rPr>
              <w:t xml:space="preserve"> </w:t>
            </w:r>
            <w:r w:rsidRPr="00A23740">
              <w:t xml:space="preserve">İhalenin </w:t>
            </w:r>
            <w:r w:rsidRPr="00A23740">
              <w:rPr>
                <w:rStyle w:val="MaviChar"/>
              </w:rPr>
              <w:t>iptalini</w:t>
            </w:r>
            <w:r w:rsidRPr="00A23740">
              <w:t xml:space="preserve"> talep eden ilgili, </w:t>
            </w:r>
            <w:r w:rsidRPr="00A23740">
              <w:rPr>
                <w:rStyle w:val="MaviChar"/>
              </w:rPr>
              <w:t>gerçekleşen</w:t>
            </w:r>
            <w:r w:rsidRPr="00A23740">
              <w:t xml:space="preserve"> yolsuzluk </w:t>
            </w:r>
            <w:r w:rsidRPr="00A23740">
              <w:rPr>
                <w:rStyle w:val="MaviChar"/>
              </w:rPr>
              <w:t xml:space="preserve">nedeniyle hukuki yararının ihlal edildiğini </w:t>
            </w:r>
            <w:r w:rsidRPr="00A23740">
              <w:t xml:space="preserve">ispat </w:t>
            </w:r>
            <w:r w:rsidRPr="00A23740">
              <w:rPr>
                <w:rStyle w:val="MaviChar"/>
              </w:rPr>
              <w:t>etmek zorundadır</w:t>
            </w:r>
            <w:r w:rsidRPr="00A23740">
              <w:t>.</w:t>
            </w:r>
          </w:p>
          <w:p w:rsidR="00881BAF" w:rsidRPr="00A23740" w:rsidRDefault="00881BAF" w:rsidP="009431FF">
            <w:pPr>
              <w:tabs>
                <w:tab w:val="left" w:pos="567"/>
              </w:tabs>
              <w:rPr>
                <w:rFonts w:eastAsia="Times New Roman"/>
                <w:b/>
                <w:color w:val="0000FF"/>
                <w:szCs w:val="24"/>
                <w:lang w:eastAsia="tr-TR"/>
              </w:rPr>
            </w:pPr>
          </w:p>
          <w:p w:rsidR="00F85881" w:rsidRPr="00A23740" w:rsidRDefault="00F85881" w:rsidP="009431FF">
            <w:pPr>
              <w:tabs>
                <w:tab w:val="left" w:pos="567"/>
              </w:tabs>
              <w:rPr>
                <w:rFonts w:eastAsia="Times New Roman"/>
                <w:b/>
                <w:color w:val="0000FF"/>
                <w:szCs w:val="24"/>
                <w:lang w:eastAsia="tr-TR"/>
              </w:rPr>
            </w:pPr>
          </w:p>
          <w:p w:rsidR="00881BAF" w:rsidRPr="00A23740" w:rsidRDefault="00881BAF" w:rsidP="009431FF">
            <w:pPr>
              <w:tabs>
                <w:tab w:val="left" w:pos="567"/>
              </w:tabs>
              <w:rPr>
                <w:rStyle w:val="MaviChar"/>
              </w:rPr>
            </w:pPr>
            <w:r w:rsidRPr="00A23740">
              <w:rPr>
                <w:b/>
                <w:bCs/>
                <w:color w:val="0000FF"/>
                <w:szCs w:val="24"/>
                <w:lang w:eastAsia="x-none"/>
              </w:rPr>
              <w:t>(3)</w:t>
            </w:r>
            <w:r w:rsidRPr="00A23740">
              <w:rPr>
                <w:rFonts w:eastAsia="Times New Roman"/>
                <w:szCs w:val="24"/>
                <w:lang w:eastAsia="tr-TR"/>
              </w:rPr>
              <w:t xml:space="preserve"> İhalenin </w:t>
            </w:r>
            <w:r w:rsidRPr="00A23740">
              <w:rPr>
                <w:rStyle w:val="MaviChar"/>
              </w:rPr>
              <w:t>iptali</w:t>
            </w:r>
            <w:r w:rsidRPr="00A23740">
              <w:rPr>
                <w:rFonts w:eastAsia="Times New Roman"/>
                <w:szCs w:val="24"/>
                <w:lang w:eastAsia="tr-TR"/>
              </w:rPr>
              <w:t xml:space="preserve"> talebi üzerine icra </w:t>
            </w:r>
            <w:r w:rsidRPr="00A23740">
              <w:rPr>
                <w:rStyle w:val="MaviChar"/>
              </w:rPr>
              <w:t>hukuk</w:t>
            </w:r>
            <w:r w:rsidRPr="00A23740">
              <w:rPr>
                <w:rFonts w:eastAsia="Times New Roman"/>
                <w:szCs w:val="24"/>
                <w:lang w:eastAsia="tr-TR"/>
              </w:rPr>
              <w:t xml:space="preserve"> mahkemesi</w:t>
            </w:r>
            <w:r w:rsidR="00AB4F56" w:rsidRPr="0057633D">
              <w:rPr>
                <w:rStyle w:val="YELChar"/>
                <w:color w:val="0000FF"/>
              </w:rPr>
              <w:t>,</w:t>
            </w:r>
            <w:r w:rsidRPr="00A23740">
              <w:rPr>
                <w:rFonts w:eastAsia="Times New Roman"/>
                <w:szCs w:val="24"/>
                <w:lang w:eastAsia="tr-TR"/>
              </w:rPr>
              <w:t xml:space="preserve"> </w:t>
            </w:r>
            <w:r w:rsidRPr="00A23740">
              <w:rPr>
                <w:rStyle w:val="MaviChar"/>
              </w:rPr>
              <w:t>genel hükümlere göre yargılama yapar</w:t>
            </w:r>
            <w:r w:rsidR="00AB4F56" w:rsidRPr="00D26970">
              <w:rPr>
                <w:rStyle w:val="MaviChar"/>
              </w:rPr>
              <w:t>;</w:t>
            </w:r>
            <w:r w:rsidRPr="00A23740">
              <w:rPr>
                <w:rFonts w:eastAsia="Times New Roman"/>
                <w:szCs w:val="24"/>
                <w:lang w:eastAsia="tr-TR"/>
              </w:rPr>
              <w:t xml:space="preserve"> duruşma </w:t>
            </w:r>
            <w:r w:rsidRPr="00A23740">
              <w:rPr>
                <w:rFonts w:eastAsia="Times New Roman"/>
                <w:b/>
                <w:color w:val="0000FF"/>
                <w:szCs w:val="24"/>
                <w:lang w:eastAsia="tr-TR"/>
              </w:rPr>
              <w:t>açar</w:t>
            </w:r>
            <w:r w:rsidRPr="00A23740">
              <w:rPr>
                <w:rFonts w:eastAsia="Times New Roman"/>
                <w:szCs w:val="24"/>
                <w:lang w:eastAsia="tr-TR"/>
              </w:rPr>
              <w:t xml:space="preserve"> ve taraflar gelmeseler bile </w:t>
            </w:r>
            <w:r w:rsidRPr="00A23740">
              <w:rPr>
                <w:rStyle w:val="MaviChar"/>
              </w:rPr>
              <w:t>gerekli</w:t>
            </w:r>
            <w:r w:rsidRPr="00A23740">
              <w:rPr>
                <w:rFonts w:eastAsia="Times New Roman"/>
                <w:szCs w:val="24"/>
                <w:lang w:eastAsia="tr-TR"/>
              </w:rPr>
              <w:t xml:space="preserve"> kararı verir. </w:t>
            </w:r>
            <w:r w:rsidRPr="00A23740">
              <w:t xml:space="preserve">Ancak </w:t>
            </w:r>
            <w:r w:rsidR="00AB4F56" w:rsidRPr="00A23740">
              <w:rPr>
                <w:rStyle w:val="MaviChar"/>
              </w:rPr>
              <w:t>şik</w:t>
            </w:r>
            <w:r w:rsidR="00AB4F56" w:rsidRPr="00A23740">
              <w:rPr>
                <w:rStyle w:val="MaviChar"/>
                <w:lang w:val="tr-TR"/>
              </w:rPr>
              <w:t>â</w:t>
            </w:r>
            <w:r w:rsidRPr="00A23740">
              <w:rPr>
                <w:rStyle w:val="MaviChar"/>
              </w:rPr>
              <w:t>yetin</w:t>
            </w:r>
            <w:r w:rsidRPr="00A23740">
              <w:t xml:space="preserve"> usulden reddi gereken h</w:t>
            </w:r>
            <w:r w:rsidR="00C224B4" w:rsidRPr="00A23740">
              <w:t>â</w:t>
            </w:r>
            <w:r w:rsidRPr="00A23740">
              <w:t>llerde duruşma yapılmadan karar verilebilir.</w:t>
            </w:r>
          </w:p>
          <w:p w:rsidR="00881BAF" w:rsidRDefault="00881BAF" w:rsidP="009431FF">
            <w:pPr>
              <w:tabs>
                <w:tab w:val="left" w:pos="567"/>
              </w:tabs>
              <w:rPr>
                <w:rStyle w:val="MaviChar"/>
              </w:rPr>
            </w:pPr>
          </w:p>
          <w:p w:rsidR="0057633D" w:rsidRDefault="0057633D" w:rsidP="009431FF">
            <w:pPr>
              <w:tabs>
                <w:tab w:val="left" w:pos="567"/>
              </w:tabs>
              <w:rPr>
                <w:rStyle w:val="MaviChar"/>
              </w:rPr>
            </w:pPr>
          </w:p>
          <w:p w:rsidR="0057633D" w:rsidRDefault="0057633D" w:rsidP="009431FF">
            <w:pPr>
              <w:tabs>
                <w:tab w:val="left" w:pos="567"/>
              </w:tabs>
              <w:rPr>
                <w:rStyle w:val="MaviChar"/>
              </w:rPr>
            </w:pPr>
          </w:p>
          <w:p w:rsidR="0057633D" w:rsidRDefault="0057633D" w:rsidP="009431FF">
            <w:pPr>
              <w:tabs>
                <w:tab w:val="left" w:pos="567"/>
              </w:tabs>
              <w:rPr>
                <w:rStyle w:val="MaviChar"/>
              </w:rPr>
            </w:pPr>
          </w:p>
          <w:p w:rsidR="0057633D" w:rsidRDefault="0057633D" w:rsidP="009431FF">
            <w:pPr>
              <w:tabs>
                <w:tab w:val="left" w:pos="567"/>
              </w:tabs>
              <w:rPr>
                <w:rStyle w:val="MaviChar"/>
              </w:rPr>
            </w:pPr>
          </w:p>
          <w:p w:rsidR="00881BAF" w:rsidRPr="00A23740" w:rsidRDefault="00881BAF" w:rsidP="009431FF">
            <w:pPr>
              <w:tabs>
                <w:tab w:val="left" w:pos="567"/>
              </w:tabs>
              <w:rPr>
                <w:rFonts w:eastAsia="Times New Roman"/>
                <w:b/>
                <w:color w:val="0000FF"/>
                <w:szCs w:val="24"/>
                <w:lang w:eastAsia="tr-TR"/>
              </w:rPr>
            </w:pPr>
            <w:r w:rsidRPr="00A23740">
              <w:rPr>
                <w:rStyle w:val="MaviChar"/>
              </w:rPr>
              <w:t>(4) İşin esasına girilerek ihalenin iptali talebinin reddine karar verilmesi veya bu talepten feragat edilmesi h</w:t>
            </w:r>
            <w:r w:rsidR="00C224B4" w:rsidRPr="00A23740">
              <w:rPr>
                <w:rStyle w:val="MaviChar"/>
                <w:lang w:val="tr-TR"/>
              </w:rPr>
              <w:t>â</w:t>
            </w:r>
            <w:r w:rsidRPr="00A23740">
              <w:rPr>
                <w:rStyle w:val="MaviChar"/>
              </w:rPr>
              <w:t xml:space="preserve">linde, </w:t>
            </w:r>
            <w:r w:rsidRPr="00A23740">
              <w:rPr>
                <w:rFonts w:eastAsia="Times New Roman"/>
                <w:szCs w:val="24"/>
                <w:lang w:eastAsia="tr-TR"/>
              </w:rPr>
              <w:t xml:space="preserve">icra </w:t>
            </w:r>
            <w:r w:rsidRPr="00A23740">
              <w:rPr>
                <w:rStyle w:val="MaviChar"/>
              </w:rPr>
              <w:t>hukuk</w:t>
            </w:r>
            <w:r w:rsidRPr="00A23740">
              <w:rPr>
                <w:rFonts w:eastAsia="Times New Roman"/>
                <w:szCs w:val="24"/>
                <w:lang w:eastAsia="tr-TR"/>
              </w:rPr>
              <w:t xml:space="preserve"> mahkemesi</w:t>
            </w:r>
            <w:r w:rsidR="002C2EF1" w:rsidRPr="00A23740">
              <w:rPr>
                <w:rStyle w:val="MaviChar"/>
              </w:rPr>
              <w:t>,</w:t>
            </w:r>
            <w:r w:rsidRPr="00A23740">
              <w:rPr>
                <w:rFonts w:eastAsia="Times New Roman"/>
                <w:szCs w:val="24"/>
                <w:lang w:eastAsia="tr-TR"/>
              </w:rPr>
              <w:t xml:space="preserve"> </w:t>
            </w:r>
            <w:r w:rsidR="00AB4F56" w:rsidRPr="00A23740">
              <w:rPr>
                <w:rStyle w:val="MaviChar"/>
              </w:rPr>
              <w:t>şik</w:t>
            </w:r>
            <w:r w:rsidR="00AB4F56" w:rsidRPr="00A23740">
              <w:rPr>
                <w:rStyle w:val="MaviChar"/>
                <w:lang w:val="tr-TR"/>
              </w:rPr>
              <w:t>â</w:t>
            </w:r>
            <w:r w:rsidRPr="00A23740">
              <w:rPr>
                <w:rStyle w:val="MaviChar"/>
              </w:rPr>
              <w:t>yet edeni</w:t>
            </w:r>
            <w:r w:rsidR="002C2EF1" w:rsidRPr="00A23740">
              <w:rPr>
                <w:rStyle w:val="MaviChar"/>
                <w:lang w:val="tr-TR"/>
              </w:rPr>
              <w:t>,</w:t>
            </w:r>
            <w:r w:rsidRPr="00A23740">
              <w:rPr>
                <w:rStyle w:val="MaviChar"/>
              </w:rPr>
              <w:t xml:space="preserve"> iptali istenilen </w:t>
            </w:r>
            <w:r w:rsidRPr="00A23740">
              <w:t>ihale bedelinin yüzde onuna kadar</w:t>
            </w:r>
            <w:r w:rsidRPr="00A23740">
              <w:rPr>
                <w:rStyle w:val="MaviChar"/>
              </w:rPr>
              <w:t xml:space="preserve"> olmak ve</w:t>
            </w:r>
            <w:r w:rsidRPr="00A23740">
              <w:rPr>
                <w:rStyle w:val="MaviChar"/>
                <w:lang w:val="tr-TR"/>
              </w:rPr>
              <w:t xml:space="preserve"> </w:t>
            </w:r>
            <w:r w:rsidRPr="00A23740">
              <w:rPr>
                <w:rStyle w:val="MaviChar"/>
              </w:rPr>
              <w:t>genel bütçeye gelir kaydedilmek üzere</w:t>
            </w:r>
            <w:r w:rsidRPr="00A23740">
              <w:rPr>
                <w:rFonts w:eastAsia="Times New Roman"/>
                <w:szCs w:val="24"/>
                <w:lang w:eastAsia="tr-TR"/>
              </w:rPr>
              <w:t xml:space="preserve"> para cezasına mahkûm eder. </w:t>
            </w:r>
            <w:r w:rsidRPr="00A23740">
              <w:rPr>
                <w:rStyle w:val="MaviChar"/>
              </w:rPr>
              <w:t>Şik</w:t>
            </w:r>
            <w:r w:rsidR="00AB4F56" w:rsidRPr="00A23740">
              <w:rPr>
                <w:rStyle w:val="MaviChar"/>
                <w:lang w:val="tr-TR"/>
              </w:rPr>
              <w:t>â</w:t>
            </w:r>
            <w:r w:rsidRPr="00A23740">
              <w:rPr>
                <w:rStyle w:val="MaviChar"/>
              </w:rPr>
              <w:t>yet edenin ihalenin iptalini talep edebilecek kimselerden olmadığı gerekçesiyle şik</w:t>
            </w:r>
            <w:r w:rsidR="00AB4F56" w:rsidRPr="00A23740">
              <w:rPr>
                <w:rStyle w:val="MaviChar"/>
                <w:lang w:val="tr-TR"/>
              </w:rPr>
              <w:t>â</w:t>
            </w:r>
            <w:r w:rsidRPr="00A23740">
              <w:rPr>
                <w:rStyle w:val="MaviChar"/>
              </w:rPr>
              <w:t>yet isteminin reddine karar verilmesi h</w:t>
            </w:r>
            <w:r w:rsidR="00C224B4" w:rsidRPr="00A23740">
              <w:rPr>
                <w:rStyle w:val="MaviChar"/>
                <w:lang w:val="tr-TR"/>
              </w:rPr>
              <w:t>â</w:t>
            </w:r>
            <w:r w:rsidRPr="00A23740">
              <w:rPr>
                <w:rStyle w:val="MaviChar"/>
              </w:rPr>
              <w:t>linde de aynı şekilde para cezasına hükmedilir.</w:t>
            </w:r>
          </w:p>
          <w:p w:rsidR="00D366F6" w:rsidRPr="00A23740" w:rsidRDefault="00D366F6" w:rsidP="009431FF">
            <w:pPr>
              <w:tabs>
                <w:tab w:val="left" w:pos="567"/>
              </w:tabs>
              <w:rPr>
                <w:b/>
                <w:bCs/>
                <w:color w:val="0000FF"/>
                <w:szCs w:val="24"/>
                <w:lang w:eastAsia="x-none"/>
              </w:rPr>
            </w:pPr>
          </w:p>
          <w:p w:rsidR="00342D51" w:rsidRPr="00A23740" w:rsidRDefault="00342D51" w:rsidP="009431FF">
            <w:pPr>
              <w:tabs>
                <w:tab w:val="left" w:pos="567"/>
              </w:tabs>
              <w:rPr>
                <w:rFonts w:eastAsia="Times New Roman"/>
                <w:b/>
                <w:color w:val="0000FF"/>
                <w:szCs w:val="24"/>
                <w:lang w:eastAsia="tr-TR"/>
              </w:rPr>
            </w:pPr>
          </w:p>
          <w:p w:rsidR="00881BAF" w:rsidRPr="00A23740" w:rsidRDefault="00881BAF" w:rsidP="009431FF">
            <w:pPr>
              <w:pStyle w:val="MAV"/>
              <w:rPr>
                <w:u w:val="none"/>
                <w:lang w:val="tr-TR"/>
              </w:rPr>
            </w:pPr>
            <w:r w:rsidRPr="00A23740">
              <w:rPr>
                <w:u w:val="none"/>
                <w:lang w:val="tr-TR"/>
              </w:rPr>
              <w:t>(5) İhalenin iptali talebine ilişkin karar</w:t>
            </w:r>
            <w:r w:rsidRPr="0016377F">
              <w:rPr>
                <w:u w:val="none"/>
                <w:lang w:val="tr-TR"/>
              </w:rPr>
              <w:t>,</w:t>
            </w:r>
            <w:r w:rsidRPr="00A23740">
              <w:rPr>
                <w:u w:val="none"/>
                <w:lang w:val="tr-TR"/>
              </w:rPr>
              <w:t xml:space="preserve"> maddi anlamda kesin hüküm teşkil eder.</w:t>
            </w:r>
          </w:p>
          <w:p w:rsidR="00881BAF" w:rsidRPr="00A23740" w:rsidRDefault="00881BAF" w:rsidP="009431FF">
            <w:pPr>
              <w:pStyle w:val="KIRMIZI"/>
              <w:rPr>
                <w:strike w:val="0"/>
                <w:lang w:val="tr-TR"/>
              </w:rPr>
            </w:pPr>
          </w:p>
        </w:tc>
      </w:tr>
      <w:tr w:rsidR="00881BAF" w:rsidRPr="00A23740" w:rsidTr="009431FF">
        <w:tblPrEx>
          <w:tblLook w:val="01E0" w:firstRow="1" w:lastRow="1" w:firstColumn="1" w:lastColumn="1" w:noHBand="0" w:noVBand="0"/>
        </w:tblPrEx>
        <w:tc>
          <w:tcPr>
            <w:tcW w:w="5000" w:type="pct"/>
            <w:gridSpan w:val="2"/>
            <w:shd w:val="clear" w:color="auto" w:fill="DEEAF6"/>
          </w:tcPr>
          <w:p w:rsidR="001F5890" w:rsidRPr="0057633D" w:rsidRDefault="001F5890" w:rsidP="009431FF">
            <w:pPr>
              <w:ind w:firstLine="709"/>
              <w:rPr>
                <w:rFonts w:eastAsia="Times New Roman"/>
                <w:b/>
                <w:szCs w:val="24"/>
                <w:lang w:eastAsia="tr-TR"/>
              </w:rPr>
            </w:pPr>
          </w:p>
          <w:p w:rsidR="001F5890" w:rsidRPr="0057633D" w:rsidRDefault="001F5890" w:rsidP="009431FF">
            <w:pPr>
              <w:ind w:firstLine="709"/>
              <w:rPr>
                <w:bCs/>
                <w:szCs w:val="24"/>
                <w:lang w:eastAsia="x-none"/>
              </w:rPr>
            </w:pPr>
            <w:r w:rsidRPr="0057633D">
              <w:rPr>
                <w:rFonts w:eastAsia="Times New Roman"/>
                <w:b/>
                <w:szCs w:val="24"/>
                <w:lang w:eastAsia="tr-TR"/>
              </w:rPr>
              <w:t>MADDE</w:t>
            </w:r>
            <w:r w:rsidR="00881BAF" w:rsidRPr="0057633D">
              <w:rPr>
                <w:rFonts w:eastAsia="Times New Roman"/>
                <w:b/>
                <w:szCs w:val="24"/>
                <w:lang w:eastAsia="tr-TR"/>
              </w:rPr>
              <w:t xml:space="preserve"> 2</w:t>
            </w:r>
            <w:r w:rsidR="00AB4F56" w:rsidRPr="0057633D">
              <w:rPr>
                <w:rFonts w:eastAsia="Times New Roman"/>
                <w:b/>
                <w:szCs w:val="24"/>
                <w:lang w:eastAsia="tr-TR"/>
              </w:rPr>
              <w:t>5</w:t>
            </w:r>
            <w:r w:rsidR="00490C3E" w:rsidRPr="0057633D">
              <w:rPr>
                <w:rFonts w:eastAsia="Times New Roman"/>
                <w:b/>
                <w:szCs w:val="24"/>
                <w:lang w:eastAsia="tr-TR"/>
              </w:rPr>
              <w:t>7</w:t>
            </w:r>
            <w:r w:rsidR="00881BAF" w:rsidRPr="0057633D">
              <w:rPr>
                <w:rFonts w:eastAsia="Times New Roman"/>
                <w:b/>
                <w:szCs w:val="24"/>
                <w:lang w:eastAsia="tr-TR"/>
              </w:rPr>
              <w:t xml:space="preserve">- </w:t>
            </w:r>
            <w:r w:rsidRPr="0057633D">
              <w:rPr>
                <w:rFonts w:eastAsia="Times New Roman"/>
                <w:szCs w:val="24"/>
                <w:lang w:eastAsia="tr-TR"/>
              </w:rPr>
              <w:t xml:space="preserve">Maddeyle, </w:t>
            </w:r>
            <w:r w:rsidR="00881BAF" w:rsidRPr="0057633D">
              <w:rPr>
                <w:bCs/>
                <w:szCs w:val="24"/>
                <w:lang w:eastAsia="x-none"/>
              </w:rPr>
              <w:t>ihaleni</w:t>
            </w:r>
            <w:r w:rsidRPr="0057633D">
              <w:rPr>
                <w:bCs/>
                <w:szCs w:val="24"/>
                <w:lang w:eastAsia="x-none"/>
              </w:rPr>
              <w:t>n iptalinin usulü ve sonuçları düzenlenmektedir.</w:t>
            </w:r>
          </w:p>
          <w:p w:rsidR="008708C2" w:rsidRPr="0057633D" w:rsidRDefault="001F5890" w:rsidP="009431FF">
            <w:pPr>
              <w:ind w:firstLine="709"/>
              <w:rPr>
                <w:bCs/>
                <w:szCs w:val="24"/>
                <w:lang w:eastAsia="x-none"/>
              </w:rPr>
            </w:pPr>
            <w:r w:rsidRPr="0057633D">
              <w:rPr>
                <w:bCs/>
                <w:szCs w:val="24"/>
                <w:lang w:eastAsia="x-none"/>
              </w:rPr>
              <w:t>Birinci fıkraya göre</w:t>
            </w:r>
            <w:r w:rsidR="008708C2" w:rsidRPr="0057633D">
              <w:rPr>
                <w:bCs/>
                <w:szCs w:val="24"/>
                <w:lang w:eastAsia="x-none"/>
              </w:rPr>
              <w:t>,</w:t>
            </w:r>
            <w:r w:rsidRPr="0057633D">
              <w:rPr>
                <w:bCs/>
                <w:szCs w:val="24"/>
                <w:lang w:eastAsia="x-none"/>
              </w:rPr>
              <w:t xml:space="preserve"> ihalenin iptaline ilişkin şikâyet görevsiz veya yetkisiz mahkemeye yapılırsa, mahkeme evrak üzerinde inceleme yaparak başvuru tarihinden itibaren en geç bir hafta içinde görevsizlik veya yetkisizlik kararı verir ve giderini gider avansından karşılamak suretiyle dosyayı resen görevli ve yetkili icra hukuk mahkemesine gönderir. Bu karar kesindir.</w:t>
            </w:r>
            <w:r w:rsidR="008708C2" w:rsidRPr="0057633D">
              <w:rPr>
                <w:bCs/>
                <w:szCs w:val="24"/>
                <w:lang w:eastAsia="x-none"/>
              </w:rPr>
              <w:t xml:space="preserve"> Fıkra, içerik olarak 2004 sayılı Kanunun 134 üncü maddesinin yedinci fıkrasına karşılık gelmektedir. U</w:t>
            </w:r>
            <w:r w:rsidR="00881BAF" w:rsidRPr="0057633D">
              <w:rPr>
                <w:bCs/>
                <w:szCs w:val="24"/>
                <w:lang w:eastAsia="x-none"/>
              </w:rPr>
              <w:t>ygulamada karşılaşıldığı üzere dosyanın görevsiz veya yetkisiz mahkemede gereksiz yere beklemesinin önüne geçilmesi ve ihalenin kesinleşme</w:t>
            </w:r>
            <w:r w:rsidR="00902E27" w:rsidRPr="0057633D">
              <w:rPr>
                <w:bCs/>
                <w:szCs w:val="24"/>
                <w:lang w:eastAsia="x-none"/>
              </w:rPr>
              <w:t>si</w:t>
            </w:r>
            <w:r w:rsidR="00881BAF" w:rsidRPr="0057633D">
              <w:rPr>
                <w:bCs/>
                <w:szCs w:val="24"/>
                <w:lang w:eastAsia="x-none"/>
              </w:rPr>
              <w:t xml:space="preserve"> sürecinin uzamasının engellenmesi gerekçeleriyle </w:t>
            </w:r>
            <w:r w:rsidR="008708C2" w:rsidRPr="0057633D">
              <w:rPr>
                <w:bCs/>
                <w:szCs w:val="24"/>
                <w:lang w:eastAsia="x-none"/>
              </w:rPr>
              <w:t xml:space="preserve">hüküm aynen </w:t>
            </w:r>
            <w:r w:rsidR="00AB4F56" w:rsidRPr="0057633D">
              <w:rPr>
                <w:rStyle w:val="YELChar"/>
                <w:b w:val="0"/>
                <w:color w:val="auto"/>
              </w:rPr>
              <w:t>korunmuş</w:t>
            </w:r>
            <w:r w:rsidR="00881BAF" w:rsidRPr="0057633D">
              <w:rPr>
                <w:bCs/>
                <w:szCs w:val="24"/>
                <w:lang w:eastAsia="x-none"/>
              </w:rPr>
              <w:t>; sadece on günlük karar verme süresi</w:t>
            </w:r>
            <w:r w:rsidR="00AB4F56" w:rsidRPr="0057633D">
              <w:rPr>
                <w:rStyle w:val="YELChar"/>
                <w:color w:val="auto"/>
              </w:rPr>
              <w:t>,</w:t>
            </w:r>
            <w:r w:rsidR="00881BAF" w:rsidRPr="0057633D">
              <w:rPr>
                <w:bCs/>
                <w:szCs w:val="24"/>
                <w:lang w:eastAsia="x-none"/>
              </w:rPr>
              <w:t xml:space="preserve"> </w:t>
            </w:r>
            <w:r w:rsidR="008708C2" w:rsidRPr="0057633D">
              <w:rPr>
                <w:bCs/>
                <w:szCs w:val="24"/>
                <w:lang w:eastAsia="x-none"/>
              </w:rPr>
              <w:t xml:space="preserve">yeknesaklığın sağlanması amacıyla </w:t>
            </w:r>
            <w:r w:rsidR="00881BAF" w:rsidRPr="0057633D">
              <w:rPr>
                <w:bCs/>
                <w:szCs w:val="24"/>
                <w:lang w:eastAsia="x-none"/>
              </w:rPr>
              <w:t xml:space="preserve">bir hafta olarak </w:t>
            </w:r>
            <w:r w:rsidR="00902E27" w:rsidRPr="0057633D">
              <w:rPr>
                <w:rStyle w:val="YELChar"/>
                <w:color w:val="auto"/>
              </w:rPr>
              <w:t xml:space="preserve"> </w:t>
            </w:r>
            <w:r w:rsidR="00902E27" w:rsidRPr="0057633D">
              <w:rPr>
                <w:rStyle w:val="YELChar"/>
                <w:b w:val="0"/>
                <w:color w:val="auto"/>
              </w:rPr>
              <w:t>değiştirilmiştir</w:t>
            </w:r>
            <w:r w:rsidR="008708C2" w:rsidRPr="0057633D">
              <w:rPr>
                <w:bCs/>
                <w:szCs w:val="24"/>
                <w:lang w:eastAsia="x-none"/>
              </w:rPr>
              <w:t>.</w:t>
            </w:r>
          </w:p>
          <w:p w:rsidR="008708C2" w:rsidRPr="0057633D" w:rsidRDefault="008708C2" w:rsidP="009431FF">
            <w:pPr>
              <w:ind w:firstLine="709"/>
              <w:rPr>
                <w:bCs/>
                <w:szCs w:val="24"/>
                <w:lang w:eastAsia="x-none"/>
              </w:rPr>
            </w:pPr>
            <w:r w:rsidRPr="0057633D">
              <w:rPr>
                <w:bCs/>
                <w:szCs w:val="24"/>
                <w:lang w:eastAsia="x-none"/>
              </w:rPr>
              <w:t>İkinci fıkraya göre, ihalenin iptalini talep eden ilgilinin, gerçekleşen yolsuzluk nedeniyle hukuki yararının ihlal edildiğini ispat etmek zorunda olduğu</w:t>
            </w:r>
            <w:r w:rsidR="00AB4F56" w:rsidRPr="0057633D">
              <w:rPr>
                <w:rStyle w:val="YELChar"/>
                <w:b w:val="0"/>
                <w:color w:val="auto"/>
              </w:rPr>
              <w:t>,</w:t>
            </w:r>
            <w:r w:rsidRPr="0057633D">
              <w:rPr>
                <w:bCs/>
                <w:szCs w:val="24"/>
                <w:lang w:eastAsia="x-none"/>
              </w:rPr>
              <w:t xml:space="preserve"> önceki hükümdeki gibi</w:t>
            </w:r>
            <w:r w:rsidR="00AB4F56" w:rsidRPr="0057633D">
              <w:rPr>
                <w:bCs/>
                <w:szCs w:val="24"/>
                <w:lang w:eastAsia="x-none"/>
              </w:rPr>
              <w:t xml:space="preserve"> </w:t>
            </w:r>
            <w:r w:rsidR="00AB4F56" w:rsidRPr="0057633D">
              <w:rPr>
                <w:rStyle w:val="YELChar"/>
                <w:b w:val="0"/>
                <w:color w:val="auto"/>
              </w:rPr>
              <w:t>aynen</w:t>
            </w:r>
            <w:r w:rsidRPr="0057633D">
              <w:rPr>
                <w:bCs/>
                <w:szCs w:val="24"/>
                <w:lang w:eastAsia="x-none"/>
              </w:rPr>
              <w:t xml:space="preserve"> kabul </w:t>
            </w:r>
            <w:r w:rsidR="00AB4F56" w:rsidRPr="0057633D">
              <w:rPr>
                <w:rStyle w:val="YELChar"/>
                <w:b w:val="0"/>
                <w:color w:val="auto"/>
              </w:rPr>
              <w:t>edilmiştir</w:t>
            </w:r>
            <w:r w:rsidRPr="0057633D">
              <w:rPr>
                <w:bCs/>
                <w:szCs w:val="24"/>
                <w:lang w:eastAsia="x-none"/>
              </w:rPr>
              <w:t>. Fıkra, içerik olarak 2004 sayılı Kanunun 134 üncü maddesinin onbirinci fıkrasına karşılık gelmektedir.</w:t>
            </w:r>
          </w:p>
          <w:p w:rsidR="00881BAF" w:rsidRPr="0057633D" w:rsidRDefault="008708C2" w:rsidP="009431FF">
            <w:pPr>
              <w:ind w:firstLine="709"/>
              <w:rPr>
                <w:bCs/>
                <w:szCs w:val="24"/>
                <w:lang w:eastAsia="x-none"/>
              </w:rPr>
            </w:pPr>
            <w:r w:rsidRPr="0057633D">
              <w:rPr>
                <w:bCs/>
                <w:szCs w:val="24"/>
                <w:lang w:eastAsia="x-none"/>
              </w:rPr>
              <w:t>Üçüncü fıkra</w:t>
            </w:r>
            <w:r w:rsidR="00902E27" w:rsidRPr="0057633D">
              <w:rPr>
                <w:bCs/>
                <w:szCs w:val="24"/>
                <w:lang w:eastAsia="x-none"/>
              </w:rPr>
              <w:t>da</w:t>
            </w:r>
            <w:r w:rsidRPr="0057633D">
              <w:rPr>
                <w:bCs/>
                <w:szCs w:val="24"/>
                <w:lang w:eastAsia="x-none"/>
              </w:rPr>
              <w:t xml:space="preserve">, yargılama usulü düzenlenmektedir. Hükme göre ihalenin </w:t>
            </w:r>
            <w:r w:rsidRPr="0057633D">
              <w:t>iptali</w:t>
            </w:r>
            <w:r w:rsidRPr="0057633D">
              <w:rPr>
                <w:bCs/>
                <w:szCs w:val="24"/>
                <w:lang w:eastAsia="x-none"/>
              </w:rPr>
              <w:t xml:space="preserve"> talebi üzerine icra </w:t>
            </w:r>
            <w:r w:rsidRPr="0057633D">
              <w:t>hukuk</w:t>
            </w:r>
            <w:r w:rsidRPr="0057633D">
              <w:rPr>
                <w:bCs/>
                <w:szCs w:val="24"/>
                <w:lang w:eastAsia="x-none"/>
              </w:rPr>
              <w:t xml:space="preserve"> mahkemesi </w:t>
            </w:r>
            <w:r w:rsidRPr="0057633D">
              <w:t>genel hükümlere göre</w:t>
            </w:r>
            <w:r w:rsidR="00105DA5" w:rsidRPr="0057633D">
              <w:t xml:space="preserve"> </w:t>
            </w:r>
            <w:r w:rsidR="00105DA5" w:rsidRPr="0057633D">
              <w:rPr>
                <w:rStyle w:val="YELChar"/>
                <w:b w:val="0"/>
                <w:color w:val="auto"/>
              </w:rPr>
              <w:t>duruşmalı olarak</w:t>
            </w:r>
            <w:r w:rsidRPr="0057633D">
              <w:t xml:space="preserve"> yargılama yapar</w:t>
            </w:r>
            <w:r w:rsidR="00AB4F56" w:rsidRPr="0057633D">
              <w:rPr>
                <w:rStyle w:val="YELChar"/>
                <w:b w:val="0"/>
                <w:color w:val="auto"/>
              </w:rPr>
              <w:t>;</w:t>
            </w:r>
            <w:r w:rsidRPr="0057633D">
              <w:rPr>
                <w:bCs/>
                <w:szCs w:val="24"/>
                <w:lang w:eastAsia="x-none"/>
              </w:rPr>
              <w:t xml:space="preserve"> ve taraflar gelmeseler bile </w:t>
            </w:r>
            <w:r w:rsidRPr="0057633D">
              <w:t>gerekli</w:t>
            </w:r>
            <w:r w:rsidRPr="0057633D">
              <w:rPr>
                <w:bCs/>
                <w:szCs w:val="24"/>
                <w:lang w:eastAsia="x-none"/>
              </w:rPr>
              <w:t xml:space="preserve"> kararı verir. Ancak </w:t>
            </w:r>
            <w:r w:rsidRPr="0057633D">
              <w:t>şik</w:t>
            </w:r>
            <w:r w:rsidR="00AB4F56" w:rsidRPr="0057633D">
              <w:t>â</w:t>
            </w:r>
            <w:r w:rsidRPr="0057633D">
              <w:t>yetin</w:t>
            </w:r>
            <w:r w:rsidRPr="0057633D">
              <w:rPr>
                <w:bCs/>
                <w:szCs w:val="24"/>
                <w:lang w:eastAsia="x-none"/>
              </w:rPr>
              <w:t xml:space="preserve"> usulden reddi gereken h</w:t>
            </w:r>
            <w:r w:rsidR="00C224B4" w:rsidRPr="0057633D">
              <w:rPr>
                <w:bCs/>
                <w:szCs w:val="24"/>
                <w:lang w:eastAsia="x-none"/>
              </w:rPr>
              <w:t>â</w:t>
            </w:r>
            <w:r w:rsidRPr="0057633D">
              <w:rPr>
                <w:bCs/>
                <w:szCs w:val="24"/>
                <w:lang w:eastAsia="x-none"/>
              </w:rPr>
              <w:t>llerde duruşma yapılmadan karar verilebilir. Fıkra, içerik olarak 2004 sayılı Kanunun 134 ün</w:t>
            </w:r>
            <w:r w:rsidR="00F85881" w:rsidRPr="0057633D">
              <w:rPr>
                <w:bCs/>
                <w:szCs w:val="24"/>
                <w:lang w:eastAsia="x-none"/>
              </w:rPr>
              <w:t xml:space="preserve">cü maddesinin beşinci fıkrasının birinci cümlesine </w:t>
            </w:r>
            <w:r w:rsidRPr="0057633D">
              <w:rPr>
                <w:bCs/>
                <w:szCs w:val="24"/>
                <w:lang w:eastAsia="x-none"/>
              </w:rPr>
              <w:t xml:space="preserve">karşılık gelmektedir. 2004 sayılı Kanunda yer alan </w:t>
            </w:r>
            <w:r w:rsidR="00902E27" w:rsidRPr="0057633D">
              <w:rPr>
                <w:bCs/>
                <w:szCs w:val="24"/>
                <w:lang w:eastAsia="x-none"/>
              </w:rPr>
              <w:t xml:space="preserve">ve </w:t>
            </w:r>
            <w:r w:rsidRPr="0057633D">
              <w:rPr>
                <w:bCs/>
                <w:szCs w:val="24"/>
                <w:lang w:eastAsia="x-none"/>
              </w:rPr>
              <w:t>yirmi gün içinde duruşma yapılması</w:t>
            </w:r>
            <w:r w:rsidR="008B796C" w:rsidRPr="0057633D">
              <w:rPr>
                <w:bCs/>
                <w:szCs w:val="24"/>
                <w:lang w:eastAsia="x-none"/>
              </w:rPr>
              <w:t xml:space="preserve">na ilişkin </w:t>
            </w:r>
            <w:r w:rsidR="00902E27" w:rsidRPr="0057633D">
              <w:rPr>
                <w:bCs/>
                <w:szCs w:val="24"/>
                <w:lang w:eastAsia="x-none"/>
              </w:rPr>
              <w:t xml:space="preserve">olan </w:t>
            </w:r>
            <w:r w:rsidR="008B796C" w:rsidRPr="0057633D">
              <w:rPr>
                <w:bCs/>
                <w:szCs w:val="24"/>
                <w:lang w:eastAsia="x-none"/>
              </w:rPr>
              <w:t>hükme</w:t>
            </w:r>
            <w:r w:rsidR="00F85881" w:rsidRPr="0057633D">
              <w:rPr>
                <w:bCs/>
                <w:szCs w:val="24"/>
                <w:lang w:eastAsia="x-none"/>
              </w:rPr>
              <w:t xml:space="preserve">, </w:t>
            </w:r>
            <w:r w:rsidR="00881BAF" w:rsidRPr="0057633D">
              <w:rPr>
                <w:bCs/>
                <w:szCs w:val="24"/>
                <w:lang w:eastAsia="x-none"/>
              </w:rPr>
              <w:t>bir yaptırıma bağlanma</w:t>
            </w:r>
            <w:r w:rsidRPr="0057633D">
              <w:rPr>
                <w:bCs/>
                <w:szCs w:val="24"/>
                <w:lang w:eastAsia="x-none"/>
              </w:rPr>
              <w:t xml:space="preserve">ması nedeniyle </w:t>
            </w:r>
            <w:r w:rsidR="00F85881" w:rsidRPr="0057633D">
              <w:rPr>
                <w:bCs/>
                <w:szCs w:val="24"/>
                <w:lang w:eastAsia="x-none"/>
              </w:rPr>
              <w:t>fıkrada</w:t>
            </w:r>
            <w:r w:rsidRPr="0057633D">
              <w:rPr>
                <w:bCs/>
                <w:szCs w:val="24"/>
                <w:lang w:eastAsia="x-none"/>
              </w:rPr>
              <w:t xml:space="preserve"> yer </w:t>
            </w:r>
            <w:r w:rsidR="00105DA5" w:rsidRPr="0057633D">
              <w:rPr>
                <w:rStyle w:val="YELChar"/>
                <w:b w:val="0"/>
                <w:color w:val="auto"/>
              </w:rPr>
              <w:t>verilmemiştir</w:t>
            </w:r>
            <w:r w:rsidR="00222161" w:rsidRPr="0057633D">
              <w:rPr>
                <w:bCs/>
                <w:szCs w:val="24"/>
                <w:lang w:eastAsia="x-none"/>
              </w:rPr>
              <w:t>.</w:t>
            </w:r>
          </w:p>
          <w:p w:rsidR="00335789" w:rsidRPr="0057633D" w:rsidRDefault="008708C2" w:rsidP="009431FF">
            <w:pPr>
              <w:ind w:firstLine="709"/>
              <w:rPr>
                <w:bCs/>
                <w:szCs w:val="24"/>
                <w:lang w:eastAsia="x-none"/>
              </w:rPr>
            </w:pPr>
            <w:r w:rsidRPr="0057633D">
              <w:rPr>
                <w:bCs/>
                <w:szCs w:val="24"/>
                <w:lang w:eastAsia="x-none"/>
              </w:rPr>
              <w:t>Dördüncü fıkrayla</w:t>
            </w:r>
            <w:r w:rsidR="008B796C" w:rsidRPr="0057633D">
              <w:rPr>
                <w:bCs/>
                <w:szCs w:val="24"/>
                <w:lang w:eastAsia="x-none"/>
              </w:rPr>
              <w:t>,</w:t>
            </w:r>
            <w:r w:rsidRPr="0057633D">
              <w:rPr>
                <w:bCs/>
                <w:szCs w:val="24"/>
                <w:lang w:eastAsia="x-none"/>
              </w:rPr>
              <w:t xml:space="preserve"> para cezasına ilişkin esaslar belirlenmektedir. Hükme göre, işin esasına girilerek ihalenin iptali talebinin reddine karar verilmesi veya bu talepten feragat edilmesi h</w:t>
            </w:r>
            <w:r w:rsidR="00C224B4" w:rsidRPr="0057633D">
              <w:rPr>
                <w:bCs/>
                <w:szCs w:val="24"/>
                <w:lang w:eastAsia="x-none"/>
              </w:rPr>
              <w:t>â</w:t>
            </w:r>
            <w:r w:rsidRPr="0057633D">
              <w:rPr>
                <w:bCs/>
                <w:szCs w:val="24"/>
                <w:lang w:eastAsia="x-none"/>
              </w:rPr>
              <w:t>linde, icra hukuk mahkemesi şik</w:t>
            </w:r>
            <w:r w:rsidR="00105DA5" w:rsidRPr="0057633D">
              <w:rPr>
                <w:bCs/>
                <w:szCs w:val="24"/>
                <w:lang w:eastAsia="x-none"/>
              </w:rPr>
              <w:t>â</w:t>
            </w:r>
            <w:r w:rsidRPr="0057633D">
              <w:rPr>
                <w:bCs/>
                <w:szCs w:val="24"/>
                <w:lang w:eastAsia="x-none"/>
              </w:rPr>
              <w:t>yet edeni</w:t>
            </w:r>
            <w:r w:rsidR="00105DA5" w:rsidRPr="0057633D">
              <w:rPr>
                <w:rStyle w:val="YELChar"/>
                <w:b w:val="0"/>
                <w:color w:val="auto"/>
              </w:rPr>
              <w:t>,</w:t>
            </w:r>
            <w:r w:rsidRPr="0057633D">
              <w:rPr>
                <w:bCs/>
                <w:szCs w:val="24"/>
                <w:lang w:eastAsia="x-none"/>
              </w:rPr>
              <w:t xml:space="preserve"> iptali istenilen ihale bedelinin yüzde onuna kadar olmak ve genel bütçeye gelir kaydedilmek üzere para cezasına mahkûm eder. </w:t>
            </w:r>
            <w:r w:rsidR="00AB4F56" w:rsidRPr="0057633D">
              <w:rPr>
                <w:bCs/>
                <w:szCs w:val="24"/>
                <w:lang w:eastAsia="x-none"/>
              </w:rPr>
              <w:t xml:space="preserve">Şikâyet </w:t>
            </w:r>
            <w:r w:rsidRPr="0057633D">
              <w:rPr>
                <w:bCs/>
                <w:szCs w:val="24"/>
                <w:lang w:eastAsia="x-none"/>
              </w:rPr>
              <w:t>edenin ihalenin iptalini talep edebilecek kimselerden olmadığı gerekçesiyle şik</w:t>
            </w:r>
            <w:r w:rsidR="00105DA5" w:rsidRPr="0057633D">
              <w:rPr>
                <w:bCs/>
                <w:szCs w:val="24"/>
                <w:lang w:eastAsia="x-none"/>
              </w:rPr>
              <w:t>â</w:t>
            </w:r>
            <w:r w:rsidRPr="0057633D">
              <w:rPr>
                <w:bCs/>
                <w:szCs w:val="24"/>
                <w:lang w:eastAsia="x-none"/>
              </w:rPr>
              <w:t xml:space="preserve">yet isteminin reddine karar verilmesi </w:t>
            </w:r>
            <w:r w:rsidR="00F85881" w:rsidRPr="0057633D">
              <w:rPr>
                <w:bCs/>
                <w:szCs w:val="24"/>
                <w:lang w:eastAsia="x-none"/>
              </w:rPr>
              <w:t xml:space="preserve">durumunda </w:t>
            </w:r>
            <w:r w:rsidR="00AB4F56" w:rsidRPr="0057633D">
              <w:rPr>
                <w:rStyle w:val="YELChar"/>
                <w:b w:val="0"/>
                <w:color w:val="auto"/>
              </w:rPr>
              <w:t>da</w:t>
            </w:r>
            <w:r w:rsidR="00AB4F56" w:rsidRPr="0057633D">
              <w:rPr>
                <w:bCs/>
                <w:szCs w:val="24"/>
                <w:lang w:eastAsia="x-none"/>
              </w:rPr>
              <w:t xml:space="preserve"> </w:t>
            </w:r>
            <w:r w:rsidRPr="0057633D">
              <w:rPr>
                <w:bCs/>
                <w:szCs w:val="24"/>
                <w:lang w:eastAsia="x-none"/>
              </w:rPr>
              <w:t>aynı şekilde para cezasına hükmedilir.</w:t>
            </w:r>
            <w:r w:rsidR="00F85881" w:rsidRPr="0057633D">
              <w:rPr>
                <w:bCs/>
                <w:szCs w:val="24"/>
                <w:lang w:eastAsia="x-none"/>
              </w:rPr>
              <w:t xml:space="preserve"> Fıkra, 2004 sayılı Kanunun 134 üncü maddesinin beşinci fıkrasının ikinci cümlesine karşılık gelmektedir.</w:t>
            </w:r>
            <w:r w:rsidR="00222161" w:rsidRPr="0057633D">
              <w:rPr>
                <w:bCs/>
                <w:szCs w:val="24"/>
                <w:lang w:eastAsia="x-none"/>
              </w:rPr>
              <w:t xml:space="preserve"> </w:t>
            </w:r>
            <w:r w:rsidR="00F85881" w:rsidRPr="0057633D">
              <w:rPr>
                <w:bCs/>
                <w:szCs w:val="24"/>
                <w:lang w:eastAsia="x-none"/>
              </w:rPr>
              <w:t>Görüldüğü üzere</w:t>
            </w:r>
            <w:r w:rsidR="00902E27" w:rsidRPr="0057633D">
              <w:rPr>
                <w:bCs/>
                <w:szCs w:val="24"/>
                <w:lang w:eastAsia="x-none"/>
              </w:rPr>
              <w:t>,</w:t>
            </w:r>
            <w:r w:rsidR="00F85881" w:rsidRPr="0057633D">
              <w:rPr>
                <w:bCs/>
                <w:szCs w:val="24"/>
                <w:lang w:eastAsia="x-none"/>
              </w:rPr>
              <w:t xml:space="preserve"> ö</w:t>
            </w:r>
            <w:r w:rsidR="00881BAF" w:rsidRPr="0057633D">
              <w:rPr>
                <w:bCs/>
                <w:szCs w:val="24"/>
                <w:lang w:eastAsia="x-none"/>
              </w:rPr>
              <w:t xml:space="preserve">nceki düzenlemeden daha farklı bir yöntem izlenmek </w:t>
            </w:r>
            <w:r w:rsidR="0096601D" w:rsidRPr="0057633D">
              <w:rPr>
                <w:rStyle w:val="YELChar"/>
                <w:b w:val="0"/>
                <w:color w:val="auto"/>
              </w:rPr>
              <w:t>suretiyle</w:t>
            </w:r>
            <w:r w:rsidR="0096601D" w:rsidRPr="0057633D">
              <w:rPr>
                <w:rStyle w:val="YELChar"/>
                <w:color w:val="auto"/>
              </w:rPr>
              <w:t xml:space="preserve"> </w:t>
            </w:r>
            <w:r w:rsidR="00881BAF" w:rsidRPr="0057633D">
              <w:rPr>
                <w:bCs/>
                <w:szCs w:val="24"/>
                <w:lang w:eastAsia="x-none"/>
              </w:rPr>
              <w:t>daha sade bir ifadeyle, ihalenin iptali talepleri sonunda para cezasına hükmedilmesi farklı esaslara bağlanm</w:t>
            </w:r>
            <w:r w:rsidR="00F85881" w:rsidRPr="0057633D">
              <w:rPr>
                <w:bCs/>
                <w:szCs w:val="24"/>
                <w:lang w:eastAsia="x-none"/>
              </w:rPr>
              <w:t>aktadır</w:t>
            </w:r>
            <w:r w:rsidR="00881BAF" w:rsidRPr="0057633D">
              <w:rPr>
                <w:bCs/>
                <w:szCs w:val="24"/>
                <w:lang w:eastAsia="x-none"/>
              </w:rPr>
              <w:t xml:space="preserve">. </w:t>
            </w:r>
            <w:r w:rsidR="00222161" w:rsidRPr="0057633D">
              <w:rPr>
                <w:bCs/>
                <w:szCs w:val="24"/>
                <w:lang w:eastAsia="x-none"/>
              </w:rPr>
              <w:t>İ</w:t>
            </w:r>
            <w:r w:rsidR="00881BAF" w:rsidRPr="0057633D">
              <w:rPr>
                <w:bCs/>
                <w:szCs w:val="24"/>
                <w:lang w:eastAsia="x-none"/>
              </w:rPr>
              <w:t>lk olarak, mahkeme işin esasına girerek ihalenin iptali talebinin reddine karar verirse</w:t>
            </w:r>
            <w:r w:rsidR="00902E27" w:rsidRPr="0057633D">
              <w:rPr>
                <w:bCs/>
                <w:szCs w:val="24"/>
                <w:lang w:eastAsia="x-none"/>
              </w:rPr>
              <w:t>,</w:t>
            </w:r>
            <w:r w:rsidR="00881BAF" w:rsidRPr="0057633D">
              <w:rPr>
                <w:bCs/>
                <w:szCs w:val="24"/>
                <w:lang w:eastAsia="x-none"/>
              </w:rPr>
              <w:t xml:space="preserve"> para cezasına hükmeder. </w:t>
            </w:r>
            <w:r w:rsidR="00222161" w:rsidRPr="0057633D">
              <w:rPr>
                <w:bCs/>
                <w:szCs w:val="24"/>
                <w:lang w:eastAsia="x-none"/>
              </w:rPr>
              <w:t>M</w:t>
            </w:r>
            <w:r w:rsidR="00881BAF" w:rsidRPr="0057633D">
              <w:rPr>
                <w:bCs/>
                <w:szCs w:val="24"/>
                <w:lang w:eastAsia="x-none"/>
              </w:rPr>
              <w:t xml:space="preserve">ahkemenin para cezasına </w:t>
            </w:r>
            <w:r w:rsidR="00105DA5" w:rsidRPr="0057633D">
              <w:rPr>
                <w:rStyle w:val="YELChar"/>
                <w:b w:val="0"/>
                <w:color w:val="auto"/>
              </w:rPr>
              <w:t>hükmedeceği</w:t>
            </w:r>
            <w:r w:rsidR="00881BAF" w:rsidRPr="0057633D">
              <w:rPr>
                <w:bCs/>
                <w:szCs w:val="24"/>
                <w:lang w:eastAsia="x-none"/>
              </w:rPr>
              <w:t xml:space="preserve"> ikinci durum, talepte bulunanın bundan feragat etmesidir. Bu h</w:t>
            </w:r>
            <w:r w:rsidR="00C224B4" w:rsidRPr="0057633D">
              <w:rPr>
                <w:bCs/>
                <w:szCs w:val="24"/>
                <w:lang w:eastAsia="x-none"/>
              </w:rPr>
              <w:t>â</w:t>
            </w:r>
            <w:r w:rsidR="00881BAF" w:rsidRPr="0057633D">
              <w:rPr>
                <w:bCs/>
                <w:szCs w:val="24"/>
                <w:lang w:eastAsia="x-none"/>
              </w:rPr>
              <w:t>lde mahkeme, şikâyetin esasına yönelik bir inceleme yapmamış veya yapmış olsa dahi, talep edenin talebinden feragat etmesi nedeniyle şikâyetin esasına yönelik bir karar vermesi söz konusu olmamıştır. İşte burada da</w:t>
            </w:r>
            <w:r w:rsidR="00902E27" w:rsidRPr="0057633D">
              <w:rPr>
                <w:bCs/>
                <w:szCs w:val="24"/>
                <w:lang w:eastAsia="x-none"/>
              </w:rPr>
              <w:t>,</w:t>
            </w:r>
            <w:r w:rsidR="00881BAF" w:rsidRPr="0057633D">
              <w:rPr>
                <w:bCs/>
                <w:szCs w:val="24"/>
                <w:lang w:eastAsia="x-none"/>
              </w:rPr>
              <w:t xml:space="preserve"> sırf yapılan şikâyetten vazgeçilmesi ve sürecin uzatılmış olması nedeniyle para cezası gündeme gelmektedir. Son olasılık ise, Kanunun ihalenin iptalini </w:t>
            </w:r>
            <w:r w:rsidR="00902E27" w:rsidRPr="0057633D">
              <w:rPr>
                <w:bCs/>
                <w:szCs w:val="24"/>
                <w:lang w:eastAsia="x-none"/>
              </w:rPr>
              <w:t xml:space="preserve">talep edebilecekler çevresini </w:t>
            </w:r>
            <w:r w:rsidR="00881BAF" w:rsidRPr="0057633D">
              <w:rPr>
                <w:bCs/>
                <w:szCs w:val="24"/>
                <w:lang w:eastAsia="x-none"/>
              </w:rPr>
              <w:t>sınırlandırmış olmasına rağmen ve ihalenin iptalini talep etme yetkisi (sıfatı) bulunmadığı h</w:t>
            </w:r>
            <w:r w:rsidR="00C224B4" w:rsidRPr="0057633D">
              <w:rPr>
                <w:bCs/>
                <w:szCs w:val="24"/>
                <w:lang w:eastAsia="x-none"/>
              </w:rPr>
              <w:t>â</w:t>
            </w:r>
            <w:r w:rsidR="00881BAF" w:rsidRPr="0057633D">
              <w:rPr>
                <w:bCs/>
                <w:szCs w:val="24"/>
                <w:lang w:eastAsia="x-none"/>
              </w:rPr>
              <w:t>lde bu yola başvuran bir kimsenin talebinin bu sebeple reddedilmesi h</w:t>
            </w:r>
            <w:r w:rsidR="00C224B4" w:rsidRPr="0057633D">
              <w:rPr>
                <w:bCs/>
                <w:szCs w:val="24"/>
                <w:lang w:eastAsia="x-none"/>
              </w:rPr>
              <w:t>â</w:t>
            </w:r>
            <w:r w:rsidR="00881BAF" w:rsidRPr="0057633D">
              <w:rPr>
                <w:bCs/>
                <w:szCs w:val="24"/>
                <w:lang w:eastAsia="x-none"/>
              </w:rPr>
              <w:t>lidir. Şikâyet edenin ihalenin iptalini talep edebilecek kimselerden olmadığı gerekçesiyle şikâyet</w:t>
            </w:r>
            <w:r w:rsidR="00902E27" w:rsidRPr="0057633D">
              <w:rPr>
                <w:bCs/>
                <w:szCs w:val="24"/>
                <w:lang w:eastAsia="x-none"/>
              </w:rPr>
              <w:t>in</w:t>
            </w:r>
            <w:r w:rsidR="00881BAF" w:rsidRPr="0057633D">
              <w:rPr>
                <w:bCs/>
                <w:szCs w:val="24"/>
                <w:lang w:eastAsia="x-none"/>
              </w:rPr>
              <w:t xml:space="preserve"> reddine karar verilmesi h</w:t>
            </w:r>
            <w:r w:rsidR="00105DA5" w:rsidRPr="0057633D">
              <w:rPr>
                <w:bCs/>
                <w:szCs w:val="24"/>
                <w:lang w:eastAsia="x-none"/>
              </w:rPr>
              <w:t>â</w:t>
            </w:r>
            <w:r w:rsidR="00881BAF" w:rsidRPr="0057633D">
              <w:rPr>
                <w:bCs/>
                <w:szCs w:val="24"/>
                <w:lang w:eastAsia="x-none"/>
              </w:rPr>
              <w:t>linde de</w:t>
            </w:r>
            <w:r w:rsidR="00902E27" w:rsidRPr="0057633D">
              <w:rPr>
                <w:bCs/>
                <w:szCs w:val="24"/>
                <w:lang w:eastAsia="x-none"/>
              </w:rPr>
              <w:t>,</w:t>
            </w:r>
            <w:r w:rsidR="00881BAF" w:rsidRPr="0057633D">
              <w:rPr>
                <w:bCs/>
                <w:szCs w:val="24"/>
                <w:lang w:eastAsia="x-none"/>
              </w:rPr>
              <w:t xml:space="preserve"> aynı şekilde para cezasına hükmedilir. Para cezasının oranı konusu ise 7343 </w:t>
            </w:r>
            <w:r w:rsidR="00222161" w:rsidRPr="0057633D">
              <w:rPr>
                <w:bCs/>
                <w:szCs w:val="24"/>
                <w:lang w:eastAsia="x-none"/>
              </w:rPr>
              <w:t>sayılı Kanunun</w:t>
            </w:r>
            <w:r w:rsidR="00881BAF" w:rsidRPr="0057633D">
              <w:rPr>
                <w:bCs/>
                <w:szCs w:val="24"/>
                <w:lang w:eastAsia="x-none"/>
              </w:rPr>
              <w:t xml:space="preserve"> Adalet Komisyonu Raporunda ifade edildiği üzere, “</w:t>
            </w:r>
            <w:r w:rsidR="00105DA5" w:rsidRPr="0057633D">
              <w:rPr>
                <w:bCs/>
                <w:szCs w:val="24"/>
                <w:lang w:eastAsia="x-none"/>
              </w:rPr>
              <w:t xml:space="preserve">Para </w:t>
            </w:r>
            <w:r w:rsidR="00881BAF" w:rsidRPr="0057633D">
              <w:rPr>
                <w:bCs/>
                <w:szCs w:val="24"/>
                <w:lang w:eastAsia="x-none"/>
              </w:rPr>
              <w:t>cezasının ihale bedelinin yüzde onunu geçmeyecek şekilde ve nispi bir oran olarak hâkim tarafından belirlenebilmesine ilişkin hükümle, hak arama özgürlüğü bakımından makul bir denge gözetilmektedir</w:t>
            </w:r>
            <w:r w:rsidR="00105DA5" w:rsidRPr="0057633D">
              <w:rPr>
                <w:rStyle w:val="YELChar"/>
                <w:color w:val="auto"/>
              </w:rPr>
              <w:t>.</w:t>
            </w:r>
            <w:r w:rsidR="00881BAF" w:rsidRPr="0057633D">
              <w:rPr>
                <w:bCs/>
                <w:szCs w:val="24"/>
                <w:lang w:eastAsia="x-none"/>
              </w:rPr>
              <w:t>”. Öte y</w:t>
            </w:r>
            <w:r w:rsidR="00222161" w:rsidRPr="0057633D">
              <w:rPr>
                <w:bCs/>
                <w:szCs w:val="24"/>
                <w:lang w:eastAsia="x-none"/>
              </w:rPr>
              <w:t>andan yine aynı Komisyon Raporu</w:t>
            </w:r>
            <w:r w:rsidR="00881BAF" w:rsidRPr="0057633D">
              <w:rPr>
                <w:bCs/>
                <w:szCs w:val="24"/>
                <w:lang w:eastAsia="x-none"/>
              </w:rPr>
              <w:t>nda, “…hükümle, uygulamada sıkça karşılaşılan, sırf ihale sürecini uzatmak ve haksız menfaat sağlamak amacıyla hukuki yararı bulunmayan kişilerce ihalenin feshi talep edilmesinin önüne geçilmesi ve ihale sürecinin hızlı bir biçimde tamamlanması amaçlanmaktadır</w:t>
            </w:r>
            <w:r w:rsidR="00105DA5" w:rsidRPr="0057633D">
              <w:rPr>
                <w:rStyle w:val="YELChar"/>
                <w:color w:val="auto"/>
              </w:rPr>
              <w:t>.</w:t>
            </w:r>
            <w:r w:rsidR="00881BAF" w:rsidRPr="0057633D">
              <w:rPr>
                <w:bCs/>
                <w:szCs w:val="24"/>
                <w:lang w:eastAsia="x-none"/>
              </w:rPr>
              <w:t xml:space="preserve">” şeklindeki gerekçe gözetilmek suretiyle Bilim Komisyonu çalışmaları sırasında söz konusu hükmün aynı gerekçelerle </w:t>
            </w:r>
            <w:r w:rsidR="00902E27" w:rsidRPr="0057633D">
              <w:rPr>
                <w:bCs/>
                <w:szCs w:val="24"/>
                <w:lang w:eastAsia="x-none"/>
              </w:rPr>
              <w:t xml:space="preserve">gerekli olduğu </w:t>
            </w:r>
            <w:r w:rsidR="00881BAF" w:rsidRPr="0057633D">
              <w:rPr>
                <w:bCs/>
                <w:szCs w:val="24"/>
                <w:lang w:eastAsia="x-none"/>
              </w:rPr>
              <w:t>sonucuna varılarak, yapılan değişikliklerle 2004 sayılı Kanun metni</w:t>
            </w:r>
            <w:r w:rsidR="00105DA5" w:rsidRPr="0057633D">
              <w:rPr>
                <w:rStyle w:val="YELChar"/>
                <w:b w:val="0"/>
                <w:color w:val="auto"/>
              </w:rPr>
              <w:t>,</w:t>
            </w:r>
            <w:r w:rsidR="00881BAF" w:rsidRPr="0057633D">
              <w:rPr>
                <w:bCs/>
                <w:szCs w:val="24"/>
                <w:lang w:eastAsia="x-none"/>
              </w:rPr>
              <w:t xml:space="preserve"> </w:t>
            </w:r>
            <w:r w:rsidR="00105DA5" w:rsidRPr="0057633D">
              <w:rPr>
                <w:rStyle w:val="YELChar"/>
                <w:b w:val="0"/>
                <w:color w:val="auto"/>
              </w:rPr>
              <w:t>temel yaklaşımı</w:t>
            </w:r>
            <w:r w:rsidR="00881BAF" w:rsidRPr="0057633D">
              <w:rPr>
                <w:bCs/>
                <w:szCs w:val="24"/>
                <w:lang w:eastAsia="x-none"/>
              </w:rPr>
              <w:t xml:space="preserve"> itibariyle muhafaza </w:t>
            </w:r>
            <w:r w:rsidR="00105DA5" w:rsidRPr="0057633D">
              <w:rPr>
                <w:rStyle w:val="YELChar"/>
                <w:b w:val="0"/>
                <w:color w:val="auto"/>
              </w:rPr>
              <w:t>edilmiştir</w:t>
            </w:r>
            <w:r w:rsidR="00881BAF" w:rsidRPr="0057633D">
              <w:rPr>
                <w:bCs/>
                <w:szCs w:val="24"/>
                <w:lang w:eastAsia="x-none"/>
              </w:rPr>
              <w:t xml:space="preserve">. </w:t>
            </w:r>
          </w:p>
          <w:p w:rsidR="00DD477C" w:rsidRPr="0057633D" w:rsidRDefault="00222161" w:rsidP="0016377F">
            <w:pPr>
              <w:ind w:firstLine="709"/>
              <w:rPr>
                <w:rFonts w:eastAsia="Times New Roman"/>
                <w:b/>
                <w:szCs w:val="24"/>
                <w:lang w:eastAsia="tr-TR"/>
              </w:rPr>
            </w:pPr>
            <w:r w:rsidRPr="0057633D">
              <w:rPr>
                <w:bCs/>
                <w:szCs w:val="24"/>
                <w:lang w:eastAsia="x-none"/>
              </w:rPr>
              <w:t>Beşinci fıkrayla, bir yenilik olarak</w:t>
            </w:r>
            <w:r w:rsidR="00902E27" w:rsidRPr="0057633D">
              <w:rPr>
                <w:bCs/>
                <w:szCs w:val="24"/>
                <w:lang w:eastAsia="x-none"/>
              </w:rPr>
              <w:t>,</w:t>
            </w:r>
            <w:r w:rsidRPr="0057633D">
              <w:rPr>
                <w:bCs/>
                <w:szCs w:val="24"/>
                <w:lang w:eastAsia="x-none"/>
              </w:rPr>
              <w:t xml:space="preserve"> ihalenin iptali talebine ilişkin kararın, maddi anlamda kesin hüküm teşkil ettiği kabul </w:t>
            </w:r>
            <w:r w:rsidR="00105DA5" w:rsidRPr="0057633D">
              <w:rPr>
                <w:rStyle w:val="YELChar"/>
                <w:b w:val="0"/>
                <w:color w:val="auto"/>
              </w:rPr>
              <w:t>edilmiştir</w:t>
            </w:r>
            <w:r w:rsidRPr="0057633D">
              <w:rPr>
                <w:bCs/>
                <w:szCs w:val="24"/>
                <w:lang w:eastAsia="x-none"/>
              </w:rPr>
              <w:t xml:space="preserve">. </w:t>
            </w:r>
            <w:r w:rsidR="00105DA5" w:rsidRPr="0057633D">
              <w:rPr>
                <w:bCs/>
                <w:szCs w:val="24"/>
                <w:lang w:eastAsia="x-none"/>
              </w:rPr>
              <w:t xml:space="preserve">Öğretide </w:t>
            </w:r>
            <w:r w:rsidR="00881BAF" w:rsidRPr="0057633D">
              <w:rPr>
                <w:bCs/>
                <w:szCs w:val="24"/>
                <w:lang w:eastAsia="x-none"/>
              </w:rPr>
              <w:t>ve içtihatlarda icra mahkemesinin ihalenin feshi talebinin reddi kararlarının maddi anlamda kesin hüküm oluşturacağı kabul edilmekteydi. Buna karşılık son yıllarda Yargıtay, icra mahkemesinin ihalenin feshi talebini reddetmesi durumunda veya süresi içinde ihalenin feshi talep edilmese bile</w:t>
            </w:r>
            <w:r w:rsidR="00902E27" w:rsidRPr="0057633D">
              <w:rPr>
                <w:bCs/>
                <w:szCs w:val="24"/>
                <w:lang w:eastAsia="x-none"/>
              </w:rPr>
              <w:t>,</w:t>
            </w:r>
            <w:r w:rsidR="00881BAF" w:rsidRPr="0057633D">
              <w:rPr>
                <w:bCs/>
                <w:szCs w:val="24"/>
                <w:lang w:eastAsia="x-none"/>
              </w:rPr>
              <w:t xml:space="preserve"> taşınmazlar bakımından, herhangi bir süreye bağlı olmaksızın</w:t>
            </w:r>
            <w:r w:rsidR="00105DA5" w:rsidRPr="0057633D">
              <w:rPr>
                <w:rStyle w:val="YELChar"/>
                <w:color w:val="auto"/>
              </w:rPr>
              <w:t>,</w:t>
            </w:r>
            <w:r w:rsidR="00881BAF" w:rsidRPr="0057633D">
              <w:rPr>
                <w:bCs/>
                <w:szCs w:val="24"/>
                <w:lang w:eastAsia="x-none"/>
              </w:rPr>
              <w:t xml:space="preserve"> sicilin düzeltilmesi (tapu iptali ve tescil) davası açılabileceğine, icra </w:t>
            </w:r>
            <w:r w:rsidR="00105DA5" w:rsidRPr="0057633D">
              <w:rPr>
                <w:rStyle w:val="YELChar"/>
                <w:b w:val="0"/>
                <w:color w:val="auto"/>
              </w:rPr>
              <w:t>mahkemesi</w:t>
            </w:r>
            <w:r w:rsidR="00881BAF" w:rsidRPr="0057633D">
              <w:rPr>
                <w:bCs/>
                <w:szCs w:val="24"/>
                <w:lang w:eastAsia="x-none"/>
              </w:rPr>
              <w:t xml:space="preserve"> kararlarının maddi anlamda kesin hüküm teşkil etmemesi gerekçesiyle karar vermekte</w:t>
            </w:r>
            <w:r w:rsidR="009322ED" w:rsidRPr="0057633D">
              <w:rPr>
                <w:bCs/>
                <w:szCs w:val="24"/>
                <w:lang w:eastAsia="x-none"/>
              </w:rPr>
              <w:t>ydi</w:t>
            </w:r>
            <w:r w:rsidR="00881BAF" w:rsidRPr="0057633D">
              <w:rPr>
                <w:bCs/>
                <w:szCs w:val="24"/>
                <w:lang w:eastAsia="x-none"/>
              </w:rPr>
              <w:t xml:space="preserve">. İhalenin iptali talebine ilişkin kararın maddi anlamda kesin hüküm teşkil edeceği </w:t>
            </w:r>
            <w:r w:rsidR="002D656F" w:rsidRPr="0057633D">
              <w:rPr>
                <w:bCs/>
                <w:szCs w:val="24"/>
                <w:lang w:eastAsia="x-none"/>
              </w:rPr>
              <w:t xml:space="preserve">hususu Taslağa </w:t>
            </w:r>
            <w:r w:rsidR="00881BAF" w:rsidRPr="0057633D">
              <w:rPr>
                <w:bCs/>
                <w:szCs w:val="24"/>
                <w:lang w:eastAsia="x-none"/>
              </w:rPr>
              <w:t xml:space="preserve">açıkça yazılmak suretiyle bu konudaki tartışmalara son verilmek </w:t>
            </w:r>
            <w:r w:rsidR="00105DA5" w:rsidRPr="0057633D">
              <w:rPr>
                <w:rStyle w:val="YELChar"/>
                <w:b w:val="0"/>
                <w:color w:val="auto"/>
              </w:rPr>
              <w:t>istenmiştir</w:t>
            </w:r>
            <w:r w:rsidR="00881BAF" w:rsidRPr="0057633D">
              <w:rPr>
                <w:bCs/>
                <w:szCs w:val="24"/>
                <w:lang w:eastAsia="x-none"/>
              </w:rPr>
              <w:t>. İhalenin iptali talebi, dava olmayıp şikâyet niteliğinde olmakla ve şikâyet sonucu verilen kararlar, bir uyuşmazlığı maddi hukuk bakımından değil</w:t>
            </w:r>
            <w:r w:rsidR="002D656F" w:rsidRPr="0057633D">
              <w:rPr>
                <w:bCs/>
                <w:szCs w:val="24"/>
                <w:lang w:eastAsia="x-none"/>
              </w:rPr>
              <w:t>,</w:t>
            </w:r>
            <w:r w:rsidR="00881BAF" w:rsidRPr="0057633D">
              <w:rPr>
                <w:bCs/>
                <w:szCs w:val="24"/>
                <w:lang w:eastAsia="x-none"/>
              </w:rPr>
              <w:t xml:space="preserve"> takip hukuku bakımından çözmekle birlikte, burada icra hukuk mahkemesi, her türlü delili değerlendirmek suretiyle karar vermektedir. </w:t>
            </w:r>
            <w:r w:rsidR="00AC3684" w:rsidRPr="0057633D">
              <w:rPr>
                <w:bCs/>
                <w:szCs w:val="24"/>
                <w:lang w:eastAsia="x-none"/>
              </w:rPr>
              <w:t xml:space="preserve">Öte yandan, 2004 sayılı Kanunun 134 üncü maddesinin altıncı fıkrasında düzenlenen bazı alacaklar bakımından para cezasının yüzde </w:t>
            </w:r>
            <w:r w:rsidR="00A301D1" w:rsidRPr="0057633D">
              <w:rPr>
                <w:bCs/>
                <w:szCs w:val="24"/>
                <w:lang w:eastAsia="x-none"/>
              </w:rPr>
              <w:t>y</w:t>
            </w:r>
            <w:r w:rsidR="00AC3684" w:rsidRPr="0057633D">
              <w:rPr>
                <w:bCs/>
                <w:szCs w:val="24"/>
                <w:lang w:eastAsia="x-none"/>
              </w:rPr>
              <w:t xml:space="preserve">irmi </w:t>
            </w:r>
            <w:r w:rsidR="00A301D1" w:rsidRPr="0057633D">
              <w:rPr>
                <w:bCs/>
                <w:szCs w:val="24"/>
                <w:lang w:eastAsia="x-none"/>
              </w:rPr>
              <w:t>olarak uygulanmasına ilişkin hükme, ihalenin iptalini talep edene aşırı kü</w:t>
            </w:r>
            <w:r w:rsidR="002545EC" w:rsidRPr="0057633D">
              <w:rPr>
                <w:bCs/>
                <w:szCs w:val="24"/>
                <w:lang w:eastAsia="x-none"/>
              </w:rPr>
              <w:t>lfet yüklediği düşüncesiyle Tas</w:t>
            </w:r>
            <w:r w:rsidR="00A301D1" w:rsidRPr="0057633D">
              <w:rPr>
                <w:bCs/>
                <w:szCs w:val="24"/>
                <w:lang w:eastAsia="x-none"/>
              </w:rPr>
              <w:t>lak</w:t>
            </w:r>
            <w:r w:rsidR="002545EC" w:rsidRPr="0057633D">
              <w:rPr>
                <w:bCs/>
                <w:szCs w:val="24"/>
                <w:lang w:eastAsia="x-none"/>
              </w:rPr>
              <w:t>ta</w:t>
            </w:r>
            <w:r w:rsidR="00A301D1" w:rsidRPr="0057633D">
              <w:rPr>
                <w:bCs/>
                <w:szCs w:val="24"/>
                <w:lang w:eastAsia="x-none"/>
              </w:rPr>
              <w:t xml:space="preserve"> yer verilmemektedir.</w:t>
            </w:r>
          </w:p>
          <w:p w:rsidR="00881BAF" w:rsidRPr="0057633D" w:rsidRDefault="00881BAF" w:rsidP="009431FF">
            <w:pPr>
              <w:ind w:firstLine="709"/>
              <w:rPr>
                <w:bCs/>
                <w:szCs w:val="24"/>
                <w:lang w:eastAsia="x-none"/>
              </w:rPr>
            </w:pPr>
            <w:r w:rsidRPr="0057633D">
              <w:rPr>
                <w:bCs/>
                <w:szCs w:val="24"/>
                <w:lang w:eastAsia="x-none"/>
              </w:rPr>
              <w:t xml:space="preserve">   </w:t>
            </w: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4 –</w:t>
            </w:r>
            <w:r w:rsidRPr="00A23740">
              <w:rPr>
                <w:rFonts w:eastAsia="Times New Roman"/>
                <w:szCs w:val="24"/>
                <w:lang w:eastAsia="tr-TR"/>
              </w:rPr>
              <w:t xml:space="preserve"> Paranın </w:t>
            </w:r>
            <w:r w:rsidRPr="00A23740">
              <w:rPr>
                <w:rStyle w:val="KIRMIZIChar"/>
                <w:rFonts w:eastAsia="Calibri"/>
              </w:rPr>
              <w:t>paylaştırılması:</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Paraların paylaştırılması zamanı, masraflar ve vekalet ücreti: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138 – (1)</w:t>
            </w:r>
            <w:r w:rsidRPr="00A23740">
              <w:rPr>
                <w:rFonts w:eastAsia="Times New Roman"/>
                <w:b/>
                <w:szCs w:val="24"/>
                <w:lang w:eastAsia="tr-TR"/>
              </w:rPr>
              <w:t xml:space="preserve"> </w:t>
            </w:r>
            <w:r w:rsidRPr="00A23740">
              <w:rPr>
                <w:rStyle w:val="KIRMIZIChar"/>
                <w:rFonts w:eastAsia="Calibri"/>
              </w:rPr>
              <w:t>Mahcuz</w:t>
            </w:r>
            <w:r w:rsidRPr="00A23740">
              <w:rPr>
                <w:rFonts w:eastAsia="Times New Roman"/>
                <w:szCs w:val="24"/>
                <w:lang w:eastAsia="tr-TR"/>
              </w:rPr>
              <w:t xml:space="preserve"> </w:t>
            </w:r>
            <w:r w:rsidRPr="00A23740">
              <w:rPr>
                <w:rStyle w:val="KIRMIZIChar"/>
                <w:rFonts w:eastAsia="Calibri"/>
              </w:rPr>
              <w:t>m</w:t>
            </w:r>
            <w:r w:rsidRPr="00A23740">
              <w:rPr>
                <w:rFonts w:eastAsia="Times New Roman"/>
                <w:szCs w:val="24"/>
                <w:lang w:eastAsia="tr-TR"/>
              </w:rPr>
              <w:t>allar tamam</w:t>
            </w:r>
            <w:r w:rsidRPr="00A23740">
              <w:rPr>
                <w:rFonts w:eastAsia="Times New Roman"/>
                <w:b/>
                <w:strike/>
                <w:color w:val="FF0000"/>
                <w:szCs w:val="24"/>
                <w:lang w:eastAsia="tr-TR"/>
              </w:rPr>
              <w:t>iyle satıldıkta</w:t>
            </w:r>
            <w:r w:rsidRPr="00A23740">
              <w:rPr>
                <w:rFonts w:eastAsia="Times New Roman"/>
                <w:b/>
                <w:color w:val="FF0000"/>
                <w:szCs w:val="24"/>
                <w:lang w:eastAsia="tr-TR"/>
              </w:rPr>
              <w:t xml:space="preserve"> </w:t>
            </w:r>
            <w:r w:rsidRPr="00A23740">
              <w:rPr>
                <w:rFonts w:eastAsia="Times New Roman"/>
                <w:szCs w:val="24"/>
                <w:lang w:eastAsia="tr-TR"/>
              </w:rPr>
              <w:t>bedel</w:t>
            </w:r>
            <w:r w:rsidRPr="00A23740">
              <w:rPr>
                <w:rFonts w:eastAsia="Times New Roman"/>
                <w:b/>
                <w:strike/>
                <w:color w:val="FF0000"/>
                <w:szCs w:val="24"/>
                <w:lang w:eastAsia="tr-TR"/>
              </w:rPr>
              <w:t>leri alakadarlara hisselerine göre paylaştırılır ve bir kısmı satıldıkta icabına göre bedeli hisseleri nispetinde alakadarlara avans olarak dağıtılır.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Haciz, paraya çevirme ve paylaştırma </w:t>
            </w:r>
            <w:r w:rsidRPr="00A23740">
              <w:rPr>
                <w:rFonts w:eastAsia="Times New Roman"/>
                <w:b/>
                <w:strike/>
                <w:color w:val="FF0000"/>
                <w:szCs w:val="24"/>
                <w:lang w:eastAsia="tr-TR"/>
              </w:rPr>
              <w:t>gibi</w:t>
            </w:r>
            <w:r w:rsidRPr="00A23740">
              <w:rPr>
                <w:rFonts w:eastAsia="Times New Roman"/>
                <w:szCs w:val="24"/>
                <w:lang w:eastAsia="tr-TR"/>
              </w:rPr>
              <w:t xml:space="preserve"> bütün alacaklıları </w:t>
            </w:r>
            <w:r w:rsidRPr="00A23740">
              <w:rPr>
                <w:rFonts w:eastAsia="Times New Roman"/>
                <w:b/>
                <w:strike/>
                <w:color w:val="FF0000"/>
                <w:szCs w:val="24"/>
                <w:lang w:eastAsia="tr-TR"/>
              </w:rPr>
              <w:t>alakadar</w:t>
            </w:r>
            <w:r w:rsidRPr="00A23740">
              <w:rPr>
                <w:rFonts w:eastAsia="Times New Roman"/>
                <w:szCs w:val="24"/>
                <w:lang w:eastAsia="tr-TR"/>
              </w:rPr>
              <w:t xml:space="preserve"> </w:t>
            </w:r>
            <w:r w:rsidRPr="00A23740">
              <w:rPr>
                <w:rFonts w:eastAsia="Times New Roman"/>
                <w:b/>
                <w:strike/>
                <w:color w:val="FF0000"/>
                <w:szCs w:val="24"/>
                <w:lang w:eastAsia="tr-TR"/>
              </w:rPr>
              <w:t>eden masraflar</w:t>
            </w:r>
            <w:r w:rsidRPr="00A23740">
              <w:rPr>
                <w:rFonts w:eastAsia="Times New Roman"/>
                <w:szCs w:val="24"/>
                <w:lang w:eastAsia="tr-TR"/>
              </w:rPr>
              <w:t xml:space="preserve"> </w:t>
            </w:r>
            <w:r w:rsidRPr="00A23740">
              <w:rPr>
                <w:rStyle w:val="KIRMIZIChar"/>
                <w:rFonts w:eastAsia="Calibri"/>
              </w:rPr>
              <w:t>önce satış tutarından alınır ve artan para</w:t>
            </w:r>
            <w:r w:rsidRPr="00A23740">
              <w:rPr>
                <w:rFonts w:eastAsia="Times New Roman"/>
                <w:szCs w:val="24"/>
                <w:lang w:eastAsia="tr-TR"/>
              </w:rPr>
              <w:t xml:space="preserve"> takip </w:t>
            </w:r>
            <w:r w:rsidRPr="00A23740">
              <w:rPr>
                <w:rFonts w:eastAsia="Times New Roman"/>
                <w:b/>
                <w:strike/>
                <w:color w:val="FF0000"/>
                <w:szCs w:val="24"/>
                <w:lang w:eastAsia="tr-TR"/>
              </w:rPr>
              <w:t>masrafları</w:t>
            </w:r>
            <w:r w:rsidRPr="00A23740">
              <w:rPr>
                <w:rFonts w:eastAsia="Times New Roman"/>
                <w:szCs w:val="24"/>
                <w:lang w:eastAsia="tr-TR"/>
              </w:rPr>
              <w:t xml:space="preserve"> ve işlemiş faizler dahil olduğu halde </w:t>
            </w:r>
            <w:r w:rsidRPr="00A23740">
              <w:rPr>
                <w:rStyle w:val="KIRMIZIChar"/>
                <w:rFonts w:eastAsia="Calibri"/>
              </w:rPr>
              <w:t>alacakları</w:t>
            </w:r>
            <w:r w:rsidRPr="00A23740">
              <w:rPr>
                <w:rFonts w:eastAsia="Times New Roman"/>
                <w:szCs w:val="24"/>
                <w:lang w:eastAsia="tr-TR"/>
              </w:rPr>
              <w:t xml:space="preserve"> </w:t>
            </w:r>
            <w:r w:rsidRPr="00A23740">
              <w:rPr>
                <w:rStyle w:val="KIRMIZIChar"/>
                <w:rFonts w:eastAsia="Calibri"/>
              </w:rPr>
              <w:t>nispetinde paylaştırılır.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(3) (Değişik: 18/2/1965 - 538/64 md.)</w:t>
            </w:r>
            <w:r w:rsidRPr="00A23740">
              <w:rPr>
                <w:rFonts w:eastAsia="Times New Roman"/>
                <w:szCs w:val="24"/>
                <w:lang w:eastAsia="tr-TR"/>
              </w:rPr>
              <w:t xml:space="preserve"> Vekil </w:t>
            </w:r>
            <w:r w:rsidRPr="00A23740">
              <w:rPr>
                <w:rStyle w:val="KIRMIZIChar"/>
                <w:rFonts w:eastAsia="Calibri"/>
              </w:rPr>
              <w:t>vasıtasiyle</w:t>
            </w:r>
            <w:r w:rsidRPr="00A23740">
              <w:rPr>
                <w:rFonts w:eastAsia="Times New Roman"/>
                <w:szCs w:val="24"/>
                <w:lang w:eastAsia="tr-TR"/>
              </w:rPr>
              <w:t xml:space="preserve"> yapılan takiplerde vekalet ücretinin miktarı, alacaklı ile borçlu arasında yapılmış sözleşmeye bakılmaksızın, icra </w:t>
            </w:r>
            <w:r w:rsidRPr="00A23740">
              <w:rPr>
                <w:rFonts w:eastAsia="Times New Roman"/>
                <w:b/>
                <w:strike/>
                <w:color w:val="FF0000"/>
                <w:szCs w:val="24"/>
                <w:lang w:eastAsia="tr-TR"/>
              </w:rPr>
              <w:t>memuru</w:t>
            </w:r>
            <w:r w:rsidRPr="00A23740">
              <w:rPr>
                <w:rFonts w:eastAsia="Times New Roman"/>
                <w:szCs w:val="24"/>
                <w:lang w:eastAsia="tr-TR"/>
              </w:rPr>
              <w:t xml:space="preserve"> tarafından avukatlık ücret tarifesine göre hasaplanır. Bu şekilde </w:t>
            </w:r>
            <w:r w:rsidRPr="00A23740">
              <w:rPr>
                <w:rFonts w:eastAsia="Times New Roman"/>
                <w:b/>
                <w:strike/>
                <w:color w:val="FF0000"/>
                <w:szCs w:val="24"/>
                <w:lang w:eastAsia="tr-TR"/>
              </w:rPr>
              <w:t>tayin olunan</w:t>
            </w:r>
            <w:r w:rsidRPr="00A23740">
              <w:rPr>
                <w:rFonts w:eastAsia="Times New Roman"/>
                <w:szCs w:val="24"/>
                <w:lang w:eastAsia="tr-TR"/>
              </w:rPr>
              <w:t xml:space="preserve"> vekalet ücreti </w:t>
            </w:r>
            <w:r w:rsidRPr="00A23740">
              <w:rPr>
                <w:rFonts w:eastAsia="Times New Roman"/>
                <w:b/>
                <w:strike/>
                <w:color w:val="FF0000"/>
                <w:szCs w:val="24"/>
                <w:lang w:eastAsia="tr-TR"/>
              </w:rPr>
              <w:t>de</w:t>
            </w:r>
            <w:r w:rsidRPr="00A23740">
              <w:rPr>
                <w:rFonts w:eastAsia="Times New Roman"/>
                <w:szCs w:val="24"/>
                <w:lang w:eastAsia="tr-TR"/>
              </w:rPr>
              <w:t xml:space="preserve"> takip </w:t>
            </w:r>
            <w:r w:rsidRPr="00A23740">
              <w:rPr>
                <w:rFonts w:eastAsia="Times New Roman"/>
                <w:b/>
                <w:strike/>
                <w:color w:val="FF0000"/>
                <w:szCs w:val="24"/>
                <w:lang w:eastAsia="tr-TR"/>
              </w:rPr>
              <w:t>masraflarına dahildir</w:t>
            </w:r>
            <w:r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rPr>
                <w:rFonts w:eastAsia="Times New Roman"/>
                <w:szCs w:val="24"/>
                <w:lang w:eastAsia="tr-TR"/>
              </w:rPr>
            </w:pPr>
            <w:r w:rsidRPr="00A23740">
              <w:rPr>
                <w:rFonts w:eastAsia="Times New Roman"/>
                <w:b/>
                <w:strike/>
                <w:color w:val="FF0000"/>
                <w:szCs w:val="24"/>
                <w:lang w:eastAsia="tr-TR"/>
              </w:rPr>
              <w:t>(4) Muvakkat hacizler</w:t>
            </w:r>
            <w:r w:rsidRPr="00A23740">
              <w:rPr>
                <w:rFonts w:eastAsia="Times New Roman"/>
                <w:szCs w:val="24"/>
                <w:lang w:eastAsia="tr-TR"/>
              </w:rPr>
              <w:t xml:space="preserve"> için ayrılmış </w:t>
            </w:r>
            <w:r w:rsidRPr="00A23740">
              <w:rPr>
                <w:rFonts w:eastAsia="Times New Roman"/>
                <w:b/>
                <w:strike/>
                <w:color w:val="FF0000"/>
                <w:szCs w:val="24"/>
                <w:lang w:eastAsia="tr-TR"/>
              </w:rPr>
              <w:t>hisseler vaziyet anlaşılıncaya kadar sağlam bir</w:t>
            </w:r>
            <w:r w:rsidRPr="00A23740">
              <w:rPr>
                <w:rFonts w:eastAsia="Times New Roman"/>
                <w:szCs w:val="24"/>
                <w:lang w:eastAsia="tr-TR"/>
              </w:rPr>
              <w:t xml:space="preserve"> bankaya</w:t>
            </w:r>
            <w:r w:rsidRPr="00A23740">
              <w:rPr>
                <w:rStyle w:val="KIRMIZIChar"/>
                <w:rFonts w:eastAsia="Calibri"/>
              </w:rPr>
              <w:t>, b</w:t>
            </w:r>
            <w:r w:rsidRPr="00A23740">
              <w:rPr>
                <w:rFonts w:eastAsia="Times New Roman"/>
                <w:b/>
                <w:strike/>
                <w:color w:val="FF0000"/>
                <w:szCs w:val="24"/>
                <w:lang w:eastAsia="tr-TR"/>
              </w:rPr>
              <w:t>anka bulunmıyan yerlerde mahkeme veya icra sandıklarına</w:t>
            </w:r>
            <w:r w:rsidRPr="00A23740">
              <w:rPr>
                <w:rFonts w:eastAsia="Times New Roman"/>
                <w:szCs w:val="24"/>
                <w:lang w:eastAsia="tr-TR"/>
              </w:rPr>
              <w:t xml:space="preserve"> yatırılır.</w:t>
            </w:r>
          </w:p>
          <w:p w:rsidR="00AA5C8C" w:rsidRPr="00A23740" w:rsidRDefault="00AA5C8C" w:rsidP="009431FF">
            <w:pPr>
              <w:rPr>
                <w:rFonts w:eastAsia="Times New Roman"/>
                <w:szCs w:val="24"/>
                <w:lang w:eastAsia="tr-TR"/>
              </w:rPr>
            </w:pPr>
          </w:p>
        </w:tc>
        <w:tc>
          <w:tcPr>
            <w:tcW w:w="2500" w:type="pct"/>
          </w:tcPr>
          <w:p w:rsidR="00AA5C8C" w:rsidRPr="00A23740" w:rsidRDefault="00AA5C8C" w:rsidP="009431FF">
            <w:pPr>
              <w:jc w:val="center"/>
              <w:rPr>
                <w:rFonts w:eastAsia="Times New Roman"/>
                <w:b/>
                <w:color w:val="0000FF"/>
                <w:szCs w:val="24"/>
                <w:lang w:eastAsia="tr-TR"/>
              </w:rPr>
            </w:pPr>
            <w:r w:rsidRPr="00A23740">
              <w:rPr>
                <w:rFonts w:eastAsia="Times New Roman"/>
                <w:b/>
                <w:color w:val="0000FF"/>
                <w:szCs w:val="24"/>
                <w:lang w:eastAsia="tr-TR"/>
              </w:rPr>
              <w:t>ÜÇÜNCÜ BÖLÜM</w:t>
            </w:r>
          </w:p>
          <w:p w:rsidR="00AA5C8C" w:rsidRPr="00A23740" w:rsidRDefault="00AA5C8C" w:rsidP="009431FF">
            <w:pPr>
              <w:jc w:val="center"/>
              <w:rPr>
                <w:rFonts w:eastAsia="Times New Roman"/>
                <w:b/>
                <w:color w:val="0000FF"/>
                <w:szCs w:val="24"/>
                <w:lang w:eastAsia="tr-TR"/>
              </w:rPr>
            </w:pPr>
            <w:r w:rsidRPr="00A23740">
              <w:rPr>
                <w:rFonts w:eastAsia="Times New Roman"/>
                <w:b/>
                <w:color w:val="0000FF"/>
                <w:szCs w:val="24"/>
                <w:lang w:eastAsia="tr-TR"/>
              </w:rPr>
              <w:t>Paranın Ödenmesi ve Paylaştırılması</w:t>
            </w:r>
          </w:p>
          <w:p w:rsidR="00AA5C8C" w:rsidRPr="00A23740" w:rsidRDefault="00AA5C8C" w:rsidP="009431FF">
            <w:pPr>
              <w:pStyle w:val="Mavi"/>
            </w:pPr>
          </w:p>
          <w:p w:rsidR="00AA5C8C" w:rsidRPr="00A23740" w:rsidRDefault="00AA5C8C" w:rsidP="009431FF">
            <w:pPr>
              <w:rPr>
                <w:rFonts w:eastAsia="Times New Roman"/>
                <w:b/>
                <w:szCs w:val="24"/>
                <w:lang w:eastAsia="tr-TR"/>
              </w:rPr>
            </w:pPr>
            <w:r w:rsidRPr="00A23740">
              <w:rPr>
                <w:rFonts w:eastAsia="Times New Roman"/>
                <w:b/>
                <w:szCs w:val="24"/>
                <w:lang w:eastAsia="tr-TR"/>
              </w:rPr>
              <w:t>Paranın</w:t>
            </w:r>
            <w:r w:rsidRPr="00A23740">
              <w:rPr>
                <w:rFonts w:eastAsia="Times New Roman"/>
                <w:szCs w:val="24"/>
                <w:lang w:eastAsia="tr-TR"/>
              </w:rPr>
              <w:t xml:space="preserve"> </w:t>
            </w:r>
            <w:r w:rsidRPr="00A23740">
              <w:rPr>
                <w:rFonts w:eastAsia="Times New Roman"/>
                <w:b/>
                <w:color w:val="0000FF"/>
                <w:szCs w:val="24"/>
                <w:lang w:eastAsia="tr-TR"/>
              </w:rPr>
              <w:t>ödenmesi</w:t>
            </w:r>
          </w:p>
          <w:p w:rsidR="00AA5C8C" w:rsidRPr="00A23740" w:rsidRDefault="00DA473A" w:rsidP="009431FF">
            <w:pPr>
              <w:pStyle w:val="Mavi"/>
              <w:rPr>
                <w:rFonts w:eastAsia="Times New Roman"/>
              </w:rPr>
            </w:pPr>
            <w:r w:rsidRPr="00A23740">
              <w:rPr>
                <w:rFonts w:eastAsia="Times New Roman"/>
              </w:rPr>
              <w:t>MADDE 25</w:t>
            </w:r>
            <w:r w:rsidR="00490C3E" w:rsidRPr="00A23740">
              <w:rPr>
                <w:rFonts w:eastAsia="Times New Roman"/>
                <w:lang w:val="tr-TR"/>
              </w:rPr>
              <w:t>8</w:t>
            </w:r>
            <w:r w:rsidR="00AA5C8C" w:rsidRPr="00A23740">
              <w:rPr>
                <w:rFonts w:eastAsia="Times New Roman"/>
              </w:rPr>
              <w:t xml:space="preserve">- (1) </w:t>
            </w:r>
            <w:r w:rsidR="00AA5C8C" w:rsidRPr="00A23740">
              <w:t>Haczedilen</w:t>
            </w:r>
            <w:r w:rsidR="00AA5C8C" w:rsidRPr="00A23740">
              <w:rPr>
                <w:rStyle w:val="YELChar"/>
                <w:b/>
              </w:rPr>
              <w:t xml:space="preserve"> </w:t>
            </w:r>
            <w:r w:rsidR="00AA5C8C" w:rsidRPr="00A23740">
              <w:t>m</w:t>
            </w:r>
            <w:r w:rsidR="00AA5C8C" w:rsidRPr="00A23740">
              <w:rPr>
                <w:rFonts w:eastAsia="Times New Roman"/>
                <w:b w:val="0"/>
                <w:bCs w:val="0"/>
                <w:color w:val="auto"/>
                <w:lang w:val="tr-TR" w:eastAsia="tr-TR"/>
              </w:rPr>
              <w:t>allar</w:t>
            </w:r>
            <w:r w:rsidR="00AA5C8C" w:rsidRPr="00A23740">
              <w:t xml:space="preserve">ın </w:t>
            </w:r>
            <w:r w:rsidR="00AA5C8C" w:rsidRPr="00A23740">
              <w:rPr>
                <w:rFonts w:eastAsia="Times New Roman"/>
                <w:b w:val="0"/>
                <w:bCs w:val="0"/>
                <w:color w:val="auto"/>
                <w:lang w:val="tr-TR" w:eastAsia="tr-TR"/>
              </w:rPr>
              <w:t>tamam</w:t>
            </w:r>
            <w:r w:rsidR="00AA5C8C" w:rsidRPr="00A23740">
              <w:t xml:space="preserve">ının paraya çevrilmesi sonucu elde edilen </w:t>
            </w:r>
            <w:r w:rsidR="00AA5C8C" w:rsidRPr="00A23740">
              <w:rPr>
                <w:rFonts w:eastAsia="Times New Roman"/>
                <w:b w:val="0"/>
                <w:bCs w:val="0"/>
                <w:color w:val="auto"/>
                <w:lang w:val="tr-TR" w:eastAsia="tr-TR"/>
              </w:rPr>
              <w:t>bedel</w:t>
            </w:r>
            <w:r w:rsidR="00AA5C8C" w:rsidRPr="00A23740">
              <w:t>in alacaklının alacağını ödemeye yetmesi h</w:t>
            </w:r>
            <w:r w:rsidR="00E45C87" w:rsidRPr="00A23740">
              <w:rPr>
                <w:lang w:val="tr-TR"/>
              </w:rPr>
              <w:t>â</w:t>
            </w:r>
            <w:r w:rsidR="00AA5C8C" w:rsidRPr="00A23740">
              <w:t>linde, bu bedel alacaklıya ödenir ve takip sona erer. Haczedilen</w:t>
            </w:r>
            <w:r w:rsidR="00AA5C8C" w:rsidRPr="00A23740">
              <w:rPr>
                <w:lang w:val="tr-TR"/>
              </w:rPr>
              <w:t xml:space="preserve"> </w:t>
            </w:r>
            <w:r w:rsidR="00AA5C8C" w:rsidRPr="00A23740">
              <w:rPr>
                <w:rFonts w:eastAsia="Times New Roman"/>
              </w:rPr>
              <w:t>malların bir kısmı paraya çevrildiğinde</w:t>
            </w:r>
            <w:r w:rsidR="00AA5C8C" w:rsidRPr="00A23740">
              <w:t>,</w:t>
            </w:r>
            <w:r w:rsidR="00AA5C8C" w:rsidRPr="00A23740">
              <w:rPr>
                <w:rFonts w:eastAsia="Times New Roman"/>
              </w:rPr>
              <w:t xml:space="preserve"> alacaklıya </w:t>
            </w:r>
            <w:r w:rsidR="00AA5C8C" w:rsidRPr="00A23740">
              <w:t>geçici ödeme</w:t>
            </w:r>
            <w:r w:rsidR="00AA5C8C" w:rsidRPr="00A23740">
              <w:rPr>
                <w:rFonts w:eastAsia="Times New Roman"/>
              </w:rPr>
              <w:t xml:space="preserve"> yapılabilir.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Fonts w:eastAsia="Times New Roman"/>
                <w:b/>
                <w:color w:val="0000FF"/>
                <w:szCs w:val="24"/>
                <w:lang w:eastAsia="tr-TR"/>
              </w:rPr>
              <w:t>(2) Malın</w:t>
            </w:r>
            <w:r w:rsidRPr="00A23740">
              <w:rPr>
                <w:rFonts w:eastAsia="Times New Roman"/>
                <w:szCs w:val="24"/>
                <w:lang w:eastAsia="tr-TR"/>
              </w:rPr>
              <w:t xml:space="preserve"> </w:t>
            </w:r>
            <w:r w:rsidRPr="00A23740">
              <w:rPr>
                <w:rStyle w:val="MaviChar"/>
              </w:rPr>
              <w:t>satış bedelinden öncelikle</w:t>
            </w:r>
            <w:r w:rsidRPr="00A23740">
              <w:rPr>
                <w:rFonts w:eastAsia="Times New Roman"/>
                <w:szCs w:val="24"/>
                <w:lang w:eastAsia="tr-TR"/>
              </w:rPr>
              <w:t xml:space="preserve"> haciz, </w:t>
            </w:r>
            <w:r w:rsidRPr="00A23740">
              <w:rPr>
                <w:rStyle w:val="MaviChar"/>
              </w:rPr>
              <w:t>muhafaza,</w:t>
            </w:r>
            <w:r w:rsidRPr="00A23740">
              <w:rPr>
                <w:rFonts w:eastAsia="Times New Roman"/>
                <w:szCs w:val="24"/>
                <w:lang w:eastAsia="tr-TR"/>
              </w:rPr>
              <w:t xml:space="preserve"> paraya çevirme ve paylaştırma </w:t>
            </w:r>
            <w:r w:rsidRPr="00A23740">
              <w:rPr>
                <w:rFonts w:eastAsia="Times New Roman"/>
                <w:b/>
                <w:color w:val="0000FF"/>
                <w:szCs w:val="24"/>
                <w:lang w:eastAsia="tr-TR"/>
              </w:rPr>
              <w:t>ile ihale tarihine kadar yapılan idare ve işletme giderleri gibi</w:t>
            </w:r>
            <w:r w:rsidRPr="00A23740">
              <w:rPr>
                <w:rFonts w:eastAsia="Times New Roman"/>
                <w:szCs w:val="24"/>
                <w:lang w:eastAsia="tr-TR"/>
              </w:rPr>
              <w:t xml:space="preserve"> bütün alacaklıları </w:t>
            </w:r>
            <w:r w:rsidRPr="00A23740">
              <w:rPr>
                <w:rFonts w:eastAsia="Times New Roman"/>
                <w:b/>
                <w:color w:val="0000FF"/>
                <w:szCs w:val="24"/>
                <w:lang w:eastAsia="tr-TR"/>
              </w:rPr>
              <w:t xml:space="preserve">ilgilendiren giderler ödenir. </w:t>
            </w:r>
            <w:r w:rsidR="00001AA5" w:rsidRPr="00D26970">
              <w:rPr>
                <w:rStyle w:val="MaviChar"/>
              </w:rPr>
              <w:t>317 ncu</w:t>
            </w:r>
            <w:r w:rsidRPr="00A23740">
              <w:rPr>
                <w:rStyle w:val="MaviChar"/>
                <w:lang w:val="tr-TR"/>
              </w:rPr>
              <w:t xml:space="preserve"> </w:t>
            </w:r>
            <w:r w:rsidRPr="00A23740">
              <w:rPr>
                <w:rFonts w:eastAsia="Times New Roman"/>
                <w:b/>
                <w:color w:val="0000FF"/>
                <w:szCs w:val="24"/>
                <w:lang w:eastAsia="tr-TR"/>
              </w:rPr>
              <w:t>maddenin birinci fıkrası hükmü saklı kalmak kaydıyla, artan tutar malın aynından kaynaklanan kamu alacaklarının ödenmesine tahsis edilir. Bu tahsis yapıldıktan sonra kalan tutar,</w:t>
            </w:r>
            <w:r w:rsidRPr="00A23740">
              <w:rPr>
                <w:rFonts w:eastAsia="Times New Roman"/>
                <w:szCs w:val="24"/>
                <w:lang w:eastAsia="tr-TR"/>
              </w:rPr>
              <w:t xml:space="preserve"> takip </w:t>
            </w:r>
            <w:r w:rsidRPr="00A23740">
              <w:rPr>
                <w:rFonts w:eastAsia="Times New Roman"/>
                <w:b/>
                <w:color w:val="0000FF"/>
                <w:szCs w:val="24"/>
                <w:lang w:eastAsia="tr-TR"/>
              </w:rPr>
              <w:t>giderleri</w:t>
            </w:r>
            <w:r w:rsidRPr="00A23740">
              <w:rPr>
                <w:rFonts w:eastAsia="Times New Roman"/>
                <w:szCs w:val="24"/>
                <w:lang w:eastAsia="tr-TR"/>
              </w:rPr>
              <w:t xml:space="preserve"> ve </w:t>
            </w:r>
            <w:r w:rsidRPr="00A23740">
              <w:rPr>
                <w:rFonts w:eastAsia="Times New Roman"/>
                <w:b/>
                <w:color w:val="0000FF"/>
                <w:szCs w:val="24"/>
                <w:lang w:eastAsia="tr-TR"/>
              </w:rPr>
              <w:t>satışa</w:t>
            </w:r>
            <w:r w:rsidRPr="00A23740">
              <w:rPr>
                <w:rFonts w:eastAsia="Times New Roman"/>
                <w:szCs w:val="24"/>
                <w:lang w:eastAsia="tr-TR"/>
              </w:rPr>
              <w:t xml:space="preserve"> </w:t>
            </w:r>
            <w:r w:rsidRPr="00A23740">
              <w:rPr>
                <w:rFonts w:eastAsia="Times New Roman"/>
                <w:b/>
                <w:color w:val="0000FF"/>
                <w:szCs w:val="24"/>
                <w:lang w:eastAsia="tr-TR"/>
              </w:rPr>
              <w:t>kadar</w:t>
            </w:r>
            <w:r w:rsidRPr="00A23740">
              <w:rPr>
                <w:rFonts w:eastAsia="Times New Roman"/>
                <w:szCs w:val="24"/>
                <w:lang w:eastAsia="tr-TR"/>
              </w:rPr>
              <w:t xml:space="preserve"> işlemiş faizler dâhil olduğu h</w:t>
            </w:r>
            <w:r w:rsidR="00C224B4" w:rsidRPr="00A23740">
              <w:rPr>
                <w:rFonts w:eastAsia="Times New Roman"/>
                <w:szCs w:val="24"/>
                <w:lang w:eastAsia="tr-TR"/>
              </w:rPr>
              <w:t>â</w:t>
            </w:r>
            <w:r w:rsidRPr="00A23740">
              <w:rPr>
                <w:rFonts w:eastAsia="Times New Roman"/>
                <w:szCs w:val="24"/>
                <w:lang w:eastAsia="tr-TR"/>
              </w:rPr>
              <w:t xml:space="preserve">lde </w:t>
            </w:r>
            <w:r w:rsidRPr="00A23740">
              <w:rPr>
                <w:rStyle w:val="MaviChar"/>
              </w:rPr>
              <w:t>alacaklılara</w:t>
            </w:r>
            <w:r w:rsidRPr="00A23740">
              <w:rPr>
                <w:rFonts w:eastAsia="Times New Roman"/>
                <w:szCs w:val="24"/>
                <w:lang w:eastAsia="tr-TR"/>
              </w:rPr>
              <w:t xml:space="preserve"> </w:t>
            </w:r>
            <w:r w:rsidRPr="00A23740">
              <w:rPr>
                <w:rStyle w:val="MAVChar"/>
                <w:rFonts w:eastAsia="Calibri"/>
                <w:u w:val="none"/>
              </w:rPr>
              <w:t>ödenir</w:t>
            </w:r>
            <w:r w:rsidRPr="00A23740">
              <w:rPr>
                <w:rFonts w:eastAsia="Times New Roman"/>
                <w:szCs w:val="24"/>
                <w:lang w:eastAsia="tr-TR"/>
              </w:rPr>
              <w:t>.</w:t>
            </w:r>
          </w:p>
          <w:p w:rsidR="00AA5C8C" w:rsidRPr="00A23740" w:rsidRDefault="00AA5C8C" w:rsidP="009431FF">
            <w:pPr>
              <w:rPr>
                <w:rFonts w:eastAsia="Times New Roman"/>
                <w:b/>
                <w:color w:val="FF0000"/>
                <w:szCs w:val="24"/>
                <w:lang w:eastAsia="tr-TR"/>
              </w:rPr>
            </w:pPr>
          </w:p>
          <w:p w:rsidR="00AA5C8C" w:rsidRPr="00A23740" w:rsidRDefault="00AA5C8C" w:rsidP="009431FF">
            <w:pPr>
              <w:rPr>
                <w:rFonts w:eastAsia="Times New Roman"/>
                <w:szCs w:val="24"/>
                <w:lang w:eastAsia="tr-TR"/>
              </w:rPr>
            </w:pPr>
            <w:r w:rsidRPr="00A23740">
              <w:rPr>
                <w:rFonts w:eastAsia="Times New Roman"/>
                <w:b/>
                <w:color w:val="0000FF"/>
                <w:szCs w:val="24"/>
                <w:lang w:eastAsia="tr-TR"/>
              </w:rPr>
              <w:t>(3)</w:t>
            </w:r>
            <w:r w:rsidRPr="00A23740">
              <w:rPr>
                <w:rFonts w:eastAsia="Times New Roman"/>
                <w:szCs w:val="24"/>
                <w:lang w:eastAsia="tr-TR"/>
              </w:rPr>
              <w:t xml:space="preserve"> Vekil </w:t>
            </w:r>
            <w:r w:rsidRPr="00A23740">
              <w:rPr>
                <w:rFonts w:eastAsia="Times New Roman"/>
                <w:b/>
                <w:color w:val="0000FF"/>
                <w:szCs w:val="24"/>
                <w:lang w:eastAsia="tr-TR"/>
              </w:rPr>
              <w:t>tarafından</w:t>
            </w:r>
            <w:r w:rsidRPr="00A23740">
              <w:rPr>
                <w:rFonts w:eastAsia="Times New Roman"/>
                <w:szCs w:val="24"/>
                <w:lang w:eastAsia="tr-TR"/>
              </w:rPr>
              <w:t xml:space="preserve"> yapılan takiplerde vekâlet ücretinin miktarı, alacaklı ile borçlu arasında yapılmış sözleşmeye bakılmaksızın, icra </w:t>
            </w:r>
            <w:r w:rsidRPr="00A23740">
              <w:rPr>
                <w:rStyle w:val="MaviChar"/>
              </w:rPr>
              <w:t>ve</w:t>
            </w:r>
            <w:r w:rsidRPr="00A23740">
              <w:rPr>
                <w:rStyle w:val="YELChar"/>
              </w:rPr>
              <w:t xml:space="preserve"> </w:t>
            </w:r>
            <w:r w:rsidRPr="00A23740">
              <w:rPr>
                <w:rStyle w:val="MaviChar"/>
              </w:rPr>
              <w:t xml:space="preserve">iflas </w:t>
            </w:r>
            <w:r w:rsidRPr="00A23740">
              <w:rPr>
                <w:rFonts w:eastAsia="Times New Roman"/>
                <w:b/>
                <w:color w:val="0000FF"/>
                <w:szCs w:val="24"/>
                <w:lang w:eastAsia="tr-TR"/>
              </w:rPr>
              <w:t>müdürü</w:t>
            </w:r>
            <w:r w:rsidRPr="00A23740">
              <w:rPr>
                <w:rFonts w:eastAsia="Times New Roman"/>
                <w:szCs w:val="24"/>
                <w:lang w:eastAsia="tr-TR"/>
              </w:rPr>
              <w:t xml:space="preserve"> tarafından </w:t>
            </w:r>
            <w:r w:rsidRPr="00A23740">
              <w:rPr>
                <w:rFonts w:eastAsia="Times New Roman"/>
                <w:b/>
                <w:color w:val="0000FF"/>
                <w:szCs w:val="24"/>
                <w:lang w:eastAsia="tr-TR"/>
              </w:rPr>
              <w:t xml:space="preserve">icra takibinde yapılan tahsilat </w:t>
            </w:r>
            <w:r w:rsidRPr="00A23740">
              <w:rPr>
                <w:rStyle w:val="MaviChar"/>
              </w:rPr>
              <w:t>miktarıyla</w:t>
            </w:r>
            <w:r w:rsidRPr="00A23740">
              <w:rPr>
                <w:rFonts w:eastAsia="Times New Roman"/>
                <w:b/>
                <w:color w:val="0000FF"/>
                <w:szCs w:val="24"/>
                <w:lang w:eastAsia="tr-TR"/>
              </w:rPr>
              <w:t xml:space="preserve"> orantılı olarak</w:t>
            </w:r>
            <w:r w:rsidRPr="00A23740">
              <w:rPr>
                <w:rFonts w:eastAsia="Times New Roman"/>
                <w:szCs w:val="24"/>
                <w:lang w:eastAsia="tr-TR"/>
              </w:rPr>
              <w:t xml:space="preserve"> avukatlık </w:t>
            </w:r>
            <w:r w:rsidRPr="00A23740">
              <w:rPr>
                <w:rFonts w:eastAsia="Times New Roman"/>
                <w:b/>
                <w:color w:val="0000FF"/>
                <w:szCs w:val="24"/>
                <w:lang w:eastAsia="tr-TR"/>
              </w:rPr>
              <w:t>asgari</w:t>
            </w:r>
            <w:r w:rsidRPr="00A23740">
              <w:rPr>
                <w:rFonts w:eastAsia="Times New Roman"/>
                <w:szCs w:val="24"/>
                <w:lang w:eastAsia="tr-TR"/>
              </w:rPr>
              <w:t xml:space="preserve"> ücret tarifesine göre hesaplanır. </w:t>
            </w:r>
            <w:r w:rsidRPr="00A23740">
              <w:rPr>
                <w:rStyle w:val="MaviChar"/>
              </w:rPr>
              <w:t>Şu kadar ki, bu şekilde hesaplanan vek</w:t>
            </w:r>
            <w:r w:rsidR="00407C95" w:rsidRPr="00A23740">
              <w:rPr>
                <w:rStyle w:val="MaviChar"/>
                <w:lang w:val="tr-TR"/>
              </w:rPr>
              <w:t>â</w:t>
            </w:r>
            <w:r w:rsidRPr="00A23740">
              <w:rPr>
                <w:rStyle w:val="MaviChar"/>
              </w:rPr>
              <w:t>let ücreti miktarı, takip konusu alacağın tamamı üzerinden hesaplanacak vek</w:t>
            </w:r>
            <w:r w:rsidR="00407C95" w:rsidRPr="00A23740">
              <w:rPr>
                <w:rStyle w:val="MaviChar"/>
                <w:lang w:val="tr-TR"/>
              </w:rPr>
              <w:t>â</w:t>
            </w:r>
            <w:r w:rsidRPr="00A23740">
              <w:rPr>
                <w:rStyle w:val="MaviChar"/>
              </w:rPr>
              <w:t>let ücreti miktarını aşamaz. Böylece</w:t>
            </w:r>
            <w:r w:rsidRPr="00A23740">
              <w:rPr>
                <w:rFonts w:eastAsia="Times New Roman"/>
                <w:szCs w:val="24"/>
                <w:lang w:eastAsia="tr-TR"/>
              </w:rPr>
              <w:t xml:space="preserve"> </w:t>
            </w:r>
            <w:r w:rsidRPr="00A23740">
              <w:rPr>
                <w:rFonts w:eastAsia="Times New Roman"/>
                <w:b/>
                <w:color w:val="0000FF"/>
                <w:szCs w:val="24"/>
                <w:lang w:eastAsia="tr-TR"/>
              </w:rPr>
              <w:t>belirlenen</w:t>
            </w:r>
            <w:r w:rsidRPr="00A23740">
              <w:rPr>
                <w:rFonts w:eastAsia="Times New Roman"/>
                <w:szCs w:val="24"/>
                <w:lang w:eastAsia="tr-TR"/>
              </w:rPr>
              <w:t xml:space="preserve"> vekâlet ücreti, </w:t>
            </w:r>
            <w:r w:rsidRPr="00A23740">
              <w:rPr>
                <w:rFonts w:eastAsia="Times New Roman"/>
                <w:b/>
                <w:color w:val="0000FF"/>
                <w:szCs w:val="24"/>
                <w:lang w:eastAsia="tr-TR"/>
              </w:rPr>
              <w:t>o dosya bakımından</w:t>
            </w:r>
            <w:r w:rsidRPr="00A23740">
              <w:rPr>
                <w:rFonts w:eastAsia="Times New Roman"/>
                <w:szCs w:val="24"/>
                <w:lang w:eastAsia="tr-TR"/>
              </w:rPr>
              <w:t xml:space="preserve"> takip </w:t>
            </w:r>
            <w:r w:rsidRPr="00A23740">
              <w:rPr>
                <w:rFonts w:eastAsia="Times New Roman"/>
                <w:b/>
                <w:color w:val="0000FF"/>
                <w:szCs w:val="24"/>
                <w:lang w:eastAsia="tr-TR"/>
              </w:rPr>
              <w:t>gideri sayılır</w:t>
            </w:r>
            <w:r w:rsidRPr="00A23740">
              <w:rPr>
                <w:rFonts w:eastAsia="Times New Roman"/>
                <w:szCs w:val="24"/>
                <w:lang w:eastAsia="tr-TR"/>
              </w:rPr>
              <w:t>.</w:t>
            </w:r>
          </w:p>
          <w:p w:rsidR="00AA5C8C" w:rsidRPr="00A23740" w:rsidRDefault="00AA5C8C" w:rsidP="009431FF">
            <w:pPr>
              <w:rPr>
                <w:rFonts w:eastAsia="Times New Roman"/>
                <w:b/>
                <w:color w:val="FF0000"/>
                <w:szCs w:val="24"/>
                <w:lang w:eastAsia="tr-TR"/>
              </w:rPr>
            </w:pPr>
          </w:p>
          <w:p w:rsidR="00AA5C8C" w:rsidRPr="00A23740" w:rsidRDefault="00AA5C8C" w:rsidP="009431FF">
            <w:pPr>
              <w:rPr>
                <w:rFonts w:eastAsia="Times New Roman"/>
                <w:szCs w:val="24"/>
                <w:lang w:eastAsia="tr-TR"/>
              </w:rPr>
            </w:pPr>
            <w:r w:rsidRPr="00A23740">
              <w:rPr>
                <w:rFonts w:eastAsia="Times New Roman"/>
                <w:b/>
                <w:color w:val="0000FF"/>
                <w:szCs w:val="24"/>
                <w:lang w:eastAsia="tr-TR"/>
              </w:rPr>
              <w:t xml:space="preserve">(4) </w:t>
            </w:r>
            <w:r w:rsidRPr="00A23740">
              <w:rPr>
                <w:rStyle w:val="MaviChar"/>
              </w:rPr>
              <w:t>İhtiyati haciz veya imtiyazlı iştirak dolayısıyla hacze geçici olarak iştirak eden alacaklıların paylar</w:t>
            </w:r>
            <w:r w:rsidRPr="0016377F">
              <w:rPr>
                <w:rStyle w:val="MaviChar"/>
              </w:rPr>
              <w:t>ı</w:t>
            </w:r>
            <w:r w:rsidR="008A5965" w:rsidRPr="0016377F">
              <w:rPr>
                <w:rStyle w:val="MaviChar"/>
              </w:rPr>
              <w:t>,</w:t>
            </w:r>
            <w:r w:rsidRPr="00A23740">
              <w:rPr>
                <w:rFonts w:eastAsia="Times New Roman"/>
                <w:b/>
                <w:color w:val="0000FF"/>
                <w:szCs w:val="24"/>
                <w:lang w:eastAsia="tr-TR"/>
              </w:rPr>
              <w:t xml:space="preserve"> nemalandırılmak üzere</w:t>
            </w:r>
            <w:r w:rsidRPr="00A23740">
              <w:rPr>
                <w:rFonts w:eastAsia="Times New Roman"/>
                <w:szCs w:val="24"/>
                <w:lang w:eastAsia="tr-TR"/>
              </w:rPr>
              <w:t xml:space="preserve"> bankaya yatırılır. </w:t>
            </w:r>
            <w:r w:rsidRPr="00A23740">
              <w:rPr>
                <w:rStyle w:val="MaviChar"/>
              </w:rPr>
              <w:t>Bu paylar hacze iştirak kesinleştiğinde</w:t>
            </w:r>
            <w:r w:rsidRPr="00A23740">
              <w:rPr>
                <w:rFonts w:eastAsia="Times New Roman"/>
                <w:szCs w:val="24"/>
                <w:lang w:eastAsia="tr-TR"/>
              </w:rPr>
              <w:t xml:space="preserve"> </w:t>
            </w:r>
            <w:r w:rsidRPr="00A23740">
              <w:rPr>
                <w:rFonts w:eastAsia="Times New Roman"/>
                <w:b/>
                <w:color w:val="0000FF"/>
                <w:szCs w:val="24"/>
                <w:lang w:eastAsia="tr-TR"/>
              </w:rPr>
              <w:t>nemasıyla birlikte hak sahibine ödenir.</w:t>
            </w:r>
          </w:p>
          <w:p w:rsidR="00812AE8" w:rsidRPr="00A23740" w:rsidRDefault="00812AE8" w:rsidP="009431FF">
            <w:pPr>
              <w:pStyle w:val="YEL"/>
              <w:rPr>
                <w:lang w:val="tr-TR" w:eastAsia="tr-TR"/>
              </w:rPr>
            </w:pPr>
          </w:p>
        </w:tc>
      </w:tr>
      <w:tr w:rsidR="00A50F47" w:rsidRPr="00A23740" w:rsidTr="009431FF">
        <w:tblPrEx>
          <w:tblLook w:val="01E0" w:firstRow="1" w:lastRow="1" w:firstColumn="1" w:lastColumn="1" w:noHBand="0" w:noVBand="0"/>
        </w:tblPrEx>
        <w:tc>
          <w:tcPr>
            <w:tcW w:w="5000" w:type="pct"/>
            <w:gridSpan w:val="2"/>
            <w:shd w:val="clear" w:color="auto" w:fill="DEEAF6"/>
          </w:tcPr>
          <w:p w:rsidR="00B25A02" w:rsidRPr="00A23740" w:rsidRDefault="00B25A02" w:rsidP="009431FF">
            <w:pPr>
              <w:ind w:firstLine="709"/>
              <w:rPr>
                <w:rFonts w:eastAsia="Times New Roman"/>
                <w:b/>
                <w:szCs w:val="24"/>
                <w:lang w:eastAsia="tr-TR"/>
              </w:rPr>
            </w:pPr>
          </w:p>
          <w:p w:rsidR="00A50F47" w:rsidRPr="00A23740" w:rsidRDefault="00A50F47" w:rsidP="009431FF">
            <w:pPr>
              <w:ind w:firstLine="709"/>
              <w:rPr>
                <w:bCs/>
                <w:szCs w:val="24"/>
                <w:lang w:eastAsia="x-none"/>
              </w:rPr>
            </w:pPr>
            <w:r w:rsidRPr="00A23740">
              <w:rPr>
                <w:rFonts w:eastAsia="Times New Roman"/>
                <w:b/>
                <w:szCs w:val="24"/>
                <w:lang w:eastAsia="tr-TR"/>
              </w:rPr>
              <w:t>MADDE 25</w:t>
            </w:r>
            <w:r w:rsidR="00490C3E" w:rsidRPr="00A23740">
              <w:rPr>
                <w:rFonts w:eastAsia="Times New Roman"/>
                <w:b/>
                <w:szCs w:val="24"/>
                <w:lang w:eastAsia="tr-TR"/>
              </w:rPr>
              <w:t>8</w:t>
            </w:r>
            <w:r w:rsidRPr="00A23740">
              <w:rPr>
                <w:rFonts w:eastAsia="Times New Roman"/>
                <w:b/>
                <w:szCs w:val="24"/>
                <w:lang w:eastAsia="tr-TR"/>
              </w:rPr>
              <w:t xml:space="preserve">- </w:t>
            </w:r>
            <w:r w:rsidRPr="00A23740">
              <w:rPr>
                <w:rFonts w:eastAsia="Times New Roman"/>
                <w:szCs w:val="24"/>
                <w:lang w:eastAsia="tr-TR"/>
              </w:rPr>
              <w:t>Maddeyle</w:t>
            </w:r>
            <w:r w:rsidRPr="00A23740">
              <w:rPr>
                <w:bCs/>
                <w:szCs w:val="24"/>
                <w:lang w:eastAsia="x-none"/>
              </w:rPr>
              <w:t xml:space="preserve">, </w:t>
            </w:r>
            <w:r w:rsidR="00CA34C6" w:rsidRPr="00A23740">
              <w:rPr>
                <w:bCs/>
                <w:szCs w:val="24"/>
                <w:lang w:eastAsia="x-none"/>
              </w:rPr>
              <w:t xml:space="preserve">paranın </w:t>
            </w:r>
            <w:r w:rsidRPr="00A23740">
              <w:rPr>
                <w:bCs/>
                <w:szCs w:val="24"/>
                <w:lang w:eastAsia="x-none"/>
              </w:rPr>
              <w:t>ödenmesiyle ilgili hususlar düzenlenmektedir.</w:t>
            </w:r>
          </w:p>
          <w:p w:rsidR="00A50F47" w:rsidRPr="00A23740" w:rsidRDefault="0033799C" w:rsidP="009431FF">
            <w:pPr>
              <w:ind w:firstLine="709"/>
              <w:rPr>
                <w:bCs/>
                <w:szCs w:val="24"/>
                <w:lang w:eastAsia="x-none"/>
              </w:rPr>
            </w:pPr>
            <w:r w:rsidRPr="00A23740">
              <w:rPr>
                <w:bCs/>
                <w:szCs w:val="24"/>
                <w:lang w:eastAsia="x-none"/>
              </w:rPr>
              <w:t>B</w:t>
            </w:r>
            <w:r w:rsidR="002344EF" w:rsidRPr="00A23740">
              <w:rPr>
                <w:bCs/>
                <w:szCs w:val="24"/>
                <w:lang w:eastAsia="x-none"/>
              </w:rPr>
              <w:t xml:space="preserve">irinci fıkraya göre, </w:t>
            </w:r>
            <w:r w:rsidRPr="00A23740">
              <w:rPr>
                <w:bCs/>
                <w:szCs w:val="24"/>
                <w:lang w:eastAsia="x-none"/>
              </w:rPr>
              <w:t>haczedilen</w:t>
            </w:r>
            <w:r w:rsidRPr="00A23740">
              <w:rPr>
                <w:bCs/>
                <w:lang w:eastAsia="x-none"/>
              </w:rPr>
              <w:t xml:space="preserve"> </w:t>
            </w:r>
            <w:r w:rsidR="00A50F47" w:rsidRPr="00A23740">
              <w:rPr>
                <w:bCs/>
                <w:szCs w:val="24"/>
                <w:lang w:eastAsia="x-none"/>
              </w:rPr>
              <w:t>malların tamamının paraya çevrilmesi sonucu elde edilen bedel</w:t>
            </w:r>
            <w:r w:rsidR="002344EF" w:rsidRPr="00A23740">
              <w:rPr>
                <w:bCs/>
                <w:szCs w:val="24"/>
                <w:lang w:eastAsia="x-none"/>
              </w:rPr>
              <w:t>in</w:t>
            </w:r>
            <w:r w:rsidR="00A50F47" w:rsidRPr="00A23740">
              <w:rPr>
                <w:bCs/>
                <w:szCs w:val="24"/>
                <w:lang w:eastAsia="x-none"/>
              </w:rPr>
              <w:t xml:space="preserve"> alacaklının alacağını ödemeye yetmesi h</w:t>
            </w:r>
            <w:r w:rsidR="00C224B4" w:rsidRPr="00A23740">
              <w:rPr>
                <w:bCs/>
                <w:szCs w:val="24"/>
                <w:lang w:eastAsia="x-none"/>
              </w:rPr>
              <w:t>â</w:t>
            </w:r>
            <w:r w:rsidR="00A50F47" w:rsidRPr="00A23740">
              <w:rPr>
                <w:bCs/>
                <w:szCs w:val="24"/>
                <w:lang w:eastAsia="x-none"/>
              </w:rPr>
              <w:t>linde, bu bedel</w:t>
            </w:r>
            <w:r w:rsidRPr="00A23740">
              <w:rPr>
                <w:bCs/>
                <w:szCs w:val="24"/>
                <w:lang w:eastAsia="x-none"/>
              </w:rPr>
              <w:t xml:space="preserve"> alacaklıya öden</w:t>
            </w:r>
            <w:r w:rsidR="00B25A02" w:rsidRPr="00A23740">
              <w:rPr>
                <w:bCs/>
                <w:szCs w:val="24"/>
                <w:lang w:eastAsia="x-none"/>
              </w:rPr>
              <w:t>ir</w:t>
            </w:r>
            <w:r w:rsidRPr="00A23740">
              <w:rPr>
                <w:bCs/>
                <w:szCs w:val="24"/>
                <w:lang w:eastAsia="x-none"/>
              </w:rPr>
              <w:t xml:space="preserve"> ve taki</w:t>
            </w:r>
            <w:r w:rsidR="00B25A02" w:rsidRPr="00A23740">
              <w:rPr>
                <w:bCs/>
                <w:szCs w:val="24"/>
                <w:lang w:eastAsia="x-none"/>
              </w:rPr>
              <w:t>p</w:t>
            </w:r>
            <w:r w:rsidRPr="00A23740">
              <w:rPr>
                <w:bCs/>
                <w:szCs w:val="24"/>
                <w:lang w:eastAsia="x-none"/>
              </w:rPr>
              <w:t xml:space="preserve"> sona ere</w:t>
            </w:r>
            <w:r w:rsidR="002344EF" w:rsidRPr="00A23740">
              <w:rPr>
                <w:bCs/>
                <w:szCs w:val="24"/>
                <w:lang w:eastAsia="x-none"/>
              </w:rPr>
              <w:t xml:space="preserve">r. </w:t>
            </w:r>
            <w:r w:rsidR="00FF71D3" w:rsidRPr="00A23740">
              <w:rPr>
                <w:bCs/>
                <w:szCs w:val="24"/>
                <w:lang w:eastAsia="x-none"/>
              </w:rPr>
              <w:t>Bu hüküm kapsamında</w:t>
            </w:r>
            <w:r w:rsidR="00B25A02" w:rsidRPr="00A23740">
              <w:rPr>
                <w:bCs/>
                <w:szCs w:val="24"/>
                <w:lang w:eastAsia="x-none"/>
              </w:rPr>
              <w:t>,</w:t>
            </w:r>
            <w:r w:rsidR="00FF71D3" w:rsidRPr="00A23740">
              <w:rPr>
                <w:bCs/>
                <w:szCs w:val="24"/>
                <w:lang w:eastAsia="x-none"/>
              </w:rPr>
              <w:t xml:space="preserve"> paylaştırmanın yapılabilmesi için satış tutarının bütün ala</w:t>
            </w:r>
            <w:r w:rsidR="00B25A02" w:rsidRPr="00A23740">
              <w:rPr>
                <w:bCs/>
                <w:szCs w:val="24"/>
                <w:lang w:eastAsia="x-none"/>
              </w:rPr>
              <w:t>cakları ödemeye yetmesi gerekir; aksi h</w:t>
            </w:r>
            <w:r w:rsidR="00C224B4" w:rsidRPr="00A23740">
              <w:rPr>
                <w:bCs/>
                <w:szCs w:val="24"/>
                <w:lang w:eastAsia="x-none"/>
              </w:rPr>
              <w:t>â</w:t>
            </w:r>
            <w:r w:rsidR="00B25A02" w:rsidRPr="00A23740">
              <w:rPr>
                <w:bCs/>
                <w:szCs w:val="24"/>
                <w:lang w:eastAsia="x-none"/>
              </w:rPr>
              <w:t>lde icra</w:t>
            </w:r>
            <w:r w:rsidR="00B73523" w:rsidRPr="00A23740">
              <w:rPr>
                <w:b/>
                <w:color w:val="538135"/>
              </w:rPr>
              <w:t xml:space="preserve"> </w:t>
            </w:r>
            <w:r w:rsidR="00B73523" w:rsidRPr="00D60C1D">
              <w:rPr>
                <w:color w:val="000000"/>
              </w:rPr>
              <w:t>ve iflas</w:t>
            </w:r>
            <w:r w:rsidR="00B25A02" w:rsidRPr="00A23740">
              <w:rPr>
                <w:bCs/>
                <w:szCs w:val="24"/>
                <w:lang w:eastAsia="x-none"/>
              </w:rPr>
              <w:t xml:space="preserve"> dairesi paylaştırmaya başlamadan önce derece kararını hazırlamalıdır.</w:t>
            </w:r>
            <w:r w:rsidR="00FF71D3" w:rsidRPr="00A23740">
              <w:rPr>
                <w:bCs/>
                <w:szCs w:val="24"/>
                <w:lang w:eastAsia="x-none"/>
              </w:rPr>
              <w:t xml:space="preserve"> </w:t>
            </w:r>
            <w:r w:rsidR="00AB58C7" w:rsidRPr="00A23740">
              <w:rPr>
                <w:bCs/>
                <w:szCs w:val="24"/>
                <w:lang w:eastAsia="x-none"/>
              </w:rPr>
              <w:t xml:space="preserve">Haczedilen </w:t>
            </w:r>
            <w:r w:rsidR="00A50F47" w:rsidRPr="00A23740">
              <w:rPr>
                <w:bCs/>
                <w:szCs w:val="24"/>
                <w:lang w:eastAsia="x-none"/>
              </w:rPr>
              <w:t xml:space="preserve">malların bir kısmı paraya çevrildiğinde, alacaklıya </w:t>
            </w:r>
            <w:r w:rsidR="008E67A1" w:rsidRPr="00A23740">
              <w:rPr>
                <w:bCs/>
                <w:szCs w:val="24"/>
                <w:lang w:eastAsia="x-none"/>
              </w:rPr>
              <w:t xml:space="preserve">avans olarak </w:t>
            </w:r>
            <w:r w:rsidR="00A50F47" w:rsidRPr="00A23740">
              <w:rPr>
                <w:bCs/>
                <w:szCs w:val="24"/>
                <w:lang w:eastAsia="x-none"/>
              </w:rPr>
              <w:t>geçici ödeme</w:t>
            </w:r>
            <w:r w:rsidR="002344EF" w:rsidRPr="00A23740">
              <w:rPr>
                <w:bCs/>
                <w:szCs w:val="24"/>
                <w:lang w:eastAsia="x-none"/>
              </w:rPr>
              <w:t xml:space="preserve"> de</w:t>
            </w:r>
            <w:r w:rsidR="00A50F47" w:rsidRPr="00A23740">
              <w:rPr>
                <w:bCs/>
                <w:szCs w:val="24"/>
                <w:lang w:eastAsia="x-none"/>
              </w:rPr>
              <w:t xml:space="preserve"> </w:t>
            </w:r>
            <w:r w:rsidR="002344EF" w:rsidRPr="00A23740">
              <w:rPr>
                <w:bCs/>
                <w:szCs w:val="24"/>
                <w:lang w:eastAsia="x-none"/>
              </w:rPr>
              <w:t>yapılabilir</w:t>
            </w:r>
            <w:r w:rsidR="00A50F47" w:rsidRPr="00A23740">
              <w:rPr>
                <w:bCs/>
                <w:szCs w:val="24"/>
                <w:lang w:eastAsia="x-none"/>
              </w:rPr>
              <w:t>.</w:t>
            </w:r>
            <w:r w:rsidR="004D6C61" w:rsidRPr="00A23740">
              <w:rPr>
                <w:bCs/>
                <w:szCs w:val="24"/>
                <w:lang w:eastAsia="x-none"/>
              </w:rPr>
              <w:t xml:space="preserve"> </w:t>
            </w:r>
            <w:r w:rsidR="002344EF" w:rsidRPr="00A23740">
              <w:rPr>
                <w:bCs/>
                <w:szCs w:val="24"/>
                <w:lang w:eastAsia="x-none"/>
              </w:rPr>
              <w:t xml:space="preserve">Hükümde bedelin ödeneceği </w:t>
            </w:r>
            <w:r w:rsidR="008E67A1" w:rsidRPr="00A23740">
              <w:rPr>
                <w:bCs/>
                <w:szCs w:val="24"/>
                <w:lang w:eastAsia="x-none"/>
              </w:rPr>
              <w:t xml:space="preserve">emredici bir şekilde </w:t>
            </w:r>
            <w:r w:rsidR="002344EF" w:rsidRPr="00A23740">
              <w:rPr>
                <w:bCs/>
                <w:szCs w:val="24"/>
                <w:lang w:eastAsia="x-none"/>
              </w:rPr>
              <w:t>belirtilmesi nedeniyle icra</w:t>
            </w:r>
            <w:r w:rsidR="00B73523" w:rsidRPr="00A23740">
              <w:rPr>
                <w:b/>
                <w:color w:val="538135"/>
              </w:rPr>
              <w:t xml:space="preserve"> </w:t>
            </w:r>
            <w:r w:rsidR="00B73523" w:rsidRPr="00D60C1D">
              <w:rPr>
                <w:color w:val="000000"/>
              </w:rPr>
              <w:t>ve iflas</w:t>
            </w:r>
            <w:r w:rsidR="002344EF" w:rsidRPr="00A23740">
              <w:rPr>
                <w:bCs/>
                <w:szCs w:val="24"/>
                <w:lang w:eastAsia="x-none"/>
              </w:rPr>
              <w:t xml:space="preserve"> dairesi, ilgililerin talebini beklemeden kendiliğinden para</w:t>
            </w:r>
            <w:r w:rsidR="002D5828" w:rsidRPr="00A23740">
              <w:rPr>
                <w:bCs/>
                <w:szCs w:val="24"/>
                <w:lang w:eastAsia="x-none"/>
              </w:rPr>
              <w:t xml:space="preserve">nın ödenmesi </w:t>
            </w:r>
            <w:r w:rsidR="002344EF" w:rsidRPr="00A23740">
              <w:rPr>
                <w:bCs/>
                <w:szCs w:val="24"/>
                <w:lang w:eastAsia="x-none"/>
              </w:rPr>
              <w:t xml:space="preserve">işlemlerini yapmakla yükümlüdür. </w:t>
            </w:r>
            <w:r w:rsidR="004D6C61" w:rsidRPr="00A23740">
              <w:rPr>
                <w:bCs/>
                <w:szCs w:val="24"/>
                <w:lang w:eastAsia="x-none"/>
              </w:rPr>
              <w:t>Haczedilen malların tamamının paraya çevrilmesi kuralı, bütün haci</w:t>
            </w:r>
            <w:r w:rsidR="002344EF" w:rsidRPr="00A23740">
              <w:rPr>
                <w:bCs/>
                <w:szCs w:val="24"/>
                <w:lang w:eastAsia="x-none"/>
              </w:rPr>
              <w:t xml:space="preserve">zli </w:t>
            </w:r>
            <w:r w:rsidR="004D6C61" w:rsidRPr="00A23740">
              <w:rPr>
                <w:bCs/>
                <w:szCs w:val="24"/>
                <w:lang w:eastAsia="x-none"/>
              </w:rPr>
              <w:t xml:space="preserve">malların satılmasıyla </w:t>
            </w:r>
            <w:r w:rsidR="002344EF" w:rsidRPr="00A23740">
              <w:rPr>
                <w:bCs/>
                <w:szCs w:val="24"/>
                <w:lang w:eastAsia="x-none"/>
              </w:rPr>
              <w:t xml:space="preserve">takip borcunun </w:t>
            </w:r>
            <w:r w:rsidR="004D6C61" w:rsidRPr="00A23740">
              <w:rPr>
                <w:bCs/>
                <w:szCs w:val="24"/>
                <w:lang w:eastAsia="x-none"/>
              </w:rPr>
              <w:t>karşılandığı durumlar için geçerli olur. A</w:t>
            </w:r>
            <w:r w:rsidR="002344EF" w:rsidRPr="00A23740">
              <w:rPr>
                <w:bCs/>
                <w:szCs w:val="24"/>
                <w:lang w:eastAsia="x-none"/>
              </w:rPr>
              <w:t xml:space="preserve">ncak hacizli </w:t>
            </w:r>
            <w:r w:rsidR="004D6C61" w:rsidRPr="00A23740">
              <w:rPr>
                <w:bCs/>
                <w:szCs w:val="24"/>
                <w:lang w:eastAsia="x-none"/>
              </w:rPr>
              <w:t>malların tamamı satılmadan da bu sonuca ulaşılabilir. Zira satılan malların bedelinden masraflar ile alacakları karşılayan bir tutar elde edilmişse diğer malların satışı yapıl</w:t>
            </w:r>
            <w:r w:rsidR="008E67A1" w:rsidRPr="00A23740">
              <w:rPr>
                <w:bCs/>
                <w:szCs w:val="24"/>
                <w:lang w:eastAsia="x-none"/>
              </w:rPr>
              <w:t>a</w:t>
            </w:r>
            <w:r w:rsidR="004D6C61" w:rsidRPr="00A23740">
              <w:rPr>
                <w:bCs/>
                <w:szCs w:val="24"/>
                <w:lang w:eastAsia="x-none"/>
              </w:rPr>
              <w:t xml:space="preserve">maz. </w:t>
            </w:r>
            <w:r w:rsidR="002344EF" w:rsidRPr="00A23740">
              <w:rPr>
                <w:bCs/>
                <w:szCs w:val="24"/>
                <w:lang w:eastAsia="x-none"/>
              </w:rPr>
              <w:t>Nitekim bu husus Taslağın “Birden fazla malın satışı h</w:t>
            </w:r>
            <w:r w:rsidR="00C224B4" w:rsidRPr="00A23740">
              <w:rPr>
                <w:bCs/>
                <w:szCs w:val="24"/>
                <w:lang w:eastAsia="x-none"/>
              </w:rPr>
              <w:t>â</w:t>
            </w:r>
            <w:r w:rsidR="002344EF" w:rsidRPr="00A23740">
              <w:rPr>
                <w:bCs/>
                <w:szCs w:val="24"/>
                <w:lang w:eastAsia="x-none"/>
              </w:rPr>
              <w:t>linde satışın sonra ermesi” başlıklı</w:t>
            </w:r>
            <w:r w:rsidR="00B8220A" w:rsidRPr="00A23740">
              <w:rPr>
                <w:bCs/>
                <w:szCs w:val="24"/>
                <w:lang w:eastAsia="x-none"/>
              </w:rPr>
              <w:t xml:space="preserve"> </w:t>
            </w:r>
            <w:r w:rsidR="00B8220A" w:rsidRPr="00D60C1D">
              <w:rPr>
                <w:rStyle w:val="KonuBalChar"/>
                <w:rFonts w:eastAsia="Calibri"/>
                <w:b w:val="0"/>
                <w:color w:val="000000"/>
              </w:rPr>
              <w:t>237 nci</w:t>
            </w:r>
            <w:r w:rsidR="002344EF" w:rsidRPr="00A23740">
              <w:rPr>
                <w:bCs/>
                <w:szCs w:val="24"/>
                <w:lang w:eastAsia="x-none"/>
              </w:rPr>
              <w:t xml:space="preserve"> maddesinde</w:t>
            </w:r>
            <w:r w:rsidR="00B25A02" w:rsidRPr="00A23740">
              <w:rPr>
                <w:bCs/>
                <w:szCs w:val="24"/>
                <w:lang w:eastAsia="x-none"/>
              </w:rPr>
              <w:t>,</w:t>
            </w:r>
            <w:r w:rsidR="002344EF" w:rsidRPr="00A23740">
              <w:rPr>
                <w:bCs/>
                <w:szCs w:val="24"/>
                <w:lang w:eastAsia="x-none"/>
              </w:rPr>
              <w:t xml:space="preserve"> birden fazla malın satışa çıkarılması h</w:t>
            </w:r>
            <w:r w:rsidR="00C224B4" w:rsidRPr="00A23740">
              <w:rPr>
                <w:bCs/>
                <w:szCs w:val="24"/>
                <w:lang w:eastAsia="x-none"/>
              </w:rPr>
              <w:t>â</w:t>
            </w:r>
            <w:r w:rsidR="002344EF" w:rsidRPr="00A23740">
              <w:rPr>
                <w:bCs/>
                <w:szCs w:val="24"/>
                <w:lang w:eastAsia="x-none"/>
              </w:rPr>
              <w:t xml:space="preserve">linde satılan malın bedeli kesin haciz sahibi alacaklıların alacak toplamına ulaşırsa diğer malların satışına geçilmeyeceği ve satışın </w:t>
            </w:r>
            <w:r w:rsidR="00DF22A1" w:rsidRPr="00A23740">
              <w:rPr>
                <w:szCs w:val="24"/>
              </w:rPr>
              <w:t xml:space="preserve">derhâl </w:t>
            </w:r>
            <w:r w:rsidR="00B25A02" w:rsidRPr="00A23740">
              <w:rPr>
                <w:bCs/>
                <w:szCs w:val="24"/>
                <w:lang w:eastAsia="x-none"/>
              </w:rPr>
              <w:t>durdurulacağı düzenlenmektedir.</w:t>
            </w:r>
          </w:p>
          <w:p w:rsidR="00A50F47" w:rsidRPr="00A23740" w:rsidRDefault="0033799C" w:rsidP="009431FF">
            <w:pPr>
              <w:ind w:firstLine="709"/>
              <w:rPr>
                <w:bCs/>
                <w:szCs w:val="24"/>
                <w:lang w:eastAsia="x-none"/>
              </w:rPr>
            </w:pPr>
            <w:r w:rsidRPr="00A23740">
              <w:rPr>
                <w:bCs/>
                <w:szCs w:val="24"/>
                <w:lang w:eastAsia="x-none"/>
              </w:rPr>
              <w:t xml:space="preserve">İkinci fıkrayla, </w:t>
            </w:r>
            <w:r w:rsidR="00CA34C6" w:rsidRPr="00A23740">
              <w:rPr>
                <w:bCs/>
                <w:szCs w:val="24"/>
                <w:lang w:eastAsia="x-none"/>
              </w:rPr>
              <w:t xml:space="preserve">paranın ödenmesiyle ilgili giderler belirlenmektedir. Hükme göre, </w:t>
            </w:r>
            <w:r w:rsidRPr="00A23740">
              <w:rPr>
                <w:bCs/>
                <w:szCs w:val="24"/>
                <w:lang w:eastAsia="x-none"/>
              </w:rPr>
              <w:t xml:space="preserve">malın </w:t>
            </w:r>
            <w:r w:rsidR="00A50F47" w:rsidRPr="00A23740">
              <w:rPr>
                <w:bCs/>
                <w:szCs w:val="24"/>
                <w:lang w:eastAsia="x-none"/>
              </w:rPr>
              <w:t>satış bedelinden öncelikle haciz, muhafaza, paraya çevirme ve paylaştırma ile ihale tarihine kadar yapılan idare ve işletme giderleri gibi bütün alacaklıları</w:t>
            </w:r>
            <w:r w:rsidR="00121E42" w:rsidRPr="00A23740">
              <w:rPr>
                <w:bCs/>
                <w:szCs w:val="24"/>
                <w:lang w:eastAsia="x-none"/>
              </w:rPr>
              <w:t>n müşterek menfaatlerini</w:t>
            </w:r>
            <w:r w:rsidR="00A50F47" w:rsidRPr="00A23740">
              <w:rPr>
                <w:bCs/>
                <w:szCs w:val="24"/>
                <w:lang w:eastAsia="x-none"/>
              </w:rPr>
              <w:t xml:space="preserve"> </w:t>
            </w:r>
            <w:r w:rsidR="00591620" w:rsidRPr="00A23740">
              <w:rPr>
                <w:bCs/>
                <w:szCs w:val="24"/>
                <w:lang w:eastAsia="x-none"/>
              </w:rPr>
              <w:t xml:space="preserve">ilgilendiren giderler ödenir ve artan </w:t>
            </w:r>
            <w:r w:rsidR="00A50F47" w:rsidRPr="00A23740">
              <w:rPr>
                <w:bCs/>
                <w:szCs w:val="24"/>
                <w:lang w:eastAsia="x-none"/>
              </w:rPr>
              <w:t xml:space="preserve">tutar malın aynından kaynaklanan kamu alacaklarının ödenmesine tahsis edilir. </w:t>
            </w:r>
            <w:r w:rsidR="00591620" w:rsidRPr="00A23740">
              <w:rPr>
                <w:bCs/>
                <w:szCs w:val="24"/>
                <w:lang w:eastAsia="x-none"/>
              </w:rPr>
              <w:t xml:space="preserve"> </w:t>
            </w:r>
            <w:r w:rsidR="005C364B" w:rsidRPr="00A23740">
              <w:rPr>
                <w:bCs/>
                <w:szCs w:val="24"/>
                <w:lang w:eastAsia="x-none"/>
              </w:rPr>
              <w:t xml:space="preserve">2004 sayılı Kanundan farklı olarak müşterek masraflar arasında ihale tarihine kadar yapılan idare ve işletme giderlerinin de yer aldığı hususu hükümde açıkça düzenlenmektedir. </w:t>
            </w:r>
            <w:r w:rsidR="00B20660" w:rsidRPr="00A23740">
              <w:rPr>
                <w:bCs/>
                <w:szCs w:val="24"/>
                <w:lang w:eastAsia="x-none"/>
              </w:rPr>
              <w:t>Belirtmek gerekir ki, münferit icra dosyalarında yapılan ve bütün alacaklıları ilgilendirmeyen takip giderleri ile vek</w:t>
            </w:r>
            <w:r w:rsidR="00407C95" w:rsidRPr="00A23740">
              <w:t>â</w:t>
            </w:r>
            <w:r w:rsidR="00B20660" w:rsidRPr="00A23740">
              <w:rPr>
                <w:bCs/>
                <w:szCs w:val="24"/>
                <w:lang w:eastAsia="x-none"/>
              </w:rPr>
              <w:t xml:space="preserve">let ücretlerinin diğer alacaklılara karşı önceliği bulunmamaktadır. </w:t>
            </w:r>
            <w:r w:rsidR="004810C0" w:rsidRPr="00A23740">
              <w:rPr>
                <w:bCs/>
                <w:szCs w:val="24"/>
                <w:lang w:eastAsia="x-none"/>
              </w:rPr>
              <w:t>Yine 2004 sayılı Kanundan farklı olarak hükümde</w:t>
            </w:r>
            <w:r w:rsidR="00CA6276" w:rsidRPr="00A23740">
              <w:rPr>
                <w:bCs/>
                <w:szCs w:val="24"/>
                <w:lang w:eastAsia="x-none"/>
              </w:rPr>
              <w:t>,</w:t>
            </w:r>
            <w:r w:rsidR="004810C0" w:rsidRPr="00A23740">
              <w:rPr>
                <w:bCs/>
                <w:szCs w:val="24"/>
                <w:lang w:eastAsia="x-none"/>
              </w:rPr>
              <w:t xml:space="preserve"> Taslağın </w:t>
            </w:r>
            <w:r w:rsidR="00B8220A" w:rsidRPr="00D60C1D">
              <w:rPr>
                <w:rStyle w:val="KonuBalChar"/>
                <w:rFonts w:eastAsia="Calibri"/>
                <w:b w:val="0"/>
                <w:color w:val="000000"/>
              </w:rPr>
              <w:t>317 ncu</w:t>
            </w:r>
            <w:r w:rsidR="00B8220A" w:rsidRPr="00A23740">
              <w:rPr>
                <w:rFonts w:eastAsia="Times New Roman"/>
                <w:b/>
                <w:color w:val="0000FF"/>
                <w:szCs w:val="24"/>
                <w:lang w:eastAsia="tr-TR"/>
              </w:rPr>
              <w:t xml:space="preserve"> </w:t>
            </w:r>
            <w:r w:rsidR="004810C0" w:rsidRPr="00A23740">
              <w:rPr>
                <w:bCs/>
                <w:szCs w:val="24"/>
                <w:lang w:eastAsia="x-none"/>
              </w:rPr>
              <w:t>madde</w:t>
            </w:r>
            <w:r w:rsidR="00CA6276" w:rsidRPr="00A23740">
              <w:rPr>
                <w:bCs/>
                <w:szCs w:val="24"/>
                <w:lang w:eastAsia="x-none"/>
              </w:rPr>
              <w:t>si</w:t>
            </w:r>
            <w:r w:rsidR="004810C0" w:rsidRPr="00A23740">
              <w:rPr>
                <w:bCs/>
                <w:szCs w:val="24"/>
                <w:lang w:eastAsia="x-none"/>
              </w:rPr>
              <w:t>nin birinci fıkrası</w:t>
            </w:r>
            <w:r w:rsidR="005326F1" w:rsidRPr="00A23740">
              <w:rPr>
                <w:bCs/>
                <w:szCs w:val="24"/>
                <w:lang w:eastAsia="x-none"/>
              </w:rPr>
              <w:t xml:space="preserve">nda belirtildiği üzere </w:t>
            </w:r>
            <w:r w:rsidR="00BD4DC5" w:rsidRPr="00A23740">
              <w:rPr>
                <w:bCs/>
                <w:szCs w:val="24"/>
                <w:lang w:eastAsia="x-none"/>
              </w:rPr>
              <w:t>rehinli alacakların satış tutarı üzerindeki rüçhan hakkı</w:t>
            </w:r>
            <w:r w:rsidR="005326F1" w:rsidRPr="00A23740">
              <w:rPr>
                <w:bCs/>
                <w:szCs w:val="24"/>
                <w:lang w:eastAsia="x-none"/>
              </w:rPr>
              <w:t xml:space="preserve">nın </w:t>
            </w:r>
            <w:r w:rsidR="004810C0" w:rsidRPr="00A23740">
              <w:rPr>
                <w:bCs/>
                <w:szCs w:val="24"/>
                <w:lang w:eastAsia="x-none"/>
              </w:rPr>
              <w:t>bu ödemeler bakımından saklı olduğu açıkça belirtilmekte ve artan tutarın malın aynından kaynaklanan kamu alacaklarının ödenmesine tahsis edileceği</w:t>
            </w:r>
            <w:r w:rsidR="00CA6276" w:rsidRPr="00A23740">
              <w:rPr>
                <w:bCs/>
                <w:szCs w:val="24"/>
                <w:lang w:eastAsia="x-none"/>
              </w:rPr>
              <w:t xml:space="preserve"> açıkça</w:t>
            </w:r>
            <w:r w:rsidR="004810C0" w:rsidRPr="00A23740">
              <w:rPr>
                <w:bCs/>
                <w:szCs w:val="24"/>
                <w:lang w:eastAsia="x-none"/>
              </w:rPr>
              <w:t xml:space="preserve"> ifade edilmektedir. </w:t>
            </w:r>
            <w:r w:rsidR="008E67A1" w:rsidRPr="00A23740">
              <w:rPr>
                <w:bCs/>
                <w:szCs w:val="24"/>
                <w:lang w:eastAsia="x-none"/>
              </w:rPr>
              <w:t>T</w:t>
            </w:r>
            <w:r w:rsidR="00A50F47" w:rsidRPr="00A23740">
              <w:rPr>
                <w:bCs/>
                <w:szCs w:val="24"/>
                <w:lang w:eastAsia="x-none"/>
              </w:rPr>
              <w:t>ahsi</w:t>
            </w:r>
            <w:r w:rsidR="00591620" w:rsidRPr="00A23740">
              <w:rPr>
                <w:bCs/>
                <w:szCs w:val="24"/>
                <w:lang w:eastAsia="x-none"/>
              </w:rPr>
              <w:t xml:space="preserve">s yapıldıktan sonra kalan tutar ise </w:t>
            </w:r>
            <w:r w:rsidR="00A50F47" w:rsidRPr="00A23740">
              <w:rPr>
                <w:bCs/>
                <w:szCs w:val="24"/>
                <w:lang w:eastAsia="x-none"/>
              </w:rPr>
              <w:t>takip giderleri ve satışa kadar işlemiş faizler dâhil olduğu h</w:t>
            </w:r>
            <w:r w:rsidR="00C224B4" w:rsidRPr="00A23740">
              <w:rPr>
                <w:bCs/>
                <w:szCs w:val="24"/>
                <w:lang w:eastAsia="x-none"/>
              </w:rPr>
              <w:t>â</w:t>
            </w:r>
            <w:r w:rsidR="00A50F47" w:rsidRPr="00A23740">
              <w:rPr>
                <w:bCs/>
                <w:szCs w:val="24"/>
                <w:lang w:eastAsia="x-none"/>
              </w:rPr>
              <w:t xml:space="preserve">lde </w:t>
            </w:r>
            <w:r w:rsidR="00921568" w:rsidRPr="00A23740">
              <w:rPr>
                <w:bCs/>
                <w:szCs w:val="24"/>
                <w:lang w:eastAsia="x-none"/>
              </w:rPr>
              <w:t>kesin haciz sahibi alacaklılara</w:t>
            </w:r>
            <w:r w:rsidR="00CA6276" w:rsidRPr="00A23740">
              <w:rPr>
                <w:bCs/>
                <w:szCs w:val="24"/>
                <w:lang w:eastAsia="x-none"/>
              </w:rPr>
              <w:t>,</w:t>
            </w:r>
            <w:r w:rsidR="00921568" w:rsidRPr="00A23740">
              <w:rPr>
                <w:bCs/>
                <w:szCs w:val="24"/>
                <w:lang w:eastAsia="x-none"/>
              </w:rPr>
              <w:t xml:space="preserve"> </w:t>
            </w:r>
            <w:r w:rsidR="00EC7C81" w:rsidRPr="00A23740">
              <w:rPr>
                <w:bCs/>
                <w:szCs w:val="24"/>
                <w:lang w:eastAsia="x-none"/>
              </w:rPr>
              <w:t xml:space="preserve">alacakları </w:t>
            </w:r>
            <w:r w:rsidR="00B65310" w:rsidRPr="00D60C1D">
              <w:rPr>
                <w:bCs/>
                <w:color w:val="000000"/>
                <w:szCs w:val="24"/>
                <w:lang w:eastAsia="x-none"/>
              </w:rPr>
              <w:t>oranında</w:t>
            </w:r>
            <w:r w:rsidR="00B65310" w:rsidRPr="00A23740">
              <w:rPr>
                <w:bCs/>
                <w:color w:val="385623"/>
                <w:szCs w:val="24"/>
                <w:lang w:eastAsia="x-none"/>
              </w:rPr>
              <w:t xml:space="preserve"> </w:t>
            </w:r>
            <w:r w:rsidR="00A50F47" w:rsidRPr="00A23740">
              <w:rPr>
                <w:bCs/>
                <w:szCs w:val="24"/>
                <w:lang w:eastAsia="x-none"/>
              </w:rPr>
              <w:t>ödenir.</w:t>
            </w:r>
            <w:r w:rsidR="004B739D" w:rsidRPr="00A23740">
              <w:rPr>
                <w:bCs/>
                <w:szCs w:val="24"/>
                <w:lang w:eastAsia="x-none"/>
              </w:rPr>
              <w:t xml:space="preserve"> </w:t>
            </w:r>
            <w:r w:rsidR="00BD45D7" w:rsidRPr="00A23740">
              <w:rPr>
                <w:bCs/>
                <w:szCs w:val="24"/>
                <w:lang w:eastAsia="x-none"/>
              </w:rPr>
              <w:t>Buna göre ödeme; takip konusu yapılacak alacağın aslını, talep edilmişse alacak için işlemiş</w:t>
            </w:r>
            <w:r w:rsidR="00CA6276" w:rsidRPr="00A23740">
              <w:rPr>
                <w:bCs/>
                <w:szCs w:val="24"/>
                <w:lang w:eastAsia="x-none"/>
              </w:rPr>
              <w:t xml:space="preserve"> olan</w:t>
            </w:r>
            <w:r w:rsidR="00BD45D7" w:rsidRPr="00A23740">
              <w:rPr>
                <w:bCs/>
                <w:szCs w:val="24"/>
                <w:lang w:eastAsia="x-none"/>
              </w:rPr>
              <w:t xml:space="preserve"> faizi ve takip giderlerini kapsar. </w:t>
            </w:r>
            <w:r w:rsidR="00CA6276" w:rsidRPr="00A23740">
              <w:rPr>
                <w:bCs/>
                <w:szCs w:val="24"/>
                <w:lang w:eastAsia="x-none"/>
              </w:rPr>
              <w:t xml:space="preserve">Ancak, dördüncü </w:t>
            </w:r>
            <w:r w:rsidR="0000122A" w:rsidRPr="00A23740">
              <w:rPr>
                <w:bCs/>
                <w:szCs w:val="24"/>
                <w:lang w:eastAsia="x-none"/>
              </w:rPr>
              <w:t>fıkrada belirtildiği üzere hacze geçici olarak iştirak d</w:t>
            </w:r>
            <w:r w:rsidR="00B20660" w:rsidRPr="00A23740">
              <w:rPr>
                <w:bCs/>
                <w:szCs w:val="24"/>
                <w:lang w:eastAsia="x-none"/>
              </w:rPr>
              <w:t>urumunda bu ödeme yapılmaz.</w:t>
            </w:r>
          </w:p>
          <w:p w:rsidR="00A50F47" w:rsidRPr="00A23740" w:rsidRDefault="0033799C" w:rsidP="009431FF">
            <w:pPr>
              <w:ind w:firstLine="709"/>
              <w:rPr>
                <w:bCs/>
                <w:szCs w:val="24"/>
                <w:lang w:eastAsia="x-none"/>
              </w:rPr>
            </w:pPr>
            <w:r w:rsidRPr="00A23740">
              <w:rPr>
                <w:bCs/>
                <w:szCs w:val="24"/>
                <w:lang w:eastAsia="x-none"/>
              </w:rPr>
              <w:t>Ü</w:t>
            </w:r>
            <w:r w:rsidR="003A70C1" w:rsidRPr="00A23740">
              <w:rPr>
                <w:bCs/>
                <w:szCs w:val="24"/>
                <w:lang w:eastAsia="x-none"/>
              </w:rPr>
              <w:t>çüncü fıkrayla, icra takiplerinde vek</w:t>
            </w:r>
            <w:r w:rsidR="00407C95" w:rsidRPr="00A23740">
              <w:t>â</w:t>
            </w:r>
            <w:r w:rsidR="003A70C1" w:rsidRPr="00A23740">
              <w:rPr>
                <w:bCs/>
                <w:szCs w:val="24"/>
                <w:lang w:eastAsia="x-none"/>
              </w:rPr>
              <w:t xml:space="preserve">let ücretinin hesaplanmasına ilişkin esaslar belirlenmektedir. Buna göre, vekil marifetiyle </w:t>
            </w:r>
            <w:r w:rsidR="00A50F47" w:rsidRPr="00A23740">
              <w:rPr>
                <w:bCs/>
                <w:szCs w:val="24"/>
                <w:lang w:eastAsia="x-none"/>
              </w:rPr>
              <w:t xml:space="preserve">yapılan takiplerde vekâlet ücretinin miktarı, alacaklı ile borçlu arasında yapılmış sözleşmeye bakılmaksızın, icra </w:t>
            </w:r>
            <w:r w:rsidR="007D74DD" w:rsidRPr="00D60C1D">
              <w:rPr>
                <w:color w:val="000000"/>
              </w:rPr>
              <w:t>ve iflas</w:t>
            </w:r>
            <w:r w:rsidR="007D74DD" w:rsidRPr="00A23740">
              <w:rPr>
                <w:b/>
                <w:color w:val="385623"/>
              </w:rPr>
              <w:t xml:space="preserve"> </w:t>
            </w:r>
            <w:r w:rsidR="00A50F47" w:rsidRPr="00A23740">
              <w:rPr>
                <w:bCs/>
                <w:szCs w:val="24"/>
                <w:lang w:eastAsia="x-none"/>
              </w:rPr>
              <w:t xml:space="preserve">müdürü tarafından icra takibinde yapılan tahsilat miktarıyla orantılı olarak avukatlık asgari ücret tarifesine göre hesaplanır. </w:t>
            </w:r>
            <w:r w:rsidR="00811ADA" w:rsidRPr="00A23740">
              <w:rPr>
                <w:bCs/>
                <w:szCs w:val="24"/>
                <w:lang w:eastAsia="x-none"/>
              </w:rPr>
              <w:t>2004 sayılı Kanundan farklı olarak ve borçlunun mülkiyet hakkının korunması amacıyla</w:t>
            </w:r>
            <w:r w:rsidR="00CA6276" w:rsidRPr="00A23740">
              <w:rPr>
                <w:bCs/>
                <w:szCs w:val="24"/>
                <w:lang w:eastAsia="x-none"/>
              </w:rPr>
              <w:t xml:space="preserve"> hükümde,</w:t>
            </w:r>
            <w:r w:rsidR="00811ADA" w:rsidRPr="00A23740">
              <w:rPr>
                <w:bCs/>
                <w:szCs w:val="24"/>
                <w:lang w:eastAsia="x-none"/>
              </w:rPr>
              <w:t xml:space="preserve"> bu şekil</w:t>
            </w:r>
            <w:r w:rsidR="00A50F47" w:rsidRPr="00A23740">
              <w:rPr>
                <w:bCs/>
                <w:szCs w:val="24"/>
                <w:lang w:eastAsia="x-none"/>
              </w:rPr>
              <w:t>de hesaplanan vek</w:t>
            </w:r>
            <w:r w:rsidR="00407C95" w:rsidRPr="00A23740">
              <w:rPr>
                <w:bCs/>
                <w:szCs w:val="24"/>
                <w:lang w:eastAsia="x-none"/>
              </w:rPr>
              <w:t>â</w:t>
            </w:r>
            <w:r w:rsidR="00A50F47" w:rsidRPr="00A23740">
              <w:rPr>
                <w:bCs/>
                <w:szCs w:val="24"/>
                <w:lang w:eastAsia="x-none"/>
              </w:rPr>
              <w:t>let ücreti miktarı</w:t>
            </w:r>
            <w:r w:rsidR="00811ADA" w:rsidRPr="00A23740">
              <w:rPr>
                <w:bCs/>
                <w:szCs w:val="24"/>
                <w:lang w:eastAsia="x-none"/>
              </w:rPr>
              <w:t>nın</w:t>
            </w:r>
            <w:r w:rsidR="00A50F47" w:rsidRPr="00A23740">
              <w:rPr>
                <w:bCs/>
                <w:szCs w:val="24"/>
                <w:lang w:eastAsia="x-none"/>
              </w:rPr>
              <w:t xml:space="preserve"> takip konusu alacağın tamamı üzerinden hesaplanacak </w:t>
            </w:r>
            <w:r w:rsidR="003A70C1" w:rsidRPr="00A23740">
              <w:rPr>
                <w:bCs/>
                <w:szCs w:val="24"/>
                <w:lang w:eastAsia="x-none"/>
              </w:rPr>
              <w:t>vek</w:t>
            </w:r>
            <w:r w:rsidR="00407C95" w:rsidRPr="00A23740">
              <w:rPr>
                <w:bCs/>
                <w:szCs w:val="24"/>
                <w:lang w:eastAsia="x-none"/>
              </w:rPr>
              <w:t>â</w:t>
            </w:r>
            <w:r w:rsidR="003A70C1" w:rsidRPr="00A23740">
              <w:rPr>
                <w:bCs/>
                <w:szCs w:val="24"/>
                <w:lang w:eastAsia="x-none"/>
              </w:rPr>
              <w:t>let ücreti miktarını aşama</w:t>
            </w:r>
            <w:r w:rsidR="00811ADA" w:rsidRPr="00A23740">
              <w:rPr>
                <w:bCs/>
                <w:szCs w:val="24"/>
                <w:lang w:eastAsia="x-none"/>
              </w:rPr>
              <w:t>yacağı açık bir şekilde belirtilmektedir.</w:t>
            </w:r>
            <w:r w:rsidR="003A70C1" w:rsidRPr="00A23740">
              <w:rPr>
                <w:bCs/>
                <w:szCs w:val="24"/>
                <w:lang w:eastAsia="x-none"/>
              </w:rPr>
              <w:t xml:space="preserve"> İcra </w:t>
            </w:r>
            <w:r w:rsidR="00DB5897" w:rsidRPr="00A23740">
              <w:rPr>
                <w:bCs/>
                <w:szCs w:val="24"/>
                <w:lang w:eastAsia="x-none"/>
              </w:rPr>
              <w:t xml:space="preserve">ve iflas </w:t>
            </w:r>
            <w:r w:rsidR="003A70C1" w:rsidRPr="00A23740">
              <w:rPr>
                <w:bCs/>
                <w:szCs w:val="24"/>
                <w:lang w:eastAsia="x-none"/>
              </w:rPr>
              <w:t xml:space="preserve">müdürü tarafından bu fıkrada belirlenen esaslar dahilinde hesaplanan </w:t>
            </w:r>
            <w:r w:rsidR="00A50F47" w:rsidRPr="00A23740">
              <w:rPr>
                <w:bCs/>
                <w:szCs w:val="24"/>
                <w:lang w:eastAsia="x-none"/>
              </w:rPr>
              <w:t xml:space="preserve">vekâlet ücreti, </w:t>
            </w:r>
            <w:r w:rsidR="003A70C1" w:rsidRPr="00A23740">
              <w:rPr>
                <w:bCs/>
                <w:szCs w:val="24"/>
                <w:lang w:eastAsia="x-none"/>
              </w:rPr>
              <w:t xml:space="preserve">söz konusu takip dosyası </w:t>
            </w:r>
            <w:r w:rsidR="00A50F47" w:rsidRPr="00A23740">
              <w:rPr>
                <w:bCs/>
                <w:szCs w:val="24"/>
                <w:lang w:eastAsia="x-none"/>
              </w:rPr>
              <w:t xml:space="preserve">bakımından takip </w:t>
            </w:r>
            <w:r w:rsidR="00811ADA" w:rsidRPr="00A23740">
              <w:rPr>
                <w:bCs/>
                <w:szCs w:val="24"/>
                <w:lang w:eastAsia="x-none"/>
              </w:rPr>
              <w:t>gideri sayılır</w:t>
            </w:r>
            <w:r w:rsidR="003A70C1" w:rsidRPr="00A23740">
              <w:rPr>
                <w:bCs/>
                <w:szCs w:val="24"/>
                <w:lang w:eastAsia="x-none"/>
              </w:rPr>
              <w:t xml:space="preserve">. </w:t>
            </w:r>
            <w:r w:rsidR="0098660A" w:rsidRPr="00A23740">
              <w:rPr>
                <w:bCs/>
                <w:szCs w:val="24"/>
                <w:lang w:eastAsia="x-none"/>
              </w:rPr>
              <w:t>1136 sayılı Avukatlık Kanununun 166 ncı maddesine göre avukat, müvekkili tarafından verilen veya onun namına aldığı malları, parayı ve diğer her türlü kıymetleri, avukatlık ücreti ve gider</w:t>
            </w:r>
            <w:r w:rsidR="00DB5897" w:rsidRPr="00A23740">
              <w:rPr>
                <w:bCs/>
                <w:szCs w:val="24"/>
                <w:lang w:eastAsia="x-none"/>
              </w:rPr>
              <w:t>ler</w:t>
            </w:r>
            <w:r w:rsidR="0098660A" w:rsidRPr="00A23740">
              <w:rPr>
                <w:bCs/>
                <w:szCs w:val="24"/>
                <w:lang w:eastAsia="x-none"/>
              </w:rPr>
              <w:t xml:space="preserve">in ödenmesine kadar, kendi alacağı </w:t>
            </w:r>
            <w:r w:rsidR="00B65310" w:rsidRPr="00D60C1D">
              <w:rPr>
                <w:bCs/>
                <w:color w:val="000000"/>
                <w:szCs w:val="24"/>
                <w:lang w:eastAsia="x-none"/>
              </w:rPr>
              <w:t>oranında</w:t>
            </w:r>
            <w:r w:rsidR="00B65310" w:rsidRPr="00A23740">
              <w:rPr>
                <w:bCs/>
                <w:color w:val="385623"/>
                <w:szCs w:val="24"/>
                <w:lang w:eastAsia="x-none"/>
              </w:rPr>
              <w:t xml:space="preserve"> </w:t>
            </w:r>
            <w:r w:rsidR="0098660A" w:rsidRPr="00A23740">
              <w:rPr>
                <w:bCs/>
                <w:szCs w:val="24"/>
                <w:lang w:eastAsia="x-none"/>
              </w:rPr>
              <w:t>elinde tutabilir. Hesaplanan vek</w:t>
            </w:r>
            <w:r w:rsidR="00407C95" w:rsidRPr="00A23740">
              <w:rPr>
                <w:bCs/>
                <w:szCs w:val="24"/>
                <w:lang w:eastAsia="x-none"/>
              </w:rPr>
              <w:t>â</w:t>
            </w:r>
            <w:r w:rsidR="0098660A" w:rsidRPr="00A23740">
              <w:rPr>
                <w:bCs/>
                <w:szCs w:val="24"/>
                <w:lang w:eastAsia="x-none"/>
              </w:rPr>
              <w:t>let ücreti miktarı, takip konusu alacağın tamamı üzerinden hesaplanacak vek</w:t>
            </w:r>
            <w:r w:rsidR="00407C95" w:rsidRPr="00A23740">
              <w:rPr>
                <w:bCs/>
                <w:szCs w:val="24"/>
                <w:lang w:eastAsia="x-none"/>
              </w:rPr>
              <w:t>â</w:t>
            </w:r>
            <w:r w:rsidR="0098660A" w:rsidRPr="00A23740">
              <w:rPr>
                <w:bCs/>
                <w:szCs w:val="24"/>
                <w:lang w:eastAsia="x-none"/>
              </w:rPr>
              <w:t>let ücreti miktarını aşamayacağından</w:t>
            </w:r>
            <w:r w:rsidR="00CA6276" w:rsidRPr="00A23740">
              <w:rPr>
                <w:bCs/>
                <w:szCs w:val="24"/>
                <w:lang w:eastAsia="x-none"/>
              </w:rPr>
              <w:t>,</w:t>
            </w:r>
            <w:r w:rsidR="0098660A" w:rsidRPr="00A23740">
              <w:rPr>
                <w:bCs/>
                <w:szCs w:val="24"/>
                <w:lang w:eastAsia="x-none"/>
              </w:rPr>
              <w:t xml:space="preserve"> </w:t>
            </w:r>
            <w:r w:rsidR="00811ADA" w:rsidRPr="00A23740">
              <w:rPr>
                <w:bCs/>
                <w:szCs w:val="24"/>
                <w:lang w:eastAsia="x-none"/>
              </w:rPr>
              <w:t>1136 sayılı Kanunun</w:t>
            </w:r>
            <w:r w:rsidR="0098660A" w:rsidRPr="00A23740">
              <w:rPr>
                <w:bCs/>
                <w:szCs w:val="24"/>
                <w:lang w:eastAsia="x-none"/>
              </w:rPr>
              <w:t xml:space="preserve"> anılan hükmü uyarınca avukatın elinde tutabileceği mal, para ve her türlü kıymetin değerinde de</w:t>
            </w:r>
            <w:r w:rsidR="00811ADA" w:rsidRPr="00A23740">
              <w:rPr>
                <w:bCs/>
                <w:szCs w:val="24"/>
                <w:lang w:eastAsia="x-none"/>
              </w:rPr>
              <w:t xml:space="preserve"> bu miktar dikkate alınmalıdır.</w:t>
            </w:r>
          </w:p>
          <w:p w:rsidR="00A50F47" w:rsidRPr="00A23740" w:rsidRDefault="0033799C" w:rsidP="009431FF">
            <w:pPr>
              <w:ind w:firstLine="709"/>
              <w:rPr>
                <w:bCs/>
                <w:szCs w:val="24"/>
                <w:lang w:eastAsia="x-none"/>
              </w:rPr>
            </w:pPr>
            <w:r w:rsidRPr="00A23740">
              <w:rPr>
                <w:bCs/>
                <w:szCs w:val="24"/>
                <w:lang w:eastAsia="x-none"/>
              </w:rPr>
              <w:t>D</w:t>
            </w:r>
            <w:r w:rsidR="007F1E7C" w:rsidRPr="00A23740">
              <w:rPr>
                <w:bCs/>
                <w:szCs w:val="24"/>
                <w:lang w:eastAsia="x-none"/>
              </w:rPr>
              <w:t xml:space="preserve">ördüncü fıkrayla, ihtiyati </w:t>
            </w:r>
            <w:r w:rsidR="00A50F47" w:rsidRPr="00A23740">
              <w:rPr>
                <w:bCs/>
                <w:szCs w:val="24"/>
                <w:lang w:eastAsia="x-none"/>
              </w:rPr>
              <w:t>haciz veya imtiyazlı iştirak dolayısıyla hacze geçici olarak iştirak eden alacaklıların payları</w:t>
            </w:r>
            <w:r w:rsidR="007F1E7C" w:rsidRPr="00A23740">
              <w:rPr>
                <w:bCs/>
                <w:szCs w:val="24"/>
                <w:lang w:eastAsia="x-none"/>
              </w:rPr>
              <w:t>nın</w:t>
            </w:r>
            <w:r w:rsidR="00A50F47" w:rsidRPr="00A23740">
              <w:rPr>
                <w:bCs/>
                <w:szCs w:val="24"/>
                <w:lang w:eastAsia="x-none"/>
              </w:rPr>
              <w:t xml:space="preserve"> nemalandırılmak üzere</w:t>
            </w:r>
            <w:r w:rsidR="007F1E7C" w:rsidRPr="00A23740">
              <w:rPr>
                <w:bCs/>
                <w:szCs w:val="24"/>
                <w:lang w:eastAsia="x-none"/>
              </w:rPr>
              <w:t xml:space="preserve"> bankaya yatırılacağı ve bu payların </w:t>
            </w:r>
            <w:r w:rsidR="00A50F47" w:rsidRPr="00A23740">
              <w:rPr>
                <w:bCs/>
                <w:szCs w:val="24"/>
                <w:lang w:eastAsia="x-none"/>
              </w:rPr>
              <w:t>hacze iştirak kesinleştiğinde neması</w:t>
            </w:r>
            <w:r w:rsidR="007F1E7C" w:rsidRPr="00A23740">
              <w:rPr>
                <w:bCs/>
                <w:szCs w:val="24"/>
                <w:lang w:eastAsia="x-none"/>
              </w:rPr>
              <w:t>yla birlikte hak sahibine ödeneceği hükme bağlanmaktadır</w:t>
            </w:r>
            <w:r w:rsidR="00A50F47" w:rsidRPr="00A23740">
              <w:rPr>
                <w:bCs/>
                <w:szCs w:val="24"/>
                <w:lang w:eastAsia="x-none"/>
              </w:rPr>
              <w:t>.</w:t>
            </w:r>
            <w:r w:rsidR="00811ADA" w:rsidRPr="00A23740">
              <w:rPr>
                <w:bCs/>
                <w:szCs w:val="24"/>
                <w:lang w:eastAsia="x-none"/>
              </w:rPr>
              <w:t xml:space="preserve"> Taslakta</w:t>
            </w:r>
            <w:r w:rsidR="00CA6276" w:rsidRPr="00A23740">
              <w:rPr>
                <w:bCs/>
                <w:szCs w:val="24"/>
                <w:lang w:eastAsia="x-none"/>
              </w:rPr>
              <w:t>,</w:t>
            </w:r>
            <w:r w:rsidR="00811ADA" w:rsidRPr="00A23740">
              <w:rPr>
                <w:bCs/>
                <w:szCs w:val="24"/>
                <w:lang w:eastAsia="x-none"/>
              </w:rPr>
              <w:t xml:space="preserve"> itirazın geçici kaldırılması ve geçici hacize ilişkin hükümler yer almamaktadır. Buna karşılık paraların paylaştırılmasında imtiyazlı iştirak ve ihtiyati haciz dolayısıyla geçici olarak iştirak eden alacaklıların paylarının saklanması için fıkra hükmü muhafaza edilmekte</w:t>
            </w:r>
            <w:r w:rsidR="009322ED" w:rsidRPr="00A23740">
              <w:rPr>
                <w:bCs/>
                <w:szCs w:val="24"/>
                <w:lang w:eastAsia="x-none"/>
              </w:rPr>
              <w:t>,</w:t>
            </w:r>
            <w:r w:rsidR="00811ADA" w:rsidRPr="00A23740">
              <w:rPr>
                <w:bCs/>
                <w:szCs w:val="24"/>
                <w:lang w:eastAsia="x-none"/>
              </w:rPr>
              <w:t xml:space="preserve"> fakat “geçici haciz” ibaresi “geçici iştirak” </w:t>
            </w:r>
            <w:r w:rsidR="008347FC" w:rsidRPr="00A23740">
              <w:rPr>
                <w:bCs/>
                <w:szCs w:val="24"/>
                <w:lang w:eastAsia="x-none"/>
              </w:rPr>
              <w:t>olarak değiştirilmektedir</w:t>
            </w:r>
            <w:r w:rsidR="00811ADA" w:rsidRPr="00A23740">
              <w:rPr>
                <w:bCs/>
                <w:szCs w:val="24"/>
                <w:lang w:eastAsia="x-none"/>
              </w:rPr>
              <w:t>.</w:t>
            </w:r>
          </w:p>
          <w:p w:rsidR="00DD477C" w:rsidRDefault="00010F5A" w:rsidP="009431FF">
            <w:pPr>
              <w:ind w:firstLine="709"/>
              <w:rPr>
                <w:rStyle w:val="YELChar"/>
                <w:b w:val="0"/>
                <w:color w:val="000000"/>
              </w:rPr>
            </w:pPr>
            <w:r w:rsidRPr="00A23740">
              <w:rPr>
                <w:bCs/>
                <w:szCs w:val="24"/>
                <w:lang w:eastAsia="x-none"/>
              </w:rPr>
              <w:t>Öte yandan, 2004 sayılı Kanunun “İcra dairesinin tamamlama hacizleri” başlıklı 139 uncu maddesi, Bilim K</w:t>
            </w:r>
            <w:r w:rsidR="00C52072" w:rsidRPr="00A23740">
              <w:rPr>
                <w:bCs/>
                <w:szCs w:val="24"/>
                <w:lang w:eastAsia="x-none"/>
              </w:rPr>
              <w:t>omisyonu çalışmaları sırasında</w:t>
            </w:r>
            <w:r w:rsidRPr="00A23740">
              <w:rPr>
                <w:bCs/>
                <w:szCs w:val="24"/>
                <w:lang w:eastAsia="x-none"/>
              </w:rPr>
              <w:t xml:space="preserve"> uygulamada</w:t>
            </w:r>
            <w:r w:rsidR="00C61A0A" w:rsidRPr="00A23740">
              <w:rPr>
                <w:bCs/>
                <w:szCs w:val="24"/>
                <w:lang w:eastAsia="x-none"/>
              </w:rPr>
              <w:t xml:space="preserve"> tamamlama haczi usulüne</w:t>
            </w:r>
            <w:r w:rsidRPr="00A23740">
              <w:rPr>
                <w:bCs/>
                <w:szCs w:val="24"/>
                <w:lang w:eastAsia="x-none"/>
              </w:rPr>
              <w:t xml:space="preserve"> başvurulmadığı ve başvurulan </w:t>
            </w:r>
            <w:r w:rsidR="00C61A0A" w:rsidRPr="00A23740">
              <w:rPr>
                <w:bCs/>
                <w:szCs w:val="24"/>
                <w:lang w:eastAsia="x-none"/>
              </w:rPr>
              <w:t xml:space="preserve">nadir </w:t>
            </w:r>
            <w:r w:rsidRPr="00A23740">
              <w:rPr>
                <w:bCs/>
                <w:szCs w:val="24"/>
                <w:lang w:eastAsia="x-none"/>
              </w:rPr>
              <w:t>h</w:t>
            </w:r>
            <w:r w:rsidR="00C224B4" w:rsidRPr="00A23740">
              <w:rPr>
                <w:bCs/>
                <w:szCs w:val="24"/>
                <w:lang w:eastAsia="x-none"/>
              </w:rPr>
              <w:t>â</w:t>
            </w:r>
            <w:r w:rsidRPr="00A23740">
              <w:rPr>
                <w:bCs/>
                <w:szCs w:val="24"/>
                <w:lang w:eastAsia="x-none"/>
              </w:rPr>
              <w:t xml:space="preserve">llerde ise </w:t>
            </w:r>
            <w:r w:rsidR="00812AE8" w:rsidRPr="00D60C1D">
              <w:rPr>
                <w:rStyle w:val="YELChar"/>
                <w:b w:val="0"/>
                <w:color w:val="000000"/>
              </w:rPr>
              <w:t>çözümü güç</w:t>
            </w:r>
            <w:r w:rsidRPr="00A23740">
              <w:rPr>
                <w:bCs/>
                <w:szCs w:val="24"/>
                <w:lang w:eastAsia="x-none"/>
              </w:rPr>
              <w:t xml:space="preserve"> sorunlara neden olduğu değerlendirilerek</w:t>
            </w:r>
            <w:r w:rsidR="009322ED" w:rsidRPr="00A23740">
              <w:rPr>
                <w:bCs/>
                <w:szCs w:val="24"/>
                <w:lang w:eastAsia="x-none"/>
              </w:rPr>
              <w:t>,</w:t>
            </w:r>
            <w:r w:rsidRPr="00A23740">
              <w:rPr>
                <w:bCs/>
                <w:szCs w:val="24"/>
                <w:lang w:eastAsia="x-none"/>
              </w:rPr>
              <w:t xml:space="preserve"> Taslakta</w:t>
            </w:r>
            <w:r w:rsidR="00C61A0A" w:rsidRPr="00A23740">
              <w:rPr>
                <w:bCs/>
                <w:szCs w:val="24"/>
                <w:lang w:eastAsia="x-none"/>
              </w:rPr>
              <w:t xml:space="preserve"> muhafaza edilmemektedir</w:t>
            </w:r>
            <w:r w:rsidR="00CA6276" w:rsidRPr="00A23740">
              <w:rPr>
                <w:bCs/>
                <w:szCs w:val="24"/>
                <w:lang w:eastAsia="x-none"/>
              </w:rPr>
              <w:t>.</w:t>
            </w:r>
            <w:r w:rsidR="00812AE8" w:rsidRPr="00A23740">
              <w:rPr>
                <w:bCs/>
                <w:szCs w:val="24"/>
                <w:lang w:eastAsia="x-none"/>
              </w:rPr>
              <w:t xml:space="preserve"> </w:t>
            </w:r>
            <w:r w:rsidR="00812AE8" w:rsidRPr="00D60C1D">
              <w:rPr>
                <w:rStyle w:val="YELChar"/>
                <w:b w:val="0"/>
                <w:color w:val="000000"/>
              </w:rPr>
              <w:t>Buna göre</w:t>
            </w:r>
            <w:r w:rsidR="00EF5B2E" w:rsidRPr="00D60C1D">
              <w:rPr>
                <w:rStyle w:val="YELChar"/>
                <w:b w:val="0"/>
                <w:color w:val="000000"/>
              </w:rPr>
              <w:t>,</w:t>
            </w:r>
            <w:r w:rsidR="00812AE8" w:rsidRPr="00D60C1D">
              <w:rPr>
                <w:rStyle w:val="YELChar"/>
                <w:b w:val="0"/>
                <w:color w:val="000000"/>
              </w:rPr>
              <w:t xml:space="preserve"> gerçekleştirilen satışlar sonunda takip </w:t>
            </w:r>
            <w:r w:rsidR="009322ED" w:rsidRPr="00D60C1D">
              <w:rPr>
                <w:rStyle w:val="YELChar"/>
                <w:b w:val="0"/>
                <w:color w:val="000000"/>
              </w:rPr>
              <w:t xml:space="preserve">konusu  alacak </w:t>
            </w:r>
            <w:r w:rsidR="00812AE8" w:rsidRPr="00D60C1D">
              <w:rPr>
                <w:rStyle w:val="YELChar"/>
                <w:b w:val="0"/>
                <w:color w:val="000000"/>
              </w:rPr>
              <w:t>karşılanamamışsa</w:t>
            </w:r>
            <w:r w:rsidR="009322ED" w:rsidRPr="00D60C1D">
              <w:rPr>
                <w:rStyle w:val="YELChar"/>
                <w:b w:val="0"/>
                <w:color w:val="000000"/>
              </w:rPr>
              <w:t>,</w:t>
            </w:r>
            <w:r w:rsidR="00812AE8" w:rsidRPr="00D60C1D">
              <w:rPr>
                <w:rStyle w:val="YELChar"/>
                <w:b w:val="0"/>
                <w:color w:val="000000"/>
              </w:rPr>
              <w:t xml:space="preserve"> icra </w:t>
            </w:r>
            <w:r w:rsidR="007D74DD" w:rsidRPr="00D60C1D">
              <w:rPr>
                <w:color w:val="000000"/>
              </w:rPr>
              <w:t>ve iflas</w:t>
            </w:r>
            <w:r w:rsidR="007D74DD" w:rsidRPr="00D60C1D">
              <w:rPr>
                <w:b/>
                <w:color w:val="000000"/>
              </w:rPr>
              <w:t xml:space="preserve"> </w:t>
            </w:r>
            <w:r w:rsidR="00812AE8" w:rsidRPr="00D60C1D">
              <w:rPr>
                <w:rStyle w:val="YELChar"/>
                <w:b w:val="0"/>
                <w:color w:val="000000"/>
              </w:rPr>
              <w:t xml:space="preserve">müdürünün resen tamamlama haczi yapabilmesi mümkün olamayacağından alacaklının yeniden haciz ve  icra </w:t>
            </w:r>
            <w:r w:rsidR="00B73523" w:rsidRPr="00D60C1D">
              <w:rPr>
                <w:color w:val="000000"/>
              </w:rPr>
              <w:t>ve iflas</w:t>
            </w:r>
            <w:r w:rsidR="00B73523" w:rsidRPr="00D60C1D">
              <w:rPr>
                <w:b/>
                <w:bCs/>
                <w:color w:val="000000"/>
                <w:szCs w:val="24"/>
                <w:lang w:val="x-none" w:eastAsia="x-none"/>
              </w:rPr>
              <w:t xml:space="preserve"> </w:t>
            </w:r>
            <w:r w:rsidR="00812AE8" w:rsidRPr="00D60C1D">
              <w:rPr>
                <w:rStyle w:val="YELChar"/>
                <w:b w:val="0"/>
                <w:color w:val="000000"/>
              </w:rPr>
              <w:t>dairesi tarafından bu şekilde yapılmış olan hacizler hakkında satış talebinde bulunması gerekecektir.</w:t>
            </w:r>
          </w:p>
          <w:p w:rsidR="0016377F" w:rsidRDefault="0016377F" w:rsidP="009431FF">
            <w:pPr>
              <w:ind w:firstLine="709"/>
              <w:rPr>
                <w:rStyle w:val="YELChar"/>
                <w:b w:val="0"/>
                <w:color w:val="000000"/>
              </w:rPr>
            </w:pPr>
          </w:p>
          <w:p w:rsidR="0016377F" w:rsidRPr="00A23740" w:rsidRDefault="0016377F" w:rsidP="009431FF">
            <w:pPr>
              <w:ind w:firstLine="709"/>
              <w:rPr>
                <w:bCs/>
                <w:szCs w:val="24"/>
                <w:lang w:eastAsia="x-none"/>
              </w:rPr>
            </w:pPr>
          </w:p>
          <w:p w:rsidR="00010F5A" w:rsidRPr="00A23740" w:rsidRDefault="00010F5A" w:rsidP="0016377F">
            <w:pPr>
              <w:ind w:firstLine="709"/>
              <w:rPr>
                <w:rFonts w:eastAsia="Times New Roman"/>
                <w:b/>
                <w:color w:val="FF0000"/>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İcra dairesinin tamamlama  hacizleri:</w:t>
            </w: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Madde 139 – (1) Satış tutarı bütün alacakları ödemiye yetmezse icra memuru kendiliğinden yeni hacizler yaparak haczi tamamlar; ancak bu suretle haczolunan mallar üzerinde sonra gelen derecelerin evvelce koydurdukları hacizler varsa bu hacizlerin doğurduğu haklara halel gelmez. Yeniden haczedilen mallar ayrıca satış talebine hacet kalmaksızın ve mümkün olduğu kadar çabuk satılır.</w:t>
            </w:r>
          </w:p>
        </w:tc>
        <w:tc>
          <w:tcPr>
            <w:tcW w:w="2500" w:type="pct"/>
          </w:tcPr>
          <w:p w:rsidR="00AA5C8C" w:rsidRPr="00A23740" w:rsidRDefault="00AA5C8C" w:rsidP="009431FF">
            <w:pPr>
              <w:pStyle w:val="KIRMIZI"/>
              <w:rPr>
                <w:b w:val="0"/>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Sıra cetveli: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140 – (1)</w:t>
            </w:r>
            <w:r w:rsidRPr="00A23740">
              <w:rPr>
                <w:rFonts w:eastAsia="Times New Roman"/>
                <w:b/>
                <w:szCs w:val="24"/>
                <w:lang w:eastAsia="tr-TR"/>
              </w:rPr>
              <w:t xml:space="preserve"> </w:t>
            </w:r>
            <w:r w:rsidRPr="00A23740">
              <w:rPr>
                <w:rFonts w:eastAsia="Times New Roman"/>
                <w:szCs w:val="24"/>
                <w:lang w:eastAsia="tr-TR"/>
              </w:rPr>
              <w:t>Satış tutarı bütün alacaklıların alacağını tamamen ödem</w:t>
            </w:r>
            <w:r w:rsidRPr="00A23740">
              <w:rPr>
                <w:rStyle w:val="KIRMIZIChar"/>
                <w:rFonts w:eastAsia="Calibri"/>
              </w:rPr>
              <w:t>i</w:t>
            </w:r>
            <w:r w:rsidRPr="00A23740">
              <w:rPr>
                <w:rFonts w:eastAsia="Times New Roman"/>
                <w:szCs w:val="24"/>
                <w:lang w:eastAsia="tr-TR"/>
              </w:rPr>
              <w:t xml:space="preserve">ye yetmezse icra dairesi </w:t>
            </w:r>
            <w:r w:rsidRPr="00A23740">
              <w:rPr>
                <w:rStyle w:val="KIRMIZIChar"/>
                <w:rFonts w:eastAsia="Calibri"/>
              </w:rPr>
              <w:t>alacaklıların bir sıra cetvelini yapar</w:t>
            </w:r>
            <w:r w:rsidRPr="00A23740">
              <w:t>.</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DD5636" w:rsidRPr="00A23740" w:rsidRDefault="00DD5636"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(2)</w:t>
            </w:r>
            <w:r w:rsidRPr="00A23740">
              <w:rPr>
                <w:rFonts w:eastAsia="Times New Roman"/>
                <w:b/>
                <w:color w:val="FF0000"/>
                <w:szCs w:val="24"/>
                <w:lang w:eastAsia="tr-TR"/>
              </w:rPr>
              <w:t xml:space="preserve"> </w:t>
            </w:r>
            <w:r w:rsidRPr="00A23740">
              <w:rPr>
                <w:rFonts w:eastAsia="Times New Roman"/>
                <w:szCs w:val="24"/>
                <w:lang w:eastAsia="tr-TR"/>
              </w:rPr>
              <w:t>Alacaklılar 206 ncı madde</w:t>
            </w:r>
            <w:r w:rsidRPr="00A23740">
              <w:rPr>
                <w:rFonts w:eastAsia="Times New Roman"/>
                <w:b/>
                <w:color w:val="FF0000"/>
                <w:szCs w:val="24"/>
                <w:lang w:eastAsia="tr-TR"/>
              </w:rPr>
              <w:t xml:space="preserve"> </w:t>
            </w:r>
            <w:r w:rsidRPr="00A23740">
              <w:rPr>
                <w:rFonts w:eastAsia="Times New Roman"/>
                <w:b/>
                <w:strike/>
                <w:color w:val="FF0000"/>
                <w:szCs w:val="24"/>
                <w:lang w:eastAsia="tr-TR"/>
              </w:rPr>
              <w:t>mucibince</w:t>
            </w:r>
            <w:r w:rsidRPr="00A23740">
              <w:rPr>
                <w:rFonts w:eastAsia="Times New Roman"/>
                <w:b/>
                <w:color w:val="FF0000"/>
                <w:szCs w:val="24"/>
                <w:lang w:eastAsia="tr-TR"/>
              </w:rPr>
              <w:t xml:space="preserve"> </w:t>
            </w:r>
            <w:r w:rsidRPr="00A23740">
              <w:rPr>
                <w:rFonts w:eastAsia="Times New Roman"/>
                <w:szCs w:val="24"/>
                <w:lang w:eastAsia="tr-TR"/>
              </w:rPr>
              <w:t>iflas halinde hangi sıraya</w:t>
            </w:r>
            <w:r w:rsidRPr="00A23740">
              <w:rPr>
                <w:rFonts w:eastAsia="Times New Roman"/>
                <w:b/>
                <w:strike/>
                <w:color w:val="FF0000"/>
                <w:szCs w:val="24"/>
                <w:lang w:eastAsia="tr-TR"/>
              </w:rPr>
              <w:t xml:space="preserve"> </w:t>
            </w:r>
            <w:r w:rsidRPr="00A23740">
              <w:rPr>
                <w:rFonts w:eastAsia="Times New Roman"/>
                <w:szCs w:val="24"/>
                <w:lang w:eastAsia="tr-TR"/>
              </w:rPr>
              <w:t xml:space="preserve">girmeleri </w:t>
            </w:r>
            <w:r w:rsidRPr="00A23740">
              <w:rPr>
                <w:rFonts w:eastAsia="Times New Roman"/>
                <w:b/>
                <w:strike/>
                <w:color w:val="FF0000"/>
                <w:szCs w:val="24"/>
                <w:lang w:eastAsia="tr-TR"/>
              </w:rPr>
              <w:t>lazım geliyorsa</w:t>
            </w:r>
            <w:r w:rsidRPr="00A23740">
              <w:rPr>
                <w:rFonts w:eastAsia="Times New Roman"/>
                <w:b/>
                <w:color w:val="FF0000"/>
                <w:szCs w:val="24"/>
                <w:lang w:eastAsia="tr-TR"/>
              </w:rPr>
              <w:t xml:space="preserve"> </w:t>
            </w:r>
            <w:r w:rsidRPr="00A23740">
              <w:rPr>
                <w:rFonts w:eastAsia="Times New Roman"/>
                <w:szCs w:val="24"/>
                <w:lang w:eastAsia="tr-TR"/>
              </w:rPr>
              <w:t>o sıraya kabul olunurlar.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(3) Bununla beraber ilk üç sıraya kayıt için muteber olan tarih haciz talebi tarihidir.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pStyle w:val="KIRMIZI"/>
            </w:pPr>
            <w:r w:rsidRPr="00A23740">
              <w:t>Cetvel suretlerinin tebliği:</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141 – (1) Sıra cetvelinin</w:t>
            </w:r>
            <w:r w:rsidRPr="00A23740">
              <w:rPr>
                <w:rFonts w:eastAsia="Times New Roman"/>
                <w:szCs w:val="24"/>
                <w:lang w:eastAsia="tr-TR"/>
              </w:rPr>
              <w:t xml:space="preserve"> birer sureti icra dairesi tarafından </w:t>
            </w:r>
            <w:r w:rsidRPr="00A23740">
              <w:rPr>
                <w:rStyle w:val="KIRMIZIChar"/>
                <w:rFonts w:eastAsia="Calibri"/>
              </w:rPr>
              <w:t>alakadarlara</w:t>
            </w:r>
            <w:r w:rsidRPr="00A23740">
              <w:rPr>
                <w:rFonts w:eastAsia="Times New Roman"/>
                <w:szCs w:val="24"/>
                <w:lang w:eastAsia="tr-TR"/>
              </w:rPr>
              <w:t xml:space="preserve"> tebliğ edilir.</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AA5C8C" w:rsidP="009431FF">
            <w:pPr>
              <w:rPr>
                <w:rFonts w:eastAsia="Times New Roman"/>
                <w:b/>
                <w:szCs w:val="24"/>
                <w:lang w:eastAsia="tr-TR"/>
              </w:rPr>
            </w:pPr>
            <w:r w:rsidRPr="00A23740">
              <w:rPr>
                <w:rStyle w:val="MAVChar"/>
                <w:rFonts w:eastAsia="Calibri"/>
                <w:u w:val="none"/>
              </w:rPr>
              <w:t>Derece kararı</w:t>
            </w:r>
          </w:p>
          <w:p w:rsidR="00AA5C8C" w:rsidRPr="00A23740" w:rsidRDefault="00490C3E" w:rsidP="009431FF">
            <w:pPr>
              <w:rPr>
                <w:rFonts w:eastAsia="Times New Roman"/>
                <w:szCs w:val="24"/>
                <w:lang w:eastAsia="tr-TR"/>
              </w:rPr>
            </w:pPr>
            <w:r w:rsidRPr="00A23740">
              <w:rPr>
                <w:rFonts w:eastAsia="Times New Roman"/>
                <w:b/>
                <w:color w:val="0000FF"/>
                <w:szCs w:val="24"/>
                <w:lang w:eastAsia="tr-TR"/>
              </w:rPr>
              <w:t>MADDE 259</w:t>
            </w:r>
            <w:r w:rsidR="00AA5C8C" w:rsidRPr="00A23740">
              <w:rPr>
                <w:rFonts w:eastAsia="Times New Roman"/>
                <w:b/>
                <w:color w:val="0000FF"/>
                <w:szCs w:val="24"/>
                <w:lang w:eastAsia="tr-TR"/>
              </w:rPr>
              <w:t>- (1)</w:t>
            </w:r>
            <w:r w:rsidR="00AA5C8C" w:rsidRPr="00A23740">
              <w:rPr>
                <w:rFonts w:eastAsia="Times New Roman"/>
                <w:b/>
                <w:szCs w:val="24"/>
                <w:lang w:eastAsia="tr-TR"/>
              </w:rPr>
              <w:t xml:space="preserve"> </w:t>
            </w:r>
            <w:r w:rsidR="00AA5C8C" w:rsidRPr="00A23740">
              <w:rPr>
                <w:rFonts w:eastAsia="Times New Roman"/>
                <w:szCs w:val="24"/>
                <w:lang w:eastAsia="tr-TR"/>
              </w:rPr>
              <w:t>Satış tutarı bütün alacaklıların alacağını tamamen ödem</w:t>
            </w:r>
            <w:r w:rsidR="00AA5C8C" w:rsidRPr="00A23740">
              <w:rPr>
                <w:rStyle w:val="MaviChar"/>
              </w:rPr>
              <w:t>e</w:t>
            </w:r>
            <w:r w:rsidR="00AA5C8C" w:rsidRPr="00A23740">
              <w:rPr>
                <w:rFonts w:eastAsia="Times New Roman"/>
                <w:szCs w:val="24"/>
                <w:lang w:eastAsia="tr-TR"/>
              </w:rPr>
              <w:t>ye yetmezse</w:t>
            </w:r>
            <w:r w:rsidR="008A5965" w:rsidRPr="00F9605C">
              <w:rPr>
                <w:rFonts w:eastAsia="Times New Roman"/>
                <w:b/>
                <w:bCs/>
                <w:color w:val="0000FF"/>
                <w:szCs w:val="24"/>
                <w:lang w:eastAsia="tr-TR"/>
              </w:rPr>
              <w:t>,</w:t>
            </w:r>
            <w:r w:rsidR="00AA5C8C" w:rsidRPr="00A23740">
              <w:rPr>
                <w:rFonts w:eastAsia="Times New Roman"/>
                <w:szCs w:val="24"/>
                <w:lang w:eastAsia="tr-TR"/>
              </w:rPr>
              <w:t xml:space="preserve"> </w:t>
            </w:r>
            <w:r w:rsidR="00AA5C8C" w:rsidRPr="00A23740">
              <w:rPr>
                <w:rStyle w:val="MaviChar"/>
              </w:rPr>
              <w:t>satış kararı</w:t>
            </w:r>
            <w:r w:rsidR="008A5965" w:rsidRPr="00D26970">
              <w:rPr>
                <w:rStyle w:val="MaviChar"/>
              </w:rPr>
              <w:t>nı</w:t>
            </w:r>
            <w:r w:rsidR="00AA5C8C" w:rsidRPr="00A23740">
              <w:rPr>
                <w:rStyle w:val="MaviChar"/>
              </w:rPr>
              <w:t xml:space="preserve"> veren</w:t>
            </w:r>
            <w:r w:rsidR="00AA5C8C" w:rsidRPr="00A23740">
              <w:rPr>
                <w:rStyle w:val="MaviChar"/>
                <w:lang w:val="tr-TR"/>
              </w:rPr>
              <w:t xml:space="preserve"> </w:t>
            </w:r>
            <w:r w:rsidR="00AA5C8C" w:rsidRPr="00A23740">
              <w:rPr>
                <w:rFonts w:eastAsia="Times New Roman"/>
                <w:szCs w:val="24"/>
                <w:lang w:eastAsia="tr-TR"/>
              </w:rPr>
              <w:t xml:space="preserve">icra </w:t>
            </w:r>
            <w:r w:rsidR="00AA5C8C" w:rsidRPr="00A23740">
              <w:rPr>
                <w:rStyle w:val="MaviChar"/>
              </w:rPr>
              <w:t>ve iflas</w:t>
            </w:r>
            <w:r w:rsidR="00AA5C8C" w:rsidRPr="00A23740">
              <w:rPr>
                <w:rFonts w:eastAsia="Times New Roman"/>
                <w:szCs w:val="24"/>
                <w:lang w:eastAsia="tr-TR"/>
              </w:rPr>
              <w:t xml:space="preserve"> dairesi </w:t>
            </w:r>
            <w:r w:rsidR="00AA5C8C" w:rsidRPr="00A23740">
              <w:rPr>
                <w:rFonts w:eastAsia="Times New Roman"/>
                <w:b/>
                <w:color w:val="0000FF"/>
                <w:szCs w:val="24"/>
                <w:lang w:eastAsia="tr-TR"/>
              </w:rPr>
              <w:t>satış tarihini esas alarak</w:t>
            </w:r>
            <w:r w:rsidR="00AA5C8C" w:rsidRPr="00A23740">
              <w:rPr>
                <w:rFonts w:eastAsia="Times New Roman"/>
                <w:szCs w:val="24"/>
                <w:lang w:eastAsia="tr-TR"/>
              </w:rPr>
              <w:t xml:space="preserve"> </w:t>
            </w:r>
            <w:r w:rsidR="00AA5C8C" w:rsidRPr="00A23740">
              <w:rPr>
                <w:rFonts w:eastAsia="Times New Roman"/>
                <w:b/>
                <w:color w:val="0000FF"/>
                <w:szCs w:val="24"/>
                <w:lang w:eastAsia="tr-TR"/>
              </w:rPr>
              <w:t>hacizli malın</w:t>
            </w:r>
            <w:r w:rsidR="00AA5C8C" w:rsidRPr="00A23740">
              <w:rPr>
                <w:rFonts w:eastAsia="Times New Roman"/>
                <w:szCs w:val="24"/>
                <w:lang w:eastAsia="tr-TR"/>
              </w:rPr>
              <w:t xml:space="preserve"> </w:t>
            </w:r>
            <w:r w:rsidR="00AA5C8C" w:rsidRPr="00A23740">
              <w:rPr>
                <w:rStyle w:val="MaviChar"/>
              </w:rPr>
              <w:t xml:space="preserve">üzerindeki kısıtlamaların sırası, hacze iştirak durumu ve varsa yapılan </w:t>
            </w:r>
            <w:r w:rsidR="00AA5C8C" w:rsidRPr="00D26970">
              <w:rPr>
                <w:rStyle w:val="MaviChar"/>
              </w:rPr>
              <w:t>ödemeler</w:t>
            </w:r>
            <w:r w:rsidR="008A5965" w:rsidRPr="00D26970">
              <w:rPr>
                <w:rStyle w:val="MaviChar"/>
              </w:rPr>
              <w:t>i</w:t>
            </w:r>
            <w:r w:rsidR="00AA5C8C" w:rsidRPr="00D26970">
              <w:rPr>
                <w:rStyle w:val="MaviChar"/>
              </w:rPr>
              <w:t xml:space="preserve"> </w:t>
            </w:r>
            <w:r w:rsidR="008A5965" w:rsidRPr="00D26970">
              <w:rPr>
                <w:rStyle w:val="MaviChar"/>
              </w:rPr>
              <w:t>gözetmek</w:t>
            </w:r>
            <w:r w:rsidR="008A5965" w:rsidRPr="00A23740">
              <w:rPr>
                <w:rFonts w:eastAsia="Times New Roman"/>
                <w:b/>
                <w:color w:val="70AD47"/>
                <w:szCs w:val="24"/>
                <w:lang w:eastAsia="tr-TR"/>
              </w:rPr>
              <w:t xml:space="preserve"> </w:t>
            </w:r>
            <w:r w:rsidR="00AA5C8C" w:rsidRPr="00A23740">
              <w:rPr>
                <w:rFonts w:eastAsia="Times New Roman"/>
                <w:b/>
                <w:color w:val="0000FF"/>
                <w:szCs w:val="24"/>
                <w:lang w:eastAsia="tr-TR"/>
              </w:rPr>
              <w:t xml:space="preserve">suretiyle dereceleri </w:t>
            </w:r>
            <w:r w:rsidR="00AA5C8C" w:rsidRPr="00A23740">
              <w:rPr>
                <w:rStyle w:val="MaviChar"/>
              </w:rPr>
              <w:t>belirleyerek bir derece kararı hazırlar.</w:t>
            </w:r>
            <w:r w:rsidR="00AA5C8C" w:rsidRPr="00A23740">
              <w:rPr>
                <w:rFonts w:eastAsia="Times New Roman"/>
                <w:b/>
                <w:color w:val="0000FF"/>
                <w:szCs w:val="24"/>
                <w:lang w:eastAsia="tr-TR"/>
              </w:rPr>
              <w:t xml:space="preserve"> </w:t>
            </w:r>
          </w:p>
          <w:p w:rsidR="00DD5636" w:rsidRPr="00A23740" w:rsidRDefault="00DD5636" w:rsidP="009431FF">
            <w:pPr>
              <w:rPr>
                <w:rFonts w:eastAsia="Times New Roman"/>
                <w:b/>
                <w:color w:val="FF0000"/>
                <w:szCs w:val="24"/>
                <w:lang w:eastAsia="tr-TR"/>
              </w:rPr>
            </w:pPr>
          </w:p>
          <w:p w:rsidR="00AA5C8C" w:rsidRPr="00A23740" w:rsidRDefault="00AA5C8C" w:rsidP="009431FF">
            <w:pPr>
              <w:pStyle w:val="MAV"/>
              <w:rPr>
                <w:u w:val="none"/>
                <w:lang w:val="tr-TR" w:eastAsia="tr-TR"/>
              </w:rPr>
            </w:pPr>
            <w:r w:rsidRPr="00A23740">
              <w:rPr>
                <w:u w:val="none"/>
                <w:lang w:val="tr-TR" w:eastAsia="tr-TR"/>
              </w:rPr>
              <w:t xml:space="preserve">(2) Aynı derece içinde bulunan </w:t>
            </w:r>
            <w:r w:rsidRPr="00A23740">
              <w:rPr>
                <w:b w:val="0"/>
                <w:bCs w:val="0"/>
                <w:color w:val="auto"/>
                <w:u w:val="none"/>
                <w:lang w:val="tr-TR" w:eastAsia="tr-TR"/>
              </w:rPr>
              <w:t xml:space="preserve">alacaklılar </w:t>
            </w:r>
            <w:r w:rsidR="00B8220A" w:rsidRPr="00D26970">
              <w:rPr>
                <w:rStyle w:val="MaviChar"/>
                <w:b/>
                <w:u w:val="none"/>
              </w:rPr>
              <w:t xml:space="preserve">317 </w:t>
            </w:r>
            <w:r w:rsidR="00E45C87" w:rsidRPr="00D26970">
              <w:rPr>
                <w:rStyle w:val="MaviChar"/>
                <w:b/>
                <w:u w:val="none"/>
              </w:rPr>
              <w:t>nci</w:t>
            </w:r>
            <w:r w:rsidR="00E45C87" w:rsidRPr="00A23740">
              <w:rPr>
                <w:rStyle w:val="KonuBalChar"/>
                <w:b/>
                <w:u w:val="none"/>
                <w:lang w:val="tr-TR"/>
              </w:rPr>
              <w:t xml:space="preserve"> </w:t>
            </w:r>
            <w:r w:rsidRPr="00A23740">
              <w:rPr>
                <w:b w:val="0"/>
                <w:bCs w:val="0"/>
                <w:color w:val="auto"/>
                <w:u w:val="none"/>
                <w:lang w:val="tr-TR" w:eastAsia="tr-TR"/>
              </w:rPr>
              <w:t xml:space="preserve">madde </w:t>
            </w:r>
            <w:r w:rsidRPr="00A23740">
              <w:rPr>
                <w:u w:val="none"/>
                <w:lang w:val="tr-TR" w:eastAsia="tr-TR"/>
              </w:rPr>
              <w:t>gereğince</w:t>
            </w:r>
            <w:r w:rsidRPr="00A23740">
              <w:rPr>
                <w:b w:val="0"/>
                <w:bCs w:val="0"/>
                <w:color w:val="auto"/>
                <w:u w:val="none"/>
                <w:lang w:val="tr-TR" w:eastAsia="tr-TR"/>
              </w:rPr>
              <w:t xml:space="preserve"> iflas h</w:t>
            </w:r>
            <w:r w:rsidR="00E45C87" w:rsidRPr="00A23740">
              <w:rPr>
                <w:b w:val="0"/>
                <w:bCs w:val="0"/>
                <w:color w:val="auto"/>
                <w:u w:val="none"/>
                <w:lang w:val="tr-TR" w:eastAsia="tr-TR"/>
              </w:rPr>
              <w:t>â</w:t>
            </w:r>
            <w:r w:rsidRPr="00A23740">
              <w:rPr>
                <w:b w:val="0"/>
                <w:bCs w:val="0"/>
                <w:color w:val="auto"/>
                <w:u w:val="none"/>
                <w:lang w:val="tr-TR" w:eastAsia="tr-TR"/>
              </w:rPr>
              <w:t>linde hangi sıraya girmeleri</w:t>
            </w:r>
            <w:r w:rsidRPr="00A23740">
              <w:rPr>
                <w:u w:val="none"/>
                <w:lang w:val="tr-TR" w:eastAsia="tr-TR"/>
              </w:rPr>
              <w:t xml:space="preserve"> </w:t>
            </w:r>
            <w:r w:rsidRPr="00D26970">
              <w:rPr>
                <w:rStyle w:val="MaviChar"/>
                <w:b/>
                <w:u w:val="none"/>
              </w:rPr>
              <w:t>gerekiyor</w:t>
            </w:r>
            <w:r w:rsidR="008A5965" w:rsidRPr="00D26970">
              <w:rPr>
                <w:rStyle w:val="MaviChar"/>
                <w:b/>
                <w:u w:val="none"/>
              </w:rPr>
              <w:t>sa,</w:t>
            </w:r>
            <w:r w:rsidRPr="00A23740">
              <w:rPr>
                <w:color w:val="70AD47"/>
                <w:u w:val="none"/>
                <w:lang w:val="tr-TR" w:eastAsia="tr-TR"/>
              </w:rPr>
              <w:t xml:space="preserve"> </w:t>
            </w:r>
            <w:r w:rsidRPr="00A23740">
              <w:rPr>
                <w:b w:val="0"/>
                <w:bCs w:val="0"/>
                <w:color w:val="auto"/>
                <w:u w:val="none"/>
                <w:lang w:val="tr-TR" w:eastAsia="tr-TR"/>
              </w:rPr>
              <w:t>o sıraya kabul olunurlar.</w:t>
            </w:r>
            <w:r w:rsidRPr="00A23740">
              <w:rPr>
                <w:u w:val="none"/>
                <w:lang w:val="tr-TR" w:eastAsia="tr-TR"/>
              </w:rPr>
              <w:t xml:space="preserve"> Bu</w:t>
            </w:r>
            <w:r w:rsidRPr="00A23740">
              <w:rPr>
                <w:b w:val="0"/>
                <w:bCs w:val="0"/>
                <w:u w:val="none"/>
                <w:lang w:val="tr-TR" w:eastAsia="tr-TR"/>
              </w:rPr>
              <w:t xml:space="preserve"> </w:t>
            </w:r>
            <w:r w:rsidRPr="00A23740">
              <w:rPr>
                <w:u w:val="none"/>
                <w:lang w:val="tr-TR" w:eastAsia="tr-TR"/>
              </w:rPr>
              <w:t xml:space="preserve">durumda ilk iki sıraya kayıt için geçerli olan tarih, </w:t>
            </w:r>
            <w:r w:rsidRPr="00A23740">
              <w:rPr>
                <w:rStyle w:val="MaviChar"/>
                <w:rFonts w:eastAsia="ヒラギノ明朝 Pro W3"/>
                <w:b/>
                <w:u w:val="none"/>
              </w:rPr>
              <w:t>takip talebi</w:t>
            </w:r>
            <w:r w:rsidRPr="00A23740">
              <w:rPr>
                <w:u w:val="none"/>
                <w:lang w:val="tr-TR" w:eastAsia="tr-TR"/>
              </w:rPr>
              <w:t xml:space="preserve"> tarihidir. İmtiyazlı alacakların satış tarihine kadar işleyecek faizleri de imtiyazlıdır.</w:t>
            </w:r>
          </w:p>
          <w:p w:rsidR="00AA5C8C" w:rsidRPr="00A23740" w:rsidRDefault="00AA5C8C" w:rsidP="009431FF">
            <w:pPr>
              <w:pStyle w:val="KIRMIZI"/>
              <w:rPr>
                <w:lang w:val="tr-TR" w:eastAsia="tr-TR"/>
              </w:rPr>
            </w:pPr>
          </w:p>
          <w:p w:rsidR="00AA5C8C" w:rsidRPr="00A23740" w:rsidRDefault="00AA5C8C" w:rsidP="009431FF">
            <w:pPr>
              <w:pStyle w:val="KIRMIZI"/>
              <w:rPr>
                <w:lang w:val="tr-TR" w:eastAsia="tr-TR"/>
              </w:rPr>
            </w:pPr>
          </w:p>
          <w:p w:rsidR="00AA5C8C" w:rsidRPr="00A23740" w:rsidRDefault="00AA5C8C" w:rsidP="009431FF">
            <w:pPr>
              <w:pStyle w:val="KIRMIZI"/>
              <w:rPr>
                <w:lang w:val="tr-TR" w:eastAsia="tr-TR"/>
              </w:rPr>
            </w:pPr>
          </w:p>
          <w:p w:rsidR="00AA5C8C" w:rsidRPr="00A23740" w:rsidRDefault="00AA5C8C" w:rsidP="009431FF">
            <w:pPr>
              <w:pStyle w:val="KIRMIZI"/>
              <w:rPr>
                <w:lang w:val="tr-TR" w:eastAsia="tr-TR"/>
              </w:rPr>
            </w:pPr>
          </w:p>
          <w:p w:rsidR="00AA5C8C" w:rsidRPr="00A23740" w:rsidRDefault="00AA5C8C" w:rsidP="009431FF">
            <w:pPr>
              <w:spacing w:after="200"/>
              <w:rPr>
                <w:rFonts w:eastAsia="Times New Roman"/>
                <w:szCs w:val="24"/>
                <w:lang w:eastAsia="tr-TR"/>
              </w:rPr>
            </w:pPr>
            <w:r w:rsidRPr="00A23740">
              <w:rPr>
                <w:rStyle w:val="MAVChar"/>
                <w:rFonts w:eastAsia="Calibri"/>
                <w:u w:val="none"/>
              </w:rPr>
              <w:t>(3)</w:t>
            </w:r>
            <w:r w:rsidRPr="00A23740">
              <w:rPr>
                <w:szCs w:val="24"/>
              </w:rPr>
              <w:t xml:space="preserve"> </w:t>
            </w:r>
            <w:r w:rsidRPr="00A23740">
              <w:rPr>
                <w:rStyle w:val="MaviChar"/>
              </w:rPr>
              <w:t>Hazırlanan</w:t>
            </w:r>
            <w:r w:rsidRPr="00A23740">
              <w:rPr>
                <w:szCs w:val="24"/>
              </w:rPr>
              <w:t xml:space="preserve"> </w:t>
            </w:r>
            <w:r w:rsidRPr="00A23740">
              <w:rPr>
                <w:rStyle w:val="MAVChar"/>
                <w:rFonts w:eastAsia="Calibri"/>
                <w:u w:val="none"/>
              </w:rPr>
              <w:t>derece kararının</w:t>
            </w:r>
            <w:r w:rsidRPr="00A23740">
              <w:rPr>
                <w:szCs w:val="24"/>
              </w:rPr>
              <w:t xml:space="preserve"> birer sureti icra </w:t>
            </w:r>
            <w:r w:rsidRPr="00A23740">
              <w:rPr>
                <w:rStyle w:val="MaviChar"/>
              </w:rPr>
              <w:t>ve iflas</w:t>
            </w:r>
            <w:r w:rsidRPr="00A23740">
              <w:rPr>
                <w:szCs w:val="24"/>
              </w:rPr>
              <w:t xml:space="preserve"> dairesi tarafından </w:t>
            </w:r>
            <w:r w:rsidRPr="00A23740">
              <w:rPr>
                <w:rStyle w:val="MaviChar"/>
              </w:rPr>
              <w:t>ilgililere</w:t>
            </w:r>
            <w:r w:rsidRPr="00A23740">
              <w:rPr>
                <w:szCs w:val="24"/>
              </w:rPr>
              <w:t xml:space="preserve"> tebliğ edilir.</w:t>
            </w:r>
          </w:p>
        </w:tc>
      </w:tr>
      <w:tr w:rsidR="00AA5C8C" w:rsidRPr="00A23740" w:rsidTr="009431FF">
        <w:tblPrEx>
          <w:tblLook w:val="01E0" w:firstRow="1" w:lastRow="1" w:firstColumn="1" w:lastColumn="1" w:noHBand="0" w:noVBand="0"/>
        </w:tblPrEx>
        <w:tc>
          <w:tcPr>
            <w:tcW w:w="5000" w:type="pct"/>
            <w:gridSpan w:val="2"/>
            <w:shd w:val="clear" w:color="auto" w:fill="DEEAF6"/>
          </w:tcPr>
          <w:p w:rsidR="00307228" w:rsidRPr="00A23740" w:rsidRDefault="00307228" w:rsidP="009431FF">
            <w:pPr>
              <w:tabs>
                <w:tab w:val="left" w:pos="567"/>
              </w:tabs>
              <w:ind w:firstLine="709"/>
              <w:rPr>
                <w:rFonts w:eastAsia="Times New Roman"/>
                <w:b/>
                <w:szCs w:val="24"/>
                <w:lang w:eastAsia="tr-TR"/>
              </w:rPr>
            </w:pPr>
          </w:p>
          <w:p w:rsidR="00795568" w:rsidRPr="00A23740" w:rsidRDefault="00307228" w:rsidP="009431FF">
            <w:pPr>
              <w:tabs>
                <w:tab w:val="left" w:pos="567"/>
              </w:tabs>
              <w:ind w:firstLine="709"/>
              <w:rPr>
                <w:bCs/>
                <w:szCs w:val="24"/>
                <w:lang w:eastAsia="x-none"/>
              </w:rPr>
            </w:pPr>
            <w:r w:rsidRPr="00A23740">
              <w:rPr>
                <w:rFonts w:eastAsia="Times New Roman"/>
                <w:b/>
                <w:szCs w:val="24"/>
                <w:lang w:eastAsia="tr-TR"/>
              </w:rPr>
              <w:t>MADDE 2</w:t>
            </w:r>
            <w:r w:rsidR="00490C3E" w:rsidRPr="00A23740">
              <w:rPr>
                <w:rFonts w:eastAsia="Times New Roman"/>
                <w:b/>
                <w:szCs w:val="24"/>
                <w:lang w:eastAsia="tr-TR"/>
              </w:rPr>
              <w:t>59</w:t>
            </w:r>
            <w:r w:rsidRPr="00A23740">
              <w:rPr>
                <w:rFonts w:eastAsia="Times New Roman"/>
                <w:b/>
                <w:szCs w:val="24"/>
                <w:lang w:eastAsia="tr-TR"/>
              </w:rPr>
              <w:t xml:space="preserve">- </w:t>
            </w:r>
            <w:r w:rsidRPr="00A23740">
              <w:rPr>
                <w:rFonts w:eastAsia="Times New Roman"/>
                <w:szCs w:val="24"/>
                <w:lang w:eastAsia="tr-TR"/>
              </w:rPr>
              <w:t>Maddeyle</w:t>
            </w:r>
            <w:r w:rsidRPr="00A23740">
              <w:rPr>
                <w:bCs/>
                <w:szCs w:val="24"/>
                <w:lang w:eastAsia="x-none"/>
              </w:rPr>
              <w:t xml:space="preserve">, </w:t>
            </w:r>
            <w:r w:rsidR="006025EF" w:rsidRPr="00A23740">
              <w:rPr>
                <w:bCs/>
                <w:szCs w:val="24"/>
                <w:lang w:eastAsia="x-none"/>
              </w:rPr>
              <w:t xml:space="preserve">derece kararına ilişkin esaslar düzenlenmektedir. Madde, </w:t>
            </w:r>
            <w:r w:rsidR="00795568" w:rsidRPr="00A23740">
              <w:rPr>
                <w:bCs/>
                <w:szCs w:val="24"/>
                <w:lang w:eastAsia="x-none"/>
              </w:rPr>
              <w:t>2004 sayılı Kanunun 140 ıncı maddesine karşılık gelmektedir.</w:t>
            </w:r>
          </w:p>
          <w:p w:rsidR="00780954" w:rsidRPr="00A23740" w:rsidRDefault="00795568" w:rsidP="009431FF">
            <w:pPr>
              <w:tabs>
                <w:tab w:val="left" w:pos="567"/>
              </w:tabs>
              <w:ind w:firstLine="709"/>
              <w:rPr>
                <w:bCs/>
                <w:szCs w:val="24"/>
                <w:lang w:eastAsia="x-none"/>
              </w:rPr>
            </w:pPr>
            <w:r w:rsidRPr="00A23740">
              <w:rPr>
                <w:bCs/>
                <w:szCs w:val="24"/>
                <w:lang w:eastAsia="x-none"/>
              </w:rPr>
              <w:t>Birinci fıkrayla,</w:t>
            </w:r>
            <w:r w:rsidR="006025EF" w:rsidRPr="00A23740">
              <w:rPr>
                <w:bCs/>
                <w:szCs w:val="24"/>
                <w:lang w:eastAsia="x-none"/>
              </w:rPr>
              <w:t xml:space="preserve"> hangi h</w:t>
            </w:r>
            <w:r w:rsidR="00C224B4" w:rsidRPr="00A23740">
              <w:rPr>
                <w:bCs/>
                <w:szCs w:val="24"/>
                <w:lang w:eastAsia="x-none"/>
              </w:rPr>
              <w:t>â</w:t>
            </w:r>
            <w:r w:rsidR="006025EF" w:rsidRPr="00A23740">
              <w:rPr>
                <w:bCs/>
                <w:szCs w:val="24"/>
                <w:lang w:eastAsia="x-none"/>
              </w:rPr>
              <w:t xml:space="preserve">llerde </w:t>
            </w:r>
            <w:r w:rsidR="009322ED" w:rsidRPr="00A23740">
              <w:rPr>
                <w:bCs/>
                <w:szCs w:val="24"/>
                <w:lang w:eastAsia="x-none"/>
              </w:rPr>
              <w:t xml:space="preserve">dereceler belirlenerek </w:t>
            </w:r>
            <w:r w:rsidR="006025EF" w:rsidRPr="00A23740">
              <w:rPr>
                <w:bCs/>
                <w:szCs w:val="24"/>
                <w:lang w:eastAsia="x-none"/>
              </w:rPr>
              <w:t xml:space="preserve">derece kararının </w:t>
            </w:r>
            <w:r w:rsidR="00AF3E79" w:rsidRPr="00D60C1D">
              <w:rPr>
                <w:rStyle w:val="YELChar"/>
                <w:b w:val="0"/>
                <w:color w:val="000000"/>
              </w:rPr>
              <w:t>düzenleneceği</w:t>
            </w:r>
            <w:r w:rsidR="009322ED" w:rsidRPr="00A23740">
              <w:rPr>
                <w:bCs/>
                <w:szCs w:val="24"/>
                <w:lang w:eastAsia="x-none"/>
              </w:rPr>
              <w:t xml:space="preserve"> açıklanmaktadır</w:t>
            </w:r>
            <w:r w:rsidR="006025EF" w:rsidRPr="00A23740">
              <w:rPr>
                <w:bCs/>
                <w:szCs w:val="24"/>
                <w:lang w:eastAsia="x-none"/>
              </w:rPr>
              <w:t>. Buna göre</w:t>
            </w:r>
            <w:r w:rsidRPr="00A23740">
              <w:rPr>
                <w:bCs/>
                <w:szCs w:val="24"/>
                <w:lang w:eastAsia="x-none"/>
              </w:rPr>
              <w:t xml:space="preserve"> satış kararı </w:t>
            </w:r>
            <w:r w:rsidR="00780954" w:rsidRPr="00A23740">
              <w:rPr>
                <w:bCs/>
                <w:szCs w:val="24"/>
                <w:lang w:eastAsia="x-none"/>
              </w:rPr>
              <w:t>veren</w:t>
            </w:r>
            <w:r w:rsidRPr="00A23740">
              <w:rPr>
                <w:bCs/>
                <w:szCs w:val="24"/>
                <w:lang w:eastAsia="x-none"/>
              </w:rPr>
              <w:t xml:space="preserve"> icra ve iflas dairesi, </w:t>
            </w:r>
            <w:r w:rsidRPr="00A23740">
              <w:rPr>
                <w:rFonts w:eastAsia="Times New Roman"/>
                <w:szCs w:val="24"/>
                <w:lang w:eastAsia="tr-TR"/>
              </w:rPr>
              <w:t xml:space="preserve">satış tutarının bütün </w:t>
            </w:r>
            <w:r w:rsidRPr="00A23740">
              <w:rPr>
                <w:bCs/>
                <w:szCs w:val="24"/>
                <w:lang w:eastAsia="x-none"/>
              </w:rPr>
              <w:t>alacaklıların alacağını tamamen ödemeye yetmemesi h</w:t>
            </w:r>
            <w:r w:rsidR="00E45C87" w:rsidRPr="00A23740">
              <w:rPr>
                <w:bCs/>
                <w:szCs w:val="24"/>
                <w:lang w:eastAsia="x-none"/>
              </w:rPr>
              <w:t>â</w:t>
            </w:r>
            <w:r w:rsidRPr="00A23740">
              <w:rPr>
                <w:bCs/>
                <w:szCs w:val="24"/>
                <w:lang w:eastAsia="x-none"/>
              </w:rPr>
              <w:t>linde satış tarihini esas alarak, hacizli malın üzerindeki kısıtlamaların sırası, hacze iştirak durumu ve varsa yapılan ödemeler gözetilmek suretiyle dereceleri belirleyerek bir derece kararı hazırlayaca</w:t>
            </w:r>
            <w:r w:rsidR="006025EF" w:rsidRPr="00A23740">
              <w:rPr>
                <w:bCs/>
                <w:szCs w:val="24"/>
                <w:lang w:eastAsia="x-none"/>
              </w:rPr>
              <w:t>ktır.</w:t>
            </w:r>
            <w:r w:rsidR="00434B3B" w:rsidRPr="00A23740">
              <w:rPr>
                <w:bCs/>
                <w:szCs w:val="24"/>
                <w:lang w:eastAsia="x-none"/>
              </w:rPr>
              <w:t xml:space="preserve"> Adi veya rehinli alacakların sırasını düzenleyen </w:t>
            </w:r>
            <w:r w:rsidR="00B8220A" w:rsidRPr="00D60C1D">
              <w:rPr>
                <w:rStyle w:val="KonuBalChar"/>
                <w:rFonts w:eastAsia="Calibri"/>
                <w:b w:val="0"/>
                <w:color w:val="000000"/>
              </w:rPr>
              <w:t>317 ncu</w:t>
            </w:r>
            <w:r w:rsidR="00B8220A" w:rsidRPr="00A23740">
              <w:rPr>
                <w:rFonts w:eastAsia="Times New Roman"/>
                <w:b/>
                <w:color w:val="0000FF"/>
                <w:szCs w:val="24"/>
                <w:lang w:eastAsia="tr-TR"/>
              </w:rPr>
              <w:t xml:space="preserve"> </w:t>
            </w:r>
            <w:r w:rsidR="00434B3B" w:rsidRPr="00A23740">
              <w:rPr>
                <w:bCs/>
                <w:szCs w:val="24"/>
                <w:lang w:eastAsia="x-none"/>
              </w:rPr>
              <w:t xml:space="preserve">maddede öngörülen imtiyazlı alacaklar yönünden hacizde sıra cetvelinde bu imtiyazların gözetilmesi için ilk hacze iştirak talebinde bulunan veya sonradan haciz koyduran alacaklının </w:t>
            </w:r>
            <w:r w:rsidR="00513868" w:rsidRPr="00D60C1D">
              <w:rPr>
                <w:rStyle w:val="KonuBalChar"/>
                <w:rFonts w:eastAsia="Calibri"/>
                <w:b w:val="0"/>
                <w:color w:val="000000"/>
              </w:rPr>
              <w:t>198 ve 199 uncu</w:t>
            </w:r>
            <w:r w:rsidR="00513868" w:rsidRPr="00A23740">
              <w:rPr>
                <w:bCs/>
                <w:szCs w:val="24"/>
                <w:lang w:eastAsia="x-none"/>
              </w:rPr>
              <w:t xml:space="preserve"> </w:t>
            </w:r>
            <w:r w:rsidR="00434B3B" w:rsidRPr="00A23740">
              <w:rPr>
                <w:bCs/>
                <w:szCs w:val="24"/>
                <w:lang w:eastAsia="x-none"/>
              </w:rPr>
              <w:t>maddelere göre iştirak imk</w:t>
            </w:r>
            <w:r w:rsidR="00750186" w:rsidRPr="00A23740">
              <w:rPr>
                <w:bCs/>
                <w:szCs w:val="24"/>
                <w:lang w:eastAsia="x-none"/>
              </w:rPr>
              <w:t>â</w:t>
            </w:r>
            <w:r w:rsidR="00434B3B" w:rsidRPr="00A23740">
              <w:rPr>
                <w:bCs/>
                <w:szCs w:val="24"/>
                <w:lang w:eastAsia="x-none"/>
              </w:rPr>
              <w:t xml:space="preserve">nı bulunmaktadır. Bu durumda hacze iştirak ederse derece oluşur, oluşan derece içindeki sıra 309 uncu maddeye göre belirlenir. </w:t>
            </w:r>
          </w:p>
          <w:p w:rsidR="00795568" w:rsidRPr="00A23740" w:rsidRDefault="008B183A" w:rsidP="009431FF">
            <w:pPr>
              <w:tabs>
                <w:tab w:val="left" w:pos="567"/>
              </w:tabs>
              <w:ind w:firstLine="709"/>
              <w:rPr>
                <w:bCs/>
                <w:szCs w:val="24"/>
                <w:lang w:eastAsia="x-none"/>
              </w:rPr>
            </w:pPr>
            <w:r w:rsidRPr="00A23740">
              <w:rPr>
                <w:bCs/>
                <w:szCs w:val="24"/>
                <w:lang w:eastAsia="x-none"/>
              </w:rPr>
              <w:t>İkinci fıkrayla, aynı derece içinde bulunan alacaklılar</w:t>
            </w:r>
            <w:r w:rsidR="005779CC" w:rsidRPr="00A23740">
              <w:rPr>
                <w:bCs/>
                <w:szCs w:val="24"/>
                <w:lang w:eastAsia="x-none"/>
              </w:rPr>
              <w:t>ın</w:t>
            </w:r>
            <w:r w:rsidRPr="00A23740">
              <w:rPr>
                <w:bCs/>
                <w:szCs w:val="24"/>
                <w:lang w:eastAsia="x-none"/>
              </w:rPr>
              <w:t xml:space="preserve"> </w:t>
            </w:r>
            <w:r w:rsidR="00B8220A" w:rsidRPr="00D60C1D">
              <w:rPr>
                <w:rStyle w:val="KonuBalChar"/>
                <w:rFonts w:eastAsia="Calibri"/>
                <w:b w:val="0"/>
                <w:color w:val="000000"/>
              </w:rPr>
              <w:t>317 ncu</w:t>
            </w:r>
            <w:r w:rsidR="00B8220A" w:rsidRPr="00A23740">
              <w:rPr>
                <w:rFonts w:eastAsia="Times New Roman"/>
                <w:b/>
                <w:color w:val="0000FF"/>
                <w:szCs w:val="24"/>
                <w:lang w:eastAsia="tr-TR"/>
              </w:rPr>
              <w:t xml:space="preserve"> </w:t>
            </w:r>
            <w:r w:rsidRPr="00A23740">
              <w:rPr>
                <w:bCs/>
                <w:szCs w:val="24"/>
                <w:lang w:eastAsia="x-none"/>
              </w:rPr>
              <w:t>madde gereğince iflas h</w:t>
            </w:r>
            <w:r w:rsidR="00E45C87" w:rsidRPr="00A23740">
              <w:rPr>
                <w:bCs/>
                <w:szCs w:val="24"/>
                <w:lang w:eastAsia="x-none"/>
              </w:rPr>
              <w:t>â</w:t>
            </w:r>
            <w:r w:rsidRPr="00A23740">
              <w:rPr>
                <w:bCs/>
                <w:szCs w:val="24"/>
                <w:lang w:eastAsia="x-none"/>
              </w:rPr>
              <w:t>linde hangi sıraya girmeleri gerekiyor</w:t>
            </w:r>
            <w:r w:rsidR="009322ED" w:rsidRPr="00A23740">
              <w:rPr>
                <w:bCs/>
                <w:szCs w:val="24"/>
                <w:lang w:eastAsia="x-none"/>
              </w:rPr>
              <w:t>sa</w:t>
            </w:r>
            <w:r w:rsidRPr="00A23740">
              <w:rPr>
                <w:bCs/>
                <w:szCs w:val="24"/>
                <w:lang w:eastAsia="x-none"/>
              </w:rPr>
              <w:t xml:space="preserve"> o sıraya kabul olun</w:t>
            </w:r>
            <w:r w:rsidR="005779CC" w:rsidRPr="00A23740">
              <w:rPr>
                <w:bCs/>
                <w:szCs w:val="24"/>
                <w:lang w:eastAsia="x-none"/>
              </w:rPr>
              <w:t xml:space="preserve">acakları </w:t>
            </w:r>
            <w:r w:rsidR="00AF3E79" w:rsidRPr="00D60C1D">
              <w:rPr>
                <w:rStyle w:val="YELChar"/>
                <w:b w:val="0"/>
                <w:color w:val="000000"/>
              </w:rPr>
              <w:t>belirlenmektedir</w:t>
            </w:r>
            <w:r w:rsidR="005779CC" w:rsidRPr="00A23740">
              <w:rPr>
                <w:bCs/>
                <w:szCs w:val="24"/>
                <w:lang w:eastAsia="x-none"/>
              </w:rPr>
              <w:t xml:space="preserve">. Buna göre, </w:t>
            </w:r>
            <w:r w:rsidRPr="00A23740">
              <w:rPr>
                <w:bCs/>
                <w:szCs w:val="24"/>
                <w:lang w:eastAsia="x-none"/>
              </w:rPr>
              <w:t xml:space="preserve">ilk iki sıraya kayıt için geçerli olan tarih, takip talebi tarihidir. </w:t>
            </w:r>
            <w:r w:rsidR="005779CC" w:rsidRPr="00A23740">
              <w:rPr>
                <w:bCs/>
                <w:szCs w:val="24"/>
                <w:lang w:eastAsia="x-none"/>
              </w:rPr>
              <w:t xml:space="preserve">2004 sayılı Kanunun 140 ıncı maddesinin üçüncü fıkrasında yer alan </w:t>
            </w:r>
            <w:r w:rsidR="009322ED" w:rsidRPr="00A23740">
              <w:rPr>
                <w:bCs/>
                <w:szCs w:val="24"/>
                <w:lang w:eastAsia="x-none"/>
              </w:rPr>
              <w:t xml:space="preserve">ve </w:t>
            </w:r>
            <w:r w:rsidR="005779CC" w:rsidRPr="00A23740">
              <w:rPr>
                <w:bCs/>
                <w:szCs w:val="24"/>
                <w:lang w:eastAsia="x-none"/>
              </w:rPr>
              <w:t>haciz talep tarihine göre belirlenen sıraya kayıt esasından vazgeçilerek</w:t>
            </w:r>
            <w:r w:rsidR="009322ED" w:rsidRPr="00A23740">
              <w:rPr>
                <w:bCs/>
                <w:szCs w:val="24"/>
                <w:lang w:eastAsia="x-none"/>
              </w:rPr>
              <w:t>,</w:t>
            </w:r>
            <w:r w:rsidR="005779CC" w:rsidRPr="00A23740">
              <w:rPr>
                <w:bCs/>
                <w:szCs w:val="24"/>
                <w:lang w:eastAsia="x-none"/>
              </w:rPr>
              <w:t xml:space="preserve"> uygulamada meydana gelen tartışmalara son vermek </w:t>
            </w:r>
            <w:r w:rsidR="009322ED" w:rsidRPr="00A23740">
              <w:rPr>
                <w:bCs/>
                <w:szCs w:val="24"/>
                <w:lang w:eastAsia="x-none"/>
              </w:rPr>
              <w:t xml:space="preserve">amacıyla </w:t>
            </w:r>
            <w:r w:rsidR="005779CC" w:rsidRPr="00A23740">
              <w:rPr>
                <w:bCs/>
                <w:szCs w:val="24"/>
                <w:lang w:eastAsia="x-none"/>
              </w:rPr>
              <w:t>hükümde ilk iki sıraya kayıt için takip talebi tarihi</w:t>
            </w:r>
            <w:r w:rsidR="00AE3700" w:rsidRPr="00A23740">
              <w:rPr>
                <w:bCs/>
                <w:szCs w:val="24"/>
                <w:lang w:eastAsia="x-none"/>
              </w:rPr>
              <w:t>nin</w:t>
            </w:r>
            <w:r w:rsidR="005779CC" w:rsidRPr="00A23740">
              <w:rPr>
                <w:bCs/>
                <w:szCs w:val="24"/>
                <w:lang w:eastAsia="x-none"/>
              </w:rPr>
              <w:t xml:space="preserve"> e</w:t>
            </w:r>
            <w:r w:rsidR="00AE3700" w:rsidRPr="00A23740">
              <w:rPr>
                <w:bCs/>
                <w:szCs w:val="24"/>
                <w:lang w:eastAsia="x-none"/>
              </w:rPr>
              <w:t xml:space="preserve">sas </w:t>
            </w:r>
            <w:r w:rsidR="009322ED" w:rsidRPr="00A23740">
              <w:rPr>
                <w:bCs/>
                <w:szCs w:val="24"/>
                <w:lang w:eastAsia="x-none"/>
              </w:rPr>
              <w:t xml:space="preserve">alınması kuralı </w:t>
            </w:r>
            <w:r w:rsidR="00AE3700" w:rsidRPr="00A23740">
              <w:rPr>
                <w:bCs/>
                <w:szCs w:val="24"/>
                <w:lang w:eastAsia="x-none"/>
              </w:rPr>
              <w:t xml:space="preserve">benimsenmektedir. Düzenlemeyle alacaklının haciz talep edebileceği tarihe kadar geçecek süredeki imtiyaz hakkının yitirilmesinin önlenmesi amaçlanmaktadır. </w:t>
            </w:r>
            <w:r w:rsidR="005779CC" w:rsidRPr="00A23740">
              <w:rPr>
                <w:bCs/>
                <w:szCs w:val="24"/>
                <w:lang w:eastAsia="x-none"/>
              </w:rPr>
              <w:t>Ayrıca i</w:t>
            </w:r>
            <w:r w:rsidRPr="00A23740">
              <w:rPr>
                <w:bCs/>
                <w:szCs w:val="24"/>
                <w:lang w:eastAsia="x-none"/>
              </w:rPr>
              <w:t>mtiyazlı alacakların satış tarihine kadar işleyecek faizleri</w:t>
            </w:r>
            <w:r w:rsidR="005779CC" w:rsidRPr="00A23740">
              <w:rPr>
                <w:bCs/>
                <w:szCs w:val="24"/>
                <w:lang w:eastAsia="x-none"/>
              </w:rPr>
              <w:t>nin</w:t>
            </w:r>
            <w:r w:rsidRPr="00A23740">
              <w:rPr>
                <w:bCs/>
                <w:szCs w:val="24"/>
                <w:lang w:eastAsia="x-none"/>
              </w:rPr>
              <w:t xml:space="preserve"> de imtiyazlı</w:t>
            </w:r>
            <w:r w:rsidR="005779CC" w:rsidRPr="00A23740">
              <w:rPr>
                <w:bCs/>
                <w:szCs w:val="24"/>
                <w:lang w:eastAsia="x-none"/>
              </w:rPr>
              <w:t xml:space="preserve"> olacağı hüküm altına alınmaktadır.</w:t>
            </w:r>
          </w:p>
          <w:p w:rsidR="008B183A" w:rsidRPr="00A23740" w:rsidRDefault="008B183A" w:rsidP="0016377F">
            <w:pPr>
              <w:tabs>
                <w:tab w:val="left" w:pos="567"/>
              </w:tabs>
              <w:ind w:firstLine="709"/>
              <w:rPr>
                <w:bCs/>
                <w:szCs w:val="24"/>
                <w:lang w:eastAsia="x-none"/>
              </w:rPr>
            </w:pPr>
            <w:r w:rsidRPr="00A23740">
              <w:rPr>
                <w:bCs/>
                <w:szCs w:val="24"/>
                <w:lang w:eastAsia="x-none"/>
              </w:rPr>
              <w:t>Üçüncü fıkrayla, hazırlanan derece kararının birer sureti</w:t>
            </w:r>
            <w:r w:rsidR="00AE3700" w:rsidRPr="00A23740">
              <w:rPr>
                <w:bCs/>
                <w:szCs w:val="24"/>
                <w:lang w:eastAsia="x-none"/>
              </w:rPr>
              <w:t>nin</w:t>
            </w:r>
            <w:r w:rsidRPr="00A23740">
              <w:rPr>
                <w:bCs/>
                <w:szCs w:val="24"/>
                <w:lang w:eastAsia="x-none"/>
              </w:rPr>
              <w:t xml:space="preserve"> icra ve iflas dairesi tarafından ilgililere tebliğ edil</w:t>
            </w:r>
            <w:r w:rsidR="00AE3700" w:rsidRPr="00A23740">
              <w:rPr>
                <w:bCs/>
                <w:szCs w:val="24"/>
                <w:lang w:eastAsia="x-none"/>
              </w:rPr>
              <w:t>eceği hükme bağlanmaktadır</w:t>
            </w:r>
            <w:r w:rsidRPr="00A23740">
              <w:rPr>
                <w:bCs/>
                <w:szCs w:val="24"/>
                <w:lang w:eastAsia="x-none"/>
              </w:rPr>
              <w:t>.</w:t>
            </w:r>
          </w:p>
          <w:p w:rsidR="008B183A" w:rsidRPr="00A23740" w:rsidRDefault="008B183A" w:rsidP="0016377F">
            <w:pPr>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r w:rsidRPr="00A23740">
              <w:rPr>
                <w:rStyle w:val="KIRMIZIChar"/>
                <w:rFonts w:eastAsia="Calibri"/>
              </w:rPr>
              <w:t>Cetvele</w:t>
            </w:r>
            <w:r w:rsidRPr="00A23740">
              <w:rPr>
                <w:rFonts w:eastAsia="Times New Roman"/>
                <w:szCs w:val="24"/>
                <w:lang w:eastAsia="tr-TR"/>
              </w:rPr>
              <w:t xml:space="preserve"> itiraz:</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Madde 142 – (1) (</w:t>
            </w:r>
            <w:r w:rsidRPr="00A23740">
              <w:rPr>
                <w:rFonts w:eastAsia="Times New Roman"/>
                <w:b/>
                <w:strike/>
                <w:color w:val="FF0000"/>
                <w:szCs w:val="24"/>
                <w:lang w:eastAsia="tr-TR"/>
              </w:rPr>
              <w:t>Değişik: 3/7/1940 - 3890/1 md.)</w:t>
            </w:r>
          </w:p>
          <w:p w:rsidR="00AA5C8C" w:rsidRPr="00A23740" w:rsidRDefault="00AA5C8C" w:rsidP="009431FF">
            <w:pPr>
              <w:tabs>
                <w:tab w:val="left" w:pos="567"/>
              </w:tabs>
              <w:rPr>
                <w:rFonts w:eastAsia="Times New Roman"/>
                <w:szCs w:val="24"/>
                <w:lang w:eastAsia="tr-TR"/>
              </w:rPr>
            </w:pPr>
            <w:r w:rsidRPr="00A23740">
              <w:rPr>
                <w:rStyle w:val="KIRMIZIChar"/>
                <w:rFonts w:eastAsia="Calibri"/>
              </w:rPr>
              <w:t>Cetvel suretinin</w:t>
            </w:r>
            <w:r w:rsidRPr="00A23740">
              <w:rPr>
                <w:rFonts w:eastAsia="Times New Roman"/>
                <w:szCs w:val="24"/>
                <w:lang w:eastAsia="tr-TR"/>
              </w:rPr>
              <w:t xml:space="preserve"> tebliğinden </w:t>
            </w:r>
            <w:r w:rsidRPr="00A23740">
              <w:rPr>
                <w:rStyle w:val="KIRMIZIChar"/>
                <w:rFonts w:eastAsia="Calibri"/>
              </w:rPr>
              <w:t>yedi gün</w:t>
            </w:r>
            <w:r w:rsidRPr="00A23740">
              <w:rPr>
                <w:rFonts w:eastAsia="Times New Roman"/>
                <w:szCs w:val="24"/>
                <w:lang w:eastAsia="tr-TR"/>
              </w:rPr>
              <w:t xml:space="preserve"> içinde her alacaklı </w:t>
            </w:r>
            <w:r w:rsidRPr="00A23740">
              <w:rPr>
                <w:rStyle w:val="KIRMIZIChar"/>
                <w:rFonts w:eastAsia="Calibri"/>
              </w:rPr>
              <w:t>takibin icra edildiği mahal</w:t>
            </w:r>
            <w:r w:rsidRPr="00A23740">
              <w:rPr>
                <w:rStyle w:val="KIRMIZIChar"/>
                <w:rFonts w:eastAsia="Calibri"/>
                <w:strike w:val="0"/>
              </w:rPr>
              <w:t xml:space="preserve"> </w:t>
            </w:r>
            <w:r w:rsidRPr="00A23740">
              <w:rPr>
                <w:rFonts w:eastAsia="Times New Roman"/>
                <w:szCs w:val="24"/>
                <w:lang w:eastAsia="tr-TR"/>
              </w:rPr>
              <w:t xml:space="preserve">mahkemesinde </w:t>
            </w:r>
            <w:r w:rsidRPr="00A23740">
              <w:rPr>
                <w:rStyle w:val="KIRMIZIChar"/>
                <w:rFonts w:eastAsia="Calibri"/>
              </w:rPr>
              <w:t>alakadarlar aleyhine</w:t>
            </w:r>
            <w:r w:rsidRPr="00A23740">
              <w:rPr>
                <w:rStyle w:val="KIRMIZIChar"/>
                <w:rFonts w:eastAsia="Calibri"/>
                <w:strike w:val="0"/>
              </w:rPr>
              <w:t xml:space="preserve"> </w:t>
            </w:r>
            <w:r w:rsidRPr="00A23740">
              <w:t>dava</w:t>
            </w:r>
            <w:r w:rsidRPr="00A23740">
              <w:rPr>
                <w:rStyle w:val="KIRMIZIChar"/>
                <w:rFonts w:eastAsia="Calibri"/>
                <w:strike w:val="0"/>
              </w:rPr>
              <w:t xml:space="preserve"> </w:t>
            </w:r>
            <w:r w:rsidRPr="00A23740">
              <w:rPr>
                <w:rStyle w:val="KIRMIZIChar"/>
                <w:rFonts w:eastAsia="Calibri"/>
              </w:rPr>
              <w:t>etmek suretiyle cetvel mündericatına itiraz edebilir.</w:t>
            </w: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Dava basit yargılama usul</w:t>
            </w:r>
            <w:r w:rsidRPr="00A23740">
              <w:rPr>
                <w:rStyle w:val="KIRMIZIChar"/>
                <w:rFonts w:eastAsia="Calibri"/>
              </w:rPr>
              <w:t>i</w:t>
            </w:r>
            <w:r w:rsidR="001A031C" w:rsidRPr="00A23740">
              <w:rPr>
                <w:rFonts w:eastAsia="Times New Roman"/>
                <w:szCs w:val="24"/>
                <w:lang w:eastAsia="tr-TR"/>
              </w:rPr>
              <w:t>yle görülür.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 xml:space="preserve">(2) </w:t>
            </w:r>
            <w:r w:rsidRPr="00A23740">
              <w:rPr>
                <w:rStyle w:val="KIRMIZIChar"/>
                <w:rFonts w:eastAsia="Calibri"/>
              </w:rPr>
              <w:t>İtiraz</w:t>
            </w:r>
            <w:r w:rsidRPr="00A23740">
              <w:rPr>
                <w:rFonts w:eastAsia="Times New Roman"/>
                <w:szCs w:val="24"/>
                <w:lang w:eastAsia="tr-TR"/>
              </w:rPr>
              <w:t xml:space="preserve"> alacağın </w:t>
            </w:r>
            <w:r w:rsidRPr="00A23740">
              <w:rPr>
                <w:rFonts w:eastAsia="Times New Roman"/>
                <w:b/>
                <w:strike/>
                <w:color w:val="FF0000"/>
                <w:szCs w:val="24"/>
                <w:lang w:eastAsia="tr-TR"/>
              </w:rPr>
              <w:t>esas ve</w:t>
            </w:r>
            <w:r w:rsidRPr="00A23740">
              <w:rPr>
                <w:rFonts w:eastAsia="Times New Roman"/>
                <w:b/>
                <w:color w:val="FF0000"/>
                <w:szCs w:val="24"/>
                <w:lang w:eastAsia="tr-TR"/>
              </w:rPr>
              <w:t xml:space="preserve"> </w:t>
            </w:r>
            <w:r w:rsidRPr="00A23740">
              <w:rPr>
                <w:rFonts w:eastAsia="Times New Roman"/>
                <w:szCs w:val="24"/>
                <w:lang w:eastAsia="tr-TR"/>
              </w:rPr>
              <w:t xml:space="preserve">miktarına </w:t>
            </w:r>
            <w:r w:rsidRPr="00A23740">
              <w:rPr>
                <w:rFonts w:eastAsia="Times New Roman"/>
                <w:b/>
                <w:strike/>
                <w:color w:val="FF0000"/>
                <w:szCs w:val="24"/>
                <w:lang w:eastAsia="tr-TR"/>
              </w:rPr>
              <w:t>taallük etmeyip yalnız</w:t>
            </w:r>
            <w:r w:rsidRPr="00A23740">
              <w:rPr>
                <w:rFonts w:eastAsia="Times New Roman"/>
                <w:b/>
                <w:color w:val="FF0000"/>
                <w:szCs w:val="24"/>
                <w:lang w:eastAsia="tr-TR"/>
              </w:rPr>
              <w:t xml:space="preserve"> </w:t>
            </w:r>
            <w:r w:rsidRPr="00A23740">
              <w:rPr>
                <w:rFonts w:eastAsia="Times New Roman"/>
                <w:szCs w:val="24"/>
                <w:lang w:eastAsia="tr-TR"/>
              </w:rPr>
              <w:t>sıraya</w:t>
            </w:r>
            <w:r w:rsidRPr="00A23740">
              <w:rPr>
                <w:rFonts w:eastAsia="Times New Roman"/>
                <w:b/>
                <w:strike/>
                <w:color w:val="FF0000"/>
                <w:szCs w:val="24"/>
                <w:lang w:eastAsia="tr-TR"/>
              </w:rPr>
              <w:t xml:space="preserve"> dairse</w:t>
            </w:r>
            <w:r w:rsidRPr="00A23740">
              <w:rPr>
                <w:rFonts w:eastAsia="Times New Roman"/>
                <w:szCs w:val="24"/>
                <w:lang w:eastAsia="tr-TR"/>
              </w:rPr>
              <w:t xml:space="preserve"> şikayet yol</w:t>
            </w:r>
            <w:r w:rsidRPr="00A23740">
              <w:rPr>
                <w:rStyle w:val="KIRMIZIChar"/>
                <w:rFonts w:eastAsia="Calibri"/>
              </w:rPr>
              <w:t>i</w:t>
            </w:r>
            <w:r w:rsidRPr="00A23740">
              <w:rPr>
                <w:rFonts w:eastAsia="Times New Roman"/>
                <w:szCs w:val="24"/>
                <w:lang w:eastAsia="tr-TR"/>
              </w:rPr>
              <w:t>yle icra mahkemesin</w:t>
            </w:r>
            <w:r w:rsidRPr="00A23740">
              <w:rPr>
                <w:bCs/>
                <w:lang w:eastAsia="tr-TR"/>
              </w:rPr>
              <w:t>e</w:t>
            </w:r>
            <w:r w:rsidRPr="00A23740">
              <w:rPr>
                <w:rFonts w:eastAsia="Times New Roman"/>
                <w:szCs w:val="24"/>
                <w:lang w:eastAsia="tr-TR"/>
              </w:rPr>
              <w:t xml:space="preserve"> </w:t>
            </w:r>
            <w:r w:rsidRPr="00A23740">
              <w:rPr>
                <w:rFonts w:eastAsia="Times New Roman"/>
                <w:b/>
                <w:strike/>
                <w:color w:val="FF0000"/>
                <w:szCs w:val="24"/>
                <w:lang w:eastAsia="tr-TR"/>
              </w:rPr>
              <w:t>arzolunur</w:t>
            </w:r>
            <w:r w:rsidRPr="00A23740">
              <w:t>.</w:t>
            </w:r>
          </w:p>
        </w:tc>
        <w:tc>
          <w:tcPr>
            <w:tcW w:w="2500" w:type="pct"/>
          </w:tcPr>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Derece kararına</w:t>
            </w:r>
            <w:r w:rsidRPr="00A23740">
              <w:rPr>
                <w:szCs w:val="24"/>
              </w:rPr>
              <w:t xml:space="preserve"> </w:t>
            </w:r>
            <w:r w:rsidRPr="00A23740">
              <w:rPr>
                <w:b/>
                <w:szCs w:val="24"/>
              </w:rPr>
              <w:t>itiraz</w:t>
            </w:r>
            <w:r w:rsidR="00C61A0A" w:rsidRPr="00A23740">
              <w:rPr>
                <w:rFonts w:eastAsia="Times New Roman"/>
                <w:b/>
                <w:color w:val="0000FF"/>
                <w:szCs w:val="24"/>
                <w:lang w:eastAsia="tr-TR"/>
              </w:rPr>
              <w:t xml:space="preserve"> davası ve şikâyet</w:t>
            </w:r>
          </w:p>
          <w:p w:rsidR="00AA5C8C" w:rsidRPr="00A23740" w:rsidRDefault="00AA5C8C" w:rsidP="009431FF">
            <w:pPr>
              <w:rPr>
                <w:rStyle w:val="MAVChar"/>
                <w:rFonts w:eastAsia="Calibri"/>
                <w:u w:val="none"/>
              </w:rPr>
            </w:pPr>
            <w:r w:rsidRPr="00A23740">
              <w:rPr>
                <w:rFonts w:eastAsia="Times New Roman"/>
                <w:b/>
                <w:color w:val="0000FF"/>
                <w:szCs w:val="24"/>
                <w:lang w:eastAsia="tr-TR"/>
              </w:rPr>
              <w:t>MADDE 2</w:t>
            </w:r>
            <w:r w:rsidR="00490C3E" w:rsidRPr="00A23740">
              <w:rPr>
                <w:rFonts w:eastAsia="Times New Roman"/>
                <w:b/>
                <w:color w:val="0000FF"/>
                <w:szCs w:val="24"/>
                <w:lang w:eastAsia="tr-TR"/>
              </w:rPr>
              <w:t>60</w:t>
            </w:r>
            <w:r w:rsidRPr="00A23740">
              <w:rPr>
                <w:rFonts w:eastAsia="Times New Roman"/>
                <w:b/>
                <w:color w:val="0000FF"/>
                <w:szCs w:val="24"/>
                <w:lang w:eastAsia="tr-TR"/>
              </w:rPr>
              <w:t xml:space="preserve">- </w:t>
            </w:r>
            <w:r w:rsidRPr="00A23740">
              <w:rPr>
                <w:rStyle w:val="MAVChar"/>
                <w:rFonts w:eastAsia="Calibri"/>
                <w:u w:val="none"/>
              </w:rPr>
              <w:t>(1) Derece kararının</w:t>
            </w:r>
            <w:r w:rsidRPr="00A23740">
              <w:rPr>
                <w:szCs w:val="24"/>
              </w:rPr>
              <w:t xml:space="preserve"> tebliğinden </w:t>
            </w:r>
            <w:r w:rsidRPr="00A23740">
              <w:rPr>
                <w:rStyle w:val="MaviChar"/>
              </w:rPr>
              <w:t>itibaren</w:t>
            </w:r>
            <w:r w:rsidRPr="00A23740">
              <w:rPr>
                <w:szCs w:val="24"/>
              </w:rPr>
              <w:t xml:space="preserve"> </w:t>
            </w:r>
            <w:r w:rsidRPr="00A23740">
              <w:rPr>
                <w:rStyle w:val="MaviChar"/>
              </w:rPr>
              <w:t>iki hafta</w:t>
            </w:r>
            <w:r w:rsidRPr="00A23740">
              <w:rPr>
                <w:szCs w:val="24"/>
              </w:rPr>
              <w:t xml:space="preserve"> içinde </w:t>
            </w:r>
            <w:r w:rsidRPr="00A23740">
              <w:rPr>
                <w:rStyle w:val="MaviChar"/>
              </w:rPr>
              <w:t>ilgili</w:t>
            </w:r>
            <w:r w:rsidRPr="00A23740">
              <w:rPr>
                <w:szCs w:val="24"/>
              </w:rPr>
              <w:t xml:space="preserve"> her alacaklı</w:t>
            </w:r>
            <w:r w:rsidRPr="00A23740">
              <w:rPr>
                <w:rStyle w:val="MaviChar"/>
              </w:rPr>
              <w:t>, derece kararını düzenleyen icra ve iflas</w:t>
            </w:r>
            <w:r w:rsidRPr="00A23740">
              <w:rPr>
                <w:rStyle w:val="MaviChar"/>
                <w:lang w:val="tr-TR"/>
              </w:rPr>
              <w:t xml:space="preserve"> </w:t>
            </w:r>
            <w:r w:rsidRPr="00A23740">
              <w:rPr>
                <w:rStyle w:val="MaviChar"/>
              </w:rPr>
              <w:t>dairesinin bulunduğu yer asliye hukuk</w:t>
            </w:r>
            <w:r w:rsidRPr="00A23740">
              <w:rPr>
                <w:szCs w:val="24"/>
              </w:rPr>
              <w:t xml:space="preserve"> mahkemesinde</w:t>
            </w:r>
            <w:r w:rsidRPr="00A23740">
              <w:rPr>
                <w:rStyle w:val="MaviChar"/>
              </w:rPr>
              <w:t>,</w:t>
            </w:r>
            <w:r w:rsidRPr="00A23740">
              <w:rPr>
                <w:szCs w:val="24"/>
              </w:rPr>
              <w:t xml:space="preserve"> </w:t>
            </w:r>
            <w:r w:rsidRPr="00A23740">
              <w:rPr>
                <w:rStyle w:val="MaviChar"/>
              </w:rPr>
              <w:t>derece kararında pay ayrılan diğer bir</w:t>
            </w:r>
            <w:r w:rsidRPr="00A23740">
              <w:rPr>
                <w:rStyle w:val="MaviChar"/>
                <w:lang w:val="tr-TR"/>
              </w:rPr>
              <w:t xml:space="preserve"> </w:t>
            </w:r>
            <w:r w:rsidRPr="00A23740">
              <w:rPr>
                <w:rStyle w:val="MaviChar"/>
              </w:rPr>
              <w:t>alacaklının alacağının esas ve miktarına</w:t>
            </w:r>
            <w:r w:rsidRPr="00A23740">
              <w:rPr>
                <w:rStyle w:val="MaviChar"/>
                <w:lang w:val="tr-TR"/>
              </w:rPr>
              <w:t xml:space="preserve"> </w:t>
            </w:r>
            <w:r w:rsidRPr="00A23740">
              <w:rPr>
                <w:rStyle w:val="MaviChar"/>
              </w:rPr>
              <w:t xml:space="preserve">itiraz ederek </w:t>
            </w:r>
            <w:r w:rsidRPr="00A23740">
              <w:t>dava</w:t>
            </w:r>
            <w:r w:rsidRPr="00A23740">
              <w:rPr>
                <w:rStyle w:val="MaviChar"/>
              </w:rPr>
              <w:t xml:space="preserve"> açabilir.</w:t>
            </w:r>
            <w:r w:rsidRPr="00A23740">
              <w:rPr>
                <w:szCs w:val="24"/>
              </w:rPr>
              <w:t xml:space="preserve"> Dava basit yargılama usul</w:t>
            </w:r>
            <w:r w:rsidRPr="00A23740">
              <w:rPr>
                <w:rStyle w:val="MaviChar"/>
              </w:rPr>
              <w:t>ü</w:t>
            </w:r>
            <w:r w:rsidRPr="00A23740">
              <w:rPr>
                <w:szCs w:val="24"/>
              </w:rPr>
              <w:t xml:space="preserve">yle görülür. </w:t>
            </w:r>
            <w:r w:rsidRPr="00A23740">
              <w:rPr>
                <w:rStyle w:val="MAVChar"/>
                <w:rFonts w:eastAsia="Calibri"/>
                <w:u w:val="none"/>
              </w:rPr>
              <w:t>Davanın kabulü h</w:t>
            </w:r>
            <w:r w:rsidR="00C224B4" w:rsidRPr="00A23740">
              <w:rPr>
                <w:rStyle w:val="MAVChar"/>
                <w:rFonts w:eastAsia="Calibri"/>
                <w:u w:val="none"/>
              </w:rPr>
              <w:t>â</w:t>
            </w:r>
            <w:r w:rsidRPr="00A23740">
              <w:rPr>
                <w:rStyle w:val="MAVChar"/>
                <w:rFonts w:eastAsia="Calibri"/>
                <w:u w:val="none"/>
              </w:rPr>
              <w:t>linde bu alacağa isabet eden paydan, yargılama giderleri de dâhil olmak üzere öncelikle davacının alacağı karşılanır; artan tutar davalıya bırakılır.</w:t>
            </w:r>
          </w:p>
          <w:p w:rsidR="00AA5C8C" w:rsidRPr="00A23740" w:rsidRDefault="00AA5C8C" w:rsidP="009431FF">
            <w:pPr>
              <w:rPr>
                <w:rFonts w:eastAsia="Times New Roman"/>
                <w:b/>
                <w:color w:val="0000FF"/>
                <w:szCs w:val="24"/>
                <w:lang w:eastAsia="tr-TR"/>
              </w:rPr>
            </w:pPr>
          </w:p>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(2) </w:t>
            </w:r>
            <w:r w:rsidR="00F452BC" w:rsidRPr="00A23740">
              <w:rPr>
                <w:rFonts w:eastAsia="Times New Roman"/>
                <w:b/>
                <w:color w:val="0000FF"/>
                <w:szCs w:val="24"/>
                <w:lang w:eastAsia="tr-TR"/>
              </w:rPr>
              <w:t>Alacaklı</w:t>
            </w:r>
            <w:r w:rsidRPr="00A23740">
              <w:rPr>
                <w:rFonts w:eastAsia="Times New Roman"/>
                <w:b/>
                <w:color w:val="0000FF"/>
                <w:szCs w:val="24"/>
                <w:lang w:eastAsia="tr-TR"/>
              </w:rPr>
              <w:t xml:space="preserve">, kendi </w:t>
            </w:r>
            <w:r w:rsidRPr="00A23740">
              <w:rPr>
                <w:rFonts w:eastAsia="Times New Roman"/>
                <w:szCs w:val="24"/>
                <w:lang w:eastAsia="tr-TR"/>
              </w:rPr>
              <w:t>alacağın</w:t>
            </w:r>
            <w:r w:rsidRPr="00A23740">
              <w:rPr>
                <w:rFonts w:eastAsia="Times New Roman"/>
                <w:b/>
                <w:color w:val="0000FF"/>
                <w:szCs w:val="24"/>
                <w:lang w:eastAsia="tr-TR"/>
              </w:rPr>
              <w:t xml:space="preserve">ın </w:t>
            </w:r>
            <w:r w:rsidRPr="00A23740">
              <w:rPr>
                <w:rFonts w:eastAsia="Times New Roman"/>
                <w:szCs w:val="24"/>
                <w:lang w:eastAsia="tr-TR"/>
              </w:rPr>
              <w:t>miktarına</w:t>
            </w:r>
            <w:r w:rsidRPr="00A23740">
              <w:rPr>
                <w:rFonts w:eastAsia="Times New Roman"/>
                <w:b/>
                <w:color w:val="0000FF"/>
                <w:szCs w:val="24"/>
                <w:lang w:eastAsia="tr-TR"/>
              </w:rPr>
              <w:t xml:space="preserve"> veya sadece dereceye ya da </w:t>
            </w:r>
            <w:r w:rsidRPr="00A23740">
              <w:rPr>
                <w:rFonts w:eastAsia="Times New Roman"/>
                <w:szCs w:val="24"/>
                <w:lang w:eastAsia="tr-TR"/>
              </w:rPr>
              <w:t xml:space="preserve">sıraya </w:t>
            </w:r>
            <w:r w:rsidRPr="00A23740">
              <w:rPr>
                <w:rFonts w:eastAsia="Times New Roman"/>
                <w:b/>
                <w:color w:val="0000FF"/>
                <w:szCs w:val="24"/>
                <w:lang w:eastAsia="tr-TR"/>
              </w:rPr>
              <w:t xml:space="preserve">yahut da bir başka alacaklının </w:t>
            </w:r>
            <w:r w:rsidRPr="00A23740">
              <w:rPr>
                <w:rStyle w:val="MaviChar"/>
              </w:rPr>
              <w:t>derece veya</w:t>
            </w:r>
            <w:r w:rsidRPr="00A23740">
              <w:rPr>
                <w:rFonts w:eastAsia="Times New Roman"/>
                <w:b/>
                <w:color w:val="0000FF"/>
                <w:szCs w:val="24"/>
                <w:lang w:eastAsia="tr-TR"/>
              </w:rPr>
              <w:t xml:space="preserve"> sırasına karşı olan muhalefetleri ile icra </w:t>
            </w:r>
            <w:r w:rsidRPr="00A23740">
              <w:rPr>
                <w:rStyle w:val="MaviChar"/>
              </w:rPr>
              <w:t>ve iflas</w:t>
            </w:r>
            <w:r w:rsidRPr="00A23740">
              <w:rPr>
                <w:rFonts w:eastAsia="Times New Roman"/>
                <w:b/>
                <w:color w:val="0000FF"/>
                <w:szCs w:val="24"/>
                <w:lang w:eastAsia="tr-TR"/>
              </w:rPr>
              <w:t xml:space="preserve"> dairesinin derece kararını düzenlerken takip hukuku hükümlerine aykırı hareket ettiği yönündeki iddialarını </w:t>
            </w:r>
            <w:r w:rsidRPr="00A23740">
              <w:rPr>
                <w:rFonts w:eastAsia="Times New Roman"/>
                <w:szCs w:val="24"/>
                <w:lang w:eastAsia="tr-TR"/>
              </w:rPr>
              <w:t xml:space="preserve">icra </w:t>
            </w:r>
            <w:r w:rsidRPr="00A23740">
              <w:rPr>
                <w:rStyle w:val="MaviChar"/>
              </w:rPr>
              <w:t>hukuk</w:t>
            </w:r>
            <w:r w:rsidRPr="00A23740">
              <w:rPr>
                <w:rFonts w:eastAsia="Times New Roman"/>
                <w:szCs w:val="24"/>
                <w:lang w:eastAsia="tr-TR"/>
              </w:rPr>
              <w:t xml:space="preserve"> mahkemesin</w:t>
            </w:r>
            <w:r w:rsidRPr="00A23740">
              <w:rPr>
                <w:rStyle w:val="MaviChar"/>
              </w:rPr>
              <w:t>d</w:t>
            </w:r>
            <w:r w:rsidRPr="00A23740">
              <w:rPr>
                <w:rFonts w:eastAsia="Times New Roman"/>
                <w:bCs/>
                <w:lang w:eastAsia="tr-TR"/>
              </w:rPr>
              <w:t>e</w:t>
            </w:r>
            <w:r w:rsidRPr="00A23740">
              <w:rPr>
                <w:rFonts w:eastAsia="Times New Roman"/>
                <w:szCs w:val="24"/>
                <w:lang w:eastAsia="tr-TR"/>
              </w:rPr>
              <w:t xml:space="preserve"> şik</w:t>
            </w:r>
            <w:r w:rsidR="00407C95" w:rsidRPr="00A23740">
              <w:rPr>
                <w:rFonts w:eastAsia="Times New Roman"/>
                <w:szCs w:val="24"/>
                <w:lang w:eastAsia="tr-TR"/>
              </w:rPr>
              <w:t>â</w:t>
            </w:r>
            <w:r w:rsidRPr="00A23740">
              <w:rPr>
                <w:rFonts w:eastAsia="Times New Roman"/>
                <w:szCs w:val="24"/>
                <w:lang w:eastAsia="tr-TR"/>
              </w:rPr>
              <w:t>yet yol</w:t>
            </w:r>
            <w:r w:rsidRPr="00A23740">
              <w:rPr>
                <w:rStyle w:val="MaviChar"/>
              </w:rPr>
              <w:t>u</w:t>
            </w:r>
            <w:r w:rsidRPr="00A23740">
              <w:rPr>
                <w:rFonts w:eastAsia="Times New Roman"/>
                <w:szCs w:val="24"/>
                <w:lang w:eastAsia="tr-TR"/>
              </w:rPr>
              <w:t>yla</w:t>
            </w:r>
            <w:r w:rsidRPr="00A23740">
              <w:rPr>
                <w:rFonts w:eastAsia="Times New Roman"/>
                <w:b/>
                <w:color w:val="0000FF"/>
                <w:szCs w:val="24"/>
                <w:lang w:eastAsia="tr-TR"/>
              </w:rPr>
              <w:t xml:space="preserve"> ileri sürer</w:t>
            </w:r>
            <w:r w:rsidRPr="00A23740">
              <w:t>.</w:t>
            </w:r>
          </w:p>
          <w:p w:rsidR="00AA5C8C" w:rsidRPr="00A23740" w:rsidRDefault="00AA5C8C" w:rsidP="009431FF">
            <w:pPr>
              <w:rPr>
                <w:rFonts w:eastAsia="Times New Roman"/>
                <w:szCs w:val="24"/>
                <w:lang w:eastAsia="tr-TR"/>
              </w:rPr>
            </w:pPr>
          </w:p>
          <w:p w:rsidR="00170A4E" w:rsidRPr="00A23740" w:rsidRDefault="00170A4E" w:rsidP="009431FF">
            <w:pPr>
              <w:rPr>
                <w:rFonts w:eastAsia="Times New Roman"/>
                <w:b/>
                <w:color w:val="0000FF"/>
                <w:szCs w:val="24"/>
                <w:lang w:eastAsia="tr-TR"/>
              </w:rPr>
            </w:pPr>
            <w:r w:rsidRPr="00A23740">
              <w:rPr>
                <w:rFonts w:eastAsia="Times New Roman"/>
                <w:b/>
                <w:color w:val="0000FF"/>
                <w:szCs w:val="24"/>
                <w:lang w:eastAsia="tr-TR"/>
              </w:rPr>
              <w:t xml:space="preserve">(3) İcra </w:t>
            </w:r>
            <w:r w:rsidRPr="00A23740">
              <w:rPr>
                <w:rStyle w:val="MaviChar"/>
              </w:rPr>
              <w:t>ve iflas dairesi</w:t>
            </w:r>
            <w:r w:rsidRPr="00A23740">
              <w:rPr>
                <w:rFonts w:eastAsia="Times New Roman"/>
                <w:b/>
                <w:color w:val="0000FF"/>
                <w:szCs w:val="24"/>
                <w:lang w:eastAsia="tr-TR"/>
              </w:rPr>
              <w:t>, derece kararına yapılan itiraz veya şikâyetin bildirilmesi üzerine itiraz veya şik</w:t>
            </w:r>
            <w:r w:rsidR="00F452BC" w:rsidRPr="00A23740">
              <w:rPr>
                <w:rFonts w:eastAsia="Times New Roman"/>
                <w:b/>
                <w:color w:val="0000FF"/>
                <w:szCs w:val="24"/>
                <w:lang w:eastAsia="tr-TR"/>
              </w:rPr>
              <w:t>â</w:t>
            </w:r>
            <w:r w:rsidRPr="00A23740">
              <w:rPr>
                <w:rFonts w:eastAsia="Times New Roman"/>
                <w:b/>
                <w:color w:val="0000FF"/>
                <w:szCs w:val="24"/>
                <w:lang w:eastAsia="tr-TR"/>
              </w:rPr>
              <w:t xml:space="preserve">yet hakkındaki karar kesinleşinceye kadar, satış bedelinin ihtilaflı olan kısmını bankada nemalandırır. Kararın kesinleşmesi </w:t>
            </w:r>
            <w:r w:rsidRPr="00A23740">
              <w:rPr>
                <w:rStyle w:val="MaviChar"/>
              </w:rPr>
              <w:t>üzerine</w:t>
            </w:r>
            <w:r w:rsidRPr="00A23740">
              <w:rPr>
                <w:rFonts w:eastAsia="Times New Roman"/>
                <w:b/>
                <w:color w:val="0000FF"/>
                <w:szCs w:val="24"/>
                <w:lang w:eastAsia="tr-TR"/>
              </w:rPr>
              <w:t xml:space="preserve"> ihale bedeli nemaları ile birlikte hak sahiplerine ödenir.</w:t>
            </w:r>
          </w:p>
          <w:p w:rsidR="00AA5C8C" w:rsidRPr="00A23740" w:rsidRDefault="00AA5C8C" w:rsidP="009431FF">
            <w:pPr>
              <w:pStyle w:val="AltKonuBal"/>
              <w:rPr>
                <w:strike/>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64163E" w:rsidRPr="00A23740" w:rsidRDefault="0064163E" w:rsidP="009431FF">
            <w:pPr>
              <w:tabs>
                <w:tab w:val="left" w:pos="567"/>
              </w:tabs>
              <w:ind w:firstLine="709"/>
              <w:rPr>
                <w:rFonts w:eastAsia="Times New Roman"/>
                <w:b/>
                <w:szCs w:val="24"/>
                <w:lang w:eastAsia="tr-TR"/>
              </w:rPr>
            </w:pPr>
          </w:p>
          <w:p w:rsidR="00075435" w:rsidRPr="00A23740" w:rsidRDefault="00075435" w:rsidP="009431FF">
            <w:pPr>
              <w:tabs>
                <w:tab w:val="left" w:pos="567"/>
              </w:tabs>
              <w:ind w:firstLine="709"/>
              <w:rPr>
                <w:bCs/>
                <w:szCs w:val="24"/>
                <w:lang w:eastAsia="x-none"/>
              </w:rPr>
            </w:pPr>
            <w:r w:rsidRPr="00A23740">
              <w:rPr>
                <w:rFonts w:eastAsia="Times New Roman"/>
                <w:b/>
                <w:szCs w:val="24"/>
                <w:lang w:eastAsia="tr-TR"/>
              </w:rPr>
              <w:t>MADDE 2</w:t>
            </w:r>
            <w:r w:rsidR="00490C3E" w:rsidRPr="00A23740">
              <w:rPr>
                <w:rFonts w:eastAsia="Times New Roman"/>
                <w:b/>
                <w:szCs w:val="24"/>
                <w:lang w:eastAsia="tr-TR"/>
              </w:rPr>
              <w:t>60</w:t>
            </w:r>
            <w:r w:rsidRPr="00A23740">
              <w:rPr>
                <w:rFonts w:eastAsia="Times New Roman"/>
                <w:b/>
                <w:szCs w:val="24"/>
                <w:lang w:eastAsia="tr-TR"/>
              </w:rPr>
              <w:t xml:space="preserve">- </w:t>
            </w:r>
            <w:r w:rsidRPr="00A23740">
              <w:rPr>
                <w:rFonts w:eastAsia="Times New Roman"/>
                <w:szCs w:val="24"/>
                <w:lang w:eastAsia="tr-TR"/>
              </w:rPr>
              <w:t>Maddeyle</w:t>
            </w:r>
            <w:r w:rsidRPr="00A23740">
              <w:rPr>
                <w:bCs/>
                <w:szCs w:val="24"/>
                <w:lang w:eastAsia="x-none"/>
              </w:rPr>
              <w:t>, derece kararına itiraz davası ve şikâyete ilişkin hususlar düzenlenmektedir.</w:t>
            </w:r>
            <w:r w:rsidR="00C2056A" w:rsidRPr="00A23740">
              <w:rPr>
                <w:bCs/>
                <w:szCs w:val="24"/>
                <w:lang w:eastAsia="x-none"/>
              </w:rPr>
              <w:t xml:space="preserve"> Hüküm, 2004 sayılı Kanunun 142 nci maddesine karşılık gelmekte</w:t>
            </w:r>
            <w:r w:rsidR="00C61A0A" w:rsidRPr="00A23740">
              <w:rPr>
                <w:bCs/>
                <w:szCs w:val="24"/>
                <w:lang w:eastAsia="x-none"/>
              </w:rPr>
              <w:t xml:space="preserve"> olup bu maddede </w:t>
            </w:r>
            <w:r w:rsidR="000C7FA4" w:rsidRPr="00A23740">
              <w:rPr>
                <w:lang w:eastAsia="x-none"/>
              </w:rPr>
              <w:t>benimsenen itiraz davası ile şik</w:t>
            </w:r>
            <w:r w:rsidR="00F452BC" w:rsidRPr="00A23740">
              <w:rPr>
                <w:lang w:eastAsia="x-none"/>
              </w:rPr>
              <w:t>â</w:t>
            </w:r>
            <w:r w:rsidR="000C7FA4" w:rsidRPr="00A23740">
              <w:rPr>
                <w:lang w:eastAsia="x-none"/>
              </w:rPr>
              <w:t>yet ayrımı yeni hükümde aynen korunmakta ancak dava ve şik</w:t>
            </w:r>
            <w:r w:rsidR="00407C95" w:rsidRPr="00A23740">
              <w:rPr>
                <w:lang w:eastAsia="x-none"/>
              </w:rPr>
              <w:t>â</w:t>
            </w:r>
            <w:r w:rsidR="000C7FA4" w:rsidRPr="00A23740">
              <w:rPr>
                <w:lang w:eastAsia="x-none"/>
              </w:rPr>
              <w:t>yet konuları tereddütlerin giderilmesi amacıyla detaylı ve açık bir şekilde kaleme alınmaktadır.</w:t>
            </w:r>
          </w:p>
          <w:p w:rsidR="00C61A0A" w:rsidRPr="00A23740" w:rsidRDefault="00075435" w:rsidP="009431FF">
            <w:pPr>
              <w:tabs>
                <w:tab w:val="left" w:pos="567"/>
              </w:tabs>
              <w:ind w:firstLine="709"/>
              <w:rPr>
                <w:bCs/>
                <w:lang w:eastAsia="x-none"/>
              </w:rPr>
            </w:pPr>
            <w:r w:rsidRPr="00A23740">
              <w:rPr>
                <w:bCs/>
                <w:szCs w:val="24"/>
                <w:lang w:eastAsia="x-none"/>
              </w:rPr>
              <w:t>B</w:t>
            </w:r>
            <w:r w:rsidR="00FB2A2E" w:rsidRPr="00A23740">
              <w:rPr>
                <w:bCs/>
                <w:szCs w:val="24"/>
                <w:lang w:eastAsia="x-none"/>
              </w:rPr>
              <w:t>irinci fıkrayla</w:t>
            </w:r>
            <w:r w:rsidRPr="00A23740">
              <w:rPr>
                <w:bCs/>
                <w:szCs w:val="24"/>
                <w:lang w:eastAsia="x-none"/>
              </w:rPr>
              <w:t xml:space="preserve">, </w:t>
            </w:r>
            <w:r w:rsidR="00C2056A" w:rsidRPr="00A23740">
              <w:rPr>
                <w:bCs/>
                <w:szCs w:val="24"/>
                <w:lang w:eastAsia="x-none"/>
              </w:rPr>
              <w:t>derece kararına itiraz davasına ilişkin esaslar belirlenmektedir. Hükme göre</w:t>
            </w:r>
            <w:r w:rsidR="00C61A0A" w:rsidRPr="00A23740">
              <w:rPr>
                <w:bCs/>
                <w:szCs w:val="24"/>
                <w:lang w:eastAsia="x-none"/>
              </w:rPr>
              <w:t>,</w:t>
            </w:r>
            <w:r w:rsidR="00C2056A" w:rsidRPr="00A23740">
              <w:rPr>
                <w:bCs/>
                <w:szCs w:val="24"/>
                <w:lang w:eastAsia="x-none"/>
              </w:rPr>
              <w:t xml:space="preserve"> </w:t>
            </w:r>
            <w:r w:rsidR="00FB2A2E" w:rsidRPr="00A23740">
              <w:rPr>
                <w:lang w:eastAsia="x-none"/>
              </w:rPr>
              <w:t>derece kararının</w:t>
            </w:r>
            <w:r w:rsidR="00FB2A2E" w:rsidRPr="00A23740">
              <w:rPr>
                <w:bCs/>
                <w:szCs w:val="24"/>
                <w:lang w:eastAsia="x-none"/>
              </w:rPr>
              <w:t xml:space="preserve"> </w:t>
            </w:r>
            <w:r w:rsidRPr="00A23740">
              <w:rPr>
                <w:bCs/>
                <w:szCs w:val="24"/>
                <w:lang w:eastAsia="x-none"/>
              </w:rPr>
              <w:t xml:space="preserve">tebliğinden </w:t>
            </w:r>
            <w:r w:rsidRPr="00A23740">
              <w:t>itibaren</w:t>
            </w:r>
            <w:r w:rsidRPr="00A23740">
              <w:rPr>
                <w:bCs/>
                <w:szCs w:val="24"/>
                <w:lang w:eastAsia="x-none"/>
              </w:rPr>
              <w:t xml:space="preserve"> </w:t>
            </w:r>
            <w:r w:rsidRPr="00A23740">
              <w:t>iki hafta</w:t>
            </w:r>
            <w:r w:rsidRPr="00A23740">
              <w:rPr>
                <w:bCs/>
                <w:szCs w:val="24"/>
                <w:lang w:eastAsia="x-none"/>
              </w:rPr>
              <w:t xml:space="preserve"> içinde </w:t>
            </w:r>
            <w:r w:rsidRPr="00A23740">
              <w:t>ilgili</w:t>
            </w:r>
            <w:r w:rsidRPr="00A23740">
              <w:rPr>
                <w:bCs/>
                <w:szCs w:val="24"/>
                <w:lang w:eastAsia="x-none"/>
              </w:rPr>
              <w:t xml:space="preserve"> her alacaklı</w:t>
            </w:r>
            <w:r w:rsidRPr="00A23740">
              <w:rPr>
                <w:bCs/>
                <w:lang w:eastAsia="x-none"/>
              </w:rPr>
              <w:t>,</w:t>
            </w:r>
            <w:r w:rsidRPr="00A23740">
              <w:rPr>
                <w:bCs/>
                <w:szCs w:val="24"/>
                <w:lang w:eastAsia="x-none"/>
              </w:rPr>
              <w:t xml:space="preserve"> </w:t>
            </w:r>
            <w:r w:rsidRPr="00A23740">
              <w:t>derece kararını düzenleyen icra ve iflas dairesinin bulunduğu yer asliye hukuk</w:t>
            </w:r>
            <w:r w:rsidRPr="00A23740">
              <w:rPr>
                <w:bCs/>
                <w:szCs w:val="24"/>
                <w:lang w:eastAsia="x-none"/>
              </w:rPr>
              <w:t xml:space="preserve"> mahkemesinde</w:t>
            </w:r>
            <w:r w:rsidRPr="00A23740">
              <w:t>,</w:t>
            </w:r>
            <w:r w:rsidRPr="00A23740">
              <w:rPr>
                <w:bCs/>
                <w:szCs w:val="24"/>
                <w:lang w:eastAsia="x-none"/>
              </w:rPr>
              <w:t xml:space="preserve"> </w:t>
            </w:r>
            <w:r w:rsidRPr="00A23740">
              <w:t xml:space="preserve">derece kararında pay ayrılan diğer bir alacaklının alacağının esas ve miktarına itiraz ederek </w:t>
            </w:r>
            <w:r w:rsidRPr="00A23740">
              <w:rPr>
                <w:bCs/>
                <w:szCs w:val="24"/>
                <w:lang w:eastAsia="x-none"/>
              </w:rPr>
              <w:t>dava</w:t>
            </w:r>
            <w:r w:rsidR="00AA4BF4" w:rsidRPr="00A23740">
              <w:t xml:space="preserve"> açabilir</w:t>
            </w:r>
            <w:r w:rsidRPr="00A23740">
              <w:t>.</w:t>
            </w:r>
            <w:r w:rsidR="00C2056A" w:rsidRPr="00A23740">
              <w:t xml:space="preserve"> </w:t>
            </w:r>
            <w:r w:rsidR="002632AA" w:rsidRPr="00A23740">
              <w:rPr>
                <w:lang w:eastAsia="x-none"/>
              </w:rPr>
              <w:t xml:space="preserve">Bu </w:t>
            </w:r>
            <w:r w:rsidR="002632AA" w:rsidRPr="00A23740">
              <w:rPr>
                <w:bCs/>
                <w:szCs w:val="24"/>
                <w:lang w:eastAsia="x-none"/>
              </w:rPr>
              <w:t>dava</w:t>
            </w:r>
            <w:r w:rsidR="00C61A0A" w:rsidRPr="00A23740">
              <w:rPr>
                <w:bCs/>
                <w:szCs w:val="24"/>
                <w:lang w:eastAsia="x-none"/>
              </w:rPr>
              <w:t>,</w:t>
            </w:r>
            <w:r w:rsidR="002632AA" w:rsidRPr="00A23740">
              <w:rPr>
                <w:bCs/>
                <w:szCs w:val="24"/>
                <w:lang w:eastAsia="x-none"/>
              </w:rPr>
              <w:t xml:space="preserve"> basit yargılama usul</w:t>
            </w:r>
            <w:r w:rsidR="002632AA" w:rsidRPr="00A23740">
              <w:t>ü</w:t>
            </w:r>
            <w:r w:rsidR="002632AA" w:rsidRPr="00A23740">
              <w:rPr>
                <w:bCs/>
                <w:szCs w:val="24"/>
                <w:lang w:eastAsia="x-none"/>
              </w:rPr>
              <w:t xml:space="preserve">yle görülür. </w:t>
            </w:r>
            <w:r w:rsidR="002632AA" w:rsidRPr="00A23740">
              <w:rPr>
                <w:lang w:eastAsia="x-none"/>
              </w:rPr>
              <w:t>Ayrıca bir yenilik olarak, bu davanın kabulü h</w:t>
            </w:r>
            <w:r w:rsidR="00C224B4" w:rsidRPr="00A23740">
              <w:rPr>
                <w:lang w:eastAsia="x-none"/>
              </w:rPr>
              <w:t>â</w:t>
            </w:r>
            <w:r w:rsidR="002632AA" w:rsidRPr="00A23740">
              <w:rPr>
                <w:lang w:eastAsia="x-none"/>
              </w:rPr>
              <w:t>linde dava açan alacaklının alacağına isabet eden paydan yargılama giderleri de dahil olmak üzere öncelikle davacının alacağı karşılanacak ve artan tutar davalıya bırakıl</w:t>
            </w:r>
            <w:r w:rsidR="00C61A0A" w:rsidRPr="00A23740">
              <w:rPr>
                <w:lang w:eastAsia="x-none"/>
              </w:rPr>
              <w:t>acaktır</w:t>
            </w:r>
            <w:r w:rsidR="002632AA" w:rsidRPr="00A23740">
              <w:rPr>
                <w:lang w:eastAsia="x-none"/>
              </w:rPr>
              <w:t xml:space="preserve">. </w:t>
            </w:r>
            <w:r w:rsidR="00C2056A" w:rsidRPr="00A23740">
              <w:rPr>
                <w:lang w:eastAsia="x-none"/>
              </w:rPr>
              <w:t>2004 sayılı Kanundan farklı olarak a</w:t>
            </w:r>
            <w:r w:rsidR="00AA4BF4" w:rsidRPr="00A23740">
              <w:rPr>
                <w:lang w:eastAsia="x-none"/>
              </w:rPr>
              <w:t>sliye hukuk mahkemesinin göre</w:t>
            </w:r>
            <w:r w:rsidR="00C2056A" w:rsidRPr="00A23740">
              <w:rPr>
                <w:lang w:eastAsia="x-none"/>
              </w:rPr>
              <w:t>vli olduğu açıkça düzenlenerek hüküm açıklığa kavuşturulmakta ve böylece bu konuda çıkabilecek görüş a</w:t>
            </w:r>
            <w:r w:rsidR="00C61A0A" w:rsidRPr="00A23740">
              <w:rPr>
                <w:lang w:eastAsia="x-none"/>
              </w:rPr>
              <w:t>yrılıklarının ve tartışmaların</w:t>
            </w:r>
            <w:r w:rsidR="00C2056A" w:rsidRPr="00A23740">
              <w:rPr>
                <w:lang w:eastAsia="x-none"/>
              </w:rPr>
              <w:t xml:space="preserve"> önlemesi amaçlanmaktadır</w:t>
            </w:r>
            <w:r w:rsidR="00C61A0A" w:rsidRPr="00A23740">
              <w:rPr>
                <w:lang w:eastAsia="x-none"/>
              </w:rPr>
              <w:t>.</w:t>
            </w:r>
          </w:p>
          <w:p w:rsidR="00496FB2" w:rsidRPr="00A23740" w:rsidRDefault="00E74E81" w:rsidP="009431FF">
            <w:pPr>
              <w:tabs>
                <w:tab w:val="left" w:pos="567"/>
              </w:tabs>
              <w:ind w:firstLine="709"/>
              <w:rPr>
                <w:rFonts w:eastAsia="Times New Roman"/>
                <w:b/>
                <w:color w:val="FF0000"/>
                <w:szCs w:val="24"/>
                <w:lang w:eastAsia="tr-TR"/>
              </w:rPr>
            </w:pPr>
            <w:r w:rsidRPr="00A23740">
              <w:rPr>
                <w:lang w:eastAsia="x-none"/>
              </w:rPr>
              <w:t>İ</w:t>
            </w:r>
            <w:r w:rsidR="003532ED" w:rsidRPr="00A23740">
              <w:rPr>
                <w:lang w:eastAsia="x-none"/>
              </w:rPr>
              <w:t>kinci fıkrayla</w:t>
            </w:r>
            <w:r w:rsidR="00F9605C" w:rsidRPr="00F9605C">
              <w:rPr>
                <w:rStyle w:val="KIRMIZIChar"/>
                <w:rFonts w:eastAsia="Calibri"/>
                <w:strike w:val="0"/>
              </w:rPr>
              <w:t xml:space="preserve"> </w:t>
            </w:r>
            <w:r w:rsidRPr="00A23740">
              <w:rPr>
                <w:lang w:eastAsia="x-none"/>
              </w:rPr>
              <w:t>alacaklı</w:t>
            </w:r>
            <w:r w:rsidR="00071AEA" w:rsidRPr="00A23740">
              <w:rPr>
                <w:lang w:eastAsia="x-none"/>
              </w:rPr>
              <w:t>nın</w:t>
            </w:r>
            <w:r w:rsidRPr="00A23740">
              <w:rPr>
                <w:lang w:eastAsia="x-none"/>
              </w:rPr>
              <w:t xml:space="preserve">, </w:t>
            </w:r>
            <w:r w:rsidR="00071AEA" w:rsidRPr="00A23740">
              <w:rPr>
                <w:lang w:eastAsia="x-none"/>
              </w:rPr>
              <w:t>şik</w:t>
            </w:r>
            <w:r w:rsidR="00F452BC" w:rsidRPr="00A23740">
              <w:rPr>
                <w:lang w:eastAsia="x-none"/>
              </w:rPr>
              <w:t>â</w:t>
            </w:r>
            <w:r w:rsidR="00071AEA" w:rsidRPr="00A23740">
              <w:rPr>
                <w:lang w:eastAsia="x-none"/>
              </w:rPr>
              <w:t>yet yoluyla ileri sürebileceği h</w:t>
            </w:r>
            <w:r w:rsidR="00C224B4" w:rsidRPr="00A23740">
              <w:rPr>
                <w:lang w:eastAsia="x-none"/>
              </w:rPr>
              <w:t>â</w:t>
            </w:r>
            <w:r w:rsidR="00071AEA" w:rsidRPr="00A23740">
              <w:rPr>
                <w:lang w:eastAsia="x-none"/>
              </w:rPr>
              <w:t>ller düze</w:t>
            </w:r>
            <w:r w:rsidR="00C61A0A" w:rsidRPr="00A23740">
              <w:rPr>
                <w:lang w:eastAsia="x-none"/>
              </w:rPr>
              <w:t>nlenmektedir. Buna göre</w:t>
            </w:r>
            <w:r w:rsidR="00071AEA" w:rsidRPr="00A23740">
              <w:rPr>
                <w:lang w:eastAsia="x-none"/>
              </w:rPr>
              <w:t xml:space="preserve"> alacaklı</w:t>
            </w:r>
            <w:r w:rsidR="00C61A0A" w:rsidRPr="00A23740">
              <w:rPr>
                <w:lang w:eastAsia="x-none"/>
              </w:rPr>
              <w:t>,</w:t>
            </w:r>
            <w:r w:rsidR="00071AEA" w:rsidRPr="00A23740">
              <w:rPr>
                <w:lang w:eastAsia="x-none"/>
              </w:rPr>
              <w:t xml:space="preserve"> </w:t>
            </w:r>
            <w:r w:rsidRPr="00A23740">
              <w:rPr>
                <w:lang w:eastAsia="x-none"/>
              </w:rPr>
              <w:t xml:space="preserve">kendi alacağının miktarına veya </w:t>
            </w:r>
            <w:r w:rsidR="00071AEA" w:rsidRPr="00A23740">
              <w:rPr>
                <w:lang w:eastAsia="x-none"/>
              </w:rPr>
              <w:t xml:space="preserve">kendi alacağının sadece derecesine </w:t>
            </w:r>
            <w:r w:rsidRPr="00A23740">
              <w:rPr>
                <w:lang w:eastAsia="x-none"/>
              </w:rPr>
              <w:t xml:space="preserve">ya da </w:t>
            </w:r>
            <w:r w:rsidR="00071AEA" w:rsidRPr="00A23740">
              <w:rPr>
                <w:lang w:eastAsia="x-none"/>
              </w:rPr>
              <w:t xml:space="preserve">sırasına </w:t>
            </w:r>
            <w:r w:rsidRPr="00A23740">
              <w:rPr>
                <w:lang w:eastAsia="x-none"/>
              </w:rPr>
              <w:t xml:space="preserve">yahut da bir başka alacaklının </w:t>
            </w:r>
            <w:r w:rsidR="00071AEA" w:rsidRPr="00A23740">
              <w:rPr>
                <w:lang w:eastAsia="x-none"/>
              </w:rPr>
              <w:t xml:space="preserve">derecesine </w:t>
            </w:r>
            <w:r w:rsidRPr="00A23740">
              <w:rPr>
                <w:lang w:eastAsia="x-none"/>
              </w:rPr>
              <w:t>veya sırasına k</w:t>
            </w:r>
            <w:r w:rsidR="00071AEA" w:rsidRPr="00A23740">
              <w:rPr>
                <w:lang w:eastAsia="x-none"/>
              </w:rPr>
              <w:t>arşı olan muhalefetlerini şik</w:t>
            </w:r>
            <w:r w:rsidR="00407C95" w:rsidRPr="00A23740">
              <w:rPr>
                <w:lang w:eastAsia="x-none"/>
              </w:rPr>
              <w:t>â</w:t>
            </w:r>
            <w:r w:rsidR="00071AEA" w:rsidRPr="00A23740">
              <w:rPr>
                <w:lang w:eastAsia="x-none"/>
              </w:rPr>
              <w:t xml:space="preserve">yet yoluyla icra hukuk mahkemesinde ileri sürebilir. </w:t>
            </w:r>
            <w:r w:rsidR="00D475F7" w:rsidRPr="00A23740">
              <w:rPr>
                <w:lang w:eastAsia="x-none"/>
              </w:rPr>
              <w:t>Bilim Komisyonu çalışmaları esnasında yapılan tartışmalarda, alacaklının kendi alacağı miktarına ilişkin itirazlarının takip hukuku hükümlerine aykırılık çerçevesinde değerlendirilmesi gerektiği düşüncesiyle bu hususun şik</w:t>
            </w:r>
            <w:r w:rsidR="00F452BC" w:rsidRPr="00A23740">
              <w:rPr>
                <w:lang w:eastAsia="x-none"/>
              </w:rPr>
              <w:t>â</w:t>
            </w:r>
            <w:r w:rsidR="00D475F7" w:rsidRPr="00A23740">
              <w:rPr>
                <w:lang w:eastAsia="x-none"/>
              </w:rPr>
              <w:t xml:space="preserve">yet yoluyla ileri sürülebileceği açıkça hükme bağlanmaktadır. </w:t>
            </w:r>
            <w:r w:rsidR="00071AEA" w:rsidRPr="00A23740">
              <w:rPr>
                <w:lang w:eastAsia="x-none"/>
              </w:rPr>
              <w:t>Ayrıca alacaklı</w:t>
            </w:r>
            <w:r w:rsidR="007E2274" w:rsidRPr="00A23740">
              <w:rPr>
                <w:lang w:eastAsia="x-none"/>
              </w:rPr>
              <w:t>,</w:t>
            </w:r>
            <w:r w:rsidR="00071AEA" w:rsidRPr="00A23740">
              <w:rPr>
                <w:lang w:eastAsia="x-none"/>
              </w:rPr>
              <w:t xml:space="preserve"> </w:t>
            </w:r>
            <w:r w:rsidRPr="00A23740">
              <w:rPr>
                <w:lang w:eastAsia="x-none"/>
              </w:rPr>
              <w:t>icra</w:t>
            </w:r>
            <w:r w:rsidR="00B73523" w:rsidRPr="00A23740">
              <w:rPr>
                <w:b/>
                <w:color w:val="538135"/>
              </w:rPr>
              <w:t xml:space="preserve"> </w:t>
            </w:r>
            <w:r w:rsidR="00B73523" w:rsidRPr="00D60C1D">
              <w:rPr>
                <w:color w:val="000000"/>
              </w:rPr>
              <w:t>ve iflas</w:t>
            </w:r>
            <w:r w:rsidRPr="00A23740">
              <w:rPr>
                <w:lang w:eastAsia="x-none"/>
              </w:rPr>
              <w:t xml:space="preserve"> dairesinin derece kararını düzenlerken takip hukuku hükümlerine aykırı hareket ettiği yönündeki iddialarını </w:t>
            </w:r>
            <w:r w:rsidR="00071AEA" w:rsidRPr="00A23740">
              <w:rPr>
                <w:lang w:eastAsia="x-none"/>
              </w:rPr>
              <w:t>da şik</w:t>
            </w:r>
            <w:r w:rsidR="00F452BC" w:rsidRPr="00A23740">
              <w:rPr>
                <w:lang w:eastAsia="x-none"/>
              </w:rPr>
              <w:t>â</w:t>
            </w:r>
            <w:r w:rsidR="00071AEA" w:rsidRPr="00A23740">
              <w:rPr>
                <w:lang w:eastAsia="x-none"/>
              </w:rPr>
              <w:t xml:space="preserve">yet yoluyla icra hukuk mahkemesinde </w:t>
            </w:r>
            <w:r w:rsidR="002F35F7" w:rsidRPr="00A23740">
              <w:rPr>
                <w:lang w:eastAsia="x-none"/>
              </w:rPr>
              <w:t>ileri sürebi</w:t>
            </w:r>
            <w:r w:rsidR="00654418" w:rsidRPr="00A23740">
              <w:rPr>
                <w:lang w:eastAsia="x-none"/>
              </w:rPr>
              <w:t>lir</w:t>
            </w:r>
            <w:r w:rsidR="00071AEA" w:rsidRPr="00A23740">
              <w:rPr>
                <w:lang w:eastAsia="x-none"/>
              </w:rPr>
              <w:t>.</w:t>
            </w:r>
            <w:r w:rsidR="002F35F7" w:rsidRPr="00A23740">
              <w:rPr>
                <w:lang w:eastAsia="x-none"/>
              </w:rPr>
              <w:t xml:space="preserve"> </w:t>
            </w:r>
            <w:r w:rsidR="008916D4" w:rsidRPr="00A23740">
              <w:rPr>
                <w:lang w:eastAsia="x-none"/>
              </w:rPr>
              <w:t xml:space="preserve">Söz konusu hüküm gereğince, örneğin alacaklının alacağı derece kararında hiç gösterilmemişse bu durum takip hukuku hükümlerine aykırılık </w:t>
            </w:r>
            <w:r w:rsidR="00000B6C" w:rsidRPr="00A23740">
              <w:rPr>
                <w:lang w:eastAsia="x-none"/>
              </w:rPr>
              <w:t xml:space="preserve">olarak </w:t>
            </w:r>
            <w:r w:rsidR="008916D4" w:rsidRPr="00A23740">
              <w:rPr>
                <w:lang w:eastAsia="x-none"/>
              </w:rPr>
              <w:t>değerlendirilerek icra mahkemesinde şik</w:t>
            </w:r>
            <w:r w:rsidR="008D1615" w:rsidRPr="00A23740">
              <w:rPr>
                <w:lang w:eastAsia="x-none"/>
              </w:rPr>
              <w:t>â</w:t>
            </w:r>
            <w:r w:rsidR="00EE7736" w:rsidRPr="00A23740">
              <w:rPr>
                <w:lang w:eastAsia="x-none"/>
              </w:rPr>
              <w:t xml:space="preserve">yet </w:t>
            </w:r>
            <w:r w:rsidR="00575C81" w:rsidRPr="00A23740">
              <w:rPr>
                <w:lang w:eastAsia="x-none"/>
              </w:rPr>
              <w:t>konusu yapılab</w:t>
            </w:r>
            <w:r w:rsidR="00654418" w:rsidRPr="00A23740">
              <w:rPr>
                <w:lang w:eastAsia="x-none"/>
              </w:rPr>
              <w:t>il</w:t>
            </w:r>
            <w:r w:rsidR="00575C81" w:rsidRPr="00A23740">
              <w:rPr>
                <w:lang w:eastAsia="x-none"/>
              </w:rPr>
              <w:t>ir.</w:t>
            </w:r>
          </w:p>
          <w:p w:rsidR="00FE4D96" w:rsidRPr="00A23740" w:rsidRDefault="002634FE" w:rsidP="009431FF">
            <w:pPr>
              <w:tabs>
                <w:tab w:val="left" w:pos="567"/>
              </w:tabs>
              <w:ind w:firstLine="709"/>
              <w:rPr>
                <w:lang w:eastAsia="x-none"/>
              </w:rPr>
            </w:pPr>
            <w:r w:rsidRPr="00A23740">
              <w:rPr>
                <w:lang w:eastAsia="x-none"/>
              </w:rPr>
              <w:t xml:space="preserve">Üçüncü fıkrada, </w:t>
            </w:r>
            <w:r w:rsidR="00970B0D" w:rsidRPr="00A23740">
              <w:rPr>
                <w:lang w:eastAsia="x-none"/>
              </w:rPr>
              <w:t>bir yenilik olarak alacaklı ve borçlunun menfaatlerinin korunması amacıyla</w:t>
            </w:r>
            <w:r w:rsidR="00496FB2" w:rsidRPr="00A23740">
              <w:rPr>
                <w:lang w:eastAsia="x-none"/>
              </w:rPr>
              <w:t>,</w:t>
            </w:r>
            <w:r w:rsidR="00970B0D" w:rsidRPr="00A23740">
              <w:rPr>
                <w:lang w:eastAsia="x-none"/>
              </w:rPr>
              <w:t xml:space="preserve"> </w:t>
            </w:r>
            <w:r w:rsidRPr="00A23740">
              <w:rPr>
                <w:lang w:eastAsia="x-none"/>
              </w:rPr>
              <w:t>ihale bedelinin yargılama süresince muhafazası ve iadesi</w:t>
            </w:r>
            <w:r w:rsidR="00970B0D" w:rsidRPr="00A23740">
              <w:rPr>
                <w:lang w:eastAsia="x-none"/>
              </w:rPr>
              <w:t xml:space="preserve"> ayrıntılı olarak</w:t>
            </w:r>
            <w:r w:rsidRPr="00A23740">
              <w:rPr>
                <w:lang w:eastAsia="x-none"/>
              </w:rPr>
              <w:t xml:space="preserve"> düzenlenmektedir. Hükme göre i</w:t>
            </w:r>
            <w:r w:rsidR="00E74E81" w:rsidRPr="00A23740">
              <w:rPr>
                <w:lang w:eastAsia="x-none"/>
              </w:rPr>
              <w:t xml:space="preserve">cra </w:t>
            </w:r>
            <w:r w:rsidR="00E74E81" w:rsidRPr="00A23740">
              <w:rPr>
                <w:bCs/>
              </w:rPr>
              <w:t>ve iflas dairesi</w:t>
            </w:r>
            <w:r w:rsidR="00E74E81" w:rsidRPr="00A23740">
              <w:rPr>
                <w:lang w:eastAsia="x-none"/>
              </w:rPr>
              <w:t>,</w:t>
            </w:r>
            <w:r w:rsidR="00170A4E" w:rsidRPr="00A23740">
              <w:rPr>
                <w:lang w:eastAsia="x-none"/>
              </w:rPr>
              <w:t xml:space="preserve"> derece kararına yapılan itiraz veya şikâyetin bildirilmesi üzerine</w:t>
            </w:r>
            <w:r w:rsidR="00E74E81" w:rsidRPr="00A23740">
              <w:rPr>
                <w:lang w:eastAsia="x-none"/>
              </w:rPr>
              <w:t xml:space="preserve"> itiraz </w:t>
            </w:r>
            <w:r w:rsidR="00170A4E" w:rsidRPr="00A23740">
              <w:rPr>
                <w:lang w:eastAsia="x-none"/>
              </w:rPr>
              <w:t xml:space="preserve">veya </w:t>
            </w:r>
            <w:r w:rsidR="00E74E81" w:rsidRPr="00A23740">
              <w:rPr>
                <w:lang w:eastAsia="x-none"/>
              </w:rPr>
              <w:t xml:space="preserve">şikâyet hakkındaki karar kesinleşinceye kadar, satış bedelinin ihtilaflı olan kısmını bankada nemalandırır. Kararın kesinleşmesi </w:t>
            </w:r>
            <w:r w:rsidR="00E74E81" w:rsidRPr="00A23740">
              <w:rPr>
                <w:bCs/>
              </w:rPr>
              <w:t>üzerine</w:t>
            </w:r>
            <w:r w:rsidR="00E74E81" w:rsidRPr="00A23740">
              <w:rPr>
                <w:lang w:eastAsia="x-none"/>
              </w:rPr>
              <w:t xml:space="preserve"> ihale bedeli nemaları</w:t>
            </w:r>
            <w:r w:rsidR="00000B6C" w:rsidRPr="00A23740">
              <w:rPr>
                <w:lang w:eastAsia="x-none"/>
              </w:rPr>
              <w:t>yla</w:t>
            </w:r>
            <w:r w:rsidR="00E74E81" w:rsidRPr="00A23740">
              <w:rPr>
                <w:lang w:eastAsia="x-none"/>
              </w:rPr>
              <w:t xml:space="preserve"> birlikte hak sahiplerine ödenir.</w:t>
            </w:r>
            <w:r w:rsidR="00283CC4" w:rsidRPr="00A23740">
              <w:rPr>
                <w:lang w:eastAsia="x-none"/>
              </w:rPr>
              <w:t xml:space="preserve"> </w:t>
            </w:r>
            <w:r w:rsidRPr="00A23740">
              <w:rPr>
                <w:lang w:eastAsia="x-none"/>
              </w:rPr>
              <w:t>Hükümde</w:t>
            </w:r>
            <w:r w:rsidR="00496FB2" w:rsidRPr="00A23740">
              <w:rPr>
                <w:lang w:eastAsia="x-none"/>
              </w:rPr>
              <w:t>,</w:t>
            </w:r>
            <w:r w:rsidRPr="00A23740">
              <w:rPr>
                <w:lang w:eastAsia="x-none"/>
              </w:rPr>
              <w:t xml:space="preserve"> “ihale bedelinden” söz edilmekte ise de</w:t>
            </w:r>
            <w:r w:rsidR="00000B6C" w:rsidRPr="00A23740">
              <w:rPr>
                <w:lang w:eastAsia="x-none"/>
              </w:rPr>
              <w:t>,</w:t>
            </w:r>
            <w:r w:rsidRPr="00A23740">
              <w:rPr>
                <w:lang w:eastAsia="x-none"/>
              </w:rPr>
              <w:t xml:space="preserve"> haczedilen mal bir miktar para ola</w:t>
            </w:r>
            <w:r w:rsidR="00496FB2" w:rsidRPr="00A23740">
              <w:rPr>
                <w:lang w:eastAsia="x-none"/>
              </w:rPr>
              <w:t>cağı</w:t>
            </w:r>
            <w:r w:rsidRPr="00A23740">
              <w:rPr>
                <w:lang w:eastAsia="x-none"/>
              </w:rPr>
              <w:t xml:space="preserve"> için bu sözcüğün “para” olarak anlaşılması gerektiği hususunda tereddüt bulunmamaktadır. Derece kararına şik</w:t>
            </w:r>
            <w:r w:rsidR="00F452BC" w:rsidRPr="00A23740">
              <w:rPr>
                <w:lang w:eastAsia="x-none"/>
              </w:rPr>
              <w:t>â</w:t>
            </w:r>
            <w:r w:rsidRPr="00A23740">
              <w:rPr>
                <w:lang w:eastAsia="x-none"/>
              </w:rPr>
              <w:t>yetin kabulü h</w:t>
            </w:r>
            <w:r w:rsidR="00C224B4" w:rsidRPr="00A23740">
              <w:rPr>
                <w:lang w:eastAsia="x-none"/>
              </w:rPr>
              <w:t>â</w:t>
            </w:r>
            <w:r w:rsidRPr="00A23740">
              <w:rPr>
                <w:lang w:eastAsia="x-none"/>
              </w:rPr>
              <w:t>linde düzenlenecek yeni derece kararı</w:t>
            </w:r>
            <w:r w:rsidR="00496FB2" w:rsidRPr="00A23740">
              <w:rPr>
                <w:lang w:eastAsia="x-none"/>
              </w:rPr>
              <w:t>,</w:t>
            </w:r>
            <w:r w:rsidRPr="00A23740">
              <w:rPr>
                <w:lang w:eastAsia="x-none"/>
              </w:rPr>
              <w:t xml:space="preserve"> anapara dikkate alınarak</w:t>
            </w:r>
            <w:r w:rsidR="00496FB2" w:rsidRPr="00A23740">
              <w:rPr>
                <w:lang w:eastAsia="x-none"/>
              </w:rPr>
              <w:t xml:space="preserve"> hazırlanacak</w:t>
            </w:r>
            <w:r w:rsidRPr="00A23740">
              <w:rPr>
                <w:lang w:eastAsia="x-none"/>
              </w:rPr>
              <w:t>, biriken nema yeni derece kararına göre her bir alacaklıya alacağı oranında paylaştırılacaktır.</w:t>
            </w:r>
            <w:r w:rsidR="00724B34" w:rsidRPr="00A23740">
              <w:rPr>
                <w:lang w:eastAsia="x-none"/>
              </w:rPr>
              <w:t xml:space="preserve"> </w:t>
            </w:r>
            <w:r w:rsidR="00970B0D" w:rsidRPr="00A23740">
              <w:rPr>
                <w:lang w:eastAsia="x-none"/>
              </w:rPr>
              <w:t xml:space="preserve">Diğer taraftan, </w:t>
            </w:r>
            <w:r w:rsidR="00FE4D96" w:rsidRPr="00A23740">
              <w:rPr>
                <w:lang w:eastAsia="x-none"/>
              </w:rPr>
              <w:t>Taslağın “Paranın nemalandırılması” başlıklı</w:t>
            </w:r>
            <w:r w:rsidR="0060229B" w:rsidRPr="00A23740">
              <w:rPr>
                <w:lang w:eastAsia="x-none"/>
              </w:rPr>
              <w:t xml:space="preserve"> </w:t>
            </w:r>
            <w:r w:rsidR="0060229B" w:rsidRPr="00D60C1D">
              <w:rPr>
                <w:rStyle w:val="KonuBalChar"/>
                <w:rFonts w:eastAsia="Calibri"/>
                <w:b w:val="0"/>
                <w:color w:val="000000"/>
              </w:rPr>
              <w:t>12 nci</w:t>
            </w:r>
            <w:r w:rsidR="00FE4D96" w:rsidRPr="00A23740">
              <w:rPr>
                <w:lang w:eastAsia="x-none"/>
              </w:rPr>
              <w:t xml:space="preserve"> maddesinde, icra ve iflas dairelerine yatırılan veya bu dairelerce tahsil edilen paranın, Adalet Bakanlığınca çıkarılacak yönetmelik hükümleri çerçevesinde nemalandırılacağı ve kanunda belirtilen kesintiler yapıldıktan sonra kalanın, nemalarıyla birlikte banka aracılığıyla hak sahiplerine ödeneceği düzenlenmektedir. Paranın nemalandırılması genel bir hükümle düzenlense de paranın nemalandırılacağı ve iade edileceği tarihin açıkça belirlenmesi ihtiyacı nedeniyle </w:t>
            </w:r>
            <w:r w:rsidR="00724B34" w:rsidRPr="00A23740">
              <w:rPr>
                <w:lang w:eastAsia="x-none"/>
              </w:rPr>
              <w:t>nemlandırma hükmü muhafaza edilmektedir.</w:t>
            </w:r>
          </w:p>
          <w:p w:rsidR="001663DF" w:rsidRPr="00A23740" w:rsidRDefault="001663DF" w:rsidP="0016377F">
            <w:pPr>
              <w:ind w:firstLine="709"/>
              <w:rPr>
                <w:b/>
                <w:bCs/>
                <w:szCs w:val="24"/>
                <w:lang w:eastAsia="x-none"/>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Teminat karşılığı</w:t>
            </w:r>
            <w:r w:rsidRPr="00A23740">
              <w:rPr>
                <w:rFonts w:eastAsia="Times New Roman"/>
                <w:szCs w:val="24"/>
                <w:lang w:eastAsia="tr-TR"/>
              </w:rPr>
              <w:t xml:space="preserve"> ödeme</w:t>
            </w:r>
            <w:r w:rsidRPr="00A23740">
              <w:rPr>
                <w:rFonts w:eastAsia="Times New Roman"/>
                <w:b/>
                <w:strike/>
                <w:color w:val="FF0000"/>
                <w:szCs w:val="24"/>
                <w:lang w:eastAsia="tr-TR"/>
              </w:rPr>
              <w:t>:</w:t>
            </w:r>
          </w:p>
          <w:p w:rsidR="00EE335D" w:rsidRPr="00A23740" w:rsidRDefault="00AA5C8C" w:rsidP="009431FF">
            <w:pPr>
              <w:tabs>
                <w:tab w:val="left" w:pos="567"/>
              </w:tabs>
              <w:rPr>
                <w:rStyle w:val="KIRMIZIChar"/>
                <w:rFonts w:eastAsia="Calibri"/>
              </w:rPr>
            </w:pPr>
            <w:r w:rsidRPr="00A23740">
              <w:rPr>
                <w:rStyle w:val="KIRMIZIChar"/>
                <w:rFonts w:eastAsia="Calibri"/>
              </w:rPr>
              <w:t xml:space="preserve">Madde 142/a- </w:t>
            </w:r>
          </w:p>
          <w:p w:rsidR="00EE335D" w:rsidRPr="00A23740" w:rsidRDefault="00EE335D" w:rsidP="009431FF">
            <w:pPr>
              <w:tabs>
                <w:tab w:val="left" w:pos="567"/>
              </w:tabs>
              <w:rPr>
                <w:rStyle w:val="KIRMIZIChar"/>
                <w:rFonts w:eastAsia="Calibri"/>
              </w:rPr>
            </w:pPr>
          </w:p>
          <w:p w:rsidR="00EE335D" w:rsidRPr="00A23740" w:rsidRDefault="00EE335D" w:rsidP="009431FF">
            <w:pPr>
              <w:tabs>
                <w:tab w:val="left" w:pos="567"/>
              </w:tabs>
              <w:rPr>
                <w:rStyle w:val="KIRMIZIChar"/>
                <w:rFonts w:eastAsia="Calibri"/>
              </w:rPr>
            </w:pPr>
          </w:p>
          <w:p w:rsidR="00DB5C05" w:rsidRPr="00A23740" w:rsidRDefault="00DB5C05" w:rsidP="009431FF">
            <w:pPr>
              <w:tabs>
                <w:tab w:val="left" w:pos="567"/>
              </w:tabs>
              <w:rPr>
                <w:rStyle w:val="KIRMIZIChar"/>
                <w:rFonts w:eastAsia="Calibri"/>
              </w:rPr>
            </w:pPr>
          </w:p>
          <w:p w:rsidR="00DB5C05" w:rsidRPr="00A23740" w:rsidRDefault="00DB5C05" w:rsidP="009431FF">
            <w:pPr>
              <w:tabs>
                <w:tab w:val="left" w:pos="567"/>
              </w:tabs>
              <w:rPr>
                <w:rStyle w:val="KIRMIZIChar"/>
                <w:rFonts w:eastAsia="Calibri"/>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(1) (Ek:</w:t>
            </w:r>
            <w:r w:rsidRPr="00A23740">
              <w:rPr>
                <w:rFonts w:eastAsia="Times New Roman"/>
                <w:b/>
                <w:strike/>
                <w:color w:val="FF0000"/>
                <w:szCs w:val="24"/>
                <w:lang w:eastAsia="tr-TR"/>
              </w:rPr>
              <w:t xml:space="preserve"> 17/7/2003-4949/39 md.)</w:t>
            </w:r>
            <w:r w:rsidR="005E313F" w:rsidRPr="00A23740">
              <w:rPr>
                <w:rFonts w:eastAsia="Times New Roman"/>
                <w:b/>
                <w:strike/>
                <w:color w:val="FF0000"/>
                <w:szCs w:val="24"/>
                <w:lang w:eastAsia="tr-TR"/>
              </w:rPr>
              <w:t xml:space="preserve"> Sıra cetvelinin </w:t>
            </w:r>
            <w:r w:rsidR="005E313F" w:rsidRPr="00A23740">
              <w:rPr>
                <w:rFonts w:eastAsia="Times New Roman"/>
                <w:bCs/>
                <w:lang w:eastAsia="tr-TR"/>
              </w:rPr>
              <w:t xml:space="preserve">düzenlenmesi üzerine tebligatı alan ve </w:t>
            </w:r>
            <w:r w:rsidR="005E313F" w:rsidRPr="00A23740">
              <w:rPr>
                <w:rFonts w:eastAsia="Times New Roman"/>
                <w:b/>
                <w:strike/>
                <w:color w:val="FF0000"/>
                <w:szCs w:val="24"/>
                <w:lang w:eastAsia="tr-TR"/>
              </w:rPr>
              <w:t>sıra cetvelinde</w:t>
            </w:r>
            <w:r w:rsidR="005E313F" w:rsidRPr="00A23740">
              <w:rPr>
                <w:rFonts w:eastAsia="Times New Roman"/>
                <w:bCs/>
                <w:lang w:eastAsia="tr-TR"/>
              </w:rPr>
              <w:t xml:space="preserve"> hak sahibi görünen her alacaklı, bir bankanın kesin ve süresiz teminat mektubunu dosyaya ibraz ederek payına düşen </w:t>
            </w:r>
            <w:r w:rsidR="005E313F" w:rsidRPr="00A23740">
              <w:rPr>
                <w:rFonts w:eastAsia="Times New Roman"/>
                <w:b/>
                <w:strike/>
                <w:color w:val="FF0000"/>
                <w:szCs w:val="24"/>
                <w:lang w:eastAsia="tr-TR"/>
              </w:rPr>
              <w:t>meblâğı</w:t>
            </w:r>
            <w:r w:rsidR="005E313F" w:rsidRPr="00A23740">
              <w:rPr>
                <w:rFonts w:eastAsia="Times New Roman"/>
                <w:bCs/>
                <w:lang w:eastAsia="tr-TR"/>
              </w:rPr>
              <w:t xml:space="preserve"> tahsil edebilir. 36 ncı maddenin ikinci fıkrası burada da uygulanır.</w:t>
            </w:r>
          </w:p>
          <w:p w:rsidR="005E313F" w:rsidRPr="00A23740" w:rsidRDefault="005E313F" w:rsidP="009431FF">
            <w:pPr>
              <w:tabs>
                <w:tab w:val="left" w:pos="1236"/>
              </w:tabs>
              <w:rPr>
                <w:rFonts w:eastAsia="Times New Roman"/>
                <w:b/>
                <w:color w:val="FF0000"/>
                <w:szCs w:val="24"/>
                <w:lang w:eastAsia="x-none"/>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Teminat mektubunda, alacaklının dosyadan tahsil ettiği </w:t>
            </w:r>
            <w:r w:rsidRPr="00A23740">
              <w:rPr>
                <w:rFonts w:eastAsia="Times New Roman"/>
                <w:b/>
                <w:strike/>
                <w:color w:val="FF0000"/>
                <w:szCs w:val="24"/>
                <w:lang w:eastAsia="tr-TR"/>
              </w:rPr>
              <w:t>meblâğ</w:t>
            </w:r>
            <w:r w:rsidRPr="00A23740">
              <w:rPr>
                <w:rFonts w:eastAsia="Times New Roman"/>
                <w:szCs w:val="24"/>
                <w:lang w:eastAsia="tr-TR"/>
              </w:rPr>
              <w:t xml:space="preserve"> ile bu </w:t>
            </w:r>
            <w:r w:rsidRPr="00A23740">
              <w:rPr>
                <w:rFonts w:eastAsia="Times New Roman"/>
                <w:b/>
                <w:strike/>
                <w:color w:val="FF0000"/>
                <w:szCs w:val="24"/>
                <w:lang w:eastAsia="tr-TR"/>
              </w:rPr>
              <w:t>meblâğın</w:t>
            </w:r>
            <w:r w:rsidRPr="00A23740">
              <w:rPr>
                <w:rFonts w:eastAsia="Times New Roman"/>
                <w:szCs w:val="24"/>
                <w:lang w:eastAsia="tr-TR"/>
              </w:rPr>
              <w:t xml:space="preserve"> kısmen veya tamamen icra dosyasına iadesinin gerekmesi hâlinde iade tarihine kadar geçecek süreye ait olan faizin, icra dairesinin ilk yazılı talebi üzerine dosyaya ödenmesi taahhüt edilmelidir. Bu esaslar dahilinde teminat mektubuyla garanti edilecek </w:t>
            </w:r>
            <w:r w:rsidRPr="00A23740">
              <w:rPr>
                <w:rFonts w:eastAsia="Times New Roman"/>
                <w:b/>
                <w:strike/>
                <w:color w:val="FF0000"/>
                <w:szCs w:val="24"/>
                <w:lang w:eastAsia="tr-TR"/>
              </w:rPr>
              <w:t>miktar</w:t>
            </w:r>
            <w:r w:rsidR="0016377F">
              <w:rPr>
                <w:rFonts w:eastAsia="Times New Roman"/>
                <w:szCs w:val="24"/>
                <w:lang w:eastAsia="tr-TR"/>
              </w:rPr>
              <w:t xml:space="preserve"> icra dairesince belirlenir.</w:t>
            </w:r>
            <w:r w:rsidRPr="00A23740">
              <w:rPr>
                <w:rFonts w:eastAsia="Times New Roman"/>
                <w:szCs w:val="24"/>
                <w:lang w:eastAsia="tr-TR"/>
              </w:rPr>
              <w:t xml:space="preserve">  </w:t>
            </w:r>
          </w:p>
          <w:p w:rsidR="00AA5C8C" w:rsidRPr="00A23740" w:rsidRDefault="00AA5C8C" w:rsidP="009431FF">
            <w:pPr>
              <w:tabs>
                <w:tab w:val="left" w:pos="1236"/>
              </w:tabs>
              <w:rPr>
                <w:rFonts w:eastAsia="Times New Roman"/>
                <w:szCs w:val="24"/>
                <w:lang w:eastAsia="tr-TR"/>
              </w:rPr>
            </w:pPr>
          </w:p>
        </w:tc>
        <w:tc>
          <w:tcPr>
            <w:tcW w:w="2500" w:type="pct"/>
          </w:tcPr>
          <w:p w:rsidR="00AA5C8C" w:rsidRPr="00A23740" w:rsidRDefault="00AA5C8C" w:rsidP="009431FF">
            <w:pPr>
              <w:rPr>
                <w:rFonts w:eastAsia="Times New Roman"/>
                <w:b/>
                <w:color w:val="0000FF"/>
                <w:szCs w:val="24"/>
                <w:lang w:eastAsia="tr-TR"/>
              </w:rPr>
            </w:pPr>
            <w:r w:rsidRPr="00A23740">
              <w:rPr>
                <w:rFonts w:eastAsia="Times New Roman"/>
                <w:b/>
                <w:color w:val="0000FF"/>
                <w:szCs w:val="24"/>
                <w:lang w:eastAsia="tr-TR"/>
              </w:rPr>
              <w:t xml:space="preserve">Derece kararına göre </w:t>
            </w:r>
            <w:r w:rsidRPr="00A23740">
              <w:rPr>
                <w:b/>
              </w:rPr>
              <w:t>ödeme</w:t>
            </w:r>
          </w:p>
          <w:p w:rsidR="00AA5C8C" w:rsidRPr="00A23740" w:rsidRDefault="00490C3E" w:rsidP="009431FF">
            <w:pPr>
              <w:rPr>
                <w:rFonts w:eastAsia="Times New Roman"/>
                <w:szCs w:val="24"/>
                <w:lang w:eastAsia="tr-TR"/>
              </w:rPr>
            </w:pPr>
            <w:r w:rsidRPr="00A23740">
              <w:rPr>
                <w:rFonts w:eastAsia="Times New Roman"/>
                <w:b/>
                <w:color w:val="0000FF"/>
                <w:szCs w:val="24"/>
                <w:lang w:eastAsia="tr-TR"/>
              </w:rPr>
              <w:t>MADDE 261</w:t>
            </w:r>
            <w:r w:rsidR="00AA5C8C" w:rsidRPr="00A23740">
              <w:rPr>
                <w:rFonts w:eastAsia="Times New Roman"/>
                <w:b/>
                <w:color w:val="0000FF"/>
                <w:szCs w:val="24"/>
                <w:lang w:eastAsia="tr-TR"/>
              </w:rPr>
              <w:t xml:space="preserve">- (1) </w:t>
            </w:r>
            <w:r w:rsidR="00AA5C8C" w:rsidRPr="00A23740">
              <w:rPr>
                <w:rStyle w:val="MaviChar"/>
              </w:rPr>
              <w:t>Hazırlanan derece kararında yer alıp da</w:t>
            </w:r>
            <w:r w:rsidR="00AA5C8C" w:rsidRPr="00A23740">
              <w:rPr>
                <w:rFonts w:eastAsia="Times New Roman"/>
                <w:b/>
                <w:color w:val="0000FF"/>
                <w:szCs w:val="24"/>
                <w:lang w:eastAsia="tr-TR"/>
              </w:rPr>
              <w:t xml:space="preserve"> derecesine, sırasına veya payına </w:t>
            </w:r>
            <w:r w:rsidR="00AA5C8C" w:rsidRPr="00A23740">
              <w:rPr>
                <w:rStyle w:val="MaviChar"/>
              </w:rPr>
              <w:t>muhalefet</w:t>
            </w:r>
            <w:r w:rsidR="00AA5C8C" w:rsidRPr="00A23740">
              <w:rPr>
                <w:rFonts w:eastAsia="Times New Roman"/>
                <w:b/>
                <w:color w:val="0000FF"/>
                <w:szCs w:val="24"/>
                <w:lang w:eastAsia="tr-TR"/>
              </w:rPr>
              <w:t xml:space="preserve"> edilmeyen a</w:t>
            </w:r>
            <w:r w:rsidR="00AA5C8C" w:rsidRPr="00A23740">
              <w:rPr>
                <w:rStyle w:val="MaviChar"/>
              </w:rPr>
              <w:t>lacaklının payı, derece kararının diğer alacaklılar bakımından da kesinleşmesi</w:t>
            </w:r>
            <w:r w:rsidR="00AA5C8C" w:rsidRPr="00A23740">
              <w:rPr>
                <w:rFonts w:eastAsia="Times New Roman"/>
                <w:b/>
                <w:color w:val="0000FF"/>
                <w:szCs w:val="24"/>
                <w:lang w:eastAsia="tr-TR"/>
              </w:rPr>
              <w:t xml:space="preserve"> beklenmeden ödenir.</w:t>
            </w:r>
          </w:p>
          <w:p w:rsidR="00AA5C8C" w:rsidRPr="00A23740" w:rsidRDefault="00AA5C8C" w:rsidP="009431FF">
            <w:pPr>
              <w:rPr>
                <w:rFonts w:eastAsia="Times New Roman"/>
                <w:b/>
                <w:color w:val="0000FF"/>
                <w:szCs w:val="24"/>
                <w:lang w:eastAsia="tr-TR"/>
              </w:rPr>
            </w:pPr>
          </w:p>
          <w:p w:rsidR="00AA5C8C" w:rsidRPr="00A23740" w:rsidRDefault="00AA5C8C" w:rsidP="009431FF">
            <w:pPr>
              <w:rPr>
                <w:rFonts w:eastAsia="Times New Roman"/>
                <w:szCs w:val="24"/>
                <w:lang w:eastAsia="tr-TR"/>
              </w:rPr>
            </w:pPr>
            <w:r w:rsidRPr="00A23740">
              <w:rPr>
                <w:rStyle w:val="MAVChar"/>
                <w:rFonts w:eastAsia="Calibri"/>
                <w:u w:val="none"/>
              </w:rPr>
              <w:t xml:space="preserve">(2) </w:t>
            </w:r>
            <w:r w:rsidR="00DB5C05" w:rsidRPr="00A23740">
              <w:rPr>
                <w:rStyle w:val="MaviChar"/>
                <w:bCs w:val="0"/>
              </w:rPr>
              <w:t>Derece kararının</w:t>
            </w:r>
            <w:r w:rsidR="00DB5C05" w:rsidRPr="00A23740">
              <w:rPr>
                <w:rFonts w:eastAsia="Times New Roman"/>
                <w:bCs/>
                <w:lang w:eastAsia="tr-TR"/>
              </w:rPr>
              <w:t xml:space="preserve"> düzenlenmesi üzerine tebligatı alan ve </w:t>
            </w:r>
            <w:r w:rsidR="00DB5C05" w:rsidRPr="00A23740">
              <w:rPr>
                <w:rStyle w:val="MaviChar"/>
              </w:rPr>
              <w:t>derece kararında</w:t>
            </w:r>
            <w:r w:rsidR="00DB5C05" w:rsidRPr="00A23740">
              <w:rPr>
                <w:rFonts w:eastAsia="Times New Roman"/>
                <w:bCs/>
                <w:lang w:eastAsia="tr-TR"/>
              </w:rPr>
              <w:t xml:space="preserve"> hak sahibi görünen her alacaklı</w:t>
            </w:r>
            <w:r w:rsidRPr="00A23740">
              <w:rPr>
                <w:rFonts w:eastAsia="Times New Roman"/>
                <w:bCs/>
                <w:lang w:eastAsia="tr-TR"/>
              </w:rPr>
              <w:t>, bir bankanın teminat mektubunu dosyaya</w:t>
            </w:r>
            <w:r w:rsidRPr="00A23740">
              <w:rPr>
                <w:rFonts w:eastAsia="Times New Roman"/>
                <w:szCs w:val="24"/>
                <w:lang w:eastAsia="tr-TR"/>
              </w:rPr>
              <w:t xml:space="preserve"> ibraz ederek payına düşen </w:t>
            </w:r>
            <w:r w:rsidR="003C4D94" w:rsidRPr="00A23740">
              <w:rPr>
                <w:rFonts w:eastAsia="Times New Roman"/>
                <w:b/>
                <w:color w:val="0000FF"/>
                <w:szCs w:val="24"/>
                <w:lang w:eastAsia="tr-TR"/>
              </w:rPr>
              <w:t>tutarı</w:t>
            </w:r>
            <w:r w:rsidRPr="00A23740">
              <w:rPr>
                <w:rFonts w:eastAsia="Times New Roman"/>
                <w:szCs w:val="24"/>
                <w:lang w:eastAsia="tr-TR"/>
              </w:rPr>
              <w:t xml:space="preserve"> tahsil edebilir.</w:t>
            </w:r>
            <w:r w:rsidR="00A323D7" w:rsidRPr="00A23740">
              <w:rPr>
                <w:rFonts w:eastAsia="Times New Roman"/>
                <w:szCs w:val="24"/>
                <w:lang w:eastAsia="tr-TR"/>
              </w:rPr>
              <w:t xml:space="preserve"> </w:t>
            </w:r>
            <w:r w:rsidR="00A323D7" w:rsidRPr="005C6390">
              <w:rPr>
                <w:rStyle w:val="MaviChar"/>
              </w:rPr>
              <w:t>İcranın ertelenmesi hakkındaki</w:t>
            </w:r>
            <w:r w:rsidR="00A323D7" w:rsidRPr="00A23740">
              <w:rPr>
                <w:rFonts w:eastAsia="Times New Roman"/>
                <w:szCs w:val="24"/>
                <w:lang w:eastAsia="tr-TR"/>
              </w:rPr>
              <w:t xml:space="preserve"> </w:t>
            </w:r>
            <w:r w:rsidRPr="00A23740">
              <w:rPr>
                <w:rStyle w:val="MaviChar"/>
              </w:rPr>
              <w:t xml:space="preserve">55 </w:t>
            </w:r>
            <w:r w:rsidRPr="00A23740">
              <w:rPr>
                <w:rStyle w:val="MaviChar"/>
                <w:lang w:val="tr-TR"/>
              </w:rPr>
              <w:t xml:space="preserve">inci </w:t>
            </w:r>
            <w:r w:rsidRPr="00A23740">
              <w:rPr>
                <w:rFonts w:eastAsia="Times New Roman"/>
                <w:szCs w:val="24"/>
                <w:lang w:eastAsia="tr-TR"/>
              </w:rPr>
              <w:t xml:space="preserve">maddenin </w:t>
            </w:r>
            <w:r w:rsidR="00EE335D" w:rsidRPr="00A23740">
              <w:rPr>
                <w:rStyle w:val="MaviChar"/>
              </w:rPr>
              <w:t>beşinci</w:t>
            </w:r>
            <w:r w:rsidRPr="00A23740">
              <w:rPr>
                <w:rFonts w:eastAsia="Times New Roman"/>
                <w:szCs w:val="24"/>
                <w:lang w:eastAsia="tr-TR"/>
              </w:rPr>
              <w:t xml:space="preserve"> fıkrası burada da uygulanır.</w:t>
            </w:r>
          </w:p>
          <w:p w:rsidR="00AA5C8C" w:rsidRPr="00A23740" w:rsidRDefault="00AA5C8C" w:rsidP="009431FF">
            <w:pPr>
              <w:pStyle w:val="KIRMIZI"/>
              <w:rPr>
                <w:b w:val="0"/>
                <w:bCs w:val="0"/>
                <w:strike w:val="0"/>
                <w:color w:val="auto"/>
                <w:lang w:val="tr-TR" w:eastAsia="tr-TR"/>
              </w:rPr>
            </w:pPr>
          </w:p>
          <w:p w:rsidR="00AA5C8C" w:rsidRPr="00A23740" w:rsidRDefault="00AA5C8C" w:rsidP="009431FF">
            <w:pPr>
              <w:rPr>
                <w:rFonts w:eastAsia="Times New Roman"/>
                <w:szCs w:val="24"/>
                <w:lang w:eastAsia="tr-TR"/>
              </w:rPr>
            </w:pPr>
            <w:r w:rsidRPr="00A23740">
              <w:rPr>
                <w:b/>
                <w:bCs/>
                <w:color w:val="0000FF"/>
                <w:szCs w:val="24"/>
                <w:lang w:eastAsia="x-none"/>
              </w:rPr>
              <w:t>(3)</w:t>
            </w:r>
            <w:r w:rsidRPr="00A23740">
              <w:rPr>
                <w:rFonts w:eastAsia="Times New Roman"/>
                <w:szCs w:val="24"/>
                <w:lang w:eastAsia="tr-TR"/>
              </w:rPr>
              <w:t xml:space="preserve"> Teminat mektubunda, alacaklının dosyadan tahsil ettiği </w:t>
            </w:r>
            <w:r w:rsidR="003C4D94" w:rsidRPr="00A23740">
              <w:rPr>
                <w:rStyle w:val="MaviChar"/>
              </w:rPr>
              <w:t>tutar</w:t>
            </w:r>
            <w:r w:rsidRPr="00A23740">
              <w:rPr>
                <w:rFonts w:eastAsia="Times New Roman"/>
                <w:szCs w:val="24"/>
                <w:lang w:eastAsia="tr-TR"/>
              </w:rPr>
              <w:t xml:space="preserve"> ile bu </w:t>
            </w:r>
            <w:r w:rsidR="003C4D94" w:rsidRPr="00A23740">
              <w:rPr>
                <w:rStyle w:val="MaviChar"/>
              </w:rPr>
              <w:t>tutarın</w:t>
            </w:r>
            <w:r w:rsidRPr="00A23740">
              <w:rPr>
                <w:rFonts w:eastAsia="Times New Roman"/>
                <w:szCs w:val="24"/>
                <w:lang w:eastAsia="tr-TR"/>
              </w:rPr>
              <w:t xml:space="preserve"> kısmen veya tamamen icra dosyasına iadesinin gerekmesi hâlinde iade tarihine kadar geçecek süreye ait olan faizin, icra </w:t>
            </w:r>
            <w:r w:rsidRPr="00A23740">
              <w:rPr>
                <w:rStyle w:val="MaviChar"/>
              </w:rPr>
              <w:t>ve iflas</w:t>
            </w:r>
            <w:r w:rsidRPr="00A23740">
              <w:rPr>
                <w:rFonts w:eastAsia="Times New Roman"/>
                <w:szCs w:val="24"/>
                <w:lang w:eastAsia="tr-TR"/>
              </w:rPr>
              <w:t xml:space="preserve"> dairesinin ilk yazılı talebi üzerine dosyaya ödenmesi taahhüt edilmelidir. Bu esaslar dâhilinde teminat mektubuyla garanti edilecek </w:t>
            </w:r>
            <w:r w:rsidR="003C4D94" w:rsidRPr="00A23740">
              <w:rPr>
                <w:rStyle w:val="MaviChar"/>
              </w:rPr>
              <w:t>tutar</w:t>
            </w:r>
            <w:r w:rsidR="00A323D7" w:rsidRPr="005C6390">
              <w:rPr>
                <w:rStyle w:val="MaviChar"/>
              </w:rPr>
              <w:t>,</w:t>
            </w:r>
            <w:r w:rsidRPr="00A23740">
              <w:rPr>
                <w:rFonts w:eastAsia="Times New Roman"/>
                <w:szCs w:val="24"/>
                <w:lang w:eastAsia="tr-TR"/>
              </w:rPr>
              <w:t xml:space="preserve"> icra </w:t>
            </w:r>
            <w:r w:rsidRPr="00A23740">
              <w:rPr>
                <w:rStyle w:val="MaviChar"/>
              </w:rPr>
              <w:t>ve iflas</w:t>
            </w:r>
            <w:r w:rsidRPr="00A23740">
              <w:rPr>
                <w:rFonts w:eastAsia="Times New Roman"/>
                <w:szCs w:val="24"/>
                <w:lang w:eastAsia="tr-TR"/>
              </w:rPr>
              <w:t xml:space="preserve"> dairesince belirlenir.</w:t>
            </w:r>
          </w:p>
          <w:p w:rsidR="00AA5C8C" w:rsidRPr="00A23740" w:rsidRDefault="00AA5C8C" w:rsidP="009431FF">
            <w:pPr>
              <w:rPr>
                <w:rFonts w:eastAsia="Times New Roman"/>
                <w:szCs w:val="24"/>
                <w:lang w:eastAsia="tr-TR"/>
              </w:rPr>
            </w:pPr>
          </w:p>
        </w:tc>
      </w:tr>
      <w:tr w:rsidR="00E74E81" w:rsidRPr="00A23740" w:rsidTr="009431FF">
        <w:tblPrEx>
          <w:tblLook w:val="01E0" w:firstRow="1" w:lastRow="1" w:firstColumn="1" w:lastColumn="1" w:noHBand="0" w:noVBand="0"/>
        </w:tblPrEx>
        <w:tc>
          <w:tcPr>
            <w:tcW w:w="5000" w:type="pct"/>
            <w:gridSpan w:val="2"/>
            <w:shd w:val="clear" w:color="auto" w:fill="DEEAF6"/>
          </w:tcPr>
          <w:p w:rsidR="00970B0D" w:rsidRPr="00A23740" w:rsidRDefault="00970B0D" w:rsidP="009431FF">
            <w:pPr>
              <w:ind w:firstLine="709"/>
              <w:rPr>
                <w:rFonts w:eastAsia="Times New Roman"/>
                <w:b/>
                <w:szCs w:val="24"/>
                <w:lang w:eastAsia="tr-TR"/>
              </w:rPr>
            </w:pPr>
          </w:p>
          <w:p w:rsidR="00E74E81" w:rsidRPr="00A23740" w:rsidRDefault="00970B0D" w:rsidP="009431FF">
            <w:pPr>
              <w:ind w:firstLine="709"/>
              <w:rPr>
                <w:rFonts w:eastAsia="Times New Roman"/>
                <w:szCs w:val="24"/>
                <w:lang w:eastAsia="tr-TR"/>
              </w:rPr>
            </w:pPr>
            <w:r w:rsidRPr="00A23740">
              <w:rPr>
                <w:rFonts w:eastAsia="Times New Roman"/>
                <w:b/>
                <w:szCs w:val="24"/>
                <w:lang w:eastAsia="tr-TR"/>
              </w:rPr>
              <w:t>MADDE 2</w:t>
            </w:r>
            <w:r w:rsidR="00490C3E" w:rsidRPr="00A23740">
              <w:rPr>
                <w:rFonts w:eastAsia="Times New Roman"/>
                <w:b/>
                <w:szCs w:val="24"/>
                <w:lang w:eastAsia="tr-TR"/>
              </w:rPr>
              <w:t>61</w:t>
            </w:r>
            <w:r w:rsidRPr="00A23740">
              <w:rPr>
                <w:rFonts w:eastAsia="Times New Roman"/>
                <w:b/>
                <w:szCs w:val="24"/>
                <w:lang w:eastAsia="tr-TR"/>
              </w:rPr>
              <w:t xml:space="preserve">- </w:t>
            </w:r>
            <w:r w:rsidRPr="00A23740">
              <w:rPr>
                <w:rFonts w:eastAsia="Times New Roman"/>
                <w:szCs w:val="24"/>
                <w:lang w:eastAsia="tr-TR"/>
              </w:rPr>
              <w:t>Maddeyle</w:t>
            </w:r>
            <w:r w:rsidRPr="00A23740">
              <w:rPr>
                <w:bCs/>
                <w:szCs w:val="24"/>
                <w:lang w:eastAsia="x-none"/>
              </w:rPr>
              <w:t>, derece kararına</w:t>
            </w:r>
            <w:r w:rsidR="004817C1" w:rsidRPr="00A23740">
              <w:rPr>
                <w:bCs/>
                <w:szCs w:val="24"/>
                <w:lang w:eastAsia="x-none"/>
              </w:rPr>
              <w:t xml:space="preserve"> </w:t>
            </w:r>
            <w:r w:rsidR="00EE335D" w:rsidRPr="00A23740">
              <w:rPr>
                <w:bCs/>
                <w:szCs w:val="24"/>
                <w:lang w:eastAsia="x-none"/>
              </w:rPr>
              <w:t>göre ödeme hususu dü</w:t>
            </w:r>
            <w:r w:rsidRPr="00A23740">
              <w:rPr>
                <w:bCs/>
                <w:szCs w:val="24"/>
                <w:lang w:eastAsia="x-none"/>
              </w:rPr>
              <w:t>zenlenmektedir.</w:t>
            </w:r>
            <w:r w:rsidR="006C0E55" w:rsidRPr="00A23740">
              <w:rPr>
                <w:bCs/>
                <w:szCs w:val="24"/>
                <w:lang w:eastAsia="x-none"/>
              </w:rPr>
              <w:t xml:space="preserve"> Madde, 2004 sayılı Kanunun 142/a maddesine kısmen karşılık gelmektedir.</w:t>
            </w:r>
          </w:p>
          <w:p w:rsidR="00970B0D" w:rsidRPr="00A23740" w:rsidRDefault="00EE335D" w:rsidP="009431FF">
            <w:pPr>
              <w:ind w:firstLine="709"/>
              <w:rPr>
                <w:rFonts w:eastAsia="Times New Roman"/>
                <w:szCs w:val="24"/>
                <w:lang w:eastAsia="tr-TR"/>
              </w:rPr>
            </w:pPr>
            <w:r w:rsidRPr="00A23740">
              <w:rPr>
                <w:rFonts w:eastAsia="Times New Roman"/>
                <w:szCs w:val="24"/>
                <w:lang w:eastAsia="tr-TR"/>
              </w:rPr>
              <w:t xml:space="preserve">Birinci fıkrada, </w:t>
            </w:r>
            <w:r w:rsidR="00C94D6E" w:rsidRPr="00A23740">
              <w:rPr>
                <w:rFonts w:eastAsia="Times New Roman"/>
                <w:szCs w:val="24"/>
                <w:lang w:eastAsia="tr-TR"/>
              </w:rPr>
              <w:t xml:space="preserve">bir yenilik olarak </w:t>
            </w:r>
            <w:r w:rsidRPr="00A23740">
              <w:rPr>
                <w:rFonts w:eastAsia="Times New Roman"/>
                <w:szCs w:val="24"/>
                <w:lang w:eastAsia="tr-TR"/>
              </w:rPr>
              <w:t>h</w:t>
            </w:r>
            <w:r w:rsidR="004817C1" w:rsidRPr="00A23740">
              <w:rPr>
                <w:rFonts w:eastAsia="Times New Roman"/>
                <w:bCs/>
                <w:lang w:eastAsia="tr-TR"/>
              </w:rPr>
              <w:t>azırlanan derece</w:t>
            </w:r>
            <w:r w:rsidRPr="00A23740">
              <w:rPr>
                <w:rFonts w:eastAsia="Times New Roman"/>
                <w:bCs/>
                <w:lang w:eastAsia="tr-TR"/>
              </w:rPr>
              <w:t xml:space="preserve"> kararında</w:t>
            </w:r>
            <w:r w:rsidR="00970B0D" w:rsidRPr="00A23740">
              <w:rPr>
                <w:rFonts w:eastAsia="Times New Roman"/>
                <w:bCs/>
                <w:lang w:eastAsia="tr-TR"/>
              </w:rPr>
              <w:t xml:space="preserve"> yer alıp da</w:t>
            </w:r>
            <w:r w:rsidR="00970B0D" w:rsidRPr="00A23740">
              <w:rPr>
                <w:rFonts w:eastAsia="Times New Roman"/>
                <w:szCs w:val="24"/>
                <w:lang w:eastAsia="tr-TR"/>
              </w:rPr>
              <w:t xml:space="preserve"> derecesine, sırasına veya payına </w:t>
            </w:r>
            <w:r w:rsidR="00970B0D" w:rsidRPr="00A23740">
              <w:rPr>
                <w:rFonts w:eastAsia="Times New Roman"/>
                <w:bCs/>
                <w:lang w:eastAsia="tr-TR"/>
              </w:rPr>
              <w:t>muhalefet</w:t>
            </w:r>
            <w:r w:rsidR="00970B0D" w:rsidRPr="00A23740">
              <w:rPr>
                <w:rFonts w:eastAsia="Times New Roman"/>
                <w:szCs w:val="24"/>
                <w:lang w:eastAsia="tr-TR"/>
              </w:rPr>
              <w:t xml:space="preserve"> edilmeyen a</w:t>
            </w:r>
            <w:r w:rsidR="00970B0D" w:rsidRPr="00A23740">
              <w:rPr>
                <w:rFonts w:eastAsia="Times New Roman"/>
                <w:bCs/>
                <w:lang w:eastAsia="tr-TR"/>
              </w:rPr>
              <w:t>lacaklının payı</w:t>
            </w:r>
            <w:r w:rsidRPr="00A23740">
              <w:rPr>
                <w:rFonts w:eastAsia="Times New Roman"/>
                <w:bCs/>
                <w:lang w:eastAsia="tr-TR"/>
              </w:rPr>
              <w:t>nın</w:t>
            </w:r>
            <w:r w:rsidR="00970B0D" w:rsidRPr="00A23740">
              <w:rPr>
                <w:rFonts w:eastAsia="Times New Roman"/>
                <w:bCs/>
                <w:lang w:eastAsia="tr-TR"/>
              </w:rPr>
              <w:t>, derece kararının diğer alacaklılar bakımından kesinleşmesi</w:t>
            </w:r>
            <w:r w:rsidRPr="00A23740">
              <w:rPr>
                <w:rFonts w:eastAsia="Times New Roman"/>
                <w:szCs w:val="24"/>
                <w:lang w:eastAsia="tr-TR"/>
              </w:rPr>
              <w:t xml:space="preserve"> beklenmeden ödeneceği </w:t>
            </w:r>
            <w:r w:rsidR="00C94D6E" w:rsidRPr="00A23740">
              <w:rPr>
                <w:rFonts w:eastAsia="Times New Roman"/>
                <w:szCs w:val="24"/>
                <w:lang w:eastAsia="tr-TR"/>
              </w:rPr>
              <w:t>belirtilmektedir</w:t>
            </w:r>
            <w:r w:rsidRPr="00A23740">
              <w:rPr>
                <w:rFonts w:eastAsia="Times New Roman"/>
                <w:szCs w:val="24"/>
                <w:lang w:eastAsia="tr-TR"/>
              </w:rPr>
              <w:t>.</w:t>
            </w:r>
          </w:p>
          <w:p w:rsidR="00970B0D" w:rsidRPr="00A23740" w:rsidRDefault="00EE335D" w:rsidP="009431FF">
            <w:pPr>
              <w:ind w:firstLine="709"/>
              <w:rPr>
                <w:rFonts w:eastAsia="Times New Roman"/>
                <w:szCs w:val="24"/>
                <w:lang w:eastAsia="tr-TR"/>
              </w:rPr>
            </w:pPr>
            <w:r w:rsidRPr="00A23740">
              <w:rPr>
                <w:rFonts w:eastAsia="Times New Roman"/>
                <w:szCs w:val="24"/>
                <w:lang w:eastAsia="tr-TR"/>
              </w:rPr>
              <w:t>İkinci fıkrayla,</w:t>
            </w:r>
            <w:r w:rsidR="00DB5C05" w:rsidRPr="00A23740">
              <w:rPr>
                <w:rFonts w:eastAsia="Times New Roman"/>
                <w:szCs w:val="24"/>
                <w:lang w:eastAsia="tr-TR"/>
              </w:rPr>
              <w:t xml:space="preserve"> d</w:t>
            </w:r>
            <w:r w:rsidR="00DB5C05" w:rsidRPr="00A23740">
              <w:rPr>
                <w:rFonts w:eastAsia="Times New Roman"/>
                <w:lang w:eastAsia="tr-TR"/>
              </w:rPr>
              <w:t>erece kararının</w:t>
            </w:r>
            <w:r w:rsidR="00DB5C05" w:rsidRPr="00A23740">
              <w:rPr>
                <w:rFonts w:eastAsia="Times New Roman"/>
                <w:szCs w:val="24"/>
                <w:lang w:eastAsia="tr-TR"/>
              </w:rPr>
              <w:t xml:space="preserve"> düzenlenmesi üzerine tebligatı alan ve </w:t>
            </w:r>
            <w:r w:rsidR="00DB5C05" w:rsidRPr="00A23740">
              <w:rPr>
                <w:rFonts w:eastAsia="Times New Roman"/>
                <w:bCs/>
                <w:lang w:eastAsia="tr-TR"/>
              </w:rPr>
              <w:t>derece kararında</w:t>
            </w:r>
            <w:r w:rsidR="00DB5C05" w:rsidRPr="00A23740">
              <w:rPr>
                <w:rFonts w:eastAsia="Times New Roman"/>
                <w:szCs w:val="24"/>
                <w:lang w:eastAsia="tr-TR"/>
              </w:rPr>
              <w:t xml:space="preserve"> hak sahibi görünen her alacaklının</w:t>
            </w:r>
            <w:r w:rsidR="00970B0D" w:rsidRPr="00A23740">
              <w:rPr>
                <w:rFonts w:eastAsia="Times New Roman"/>
                <w:szCs w:val="24"/>
                <w:lang w:eastAsia="tr-TR"/>
              </w:rPr>
              <w:t xml:space="preserve">, bir bankanın teminat mektubunu dosyaya ibraz ederek payına düşen </w:t>
            </w:r>
            <w:r w:rsidR="003C4D94" w:rsidRPr="00A23740">
              <w:rPr>
                <w:rFonts w:eastAsia="Times New Roman"/>
                <w:szCs w:val="24"/>
                <w:lang w:eastAsia="tr-TR"/>
              </w:rPr>
              <w:t>tutarı</w:t>
            </w:r>
            <w:r w:rsidR="00970B0D" w:rsidRPr="00A23740">
              <w:rPr>
                <w:rFonts w:eastAsia="Times New Roman"/>
                <w:szCs w:val="24"/>
                <w:lang w:eastAsia="tr-TR"/>
              </w:rPr>
              <w:t xml:space="preserve"> tahsil edebil</w:t>
            </w:r>
            <w:r w:rsidRPr="00A23740">
              <w:rPr>
                <w:rFonts w:eastAsia="Times New Roman"/>
                <w:szCs w:val="24"/>
                <w:lang w:eastAsia="tr-TR"/>
              </w:rPr>
              <w:t xml:space="preserve">eceği ve Taslağın </w:t>
            </w:r>
            <w:r w:rsidR="007D3A35" w:rsidRPr="00D60C1D">
              <w:rPr>
                <w:rStyle w:val="MaviChar"/>
                <w:b w:val="0"/>
                <w:color w:val="000000"/>
              </w:rPr>
              <w:t xml:space="preserve">55 </w:t>
            </w:r>
            <w:r w:rsidR="007D3A35" w:rsidRPr="00D60C1D">
              <w:rPr>
                <w:rStyle w:val="MaviChar"/>
                <w:b w:val="0"/>
                <w:color w:val="000000"/>
                <w:lang w:val="tr-TR"/>
              </w:rPr>
              <w:t>inci</w:t>
            </w:r>
            <w:r w:rsidR="00970B0D" w:rsidRPr="00A23740">
              <w:rPr>
                <w:rFonts w:eastAsia="Times New Roman"/>
                <w:bCs/>
                <w:lang w:eastAsia="tr-TR"/>
              </w:rPr>
              <w:t xml:space="preserve"> </w:t>
            </w:r>
            <w:r w:rsidR="00970B0D" w:rsidRPr="00A23740">
              <w:rPr>
                <w:rFonts w:eastAsia="Times New Roman"/>
                <w:szCs w:val="24"/>
                <w:lang w:eastAsia="tr-TR"/>
              </w:rPr>
              <w:t>madde</w:t>
            </w:r>
            <w:r w:rsidR="00B86357" w:rsidRPr="00A23740">
              <w:rPr>
                <w:rFonts w:eastAsia="Times New Roman"/>
                <w:szCs w:val="24"/>
                <w:lang w:eastAsia="tr-TR"/>
              </w:rPr>
              <w:t>si</w:t>
            </w:r>
            <w:r w:rsidR="00970B0D" w:rsidRPr="00A23740">
              <w:rPr>
                <w:rFonts w:eastAsia="Times New Roman"/>
                <w:szCs w:val="24"/>
                <w:lang w:eastAsia="tr-TR"/>
              </w:rPr>
              <w:t>nin ikinci fıkrası</w:t>
            </w:r>
            <w:r w:rsidRPr="00A23740">
              <w:rPr>
                <w:rFonts w:eastAsia="Times New Roman"/>
                <w:szCs w:val="24"/>
                <w:lang w:eastAsia="tr-TR"/>
              </w:rPr>
              <w:t>nın bu hüküm bakımından da uygulanacağı düzenlenmektedir</w:t>
            </w:r>
            <w:r w:rsidR="00970B0D" w:rsidRPr="00A23740">
              <w:rPr>
                <w:rFonts w:eastAsia="Times New Roman"/>
                <w:szCs w:val="24"/>
                <w:lang w:eastAsia="tr-TR"/>
              </w:rPr>
              <w:t>.</w:t>
            </w:r>
            <w:r w:rsidR="00DB5C05" w:rsidRPr="00A23740">
              <w:rPr>
                <w:rFonts w:eastAsia="Times New Roman"/>
                <w:szCs w:val="24"/>
                <w:lang w:eastAsia="tr-TR"/>
              </w:rPr>
              <w:t xml:space="preserve"> Hüküm, 2004 sayılı Kanunun 142/a maddesin</w:t>
            </w:r>
            <w:r w:rsidR="00C94D6E" w:rsidRPr="00A23740">
              <w:rPr>
                <w:rFonts w:eastAsia="Times New Roman"/>
                <w:szCs w:val="24"/>
                <w:lang w:eastAsia="tr-TR"/>
              </w:rPr>
              <w:t>in birinci fıkrasına</w:t>
            </w:r>
            <w:r w:rsidR="00DB5C05" w:rsidRPr="00A23740">
              <w:rPr>
                <w:rFonts w:eastAsia="Times New Roman"/>
                <w:szCs w:val="24"/>
                <w:lang w:eastAsia="tr-TR"/>
              </w:rPr>
              <w:t xml:space="preserve"> karşılık gelmekte</w:t>
            </w:r>
            <w:r w:rsidR="00C94D6E" w:rsidRPr="00A23740">
              <w:rPr>
                <w:rFonts w:eastAsia="Times New Roman"/>
                <w:szCs w:val="24"/>
                <w:lang w:eastAsia="tr-TR"/>
              </w:rPr>
              <w:t xml:space="preserve"> olup içerik aynen muhafaza edilmektedir</w:t>
            </w:r>
            <w:r w:rsidR="00DB5C05" w:rsidRPr="00A23740">
              <w:rPr>
                <w:rFonts w:eastAsia="Times New Roman"/>
                <w:szCs w:val="24"/>
                <w:lang w:eastAsia="tr-TR"/>
              </w:rPr>
              <w:t>.</w:t>
            </w:r>
          </w:p>
          <w:p w:rsidR="00DD477C" w:rsidRPr="00A23740" w:rsidRDefault="00DB5C05" w:rsidP="009431FF">
            <w:pPr>
              <w:ind w:firstLine="709"/>
              <w:rPr>
                <w:rFonts w:eastAsia="Times New Roman"/>
                <w:szCs w:val="24"/>
                <w:lang w:eastAsia="tr-TR"/>
              </w:rPr>
            </w:pPr>
            <w:r w:rsidRPr="00A23740">
              <w:rPr>
                <w:rFonts w:eastAsia="Times New Roman"/>
                <w:szCs w:val="24"/>
                <w:lang w:eastAsia="tr-TR"/>
              </w:rPr>
              <w:t>Üçüncü fıkrayla, teminat mektubunda yer alması gereken hususlar belirlenmektedir. Buna göre t</w:t>
            </w:r>
            <w:r w:rsidR="00970B0D" w:rsidRPr="00A23740">
              <w:rPr>
                <w:rFonts w:eastAsia="Times New Roman"/>
                <w:szCs w:val="24"/>
                <w:lang w:eastAsia="tr-TR"/>
              </w:rPr>
              <w:t xml:space="preserve">eminat mektubunda, alacaklının dosyadan tahsil ettiği </w:t>
            </w:r>
            <w:r w:rsidR="003C4D94" w:rsidRPr="00A23740">
              <w:rPr>
                <w:rFonts w:eastAsia="Times New Roman"/>
                <w:szCs w:val="24"/>
                <w:lang w:eastAsia="tr-TR"/>
              </w:rPr>
              <w:t>tutar</w:t>
            </w:r>
            <w:r w:rsidR="00970B0D" w:rsidRPr="00A23740">
              <w:rPr>
                <w:rFonts w:eastAsia="Times New Roman"/>
                <w:szCs w:val="24"/>
                <w:lang w:eastAsia="tr-TR"/>
              </w:rPr>
              <w:t xml:space="preserve"> ile bu </w:t>
            </w:r>
            <w:r w:rsidR="003C4D94" w:rsidRPr="00A23740">
              <w:rPr>
                <w:rFonts w:eastAsia="Times New Roman"/>
                <w:szCs w:val="24"/>
                <w:lang w:eastAsia="tr-TR"/>
              </w:rPr>
              <w:t>tutarın</w:t>
            </w:r>
            <w:r w:rsidR="00970B0D" w:rsidRPr="00A23740">
              <w:rPr>
                <w:rFonts w:eastAsia="Times New Roman"/>
                <w:szCs w:val="24"/>
                <w:lang w:eastAsia="tr-TR"/>
              </w:rPr>
              <w:t xml:space="preserve"> kısmen veya tamamen icra dosyasına iadesinin gerekmesi hâlinde iade tarihine kadar geçecek süreye ait olan faizin, icra </w:t>
            </w:r>
            <w:r w:rsidR="00970B0D" w:rsidRPr="00A23740">
              <w:rPr>
                <w:rFonts w:eastAsia="Times New Roman"/>
                <w:bCs/>
                <w:lang w:eastAsia="tr-TR"/>
              </w:rPr>
              <w:t>ve iflas</w:t>
            </w:r>
            <w:r w:rsidR="00970B0D" w:rsidRPr="00A23740">
              <w:rPr>
                <w:rFonts w:eastAsia="Times New Roman"/>
                <w:szCs w:val="24"/>
                <w:lang w:eastAsia="tr-TR"/>
              </w:rPr>
              <w:t xml:space="preserve"> dairesinin ilk yazılı talebi üzerine dosyaya ödenmesi taahhüt edilmelidir. Bu esaslar dâhilinde teminat mektubuyla garanti edilecek </w:t>
            </w:r>
            <w:r w:rsidR="003C4D94" w:rsidRPr="00A23740">
              <w:rPr>
                <w:rFonts w:eastAsia="Times New Roman"/>
                <w:szCs w:val="24"/>
                <w:lang w:eastAsia="tr-TR"/>
              </w:rPr>
              <w:t>tutar</w:t>
            </w:r>
            <w:r w:rsidR="00970B0D" w:rsidRPr="00A23740">
              <w:rPr>
                <w:rFonts w:eastAsia="Times New Roman"/>
                <w:szCs w:val="24"/>
                <w:lang w:eastAsia="tr-TR"/>
              </w:rPr>
              <w:t xml:space="preserve"> icra </w:t>
            </w:r>
            <w:r w:rsidR="00970B0D" w:rsidRPr="00A23740">
              <w:rPr>
                <w:rFonts w:eastAsia="Times New Roman"/>
                <w:bCs/>
                <w:lang w:eastAsia="tr-TR"/>
              </w:rPr>
              <w:t>ve iflas</w:t>
            </w:r>
            <w:r w:rsidR="00970B0D" w:rsidRPr="00A23740">
              <w:rPr>
                <w:rFonts w:eastAsia="Times New Roman"/>
                <w:szCs w:val="24"/>
                <w:lang w:eastAsia="tr-TR"/>
              </w:rPr>
              <w:t xml:space="preserve"> dairesince belirlenir.</w:t>
            </w:r>
            <w:r w:rsidRPr="00A23740">
              <w:rPr>
                <w:rFonts w:eastAsia="Times New Roman"/>
                <w:szCs w:val="24"/>
                <w:lang w:eastAsia="tr-TR"/>
              </w:rPr>
              <w:t xml:space="preserve"> </w:t>
            </w:r>
            <w:r w:rsidR="00C94D6E" w:rsidRPr="00A23740">
              <w:rPr>
                <w:rFonts w:eastAsia="Times New Roman"/>
                <w:szCs w:val="24"/>
                <w:lang w:eastAsia="tr-TR"/>
              </w:rPr>
              <w:t>Hüküm, 2004 sayılı Kanunun 142/a maddesinin ikinci fıkrasına karşılık gelmekte olup içerik aynen muhafaza edilmektedir.</w:t>
            </w:r>
          </w:p>
          <w:p w:rsidR="00EE335D" w:rsidRPr="00A23740" w:rsidRDefault="00EE335D" w:rsidP="0016377F">
            <w:pPr>
              <w:ind w:firstLine="709"/>
              <w:rPr>
                <w:rFonts w:eastAsia="Times New Roman"/>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Borç ödemeden</w:t>
            </w:r>
            <w:r w:rsidRPr="00A23740">
              <w:rPr>
                <w:rFonts w:eastAsia="Times New Roman"/>
                <w:szCs w:val="24"/>
                <w:lang w:eastAsia="tr-TR"/>
              </w:rPr>
              <w:t xml:space="preserve"> aciz </w:t>
            </w:r>
            <w:r w:rsidRPr="00A23740">
              <w:rPr>
                <w:rFonts w:eastAsia="Times New Roman"/>
                <w:b/>
                <w:strike/>
                <w:color w:val="FF0000"/>
                <w:szCs w:val="24"/>
                <w:lang w:eastAsia="tr-TR"/>
              </w:rPr>
              <w:t>vesikası:</w:t>
            </w:r>
          </w:p>
          <w:p w:rsidR="00AA5C8C" w:rsidRPr="00A23740" w:rsidRDefault="00AA5C8C" w:rsidP="009431FF">
            <w:pPr>
              <w:tabs>
                <w:tab w:val="left" w:pos="567"/>
              </w:tabs>
              <w:rPr>
                <w:rFonts w:eastAsia="Times New Roman"/>
                <w:strike/>
                <w:color w:val="FF0000"/>
                <w:szCs w:val="24"/>
                <w:lang w:eastAsia="tr-TR"/>
              </w:rPr>
            </w:pPr>
            <w:r w:rsidRPr="00A23740">
              <w:rPr>
                <w:rStyle w:val="KIRMIZIChar"/>
                <w:rFonts w:eastAsia="Calibri"/>
              </w:rPr>
              <w:t>Madde 143 – (1</w:t>
            </w:r>
            <w:r w:rsidRPr="00A23740">
              <w:rPr>
                <w:rFonts w:eastAsia="Times New Roman"/>
                <w:b/>
                <w:strike/>
                <w:color w:val="FF0000"/>
                <w:szCs w:val="24"/>
                <w:lang w:eastAsia="tr-TR"/>
              </w:rPr>
              <w:t>) (Değişik: 3/7/1940 - 3890/1 md.)</w:t>
            </w:r>
          </w:p>
          <w:p w:rsidR="00AA5C8C" w:rsidRPr="00A23740" w:rsidRDefault="00AA5C8C" w:rsidP="009431FF">
            <w:pPr>
              <w:tabs>
                <w:tab w:val="left" w:pos="567"/>
              </w:tabs>
              <w:outlineLvl w:val="0"/>
              <w:rPr>
                <w:rFonts w:eastAsia="Times New Roman"/>
                <w:b/>
                <w:szCs w:val="24"/>
                <w:lang w:eastAsia="tr-TR"/>
              </w:rPr>
            </w:pPr>
            <w:r w:rsidRPr="00A23740">
              <w:rPr>
                <w:rFonts w:eastAsia="Times New Roman"/>
                <w:b/>
                <w:strike/>
                <w:color w:val="FF0000"/>
                <w:szCs w:val="24"/>
                <w:lang w:eastAsia="tr-TR"/>
              </w:rPr>
              <w:t>(Değişik birinci fıkra: 17/7/2003-4949/40 md.)</w:t>
            </w:r>
            <w:r w:rsidRPr="00A23740">
              <w:rPr>
                <w:rFonts w:eastAsia="Times New Roman"/>
                <w:szCs w:val="24"/>
                <w:lang w:eastAsia="tr-TR"/>
              </w:rPr>
              <w:t xml:space="preserve"> Alacaklı alacağın</w:t>
            </w:r>
            <w:r w:rsidRPr="00A23740">
              <w:rPr>
                <w:rStyle w:val="KIRMIZIChar"/>
                <w:rFonts w:eastAsia="Calibri"/>
              </w:rPr>
              <w:t>ın</w:t>
            </w:r>
            <w:r w:rsidRPr="00A23740">
              <w:rPr>
                <w:rFonts w:eastAsia="Times New Roman"/>
                <w:szCs w:val="24"/>
                <w:lang w:eastAsia="tr-TR"/>
              </w:rPr>
              <w:t xml:space="preserve"> tamam</w:t>
            </w:r>
            <w:r w:rsidRPr="00A23740">
              <w:rPr>
                <w:rStyle w:val="KIRMIZIChar"/>
                <w:rFonts w:eastAsia="Calibri"/>
              </w:rPr>
              <w:t>ını</w:t>
            </w:r>
            <w:r w:rsidRPr="00A23740">
              <w:rPr>
                <w:rFonts w:eastAsia="Times New Roman"/>
                <w:szCs w:val="24"/>
                <w:lang w:eastAsia="tr-TR"/>
              </w:rPr>
              <w:t xml:space="preserve"> </w:t>
            </w:r>
            <w:r w:rsidRPr="00A23740">
              <w:rPr>
                <w:rStyle w:val="KIRMIZIChar"/>
                <w:rFonts w:eastAsia="Calibri"/>
              </w:rPr>
              <w:t>alamamış ve aciz vesikası düzenlenmesi için gerekli şartlar yerine gelmişse,</w:t>
            </w:r>
            <w:r w:rsidRPr="00A23740">
              <w:rPr>
                <w:rFonts w:eastAsia="Times New Roman"/>
                <w:szCs w:val="24"/>
                <w:lang w:eastAsia="tr-TR"/>
              </w:rPr>
              <w:t xml:space="preserve"> icra dairesi </w:t>
            </w:r>
            <w:r w:rsidRPr="00A23740">
              <w:rPr>
                <w:bCs/>
                <w:lang w:eastAsia="tr-TR"/>
              </w:rPr>
              <w:t>kalan</w:t>
            </w:r>
            <w:r w:rsidRPr="00A23740">
              <w:rPr>
                <w:rStyle w:val="KIRMIZIChar"/>
                <w:rFonts w:eastAsia="Calibri"/>
                <w:strike w:val="0"/>
              </w:rPr>
              <w:t xml:space="preserve"> </w:t>
            </w:r>
            <w:r w:rsidRPr="00A23740">
              <w:rPr>
                <w:rStyle w:val="KIRMIZIChar"/>
                <w:rFonts w:eastAsia="Calibri"/>
              </w:rPr>
              <w:t>miktar için hemen bir</w:t>
            </w:r>
            <w:r w:rsidRPr="00A23740">
              <w:rPr>
                <w:rFonts w:eastAsia="Times New Roman"/>
                <w:szCs w:val="24"/>
                <w:lang w:eastAsia="tr-TR"/>
              </w:rPr>
              <w:t xml:space="preserve"> </w:t>
            </w:r>
            <w:r w:rsidRPr="00A23740">
              <w:rPr>
                <w:bCs/>
                <w:lang w:eastAsia="tr-TR"/>
              </w:rPr>
              <w:t>aciz</w:t>
            </w:r>
            <w:r w:rsidRPr="00A23740">
              <w:rPr>
                <w:rFonts w:eastAsia="Times New Roman"/>
                <w:szCs w:val="24"/>
                <w:lang w:eastAsia="tr-TR"/>
              </w:rPr>
              <w:t xml:space="preserve"> </w:t>
            </w:r>
            <w:r w:rsidRPr="00A23740">
              <w:rPr>
                <w:rStyle w:val="KIRMIZIChar"/>
                <w:rFonts w:eastAsia="Calibri"/>
              </w:rPr>
              <w:t>vesikası</w:t>
            </w:r>
            <w:r w:rsidRPr="00A23740">
              <w:rPr>
                <w:rStyle w:val="KIRMIZIChar"/>
                <w:rFonts w:eastAsia="Calibri"/>
                <w:strike w:val="0"/>
              </w:rPr>
              <w:t xml:space="preserve"> </w:t>
            </w:r>
            <w:r w:rsidRPr="00A23740">
              <w:rPr>
                <w:bCs/>
                <w:lang w:eastAsia="tr-TR"/>
              </w:rPr>
              <w:t>düzenle</w:t>
            </w:r>
            <w:r w:rsidRPr="00A23740">
              <w:rPr>
                <w:rStyle w:val="KIRMIZIChar"/>
                <w:rFonts w:eastAsia="Calibri"/>
              </w:rPr>
              <w:t>yip alacaklıya ve bir suretini de borçluya verir; bu</w:t>
            </w:r>
            <w:r w:rsidRPr="00A23740">
              <w:rPr>
                <w:rStyle w:val="KIRMIZIChar"/>
                <w:rFonts w:eastAsia="Calibri"/>
                <w:strike w:val="0"/>
              </w:rPr>
              <w:t xml:space="preserve"> </w:t>
            </w:r>
            <w:r w:rsidRPr="00A23740">
              <w:rPr>
                <w:bCs/>
                <w:lang w:eastAsia="tr-TR"/>
              </w:rPr>
              <w:t>belge</w:t>
            </w:r>
            <w:r w:rsidRPr="00A23740">
              <w:rPr>
                <w:rStyle w:val="KIRMIZIChar"/>
                <w:rFonts w:eastAsia="Calibri"/>
              </w:rPr>
              <w:t>ler</w:t>
            </w:r>
            <w:r w:rsidRPr="00A23740">
              <w:rPr>
                <w:rFonts w:eastAsia="Times New Roman"/>
                <w:szCs w:val="24"/>
                <w:lang w:eastAsia="tr-TR"/>
              </w:rPr>
              <w:t xml:space="preserve"> hiçbir harç ve vergiye tâbi değildir. </w:t>
            </w:r>
            <w:r w:rsidRPr="00A23740">
              <w:rPr>
                <w:rStyle w:val="KIRMIZIChar"/>
                <w:rFonts w:eastAsia="Calibri"/>
              </w:rPr>
              <w:t>Aciz vesikasının bir nüshası da her il merkezinde Adalet Bakanlığınca tespit edilen icra dairesi tarafından tutulan özel sicile kaydedilmek üzere bu icra dairesine gönderilir. Aciz vesikası sicili aleni olup ne şekilde tutulacağı ve hangi hususları içereceği Adalet Bakanlığı tarafından hazı</w:t>
            </w:r>
            <w:r w:rsidR="001A031C" w:rsidRPr="00A23740">
              <w:rPr>
                <w:rStyle w:val="KIRMIZIChar"/>
                <w:rFonts w:eastAsia="Calibri"/>
              </w:rPr>
              <w:t>rlanan yönetmelikle belirlenir.</w:t>
            </w:r>
          </w:p>
          <w:p w:rsidR="00AA5C8C" w:rsidRPr="00A23740" w:rsidRDefault="00AA5C8C" w:rsidP="009431FF">
            <w:pPr>
              <w:tabs>
                <w:tab w:val="left" w:pos="567"/>
              </w:tabs>
              <w:outlineLvl w:val="0"/>
              <w:rPr>
                <w:rFonts w:eastAsia="Times New Roman"/>
                <w:b/>
                <w:szCs w:val="24"/>
                <w:lang w:eastAsia="tr-TR"/>
              </w:rPr>
            </w:pPr>
          </w:p>
          <w:p w:rsidR="00AA5C8C" w:rsidRPr="00A23740" w:rsidRDefault="00AA5C8C" w:rsidP="009431FF">
            <w:pPr>
              <w:pStyle w:val="KIRMIZI"/>
              <w:rPr>
                <w:rStyle w:val="KIRMIZIChar"/>
                <w:b/>
              </w:rPr>
            </w:pPr>
            <w:r w:rsidRPr="00A23740">
              <w:rPr>
                <w:rStyle w:val="KIRMIZIChar"/>
                <w:rFonts w:eastAsia="Calibri"/>
              </w:rPr>
              <w:t>(2)</w:t>
            </w:r>
            <w:r w:rsidRPr="00A23740">
              <w:t xml:space="preserve"> Bu vesika ile 105 inci maddedeki vesika borcun ikrarını mutazammın senet mahiyetinde olup alacaklıya 277 nci maddede yazılı hakları verir.</w:t>
            </w:r>
            <w:r w:rsidRPr="00A23740">
              <w:rPr>
                <w:lang w:val="tr-TR"/>
              </w:rPr>
              <w:t xml:space="preserve"> </w:t>
            </w:r>
          </w:p>
          <w:p w:rsidR="001A031C" w:rsidRPr="00A23740" w:rsidRDefault="00AA5C8C" w:rsidP="0016377F">
            <w:pPr>
              <w:pStyle w:val="KIRMIZI"/>
              <w:rPr>
                <w:lang w:val="tr-TR"/>
              </w:rPr>
            </w:pPr>
            <w:r w:rsidRPr="00A23740">
              <w:rPr>
                <w:rStyle w:val="KIRMIZIChar"/>
                <w:b/>
                <w:lang w:val="tr-TR"/>
              </w:rPr>
              <w:t>…</w:t>
            </w:r>
          </w:p>
        </w:tc>
        <w:tc>
          <w:tcPr>
            <w:tcW w:w="2500" w:type="pct"/>
          </w:tcPr>
          <w:p w:rsidR="00AA5C8C" w:rsidRPr="00A23740" w:rsidRDefault="00AA5C8C" w:rsidP="009431FF">
            <w:pPr>
              <w:pStyle w:val="Balk3"/>
              <w:rPr>
                <w:lang w:val="tr-TR" w:eastAsia="tr-TR"/>
              </w:rPr>
            </w:pPr>
            <w:r w:rsidRPr="00A23740">
              <w:rPr>
                <w:lang w:val="tr-TR" w:eastAsia="tr-TR"/>
              </w:rPr>
              <w:t>DÖRDÜNCÜ BÖLÜM</w:t>
            </w:r>
          </w:p>
          <w:p w:rsidR="00AA5C8C" w:rsidRPr="00A23740" w:rsidRDefault="00AA5C8C" w:rsidP="009431FF">
            <w:pPr>
              <w:jc w:val="center"/>
              <w:rPr>
                <w:rStyle w:val="Balk4Char"/>
                <w:rFonts w:eastAsia="Calibri"/>
              </w:rPr>
            </w:pPr>
            <w:r w:rsidRPr="00A23740">
              <w:rPr>
                <w:rStyle w:val="Balk4Char"/>
                <w:rFonts w:eastAsia="Calibri"/>
              </w:rPr>
              <w:t>Kesin Aciz Belgesi ve Senedin İadesi</w:t>
            </w:r>
          </w:p>
          <w:p w:rsidR="00AA5C8C" w:rsidRPr="00A23740" w:rsidRDefault="00AA5C8C" w:rsidP="009431FF">
            <w:pPr>
              <w:jc w:val="center"/>
              <w:rPr>
                <w:rStyle w:val="Balk4Char"/>
                <w:rFonts w:eastAsia="Calibri"/>
                <w:lang w:eastAsia="tr-TR"/>
              </w:rPr>
            </w:pPr>
          </w:p>
          <w:p w:rsidR="00AA5C8C" w:rsidRPr="00A23740" w:rsidRDefault="00AA5C8C" w:rsidP="009431FF">
            <w:pPr>
              <w:pStyle w:val="Balk4"/>
              <w:rPr>
                <w:lang w:val="tr-TR" w:eastAsia="tr-TR"/>
              </w:rPr>
            </w:pPr>
            <w:r w:rsidRPr="00A23740">
              <w:rPr>
                <w:lang w:val="tr-TR" w:eastAsia="tr-TR"/>
              </w:rPr>
              <w:t>BİRİNCİ AYRIM</w:t>
            </w:r>
          </w:p>
          <w:p w:rsidR="00AA5C8C" w:rsidRPr="00A23740" w:rsidRDefault="00AA5C8C" w:rsidP="009431FF">
            <w:pPr>
              <w:pStyle w:val="Balk4"/>
              <w:rPr>
                <w:lang w:val="tr-TR"/>
              </w:rPr>
            </w:pPr>
            <w:r w:rsidRPr="00A23740">
              <w:rPr>
                <w:lang w:val="tr-TR"/>
              </w:rPr>
              <w:t>Kesin Aciz Belgesi</w:t>
            </w:r>
          </w:p>
          <w:p w:rsidR="00AA5C8C" w:rsidRPr="00A23740" w:rsidRDefault="00AA5C8C" w:rsidP="009431FF">
            <w:pPr>
              <w:rPr>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Kesin</w:t>
            </w:r>
            <w:r w:rsidRPr="00A23740">
              <w:rPr>
                <w:rFonts w:eastAsia="Times New Roman"/>
                <w:b/>
                <w:szCs w:val="24"/>
                <w:lang w:eastAsia="tr-TR"/>
              </w:rPr>
              <w:t xml:space="preserve"> aciz </w:t>
            </w:r>
            <w:r w:rsidRPr="00A23740">
              <w:rPr>
                <w:rStyle w:val="MaviChar"/>
              </w:rPr>
              <w:t>belgesinin düzenlenmesi</w:t>
            </w:r>
          </w:p>
          <w:p w:rsidR="00AA5C8C" w:rsidRPr="00A23740" w:rsidRDefault="00880FBF" w:rsidP="009431FF">
            <w:pPr>
              <w:pStyle w:val="Mavi"/>
            </w:pPr>
            <w:r w:rsidRPr="00A23740">
              <w:t>MADDE 2</w:t>
            </w:r>
            <w:r w:rsidRPr="00A23740">
              <w:rPr>
                <w:lang w:val="tr-TR"/>
              </w:rPr>
              <w:t>6</w:t>
            </w:r>
            <w:r w:rsidR="00490C3E" w:rsidRPr="00A23740">
              <w:rPr>
                <w:lang w:val="tr-TR"/>
              </w:rPr>
              <w:t>2</w:t>
            </w:r>
            <w:r w:rsidR="00AA5C8C" w:rsidRPr="00A23740">
              <w:t xml:space="preserve">- (1) Satış ve </w:t>
            </w:r>
            <w:r w:rsidR="00A323D7" w:rsidRPr="005C6390">
              <w:t>paylaştırmadan sonra</w:t>
            </w:r>
            <w:r w:rsidR="00A323D7" w:rsidRPr="00A23740">
              <w:rPr>
                <w:b w:val="0"/>
                <w:lang w:val="tr-TR"/>
              </w:rPr>
              <w:t xml:space="preserve"> </w:t>
            </w:r>
            <w:r w:rsidR="00AA5C8C" w:rsidRPr="00A23740">
              <w:rPr>
                <w:rFonts w:eastAsia="Times New Roman"/>
                <w:b w:val="0"/>
                <w:bCs w:val="0"/>
                <w:color w:val="auto"/>
                <w:lang w:val="tr-TR" w:eastAsia="tr-TR"/>
              </w:rPr>
              <w:t>alacağın</w:t>
            </w:r>
            <w:r w:rsidR="00AA5C8C" w:rsidRPr="00A23740">
              <w:t xml:space="preserve"> </w:t>
            </w:r>
            <w:r w:rsidR="00AA5C8C" w:rsidRPr="00A23740">
              <w:rPr>
                <w:rFonts w:eastAsia="Times New Roman"/>
                <w:b w:val="0"/>
                <w:bCs w:val="0"/>
                <w:color w:val="auto"/>
                <w:lang w:val="tr-TR" w:eastAsia="tr-TR"/>
              </w:rPr>
              <w:t>tamam</w:t>
            </w:r>
            <w:r w:rsidR="00AA5C8C" w:rsidRPr="00A23740">
              <w:t>en karşılanamaması h</w:t>
            </w:r>
            <w:r w:rsidR="00A323D7" w:rsidRPr="00A23740">
              <w:rPr>
                <w:lang w:val="tr-TR"/>
              </w:rPr>
              <w:t>â</w:t>
            </w:r>
            <w:r w:rsidR="00AA5C8C" w:rsidRPr="00A23740">
              <w:t xml:space="preserve">linde, </w:t>
            </w:r>
            <w:r w:rsidR="00AA5C8C" w:rsidRPr="00A23740">
              <w:rPr>
                <w:rFonts w:eastAsia="Times New Roman"/>
                <w:b w:val="0"/>
                <w:bCs w:val="0"/>
                <w:color w:val="auto"/>
                <w:lang w:val="tr-TR" w:eastAsia="tr-TR"/>
              </w:rPr>
              <w:t>kalan</w:t>
            </w:r>
            <w:r w:rsidR="00AA5C8C" w:rsidRPr="00A23740">
              <w:t xml:space="preserve"> alacak, faiz ve </w:t>
            </w:r>
            <w:r w:rsidR="00AA5C8C" w:rsidRPr="00A23740">
              <w:rPr>
                <w:lang w:val="tr-TR"/>
              </w:rPr>
              <w:t>giderler</w:t>
            </w:r>
            <w:r w:rsidR="00AA5C8C" w:rsidRPr="00A23740">
              <w:t xml:space="preserve"> için </w:t>
            </w:r>
            <w:r w:rsidR="00AA5C8C" w:rsidRPr="00A23740">
              <w:rPr>
                <w:rFonts w:eastAsia="Times New Roman"/>
                <w:b w:val="0"/>
                <w:bCs w:val="0"/>
                <w:color w:val="auto"/>
                <w:lang w:val="tr-TR" w:eastAsia="tr-TR"/>
              </w:rPr>
              <w:t xml:space="preserve">icra </w:t>
            </w:r>
            <w:r w:rsidR="00AA5C8C" w:rsidRPr="00A23740">
              <w:t>ve iflas</w:t>
            </w:r>
            <w:r w:rsidR="00AA5C8C" w:rsidRPr="00A23740">
              <w:rPr>
                <w:rFonts w:eastAsia="Times New Roman"/>
                <w:b w:val="0"/>
                <w:bCs w:val="0"/>
                <w:color w:val="auto"/>
                <w:lang w:val="tr-TR" w:eastAsia="tr-TR"/>
              </w:rPr>
              <w:t xml:space="preserve"> dairesi</w:t>
            </w:r>
            <w:r w:rsidR="00AA5C8C" w:rsidRPr="00A23740">
              <w:rPr>
                <w:rStyle w:val="YELChar"/>
                <w:rFonts w:eastAsia="Calibri"/>
                <w:b/>
                <w:color w:val="0000FF"/>
                <w:lang w:eastAsia="x-none"/>
              </w:rPr>
              <w:t xml:space="preserve"> tarafından</w:t>
            </w:r>
            <w:r w:rsidR="00AA5C8C" w:rsidRPr="00A23740">
              <w:rPr>
                <w:rStyle w:val="YELChar"/>
                <w:rFonts w:eastAsia="Calibri"/>
                <w:b/>
                <w:color w:val="0000FF"/>
                <w:lang w:val="tr-TR" w:eastAsia="x-none"/>
              </w:rPr>
              <w:t xml:space="preserve"> </w:t>
            </w:r>
            <w:r w:rsidR="00A323D7" w:rsidRPr="005C6390">
              <w:t>203 üncü</w:t>
            </w:r>
            <w:r w:rsidR="00AA5C8C" w:rsidRPr="00A23740">
              <w:rPr>
                <w:rStyle w:val="YELChar"/>
                <w:rFonts w:eastAsia="Calibri"/>
                <w:b/>
                <w:color w:val="0000FF"/>
                <w:lang w:val="tr-TR" w:eastAsia="x-none"/>
              </w:rPr>
              <w:t xml:space="preserve"> </w:t>
            </w:r>
            <w:r w:rsidR="00AA5C8C" w:rsidRPr="00A23740">
              <w:rPr>
                <w:rStyle w:val="YELChar"/>
                <w:rFonts w:eastAsia="Calibri"/>
                <w:b/>
                <w:color w:val="0000FF"/>
                <w:lang w:eastAsia="x-none"/>
              </w:rPr>
              <w:t>maddenin üçüncü fıkrası dikkate alınarak</w:t>
            </w:r>
            <w:r w:rsidR="00AA5C8C" w:rsidRPr="00A23740">
              <w:t xml:space="preserve"> kesin </w:t>
            </w:r>
            <w:r w:rsidR="00AA5C8C" w:rsidRPr="00A23740">
              <w:rPr>
                <w:rFonts w:eastAsia="Times New Roman"/>
                <w:b w:val="0"/>
                <w:bCs w:val="0"/>
                <w:color w:val="auto"/>
                <w:lang w:val="tr-TR" w:eastAsia="tr-TR"/>
              </w:rPr>
              <w:t xml:space="preserve">aciz </w:t>
            </w:r>
            <w:r w:rsidR="00AA5C8C" w:rsidRPr="00A23740">
              <w:t xml:space="preserve">belgesi </w:t>
            </w:r>
            <w:r w:rsidR="00AA5C8C" w:rsidRPr="00A23740">
              <w:rPr>
                <w:rFonts w:eastAsia="Times New Roman"/>
                <w:b w:val="0"/>
                <w:bCs w:val="0"/>
                <w:color w:val="auto"/>
                <w:lang w:val="tr-TR" w:eastAsia="tr-TR"/>
              </w:rPr>
              <w:t>düzenle</w:t>
            </w:r>
            <w:r w:rsidR="00AA5C8C" w:rsidRPr="00A23740">
              <w:t>nir.</w:t>
            </w:r>
          </w:p>
          <w:p w:rsidR="00AA5C8C" w:rsidRPr="00A23740" w:rsidRDefault="00AA5C8C" w:rsidP="009431FF">
            <w:pPr>
              <w:tabs>
                <w:tab w:val="left" w:pos="567"/>
              </w:tabs>
              <w:rPr>
                <w:rStyle w:val="MaviChar"/>
              </w:rPr>
            </w:pPr>
          </w:p>
          <w:p w:rsidR="00AA5C8C" w:rsidRPr="00A23740" w:rsidRDefault="00AA5C8C" w:rsidP="009431FF">
            <w:pPr>
              <w:tabs>
                <w:tab w:val="left" w:pos="567"/>
              </w:tabs>
              <w:rPr>
                <w:rFonts w:eastAsia="Times New Roman"/>
                <w:szCs w:val="24"/>
                <w:lang w:eastAsia="tr-TR"/>
              </w:rPr>
            </w:pPr>
            <w:r w:rsidRPr="00A23740">
              <w:rPr>
                <w:rStyle w:val="MaviChar"/>
              </w:rPr>
              <w:t>(2)</w:t>
            </w:r>
            <w:r w:rsidRPr="00A23740">
              <w:rPr>
                <w:rFonts w:eastAsia="Times New Roman"/>
                <w:b/>
                <w:color w:val="0000FF"/>
                <w:szCs w:val="24"/>
                <w:lang w:eastAsia="tr-TR"/>
              </w:rPr>
              <w:t xml:space="preserve"> </w:t>
            </w:r>
            <w:r w:rsidR="00DF3FF8" w:rsidRPr="00A23740">
              <w:rPr>
                <w:rFonts w:eastAsia="Times New Roman"/>
                <w:b/>
                <w:color w:val="0000FF"/>
                <w:szCs w:val="24"/>
                <w:lang w:eastAsia="tr-TR"/>
              </w:rPr>
              <w:t xml:space="preserve">Kesin </w:t>
            </w:r>
            <w:r w:rsidR="00DF3FF8" w:rsidRPr="00A23740">
              <w:rPr>
                <w:rStyle w:val="MaviChar"/>
              </w:rPr>
              <w:t>aciz</w:t>
            </w:r>
            <w:r w:rsidR="00DF3FF8" w:rsidRPr="00A23740">
              <w:rPr>
                <w:rFonts w:eastAsia="Times New Roman"/>
                <w:szCs w:val="24"/>
                <w:lang w:eastAsia="tr-TR"/>
              </w:rPr>
              <w:t xml:space="preserve"> </w:t>
            </w:r>
            <w:r w:rsidRPr="00A23740">
              <w:rPr>
                <w:rFonts w:eastAsia="Times New Roman"/>
                <w:szCs w:val="24"/>
                <w:lang w:eastAsia="tr-TR"/>
              </w:rPr>
              <w:t>belge</w:t>
            </w:r>
            <w:r w:rsidRPr="00A23740">
              <w:rPr>
                <w:rStyle w:val="MaviChar"/>
              </w:rPr>
              <w:t>si</w:t>
            </w:r>
            <w:r w:rsidR="00CE41DD" w:rsidRPr="00A23740">
              <w:rPr>
                <w:rStyle w:val="MaviChar"/>
                <w:lang w:val="tr-TR"/>
              </w:rPr>
              <w:t>,</w:t>
            </w:r>
            <w:r w:rsidRPr="00A23740">
              <w:rPr>
                <w:rFonts w:eastAsia="Times New Roman"/>
                <w:szCs w:val="24"/>
                <w:lang w:eastAsia="tr-TR"/>
              </w:rPr>
              <w:t xml:space="preserve"> hiçbir harç ve vergiye t</w:t>
            </w:r>
            <w:r w:rsidR="00D81869" w:rsidRPr="00A23740">
              <w:rPr>
                <w:rFonts w:eastAsia="Times New Roman"/>
                <w:szCs w:val="24"/>
                <w:lang w:eastAsia="tr-TR"/>
              </w:rPr>
              <w:t>a</w:t>
            </w:r>
            <w:r w:rsidRPr="00A23740">
              <w:rPr>
                <w:rFonts w:eastAsia="Times New Roman"/>
                <w:szCs w:val="24"/>
                <w:lang w:eastAsia="tr-TR"/>
              </w:rPr>
              <w:t>bi değildir.</w:t>
            </w: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pStyle w:val="Mavi"/>
            </w:pPr>
            <w:r w:rsidRPr="00A23740">
              <w:rPr>
                <w:rStyle w:val="YELChar"/>
                <w:rFonts w:eastAsia="Calibri"/>
                <w:b/>
                <w:color w:val="0000FF"/>
                <w:lang w:eastAsia="x-none"/>
              </w:rPr>
              <w:t>(3)</w:t>
            </w:r>
            <w:r w:rsidRPr="00A23740">
              <w:t xml:space="preserve"> </w:t>
            </w:r>
            <w:r w:rsidR="00DF3FF8" w:rsidRPr="00A23740">
              <w:rPr>
                <w:lang w:val="tr-TR"/>
              </w:rPr>
              <w:t xml:space="preserve">Kesin aciz </w:t>
            </w:r>
            <w:r w:rsidR="00DF3FF8" w:rsidRPr="00A23740">
              <w:t>belge</w:t>
            </w:r>
            <w:r w:rsidR="00DF3FF8" w:rsidRPr="00A23740">
              <w:rPr>
                <w:lang w:val="tr-TR"/>
              </w:rPr>
              <w:t>sin</w:t>
            </w:r>
            <w:r w:rsidR="00DF3FF8" w:rsidRPr="00A23740">
              <w:t>de</w:t>
            </w:r>
            <w:r w:rsidR="00DF3FF8" w:rsidRPr="00A23740">
              <w:rPr>
                <w:lang w:val="tr-TR"/>
              </w:rPr>
              <w:t>,</w:t>
            </w:r>
            <w:r w:rsidR="0018394C" w:rsidRPr="00A23740">
              <w:rPr>
                <w:lang w:val="tr-TR"/>
              </w:rPr>
              <w:t xml:space="preserve"> </w:t>
            </w:r>
            <w:r w:rsidR="0018394C" w:rsidRPr="005C6390">
              <w:t>26</w:t>
            </w:r>
            <w:r w:rsidR="00154A13" w:rsidRPr="005C6390">
              <w:t>4</w:t>
            </w:r>
            <w:r w:rsidR="0018394C" w:rsidRPr="005C6390">
              <w:t xml:space="preserve"> </w:t>
            </w:r>
            <w:r w:rsidR="00154A13" w:rsidRPr="005C6390">
              <w:t>ü</w:t>
            </w:r>
            <w:r w:rsidR="0018394C" w:rsidRPr="005C6390">
              <w:t>nc</w:t>
            </w:r>
            <w:r w:rsidR="00154A13" w:rsidRPr="005C6390">
              <w:t>ü</w:t>
            </w:r>
            <w:r w:rsidRPr="00A23740">
              <w:rPr>
                <w:lang w:val="tr-TR"/>
              </w:rPr>
              <w:t xml:space="preserve"> </w:t>
            </w:r>
            <w:r w:rsidRPr="00A23740">
              <w:rPr>
                <w:rStyle w:val="YELChar"/>
                <w:rFonts w:eastAsia="Calibri"/>
                <w:b/>
                <w:color w:val="0000FF"/>
                <w:lang w:eastAsia="x-none"/>
              </w:rPr>
              <w:t>maddede belirtilen</w:t>
            </w:r>
            <w:r w:rsidRPr="00A23740">
              <w:t xml:space="preserve"> bildirim yükümlülüğü ve sonuçları da bir ihtar olarak yer alır</w:t>
            </w:r>
            <w:r w:rsidRPr="00A23740">
              <w:rPr>
                <w:rStyle w:val="KIRMIZIChar"/>
                <w:rFonts w:eastAsia="Calibri"/>
                <w:b/>
                <w:bCs/>
                <w:strike w:val="0"/>
                <w:color w:val="0000FF"/>
              </w:rPr>
              <w:t xml:space="preserve"> </w:t>
            </w:r>
            <w:r w:rsidRPr="00A23740">
              <w:rPr>
                <w:rStyle w:val="YELChar"/>
                <w:rFonts w:eastAsia="Calibri"/>
                <w:b/>
                <w:color w:val="0000FF"/>
                <w:lang w:eastAsia="x-none"/>
              </w:rPr>
              <w:t>ve</w:t>
            </w:r>
            <w:r w:rsidRPr="00A23740">
              <w:t xml:space="preserve"> </w:t>
            </w:r>
            <w:r w:rsidR="008A5965" w:rsidRPr="005C6390">
              <w:t>belgenin</w:t>
            </w:r>
            <w:r w:rsidR="008A5965" w:rsidRPr="00A23740">
              <w:rPr>
                <w:color w:val="70AD47"/>
              </w:rPr>
              <w:t xml:space="preserve"> </w:t>
            </w:r>
            <w:r w:rsidRPr="00A23740">
              <w:t xml:space="preserve">bir </w:t>
            </w:r>
            <w:r w:rsidR="00A323D7" w:rsidRPr="005C6390">
              <w:t>örneği</w:t>
            </w:r>
            <w:r w:rsidRPr="00A23740">
              <w:t xml:space="preserve"> takibin taraflarına </w:t>
            </w:r>
            <w:r w:rsidRPr="00A23740">
              <w:rPr>
                <w:rStyle w:val="YELChar"/>
                <w:rFonts w:eastAsia="Calibri"/>
                <w:b/>
                <w:color w:val="0000FF"/>
                <w:lang w:eastAsia="x-none"/>
              </w:rPr>
              <w:t>resen</w:t>
            </w:r>
            <w:r w:rsidRPr="00A23740">
              <w:t xml:space="preserve"> tebliğ </w:t>
            </w:r>
            <w:r w:rsidR="00DF3FF8" w:rsidRPr="00A23740">
              <w:t>edilir.</w:t>
            </w:r>
          </w:p>
          <w:p w:rsidR="00AA5C8C" w:rsidRPr="00A23740" w:rsidRDefault="00AA5C8C" w:rsidP="009431FF">
            <w:pPr>
              <w:pStyle w:val="Mavi"/>
              <w:rPr>
                <w:rFonts w:eastAsia="Times New Roman"/>
                <w:lang w:eastAsia="tr-TR"/>
              </w:rPr>
            </w:pPr>
          </w:p>
        </w:tc>
      </w:tr>
      <w:tr w:rsidR="00AA5C8C" w:rsidRPr="00A23740" w:rsidTr="009431FF">
        <w:tblPrEx>
          <w:tblLook w:val="01E0" w:firstRow="1" w:lastRow="1" w:firstColumn="1" w:lastColumn="1" w:noHBand="0" w:noVBand="0"/>
        </w:tblPrEx>
        <w:tc>
          <w:tcPr>
            <w:tcW w:w="5000" w:type="pct"/>
            <w:gridSpan w:val="2"/>
            <w:shd w:val="clear" w:color="auto" w:fill="DEEAF6"/>
          </w:tcPr>
          <w:p w:rsidR="00AA5C8C" w:rsidRPr="00A23740" w:rsidRDefault="00AA5C8C" w:rsidP="009431FF">
            <w:pPr>
              <w:tabs>
                <w:tab w:val="left" w:pos="567"/>
              </w:tabs>
              <w:ind w:firstLine="709"/>
              <w:jc w:val="left"/>
              <w:rPr>
                <w:rFonts w:eastAsia="Times New Roman"/>
                <w:b/>
                <w:color w:val="0000FF"/>
                <w:szCs w:val="24"/>
                <w:lang w:eastAsia="tr-TR"/>
              </w:rPr>
            </w:pPr>
          </w:p>
          <w:p w:rsidR="00C13673" w:rsidRPr="00A23740" w:rsidRDefault="00880FBF" w:rsidP="009431FF">
            <w:pPr>
              <w:pStyle w:val="Mavi"/>
              <w:ind w:firstLine="709"/>
              <w:rPr>
                <w:rFonts w:eastAsia="Times New Roman"/>
                <w:b w:val="0"/>
                <w:color w:val="auto"/>
                <w:lang w:val="tr-TR" w:eastAsia="tr-TR"/>
              </w:rPr>
            </w:pPr>
            <w:r w:rsidRPr="00A23740">
              <w:rPr>
                <w:rFonts w:eastAsia="Times New Roman"/>
                <w:bCs w:val="0"/>
                <w:color w:val="auto"/>
                <w:lang w:val="tr-TR" w:eastAsia="tr-TR"/>
              </w:rPr>
              <w:t>MADDE 26</w:t>
            </w:r>
            <w:r w:rsidR="00490C3E" w:rsidRPr="00A23740">
              <w:rPr>
                <w:rFonts w:eastAsia="Times New Roman"/>
                <w:bCs w:val="0"/>
                <w:color w:val="auto"/>
                <w:lang w:val="tr-TR" w:eastAsia="tr-TR"/>
              </w:rPr>
              <w:t>2</w:t>
            </w:r>
            <w:r w:rsidR="00C13673" w:rsidRPr="00A23740">
              <w:rPr>
                <w:rFonts w:eastAsia="Times New Roman"/>
                <w:bCs w:val="0"/>
                <w:color w:val="auto"/>
                <w:lang w:val="tr-TR" w:eastAsia="tr-TR"/>
              </w:rPr>
              <w:t>-</w:t>
            </w:r>
            <w:r w:rsidR="00C13673" w:rsidRPr="00A23740">
              <w:rPr>
                <w:rFonts w:eastAsia="Times New Roman"/>
                <w:b w:val="0"/>
                <w:bCs w:val="0"/>
                <w:color w:val="auto"/>
                <w:lang w:val="tr-TR" w:eastAsia="tr-TR"/>
              </w:rPr>
              <w:t xml:space="preserve"> Maddeyle, </w:t>
            </w:r>
            <w:r w:rsidR="00667BFF" w:rsidRPr="00A23740">
              <w:rPr>
                <w:rFonts w:eastAsia="Times New Roman"/>
                <w:b w:val="0"/>
                <w:bCs w:val="0"/>
                <w:color w:val="auto"/>
                <w:lang w:val="tr-TR" w:eastAsia="tr-TR"/>
              </w:rPr>
              <w:t xml:space="preserve">kesin </w:t>
            </w:r>
            <w:r w:rsidR="00C13673" w:rsidRPr="00A23740">
              <w:rPr>
                <w:rFonts w:eastAsia="Times New Roman"/>
                <w:b w:val="0"/>
                <w:bCs w:val="0"/>
                <w:color w:val="auto"/>
                <w:lang w:val="tr-TR" w:eastAsia="tr-TR"/>
              </w:rPr>
              <w:t xml:space="preserve">aciz </w:t>
            </w:r>
            <w:r w:rsidR="00C13673" w:rsidRPr="00A23740">
              <w:rPr>
                <w:rFonts w:eastAsia="Times New Roman"/>
                <w:b w:val="0"/>
                <w:color w:val="auto"/>
                <w:lang w:val="tr-TR" w:eastAsia="tr-TR"/>
              </w:rPr>
              <w:t>belgesinin düzenlenmesi</w:t>
            </w:r>
            <w:r w:rsidR="00C13673" w:rsidRPr="00A23740">
              <w:rPr>
                <w:rFonts w:eastAsia="Times New Roman"/>
                <w:b w:val="0"/>
                <w:color w:val="auto"/>
                <w:lang w:eastAsia="tr-TR"/>
              </w:rPr>
              <w:t>ne il</w:t>
            </w:r>
            <w:r w:rsidR="00667BFF" w:rsidRPr="00A23740">
              <w:rPr>
                <w:rFonts w:eastAsia="Times New Roman"/>
                <w:b w:val="0"/>
                <w:color w:val="auto"/>
                <w:lang w:eastAsia="tr-TR"/>
              </w:rPr>
              <w:t>işkin esaslar belirlenmektedir.</w:t>
            </w:r>
            <w:r w:rsidR="00B235E7" w:rsidRPr="00A23740">
              <w:rPr>
                <w:rFonts w:eastAsia="Times New Roman"/>
                <w:b w:val="0"/>
                <w:color w:val="auto"/>
                <w:lang w:val="tr-TR" w:eastAsia="tr-TR"/>
              </w:rPr>
              <w:t xml:space="preserve"> Aciz belgesine ilişkin esaslar, 2004 sayılı Kanunun </w:t>
            </w:r>
            <w:r w:rsidR="00000B6C" w:rsidRPr="00A23740">
              <w:rPr>
                <w:rFonts w:eastAsia="Times New Roman"/>
                <w:b w:val="0"/>
                <w:color w:val="auto"/>
                <w:lang w:val="tr-TR" w:eastAsia="tr-TR"/>
              </w:rPr>
              <w:t xml:space="preserve">sadece </w:t>
            </w:r>
            <w:r w:rsidR="00B235E7" w:rsidRPr="00A23740">
              <w:rPr>
                <w:rFonts w:eastAsia="Times New Roman"/>
                <w:b w:val="0"/>
                <w:color w:val="auto"/>
                <w:lang w:val="tr-TR" w:eastAsia="tr-TR"/>
              </w:rPr>
              <w:t xml:space="preserve">143 üncü maddesinde düzenlenmişken Taslakta, bu müessesenin daha </w:t>
            </w:r>
            <w:r w:rsidR="00DF3FF8" w:rsidRPr="00A23740">
              <w:rPr>
                <w:rFonts w:eastAsia="Times New Roman"/>
                <w:b w:val="0"/>
                <w:color w:val="auto"/>
                <w:lang w:val="tr-TR" w:eastAsia="tr-TR"/>
              </w:rPr>
              <w:t>işlevsel</w:t>
            </w:r>
            <w:r w:rsidR="00B235E7" w:rsidRPr="00A23740">
              <w:rPr>
                <w:rFonts w:eastAsia="Times New Roman"/>
                <w:b w:val="0"/>
                <w:color w:val="auto"/>
                <w:lang w:val="tr-TR" w:eastAsia="tr-TR"/>
              </w:rPr>
              <w:t xml:space="preserve"> h</w:t>
            </w:r>
            <w:r w:rsidR="00C224B4" w:rsidRPr="00A23740">
              <w:rPr>
                <w:rFonts w:eastAsia="Times New Roman"/>
                <w:b w:val="0"/>
                <w:color w:val="auto"/>
                <w:lang w:val="tr-TR" w:eastAsia="tr-TR"/>
              </w:rPr>
              <w:t>â</w:t>
            </w:r>
            <w:r w:rsidR="00B235E7" w:rsidRPr="00A23740">
              <w:rPr>
                <w:rFonts w:eastAsia="Times New Roman"/>
                <w:b w:val="0"/>
                <w:color w:val="auto"/>
                <w:lang w:val="tr-TR" w:eastAsia="tr-TR"/>
              </w:rPr>
              <w:t>le getirilmesi ve uygulamada ortaya çıkan sorunlara çözüm bulunması amacıyla bir ayrım altında ayrıntılı olarak düzenlenme</w:t>
            </w:r>
            <w:r w:rsidR="00000B6C" w:rsidRPr="00A23740">
              <w:rPr>
                <w:rFonts w:eastAsia="Times New Roman"/>
                <w:b w:val="0"/>
                <w:color w:val="auto"/>
                <w:lang w:val="tr-TR" w:eastAsia="tr-TR"/>
              </w:rPr>
              <w:t>si cihetine gidilmiştir</w:t>
            </w:r>
            <w:r w:rsidR="00B235E7" w:rsidRPr="00A23740">
              <w:rPr>
                <w:rFonts w:eastAsia="Times New Roman"/>
                <w:b w:val="0"/>
                <w:color w:val="auto"/>
                <w:lang w:val="tr-TR" w:eastAsia="tr-TR"/>
              </w:rPr>
              <w:t>.</w:t>
            </w:r>
          </w:p>
          <w:p w:rsidR="00667BFF" w:rsidRPr="00A23740" w:rsidRDefault="00C13673" w:rsidP="009431FF">
            <w:pPr>
              <w:pStyle w:val="Mavi"/>
              <w:ind w:firstLine="709"/>
              <w:rPr>
                <w:rFonts w:eastAsia="Times New Roman"/>
                <w:b w:val="0"/>
                <w:lang w:val="tr-TR" w:eastAsia="tr-TR"/>
              </w:rPr>
            </w:pPr>
            <w:r w:rsidRPr="00A23740">
              <w:rPr>
                <w:rFonts w:eastAsia="Times New Roman"/>
                <w:b w:val="0"/>
                <w:color w:val="auto"/>
                <w:lang w:eastAsia="tr-TR"/>
              </w:rPr>
              <w:t>Birinci fıkrada, kesin aciz belgesinin düzenlenme usulü belirlenmektedir. Hükme göre s</w:t>
            </w:r>
            <w:r w:rsidRPr="00A23740">
              <w:rPr>
                <w:rFonts w:eastAsia="Times New Roman"/>
                <w:b w:val="0"/>
                <w:bCs w:val="0"/>
                <w:color w:val="auto"/>
                <w:lang w:val="tr-TR" w:eastAsia="tr-TR"/>
              </w:rPr>
              <w:t>atış ve paylaştırma aşamaları sonunda alacağın tamamen karşılanamaması h</w:t>
            </w:r>
            <w:r w:rsidR="00C224B4" w:rsidRPr="00A23740">
              <w:rPr>
                <w:rFonts w:eastAsia="Times New Roman"/>
                <w:b w:val="0"/>
                <w:bCs w:val="0"/>
                <w:color w:val="auto"/>
                <w:lang w:val="tr-TR" w:eastAsia="tr-TR"/>
              </w:rPr>
              <w:t>â</w:t>
            </w:r>
            <w:r w:rsidRPr="00A23740">
              <w:rPr>
                <w:rFonts w:eastAsia="Times New Roman"/>
                <w:b w:val="0"/>
                <w:bCs w:val="0"/>
                <w:color w:val="auto"/>
                <w:lang w:val="tr-TR" w:eastAsia="tr-TR"/>
              </w:rPr>
              <w:t>linde, kalan alacak, faiz ve giderler için icra ve iflas dairesi tarafından</w:t>
            </w:r>
            <w:r w:rsidRPr="00A23740">
              <w:rPr>
                <w:rFonts w:eastAsia="Times New Roman"/>
                <w:b w:val="0"/>
                <w:bCs w:val="0"/>
                <w:color w:val="auto"/>
                <w:lang w:eastAsia="tr-TR"/>
              </w:rPr>
              <w:t xml:space="preserve"> </w:t>
            </w:r>
            <w:r w:rsidRPr="00A23740">
              <w:rPr>
                <w:rFonts w:eastAsia="Times New Roman"/>
                <w:b w:val="0"/>
                <w:bCs w:val="0"/>
                <w:color w:val="auto"/>
                <w:lang w:val="tr-TR" w:eastAsia="tr-TR"/>
              </w:rPr>
              <w:t>resen</w:t>
            </w:r>
            <w:r w:rsidR="00000B6C" w:rsidRPr="00A23740">
              <w:rPr>
                <w:rFonts w:eastAsia="Times New Roman"/>
                <w:b w:val="0"/>
                <w:bCs w:val="0"/>
                <w:color w:val="auto"/>
                <w:lang w:val="tr-TR" w:eastAsia="tr-TR"/>
              </w:rPr>
              <w:t>,</w:t>
            </w:r>
            <w:r w:rsidR="00667BFF" w:rsidRPr="00A23740">
              <w:rPr>
                <w:rFonts w:eastAsia="Times New Roman"/>
                <w:b w:val="0"/>
                <w:bCs w:val="0"/>
                <w:color w:val="auto"/>
                <w:lang w:val="tr-TR" w:eastAsia="tr-TR"/>
              </w:rPr>
              <w:t xml:space="preserve"> Taslağın “haciz sırasında düzenlenen aciz belgeleri” başlıklı</w:t>
            </w:r>
            <w:r w:rsidRPr="00A23740">
              <w:rPr>
                <w:rFonts w:eastAsia="Times New Roman"/>
                <w:b w:val="0"/>
                <w:bCs w:val="0"/>
                <w:color w:val="auto"/>
                <w:lang w:val="tr-TR" w:eastAsia="tr-TR"/>
              </w:rPr>
              <w:t xml:space="preserve"> </w:t>
            </w:r>
            <w:r w:rsidR="005E71E2" w:rsidRPr="00D60C1D">
              <w:rPr>
                <w:rStyle w:val="YELChar"/>
                <w:color w:val="000000"/>
              </w:rPr>
              <w:t>203 üncü</w:t>
            </w:r>
            <w:r w:rsidRPr="00A23740">
              <w:rPr>
                <w:rFonts w:eastAsia="Times New Roman"/>
                <w:b w:val="0"/>
                <w:bCs w:val="0"/>
                <w:color w:val="auto"/>
                <w:lang w:eastAsia="tr-TR"/>
              </w:rPr>
              <w:t xml:space="preserve"> </w:t>
            </w:r>
            <w:r w:rsidRPr="00A23740">
              <w:rPr>
                <w:rFonts w:eastAsia="Times New Roman"/>
                <w:b w:val="0"/>
                <w:bCs w:val="0"/>
                <w:color w:val="auto"/>
                <w:lang w:val="tr-TR" w:eastAsia="tr-TR"/>
              </w:rPr>
              <w:t>madde</w:t>
            </w:r>
            <w:r w:rsidR="00667BFF" w:rsidRPr="00A23740">
              <w:rPr>
                <w:rFonts w:eastAsia="Times New Roman"/>
                <w:b w:val="0"/>
                <w:bCs w:val="0"/>
                <w:color w:val="auto"/>
                <w:lang w:val="tr-TR" w:eastAsia="tr-TR"/>
              </w:rPr>
              <w:t>si</w:t>
            </w:r>
            <w:r w:rsidRPr="00A23740">
              <w:rPr>
                <w:rFonts w:eastAsia="Times New Roman"/>
                <w:b w:val="0"/>
                <w:bCs w:val="0"/>
                <w:color w:val="auto"/>
                <w:lang w:val="tr-TR" w:eastAsia="tr-TR"/>
              </w:rPr>
              <w:t>nin üçüncü fıkrası dikkate alınarak kesin aciz belgesi düzenlenir.</w:t>
            </w:r>
            <w:r w:rsidR="00667BFF" w:rsidRPr="00A23740">
              <w:rPr>
                <w:rFonts w:eastAsia="Times New Roman"/>
                <w:b w:val="0"/>
                <w:bCs w:val="0"/>
                <w:color w:val="auto"/>
                <w:lang w:val="tr-TR" w:eastAsia="tr-TR"/>
              </w:rPr>
              <w:t xml:space="preserve"> Anılan hükme göre, icra</w:t>
            </w:r>
            <w:r w:rsidR="00B73523" w:rsidRPr="00A23740">
              <w:rPr>
                <w:b w:val="0"/>
                <w:color w:val="538135"/>
                <w:lang w:val="tr-TR"/>
              </w:rPr>
              <w:t xml:space="preserve"> </w:t>
            </w:r>
            <w:r w:rsidR="00B73523" w:rsidRPr="00D60C1D">
              <w:rPr>
                <w:b w:val="0"/>
                <w:color w:val="000000"/>
                <w:lang w:val="tr-TR"/>
              </w:rPr>
              <w:t>ve iflas</w:t>
            </w:r>
            <w:r w:rsidR="00667BFF" w:rsidRPr="00A23740">
              <w:rPr>
                <w:rFonts w:eastAsia="Times New Roman"/>
                <w:b w:val="0"/>
                <w:bCs w:val="0"/>
                <w:color w:val="auto"/>
                <w:lang w:val="tr-TR" w:eastAsia="tr-TR"/>
              </w:rPr>
              <w:t xml:space="preserve"> dairesi </w:t>
            </w:r>
            <w:r w:rsidR="00E43CB3" w:rsidRPr="00D60C1D">
              <w:rPr>
                <w:rStyle w:val="YELChar"/>
                <w:color w:val="000000"/>
              </w:rPr>
              <w:t>203 üncü</w:t>
            </w:r>
            <w:r w:rsidR="00667BFF" w:rsidRPr="00A23740">
              <w:rPr>
                <w:rFonts w:eastAsia="Times New Roman"/>
                <w:b w:val="0"/>
                <w:bCs w:val="0"/>
                <w:color w:val="auto"/>
                <w:lang w:val="tr-TR" w:eastAsia="tr-TR"/>
              </w:rPr>
              <w:t xml:space="preserve"> madde uyarınca yapılan araştırma sonucunu </w:t>
            </w:r>
            <w:r w:rsidR="00DF3FF8" w:rsidRPr="00A23740">
              <w:rPr>
                <w:rFonts w:eastAsia="Times New Roman"/>
                <w:b w:val="0"/>
                <w:bCs w:val="0"/>
                <w:color w:val="auto"/>
                <w:lang w:val="tr-TR" w:eastAsia="tr-TR"/>
              </w:rPr>
              <w:t xml:space="preserve">esas </w:t>
            </w:r>
            <w:r w:rsidR="00667BFF" w:rsidRPr="00A23740">
              <w:rPr>
                <w:rFonts w:eastAsia="Times New Roman"/>
                <w:b w:val="0"/>
                <w:bCs w:val="0"/>
                <w:color w:val="auto"/>
                <w:lang w:val="tr-TR" w:eastAsia="tr-TR"/>
              </w:rPr>
              <w:t>alarak aciz belgesini hazırlar. 2004 sayılı</w:t>
            </w:r>
            <w:r w:rsidR="00B235E7" w:rsidRPr="00A23740">
              <w:rPr>
                <w:rFonts w:eastAsia="Times New Roman"/>
                <w:b w:val="0"/>
                <w:bCs w:val="0"/>
                <w:color w:val="auto"/>
                <w:lang w:val="tr-TR" w:eastAsia="tr-TR"/>
              </w:rPr>
              <w:t xml:space="preserve"> Kanunda aciz belgesinin kesin nitelikte bir belge olduğuna ilişkin bir belirlemeye yer verilmemiş</w:t>
            </w:r>
            <w:r w:rsidR="00DF3FF8" w:rsidRPr="00A23740">
              <w:rPr>
                <w:rFonts w:eastAsia="Times New Roman"/>
                <w:b w:val="0"/>
                <w:bCs w:val="0"/>
                <w:color w:val="auto"/>
                <w:lang w:val="tr-TR" w:eastAsia="tr-TR"/>
              </w:rPr>
              <w:t>ken</w:t>
            </w:r>
            <w:r w:rsidR="00000B6C" w:rsidRPr="00A23740">
              <w:rPr>
                <w:rFonts w:eastAsia="Times New Roman"/>
                <w:b w:val="0"/>
                <w:bCs w:val="0"/>
                <w:color w:val="auto"/>
                <w:lang w:val="tr-TR" w:eastAsia="tr-TR"/>
              </w:rPr>
              <w:t>,</w:t>
            </w:r>
            <w:r w:rsidR="00B235E7" w:rsidRPr="00A23740">
              <w:rPr>
                <w:rFonts w:eastAsia="Times New Roman"/>
                <w:b w:val="0"/>
                <w:bCs w:val="0"/>
                <w:color w:val="auto"/>
                <w:lang w:val="tr-TR" w:eastAsia="tr-TR"/>
              </w:rPr>
              <w:t xml:space="preserve"> </w:t>
            </w:r>
            <w:r w:rsidR="00D81869" w:rsidRPr="00D60C1D">
              <w:rPr>
                <w:b w:val="0"/>
                <w:color w:val="000000"/>
                <w:szCs w:val="52"/>
              </w:rPr>
              <w:t>bilimsel ve yargısal</w:t>
            </w:r>
            <w:r w:rsidR="00B235E7" w:rsidRPr="00A23740">
              <w:rPr>
                <w:rFonts w:eastAsia="Times New Roman"/>
                <w:b w:val="0"/>
                <w:bCs w:val="0"/>
                <w:color w:val="auto"/>
                <w:lang w:val="tr-TR" w:eastAsia="tr-TR"/>
              </w:rPr>
              <w:t xml:space="preserve"> içtihatlarda bu belgenin kesin aciz belgesi olduğu kabul edilmesi nedeniyle “kesin aciz belgesi” ibaresine yer verilmektedir. Yine 2004 sayılı Kanunda “kalan miktar” için aciz belge</w:t>
            </w:r>
            <w:r w:rsidR="00DF3FF8" w:rsidRPr="00A23740">
              <w:rPr>
                <w:rFonts w:eastAsia="Times New Roman"/>
                <w:b w:val="0"/>
                <w:bCs w:val="0"/>
                <w:color w:val="auto"/>
                <w:lang w:val="tr-TR" w:eastAsia="tr-TR"/>
              </w:rPr>
              <w:t>s</w:t>
            </w:r>
            <w:r w:rsidR="00B235E7" w:rsidRPr="00A23740">
              <w:rPr>
                <w:rFonts w:eastAsia="Times New Roman"/>
                <w:b w:val="0"/>
                <w:bCs w:val="0"/>
                <w:color w:val="auto"/>
                <w:lang w:val="tr-TR" w:eastAsia="tr-TR"/>
              </w:rPr>
              <w:t>inin düzenleneceği belirtilmiş ise de</w:t>
            </w:r>
            <w:r w:rsidR="00000B6C" w:rsidRPr="00A23740">
              <w:rPr>
                <w:rFonts w:eastAsia="Times New Roman"/>
                <w:b w:val="0"/>
                <w:bCs w:val="0"/>
                <w:color w:val="auto"/>
                <w:lang w:val="tr-TR" w:eastAsia="tr-TR"/>
              </w:rPr>
              <w:t>,</w:t>
            </w:r>
            <w:r w:rsidR="00B235E7" w:rsidRPr="00A23740">
              <w:rPr>
                <w:rFonts w:eastAsia="Times New Roman"/>
                <w:b w:val="0"/>
                <w:bCs w:val="0"/>
                <w:color w:val="auto"/>
                <w:lang w:val="tr-TR" w:eastAsia="tr-TR"/>
              </w:rPr>
              <w:t xml:space="preserve"> hükmün belirgin h</w:t>
            </w:r>
            <w:r w:rsidR="00C224B4" w:rsidRPr="00A23740">
              <w:rPr>
                <w:rFonts w:eastAsia="Times New Roman"/>
                <w:b w:val="0"/>
                <w:bCs w:val="0"/>
                <w:color w:val="auto"/>
                <w:lang w:val="tr-TR" w:eastAsia="tr-TR"/>
              </w:rPr>
              <w:t>â</w:t>
            </w:r>
            <w:r w:rsidR="00B235E7" w:rsidRPr="00A23740">
              <w:rPr>
                <w:rFonts w:eastAsia="Times New Roman"/>
                <w:b w:val="0"/>
                <w:bCs w:val="0"/>
                <w:color w:val="auto"/>
                <w:lang w:val="tr-TR" w:eastAsia="tr-TR"/>
              </w:rPr>
              <w:t xml:space="preserve">le getirilmesi amacıyla kalan miktarın alacak, faiz ve giderleri kapsadığı açıkça ifade edilmektedir. </w:t>
            </w:r>
            <w:r w:rsidR="00667BFF" w:rsidRPr="00A23740">
              <w:rPr>
                <w:rFonts w:eastAsia="Times New Roman"/>
                <w:b w:val="0"/>
                <w:color w:val="auto"/>
                <w:lang w:val="tr-TR" w:eastAsia="tr-TR"/>
              </w:rPr>
              <w:t>Hüküm</w:t>
            </w:r>
            <w:r w:rsidR="00667BFF" w:rsidRPr="00A23740">
              <w:rPr>
                <w:rFonts w:eastAsia="Times New Roman"/>
                <w:b w:val="0"/>
                <w:color w:val="auto"/>
                <w:lang w:eastAsia="tr-TR"/>
              </w:rPr>
              <w:t>, 2004 sayılı Kanun</w:t>
            </w:r>
            <w:r w:rsidR="00B235E7" w:rsidRPr="00A23740">
              <w:rPr>
                <w:rFonts w:eastAsia="Times New Roman"/>
                <w:b w:val="0"/>
                <w:color w:val="auto"/>
                <w:lang w:val="tr-TR" w:eastAsia="tr-TR"/>
              </w:rPr>
              <w:t>un</w:t>
            </w:r>
            <w:r w:rsidR="00667BFF" w:rsidRPr="00A23740">
              <w:rPr>
                <w:rFonts w:eastAsia="Times New Roman"/>
                <w:b w:val="0"/>
                <w:color w:val="auto"/>
                <w:lang w:eastAsia="tr-TR"/>
              </w:rPr>
              <w:t xml:space="preserve"> 143 üncü maddesin</w:t>
            </w:r>
            <w:r w:rsidR="00E9186B" w:rsidRPr="00A23740">
              <w:rPr>
                <w:rFonts w:eastAsia="Times New Roman"/>
                <w:b w:val="0"/>
                <w:color w:val="auto"/>
                <w:lang w:val="tr-TR" w:eastAsia="tr-TR"/>
              </w:rPr>
              <w:t>in birinci fıkrasının birinci cümlesine</w:t>
            </w:r>
            <w:r w:rsidR="00667BFF" w:rsidRPr="00A23740">
              <w:rPr>
                <w:rFonts w:eastAsia="Times New Roman"/>
                <w:b w:val="0"/>
                <w:color w:val="auto"/>
                <w:lang w:eastAsia="tr-TR"/>
              </w:rPr>
              <w:t xml:space="preserve"> karşılık gelmektedir.</w:t>
            </w:r>
          </w:p>
          <w:p w:rsidR="00E9186B" w:rsidRPr="00A23740" w:rsidRDefault="00C13673" w:rsidP="009431FF">
            <w:pPr>
              <w:tabs>
                <w:tab w:val="left" w:pos="567"/>
              </w:tabs>
              <w:ind w:firstLine="709"/>
              <w:rPr>
                <w:rFonts w:eastAsia="Times New Roman"/>
                <w:b/>
                <w:color w:val="FF0000"/>
                <w:szCs w:val="24"/>
                <w:lang w:eastAsia="tr-TR"/>
              </w:rPr>
            </w:pPr>
            <w:r w:rsidRPr="00A23740">
              <w:rPr>
                <w:rFonts w:eastAsia="Times New Roman"/>
                <w:lang w:val="x-none" w:eastAsia="tr-TR"/>
              </w:rPr>
              <w:t>İkinci fıkrayla,</w:t>
            </w:r>
            <w:r w:rsidR="00DF3FF8" w:rsidRPr="00A23740">
              <w:rPr>
                <w:rFonts w:eastAsia="Times New Roman"/>
                <w:lang w:eastAsia="tr-TR"/>
              </w:rPr>
              <w:t xml:space="preserve"> kesin</w:t>
            </w:r>
            <w:r w:rsidRPr="00A23740">
              <w:rPr>
                <w:rFonts w:eastAsia="Times New Roman"/>
                <w:lang w:val="x-none" w:eastAsia="tr-TR"/>
              </w:rPr>
              <w:t xml:space="preserve"> a</w:t>
            </w:r>
            <w:r w:rsidRPr="00A23740">
              <w:rPr>
                <w:rFonts w:eastAsia="Times New Roman"/>
                <w:lang w:eastAsia="tr-TR"/>
              </w:rPr>
              <w:t>ciz</w:t>
            </w:r>
            <w:r w:rsidRPr="00A23740">
              <w:rPr>
                <w:rFonts w:eastAsia="Times New Roman"/>
                <w:bCs/>
                <w:szCs w:val="24"/>
                <w:lang w:val="x-none" w:eastAsia="tr-TR"/>
              </w:rPr>
              <w:t xml:space="preserve"> belge</w:t>
            </w:r>
            <w:r w:rsidRPr="00A23740">
              <w:rPr>
                <w:rFonts w:eastAsia="Times New Roman"/>
                <w:lang w:eastAsia="tr-TR"/>
              </w:rPr>
              <w:t>si</w:t>
            </w:r>
            <w:r w:rsidRPr="00A23740">
              <w:rPr>
                <w:rFonts w:eastAsia="Times New Roman"/>
                <w:bCs/>
                <w:szCs w:val="24"/>
                <w:lang w:val="x-none" w:eastAsia="tr-TR"/>
              </w:rPr>
              <w:t>nin</w:t>
            </w:r>
            <w:r w:rsidRPr="00A23740">
              <w:rPr>
                <w:rFonts w:eastAsia="Times New Roman"/>
                <w:szCs w:val="24"/>
                <w:lang w:eastAsia="tr-TR"/>
              </w:rPr>
              <w:t xml:space="preserve"> hiçbir harç ve vergiye t</w:t>
            </w:r>
            <w:r w:rsidR="00D81869" w:rsidRPr="00A23740">
              <w:rPr>
                <w:rFonts w:eastAsia="Times New Roman"/>
                <w:szCs w:val="24"/>
                <w:lang w:eastAsia="tr-TR"/>
              </w:rPr>
              <w:t>a</w:t>
            </w:r>
            <w:r w:rsidRPr="00A23740">
              <w:rPr>
                <w:rFonts w:eastAsia="Times New Roman"/>
                <w:szCs w:val="24"/>
                <w:lang w:eastAsia="tr-TR"/>
              </w:rPr>
              <w:t>bi olmadığı düzenlenmektedir.</w:t>
            </w:r>
            <w:r w:rsidR="00B235E7" w:rsidRPr="00A23740">
              <w:rPr>
                <w:rFonts w:eastAsia="Times New Roman"/>
                <w:szCs w:val="24"/>
                <w:lang w:eastAsia="tr-TR"/>
              </w:rPr>
              <w:t xml:space="preserve"> Bu hüküm</w:t>
            </w:r>
            <w:r w:rsidR="00DF3FF8" w:rsidRPr="00A23740">
              <w:rPr>
                <w:rFonts w:eastAsia="Times New Roman"/>
                <w:szCs w:val="24"/>
                <w:lang w:eastAsia="tr-TR"/>
              </w:rPr>
              <w:t>,</w:t>
            </w:r>
            <w:r w:rsidR="00B235E7" w:rsidRPr="00A23740">
              <w:rPr>
                <w:rFonts w:eastAsia="Times New Roman"/>
                <w:szCs w:val="24"/>
                <w:lang w:eastAsia="tr-TR"/>
              </w:rPr>
              <w:t xml:space="preserve"> 2004 sayılı Kanunun 143 üncü maddesinin birinci fıkrasının </w:t>
            </w:r>
            <w:r w:rsidR="00E9186B" w:rsidRPr="00A23740">
              <w:rPr>
                <w:rFonts w:eastAsia="Times New Roman"/>
                <w:szCs w:val="24"/>
                <w:lang w:eastAsia="tr-TR"/>
              </w:rPr>
              <w:t>birinci cümlesine karşılık gelmektedir.</w:t>
            </w:r>
          </w:p>
          <w:p w:rsidR="00DF3FF8" w:rsidRPr="00A23740" w:rsidRDefault="00E9186B" w:rsidP="009431FF">
            <w:pPr>
              <w:tabs>
                <w:tab w:val="left" w:pos="567"/>
              </w:tabs>
              <w:ind w:firstLine="709"/>
            </w:pPr>
            <w:r w:rsidRPr="00A23740">
              <w:t>Üçüncü fıkra</w:t>
            </w:r>
            <w:r w:rsidR="00DF3FF8" w:rsidRPr="00A23740">
              <w:t>yl</w:t>
            </w:r>
            <w:r w:rsidRPr="00A23740">
              <w:t>a,</w:t>
            </w:r>
            <w:r w:rsidR="00C13673" w:rsidRPr="00A23740">
              <w:t xml:space="preserve"> bir yenilik olarak</w:t>
            </w:r>
            <w:r w:rsidR="00000B6C" w:rsidRPr="00A23740">
              <w:t>,</w:t>
            </w:r>
            <w:r w:rsidR="00C13673" w:rsidRPr="00A23740">
              <w:t xml:space="preserve"> kesin aciz belgesinde</w:t>
            </w:r>
            <w:r w:rsidR="00DF3FF8" w:rsidRPr="00A23740">
              <w:t>,</w:t>
            </w:r>
            <w:r w:rsidR="00C13673" w:rsidRPr="00A23740">
              <w:t xml:space="preserve"> </w:t>
            </w:r>
            <w:r w:rsidR="00DF3FF8" w:rsidRPr="00A23740">
              <w:t>kesin aciz belgesi</w:t>
            </w:r>
            <w:r w:rsidR="009716FF" w:rsidRPr="00A23740">
              <w:t>nin</w:t>
            </w:r>
            <w:r w:rsidR="00DF3FF8" w:rsidRPr="00A23740">
              <w:t xml:space="preserve"> hüküm ve sonuçlarının </w:t>
            </w:r>
            <w:r w:rsidR="009716FF" w:rsidRPr="00A23740">
              <w:t>düzenlendiği Taslağın</w:t>
            </w:r>
            <w:r w:rsidR="00C13673" w:rsidRPr="00A23740">
              <w:t xml:space="preserve"> </w:t>
            </w:r>
            <w:r w:rsidR="005E71E2" w:rsidRPr="00D60C1D">
              <w:rPr>
                <w:rStyle w:val="KonuBalChar"/>
                <w:rFonts w:eastAsia="Calibri"/>
                <w:b w:val="0"/>
                <w:color w:val="000000"/>
              </w:rPr>
              <w:t>26</w:t>
            </w:r>
            <w:r w:rsidR="005E71E2" w:rsidRPr="00D60C1D">
              <w:rPr>
                <w:rStyle w:val="KonuBalChar"/>
                <w:rFonts w:eastAsia="Calibri"/>
                <w:b w:val="0"/>
                <w:color w:val="000000"/>
                <w:lang w:val="tr-TR"/>
              </w:rPr>
              <w:t>4</w:t>
            </w:r>
            <w:r w:rsidR="005E71E2" w:rsidRPr="00D60C1D">
              <w:rPr>
                <w:rStyle w:val="KonuBalChar"/>
                <w:rFonts w:eastAsia="Calibri"/>
                <w:b w:val="0"/>
                <w:color w:val="000000"/>
              </w:rPr>
              <w:t xml:space="preserve"> </w:t>
            </w:r>
            <w:r w:rsidR="005E71E2" w:rsidRPr="00D60C1D">
              <w:rPr>
                <w:rStyle w:val="KonuBalChar"/>
                <w:rFonts w:eastAsia="Calibri"/>
                <w:b w:val="0"/>
                <w:color w:val="000000"/>
                <w:lang w:val="tr-TR"/>
              </w:rPr>
              <w:t>ü</w:t>
            </w:r>
            <w:r w:rsidR="005E71E2" w:rsidRPr="00D60C1D">
              <w:rPr>
                <w:rStyle w:val="KonuBalChar"/>
                <w:rFonts w:eastAsia="Calibri"/>
                <w:b w:val="0"/>
                <w:color w:val="000000"/>
              </w:rPr>
              <w:t>n</w:t>
            </w:r>
            <w:r w:rsidR="005E71E2" w:rsidRPr="00D60C1D">
              <w:rPr>
                <w:rStyle w:val="KonuBalChar"/>
                <w:rFonts w:eastAsia="Calibri"/>
                <w:b w:val="0"/>
                <w:color w:val="000000"/>
                <w:lang w:val="tr-TR"/>
              </w:rPr>
              <w:t>cü</w:t>
            </w:r>
            <w:r w:rsidR="00C13673" w:rsidRPr="00A23740">
              <w:t xml:space="preserve"> madde</w:t>
            </w:r>
            <w:r w:rsidR="00DF3FF8" w:rsidRPr="00A23740">
              <w:t>sin</w:t>
            </w:r>
            <w:r w:rsidR="00C13673" w:rsidRPr="00A23740">
              <w:t>de belirtilen bildirim yükümlülüğü</w:t>
            </w:r>
            <w:r w:rsidRPr="00A23740">
              <w:t>nün</w:t>
            </w:r>
            <w:r w:rsidR="00C13673" w:rsidRPr="00A23740">
              <w:t xml:space="preserve"> ve sonuçları</w:t>
            </w:r>
            <w:r w:rsidRPr="00A23740">
              <w:t>nın</w:t>
            </w:r>
            <w:r w:rsidR="00C13673" w:rsidRPr="00A23740">
              <w:t xml:space="preserve"> bir ihtar olarak yer al</w:t>
            </w:r>
            <w:r w:rsidRPr="00A23740">
              <w:t>acağı</w:t>
            </w:r>
            <w:r w:rsidR="00C13673" w:rsidRPr="00A23740">
              <w:t xml:space="preserve"> ve</w:t>
            </w:r>
            <w:r w:rsidR="009716FF" w:rsidRPr="00A23740">
              <w:t xml:space="preserve"> belgenin</w:t>
            </w:r>
            <w:r w:rsidR="00C13673" w:rsidRPr="00A23740">
              <w:t xml:space="preserve"> bir sureti</w:t>
            </w:r>
            <w:r w:rsidRPr="00A23740">
              <w:t>nin</w:t>
            </w:r>
            <w:r w:rsidR="00C13673" w:rsidRPr="00A23740">
              <w:t xml:space="preserve"> takibin taraflarına resen tebliğ edil</w:t>
            </w:r>
            <w:r w:rsidRPr="00A23740">
              <w:t xml:space="preserve">eceği </w:t>
            </w:r>
            <w:r w:rsidR="009716FF" w:rsidRPr="00A23740">
              <w:t>hükme bağlanmaktadır</w:t>
            </w:r>
            <w:r w:rsidR="00C13673" w:rsidRPr="00A23740">
              <w:t>.</w:t>
            </w:r>
            <w:r w:rsidRPr="00A23740">
              <w:t xml:space="preserve"> 2004 sayılı Kanunda aciz belgesinin alacaklı ile borçluya verileceği belirtilmişken</w:t>
            </w:r>
            <w:r w:rsidR="00A02560" w:rsidRPr="00A23740">
              <w:t>,</w:t>
            </w:r>
            <w:r w:rsidRPr="00A23740">
              <w:t xml:space="preserve"> aciz belgesinin hukuki sonuçlarının borçluya ihtar edilmesi amacıyla hükümde ihtarat ve tebligata ilişkin hususlara ayrıntılı olarak yer verilmektedir.</w:t>
            </w:r>
          </w:p>
          <w:p w:rsidR="00FA664D" w:rsidRPr="00A23740" w:rsidRDefault="00FA664D" w:rsidP="009431FF">
            <w:pPr>
              <w:tabs>
                <w:tab w:val="left" w:pos="567"/>
              </w:tabs>
              <w:ind w:firstLine="709"/>
            </w:pPr>
            <w:r w:rsidRPr="00A23740">
              <w:t>Taslağın</w:t>
            </w:r>
            <w:r w:rsidR="001E47DD" w:rsidRPr="00A23740">
              <w:t xml:space="preserve"> </w:t>
            </w:r>
            <w:r w:rsidR="001E47DD" w:rsidRPr="00D60C1D">
              <w:rPr>
                <w:rStyle w:val="KonuBalChar"/>
                <w:rFonts w:eastAsia="Calibri"/>
                <w:b w:val="0"/>
                <w:color w:val="000000"/>
              </w:rPr>
              <w:t>262 nci</w:t>
            </w:r>
            <w:r w:rsidRPr="00A23740">
              <w:t xml:space="preserve"> maddesinde, 2004 sayılı </w:t>
            </w:r>
            <w:r w:rsidR="00516E05" w:rsidRPr="00A23740">
              <w:t>K</w:t>
            </w:r>
            <w:r w:rsidRPr="00A23740">
              <w:t xml:space="preserve">anundakinden farklı olarak </w:t>
            </w:r>
            <w:r w:rsidR="00D877B1" w:rsidRPr="00A23740">
              <w:t xml:space="preserve">Taslakta </w:t>
            </w:r>
            <w:r w:rsidRPr="00A23740">
              <w:t xml:space="preserve">tamamlayıcı haciz kavramına yer verilmemiş olması nedeniyle icra ve iflas dairesinin  kesin aciz </w:t>
            </w:r>
            <w:r w:rsidR="00D877B1" w:rsidRPr="00A23740">
              <w:t xml:space="preserve">belgesini </w:t>
            </w:r>
            <w:r w:rsidRPr="00A23740">
              <w:t>düzenlemek görevini</w:t>
            </w:r>
            <w:r w:rsidR="00000B6C" w:rsidRPr="00A23740">
              <w:t>n</w:t>
            </w:r>
            <w:r w:rsidRPr="00A23740">
              <w:t xml:space="preserve"> ne zaman ortaya çıkacağı </w:t>
            </w:r>
            <w:r w:rsidR="00D877B1" w:rsidRPr="00A23740">
              <w:t>tartışmalara yol açmıştır</w:t>
            </w:r>
            <w:r w:rsidRPr="00A23740">
              <w:t>. Çünkü alacağın</w:t>
            </w:r>
            <w:r w:rsidR="00D877B1" w:rsidRPr="00A23740">
              <w:t>ı</w:t>
            </w:r>
            <w:r w:rsidRPr="00A23740">
              <w:t xml:space="preserve"> tamamını alamayan alacaklının açık kalan kısım için yeniden haciz talebinde bulunup bulunmayacağı icra ve iflas dairesi için cevabı bilinen bir soru değildir. Ortaya çıkan bu farklılık dolayısıyla </w:t>
            </w:r>
            <w:r w:rsidR="00D877B1" w:rsidRPr="00A23740">
              <w:t>T</w:t>
            </w:r>
            <w:r w:rsidR="0016377F">
              <w:t>a</w:t>
            </w:r>
            <w:r w:rsidR="00D877B1" w:rsidRPr="00A23740">
              <w:t xml:space="preserve">slak </w:t>
            </w:r>
            <w:r w:rsidRPr="00A23740">
              <w:t xml:space="preserve">sisteminde tamamlayıcı haciz kavramıyla birlikte aciz vesikasının resen düzenlenmesi hakkındaki kuralın da terkedilmesi gerekmiştir. Buna göre aciz </w:t>
            </w:r>
            <w:r w:rsidR="00D877B1" w:rsidRPr="00A23740">
              <w:t xml:space="preserve">belgesi </w:t>
            </w:r>
            <w:r w:rsidRPr="00A23740">
              <w:t>alacaklının talebi üzerine düzenlenecektir.</w:t>
            </w:r>
          </w:p>
          <w:p w:rsidR="00FA664D" w:rsidRPr="00A23740" w:rsidRDefault="00FA664D" w:rsidP="0016377F">
            <w:pPr>
              <w:tabs>
                <w:tab w:val="left" w:pos="567"/>
              </w:tabs>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 xml:space="preserve">Borç </w:t>
            </w:r>
            <w:r w:rsidRPr="00A23740">
              <w:rPr>
                <w:rStyle w:val="KIRMIZIChar"/>
                <w:rFonts w:eastAsia="Calibri"/>
              </w:rPr>
              <w:t>ödemeden aciz vesikası:</w:t>
            </w:r>
          </w:p>
          <w:p w:rsidR="00AA5C8C" w:rsidRPr="00A23740" w:rsidRDefault="00AA5C8C" w:rsidP="009431FF">
            <w:pPr>
              <w:tabs>
                <w:tab w:val="left" w:pos="567"/>
              </w:tabs>
              <w:rPr>
                <w:rFonts w:eastAsia="Times New Roman"/>
                <w:strike/>
                <w:color w:val="FF0000"/>
                <w:szCs w:val="24"/>
                <w:lang w:eastAsia="tr-TR"/>
              </w:rPr>
            </w:pPr>
            <w:r w:rsidRPr="00A23740">
              <w:rPr>
                <w:rStyle w:val="KIRMIZIChar"/>
                <w:rFonts w:eastAsia="Calibri"/>
              </w:rPr>
              <w:t>Madde 143 – (1</w:t>
            </w:r>
            <w:r w:rsidRPr="00A23740">
              <w:rPr>
                <w:rFonts w:eastAsia="Times New Roman"/>
                <w:b/>
                <w:strike/>
                <w:color w:val="FF0000"/>
                <w:szCs w:val="24"/>
                <w:lang w:eastAsia="tr-TR"/>
              </w:rPr>
              <w:t>) (Değişik: 3/7/1940 - 3890/1 md.)</w:t>
            </w:r>
          </w:p>
          <w:p w:rsidR="00AA5C8C" w:rsidRPr="00A23740" w:rsidRDefault="00AA5C8C" w:rsidP="009431FF">
            <w:pPr>
              <w:tabs>
                <w:tab w:val="left" w:pos="567"/>
              </w:tabs>
              <w:outlineLvl w:val="0"/>
              <w:rPr>
                <w:rFonts w:eastAsia="Times New Roman"/>
                <w:b/>
                <w:szCs w:val="24"/>
                <w:lang w:eastAsia="tr-TR"/>
              </w:rPr>
            </w:pPr>
            <w:r w:rsidRPr="00A23740">
              <w:rPr>
                <w:rFonts w:eastAsia="Times New Roman"/>
                <w:b/>
                <w:strike/>
                <w:color w:val="FF0000"/>
                <w:szCs w:val="24"/>
                <w:lang w:eastAsia="tr-TR"/>
              </w:rPr>
              <w:t>(Değişik birinci fıkra: 17/7/2003-4949/40 md.)</w:t>
            </w:r>
            <w:r w:rsidRPr="00A23740">
              <w:rPr>
                <w:rFonts w:eastAsia="Times New Roman"/>
                <w:szCs w:val="24"/>
                <w:lang w:eastAsia="tr-TR"/>
              </w:rPr>
              <w:t xml:space="preserve"> </w:t>
            </w:r>
            <w:r w:rsidRPr="00A23740">
              <w:rPr>
                <w:rStyle w:val="KIRMIZIChar"/>
                <w:rFonts w:eastAsia="Calibri"/>
              </w:rPr>
              <w:t xml:space="preserve">Alacaklı alacağının tamamını alamamış ve aciz vesikası düzenlenmesi için gerekli şartlar yerine gelmişse, icra dairesi </w:t>
            </w:r>
            <w:r w:rsidRPr="00A23740">
              <w:rPr>
                <w:rStyle w:val="KIRMIZIChar"/>
                <w:rFonts w:eastAsia="Calibri"/>
                <w:lang w:eastAsia="tr-TR"/>
              </w:rPr>
              <w:t>kalan</w:t>
            </w:r>
            <w:r w:rsidRPr="00A23740">
              <w:rPr>
                <w:rStyle w:val="KIRMIZIChar"/>
                <w:rFonts w:eastAsia="Calibri"/>
              </w:rPr>
              <w:t xml:space="preserve"> miktar için hemen bir </w:t>
            </w:r>
            <w:r w:rsidRPr="00A23740">
              <w:rPr>
                <w:rStyle w:val="KIRMIZIChar"/>
                <w:rFonts w:eastAsia="Calibri"/>
                <w:lang w:eastAsia="tr-TR"/>
              </w:rPr>
              <w:t>aciz</w:t>
            </w:r>
            <w:r w:rsidRPr="00A23740">
              <w:rPr>
                <w:rStyle w:val="KIRMIZIChar"/>
                <w:rFonts w:eastAsia="Calibri"/>
              </w:rPr>
              <w:t xml:space="preserve"> vesikası </w:t>
            </w:r>
            <w:r w:rsidRPr="00A23740">
              <w:rPr>
                <w:rStyle w:val="KIRMIZIChar"/>
                <w:rFonts w:eastAsia="Calibri"/>
                <w:lang w:eastAsia="tr-TR"/>
              </w:rPr>
              <w:t>düzenle</w:t>
            </w:r>
            <w:r w:rsidRPr="00A23740">
              <w:rPr>
                <w:rStyle w:val="KIRMIZIChar"/>
                <w:rFonts w:eastAsia="Calibri"/>
              </w:rPr>
              <w:t xml:space="preserve">yip alacaklıya ve bir suretini de borçluya verir; bu </w:t>
            </w:r>
            <w:r w:rsidRPr="00A23740">
              <w:rPr>
                <w:rStyle w:val="KIRMIZIChar"/>
                <w:rFonts w:eastAsia="Calibri"/>
                <w:lang w:eastAsia="tr-TR"/>
              </w:rPr>
              <w:t>belge</w:t>
            </w:r>
            <w:r w:rsidRPr="00A23740">
              <w:rPr>
                <w:rStyle w:val="KIRMIZIChar"/>
                <w:rFonts w:eastAsia="Calibri"/>
              </w:rPr>
              <w:t>ler hiçbir harç ve vergiye tâbi değildir.</w:t>
            </w:r>
            <w:r w:rsidRPr="00A23740">
              <w:rPr>
                <w:rStyle w:val="KIRMIZIChar"/>
                <w:rFonts w:eastAsia="Calibri"/>
                <w:strike w:val="0"/>
              </w:rPr>
              <w:t xml:space="preserve"> </w:t>
            </w:r>
            <w:r w:rsidRPr="00A23740">
              <w:rPr>
                <w:rFonts w:eastAsia="Times New Roman"/>
                <w:szCs w:val="24"/>
                <w:lang w:eastAsia="tr-TR"/>
              </w:rPr>
              <w:t xml:space="preserve">Aciz </w:t>
            </w:r>
            <w:r w:rsidRPr="00A23740">
              <w:rPr>
                <w:rStyle w:val="KIRMIZIChar"/>
                <w:rFonts w:eastAsia="Calibri"/>
              </w:rPr>
              <w:t>vesikasının</w:t>
            </w:r>
            <w:r w:rsidRPr="00A23740">
              <w:rPr>
                <w:rFonts w:eastAsia="Times New Roman"/>
                <w:szCs w:val="24"/>
                <w:lang w:eastAsia="tr-TR"/>
              </w:rPr>
              <w:t xml:space="preserve"> bir nüshası </w:t>
            </w:r>
            <w:r w:rsidRPr="00A23740">
              <w:rPr>
                <w:rStyle w:val="KIRMIZIChar"/>
                <w:rFonts w:eastAsia="Calibri"/>
              </w:rPr>
              <w:t>da</w:t>
            </w:r>
            <w:r w:rsidRPr="00A23740">
              <w:rPr>
                <w:rFonts w:eastAsia="Times New Roman"/>
                <w:szCs w:val="24"/>
                <w:lang w:eastAsia="tr-TR"/>
              </w:rPr>
              <w:t xml:space="preserve"> her il merkezinde Adalet Bakanlığınca tespit edilen icra dairesi tarafından tutulan özel sicile kaydedilmek üzere bu icra dairesine gönderilir. Aciz </w:t>
            </w:r>
            <w:r w:rsidRPr="00A23740">
              <w:rPr>
                <w:rStyle w:val="KIRMIZIChar"/>
                <w:rFonts w:eastAsia="Calibri"/>
              </w:rPr>
              <w:t>vesikası</w:t>
            </w:r>
            <w:r w:rsidRPr="00A23740">
              <w:rPr>
                <w:rFonts w:eastAsia="Times New Roman"/>
                <w:szCs w:val="24"/>
                <w:lang w:eastAsia="tr-TR"/>
              </w:rPr>
              <w:t xml:space="preserve"> sicili aleni olup ne şekilde tutulacağı ve hangi hususları içereceği </w:t>
            </w:r>
            <w:r w:rsidRPr="00A23740">
              <w:rPr>
                <w:rStyle w:val="KIRMIZIChar"/>
                <w:rFonts w:eastAsia="Calibri"/>
              </w:rPr>
              <w:t>Adalet</w:t>
            </w:r>
            <w:r w:rsidRPr="00A23740">
              <w:rPr>
                <w:rFonts w:eastAsia="Times New Roman"/>
                <w:szCs w:val="24"/>
                <w:lang w:eastAsia="tr-TR"/>
              </w:rPr>
              <w:t xml:space="preserve"> </w:t>
            </w:r>
            <w:r w:rsidRPr="00A23740">
              <w:rPr>
                <w:rStyle w:val="KIRMIZIChar"/>
                <w:rFonts w:eastAsia="Calibri"/>
              </w:rPr>
              <w:t>Bakanlığı</w:t>
            </w:r>
            <w:r w:rsidRPr="00A23740">
              <w:rPr>
                <w:rFonts w:eastAsia="Times New Roman"/>
                <w:szCs w:val="24"/>
                <w:lang w:eastAsia="tr-TR"/>
              </w:rPr>
              <w:t xml:space="preserve"> </w:t>
            </w:r>
            <w:r w:rsidRPr="00A23740">
              <w:rPr>
                <w:rStyle w:val="KIRMIZIChar"/>
                <w:rFonts w:eastAsia="Calibri"/>
              </w:rPr>
              <w:t>tarafından</w:t>
            </w:r>
            <w:r w:rsidRPr="00A23740">
              <w:rPr>
                <w:rFonts w:eastAsia="Times New Roman"/>
                <w:szCs w:val="24"/>
                <w:lang w:eastAsia="tr-TR"/>
              </w:rPr>
              <w:t xml:space="preserve"> </w:t>
            </w:r>
            <w:r w:rsidRPr="00A23740">
              <w:rPr>
                <w:rStyle w:val="KIRMIZIChar"/>
                <w:rFonts w:eastAsia="Calibri"/>
              </w:rPr>
              <w:t>hazırlanan</w:t>
            </w:r>
            <w:r w:rsidRPr="00A23740">
              <w:rPr>
                <w:rFonts w:eastAsia="Times New Roman"/>
                <w:szCs w:val="24"/>
                <w:lang w:eastAsia="tr-TR"/>
              </w:rPr>
              <w:t xml:space="preserve"> yönetmelikle belirlenir.</w:t>
            </w:r>
            <w:r w:rsidRPr="00A23740">
              <w:rPr>
                <w:rFonts w:eastAsia="Times New Roman"/>
                <w:b/>
                <w:szCs w:val="24"/>
                <w:lang w:eastAsia="tr-TR"/>
              </w:rPr>
              <w:t xml:space="preserve"> </w:t>
            </w:r>
          </w:p>
          <w:p w:rsidR="001A031C" w:rsidRPr="00A23740" w:rsidRDefault="001A031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b/>
                <w:strike/>
                <w:color w:val="FF0000"/>
                <w:szCs w:val="24"/>
                <w:lang w:eastAsia="tr-TR"/>
              </w:rPr>
              <w:t>(7) (Ek fıkra: 17/7/2003-4949/40 md.)</w:t>
            </w:r>
            <w:r w:rsidRPr="00A23740">
              <w:rPr>
                <w:rFonts w:eastAsia="Times New Roman"/>
                <w:b/>
                <w:szCs w:val="24"/>
                <w:lang w:eastAsia="tr-TR"/>
              </w:rPr>
              <w:t xml:space="preserve"> </w:t>
            </w:r>
            <w:r w:rsidRPr="00A23740">
              <w:rPr>
                <w:rFonts w:eastAsia="Times New Roman"/>
                <w:szCs w:val="24"/>
                <w:lang w:eastAsia="tr-TR"/>
              </w:rPr>
              <w:t xml:space="preserve">Borçlu, aciz </w:t>
            </w:r>
            <w:r w:rsidRPr="00A23740">
              <w:rPr>
                <w:rStyle w:val="KIRMIZIChar"/>
                <w:rFonts w:eastAsia="Calibri"/>
              </w:rPr>
              <w:t>vesikasını</w:t>
            </w:r>
            <w:r w:rsidRPr="00A23740">
              <w:rPr>
                <w:rFonts w:eastAsia="Times New Roman"/>
                <w:szCs w:val="24"/>
                <w:lang w:eastAsia="tr-TR"/>
              </w:rPr>
              <w:t xml:space="preserve"> düzenle</w:t>
            </w:r>
            <w:r w:rsidRPr="00A23740">
              <w:rPr>
                <w:rStyle w:val="KIRMIZIChar"/>
                <w:rFonts w:eastAsia="Calibri"/>
              </w:rPr>
              <w:t>miş olan</w:t>
            </w:r>
            <w:r w:rsidRPr="00A23740">
              <w:rPr>
                <w:rFonts w:eastAsia="Times New Roman"/>
                <w:szCs w:val="24"/>
                <w:lang w:eastAsia="tr-TR"/>
              </w:rPr>
              <w:t xml:space="preserve"> icra dairesine borcunu işlemiş faizleriyle birlikte her zaman ödeyebilir. İcra dairesi ödenen parayı alacaklıya verir veya gerektiğinde 9 uncu madde hükümleri dahilinde bir bankaya yatırır. Borcun bu şekilde tamamının ödenmesinden sonra aciz </w:t>
            </w:r>
            <w:r w:rsidRPr="00A23740">
              <w:rPr>
                <w:rStyle w:val="KIRMIZIChar"/>
                <w:rFonts w:eastAsia="Calibri"/>
              </w:rPr>
              <w:t>vesikası</w:t>
            </w:r>
            <w:r w:rsidRPr="00A23740">
              <w:rPr>
                <w:rFonts w:eastAsia="Times New Roman"/>
                <w:szCs w:val="24"/>
                <w:lang w:eastAsia="tr-TR"/>
              </w:rPr>
              <w:t xml:space="preserve"> sicilden terkin edilir ve borçluya borcunu ödeyerek aciz </w:t>
            </w:r>
            <w:r w:rsidRPr="00A23740">
              <w:rPr>
                <w:rStyle w:val="KIRMIZIChar"/>
                <w:rFonts w:eastAsia="Calibri"/>
              </w:rPr>
              <w:t>vesikasını</w:t>
            </w:r>
            <w:r w:rsidRPr="00A23740">
              <w:rPr>
                <w:rFonts w:eastAsia="Times New Roman"/>
                <w:szCs w:val="24"/>
                <w:lang w:eastAsia="tr-TR"/>
              </w:rPr>
              <w:t xml:space="preserve"> sicilden terkin ettirdiğine dair bir belge verilir. </w:t>
            </w:r>
            <w:r w:rsidRPr="00A23740">
              <w:rPr>
                <w:rStyle w:val="KIRMIZIChar"/>
                <w:rFonts w:eastAsia="Calibri"/>
              </w:rPr>
              <w:t>Aynı şekilde,</w:t>
            </w:r>
            <w:r w:rsidRPr="00A23740">
              <w:rPr>
                <w:rFonts w:eastAsia="Times New Roman"/>
                <w:szCs w:val="24"/>
                <w:lang w:eastAsia="tr-TR"/>
              </w:rPr>
              <w:t xml:space="preserve"> icra takibi </w:t>
            </w:r>
            <w:r w:rsidRPr="00A23740">
              <w:rPr>
                <w:rStyle w:val="KIRMIZIChar"/>
                <w:rFonts w:eastAsia="Calibri"/>
              </w:rPr>
              <w:t>batıl ise veya</w:t>
            </w:r>
            <w:r w:rsidRPr="00A23740">
              <w:rPr>
                <w:rFonts w:eastAsia="Times New Roman"/>
                <w:szCs w:val="24"/>
                <w:lang w:eastAsia="tr-TR"/>
              </w:rPr>
              <w:t xml:space="preserve"> iptal edilirse </w:t>
            </w:r>
            <w:r w:rsidRPr="00A23740">
              <w:rPr>
                <w:rStyle w:val="KIRMIZIChar"/>
                <w:rFonts w:eastAsia="Calibri"/>
              </w:rPr>
              <w:t>yahut</w:t>
            </w:r>
            <w:r w:rsidRPr="00A23740">
              <w:rPr>
                <w:rFonts w:eastAsia="Times New Roman"/>
                <w:szCs w:val="24"/>
                <w:lang w:eastAsia="tr-TR"/>
              </w:rPr>
              <w:t xml:space="preserve"> borçlunun borçlu olmadığı mahkeme kararıyla </w:t>
            </w:r>
            <w:r w:rsidRPr="00A23740">
              <w:rPr>
                <w:rStyle w:val="KIRMIZIChar"/>
                <w:rFonts w:eastAsia="Calibri"/>
              </w:rPr>
              <w:t>sabit olursa</w:t>
            </w:r>
            <w:r w:rsidRPr="00A23740">
              <w:rPr>
                <w:rFonts w:eastAsia="Times New Roman"/>
                <w:szCs w:val="24"/>
                <w:lang w:eastAsia="tr-TR"/>
              </w:rPr>
              <w:t xml:space="preserve"> ya da alacaklı icra takibin</w:t>
            </w:r>
            <w:r w:rsidRPr="00A23740">
              <w:rPr>
                <w:rStyle w:val="KIRMIZIChar"/>
                <w:rFonts w:eastAsia="Calibri"/>
              </w:rPr>
              <w:t>i</w:t>
            </w:r>
            <w:r w:rsidRPr="00A23740">
              <w:rPr>
                <w:rFonts w:eastAsia="Times New Roman"/>
                <w:szCs w:val="24"/>
                <w:lang w:eastAsia="tr-TR"/>
              </w:rPr>
              <w:t xml:space="preserve"> </w:t>
            </w:r>
            <w:r w:rsidRPr="00A23740">
              <w:rPr>
                <w:rStyle w:val="KIRMIZIChar"/>
                <w:rFonts w:eastAsia="Calibri"/>
              </w:rPr>
              <w:t>geri alırsa,</w:t>
            </w:r>
            <w:r w:rsidRPr="00A23740">
              <w:rPr>
                <w:rFonts w:eastAsia="Times New Roman"/>
                <w:szCs w:val="24"/>
                <w:lang w:eastAsia="tr-TR"/>
              </w:rPr>
              <w:t xml:space="preserve"> aciz </w:t>
            </w:r>
            <w:r w:rsidRPr="00A23740">
              <w:rPr>
                <w:rStyle w:val="KIRMIZIChar"/>
                <w:rFonts w:eastAsia="Calibri"/>
              </w:rPr>
              <w:t>vesikası</w:t>
            </w:r>
            <w:r w:rsidRPr="00A23740">
              <w:rPr>
                <w:rFonts w:eastAsia="Times New Roman"/>
                <w:szCs w:val="24"/>
                <w:lang w:eastAsia="tr-TR"/>
              </w:rPr>
              <w:t xml:space="preserve"> sicilden terkin edilir ve borçluya buna ilişkin bir belge verilir.</w:t>
            </w:r>
          </w:p>
          <w:p w:rsidR="00AA5C8C" w:rsidRPr="00A23740" w:rsidRDefault="00AA5C8C" w:rsidP="009431FF">
            <w:pPr>
              <w:tabs>
                <w:tab w:val="left" w:pos="567"/>
              </w:tabs>
              <w:rPr>
                <w:rFonts w:eastAsia="Times New Roman"/>
                <w:b/>
                <w:strike/>
                <w:color w:val="FF0000"/>
                <w:szCs w:val="24"/>
                <w:lang w:eastAsia="tr-TR"/>
              </w:rPr>
            </w:pPr>
          </w:p>
        </w:tc>
        <w:tc>
          <w:tcPr>
            <w:tcW w:w="2500" w:type="pct"/>
          </w:tcPr>
          <w:p w:rsidR="00AA5C8C" w:rsidRPr="00A23740" w:rsidRDefault="00AA5C8C" w:rsidP="009431FF">
            <w:pPr>
              <w:pStyle w:val="Mavi"/>
            </w:pPr>
          </w:p>
          <w:p w:rsidR="00AA5C8C" w:rsidRPr="00A23740" w:rsidRDefault="00AA5C8C" w:rsidP="009431FF">
            <w:pPr>
              <w:pStyle w:val="Mavi"/>
            </w:pPr>
          </w:p>
          <w:p w:rsidR="00AA5C8C" w:rsidRPr="00A23740" w:rsidRDefault="00AA5C8C" w:rsidP="009431FF">
            <w:pPr>
              <w:pStyle w:val="Mavi"/>
            </w:pPr>
          </w:p>
          <w:p w:rsidR="00AA5C8C" w:rsidRPr="00A23740" w:rsidRDefault="00AA5C8C" w:rsidP="009431FF">
            <w:pPr>
              <w:pStyle w:val="Mavi"/>
            </w:pPr>
          </w:p>
          <w:p w:rsidR="00AA5C8C" w:rsidRPr="00A23740" w:rsidRDefault="00F26C8C" w:rsidP="009431FF">
            <w:pPr>
              <w:pStyle w:val="Mavi"/>
            </w:pPr>
            <w:r w:rsidRPr="00A23740">
              <w:rPr>
                <w:lang w:val="tr-TR"/>
              </w:rPr>
              <w:t xml:space="preserve">Kesin </w:t>
            </w:r>
            <w:r w:rsidRPr="00A23740">
              <w:t xml:space="preserve">aciz </w:t>
            </w:r>
            <w:r w:rsidR="00AA5C8C" w:rsidRPr="00A23740">
              <w:t>belgesi sicili</w:t>
            </w:r>
          </w:p>
          <w:p w:rsidR="00AA5C8C" w:rsidRPr="00A23740" w:rsidRDefault="00FA664D" w:rsidP="009431FF">
            <w:pPr>
              <w:tabs>
                <w:tab w:val="left" w:pos="567"/>
              </w:tabs>
              <w:rPr>
                <w:rFonts w:eastAsia="Times New Roman"/>
                <w:szCs w:val="24"/>
                <w:lang w:eastAsia="tr-TR"/>
              </w:rPr>
            </w:pPr>
            <w:r w:rsidRPr="00A23740">
              <w:rPr>
                <w:rStyle w:val="MaviChar"/>
              </w:rPr>
              <w:t>MADDE 2</w:t>
            </w:r>
            <w:r w:rsidR="00490C3E" w:rsidRPr="00A23740">
              <w:rPr>
                <w:rStyle w:val="MaviChar"/>
                <w:lang w:val="tr-TR"/>
              </w:rPr>
              <w:t>63</w:t>
            </w:r>
            <w:r w:rsidR="00AA5C8C" w:rsidRPr="00A23740">
              <w:rPr>
                <w:rStyle w:val="MaviChar"/>
              </w:rPr>
              <w:t>-</w:t>
            </w:r>
            <w:r w:rsidR="00AA5C8C" w:rsidRPr="00A23740">
              <w:t xml:space="preserve"> </w:t>
            </w:r>
            <w:r w:rsidR="00AA5C8C" w:rsidRPr="00A23740">
              <w:rPr>
                <w:rStyle w:val="MaviChar"/>
              </w:rPr>
              <w:t>(1)</w:t>
            </w:r>
            <w:r w:rsidR="00AA5C8C" w:rsidRPr="00A23740">
              <w:rPr>
                <w:rFonts w:eastAsia="Times New Roman"/>
                <w:b/>
                <w:color w:val="0000FF"/>
                <w:szCs w:val="24"/>
                <w:lang w:eastAsia="tr-TR"/>
              </w:rPr>
              <w:t xml:space="preserve"> </w:t>
            </w:r>
            <w:r w:rsidR="00AA5C8C" w:rsidRPr="00A23740">
              <w:rPr>
                <w:rStyle w:val="MaviChar"/>
              </w:rPr>
              <w:t>Kesin</w:t>
            </w:r>
            <w:r w:rsidR="00AA5C8C" w:rsidRPr="00A23740">
              <w:rPr>
                <w:rFonts w:eastAsia="Times New Roman"/>
                <w:b/>
                <w:color w:val="0000FF"/>
                <w:szCs w:val="24"/>
                <w:lang w:eastAsia="tr-TR"/>
              </w:rPr>
              <w:t xml:space="preserve"> aciz </w:t>
            </w:r>
            <w:r w:rsidR="00AA5C8C" w:rsidRPr="00A23740">
              <w:rPr>
                <w:rStyle w:val="MaviChar"/>
              </w:rPr>
              <w:t>belgesinin</w:t>
            </w:r>
            <w:r w:rsidR="00AA5C8C" w:rsidRPr="00A23740">
              <w:rPr>
                <w:rFonts w:eastAsia="Times New Roman"/>
                <w:szCs w:val="24"/>
                <w:lang w:eastAsia="tr-TR"/>
              </w:rPr>
              <w:t xml:space="preserve"> bir nüshası</w:t>
            </w:r>
            <w:r w:rsidR="00AA5C8C" w:rsidRPr="00A23740">
              <w:rPr>
                <w:rStyle w:val="MaviChar"/>
              </w:rPr>
              <w:t>,</w:t>
            </w:r>
            <w:r w:rsidR="00AA5C8C" w:rsidRPr="00A23740">
              <w:rPr>
                <w:rFonts w:eastAsia="Times New Roman"/>
                <w:szCs w:val="24"/>
                <w:lang w:eastAsia="tr-TR"/>
              </w:rPr>
              <w:t xml:space="preserve"> her il merkezinde Adalet Bakanlığınca tespit edilen icra </w:t>
            </w:r>
            <w:r w:rsidR="00AA5C8C" w:rsidRPr="00A23740">
              <w:rPr>
                <w:rStyle w:val="MaviChar"/>
              </w:rPr>
              <w:t>ve iflas</w:t>
            </w:r>
            <w:r w:rsidR="00AA5C8C" w:rsidRPr="00A23740">
              <w:rPr>
                <w:rFonts w:eastAsia="Times New Roman"/>
                <w:szCs w:val="24"/>
                <w:lang w:eastAsia="tr-TR"/>
              </w:rPr>
              <w:t xml:space="preserve"> dairesi tarafından tutulan özel sicile kaydedilmek üzere bu icra </w:t>
            </w:r>
            <w:r w:rsidR="00AA5C8C" w:rsidRPr="00A23740">
              <w:rPr>
                <w:rStyle w:val="MaviChar"/>
              </w:rPr>
              <w:t>ve iflas</w:t>
            </w:r>
            <w:r w:rsidR="00AA5C8C" w:rsidRPr="00A23740">
              <w:rPr>
                <w:rFonts w:eastAsia="Times New Roman"/>
                <w:szCs w:val="24"/>
                <w:lang w:eastAsia="tr-TR"/>
              </w:rPr>
              <w:t xml:space="preserve"> dairesine gönderilir.</w:t>
            </w:r>
            <w:r w:rsidR="00F26C8C" w:rsidRPr="00A23740">
              <w:rPr>
                <w:rFonts w:eastAsia="Times New Roman"/>
                <w:szCs w:val="24"/>
                <w:lang w:eastAsia="tr-TR"/>
              </w:rPr>
              <w:t xml:space="preserve"> </w:t>
            </w:r>
            <w:r w:rsidR="00F26C8C" w:rsidRPr="00A23740">
              <w:rPr>
                <w:rFonts w:eastAsia="Times New Roman"/>
                <w:b/>
                <w:color w:val="0000FF"/>
                <w:szCs w:val="24"/>
                <w:lang w:eastAsia="tr-TR"/>
              </w:rPr>
              <w:t>Kesin</w:t>
            </w:r>
            <w:r w:rsidR="00AA5C8C" w:rsidRPr="00A23740">
              <w:rPr>
                <w:rFonts w:eastAsia="Times New Roman"/>
                <w:szCs w:val="24"/>
                <w:lang w:eastAsia="tr-TR"/>
              </w:rPr>
              <w:t xml:space="preserve"> </w:t>
            </w:r>
            <w:r w:rsidR="00F26C8C" w:rsidRPr="00A23740">
              <w:rPr>
                <w:rFonts w:eastAsia="Times New Roman"/>
                <w:szCs w:val="24"/>
                <w:lang w:eastAsia="tr-TR"/>
              </w:rPr>
              <w:t xml:space="preserve">aciz </w:t>
            </w:r>
            <w:r w:rsidR="00AA5C8C" w:rsidRPr="00A23740">
              <w:rPr>
                <w:rFonts w:eastAsia="Times New Roman"/>
                <w:b/>
                <w:color w:val="0000FF"/>
                <w:szCs w:val="24"/>
                <w:lang w:eastAsia="tr-TR"/>
              </w:rPr>
              <w:t>belgesi</w:t>
            </w:r>
            <w:r w:rsidR="00AA5C8C" w:rsidRPr="00A23740">
              <w:rPr>
                <w:rFonts w:eastAsia="Times New Roman"/>
                <w:szCs w:val="24"/>
                <w:lang w:eastAsia="tr-TR"/>
              </w:rPr>
              <w:t xml:space="preserve"> sicili aleni olup </w:t>
            </w:r>
            <w:r w:rsidR="00AA5C8C" w:rsidRPr="00A23740">
              <w:rPr>
                <w:rStyle w:val="MaviChar"/>
              </w:rPr>
              <w:t>bu sicilin</w:t>
            </w:r>
            <w:r w:rsidR="00AA5C8C" w:rsidRPr="00A23740">
              <w:rPr>
                <w:rFonts w:eastAsia="Times New Roman"/>
                <w:szCs w:val="24"/>
                <w:lang w:eastAsia="tr-TR"/>
              </w:rPr>
              <w:t xml:space="preserve"> ne şekilde tutulacağı ve hangi hususları içereceği</w:t>
            </w:r>
            <w:r w:rsidR="00D80377" w:rsidRPr="00A23740">
              <w:rPr>
                <w:rFonts w:eastAsia="Times New Roman"/>
                <w:szCs w:val="24"/>
                <w:lang w:eastAsia="tr-TR"/>
              </w:rPr>
              <w:t xml:space="preserve"> </w:t>
            </w:r>
            <w:r w:rsidR="00D80377" w:rsidRPr="005C6390">
              <w:rPr>
                <w:rStyle w:val="MaviChar"/>
              </w:rPr>
              <w:t>Adalet Bakanlığı tarafından</w:t>
            </w:r>
            <w:r w:rsidR="00CE41DD" w:rsidRPr="00A23740">
              <w:rPr>
                <w:rFonts w:eastAsia="Times New Roman"/>
                <w:szCs w:val="24"/>
                <w:lang w:eastAsia="tr-TR"/>
              </w:rPr>
              <w:t xml:space="preserve"> </w:t>
            </w:r>
            <w:r w:rsidR="00CE41DD" w:rsidRPr="00A23740">
              <w:rPr>
                <w:rFonts w:eastAsia="Times New Roman"/>
                <w:b/>
                <w:color w:val="0000FF"/>
                <w:szCs w:val="24"/>
                <w:lang w:eastAsia="tr-TR"/>
              </w:rPr>
              <w:t>çıkarılacak</w:t>
            </w:r>
            <w:r w:rsidR="00AA5C8C" w:rsidRPr="00A23740">
              <w:rPr>
                <w:rFonts w:eastAsia="Times New Roman"/>
                <w:szCs w:val="24"/>
                <w:lang w:eastAsia="tr-TR"/>
              </w:rPr>
              <w:t xml:space="preserve"> yönetmelikle </w:t>
            </w:r>
            <w:r w:rsidR="004221F2" w:rsidRPr="00A23740">
              <w:rPr>
                <w:rFonts w:eastAsia="Times New Roman"/>
                <w:szCs w:val="24"/>
                <w:lang w:eastAsia="tr-TR"/>
              </w:rPr>
              <w:t>belirlenir</w:t>
            </w:r>
            <w:r w:rsidR="00AA5C8C" w:rsidRPr="00A23740">
              <w:rPr>
                <w:rFonts w:eastAsia="Times New Roman"/>
                <w:szCs w:val="24"/>
                <w:lang w:eastAsia="tr-TR"/>
              </w:rPr>
              <w:t>.</w:t>
            </w:r>
          </w:p>
          <w:p w:rsidR="00AA5C8C" w:rsidRPr="00A23740" w:rsidRDefault="00AA5C8C" w:rsidP="009431FF">
            <w:pPr>
              <w:tabs>
                <w:tab w:val="left" w:pos="567"/>
              </w:tabs>
              <w:rPr>
                <w:rFonts w:eastAsia="Times New Roman"/>
                <w:szCs w:val="24"/>
                <w:lang w:eastAsia="tr-TR"/>
              </w:rPr>
            </w:pPr>
          </w:p>
          <w:p w:rsidR="004221F2" w:rsidRPr="00A23740" w:rsidRDefault="004221F2" w:rsidP="009431FF">
            <w:pPr>
              <w:tabs>
                <w:tab w:val="left" w:pos="567"/>
              </w:tabs>
              <w:rPr>
                <w:rStyle w:val="MaviChar"/>
              </w:rPr>
            </w:pPr>
          </w:p>
          <w:p w:rsidR="00AA5C8C" w:rsidRPr="00A23740" w:rsidRDefault="00AA5C8C" w:rsidP="009431FF">
            <w:pPr>
              <w:tabs>
                <w:tab w:val="left" w:pos="567"/>
              </w:tabs>
              <w:rPr>
                <w:rFonts w:eastAsia="Times New Roman"/>
                <w:szCs w:val="24"/>
                <w:lang w:eastAsia="tr-TR"/>
              </w:rPr>
            </w:pPr>
            <w:r w:rsidRPr="00A23740">
              <w:rPr>
                <w:rStyle w:val="MaviChar"/>
              </w:rPr>
              <w:t>(2)</w:t>
            </w:r>
            <w:r w:rsidRPr="00A23740">
              <w:rPr>
                <w:rFonts w:eastAsia="Times New Roman"/>
                <w:b/>
                <w:szCs w:val="24"/>
                <w:lang w:eastAsia="tr-TR"/>
              </w:rPr>
              <w:t xml:space="preserve"> </w:t>
            </w:r>
            <w:r w:rsidRPr="00A23740">
              <w:rPr>
                <w:rFonts w:eastAsia="Times New Roman"/>
                <w:szCs w:val="24"/>
                <w:lang w:eastAsia="tr-TR"/>
              </w:rPr>
              <w:t>Borçlu,</w:t>
            </w:r>
            <w:r w:rsidR="00D80377" w:rsidRPr="00A23740">
              <w:rPr>
                <w:rFonts w:eastAsia="Times New Roman"/>
                <w:szCs w:val="24"/>
                <w:lang w:eastAsia="tr-TR"/>
              </w:rPr>
              <w:t xml:space="preserve"> </w:t>
            </w:r>
            <w:r w:rsidR="00D80377" w:rsidRPr="005C6390">
              <w:rPr>
                <w:rStyle w:val="MaviChar"/>
              </w:rPr>
              <w:t>borcunu,</w:t>
            </w:r>
            <w:r w:rsidR="00F26C8C" w:rsidRPr="00A23740">
              <w:rPr>
                <w:rFonts w:eastAsia="Times New Roman"/>
                <w:szCs w:val="24"/>
                <w:lang w:eastAsia="tr-TR"/>
              </w:rPr>
              <w:t xml:space="preserve"> </w:t>
            </w:r>
            <w:r w:rsidR="00F26C8C" w:rsidRPr="00A23740">
              <w:rPr>
                <w:rFonts w:eastAsia="Times New Roman"/>
                <w:b/>
                <w:color w:val="0000FF"/>
                <w:szCs w:val="24"/>
                <w:lang w:eastAsia="tr-TR"/>
              </w:rPr>
              <w:t>kesin</w:t>
            </w:r>
            <w:r w:rsidRPr="00A23740">
              <w:rPr>
                <w:rFonts w:eastAsia="Times New Roman"/>
                <w:szCs w:val="24"/>
                <w:lang w:eastAsia="tr-TR"/>
              </w:rPr>
              <w:t xml:space="preserve"> aciz </w:t>
            </w:r>
            <w:r w:rsidRPr="00A23740">
              <w:rPr>
                <w:rFonts w:eastAsia="Times New Roman"/>
                <w:b/>
                <w:color w:val="0000FF"/>
                <w:szCs w:val="24"/>
                <w:lang w:eastAsia="tr-TR"/>
              </w:rPr>
              <w:t xml:space="preserve">belgesini </w:t>
            </w:r>
            <w:r w:rsidRPr="00A23740">
              <w:rPr>
                <w:rFonts w:eastAsia="Times New Roman"/>
                <w:szCs w:val="24"/>
                <w:lang w:eastAsia="tr-TR"/>
              </w:rPr>
              <w:t>düzenle</w:t>
            </w:r>
            <w:r w:rsidRPr="00A23740">
              <w:rPr>
                <w:rFonts w:eastAsia="Times New Roman"/>
                <w:b/>
                <w:color w:val="0000FF"/>
                <w:szCs w:val="24"/>
                <w:lang w:eastAsia="tr-TR"/>
              </w:rPr>
              <w:t>yen</w:t>
            </w:r>
            <w:r w:rsidRPr="00A23740">
              <w:rPr>
                <w:rFonts w:eastAsia="Times New Roman"/>
                <w:szCs w:val="24"/>
                <w:lang w:eastAsia="tr-TR"/>
              </w:rPr>
              <w:t xml:space="preserve"> icra </w:t>
            </w:r>
            <w:r w:rsidRPr="00A23740">
              <w:rPr>
                <w:rStyle w:val="MaviChar"/>
              </w:rPr>
              <w:t>ve iflas</w:t>
            </w:r>
            <w:r w:rsidRPr="00A23740">
              <w:rPr>
                <w:rFonts w:eastAsia="Times New Roman"/>
                <w:szCs w:val="24"/>
                <w:lang w:eastAsia="tr-TR"/>
              </w:rPr>
              <w:t xml:space="preserve"> </w:t>
            </w:r>
            <w:r w:rsidR="00D80377" w:rsidRPr="005C6390">
              <w:rPr>
                <w:rStyle w:val="MaviChar"/>
              </w:rPr>
              <w:t>dairesinin banka hesabına</w:t>
            </w:r>
            <w:r w:rsidRPr="00A23740">
              <w:rPr>
                <w:rFonts w:eastAsia="Times New Roman"/>
                <w:szCs w:val="24"/>
                <w:lang w:eastAsia="tr-TR"/>
              </w:rPr>
              <w:t xml:space="preserve"> işlemiş faizleriyle birlikte her zaman ödeyebilir. İcra </w:t>
            </w:r>
            <w:r w:rsidRPr="00A23740">
              <w:rPr>
                <w:rStyle w:val="MaviChar"/>
              </w:rPr>
              <w:t>ve iflas</w:t>
            </w:r>
            <w:r w:rsidRPr="00A23740">
              <w:rPr>
                <w:rFonts w:eastAsia="Times New Roman"/>
                <w:szCs w:val="24"/>
                <w:lang w:eastAsia="tr-TR"/>
              </w:rPr>
              <w:t xml:space="preserve"> dairesi ödenen parayı </w:t>
            </w:r>
            <w:r w:rsidR="00D80377" w:rsidRPr="005C6390">
              <w:rPr>
                <w:rStyle w:val="MaviChar"/>
              </w:rPr>
              <w:t>alacaklının banka hesabına aktarır.</w:t>
            </w:r>
            <w:r w:rsidRPr="00A23740">
              <w:rPr>
                <w:rFonts w:eastAsia="Times New Roman"/>
                <w:szCs w:val="24"/>
                <w:lang w:eastAsia="tr-TR"/>
              </w:rPr>
              <w:t xml:space="preserve"> Borcun bu şekilde tamamının ödenmesinden sonra</w:t>
            </w:r>
            <w:r w:rsidR="00F26C8C" w:rsidRPr="00A23740">
              <w:rPr>
                <w:rFonts w:eastAsia="Times New Roman"/>
                <w:szCs w:val="24"/>
                <w:lang w:eastAsia="tr-TR"/>
              </w:rPr>
              <w:t xml:space="preserve"> </w:t>
            </w:r>
            <w:r w:rsidR="00F26C8C" w:rsidRPr="00A23740">
              <w:rPr>
                <w:rFonts w:eastAsia="Times New Roman"/>
                <w:b/>
                <w:color w:val="0000FF"/>
                <w:szCs w:val="24"/>
                <w:lang w:eastAsia="tr-TR"/>
              </w:rPr>
              <w:t>kesin</w:t>
            </w:r>
            <w:r w:rsidRPr="00A23740">
              <w:rPr>
                <w:rFonts w:eastAsia="Times New Roman"/>
                <w:szCs w:val="24"/>
                <w:lang w:eastAsia="tr-TR"/>
              </w:rPr>
              <w:t xml:space="preserve"> aciz </w:t>
            </w:r>
            <w:r w:rsidRPr="00A23740">
              <w:rPr>
                <w:rFonts w:eastAsia="Times New Roman"/>
                <w:b/>
                <w:color w:val="0000FF"/>
                <w:szCs w:val="24"/>
                <w:lang w:eastAsia="tr-TR"/>
              </w:rPr>
              <w:t>belgesi</w:t>
            </w:r>
            <w:r w:rsidRPr="00A23740">
              <w:rPr>
                <w:rFonts w:eastAsia="Times New Roman"/>
                <w:szCs w:val="24"/>
                <w:lang w:eastAsia="tr-TR"/>
              </w:rPr>
              <w:t xml:space="preserve"> sicilden terkin edilir ve borçluya borcunu ödeyerek</w:t>
            </w:r>
            <w:r w:rsidR="00F26C8C" w:rsidRPr="00A23740">
              <w:rPr>
                <w:rFonts w:eastAsia="Times New Roman"/>
                <w:szCs w:val="24"/>
                <w:lang w:eastAsia="tr-TR"/>
              </w:rPr>
              <w:t xml:space="preserve"> </w:t>
            </w:r>
            <w:r w:rsidR="00F26C8C" w:rsidRPr="00A23740">
              <w:rPr>
                <w:rFonts w:eastAsia="Times New Roman"/>
                <w:b/>
                <w:color w:val="0000FF"/>
                <w:szCs w:val="24"/>
                <w:lang w:eastAsia="tr-TR"/>
              </w:rPr>
              <w:t>kesin</w:t>
            </w:r>
            <w:r w:rsidRPr="00A23740">
              <w:rPr>
                <w:rFonts w:eastAsia="Times New Roman"/>
                <w:szCs w:val="24"/>
                <w:lang w:eastAsia="tr-TR"/>
              </w:rPr>
              <w:t xml:space="preserve"> aciz </w:t>
            </w:r>
            <w:r w:rsidRPr="00A23740">
              <w:rPr>
                <w:rFonts w:eastAsia="Times New Roman"/>
                <w:b/>
                <w:color w:val="0000FF"/>
                <w:szCs w:val="24"/>
                <w:lang w:eastAsia="tr-TR"/>
              </w:rPr>
              <w:t>belgesini</w:t>
            </w:r>
            <w:r w:rsidRPr="00A23740">
              <w:rPr>
                <w:rFonts w:eastAsia="Times New Roman"/>
                <w:szCs w:val="24"/>
                <w:lang w:eastAsia="tr-TR"/>
              </w:rPr>
              <w:t xml:space="preserve"> sicilden terkin ettirdiğine dair bir belge verilir.</w:t>
            </w:r>
          </w:p>
          <w:p w:rsidR="001A031C" w:rsidRPr="00A23740" w:rsidRDefault="001A031C" w:rsidP="009431FF">
            <w:pPr>
              <w:tabs>
                <w:tab w:val="left" w:pos="567"/>
              </w:tabs>
              <w:rPr>
                <w:rFonts w:eastAsia="Times New Roman"/>
                <w:b/>
                <w:color w:val="FF0000"/>
                <w:szCs w:val="24"/>
                <w:lang w:eastAsia="tr-TR"/>
              </w:rPr>
            </w:pPr>
          </w:p>
          <w:p w:rsidR="00AA5C8C" w:rsidRPr="00A23740" w:rsidRDefault="00AA5C8C" w:rsidP="009431FF">
            <w:pPr>
              <w:tabs>
                <w:tab w:val="left" w:pos="567"/>
              </w:tabs>
              <w:rPr>
                <w:rFonts w:eastAsia="Times New Roman"/>
                <w:szCs w:val="24"/>
                <w:lang w:eastAsia="tr-TR"/>
              </w:rPr>
            </w:pPr>
            <w:r w:rsidRPr="00A23740">
              <w:rPr>
                <w:rStyle w:val="MaviChar"/>
              </w:rPr>
              <w:t>(3)</w:t>
            </w:r>
            <w:r w:rsidRPr="00A23740">
              <w:rPr>
                <w:rFonts w:eastAsia="Times New Roman"/>
                <w:b/>
                <w:color w:val="0000FF"/>
                <w:szCs w:val="24"/>
                <w:lang w:eastAsia="tr-TR"/>
              </w:rPr>
              <w:t xml:space="preserve"> </w:t>
            </w:r>
            <w:r w:rsidRPr="00A23740">
              <w:rPr>
                <w:rStyle w:val="MaviChar"/>
              </w:rPr>
              <w:t>Kesin</w:t>
            </w:r>
            <w:r w:rsidRPr="00A23740">
              <w:rPr>
                <w:rFonts w:eastAsia="Times New Roman"/>
                <w:b/>
                <w:color w:val="0000FF"/>
                <w:szCs w:val="24"/>
                <w:lang w:eastAsia="tr-TR"/>
              </w:rPr>
              <w:t xml:space="preserve"> aciz belgesinin düzenlendiği</w:t>
            </w:r>
            <w:r w:rsidRPr="00A23740">
              <w:rPr>
                <w:rFonts w:eastAsia="Times New Roman"/>
                <w:szCs w:val="24"/>
                <w:lang w:eastAsia="tr-TR"/>
              </w:rPr>
              <w:t xml:space="preserve"> icra takibi iptal </w:t>
            </w:r>
            <w:r w:rsidRPr="00A23740">
              <w:rPr>
                <w:rFonts w:eastAsia="Times New Roman"/>
                <w:b/>
                <w:color w:val="0000FF"/>
                <w:szCs w:val="24"/>
                <w:lang w:eastAsia="tr-TR"/>
              </w:rPr>
              <w:t>edilir</w:t>
            </w:r>
            <w:r w:rsidRPr="00A23740">
              <w:rPr>
                <w:rFonts w:eastAsia="Times New Roman"/>
                <w:szCs w:val="24"/>
                <w:lang w:eastAsia="tr-TR"/>
              </w:rPr>
              <w:t xml:space="preserve"> </w:t>
            </w:r>
            <w:r w:rsidRPr="00A23740">
              <w:rPr>
                <w:rStyle w:val="MaviChar"/>
              </w:rPr>
              <w:t>veya</w:t>
            </w:r>
            <w:r w:rsidRPr="00A23740">
              <w:rPr>
                <w:rFonts w:eastAsia="Times New Roman"/>
                <w:szCs w:val="24"/>
                <w:lang w:eastAsia="tr-TR"/>
              </w:rPr>
              <w:t xml:space="preserve"> borçlunun borçlu olmadığı mahkeme kararıyla </w:t>
            </w:r>
            <w:r w:rsidRPr="00A23740">
              <w:rPr>
                <w:rFonts w:eastAsia="Times New Roman"/>
                <w:b/>
                <w:color w:val="0000FF"/>
                <w:szCs w:val="24"/>
                <w:lang w:eastAsia="tr-TR"/>
              </w:rPr>
              <w:t>kesinleşir</w:t>
            </w:r>
            <w:r w:rsidRPr="00A23740">
              <w:rPr>
                <w:rFonts w:eastAsia="Times New Roman"/>
                <w:szCs w:val="24"/>
                <w:lang w:eastAsia="tr-TR"/>
              </w:rPr>
              <w:t xml:space="preserve"> ya da alacaklı icra takibin</w:t>
            </w:r>
            <w:r w:rsidRPr="00A23740">
              <w:rPr>
                <w:rFonts w:eastAsia="Times New Roman"/>
                <w:b/>
                <w:color w:val="0000FF"/>
                <w:szCs w:val="24"/>
                <w:lang w:eastAsia="tr-TR"/>
              </w:rPr>
              <w:t>den vazgeçerse</w:t>
            </w:r>
            <w:r w:rsidR="006B711A" w:rsidRPr="00A23740">
              <w:rPr>
                <w:rFonts w:eastAsia="Times New Roman"/>
                <w:b/>
                <w:color w:val="0000FF"/>
                <w:szCs w:val="24"/>
                <w:lang w:eastAsia="tr-TR"/>
              </w:rPr>
              <w:t>,</w:t>
            </w:r>
            <w:r w:rsidRPr="00A23740">
              <w:rPr>
                <w:rFonts w:eastAsia="Times New Roman"/>
                <w:szCs w:val="24"/>
                <w:lang w:eastAsia="tr-TR"/>
              </w:rPr>
              <w:t xml:space="preserve"> </w:t>
            </w:r>
            <w:r w:rsidR="00F26C8C" w:rsidRPr="00A23740">
              <w:rPr>
                <w:rFonts w:eastAsia="Times New Roman"/>
                <w:b/>
                <w:color w:val="0000FF"/>
                <w:szCs w:val="24"/>
                <w:lang w:eastAsia="tr-TR"/>
              </w:rPr>
              <w:t>kesin</w:t>
            </w:r>
            <w:r w:rsidR="00F26C8C" w:rsidRPr="00A23740">
              <w:rPr>
                <w:rFonts w:eastAsia="Times New Roman"/>
                <w:szCs w:val="24"/>
                <w:lang w:eastAsia="tr-TR"/>
              </w:rPr>
              <w:t xml:space="preserve"> </w:t>
            </w:r>
            <w:r w:rsidRPr="00A23740">
              <w:rPr>
                <w:rFonts w:eastAsia="Times New Roman"/>
                <w:szCs w:val="24"/>
                <w:lang w:eastAsia="tr-TR"/>
              </w:rPr>
              <w:t xml:space="preserve">aciz </w:t>
            </w:r>
            <w:r w:rsidRPr="00A23740">
              <w:rPr>
                <w:rFonts w:eastAsia="Times New Roman"/>
                <w:b/>
                <w:color w:val="0000FF"/>
                <w:szCs w:val="24"/>
                <w:lang w:eastAsia="tr-TR"/>
              </w:rPr>
              <w:t>belgesi</w:t>
            </w:r>
            <w:r w:rsidRPr="00A23740">
              <w:rPr>
                <w:rFonts w:eastAsia="Times New Roman"/>
                <w:szCs w:val="24"/>
                <w:lang w:eastAsia="tr-TR"/>
              </w:rPr>
              <w:t xml:space="preserve"> sicilden </w:t>
            </w:r>
            <w:r w:rsidR="00AA7555" w:rsidRPr="00A23740">
              <w:rPr>
                <w:rFonts w:eastAsia="Times New Roman"/>
                <w:szCs w:val="24"/>
                <w:lang w:eastAsia="tr-TR"/>
              </w:rPr>
              <w:t>terkin edilir</w:t>
            </w:r>
            <w:r w:rsidRPr="00A23740">
              <w:rPr>
                <w:rFonts w:eastAsia="Times New Roman"/>
                <w:szCs w:val="24"/>
                <w:lang w:eastAsia="tr-TR"/>
              </w:rPr>
              <w:t xml:space="preserve"> ve borçluya buna ilişkin bir belge verilir.</w:t>
            </w:r>
          </w:p>
          <w:p w:rsidR="00AA5C8C" w:rsidRPr="00A23740" w:rsidRDefault="00AA5C8C" w:rsidP="009431FF">
            <w:pPr>
              <w:tabs>
                <w:tab w:val="left" w:pos="567"/>
              </w:tabs>
              <w:rPr>
                <w:lang w:eastAsia="tr-TR"/>
              </w:rPr>
            </w:pPr>
          </w:p>
        </w:tc>
      </w:tr>
      <w:tr w:rsidR="001D69D5" w:rsidRPr="00A23740" w:rsidTr="009431FF">
        <w:tblPrEx>
          <w:tblLook w:val="01E0" w:firstRow="1" w:lastRow="1" w:firstColumn="1" w:lastColumn="1" w:noHBand="0" w:noVBand="0"/>
        </w:tblPrEx>
        <w:tc>
          <w:tcPr>
            <w:tcW w:w="5000" w:type="pct"/>
            <w:gridSpan w:val="2"/>
            <w:shd w:val="clear" w:color="auto" w:fill="DEEAF6"/>
          </w:tcPr>
          <w:p w:rsidR="001D69D5" w:rsidRPr="00A23740" w:rsidRDefault="001D69D5" w:rsidP="009431FF">
            <w:pPr>
              <w:tabs>
                <w:tab w:val="left" w:pos="567"/>
              </w:tabs>
              <w:ind w:firstLine="709"/>
              <w:jc w:val="left"/>
              <w:rPr>
                <w:rFonts w:eastAsia="Times New Roman"/>
                <w:b/>
                <w:color w:val="0000FF"/>
                <w:szCs w:val="24"/>
                <w:lang w:eastAsia="tr-TR"/>
              </w:rPr>
            </w:pPr>
          </w:p>
          <w:p w:rsidR="001D69D5" w:rsidRPr="00A23740" w:rsidRDefault="00490C3E" w:rsidP="009431FF">
            <w:pPr>
              <w:pStyle w:val="Mavi"/>
              <w:ind w:firstLine="709"/>
              <w:rPr>
                <w:rFonts w:eastAsia="Times New Roman"/>
                <w:b w:val="0"/>
                <w:color w:val="auto"/>
                <w:lang w:val="tr-TR" w:eastAsia="tr-TR"/>
              </w:rPr>
            </w:pPr>
            <w:r w:rsidRPr="00A23740">
              <w:rPr>
                <w:rFonts w:eastAsia="Times New Roman"/>
                <w:bCs w:val="0"/>
                <w:color w:val="auto"/>
                <w:lang w:val="tr-TR" w:eastAsia="tr-TR"/>
              </w:rPr>
              <w:t>MADDE 263</w:t>
            </w:r>
            <w:r w:rsidR="001D69D5" w:rsidRPr="00A23740">
              <w:rPr>
                <w:rFonts w:eastAsia="Times New Roman"/>
                <w:bCs w:val="0"/>
                <w:color w:val="auto"/>
                <w:lang w:val="tr-TR" w:eastAsia="tr-TR"/>
              </w:rPr>
              <w:t>-</w:t>
            </w:r>
            <w:r w:rsidR="001D69D5" w:rsidRPr="00A23740">
              <w:rPr>
                <w:rFonts w:eastAsia="Times New Roman"/>
                <w:b w:val="0"/>
                <w:bCs w:val="0"/>
                <w:color w:val="auto"/>
                <w:lang w:val="tr-TR" w:eastAsia="tr-TR"/>
              </w:rPr>
              <w:t xml:space="preserve"> Maddeyle,</w:t>
            </w:r>
            <w:r w:rsidR="00F26C8C" w:rsidRPr="00A23740">
              <w:rPr>
                <w:rFonts w:eastAsia="Times New Roman"/>
                <w:b w:val="0"/>
                <w:bCs w:val="0"/>
                <w:color w:val="auto"/>
                <w:lang w:val="tr-TR" w:eastAsia="tr-TR"/>
              </w:rPr>
              <w:t xml:space="preserve"> kesin</w:t>
            </w:r>
            <w:r w:rsidR="001D69D5" w:rsidRPr="00A23740">
              <w:rPr>
                <w:rFonts w:eastAsia="Times New Roman"/>
                <w:b w:val="0"/>
                <w:bCs w:val="0"/>
                <w:color w:val="auto"/>
                <w:lang w:val="tr-TR" w:eastAsia="tr-TR"/>
              </w:rPr>
              <w:t xml:space="preserve"> aciz belgesi siciline </w:t>
            </w:r>
            <w:r w:rsidR="001D69D5" w:rsidRPr="00A23740">
              <w:rPr>
                <w:rFonts w:eastAsia="Times New Roman"/>
                <w:b w:val="0"/>
                <w:color w:val="auto"/>
                <w:lang w:eastAsia="tr-TR"/>
              </w:rPr>
              <w:t>ilişkin esaslar</w:t>
            </w:r>
            <w:r w:rsidR="00D877B1" w:rsidRPr="00A23740">
              <w:rPr>
                <w:rFonts w:eastAsia="Times New Roman"/>
                <w:b w:val="0"/>
                <w:color w:val="auto"/>
                <w:lang w:val="tr-TR" w:eastAsia="tr-TR"/>
              </w:rPr>
              <w:t>düzenlenmektedir</w:t>
            </w:r>
            <w:r w:rsidR="001D69D5" w:rsidRPr="00A23740">
              <w:rPr>
                <w:rFonts w:eastAsia="Times New Roman"/>
                <w:b w:val="0"/>
                <w:color w:val="auto"/>
                <w:lang w:eastAsia="tr-TR"/>
              </w:rPr>
              <w:t>.</w:t>
            </w:r>
            <w:r w:rsidR="001D69D5" w:rsidRPr="00A23740">
              <w:rPr>
                <w:rFonts w:eastAsia="Times New Roman"/>
                <w:b w:val="0"/>
                <w:color w:val="auto"/>
                <w:lang w:val="tr-TR" w:eastAsia="tr-TR"/>
              </w:rPr>
              <w:t xml:space="preserve"> Hüküm, 2004 sayılı Kanunun 143 üncü maddesinin birinci fıkrasının ikinci cümlesi </w:t>
            </w:r>
            <w:r w:rsidR="00AA7555" w:rsidRPr="00A23740">
              <w:rPr>
                <w:rFonts w:eastAsia="Times New Roman"/>
                <w:b w:val="0"/>
                <w:color w:val="auto"/>
                <w:lang w:val="tr-TR" w:eastAsia="tr-TR"/>
              </w:rPr>
              <w:t>ile</w:t>
            </w:r>
            <w:r w:rsidR="001D69D5" w:rsidRPr="00A23740">
              <w:rPr>
                <w:rFonts w:eastAsia="Times New Roman"/>
                <w:b w:val="0"/>
                <w:color w:val="auto"/>
                <w:lang w:val="tr-TR" w:eastAsia="tr-TR"/>
              </w:rPr>
              <w:t xml:space="preserve"> yedinci fıkrasına </w:t>
            </w:r>
            <w:r w:rsidR="00F26C8C" w:rsidRPr="00A23740">
              <w:rPr>
                <w:rFonts w:eastAsia="Times New Roman"/>
                <w:b w:val="0"/>
                <w:color w:val="auto"/>
                <w:lang w:val="tr-TR" w:eastAsia="tr-TR"/>
              </w:rPr>
              <w:t>karşılık</w:t>
            </w:r>
            <w:r w:rsidR="001D69D5" w:rsidRPr="00A23740">
              <w:rPr>
                <w:rFonts w:eastAsia="Times New Roman"/>
                <w:b w:val="0"/>
                <w:color w:val="auto"/>
                <w:lang w:val="tr-TR" w:eastAsia="tr-TR"/>
              </w:rPr>
              <w:t xml:space="preserve"> gelmekte olup</w:t>
            </w:r>
            <w:r w:rsidR="00AA7555" w:rsidRPr="00A23740">
              <w:rPr>
                <w:rFonts w:eastAsia="Times New Roman"/>
                <w:b w:val="0"/>
                <w:color w:val="auto"/>
                <w:lang w:val="tr-TR" w:eastAsia="tr-TR"/>
              </w:rPr>
              <w:t>,</w:t>
            </w:r>
            <w:r w:rsidR="00650681" w:rsidRPr="00A23740">
              <w:rPr>
                <w:rFonts w:eastAsia="Times New Roman"/>
                <w:b w:val="0"/>
                <w:color w:val="auto"/>
                <w:lang w:val="tr-TR" w:eastAsia="tr-TR"/>
              </w:rPr>
              <w:t xml:space="preserve"> 4949 sayılı Kanunla kabul edilen aciz belgesinin merkez</w:t>
            </w:r>
            <w:r w:rsidR="00AA7555" w:rsidRPr="00A23740">
              <w:rPr>
                <w:rFonts w:eastAsia="Times New Roman"/>
                <w:b w:val="0"/>
                <w:color w:val="auto"/>
                <w:lang w:val="tr-TR" w:eastAsia="tr-TR"/>
              </w:rPr>
              <w:t>i bir sicild</w:t>
            </w:r>
            <w:r w:rsidR="00650681" w:rsidRPr="00A23740">
              <w:rPr>
                <w:rFonts w:eastAsia="Times New Roman"/>
                <w:b w:val="0"/>
                <w:color w:val="auto"/>
                <w:lang w:val="tr-TR" w:eastAsia="tr-TR"/>
              </w:rPr>
              <w:t xml:space="preserve">e tutulması esası ile </w:t>
            </w:r>
            <w:r w:rsidR="00D877B1" w:rsidRPr="00A23740">
              <w:rPr>
                <w:rFonts w:eastAsia="Times New Roman"/>
                <w:b w:val="0"/>
                <w:color w:val="auto"/>
                <w:lang w:val="tr-TR" w:eastAsia="tr-TR"/>
              </w:rPr>
              <w:t xml:space="preserve">bu sicilden </w:t>
            </w:r>
            <w:r w:rsidR="00650681" w:rsidRPr="00A23740">
              <w:rPr>
                <w:rFonts w:eastAsia="Times New Roman"/>
                <w:b w:val="0"/>
                <w:color w:val="auto"/>
                <w:lang w:val="tr-TR" w:eastAsia="tr-TR"/>
              </w:rPr>
              <w:t xml:space="preserve">terkini usulü </w:t>
            </w:r>
            <w:r w:rsidR="001D69D5" w:rsidRPr="00A23740">
              <w:rPr>
                <w:rFonts w:eastAsia="Times New Roman"/>
                <w:b w:val="0"/>
                <w:color w:val="auto"/>
                <w:lang w:val="tr-TR" w:eastAsia="tr-TR"/>
              </w:rPr>
              <w:t>ay</w:t>
            </w:r>
            <w:r w:rsidR="00F26C8C" w:rsidRPr="00A23740">
              <w:rPr>
                <w:rFonts w:eastAsia="Times New Roman"/>
                <w:b w:val="0"/>
                <w:color w:val="auto"/>
                <w:lang w:val="tr-TR" w:eastAsia="tr-TR"/>
              </w:rPr>
              <w:t xml:space="preserve">nen </w:t>
            </w:r>
            <w:r w:rsidR="001D69D5" w:rsidRPr="00A23740">
              <w:rPr>
                <w:rFonts w:eastAsia="Times New Roman"/>
                <w:b w:val="0"/>
                <w:color w:val="auto"/>
                <w:lang w:val="tr-TR" w:eastAsia="tr-TR"/>
              </w:rPr>
              <w:t>muhafaza edilmektedir.</w:t>
            </w:r>
          </w:p>
          <w:p w:rsidR="001D69D5" w:rsidRPr="00A23740" w:rsidRDefault="001D69D5" w:rsidP="009431FF">
            <w:pPr>
              <w:pStyle w:val="Mavi"/>
              <w:ind w:firstLine="709"/>
              <w:rPr>
                <w:rFonts w:eastAsia="Times New Roman"/>
                <w:b w:val="0"/>
                <w:color w:val="auto"/>
                <w:lang w:val="tr-TR" w:eastAsia="tr-TR"/>
              </w:rPr>
            </w:pPr>
            <w:r w:rsidRPr="00A23740">
              <w:rPr>
                <w:rFonts w:eastAsia="Times New Roman"/>
                <w:b w:val="0"/>
                <w:color w:val="auto"/>
                <w:lang w:val="tr-TR" w:eastAsia="tr-TR"/>
              </w:rPr>
              <w:t>Birinci fıkrayla, kesin aciz belgesinin bir nüshasının, her il merkezinde Adalet Bakanlığınca tespit edilen icra</w:t>
            </w:r>
            <w:r w:rsidR="00B73523" w:rsidRPr="00A23740">
              <w:rPr>
                <w:b w:val="0"/>
                <w:color w:val="538135"/>
                <w:lang w:val="tr-TR"/>
              </w:rPr>
              <w:t xml:space="preserve"> </w:t>
            </w:r>
            <w:r w:rsidR="00B73523" w:rsidRPr="00D60C1D">
              <w:rPr>
                <w:b w:val="0"/>
                <w:color w:val="000000"/>
                <w:lang w:val="tr-TR"/>
              </w:rPr>
              <w:t>ve iflas</w:t>
            </w:r>
            <w:r w:rsidRPr="00A23740">
              <w:rPr>
                <w:rFonts w:eastAsia="Times New Roman"/>
                <w:b w:val="0"/>
                <w:color w:val="auto"/>
                <w:lang w:val="tr-TR" w:eastAsia="tr-TR"/>
              </w:rPr>
              <w:t xml:space="preserve"> dairesi tarafından tutulan özel sicile kaydedilmek üzere bu icra </w:t>
            </w:r>
            <w:r w:rsidR="00B73523" w:rsidRPr="00D60C1D">
              <w:rPr>
                <w:b w:val="0"/>
                <w:color w:val="000000"/>
                <w:lang w:val="tr-TR"/>
              </w:rPr>
              <w:t>ve iflas</w:t>
            </w:r>
            <w:r w:rsidR="00B73523" w:rsidRPr="00A23740">
              <w:rPr>
                <w:b w:val="0"/>
                <w:bCs w:val="0"/>
              </w:rPr>
              <w:t xml:space="preserve"> </w:t>
            </w:r>
            <w:r w:rsidRPr="00A23740">
              <w:rPr>
                <w:rFonts w:eastAsia="Times New Roman"/>
                <w:b w:val="0"/>
                <w:color w:val="auto"/>
                <w:lang w:val="tr-TR" w:eastAsia="tr-TR"/>
              </w:rPr>
              <w:t>dairesine gönderileceği hükme bağlanmaktadır.</w:t>
            </w:r>
            <w:r w:rsidR="00F26C8C" w:rsidRPr="00A23740">
              <w:rPr>
                <w:rFonts w:eastAsia="Times New Roman"/>
                <w:b w:val="0"/>
                <w:color w:val="auto"/>
                <w:lang w:val="tr-TR" w:eastAsia="tr-TR"/>
              </w:rPr>
              <w:t xml:space="preserve"> Kesin</w:t>
            </w:r>
            <w:r w:rsidRPr="00A23740">
              <w:rPr>
                <w:rFonts w:eastAsia="Times New Roman"/>
                <w:b w:val="0"/>
                <w:color w:val="auto"/>
                <w:lang w:val="tr-TR" w:eastAsia="tr-TR"/>
              </w:rPr>
              <w:t xml:space="preserve"> </w:t>
            </w:r>
            <w:r w:rsidR="00F26C8C" w:rsidRPr="00A23740">
              <w:rPr>
                <w:rFonts w:eastAsia="Times New Roman"/>
                <w:b w:val="0"/>
                <w:color w:val="auto"/>
                <w:lang w:val="tr-TR" w:eastAsia="tr-TR"/>
              </w:rPr>
              <w:t xml:space="preserve">aciz </w:t>
            </w:r>
            <w:r w:rsidRPr="00A23740">
              <w:rPr>
                <w:rFonts w:eastAsia="Times New Roman"/>
                <w:b w:val="0"/>
                <w:color w:val="auto"/>
                <w:lang w:val="tr-TR" w:eastAsia="tr-TR"/>
              </w:rPr>
              <w:t>belgesi sicili aleni olup</w:t>
            </w:r>
            <w:r w:rsidR="00F26C8C" w:rsidRPr="00A23740">
              <w:rPr>
                <w:rFonts w:eastAsia="Times New Roman"/>
                <w:b w:val="0"/>
                <w:color w:val="auto"/>
                <w:lang w:val="tr-TR" w:eastAsia="tr-TR"/>
              </w:rPr>
              <w:t>,</w:t>
            </w:r>
            <w:r w:rsidRPr="00A23740">
              <w:rPr>
                <w:rFonts w:eastAsia="Times New Roman"/>
                <w:b w:val="0"/>
                <w:color w:val="auto"/>
                <w:lang w:val="tr-TR" w:eastAsia="tr-TR"/>
              </w:rPr>
              <w:t xml:space="preserve"> bu sicilin ne şekilde tutulacağı ve hangi hususları içereceği</w:t>
            </w:r>
            <w:r w:rsidR="00D80377" w:rsidRPr="00A23740">
              <w:rPr>
                <w:rFonts w:eastAsia="Times New Roman"/>
                <w:b w:val="0"/>
                <w:color w:val="auto"/>
                <w:lang w:val="tr-TR" w:eastAsia="tr-TR"/>
              </w:rPr>
              <w:t xml:space="preserve"> </w:t>
            </w:r>
            <w:r w:rsidR="00D80377" w:rsidRPr="00D60C1D">
              <w:rPr>
                <w:rStyle w:val="YELChar"/>
                <w:color w:val="000000"/>
              </w:rPr>
              <w:t>Adalet Bakanlığınca</w:t>
            </w:r>
            <w:r w:rsidRPr="00A23740">
              <w:rPr>
                <w:rFonts w:eastAsia="Times New Roman"/>
                <w:b w:val="0"/>
                <w:color w:val="auto"/>
                <w:lang w:val="tr-TR" w:eastAsia="tr-TR"/>
              </w:rPr>
              <w:t xml:space="preserve"> çıkarılacak yönetmelikle belirlenecektir.</w:t>
            </w:r>
          </w:p>
          <w:p w:rsidR="001D69D5" w:rsidRPr="00A23740" w:rsidRDefault="001D69D5" w:rsidP="009431FF">
            <w:pPr>
              <w:pStyle w:val="Mavi"/>
              <w:ind w:firstLine="709"/>
              <w:rPr>
                <w:rFonts w:eastAsia="Times New Roman"/>
                <w:b w:val="0"/>
                <w:color w:val="auto"/>
                <w:lang w:val="tr-TR" w:eastAsia="tr-TR"/>
              </w:rPr>
            </w:pPr>
            <w:r w:rsidRPr="00A23740">
              <w:rPr>
                <w:rFonts w:eastAsia="Times New Roman"/>
                <w:b w:val="0"/>
                <w:color w:val="auto"/>
                <w:lang w:val="tr-TR" w:eastAsia="tr-TR"/>
              </w:rPr>
              <w:t>İkinci fıkraya göre borçlu,</w:t>
            </w:r>
            <w:r w:rsidR="00F26C8C" w:rsidRPr="00A23740">
              <w:rPr>
                <w:rFonts w:eastAsia="Times New Roman"/>
                <w:b w:val="0"/>
                <w:color w:val="auto"/>
                <w:lang w:val="tr-TR" w:eastAsia="tr-TR"/>
              </w:rPr>
              <w:t xml:space="preserve"> kesin</w:t>
            </w:r>
            <w:r w:rsidRPr="00A23740">
              <w:rPr>
                <w:rFonts w:eastAsia="Times New Roman"/>
                <w:b w:val="0"/>
                <w:color w:val="auto"/>
                <w:lang w:val="tr-TR" w:eastAsia="tr-TR"/>
              </w:rPr>
              <w:t xml:space="preserve"> aciz belgesini düzenleyen icra </w:t>
            </w:r>
            <w:r w:rsidR="00D80377" w:rsidRPr="00D60C1D">
              <w:rPr>
                <w:rStyle w:val="YELChar"/>
                <w:color w:val="000000"/>
              </w:rPr>
              <w:t>ve iflas</w:t>
            </w:r>
            <w:r w:rsidR="00D80377" w:rsidRPr="00D60C1D">
              <w:rPr>
                <w:rFonts w:eastAsia="Times New Roman"/>
                <w:color w:val="000000"/>
                <w:lang w:val="tr-TR" w:eastAsia="tr-TR"/>
              </w:rPr>
              <w:t xml:space="preserve"> </w:t>
            </w:r>
            <w:r w:rsidR="00D80377" w:rsidRPr="00D60C1D">
              <w:rPr>
                <w:rStyle w:val="YELChar"/>
                <w:color w:val="000000"/>
              </w:rPr>
              <w:t>dairesinin banka hesabına</w:t>
            </w:r>
            <w:r w:rsidRPr="00A23740">
              <w:rPr>
                <w:rFonts w:eastAsia="Times New Roman"/>
                <w:b w:val="0"/>
                <w:color w:val="auto"/>
                <w:lang w:val="tr-TR" w:eastAsia="tr-TR"/>
              </w:rPr>
              <w:t xml:space="preserve"> borcunu işlemiş faizleriyle birlikte her zaman ödeyebilir.</w:t>
            </w:r>
            <w:r w:rsidR="00F26C8C" w:rsidRPr="00A23740">
              <w:rPr>
                <w:rFonts w:eastAsia="Times New Roman"/>
                <w:b w:val="0"/>
                <w:color w:val="auto"/>
                <w:lang w:val="tr-TR" w:eastAsia="tr-TR"/>
              </w:rPr>
              <w:t xml:space="preserve"> Bu durumda</w:t>
            </w:r>
            <w:r w:rsidRPr="00A23740">
              <w:rPr>
                <w:rFonts w:eastAsia="Times New Roman"/>
                <w:b w:val="0"/>
                <w:color w:val="auto"/>
                <w:lang w:val="tr-TR" w:eastAsia="tr-TR"/>
              </w:rPr>
              <w:t xml:space="preserve"> </w:t>
            </w:r>
            <w:r w:rsidR="00F26C8C" w:rsidRPr="00A23740">
              <w:rPr>
                <w:rFonts w:eastAsia="Times New Roman"/>
                <w:b w:val="0"/>
                <w:color w:val="auto"/>
                <w:lang w:val="tr-TR" w:eastAsia="tr-TR"/>
              </w:rPr>
              <w:t>icra</w:t>
            </w:r>
            <w:r w:rsidR="00B73523" w:rsidRPr="00A23740">
              <w:rPr>
                <w:b w:val="0"/>
                <w:color w:val="538135"/>
                <w:lang w:val="tr-TR"/>
              </w:rPr>
              <w:t xml:space="preserve"> </w:t>
            </w:r>
            <w:r w:rsidR="00B73523" w:rsidRPr="00D60C1D">
              <w:rPr>
                <w:b w:val="0"/>
                <w:color w:val="000000"/>
                <w:lang w:val="tr-TR"/>
              </w:rPr>
              <w:t>ve iflas</w:t>
            </w:r>
            <w:r w:rsidR="00F26C8C" w:rsidRPr="00A23740">
              <w:rPr>
                <w:rFonts w:eastAsia="Times New Roman"/>
                <w:b w:val="0"/>
                <w:color w:val="auto"/>
                <w:lang w:val="tr-TR" w:eastAsia="tr-TR"/>
              </w:rPr>
              <w:t xml:space="preserve"> dairesi ödenen parayı alacaklıya</w:t>
            </w:r>
            <w:r w:rsidR="00D80377" w:rsidRPr="00A23740">
              <w:rPr>
                <w:rFonts w:eastAsia="Times New Roman"/>
                <w:b w:val="0"/>
                <w:color w:val="auto"/>
                <w:lang w:val="tr-TR" w:eastAsia="tr-TR"/>
              </w:rPr>
              <w:t xml:space="preserve"> </w:t>
            </w:r>
            <w:r w:rsidR="00D80377" w:rsidRPr="00D60C1D">
              <w:rPr>
                <w:rStyle w:val="YELChar"/>
                <w:color w:val="000000"/>
              </w:rPr>
              <w:t>gecikmeksizin aktarır</w:t>
            </w:r>
            <w:r w:rsidR="00D80377" w:rsidRPr="00D60C1D">
              <w:rPr>
                <w:rStyle w:val="YELChar"/>
                <w:color w:val="000000"/>
                <w:lang w:val="tr-TR"/>
              </w:rPr>
              <w:t>.</w:t>
            </w:r>
            <w:r w:rsidR="00F26C8C" w:rsidRPr="00A23740">
              <w:rPr>
                <w:rFonts w:eastAsia="Times New Roman"/>
                <w:b w:val="0"/>
                <w:color w:val="auto"/>
                <w:lang w:val="tr-TR" w:eastAsia="tr-TR"/>
              </w:rPr>
              <w:t xml:space="preserve"> </w:t>
            </w:r>
            <w:r w:rsidR="00D80377" w:rsidRPr="00D60C1D">
              <w:rPr>
                <w:rStyle w:val="YELChar"/>
                <w:color w:val="000000"/>
              </w:rPr>
              <w:t>Kesin aciz belgesi</w:t>
            </w:r>
            <w:r w:rsidR="00D80377" w:rsidRPr="00D60C1D">
              <w:rPr>
                <w:rStyle w:val="YELChar"/>
                <w:color w:val="000000"/>
                <w:lang w:val="tr-TR"/>
              </w:rPr>
              <w:t>,</w:t>
            </w:r>
            <w:r w:rsidR="00D80377" w:rsidRPr="00A23740">
              <w:rPr>
                <w:rFonts w:eastAsia="Times New Roman"/>
                <w:b w:val="0"/>
                <w:color w:val="auto"/>
                <w:lang w:val="tr-TR" w:eastAsia="tr-TR"/>
              </w:rPr>
              <w:t xml:space="preserve"> borcun </w:t>
            </w:r>
            <w:r w:rsidR="00F26C8C" w:rsidRPr="00A23740">
              <w:rPr>
                <w:rFonts w:eastAsia="Times New Roman"/>
                <w:b w:val="0"/>
                <w:color w:val="auto"/>
                <w:lang w:val="tr-TR" w:eastAsia="tr-TR"/>
              </w:rPr>
              <w:t>bu şekilde tamamının ödenmesinden sonra sicilden terkin edilir ve borçluya borcunu ödeyerek kesin aciz belgesini sicilden terkin ettirdiğine dair bir belge verilir.</w:t>
            </w:r>
          </w:p>
          <w:p w:rsidR="001D69D5" w:rsidRPr="00A23740" w:rsidRDefault="00F26C8C" w:rsidP="0016377F">
            <w:pPr>
              <w:pStyle w:val="Mavi"/>
              <w:ind w:firstLine="709"/>
            </w:pPr>
            <w:r w:rsidRPr="00A23740">
              <w:rPr>
                <w:rFonts w:eastAsia="Times New Roman"/>
                <w:b w:val="0"/>
                <w:color w:val="auto"/>
                <w:lang w:val="tr-TR" w:eastAsia="tr-TR"/>
              </w:rPr>
              <w:t xml:space="preserve">Üçüncü fıkrayla, kesin aciz belgesinin düzenlendiği icra takibinin iptal </w:t>
            </w:r>
            <w:r w:rsidR="00D80377" w:rsidRPr="00D60C1D">
              <w:rPr>
                <w:rStyle w:val="YELChar"/>
                <w:color w:val="000000"/>
              </w:rPr>
              <w:t>edilmesi</w:t>
            </w:r>
            <w:r w:rsidRPr="00A23740">
              <w:rPr>
                <w:rFonts w:eastAsia="Times New Roman"/>
                <w:b w:val="0"/>
                <w:color w:val="auto"/>
                <w:lang w:val="tr-TR" w:eastAsia="tr-TR"/>
              </w:rPr>
              <w:t xml:space="preserve"> veya borçlunun borçlu olmadığının mahkeme kararıyla kesinleşmesi ya da alacaklının icra takibinden vazgeçmesi h</w:t>
            </w:r>
            <w:r w:rsidR="00C224B4" w:rsidRPr="00A23740">
              <w:rPr>
                <w:rFonts w:eastAsia="Times New Roman"/>
                <w:b w:val="0"/>
                <w:color w:val="auto"/>
                <w:lang w:val="tr-TR" w:eastAsia="tr-TR"/>
              </w:rPr>
              <w:t>â</w:t>
            </w:r>
            <w:r w:rsidRPr="00A23740">
              <w:rPr>
                <w:rFonts w:eastAsia="Times New Roman"/>
                <w:b w:val="0"/>
                <w:color w:val="auto"/>
                <w:lang w:val="tr-TR" w:eastAsia="tr-TR"/>
              </w:rPr>
              <w:t xml:space="preserve">linde, kesin aciz belgesinin sicilden </w:t>
            </w:r>
            <w:r w:rsidR="00AA7555" w:rsidRPr="00A23740">
              <w:rPr>
                <w:rFonts w:eastAsia="Times New Roman"/>
                <w:b w:val="0"/>
                <w:color w:val="auto"/>
                <w:lang w:val="tr-TR" w:eastAsia="tr-TR"/>
              </w:rPr>
              <w:t>terkin edileceği</w:t>
            </w:r>
            <w:r w:rsidRPr="00A23740">
              <w:rPr>
                <w:rFonts w:eastAsia="Times New Roman"/>
                <w:b w:val="0"/>
                <w:color w:val="auto"/>
                <w:lang w:val="tr-TR" w:eastAsia="tr-TR"/>
              </w:rPr>
              <w:t xml:space="preserve"> ve borçluya buna ilişkin bir belge verileceği düzenlenmektedir.</w:t>
            </w:r>
          </w:p>
          <w:p w:rsidR="001D69D5" w:rsidRPr="00A23740" w:rsidRDefault="001D69D5" w:rsidP="0016377F">
            <w:pPr>
              <w:tabs>
                <w:tab w:val="left" w:pos="567"/>
              </w:tabs>
              <w:ind w:firstLine="709"/>
              <w:rPr>
                <w:rFonts w:eastAsia="Times New Roman"/>
                <w:b/>
                <w:color w:val="0000FF"/>
                <w:szCs w:val="24"/>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widowControl w:val="0"/>
              <w:tabs>
                <w:tab w:val="left" w:pos="567"/>
              </w:tabs>
              <w:rPr>
                <w:rFonts w:eastAsia="Times New Roman"/>
                <w:szCs w:val="24"/>
                <w:lang w:eastAsia="tr-TR"/>
              </w:rPr>
            </w:pPr>
            <w:r w:rsidRPr="00A23740">
              <w:rPr>
                <w:rFonts w:eastAsia="Times New Roman"/>
                <w:b/>
                <w:strike/>
                <w:color w:val="FF0000"/>
                <w:szCs w:val="24"/>
                <w:lang w:eastAsia="tr-TR"/>
              </w:rPr>
              <w:t>Borç ödemeden</w:t>
            </w:r>
            <w:r w:rsidRPr="00A23740">
              <w:rPr>
                <w:rFonts w:eastAsia="Times New Roman"/>
                <w:szCs w:val="24"/>
                <w:lang w:eastAsia="tr-TR"/>
              </w:rPr>
              <w:t xml:space="preserve"> aciz </w:t>
            </w:r>
            <w:r w:rsidRPr="00A23740">
              <w:rPr>
                <w:rFonts w:eastAsia="Times New Roman"/>
                <w:b/>
                <w:strike/>
                <w:color w:val="FF0000"/>
                <w:szCs w:val="24"/>
                <w:lang w:eastAsia="tr-TR"/>
              </w:rPr>
              <w:t>vesikası:</w:t>
            </w:r>
          </w:p>
          <w:p w:rsidR="00AA5C8C" w:rsidRPr="00A23740" w:rsidRDefault="00AA5C8C" w:rsidP="009431FF">
            <w:pPr>
              <w:widowControl w:val="0"/>
              <w:tabs>
                <w:tab w:val="left" w:pos="567"/>
              </w:tabs>
              <w:rPr>
                <w:rFonts w:eastAsia="Times New Roman"/>
                <w:szCs w:val="24"/>
                <w:lang w:eastAsia="tr-TR"/>
              </w:rPr>
            </w:pPr>
            <w:r w:rsidRPr="00A23740">
              <w:rPr>
                <w:rStyle w:val="KIRMIZIChar"/>
                <w:rFonts w:eastAsia="Calibri"/>
              </w:rPr>
              <w:t>Madde 143 – (3)</w:t>
            </w:r>
            <w:r w:rsidRPr="00A23740">
              <w:rPr>
                <w:rFonts w:eastAsia="Times New Roman"/>
                <w:szCs w:val="24"/>
                <w:lang w:eastAsia="tr-TR"/>
              </w:rPr>
              <w:t xml:space="preserve"> Alacaklı aciz </w:t>
            </w:r>
            <w:r w:rsidRPr="00A23740">
              <w:rPr>
                <w:rStyle w:val="KIRMIZIChar"/>
                <w:rFonts w:eastAsia="Calibri"/>
              </w:rPr>
              <w:t>vesikasını</w:t>
            </w:r>
            <w:r w:rsidRPr="00A23740">
              <w:rPr>
                <w:rFonts w:eastAsia="Times New Roman"/>
                <w:szCs w:val="24"/>
                <w:lang w:eastAsia="tr-TR"/>
              </w:rPr>
              <w:t xml:space="preserve"> aldığı tarihten bir </w:t>
            </w:r>
            <w:r w:rsidRPr="00A23740">
              <w:rPr>
                <w:rStyle w:val="KIRMIZIChar"/>
                <w:rFonts w:eastAsia="Calibri"/>
              </w:rPr>
              <w:t>sene</w:t>
            </w:r>
            <w:r w:rsidRPr="00A23740">
              <w:rPr>
                <w:rFonts w:eastAsia="Times New Roman"/>
                <w:szCs w:val="24"/>
                <w:lang w:eastAsia="tr-TR"/>
              </w:rPr>
              <w:t xml:space="preserve"> içinde </w:t>
            </w:r>
            <w:r w:rsidRPr="00A23740">
              <w:rPr>
                <w:rStyle w:val="KIRMIZIChar"/>
                <w:rFonts w:eastAsia="Calibri"/>
              </w:rPr>
              <w:t>takibe teşebbüs ederse</w:t>
            </w:r>
            <w:r w:rsidRPr="00A23740">
              <w:rPr>
                <w:rFonts w:eastAsia="Times New Roman"/>
                <w:szCs w:val="24"/>
                <w:lang w:eastAsia="tr-TR"/>
              </w:rPr>
              <w:t xml:space="preserve"> yeniden ödeme emri tebliğine </w:t>
            </w:r>
            <w:r w:rsidRPr="00A23740">
              <w:rPr>
                <w:rStyle w:val="KIRMIZIChar"/>
                <w:rFonts w:eastAsia="Calibri"/>
              </w:rPr>
              <w:t>lüzum</w:t>
            </w:r>
            <w:r w:rsidRPr="00A23740">
              <w:rPr>
                <w:rFonts w:eastAsia="Times New Roman"/>
                <w:szCs w:val="24"/>
                <w:lang w:eastAsia="tr-TR"/>
              </w:rPr>
              <w:t xml:space="preserve"> yoktur.</w:t>
            </w:r>
          </w:p>
          <w:p w:rsidR="00AA5C8C" w:rsidRPr="00A23740" w:rsidRDefault="00AA5C8C" w:rsidP="009431FF">
            <w:pPr>
              <w:widowControl w:val="0"/>
              <w:tabs>
                <w:tab w:val="left" w:pos="567"/>
              </w:tabs>
              <w:outlineLvl w:val="0"/>
              <w:rPr>
                <w:rFonts w:eastAsia="Times New Roman"/>
                <w:szCs w:val="24"/>
                <w:lang w:eastAsia="tr-TR"/>
              </w:rPr>
            </w:pPr>
          </w:p>
          <w:p w:rsidR="00135C39" w:rsidRPr="00A23740" w:rsidRDefault="00135C39"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Aciz </w:t>
            </w:r>
            <w:r w:rsidRPr="00A23740">
              <w:rPr>
                <w:rStyle w:val="KIRMIZIChar"/>
                <w:rFonts w:eastAsia="Calibri"/>
              </w:rPr>
              <w:t>vesikasında</w:t>
            </w:r>
            <w:r w:rsidRPr="00A23740">
              <w:rPr>
                <w:rFonts w:eastAsia="Times New Roman"/>
                <w:szCs w:val="24"/>
                <w:lang w:eastAsia="tr-TR"/>
              </w:rPr>
              <w:t xml:space="preserve"> yazılı alacak </w:t>
            </w:r>
            <w:r w:rsidRPr="00A23740">
              <w:rPr>
                <w:rStyle w:val="KIRMIZIChar"/>
                <w:rFonts w:eastAsia="Calibri"/>
              </w:rPr>
              <w:t>miktarı</w:t>
            </w:r>
            <w:r w:rsidRPr="00A23740">
              <w:rPr>
                <w:rFonts w:eastAsia="Times New Roman"/>
                <w:szCs w:val="24"/>
                <w:lang w:eastAsia="tr-TR"/>
              </w:rPr>
              <w:t xml:space="preserve"> için faiz istenemez.</w:t>
            </w:r>
          </w:p>
          <w:p w:rsidR="00135C39" w:rsidRPr="00A23740" w:rsidRDefault="00135C39" w:rsidP="009431FF">
            <w:pPr>
              <w:widowControl w:val="0"/>
              <w:tabs>
                <w:tab w:val="left" w:pos="567"/>
              </w:tabs>
              <w:rPr>
                <w:rStyle w:val="KIRMIZIChar"/>
                <w:rFonts w:eastAsia="Calibri"/>
              </w:rPr>
            </w:pPr>
          </w:p>
          <w:p w:rsidR="00135C39" w:rsidRPr="00A23740" w:rsidRDefault="00AA5C8C" w:rsidP="009431FF">
            <w:pPr>
              <w:widowControl w:val="0"/>
              <w:tabs>
                <w:tab w:val="left" w:pos="567"/>
              </w:tabs>
              <w:rPr>
                <w:rFonts w:eastAsia="Times New Roman"/>
                <w:szCs w:val="24"/>
                <w:lang w:eastAsia="tr-TR"/>
              </w:rPr>
            </w:pPr>
            <w:r w:rsidRPr="00A23740">
              <w:rPr>
                <w:rStyle w:val="KIRMIZIChar"/>
                <w:rFonts w:eastAsia="Calibri"/>
              </w:rPr>
              <w:t>(5)</w:t>
            </w:r>
            <w:r w:rsidRPr="00A23740">
              <w:rPr>
                <w:rFonts w:eastAsia="Times New Roman"/>
                <w:szCs w:val="24"/>
                <w:lang w:eastAsia="tr-TR"/>
              </w:rPr>
              <w:t xml:space="preserve"> Kefiller, müşterek borçlular ve </w:t>
            </w:r>
            <w:r w:rsidRPr="00A23740">
              <w:rPr>
                <w:rStyle w:val="KIRMIZIChar"/>
                <w:rFonts w:eastAsia="Calibri"/>
              </w:rPr>
              <w:t>borcu tekeffül edenler</w:t>
            </w:r>
            <w:r w:rsidRPr="00A23740">
              <w:rPr>
                <w:rStyle w:val="KIRMIZIChar"/>
                <w:rFonts w:eastAsia="Calibri"/>
                <w:strike w:val="0"/>
              </w:rPr>
              <w:t xml:space="preserve"> </w:t>
            </w:r>
            <w:r w:rsidRPr="00A23740">
              <w:rPr>
                <w:bCs/>
                <w:lang w:eastAsia="tr-TR"/>
              </w:rPr>
              <w:t>bu miktar için verme</w:t>
            </w:r>
            <w:r w:rsidRPr="00A23740">
              <w:rPr>
                <w:rStyle w:val="KIRMIZIChar"/>
                <w:rFonts w:eastAsia="Calibri"/>
              </w:rPr>
              <w:t>ğe mecbur</w:t>
            </w:r>
            <w:r w:rsidRPr="00A23740">
              <w:rPr>
                <w:rFonts w:eastAsia="Times New Roman"/>
                <w:szCs w:val="24"/>
                <w:lang w:eastAsia="tr-TR"/>
              </w:rPr>
              <w:t xml:space="preserve"> oldukları faizlerden </w:t>
            </w:r>
            <w:r w:rsidR="001A031C" w:rsidRPr="00A23740">
              <w:rPr>
                <w:rFonts w:eastAsia="Times New Roman"/>
                <w:szCs w:val="24"/>
                <w:lang w:eastAsia="tr-TR"/>
              </w:rPr>
              <w:t>dolayı borçluya rücü edemezler.</w:t>
            </w:r>
          </w:p>
          <w:p w:rsidR="001A031C" w:rsidRPr="00A23740" w:rsidRDefault="001A031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Fonts w:eastAsia="Times New Roman"/>
                <w:b/>
                <w:strike/>
                <w:color w:val="FF0000"/>
                <w:szCs w:val="24"/>
                <w:lang w:eastAsia="tr-TR"/>
              </w:rPr>
              <w:t>(6) Değişik altıncı fıkra: 17/7/2003-4949/40 md.)</w:t>
            </w:r>
            <w:r w:rsidRPr="00A23740">
              <w:rPr>
                <w:rFonts w:eastAsia="Times New Roman"/>
                <w:b/>
                <w:szCs w:val="24"/>
                <w:lang w:eastAsia="tr-TR"/>
              </w:rPr>
              <w:t xml:space="preserve"> </w:t>
            </w:r>
            <w:r w:rsidRPr="00A23740">
              <w:rPr>
                <w:rFonts w:eastAsia="Times New Roman"/>
                <w:szCs w:val="24"/>
                <w:lang w:eastAsia="tr-TR"/>
              </w:rPr>
              <w:t xml:space="preserve">Bu borç, borçluya karşı, aciz </w:t>
            </w:r>
            <w:r w:rsidRPr="00A23740">
              <w:rPr>
                <w:rStyle w:val="KIRMIZIChar"/>
                <w:rFonts w:eastAsia="Calibri"/>
              </w:rPr>
              <w:t>vesikasının</w:t>
            </w:r>
            <w:r w:rsidRPr="00A23740">
              <w:rPr>
                <w:rFonts w:eastAsia="Times New Roman"/>
                <w:szCs w:val="24"/>
                <w:lang w:eastAsia="tr-TR"/>
              </w:rPr>
              <w:t xml:space="preserve"> düzenlenmesinden itibaren yirmi yıl geçmesiyle zamanaşımına uğrar. Borçlunun mirasçıları, mirasın açılmasından itibaren bir </w:t>
            </w:r>
            <w:r w:rsidRPr="00A23740">
              <w:rPr>
                <w:rStyle w:val="KIRMIZIChar"/>
                <w:rFonts w:eastAsia="Calibri"/>
              </w:rPr>
              <w:t>sene</w:t>
            </w:r>
            <w:r w:rsidRPr="00A23740">
              <w:rPr>
                <w:rFonts w:eastAsia="Times New Roman"/>
                <w:szCs w:val="24"/>
                <w:lang w:eastAsia="tr-TR"/>
              </w:rPr>
              <w:t xml:space="preserve"> içinde </w:t>
            </w:r>
            <w:r w:rsidRPr="00A23740">
              <w:rPr>
                <w:rStyle w:val="KIRMIZIChar"/>
                <w:rFonts w:eastAsia="Calibri"/>
              </w:rPr>
              <w:t>alacaklı</w:t>
            </w:r>
            <w:r w:rsidRPr="00A23740">
              <w:rPr>
                <w:rFonts w:eastAsia="Times New Roman"/>
                <w:szCs w:val="24"/>
                <w:lang w:eastAsia="tr-TR"/>
              </w:rPr>
              <w:t xml:space="preserve"> hakkını </w:t>
            </w:r>
            <w:r w:rsidRPr="00A23740">
              <w:rPr>
                <w:rStyle w:val="KIRMIZIChar"/>
                <w:rFonts w:eastAsia="Calibri"/>
              </w:rPr>
              <w:t>aramamışsa,</w:t>
            </w:r>
            <w:r w:rsidRPr="00A23740">
              <w:rPr>
                <w:rFonts w:eastAsia="Times New Roman"/>
                <w:szCs w:val="24"/>
                <w:lang w:eastAsia="tr-TR"/>
              </w:rPr>
              <w:t xml:space="preserve"> borcun zamanaşımına uğradığını ileri sürebilirler.</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outlineLvl w:val="0"/>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Bu </w:t>
            </w:r>
            <w:r w:rsidRPr="00A23740">
              <w:rPr>
                <w:rStyle w:val="KIRMIZIChar"/>
                <w:rFonts w:eastAsia="Calibri"/>
              </w:rPr>
              <w:t>vesika ile 105 inci maddedeki vesika borcun ikrarını mutazammın senet mahiyetinde olup</w:t>
            </w:r>
            <w:r w:rsidRPr="00A23740">
              <w:rPr>
                <w:rStyle w:val="KIRMIZIChar"/>
                <w:rFonts w:eastAsia="Calibri"/>
                <w:strike w:val="0"/>
              </w:rPr>
              <w:t xml:space="preserve"> </w:t>
            </w:r>
            <w:r w:rsidRPr="00A23740">
              <w:rPr>
                <w:bCs/>
                <w:lang w:eastAsia="tr-TR"/>
              </w:rPr>
              <w:t>alacaklıya</w:t>
            </w:r>
            <w:r w:rsidRPr="00A23740">
              <w:rPr>
                <w:rFonts w:eastAsia="Times New Roman"/>
                <w:szCs w:val="24"/>
                <w:lang w:eastAsia="tr-TR"/>
              </w:rPr>
              <w:t xml:space="preserve"> 277 nci maddede yazılı hakları verir.</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b/>
                <w:strike/>
                <w:color w:val="FF0000"/>
                <w:szCs w:val="24"/>
                <w:lang w:eastAsia="tr-TR"/>
              </w:rPr>
            </w:pPr>
          </w:p>
          <w:p w:rsidR="00AA5C8C" w:rsidRPr="00A23740" w:rsidRDefault="00AA5C8C" w:rsidP="009431FF">
            <w:pPr>
              <w:widowControl w:val="0"/>
              <w:tabs>
                <w:tab w:val="left" w:pos="567"/>
              </w:tabs>
              <w:rPr>
                <w:rFonts w:eastAsia="Times New Roman"/>
                <w:b/>
                <w:strike/>
                <w:color w:val="FF0000"/>
                <w:szCs w:val="24"/>
                <w:lang w:eastAsia="tr-TR"/>
              </w:rPr>
            </w:pPr>
          </w:p>
          <w:p w:rsidR="00AA5C8C" w:rsidRPr="00A23740" w:rsidRDefault="00AA5C8C" w:rsidP="009431FF">
            <w:pPr>
              <w:widowControl w:val="0"/>
              <w:tabs>
                <w:tab w:val="left" w:pos="567"/>
              </w:tabs>
              <w:rPr>
                <w:rFonts w:eastAsia="Times New Roman"/>
                <w:b/>
                <w:strike/>
                <w:color w:val="FF0000"/>
                <w:szCs w:val="24"/>
                <w:lang w:eastAsia="tr-TR"/>
              </w:rPr>
            </w:pPr>
          </w:p>
          <w:p w:rsidR="00AA5C8C" w:rsidRPr="00A23740" w:rsidRDefault="00AA5C8C" w:rsidP="009431FF">
            <w:pPr>
              <w:widowControl w:val="0"/>
              <w:tabs>
                <w:tab w:val="left" w:pos="567"/>
              </w:tabs>
              <w:rPr>
                <w:rFonts w:eastAsia="Times New Roman"/>
                <w:b/>
                <w:strike/>
                <w:color w:val="FF0000"/>
                <w:szCs w:val="24"/>
                <w:lang w:eastAsia="tr-TR"/>
              </w:rPr>
            </w:pPr>
          </w:p>
        </w:tc>
        <w:tc>
          <w:tcPr>
            <w:tcW w:w="2500" w:type="pct"/>
          </w:tcPr>
          <w:p w:rsidR="007B1855" w:rsidRPr="00A23740" w:rsidRDefault="00AA5C8C" w:rsidP="009431FF">
            <w:pPr>
              <w:pStyle w:val="Mavi"/>
              <w:widowControl w:val="0"/>
            </w:pPr>
            <w:r w:rsidRPr="00A23740">
              <w:t>Kesin aci</w:t>
            </w:r>
            <w:r w:rsidR="007B1855" w:rsidRPr="00A23740">
              <w:t>z belgesinin hüküm ve sonuçları</w:t>
            </w:r>
          </w:p>
          <w:p w:rsidR="00AA5C8C" w:rsidRPr="00A23740" w:rsidRDefault="00490C3E" w:rsidP="009431FF">
            <w:pPr>
              <w:pStyle w:val="Mavi"/>
              <w:widowControl w:val="0"/>
            </w:pPr>
            <w:r w:rsidRPr="00A23740">
              <w:t>MADDE 264</w:t>
            </w:r>
            <w:r w:rsidR="00AA5C8C" w:rsidRPr="00A23740">
              <w:t>-</w:t>
            </w:r>
            <w:r w:rsidR="00AA5C8C" w:rsidRPr="00A23740">
              <w:rPr>
                <w:lang w:val="tr-TR"/>
              </w:rPr>
              <w:t xml:space="preserve"> </w:t>
            </w:r>
            <w:r w:rsidR="00AA5C8C" w:rsidRPr="00A23740">
              <w:rPr>
                <w:rStyle w:val="YELChar"/>
                <w:rFonts w:eastAsia="Calibri"/>
                <w:b/>
                <w:color w:val="0000FF"/>
                <w:lang w:eastAsia="x-none"/>
              </w:rPr>
              <w:t>(1)</w:t>
            </w:r>
            <w:r w:rsidR="00AA5C8C" w:rsidRPr="00A23740">
              <w:rPr>
                <w:rFonts w:eastAsia="Times New Roman"/>
              </w:rPr>
              <w:t xml:space="preserve"> </w:t>
            </w:r>
            <w:r w:rsidR="00AA5C8C" w:rsidRPr="00A23740">
              <w:rPr>
                <w:rFonts w:eastAsia="Times New Roman"/>
                <w:b w:val="0"/>
                <w:bCs w:val="0"/>
                <w:color w:val="auto"/>
                <w:lang w:val="tr-TR" w:eastAsia="tr-TR"/>
              </w:rPr>
              <w:t>Alacaklı</w:t>
            </w:r>
            <w:r w:rsidR="006B711A" w:rsidRPr="00A23740">
              <w:t>,</w:t>
            </w:r>
            <w:r w:rsidR="00AA5C8C" w:rsidRPr="00A23740">
              <w:rPr>
                <w:rFonts w:eastAsia="Times New Roman"/>
                <w:b w:val="0"/>
                <w:bCs w:val="0"/>
                <w:color w:val="auto"/>
                <w:lang w:val="tr-TR" w:eastAsia="tr-TR"/>
              </w:rPr>
              <w:t xml:space="preserve"> </w:t>
            </w:r>
            <w:r w:rsidR="00AA5C8C" w:rsidRPr="00A23740">
              <w:t>kesin</w:t>
            </w:r>
            <w:r w:rsidR="00AA5C8C" w:rsidRPr="00A23740">
              <w:rPr>
                <w:rFonts w:eastAsia="Times New Roman"/>
                <w:b w:val="0"/>
                <w:bCs w:val="0"/>
                <w:color w:val="auto"/>
                <w:lang w:val="tr-TR" w:eastAsia="tr-TR"/>
              </w:rPr>
              <w:t xml:space="preserve"> aciz</w:t>
            </w:r>
            <w:r w:rsidR="00AA5C8C" w:rsidRPr="00A23740">
              <w:rPr>
                <w:rFonts w:eastAsia="Times New Roman"/>
              </w:rPr>
              <w:t xml:space="preserve"> belgesini </w:t>
            </w:r>
            <w:r w:rsidR="00AA5C8C" w:rsidRPr="00A23740">
              <w:rPr>
                <w:rFonts w:eastAsia="Times New Roman"/>
                <w:b w:val="0"/>
                <w:bCs w:val="0"/>
                <w:color w:val="auto"/>
                <w:lang w:val="tr-TR" w:eastAsia="tr-TR"/>
              </w:rPr>
              <w:t>aldığı tarihten</w:t>
            </w:r>
            <w:r w:rsidR="00AA5C8C" w:rsidRPr="00A23740">
              <w:t xml:space="preserve"> itibaren</w:t>
            </w:r>
            <w:r w:rsidR="00AA5C8C" w:rsidRPr="00A23740">
              <w:rPr>
                <w:rFonts w:eastAsia="Times New Roman"/>
              </w:rPr>
              <w:t xml:space="preserve"> </w:t>
            </w:r>
            <w:r w:rsidR="00AA5C8C" w:rsidRPr="00A23740">
              <w:rPr>
                <w:rFonts w:eastAsia="Times New Roman"/>
                <w:b w:val="0"/>
                <w:bCs w:val="0"/>
                <w:color w:val="auto"/>
                <w:lang w:val="tr-TR" w:eastAsia="tr-TR"/>
              </w:rPr>
              <w:t xml:space="preserve">bir </w:t>
            </w:r>
            <w:r w:rsidR="00AA5C8C" w:rsidRPr="00A23740">
              <w:rPr>
                <w:rFonts w:eastAsia="Times New Roman"/>
              </w:rPr>
              <w:t xml:space="preserve">yıl </w:t>
            </w:r>
            <w:r w:rsidR="00AA5C8C" w:rsidRPr="00A23740">
              <w:rPr>
                <w:rFonts w:eastAsia="Times New Roman"/>
                <w:b w:val="0"/>
                <w:bCs w:val="0"/>
                <w:color w:val="auto"/>
                <w:lang w:val="tr-TR" w:eastAsia="tr-TR"/>
              </w:rPr>
              <w:t>içinde</w:t>
            </w:r>
            <w:r w:rsidR="00AA5C8C" w:rsidRPr="00A23740">
              <w:rPr>
                <w:rFonts w:eastAsia="Times New Roman"/>
              </w:rPr>
              <w:t xml:space="preserve"> aynı dosya üzerinden </w:t>
            </w:r>
            <w:r w:rsidR="00AA5C8C" w:rsidRPr="00A23740">
              <w:rPr>
                <w:rFonts w:eastAsia="Times New Roman"/>
                <w:b w:val="0"/>
                <w:bCs w:val="0"/>
                <w:color w:val="auto"/>
                <w:lang w:val="tr-TR" w:eastAsia="tr-TR"/>
              </w:rPr>
              <w:t>takibe</w:t>
            </w:r>
            <w:r w:rsidR="00AA5C8C" w:rsidRPr="00A23740">
              <w:rPr>
                <w:rFonts w:eastAsia="Times New Roman"/>
              </w:rPr>
              <w:t xml:space="preserve"> devam etmek isterse</w:t>
            </w:r>
            <w:r w:rsidR="00AA5C8C" w:rsidRPr="00A23740">
              <w:rPr>
                <w:rFonts w:eastAsia="Times New Roman"/>
                <w:lang w:val="tr-TR"/>
              </w:rPr>
              <w:t>,</w:t>
            </w:r>
            <w:r w:rsidR="00AA5C8C" w:rsidRPr="00A23740">
              <w:rPr>
                <w:rFonts w:eastAsia="Times New Roman"/>
              </w:rPr>
              <w:t xml:space="preserve"> </w:t>
            </w:r>
            <w:r w:rsidR="00AA5C8C" w:rsidRPr="00A23740">
              <w:t>borçluya</w:t>
            </w:r>
            <w:r w:rsidR="00AA5C8C" w:rsidRPr="00A23740">
              <w:rPr>
                <w:rFonts w:eastAsia="Times New Roman"/>
                <w:lang w:val="tr-TR"/>
              </w:rPr>
              <w:t xml:space="preserve"> </w:t>
            </w:r>
            <w:r w:rsidR="00AA5C8C" w:rsidRPr="00A23740">
              <w:rPr>
                <w:rFonts w:eastAsia="Times New Roman"/>
                <w:b w:val="0"/>
                <w:bCs w:val="0"/>
                <w:color w:val="auto"/>
                <w:lang w:val="tr-TR" w:eastAsia="tr-TR"/>
              </w:rPr>
              <w:t>yeniden ödeme emri tebliğine</w:t>
            </w:r>
            <w:r w:rsidR="00AA5C8C" w:rsidRPr="00A23740">
              <w:rPr>
                <w:rFonts w:eastAsia="Times New Roman"/>
              </w:rPr>
              <w:t xml:space="preserve"> gerek </w:t>
            </w:r>
            <w:r w:rsidR="00AA5C8C" w:rsidRPr="00A23740">
              <w:rPr>
                <w:rFonts w:eastAsia="Times New Roman"/>
                <w:b w:val="0"/>
                <w:bCs w:val="0"/>
                <w:color w:val="auto"/>
                <w:lang w:val="tr-TR" w:eastAsia="tr-TR"/>
              </w:rPr>
              <w:t>yoktur.</w:t>
            </w:r>
          </w:p>
          <w:p w:rsidR="0067664B" w:rsidRDefault="0067664B" w:rsidP="009431FF">
            <w:pPr>
              <w:widowControl w:val="0"/>
              <w:tabs>
                <w:tab w:val="left" w:pos="567"/>
              </w:tabs>
              <w:outlineLvl w:val="0"/>
              <w:rPr>
                <w:rFonts w:eastAsia="Times New Roman"/>
                <w:szCs w:val="24"/>
                <w:lang w:eastAsia="tr-TR"/>
              </w:rPr>
            </w:pPr>
          </w:p>
          <w:p w:rsidR="0067664B" w:rsidRPr="00A23740" w:rsidRDefault="0067664B" w:rsidP="009431FF">
            <w:pPr>
              <w:widowControl w:val="0"/>
              <w:tabs>
                <w:tab w:val="left" w:pos="567"/>
              </w:tabs>
              <w:outlineLvl w:val="0"/>
              <w:rPr>
                <w:rFonts w:eastAsia="Times New Roman"/>
                <w:szCs w:val="24"/>
                <w:lang w:eastAsia="tr-TR"/>
              </w:rPr>
            </w:pPr>
            <w:r w:rsidRPr="00A23740">
              <w:rPr>
                <w:rFonts w:eastAsia="Times New Roman"/>
                <w:b/>
                <w:color w:val="0000FF"/>
                <w:szCs w:val="24"/>
                <w:lang w:eastAsia="tr-TR"/>
              </w:rPr>
              <w:t>(2)</w:t>
            </w:r>
            <w:r w:rsidRPr="00A23740">
              <w:rPr>
                <w:rFonts w:eastAsia="Times New Roman"/>
                <w:szCs w:val="24"/>
                <w:lang w:eastAsia="tr-TR"/>
              </w:rPr>
              <w:t xml:space="preserve"> </w:t>
            </w:r>
            <w:r w:rsidRPr="00A23740">
              <w:rPr>
                <w:rStyle w:val="MaviChar"/>
              </w:rPr>
              <w:t>Kesin</w:t>
            </w:r>
            <w:r w:rsidRPr="00A23740">
              <w:rPr>
                <w:rFonts w:eastAsia="Times New Roman"/>
                <w:szCs w:val="24"/>
                <w:lang w:eastAsia="tr-TR"/>
              </w:rPr>
              <w:t xml:space="preserve"> aciz </w:t>
            </w:r>
            <w:r w:rsidRPr="00A23740">
              <w:rPr>
                <w:rFonts w:eastAsia="Times New Roman"/>
                <w:b/>
                <w:color w:val="0000FF"/>
                <w:szCs w:val="24"/>
                <w:lang w:eastAsia="tr-TR"/>
              </w:rPr>
              <w:t>belgesinde yazılı alacak tutarı için borçludan</w:t>
            </w:r>
            <w:r w:rsidR="008A5965" w:rsidRPr="00A23740">
              <w:rPr>
                <w:rFonts w:eastAsia="Times New Roman"/>
                <w:b/>
                <w:color w:val="70AD47"/>
                <w:szCs w:val="24"/>
                <w:lang w:eastAsia="tr-TR"/>
              </w:rPr>
              <w:t>,</w:t>
            </w:r>
            <w:r w:rsidRPr="00A23740">
              <w:rPr>
                <w:rFonts w:eastAsia="Times New Roman"/>
                <w:b/>
                <w:color w:val="0000FF"/>
                <w:szCs w:val="24"/>
                <w:lang w:eastAsia="tr-TR"/>
              </w:rPr>
              <w:t xml:space="preserve"> belgenin alındığı tarihten itibaren</w:t>
            </w:r>
            <w:r w:rsidRPr="00A23740">
              <w:rPr>
                <w:rFonts w:eastAsia="Times New Roman"/>
                <w:szCs w:val="24"/>
                <w:lang w:eastAsia="tr-TR"/>
              </w:rPr>
              <w:t xml:space="preserve"> faiz istenemez. Müşterek borçlular</w:t>
            </w:r>
            <w:r w:rsidR="00135C39" w:rsidRPr="00A23740">
              <w:rPr>
                <w:rFonts w:eastAsia="Times New Roman"/>
                <w:szCs w:val="24"/>
                <w:lang w:eastAsia="tr-TR"/>
              </w:rPr>
              <w:t>, kefiller ve</w:t>
            </w:r>
            <w:r w:rsidRPr="00A23740">
              <w:rPr>
                <w:rFonts w:eastAsia="Times New Roman"/>
                <w:szCs w:val="24"/>
                <w:lang w:eastAsia="tr-TR"/>
              </w:rPr>
              <w:t xml:space="preserve"> </w:t>
            </w:r>
            <w:r w:rsidRPr="00A23740">
              <w:rPr>
                <w:rFonts w:eastAsia="Times New Roman"/>
                <w:b/>
                <w:color w:val="0000FF"/>
                <w:szCs w:val="24"/>
                <w:lang w:eastAsia="tr-TR"/>
              </w:rPr>
              <w:t>diğer rücu alacaklıları, kesin aciz belgesinde yazılı tutar</w:t>
            </w:r>
            <w:r w:rsidRPr="00A23740">
              <w:rPr>
                <w:rFonts w:eastAsia="Times New Roman"/>
                <w:szCs w:val="24"/>
                <w:lang w:eastAsia="tr-TR"/>
              </w:rPr>
              <w:t xml:space="preserve"> için ödedikleri </w:t>
            </w:r>
            <w:r w:rsidR="008A5965" w:rsidRPr="005C6390">
              <w:rPr>
                <w:rStyle w:val="Balk1Char"/>
                <w:rFonts w:eastAsia="Calibri"/>
              </w:rPr>
              <w:t>faiz için</w:t>
            </w:r>
            <w:r w:rsidR="008A5965" w:rsidRPr="00A23740">
              <w:rPr>
                <w:rFonts w:eastAsia="Times New Roman"/>
                <w:color w:val="70AD47"/>
                <w:szCs w:val="24"/>
                <w:lang w:eastAsia="tr-TR"/>
              </w:rPr>
              <w:t xml:space="preserve"> </w:t>
            </w:r>
            <w:r w:rsidRPr="00A23740">
              <w:rPr>
                <w:rFonts w:eastAsia="Times New Roman"/>
                <w:szCs w:val="24"/>
                <w:lang w:eastAsia="tr-TR"/>
              </w:rPr>
              <w:t>borçluya rücu edemezler.</w:t>
            </w:r>
          </w:p>
          <w:p w:rsidR="00AA5C8C" w:rsidRPr="00A23740" w:rsidRDefault="00AA5C8C" w:rsidP="009431FF">
            <w:pPr>
              <w:widowControl w:val="0"/>
              <w:tabs>
                <w:tab w:val="left" w:pos="567"/>
              </w:tabs>
              <w:rPr>
                <w:rFonts w:eastAsia="Times New Roman"/>
                <w:b/>
                <w:color w:val="0000FF"/>
                <w:szCs w:val="24"/>
                <w:lang w:eastAsia="tr-TR"/>
              </w:rPr>
            </w:pPr>
          </w:p>
          <w:p w:rsidR="001A031C" w:rsidRPr="00A23740" w:rsidRDefault="001A031C" w:rsidP="009431FF">
            <w:pPr>
              <w:widowControl w:val="0"/>
              <w:tabs>
                <w:tab w:val="left" w:pos="567"/>
              </w:tabs>
              <w:rPr>
                <w:rFonts w:eastAsia="Times New Roman"/>
                <w:b/>
                <w:color w:val="0000FF"/>
                <w:szCs w:val="24"/>
                <w:lang w:eastAsia="tr-TR"/>
              </w:rPr>
            </w:pPr>
          </w:p>
          <w:p w:rsidR="00626F03" w:rsidRPr="00A23740" w:rsidRDefault="00626F03" w:rsidP="009431FF">
            <w:pPr>
              <w:widowControl w:val="0"/>
              <w:tabs>
                <w:tab w:val="left" w:pos="567"/>
              </w:tabs>
              <w:rPr>
                <w:rFonts w:eastAsia="Times New Roman"/>
                <w:szCs w:val="24"/>
                <w:lang w:eastAsia="tr-TR"/>
              </w:rPr>
            </w:pPr>
            <w:r w:rsidRPr="00A23740">
              <w:rPr>
                <w:rFonts w:eastAsia="Times New Roman"/>
                <w:b/>
                <w:color w:val="0000FF"/>
                <w:szCs w:val="24"/>
                <w:lang w:eastAsia="tr-TR"/>
              </w:rPr>
              <w:t>(3) Kesin</w:t>
            </w:r>
            <w:r w:rsidRPr="00A23740">
              <w:rPr>
                <w:rFonts w:eastAsia="Times New Roman"/>
                <w:szCs w:val="24"/>
                <w:lang w:eastAsia="tr-TR"/>
              </w:rPr>
              <w:t xml:space="preserve"> </w:t>
            </w:r>
            <w:r w:rsidRPr="00A23740">
              <w:rPr>
                <w:rFonts w:eastAsia="Times New Roman"/>
                <w:b/>
                <w:color w:val="0000FF"/>
                <w:szCs w:val="24"/>
                <w:lang w:eastAsia="tr-TR"/>
              </w:rPr>
              <w:t>aciz</w:t>
            </w:r>
            <w:r w:rsidRPr="00A23740">
              <w:rPr>
                <w:rFonts w:eastAsia="Times New Roman"/>
                <w:szCs w:val="24"/>
                <w:lang w:eastAsia="tr-TR"/>
              </w:rPr>
              <w:t xml:space="preserve"> </w:t>
            </w:r>
            <w:r w:rsidRPr="00A23740">
              <w:rPr>
                <w:rFonts w:eastAsia="Times New Roman"/>
                <w:b/>
                <w:color w:val="0000FF"/>
                <w:szCs w:val="24"/>
                <w:lang w:eastAsia="tr-TR"/>
              </w:rPr>
              <w:t>belgesine</w:t>
            </w:r>
            <w:r w:rsidRPr="00A23740">
              <w:rPr>
                <w:rFonts w:eastAsia="Times New Roman"/>
                <w:szCs w:val="24"/>
                <w:lang w:eastAsia="tr-TR"/>
              </w:rPr>
              <w:t xml:space="preserve"> </w:t>
            </w:r>
            <w:r w:rsidRPr="00A23740">
              <w:rPr>
                <w:rFonts w:eastAsia="Times New Roman"/>
                <w:b/>
                <w:color w:val="0000FF"/>
                <w:szCs w:val="24"/>
                <w:lang w:eastAsia="tr-TR"/>
              </w:rPr>
              <w:t>konu</w:t>
            </w:r>
            <w:r w:rsidRPr="00A23740">
              <w:rPr>
                <w:rFonts w:eastAsia="Times New Roman"/>
                <w:szCs w:val="24"/>
                <w:lang w:eastAsia="tr-TR"/>
              </w:rPr>
              <w:t xml:space="preserve"> </w:t>
            </w:r>
            <w:r w:rsidRPr="00A23740">
              <w:rPr>
                <w:rFonts w:eastAsia="Times New Roman"/>
                <w:b/>
                <w:color w:val="0000FF"/>
                <w:szCs w:val="24"/>
                <w:lang w:eastAsia="tr-TR"/>
              </w:rPr>
              <w:t>borç</w:t>
            </w:r>
            <w:r w:rsidRPr="00A23740">
              <w:rPr>
                <w:rFonts w:eastAsia="Times New Roman"/>
                <w:szCs w:val="24"/>
                <w:lang w:eastAsia="tr-TR"/>
              </w:rPr>
              <w:t xml:space="preserve">, borçluya karşı, </w:t>
            </w:r>
            <w:r w:rsidRPr="00A23740">
              <w:rPr>
                <w:rFonts w:eastAsia="Times New Roman"/>
                <w:b/>
                <w:color w:val="0000FF"/>
                <w:szCs w:val="24"/>
                <w:lang w:eastAsia="tr-TR"/>
              </w:rPr>
              <w:t>kesin</w:t>
            </w:r>
            <w:r w:rsidRPr="00A23740">
              <w:rPr>
                <w:rFonts w:eastAsia="Times New Roman"/>
                <w:szCs w:val="24"/>
                <w:lang w:eastAsia="tr-TR"/>
              </w:rPr>
              <w:t xml:space="preserve"> aciz </w:t>
            </w:r>
            <w:r w:rsidRPr="00A23740">
              <w:rPr>
                <w:rFonts w:eastAsia="Times New Roman"/>
                <w:b/>
                <w:color w:val="0000FF"/>
                <w:szCs w:val="24"/>
                <w:lang w:eastAsia="tr-TR"/>
              </w:rPr>
              <w:t>belgesinin</w:t>
            </w:r>
            <w:r w:rsidRPr="00A23740">
              <w:rPr>
                <w:rFonts w:eastAsia="Times New Roman"/>
                <w:szCs w:val="24"/>
                <w:lang w:eastAsia="tr-TR"/>
              </w:rPr>
              <w:t xml:space="preserve"> düzenlenmesinden itibaren yirmi yıl geçmesiyle zamanaşımına uğrar. </w:t>
            </w:r>
            <w:r w:rsidR="00B96168" w:rsidRPr="00A23740">
              <w:rPr>
                <w:rFonts w:eastAsia="Times New Roman"/>
                <w:b/>
                <w:color w:val="0000FF"/>
                <w:szCs w:val="24"/>
                <w:lang w:eastAsia="tr-TR"/>
              </w:rPr>
              <w:t xml:space="preserve">Belgenin </w:t>
            </w:r>
            <w:r w:rsidRPr="00A23740">
              <w:rPr>
                <w:rFonts w:eastAsia="Times New Roman"/>
                <w:b/>
                <w:color w:val="0000FF"/>
                <w:szCs w:val="24"/>
                <w:lang w:eastAsia="tr-TR"/>
              </w:rPr>
              <w:t>verilmesinden sonra borçlunun ölümü h</w:t>
            </w:r>
            <w:r w:rsidR="00C224B4" w:rsidRPr="00A23740">
              <w:rPr>
                <w:rFonts w:eastAsia="Times New Roman"/>
                <w:b/>
                <w:color w:val="0000FF"/>
                <w:szCs w:val="24"/>
                <w:lang w:eastAsia="tr-TR"/>
              </w:rPr>
              <w:t>â</w:t>
            </w:r>
            <w:r w:rsidRPr="00A23740">
              <w:rPr>
                <w:rFonts w:eastAsia="Times New Roman"/>
                <w:b/>
                <w:color w:val="0000FF"/>
                <w:szCs w:val="24"/>
                <w:lang w:eastAsia="tr-TR"/>
              </w:rPr>
              <w:t>linde</w:t>
            </w:r>
            <w:r w:rsidR="00B96168" w:rsidRPr="00A23740">
              <w:rPr>
                <w:rFonts w:eastAsia="Times New Roman"/>
                <w:b/>
                <w:color w:val="0000FF"/>
                <w:szCs w:val="24"/>
                <w:lang w:eastAsia="tr-TR"/>
              </w:rPr>
              <w:t xml:space="preserve"> alacaklı,</w:t>
            </w:r>
            <w:r w:rsidRPr="00A23740">
              <w:rPr>
                <w:rFonts w:eastAsia="Times New Roman"/>
                <w:szCs w:val="24"/>
                <w:lang w:eastAsia="tr-TR"/>
              </w:rPr>
              <w:t xml:space="preserve"> borçlunun mirasçıları</w:t>
            </w:r>
            <w:r w:rsidRPr="00A23740">
              <w:rPr>
                <w:rStyle w:val="MaviChar"/>
              </w:rPr>
              <w:t>na</w:t>
            </w:r>
            <w:r w:rsidRPr="00A23740">
              <w:rPr>
                <w:rFonts w:eastAsia="Times New Roman"/>
                <w:szCs w:val="24"/>
                <w:lang w:eastAsia="tr-TR"/>
              </w:rPr>
              <w:t xml:space="preserve"> karşı, mirasın açılmasından itibaren bir </w:t>
            </w:r>
            <w:r w:rsidRPr="00A23740">
              <w:rPr>
                <w:rFonts w:eastAsia="Times New Roman"/>
                <w:b/>
                <w:color w:val="0000FF"/>
                <w:szCs w:val="24"/>
                <w:lang w:eastAsia="tr-TR"/>
              </w:rPr>
              <w:t>yıl</w:t>
            </w:r>
            <w:r w:rsidRPr="00A23740">
              <w:rPr>
                <w:rFonts w:eastAsia="Times New Roman"/>
                <w:szCs w:val="24"/>
                <w:lang w:eastAsia="tr-TR"/>
              </w:rPr>
              <w:t xml:space="preserve"> içinde </w:t>
            </w:r>
            <w:r w:rsidRPr="00A23740">
              <w:rPr>
                <w:rFonts w:eastAsia="Times New Roman"/>
                <w:b/>
                <w:color w:val="0000FF"/>
                <w:szCs w:val="24"/>
                <w:lang w:eastAsia="tr-TR"/>
              </w:rPr>
              <w:t xml:space="preserve">hakkını ileri sürmemişse mirasçılar </w:t>
            </w:r>
            <w:r w:rsidRPr="00A23740">
              <w:rPr>
                <w:rFonts w:eastAsia="Times New Roman"/>
                <w:szCs w:val="24"/>
                <w:lang w:eastAsia="tr-TR"/>
              </w:rPr>
              <w:t xml:space="preserve">borcun zamanaşımına uğradığını </w:t>
            </w:r>
            <w:r w:rsidRPr="00A23740">
              <w:rPr>
                <w:rStyle w:val="MaviChar"/>
              </w:rPr>
              <w:t>öne</w:t>
            </w:r>
            <w:r w:rsidRPr="00A23740">
              <w:rPr>
                <w:rFonts w:eastAsia="Times New Roman"/>
                <w:szCs w:val="24"/>
                <w:lang w:eastAsia="tr-TR"/>
              </w:rPr>
              <w:t xml:space="preserve"> sürebilirler.</w:t>
            </w:r>
          </w:p>
          <w:p w:rsidR="00AA5C8C" w:rsidRPr="00A23740" w:rsidRDefault="00AA5C8C" w:rsidP="009431FF">
            <w:pPr>
              <w:widowControl w:val="0"/>
              <w:tabs>
                <w:tab w:val="left" w:pos="567"/>
              </w:tabs>
              <w:rPr>
                <w:rFonts w:eastAsia="Times New Roman"/>
                <w:szCs w:val="24"/>
                <w:lang w:eastAsia="tr-TR"/>
              </w:rPr>
            </w:pPr>
          </w:p>
          <w:p w:rsidR="00AA5C8C" w:rsidRPr="00A23740" w:rsidRDefault="00AA5C8C" w:rsidP="009431FF">
            <w:pPr>
              <w:widowControl w:val="0"/>
              <w:tabs>
                <w:tab w:val="left" w:pos="567"/>
              </w:tabs>
              <w:rPr>
                <w:rFonts w:eastAsia="Times New Roman"/>
                <w:szCs w:val="24"/>
                <w:lang w:eastAsia="tr-TR"/>
              </w:rPr>
            </w:pPr>
            <w:r w:rsidRPr="00A23740">
              <w:rPr>
                <w:rStyle w:val="MaviChar"/>
              </w:rPr>
              <w:t>(4)</w:t>
            </w:r>
            <w:r w:rsidR="00D92CDC" w:rsidRPr="00A23740">
              <w:rPr>
                <w:rFonts w:eastAsia="Times New Roman"/>
                <w:szCs w:val="24"/>
                <w:lang w:eastAsia="tr-TR"/>
              </w:rPr>
              <w:t xml:space="preserve"> </w:t>
            </w:r>
            <w:r w:rsidR="00D92CDC" w:rsidRPr="00A23740">
              <w:rPr>
                <w:rStyle w:val="MaviChar"/>
              </w:rPr>
              <w:t>Kesin</w:t>
            </w:r>
            <w:r w:rsidR="00D92CDC" w:rsidRPr="00A23740">
              <w:rPr>
                <w:rFonts w:eastAsia="Times New Roman"/>
                <w:szCs w:val="24"/>
                <w:lang w:eastAsia="tr-TR"/>
              </w:rPr>
              <w:t xml:space="preserve"> </w:t>
            </w:r>
            <w:r w:rsidR="00D92CDC" w:rsidRPr="00A23740">
              <w:rPr>
                <w:rStyle w:val="MaviChar"/>
              </w:rPr>
              <w:t>aciz</w:t>
            </w:r>
            <w:r w:rsidRPr="00A23740">
              <w:rPr>
                <w:rFonts w:eastAsia="Times New Roman"/>
                <w:szCs w:val="24"/>
                <w:lang w:eastAsia="tr-TR"/>
              </w:rPr>
              <w:t xml:space="preserve"> </w:t>
            </w:r>
            <w:r w:rsidRPr="00A23740">
              <w:rPr>
                <w:rStyle w:val="MaviChar"/>
              </w:rPr>
              <w:t>belge</w:t>
            </w:r>
            <w:r w:rsidR="00D92CDC" w:rsidRPr="00A23740">
              <w:rPr>
                <w:rStyle w:val="MaviChar"/>
                <w:lang w:val="tr-TR"/>
              </w:rPr>
              <w:t>si</w:t>
            </w:r>
            <w:r w:rsidRPr="00A23740">
              <w:rPr>
                <w:rStyle w:val="MaviChar"/>
              </w:rPr>
              <w:t>,</w:t>
            </w:r>
            <w:r w:rsidRPr="00A23740">
              <w:rPr>
                <w:rFonts w:eastAsia="Times New Roman"/>
                <w:szCs w:val="24"/>
                <w:lang w:eastAsia="tr-TR"/>
              </w:rPr>
              <w:t xml:space="preserve"> alacaklıya</w:t>
            </w:r>
            <w:r w:rsidR="00712FEF" w:rsidRPr="00A23740">
              <w:rPr>
                <w:rFonts w:eastAsia="Times New Roman"/>
                <w:szCs w:val="24"/>
                <w:lang w:eastAsia="tr-TR"/>
              </w:rPr>
              <w:t xml:space="preserve"> </w:t>
            </w:r>
            <w:r w:rsidR="00712FEF" w:rsidRPr="005C6390">
              <w:rPr>
                <w:rStyle w:val="MaviChar"/>
              </w:rPr>
              <w:t>442 nci</w:t>
            </w:r>
            <w:r w:rsidRPr="00A23740">
              <w:rPr>
                <w:rFonts w:eastAsia="Times New Roman"/>
                <w:szCs w:val="24"/>
                <w:lang w:eastAsia="tr-TR"/>
              </w:rPr>
              <w:t xml:space="preserve"> maddede yazılı hakları verir.</w:t>
            </w:r>
          </w:p>
          <w:p w:rsidR="00C15418" w:rsidRPr="00A23740" w:rsidRDefault="00C15418" w:rsidP="009431FF">
            <w:pPr>
              <w:pStyle w:val="Mavi"/>
              <w:widowControl w:val="0"/>
            </w:pPr>
          </w:p>
          <w:p w:rsidR="00AA5C8C" w:rsidRPr="00A23740" w:rsidRDefault="00AA5C8C" w:rsidP="009431FF">
            <w:pPr>
              <w:pStyle w:val="Mavi"/>
              <w:widowControl w:val="0"/>
            </w:pPr>
            <w:r w:rsidRPr="00A23740">
              <w:rPr>
                <w:rStyle w:val="YELChar"/>
                <w:rFonts w:eastAsia="Calibri"/>
                <w:b/>
                <w:color w:val="0000FF"/>
                <w:lang w:eastAsia="x-none"/>
              </w:rPr>
              <w:t>(5)</w:t>
            </w:r>
            <w:r w:rsidRPr="00A23740">
              <w:t xml:space="preserve"> </w:t>
            </w:r>
            <w:r w:rsidR="008A5965" w:rsidRPr="005C6390">
              <w:t>Aleyhine</w:t>
            </w:r>
            <w:r w:rsidR="008A5965" w:rsidRPr="00A23740">
              <w:rPr>
                <w:color w:val="70AD47"/>
              </w:rPr>
              <w:t xml:space="preserve"> </w:t>
            </w:r>
            <w:r w:rsidRPr="00A23740">
              <w:t xml:space="preserve">kesin aciz belgesi düzenlenen borçlu, aciz </w:t>
            </w:r>
            <w:r w:rsidRPr="00A23740">
              <w:rPr>
                <w:rStyle w:val="YELChar"/>
                <w:rFonts w:eastAsia="Calibri"/>
                <w:b/>
                <w:color w:val="0000FF"/>
                <w:lang w:eastAsia="x-none"/>
              </w:rPr>
              <w:t>belgesinin</w:t>
            </w:r>
            <w:r w:rsidRPr="00A23740">
              <w:t xml:space="preserve"> düzenlenmesinden önceki iki yıl içinde taşınmazları ve sicile kayıtlı diğer mal ve hakları üzerinde yapmış olduğu tasarruf işlemleri</w:t>
            </w:r>
            <w:r w:rsidR="00E323D9" w:rsidRPr="00A23740">
              <w:t xml:space="preserve"> </w:t>
            </w:r>
            <w:r w:rsidR="008A5965" w:rsidRPr="005C6390">
              <w:t>hakkında,</w:t>
            </w:r>
            <w:r w:rsidR="008A5965" w:rsidRPr="00A23740">
              <w:rPr>
                <w:color w:val="70AD47"/>
              </w:rPr>
              <w:t xml:space="preserve"> </w:t>
            </w:r>
            <w:r w:rsidRPr="00A23740">
              <w:t xml:space="preserve">aciz belgesinin kendisine tebliğinden itibaren </w:t>
            </w:r>
            <w:r w:rsidR="00A87BC6" w:rsidRPr="00A23740">
              <w:rPr>
                <w:lang w:val="tr-TR"/>
              </w:rPr>
              <w:t>iki</w:t>
            </w:r>
            <w:r w:rsidRPr="00A23740">
              <w:t xml:space="preserve"> hafta içinde yazılı olarak icra ve iflas</w:t>
            </w:r>
            <w:r w:rsidRPr="00A23740">
              <w:rPr>
                <w:lang w:val="tr-TR"/>
              </w:rPr>
              <w:t xml:space="preserve"> </w:t>
            </w:r>
            <w:r w:rsidRPr="00A23740">
              <w:t>dairesine</w:t>
            </w:r>
            <w:r w:rsidR="008A5965" w:rsidRPr="00A23740">
              <w:t xml:space="preserve"> </w:t>
            </w:r>
            <w:r w:rsidR="008A5965" w:rsidRPr="005C6390">
              <w:t>beyanda bulunmak</w:t>
            </w:r>
            <w:r w:rsidRPr="00A23740">
              <w:t xml:space="preserve"> zorundadır. </w:t>
            </w:r>
            <w:r w:rsidR="002D0EA8" w:rsidRPr="00A23740">
              <w:rPr>
                <w:lang w:val="tr-TR"/>
              </w:rPr>
              <w:t xml:space="preserve">Aciz belgesinde, borçlunun </w:t>
            </w:r>
            <w:r w:rsidR="00E33151" w:rsidRPr="00A23740">
              <w:rPr>
                <w:lang w:val="tr-TR"/>
              </w:rPr>
              <w:t xml:space="preserve">süresi içinde </w:t>
            </w:r>
            <w:r w:rsidR="002D0EA8" w:rsidRPr="00A23740">
              <w:rPr>
                <w:lang w:val="tr-TR"/>
              </w:rPr>
              <w:t>beyanda bulunmaması h</w:t>
            </w:r>
            <w:r w:rsidR="00A32EDF" w:rsidRPr="00A23740">
              <w:rPr>
                <w:lang w:val="tr-TR"/>
              </w:rPr>
              <w:t>â</w:t>
            </w:r>
            <w:r w:rsidR="002D0EA8" w:rsidRPr="00A23740">
              <w:rPr>
                <w:lang w:val="tr-TR"/>
              </w:rPr>
              <w:t>linde</w:t>
            </w:r>
            <w:r w:rsidR="00C6587F" w:rsidRPr="00A23740">
              <w:rPr>
                <w:lang w:val="tr-TR"/>
              </w:rPr>
              <w:t xml:space="preserve"> </w:t>
            </w:r>
            <w:r w:rsidR="00C6587F" w:rsidRPr="005C6390">
              <w:t>511 inci</w:t>
            </w:r>
            <w:r w:rsidR="002D0EA8" w:rsidRPr="00A23740">
              <w:rPr>
                <w:lang w:val="tr-TR"/>
              </w:rPr>
              <w:t xml:space="preserve"> madde uyarınca disiplin hapsi</w:t>
            </w:r>
            <w:r w:rsidR="008A5965" w:rsidRPr="005C6390">
              <w:t>yle</w:t>
            </w:r>
            <w:r w:rsidR="002D0EA8" w:rsidRPr="00A23740">
              <w:rPr>
                <w:lang w:val="tr-TR"/>
              </w:rPr>
              <w:t xml:space="preserve"> cezalandırılacağı;</w:t>
            </w:r>
            <w:r w:rsidRPr="00A23740">
              <w:rPr>
                <w:lang w:val="tr-TR"/>
              </w:rPr>
              <w:t xml:space="preserve"> </w:t>
            </w:r>
            <w:r w:rsidRPr="00A23740">
              <w:t xml:space="preserve">gerçeğe aykırı </w:t>
            </w:r>
            <w:r w:rsidR="008A5965" w:rsidRPr="005C6390">
              <w:t>beyanda</w:t>
            </w:r>
            <w:r w:rsidR="008A5965" w:rsidRPr="00A23740">
              <w:rPr>
                <w:color w:val="70AD47"/>
              </w:rPr>
              <w:t xml:space="preserve"> </w:t>
            </w:r>
            <w:r w:rsidR="002D0EA8" w:rsidRPr="00A23740">
              <w:rPr>
                <w:lang w:val="tr-TR"/>
              </w:rPr>
              <w:t>bulunması h</w:t>
            </w:r>
            <w:r w:rsidR="00C224B4" w:rsidRPr="00A23740">
              <w:rPr>
                <w:lang w:val="tr-TR"/>
              </w:rPr>
              <w:t>â</w:t>
            </w:r>
            <w:r w:rsidR="002D0EA8" w:rsidRPr="00A23740">
              <w:rPr>
                <w:lang w:val="tr-TR"/>
              </w:rPr>
              <w:t>linde ise</w:t>
            </w:r>
            <w:r w:rsidR="00C6587F" w:rsidRPr="00A23740">
              <w:rPr>
                <w:lang w:val="tr-TR"/>
              </w:rPr>
              <w:t xml:space="preserve"> </w:t>
            </w:r>
            <w:r w:rsidR="00C6587F" w:rsidRPr="005C6390">
              <w:t>518 inci</w:t>
            </w:r>
            <w:r w:rsidRPr="00A23740">
              <w:rPr>
                <w:lang w:val="tr-TR"/>
              </w:rPr>
              <w:t xml:space="preserve"> </w:t>
            </w:r>
            <w:r w:rsidR="002D0EA8" w:rsidRPr="00A23740">
              <w:t>madde uyarınca hapis cezası</w:t>
            </w:r>
            <w:r w:rsidR="008A5965" w:rsidRPr="005C6390">
              <w:t>yla</w:t>
            </w:r>
            <w:r w:rsidR="002D0EA8" w:rsidRPr="00A23740">
              <w:t xml:space="preserve"> cezalandırılacağı belirtilir.</w:t>
            </w:r>
          </w:p>
          <w:p w:rsidR="00E323D9" w:rsidRPr="00A23740" w:rsidRDefault="00E323D9" w:rsidP="009431FF">
            <w:pPr>
              <w:widowControl w:val="0"/>
              <w:tabs>
                <w:tab w:val="left" w:pos="567"/>
              </w:tabs>
            </w:pPr>
          </w:p>
        </w:tc>
      </w:tr>
      <w:tr w:rsidR="00FA2C39" w:rsidRPr="00A23740" w:rsidTr="009431FF">
        <w:tblPrEx>
          <w:tblLook w:val="01E0" w:firstRow="1" w:lastRow="1" w:firstColumn="1" w:lastColumn="1" w:noHBand="0" w:noVBand="0"/>
        </w:tblPrEx>
        <w:tc>
          <w:tcPr>
            <w:tcW w:w="5000" w:type="pct"/>
            <w:gridSpan w:val="2"/>
            <w:shd w:val="clear" w:color="auto" w:fill="DEEAF6"/>
          </w:tcPr>
          <w:p w:rsidR="00404BAC" w:rsidRPr="00A23740" w:rsidRDefault="00404BAC" w:rsidP="009431FF">
            <w:pPr>
              <w:pStyle w:val="Mavi"/>
              <w:ind w:firstLine="709"/>
            </w:pPr>
          </w:p>
          <w:p w:rsidR="00404BAC" w:rsidRPr="00A23740" w:rsidRDefault="00490C3E" w:rsidP="009431FF">
            <w:pPr>
              <w:pStyle w:val="Mavi"/>
              <w:ind w:firstLine="709"/>
              <w:rPr>
                <w:rFonts w:eastAsia="Times New Roman"/>
                <w:b w:val="0"/>
                <w:bCs w:val="0"/>
                <w:color w:val="auto"/>
                <w:lang w:val="tr-TR" w:eastAsia="tr-TR"/>
              </w:rPr>
            </w:pPr>
            <w:r w:rsidRPr="00A23740">
              <w:rPr>
                <w:rFonts w:eastAsia="Times New Roman"/>
                <w:bCs w:val="0"/>
                <w:color w:val="auto"/>
                <w:lang w:val="tr-TR" w:eastAsia="tr-TR"/>
              </w:rPr>
              <w:t>MADDE 264</w:t>
            </w:r>
            <w:r w:rsidR="00404BAC" w:rsidRPr="00A23740">
              <w:rPr>
                <w:rFonts w:eastAsia="Times New Roman"/>
                <w:bCs w:val="0"/>
                <w:color w:val="auto"/>
                <w:lang w:val="tr-TR" w:eastAsia="tr-TR"/>
              </w:rPr>
              <w:t>-</w:t>
            </w:r>
            <w:r w:rsidR="00404BAC" w:rsidRPr="00A23740">
              <w:rPr>
                <w:rFonts w:eastAsia="Times New Roman"/>
                <w:b w:val="0"/>
                <w:bCs w:val="0"/>
                <w:color w:val="auto"/>
                <w:lang w:val="tr-TR" w:eastAsia="tr-TR"/>
              </w:rPr>
              <w:t xml:space="preserve"> Maddeyle, kesin aciz belgesinin hüküm ve sonuçlarına ilişkin hususlar düzenlenmektedir. Hüküm, 2004 sayılı Kanunun 143 üncü maddesinin ikinci, üçüncü, dördüncü, beşinci ve altıncı fıkralarına karşılık gelmekte olup</w:t>
            </w:r>
            <w:r w:rsidR="00D877B1" w:rsidRPr="00A23740">
              <w:rPr>
                <w:rFonts w:eastAsia="Times New Roman"/>
                <w:b w:val="0"/>
                <w:bCs w:val="0"/>
                <w:color w:val="auto"/>
                <w:lang w:val="tr-TR" w:eastAsia="tr-TR"/>
              </w:rPr>
              <w:t>,</w:t>
            </w:r>
            <w:r w:rsidR="00E66371" w:rsidRPr="00A23740">
              <w:rPr>
                <w:rFonts w:eastAsia="Times New Roman"/>
                <w:b w:val="0"/>
                <w:bCs w:val="0"/>
                <w:color w:val="auto"/>
                <w:lang w:val="tr-TR" w:eastAsia="tr-TR"/>
              </w:rPr>
              <w:t xml:space="preserve"> içerik olarak</w:t>
            </w:r>
            <w:r w:rsidR="00404BAC" w:rsidRPr="00A23740">
              <w:rPr>
                <w:rFonts w:eastAsia="Times New Roman"/>
                <w:b w:val="0"/>
                <w:bCs w:val="0"/>
                <w:color w:val="auto"/>
                <w:lang w:val="tr-TR" w:eastAsia="tr-TR"/>
              </w:rPr>
              <w:t xml:space="preserve"> </w:t>
            </w:r>
            <w:r w:rsidR="00D877B1" w:rsidRPr="00A23740">
              <w:rPr>
                <w:rFonts w:eastAsia="Times New Roman"/>
                <w:b w:val="0"/>
                <w:bCs w:val="0"/>
                <w:color w:val="auto"/>
                <w:lang w:val="tr-TR" w:eastAsia="tr-TR"/>
              </w:rPr>
              <w:t xml:space="preserve">büyük ölçüde </w:t>
            </w:r>
            <w:r w:rsidR="00404BAC" w:rsidRPr="00A23740">
              <w:rPr>
                <w:rFonts w:eastAsia="Times New Roman"/>
                <w:b w:val="0"/>
                <w:bCs w:val="0"/>
                <w:color w:val="auto"/>
                <w:lang w:val="tr-TR" w:eastAsia="tr-TR"/>
              </w:rPr>
              <w:t>muhafaza edilmektedir.</w:t>
            </w:r>
          </w:p>
          <w:p w:rsidR="00FA2C39" w:rsidRPr="00A23740" w:rsidRDefault="00404BAC"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Birinci fıkrayla</w:t>
            </w:r>
            <w:r w:rsidR="0042627E" w:rsidRPr="00A23740">
              <w:rPr>
                <w:rFonts w:eastAsia="Times New Roman"/>
                <w:b w:val="0"/>
                <w:bCs w:val="0"/>
                <w:color w:val="auto"/>
                <w:lang w:val="tr-TR" w:eastAsia="tr-TR"/>
              </w:rPr>
              <w:t>,</w:t>
            </w:r>
            <w:r w:rsidR="00FA2C39" w:rsidRPr="00A23740">
              <w:rPr>
                <w:rFonts w:eastAsia="Times New Roman"/>
                <w:b w:val="0"/>
                <w:bCs w:val="0"/>
                <w:color w:val="auto"/>
                <w:lang w:val="tr-TR" w:eastAsia="tr-TR"/>
              </w:rPr>
              <w:t xml:space="preserve"> </w:t>
            </w:r>
            <w:r w:rsidRPr="00A23740">
              <w:rPr>
                <w:rFonts w:eastAsia="Times New Roman"/>
                <w:b w:val="0"/>
                <w:bCs w:val="0"/>
                <w:color w:val="auto"/>
                <w:lang w:val="tr-TR" w:eastAsia="tr-TR"/>
              </w:rPr>
              <w:t>alacaklının,</w:t>
            </w:r>
            <w:r w:rsidR="00FA2C39" w:rsidRPr="00A23740">
              <w:rPr>
                <w:rFonts w:eastAsia="Times New Roman"/>
                <w:b w:val="0"/>
                <w:bCs w:val="0"/>
                <w:color w:val="auto"/>
                <w:lang w:val="tr-TR" w:eastAsia="tr-TR"/>
              </w:rPr>
              <w:t xml:space="preserve"> kesin aciz belgesini aldığı tarihten itibaren bir yıl içinde aynı dosya üzerinden takibe devam etmek iste</w:t>
            </w:r>
            <w:r w:rsidRPr="00A23740">
              <w:rPr>
                <w:rFonts w:eastAsia="Times New Roman"/>
                <w:b w:val="0"/>
                <w:bCs w:val="0"/>
                <w:color w:val="auto"/>
                <w:lang w:val="tr-TR" w:eastAsia="tr-TR"/>
              </w:rPr>
              <w:t>mesi h</w:t>
            </w:r>
            <w:r w:rsidR="00C224B4" w:rsidRPr="00A23740">
              <w:rPr>
                <w:rFonts w:eastAsia="Times New Roman"/>
                <w:b w:val="0"/>
                <w:bCs w:val="0"/>
                <w:color w:val="auto"/>
                <w:lang w:val="tr-TR" w:eastAsia="tr-TR"/>
              </w:rPr>
              <w:t>â</w:t>
            </w:r>
            <w:r w:rsidRPr="00A23740">
              <w:rPr>
                <w:rFonts w:eastAsia="Times New Roman"/>
                <w:b w:val="0"/>
                <w:bCs w:val="0"/>
                <w:color w:val="auto"/>
                <w:lang w:val="tr-TR" w:eastAsia="tr-TR"/>
              </w:rPr>
              <w:t>linde</w:t>
            </w:r>
            <w:r w:rsidR="00FA2C39" w:rsidRPr="00A23740">
              <w:rPr>
                <w:rFonts w:eastAsia="Times New Roman"/>
                <w:b w:val="0"/>
                <w:bCs w:val="0"/>
                <w:color w:val="auto"/>
                <w:lang w:val="tr-TR" w:eastAsia="tr-TR"/>
              </w:rPr>
              <w:t>, borçluya yeniden ödeme emri</w:t>
            </w:r>
            <w:r w:rsidRPr="00A23740">
              <w:rPr>
                <w:rFonts w:eastAsia="Times New Roman"/>
                <w:b w:val="0"/>
                <w:bCs w:val="0"/>
                <w:color w:val="auto"/>
                <w:lang w:val="tr-TR" w:eastAsia="tr-TR"/>
              </w:rPr>
              <w:t>nin</w:t>
            </w:r>
            <w:r w:rsidR="00FA2C39" w:rsidRPr="00A23740">
              <w:rPr>
                <w:rFonts w:eastAsia="Times New Roman"/>
                <w:b w:val="0"/>
                <w:bCs w:val="0"/>
                <w:color w:val="auto"/>
                <w:lang w:val="tr-TR" w:eastAsia="tr-TR"/>
              </w:rPr>
              <w:t xml:space="preserve"> tebliğ</w:t>
            </w:r>
            <w:r w:rsidRPr="00A23740">
              <w:rPr>
                <w:rFonts w:eastAsia="Times New Roman"/>
                <w:b w:val="0"/>
                <w:bCs w:val="0"/>
                <w:color w:val="auto"/>
                <w:lang w:val="tr-TR" w:eastAsia="tr-TR"/>
              </w:rPr>
              <w:t xml:space="preserve"> edilmeyeceği</w:t>
            </w:r>
            <w:r w:rsidR="00EA362E" w:rsidRPr="00A23740">
              <w:rPr>
                <w:rFonts w:eastAsia="Times New Roman"/>
                <w:b w:val="0"/>
                <w:bCs w:val="0"/>
                <w:color w:val="auto"/>
                <w:lang w:val="tr-TR" w:eastAsia="tr-TR"/>
              </w:rPr>
              <w:t xml:space="preserve"> </w:t>
            </w:r>
            <w:r w:rsidRPr="00A23740">
              <w:rPr>
                <w:rFonts w:eastAsia="Times New Roman"/>
                <w:b w:val="0"/>
                <w:bCs w:val="0"/>
                <w:color w:val="auto"/>
                <w:lang w:val="tr-TR" w:eastAsia="tr-TR"/>
              </w:rPr>
              <w:t>hükme bağlanmaktadır.</w:t>
            </w:r>
            <w:r w:rsidR="00EA362E" w:rsidRPr="00A23740">
              <w:rPr>
                <w:rFonts w:eastAsia="Times New Roman"/>
                <w:b w:val="0"/>
                <w:bCs w:val="0"/>
                <w:color w:val="auto"/>
                <w:lang w:val="tr-TR" w:eastAsia="tr-TR"/>
              </w:rPr>
              <w:t xml:space="preserve"> Bu süre içinde borçlunun yeni malının bulunduğunun tespiti h</w:t>
            </w:r>
            <w:r w:rsidR="00C224B4" w:rsidRPr="00A23740">
              <w:rPr>
                <w:rFonts w:eastAsia="Times New Roman"/>
                <w:b w:val="0"/>
                <w:bCs w:val="0"/>
                <w:color w:val="auto"/>
                <w:lang w:val="tr-TR" w:eastAsia="tr-TR"/>
              </w:rPr>
              <w:t>â</w:t>
            </w:r>
            <w:r w:rsidR="00EA362E" w:rsidRPr="00A23740">
              <w:rPr>
                <w:rFonts w:eastAsia="Times New Roman"/>
                <w:b w:val="0"/>
                <w:bCs w:val="0"/>
                <w:color w:val="auto"/>
                <w:lang w:val="tr-TR" w:eastAsia="tr-TR"/>
              </w:rPr>
              <w:t>linde hemen haczedilmesi istenebilir.</w:t>
            </w:r>
            <w:r w:rsidRPr="00A23740">
              <w:rPr>
                <w:rFonts w:eastAsia="Times New Roman"/>
                <w:b w:val="0"/>
                <w:bCs w:val="0"/>
                <w:color w:val="auto"/>
                <w:lang w:val="tr-TR" w:eastAsia="tr-TR"/>
              </w:rPr>
              <w:t xml:space="preserve"> </w:t>
            </w:r>
            <w:r w:rsidR="0042627E" w:rsidRPr="00A23740">
              <w:rPr>
                <w:rFonts w:eastAsia="Times New Roman"/>
                <w:b w:val="0"/>
                <w:bCs w:val="0"/>
                <w:color w:val="auto"/>
                <w:lang w:val="tr-TR" w:eastAsia="tr-TR"/>
              </w:rPr>
              <w:t xml:space="preserve">Kesin </w:t>
            </w:r>
            <w:r w:rsidRPr="00A23740">
              <w:rPr>
                <w:rFonts w:eastAsia="Times New Roman"/>
                <w:b w:val="0"/>
                <w:bCs w:val="0"/>
                <w:color w:val="auto"/>
                <w:lang w:val="tr-TR" w:eastAsia="tr-TR"/>
              </w:rPr>
              <w:t>aciz belgesinin takip hukuku, maddi hukuk ve ceza hukuku bakımından sonuçları vardır. Bunların uygulanması için kesin aciz belgesinin düzenlenip alacaklıya verilmesi şarttır.</w:t>
            </w:r>
            <w:r w:rsidR="00EA362E" w:rsidRPr="00A23740">
              <w:rPr>
                <w:rFonts w:eastAsia="Times New Roman"/>
                <w:b w:val="0"/>
                <w:bCs w:val="0"/>
                <w:color w:val="auto"/>
                <w:lang w:val="tr-TR" w:eastAsia="tr-TR"/>
              </w:rPr>
              <w:t xml:space="preserve"> 2004 sayılı Kanundan farklı olarak</w:t>
            </w:r>
            <w:r w:rsidR="00D877B1" w:rsidRPr="00A23740">
              <w:rPr>
                <w:rFonts w:eastAsia="Times New Roman"/>
                <w:b w:val="0"/>
                <w:bCs w:val="0"/>
                <w:color w:val="auto"/>
                <w:lang w:val="tr-TR" w:eastAsia="tr-TR"/>
              </w:rPr>
              <w:t>.</w:t>
            </w:r>
            <w:r w:rsidR="00EA362E" w:rsidRPr="00A23740">
              <w:rPr>
                <w:rFonts w:eastAsia="Times New Roman"/>
                <w:b w:val="0"/>
                <w:bCs w:val="0"/>
                <w:color w:val="auto"/>
                <w:lang w:val="tr-TR" w:eastAsia="tr-TR"/>
              </w:rPr>
              <w:t xml:space="preserve"> </w:t>
            </w:r>
            <w:r w:rsidR="00D877B1" w:rsidRPr="00A23740">
              <w:rPr>
                <w:rFonts w:eastAsia="Times New Roman"/>
                <w:b w:val="0"/>
                <w:bCs w:val="0"/>
                <w:color w:val="auto"/>
                <w:lang w:val="tr-TR" w:eastAsia="tr-TR"/>
              </w:rPr>
              <w:t xml:space="preserve">çıkabilecek </w:t>
            </w:r>
            <w:r w:rsidR="00EA362E" w:rsidRPr="00A23740">
              <w:rPr>
                <w:rFonts w:eastAsia="Times New Roman"/>
                <w:b w:val="0"/>
                <w:bCs w:val="0"/>
                <w:color w:val="auto"/>
                <w:lang w:val="tr-TR" w:eastAsia="tr-TR"/>
              </w:rPr>
              <w:t>tartışmaları gidermek düşüncesiyle hükümde, takibe aynı dosya üzerinden devam edileceği açıkça ifade edilmektedir.</w:t>
            </w:r>
          </w:p>
          <w:p w:rsidR="00FA2C39" w:rsidRPr="00A23740" w:rsidRDefault="00404BAC"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İkinci fıkraya göre,</w:t>
            </w:r>
            <w:r w:rsidR="00FA2C39" w:rsidRPr="00A23740">
              <w:rPr>
                <w:rFonts w:eastAsia="Times New Roman"/>
                <w:b w:val="0"/>
                <w:bCs w:val="0"/>
                <w:color w:val="auto"/>
                <w:lang w:val="tr-TR" w:eastAsia="tr-TR"/>
              </w:rPr>
              <w:t xml:space="preserve"> </w:t>
            </w:r>
            <w:r w:rsidRPr="00A23740">
              <w:rPr>
                <w:rFonts w:eastAsia="Times New Roman"/>
                <w:b w:val="0"/>
                <w:bCs w:val="0"/>
                <w:color w:val="auto"/>
                <w:lang w:val="tr-TR" w:eastAsia="tr-TR"/>
              </w:rPr>
              <w:t xml:space="preserve">kesin </w:t>
            </w:r>
            <w:r w:rsidR="00FA2C39" w:rsidRPr="00A23740">
              <w:rPr>
                <w:rFonts w:eastAsia="Times New Roman"/>
                <w:b w:val="0"/>
                <w:bCs w:val="0"/>
                <w:color w:val="auto"/>
                <w:lang w:val="tr-TR" w:eastAsia="tr-TR"/>
              </w:rPr>
              <w:t xml:space="preserve">aciz belgesinin alındığı tarihten itibaren belgede yazılı alacak </w:t>
            </w:r>
            <w:r w:rsidRPr="00A23740">
              <w:rPr>
                <w:rFonts w:eastAsia="Times New Roman"/>
                <w:b w:val="0"/>
                <w:bCs w:val="0"/>
                <w:color w:val="auto"/>
                <w:lang w:val="tr-TR" w:eastAsia="tr-TR"/>
              </w:rPr>
              <w:t>tutarı</w:t>
            </w:r>
            <w:r w:rsidR="00C117FD" w:rsidRPr="00A23740">
              <w:rPr>
                <w:rFonts w:eastAsia="Times New Roman"/>
                <w:b w:val="0"/>
                <w:bCs w:val="0"/>
                <w:color w:val="auto"/>
                <w:lang w:val="tr-TR" w:eastAsia="tr-TR"/>
              </w:rPr>
              <w:t xml:space="preserve"> (kalan alacak, faiz ve giderler)</w:t>
            </w:r>
            <w:r w:rsidR="00FA2C39" w:rsidRPr="00A23740">
              <w:rPr>
                <w:rFonts w:eastAsia="Times New Roman"/>
                <w:b w:val="0"/>
                <w:bCs w:val="0"/>
                <w:color w:val="auto"/>
                <w:lang w:val="tr-TR" w:eastAsia="tr-TR"/>
              </w:rPr>
              <w:t xml:space="preserve"> için borçludan faiz istenemez.</w:t>
            </w:r>
            <w:r w:rsidRPr="00A23740">
              <w:rPr>
                <w:rFonts w:eastAsia="Times New Roman"/>
                <w:b w:val="0"/>
                <w:bCs w:val="0"/>
                <w:color w:val="auto"/>
                <w:lang w:val="tr-TR" w:eastAsia="tr-TR"/>
              </w:rPr>
              <w:t xml:space="preserve"> Öte yandan</w:t>
            </w:r>
            <w:r w:rsidR="00FA2C39" w:rsidRPr="00A23740">
              <w:rPr>
                <w:rFonts w:eastAsia="Times New Roman"/>
                <w:b w:val="0"/>
                <w:bCs w:val="0"/>
                <w:color w:val="auto"/>
                <w:lang w:val="tr-TR" w:eastAsia="tr-TR"/>
              </w:rPr>
              <w:t xml:space="preserve"> </w:t>
            </w:r>
            <w:r w:rsidRPr="00A23740">
              <w:rPr>
                <w:rFonts w:eastAsia="Times New Roman"/>
                <w:b w:val="0"/>
                <w:bCs w:val="0"/>
                <w:color w:val="auto"/>
                <w:lang w:val="tr-TR" w:eastAsia="tr-TR"/>
              </w:rPr>
              <w:t>kefiller</w:t>
            </w:r>
            <w:r w:rsidR="00FA2C39" w:rsidRPr="00A23740">
              <w:rPr>
                <w:rFonts w:eastAsia="Times New Roman"/>
                <w:b w:val="0"/>
                <w:bCs w:val="0"/>
                <w:color w:val="auto"/>
                <w:lang w:val="tr-TR" w:eastAsia="tr-TR"/>
              </w:rPr>
              <w:t>, müşterek borçlular ve diğer rücu alacaklıları</w:t>
            </w:r>
            <w:r w:rsidR="0042627E" w:rsidRPr="00A23740">
              <w:rPr>
                <w:rFonts w:eastAsia="Times New Roman"/>
                <w:b w:val="0"/>
                <w:bCs w:val="0"/>
                <w:color w:val="auto"/>
                <w:lang w:val="tr-TR" w:eastAsia="tr-TR"/>
              </w:rPr>
              <w:t xml:space="preserve"> da kesin aciz belgesinde yazılı alacak </w:t>
            </w:r>
            <w:r w:rsidRPr="00A23740">
              <w:rPr>
                <w:rFonts w:eastAsia="Times New Roman"/>
                <w:b w:val="0"/>
                <w:bCs w:val="0"/>
                <w:color w:val="auto"/>
                <w:lang w:val="tr-TR" w:eastAsia="tr-TR"/>
              </w:rPr>
              <w:t>tutar</w:t>
            </w:r>
            <w:r w:rsidR="0042627E" w:rsidRPr="00A23740">
              <w:rPr>
                <w:rFonts w:eastAsia="Times New Roman"/>
                <w:b w:val="0"/>
                <w:bCs w:val="0"/>
                <w:color w:val="auto"/>
                <w:lang w:val="tr-TR" w:eastAsia="tr-TR"/>
              </w:rPr>
              <w:t>ı</w:t>
            </w:r>
            <w:r w:rsidR="00FA2C39" w:rsidRPr="00A23740">
              <w:rPr>
                <w:rFonts w:eastAsia="Times New Roman"/>
                <w:b w:val="0"/>
                <w:bCs w:val="0"/>
                <w:color w:val="auto"/>
                <w:lang w:val="tr-TR" w:eastAsia="tr-TR"/>
              </w:rPr>
              <w:t xml:space="preserve"> için vermek zorunda oldukları faizler</w:t>
            </w:r>
            <w:r w:rsidR="00B96168" w:rsidRPr="00A23740">
              <w:rPr>
                <w:rFonts w:eastAsia="Times New Roman"/>
                <w:b w:val="0"/>
                <w:bCs w:val="0"/>
                <w:color w:val="auto"/>
                <w:lang w:val="tr-TR" w:eastAsia="tr-TR"/>
              </w:rPr>
              <w:t>den dolayı</w:t>
            </w:r>
            <w:r w:rsidR="0042627E" w:rsidRPr="00A23740">
              <w:rPr>
                <w:rFonts w:eastAsia="Times New Roman"/>
                <w:b w:val="0"/>
                <w:bCs w:val="0"/>
                <w:color w:val="auto"/>
                <w:lang w:val="tr-TR" w:eastAsia="tr-TR"/>
              </w:rPr>
              <w:t xml:space="preserve"> borçlu</w:t>
            </w:r>
            <w:r w:rsidR="00D877B1" w:rsidRPr="00A23740">
              <w:rPr>
                <w:rFonts w:eastAsia="Times New Roman"/>
                <w:b w:val="0"/>
                <w:bCs w:val="0"/>
                <w:color w:val="auto"/>
                <w:lang w:val="tr-TR" w:eastAsia="tr-TR"/>
              </w:rPr>
              <w:t>ya</w:t>
            </w:r>
            <w:r w:rsidR="00FA2C39" w:rsidRPr="00A23740">
              <w:rPr>
                <w:rFonts w:eastAsia="Times New Roman"/>
                <w:b w:val="0"/>
                <w:bCs w:val="0"/>
                <w:color w:val="auto"/>
                <w:lang w:val="tr-TR" w:eastAsia="tr-TR"/>
              </w:rPr>
              <w:t xml:space="preserve"> rücu edemezler.</w:t>
            </w:r>
          </w:p>
          <w:p w:rsidR="00FA2C39" w:rsidRPr="00A23740" w:rsidRDefault="00404BAC"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Üçüncü fıkraya göre</w:t>
            </w:r>
            <w:r w:rsidR="0042627E" w:rsidRPr="00A23740">
              <w:rPr>
                <w:rFonts w:eastAsia="Times New Roman"/>
                <w:b w:val="0"/>
                <w:bCs w:val="0"/>
                <w:color w:val="auto"/>
                <w:lang w:val="tr-TR" w:eastAsia="tr-TR"/>
              </w:rPr>
              <w:t>,</w:t>
            </w:r>
            <w:r w:rsidRPr="00A23740">
              <w:rPr>
                <w:rFonts w:eastAsia="Times New Roman"/>
                <w:b w:val="0"/>
                <w:bCs w:val="0"/>
                <w:color w:val="auto"/>
                <w:lang w:val="tr-TR" w:eastAsia="tr-TR"/>
              </w:rPr>
              <w:t xml:space="preserve"> kesin aciz belgesine konu</w:t>
            </w:r>
            <w:r w:rsidRPr="00A23740">
              <w:rPr>
                <w:rFonts w:eastAsia="Times New Roman"/>
                <w:lang w:eastAsia="tr-TR"/>
              </w:rPr>
              <w:t xml:space="preserve"> </w:t>
            </w:r>
            <w:r w:rsidRPr="00A23740">
              <w:rPr>
                <w:rFonts w:eastAsia="Times New Roman"/>
                <w:b w:val="0"/>
                <w:bCs w:val="0"/>
                <w:color w:val="auto"/>
                <w:lang w:val="tr-TR" w:eastAsia="tr-TR"/>
              </w:rPr>
              <w:t>borç,</w:t>
            </w:r>
            <w:r w:rsidR="00FA2C39" w:rsidRPr="00A23740">
              <w:rPr>
                <w:rFonts w:eastAsia="Times New Roman"/>
                <w:b w:val="0"/>
                <w:bCs w:val="0"/>
                <w:color w:val="auto"/>
                <w:lang w:val="tr-TR" w:eastAsia="tr-TR"/>
              </w:rPr>
              <w:t xml:space="preserve"> belgenin düzenlenmesinden itibaren yirmi yıl geçmesiyle zamanaşımına uğra</w:t>
            </w:r>
            <w:r w:rsidRPr="00A23740">
              <w:rPr>
                <w:rFonts w:eastAsia="Times New Roman"/>
                <w:b w:val="0"/>
                <w:bCs w:val="0"/>
                <w:color w:val="auto"/>
                <w:lang w:val="tr-TR" w:eastAsia="tr-TR"/>
              </w:rPr>
              <w:t>r</w:t>
            </w:r>
            <w:r w:rsidR="00FA2C39" w:rsidRPr="00A23740">
              <w:rPr>
                <w:rFonts w:eastAsia="Times New Roman"/>
                <w:b w:val="0"/>
                <w:bCs w:val="0"/>
                <w:color w:val="auto"/>
                <w:lang w:val="tr-TR" w:eastAsia="tr-TR"/>
              </w:rPr>
              <w:t xml:space="preserve">. </w:t>
            </w:r>
            <w:r w:rsidR="00B96168" w:rsidRPr="00A23740">
              <w:rPr>
                <w:rFonts w:eastAsia="Times New Roman"/>
                <w:b w:val="0"/>
                <w:bCs w:val="0"/>
                <w:color w:val="auto"/>
                <w:lang w:val="tr-TR" w:eastAsia="tr-TR"/>
              </w:rPr>
              <w:t xml:space="preserve">Belgenin </w:t>
            </w:r>
            <w:r w:rsidR="00FA2C39" w:rsidRPr="00A23740">
              <w:rPr>
                <w:rFonts w:eastAsia="Times New Roman"/>
                <w:b w:val="0"/>
                <w:bCs w:val="0"/>
                <w:color w:val="auto"/>
                <w:lang w:val="tr-TR" w:eastAsia="tr-TR"/>
              </w:rPr>
              <w:t>verilmesinden sonra borçlunun ölümü h</w:t>
            </w:r>
            <w:r w:rsidR="00C224B4" w:rsidRPr="00A23740">
              <w:rPr>
                <w:rFonts w:eastAsia="Times New Roman"/>
                <w:b w:val="0"/>
                <w:bCs w:val="0"/>
                <w:color w:val="auto"/>
                <w:lang w:val="tr-TR" w:eastAsia="tr-TR"/>
              </w:rPr>
              <w:t>â</w:t>
            </w:r>
            <w:r w:rsidR="00FA2C39" w:rsidRPr="00A23740">
              <w:rPr>
                <w:rFonts w:eastAsia="Times New Roman"/>
                <w:b w:val="0"/>
                <w:bCs w:val="0"/>
                <w:color w:val="auto"/>
                <w:lang w:val="tr-TR" w:eastAsia="tr-TR"/>
              </w:rPr>
              <w:t xml:space="preserve">linde </w:t>
            </w:r>
            <w:r w:rsidR="00EA362E" w:rsidRPr="00A23740">
              <w:rPr>
                <w:rFonts w:eastAsia="Times New Roman"/>
                <w:b w:val="0"/>
                <w:bCs w:val="0"/>
                <w:color w:val="auto"/>
                <w:lang w:val="tr-TR" w:eastAsia="tr-TR"/>
              </w:rPr>
              <w:t xml:space="preserve">alacıklı, </w:t>
            </w:r>
            <w:r w:rsidR="00FA2C39" w:rsidRPr="00A23740">
              <w:rPr>
                <w:rFonts w:eastAsia="Times New Roman"/>
                <w:b w:val="0"/>
                <w:bCs w:val="0"/>
                <w:color w:val="auto"/>
                <w:lang w:val="tr-TR" w:eastAsia="tr-TR"/>
              </w:rPr>
              <w:t>borçlunun mirasçılarına karşı, mirasın açılmasından itibaren bir yıl içinde hakkını ileri sürmemişse</w:t>
            </w:r>
            <w:r w:rsidR="00EA362E" w:rsidRPr="00A23740">
              <w:rPr>
                <w:rFonts w:eastAsia="Times New Roman"/>
                <w:b w:val="0"/>
                <w:bCs w:val="0"/>
                <w:color w:val="auto"/>
                <w:lang w:val="tr-TR" w:eastAsia="tr-TR"/>
              </w:rPr>
              <w:t>,</w:t>
            </w:r>
            <w:r w:rsidR="00FA2C39" w:rsidRPr="00A23740">
              <w:rPr>
                <w:rFonts w:eastAsia="Times New Roman"/>
                <w:b w:val="0"/>
                <w:bCs w:val="0"/>
                <w:color w:val="auto"/>
                <w:lang w:val="tr-TR" w:eastAsia="tr-TR"/>
              </w:rPr>
              <w:t xml:space="preserve"> mirasçılar borcun zamanaşımına uğradığını </w:t>
            </w:r>
            <w:r w:rsidR="00367AE6" w:rsidRPr="00A23740">
              <w:rPr>
                <w:rFonts w:eastAsia="Times New Roman"/>
                <w:b w:val="0"/>
                <w:bCs w:val="0"/>
                <w:color w:val="auto"/>
                <w:lang w:val="tr-TR" w:eastAsia="tr-TR"/>
              </w:rPr>
              <w:t xml:space="preserve">ileri </w:t>
            </w:r>
            <w:r w:rsidR="00EA362E" w:rsidRPr="00A23740">
              <w:rPr>
                <w:rFonts w:eastAsia="Times New Roman"/>
                <w:b w:val="0"/>
                <w:bCs w:val="0"/>
                <w:color w:val="auto"/>
                <w:lang w:val="tr-TR" w:eastAsia="tr-TR"/>
              </w:rPr>
              <w:t>sürebilir</w:t>
            </w:r>
            <w:r w:rsidR="00FA2C39" w:rsidRPr="00A23740">
              <w:rPr>
                <w:rFonts w:eastAsia="Times New Roman"/>
                <w:b w:val="0"/>
                <w:bCs w:val="0"/>
                <w:color w:val="auto"/>
                <w:lang w:val="tr-TR" w:eastAsia="tr-TR"/>
              </w:rPr>
              <w:t>.</w:t>
            </w:r>
            <w:r w:rsidR="00235215" w:rsidRPr="00A23740">
              <w:rPr>
                <w:rFonts w:eastAsia="Times New Roman"/>
                <w:b w:val="0"/>
                <w:bCs w:val="0"/>
                <w:color w:val="auto"/>
                <w:lang w:val="tr-TR" w:eastAsia="tr-TR"/>
              </w:rPr>
              <w:t xml:space="preserve"> 4949 sayılı Kanunla yapılan değişiklikler içerik olarak hükümde muhafaza edilmektedir.</w:t>
            </w:r>
          </w:p>
          <w:p w:rsidR="00FA2C39" w:rsidRPr="00A23740" w:rsidRDefault="00367AE6"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 xml:space="preserve">Dördüncü fıkrayla, kesin aciz belgesinin </w:t>
            </w:r>
            <w:r w:rsidR="00FA2C39" w:rsidRPr="00A23740">
              <w:rPr>
                <w:rFonts w:eastAsia="Times New Roman"/>
                <w:b w:val="0"/>
                <w:bCs w:val="0"/>
                <w:color w:val="auto"/>
                <w:lang w:val="tr-TR" w:eastAsia="tr-TR"/>
              </w:rPr>
              <w:t>alacaklıya</w:t>
            </w:r>
            <w:r w:rsidRPr="00A23740">
              <w:rPr>
                <w:rFonts w:eastAsia="Times New Roman"/>
                <w:b w:val="0"/>
                <w:bCs w:val="0"/>
                <w:color w:val="auto"/>
                <w:lang w:val="tr-TR" w:eastAsia="tr-TR"/>
              </w:rPr>
              <w:t xml:space="preserve"> Taslağın</w:t>
            </w:r>
            <w:r w:rsidR="00FA2C39" w:rsidRPr="00A23740">
              <w:rPr>
                <w:rFonts w:eastAsia="Times New Roman"/>
                <w:b w:val="0"/>
                <w:bCs w:val="0"/>
                <w:color w:val="auto"/>
                <w:lang w:val="tr-TR" w:eastAsia="tr-TR"/>
              </w:rPr>
              <w:t xml:space="preserve"> </w:t>
            </w:r>
            <w:r w:rsidR="002A14FD" w:rsidRPr="00D60C1D">
              <w:rPr>
                <w:rStyle w:val="KonuBalChar"/>
                <w:rFonts w:eastAsia="Calibri"/>
                <w:color w:val="000000"/>
              </w:rPr>
              <w:t>442 nci</w:t>
            </w:r>
            <w:r w:rsidR="002A14FD" w:rsidRPr="00A23740">
              <w:rPr>
                <w:rFonts w:eastAsia="Times New Roman"/>
                <w:b w:val="0"/>
                <w:lang w:eastAsia="tr-TR"/>
              </w:rPr>
              <w:t xml:space="preserve"> </w:t>
            </w:r>
            <w:r w:rsidRPr="00A23740">
              <w:rPr>
                <w:rFonts w:eastAsia="Times New Roman"/>
                <w:b w:val="0"/>
                <w:bCs w:val="0"/>
                <w:color w:val="auto"/>
                <w:lang w:val="tr-TR" w:eastAsia="tr-TR"/>
              </w:rPr>
              <w:t>maddesinde düzenlenen iptal davasını</w:t>
            </w:r>
            <w:r w:rsidR="00626F03" w:rsidRPr="00A23740">
              <w:rPr>
                <w:rFonts w:eastAsia="Times New Roman"/>
                <w:b w:val="0"/>
                <w:bCs w:val="0"/>
                <w:color w:val="auto"/>
                <w:lang w:val="tr-TR" w:eastAsia="tr-TR"/>
              </w:rPr>
              <w:t xml:space="preserve"> açma hakkını vereceği kabul edilmektedir.</w:t>
            </w:r>
          </w:p>
          <w:p w:rsidR="00FA2C39" w:rsidRPr="00A23740" w:rsidRDefault="00917D6B" w:rsidP="0016377F">
            <w:pPr>
              <w:pStyle w:val="Mavi"/>
              <w:ind w:firstLine="709"/>
              <w:rPr>
                <w:rFonts w:eastAsia="Times New Roman"/>
                <w:lang w:eastAsia="tr-TR"/>
              </w:rPr>
            </w:pPr>
            <w:r w:rsidRPr="00A23740">
              <w:rPr>
                <w:rFonts w:eastAsia="Times New Roman"/>
                <w:b w:val="0"/>
                <w:bCs w:val="0"/>
                <w:color w:val="auto"/>
                <w:lang w:val="tr-TR" w:eastAsia="tr-TR"/>
              </w:rPr>
              <w:t>Beşinci fıkrayla, hakkında kesin aciz belgesi düzenlenen borçluya bildirimde bulunma yükümlülüğü getirilmektedir. Buna göre</w:t>
            </w:r>
            <w:r w:rsidR="00FA2C39" w:rsidRPr="00A23740">
              <w:rPr>
                <w:rFonts w:eastAsia="Times New Roman"/>
                <w:b w:val="0"/>
                <w:bCs w:val="0"/>
                <w:color w:val="auto"/>
                <w:lang w:val="tr-TR" w:eastAsia="tr-TR"/>
              </w:rPr>
              <w:t xml:space="preserve"> borçlu,</w:t>
            </w:r>
            <w:r w:rsidRPr="00A23740">
              <w:rPr>
                <w:rFonts w:eastAsia="Times New Roman"/>
                <w:b w:val="0"/>
                <w:bCs w:val="0"/>
                <w:color w:val="auto"/>
                <w:lang w:val="tr-TR" w:eastAsia="tr-TR"/>
              </w:rPr>
              <w:t xml:space="preserve"> kesin</w:t>
            </w:r>
            <w:r w:rsidR="00FA2C39" w:rsidRPr="00A23740">
              <w:rPr>
                <w:rFonts w:eastAsia="Times New Roman"/>
                <w:b w:val="0"/>
                <w:bCs w:val="0"/>
                <w:color w:val="auto"/>
                <w:lang w:val="tr-TR" w:eastAsia="tr-TR"/>
              </w:rPr>
              <w:t xml:space="preserve"> aciz belgesinin düzenlenmesinden önceki iki yıl içinde taşınmazları ve sicile kayıtlı diğer mal ve hakları üzerinde yapmış olduğu tasarruf işlemlerini</w:t>
            </w:r>
            <w:r w:rsidR="00FA2C39" w:rsidRPr="00A23740">
              <w:rPr>
                <w:rFonts w:eastAsia="Times New Roman"/>
                <w:bCs w:val="0"/>
                <w:color w:val="auto"/>
                <w:lang w:val="tr-TR" w:eastAsia="tr-TR"/>
              </w:rPr>
              <w:t>,</w:t>
            </w:r>
            <w:r w:rsidR="00FA2C39" w:rsidRPr="00A23740">
              <w:rPr>
                <w:rFonts w:eastAsia="Times New Roman"/>
                <w:b w:val="0"/>
                <w:bCs w:val="0"/>
                <w:color w:val="auto"/>
                <w:lang w:val="tr-TR" w:eastAsia="tr-TR"/>
              </w:rPr>
              <w:t xml:space="preserve"> aciz belgesinin kendisine tebliğinden itibaren </w:t>
            </w:r>
            <w:r w:rsidR="00A87BC6" w:rsidRPr="00A23740">
              <w:rPr>
                <w:rFonts w:eastAsia="Times New Roman"/>
                <w:b w:val="0"/>
                <w:bCs w:val="0"/>
                <w:color w:val="auto"/>
                <w:lang w:val="tr-TR" w:eastAsia="tr-TR"/>
              </w:rPr>
              <w:t>iki</w:t>
            </w:r>
            <w:r w:rsidR="00FA2C39" w:rsidRPr="00A23740">
              <w:rPr>
                <w:rFonts w:eastAsia="Times New Roman"/>
                <w:b w:val="0"/>
                <w:bCs w:val="0"/>
                <w:color w:val="auto"/>
                <w:lang w:val="tr-TR" w:eastAsia="tr-TR"/>
              </w:rPr>
              <w:t xml:space="preserve"> hafta içinde yazılı olarak icra ve iflas dairesine bildirmek zorundadır.</w:t>
            </w:r>
            <w:r w:rsidR="00206560" w:rsidRPr="00A23740">
              <w:rPr>
                <w:rFonts w:eastAsia="Times New Roman"/>
                <w:b w:val="0"/>
                <w:bCs w:val="0"/>
                <w:color w:val="auto"/>
                <w:lang w:val="tr-TR" w:eastAsia="tr-TR"/>
              </w:rPr>
              <w:t xml:space="preserve"> </w:t>
            </w:r>
            <w:r w:rsidR="00206560" w:rsidRPr="00D60C1D">
              <w:rPr>
                <w:rStyle w:val="YELChar"/>
                <w:color w:val="000000"/>
              </w:rPr>
              <w:t>Hükmün uygulama alanının  netleştirilmesi ve denetimin kolaylıkla yapılabilmesi için,</w:t>
            </w:r>
            <w:r w:rsidR="00EC4CC0" w:rsidRPr="00A23740">
              <w:rPr>
                <w:rFonts w:eastAsia="Times New Roman"/>
                <w:b w:val="0"/>
                <w:bCs w:val="0"/>
                <w:color w:val="auto"/>
                <w:lang w:val="tr-TR" w:eastAsia="tr-TR"/>
              </w:rPr>
              <w:t xml:space="preserve"> </w:t>
            </w:r>
            <w:r w:rsidR="00206560" w:rsidRPr="00D60C1D">
              <w:rPr>
                <w:rStyle w:val="YELChar"/>
                <w:color w:val="000000"/>
              </w:rPr>
              <w:t>hükmün</w:t>
            </w:r>
            <w:r w:rsidR="00206560" w:rsidRPr="00A23740">
              <w:rPr>
                <w:rFonts w:eastAsia="Times New Roman"/>
                <w:b w:val="0"/>
                <w:bCs w:val="0"/>
                <w:color w:val="auto"/>
                <w:lang w:val="tr-TR" w:eastAsia="tr-TR"/>
              </w:rPr>
              <w:t xml:space="preserve"> </w:t>
            </w:r>
            <w:r w:rsidR="00EC4CC0" w:rsidRPr="00A23740">
              <w:rPr>
                <w:rFonts w:eastAsia="Times New Roman"/>
                <w:b w:val="0"/>
                <w:bCs w:val="0"/>
                <w:color w:val="auto"/>
                <w:lang w:val="tr-TR" w:eastAsia="tr-TR"/>
              </w:rPr>
              <w:t xml:space="preserve">kapsamına sadece sicile kayıtlı mallar </w:t>
            </w:r>
            <w:r w:rsidR="00206560" w:rsidRPr="00D60C1D">
              <w:rPr>
                <w:rStyle w:val="YELChar"/>
                <w:color w:val="000000"/>
              </w:rPr>
              <w:t>alınmıştır</w:t>
            </w:r>
            <w:r w:rsidR="00EC4CC0" w:rsidRPr="00A23740">
              <w:rPr>
                <w:rFonts w:eastAsia="Times New Roman"/>
                <w:b w:val="0"/>
                <w:bCs w:val="0"/>
                <w:color w:val="auto"/>
                <w:lang w:val="tr-TR" w:eastAsia="tr-TR"/>
              </w:rPr>
              <w:t>.</w:t>
            </w:r>
            <w:r w:rsidR="00FA2C39" w:rsidRPr="00A23740">
              <w:rPr>
                <w:rFonts w:eastAsia="Times New Roman"/>
                <w:b w:val="0"/>
                <w:bCs w:val="0"/>
                <w:color w:val="auto"/>
                <w:lang w:val="tr-TR" w:eastAsia="tr-TR"/>
              </w:rPr>
              <w:t xml:space="preserve"> </w:t>
            </w:r>
            <w:r w:rsidR="00624497" w:rsidRPr="00A23740">
              <w:rPr>
                <w:rFonts w:eastAsia="Times New Roman"/>
                <w:b w:val="0"/>
                <w:bCs w:val="0"/>
                <w:color w:val="auto"/>
                <w:lang w:val="tr-TR" w:eastAsia="tr-TR"/>
              </w:rPr>
              <w:t>Borçluya gönderilerek aciz belgesinde, borçlunun süresi içinde beyanda bulunmaması h</w:t>
            </w:r>
            <w:r w:rsidR="00C224B4" w:rsidRPr="00A23740">
              <w:rPr>
                <w:rFonts w:eastAsia="Times New Roman"/>
                <w:b w:val="0"/>
                <w:bCs w:val="0"/>
                <w:color w:val="auto"/>
                <w:lang w:val="tr-TR" w:eastAsia="tr-TR"/>
              </w:rPr>
              <w:t>â</w:t>
            </w:r>
            <w:r w:rsidR="00624497" w:rsidRPr="00A23740">
              <w:rPr>
                <w:rFonts w:eastAsia="Times New Roman"/>
                <w:b w:val="0"/>
                <w:bCs w:val="0"/>
                <w:color w:val="auto"/>
                <w:lang w:val="tr-TR" w:eastAsia="tr-TR"/>
              </w:rPr>
              <w:t xml:space="preserve">linde Taslağın “Bildirimde bulunmama” başlıklı </w:t>
            </w:r>
            <w:r w:rsidR="002A14FD" w:rsidRPr="00D60C1D">
              <w:rPr>
                <w:rStyle w:val="KonuBalChar"/>
                <w:rFonts w:eastAsia="Calibri"/>
                <w:color w:val="000000"/>
              </w:rPr>
              <w:t>511 inci</w:t>
            </w:r>
            <w:r w:rsidR="000C511E">
              <w:rPr>
                <w:rStyle w:val="KonuBalChar"/>
                <w:rFonts w:eastAsia="Calibri"/>
                <w:color w:val="000000"/>
                <w:lang w:val="tr-TR"/>
              </w:rPr>
              <w:t xml:space="preserve"> </w:t>
            </w:r>
            <w:r w:rsidR="00624497" w:rsidRPr="00A23740">
              <w:rPr>
                <w:rFonts w:eastAsia="Times New Roman"/>
                <w:b w:val="0"/>
                <w:bCs w:val="0"/>
                <w:color w:val="auto"/>
                <w:lang w:val="tr-TR" w:eastAsia="tr-TR"/>
              </w:rPr>
              <w:t xml:space="preserve">maddesi uyarınca disiplin </w:t>
            </w:r>
            <w:r w:rsidR="001647D1" w:rsidRPr="00D60C1D">
              <w:rPr>
                <w:rStyle w:val="MaviChar"/>
                <w:bCs/>
                <w:color w:val="000000"/>
                <w:lang w:val="tr-TR"/>
              </w:rPr>
              <w:t>hapsiyle</w:t>
            </w:r>
            <w:r w:rsidR="00624497" w:rsidRPr="00A23740">
              <w:rPr>
                <w:rFonts w:eastAsia="Times New Roman"/>
                <w:b w:val="0"/>
                <w:bCs w:val="0"/>
                <w:color w:val="auto"/>
                <w:lang w:val="tr-TR" w:eastAsia="tr-TR"/>
              </w:rPr>
              <w:t xml:space="preserve"> cezalandırılacağı; gerçeğe aykırı bildirimde bulunması h</w:t>
            </w:r>
            <w:r w:rsidR="008D7868" w:rsidRPr="00A23740">
              <w:rPr>
                <w:rFonts w:eastAsia="Times New Roman"/>
                <w:b w:val="0"/>
                <w:bCs w:val="0"/>
                <w:color w:val="auto"/>
                <w:lang w:val="tr-TR" w:eastAsia="tr-TR"/>
              </w:rPr>
              <w:t>â</w:t>
            </w:r>
            <w:r w:rsidR="00624497" w:rsidRPr="00A23740">
              <w:rPr>
                <w:rFonts w:eastAsia="Times New Roman"/>
                <w:b w:val="0"/>
                <w:bCs w:val="0"/>
                <w:color w:val="auto"/>
                <w:lang w:val="tr-TR" w:eastAsia="tr-TR"/>
              </w:rPr>
              <w:t xml:space="preserve">linde ise Taslağın “Gerçeğe aykırı beyanda bulunma” başlıklı </w:t>
            </w:r>
            <w:r w:rsidR="002A14FD" w:rsidRPr="00D60C1D">
              <w:rPr>
                <w:rStyle w:val="KonuBalChar"/>
                <w:rFonts w:eastAsia="Calibri"/>
                <w:color w:val="000000"/>
              </w:rPr>
              <w:t>518</w:t>
            </w:r>
            <w:r w:rsidR="002A14FD" w:rsidRPr="00A23740">
              <w:rPr>
                <w:rStyle w:val="KonuBalChar"/>
                <w:rFonts w:eastAsia="Calibri"/>
                <w:b/>
              </w:rPr>
              <w:t xml:space="preserve"> </w:t>
            </w:r>
            <w:r w:rsidR="002A14FD" w:rsidRPr="00D60C1D">
              <w:rPr>
                <w:rStyle w:val="KonuBalChar"/>
                <w:rFonts w:eastAsia="Calibri"/>
                <w:color w:val="000000"/>
              </w:rPr>
              <w:t>inci</w:t>
            </w:r>
            <w:r w:rsidR="002A14FD" w:rsidRPr="00A23740">
              <w:rPr>
                <w:lang w:val="tr-TR"/>
              </w:rPr>
              <w:t xml:space="preserve"> </w:t>
            </w:r>
            <w:r w:rsidR="00624497" w:rsidRPr="00A23740">
              <w:rPr>
                <w:rFonts w:eastAsia="Times New Roman"/>
                <w:b w:val="0"/>
                <w:bCs w:val="0"/>
                <w:color w:val="auto"/>
                <w:lang w:val="tr-TR" w:eastAsia="tr-TR"/>
              </w:rPr>
              <w:t xml:space="preserve">maddesi uyarınca hapis </w:t>
            </w:r>
            <w:r w:rsidR="00624497" w:rsidRPr="00D60C1D">
              <w:rPr>
                <w:rFonts w:eastAsia="Times New Roman"/>
                <w:b w:val="0"/>
                <w:bCs w:val="0"/>
                <w:color w:val="000000"/>
                <w:lang w:val="tr-TR" w:eastAsia="tr-TR"/>
              </w:rPr>
              <w:t>cezası</w:t>
            </w:r>
            <w:r w:rsidR="0005528D" w:rsidRPr="00D60C1D">
              <w:rPr>
                <w:rFonts w:eastAsia="Times New Roman"/>
                <w:b w:val="0"/>
                <w:bCs w:val="0"/>
                <w:color w:val="000000"/>
                <w:lang w:val="tr-TR" w:eastAsia="tr-TR"/>
              </w:rPr>
              <w:t>yla</w:t>
            </w:r>
            <w:r w:rsidR="00624497" w:rsidRPr="00A23740">
              <w:rPr>
                <w:rFonts w:eastAsia="Times New Roman"/>
                <w:b w:val="0"/>
                <w:bCs w:val="0"/>
                <w:color w:val="auto"/>
                <w:lang w:val="tr-TR" w:eastAsia="tr-TR"/>
              </w:rPr>
              <w:t xml:space="preserve"> cezalandırılacağı belirtilir. </w:t>
            </w:r>
            <w:r w:rsidR="00CE6E8C" w:rsidRPr="00A23740">
              <w:rPr>
                <w:rFonts w:eastAsia="Times New Roman"/>
                <w:b w:val="0"/>
                <w:bCs w:val="0"/>
                <w:color w:val="auto"/>
                <w:lang w:val="tr-TR" w:eastAsia="tr-TR"/>
              </w:rPr>
              <w:t xml:space="preserve">Fıkrayla, belgenin düzenlenmesinden önce borçlunun yapmış olduğu tasarruf işlemlerinden alacaklıların haberdar edilmesi ve bu kapsamda gerekiyorsa dördüncü fıkra </w:t>
            </w:r>
            <w:r w:rsidR="008A490F" w:rsidRPr="00A23740">
              <w:rPr>
                <w:rFonts w:eastAsia="Times New Roman"/>
                <w:b w:val="0"/>
                <w:bCs w:val="0"/>
                <w:color w:val="auto"/>
                <w:lang w:val="tr-TR" w:eastAsia="tr-TR"/>
              </w:rPr>
              <w:t>uyarınca</w:t>
            </w:r>
            <w:r w:rsidR="00CE6E8C" w:rsidRPr="00A23740">
              <w:rPr>
                <w:rFonts w:eastAsia="Times New Roman"/>
                <w:b w:val="0"/>
                <w:bCs w:val="0"/>
                <w:color w:val="auto"/>
                <w:lang w:val="tr-TR" w:eastAsia="tr-TR"/>
              </w:rPr>
              <w:t xml:space="preserve"> alacaklıya verilen iptal davası açma hakkının kullanılabilmesi bakımından kolaylık sağlanmaktadır.</w:t>
            </w:r>
          </w:p>
          <w:p w:rsidR="000C511E" w:rsidRPr="00A23740" w:rsidRDefault="000C511E" w:rsidP="0016377F">
            <w:pPr>
              <w:tabs>
                <w:tab w:val="left" w:pos="567"/>
              </w:tabs>
              <w:ind w:firstLine="709"/>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widowControl w:val="0"/>
            </w:pPr>
            <w:r w:rsidRPr="00A23740">
              <w:t>Hakikata muhalif beyanda bulunanların cezası:</w:t>
            </w:r>
          </w:p>
          <w:p w:rsidR="00AA5C8C" w:rsidRPr="00A23740" w:rsidRDefault="00AA5C8C" w:rsidP="009431FF">
            <w:pPr>
              <w:pStyle w:val="KIRMIZI"/>
              <w:widowControl w:val="0"/>
            </w:pPr>
            <w:r w:rsidRPr="00A23740">
              <w:t>Madde 338 – (Değişik: 31/5/2005-5358/9 md.)</w:t>
            </w:r>
          </w:p>
          <w:p w:rsidR="00AA5C8C" w:rsidRPr="00A23740" w:rsidRDefault="00AA5C8C" w:rsidP="009431FF">
            <w:pPr>
              <w:widowControl w:val="0"/>
              <w:rPr>
                <w:rFonts w:eastAsia="Times New Roman"/>
                <w:color w:val="000000"/>
                <w:szCs w:val="24"/>
                <w:lang w:eastAsia="tr-TR"/>
              </w:rPr>
            </w:pPr>
            <w:r w:rsidRPr="00A23740">
              <w:rPr>
                <w:rFonts w:eastAsia="Times New Roman"/>
                <w:color w:val="000000"/>
                <w:szCs w:val="24"/>
                <w:lang w:eastAsia="tr-TR"/>
              </w:rPr>
              <w:t>…</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w:t>
            </w:r>
            <w:r w:rsidRPr="00A23740">
              <w:rPr>
                <w:rStyle w:val="KIRMIZIChar"/>
                <w:rFonts w:eastAsia="Calibri"/>
                <w:lang w:eastAsia="tr-TR"/>
              </w:rPr>
              <w:t>Hakkında aciz vesikası alınmış borçlu, asgari ücretin üstünde bir geçim sürdürdüğü, aciz vesikası hamili alacaklının alacağının aciz vesikasına bağlanmasından en geç beş sene içinde müracaatı üzerine sabit olursa, asgari ücretin üstünde kalan gelirlerinden icra mahkemesinin dörtte birden az olmamak üzere tespit edeceği kısmını icra mahkemesi kararının kesinleşmesinden  itibaren en geç bir ay içinde ve aciz vesikasındaki borcun ödenmesine kadar her ay icra dairesine yatırmaya mecburdur. Bu mükellefiyeti yerine getirmeyen borçlu hakkında bir yıla kadar tazyik hapsine karar verilir. Hapsin tatbikine başlandıktan sonra borçlu borcun tamamını veya o tarihe kadar icra veznesine yatırmak zorunda olduğu meblağı öderse tahliye edilir; ödemelerini tekrar keserse, hakkında tazyik hapsine yeniden karar verilir. Ancak, bir borçtan dolayı tazyik hapsinin süresi bir yılı geçemez.</w:t>
            </w:r>
          </w:p>
          <w:p w:rsidR="00672ED5" w:rsidRPr="00A23740" w:rsidRDefault="00AA5C8C" w:rsidP="009431FF">
            <w:pPr>
              <w:widowControl w:val="0"/>
              <w:rPr>
                <w:rFonts w:eastAsia="Times New Roman"/>
                <w:b/>
                <w:bCs/>
                <w:strike/>
                <w:color w:val="FF0000"/>
                <w:szCs w:val="24"/>
                <w:lang w:eastAsia="x-none"/>
              </w:rPr>
            </w:pPr>
            <w:r w:rsidRPr="00A23740">
              <w:rPr>
                <w:rFonts w:eastAsia="Times New Roman"/>
                <w:color w:val="000000"/>
                <w:szCs w:val="24"/>
                <w:lang w:eastAsia="tr-TR"/>
              </w:rPr>
              <w:t>…</w:t>
            </w:r>
          </w:p>
          <w:p w:rsidR="00AA5C8C" w:rsidRPr="00A23740" w:rsidRDefault="00AA5C8C" w:rsidP="009431FF">
            <w:pPr>
              <w:widowControl w:val="0"/>
              <w:rPr>
                <w:rFonts w:eastAsia="Times New Roman"/>
                <w:b/>
                <w:strike/>
                <w:color w:val="FF0000"/>
                <w:szCs w:val="24"/>
                <w:lang w:eastAsia="tr-TR"/>
              </w:rPr>
            </w:pPr>
            <w:r w:rsidRPr="00A23740">
              <w:rPr>
                <w:rFonts w:eastAsia="Times New Roman"/>
                <w:b/>
                <w:bCs/>
                <w:strike/>
                <w:color w:val="FF0000"/>
                <w:szCs w:val="24"/>
                <w:lang w:eastAsia="x-none"/>
              </w:rPr>
              <w:t>(3</w:t>
            </w:r>
            <w:r w:rsidRPr="00A23740">
              <w:rPr>
                <w:rFonts w:eastAsia="Times New Roman"/>
                <w:b/>
                <w:strike/>
                <w:color w:val="FF0000"/>
                <w:szCs w:val="24"/>
                <w:lang w:eastAsia="tr-TR"/>
              </w:rPr>
              <w:t>)</w:t>
            </w:r>
            <w:r w:rsidRPr="00A23740">
              <w:rPr>
                <w:rFonts w:eastAsia="Times New Roman"/>
                <w:szCs w:val="24"/>
                <w:lang w:eastAsia="tr-TR"/>
              </w:rPr>
              <w:t xml:space="preserve"> Borçlunun nafaka borçluları dahil üçüncü </w:t>
            </w:r>
            <w:r w:rsidRPr="00A23740">
              <w:rPr>
                <w:rStyle w:val="KIRMIZIChar"/>
                <w:rFonts w:eastAsia="Calibri"/>
              </w:rPr>
              <w:t>şahıstan</w:t>
            </w:r>
            <w:r w:rsidRPr="00A23740">
              <w:rPr>
                <w:rFonts w:eastAsia="Times New Roman"/>
                <w:szCs w:val="24"/>
                <w:lang w:eastAsia="tr-TR"/>
              </w:rPr>
              <w:t xml:space="preserve"> yardım görmesi, </w:t>
            </w:r>
            <w:r w:rsidRPr="00A23740">
              <w:rPr>
                <w:rStyle w:val="KIRMIZIChar"/>
                <w:rFonts w:eastAsia="Calibri"/>
              </w:rPr>
              <w:t>asgari ücretin üstünde eline geçen</w:t>
            </w:r>
            <w:r w:rsidRPr="00A23740">
              <w:rPr>
                <w:rFonts w:eastAsia="Times New Roman"/>
                <w:szCs w:val="24"/>
                <w:lang w:eastAsia="tr-TR"/>
              </w:rPr>
              <w:t xml:space="preserve"> </w:t>
            </w:r>
            <w:r w:rsidRPr="00A23740">
              <w:rPr>
                <w:rStyle w:val="KIRMIZIChar"/>
                <w:rFonts w:eastAsia="Calibri"/>
              </w:rPr>
              <w:t>para ve menfaatlerin icra</w:t>
            </w:r>
            <w:r w:rsidRPr="00A23740">
              <w:rPr>
                <w:rFonts w:eastAsia="Times New Roman"/>
                <w:szCs w:val="24"/>
                <w:lang w:eastAsia="tr-TR"/>
              </w:rPr>
              <w:t xml:space="preserve"> </w:t>
            </w:r>
            <w:r w:rsidRPr="00A23740">
              <w:rPr>
                <w:rStyle w:val="KIRMIZIChar"/>
                <w:rFonts w:eastAsia="Calibri"/>
              </w:rPr>
              <w:t>mahkemesi kararı ile belirlenecek kısmını, icra veznesine yatırmak mükellefiyetini</w:t>
            </w:r>
            <w:r w:rsidRPr="00A23740">
              <w:rPr>
                <w:rFonts w:eastAsia="Times New Roman"/>
                <w:szCs w:val="24"/>
                <w:lang w:eastAsia="tr-TR"/>
              </w:rPr>
              <w:t xml:space="preserve"> ortadan kaldırmaz.</w:t>
            </w:r>
          </w:p>
          <w:p w:rsidR="00AA5C8C" w:rsidRPr="00A23740" w:rsidRDefault="00AA5C8C" w:rsidP="009431FF">
            <w:pPr>
              <w:widowControl w:val="0"/>
              <w:rPr>
                <w:rFonts w:ascii="New York" w:eastAsia="Times New Roman" w:hAnsi="New York"/>
                <w:color w:val="000000"/>
                <w:szCs w:val="24"/>
                <w:lang w:eastAsia="tr-TR"/>
              </w:rPr>
            </w:pPr>
          </w:p>
          <w:p w:rsidR="00164AE4" w:rsidRPr="00A23740" w:rsidRDefault="00164AE4" w:rsidP="009431FF">
            <w:pPr>
              <w:widowControl w:val="0"/>
              <w:rPr>
                <w:rFonts w:eastAsia="Times New Roman"/>
                <w:szCs w:val="24"/>
                <w:lang w:eastAsia="tr-TR"/>
              </w:rPr>
            </w:pPr>
            <w:r w:rsidRPr="00A23740">
              <w:rPr>
                <w:rFonts w:eastAsia="Times New Roman"/>
                <w:b/>
                <w:strike/>
                <w:color w:val="FF0000"/>
                <w:szCs w:val="24"/>
                <w:lang w:eastAsia="tr-TR"/>
              </w:rPr>
              <w:t>(4) İkinci</w:t>
            </w:r>
            <w:r w:rsidRPr="00A23740">
              <w:rPr>
                <w:rFonts w:eastAsia="Times New Roman"/>
                <w:szCs w:val="24"/>
                <w:lang w:eastAsia="tr-TR"/>
              </w:rPr>
              <w:t xml:space="preserve"> fıkradaki hükmün </w:t>
            </w:r>
            <w:r w:rsidRPr="00A23740">
              <w:rPr>
                <w:rStyle w:val="KIRMIZIChar"/>
                <w:rFonts w:eastAsia="Calibri"/>
              </w:rPr>
              <w:t>tatbikini birden fazla aciz</w:t>
            </w:r>
            <w:r w:rsidRPr="00A23740">
              <w:rPr>
                <w:rFonts w:eastAsia="Times New Roman"/>
                <w:szCs w:val="24"/>
                <w:lang w:eastAsia="tr-TR"/>
              </w:rPr>
              <w:t xml:space="preserve"> </w:t>
            </w:r>
            <w:r w:rsidRPr="00A23740">
              <w:rPr>
                <w:rFonts w:eastAsia="Times New Roman"/>
                <w:b/>
                <w:strike/>
                <w:color w:val="FF0000"/>
                <w:szCs w:val="24"/>
                <w:lang w:eastAsia="tr-TR"/>
              </w:rPr>
              <w:t>vesikası hamili</w:t>
            </w:r>
            <w:r w:rsidRPr="00A23740">
              <w:rPr>
                <w:rFonts w:eastAsia="Times New Roman"/>
                <w:szCs w:val="24"/>
                <w:lang w:eastAsia="tr-TR"/>
              </w:rPr>
              <w:t xml:space="preserve"> alacaklı talep </w:t>
            </w:r>
            <w:r w:rsidRPr="00A23740">
              <w:rPr>
                <w:rStyle w:val="KIRMIZIChar"/>
                <w:rFonts w:eastAsia="Calibri"/>
              </w:rPr>
              <w:t>etmiş</w:t>
            </w:r>
            <w:r w:rsidRPr="00A23740">
              <w:rPr>
                <w:rFonts w:eastAsia="Times New Roman"/>
                <w:szCs w:val="24"/>
                <w:lang w:eastAsia="tr-TR"/>
              </w:rPr>
              <w:t xml:space="preserve"> </w:t>
            </w:r>
            <w:r w:rsidRPr="00A23740">
              <w:rPr>
                <w:rFonts w:eastAsia="Times New Roman"/>
                <w:b/>
                <w:strike/>
                <w:color w:val="FF0000"/>
                <w:szCs w:val="24"/>
                <w:lang w:eastAsia="tr-TR"/>
              </w:rPr>
              <w:t>ise</w:t>
            </w:r>
            <w:r w:rsidRPr="00A23740">
              <w:rPr>
                <w:rFonts w:eastAsia="Times New Roman"/>
                <w:szCs w:val="24"/>
                <w:lang w:eastAsia="tr-TR"/>
              </w:rPr>
              <w:t xml:space="preserve">, bunlar talep tarihi </w:t>
            </w:r>
            <w:r w:rsidRPr="00A23740">
              <w:rPr>
                <w:bCs/>
                <w:lang w:eastAsia="tr-TR"/>
              </w:rPr>
              <w:t>sırasıyla</w:t>
            </w:r>
            <w:r w:rsidRPr="00A23740">
              <w:rPr>
                <w:rFonts w:eastAsia="Times New Roman"/>
                <w:szCs w:val="24"/>
                <w:lang w:eastAsia="tr-TR"/>
              </w:rPr>
              <w:t xml:space="preserve"> </w:t>
            </w:r>
            <w:r w:rsidRPr="00A23740">
              <w:rPr>
                <w:rFonts w:eastAsia="Times New Roman"/>
                <w:b/>
                <w:strike/>
                <w:color w:val="FF0000"/>
                <w:szCs w:val="24"/>
                <w:lang w:eastAsia="tr-TR"/>
              </w:rPr>
              <w:t>öncelik</w:t>
            </w:r>
            <w:r w:rsidRPr="00A23740">
              <w:rPr>
                <w:rFonts w:eastAsia="Times New Roman"/>
                <w:b/>
                <w:color w:val="FF0000"/>
                <w:szCs w:val="24"/>
                <w:lang w:eastAsia="tr-TR"/>
              </w:rPr>
              <w:t xml:space="preserve"> </w:t>
            </w:r>
            <w:r w:rsidRPr="00A23740">
              <w:rPr>
                <w:rFonts w:eastAsia="Times New Roman"/>
                <w:szCs w:val="24"/>
                <w:lang w:eastAsia="tr-TR"/>
              </w:rPr>
              <w:t>hakkını haizdir.</w:t>
            </w:r>
          </w:p>
          <w:p w:rsidR="00AA5C8C" w:rsidRPr="00A23740" w:rsidRDefault="00AA5C8C" w:rsidP="009431FF">
            <w:pPr>
              <w:widowControl w:val="0"/>
              <w:rPr>
                <w:rFonts w:eastAsia="Times New Roman"/>
                <w:szCs w:val="24"/>
                <w:lang w:eastAsia="tr-TR"/>
              </w:rPr>
            </w:pPr>
          </w:p>
        </w:tc>
        <w:tc>
          <w:tcPr>
            <w:tcW w:w="2500" w:type="pct"/>
          </w:tcPr>
          <w:p w:rsidR="00AA5C8C" w:rsidRPr="00A23740" w:rsidRDefault="00AA5C8C" w:rsidP="009431FF">
            <w:pPr>
              <w:pStyle w:val="Mavi"/>
              <w:widowControl w:val="0"/>
            </w:pPr>
            <w:r w:rsidRPr="00A23740">
              <w:t>Borçlunun asgari ücretin üstünde</w:t>
            </w:r>
            <w:r w:rsidR="00495F66" w:rsidRPr="00A23740">
              <w:rPr>
                <w:lang w:val="tr-TR"/>
              </w:rPr>
              <w:t xml:space="preserve"> bir geçim sürmesi</w:t>
            </w:r>
          </w:p>
          <w:p w:rsidR="00AA5C8C" w:rsidRPr="00A23740" w:rsidRDefault="00490C3E" w:rsidP="009431FF">
            <w:pPr>
              <w:pStyle w:val="Mavi"/>
              <w:widowControl w:val="0"/>
            </w:pPr>
            <w:r w:rsidRPr="00A23740">
              <w:t>MADDE 265</w:t>
            </w:r>
            <w:r w:rsidR="00AA5C8C" w:rsidRPr="00A23740">
              <w:t>- (1) Kesin aciz belgesi alan alacaklı, belgenin düzenlendiği tarihten itibaren beş yıl içinde, borçlunun asgari ücretin üstünde bir geçim sürdüğünü iddia ederek</w:t>
            </w:r>
            <w:r w:rsidR="00AA5C8C" w:rsidRPr="00A23740">
              <w:rPr>
                <w:lang w:val="tr-TR"/>
              </w:rPr>
              <w:t xml:space="preserve"> </w:t>
            </w:r>
            <w:r w:rsidR="00AA5C8C" w:rsidRPr="00A23740">
              <w:t>aciz belgesine konu borcun bu ücretten ödenmesine karar verilmesini icra hukuk mahkemesinden talep edebilir.</w:t>
            </w:r>
          </w:p>
          <w:p w:rsidR="00AA5C8C" w:rsidRPr="00A23740" w:rsidRDefault="00AA5C8C" w:rsidP="009431FF">
            <w:pPr>
              <w:pStyle w:val="Mavi"/>
              <w:widowControl w:val="0"/>
            </w:pPr>
          </w:p>
          <w:p w:rsidR="00AA5C8C" w:rsidRPr="00A23740" w:rsidRDefault="00AA5C8C" w:rsidP="009431FF">
            <w:pPr>
              <w:pStyle w:val="YEL"/>
              <w:widowControl w:val="0"/>
              <w:rPr>
                <w:lang w:val="tr-TR"/>
              </w:rPr>
            </w:pPr>
          </w:p>
          <w:p w:rsidR="009D4CF4" w:rsidRPr="00A23740" w:rsidRDefault="009D4CF4" w:rsidP="009431FF">
            <w:pPr>
              <w:pStyle w:val="Mavi"/>
              <w:widowControl w:val="0"/>
            </w:pPr>
            <w:r w:rsidRPr="00A23740">
              <w:t>(2) Mahkeme bu durumu tespit ederse, borçlunun gelirinin</w:t>
            </w:r>
            <w:r w:rsidRPr="00A23740">
              <w:rPr>
                <w:lang w:val="tr-TR"/>
              </w:rPr>
              <w:t xml:space="preserve"> </w:t>
            </w:r>
            <w:r w:rsidRPr="00A23740">
              <w:t xml:space="preserve">asgari ücretin üstünde kalan </w:t>
            </w:r>
            <w:r w:rsidR="00C74995" w:rsidRPr="00A23740">
              <w:t>kısmının</w:t>
            </w:r>
            <w:r w:rsidRPr="00A23740">
              <w:rPr>
                <w:lang w:val="tr-TR"/>
              </w:rPr>
              <w:t xml:space="preserve"> </w:t>
            </w:r>
            <w:r w:rsidR="003D7097" w:rsidRPr="00A23740">
              <w:rPr>
                <w:lang w:val="tr-TR"/>
              </w:rPr>
              <w:t xml:space="preserve">beşte birinden </w:t>
            </w:r>
            <w:r w:rsidRPr="00A23740">
              <w:t xml:space="preserve">az olmamak üzere belirleyeceği </w:t>
            </w:r>
            <w:r w:rsidRPr="00514F8A">
              <w:t>tutarın</w:t>
            </w:r>
            <w:r w:rsidR="008A5965" w:rsidRPr="00514F8A">
              <w:t xml:space="preserve"> alacaklıya</w:t>
            </w:r>
            <w:r w:rsidRPr="00A23740">
              <w:t xml:space="preserve"> ödenmesine karar verir. Ödemenin</w:t>
            </w:r>
            <w:r w:rsidRPr="00A23740">
              <w:rPr>
                <w:lang w:val="tr-TR"/>
              </w:rPr>
              <w:t xml:space="preserve"> mahkemenin buna ilişkin</w:t>
            </w:r>
            <w:r w:rsidRPr="00A23740">
              <w:t xml:space="preserve"> kararın</w:t>
            </w:r>
            <w:r w:rsidRPr="00A23740">
              <w:rPr>
                <w:lang w:val="tr-TR"/>
              </w:rPr>
              <w:t>ın</w:t>
            </w:r>
            <w:r w:rsidRPr="00A23740">
              <w:t xml:space="preserve"> kesinleşmesinden itibaren en geç bir ay içinde</w:t>
            </w:r>
            <w:r w:rsidRPr="00A23740">
              <w:rPr>
                <w:lang w:val="tr-TR"/>
              </w:rPr>
              <w:t xml:space="preserve"> </w:t>
            </w:r>
            <w:r w:rsidRPr="00A23740">
              <w:t xml:space="preserve">ve aciz belgesindeki </w:t>
            </w:r>
            <w:r w:rsidRPr="00514F8A">
              <w:t>borç tamamlanıncaya</w:t>
            </w:r>
            <w:r w:rsidRPr="00A23740">
              <w:rPr>
                <w:lang w:val="tr-TR"/>
              </w:rPr>
              <w:t xml:space="preserve"> </w:t>
            </w:r>
            <w:r w:rsidRPr="00A23740">
              <w:t>kadar her ay</w:t>
            </w:r>
            <w:r w:rsidRPr="00A23740">
              <w:rPr>
                <w:lang w:val="tr-TR"/>
              </w:rPr>
              <w:t>,</w:t>
            </w:r>
            <w:r w:rsidRPr="00A23740">
              <w:t xml:space="preserve"> icra ve iflas dairesine </w:t>
            </w:r>
            <w:r w:rsidRPr="00514F8A">
              <w:t>yapılması gerekir</w:t>
            </w:r>
            <w:r w:rsidR="00C74995" w:rsidRPr="00A23740">
              <w:t>.</w:t>
            </w:r>
          </w:p>
          <w:p w:rsidR="00AA5C8C" w:rsidRDefault="00AA5C8C" w:rsidP="009431FF">
            <w:pPr>
              <w:widowControl w:val="0"/>
              <w:rPr>
                <w:rFonts w:eastAsia="ヒラギノ明朝 Pro W3"/>
                <w:b/>
                <w:color w:val="339933"/>
                <w:szCs w:val="24"/>
              </w:rPr>
            </w:pPr>
          </w:p>
          <w:p w:rsidR="005C2C1E" w:rsidRDefault="005C2C1E" w:rsidP="009431FF">
            <w:pPr>
              <w:widowControl w:val="0"/>
              <w:rPr>
                <w:rFonts w:eastAsia="ヒラギノ明朝 Pro W3"/>
                <w:b/>
                <w:color w:val="339933"/>
                <w:szCs w:val="24"/>
              </w:rPr>
            </w:pPr>
          </w:p>
          <w:p w:rsidR="005C2C1E" w:rsidRDefault="005C2C1E" w:rsidP="009431FF">
            <w:pPr>
              <w:widowControl w:val="0"/>
              <w:rPr>
                <w:rFonts w:eastAsia="ヒラギノ明朝 Pro W3"/>
                <w:b/>
                <w:color w:val="339933"/>
                <w:szCs w:val="24"/>
              </w:rPr>
            </w:pPr>
          </w:p>
          <w:p w:rsidR="005C2C1E" w:rsidRPr="00A23740" w:rsidRDefault="005C2C1E" w:rsidP="009431FF">
            <w:pPr>
              <w:widowControl w:val="0"/>
              <w:rPr>
                <w:rFonts w:eastAsia="ヒラギノ明朝 Pro W3"/>
                <w:b/>
                <w:color w:val="339933"/>
                <w:szCs w:val="24"/>
              </w:rPr>
            </w:pPr>
          </w:p>
          <w:p w:rsidR="00AA5C8C" w:rsidRPr="00A23740" w:rsidRDefault="00AA5C8C" w:rsidP="009431FF">
            <w:pPr>
              <w:widowControl w:val="0"/>
              <w:rPr>
                <w:rFonts w:eastAsia="Times New Roman"/>
                <w:szCs w:val="24"/>
                <w:lang w:eastAsia="tr-TR"/>
              </w:rPr>
            </w:pPr>
            <w:r w:rsidRPr="00A23740">
              <w:rPr>
                <w:rStyle w:val="MaviChar"/>
              </w:rPr>
              <w:t>(3)</w:t>
            </w:r>
            <w:r w:rsidRPr="00A23740">
              <w:rPr>
                <w:rFonts w:eastAsia="Times New Roman"/>
                <w:szCs w:val="24"/>
                <w:lang w:eastAsia="tr-TR"/>
              </w:rPr>
              <w:t xml:space="preserve"> Borçlunun</w:t>
            </w:r>
            <w:r w:rsidR="00F67BEF" w:rsidRPr="00A23740">
              <w:rPr>
                <w:rStyle w:val="MaviChar"/>
              </w:rPr>
              <w:t>,</w:t>
            </w:r>
            <w:r w:rsidRPr="00A23740">
              <w:rPr>
                <w:rFonts w:eastAsia="Times New Roman"/>
                <w:szCs w:val="24"/>
                <w:lang w:eastAsia="tr-TR"/>
              </w:rPr>
              <w:t xml:space="preserve"> nafaka borçluları dahil üçüncü </w:t>
            </w:r>
            <w:r w:rsidRPr="00A23740">
              <w:rPr>
                <w:rStyle w:val="MaviChar"/>
              </w:rPr>
              <w:t>kişiden</w:t>
            </w:r>
            <w:r w:rsidRPr="00A23740">
              <w:rPr>
                <w:rFonts w:eastAsia="Times New Roman"/>
                <w:szCs w:val="24"/>
                <w:lang w:eastAsia="tr-TR"/>
              </w:rPr>
              <w:t xml:space="preserve"> yardım görmesi, </w:t>
            </w:r>
            <w:r w:rsidRPr="00A23740">
              <w:rPr>
                <w:rStyle w:val="MaviChar"/>
              </w:rPr>
              <w:t>ikinci fıkra uyarınca karar verilen tutarı</w:t>
            </w:r>
            <w:r w:rsidRPr="00A23740">
              <w:rPr>
                <w:rFonts w:eastAsia="Times New Roman"/>
                <w:szCs w:val="24"/>
                <w:lang w:eastAsia="tr-TR"/>
              </w:rPr>
              <w:t xml:space="preserve"> icra </w:t>
            </w:r>
            <w:r w:rsidRPr="00A23740">
              <w:rPr>
                <w:rStyle w:val="MaviChar"/>
              </w:rPr>
              <w:t>ve iflas</w:t>
            </w:r>
            <w:r w:rsidRPr="00A23740">
              <w:rPr>
                <w:rFonts w:eastAsia="Times New Roman"/>
                <w:szCs w:val="24"/>
                <w:lang w:eastAsia="tr-TR"/>
              </w:rPr>
              <w:t xml:space="preserve"> </w:t>
            </w:r>
            <w:r w:rsidRPr="00A23740">
              <w:rPr>
                <w:rStyle w:val="MaviChar"/>
              </w:rPr>
              <w:t>dairesine</w:t>
            </w:r>
            <w:r w:rsidRPr="00A23740">
              <w:rPr>
                <w:rFonts w:eastAsia="Times New Roman"/>
                <w:szCs w:val="24"/>
                <w:lang w:eastAsia="tr-TR"/>
              </w:rPr>
              <w:t xml:space="preserve"> </w:t>
            </w:r>
            <w:r w:rsidR="00672ED5" w:rsidRPr="00514F8A">
              <w:rPr>
                <w:rStyle w:val="MaviChar"/>
              </w:rPr>
              <w:t>ödeme</w:t>
            </w:r>
            <w:r w:rsidRPr="00A23740">
              <w:rPr>
                <w:rFonts w:eastAsia="Times New Roman"/>
                <w:szCs w:val="24"/>
                <w:lang w:eastAsia="tr-TR"/>
              </w:rPr>
              <w:t xml:space="preserve"> </w:t>
            </w:r>
            <w:r w:rsidRPr="00A23740">
              <w:rPr>
                <w:rStyle w:val="MaviChar"/>
              </w:rPr>
              <w:t>yükümlülüğünü</w:t>
            </w:r>
            <w:r w:rsidRPr="00A23740">
              <w:rPr>
                <w:rFonts w:eastAsia="Times New Roman"/>
                <w:szCs w:val="24"/>
                <w:lang w:eastAsia="tr-TR"/>
              </w:rPr>
              <w:t xml:space="preserve"> ortadan kaldırmaz.</w:t>
            </w:r>
          </w:p>
          <w:p w:rsidR="00164AE4" w:rsidRDefault="00164AE4" w:rsidP="009431FF">
            <w:pPr>
              <w:pStyle w:val="YEL"/>
              <w:widowControl w:val="0"/>
              <w:rPr>
                <w:lang w:val="tr-TR"/>
              </w:rPr>
            </w:pPr>
          </w:p>
          <w:p w:rsidR="005C2C1E" w:rsidRPr="00A23740" w:rsidRDefault="005C2C1E" w:rsidP="009431FF">
            <w:pPr>
              <w:pStyle w:val="YEL"/>
              <w:widowControl w:val="0"/>
              <w:rPr>
                <w:lang w:val="tr-TR"/>
              </w:rPr>
            </w:pPr>
          </w:p>
          <w:p w:rsidR="00164AE4" w:rsidRPr="00A23740" w:rsidRDefault="00164AE4" w:rsidP="009431FF">
            <w:pPr>
              <w:widowControl w:val="0"/>
              <w:rPr>
                <w:rFonts w:eastAsia="Times New Roman"/>
                <w:szCs w:val="24"/>
                <w:lang w:eastAsia="tr-TR"/>
              </w:rPr>
            </w:pPr>
            <w:r w:rsidRPr="00A23740">
              <w:rPr>
                <w:rStyle w:val="MaviChar"/>
              </w:rPr>
              <w:t>(4) Birinci</w:t>
            </w:r>
            <w:r w:rsidRPr="00A23740">
              <w:rPr>
                <w:rFonts w:eastAsia="Times New Roman"/>
                <w:szCs w:val="24"/>
                <w:lang w:eastAsia="tr-TR"/>
              </w:rPr>
              <w:t xml:space="preserve"> fıkradaki hükmün </w:t>
            </w:r>
            <w:r w:rsidRPr="00A23740">
              <w:rPr>
                <w:rStyle w:val="MaviChar"/>
              </w:rPr>
              <w:t>uygulanmasını</w:t>
            </w:r>
            <w:r w:rsidRPr="00A23740">
              <w:rPr>
                <w:rFonts w:eastAsia="Times New Roman"/>
                <w:szCs w:val="24"/>
                <w:lang w:eastAsia="tr-TR"/>
              </w:rPr>
              <w:t xml:space="preserve"> </w:t>
            </w:r>
            <w:r w:rsidR="005C2C1E">
              <w:rPr>
                <w:rStyle w:val="MaviChar"/>
              </w:rPr>
              <w:t xml:space="preserve">kesin aciz belgesi alan </w:t>
            </w:r>
            <w:r w:rsidRPr="00A23740">
              <w:rPr>
                <w:rStyle w:val="MaviChar"/>
              </w:rPr>
              <w:t xml:space="preserve">birden fazla </w:t>
            </w:r>
            <w:r w:rsidRPr="00A23740">
              <w:rPr>
                <w:rFonts w:eastAsia="Times New Roman"/>
                <w:bCs/>
                <w:lang w:eastAsia="tr-TR"/>
              </w:rPr>
              <w:t xml:space="preserve">alacaklı </w:t>
            </w:r>
            <w:r w:rsidR="00896303" w:rsidRPr="00A23740">
              <w:rPr>
                <w:rFonts w:eastAsia="Times New Roman"/>
                <w:bCs/>
                <w:lang w:eastAsia="tr-TR"/>
              </w:rPr>
              <w:t>talep</w:t>
            </w:r>
            <w:r w:rsidR="00896303" w:rsidRPr="00A23740">
              <w:rPr>
                <w:rStyle w:val="MaviChar"/>
                <w:lang w:val="tr-TR"/>
              </w:rPr>
              <w:t xml:space="preserve"> etmişse</w:t>
            </w:r>
            <w:r w:rsidRPr="00A23740">
              <w:rPr>
                <w:rStyle w:val="MaviChar"/>
                <w:lang w:val="tr-TR"/>
              </w:rPr>
              <w:t>,</w:t>
            </w:r>
            <w:r w:rsidRPr="00A23740">
              <w:rPr>
                <w:rFonts w:eastAsia="Times New Roman"/>
                <w:szCs w:val="24"/>
                <w:lang w:eastAsia="tr-TR"/>
              </w:rPr>
              <w:t xml:space="preserve"> bunlar talep tarihi</w:t>
            </w:r>
            <w:r w:rsidR="00DD5D1A" w:rsidRPr="00A23740">
              <w:rPr>
                <w:rStyle w:val="MaviChar"/>
              </w:rPr>
              <w:t xml:space="preserve"> </w:t>
            </w:r>
            <w:r w:rsidR="00DD5D1A" w:rsidRPr="00A23740">
              <w:rPr>
                <w:bCs/>
                <w:lang w:eastAsia="tr-TR"/>
              </w:rPr>
              <w:t>sırasıyla</w:t>
            </w:r>
            <w:r w:rsidRPr="00A23740">
              <w:rPr>
                <w:rFonts w:eastAsia="Times New Roman"/>
                <w:szCs w:val="24"/>
                <w:lang w:eastAsia="tr-TR"/>
              </w:rPr>
              <w:t xml:space="preserve"> </w:t>
            </w:r>
            <w:r w:rsidRPr="00A23740">
              <w:rPr>
                <w:rFonts w:eastAsia="Times New Roman"/>
                <w:bCs/>
                <w:lang w:eastAsia="tr-TR"/>
              </w:rPr>
              <w:t>öncelik</w:t>
            </w:r>
            <w:r w:rsidRPr="00A23740">
              <w:rPr>
                <w:rStyle w:val="MaviChar"/>
              </w:rPr>
              <w:t xml:space="preserve"> hakkına sahiptir.</w:t>
            </w:r>
          </w:p>
          <w:p w:rsidR="001A031C" w:rsidRPr="00A23740" w:rsidRDefault="001A031C" w:rsidP="009431FF">
            <w:pPr>
              <w:pStyle w:val="YEL"/>
              <w:widowControl w:val="0"/>
              <w:rPr>
                <w:lang w:val="tr-TR"/>
              </w:rPr>
            </w:pPr>
          </w:p>
          <w:p w:rsidR="00AA5C8C" w:rsidRPr="00A23740" w:rsidRDefault="00AA5C8C" w:rsidP="009431FF">
            <w:pPr>
              <w:pStyle w:val="Mavi"/>
              <w:widowControl w:val="0"/>
            </w:pPr>
            <w:r w:rsidRPr="00A23740">
              <w:t>(</w:t>
            </w:r>
            <w:r w:rsidR="003778AB" w:rsidRPr="00A23740">
              <w:rPr>
                <w:lang w:val="tr-TR"/>
              </w:rPr>
              <w:t>5</w:t>
            </w:r>
            <w:r w:rsidRPr="00A23740">
              <w:t>) Bu hükme aykırı davranan borçlu hakkında</w:t>
            </w:r>
            <w:r w:rsidR="00F67BEF" w:rsidRPr="00A23740">
              <w:rPr>
                <w:lang w:val="tr-TR"/>
              </w:rPr>
              <w:t>,</w:t>
            </w:r>
            <w:r w:rsidR="004E361C" w:rsidRPr="00A23740">
              <w:rPr>
                <w:lang w:val="tr-TR"/>
              </w:rPr>
              <w:t xml:space="preserve"> </w:t>
            </w:r>
            <w:r w:rsidR="004E361C" w:rsidRPr="00514F8A">
              <w:t>515 inci</w:t>
            </w:r>
            <w:r w:rsidR="00666F1F" w:rsidRPr="00A23740">
              <w:t xml:space="preserve"> madde hükmü uygulanır.</w:t>
            </w:r>
          </w:p>
          <w:p w:rsidR="00AA5C8C" w:rsidRPr="00A23740" w:rsidRDefault="00AA5C8C" w:rsidP="009431FF">
            <w:pPr>
              <w:pStyle w:val="YEL"/>
              <w:widowControl w:val="0"/>
              <w:rPr>
                <w:lang w:val="tr-TR" w:eastAsia="tr-TR"/>
              </w:rPr>
            </w:pPr>
          </w:p>
        </w:tc>
      </w:tr>
      <w:tr w:rsidR="00495F66" w:rsidRPr="00A23740" w:rsidTr="009431FF">
        <w:tblPrEx>
          <w:tblLook w:val="01E0" w:firstRow="1" w:lastRow="1" w:firstColumn="1" w:lastColumn="1" w:noHBand="0" w:noVBand="0"/>
        </w:tblPrEx>
        <w:tc>
          <w:tcPr>
            <w:tcW w:w="5000" w:type="pct"/>
            <w:gridSpan w:val="2"/>
            <w:shd w:val="clear" w:color="auto" w:fill="DEEAF6"/>
          </w:tcPr>
          <w:p w:rsidR="00495F66" w:rsidRPr="00A23740" w:rsidRDefault="00495F66" w:rsidP="009431FF">
            <w:pPr>
              <w:pStyle w:val="Mavi"/>
              <w:ind w:firstLine="709"/>
            </w:pPr>
          </w:p>
          <w:p w:rsidR="00495F66" w:rsidRPr="00A23740" w:rsidRDefault="00490C3E" w:rsidP="009431FF">
            <w:pPr>
              <w:pStyle w:val="Mavi"/>
              <w:ind w:firstLine="709"/>
              <w:rPr>
                <w:rFonts w:eastAsia="Times New Roman"/>
                <w:b w:val="0"/>
                <w:bCs w:val="0"/>
                <w:color w:val="auto"/>
                <w:lang w:val="tr-TR" w:eastAsia="tr-TR"/>
              </w:rPr>
            </w:pPr>
            <w:r w:rsidRPr="00A23740">
              <w:rPr>
                <w:rFonts w:eastAsia="Times New Roman"/>
                <w:bCs w:val="0"/>
                <w:color w:val="auto"/>
                <w:lang w:val="tr-TR" w:eastAsia="tr-TR"/>
              </w:rPr>
              <w:t>MADDE 265</w:t>
            </w:r>
            <w:r w:rsidR="00495F66" w:rsidRPr="00A23740">
              <w:rPr>
                <w:rFonts w:eastAsia="Times New Roman"/>
                <w:bCs w:val="0"/>
                <w:color w:val="auto"/>
                <w:lang w:val="tr-TR" w:eastAsia="tr-TR"/>
              </w:rPr>
              <w:t>-</w:t>
            </w:r>
            <w:r w:rsidR="00495F66" w:rsidRPr="00A23740">
              <w:rPr>
                <w:rFonts w:eastAsia="Times New Roman"/>
                <w:b w:val="0"/>
                <w:bCs w:val="0"/>
                <w:color w:val="auto"/>
                <w:lang w:val="tr-TR" w:eastAsia="tr-TR"/>
              </w:rPr>
              <w:t xml:space="preserve"> Maddeyle, borçlunun asgari ücretin üstünde gelir elde etmesine ilişkin hususlar düzenlenmektedir. Madde</w:t>
            </w:r>
            <w:r w:rsidR="004A0400" w:rsidRPr="00A23740">
              <w:rPr>
                <w:rFonts w:eastAsia="Times New Roman"/>
                <w:b w:val="0"/>
                <w:bCs w:val="0"/>
                <w:color w:val="auto"/>
                <w:lang w:val="tr-TR" w:eastAsia="tr-TR"/>
              </w:rPr>
              <w:t>,</w:t>
            </w:r>
            <w:r w:rsidR="00495F66" w:rsidRPr="00A23740">
              <w:rPr>
                <w:rFonts w:eastAsia="Times New Roman"/>
                <w:b w:val="0"/>
                <w:bCs w:val="0"/>
                <w:color w:val="auto"/>
                <w:lang w:val="tr-TR" w:eastAsia="tr-TR"/>
              </w:rPr>
              <w:t xml:space="preserve"> 2004 sayılı Kanunun 338 inci maddesinin ikinci ve üçüncü fıkrasına kısmen karşılık gelmekte olup</w:t>
            </w:r>
            <w:r w:rsidR="00B20B8F" w:rsidRPr="00A23740">
              <w:rPr>
                <w:rFonts w:eastAsia="Times New Roman"/>
                <w:b w:val="0"/>
                <w:bCs w:val="0"/>
                <w:color w:val="auto"/>
                <w:lang w:val="tr-TR" w:eastAsia="tr-TR"/>
              </w:rPr>
              <w:t>, borçlunun asgari ücretin üstünde gelire sahip olduğu ve bu geliri gizleyerek borcunu ödemediği kabulünden hareketle dili sadeleştirilmek suretiyle</w:t>
            </w:r>
            <w:r w:rsidR="00495F66" w:rsidRPr="00A23740">
              <w:rPr>
                <w:rFonts w:eastAsia="Times New Roman"/>
                <w:b w:val="0"/>
                <w:bCs w:val="0"/>
                <w:color w:val="auto"/>
                <w:lang w:val="tr-TR" w:eastAsia="tr-TR"/>
              </w:rPr>
              <w:t xml:space="preserve"> muhafaza edilmektedir.</w:t>
            </w:r>
          </w:p>
          <w:p w:rsidR="005F0F66" w:rsidRPr="00A23740" w:rsidRDefault="005F0F66"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Birinci fık</w:t>
            </w:r>
            <w:r w:rsidR="004A0400" w:rsidRPr="00A23740">
              <w:rPr>
                <w:rFonts w:eastAsia="Times New Roman"/>
                <w:b w:val="0"/>
                <w:bCs w:val="0"/>
                <w:color w:val="auto"/>
                <w:lang w:val="tr-TR" w:eastAsia="tr-TR"/>
              </w:rPr>
              <w:t>r</w:t>
            </w:r>
            <w:r w:rsidRPr="00A23740">
              <w:rPr>
                <w:rFonts w:eastAsia="Times New Roman"/>
                <w:b w:val="0"/>
                <w:bCs w:val="0"/>
                <w:color w:val="auto"/>
                <w:lang w:val="tr-TR" w:eastAsia="tr-TR"/>
              </w:rPr>
              <w:t>ayla</w:t>
            </w:r>
            <w:r w:rsidR="00495F66" w:rsidRPr="00A23740">
              <w:rPr>
                <w:rFonts w:eastAsia="Times New Roman"/>
                <w:b w:val="0"/>
                <w:bCs w:val="0"/>
                <w:color w:val="auto"/>
                <w:lang w:val="tr-TR" w:eastAsia="tr-TR"/>
              </w:rPr>
              <w:t>, kesin aciz belgesi almış olan alacaklı</w:t>
            </w:r>
            <w:r w:rsidRPr="00A23740">
              <w:rPr>
                <w:rFonts w:eastAsia="Times New Roman"/>
                <w:b w:val="0"/>
                <w:bCs w:val="0"/>
                <w:color w:val="auto"/>
                <w:lang w:val="tr-TR" w:eastAsia="tr-TR"/>
              </w:rPr>
              <w:t>nın</w:t>
            </w:r>
            <w:r w:rsidR="00495F66" w:rsidRPr="00A23740">
              <w:rPr>
                <w:rFonts w:eastAsia="Times New Roman"/>
                <w:b w:val="0"/>
                <w:bCs w:val="0"/>
                <w:color w:val="auto"/>
                <w:lang w:val="tr-TR" w:eastAsia="tr-TR"/>
              </w:rPr>
              <w:t xml:space="preserve">, bu belgenin düzenlendiği tarihten itibaren beş yıl içinde, borçlunun asgari ücretin üstünde bir geçim sürdüğünü iddia ederek aciz belgesine konu </w:t>
            </w:r>
            <w:r w:rsidR="00D877B1" w:rsidRPr="00A23740">
              <w:rPr>
                <w:rFonts w:eastAsia="Times New Roman"/>
                <w:b w:val="0"/>
                <w:bCs w:val="0"/>
                <w:color w:val="auto"/>
                <w:lang w:val="tr-TR" w:eastAsia="tr-TR"/>
              </w:rPr>
              <w:t xml:space="preserve">teşkil eden </w:t>
            </w:r>
            <w:r w:rsidR="00495F66" w:rsidRPr="00A23740">
              <w:rPr>
                <w:rFonts w:eastAsia="Times New Roman"/>
                <w:b w:val="0"/>
                <w:bCs w:val="0"/>
                <w:color w:val="auto"/>
                <w:lang w:val="tr-TR" w:eastAsia="tr-TR"/>
              </w:rPr>
              <w:t>borcun bu ücretten ödenmesine karar verilmesini icra hukuk mahkemesinden talep edebil</w:t>
            </w:r>
            <w:r w:rsidRPr="00A23740">
              <w:rPr>
                <w:rFonts w:eastAsia="Times New Roman"/>
                <w:b w:val="0"/>
                <w:bCs w:val="0"/>
                <w:color w:val="auto"/>
                <w:lang w:val="tr-TR" w:eastAsia="tr-TR"/>
              </w:rPr>
              <w:t>eceği hükme bağlanmaktadır</w:t>
            </w:r>
            <w:r w:rsidR="00495F66" w:rsidRPr="00A23740">
              <w:rPr>
                <w:rFonts w:eastAsia="Times New Roman"/>
                <w:b w:val="0"/>
                <w:bCs w:val="0"/>
                <w:color w:val="auto"/>
                <w:lang w:val="tr-TR" w:eastAsia="tr-TR"/>
              </w:rPr>
              <w:t>.</w:t>
            </w:r>
          </w:p>
          <w:p w:rsidR="00495F66" w:rsidRPr="00A23740" w:rsidRDefault="00495F66"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 xml:space="preserve">İkinci fıkraya göre, </w:t>
            </w:r>
            <w:r w:rsidR="004A0400" w:rsidRPr="00A23740">
              <w:rPr>
                <w:rFonts w:eastAsia="Times New Roman"/>
                <w:b w:val="0"/>
                <w:bCs w:val="0"/>
                <w:color w:val="auto"/>
                <w:lang w:val="tr-TR" w:eastAsia="tr-TR"/>
              </w:rPr>
              <w:t xml:space="preserve">icra hukuk mahkemesi, </w:t>
            </w:r>
            <w:r w:rsidR="005F0F66" w:rsidRPr="00A23740">
              <w:rPr>
                <w:rFonts w:eastAsia="Times New Roman"/>
                <w:b w:val="0"/>
                <w:bCs w:val="0"/>
                <w:color w:val="auto"/>
                <w:lang w:val="tr-TR" w:eastAsia="tr-TR"/>
              </w:rPr>
              <w:t>hakkında kesin aciz belgesi düzenlenen borçlunun bu belgenin düzen</w:t>
            </w:r>
            <w:r w:rsidR="0020624F" w:rsidRPr="00A23740">
              <w:rPr>
                <w:rFonts w:eastAsia="Times New Roman"/>
                <w:b w:val="0"/>
                <w:bCs w:val="0"/>
                <w:color w:val="auto"/>
                <w:lang w:val="tr-TR" w:eastAsia="tr-TR"/>
              </w:rPr>
              <w:t>len</w:t>
            </w:r>
            <w:r w:rsidR="004A0400" w:rsidRPr="00A23740">
              <w:rPr>
                <w:rFonts w:eastAsia="Times New Roman"/>
                <w:b w:val="0"/>
                <w:bCs w:val="0"/>
                <w:color w:val="auto"/>
                <w:lang w:val="tr-TR" w:eastAsia="tr-TR"/>
              </w:rPr>
              <w:t>diği</w:t>
            </w:r>
            <w:r w:rsidR="005F0F66" w:rsidRPr="00A23740">
              <w:rPr>
                <w:rFonts w:eastAsia="Times New Roman"/>
                <w:b w:val="0"/>
                <w:bCs w:val="0"/>
                <w:color w:val="auto"/>
                <w:lang w:val="tr-TR" w:eastAsia="tr-TR"/>
              </w:rPr>
              <w:t xml:space="preserve"> tarihten itibaren beş yıl içinde asgari ücretin üstünde bir geçim sürdüğü</w:t>
            </w:r>
            <w:r w:rsidR="0020624F" w:rsidRPr="00A23740">
              <w:rPr>
                <w:rFonts w:eastAsia="Times New Roman"/>
                <w:b w:val="0"/>
                <w:bCs w:val="0"/>
                <w:color w:val="auto"/>
                <w:lang w:val="tr-TR" w:eastAsia="tr-TR"/>
              </w:rPr>
              <w:t xml:space="preserve">nü </w:t>
            </w:r>
            <w:r w:rsidR="005F0F66" w:rsidRPr="00A23740">
              <w:rPr>
                <w:rFonts w:eastAsia="Times New Roman"/>
                <w:b w:val="0"/>
                <w:bCs w:val="0"/>
                <w:color w:val="auto"/>
                <w:lang w:val="tr-TR" w:eastAsia="tr-TR"/>
              </w:rPr>
              <w:t xml:space="preserve">tespit </w:t>
            </w:r>
            <w:r w:rsidR="0020624F" w:rsidRPr="00A23740">
              <w:rPr>
                <w:rFonts w:eastAsia="Times New Roman"/>
                <w:b w:val="0"/>
                <w:bCs w:val="0"/>
                <w:color w:val="auto"/>
                <w:lang w:val="tr-TR" w:eastAsia="tr-TR"/>
              </w:rPr>
              <w:t>ederse</w:t>
            </w:r>
            <w:r w:rsidRPr="00A23740">
              <w:rPr>
                <w:rFonts w:eastAsia="Times New Roman"/>
                <w:b w:val="0"/>
                <w:bCs w:val="0"/>
                <w:color w:val="auto"/>
                <w:lang w:val="tr-TR" w:eastAsia="tr-TR"/>
              </w:rPr>
              <w:t>,</w:t>
            </w:r>
            <w:r w:rsidR="005F0F66" w:rsidRPr="00A23740">
              <w:rPr>
                <w:rFonts w:eastAsia="Times New Roman"/>
                <w:b w:val="0"/>
                <w:bCs w:val="0"/>
                <w:color w:val="auto"/>
                <w:lang w:val="tr-TR" w:eastAsia="tr-TR"/>
              </w:rPr>
              <w:t xml:space="preserve"> </w:t>
            </w:r>
            <w:r w:rsidRPr="00A23740">
              <w:rPr>
                <w:rFonts w:eastAsia="Times New Roman"/>
                <w:b w:val="0"/>
                <w:bCs w:val="0"/>
                <w:color w:val="auto"/>
                <w:lang w:val="tr-TR" w:eastAsia="tr-TR"/>
              </w:rPr>
              <w:t>borçlunun gelirinin asgari ücretin üstünde kalan kısmının onda ikisinden az olma</w:t>
            </w:r>
            <w:r w:rsidR="0020624F" w:rsidRPr="00A23740">
              <w:rPr>
                <w:rFonts w:eastAsia="Times New Roman"/>
                <w:b w:val="0"/>
                <w:bCs w:val="0"/>
                <w:color w:val="auto"/>
                <w:lang w:val="tr-TR" w:eastAsia="tr-TR"/>
              </w:rPr>
              <w:t>mak üzere belirleyeceği tutarı</w:t>
            </w:r>
            <w:r w:rsidRPr="00A23740">
              <w:rPr>
                <w:rFonts w:eastAsia="Times New Roman"/>
                <w:b w:val="0"/>
                <w:bCs w:val="0"/>
                <w:color w:val="auto"/>
                <w:lang w:val="tr-TR" w:eastAsia="tr-TR"/>
              </w:rPr>
              <w:t xml:space="preserve"> kararın kesinleşmesinden itibaren en geç bir ay içinde ve aciz belgesindeki borcun ödenmesine kadar her ay icra ve iflas dairesine ödemesine karar verir.</w:t>
            </w:r>
            <w:r w:rsidR="005F0F66" w:rsidRPr="00A23740">
              <w:rPr>
                <w:rFonts w:eastAsia="Times New Roman"/>
                <w:b w:val="0"/>
                <w:bCs w:val="0"/>
                <w:color w:val="auto"/>
                <w:lang w:val="tr-TR" w:eastAsia="tr-TR"/>
              </w:rPr>
              <w:t xml:space="preserve"> 2004 sayılı Kanunda</w:t>
            </w:r>
            <w:r w:rsidR="002627D5" w:rsidRPr="00A23740">
              <w:rPr>
                <w:rFonts w:eastAsia="Times New Roman"/>
                <w:b w:val="0"/>
                <w:bCs w:val="0"/>
                <w:color w:val="auto"/>
                <w:lang w:val="tr-TR" w:eastAsia="tr-TR"/>
              </w:rPr>
              <w:t xml:space="preserve"> hükmedilecek</w:t>
            </w:r>
            <w:r w:rsidR="007912F2" w:rsidRPr="00A23740">
              <w:rPr>
                <w:rFonts w:eastAsia="Times New Roman"/>
                <w:b w:val="0"/>
                <w:bCs w:val="0"/>
                <w:color w:val="auto"/>
                <w:lang w:val="tr-TR" w:eastAsia="tr-TR"/>
              </w:rPr>
              <w:t xml:space="preserve"> asgari</w:t>
            </w:r>
            <w:r w:rsidR="002627D5" w:rsidRPr="00A23740">
              <w:rPr>
                <w:rFonts w:eastAsia="Times New Roman"/>
                <w:b w:val="0"/>
                <w:bCs w:val="0"/>
                <w:color w:val="auto"/>
                <w:lang w:val="tr-TR" w:eastAsia="tr-TR"/>
              </w:rPr>
              <w:t xml:space="preserve"> miktar</w:t>
            </w:r>
            <w:r w:rsidR="005F0F66" w:rsidRPr="00A23740">
              <w:rPr>
                <w:rFonts w:eastAsia="Times New Roman"/>
                <w:b w:val="0"/>
                <w:bCs w:val="0"/>
                <w:color w:val="auto"/>
                <w:lang w:val="tr-TR" w:eastAsia="tr-TR"/>
              </w:rPr>
              <w:t xml:space="preserve"> “dörtte bir”</w:t>
            </w:r>
            <w:r w:rsidR="002627D5" w:rsidRPr="00A23740">
              <w:rPr>
                <w:rFonts w:eastAsia="Times New Roman"/>
                <w:b w:val="0"/>
                <w:bCs w:val="0"/>
                <w:color w:val="auto"/>
                <w:lang w:val="tr-TR" w:eastAsia="tr-TR"/>
              </w:rPr>
              <w:t xml:space="preserve"> </w:t>
            </w:r>
            <w:r w:rsidR="007912F2" w:rsidRPr="00A23740">
              <w:rPr>
                <w:rFonts w:eastAsia="Times New Roman"/>
                <w:b w:val="0"/>
                <w:bCs w:val="0"/>
                <w:color w:val="auto"/>
                <w:lang w:val="tr-TR" w:eastAsia="tr-TR"/>
              </w:rPr>
              <w:t>iken</w:t>
            </w:r>
            <w:r w:rsidR="00672ED5" w:rsidRPr="00D60C1D">
              <w:rPr>
                <w:rStyle w:val="YELChar"/>
                <w:color w:val="000000"/>
              </w:rPr>
              <w:t>,</w:t>
            </w:r>
            <w:r w:rsidR="007912F2" w:rsidRPr="00A23740">
              <w:rPr>
                <w:rFonts w:eastAsia="Times New Roman"/>
                <w:b w:val="0"/>
                <w:bCs w:val="0"/>
                <w:color w:val="auto"/>
                <w:lang w:val="tr-TR" w:eastAsia="tr-TR"/>
              </w:rPr>
              <w:t xml:space="preserve"> </w:t>
            </w:r>
            <w:r w:rsidR="002627D5" w:rsidRPr="00A23740">
              <w:rPr>
                <w:rFonts w:eastAsia="Times New Roman"/>
                <w:b w:val="0"/>
                <w:bCs w:val="0"/>
                <w:color w:val="auto"/>
                <w:lang w:val="tr-TR" w:eastAsia="tr-TR"/>
              </w:rPr>
              <w:t>bu oran</w:t>
            </w:r>
            <w:r w:rsidR="007912F2" w:rsidRPr="00A23740">
              <w:rPr>
                <w:rFonts w:eastAsia="Times New Roman"/>
                <w:b w:val="0"/>
                <w:bCs w:val="0"/>
                <w:color w:val="auto"/>
                <w:lang w:val="tr-TR" w:eastAsia="tr-TR"/>
              </w:rPr>
              <w:t xml:space="preserve"> borçlunun geçimini daha rahat bir şekilde </w:t>
            </w:r>
            <w:r w:rsidR="00672ED5" w:rsidRPr="00D60C1D">
              <w:rPr>
                <w:rStyle w:val="YELChar"/>
                <w:color w:val="000000"/>
              </w:rPr>
              <w:t>sağlayabilmesi</w:t>
            </w:r>
            <w:r w:rsidR="007912F2" w:rsidRPr="00A23740">
              <w:rPr>
                <w:rFonts w:eastAsia="Times New Roman"/>
                <w:b w:val="0"/>
                <w:bCs w:val="0"/>
                <w:color w:val="auto"/>
                <w:lang w:val="tr-TR" w:eastAsia="tr-TR"/>
              </w:rPr>
              <w:t xml:space="preserve"> </w:t>
            </w:r>
            <w:r w:rsidR="004A0400" w:rsidRPr="00A23740">
              <w:rPr>
                <w:rFonts w:eastAsia="Times New Roman"/>
                <w:b w:val="0"/>
                <w:bCs w:val="0"/>
                <w:color w:val="auto"/>
                <w:lang w:val="tr-TR" w:eastAsia="tr-TR"/>
              </w:rPr>
              <w:t>düşüncesiyle</w:t>
            </w:r>
            <w:r w:rsidR="005F0F66" w:rsidRPr="00A23740">
              <w:rPr>
                <w:rFonts w:eastAsia="Times New Roman"/>
                <w:b w:val="0"/>
                <w:bCs w:val="0"/>
                <w:color w:val="auto"/>
                <w:lang w:val="tr-TR" w:eastAsia="tr-TR"/>
              </w:rPr>
              <w:t xml:space="preserve"> Taslakta “</w:t>
            </w:r>
            <w:r w:rsidR="003D7097" w:rsidRPr="00A23740">
              <w:rPr>
                <w:rFonts w:eastAsia="Times New Roman"/>
                <w:b w:val="0"/>
                <w:bCs w:val="0"/>
                <w:color w:val="auto"/>
                <w:lang w:val="tr-TR" w:eastAsia="tr-TR"/>
              </w:rPr>
              <w:t>beşte bir</w:t>
            </w:r>
            <w:r w:rsidR="005F0F66" w:rsidRPr="00A23740">
              <w:rPr>
                <w:rFonts w:eastAsia="Times New Roman"/>
                <w:b w:val="0"/>
                <w:bCs w:val="0"/>
                <w:color w:val="auto"/>
                <w:lang w:val="tr-TR" w:eastAsia="tr-TR"/>
              </w:rPr>
              <w:t>”</w:t>
            </w:r>
            <w:r w:rsidR="007912F2" w:rsidRPr="00A23740">
              <w:rPr>
                <w:rFonts w:eastAsia="Times New Roman"/>
                <w:b w:val="0"/>
                <w:bCs w:val="0"/>
                <w:color w:val="auto"/>
                <w:lang w:val="tr-TR" w:eastAsia="tr-TR"/>
              </w:rPr>
              <w:t>e indirilmektedir.</w:t>
            </w:r>
            <w:r w:rsidR="00672ED5" w:rsidRPr="00A23740">
              <w:rPr>
                <w:rFonts w:eastAsia="Times New Roman"/>
                <w:b w:val="0"/>
                <w:bCs w:val="0"/>
                <w:color w:val="auto"/>
                <w:lang w:val="tr-TR" w:eastAsia="tr-TR"/>
              </w:rPr>
              <w:t xml:space="preserve"> </w:t>
            </w:r>
            <w:r w:rsidR="00672ED5" w:rsidRPr="00D60C1D">
              <w:rPr>
                <w:rStyle w:val="YELChar"/>
                <w:color w:val="000000"/>
              </w:rPr>
              <w:t>Ayrıca bu maddede kullanılmış olan “icra ve iflas dairesine ödeme”</w:t>
            </w:r>
            <w:r w:rsidR="003D7097" w:rsidRPr="00D60C1D">
              <w:rPr>
                <w:rStyle w:val="YELChar"/>
                <w:color w:val="000000"/>
                <w:lang w:val="tr-TR"/>
              </w:rPr>
              <w:t>yle</w:t>
            </w:r>
            <w:r w:rsidR="00672ED5" w:rsidRPr="00D60C1D">
              <w:rPr>
                <w:rStyle w:val="YELChar"/>
                <w:color w:val="000000"/>
              </w:rPr>
              <w:t xml:space="preserve"> kastedilenin, icra ve iflas dairesinin banka hesabına yapılan ödeme olduğu açıktır.</w:t>
            </w:r>
          </w:p>
          <w:p w:rsidR="00495F66" w:rsidRPr="00A23740" w:rsidRDefault="007912F2"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Üçüncü fıkrayla, borçlunun nafaka borçluları dahil üçüncü kişiden yardım görmesi h</w:t>
            </w:r>
            <w:r w:rsidR="008D7868" w:rsidRPr="00A23740">
              <w:rPr>
                <w:rFonts w:eastAsia="Times New Roman"/>
                <w:b w:val="0"/>
                <w:bCs w:val="0"/>
                <w:color w:val="auto"/>
                <w:lang w:val="tr-TR" w:eastAsia="tr-TR"/>
              </w:rPr>
              <w:t>â</w:t>
            </w:r>
            <w:r w:rsidRPr="00A23740">
              <w:rPr>
                <w:rFonts w:eastAsia="Times New Roman"/>
                <w:b w:val="0"/>
                <w:bCs w:val="0"/>
                <w:color w:val="auto"/>
                <w:lang w:val="tr-TR" w:eastAsia="tr-TR"/>
              </w:rPr>
              <w:t>linin</w:t>
            </w:r>
            <w:r w:rsidR="003D7097" w:rsidRPr="00A23740">
              <w:rPr>
                <w:rFonts w:eastAsia="Times New Roman"/>
                <w:b w:val="0"/>
                <w:bCs w:val="0"/>
                <w:color w:val="auto"/>
                <w:lang w:val="tr-TR" w:eastAsia="tr-TR"/>
              </w:rPr>
              <w:t>,</w:t>
            </w:r>
            <w:r w:rsidRPr="00A23740">
              <w:rPr>
                <w:rFonts w:eastAsia="Times New Roman"/>
                <w:b w:val="0"/>
                <w:bCs w:val="0"/>
                <w:color w:val="auto"/>
                <w:lang w:val="tr-TR" w:eastAsia="tr-TR"/>
              </w:rPr>
              <w:t xml:space="preserve"> borçlunun ikinci fıkra uyarınca karar verilen tutarı icra ve iflas dairesine </w:t>
            </w:r>
            <w:r w:rsidR="00672ED5" w:rsidRPr="00D60C1D">
              <w:rPr>
                <w:rStyle w:val="YELChar"/>
                <w:color w:val="000000"/>
              </w:rPr>
              <w:t>ödeme</w:t>
            </w:r>
            <w:r w:rsidRPr="00A23740">
              <w:rPr>
                <w:rFonts w:eastAsia="Times New Roman"/>
                <w:b w:val="0"/>
                <w:bCs w:val="0"/>
                <w:color w:val="auto"/>
                <w:lang w:val="tr-TR" w:eastAsia="tr-TR"/>
              </w:rPr>
              <w:t xml:space="preserve"> yükümlülüğünü ortadan kaldırmayacağı kabul edilmektedir.</w:t>
            </w:r>
          </w:p>
          <w:p w:rsidR="003778AB" w:rsidRPr="00A23740" w:rsidRDefault="003778AB" w:rsidP="009431FF">
            <w:pPr>
              <w:pStyle w:val="Mavi"/>
              <w:ind w:firstLine="709"/>
              <w:rPr>
                <w:rFonts w:eastAsia="Times New Roman"/>
                <w:b w:val="0"/>
                <w:bCs w:val="0"/>
                <w:color w:val="auto"/>
                <w:lang w:val="tr-TR" w:eastAsia="tr-TR"/>
              </w:rPr>
            </w:pPr>
            <w:r w:rsidRPr="00A23740">
              <w:rPr>
                <w:rFonts w:eastAsia="Times New Roman"/>
                <w:b w:val="0"/>
                <w:bCs w:val="0"/>
                <w:color w:val="auto"/>
                <w:lang w:val="tr-TR" w:eastAsia="tr-TR"/>
              </w:rPr>
              <w:t>Dördüncü fıkrayla, birinci fıkradaki hükmün uygulanmasını kesin aciz belgesi alan birden fazla alacaklının talep etmesi h</w:t>
            </w:r>
            <w:r w:rsidR="008D7868" w:rsidRPr="00A23740">
              <w:rPr>
                <w:rFonts w:eastAsia="Times New Roman"/>
                <w:b w:val="0"/>
                <w:bCs w:val="0"/>
                <w:color w:val="auto"/>
                <w:lang w:val="tr-TR" w:eastAsia="tr-TR"/>
              </w:rPr>
              <w:t>â</w:t>
            </w:r>
            <w:r w:rsidRPr="00A23740">
              <w:rPr>
                <w:rFonts w:eastAsia="Times New Roman"/>
                <w:b w:val="0"/>
                <w:bCs w:val="0"/>
                <w:color w:val="auto"/>
                <w:lang w:val="tr-TR" w:eastAsia="tr-TR"/>
              </w:rPr>
              <w:t>linde, bunların talep tarihi sırasıyla öncelik hakkına sahip olduğu belirtilmektedir.</w:t>
            </w:r>
          </w:p>
          <w:p w:rsidR="007912F2" w:rsidRPr="00A23740" w:rsidRDefault="003778AB" w:rsidP="009431FF">
            <w:pPr>
              <w:pStyle w:val="Mavi"/>
              <w:ind w:firstLine="709"/>
              <w:rPr>
                <w:lang w:val="tr-TR"/>
              </w:rPr>
            </w:pPr>
            <w:r w:rsidRPr="00A23740">
              <w:rPr>
                <w:rFonts w:eastAsia="Times New Roman"/>
                <w:b w:val="0"/>
                <w:bCs w:val="0"/>
                <w:color w:val="auto"/>
                <w:lang w:val="tr-TR" w:eastAsia="tr-TR"/>
              </w:rPr>
              <w:t>Beşinci</w:t>
            </w:r>
            <w:r w:rsidR="009A379C" w:rsidRPr="00A23740">
              <w:rPr>
                <w:rFonts w:eastAsia="Times New Roman"/>
                <w:b w:val="0"/>
                <w:bCs w:val="0"/>
                <w:color w:val="auto"/>
                <w:lang w:val="tr-TR" w:eastAsia="tr-TR"/>
              </w:rPr>
              <w:t xml:space="preserve"> fıkrayla, bu hükme aykırı davranan borçlu hakkında Taslağın “Hakkında kesin aciz belgesi düzenlenen borçlunun yükümlülüğüne aykırı davranması” başlıklı </w:t>
            </w:r>
            <w:r w:rsidR="00657520" w:rsidRPr="00D60C1D">
              <w:rPr>
                <w:rStyle w:val="KonuBalChar"/>
                <w:rFonts w:eastAsia="Calibri"/>
                <w:color w:val="000000"/>
              </w:rPr>
              <w:t>515 inci</w:t>
            </w:r>
            <w:r w:rsidR="009A379C" w:rsidRPr="00A23740">
              <w:rPr>
                <w:rFonts w:eastAsia="Times New Roman"/>
                <w:b w:val="0"/>
                <w:bCs w:val="0"/>
                <w:color w:val="auto"/>
                <w:lang w:val="tr-TR" w:eastAsia="tr-TR"/>
              </w:rPr>
              <w:t xml:space="preserve"> maddesinde belirtilen </w:t>
            </w:r>
            <w:r w:rsidR="003D7097" w:rsidRPr="00A23740">
              <w:rPr>
                <w:rFonts w:eastAsia="Times New Roman"/>
                <w:b w:val="0"/>
                <w:bCs w:val="0"/>
                <w:color w:val="auto"/>
                <w:lang w:val="tr-TR" w:eastAsia="tr-TR"/>
              </w:rPr>
              <w:t xml:space="preserve">yaptırımın </w:t>
            </w:r>
            <w:r w:rsidR="009A379C" w:rsidRPr="00A23740">
              <w:rPr>
                <w:rFonts w:eastAsia="Times New Roman"/>
                <w:b w:val="0"/>
                <w:bCs w:val="0"/>
                <w:color w:val="auto"/>
                <w:lang w:val="tr-TR" w:eastAsia="tr-TR"/>
              </w:rPr>
              <w:t>uygulanacağı düzenlenmektedir.</w:t>
            </w:r>
          </w:p>
          <w:p w:rsidR="00495F66" w:rsidRPr="00A23740" w:rsidRDefault="00495F66" w:rsidP="0016377F">
            <w:pPr>
              <w:tabs>
                <w:tab w:val="left" w:pos="567"/>
              </w:tabs>
              <w:ind w:firstLine="709"/>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Fonts w:eastAsia="Times New Roman"/>
                <w:szCs w:val="24"/>
                <w:lang w:eastAsia="tr-TR"/>
              </w:rPr>
              <w:t xml:space="preserve">Senedin </w:t>
            </w:r>
            <w:r w:rsidRPr="00A23740">
              <w:rPr>
                <w:rStyle w:val="KIRMIZIChar"/>
                <w:rFonts w:eastAsia="Calibri"/>
              </w:rPr>
              <w:t>geri verilmesi ve ilamın icrası</w:t>
            </w:r>
            <w:r w:rsidRPr="00A23740">
              <w:rPr>
                <w:rFonts w:eastAsia="Times New Roman"/>
                <w:szCs w:val="24"/>
                <w:lang w:eastAsia="tr-TR"/>
              </w:rPr>
              <w:t xml:space="preserve"> </w:t>
            </w:r>
            <w:r w:rsidRPr="00A23740">
              <w:rPr>
                <w:rStyle w:val="KIRMIZIChar"/>
                <w:rFonts w:eastAsia="Calibri"/>
              </w:rPr>
              <w:t>vesikası</w:t>
            </w:r>
            <w:r w:rsidRPr="00A23740">
              <w:rPr>
                <w:rFonts w:eastAsia="Times New Roman"/>
                <w:strike/>
                <w:color w:val="FF0000"/>
                <w:szCs w:val="24"/>
                <w:lang w:eastAsia="tr-TR"/>
              </w:rPr>
              <w:t>:</w:t>
            </w:r>
          </w:p>
          <w:p w:rsidR="00AA5C8C" w:rsidRPr="00A23740" w:rsidRDefault="00AA5C8C" w:rsidP="009431FF">
            <w:pPr>
              <w:tabs>
                <w:tab w:val="left" w:pos="567"/>
              </w:tabs>
              <w:rPr>
                <w:rFonts w:eastAsia="Times New Roman"/>
                <w:szCs w:val="24"/>
                <w:lang w:eastAsia="tr-TR"/>
              </w:rPr>
            </w:pPr>
            <w:r w:rsidRPr="00A23740">
              <w:rPr>
                <w:rFonts w:eastAsia="Times New Roman"/>
                <w:b/>
                <w:szCs w:val="24"/>
                <w:lang w:eastAsia="tr-TR"/>
              </w:rPr>
              <w:t xml:space="preserve">Madde 144 – </w:t>
            </w:r>
            <w:r w:rsidRPr="00A23740">
              <w:rPr>
                <w:rStyle w:val="KIRMIZIChar"/>
                <w:rFonts w:eastAsia="Calibri"/>
              </w:rPr>
              <w:t>(1) Alacağı</w:t>
            </w:r>
            <w:r w:rsidRPr="00A23740">
              <w:rPr>
                <w:rFonts w:eastAsia="Times New Roman"/>
                <w:b/>
                <w:color w:val="FF0000"/>
                <w:szCs w:val="24"/>
                <w:lang w:eastAsia="tr-TR"/>
              </w:rPr>
              <w:t xml:space="preserve"> </w:t>
            </w:r>
            <w:r w:rsidRPr="00A23740">
              <w:rPr>
                <w:rFonts w:eastAsia="Times New Roman"/>
                <w:szCs w:val="24"/>
                <w:lang w:eastAsia="tr-TR"/>
              </w:rPr>
              <w:t xml:space="preserve">tamamen ödenmiş </w:t>
            </w:r>
            <w:r w:rsidRPr="00A23740">
              <w:rPr>
                <w:rFonts w:eastAsia="Times New Roman"/>
                <w:b/>
                <w:strike/>
                <w:color w:val="FF0000"/>
                <w:szCs w:val="24"/>
                <w:lang w:eastAsia="tr-TR"/>
              </w:rPr>
              <w:t>olan alacaklıya ait</w:t>
            </w:r>
            <w:r w:rsidRPr="00A23740">
              <w:rPr>
                <w:rFonts w:eastAsia="Times New Roman"/>
                <w:b/>
                <w:color w:val="FF0000"/>
                <w:szCs w:val="24"/>
                <w:lang w:eastAsia="tr-TR"/>
              </w:rPr>
              <w:t xml:space="preserve"> </w:t>
            </w:r>
            <w:r w:rsidRPr="00A23740">
              <w:rPr>
                <w:rFonts w:eastAsia="Times New Roman"/>
                <w:szCs w:val="24"/>
                <w:lang w:eastAsia="tr-TR"/>
              </w:rPr>
              <w:t>senet</w:t>
            </w:r>
            <w:r w:rsidRPr="00A23740">
              <w:rPr>
                <w:rFonts w:eastAsia="Times New Roman"/>
                <w:b/>
                <w:strike/>
                <w:color w:val="FF0000"/>
                <w:szCs w:val="24"/>
                <w:lang w:eastAsia="tr-TR"/>
              </w:rPr>
              <w:t xml:space="preserve"> icra dairesince </w:t>
            </w:r>
            <w:r w:rsidRPr="00A23740">
              <w:rPr>
                <w:rFonts w:eastAsia="Times New Roman"/>
                <w:szCs w:val="24"/>
                <w:lang w:eastAsia="tr-TR"/>
              </w:rPr>
              <w:t>borçluya verilir.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Alacağı</w:t>
            </w:r>
            <w:r w:rsidRPr="00A23740">
              <w:rPr>
                <w:rStyle w:val="KIRMIZIChar"/>
                <w:rFonts w:eastAsia="Calibri"/>
              </w:rPr>
              <w:t>nın</w:t>
            </w:r>
            <w:r w:rsidRPr="00A23740">
              <w:rPr>
                <w:rFonts w:eastAsia="Times New Roman"/>
                <w:szCs w:val="24"/>
                <w:lang w:eastAsia="tr-TR"/>
              </w:rPr>
              <w:t xml:space="preserve"> </w:t>
            </w:r>
            <w:r w:rsidRPr="00A23740">
              <w:rPr>
                <w:rStyle w:val="KIRMIZIChar"/>
                <w:rFonts w:eastAsia="Calibri"/>
              </w:rPr>
              <w:t>yalnız bir kısmı ödenmiş olan</w:t>
            </w:r>
            <w:r w:rsidRPr="00A23740">
              <w:rPr>
                <w:rFonts w:eastAsia="Times New Roman"/>
                <w:szCs w:val="24"/>
                <w:lang w:eastAsia="tr-TR"/>
              </w:rPr>
              <w:t xml:space="preserve"> alacaklı, senedini geri alabilir. Şu kadar ki, icra dairesi senede bundan sonra ne miktar para için muteber olacağını yazar yahut senedin mahiyetine göre alakadar dairelere yazdırır.</w:t>
            </w:r>
          </w:p>
          <w:p w:rsidR="001A031C" w:rsidRPr="00A23740" w:rsidRDefault="001A031C" w:rsidP="009431FF">
            <w:pPr>
              <w:tabs>
                <w:tab w:val="left" w:pos="567"/>
              </w:tabs>
              <w:rPr>
                <w:rFonts w:eastAsia="Times New Roman"/>
                <w:szCs w:val="24"/>
                <w:lang w:eastAsia="tr-TR"/>
              </w:rPr>
            </w:pPr>
          </w:p>
        </w:tc>
        <w:tc>
          <w:tcPr>
            <w:tcW w:w="2500" w:type="pct"/>
          </w:tcPr>
          <w:p w:rsidR="00AA5C8C" w:rsidRPr="00A23740" w:rsidRDefault="00AA5C8C" w:rsidP="009431FF">
            <w:pPr>
              <w:pStyle w:val="Balk4"/>
              <w:rPr>
                <w:lang w:val="tr-TR" w:eastAsia="tr-TR"/>
              </w:rPr>
            </w:pPr>
            <w:r w:rsidRPr="00A23740">
              <w:rPr>
                <w:lang w:val="tr-TR" w:eastAsia="tr-TR"/>
              </w:rPr>
              <w:t>İKİNCİ AYRIM</w:t>
            </w:r>
          </w:p>
          <w:p w:rsidR="00AA5C8C" w:rsidRPr="00A23740" w:rsidRDefault="00AA5C8C" w:rsidP="009431FF">
            <w:pPr>
              <w:pStyle w:val="Balk4"/>
              <w:rPr>
                <w:lang w:val="tr-TR" w:eastAsia="tr-TR"/>
              </w:rPr>
            </w:pPr>
            <w:r w:rsidRPr="00A23740">
              <w:rPr>
                <w:lang w:val="tr-TR" w:eastAsia="tr-TR"/>
              </w:rPr>
              <w:t>Senedin İadesi ve İlamın İcrasına İlişkin Belge</w:t>
            </w:r>
          </w:p>
          <w:p w:rsidR="00AA5C8C" w:rsidRPr="00A23740" w:rsidRDefault="00AA5C8C" w:rsidP="009431FF">
            <w:pPr>
              <w:tabs>
                <w:tab w:val="left" w:pos="567"/>
              </w:tabs>
              <w:rPr>
                <w:rFonts w:eastAsia="Times New Roman"/>
                <w:b/>
                <w:szCs w:val="24"/>
                <w:lang w:eastAsia="tr-TR"/>
              </w:rPr>
            </w:pPr>
          </w:p>
          <w:p w:rsidR="00AA5C8C" w:rsidRPr="00A23740" w:rsidRDefault="00AA5C8C" w:rsidP="009431FF">
            <w:pPr>
              <w:tabs>
                <w:tab w:val="left" w:pos="567"/>
              </w:tabs>
              <w:rPr>
                <w:rFonts w:eastAsia="Times New Roman"/>
                <w:b/>
                <w:szCs w:val="24"/>
                <w:lang w:eastAsia="tr-TR"/>
              </w:rPr>
            </w:pPr>
            <w:r w:rsidRPr="00A23740">
              <w:rPr>
                <w:rFonts w:eastAsia="Times New Roman"/>
                <w:b/>
                <w:szCs w:val="24"/>
                <w:lang w:eastAsia="tr-TR"/>
              </w:rPr>
              <w:t xml:space="preserve">Senedin </w:t>
            </w:r>
            <w:r w:rsidRPr="00A23740">
              <w:rPr>
                <w:rStyle w:val="MaviChar"/>
                <w:lang w:val="tr-TR"/>
              </w:rPr>
              <w:t>iadesi</w:t>
            </w:r>
          </w:p>
          <w:p w:rsidR="00AA5C8C" w:rsidRPr="00A23740" w:rsidRDefault="00490C3E" w:rsidP="009431FF">
            <w:pPr>
              <w:tabs>
                <w:tab w:val="left" w:pos="567"/>
              </w:tabs>
              <w:rPr>
                <w:rFonts w:eastAsia="Times New Roman"/>
                <w:b/>
                <w:color w:val="0000FF"/>
                <w:szCs w:val="24"/>
                <w:lang w:eastAsia="tr-TR"/>
              </w:rPr>
            </w:pPr>
            <w:r w:rsidRPr="00A23740">
              <w:rPr>
                <w:rFonts w:eastAsia="Times New Roman"/>
                <w:b/>
                <w:color w:val="0000FF"/>
                <w:szCs w:val="24"/>
                <w:lang w:eastAsia="tr-TR"/>
              </w:rPr>
              <w:t>MADDE 266</w:t>
            </w:r>
            <w:r w:rsidR="00AA5C8C" w:rsidRPr="00A23740">
              <w:rPr>
                <w:rFonts w:eastAsia="Times New Roman"/>
                <w:b/>
                <w:color w:val="0000FF"/>
                <w:szCs w:val="24"/>
                <w:lang w:eastAsia="tr-TR"/>
              </w:rPr>
              <w:t xml:space="preserve">- (1) Borç </w:t>
            </w:r>
            <w:r w:rsidR="00AA5C8C" w:rsidRPr="00A23740">
              <w:rPr>
                <w:rFonts w:eastAsia="Times New Roman"/>
                <w:szCs w:val="24"/>
                <w:lang w:eastAsia="tr-TR"/>
              </w:rPr>
              <w:t>tamamen</w:t>
            </w:r>
            <w:r w:rsidR="00AA5C8C" w:rsidRPr="00A23740">
              <w:rPr>
                <w:rFonts w:eastAsia="Times New Roman"/>
                <w:b/>
                <w:color w:val="0000FF"/>
                <w:szCs w:val="24"/>
                <w:lang w:eastAsia="tr-TR"/>
              </w:rPr>
              <w:t xml:space="preserve"> </w:t>
            </w:r>
            <w:r w:rsidR="00AA5C8C" w:rsidRPr="00A23740">
              <w:rPr>
                <w:rFonts w:eastAsia="Times New Roman"/>
                <w:szCs w:val="24"/>
                <w:lang w:eastAsia="tr-TR"/>
              </w:rPr>
              <w:t>ödenmiş</w:t>
            </w:r>
            <w:r w:rsidR="00AA5C8C" w:rsidRPr="00A23740">
              <w:rPr>
                <w:rFonts w:eastAsia="Times New Roman"/>
                <w:b/>
                <w:color w:val="0000FF"/>
                <w:szCs w:val="24"/>
                <w:lang w:eastAsia="tr-TR"/>
              </w:rPr>
              <w:t xml:space="preserve">se takip dayanağı </w:t>
            </w:r>
            <w:r w:rsidR="00AA5C8C" w:rsidRPr="00A23740">
              <w:rPr>
                <w:rFonts w:eastAsia="Times New Roman"/>
                <w:szCs w:val="24"/>
                <w:lang w:eastAsia="tr-TR"/>
              </w:rPr>
              <w:t>senet</w:t>
            </w:r>
            <w:r w:rsidR="008A5965" w:rsidRPr="005C2C1E">
              <w:rPr>
                <w:rStyle w:val="Balk1Char"/>
                <w:rFonts w:eastAsia="Calibri"/>
              </w:rPr>
              <w:t>,</w:t>
            </w:r>
            <w:r w:rsidR="00AA5C8C" w:rsidRPr="00A23740">
              <w:rPr>
                <w:rFonts w:eastAsia="Times New Roman"/>
                <w:b/>
                <w:color w:val="0000FF"/>
                <w:szCs w:val="24"/>
                <w:lang w:eastAsia="tr-TR"/>
              </w:rPr>
              <w:t xml:space="preserve"> ödeme yapan </w:t>
            </w:r>
            <w:r w:rsidR="00AA5C8C" w:rsidRPr="00A23740">
              <w:rPr>
                <w:rFonts w:eastAsia="Times New Roman"/>
                <w:szCs w:val="24"/>
                <w:lang w:eastAsia="tr-TR"/>
              </w:rPr>
              <w:t>borçluya verilir.</w:t>
            </w:r>
            <w:r w:rsidR="00AA5C8C" w:rsidRPr="00A23740">
              <w:rPr>
                <w:rFonts w:eastAsia="Times New Roman"/>
                <w:b/>
                <w:color w:val="0000FF"/>
                <w:szCs w:val="24"/>
                <w:lang w:eastAsia="tr-TR"/>
              </w:rPr>
              <w:t xml:space="preserve"> Şu kadar ki, takibin dayanağı olan senette yazılı alacağın sadece bir kısmı takibe konu olmuşsa senet</w:t>
            </w:r>
            <w:r w:rsidR="00AA5C8C" w:rsidRPr="005C2C1E">
              <w:rPr>
                <w:rStyle w:val="Balk1Char"/>
                <w:rFonts w:eastAsia="ヒラギノ明朝 Pro W3"/>
              </w:rPr>
              <w:t>,</w:t>
            </w:r>
            <w:r w:rsidR="00AA5C8C" w:rsidRPr="00A23740">
              <w:rPr>
                <w:rFonts w:eastAsia="Times New Roman"/>
                <w:b/>
                <w:color w:val="0000FF"/>
                <w:szCs w:val="24"/>
                <w:lang w:eastAsia="tr-TR"/>
              </w:rPr>
              <w:t xml:space="preserve"> yapılan ödeme miktarı üzerine yazılarak alacaklıya iade edilir. </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Style w:val="KIRMIZIChar"/>
                <w:rFonts w:eastAsia="Calibri"/>
              </w:rPr>
            </w:pPr>
            <w:r w:rsidRPr="00A23740">
              <w:rPr>
                <w:rFonts w:eastAsia="Times New Roman"/>
                <w:b/>
                <w:color w:val="0000FF"/>
                <w:szCs w:val="24"/>
                <w:lang w:eastAsia="tr-TR"/>
              </w:rPr>
              <w:t>(2)</w:t>
            </w:r>
            <w:r w:rsidRPr="00A23740">
              <w:rPr>
                <w:rFonts w:eastAsia="Times New Roman"/>
                <w:szCs w:val="24"/>
                <w:lang w:eastAsia="tr-TR"/>
              </w:rPr>
              <w:t xml:space="preserve"> Alacağını </w:t>
            </w:r>
            <w:r w:rsidRPr="00A23740">
              <w:rPr>
                <w:rFonts w:eastAsia="Times New Roman"/>
                <w:b/>
                <w:color w:val="0000FF"/>
                <w:szCs w:val="24"/>
                <w:lang w:eastAsia="tr-TR"/>
              </w:rPr>
              <w:t xml:space="preserve">kısmen tahsil eden </w:t>
            </w:r>
            <w:r w:rsidRPr="00A23740">
              <w:rPr>
                <w:rFonts w:eastAsia="Times New Roman"/>
                <w:szCs w:val="24"/>
                <w:lang w:eastAsia="tr-TR"/>
              </w:rPr>
              <w:t xml:space="preserve">alacaklı, senedini geri alabilir. Şu kadar ki, icra </w:t>
            </w:r>
            <w:r w:rsidRPr="00A23740">
              <w:rPr>
                <w:rStyle w:val="MaviChar"/>
              </w:rPr>
              <w:t>ve iflas</w:t>
            </w:r>
            <w:r w:rsidRPr="00A23740">
              <w:rPr>
                <w:rFonts w:eastAsia="Times New Roman"/>
                <w:szCs w:val="24"/>
                <w:lang w:eastAsia="tr-TR"/>
              </w:rPr>
              <w:t xml:space="preserve"> dairesi senede bundan sonra ne miktar para için </w:t>
            </w:r>
            <w:r w:rsidR="00477943" w:rsidRPr="00514F8A">
              <w:rPr>
                <w:rStyle w:val="Balk1Char"/>
                <w:rFonts w:eastAsia="ヒラギノ明朝 Pro W3"/>
              </w:rPr>
              <w:t>geçerli</w:t>
            </w:r>
            <w:r w:rsidRPr="00A23740">
              <w:rPr>
                <w:rFonts w:eastAsia="Times New Roman"/>
                <w:szCs w:val="24"/>
                <w:lang w:eastAsia="tr-TR"/>
              </w:rPr>
              <w:t xml:space="preserve"> olacağını yazar. </w:t>
            </w:r>
          </w:p>
          <w:p w:rsidR="00AA5C8C" w:rsidRPr="00A23740" w:rsidRDefault="00AA5C8C" w:rsidP="009431FF">
            <w:pPr>
              <w:pStyle w:val="KIRMIZI"/>
              <w:rPr>
                <w:lang w:eastAsia="tr-TR"/>
              </w:rPr>
            </w:pPr>
          </w:p>
        </w:tc>
      </w:tr>
      <w:tr w:rsidR="00FE0D68" w:rsidRPr="00A23740" w:rsidTr="009431FF">
        <w:tblPrEx>
          <w:tblLook w:val="01E0" w:firstRow="1" w:lastRow="1" w:firstColumn="1" w:lastColumn="1" w:noHBand="0" w:noVBand="0"/>
        </w:tblPrEx>
        <w:tc>
          <w:tcPr>
            <w:tcW w:w="5000" w:type="pct"/>
            <w:gridSpan w:val="2"/>
            <w:shd w:val="clear" w:color="auto" w:fill="DEEAF6"/>
          </w:tcPr>
          <w:p w:rsidR="00FE0D68" w:rsidRPr="00A23740" w:rsidRDefault="00FE0D68" w:rsidP="009431FF">
            <w:pPr>
              <w:tabs>
                <w:tab w:val="left" w:pos="567"/>
              </w:tabs>
              <w:ind w:firstLine="709"/>
              <w:rPr>
                <w:rFonts w:eastAsia="Times New Roman"/>
                <w:b/>
                <w:szCs w:val="24"/>
                <w:lang w:eastAsia="tr-TR"/>
              </w:rPr>
            </w:pPr>
          </w:p>
          <w:p w:rsidR="00FE0D68" w:rsidRPr="00A23740" w:rsidRDefault="00490C3E" w:rsidP="009431FF">
            <w:pPr>
              <w:tabs>
                <w:tab w:val="left" w:pos="567"/>
              </w:tabs>
              <w:ind w:firstLine="709"/>
              <w:rPr>
                <w:rFonts w:eastAsia="Times New Roman"/>
                <w:szCs w:val="24"/>
                <w:lang w:eastAsia="tr-TR"/>
              </w:rPr>
            </w:pPr>
            <w:r w:rsidRPr="00A23740">
              <w:rPr>
                <w:rFonts w:eastAsia="Times New Roman"/>
                <w:b/>
                <w:szCs w:val="24"/>
                <w:lang w:eastAsia="tr-TR"/>
              </w:rPr>
              <w:t>MADDE 266</w:t>
            </w:r>
            <w:r w:rsidR="00FE0D68" w:rsidRPr="00A23740">
              <w:rPr>
                <w:rFonts w:eastAsia="Times New Roman"/>
                <w:b/>
                <w:szCs w:val="24"/>
                <w:lang w:eastAsia="tr-TR"/>
              </w:rPr>
              <w:t xml:space="preserve">- </w:t>
            </w:r>
            <w:r w:rsidR="00FE0D68" w:rsidRPr="00A23740">
              <w:rPr>
                <w:rFonts w:eastAsia="Times New Roman"/>
                <w:szCs w:val="24"/>
                <w:lang w:eastAsia="tr-TR"/>
              </w:rPr>
              <w:t xml:space="preserve">Maddeyle, senedin iadesi düzenlenmektedir. </w:t>
            </w:r>
            <w:r w:rsidR="00372FF6" w:rsidRPr="00A23740">
              <w:rPr>
                <w:rFonts w:eastAsia="Times New Roman"/>
                <w:szCs w:val="24"/>
                <w:lang w:eastAsia="tr-TR"/>
              </w:rPr>
              <w:t>İcra takibi uyarınca alacaklının alacağını kısmen veya tamamen almış olması h</w:t>
            </w:r>
            <w:r w:rsidR="008D7868" w:rsidRPr="00A23740">
              <w:rPr>
                <w:rFonts w:eastAsia="Times New Roman"/>
                <w:szCs w:val="24"/>
                <w:lang w:eastAsia="tr-TR"/>
              </w:rPr>
              <w:t>â</w:t>
            </w:r>
            <w:r w:rsidR="00372FF6" w:rsidRPr="00A23740">
              <w:rPr>
                <w:rFonts w:eastAsia="Times New Roman"/>
                <w:szCs w:val="24"/>
                <w:lang w:eastAsia="tr-TR"/>
              </w:rPr>
              <w:t>linde alacak bu oranda sona ereceği için</w:t>
            </w:r>
            <w:r w:rsidR="003D7097" w:rsidRPr="00A23740">
              <w:rPr>
                <w:rFonts w:eastAsia="Times New Roman"/>
                <w:szCs w:val="24"/>
                <w:lang w:eastAsia="tr-TR"/>
              </w:rPr>
              <w:t>,</w:t>
            </w:r>
            <w:r w:rsidR="00372FF6" w:rsidRPr="00A23740">
              <w:rPr>
                <w:rFonts w:eastAsia="Times New Roman"/>
                <w:szCs w:val="24"/>
                <w:lang w:eastAsia="tr-TR"/>
              </w:rPr>
              <w:t xml:space="preserve"> icra</w:t>
            </w:r>
            <w:r w:rsidR="00477943" w:rsidRPr="00A23740">
              <w:rPr>
                <w:rFonts w:eastAsia="Times New Roman"/>
                <w:szCs w:val="24"/>
                <w:lang w:eastAsia="tr-TR"/>
              </w:rPr>
              <w:t xml:space="preserve"> </w:t>
            </w:r>
            <w:r w:rsidR="00477943" w:rsidRPr="00D60C1D">
              <w:rPr>
                <w:rStyle w:val="YELChar"/>
                <w:b w:val="0"/>
                <w:color w:val="000000"/>
              </w:rPr>
              <w:t>ve iflas</w:t>
            </w:r>
            <w:r w:rsidR="00372FF6" w:rsidRPr="00A23740">
              <w:rPr>
                <w:rFonts w:eastAsia="Times New Roman"/>
                <w:szCs w:val="24"/>
                <w:lang w:eastAsia="tr-TR"/>
              </w:rPr>
              <w:t xml:space="preserve"> </w:t>
            </w:r>
            <w:r w:rsidR="00477943" w:rsidRPr="00D60C1D">
              <w:rPr>
                <w:rStyle w:val="YELChar"/>
                <w:b w:val="0"/>
                <w:color w:val="000000"/>
              </w:rPr>
              <w:t>dairesinin</w:t>
            </w:r>
            <w:r w:rsidR="00477943" w:rsidRPr="00A23740">
              <w:rPr>
                <w:rFonts w:eastAsia="Times New Roman"/>
                <w:szCs w:val="24"/>
                <w:lang w:eastAsia="tr-TR"/>
              </w:rPr>
              <w:t xml:space="preserve"> </w:t>
            </w:r>
            <w:r w:rsidR="00C512D0" w:rsidRPr="00A23740">
              <w:rPr>
                <w:rFonts w:eastAsia="Times New Roman"/>
                <w:szCs w:val="24"/>
                <w:lang w:eastAsia="tr-TR"/>
              </w:rPr>
              <w:t>borcun ödendiğine dair</w:t>
            </w:r>
            <w:r w:rsidR="00372FF6" w:rsidRPr="00A23740">
              <w:rPr>
                <w:rFonts w:eastAsia="Times New Roman"/>
                <w:szCs w:val="24"/>
                <w:lang w:eastAsia="tr-TR"/>
              </w:rPr>
              <w:t xml:space="preserve"> bir işlem yapması gerekir. Bu kapsamda, maddede icra</w:t>
            </w:r>
            <w:r w:rsidR="00477943" w:rsidRPr="00A23740">
              <w:rPr>
                <w:rFonts w:eastAsia="Times New Roman"/>
                <w:szCs w:val="24"/>
                <w:lang w:eastAsia="tr-TR"/>
              </w:rPr>
              <w:t xml:space="preserve"> </w:t>
            </w:r>
            <w:r w:rsidR="00477943" w:rsidRPr="00D60C1D">
              <w:rPr>
                <w:rStyle w:val="YELChar"/>
                <w:b w:val="0"/>
                <w:color w:val="000000"/>
              </w:rPr>
              <w:t>ve iflas</w:t>
            </w:r>
            <w:r w:rsidR="00372FF6" w:rsidRPr="00A23740">
              <w:rPr>
                <w:rFonts w:eastAsia="Times New Roman"/>
                <w:szCs w:val="24"/>
                <w:lang w:eastAsia="tr-TR"/>
              </w:rPr>
              <w:t xml:space="preserve"> dairesince yapılacak işlemler belirlenmekte ve 2004 sayılı Kanunun 144 üncü maddesinin birinci ve ikinci </w:t>
            </w:r>
            <w:r w:rsidR="003D7097" w:rsidRPr="00A23740">
              <w:rPr>
                <w:rFonts w:eastAsia="Times New Roman"/>
                <w:szCs w:val="24"/>
                <w:lang w:eastAsia="tr-TR"/>
              </w:rPr>
              <w:t xml:space="preserve">fıkralarındaki esaslar yeni </w:t>
            </w:r>
            <w:r w:rsidR="00372FF6" w:rsidRPr="00A23740">
              <w:rPr>
                <w:rFonts w:eastAsia="Times New Roman"/>
                <w:szCs w:val="24"/>
                <w:lang w:eastAsia="tr-TR"/>
              </w:rPr>
              <w:t>hüküm</w:t>
            </w:r>
            <w:r w:rsidR="003D7097" w:rsidRPr="00A23740">
              <w:rPr>
                <w:rFonts w:eastAsia="Times New Roman"/>
                <w:szCs w:val="24"/>
                <w:lang w:eastAsia="tr-TR"/>
              </w:rPr>
              <w:t>de</w:t>
            </w:r>
            <w:r w:rsidR="00372FF6" w:rsidRPr="00A23740">
              <w:rPr>
                <w:rFonts w:eastAsia="Times New Roman"/>
                <w:szCs w:val="24"/>
                <w:lang w:eastAsia="tr-TR"/>
              </w:rPr>
              <w:t xml:space="preserve"> muhafaza edilmektedir.</w:t>
            </w:r>
          </w:p>
          <w:p w:rsidR="00FE0D68" w:rsidRPr="00A23740" w:rsidRDefault="00FE0D68" w:rsidP="009431FF">
            <w:pPr>
              <w:tabs>
                <w:tab w:val="left" w:pos="567"/>
              </w:tabs>
              <w:ind w:firstLine="709"/>
              <w:rPr>
                <w:rFonts w:eastAsia="Times New Roman"/>
                <w:szCs w:val="24"/>
                <w:lang w:eastAsia="tr-TR"/>
              </w:rPr>
            </w:pPr>
            <w:r w:rsidRPr="00A23740">
              <w:rPr>
                <w:rFonts w:eastAsia="Times New Roman"/>
                <w:szCs w:val="24"/>
                <w:lang w:eastAsia="tr-TR"/>
              </w:rPr>
              <w:t>Birinci fıkrayla, borcun tamamen ödenmesi h</w:t>
            </w:r>
            <w:r w:rsidR="008D7868" w:rsidRPr="00A23740">
              <w:rPr>
                <w:rFonts w:eastAsia="Times New Roman"/>
                <w:szCs w:val="24"/>
                <w:lang w:eastAsia="tr-TR"/>
              </w:rPr>
              <w:t>â</w:t>
            </w:r>
            <w:r w:rsidRPr="00A23740">
              <w:rPr>
                <w:rFonts w:eastAsia="Times New Roman"/>
                <w:szCs w:val="24"/>
                <w:lang w:eastAsia="tr-TR"/>
              </w:rPr>
              <w:t>linde takip dayanağı senedin ödeme yapan borçluya verileceği, ancak takibin dayanağı olan senette yazılı olan alacağın sadece bir kısmı takibe konulmuşsa senedin, yapılan ödeme miktarı üzerine yazılarak</w:t>
            </w:r>
            <w:r w:rsidR="003D7097" w:rsidRPr="00A23740">
              <w:rPr>
                <w:rFonts w:eastAsia="Times New Roman"/>
                <w:szCs w:val="24"/>
                <w:lang w:eastAsia="tr-TR"/>
              </w:rPr>
              <w:t>,</w:t>
            </w:r>
            <w:r w:rsidRPr="00A23740">
              <w:rPr>
                <w:rFonts w:eastAsia="Times New Roman"/>
                <w:szCs w:val="24"/>
                <w:lang w:eastAsia="tr-TR"/>
              </w:rPr>
              <w:t xml:space="preserve"> alacaklıya iade edileceği hükme bağlanmaktadır.</w:t>
            </w:r>
          </w:p>
          <w:p w:rsidR="00FE0D68" w:rsidRPr="00A23740" w:rsidRDefault="00FE0D68" w:rsidP="009431FF">
            <w:pPr>
              <w:tabs>
                <w:tab w:val="left" w:pos="567"/>
              </w:tabs>
              <w:ind w:firstLine="709"/>
              <w:rPr>
                <w:rFonts w:eastAsia="Times New Roman"/>
                <w:szCs w:val="24"/>
                <w:lang w:eastAsia="tr-TR"/>
              </w:rPr>
            </w:pPr>
            <w:r w:rsidRPr="00A23740">
              <w:rPr>
                <w:rFonts w:eastAsia="Times New Roman"/>
                <w:szCs w:val="24"/>
                <w:lang w:eastAsia="tr-TR"/>
              </w:rPr>
              <w:t>İkinci fıkrayla, alacağını kısmen tahsil eden alacaklının senedini geri alabileceği, ancak icra ve iflas dairesi</w:t>
            </w:r>
            <w:r w:rsidR="004D7728" w:rsidRPr="00A23740">
              <w:rPr>
                <w:rFonts w:eastAsia="Times New Roman"/>
                <w:szCs w:val="24"/>
                <w:lang w:eastAsia="tr-TR"/>
              </w:rPr>
              <w:t>nin</w:t>
            </w:r>
            <w:r w:rsidRPr="00A23740">
              <w:rPr>
                <w:rFonts w:eastAsia="Times New Roman"/>
                <w:szCs w:val="24"/>
                <w:lang w:eastAsia="tr-TR"/>
              </w:rPr>
              <w:t xml:space="preserve"> sene</w:t>
            </w:r>
            <w:r w:rsidR="00E24500" w:rsidRPr="00A23740">
              <w:rPr>
                <w:rFonts w:eastAsia="Times New Roman"/>
                <w:szCs w:val="24"/>
                <w:lang w:eastAsia="tr-TR"/>
              </w:rPr>
              <w:t xml:space="preserve">tteki alacağın ne </w:t>
            </w:r>
            <w:r w:rsidR="00372FF6" w:rsidRPr="00A23740">
              <w:rPr>
                <w:rFonts w:eastAsia="Times New Roman"/>
                <w:szCs w:val="24"/>
                <w:lang w:eastAsia="tr-TR"/>
              </w:rPr>
              <w:t>kadarlık kısmının</w:t>
            </w:r>
            <w:r w:rsidR="00E24500" w:rsidRPr="00A23740">
              <w:rPr>
                <w:rFonts w:eastAsia="Times New Roman"/>
                <w:szCs w:val="24"/>
                <w:lang w:eastAsia="tr-TR"/>
              </w:rPr>
              <w:t xml:space="preserve"> ödenmiş olduğunu ve senedin bundan sonra ne kadar miktar için </w:t>
            </w:r>
            <w:r w:rsidR="00477943" w:rsidRPr="00D60C1D">
              <w:rPr>
                <w:rStyle w:val="YELChar"/>
                <w:b w:val="0"/>
                <w:color w:val="000000"/>
              </w:rPr>
              <w:t>geçerli</w:t>
            </w:r>
            <w:r w:rsidR="00E24500" w:rsidRPr="00A23740">
              <w:rPr>
                <w:rFonts w:eastAsia="Times New Roman"/>
                <w:szCs w:val="24"/>
                <w:lang w:eastAsia="tr-TR"/>
              </w:rPr>
              <w:t xml:space="preserve"> olacağını senet üzerine yazacağı</w:t>
            </w:r>
            <w:r w:rsidRPr="00A23740">
              <w:rPr>
                <w:rFonts w:eastAsia="Times New Roman"/>
                <w:szCs w:val="24"/>
                <w:lang w:eastAsia="tr-TR"/>
              </w:rPr>
              <w:t xml:space="preserve"> düzenlenmektedir.</w:t>
            </w:r>
          </w:p>
          <w:p w:rsidR="00FE0D68" w:rsidRPr="00A23740" w:rsidRDefault="00FE0D68" w:rsidP="0016377F">
            <w:pPr>
              <w:tabs>
                <w:tab w:val="left" w:pos="567"/>
              </w:tabs>
              <w:ind w:firstLine="709"/>
              <w:rPr>
                <w:lang w:eastAsia="tr-TR"/>
              </w:rPr>
            </w:pPr>
          </w:p>
        </w:tc>
      </w:tr>
      <w:tr w:rsidR="00AA5C8C" w:rsidRPr="00A23740" w:rsidTr="009431FF">
        <w:tblPrEx>
          <w:tblLook w:val="01E0" w:firstRow="1" w:lastRow="1" w:firstColumn="1" w:lastColumn="1" w:noHBand="0" w:noVBand="0"/>
        </w:tblPrEx>
        <w:tc>
          <w:tcPr>
            <w:tcW w:w="2500" w:type="pct"/>
          </w:tcPr>
          <w:p w:rsidR="00AA5C8C" w:rsidRPr="00A23740" w:rsidRDefault="00AA5C8C" w:rsidP="009431FF">
            <w:pPr>
              <w:pStyle w:val="KIRMIZI"/>
            </w:pPr>
            <w:r w:rsidRPr="00A23740">
              <w:t xml:space="preserve">Senedin </w:t>
            </w:r>
            <w:r w:rsidRPr="00A23740">
              <w:rPr>
                <w:rStyle w:val="KIRMIZIChar"/>
                <w:rFonts w:eastAsia="Calibri"/>
                <w:b/>
                <w:bCs/>
                <w:strike/>
              </w:rPr>
              <w:t>geri verilmesi</w:t>
            </w:r>
            <w:r w:rsidRPr="00A23740">
              <w:rPr>
                <w:rStyle w:val="KIRMIZIChar"/>
                <w:b/>
                <w:bCs/>
                <w:strike/>
              </w:rPr>
              <w:t xml:space="preserve"> ve </w:t>
            </w:r>
            <w:r w:rsidRPr="00A23740">
              <w:rPr>
                <w:rStyle w:val="KIRMIZIChar"/>
                <w:rFonts w:eastAsia="Calibri"/>
                <w:b/>
                <w:bCs/>
                <w:strike/>
              </w:rPr>
              <w:t>ilamın</w:t>
            </w:r>
            <w:r w:rsidRPr="00A23740">
              <w:rPr>
                <w:rStyle w:val="KIRMIZIChar"/>
                <w:rFonts w:eastAsia="Calibri"/>
              </w:rPr>
              <w:t xml:space="preserve"> </w:t>
            </w:r>
            <w:r w:rsidRPr="00A23740">
              <w:rPr>
                <w:rStyle w:val="KIRMIZIChar"/>
                <w:rFonts w:eastAsia="Calibri"/>
                <w:b/>
                <w:bCs/>
                <w:strike/>
              </w:rPr>
              <w:t>icrası</w:t>
            </w:r>
            <w:r w:rsidRPr="00A23740">
              <w:t xml:space="preserve"> </w:t>
            </w:r>
            <w:r w:rsidRPr="00A23740">
              <w:rPr>
                <w:rStyle w:val="KIRMIZIChar"/>
                <w:rFonts w:eastAsia="Calibri"/>
                <w:b/>
                <w:bCs/>
                <w:strike/>
              </w:rPr>
              <w:t>vesikası</w:t>
            </w:r>
            <w:r w:rsidRPr="00A23740">
              <w:t>:</w:t>
            </w:r>
          </w:p>
          <w:p w:rsidR="00AA5C8C" w:rsidRPr="00A23740" w:rsidRDefault="00AA5C8C" w:rsidP="009431FF">
            <w:pPr>
              <w:pStyle w:val="KIRMIZI"/>
              <w:rPr>
                <w:b w:val="0"/>
                <w:strike w:val="0"/>
                <w:lang w:eastAsia="tr-TR"/>
              </w:rPr>
            </w:pPr>
            <w:r w:rsidRPr="00A23740">
              <w:rPr>
                <w:b w:val="0"/>
                <w:lang w:eastAsia="tr-TR"/>
              </w:rPr>
              <w:t>Madde 144 –</w:t>
            </w:r>
            <w:r w:rsidR="00E07C1D" w:rsidRPr="00A23740">
              <w:rPr>
                <w:b w:val="0"/>
                <w:lang w:eastAsia="tr-TR"/>
              </w:rPr>
              <w:t xml:space="preserve"> …</w:t>
            </w: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(3) İlamların icrasında borçlu isterse kendisine ilamın</w:t>
            </w:r>
            <w:r w:rsidRPr="00A23740">
              <w:rPr>
                <w:rFonts w:eastAsia="Times New Roman"/>
                <w:b/>
                <w:color w:val="FF0000"/>
                <w:szCs w:val="24"/>
                <w:lang w:eastAsia="tr-TR"/>
              </w:rPr>
              <w:t xml:space="preserve"> </w:t>
            </w:r>
            <w:r w:rsidRPr="00A23740">
              <w:rPr>
                <w:rFonts w:eastAsia="Times New Roman"/>
                <w:bCs/>
                <w:szCs w:val="24"/>
                <w:lang w:eastAsia="tr-TR"/>
              </w:rPr>
              <w:t xml:space="preserve">tamamen veya kısmen </w:t>
            </w:r>
            <w:r w:rsidRPr="00A23740">
              <w:rPr>
                <w:rFonts w:eastAsia="Times New Roman"/>
                <w:b/>
                <w:strike/>
                <w:color w:val="FF0000"/>
                <w:szCs w:val="24"/>
                <w:lang w:eastAsia="tr-TR"/>
              </w:rPr>
              <w:t>icra</w:t>
            </w:r>
            <w:r w:rsidRPr="00A23740">
              <w:rPr>
                <w:rFonts w:eastAsia="Times New Roman"/>
                <w:b/>
                <w:color w:val="FF0000"/>
                <w:szCs w:val="24"/>
                <w:lang w:eastAsia="tr-TR"/>
              </w:rPr>
              <w:t xml:space="preserve"> </w:t>
            </w:r>
            <w:r w:rsidRPr="00A23740">
              <w:rPr>
                <w:rFonts w:eastAsia="Times New Roman"/>
                <w:bCs/>
                <w:szCs w:val="24"/>
                <w:lang w:eastAsia="tr-TR"/>
              </w:rPr>
              <w:t>edilmiş olduğuna</w:t>
            </w:r>
            <w:r w:rsidRPr="00A23740">
              <w:rPr>
                <w:rFonts w:eastAsia="Times New Roman"/>
                <w:b/>
                <w:color w:val="FF0000"/>
                <w:szCs w:val="24"/>
                <w:lang w:eastAsia="tr-TR"/>
              </w:rPr>
              <w:t xml:space="preserve"> </w:t>
            </w:r>
            <w:r w:rsidRPr="00A23740">
              <w:rPr>
                <w:rFonts w:eastAsia="Times New Roman"/>
                <w:b/>
                <w:strike/>
                <w:color w:val="FF0000"/>
                <w:szCs w:val="24"/>
                <w:lang w:eastAsia="tr-TR"/>
              </w:rPr>
              <w:t>dair bedava ve pulsuz bir vesika verilir.</w:t>
            </w:r>
          </w:p>
          <w:p w:rsidR="00AA5C8C" w:rsidRPr="00A23740" w:rsidRDefault="00AA5C8C" w:rsidP="009431FF">
            <w:pPr>
              <w:tabs>
                <w:tab w:val="left" w:pos="567"/>
              </w:tabs>
              <w:rPr>
                <w:rFonts w:eastAsia="Times New Roman"/>
                <w:szCs w:val="24"/>
                <w:lang w:eastAsia="tr-TR"/>
              </w:rPr>
            </w:pPr>
          </w:p>
          <w:p w:rsidR="00AA5C8C" w:rsidRPr="00A23740" w:rsidRDefault="00AA5C8C" w:rsidP="009431FF">
            <w:pPr>
              <w:tabs>
                <w:tab w:val="left" w:pos="567"/>
              </w:tabs>
              <w:rPr>
                <w:rFonts w:eastAsia="Times New Roman"/>
                <w:b/>
                <w:strike/>
                <w:color w:val="FF0000"/>
                <w:szCs w:val="24"/>
                <w:lang w:eastAsia="tr-TR"/>
              </w:rPr>
            </w:pPr>
            <w:r w:rsidRPr="00A23740">
              <w:rPr>
                <w:rFonts w:eastAsia="Times New Roman"/>
                <w:b/>
                <w:strike/>
                <w:color w:val="FF0000"/>
                <w:szCs w:val="24"/>
                <w:lang w:eastAsia="tr-TR"/>
              </w:rPr>
              <w:t>(4) Bir taşınmazı paraya çeviren icra dairesi o taşınmaz üzerindeki irtifak haklarına, taşınmaz mükellefiyetlerine ve taşınmaz rehin haklarına dair kayıtların tapu sicilinden terkin ve nakillerini de yaptırır.</w:t>
            </w:r>
          </w:p>
          <w:p w:rsidR="00AA5C8C" w:rsidRPr="00A23740" w:rsidRDefault="00AA5C8C" w:rsidP="009431FF">
            <w:pPr>
              <w:tabs>
                <w:tab w:val="left" w:pos="567"/>
              </w:tabs>
              <w:rPr>
                <w:rFonts w:eastAsia="Times New Roman"/>
                <w:b/>
                <w:strike/>
                <w:color w:val="FF0000"/>
                <w:szCs w:val="24"/>
                <w:lang w:eastAsia="tr-TR"/>
              </w:rPr>
            </w:pPr>
          </w:p>
          <w:p w:rsidR="00AA5C8C" w:rsidRPr="00A23740" w:rsidRDefault="00AA5C8C" w:rsidP="009431FF">
            <w:pPr>
              <w:tabs>
                <w:tab w:val="left" w:pos="567"/>
              </w:tabs>
              <w:rPr>
                <w:rFonts w:eastAsia="Times New Roman"/>
                <w:strike/>
                <w:color w:val="FF0000"/>
                <w:szCs w:val="24"/>
                <w:lang w:eastAsia="tr-TR"/>
              </w:rPr>
            </w:pPr>
            <w:r w:rsidRPr="00A23740">
              <w:rPr>
                <w:rFonts w:eastAsia="Times New Roman"/>
                <w:b/>
                <w:strike/>
                <w:color w:val="FF0000"/>
                <w:szCs w:val="24"/>
                <w:lang w:eastAsia="tr-TR"/>
              </w:rPr>
              <w:t>(5) (Ek: 29/6/1956 - 6763/42 md.; Mülga beşinci fıkra: 14/1/2011-6103/41 md.)</w:t>
            </w:r>
          </w:p>
          <w:p w:rsidR="00AA5C8C" w:rsidRPr="00A23740" w:rsidRDefault="00AA5C8C" w:rsidP="009431FF">
            <w:pPr>
              <w:tabs>
                <w:tab w:val="left" w:pos="567"/>
              </w:tabs>
              <w:rPr>
                <w:rFonts w:eastAsia="Times New Roman"/>
                <w:szCs w:val="24"/>
                <w:lang w:eastAsia="tr-TR"/>
              </w:rPr>
            </w:pPr>
          </w:p>
        </w:tc>
        <w:tc>
          <w:tcPr>
            <w:tcW w:w="2500" w:type="pct"/>
          </w:tcPr>
          <w:p w:rsidR="00AA5C8C" w:rsidRPr="00A23740" w:rsidRDefault="002540CF" w:rsidP="009431FF">
            <w:pPr>
              <w:pStyle w:val="Mavi"/>
            </w:pPr>
            <w:r w:rsidRPr="00A23740">
              <w:rPr>
                <w:rFonts w:eastAsia="Times New Roman"/>
                <w:bCs w:val="0"/>
                <w:color w:val="auto"/>
                <w:lang w:val="tr-TR" w:eastAsia="tr-TR"/>
              </w:rPr>
              <w:t>İcra</w:t>
            </w:r>
            <w:r w:rsidRPr="00A23740">
              <w:t>nın yeri</w:t>
            </w:r>
            <w:r w:rsidR="000512EE" w:rsidRPr="00A23740">
              <w:rPr>
                <w:lang w:val="tr-TR"/>
              </w:rPr>
              <w:t>ne geti</w:t>
            </w:r>
            <w:r w:rsidRPr="00A23740">
              <w:rPr>
                <w:lang w:val="tr-TR"/>
              </w:rPr>
              <w:t>rildiğine</w:t>
            </w:r>
            <w:r w:rsidRPr="00A23740">
              <w:t xml:space="preserve"> </w:t>
            </w:r>
            <w:r w:rsidR="00AA5C8C" w:rsidRPr="00A23740">
              <w:t>ilişkin belge</w:t>
            </w:r>
          </w:p>
          <w:p w:rsidR="00AA5C8C" w:rsidRPr="00A23740" w:rsidRDefault="00490C3E" w:rsidP="009431FF">
            <w:pPr>
              <w:pStyle w:val="Mavi"/>
              <w:rPr>
                <w:rFonts w:eastAsia="Times New Roman"/>
                <w:lang w:val="tr-TR"/>
              </w:rPr>
            </w:pPr>
            <w:r w:rsidRPr="00A23740">
              <w:rPr>
                <w:rStyle w:val="YELChar"/>
                <w:rFonts w:eastAsia="Calibri"/>
                <w:b/>
                <w:color w:val="0000FF"/>
                <w:lang w:eastAsia="x-none"/>
              </w:rPr>
              <w:t>MADDE 267</w:t>
            </w:r>
            <w:r w:rsidR="00AA5C8C" w:rsidRPr="00A23740">
              <w:rPr>
                <w:rStyle w:val="YELChar"/>
                <w:rFonts w:eastAsia="Calibri"/>
                <w:b/>
                <w:color w:val="0000FF"/>
                <w:lang w:eastAsia="x-none"/>
              </w:rPr>
              <w:t>-</w:t>
            </w:r>
            <w:r w:rsidR="00AA5C8C" w:rsidRPr="00A23740">
              <w:rPr>
                <w:rFonts w:eastAsia="Times New Roman"/>
              </w:rPr>
              <w:t xml:space="preserve"> (1) Takip konusu alacağın </w:t>
            </w:r>
            <w:r w:rsidR="00AA5C8C" w:rsidRPr="00A23740">
              <w:rPr>
                <w:rFonts w:eastAsia="Times New Roman"/>
                <w:b w:val="0"/>
                <w:color w:val="auto"/>
                <w:lang w:val="tr-TR" w:eastAsia="tr-TR"/>
              </w:rPr>
              <w:t>tamamen veya kısmen</w:t>
            </w:r>
            <w:r w:rsidR="00AA5C8C" w:rsidRPr="00A23740">
              <w:rPr>
                <w:rFonts w:eastAsia="Times New Roman"/>
              </w:rPr>
              <w:t xml:space="preserve"> </w:t>
            </w:r>
            <w:r w:rsidR="00AA5C8C" w:rsidRPr="00A23740">
              <w:t xml:space="preserve">tahsil </w:t>
            </w:r>
            <w:r w:rsidR="00AA5C8C" w:rsidRPr="00A23740">
              <w:rPr>
                <w:rFonts w:eastAsia="Times New Roman"/>
                <w:b w:val="0"/>
                <w:color w:val="auto"/>
                <w:lang w:val="tr-TR" w:eastAsia="tr-TR"/>
              </w:rPr>
              <w:t>edilmiş olduğuna</w:t>
            </w:r>
            <w:r w:rsidR="00AA5C8C" w:rsidRPr="00A23740">
              <w:t>, para alacağı dışındaki ilamların icrasında ise icranın yerine getirildiğine ilişkin bir belge borçluya tebliğ edilir</w:t>
            </w:r>
            <w:r w:rsidR="00CF7EC3" w:rsidRPr="00514F8A">
              <w:rPr>
                <w:rStyle w:val="Balk1Char"/>
                <w:rFonts w:eastAsia="ヒラギノ明朝 Pro W3"/>
                <w:b/>
              </w:rPr>
              <w:t>; bu belge harçtan muaftır.</w:t>
            </w: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pStyle w:val="Balk4"/>
              <w:rPr>
                <w:lang w:val="tr-TR" w:eastAsia="tr-TR"/>
              </w:rPr>
            </w:pPr>
          </w:p>
        </w:tc>
      </w:tr>
      <w:tr w:rsidR="007942DA" w:rsidRPr="00A23740" w:rsidTr="009431FF">
        <w:tblPrEx>
          <w:tblLook w:val="01E0" w:firstRow="1" w:lastRow="1" w:firstColumn="1" w:lastColumn="1" w:noHBand="0" w:noVBand="0"/>
        </w:tblPrEx>
        <w:tc>
          <w:tcPr>
            <w:tcW w:w="5000" w:type="pct"/>
            <w:gridSpan w:val="2"/>
            <w:shd w:val="clear" w:color="auto" w:fill="DEEAF6"/>
          </w:tcPr>
          <w:p w:rsidR="007942DA" w:rsidRPr="00A23740" w:rsidRDefault="007942DA" w:rsidP="009431FF">
            <w:pPr>
              <w:pStyle w:val="Mavi"/>
              <w:ind w:firstLine="709"/>
              <w:rPr>
                <w:rFonts w:eastAsia="Times New Roman"/>
                <w:bCs w:val="0"/>
                <w:color w:val="auto"/>
                <w:lang w:val="tr-TR" w:eastAsia="tr-TR"/>
              </w:rPr>
            </w:pPr>
          </w:p>
          <w:p w:rsidR="007942DA" w:rsidRPr="00A23740" w:rsidRDefault="00490C3E" w:rsidP="009431FF">
            <w:pPr>
              <w:pStyle w:val="Mavi"/>
              <w:ind w:firstLine="709"/>
              <w:rPr>
                <w:rFonts w:eastAsia="Times New Roman"/>
                <w:b w:val="0"/>
                <w:bCs w:val="0"/>
                <w:color w:val="auto"/>
                <w:lang w:val="tr-TR" w:eastAsia="tr-TR"/>
              </w:rPr>
            </w:pPr>
            <w:r w:rsidRPr="00A23740">
              <w:rPr>
                <w:rFonts w:eastAsia="Times New Roman"/>
                <w:bCs w:val="0"/>
                <w:color w:val="auto"/>
                <w:lang w:val="tr-TR" w:eastAsia="tr-TR"/>
              </w:rPr>
              <w:t>MADDE 267</w:t>
            </w:r>
            <w:r w:rsidR="007942DA" w:rsidRPr="00A23740">
              <w:rPr>
                <w:rFonts w:eastAsia="Times New Roman"/>
                <w:bCs w:val="0"/>
                <w:color w:val="auto"/>
                <w:lang w:val="tr-TR" w:eastAsia="tr-TR"/>
              </w:rPr>
              <w:t xml:space="preserve">- </w:t>
            </w:r>
            <w:r w:rsidR="007942DA" w:rsidRPr="00A23740">
              <w:rPr>
                <w:rFonts w:eastAsia="Times New Roman"/>
                <w:b w:val="0"/>
                <w:bCs w:val="0"/>
                <w:color w:val="auto"/>
                <w:lang w:val="tr-TR" w:eastAsia="tr-TR"/>
              </w:rPr>
              <w:t xml:space="preserve">Maddeyle, icranın yerine getirildiğine ilişkin belgede yer alacak hususlar düzenlenmektedir. Hüküm, 2004 sayılı Kanunun 144 üncü </w:t>
            </w:r>
            <w:r w:rsidR="00CF7EC3" w:rsidRPr="00D60C1D">
              <w:rPr>
                <w:rStyle w:val="YELChar"/>
                <w:color w:val="000000"/>
              </w:rPr>
              <w:t>maddesinin</w:t>
            </w:r>
            <w:r w:rsidR="007942DA" w:rsidRPr="00A23740">
              <w:rPr>
                <w:rFonts w:eastAsia="Times New Roman"/>
                <w:b w:val="0"/>
                <w:bCs w:val="0"/>
                <w:color w:val="auto"/>
                <w:lang w:val="tr-TR" w:eastAsia="tr-TR"/>
              </w:rPr>
              <w:t xml:space="preserve"> üçüncü fıkrasına karşılık gelmektedir.</w:t>
            </w:r>
          </w:p>
          <w:p w:rsidR="007942DA" w:rsidRPr="00A23740" w:rsidRDefault="007942DA" w:rsidP="009431FF">
            <w:pPr>
              <w:pStyle w:val="Mavi"/>
              <w:ind w:firstLine="709"/>
              <w:rPr>
                <w:rFonts w:eastAsia="Times New Roman"/>
                <w:b w:val="0"/>
                <w:color w:val="auto"/>
                <w:lang w:val="tr-TR" w:eastAsia="tr-TR"/>
              </w:rPr>
            </w:pPr>
            <w:r w:rsidRPr="00A23740">
              <w:rPr>
                <w:rFonts w:eastAsia="Times New Roman"/>
                <w:b w:val="0"/>
                <w:color w:val="auto"/>
                <w:lang w:val="tr-TR" w:eastAsia="tr-TR"/>
              </w:rPr>
              <w:t>Birinci fıkrayla, takip konusu alacağın tamamen veya kısmen tahsil edildiğine ve para alacağı dışındaki ilamların icrası uyarınca icranın yerine getirildiğine ilişkin</w:t>
            </w:r>
            <w:r w:rsidR="00CF7EC3" w:rsidRPr="00A23740">
              <w:rPr>
                <w:rFonts w:eastAsia="Times New Roman"/>
                <w:b w:val="0"/>
                <w:color w:val="auto"/>
                <w:lang w:val="tr-TR" w:eastAsia="tr-TR"/>
              </w:rPr>
              <w:t xml:space="preserve"> </w:t>
            </w:r>
            <w:r w:rsidR="00CF7EC3" w:rsidRPr="00D60C1D">
              <w:rPr>
                <w:rStyle w:val="YELChar"/>
                <w:color w:val="000000"/>
              </w:rPr>
              <w:t>olan ve harca tabi bulunmayan</w:t>
            </w:r>
            <w:r w:rsidRPr="00A23740">
              <w:rPr>
                <w:rFonts w:eastAsia="Times New Roman"/>
                <w:b w:val="0"/>
                <w:color w:val="auto"/>
                <w:lang w:val="tr-TR" w:eastAsia="tr-TR"/>
              </w:rPr>
              <w:t xml:space="preserve"> bir belgenin borçluya tebliğ edileceği hükme bağlanmaktadır. Hükmün emredici nitelikte olması nedeniyle icra</w:t>
            </w:r>
            <w:r w:rsidR="00CF7EC3" w:rsidRPr="00A23740">
              <w:rPr>
                <w:rFonts w:eastAsia="Times New Roman"/>
                <w:b w:val="0"/>
                <w:color w:val="auto"/>
                <w:lang w:val="tr-TR" w:eastAsia="tr-TR"/>
              </w:rPr>
              <w:t xml:space="preserve"> </w:t>
            </w:r>
            <w:r w:rsidR="00CF7EC3" w:rsidRPr="00D60C1D">
              <w:rPr>
                <w:rStyle w:val="YELChar"/>
                <w:color w:val="000000"/>
              </w:rPr>
              <w:t>ve iflas dairesinin</w:t>
            </w:r>
            <w:r w:rsidRPr="00A23740">
              <w:rPr>
                <w:rFonts w:eastAsia="Times New Roman"/>
                <w:b w:val="0"/>
                <w:color w:val="auto"/>
                <w:lang w:val="tr-TR" w:eastAsia="tr-TR"/>
              </w:rPr>
              <w:t xml:space="preserve"> bu işlemi resen yapması gerekir. 2004 sayılı Kanunda sadece ilamların icrası düzenlenmiş iken</w:t>
            </w:r>
            <w:r w:rsidR="00CF7EC3" w:rsidRPr="0016377F">
              <w:rPr>
                <w:b w:val="0"/>
              </w:rPr>
              <w:t>,</w:t>
            </w:r>
            <w:r w:rsidRPr="00A23740">
              <w:rPr>
                <w:rFonts w:eastAsia="Times New Roman"/>
                <w:b w:val="0"/>
                <w:color w:val="auto"/>
                <w:lang w:val="tr-TR" w:eastAsia="tr-TR"/>
              </w:rPr>
              <w:t xml:space="preserve"> yeni hüküm tüm takipleri kapsamaktadır.</w:t>
            </w:r>
          </w:p>
          <w:p w:rsidR="00CF7EC3" w:rsidRPr="00A23740" w:rsidRDefault="00CF7EC3" w:rsidP="009431FF">
            <w:pPr>
              <w:pStyle w:val="Mavi"/>
              <w:ind w:firstLine="709"/>
              <w:rPr>
                <w:rFonts w:eastAsia="Times New Roman"/>
                <w:b w:val="0"/>
                <w:color w:val="auto"/>
                <w:lang w:val="tr-TR" w:eastAsia="tr-TR"/>
              </w:rPr>
            </w:pPr>
            <w:r w:rsidRPr="00A23740">
              <w:rPr>
                <w:rFonts w:eastAsia="Times New Roman"/>
                <w:b w:val="0"/>
                <w:color w:val="auto"/>
                <w:lang w:val="tr-TR" w:eastAsia="tr-TR"/>
              </w:rPr>
              <w:t>Öte yandan 2004 sayılı Kanunun 144 üncü maddesinin dördüncü fıkrası, Taslağın taşınmaz ihalesinde tescil ve terkin için tapuya bildirim hakkındaki 252 nci maddesine taşınmış ve sistematik açıdan bu maddede düzenlenmesi daha doğru bulunmuştur.</w:t>
            </w:r>
          </w:p>
          <w:p w:rsidR="007942DA" w:rsidRPr="00A23740" w:rsidRDefault="007942DA" w:rsidP="0016377F">
            <w:pPr>
              <w:tabs>
                <w:tab w:val="left" w:pos="567"/>
              </w:tabs>
              <w:ind w:firstLine="709"/>
              <w:rPr>
                <w:b/>
                <w:lang w:eastAsia="tr-TR"/>
              </w:rPr>
            </w:pPr>
          </w:p>
        </w:tc>
      </w:tr>
      <w:tr w:rsidR="00AA5C8C" w:rsidRPr="00A23740" w:rsidTr="009431FF">
        <w:tblPrEx>
          <w:tblLook w:val="01E0" w:firstRow="1" w:lastRow="1" w:firstColumn="1" w:lastColumn="1" w:noHBand="0" w:noVBand="0"/>
        </w:tblPrEx>
        <w:tc>
          <w:tcPr>
            <w:tcW w:w="2500" w:type="pct"/>
          </w:tcPr>
          <w:p w:rsidR="007942DA" w:rsidRPr="00A23740" w:rsidRDefault="007942DA" w:rsidP="009431FF">
            <w:pPr>
              <w:rPr>
                <w:rFonts w:eastAsia="Times New Roman"/>
                <w:b/>
                <w:strike/>
                <w:color w:val="FF0000"/>
                <w:szCs w:val="24"/>
                <w:lang w:eastAsia="tr-TR"/>
              </w:rPr>
            </w:pPr>
            <w:r w:rsidRPr="00A23740">
              <w:rPr>
                <w:rFonts w:eastAsia="Times New Roman"/>
                <w:b/>
                <w:strike/>
                <w:color w:val="FF0000"/>
                <w:szCs w:val="24"/>
                <w:lang w:eastAsia="tr-TR"/>
              </w:rPr>
              <w:t>Paranın paylaştırılmasına ilişkin hükümlerin gemilere uygulanması:</w:t>
            </w:r>
          </w:p>
          <w:p w:rsidR="007942DA" w:rsidRPr="00A23740" w:rsidRDefault="007942DA" w:rsidP="009431FF">
            <w:pPr>
              <w:rPr>
                <w:rFonts w:eastAsia="Times New Roman"/>
                <w:b/>
                <w:strike/>
                <w:color w:val="FF0000"/>
                <w:szCs w:val="24"/>
                <w:lang w:eastAsia="tr-TR"/>
              </w:rPr>
            </w:pPr>
            <w:r w:rsidRPr="00A23740">
              <w:rPr>
                <w:rFonts w:eastAsia="Times New Roman"/>
                <w:b/>
                <w:strike/>
                <w:color w:val="FF0000"/>
                <w:szCs w:val="24"/>
                <w:lang w:eastAsia="tr-TR"/>
              </w:rPr>
              <w:t>Madde 144/a – (Ek: 14/1/2011-6103/41 md.)</w:t>
            </w:r>
          </w:p>
          <w:p w:rsidR="007942DA" w:rsidRPr="00A23740" w:rsidRDefault="007942DA" w:rsidP="009431FF">
            <w:pPr>
              <w:rPr>
                <w:rFonts w:eastAsia="Times New Roman"/>
                <w:b/>
                <w:strike/>
                <w:color w:val="FF0000"/>
                <w:szCs w:val="24"/>
                <w:lang w:eastAsia="tr-TR"/>
              </w:rPr>
            </w:pPr>
            <w:r w:rsidRPr="00A23740">
              <w:rPr>
                <w:rFonts w:eastAsia="Times New Roman"/>
                <w:b/>
                <w:strike/>
                <w:color w:val="FF0000"/>
                <w:szCs w:val="24"/>
                <w:lang w:eastAsia="tr-TR"/>
              </w:rPr>
              <w:t>Paranın paylaştırılmasına ilişkin hükümler, gemilerin satışı hâlinde de uygulanır. Şu kadar ki, 140 ıncı madde uyarınca yapılacak sıra cetveli, bayrağına ve sicile kayıtlı olup olmadığına bakılmaksızın, bütün gemiler hakkında Türk Ticaret Kanununun 1389 ilâ 1397 nci maddesi hükümlerine tâbidir.</w:t>
            </w:r>
          </w:p>
          <w:p w:rsidR="007942DA" w:rsidRPr="00A23740" w:rsidRDefault="007942DA" w:rsidP="009431FF">
            <w:pPr>
              <w:rPr>
                <w:rFonts w:eastAsia="Times New Roman"/>
                <w:b/>
                <w:strike/>
                <w:color w:val="FF0000"/>
                <w:szCs w:val="24"/>
                <w:lang w:eastAsia="tr-TR"/>
              </w:rPr>
            </w:pPr>
            <w:r w:rsidRPr="00A23740">
              <w:rPr>
                <w:rFonts w:eastAsia="Times New Roman"/>
                <w:b/>
                <w:strike/>
                <w:color w:val="FF0000"/>
                <w:szCs w:val="24"/>
                <w:lang w:eastAsia="tr-TR"/>
              </w:rPr>
              <w:t>Türk gemi siciline kayıtlı olan gemiyi paraya çeviren icra dairesi, sicile kayıtlı ipotek ve intifa haklarına ait kayıtların terkin veya nakillerini yaptırır; yabancı sicile kayıtlı gemilerde, bu işlemin yapılması için geminin bayrağını taşıdığı devletin en yakın konsolosluğuna bildirimde bulunur.</w:t>
            </w:r>
          </w:p>
          <w:p w:rsidR="007942DA" w:rsidRPr="00A23740" w:rsidRDefault="007942DA" w:rsidP="009431FF">
            <w:pPr>
              <w:pStyle w:val="KIRMIZI"/>
              <w:rPr>
                <w:lang w:val="tr-TR"/>
              </w:rPr>
            </w:pPr>
          </w:p>
        </w:tc>
        <w:tc>
          <w:tcPr>
            <w:tcW w:w="2500" w:type="pct"/>
          </w:tcPr>
          <w:p w:rsidR="00AA5C8C" w:rsidRPr="00A23740" w:rsidRDefault="00AA5C8C" w:rsidP="009431FF">
            <w:pPr>
              <w:tabs>
                <w:tab w:val="left" w:pos="566"/>
              </w:tabs>
              <w:rPr>
                <w:rFonts w:eastAsia="Times New Roman"/>
                <w:b/>
                <w:color w:val="FF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ALTINCI BAP</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İKİNCİ KİTAP</w:t>
            </w: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KÜLLİ İCRA</w:t>
            </w:r>
          </w:p>
          <w:p w:rsidR="00AA5C8C" w:rsidRPr="00A23740" w:rsidRDefault="00AA5C8C" w:rsidP="009431FF">
            <w:pPr>
              <w:jc w:val="center"/>
              <w:rPr>
                <w:rFonts w:eastAsia="Times New Roman"/>
                <w:b/>
                <w:bCs/>
                <w:color w:val="0000FF"/>
                <w:szCs w:val="24"/>
                <w:lang w:eastAsia="tr-TR"/>
              </w:rPr>
            </w:pP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BİRİNCİ KISIM</w:t>
            </w: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İflas</w:t>
            </w:r>
          </w:p>
          <w:p w:rsidR="00AA5C8C" w:rsidRPr="00A23740" w:rsidRDefault="00AA5C8C" w:rsidP="009431FF">
            <w:pPr>
              <w:jc w:val="center"/>
              <w:rPr>
                <w:rFonts w:eastAsia="Times New Roman"/>
                <w:b/>
                <w:bCs/>
                <w:color w:val="0000FF"/>
                <w:szCs w:val="24"/>
                <w:lang w:eastAsia="tr-TR"/>
              </w:rPr>
            </w:pP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BİRİNCİ BÖLÜM</w:t>
            </w: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İflas Yoluyla Takip</w:t>
            </w:r>
          </w:p>
          <w:p w:rsidR="00AA5C8C" w:rsidRPr="00A23740" w:rsidRDefault="00AA5C8C" w:rsidP="009431FF">
            <w:pPr>
              <w:jc w:val="center"/>
              <w:rPr>
                <w:rFonts w:eastAsia="Times New Roman"/>
                <w:b/>
                <w:bCs/>
                <w:color w:val="0000FF"/>
                <w:szCs w:val="24"/>
                <w:lang w:eastAsia="tr-TR"/>
              </w:rPr>
            </w:pP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BİRİNCİ AYRIM</w:t>
            </w: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Görev ve Yetki</w:t>
            </w: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r w:rsidRPr="00A23740">
              <w:rPr>
                <w:b/>
                <w:color w:val="0000FF"/>
                <w:szCs w:val="24"/>
              </w:rPr>
              <w:t>Görev</w:t>
            </w:r>
          </w:p>
          <w:p w:rsidR="00AA5C8C" w:rsidRPr="00A23740" w:rsidRDefault="00AA5C8C" w:rsidP="009431FF">
            <w:pPr>
              <w:tabs>
                <w:tab w:val="left" w:pos="567"/>
              </w:tabs>
              <w:rPr>
                <w:b/>
                <w:color w:val="0000FF"/>
                <w:szCs w:val="24"/>
              </w:rPr>
            </w:pPr>
            <w:r w:rsidRPr="00A23740">
              <w:rPr>
                <w:rStyle w:val="MAVChar"/>
                <w:rFonts w:eastAsia="Calibri"/>
                <w:u w:val="none"/>
              </w:rPr>
              <w:t>MADDE 26</w:t>
            </w:r>
            <w:r w:rsidR="00490C3E" w:rsidRPr="00A23740">
              <w:rPr>
                <w:rStyle w:val="MAVChar"/>
                <w:rFonts w:eastAsia="Calibri"/>
                <w:u w:val="none"/>
              </w:rPr>
              <w:t>8</w:t>
            </w:r>
            <w:r w:rsidRPr="00A23740">
              <w:rPr>
                <w:rStyle w:val="MAVChar"/>
                <w:rFonts w:eastAsia="Calibri"/>
                <w:u w:val="none"/>
              </w:rPr>
              <w:t>- (</w:t>
            </w:r>
            <w:r w:rsidRPr="00A23740">
              <w:rPr>
                <w:b/>
                <w:color w:val="0000FF"/>
                <w:szCs w:val="24"/>
              </w:rPr>
              <w:t xml:space="preserve">1) İflas yoluyla takipte görevli merci, icra </w:t>
            </w:r>
            <w:r w:rsidRPr="00A23740">
              <w:rPr>
                <w:rStyle w:val="MaviChar"/>
              </w:rPr>
              <w:t>ve iflas</w:t>
            </w:r>
            <w:r w:rsidRPr="00A23740">
              <w:rPr>
                <w:b/>
                <w:color w:val="0000FF"/>
                <w:szCs w:val="24"/>
              </w:rPr>
              <w:t xml:space="preserve"> dairesidir.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(2) İflas davasında görevli mahkeme, iflas mahkemesidir.</w:t>
            </w:r>
          </w:p>
          <w:p w:rsidR="00AA5C8C" w:rsidRPr="00A23740" w:rsidRDefault="00AA5C8C" w:rsidP="009431FF">
            <w:pPr>
              <w:tabs>
                <w:tab w:val="left" w:pos="567"/>
              </w:tabs>
              <w:rPr>
                <w:b/>
                <w:color w:val="FF0000"/>
                <w:szCs w:val="24"/>
              </w:rPr>
            </w:pPr>
          </w:p>
        </w:tc>
      </w:tr>
      <w:tr w:rsidR="00495448"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95448" w:rsidRPr="00A23740" w:rsidRDefault="00495448" w:rsidP="009431FF">
            <w:pPr>
              <w:ind w:firstLine="709"/>
              <w:rPr>
                <w:rFonts w:eastAsia="Times New Roman"/>
                <w:b/>
                <w:bCs/>
                <w:szCs w:val="24"/>
                <w:lang w:eastAsia="tr-TR"/>
              </w:rPr>
            </w:pPr>
          </w:p>
          <w:p w:rsidR="006211E9" w:rsidRPr="00A23740" w:rsidRDefault="006211E9" w:rsidP="009431FF">
            <w:pPr>
              <w:pStyle w:val="Mavi"/>
              <w:ind w:firstLine="709"/>
              <w:rPr>
                <w:rFonts w:eastAsia="Times New Roman"/>
                <w:b w:val="0"/>
                <w:bCs w:val="0"/>
                <w:color w:val="auto"/>
                <w:lang w:val="tr-TR" w:eastAsia="tr-TR"/>
              </w:rPr>
            </w:pPr>
            <w:r w:rsidRPr="00A23740">
              <w:rPr>
                <w:rFonts w:eastAsia="Times New Roman"/>
                <w:bCs w:val="0"/>
                <w:color w:val="auto"/>
                <w:lang w:val="tr-TR" w:eastAsia="tr-TR"/>
              </w:rPr>
              <w:t>MADDE 26</w:t>
            </w:r>
            <w:r w:rsidR="00490C3E" w:rsidRPr="00A23740">
              <w:rPr>
                <w:rFonts w:eastAsia="Times New Roman"/>
                <w:bCs w:val="0"/>
                <w:color w:val="auto"/>
                <w:lang w:val="tr-TR" w:eastAsia="tr-TR"/>
              </w:rPr>
              <w:t>8</w:t>
            </w:r>
            <w:r w:rsidRPr="00A23740">
              <w:rPr>
                <w:rFonts w:eastAsia="Times New Roman"/>
                <w:bCs w:val="0"/>
                <w:color w:val="auto"/>
                <w:lang w:val="tr-TR" w:eastAsia="tr-TR"/>
              </w:rPr>
              <w:t xml:space="preserve">- </w:t>
            </w:r>
            <w:r w:rsidRPr="00A23740">
              <w:rPr>
                <w:rFonts w:eastAsia="Times New Roman"/>
                <w:b w:val="0"/>
                <w:bCs w:val="0"/>
                <w:color w:val="auto"/>
                <w:lang w:val="tr-TR" w:eastAsia="tr-TR"/>
              </w:rPr>
              <w:t xml:space="preserve">Maddeyle, iflas yoluyla takipte göreve ilişkin hususlar düzenlenmektedir. </w:t>
            </w:r>
          </w:p>
          <w:p w:rsidR="00495448" w:rsidRPr="00A23740" w:rsidRDefault="00495448" w:rsidP="009431FF">
            <w:pPr>
              <w:ind w:firstLine="709"/>
              <w:rPr>
                <w:rFonts w:eastAsia="Times New Roman"/>
                <w:bCs/>
                <w:szCs w:val="24"/>
                <w:lang w:eastAsia="tr-TR"/>
              </w:rPr>
            </w:pPr>
            <w:r w:rsidRPr="00A23740">
              <w:rPr>
                <w:rFonts w:eastAsia="Times New Roman"/>
                <w:bCs/>
                <w:szCs w:val="24"/>
                <w:lang w:eastAsia="tr-TR"/>
              </w:rPr>
              <w:t xml:space="preserve">Tasarının ikinci kitabı, külli icraya ayrılmıştır. Külli icra içinde birinci kısım, iflas hukukuna aittir. Bu başlık altında, iflas kararına giden yolda iflas yoluyla takip, öncelikle düzenlenen konu olmuştur. </w:t>
            </w:r>
          </w:p>
          <w:p w:rsidR="00495448" w:rsidRPr="00A23740" w:rsidRDefault="00495448" w:rsidP="009431FF">
            <w:pPr>
              <w:ind w:firstLine="709"/>
              <w:rPr>
                <w:rFonts w:eastAsia="Times New Roman"/>
                <w:bCs/>
                <w:szCs w:val="24"/>
                <w:lang w:eastAsia="tr-TR"/>
              </w:rPr>
            </w:pPr>
            <w:r w:rsidRPr="00A23740">
              <w:rPr>
                <w:rFonts w:eastAsia="Times New Roman"/>
                <w:bCs/>
                <w:szCs w:val="24"/>
                <w:lang w:eastAsia="tr-TR"/>
              </w:rPr>
              <w:t xml:space="preserve">İflâs yoluyla takip de icra ve iflas dairesinden başlatılacaktır. </w:t>
            </w:r>
            <w:r w:rsidR="00EC63C1" w:rsidRPr="00A23740">
              <w:rPr>
                <w:rFonts w:eastAsia="Times New Roman"/>
                <w:bCs/>
                <w:szCs w:val="24"/>
                <w:lang w:eastAsia="tr-TR"/>
              </w:rPr>
              <w:t xml:space="preserve">Takibin başlatıldığı </w:t>
            </w:r>
            <w:r w:rsidRPr="00A23740">
              <w:rPr>
                <w:rFonts w:eastAsia="Times New Roman"/>
                <w:bCs/>
                <w:szCs w:val="24"/>
                <w:lang w:eastAsia="tr-TR"/>
              </w:rPr>
              <w:t xml:space="preserve">yerde, </w:t>
            </w:r>
            <w:r w:rsidR="003014EA" w:rsidRPr="00D60C1D">
              <w:rPr>
                <w:rStyle w:val="YELChar"/>
                <w:b w:val="0"/>
                <w:color w:val="000000"/>
              </w:rPr>
              <w:t>Taslağın</w:t>
            </w:r>
            <w:r w:rsidR="003E09C3" w:rsidRPr="00D60C1D">
              <w:rPr>
                <w:rStyle w:val="YELChar"/>
                <w:b w:val="0"/>
                <w:color w:val="000000"/>
              </w:rPr>
              <w:t xml:space="preserve"> </w:t>
            </w:r>
            <w:r w:rsidR="003E09C3" w:rsidRPr="00D60C1D">
              <w:rPr>
                <w:rStyle w:val="KonuBalChar"/>
                <w:rFonts w:eastAsia="ヒラギノ明朝 Pro W3"/>
                <w:b w:val="0"/>
                <w:color w:val="000000"/>
              </w:rPr>
              <w:t>4 üncü</w:t>
            </w:r>
            <w:r w:rsidR="00BC49E9" w:rsidRPr="00A23740">
              <w:rPr>
                <w:rStyle w:val="YELChar"/>
              </w:rPr>
              <w:t xml:space="preserve"> </w:t>
            </w:r>
            <w:r w:rsidRPr="00A23740">
              <w:rPr>
                <w:rFonts w:eastAsia="Times New Roman"/>
                <w:bCs/>
                <w:szCs w:val="24"/>
                <w:lang w:eastAsia="tr-TR"/>
              </w:rPr>
              <w:t xml:space="preserve">maddesi gereğince ayrıca bir iflas dairesi </w:t>
            </w:r>
            <w:r w:rsidR="003014EA" w:rsidRPr="00D60C1D">
              <w:rPr>
                <w:rStyle w:val="YELChar"/>
                <w:b w:val="0"/>
                <w:color w:val="000000"/>
              </w:rPr>
              <w:t>kurulmuş olsa dahi</w:t>
            </w:r>
            <w:r w:rsidR="00EC63C1" w:rsidRPr="00D60C1D">
              <w:rPr>
                <w:rStyle w:val="YELChar"/>
                <w:b w:val="0"/>
                <w:color w:val="000000"/>
              </w:rPr>
              <w:t>,</w:t>
            </w:r>
            <w:r w:rsidR="003014EA" w:rsidRPr="00D60C1D">
              <w:rPr>
                <w:rStyle w:val="YELChar"/>
                <w:b w:val="0"/>
                <w:color w:val="000000"/>
              </w:rPr>
              <w:t xml:space="preserve"> iflas takibi her h</w:t>
            </w:r>
            <w:r w:rsidR="008D7868" w:rsidRPr="00D60C1D">
              <w:rPr>
                <w:rStyle w:val="YELChar"/>
                <w:b w:val="0"/>
                <w:color w:val="000000"/>
              </w:rPr>
              <w:t>â</w:t>
            </w:r>
            <w:r w:rsidR="003014EA" w:rsidRPr="00D60C1D">
              <w:rPr>
                <w:rStyle w:val="YELChar"/>
                <w:b w:val="0"/>
                <w:color w:val="000000"/>
              </w:rPr>
              <w:t>lukarda icra</w:t>
            </w:r>
            <w:r w:rsidR="00B73523" w:rsidRPr="00D60C1D">
              <w:rPr>
                <w:b/>
                <w:color w:val="000000"/>
              </w:rPr>
              <w:t xml:space="preserve"> </w:t>
            </w:r>
            <w:r w:rsidR="00B73523" w:rsidRPr="00D60C1D">
              <w:rPr>
                <w:color w:val="000000"/>
              </w:rPr>
              <w:t>ve iflas</w:t>
            </w:r>
            <w:r w:rsidR="003014EA" w:rsidRPr="00D60C1D">
              <w:rPr>
                <w:rStyle w:val="YELChar"/>
                <w:b w:val="0"/>
                <w:color w:val="000000"/>
              </w:rPr>
              <w:t xml:space="preserve"> dairesinde başlatılacaktır</w:t>
            </w:r>
            <w:r w:rsidR="005C2C1E">
              <w:rPr>
                <w:rStyle w:val="YELChar"/>
                <w:b w:val="0"/>
                <w:color w:val="000000"/>
              </w:rPr>
              <w:t>.</w:t>
            </w:r>
            <w:r w:rsidR="003014EA" w:rsidRPr="00A23740">
              <w:rPr>
                <w:rFonts w:eastAsia="Times New Roman"/>
                <w:bCs/>
                <w:szCs w:val="24"/>
                <w:lang w:eastAsia="tr-TR"/>
              </w:rPr>
              <w:t xml:space="preserve"> </w:t>
            </w:r>
            <w:r w:rsidR="003014EA" w:rsidRPr="00D60C1D">
              <w:rPr>
                <w:rStyle w:val="YELChar"/>
                <w:b w:val="0"/>
                <w:color w:val="000000"/>
              </w:rPr>
              <w:t>Taslak</w:t>
            </w:r>
            <w:r w:rsidRPr="00A23740">
              <w:rPr>
                <w:rFonts w:eastAsia="Times New Roman"/>
                <w:bCs/>
                <w:szCs w:val="24"/>
                <w:lang w:eastAsia="tr-TR"/>
              </w:rPr>
              <w:t xml:space="preserve">, yaygın ve sıklıkla karşılaşılabilecek durumları esas aldığından ve Türkiye genelinde </w:t>
            </w:r>
            <w:r w:rsidR="00EC63C1" w:rsidRPr="00A23740">
              <w:rPr>
                <w:rFonts w:eastAsia="Times New Roman"/>
                <w:bCs/>
                <w:szCs w:val="24"/>
                <w:lang w:eastAsia="tr-TR"/>
              </w:rPr>
              <w:t xml:space="preserve">ayrı bir </w:t>
            </w:r>
            <w:r w:rsidRPr="00A23740">
              <w:rPr>
                <w:rFonts w:eastAsia="Times New Roman"/>
                <w:bCs/>
                <w:szCs w:val="24"/>
                <w:lang w:eastAsia="tr-TR"/>
              </w:rPr>
              <w:t xml:space="preserve">iflas dairesi </w:t>
            </w:r>
            <w:r w:rsidR="00EC63C1" w:rsidRPr="00A23740">
              <w:rPr>
                <w:rFonts w:eastAsia="Times New Roman"/>
                <w:bCs/>
                <w:szCs w:val="24"/>
                <w:lang w:eastAsia="tr-TR"/>
              </w:rPr>
              <w:t xml:space="preserve">kurulan </w:t>
            </w:r>
            <w:r w:rsidR="003014EA" w:rsidRPr="00D60C1D">
              <w:rPr>
                <w:rStyle w:val="YELChar"/>
                <w:b w:val="0"/>
                <w:color w:val="000000"/>
              </w:rPr>
              <w:t>yerlerin</w:t>
            </w:r>
            <w:r w:rsidRPr="00A23740">
              <w:rPr>
                <w:rFonts w:eastAsia="Times New Roman"/>
                <w:bCs/>
                <w:szCs w:val="24"/>
                <w:lang w:eastAsia="tr-TR"/>
              </w:rPr>
              <w:t xml:space="preserve"> de az olduğu gerçeği karşısında, hükümlerin</w:t>
            </w:r>
            <w:r w:rsidR="003014EA" w:rsidRPr="00A23740">
              <w:rPr>
                <w:rFonts w:eastAsia="Times New Roman"/>
                <w:bCs/>
                <w:szCs w:val="24"/>
                <w:lang w:eastAsia="tr-TR"/>
              </w:rPr>
              <w:t xml:space="preserve"> </w:t>
            </w:r>
            <w:r w:rsidR="003014EA" w:rsidRPr="00D60C1D">
              <w:rPr>
                <w:rStyle w:val="YELChar"/>
                <w:b w:val="0"/>
                <w:color w:val="000000"/>
              </w:rPr>
              <w:t>kaleme alınmasında,</w:t>
            </w:r>
            <w:r w:rsidRPr="00A23740">
              <w:rPr>
                <w:rFonts w:eastAsia="Times New Roman"/>
                <w:bCs/>
                <w:szCs w:val="24"/>
                <w:lang w:eastAsia="tr-TR"/>
              </w:rPr>
              <w:t xml:space="preserve"> mümkün olduğu ölçüde</w:t>
            </w:r>
            <w:r w:rsidR="003014EA" w:rsidRPr="00D60C1D">
              <w:rPr>
                <w:rStyle w:val="YELChar"/>
                <w:b w:val="0"/>
                <w:color w:val="000000"/>
              </w:rPr>
              <w:t>,</w:t>
            </w:r>
            <w:r w:rsidRPr="00A23740">
              <w:rPr>
                <w:rFonts w:eastAsia="Times New Roman"/>
                <w:bCs/>
                <w:szCs w:val="24"/>
                <w:lang w:eastAsia="tr-TR"/>
              </w:rPr>
              <w:t xml:space="preserve"> “</w:t>
            </w:r>
            <w:r w:rsidRPr="00A23740">
              <w:rPr>
                <w:rFonts w:eastAsia="Times New Roman"/>
                <w:bCs/>
                <w:i/>
                <w:iCs/>
                <w:szCs w:val="24"/>
                <w:lang w:eastAsia="tr-TR"/>
              </w:rPr>
              <w:t>icra ve iflas daireleri</w:t>
            </w:r>
            <w:r w:rsidRPr="00A23740">
              <w:rPr>
                <w:rFonts w:eastAsia="Times New Roman"/>
                <w:bCs/>
                <w:szCs w:val="24"/>
                <w:lang w:eastAsia="tr-TR"/>
              </w:rPr>
              <w:t>”</w:t>
            </w:r>
            <w:r w:rsidR="003014EA" w:rsidRPr="00A23740">
              <w:rPr>
                <w:rFonts w:eastAsia="Times New Roman"/>
                <w:bCs/>
                <w:szCs w:val="24"/>
                <w:lang w:eastAsia="tr-TR"/>
              </w:rPr>
              <w:t xml:space="preserve"> </w:t>
            </w:r>
            <w:r w:rsidR="003014EA" w:rsidRPr="00D60C1D">
              <w:rPr>
                <w:rStyle w:val="YELChar"/>
                <w:b w:val="0"/>
                <w:color w:val="000000"/>
              </w:rPr>
              <w:t>teriminin kullanılması</w:t>
            </w:r>
            <w:r w:rsidRPr="00A23740">
              <w:rPr>
                <w:rFonts w:eastAsia="Times New Roman"/>
                <w:bCs/>
                <w:szCs w:val="24"/>
                <w:lang w:eastAsia="tr-TR"/>
              </w:rPr>
              <w:t xml:space="preserve"> </w:t>
            </w:r>
            <w:r w:rsidR="00EC63C1" w:rsidRPr="00A23740">
              <w:rPr>
                <w:rFonts w:eastAsia="Times New Roman"/>
                <w:bCs/>
                <w:szCs w:val="24"/>
                <w:lang w:eastAsia="tr-TR"/>
              </w:rPr>
              <w:t xml:space="preserve">daha </w:t>
            </w:r>
            <w:r w:rsidRPr="00A23740">
              <w:rPr>
                <w:rFonts w:eastAsia="Times New Roman"/>
                <w:bCs/>
                <w:szCs w:val="24"/>
                <w:lang w:eastAsia="tr-TR"/>
              </w:rPr>
              <w:t>uygun</w:t>
            </w:r>
            <w:r w:rsidR="003014EA" w:rsidRPr="00A23740">
              <w:rPr>
                <w:rFonts w:eastAsia="Times New Roman"/>
                <w:bCs/>
                <w:szCs w:val="24"/>
                <w:lang w:eastAsia="tr-TR"/>
              </w:rPr>
              <w:t xml:space="preserve"> ve daha gerçekçi bulunmuştur.</w:t>
            </w:r>
            <w:r w:rsidR="00EC63C1" w:rsidRPr="00A23740">
              <w:rPr>
                <w:rFonts w:eastAsia="Times New Roman"/>
                <w:bCs/>
                <w:szCs w:val="24"/>
                <w:lang w:eastAsia="tr-TR"/>
              </w:rPr>
              <w:t>Eğer bir yerde ayrı bir iflas dairesi kurulmuşsa, o zaman o yerde “icra dairesi” ve “iflas daireasi” şeklinde bir niteleme ve ayrım yapılması gerekecek ve iflas takibi icra dairesinde başlatılacak, ama iflastan sonra iflas dairesinde devam edecektir.</w:t>
            </w:r>
          </w:p>
          <w:p w:rsidR="00495448" w:rsidRPr="00A23740" w:rsidRDefault="00495448" w:rsidP="009431FF">
            <w:pPr>
              <w:ind w:firstLine="709"/>
              <w:rPr>
                <w:rFonts w:eastAsia="Times New Roman"/>
                <w:b/>
                <w:bCs/>
                <w:szCs w:val="24"/>
                <w:lang w:eastAsia="tr-TR"/>
              </w:rPr>
            </w:pPr>
            <w:r w:rsidRPr="00A23740">
              <w:rPr>
                <w:rFonts w:eastAsia="Times New Roman"/>
                <w:bCs/>
                <w:szCs w:val="24"/>
                <w:lang w:eastAsia="tr-TR"/>
              </w:rPr>
              <w:t xml:space="preserve">İflas işleriyle meşgul olmak üzere </w:t>
            </w:r>
            <w:r w:rsidR="003014EA" w:rsidRPr="00D60C1D">
              <w:rPr>
                <w:rStyle w:val="YELChar"/>
                <w:b w:val="0"/>
                <w:color w:val="000000"/>
              </w:rPr>
              <w:t>Taslağın</w:t>
            </w:r>
            <w:r w:rsidR="00BC49E9" w:rsidRPr="00D60C1D">
              <w:rPr>
                <w:rStyle w:val="YELChar"/>
                <w:b w:val="0"/>
                <w:color w:val="000000"/>
              </w:rPr>
              <w:t xml:space="preserve"> </w:t>
            </w:r>
            <w:r w:rsidR="00BC49E9" w:rsidRPr="00D60C1D">
              <w:rPr>
                <w:rStyle w:val="KonuBalChar"/>
                <w:rFonts w:eastAsia="ヒラギノ明朝 Pro W3"/>
                <w:b w:val="0"/>
                <w:color w:val="000000"/>
              </w:rPr>
              <w:t>18 inci</w:t>
            </w:r>
            <w:r w:rsidRPr="00A23740">
              <w:rPr>
                <w:rFonts w:eastAsia="Times New Roman"/>
                <w:bCs/>
                <w:szCs w:val="24"/>
                <w:lang w:eastAsia="tr-TR"/>
              </w:rPr>
              <w:t xml:space="preserve"> maddesiyle iflas mahkemeleri kurulmuş ve görevi, anılan hükümde </w:t>
            </w:r>
            <w:r w:rsidR="00EC63C1" w:rsidRPr="00A23740">
              <w:rPr>
                <w:rFonts w:eastAsia="Times New Roman"/>
                <w:bCs/>
                <w:szCs w:val="24"/>
                <w:lang w:eastAsia="tr-TR"/>
              </w:rPr>
              <w:t xml:space="preserve"> açıklanmıştır</w:t>
            </w:r>
            <w:r w:rsidRPr="00A23740">
              <w:rPr>
                <w:rFonts w:eastAsia="Times New Roman"/>
                <w:bCs/>
                <w:szCs w:val="24"/>
                <w:lang w:eastAsia="tr-TR"/>
              </w:rPr>
              <w:t xml:space="preserve">. Gerek başlatılan iflas takibi içinde ve hatta gerekse doğrudan iflas hâllerinde açılacak iflas davası, iflas mahkemesinin </w:t>
            </w:r>
            <w:r w:rsidR="00CF7EC3" w:rsidRPr="00D60C1D">
              <w:rPr>
                <w:rStyle w:val="YELChar"/>
                <w:b w:val="0"/>
                <w:color w:val="000000"/>
              </w:rPr>
              <w:t>görevi</w:t>
            </w:r>
            <w:r w:rsidRPr="00A23740">
              <w:rPr>
                <w:rFonts w:eastAsia="Times New Roman"/>
                <w:bCs/>
                <w:szCs w:val="24"/>
                <w:lang w:eastAsia="tr-TR"/>
              </w:rPr>
              <w:t xml:space="preserve"> içine girmektedir.</w:t>
            </w:r>
          </w:p>
          <w:p w:rsidR="00495448" w:rsidRPr="00A23740" w:rsidRDefault="00495448" w:rsidP="0016377F">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İflas yoliyle takip</w:t>
            </w:r>
          </w:p>
          <w:p w:rsidR="00AA5C8C" w:rsidRPr="00A23740" w:rsidRDefault="00AA5C8C" w:rsidP="009431FF">
            <w:pPr>
              <w:tabs>
                <w:tab w:val="left" w:pos="567"/>
              </w:tabs>
              <w:rPr>
                <w:b/>
                <w:strike/>
                <w:color w:val="FF0000"/>
                <w:szCs w:val="24"/>
              </w:rPr>
            </w:pPr>
            <w:r w:rsidRPr="00A23740">
              <w:rPr>
                <w:b/>
                <w:strike/>
                <w:color w:val="FF0000"/>
                <w:szCs w:val="24"/>
              </w:rPr>
              <w:t>I - YETKİ :</w:t>
            </w:r>
          </w:p>
          <w:p w:rsidR="00AA5C8C" w:rsidRPr="00A23740" w:rsidRDefault="00AA5C8C" w:rsidP="009431FF">
            <w:pPr>
              <w:tabs>
                <w:tab w:val="left" w:pos="567"/>
              </w:tabs>
              <w:rPr>
                <w:b/>
                <w:strike/>
                <w:color w:val="FF0000"/>
                <w:szCs w:val="24"/>
              </w:rPr>
            </w:pPr>
            <w:r w:rsidRPr="00A23740">
              <w:rPr>
                <w:b/>
                <w:strike/>
                <w:color w:val="FF0000"/>
                <w:szCs w:val="24"/>
              </w:rPr>
              <w:t>İflas takiplerinde yetkili merci:</w:t>
            </w:r>
          </w:p>
          <w:p w:rsidR="00AA5C8C" w:rsidRPr="00A23740" w:rsidRDefault="00AA5C8C" w:rsidP="009431FF">
            <w:pPr>
              <w:tabs>
                <w:tab w:val="left" w:pos="567"/>
              </w:tabs>
              <w:rPr>
                <w:b/>
                <w:szCs w:val="24"/>
              </w:rPr>
            </w:pPr>
            <w:r w:rsidRPr="00A23740">
              <w:rPr>
                <w:rStyle w:val="KIRMIZIChar"/>
                <w:rFonts w:eastAsia="Calibri"/>
              </w:rPr>
              <w:t>Madde 154</w:t>
            </w:r>
            <w:r w:rsidRPr="00A23740">
              <w:rPr>
                <w:b/>
                <w:szCs w:val="24"/>
              </w:rPr>
              <w:t xml:space="preserve"> – </w:t>
            </w:r>
            <w:r w:rsidRPr="00A23740">
              <w:rPr>
                <w:rStyle w:val="KIRMIZIChar"/>
                <w:rFonts w:eastAsia="Calibri"/>
              </w:rPr>
              <w:t>(1)</w:t>
            </w:r>
            <w:r w:rsidRPr="00A23740">
              <w:rPr>
                <w:b/>
                <w:szCs w:val="24"/>
              </w:rPr>
              <w:t xml:space="preserve"> </w:t>
            </w:r>
            <w:r w:rsidRPr="00A23740">
              <w:rPr>
                <w:b/>
                <w:strike/>
                <w:color w:val="FF0000"/>
                <w:szCs w:val="24"/>
              </w:rPr>
              <w:t>(Değişik: 18/2/1965 - 538/74 md.)</w:t>
            </w:r>
          </w:p>
          <w:p w:rsidR="00AA5C8C" w:rsidRPr="00A23740" w:rsidRDefault="00AA5C8C" w:rsidP="009431FF">
            <w:pPr>
              <w:tabs>
                <w:tab w:val="left" w:pos="567"/>
              </w:tabs>
              <w:rPr>
                <w:szCs w:val="24"/>
              </w:rPr>
            </w:pPr>
            <w:r w:rsidRPr="00A23740">
              <w:rPr>
                <w:szCs w:val="24"/>
              </w:rPr>
              <w:t>İflas yol</w:t>
            </w:r>
            <w:r w:rsidRPr="00A23740">
              <w:rPr>
                <w:b/>
                <w:strike/>
                <w:color w:val="FF0000"/>
                <w:szCs w:val="24"/>
              </w:rPr>
              <w:t>iyle</w:t>
            </w:r>
            <w:r w:rsidRPr="00A23740">
              <w:rPr>
                <w:szCs w:val="24"/>
              </w:rPr>
              <w:t xml:space="preserve"> takipte yetkili merci, borçlunun muamele merkezinin bulunduğu</w:t>
            </w:r>
            <w:r w:rsidRPr="00A23740">
              <w:rPr>
                <w:b/>
                <w:color w:val="FF0000"/>
                <w:szCs w:val="24"/>
              </w:rPr>
              <w:t xml:space="preserve"> </w:t>
            </w:r>
            <w:r w:rsidRPr="00A23740">
              <w:rPr>
                <w:b/>
                <w:strike/>
                <w:color w:val="FF0000"/>
                <w:szCs w:val="24"/>
              </w:rPr>
              <w:t>mahaldeki</w:t>
            </w:r>
            <w:r w:rsidR="001A031C" w:rsidRPr="00A23740">
              <w:rPr>
                <w:szCs w:val="24"/>
              </w:rPr>
              <w:t xml:space="preserve"> icra dairesidir.</w:t>
            </w:r>
          </w:p>
          <w:p w:rsidR="00AA5C8C" w:rsidRPr="00A23740" w:rsidRDefault="00AA5C8C" w:rsidP="009431FF">
            <w:pPr>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Borçlu ile alacaklı yetkili icra dairesini </w:t>
            </w:r>
            <w:r w:rsidRPr="00A23740">
              <w:rPr>
                <w:rStyle w:val="KIRMIZIChar"/>
                <w:rFonts w:eastAsia="Calibri"/>
              </w:rPr>
              <w:t>yazılı anlaşma</w:t>
            </w:r>
            <w:r w:rsidRPr="00A23740">
              <w:rPr>
                <w:szCs w:val="24"/>
              </w:rPr>
              <w:t xml:space="preserve"> </w:t>
            </w:r>
            <w:r w:rsidRPr="00A23740">
              <w:rPr>
                <w:rStyle w:val="KIRMIZIChar"/>
                <w:rFonts w:eastAsia="Calibri"/>
              </w:rPr>
              <w:t>ile</w:t>
            </w:r>
            <w:r w:rsidRPr="00A23740">
              <w:rPr>
                <w:szCs w:val="24"/>
              </w:rPr>
              <w:t xml:space="preserve"> tayin etmişlerse, o yerin icra dairesi dahi iflas takibi için yetkili sayılır. </w:t>
            </w:r>
            <w:r w:rsidRPr="00A23740">
              <w:rPr>
                <w:b/>
                <w:strike/>
                <w:color w:val="FF0000"/>
                <w:szCs w:val="24"/>
              </w:rPr>
              <w:t>Şu kadar ki, iflas davaları için yetki sözleşmesi yapılamaz ve</w:t>
            </w:r>
            <w:r w:rsidRPr="00A23740">
              <w:rPr>
                <w:szCs w:val="24"/>
              </w:rPr>
              <w:t xml:space="preserve"> iflas</w:t>
            </w:r>
            <w:r w:rsidRPr="00A23740">
              <w:rPr>
                <w:b/>
                <w:color w:val="FF0000"/>
                <w:szCs w:val="24"/>
              </w:rPr>
              <w:t xml:space="preserve"> </w:t>
            </w:r>
            <w:r w:rsidRPr="00A23740">
              <w:rPr>
                <w:b/>
                <w:strike/>
                <w:color w:val="FF0000"/>
                <w:szCs w:val="24"/>
              </w:rPr>
              <w:t>davası mutlaka borçlunun muamele merkezinin bulunduğu yer ticaret</w:t>
            </w:r>
            <w:r w:rsidRPr="00A23740">
              <w:rPr>
                <w:szCs w:val="24"/>
              </w:rPr>
              <w:t xml:space="preserve"> mahkemesi</w:t>
            </w:r>
            <w:r w:rsidRPr="00A23740">
              <w:rPr>
                <w:b/>
                <w:strike/>
                <w:color w:val="FF0000"/>
                <w:szCs w:val="24"/>
              </w:rPr>
              <w:t>nde açılır.</w:t>
            </w:r>
          </w:p>
          <w:p w:rsidR="00AA5C8C" w:rsidRPr="00A23740" w:rsidRDefault="00AA5C8C" w:rsidP="009431FF">
            <w:pPr>
              <w:rPr>
                <w:szCs w:val="24"/>
              </w:rPr>
            </w:pPr>
          </w:p>
          <w:p w:rsidR="00AA5C8C" w:rsidRDefault="00AA5C8C" w:rsidP="009431FF">
            <w:pPr>
              <w:rPr>
                <w:szCs w:val="24"/>
              </w:rPr>
            </w:pPr>
          </w:p>
          <w:p w:rsidR="005C2C1E" w:rsidRDefault="005C2C1E" w:rsidP="009431FF">
            <w:pPr>
              <w:rPr>
                <w:szCs w:val="24"/>
              </w:rPr>
            </w:pPr>
          </w:p>
          <w:p w:rsidR="005C2C1E" w:rsidRPr="00A23740" w:rsidRDefault="005C2C1E" w:rsidP="009431FF">
            <w:pPr>
              <w:rPr>
                <w:szCs w:val="24"/>
              </w:rPr>
            </w:pPr>
          </w:p>
          <w:p w:rsidR="00AA5C8C" w:rsidRPr="00A23740" w:rsidRDefault="00AA5C8C" w:rsidP="009431FF">
            <w:pPr>
              <w:rPr>
                <w:szCs w:val="24"/>
              </w:rPr>
            </w:pPr>
            <w:r w:rsidRPr="00A23740">
              <w:rPr>
                <w:rStyle w:val="KIRMIZIChar"/>
                <w:rFonts w:eastAsia="Calibri"/>
              </w:rPr>
              <w:t>(2)</w:t>
            </w:r>
            <w:r w:rsidRPr="00A23740">
              <w:rPr>
                <w:szCs w:val="24"/>
              </w:rPr>
              <w:t xml:space="preserve"> Merkezleri yurt dışında bulunan ticari işletmeler hakkında yetkili merci, Türkiye'deki şubenin</w:t>
            </w:r>
            <w:r w:rsidRPr="00A23740">
              <w:rPr>
                <w:rStyle w:val="KIRMIZIChar"/>
                <w:rFonts w:eastAsia="Calibri"/>
              </w:rPr>
              <w:t>,</w:t>
            </w:r>
            <w:r w:rsidRPr="00A23740">
              <w:rPr>
                <w:szCs w:val="24"/>
              </w:rPr>
              <w:t xml:space="preserve"> birden ziyade şubenin bulunması halinde merkez şubenin bulunduğu yerdeki icra dairesidir.</w:t>
            </w:r>
          </w:p>
          <w:p w:rsidR="00AA5C8C" w:rsidRPr="00A23740" w:rsidRDefault="00AA5C8C" w:rsidP="009431FF">
            <w:pPr>
              <w:rPr>
                <w:szCs w:val="24"/>
              </w:rPr>
            </w:pPr>
          </w:p>
          <w:p w:rsidR="00AA5C8C" w:rsidRPr="00A23740" w:rsidRDefault="00AA5C8C" w:rsidP="009431FF">
            <w:pPr>
              <w:tabs>
                <w:tab w:val="left" w:pos="567"/>
              </w:tabs>
              <w:rPr>
                <w:b/>
                <w:strike/>
                <w:color w:val="FF0000"/>
                <w:szCs w:val="24"/>
              </w:rPr>
            </w:pPr>
          </w:p>
        </w:tc>
        <w:tc>
          <w:tcPr>
            <w:tcW w:w="2500" w:type="pct"/>
          </w:tcPr>
          <w:p w:rsidR="00AA5C8C" w:rsidRPr="00A23740" w:rsidRDefault="00AA5C8C" w:rsidP="009431FF">
            <w:pPr>
              <w:tabs>
                <w:tab w:val="left" w:pos="567"/>
              </w:tabs>
              <w:rPr>
                <w:b/>
                <w:szCs w:val="24"/>
              </w:rPr>
            </w:pPr>
            <w:r w:rsidRPr="00A23740">
              <w:rPr>
                <w:b/>
                <w:color w:val="0000FF"/>
                <w:szCs w:val="24"/>
              </w:rPr>
              <w:t>Yetki</w:t>
            </w:r>
          </w:p>
          <w:p w:rsidR="00AA5C8C" w:rsidRPr="00A23740" w:rsidRDefault="00AA5C8C" w:rsidP="009431FF">
            <w:pPr>
              <w:tabs>
                <w:tab w:val="left" w:pos="567"/>
              </w:tabs>
              <w:rPr>
                <w:szCs w:val="24"/>
              </w:rPr>
            </w:pPr>
            <w:r w:rsidRPr="00A23740">
              <w:rPr>
                <w:rStyle w:val="MaviChar"/>
                <w:lang w:val="tr-TR"/>
              </w:rPr>
              <w:t xml:space="preserve">MADDE </w:t>
            </w:r>
            <w:r w:rsidR="00490C3E" w:rsidRPr="00A23740">
              <w:rPr>
                <w:rStyle w:val="MAVChar"/>
                <w:rFonts w:eastAsia="Calibri"/>
                <w:u w:val="none"/>
              </w:rPr>
              <w:t>269</w:t>
            </w:r>
            <w:r w:rsidRPr="00A23740">
              <w:rPr>
                <w:rStyle w:val="MAVChar"/>
                <w:rFonts w:eastAsia="Calibri"/>
                <w:u w:val="none"/>
              </w:rPr>
              <w:t>- (</w:t>
            </w:r>
            <w:r w:rsidRPr="00A23740">
              <w:rPr>
                <w:b/>
                <w:color w:val="0000FF"/>
                <w:szCs w:val="24"/>
              </w:rPr>
              <w:t xml:space="preserve">1) </w:t>
            </w:r>
            <w:r w:rsidRPr="00A23740">
              <w:rPr>
                <w:szCs w:val="24"/>
              </w:rPr>
              <w:t>İflas yol</w:t>
            </w:r>
            <w:r w:rsidRPr="00A23740">
              <w:rPr>
                <w:b/>
                <w:color w:val="0000FF"/>
                <w:szCs w:val="24"/>
              </w:rPr>
              <w:t>uyla</w:t>
            </w:r>
            <w:r w:rsidRPr="00A23740">
              <w:rPr>
                <w:szCs w:val="24"/>
              </w:rPr>
              <w:t xml:space="preserve"> takipte yetkili icra </w:t>
            </w:r>
            <w:r w:rsidRPr="00A23740">
              <w:rPr>
                <w:rStyle w:val="MaviChar"/>
              </w:rPr>
              <w:t>ve iflas</w:t>
            </w:r>
            <w:r w:rsidRPr="00A23740">
              <w:rPr>
                <w:szCs w:val="24"/>
              </w:rPr>
              <w:t xml:space="preserve"> dairesi, borçlunun muamele merkezinin bulunduğu </w:t>
            </w:r>
            <w:r w:rsidRPr="00A23740">
              <w:rPr>
                <w:b/>
                <w:color w:val="0000FF"/>
                <w:szCs w:val="24"/>
              </w:rPr>
              <w:t xml:space="preserve">yerdeki </w:t>
            </w:r>
            <w:r w:rsidRPr="00A23740">
              <w:rPr>
                <w:szCs w:val="24"/>
              </w:rPr>
              <w:t xml:space="preserve">icra </w:t>
            </w:r>
            <w:r w:rsidRPr="00A23740">
              <w:rPr>
                <w:rStyle w:val="MaviChar"/>
              </w:rPr>
              <w:t>ve iflas</w:t>
            </w:r>
            <w:r w:rsidRPr="00A23740">
              <w:rPr>
                <w:szCs w:val="24"/>
              </w:rPr>
              <w:t xml:space="preserve"> dairesidir.</w:t>
            </w:r>
            <w:r w:rsidR="00C828EC" w:rsidRPr="00A23740">
              <w:rPr>
                <w:szCs w:val="24"/>
              </w:rPr>
              <w:t xml:space="preserve"> 87 inci maddeye uygun olarak hazırlanan </w:t>
            </w:r>
            <w:r w:rsidR="0097008D" w:rsidRPr="00A23740">
              <w:rPr>
                <w:szCs w:val="24"/>
              </w:rPr>
              <w:t>i</w:t>
            </w:r>
            <w:r w:rsidR="00C828EC" w:rsidRPr="00A23740">
              <w:rPr>
                <w:szCs w:val="24"/>
              </w:rPr>
              <w:t>flas yoluyla takip talebi bu icra ve iflas dairesine verilir.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FF0000"/>
                <w:szCs w:val="24"/>
              </w:rPr>
            </w:pPr>
          </w:p>
          <w:p w:rsidR="00AA5C8C" w:rsidRPr="00A23740" w:rsidRDefault="00AA5C8C" w:rsidP="009431FF">
            <w:pPr>
              <w:tabs>
                <w:tab w:val="left" w:pos="567"/>
              </w:tabs>
              <w:rPr>
                <w:b/>
                <w:color w:val="0000FF"/>
                <w:szCs w:val="24"/>
              </w:rPr>
            </w:pPr>
            <w:r w:rsidRPr="00A23740">
              <w:rPr>
                <w:b/>
                <w:color w:val="0000FF"/>
                <w:szCs w:val="24"/>
              </w:rPr>
              <w:t xml:space="preserve">(2) </w:t>
            </w:r>
            <w:r w:rsidRPr="00A23740">
              <w:rPr>
                <w:szCs w:val="24"/>
              </w:rPr>
              <w:t xml:space="preserve">Borçlu ile alacaklı </w:t>
            </w:r>
            <w:r w:rsidRPr="00A23740">
              <w:rPr>
                <w:rStyle w:val="MaviChar"/>
              </w:rPr>
              <w:t>sözleşmeyle</w:t>
            </w:r>
            <w:r w:rsidRPr="00A23740">
              <w:rPr>
                <w:szCs w:val="24"/>
              </w:rPr>
              <w:t xml:space="preserve"> yetkili icra </w:t>
            </w:r>
            <w:r w:rsidRPr="00A23740">
              <w:rPr>
                <w:rStyle w:val="MaviChar"/>
              </w:rPr>
              <w:t>ve iflas</w:t>
            </w:r>
            <w:r w:rsidRPr="00A23740">
              <w:rPr>
                <w:szCs w:val="24"/>
              </w:rPr>
              <w:t xml:space="preserve"> dairesini</w:t>
            </w:r>
            <w:r w:rsidRPr="00A23740">
              <w:rPr>
                <w:b/>
                <w:color w:val="0000FF"/>
                <w:szCs w:val="24"/>
              </w:rPr>
              <w:t xml:space="preserve"> </w:t>
            </w:r>
            <w:r w:rsidRPr="00A23740">
              <w:rPr>
                <w:szCs w:val="24"/>
              </w:rPr>
              <w:t xml:space="preserve">tayin etmişlerse, o yerin icra </w:t>
            </w:r>
            <w:r w:rsidRPr="00A23740">
              <w:rPr>
                <w:rStyle w:val="MaviChar"/>
              </w:rPr>
              <w:t>ve iflas</w:t>
            </w:r>
            <w:r w:rsidRPr="00A23740">
              <w:rPr>
                <w:szCs w:val="24"/>
              </w:rPr>
              <w:t xml:space="preserve"> dairesi dahi iflas takibi için yetkili sayılır.</w:t>
            </w:r>
          </w:p>
          <w:p w:rsidR="00AA5C8C" w:rsidRPr="00A23740" w:rsidRDefault="00AA5C8C" w:rsidP="009431FF">
            <w:pPr>
              <w:tabs>
                <w:tab w:val="left" w:pos="567"/>
              </w:tabs>
              <w:rPr>
                <w:b/>
                <w:color w:val="FF0000"/>
                <w:szCs w:val="24"/>
              </w:rPr>
            </w:pPr>
          </w:p>
          <w:p w:rsidR="001A031C" w:rsidRDefault="001A031C" w:rsidP="009431FF">
            <w:pPr>
              <w:rPr>
                <w:szCs w:val="24"/>
              </w:rPr>
            </w:pPr>
          </w:p>
          <w:p w:rsidR="005C2C1E" w:rsidRPr="00A23740" w:rsidRDefault="005C2C1E" w:rsidP="009431FF">
            <w:pPr>
              <w:rPr>
                <w:szCs w:val="24"/>
              </w:rPr>
            </w:pPr>
          </w:p>
          <w:p w:rsidR="00AA5C8C" w:rsidRPr="00A23740" w:rsidRDefault="00AA5C8C" w:rsidP="009431FF">
            <w:pPr>
              <w:pStyle w:val="Mavi"/>
            </w:pPr>
            <w:r w:rsidRPr="00A23740">
              <w:t xml:space="preserve">(3) İflas davasında, borçlunun muamele merkezinin bulunduğu yerdeki iflas mahkemesi kesin yetkilidir. </w:t>
            </w:r>
          </w:p>
          <w:p w:rsidR="00AA5C8C" w:rsidRPr="00A23740" w:rsidRDefault="00AA5C8C" w:rsidP="009431FF">
            <w:pPr>
              <w:rPr>
                <w:szCs w:val="24"/>
              </w:rPr>
            </w:pPr>
          </w:p>
          <w:p w:rsidR="00AA5C8C" w:rsidRPr="00A23740" w:rsidRDefault="00AA5C8C" w:rsidP="009431FF">
            <w:pPr>
              <w:rPr>
                <w:rStyle w:val="Stil2Char"/>
                <w:rFonts w:eastAsia="Calibri"/>
                <w:u w:val="none"/>
                <w:lang w:val="tr-TR"/>
              </w:rPr>
            </w:pPr>
            <w:r w:rsidRPr="00A23740">
              <w:rPr>
                <w:b/>
                <w:color w:val="0000FF"/>
                <w:szCs w:val="24"/>
              </w:rPr>
              <w:t xml:space="preserve">(4) </w:t>
            </w:r>
            <w:r w:rsidRPr="00A23740">
              <w:rPr>
                <w:szCs w:val="24"/>
              </w:rPr>
              <w:t>Merkezleri yurt dışında bulunan ticari işletmeler hakkında yetkili merci, Türkiye'deki şubenin</w:t>
            </w:r>
            <w:r w:rsidR="00110DC8" w:rsidRPr="00514F8A">
              <w:rPr>
                <w:rStyle w:val="MaviChar"/>
              </w:rPr>
              <w:t>;</w:t>
            </w:r>
            <w:r w:rsidRPr="00A23740">
              <w:rPr>
                <w:szCs w:val="24"/>
              </w:rPr>
              <w:t xml:space="preserve"> birden </w:t>
            </w:r>
            <w:r w:rsidRPr="00A23740">
              <w:rPr>
                <w:b/>
                <w:color w:val="0000FF"/>
              </w:rPr>
              <w:t>fazla</w:t>
            </w:r>
            <w:r w:rsidRPr="00A23740">
              <w:rPr>
                <w:b/>
                <w:color w:val="0000FF"/>
                <w:szCs w:val="24"/>
              </w:rPr>
              <w:t xml:space="preserve"> </w:t>
            </w:r>
            <w:r w:rsidRPr="00A23740">
              <w:rPr>
                <w:szCs w:val="24"/>
              </w:rPr>
              <w:t>şubenin bulunması h</w:t>
            </w:r>
            <w:r w:rsidR="008D7868" w:rsidRPr="00A23740">
              <w:rPr>
                <w:szCs w:val="24"/>
              </w:rPr>
              <w:t>â</w:t>
            </w:r>
            <w:r w:rsidRPr="00A23740">
              <w:rPr>
                <w:szCs w:val="24"/>
              </w:rPr>
              <w:t xml:space="preserve">linde merkez şubenin bulunduğu yerdeki icra </w:t>
            </w:r>
            <w:r w:rsidRPr="00A23740">
              <w:rPr>
                <w:rStyle w:val="MaviChar"/>
              </w:rPr>
              <w:t>ve iflas</w:t>
            </w:r>
            <w:r w:rsidRPr="00A23740">
              <w:rPr>
                <w:szCs w:val="24"/>
              </w:rPr>
              <w:t xml:space="preserve"> dairesidir. </w:t>
            </w:r>
            <w:r w:rsidRPr="00A23740">
              <w:rPr>
                <w:b/>
                <w:color w:val="0000FF"/>
                <w:szCs w:val="24"/>
              </w:rPr>
              <w:t>Bu h</w:t>
            </w:r>
            <w:r w:rsidR="008D7868" w:rsidRPr="00A23740">
              <w:rPr>
                <w:b/>
                <w:color w:val="0000FF"/>
                <w:szCs w:val="24"/>
              </w:rPr>
              <w:t>â</w:t>
            </w:r>
            <w:r w:rsidRPr="00A23740">
              <w:rPr>
                <w:b/>
                <w:color w:val="0000FF"/>
                <w:szCs w:val="24"/>
              </w:rPr>
              <w:t xml:space="preserve">lde yetkili icra </w:t>
            </w:r>
            <w:r w:rsidRPr="00A23740">
              <w:rPr>
                <w:rStyle w:val="MaviChar"/>
              </w:rPr>
              <w:t>ve iflas</w:t>
            </w:r>
            <w:r w:rsidRPr="00A23740">
              <w:rPr>
                <w:b/>
                <w:color w:val="0000FF"/>
                <w:szCs w:val="24"/>
              </w:rPr>
              <w:t xml:space="preserve"> dairesinin bulunduğu yer iflas mahkemesi kesin yetkilidir</w:t>
            </w:r>
            <w:r w:rsidRPr="00A23740">
              <w:rPr>
                <w:rStyle w:val="Stil2Char"/>
                <w:rFonts w:eastAsia="Calibri"/>
                <w:u w:val="none"/>
              </w:rPr>
              <w:t>.</w:t>
            </w:r>
          </w:p>
          <w:p w:rsidR="00AA5C8C" w:rsidRDefault="00AA5C8C" w:rsidP="009431FF">
            <w:pPr>
              <w:tabs>
                <w:tab w:val="left" w:pos="567"/>
              </w:tabs>
              <w:rPr>
                <w:rFonts w:eastAsia="Times New Roman"/>
                <w:b/>
                <w:bCs/>
                <w:color w:val="0000FF"/>
                <w:szCs w:val="24"/>
                <w:lang w:eastAsia="tr-TR"/>
              </w:rPr>
            </w:pPr>
          </w:p>
          <w:p w:rsidR="0016377F" w:rsidRPr="00A23740" w:rsidRDefault="0016377F" w:rsidP="009431FF">
            <w:pPr>
              <w:tabs>
                <w:tab w:val="left" w:pos="567"/>
              </w:tabs>
              <w:rPr>
                <w:rFonts w:eastAsia="Times New Roman"/>
                <w:b/>
                <w:bCs/>
                <w:color w:val="0000FF"/>
                <w:szCs w:val="24"/>
                <w:lang w:eastAsia="tr-TR"/>
              </w:rPr>
            </w:pPr>
          </w:p>
        </w:tc>
      </w:tr>
      <w:tr w:rsidR="00F608B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F608BE" w:rsidRPr="00A23740" w:rsidRDefault="00F608BE" w:rsidP="009431FF">
            <w:pPr>
              <w:ind w:firstLine="709"/>
              <w:rPr>
                <w:rFonts w:eastAsia="Times New Roman"/>
                <w:b/>
                <w:bCs/>
                <w:szCs w:val="24"/>
                <w:lang w:eastAsia="tr-TR"/>
              </w:rPr>
            </w:pPr>
          </w:p>
          <w:p w:rsidR="006211E9" w:rsidRPr="00A23740" w:rsidRDefault="006211E9" w:rsidP="009431FF">
            <w:pPr>
              <w:pStyle w:val="Mavi"/>
              <w:ind w:firstLine="709"/>
              <w:rPr>
                <w:rFonts w:eastAsia="Times New Roman"/>
                <w:b w:val="0"/>
                <w:bCs w:val="0"/>
                <w:color w:val="auto"/>
                <w:lang w:val="tr-TR" w:eastAsia="tr-TR"/>
              </w:rPr>
            </w:pPr>
            <w:r w:rsidRPr="00A23740">
              <w:rPr>
                <w:rFonts w:eastAsia="Times New Roman"/>
                <w:bCs w:val="0"/>
                <w:color w:val="auto"/>
                <w:lang w:val="tr-TR" w:eastAsia="tr-TR"/>
              </w:rPr>
              <w:t>MADDE 26</w:t>
            </w:r>
            <w:r w:rsidR="00490C3E" w:rsidRPr="00A23740">
              <w:rPr>
                <w:rFonts w:eastAsia="Times New Roman"/>
                <w:bCs w:val="0"/>
                <w:color w:val="auto"/>
                <w:lang w:val="tr-TR" w:eastAsia="tr-TR"/>
              </w:rPr>
              <w:t>9</w:t>
            </w:r>
            <w:r w:rsidRPr="00A23740">
              <w:rPr>
                <w:rFonts w:eastAsia="Times New Roman"/>
                <w:bCs w:val="0"/>
                <w:color w:val="auto"/>
                <w:lang w:val="tr-TR" w:eastAsia="tr-TR"/>
              </w:rPr>
              <w:t xml:space="preserve">- </w:t>
            </w:r>
            <w:r w:rsidRPr="00A23740">
              <w:rPr>
                <w:rFonts w:eastAsia="Times New Roman"/>
                <w:b w:val="0"/>
                <w:bCs w:val="0"/>
                <w:color w:val="auto"/>
                <w:lang w:val="tr-TR" w:eastAsia="tr-TR"/>
              </w:rPr>
              <w:t xml:space="preserve">Maddeyle, iflas yoluyla takipte yetkiye ilişkin hususlar düzenlenmektedir. Hüküm, 2004 sayılı Kanunun 154 üncü maddesine karşılık gelmektedir. </w:t>
            </w:r>
          </w:p>
          <w:p w:rsidR="00F608BE" w:rsidRPr="00A23740" w:rsidRDefault="00F608BE" w:rsidP="009431FF">
            <w:pPr>
              <w:tabs>
                <w:tab w:val="left" w:pos="567"/>
              </w:tabs>
              <w:ind w:firstLine="709"/>
              <w:rPr>
                <w:szCs w:val="24"/>
              </w:rPr>
            </w:pPr>
            <w:r w:rsidRPr="00A23740">
              <w:rPr>
                <w:szCs w:val="24"/>
              </w:rPr>
              <w:t xml:space="preserve">İflâs yoluyla başlatılan takiplerde de genel yetki kuralı esas alınmış; takip borçlusunun muamele merkezinin bulunduğu </w:t>
            </w:r>
            <w:r w:rsidR="006211E9" w:rsidRPr="00A23740">
              <w:rPr>
                <w:szCs w:val="24"/>
              </w:rPr>
              <w:t xml:space="preserve">yer, yetkili kabul edilmiştir. </w:t>
            </w:r>
          </w:p>
          <w:p w:rsidR="00F608BE" w:rsidRPr="00A23740" w:rsidRDefault="00403B77" w:rsidP="009431FF">
            <w:pPr>
              <w:tabs>
                <w:tab w:val="left" w:pos="567"/>
              </w:tabs>
              <w:ind w:firstLine="709"/>
              <w:rPr>
                <w:szCs w:val="24"/>
              </w:rPr>
            </w:pPr>
            <w:r w:rsidRPr="00D60C1D">
              <w:rPr>
                <w:rStyle w:val="YELChar"/>
                <w:b w:val="0"/>
                <w:color w:val="000000"/>
              </w:rPr>
              <w:t>Taslağın</w:t>
            </w:r>
            <w:r w:rsidR="00F608BE" w:rsidRPr="00A23740">
              <w:rPr>
                <w:szCs w:val="24"/>
              </w:rPr>
              <w:t xml:space="preserve"> ikinci fıkrasıyla taraflar arasında </w:t>
            </w:r>
            <w:r w:rsidR="0028574A" w:rsidRPr="00A23740">
              <w:rPr>
                <w:szCs w:val="24"/>
              </w:rPr>
              <w:t xml:space="preserve">bir yetki sözleşmesi yapılmışsa, bu sözleşmeye </w:t>
            </w:r>
            <w:r w:rsidR="00F608BE" w:rsidRPr="00A23740">
              <w:rPr>
                <w:szCs w:val="24"/>
              </w:rPr>
              <w:t>iflas yoluyla takipler için de itibar</w:t>
            </w:r>
            <w:r w:rsidR="0028574A" w:rsidRPr="00A23740">
              <w:rPr>
                <w:szCs w:val="24"/>
              </w:rPr>
              <w:t xml:space="preserve"> edilmesi kabul edilmiştir</w:t>
            </w:r>
            <w:r w:rsidR="00F608BE" w:rsidRPr="00A23740">
              <w:rPr>
                <w:szCs w:val="24"/>
              </w:rPr>
              <w:t xml:space="preserve">. Bu </w:t>
            </w:r>
            <w:r w:rsidR="0028574A" w:rsidRPr="00A23740">
              <w:rPr>
                <w:szCs w:val="24"/>
              </w:rPr>
              <w:t xml:space="preserve">takdirde, </w:t>
            </w:r>
            <w:r w:rsidR="00F608BE" w:rsidRPr="00A23740">
              <w:rPr>
                <w:szCs w:val="24"/>
              </w:rPr>
              <w:t>metinde geçen “</w:t>
            </w:r>
            <w:r w:rsidR="00F608BE" w:rsidRPr="00A23740">
              <w:rPr>
                <w:i/>
                <w:iCs/>
                <w:szCs w:val="24"/>
              </w:rPr>
              <w:t>dahi</w:t>
            </w:r>
            <w:r w:rsidR="00F608BE" w:rsidRPr="00A23740">
              <w:rPr>
                <w:szCs w:val="24"/>
              </w:rPr>
              <w:t xml:space="preserve">” ibaresinin özel bir anlamı olup </w:t>
            </w:r>
            <w:r w:rsidR="003E7FF9" w:rsidRPr="00D60C1D">
              <w:rPr>
                <w:rStyle w:val="KonuBalChar"/>
                <w:rFonts w:eastAsia="Calibri"/>
                <w:b w:val="0"/>
                <w:color w:val="000000"/>
              </w:rPr>
              <w:t>6100 sayılı</w:t>
            </w:r>
            <w:r w:rsidR="003E7FF9" w:rsidRPr="00A23740">
              <w:rPr>
                <w:rStyle w:val="KonuBalChar"/>
                <w:rFonts w:eastAsia="Calibri"/>
              </w:rPr>
              <w:t xml:space="preserve"> </w:t>
            </w:r>
            <w:r w:rsidR="003E7FF9" w:rsidRPr="00D60C1D">
              <w:rPr>
                <w:rStyle w:val="KonuBalChar"/>
                <w:rFonts w:eastAsia="Calibri"/>
                <w:b w:val="0"/>
                <w:color w:val="000000"/>
              </w:rPr>
              <w:t>Kanunun</w:t>
            </w:r>
            <w:r w:rsidR="00F608BE" w:rsidRPr="00A23740">
              <w:rPr>
                <w:szCs w:val="24"/>
              </w:rPr>
              <w:t xml:space="preserve"> 17</w:t>
            </w:r>
            <w:r w:rsidR="00110DC8" w:rsidRPr="00A23740">
              <w:rPr>
                <w:szCs w:val="24"/>
              </w:rPr>
              <w:t xml:space="preserve"> </w:t>
            </w:r>
            <w:r w:rsidR="00110DC8" w:rsidRPr="00D60C1D">
              <w:rPr>
                <w:rStyle w:val="YELChar"/>
                <w:b w:val="0"/>
                <w:color w:val="000000"/>
              </w:rPr>
              <w:t>nci</w:t>
            </w:r>
            <w:r w:rsidR="00F608BE" w:rsidRPr="00A23740">
              <w:rPr>
                <w:szCs w:val="24"/>
              </w:rPr>
              <w:t xml:space="preserve"> maddesinin birinci fıkrasının ikinci cümlesinde düzenlenen ana ilkeden ayrılma amacını taşımaktadır. Şu hâlde, her ne kadar </w:t>
            </w:r>
            <w:r w:rsidRPr="00D60C1D">
              <w:rPr>
                <w:rStyle w:val="YELChar"/>
                <w:b w:val="0"/>
                <w:color w:val="000000"/>
              </w:rPr>
              <w:t>Taslağın</w:t>
            </w:r>
            <w:r w:rsidR="00F608BE" w:rsidRPr="00A23740">
              <w:rPr>
                <w:szCs w:val="24"/>
              </w:rPr>
              <w:t xml:space="preserve"> bu lâfzı, önceki kanuni düzenlemenin tekrarı mahiyetinde görülebilirse de</w:t>
            </w:r>
            <w:r w:rsidR="00EC63C1" w:rsidRPr="00A23740">
              <w:rPr>
                <w:szCs w:val="24"/>
              </w:rPr>
              <w:t>,</w:t>
            </w:r>
            <w:r w:rsidR="00F608BE" w:rsidRPr="00A23740">
              <w:rPr>
                <w:szCs w:val="24"/>
              </w:rPr>
              <w:t xml:space="preserve"> </w:t>
            </w:r>
            <w:r w:rsidR="003E7FF9" w:rsidRPr="00D60C1D">
              <w:rPr>
                <w:rStyle w:val="KonuBalChar"/>
                <w:rFonts w:eastAsia="Calibri"/>
                <w:b w:val="0"/>
                <w:color w:val="000000"/>
              </w:rPr>
              <w:t>6100 sayılı Kanunun</w:t>
            </w:r>
            <w:r w:rsidRPr="00D60C1D">
              <w:rPr>
                <w:rStyle w:val="YELChar"/>
                <w:b w:val="0"/>
                <w:color w:val="000000"/>
              </w:rPr>
              <w:t xml:space="preserve"> 17 nci maddesinin birinci fıkrasının</w:t>
            </w:r>
            <w:r w:rsidR="00F608BE" w:rsidRPr="00514F8A">
              <w:rPr>
                <w:rStyle w:val="KIRMIZIChar"/>
                <w:rFonts w:eastAsia="Calibri"/>
                <w:strike w:val="0"/>
              </w:rPr>
              <w:t xml:space="preserve"> </w:t>
            </w:r>
            <w:r w:rsidR="00F608BE" w:rsidRPr="00A23740">
              <w:rPr>
                <w:szCs w:val="24"/>
              </w:rPr>
              <w:t>son cümle</w:t>
            </w:r>
            <w:r w:rsidR="0028574A" w:rsidRPr="00A23740">
              <w:rPr>
                <w:szCs w:val="24"/>
              </w:rPr>
              <w:t>si</w:t>
            </w:r>
            <w:r w:rsidR="00F608BE" w:rsidRPr="00A23740">
              <w:rPr>
                <w:szCs w:val="24"/>
              </w:rPr>
              <w:t xml:space="preserve"> hükmü karşısında </w:t>
            </w:r>
            <w:r w:rsidRPr="00D60C1D">
              <w:rPr>
                <w:rStyle w:val="YELChar"/>
                <w:b w:val="0"/>
                <w:color w:val="000000"/>
              </w:rPr>
              <w:t>Taslakla</w:t>
            </w:r>
            <w:r w:rsidR="00F608BE" w:rsidRPr="00A23740">
              <w:rPr>
                <w:szCs w:val="24"/>
              </w:rPr>
              <w:t xml:space="preserve"> muhafaza edilen “</w:t>
            </w:r>
            <w:r w:rsidR="00F608BE" w:rsidRPr="00A23740">
              <w:rPr>
                <w:i/>
                <w:iCs/>
                <w:szCs w:val="24"/>
              </w:rPr>
              <w:t>dahi</w:t>
            </w:r>
            <w:r w:rsidR="00F608BE" w:rsidRPr="00A23740">
              <w:rPr>
                <w:szCs w:val="24"/>
              </w:rPr>
              <w:t xml:space="preserve">” </w:t>
            </w:r>
            <w:r w:rsidR="00EC63C1" w:rsidRPr="00A23740">
              <w:rPr>
                <w:szCs w:val="24"/>
              </w:rPr>
              <w:t xml:space="preserve">sözcüğü </w:t>
            </w:r>
            <w:r w:rsidR="00F608BE" w:rsidRPr="00A23740">
              <w:rPr>
                <w:szCs w:val="24"/>
              </w:rPr>
              <w:t>bağlayıcı, yetki sözleşmesiyle münhasır değil; iflas yoluyla başlatılan takiplere özel olarak artık seçimlik yetkinin geçerli</w:t>
            </w:r>
            <w:r w:rsidR="006211E9" w:rsidRPr="00A23740">
              <w:rPr>
                <w:szCs w:val="24"/>
              </w:rPr>
              <w:t xml:space="preserve"> </w:t>
            </w:r>
            <w:r w:rsidR="003E09C3" w:rsidRPr="00A23740">
              <w:rPr>
                <w:szCs w:val="24"/>
              </w:rPr>
              <w:t>kılındığını vurgulamaktadır.</w:t>
            </w:r>
          </w:p>
          <w:p w:rsidR="00F608BE" w:rsidRPr="00A23740" w:rsidRDefault="00403B77" w:rsidP="009431FF">
            <w:pPr>
              <w:tabs>
                <w:tab w:val="left" w:pos="567"/>
              </w:tabs>
              <w:ind w:firstLine="709"/>
              <w:rPr>
                <w:szCs w:val="24"/>
              </w:rPr>
            </w:pPr>
            <w:r w:rsidRPr="00D60C1D">
              <w:rPr>
                <w:rStyle w:val="YELChar"/>
                <w:b w:val="0"/>
                <w:color w:val="000000"/>
              </w:rPr>
              <w:t>Taslağın</w:t>
            </w:r>
            <w:r w:rsidR="00F608BE" w:rsidRPr="00A23740">
              <w:rPr>
                <w:szCs w:val="24"/>
              </w:rPr>
              <w:t xml:space="preserve"> üçüncü fıkrası, iflas davalarına özeldir. Zira bu hâlde, kesin yetki söz konusudur. Yetki, borçlunun muamele merkezine göre tayin edilecektir. Metinde geçen “</w:t>
            </w:r>
            <w:r w:rsidR="00F608BE" w:rsidRPr="00A23740">
              <w:rPr>
                <w:i/>
                <w:iCs/>
                <w:szCs w:val="24"/>
              </w:rPr>
              <w:t>muamele merkezi</w:t>
            </w:r>
            <w:r w:rsidR="00F608BE" w:rsidRPr="00A23740">
              <w:rPr>
                <w:szCs w:val="24"/>
              </w:rPr>
              <w:t>” kavramının kullanımında ısrar edilmiş; bu şekilde birinci fıkrayla da uyum sağlanmıştır. Eş deyişle gerek birinci gerekse üçüncü fıkradaki “</w:t>
            </w:r>
            <w:r w:rsidR="00F608BE" w:rsidRPr="00A23740">
              <w:rPr>
                <w:i/>
                <w:iCs/>
                <w:szCs w:val="24"/>
              </w:rPr>
              <w:t>muamele merkezi</w:t>
            </w:r>
            <w:r w:rsidR="00F608BE" w:rsidRPr="00A23740">
              <w:rPr>
                <w:szCs w:val="24"/>
              </w:rPr>
              <w:t xml:space="preserve">” aynı yeri işaret etmektedir. Buranın neresi olduğu hakkında </w:t>
            </w:r>
            <w:r w:rsidR="0028574A" w:rsidRPr="00A23740">
              <w:rPr>
                <w:szCs w:val="24"/>
              </w:rPr>
              <w:t xml:space="preserve">yargısal </w:t>
            </w:r>
            <w:r w:rsidR="00F608BE" w:rsidRPr="00A23740">
              <w:rPr>
                <w:szCs w:val="24"/>
              </w:rPr>
              <w:t>içtihatta kimi ölçütlere müracaat edilmiş</w:t>
            </w:r>
            <w:r w:rsidR="0028574A" w:rsidRPr="00A23740">
              <w:rPr>
                <w:szCs w:val="24"/>
              </w:rPr>
              <w:t>,</w:t>
            </w:r>
            <w:r w:rsidR="00F608BE" w:rsidRPr="00A23740">
              <w:rPr>
                <w:szCs w:val="24"/>
              </w:rPr>
              <w:t xml:space="preserve"> hatta “muamele merkezi” kavramı yerine “ticaret siciline kayıtlı olduğu yer” kavramının ikame edilmeye çalışıldığı görülmüşse </w:t>
            </w:r>
            <w:r w:rsidR="0028574A" w:rsidRPr="00A23740">
              <w:rPr>
                <w:szCs w:val="24"/>
              </w:rPr>
              <w:t xml:space="preserve">de, </w:t>
            </w:r>
            <w:r w:rsidR="00F608BE" w:rsidRPr="00A23740">
              <w:rPr>
                <w:szCs w:val="24"/>
              </w:rPr>
              <w:t>bu kavramın “muamele merkezini” tam olarak karşılamada yetersiz kaldığı sonucuna varılmıştır. “Muamele merkezi” kavramının yerleşmiş bir kavram olması bir yana</w:t>
            </w:r>
            <w:r w:rsidR="0028574A" w:rsidRPr="00A23740">
              <w:rPr>
                <w:szCs w:val="24"/>
              </w:rPr>
              <w:t>,</w:t>
            </w:r>
            <w:r w:rsidR="00F608BE" w:rsidRPr="00A23740">
              <w:rPr>
                <w:szCs w:val="24"/>
              </w:rPr>
              <w:t xml:space="preserve"> ticaret siciline kayıtlı yerin muamele merkezinin tayininde başvurulabilecek kriterlerinden olsa olsa biri olabileceği </w:t>
            </w:r>
            <w:r w:rsidRPr="00D60C1D">
              <w:rPr>
                <w:rStyle w:val="YELChar"/>
                <w:b w:val="0"/>
                <w:color w:val="000000"/>
              </w:rPr>
              <w:t>kabul edilmiş</w:t>
            </w:r>
            <w:r w:rsidR="00F608BE" w:rsidRPr="00A23740">
              <w:rPr>
                <w:szCs w:val="24"/>
              </w:rPr>
              <w:t>, öğretide bu mesele hakkında dile getirilen hususların hayat bulabilmesi için kavramın bu h</w:t>
            </w:r>
            <w:r w:rsidR="008D7868" w:rsidRPr="00A23740">
              <w:rPr>
                <w:szCs w:val="24"/>
              </w:rPr>
              <w:t>â</w:t>
            </w:r>
            <w:r w:rsidR="00F608BE" w:rsidRPr="00A23740">
              <w:rPr>
                <w:szCs w:val="24"/>
              </w:rPr>
              <w:t>liyle kullanılmaya devam edilmesi ge</w:t>
            </w:r>
            <w:r w:rsidR="006211E9" w:rsidRPr="00A23740">
              <w:rPr>
                <w:szCs w:val="24"/>
              </w:rPr>
              <w:t xml:space="preserve">rektiği sonucuna ulaşılmıştır. </w:t>
            </w:r>
          </w:p>
          <w:p w:rsidR="00F608BE" w:rsidRPr="00A23740" w:rsidRDefault="00F608BE" w:rsidP="0016377F">
            <w:pPr>
              <w:tabs>
                <w:tab w:val="left" w:pos="567"/>
              </w:tabs>
              <w:ind w:firstLine="709"/>
              <w:rPr>
                <w:rFonts w:eastAsia="Times New Roman"/>
                <w:b/>
                <w:bCs/>
                <w:szCs w:val="24"/>
                <w:lang w:eastAsia="tr-TR"/>
              </w:rPr>
            </w:pPr>
            <w:r w:rsidRPr="00A23740">
              <w:rPr>
                <w:szCs w:val="24"/>
              </w:rPr>
              <w:t xml:space="preserve">Dördüncü fıkra hükmü, merkezi yurt dışında bulunan ticari işletmeler </w:t>
            </w:r>
            <w:r w:rsidR="00403B77" w:rsidRPr="00D60C1D">
              <w:rPr>
                <w:rStyle w:val="YELChar"/>
                <w:b w:val="0"/>
                <w:color w:val="000000"/>
              </w:rPr>
              <w:t>için</w:t>
            </w:r>
            <w:r w:rsidRPr="00A23740">
              <w:rPr>
                <w:szCs w:val="24"/>
              </w:rPr>
              <w:t xml:space="preserve"> yetkinin nasıl tesis edileceği </w:t>
            </w:r>
            <w:r w:rsidR="00403B77" w:rsidRPr="00D60C1D">
              <w:rPr>
                <w:rStyle w:val="YELChar"/>
                <w:b w:val="0"/>
                <w:color w:val="000000"/>
              </w:rPr>
              <w:t>hakkındadır</w:t>
            </w:r>
            <w:r w:rsidRPr="00A23740">
              <w:rPr>
                <w:szCs w:val="24"/>
              </w:rPr>
              <w:t>. Bu hâlde şubenin ve yeri geldiğinde merkez şubenin bulunduğu yer yetkili olup</w:t>
            </w:r>
            <w:r w:rsidR="0028574A" w:rsidRPr="00A23740">
              <w:rPr>
                <w:szCs w:val="24"/>
              </w:rPr>
              <w:t>,</w:t>
            </w:r>
            <w:r w:rsidRPr="00A23740">
              <w:rPr>
                <w:szCs w:val="24"/>
              </w:rPr>
              <w:t xml:space="preserve"> başlatılacak takip için yetkili olan bu yer, bu kez her h</w:t>
            </w:r>
            <w:r w:rsidR="008D7868" w:rsidRPr="00A23740">
              <w:rPr>
                <w:szCs w:val="24"/>
              </w:rPr>
              <w:t>â</w:t>
            </w:r>
            <w:r w:rsidRPr="00A23740">
              <w:rPr>
                <w:szCs w:val="24"/>
              </w:rPr>
              <w:t>lükârda açılması gerekecek olan ifl</w:t>
            </w:r>
            <w:r w:rsidR="00656C77" w:rsidRPr="00A23740">
              <w:rPr>
                <w:szCs w:val="24"/>
              </w:rPr>
              <w:t>a</w:t>
            </w:r>
            <w:r w:rsidRPr="00A23740">
              <w:rPr>
                <w:szCs w:val="24"/>
              </w:rPr>
              <w:t xml:space="preserve">s davası için kesin yetki işlevini görecektir. Bu vesileyle merkezleri yurt dışında bulunan ticari işletmeler hakkında Türkiye’de açılacak iflas davalarında, alacağın şubenin işleminden kaynaklanmasının gerekip gerekmediği meselesinin çözümü, </w:t>
            </w:r>
            <w:r w:rsidR="00403B77" w:rsidRPr="00D60C1D">
              <w:rPr>
                <w:rStyle w:val="YELChar"/>
                <w:b w:val="0"/>
                <w:color w:val="000000"/>
              </w:rPr>
              <w:t>bilimsel ve yargısal</w:t>
            </w:r>
            <w:r w:rsidRPr="00A23740">
              <w:rPr>
                <w:szCs w:val="24"/>
              </w:rPr>
              <w:t xml:space="preserve"> içtihada bırakılmıştır.</w:t>
            </w:r>
          </w:p>
          <w:p w:rsidR="00F608BE" w:rsidRPr="00A23740" w:rsidRDefault="00F608BE" w:rsidP="0016377F">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II – İFLAS YOLİYLE ADİ TAKİP :</w:t>
            </w:r>
          </w:p>
          <w:p w:rsidR="00AA5C8C" w:rsidRPr="00A23740" w:rsidRDefault="00AA5C8C" w:rsidP="009431FF">
            <w:pPr>
              <w:tabs>
                <w:tab w:val="left" w:pos="540"/>
                <w:tab w:val="center" w:pos="3543"/>
              </w:tabs>
              <w:rPr>
                <w:b/>
                <w:strike/>
                <w:color w:val="FF0000"/>
                <w:szCs w:val="24"/>
              </w:rPr>
            </w:pPr>
            <w:r w:rsidRPr="00A23740">
              <w:rPr>
                <w:b/>
                <w:strike/>
                <w:color w:val="FF0000"/>
                <w:szCs w:val="24"/>
              </w:rPr>
              <w:t>Ödeme emri ve münderecatı:</w:t>
            </w:r>
          </w:p>
          <w:p w:rsidR="00AA5C8C" w:rsidRPr="00A23740" w:rsidRDefault="00AA5C8C" w:rsidP="009431FF">
            <w:pPr>
              <w:tabs>
                <w:tab w:val="left" w:pos="567"/>
              </w:tabs>
              <w:rPr>
                <w:b/>
                <w:strike/>
                <w:color w:val="FF0000"/>
                <w:szCs w:val="24"/>
              </w:rPr>
            </w:pPr>
            <w:r w:rsidRPr="00A23740">
              <w:rPr>
                <w:b/>
                <w:strike/>
                <w:color w:val="FF0000"/>
                <w:szCs w:val="24"/>
              </w:rPr>
              <w:t>Madde 155 – (1) (Değişik: 3/7/1940 - 3890/1 md.</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bCs/>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b/>
                <w:strike/>
                <w:color w:val="FF0000"/>
                <w:szCs w:val="24"/>
              </w:rPr>
              <w:t>Borçlu iflas yoliyle takibe tabi şahıslardan olup da alacaklı isterse ödeme emrine yedi gün içinde borç ödenmediği takdirde alacaklının mahkemeye müracaatla iflas talebinde bulunabileceği ve borçlunun gerek borcu olmadığına ve gerek kendisinin iflasa tabi kimselerden bulunmadığına dair itirazı varsa bu müddet içinde dilekçe ile icra dairesine bildirmesi lüzumu ve konkordato teklif edebileceği ilave olunur.</w:t>
            </w:r>
          </w:p>
          <w:p w:rsidR="00AA5C8C" w:rsidRPr="00A23740" w:rsidRDefault="00AA5C8C" w:rsidP="009431FF">
            <w:pPr>
              <w:tabs>
                <w:tab w:val="left" w:pos="567"/>
              </w:tabs>
              <w:rPr>
                <w:b/>
                <w:strike/>
                <w:color w:val="FF0000"/>
                <w:szCs w:val="24"/>
              </w:rPr>
            </w:pPr>
          </w:p>
        </w:tc>
        <w:tc>
          <w:tcPr>
            <w:tcW w:w="2500" w:type="pct"/>
          </w:tcPr>
          <w:p w:rsidR="00AA5C8C" w:rsidRPr="00A23740" w:rsidRDefault="00AA5C8C" w:rsidP="009431FF">
            <w:pPr>
              <w:tabs>
                <w:tab w:val="left" w:pos="567"/>
              </w:tabs>
              <w:jc w:val="center"/>
              <w:rPr>
                <w:b/>
                <w:color w:val="0000FF"/>
                <w:szCs w:val="24"/>
              </w:rPr>
            </w:pPr>
            <w:r w:rsidRPr="00A23740">
              <w:rPr>
                <w:b/>
                <w:color w:val="0000FF"/>
                <w:szCs w:val="24"/>
              </w:rPr>
              <w:t>İKİNCİ AYRIM</w:t>
            </w:r>
          </w:p>
          <w:p w:rsidR="00AA5C8C" w:rsidRPr="00A23740" w:rsidRDefault="000B08CB" w:rsidP="009431FF">
            <w:pPr>
              <w:tabs>
                <w:tab w:val="left" w:pos="567"/>
              </w:tabs>
              <w:jc w:val="center"/>
              <w:rPr>
                <w:b/>
                <w:color w:val="0000FF"/>
                <w:szCs w:val="24"/>
              </w:rPr>
            </w:pPr>
            <w:r w:rsidRPr="00514F8A">
              <w:rPr>
                <w:rStyle w:val="MaviChar"/>
              </w:rPr>
              <w:t>İflas</w:t>
            </w:r>
            <w:r w:rsidRPr="00A23740">
              <w:rPr>
                <w:b/>
                <w:color w:val="0000FF"/>
                <w:szCs w:val="24"/>
              </w:rPr>
              <w:t xml:space="preserve"> </w:t>
            </w:r>
            <w:r w:rsidR="00AA5C8C" w:rsidRPr="00A23740">
              <w:rPr>
                <w:b/>
                <w:color w:val="0000FF"/>
                <w:szCs w:val="24"/>
              </w:rPr>
              <w:t>Ödeme Emri</w:t>
            </w:r>
          </w:p>
          <w:p w:rsidR="00AA5C8C" w:rsidRPr="00A23740" w:rsidRDefault="00AA5C8C" w:rsidP="009431FF">
            <w:pPr>
              <w:tabs>
                <w:tab w:val="left" w:pos="567"/>
              </w:tabs>
              <w:rPr>
                <w:b/>
                <w:szCs w:val="24"/>
              </w:rPr>
            </w:pPr>
          </w:p>
          <w:p w:rsidR="00AA5C8C" w:rsidRPr="00A23740" w:rsidRDefault="000B08CB" w:rsidP="009431FF">
            <w:pPr>
              <w:tabs>
                <w:tab w:val="left" w:pos="567"/>
              </w:tabs>
              <w:rPr>
                <w:b/>
                <w:szCs w:val="24"/>
              </w:rPr>
            </w:pPr>
            <w:r w:rsidRPr="00514F8A">
              <w:rPr>
                <w:rStyle w:val="Balk1Char"/>
                <w:rFonts w:eastAsia="Calibri"/>
              </w:rPr>
              <w:t>İflas</w:t>
            </w:r>
            <w:r w:rsidRPr="00A23740">
              <w:rPr>
                <w:b/>
                <w:szCs w:val="24"/>
              </w:rPr>
              <w:t xml:space="preserve"> ödeme </w:t>
            </w:r>
            <w:r w:rsidR="00AA5C8C" w:rsidRPr="00A23740">
              <w:rPr>
                <w:b/>
                <w:szCs w:val="24"/>
              </w:rPr>
              <w:t>emri ve</w:t>
            </w:r>
            <w:r w:rsidR="00AA5C8C" w:rsidRPr="00A23740">
              <w:rPr>
                <w:b/>
                <w:color w:val="0000FF"/>
                <w:szCs w:val="24"/>
              </w:rPr>
              <w:t xml:space="preserve"> içeriği</w:t>
            </w:r>
          </w:p>
          <w:p w:rsidR="00AA5C8C" w:rsidRPr="00A23740" w:rsidRDefault="00AA5C8C" w:rsidP="009431FF">
            <w:pPr>
              <w:autoSpaceDE w:val="0"/>
              <w:autoSpaceDN w:val="0"/>
              <w:adjustRightInd w:val="0"/>
              <w:rPr>
                <w:szCs w:val="24"/>
              </w:rPr>
            </w:pPr>
            <w:r w:rsidRPr="00A23740">
              <w:rPr>
                <w:rStyle w:val="MaviChar"/>
                <w:lang w:val="tr-TR"/>
              </w:rPr>
              <w:t xml:space="preserve">MADDE </w:t>
            </w:r>
            <w:r w:rsidR="00490C3E" w:rsidRPr="00A23740">
              <w:rPr>
                <w:rStyle w:val="MAVChar"/>
                <w:rFonts w:eastAsia="Calibri"/>
                <w:u w:val="none"/>
              </w:rPr>
              <w:t>270</w:t>
            </w:r>
            <w:r w:rsidRPr="00A23740">
              <w:rPr>
                <w:rStyle w:val="MAVChar"/>
                <w:rFonts w:eastAsia="Calibri"/>
                <w:u w:val="none"/>
              </w:rPr>
              <w:t>- (</w:t>
            </w:r>
            <w:r w:rsidRPr="00A23740">
              <w:rPr>
                <w:b/>
                <w:color w:val="0000FF"/>
                <w:szCs w:val="24"/>
              </w:rPr>
              <w:t>1) Takip talebinin bu Kanun</w:t>
            </w:r>
            <w:r w:rsidR="00C828EC" w:rsidRPr="00A23740">
              <w:rPr>
                <w:b/>
                <w:color w:val="0000FF"/>
                <w:szCs w:val="24"/>
              </w:rPr>
              <w:t xml:space="preserve">un 87 inci maddesinde </w:t>
            </w:r>
            <w:r w:rsidRPr="00A23740">
              <w:rPr>
                <w:b/>
                <w:color w:val="0000FF"/>
                <w:szCs w:val="24"/>
              </w:rPr>
              <w:t xml:space="preserve">öngörülen şartları içerdiğine </w:t>
            </w:r>
            <w:r w:rsidRPr="00A23740">
              <w:rPr>
                <w:rStyle w:val="MaviChar"/>
              </w:rPr>
              <w:t>karar verilmesi h</w:t>
            </w:r>
            <w:r w:rsidR="0057001B" w:rsidRPr="00A23740">
              <w:rPr>
                <w:rStyle w:val="MaviChar"/>
                <w:lang w:val="tr-TR"/>
              </w:rPr>
              <w:t>â</w:t>
            </w:r>
            <w:r w:rsidRPr="00A23740">
              <w:rPr>
                <w:rStyle w:val="MaviChar"/>
              </w:rPr>
              <w:t>linde</w:t>
            </w:r>
            <w:r w:rsidR="00C828EC" w:rsidRPr="00A23740">
              <w:rPr>
                <w:rStyle w:val="MaviChar"/>
                <w:lang w:val="tr-TR"/>
              </w:rPr>
              <w:t>,</w:t>
            </w:r>
            <w:r w:rsidRPr="00A23740">
              <w:rPr>
                <w:rStyle w:val="MaviChar"/>
              </w:rPr>
              <w:t xml:space="preserve"> icra ve iflas dairesi tarafından</w:t>
            </w:r>
            <w:r w:rsidRPr="00A23740">
              <w:rPr>
                <w:b/>
                <w:color w:val="0000FF"/>
                <w:szCs w:val="24"/>
              </w:rPr>
              <w:t xml:space="preserve"> </w:t>
            </w:r>
            <w:r w:rsidR="000B08CB" w:rsidRPr="00514F8A">
              <w:rPr>
                <w:rStyle w:val="MaviChar"/>
              </w:rPr>
              <w:t>iflas</w:t>
            </w:r>
            <w:r w:rsidR="000B08CB" w:rsidRPr="00A23740">
              <w:rPr>
                <w:b/>
                <w:color w:val="0000FF"/>
                <w:szCs w:val="24"/>
              </w:rPr>
              <w:t xml:space="preserve"> </w:t>
            </w:r>
            <w:r w:rsidRPr="00A23740">
              <w:rPr>
                <w:b/>
                <w:color w:val="0000FF"/>
                <w:szCs w:val="24"/>
              </w:rPr>
              <w:t>ödeme emri düzenle</w:t>
            </w:r>
            <w:r w:rsidRPr="00A23740">
              <w:rPr>
                <w:rStyle w:val="MaviChar"/>
              </w:rPr>
              <w:t>ni</w:t>
            </w:r>
            <w:r w:rsidRPr="00A23740">
              <w:rPr>
                <w:b/>
                <w:color w:val="0000FF"/>
                <w:szCs w:val="24"/>
              </w:rPr>
              <w:t>r. Talebin kabul edilmemesi h</w:t>
            </w:r>
            <w:r w:rsidR="0057001B" w:rsidRPr="00A23740">
              <w:rPr>
                <w:b/>
                <w:color w:val="0000FF"/>
                <w:szCs w:val="24"/>
              </w:rPr>
              <w:t>â</w:t>
            </w:r>
            <w:r w:rsidRPr="00A23740">
              <w:rPr>
                <w:b/>
                <w:color w:val="0000FF"/>
                <w:szCs w:val="24"/>
              </w:rPr>
              <w:t>linde verilen karar tutanağa yazılır ve derh</w:t>
            </w:r>
            <w:r w:rsidR="00DF22A1" w:rsidRPr="00A23740">
              <w:rPr>
                <w:b/>
                <w:color w:val="0000FF"/>
                <w:szCs w:val="24"/>
              </w:rPr>
              <w:t>â</w:t>
            </w:r>
            <w:r w:rsidRPr="00A23740">
              <w:rPr>
                <w:b/>
                <w:color w:val="0000FF"/>
                <w:szCs w:val="24"/>
              </w:rPr>
              <w:t xml:space="preserve">l alacaklıya tebliğ edilir. </w:t>
            </w:r>
            <w:r w:rsidRPr="00A23740">
              <w:rPr>
                <w:rFonts w:eastAsia="Times New Roman"/>
                <w:b/>
                <w:bCs/>
                <w:color w:val="0000FF"/>
                <w:szCs w:val="24"/>
                <w:lang w:eastAsia="tr-TR"/>
              </w:rPr>
              <w:t xml:space="preserve">İcra </w:t>
            </w:r>
            <w:r w:rsidRPr="00A23740">
              <w:rPr>
                <w:rStyle w:val="MaviChar"/>
              </w:rPr>
              <w:t>ve iflas dairesi</w:t>
            </w:r>
            <w:r w:rsidRPr="00A23740">
              <w:rPr>
                <w:b/>
                <w:color w:val="0000FF"/>
                <w:szCs w:val="24"/>
              </w:rPr>
              <w:t xml:space="preserve"> </w:t>
            </w:r>
            <w:r w:rsidRPr="00A23740">
              <w:rPr>
                <w:rFonts w:eastAsia="Times New Roman"/>
                <w:b/>
                <w:bCs/>
                <w:color w:val="0000FF"/>
                <w:szCs w:val="24"/>
                <w:lang w:eastAsia="tr-TR"/>
              </w:rPr>
              <w:t>müdürü bu işlemleri</w:t>
            </w:r>
            <w:r w:rsidR="00A83258" w:rsidRPr="00A23740">
              <w:rPr>
                <w:rFonts w:eastAsia="Times New Roman"/>
                <w:b/>
                <w:bCs/>
                <w:color w:val="0000FF"/>
                <w:szCs w:val="24"/>
                <w:lang w:eastAsia="tr-TR"/>
              </w:rPr>
              <w:t xml:space="preserve"> </w:t>
            </w:r>
            <w:r w:rsidR="00A83258" w:rsidRPr="00514F8A">
              <w:rPr>
                <w:rStyle w:val="MaviChar"/>
              </w:rPr>
              <w:t>takip talebi tarihinden itibaren</w:t>
            </w:r>
            <w:r w:rsidRPr="00A23740">
              <w:rPr>
                <w:rFonts w:eastAsia="Times New Roman"/>
                <w:b/>
                <w:bCs/>
                <w:color w:val="0000FF"/>
                <w:szCs w:val="24"/>
                <w:lang w:eastAsia="tr-TR"/>
              </w:rPr>
              <w:t xml:space="preserve"> en geç üç gün içinde yerine getirir.</w:t>
            </w:r>
          </w:p>
          <w:p w:rsidR="00AA5C8C" w:rsidRPr="00A23740" w:rsidRDefault="00AA5C8C" w:rsidP="009431FF">
            <w:pPr>
              <w:pStyle w:val="Stil1"/>
              <w:rPr>
                <w:strike/>
                <w:u w:val="none"/>
                <w:lang w:val="tr-TR"/>
              </w:rPr>
            </w:pPr>
          </w:p>
          <w:p w:rsidR="00AA5C8C" w:rsidRPr="00A23740" w:rsidRDefault="00AA5C8C" w:rsidP="009431FF">
            <w:pPr>
              <w:tabs>
                <w:tab w:val="left" w:pos="567"/>
              </w:tabs>
              <w:rPr>
                <w:b/>
                <w:color w:val="0000FF"/>
                <w:szCs w:val="24"/>
              </w:rPr>
            </w:pPr>
            <w:r w:rsidRPr="00A23740">
              <w:rPr>
                <w:b/>
                <w:color w:val="0000FF"/>
                <w:szCs w:val="24"/>
              </w:rPr>
              <w:t xml:space="preserve">(2) </w:t>
            </w:r>
            <w:r w:rsidR="000B08CB" w:rsidRPr="00514F8A">
              <w:rPr>
                <w:rStyle w:val="MaviChar"/>
              </w:rPr>
              <w:t>İflas</w:t>
            </w:r>
            <w:r w:rsidR="000B08CB" w:rsidRPr="00A23740">
              <w:rPr>
                <w:b/>
                <w:color w:val="0000FF"/>
                <w:szCs w:val="24"/>
              </w:rPr>
              <w:t xml:space="preserve"> ödeme </w:t>
            </w:r>
            <w:r w:rsidRPr="00A23740">
              <w:rPr>
                <w:b/>
                <w:color w:val="0000FF"/>
                <w:szCs w:val="24"/>
              </w:rPr>
              <w:t>emrinde 88 inci</w:t>
            </w:r>
            <w:r w:rsidRPr="00A23740">
              <w:rPr>
                <w:rStyle w:val="KIRMIZIChar"/>
                <w:rFonts w:eastAsia="Calibri"/>
                <w:strike w:val="0"/>
              </w:rPr>
              <w:t xml:space="preserve"> </w:t>
            </w:r>
            <w:r w:rsidRPr="00A23740">
              <w:rPr>
                <w:b/>
                <w:color w:val="0000FF"/>
                <w:szCs w:val="24"/>
              </w:rPr>
              <w:t>maddenin</w:t>
            </w:r>
            <w:r w:rsidR="00245E98" w:rsidRPr="00A23740">
              <w:rPr>
                <w:b/>
                <w:color w:val="0000FF"/>
                <w:szCs w:val="24"/>
              </w:rPr>
              <w:t xml:space="preserve"> </w:t>
            </w:r>
            <w:r w:rsidR="00245E98" w:rsidRPr="00514F8A">
              <w:rPr>
                <w:rStyle w:val="MaviChar"/>
              </w:rPr>
              <w:t>birinci</w:t>
            </w:r>
            <w:r w:rsidRPr="00A23740">
              <w:rPr>
                <w:b/>
                <w:color w:val="0000FF"/>
                <w:szCs w:val="24"/>
              </w:rPr>
              <w:t xml:space="preserve"> fıkrasının (ç),</w:t>
            </w:r>
            <w:r w:rsidR="004D2098" w:rsidRPr="00A23740">
              <w:rPr>
                <w:b/>
                <w:color w:val="0000FF"/>
                <w:szCs w:val="24"/>
              </w:rPr>
              <w:t xml:space="preserve"> </w:t>
            </w:r>
            <w:r w:rsidR="004D2098" w:rsidRPr="00514F8A">
              <w:rPr>
                <w:rStyle w:val="MaviChar"/>
              </w:rPr>
              <w:t>(g),</w:t>
            </w:r>
            <w:r w:rsidRPr="00A23740">
              <w:rPr>
                <w:b/>
                <w:color w:val="0000FF"/>
                <w:szCs w:val="24"/>
              </w:rPr>
              <w:t xml:space="preserve"> (h) ve (ı) bendi hariç diğer bentleri ile aşağıda yer alan hususlar bulunur:</w:t>
            </w:r>
          </w:p>
          <w:p w:rsidR="001A031C" w:rsidRPr="00A23740" w:rsidRDefault="001A031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a) Borçlunun iflasa tabi şahıslardan </w:t>
            </w:r>
            <w:r w:rsidRPr="00A23740">
              <w:rPr>
                <w:rStyle w:val="MaviChar"/>
              </w:rPr>
              <w:t>olmadığına</w:t>
            </w:r>
            <w:r w:rsidRPr="00A23740">
              <w:rPr>
                <w:b/>
                <w:color w:val="0000FF"/>
                <w:szCs w:val="24"/>
              </w:rPr>
              <w:t xml:space="preserve"> dair itirazı varsa bunu iki hafta içinde bir dilekçe ile icra </w:t>
            </w:r>
            <w:r w:rsidRPr="00A23740">
              <w:rPr>
                <w:rStyle w:val="MaviChar"/>
              </w:rPr>
              <w:t>ve iflas</w:t>
            </w:r>
            <w:r w:rsidRPr="00A23740">
              <w:rPr>
                <w:b/>
                <w:color w:val="0000FF"/>
                <w:szCs w:val="24"/>
              </w:rPr>
              <w:t xml:space="preserve"> dairesine bildirmesi </w:t>
            </w:r>
            <w:r w:rsidRPr="00A23740">
              <w:rPr>
                <w:rStyle w:val="MaviChar"/>
              </w:rPr>
              <w:t>gerektiği.</w:t>
            </w:r>
            <w:r w:rsidRPr="00A23740">
              <w:rPr>
                <w:b/>
                <w:color w:val="0000FF"/>
                <w:szCs w:val="24"/>
              </w:rPr>
              <w:t xml:space="preserve"> </w:t>
            </w:r>
          </w:p>
          <w:p w:rsidR="001A031C" w:rsidRPr="00A23740" w:rsidRDefault="001A031C" w:rsidP="009431FF">
            <w:pPr>
              <w:tabs>
                <w:tab w:val="left" w:pos="567"/>
              </w:tabs>
              <w:rPr>
                <w:b/>
                <w:color w:val="0000FF"/>
                <w:szCs w:val="24"/>
              </w:rPr>
            </w:pPr>
          </w:p>
          <w:p w:rsidR="00AA5C8C" w:rsidRPr="00A23740" w:rsidRDefault="004D2098" w:rsidP="009431FF">
            <w:pPr>
              <w:pStyle w:val="YEL"/>
              <w:rPr>
                <w:lang w:val="tr-TR"/>
              </w:rPr>
            </w:pPr>
            <w:r w:rsidRPr="00514F8A">
              <w:rPr>
                <w:rStyle w:val="MaviChar"/>
                <w:b/>
              </w:rPr>
              <w:t>b) Borçlunun, varsa şik</w:t>
            </w:r>
            <w:r w:rsidR="00D00FC3" w:rsidRPr="00514F8A">
              <w:rPr>
                <w:rStyle w:val="MaviChar"/>
                <w:b/>
              </w:rPr>
              <w:t>â</w:t>
            </w:r>
            <w:r w:rsidRPr="00514F8A">
              <w:rPr>
                <w:rStyle w:val="MaviChar"/>
                <w:b/>
              </w:rPr>
              <w:t>yetlerini 22</w:t>
            </w:r>
            <w:r w:rsidR="00245E98" w:rsidRPr="00A23740">
              <w:rPr>
                <w:lang w:val="tr-TR"/>
              </w:rPr>
              <w:t xml:space="preserve"> </w:t>
            </w:r>
            <w:r w:rsidRPr="00514F8A">
              <w:rPr>
                <w:rStyle w:val="MaviChar"/>
                <w:b/>
              </w:rPr>
              <w:t>ve devamı maddeler uyarınca iflas mahkemesine yapabileceği.</w:t>
            </w:r>
          </w:p>
          <w:p w:rsidR="001A031C" w:rsidRPr="00A23740" w:rsidRDefault="001A031C" w:rsidP="009431FF">
            <w:pPr>
              <w:pStyle w:val="YEL"/>
              <w:rPr>
                <w:lang w:val="tr-TR"/>
              </w:rPr>
            </w:pPr>
          </w:p>
          <w:p w:rsidR="00AA5C8C" w:rsidRPr="00A23740" w:rsidRDefault="004D2098" w:rsidP="009431FF">
            <w:pPr>
              <w:tabs>
                <w:tab w:val="left" w:pos="567"/>
              </w:tabs>
              <w:rPr>
                <w:b/>
                <w:color w:val="0000FF"/>
                <w:szCs w:val="24"/>
              </w:rPr>
            </w:pPr>
            <w:r w:rsidRPr="00514F8A">
              <w:rPr>
                <w:rStyle w:val="Balk1Char"/>
                <w:rFonts w:eastAsia="ヒラギノ明朝 Pro W3"/>
              </w:rPr>
              <w:t>c)</w:t>
            </w:r>
            <w:r w:rsidR="00AA5C8C" w:rsidRPr="00A23740">
              <w:rPr>
                <w:b/>
                <w:color w:val="0000FF"/>
                <w:szCs w:val="24"/>
              </w:rPr>
              <w:t xml:space="preserve"> Süresinde borç ödenmediği takdirde alacaklının iflas mahkemesinden borçlunun iflasını isteyebileceği.</w:t>
            </w:r>
          </w:p>
          <w:p w:rsidR="001A031C" w:rsidRPr="00A23740" w:rsidRDefault="001A031C" w:rsidP="009431FF">
            <w:pPr>
              <w:tabs>
                <w:tab w:val="left" w:pos="567"/>
              </w:tabs>
              <w:rPr>
                <w:b/>
                <w:color w:val="0000FF"/>
                <w:szCs w:val="24"/>
              </w:rPr>
            </w:pPr>
          </w:p>
          <w:p w:rsidR="00AA5C8C" w:rsidRPr="00A23740" w:rsidRDefault="004D2098" w:rsidP="009431FF">
            <w:pPr>
              <w:tabs>
                <w:tab w:val="left" w:pos="567"/>
              </w:tabs>
              <w:rPr>
                <w:b/>
                <w:color w:val="0000FF"/>
                <w:szCs w:val="24"/>
              </w:rPr>
            </w:pPr>
            <w:r w:rsidRPr="00514F8A">
              <w:rPr>
                <w:rStyle w:val="MaviChar"/>
              </w:rPr>
              <w:t>ç)</w:t>
            </w:r>
            <w:r w:rsidR="00AA5C8C" w:rsidRPr="00A23740">
              <w:rPr>
                <w:b/>
                <w:color w:val="0000FF"/>
                <w:szCs w:val="24"/>
              </w:rPr>
              <w:t xml:space="preserve"> Borçlunun konkordato </w:t>
            </w:r>
            <w:r w:rsidR="00A83258" w:rsidRPr="00514F8A">
              <w:rPr>
                <w:rStyle w:val="MaviChar"/>
              </w:rPr>
              <w:t>talep</w:t>
            </w:r>
            <w:r w:rsidR="00AA5C8C" w:rsidRPr="00A23740">
              <w:rPr>
                <w:b/>
                <w:color w:val="0000FF"/>
                <w:szCs w:val="24"/>
              </w:rPr>
              <w:t xml:space="preserve"> edebileceği.</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(3) </w:t>
            </w:r>
            <w:r w:rsidR="001512B8" w:rsidRPr="00514F8A">
              <w:rPr>
                <w:rStyle w:val="MaviChar"/>
              </w:rPr>
              <w:t>Haciz yoluyla takipteki ödeme emrinin düzenlenmesi hakkındaki 89 uncu madde</w:t>
            </w:r>
            <w:r w:rsidR="005C2C1E">
              <w:rPr>
                <w:b/>
                <w:color w:val="0000FF"/>
                <w:szCs w:val="24"/>
              </w:rPr>
              <w:t xml:space="preserve"> </w:t>
            </w:r>
            <w:r w:rsidRPr="00A23740">
              <w:rPr>
                <w:b/>
                <w:color w:val="0000FF"/>
                <w:szCs w:val="24"/>
              </w:rPr>
              <w:t>burada da uygulanır.</w:t>
            </w:r>
          </w:p>
          <w:p w:rsidR="00AA5C8C" w:rsidRPr="00A23740" w:rsidRDefault="00AA5C8C" w:rsidP="009431FF">
            <w:pPr>
              <w:tabs>
                <w:tab w:val="left" w:pos="567"/>
              </w:tabs>
              <w:rPr>
                <w:b/>
                <w:color w:val="0000FF"/>
                <w:szCs w:val="24"/>
              </w:rPr>
            </w:pPr>
          </w:p>
        </w:tc>
      </w:tr>
      <w:tr w:rsidR="00F608B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6138F" w:rsidRPr="00A23740" w:rsidRDefault="00A6138F" w:rsidP="009431FF">
            <w:pPr>
              <w:tabs>
                <w:tab w:val="left" w:pos="567"/>
              </w:tabs>
              <w:rPr>
                <w:rFonts w:eastAsia="Times New Roman"/>
                <w:b/>
                <w:bCs/>
                <w:lang w:eastAsia="tr-TR"/>
              </w:rPr>
            </w:pPr>
          </w:p>
          <w:p w:rsidR="00A6138F" w:rsidRPr="00A23740" w:rsidRDefault="00A6138F" w:rsidP="009431FF">
            <w:pPr>
              <w:tabs>
                <w:tab w:val="left" w:pos="567"/>
              </w:tabs>
              <w:ind w:firstLine="709"/>
              <w:rPr>
                <w:szCs w:val="24"/>
              </w:rPr>
            </w:pPr>
            <w:r w:rsidRPr="00A23740">
              <w:rPr>
                <w:rFonts w:eastAsia="Times New Roman"/>
                <w:b/>
                <w:bCs/>
                <w:lang w:eastAsia="tr-TR"/>
              </w:rPr>
              <w:t>MADDE 270-</w:t>
            </w:r>
            <w:r w:rsidRPr="00A23740">
              <w:rPr>
                <w:rFonts w:eastAsia="Times New Roman"/>
                <w:bCs/>
                <w:lang w:eastAsia="tr-TR"/>
              </w:rPr>
              <w:t xml:space="preserve"> Maddeyle, iflas yoluyla takipte </w:t>
            </w:r>
            <w:r w:rsidRPr="00A23740">
              <w:rPr>
                <w:szCs w:val="24"/>
              </w:rPr>
              <w:t>ödeme emri ve</w:t>
            </w:r>
            <w:r w:rsidRPr="00A23740">
              <w:rPr>
                <w:color w:val="0000FF"/>
                <w:szCs w:val="24"/>
              </w:rPr>
              <w:t xml:space="preserve"> </w:t>
            </w:r>
            <w:r w:rsidRPr="00A23740">
              <w:rPr>
                <w:rFonts w:eastAsia="Times New Roman"/>
                <w:bCs/>
                <w:lang w:eastAsia="tr-TR"/>
              </w:rPr>
              <w:t xml:space="preserve">içeriğine ilişkin hususlar düzenlenmektedir. Hüküm, 2004 sayılı Kanunun 155 inci maddesine karşılık gelmektedir. </w:t>
            </w:r>
          </w:p>
          <w:p w:rsidR="00A6138F" w:rsidRPr="00A23740" w:rsidRDefault="00A6138F" w:rsidP="009431FF">
            <w:pPr>
              <w:tabs>
                <w:tab w:val="left" w:pos="567"/>
              </w:tabs>
              <w:ind w:firstLine="709"/>
              <w:rPr>
                <w:szCs w:val="24"/>
              </w:rPr>
            </w:pPr>
            <w:r w:rsidRPr="00A23740">
              <w:rPr>
                <w:szCs w:val="24"/>
              </w:rPr>
              <w:t xml:space="preserve">İflas yoluyla takipler bakımından 2004 sayılı Kanun yönünden geçerli </w:t>
            </w:r>
            <w:r w:rsidR="0028574A" w:rsidRPr="00A23740">
              <w:rPr>
                <w:szCs w:val="24"/>
              </w:rPr>
              <w:t xml:space="preserve">olan </w:t>
            </w:r>
            <w:r w:rsidRPr="00A23740">
              <w:rPr>
                <w:szCs w:val="24"/>
              </w:rPr>
              <w:t xml:space="preserve">ikili ayrım, Taslak içinde teke düşürülmüş; iflas yoluyla tek bir takip türü düzenlenmiş, yapılan sadeleştirmeyle birlikte farklılıkların getirdiği karmaşanın önüne geçilmeye çalışılmıştır. </w:t>
            </w:r>
          </w:p>
          <w:p w:rsidR="00A6138F" w:rsidRPr="00A23740" w:rsidRDefault="00A6138F" w:rsidP="009431FF">
            <w:pPr>
              <w:tabs>
                <w:tab w:val="left" w:pos="567"/>
              </w:tabs>
              <w:ind w:firstLine="709"/>
              <w:rPr>
                <w:szCs w:val="24"/>
              </w:rPr>
            </w:pPr>
            <w:r w:rsidRPr="00A23740">
              <w:rPr>
                <w:szCs w:val="24"/>
              </w:rPr>
              <w:t>Bu h</w:t>
            </w:r>
            <w:r w:rsidR="008D7868" w:rsidRPr="00A23740">
              <w:rPr>
                <w:szCs w:val="24"/>
              </w:rPr>
              <w:t>â</w:t>
            </w:r>
            <w:r w:rsidRPr="00A23740">
              <w:rPr>
                <w:szCs w:val="24"/>
              </w:rPr>
              <w:t xml:space="preserve">lde, takip talebi üzerine para alacağının dayanağı, her ne olursa olsun tek bir türdeki ödeme emri düzenlenecektir.  </w:t>
            </w:r>
          </w:p>
          <w:p w:rsidR="00A6138F" w:rsidRPr="00A23740" w:rsidRDefault="00A6138F" w:rsidP="009431FF">
            <w:pPr>
              <w:tabs>
                <w:tab w:val="left" w:pos="567"/>
              </w:tabs>
              <w:ind w:firstLine="709"/>
              <w:rPr>
                <w:szCs w:val="24"/>
              </w:rPr>
            </w:pPr>
            <w:r w:rsidRPr="00A23740">
              <w:rPr>
                <w:szCs w:val="24"/>
              </w:rPr>
              <w:t>Takip talebi, Taslağın 87 nci</w:t>
            </w:r>
            <w:r w:rsidR="005735D7" w:rsidRPr="00A23740">
              <w:rPr>
                <w:szCs w:val="24"/>
              </w:rPr>
              <w:t xml:space="preserve"> </w:t>
            </w:r>
            <w:r w:rsidRPr="00A23740">
              <w:rPr>
                <w:szCs w:val="24"/>
              </w:rPr>
              <w:t>maddesinde düzenlen</w:t>
            </w:r>
            <w:r w:rsidR="00C828EC" w:rsidRPr="00A23740">
              <w:rPr>
                <w:szCs w:val="24"/>
              </w:rPr>
              <w:t>miş olup</w:t>
            </w:r>
            <w:r w:rsidR="0028574A" w:rsidRPr="00A23740">
              <w:rPr>
                <w:szCs w:val="24"/>
              </w:rPr>
              <w:t>,</w:t>
            </w:r>
            <w:r w:rsidRPr="00A23740">
              <w:rPr>
                <w:szCs w:val="24"/>
              </w:rPr>
              <w:t xml:space="preserve"> tüm takip türleri için ortaktır. Hazırlanan takip talebinin icra ve iflas dairesince kabulü üzerine iflas yoluyla takip türüne özgü ödeme </w:t>
            </w:r>
            <w:r w:rsidR="0028574A" w:rsidRPr="00A23740">
              <w:rPr>
                <w:szCs w:val="24"/>
              </w:rPr>
              <w:t xml:space="preserve">emri </w:t>
            </w:r>
            <w:r w:rsidRPr="00A23740">
              <w:rPr>
                <w:szCs w:val="24"/>
              </w:rPr>
              <w:t>hazırlanır ve tebliğ edilir. Talebin kabul edilmemesi h</w:t>
            </w:r>
            <w:r w:rsidR="008D7868" w:rsidRPr="00A23740">
              <w:rPr>
                <w:szCs w:val="24"/>
              </w:rPr>
              <w:t>â</w:t>
            </w:r>
            <w:r w:rsidRPr="00A23740">
              <w:rPr>
                <w:szCs w:val="24"/>
              </w:rPr>
              <w:t>linde</w:t>
            </w:r>
            <w:r w:rsidR="0028574A" w:rsidRPr="00A23740">
              <w:rPr>
                <w:szCs w:val="24"/>
              </w:rPr>
              <w:t>,</w:t>
            </w:r>
            <w:r w:rsidRPr="00A23740">
              <w:rPr>
                <w:szCs w:val="24"/>
              </w:rPr>
              <w:t xml:space="preserve"> yapılacak olanlar, yine tüm tüp takip türleri için ortak olarak düzenlenmiştir.</w:t>
            </w:r>
          </w:p>
          <w:p w:rsidR="00A6138F" w:rsidRPr="00A23740" w:rsidRDefault="00A6138F" w:rsidP="009431FF">
            <w:pPr>
              <w:tabs>
                <w:tab w:val="left" w:pos="567"/>
              </w:tabs>
              <w:ind w:firstLine="709"/>
              <w:rPr>
                <w:szCs w:val="24"/>
              </w:rPr>
            </w:pPr>
            <w:r w:rsidRPr="00A23740">
              <w:rPr>
                <w:szCs w:val="24"/>
              </w:rPr>
              <w:t xml:space="preserve">İkinci fıkrayla ödeme emrinin içeriği hakkında da </w:t>
            </w:r>
            <w:r w:rsidRPr="00D60C1D">
              <w:rPr>
                <w:rStyle w:val="YELChar"/>
                <w:rFonts w:eastAsia="Calibri"/>
                <w:b w:val="0"/>
                <w:color w:val="000000"/>
              </w:rPr>
              <w:t>Taslağın</w:t>
            </w:r>
            <w:r w:rsidRPr="00A23740">
              <w:rPr>
                <w:szCs w:val="24"/>
              </w:rPr>
              <w:t xml:space="preserve"> 88 inci</w:t>
            </w:r>
            <w:r w:rsidR="005735D7" w:rsidRPr="00A23740">
              <w:rPr>
                <w:szCs w:val="24"/>
              </w:rPr>
              <w:t xml:space="preserve"> </w:t>
            </w:r>
            <w:r w:rsidRPr="00A23740">
              <w:rPr>
                <w:szCs w:val="24"/>
              </w:rPr>
              <w:t xml:space="preserve">maddesine gönderme yapılmış; seçilen takip türü yönünden oradan nakli gerekmeyecek bentler dışında, bu kez iflas yoluyla takibe özgü, özel hükümlerin sayılması yeterli görülmüştür. </w:t>
            </w:r>
          </w:p>
          <w:p w:rsidR="00A6138F" w:rsidRPr="00A23740" w:rsidRDefault="00A6138F" w:rsidP="0016377F">
            <w:pPr>
              <w:tabs>
                <w:tab w:val="left" w:pos="567"/>
              </w:tabs>
              <w:ind w:firstLine="709"/>
              <w:rPr>
                <w:rFonts w:eastAsia="Times New Roman"/>
                <w:b/>
                <w:bCs/>
                <w:szCs w:val="24"/>
                <w:lang w:eastAsia="tr-TR"/>
              </w:rPr>
            </w:pPr>
            <w:r w:rsidRPr="00A23740">
              <w:rPr>
                <w:szCs w:val="24"/>
              </w:rPr>
              <w:t xml:space="preserve">Üçüncü fıkrayla Taslağın bu kez 89 uncu maddesine gönderme yapılmış ve ödeme emrinin düzenlenmesine ilişkin ana ilkeler burası için de aynen benimsenmiştir. </w:t>
            </w:r>
          </w:p>
          <w:p w:rsidR="007B1855" w:rsidRPr="00A23740" w:rsidRDefault="007B1855" w:rsidP="0016377F">
            <w:pPr>
              <w:tabs>
                <w:tab w:val="left" w:pos="567"/>
              </w:tabs>
              <w:ind w:firstLine="709"/>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vAlign w:val="center"/>
          </w:tcPr>
          <w:p w:rsidR="00AA5C8C" w:rsidRPr="00A23740" w:rsidRDefault="00AA5C8C" w:rsidP="009431FF">
            <w:pPr>
              <w:tabs>
                <w:tab w:val="left" w:pos="567"/>
              </w:tabs>
              <w:rPr>
                <w:b/>
                <w:color w:val="0000FF"/>
                <w:szCs w:val="24"/>
              </w:rPr>
            </w:pPr>
          </w:p>
        </w:tc>
        <w:tc>
          <w:tcPr>
            <w:tcW w:w="2500" w:type="pct"/>
          </w:tcPr>
          <w:p w:rsidR="00D43EA3" w:rsidRPr="00A23740" w:rsidRDefault="000B08CB" w:rsidP="009431FF">
            <w:pPr>
              <w:pStyle w:val="Mavi"/>
              <w:rPr>
                <w:rStyle w:val="MaviChar"/>
                <w:b/>
                <w:bCs/>
                <w:strike/>
              </w:rPr>
            </w:pPr>
            <w:r w:rsidRPr="00514F8A">
              <w:t>İflas</w:t>
            </w:r>
            <w:r w:rsidRPr="00A23740">
              <w:rPr>
                <w:color w:val="auto"/>
                <w:lang w:val="tr-TR"/>
              </w:rPr>
              <w:t xml:space="preserve"> </w:t>
            </w:r>
            <w:r w:rsidRPr="00A23740">
              <w:rPr>
                <w:color w:val="auto"/>
              </w:rPr>
              <w:t xml:space="preserve">ödeme </w:t>
            </w:r>
            <w:r w:rsidR="00D43EA3" w:rsidRPr="00A23740">
              <w:rPr>
                <w:color w:val="auto"/>
              </w:rPr>
              <w:t>emrinin tebliği</w:t>
            </w:r>
            <w:r w:rsidR="00D43EA3" w:rsidRPr="00A23740">
              <w:t xml:space="preserve"> ve itiraz üzerine yapılacak işlemler</w:t>
            </w:r>
          </w:p>
          <w:p w:rsidR="00D43EA3" w:rsidRPr="00A23740" w:rsidRDefault="0070036A" w:rsidP="009431FF">
            <w:pPr>
              <w:pStyle w:val="YEL"/>
              <w:rPr>
                <w:lang w:val="tr-TR"/>
              </w:rPr>
            </w:pPr>
            <w:r w:rsidRPr="00514F8A">
              <w:rPr>
                <w:rStyle w:val="Balk1Char"/>
                <w:rFonts w:eastAsia="ヒラギノ明朝 Pro W3"/>
                <w:b/>
              </w:rPr>
              <w:t xml:space="preserve">MADDE </w:t>
            </w:r>
            <w:r w:rsidR="00D43EA3" w:rsidRPr="00514F8A">
              <w:rPr>
                <w:rStyle w:val="Balk1Char"/>
                <w:rFonts w:eastAsia="ヒラギノ明朝 Pro W3"/>
                <w:b/>
              </w:rPr>
              <w:t xml:space="preserve">271- (1) </w:t>
            </w:r>
            <w:r w:rsidR="000B08CB" w:rsidRPr="00514F8A">
              <w:rPr>
                <w:rStyle w:val="Balk1Char"/>
                <w:rFonts w:eastAsia="ヒラギノ明朝 Pro W3"/>
                <w:b/>
              </w:rPr>
              <w:t xml:space="preserve">İflas ödeme </w:t>
            </w:r>
            <w:r w:rsidR="00D43EA3" w:rsidRPr="00514F8A">
              <w:rPr>
                <w:rStyle w:val="Balk1Char"/>
                <w:rFonts w:eastAsia="ヒラギノ明朝 Pro W3"/>
                <w:b/>
              </w:rPr>
              <w:t>emrinin borçluya ve varsa müşterek borçlulara tebliği hakkında 90 ıncı</w:t>
            </w:r>
            <w:r w:rsidR="003E0836" w:rsidRPr="00A23740">
              <w:rPr>
                <w:lang w:val="tr-TR"/>
              </w:rPr>
              <w:t xml:space="preserve"> </w:t>
            </w:r>
            <w:r w:rsidR="00D43EA3" w:rsidRPr="00514F8A">
              <w:rPr>
                <w:rStyle w:val="Balk1Char"/>
                <w:rFonts w:eastAsia="ヒラギノ明朝 Pro W3"/>
                <w:b/>
              </w:rPr>
              <w:t>madde ve itiraz üzerine yapılacak işlemler hakkındaki 93 üncü</w:t>
            </w:r>
            <w:r w:rsidR="003E0836" w:rsidRPr="00A23740">
              <w:rPr>
                <w:color w:val="auto"/>
                <w:lang w:val="tr-TR"/>
              </w:rPr>
              <w:t xml:space="preserve"> </w:t>
            </w:r>
            <w:r w:rsidR="00D43EA3" w:rsidRPr="00514F8A">
              <w:rPr>
                <w:rStyle w:val="Balk1Char"/>
                <w:rFonts w:eastAsia="ヒラギノ明朝 Pro W3"/>
                <w:b/>
              </w:rPr>
              <w:t>madde hükümleri, niteliğine uygun düştüğü ölçüde uygulanır.</w:t>
            </w:r>
          </w:p>
          <w:p w:rsidR="00D43EA3" w:rsidRPr="00A23740" w:rsidRDefault="00D43EA3" w:rsidP="009431FF">
            <w:pPr>
              <w:pStyle w:val="Mavi"/>
              <w:rPr>
                <w:lang w:val="tr-TR"/>
              </w:rPr>
            </w:pPr>
          </w:p>
        </w:tc>
      </w:tr>
      <w:tr w:rsidR="00F608B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7B1855" w:rsidRPr="00A23740" w:rsidRDefault="007B1855" w:rsidP="009431FF">
            <w:pPr>
              <w:pStyle w:val="KIRMIZI"/>
            </w:pPr>
            <w:r w:rsidRPr="00A23740">
              <w:rPr>
                <w:strike w:val="0"/>
              </w:rPr>
              <w:tab/>
            </w:r>
          </w:p>
          <w:p w:rsidR="00895E33" w:rsidRPr="00D60C1D" w:rsidRDefault="007B1855" w:rsidP="009431FF">
            <w:pPr>
              <w:ind w:firstLine="709"/>
              <w:rPr>
                <w:bCs/>
                <w:color w:val="000000"/>
              </w:rPr>
            </w:pPr>
            <w:r w:rsidRPr="00D60C1D">
              <w:rPr>
                <w:b/>
                <w:bCs/>
                <w:color w:val="000000"/>
              </w:rPr>
              <w:t xml:space="preserve">MADDE </w:t>
            </w:r>
            <w:r w:rsidR="00006C3E" w:rsidRPr="00D60C1D">
              <w:rPr>
                <w:b/>
                <w:bCs/>
                <w:color w:val="000000"/>
              </w:rPr>
              <w:t>271-</w:t>
            </w:r>
            <w:r w:rsidR="00006C3E" w:rsidRPr="00D60C1D">
              <w:rPr>
                <w:bCs/>
                <w:color w:val="000000"/>
              </w:rPr>
              <w:t xml:space="preserve"> </w:t>
            </w:r>
            <w:r w:rsidR="00243D66" w:rsidRPr="00D60C1D">
              <w:rPr>
                <w:bCs/>
                <w:color w:val="000000"/>
              </w:rPr>
              <w:t xml:space="preserve">Maddeyle, iflas yoluyla takipte ödeme emrinin tebliği düzenlenmektedir. İflas yoluyla takip de özü itibariyle bir ilamsız takip yoludur ve bu yolda, haciz yoluyla ilamsız takipteki ödeme emrinin tebliği hakkında </w:t>
            </w:r>
            <w:r w:rsidR="00AC6659" w:rsidRPr="00D60C1D">
              <w:rPr>
                <w:bCs/>
                <w:color w:val="000000"/>
              </w:rPr>
              <w:t xml:space="preserve">geçerli </w:t>
            </w:r>
            <w:r w:rsidR="00243D66" w:rsidRPr="00D60C1D">
              <w:rPr>
                <w:bCs/>
                <w:color w:val="000000"/>
              </w:rPr>
              <w:t xml:space="preserve">olan esaslardan ayrılmayı gerektirecek önemli bir farklılık bulunmamaktadır. Bu sebeple maddede, haciz yoluyla takipteki ödeme emrinin tebliğini düzenleyen 90 ıncı maddeye atıf yapılmakla </w:t>
            </w:r>
            <w:r w:rsidR="00761065" w:rsidRPr="00D60C1D">
              <w:rPr>
                <w:bCs/>
                <w:color w:val="000000"/>
              </w:rPr>
              <w:t>yetinilmiştir. Bununla birlikte</w:t>
            </w:r>
            <w:r w:rsidR="00243D66" w:rsidRPr="00D60C1D">
              <w:rPr>
                <w:bCs/>
                <w:color w:val="000000"/>
              </w:rPr>
              <w:t xml:space="preserve"> iflas takibi</w:t>
            </w:r>
            <w:r w:rsidR="00AC6659" w:rsidRPr="00D60C1D">
              <w:rPr>
                <w:bCs/>
                <w:color w:val="000000"/>
              </w:rPr>
              <w:t>yle</w:t>
            </w:r>
            <w:r w:rsidR="00243D66" w:rsidRPr="00D60C1D">
              <w:rPr>
                <w:bCs/>
                <w:color w:val="000000"/>
              </w:rPr>
              <w:t xml:space="preserve"> ilgili olarak öngörülemeyen farklı veya özel bir durumun gerçekleşebilmesi iht</w:t>
            </w:r>
            <w:r w:rsidR="00761065" w:rsidRPr="00D60C1D">
              <w:rPr>
                <w:bCs/>
                <w:color w:val="000000"/>
              </w:rPr>
              <w:t>imali göz önünde bulundurularak</w:t>
            </w:r>
            <w:r w:rsidR="00AC6659" w:rsidRPr="00D60C1D">
              <w:rPr>
                <w:bCs/>
                <w:color w:val="000000"/>
              </w:rPr>
              <w:t>,</w:t>
            </w:r>
            <w:r w:rsidR="00243D66" w:rsidRPr="00D60C1D">
              <w:rPr>
                <w:bCs/>
                <w:color w:val="000000"/>
              </w:rPr>
              <w:t xml:space="preserve"> 90 ıncı</w:t>
            </w:r>
            <w:r w:rsidR="0060562B" w:rsidRPr="00A23740">
              <w:rPr>
                <w:bCs/>
                <w:color w:val="0000FF"/>
              </w:rPr>
              <w:t xml:space="preserve"> </w:t>
            </w:r>
            <w:r w:rsidR="00243D66" w:rsidRPr="00D60C1D">
              <w:rPr>
                <w:bCs/>
                <w:color w:val="000000"/>
              </w:rPr>
              <w:t>madde hükümlerinin iflas takibinin niteliğine uygun düştüğü ölçüde uygulanacağı da maddede ifade edilmiştir. Maddedeki atıf sebebiyle, iflas takip talebini alan icra ve iflas dairesinin,</w:t>
            </w:r>
            <w:r w:rsidR="00761065" w:rsidRPr="00D60C1D">
              <w:rPr>
                <w:bCs/>
                <w:color w:val="000000"/>
              </w:rPr>
              <w:t xml:space="preserve"> ödeme emrini</w:t>
            </w:r>
            <w:r w:rsidR="00243D66" w:rsidRPr="00D60C1D">
              <w:rPr>
                <w:bCs/>
                <w:color w:val="000000"/>
              </w:rPr>
              <w:t xml:space="preserve"> takibin dayanağı olan belgelerin okunaklı ve onaylı bir örneğiyle birlikte takibin başlatılmasından itibaren en geç üç gün içinde borçluya ve varsa müşterek borçlulara tebliğe göndermesi gerekir. Ayrıca, 90 ıncı maddenin, borçlu hakkında birden çok takip talebinin verilmesi h</w:t>
            </w:r>
            <w:r w:rsidR="00761065" w:rsidRPr="00D60C1D">
              <w:rPr>
                <w:bCs/>
                <w:color w:val="000000"/>
              </w:rPr>
              <w:t>â</w:t>
            </w:r>
            <w:r w:rsidR="00243D66" w:rsidRPr="00D60C1D">
              <w:rPr>
                <w:bCs/>
                <w:color w:val="000000"/>
              </w:rPr>
              <w:t>linde uyulacak esasları düzenleyen üçüncü ve dördüncü fıkralarına, iflas yoluyla takipler bakımından da riayet edilmesi zorunludur.</w:t>
            </w:r>
          </w:p>
          <w:p w:rsidR="007B1855" w:rsidRPr="00A23740" w:rsidRDefault="00895E33" w:rsidP="009431FF">
            <w:pPr>
              <w:ind w:firstLine="709"/>
              <w:rPr>
                <w:b/>
              </w:rPr>
            </w:pPr>
            <w:r w:rsidRPr="00A23740">
              <w:t>Maddede ayrıca, itiraz üzerine yapılacak işlemler hakkındaki 93</w:t>
            </w:r>
            <w:r w:rsidR="0060562B" w:rsidRPr="00A23740">
              <w:t xml:space="preserve"> </w:t>
            </w:r>
            <w:r w:rsidRPr="00A23740">
              <w:t xml:space="preserve">üncü maddeye de atıf yapılmaktadır. Buna göre, iflas yoluyla takiplerde de itiraz, tutanağa bağlanarak takip dosyasına kaydedilecek ve itirazın bir örneği, alacaklının yatırmış olduğu gider avansından karşılanmak suretiyle üç gün içinde alacaklıya tebliğe çıkarılacaktır. Ayrıca, borçluya, itiraz </w:t>
            </w:r>
            <w:r w:rsidR="00AC6659" w:rsidRPr="00A23740">
              <w:t xml:space="preserve">ettiğini gösteren ve </w:t>
            </w:r>
            <w:r w:rsidRPr="00A23740">
              <w:t xml:space="preserve">itiraz tarihini de </w:t>
            </w:r>
            <w:r w:rsidR="00AC6659" w:rsidRPr="00A23740">
              <w:t>içeren</w:t>
            </w:r>
            <w:r w:rsidRPr="00A23740">
              <w:t xml:space="preserve"> bir belge </w:t>
            </w:r>
            <w:r w:rsidR="00DF22A1" w:rsidRPr="00A23740">
              <w:rPr>
                <w:szCs w:val="24"/>
              </w:rPr>
              <w:t xml:space="preserve">derhâl </w:t>
            </w:r>
            <w:r w:rsidRPr="00A23740">
              <w:t>verilecek ve bu belgenin bir nüshası da takip dosyasında muhafaza edilecektir. Buna mukabil, ödeme emrine itiraz olunmaz</w:t>
            </w:r>
            <w:r w:rsidR="00AC6659" w:rsidRPr="00A23740">
              <w:t>sa,</w:t>
            </w:r>
            <w:r w:rsidRPr="00A23740">
              <w:t xml:space="preserve"> talep h</w:t>
            </w:r>
            <w:r w:rsidR="008D7868" w:rsidRPr="00A23740">
              <w:t>â</w:t>
            </w:r>
            <w:r w:rsidRPr="00A23740">
              <w:t>linde bu durum tutanağa bağlanacak ve bunun bir nüshası da alacaklıya verilecektir.</w:t>
            </w:r>
          </w:p>
          <w:p w:rsidR="00895E33" w:rsidRPr="00A23740" w:rsidRDefault="00895E33" w:rsidP="0016377F">
            <w:pPr>
              <w:ind w:firstLine="709"/>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szCs w:val="24"/>
              </w:rPr>
            </w:pPr>
            <w:r w:rsidRPr="00A23740">
              <w:rPr>
                <w:szCs w:val="24"/>
              </w:rPr>
              <w:t xml:space="preserve">İflas talebi ve </w:t>
            </w:r>
            <w:r w:rsidRPr="00A23740">
              <w:rPr>
                <w:b/>
                <w:strike/>
                <w:color w:val="FF0000"/>
                <w:szCs w:val="24"/>
              </w:rPr>
              <w:t>müddeti:</w:t>
            </w:r>
          </w:p>
          <w:p w:rsidR="00AA5C8C" w:rsidRPr="00A23740" w:rsidRDefault="00AA5C8C" w:rsidP="009431FF">
            <w:pPr>
              <w:pStyle w:val="KIRMIZI"/>
              <w:widowControl w:val="0"/>
              <w:rPr>
                <w:lang w:val="tr-TR"/>
              </w:rPr>
            </w:pPr>
            <w:r w:rsidRPr="00A23740">
              <w:rPr>
                <w:lang w:val="tr-TR"/>
              </w:rPr>
              <w:t xml:space="preserve">Madde 156 – (1) (Değişik: 3/7/1940 - 3890/1 md.) </w:t>
            </w:r>
          </w:p>
          <w:p w:rsidR="00AA5C8C" w:rsidRPr="00A23740" w:rsidRDefault="00AA5C8C" w:rsidP="009431FF">
            <w:pPr>
              <w:widowControl w:val="0"/>
              <w:tabs>
                <w:tab w:val="left" w:pos="567"/>
              </w:tabs>
              <w:rPr>
                <w:szCs w:val="24"/>
              </w:rPr>
            </w:pPr>
            <w:r w:rsidRPr="005C2C1E">
              <w:rPr>
                <w:rStyle w:val="KIRMIZIChar"/>
                <w:rFonts w:eastAsia="Calibri"/>
              </w:rPr>
              <w:t>Ödeme emrin</w:t>
            </w:r>
            <w:r w:rsidRPr="00A23740">
              <w:rPr>
                <w:rStyle w:val="KIRMIZIChar"/>
                <w:rFonts w:eastAsia="Calibri"/>
              </w:rPr>
              <w:t>deki</w:t>
            </w:r>
            <w:r w:rsidRPr="00A23740">
              <w:rPr>
                <w:szCs w:val="24"/>
              </w:rPr>
              <w:t xml:space="preserve"> </w:t>
            </w:r>
            <w:r w:rsidRPr="00A23740">
              <w:rPr>
                <w:b/>
                <w:strike/>
                <w:color w:val="FF0000"/>
                <w:szCs w:val="24"/>
              </w:rPr>
              <w:t>müddet</w:t>
            </w:r>
            <w:r w:rsidRPr="00A23740">
              <w:rPr>
                <w:szCs w:val="24"/>
              </w:rPr>
              <w:t xml:space="preserve"> içinde borçlu tarafından itiraz </w:t>
            </w:r>
            <w:r w:rsidRPr="00A23740">
              <w:rPr>
                <w:rStyle w:val="KIRMIZIChar"/>
                <w:rFonts w:eastAsia="Calibri"/>
              </w:rPr>
              <w:t>olunmamışsa</w:t>
            </w:r>
            <w:r w:rsidRPr="00A23740">
              <w:rPr>
                <w:szCs w:val="24"/>
              </w:rPr>
              <w:t xml:space="preserve"> alacaklı </w:t>
            </w:r>
            <w:r w:rsidRPr="00A23740">
              <w:rPr>
                <w:b/>
                <w:strike/>
                <w:color w:val="FF0000"/>
                <w:szCs w:val="24"/>
              </w:rPr>
              <w:t>bir dilekçe ile Ticaret</w:t>
            </w:r>
            <w:r w:rsidRPr="00A23740">
              <w:rPr>
                <w:szCs w:val="24"/>
              </w:rPr>
              <w:t xml:space="preserve"> Mahkeme</w:t>
            </w:r>
            <w:r w:rsidRPr="00A23740">
              <w:rPr>
                <w:b/>
                <w:strike/>
                <w:color w:val="FF0000"/>
                <w:szCs w:val="24"/>
              </w:rPr>
              <w:t>sin</w:t>
            </w:r>
            <w:r w:rsidRPr="00A23740">
              <w:rPr>
                <w:szCs w:val="24"/>
              </w:rPr>
              <w:t>den iflas karar</w:t>
            </w:r>
            <w:r w:rsidRPr="00A23740">
              <w:rPr>
                <w:rStyle w:val="KIRMIZIChar"/>
                <w:rFonts w:eastAsia="Calibri"/>
              </w:rPr>
              <w:t>ı</w:t>
            </w:r>
            <w:r w:rsidRPr="00A23740">
              <w:rPr>
                <w:szCs w:val="24"/>
              </w:rPr>
              <w:t xml:space="preserve"> isteyebilir.</w:t>
            </w:r>
          </w:p>
          <w:p w:rsidR="00AA5C8C" w:rsidRPr="00A23740" w:rsidRDefault="00AA5C8C" w:rsidP="009431FF">
            <w:pPr>
              <w:widowControl w:val="0"/>
              <w:tabs>
                <w:tab w:val="left" w:pos="567"/>
              </w:tabs>
              <w:rPr>
                <w:b/>
                <w:strike/>
                <w:color w:val="FF0000"/>
                <w:szCs w:val="24"/>
              </w:rPr>
            </w:pPr>
            <w:r w:rsidRPr="00A23740">
              <w:rPr>
                <w:szCs w:val="24"/>
              </w:rPr>
              <w:t xml:space="preserve">Bu </w:t>
            </w:r>
            <w:r w:rsidRPr="00A23740">
              <w:rPr>
                <w:b/>
                <w:strike/>
                <w:color w:val="FF0000"/>
                <w:szCs w:val="24"/>
              </w:rPr>
              <w:t>dilekçeye</w:t>
            </w:r>
            <w:r w:rsidRPr="00A23740">
              <w:rPr>
                <w:szCs w:val="24"/>
              </w:rPr>
              <w:t xml:space="preserve"> borçlunun ödeme emrine itiraz </w:t>
            </w:r>
            <w:r w:rsidRPr="00A23740">
              <w:rPr>
                <w:b/>
                <w:strike/>
                <w:color w:val="FF0000"/>
                <w:szCs w:val="24"/>
              </w:rPr>
              <w:t>etmediğini mübeyyin</w:t>
            </w:r>
            <w:r w:rsidRPr="00A23740">
              <w:rPr>
                <w:szCs w:val="24"/>
              </w:rPr>
              <w:t xml:space="preserve"> ödeme emri nüshası</w:t>
            </w:r>
            <w:r w:rsidRPr="00A23740">
              <w:rPr>
                <w:b/>
                <w:strike/>
                <w:color w:val="FF0000"/>
                <w:szCs w:val="24"/>
              </w:rPr>
              <w:t>nın raptedilmesi lazımdır.</w:t>
            </w:r>
          </w:p>
          <w:p w:rsidR="00BB74D3" w:rsidRPr="00A23740" w:rsidRDefault="00BB74D3"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(2)</w:t>
            </w:r>
            <w:r w:rsidRPr="00A23740">
              <w:rPr>
                <w:szCs w:val="24"/>
              </w:rPr>
              <w:t xml:space="preserve"> Borçlu ödeme emrine itiraz </w:t>
            </w:r>
            <w:r w:rsidRPr="00A23740">
              <w:rPr>
                <w:b/>
                <w:strike/>
                <w:color w:val="FF0000"/>
                <w:szCs w:val="24"/>
              </w:rPr>
              <w:t>etmişse</w:t>
            </w:r>
            <w:r w:rsidRPr="00A23740">
              <w:rPr>
                <w:szCs w:val="24"/>
              </w:rPr>
              <w:t xml:space="preserve"> takip durur </w:t>
            </w:r>
            <w:r w:rsidRPr="00A23740">
              <w:rPr>
                <w:rStyle w:val="KIRMIZIChar"/>
                <w:rFonts w:eastAsia="Calibri"/>
              </w:rPr>
              <w:t>ve</w:t>
            </w:r>
            <w:r w:rsidRPr="00A23740">
              <w:rPr>
                <w:szCs w:val="24"/>
              </w:rPr>
              <w:t xml:space="preserve"> alacaklı bu itirazın </w:t>
            </w:r>
            <w:r w:rsidRPr="00A23740">
              <w:rPr>
                <w:b/>
                <w:strike/>
                <w:color w:val="FF0000"/>
                <w:szCs w:val="24"/>
              </w:rPr>
              <w:t>kaldırılması</w:t>
            </w:r>
            <w:r w:rsidRPr="00A23740">
              <w:rPr>
                <w:szCs w:val="24"/>
              </w:rPr>
              <w:t xml:space="preserve"> ile </w:t>
            </w:r>
            <w:r w:rsidRPr="00A23740">
              <w:rPr>
                <w:rStyle w:val="KIRMIZIChar"/>
                <w:rFonts w:eastAsia="Calibri"/>
              </w:rPr>
              <w:t>beraber</w:t>
            </w:r>
            <w:r w:rsidRPr="00A23740">
              <w:rPr>
                <w:szCs w:val="24"/>
              </w:rPr>
              <w:t xml:space="preserve"> borçlunun iflasına karar verilmesini </w:t>
            </w:r>
            <w:r w:rsidRPr="00A23740">
              <w:rPr>
                <w:b/>
                <w:strike/>
                <w:color w:val="FF0000"/>
                <w:szCs w:val="24"/>
              </w:rPr>
              <w:t xml:space="preserve">bir dilekçe ile Ticaret </w:t>
            </w:r>
            <w:r w:rsidRPr="00A23740">
              <w:rPr>
                <w:szCs w:val="24"/>
              </w:rPr>
              <w:t>Mahkeme</w:t>
            </w:r>
            <w:r w:rsidRPr="00A23740">
              <w:rPr>
                <w:b/>
                <w:strike/>
                <w:color w:val="FF0000"/>
                <w:szCs w:val="24"/>
              </w:rPr>
              <w:t>sin</w:t>
            </w:r>
            <w:r w:rsidRPr="00A23740">
              <w:rPr>
                <w:szCs w:val="24"/>
              </w:rPr>
              <w:t>den isteyebilir.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(3)</w:t>
            </w:r>
            <w:r w:rsidRPr="00A23740">
              <w:rPr>
                <w:szCs w:val="24"/>
              </w:rPr>
              <w:t xml:space="preserve"> İflas isteme</w:t>
            </w:r>
            <w:r w:rsidRPr="00A23740">
              <w:rPr>
                <w:b/>
                <w:strike/>
                <w:color w:val="FF0000"/>
                <w:szCs w:val="24"/>
              </w:rPr>
              <w:t>k</w:t>
            </w:r>
            <w:r w:rsidRPr="00A23740">
              <w:rPr>
                <w:szCs w:val="24"/>
              </w:rPr>
              <w:t xml:space="preserve"> hakkı ödeme emrinin tebliği </w:t>
            </w:r>
            <w:r w:rsidRPr="00A23740">
              <w:rPr>
                <w:rStyle w:val="KIRMIZIChar"/>
                <w:rFonts w:eastAsia="Calibri"/>
              </w:rPr>
              <w:t>tarihinden bir sene</w:t>
            </w:r>
            <w:r w:rsidRPr="00A23740">
              <w:rPr>
                <w:b/>
                <w:strike/>
                <w:color w:val="FF0000"/>
                <w:szCs w:val="24"/>
              </w:rPr>
              <w:t xml:space="preserve"> sonra</w:t>
            </w:r>
            <w:r w:rsidRPr="00A23740">
              <w:rPr>
                <w:szCs w:val="24"/>
              </w:rPr>
              <w:t xml:space="preserve"> düşer.</w:t>
            </w:r>
          </w:p>
        </w:tc>
        <w:tc>
          <w:tcPr>
            <w:tcW w:w="2500" w:type="pct"/>
          </w:tcPr>
          <w:p w:rsidR="00AA5C8C" w:rsidRPr="00A23740" w:rsidRDefault="00AA5C8C" w:rsidP="009431FF">
            <w:pPr>
              <w:widowControl w:val="0"/>
              <w:tabs>
                <w:tab w:val="left" w:pos="567"/>
              </w:tabs>
              <w:rPr>
                <w:szCs w:val="24"/>
              </w:rPr>
            </w:pPr>
            <w:r w:rsidRPr="00A23740">
              <w:rPr>
                <w:b/>
                <w:szCs w:val="24"/>
              </w:rPr>
              <w:t>İflas talebi ve</w:t>
            </w:r>
            <w:r w:rsidRPr="00A23740">
              <w:rPr>
                <w:szCs w:val="24"/>
              </w:rPr>
              <w:t xml:space="preserve"> </w:t>
            </w:r>
            <w:r w:rsidRPr="00A23740">
              <w:rPr>
                <w:b/>
                <w:color w:val="0000FF"/>
                <w:szCs w:val="24"/>
              </w:rPr>
              <w:t>süresi</w:t>
            </w:r>
          </w:p>
          <w:p w:rsidR="00AA5C8C" w:rsidRPr="00A23740" w:rsidRDefault="00AA5C8C" w:rsidP="009431FF">
            <w:pPr>
              <w:widowControl w:val="0"/>
              <w:tabs>
                <w:tab w:val="left" w:pos="567"/>
              </w:tabs>
              <w:rPr>
                <w:b/>
                <w:color w:val="0000FF"/>
                <w:szCs w:val="24"/>
              </w:rPr>
            </w:pPr>
            <w:r w:rsidRPr="00A23740">
              <w:rPr>
                <w:rStyle w:val="MaviChar"/>
                <w:lang w:val="tr-TR"/>
              </w:rPr>
              <w:t xml:space="preserve">MADDE </w:t>
            </w:r>
            <w:r w:rsidRPr="00A23740">
              <w:rPr>
                <w:rStyle w:val="MAVChar"/>
                <w:rFonts w:eastAsia="Calibri"/>
                <w:u w:val="none"/>
              </w:rPr>
              <w:t>2</w:t>
            </w:r>
            <w:r w:rsidR="00490C3E" w:rsidRPr="00A23740">
              <w:rPr>
                <w:rStyle w:val="MAVChar"/>
                <w:rFonts w:eastAsia="Calibri"/>
                <w:u w:val="none"/>
              </w:rPr>
              <w:t>72</w:t>
            </w:r>
            <w:r w:rsidRPr="00A23740">
              <w:rPr>
                <w:rStyle w:val="MAVChar"/>
                <w:rFonts w:eastAsia="Calibri"/>
                <w:u w:val="none"/>
              </w:rPr>
              <w:t>- (1</w:t>
            </w:r>
            <w:r w:rsidRPr="00A23740">
              <w:rPr>
                <w:b/>
                <w:color w:val="0000FF"/>
                <w:szCs w:val="24"/>
              </w:rPr>
              <w:t>)</w:t>
            </w:r>
            <w:r w:rsidR="007052C7" w:rsidRPr="00A23740">
              <w:rPr>
                <w:b/>
                <w:color w:val="0000FF"/>
                <w:szCs w:val="24"/>
              </w:rPr>
              <w:t xml:space="preserve"> </w:t>
            </w:r>
            <w:r w:rsidR="000B08CB" w:rsidRPr="00514F8A">
              <w:rPr>
                <w:rStyle w:val="MaviChar"/>
              </w:rPr>
              <w:t xml:space="preserve">İflas ödeme </w:t>
            </w:r>
            <w:r w:rsidR="007052C7" w:rsidRPr="00514F8A">
              <w:rPr>
                <w:rStyle w:val="MaviChar"/>
              </w:rPr>
              <w:t xml:space="preserve">emrine süresi </w:t>
            </w:r>
            <w:r w:rsidR="007052C7" w:rsidRPr="005C2C1E">
              <w:rPr>
                <w:rStyle w:val="MaviChar"/>
                <w:b w:val="0"/>
                <w:color w:val="000000" w:themeColor="text1"/>
              </w:rPr>
              <w:t>içinde</w:t>
            </w:r>
            <w:r w:rsidR="007052C7" w:rsidRPr="005C2C1E">
              <w:rPr>
                <w:rStyle w:val="YELChar"/>
                <w:color w:val="000000" w:themeColor="text1"/>
              </w:rPr>
              <w:t xml:space="preserve"> </w:t>
            </w:r>
            <w:r w:rsidR="007052C7" w:rsidRPr="005C2C1E">
              <w:rPr>
                <w:color w:val="000000" w:themeColor="text1"/>
                <w:szCs w:val="24"/>
              </w:rPr>
              <w:t xml:space="preserve"> </w:t>
            </w:r>
            <w:r w:rsidR="007052C7" w:rsidRPr="00A23740">
              <w:rPr>
                <w:szCs w:val="24"/>
              </w:rPr>
              <w:t xml:space="preserve">itiraz </w:t>
            </w:r>
            <w:r w:rsidR="007052C7" w:rsidRPr="00514F8A">
              <w:rPr>
                <w:rStyle w:val="MaviChar"/>
              </w:rPr>
              <w:t>edilmemesi üzerine</w:t>
            </w:r>
            <w:r w:rsidR="007052C7" w:rsidRPr="00A23740">
              <w:rPr>
                <w:szCs w:val="24"/>
              </w:rPr>
              <w:t xml:space="preserve"> alacaklı, mahkemeden </w:t>
            </w:r>
            <w:r w:rsidR="007052C7" w:rsidRPr="00A23740">
              <w:rPr>
                <w:b/>
                <w:color w:val="0000FF"/>
                <w:szCs w:val="24"/>
              </w:rPr>
              <w:t>borçlunun</w:t>
            </w:r>
            <w:r w:rsidR="007052C7" w:rsidRPr="00A23740">
              <w:rPr>
                <w:szCs w:val="24"/>
              </w:rPr>
              <w:t xml:space="preserve"> iflas</w:t>
            </w:r>
            <w:r w:rsidR="007052C7" w:rsidRPr="00A23740">
              <w:rPr>
                <w:b/>
                <w:color w:val="0000FF"/>
                <w:szCs w:val="24"/>
              </w:rPr>
              <w:t>ına</w:t>
            </w:r>
            <w:r w:rsidR="007052C7" w:rsidRPr="00A23740">
              <w:rPr>
                <w:szCs w:val="24"/>
              </w:rPr>
              <w:t xml:space="preserve"> karar </w:t>
            </w:r>
            <w:r w:rsidR="007052C7" w:rsidRPr="00A23740">
              <w:rPr>
                <w:b/>
                <w:color w:val="0000FF"/>
                <w:szCs w:val="24"/>
              </w:rPr>
              <w:t>verilmesini</w:t>
            </w:r>
            <w:r w:rsidR="007052C7" w:rsidRPr="00A23740">
              <w:rPr>
                <w:szCs w:val="24"/>
              </w:rPr>
              <w:t xml:space="preserve"> isteyebilir.</w:t>
            </w:r>
            <w:r w:rsidRPr="00A23740">
              <w:rPr>
                <w:szCs w:val="24"/>
              </w:rPr>
              <w:t xml:space="preserve"> Bu</w:t>
            </w:r>
            <w:r w:rsidRPr="00A23740">
              <w:rPr>
                <w:b/>
                <w:color w:val="0000FF"/>
                <w:szCs w:val="24"/>
              </w:rPr>
              <w:t xml:space="preserve"> talebe,</w:t>
            </w:r>
            <w:r w:rsidRPr="00A23740">
              <w:rPr>
                <w:szCs w:val="24"/>
              </w:rPr>
              <w:t xml:space="preserve"> borçlunun ödeme emrine itiraz</w:t>
            </w:r>
            <w:r w:rsidRPr="00A23740">
              <w:rPr>
                <w:b/>
                <w:color w:val="0000FF"/>
                <w:szCs w:val="24"/>
              </w:rPr>
              <w:t>ının olmadığına ilişkin şerhi içeren</w:t>
            </w:r>
            <w:r w:rsidRPr="00A23740">
              <w:rPr>
                <w:szCs w:val="24"/>
              </w:rPr>
              <w:t xml:space="preserve"> ödeme emri nüshası </w:t>
            </w:r>
            <w:r w:rsidRPr="00A23740">
              <w:rPr>
                <w:b/>
                <w:color w:val="0000FF"/>
                <w:szCs w:val="24"/>
              </w:rPr>
              <w:t>da eklenir.</w:t>
            </w:r>
          </w:p>
          <w:p w:rsidR="00AA5C8C" w:rsidRDefault="00AA5C8C" w:rsidP="009431FF">
            <w:pPr>
              <w:widowControl w:val="0"/>
              <w:tabs>
                <w:tab w:val="left" w:pos="567"/>
              </w:tabs>
              <w:rPr>
                <w:b/>
                <w:color w:val="0000FF"/>
                <w:szCs w:val="24"/>
              </w:rPr>
            </w:pPr>
          </w:p>
          <w:p w:rsidR="005C2C1E" w:rsidRDefault="005C2C1E" w:rsidP="009431FF">
            <w:pPr>
              <w:widowControl w:val="0"/>
              <w:tabs>
                <w:tab w:val="left" w:pos="567"/>
              </w:tabs>
              <w:rPr>
                <w:b/>
                <w:color w:val="0000FF"/>
                <w:szCs w:val="24"/>
              </w:rPr>
            </w:pPr>
          </w:p>
          <w:p w:rsidR="005C2C1E" w:rsidRPr="00A23740" w:rsidRDefault="005C2C1E" w:rsidP="009431FF">
            <w:pPr>
              <w:widowControl w:val="0"/>
              <w:tabs>
                <w:tab w:val="left" w:pos="567"/>
              </w:tabs>
              <w:rPr>
                <w:b/>
                <w:color w:val="0000FF"/>
                <w:szCs w:val="24"/>
              </w:rPr>
            </w:pPr>
          </w:p>
          <w:p w:rsidR="00AA5C8C" w:rsidRPr="00A23740" w:rsidRDefault="00AA5C8C" w:rsidP="009431FF">
            <w:pPr>
              <w:widowControl w:val="0"/>
              <w:tabs>
                <w:tab w:val="left" w:pos="567"/>
              </w:tabs>
              <w:rPr>
                <w:szCs w:val="24"/>
              </w:rPr>
            </w:pPr>
            <w:r w:rsidRPr="00A23740">
              <w:rPr>
                <w:b/>
                <w:color w:val="0000FF"/>
                <w:szCs w:val="24"/>
              </w:rPr>
              <w:t>(2)</w:t>
            </w:r>
            <w:r w:rsidRPr="00A23740">
              <w:rPr>
                <w:szCs w:val="24"/>
              </w:rPr>
              <w:t xml:space="preserve"> Borçlu </w:t>
            </w:r>
            <w:r w:rsidR="000B08CB" w:rsidRPr="00514F8A">
              <w:rPr>
                <w:rStyle w:val="MaviChar"/>
              </w:rPr>
              <w:t>iflas</w:t>
            </w:r>
            <w:r w:rsidR="000B08CB" w:rsidRPr="00A23740">
              <w:rPr>
                <w:szCs w:val="24"/>
              </w:rPr>
              <w:t xml:space="preserve"> </w:t>
            </w:r>
            <w:r w:rsidRPr="00A23740">
              <w:rPr>
                <w:szCs w:val="24"/>
              </w:rPr>
              <w:t xml:space="preserve">ödeme emrine itiraz </w:t>
            </w:r>
            <w:r w:rsidRPr="00A23740">
              <w:rPr>
                <w:b/>
                <w:color w:val="0000FF"/>
                <w:szCs w:val="24"/>
              </w:rPr>
              <w:t>ederse</w:t>
            </w:r>
            <w:r w:rsidR="000B08CB" w:rsidRPr="00514F8A">
              <w:rPr>
                <w:rStyle w:val="MaviChar"/>
              </w:rPr>
              <w:t>,</w:t>
            </w:r>
            <w:r w:rsidRPr="00A23740">
              <w:rPr>
                <w:szCs w:val="24"/>
              </w:rPr>
              <w:t xml:space="preserve"> takip durur</w:t>
            </w:r>
            <w:r w:rsidRPr="00A23740">
              <w:rPr>
                <w:rStyle w:val="MaviChar"/>
              </w:rPr>
              <w:t>.</w:t>
            </w:r>
            <w:r w:rsidRPr="00A23740">
              <w:rPr>
                <w:szCs w:val="24"/>
              </w:rPr>
              <w:t xml:space="preserve"> Alacaklı bu itirazın </w:t>
            </w:r>
            <w:r w:rsidRPr="00A23740">
              <w:rPr>
                <w:b/>
                <w:color w:val="0000FF"/>
                <w:szCs w:val="24"/>
              </w:rPr>
              <w:t>giderilmesi</w:t>
            </w:r>
            <w:r w:rsidRPr="00A23740">
              <w:rPr>
                <w:szCs w:val="24"/>
              </w:rPr>
              <w:t xml:space="preserve"> ile borçlunun iflasına karar verilmesini mahkemeden isteyebilir.</w:t>
            </w:r>
          </w:p>
          <w:p w:rsidR="00AA5C8C" w:rsidRPr="00A23740" w:rsidRDefault="00AA5C8C" w:rsidP="009431FF">
            <w:pPr>
              <w:widowControl w:val="0"/>
              <w:tabs>
                <w:tab w:val="left" w:pos="567"/>
              </w:tabs>
              <w:rPr>
                <w:szCs w:val="24"/>
              </w:rPr>
            </w:pPr>
          </w:p>
          <w:p w:rsidR="00AA5C8C" w:rsidRPr="00A23740" w:rsidRDefault="00AA5C8C" w:rsidP="009431FF">
            <w:pPr>
              <w:widowControl w:val="0"/>
              <w:rPr>
                <w:b/>
                <w:color w:val="0000FF"/>
                <w:szCs w:val="24"/>
              </w:rPr>
            </w:pPr>
            <w:r w:rsidRPr="00A23740">
              <w:rPr>
                <w:b/>
                <w:color w:val="0000FF"/>
                <w:szCs w:val="24"/>
              </w:rPr>
              <w:t xml:space="preserve">(3) </w:t>
            </w:r>
            <w:r w:rsidR="000B08CB" w:rsidRPr="00514F8A">
              <w:rPr>
                <w:rStyle w:val="MaviChar"/>
              </w:rPr>
              <w:t>Alacaklının</w:t>
            </w:r>
            <w:r w:rsidR="000B08CB" w:rsidRPr="00A23740">
              <w:rPr>
                <w:b/>
                <w:color w:val="0000FF"/>
                <w:szCs w:val="24"/>
              </w:rPr>
              <w:t xml:space="preserve"> </w:t>
            </w:r>
            <w:r w:rsidR="000B08CB" w:rsidRPr="00A23740">
              <w:rPr>
                <w:szCs w:val="24"/>
              </w:rPr>
              <w:t xml:space="preserve">iflas </w:t>
            </w:r>
            <w:r w:rsidRPr="00A23740">
              <w:rPr>
                <w:szCs w:val="24"/>
              </w:rPr>
              <w:t>isteme hakkı ödeme emrinin tebliği</w:t>
            </w:r>
            <w:r w:rsidRPr="00A23740">
              <w:rPr>
                <w:b/>
                <w:color w:val="0000FF"/>
                <w:szCs w:val="24"/>
              </w:rPr>
              <w:t xml:space="preserve">nden itibaren </w:t>
            </w:r>
            <w:r w:rsidRPr="00A23740">
              <w:rPr>
                <w:rStyle w:val="MaviChar"/>
              </w:rPr>
              <w:t>bir yıl</w:t>
            </w:r>
            <w:r w:rsidRPr="00A23740">
              <w:rPr>
                <w:szCs w:val="24"/>
              </w:rPr>
              <w:t xml:space="preserve"> </w:t>
            </w:r>
            <w:r w:rsidRPr="00A23740">
              <w:rPr>
                <w:b/>
                <w:color w:val="0000FF"/>
                <w:szCs w:val="24"/>
              </w:rPr>
              <w:t xml:space="preserve">geçmekle </w:t>
            </w:r>
            <w:r w:rsidRPr="00A23740">
              <w:rPr>
                <w:szCs w:val="24"/>
              </w:rPr>
              <w:t xml:space="preserve">düşer. </w:t>
            </w:r>
            <w:r w:rsidRPr="00A23740">
              <w:rPr>
                <w:b/>
                <w:color w:val="0000FF"/>
                <w:szCs w:val="24"/>
              </w:rPr>
              <w:t xml:space="preserve">Bu </w:t>
            </w:r>
            <w:r w:rsidR="007052C7" w:rsidRPr="009D0B93">
              <w:rPr>
                <w:rStyle w:val="MaviChar"/>
              </w:rPr>
              <w:t>takdirde</w:t>
            </w:r>
            <w:r w:rsidR="007052C7" w:rsidRPr="00A23740">
              <w:rPr>
                <w:b/>
                <w:color w:val="0000FF"/>
                <w:szCs w:val="24"/>
              </w:rPr>
              <w:t xml:space="preserve"> </w:t>
            </w:r>
            <w:r w:rsidRPr="00A23740">
              <w:rPr>
                <w:b/>
                <w:color w:val="0000FF"/>
                <w:szCs w:val="24"/>
              </w:rPr>
              <w:t>alacaklı aynı alacak hakkında yeniden iflas yoluyla takip yapamaz.</w:t>
            </w:r>
          </w:p>
          <w:p w:rsidR="00AA5C8C" w:rsidRPr="00A23740" w:rsidRDefault="00AA5C8C" w:rsidP="009431FF">
            <w:pPr>
              <w:pStyle w:val="KIRMIZI"/>
              <w:widowControl w:val="0"/>
            </w:pPr>
          </w:p>
        </w:tc>
      </w:tr>
      <w:tr w:rsidR="00F608B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B36B83" w:rsidRPr="00A23740" w:rsidRDefault="00B36B83" w:rsidP="009431FF">
            <w:pPr>
              <w:tabs>
                <w:tab w:val="left" w:pos="567"/>
              </w:tabs>
              <w:rPr>
                <w:b/>
                <w:bCs/>
                <w:szCs w:val="24"/>
                <w:lang w:eastAsia="x-none"/>
              </w:rPr>
            </w:pPr>
          </w:p>
          <w:p w:rsidR="00B36B83" w:rsidRPr="00A23740" w:rsidRDefault="00B36B83" w:rsidP="009431FF">
            <w:pPr>
              <w:tabs>
                <w:tab w:val="left" w:pos="567"/>
              </w:tabs>
              <w:ind w:firstLine="709"/>
              <w:rPr>
                <w:bCs/>
                <w:szCs w:val="24"/>
              </w:rPr>
            </w:pPr>
            <w:r w:rsidRPr="00A23740">
              <w:rPr>
                <w:b/>
                <w:bCs/>
                <w:szCs w:val="24"/>
              </w:rPr>
              <w:t>MADDE 272-</w:t>
            </w:r>
            <w:r w:rsidRPr="00A23740">
              <w:rPr>
                <w:bCs/>
                <w:szCs w:val="24"/>
              </w:rPr>
              <w:t xml:space="preserve"> Maddeyle, iflas yoluyla takipte iflas talebi ve süresine ilişkin hususlar düzenlenmektedir. Hüküm, 2004 sayılı Kanunun 156 ncı maddesin</w:t>
            </w:r>
            <w:r w:rsidR="005D3027" w:rsidRPr="00A23740">
              <w:rPr>
                <w:bCs/>
                <w:szCs w:val="24"/>
              </w:rPr>
              <w:t>e karşılık gelmektedir.</w:t>
            </w:r>
          </w:p>
          <w:p w:rsidR="00B36B83" w:rsidRPr="00A23740" w:rsidRDefault="005D3027" w:rsidP="009431FF">
            <w:pPr>
              <w:tabs>
                <w:tab w:val="left" w:pos="567"/>
              </w:tabs>
              <w:ind w:firstLine="709"/>
              <w:rPr>
                <w:bCs/>
                <w:szCs w:val="24"/>
              </w:rPr>
            </w:pPr>
            <w:r w:rsidRPr="00A23740">
              <w:rPr>
                <w:bCs/>
                <w:szCs w:val="24"/>
              </w:rPr>
              <w:t>Taslağın</w:t>
            </w:r>
            <w:r w:rsidR="00B36B83" w:rsidRPr="00A23740">
              <w:rPr>
                <w:bCs/>
                <w:szCs w:val="24"/>
              </w:rPr>
              <w:t xml:space="preserve"> birinci fıkrasında, </w:t>
            </w:r>
            <w:r w:rsidR="001D1273" w:rsidRPr="00D60C1D">
              <w:rPr>
                <w:rStyle w:val="MaviChar"/>
                <w:b w:val="0"/>
                <w:color w:val="000000"/>
              </w:rPr>
              <w:t>iflas</w:t>
            </w:r>
            <w:r w:rsidR="001D1273" w:rsidRPr="00A23740">
              <w:rPr>
                <w:bCs/>
                <w:color w:val="385623"/>
                <w:szCs w:val="24"/>
              </w:rPr>
              <w:t xml:space="preserve"> </w:t>
            </w:r>
            <w:r w:rsidR="00B36B83" w:rsidRPr="00A23740">
              <w:rPr>
                <w:bCs/>
                <w:szCs w:val="24"/>
              </w:rPr>
              <w:t>ödeme emrine süresi içinde itiraz edilmemiş olması ihtimali ele alınmıştır. Ödeme emrine itiraz edilmemiş olsa dahi</w:t>
            </w:r>
            <w:r w:rsidR="00455D7D" w:rsidRPr="00D60C1D">
              <w:rPr>
                <w:rStyle w:val="YELChar"/>
                <w:b w:val="0"/>
                <w:color w:val="000000"/>
              </w:rPr>
              <w:t>,</w:t>
            </w:r>
            <w:r w:rsidR="00B36B83" w:rsidRPr="00A23740">
              <w:rPr>
                <w:bCs/>
                <w:szCs w:val="24"/>
              </w:rPr>
              <w:t xml:space="preserve"> alacaklının iflas mahkemesine müracaat ederek borçlunun ifl</w:t>
            </w:r>
            <w:r w:rsidR="00656C77" w:rsidRPr="00A23740">
              <w:rPr>
                <w:bCs/>
                <w:szCs w:val="24"/>
              </w:rPr>
              <w:t>a</w:t>
            </w:r>
            <w:r w:rsidR="00B36B83" w:rsidRPr="00A23740">
              <w:rPr>
                <w:bCs/>
                <w:szCs w:val="24"/>
              </w:rPr>
              <w:t>sına karar verilmesini istemesi</w:t>
            </w:r>
            <w:r w:rsidR="00B36B83" w:rsidRPr="00A23740">
              <w:rPr>
                <w:rStyle w:val="KIRMIZIChar"/>
                <w:rFonts w:eastAsia="Calibri"/>
              </w:rPr>
              <w:t>,</w:t>
            </w:r>
            <w:r w:rsidR="00B36B83" w:rsidRPr="00A23740">
              <w:rPr>
                <w:bCs/>
                <w:szCs w:val="24"/>
              </w:rPr>
              <w:t xml:space="preserve"> şarttır. Mahkemeye yönelik iflas talebine, bu durumun </w:t>
            </w:r>
            <w:r w:rsidR="0097008D" w:rsidRPr="00A23740">
              <w:rPr>
                <w:bCs/>
                <w:szCs w:val="24"/>
              </w:rPr>
              <w:t xml:space="preserve">belgelenmesine </w:t>
            </w:r>
            <w:r w:rsidR="00B36B83" w:rsidRPr="00A23740">
              <w:rPr>
                <w:bCs/>
                <w:szCs w:val="24"/>
              </w:rPr>
              <w:t>yönelik olarak borçlunun ödeme emrine iti</w:t>
            </w:r>
            <w:r w:rsidR="00AD7D81" w:rsidRPr="00A23740">
              <w:rPr>
                <w:bCs/>
                <w:szCs w:val="24"/>
              </w:rPr>
              <w:t>razının olmadığına ilişkin resmî</w:t>
            </w:r>
            <w:r w:rsidR="00B36B83" w:rsidRPr="00A23740">
              <w:rPr>
                <w:bCs/>
                <w:szCs w:val="24"/>
              </w:rPr>
              <w:t xml:space="preserve"> şerhi içeren ödeme emri nüshası da eklenir.</w:t>
            </w:r>
          </w:p>
          <w:p w:rsidR="00B36B83" w:rsidRPr="00A23740" w:rsidRDefault="00B36B83" w:rsidP="009431FF">
            <w:pPr>
              <w:tabs>
                <w:tab w:val="left" w:pos="567"/>
              </w:tabs>
              <w:ind w:firstLine="709"/>
              <w:rPr>
                <w:bCs/>
                <w:szCs w:val="24"/>
              </w:rPr>
            </w:pPr>
            <w:r w:rsidRPr="00A23740">
              <w:rPr>
                <w:bCs/>
                <w:szCs w:val="24"/>
              </w:rPr>
              <w:t>İkinci fıkra hükmü ise yapılan itirazın sonuçları hakkındadır. Süresi içindeki itirazla birlikte takibin durduğundan söz edilmişse de</w:t>
            </w:r>
            <w:r w:rsidR="0097008D" w:rsidRPr="00A23740">
              <w:rPr>
                <w:bCs/>
                <w:szCs w:val="24"/>
              </w:rPr>
              <w:t>,</w:t>
            </w:r>
            <w:r w:rsidRPr="00A23740">
              <w:rPr>
                <w:bCs/>
                <w:szCs w:val="24"/>
              </w:rPr>
              <w:t xml:space="preserve"> bu sonucun cüz’i icraya ilişkin diğer takip türleriyle bir tutulmaması gerekir. Yapılan itiraz, etkisini daha ziyade alacaklı tarafından açılan iflas davasında gösterecektir. Zira alacaklı, itiraz üzerine artık mahkemeden öncelikle itirazın hükümden düşürülmesini ve takiben borçlunun iflasına kar</w:t>
            </w:r>
            <w:r w:rsidR="005D3027" w:rsidRPr="00A23740">
              <w:rPr>
                <w:bCs/>
                <w:szCs w:val="24"/>
              </w:rPr>
              <w:t>ar verilmesini talep edecektir.</w:t>
            </w:r>
          </w:p>
          <w:p w:rsidR="00B36B83" w:rsidRDefault="00B36B83" w:rsidP="009431FF">
            <w:pPr>
              <w:tabs>
                <w:tab w:val="left" w:pos="567"/>
              </w:tabs>
              <w:ind w:firstLine="709"/>
              <w:rPr>
                <w:bCs/>
                <w:szCs w:val="24"/>
              </w:rPr>
            </w:pPr>
            <w:r w:rsidRPr="00A23740">
              <w:rPr>
                <w:bCs/>
                <w:szCs w:val="24"/>
              </w:rPr>
              <w:t xml:space="preserve">Üçüncü fıkra hükmü, alacaklının mahkemeden iflas isteme hakkının azami süresini düzenlemektedir. Buna göre </w:t>
            </w:r>
            <w:r w:rsidR="001D1273" w:rsidRPr="00D60C1D">
              <w:rPr>
                <w:bCs/>
                <w:color w:val="000000"/>
                <w:szCs w:val="24"/>
              </w:rPr>
              <w:t>alacaklının</w:t>
            </w:r>
            <w:r w:rsidR="001D1273" w:rsidRPr="00A23740">
              <w:rPr>
                <w:bCs/>
                <w:szCs w:val="24"/>
              </w:rPr>
              <w:t xml:space="preserve"> </w:t>
            </w:r>
            <w:r w:rsidRPr="00A23740">
              <w:rPr>
                <w:bCs/>
                <w:szCs w:val="24"/>
              </w:rPr>
              <w:t xml:space="preserve">iflas isteme hakkı, </w:t>
            </w:r>
            <w:r w:rsidR="00455D7D" w:rsidRPr="00D60C1D">
              <w:rPr>
                <w:rStyle w:val="YELChar"/>
                <w:b w:val="0"/>
                <w:color w:val="000000"/>
              </w:rPr>
              <w:t>ödeme</w:t>
            </w:r>
            <w:r w:rsidR="00455D7D" w:rsidRPr="00A23740">
              <w:rPr>
                <w:bCs/>
                <w:szCs w:val="24"/>
              </w:rPr>
              <w:t xml:space="preserve"> </w:t>
            </w:r>
            <w:r w:rsidRPr="00A23740">
              <w:rPr>
                <w:bCs/>
                <w:szCs w:val="24"/>
              </w:rPr>
              <w:t>emrinin tebliğinden itibaren bir yıl geçmekle düşer ve bundan böyle aynı alacak hakkında yeniden iflas yoluyla takip yapılamaz. Alacaklı, bu hâlde alacağı için genel mahkemelerde bir alacak davası açabileceği gibi</w:t>
            </w:r>
            <w:r w:rsidR="00455D7D" w:rsidRPr="00D60C1D">
              <w:rPr>
                <w:rStyle w:val="YELChar"/>
                <w:b w:val="0"/>
                <w:color w:val="000000"/>
              </w:rPr>
              <w:t>,</w:t>
            </w:r>
            <w:r w:rsidRPr="00A23740">
              <w:rPr>
                <w:bCs/>
                <w:szCs w:val="24"/>
              </w:rPr>
              <w:t xml:space="preserve"> gereğinde ve şartları da oluşmuşsa borçlunun doğrudan ifl</w:t>
            </w:r>
            <w:r w:rsidR="00656C77" w:rsidRPr="00A23740">
              <w:rPr>
                <w:bCs/>
                <w:szCs w:val="24"/>
              </w:rPr>
              <w:t>a</w:t>
            </w:r>
            <w:r w:rsidRPr="00A23740">
              <w:rPr>
                <w:bCs/>
                <w:szCs w:val="24"/>
              </w:rPr>
              <w:t xml:space="preserve">sını isteyebilir. Sürenin </w:t>
            </w:r>
            <w:r w:rsidR="005D3027" w:rsidRPr="00A23740">
              <w:rPr>
                <w:bCs/>
                <w:szCs w:val="24"/>
              </w:rPr>
              <w:t>Taslağın</w:t>
            </w:r>
            <w:r w:rsidRPr="00A23740">
              <w:rPr>
                <w:bCs/>
                <w:szCs w:val="24"/>
              </w:rPr>
              <w:t xml:space="preserve"> 96 ncı</w:t>
            </w:r>
            <w:r w:rsidR="00BB74D3" w:rsidRPr="00A23740">
              <w:rPr>
                <w:bCs/>
                <w:szCs w:val="24"/>
              </w:rPr>
              <w:t xml:space="preserve"> </w:t>
            </w:r>
            <w:r w:rsidRPr="00A23740">
              <w:rPr>
                <w:bCs/>
                <w:szCs w:val="24"/>
              </w:rPr>
              <w:t>maddesinde</w:t>
            </w:r>
            <w:r w:rsidR="00455D7D" w:rsidRPr="00A23740">
              <w:rPr>
                <w:bCs/>
                <w:szCs w:val="24"/>
              </w:rPr>
              <w:t xml:space="preserve">ki </w:t>
            </w:r>
            <w:r w:rsidR="00455D7D" w:rsidRPr="00D60C1D">
              <w:rPr>
                <w:rStyle w:val="YELChar"/>
                <w:b w:val="0"/>
                <w:color w:val="000000"/>
              </w:rPr>
              <w:t>düzenlemenin aksine</w:t>
            </w:r>
            <w:r w:rsidRPr="00A23740">
              <w:rPr>
                <w:bCs/>
                <w:szCs w:val="24"/>
              </w:rPr>
              <w:t xml:space="preserve"> </w:t>
            </w:r>
            <w:r w:rsidR="00FA2204" w:rsidRPr="00D60C1D">
              <w:rPr>
                <w:rStyle w:val="KonuBalChar"/>
                <w:rFonts w:eastAsia="Calibri"/>
                <w:b w:val="0"/>
                <w:color w:val="000000"/>
              </w:rPr>
              <w:t>altı</w:t>
            </w:r>
            <w:r w:rsidR="00FA2204" w:rsidRPr="00A23740">
              <w:rPr>
                <w:bCs/>
                <w:szCs w:val="24"/>
              </w:rPr>
              <w:t xml:space="preserve"> </w:t>
            </w:r>
            <w:r w:rsidRPr="00A23740">
              <w:rPr>
                <w:bCs/>
                <w:szCs w:val="24"/>
              </w:rPr>
              <w:t>ay değil de</w:t>
            </w:r>
            <w:r w:rsidR="0097008D" w:rsidRPr="00A23740">
              <w:rPr>
                <w:bCs/>
                <w:szCs w:val="24"/>
              </w:rPr>
              <w:t>,</w:t>
            </w:r>
            <w:r w:rsidR="005C2C1E">
              <w:rPr>
                <w:bCs/>
                <w:szCs w:val="24"/>
              </w:rPr>
              <w:t xml:space="preserve"> </w:t>
            </w:r>
            <w:r w:rsidR="00FA2204" w:rsidRPr="00D60C1D">
              <w:rPr>
                <w:rStyle w:val="KonuBalChar"/>
                <w:rFonts w:eastAsia="Calibri"/>
                <w:b w:val="0"/>
                <w:color w:val="000000"/>
              </w:rPr>
              <w:t>bir</w:t>
            </w:r>
            <w:r w:rsidRPr="00A23740">
              <w:rPr>
                <w:bCs/>
                <w:szCs w:val="24"/>
              </w:rPr>
              <w:t xml:space="preserve"> yıl olarak muhafazasında özel bir menfaat görülmüş; bu sürenin iflastan kurtulmak bakımından borçluya takip konusu borcu ödeme imk</w:t>
            </w:r>
            <w:r w:rsidR="00BE53A8" w:rsidRPr="00A23740">
              <w:rPr>
                <w:rFonts w:eastAsia="Times New Roman"/>
                <w:szCs w:val="24"/>
                <w:lang w:eastAsia="tr-TR"/>
              </w:rPr>
              <w:t>â</w:t>
            </w:r>
            <w:r w:rsidRPr="00A23740">
              <w:rPr>
                <w:bCs/>
                <w:szCs w:val="24"/>
              </w:rPr>
              <w:t>nı vermek gibi bir yönünün de bulunduğu anlaşılmış; altı aylık sürenin ise bu imk</w:t>
            </w:r>
            <w:r w:rsidR="00BE53A8" w:rsidRPr="00A23740">
              <w:rPr>
                <w:rFonts w:eastAsia="Times New Roman"/>
                <w:szCs w:val="24"/>
                <w:lang w:eastAsia="tr-TR"/>
              </w:rPr>
              <w:t>â</w:t>
            </w:r>
            <w:r w:rsidRPr="00A23740">
              <w:rPr>
                <w:bCs/>
                <w:szCs w:val="24"/>
              </w:rPr>
              <w:t>nı başarıyla kullanmak için yeterli olmayabileceği sonucuna ulaşılmıştır. Kaldı ki, aynı nedenle sürenin İsviçre’de (</w:t>
            </w:r>
            <w:r w:rsidR="0097008D" w:rsidRPr="00A23740">
              <w:rPr>
                <w:bCs/>
                <w:szCs w:val="24"/>
              </w:rPr>
              <w:t>Borç İçin Takip ve İflas Hakkında Federal Kanun m.</w:t>
            </w:r>
            <w:r w:rsidRPr="00A23740">
              <w:rPr>
                <w:bCs/>
                <w:szCs w:val="24"/>
              </w:rPr>
              <w:t>166, f. 2) 15 aya yükseltildiği de göz önüne alınarak</w:t>
            </w:r>
            <w:r w:rsidR="00455D7D" w:rsidRPr="00A23740">
              <w:rPr>
                <w:rStyle w:val="YELChar"/>
              </w:rPr>
              <w:t>,</w:t>
            </w:r>
            <w:r w:rsidRPr="00A23740">
              <w:rPr>
                <w:bCs/>
                <w:szCs w:val="24"/>
              </w:rPr>
              <w:t xml:space="preserve"> hükmün süreler</w:t>
            </w:r>
            <w:r w:rsidR="005D3027" w:rsidRPr="00A23740">
              <w:rPr>
                <w:bCs/>
                <w:szCs w:val="24"/>
              </w:rPr>
              <w:t xml:space="preserve"> yönünden bozulan ahenge karşın</w:t>
            </w:r>
            <w:r w:rsidRPr="00A23740">
              <w:rPr>
                <w:bCs/>
                <w:szCs w:val="24"/>
              </w:rPr>
              <w:t xml:space="preserve"> bir yıl şeklinde </w:t>
            </w:r>
            <w:r w:rsidR="00455D7D" w:rsidRPr="00A23740">
              <w:rPr>
                <w:bCs/>
                <w:szCs w:val="24"/>
              </w:rPr>
              <w:t>muhafazasına karar verilmiştir.</w:t>
            </w:r>
          </w:p>
          <w:p w:rsidR="0016377F" w:rsidRPr="00A23740" w:rsidRDefault="0016377F" w:rsidP="009431FF">
            <w:pPr>
              <w:tabs>
                <w:tab w:val="left" w:pos="567"/>
              </w:tabs>
              <w:ind w:firstLine="709"/>
              <w:rPr>
                <w:b/>
                <w:bCs/>
                <w:szCs w:val="24"/>
                <w:lang w:eastAsia="x-none"/>
              </w:rPr>
            </w:pPr>
          </w:p>
          <w:p w:rsidR="006211E9" w:rsidRPr="00A23740" w:rsidRDefault="006211E9" w:rsidP="0016377F">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rStyle w:val="KIRMIZIChar"/>
                <w:rFonts w:eastAsia="Calibri"/>
              </w:rPr>
              <w:t>Talebin</w:t>
            </w:r>
            <w:r w:rsidRPr="00A23740">
              <w:rPr>
                <w:b/>
                <w:szCs w:val="24"/>
              </w:rPr>
              <w:t xml:space="preserve"> geri alınması </w:t>
            </w:r>
            <w:r w:rsidRPr="00A23740">
              <w:rPr>
                <w:rStyle w:val="KIRMIZIChar"/>
                <w:rFonts w:eastAsia="Calibri"/>
              </w:rPr>
              <w:t>ve yenilenmesi:</w:t>
            </w:r>
          </w:p>
          <w:p w:rsidR="00AA5C8C" w:rsidRPr="00A23740" w:rsidRDefault="00AA5C8C" w:rsidP="009431FF">
            <w:pPr>
              <w:tabs>
                <w:tab w:val="left" w:pos="567"/>
              </w:tabs>
              <w:rPr>
                <w:szCs w:val="24"/>
              </w:rPr>
            </w:pPr>
            <w:r w:rsidRPr="00A23740">
              <w:rPr>
                <w:rStyle w:val="KIRMIZIChar"/>
                <w:rFonts w:eastAsia="Calibri"/>
              </w:rPr>
              <w:t>Madde 157 – (1)</w:t>
            </w:r>
            <w:r w:rsidRPr="00A23740">
              <w:rPr>
                <w:szCs w:val="24"/>
              </w:rPr>
              <w:t xml:space="preserve"> İflas </w:t>
            </w:r>
            <w:r w:rsidRPr="00A23740">
              <w:rPr>
                <w:rStyle w:val="KIRMIZIChar"/>
                <w:rFonts w:eastAsia="Calibri"/>
              </w:rPr>
              <w:t>talebini</w:t>
            </w:r>
            <w:r w:rsidRPr="00A23740">
              <w:rPr>
                <w:szCs w:val="24"/>
              </w:rPr>
              <w:t xml:space="preserve"> geri alan alacaklı bir ay geçmedikçe </w:t>
            </w:r>
            <w:r w:rsidRPr="00A23740">
              <w:rPr>
                <w:rStyle w:val="KIRMIZIChar"/>
                <w:rFonts w:eastAsia="Calibri"/>
              </w:rPr>
              <w:t>bu talebini yenileyemez.</w:t>
            </w:r>
          </w:p>
          <w:p w:rsidR="00AA5C8C" w:rsidRPr="00A23740" w:rsidRDefault="00AA5C8C" w:rsidP="009431FF">
            <w:pPr>
              <w:tabs>
                <w:tab w:val="left" w:pos="567"/>
              </w:tabs>
            </w:pPr>
          </w:p>
        </w:tc>
        <w:tc>
          <w:tcPr>
            <w:tcW w:w="2500" w:type="pct"/>
          </w:tcPr>
          <w:p w:rsidR="00AA5C8C" w:rsidRPr="00A23740" w:rsidRDefault="00AA5C8C" w:rsidP="009431FF">
            <w:pPr>
              <w:pStyle w:val="Stil2"/>
              <w:rPr>
                <w:u w:val="none"/>
                <w:lang w:val="tr-TR"/>
              </w:rPr>
            </w:pPr>
            <w:r w:rsidRPr="00A23740">
              <w:rPr>
                <w:rStyle w:val="MaviChar"/>
                <w:rFonts w:eastAsia="ヒラギノ明朝 Pro W3"/>
                <w:b/>
                <w:u w:val="none"/>
              </w:rPr>
              <w:t>İflas</w:t>
            </w:r>
            <w:r w:rsidRPr="00A23740">
              <w:rPr>
                <w:rStyle w:val="MaviChar"/>
                <w:b/>
                <w:u w:val="none"/>
              </w:rPr>
              <w:t xml:space="preserve"> </w:t>
            </w:r>
            <w:r w:rsidRPr="00A23740">
              <w:rPr>
                <w:rStyle w:val="MaviChar"/>
                <w:rFonts w:eastAsia="ヒラギノ明朝 Pro W3"/>
                <w:b/>
                <w:u w:val="none"/>
              </w:rPr>
              <w:t>davasının</w:t>
            </w:r>
            <w:r w:rsidRPr="00A23740">
              <w:rPr>
                <w:rStyle w:val="MaviChar"/>
                <w:b/>
                <w:u w:val="none"/>
              </w:rPr>
              <w:t xml:space="preserve"> </w:t>
            </w:r>
            <w:r w:rsidRPr="00A23740">
              <w:rPr>
                <w:rFonts w:eastAsia="Calibri"/>
                <w:color w:val="auto"/>
                <w:u w:val="none"/>
              </w:rPr>
              <w:t>geri alınması</w:t>
            </w:r>
            <w:r w:rsidRPr="00A23740">
              <w:rPr>
                <w:u w:val="none"/>
                <w:lang w:val="tr-TR"/>
              </w:rPr>
              <w:t xml:space="preserve"> </w:t>
            </w:r>
          </w:p>
          <w:p w:rsidR="00AA5C8C" w:rsidRPr="00A23740" w:rsidRDefault="00490C3E" w:rsidP="009431FF">
            <w:pPr>
              <w:pStyle w:val="Stil2"/>
              <w:rPr>
                <w:rStyle w:val="KIRMIZIChar"/>
                <w:rFonts w:eastAsia="ヒラギノ明朝 Pro W3"/>
                <w:b/>
                <w:bCs w:val="0"/>
                <w:strike w:val="0"/>
                <w:color w:val="auto"/>
              </w:rPr>
            </w:pPr>
            <w:r w:rsidRPr="00A23740">
              <w:rPr>
                <w:u w:val="none"/>
                <w:lang w:val="tr-TR"/>
              </w:rPr>
              <w:t>MADDE 273</w:t>
            </w:r>
            <w:r w:rsidR="00AA5C8C" w:rsidRPr="00A23740">
              <w:rPr>
                <w:u w:val="none"/>
                <w:lang w:val="tr-TR"/>
              </w:rPr>
              <w:t xml:space="preserve">-  </w:t>
            </w:r>
            <w:r w:rsidR="00AA5C8C" w:rsidRPr="00A23740">
              <w:rPr>
                <w:rStyle w:val="MaviChar"/>
                <w:b/>
                <w:u w:val="none"/>
              </w:rPr>
              <w:t>(1)</w:t>
            </w:r>
            <w:r w:rsidR="00AA5C8C" w:rsidRPr="00A23740">
              <w:rPr>
                <w:u w:val="none"/>
              </w:rPr>
              <w:t xml:space="preserve"> </w:t>
            </w:r>
            <w:r w:rsidR="00AA5C8C" w:rsidRPr="00A23740">
              <w:rPr>
                <w:rFonts w:eastAsia="Calibri"/>
                <w:b w:val="0"/>
                <w:color w:val="auto"/>
                <w:u w:val="none"/>
              </w:rPr>
              <w:t>İflas</w:t>
            </w:r>
            <w:r w:rsidR="00AA5C8C" w:rsidRPr="00A23740">
              <w:rPr>
                <w:u w:val="none"/>
              </w:rPr>
              <w:t xml:space="preserve"> </w:t>
            </w:r>
            <w:r w:rsidR="00AA5C8C" w:rsidRPr="00A23740">
              <w:rPr>
                <w:rStyle w:val="MaviChar"/>
                <w:b/>
                <w:u w:val="none"/>
              </w:rPr>
              <w:t>davasını</w:t>
            </w:r>
            <w:r w:rsidR="00AA5C8C" w:rsidRPr="00A23740">
              <w:rPr>
                <w:u w:val="none"/>
              </w:rPr>
              <w:t xml:space="preserve"> </w:t>
            </w:r>
            <w:r w:rsidR="00AA5C8C" w:rsidRPr="00A23740">
              <w:rPr>
                <w:rFonts w:eastAsia="Calibri"/>
                <w:b w:val="0"/>
                <w:color w:val="auto"/>
                <w:u w:val="none"/>
              </w:rPr>
              <w:t>geri alan alacaklı</w:t>
            </w:r>
            <w:r w:rsidR="00AA5C8C" w:rsidRPr="009D0B93">
              <w:rPr>
                <w:rStyle w:val="MaviChar"/>
                <w:rFonts w:eastAsia="Calibri"/>
                <w:b/>
                <w:u w:val="none"/>
              </w:rPr>
              <w:t>,</w:t>
            </w:r>
            <w:r w:rsidR="00AA5C8C" w:rsidRPr="00A23740">
              <w:rPr>
                <w:rFonts w:eastAsia="Calibri"/>
                <w:b w:val="0"/>
                <w:color w:val="auto"/>
                <w:u w:val="none"/>
              </w:rPr>
              <w:t xml:space="preserve"> bir ay geçmedikçe</w:t>
            </w:r>
            <w:r w:rsidR="00AA5C8C" w:rsidRPr="00A23740">
              <w:rPr>
                <w:u w:val="none"/>
              </w:rPr>
              <w:t xml:space="preserve"> </w:t>
            </w:r>
            <w:r w:rsidR="00AA5C8C" w:rsidRPr="00A23740">
              <w:rPr>
                <w:rStyle w:val="MaviChar"/>
                <w:b/>
                <w:u w:val="none"/>
              </w:rPr>
              <w:t>yeniden iflas davası açamaz.</w:t>
            </w:r>
          </w:p>
          <w:p w:rsidR="00AA5C8C" w:rsidRPr="00A23740" w:rsidRDefault="00AA5C8C" w:rsidP="009431FF">
            <w:pPr>
              <w:rPr>
                <w:szCs w:val="24"/>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46430" w:rsidRPr="00A23740" w:rsidRDefault="00046430" w:rsidP="009431FF">
            <w:pPr>
              <w:ind w:firstLine="709"/>
              <w:rPr>
                <w:rFonts w:eastAsia="Times New Roman"/>
                <w:b/>
                <w:bCs/>
                <w:szCs w:val="24"/>
                <w:lang w:eastAsia="tr-TR"/>
              </w:rPr>
            </w:pPr>
          </w:p>
          <w:p w:rsidR="00B36B83" w:rsidRPr="00A23740" w:rsidRDefault="00B36B83" w:rsidP="009431FF">
            <w:pPr>
              <w:tabs>
                <w:tab w:val="left" w:pos="567"/>
              </w:tabs>
              <w:ind w:firstLine="709"/>
              <w:rPr>
                <w:rFonts w:eastAsia="Times New Roman"/>
                <w:bCs/>
                <w:lang w:eastAsia="tr-TR"/>
              </w:rPr>
            </w:pPr>
            <w:r w:rsidRPr="00A23740">
              <w:rPr>
                <w:rFonts w:eastAsia="Times New Roman"/>
                <w:b/>
                <w:bCs/>
                <w:lang w:eastAsia="tr-TR"/>
              </w:rPr>
              <w:t>MADDE 273-</w:t>
            </w:r>
            <w:r w:rsidRPr="00A23740">
              <w:rPr>
                <w:rFonts w:eastAsia="Times New Roman"/>
                <w:bCs/>
                <w:lang w:eastAsia="tr-TR"/>
              </w:rPr>
              <w:t xml:space="preserve"> Maddeyle, iflas yoluyla takipte iflas davasının geri alınmasına ilişkin hususlar düzenlenmektedir. Hüküm, 2004 sayılı Kanunun 157 nci maddesine karşılık gelmektedir.</w:t>
            </w:r>
          </w:p>
          <w:p w:rsidR="00B36B83" w:rsidRPr="00A23740" w:rsidRDefault="00B36B83" w:rsidP="009431FF">
            <w:pPr>
              <w:tabs>
                <w:tab w:val="left" w:pos="567"/>
              </w:tabs>
              <w:ind w:firstLine="709"/>
              <w:rPr>
                <w:rFonts w:eastAsia="Times New Roman"/>
                <w:b/>
                <w:bCs/>
                <w:lang w:eastAsia="tr-TR"/>
              </w:rPr>
            </w:pPr>
            <w:r w:rsidRPr="00A23740">
              <w:rPr>
                <w:rFonts w:eastAsia="Times New Roman"/>
                <w:bCs/>
                <w:lang w:eastAsia="tr-TR"/>
              </w:rPr>
              <w:t xml:space="preserve">Taslağın bu hükmüyle açılan iflas davasının geri alınması hakkında, </w:t>
            </w:r>
            <w:r w:rsidR="003E7FF9" w:rsidRPr="00D60C1D">
              <w:rPr>
                <w:rStyle w:val="KonuBalChar"/>
                <w:rFonts w:eastAsia="Calibri"/>
                <w:b w:val="0"/>
                <w:color w:val="000000"/>
              </w:rPr>
              <w:t>6100 sayılı Kanuna</w:t>
            </w:r>
            <w:r w:rsidRPr="00A23740">
              <w:rPr>
                <w:rFonts w:eastAsia="Times New Roman"/>
                <w:bCs/>
                <w:lang w:eastAsia="tr-TR"/>
              </w:rPr>
              <w:t xml:space="preserve"> nazaran, özel bir hüküm sevkedilmiş; davasını geri alan alacaklının bir ay geçmedikçe iflas davasını yeniden açamayacağı düzenlenmiştir. Bu hâlde geri alınan, iflas davası olup iflas yoluyla takip, ayaktadır. Ne var ki, geri alındıktan sonra yeniden açılacak dava bakımından her h</w:t>
            </w:r>
            <w:r w:rsidR="008D7868" w:rsidRPr="00A23740">
              <w:rPr>
                <w:rFonts w:eastAsia="Times New Roman"/>
                <w:bCs/>
                <w:lang w:eastAsia="tr-TR"/>
              </w:rPr>
              <w:t>â</w:t>
            </w:r>
            <w:r w:rsidRPr="00A23740">
              <w:rPr>
                <w:rFonts w:eastAsia="Times New Roman"/>
                <w:bCs/>
                <w:lang w:eastAsia="tr-TR"/>
              </w:rPr>
              <w:t xml:space="preserve">lükârda, bir önceki fıkrada düzenlenen bir yıllık </w:t>
            </w:r>
            <w:r w:rsidR="0097008D" w:rsidRPr="00A23740">
              <w:rPr>
                <w:rFonts w:eastAsia="Times New Roman"/>
                <w:bCs/>
                <w:lang w:eastAsia="tr-TR"/>
              </w:rPr>
              <w:t xml:space="preserve">hak düşürücü </w:t>
            </w:r>
            <w:r w:rsidRPr="00A23740">
              <w:rPr>
                <w:rFonts w:eastAsia="Times New Roman"/>
                <w:bCs/>
                <w:lang w:eastAsia="tr-TR"/>
              </w:rPr>
              <w:t>süreye dikkat edilmelidir; zira geri alındıktan sonra aynı davanın yeninden açılması mümkünse de</w:t>
            </w:r>
            <w:r w:rsidR="0097008D" w:rsidRPr="00A23740">
              <w:rPr>
                <w:rFonts w:eastAsia="Times New Roman"/>
                <w:bCs/>
                <w:lang w:eastAsia="tr-TR"/>
              </w:rPr>
              <w:t>,</w:t>
            </w:r>
            <w:r w:rsidRPr="00A23740">
              <w:rPr>
                <w:rFonts w:eastAsia="Times New Roman"/>
                <w:bCs/>
                <w:lang w:eastAsia="tr-TR"/>
              </w:rPr>
              <w:t xml:space="preserve"> bu kez bir yıllık sürenin geçmiş olması gibi bir ihtimâl gündeme gelebilecektir. </w:t>
            </w:r>
            <w:r w:rsidR="00414D53" w:rsidRPr="00D60C1D">
              <w:rPr>
                <w:rStyle w:val="YELChar"/>
                <w:b w:val="0"/>
                <w:color w:val="000000"/>
              </w:rPr>
              <w:t>Bunun dışında,</w:t>
            </w:r>
            <w:r w:rsidR="00414D53" w:rsidRPr="00A23740">
              <w:rPr>
                <w:rStyle w:val="YELChar"/>
              </w:rPr>
              <w:t xml:space="preserve"> </w:t>
            </w:r>
            <w:r w:rsidR="003E7FF9" w:rsidRPr="00D60C1D">
              <w:rPr>
                <w:rStyle w:val="KonuBalChar"/>
                <w:rFonts w:eastAsia="Calibri"/>
                <w:b w:val="0"/>
                <w:color w:val="000000"/>
              </w:rPr>
              <w:t>6100 sayılı Kanunun</w:t>
            </w:r>
            <w:r w:rsidR="00414D53" w:rsidRPr="00D60C1D">
              <w:rPr>
                <w:rStyle w:val="YELChar"/>
                <w:b w:val="0"/>
                <w:color w:val="000000"/>
              </w:rPr>
              <w:t xml:space="preserve"> davanın geri alınmasına ilişkin hükümleri burada da uygulanır.</w:t>
            </w:r>
          </w:p>
          <w:p w:rsidR="006211E9" w:rsidRPr="00A23740" w:rsidRDefault="006211E9" w:rsidP="009431FF">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Yargılama usulü:</w:t>
            </w:r>
          </w:p>
          <w:p w:rsidR="00AA5C8C" w:rsidRPr="00A23740" w:rsidRDefault="00AA5C8C" w:rsidP="009431FF">
            <w:pPr>
              <w:tabs>
                <w:tab w:val="left" w:pos="567"/>
              </w:tabs>
              <w:rPr>
                <w:b/>
                <w:szCs w:val="24"/>
              </w:rPr>
            </w:pPr>
            <w:r w:rsidRPr="00A23740">
              <w:rPr>
                <w:rStyle w:val="KIRMIZIChar"/>
                <w:rFonts w:eastAsia="Calibri"/>
              </w:rPr>
              <w:t>Madde 158 – (1) (Değişik</w:t>
            </w:r>
            <w:r w:rsidRPr="00A23740">
              <w:rPr>
                <w:b/>
                <w:strike/>
                <w:color w:val="FF0000"/>
                <w:szCs w:val="24"/>
              </w:rPr>
              <w:t>: 9/11/1988 - 3494/26 md.)</w:t>
            </w:r>
          </w:p>
          <w:p w:rsidR="00AA5C8C" w:rsidRPr="00A23740" w:rsidRDefault="00AA5C8C" w:rsidP="009431FF">
            <w:pPr>
              <w:tabs>
                <w:tab w:val="left" w:pos="567"/>
              </w:tabs>
              <w:rPr>
                <w:b/>
                <w:strike/>
                <w:color w:val="FF0000"/>
                <w:szCs w:val="24"/>
              </w:rPr>
            </w:pPr>
            <w:r w:rsidRPr="00A23740">
              <w:rPr>
                <w:b/>
                <w:strike/>
                <w:color w:val="FF0000"/>
                <w:szCs w:val="24"/>
              </w:rPr>
              <w:t>Alacaklının iflas takibi kesinleştiğinde l66 ncı maddenin ikinci fıkrasındaki usulle ilan edilir. İflas talebinin ilanından itibaren onbeş gün içinde diğer alacaklılar davaya müdahele veya itiraz ederek iflası gerektiren bir hal bulunmadığını ileri sürerek mahkemeden talebin reddini isteyebilirler.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b/>
                <w:strike/>
                <w:color w:val="FF0000"/>
                <w:szCs w:val="24"/>
              </w:rPr>
              <w:t>(2) Mahkeme, icra dosyasını celbeder ve basit yargılama usulüne göre duruşma yaparak, gerek iflas talebini gerek itiraz ve defileri umumi hükümler dairesinde tetkik ve intac eder. Şu kadar ki, borçlu takibe karşı usulü dairesinde itiraz etmemiş veya itiraz ve defileri varit görülmemişse mahkeme yedi gün içinde faiz ve icra masrafları ile birlikte borcunu ifa veya o miktar meblağın mahkeme veznesine depo edilmesini borçluya veya iflas davasında kendisini temsil etmiş olan vekiline, dava vicahda devam ediyorsa duruşmada, aksi takdirde Tebligat Kanunu hükümleri dairesinde yapılacak tebliğ ile emreder. Borçlu imtina ederse ilk oturumda iflasına karar verilir.</w:t>
            </w:r>
          </w:p>
          <w:p w:rsidR="001A031C" w:rsidRPr="00A23740" w:rsidRDefault="001A031C" w:rsidP="009431FF">
            <w:pPr>
              <w:tabs>
                <w:tab w:val="left" w:pos="567"/>
              </w:tabs>
              <w:rPr>
                <w:szCs w:val="24"/>
              </w:rPr>
            </w:pPr>
          </w:p>
        </w:tc>
        <w:tc>
          <w:tcPr>
            <w:tcW w:w="2500" w:type="pct"/>
          </w:tcPr>
          <w:p w:rsidR="00AA5C8C" w:rsidRPr="00A23740" w:rsidRDefault="000B08CB" w:rsidP="009431FF">
            <w:pPr>
              <w:rPr>
                <w:b/>
                <w:strike/>
                <w:color w:val="FF0000"/>
                <w:szCs w:val="24"/>
              </w:rPr>
            </w:pPr>
            <w:r w:rsidRPr="009D0B93">
              <w:rPr>
                <w:rStyle w:val="Balk1Char"/>
                <w:rFonts w:eastAsia="Calibri"/>
              </w:rPr>
              <w:t>İflas</w:t>
            </w:r>
            <w:r w:rsidRPr="00A23740">
              <w:rPr>
                <w:rStyle w:val="MaviChar"/>
                <w:lang w:val="tr-TR"/>
              </w:rPr>
              <w:t xml:space="preserve"> </w:t>
            </w:r>
            <w:r w:rsidRPr="00A23740">
              <w:rPr>
                <w:rStyle w:val="MaviChar"/>
              </w:rPr>
              <w:t xml:space="preserve">ödeme </w:t>
            </w:r>
            <w:r w:rsidR="00AA5C8C" w:rsidRPr="00A23740">
              <w:rPr>
                <w:rStyle w:val="MaviChar"/>
              </w:rPr>
              <w:t>emrine</w:t>
            </w:r>
            <w:r w:rsidR="00AA5C8C" w:rsidRPr="00A23740">
              <w:rPr>
                <w:b/>
                <w:color w:val="0000FF"/>
                <w:szCs w:val="24"/>
              </w:rPr>
              <w:t xml:space="preserve"> itirazın </w:t>
            </w:r>
            <w:r w:rsidR="00AA5C8C" w:rsidRPr="00A23740">
              <w:rPr>
                <w:rStyle w:val="MaviChar"/>
              </w:rPr>
              <w:t>giderilmesi</w:t>
            </w:r>
            <w:r w:rsidR="00AA5C8C" w:rsidRPr="00A23740">
              <w:rPr>
                <w:b/>
                <w:color w:val="0000FF"/>
                <w:szCs w:val="24"/>
              </w:rPr>
              <w:t xml:space="preserve"> </w:t>
            </w:r>
          </w:p>
          <w:p w:rsidR="00AA5C8C" w:rsidRPr="00A23740" w:rsidRDefault="00490C3E" w:rsidP="009431FF">
            <w:pPr>
              <w:rPr>
                <w:b/>
                <w:color w:val="0000FF"/>
                <w:szCs w:val="24"/>
              </w:rPr>
            </w:pPr>
            <w:r w:rsidRPr="00A23740">
              <w:rPr>
                <w:b/>
                <w:color w:val="0000FF"/>
                <w:szCs w:val="24"/>
              </w:rPr>
              <w:t>MADDE 274</w:t>
            </w:r>
            <w:r w:rsidR="00AA5C8C" w:rsidRPr="00A23740">
              <w:rPr>
                <w:b/>
                <w:color w:val="0000FF"/>
                <w:szCs w:val="24"/>
              </w:rPr>
              <w:t>- (1) Borçlunun</w:t>
            </w:r>
            <w:r w:rsidR="000B08CB" w:rsidRPr="00A23740">
              <w:rPr>
                <w:b/>
                <w:color w:val="0000FF"/>
                <w:szCs w:val="24"/>
              </w:rPr>
              <w:t xml:space="preserve"> </w:t>
            </w:r>
            <w:r w:rsidR="000B08CB" w:rsidRPr="009D0B93">
              <w:rPr>
                <w:rStyle w:val="MaviChar"/>
              </w:rPr>
              <w:t>iflas</w:t>
            </w:r>
            <w:r w:rsidR="00AA5C8C" w:rsidRPr="00A23740">
              <w:rPr>
                <w:b/>
                <w:color w:val="0000FF"/>
                <w:szCs w:val="24"/>
              </w:rPr>
              <w:t xml:space="preserve"> ödeme emrine itiraz </w:t>
            </w:r>
            <w:r w:rsidR="00AA5C8C" w:rsidRPr="00A23740">
              <w:rPr>
                <w:rStyle w:val="MaviChar"/>
              </w:rPr>
              <w:t>etmiş olması</w:t>
            </w:r>
            <w:r w:rsidR="00AA5C8C" w:rsidRPr="00A23740">
              <w:rPr>
                <w:b/>
                <w:color w:val="0000FF"/>
                <w:szCs w:val="24"/>
              </w:rPr>
              <w:t xml:space="preserve"> h</w:t>
            </w:r>
            <w:r w:rsidR="008D7868" w:rsidRPr="00A23740">
              <w:rPr>
                <w:b/>
                <w:color w:val="0000FF"/>
                <w:szCs w:val="24"/>
              </w:rPr>
              <w:t>â</w:t>
            </w:r>
            <w:r w:rsidR="00AA5C8C" w:rsidRPr="00A23740">
              <w:rPr>
                <w:b/>
                <w:color w:val="0000FF"/>
                <w:szCs w:val="24"/>
              </w:rPr>
              <w:t xml:space="preserve">linde mahkeme, icra dosyasını </w:t>
            </w:r>
            <w:r w:rsidR="00142C88" w:rsidRPr="009D0B93">
              <w:rPr>
                <w:rStyle w:val="MaviChar"/>
              </w:rPr>
              <w:t>celbeder</w:t>
            </w:r>
            <w:r w:rsidR="00AA5C8C" w:rsidRPr="00A23740">
              <w:rPr>
                <w:b/>
                <w:color w:val="0000FF"/>
                <w:szCs w:val="24"/>
              </w:rPr>
              <w:t xml:space="preserve">; iflas talebini, itiraz ve def’ileri basit yargılama usulüne göre genel hükümler </w:t>
            </w:r>
            <w:r w:rsidR="00142C88" w:rsidRPr="009D0B93">
              <w:rPr>
                <w:rStyle w:val="MaviChar"/>
              </w:rPr>
              <w:t>çerçevesinde</w:t>
            </w:r>
            <w:r w:rsidR="00AA5C8C" w:rsidRPr="00A23740">
              <w:rPr>
                <w:b/>
                <w:color w:val="0000FF"/>
                <w:szCs w:val="24"/>
              </w:rPr>
              <w:t xml:space="preserve"> duruşmalı olarak inceler ve karara bağlar.</w:t>
            </w:r>
          </w:p>
          <w:p w:rsidR="00AA5C8C" w:rsidRPr="00A23740" w:rsidRDefault="00AA5C8C" w:rsidP="009431FF">
            <w:pPr>
              <w:rPr>
                <w:b/>
                <w:color w:val="0000FF"/>
                <w:szCs w:val="24"/>
              </w:rPr>
            </w:pPr>
          </w:p>
          <w:p w:rsidR="00AA5C8C" w:rsidRPr="00A23740" w:rsidRDefault="00AA5C8C" w:rsidP="009431FF">
            <w:pPr>
              <w:rPr>
                <w:b/>
                <w:color w:val="0000FF"/>
                <w:szCs w:val="24"/>
              </w:rPr>
            </w:pPr>
          </w:p>
          <w:p w:rsidR="00AA5C8C" w:rsidRPr="00A23740" w:rsidRDefault="00AA5C8C" w:rsidP="009431FF">
            <w:pPr>
              <w:rPr>
                <w:b/>
                <w:color w:val="0000FF"/>
                <w:szCs w:val="24"/>
              </w:rPr>
            </w:pPr>
          </w:p>
          <w:p w:rsidR="00AA5C8C" w:rsidRPr="00A23740" w:rsidRDefault="00AA5C8C" w:rsidP="009431FF">
            <w:pPr>
              <w:rPr>
                <w:b/>
                <w:color w:val="0000FF"/>
                <w:szCs w:val="24"/>
              </w:rPr>
            </w:pPr>
            <w:r w:rsidRPr="00A23740">
              <w:rPr>
                <w:b/>
                <w:color w:val="0000FF"/>
                <w:szCs w:val="24"/>
              </w:rPr>
              <w:t>(2) Mahkeme, itirazın haksız ve alacağın mevcut olduğunu tespit ederse</w:t>
            </w:r>
            <w:r w:rsidR="004D534B" w:rsidRPr="009D0B93">
              <w:rPr>
                <w:rStyle w:val="MaviChar"/>
              </w:rPr>
              <w:t>,</w:t>
            </w:r>
            <w:r w:rsidRPr="00A23740">
              <w:rPr>
                <w:b/>
                <w:color w:val="0000FF"/>
                <w:szCs w:val="24"/>
              </w:rPr>
              <w:t xml:space="preserve"> itirazın giderilmesine karar verir ve iflas talebini</w:t>
            </w:r>
            <w:r w:rsidR="0038177E" w:rsidRPr="00A23740">
              <w:rPr>
                <w:b/>
                <w:color w:val="0000FF"/>
                <w:szCs w:val="24"/>
              </w:rPr>
              <w:t xml:space="preserve"> </w:t>
            </w:r>
            <w:r w:rsidR="0038177E" w:rsidRPr="009D0B93">
              <w:rPr>
                <w:rStyle w:val="MaviChar"/>
              </w:rPr>
              <w:t>283 üncü</w:t>
            </w:r>
            <w:r w:rsidRPr="00A23740">
              <w:rPr>
                <w:b/>
                <w:color w:val="0000FF"/>
                <w:szCs w:val="24"/>
              </w:rPr>
              <w:t xml:space="preserve"> maddede öngörülen usule göre ilan eder. </w:t>
            </w:r>
          </w:p>
          <w:p w:rsidR="00AA5C8C" w:rsidRPr="00A23740" w:rsidRDefault="00AA5C8C" w:rsidP="009431FF">
            <w:pPr>
              <w:rPr>
                <w:b/>
                <w:color w:val="FF0000"/>
                <w:szCs w:val="24"/>
              </w:rPr>
            </w:pPr>
          </w:p>
          <w:p w:rsidR="00AA5C8C" w:rsidRPr="00A23740" w:rsidRDefault="00AA5C8C" w:rsidP="009431FF">
            <w:pPr>
              <w:rPr>
                <w:b/>
                <w:color w:val="0000FF"/>
                <w:szCs w:val="24"/>
              </w:rPr>
            </w:pPr>
          </w:p>
          <w:p w:rsidR="00AA5C8C" w:rsidRPr="00A23740" w:rsidRDefault="00AA5C8C" w:rsidP="009431FF">
            <w:pPr>
              <w:rPr>
                <w:b/>
                <w:color w:val="0000FF"/>
              </w:rPr>
            </w:pPr>
            <w:r w:rsidRPr="00A23740">
              <w:rPr>
                <w:b/>
                <w:color w:val="0000FF"/>
                <w:szCs w:val="24"/>
              </w:rPr>
              <w:t xml:space="preserve">(3) İkinci fıkra gereğince yapılan ilandan itibaren iki hafta içinde diğer </w:t>
            </w:r>
            <w:r w:rsidRPr="00A23740">
              <w:rPr>
                <w:rStyle w:val="MaviChar"/>
              </w:rPr>
              <w:t>alacaklılar gerekçeli bir dilekçeyle ve varsa delilleriyle birlikte, iflası gerektiren bir h</w:t>
            </w:r>
            <w:r w:rsidR="00C219C2" w:rsidRPr="00A23740">
              <w:rPr>
                <w:rStyle w:val="MaviChar"/>
                <w:lang w:val="tr-TR"/>
              </w:rPr>
              <w:t>â</w:t>
            </w:r>
            <w:r w:rsidRPr="00A23740">
              <w:rPr>
                <w:rStyle w:val="MaviChar"/>
              </w:rPr>
              <w:t>l bulunmadığını iddia</w:t>
            </w:r>
            <w:r w:rsidRPr="00A23740">
              <w:rPr>
                <w:rStyle w:val="MaviChar"/>
                <w:lang w:val="tr-TR"/>
              </w:rPr>
              <w:t xml:space="preserve"> </w:t>
            </w:r>
            <w:r w:rsidRPr="00A23740">
              <w:rPr>
                <w:rStyle w:val="MaviChar"/>
              </w:rPr>
              <w:t>ederek mahkemeden, iflas talebinin reddini isteyebilirler.</w:t>
            </w:r>
            <w:r w:rsidRPr="00A23740">
              <w:rPr>
                <w:rStyle w:val="MaviChar"/>
                <w:lang w:val="tr-TR"/>
              </w:rPr>
              <w:t xml:space="preserve"> </w:t>
            </w:r>
          </w:p>
          <w:p w:rsidR="00AA5C8C" w:rsidRPr="00A23740" w:rsidRDefault="00AA5C8C" w:rsidP="009431FF">
            <w:pPr>
              <w:rPr>
                <w:b/>
                <w:color w:val="0000FF"/>
                <w:szCs w:val="24"/>
              </w:rPr>
            </w:pPr>
          </w:p>
          <w:p w:rsidR="00AA5C8C" w:rsidRPr="00A23740" w:rsidRDefault="00AA5C8C" w:rsidP="009431FF">
            <w:pPr>
              <w:rPr>
                <w:b/>
                <w:color w:val="0000FF"/>
                <w:szCs w:val="24"/>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tabs>
                <w:tab w:val="left" w:pos="567"/>
              </w:tabs>
              <w:rPr>
                <w:b/>
                <w:bCs/>
                <w:szCs w:val="24"/>
                <w:lang w:eastAsia="x-none"/>
              </w:rPr>
            </w:pPr>
          </w:p>
          <w:p w:rsidR="00687220" w:rsidRPr="00A23740" w:rsidRDefault="00687220" w:rsidP="009431FF">
            <w:pPr>
              <w:ind w:left="29" w:firstLine="709"/>
              <w:rPr>
                <w:bCs/>
                <w:szCs w:val="24"/>
                <w:lang w:eastAsia="x-none"/>
              </w:rPr>
            </w:pPr>
            <w:r w:rsidRPr="00A23740">
              <w:rPr>
                <w:b/>
                <w:bCs/>
                <w:szCs w:val="24"/>
                <w:lang w:eastAsia="x-none"/>
              </w:rPr>
              <w:t>MADDE 274-</w:t>
            </w:r>
            <w:r w:rsidRPr="00A23740">
              <w:rPr>
                <w:bCs/>
                <w:szCs w:val="24"/>
                <w:lang w:eastAsia="x-none"/>
              </w:rPr>
              <w:t xml:space="preserve"> Maddeyle, iflas yoluyla takipte </w:t>
            </w:r>
            <w:r w:rsidR="001D1273" w:rsidRPr="00D60C1D">
              <w:rPr>
                <w:bCs/>
                <w:color w:val="000000"/>
                <w:szCs w:val="24"/>
                <w:lang w:eastAsia="x-none"/>
              </w:rPr>
              <w:t>iflas</w:t>
            </w:r>
            <w:r w:rsidR="001D1273" w:rsidRPr="00A23740">
              <w:rPr>
                <w:bCs/>
                <w:szCs w:val="24"/>
                <w:lang w:eastAsia="x-none"/>
              </w:rPr>
              <w:t xml:space="preserve"> </w:t>
            </w:r>
            <w:r w:rsidRPr="00A23740">
              <w:rPr>
                <w:bCs/>
                <w:szCs w:val="24"/>
                <w:lang w:eastAsia="x-none"/>
              </w:rPr>
              <w:t>ödeme emrine itirazın giderilmesine ilişkin hususlar düzenlenmektedir. Hüküm, 2004 sayılı Kanunun 158 inci maddesine karşılık gelmektedir.</w:t>
            </w:r>
          </w:p>
          <w:p w:rsidR="00687220" w:rsidRPr="00A23740" w:rsidRDefault="00687220" w:rsidP="009431FF">
            <w:pPr>
              <w:ind w:left="29" w:firstLine="709"/>
              <w:rPr>
                <w:bCs/>
                <w:szCs w:val="24"/>
                <w:lang w:eastAsia="x-none"/>
              </w:rPr>
            </w:pPr>
            <w:r w:rsidRPr="00A23740">
              <w:rPr>
                <w:bCs/>
                <w:szCs w:val="24"/>
                <w:lang w:eastAsia="x-none"/>
              </w:rPr>
              <w:t xml:space="preserve">Taslağın bu ve bir sonraki hükmü, ödeme emrine itirazın mahkemece giderilmesi sırasında takip edilecek usulü ve bu sırada yapılacakları düzenlemektedir. Basit usule tabi olarak yürütülecek yargılamada, iflas talebi ve dayanakları ile borçlunun itirazıyla bağlı olmaksızın ileri sürebileceği tüm savunmaları, duruşmalı olarak incelenip karara bağlanacaktır. </w:t>
            </w:r>
          </w:p>
          <w:p w:rsidR="00687220" w:rsidRPr="00A23740" w:rsidRDefault="00687220" w:rsidP="009431FF">
            <w:pPr>
              <w:ind w:left="29" w:firstLine="709"/>
              <w:rPr>
                <w:bCs/>
                <w:szCs w:val="24"/>
                <w:lang w:eastAsia="x-none"/>
              </w:rPr>
            </w:pPr>
            <w:r w:rsidRPr="00A23740">
              <w:rPr>
                <w:bCs/>
                <w:szCs w:val="24"/>
                <w:lang w:eastAsia="x-none"/>
              </w:rPr>
              <w:t xml:space="preserve">İtirazın haksız olduğu sonucuna ulaşılmasıyla itirazın giderilmesine karar verilir ve iflas talebi, Taslağın </w:t>
            </w:r>
            <w:r w:rsidR="0038177E" w:rsidRPr="00D60C1D">
              <w:rPr>
                <w:rStyle w:val="KonuBalChar"/>
                <w:rFonts w:eastAsia="Calibri"/>
                <w:b w:val="0"/>
                <w:color w:val="000000"/>
              </w:rPr>
              <w:t>283 üncü</w:t>
            </w:r>
            <w:r w:rsidRPr="00A23740">
              <w:rPr>
                <w:bCs/>
                <w:szCs w:val="24"/>
                <w:lang w:eastAsia="x-none"/>
              </w:rPr>
              <w:t xml:space="preserve"> maddesine göre ilan edilir. Taslak metninde, “itirazın giderilmesi” şeklinde özel bir terime yer verilmiştir. Esasen cüz’i icrada kullanılmış “itirazın iptali” teriminin bir kez de burada yinelenmesi, somut olayın özellikleri ve tahkikatın henüz bitmemiş olması karşısında uygun görülmemiş, Kanunun 156 ncı maddesinde geçen “itirazın kaldırılması” teriminin kullanılması ise Taslak metninde bu terimin terk edilmiş olması nedeniyle uygun bulunmamıştır. Bu yola özgü olarak iflas kararından önce hükümden düşür</w:t>
            </w:r>
            <w:r w:rsidRPr="00A23740">
              <w:rPr>
                <w:bCs/>
                <w:szCs w:val="24"/>
                <w:lang w:val="x-none" w:eastAsia="x-none"/>
              </w:rPr>
              <w:t>ü</w:t>
            </w:r>
            <w:r w:rsidRPr="00A23740">
              <w:rPr>
                <w:bCs/>
                <w:szCs w:val="24"/>
                <w:lang w:eastAsia="x-none"/>
              </w:rPr>
              <w:t>l</w:t>
            </w:r>
            <w:r w:rsidRPr="00A23740">
              <w:rPr>
                <w:bCs/>
                <w:szCs w:val="24"/>
                <w:lang w:val="x-none" w:eastAsia="x-none"/>
              </w:rPr>
              <w:t>e</w:t>
            </w:r>
            <w:r w:rsidRPr="00A23740">
              <w:rPr>
                <w:bCs/>
                <w:szCs w:val="24"/>
                <w:lang w:eastAsia="x-none"/>
              </w:rPr>
              <w:t>c</w:t>
            </w:r>
            <w:r w:rsidRPr="00A23740">
              <w:rPr>
                <w:bCs/>
                <w:szCs w:val="24"/>
                <w:lang w:val="x-none" w:eastAsia="x-none"/>
              </w:rPr>
              <w:t>e</w:t>
            </w:r>
            <w:r w:rsidRPr="00A23740">
              <w:rPr>
                <w:bCs/>
                <w:szCs w:val="24"/>
                <w:lang w:eastAsia="x-none"/>
              </w:rPr>
              <w:t>k</w:t>
            </w:r>
            <w:r w:rsidRPr="00A23740">
              <w:rPr>
                <w:bCs/>
                <w:color w:val="0000FF"/>
                <w:szCs w:val="24"/>
                <w:lang w:val="x-none" w:eastAsia="x-none"/>
              </w:rPr>
              <w:t xml:space="preserve"> </w:t>
            </w:r>
            <w:r w:rsidRPr="00A23740">
              <w:rPr>
                <w:bCs/>
                <w:szCs w:val="24"/>
                <w:lang w:eastAsia="x-none"/>
              </w:rPr>
              <w:t>olan itirazlar bakımından Taslak, “itirazın giderilmesi” tabirinin kullanılmasını tercih etmiştir.</w:t>
            </w:r>
          </w:p>
          <w:p w:rsidR="00687220" w:rsidRPr="00A23740" w:rsidRDefault="00687220" w:rsidP="00DE5024">
            <w:pPr>
              <w:ind w:left="29" w:firstLine="709"/>
              <w:rPr>
                <w:b/>
                <w:bCs/>
                <w:szCs w:val="24"/>
                <w:lang w:eastAsia="x-none"/>
              </w:rPr>
            </w:pPr>
            <w:r w:rsidRPr="00A23740">
              <w:rPr>
                <w:bCs/>
                <w:szCs w:val="24"/>
                <w:lang w:eastAsia="x-none"/>
              </w:rPr>
              <w:t>Yargılamanın ilan üzerine başlayan kesitinde ise ilandan itibaren iki hafta içinde iflası gerektiren bir h</w:t>
            </w:r>
            <w:r w:rsidR="00C219C2" w:rsidRPr="00A23740">
              <w:rPr>
                <w:bCs/>
                <w:szCs w:val="24"/>
                <w:lang w:eastAsia="x-none"/>
              </w:rPr>
              <w:t>â</w:t>
            </w:r>
            <w:r w:rsidRPr="00A23740">
              <w:rPr>
                <w:bCs/>
                <w:szCs w:val="24"/>
                <w:lang w:eastAsia="x-none"/>
              </w:rPr>
              <w:t>l bulunmadığını veya takibin tarafları arasında danışıklı olan iflas talebinin reddini iddia eden sair alacaklıların</w:t>
            </w:r>
            <w:r w:rsidR="0055547E" w:rsidRPr="00A23740">
              <w:rPr>
                <w:bCs/>
                <w:szCs w:val="24"/>
                <w:lang w:eastAsia="x-none"/>
              </w:rPr>
              <w:t xml:space="preserve"> itirazları tahkik edilecektir.</w:t>
            </w:r>
          </w:p>
          <w:p w:rsidR="0028722F" w:rsidRPr="00A23740" w:rsidRDefault="0028722F" w:rsidP="00DE5024">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b/>
                <w:strike/>
                <w:color w:val="FF0000"/>
                <w:szCs w:val="24"/>
              </w:rPr>
            </w:pPr>
            <w:r w:rsidRPr="00A23740">
              <w:rPr>
                <w:b/>
                <w:strike/>
                <w:color w:val="FF0000"/>
                <w:szCs w:val="24"/>
              </w:rPr>
              <w:t>Yargılama usulü:</w:t>
            </w:r>
          </w:p>
          <w:p w:rsidR="00AA5C8C" w:rsidRPr="00A23740" w:rsidRDefault="00AA5C8C" w:rsidP="009431FF">
            <w:pPr>
              <w:rPr>
                <w:b/>
                <w:strike/>
                <w:color w:val="FF0000"/>
                <w:szCs w:val="24"/>
              </w:rPr>
            </w:pPr>
            <w:r w:rsidRPr="00A23740">
              <w:rPr>
                <w:b/>
                <w:strike/>
                <w:color w:val="FF0000"/>
                <w:szCs w:val="24"/>
              </w:rPr>
              <w:t>Madde 158 – …</w:t>
            </w:r>
          </w:p>
          <w:p w:rsidR="00AA5C8C" w:rsidRPr="00A23740" w:rsidRDefault="00AA5C8C" w:rsidP="009431FF">
            <w:pPr>
              <w:rPr>
                <w:b/>
                <w:strike/>
                <w:color w:val="FF0000"/>
                <w:szCs w:val="24"/>
              </w:rPr>
            </w:pPr>
          </w:p>
          <w:p w:rsidR="00AA5C8C" w:rsidRPr="00A23740" w:rsidRDefault="00AA5C8C" w:rsidP="009431FF">
            <w:pPr>
              <w:rPr>
                <w:b/>
                <w:strike/>
                <w:color w:val="FF0000"/>
                <w:szCs w:val="24"/>
              </w:rPr>
            </w:pPr>
            <w:r w:rsidRPr="00A23740">
              <w:rPr>
                <w:b/>
                <w:strike/>
                <w:color w:val="FF0000"/>
                <w:szCs w:val="24"/>
              </w:rPr>
              <w:t>(2) Mahkeme, icra dosyasını celbeder ve basit yargılama usulüne göre duruşma yaparak, gerek iflas talebini gerek itiraz ve defileri umumi hükümler dairesinde tetkik ve intac eder. Şu kadar ki, borçlu takibe karşı usulü dairesinde itiraz etmemiş veya itiraz ve defileri varit görülmemişse mahkeme yedi gün içinde faiz ve icra masrafları ile birlikte borcunu ifa veya o miktar meblağın mahkeme veznesine depo edilmesini borçluya veya iflas davasında kendisini temsil etmiş olan vekiline, dava vicahda devam ediyorsa duruşmada, aksi takdirde Tebligat Kanunu hükümleri dairesinde yapılacak tebliğ ile emreder. Borçlu imtina ederse ilk oturumda iflasına karar verilir.</w:t>
            </w:r>
          </w:p>
        </w:tc>
        <w:tc>
          <w:tcPr>
            <w:tcW w:w="2500" w:type="pct"/>
          </w:tcPr>
          <w:p w:rsidR="00AA5C8C" w:rsidRPr="00A23740" w:rsidRDefault="00AA5C8C" w:rsidP="009431FF">
            <w:pPr>
              <w:rPr>
                <w:b/>
                <w:color w:val="0000FF"/>
              </w:rPr>
            </w:pPr>
            <w:r w:rsidRPr="00A23740">
              <w:rPr>
                <w:b/>
                <w:color w:val="0000FF"/>
              </w:rPr>
              <w:t>Depo kararı</w:t>
            </w:r>
          </w:p>
          <w:p w:rsidR="00AA5C8C" w:rsidRPr="00A23740" w:rsidRDefault="00490C3E" w:rsidP="009431FF">
            <w:pPr>
              <w:rPr>
                <w:rStyle w:val="MaviChar"/>
              </w:rPr>
            </w:pPr>
            <w:r w:rsidRPr="00A23740">
              <w:rPr>
                <w:b/>
                <w:color w:val="0000FF"/>
              </w:rPr>
              <w:t>MADDE 275</w:t>
            </w:r>
            <w:r w:rsidR="00AA5C8C" w:rsidRPr="00A23740">
              <w:rPr>
                <w:b/>
                <w:color w:val="0000FF"/>
              </w:rPr>
              <w:t>-</w:t>
            </w:r>
            <w:r w:rsidR="00AA5C8C" w:rsidRPr="00A23740">
              <w:rPr>
                <w:b/>
                <w:color w:val="0000FF"/>
                <w:szCs w:val="24"/>
              </w:rPr>
              <w:t xml:space="preserve"> (1) </w:t>
            </w:r>
            <w:r w:rsidR="00081E8D" w:rsidRPr="009D0B93">
              <w:rPr>
                <w:rStyle w:val="MaviChar"/>
              </w:rPr>
              <w:t>İlan üzerine diğer</w:t>
            </w:r>
            <w:r w:rsidR="00081E8D" w:rsidRPr="00A23740">
              <w:rPr>
                <w:b/>
                <w:color w:val="0000FF"/>
                <w:szCs w:val="24"/>
              </w:rPr>
              <w:t xml:space="preserve"> alacaklılar </w:t>
            </w:r>
            <w:r w:rsidR="00AA5C8C" w:rsidRPr="00A23740">
              <w:rPr>
                <w:b/>
                <w:color w:val="0000FF"/>
                <w:szCs w:val="24"/>
              </w:rPr>
              <w:t>süresinde itirazda bulunmaz veya yapılan itirazlar yerinde görülmezse</w:t>
            </w:r>
            <w:r w:rsidR="00AF47A3" w:rsidRPr="009D0B93">
              <w:rPr>
                <w:rStyle w:val="MaviChar"/>
              </w:rPr>
              <w:t>,</w:t>
            </w:r>
            <w:r w:rsidR="00AA5C8C" w:rsidRPr="00A23740">
              <w:rPr>
                <w:rStyle w:val="MaviChar"/>
              </w:rPr>
              <w:t xml:space="preserve"> sözlü yargılama tamamlandıktan sonra</w:t>
            </w:r>
            <w:r w:rsidR="00AF47A3" w:rsidRPr="00A23740">
              <w:rPr>
                <w:b/>
                <w:bCs/>
                <w:color w:val="538135"/>
                <w:szCs w:val="24"/>
                <w:lang w:val="x-none" w:eastAsia="x-none"/>
              </w:rPr>
              <w:t xml:space="preserve"> </w:t>
            </w:r>
            <w:r w:rsidR="00AF47A3" w:rsidRPr="009D0B93">
              <w:rPr>
                <w:rStyle w:val="MaviChar"/>
              </w:rPr>
              <w:t>mahkeme</w:t>
            </w:r>
            <w:r w:rsidR="00AA5C8C" w:rsidRPr="00A23740">
              <w:rPr>
                <w:rStyle w:val="MaviChar"/>
              </w:rPr>
              <w:t xml:space="preserve"> bir depo kararı verir.</w:t>
            </w:r>
          </w:p>
          <w:p w:rsidR="00AA5C8C" w:rsidRPr="00A23740" w:rsidRDefault="00AA5C8C" w:rsidP="009431FF">
            <w:pPr>
              <w:rPr>
                <w:b/>
                <w:color w:val="0000FF"/>
                <w:szCs w:val="24"/>
              </w:rPr>
            </w:pPr>
          </w:p>
          <w:p w:rsidR="00AA5C8C" w:rsidRPr="00A23740" w:rsidRDefault="00AA5C8C" w:rsidP="009431FF">
            <w:pPr>
              <w:rPr>
                <w:rStyle w:val="MaviChar"/>
                <w:lang w:val="tr-TR"/>
              </w:rPr>
            </w:pPr>
            <w:r w:rsidRPr="00A23740">
              <w:rPr>
                <w:b/>
                <w:color w:val="0000FF"/>
                <w:szCs w:val="24"/>
              </w:rPr>
              <w:t>(2) Depo kararında</w:t>
            </w:r>
            <w:r w:rsidR="00081E8D" w:rsidRPr="009D0B93">
              <w:rPr>
                <w:rStyle w:val="MaviChar"/>
              </w:rPr>
              <w:t>;</w:t>
            </w:r>
            <w:r w:rsidR="00942497" w:rsidRPr="009D0B93">
              <w:rPr>
                <w:rStyle w:val="MaviChar"/>
              </w:rPr>
              <w:t xml:space="preserve"> faiz ve takip giderleri dâhil olmak üzere</w:t>
            </w:r>
            <w:r w:rsidRPr="00A23740">
              <w:rPr>
                <w:b/>
                <w:color w:val="0000FF"/>
                <w:szCs w:val="24"/>
              </w:rPr>
              <w:t xml:space="preserve"> borcun </w:t>
            </w:r>
            <w:r w:rsidRPr="00A23740">
              <w:rPr>
                <w:rStyle w:val="MaviChar"/>
              </w:rPr>
              <w:t>tamamının</w:t>
            </w:r>
            <w:r w:rsidRPr="00A23740">
              <w:rPr>
                <w:b/>
                <w:color w:val="0000FF"/>
                <w:szCs w:val="24"/>
              </w:rPr>
              <w:t xml:space="preserve"> </w:t>
            </w:r>
            <w:r w:rsidRPr="00A23740">
              <w:rPr>
                <w:rStyle w:val="MaviChar"/>
              </w:rPr>
              <w:t>iki hafta içinde kararda belirtilen banka hesabına depo edilmesi</w:t>
            </w:r>
            <w:r w:rsidR="00942497" w:rsidRPr="005C2C1E">
              <w:rPr>
                <w:rStyle w:val="Balk1Char"/>
                <w:rFonts w:eastAsia="ヒラギノ明朝 Pro W3"/>
              </w:rPr>
              <w:t>;</w:t>
            </w:r>
            <w:r w:rsidRPr="00A23740">
              <w:rPr>
                <w:rStyle w:val="MaviChar"/>
              </w:rPr>
              <w:t xml:space="preserve"> aksi takdirde iki haftalık sürenin sona ermesinden sonra mahkemenin duruşma yapmaksızın dosya üzerinden borçlunun iflasına karar vereceği ihtarı yer alır.</w:t>
            </w:r>
          </w:p>
          <w:p w:rsidR="00AA5C8C" w:rsidRPr="00A23740" w:rsidRDefault="00AA5C8C" w:rsidP="009431FF">
            <w:pPr>
              <w:pStyle w:val="KIRMIZI"/>
              <w:rPr>
                <w:rStyle w:val="MaviChar"/>
                <w:b/>
                <w:bCs/>
                <w:color w:val="FF0000"/>
              </w:rPr>
            </w:pPr>
            <w:r w:rsidRPr="00A23740">
              <w:rPr>
                <w:rStyle w:val="MaviChar"/>
                <w:b/>
                <w:bCs/>
                <w:color w:val="FF0000"/>
              </w:rPr>
              <w:t xml:space="preserve"> </w:t>
            </w:r>
          </w:p>
          <w:p w:rsidR="00AA5C8C" w:rsidRPr="00A23740" w:rsidRDefault="00AA5C8C" w:rsidP="009431FF">
            <w:pPr>
              <w:rPr>
                <w:rStyle w:val="MaviChar"/>
                <w:lang w:val="tr-TR"/>
              </w:rPr>
            </w:pPr>
          </w:p>
          <w:p w:rsidR="00AA5C8C" w:rsidRPr="00A23740" w:rsidRDefault="00AA5C8C" w:rsidP="009431FF">
            <w:pPr>
              <w:rPr>
                <w:b/>
                <w:color w:val="0000FF"/>
                <w:szCs w:val="24"/>
              </w:rPr>
            </w:pPr>
            <w:r w:rsidRPr="00A23740">
              <w:rPr>
                <w:rStyle w:val="MaviChar"/>
              </w:rPr>
              <w:t>(3)</w:t>
            </w:r>
            <w:r w:rsidRPr="00A23740">
              <w:rPr>
                <w:rStyle w:val="MaviChar"/>
                <w:lang w:val="tr-TR"/>
              </w:rPr>
              <w:t xml:space="preserve"> Alacaklı takip konusu yabancı para alacağının fiili ödeme günündeki</w:t>
            </w:r>
            <w:r w:rsidRPr="00A23740">
              <w:rPr>
                <w:b/>
                <w:color w:val="0000FF"/>
                <w:szCs w:val="24"/>
              </w:rPr>
              <w:t xml:space="preserve"> Türk </w:t>
            </w:r>
            <w:r w:rsidR="009052BF" w:rsidRPr="00A23740">
              <w:rPr>
                <w:b/>
                <w:color w:val="0000FF"/>
                <w:szCs w:val="24"/>
              </w:rPr>
              <w:t xml:space="preserve">lirası </w:t>
            </w:r>
            <w:r w:rsidRPr="00A23740">
              <w:rPr>
                <w:b/>
                <w:color w:val="0000FF"/>
                <w:szCs w:val="24"/>
              </w:rPr>
              <w:t>karşılığını talep etmiş ise depo karar</w:t>
            </w:r>
            <w:r w:rsidRPr="00A23740">
              <w:rPr>
                <w:rStyle w:val="MaviChar"/>
              </w:rPr>
              <w:t>ında belirtilecek tutar</w:t>
            </w:r>
            <w:r w:rsidRPr="00A23740">
              <w:rPr>
                <w:b/>
                <w:color w:val="0000FF"/>
                <w:szCs w:val="24"/>
              </w:rPr>
              <w:t xml:space="preserve">, bu kararın verildiği tarihteki Türkiye Cumhuriyet Merkez Bankası efektif satış kuru esas alınarak </w:t>
            </w:r>
            <w:r w:rsidRPr="00A23740">
              <w:rPr>
                <w:rStyle w:val="MaviChar"/>
              </w:rPr>
              <w:t>hesaplanır.</w:t>
            </w:r>
          </w:p>
          <w:p w:rsidR="001A031C" w:rsidRPr="00A23740" w:rsidRDefault="001A031C" w:rsidP="009431FF">
            <w:pPr>
              <w:rPr>
                <w:b/>
                <w:color w:val="0000FF"/>
                <w:szCs w:val="24"/>
              </w:rPr>
            </w:pPr>
          </w:p>
          <w:p w:rsidR="00AA5C8C" w:rsidRDefault="00AA5C8C" w:rsidP="009431FF">
            <w:pPr>
              <w:rPr>
                <w:b/>
                <w:color w:val="0000FF"/>
                <w:szCs w:val="24"/>
              </w:rPr>
            </w:pPr>
            <w:r w:rsidRPr="00A23740">
              <w:rPr>
                <w:b/>
                <w:color w:val="0000FF"/>
                <w:szCs w:val="24"/>
              </w:rPr>
              <w:t>(4) Depo kararı,</w:t>
            </w:r>
            <w:r w:rsidR="00942497" w:rsidRPr="00A23740">
              <w:rPr>
                <w:b/>
                <w:color w:val="0000FF"/>
                <w:szCs w:val="24"/>
              </w:rPr>
              <w:t xml:space="preserve"> </w:t>
            </w:r>
            <w:r w:rsidR="00942497" w:rsidRPr="009D0B93">
              <w:rPr>
                <w:rStyle w:val="MaviChar"/>
              </w:rPr>
              <w:t>duruşmada hazır ise</w:t>
            </w:r>
            <w:r w:rsidRPr="00A23740">
              <w:rPr>
                <w:b/>
                <w:color w:val="0000FF"/>
                <w:szCs w:val="24"/>
              </w:rPr>
              <w:t xml:space="preserve"> borçluya veya vekiline tefhim</w:t>
            </w:r>
            <w:r w:rsidRPr="00A23740">
              <w:rPr>
                <w:rStyle w:val="MaviChar"/>
              </w:rPr>
              <w:t>;</w:t>
            </w:r>
            <w:r w:rsidRPr="00A23740">
              <w:rPr>
                <w:b/>
                <w:color w:val="0000FF"/>
                <w:szCs w:val="24"/>
              </w:rPr>
              <w:t xml:space="preserve"> borçlu </w:t>
            </w:r>
            <w:r w:rsidR="00141B7C" w:rsidRPr="009D0B93">
              <w:rPr>
                <w:rStyle w:val="MaviChar"/>
              </w:rPr>
              <w:t>veya</w:t>
            </w:r>
            <w:r w:rsidR="00141B7C" w:rsidRPr="00A23740">
              <w:rPr>
                <w:b/>
                <w:color w:val="0000FF"/>
                <w:szCs w:val="24"/>
              </w:rPr>
              <w:t xml:space="preserve"> </w:t>
            </w:r>
            <w:r w:rsidRPr="00A23740">
              <w:rPr>
                <w:b/>
                <w:color w:val="0000FF"/>
                <w:szCs w:val="24"/>
              </w:rPr>
              <w:t>vekilinin duruşmada hazır bulunmadığı h</w:t>
            </w:r>
            <w:r w:rsidR="008D7868" w:rsidRPr="00A23740">
              <w:rPr>
                <w:b/>
                <w:color w:val="0000FF"/>
                <w:szCs w:val="24"/>
              </w:rPr>
              <w:t>â</w:t>
            </w:r>
            <w:r w:rsidRPr="00A23740">
              <w:rPr>
                <w:b/>
                <w:color w:val="0000FF"/>
                <w:szCs w:val="24"/>
              </w:rPr>
              <w:t>llerde ise varsa vekiline</w:t>
            </w:r>
            <w:r w:rsidR="00141B7C" w:rsidRPr="009D0B93">
              <w:rPr>
                <w:rStyle w:val="MaviChar"/>
              </w:rPr>
              <w:t>,</w:t>
            </w:r>
            <w:r w:rsidRPr="00A23740">
              <w:rPr>
                <w:b/>
                <w:color w:val="0000FF"/>
                <w:szCs w:val="24"/>
              </w:rPr>
              <w:t xml:space="preserve"> aksi h</w:t>
            </w:r>
            <w:r w:rsidR="008D7868" w:rsidRPr="00A23740">
              <w:rPr>
                <w:b/>
                <w:color w:val="0000FF"/>
                <w:szCs w:val="24"/>
              </w:rPr>
              <w:t>â</w:t>
            </w:r>
            <w:r w:rsidRPr="00A23740">
              <w:rPr>
                <w:b/>
                <w:color w:val="0000FF"/>
                <w:szCs w:val="24"/>
              </w:rPr>
              <w:t>lde borçluya tebliğ edilir.</w:t>
            </w:r>
          </w:p>
          <w:p w:rsidR="00A303FE" w:rsidRPr="005C2C1E" w:rsidRDefault="00A303FE" w:rsidP="009431FF">
            <w:pPr>
              <w:rPr>
                <w:rStyle w:val="YELChar"/>
                <w:rFonts w:eastAsia="Calibri"/>
                <w:color w:val="0000FF"/>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ind w:firstLine="709"/>
              <w:rPr>
                <w:b/>
                <w:bCs/>
                <w:szCs w:val="24"/>
                <w:lang w:eastAsia="x-none"/>
              </w:rPr>
            </w:pPr>
          </w:p>
          <w:p w:rsidR="00687220" w:rsidRPr="00A23740" w:rsidRDefault="00687220" w:rsidP="009431FF">
            <w:pPr>
              <w:tabs>
                <w:tab w:val="left" w:pos="567"/>
              </w:tabs>
              <w:ind w:firstLine="709"/>
              <w:rPr>
                <w:bCs/>
                <w:szCs w:val="24"/>
                <w:lang w:eastAsia="x-none"/>
              </w:rPr>
            </w:pPr>
            <w:r w:rsidRPr="00A23740">
              <w:rPr>
                <w:b/>
                <w:bCs/>
                <w:szCs w:val="24"/>
                <w:lang w:eastAsia="x-none"/>
              </w:rPr>
              <w:t>MADDE 275-</w:t>
            </w:r>
            <w:r w:rsidRPr="00A23740">
              <w:rPr>
                <w:bCs/>
                <w:szCs w:val="24"/>
                <w:lang w:eastAsia="x-none"/>
              </w:rPr>
              <w:t xml:space="preserve"> Maddeyle, iflas yoluyla takipte depo kararına ilişkin hususlar düzenlenmektedir. Hüküm, 2004 sayılı Kanunun 158 inci maddesine karşılık gelmektedir. </w:t>
            </w:r>
          </w:p>
          <w:p w:rsidR="00687220" w:rsidRPr="00A23740" w:rsidRDefault="00687220" w:rsidP="009431FF">
            <w:pPr>
              <w:tabs>
                <w:tab w:val="left" w:pos="567"/>
              </w:tabs>
              <w:ind w:firstLine="709"/>
              <w:rPr>
                <w:bCs/>
                <w:szCs w:val="24"/>
                <w:lang w:eastAsia="x-none"/>
              </w:rPr>
            </w:pPr>
            <w:r w:rsidRPr="00A23740">
              <w:rPr>
                <w:bCs/>
                <w:szCs w:val="24"/>
                <w:lang w:eastAsia="x-none"/>
              </w:rPr>
              <w:t>Hükmün birinci fıkrasında, Taslağın 274 üncü</w:t>
            </w:r>
            <w:r w:rsidR="002C70B3" w:rsidRPr="00A23740">
              <w:rPr>
                <w:bCs/>
                <w:szCs w:val="24"/>
                <w:lang w:eastAsia="x-none"/>
              </w:rPr>
              <w:t xml:space="preserve"> </w:t>
            </w:r>
            <w:r w:rsidRPr="00A23740">
              <w:rPr>
                <w:bCs/>
                <w:szCs w:val="24"/>
                <w:lang w:eastAsia="x-none"/>
              </w:rPr>
              <w:t>maddesinin üçüncü fıkrasında düzenlendiği gibi alacaklıların ilan üzerine yapmış oldukların itirazların çözüme kavuşturulmasından veya zaten bu yönde hiçbir itirazın bulunmaması durumunda mahkemenin, sözlü yargılamanın hitamıyla birlikte lâkin hükümden evvel iflas davalarına özgü olarak son bir ara kararıyla “depo kararı” vereceği düzenlenmiştir. Bu özel ara kararı, iflas kararından evvel borçluya tanınan son imk</w:t>
            </w:r>
            <w:r w:rsidR="00BE53A8" w:rsidRPr="00A23740">
              <w:rPr>
                <w:rFonts w:eastAsia="Times New Roman"/>
                <w:szCs w:val="24"/>
                <w:lang w:eastAsia="tr-TR"/>
              </w:rPr>
              <w:t>â</w:t>
            </w:r>
            <w:r w:rsidRPr="00A23740">
              <w:rPr>
                <w:bCs/>
                <w:szCs w:val="24"/>
                <w:lang w:eastAsia="x-none"/>
              </w:rPr>
              <w:t xml:space="preserve">ndır. </w:t>
            </w:r>
          </w:p>
          <w:p w:rsidR="00687220" w:rsidRPr="00A23740" w:rsidRDefault="00687220" w:rsidP="009431FF">
            <w:pPr>
              <w:tabs>
                <w:tab w:val="left" w:pos="567"/>
              </w:tabs>
              <w:ind w:firstLine="709"/>
              <w:rPr>
                <w:bCs/>
                <w:szCs w:val="24"/>
                <w:lang w:eastAsia="x-none"/>
              </w:rPr>
            </w:pPr>
            <w:r w:rsidRPr="00A23740">
              <w:rPr>
                <w:bCs/>
                <w:szCs w:val="24"/>
                <w:lang w:eastAsia="x-none"/>
              </w:rPr>
              <w:t xml:space="preserve">Taslağın ikinci fıkrası, depo kararının içeriğini düzenlemektedir. Depo kararının borçlunun aleyhinde olan sonuçlarının </w:t>
            </w:r>
            <w:r w:rsidR="00016BA4" w:rsidRPr="00D60C1D">
              <w:rPr>
                <w:rStyle w:val="YELChar"/>
                <w:b w:val="0"/>
                <w:color w:val="000000"/>
              </w:rPr>
              <w:t>doğumuna</w:t>
            </w:r>
            <w:r w:rsidRPr="00A23740">
              <w:rPr>
                <w:bCs/>
                <w:szCs w:val="24"/>
                <w:lang w:eastAsia="x-none"/>
              </w:rPr>
              <w:t xml:space="preserve"> engel olmak bakımından borcun mutlaka tamamının ödenmesi gerekir. Bu duruma işaret etmek üzere “</w:t>
            </w:r>
            <w:r w:rsidR="00016BA4" w:rsidRPr="00D60C1D">
              <w:rPr>
                <w:rStyle w:val="YELChar"/>
                <w:b w:val="0"/>
                <w:color w:val="000000"/>
              </w:rPr>
              <w:t>borcun</w:t>
            </w:r>
            <w:r w:rsidRPr="00A23740">
              <w:rPr>
                <w:bCs/>
                <w:szCs w:val="24"/>
                <w:lang w:eastAsia="x-none"/>
              </w:rPr>
              <w:t xml:space="preserve"> tamamının” vurgusu metne özellikle geçirilmiştir. Bu hâlde süre kesin olup uygulamada da örneklerine denk gelindiği üzere ne fiilen ne de hukuken uzaması </w:t>
            </w:r>
            <w:r w:rsidR="00016BA4" w:rsidRPr="00D60C1D">
              <w:rPr>
                <w:rStyle w:val="YELChar"/>
                <w:b w:val="0"/>
                <w:color w:val="000000"/>
              </w:rPr>
              <w:t>mümkündür</w:t>
            </w:r>
            <w:r w:rsidRPr="00A23740">
              <w:rPr>
                <w:bCs/>
                <w:szCs w:val="24"/>
                <w:lang w:eastAsia="x-none"/>
              </w:rPr>
              <w:t>. Zira süresi içinde borcun ödenmemesi h</w:t>
            </w:r>
            <w:r w:rsidR="00FE35B7" w:rsidRPr="00A23740">
              <w:rPr>
                <w:bCs/>
                <w:szCs w:val="24"/>
                <w:lang w:eastAsia="x-none"/>
              </w:rPr>
              <w:t>â</w:t>
            </w:r>
            <w:r w:rsidRPr="00A23740">
              <w:rPr>
                <w:bCs/>
                <w:szCs w:val="24"/>
                <w:lang w:eastAsia="x-none"/>
              </w:rPr>
              <w:t xml:space="preserve">linde, iflas kararı için artık ayrıca bir duruşma günü tayin edilmeyecek ve </w:t>
            </w:r>
            <w:r w:rsidR="00016BA4" w:rsidRPr="00D60C1D">
              <w:rPr>
                <w:rStyle w:val="YELChar"/>
                <w:b w:val="0"/>
                <w:color w:val="000000"/>
              </w:rPr>
              <w:t>iflasa</w:t>
            </w:r>
            <w:r w:rsidR="00016BA4" w:rsidRPr="00A23740">
              <w:rPr>
                <w:bCs/>
                <w:szCs w:val="24"/>
                <w:lang w:eastAsia="x-none"/>
              </w:rPr>
              <w:t xml:space="preserve"> </w:t>
            </w:r>
            <w:r w:rsidRPr="00A23740">
              <w:rPr>
                <w:bCs/>
                <w:szCs w:val="24"/>
                <w:lang w:eastAsia="x-none"/>
              </w:rPr>
              <w:t>dosya üzerinden derhâl hükmedilecektir. Mevcut kanun hükmüne göre 7 gün olan depo emri süresi nispeten kısa olduğu gibi</w:t>
            </w:r>
            <w:r w:rsidR="00016BA4" w:rsidRPr="00D60C1D">
              <w:rPr>
                <w:rStyle w:val="YELChar"/>
                <w:b w:val="0"/>
                <w:color w:val="000000"/>
              </w:rPr>
              <w:t>,</w:t>
            </w:r>
            <w:r w:rsidRPr="00A23740">
              <w:rPr>
                <w:bCs/>
                <w:szCs w:val="24"/>
                <w:lang w:eastAsia="x-none"/>
              </w:rPr>
              <w:t xml:space="preserve"> müstakar içtihat söz konusu 7 günlük sürenin geçirilmiş olduğu h</w:t>
            </w:r>
            <w:r w:rsidR="008D7868" w:rsidRPr="00A23740">
              <w:rPr>
                <w:bCs/>
                <w:szCs w:val="24"/>
                <w:lang w:eastAsia="x-none"/>
              </w:rPr>
              <w:t>â</w:t>
            </w:r>
            <w:r w:rsidRPr="00A23740">
              <w:rPr>
                <w:bCs/>
                <w:szCs w:val="24"/>
                <w:lang w:eastAsia="x-none"/>
              </w:rPr>
              <w:t>llerde dahi duruşmadan evvel depo emrinin yerine getirilmesi</w:t>
            </w:r>
            <w:r w:rsidR="00016BA4" w:rsidRPr="00A23740">
              <w:rPr>
                <w:bCs/>
                <w:szCs w:val="24"/>
                <w:lang w:eastAsia="x-none"/>
              </w:rPr>
              <w:t xml:space="preserve"> </w:t>
            </w:r>
            <w:r w:rsidR="00016BA4" w:rsidRPr="00D60C1D">
              <w:rPr>
                <w:rStyle w:val="YELChar"/>
                <w:b w:val="0"/>
                <w:color w:val="000000"/>
              </w:rPr>
              <w:t>durumunda</w:t>
            </w:r>
            <w:r w:rsidRPr="00A23740">
              <w:rPr>
                <w:bCs/>
                <w:szCs w:val="24"/>
                <w:lang w:eastAsia="x-none"/>
              </w:rPr>
              <w:t xml:space="preserve"> iflasa karar verilemeyeceğini kabul etmektedir. Taslakla birlikte depo emrinin tefhim veya tebliğinden sonra ödemenin tam olarak vuku bulmaması h</w:t>
            </w:r>
            <w:r w:rsidR="00FE35B7" w:rsidRPr="00A23740">
              <w:rPr>
                <w:bCs/>
                <w:szCs w:val="24"/>
                <w:lang w:eastAsia="x-none"/>
              </w:rPr>
              <w:t>â</w:t>
            </w:r>
            <w:r w:rsidRPr="00A23740">
              <w:rPr>
                <w:bCs/>
                <w:szCs w:val="24"/>
                <w:lang w:eastAsia="x-none"/>
              </w:rPr>
              <w:t>linde</w:t>
            </w:r>
            <w:r w:rsidR="00016BA4" w:rsidRPr="00CD2464">
              <w:rPr>
                <w:rStyle w:val="YELChar"/>
                <w:b w:val="0"/>
                <w:color w:val="000000" w:themeColor="text1"/>
              </w:rPr>
              <w:t>,</w:t>
            </w:r>
            <w:r w:rsidRPr="00A23740">
              <w:rPr>
                <w:bCs/>
                <w:szCs w:val="24"/>
                <w:lang w:eastAsia="x-none"/>
              </w:rPr>
              <w:t xml:space="preserve"> iflasa dosya üzerinden derhâl karar verileceği esası kabul edilmiş; bu nedenle de 7 gün olan süre, iki haftaya yükseltilmiştir. Yapılan bu değişiklik, </w:t>
            </w:r>
            <w:r w:rsidR="003E7FF9" w:rsidRPr="00D60C1D">
              <w:rPr>
                <w:rStyle w:val="KonuBalChar"/>
                <w:rFonts w:eastAsia="Calibri"/>
                <w:b w:val="0"/>
                <w:color w:val="000000"/>
              </w:rPr>
              <w:t>6100 sayılı Kanunun</w:t>
            </w:r>
            <w:r w:rsidRPr="00A23740">
              <w:rPr>
                <w:bCs/>
                <w:szCs w:val="24"/>
                <w:lang w:eastAsia="x-none"/>
              </w:rPr>
              <w:t xml:space="preserve"> sözlü yargılama ve hükmün birlikte; iç içe olacağı şeklindeki sistemine açık ve özel bir istisna getirmektedir. Bu istisnanın usul hukukuna ait güvenceleri zedeleyen bir yönü tespit edilememiştir. Kaldı ki, bu husus, depo karında bir </w:t>
            </w:r>
            <w:r w:rsidR="00016BA4" w:rsidRPr="00D60C1D">
              <w:rPr>
                <w:rStyle w:val="YELChar"/>
                <w:b w:val="0"/>
                <w:color w:val="000000"/>
              </w:rPr>
              <w:t>ihtar</w:t>
            </w:r>
            <w:r w:rsidR="00016BA4" w:rsidRPr="00A23740">
              <w:rPr>
                <w:bCs/>
                <w:szCs w:val="24"/>
                <w:lang w:eastAsia="x-none"/>
              </w:rPr>
              <w:t xml:space="preserve"> </w:t>
            </w:r>
            <w:r w:rsidRPr="00A23740">
              <w:rPr>
                <w:bCs/>
                <w:szCs w:val="24"/>
                <w:lang w:eastAsia="x-none"/>
              </w:rPr>
              <w:t xml:space="preserve">olarak ayrıca yer alacaktır. </w:t>
            </w:r>
          </w:p>
          <w:p w:rsidR="00687220" w:rsidRPr="00A23740" w:rsidRDefault="00687220" w:rsidP="009431FF">
            <w:pPr>
              <w:tabs>
                <w:tab w:val="left" w:pos="567"/>
              </w:tabs>
              <w:ind w:firstLine="709"/>
              <w:rPr>
                <w:bCs/>
                <w:szCs w:val="24"/>
                <w:lang w:eastAsia="x-none"/>
              </w:rPr>
            </w:pPr>
            <w:r w:rsidRPr="00A23740">
              <w:rPr>
                <w:bCs/>
                <w:szCs w:val="24"/>
                <w:lang w:eastAsia="x-none"/>
              </w:rPr>
              <w:t>Takip konusu alacağın yabancı para olması h</w:t>
            </w:r>
            <w:r w:rsidR="00FE35B7" w:rsidRPr="00A23740">
              <w:rPr>
                <w:bCs/>
                <w:szCs w:val="24"/>
                <w:lang w:eastAsia="x-none"/>
              </w:rPr>
              <w:t>â</w:t>
            </w:r>
            <w:r w:rsidRPr="00A23740">
              <w:rPr>
                <w:bCs/>
                <w:szCs w:val="24"/>
                <w:lang w:eastAsia="x-none"/>
              </w:rPr>
              <w:t xml:space="preserve">linde, bu kez üçüncü fıkrada depo kararına konu edilecek alacakla ilgili özel düzenlemeye yer verilmiştir. </w:t>
            </w:r>
          </w:p>
          <w:p w:rsidR="00DE5024" w:rsidRDefault="00687220" w:rsidP="00DE5024">
            <w:pPr>
              <w:tabs>
                <w:tab w:val="left" w:pos="567"/>
              </w:tabs>
              <w:ind w:firstLine="709"/>
              <w:rPr>
                <w:bCs/>
                <w:szCs w:val="24"/>
                <w:lang w:eastAsia="x-none"/>
              </w:rPr>
            </w:pPr>
            <w:r w:rsidRPr="00A23740">
              <w:rPr>
                <w:bCs/>
                <w:szCs w:val="24"/>
                <w:lang w:eastAsia="x-none"/>
              </w:rPr>
              <w:t>Depo kararı, duruşmada hazır olmaları h</w:t>
            </w:r>
            <w:r w:rsidR="00FE35B7" w:rsidRPr="00A23740">
              <w:rPr>
                <w:bCs/>
                <w:szCs w:val="24"/>
                <w:lang w:eastAsia="x-none"/>
              </w:rPr>
              <w:t>â</w:t>
            </w:r>
            <w:r w:rsidRPr="00A23740">
              <w:rPr>
                <w:bCs/>
                <w:szCs w:val="24"/>
                <w:lang w:eastAsia="x-none"/>
              </w:rPr>
              <w:t>linde borçlu veya varsa vekiline tefhim;</w:t>
            </w:r>
            <w:r w:rsidR="00016BA4" w:rsidRPr="00A23740">
              <w:rPr>
                <w:bCs/>
                <w:szCs w:val="24"/>
                <w:lang w:eastAsia="x-none"/>
              </w:rPr>
              <w:t xml:space="preserve"> </w:t>
            </w:r>
            <w:r w:rsidR="00016BA4" w:rsidRPr="00D60C1D">
              <w:rPr>
                <w:rStyle w:val="YELChar"/>
                <w:b w:val="0"/>
                <w:color w:val="000000"/>
              </w:rPr>
              <w:t>duruşmada hazır</w:t>
            </w:r>
            <w:r w:rsidRPr="00A23740">
              <w:rPr>
                <w:bCs/>
                <w:szCs w:val="24"/>
                <w:lang w:eastAsia="x-none"/>
              </w:rPr>
              <w:t xml:space="preserve"> değiller ise</w:t>
            </w:r>
            <w:r w:rsidR="00016BA4" w:rsidRPr="00D60C1D">
              <w:rPr>
                <w:rStyle w:val="YELChar"/>
                <w:b w:val="0"/>
                <w:color w:val="000000"/>
              </w:rPr>
              <w:t>,</w:t>
            </w:r>
            <w:r w:rsidRPr="00A23740">
              <w:rPr>
                <w:bCs/>
                <w:szCs w:val="24"/>
                <w:lang w:eastAsia="x-none"/>
              </w:rPr>
              <w:t xml:space="preserve"> kendilerine tebliğ edilir ve böylece süre işlemeye başlar. Bu noktada vekilin varlığı h</w:t>
            </w:r>
            <w:r w:rsidR="00FE35B7" w:rsidRPr="00A23740">
              <w:rPr>
                <w:bCs/>
                <w:szCs w:val="24"/>
                <w:lang w:eastAsia="x-none"/>
              </w:rPr>
              <w:t>â</w:t>
            </w:r>
            <w:r w:rsidRPr="00A23740">
              <w:rPr>
                <w:bCs/>
                <w:szCs w:val="24"/>
                <w:lang w:eastAsia="x-none"/>
              </w:rPr>
              <w:t>linde</w:t>
            </w:r>
            <w:r w:rsidR="00016BA4" w:rsidRPr="00D60C1D">
              <w:rPr>
                <w:rStyle w:val="YELChar"/>
                <w:b w:val="0"/>
                <w:color w:val="000000"/>
              </w:rPr>
              <w:t>,</w:t>
            </w:r>
            <w:r w:rsidRPr="00A23740">
              <w:rPr>
                <w:bCs/>
                <w:szCs w:val="24"/>
                <w:lang w:eastAsia="x-none"/>
              </w:rPr>
              <w:t xml:space="preserve"> vekile tefhim yahut tebliğ yeterli olup ayrıca borçl</w:t>
            </w:r>
            <w:r w:rsidR="00016BA4" w:rsidRPr="00A23740">
              <w:rPr>
                <w:bCs/>
                <w:szCs w:val="24"/>
                <w:lang w:eastAsia="x-none"/>
              </w:rPr>
              <w:t>unun kendisine tebliğ gerekmez.</w:t>
            </w:r>
          </w:p>
          <w:p w:rsidR="00687220" w:rsidRPr="00A23740" w:rsidRDefault="00687220" w:rsidP="00DE5024">
            <w:pPr>
              <w:tabs>
                <w:tab w:val="left" w:pos="567"/>
              </w:tabs>
              <w:ind w:firstLine="709"/>
              <w:rPr>
                <w:bCs/>
              </w:rPr>
            </w:pPr>
            <w:r w:rsidRPr="00A23740">
              <w:rPr>
                <w:bCs/>
              </w:rPr>
              <w:t xml:space="preserve"> </w:t>
            </w:r>
          </w:p>
          <w:p w:rsidR="00046430" w:rsidRPr="00A23740" w:rsidRDefault="00046430" w:rsidP="00DE5024">
            <w:pPr>
              <w:tabs>
                <w:tab w:val="left" w:pos="567"/>
              </w:tabs>
              <w:ind w:firstLine="709"/>
              <w:rPr>
                <w:rFonts w:eastAsia="Times New Roman"/>
                <w:b/>
                <w:bCs/>
                <w:color w:val="FF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vAlign w:val="center"/>
          </w:tcPr>
          <w:p w:rsidR="00AA5C8C" w:rsidRPr="00A23740" w:rsidRDefault="00AA5C8C" w:rsidP="009431FF">
            <w:pPr>
              <w:widowControl w:val="0"/>
              <w:rPr>
                <w:rFonts w:eastAsia="Times New Roman"/>
                <w:i/>
                <w:iCs/>
                <w:color w:val="000000"/>
                <w:szCs w:val="24"/>
                <w:lang w:eastAsia="tr-TR"/>
              </w:rPr>
            </w:pPr>
            <w:r w:rsidRPr="00A23740">
              <w:rPr>
                <w:rFonts w:eastAsia="Times New Roman"/>
                <w:i/>
                <w:iCs/>
                <w:color w:val="000000"/>
                <w:szCs w:val="24"/>
                <w:lang w:eastAsia="tr-TR"/>
              </w:rPr>
              <w:t>İflas talebi ve müddeti:</w:t>
            </w:r>
          </w:p>
          <w:p w:rsidR="00AA5C8C" w:rsidRPr="00A23740" w:rsidRDefault="00AA5C8C" w:rsidP="009431FF">
            <w:pPr>
              <w:widowControl w:val="0"/>
              <w:rPr>
                <w:rFonts w:eastAsia="Times New Roman"/>
                <w:color w:val="000000"/>
                <w:szCs w:val="24"/>
                <w:lang w:eastAsia="tr-TR"/>
              </w:rPr>
            </w:pPr>
            <w:r w:rsidRPr="00A23740">
              <w:rPr>
                <w:rFonts w:eastAsia="Times New Roman"/>
                <w:b/>
                <w:bCs/>
                <w:color w:val="000000"/>
                <w:szCs w:val="24"/>
                <w:lang w:eastAsia="tr-TR"/>
              </w:rPr>
              <w:t>Madde 156 – (Değişik: 3/7/1940-3890/1 md.)</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strike w:val="0"/>
              </w:rPr>
              <w:t>(1)</w:t>
            </w:r>
            <w:r w:rsidRPr="00A23740">
              <w:rPr>
                <w:rFonts w:eastAsia="Times New Roman"/>
                <w:color w:val="000000"/>
                <w:szCs w:val="24"/>
                <w:lang w:eastAsia="tr-TR"/>
              </w:rPr>
              <w:t xml:space="preserve"> </w:t>
            </w:r>
            <w:r w:rsidRPr="00A23740">
              <w:rPr>
                <w:rStyle w:val="KIRMIZIChar"/>
                <w:rFonts w:eastAsia="Calibri"/>
                <w:lang w:eastAsia="tr-TR"/>
              </w:rPr>
              <w:t>Ödeme emrindeki müddet içinde borçlu tarafından itiraz olunmamışsa alacaklı bir dilekçe ile Ticaret Mahkemesinden iflas kararı isteyebilir.</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strike w:val="0"/>
              </w:rPr>
              <w:t>(2)</w:t>
            </w:r>
            <w:r w:rsidRPr="00A23740">
              <w:rPr>
                <w:rFonts w:eastAsia="Times New Roman"/>
                <w:color w:val="000000"/>
                <w:szCs w:val="24"/>
                <w:lang w:eastAsia="tr-TR"/>
              </w:rPr>
              <w:t xml:space="preserve"> </w:t>
            </w:r>
            <w:r w:rsidRPr="00A23740">
              <w:rPr>
                <w:rStyle w:val="KIRMIZIChar"/>
                <w:rFonts w:eastAsia="Calibri"/>
                <w:lang w:eastAsia="tr-TR"/>
              </w:rPr>
              <w:t>Bu dilekçeye borçlunun ödeme emrine itiraz etmediğini mübeyyin ödeme emri nüshasının raptedilmesi lazımdır.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KIRMIZIChar"/>
                <w:rFonts w:eastAsia="Calibri"/>
                <w:strike w:val="0"/>
              </w:rPr>
              <w:t>(3)</w:t>
            </w:r>
            <w:r w:rsidRPr="00A23740">
              <w:rPr>
                <w:rFonts w:eastAsia="Times New Roman"/>
                <w:color w:val="000000"/>
                <w:szCs w:val="24"/>
                <w:lang w:eastAsia="tr-TR"/>
              </w:rPr>
              <w:t xml:space="preserve"> </w:t>
            </w:r>
            <w:r w:rsidRPr="00A23740">
              <w:rPr>
                <w:rStyle w:val="KIRMIZIChar"/>
                <w:rFonts w:eastAsia="Calibri"/>
                <w:lang w:eastAsia="tr-TR"/>
              </w:rPr>
              <w:t>Borçlu ödeme emrine itiraz etmişse takip durur ve alacaklı bu itirazın kaldırılması ile beraber borçlunun iflasına karar verilmesini bir dilekçe ile Ticaret Mahkemesinden isteyebilir.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KIRMIZIChar"/>
                <w:rFonts w:eastAsia="Calibri"/>
                <w:strike w:val="0"/>
              </w:rPr>
              <w:t>(4)</w:t>
            </w:r>
            <w:r w:rsidRPr="00A23740">
              <w:rPr>
                <w:rFonts w:eastAsia="Times New Roman"/>
                <w:color w:val="000000"/>
                <w:szCs w:val="24"/>
                <w:lang w:eastAsia="tr-TR"/>
              </w:rPr>
              <w:t xml:space="preserve"> </w:t>
            </w:r>
            <w:r w:rsidRPr="00A23740">
              <w:rPr>
                <w:rStyle w:val="KIRMIZIChar"/>
                <w:rFonts w:eastAsia="Calibri"/>
                <w:lang w:eastAsia="tr-TR"/>
              </w:rPr>
              <w:t>İflas istemek hakkı ödeme emrinin tebliği tarihinden bir sene sonra düşer.</w:t>
            </w: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rStyle w:val="MaviChar"/>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tabs>
                <w:tab w:val="left" w:pos="567"/>
              </w:tabs>
              <w:rPr>
                <w:b/>
                <w:strike/>
                <w:color w:val="FF0000"/>
                <w:szCs w:val="24"/>
              </w:rPr>
            </w:pPr>
          </w:p>
        </w:tc>
        <w:tc>
          <w:tcPr>
            <w:tcW w:w="2500" w:type="pct"/>
          </w:tcPr>
          <w:p w:rsidR="00AA5C8C" w:rsidRPr="00A23740" w:rsidRDefault="00FE3536" w:rsidP="009431FF">
            <w:pPr>
              <w:pStyle w:val="Mavi"/>
              <w:widowControl w:val="0"/>
            </w:pPr>
            <w:r w:rsidRPr="009D0B93">
              <w:t>İflas</w:t>
            </w:r>
            <w:r w:rsidRPr="00A23740">
              <w:rPr>
                <w:rStyle w:val="YELChar"/>
                <w:rFonts w:eastAsia="Calibri"/>
                <w:b/>
                <w:color w:val="538135"/>
                <w:lang w:val="tr-TR" w:eastAsia="x-none"/>
              </w:rPr>
              <w:t xml:space="preserve"> </w:t>
            </w:r>
            <w:r w:rsidRPr="00A23740">
              <w:rPr>
                <w:rStyle w:val="YELChar"/>
                <w:rFonts w:eastAsia="Calibri"/>
                <w:b/>
                <w:color w:val="0000FF"/>
                <w:lang w:eastAsia="x-none"/>
              </w:rPr>
              <w:t xml:space="preserve">ödeme </w:t>
            </w:r>
            <w:r w:rsidR="00AA5C8C" w:rsidRPr="00A23740">
              <w:rPr>
                <w:rStyle w:val="YELChar"/>
                <w:rFonts w:eastAsia="Calibri"/>
                <w:b/>
                <w:color w:val="0000FF"/>
                <w:lang w:eastAsia="x-none"/>
              </w:rPr>
              <w:t>emrine</w:t>
            </w:r>
            <w:r w:rsidR="00AA5C8C" w:rsidRPr="00A23740">
              <w:t xml:space="preserve"> itiraz </w:t>
            </w:r>
            <w:r w:rsidR="00AA5C8C" w:rsidRPr="00A23740">
              <w:rPr>
                <w:rStyle w:val="YELChar"/>
                <w:rFonts w:eastAsia="Calibri"/>
                <w:b/>
                <w:color w:val="0000FF"/>
                <w:lang w:eastAsia="x-none"/>
              </w:rPr>
              <w:t>edilmemesi</w:t>
            </w:r>
          </w:p>
          <w:p w:rsidR="00AA5C8C" w:rsidRPr="00A23740" w:rsidRDefault="00490C3E" w:rsidP="009431FF">
            <w:pPr>
              <w:widowControl w:val="0"/>
              <w:rPr>
                <w:b/>
                <w:color w:val="0000FF"/>
                <w:szCs w:val="24"/>
              </w:rPr>
            </w:pPr>
            <w:r w:rsidRPr="00A23740">
              <w:rPr>
                <w:b/>
                <w:color w:val="0000FF"/>
                <w:szCs w:val="24"/>
              </w:rPr>
              <w:t>MADDE 276</w:t>
            </w:r>
            <w:r w:rsidR="00AA5C8C" w:rsidRPr="00A23740">
              <w:rPr>
                <w:b/>
                <w:color w:val="0000FF"/>
                <w:szCs w:val="24"/>
              </w:rPr>
              <w:t xml:space="preserve">- (1) </w:t>
            </w:r>
            <w:r w:rsidR="0007486B" w:rsidRPr="00A23740">
              <w:rPr>
                <w:b/>
                <w:color w:val="0000FF"/>
                <w:szCs w:val="24"/>
              </w:rPr>
              <w:t>Borçlunun</w:t>
            </w:r>
            <w:r w:rsidR="00FE3536" w:rsidRPr="00A23740">
              <w:rPr>
                <w:b/>
                <w:color w:val="0000FF"/>
                <w:szCs w:val="24"/>
              </w:rPr>
              <w:t xml:space="preserve"> </w:t>
            </w:r>
            <w:r w:rsidR="00FE3536" w:rsidRPr="009D0B93">
              <w:rPr>
                <w:rStyle w:val="MaviChar"/>
              </w:rPr>
              <w:t>iflas</w:t>
            </w:r>
            <w:r w:rsidR="0007486B" w:rsidRPr="00A23740">
              <w:rPr>
                <w:b/>
                <w:color w:val="0000FF"/>
                <w:szCs w:val="24"/>
              </w:rPr>
              <w:t xml:space="preserve"> </w:t>
            </w:r>
            <w:r w:rsidR="00AA5C8C" w:rsidRPr="00A23740">
              <w:rPr>
                <w:b/>
                <w:color w:val="0000FF"/>
                <w:szCs w:val="24"/>
              </w:rPr>
              <w:t>ödeme emrinde öngörülen sürede borcunu ödememesi ve itirazda bulunmaması h</w:t>
            </w:r>
            <w:r w:rsidR="0007486B" w:rsidRPr="00A23740">
              <w:rPr>
                <w:b/>
                <w:color w:val="0000FF"/>
                <w:szCs w:val="24"/>
              </w:rPr>
              <w:t>â</w:t>
            </w:r>
            <w:r w:rsidR="00AA5C8C" w:rsidRPr="00A23740">
              <w:rPr>
                <w:b/>
                <w:color w:val="0000FF"/>
                <w:szCs w:val="24"/>
              </w:rPr>
              <w:t>linde</w:t>
            </w:r>
            <w:r w:rsidR="0007486B" w:rsidRPr="00A23740">
              <w:rPr>
                <w:b/>
                <w:color w:val="0000FF"/>
                <w:szCs w:val="24"/>
              </w:rPr>
              <w:t xml:space="preserve"> alacaklı </w:t>
            </w:r>
            <w:r w:rsidR="00AA5C8C" w:rsidRPr="00A23740">
              <w:rPr>
                <w:b/>
                <w:color w:val="0000FF"/>
                <w:szCs w:val="24"/>
              </w:rPr>
              <w:t>bu durumu belgeleyen ödeme emri nüshası ile mahkemeden borçlunun iflasına karar verilmesini isteyebilir.</w:t>
            </w: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p>
          <w:p w:rsidR="00AA5C8C" w:rsidRDefault="00AA5C8C" w:rsidP="009431FF">
            <w:pPr>
              <w:widowControl w:val="0"/>
              <w:rPr>
                <w:b/>
                <w:color w:val="0000FF"/>
                <w:szCs w:val="24"/>
              </w:rPr>
            </w:pPr>
          </w:p>
          <w:p w:rsidR="00CD2464" w:rsidRPr="00A23740" w:rsidRDefault="00CD2464" w:rsidP="009431FF">
            <w:pPr>
              <w:widowControl w:val="0"/>
              <w:rPr>
                <w:b/>
                <w:color w:val="0000FF"/>
                <w:szCs w:val="24"/>
              </w:rPr>
            </w:pPr>
          </w:p>
          <w:p w:rsidR="00AA5C8C" w:rsidRPr="00A23740" w:rsidRDefault="00AA5C8C" w:rsidP="009431FF">
            <w:pPr>
              <w:widowControl w:val="0"/>
              <w:rPr>
                <w:b/>
                <w:color w:val="0000FF"/>
                <w:szCs w:val="24"/>
              </w:rPr>
            </w:pPr>
          </w:p>
          <w:p w:rsidR="00AA5C8C" w:rsidRPr="00A23740" w:rsidRDefault="00AA5C8C" w:rsidP="009431FF">
            <w:pPr>
              <w:widowControl w:val="0"/>
              <w:rPr>
                <w:rStyle w:val="MaviChar"/>
                <w:lang w:val="tr-TR"/>
              </w:rPr>
            </w:pPr>
            <w:r w:rsidRPr="00A23740">
              <w:rPr>
                <w:b/>
                <w:color w:val="0000FF"/>
                <w:szCs w:val="24"/>
              </w:rPr>
              <w:t>(2) İflas talebi,</w:t>
            </w:r>
            <w:r w:rsidR="00033610" w:rsidRPr="00A23740">
              <w:rPr>
                <w:b/>
                <w:color w:val="0000FF"/>
                <w:szCs w:val="24"/>
              </w:rPr>
              <w:t xml:space="preserve"> </w:t>
            </w:r>
            <w:r w:rsidR="00033610" w:rsidRPr="009D0B93">
              <w:rPr>
                <w:rStyle w:val="MaviChar"/>
              </w:rPr>
              <w:t>283 üncü</w:t>
            </w:r>
            <w:r w:rsidRPr="00A23740">
              <w:rPr>
                <w:b/>
                <w:color w:val="0000FF"/>
                <w:szCs w:val="24"/>
              </w:rPr>
              <w:t xml:space="preserve"> maddenin ikinci fıkrasındaki usule göre ilan edilir</w:t>
            </w:r>
            <w:r w:rsidR="0007486B" w:rsidRPr="009D0B93">
              <w:rPr>
                <w:rStyle w:val="MaviChar"/>
              </w:rPr>
              <w:t>.</w:t>
            </w:r>
            <w:r w:rsidRPr="00A23740">
              <w:rPr>
                <w:b/>
                <w:color w:val="0000FF"/>
                <w:szCs w:val="24"/>
              </w:rPr>
              <w:t xml:space="preserve"> </w:t>
            </w:r>
            <w:r w:rsidR="0007486B" w:rsidRPr="00A23740">
              <w:rPr>
                <w:b/>
                <w:color w:val="0000FF"/>
                <w:szCs w:val="24"/>
              </w:rPr>
              <w:t xml:space="preserve">Bu </w:t>
            </w:r>
            <w:r w:rsidRPr="00A23740">
              <w:rPr>
                <w:b/>
                <w:color w:val="0000FF"/>
                <w:szCs w:val="24"/>
              </w:rPr>
              <w:t xml:space="preserve">ilandan itibaren iki hafta içinde diğer alacaklılar </w:t>
            </w:r>
            <w:r w:rsidRPr="00A23740">
              <w:rPr>
                <w:rStyle w:val="MaviChar"/>
              </w:rPr>
              <w:t>gerekçeli bir dilekçeyle ve varsa delilleriyle birlikte, iflası gerektiren bir h</w:t>
            </w:r>
            <w:r w:rsidR="0007486B" w:rsidRPr="00A23740">
              <w:rPr>
                <w:rStyle w:val="MaviChar"/>
                <w:lang w:val="tr-TR"/>
              </w:rPr>
              <w:t>â</w:t>
            </w:r>
            <w:r w:rsidRPr="00A23740">
              <w:rPr>
                <w:rStyle w:val="MaviChar"/>
              </w:rPr>
              <w:t>l bulunmadığını iddia ederek mahkemeden iflas talebinin reddini isteyebilirler.</w:t>
            </w:r>
          </w:p>
          <w:p w:rsidR="00AA5C8C" w:rsidRPr="00A23740" w:rsidRDefault="00AA5C8C" w:rsidP="009431FF">
            <w:pPr>
              <w:widowControl w:val="0"/>
              <w:rPr>
                <w:b/>
                <w:color w:val="0000FF"/>
                <w:szCs w:val="24"/>
              </w:rPr>
            </w:pPr>
          </w:p>
          <w:p w:rsidR="00AA5C8C" w:rsidRPr="00A23740" w:rsidRDefault="00AA5C8C" w:rsidP="009431FF">
            <w:pPr>
              <w:widowControl w:val="0"/>
              <w:rPr>
                <w:b/>
                <w:color w:val="0000FF"/>
                <w:szCs w:val="24"/>
              </w:rPr>
            </w:pPr>
            <w:r w:rsidRPr="00A23740">
              <w:rPr>
                <w:b/>
                <w:color w:val="0000FF"/>
                <w:szCs w:val="24"/>
              </w:rPr>
              <w:t xml:space="preserve">(3) Mahkeme, icra dosyasını </w:t>
            </w:r>
            <w:r w:rsidR="0007486B" w:rsidRPr="009D0B93">
              <w:rPr>
                <w:rStyle w:val="MaviChar"/>
              </w:rPr>
              <w:t>celbeder;</w:t>
            </w:r>
            <w:r w:rsidRPr="00A23740">
              <w:rPr>
                <w:b/>
                <w:color w:val="0000FF"/>
                <w:szCs w:val="24"/>
              </w:rPr>
              <w:t xml:space="preserve"> </w:t>
            </w:r>
            <w:r w:rsidR="0007486B" w:rsidRPr="009D0B93">
              <w:rPr>
                <w:rStyle w:val="MaviChar"/>
              </w:rPr>
              <w:t>duruşma açarak</w:t>
            </w:r>
            <w:r w:rsidRPr="00A23740">
              <w:rPr>
                <w:b/>
                <w:color w:val="0000FF"/>
                <w:szCs w:val="24"/>
              </w:rPr>
              <w:t xml:space="preserve"> basit yargılama </w:t>
            </w:r>
            <w:r w:rsidR="0007486B" w:rsidRPr="009D0B93">
              <w:rPr>
                <w:rStyle w:val="MaviChar"/>
              </w:rPr>
              <w:t>usulüne göre</w:t>
            </w:r>
            <w:r w:rsidRPr="00A23740">
              <w:rPr>
                <w:b/>
                <w:color w:val="0000FF"/>
                <w:szCs w:val="24"/>
              </w:rPr>
              <w:t xml:space="preserve"> yapacağı inceleme </w:t>
            </w:r>
            <w:r w:rsidR="0007486B" w:rsidRPr="009D0B93">
              <w:rPr>
                <w:rStyle w:val="MaviChar"/>
              </w:rPr>
              <w:t>sonucunda</w:t>
            </w:r>
            <w:r w:rsidRPr="00A23740">
              <w:rPr>
                <w:b/>
                <w:color w:val="0000FF"/>
                <w:szCs w:val="24"/>
              </w:rPr>
              <w:t xml:space="preserve"> borcun ödenmediğini, itirazda bulunulmadığını, diğer alacaklıların itirazının süresinde olmadığını veya haklı bulunmadığını </w:t>
            </w:r>
            <w:r w:rsidRPr="00A23740">
              <w:rPr>
                <w:rStyle w:val="MaviChar"/>
              </w:rPr>
              <w:t>tespit ederse sözlü yargılama tamamlandıktan sonra bir depo kararı verir.</w:t>
            </w:r>
          </w:p>
          <w:p w:rsidR="00AA5C8C" w:rsidRPr="00A23740" w:rsidRDefault="00AA5C8C" w:rsidP="009431FF">
            <w:pPr>
              <w:widowControl w:val="0"/>
              <w:rPr>
                <w:b/>
                <w:color w:val="0000FF"/>
                <w:szCs w:val="24"/>
              </w:rPr>
            </w:pPr>
          </w:p>
          <w:p w:rsidR="00AA5C8C" w:rsidRPr="00A23740" w:rsidRDefault="00AA5C8C" w:rsidP="009431FF">
            <w:pPr>
              <w:widowControl w:val="0"/>
              <w:rPr>
                <w:rStyle w:val="MaviChar"/>
              </w:rPr>
            </w:pPr>
            <w:r w:rsidRPr="00A23740">
              <w:rPr>
                <w:b/>
                <w:color w:val="0000FF"/>
                <w:szCs w:val="24"/>
              </w:rPr>
              <w:t xml:space="preserve">(4) Depo kararında, faiz ve takip </w:t>
            </w:r>
            <w:r w:rsidRPr="00A23740">
              <w:rPr>
                <w:rStyle w:val="MaviChar"/>
                <w:lang w:val="tr-TR"/>
              </w:rPr>
              <w:t>giderleri dâhil olmak üzer</w:t>
            </w:r>
            <w:r w:rsidRPr="00A23740">
              <w:rPr>
                <w:rStyle w:val="MaviChar"/>
              </w:rPr>
              <w:t>e</w:t>
            </w:r>
            <w:r w:rsidR="0007486B" w:rsidRPr="00A23740">
              <w:rPr>
                <w:rStyle w:val="MaviChar"/>
                <w:lang w:val="tr-TR"/>
              </w:rPr>
              <w:t xml:space="preserve"> </w:t>
            </w:r>
            <w:r w:rsidR="0007486B" w:rsidRPr="009D0B93">
              <w:rPr>
                <w:rStyle w:val="MaviChar"/>
              </w:rPr>
              <w:t>borcun tamamının</w:t>
            </w:r>
            <w:r w:rsidRPr="00A23740">
              <w:rPr>
                <w:rStyle w:val="MaviChar"/>
                <w:lang w:val="tr-TR"/>
              </w:rPr>
              <w:t xml:space="preserve"> </w:t>
            </w:r>
            <w:r w:rsidRPr="00A23740">
              <w:rPr>
                <w:rStyle w:val="MaviChar"/>
              </w:rPr>
              <w:t xml:space="preserve">iki hafta içinde kararda </w:t>
            </w:r>
            <w:r w:rsidR="0007486B" w:rsidRPr="009D0B93">
              <w:rPr>
                <w:rStyle w:val="MaviChar"/>
              </w:rPr>
              <w:t>gösterilen</w:t>
            </w:r>
            <w:r w:rsidRPr="00A23740">
              <w:rPr>
                <w:rStyle w:val="MaviChar"/>
              </w:rPr>
              <w:t xml:space="preserve"> banka hesabına depo edilmesi</w:t>
            </w:r>
            <w:r w:rsidR="0007486B" w:rsidRPr="009D0B93">
              <w:rPr>
                <w:rStyle w:val="MaviChar"/>
              </w:rPr>
              <w:t>;</w:t>
            </w:r>
            <w:r w:rsidRPr="00A23740">
              <w:rPr>
                <w:rStyle w:val="MaviChar"/>
              </w:rPr>
              <w:t xml:space="preserve"> aksi takdirde iki haftalık sürenin sona </w:t>
            </w:r>
            <w:r w:rsidR="0007486B" w:rsidRPr="009D0B93">
              <w:rPr>
                <w:rStyle w:val="MaviChar"/>
              </w:rPr>
              <w:t>ermesi üzerine</w:t>
            </w:r>
            <w:r w:rsidRPr="00A23740">
              <w:rPr>
                <w:rStyle w:val="MaviChar"/>
              </w:rPr>
              <w:t xml:space="preserve"> mahkemenin duruşma yapmaksızın dosya üzerinden borçlunun iflasına karar vereceği ihtarı yer alır.</w:t>
            </w:r>
          </w:p>
          <w:p w:rsidR="00AA5C8C" w:rsidRPr="00A23740" w:rsidRDefault="00AA5C8C" w:rsidP="009431FF">
            <w:pPr>
              <w:widowControl w:val="0"/>
              <w:rPr>
                <w:rStyle w:val="MaviChar"/>
                <w:lang w:val="tr-TR"/>
              </w:rPr>
            </w:pPr>
          </w:p>
          <w:p w:rsidR="00321BB0" w:rsidRDefault="00AA5C8C" w:rsidP="009431FF">
            <w:pPr>
              <w:widowControl w:val="0"/>
              <w:tabs>
                <w:tab w:val="left" w:pos="567"/>
              </w:tabs>
              <w:rPr>
                <w:b/>
                <w:color w:val="0000FF"/>
                <w:szCs w:val="24"/>
              </w:rPr>
            </w:pPr>
            <w:r w:rsidRPr="00A23740">
              <w:rPr>
                <w:b/>
                <w:color w:val="0000FF"/>
                <w:szCs w:val="24"/>
              </w:rPr>
              <w:t>(5) Alacaklı</w:t>
            </w:r>
            <w:r w:rsidR="008A5D68" w:rsidRPr="009D0B93">
              <w:rPr>
                <w:rStyle w:val="MaviChar"/>
              </w:rPr>
              <w:t>,</w:t>
            </w:r>
            <w:r w:rsidRPr="00A23740">
              <w:rPr>
                <w:b/>
                <w:color w:val="0000FF"/>
                <w:szCs w:val="24"/>
              </w:rPr>
              <w:t xml:space="preserve"> takip konusu yabancı para alacağının fiili ödeme günündeki Türk </w:t>
            </w:r>
            <w:r w:rsidR="00033610" w:rsidRPr="00A23740">
              <w:rPr>
                <w:b/>
                <w:color w:val="0000FF"/>
                <w:szCs w:val="24"/>
              </w:rPr>
              <w:t xml:space="preserve">lirası </w:t>
            </w:r>
            <w:r w:rsidRPr="00A23740">
              <w:rPr>
                <w:b/>
                <w:color w:val="0000FF"/>
                <w:szCs w:val="24"/>
              </w:rPr>
              <w:t xml:space="preserve">karşılığını talep </w:t>
            </w:r>
            <w:r w:rsidR="00522E3C" w:rsidRPr="009D0B93">
              <w:rPr>
                <w:rStyle w:val="MaviChar"/>
              </w:rPr>
              <w:t>etmişse</w:t>
            </w:r>
            <w:r w:rsidR="00522E3C" w:rsidRPr="00A23740">
              <w:rPr>
                <w:b/>
                <w:color w:val="0000FF"/>
                <w:szCs w:val="24"/>
              </w:rPr>
              <w:t xml:space="preserve"> </w:t>
            </w:r>
            <w:r w:rsidRPr="00A23740">
              <w:rPr>
                <w:b/>
                <w:color w:val="0000FF"/>
                <w:szCs w:val="24"/>
              </w:rPr>
              <w:t xml:space="preserve">depo </w:t>
            </w:r>
            <w:r w:rsidR="004634C4" w:rsidRPr="009D0B93">
              <w:rPr>
                <w:rStyle w:val="MaviChar"/>
              </w:rPr>
              <w:t>kararına yazılacak</w:t>
            </w:r>
            <w:r w:rsidRPr="00A23740">
              <w:rPr>
                <w:rStyle w:val="MaviChar"/>
              </w:rPr>
              <w:t xml:space="preserve"> tutar, </w:t>
            </w:r>
            <w:r w:rsidRPr="00A23740">
              <w:rPr>
                <w:b/>
                <w:color w:val="0000FF"/>
                <w:szCs w:val="24"/>
              </w:rPr>
              <w:t>bu kararın verildiği tarihteki Türkiye Cumhuriyet Merkez Bankası efektif satış</w:t>
            </w:r>
            <w:r w:rsidR="00CD2464">
              <w:rPr>
                <w:b/>
                <w:color w:val="0000FF"/>
                <w:szCs w:val="24"/>
              </w:rPr>
              <w:t xml:space="preserve"> kuru esas alınarak hesaplanır.</w:t>
            </w:r>
          </w:p>
          <w:p w:rsidR="00CD2464" w:rsidRPr="00CD2464" w:rsidRDefault="00CD2464" w:rsidP="009431FF">
            <w:pPr>
              <w:widowControl w:val="0"/>
              <w:tabs>
                <w:tab w:val="left" w:pos="567"/>
              </w:tabs>
              <w:rPr>
                <w:b/>
                <w:color w:val="0000FF"/>
                <w:szCs w:val="24"/>
              </w:rPr>
            </w:pPr>
          </w:p>
          <w:p w:rsidR="00321BB0" w:rsidRDefault="00321BB0" w:rsidP="009431FF">
            <w:pPr>
              <w:pStyle w:val="KIRMIZI"/>
              <w:widowControl w:val="0"/>
              <w:rPr>
                <w:rFonts w:eastAsia="Calibri"/>
                <w:bCs w:val="0"/>
                <w:strike w:val="0"/>
                <w:color w:val="0000FF"/>
                <w:lang w:val="tr-TR" w:eastAsia="en-US"/>
              </w:rPr>
            </w:pPr>
            <w:r w:rsidRPr="009D0B93">
              <w:rPr>
                <w:rStyle w:val="MaviChar"/>
                <w:rFonts w:eastAsia="ヒラギノ明朝 Pro W3"/>
                <w:b/>
                <w:strike w:val="0"/>
              </w:rPr>
              <w:t>(6)</w:t>
            </w:r>
            <w:r w:rsidRPr="00A23740">
              <w:rPr>
                <w:rStyle w:val="YELChar"/>
                <w:b/>
                <w:strike w:val="0"/>
              </w:rPr>
              <w:t xml:space="preserve"> </w:t>
            </w:r>
            <w:r w:rsidRPr="00A23740">
              <w:rPr>
                <w:rFonts w:eastAsia="Calibri"/>
                <w:bCs w:val="0"/>
                <w:strike w:val="0"/>
                <w:color w:val="0000FF"/>
                <w:lang w:val="tr-TR" w:eastAsia="en-US"/>
              </w:rPr>
              <w:t xml:space="preserve">Depo kararı, </w:t>
            </w:r>
            <w:r w:rsidRPr="009D0B93">
              <w:rPr>
                <w:rStyle w:val="MaviChar"/>
                <w:rFonts w:eastAsia="ヒラギノ明朝 Pro W3"/>
                <w:b/>
                <w:strike w:val="0"/>
              </w:rPr>
              <w:t>duruşmada hazır ise</w:t>
            </w:r>
            <w:r w:rsidRPr="00A23740">
              <w:rPr>
                <w:rFonts w:eastAsia="Calibri"/>
                <w:bCs w:val="0"/>
                <w:strike w:val="0"/>
                <w:color w:val="0000FF"/>
                <w:lang w:val="tr-TR" w:eastAsia="en-US"/>
              </w:rPr>
              <w:t xml:space="preserve"> borçluya veya vekiline tefhim</w:t>
            </w:r>
            <w:r w:rsidRPr="00A23740">
              <w:rPr>
                <w:rFonts w:eastAsia="Calibri"/>
                <w:strike w:val="0"/>
                <w:color w:val="0000FF"/>
              </w:rPr>
              <w:t>;</w:t>
            </w:r>
            <w:r w:rsidRPr="00A23740">
              <w:rPr>
                <w:rFonts w:eastAsia="Calibri"/>
                <w:bCs w:val="0"/>
                <w:strike w:val="0"/>
                <w:color w:val="0000FF"/>
                <w:lang w:val="tr-TR" w:eastAsia="en-US"/>
              </w:rPr>
              <w:t xml:space="preserve"> borçlu </w:t>
            </w:r>
            <w:r w:rsidRPr="009D0B93">
              <w:rPr>
                <w:rStyle w:val="Balk1Char"/>
                <w:rFonts w:eastAsia="ヒラギノ明朝 Pro W3"/>
                <w:b/>
                <w:strike w:val="0"/>
              </w:rPr>
              <w:t>veya</w:t>
            </w:r>
            <w:r w:rsidRPr="00A23740">
              <w:rPr>
                <w:rFonts w:eastAsia="Calibri"/>
                <w:bCs w:val="0"/>
                <w:strike w:val="0"/>
                <w:color w:val="0000FF"/>
                <w:lang w:val="tr-TR" w:eastAsia="en-US"/>
              </w:rPr>
              <w:t xml:space="preserve"> vekilinin duruşmada hazır bulunmadığı h</w:t>
            </w:r>
            <w:r w:rsidR="008D7868" w:rsidRPr="00A23740">
              <w:rPr>
                <w:rFonts w:eastAsia="Calibri"/>
                <w:bCs w:val="0"/>
                <w:strike w:val="0"/>
                <w:color w:val="0000FF"/>
                <w:lang w:val="tr-TR" w:eastAsia="en-US"/>
              </w:rPr>
              <w:t>â</w:t>
            </w:r>
            <w:r w:rsidRPr="00A23740">
              <w:rPr>
                <w:rFonts w:eastAsia="Calibri"/>
                <w:bCs w:val="0"/>
                <w:strike w:val="0"/>
                <w:color w:val="0000FF"/>
                <w:lang w:val="tr-TR" w:eastAsia="en-US"/>
              </w:rPr>
              <w:t>llerde ise varsa vekiline</w:t>
            </w:r>
            <w:r w:rsidRPr="009D0B93">
              <w:rPr>
                <w:rStyle w:val="MaviChar"/>
                <w:rFonts w:eastAsia="ヒラギノ明朝 Pro W3"/>
                <w:b/>
                <w:strike w:val="0"/>
              </w:rPr>
              <w:t>,</w:t>
            </w:r>
            <w:r w:rsidRPr="00A23740">
              <w:rPr>
                <w:rFonts w:eastAsia="Calibri"/>
                <w:bCs w:val="0"/>
                <w:strike w:val="0"/>
                <w:color w:val="0000FF"/>
                <w:lang w:val="tr-TR" w:eastAsia="en-US"/>
              </w:rPr>
              <w:t xml:space="preserve"> aksi h</w:t>
            </w:r>
            <w:r w:rsidR="008D7868" w:rsidRPr="00A23740">
              <w:rPr>
                <w:rFonts w:eastAsia="Calibri"/>
                <w:bCs w:val="0"/>
                <w:strike w:val="0"/>
                <w:color w:val="0000FF"/>
                <w:lang w:val="tr-TR" w:eastAsia="en-US"/>
              </w:rPr>
              <w:t>â</w:t>
            </w:r>
            <w:r w:rsidRPr="00A23740">
              <w:rPr>
                <w:rFonts w:eastAsia="Calibri"/>
                <w:bCs w:val="0"/>
                <w:strike w:val="0"/>
                <w:color w:val="0000FF"/>
                <w:lang w:val="tr-TR" w:eastAsia="en-US"/>
              </w:rPr>
              <w:t>lde borçluya tebliğ edilir.</w:t>
            </w:r>
          </w:p>
          <w:p w:rsidR="00CD2464" w:rsidRPr="00CD2464" w:rsidRDefault="00CD2464" w:rsidP="009431FF">
            <w:pPr>
              <w:pStyle w:val="KIRMIZI"/>
              <w:widowControl w:val="0"/>
              <w:rPr>
                <w:lang w:val="tr-TR"/>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pStyle w:val="Mavi"/>
              <w:ind w:firstLine="709"/>
              <w:rPr>
                <w:color w:val="auto"/>
              </w:rPr>
            </w:pPr>
          </w:p>
          <w:p w:rsidR="00687220" w:rsidRPr="00A23740" w:rsidRDefault="00687220" w:rsidP="009431FF">
            <w:pPr>
              <w:tabs>
                <w:tab w:val="left" w:pos="567"/>
              </w:tabs>
              <w:ind w:firstLine="709"/>
              <w:rPr>
                <w:bCs/>
                <w:szCs w:val="24"/>
              </w:rPr>
            </w:pPr>
            <w:r w:rsidRPr="00A23740">
              <w:rPr>
                <w:rFonts w:eastAsia="ヒラギノ明朝 Pro W3"/>
                <w:b/>
                <w:bCs/>
                <w:szCs w:val="24"/>
                <w:lang w:eastAsia="x-none"/>
              </w:rPr>
              <w:t>MADDE 276</w:t>
            </w:r>
            <w:r w:rsidRPr="00A23740">
              <w:rPr>
                <w:rFonts w:eastAsia="ヒラギノ明朝 Pro W3"/>
                <w:b/>
                <w:bCs/>
                <w:szCs w:val="24"/>
                <w:lang w:val="x-none" w:eastAsia="x-none"/>
              </w:rPr>
              <w:t>-</w:t>
            </w:r>
            <w:r w:rsidRPr="00A23740">
              <w:rPr>
                <w:rFonts w:eastAsia="ヒラギノ明朝 Pro W3"/>
                <w:bCs/>
                <w:szCs w:val="24"/>
                <w:lang w:val="x-none" w:eastAsia="x-none"/>
              </w:rPr>
              <w:t xml:space="preserve"> Maddeyle, iflas yoluyla takipte </w:t>
            </w:r>
            <w:r w:rsidR="001D1273" w:rsidRPr="00D60C1D">
              <w:rPr>
                <w:rFonts w:eastAsia="ヒラギノ明朝 Pro W3"/>
                <w:bCs/>
                <w:color w:val="000000"/>
                <w:szCs w:val="24"/>
                <w:lang w:eastAsia="x-none"/>
              </w:rPr>
              <w:t>iflas</w:t>
            </w:r>
            <w:r w:rsidR="001D1273" w:rsidRPr="00A23740">
              <w:rPr>
                <w:rFonts w:eastAsia="ヒラギノ明朝 Pro W3"/>
                <w:bCs/>
                <w:szCs w:val="24"/>
                <w:lang w:eastAsia="x-none"/>
              </w:rPr>
              <w:t xml:space="preserve"> </w:t>
            </w:r>
            <w:r w:rsidRPr="00A23740">
              <w:rPr>
                <w:rFonts w:eastAsia="ヒラギノ明朝 Pro W3"/>
                <w:bCs/>
                <w:szCs w:val="24"/>
                <w:lang w:eastAsia="x-none"/>
              </w:rPr>
              <w:t xml:space="preserve">ödeme emrine itiraz edilmemesine </w:t>
            </w:r>
            <w:r w:rsidRPr="00A23740">
              <w:rPr>
                <w:rFonts w:eastAsia="ヒラギノ明朝 Pro W3"/>
                <w:bCs/>
                <w:szCs w:val="24"/>
                <w:lang w:val="x-none" w:eastAsia="x-none"/>
              </w:rPr>
              <w:t xml:space="preserve">ilişkin hususlar düzenlenmektedir. </w:t>
            </w:r>
            <w:r w:rsidRPr="00A23740">
              <w:rPr>
                <w:rFonts w:eastAsia="ヒラギノ明朝 Pro W3"/>
                <w:bCs/>
                <w:szCs w:val="24"/>
                <w:lang w:eastAsia="x-none"/>
              </w:rPr>
              <w:t xml:space="preserve">Hüküm, 2004 sayılı Kanunun 156 ncı maddesine karşılık gelmektedir. </w:t>
            </w:r>
          </w:p>
          <w:p w:rsidR="00687220" w:rsidRPr="00A23740" w:rsidRDefault="00687220" w:rsidP="009431FF">
            <w:pPr>
              <w:tabs>
                <w:tab w:val="left" w:pos="567"/>
              </w:tabs>
              <w:ind w:firstLine="709"/>
              <w:rPr>
                <w:rFonts w:eastAsia="ヒラギノ明朝 Pro W3"/>
                <w:szCs w:val="24"/>
                <w:lang w:eastAsia="x-none"/>
              </w:rPr>
            </w:pPr>
            <w:r w:rsidRPr="00A23740">
              <w:rPr>
                <w:rFonts w:eastAsia="ヒラギノ明朝 Pro W3"/>
                <w:bCs/>
                <w:szCs w:val="24"/>
                <w:lang w:eastAsia="x-none"/>
              </w:rPr>
              <w:t>İflas yoluyla başlatılan takipte ödeme emrine itiraz edilmemesi h</w:t>
            </w:r>
            <w:r w:rsidR="00761065" w:rsidRPr="00A23740">
              <w:rPr>
                <w:rFonts w:eastAsia="ヒラギノ明朝 Pro W3"/>
                <w:bCs/>
                <w:szCs w:val="24"/>
                <w:lang w:eastAsia="x-none"/>
              </w:rPr>
              <w:t>â</w:t>
            </w:r>
            <w:r w:rsidRPr="00A23740">
              <w:rPr>
                <w:rFonts w:eastAsia="ヒラギノ明朝 Pro W3"/>
                <w:bCs/>
                <w:szCs w:val="24"/>
                <w:lang w:eastAsia="x-none"/>
              </w:rPr>
              <w:t>linde, borç da ödenmemişse alacaklı, iflas mahkemesinden borçlunun iflasına kara verilmesini ister. Bu hâlde artık giderilebilecek bir itiraz da yoktur. Dolayısıyla</w:t>
            </w:r>
            <w:r w:rsidR="007C4AB1" w:rsidRPr="00A23740">
              <w:rPr>
                <w:rFonts w:eastAsia="ヒラギノ明朝 Pro W3"/>
                <w:bCs/>
                <w:szCs w:val="24"/>
                <w:lang w:eastAsia="x-none"/>
              </w:rPr>
              <w:t>,</w:t>
            </w:r>
            <w:r w:rsidRPr="00A23740">
              <w:rPr>
                <w:rFonts w:eastAsia="ヒラギノ明朝 Pro W3"/>
                <w:bCs/>
                <w:szCs w:val="24"/>
                <w:lang w:eastAsia="x-none"/>
              </w:rPr>
              <w:t xml:space="preserve"> iflas talebinin </w:t>
            </w:r>
            <w:r w:rsidR="00DF22A1" w:rsidRPr="00A23740">
              <w:rPr>
                <w:szCs w:val="24"/>
              </w:rPr>
              <w:t xml:space="preserve">derhâl </w:t>
            </w:r>
            <w:r w:rsidRPr="00A23740">
              <w:rPr>
                <w:rFonts w:eastAsia="ヒラギノ明朝 Pro W3"/>
                <w:bCs/>
                <w:szCs w:val="24"/>
                <w:lang w:eastAsia="x-none"/>
              </w:rPr>
              <w:t xml:space="preserve">ve usulüne </w:t>
            </w:r>
            <w:r w:rsidR="007C4AB1" w:rsidRPr="00A23740">
              <w:rPr>
                <w:rFonts w:eastAsia="ヒラギノ明朝 Pro W3"/>
                <w:bCs/>
                <w:szCs w:val="24"/>
                <w:lang w:eastAsia="x-none"/>
              </w:rPr>
              <w:t xml:space="preserve">uygun olarak </w:t>
            </w:r>
            <w:r w:rsidR="00CD2464">
              <w:rPr>
                <w:rFonts w:eastAsia="ヒラギノ明朝 Pro W3"/>
                <w:bCs/>
                <w:szCs w:val="24"/>
                <w:lang w:eastAsia="x-none"/>
              </w:rPr>
              <w:t xml:space="preserve">ilanı </w:t>
            </w:r>
            <w:r w:rsidR="00761065" w:rsidRPr="00D60C1D">
              <w:rPr>
                <w:rStyle w:val="YELChar"/>
                <w:b w:val="0"/>
                <w:color w:val="000000"/>
              </w:rPr>
              <w:t>yeterlidir</w:t>
            </w:r>
            <w:r w:rsidRPr="00A23740">
              <w:rPr>
                <w:rFonts w:eastAsia="ヒラギノ明朝 Pro W3"/>
                <w:bCs/>
                <w:szCs w:val="24"/>
                <w:lang w:eastAsia="x-none"/>
              </w:rPr>
              <w:t>. İlan üzerine sair alacaklıların</w:t>
            </w:r>
            <w:r w:rsidR="00761065" w:rsidRPr="00D60C1D">
              <w:rPr>
                <w:rStyle w:val="YELChar"/>
                <w:b w:val="0"/>
                <w:color w:val="000000"/>
              </w:rPr>
              <w:t>,</w:t>
            </w:r>
            <w:r w:rsidRPr="00A23740">
              <w:rPr>
                <w:rFonts w:eastAsia="ヒラギノ明朝 Pro W3"/>
                <w:bCs/>
                <w:szCs w:val="24"/>
                <w:lang w:eastAsia="x-none"/>
              </w:rPr>
              <w:t xml:space="preserve"> iflası gerektiren bir h</w:t>
            </w:r>
            <w:r w:rsidR="00761065" w:rsidRPr="00A23740">
              <w:rPr>
                <w:rFonts w:eastAsia="ヒラギノ明朝 Pro W3"/>
                <w:bCs/>
                <w:szCs w:val="24"/>
                <w:lang w:eastAsia="x-none"/>
              </w:rPr>
              <w:t>â</w:t>
            </w:r>
            <w:r w:rsidRPr="00A23740">
              <w:rPr>
                <w:rFonts w:eastAsia="ヒラギノ明朝 Pro W3"/>
                <w:bCs/>
                <w:szCs w:val="24"/>
                <w:lang w:eastAsia="x-none"/>
              </w:rPr>
              <w:t>l olmadığına ilişkin itirazları</w:t>
            </w:r>
            <w:r w:rsidR="007C4AB1" w:rsidRPr="00A23740">
              <w:rPr>
                <w:rFonts w:eastAsia="ヒラギノ明朝 Pro W3"/>
                <w:bCs/>
                <w:szCs w:val="24"/>
                <w:lang w:eastAsia="x-none"/>
              </w:rPr>
              <w:t xml:space="preserve"> varsa bunları </w:t>
            </w:r>
            <w:r w:rsidRPr="00A23740">
              <w:rPr>
                <w:rFonts w:eastAsia="ヒラギノ明朝 Pro W3"/>
                <w:bCs/>
                <w:szCs w:val="24"/>
                <w:lang w:eastAsia="x-none"/>
              </w:rPr>
              <w:t xml:space="preserve"> delilleriyle birlikte gerekçeli olarak ileri sürmeleri ve iflasın reddini istemeleri gerekir. </w:t>
            </w:r>
          </w:p>
          <w:p w:rsidR="00687220" w:rsidRPr="00A23740" w:rsidRDefault="00687220" w:rsidP="009431FF">
            <w:pPr>
              <w:tabs>
                <w:tab w:val="left" w:pos="567"/>
              </w:tabs>
              <w:ind w:firstLine="709"/>
              <w:rPr>
                <w:rFonts w:eastAsia="ヒラギノ明朝 Pro W3"/>
                <w:bCs/>
                <w:szCs w:val="24"/>
                <w:lang w:eastAsia="x-none"/>
              </w:rPr>
            </w:pPr>
            <w:r w:rsidRPr="00A23740">
              <w:rPr>
                <w:rFonts w:eastAsia="ヒラギノ明朝 Pro W3"/>
                <w:bCs/>
                <w:szCs w:val="24"/>
                <w:lang w:eastAsia="x-none"/>
              </w:rPr>
              <w:t>Üçüncü fıkra gereğince mahkemece basit usulde yürütülecek tahkikat, sınırlı bir sahada cereyan edecektir. Borcun ödenmediğini; itirazda da bulunulmadığını gören mahkeme, ilan üzerine varsa sair alacaklılarca yapılan itirazların da haklı olmadığını tespit ederse</w:t>
            </w:r>
            <w:r w:rsidR="007C4AB1" w:rsidRPr="00A23740">
              <w:rPr>
                <w:rFonts w:eastAsia="ヒラギノ明朝 Pro W3"/>
                <w:bCs/>
                <w:szCs w:val="24"/>
                <w:lang w:eastAsia="x-none"/>
              </w:rPr>
              <w:t>,</w:t>
            </w:r>
            <w:r w:rsidRPr="00A23740">
              <w:rPr>
                <w:rFonts w:eastAsia="ヒラギノ明朝 Pro W3"/>
                <w:bCs/>
                <w:szCs w:val="24"/>
                <w:lang w:eastAsia="x-none"/>
              </w:rPr>
              <w:t xml:space="preserve"> sözlü yargılamanın h</w:t>
            </w:r>
            <w:r w:rsidRPr="00A23740">
              <w:rPr>
                <w:rFonts w:eastAsia="ヒラギノ明朝 Pro W3"/>
                <w:bCs/>
                <w:szCs w:val="24"/>
                <w:lang w:val="x-none" w:eastAsia="x-none"/>
              </w:rPr>
              <w:t>i</w:t>
            </w:r>
            <w:r w:rsidRPr="00A23740">
              <w:rPr>
                <w:rFonts w:eastAsia="ヒラギノ明朝 Pro W3"/>
                <w:bCs/>
                <w:szCs w:val="24"/>
                <w:lang w:eastAsia="x-none"/>
              </w:rPr>
              <w:t xml:space="preserve">tamıyla </w:t>
            </w:r>
            <w:r w:rsidR="00DF22A1" w:rsidRPr="00A23740">
              <w:rPr>
                <w:szCs w:val="24"/>
              </w:rPr>
              <w:t xml:space="preserve">derhâl </w:t>
            </w:r>
            <w:r w:rsidRPr="00A23740">
              <w:rPr>
                <w:rFonts w:eastAsia="ヒラギノ明朝 Pro W3"/>
                <w:bCs/>
                <w:szCs w:val="24"/>
                <w:lang w:eastAsia="x-none"/>
              </w:rPr>
              <w:t>depo kararı verecektir. Bu h</w:t>
            </w:r>
            <w:r w:rsidR="008D7868" w:rsidRPr="00A23740">
              <w:rPr>
                <w:rFonts w:eastAsia="ヒラギノ明朝 Pro W3"/>
                <w:bCs/>
                <w:szCs w:val="24"/>
                <w:lang w:eastAsia="x-none"/>
              </w:rPr>
              <w:t>â</w:t>
            </w:r>
            <w:r w:rsidRPr="00A23740">
              <w:rPr>
                <w:rFonts w:eastAsia="ヒラギノ明朝 Pro W3"/>
                <w:bCs/>
                <w:szCs w:val="24"/>
                <w:lang w:eastAsia="x-none"/>
              </w:rPr>
              <w:t>lde borçlu tarafından alacağın esası hakkında bir savunma ileri sürülmesi mümkün olmadığı gibi</w:t>
            </w:r>
            <w:r w:rsidR="007C4AB1" w:rsidRPr="00A23740">
              <w:rPr>
                <w:rFonts w:eastAsia="ヒラギノ明朝 Pro W3"/>
                <w:bCs/>
                <w:szCs w:val="24"/>
                <w:lang w:eastAsia="x-none"/>
              </w:rPr>
              <w:t>,</w:t>
            </w:r>
            <w:r w:rsidRPr="00A23740">
              <w:rPr>
                <w:rFonts w:eastAsia="ヒラギノ明朝 Pro W3"/>
                <w:bCs/>
                <w:szCs w:val="24"/>
                <w:lang w:eastAsia="x-none"/>
              </w:rPr>
              <w:t xml:space="preserve"> bunun mahkemece tahkik edilmesi de söz konusu değildir. Bu bağlamda ilan üzerine sair alacaklılarca iflası gerektiren bir h</w:t>
            </w:r>
            <w:r w:rsidR="00761065" w:rsidRPr="00A23740">
              <w:rPr>
                <w:rFonts w:eastAsia="ヒラギノ明朝 Pro W3"/>
                <w:bCs/>
                <w:szCs w:val="24"/>
                <w:lang w:eastAsia="x-none"/>
              </w:rPr>
              <w:t>â</w:t>
            </w:r>
            <w:r w:rsidRPr="00A23740">
              <w:rPr>
                <w:rFonts w:eastAsia="ヒラギノ明朝 Pro W3"/>
                <w:bCs/>
                <w:szCs w:val="24"/>
                <w:lang w:eastAsia="x-none"/>
              </w:rPr>
              <w:t>lin bulunmadığına ilişkin itirazlarla borçlunun alacağın esasına yönelik itirazlarını karıştırmamak gerekir</w:t>
            </w:r>
            <w:r w:rsidR="00761065" w:rsidRPr="00A23740">
              <w:rPr>
                <w:rFonts w:eastAsia="ヒラギノ明朝 Pro W3"/>
                <w:bCs/>
                <w:szCs w:val="24"/>
                <w:lang w:eastAsia="x-none"/>
              </w:rPr>
              <w:t>.</w:t>
            </w:r>
          </w:p>
          <w:p w:rsidR="00687220" w:rsidRPr="00A23740" w:rsidRDefault="00687220" w:rsidP="00DE5024">
            <w:pPr>
              <w:tabs>
                <w:tab w:val="left" w:pos="567"/>
              </w:tabs>
              <w:ind w:firstLine="709"/>
              <w:rPr>
                <w:rFonts w:eastAsia="ヒラギノ明朝 Pro W3"/>
                <w:b/>
                <w:bCs/>
                <w:szCs w:val="24"/>
                <w:lang w:eastAsia="x-none"/>
              </w:rPr>
            </w:pPr>
            <w:r w:rsidRPr="00A23740">
              <w:rPr>
                <w:rFonts w:eastAsia="ヒラギノ明朝 Pro W3"/>
                <w:bCs/>
                <w:szCs w:val="24"/>
                <w:lang w:eastAsia="x-none"/>
              </w:rPr>
              <w:t>Depo kararına ilişkin dördüncü, beşinci ve altıncı fıkralar, Tasl</w:t>
            </w:r>
            <w:r w:rsidRPr="00A23740">
              <w:rPr>
                <w:rFonts w:eastAsia="ヒラギノ明朝 Pro W3"/>
                <w:bCs/>
                <w:szCs w:val="24"/>
                <w:lang w:val="x-none" w:eastAsia="x-none"/>
              </w:rPr>
              <w:t>a</w:t>
            </w:r>
            <w:r w:rsidRPr="00A23740">
              <w:rPr>
                <w:rFonts w:eastAsia="ヒラギノ明朝 Pro W3"/>
                <w:bCs/>
                <w:szCs w:val="24"/>
                <w:lang w:eastAsia="x-none"/>
              </w:rPr>
              <w:t>ğ</w:t>
            </w:r>
            <w:r w:rsidRPr="00A23740">
              <w:rPr>
                <w:rFonts w:eastAsia="ヒラギノ明朝 Pro W3"/>
                <w:bCs/>
                <w:szCs w:val="24"/>
                <w:lang w:val="x-none" w:eastAsia="x-none"/>
              </w:rPr>
              <w:t>ı</w:t>
            </w:r>
            <w:r w:rsidRPr="00A23740">
              <w:rPr>
                <w:rFonts w:eastAsia="ヒラギノ明朝 Pro W3"/>
                <w:bCs/>
                <w:szCs w:val="24"/>
                <w:lang w:eastAsia="x-none"/>
              </w:rPr>
              <w:t>n</w:t>
            </w:r>
            <w:r w:rsidR="00522E3C" w:rsidRPr="00A23740">
              <w:rPr>
                <w:rFonts w:eastAsia="ヒラギノ明朝 Pro W3"/>
                <w:bCs/>
                <w:szCs w:val="24"/>
                <w:lang w:eastAsia="x-none"/>
              </w:rPr>
              <w:t xml:space="preserve"> </w:t>
            </w:r>
            <w:r w:rsidR="00033610" w:rsidRPr="00A23740">
              <w:rPr>
                <w:rFonts w:eastAsia="ヒラギノ明朝 Pro W3"/>
                <w:lang w:eastAsia="x-none"/>
              </w:rPr>
              <w:t xml:space="preserve">275 inci </w:t>
            </w:r>
            <w:r w:rsidRPr="00A23740">
              <w:rPr>
                <w:rFonts w:eastAsia="ヒラギノ明朝 Pro W3"/>
                <w:bCs/>
                <w:szCs w:val="24"/>
                <w:lang w:eastAsia="x-none"/>
              </w:rPr>
              <w:t>maddesindeki esaslarla aynıdır.</w:t>
            </w:r>
          </w:p>
          <w:p w:rsidR="00046430" w:rsidRPr="00A23740" w:rsidRDefault="00046430" w:rsidP="00DE5024">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İflas davası:</w:t>
            </w:r>
          </w:p>
          <w:p w:rsidR="00AA5C8C" w:rsidRPr="00A23740" w:rsidRDefault="00AA5C8C" w:rsidP="009431FF">
            <w:pPr>
              <w:pStyle w:val="KIRMIZI"/>
            </w:pPr>
            <w:r w:rsidRPr="00A23740">
              <w:t>a) İtiraz veya şikayet olunmaması:</w:t>
            </w:r>
          </w:p>
          <w:p w:rsidR="00AA5C8C" w:rsidRPr="00A23740" w:rsidRDefault="00AA5C8C" w:rsidP="009431FF">
            <w:pPr>
              <w:pStyle w:val="KIRMIZI"/>
            </w:pPr>
            <w:r w:rsidRPr="00A23740">
              <w:t>Madde 173 – …</w:t>
            </w:r>
          </w:p>
          <w:p w:rsidR="00AA5C8C" w:rsidRPr="00A23740" w:rsidRDefault="00AA5C8C" w:rsidP="009431FF">
            <w:pPr>
              <w:pStyle w:val="KIRMIZI"/>
            </w:pPr>
          </w:p>
          <w:p w:rsidR="00AA5C8C" w:rsidRPr="00A23740" w:rsidRDefault="00AA5C8C" w:rsidP="009431FF">
            <w:pPr>
              <w:pStyle w:val="KIRMIZI"/>
            </w:pPr>
            <w:r w:rsidRPr="00A23740">
              <w:rPr>
                <w:rStyle w:val="KIRMIZIChar"/>
                <w:b/>
                <w:strike/>
              </w:rPr>
              <w:t>(4)</w:t>
            </w:r>
            <w:r w:rsidRPr="00A23740">
              <w:t xml:space="preserve"> Borçlu, ticaret mahkemesine 65 inci maddeye göre gecikmiş itirazda bulunabilir. Mahkeme mazereti yerinde görürse iflas davasını 174 üncü madde uyarınca karara bağlar.</w:t>
            </w:r>
          </w:p>
          <w:p w:rsidR="00AA5C8C" w:rsidRPr="00A23740" w:rsidRDefault="00AA5C8C" w:rsidP="009431FF">
            <w:pPr>
              <w:tabs>
                <w:tab w:val="left" w:pos="567"/>
              </w:tabs>
              <w:rPr>
                <w:b/>
                <w:color w:val="0000FF"/>
                <w:szCs w:val="24"/>
              </w:rPr>
            </w:pPr>
          </w:p>
        </w:tc>
        <w:tc>
          <w:tcPr>
            <w:tcW w:w="2500" w:type="pct"/>
          </w:tcPr>
          <w:p w:rsidR="00AA5C8C" w:rsidRPr="00A23740" w:rsidRDefault="00AA5C8C" w:rsidP="009431FF">
            <w:pPr>
              <w:tabs>
                <w:tab w:val="left" w:pos="567"/>
              </w:tabs>
              <w:autoSpaceDE w:val="0"/>
              <w:autoSpaceDN w:val="0"/>
              <w:adjustRightInd w:val="0"/>
              <w:rPr>
                <w:b/>
                <w:color w:val="0000FF"/>
                <w:szCs w:val="24"/>
              </w:rPr>
            </w:pPr>
            <w:r w:rsidRPr="00A23740">
              <w:rPr>
                <w:b/>
                <w:color w:val="0000FF"/>
                <w:szCs w:val="24"/>
              </w:rPr>
              <w:t>Gecikmiş itiraz</w:t>
            </w:r>
          </w:p>
          <w:p w:rsidR="00AA5C8C" w:rsidRPr="00A23740" w:rsidRDefault="00490C3E" w:rsidP="009431FF">
            <w:pPr>
              <w:autoSpaceDE w:val="0"/>
              <w:autoSpaceDN w:val="0"/>
              <w:adjustRightInd w:val="0"/>
              <w:rPr>
                <w:b/>
                <w:color w:val="0000FF"/>
                <w:szCs w:val="24"/>
              </w:rPr>
            </w:pPr>
            <w:r w:rsidRPr="00A23740">
              <w:rPr>
                <w:b/>
                <w:color w:val="0000FF"/>
                <w:szCs w:val="24"/>
              </w:rPr>
              <w:t>MADDE 277</w:t>
            </w:r>
            <w:r w:rsidR="00AA5C8C" w:rsidRPr="00A23740">
              <w:rPr>
                <w:b/>
                <w:color w:val="0000FF"/>
                <w:szCs w:val="24"/>
              </w:rPr>
              <w:t xml:space="preserve">- (1) </w:t>
            </w:r>
            <w:r w:rsidR="00AA5C8C" w:rsidRPr="00A23740">
              <w:rPr>
                <w:rStyle w:val="MaviChar"/>
              </w:rPr>
              <w:t>Borçlu, bir engel sebebiyle</w:t>
            </w:r>
            <w:r w:rsidR="00A17D05" w:rsidRPr="00A23740">
              <w:rPr>
                <w:rStyle w:val="MaviChar"/>
                <w:lang w:val="tr-TR"/>
              </w:rPr>
              <w:t xml:space="preserve"> </w:t>
            </w:r>
            <w:r w:rsidR="00A17D05" w:rsidRPr="009D0B93">
              <w:rPr>
                <w:rStyle w:val="MaviChar"/>
              </w:rPr>
              <w:t>ve kusuru olmaksızın</w:t>
            </w:r>
            <w:r w:rsidR="00AA5C8C" w:rsidRPr="00A23740">
              <w:rPr>
                <w:rStyle w:val="MaviChar"/>
              </w:rPr>
              <w:t xml:space="preserve"> süresi içinde ödeme emrine itiraz </w:t>
            </w:r>
            <w:r w:rsidR="00522E3C" w:rsidRPr="009D0B93">
              <w:rPr>
                <w:rStyle w:val="MaviChar"/>
              </w:rPr>
              <w:t>edememişse,</w:t>
            </w:r>
            <w:r w:rsidR="00A17D05" w:rsidRPr="00A23740">
              <w:rPr>
                <w:rStyle w:val="MaviChar"/>
                <w:lang w:val="tr-TR"/>
              </w:rPr>
              <w:t xml:space="preserve"> </w:t>
            </w:r>
            <w:r w:rsidR="00AA5C8C" w:rsidRPr="00A23740">
              <w:rPr>
                <w:rStyle w:val="MaviChar"/>
              </w:rPr>
              <w:t>iflasa karar verilinceye kadar itiraz edebilir.</w:t>
            </w:r>
          </w:p>
          <w:p w:rsidR="00AA5C8C" w:rsidRPr="00A23740" w:rsidRDefault="00AA5C8C" w:rsidP="009431FF">
            <w:pPr>
              <w:autoSpaceDE w:val="0"/>
              <w:autoSpaceDN w:val="0"/>
              <w:adjustRightInd w:val="0"/>
              <w:rPr>
                <w:b/>
                <w:color w:val="0000FF"/>
                <w:szCs w:val="24"/>
              </w:rPr>
            </w:pPr>
          </w:p>
          <w:p w:rsidR="00AA5C8C" w:rsidRPr="00A23740" w:rsidRDefault="00AA5C8C" w:rsidP="009431FF">
            <w:pPr>
              <w:autoSpaceDE w:val="0"/>
              <w:autoSpaceDN w:val="0"/>
              <w:adjustRightInd w:val="0"/>
              <w:rPr>
                <w:b/>
                <w:color w:val="0000FF"/>
                <w:szCs w:val="24"/>
              </w:rPr>
            </w:pPr>
            <w:r w:rsidRPr="00A23740">
              <w:rPr>
                <w:b/>
                <w:color w:val="0000FF"/>
                <w:szCs w:val="24"/>
              </w:rPr>
              <w:t>(2)</w:t>
            </w:r>
            <w:r w:rsidRPr="00A23740">
              <w:rPr>
                <w:b/>
                <w:color w:val="0000FF"/>
              </w:rPr>
              <w:t xml:space="preserve"> </w:t>
            </w:r>
            <w:r w:rsidRPr="00A23740">
              <w:rPr>
                <w:b/>
                <w:color w:val="0000FF"/>
                <w:szCs w:val="24"/>
              </w:rPr>
              <w:t>Borçlu, engelin kalktığı tarihten itibaren bir hafta içinde, mazeretini gösterir sebep ve delillerle birlikte itirazlarını</w:t>
            </w:r>
            <w:r w:rsidR="00A17D05" w:rsidRPr="00A23740">
              <w:rPr>
                <w:rStyle w:val="YELChar"/>
              </w:rPr>
              <w:t>,</w:t>
            </w:r>
            <w:r w:rsidRPr="00A23740">
              <w:rPr>
                <w:b/>
                <w:color w:val="0000FF"/>
                <w:szCs w:val="24"/>
              </w:rPr>
              <w:t xml:space="preserve"> iflas davası açılmamışsa</w:t>
            </w:r>
            <w:r w:rsidR="00522E3C" w:rsidRPr="00A23740">
              <w:rPr>
                <w:b/>
                <w:color w:val="538135"/>
                <w:szCs w:val="24"/>
              </w:rPr>
              <w:t>,</w:t>
            </w:r>
            <w:r w:rsidRPr="00A23740">
              <w:rPr>
                <w:b/>
                <w:color w:val="0000FF"/>
                <w:szCs w:val="24"/>
              </w:rPr>
              <w:t xml:space="preserve"> icra </w:t>
            </w:r>
            <w:r w:rsidRPr="00A23740">
              <w:rPr>
                <w:rStyle w:val="MaviChar"/>
              </w:rPr>
              <w:t xml:space="preserve">ve iflas </w:t>
            </w:r>
            <w:r w:rsidRPr="00A23740">
              <w:rPr>
                <w:b/>
                <w:color w:val="0000FF"/>
                <w:szCs w:val="24"/>
              </w:rPr>
              <w:t>dairesine; açılmışsa</w:t>
            </w:r>
            <w:r w:rsidR="00522E3C" w:rsidRPr="00A23740">
              <w:rPr>
                <w:b/>
                <w:color w:val="538135"/>
                <w:szCs w:val="24"/>
              </w:rPr>
              <w:t>,</w:t>
            </w:r>
            <w:r w:rsidRPr="00A23740">
              <w:rPr>
                <w:b/>
                <w:color w:val="0000FF"/>
                <w:szCs w:val="24"/>
              </w:rPr>
              <w:t xml:space="preserve"> iflas mahkemesine bildirmek zorundadır.</w:t>
            </w:r>
          </w:p>
          <w:p w:rsidR="00AA5C8C" w:rsidRPr="00A23740" w:rsidRDefault="00AA5C8C" w:rsidP="009431FF">
            <w:pPr>
              <w:autoSpaceDE w:val="0"/>
              <w:autoSpaceDN w:val="0"/>
              <w:adjustRightInd w:val="0"/>
              <w:rPr>
                <w:b/>
                <w:color w:val="0000FF"/>
                <w:szCs w:val="24"/>
              </w:rPr>
            </w:pPr>
          </w:p>
          <w:p w:rsidR="00AA5C8C" w:rsidRPr="00A23740" w:rsidRDefault="00AA5C8C" w:rsidP="009431FF">
            <w:pPr>
              <w:rPr>
                <w:b/>
                <w:color w:val="0000FF"/>
                <w:szCs w:val="24"/>
              </w:rPr>
            </w:pPr>
            <w:r w:rsidRPr="00A23740">
              <w:rPr>
                <w:b/>
                <w:color w:val="0000FF"/>
                <w:szCs w:val="24"/>
              </w:rPr>
              <w:t xml:space="preserve">(3) </w:t>
            </w:r>
            <w:r w:rsidR="00A17D05" w:rsidRPr="009D0B93">
              <w:rPr>
                <w:rStyle w:val="MaviChar"/>
              </w:rPr>
              <w:t>Mahkeme,</w:t>
            </w:r>
            <w:r w:rsidR="00A17D05" w:rsidRPr="00A23740">
              <w:rPr>
                <w:b/>
                <w:color w:val="0000FF"/>
                <w:szCs w:val="24"/>
              </w:rPr>
              <w:t xml:space="preserve"> </w:t>
            </w:r>
            <w:r w:rsidR="00A17D05" w:rsidRPr="00A23740">
              <w:rPr>
                <w:rStyle w:val="MaviChar"/>
              </w:rPr>
              <w:t xml:space="preserve">iflas </w:t>
            </w:r>
            <w:r w:rsidRPr="00A23740">
              <w:rPr>
                <w:rStyle w:val="MaviChar"/>
              </w:rPr>
              <w:t>davasının açılması h</w:t>
            </w:r>
            <w:r w:rsidR="008D7868" w:rsidRPr="00A23740">
              <w:rPr>
                <w:rStyle w:val="MaviChar"/>
                <w:lang w:val="tr-TR"/>
              </w:rPr>
              <w:t>â</w:t>
            </w:r>
            <w:r w:rsidRPr="00A23740">
              <w:rPr>
                <w:rStyle w:val="MaviChar"/>
              </w:rPr>
              <w:t xml:space="preserve">linde </w:t>
            </w:r>
            <w:r w:rsidR="00A17D05" w:rsidRPr="009D0B93">
              <w:rPr>
                <w:rStyle w:val="MaviChar"/>
              </w:rPr>
              <w:t>mahkeme</w:t>
            </w:r>
            <w:r w:rsidRPr="00A23740">
              <w:rPr>
                <w:rStyle w:val="MaviChar"/>
              </w:rPr>
              <w:t xml:space="preserve"> veya icra ve iflas </w:t>
            </w:r>
            <w:r w:rsidR="00A17D05" w:rsidRPr="009D0B93">
              <w:rPr>
                <w:rStyle w:val="MaviChar"/>
              </w:rPr>
              <w:t>dairesi nezdinde</w:t>
            </w:r>
            <w:r w:rsidRPr="00A23740">
              <w:rPr>
                <w:rStyle w:val="MaviChar"/>
              </w:rPr>
              <w:t xml:space="preserve"> </w:t>
            </w:r>
            <w:r w:rsidR="00A17D05" w:rsidRPr="009D0B93">
              <w:rPr>
                <w:rStyle w:val="MaviChar"/>
              </w:rPr>
              <w:t>ileri sürülmüş</w:t>
            </w:r>
            <w:r w:rsidRPr="00A23740">
              <w:rPr>
                <w:rStyle w:val="MaviChar"/>
              </w:rPr>
              <w:t xml:space="preserve"> olan mazereti inceler. İflas mahkemesi</w:t>
            </w:r>
            <w:r w:rsidR="00CD2464">
              <w:rPr>
                <w:rStyle w:val="MaviChar"/>
                <w:lang w:val="tr-TR"/>
              </w:rPr>
              <w:t xml:space="preserve"> </w:t>
            </w:r>
            <w:r w:rsidRPr="00A23740">
              <w:rPr>
                <w:b/>
                <w:color w:val="0000FF"/>
                <w:szCs w:val="24"/>
              </w:rPr>
              <w:t>mazereti yerinde görürse</w:t>
            </w:r>
            <w:r w:rsidR="00522E3C" w:rsidRPr="009D0B93">
              <w:rPr>
                <w:rStyle w:val="MaviChar"/>
              </w:rPr>
              <w:t>, iflas davasını</w:t>
            </w:r>
            <w:r w:rsidR="00995065" w:rsidRPr="00A23740">
              <w:rPr>
                <w:b/>
                <w:color w:val="0000FF"/>
                <w:szCs w:val="24"/>
              </w:rPr>
              <w:t xml:space="preserve"> </w:t>
            </w:r>
            <w:r w:rsidR="00995065" w:rsidRPr="009D0B93">
              <w:rPr>
                <w:rStyle w:val="MaviChar"/>
              </w:rPr>
              <w:t>274 ve 275 inci</w:t>
            </w:r>
            <w:r w:rsidR="00A17D05" w:rsidRPr="00A23740">
              <w:rPr>
                <w:b/>
                <w:color w:val="0000FF"/>
                <w:szCs w:val="24"/>
              </w:rPr>
              <w:t xml:space="preserve"> </w:t>
            </w:r>
            <w:r w:rsidRPr="00A23740">
              <w:rPr>
                <w:b/>
                <w:color w:val="0000FF"/>
                <w:szCs w:val="24"/>
              </w:rPr>
              <w:t>maddeye</w:t>
            </w:r>
            <w:r w:rsidR="00A17D05" w:rsidRPr="009D0B93">
              <w:rPr>
                <w:rStyle w:val="MaviChar"/>
              </w:rPr>
              <w:t>;</w:t>
            </w:r>
            <w:r w:rsidR="00A17D05" w:rsidRPr="00A23740">
              <w:rPr>
                <w:b/>
                <w:color w:val="0000FF"/>
                <w:szCs w:val="24"/>
              </w:rPr>
              <w:t xml:space="preserve"> </w:t>
            </w:r>
            <w:r w:rsidRPr="00A23740">
              <w:rPr>
                <w:rStyle w:val="MaviChar"/>
              </w:rPr>
              <w:t>uygun görmezse</w:t>
            </w:r>
            <w:r w:rsidR="00522E3C" w:rsidRPr="009D0B93">
              <w:rPr>
                <w:rStyle w:val="MaviChar"/>
              </w:rPr>
              <w:t>,</w:t>
            </w:r>
            <w:r w:rsidR="00995065" w:rsidRPr="009D0B93">
              <w:rPr>
                <w:rStyle w:val="MaviChar"/>
              </w:rPr>
              <w:t xml:space="preserve"> 276 ncı</w:t>
            </w:r>
            <w:r w:rsidRPr="00A23740">
              <w:rPr>
                <w:rStyle w:val="MaviChar"/>
              </w:rPr>
              <w:t xml:space="preserve"> maddeye</w:t>
            </w:r>
            <w:r w:rsidRPr="00A23740">
              <w:rPr>
                <w:b/>
                <w:color w:val="0000FF"/>
                <w:szCs w:val="24"/>
              </w:rPr>
              <w:t xml:space="preserve"> göre inceler ve karara bağlar. </w:t>
            </w:r>
          </w:p>
          <w:p w:rsidR="00AA5C8C" w:rsidRPr="00A23740" w:rsidRDefault="00AA5C8C" w:rsidP="009431FF">
            <w:pPr>
              <w:pStyle w:val="YEL"/>
              <w:rPr>
                <w:lang w:val="tr-TR"/>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ind w:firstLine="709"/>
              <w:rPr>
                <w:b/>
                <w:bCs/>
                <w:szCs w:val="24"/>
                <w:lang w:eastAsia="x-none"/>
              </w:rPr>
            </w:pPr>
          </w:p>
          <w:p w:rsidR="00687220" w:rsidRPr="00A23740" w:rsidRDefault="00687220" w:rsidP="009431FF">
            <w:pPr>
              <w:tabs>
                <w:tab w:val="left" w:pos="567"/>
              </w:tabs>
              <w:autoSpaceDE w:val="0"/>
              <w:autoSpaceDN w:val="0"/>
              <w:adjustRightInd w:val="0"/>
              <w:ind w:firstLine="709"/>
            </w:pPr>
            <w:r w:rsidRPr="00A23740">
              <w:rPr>
                <w:b/>
              </w:rPr>
              <w:t>MADDE 277-</w:t>
            </w:r>
            <w:r w:rsidRPr="00A23740">
              <w:t xml:space="preserve"> Maddeyle, iflas yoluyla takipte gecikmiş itiraza ilişkin hususlar düzenlenmektedir. Hüküm, 2004 sayılı Kanunun 173 üncü maddesinin dördüncü fıkrasına karşılık gelme</w:t>
            </w:r>
            <w:r w:rsidR="00E40804" w:rsidRPr="00A23740">
              <w:t>ktedir.</w:t>
            </w:r>
          </w:p>
          <w:p w:rsidR="00687220" w:rsidRPr="00A23740" w:rsidRDefault="00E40804" w:rsidP="009431FF">
            <w:pPr>
              <w:tabs>
                <w:tab w:val="left" w:pos="567"/>
              </w:tabs>
              <w:autoSpaceDE w:val="0"/>
              <w:autoSpaceDN w:val="0"/>
              <w:adjustRightInd w:val="0"/>
              <w:ind w:firstLine="709"/>
            </w:pPr>
            <w:r w:rsidRPr="00A23740">
              <w:t xml:space="preserve">Kusuru </w:t>
            </w:r>
            <w:r w:rsidR="00687220" w:rsidRPr="00A23740">
              <w:t>olmaksızın</w:t>
            </w:r>
            <w:r w:rsidRPr="00A23740">
              <w:t xml:space="preserve"> </w:t>
            </w:r>
            <w:r w:rsidRPr="00D60C1D">
              <w:rPr>
                <w:rStyle w:val="YELChar"/>
                <w:b w:val="0"/>
                <w:color w:val="000000"/>
              </w:rPr>
              <w:t>ve</w:t>
            </w:r>
            <w:r w:rsidR="00687220" w:rsidRPr="00A23740">
              <w:t xml:space="preserve"> bir engel nedeniyle</w:t>
            </w:r>
            <w:r w:rsidRPr="00A23740">
              <w:t xml:space="preserve"> </w:t>
            </w:r>
            <w:r w:rsidRPr="00D60C1D">
              <w:rPr>
                <w:rStyle w:val="YELChar"/>
                <w:b w:val="0"/>
                <w:color w:val="000000"/>
              </w:rPr>
              <w:t>ödeme emrine</w:t>
            </w:r>
            <w:r w:rsidR="00687220" w:rsidRPr="00A23740">
              <w:t xml:space="preserve"> itiraz edememiş olan borçluya, </w:t>
            </w:r>
            <w:r w:rsidRPr="00D60C1D">
              <w:rPr>
                <w:rStyle w:val="YELChar"/>
                <w:b w:val="0"/>
                <w:color w:val="000000"/>
              </w:rPr>
              <w:t>iflas yoluyla başlatılan takiplerde de</w:t>
            </w:r>
            <w:r w:rsidRPr="00A23740">
              <w:t xml:space="preserve"> </w:t>
            </w:r>
            <w:r w:rsidR="00687220" w:rsidRPr="00A23740">
              <w:t xml:space="preserve">gecikmiş itirazda bulunma imkânı sunulmuştur. </w:t>
            </w:r>
            <w:r w:rsidRPr="00D60C1D">
              <w:rPr>
                <w:rStyle w:val="YELChar"/>
                <w:b w:val="0"/>
                <w:color w:val="000000"/>
              </w:rPr>
              <w:t>Taslağın,</w:t>
            </w:r>
            <w:r w:rsidRPr="00A23740">
              <w:t xml:space="preserve"> </w:t>
            </w:r>
            <w:r w:rsidR="00687220" w:rsidRPr="00A23740">
              <w:t>haciz yoluyla ilamsız icra takiplerine ilişkin 94 üncü</w:t>
            </w:r>
            <w:r w:rsidR="00715DC7" w:rsidRPr="00A23740">
              <w:t xml:space="preserve"> </w:t>
            </w:r>
            <w:r w:rsidR="00A13BB5" w:rsidRPr="00D60C1D">
              <w:rPr>
                <w:rStyle w:val="YELChar"/>
                <w:b w:val="0"/>
                <w:color w:val="000000"/>
              </w:rPr>
              <w:t>maddesinin yorumu bakımından</w:t>
            </w:r>
            <w:r w:rsidRPr="00D60C1D">
              <w:rPr>
                <w:b/>
                <w:color w:val="000000"/>
              </w:rPr>
              <w:t xml:space="preserve"> </w:t>
            </w:r>
            <w:r w:rsidRPr="00D60C1D">
              <w:rPr>
                <w:rStyle w:val="YELChar"/>
                <w:b w:val="0"/>
                <w:color w:val="000000"/>
              </w:rPr>
              <w:t>gecikmiş itiraz</w:t>
            </w:r>
            <w:r w:rsidR="00A13BB5" w:rsidRPr="00D60C1D">
              <w:rPr>
                <w:rStyle w:val="YELChar"/>
                <w:b w:val="0"/>
                <w:color w:val="000000"/>
              </w:rPr>
              <w:t xml:space="preserve"> çerçevesinde ileri sürülebilecek </w:t>
            </w:r>
            <w:r w:rsidRPr="00D60C1D">
              <w:rPr>
                <w:rStyle w:val="YELChar"/>
                <w:b w:val="0"/>
                <w:color w:val="000000"/>
              </w:rPr>
              <w:t>örnekler</w:t>
            </w:r>
            <w:r w:rsidR="00687220" w:rsidRPr="00A23740">
              <w:t xml:space="preserve"> burada da </w:t>
            </w:r>
            <w:r w:rsidR="00A13BB5" w:rsidRPr="00D60C1D">
              <w:rPr>
                <w:rStyle w:val="YELChar"/>
                <w:b w:val="0"/>
                <w:color w:val="000000"/>
              </w:rPr>
              <w:t>geçerli</w:t>
            </w:r>
            <w:r w:rsidR="00A13BB5" w:rsidRPr="00A23740">
              <w:rPr>
                <w:rStyle w:val="YELChar"/>
              </w:rPr>
              <w:t xml:space="preserve"> </w:t>
            </w:r>
            <w:r w:rsidR="00A13BB5" w:rsidRPr="00D60C1D">
              <w:rPr>
                <w:rStyle w:val="YELChar"/>
                <w:b w:val="0"/>
                <w:color w:val="000000"/>
              </w:rPr>
              <w:t>olacaktır</w:t>
            </w:r>
            <w:r w:rsidR="00687220" w:rsidRPr="00A23740">
              <w:t xml:space="preserve">. Bu bağlamda usulsüz tebliğin bir gecikmiş itiraz </w:t>
            </w:r>
            <w:r w:rsidR="00A13BB5" w:rsidRPr="00D60C1D">
              <w:rPr>
                <w:rStyle w:val="YELChar"/>
                <w:b w:val="0"/>
                <w:color w:val="000000"/>
              </w:rPr>
              <w:t>sebebi</w:t>
            </w:r>
            <w:r w:rsidR="00687220" w:rsidRPr="00A23740">
              <w:t xml:space="preserve"> ol</w:t>
            </w:r>
            <w:r w:rsidR="00A13BB5" w:rsidRPr="00A23740">
              <w:t>amayacağı ise tereddütsüzdür.</w:t>
            </w:r>
          </w:p>
          <w:p w:rsidR="00687220" w:rsidRPr="00A23740" w:rsidRDefault="00687220" w:rsidP="009431FF">
            <w:pPr>
              <w:tabs>
                <w:tab w:val="left" w:pos="567"/>
              </w:tabs>
              <w:autoSpaceDE w:val="0"/>
              <w:autoSpaceDN w:val="0"/>
              <w:adjustRightInd w:val="0"/>
              <w:ind w:firstLine="709"/>
            </w:pPr>
            <w:r w:rsidRPr="00A23740">
              <w:t>Gecikmiş itirazın mazereti haklı kılan sebep ve delilleri yanında ödeme emrine yönelik itirazı da içermesi gerekir. Kesin süre içinde yapılacak bu itiraz, henüz ifl</w:t>
            </w:r>
            <w:r w:rsidR="00656C77" w:rsidRPr="00A23740">
              <w:t>a</w:t>
            </w:r>
            <w:r w:rsidRPr="00A23740">
              <w:t>s davası açılmamışsa icra ve iflas dairesine;</w:t>
            </w:r>
            <w:r w:rsidR="00A13BB5" w:rsidRPr="00A23740">
              <w:t xml:space="preserve"> </w:t>
            </w:r>
            <w:r w:rsidR="00A13BB5" w:rsidRPr="00D60C1D">
              <w:rPr>
                <w:rStyle w:val="YELChar"/>
                <w:b w:val="0"/>
                <w:color w:val="000000"/>
              </w:rPr>
              <w:t>dava</w:t>
            </w:r>
            <w:r w:rsidRPr="00A23740">
              <w:t xml:space="preserve"> açılmışsa iflas mahkemesine yapılır. </w:t>
            </w:r>
          </w:p>
          <w:p w:rsidR="00687220" w:rsidRPr="00A23740" w:rsidRDefault="00687220" w:rsidP="009431FF">
            <w:pPr>
              <w:tabs>
                <w:tab w:val="left" w:pos="567"/>
              </w:tabs>
              <w:autoSpaceDE w:val="0"/>
              <w:autoSpaceDN w:val="0"/>
              <w:adjustRightInd w:val="0"/>
              <w:ind w:firstLine="709"/>
            </w:pPr>
            <w:r w:rsidRPr="00A23740">
              <w:t xml:space="preserve">Mahkeme, önce gecikmiş itirazı ele </w:t>
            </w:r>
            <w:r w:rsidR="00A13BB5" w:rsidRPr="00D60C1D">
              <w:rPr>
                <w:rStyle w:val="YELChar"/>
                <w:b w:val="0"/>
                <w:color w:val="000000"/>
              </w:rPr>
              <w:t>alıp</w:t>
            </w:r>
            <w:r w:rsidRPr="00A23740">
              <w:t xml:space="preserve"> </w:t>
            </w:r>
            <w:r w:rsidR="00A13BB5" w:rsidRPr="00D60C1D">
              <w:rPr>
                <w:rStyle w:val="YELChar"/>
                <w:b w:val="0"/>
                <w:color w:val="000000"/>
              </w:rPr>
              <w:t>karara bağlar</w:t>
            </w:r>
            <w:r w:rsidRPr="00D60C1D">
              <w:rPr>
                <w:b/>
                <w:color w:val="000000"/>
              </w:rPr>
              <w:t>.</w:t>
            </w:r>
            <w:r w:rsidRPr="00A23740">
              <w:t xml:space="preserve"> Ödeme emrine itiraz edilmemiş olmasının yukarıda düzenlenen sonuçları dikkate alındığında; gecikmiş itiraz hakkında varılacak olası sonuç, tahkikatın içeriğini de yakından etkileyecektir: Mazeretin kabulü h</w:t>
            </w:r>
            <w:r w:rsidR="008D7868" w:rsidRPr="00A23740">
              <w:t>â</w:t>
            </w:r>
            <w:r w:rsidRPr="00A23740">
              <w:t>linde iflas davası,</w:t>
            </w:r>
            <w:r w:rsidR="00A13BB5" w:rsidRPr="00A23740">
              <w:t xml:space="preserve"> </w:t>
            </w:r>
            <w:r w:rsidR="00A13BB5" w:rsidRPr="00D60C1D">
              <w:rPr>
                <w:rStyle w:val="YELChar"/>
                <w:b w:val="0"/>
                <w:color w:val="000000"/>
              </w:rPr>
              <w:t>Taslağın</w:t>
            </w:r>
            <w:r w:rsidR="00A13BB5" w:rsidRPr="00A23740">
              <w:t xml:space="preserve"> </w:t>
            </w:r>
            <w:r w:rsidRPr="00A23740">
              <w:t xml:space="preserve">artık süresi içinde yapılmış olduğu kabul edilen itirazların hükümden düşürülmesine ilişkin </w:t>
            </w:r>
            <w:r w:rsidR="00715DC7" w:rsidRPr="00D60C1D">
              <w:rPr>
                <w:rStyle w:val="KonuBalChar"/>
                <w:rFonts w:eastAsia="Calibri"/>
                <w:b w:val="0"/>
                <w:color w:val="000000"/>
              </w:rPr>
              <w:t>274 ve 275 inci</w:t>
            </w:r>
            <w:r w:rsidRPr="00A23740">
              <w:t>; aksi h</w:t>
            </w:r>
            <w:r w:rsidR="008D7868" w:rsidRPr="00A23740">
              <w:t>â</w:t>
            </w:r>
            <w:r w:rsidRPr="00A23740">
              <w:t xml:space="preserve">lde ise </w:t>
            </w:r>
            <w:r w:rsidR="00715DC7" w:rsidRPr="00D60C1D">
              <w:rPr>
                <w:rStyle w:val="KonuBalChar"/>
                <w:rFonts w:eastAsia="Calibri"/>
                <w:b w:val="0"/>
                <w:color w:val="000000"/>
                <w:lang w:val="tr-TR"/>
              </w:rPr>
              <w:t>2</w:t>
            </w:r>
            <w:r w:rsidR="00715DC7" w:rsidRPr="00D60C1D">
              <w:rPr>
                <w:rStyle w:val="KonuBalChar"/>
                <w:rFonts w:eastAsia="Calibri"/>
                <w:b w:val="0"/>
                <w:color w:val="000000"/>
              </w:rPr>
              <w:t>76 ncı</w:t>
            </w:r>
            <w:r w:rsidR="00715DC7" w:rsidRPr="00A23740">
              <w:rPr>
                <w:rStyle w:val="MaviChar"/>
              </w:rPr>
              <w:t xml:space="preserve"> </w:t>
            </w:r>
            <w:r w:rsidR="00A13BB5" w:rsidRPr="00A23740">
              <w:t>maddesine göre yürütülecektir.</w:t>
            </w:r>
          </w:p>
          <w:p w:rsidR="00046430" w:rsidRPr="00A23740" w:rsidRDefault="00046430" w:rsidP="00DE5024">
            <w:pPr>
              <w:ind w:firstLine="1163"/>
              <w:rPr>
                <w:rFonts w:eastAsia="Times New Roman"/>
                <w:b/>
                <w:bCs/>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CD2464" w:rsidRDefault="00AA5C8C" w:rsidP="009431FF">
            <w:pPr>
              <w:pStyle w:val="KIRMIZI"/>
            </w:pPr>
            <w:r w:rsidRPr="00A23740">
              <w:t xml:space="preserve">c) </w:t>
            </w:r>
            <w:r w:rsidRPr="00CD2464">
              <w:t>İstirdat davası:</w:t>
            </w:r>
          </w:p>
          <w:p w:rsidR="00AA5C8C" w:rsidRPr="00CD2464" w:rsidRDefault="00AA5C8C" w:rsidP="009431FF">
            <w:pPr>
              <w:pStyle w:val="KIRMIZI"/>
            </w:pPr>
            <w:r w:rsidRPr="00CD2464">
              <w:t>Madde 175 – …</w:t>
            </w:r>
          </w:p>
          <w:p w:rsidR="00AA5C8C" w:rsidRPr="00A23740" w:rsidRDefault="00AA5C8C" w:rsidP="009431FF">
            <w:pPr>
              <w:pStyle w:val="KIRMIZI"/>
            </w:pPr>
            <w:r w:rsidRPr="00CD2464">
              <w:rPr>
                <w:rStyle w:val="KIRMIZIChar"/>
                <w:b/>
                <w:bCs/>
                <w:strike/>
              </w:rPr>
              <w:t>(1)</w:t>
            </w:r>
            <w:r w:rsidRPr="00CD2464">
              <w:t xml:space="preserve"> İflas ta</w:t>
            </w:r>
            <w:r w:rsidRPr="00A23740">
              <w:t>kibine itiraz etmemesi yüzünden borçlu olmadığı bir parayı ödeyen kimse 72 nci madde uyarınca geri almak hakkını haizdir.</w:t>
            </w:r>
          </w:p>
          <w:p w:rsidR="00AA5C8C" w:rsidRPr="00A23740" w:rsidRDefault="00AA5C8C" w:rsidP="009431FF">
            <w:pPr>
              <w:tabs>
                <w:tab w:val="left" w:pos="567"/>
              </w:tabs>
              <w:rPr>
                <w:szCs w:val="24"/>
              </w:rPr>
            </w:pPr>
          </w:p>
        </w:tc>
        <w:tc>
          <w:tcPr>
            <w:tcW w:w="2500" w:type="pct"/>
          </w:tcPr>
          <w:p w:rsidR="00AA5C8C" w:rsidRPr="00A23740" w:rsidRDefault="00AA5C8C" w:rsidP="009431FF">
            <w:pPr>
              <w:rPr>
                <w:b/>
                <w:color w:val="0000FF"/>
                <w:szCs w:val="24"/>
              </w:rPr>
            </w:pPr>
            <w:r w:rsidRPr="00A23740">
              <w:rPr>
                <w:b/>
                <w:color w:val="0000FF"/>
                <w:szCs w:val="24"/>
              </w:rPr>
              <w:t>Menfi tespit ve istirdat davası</w:t>
            </w:r>
          </w:p>
          <w:p w:rsidR="00AA5C8C" w:rsidRPr="00A23740" w:rsidRDefault="00AA5C8C" w:rsidP="009431FF">
            <w:pPr>
              <w:rPr>
                <w:b/>
                <w:color w:val="0000FF"/>
                <w:szCs w:val="24"/>
              </w:rPr>
            </w:pPr>
            <w:r w:rsidRPr="00A23740">
              <w:rPr>
                <w:b/>
                <w:color w:val="0000FF"/>
                <w:szCs w:val="24"/>
              </w:rPr>
              <w:t>MADDE 27</w:t>
            </w:r>
            <w:r w:rsidR="00490C3E" w:rsidRPr="00A23740">
              <w:rPr>
                <w:b/>
                <w:color w:val="0000FF"/>
                <w:szCs w:val="24"/>
              </w:rPr>
              <w:t>8</w:t>
            </w:r>
            <w:r w:rsidRPr="00A23740">
              <w:rPr>
                <w:b/>
                <w:color w:val="0000FF"/>
                <w:szCs w:val="24"/>
              </w:rPr>
              <w:t xml:space="preserve">- (1) İflas takibine itiraz etmeyen borçlu, takip konusu alacak hakkında </w:t>
            </w:r>
            <w:r w:rsidRPr="00A23740">
              <w:rPr>
                <w:rStyle w:val="MaviChar"/>
              </w:rPr>
              <w:t>98</w:t>
            </w:r>
            <w:r w:rsidR="00F25FDB" w:rsidRPr="00A23740">
              <w:rPr>
                <w:rStyle w:val="YELChar"/>
              </w:rPr>
              <w:t xml:space="preserve"> </w:t>
            </w:r>
            <w:r w:rsidR="00F25FDB" w:rsidRPr="009D0B93">
              <w:rPr>
                <w:rStyle w:val="MaviChar"/>
              </w:rPr>
              <w:t>ila</w:t>
            </w:r>
            <w:r w:rsidR="00C36C62" w:rsidRPr="009D0B93">
              <w:rPr>
                <w:rStyle w:val="MaviChar"/>
              </w:rPr>
              <w:t xml:space="preserve"> 101</w:t>
            </w:r>
            <w:r w:rsidRPr="00A23740">
              <w:rPr>
                <w:rStyle w:val="MaviChar"/>
              </w:rPr>
              <w:t xml:space="preserve"> inci </w:t>
            </w:r>
            <w:r w:rsidR="00CD1E19" w:rsidRPr="009D0B93">
              <w:rPr>
                <w:rStyle w:val="MaviChar"/>
              </w:rPr>
              <w:t>maddelere</w:t>
            </w:r>
            <w:r w:rsidRPr="00A23740">
              <w:rPr>
                <w:b/>
                <w:color w:val="0000FF"/>
                <w:szCs w:val="24"/>
              </w:rPr>
              <w:t xml:space="preserve"> göre menfi tespit veya istirdat davası açabilir. Ancak iflas davasından sonra açılan menfi tespit davası, iflas davasında bekletici sorun yapılamaz.</w:t>
            </w:r>
          </w:p>
          <w:p w:rsidR="00AA5C8C" w:rsidRPr="00A23740" w:rsidRDefault="00AA5C8C" w:rsidP="009431FF">
            <w:pPr>
              <w:pStyle w:val="Stil1"/>
              <w:rPr>
                <w:color w:val="FF0000"/>
                <w:sz w:val="28"/>
                <w:szCs w:val="28"/>
                <w:u w:val="none"/>
                <w:lang w:val="tr-TR"/>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46430" w:rsidRPr="00A23740" w:rsidRDefault="00046430" w:rsidP="009431FF">
            <w:pPr>
              <w:ind w:firstLine="709"/>
              <w:rPr>
                <w:rFonts w:eastAsia="Times New Roman"/>
                <w:b/>
                <w:bCs/>
                <w:szCs w:val="24"/>
                <w:lang w:eastAsia="tr-TR"/>
              </w:rPr>
            </w:pPr>
          </w:p>
          <w:p w:rsidR="00687220" w:rsidRPr="00A23740" w:rsidRDefault="00687220" w:rsidP="009431FF">
            <w:pPr>
              <w:ind w:firstLine="709"/>
              <w:rPr>
                <w:b/>
                <w:color w:val="0000FF"/>
                <w:szCs w:val="24"/>
              </w:rPr>
            </w:pPr>
            <w:r w:rsidRPr="00A23740">
              <w:rPr>
                <w:b/>
              </w:rPr>
              <w:t>MADDE 278-</w:t>
            </w:r>
            <w:r w:rsidRPr="00A23740">
              <w:t xml:space="preserve"> Maddeyle, iflas yoluyla takipte menfi tespit ve istirdat davasına ilişkin hususlar düzenlenmektedir. Hüküm, 2004 sayılı Kanunun 175 inci maddesinin birinci fıkrasına karşılık gelmektedir. </w:t>
            </w:r>
          </w:p>
          <w:p w:rsidR="00687220" w:rsidRPr="00A23740" w:rsidRDefault="00687220" w:rsidP="009431FF">
            <w:pPr>
              <w:ind w:firstLine="709"/>
            </w:pPr>
            <w:r w:rsidRPr="00A23740">
              <w:t xml:space="preserve">Bilhassa ödeme emrine itiraz etmeyen borçlu yönünden menfi tespit veya gereğinde istirdat davası açma hakkı saklıdır. Bu yönde 2004 </w:t>
            </w:r>
            <w:r w:rsidR="00D5792E" w:rsidRPr="00D60C1D">
              <w:rPr>
                <w:rStyle w:val="YELChar"/>
                <w:b w:val="0"/>
                <w:color w:val="000000"/>
              </w:rPr>
              <w:t>sayılı Kanunun</w:t>
            </w:r>
            <w:r w:rsidRPr="00A23740">
              <w:t xml:space="preserve"> 175 inci maddesinden </w:t>
            </w:r>
            <w:r w:rsidR="00D5792E" w:rsidRPr="00D60C1D">
              <w:rPr>
                <w:rStyle w:val="YELChar"/>
                <w:b w:val="0"/>
                <w:color w:val="000000"/>
              </w:rPr>
              <w:t>ayrılmak suretiyle</w:t>
            </w:r>
            <w:r w:rsidR="00D5792E" w:rsidRPr="00A23740">
              <w:t xml:space="preserve"> </w:t>
            </w:r>
            <w:r w:rsidR="00D5792E" w:rsidRPr="00D60C1D">
              <w:rPr>
                <w:rStyle w:val="YELChar"/>
                <w:b w:val="0"/>
                <w:color w:val="000000"/>
              </w:rPr>
              <w:t>istirdat davası</w:t>
            </w:r>
            <w:r w:rsidRPr="00A23740">
              <w:t xml:space="preserve"> yanında menfi tespit davası açılabileceği de metinde açıkça tasrih edilmiştir. </w:t>
            </w:r>
            <w:r w:rsidR="00D5792E" w:rsidRPr="00D60C1D">
              <w:rPr>
                <w:rStyle w:val="YELChar"/>
                <w:b w:val="0"/>
                <w:color w:val="000000"/>
              </w:rPr>
              <w:t>Bu durum</w:t>
            </w:r>
            <w:r w:rsidR="00D5792E" w:rsidRPr="00A23740">
              <w:t xml:space="preserve"> ödeme </w:t>
            </w:r>
            <w:r w:rsidRPr="00A23740">
              <w:t xml:space="preserve">emrine itiraz etmediği için iflas davasında alacağın esasıyla ilgili savunmalarını ileri sürememiş olan borçlu </w:t>
            </w:r>
            <w:r w:rsidR="00D5792E" w:rsidRPr="00D60C1D">
              <w:rPr>
                <w:rStyle w:val="YELChar"/>
                <w:b w:val="0"/>
                <w:color w:val="000000"/>
              </w:rPr>
              <w:t>bakımından</w:t>
            </w:r>
            <w:r w:rsidRPr="00A23740">
              <w:t xml:space="preserve"> önemli bir imk</w:t>
            </w:r>
            <w:r w:rsidR="00BE53A8" w:rsidRPr="00A23740">
              <w:rPr>
                <w:rFonts w:eastAsia="Times New Roman"/>
                <w:szCs w:val="24"/>
                <w:lang w:eastAsia="tr-TR"/>
              </w:rPr>
              <w:t>â</w:t>
            </w:r>
            <w:r w:rsidRPr="00A23740">
              <w:t>ndır.</w:t>
            </w:r>
            <w:r w:rsidR="00D5792E" w:rsidRPr="00A23740">
              <w:t xml:space="preserve"> </w:t>
            </w:r>
            <w:r w:rsidR="00D5792E" w:rsidRPr="00D60C1D">
              <w:rPr>
                <w:rStyle w:val="YELChar"/>
                <w:b w:val="0"/>
                <w:color w:val="000000"/>
              </w:rPr>
              <w:t>Ne var ki</w:t>
            </w:r>
            <w:r w:rsidR="008D7E94" w:rsidRPr="00D60C1D">
              <w:rPr>
                <w:rStyle w:val="YELChar"/>
                <w:b w:val="0"/>
                <w:color w:val="000000"/>
              </w:rPr>
              <w:t>,</w:t>
            </w:r>
            <w:r w:rsidRPr="00A23740">
              <w:t xml:space="preserve"> </w:t>
            </w:r>
            <w:r w:rsidR="008D7E94" w:rsidRPr="00A23740">
              <w:t>i</w:t>
            </w:r>
            <w:r w:rsidR="00D5792E" w:rsidRPr="00A23740">
              <w:t xml:space="preserve">flas </w:t>
            </w:r>
            <w:r w:rsidR="00D5792E" w:rsidRPr="00D60C1D">
              <w:rPr>
                <w:rStyle w:val="YELChar"/>
                <w:b w:val="0"/>
                <w:color w:val="000000"/>
              </w:rPr>
              <w:t>davasından</w:t>
            </w:r>
            <w:r w:rsidR="00D5792E" w:rsidRPr="00A23740">
              <w:rPr>
                <w:rStyle w:val="YELChar"/>
              </w:rPr>
              <w:t xml:space="preserve"> </w:t>
            </w:r>
            <w:r w:rsidRPr="00A23740">
              <w:t xml:space="preserve">sonra açılan menfi tespit davası, iflas davası bakımından hiçbir şekilde bekletici mesele yapılamayacaktır. Aksi düşüncenin kabulü, </w:t>
            </w:r>
            <w:r w:rsidR="00D5792E" w:rsidRPr="00D60C1D">
              <w:rPr>
                <w:rStyle w:val="YELChar"/>
                <w:b w:val="0"/>
                <w:color w:val="000000"/>
              </w:rPr>
              <w:t>iflas takiplerinin</w:t>
            </w:r>
            <w:r w:rsidR="00D5792E" w:rsidRPr="00A23740">
              <w:t xml:space="preserve"> </w:t>
            </w:r>
            <w:r w:rsidRPr="00A23740">
              <w:t>ve iflas davalarının etkinliğini azaltacaktır ki, borçluya ödeme emrine itiraz hakkının evvelce zaten verilmiş olması, böyle bir kısıtı, ölçüsüz ve hak</w:t>
            </w:r>
            <w:r w:rsidR="00D5792E" w:rsidRPr="00A23740">
              <w:t>sız olmaktan da çıkarmaktadır.</w:t>
            </w:r>
          </w:p>
          <w:p w:rsidR="007B1855" w:rsidRPr="00A23740" w:rsidRDefault="007B1855" w:rsidP="00DE5024">
            <w:pPr>
              <w:ind w:firstLine="1163"/>
              <w:rPr>
                <w:b/>
                <w:bCs/>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DE5024">
            <w:pPr>
              <w:widowControl w:val="0"/>
              <w:tabs>
                <w:tab w:val="left" w:pos="567"/>
              </w:tabs>
              <w:rPr>
                <w:szCs w:val="24"/>
              </w:rPr>
            </w:pPr>
          </w:p>
          <w:p w:rsidR="00AA5C8C" w:rsidRPr="00A23740" w:rsidRDefault="00AA5C8C" w:rsidP="00DE5024">
            <w:pPr>
              <w:widowControl w:val="0"/>
              <w:tabs>
                <w:tab w:val="left" w:pos="567"/>
              </w:tabs>
              <w:rPr>
                <w:szCs w:val="24"/>
              </w:rPr>
            </w:pPr>
          </w:p>
          <w:p w:rsidR="00AA5C8C" w:rsidRPr="00A23740" w:rsidRDefault="00AA5C8C" w:rsidP="00DE5024">
            <w:pPr>
              <w:widowControl w:val="0"/>
              <w:tabs>
                <w:tab w:val="left" w:pos="567"/>
              </w:tabs>
              <w:rPr>
                <w:strike/>
                <w:color w:val="FF0000"/>
                <w:szCs w:val="24"/>
              </w:rPr>
            </w:pPr>
            <w:r w:rsidRPr="00A23740">
              <w:rPr>
                <w:szCs w:val="24"/>
              </w:rPr>
              <w:t>Muhafaza tedbirleri</w:t>
            </w:r>
            <w:r w:rsidRPr="00A23740">
              <w:rPr>
                <w:strike/>
                <w:color w:val="FF0000"/>
                <w:szCs w:val="24"/>
              </w:rPr>
              <w:t>:</w:t>
            </w:r>
          </w:p>
          <w:p w:rsidR="00AA5C8C" w:rsidRPr="00A23740" w:rsidRDefault="00AA5C8C" w:rsidP="00DE5024">
            <w:pPr>
              <w:widowControl w:val="0"/>
              <w:tabs>
                <w:tab w:val="left" w:pos="567"/>
              </w:tabs>
              <w:rPr>
                <w:b/>
                <w:strike/>
                <w:color w:val="FF0000"/>
                <w:szCs w:val="24"/>
              </w:rPr>
            </w:pPr>
            <w:r w:rsidRPr="00A23740">
              <w:rPr>
                <w:rStyle w:val="KIRMIZIChar"/>
                <w:rFonts w:eastAsia="Calibri"/>
              </w:rPr>
              <w:t>Madde 159 – (1) (Değişik</w:t>
            </w:r>
            <w:r w:rsidRPr="00A23740">
              <w:rPr>
                <w:b/>
                <w:strike/>
                <w:color w:val="FF0000"/>
                <w:szCs w:val="24"/>
              </w:rPr>
              <w:t>: 18/2/1965 - 538/76 md.)</w:t>
            </w:r>
          </w:p>
          <w:p w:rsidR="00AA5C8C" w:rsidRPr="00A23740" w:rsidRDefault="00AA5C8C" w:rsidP="00DE5024">
            <w:pPr>
              <w:widowControl w:val="0"/>
              <w:tabs>
                <w:tab w:val="left" w:pos="567"/>
              </w:tabs>
              <w:rPr>
                <w:rStyle w:val="KIRMIZIChar"/>
                <w:rFonts w:eastAsia="Calibri"/>
              </w:rPr>
            </w:pPr>
            <w:r w:rsidRPr="00A23740">
              <w:rPr>
                <w:szCs w:val="24"/>
              </w:rPr>
              <w:t xml:space="preserve">İflas </w:t>
            </w:r>
            <w:r w:rsidRPr="00A23740">
              <w:rPr>
                <w:b/>
                <w:strike/>
                <w:color w:val="FF0000"/>
                <w:szCs w:val="24"/>
              </w:rPr>
              <w:t>talebi halinde</w:t>
            </w:r>
            <w:r w:rsidRPr="00A23740">
              <w:rPr>
                <w:szCs w:val="24"/>
              </w:rPr>
              <w:t xml:space="preserve"> mahkeme, </w:t>
            </w:r>
            <w:r w:rsidRPr="00A23740">
              <w:rPr>
                <w:rStyle w:val="KIRMIZIChar"/>
                <w:rFonts w:eastAsia="Calibri"/>
              </w:rPr>
              <w:t>ilk önce</w:t>
            </w:r>
            <w:r w:rsidRPr="00A23740">
              <w:rPr>
                <w:szCs w:val="24"/>
              </w:rPr>
              <w:t xml:space="preserve"> alacaklıların menfaati için </w:t>
            </w:r>
            <w:r w:rsidRPr="00A23740">
              <w:rPr>
                <w:rStyle w:val="KIRMIZIChar"/>
                <w:rFonts w:eastAsia="Calibri"/>
              </w:rPr>
              <w:t>zaruri</w:t>
            </w:r>
            <w:r w:rsidRPr="00A23740">
              <w:rPr>
                <w:szCs w:val="24"/>
              </w:rPr>
              <w:t xml:space="preserve"> gördüğü bütün muhafaza tedbirlerin</w:t>
            </w:r>
            <w:r w:rsidRPr="00A23740">
              <w:rPr>
                <w:rStyle w:val="KIRMIZIChar"/>
                <w:rFonts w:eastAsia="Calibri"/>
              </w:rPr>
              <w:t>i</w:t>
            </w:r>
            <w:r w:rsidRPr="00A23740">
              <w:rPr>
                <w:szCs w:val="24"/>
              </w:rPr>
              <w:t xml:space="preserve"> </w:t>
            </w:r>
            <w:r w:rsidRPr="00A23740">
              <w:rPr>
                <w:rStyle w:val="KIRMIZIChar"/>
                <w:rFonts w:eastAsia="Calibri"/>
              </w:rPr>
              <w:t>emredebilir</w:t>
            </w:r>
            <w:r w:rsidRPr="00A23740">
              <w:rPr>
                <w:szCs w:val="24"/>
              </w:rPr>
              <w:t xml:space="preserve">. </w:t>
            </w:r>
            <w:r w:rsidRPr="00A23740">
              <w:rPr>
                <w:rStyle w:val="KIRMIZIChar"/>
                <w:rFonts w:eastAsia="Calibri"/>
              </w:rPr>
              <w:t xml:space="preserve">Borçlu ödeme emrine itiraz etmemişse, alacaklının talebi üzerine, mahkeme mutlaka bu tedbirlere karar vermeye mecburdur. </w:t>
            </w:r>
          </w:p>
          <w:p w:rsidR="00AA5C8C" w:rsidRPr="00A23740" w:rsidRDefault="00AA5C8C" w:rsidP="00DE5024">
            <w:pPr>
              <w:widowControl w:val="0"/>
              <w:tabs>
                <w:tab w:val="left" w:pos="567"/>
              </w:tabs>
              <w:rPr>
                <w:szCs w:val="24"/>
              </w:rPr>
            </w:pPr>
          </w:p>
          <w:p w:rsidR="00AA5C8C" w:rsidRPr="00A23740" w:rsidRDefault="00AA5C8C" w:rsidP="00DE5024">
            <w:pPr>
              <w:widowControl w:val="0"/>
              <w:tabs>
                <w:tab w:val="left" w:pos="567"/>
              </w:tabs>
              <w:rPr>
                <w:szCs w:val="24"/>
              </w:rPr>
            </w:pPr>
            <w:r w:rsidRPr="00A23740">
              <w:rPr>
                <w:rStyle w:val="KIRMIZIChar"/>
                <w:rFonts w:eastAsia="Calibri"/>
              </w:rPr>
              <w:t>(2)</w:t>
            </w:r>
            <w:r w:rsidRPr="00A23740">
              <w:rPr>
                <w:szCs w:val="24"/>
              </w:rPr>
              <w:t xml:space="preserve"> Mahkeme, defter tut</w:t>
            </w:r>
            <w:r w:rsidRPr="00A23740">
              <w:rPr>
                <w:rStyle w:val="KIRMIZIChar"/>
                <w:rFonts w:eastAsia="Calibri"/>
              </w:rPr>
              <w:t>ma</w:t>
            </w:r>
            <w:r w:rsidRPr="00A23740">
              <w:rPr>
                <w:b/>
                <w:strike/>
                <w:color w:val="FF0000"/>
                <w:szCs w:val="24"/>
              </w:rPr>
              <w:t>dan gayrı bir</w:t>
            </w:r>
            <w:r w:rsidRPr="00A23740">
              <w:rPr>
                <w:szCs w:val="24"/>
              </w:rPr>
              <w:t xml:space="preserve"> muhafaza tedbiri </w:t>
            </w:r>
            <w:r w:rsidRPr="00A23740">
              <w:rPr>
                <w:b/>
                <w:strike/>
                <w:color w:val="FF0000"/>
                <w:szCs w:val="24"/>
              </w:rPr>
              <w:t>isteyen</w:t>
            </w:r>
            <w:r w:rsidRPr="00A23740">
              <w:rPr>
                <w:szCs w:val="24"/>
              </w:rPr>
              <w:t xml:space="preserve"> alacaklı</w:t>
            </w:r>
            <w:r w:rsidRPr="00A23740">
              <w:rPr>
                <w:rStyle w:val="KIRMIZIChar"/>
                <w:rFonts w:eastAsia="Calibri"/>
              </w:rPr>
              <w:t>dan,</w:t>
            </w:r>
            <w:r w:rsidRPr="00A23740">
              <w:rPr>
                <w:szCs w:val="24"/>
              </w:rPr>
              <w:t xml:space="preserve"> </w:t>
            </w:r>
            <w:r w:rsidRPr="00A23740">
              <w:rPr>
                <w:rStyle w:val="KIRMIZIChar"/>
                <w:rFonts w:eastAsia="Calibri"/>
              </w:rPr>
              <w:t>ileride</w:t>
            </w:r>
            <w:r w:rsidRPr="00A23740">
              <w:rPr>
                <w:szCs w:val="24"/>
              </w:rPr>
              <w:t xml:space="preserve"> haksız çıktığı takdirde borçlunun ve üçüncü </w:t>
            </w:r>
            <w:r w:rsidRPr="00A23740">
              <w:rPr>
                <w:rStyle w:val="KIRMIZIChar"/>
                <w:rFonts w:eastAsia="Calibri"/>
              </w:rPr>
              <w:t>şahsın</w:t>
            </w:r>
            <w:r w:rsidRPr="00A23740">
              <w:rPr>
                <w:szCs w:val="24"/>
              </w:rPr>
              <w:t xml:space="preserve"> bu yüzden uğr</w:t>
            </w:r>
            <w:r w:rsidRPr="00A23740">
              <w:rPr>
                <w:rStyle w:val="KIRMIZIChar"/>
                <w:rFonts w:eastAsia="Calibri"/>
              </w:rPr>
              <w:t>u</w:t>
            </w:r>
            <w:r w:rsidRPr="00A23740">
              <w:rPr>
                <w:szCs w:val="24"/>
              </w:rPr>
              <w:t>ya</w:t>
            </w:r>
            <w:r w:rsidRPr="00A23740">
              <w:rPr>
                <w:rStyle w:val="KIRMIZIChar"/>
                <w:rFonts w:eastAsia="Calibri"/>
              </w:rPr>
              <w:t>bilecekleri</w:t>
            </w:r>
            <w:r w:rsidRPr="00A23740">
              <w:rPr>
                <w:szCs w:val="24"/>
              </w:rPr>
              <w:t xml:space="preserve"> zararları karşı</w:t>
            </w:r>
            <w:r w:rsidRPr="00A23740">
              <w:rPr>
                <w:rStyle w:val="KIRMIZIChar"/>
                <w:rFonts w:eastAsia="Calibri"/>
              </w:rPr>
              <w:t>lamak</w:t>
            </w:r>
            <w:r w:rsidRPr="00A23740">
              <w:rPr>
                <w:szCs w:val="24"/>
              </w:rPr>
              <w:t xml:space="preserve"> </w:t>
            </w:r>
            <w:r w:rsidRPr="00A23740">
              <w:rPr>
                <w:rStyle w:val="KIRMIZIChar"/>
                <w:rFonts w:eastAsia="Calibri"/>
              </w:rPr>
              <w:t>üzere,</w:t>
            </w:r>
            <w:r w:rsidRPr="00A23740">
              <w:rPr>
                <w:szCs w:val="24"/>
              </w:rPr>
              <w:t xml:space="preserve"> Hukuk </w:t>
            </w:r>
            <w:r w:rsidRPr="00A23740">
              <w:rPr>
                <w:rStyle w:val="KIRMIZIChar"/>
                <w:rFonts w:eastAsia="Calibri"/>
              </w:rPr>
              <w:t>Usulü</w:t>
            </w:r>
            <w:r w:rsidRPr="00A23740">
              <w:rPr>
                <w:szCs w:val="24"/>
              </w:rPr>
              <w:t xml:space="preserve"> Muhakemeleri Kanununun </w:t>
            </w:r>
            <w:r w:rsidRPr="00A23740">
              <w:rPr>
                <w:rStyle w:val="KIRMIZIChar"/>
                <w:rFonts w:eastAsia="Calibri"/>
              </w:rPr>
              <w:t>96 ncı</w:t>
            </w:r>
            <w:r w:rsidRPr="00A23740">
              <w:rPr>
                <w:szCs w:val="24"/>
              </w:rPr>
              <w:t xml:space="preserve"> </w:t>
            </w:r>
            <w:r w:rsidRPr="00A23740">
              <w:rPr>
                <w:rStyle w:val="KIRMIZIChar"/>
                <w:rFonts w:eastAsia="Calibri"/>
              </w:rPr>
              <w:t>maddesinde yazılı bir</w:t>
            </w:r>
            <w:r w:rsidRPr="00A23740">
              <w:rPr>
                <w:rStyle w:val="KIRMIZIChar"/>
                <w:rFonts w:eastAsia="Calibri"/>
                <w:strike w:val="0"/>
              </w:rPr>
              <w:t xml:space="preserve"> </w:t>
            </w:r>
            <w:r w:rsidRPr="00A23740">
              <w:rPr>
                <w:bCs/>
              </w:rPr>
              <w:t>teminat</w:t>
            </w:r>
            <w:r w:rsidRPr="00A23740">
              <w:rPr>
                <w:szCs w:val="24"/>
              </w:rPr>
              <w:t xml:space="preserve"> </w:t>
            </w:r>
            <w:r w:rsidRPr="00A23740">
              <w:rPr>
                <w:rStyle w:val="KIRMIZIChar"/>
                <w:rFonts w:eastAsia="Calibri"/>
              </w:rPr>
              <w:t>alınmasını isteyebilir</w:t>
            </w:r>
            <w:r w:rsidRPr="00A23740">
              <w:rPr>
                <w:szCs w:val="24"/>
              </w:rPr>
              <w:t xml:space="preserve">. </w:t>
            </w:r>
            <w:r w:rsidRPr="00A23740">
              <w:rPr>
                <w:rStyle w:val="KIRMIZIChar"/>
                <w:rFonts w:eastAsia="Calibri"/>
              </w:rPr>
              <w:t>Borçlu</w:t>
            </w:r>
            <w:r w:rsidRPr="00A23740">
              <w:rPr>
                <w:szCs w:val="24"/>
              </w:rPr>
              <w:t xml:space="preserve"> ödeme emrine itiraz </w:t>
            </w:r>
            <w:r w:rsidRPr="00A23740">
              <w:rPr>
                <w:rStyle w:val="KIRMIZIChar"/>
                <w:rFonts w:eastAsia="Calibri"/>
              </w:rPr>
              <w:t>etmemiş</w:t>
            </w:r>
            <w:r w:rsidRPr="00A23740">
              <w:rPr>
                <w:szCs w:val="24"/>
              </w:rPr>
              <w:t xml:space="preserve"> veya </w:t>
            </w:r>
            <w:r w:rsidRPr="00A23740">
              <w:rPr>
                <w:rStyle w:val="KIRMIZIChar"/>
                <w:rFonts w:eastAsia="Calibri"/>
              </w:rPr>
              <w:t>alacak bir ilama bağlı ise</w:t>
            </w:r>
            <w:r w:rsidRPr="00A23740">
              <w:rPr>
                <w:szCs w:val="24"/>
              </w:rPr>
              <w:t xml:space="preserve"> teminat </w:t>
            </w:r>
            <w:r w:rsidRPr="00A23740">
              <w:rPr>
                <w:rStyle w:val="KIRMIZIChar"/>
                <w:rFonts w:eastAsia="Calibri"/>
              </w:rPr>
              <w:t>aranmaz</w:t>
            </w:r>
            <w:r w:rsidRPr="00A23740">
              <w:rPr>
                <w:szCs w:val="24"/>
              </w:rPr>
              <w:t xml:space="preserve">. </w:t>
            </w:r>
            <w:r w:rsidRPr="00A23740">
              <w:rPr>
                <w:rStyle w:val="KIRMIZIChar"/>
                <w:rFonts w:eastAsia="Calibri"/>
              </w:rPr>
              <w:t>Devlet ve adli yardıma nail kimseler de teminat göstermek mecburiyetinde değillerdir.</w:t>
            </w:r>
          </w:p>
          <w:p w:rsidR="00AA5C8C" w:rsidRPr="00A23740" w:rsidRDefault="00AA5C8C" w:rsidP="00DE5024">
            <w:pPr>
              <w:widowControl w:val="0"/>
              <w:tabs>
                <w:tab w:val="left" w:pos="567"/>
              </w:tabs>
              <w:rPr>
                <w:szCs w:val="24"/>
              </w:rPr>
            </w:pPr>
          </w:p>
          <w:p w:rsidR="00AA5C8C" w:rsidRPr="00A23740" w:rsidRDefault="00AA5C8C" w:rsidP="00DE5024">
            <w:pPr>
              <w:widowControl w:val="0"/>
              <w:tabs>
                <w:tab w:val="left" w:pos="567"/>
              </w:tabs>
              <w:rPr>
                <w:szCs w:val="24"/>
              </w:rPr>
            </w:pPr>
            <w:r w:rsidRPr="00A23740">
              <w:rPr>
                <w:rStyle w:val="KIRMIZIChar"/>
                <w:rFonts w:eastAsia="Calibri"/>
              </w:rPr>
              <w:t>(3)</w:t>
            </w:r>
            <w:r w:rsidRPr="00A23740">
              <w:rPr>
                <w:szCs w:val="24"/>
              </w:rPr>
              <w:t xml:space="preserve"> </w:t>
            </w:r>
            <w:r w:rsidRPr="00A23740">
              <w:rPr>
                <w:rStyle w:val="KIRMIZIChar"/>
                <w:rFonts w:eastAsia="Calibri"/>
              </w:rPr>
              <w:t>Bu emirler iflas dairesince yerine getirilir.</w:t>
            </w:r>
          </w:p>
          <w:p w:rsidR="00AA5C8C" w:rsidRPr="00A23740" w:rsidRDefault="00AA5C8C" w:rsidP="00DE5024">
            <w:pPr>
              <w:widowControl w:val="0"/>
              <w:tabs>
                <w:tab w:val="left" w:pos="567"/>
              </w:tabs>
              <w:rPr>
                <w:b/>
                <w:strike/>
                <w:color w:val="FF0000"/>
                <w:szCs w:val="24"/>
              </w:rPr>
            </w:pPr>
          </w:p>
          <w:p w:rsidR="00AA5C8C" w:rsidRPr="00A23740" w:rsidRDefault="00AA5C8C" w:rsidP="00DE5024">
            <w:pPr>
              <w:widowControl w:val="0"/>
              <w:tabs>
                <w:tab w:val="left" w:pos="567"/>
              </w:tabs>
              <w:rPr>
                <w:b/>
                <w:strike/>
                <w:color w:val="FF0000"/>
                <w:szCs w:val="24"/>
              </w:rPr>
            </w:pPr>
          </w:p>
          <w:p w:rsidR="00AA5C8C" w:rsidRPr="00A23740" w:rsidRDefault="00AA5C8C" w:rsidP="00DE5024">
            <w:pPr>
              <w:widowControl w:val="0"/>
              <w:tabs>
                <w:tab w:val="left" w:pos="567"/>
              </w:tabs>
              <w:rPr>
                <w:b/>
                <w:strike/>
                <w:color w:val="FF0000"/>
                <w:szCs w:val="24"/>
              </w:rPr>
            </w:pPr>
          </w:p>
          <w:p w:rsidR="00AA5C8C" w:rsidRPr="00A23740" w:rsidRDefault="00AA5C8C" w:rsidP="00DE5024">
            <w:pPr>
              <w:widowControl w:val="0"/>
              <w:tabs>
                <w:tab w:val="left" w:pos="567"/>
              </w:tabs>
              <w:rPr>
                <w:b/>
                <w:strike/>
                <w:color w:val="FF0000"/>
                <w:szCs w:val="24"/>
              </w:rPr>
            </w:pPr>
            <w:r w:rsidRPr="00A23740">
              <w:rPr>
                <w:b/>
                <w:strike/>
                <w:color w:val="FF0000"/>
                <w:szCs w:val="24"/>
              </w:rPr>
              <w:t>(4) Bu maddeye göre alınan</w:t>
            </w:r>
            <w:r w:rsidRPr="00A23740">
              <w:rPr>
                <w:szCs w:val="24"/>
              </w:rPr>
              <w:t xml:space="preserve"> muhafaza tedbirleri borçlu aleyhindeki icra </w:t>
            </w:r>
            <w:r w:rsidRPr="00A23740">
              <w:rPr>
                <w:b/>
                <w:strike/>
                <w:color w:val="FF0000"/>
                <w:szCs w:val="24"/>
              </w:rPr>
              <w:t>takiplerine tesir etmez.</w:t>
            </w:r>
          </w:p>
          <w:p w:rsidR="00AA5C8C" w:rsidRPr="00A23740" w:rsidRDefault="00AA5C8C" w:rsidP="00DE5024">
            <w:pPr>
              <w:widowControl w:val="0"/>
              <w:tabs>
                <w:tab w:val="left" w:pos="567"/>
              </w:tabs>
              <w:rPr>
                <w:b/>
                <w:strike/>
                <w:color w:val="FF0000"/>
                <w:szCs w:val="24"/>
              </w:rPr>
            </w:pPr>
          </w:p>
          <w:p w:rsidR="00AA5C8C" w:rsidRPr="00A23740" w:rsidRDefault="00AA5C8C" w:rsidP="00DE5024">
            <w:pPr>
              <w:widowControl w:val="0"/>
              <w:tabs>
                <w:tab w:val="left" w:pos="567"/>
              </w:tabs>
              <w:rPr>
                <w:b/>
                <w:strike/>
                <w:color w:val="FF0000"/>
                <w:szCs w:val="24"/>
              </w:rPr>
            </w:pPr>
          </w:p>
          <w:p w:rsidR="00AA5C8C" w:rsidRPr="00A23740" w:rsidRDefault="00AA5C8C" w:rsidP="00DE5024">
            <w:pPr>
              <w:widowControl w:val="0"/>
              <w:tabs>
                <w:tab w:val="left" w:pos="567"/>
              </w:tabs>
              <w:rPr>
                <w:szCs w:val="24"/>
              </w:rPr>
            </w:pPr>
          </w:p>
        </w:tc>
        <w:tc>
          <w:tcPr>
            <w:tcW w:w="2500" w:type="pct"/>
          </w:tcPr>
          <w:p w:rsidR="00AA5C8C" w:rsidRPr="00A23740" w:rsidRDefault="00AA5C8C" w:rsidP="00DE5024">
            <w:pPr>
              <w:widowControl w:val="0"/>
              <w:jc w:val="center"/>
              <w:rPr>
                <w:b/>
                <w:color w:val="0000FF"/>
                <w:szCs w:val="24"/>
              </w:rPr>
            </w:pPr>
            <w:r w:rsidRPr="00A23740">
              <w:rPr>
                <w:b/>
                <w:color w:val="0000FF"/>
                <w:szCs w:val="24"/>
              </w:rPr>
              <w:t>ÜÇÜNCÜ AYRIM</w:t>
            </w:r>
          </w:p>
          <w:p w:rsidR="00AA5C8C" w:rsidRPr="00A23740" w:rsidRDefault="00AA5C8C" w:rsidP="00DE5024">
            <w:pPr>
              <w:widowControl w:val="0"/>
              <w:jc w:val="center"/>
              <w:rPr>
                <w:b/>
                <w:color w:val="0000FF"/>
                <w:szCs w:val="24"/>
              </w:rPr>
            </w:pPr>
            <w:r w:rsidRPr="00A23740">
              <w:rPr>
                <w:b/>
                <w:color w:val="0000FF"/>
                <w:szCs w:val="24"/>
              </w:rPr>
              <w:t>Muhafaza Tedbirleri ve Defter Tutulması</w:t>
            </w:r>
          </w:p>
          <w:p w:rsidR="00AA5C8C" w:rsidRPr="00A23740" w:rsidRDefault="00AA5C8C" w:rsidP="00DE5024">
            <w:pPr>
              <w:widowControl w:val="0"/>
              <w:tabs>
                <w:tab w:val="left" w:pos="567"/>
              </w:tabs>
              <w:rPr>
                <w:b/>
                <w:color w:val="0000FF"/>
                <w:szCs w:val="24"/>
              </w:rPr>
            </w:pPr>
          </w:p>
          <w:p w:rsidR="00AA5C8C" w:rsidRPr="00A23740" w:rsidRDefault="00AA5C8C" w:rsidP="00DE5024">
            <w:pPr>
              <w:widowControl w:val="0"/>
              <w:tabs>
                <w:tab w:val="left" w:pos="567"/>
              </w:tabs>
              <w:rPr>
                <w:b/>
                <w:szCs w:val="24"/>
              </w:rPr>
            </w:pPr>
            <w:r w:rsidRPr="00A23740">
              <w:rPr>
                <w:b/>
                <w:szCs w:val="24"/>
              </w:rPr>
              <w:t>Muhafaza tedbirleri</w:t>
            </w:r>
          </w:p>
          <w:p w:rsidR="00AA5C8C" w:rsidRPr="00A23740" w:rsidRDefault="00AA5C8C" w:rsidP="00DE5024">
            <w:pPr>
              <w:widowControl w:val="0"/>
              <w:tabs>
                <w:tab w:val="left" w:pos="567"/>
              </w:tabs>
              <w:rPr>
                <w:b/>
                <w:color w:val="0000FF"/>
                <w:szCs w:val="24"/>
              </w:rPr>
            </w:pPr>
            <w:r w:rsidRPr="00A23740">
              <w:rPr>
                <w:b/>
                <w:color w:val="0000FF"/>
                <w:szCs w:val="24"/>
              </w:rPr>
              <w:t>MADDE 27</w:t>
            </w:r>
            <w:r w:rsidR="00490C3E" w:rsidRPr="00A23740">
              <w:rPr>
                <w:b/>
                <w:color w:val="0000FF"/>
                <w:szCs w:val="24"/>
              </w:rPr>
              <w:t>9</w:t>
            </w:r>
            <w:r w:rsidRPr="00A23740">
              <w:rPr>
                <w:b/>
                <w:color w:val="0000FF"/>
                <w:szCs w:val="24"/>
              </w:rPr>
              <w:t xml:space="preserve">- (1) </w:t>
            </w:r>
            <w:r w:rsidRPr="00A23740">
              <w:rPr>
                <w:szCs w:val="24"/>
              </w:rPr>
              <w:t xml:space="preserve">İflas </w:t>
            </w:r>
            <w:r w:rsidRPr="00A23740">
              <w:rPr>
                <w:b/>
                <w:color w:val="0000FF"/>
                <w:szCs w:val="24"/>
              </w:rPr>
              <w:t>davasına bakan</w:t>
            </w:r>
            <w:r w:rsidRPr="00A23740">
              <w:rPr>
                <w:szCs w:val="24"/>
              </w:rPr>
              <w:t xml:space="preserve"> mahkeme, </w:t>
            </w:r>
            <w:r w:rsidRPr="00A23740">
              <w:rPr>
                <w:rStyle w:val="MaviChar"/>
              </w:rPr>
              <w:t xml:space="preserve">resen veya talep üzerine </w:t>
            </w:r>
            <w:r w:rsidRPr="00A23740">
              <w:rPr>
                <w:b/>
                <w:color w:val="0000FF"/>
                <w:szCs w:val="24"/>
              </w:rPr>
              <w:t>borçlunun malvarlığının korunması ve</w:t>
            </w:r>
            <w:r w:rsidRPr="00A23740">
              <w:rPr>
                <w:b/>
                <w:color w:val="FF0000"/>
                <w:szCs w:val="24"/>
              </w:rPr>
              <w:t xml:space="preserve"> </w:t>
            </w:r>
            <w:r w:rsidRPr="00A23740">
              <w:rPr>
                <w:szCs w:val="24"/>
              </w:rPr>
              <w:t xml:space="preserve">alacaklıların menfaati için </w:t>
            </w:r>
            <w:r w:rsidRPr="00A23740">
              <w:rPr>
                <w:b/>
                <w:color w:val="0000FF"/>
                <w:szCs w:val="24"/>
              </w:rPr>
              <w:t>gerekli</w:t>
            </w:r>
            <w:r w:rsidRPr="00A23740">
              <w:rPr>
                <w:szCs w:val="24"/>
              </w:rPr>
              <w:t xml:space="preserve"> gördüğü muhafaza tedbirlerin</w:t>
            </w:r>
            <w:r w:rsidRPr="00A23740">
              <w:rPr>
                <w:rStyle w:val="MaviChar"/>
              </w:rPr>
              <w:t>e</w:t>
            </w:r>
            <w:r w:rsidRPr="00A23740">
              <w:rPr>
                <w:szCs w:val="24"/>
              </w:rPr>
              <w:t xml:space="preserve"> </w:t>
            </w:r>
            <w:r w:rsidRPr="00A23740">
              <w:rPr>
                <w:b/>
                <w:color w:val="0000FF"/>
                <w:szCs w:val="24"/>
              </w:rPr>
              <w:t xml:space="preserve">karar verebilir. </w:t>
            </w:r>
          </w:p>
          <w:p w:rsidR="00AA5C8C" w:rsidRPr="00A23740" w:rsidRDefault="00AA5C8C" w:rsidP="00DE5024">
            <w:pPr>
              <w:widowControl w:val="0"/>
              <w:tabs>
                <w:tab w:val="left" w:pos="567"/>
              </w:tabs>
              <w:rPr>
                <w:b/>
                <w:color w:val="0000FF"/>
                <w:szCs w:val="24"/>
              </w:rPr>
            </w:pPr>
          </w:p>
          <w:p w:rsidR="00AA5C8C" w:rsidRPr="00A23740" w:rsidRDefault="00AA5C8C" w:rsidP="00DE5024">
            <w:pPr>
              <w:widowControl w:val="0"/>
              <w:tabs>
                <w:tab w:val="left" w:pos="567"/>
              </w:tabs>
              <w:rPr>
                <w:b/>
                <w:color w:val="0000FF"/>
                <w:szCs w:val="24"/>
              </w:rPr>
            </w:pPr>
          </w:p>
          <w:p w:rsidR="00AA5C8C" w:rsidRPr="00A23740" w:rsidRDefault="00AA5C8C" w:rsidP="00DE5024">
            <w:pPr>
              <w:widowControl w:val="0"/>
              <w:tabs>
                <w:tab w:val="left" w:pos="567"/>
              </w:tabs>
              <w:rPr>
                <w:szCs w:val="24"/>
              </w:rPr>
            </w:pPr>
            <w:r w:rsidRPr="00A23740">
              <w:rPr>
                <w:b/>
                <w:color w:val="0000FF"/>
                <w:szCs w:val="24"/>
              </w:rPr>
              <w:t xml:space="preserve">(2) </w:t>
            </w:r>
            <w:r w:rsidRPr="00A23740">
              <w:rPr>
                <w:szCs w:val="24"/>
              </w:rPr>
              <w:t>Mahkeme, defter tut</w:t>
            </w:r>
            <w:r w:rsidRPr="00A23740">
              <w:rPr>
                <w:rStyle w:val="MaviChar"/>
              </w:rPr>
              <w:t>ulması</w:t>
            </w:r>
            <w:r w:rsidRPr="00A23740">
              <w:rPr>
                <w:szCs w:val="24"/>
              </w:rPr>
              <w:t xml:space="preserve"> </w:t>
            </w:r>
            <w:r w:rsidRPr="00A23740">
              <w:rPr>
                <w:b/>
                <w:color w:val="0000FF"/>
                <w:szCs w:val="24"/>
              </w:rPr>
              <w:t>dışında</w:t>
            </w:r>
            <w:r w:rsidR="00852F7C" w:rsidRPr="00A23740">
              <w:rPr>
                <w:b/>
                <w:color w:val="0000FF"/>
                <w:szCs w:val="24"/>
              </w:rPr>
              <w:t xml:space="preserve"> </w:t>
            </w:r>
            <w:r w:rsidR="00852F7C" w:rsidRPr="009D0B93">
              <w:rPr>
                <w:rStyle w:val="MaviChar"/>
              </w:rPr>
              <w:t>kalan bir</w:t>
            </w:r>
            <w:r w:rsidRPr="00A23740">
              <w:rPr>
                <w:szCs w:val="24"/>
              </w:rPr>
              <w:t xml:space="preserve"> muhafaza tedbiri </w:t>
            </w:r>
            <w:r w:rsidRPr="00A23740">
              <w:rPr>
                <w:rStyle w:val="MaviChar"/>
                <w:lang w:val="tr-TR"/>
              </w:rPr>
              <w:t>talep eden</w:t>
            </w:r>
            <w:r w:rsidRPr="00A23740">
              <w:rPr>
                <w:szCs w:val="24"/>
              </w:rPr>
              <w:t xml:space="preserve"> alacaklı</w:t>
            </w:r>
            <w:r w:rsidRPr="00A23740">
              <w:rPr>
                <w:rStyle w:val="MaviChar"/>
              </w:rPr>
              <w:t>nın</w:t>
            </w:r>
            <w:r w:rsidR="00BA670C" w:rsidRPr="00CD2464">
              <w:rPr>
                <w:rStyle w:val="Balk1Char"/>
                <w:rFonts w:eastAsia="ヒラギノ明朝 Pro W3"/>
              </w:rPr>
              <w:t>,</w:t>
            </w:r>
            <w:r w:rsidRPr="00A23740">
              <w:rPr>
                <w:szCs w:val="24"/>
              </w:rPr>
              <w:t xml:space="preserve"> haksız çıktığı takdirde borçlunun ve üçüncü </w:t>
            </w:r>
            <w:r w:rsidRPr="00A23740">
              <w:rPr>
                <w:rStyle w:val="MaviChar"/>
              </w:rPr>
              <w:t>kişilerin</w:t>
            </w:r>
            <w:r w:rsidRPr="00A23740">
              <w:rPr>
                <w:szCs w:val="24"/>
              </w:rPr>
              <w:t xml:space="preserve"> bu yüzden uğr</w:t>
            </w:r>
            <w:r w:rsidRPr="00A23740">
              <w:rPr>
                <w:rStyle w:val="MaviChar"/>
              </w:rPr>
              <w:t>a</w:t>
            </w:r>
            <w:r w:rsidRPr="00A23740">
              <w:rPr>
                <w:szCs w:val="24"/>
              </w:rPr>
              <w:t>ya</w:t>
            </w:r>
            <w:r w:rsidRPr="00A23740">
              <w:rPr>
                <w:rStyle w:val="MaviChar"/>
              </w:rPr>
              <w:t>cakları</w:t>
            </w:r>
            <w:r w:rsidRPr="00A23740">
              <w:rPr>
                <w:szCs w:val="24"/>
              </w:rPr>
              <w:t xml:space="preserve"> </w:t>
            </w:r>
            <w:r w:rsidRPr="00A23740">
              <w:rPr>
                <w:rStyle w:val="MaviChar"/>
              </w:rPr>
              <w:t>muhtemel</w:t>
            </w:r>
            <w:r w:rsidRPr="00A23740">
              <w:rPr>
                <w:szCs w:val="24"/>
              </w:rPr>
              <w:t xml:space="preserve"> zararları</w:t>
            </w:r>
            <w:r w:rsidRPr="00A23740">
              <w:rPr>
                <w:rStyle w:val="MaviChar"/>
              </w:rPr>
              <w:t>na</w:t>
            </w:r>
            <w:r w:rsidRPr="00A23740">
              <w:rPr>
                <w:szCs w:val="24"/>
              </w:rPr>
              <w:t xml:space="preserve"> karşı</w:t>
            </w:r>
            <w:r w:rsidRPr="00A23740">
              <w:rPr>
                <w:rStyle w:val="MaviChar"/>
              </w:rPr>
              <w:t>lık</w:t>
            </w:r>
            <w:r w:rsidR="00BA670C" w:rsidRPr="00A23740">
              <w:rPr>
                <w:rStyle w:val="MaviChar"/>
                <w:lang w:val="tr-TR"/>
              </w:rPr>
              <w:t xml:space="preserve"> </w:t>
            </w:r>
            <w:r w:rsidR="00BA670C" w:rsidRPr="009D0B93">
              <w:rPr>
                <w:rStyle w:val="MaviChar"/>
              </w:rPr>
              <w:t>teşkil etmek üzere</w:t>
            </w:r>
            <w:r w:rsidRPr="00A23740">
              <w:rPr>
                <w:rStyle w:val="MaviChar"/>
                <w:lang w:val="tr-TR"/>
              </w:rPr>
              <w:t>,</w:t>
            </w:r>
            <w:r w:rsidRPr="00A23740">
              <w:rPr>
                <w:szCs w:val="24"/>
              </w:rPr>
              <w:t xml:space="preserve"> Hukuk Muhakemeleri Kanununun </w:t>
            </w:r>
            <w:r w:rsidRPr="00A23740">
              <w:rPr>
                <w:rStyle w:val="MaviChar"/>
              </w:rPr>
              <w:t>teminata ilişkin hükümleri</w:t>
            </w:r>
            <w:r w:rsidRPr="00A23740">
              <w:rPr>
                <w:szCs w:val="24"/>
              </w:rPr>
              <w:t xml:space="preserve"> </w:t>
            </w:r>
            <w:r w:rsidRPr="00A23740">
              <w:rPr>
                <w:rStyle w:val="MaviChar"/>
              </w:rPr>
              <w:t>uyarınca</w:t>
            </w:r>
            <w:r w:rsidRPr="00A23740">
              <w:rPr>
                <w:szCs w:val="24"/>
              </w:rPr>
              <w:t xml:space="preserve"> teminat </w:t>
            </w:r>
            <w:r w:rsidRPr="00A23740">
              <w:rPr>
                <w:rStyle w:val="MaviChar"/>
              </w:rPr>
              <w:t>göstermesine karar verebilir</w:t>
            </w:r>
            <w:r w:rsidRPr="00A23740">
              <w:rPr>
                <w:szCs w:val="24"/>
              </w:rPr>
              <w:t>.</w:t>
            </w:r>
            <w:r w:rsidRPr="00A23740">
              <w:rPr>
                <w:b/>
                <w:color w:val="0000FF"/>
                <w:szCs w:val="24"/>
              </w:rPr>
              <w:t xml:space="preserve"> </w:t>
            </w:r>
            <w:r w:rsidRPr="00A23740">
              <w:rPr>
                <w:bCs/>
              </w:rPr>
              <w:t>Ödeme emrine</w:t>
            </w:r>
            <w:r w:rsidRPr="00A23740">
              <w:rPr>
                <w:szCs w:val="24"/>
              </w:rPr>
              <w:t xml:space="preserve"> itiraz</w:t>
            </w:r>
            <w:r w:rsidRPr="00A23740">
              <w:rPr>
                <w:b/>
                <w:color w:val="0000FF"/>
                <w:szCs w:val="24"/>
              </w:rPr>
              <w:t>ın giderilmesi</w:t>
            </w:r>
            <w:r w:rsidRPr="00A23740">
              <w:rPr>
                <w:rStyle w:val="KIRMIZIChar"/>
                <w:rFonts w:eastAsia="Calibri"/>
                <w:strike w:val="0"/>
              </w:rPr>
              <w:t xml:space="preserve"> </w:t>
            </w:r>
            <w:r w:rsidRPr="00A23740">
              <w:rPr>
                <w:szCs w:val="24"/>
              </w:rPr>
              <w:t xml:space="preserve">veya </w:t>
            </w:r>
            <w:r w:rsidRPr="00A23740">
              <w:rPr>
                <w:b/>
                <w:color w:val="0000FF"/>
                <w:szCs w:val="24"/>
              </w:rPr>
              <w:t>durum ve koşulların gerektirmesi</w:t>
            </w:r>
            <w:r w:rsidRPr="00A23740">
              <w:rPr>
                <w:szCs w:val="24"/>
              </w:rPr>
              <w:t xml:space="preserve"> </w:t>
            </w:r>
            <w:r w:rsidRPr="00A23740">
              <w:rPr>
                <w:rStyle w:val="MaviChar"/>
              </w:rPr>
              <w:t>h</w:t>
            </w:r>
            <w:r w:rsidR="00BA670C" w:rsidRPr="00A23740">
              <w:rPr>
                <w:rStyle w:val="MaviChar"/>
                <w:lang w:val="tr-TR"/>
              </w:rPr>
              <w:t>â</w:t>
            </w:r>
            <w:r w:rsidRPr="00A23740">
              <w:rPr>
                <w:rStyle w:val="MaviChar"/>
              </w:rPr>
              <w:t>llerinde</w:t>
            </w:r>
            <w:r w:rsidRPr="00A23740">
              <w:rPr>
                <w:szCs w:val="24"/>
              </w:rPr>
              <w:t xml:space="preserve"> teminat </w:t>
            </w:r>
            <w:r w:rsidRPr="00A23740">
              <w:rPr>
                <w:rStyle w:val="MaviChar"/>
                <w:lang w:val="tr-TR"/>
              </w:rPr>
              <w:t>alınmaz</w:t>
            </w:r>
            <w:r w:rsidRPr="00A23740">
              <w:rPr>
                <w:szCs w:val="24"/>
              </w:rPr>
              <w:t>.</w:t>
            </w:r>
          </w:p>
          <w:p w:rsidR="00AA5C8C" w:rsidRPr="00A23740" w:rsidRDefault="001A031C" w:rsidP="00DE5024">
            <w:pPr>
              <w:pStyle w:val="KIRMIZI"/>
              <w:widowControl w:val="0"/>
            </w:pPr>
            <w:r w:rsidRPr="00A23740">
              <w:t xml:space="preserve"> </w:t>
            </w:r>
          </w:p>
          <w:p w:rsidR="00AA5C8C" w:rsidRPr="00A23740" w:rsidRDefault="00AA5C8C" w:rsidP="00DE5024">
            <w:pPr>
              <w:widowControl w:val="0"/>
              <w:tabs>
                <w:tab w:val="left" w:pos="567"/>
              </w:tabs>
              <w:rPr>
                <w:b/>
                <w:color w:val="0000FF"/>
                <w:szCs w:val="24"/>
              </w:rPr>
            </w:pPr>
            <w:r w:rsidRPr="00A23740">
              <w:rPr>
                <w:b/>
                <w:color w:val="0000FF"/>
                <w:szCs w:val="24"/>
              </w:rPr>
              <w:t>(3) Mahkemenin muhafaza tedbirine ilişkin kararı</w:t>
            </w:r>
            <w:r w:rsidRPr="00A23740">
              <w:rPr>
                <w:rStyle w:val="MaviChar"/>
              </w:rPr>
              <w:t xml:space="preserve">, giderleri iflas </w:t>
            </w:r>
            <w:r w:rsidR="00BA670C" w:rsidRPr="009D0B93">
              <w:rPr>
                <w:rStyle w:val="MaviChar"/>
              </w:rPr>
              <w:t>talebinde bulunan</w:t>
            </w:r>
            <w:r w:rsidRPr="00A23740">
              <w:rPr>
                <w:rStyle w:val="MaviChar"/>
              </w:rPr>
              <w:t xml:space="preserve"> alacaklıdan alınmak suretiyle bu mahkemenin</w:t>
            </w:r>
            <w:r w:rsidRPr="00A23740">
              <w:rPr>
                <w:b/>
                <w:color w:val="0000FF"/>
                <w:szCs w:val="24"/>
              </w:rPr>
              <w:t xml:space="preserve"> yargı çevresindeki iflas dairesi tarafından uygulanır.</w:t>
            </w:r>
          </w:p>
          <w:p w:rsidR="00AA5C8C" w:rsidRPr="00A23740" w:rsidRDefault="00AA5C8C" w:rsidP="00DE5024">
            <w:pPr>
              <w:widowControl w:val="0"/>
              <w:tabs>
                <w:tab w:val="left" w:pos="567"/>
              </w:tabs>
              <w:rPr>
                <w:b/>
                <w:color w:val="0000FF"/>
                <w:szCs w:val="24"/>
              </w:rPr>
            </w:pPr>
          </w:p>
          <w:p w:rsidR="00AA5C8C" w:rsidRPr="00A23740" w:rsidRDefault="00AA5C8C" w:rsidP="00DE5024">
            <w:pPr>
              <w:widowControl w:val="0"/>
              <w:tabs>
                <w:tab w:val="left" w:pos="567"/>
              </w:tabs>
              <w:rPr>
                <w:b/>
                <w:color w:val="0000FF"/>
                <w:szCs w:val="24"/>
              </w:rPr>
            </w:pPr>
            <w:r w:rsidRPr="00A23740">
              <w:rPr>
                <w:b/>
                <w:color w:val="0000FF"/>
                <w:szCs w:val="24"/>
              </w:rPr>
              <w:t xml:space="preserve">(4) Mahkemece karar verilen </w:t>
            </w:r>
            <w:r w:rsidRPr="00A23740">
              <w:rPr>
                <w:szCs w:val="24"/>
              </w:rPr>
              <w:t>muhafaza tedbirleri</w:t>
            </w:r>
            <w:r w:rsidRPr="00A23740">
              <w:rPr>
                <w:rStyle w:val="MaviChar"/>
              </w:rPr>
              <w:t>,</w:t>
            </w:r>
            <w:r w:rsidRPr="00A23740">
              <w:rPr>
                <w:szCs w:val="24"/>
              </w:rPr>
              <w:t xml:space="preserve"> borçlu aleyhindeki icra</w:t>
            </w:r>
            <w:r w:rsidRPr="00A23740">
              <w:rPr>
                <w:b/>
                <w:color w:val="0000FF"/>
                <w:szCs w:val="24"/>
              </w:rPr>
              <w:t xml:space="preserve"> takiplerini etkilemez.</w:t>
            </w:r>
          </w:p>
          <w:p w:rsidR="00DE5024" w:rsidRDefault="00DE5024" w:rsidP="00DE5024">
            <w:pPr>
              <w:widowControl w:val="0"/>
              <w:tabs>
                <w:tab w:val="left" w:pos="567"/>
              </w:tabs>
              <w:rPr>
                <w:b/>
                <w:color w:val="0000FF"/>
                <w:szCs w:val="24"/>
              </w:rPr>
            </w:pPr>
          </w:p>
          <w:p w:rsidR="00AA5C8C" w:rsidRPr="00A23740" w:rsidRDefault="00AA5C8C" w:rsidP="00DE5024">
            <w:pPr>
              <w:widowControl w:val="0"/>
              <w:tabs>
                <w:tab w:val="left" w:pos="567"/>
              </w:tabs>
              <w:rPr>
                <w:b/>
                <w:color w:val="0000FF"/>
                <w:szCs w:val="24"/>
              </w:rPr>
            </w:pPr>
            <w:r w:rsidRPr="00A23740">
              <w:rPr>
                <w:b/>
                <w:color w:val="0000FF"/>
                <w:szCs w:val="24"/>
              </w:rPr>
              <w:t>(5) İflas talebinin reddi h</w:t>
            </w:r>
            <w:r w:rsidR="00BA670C" w:rsidRPr="00A23740">
              <w:rPr>
                <w:b/>
                <w:color w:val="0000FF"/>
                <w:szCs w:val="24"/>
              </w:rPr>
              <w:t>â</w:t>
            </w:r>
            <w:r w:rsidRPr="00A23740">
              <w:rPr>
                <w:b/>
                <w:color w:val="0000FF"/>
                <w:szCs w:val="24"/>
              </w:rPr>
              <w:t>linde</w:t>
            </w:r>
            <w:r w:rsidR="00BA670C" w:rsidRPr="009D0B93">
              <w:rPr>
                <w:rStyle w:val="MaviChar"/>
              </w:rPr>
              <w:t>,</w:t>
            </w:r>
            <w:r w:rsidR="00852F7C" w:rsidRPr="00A23740">
              <w:rPr>
                <w:rStyle w:val="YELChar"/>
              </w:rPr>
              <w:t xml:space="preserve"> </w:t>
            </w:r>
            <w:r w:rsidR="00852F7C" w:rsidRPr="009D0B93">
              <w:rPr>
                <w:rStyle w:val="MaviChar"/>
              </w:rPr>
              <w:t>muhafaza tedbirleri</w:t>
            </w:r>
            <w:r w:rsidRPr="00A23740">
              <w:rPr>
                <w:b/>
                <w:color w:val="0000FF"/>
                <w:szCs w:val="24"/>
              </w:rPr>
              <w:t xml:space="preserve"> </w:t>
            </w:r>
            <w:r w:rsidRPr="00A23740">
              <w:rPr>
                <w:rStyle w:val="MaviChar"/>
              </w:rPr>
              <w:t>bu kararın kesinleşmesi beklenmeden</w:t>
            </w:r>
            <w:r w:rsidRPr="00A23740">
              <w:rPr>
                <w:b/>
                <w:color w:val="0000FF"/>
                <w:szCs w:val="24"/>
              </w:rPr>
              <w:t xml:space="preserve"> </w:t>
            </w:r>
            <w:r w:rsidR="001A031C" w:rsidRPr="00A23740">
              <w:rPr>
                <w:b/>
                <w:color w:val="0000FF"/>
                <w:szCs w:val="24"/>
              </w:rPr>
              <w:t>kendiliğinden kalkar.</w:t>
            </w:r>
          </w:p>
          <w:p w:rsidR="001A031C" w:rsidRPr="00A23740" w:rsidRDefault="001A031C" w:rsidP="00DE5024">
            <w:pPr>
              <w:widowControl w:val="0"/>
              <w:tabs>
                <w:tab w:val="left" w:pos="567"/>
              </w:tabs>
              <w:rPr>
                <w:b/>
                <w:color w:val="0000FF"/>
                <w:szCs w:val="24"/>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46430" w:rsidRPr="00A23740" w:rsidRDefault="00046430" w:rsidP="009431FF">
            <w:pPr>
              <w:ind w:firstLine="709"/>
              <w:rPr>
                <w:rFonts w:eastAsia="Times New Roman"/>
                <w:b/>
                <w:bCs/>
                <w:szCs w:val="24"/>
                <w:lang w:eastAsia="tr-TR"/>
              </w:rPr>
            </w:pPr>
          </w:p>
          <w:p w:rsidR="00687220" w:rsidRPr="00A23740" w:rsidRDefault="00687220" w:rsidP="009431FF">
            <w:pPr>
              <w:ind w:firstLine="709"/>
              <w:rPr>
                <w:szCs w:val="24"/>
              </w:rPr>
            </w:pPr>
            <w:r w:rsidRPr="00A23740">
              <w:rPr>
                <w:b/>
              </w:rPr>
              <w:t>MADDE 279-</w:t>
            </w:r>
            <w:r w:rsidRPr="00A23740">
              <w:t xml:space="preserve"> Maddeyle, iflas yoluyla takipte </w:t>
            </w:r>
            <w:r w:rsidRPr="00A23740">
              <w:rPr>
                <w:szCs w:val="24"/>
              </w:rPr>
              <w:t xml:space="preserve">muhafaza tedbirlerine ilişkin hususlar düzenlenmektedir. Hüküm, 2004 sayılı Kanunun 159 uncu maddesine karşılık gelmektedir. Taslağın bu hükmü, iflas davası sırasında mahkemece karara bağlanabilecek muhafaza tedbirleri hakkındadır. Bu yönüyle </w:t>
            </w:r>
            <w:r w:rsidR="00827C95" w:rsidRPr="00D60C1D">
              <w:rPr>
                <w:rStyle w:val="KonuBalChar"/>
                <w:rFonts w:eastAsia="Calibri"/>
                <w:b w:val="0"/>
                <w:color w:val="000000"/>
              </w:rPr>
              <w:t>2004 sayılı Kanunun</w:t>
            </w:r>
            <w:r w:rsidR="00827C95" w:rsidRPr="00A23740">
              <w:rPr>
                <w:szCs w:val="24"/>
              </w:rPr>
              <w:t xml:space="preserve"> </w:t>
            </w:r>
            <w:r w:rsidRPr="00A23740">
              <w:rPr>
                <w:szCs w:val="24"/>
              </w:rPr>
              <w:t>159 uncu maddesinde getirilen esaslar, büyük ölçüde korumuştur.</w:t>
            </w:r>
          </w:p>
          <w:p w:rsidR="00687220" w:rsidRPr="00A23740" w:rsidRDefault="00687220" w:rsidP="009431FF">
            <w:pPr>
              <w:ind w:firstLine="709"/>
              <w:rPr>
                <w:szCs w:val="24"/>
              </w:rPr>
            </w:pPr>
            <w:r w:rsidRPr="00A23740">
              <w:rPr>
                <w:szCs w:val="24"/>
              </w:rPr>
              <w:t>Mahkeme talep üzerine ve hatta kendiliğinden gerek borçlunun malvarlığının gerekse alacaklıların menfaatlerinin</w:t>
            </w:r>
            <w:r w:rsidR="008D7E94" w:rsidRPr="00A23740">
              <w:rPr>
                <w:szCs w:val="24"/>
              </w:rPr>
              <w:t>,</w:t>
            </w:r>
            <w:r w:rsidRPr="00A23740">
              <w:rPr>
                <w:szCs w:val="24"/>
              </w:rPr>
              <w:t xml:space="preserve"> yani kısaca müstakbel masanın korunması için gerekli gördüğü her türdeki tedbiri alabilir. Bu bağlamda, </w:t>
            </w:r>
            <w:r w:rsidR="007802E0" w:rsidRPr="00D60C1D">
              <w:rPr>
                <w:rStyle w:val="YELChar"/>
                <w:b w:val="0"/>
                <w:color w:val="000000"/>
              </w:rPr>
              <w:t>2004 sayılı Kanunun</w:t>
            </w:r>
            <w:r w:rsidRPr="00A23740">
              <w:rPr>
                <w:szCs w:val="24"/>
              </w:rPr>
              <w:t xml:space="preserve"> 159 uncu maddesinin birinci fıkrasında düzenlendiği gibi</w:t>
            </w:r>
            <w:r w:rsidR="008D7E94" w:rsidRPr="00A23740">
              <w:rPr>
                <w:szCs w:val="24"/>
              </w:rPr>
              <w:t>,</w:t>
            </w:r>
            <w:r w:rsidRPr="00A23740">
              <w:rPr>
                <w:szCs w:val="24"/>
              </w:rPr>
              <w:t xml:space="preserve"> ödeme emrine itiraz edilip edilmemesine göre tedbire hükmetme mecburiyetine ilişkin bir düzenleme yapılması ne uygun ne de gerekli bulunmuştur. Mesele, bir sonraki fıkrada teminat yönünden ayrıca ele alındığı gibi hâkimin somut olayın özelliğine uygun olarak kullanacağı takdir </w:t>
            </w:r>
            <w:r w:rsidR="007802E0" w:rsidRPr="00D60C1D">
              <w:rPr>
                <w:rStyle w:val="YELChar"/>
                <w:b w:val="0"/>
                <w:color w:val="000000"/>
              </w:rPr>
              <w:t>yetkisi</w:t>
            </w:r>
            <w:r w:rsidRPr="00A23740">
              <w:rPr>
                <w:szCs w:val="24"/>
              </w:rPr>
              <w:t xml:space="preserve"> içinde değerlendirilmiştir. </w:t>
            </w:r>
          </w:p>
          <w:p w:rsidR="00CD2464" w:rsidRDefault="00687220" w:rsidP="009431FF">
            <w:pPr>
              <w:ind w:firstLine="709"/>
              <w:rPr>
                <w:rStyle w:val="KIRMIZIChar"/>
                <w:rFonts w:eastAsia="Calibri"/>
              </w:rPr>
            </w:pPr>
            <w:r w:rsidRPr="00A23740">
              <w:rPr>
                <w:szCs w:val="24"/>
              </w:rPr>
              <w:t>Taslağın ikinci fıkrası, muhafaza tedbirlerinden olan defter tutulmasını özellikle zikretmiş; böylelikle defter tutulması dışındaki muhafaza tedbirleri bakımından teminat şartını aramıştır. Şayet ödeme emrine itiraz edilmemiş veya yapılan itiraz giderilmişse</w:t>
            </w:r>
            <w:r w:rsidR="007802E0" w:rsidRPr="00D60C1D">
              <w:rPr>
                <w:rStyle w:val="YELChar"/>
                <w:b w:val="0"/>
                <w:color w:val="000000"/>
              </w:rPr>
              <w:t>,</w:t>
            </w:r>
            <w:r w:rsidRPr="00A23740">
              <w:rPr>
                <w:szCs w:val="24"/>
              </w:rPr>
              <w:t xml:space="preserve"> karara bağlanacak muhafaza tedbirleri için teminat da artık gerekli görülmemiştir. Teminat hakkında</w:t>
            </w:r>
            <w:r w:rsidR="00827C95" w:rsidRPr="00A23740">
              <w:rPr>
                <w:szCs w:val="24"/>
              </w:rPr>
              <w:t xml:space="preserve"> </w:t>
            </w:r>
            <w:r w:rsidR="00827C95" w:rsidRPr="00D60C1D">
              <w:rPr>
                <w:rStyle w:val="KonuBalChar"/>
                <w:rFonts w:eastAsia="Calibri"/>
                <w:b w:val="0"/>
                <w:color w:val="000000"/>
              </w:rPr>
              <w:t>6100 sayılı Kanuna</w:t>
            </w:r>
            <w:r w:rsidRPr="00A23740">
              <w:rPr>
                <w:szCs w:val="24"/>
              </w:rPr>
              <w:t xml:space="preserve"> atıf</w:t>
            </w:r>
            <w:r w:rsidR="008D7E94" w:rsidRPr="00A23740">
              <w:rPr>
                <w:szCs w:val="24"/>
              </w:rPr>
              <w:t xml:space="preserve">ta bulunmak </w:t>
            </w:r>
            <w:r w:rsidRPr="00A23740">
              <w:rPr>
                <w:szCs w:val="24"/>
              </w:rPr>
              <w:t xml:space="preserve">yeterli </w:t>
            </w:r>
            <w:r w:rsidR="008D7E94" w:rsidRPr="00D60C1D">
              <w:rPr>
                <w:rStyle w:val="YELChar"/>
                <w:b w:val="0"/>
                <w:color w:val="000000"/>
              </w:rPr>
              <w:t>görülmüştür</w:t>
            </w:r>
            <w:r w:rsidR="007802E0" w:rsidRPr="00D60C1D">
              <w:rPr>
                <w:rStyle w:val="YELChar"/>
                <w:b w:val="0"/>
                <w:color w:val="000000"/>
              </w:rPr>
              <w:t>.</w:t>
            </w:r>
            <w:r w:rsidRPr="00A23740">
              <w:rPr>
                <w:szCs w:val="24"/>
              </w:rPr>
              <w:t xml:space="preserve"> </w:t>
            </w:r>
          </w:p>
          <w:p w:rsidR="00687220" w:rsidRPr="00A23740" w:rsidRDefault="00687220" w:rsidP="009431FF">
            <w:pPr>
              <w:ind w:firstLine="709"/>
              <w:rPr>
                <w:szCs w:val="24"/>
              </w:rPr>
            </w:pPr>
            <w:r w:rsidRPr="00A23740">
              <w:rPr>
                <w:szCs w:val="24"/>
              </w:rPr>
              <w:t>Muhafaza tedbirlerinin infazı, gideri şüphesiz ki, iflas isteyen alacaklıya ait olmak üzere iflas davasına bakan mahkemenin yargı çevresindeki iflas dairesince yerine getirilecek olup</w:t>
            </w:r>
            <w:r w:rsidR="008D7E94" w:rsidRPr="00A23740">
              <w:rPr>
                <w:szCs w:val="24"/>
              </w:rPr>
              <w:t>,</w:t>
            </w:r>
            <w:r w:rsidRPr="00A23740">
              <w:rPr>
                <w:szCs w:val="24"/>
              </w:rPr>
              <w:t xml:space="preserve"> bundan Kanunda da düzenlendiği gibi borçlu aleyhindeki sair ic</w:t>
            </w:r>
            <w:r w:rsidR="00D3073A" w:rsidRPr="00A23740">
              <w:rPr>
                <w:szCs w:val="24"/>
              </w:rPr>
              <w:t>ra takipleri etkilenmeyecektir.</w:t>
            </w:r>
          </w:p>
          <w:p w:rsidR="00687220" w:rsidRPr="00A23740" w:rsidRDefault="00687220" w:rsidP="009431FF">
            <w:pPr>
              <w:ind w:firstLine="709"/>
              <w:rPr>
                <w:szCs w:val="24"/>
              </w:rPr>
            </w:pPr>
            <w:r w:rsidRPr="00A23740">
              <w:rPr>
                <w:szCs w:val="24"/>
              </w:rPr>
              <w:t>Taslağın beşinci fıkrasında yer</w:t>
            </w:r>
            <w:r w:rsidR="00D3073A" w:rsidRPr="00A23740">
              <w:rPr>
                <w:szCs w:val="24"/>
              </w:rPr>
              <w:t xml:space="preserve"> </w:t>
            </w:r>
            <w:r w:rsidR="008D7E94" w:rsidRPr="00A23740">
              <w:rPr>
                <w:szCs w:val="24"/>
              </w:rPr>
              <w:t xml:space="preserve">alan </w:t>
            </w:r>
            <w:r w:rsidR="00D3073A" w:rsidRPr="00D60C1D">
              <w:rPr>
                <w:rStyle w:val="YELChar"/>
                <w:b w:val="0"/>
                <w:color w:val="000000"/>
              </w:rPr>
              <w:t>düzenleme</w:t>
            </w:r>
            <w:r w:rsidRPr="00A23740">
              <w:rPr>
                <w:szCs w:val="24"/>
              </w:rPr>
              <w:t xml:space="preserve"> </w:t>
            </w:r>
            <w:r w:rsidR="00827C95" w:rsidRPr="00D60C1D">
              <w:rPr>
                <w:rStyle w:val="KonuBalChar"/>
                <w:rFonts w:eastAsia="Calibri"/>
                <w:b w:val="0"/>
                <w:color w:val="000000"/>
              </w:rPr>
              <w:t>6100 sayılı Kanun</w:t>
            </w:r>
            <w:r w:rsidR="00827C95" w:rsidRPr="00D60C1D">
              <w:rPr>
                <w:rStyle w:val="KonuBalChar"/>
                <w:rFonts w:eastAsia="Calibri"/>
                <w:b w:val="0"/>
                <w:color w:val="000000"/>
                <w:lang w:val="tr-TR"/>
              </w:rPr>
              <w:t>d</w:t>
            </w:r>
            <w:r w:rsidR="00827C95" w:rsidRPr="00D60C1D">
              <w:rPr>
                <w:rStyle w:val="KonuBalChar"/>
                <w:rFonts w:eastAsia="Calibri"/>
                <w:b w:val="0"/>
                <w:color w:val="000000"/>
              </w:rPr>
              <w:t>a</w:t>
            </w:r>
            <w:r w:rsidR="00827C95" w:rsidRPr="00D60C1D">
              <w:rPr>
                <w:rStyle w:val="KonuBalChar"/>
                <w:rFonts w:eastAsia="Calibri"/>
                <w:b w:val="0"/>
                <w:color w:val="000000"/>
                <w:lang w:val="tr-TR"/>
              </w:rPr>
              <w:t>n</w:t>
            </w:r>
            <w:r w:rsidRPr="00A23740">
              <w:rPr>
                <w:szCs w:val="24"/>
              </w:rPr>
              <w:t xml:space="preserve"> farklı olarak</w:t>
            </w:r>
            <w:r w:rsidR="00D3073A" w:rsidRPr="00D60C1D">
              <w:rPr>
                <w:rStyle w:val="YELChar"/>
                <w:b w:val="0"/>
                <w:color w:val="000000"/>
              </w:rPr>
              <w:t>,</w:t>
            </w:r>
            <w:r w:rsidRPr="00A23740">
              <w:rPr>
                <w:szCs w:val="24"/>
              </w:rPr>
              <w:t xml:space="preserve"> söz konusu </w:t>
            </w:r>
            <w:r w:rsidR="00D3073A" w:rsidRPr="00D60C1D">
              <w:rPr>
                <w:rStyle w:val="YELChar"/>
                <w:b w:val="0"/>
                <w:color w:val="000000"/>
              </w:rPr>
              <w:t>tedbirlerin</w:t>
            </w:r>
            <w:r w:rsidRPr="00A23740">
              <w:rPr>
                <w:szCs w:val="24"/>
              </w:rPr>
              <w:t xml:space="preserve"> iflas talebinin reddi üzerine</w:t>
            </w:r>
            <w:r w:rsidR="00D3073A" w:rsidRPr="00AA05EF">
              <w:rPr>
                <w:rStyle w:val="YELChar"/>
                <w:b w:val="0"/>
                <w:color w:val="000000" w:themeColor="text1"/>
              </w:rPr>
              <w:t>,</w:t>
            </w:r>
            <w:r w:rsidRPr="00A23740">
              <w:rPr>
                <w:szCs w:val="24"/>
              </w:rPr>
              <w:t xml:space="preserve"> kararın kesinleşmesi beklenmeden </w:t>
            </w:r>
            <w:r w:rsidR="00DF22A1" w:rsidRPr="00A23740">
              <w:rPr>
                <w:szCs w:val="24"/>
              </w:rPr>
              <w:t xml:space="preserve">derhâl </w:t>
            </w:r>
            <w:r w:rsidRPr="00A23740">
              <w:rPr>
                <w:szCs w:val="24"/>
              </w:rPr>
              <w:t xml:space="preserve">ve kendiliğinden </w:t>
            </w:r>
            <w:r w:rsidR="00D3073A" w:rsidRPr="00D60C1D">
              <w:rPr>
                <w:rStyle w:val="YELChar"/>
                <w:b w:val="0"/>
                <w:color w:val="000000"/>
              </w:rPr>
              <w:t>kalkmasına ilişkindir</w:t>
            </w:r>
            <w:r w:rsidRPr="00D60C1D">
              <w:rPr>
                <w:color w:val="000000"/>
                <w:szCs w:val="24"/>
              </w:rPr>
              <w:t>.</w:t>
            </w:r>
          </w:p>
          <w:p w:rsidR="00046430" w:rsidRPr="00A23740" w:rsidRDefault="00046430" w:rsidP="00DE5024">
            <w:pPr>
              <w:ind w:firstLine="1163"/>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Defter tutulması:</w:t>
            </w:r>
          </w:p>
          <w:p w:rsidR="00AA5C8C" w:rsidRPr="00A23740" w:rsidRDefault="00AA5C8C" w:rsidP="009431FF">
            <w:pPr>
              <w:tabs>
                <w:tab w:val="left" w:pos="567"/>
              </w:tabs>
              <w:rPr>
                <w:b/>
                <w:strike/>
                <w:color w:val="FF0000"/>
                <w:szCs w:val="24"/>
              </w:rPr>
            </w:pPr>
            <w:r w:rsidRPr="00A23740">
              <w:rPr>
                <w:b/>
                <w:strike/>
                <w:color w:val="FF0000"/>
                <w:szCs w:val="24"/>
              </w:rPr>
              <w:t>1 – Usulü:</w:t>
            </w:r>
          </w:p>
          <w:p w:rsidR="00AA5C8C" w:rsidRPr="00A23740" w:rsidRDefault="00AA5C8C" w:rsidP="009431FF">
            <w:pPr>
              <w:tabs>
                <w:tab w:val="left" w:pos="567"/>
              </w:tabs>
              <w:rPr>
                <w:szCs w:val="24"/>
              </w:rPr>
            </w:pPr>
            <w:r w:rsidRPr="00A23740">
              <w:rPr>
                <w:rStyle w:val="KIRMIZIChar"/>
                <w:rFonts w:eastAsia="Calibri"/>
              </w:rPr>
              <w:t>Madde 161 – (1)</w:t>
            </w:r>
            <w:r w:rsidRPr="00A23740">
              <w:rPr>
                <w:b/>
                <w:szCs w:val="24"/>
              </w:rPr>
              <w:t xml:space="preserve"> </w:t>
            </w:r>
            <w:r w:rsidRPr="00A23740">
              <w:rPr>
                <w:szCs w:val="24"/>
              </w:rPr>
              <w:t xml:space="preserve">İflas </w:t>
            </w:r>
            <w:r w:rsidRPr="00A23740">
              <w:rPr>
                <w:rStyle w:val="KIRMIZIChar"/>
                <w:rFonts w:eastAsia="Calibri"/>
              </w:rPr>
              <w:t>talebinde bulunan</w:t>
            </w:r>
            <w:r w:rsidRPr="00A23740">
              <w:rPr>
                <w:szCs w:val="24"/>
              </w:rPr>
              <w:t xml:space="preserve"> alacaklı isterse, mahkeme borçluya ait malların </w:t>
            </w:r>
            <w:r w:rsidRPr="00A23740">
              <w:rPr>
                <w:b/>
                <w:strike/>
                <w:color w:val="FF0000"/>
                <w:szCs w:val="24"/>
              </w:rPr>
              <w:t>bir</w:t>
            </w:r>
            <w:r w:rsidRPr="00A23740">
              <w:rPr>
                <w:szCs w:val="24"/>
              </w:rPr>
              <w:t xml:space="preserve"> defterinin tutulmasına karar verebilir. </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923120" w:rsidP="009431FF">
            <w:pPr>
              <w:tabs>
                <w:tab w:val="left" w:pos="567"/>
              </w:tabs>
              <w:rPr>
                <w:szCs w:val="24"/>
              </w:rPr>
            </w:pPr>
            <w:r>
              <w:rPr>
                <w:b/>
                <w:color w:val="FF0000"/>
                <w:szCs w:val="24"/>
              </w:rPr>
              <w:t>M.161/F1.</w:t>
            </w:r>
            <w:r w:rsidR="00AA5C8C" w:rsidRPr="00A23740">
              <w:rPr>
                <w:b/>
                <w:color w:val="FF0000"/>
                <w:szCs w:val="24"/>
              </w:rPr>
              <w:t>C2:</w:t>
            </w:r>
            <w:r w:rsidR="00AA5C8C" w:rsidRPr="00A23740">
              <w:rPr>
                <w:b/>
                <w:strike/>
                <w:color w:val="FF0000"/>
                <w:szCs w:val="24"/>
              </w:rPr>
              <w:t xml:space="preserve"> </w:t>
            </w:r>
            <w:r w:rsidR="00AA5C8C" w:rsidRPr="00A23740">
              <w:rPr>
                <w:rStyle w:val="KIRMIZIChar"/>
                <w:rFonts w:eastAsia="Calibri"/>
              </w:rPr>
              <w:t>Bu d</w:t>
            </w:r>
            <w:r w:rsidR="00AA5C8C" w:rsidRPr="00A23740">
              <w:rPr>
                <w:szCs w:val="24"/>
              </w:rPr>
              <w:t>efter iflas dairesi tarafından tutulur.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7B1855" w:rsidRPr="00A23740" w:rsidRDefault="007B1855" w:rsidP="009431FF">
            <w:pPr>
              <w:tabs>
                <w:tab w:val="left" w:pos="567"/>
              </w:tabs>
              <w:rPr>
                <w:szCs w:val="24"/>
              </w:rPr>
            </w:pPr>
          </w:p>
          <w:p w:rsidR="00E371B5" w:rsidRPr="00A23740" w:rsidRDefault="00E371B5" w:rsidP="009431FF">
            <w:pPr>
              <w:tabs>
                <w:tab w:val="left" w:pos="567"/>
              </w:tabs>
              <w:rPr>
                <w:rStyle w:val="KIRMIZIChar"/>
                <w:rFonts w:eastAsia="Calibri"/>
              </w:rPr>
            </w:pPr>
          </w:p>
          <w:p w:rsidR="00AA5C8C" w:rsidRPr="00A23740" w:rsidRDefault="00AA5C8C" w:rsidP="009431FF">
            <w:pPr>
              <w:tabs>
                <w:tab w:val="left" w:pos="567"/>
              </w:tabs>
              <w:rPr>
                <w:b/>
                <w:strike/>
                <w:color w:val="FF0000"/>
                <w:szCs w:val="24"/>
              </w:rPr>
            </w:pPr>
            <w:r w:rsidRPr="00A23740">
              <w:rPr>
                <w:rStyle w:val="KIRMIZIChar"/>
                <w:rFonts w:eastAsia="Calibri"/>
              </w:rPr>
              <w:t>(2)</w:t>
            </w:r>
            <w:r w:rsidRPr="00A23740">
              <w:rPr>
                <w:szCs w:val="24"/>
              </w:rPr>
              <w:t xml:space="preserve"> Boçlunun mallarını göstermemesi ve kilitli yerlerini açmaması </w:t>
            </w:r>
            <w:r w:rsidRPr="00A23740">
              <w:rPr>
                <w:b/>
                <w:strike/>
                <w:color w:val="FF0000"/>
                <w:szCs w:val="24"/>
              </w:rPr>
              <w:t>gibi</w:t>
            </w:r>
            <w:r w:rsidRPr="00A23740">
              <w:rPr>
                <w:szCs w:val="24"/>
              </w:rPr>
              <w:t xml:space="preserve"> hal</w:t>
            </w:r>
            <w:r w:rsidRPr="00A23740">
              <w:rPr>
                <w:rStyle w:val="KIRMIZIChar"/>
                <w:rFonts w:eastAsia="Calibri"/>
              </w:rPr>
              <w:t>lerde</w:t>
            </w:r>
            <w:r w:rsidRPr="00A23740">
              <w:rPr>
                <w:szCs w:val="24"/>
              </w:rPr>
              <w:t xml:space="preserve"> </w:t>
            </w:r>
            <w:r w:rsidRPr="00A23740">
              <w:rPr>
                <w:rStyle w:val="KIRMIZIChar"/>
                <w:rFonts w:eastAsia="Calibri"/>
              </w:rPr>
              <w:t>80 ve 81 inci</w:t>
            </w:r>
            <w:r w:rsidRPr="00A23740">
              <w:rPr>
                <w:szCs w:val="24"/>
              </w:rPr>
              <w:t xml:space="preserve"> madde</w:t>
            </w:r>
            <w:r w:rsidRPr="00A23740">
              <w:rPr>
                <w:rStyle w:val="KIRMIZIChar"/>
                <w:rFonts w:eastAsia="Calibri"/>
              </w:rPr>
              <w:t>ler</w:t>
            </w:r>
            <w:r w:rsidRPr="00A23740">
              <w:rPr>
                <w:szCs w:val="24"/>
              </w:rPr>
              <w:t xml:space="preserve"> </w:t>
            </w:r>
            <w:r w:rsidRPr="00A23740">
              <w:rPr>
                <w:rStyle w:val="KIRMIZIChar"/>
                <w:rFonts w:eastAsia="Calibri"/>
              </w:rPr>
              <w:t>hükmü</w:t>
            </w:r>
            <w:r w:rsidRPr="00A23740">
              <w:rPr>
                <w:szCs w:val="24"/>
              </w:rPr>
              <w:t xml:space="preserve"> </w:t>
            </w:r>
            <w:r w:rsidRPr="00A23740">
              <w:rPr>
                <w:b/>
                <w:strike/>
                <w:color w:val="FF0000"/>
                <w:szCs w:val="24"/>
              </w:rPr>
              <w:t>tatbik olunur.</w:t>
            </w:r>
          </w:p>
          <w:p w:rsidR="00AA5C8C" w:rsidRPr="00A23740" w:rsidRDefault="00AA5C8C" w:rsidP="009431FF">
            <w:pPr>
              <w:tabs>
                <w:tab w:val="left" w:pos="567"/>
              </w:tabs>
              <w:rPr>
                <w:b/>
                <w:strike/>
                <w:color w:val="FF0000"/>
                <w:szCs w:val="24"/>
              </w:rPr>
            </w:pPr>
          </w:p>
          <w:p w:rsidR="00AA5C8C" w:rsidRPr="00A23740" w:rsidRDefault="00AA5C8C" w:rsidP="009431FF">
            <w:pPr>
              <w:pStyle w:val="KIRMIZI"/>
            </w:pPr>
            <w:r w:rsidRPr="00A23740">
              <w:t>2 – Neticeleri:</w:t>
            </w:r>
          </w:p>
          <w:p w:rsidR="00AA5C8C" w:rsidRPr="00A23740" w:rsidRDefault="00AA5C8C" w:rsidP="009431FF">
            <w:pPr>
              <w:pStyle w:val="KIRMIZI"/>
              <w:rPr>
                <w:lang w:val="tr-TR"/>
              </w:rPr>
            </w:pPr>
            <w:r w:rsidRPr="00A23740">
              <w:rPr>
                <w:lang w:val="tr-TR"/>
              </w:rPr>
              <w:t>Madde 162 – (1) (Değişik: 6/6/1985 - 3222/19 md.)</w:t>
            </w:r>
          </w:p>
          <w:p w:rsidR="00AA5C8C" w:rsidRPr="00A23740" w:rsidRDefault="00AA5C8C" w:rsidP="009431FF">
            <w:pPr>
              <w:tabs>
                <w:tab w:val="left" w:pos="567"/>
              </w:tabs>
              <w:rPr>
                <w:szCs w:val="24"/>
              </w:rPr>
            </w:pPr>
            <w:r w:rsidRPr="00A23740">
              <w:rPr>
                <w:rStyle w:val="KIRMIZIChar"/>
                <w:rFonts w:eastAsia="Calibri"/>
              </w:rPr>
              <w:t>Borçlunun ve ailesinin idareleri için iflas memurunun bıraktığı mallar müstesna</w:t>
            </w:r>
            <w:r w:rsidRPr="00A23740">
              <w:rPr>
                <w:szCs w:val="24"/>
              </w:rPr>
              <w:t xml:space="preserve"> olmak üzere borçlu</w:t>
            </w:r>
            <w:r w:rsidRPr="00A23740">
              <w:rPr>
                <w:bCs/>
              </w:rPr>
              <w:t>,</w:t>
            </w:r>
            <w:r w:rsidRPr="00A23740">
              <w:rPr>
                <w:szCs w:val="24"/>
              </w:rPr>
              <w:t xml:space="preserve"> defteri </w:t>
            </w:r>
            <w:r w:rsidRPr="00A23740">
              <w:rPr>
                <w:rStyle w:val="KIRMIZIChar"/>
                <w:rFonts w:eastAsia="Calibri"/>
              </w:rPr>
              <w:t>yapılmış olan</w:t>
            </w:r>
            <w:r w:rsidRPr="00A23740">
              <w:rPr>
                <w:szCs w:val="24"/>
              </w:rPr>
              <w:t xml:space="preserve"> malları </w:t>
            </w:r>
            <w:r w:rsidRPr="00A23740">
              <w:rPr>
                <w:rStyle w:val="KIRMIZIChar"/>
                <w:rFonts w:eastAsia="Calibri"/>
              </w:rPr>
              <w:t>aynen veya istenildiği zamanki kıymetiyle</w:t>
            </w:r>
            <w:r w:rsidRPr="00A23740">
              <w:rPr>
                <w:szCs w:val="24"/>
              </w:rPr>
              <w:t xml:space="preserve"> verme</w:t>
            </w:r>
            <w:r w:rsidRPr="00A23740">
              <w:rPr>
                <w:rStyle w:val="KIRMIZIChar"/>
                <w:rFonts w:eastAsia="Calibri"/>
              </w:rPr>
              <w:t>ye mecburdur</w:t>
            </w:r>
            <w:r w:rsidRPr="00A23740">
              <w:rPr>
                <w:szCs w:val="24"/>
              </w:rPr>
              <w:t>.</w:t>
            </w:r>
          </w:p>
          <w:p w:rsidR="00E371B5" w:rsidRPr="00A23740" w:rsidRDefault="00E371B5" w:rsidP="009431FF">
            <w:pPr>
              <w:pStyle w:val="KIRMIZI"/>
            </w:pPr>
          </w:p>
          <w:p w:rsidR="00AA5C8C" w:rsidRPr="00A23740" w:rsidRDefault="00AA5C8C" w:rsidP="009431FF">
            <w:pPr>
              <w:pStyle w:val="KIRMIZI"/>
            </w:pPr>
            <w:r w:rsidRPr="00A23740">
              <w:t>3 – Devam müddeti:</w:t>
            </w:r>
          </w:p>
          <w:p w:rsidR="00AA5C8C" w:rsidRPr="00A23740" w:rsidRDefault="00AA5C8C" w:rsidP="009431FF">
            <w:pPr>
              <w:tabs>
                <w:tab w:val="left" w:pos="567"/>
              </w:tabs>
              <w:rPr>
                <w:szCs w:val="24"/>
              </w:rPr>
            </w:pPr>
            <w:r w:rsidRPr="00A23740">
              <w:rPr>
                <w:rStyle w:val="KIRMIZIChar"/>
                <w:rFonts w:eastAsia="Calibri"/>
              </w:rPr>
              <w:t>Madde 163 – (2)</w:t>
            </w:r>
            <w:r w:rsidRPr="00A23740">
              <w:rPr>
                <w:szCs w:val="24"/>
              </w:rPr>
              <w:t xml:space="preserve"> Defterin hükmü </w:t>
            </w:r>
            <w:r w:rsidRPr="00A23740">
              <w:rPr>
                <w:rStyle w:val="KIRMIZIChar"/>
                <w:rFonts w:eastAsia="Calibri"/>
              </w:rPr>
              <w:t xml:space="preserve">mahkemece temdit edilmemişse yapıldığı tarihten dört </w:t>
            </w:r>
            <w:r w:rsidRPr="00A23740">
              <w:rPr>
                <w:szCs w:val="24"/>
              </w:rPr>
              <w:t xml:space="preserve">ay </w:t>
            </w:r>
            <w:r w:rsidRPr="00A23740">
              <w:rPr>
                <w:rStyle w:val="KIRMIZIChar"/>
                <w:rFonts w:eastAsia="Calibri"/>
              </w:rPr>
              <w:t>sonra kendiliğinden ortadan kalkar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rStyle w:val="KIRMIZIChar"/>
                <w:rFonts w:eastAsia="Calibri"/>
              </w:rPr>
              <w:t>(1)</w:t>
            </w:r>
            <w:r w:rsidRPr="00A23740">
              <w:rPr>
                <w:b/>
                <w:szCs w:val="24"/>
              </w:rPr>
              <w:t xml:space="preserve"> </w:t>
            </w:r>
            <w:r w:rsidRPr="00A23740">
              <w:rPr>
                <w:szCs w:val="24"/>
              </w:rPr>
              <w:t xml:space="preserve">Takipte bulunan bütün alacaklılar </w:t>
            </w:r>
            <w:r w:rsidRPr="00A23740">
              <w:rPr>
                <w:rStyle w:val="KIRMIZIChar"/>
                <w:rFonts w:eastAsia="Calibri"/>
              </w:rPr>
              <w:t xml:space="preserve">razı olurlarsa yapılan </w:t>
            </w:r>
            <w:r w:rsidRPr="00A23740">
              <w:rPr>
                <w:szCs w:val="24"/>
              </w:rPr>
              <w:t xml:space="preserve">defter iflas </w:t>
            </w:r>
            <w:r w:rsidRPr="00A23740">
              <w:rPr>
                <w:rStyle w:val="KIRMIZIChar"/>
                <w:rFonts w:eastAsia="Calibri"/>
              </w:rPr>
              <w:t>memuru</w:t>
            </w:r>
            <w:r w:rsidRPr="00A23740">
              <w:rPr>
                <w:szCs w:val="24"/>
              </w:rPr>
              <w:t xml:space="preserve"> tarafından iptal olunur.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Defter  tutulması</w:t>
            </w:r>
          </w:p>
          <w:p w:rsidR="00AA5C8C" w:rsidRPr="00A23740" w:rsidRDefault="00AA5C8C" w:rsidP="009431FF">
            <w:pPr>
              <w:tabs>
                <w:tab w:val="left" w:pos="567"/>
              </w:tabs>
              <w:rPr>
                <w:b/>
                <w:color w:val="CC00FF"/>
                <w:szCs w:val="24"/>
              </w:rPr>
            </w:pPr>
            <w:r w:rsidRPr="00A23740">
              <w:rPr>
                <w:b/>
                <w:color w:val="0000FF"/>
                <w:szCs w:val="24"/>
              </w:rPr>
              <w:t>MADDE 2</w:t>
            </w:r>
            <w:r w:rsidR="00490C3E" w:rsidRPr="00A23740">
              <w:rPr>
                <w:b/>
                <w:color w:val="0000FF"/>
                <w:szCs w:val="24"/>
              </w:rPr>
              <w:t>80</w:t>
            </w:r>
            <w:r w:rsidRPr="00A23740">
              <w:rPr>
                <w:b/>
                <w:color w:val="0000FF"/>
                <w:szCs w:val="24"/>
              </w:rPr>
              <w:t xml:space="preserve">-  (1) </w:t>
            </w:r>
            <w:r w:rsidRPr="00A23740">
              <w:rPr>
                <w:szCs w:val="24"/>
              </w:rPr>
              <w:t xml:space="preserve">İflas </w:t>
            </w:r>
            <w:r w:rsidRPr="00A23740">
              <w:rPr>
                <w:b/>
                <w:color w:val="0000FF"/>
                <w:szCs w:val="24"/>
              </w:rPr>
              <w:t>davası üzerine</w:t>
            </w:r>
            <w:r w:rsidRPr="00A23740">
              <w:rPr>
                <w:szCs w:val="24"/>
              </w:rPr>
              <w:t xml:space="preserve"> alacaklı isterse, mahkeme</w:t>
            </w:r>
            <w:r w:rsidRPr="00A23740">
              <w:rPr>
                <w:b/>
                <w:color w:val="0000FF"/>
                <w:szCs w:val="24"/>
              </w:rPr>
              <w:t xml:space="preserve"> </w:t>
            </w:r>
            <w:r w:rsidRPr="00A23740">
              <w:rPr>
                <w:szCs w:val="24"/>
              </w:rPr>
              <w:t>borçluya ait malların defterinin tutulmasına karar verebilir.</w:t>
            </w:r>
            <w:r w:rsidRPr="00A23740">
              <w:rPr>
                <w:color w:val="CC00FF"/>
                <w:szCs w:val="24"/>
              </w:rPr>
              <w:t xml:space="preserve"> </w:t>
            </w:r>
            <w:r w:rsidRPr="00A23740">
              <w:rPr>
                <w:rStyle w:val="MaviChar"/>
              </w:rPr>
              <w:t xml:space="preserve">Borçlunun ödeme emrine itirazı </w:t>
            </w:r>
            <w:r w:rsidRPr="00A23740">
              <w:rPr>
                <w:rStyle w:val="MaviChar"/>
                <w:lang w:val="tr-TR"/>
              </w:rPr>
              <w:t>giderilmişse, talep üzerine mahkeme defter tutulmasına karar vermek zorundadır.</w:t>
            </w:r>
          </w:p>
          <w:p w:rsidR="00AA5C8C" w:rsidRPr="00A23740" w:rsidRDefault="00AA5C8C" w:rsidP="009431FF">
            <w:pPr>
              <w:rPr>
                <w:b/>
                <w:color w:val="0000FF"/>
                <w:szCs w:val="24"/>
              </w:rPr>
            </w:pPr>
          </w:p>
          <w:p w:rsidR="00AA5C8C" w:rsidRPr="00A23740" w:rsidRDefault="00AA5C8C" w:rsidP="009431FF">
            <w:pPr>
              <w:rPr>
                <w:b/>
                <w:color w:val="0000FF"/>
                <w:szCs w:val="24"/>
              </w:rPr>
            </w:pPr>
            <w:r w:rsidRPr="00A23740">
              <w:rPr>
                <w:b/>
                <w:color w:val="0000FF"/>
                <w:szCs w:val="24"/>
              </w:rPr>
              <w:t xml:space="preserve">(2) </w:t>
            </w:r>
            <w:r w:rsidRPr="00A23740">
              <w:rPr>
                <w:rStyle w:val="Balk1Char"/>
                <w:rFonts w:eastAsia="Calibri"/>
              </w:rPr>
              <w:t>D</w:t>
            </w:r>
            <w:r w:rsidRPr="00A23740">
              <w:rPr>
                <w:szCs w:val="24"/>
              </w:rPr>
              <w:t>efter</w:t>
            </w:r>
            <w:r w:rsidRPr="00A23740">
              <w:rPr>
                <w:rStyle w:val="MaviChar"/>
              </w:rPr>
              <w:t>,</w:t>
            </w:r>
            <w:r w:rsidRPr="00A23740">
              <w:rPr>
                <w:szCs w:val="24"/>
              </w:rPr>
              <w:t xml:space="preserve"> </w:t>
            </w:r>
            <w:r w:rsidRPr="00A23740">
              <w:rPr>
                <w:b/>
                <w:color w:val="0000FF"/>
                <w:szCs w:val="24"/>
              </w:rPr>
              <w:t xml:space="preserve">iflas davasına bakan mahkemenin yargı çevresindeki </w:t>
            </w:r>
            <w:r w:rsidRPr="00A23740">
              <w:rPr>
                <w:szCs w:val="24"/>
              </w:rPr>
              <w:t>iflas dairesi tarafından tutulur.</w:t>
            </w:r>
            <w:r w:rsidRPr="00A23740">
              <w:rPr>
                <w:b/>
                <w:color w:val="0000FF"/>
                <w:szCs w:val="24"/>
              </w:rPr>
              <w:t xml:space="preserve"> İflas dairesi borçlunun kendisinin veya ailesinin geçimi için gerekli olan malları deftere </w:t>
            </w:r>
            <w:r w:rsidR="00941DD4" w:rsidRPr="009D0B93">
              <w:rPr>
                <w:rStyle w:val="MaviChar"/>
              </w:rPr>
              <w:t>kaydedip</w:t>
            </w:r>
            <w:r w:rsidRPr="00A23740">
              <w:rPr>
                <w:b/>
                <w:color w:val="0000FF"/>
                <w:szCs w:val="24"/>
              </w:rPr>
              <w:t xml:space="preserve"> borçluya bırakır.</w:t>
            </w:r>
          </w:p>
          <w:p w:rsidR="00AA5C8C" w:rsidRPr="00A23740" w:rsidRDefault="00AA5C8C" w:rsidP="009431FF">
            <w:pPr>
              <w:rPr>
                <w:szCs w:val="24"/>
              </w:rPr>
            </w:pPr>
          </w:p>
          <w:p w:rsidR="00AA5C8C" w:rsidRPr="00A23740" w:rsidRDefault="00AA5C8C" w:rsidP="009431FF">
            <w:pPr>
              <w:rPr>
                <w:b/>
                <w:color w:val="0000FF"/>
                <w:szCs w:val="24"/>
              </w:rPr>
            </w:pPr>
            <w:r w:rsidRPr="00A23740">
              <w:rPr>
                <w:b/>
                <w:color w:val="0000FF"/>
                <w:szCs w:val="24"/>
              </w:rPr>
              <w:t xml:space="preserve">(3) </w:t>
            </w:r>
            <w:r w:rsidRPr="00A23740">
              <w:rPr>
                <w:szCs w:val="24"/>
              </w:rPr>
              <w:t>Borçlunun mallarını göstermemesi ve kilitli yerleri açmaması h</w:t>
            </w:r>
            <w:r w:rsidR="00B30DC3" w:rsidRPr="00A23740">
              <w:rPr>
                <w:szCs w:val="24"/>
              </w:rPr>
              <w:t>â</w:t>
            </w:r>
            <w:r w:rsidRPr="00A23740">
              <w:rPr>
                <w:szCs w:val="24"/>
              </w:rPr>
              <w:t>l</w:t>
            </w:r>
            <w:r w:rsidRPr="00A23740">
              <w:rPr>
                <w:rStyle w:val="MaviChar"/>
                <w:lang w:val="tr-TR"/>
              </w:rPr>
              <w:t>inde</w:t>
            </w:r>
            <w:r w:rsidRPr="009D0B93">
              <w:rPr>
                <w:rStyle w:val="MaviChar"/>
              </w:rPr>
              <w:t>,</w:t>
            </w:r>
            <w:r w:rsidR="00E371B5" w:rsidRPr="009D0B93">
              <w:rPr>
                <w:rStyle w:val="MaviChar"/>
              </w:rPr>
              <w:t xml:space="preserve"> 168 inci</w:t>
            </w:r>
            <w:r w:rsidRPr="00A23740">
              <w:rPr>
                <w:szCs w:val="24"/>
              </w:rPr>
              <w:t xml:space="preserve"> ve</w:t>
            </w:r>
            <w:r w:rsidR="00E371B5" w:rsidRPr="00A23740">
              <w:rPr>
                <w:szCs w:val="24"/>
              </w:rPr>
              <w:t xml:space="preserve"> </w:t>
            </w:r>
            <w:r w:rsidR="00E371B5" w:rsidRPr="009D0B93">
              <w:rPr>
                <w:rStyle w:val="MaviChar"/>
              </w:rPr>
              <w:t>169 uncu</w:t>
            </w:r>
            <w:r w:rsidRPr="00A23740">
              <w:rPr>
                <w:szCs w:val="24"/>
              </w:rPr>
              <w:t xml:space="preserve"> </w:t>
            </w:r>
            <w:r w:rsidR="00941DD4" w:rsidRPr="009D0B93">
              <w:rPr>
                <w:rStyle w:val="MaviChar"/>
              </w:rPr>
              <w:t>maddeler</w:t>
            </w:r>
            <w:r w:rsidR="005C1B98" w:rsidRPr="00A23740">
              <w:rPr>
                <w:b/>
                <w:color w:val="0000FF"/>
                <w:szCs w:val="24"/>
              </w:rPr>
              <w:t xml:space="preserve"> </w:t>
            </w:r>
            <w:r w:rsidRPr="00A23740">
              <w:rPr>
                <w:b/>
                <w:color w:val="0000FF"/>
                <w:szCs w:val="24"/>
              </w:rPr>
              <w:t>uygulanır.</w:t>
            </w:r>
          </w:p>
          <w:p w:rsidR="00AA5C8C" w:rsidRPr="00A23740" w:rsidRDefault="00AA5C8C" w:rsidP="009431FF">
            <w:pPr>
              <w:rPr>
                <w:b/>
                <w:color w:val="0000FF"/>
                <w:szCs w:val="24"/>
              </w:rPr>
            </w:pPr>
          </w:p>
          <w:p w:rsidR="00F20BB7" w:rsidRPr="00A23740" w:rsidRDefault="00F20BB7" w:rsidP="009431FF">
            <w:pPr>
              <w:rPr>
                <w:rFonts w:eastAsia="Times New Roman"/>
                <w:color w:val="000000"/>
                <w:szCs w:val="24"/>
                <w:lang w:eastAsia="tr-TR"/>
              </w:rPr>
            </w:pPr>
            <w:r w:rsidRPr="00A23740">
              <w:rPr>
                <w:b/>
                <w:color w:val="0000FF"/>
                <w:szCs w:val="24"/>
              </w:rPr>
              <w:t xml:space="preserve">(4) İkinci fıkrada belirtilen mallar hariç </w:t>
            </w:r>
            <w:r w:rsidRPr="00A23740">
              <w:t>olmak üzere</w:t>
            </w:r>
            <w:r w:rsidR="00AA05EF" w:rsidRPr="00AA05EF">
              <w:rPr>
                <w:rStyle w:val="KIRMIZIChar"/>
                <w:rFonts w:eastAsia="Calibri"/>
                <w:strike w:val="0"/>
              </w:rPr>
              <w:t xml:space="preserve"> </w:t>
            </w:r>
            <w:r w:rsidRPr="00A23740">
              <w:t xml:space="preserve">borçlu, defteri </w:t>
            </w:r>
            <w:r w:rsidRPr="00A23740">
              <w:rPr>
                <w:b/>
                <w:color w:val="0000FF"/>
                <w:szCs w:val="24"/>
              </w:rPr>
              <w:t xml:space="preserve">tutulan malları aynen veya </w:t>
            </w:r>
            <w:r w:rsidRPr="00A23740">
              <w:rPr>
                <w:b/>
                <w:bCs/>
                <w:color w:val="0000FF"/>
                <w:szCs w:val="24"/>
                <w:lang w:val="x-none" w:eastAsia="x-none"/>
              </w:rPr>
              <w:t xml:space="preserve">bu malların </w:t>
            </w:r>
            <w:r w:rsidRPr="00A23740">
              <w:rPr>
                <w:b/>
                <w:color w:val="0000FF"/>
                <w:szCs w:val="24"/>
              </w:rPr>
              <w:t>istenildiği zamanki</w:t>
            </w:r>
            <w:r w:rsidRPr="00A23740">
              <w:t xml:space="preserve"> </w:t>
            </w:r>
            <w:r w:rsidRPr="00A23740">
              <w:rPr>
                <w:b/>
                <w:bCs/>
                <w:color w:val="0000FF"/>
                <w:szCs w:val="24"/>
                <w:lang w:val="x-none" w:eastAsia="x-none"/>
              </w:rPr>
              <w:t>kıym</w:t>
            </w:r>
            <w:r w:rsidRPr="00A23740">
              <w:rPr>
                <w:b/>
                <w:color w:val="0000FF"/>
                <w:szCs w:val="24"/>
              </w:rPr>
              <w:t>etlerini iflas dairesine vermek zorundadır; aksi h</w:t>
            </w:r>
            <w:r w:rsidR="00B30DC3" w:rsidRPr="00A23740">
              <w:rPr>
                <w:b/>
                <w:color w:val="0000FF"/>
                <w:szCs w:val="24"/>
              </w:rPr>
              <w:t>â</w:t>
            </w:r>
            <w:r w:rsidRPr="00A23740">
              <w:rPr>
                <w:b/>
                <w:color w:val="0000FF"/>
                <w:szCs w:val="24"/>
              </w:rPr>
              <w:t>lde</w:t>
            </w:r>
            <w:r w:rsidR="00941DD4" w:rsidRPr="00A23740">
              <w:rPr>
                <w:b/>
                <w:color w:val="0000FF"/>
                <w:szCs w:val="24"/>
              </w:rPr>
              <w:t xml:space="preserve"> </w:t>
            </w:r>
            <w:r w:rsidR="00941DD4" w:rsidRPr="009D0B93">
              <w:rPr>
                <w:rStyle w:val="MaviChar"/>
              </w:rPr>
              <w:t>borçlu</w:t>
            </w:r>
            <w:r w:rsidR="002841B1" w:rsidRPr="00A23740">
              <w:rPr>
                <w:b/>
                <w:color w:val="0000FF"/>
                <w:szCs w:val="24"/>
              </w:rPr>
              <w:t xml:space="preserve"> </w:t>
            </w:r>
            <w:r w:rsidR="002841B1" w:rsidRPr="009D0B93">
              <w:rPr>
                <w:rStyle w:val="MaviChar"/>
              </w:rPr>
              <w:t>517 nci</w:t>
            </w:r>
            <w:r w:rsidRPr="00A23740">
              <w:rPr>
                <w:b/>
                <w:color w:val="0000FF"/>
                <w:szCs w:val="24"/>
              </w:rPr>
              <w:t xml:space="preserve"> madde gereğince disiplin </w:t>
            </w:r>
            <w:r w:rsidR="00D05633" w:rsidRPr="009D0B93">
              <w:rPr>
                <w:rStyle w:val="MaviChar"/>
              </w:rPr>
              <w:t>hapsiyle</w:t>
            </w:r>
            <w:r w:rsidRPr="00A23740">
              <w:rPr>
                <w:b/>
                <w:color w:val="0000FF"/>
                <w:szCs w:val="24"/>
              </w:rPr>
              <w:t xml:space="preserve"> cezalandırılır.</w:t>
            </w:r>
          </w:p>
          <w:p w:rsidR="00AA5C8C" w:rsidRDefault="00AA5C8C" w:rsidP="009431FF">
            <w:pPr>
              <w:rPr>
                <w:b/>
                <w:color w:val="0000FF"/>
                <w:szCs w:val="24"/>
              </w:rPr>
            </w:pPr>
          </w:p>
          <w:p w:rsidR="00AA05EF" w:rsidRDefault="00AA05EF" w:rsidP="009431FF">
            <w:pPr>
              <w:rPr>
                <w:b/>
                <w:color w:val="0000FF"/>
                <w:szCs w:val="24"/>
              </w:rPr>
            </w:pPr>
          </w:p>
          <w:p w:rsidR="00AA05EF" w:rsidRPr="00A23740" w:rsidRDefault="00AA05EF" w:rsidP="009431FF">
            <w:pPr>
              <w:rPr>
                <w:b/>
                <w:color w:val="0000FF"/>
                <w:szCs w:val="24"/>
              </w:rPr>
            </w:pPr>
          </w:p>
          <w:p w:rsidR="00AA5C8C" w:rsidRPr="00A23740" w:rsidRDefault="00AA5C8C" w:rsidP="009431FF">
            <w:pPr>
              <w:rPr>
                <w:b/>
                <w:color w:val="0000FF"/>
                <w:szCs w:val="24"/>
              </w:rPr>
            </w:pPr>
            <w:r w:rsidRPr="00A23740">
              <w:rPr>
                <w:b/>
                <w:color w:val="0000FF"/>
                <w:szCs w:val="24"/>
              </w:rPr>
              <w:t>(5) Tutulan</w:t>
            </w:r>
            <w:r w:rsidRPr="00A23740">
              <w:t xml:space="preserve"> defterin hükmü</w:t>
            </w:r>
            <w:r w:rsidRPr="00A23740">
              <w:rPr>
                <w:b/>
                <w:color w:val="0000FF"/>
                <w:szCs w:val="24"/>
              </w:rPr>
              <w:t>, tutulduğu tarihten itibaren altı</w:t>
            </w:r>
            <w:r w:rsidRPr="00A23740">
              <w:t xml:space="preserve"> ay</w:t>
            </w:r>
            <w:r w:rsidRPr="00A23740">
              <w:rPr>
                <w:b/>
                <w:color w:val="0000FF"/>
                <w:szCs w:val="24"/>
              </w:rPr>
              <w:t xml:space="preserve"> devam eder. Mahkeme, defterin hükmünü</w:t>
            </w:r>
            <w:r w:rsidR="00F41C96" w:rsidRPr="00A23740">
              <w:rPr>
                <w:b/>
                <w:color w:val="0000FF"/>
                <w:szCs w:val="24"/>
              </w:rPr>
              <w:t>n uzatılmasına karar verebilir.</w:t>
            </w:r>
          </w:p>
          <w:p w:rsidR="00AA5C8C" w:rsidRPr="00A23740" w:rsidRDefault="00AA5C8C" w:rsidP="009431FF">
            <w:pPr>
              <w:rPr>
                <w:b/>
                <w:color w:val="0000FF"/>
                <w:szCs w:val="24"/>
              </w:rPr>
            </w:pPr>
          </w:p>
          <w:p w:rsidR="00AA5C8C" w:rsidRPr="00A23740" w:rsidRDefault="00AA5C8C" w:rsidP="009431FF">
            <w:pPr>
              <w:rPr>
                <w:b/>
                <w:color w:val="0000FF"/>
                <w:szCs w:val="24"/>
              </w:rPr>
            </w:pPr>
            <w:r w:rsidRPr="00A23740">
              <w:rPr>
                <w:b/>
                <w:color w:val="0000FF"/>
                <w:szCs w:val="24"/>
              </w:rPr>
              <w:t xml:space="preserve">(6) </w:t>
            </w:r>
            <w:r w:rsidRPr="00A23740">
              <w:t xml:space="preserve">Takipte bulunan bütün alacaklılar </w:t>
            </w:r>
            <w:r w:rsidRPr="00A23740">
              <w:rPr>
                <w:b/>
                <w:color w:val="0000FF"/>
                <w:szCs w:val="24"/>
              </w:rPr>
              <w:t>kabul ederlerse</w:t>
            </w:r>
            <w:r w:rsidR="00D05633" w:rsidRPr="009D0B93">
              <w:rPr>
                <w:rStyle w:val="MaviChar"/>
              </w:rPr>
              <w:t>,</w:t>
            </w:r>
            <w:r w:rsidRPr="00A23740">
              <w:rPr>
                <w:b/>
                <w:color w:val="0000FF"/>
                <w:szCs w:val="24"/>
              </w:rPr>
              <w:t xml:space="preserve"> tutulan </w:t>
            </w:r>
            <w:r w:rsidRPr="00A23740">
              <w:t xml:space="preserve">defter iflas </w:t>
            </w:r>
            <w:r w:rsidRPr="00A23740">
              <w:rPr>
                <w:b/>
                <w:color w:val="0000FF"/>
                <w:szCs w:val="24"/>
              </w:rPr>
              <w:t>müdürü</w:t>
            </w:r>
            <w:r w:rsidRPr="00A23740">
              <w:t xml:space="preserve"> tarafından iptal olunur</w:t>
            </w:r>
            <w:r w:rsidRPr="00A23740">
              <w:rPr>
                <w:b/>
                <w:color w:val="0000FF"/>
                <w:szCs w:val="24"/>
              </w:rPr>
              <w:t>.</w:t>
            </w:r>
          </w:p>
          <w:p w:rsidR="00AA5C8C" w:rsidRPr="00A23740" w:rsidRDefault="00AA5C8C" w:rsidP="009431FF">
            <w:pPr>
              <w:rPr>
                <w:b/>
                <w:color w:val="0000FF"/>
                <w:szCs w:val="24"/>
              </w:rPr>
            </w:pPr>
          </w:p>
          <w:p w:rsidR="00AA5C8C" w:rsidRPr="00A23740" w:rsidRDefault="00AA5C8C" w:rsidP="009431FF">
            <w:pPr>
              <w:rPr>
                <w:b/>
                <w:color w:val="0000FF"/>
                <w:szCs w:val="24"/>
              </w:rPr>
            </w:pPr>
            <w:r w:rsidRPr="00A23740">
              <w:rPr>
                <w:b/>
                <w:color w:val="0000FF"/>
                <w:szCs w:val="24"/>
              </w:rPr>
              <w:t>(7) Tutulacak defterin usul ve esasları</w:t>
            </w:r>
            <w:r w:rsidR="00D05633" w:rsidRPr="00A23740">
              <w:rPr>
                <w:b/>
                <w:color w:val="0000FF"/>
                <w:szCs w:val="24"/>
              </w:rPr>
              <w:t xml:space="preserve"> </w:t>
            </w:r>
            <w:r w:rsidR="00D05633" w:rsidRPr="009D0B93">
              <w:rPr>
                <w:rStyle w:val="MaviChar"/>
              </w:rPr>
              <w:t>Adalet Bakanlığınca çıkarılacak</w:t>
            </w:r>
            <w:r w:rsidRPr="00A23740">
              <w:rPr>
                <w:b/>
                <w:color w:val="0000FF"/>
                <w:szCs w:val="24"/>
              </w:rPr>
              <w:t xml:space="preserve"> yönetmelikte gösterilir.</w:t>
            </w:r>
          </w:p>
          <w:p w:rsidR="00AA5C8C" w:rsidRPr="00A23740" w:rsidRDefault="00AA5C8C" w:rsidP="009431FF">
            <w:pPr>
              <w:rPr>
                <w:b/>
                <w:szCs w:val="24"/>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tabs>
                <w:tab w:val="left" w:pos="567"/>
              </w:tabs>
              <w:rPr>
                <w:b/>
                <w:szCs w:val="24"/>
              </w:rPr>
            </w:pPr>
          </w:p>
          <w:p w:rsidR="00AA05EF" w:rsidRDefault="00687220" w:rsidP="009431FF">
            <w:pPr>
              <w:tabs>
                <w:tab w:val="left" w:pos="567"/>
              </w:tabs>
              <w:ind w:firstLine="709"/>
              <w:rPr>
                <w:rStyle w:val="KIRMIZIChar"/>
                <w:rFonts w:eastAsia="Calibri"/>
              </w:rPr>
            </w:pPr>
            <w:r w:rsidRPr="00A23740">
              <w:rPr>
                <w:b/>
              </w:rPr>
              <w:t>MADDE 280-</w:t>
            </w:r>
            <w:r w:rsidRPr="00A23740">
              <w:t xml:space="preserve"> Maddeyle, iflas yoluyla takipte </w:t>
            </w:r>
            <w:r w:rsidRPr="00A23740">
              <w:rPr>
                <w:szCs w:val="24"/>
              </w:rPr>
              <w:t xml:space="preserve">defter tutulmasına ilişkin hususlar düzenlenmektedir. </w:t>
            </w:r>
          </w:p>
          <w:p w:rsidR="00687220" w:rsidRPr="00A23740" w:rsidRDefault="001922D7" w:rsidP="009431FF">
            <w:pPr>
              <w:tabs>
                <w:tab w:val="left" w:pos="567"/>
              </w:tabs>
              <w:ind w:firstLine="709"/>
              <w:rPr>
                <w:szCs w:val="24"/>
              </w:rPr>
            </w:pPr>
            <w:r w:rsidRPr="00D60C1D">
              <w:rPr>
                <w:rStyle w:val="YELChar"/>
                <w:b w:val="0"/>
                <w:color w:val="000000"/>
              </w:rPr>
              <w:t>Taslağın</w:t>
            </w:r>
            <w:r w:rsidR="00687220" w:rsidRPr="00A23740">
              <w:rPr>
                <w:szCs w:val="24"/>
              </w:rPr>
              <w:t xml:space="preserve"> bu hükmüyle birlikte muhafaza tedbirlerinden olan defter tutulmasına ilişkin hükümler, tek bir madde altında, birlikte düzenlenmiştir. Bu hâlde, </w:t>
            </w:r>
            <w:r w:rsidRPr="00D60C1D">
              <w:rPr>
                <w:rStyle w:val="YELChar"/>
                <w:b w:val="0"/>
                <w:color w:val="000000"/>
              </w:rPr>
              <w:t>2004</w:t>
            </w:r>
            <w:r w:rsidR="00904FC2" w:rsidRPr="00D60C1D">
              <w:rPr>
                <w:rStyle w:val="YELChar"/>
                <w:b w:val="0"/>
                <w:color w:val="000000"/>
              </w:rPr>
              <w:t xml:space="preserve"> sayılı Kanunun</w:t>
            </w:r>
            <w:r w:rsidRPr="00A23740">
              <w:rPr>
                <w:rStyle w:val="YELChar"/>
              </w:rPr>
              <w:t xml:space="preserve"> </w:t>
            </w:r>
            <w:r w:rsidR="00687220" w:rsidRPr="00A23740">
              <w:rPr>
                <w:szCs w:val="24"/>
              </w:rPr>
              <w:t xml:space="preserve">161 ila 163 üncü maddelerinde düzenlenen hususlar, </w:t>
            </w:r>
            <w:r w:rsidR="008D7E94" w:rsidRPr="00A23740">
              <w:rPr>
                <w:szCs w:val="24"/>
              </w:rPr>
              <w:t xml:space="preserve">gerektiğinde düzeltilerek </w:t>
            </w:r>
            <w:r w:rsidR="00AA05EF">
              <w:rPr>
                <w:szCs w:val="24"/>
              </w:rPr>
              <w:t>aynen benimsenmiştir.</w:t>
            </w:r>
          </w:p>
          <w:p w:rsidR="00687220" w:rsidRPr="00A23740" w:rsidRDefault="00687220" w:rsidP="009431FF">
            <w:pPr>
              <w:tabs>
                <w:tab w:val="left" w:pos="567"/>
              </w:tabs>
              <w:ind w:firstLine="709"/>
              <w:rPr>
                <w:szCs w:val="24"/>
              </w:rPr>
            </w:pPr>
            <w:r w:rsidRPr="00A23740">
              <w:rPr>
                <w:szCs w:val="24"/>
              </w:rPr>
              <w:t>Alacaklılarca talep edilebilecek muhafaza tedbirlerinden biri de borçlunun mallarının defterinin tutulmasıdır. Bu hâlde şayet ödeme emrine karşı yapılan itiraz giderilmişse veya pek tabiî olarak itiraz edilmemişse</w:t>
            </w:r>
            <w:r w:rsidR="008D7E94" w:rsidRPr="00A23740">
              <w:rPr>
                <w:szCs w:val="24"/>
              </w:rPr>
              <w:t>,</w:t>
            </w:r>
            <w:r w:rsidRPr="00A23740">
              <w:rPr>
                <w:szCs w:val="24"/>
              </w:rPr>
              <w:t xml:space="preserve"> taleple birlikte defter tutulmasına artık karar verilmek gerekir. </w:t>
            </w:r>
          </w:p>
          <w:p w:rsidR="00687220" w:rsidRPr="00A23740" w:rsidRDefault="00687220" w:rsidP="009431FF">
            <w:pPr>
              <w:tabs>
                <w:tab w:val="left" w:pos="567"/>
              </w:tabs>
              <w:ind w:firstLine="709"/>
              <w:rPr>
                <w:szCs w:val="24"/>
              </w:rPr>
            </w:pPr>
            <w:r w:rsidRPr="00A23740">
              <w:rPr>
                <w:szCs w:val="24"/>
              </w:rPr>
              <w:t xml:space="preserve">Defterin tutulması sırasında Taslağın </w:t>
            </w:r>
            <w:r w:rsidR="00587E3A" w:rsidRPr="00D60C1D">
              <w:rPr>
                <w:rStyle w:val="KonuBalChar"/>
                <w:rFonts w:eastAsia="ヒラギノ明朝 Pro W3"/>
                <w:b w:val="0"/>
                <w:color w:val="000000"/>
              </w:rPr>
              <w:t>168 inci</w:t>
            </w:r>
            <w:r w:rsidR="00587E3A" w:rsidRPr="00A23740">
              <w:rPr>
                <w:szCs w:val="24"/>
              </w:rPr>
              <w:t xml:space="preserve"> ve </w:t>
            </w:r>
            <w:r w:rsidR="00587E3A" w:rsidRPr="00D60C1D">
              <w:rPr>
                <w:rStyle w:val="KonuBalChar"/>
                <w:rFonts w:eastAsia="Calibri"/>
                <w:b w:val="0"/>
                <w:color w:val="000000"/>
              </w:rPr>
              <w:t>169 uncu</w:t>
            </w:r>
            <w:r w:rsidR="00587E3A" w:rsidRPr="00A23740">
              <w:rPr>
                <w:szCs w:val="24"/>
              </w:rPr>
              <w:t xml:space="preserve"> </w:t>
            </w:r>
            <w:r w:rsidRPr="00A23740">
              <w:rPr>
                <w:szCs w:val="24"/>
              </w:rPr>
              <w:t xml:space="preserve">maddelerine gönderme yapılmış; borçlunun kendisinin veya ailesinin geçimi için gerekli olan malların da deftere </w:t>
            </w:r>
            <w:r w:rsidRPr="00D60C1D">
              <w:rPr>
                <w:bCs/>
                <w:color w:val="000000"/>
                <w:szCs w:val="24"/>
                <w:lang w:val="x-none" w:eastAsia="x-none"/>
              </w:rPr>
              <w:t>kaydedilmekle birlikte</w:t>
            </w:r>
            <w:r w:rsidRPr="00A23740">
              <w:rPr>
                <w:b/>
                <w:bCs/>
                <w:color w:val="0000FF"/>
                <w:szCs w:val="24"/>
                <w:lang w:val="x-none" w:eastAsia="x-none"/>
              </w:rPr>
              <w:t xml:space="preserve"> </w:t>
            </w:r>
            <w:r w:rsidRPr="00A23740">
              <w:rPr>
                <w:szCs w:val="24"/>
              </w:rPr>
              <w:t xml:space="preserve">borçluya bırakılacağı düzenlenmiştir. </w:t>
            </w:r>
          </w:p>
          <w:p w:rsidR="00687220" w:rsidRPr="00A23740" w:rsidRDefault="00687220" w:rsidP="009431FF">
            <w:pPr>
              <w:tabs>
                <w:tab w:val="left" w:pos="567"/>
              </w:tabs>
              <w:ind w:firstLine="709"/>
              <w:rPr>
                <w:szCs w:val="24"/>
              </w:rPr>
            </w:pPr>
            <w:r w:rsidRPr="00A23740">
              <w:rPr>
                <w:szCs w:val="24"/>
              </w:rPr>
              <w:t>Tutulan defterin hüküm ve sonucu, Taslağın dördüncü fıkrasında düzenlenmiştir. Buna göre tutulan defter, hükmünü muhafaza ettiği sürece veya daha evvel takipte bulunan bütün alacaklıların kabulüyle</w:t>
            </w:r>
            <w:r w:rsidR="008D7E94" w:rsidRPr="00A23740">
              <w:rPr>
                <w:szCs w:val="24"/>
              </w:rPr>
              <w:t>,</w:t>
            </w:r>
            <w:r w:rsidRPr="00A23740">
              <w:rPr>
                <w:szCs w:val="24"/>
              </w:rPr>
              <w:t xml:space="preserve"> iflas müdürü tarafından iptal edilmedikçe borçluyu, kendisine bırakılan mallar hariç olmak üzere deftere geçirilenleri aynen veya istenildiği zamanki değerlerini, iflas dairesine vermekle yükümlü kılmaktadır. Aksi hâlde geçerli olacak cezai sonuç, hükmün dördüncü fıkrasında ilgili ceza normuna gönderme yapmak suretiyle düzenlenmiştir. </w:t>
            </w:r>
          </w:p>
          <w:p w:rsidR="00687220" w:rsidRPr="00A23740" w:rsidRDefault="00687220" w:rsidP="009431FF">
            <w:pPr>
              <w:tabs>
                <w:tab w:val="left" w:pos="567"/>
              </w:tabs>
              <w:ind w:firstLine="709"/>
              <w:rPr>
                <w:szCs w:val="24"/>
              </w:rPr>
            </w:pPr>
            <w:r w:rsidRPr="00A23740">
              <w:rPr>
                <w:szCs w:val="24"/>
              </w:rPr>
              <w:t xml:space="preserve">Taslak hükmün </w:t>
            </w:r>
            <w:r w:rsidR="004E08E2" w:rsidRPr="00D60C1D">
              <w:rPr>
                <w:rStyle w:val="YELChar"/>
                <w:b w:val="0"/>
                <w:color w:val="000000"/>
              </w:rPr>
              <w:t>beşinci</w:t>
            </w:r>
            <w:r w:rsidRPr="00A23740">
              <w:rPr>
                <w:szCs w:val="24"/>
              </w:rPr>
              <w:t xml:space="preserve"> fıkrasına göre</w:t>
            </w:r>
            <w:r w:rsidR="008D7E94" w:rsidRPr="00A23740">
              <w:rPr>
                <w:szCs w:val="24"/>
              </w:rPr>
              <w:t>,</w:t>
            </w:r>
            <w:r w:rsidRPr="00A23740">
              <w:rPr>
                <w:szCs w:val="24"/>
              </w:rPr>
              <w:t xml:space="preserve"> tutulan defterin hüküm ve sonuçları, mahkemece uzatılmadığı takdirde</w:t>
            </w:r>
            <w:r w:rsidR="008D7E94" w:rsidRPr="00A23740">
              <w:rPr>
                <w:szCs w:val="24"/>
              </w:rPr>
              <w:t>,</w:t>
            </w:r>
            <w:r w:rsidRPr="00A23740">
              <w:rPr>
                <w:szCs w:val="24"/>
              </w:rPr>
              <w:t xml:space="preserve"> tutulduğu andan itibaren 6 ay için geçerlidir. </w:t>
            </w:r>
            <w:r w:rsidR="004E08E2" w:rsidRPr="00A23740">
              <w:rPr>
                <w:szCs w:val="24"/>
              </w:rPr>
              <w:t xml:space="preserve">Tutulan </w:t>
            </w:r>
            <w:r w:rsidRPr="00A23740">
              <w:rPr>
                <w:szCs w:val="24"/>
              </w:rPr>
              <w:t xml:space="preserve">defter, iflas müdürünce ancak takipte bulunan tüm alacaklılarca da kabul edilirse iptal edilebilir.  </w:t>
            </w:r>
          </w:p>
          <w:p w:rsidR="00687220" w:rsidRPr="00A23740" w:rsidRDefault="00687220" w:rsidP="00DE5024">
            <w:pPr>
              <w:tabs>
                <w:tab w:val="left" w:pos="567"/>
              </w:tabs>
              <w:ind w:firstLine="709"/>
              <w:rPr>
                <w:b/>
                <w:szCs w:val="24"/>
              </w:rPr>
            </w:pPr>
            <w:r w:rsidRPr="00A23740">
              <w:rPr>
                <w:szCs w:val="24"/>
              </w:rPr>
              <w:t xml:space="preserve">Tutulacak defterin usul ve esaslarına ilişkin sair düzenlemeler, Adalet Bakanlığınca </w:t>
            </w:r>
            <w:r w:rsidR="004E08E2" w:rsidRPr="00D60C1D">
              <w:rPr>
                <w:rStyle w:val="YELChar"/>
                <w:b w:val="0"/>
                <w:color w:val="000000"/>
              </w:rPr>
              <w:t>çıkarılacak</w:t>
            </w:r>
            <w:r w:rsidRPr="00A23740">
              <w:rPr>
                <w:szCs w:val="24"/>
              </w:rPr>
              <w:t xml:space="preserve"> yönetmelikte </w:t>
            </w:r>
            <w:r w:rsidR="004E08E2" w:rsidRPr="00A23740">
              <w:rPr>
                <w:szCs w:val="24"/>
              </w:rPr>
              <w:t>ayrıca düzenlenecektir.</w:t>
            </w:r>
          </w:p>
          <w:p w:rsidR="00046430" w:rsidRPr="00A23740" w:rsidRDefault="00046430" w:rsidP="00DE5024">
            <w:pPr>
              <w:ind w:firstLine="1163"/>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b/>
                <w:strike/>
                <w:color w:val="FF0000"/>
                <w:szCs w:val="24"/>
              </w:rPr>
              <w:t>Masrafların peşin verilmesi:</w:t>
            </w:r>
          </w:p>
          <w:p w:rsidR="00AA5C8C" w:rsidRPr="00A23740" w:rsidRDefault="00AA5C8C" w:rsidP="009431FF">
            <w:pPr>
              <w:tabs>
                <w:tab w:val="left" w:pos="567"/>
              </w:tabs>
              <w:rPr>
                <w:b/>
                <w:strike/>
                <w:color w:val="FF0000"/>
                <w:szCs w:val="24"/>
              </w:rPr>
            </w:pPr>
            <w:r w:rsidRPr="00A23740">
              <w:rPr>
                <w:rStyle w:val="KIRMIZIChar"/>
                <w:rFonts w:eastAsia="Calibri"/>
              </w:rPr>
              <w:t>Madde 160 – (1) (Değişik</w:t>
            </w:r>
            <w:r w:rsidRPr="00A23740">
              <w:rPr>
                <w:b/>
                <w:strike/>
                <w:color w:val="FF0000"/>
                <w:szCs w:val="24"/>
              </w:rPr>
              <w:t>: 18/2/1965 - 538/77 md.)</w:t>
            </w:r>
          </w:p>
          <w:p w:rsidR="00AA5C8C" w:rsidRPr="00A23740" w:rsidRDefault="00AA5C8C" w:rsidP="009431FF">
            <w:pPr>
              <w:tabs>
                <w:tab w:val="left" w:pos="567"/>
              </w:tabs>
              <w:rPr>
                <w:szCs w:val="24"/>
              </w:rPr>
            </w:pPr>
            <w:r w:rsidRPr="00A23740">
              <w:rPr>
                <w:szCs w:val="24"/>
              </w:rPr>
              <w:t xml:space="preserve">İflas </w:t>
            </w:r>
            <w:r w:rsidRPr="00A23740">
              <w:rPr>
                <w:b/>
                <w:strike/>
                <w:color w:val="FF0000"/>
                <w:szCs w:val="24"/>
              </w:rPr>
              <w:t>isteyen alacaklı</w:t>
            </w:r>
            <w:r w:rsidRPr="00A23740">
              <w:rPr>
                <w:szCs w:val="24"/>
              </w:rPr>
              <w:t xml:space="preserve"> ilk alacaklılar toplantısına kadar olan </w:t>
            </w:r>
            <w:r w:rsidRPr="00A23740">
              <w:rPr>
                <w:rStyle w:val="KIRMIZIChar"/>
                <w:rFonts w:eastAsia="Calibri"/>
              </w:rPr>
              <w:t>masraflardan</w:t>
            </w:r>
            <w:r w:rsidRPr="00A23740">
              <w:rPr>
                <w:szCs w:val="24"/>
              </w:rPr>
              <w:t xml:space="preserve"> </w:t>
            </w:r>
            <w:r w:rsidRPr="00A23740">
              <w:rPr>
                <w:rStyle w:val="KIRMIZIChar"/>
                <w:rFonts w:eastAsia="Calibri"/>
              </w:rPr>
              <w:t>sorumludur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 xml:space="preserve">(2) (Değişik: 9/11/1988 - 3494/27 md.) Mahkeme, bu masraflar ile iflas kararının kanun yolları için gerekli bütün tebliğ masraflarının peşin verilmesini ister. </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jc w:val="center"/>
              <w:rPr>
                <w:b/>
                <w:color w:val="0000FF"/>
                <w:szCs w:val="24"/>
              </w:rPr>
            </w:pPr>
            <w:r w:rsidRPr="00A23740">
              <w:rPr>
                <w:b/>
                <w:color w:val="0000FF"/>
                <w:szCs w:val="24"/>
              </w:rPr>
              <w:t>DÖRDÜNCÜ AYRIM</w:t>
            </w:r>
          </w:p>
          <w:p w:rsidR="00AA5C8C" w:rsidRPr="00A23740" w:rsidRDefault="00AA5C8C" w:rsidP="009431FF">
            <w:pPr>
              <w:tabs>
                <w:tab w:val="left" w:pos="567"/>
              </w:tabs>
              <w:jc w:val="center"/>
              <w:rPr>
                <w:b/>
                <w:color w:val="0000FF"/>
                <w:szCs w:val="24"/>
              </w:rPr>
            </w:pPr>
            <w:r w:rsidRPr="00A23740">
              <w:rPr>
                <w:b/>
                <w:color w:val="0000FF"/>
                <w:szCs w:val="24"/>
              </w:rPr>
              <w:t>İflas Giderleri</w:t>
            </w:r>
          </w:p>
          <w:p w:rsidR="00AA5C8C" w:rsidRPr="00A23740" w:rsidRDefault="00AA5C8C" w:rsidP="009431FF">
            <w:pPr>
              <w:tabs>
                <w:tab w:val="left" w:pos="567"/>
              </w:tabs>
              <w:jc w:val="center"/>
              <w:rPr>
                <w:b/>
                <w:color w:val="0000FF"/>
                <w:szCs w:val="24"/>
              </w:rPr>
            </w:pPr>
          </w:p>
          <w:p w:rsidR="00AA5C8C" w:rsidRPr="00A23740" w:rsidRDefault="00AA5C8C" w:rsidP="009431FF">
            <w:pPr>
              <w:tabs>
                <w:tab w:val="left" w:pos="567"/>
              </w:tabs>
              <w:rPr>
                <w:b/>
                <w:color w:val="0000FF"/>
                <w:szCs w:val="24"/>
              </w:rPr>
            </w:pPr>
            <w:r w:rsidRPr="00A23740">
              <w:rPr>
                <w:b/>
                <w:color w:val="0000FF"/>
                <w:szCs w:val="24"/>
              </w:rPr>
              <w:t>İflas giderleri</w:t>
            </w:r>
          </w:p>
          <w:p w:rsidR="00AA5C8C" w:rsidRPr="00A23740" w:rsidRDefault="00490C3E" w:rsidP="009431FF">
            <w:pPr>
              <w:tabs>
                <w:tab w:val="left" w:pos="567"/>
              </w:tabs>
              <w:rPr>
                <w:szCs w:val="24"/>
              </w:rPr>
            </w:pPr>
            <w:r w:rsidRPr="00A23740">
              <w:rPr>
                <w:rStyle w:val="MAVChar"/>
                <w:rFonts w:eastAsia="Calibri"/>
                <w:u w:val="none"/>
              </w:rPr>
              <w:t>MADDE 281</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 xml:space="preserve">İflas </w:t>
            </w:r>
            <w:r w:rsidR="00AA5C8C" w:rsidRPr="00A23740">
              <w:rPr>
                <w:b/>
                <w:color w:val="0000FF"/>
                <w:szCs w:val="24"/>
              </w:rPr>
              <w:t>talebinde bulunan, iflas kararının tebliği giderleri de dahil olmak üzere</w:t>
            </w:r>
            <w:r w:rsidR="00AA5C8C" w:rsidRPr="00A23740">
              <w:rPr>
                <w:szCs w:val="24"/>
              </w:rPr>
              <w:t xml:space="preserve"> ilk alacaklılar toplantısına kadar </w:t>
            </w:r>
            <w:r w:rsidR="00AA5C8C" w:rsidRPr="00A23740">
              <w:rPr>
                <w:b/>
                <w:color w:val="0000FF"/>
                <w:szCs w:val="24"/>
              </w:rPr>
              <w:t>gerekli</w:t>
            </w:r>
            <w:r w:rsidR="00AA5C8C" w:rsidRPr="00A23740">
              <w:rPr>
                <w:szCs w:val="24"/>
              </w:rPr>
              <w:t xml:space="preserve"> olan </w:t>
            </w:r>
            <w:r w:rsidR="00AA5C8C" w:rsidRPr="00A23740">
              <w:rPr>
                <w:b/>
                <w:color w:val="0000FF"/>
                <w:szCs w:val="24"/>
              </w:rPr>
              <w:t>ve Adalet Bakanlığı tarafından çıkarılacak tarifeyle belirlenen iflas</w:t>
            </w:r>
            <w:r w:rsidR="002A0324" w:rsidRPr="00A23740">
              <w:rPr>
                <w:b/>
                <w:color w:val="538135"/>
                <w:szCs w:val="24"/>
              </w:rPr>
              <w:t xml:space="preserve"> </w:t>
            </w:r>
            <w:r w:rsidR="002A0324" w:rsidRPr="009D0B93">
              <w:rPr>
                <w:rStyle w:val="Balk1Char"/>
                <w:rFonts w:eastAsia="Calibri"/>
              </w:rPr>
              <w:t>giderlerini ödemek zorundadır.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rStyle w:val="MaviChar"/>
              </w:rPr>
              <w:t>(2)</w:t>
            </w:r>
            <w:r w:rsidRPr="00A23740">
              <w:rPr>
                <w:szCs w:val="24"/>
              </w:rPr>
              <w:t xml:space="preserve"> </w:t>
            </w:r>
            <w:r w:rsidRPr="00A23740">
              <w:rPr>
                <w:b/>
                <w:color w:val="0000FF"/>
                <w:szCs w:val="24"/>
              </w:rPr>
              <w:t>Mahkeme,</w:t>
            </w:r>
            <w:r w:rsidR="00923924" w:rsidRPr="00A23740">
              <w:rPr>
                <w:b/>
                <w:color w:val="0000FF"/>
                <w:szCs w:val="24"/>
              </w:rPr>
              <w:t xml:space="preserve"> </w:t>
            </w:r>
            <w:r w:rsidR="00923924" w:rsidRPr="009D0B93">
              <w:rPr>
                <w:rStyle w:val="MaviChar"/>
              </w:rPr>
              <w:t>depo kararının gereğinin yerine getirilmemesi üzerine ve</w:t>
            </w:r>
            <w:r w:rsidRPr="00A23740">
              <w:rPr>
                <w:b/>
                <w:color w:val="0000FF"/>
                <w:szCs w:val="24"/>
              </w:rPr>
              <w:t xml:space="preserve"> iflasa karar vermeden önce, iflas talebinde bulunana iflas giderlerinin ödenmesi için kesin süre verir. Giderler, verilen kesin süre içinde yatırılmazsa, mahkemece iflas talebinin usulden reddine karar verilir. İflas </w:t>
            </w:r>
            <w:r w:rsidR="001D1273" w:rsidRPr="009D0B93">
              <w:rPr>
                <w:rStyle w:val="MaviChar"/>
              </w:rPr>
              <w:t>ta</w:t>
            </w:r>
            <w:r w:rsidR="002A0324" w:rsidRPr="009D0B93">
              <w:rPr>
                <w:rStyle w:val="MaviChar"/>
              </w:rPr>
              <w:t>lebinde bulunmanın</w:t>
            </w:r>
            <w:r w:rsidRPr="00A23740">
              <w:rPr>
                <w:b/>
                <w:color w:val="0000FF"/>
                <w:szCs w:val="24"/>
              </w:rPr>
              <w:t xml:space="preserve"> zorunlu olduğu h</w:t>
            </w:r>
            <w:r w:rsidR="00E007E6" w:rsidRPr="00A23740">
              <w:rPr>
                <w:b/>
                <w:color w:val="0000FF"/>
                <w:szCs w:val="24"/>
              </w:rPr>
              <w:t>â</w:t>
            </w:r>
            <w:r w:rsidRPr="00A23740">
              <w:rPr>
                <w:b/>
                <w:color w:val="0000FF"/>
                <w:szCs w:val="24"/>
              </w:rPr>
              <w:t>llerde, giderler verilen kesin süre içinde yatırılmazsa, ileride masadan alın</w:t>
            </w:r>
            <w:r w:rsidR="00327FAD" w:rsidRPr="00A23740">
              <w:rPr>
                <w:b/>
                <w:color w:val="0000FF"/>
                <w:szCs w:val="24"/>
              </w:rPr>
              <w:t>mak üzere Hazineden karşılanır.</w:t>
            </w:r>
          </w:p>
          <w:p w:rsidR="00AA5C8C" w:rsidRPr="00A23740" w:rsidRDefault="00AA5C8C" w:rsidP="009431FF">
            <w:pPr>
              <w:tabs>
                <w:tab w:val="left" w:pos="567"/>
              </w:tabs>
              <w:rPr>
                <w:b/>
                <w:color w:val="0000FF"/>
                <w:szCs w:val="24"/>
              </w:rPr>
            </w:pPr>
          </w:p>
          <w:p w:rsidR="00AA5C8C" w:rsidRPr="00A23740" w:rsidRDefault="00AA5C8C" w:rsidP="009431FF">
            <w:pPr>
              <w:pStyle w:val="Mavi"/>
            </w:pPr>
            <w:r w:rsidRPr="00A23740">
              <w:t>(</w:t>
            </w:r>
            <w:r w:rsidRPr="00A23740">
              <w:rPr>
                <w:lang w:val="tr-TR"/>
              </w:rPr>
              <w:t>3</w:t>
            </w:r>
            <w:r w:rsidRPr="00A23740">
              <w:t>) İflas giderlerinin alacaklı veya Hazine</w:t>
            </w:r>
            <w:r w:rsidRPr="00A23740">
              <w:rPr>
                <w:lang w:val="tr-TR"/>
              </w:rPr>
              <w:t xml:space="preserve"> </w:t>
            </w:r>
            <w:r w:rsidRPr="00A23740">
              <w:t>tarafından karşılanması h</w:t>
            </w:r>
            <w:r w:rsidR="00E007E6" w:rsidRPr="00A23740">
              <w:rPr>
                <w:lang w:val="tr-TR"/>
              </w:rPr>
              <w:t>â</w:t>
            </w:r>
            <w:r w:rsidRPr="00A23740">
              <w:t>linde bu giderler</w:t>
            </w:r>
            <w:r w:rsidR="00587E3A" w:rsidRPr="00A23740">
              <w:rPr>
                <w:lang w:val="tr-TR"/>
              </w:rPr>
              <w:t xml:space="preserve"> </w:t>
            </w:r>
            <w:r w:rsidR="00587E3A" w:rsidRPr="009D0B93">
              <w:t>365 inci</w:t>
            </w:r>
            <w:r w:rsidRPr="00A23740">
              <w:rPr>
                <w:lang w:val="tr-TR"/>
              </w:rPr>
              <w:t xml:space="preserve"> </w:t>
            </w:r>
            <w:r w:rsidRPr="00A23740">
              <w:t>madde anlamında masa borcu sayılır.</w:t>
            </w:r>
          </w:p>
          <w:p w:rsidR="00AA5C8C" w:rsidRPr="00A23740" w:rsidRDefault="00AA5C8C" w:rsidP="009431FF">
            <w:pPr>
              <w:pStyle w:val="KIRMIZI"/>
              <w:rPr>
                <w:lang w:val="tr-TR"/>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46430" w:rsidRPr="00A23740" w:rsidRDefault="00046430" w:rsidP="009431FF">
            <w:pPr>
              <w:ind w:firstLine="709"/>
              <w:rPr>
                <w:rFonts w:eastAsia="Times New Roman"/>
                <w:b/>
                <w:bCs/>
                <w:szCs w:val="24"/>
                <w:lang w:eastAsia="tr-TR"/>
              </w:rPr>
            </w:pPr>
          </w:p>
          <w:p w:rsidR="00687220" w:rsidRPr="00A23740" w:rsidRDefault="00687220" w:rsidP="009431FF">
            <w:pPr>
              <w:tabs>
                <w:tab w:val="left" w:pos="567"/>
              </w:tabs>
              <w:ind w:firstLine="709"/>
              <w:rPr>
                <w:b/>
                <w:szCs w:val="24"/>
              </w:rPr>
            </w:pPr>
            <w:r w:rsidRPr="00A23740">
              <w:rPr>
                <w:b/>
              </w:rPr>
              <w:t>MADDE 281-</w:t>
            </w:r>
            <w:r w:rsidRPr="00A23740">
              <w:t xml:space="preserve"> Maddeyle, iflas yoluyla takipte </w:t>
            </w:r>
            <w:r w:rsidRPr="00A23740">
              <w:rPr>
                <w:szCs w:val="24"/>
              </w:rPr>
              <w:t xml:space="preserve">iflas giderlerine ilişkin hususlar düzenlenmektedir. Hüküm, 2004 sayılı Kanunun 160 ıncı maddesine karşılık gelmektedir. </w:t>
            </w:r>
          </w:p>
          <w:p w:rsidR="00687220" w:rsidRPr="00A23740" w:rsidRDefault="00687220" w:rsidP="009431FF">
            <w:pPr>
              <w:tabs>
                <w:tab w:val="left" w:pos="567"/>
              </w:tabs>
              <w:ind w:firstLine="709"/>
              <w:rPr>
                <w:szCs w:val="24"/>
              </w:rPr>
            </w:pPr>
            <w:r w:rsidRPr="00A23740">
              <w:rPr>
                <w:szCs w:val="24"/>
              </w:rPr>
              <w:t xml:space="preserve">İflas yoluyla takipte, iflas kararına kadar geçen süreçte Taslak, dördüncü ayrımda tek bir maddeden ibaret olacak şekilde, iflas giderlerine yer vermiştir. Esasen meselenin burada ve bu sırayla ele alınmasının özel bir anlamı vardır. Buna göre ve birinci fıkra gereğince iflas talebinde bulunan takip alacaklısı, Adalet Bakanlığınca hazırlanacak tarife gereğince iflas kararının tebliği de dahil olmak üzere ilk alacaklılar toplantısına kadar gerekli </w:t>
            </w:r>
            <w:r w:rsidR="00DA3997" w:rsidRPr="00A23740">
              <w:rPr>
                <w:szCs w:val="24"/>
              </w:rPr>
              <w:t xml:space="preserve">olacak </w:t>
            </w:r>
            <w:r w:rsidRPr="00A23740">
              <w:rPr>
                <w:szCs w:val="24"/>
              </w:rPr>
              <w:t xml:space="preserve">giderleri, iflas kararından evvel ödemek zorundadır. </w:t>
            </w:r>
          </w:p>
          <w:p w:rsidR="00687220" w:rsidRPr="00A23740" w:rsidRDefault="00687220" w:rsidP="009431FF">
            <w:pPr>
              <w:tabs>
                <w:tab w:val="left" w:pos="567"/>
              </w:tabs>
              <w:ind w:firstLine="709"/>
              <w:rPr>
                <w:szCs w:val="24"/>
              </w:rPr>
            </w:pPr>
            <w:r w:rsidRPr="00A23740">
              <w:rPr>
                <w:szCs w:val="24"/>
              </w:rPr>
              <w:t xml:space="preserve">Söz konusu giderlerin iflas davası içinde ne zaman ödenmesi gerektiği hakkında, </w:t>
            </w:r>
            <w:r w:rsidR="0021187A" w:rsidRPr="00D60C1D">
              <w:rPr>
                <w:rStyle w:val="YELChar"/>
                <w:b w:val="0"/>
                <w:color w:val="000000"/>
              </w:rPr>
              <w:t>2004 sayılı Kanunun</w:t>
            </w:r>
            <w:r w:rsidRPr="00A23740">
              <w:rPr>
                <w:szCs w:val="24"/>
              </w:rPr>
              <w:t xml:space="preserve"> 160 ıncı maddesinin yorumuyla ilgili olarak m</w:t>
            </w:r>
            <w:r w:rsidR="0021187A" w:rsidRPr="00A23740">
              <w:rPr>
                <w:szCs w:val="24"/>
              </w:rPr>
              <w:t>evcut uygulamaya yeni</w:t>
            </w:r>
            <w:r w:rsidRPr="00A23740">
              <w:rPr>
                <w:szCs w:val="24"/>
              </w:rPr>
              <w:t xml:space="preserve">den bir yön vermek amacıyla hükmün ikinci fıkrasında özel bir düzenlemeye yer verilmiştir. Buna göre mahkemece, davanın başında değil; ancak iflasa karar verilmezden evvel birinci fıkra gereğince </w:t>
            </w:r>
            <w:r w:rsidR="0021187A" w:rsidRPr="00D60C1D">
              <w:rPr>
                <w:rStyle w:val="YELChar"/>
                <w:b w:val="0"/>
                <w:color w:val="000000"/>
              </w:rPr>
              <w:t>hesaplanacak</w:t>
            </w:r>
            <w:r w:rsidRPr="00A23740">
              <w:rPr>
                <w:szCs w:val="24"/>
              </w:rPr>
              <w:t xml:space="preserve"> iflas giderinin ödenmesi amacıyla davacı alacaklıya kesin süre verilecektir. Kesin süre içinde kararın gereği </w:t>
            </w:r>
            <w:r w:rsidR="00DA3997" w:rsidRPr="00A23740">
              <w:rPr>
                <w:szCs w:val="24"/>
              </w:rPr>
              <w:t xml:space="preserve">yerine getirilmediği </w:t>
            </w:r>
            <w:r w:rsidRPr="00A23740">
              <w:rPr>
                <w:szCs w:val="24"/>
              </w:rPr>
              <w:t>takdirde iflas talebi, usulden</w:t>
            </w:r>
            <w:r w:rsidR="00DA3997" w:rsidRPr="00A23740">
              <w:rPr>
                <w:szCs w:val="24"/>
              </w:rPr>
              <w:t>reddedilecektir</w:t>
            </w:r>
            <w:r w:rsidRPr="00A23740">
              <w:rPr>
                <w:szCs w:val="24"/>
              </w:rPr>
              <w:t xml:space="preserve">. Takipli iflas yönünden geçerli </w:t>
            </w:r>
            <w:r w:rsidR="00DA3997" w:rsidRPr="00A23740">
              <w:rPr>
                <w:szCs w:val="24"/>
              </w:rPr>
              <w:t xml:space="preserve">olan </w:t>
            </w:r>
            <w:r w:rsidRPr="00A23740">
              <w:rPr>
                <w:szCs w:val="24"/>
              </w:rPr>
              <w:t>bu ilke</w:t>
            </w:r>
            <w:r w:rsidRPr="00D60C1D">
              <w:rPr>
                <w:rStyle w:val="YELChar"/>
                <w:b w:val="0"/>
                <w:color w:val="000000"/>
              </w:rPr>
              <w:t>,</w:t>
            </w:r>
            <w:r w:rsidR="001D1273" w:rsidRPr="00D60C1D">
              <w:rPr>
                <w:rStyle w:val="YELChar"/>
                <w:b w:val="0"/>
                <w:color w:val="000000"/>
              </w:rPr>
              <w:t xml:space="preserve"> </w:t>
            </w:r>
            <w:r w:rsidR="00DA3997" w:rsidRPr="00D60C1D">
              <w:rPr>
                <w:rStyle w:val="YELChar"/>
                <w:b w:val="0"/>
                <w:color w:val="000000"/>
              </w:rPr>
              <w:t xml:space="preserve">2004 sayılı Kanun </w:t>
            </w:r>
            <w:r w:rsidR="001D1273" w:rsidRPr="00D60C1D">
              <w:rPr>
                <w:rStyle w:val="YELChar"/>
                <w:b w:val="0"/>
                <w:color w:val="000000"/>
              </w:rPr>
              <w:t>ve ilgili diğer özel k</w:t>
            </w:r>
            <w:r w:rsidR="0021187A" w:rsidRPr="00D60C1D">
              <w:rPr>
                <w:rStyle w:val="YELChar"/>
                <w:b w:val="0"/>
                <w:color w:val="000000"/>
              </w:rPr>
              <w:t>anunlar gereğince</w:t>
            </w:r>
            <w:r w:rsidRPr="00A23740">
              <w:rPr>
                <w:szCs w:val="24"/>
              </w:rPr>
              <w:t xml:space="preserve"> iflas talebinde bulunmanın zorunlu olduğu </w:t>
            </w:r>
            <w:r w:rsidR="0021187A" w:rsidRPr="00D60C1D">
              <w:rPr>
                <w:rStyle w:val="YELChar"/>
                <w:b w:val="0"/>
                <w:color w:val="000000"/>
              </w:rPr>
              <w:t>hâller bakımından</w:t>
            </w:r>
            <w:r w:rsidRPr="00A23740">
              <w:rPr>
                <w:szCs w:val="24"/>
              </w:rPr>
              <w:t xml:space="preserve"> değiştirilmiş ve söz konusu giderlerin verilen kesin süre içinde yatırılmaması </w:t>
            </w:r>
            <w:r w:rsidR="0021187A" w:rsidRPr="00D60C1D">
              <w:rPr>
                <w:rStyle w:val="YELChar"/>
                <w:b w:val="0"/>
                <w:color w:val="000000"/>
              </w:rPr>
              <w:t>üzerine,</w:t>
            </w:r>
            <w:r w:rsidR="0021187A" w:rsidRPr="00A23740">
              <w:rPr>
                <w:szCs w:val="24"/>
              </w:rPr>
              <w:t xml:space="preserve"> </w:t>
            </w:r>
            <w:r w:rsidRPr="00A23740">
              <w:rPr>
                <w:szCs w:val="24"/>
              </w:rPr>
              <w:t>ileride masadan alınmak üzere Hazineden karşılanması esası benimsenmiştir.</w:t>
            </w:r>
          </w:p>
          <w:p w:rsidR="00687220" w:rsidRPr="00A23740" w:rsidRDefault="00687220" w:rsidP="009431FF">
            <w:pPr>
              <w:tabs>
                <w:tab w:val="left" w:pos="567"/>
              </w:tabs>
              <w:ind w:firstLine="709"/>
              <w:rPr>
                <w:szCs w:val="24"/>
              </w:rPr>
            </w:pPr>
            <w:r w:rsidRPr="00A23740">
              <w:rPr>
                <w:szCs w:val="24"/>
              </w:rPr>
              <w:t xml:space="preserve">Taslağın üçüncü ve son fıkrası, yine bir konuya daha açıklık getirerek yatırılan iflas giderlerinin açılacak iflas içinde, paraların paylaştırılması sırasında, bir masa borcu olarak değerlendirileceğini hükme bağlamıştır.     </w:t>
            </w:r>
          </w:p>
          <w:p w:rsidR="00046430" w:rsidRPr="00A23740" w:rsidRDefault="00046430" w:rsidP="00DE5024">
            <w:pPr>
              <w:ind w:firstLine="1163"/>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t xml:space="preserve">İflas </w:t>
            </w:r>
            <w:r w:rsidRPr="00A23740">
              <w:rPr>
                <w:rStyle w:val="KIRMIZIChar"/>
                <w:rFonts w:eastAsia="Calibri"/>
              </w:rPr>
              <w:t>tarihi:</w:t>
            </w:r>
          </w:p>
          <w:p w:rsidR="00AA5C8C" w:rsidRPr="00A23740" w:rsidRDefault="00AA5C8C" w:rsidP="009431FF">
            <w:pPr>
              <w:tabs>
                <w:tab w:val="left" w:pos="567"/>
              </w:tabs>
              <w:rPr>
                <w:szCs w:val="24"/>
              </w:rPr>
            </w:pPr>
            <w:r w:rsidRPr="00A23740">
              <w:rPr>
                <w:rStyle w:val="KIRMIZIChar"/>
                <w:rFonts w:eastAsia="Calibri"/>
              </w:rPr>
              <w:t>Madde 165 – (1)</w:t>
            </w:r>
            <w:r w:rsidRPr="00A23740">
              <w:rPr>
                <w:b/>
                <w:szCs w:val="24"/>
              </w:rPr>
              <w:t xml:space="preserve"> </w:t>
            </w:r>
            <w:r w:rsidRPr="00A23740">
              <w:rPr>
                <w:szCs w:val="24"/>
              </w:rPr>
              <w:t>İflas hükümle açılır ve bu hükümde açılma anı gösterilir.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 (Ek: 9/11/1988 - 3494/29 md.)</w:t>
            </w:r>
            <w:r w:rsidRPr="00A23740">
              <w:rPr>
                <w:szCs w:val="24"/>
              </w:rPr>
              <w:t xml:space="preserve"> İflasa karar verilmesinden sonra iflas davasından feragat </w:t>
            </w:r>
            <w:r w:rsidRPr="00A23740">
              <w:rPr>
                <w:b/>
                <w:strike/>
                <w:color w:val="FF0000"/>
                <w:szCs w:val="24"/>
              </w:rPr>
              <w:t>geçersizdir</w:t>
            </w:r>
            <w:r w:rsidRPr="00A23740">
              <w:rPr>
                <w:szCs w:val="24"/>
              </w:rPr>
              <w:t>.</w:t>
            </w:r>
          </w:p>
        </w:tc>
        <w:tc>
          <w:tcPr>
            <w:tcW w:w="2500" w:type="pct"/>
          </w:tcPr>
          <w:p w:rsidR="00AA5C8C" w:rsidRPr="00A23740" w:rsidRDefault="00AA5C8C" w:rsidP="009431FF">
            <w:pPr>
              <w:tabs>
                <w:tab w:val="left" w:pos="567"/>
              </w:tabs>
              <w:jc w:val="center"/>
              <w:rPr>
                <w:b/>
                <w:color w:val="0000FF"/>
                <w:szCs w:val="24"/>
              </w:rPr>
            </w:pPr>
            <w:r w:rsidRPr="00A23740">
              <w:rPr>
                <w:b/>
                <w:color w:val="0000FF"/>
                <w:szCs w:val="24"/>
              </w:rPr>
              <w:t>BEŞİNCİ AYRIM</w:t>
            </w:r>
          </w:p>
          <w:p w:rsidR="00AA5C8C" w:rsidRPr="00A23740" w:rsidRDefault="00AA5C8C" w:rsidP="009431FF">
            <w:pPr>
              <w:tabs>
                <w:tab w:val="left" w:pos="567"/>
              </w:tabs>
              <w:jc w:val="center"/>
              <w:rPr>
                <w:b/>
                <w:color w:val="0000FF"/>
                <w:szCs w:val="24"/>
              </w:rPr>
            </w:pPr>
            <w:r w:rsidRPr="00A23740">
              <w:rPr>
                <w:b/>
                <w:color w:val="0000FF"/>
                <w:szCs w:val="24"/>
              </w:rPr>
              <w:t>İflas Kararı ve Sonuçları</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szCs w:val="24"/>
              </w:rPr>
              <w:t>İflas</w:t>
            </w:r>
            <w:r w:rsidRPr="00A23740">
              <w:rPr>
                <w:b/>
                <w:color w:val="0000FF"/>
                <w:szCs w:val="24"/>
              </w:rPr>
              <w:t>ın</w:t>
            </w:r>
            <w:r w:rsidRPr="00A23740">
              <w:rPr>
                <w:szCs w:val="24"/>
              </w:rPr>
              <w:t xml:space="preserve"> </w:t>
            </w:r>
            <w:r w:rsidRPr="00A23740">
              <w:rPr>
                <w:b/>
                <w:color w:val="0000FF"/>
                <w:szCs w:val="24"/>
              </w:rPr>
              <w:t xml:space="preserve">açılması </w:t>
            </w:r>
          </w:p>
          <w:p w:rsidR="00AA5C8C" w:rsidRPr="00A23740" w:rsidRDefault="00490C3E" w:rsidP="009431FF">
            <w:pPr>
              <w:tabs>
                <w:tab w:val="left" w:pos="567"/>
              </w:tabs>
              <w:rPr>
                <w:b/>
                <w:color w:val="0000FF"/>
                <w:szCs w:val="24"/>
              </w:rPr>
            </w:pPr>
            <w:r w:rsidRPr="00A23740">
              <w:rPr>
                <w:b/>
                <w:color w:val="0000FF"/>
                <w:szCs w:val="24"/>
              </w:rPr>
              <w:t>MADDE 282</w:t>
            </w:r>
            <w:r w:rsidR="00AA5C8C" w:rsidRPr="00A23740">
              <w:rPr>
                <w:b/>
                <w:color w:val="0000FF"/>
                <w:szCs w:val="24"/>
              </w:rPr>
              <w:t xml:space="preserve">- (1) </w:t>
            </w:r>
            <w:r w:rsidR="00AA5C8C" w:rsidRPr="00A23740">
              <w:rPr>
                <w:szCs w:val="24"/>
              </w:rPr>
              <w:t>İflas</w:t>
            </w:r>
            <w:r w:rsidR="00AA5C8C" w:rsidRPr="00A23740">
              <w:rPr>
                <w:rStyle w:val="MaviChar"/>
              </w:rPr>
              <w:t>,</w:t>
            </w:r>
            <w:r w:rsidR="00AA5C8C" w:rsidRPr="00A23740">
              <w:rPr>
                <w:szCs w:val="24"/>
              </w:rPr>
              <w:t xml:space="preserve"> hükümle açılır ve bu hükümde açılma anı gösterilir. </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(2) </w:t>
            </w:r>
            <w:r w:rsidRPr="00A23740">
              <w:rPr>
                <w:szCs w:val="24"/>
              </w:rPr>
              <w:t xml:space="preserve">İflasa karar verilmesinden sonra </w:t>
            </w:r>
            <w:r w:rsidRPr="00A23740">
              <w:rPr>
                <w:rStyle w:val="MaviChar"/>
              </w:rPr>
              <w:t>iflas davası</w:t>
            </w:r>
            <w:r w:rsidRPr="00A23740">
              <w:rPr>
                <w:b/>
                <w:color w:val="0000FF"/>
                <w:szCs w:val="24"/>
              </w:rPr>
              <w:t xml:space="preserve"> geri alınamaz ve </w:t>
            </w:r>
            <w:r w:rsidRPr="00A23740">
              <w:rPr>
                <w:szCs w:val="24"/>
              </w:rPr>
              <w:t xml:space="preserve">iflas davasından feragat </w:t>
            </w:r>
            <w:r w:rsidRPr="00A23740">
              <w:rPr>
                <w:b/>
                <w:color w:val="0000FF"/>
                <w:szCs w:val="24"/>
              </w:rPr>
              <w:t>edilemez.</w:t>
            </w:r>
          </w:p>
          <w:p w:rsidR="00AA5C8C" w:rsidRPr="00A23740" w:rsidRDefault="00AA5C8C" w:rsidP="009431FF">
            <w:pPr>
              <w:tabs>
                <w:tab w:val="left" w:pos="567"/>
              </w:tabs>
              <w:rPr>
                <w:b/>
                <w:color w:val="FF0000"/>
                <w:szCs w:val="24"/>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46430" w:rsidRPr="00A23740" w:rsidRDefault="00046430" w:rsidP="009431FF">
            <w:pPr>
              <w:ind w:firstLine="709"/>
              <w:rPr>
                <w:rFonts w:eastAsia="Times New Roman"/>
                <w:b/>
                <w:bCs/>
                <w:szCs w:val="24"/>
                <w:lang w:eastAsia="tr-TR"/>
              </w:rPr>
            </w:pPr>
          </w:p>
          <w:p w:rsidR="00687220" w:rsidRPr="00A23740" w:rsidRDefault="00687220" w:rsidP="009431FF">
            <w:pPr>
              <w:tabs>
                <w:tab w:val="left" w:pos="567"/>
              </w:tabs>
              <w:ind w:firstLine="709"/>
              <w:rPr>
                <w:b/>
                <w:szCs w:val="24"/>
              </w:rPr>
            </w:pPr>
            <w:r w:rsidRPr="00A23740">
              <w:rPr>
                <w:b/>
              </w:rPr>
              <w:t>MADDE 282-</w:t>
            </w:r>
            <w:r w:rsidRPr="00A23740">
              <w:t xml:space="preserve"> Maddeyle, iflas yoluyla takipte </w:t>
            </w:r>
            <w:r w:rsidRPr="00A23740">
              <w:rPr>
                <w:szCs w:val="24"/>
              </w:rPr>
              <w:t>iflasın açılmasına ilişkin hususlar düzenlenmektedir.</w:t>
            </w:r>
            <w:r w:rsidRPr="00A23740">
              <w:rPr>
                <w:rStyle w:val="KIRMIZIChar"/>
                <w:rFonts w:eastAsia="Calibri"/>
                <w:strike w:val="0"/>
              </w:rPr>
              <w:t xml:space="preserve"> </w:t>
            </w:r>
            <w:r w:rsidRPr="00A23740">
              <w:rPr>
                <w:szCs w:val="24"/>
              </w:rPr>
              <w:t xml:space="preserve">İflas kararı ve sonuçları hakkında 2004 </w:t>
            </w:r>
            <w:r w:rsidR="00214F20" w:rsidRPr="00D60C1D">
              <w:rPr>
                <w:rStyle w:val="YELChar"/>
                <w:b w:val="0"/>
                <w:color w:val="000000"/>
              </w:rPr>
              <w:t>sayılı Kanunun</w:t>
            </w:r>
            <w:r w:rsidRPr="00A23740">
              <w:rPr>
                <w:szCs w:val="24"/>
              </w:rPr>
              <w:t xml:space="preserve"> 165 inci maddesi hükmü takip edilmiş ve iflasın hükümle birlikte açılması, kararın </w:t>
            </w:r>
            <w:r w:rsidR="00DF22A1" w:rsidRPr="00A23740">
              <w:rPr>
                <w:szCs w:val="24"/>
              </w:rPr>
              <w:t xml:space="preserve">derhâl </w:t>
            </w:r>
            <w:r w:rsidRPr="00A23740">
              <w:rPr>
                <w:szCs w:val="24"/>
              </w:rPr>
              <w:t>sonuç doğurması esası aynen korunmuştur</w:t>
            </w:r>
            <w:r w:rsidRPr="009D0B93">
              <w:rPr>
                <w:szCs w:val="24"/>
              </w:rPr>
              <w:t>.</w:t>
            </w:r>
            <w:r w:rsidR="00214F20" w:rsidRPr="009D0B93">
              <w:rPr>
                <w:szCs w:val="24"/>
              </w:rPr>
              <w:t xml:space="preserve"> </w:t>
            </w:r>
            <w:r w:rsidR="001D1273" w:rsidRPr="009D0B93">
              <w:rPr>
                <w:szCs w:val="24"/>
              </w:rPr>
              <w:t>İflas kararında iflasın açılma a</w:t>
            </w:r>
            <w:r w:rsidR="00214F20" w:rsidRPr="009D0B93">
              <w:rPr>
                <w:szCs w:val="24"/>
              </w:rPr>
              <w:t>nının gün, saat ve dakika olarak tutanakta gösterilmesi de gerekir.</w:t>
            </w:r>
            <w:r w:rsidR="00214F20" w:rsidRPr="00A23740">
              <w:rPr>
                <w:szCs w:val="24"/>
              </w:rPr>
              <w:t xml:space="preserve"> </w:t>
            </w:r>
            <w:r w:rsidRPr="00A23740">
              <w:rPr>
                <w:szCs w:val="24"/>
              </w:rPr>
              <w:t>Bu nedenle de</w:t>
            </w:r>
            <w:r w:rsidR="00214F20" w:rsidRPr="00A23740">
              <w:rPr>
                <w:szCs w:val="24"/>
              </w:rPr>
              <w:t xml:space="preserve"> </w:t>
            </w:r>
            <w:r w:rsidRPr="00A23740">
              <w:rPr>
                <w:szCs w:val="24"/>
              </w:rPr>
              <w:t xml:space="preserve">iflasa karar verildikten sonra takip alacaklısının tek başına ne davasını geri alması ne de davasından feragat etmesi, </w:t>
            </w:r>
            <w:r w:rsidR="00214F20" w:rsidRPr="009D0B93">
              <w:rPr>
                <w:szCs w:val="24"/>
              </w:rPr>
              <w:t>mümkündür</w:t>
            </w:r>
            <w:r w:rsidR="00214F20" w:rsidRPr="00A23740">
              <w:rPr>
                <w:szCs w:val="24"/>
              </w:rPr>
              <w:t>.</w:t>
            </w:r>
          </w:p>
          <w:p w:rsidR="00046430" w:rsidRPr="00A23740" w:rsidRDefault="00046430" w:rsidP="00DE5024">
            <w:pPr>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İflas kararının </w:t>
            </w:r>
            <w:r w:rsidRPr="00A23740">
              <w:rPr>
                <w:rStyle w:val="KIRMIZIChar"/>
                <w:rFonts w:eastAsia="Calibri"/>
              </w:rPr>
              <w:t>tebliği ve</w:t>
            </w:r>
            <w:r w:rsidRPr="00A23740">
              <w:rPr>
                <w:szCs w:val="24"/>
              </w:rPr>
              <w:t xml:space="preserve"> ilanı</w:t>
            </w:r>
            <w:r w:rsidRPr="00A23740">
              <w:rPr>
                <w:b/>
                <w:strike/>
                <w:color w:val="FF0000"/>
                <w:szCs w:val="24"/>
              </w:rPr>
              <w:t>:</w:t>
            </w:r>
          </w:p>
          <w:p w:rsidR="00AA5C8C" w:rsidRPr="00A23740" w:rsidRDefault="00AA5C8C" w:rsidP="009431FF">
            <w:pPr>
              <w:tabs>
                <w:tab w:val="left" w:pos="567"/>
              </w:tabs>
              <w:rPr>
                <w:b/>
                <w:strike/>
                <w:color w:val="FF0000"/>
                <w:szCs w:val="24"/>
              </w:rPr>
            </w:pPr>
            <w:r w:rsidRPr="00A23740">
              <w:rPr>
                <w:rStyle w:val="KIRMIZIChar"/>
                <w:rFonts w:eastAsia="Calibri"/>
              </w:rPr>
              <w:t>Madde 166 – (1) (Değişik</w:t>
            </w:r>
            <w:r w:rsidRPr="00A23740">
              <w:rPr>
                <w:b/>
                <w:strike/>
                <w:color w:val="FF0000"/>
                <w:szCs w:val="24"/>
              </w:rPr>
              <w:t>: 18/2/1965 - 538/79 md.)</w:t>
            </w:r>
          </w:p>
          <w:p w:rsidR="00AA5C8C" w:rsidRPr="00A23740" w:rsidRDefault="00AA5C8C" w:rsidP="009431FF">
            <w:pPr>
              <w:tabs>
                <w:tab w:val="left" w:pos="567"/>
              </w:tabs>
              <w:rPr>
                <w:szCs w:val="24"/>
              </w:rPr>
            </w:pPr>
            <w:r w:rsidRPr="00A23740">
              <w:rPr>
                <w:szCs w:val="24"/>
              </w:rPr>
              <w:t>İflas karar</w:t>
            </w:r>
            <w:r w:rsidRPr="00A23740">
              <w:rPr>
                <w:b/>
                <w:strike/>
                <w:color w:val="FF0000"/>
                <w:szCs w:val="24"/>
              </w:rPr>
              <w:t>ı</w:t>
            </w:r>
            <w:r w:rsidRPr="00A23740">
              <w:rPr>
                <w:szCs w:val="24"/>
              </w:rPr>
              <w:t xml:space="preserve">, iflas dairesine </w:t>
            </w:r>
            <w:r w:rsidRPr="00A23740">
              <w:rPr>
                <w:b/>
                <w:strike/>
                <w:color w:val="FF0000"/>
                <w:szCs w:val="24"/>
              </w:rPr>
              <w:t>bildirilir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rStyle w:val="KIRMIZIChar"/>
                <w:rFonts w:eastAsia="Calibri"/>
              </w:rPr>
              <w:t>(2) (Değişik</w:t>
            </w:r>
            <w:r w:rsidRPr="00A23740">
              <w:rPr>
                <w:b/>
                <w:strike/>
                <w:color w:val="FF0000"/>
                <w:szCs w:val="24"/>
              </w:rPr>
              <w:t>: 9/11/1988 - 3494/30 md.)</w:t>
            </w:r>
            <w:r w:rsidRPr="00A23740">
              <w:rPr>
                <w:szCs w:val="24"/>
              </w:rPr>
              <w:t xml:space="preserve"> Daire</w:t>
            </w:r>
            <w:r w:rsidRPr="00C6385E">
              <w:rPr>
                <w:rStyle w:val="KIRMIZIChar"/>
                <w:rFonts w:eastAsia="Calibri"/>
              </w:rPr>
              <w:t>,</w:t>
            </w:r>
            <w:r w:rsidRPr="00A23740">
              <w:rPr>
                <w:szCs w:val="24"/>
              </w:rPr>
              <w:t xml:space="preserve"> </w:t>
            </w:r>
            <w:r w:rsidRPr="00C6385E">
              <w:rPr>
                <w:szCs w:val="24"/>
              </w:rPr>
              <w:t>karar</w:t>
            </w:r>
            <w:r w:rsidRPr="00C6385E">
              <w:rPr>
                <w:rStyle w:val="KIRMIZIChar"/>
                <w:rFonts w:eastAsia="Calibri"/>
                <w:b w:val="0"/>
                <w:strike w:val="0"/>
                <w:color w:val="auto"/>
              </w:rPr>
              <w:t>ı</w:t>
            </w:r>
            <w:r w:rsidRPr="00C6385E">
              <w:rPr>
                <w:szCs w:val="24"/>
              </w:rPr>
              <w:t xml:space="preserve"> </w:t>
            </w:r>
            <w:r w:rsidRPr="00A23740">
              <w:rPr>
                <w:szCs w:val="24"/>
              </w:rPr>
              <w:t>kendiliğinden ve derhal tapu</w:t>
            </w:r>
            <w:r w:rsidRPr="00A23740">
              <w:rPr>
                <w:rStyle w:val="KIRMIZIChar"/>
                <w:rFonts w:eastAsia="Calibri"/>
              </w:rPr>
              <w:t>ya,</w:t>
            </w:r>
            <w:r w:rsidRPr="00C6385E">
              <w:rPr>
                <w:rStyle w:val="KIRMIZIChar"/>
                <w:rFonts w:eastAsia="Calibri"/>
                <w:strike w:val="0"/>
              </w:rPr>
              <w:t xml:space="preserve"> </w:t>
            </w:r>
            <w:r w:rsidRPr="00A23740">
              <w:rPr>
                <w:szCs w:val="24"/>
              </w:rPr>
              <w:t xml:space="preserve">ticaret sicil </w:t>
            </w:r>
            <w:r w:rsidRPr="00C6385E">
              <w:rPr>
                <w:rStyle w:val="KIRMIZIChar"/>
                <w:rFonts w:eastAsia="Calibri"/>
              </w:rPr>
              <w:t>memurluğuna,</w:t>
            </w:r>
            <w:r w:rsidRPr="00A23740">
              <w:rPr>
                <w:szCs w:val="24"/>
              </w:rPr>
              <w:t xml:space="preserve"> </w:t>
            </w:r>
            <w:r w:rsidRPr="00A23740">
              <w:rPr>
                <w:b/>
                <w:strike/>
                <w:color w:val="FF0000"/>
                <w:szCs w:val="24"/>
              </w:rPr>
              <w:t xml:space="preserve">gümrük ve posta idarelerine, Türkiye Bankalar Birliğine, mahalli ticaret odalarına, sanayi odalarına, taşınır kıymet borsalarına, Sermaye Piyasası </w:t>
            </w:r>
            <w:r w:rsidRPr="00C6385E">
              <w:rPr>
                <w:rStyle w:val="KIRMIZIChar"/>
                <w:rFonts w:eastAsia="Calibri"/>
              </w:rPr>
              <w:t>Kuruluna ve diğer l</w:t>
            </w:r>
            <w:r w:rsidRPr="00A23740">
              <w:rPr>
                <w:b/>
                <w:strike/>
                <w:color w:val="FF0000"/>
                <w:szCs w:val="24"/>
              </w:rPr>
              <w:t>azım gelenlere</w:t>
            </w:r>
            <w:r w:rsidRPr="00A23740">
              <w:rPr>
                <w:szCs w:val="24"/>
              </w:rPr>
              <w:t xml:space="preserve"> </w:t>
            </w:r>
            <w:r w:rsidRPr="00C6385E">
              <w:rPr>
                <w:rStyle w:val="KIRMIZIChar"/>
                <w:rFonts w:eastAsia="Calibri"/>
              </w:rPr>
              <w:t>bildirir</w:t>
            </w:r>
            <w:r w:rsidRPr="00A23740">
              <w:rPr>
                <w:szCs w:val="24"/>
              </w:rPr>
              <w:t xml:space="preserve">. </w:t>
            </w:r>
            <w:r w:rsidRPr="00A23740">
              <w:rPr>
                <w:b/>
                <w:strike/>
                <w:color w:val="FF0000"/>
                <w:szCs w:val="24"/>
              </w:rPr>
              <w:t>Daire</w:t>
            </w:r>
            <w:r w:rsidRPr="00C6385E">
              <w:rPr>
                <w:rStyle w:val="KIRMIZIChar"/>
                <w:rFonts w:eastAsia="Calibri"/>
              </w:rPr>
              <w:t>, ayrıca k</w:t>
            </w:r>
            <w:r w:rsidRPr="00A23740">
              <w:rPr>
                <w:b/>
                <w:strike/>
                <w:color w:val="FF0000"/>
                <w:szCs w:val="24"/>
              </w:rPr>
              <w:t>ararı</w:t>
            </w:r>
            <w:r w:rsidRPr="00A23740">
              <w:rPr>
                <w:szCs w:val="24"/>
              </w:rPr>
              <w:t xml:space="preserve">, </w:t>
            </w:r>
            <w:r w:rsidRPr="00A23740">
              <w:rPr>
                <w:b/>
                <w:strike/>
                <w:color w:val="FF0000"/>
                <w:szCs w:val="24"/>
              </w:rPr>
              <w:t xml:space="preserve">karar tarihinde, tirajı ellibinin (50.000) üzerinde olan ve yurt düzeyinde dağıtımı yapılan gazetelerden biri ile birlikte iflas edenin muamele merkezinin bulunduğu yerdeki bir  gazetede ve Ticaret Sicili Gazetesinde ilan eder. Tirajı ellibinin (50.000) üzerinde olan ve yurt düzeyinde dağıtımı yapılan gazetenin yayınlandığı yer aynı zamanda muamele merkezi ise </w:t>
            </w:r>
            <w:r w:rsidR="001A031C" w:rsidRPr="00A23740">
              <w:rPr>
                <w:b/>
                <w:strike/>
                <w:color w:val="FF0000"/>
                <w:szCs w:val="24"/>
              </w:rPr>
              <w:t>mahalli gazetede ilan yapılmaz.</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İflasın kapandığı veya kaldırıldığı </w:t>
            </w:r>
            <w:r w:rsidRPr="00A23740">
              <w:rPr>
                <w:rStyle w:val="KIRMIZIChar"/>
                <w:rFonts w:eastAsia="Calibri"/>
              </w:rPr>
              <w:t>da aynı</w:t>
            </w:r>
            <w:r w:rsidRPr="00A23740">
              <w:rPr>
                <w:szCs w:val="24"/>
              </w:rPr>
              <w:t xml:space="preserve"> </w:t>
            </w:r>
            <w:r w:rsidRPr="00A23740">
              <w:rPr>
                <w:rStyle w:val="KIRMIZIChar"/>
                <w:rFonts w:eastAsia="Calibri"/>
              </w:rPr>
              <w:t>suretle bildirilir ve ilan</w:t>
            </w:r>
            <w:r w:rsidRPr="00A23740">
              <w:rPr>
                <w:szCs w:val="24"/>
              </w:rPr>
              <w:t xml:space="preserve"> </w:t>
            </w:r>
            <w:r w:rsidRPr="00A23740">
              <w:rPr>
                <w:b/>
                <w:strike/>
                <w:color w:val="FF0000"/>
                <w:szCs w:val="24"/>
              </w:rPr>
              <w:t>olunur</w:t>
            </w:r>
            <w:r w:rsidRPr="00C6385E">
              <w:rPr>
                <w:rStyle w:val="KIRMIZIChar"/>
                <w:rFonts w:eastAsia="Calibri"/>
              </w:rPr>
              <w:t>.</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 xml:space="preserve">İflas kararının ilanı </w:t>
            </w:r>
            <w:r w:rsidRPr="00A23740">
              <w:rPr>
                <w:rStyle w:val="MaviChar"/>
              </w:rPr>
              <w:t>ve bildirimi</w:t>
            </w:r>
          </w:p>
          <w:p w:rsidR="00AA5C8C" w:rsidRPr="00A23740" w:rsidRDefault="00490C3E" w:rsidP="009431FF">
            <w:pPr>
              <w:tabs>
                <w:tab w:val="left" w:pos="567"/>
              </w:tabs>
              <w:rPr>
                <w:szCs w:val="24"/>
              </w:rPr>
            </w:pPr>
            <w:r w:rsidRPr="00A23740">
              <w:rPr>
                <w:rStyle w:val="MAVChar"/>
                <w:rFonts w:eastAsia="Calibri"/>
                <w:u w:val="none"/>
              </w:rPr>
              <w:t>MADDE 283</w:t>
            </w:r>
            <w:r w:rsidR="00AA5C8C" w:rsidRPr="00A23740">
              <w:rPr>
                <w:rStyle w:val="MAVChar"/>
                <w:rFonts w:eastAsia="Calibri"/>
                <w:u w:val="none"/>
              </w:rPr>
              <w:t>- (</w:t>
            </w:r>
            <w:r w:rsidR="00AA5C8C" w:rsidRPr="00A23740">
              <w:rPr>
                <w:b/>
                <w:color w:val="0000FF"/>
                <w:szCs w:val="24"/>
              </w:rPr>
              <w:t>1)</w:t>
            </w:r>
            <w:r w:rsidR="00AA5C8C" w:rsidRPr="00A23740">
              <w:rPr>
                <w:szCs w:val="24"/>
              </w:rPr>
              <w:t xml:space="preserve"> İflas</w:t>
            </w:r>
            <w:r w:rsidR="00AA5C8C" w:rsidRPr="00A23740">
              <w:rPr>
                <w:b/>
                <w:color w:val="0000FF"/>
                <w:szCs w:val="24"/>
              </w:rPr>
              <w:t>a</w:t>
            </w:r>
            <w:r w:rsidR="00AA5C8C" w:rsidRPr="00A23740">
              <w:rPr>
                <w:szCs w:val="24"/>
              </w:rPr>
              <w:t xml:space="preserve"> karar </w:t>
            </w:r>
            <w:r w:rsidR="00AA5C8C" w:rsidRPr="00A23740">
              <w:rPr>
                <w:b/>
                <w:color w:val="0000FF"/>
                <w:szCs w:val="24"/>
              </w:rPr>
              <w:t>veren mahkeme, bu kararı derh</w:t>
            </w:r>
            <w:r w:rsidR="00694D30" w:rsidRPr="00A23740">
              <w:rPr>
                <w:b/>
                <w:color w:val="0000FF"/>
                <w:szCs w:val="24"/>
              </w:rPr>
              <w:t>â</w:t>
            </w:r>
            <w:r w:rsidR="00AA5C8C" w:rsidRPr="00A23740">
              <w:rPr>
                <w:b/>
                <w:color w:val="0000FF"/>
                <w:szCs w:val="24"/>
              </w:rPr>
              <w:t xml:space="preserve">l yargı çevresindeki </w:t>
            </w:r>
            <w:r w:rsidR="00AA5C8C" w:rsidRPr="00A23740">
              <w:rPr>
                <w:szCs w:val="24"/>
              </w:rPr>
              <w:t xml:space="preserve">iflas dairesine </w:t>
            </w:r>
            <w:r w:rsidR="00AA5C8C" w:rsidRPr="00A23740">
              <w:rPr>
                <w:b/>
                <w:color w:val="0000FF"/>
                <w:szCs w:val="24"/>
              </w:rPr>
              <w:t>bildirir.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(2)</w:t>
            </w:r>
            <w:r w:rsidRPr="00A23740">
              <w:rPr>
                <w:szCs w:val="24"/>
              </w:rPr>
              <w:t xml:space="preserve"> </w:t>
            </w:r>
            <w:r w:rsidR="00F55D50" w:rsidRPr="009D0B93">
              <w:rPr>
                <w:rStyle w:val="MaviChar"/>
              </w:rPr>
              <w:t xml:space="preserve">İflas </w:t>
            </w:r>
            <w:r w:rsidR="00F55D50" w:rsidRPr="00C6385E">
              <w:rPr>
                <w:rStyle w:val="MaviChar"/>
                <w:b w:val="0"/>
                <w:color w:val="auto"/>
              </w:rPr>
              <w:t>daire</w:t>
            </w:r>
            <w:r w:rsidR="00F55D50" w:rsidRPr="009D0B93">
              <w:rPr>
                <w:rStyle w:val="MaviChar"/>
              </w:rPr>
              <w:t>si</w:t>
            </w:r>
            <w:r w:rsidRPr="009D0B93">
              <w:rPr>
                <w:rStyle w:val="MaviChar"/>
              </w:rPr>
              <w:t xml:space="preserve"> </w:t>
            </w:r>
            <w:r w:rsidR="00F55D50" w:rsidRPr="00C6385E">
              <w:rPr>
                <w:rStyle w:val="MaviChar"/>
                <w:b w:val="0"/>
                <w:color w:val="auto"/>
              </w:rPr>
              <w:t>kararı</w:t>
            </w:r>
            <w:r w:rsidR="00F55D50" w:rsidRPr="00C6385E">
              <w:rPr>
                <w:szCs w:val="24"/>
              </w:rPr>
              <w:t xml:space="preserve"> </w:t>
            </w:r>
            <w:r w:rsidRPr="00A23740">
              <w:rPr>
                <w:szCs w:val="24"/>
              </w:rPr>
              <w:t xml:space="preserve">kendiliğinden ve </w:t>
            </w:r>
            <w:r w:rsidR="00DF22A1" w:rsidRPr="00A23740">
              <w:rPr>
                <w:szCs w:val="24"/>
              </w:rPr>
              <w:t xml:space="preserve">derhâl </w:t>
            </w:r>
            <w:r w:rsidRPr="00A23740">
              <w:rPr>
                <w:b/>
                <w:color w:val="0000FF"/>
                <w:szCs w:val="24"/>
              </w:rPr>
              <w:t>Türkiye Ticaret Sicili Gazetesin</w:t>
            </w:r>
            <w:r w:rsidR="00FB6566" w:rsidRPr="00A23740">
              <w:rPr>
                <w:b/>
                <w:color w:val="0000FF"/>
                <w:szCs w:val="24"/>
              </w:rPr>
              <w:t>de ve Basın</w:t>
            </w:r>
            <w:r w:rsidR="00586558" w:rsidRPr="00A23740">
              <w:rPr>
                <w:b/>
                <w:color w:val="0000FF"/>
                <w:szCs w:val="24"/>
              </w:rPr>
              <w:t xml:space="preserve"> </w:t>
            </w:r>
            <w:r w:rsidR="00FB6566" w:rsidRPr="00A23740">
              <w:rPr>
                <w:b/>
                <w:color w:val="0000FF"/>
                <w:szCs w:val="24"/>
              </w:rPr>
              <w:t>-</w:t>
            </w:r>
            <w:r w:rsidR="00586558" w:rsidRPr="00A23740">
              <w:rPr>
                <w:b/>
                <w:color w:val="0000FF"/>
                <w:szCs w:val="24"/>
              </w:rPr>
              <w:t xml:space="preserve"> </w:t>
            </w:r>
            <w:r w:rsidR="00AD7D81" w:rsidRPr="00A23740">
              <w:rPr>
                <w:b/>
                <w:color w:val="0000FF"/>
                <w:szCs w:val="24"/>
              </w:rPr>
              <w:t>İlan Kurumunun resmî</w:t>
            </w:r>
            <w:r w:rsidRPr="00A23740">
              <w:rPr>
                <w:b/>
                <w:color w:val="0000FF"/>
                <w:szCs w:val="24"/>
              </w:rPr>
              <w:t xml:space="preserve"> portalında ilan olunur ve </w:t>
            </w:r>
            <w:r w:rsidRPr="00A23740">
              <w:rPr>
                <w:szCs w:val="24"/>
              </w:rPr>
              <w:t xml:space="preserve">tapu </w:t>
            </w:r>
            <w:r w:rsidRPr="00A23740">
              <w:rPr>
                <w:b/>
                <w:color w:val="0000FF"/>
                <w:szCs w:val="24"/>
              </w:rPr>
              <w:t>müdürlüğüne</w:t>
            </w:r>
            <w:r w:rsidRPr="00A23740">
              <w:rPr>
                <w:szCs w:val="24"/>
              </w:rPr>
              <w:t>, ticaret sicil</w:t>
            </w:r>
            <w:r w:rsidRPr="00C6385E">
              <w:rPr>
                <w:rStyle w:val="Balk1Char"/>
                <w:rFonts w:eastAsia="Calibri"/>
              </w:rPr>
              <w:t>i</w:t>
            </w:r>
            <w:r w:rsidRPr="00A23740">
              <w:rPr>
                <w:szCs w:val="24"/>
              </w:rPr>
              <w:t xml:space="preserve"> </w:t>
            </w:r>
            <w:r w:rsidRPr="00A23740">
              <w:rPr>
                <w:b/>
                <w:color w:val="0000FF"/>
                <w:szCs w:val="24"/>
              </w:rPr>
              <w:t>müdürlüğün</w:t>
            </w:r>
            <w:r w:rsidRPr="00DE5024">
              <w:rPr>
                <w:rStyle w:val="MaviChar"/>
              </w:rPr>
              <w:t>e,</w:t>
            </w:r>
            <w:r w:rsidRPr="00A23740">
              <w:rPr>
                <w:szCs w:val="24"/>
              </w:rPr>
              <w:t xml:space="preserve"> </w:t>
            </w:r>
            <w:r w:rsidRPr="00A23740">
              <w:rPr>
                <w:rStyle w:val="MAVChar"/>
                <w:rFonts w:eastAsia="Calibri"/>
                <w:u w:val="none"/>
              </w:rPr>
              <w:t xml:space="preserve">vergi dairesine, gümrük idaresine ve Posta ve Telgraf Teşkilatı Anonim Şirketine, Türkiye Bankalar Birliğine, Türkiye Katılım Bankaları Birliğine, </w:t>
            </w:r>
            <w:r w:rsidRPr="00A23740">
              <w:rPr>
                <w:rFonts w:eastAsia="Times New Roman"/>
                <w:b/>
                <w:color w:val="0000FF"/>
                <w:szCs w:val="24"/>
                <w:lang w:eastAsia="ar-SA"/>
              </w:rPr>
              <w:t xml:space="preserve">Finansal </w:t>
            </w:r>
            <w:r w:rsidRPr="00A23740">
              <w:rPr>
                <w:rStyle w:val="MaviChar"/>
              </w:rPr>
              <w:t>Kurumlar Birliğine, mahalli ticaret ve sanayi odalarına, taşınır kıymet borsalarına, halka açık ortaklıklar ile 6362 sayılı Kanunda tanımlanan sermaye piyasası kurumları ile sınırlı olmak</w:t>
            </w:r>
            <w:r w:rsidRPr="00A23740">
              <w:rPr>
                <w:rStyle w:val="YELChar"/>
              </w:rPr>
              <w:t xml:space="preserve"> </w:t>
            </w:r>
            <w:r w:rsidRPr="00A23740">
              <w:rPr>
                <w:rStyle w:val="MaviChar"/>
              </w:rPr>
              <w:t>üzere</w:t>
            </w:r>
            <w:r w:rsidRPr="00A23740">
              <w:rPr>
                <w:b/>
                <w:color w:val="0000FF"/>
                <w:szCs w:val="24"/>
              </w:rPr>
              <w:t xml:space="preserve"> </w:t>
            </w:r>
            <w:r w:rsidRPr="00A23740">
              <w:rPr>
                <w:rStyle w:val="MAVChar"/>
                <w:rFonts w:eastAsia="Calibri"/>
                <w:u w:val="none"/>
              </w:rPr>
              <w:t>Sermaye Piyasası Kuruluna</w:t>
            </w:r>
            <w:r w:rsidRPr="00A23740">
              <w:rPr>
                <w:szCs w:val="24"/>
              </w:rPr>
              <w:t xml:space="preserve"> </w:t>
            </w:r>
            <w:r w:rsidRPr="00C6385E">
              <w:rPr>
                <w:rStyle w:val="Balk1Char"/>
                <w:rFonts w:eastAsia="Calibri"/>
              </w:rPr>
              <w:t>ve</w:t>
            </w:r>
            <w:r w:rsidRPr="00A23740">
              <w:rPr>
                <w:szCs w:val="24"/>
              </w:rPr>
              <w:t xml:space="preserve"> </w:t>
            </w:r>
            <w:r w:rsidRPr="00A23740">
              <w:rPr>
                <w:rStyle w:val="MaviChar"/>
              </w:rPr>
              <w:t>gereken diğer</w:t>
            </w:r>
            <w:r w:rsidRPr="00A23740">
              <w:rPr>
                <w:b/>
                <w:color w:val="0000FF"/>
                <w:szCs w:val="24"/>
              </w:rPr>
              <w:t xml:space="preserve"> yerlere </w:t>
            </w:r>
            <w:r w:rsidR="001D1273" w:rsidRPr="009D0B93">
              <w:rPr>
                <w:rStyle w:val="MaviChar"/>
              </w:rPr>
              <w:t>bildirir</w:t>
            </w:r>
            <w:r w:rsidRPr="00A23740">
              <w:rPr>
                <w:szCs w:val="24"/>
              </w:rPr>
              <w:t>.</w:t>
            </w:r>
          </w:p>
          <w:p w:rsidR="00AA5C8C" w:rsidRPr="00A23740" w:rsidRDefault="00AA5C8C" w:rsidP="009431FF">
            <w:pPr>
              <w:tabs>
                <w:tab w:val="left" w:pos="567"/>
              </w:tabs>
              <w:rPr>
                <w:szCs w:val="24"/>
              </w:rPr>
            </w:pPr>
          </w:p>
          <w:p w:rsidR="001A031C" w:rsidRPr="00A23740" w:rsidRDefault="001A031C" w:rsidP="009431FF">
            <w:pPr>
              <w:tabs>
                <w:tab w:val="left" w:pos="567"/>
              </w:tabs>
              <w:rPr>
                <w:szCs w:val="24"/>
              </w:rPr>
            </w:pPr>
          </w:p>
          <w:p w:rsidR="001A031C" w:rsidRPr="00A23740" w:rsidRDefault="001A031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szCs w:val="24"/>
              </w:rPr>
              <w:t xml:space="preserve"> İflasın kapandığı veya kaldırıldığı </w:t>
            </w:r>
            <w:r w:rsidRPr="00A23740">
              <w:rPr>
                <w:rStyle w:val="MaviChar"/>
              </w:rPr>
              <w:t>h</w:t>
            </w:r>
            <w:r w:rsidR="00201E08" w:rsidRPr="00A23740">
              <w:rPr>
                <w:rStyle w:val="MaviChar"/>
                <w:lang w:val="tr-TR"/>
              </w:rPr>
              <w:t>â</w:t>
            </w:r>
            <w:r w:rsidRPr="00A23740">
              <w:rPr>
                <w:rStyle w:val="MaviChar"/>
              </w:rPr>
              <w:t>llerde de yukarıdaki fıkra hükümleri uygulanır.</w:t>
            </w:r>
          </w:p>
          <w:p w:rsidR="00AA5C8C" w:rsidRPr="00A23740" w:rsidRDefault="00AA5C8C" w:rsidP="009431FF">
            <w:pPr>
              <w:pStyle w:val="KIRMIZI"/>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46430" w:rsidRPr="00A23740" w:rsidRDefault="00046430" w:rsidP="009431FF">
            <w:pPr>
              <w:ind w:firstLine="709"/>
              <w:rPr>
                <w:rFonts w:eastAsia="Times New Roman"/>
                <w:b/>
                <w:bCs/>
                <w:szCs w:val="24"/>
                <w:lang w:eastAsia="tr-TR"/>
              </w:rPr>
            </w:pPr>
          </w:p>
          <w:p w:rsidR="00687220" w:rsidRPr="00A23740" w:rsidRDefault="00687220" w:rsidP="009431FF">
            <w:pPr>
              <w:tabs>
                <w:tab w:val="left" w:pos="567"/>
              </w:tabs>
              <w:ind w:firstLine="709"/>
              <w:rPr>
                <w:szCs w:val="24"/>
              </w:rPr>
            </w:pPr>
            <w:r w:rsidRPr="00A23740">
              <w:rPr>
                <w:b/>
              </w:rPr>
              <w:t>MADDE 283-</w:t>
            </w:r>
            <w:r w:rsidRPr="00A23740">
              <w:t xml:space="preserve"> Maddeyle, iflas yoluyla takipte </w:t>
            </w:r>
            <w:r w:rsidRPr="00A23740">
              <w:rPr>
                <w:szCs w:val="24"/>
              </w:rPr>
              <w:t>iflas kararının ilanı ve bildirimine ilişkin hususlar düzenlenmektedir</w:t>
            </w:r>
            <w:r w:rsidR="00AA05EF" w:rsidRPr="00AA05EF">
              <w:rPr>
                <w:rStyle w:val="KIRMIZIChar"/>
                <w:rFonts w:eastAsia="Calibri"/>
                <w:b w:val="0"/>
                <w:strike w:val="0"/>
                <w:color w:val="000000" w:themeColor="text1"/>
              </w:rPr>
              <w:t>.</w:t>
            </w:r>
            <w:r w:rsidR="00AA05EF" w:rsidRPr="00AA05EF">
              <w:t xml:space="preserve"> </w:t>
            </w:r>
            <w:r w:rsidRPr="00A23740">
              <w:rPr>
                <w:szCs w:val="24"/>
              </w:rPr>
              <w:t>İflasa karar verilmekle bu kararın ilgili yerle</w:t>
            </w:r>
            <w:r w:rsidR="00705A53" w:rsidRPr="00A23740">
              <w:rPr>
                <w:szCs w:val="24"/>
              </w:rPr>
              <w:t>re</w:t>
            </w:r>
            <w:r w:rsidRPr="00A23740">
              <w:rPr>
                <w:szCs w:val="24"/>
              </w:rPr>
              <w:t xml:space="preserve"> bildirimi ve ilanı hakkında 2004 </w:t>
            </w:r>
            <w:r w:rsidR="00DB2480" w:rsidRPr="00D60C1D">
              <w:rPr>
                <w:rStyle w:val="YELChar"/>
                <w:b w:val="0"/>
                <w:color w:val="000000"/>
              </w:rPr>
              <w:t>sayılı Kanunun</w:t>
            </w:r>
            <w:r w:rsidR="00DB2480" w:rsidRPr="00A23740">
              <w:rPr>
                <w:szCs w:val="24"/>
              </w:rPr>
              <w:t xml:space="preserve"> 166 </w:t>
            </w:r>
            <w:r w:rsidRPr="00A23740">
              <w:rPr>
                <w:szCs w:val="24"/>
              </w:rPr>
              <w:t xml:space="preserve">ncı maddesi </w:t>
            </w:r>
            <w:r w:rsidR="00705A53" w:rsidRPr="00A23740">
              <w:rPr>
                <w:szCs w:val="24"/>
              </w:rPr>
              <w:t xml:space="preserve">düzeltilerek </w:t>
            </w:r>
            <w:r w:rsidRPr="00A23740">
              <w:rPr>
                <w:szCs w:val="24"/>
              </w:rPr>
              <w:t xml:space="preserve">muhafaza edilmiştir. Buna göre mahkeme, iflas kararını, </w:t>
            </w:r>
            <w:r w:rsidR="00DF22A1" w:rsidRPr="00A23740">
              <w:rPr>
                <w:szCs w:val="24"/>
              </w:rPr>
              <w:t xml:space="preserve">derhâl </w:t>
            </w:r>
            <w:r w:rsidRPr="00A23740">
              <w:rPr>
                <w:szCs w:val="24"/>
              </w:rPr>
              <w:t xml:space="preserve">yargı çevresi içinde iflas dairesine, ikinci fıkranın gereği yapılmak üzere bildirir. Söz konusu bildirim üzerine bu karar, iflas dairesince ikinci fıkradaki usulle ilan edilir ve burada </w:t>
            </w:r>
            <w:r w:rsidR="00DB2480" w:rsidRPr="00D60C1D">
              <w:rPr>
                <w:rStyle w:val="YELChar"/>
                <w:b w:val="0"/>
                <w:color w:val="000000"/>
              </w:rPr>
              <w:t>belirtiler</w:t>
            </w:r>
            <w:r w:rsidRPr="00A23740">
              <w:rPr>
                <w:szCs w:val="24"/>
              </w:rPr>
              <w:t xml:space="preserve"> yerlere bildirilir.</w:t>
            </w:r>
          </w:p>
          <w:p w:rsidR="00687220" w:rsidRPr="00A23740" w:rsidRDefault="00687220" w:rsidP="00DE5024">
            <w:pPr>
              <w:tabs>
                <w:tab w:val="left" w:pos="567"/>
              </w:tabs>
              <w:ind w:firstLine="709"/>
              <w:rPr>
                <w:b/>
                <w:szCs w:val="24"/>
              </w:rPr>
            </w:pPr>
            <w:r w:rsidRPr="00A23740">
              <w:rPr>
                <w:szCs w:val="24"/>
              </w:rPr>
              <w:t>İlan ve bildirim hakkındaki ikinci fıkra hükmü, kendisine açıkça atıfta bulunan özel kanun hükümleri saklı kalmak üzere tıpkı iflasın açıldığında olduğu gibi kapandığı veya kaldırıldığı h</w:t>
            </w:r>
            <w:r w:rsidR="00DB2480" w:rsidRPr="00A23740">
              <w:rPr>
                <w:szCs w:val="24"/>
              </w:rPr>
              <w:t>â</w:t>
            </w:r>
            <w:r w:rsidRPr="00A23740">
              <w:rPr>
                <w:szCs w:val="24"/>
              </w:rPr>
              <w:t>llerde de aynen geçerlidir.</w:t>
            </w:r>
          </w:p>
          <w:p w:rsidR="00046430" w:rsidRPr="00A23740" w:rsidRDefault="00046430" w:rsidP="00DE5024">
            <w:pPr>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Kanun yollarına </w:t>
            </w:r>
            <w:r w:rsidRPr="00A23740">
              <w:rPr>
                <w:bCs/>
              </w:rPr>
              <w:t>başvur</w:t>
            </w:r>
            <w:r w:rsidRPr="00A23740">
              <w:rPr>
                <w:rStyle w:val="KIRMIZIChar"/>
                <w:rFonts w:eastAsia="Calibri"/>
              </w:rPr>
              <w:t>ma</w:t>
            </w:r>
          </w:p>
          <w:p w:rsidR="00AA5C8C" w:rsidRPr="00A23740" w:rsidRDefault="00AA5C8C" w:rsidP="009431FF">
            <w:pPr>
              <w:tabs>
                <w:tab w:val="left" w:pos="567"/>
                <w:tab w:val="right" w:pos="6520"/>
              </w:tabs>
              <w:rPr>
                <w:b/>
                <w:bCs/>
                <w:szCs w:val="24"/>
              </w:rPr>
            </w:pPr>
            <w:r w:rsidRPr="00A23740">
              <w:rPr>
                <w:rStyle w:val="KIRMIZIChar"/>
                <w:rFonts w:eastAsia="Calibri"/>
              </w:rPr>
              <w:t>Madde 164- (1) (Değişik</w:t>
            </w:r>
            <w:r w:rsidRPr="00A23740">
              <w:rPr>
                <w:b/>
                <w:bCs/>
                <w:strike/>
                <w:color w:val="FF0000"/>
                <w:szCs w:val="24"/>
              </w:rPr>
              <w:t>: 2/3/2005-5311/12 md.)</w:t>
            </w:r>
          </w:p>
          <w:p w:rsidR="00AA5C8C" w:rsidRPr="00A23740" w:rsidRDefault="00AA5C8C" w:rsidP="009431FF">
            <w:pPr>
              <w:tabs>
                <w:tab w:val="left" w:pos="567"/>
                <w:tab w:val="right" w:pos="6520"/>
              </w:tabs>
              <w:rPr>
                <w:szCs w:val="24"/>
              </w:rPr>
            </w:pPr>
            <w:r w:rsidRPr="00A23740">
              <w:rPr>
                <w:b/>
                <w:bCs/>
                <w:strike/>
                <w:color w:val="FF0000"/>
                <w:szCs w:val="24"/>
              </w:rPr>
              <w:t>Ticaret</w:t>
            </w:r>
            <w:r w:rsidRPr="00A23740">
              <w:rPr>
                <w:szCs w:val="24"/>
              </w:rPr>
              <w:t xml:space="preserve"> mahkemesince verilen </w:t>
            </w:r>
            <w:r w:rsidRPr="00A23740">
              <w:rPr>
                <w:b/>
                <w:bCs/>
                <w:strike/>
                <w:color w:val="FF0000"/>
                <w:szCs w:val="24"/>
              </w:rPr>
              <w:t>nihaî</w:t>
            </w:r>
            <w:r w:rsidRPr="00A23740">
              <w:rPr>
                <w:szCs w:val="24"/>
              </w:rPr>
              <w:t xml:space="preserve"> kararlar, </w:t>
            </w:r>
            <w:r w:rsidRPr="00A23740">
              <w:rPr>
                <w:b/>
                <w:strike/>
                <w:color w:val="FF0000"/>
                <w:szCs w:val="24"/>
              </w:rPr>
              <w:t>160 ıncı maddenin son fıkrasına göre alınan masraftan karşılanmak suretiyle mahkemece re'sen</w:t>
            </w:r>
            <w:r w:rsidRPr="00A23740">
              <w:rPr>
                <w:szCs w:val="24"/>
              </w:rPr>
              <w:t xml:space="preserve"> taraflara tebliğ olunur.</w:t>
            </w:r>
          </w:p>
          <w:p w:rsidR="00AA5C8C" w:rsidRPr="00A23740" w:rsidRDefault="00AA5C8C" w:rsidP="009431FF">
            <w:pPr>
              <w:tabs>
                <w:tab w:val="left" w:pos="567"/>
                <w:tab w:val="right" w:pos="6520"/>
              </w:tabs>
              <w:rPr>
                <w:szCs w:val="24"/>
              </w:rPr>
            </w:pPr>
          </w:p>
          <w:p w:rsidR="00AA5C8C" w:rsidRPr="00A23740" w:rsidRDefault="00AA5C8C" w:rsidP="009431FF">
            <w:pPr>
              <w:tabs>
                <w:tab w:val="left" w:pos="567"/>
                <w:tab w:val="right" w:pos="6520"/>
              </w:tabs>
              <w:rPr>
                <w:szCs w:val="24"/>
              </w:rPr>
            </w:pPr>
            <w:r w:rsidRPr="00A23740">
              <w:rPr>
                <w:rStyle w:val="KIRMIZIChar"/>
                <w:rFonts w:eastAsia="Calibri"/>
              </w:rPr>
              <w:t>(2)</w:t>
            </w:r>
            <w:r w:rsidRPr="00A23740">
              <w:rPr>
                <w:szCs w:val="24"/>
              </w:rPr>
              <w:t xml:space="preserve"> Bu kararlara karşı tebliğ tarihinden itibaren </w:t>
            </w:r>
            <w:r w:rsidR="00DF484B" w:rsidRPr="00A23740">
              <w:rPr>
                <w:szCs w:val="24"/>
              </w:rPr>
              <w:t>iki hafta</w:t>
            </w:r>
            <w:r w:rsidRPr="00A23740">
              <w:rPr>
                <w:szCs w:val="24"/>
              </w:rPr>
              <w:t xml:space="preserve"> içinde istinaf yoluna başvu</w:t>
            </w:r>
            <w:r w:rsidRPr="00A23740">
              <w:rPr>
                <w:rStyle w:val="KIRMIZIChar"/>
                <w:rFonts w:eastAsia="Calibri"/>
              </w:rPr>
              <w:t>rula</w:t>
            </w:r>
            <w:r w:rsidRPr="00A23740">
              <w:rPr>
                <w:szCs w:val="24"/>
              </w:rPr>
              <w:t xml:space="preserve">bilir. Bölge adliye mahkemesi kararına karşı da tebliğ tarihinden itibaren </w:t>
            </w:r>
            <w:r w:rsidRPr="00A23740">
              <w:rPr>
                <w:b/>
                <w:strike/>
                <w:color w:val="FF0000"/>
                <w:szCs w:val="24"/>
              </w:rPr>
              <w:t>on gün</w:t>
            </w:r>
            <w:r w:rsidRPr="00A23740">
              <w:rPr>
                <w:szCs w:val="24"/>
              </w:rPr>
              <w:t xml:space="preserve"> içinde temyiz yoluna başvurulabilir. İstinaf ve temyiz incelemeleri, Hukuk </w:t>
            </w:r>
            <w:r w:rsidRPr="00A23740">
              <w:rPr>
                <w:b/>
                <w:strike/>
                <w:color w:val="FF0000"/>
                <w:szCs w:val="24"/>
              </w:rPr>
              <w:t>Usulü</w:t>
            </w:r>
            <w:r w:rsidRPr="00A23740">
              <w:rPr>
                <w:szCs w:val="24"/>
              </w:rPr>
              <w:t xml:space="preserve"> Muhakemeleri Kanunu hükümlerine göre yapılır.</w:t>
            </w:r>
          </w:p>
          <w:p w:rsidR="00AA5C8C" w:rsidRDefault="00AA5C8C" w:rsidP="009431FF">
            <w:pPr>
              <w:tabs>
                <w:tab w:val="left" w:pos="567"/>
                <w:tab w:val="right" w:pos="6520"/>
              </w:tabs>
              <w:rPr>
                <w:szCs w:val="24"/>
              </w:rPr>
            </w:pPr>
          </w:p>
          <w:p w:rsidR="00AA05EF" w:rsidRPr="00A23740" w:rsidRDefault="00AA05EF" w:rsidP="009431FF">
            <w:pPr>
              <w:tabs>
                <w:tab w:val="left" w:pos="567"/>
                <w:tab w:val="right" w:pos="6520"/>
              </w:tabs>
              <w:rPr>
                <w:szCs w:val="24"/>
              </w:rPr>
            </w:pPr>
          </w:p>
          <w:p w:rsidR="00AA5C8C" w:rsidRPr="00A23740" w:rsidRDefault="00AA5C8C" w:rsidP="009431FF">
            <w:pPr>
              <w:tabs>
                <w:tab w:val="left" w:pos="567"/>
                <w:tab w:val="right" w:pos="6520"/>
              </w:tabs>
              <w:rPr>
                <w:szCs w:val="24"/>
              </w:rPr>
            </w:pPr>
            <w:r w:rsidRPr="00A23740">
              <w:rPr>
                <w:rStyle w:val="KIRMIZIChar"/>
                <w:rFonts w:eastAsia="Calibri"/>
              </w:rPr>
              <w:t>(3)</w:t>
            </w:r>
            <w:r w:rsidRPr="00A23740">
              <w:rPr>
                <w:szCs w:val="24"/>
              </w:rPr>
              <w:t xml:space="preserve"> İflâs kararına karşı kanun yoluna başvurulması, iflâsın ilânına ve masanın teşkiline </w:t>
            </w:r>
            <w:r w:rsidRPr="00A23740">
              <w:rPr>
                <w:b/>
                <w:strike/>
                <w:color w:val="FF0000"/>
                <w:szCs w:val="24"/>
              </w:rPr>
              <w:t>mâni</w:t>
            </w:r>
            <w:r w:rsidRPr="00A23740">
              <w:rPr>
                <w:szCs w:val="24"/>
              </w:rPr>
              <w:t xml:space="preserve"> değildir. </w:t>
            </w:r>
            <w:r w:rsidRPr="00A23740">
              <w:rPr>
                <w:b/>
                <w:strike/>
                <w:color w:val="FF0000"/>
                <w:szCs w:val="24"/>
              </w:rPr>
              <w:t>Yalnız</w:t>
            </w:r>
            <w:r w:rsidRPr="00A23740">
              <w:rPr>
                <w:szCs w:val="24"/>
              </w:rPr>
              <w:t xml:space="preserve"> ikinci alacaklılar toplantısı</w:t>
            </w:r>
            <w:r w:rsidRPr="00A23740">
              <w:rPr>
                <w:rStyle w:val="KIRMIZIChar"/>
                <w:rFonts w:eastAsia="Calibri"/>
              </w:rPr>
              <w:t>,</w:t>
            </w:r>
            <w:r w:rsidRPr="00A23740">
              <w:rPr>
                <w:szCs w:val="24"/>
              </w:rPr>
              <w:t xml:space="preserve"> iflâs kararı kesinleşmedikçe yapılamaz</w:t>
            </w:r>
            <w:r w:rsidRPr="00A23740">
              <w:rPr>
                <w:rStyle w:val="KIRMIZIChar"/>
                <w:rFonts w:eastAsia="Calibri"/>
              </w:rPr>
              <w:t>.</w:t>
            </w:r>
          </w:p>
          <w:p w:rsidR="00AA5C8C" w:rsidRPr="00A23740" w:rsidRDefault="00AA5C8C" w:rsidP="009431FF">
            <w:pPr>
              <w:tabs>
                <w:tab w:val="left" w:pos="567"/>
                <w:tab w:val="right" w:pos="6520"/>
              </w:tabs>
              <w:rPr>
                <w:szCs w:val="24"/>
              </w:rPr>
            </w:pPr>
          </w:p>
          <w:p w:rsidR="00AA5C8C" w:rsidRPr="00A23740" w:rsidRDefault="00AA5C8C" w:rsidP="009431FF">
            <w:pPr>
              <w:tabs>
                <w:tab w:val="left" w:pos="567"/>
                <w:tab w:val="right" w:pos="6520"/>
              </w:tabs>
              <w:rPr>
                <w:szCs w:val="24"/>
              </w:rPr>
            </w:pPr>
          </w:p>
          <w:p w:rsidR="00AA5C8C" w:rsidRPr="00A23740" w:rsidRDefault="00AA5C8C" w:rsidP="009431FF">
            <w:pPr>
              <w:tabs>
                <w:tab w:val="left" w:pos="567"/>
                <w:tab w:val="right" w:pos="6520"/>
              </w:tabs>
              <w:rPr>
                <w:szCs w:val="24"/>
              </w:rPr>
            </w:pPr>
            <w:r w:rsidRPr="00A23740">
              <w:rPr>
                <w:rStyle w:val="KIRMIZIChar"/>
                <w:rFonts w:eastAsia="Calibri"/>
              </w:rPr>
              <w:t>(4)</w:t>
            </w:r>
            <w:r w:rsidRPr="00A23740">
              <w:rPr>
                <w:szCs w:val="24"/>
              </w:rPr>
              <w:t xml:space="preserve"> Bölge adliye mahkemesince iflâs karar</w:t>
            </w:r>
            <w:r w:rsidRPr="00A23740">
              <w:rPr>
                <w:rStyle w:val="KIRMIZIChar"/>
                <w:rFonts w:eastAsia="Calibri"/>
              </w:rPr>
              <w:t>ı</w:t>
            </w:r>
            <w:r w:rsidRPr="00A23740">
              <w:rPr>
                <w:szCs w:val="24"/>
              </w:rPr>
              <w:t xml:space="preserve"> kaldırılırsa, borçlunun malları </w:t>
            </w:r>
            <w:r w:rsidRPr="00A23740">
              <w:rPr>
                <w:rStyle w:val="KIRMIZIChar"/>
                <w:rFonts w:eastAsia="Calibri"/>
              </w:rPr>
              <w:t>üzerindeki</w:t>
            </w:r>
            <w:r w:rsidRPr="00A23740">
              <w:rPr>
                <w:szCs w:val="24"/>
              </w:rPr>
              <w:t xml:space="preserve"> tedbirler devam eder. Şu kadar ki</w:t>
            </w:r>
            <w:r w:rsidRPr="00C6385E">
              <w:rPr>
                <w:rStyle w:val="KIRMIZIChar"/>
                <w:rFonts w:eastAsia="Calibri"/>
                <w:b w:val="0"/>
                <w:strike w:val="0"/>
                <w:color w:val="auto"/>
              </w:rPr>
              <w:t xml:space="preserve">, </w:t>
            </w:r>
            <w:r w:rsidRPr="00AA05EF">
              <w:rPr>
                <w:rStyle w:val="KIRMIZIChar"/>
                <w:rFonts w:eastAsia="Calibri"/>
              </w:rPr>
              <w:t>t</w:t>
            </w:r>
            <w:r w:rsidRPr="00A23740">
              <w:rPr>
                <w:b/>
                <w:strike/>
                <w:color w:val="FF0000"/>
                <w:szCs w:val="24"/>
              </w:rPr>
              <w:t>icaret</w:t>
            </w:r>
            <w:r w:rsidRPr="00A23740">
              <w:rPr>
                <w:szCs w:val="24"/>
              </w:rPr>
              <w:t xml:space="preserve"> mahkemesi </w:t>
            </w:r>
            <w:r w:rsidRPr="00A23740">
              <w:rPr>
                <w:rStyle w:val="KIRMIZIChar"/>
                <w:rFonts w:eastAsia="Calibri"/>
              </w:rPr>
              <w:t>davanın seyrine</w:t>
            </w:r>
            <w:r w:rsidRPr="00A23740">
              <w:rPr>
                <w:szCs w:val="24"/>
              </w:rPr>
              <w:t xml:space="preserve"> göre bu tedbirleri değiştirmeye veya kaldırmaya yetkilidir.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 w:val="right" w:pos="6520"/>
              </w:tabs>
              <w:rPr>
                <w:b/>
                <w:bCs/>
                <w:szCs w:val="24"/>
              </w:rPr>
            </w:pPr>
            <w:r w:rsidRPr="00A23740">
              <w:rPr>
                <w:b/>
                <w:bCs/>
                <w:szCs w:val="24"/>
              </w:rPr>
              <w:t xml:space="preserve">Kanun yollarına </w:t>
            </w:r>
            <w:r w:rsidRPr="00A23740">
              <w:rPr>
                <w:b/>
                <w:bCs/>
              </w:rPr>
              <w:t>başvur</w:t>
            </w:r>
            <w:r w:rsidRPr="00A23740">
              <w:rPr>
                <w:rStyle w:val="MaviChar"/>
              </w:rPr>
              <w:t>u</w:t>
            </w:r>
          </w:p>
          <w:p w:rsidR="00AA5C8C" w:rsidRPr="00A23740" w:rsidRDefault="00AA5C8C" w:rsidP="009431FF">
            <w:pPr>
              <w:tabs>
                <w:tab w:val="left" w:pos="567"/>
              </w:tabs>
              <w:rPr>
                <w:szCs w:val="24"/>
              </w:rPr>
            </w:pPr>
            <w:r w:rsidRPr="00A23740">
              <w:rPr>
                <w:rStyle w:val="MaviChar"/>
                <w:lang w:val="tr-TR"/>
              </w:rPr>
              <w:t xml:space="preserve">MADDE </w:t>
            </w:r>
            <w:r w:rsidR="0025055D" w:rsidRPr="00A23740">
              <w:rPr>
                <w:rStyle w:val="MAVChar"/>
                <w:rFonts w:eastAsia="Calibri"/>
                <w:u w:val="none"/>
              </w:rPr>
              <w:t>284</w:t>
            </w:r>
            <w:r w:rsidRPr="00A23740">
              <w:rPr>
                <w:rStyle w:val="MAVChar"/>
                <w:rFonts w:eastAsia="Calibri"/>
                <w:u w:val="none"/>
              </w:rPr>
              <w:t>- (1</w:t>
            </w:r>
            <w:r w:rsidRPr="00A23740">
              <w:rPr>
                <w:b/>
                <w:color w:val="0000FF"/>
                <w:szCs w:val="24"/>
              </w:rPr>
              <w:t>) İflas</w:t>
            </w:r>
            <w:r w:rsidRPr="00A23740">
              <w:rPr>
                <w:szCs w:val="24"/>
              </w:rPr>
              <w:t xml:space="preserve"> mahkemesince verilen kararlar, </w:t>
            </w:r>
            <w:r w:rsidR="00386334" w:rsidRPr="009D0B93">
              <w:rPr>
                <w:rStyle w:val="Balk1Char"/>
                <w:rFonts w:eastAsia="ヒラギノ明朝 Pro W3"/>
              </w:rPr>
              <w:t>281 inci</w:t>
            </w:r>
            <w:r w:rsidRPr="00A23740">
              <w:rPr>
                <w:rStyle w:val="MaviChar"/>
                <w:lang w:val="tr-TR"/>
              </w:rPr>
              <w:t xml:space="preserve"> </w:t>
            </w:r>
            <w:r w:rsidRPr="00A23740">
              <w:rPr>
                <w:b/>
                <w:color w:val="0000FF"/>
                <w:szCs w:val="24"/>
              </w:rPr>
              <w:t>maddenin birinci fıkrasına göre alınacak giderden karşılanmak suretiyle</w:t>
            </w:r>
            <w:r w:rsidRPr="00A23740">
              <w:rPr>
                <w:szCs w:val="24"/>
              </w:rPr>
              <w:t xml:space="preserve"> </w:t>
            </w:r>
            <w:r w:rsidRPr="00A23740">
              <w:rPr>
                <w:rStyle w:val="MaviChar"/>
              </w:rPr>
              <w:t>kendiliğinden</w:t>
            </w:r>
            <w:r w:rsidRPr="00A23740">
              <w:rPr>
                <w:szCs w:val="24"/>
              </w:rPr>
              <w:t xml:space="preserve"> taraflara tebliğ olunur.</w:t>
            </w:r>
          </w:p>
          <w:p w:rsidR="00AA5C8C" w:rsidRDefault="00AA5C8C" w:rsidP="009431FF">
            <w:pPr>
              <w:tabs>
                <w:tab w:val="left" w:pos="567"/>
              </w:tabs>
              <w:rPr>
                <w:szCs w:val="24"/>
              </w:rPr>
            </w:pPr>
          </w:p>
          <w:p w:rsidR="00AA05EF" w:rsidRPr="00A23740" w:rsidRDefault="00AA05EF" w:rsidP="009431FF">
            <w:pPr>
              <w:tabs>
                <w:tab w:val="left" w:pos="567"/>
              </w:tabs>
              <w:rPr>
                <w:szCs w:val="24"/>
              </w:rPr>
            </w:pPr>
          </w:p>
          <w:p w:rsidR="00AA5C8C" w:rsidRPr="00A23740" w:rsidRDefault="00AA5C8C" w:rsidP="009431FF">
            <w:pPr>
              <w:tabs>
                <w:tab w:val="left" w:pos="567"/>
                <w:tab w:val="right" w:pos="6520"/>
              </w:tabs>
              <w:rPr>
                <w:szCs w:val="24"/>
              </w:rPr>
            </w:pPr>
            <w:r w:rsidRPr="00A23740">
              <w:rPr>
                <w:b/>
                <w:color w:val="0000FF"/>
                <w:szCs w:val="24"/>
              </w:rPr>
              <w:t>(2)</w:t>
            </w:r>
            <w:r w:rsidRPr="00A23740">
              <w:rPr>
                <w:szCs w:val="24"/>
              </w:rPr>
              <w:t xml:space="preserve"> Bu kararlara karşı </w:t>
            </w:r>
            <w:r w:rsidRPr="00A23740">
              <w:rPr>
                <w:rStyle w:val="Stil2Char"/>
                <w:rFonts w:eastAsia="Calibri"/>
                <w:u w:val="none"/>
              </w:rPr>
              <w:t>borçlu veya alacaklı kararın tebliğinden; itiraz eden diğer alacaklılar ise iflas kararının ilanından itibaren</w:t>
            </w:r>
            <w:r w:rsidRPr="00A23740">
              <w:rPr>
                <w:rStyle w:val="Stil1Char"/>
                <w:rFonts w:eastAsia="Calibri"/>
                <w:u w:val="none"/>
              </w:rPr>
              <w:t xml:space="preserve"> </w:t>
            </w:r>
            <w:r w:rsidRPr="00A23740">
              <w:rPr>
                <w:szCs w:val="24"/>
              </w:rPr>
              <w:t>iki hafta</w:t>
            </w:r>
            <w:r w:rsidRPr="00A23740">
              <w:rPr>
                <w:b/>
                <w:color w:val="FF0000"/>
                <w:szCs w:val="24"/>
              </w:rPr>
              <w:t xml:space="preserve"> </w:t>
            </w:r>
            <w:r w:rsidRPr="00A23740">
              <w:rPr>
                <w:szCs w:val="24"/>
              </w:rPr>
              <w:t xml:space="preserve">içinde istinaf yoluna </w:t>
            </w:r>
            <w:r w:rsidRPr="00A23740">
              <w:rPr>
                <w:bCs/>
              </w:rPr>
              <w:t>başvu</w:t>
            </w:r>
            <w:r w:rsidRPr="00A23740">
              <w:rPr>
                <w:rStyle w:val="MaviChar"/>
              </w:rPr>
              <w:t>ra</w:t>
            </w:r>
            <w:r w:rsidRPr="00A23740">
              <w:rPr>
                <w:bCs/>
              </w:rPr>
              <w:t>bilir</w:t>
            </w:r>
            <w:r w:rsidRPr="00A23740">
              <w:rPr>
                <w:szCs w:val="24"/>
              </w:rPr>
              <w:t xml:space="preserve">. Bölge adliye mahkemesi kararına karşı da tebliğ tarihinden itibaren </w:t>
            </w:r>
            <w:r w:rsidRPr="00A23740">
              <w:rPr>
                <w:b/>
                <w:color w:val="0000FF"/>
                <w:szCs w:val="24"/>
              </w:rPr>
              <w:t>iki hafta</w:t>
            </w:r>
            <w:r w:rsidRPr="00A23740">
              <w:rPr>
                <w:b/>
                <w:color w:val="FF0000"/>
                <w:szCs w:val="24"/>
              </w:rPr>
              <w:t xml:space="preserve"> </w:t>
            </w:r>
            <w:r w:rsidRPr="00A23740">
              <w:rPr>
                <w:szCs w:val="24"/>
              </w:rPr>
              <w:t xml:space="preserve">içinde temyiz yoluna başvurulabilir. İstinaf ve temyiz incelemeleri, Hukuk Muhakemeleri Kanunu hükümlerine göre </w:t>
            </w:r>
            <w:r w:rsidRPr="00A23740">
              <w:rPr>
                <w:rStyle w:val="Stil2Char"/>
                <w:rFonts w:eastAsia="Calibri"/>
                <w:u w:val="none"/>
              </w:rPr>
              <w:t>ve öncelikle</w:t>
            </w:r>
            <w:r w:rsidRPr="00A23740">
              <w:rPr>
                <w:szCs w:val="24"/>
              </w:rPr>
              <w:t xml:space="preserve"> yapılır.</w:t>
            </w:r>
          </w:p>
          <w:p w:rsidR="00AA5C8C" w:rsidRPr="00A23740" w:rsidRDefault="00AA5C8C" w:rsidP="009431FF">
            <w:pPr>
              <w:tabs>
                <w:tab w:val="left" w:pos="567"/>
                <w:tab w:val="right" w:pos="6520"/>
              </w:tabs>
              <w:rPr>
                <w:szCs w:val="24"/>
              </w:rPr>
            </w:pPr>
          </w:p>
          <w:p w:rsidR="00AA5C8C" w:rsidRPr="00A23740" w:rsidRDefault="00AA5C8C" w:rsidP="009431FF">
            <w:pPr>
              <w:tabs>
                <w:tab w:val="left" w:pos="567"/>
                <w:tab w:val="right" w:pos="6520"/>
              </w:tabs>
              <w:rPr>
                <w:szCs w:val="24"/>
              </w:rPr>
            </w:pPr>
            <w:r w:rsidRPr="00A23740">
              <w:rPr>
                <w:b/>
                <w:color w:val="0000FF"/>
                <w:szCs w:val="24"/>
              </w:rPr>
              <w:t>(3)</w:t>
            </w:r>
            <w:r w:rsidRPr="00A23740">
              <w:rPr>
                <w:szCs w:val="24"/>
              </w:rPr>
              <w:t xml:space="preserve"> İflâs kararına karşı kanun yoluna başvurulması, ifl</w:t>
            </w:r>
            <w:r w:rsidR="00656C77" w:rsidRPr="00A23740">
              <w:rPr>
                <w:szCs w:val="24"/>
              </w:rPr>
              <w:t>a</w:t>
            </w:r>
            <w:r w:rsidRPr="00A23740">
              <w:rPr>
                <w:szCs w:val="24"/>
              </w:rPr>
              <w:t>sın il</w:t>
            </w:r>
            <w:r w:rsidR="00930910" w:rsidRPr="00A23740">
              <w:rPr>
                <w:szCs w:val="24"/>
              </w:rPr>
              <w:t>a</w:t>
            </w:r>
            <w:r w:rsidRPr="00A23740">
              <w:rPr>
                <w:szCs w:val="24"/>
              </w:rPr>
              <w:t xml:space="preserve">nına ve masanın teşkiline </w:t>
            </w:r>
            <w:r w:rsidRPr="00A23740">
              <w:rPr>
                <w:b/>
                <w:color w:val="0000FF"/>
                <w:szCs w:val="24"/>
              </w:rPr>
              <w:t>engel</w:t>
            </w:r>
            <w:r w:rsidRPr="00A23740">
              <w:rPr>
                <w:szCs w:val="24"/>
              </w:rPr>
              <w:t xml:space="preserve"> değildir. </w:t>
            </w:r>
            <w:r w:rsidRPr="00A23740">
              <w:rPr>
                <w:rStyle w:val="MAVChar"/>
                <w:rFonts w:eastAsia="Calibri"/>
                <w:u w:val="none"/>
              </w:rPr>
              <w:t>Ancak,</w:t>
            </w:r>
            <w:r w:rsidRPr="00A23740">
              <w:rPr>
                <w:szCs w:val="24"/>
              </w:rPr>
              <w:t xml:space="preserve"> iflas kararı kesinleşmedikçe ikinci alacaklılar toplantısı yapılamaz</w:t>
            </w:r>
            <w:r w:rsidRPr="00A23740">
              <w:rPr>
                <w:b/>
                <w:color w:val="0000FF"/>
                <w:szCs w:val="24"/>
              </w:rPr>
              <w:t xml:space="preserve">; aksine bir </w:t>
            </w:r>
            <w:r w:rsidRPr="00A23740">
              <w:rPr>
                <w:rStyle w:val="MaviChar"/>
              </w:rPr>
              <w:t>hüküm</w:t>
            </w:r>
            <w:r w:rsidRPr="00A23740">
              <w:rPr>
                <w:b/>
                <w:color w:val="0000FF"/>
                <w:szCs w:val="24"/>
              </w:rPr>
              <w:t xml:space="preserve"> olmadıkça iflas masasındaki malların satışı istenemez.</w:t>
            </w:r>
          </w:p>
          <w:p w:rsidR="00AA5C8C" w:rsidRPr="00A23740" w:rsidRDefault="00AA5C8C" w:rsidP="009431FF">
            <w:pPr>
              <w:tabs>
                <w:tab w:val="left" w:pos="567"/>
                <w:tab w:val="right" w:pos="6520"/>
              </w:tabs>
              <w:rPr>
                <w:szCs w:val="24"/>
              </w:rPr>
            </w:pPr>
          </w:p>
          <w:p w:rsidR="00AA5C8C" w:rsidRPr="00A23740" w:rsidRDefault="00AA5C8C" w:rsidP="009431FF">
            <w:pPr>
              <w:pStyle w:val="Mavi"/>
              <w:rPr>
                <w:lang w:val="tr-TR"/>
              </w:rPr>
            </w:pPr>
            <w:r w:rsidRPr="00A23740">
              <w:rPr>
                <w:lang w:val="tr-TR"/>
              </w:rPr>
              <w:t xml:space="preserve">(4) </w:t>
            </w:r>
            <w:r w:rsidRPr="00A23740">
              <w:t>İflas</w:t>
            </w:r>
            <w:r w:rsidRPr="00A23740">
              <w:rPr>
                <w:lang w:val="tr-TR"/>
              </w:rPr>
              <w:t xml:space="preserve"> mahkemesince veya ilk defa </w:t>
            </w:r>
            <w:r w:rsidRPr="00A23740">
              <w:rPr>
                <w:b w:val="0"/>
                <w:bCs w:val="0"/>
                <w:color w:val="auto"/>
                <w:lang w:val="tr-TR" w:eastAsia="en-US"/>
              </w:rPr>
              <w:t>bölge adliye mahkemesince</w:t>
            </w:r>
            <w:r w:rsidRPr="00A23740">
              <w:rPr>
                <w:lang w:val="tr-TR"/>
              </w:rPr>
              <w:t xml:space="preserve"> verilen </w:t>
            </w:r>
            <w:r w:rsidRPr="00A23740">
              <w:rPr>
                <w:b w:val="0"/>
                <w:bCs w:val="0"/>
                <w:color w:val="auto"/>
                <w:lang w:val="tr-TR" w:eastAsia="en-US"/>
              </w:rPr>
              <w:t>iflas karar</w:t>
            </w:r>
            <w:r w:rsidRPr="00A23740">
              <w:rPr>
                <w:lang w:val="tr-TR"/>
              </w:rPr>
              <w:t>larının kanun yolu incelemesi sonucu kaldırılması veya bozulması h</w:t>
            </w:r>
            <w:r w:rsidR="00386334" w:rsidRPr="00A23740">
              <w:rPr>
                <w:lang w:val="tr-TR"/>
              </w:rPr>
              <w:t>â</w:t>
            </w:r>
            <w:r w:rsidRPr="00A23740">
              <w:rPr>
                <w:lang w:val="tr-TR"/>
              </w:rPr>
              <w:t xml:space="preserve">llerinde </w:t>
            </w:r>
            <w:r w:rsidRPr="00A23740">
              <w:rPr>
                <w:b w:val="0"/>
                <w:bCs w:val="0"/>
                <w:color w:val="auto"/>
                <w:lang w:val="tr-TR" w:eastAsia="en-US"/>
              </w:rPr>
              <w:t>borçlunun malları</w:t>
            </w:r>
            <w:r w:rsidRPr="00A23740">
              <w:rPr>
                <w:lang w:val="tr-TR"/>
              </w:rPr>
              <w:t xml:space="preserve"> hakkında daha önce verilen </w:t>
            </w:r>
            <w:r w:rsidRPr="00A23740">
              <w:rPr>
                <w:b w:val="0"/>
                <w:bCs w:val="0"/>
                <w:color w:val="auto"/>
                <w:lang w:val="tr-TR" w:eastAsia="en-US"/>
              </w:rPr>
              <w:t>tedbirler devam eder.</w:t>
            </w:r>
            <w:r w:rsidRPr="00A23740">
              <w:rPr>
                <w:lang w:val="tr-TR"/>
              </w:rPr>
              <w:t xml:space="preserve"> </w:t>
            </w:r>
            <w:r w:rsidRPr="00A23740">
              <w:rPr>
                <w:b w:val="0"/>
                <w:bCs w:val="0"/>
                <w:color w:val="auto"/>
                <w:lang w:val="tr-TR" w:eastAsia="en-US"/>
              </w:rPr>
              <w:t>Şu kadar ki</w:t>
            </w:r>
            <w:r w:rsidR="00C6385E">
              <w:rPr>
                <w:b w:val="0"/>
                <w:bCs w:val="0"/>
                <w:color w:val="auto"/>
                <w:lang w:val="tr-TR" w:eastAsia="en-US"/>
              </w:rPr>
              <w:t>,</w:t>
            </w:r>
            <w:r w:rsidRPr="00A23740">
              <w:rPr>
                <w:lang w:val="tr-TR"/>
              </w:rPr>
              <w:t xml:space="preserve"> </w:t>
            </w:r>
            <w:r w:rsidRPr="00A23740">
              <w:t>iflas</w:t>
            </w:r>
            <w:r w:rsidRPr="00A23740">
              <w:rPr>
                <w:lang w:val="tr-TR"/>
              </w:rPr>
              <w:t xml:space="preserve"> </w:t>
            </w:r>
            <w:r w:rsidRPr="00A23740">
              <w:rPr>
                <w:b w:val="0"/>
                <w:bCs w:val="0"/>
                <w:color w:val="auto"/>
                <w:lang w:val="tr-TR" w:eastAsia="en-US"/>
              </w:rPr>
              <w:t xml:space="preserve">mahkemesi </w:t>
            </w:r>
            <w:r w:rsidRPr="00A23740">
              <w:rPr>
                <w:lang w:val="tr-TR"/>
              </w:rPr>
              <w:t xml:space="preserve">veya bölge adliye mahkemesi </w:t>
            </w:r>
            <w:r w:rsidRPr="00A23740">
              <w:t>duruma</w:t>
            </w:r>
            <w:r w:rsidRPr="00A23740">
              <w:rPr>
                <w:lang w:val="tr-TR"/>
              </w:rPr>
              <w:t xml:space="preserve"> </w:t>
            </w:r>
            <w:r w:rsidRPr="00A23740">
              <w:rPr>
                <w:b w:val="0"/>
                <w:bCs w:val="0"/>
                <w:color w:val="auto"/>
                <w:lang w:val="tr-TR" w:eastAsia="en-US"/>
              </w:rPr>
              <w:t>göre bu tedbirleri değiştirmeye veya kaldırmaya yetkilidir.</w:t>
            </w:r>
          </w:p>
          <w:p w:rsidR="00AA5C8C" w:rsidRPr="00A23740" w:rsidRDefault="00AA5C8C" w:rsidP="009431FF">
            <w:pPr>
              <w:tabs>
                <w:tab w:val="left" w:pos="567"/>
                <w:tab w:val="right" w:pos="6520"/>
              </w:tabs>
              <w:rPr>
                <w:szCs w:val="24"/>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242067" w:rsidRPr="00A23740" w:rsidRDefault="00242067" w:rsidP="009431FF">
            <w:pPr>
              <w:tabs>
                <w:tab w:val="left" w:pos="567"/>
                <w:tab w:val="right" w:pos="6520"/>
              </w:tabs>
              <w:ind w:firstLine="709"/>
              <w:rPr>
                <w:b/>
              </w:rPr>
            </w:pPr>
          </w:p>
          <w:p w:rsidR="00687220" w:rsidRPr="00A23740" w:rsidRDefault="00687220" w:rsidP="009431FF">
            <w:pPr>
              <w:tabs>
                <w:tab w:val="left" w:pos="567"/>
                <w:tab w:val="right" w:pos="6520"/>
              </w:tabs>
              <w:ind w:firstLine="709"/>
              <w:rPr>
                <w:bCs/>
                <w:szCs w:val="24"/>
              </w:rPr>
            </w:pPr>
            <w:r w:rsidRPr="00A23740">
              <w:rPr>
                <w:b/>
              </w:rPr>
              <w:t>MADDE 284-</w:t>
            </w:r>
            <w:r w:rsidRPr="00A23740">
              <w:t xml:space="preserve"> Maddeyle, iflas yoluyla takipte </w:t>
            </w:r>
            <w:r w:rsidRPr="00A23740">
              <w:rPr>
                <w:szCs w:val="24"/>
              </w:rPr>
              <w:t xml:space="preserve">kanun yollarına başvuruya ilişkin hususlar düzenlenmektedir. </w:t>
            </w:r>
            <w:r w:rsidRPr="00A23740">
              <w:rPr>
                <w:bCs/>
                <w:szCs w:val="24"/>
              </w:rPr>
              <w:t xml:space="preserve">İflas mahkemesince iflas talebi üzerine verilecek kararlara karşı geçerli kanun yolları hakkında 2004 </w:t>
            </w:r>
            <w:r w:rsidR="00386334" w:rsidRPr="00D60C1D">
              <w:rPr>
                <w:rStyle w:val="YELChar"/>
                <w:b w:val="0"/>
                <w:color w:val="000000"/>
              </w:rPr>
              <w:t>sayılı Kanunun</w:t>
            </w:r>
            <w:r w:rsidRPr="00A23740">
              <w:rPr>
                <w:bCs/>
                <w:szCs w:val="24"/>
              </w:rPr>
              <w:t xml:space="preserve"> 164 üncü maddesi, </w:t>
            </w:r>
            <w:r w:rsidR="00B01684" w:rsidRPr="00A23740">
              <w:rPr>
                <w:bCs/>
                <w:szCs w:val="24"/>
              </w:rPr>
              <w:t xml:space="preserve">düzeltilerek </w:t>
            </w:r>
            <w:r w:rsidR="00A90F39" w:rsidRPr="00A23740">
              <w:rPr>
                <w:bCs/>
                <w:szCs w:val="24"/>
              </w:rPr>
              <w:t>yeni</w:t>
            </w:r>
            <w:r w:rsidRPr="00A23740">
              <w:rPr>
                <w:bCs/>
                <w:szCs w:val="24"/>
              </w:rPr>
              <w:t xml:space="preserve">den ele alınmıştır. Buna göre iflas kararı, bir istisna olarak mahkemece taraflara, masrafı iflas giderlerinden karşılanmak üzere kendiliğinden tebliğ olunur. Bu tebliğ, yapılacak istinaf başvurusu için önemlidir. </w:t>
            </w:r>
          </w:p>
          <w:p w:rsidR="00687220" w:rsidRPr="00A23740" w:rsidRDefault="00687220" w:rsidP="009431FF">
            <w:pPr>
              <w:tabs>
                <w:tab w:val="left" w:pos="567"/>
                <w:tab w:val="right" w:pos="6520"/>
              </w:tabs>
              <w:ind w:firstLine="709"/>
              <w:rPr>
                <w:bCs/>
                <w:szCs w:val="24"/>
              </w:rPr>
            </w:pPr>
            <w:r w:rsidRPr="00A23740">
              <w:rPr>
                <w:bCs/>
                <w:szCs w:val="24"/>
              </w:rPr>
              <w:t>Mahkemece verilecek karara karşı takip alacaklısı ile borçlusu, kararın tebliğinden; ilan üzerine itirazlarını ileri süren sair alacaklılar ise iflas kararının ilanından itibaren iki hafta içinde istinaf yoluna başvurabilecektir. İflas talebinin reddi h</w:t>
            </w:r>
            <w:r w:rsidR="008D7868" w:rsidRPr="00A23740">
              <w:rPr>
                <w:bCs/>
                <w:szCs w:val="24"/>
              </w:rPr>
              <w:t>â</w:t>
            </w:r>
            <w:r w:rsidRPr="00A23740">
              <w:rPr>
                <w:bCs/>
                <w:szCs w:val="24"/>
              </w:rPr>
              <w:t>linde ise sair alacaklıların istinaf kanun yoluna başvurmaları beklenmez. İstinaf üzerine verilen karara karşı ise temyiz yoluna kural olarak</w:t>
            </w:r>
            <w:r w:rsidR="00386334" w:rsidRPr="00D60C1D">
              <w:rPr>
                <w:rStyle w:val="YELChar"/>
                <w:b w:val="0"/>
                <w:color w:val="000000"/>
              </w:rPr>
              <w:t>,</w:t>
            </w:r>
            <w:r w:rsidRPr="00A23740">
              <w:rPr>
                <w:bCs/>
                <w:szCs w:val="24"/>
              </w:rPr>
              <w:t xml:space="preserve"> kararın tebliğinden itibaren iki hafta içinde müracaat edilebilecektir. Bu bağlamda değinilmesi gereken bir istisna da hiç şüphesiz ki, ilk defa istinaf denetimi sırasında iflasa karar verilmesidir. Buna göre söz konusu iflas kararı hakkında, artık birinci fıkra hükmü yanında Taslağın </w:t>
            </w:r>
            <w:r w:rsidR="00242067" w:rsidRPr="00D60C1D">
              <w:rPr>
                <w:rStyle w:val="YELChar"/>
                <w:b w:val="0"/>
                <w:color w:val="000000"/>
              </w:rPr>
              <w:t>281 inci</w:t>
            </w:r>
            <w:r w:rsidR="00242067" w:rsidRPr="00A23740">
              <w:rPr>
                <w:bCs/>
                <w:szCs w:val="24"/>
              </w:rPr>
              <w:t xml:space="preserve"> </w:t>
            </w:r>
            <w:r w:rsidRPr="00A23740">
              <w:rPr>
                <w:bCs/>
                <w:szCs w:val="24"/>
              </w:rPr>
              <w:t xml:space="preserve">madde hükmü geçerli olacağından; temyiz süresi </w:t>
            </w:r>
            <w:r w:rsidR="00386334" w:rsidRPr="00D60C1D">
              <w:rPr>
                <w:rStyle w:val="YELChar"/>
                <w:b w:val="0"/>
                <w:color w:val="000000"/>
              </w:rPr>
              <w:t>bakımından</w:t>
            </w:r>
            <w:r w:rsidRPr="00A23740">
              <w:rPr>
                <w:bCs/>
                <w:szCs w:val="24"/>
              </w:rPr>
              <w:t xml:space="preserve"> anılan tebliğ ve ilan seçenekleri de kıyasen işlerlik kazanacaktır. Söz konusu kanun yolu denetimleri, </w:t>
            </w:r>
            <w:r w:rsidR="003E7FF9" w:rsidRPr="00D60C1D">
              <w:rPr>
                <w:rStyle w:val="KonuBalChar"/>
                <w:rFonts w:eastAsia="Calibri"/>
                <w:b w:val="0"/>
                <w:color w:val="000000"/>
              </w:rPr>
              <w:t>6100 sayılı Kanun</w:t>
            </w:r>
            <w:r w:rsidR="003E7FF9" w:rsidRPr="00D60C1D">
              <w:rPr>
                <w:rStyle w:val="KonuBalChar"/>
                <w:rFonts w:eastAsia="Calibri"/>
                <w:b w:val="0"/>
                <w:color w:val="000000"/>
                <w:lang w:val="tr-TR"/>
              </w:rPr>
              <w:t>a</w:t>
            </w:r>
            <w:r w:rsidR="003E7FF9" w:rsidRPr="00A23740">
              <w:rPr>
                <w:bCs/>
                <w:szCs w:val="24"/>
              </w:rPr>
              <w:t xml:space="preserve"> </w:t>
            </w:r>
            <w:r w:rsidRPr="00A23740">
              <w:rPr>
                <w:bCs/>
                <w:szCs w:val="24"/>
              </w:rPr>
              <w:t>tabi olup</w:t>
            </w:r>
            <w:r w:rsidR="003E7FF9" w:rsidRPr="00A23740">
              <w:rPr>
                <w:bCs/>
                <w:szCs w:val="24"/>
              </w:rPr>
              <w:t>,</w:t>
            </w:r>
            <w:r w:rsidRPr="00A23740">
              <w:rPr>
                <w:bCs/>
                <w:szCs w:val="24"/>
              </w:rPr>
              <w:t xml:space="preserve"> öncelikle çözüme kavuşturulmalıdır. </w:t>
            </w:r>
          </w:p>
          <w:p w:rsidR="00687220" w:rsidRPr="00A23740" w:rsidRDefault="00242067" w:rsidP="009431FF">
            <w:pPr>
              <w:tabs>
                <w:tab w:val="left" w:pos="567"/>
                <w:tab w:val="right" w:pos="6520"/>
              </w:tabs>
              <w:ind w:firstLine="709"/>
              <w:rPr>
                <w:bCs/>
                <w:szCs w:val="24"/>
              </w:rPr>
            </w:pPr>
            <w:r w:rsidRPr="00A23740">
              <w:rPr>
                <w:bCs/>
                <w:szCs w:val="24"/>
              </w:rPr>
              <w:t xml:space="preserve">Üçüncü </w:t>
            </w:r>
            <w:r w:rsidRPr="00D60C1D">
              <w:rPr>
                <w:rStyle w:val="KonuBalChar"/>
                <w:rFonts w:eastAsia="ヒラギノ明朝 Pro W3"/>
                <w:b w:val="0"/>
                <w:color w:val="000000"/>
              </w:rPr>
              <w:t>fıkraya</w:t>
            </w:r>
            <w:r w:rsidR="00A90F39" w:rsidRPr="00D60C1D">
              <w:rPr>
                <w:rStyle w:val="YELChar"/>
                <w:b w:val="0"/>
                <w:color w:val="000000"/>
              </w:rPr>
              <w:t xml:space="preserve"> göre</w:t>
            </w:r>
            <w:r w:rsidR="00B01684" w:rsidRPr="00D60C1D">
              <w:rPr>
                <w:rStyle w:val="YELChar"/>
                <w:b w:val="0"/>
                <w:color w:val="000000"/>
              </w:rPr>
              <w:t>,</w:t>
            </w:r>
            <w:r w:rsidR="00687220" w:rsidRPr="00A23740">
              <w:rPr>
                <w:bCs/>
                <w:szCs w:val="24"/>
              </w:rPr>
              <w:t xml:space="preserve"> kanun yoluna başvuru ne iflasın ilanına ne de masanın teşkiline engeldir. Ne var ki, iflas kararı kesinleşmeden ikinci alacaklılar toplantısı yapıl</w:t>
            </w:r>
            <w:r w:rsidR="00A90F39" w:rsidRPr="00A23740">
              <w:rPr>
                <w:bCs/>
                <w:szCs w:val="24"/>
              </w:rPr>
              <w:t>a</w:t>
            </w:r>
            <w:r w:rsidR="00687220" w:rsidRPr="00A23740">
              <w:rPr>
                <w:bCs/>
                <w:szCs w:val="24"/>
              </w:rPr>
              <w:t>mayacağı gibi</w:t>
            </w:r>
            <w:r w:rsidR="00B01684" w:rsidRPr="00A23740">
              <w:rPr>
                <w:bCs/>
                <w:szCs w:val="24"/>
              </w:rPr>
              <w:t>,</w:t>
            </w:r>
            <w:r w:rsidR="00687220" w:rsidRPr="00A23740">
              <w:rPr>
                <w:bCs/>
                <w:szCs w:val="24"/>
              </w:rPr>
              <w:t xml:space="preserve"> Taslağın bu kısmında da açıklığa kavuşturulduğu üzere</w:t>
            </w:r>
            <w:r w:rsidR="00A90F39" w:rsidRPr="00D60C1D">
              <w:rPr>
                <w:rStyle w:val="YELChar"/>
                <w:b w:val="0"/>
                <w:color w:val="000000"/>
              </w:rPr>
              <w:t>, istisnai bir durum olmadıkça</w:t>
            </w:r>
            <w:r w:rsidR="00687220" w:rsidRPr="00A23740">
              <w:rPr>
                <w:bCs/>
                <w:szCs w:val="24"/>
              </w:rPr>
              <w:t xml:space="preserve"> masa mallarının satış</w:t>
            </w:r>
            <w:r w:rsidR="00A90F39" w:rsidRPr="00A23740">
              <w:rPr>
                <w:bCs/>
                <w:szCs w:val="24"/>
              </w:rPr>
              <w:t>ı da gerçekleştirilemeyecektir.</w:t>
            </w:r>
          </w:p>
          <w:p w:rsidR="00687220" w:rsidRPr="00A23740" w:rsidRDefault="00A90F39" w:rsidP="00DE5024">
            <w:pPr>
              <w:tabs>
                <w:tab w:val="left" w:pos="567"/>
                <w:tab w:val="right" w:pos="6520"/>
              </w:tabs>
              <w:ind w:firstLine="709"/>
              <w:rPr>
                <w:b/>
                <w:bCs/>
                <w:szCs w:val="24"/>
              </w:rPr>
            </w:pPr>
            <w:r w:rsidRPr="00A23740">
              <w:rPr>
                <w:bCs/>
                <w:szCs w:val="24"/>
              </w:rPr>
              <w:t xml:space="preserve">Verilen </w:t>
            </w:r>
            <w:r w:rsidR="00687220" w:rsidRPr="00A23740">
              <w:rPr>
                <w:bCs/>
                <w:szCs w:val="24"/>
              </w:rPr>
              <w:t>iflas kararının kaldırılması veya bozulması h</w:t>
            </w:r>
            <w:r w:rsidRPr="00A23740">
              <w:rPr>
                <w:bCs/>
                <w:szCs w:val="24"/>
              </w:rPr>
              <w:t>â</w:t>
            </w:r>
            <w:r w:rsidR="00687220" w:rsidRPr="00A23740">
              <w:rPr>
                <w:bCs/>
                <w:szCs w:val="24"/>
              </w:rPr>
              <w:t>linde, evvelce de geçerli olduğu üzere</w:t>
            </w:r>
            <w:r w:rsidRPr="00AA05EF">
              <w:rPr>
                <w:rStyle w:val="YELChar"/>
                <w:b w:val="0"/>
                <w:color w:val="000000" w:themeColor="text1"/>
              </w:rPr>
              <w:t>,</w:t>
            </w:r>
            <w:r w:rsidR="00687220" w:rsidRPr="00A23740">
              <w:rPr>
                <w:bCs/>
                <w:szCs w:val="24"/>
              </w:rPr>
              <w:t xml:space="preserve"> borçlunun malları üzerinde var olan tedbirler dev</w:t>
            </w:r>
            <w:r w:rsidR="003D0EF7" w:rsidRPr="00A23740">
              <w:rPr>
                <w:bCs/>
                <w:szCs w:val="24"/>
              </w:rPr>
              <w:t>a</w:t>
            </w:r>
            <w:r w:rsidR="00687220" w:rsidRPr="00A23740">
              <w:rPr>
                <w:bCs/>
                <w:szCs w:val="24"/>
              </w:rPr>
              <w:t>m edecek olup</w:t>
            </w:r>
            <w:r w:rsidR="003D0EF7" w:rsidRPr="00AA05EF">
              <w:rPr>
                <w:rStyle w:val="YELChar"/>
                <w:b w:val="0"/>
                <w:color w:val="000000" w:themeColor="text1"/>
              </w:rPr>
              <w:t>,</w:t>
            </w:r>
            <w:r w:rsidR="00687220" w:rsidRPr="00A23740">
              <w:rPr>
                <w:bCs/>
                <w:szCs w:val="24"/>
              </w:rPr>
              <w:t xml:space="preserve"> iflas mahkemesi veya Bölge Adliye Mahkemesi bunları değiştirmeye veya kaldırmaya </w:t>
            </w:r>
            <w:r w:rsidR="003D0EF7" w:rsidRPr="00D60C1D">
              <w:rPr>
                <w:rStyle w:val="YELChar"/>
                <w:b w:val="0"/>
                <w:color w:val="000000"/>
              </w:rPr>
              <w:t>yetkili olacaktır</w:t>
            </w:r>
            <w:r w:rsidR="00687220" w:rsidRPr="00A23740">
              <w:rPr>
                <w:bCs/>
                <w:szCs w:val="24"/>
              </w:rPr>
              <w:t xml:space="preserve">. </w:t>
            </w:r>
          </w:p>
          <w:p w:rsidR="00650A68" w:rsidRPr="00A23740" w:rsidRDefault="00650A68" w:rsidP="00DE5024">
            <w:pPr>
              <w:ind w:firstLine="709"/>
              <w:rPr>
                <w:rFonts w:eastAsia="Times New Roman"/>
                <w:b/>
                <w:bCs/>
                <w:color w:val="FF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widowControl w:val="0"/>
            </w:pPr>
            <w:r w:rsidRPr="00A23740">
              <w:t xml:space="preserve">IV. DOĞRUDAN DOĞRUYA İFLAS </w:t>
            </w:r>
            <w:r w:rsidRPr="00A23740">
              <w:rPr>
                <w:rFonts w:eastAsia="Calibri"/>
              </w:rPr>
              <w:t>HALLERİ</w:t>
            </w:r>
          </w:p>
          <w:p w:rsidR="00AA5C8C" w:rsidRPr="00A23740" w:rsidRDefault="00AA5C8C" w:rsidP="009431FF">
            <w:pPr>
              <w:widowControl w:val="0"/>
              <w:tabs>
                <w:tab w:val="left" w:pos="567"/>
              </w:tabs>
              <w:rPr>
                <w:b/>
                <w:strike/>
                <w:color w:val="FF0000"/>
                <w:szCs w:val="24"/>
              </w:rPr>
            </w:pPr>
            <w:r w:rsidRPr="00A23740">
              <w:rPr>
                <w:b/>
                <w:strike/>
                <w:color w:val="FF0000"/>
                <w:szCs w:val="24"/>
              </w:rPr>
              <w:t>Evvelce takibe hacet kalmaksızın iflas:</w:t>
            </w:r>
          </w:p>
          <w:p w:rsidR="00AA5C8C" w:rsidRPr="00A23740" w:rsidRDefault="00AA5C8C" w:rsidP="009431FF">
            <w:pPr>
              <w:widowControl w:val="0"/>
              <w:tabs>
                <w:tab w:val="left" w:pos="567"/>
              </w:tabs>
              <w:rPr>
                <w:b/>
                <w:strike/>
                <w:color w:val="FF0000"/>
                <w:szCs w:val="24"/>
              </w:rPr>
            </w:pPr>
          </w:p>
          <w:p w:rsidR="00AA5C8C" w:rsidRPr="00A23740" w:rsidRDefault="00AA5C8C" w:rsidP="009431FF">
            <w:pPr>
              <w:widowControl w:val="0"/>
              <w:tabs>
                <w:tab w:val="left" w:pos="567"/>
              </w:tabs>
              <w:rPr>
                <w:szCs w:val="24"/>
              </w:rPr>
            </w:pPr>
            <w:r w:rsidRPr="00A23740">
              <w:rPr>
                <w:rStyle w:val="KIRMIZIChar"/>
                <w:rFonts w:eastAsia="Calibri"/>
              </w:rPr>
              <w:t>A -</w:t>
            </w:r>
            <w:r w:rsidRPr="00A23740">
              <w:rPr>
                <w:szCs w:val="24"/>
              </w:rPr>
              <w:t xml:space="preserve"> Alacaklının talebi</w:t>
            </w:r>
            <w:r w:rsidRPr="00A23740">
              <w:rPr>
                <w:b/>
                <w:strike/>
                <w:color w:val="FF0000"/>
                <w:szCs w:val="24"/>
              </w:rPr>
              <w:t>:</w:t>
            </w:r>
          </w:p>
          <w:p w:rsidR="00AA5C8C" w:rsidRPr="00A23740" w:rsidRDefault="00AA5C8C" w:rsidP="009431FF">
            <w:pPr>
              <w:widowControl w:val="0"/>
              <w:tabs>
                <w:tab w:val="left" w:pos="567"/>
              </w:tabs>
              <w:rPr>
                <w:szCs w:val="24"/>
              </w:rPr>
            </w:pPr>
            <w:r w:rsidRPr="00A23740">
              <w:rPr>
                <w:rStyle w:val="KIRMIZIChar"/>
                <w:rFonts w:eastAsia="Calibri"/>
              </w:rPr>
              <w:t>Madde 177 – (1)</w:t>
            </w:r>
            <w:r w:rsidRPr="00A23740">
              <w:rPr>
                <w:b/>
                <w:szCs w:val="24"/>
              </w:rPr>
              <w:t xml:space="preserve"> </w:t>
            </w:r>
            <w:r w:rsidRPr="00A23740">
              <w:rPr>
                <w:szCs w:val="24"/>
              </w:rPr>
              <w:t xml:space="preserve">Aşağıdaki hallerde alacaklı </w:t>
            </w:r>
            <w:r w:rsidRPr="00A23740">
              <w:rPr>
                <w:b/>
                <w:strike/>
                <w:color w:val="FF0000"/>
                <w:szCs w:val="24"/>
              </w:rPr>
              <w:t>evvelce takibe hacet kalmaksızın</w:t>
            </w:r>
            <w:r w:rsidRPr="00C6385E">
              <w:rPr>
                <w:b/>
                <w:color w:val="FF0000"/>
                <w:szCs w:val="24"/>
              </w:rPr>
              <w:t xml:space="preserve"> </w:t>
            </w:r>
            <w:r w:rsidRPr="00A23740">
              <w:rPr>
                <w:szCs w:val="24"/>
              </w:rPr>
              <w:t>iflasa tabi borçlunun iflasını isteyebilir</w:t>
            </w:r>
            <w:r w:rsidRPr="00A23740">
              <w:rPr>
                <w:b/>
                <w:strike/>
                <w:color w:val="FF0000"/>
                <w:szCs w:val="24"/>
              </w:rPr>
              <w:t>.</w:t>
            </w:r>
          </w:p>
          <w:p w:rsidR="00AA5C8C" w:rsidRPr="00A23740" w:rsidRDefault="00AA5C8C" w:rsidP="009431FF">
            <w:pPr>
              <w:widowControl w:val="0"/>
              <w:tabs>
                <w:tab w:val="left" w:pos="567"/>
              </w:tabs>
              <w:rPr>
                <w:szCs w:val="24"/>
              </w:rPr>
            </w:pPr>
          </w:p>
          <w:p w:rsidR="0006435B" w:rsidRPr="00A23740" w:rsidRDefault="0006435B" w:rsidP="009431FF">
            <w:pPr>
              <w:widowControl w:val="0"/>
              <w:tabs>
                <w:tab w:val="left" w:pos="567"/>
              </w:tabs>
              <w:rPr>
                <w:szCs w:val="24"/>
              </w:rPr>
            </w:pPr>
          </w:p>
          <w:p w:rsidR="00AA5C8C" w:rsidRPr="00A23740" w:rsidRDefault="00AA5C8C" w:rsidP="009431FF">
            <w:pPr>
              <w:widowControl w:val="0"/>
              <w:tabs>
                <w:tab w:val="left" w:pos="567"/>
              </w:tabs>
              <w:rPr>
                <w:b/>
                <w:strike/>
                <w:color w:val="FF0000"/>
                <w:szCs w:val="24"/>
              </w:rPr>
            </w:pPr>
            <w:r w:rsidRPr="00A23740">
              <w:rPr>
                <w:b/>
                <w:strike/>
                <w:color w:val="FF0000"/>
                <w:szCs w:val="24"/>
              </w:rPr>
              <w:t>1 -</w:t>
            </w:r>
            <w:r w:rsidRPr="00A23740">
              <w:rPr>
                <w:szCs w:val="24"/>
              </w:rPr>
              <w:t xml:space="preserve"> Borçlu</w:t>
            </w:r>
            <w:r w:rsidRPr="00AA05EF">
              <w:rPr>
                <w:color w:val="000000" w:themeColor="text1"/>
                <w:szCs w:val="24"/>
              </w:rPr>
              <w:t>nun</w:t>
            </w:r>
            <w:r w:rsidRPr="00AA05EF">
              <w:rPr>
                <w:b/>
                <w:color w:val="FF0000"/>
                <w:szCs w:val="24"/>
              </w:rPr>
              <w:t xml:space="preserve"> </w:t>
            </w:r>
            <w:r w:rsidRPr="00A23740">
              <w:rPr>
                <w:b/>
                <w:strike/>
                <w:color w:val="FF0000"/>
                <w:szCs w:val="24"/>
              </w:rPr>
              <w:t>malum yerleşim yeri olmaz,</w:t>
            </w:r>
            <w:r w:rsidRPr="00A23740">
              <w:rPr>
                <w:szCs w:val="24"/>
              </w:rPr>
              <w:t xml:space="preserve"> taahhütlerinden kurtulmak </w:t>
            </w:r>
            <w:r w:rsidRPr="00A23740">
              <w:rPr>
                <w:b/>
                <w:strike/>
                <w:color w:val="FF0000"/>
                <w:szCs w:val="24"/>
              </w:rPr>
              <w:t>maksadiyle</w:t>
            </w:r>
            <w:r w:rsidRPr="00A23740">
              <w:rPr>
                <w:szCs w:val="24"/>
              </w:rPr>
              <w:t xml:space="preserve"> kaçar, alacaklıların haklarını ihlal </w:t>
            </w:r>
            <w:r w:rsidRPr="00A23740">
              <w:rPr>
                <w:rStyle w:val="KIRMIZIChar"/>
                <w:rFonts w:eastAsia="Calibri"/>
              </w:rPr>
              <w:t>elen</w:t>
            </w:r>
            <w:r w:rsidRPr="00A23740">
              <w:rPr>
                <w:szCs w:val="24"/>
              </w:rPr>
              <w:t xml:space="preserve"> hileli </w:t>
            </w:r>
            <w:r w:rsidRPr="00A23740">
              <w:rPr>
                <w:b/>
                <w:strike/>
                <w:color w:val="FF0000"/>
                <w:szCs w:val="24"/>
              </w:rPr>
              <w:t>muamelelerde</w:t>
            </w:r>
            <w:r w:rsidRPr="00A23740">
              <w:rPr>
                <w:szCs w:val="24"/>
              </w:rPr>
              <w:t xml:space="preserve"> bulunur veya bunlara teşebbüs eder yahut haciz yol</w:t>
            </w:r>
            <w:r w:rsidRPr="00A23740">
              <w:rPr>
                <w:b/>
                <w:strike/>
                <w:color w:val="FF0000"/>
                <w:szCs w:val="24"/>
              </w:rPr>
              <w:t>iyle</w:t>
            </w:r>
            <w:r w:rsidRPr="00A23740">
              <w:rPr>
                <w:szCs w:val="24"/>
              </w:rPr>
              <w:t xml:space="preserve"> yapılan takip sırasında mallarını saklarsa</w:t>
            </w:r>
            <w:r w:rsidRPr="00A23740">
              <w:rPr>
                <w:b/>
                <w:strike/>
                <w:color w:val="FF0000"/>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strike/>
                <w:color w:val="FF0000"/>
                <w:szCs w:val="24"/>
              </w:rPr>
            </w:pPr>
            <w:r w:rsidRPr="00A23740">
              <w:rPr>
                <w:b/>
                <w:strike/>
                <w:color w:val="FF0000"/>
                <w:szCs w:val="24"/>
              </w:rPr>
              <w:t>2 -</w:t>
            </w:r>
            <w:r w:rsidRPr="00A23740">
              <w:rPr>
                <w:szCs w:val="24"/>
              </w:rPr>
              <w:t xml:space="preserve"> Borçlu ödemelerini tatil </w:t>
            </w:r>
            <w:r w:rsidRPr="00A23740">
              <w:rPr>
                <w:b/>
                <w:strike/>
                <w:color w:val="FF0000"/>
                <w:szCs w:val="24"/>
              </w:rPr>
              <w:t>eylemiş bulunursa;</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strike/>
                <w:color w:val="FF0000"/>
                <w:szCs w:val="24"/>
              </w:rPr>
            </w:pPr>
            <w:r w:rsidRPr="00A23740">
              <w:rPr>
                <w:b/>
                <w:strike/>
                <w:color w:val="FF0000"/>
                <w:szCs w:val="24"/>
              </w:rPr>
              <w:t>3 - 308 inci maddedeki hal varsa;</w:t>
            </w:r>
          </w:p>
          <w:p w:rsidR="00AA5C8C" w:rsidRPr="00A23740" w:rsidRDefault="00AA5C8C" w:rsidP="009431FF">
            <w:pPr>
              <w:widowControl w:val="0"/>
              <w:tabs>
                <w:tab w:val="left" w:pos="567"/>
              </w:tabs>
              <w:rPr>
                <w:b/>
                <w:strike/>
                <w:color w:val="FF0000"/>
                <w:szCs w:val="24"/>
              </w:rPr>
            </w:pPr>
          </w:p>
          <w:p w:rsidR="00AA5C8C" w:rsidRPr="00A23740" w:rsidRDefault="00AA5C8C" w:rsidP="009431FF">
            <w:pPr>
              <w:widowControl w:val="0"/>
              <w:tabs>
                <w:tab w:val="left" w:pos="567"/>
              </w:tabs>
              <w:rPr>
                <w:szCs w:val="24"/>
              </w:rPr>
            </w:pPr>
            <w:r w:rsidRPr="00A23740">
              <w:rPr>
                <w:b/>
                <w:strike/>
                <w:color w:val="FF0000"/>
                <w:szCs w:val="24"/>
              </w:rPr>
              <w:t>4 -</w:t>
            </w:r>
            <w:r w:rsidRPr="00A23740">
              <w:rPr>
                <w:szCs w:val="24"/>
              </w:rPr>
              <w:t xml:space="preserve"> İlama </w:t>
            </w:r>
            <w:r w:rsidRPr="00A23740">
              <w:rPr>
                <w:b/>
                <w:strike/>
                <w:color w:val="FF0000"/>
                <w:szCs w:val="24"/>
              </w:rPr>
              <w:t>müstenit</w:t>
            </w:r>
            <w:r w:rsidRPr="00A23740">
              <w:rPr>
                <w:szCs w:val="24"/>
              </w:rPr>
              <w:t xml:space="preserve"> alaca</w:t>
            </w:r>
            <w:r w:rsidRPr="00A23740">
              <w:rPr>
                <w:b/>
                <w:strike/>
                <w:color w:val="FF0000"/>
                <w:szCs w:val="24"/>
              </w:rPr>
              <w:t>k</w:t>
            </w:r>
            <w:r w:rsidRPr="00A23740">
              <w:rPr>
                <w:b/>
                <w:color w:val="FF0000"/>
                <w:szCs w:val="24"/>
              </w:rPr>
              <w:t xml:space="preserve"> </w:t>
            </w:r>
            <w:r w:rsidRPr="00A23740">
              <w:rPr>
                <w:szCs w:val="24"/>
              </w:rPr>
              <w:t xml:space="preserve">icra emriyle istenildiği halde ödenmemişse </w:t>
            </w:r>
          </w:p>
          <w:p w:rsidR="00C42DF2" w:rsidRPr="00A23740" w:rsidRDefault="00C42DF2"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(2)</w:t>
            </w:r>
            <w:r w:rsidRPr="00A23740">
              <w:rPr>
                <w:szCs w:val="24"/>
              </w:rPr>
              <w:t xml:space="preserve"> Türkiye'de bir yerleşim yeri veya</w:t>
            </w:r>
            <w:r w:rsidRPr="00A23740">
              <w:rPr>
                <w:b/>
                <w:color w:val="FF0000"/>
                <w:szCs w:val="24"/>
              </w:rPr>
              <w:t xml:space="preserve"> </w:t>
            </w:r>
            <w:r w:rsidRPr="00A23740">
              <w:rPr>
                <w:b/>
                <w:strike/>
                <w:color w:val="FF0000"/>
                <w:szCs w:val="24"/>
              </w:rPr>
              <w:t>mümessili</w:t>
            </w:r>
            <w:r w:rsidRPr="00A23740">
              <w:rPr>
                <w:b/>
                <w:color w:val="FF0000"/>
                <w:szCs w:val="24"/>
              </w:rPr>
              <w:t xml:space="preserve"> </w:t>
            </w:r>
            <w:r w:rsidRPr="00A23740">
              <w:rPr>
                <w:szCs w:val="24"/>
              </w:rPr>
              <w:t xml:space="preserve">bulunan borçlu dinlenmek </w:t>
            </w:r>
            <w:r w:rsidRPr="00A23740">
              <w:rPr>
                <w:rStyle w:val="KIRMIZIChar"/>
                <w:rFonts w:eastAsia="Calibri"/>
              </w:rPr>
              <w:t>için</w:t>
            </w:r>
            <w:r w:rsidRPr="00A23740">
              <w:rPr>
                <w:szCs w:val="24"/>
              </w:rPr>
              <w:t xml:space="preserve"> </w:t>
            </w:r>
            <w:r w:rsidRPr="00A23740">
              <w:rPr>
                <w:b/>
                <w:strike/>
                <w:color w:val="FF0000"/>
                <w:szCs w:val="24"/>
              </w:rPr>
              <w:t>kısa bir müddette</w:t>
            </w:r>
            <w:r w:rsidRPr="00A23740">
              <w:rPr>
                <w:b/>
                <w:color w:val="FF0000"/>
                <w:szCs w:val="24"/>
              </w:rPr>
              <w:t xml:space="preserve"> </w:t>
            </w:r>
            <w:r w:rsidRPr="00A23740">
              <w:rPr>
                <w:szCs w:val="24"/>
              </w:rPr>
              <w:t>mahkeme</w:t>
            </w:r>
            <w:r w:rsidRPr="00A23740">
              <w:rPr>
                <w:b/>
                <w:strike/>
                <w:color w:val="FF0000"/>
                <w:szCs w:val="24"/>
              </w:rPr>
              <w:t>ye</w:t>
            </w:r>
            <w:r w:rsidRPr="00A23740">
              <w:rPr>
                <w:szCs w:val="24"/>
              </w:rPr>
              <w:t xml:space="preserve"> çağ</w:t>
            </w:r>
            <w:r w:rsidRPr="00A23740">
              <w:rPr>
                <w:rStyle w:val="KIRMIZIChar"/>
                <w:rFonts w:eastAsia="Calibri"/>
              </w:rPr>
              <w:t>ı</w:t>
            </w:r>
            <w:r w:rsidRPr="00A23740">
              <w:rPr>
                <w:szCs w:val="24"/>
              </w:rPr>
              <w:t>rılır.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strike/>
                <w:color w:val="FF0000"/>
                <w:szCs w:val="24"/>
              </w:rPr>
            </w:pPr>
            <w:r w:rsidRPr="00A23740">
              <w:rPr>
                <w:b/>
                <w:strike/>
                <w:color w:val="FF0000"/>
                <w:szCs w:val="24"/>
              </w:rPr>
              <w:t>(3) (Ek: 9/11/1988 - 3494/36 md.) Bu Kanunun 178 inci maddesinin ikinci fikrası burada da uygulanır.</w:t>
            </w:r>
          </w:p>
          <w:p w:rsidR="00AA5C8C" w:rsidRPr="00A23740" w:rsidRDefault="00AA5C8C" w:rsidP="009431FF">
            <w:pPr>
              <w:widowControl w:val="0"/>
              <w:tabs>
                <w:tab w:val="left" w:pos="567"/>
              </w:tabs>
              <w:rPr>
                <w:szCs w:val="24"/>
              </w:rPr>
            </w:pPr>
          </w:p>
        </w:tc>
        <w:tc>
          <w:tcPr>
            <w:tcW w:w="2500" w:type="pct"/>
          </w:tcPr>
          <w:p w:rsidR="00AA5C8C" w:rsidRPr="00A23740" w:rsidRDefault="00AA5C8C" w:rsidP="009431FF">
            <w:pPr>
              <w:pStyle w:val="MAV"/>
              <w:widowControl w:val="0"/>
              <w:jc w:val="center"/>
              <w:rPr>
                <w:u w:val="none"/>
                <w:lang w:val="tr-TR"/>
              </w:rPr>
            </w:pPr>
            <w:r w:rsidRPr="00A23740">
              <w:rPr>
                <w:u w:val="none"/>
                <w:lang w:val="tr-TR"/>
              </w:rPr>
              <w:t>İKİNCİ BÖLÜM</w:t>
            </w:r>
          </w:p>
          <w:p w:rsidR="00AA5C8C" w:rsidRPr="00A23740" w:rsidRDefault="00AA5C8C" w:rsidP="009431FF">
            <w:pPr>
              <w:pStyle w:val="Balk3"/>
              <w:keepNext w:val="0"/>
              <w:widowControl w:val="0"/>
              <w:rPr>
                <w:lang w:val="tr-TR"/>
              </w:rPr>
            </w:pPr>
            <w:r w:rsidRPr="00A23740">
              <w:rPr>
                <w:lang w:val="tr-TR"/>
              </w:rPr>
              <w:t>Doğrudan Doğruya İflas</w:t>
            </w:r>
          </w:p>
          <w:p w:rsidR="00AA5C8C" w:rsidRPr="00A23740" w:rsidRDefault="00AA5C8C" w:rsidP="009431FF">
            <w:pPr>
              <w:widowControl w:val="0"/>
              <w:tabs>
                <w:tab w:val="left" w:pos="567"/>
              </w:tabs>
              <w:jc w:val="center"/>
              <w:rPr>
                <w:b/>
                <w:szCs w:val="24"/>
              </w:rPr>
            </w:pPr>
          </w:p>
          <w:p w:rsidR="00AA5C8C" w:rsidRPr="00A23740" w:rsidRDefault="00AA5C8C" w:rsidP="009431FF">
            <w:pPr>
              <w:widowControl w:val="0"/>
              <w:tabs>
                <w:tab w:val="left" w:pos="567"/>
              </w:tabs>
              <w:rPr>
                <w:b/>
                <w:szCs w:val="24"/>
              </w:rPr>
            </w:pPr>
            <w:r w:rsidRPr="00A23740">
              <w:rPr>
                <w:b/>
                <w:szCs w:val="24"/>
              </w:rPr>
              <w:t>Alacaklının talebi</w:t>
            </w:r>
            <w:r w:rsidRPr="00A23740">
              <w:rPr>
                <w:b/>
                <w:color w:val="0000FF"/>
                <w:szCs w:val="24"/>
              </w:rPr>
              <w:t>yle</w:t>
            </w:r>
          </w:p>
          <w:p w:rsidR="00AA5C8C" w:rsidRPr="00A23740" w:rsidRDefault="0025055D" w:rsidP="009431FF">
            <w:pPr>
              <w:widowControl w:val="0"/>
              <w:tabs>
                <w:tab w:val="left" w:pos="567"/>
              </w:tabs>
              <w:rPr>
                <w:szCs w:val="24"/>
              </w:rPr>
            </w:pPr>
            <w:r w:rsidRPr="00A23740">
              <w:rPr>
                <w:rStyle w:val="MaviChar"/>
                <w:lang w:val="tr-TR"/>
              </w:rPr>
              <w:t>MADDE 285</w:t>
            </w:r>
            <w:r w:rsidR="00AA5C8C" w:rsidRPr="00A23740">
              <w:rPr>
                <w:rStyle w:val="MaviChar"/>
                <w:lang w:val="tr-TR"/>
              </w:rPr>
              <w:t>- (</w:t>
            </w:r>
            <w:r w:rsidR="00AA5C8C" w:rsidRPr="00A23740">
              <w:rPr>
                <w:b/>
                <w:color w:val="0000FF"/>
                <w:szCs w:val="24"/>
              </w:rPr>
              <w:t>1)</w:t>
            </w:r>
            <w:r w:rsidR="00AA5C8C" w:rsidRPr="00A23740">
              <w:rPr>
                <w:szCs w:val="24"/>
              </w:rPr>
              <w:t xml:space="preserve"> Aşağıdaki h</w:t>
            </w:r>
            <w:r w:rsidR="00A45257" w:rsidRPr="00A23740">
              <w:rPr>
                <w:szCs w:val="24"/>
              </w:rPr>
              <w:t>â</w:t>
            </w:r>
            <w:r w:rsidR="00AA5C8C" w:rsidRPr="00A23740">
              <w:rPr>
                <w:szCs w:val="24"/>
              </w:rPr>
              <w:t>llerde alacaklı</w:t>
            </w:r>
            <w:r w:rsidR="00AA5C8C" w:rsidRPr="00A23740">
              <w:rPr>
                <w:rStyle w:val="MaviChar"/>
              </w:rPr>
              <w:t>,</w:t>
            </w:r>
            <w:r w:rsidR="00AA5C8C" w:rsidRPr="00A23740">
              <w:rPr>
                <w:szCs w:val="24"/>
              </w:rPr>
              <w:t xml:space="preserve"> </w:t>
            </w:r>
            <w:r w:rsidR="00AA5C8C" w:rsidRPr="00A23740">
              <w:rPr>
                <w:b/>
                <w:color w:val="0000FF"/>
                <w:szCs w:val="24"/>
              </w:rPr>
              <w:t xml:space="preserve">önceden takip yapmaksızın </w:t>
            </w:r>
            <w:r w:rsidR="0006435B" w:rsidRPr="00E5316E">
              <w:rPr>
                <w:rStyle w:val="Balk1Char"/>
                <w:rFonts w:eastAsia="Calibri"/>
              </w:rPr>
              <w:t>iflas mahkemesinden</w:t>
            </w:r>
            <w:r w:rsidR="0006435B" w:rsidRPr="00A23740">
              <w:rPr>
                <w:szCs w:val="24"/>
              </w:rPr>
              <w:t xml:space="preserve"> </w:t>
            </w:r>
            <w:r w:rsidR="00AA5C8C" w:rsidRPr="00A23740">
              <w:rPr>
                <w:szCs w:val="24"/>
              </w:rPr>
              <w:t>iflasa tabi borçlunun iflasını isteyebilir</w:t>
            </w:r>
            <w:r w:rsidR="00AA5C8C" w:rsidRPr="00A23740">
              <w:rPr>
                <w:b/>
                <w:color w:val="0000FF"/>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a)</w:t>
            </w:r>
            <w:r w:rsidRPr="00A23740">
              <w:rPr>
                <w:szCs w:val="24"/>
              </w:rPr>
              <w:t xml:space="preserve"> Borçlunun </w:t>
            </w:r>
            <w:r w:rsidRPr="00A23740">
              <w:rPr>
                <w:rStyle w:val="Stil2Char"/>
                <w:rFonts w:eastAsia="Calibri"/>
                <w:u w:val="none"/>
              </w:rPr>
              <w:t xml:space="preserve">yerleşim yeri belli değilse, borçlu </w:t>
            </w:r>
            <w:r w:rsidRPr="00A23740">
              <w:rPr>
                <w:szCs w:val="24"/>
              </w:rPr>
              <w:t xml:space="preserve">taahhütlerinden kurtulmak </w:t>
            </w:r>
            <w:r w:rsidRPr="00A23740">
              <w:rPr>
                <w:b/>
                <w:color w:val="0000FF"/>
                <w:szCs w:val="24"/>
              </w:rPr>
              <w:t>amacıyla</w:t>
            </w:r>
            <w:r w:rsidRPr="00A23740">
              <w:rPr>
                <w:szCs w:val="24"/>
              </w:rPr>
              <w:t xml:space="preserve"> kaçar, alacaklıların haklarını ihlal </w:t>
            </w:r>
            <w:r w:rsidRPr="00A23740">
              <w:rPr>
                <w:rStyle w:val="MaviChar"/>
              </w:rPr>
              <w:t>eden</w:t>
            </w:r>
            <w:r w:rsidRPr="00A23740">
              <w:rPr>
                <w:szCs w:val="24"/>
              </w:rPr>
              <w:t xml:space="preserve"> hileli </w:t>
            </w:r>
            <w:r w:rsidRPr="00A23740">
              <w:rPr>
                <w:b/>
                <w:color w:val="0000FF"/>
                <w:szCs w:val="24"/>
              </w:rPr>
              <w:t>işlemlerde</w:t>
            </w:r>
            <w:r w:rsidRPr="00A23740">
              <w:rPr>
                <w:szCs w:val="24"/>
              </w:rPr>
              <w:t xml:space="preserve"> bulunur veya bunlara teşebbüs eder yahut haciz yol</w:t>
            </w:r>
            <w:r w:rsidRPr="00A23740">
              <w:rPr>
                <w:b/>
                <w:color w:val="0000FF"/>
                <w:szCs w:val="24"/>
              </w:rPr>
              <w:t>uyla</w:t>
            </w:r>
            <w:r w:rsidRPr="00A23740">
              <w:rPr>
                <w:szCs w:val="24"/>
              </w:rPr>
              <w:t xml:space="preserve"> yapılan takip sırasında mallarını saklarsa</w:t>
            </w:r>
            <w:r w:rsidRPr="00A23740">
              <w:rPr>
                <w:b/>
                <w:color w:val="0000FF"/>
                <w:szCs w:val="24"/>
              </w:rPr>
              <w:t>.</w:t>
            </w: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r w:rsidRPr="00A23740">
              <w:rPr>
                <w:b/>
                <w:color w:val="0000FF"/>
                <w:szCs w:val="24"/>
              </w:rPr>
              <w:t>b)</w:t>
            </w:r>
            <w:r w:rsidRPr="00A23740">
              <w:rPr>
                <w:szCs w:val="24"/>
              </w:rPr>
              <w:t xml:space="preserve">  Borçlu ödemelerini tatil </w:t>
            </w:r>
            <w:r w:rsidRPr="00A23740">
              <w:rPr>
                <w:b/>
                <w:color w:val="0000FF"/>
                <w:szCs w:val="24"/>
              </w:rPr>
              <w:t xml:space="preserve">etmiş </w:t>
            </w:r>
            <w:r w:rsidRPr="00A23740">
              <w:rPr>
                <w:szCs w:val="24"/>
              </w:rPr>
              <w:t>bulunursa.</w:t>
            </w:r>
          </w:p>
          <w:p w:rsidR="00AA5C8C" w:rsidRPr="00A23740" w:rsidRDefault="00AA5C8C" w:rsidP="009431FF">
            <w:pPr>
              <w:widowControl w:val="0"/>
              <w:tabs>
                <w:tab w:val="left" w:pos="567"/>
              </w:tabs>
              <w:rPr>
                <w:szCs w:val="24"/>
              </w:rPr>
            </w:pPr>
          </w:p>
          <w:p w:rsidR="00C42DF2" w:rsidRPr="00A23740" w:rsidRDefault="00C42DF2" w:rsidP="009431FF">
            <w:pPr>
              <w:widowControl w:val="0"/>
              <w:tabs>
                <w:tab w:val="left" w:pos="567"/>
              </w:tabs>
              <w:rPr>
                <w:szCs w:val="24"/>
              </w:rPr>
            </w:pPr>
          </w:p>
          <w:p w:rsidR="00C42DF2" w:rsidRPr="00A23740" w:rsidRDefault="00C42DF2"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 xml:space="preserve">c) </w:t>
            </w:r>
            <w:r w:rsidRPr="00AA05EF">
              <w:rPr>
                <w:color w:val="000000" w:themeColor="text1"/>
                <w:szCs w:val="24"/>
              </w:rPr>
              <w:t>İlama</w:t>
            </w:r>
            <w:r w:rsidRPr="00AA05EF">
              <w:rPr>
                <w:b/>
                <w:color w:val="000000" w:themeColor="text1"/>
                <w:szCs w:val="24"/>
              </w:rPr>
              <w:t xml:space="preserve"> </w:t>
            </w:r>
            <w:r w:rsidRPr="00A23740">
              <w:rPr>
                <w:b/>
                <w:color w:val="0000FF"/>
                <w:szCs w:val="24"/>
              </w:rPr>
              <w:t xml:space="preserve">bağlı para </w:t>
            </w:r>
            <w:r w:rsidRPr="00A23740">
              <w:rPr>
                <w:szCs w:val="24"/>
              </w:rPr>
              <w:t>alaca</w:t>
            </w:r>
            <w:r w:rsidRPr="00A23740">
              <w:rPr>
                <w:b/>
                <w:color w:val="0000FF"/>
                <w:szCs w:val="24"/>
              </w:rPr>
              <w:t>ğı</w:t>
            </w:r>
            <w:r w:rsidRPr="00A23740">
              <w:rPr>
                <w:szCs w:val="24"/>
              </w:rPr>
              <w:t xml:space="preserve"> icra emriyle istenildiği h</w:t>
            </w:r>
            <w:r w:rsidR="00A45257" w:rsidRPr="00A23740">
              <w:rPr>
                <w:szCs w:val="24"/>
              </w:rPr>
              <w:t>â</w:t>
            </w:r>
            <w:r w:rsidRPr="00A23740">
              <w:rPr>
                <w:szCs w:val="24"/>
              </w:rPr>
              <w:t>lde ödenmemişse</w:t>
            </w:r>
            <w:r w:rsidRPr="00A23740">
              <w:rPr>
                <w:rStyle w:val="MaviChar"/>
              </w:rPr>
              <w:t>.</w:t>
            </w:r>
          </w:p>
          <w:p w:rsidR="00AA5C8C" w:rsidRPr="00A23740" w:rsidRDefault="00AA5C8C" w:rsidP="009431FF">
            <w:pPr>
              <w:widowControl w:val="0"/>
              <w:tabs>
                <w:tab w:val="left" w:pos="567"/>
              </w:tabs>
              <w:rPr>
                <w:b/>
                <w:color w:val="FF0000"/>
                <w:szCs w:val="24"/>
              </w:rPr>
            </w:pPr>
          </w:p>
          <w:p w:rsidR="00AA5C8C" w:rsidRPr="00A23740" w:rsidRDefault="00AA5C8C" w:rsidP="009431FF">
            <w:pPr>
              <w:widowControl w:val="0"/>
              <w:tabs>
                <w:tab w:val="left" w:pos="567"/>
              </w:tabs>
              <w:rPr>
                <w:szCs w:val="24"/>
              </w:rPr>
            </w:pPr>
            <w:r w:rsidRPr="00A23740">
              <w:rPr>
                <w:b/>
                <w:color w:val="0000FF"/>
                <w:szCs w:val="24"/>
              </w:rPr>
              <w:t xml:space="preserve">(2) </w:t>
            </w:r>
            <w:r w:rsidRPr="00A23740">
              <w:rPr>
                <w:szCs w:val="24"/>
              </w:rPr>
              <w:t>Türkiye’de bir yerleşim yeri veya</w:t>
            </w:r>
            <w:r w:rsidRPr="00A23740">
              <w:rPr>
                <w:b/>
                <w:color w:val="0000FF"/>
                <w:szCs w:val="24"/>
              </w:rPr>
              <w:t xml:space="preserve"> temsilcisi</w:t>
            </w:r>
            <w:r w:rsidRPr="00A23740">
              <w:rPr>
                <w:szCs w:val="24"/>
              </w:rPr>
              <w:t xml:space="preserve"> bulunan borçlu</w:t>
            </w:r>
            <w:r w:rsidRPr="00A23740">
              <w:rPr>
                <w:b/>
                <w:color w:val="0000FF"/>
                <w:szCs w:val="24"/>
              </w:rPr>
              <w:t xml:space="preserve"> </w:t>
            </w:r>
            <w:r w:rsidRPr="00A23740">
              <w:rPr>
                <w:szCs w:val="24"/>
              </w:rPr>
              <w:t>mahkeme</w:t>
            </w:r>
            <w:r w:rsidRPr="00A23740">
              <w:rPr>
                <w:b/>
                <w:color w:val="0000FF"/>
                <w:szCs w:val="24"/>
              </w:rPr>
              <w:t xml:space="preserve">ce,  karar </w:t>
            </w:r>
            <w:r w:rsidR="002D67FA" w:rsidRPr="00E5316E">
              <w:rPr>
                <w:rStyle w:val="MaviChar"/>
              </w:rPr>
              <w:t>verilmeden</w:t>
            </w:r>
            <w:r w:rsidRPr="00A23740">
              <w:rPr>
                <w:b/>
                <w:color w:val="0000FF"/>
                <w:szCs w:val="24"/>
              </w:rPr>
              <w:t xml:space="preserve"> önce </w:t>
            </w:r>
            <w:r w:rsidRPr="00A23740">
              <w:rPr>
                <w:szCs w:val="24"/>
              </w:rPr>
              <w:t>dinlen</w:t>
            </w:r>
            <w:r w:rsidRPr="00A23740">
              <w:rPr>
                <w:b/>
                <w:color w:val="0000FF"/>
                <w:szCs w:val="24"/>
              </w:rPr>
              <w:t>il</w:t>
            </w:r>
            <w:r w:rsidRPr="00A23740">
              <w:rPr>
                <w:szCs w:val="24"/>
              </w:rPr>
              <w:t xml:space="preserve">mek </w:t>
            </w:r>
            <w:r w:rsidRPr="00A23740">
              <w:rPr>
                <w:b/>
                <w:color w:val="0000FF"/>
                <w:szCs w:val="24"/>
              </w:rPr>
              <w:t xml:space="preserve">üzere </w:t>
            </w:r>
            <w:r w:rsidRPr="00A23740">
              <w:rPr>
                <w:szCs w:val="24"/>
              </w:rPr>
              <w:t>çağrılır.</w:t>
            </w:r>
          </w:p>
          <w:p w:rsidR="00AA5C8C" w:rsidRPr="00A23740" w:rsidRDefault="00AA5C8C" w:rsidP="009431FF">
            <w:pPr>
              <w:widowControl w:val="0"/>
              <w:tabs>
                <w:tab w:val="left" w:pos="567"/>
              </w:tabs>
              <w:rPr>
                <w:b/>
                <w:color w:val="0000FF"/>
                <w:szCs w:val="24"/>
              </w:rPr>
            </w:pPr>
          </w:p>
          <w:p w:rsidR="00AA5C8C" w:rsidRPr="00A23740" w:rsidRDefault="00AA5C8C" w:rsidP="00DE5024">
            <w:pPr>
              <w:widowControl w:val="0"/>
              <w:tabs>
                <w:tab w:val="left" w:pos="567"/>
              </w:tabs>
            </w:pPr>
            <w:r w:rsidRPr="00A23740">
              <w:rPr>
                <w:b/>
                <w:color w:val="0000FF"/>
                <w:szCs w:val="24"/>
              </w:rPr>
              <w:t>(3</w:t>
            </w:r>
            <w:r w:rsidRPr="00A23740">
              <w:rPr>
                <w:rStyle w:val="MaviChar"/>
                <w:lang w:val="tr-TR"/>
              </w:rPr>
              <w:t>) Mahkeme, yargılama</w:t>
            </w:r>
            <w:r w:rsidR="00AA05EF">
              <w:rPr>
                <w:rStyle w:val="MaviChar"/>
                <w:lang w:val="tr-TR"/>
              </w:rPr>
              <w:t xml:space="preserve"> </w:t>
            </w:r>
            <w:r w:rsidR="00EB49BA" w:rsidRPr="00E5316E">
              <w:rPr>
                <w:rStyle w:val="MaviChar"/>
              </w:rPr>
              <w:t>sırasında</w:t>
            </w:r>
            <w:r w:rsidR="00EB49BA" w:rsidRPr="00A23740">
              <w:rPr>
                <w:rStyle w:val="MaviChar"/>
                <w:lang w:val="tr-TR"/>
              </w:rPr>
              <w:t xml:space="preserve"> </w:t>
            </w:r>
            <w:r w:rsidR="00EB49BA" w:rsidRPr="00E5316E">
              <w:rPr>
                <w:rStyle w:val="MaviChar"/>
              </w:rPr>
              <w:t>mevcut durum itibarıyla gerekli</w:t>
            </w:r>
            <w:r w:rsidR="00EB49BA" w:rsidRPr="00A23740">
              <w:rPr>
                <w:rStyle w:val="MaviChar"/>
                <w:lang w:val="tr-TR"/>
              </w:rPr>
              <w:t xml:space="preserve"> </w:t>
            </w:r>
            <w:r w:rsidRPr="00A23740">
              <w:rPr>
                <w:rStyle w:val="MaviChar"/>
                <w:lang w:val="tr-TR"/>
              </w:rPr>
              <w:t>gördüğü takdirde</w:t>
            </w:r>
            <w:r w:rsidR="00BE6814" w:rsidRPr="00AA05EF">
              <w:rPr>
                <w:rStyle w:val="Balk1Char"/>
                <w:rFonts w:eastAsia="ヒラギノ明朝 Pro W3"/>
              </w:rPr>
              <w:t>,</w:t>
            </w:r>
            <w:r w:rsidRPr="00A23740">
              <w:rPr>
                <w:rStyle w:val="MaviChar"/>
                <w:lang w:val="tr-TR"/>
              </w:rPr>
              <w:t xml:space="preserve"> iflas talebini</w:t>
            </w:r>
            <w:r w:rsidR="00242067" w:rsidRPr="00A23740">
              <w:rPr>
                <w:rStyle w:val="MaviChar"/>
                <w:lang w:val="tr-TR"/>
              </w:rPr>
              <w:t xml:space="preserve"> </w:t>
            </w:r>
            <w:r w:rsidR="00242067" w:rsidRPr="00E5316E">
              <w:rPr>
                <w:rStyle w:val="MaviChar"/>
              </w:rPr>
              <w:t>283 üncü</w:t>
            </w:r>
            <w:r w:rsidRPr="00A23740">
              <w:rPr>
                <w:rStyle w:val="MaviChar"/>
                <w:lang w:val="tr-TR"/>
              </w:rPr>
              <w:t xml:space="preserve"> maddenin ikinci fıkrasındaki usule göre ilan eder. Alacaklılar, iflas talebinin ilanından itibaren iki hafta içinde iflas</w:t>
            </w:r>
            <w:r w:rsidRPr="00A23740">
              <w:rPr>
                <w:b/>
                <w:color w:val="0000FF"/>
                <w:szCs w:val="24"/>
              </w:rPr>
              <w:t xml:space="preserve"> talebinin borçlu hakkındaki takiplerin ertelenmesi ve borçlarının ödenmesinin geciktirilmesi için yapıldığı itirazında bulunarak </w:t>
            </w:r>
            <w:r w:rsidRPr="00A23740">
              <w:rPr>
                <w:rStyle w:val="MaviChar"/>
              </w:rPr>
              <w:t>bir dilekçeyle gerekçeli olarak ve delilleriyle birlikte</w:t>
            </w:r>
            <w:r w:rsidRPr="00A23740">
              <w:rPr>
                <w:b/>
                <w:color w:val="0000FF"/>
                <w:szCs w:val="24"/>
              </w:rPr>
              <w:t xml:space="preserve"> mahkemeden talebin reddini </w:t>
            </w:r>
            <w:r w:rsidR="002D67FA" w:rsidRPr="00E5316E">
              <w:rPr>
                <w:rStyle w:val="MaviChar"/>
              </w:rPr>
              <w:t>isteyebilirler</w:t>
            </w:r>
            <w:r w:rsidRPr="00A23740">
              <w:rPr>
                <w:b/>
                <w:color w:val="0000FF"/>
                <w:szCs w:val="24"/>
              </w:rPr>
              <w:t>.</w:t>
            </w: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rPr>
                <w:b/>
                <w:bCs/>
                <w:szCs w:val="24"/>
                <w:lang w:eastAsia="x-none"/>
              </w:rPr>
            </w:pPr>
          </w:p>
          <w:p w:rsidR="00687220" w:rsidRPr="00A23740" w:rsidRDefault="00687220" w:rsidP="009431FF">
            <w:pPr>
              <w:tabs>
                <w:tab w:val="left" w:pos="567"/>
                <w:tab w:val="right" w:pos="6520"/>
              </w:tabs>
              <w:ind w:firstLine="709"/>
              <w:rPr>
                <w:b/>
                <w:bCs/>
                <w:szCs w:val="24"/>
              </w:rPr>
            </w:pPr>
            <w:r w:rsidRPr="00A23740">
              <w:rPr>
                <w:b/>
              </w:rPr>
              <w:t>MADDE 285-</w:t>
            </w:r>
            <w:r w:rsidRPr="00A23740">
              <w:t xml:space="preserve"> Maddeyle, </w:t>
            </w:r>
            <w:r w:rsidR="00BA6920" w:rsidRPr="00A23740">
              <w:t xml:space="preserve">alacaklının talebiyle </w:t>
            </w:r>
            <w:r w:rsidRPr="00A23740">
              <w:t xml:space="preserve">doğrudan doğruya </w:t>
            </w:r>
            <w:r w:rsidR="00BA6920" w:rsidRPr="00A23740">
              <w:rPr>
                <w:szCs w:val="24"/>
              </w:rPr>
              <w:t xml:space="preserve">iflasa </w:t>
            </w:r>
            <w:r w:rsidRPr="00A23740">
              <w:rPr>
                <w:szCs w:val="24"/>
              </w:rPr>
              <w:t xml:space="preserve">ilişkin hususlar düzenlenmektedir. Hüküm, 2004 sayılı Kanunun 177 nci maddesine karşılık gelmektedir. </w:t>
            </w:r>
          </w:p>
          <w:p w:rsidR="00687220" w:rsidRPr="00A23740" w:rsidRDefault="00687220" w:rsidP="009431FF">
            <w:pPr>
              <w:ind w:firstLine="709"/>
              <w:rPr>
                <w:rFonts w:eastAsia="Times New Roman"/>
                <w:bCs/>
                <w:szCs w:val="24"/>
                <w:lang w:eastAsia="x-none"/>
              </w:rPr>
            </w:pPr>
            <w:r w:rsidRPr="00A23740">
              <w:rPr>
                <w:rFonts w:eastAsia="Times New Roman"/>
                <w:bCs/>
                <w:szCs w:val="24"/>
                <w:lang w:eastAsia="x-none"/>
              </w:rPr>
              <w:t>Taslağın bu bölümü, doğrudan iflas nedenlerine ve usulüne ayrılmıştır. İflas kararını elde edebilmek için tek yol, borçluya karşı iflas yoluyla</w:t>
            </w:r>
            <w:r w:rsidR="00DD3BAE" w:rsidRPr="00A23740">
              <w:rPr>
                <w:rFonts w:eastAsia="Times New Roman"/>
                <w:bCs/>
                <w:szCs w:val="24"/>
                <w:lang w:eastAsia="x-none"/>
              </w:rPr>
              <w:t xml:space="preserve"> </w:t>
            </w:r>
            <w:r w:rsidR="00DD3BAE" w:rsidRPr="00D60C1D">
              <w:rPr>
                <w:rStyle w:val="YELChar"/>
                <w:b w:val="0"/>
                <w:color w:val="000000"/>
              </w:rPr>
              <w:t>takip</w:t>
            </w:r>
            <w:r w:rsidRPr="00A23740">
              <w:rPr>
                <w:rFonts w:eastAsia="Times New Roman"/>
                <w:bCs/>
                <w:szCs w:val="24"/>
                <w:lang w:eastAsia="x-none"/>
              </w:rPr>
              <w:t xml:space="preserve"> yapmak değildir. Alacaklının</w:t>
            </w:r>
            <w:r w:rsidR="00BA6920" w:rsidRPr="00A23740">
              <w:rPr>
                <w:rFonts w:eastAsia="Times New Roman"/>
                <w:bCs/>
                <w:szCs w:val="24"/>
                <w:lang w:eastAsia="x-none"/>
              </w:rPr>
              <w:t>,</w:t>
            </w:r>
            <w:r w:rsidRPr="00A23740">
              <w:rPr>
                <w:rFonts w:eastAsia="Times New Roman"/>
                <w:bCs/>
                <w:szCs w:val="24"/>
                <w:lang w:eastAsia="x-none"/>
              </w:rPr>
              <w:t xml:space="preserve"> tahdidi nedenlerin varlığı h</w:t>
            </w:r>
            <w:r w:rsidR="0006435B" w:rsidRPr="00A23740">
              <w:rPr>
                <w:rFonts w:eastAsia="Times New Roman"/>
                <w:bCs/>
                <w:szCs w:val="24"/>
                <w:lang w:eastAsia="x-none"/>
              </w:rPr>
              <w:t>â</w:t>
            </w:r>
            <w:r w:rsidRPr="00A23740">
              <w:rPr>
                <w:rFonts w:eastAsia="Times New Roman"/>
                <w:bCs/>
                <w:szCs w:val="24"/>
                <w:lang w:eastAsia="x-none"/>
              </w:rPr>
              <w:t xml:space="preserve">linde iflas mahkemesine doğrudan müracaatla borçlusunun iflasına karar verilmesini istemesi de mümkündür. Yine düzenlenen sair nedenlerle bu kez borçlunun da kendi iflasını istemesi mümkün olup belli bir durumda, </w:t>
            </w:r>
            <w:r w:rsidR="00BA6920" w:rsidRPr="00A23740">
              <w:rPr>
                <w:rFonts w:eastAsia="Times New Roman"/>
                <w:bCs/>
                <w:szCs w:val="24"/>
                <w:lang w:eastAsia="x-none"/>
              </w:rPr>
              <w:t xml:space="preserve">borçlu </w:t>
            </w:r>
            <w:r w:rsidRPr="00A23740">
              <w:rPr>
                <w:rFonts w:eastAsia="Times New Roman"/>
                <w:bCs/>
                <w:szCs w:val="24"/>
                <w:lang w:eastAsia="x-none"/>
              </w:rPr>
              <w:t>buna mecburdur</w:t>
            </w:r>
            <w:r w:rsidR="00BA6920" w:rsidRPr="00A23740">
              <w:rPr>
                <w:rFonts w:eastAsia="Times New Roman"/>
                <w:bCs/>
                <w:szCs w:val="24"/>
                <w:lang w:eastAsia="x-none"/>
              </w:rPr>
              <w:t xml:space="preserve"> da</w:t>
            </w:r>
            <w:r w:rsidRPr="00A23740">
              <w:rPr>
                <w:rFonts w:eastAsia="Times New Roman"/>
                <w:bCs/>
                <w:szCs w:val="24"/>
                <w:lang w:eastAsia="x-none"/>
              </w:rPr>
              <w:t xml:space="preserve">. Bu bağlamda </w:t>
            </w:r>
            <w:r w:rsidR="00DD3BAE" w:rsidRPr="00D60C1D">
              <w:rPr>
                <w:rStyle w:val="YELChar"/>
                <w:b w:val="0"/>
                <w:color w:val="000000"/>
              </w:rPr>
              <w:t>2004 sayılı</w:t>
            </w:r>
            <w:r w:rsidR="00DD3BAE" w:rsidRPr="00A23740">
              <w:rPr>
                <w:rFonts w:eastAsia="Times New Roman"/>
                <w:bCs/>
                <w:szCs w:val="24"/>
                <w:lang w:eastAsia="x-none"/>
              </w:rPr>
              <w:t xml:space="preserve"> </w:t>
            </w:r>
            <w:r w:rsidR="00027F85" w:rsidRPr="00A23740">
              <w:rPr>
                <w:rFonts w:eastAsia="Times New Roman"/>
                <w:bCs/>
                <w:szCs w:val="24"/>
                <w:lang w:eastAsia="x-none"/>
              </w:rPr>
              <w:t>Kanunun 177 ila</w:t>
            </w:r>
            <w:r w:rsidRPr="00A23740">
              <w:rPr>
                <w:rFonts w:eastAsia="Times New Roman"/>
                <w:bCs/>
                <w:szCs w:val="24"/>
                <w:lang w:eastAsia="x-none"/>
              </w:rPr>
              <w:t xml:space="preserve"> 181</w:t>
            </w:r>
            <w:r w:rsidR="00DD3BAE" w:rsidRPr="00A23740">
              <w:rPr>
                <w:rFonts w:eastAsia="Times New Roman"/>
                <w:bCs/>
                <w:szCs w:val="24"/>
                <w:lang w:eastAsia="x-none"/>
              </w:rPr>
              <w:t xml:space="preserve"> </w:t>
            </w:r>
            <w:r w:rsidRPr="00A23740">
              <w:rPr>
                <w:rFonts w:eastAsia="Times New Roman"/>
                <w:bCs/>
                <w:szCs w:val="24"/>
                <w:lang w:eastAsia="x-none"/>
              </w:rPr>
              <w:t xml:space="preserve">inci madde hükümleri büyük ölçüde korunmuş, yeri geldiğince </w:t>
            </w:r>
            <w:r w:rsidR="00BA6920" w:rsidRPr="00A23740">
              <w:rPr>
                <w:rFonts w:eastAsia="Times New Roman"/>
                <w:bCs/>
                <w:szCs w:val="24"/>
                <w:lang w:eastAsia="x-none"/>
              </w:rPr>
              <w:t xml:space="preserve">düzeltilerek </w:t>
            </w:r>
            <w:r w:rsidRPr="00A23740">
              <w:rPr>
                <w:rFonts w:eastAsia="Times New Roman"/>
                <w:bCs/>
                <w:szCs w:val="24"/>
                <w:lang w:eastAsia="x-none"/>
              </w:rPr>
              <w:t xml:space="preserve">yeniden yazımı uygun bulunmuştur.   </w:t>
            </w:r>
          </w:p>
          <w:p w:rsidR="00687220" w:rsidRPr="00A23740" w:rsidRDefault="00687220" w:rsidP="009431FF">
            <w:pPr>
              <w:ind w:firstLine="709"/>
              <w:rPr>
                <w:rFonts w:eastAsia="Times New Roman"/>
                <w:bCs/>
                <w:szCs w:val="24"/>
                <w:lang w:eastAsia="x-none"/>
              </w:rPr>
            </w:pPr>
            <w:r w:rsidRPr="00A23740">
              <w:rPr>
                <w:rFonts w:eastAsia="Times New Roman"/>
                <w:bCs/>
                <w:szCs w:val="24"/>
                <w:lang w:eastAsia="x-none"/>
              </w:rPr>
              <w:t>Alacaklının takip yapmaksızın da iflasa tabi borçlusunun iflasını isteyebileceği h</w:t>
            </w:r>
            <w:r w:rsidR="0006435B" w:rsidRPr="00A23740">
              <w:rPr>
                <w:rFonts w:eastAsia="Times New Roman"/>
                <w:bCs/>
                <w:szCs w:val="24"/>
                <w:lang w:eastAsia="x-none"/>
              </w:rPr>
              <w:t>â</w:t>
            </w:r>
            <w:r w:rsidRPr="00A23740">
              <w:rPr>
                <w:rFonts w:eastAsia="Times New Roman"/>
                <w:bCs/>
                <w:szCs w:val="24"/>
                <w:lang w:eastAsia="x-none"/>
              </w:rPr>
              <w:t xml:space="preserve">ller, Taslak hükmünün ilk fıkrasında </w:t>
            </w:r>
            <w:r w:rsidR="00027F85" w:rsidRPr="00D60C1D">
              <w:rPr>
                <w:rStyle w:val="YELChar"/>
                <w:b w:val="0"/>
                <w:color w:val="000000"/>
              </w:rPr>
              <w:t>üç</w:t>
            </w:r>
            <w:r w:rsidR="00027F85" w:rsidRPr="00A23740">
              <w:rPr>
                <w:rFonts w:eastAsia="Times New Roman"/>
                <w:bCs/>
                <w:szCs w:val="24"/>
                <w:lang w:eastAsia="x-none"/>
              </w:rPr>
              <w:t xml:space="preserve"> </w:t>
            </w:r>
            <w:r w:rsidRPr="00A23740">
              <w:rPr>
                <w:rFonts w:eastAsia="Times New Roman"/>
                <w:bCs/>
                <w:szCs w:val="24"/>
                <w:lang w:eastAsia="x-none"/>
              </w:rPr>
              <w:t>bent olarak düzenlenmiş olup</w:t>
            </w:r>
            <w:r w:rsidR="00BA6920" w:rsidRPr="00A23740">
              <w:rPr>
                <w:rFonts w:eastAsia="Times New Roman"/>
                <w:bCs/>
                <w:szCs w:val="24"/>
                <w:lang w:eastAsia="x-none"/>
              </w:rPr>
              <w:t>,</w:t>
            </w:r>
            <w:r w:rsidRPr="00A23740">
              <w:rPr>
                <w:rFonts w:eastAsia="Times New Roman"/>
                <w:bCs/>
                <w:szCs w:val="24"/>
                <w:lang w:eastAsia="x-none"/>
              </w:rPr>
              <w:t xml:space="preserve"> </w:t>
            </w:r>
            <w:r w:rsidR="00DD3BAE" w:rsidRPr="00D60C1D">
              <w:rPr>
                <w:rStyle w:val="YELChar"/>
                <w:b w:val="0"/>
                <w:color w:val="000000"/>
              </w:rPr>
              <w:t>2004 sayılı</w:t>
            </w:r>
            <w:r w:rsidR="00DD3BAE" w:rsidRPr="00A23740">
              <w:rPr>
                <w:rFonts w:eastAsia="Times New Roman"/>
                <w:bCs/>
                <w:szCs w:val="24"/>
                <w:lang w:eastAsia="x-none"/>
              </w:rPr>
              <w:t xml:space="preserve"> </w:t>
            </w:r>
            <w:r w:rsidRPr="00A23740">
              <w:rPr>
                <w:rFonts w:eastAsia="Times New Roman"/>
                <w:bCs/>
                <w:szCs w:val="24"/>
                <w:lang w:eastAsia="x-none"/>
              </w:rPr>
              <w:t xml:space="preserve">Kanunun 177 inci maddesinin ilk fıkrasıyla örtüşmektedir. Bilhassa </w:t>
            </w:r>
            <w:r w:rsidR="00242067" w:rsidRPr="00D60C1D">
              <w:rPr>
                <w:rStyle w:val="KonuBalChar"/>
                <w:rFonts w:eastAsia="Calibri"/>
                <w:b w:val="0"/>
                <w:color w:val="000000"/>
              </w:rPr>
              <w:t>(c)</w:t>
            </w:r>
            <w:r w:rsidRPr="00A23740">
              <w:rPr>
                <w:rFonts w:eastAsia="Times New Roman"/>
                <w:bCs/>
                <w:szCs w:val="24"/>
                <w:lang w:eastAsia="x-none"/>
              </w:rPr>
              <w:t xml:space="preserve"> bendi yönünden öne çıkan husus, para alacağını gösterir ilamın açılacak iflas davası için kesinleşmiş </w:t>
            </w:r>
            <w:r w:rsidRPr="00D60C1D">
              <w:rPr>
                <w:rFonts w:eastAsia="Times New Roman"/>
                <w:bCs/>
                <w:color w:val="000000"/>
                <w:szCs w:val="24"/>
                <w:lang w:eastAsia="x-none"/>
              </w:rPr>
              <w:t>olması</w:t>
            </w:r>
            <w:r w:rsidR="00917B95" w:rsidRPr="00D60C1D">
              <w:rPr>
                <w:rStyle w:val="YELChar"/>
                <w:b w:val="0"/>
                <w:color w:val="000000"/>
              </w:rPr>
              <w:t>na gerek görülmemiş</w:t>
            </w:r>
            <w:r w:rsidR="00BA6920" w:rsidRPr="00D60C1D">
              <w:rPr>
                <w:rStyle w:val="YELChar"/>
                <w:b w:val="0"/>
                <w:color w:val="000000"/>
              </w:rPr>
              <w:t xml:space="preserve"> olmasıdır</w:t>
            </w:r>
            <w:r w:rsidR="00917B95" w:rsidRPr="00D60C1D">
              <w:rPr>
                <w:rStyle w:val="YELChar"/>
                <w:b w:val="0"/>
                <w:color w:val="000000"/>
              </w:rPr>
              <w:t>.</w:t>
            </w:r>
            <w:r w:rsidRPr="00A23740">
              <w:rPr>
                <w:rStyle w:val="YELChar"/>
              </w:rPr>
              <w:t xml:space="preserve"> </w:t>
            </w:r>
            <w:r w:rsidRPr="00A23740">
              <w:rPr>
                <w:rFonts w:eastAsia="Times New Roman"/>
                <w:bCs/>
                <w:szCs w:val="24"/>
                <w:lang w:eastAsia="x-none"/>
              </w:rPr>
              <w:t>Zira aksi h</w:t>
            </w:r>
            <w:r w:rsidR="008D7868" w:rsidRPr="00A23740">
              <w:rPr>
                <w:rFonts w:eastAsia="Times New Roman"/>
                <w:bCs/>
                <w:szCs w:val="24"/>
                <w:lang w:eastAsia="x-none"/>
              </w:rPr>
              <w:t>â</w:t>
            </w:r>
            <w:r w:rsidRPr="00A23740">
              <w:rPr>
                <w:rFonts w:eastAsia="Times New Roman"/>
                <w:bCs/>
                <w:szCs w:val="24"/>
                <w:lang w:eastAsia="x-none"/>
              </w:rPr>
              <w:t xml:space="preserve">lde, alacaklı iflas davası içinde alınması mümkün </w:t>
            </w:r>
            <w:r w:rsidR="00BA6920" w:rsidRPr="00A23740">
              <w:rPr>
                <w:rFonts w:eastAsia="Times New Roman"/>
                <w:bCs/>
                <w:szCs w:val="24"/>
                <w:lang w:eastAsia="x-none"/>
              </w:rPr>
              <w:t xml:space="preserve">olan </w:t>
            </w:r>
            <w:r w:rsidRPr="00A23740">
              <w:rPr>
                <w:rFonts w:eastAsia="Times New Roman"/>
                <w:bCs/>
                <w:szCs w:val="24"/>
                <w:lang w:eastAsia="x-none"/>
              </w:rPr>
              <w:t xml:space="preserve">muhafaza tedbirlerinden de mahrum kalacaktır. Ne var ki, bu netice, iflas davasını gören mahkemenin, bu kez alacağa ilişkin derdest yargılamayı bekletici mesele yapmasına da engel değildir. Bu sayede esasen para alacağına ilişkin hükmün kaldırılması veya bozulması ihtimali üzerine borçlunun iflas nedeniyle fevkalade ağır zararlara uğramasının da önüne geçilmiş olacaktır. Kısacası, alacaklı yönünden iflas davası içinde alınacak muhafaza tedbirlerinin karşısında, bu kez borçlu lehinde değerlendirilecek bekletici meseleyle </w:t>
            </w:r>
            <w:r w:rsidR="00242067" w:rsidRPr="00D60C1D">
              <w:rPr>
                <w:rStyle w:val="KonuBalChar"/>
                <w:rFonts w:eastAsia="Calibri"/>
                <w:b w:val="0"/>
                <w:color w:val="000000"/>
              </w:rPr>
              <w:t>taraflar</w:t>
            </w:r>
            <w:r w:rsidRPr="00A23740">
              <w:rPr>
                <w:rFonts w:eastAsia="Times New Roman"/>
                <w:bCs/>
                <w:szCs w:val="24"/>
                <w:lang w:eastAsia="x-none"/>
              </w:rPr>
              <w:t xml:space="preserve"> arasındaki menfaatler dengesi korunmuş olmaktadır. Bu noktada, iflas davasının dayanağı olan ilamın itirazın iptaline ilişkin olup olmayacağı hakkındaki tartışmaya bu vesileyle kesin bir yanıt verilmesi uygun bulunmamış; meselenin hâlli, bilimsel ve yargısal içtihatlara bırakılmıştır. Söz konusu bent özelinde getirilen yenilik için Taslağın bu kez 289 uncu</w:t>
            </w:r>
            <w:r w:rsidR="007A07AE" w:rsidRPr="00A23740">
              <w:rPr>
                <w:rFonts w:eastAsia="Times New Roman"/>
                <w:bCs/>
                <w:szCs w:val="24"/>
                <w:lang w:eastAsia="x-none"/>
              </w:rPr>
              <w:t xml:space="preserve"> </w:t>
            </w:r>
            <w:r w:rsidRPr="00A23740">
              <w:rPr>
                <w:rFonts w:eastAsia="Times New Roman"/>
                <w:bCs/>
                <w:szCs w:val="24"/>
                <w:lang w:eastAsia="x-none"/>
              </w:rPr>
              <w:t>maddesinin ikinci fıkrasına bakmak; bu iki hükmü birlikte uygulamak gerekir. Zira bu bent, bir doğrudan iflas nedeni olmakla birlikte</w:t>
            </w:r>
            <w:r w:rsidR="00BA6920" w:rsidRPr="00A23740">
              <w:rPr>
                <w:rFonts w:eastAsia="Times New Roman"/>
                <w:bCs/>
                <w:szCs w:val="24"/>
                <w:lang w:eastAsia="x-none"/>
              </w:rPr>
              <w:t>,</w:t>
            </w:r>
            <w:r w:rsidRPr="00A23740">
              <w:rPr>
                <w:rFonts w:eastAsia="Times New Roman"/>
                <w:bCs/>
                <w:szCs w:val="24"/>
                <w:lang w:eastAsia="x-none"/>
              </w:rPr>
              <w:t xml:space="preserve"> takipli iflas yoluna özgü depo kararı usulü, sadece bu bende ait yargılama için geçerli görülmüş; elde depo kararına konu edilebilecek bir alacağın bulunması ve borçluya söz konusu somut alacağın tediyesi için son bir imkânın tanınması, böyle istisnai bir usule gidilmesine vesile olmuştur.</w:t>
            </w:r>
          </w:p>
          <w:p w:rsidR="00687220" w:rsidRPr="00A23740" w:rsidRDefault="00687220" w:rsidP="00DE5024">
            <w:pPr>
              <w:ind w:firstLine="709"/>
              <w:rPr>
                <w:rFonts w:eastAsia="Times New Roman"/>
                <w:b/>
                <w:bCs/>
                <w:color w:val="0000FF"/>
                <w:szCs w:val="24"/>
                <w:lang w:eastAsia="x-none"/>
              </w:rPr>
            </w:pPr>
            <w:r w:rsidRPr="00A23740">
              <w:rPr>
                <w:rFonts w:eastAsia="Times New Roman"/>
                <w:bCs/>
                <w:szCs w:val="24"/>
                <w:lang w:eastAsia="x-none"/>
              </w:rPr>
              <w:t>Taslağın ikinci ve üçüncü fıkraları, doğrudan açılan bu iflas davasında takip edilecek usule ait hükümlere ilişkin olup mevcut düzenlemelerin yen</w:t>
            </w:r>
            <w:r w:rsidR="00DE5024">
              <w:rPr>
                <w:rFonts w:eastAsia="Times New Roman"/>
                <w:bCs/>
                <w:szCs w:val="24"/>
                <w:lang w:eastAsia="x-none"/>
              </w:rPr>
              <w:t>iden yazımından ibarettir.</w:t>
            </w:r>
          </w:p>
          <w:p w:rsidR="00AA4E1E" w:rsidRPr="00A23740" w:rsidRDefault="00AA4E1E" w:rsidP="00DE5024">
            <w:pPr>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rStyle w:val="KIRMIZIChar"/>
                <w:rFonts w:eastAsia="Calibri"/>
              </w:rPr>
              <w:t>B -</w:t>
            </w:r>
            <w:r w:rsidRPr="00A23740">
              <w:rPr>
                <w:szCs w:val="24"/>
              </w:rPr>
              <w:t xml:space="preserve"> Borçlunun </w:t>
            </w:r>
            <w:r w:rsidRPr="00A23740">
              <w:rPr>
                <w:b/>
                <w:strike/>
                <w:color w:val="FF0000"/>
                <w:szCs w:val="24"/>
              </w:rPr>
              <w:t>müracaatiyle</w:t>
            </w:r>
            <w:r w:rsidRPr="00A23740">
              <w:rPr>
                <w:strike/>
                <w:color w:val="FF0000"/>
                <w:szCs w:val="24"/>
              </w:rPr>
              <w:t>:</w:t>
            </w:r>
          </w:p>
          <w:p w:rsidR="00AA5C8C" w:rsidRPr="00A23740" w:rsidRDefault="00AA5C8C" w:rsidP="009431FF">
            <w:pPr>
              <w:tabs>
                <w:tab w:val="left" w:pos="567"/>
              </w:tabs>
              <w:rPr>
                <w:b/>
                <w:strike/>
                <w:color w:val="FF0000"/>
                <w:szCs w:val="24"/>
              </w:rPr>
            </w:pPr>
            <w:r w:rsidRPr="00A23740">
              <w:rPr>
                <w:rStyle w:val="KIRMIZIChar"/>
                <w:rFonts w:eastAsia="Calibri"/>
              </w:rPr>
              <w:t>Madde 178 – (1)  (Değişik</w:t>
            </w:r>
            <w:r w:rsidRPr="00A23740">
              <w:rPr>
                <w:b/>
                <w:strike/>
                <w:color w:val="FF0000"/>
                <w:szCs w:val="24"/>
              </w:rPr>
              <w:t>: 18/2/1965 - 538/93 md.)</w:t>
            </w:r>
          </w:p>
          <w:p w:rsidR="00AA5C8C" w:rsidRPr="00A23740" w:rsidRDefault="00AA5C8C" w:rsidP="009431FF">
            <w:pPr>
              <w:tabs>
                <w:tab w:val="left" w:pos="567"/>
              </w:tabs>
              <w:rPr>
                <w:szCs w:val="24"/>
              </w:rPr>
            </w:pPr>
            <w:r w:rsidRPr="00A23740">
              <w:rPr>
                <w:b/>
                <w:strike/>
                <w:color w:val="FF0000"/>
                <w:szCs w:val="24"/>
              </w:rPr>
              <w:t>(Değişik: 9/11/1988 - 3494/37 md.)</w:t>
            </w:r>
            <w:r w:rsidRPr="00A23740">
              <w:rPr>
                <w:szCs w:val="24"/>
              </w:rPr>
              <w:t xml:space="preserve"> İflasa tabi bir borçlu, aciz halinde bulunduğunu bildirerek </w:t>
            </w:r>
            <w:r w:rsidRPr="00A23740">
              <w:rPr>
                <w:b/>
                <w:strike/>
                <w:color w:val="FF0000"/>
                <w:szCs w:val="24"/>
              </w:rPr>
              <w:t>yetkili mahkemeden</w:t>
            </w:r>
            <w:r w:rsidRPr="00A23740">
              <w:rPr>
                <w:szCs w:val="24"/>
              </w:rPr>
              <w:t xml:space="preserve"> iflasını isteyebilir. Borçlu, bu halde bütün aktif ve pasifi ile alacaklılarının isim ve adreslerini gösteren </w:t>
            </w:r>
            <w:r w:rsidRPr="00A23740">
              <w:rPr>
                <w:rStyle w:val="KIRMIZIChar"/>
                <w:rFonts w:eastAsia="Calibri"/>
              </w:rPr>
              <w:t>mal beyanını</w:t>
            </w:r>
            <w:r w:rsidRPr="00A23740">
              <w:rPr>
                <w:szCs w:val="24"/>
              </w:rPr>
              <w:t xml:space="preserve"> iflas talebine eklemek zorundadır. Bu belge mahkemeye </w:t>
            </w:r>
            <w:r w:rsidRPr="00A23740">
              <w:rPr>
                <w:b/>
                <w:strike/>
                <w:color w:val="FF0000"/>
                <w:szCs w:val="24"/>
              </w:rPr>
              <w:t>ibraz</w:t>
            </w:r>
            <w:r w:rsidRPr="00A23740">
              <w:rPr>
                <w:szCs w:val="24"/>
              </w:rPr>
              <w:t xml:space="preserve"> edilmedikçe iflasa karar verilemez.</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 (</w:t>
            </w:r>
            <w:r w:rsidRPr="00A23740">
              <w:rPr>
                <w:b/>
                <w:strike/>
                <w:color w:val="FF0000"/>
                <w:szCs w:val="24"/>
              </w:rPr>
              <w:t>Ek: 9/11/1988 - 3494/37 md.)</w:t>
            </w:r>
            <w:r w:rsidRPr="00A23740">
              <w:rPr>
                <w:szCs w:val="24"/>
              </w:rPr>
              <w:t xml:space="preserve"> İflas talebi </w:t>
            </w:r>
            <w:r w:rsidRPr="000C46FB">
              <w:rPr>
                <w:rStyle w:val="KIRMIZIChar"/>
                <w:rFonts w:eastAsia="Calibri"/>
              </w:rPr>
              <w:t>l66 ncı</w:t>
            </w:r>
            <w:r w:rsidRPr="00A23740">
              <w:rPr>
                <w:szCs w:val="24"/>
              </w:rPr>
              <w:t xml:space="preserve"> maddenin ikinci fıkrasındaki usul</w:t>
            </w:r>
            <w:r w:rsidRPr="00A23740">
              <w:rPr>
                <w:rStyle w:val="KIRMIZIChar"/>
                <w:rFonts w:eastAsia="Calibri"/>
              </w:rPr>
              <w:t>le</w:t>
            </w:r>
            <w:r w:rsidRPr="00A23740">
              <w:rPr>
                <w:szCs w:val="24"/>
              </w:rPr>
              <w:t xml:space="preserve"> ilan edilir. Alacaklılar iflas talebinin ilanından itibaren </w:t>
            </w:r>
            <w:r w:rsidRPr="00A23740">
              <w:rPr>
                <w:b/>
                <w:strike/>
                <w:color w:val="FF0000"/>
                <w:szCs w:val="24"/>
              </w:rPr>
              <w:t>onbeş gün</w:t>
            </w:r>
            <w:r w:rsidRPr="00A23740">
              <w:rPr>
                <w:b/>
                <w:color w:val="FF0000"/>
                <w:szCs w:val="24"/>
              </w:rPr>
              <w:t xml:space="preserve"> </w:t>
            </w:r>
            <w:r w:rsidRPr="00A23740">
              <w:rPr>
                <w:szCs w:val="24"/>
              </w:rPr>
              <w:t xml:space="preserve">içinde </w:t>
            </w:r>
            <w:r w:rsidRPr="00A23740">
              <w:rPr>
                <w:b/>
                <w:strike/>
                <w:color w:val="FF0000"/>
                <w:szCs w:val="24"/>
              </w:rPr>
              <w:t xml:space="preserve">davaya müdahale </w:t>
            </w:r>
            <w:r w:rsidRPr="00A23740">
              <w:rPr>
                <w:rStyle w:val="KIRMIZIChar"/>
                <w:rFonts w:eastAsia="Calibri"/>
              </w:rPr>
              <w:t>veya itiraz ederek,</w:t>
            </w:r>
            <w:r w:rsidRPr="00A23740">
              <w:rPr>
                <w:szCs w:val="24"/>
              </w:rPr>
              <w:t xml:space="preserve"> borçlunun iflas talebini, hakkındaki takipleri ertelemek ve borçlarını ödemeyi geciktirmek için yaptığını </w:t>
            </w:r>
            <w:r w:rsidRPr="00A23740">
              <w:rPr>
                <w:rStyle w:val="KIRMIZIChar"/>
                <w:rFonts w:eastAsia="Calibri"/>
              </w:rPr>
              <w:t>ileri sürerek</w:t>
            </w:r>
            <w:r w:rsidRPr="00A23740">
              <w:rPr>
                <w:szCs w:val="24"/>
              </w:rPr>
              <w:t xml:space="preserve"> mahkemeden talebin reddini isteyebilir</w:t>
            </w:r>
            <w:r w:rsidRPr="00A23740">
              <w:rPr>
                <w:rStyle w:val="KIRMIZIChar"/>
                <w:rFonts w:eastAsia="Calibri"/>
              </w:rPr>
              <w:t>ler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İflasa tabi bir borçlu aleyhine alacaklılardan birinin haciz yolu ile takibi </w:t>
            </w:r>
            <w:r w:rsidRPr="00A23740">
              <w:rPr>
                <w:b/>
                <w:strike/>
                <w:color w:val="FF0000"/>
                <w:szCs w:val="24"/>
              </w:rPr>
              <w:t>neticesinde yapılan haciz</w:t>
            </w:r>
            <w:r w:rsidRPr="00A23740">
              <w:rPr>
                <w:szCs w:val="24"/>
              </w:rPr>
              <w:t xml:space="preserve"> borçlunun yarı mevcudu</w:t>
            </w:r>
            <w:r w:rsidRPr="00A23740">
              <w:rPr>
                <w:b/>
                <w:strike/>
                <w:color w:val="FF0000"/>
                <w:szCs w:val="24"/>
              </w:rPr>
              <w:t>nun</w:t>
            </w:r>
            <w:r w:rsidRPr="00A23740">
              <w:rPr>
                <w:szCs w:val="24"/>
              </w:rPr>
              <w:t xml:space="preserve"> elinden </w:t>
            </w:r>
            <w:r w:rsidRPr="000C46FB">
              <w:rPr>
                <w:rStyle w:val="KIRMIZIChar"/>
                <w:rFonts w:eastAsia="Calibri"/>
              </w:rPr>
              <w:t>çıkmasına</w:t>
            </w:r>
            <w:r w:rsidRPr="00A23740">
              <w:rPr>
                <w:b/>
                <w:strike/>
                <w:color w:val="FF0000"/>
                <w:szCs w:val="24"/>
              </w:rPr>
              <w:t xml:space="preserve"> sebep olup da</w:t>
            </w:r>
            <w:r w:rsidRPr="00A23740">
              <w:rPr>
                <w:b/>
                <w:color w:val="FF0000"/>
                <w:szCs w:val="24"/>
              </w:rPr>
              <w:t xml:space="preserve"> </w:t>
            </w:r>
            <w:r w:rsidRPr="00A23740">
              <w:rPr>
                <w:szCs w:val="24"/>
              </w:rPr>
              <w:t xml:space="preserve">kalanı </w:t>
            </w:r>
            <w:r w:rsidRPr="00A23740">
              <w:rPr>
                <w:b/>
                <w:strike/>
                <w:color w:val="FF0000"/>
                <w:szCs w:val="24"/>
              </w:rPr>
              <w:t>muaccel</w:t>
            </w:r>
            <w:r w:rsidRPr="00A23740">
              <w:rPr>
                <w:szCs w:val="24"/>
              </w:rPr>
              <w:t xml:space="preserve"> ve vadesi bir sene içinde </w:t>
            </w:r>
            <w:r w:rsidRPr="00A23740">
              <w:rPr>
                <w:b/>
                <w:strike/>
                <w:color w:val="FF0000"/>
                <w:szCs w:val="24"/>
              </w:rPr>
              <w:t>hülül edecek</w:t>
            </w:r>
            <w:r w:rsidRPr="00A23740">
              <w:rPr>
                <w:szCs w:val="24"/>
              </w:rPr>
              <w:t xml:space="preserve"> diğer borçlarını ödemeye </w:t>
            </w:r>
            <w:r w:rsidRPr="00A23740">
              <w:rPr>
                <w:rStyle w:val="KIRMIZIChar"/>
                <w:rFonts w:eastAsia="Calibri"/>
              </w:rPr>
              <w:t>yetişmiyorsa</w:t>
            </w:r>
            <w:r w:rsidRPr="00A23740">
              <w:rPr>
                <w:szCs w:val="24"/>
              </w:rPr>
              <w:t xml:space="preserve"> borçlu derhal aczini bildirerek iflasını isteme</w:t>
            </w:r>
            <w:r w:rsidRPr="00A23740">
              <w:rPr>
                <w:b/>
                <w:strike/>
                <w:color w:val="FF0000"/>
                <w:szCs w:val="24"/>
              </w:rPr>
              <w:t>ye mecburdur</w:t>
            </w:r>
            <w:r w:rsidRPr="00A23740">
              <w:rPr>
                <w:szCs w:val="24"/>
              </w:rPr>
              <w:t>.</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 xml:space="preserve">Borçlunun </w:t>
            </w:r>
            <w:r w:rsidRPr="00A23740">
              <w:rPr>
                <w:b/>
                <w:color w:val="0000FF"/>
                <w:szCs w:val="24"/>
              </w:rPr>
              <w:t>talebiyle</w:t>
            </w:r>
          </w:p>
          <w:p w:rsidR="00AA5C8C" w:rsidRPr="00A23740" w:rsidRDefault="0025055D" w:rsidP="009431FF">
            <w:pPr>
              <w:rPr>
                <w:szCs w:val="24"/>
              </w:rPr>
            </w:pPr>
            <w:r w:rsidRPr="00A23740">
              <w:rPr>
                <w:rStyle w:val="MAVChar"/>
                <w:rFonts w:eastAsia="Calibri"/>
                <w:u w:val="none"/>
              </w:rPr>
              <w:t>MADDE 286</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İflasa tabi bir borçlu, aciz h</w:t>
            </w:r>
            <w:r w:rsidR="008D7868" w:rsidRPr="00A23740">
              <w:rPr>
                <w:szCs w:val="24"/>
              </w:rPr>
              <w:t>â</w:t>
            </w:r>
            <w:r w:rsidR="00AA5C8C" w:rsidRPr="00A23740">
              <w:rPr>
                <w:szCs w:val="24"/>
              </w:rPr>
              <w:t>linde bulunduğunu bildirerek iflasını isteyebilir. Borçlu, bu h</w:t>
            </w:r>
            <w:r w:rsidR="008D7868" w:rsidRPr="00A23740">
              <w:rPr>
                <w:szCs w:val="24"/>
              </w:rPr>
              <w:t>â</w:t>
            </w:r>
            <w:r w:rsidR="00AA5C8C" w:rsidRPr="00A23740">
              <w:rPr>
                <w:szCs w:val="24"/>
              </w:rPr>
              <w:t xml:space="preserve">lde bütün aktif ve pasifi ile alacaklılarının isim ve adreslerini gösteren </w:t>
            </w:r>
            <w:r w:rsidR="00AA5C8C" w:rsidRPr="00A23740">
              <w:rPr>
                <w:rStyle w:val="MAVChar"/>
                <w:rFonts w:eastAsia="Calibri"/>
                <w:u w:val="none"/>
              </w:rPr>
              <w:t>belgeleri</w:t>
            </w:r>
            <w:r w:rsidR="00AA5C8C" w:rsidRPr="00A23740">
              <w:rPr>
                <w:szCs w:val="24"/>
              </w:rPr>
              <w:t xml:space="preserve"> iflas talebine eklemek zorundadır. Bu belgeler mahkemeye </w:t>
            </w:r>
            <w:r w:rsidR="00AA5C8C" w:rsidRPr="00A23740">
              <w:rPr>
                <w:b/>
                <w:color w:val="0000FF"/>
                <w:szCs w:val="24"/>
              </w:rPr>
              <w:t>sunulup, borçlunun aciz h</w:t>
            </w:r>
            <w:r w:rsidR="0006435B" w:rsidRPr="00A23740">
              <w:rPr>
                <w:b/>
                <w:color w:val="0000FF"/>
                <w:szCs w:val="24"/>
              </w:rPr>
              <w:t>â</w:t>
            </w:r>
            <w:r w:rsidR="00AA5C8C" w:rsidRPr="00A23740">
              <w:rPr>
                <w:b/>
                <w:color w:val="0000FF"/>
                <w:szCs w:val="24"/>
              </w:rPr>
              <w:t xml:space="preserve">linde bulunduğu tespit </w:t>
            </w:r>
            <w:r w:rsidR="00AA5C8C" w:rsidRPr="00A23740">
              <w:rPr>
                <w:szCs w:val="24"/>
              </w:rPr>
              <w:t>edilmedikçe iflasa karar verilemez.</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r w:rsidRPr="00A23740">
              <w:rPr>
                <w:b/>
                <w:color w:val="0000FF"/>
                <w:szCs w:val="24"/>
              </w:rPr>
              <w:t>(2)</w:t>
            </w:r>
            <w:r w:rsidRPr="00A23740">
              <w:rPr>
                <w:szCs w:val="24"/>
              </w:rPr>
              <w:t xml:space="preserve"> İflas talebi</w:t>
            </w:r>
            <w:r w:rsidRPr="00A23740">
              <w:rPr>
                <w:rStyle w:val="MaviChar"/>
              </w:rPr>
              <w:t>,</w:t>
            </w:r>
            <w:r w:rsidR="00D468DC" w:rsidRPr="00A23740">
              <w:rPr>
                <w:rStyle w:val="MaviChar"/>
                <w:lang w:val="tr-TR"/>
              </w:rPr>
              <w:t xml:space="preserve"> </w:t>
            </w:r>
            <w:r w:rsidR="00D468DC" w:rsidRPr="00E5316E">
              <w:rPr>
                <w:rStyle w:val="MaviChar"/>
              </w:rPr>
              <w:t>283 üncü</w:t>
            </w:r>
            <w:r w:rsidRPr="00A23740">
              <w:rPr>
                <w:szCs w:val="24"/>
              </w:rPr>
              <w:t xml:space="preserve"> maddenin ikinci fıkrasındaki usul</w:t>
            </w:r>
            <w:r w:rsidRPr="00A23740">
              <w:rPr>
                <w:rStyle w:val="MaviChar"/>
                <w:lang w:val="tr-TR"/>
              </w:rPr>
              <w:t xml:space="preserve">e göre </w:t>
            </w:r>
            <w:r w:rsidRPr="00A23740">
              <w:rPr>
                <w:szCs w:val="24"/>
              </w:rPr>
              <w:t>ilan edilir. Alacaklılar</w:t>
            </w:r>
            <w:r w:rsidRPr="00A23740">
              <w:rPr>
                <w:rStyle w:val="MaviChar"/>
              </w:rPr>
              <w:t>,</w:t>
            </w:r>
            <w:r w:rsidRPr="00A23740">
              <w:rPr>
                <w:szCs w:val="24"/>
              </w:rPr>
              <w:t xml:space="preserve"> iflas talebinin ilanından itibaren </w:t>
            </w:r>
            <w:r w:rsidRPr="00A23740">
              <w:rPr>
                <w:b/>
                <w:color w:val="0000FF"/>
                <w:szCs w:val="24"/>
              </w:rPr>
              <w:t>iki hafta</w:t>
            </w:r>
            <w:r w:rsidRPr="00A23740">
              <w:rPr>
                <w:szCs w:val="24"/>
              </w:rPr>
              <w:t xml:space="preserve"> içinde </w:t>
            </w:r>
            <w:r w:rsidRPr="00A23740">
              <w:rPr>
                <w:rStyle w:val="MaviChar"/>
              </w:rPr>
              <w:t>bir dilekçeyle</w:t>
            </w:r>
            <w:r w:rsidR="0079578B" w:rsidRPr="00E5316E">
              <w:rPr>
                <w:rStyle w:val="MaviChar"/>
              </w:rPr>
              <w:t>,</w:t>
            </w:r>
            <w:r w:rsidRPr="00A23740">
              <w:rPr>
                <w:rStyle w:val="MaviChar"/>
              </w:rPr>
              <w:t xml:space="preserve"> gerekçeli olarak ve varsa delilleriyle birlikte</w:t>
            </w:r>
            <w:r w:rsidRPr="00A23740">
              <w:rPr>
                <w:rStyle w:val="KIRMIZIChar"/>
                <w:rFonts w:eastAsia="Calibri"/>
                <w:strike w:val="0"/>
              </w:rPr>
              <w:t xml:space="preserve"> </w:t>
            </w:r>
            <w:r w:rsidRPr="00A23740">
              <w:rPr>
                <w:szCs w:val="24"/>
              </w:rPr>
              <w:t xml:space="preserve">borçlunun iflas talebini, hakkındaki takipleri ertelemek ve borçlarını ödemeyi geciktirmek için yaptığını </w:t>
            </w:r>
            <w:r w:rsidRPr="00A23740">
              <w:rPr>
                <w:rStyle w:val="MaviChar"/>
              </w:rPr>
              <w:t>iddia ederek</w:t>
            </w:r>
            <w:r w:rsidRPr="00A23740">
              <w:rPr>
                <w:szCs w:val="24"/>
              </w:rPr>
              <w:t xml:space="preserve"> mahkemeden talebin reddini isteyebilir</w:t>
            </w:r>
            <w:r w:rsidR="00895E33" w:rsidRPr="00E5316E">
              <w:rPr>
                <w:rStyle w:val="MaviChar"/>
              </w:rPr>
              <w:t>ler</w:t>
            </w:r>
            <w:r w:rsidRPr="00A23740">
              <w:rPr>
                <w:szCs w:val="24"/>
              </w:rPr>
              <w:t>.</w:t>
            </w:r>
          </w:p>
          <w:p w:rsidR="00AA5C8C" w:rsidRPr="00A23740" w:rsidRDefault="00AA5C8C" w:rsidP="009431FF">
            <w:pPr>
              <w:rPr>
                <w:szCs w:val="24"/>
              </w:rPr>
            </w:pPr>
          </w:p>
          <w:p w:rsidR="00AA5C8C" w:rsidRPr="00A23740" w:rsidRDefault="00AA5C8C" w:rsidP="009431FF">
            <w:pPr>
              <w:rPr>
                <w:szCs w:val="24"/>
              </w:rPr>
            </w:pPr>
            <w:r w:rsidRPr="00A23740">
              <w:rPr>
                <w:b/>
                <w:color w:val="0000FF"/>
                <w:szCs w:val="24"/>
              </w:rPr>
              <w:t>(3)</w:t>
            </w:r>
            <w:r w:rsidRPr="00A23740">
              <w:rPr>
                <w:szCs w:val="24"/>
              </w:rPr>
              <w:t xml:space="preserve"> İflasa tabi bir borçlu aleyhine alacaklılardan birinin haciz yolu ile takibi </w:t>
            </w:r>
            <w:r w:rsidRPr="00A23740">
              <w:rPr>
                <w:b/>
                <w:color w:val="0000FF"/>
                <w:szCs w:val="24"/>
              </w:rPr>
              <w:t xml:space="preserve">sonucunda </w:t>
            </w:r>
            <w:r w:rsidRPr="00A23740">
              <w:rPr>
                <w:szCs w:val="24"/>
              </w:rPr>
              <w:t xml:space="preserve">borçlunun yarı mevcudu elinden </w:t>
            </w:r>
            <w:r w:rsidRPr="000C46FB">
              <w:rPr>
                <w:rStyle w:val="Balk1Char"/>
                <w:rFonts w:eastAsia="Calibri"/>
              </w:rPr>
              <w:t>çıkmış</w:t>
            </w:r>
            <w:r w:rsidRPr="00A23740">
              <w:rPr>
                <w:b/>
                <w:color w:val="0000FF"/>
                <w:szCs w:val="24"/>
              </w:rPr>
              <w:t>,</w:t>
            </w:r>
            <w:r w:rsidRPr="00A23740">
              <w:rPr>
                <w:szCs w:val="24"/>
              </w:rPr>
              <w:t xml:space="preserve"> kalanı </w:t>
            </w:r>
            <w:r w:rsidRPr="00A23740">
              <w:rPr>
                <w:rStyle w:val="MaviChar"/>
              </w:rPr>
              <w:t>da</w:t>
            </w:r>
            <w:r w:rsidRPr="00A23740">
              <w:rPr>
                <w:szCs w:val="24"/>
              </w:rPr>
              <w:t xml:space="preserve"> vadesi </w:t>
            </w:r>
            <w:r w:rsidRPr="00A23740">
              <w:rPr>
                <w:b/>
                <w:color w:val="0000FF"/>
                <w:szCs w:val="24"/>
              </w:rPr>
              <w:t>gelmiş</w:t>
            </w:r>
            <w:r w:rsidRPr="00A23740">
              <w:rPr>
                <w:szCs w:val="24"/>
              </w:rPr>
              <w:t xml:space="preserve"> ve bir sene içinde </w:t>
            </w:r>
            <w:r w:rsidRPr="00A23740">
              <w:rPr>
                <w:b/>
                <w:color w:val="0000FF"/>
                <w:szCs w:val="24"/>
              </w:rPr>
              <w:t>gelecek</w:t>
            </w:r>
            <w:r w:rsidRPr="00A23740">
              <w:rPr>
                <w:szCs w:val="24"/>
              </w:rPr>
              <w:t xml:space="preserve"> diğer borçlarını ödemeye </w:t>
            </w:r>
            <w:r w:rsidRPr="00A23740">
              <w:rPr>
                <w:rStyle w:val="MaviChar"/>
              </w:rPr>
              <w:t>yetmiyorsa</w:t>
            </w:r>
            <w:r w:rsidR="0079578B" w:rsidRPr="00AA05EF">
              <w:rPr>
                <w:rStyle w:val="Balk1Char"/>
                <w:rFonts w:eastAsia="Calibri"/>
              </w:rPr>
              <w:t>,</w:t>
            </w:r>
            <w:r w:rsidRPr="00A23740">
              <w:rPr>
                <w:szCs w:val="24"/>
              </w:rPr>
              <w:t xml:space="preserve"> borçlu </w:t>
            </w:r>
            <w:r w:rsidR="00DF22A1" w:rsidRPr="00A23740">
              <w:rPr>
                <w:szCs w:val="24"/>
              </w:rPr>
              <w:t xml:space="preserve">derhâl </w:t>
            </w:r>
            <w:r w:rsidRPr="00A23740">
              <w:rPr>
                <w:szCs w:val="24"/>
              </w:rPr>
              <w:t>aczini bildirerek iflasını isteme</w:t>
            </w:r>
            <w:r w:rsidRPr="00A23740">
              <w:rPr>
                <w:b/>
                <w:color w:val="0000FF"/>
                <w:szCs w:val="24"/>
              </w:rPr>
              <w:t>k</w:t>
            </w:r>
            <w:r w:rsidRPr="00A23740">
              <w:rPr>
                <w:szCs w:val="24"/>
              </w:rPr>
              <w:t xml:space="preserve"> </w:t>
            </w:r>
            <w:r w:rsidRPr="00A23740">
              <w:rPr>
                <w:b/>
                <w:color w:val="0000FF"/>
                <w:szCs w:val="24"/>
              </w:rPr>
              <w:t>zorundadır</w:t>
            </w:r>
            <w:r w:rsidRPr="00A23740">
              <w:rPr>
                <w:szCs w:val="24"/>
              </w:rPr>
              <w:t>.</w:t>
            </w:r>
          </w:p>
          <w:p w:rsidR="00AA5C8C" w:rsidRPr="00A23740" w:rsidRDefault="00AA5C8C" w:rsidP="009431FF">
            <w:pPr>
              <w:pStyle w:val="KIRMIZI"/>
              <w:rPr>
                <w:b w:val="0"/>
                <w:lang w:val="tr-TR"/>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tabs>
                <w:tab w:val="left" w:pos="567"/>
              </w:tabs>
              <w:rPr>
                <w:b/>
                <w:bCs/>
                <w:szCs w:val="24"/>
                <w:lang w:eastAsia="x-none"/>
              </w:rPr>
            </w:pPr>
          </w:p>
          <w:p w:rsidR="00687220" w:rsidRPr="00A23740" w:rsidRDefault="00687220" w:rsidP="009431FF">
            <w:pPr>
              <w:tabs>
                <w:tab w:val="left" w:pos="567"/>
                <w:tab w:val="right" w:pos="6520"/>
              </w:tabs>
              <w:ind w:firstLine="709"/>
              <w:rPr>
                <w:b/>
                <w:bCs/>
                <w:szCs w:val="24"/>
              </w:rPr>
            </w:pPr>
            <w:r w:rsidRPr="00A23740">
              <w:rPr>
                <w:b/>
              </w:rPr>
              <w:t>MADDE 286-</w:t>
            </w:r>
            <w:r w:rsidRPr="00A23740">
              <w:t xml:space="preserve"> Maddeyle, doğrudan doğruya iflasta </w:t>
            </w:r>
            <w:r w:rsidRPr="00A23740">
              <w:rPr>
                <w:szCs w:val="24"/>
              </w:rPr>
              <w:t xml:space="preserve">borçlunun talebine ilişkin hususlar düzenlenmektedir. Hüküm, 2004 sayılı Kanunun 178 inci maddesine karşılık gelmektedir. </w:t>
            </w:r>
          </w:p>
          <w:p w:rsidR="00687220" w:rsidRPr="00A23740" w:rsidRDefault="00687220" w:rsidP="009431FF">
            <w:pPr>
              <w:tabs>
                <w:tab w:val="left" w:pos="567"/>
              </w:tabs>
              <w:ind w:firstLine="709"/>
              <w:rPr>
                <w:szCs w:val="24"/>
              </w:rPr>
            </w:pPr>
            <w:r w:rsidRPr="00A23740">
              <w:rPr>
                <w:szCs w:val="24"/>
              </w:rPr>
              <w:t>Taslağın bu hükmü, esasen borçlunun da kendi iflasın</w:t>
            </w:r>
            <w:r w:rsidR="00BA6920" w:rsidRPr="00A23740">
              <w:rPr>
                <w:szCs w:val="24"/>
              </w:rPr>
              <w:t>ı</w:t>
            </w:r>
            <w:r w:rsidRPr="00A23740">
              <w:rPr>
                <w:szCs w:val="24"/>
              </w:rPr>
              <w:t xml:space="preserve"> isteyebilmesine imkân veren; ihtiyari bir hâli düzenlemektedir. Ac</w:t>
            </w:r>
            <w:r w:rsidR="00BA6920" w:rsidRPr="00A23740">
              <w:rPr>
                <w:szCs w:val="24"/>
              </w:rPr>
              <w:t>i</w:t>
            </w:r>
            <w:r w:rsidRPr="00A23740">
              <w:rPr>
                <w:szCs w:val="24"/>
              </w:rPr>
              <w:t xml:space="preserve">z </w:t>
            </w:r>
            <w:r w:rsidR="00BA6920" w:rsidRPr="00A23740">
              <w:rPr>
                <w:szCs w:val="24"/>
              </w:rPr>
              <w:t xml:space="preserve"> halinde </w:t>
            </w:r>
            <w:r w:rsidRPr="00A23740">
              <w:rPr>
                <w:szCs w:val="24"/>
              </w:rPr>
              <w:t>olduğunu bildiren borçlu, birinci fıkrada yazıldığı gibi</w:t>
            </w:r>
            <w:r w:rsidR="00BA6920" w:rsidRPr="00A23740">
              <w:rPr>
                <w:szCs w:val="24"/>
              </w:rPr>
              <w:t>,</w:t>
            </w:r>
            <w:r w:rsidRPr="00A23740">
              <w:rPr>
                <w:szCs w:val="24"/>
              </w:rPr>
              <w:t xml:space="preserve"> bir başvuruyla kendi iflasını isteyebilecektir. Hükümde geçen “ac</w:t>
            </w:r>
            <w:r w:rsidR="00BA6920" w:rsidRPr="00A23740">
              <w:rPr>
                <w:szCs w:val="24"/>
              </w:rPr>
              <w:t>i</w:t>
            </w:r>
            <w:r w:rsidRPr="00A23740">
              <w:rPr>
                <w:szCs w:val="24"/>
              </w:rPr>
              <w:t>z” tabirinin neye delalet ettiği hakkında bilimsel içtihadın oturmuş</w:t>
            </w:r>
            <w:r w:rsidR="00BA6920" w:rsidRPr="00A23740">
              <w:rPr>
                <w:szCs w:val="24"/>
              </w:rPr>
              <w:t>açıklamaları</w:t>
            </w:r>
            <w:r w:rsidRPr="00A23740">
              <w:rPr>
                <w:szCs w:val="24"/>
              </w:rPr>
              <w:t xml:space="preserve">, aynen benimsenmiş; terim değişikliğine ihtiyaç hissedilmemiştir. </w:t>
            </w:r>
            <w:r w:rsidR="00BA6920" w:rsidRPr="00A23740">
              <w:rPr>
                <w:szCs w:val="24"/>
              </w:rPr>
              <w:t xml:space="preserve">Aynı </w:t>
            </w:r>
            <w:r w:rsidRPr="00A23740">
              <w:rPr>
                <w:szCs w:val="24"/>
              </w:rPr>
              <w:t xml:space="preserve">nedenle alacaklı da borçlusunun iflasını isteyebilecektir ki, böyle bir ihtimalde somut iflas nedeni, alacaklı yönünden artık Taslağın 285 </w:t>
            </w:r>
            <w:r w:rsidR="003F00C6" w:rsidRPr="00A23740">
              <w:rPr>
                <w:szCs w:val="24"/>
              </w:rPr>
              <w:t>i</w:t>
            </w:r>
            <w:r w:rsidRPr="00A23740">
              <w:rPr>
                <w:szCs w:val="24"/>
              </w:rPr>
              <w:t>nci</w:t>
            </w:r>
            <w:r w:rsidR="00211AC3" w:rsidRPr="00A23740">
              <w:rPr>
                <w:szCs w:val="24"/>
              </w:rPr>
              <w:t xml:space="preserve"> </w:t>
            </w:r>
            <w:r w:rsidRPr="00A23740">
              <w:rPr>
                <w:szCs w:val="24"/>
              </w:rPr>
              <w:t xml:space="preserve">maddesinin birinci fıkrasının </w:t>
            </w:r>
            <w:r w:rsidR="00AB0AE1" w:rsidRPr="00D60C1D">
              <w:rPr>
                <w:rStyle w:val="KonuBalChar"/>
                <w:rFonts w:eastAsia="Calibri"/>
                <w:b w:val="0"/>
                <w:color w:val="000000"/>
              </w:rPr>
              <w:t>(b)</w:t>
            </w:r>
            <w:r w:rsidRPr="00A23740">
              <w:rPr>
                <w:szCs w:val="24"/>
              </w:rPr>
              <w:t xml:space="preserve"> bendinde düzenlendiği üzere “</w:t>
            </w:r>
            <w:r w:rsidRPr="000C46FB">
              <w:rPr>
                <w:iCs/>
                <w:szCs w:val="24"/>
              </w:rPr>
              <w:t>ödemelerin tatili</w:t>
            </w:r>
            <w:r w:rsidRPr="00A23740">
              <w:rPr>
                <w:szCs w:val="24"/>
              </w:rPr>
              <w:t xml:space="preserve">” olacaktır.  </w:t>
            </w:r>
          </w:p>
          <w:p w:rsidR="00211AC3" w:rsidRPr="00A23740" w:rsidRDefault="00687220" w:rsidP="009431FF">
            <w:pPr>
              <w:tabs>
                <w:tab w:val="left" w:pos="567"/>
              </w:tabs>
              <w:ind w:firstLine="709"/>
              <w:rPr>
                <w:szCs w:val="24"/>
              </w:rPr>
            </w:pPr>
            <w:r w:rsidRPr="00A23740">
              <w:rPr>
                <w:szCs w:val="24"/>
              </w:rPr>
              <w:t>Taslağın üçüncü fıkrası ise</w:t>
            </w:r>
            <w:r w:rsidR="00BA6920" w:rsidRPr="00A23740">
              <w:rPr>
                <w:szCs w:val="24"/>
              </w:rPr>
              <w:t>,</w:t>
            </w:r>
            <w:r w:rsidRPr="00A23740">
              <w:rPr>
                <w:szCs w:val="24"/>
              </w:rPr>
              <w:t xml:space="preserve"> ilk fıkraya nazaran bir ihtiyarilik değil; zorunluluk getirmektedir. Yazılı şartların oluşması h</w:t>
            </w:r>
            <w:r w:rsidR="009D574E" w:rsidRPr="00A23740">
              <w:rPr>
                <w:szCs w:val="24"/>
              </w:rPr>
              <w:t>â</w:t>
            </w:r>
            <w:r w:rsidRPr="00A23740">
              <w:rPr>
                <w:szCs w:val="24"/>
              </w:rPr>
              <w:t xml:space="preserve">linde, artık </w:t>
            </w:r>
            <w:r w:rsidRPr="000C46FB">
              <w:rPr>
                <w:iCs/>
                <w:szCs w:val="24"/>
              </w:rPr>
              <w:t>ac</w:t>
            </w:r>
            <w:r w:rsidR="00A16151" w:rsidRPr="000C46FB">
              <w:rPr>
                <w:iCs/>
                <w:szCs w:val="24"/>
              </w:rPr>
              <w:t>i</w:t>
            </w:r>
            <w:r w:rsidRPr="000C46FB">
              <w:rPr>
                <w:iCs/>
                <w:szCs w:val="24"/>
              </w:rPr>
              <w:t>z</w:t>
            </w:r>
            <w:r w:rsidRPr="00A23740">
              <w:rPr>
                <w:iCs/>
                <w:szCs w:val="24"/>
              </w:rPr>
              <w:t>den</w:t>
            </w:r>
            <w:r w:rsidRPr="00A23740">
              <w:rPr>
                <w:szCs w:val="24"/>
              </w:rPr>
              <w:t xml:space="preserve"> de öte; alacaklılar nezdinde daha acil ve tehlikeli olabilecek bir malvarlığı yoksunluğunun gündeme gelecek olması nedeniyle borçlunun tıpkı Taslağın 28</w:t>
            </w:r>
            <w:r w:rsidR="00A16151" w:rsidRPr="00A23740">
              <w:rPr>
                <w:szCs w:val="24"/>
              </w:rPr>
              <w:t>7</w:t>
            </w:r>
            <w:r w:rsidR="000C46FB">
              <w:rPr>
                <w:szCs w:val="24"/>
              </w:rPr>
              <w:t xml:space="preserve"> </w:t>
            </w:r>
            <w:r w:rsidRPr="00A23740">
              <w:rPr>
                <w:szCs w:val="24"/>
              </w:rPr>
              <w:t>nci maddesinde olduğu gibi kendi iflasını istemeye mecbur olduğu</w:t>
            </w:r>
            <w:r w:rsidR="00A16151" w:rsidRPr="00A23740">
              <w:rPr>
                <w:szCs w:val="24"/>
              </w:rPr>
              <w:t xml:space="preserve"> kabul edilmektedir</w:t>
            </w:r>
            <w:r w:rsidRPr="00A23740">
              <w:rPr>
                <w:szCs w:val="24"/>
              </w:rPr>
              <w:t>. Bu durumda borçlunun içine düştüğü mali şartların, ac</w:t>
            </w:r>
            <w:r w:rsidR="00A16151" w:rsidRPr="00A23740">
              <w:rPr>
                <w:szCs w:val="24"/>
              </w:rPr>
              <w:t>i</w:t>
            </w:r>
            <w:r w:rsidRPr="00A23740">
              <w:rPr>
                <w:szCs w:val="24"/>
              </w:rPr>
              <w:t xml:space="preserve">zden ziyade artık borca batıklığa evrildiği gerçeği karşısında ve Taslağın </w:t>
            </w:r>
            <w:r w:rsidR="00A16151" w:rsidRPr="00A23740">
              <w:rPr>
                <w:szCs w:val="24"/>
              </w:rPr>
              <w:t>287</w:t>
            </w:r>
            <w:r w:rsidR="000C46FB">
              <w:rPr>
                <w:szCs w:val="24"/>
              </w:rPr>
              <w:t xml:space="preserve"> </w:t>
            </w:r>
            <w:r w:rsidRPr="00A23740">
              <w:rPr>
                <w:szCs w:val="24"/>
              </w:rPr>
              <w:t>nci maddesinin dar kapsamı nedeniyle iş</w:t>
            </w:r>
            <w:r w:rsidR="003F00C6" w:rsidRPr="00A23740">
              <w:rPr>
                <w:szCs w:val="24"/>
              </w:rPr>
              <w:t>l</w:t>
            </w:r>
            <w:r w:rsidRPr="00A23740">
              <w:rPr>
                <w:szCs w:val="24"/>
              </w:rPr>
              <w:t>etilmediği her hâlde, bu hükmün tatbiki gerekeceğinden, düzenlemenin bu h</w:t>
            </w:r>
            <w:r w:rsidR="009D574E" w:rsidRPr="00A23740">
              <w:rPr>
                <w:szCs w:val="24"/>
              </w:rPr>
              <w:t>â</w:t>
            </w:r>
            <w:r w:rsidRPr="00A23740">
              <w:rPr>
                <w:szCs w:val="24"/>
              </w:rPr>
              <w:t xml:space="preserve">liyle muhafazasında fayda görülmüştür. </w:t>
            </w:r>
          </w:p>
          <w:p w:rsidR="00CE27BE" w:rsidRDefault="00687220" w:rsidP="009431FF">
            <w:pPr>
              <w:tabs>
                <w:tab w:val="left" w:pos="567"/>
              </w:tabs>
              <w:ind w:firstLine="709"/>
              <w:rPr>
                <w:szCs w:val="24"/>
              </w:rPr>
            </w:pPr>
            <w:r w:rsidRPr="00A23740">
              <w:rPr>
                <w:szCs w:val="24"/>
              </w:rPr>
              <w:t>Taslağın ikinci fıkrası, borçlunun başvurusu ile başlatılan yargılamada geç</w:t>
            </w:r>
            <w:r w:rsidR="00CE27BE">
              <w:rPr>
                <w:szCs w:val="24"/>
              </w:rPr>
              <w:t>erli olan usulü düzenlemektedir</w:t>
            </w:r>
            <w:r w:rsidR="00DE5024">
              <w:rPr>
                <w:szCs w:val="24"/>
              </w:rPr>
              <w:t>.</w:t>
            </w:r>
          </w:p>
          <w:p w:rsidR="00046430" w:rsidRPr="00A23740" w:rsidRDefault="00046430" w:rsidP="00DE5024">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CE27BE" w:rsidRDefault="00AA5C8C" w:rsidP="009431FF">
            <w:pPr>
              <w:pStyle w:val="KIRMIZI"/>
            </w:pPr>
            <w:r w:rsidRPr="00CE27BE">
              <w:t>Sermaye şirketleri ile kooperatiflerin iflâsı</w:t>
            </w:r>
            <w:r w:rsidRPr="00CE27BE">
              <w:rPr>
                <w:rStyle w:val="KIRMIZIChar"/>
                <w:rFonts w:eastAsia="Calibri"/>
                <w:b/>
                <w:bCs/>
                <w:strike/>
              </w:rPr>
              <w:t>:</w:t>
            </w:r>
          </w:p>
          <w:p w:rsidR="00AA5C8C" w:rsidRPr="00CE27BE" w:rsidRDefault="00AA5C8C" w:rsidP="009431FF">
            <w:pPr>
              <w:pStyle w:val="KIRMIZI"/>
            </w:pPr>
            <w:r w:rsidRPr="00CE27BE">
              <w:rPr>
                <w:rStyle w:val="KIRMIZIChar"/>
                <w:rFonts w:eastAsia="Calibri"/>
                <w:b/>
                <w:bCs/>
                <w:strike/>
              </w:rPr>
              <w:t>Madde 179</w:t>
            </w:r>
            <w:r w:rsidRPr="00CE27BE">
              <w:t xml:space="preserve">- (1) (Değişik: 28/2/2018-7101/3 md.) </w:t>
            </w:r>
          </w:p>
          <w:p w:rsidR="00AA5C8C" w:rsidRPr="00CE27BE" w:rsidRDefault="00AA5C8C" w:rsidP="009431FF">
            <w:pPr>
              <w:pStyle w:val="KIRMIZI"/>
            </w:pPr>
            <w:r w:rsidRPr="00CE27BE">
              <w:t>Sermaye şirketleri ile kooperatiflerin, aktiflerin muhtemel satış fiyatları üzerinden düzenlenen ara bilançoya göre borca batık olduğu idare ve temsil ile vazifelendirilmiş kimseler veya şirket ya da kooperatif tasfiye hâlinde ise tasfiye memurları veya bir alacaklı tarafından beyan ve mahkemece tespit edilirse, önceden takibe hacet kalmaksızın bunların iflâsına karar verilir. Türk Ticaret Kanununun 377 nci ve 634 üncü maddeleri ile 24/4/1969 tarihli ve 1163 sayılı Kooperatifler Kanununun 63 üncü maddesi hükmü saklıdır.</w:t>
            </w:r>
            <w:r w:rsidRPr="00CE27BE">
              <w:tab/>
            </w:r>
          </w:p>
          <w:p w:rsidR="00AA5C8C" w:rsidRPr="00CE27BE" w:rsidRDefault="00AA5C8C" w:rsidP="009431FF">
            <w:pPr>
              <w:pStyle w:val="KIRMIZI"/>
            </w:pPr>
          </w:p>
          <w:p w:rsidR="00AA5C8C" w:rsidRPr="00CE27BE" w:rsidRDefault="00AA5C8C" w:rsidP="009431FF">
            <w:pPr>
              <w:pStyle w:val="KIRMIZI"/>
            </w:pPr>
            <w:r w:rsidRPr="00CE27BE">
              <w:t>3. Sermayenin kaybı, borca batık olma durumu</w:t>
            </w:r>
          </w:p>
          <w:p w:rsidR="00AA5C8C" w:rsidRPr="00CE27BE" w:rsidRDefault="00AA5C8C" w:rsidP="009431FF">
            <w:pPr>
              <w:pStyle w:val="KIRMIZI"/>
            </w:pPr>
            <w:r w:rsidRPr="00CE27BE">
              <w:t>a) Çağrı ve bildirim yükümü</w:t>
            </w:r>
          </w:p>
          <w:p w:rsidR="00AA5C8C" w:rsidRPr="00CE27BE" w:rsidRDefault="00AA5C8C" w:rsidP="009431FF">
            <w:pPr>
              <w:pStyle w:val="KIRMIZI"/>
            </w:pPr>
            <w:r w:rsidRPr="00CE27BE">
              <w:rPr>
                <w:rStyle w:val="KIRMIZIChar"/>
                <w:rFonts w:eastAsia="Calibri"/>
                <w:b/>
                <w:bCs/>
                <w:strike/>
              </w:rPr>
              <w:t>MADDE 376- (1)</w:t>
            </w:r>
            <w:r w:rsidRPr="00CE27BE">
              <w:t xml:space="preserve"> Son yıllık bilançodan, sermaye ile kanuni yedek akçeler toplamının yarısının zarar sebebiyle karşılıksız kaldığı anlaşılırsa, yönetim kurulu, genel kurulu hemen toplantıya çağırır ve bu genel kurula uygun gördüğü iyileştirici önlemleri sunar.</w:t>
            </w:r>
          </w:p>
          <w:p w:rsidR="00AA5C8C" w:rsidRPr="00CE27BE" w:rsidRDefault="00AA5C8C" w:rsidP="009431FF">
            <w:pPr>
              <w:pStyle w:val="KIRMIZI"/>
            </w:pPr>
            <w:r w:rsidRPr="00CE27BE">
              <w:rPr>
                <w:rStyle w:val="KIRMIZIChar"/>
                <w:rFonts w:eastAsia="Calibri"/>
                <w:b/>
                <w:bCs/>
                <w:strike/>
              </w:rPr>
              <w:t>(2)</w:t>
            </w:r>
            <w:r w:rsidRPr="00CE27BE">
              <w:t xml:space="preserve"> Son yıllık bilançoya göre, sermaye ile kanuni yedek akçeler toplamının üçte ikisinin zarar sebebiyle karşılıksız kaldığı anlaşıldığı takdirde, derhâl toplantıya çağrılan genel kurul, sermayenin üçte biri ile yetinme veya sermayenin tamamlanmasına karar vermediği takdirde şirket kendiliğinden sona erer. </w:t>
            </w:r>
          </w:p>
          <w:p w:rsidR="00AA5C8C" w:rsidRPr="00CE27BE" w:rsidRDefault="00AA5C8C" w:rsidP="009431FF">
            <w:pPr>
              <w:pStyle w:val="KIRMIZI"/>
            </w:pPr>
            <w:r w:rsidRPr="00CE27BE">
              <w:rPr>
                <w:rStyle w:val="KIRMIZIChar"/>
                <w:rFonts w:eastAsia="Calibri"/>
                <w:b/>
                <w:bCs/>
                <w:strike/>
              </w:rPr>
              <w:t>(3)</w:t>
            </w:r>
            <w:r w:rsidRPr="00CE27BE">
              <w:t xml:space="preserve"> (Değişik: 26/6/2012-6335/16 md.) Şirketin borca batık durumda bulunduğu şüphesini uyandıran işaretler varsa, yönetim kurulu, aktiflerin hem işletmenin devamlılığı esasına göre hem de muhtemel satış fiyatları üzerinden bir ara bilanço çıkartır. Bu bilançodan aktiflerin, şirket alacaklılarının alacaklarını karşılamaya yetmediğinin anlaşılması hâlinde, yönetim kurulu, bu durumu şirket merkezinin bulunduğu yer asliye ticaret mahkemesine bildirir ve şirketin iflasını ister. Meğerki, iflas kararının verilmesinden önce, şirketin açığını karşılayacak ve borca batık durumunu ortadan kaldıracak tutardaki şirket borçlarının alacaklıları, alacaklarının sırasının diğer tüm alacaklıların sırasından sonraki sıraya konulmasını yazılı olarak kabul etmiş ve bu beyanın veya sözleşmenin yerindeliği, gerçekliği ve geçerliliği, yönetim kurulu tarafından iflas isteminin bildirileceği mahkemece atanan bilirkişilerce doğrulanmış olsun. Aksi hâlde mahkemeye bilirkişi incelemesi için yapılmış başvuru, iflas bildirimi olarak kabul olunur.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Sermaye şirketleri ile kooperatiflerin ifl</w:t>
            </w:r>
            <w:r w:rsidR="00656C77" w:rsidRPr="00A23740">
              <w:rPr>
                <w:b/>
                <w:szCs w:val="24"/>
              </w:rPr>
              <w:t>a</w:t>
            </w:r>
            <w:r w:rsidRPr="00A23740">
              <w:rPr>
                <w:b/>
                <w:szCs w:val="24"/>
              </w:rPr>
              <w:t>sı</w:t>
            </w:r>
          </w:p>
          <w:p w:rsidR="00AA5C8C" w:rsidRPr="00A23740" w:rsidRDefault="00AA5C8C" w:rsidP="009431FF">
            <w:pPr>
              <w:tabs>
                <w:tab w:val="left" w:pos="567"/>
              </w:tabs>
              <w:rPr>
                <w:szCs w:val="24"/>
              </w:rPr>
            </w:pPr>
            <w:r w:rsidRPr="00A23740">
              <w:rPr>
                <w:rStyle w:val="MaviChar"/>
                <w:lang w:val="tr-TR"/>
              </w:rPr>
              <w:t xml:space="preserve">MADDE </w:t>
            </w:r>
            <w:r w:rsidR="0025055D" w:rsidRPr="00A23740">
              <w:rPr>
                <w:rStyle w:val="MAVChar"/>
                <w:rFonts w:eastAsia="Calibri"/>
                <w:u w:val="none"/>
              </w:rPr>
              <w:t>287</w:t>
            </w:r>
            <w:r w:rsidRPr="00A23740">
              <w:rPr>
                <w:rStyle w:val="MAVChar"/>
                <w:rFonts w:eastAsia="Calibri"/>
                <w:u w:val="none"/>
              </w:rPr>
              <w:t>- (</w:t>
            </w:r>
            <w:r w:rsidRPr="00A23740">
              <w:rPr>
                <w:b/>
                <w:color w:val="0000FF"/>
                <w:szCs w:val="24"/>
              </w:rPr>
              <w:t xml:space="preserve">1) </w:t>
            </w:r>
            <w:r w:rsidRPr="00A23740">
              <w:rPr>
                <w:rStyle w:val="MaviChar"/>
              </w:rPr>
              <w:t xml:space="preserve">Sermaye şirketleri ile kooperatiflerin doğrudan doğruya iflası hakkında Türk Ticaret Kanununun 376 ncı maddesinin üçüncü fıkrası ile 377 nci ve 634 üncü maddeleri ve 24/4/1969 tarihli ve 1163 sayılı Kooperatifler Kanununun 63 üncü maddesi </w:t>
            </w:r>
            <w:r w:rsidR="003F00C6" w:rsidRPr="00E5316E">
              <w:rPr>
                <w:rStyle w:val="MaviChar"/>
              </w:rPr>
              <w:t>hükümleri</w:t>
            </w:r>
            <w:r w:rsidR="003F00C6" w:rsidRPr="00A23740">
              <w:rPr>
                <w:rStyle w:val="MaviChar"/>
                <w:lang w:val="tr-TR"/>
              </w:rPr>
              <w:t xml:space="preserve"> </w:t>
            </w:r>
            <w:r w:rsidRPr="00A23740">
              <w:rPr>
                <w:rStyle w:val="MaviChar"/>
              </w:rPr>
              <w:t>uygulanır. Şu kadar ki, iflas talebi şirket ya da kooperatif tasfiye hâlinde ise tasfiye memurları veya önceden takibe gerek kalmaksızın bir alacaklı tarafından da yapılabilir.</w:t>
            </w:r>
          </w:p>
          <w:p w:rsidR="00AA5C8C" w:rsidRPr="00A23740" w:rsidRDefault="00AA5C8C" w:rsidP="009431FF">
            <w:pPr>
              <w:tabs>
                <w:tab w:val="left" w:pos="567"/>
              </w:tabs>
              <w:rPr>
                <w:szCs w:val="24"/>
              </w:rPr>
            </w:pPr>
          </w:p>
          <w:p w:rsidR="00AA5C8C" w:rsidRPr="00A23740" w:rsidRDefault="00AA5C8C" w:rsidP="009431FF">
            <w:pPr>
              <w:rPr>
                <w:b/>
                <w:color w:val="0000FF"/>
                <w:szCs w:val="24"/>
              </w:rPr>
            </w:pPr>
            <w:r w:rsidRPr="00A23740">
              <w:rPr>
                <w:b/>
                <w:color w:val="0000FF"/>
                <w:szCs w:val="24"/>
              </w:rPr>
              <w:t>(2) Borca batıklık nedeniyle iflas talebi</w:t>
            </w:r>
            <w:r w:rsidR="00C946FD" w:rsidRPr="00A23740">
              <w:rPr>
                <w:b/>
                <w:color w:val="0000FF"/>
                <w:szCs w:val="24"/>
              </w:rPr>
              <w:t xml:space="preserve"> </w:t>
            </w:r>
            <w:r w:rsidR="00C946FD" w:rsidRPr="00E5316E">
              <w:rPr>
                <w:rStyle w:val="MaviChar"/>
              </w:rPr>
              <w:t>283 üncü</w:t>
            </w:r>
            <w:r w:rsidRPr="00A23740">
              <w:rPr>
                <w:rStyle w:val="MaviChar"/>
                <w:lang w:val="tr-TR"/>
              </w:rPr>
              <w:t xml:space="preserve"> </w:t>
            </w:r>
            <w:r w:rsidRPr="00A23740">
              <w:rPr>
                <w:b/>
                <w:color w:val="0000FF"/>
                <w:szCs w:val="24"/>
              </w:rPr>
              <w:t xml:space="preserve">maddenin ikinci fıkrasındaki usule göre ilan edilir. </w:t>
            </w:r>
            <w:r w:rsidRPr="00A23740">
              <w:rPr>
                <w:rStyle w:val="MaviChar"/>
              </w:rPr>
              <w:t>Fakat, borçlunun borca batık olduğu gerekçesiyle iflas talebinin bir alacaklı tarafından yapılması h</w:t>
            </w:r>
            <w:r w:rsidR="009D574E" w:rsidRPr="00A23740">
              <w:rPr>
                <w:rStyle w:val="MaviChar"/>
                <w:lang w:val="tr-TR"/>
              </w:rPr>
              <w:t>â</w:t>
            </w:r>
            <w:r w:rsidRPr="00A23740">
              <w:rPr>
                <w:rStyle w:val="MaviChar"/>
              </w:rPr>
              <w:t xml:space="preserve">linde, bu talep ancak mahkemece </w:t>
            </w:r>
            <w:r w:rsidR="003F00C6" w:rsidRPr="00E5316E">
              <w:rPr>
                <w:rStyle w:val="MaviChar"/>
              </w:rPr>
              <w:t>uygun</w:t>
            </w:r>
            <w:r w:rsidR="003F00C6" w:rsidRPr="00A23740">
              <w:rPr>
                <w:rStyle w:val="MaviChar"/>
                <w:lang w:val="tr-TR"/>
              </w:rPr>
              <w:t xml:space="preserve"> </w:t>
            </w:r>
            <w:r w:rsidRPr="00A23740">
              <w:rPr>
                <w:rStyle w:val="MaviChar"/>
              </w:rPr>
              <w:t>görüldüğü takdirde ilan edilir. Alacaklılar</w:t>
            </w:r>
            <w:r w:rsidRPr="00A23740">
              <w:rPr>
                <w:rStyle w:val="MaviChar"/>
                <w:lang w:val="tr-TR"/>
              </w:rPr>
              <w:t>,</w:t>
            </w:r>
            <w:r w:rsidRPr="00A23740">
              <w:rPr>
                <w:rStyle w:val="MaviChar"/>
              </w:rPr>
              <w:t xml:space="preserve"> ilandan itibaren iki hafta içinde gerekçeli olarak ve varsa delilleriyle birlikte bir dilekçeyle</w:t>
            </w:r>
            <w:r w:rsidRPr="00A23740">
              <w:rPr>
                <w:rStyle w:val="MaviChar"/>
                <w:lang w:val="tr-TR"/>
              </w:rPr>
              <w:t>,</w:t>
            </w:r>
            <w:r w:rsidRPr="00A23740">
              <w:rPr>
                <w:rStyle w:val="MaviChar"/>
              </w:rPr>
              <w:t xml:space="preserve"> borçlunun borca batık olmadığını ileri sürerek mahkemeden talebin reddini </w:t>
            </w:r>
            <w:r w:rsidRPr="00E5316E">
              <w:rPr>
                <w:rStyle w:val="MaviChar"/>
              </w:rPr>
              <w:t>isteyebilir</w:t>
            </w:r>
            <w:r w:rsidR="003F00C6" w:rsidRPr="00E5316E">
              <w:rPr>
                <w:rStyle w:val="MaviChar"/>
              </w:rPr>
              <w:t>ler</w:t>
            </w:r>
            <w:r w:rsidRPr="00A23740">
              <w:rPr>
                <w:rStyle w:val="MaviChar"/>
              </w:rPr>
              <w:t>.</w:t>
            </w:r>
            <w:r w:rsidRPr="00A23740">
              <w:rPr>
                <w:b/>
                <w:color w:val="0000FF"/>
                <w:szCs w:val="24"/>
              </w:rPr>
              <w:t xml:space="preserve"> </w:t>
            </w:r>
          </w:p>
          <w:p w:rsidR="00AA5C8C" w:rsidRPr="00A23740" w:rsidRDefault="00AA5C8C" w:rsidP="009431FF">
            <w:pPr>
              <w:tabs>
                <w:tab w:val="left" w:pos="567"/>
              </w:tabs>
              <w:rPr>
                <w:szCs w:val="24"/>
              </w:rPr>
            </w:pPr>
          </w:p>
          <w:p w:rsidR="00AA5C8C" w:rsidRPr="00A23740" w:rsidRDefault="00AA5C8C" w:rsidP="009431FF">
            <w:pPr>
              <w:pStyle w:val="KIRMIZI"/>
              <w:rPr>
                <w:lang w:val="tr-TR"/>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tabs>
                <w:tab w:val="left" w:pos="567"/>
              </w:tabs>
              <w:rPr>
                <w:b/>
                <w:bCs/>
                <w:szCs w:val="24"/>
              </w:rPr>
            </w:pPr>
          </w:p>
          <w:p w:rsidR="00687220" w:rsidRPr="00A23740" w:rsidRDefault="00687220" w:rsidP="009431FF">
            <w:pPr>
              <w:tabs>
                <w:tab w:val="left" w:pos="567"/>
              </w:tabs>
              <w:ind w:firstLine="709"/>
              <w:rPr>
                <w:b/>
                <w:szCs w:val="24"/>
              </w:rPr>
            </w:pPr>
            <w:r w:rsidRPr="00A23740">
              <w:rPr>
                <w:b/>
              </w:rPr>
              <w:t>MADDE 287-</w:t>
            </w:r>
            <w:r w:rsidRPr="00A23740">
              <w:t xml:space="preserve"> Maddeyle, doğrudan doğruya iflasta </w:t>
            </w:r>
            <w:r w:rsidRPr="00A23740">
              <w:rPr>
                <w:szCs w:val="24"/>
              </w:rPr>
              <w:t>sermaye şirketleri ile kooperatiflerin ifl</w:t>
            </w:r>
            <w:r w:rsidR="00656C77" w:rsidRPr="00A23740">
              <w:rPr>
                <w:szCs w:val="24"/>
              </w:rPr>
              <w:t>a</w:t>
            </w:r>
            <w:r w:rsidRPr="00A23740">
              <w:rPr>
                <w:szCs w:val="24"/>
              </w:rPr>
              <w:t>sına</w:t>
            </w:r>
            <w:r w:rsidRPr="00A23740">
              <w:rPr>
                <w:b/>
                <w:szCs w:val="24"/>
              </w:rPr>
              <w:t xml:space="preserve"> </w:t>
            </w:r>
            <w:r w:rsidRPr="00A23740">
              <w:rPr>
                <w:szCs w:val="24"/>
              </w:rPr>
              <w:t xml:space="preserve">ilişkin hususlar düzenlenmektedir. Hüküm, 2004 sayılı Kanunun 179 ve </w:t>
            </w:r>
            <w:r w:rsidR="00B36EAC" w:rsidRPr="00D60C1D">
              <w:rPr>
                <w:rStyle w:val="KonuBalChar"/>
                <w:rFonts w:eastAsia="Calibri"/>
                <w:b w:val="0"/>
                <w:color w:val="000000"/>
              </w:rPr>
              <w:t>6102 sayılı Kanunun</w:t>
            </w:r>
            <w:r w:rsidR="004E7D51" w:rsidRPr="00A23740">
              <w:rPr>
                <w:szCs w:val="24"/>
              </w:rPr>
              <w:t xml:space="preserve"> </w:t>
            </w:r>
            <w:r w:rsidRPr="00A23740">
              <w:rPr>
                <w:szCs w:val="24"/>
              </w:rPr>
              <w:t xml:space="preserve">376 ncı maddelerine karşılık gelmektedir. </w:t>
            </w:r>
          </w:p>
          <w:p w:rsidR="00687220" w:rsidRPr="00A23740" w:rsidRDefault="004E7D51" w:rsidP="009431FF">
            <w:pPr>
              <w:tabs>
                <w:tab w:val="left" w:pos="567"/>
              </w:tabs>
              <w:ind w:firstLine="709"/>
              <w:rPr>
                <w:szCs w:val="24"/>
              </w:rPr>
            </w:pPr>
            <w:r w:rsidRPr="00D60C1D">
              <w:rPr>
                <w:rStyle w:val="YELChar"/>
                <w:b w:val="0"/>
                <w:color w:val="000000"/>
              </w:rPr>
              <w:t>2004 sayılı</w:t>
            </w:r>
            <w:r w:rsidRPr="00A23740">
              <w:rPr>
                <w:szCs w:val="24"/>
              </w:rPr>
              <w:t xml:space="preserve"> </w:t>
            </w:r>
            <w:r w:rsidR="00687220" w:rsidRPr="00A23740">
              <w:rPr>
                <w:szCs w:val="24"/>
              </w:rPr>
              <w:t xml:space="preserve">Kanunun 179 uncu maddesine konu olan ve esasen borca batıklığa dayalı olarak borçlunun kendi iflasını istemeye artık mecbur olması hâli, aynen muhafaza edilmiş; bu vesileyle hükmün yeniden yazımı uygun bulunmuştur. Bu kapsamda sermaye şirketleri ile kooperatifler yönünden kanunlarında özel olarak ayrıca düzenlenmiş bu mesele bakımından metnin yazımında söz konusu kanun hükümlerine atıf yapılarak onların hatırlatılması, bu konunun zaten oralarda düzenlendiği gerekçesiyle hiç yazılmamasından daha doğru bulunmuştur. </w:t>
            </w:r>
          </w:p>
          <w:p w:rsidR="00687220" w:rsidRPr="00A23740" w:rsidRDefault="00687220" w:rsidP="009431FF">
            <w:pPr>
              <w:tabs>
                <w:tab w:val="left" w:pos="567"/>
              </w:tabs>
              <w:ind w:firstLine="709"/>
              <w:rPr>
                <w:szCs w:val="24"/>
              </w:rPr>
            </w:pPr>
            <w:r w:rsidRPr="00A23740">
              <w:rPr>
                <w:szCs w:val="24"/>
              </w:rPr>
              <w:t>Bu hâlde hiç şüphesiz ki, alacaklılar da borçlunun iflasını isteyebileceklerdir ki, hükmün son cümlesinde bu hususa açıklık getirilmiştir.</w:t>
            </w:r>
          </w:p>
          <w:p w:rsidR="00687220" w:rsidRPr="00A23740" w:rsidRDefault="00687220" w:rsidP="009431FF">
            <w:pPr>
              <w:tabs>
                <w:tab w:val="left" w:pos="567"/>
              </w:tabs>
              <w:ind w:firstLine="709"/>
              <w:rPr>
                <w:szCs w:val="24"/>
              </w:rPr>
            </w:pPr>
            <w:r w:rsidRPr="00A23740">
              <w:rPr>
                <w:szCs w:val="24"/>
              </w:rPr>
              <w:t>Bu vesileyle hükmün Taslağın</w:t>
            </w:r>
            <w:r w:rsidR="005A557A" w:rsidRPr="00A23740">
              <w:rPr>
                <w:szCs w:val="24"/>
              </w:rPr>
              <w:t xml:space="preserve"> </w:t>
            </w:r>
            <w:r w:rsidR="005A557A" w:rsidRPr="00D60C1D">
              <w:rPr>
                <w:rStyle w:val="KonuBalChar"/>
                <w:rFonts w:eastAsia="Calibri"/>
                <w:b w:val="0"/>
                <w:color w:val="000000"/>
              </w:rPr>
              <w:t>526 ncı</w:t>
            </w:r>
            <w:r w:rsidRPr="00A23740">
              <w:rPr>
                <w:szCs w:val="24"/>
              </w:rPr>
              <w:t xml:space="preserve"> madde</w:t>
            </w:r>
            <w:r w:rsidR="003F00C6" w:rsidRPr="00A23740">
              <w:rPr>
                <w:szCs w:val="24"/>
              </w:rPr>
              <w:t>sinde</w:t>
            </w:r>
            <w:r w:rsidRPr="00A23740">
              <w:rPr>
                <w:szCs w:val="24"/>
              </w:rPr>
              <w:t xml:space="preserve"> düzenlenen ceza normuyla da birlikte ele alınması, kaçınılmaz bir zorunluluktur. Zira bu son metinde, iflas isteme yükümlülüğüne karşın şayet borçlu, konkordato talebinde bulunmuşsa artık yazılı cezaya hükmedilmeyeceği düzenlenmiştir. Bu anlayış, düzenlemenin birinci fıkrasında da aynen benimsenmiş ve </w:t>
            </w:r>
            <w:r w:rsidR="005A557A" w:rsidRPr="00D60C1D">
              <w:rPr>
                <w:rStyle w:val="KonuBalChar"/>
                <w:rFonts w:eastAsia="Calibri"/>
                <w:b w:val="0"/>
                <w:color w:val="000000"/>
              </w:rPr>
              <w:t>6102 sayılı Kanunun</w:t>
            </w:r>
            <w:r w:rsidRPr="00A23740">
              <w:rPr>
                <w:szCs w:val="24"/>
              </w:rPr>
              <w:t xml:space="preserve"> 376 ncı maddesine yapılan gönderme yanında hemen 377 nci maddesinden de söz edilerek</w:t>
            </w:r>
            <w:r w:rsidR="00A16151" w:rsidRPr="00A23740">
              <w:rPr>
                <w:szCs w:val="24"/>
              </w:rPr>
              <w:t>,</w:t>
            </w:r>
            <w:r w:rsidRPr="00A23740">
              <w:rPr>
                <w:szCs w:val="24"/>
              </w:rPr>
              <w:t xml:space="preserve"> borçlunun iflasını isteme yükümlülüğüyle birlikte ve hatta gereğinde ondan önce aynı nedenle konkordato talebinde bulunması hâlinde de artık söz konusu yükümlülüğün sonuçlarına hükmedilmeyeceği (borçlunun iflasına karar verilmeyeceği) vurgulanmak istenmiştir. </w:t>
            </w:r>
            <w:r w:rsidR="005A557A" w:rsidRPr="00D60C1D">
              <w:rPr>
                <w:rStyle w:val="KonuBalChar"/>
                <w:rFonts w:eastAsia="Calibri"/>
                <w:b w:val="0"/>
                <w:color w:val="000000"/>
              </w:rPr>
              <w:t>6102 sayılı Kanunun</w:t>
            </w:r>
            <w:r w:rsidR="003F00C6" w:rsidRPr="00A23740">
              <w:rPr>
                <w:szCs w:val="24"/>
              </w:rPr>
              <w:t xml:space="preserve"> 634 ve Kooperatifler Kanunu</w:t>
            </w:r>
            <w:r w:rsidRPr="00A23740">
              <w:rPr>
                <w:szCs w:val="24"/>
              </w:rPr>
              <w:t>nun 63 üncü maddesi hükümleri, konkordato teklifine ilişkin imk</w:t>
            </w:r>
            <w:r w:rsidR="00BE53A8" w:rsidRPr="00A23740">
              <w:rPr>
                <w:rFonts w:eastAsia="Times New Roman"/>
                <w:szCs w:val="24"/>
                <w:lang w:eastAsia="tr-TR"/>
              </w:rPr>
              <w:t>â</w:t>
            </w:r>
            <w:r w:rsidRPr="00A23740">
              <w:rPr>
                <w:szCs w:val="24"/>
              </w:rPr>
              <w:t xml:space="preserve">ndan kendi içlerinde ayrıca söz ettiklerinden, sadece bu madde hükümlerine göndermede bulunmak </w:t>
            </w:r>
            <w:r w:rsidR="003F00C6" w:rsidRPr="00D60C1D">
              <w:rPr>
                <w:rStyle w:val="YELChar"/>
                <w:b w:val="0"/>
                <w:color w:val="000000"/>
              </w:rPr>
              <w:t>yeterli görülmüştür.</w:t>
            </w:r>
            <w:r w:rsidR="003F00C6" w:rsidRPr="00A23740">
              <w:rPr>
                <w:szCs w:val="24"/>
              </w:rPr>
              <w:t xml:space="preserve"> Esasen İcra ve İflâs Kanunu</w:t>
            </w:r>
            <w:r w:rsidRPr="00A23740">
              <w:rPr>
                <w:szCs w:val="24"/>
              </w:rPr>
              <w:t xml:space="preserve">nun 179 uncu maddesinin son cümlesi hükmü de </w:t>
            </w:r>
            <w:r w:rsidR="005A557A" w:rsidRPr="00D60C1D">
              <w:rPr>
                <w:rStyle w:val="KonuBalChar"/>
                <w:rFonts w:eastAsia="Calibri"/>
                <w:b w:val="0"/>
                <w:color w:val="000000"/>
              </w:rPr>
              <w:t>6102 sayılı Kanunun</w:t>
            </w:r>
            <w:r w:rsidRPr="00A23740">
              <w:rPr>
                <w:szCs w:val="24"/>
              </w:rPr>
              <w:t xml:space="preserve"> 377 nci maddesi hükmünü saklı tutmak suretiyle bu irade</w:t>
            </w:r>
            <w:r w:rsidR="00A16151" w:rsidRPr="00A23740">
              <w:rPr>
                <w:szCs w:val="24"/>
              </w:rPr>
              <w:t>yi</w:t>
            </w:r>
            <w:r w:rsidRPr="00A23740">
              <w:rPr>
                <w:szCs w:val="24"/>
              </w:rPr>
              <w:t xml:space="preserve"> ortaya koymaktadır. Yazılı irade Taslakla aynen muhafaza edilmiş; hatta lâfzen daha da geliştirilmi</w:t>
            </w:r>
            <w:r w:rsidR="003F00C6" w:rsidRPr="00A23740">
              <w:rPr>
                <w:szCs w:val="24"/>
              </w:rPr>
              <w:t xml:space="preserve">ştir. Zira </w:t>
            </w:r>
            <w:r w:rsidR="00371300" w:rsidRPr="00D60C1D">
              <w:rPr>
                <w:rStyle w:val="KonuBalChar"/>
                <w:rFonts w:eastAsia="Calibri"/>
                <w:b w:val="0"/>
                <w:color w:val="000000"/>
              </w:rPr>
              <w:t>2004 sayılı Kanunun</w:t>
            </w:r>
            <w:r w:rsidRPr="00A23740">
              <w:rPr>
                <w:szCs w:val="24"/>
              </w:rPr>
              <w:t xml:space="preserve"> 179 uncu maddesinin saklı tuttuğu </w:t>
            </w:r>
            <w:r w:rsidR="005A557A" w:rsidRPr="00D60C1D">
              <w:rPr>
                <w:rStyle w:val="KonuBalChar"/>
                <w:rFonts w:eastAsia="Calibri"/>
                <w:b w:val="0"/>
                <w:color w:val="000000"/>
              </w:rPr>
              <w:t>6102 sayılı Kanunun</w:t>
            </w:r>
            <w:r w:rsidRPr="00A23740">
              <w:rPr>
                <w:szCs w:val="24"/>
              </w:rPr>
              <w:t xml:space="preserve"> 377 nci maddesinin metni, konkordato talebinin en erken iflas talebiyle birlikte veya nihayetinde iflas yargılaması sırasında </w:t>
            </w:r>
            <w:r w:rsidR="00A16151" w:rsidRPr="00A23740">
              <w:rPr>
                <w:szCs w:val="24"/>
              </w:rPr>
              <w:t>ileri sürülmesine</w:t>
            </w:r>
            <w:r w:rsidRPr="00A23740">
              <w:rPr>
                <w:szCs w:val="24"/>
              </w:rPr>
              <w:t xml:space="preserve"> cevaz veriyor gibi gözükmekteyse de</w:t>
            </w:r>
            <w:r w:rsidR="00A16151" w:rsidRPr="00A23740">
              <w:rPr>
                <w:szCs w:val="24"/>
              </w:rPr>
              <w:t>,</w:t>
            </w:r>
            <w:r w:rsidRPr="00A23740">
              <w:rPr>
                <w:szCs w:val="24"/>
              </w:rPr>
              <w:t xml:space="preserve"> böyle bir talepten evvel borçlunun borca batıklık nedeniyle sadece konkordato talebinde bulunması, </w:t>
            </w:r>
            <w:r w:rsidR="003F00C6" w:rsidRPr="00D60C1D">
              <w:rPr>
                <w:rStyle w:val="YELChar"/>
                <w:b w:val="0"/>
                <w:color w:val="000000"/>
              </w:rPr>
              <w:t>özellikle</w:t>
            </w:r>
            <w:r w:rsidR="003F00C6" w:rsidRPr="00A23740">
              <w:rPr>
                <w:rStyle w:val="YELChar"/>
              </w:rPr>
              <w:t xml:space="preserve"> </w:t>
            </w:r>
            <w:r w:rsidRPr="00A23740">
              <w:rPr>
                <w:szCs w:val="24"/>
              </w:rPr>
              <w:t>ceza normunun yeni metni karşısında, herhangi bir cezaya hükmedilmemesi bakımından yeterli bulunmuş</w:t>
            </w:r>
            <w:r w:rsidR="004E7D51" w:rsidRPr="00A23740">
              <w:rPr>
                <w:szCs w:val="24"/>
              </w:rPr>
              <w:t xml:space="preserve">tur. Bu yolla da </w:t>
            </w:r>
            <w:r w:rsidR="00A16151" w:rsidRPr="00A23740">
              <w:rPr>
                <w:szCs w:val="24"/>
              </w:rPr>
              <w:t>K</w:t>
            </w:r>
            <w:r w:rsidR="004E7D51" w:rsidRPr="00A23740">
              <w:rPr>
                <w:szCs w:val="24"/>
              </w:rPr>
              <w:t xml:space="preserve">anunun amacı </w:t>
            </w:r>
            <w:r w:rsidRPr="00A23740">
              <w:rPr>
                <w:szCs w:val="24"/>
              </w:rPr>
              <w:t xml:space="preserve">sağlanmış ve karşılanmıştır. </w:t>
            </w:r>
            <w:r w:rsidR="004E7D51" w:rsidRPr="00D60C1D">
              <w:rPr>
                <w:rStyle w:val="YELChar"/>
                <w:b w:val="0"/>
                <w:color w:val="000000"/>
              </w:rPr>
              <w:t>Konkordatoda kesin mühlete geçilemediği; kesin mühletin sürdürülemediği ve projenin tasdik edilemediği durumlarda</w:t>
            </w:r>
            <w:r w:rsidRPr="00A23740">
              <w:rPr>
                <w:szCs w:val="24"/>
              </w:rPr>
              <w:t xml:space="preserve"> söz konusu borca batık borçlu için zaten ifl</w:t>
            </w:r>
            <w:r w:rsidR="00656C77" w:rsidRPr="00A23740">
              <w:rPr>
                <w:szCs w:val="24"/>
              </w:rPr>
              <w:t>a</w:t>
            </w:r>
            <w:r w:rsidRPr="00A23740">
              <w:rPr>
                <w:szCs w:val="24"/>
              </w:rPr>
              <w:t>sa hükmedileceği açıktır. Dolayısıyla bu özellikleri gösteren bir borçlu için konkordato talebi yanında ısrarla ifl</w:t>
            </w:r>
            <w:r w:rsidR="00656C77" w:rsidRPr="00A23740">
              <w:rPr>
                <w:szCs w:val="24"/>
              </w:rPr>
              <w:t>a</w:t>
            </w:r>
            <w:r w:rsidRPr="00A23740">
              <w:rPr>
                <w:szCs w:val="24"/>
              </w:rPr>
              <w:t>s istemine de yer ver</w:t>
            </w:r>
            <w:r w:rsidR="00F1016D" w:rsidRPr="00A23740">
              <w:rPr>
                <w:szCs w:val="24"/>
              </w:rPr>
              <w:t>il</w:t>
            </w:r>
            <w:r w:rsidRPr="00A23740">
              <w:rPr>
                <w:szCs w:val="24"/>
              </w:rPr>
              <w:t xml:space="preserve">mesinin beklenmesinde bir fayda olmadığı gibi </w:t>
            </w:r>
            <w:r w:rsidR="00F1016D" w:rsidRPr="00A23740">
              <w:rPr>
                <w:szCs w:val="24"/>
              </w:rPr>
              <w:t xml:space="preserve">buna </w:t>
            </w:r>
            <w:r w:rsidRPr="00A23740">
              <w:rPr>
                <w:szCs w:val="24"/>
              </w:rPr>
              <w:t>gerek de görülmemiştir.</w:t>
            </w:r>
          </w:p>
          <w:p w:rsidR="00687220" w:rsidRPr="00A23740" w:rsidRDefault="00687220" w:rsidP="00DE5024">
            <w:pPr>
              <w:tabs>
                <w:tab w:val="left" w:pos="567"/>
              </w:tabs>
              <w:ind w:firstLine="709"/>
              <w:rPr>
                <w:b/>
                <w:szCs w:val="24"/>
              </w:rPr>
            </w:pPr>
            <w:r w:rsidRPr="00A23740">
              <w:rPr>
                <w:szCs w:val="24"/>
              </w:rPr>
              <w:t>Taslağın ikinci fıkrası hükmü, bu sırada takip edilecek yargılama usulünü düzenlemektedir. Ne var ki, fıkranın ikinci cümlesiyle evvelce geçerli olmayan; aksi hâlde kötüye kullanılma ihtimali de bulunan bir durum hakkında özel hüküm sevkine ihtiyaç duyulmuştur. Buna göre bir alaca</w:t>
            </w:r>
            <w:r w:rsidR="004E7D51" w:rsidRPr="00A23740">
              <w:rPr>
                <w:szCs w:val="24"/>
              </w:rPr>
              <w:t>k</w:t>
            </w:r>
            <w:r w:rsidRPr="00A23740">
              <w:rPr>
                <w:szCs w:val="24"/>
              </w:rPr>
              <w:t xml:space="preserve">lı tarafından anılan nedenle borçlunun iflası istendiğinde; ilan, </w:t>
            </w:r>
            <w:r w:rsidRPr="00A23740">
              <w:rPr>
                <w:bCs/>
                <w:szCs w:val="24"/>
                <w:lang w:val="x-none"/>
              </w:rPr>
              <w:t xml:space="preserve">bu talep ancak mahkemece </w:t>
            </w:r>
            <w:r w:rsidRPr="00A23740">
              <w:rPr>
                <w:bCs/>
                <w:szCs w:val="24"/>
              </w:rPr>
              <w:t xml:space="preserve">de </w:t>
            </w:r>
            <w:r w:rsidR="004E7D51" w:rsidRPr="00D60C1D">
              <w:rPr>
                <w:rStyle w:val="YELChar"/>
                <w:b w:val="0"/>
                <w:color w:val="000000"/>
              </w:rPr>
              <w:t>uygun</w:t>
            </w:r>
            <w:r w:rsidR="004E7D51" w:rsidRPr="00A23740">
              <w:rPr>
                <w:bCs/>
                <w:szCs w:val="24"/>
              </w:rPr>
              <w:t xml:space="preserve"> </w:t>
            </w:r>
            <w:r w:rsidRPr="00A23740">
              <w:rPr>
                <w:bCs/>
                <w:szCs w:val="24"/>
                <w:lang w:val="x-none"/>
              </w:rPr>
              <w:t xml:space="preserve">görüldüğü takdirde </w:t>
            </w:r>
            <w:r w:rsidRPr="00A23740">
              <w:rPr>
                <w:bCs/>
                <w:szCs w:val="24"/>
              </w:rPr>
              <w:t>y</w:t>
            </w:r>
            <w:r w:rsidRPr="00A23740">
              <w:rPr>
                <w:bCs/>
                <w:szCs w:val="24"/>
                <w:lang w:val="x-none"/>
              </w:rPr>
              <w:t>a</w:t>
            </w:r>
            <w:r w:rsidRPr="00A23740">
              <w:rPr>
                <w:bCs/>
                <w:szCs w:val="24"/>
              </w:rPr>
              <w:t>p</w:t>
            </w:r>
            <w:r w:rsidRPr="00A23740">
              <w:rPr>
                <w:bCs/>
                <w:szCs w:val="24"/>
                <w:lang w:val="x-none"/>
              </w:rPr>
              <w:t>ı</w:t>
            </w:r>
            <w:r w:rsidRPr="00A23740">
              <w:rPr>
                <w:bCs/>
                <w:szCs w:val="24"/>
              </w:rPr>
              <w:t>l</w:t>
            </w:r>
            <w:r w:rsidRPr="00A23740">
              <w:rPr>
                <w:bCs/>
                <w:szCs w:val="24"/>
                <w:lang w:val="x-none"/>
              </w:rPr>
              <w:t>a</w:t>
            </w:r>
            <w:r w:rsidRPr="00A23740">
              <w:rPr>
                <w:bCs/>
                <w:szCs w:val="24"/>
              </w:rPr>
              <w:t>b</w:t>
            </w:r>
            <w:r w:rsidRPr="00A23740">
              <w:rPr>
                <w:bCs/>
                <w:szCs w:val="24"/>
                <w:lang w:val="x-none"/>
              </w:rPr>
              <w:t>i</w:t>
            </w:r>
            <w:r w:rsidRPr="00A23740">
              <w:rPr>
                <w:bCs/>
                <w:szCs w:val="24"/>
              </w:rPr>
              <w:t>l</w:t>
            </w:r>
            <w:r w:rsidRPr="00A23740">
              <w:rPr>
                <w:bCs/>
                <w:szCs w:val="24"/>
                <w:lang w:val="x-none"/>
              </w:rPr>
              <w:t>e</w:t>
            </w:r>
            <w:r w:rsidRPr="00A23740">
              <w:rPr>
                <w:bCs/>
                <w:szCs w:val="24"/>
              </w:rPr>
              <w:t>c</w:t>
            </w:r>
            <w:r w:rsidRPr="00A23740">
              <w:rPr>
                <w:bCs/>
                <w:szCs w:val="24"/>
                <w:lang w:val="x-none"/>
              </w:rPr>
              <w:t>e</w:t>
            </w:r>
            <w:r w:rsidRPr="00A23740">
              <w:rPr>
                <w:bCs/>
                <w:szCs w:val="24"/>
              </w:rPr>
              <w:t>k</w:t>
            </w:r>
            <w:r w:rsidRPr="00A23740">
              <w:rPr>
                <w:bCs/>
                <w:szCs w:val="24"/>
                <w:lang w:val="x-none"/>
              </w:rPr>
              <w:t>t</w:t>
            </w:r>
            <w:r w:rsidRPr="00A23740">
              <w:rPr>
                <w:bCs/>
                <w:szCs w:val="24"/>
              </w:rPr>
              <w:t>i</w:t>
            </w:r>
            <w:r w:rsidRPr="00A23740">
              <w:rPr>
                <w:bCs/>
                <w:szCs w:val="24"/>
                <w:lang w:val="x-none"/>
              </w:rPr>
              <w:t>r</w:t>
            </w:r>
            <w:r w:rsidRPr="00A23740">
              <w:rPr>
                <w:bCs/>
                <w:szCs w:val="24"/>
              </w:rPr>
              <w:t>.</w:t>
            </w:r>
            <w:r w:rsidRPr="00A23740">
              <w:rPr>
                <w:bCs/>
                <w:szCs w:val="24"/>
                <w:lang w:val="x-none"/>
              </w:rPr>
              <w:t xml:space="preserve"> </w:t>
            </w:r>
            <w:r w:rsidRPr="00A23740">
              <w:rPr>
                <w:bCs/>
                <w:szCs w:val="24"/>
              </w:rPr>
              <w:t>S</w:t>
            </w:r>
            <w:r w:rsidRPr="00A23740">
              <w:rPr>
                <w:bCs/>
                <w:szCs w:val="24"/>
                <w:lang w:val="x-none"/>
              </w:rPr>
              <w:t>ö</w:t>
            </w:r>
            <w:r w:rsidRPr="00A23740">
              <w:rPr>
                <w:bCs/>
                <w:szCs w:val="24"/>
              </w:rPr>
              <w:t>z</w:t>
            </w:r>
            <w:r w:rsidRPr="00A23740">
              <w:rPr>
                <w:bCs/>
                <w:szCs w:val="24"/>
                <w:lang w:val="x-none"/>
              </w:rPr>
              <w:t xml:space="preserve"> </w:t>
            </w:r>
            <w:r w:rsidRPr="00A23740">
              <w:rPr>
                <w:bCs/>
                <w:szCs w:val="24"/>
              </w:rPr>
              <w:t>k</w:t>
            </w:r>
            <w:r w:rsidRPr="00A23740">
              <w:rPr>
                <w:bCs/>
                <w:szCs w:val="24"/>
                <w:lang w:val="x-none"/>
              </w:rPr>
              <w:t>o</w:t>
            </w:r>
            <w:r w:rsidRPr="00A23740">
              <w:rPr>
                <w:bCs/>
                <w:szCs w:val="24"/>
              </w:rPr>
              <w:t>n</w:t>
            </w:r>
            <w:r w:rsidRPr="00A23740">
              <w:rPr>
                <w:bCs/>
                <w:szCs w:val="24"/>
                <w:lang w:val="x-none"/>
              </w:rPr>
              <w:t>u</w:t>
            </w:r>
            <w:r w:rsidRPr="00A23740">
              <w:rPr>
                <w:bCs/>
                <w:szCs w:val="24"/>
              </w:rPr>
              <w:t>s</w:t>
            </w:r>
            <w:r w:rsidRPr="00A23740">
              <w:rPr>
                <w:bCs/>
                <w:szCs w:val="24"/>
                <w:lang w:val="x-none"/>
              </w:rPr>
              <w:t>u</w:t>
            </w:r>
            <w:r w:rsidRPr="00A23740">
              <w:rPr>
                <w:bCs/>
                <w:szCs w:val="24"/>
              </w:rPr>
              <w:t xml:space="preserve"> </w:t>
            </w:r>
            <w:r w:rsidRPr="00A23740">
              <w:rPr>
                <w:bCs/>
                <w:szCs w:val="24"/>
                <w:lang w:val="x-none"/>
              </w:rPr>
              <w:t>t</w:t>
            </w:r>
            <w:r w:rsidRPr="00A23740">
              <w:rPr>
                <w:bCs/>
                <w:szCs w:val="24"/>
              </w:rPr>
              <w:t>a</w:t>
            </w:r>
            <w:r w:rsidRPr="00A23740">
              <w:rPr>
                <w:bCs/>
                <w:szCs w:val="24"/>
                <w:lang w:val="x-none"/>
              </w:rPr>
              <w:t>l</w:t>
            </w:r>
            <w:r w:rsidRPr="00A23740">
              <w:rPr>
                <w:bCs/>
                <w:szCs w:val="24"/>
              </w:rPr>
              <w:t>e</w:t>
            </w:r>
            <w:r w:rsidRPr="00A23740">
              <w:rPr>
                <w:bCs/>
                <w:szCs w:val="24"/>
                <w:lang w:val="x-none"/>
              </w:rPr>
              <w:t>b</w:t>
            </w:r>
            <w:r w:rsidRPr="00A23740">
              <w:rPr>
                <w:bCs/>
                <w:szCs w:val="24"/>
              </w:rPr>
              <w:t>i</w:t>
            </w:r>
            <w:r w:rsidRPr="00A23740">
              <w:rPr>
                <w:bCs/>
                <w:szCs w:val="24"/>
                <w:lang w:val="x-none"/>
              </w:rPr>
              <w:t>n</w:t>
            </w:r>
            <w:r w:rsidRPr="00A23740">
              <w:rPr>
                <w:bCs/>
                <w:szCs w:val="24"/>
              </w:rPr>
              <w:t xml:space="preserve"> </w:t>
            </w:r>
            <w:r w:rsidRPr="00A23740">
              <w:t>ciddiyeti</w:t>
            </w:r>
            <w:r w:rsidRPr="00A23740">
              <w:rPr>
                <w:bCs/>
                <w:szCs w:val="24"/>
              </w:rPr>
              <w:t>, yalın iddianın ötesinde mahkemenin belli düzeydeki kanaatini içerdiğinden; t</w:t>
            </w:r>
            <w:r w:rsidRPr="00A23740">
              <w:rPr>
                <w:bCs/>
                <w:szCs w:val="24"/>
                <w:lang w:val="x-none"/>
              </w:rPr>
              <w:t>a</w:t>
            </w:r>
            <w:r w:rsidRPr="00A23740">
              <w:rPr>
                <w:bCs/>
                <w:szCs w:val="24"/>
              </w:rPr>
              <w:t>l</w:t>
            </w:r>
            <w:r w:rsidRPr="00A23740">
              <w:rPr>
                <w:bCs/>
                <w:szCs w:val="24"/>
                <w:lang w:val="x-none"/>
              </w:rPr>
              <w:t>e</w:t>
            </w:r>
            <w:r w:rsidRPr="00A23740">
              <w:rPr>
                <w:bCs/>
                <w:szCs w:val="24"/>
              </w:rPr>
              <w:t>p</w:t>
            </w:r>
            <w:r w:rsidRPr="00A23740">
              <w:rPr>
                <w:bCs/>
                <w:szCs w:val="24"/>
                <w:lang w:val="x-none"/>
              </w:rPr>
              <w:t xml:space="preserve"> </w:t>
            </w:r>
            <w:r w:rsidRPr="00A23740">
              <w:rPr>
                <w:bCs/>
                <w:szCs w:val="24"/>
              </w:rPr>
              <w:t>d</w:t>
            </w:r>
            <w:r w:rsidRPr="00A23740">
              <w:rPr>
                <w:bCs/>
                <w:szCs w:val="24"/>
                <w:lang w:val="x-none"/>
              </w:rPr>
              <w:t>i</w:t>
            </w:r>
            <w:r w:rsidRPr="00A23740">
              <w:rPr>
                <w:bCs/>
                <w:szCs w:val="24"/>
              </w:rPr>
              <w:t>l</w:t>
            </w:r>
            <w:r w:rsidRPr="00A23740">
              <w:rPr>
                <w:bCs/>
                <w:szCs w:val="24"/>
                <w:lang w:val="x-none"/>
              </w:rPr>
              <w:t>e</w:t>
            </w:r>
            <w:r w:rsidRPr="00A23740">
              <w:rPr>
                <w:bCs/>
                <w:szCs w:val="24"/>
              </w:rPr>
              <w:t>k</w:t>
            </w:r>
            <w:r w:rsidRPr="00A23740">
              <w:rPr>
                <w:bCs/>
                <w:szCs w:val="24"/>
                <w:lang w:val="x-none"/>
              </w:rPr>
              <w:t>ç</w:t>
            </w:r>
            <w:r w:rsidRPr="00A23740">
              <w:rPr>
                <w:bCs/>
                <w:szCs w:val="24"/>
              </w:rPr>
              <w:t>e</w:t>
            </w:r>
            <w:r w:rsidRPr="00A23740">
              <w:rPr>
                <w:bCs/>
                <w:szCs w:val="24"/>
                <w:lang w:val="x-none"/>
              </w:rPr>
              <w:t>s</w:t>
            </w:r>
            <w:r w:rsidRPr="00A23740">
              <w:rPr>
                <w:bCs/>
                <w:szCs w:val="24"/>
              </w:rPr>
              <w:t>i</w:t>
            </w:r>
            <w:r w:rsidRPr="00A23740">
              <w:rPr>
                <w:bCs/>
                <w:szCs w:val="24"/>
                <w:lang w:val="x-none"/>
              </w:rPr>
              <w:t>n</w:t>
            </w:r>
            <w:r w:rsidRPr="00A23740">
              <w:rPr>
                <w:bCs/>
                <w:szCs w:val="24"/>
              </w:rPr>
              <w:t>in içeriği yanında g</w:t>
            </w:r>
            <w:r w:rsidRPr="00A23740">
              <w:rPr>
                <w:bCs/>
                <w:szCs w:val="24"/>
                <w:lang w:val="x-none"/>
              </w:rPr>
              <w:t>e</w:t>
            </w:r>
            <w:r w:rsidRPr="00A23740">
              <w:rPr>
                <w:bCs/>
                <w:szCs w:val="24"/>
              </w:rPr>
              <w:t>r</w:t>
            </w:r>
            <w:r w:rsidRPr="00A23740">
              <w:rPr>
                <w:bCs/>
                <w:szCs w:val="24"/>
                <w:lang w:val="x-none"/>
              </w:rPr>
              <w:t>e</w:t>
            </w:r>
            <w:r w:rsidRPr="00A23740">
              <w:rPr>
                <w:bCs/>
                <w:szCs w:val="24"/>
              </w:rPr>
              <w:t>ğ</w:t>
            </w:r>
            <w:r w:rsidRPr="00A23740">
              <w:rPr>
                <w:bCs/>
                <w:szCs w:val="24"/>
                <w:lang w:val="x-none"/>
              </w:rPr>
              <w:t>i</w:t>
            </w:r>
            <w:r w:rsidRPr="00A23740">
              <w:rPr>
                <w:bCs/>
                <w:szCs w:val="24"/>
              </w:rPr>
              <w:t>n</w:t>
            </w:r>
            <w:r w:rsidRPr="00A23740">
              <w:rPr>
                <w:bCs/>
                <w:szCs w:val="24"/>
                <w:lang w:val="x-none"/>
              </w:rPr>
              <w:t>d</w:t>
            </w:r>
            <w:r w:rsidRPr="00A23740">
              <w:rPr>
                <w:bCs/>
                <w:szCs w:val="24"/>
              </w:rPr>
              <w:t>e</w:t>
            </w:r>
            <w:r w:rsidRPr="00A23740">
              <w:rPr>
                <w:bCs/>
                <w:szCs w:val="24"/>
                <w:lang w:val="x-none"/>
              </w:rPr>
              <w:t xml:space="preserve"> </w:t>
            </w:r>
            <w:r w:rsidRPr="00A23740">
              <w:rPr>
                <w:bCs/>
                <w:szCs w:val="24"/>
              </w:rPr>
              <w:t>m</w:t>
            </w:r>
            <w:r w:rsidRPr="00A23740">
              <w:rPr>
                <w:bCs/>
                <w:szCs w:val="24"/>
                <w:lang w:val="x-none"/>
              </w:rPr>
              <w:t>a</w:t>
            </w:r>
            <w:r w:rsidRPr="00A23740">
              <w:rPr>
                <w:bCs/>
                <w:szCs w:val="24"/>
              </w:rPr>
              <w:t>h</w:t>
            </w:r>
            <w:r w:rsidRPr="00A23740">
              <w:rPr>
                <w:bCs/>
                <w:szCs w:val="24"/>
                <w:lang w:val="x-none"/>
              </w:rPr>
              <w:t>k</w:t>
            </w:r>
            <w:r w:rsidRPr="00A23740">
              <w:rPr>
                <w:bCs/>
                <w:szCs w:val="24"/>
              </w:rPr>
              <w:t>e</w:t>
            </w:r>
            <w:r w:rsidRPr="00A23740">
              <w:rPr>
                <w:bCs/>
                <w:szCs w:val="24"/>
                <w:lang w:val="x-none"/>
              </w:rPr>
              <w:t>m</w:t>
            </w:r>
            <w:r w:rsidRPr="00A23740">
              <w:rPr>
                <w:bCs/>
                <w:szCs w:val="24"/>
              </w:rPr>
              <w:t>e</w:t>
            </w:r>
            <w:r w:rsidRPr="00A23740">
              <w:rPr>
                <w:bCs/>
                <w:szCs w:val="24"/>
                <w:lang w:val="x-none"/>
              </w:rPr>
              <w:t>s</w:t>
            </w:r>
            <w:r w:rsidRPr="00A23740">
              <w:rPr>
                <w:bCs/>
                <w:szCs w:val="24"/>
              </w:rPr>
              <w:t>i</w:t>
            </w:r>
            <w:r w:rsidRPr="00A23740">
              <w:rPr>
                <w:bCs/>
                <w:szCs w:val="24"/>
                <w:lang w:val="x-none"/>
              </w:rPr>
              <w:t>n</w:t>
            </w:r>
            <w:r w:rsidRPr="00A23740">
              <w:rPr>
                <w:bCs/>
                <w:szCs w:val="24"/>
              </w:rPr>
              <w:t>c</w:t>
            </w:r>
            <w:r w:rsidRPr="00A23740">
              <w:rPr>
                <w:bCs/>
                <w:szCs w:val="24"/>
                <w:lang w:val="x-none"/>
              </w:rPr>
              <w:t>e</w:t>
            </w:r>
            <w:r w:rsidRPr="00A23740">
              <w:rPr>
                <w:bCs/>
                <w:szCs w:val="24"/>
              </w:rPr>
              <w:t xml:space="preserve"> </w:t>
            </w:r>
            <w:r w:rsidRPr="00A23740">
              <w:rPr>
                <w:bCs/>
                <w:szCs w:val="24"/>
                <w:lang w:val="x-none"/>
              </w:rPr>
              <w:t>y</w:t>
            </w:r>
            <w:r w:rsidRPr="00A23740">
              <w:rPr>
                <w:bCs/>
                <w:szCs w:val="24"/>
              </w:rPr>
              <w:t>ü</w:t>
            </w:r>
            <w:r w:rsidRPr="00A23740">
              <w:rPr>
                <w:bCs/>
                <w:szCs w:val="24"/>
                <w:lang w:val="x-none"/>
              </w:rPr>
              <w:t>r</w:t>
            </w:r>
            <w:r w:rsidRPr="00A23740">
              <w:rPr>
                <w:bCs/>
                <w:szCs w:val="24"/>
              </w:rPr>
              <w:t>ü</w:t>
            </w:r>
            <w:r w:rsidRPr="00A23740">
              <w:rPr>
                <w:bCs/>
                <w:szCs w:val="24"/>
                <w:lang w:val="x-none"/>
              </w:rPr>
              <w:t>t</w:t>
            </w:r>
            <w:r w:rsidRPr="00A23740">
              <w:rPr>
                <w:bCs/>
                <w:szCs w:val="24"/>
              </w:rPr>
              <w:t>ü</w:t>
            </w:r>
            <w:r w:rsidRPr="00A23740">
              <w:rPr>
                <w:bCs/>
                <w:szCs w:val="24"/>
                <w:lang w:val="x-none"/>
              </w:rPr>
              <w:t>l</w:t>
            </w:r>
            <w:r w:rsidRPr="00A23740">
              <w:rPr>
                <w:bCs/>
                <w:szCs w:val="24"/>
              </w:rPr>
              <w:t>e</w:t>
            </w:r>
            <w:r w:rsidRPr="00A23740">
              <w:rPr>
                <w:bCs/>
                <w:szCs w:val="24"/>
                <w:lang w:val="x-none"/>
              </w:rPr>
              <w:t>c</w:t>
            </w:r>
            <w:r w:rsidRPr="00A23740">
              <w:rPr>
                <w:bCs/>
                <w:szCs w:val="24"/>
              </w:rPr>
              <w:t>e</w:t>
            </w:r>
            <w:r w:rsidRPr="00A23740">
              <w:rPr>
                <w:bCs/>
                <w:szCs w:val="24"/>
                <w:lang w:val="x-none"/>
              </w:rPr>
              <w:t>k</w:t>
            </w:r>
            <w:r w:rsidRPr="00A23740">
              <w:rPr>
                <w:bCs/>
                <w:szCs w:val="24"/>
              </w:rPr>
              <w:t xml:space="preserve"> </w:t>
            </w:r>
            <w:r w:rsidRPr="00A23740">
              <w:rPr>
                <w:bCs/>
                <w:szCs w:val="24"/>
                <w:lang w:val="x-none"/>
              </w:rPr>
              <w:t>t</w:t>
            </w:r>
            <w:r w:rsidRPr="00A23740">
              <w:rPr>
                <w:bCs/>
                <w:szCs w:val="24"/>
              </w:rPr>
              <w:t>a</w:t>
            </w:r>
            <w:r w:rsidRPr="00A23740">
              <w:rPr>
                <w:bCs/>
                <w:szCs w:val="24"/>
                <w:lang w:val="x-none"/>
              </w:rPr>
              <w:t>h</w:t>
            </w:r>
            <w:r w:rsidRPr="00A23740">
              <w:rPr>
                <w:bCs/>
                <w:szCs w:val="24"/>
              </w:rPr>
              <w:t>k</w:t>
            </w:r>
            <w:r w:rsidRPr="00A23740">
              <w:rPr>
                <w:bCs/>
                <w:szCs w:val="24"/>
                <w:lang w:val="x-none"/>
              </w:rPr>
              <w:t>i</w:t>
            </w:r>
            <w:r w:rsidRPr="00A23740">
              <w:rPr>
                <w:bCs/>
                <w:szCs w:val="24"/>
              </w:rPr>
              <w:t>k</w:t>
            </w:r>
            <w:r w:rsidRPr="00A23740">
              <w:rPr>
                <w:bCs/>
                <w:szCs w:val="24"/>
                <w:lang w:val="x-none"/>
              </w:rPr>
              <w:t>a</w:t>
            </w:r>
            <w:r w:rsidRPr="00A23740">
              <w:rPr>
                <w:bCs/>
                <w:szCs w:val="24"/>
              </w:rPr>
              <w:t>t</w:t>
            </w:r>
            <w:r w:rsidRPr="00A23740">
              <w:rPr>
                <w:bCs/>
                <w:szCs w:val="24"/>
                <w:lang w:val="x-none"/>
              </w:rPr>
              <w:t>a</w:t>
            </w:r>
            <w:r w:rsidRPr="00A23740">
              <w:rPr>
                <w:bCs/>
                <w:szCs w:val="24"/>
              </w:rPr>
              <w:t xml:space="preserve"> da </w:t>
            </w:r>
            <w:r w:rsidRPr="00A23740">
              <w:rPr>
                <w:bCs/>
                <w:szCs w:val="24"/>
                <w:lang w:val="x-none"/>
              </w:rPr>
              <w:t>i</w:t>
            </w:r>
            <w:r w:rsidRPr="00A23740">
              <w:rPr>
                <w:bCs/>
                <w:szCs w:val="24"/>
              </w:rPr>
              <w:t xml:space="preserve">şaret etmektedir. Bu yolla iflas sebebi hakkında henüz bir kanaat sahibi olmadan; talep üzerine </w:t>
            </w:r>
            <w:r w:rsidR="00DF22A1" w:rsidRPr="00A23740">
              <w:rPr>
                <w:szCs w:val="24"/>
              </w:rPr>
              <w:t>derhâl</w:t>
            </w:r>
            <w:r w:rsidRPr="00A23740">
              <w:rPr>
                <w:bCs/>
                <w:szCs w:val="24"/>
              </w:rPr>
              <w:t xml:space="preserve">, sanki öyleymişçesine sair alacaklıları nezdinde borçlunun borca batık olarak ifşa edilmesi, başta ticari itibar olmak üzere borçlu yönünden korunması gereken hak ve menfaatleri ziyadesiyle zarara uğratabilecektir. Borçlunun </w:t>
            </w:r>
            <w:r w:rsidR="00F1016D" w:rsidRPr="00A23740">
              <w:rPr>
                <w:bCs/>
                <w:szCs w:val="24"/>
              </w:rPr>
              <w:t xml:space="preserve">bizzat </w:t>
            </w:r>
            <w:r w:rsidRPr="00A23740">
              <w:rPr>
                <w:bCs/>
                <w:szCs w:val="24"/>
              </w:rPr>
              <w:t>kendisi</w:t>
            </w:r>
            <w:r w:rsidR="00F1016D" w:rsidRPr="00A23740">
              <w:rPr>
                <w:bCs/>
                <w:szCs w:val="24"/>
              </w:rPr>
              <w:t xml:space="preserve"> tarafından </w:t>
            </w:r>
            <w:r w:rsidRPr="00A23740">
              <w:rPr>
                <w:bCs/>
                <w:szCs w:val="24"/>
              </w:rPr>
              <w:t xml:space="preserve"> böyle bir talepte bulunulması durumunda ise</w:t>
            </w:r>
            <w:r w:rsidR="00F1016D" w:rsidRPr="00A23740">
              <w:rPr>
                <w:bCs/>
                <w:szCs w:val="24"/>
              </w:rPr>
              <w:t>,</w:t>
            </w:r>
            <w:r w:rsidRPr="00A23740">
              <w:rPr>
                <w:bCs/>
                <w:szCs w:val="24"/>
              </w:rPr>
              <w:t xml:space="preserve"> aynı hassasiyetin gösterilmesine gerek bulunmadığı orta</w:t>
            </w:r>
            <w:r w:rsidR="00691730" w:rsidRPr="00A23740">
              <w:rPr>
                <w:bCs/>
                <w:szCs w:val="24"/>
              </w:rPr>
              <w:t>da</w:t>
            </w:r>
            <w:r w:rsidR="00DE5024">
              <w:rPr>
                <w:bCs/>
                <w:szCs w:val="24"/>
              </w:rPr>
              <w:t>dır.</w:t>
            </w:r>
            <w:r w:rsidR="001D1273" w:rsidRPr="00A23740">
              <w:rPr>
                <w:b/>
                <w:bCs/>
                <w:szCs w:val="24"/>
                <w:lang w:eastAsia="x-none"/>
              </w:rPr>
              <w:tab/>
            </w:r>
          </w:p>
          <w:p w:rsidR="00046430" w:rsidRPr="00A23740" w:rsidRDefault="00046430" w:rsidP="009431FF">
            <w:pPr>
              <w:tabs>
                <w:tab w:val="left" w:pos="567"/>
              </w:tabs>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Erteleme yargılaması:</w:t>
            </w:r>
          </w:p>
          <w:p w:rsidR="00AA5C8C" w:rsidRPr="00A23740" w:rsidRDefault="00AA5C8C" w:rsidP="009431FF">
            <w:pPr>
              <w:pStyle w:val="KIRMIZI"/>
              <w:rPr>
                <w:lang w:val="tr-TR"/>
              </w:rPr>
            </w:pPr>
            <w:r w:rsidRPr="00A23740">
              <w:t xml:space="preserve">Madde 179/a- (1) (Ek: 17/7/2003-4949/50 md.; Mülga: 28/2/2018-7101/65 md.) </w:t>
            </w:r>
          </w:p>
          <w:p w:rsidR="00AA5C8C" w:rsidRPr="00A23740" w:rsidRDefault="00AA5C8C" w:rsidP="009431FF">
            <w:pPr>
              <w:pStyle w:val="KIRMIZI"/>
            </w:pPr>
          </w:p>
        </w:tc>
        <w:tc>
          <w:tcPr>
            <w:tcW w:w="2500" w:type="pct"/>
            <w:vAlign w:val="center"/>
          </w:tcPr>
          <w:p w:rsidR="00AA5C8C" w:rsidRPr="00A23740" w:rsidRDefault="00AA5C8C" w:rsidP="009431FF">
            <w:pPr>
              <w:pStyle w:val="Stil1"/>
              <w:rPr>
                <w:u w:val="none"/>
                <w:lang w:val="tr-TR"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Erteleme kararı ve sonuçları:</w:t>
            </w:r>
          </w:p>
          <w:p w:rsidR="00AA5C8C" w:rsidRPr="00A23740" w:rsidRDefault="00AA5C8C" w:rsidP="009431FF">
            <w:pPr>
              <w:pStyle w:val="KIRMIZI"/>
            </w:pPr>
            <w:r w:rsidRPr="00A23740">
              <w:t>Madde 179/b- (1) (Ek: 17/7/2003-4949/50 md.; Mülga: 28/2/2018-7101/65 md.)</w:t>
            </w:r>
          </w:p>
          <w:p w:rsidR="00AA5C8C" w:rsidRPr="00A23740" w:rsidRDefault="00AA5C8C" w:rsidP="009431FF">
            <w:pPr>
              <w:pStyle w:val="KIRMIZI"/>
            </w:pPr>
          </w:p>
        </w:tc>
        <w:tc>
          <w:tcPr>
            <w:tcW w:w="2500" w:type="pct"/>
            <w:vAlign w:val="center"/>
          </w:tcPr>
          <w:p w:rsidR="00AA5C8C" w:rsidRPr="00A23740" w:rsidRDefault="00AA5C8C" w:rsidP="009431FF">
            <w:pPr>
              <w:rPr>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Kanun yolları:</w:t>
            </w:r>
          </w:p>
          <w:p w:rsidR="00AA5C8C" w:rsidRDefault="00AA5C8C" w:rsidP="009431FF">
            <w:pPr>
              <w:pStyle w:val="KIRMIZI"/>
            </w:pPr>
            <w:r w:rsidRPr="00A23740">
              <w:t>Madde 179/c- (1) (Ek: 15/7/2016-6728/4 md., Mülga: 28/2/2018-7101/65 md.)</w:t>
            </w:r>
          </w:p>
          <w:p w:rsidR="00CE27BE" w:rsidRPr="00A23740" w:rsidRDefault="00CE27BE" w:rsidP="009431FF">
            <w:pPr>
              <w:pStyle w:val="KIRMIZI"/>
            </w:pPr>
          </w:p>
        </w:tc>
        <w:tc>
          <w:tcPr>
            <w:tcW w:w="2500" w:type="pct"/>
          </w:tcPr>
          <w:p w:rsidR="00AA5C8C" w:rsidRPr="00A23740" w:rsidRDefault="00AA5C8C" w:rsidP="009431FF">
            <w:pPr>
              <w:pStyle w:val="Stil1"/>
              <w:rPr>
                <w:u w:val="none"/>
                <w:lang w:val="tr-TR"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Reddolunan miraslar:</w:t>
            </w:r>
          </w:p>
          <w:p w:rsidR="00AA5C8C" w:rsidRPr="00A23740" w:rsidRDefault="00AA5C8C" w:rsidP="009431FF">
            <w:pPr>
              <w:tabs>
                <w:tab w:val="left" w:pos="567"/>
              </w:tabs>
              <w:rPr>
                <w:szCs w:val="24"/>
              </w:rPr>
            </w:pPr>
            <w:r w:rsidRPr="00A23740">
              <w:rPr>
                <w:rStyle w:val="KIRMIZIChar"/>
                <w:rFonts w:eastAsia="Calibri"/>
              </w:rPr>
              <w:t>Madde 180 – (1) Reddolunan mirasların tasfiyesi sekizinci bap hükümlerine göre ait olduğu mahkemece yapılır. Terekenin resmen tasfiyesine dair Kanunu Medeni hükümleri mahfuzdur.</w:t>
            </w:r>
          </w:p>
        </w:tc>
        <w:tc>
          <w:tcPr>
            <w:tcW w:w="2500" w:type="pct"/>
          </w:tcPr>
          <w:p w:rsidR="00AA5C8C" w:rsidRPr="00A23740" w:rsidRDefault="00AA5C8C" w:rsidP="009431FF">
            <w:pPr>
              <w:pStyle w:val="Mavi"/>
              <w:rPr>
                <w:lang w:val="tr-TR"/>
              </w:rPr>
            </w:pPr>
            <w:r w:rsidRPr="00A23740">
              <w:rPr>
                <w:lang w:val="tr-TR"/>
              </w:rPr>
              <w:t>Terekenin tasfiyesi</w:t>
            </w:r>
          </w:p>
          <w:p w:rsidR="00AA5C8C" w:rsidRPr="00A23740" w:rsidRDefault="00AA5C8C" w:rsidP="009431FF">
            <w:pPr>
              <w:rPr>
                <w:rStyle w:val="KIRMIZIChar"/>
                <w:rFonts w:eastAsia="Calibri"/>
                <w:bCs w:val="0"/>
              </w:rPr>
            </w:pPr>
            <w:r w:rsidRPr="00A23740">
              <w:rPr>
                <w:rStyle w:val="MAVChar"/>
                <w:rFonts w:eastAsia="Calibri"/>
                <w:u w:val="none"/>
              </w:rPr>
              <w:t>MADDE 28</w:t>
            </w:r>
            <w:r w:rsidR="0025055D" w:rsidRPr="00A23740">
              <w:rPr>
                <w:rStyle w:val="MAVChar"/>
                <w:rFonts w:eastAsia="Calibri"/>
                <w:u w:val="none"/>
              </w:rPr>
              <w:t>8</w:t>
            </w:r>
            <w:r w:rsidRPr="00A23740">
              <w:rPr>
                <w:rStyle w:val="MAVChar"/>
                <w:rFonts w:eastAsia="Calibri"/>
                <w:u w:val="none"/>
              </w:rPr>
              <w:t>- (1</w:t>
            </w:r>
            <w:r w:rsidRPr="00A23740">
              <w:rPr>
                <w:b/>
                <w:color w:val="0000FF"/>
                <w:szCs w:val="24"/>
              </w:rPr>
              <w:t xml:space="preserve">) Bütün </w:t>
            </w:r>
            <w:r w:rsidRPr="00A23740">
              <w:rPr>
                <w:rStyle w:val="MaviChar"/>
              </w:rPr>
              <w:t>mirasçılar mirası açıkça reddetmişse veya miras reddedilmiş sayılırsa ya da</w:t>
            </w:r>
            <w:r w:rsidR="00AD7D81" w:rsidRPr="00A23740">
              <w:rPr>
                <w:rStyle w:val="MaviChar"/>
              </w:rPr>
              <w:t xml:space="preserve"> resm</w:t>
            </w:r>
            <w:r w:rsidR="00AD7D81" w:rsidRPr="00A23740">
              <w:rPr>
                <w:rStyle w:val="MaviChar"/>
                <w:lang w:val="tr-TR"/>
              </w:rPr>
              <w:t>î</w:t>
            </w:r>
            <w:r w:rsidRPr="00A23740">
              <w:rPr>
                <w:rStyle w:val="MaviChar"/>
              </w:rPr>
              <w:t xml:space="preserve"> tasfiyesi talep edilen yahut emredilen terekenin mevcudunun borçlarını ödemeye yetmeyeceği anlaşılırsa, tereke </w:t>
            </w:r>
            <w:r w:rsidR="00691730" w:rsidRPr="00E5316E">
              <w:rPr>
                <w:rStyle w:val="MaviChar"/>
              </w:rPr>
              <w:t>görevli mahkemece</w:t>
            </w:r>
            <w:r w:rsidR="00691730" w:rsidRPr="00A23740">
              <w:rPr>
                <w:rStyle w:val="MaviChar"/>
              </w:rPr>
              <w:t xml:space="preserve"> </w:t>
            </w:r>
            <w:r w:rsidRPr="00A23740">
              <w:rPr>
                <w:rStyle w:val="MaviChar"/>
              </w:rPr>
              <w:t>iflas hükümlerine göre</w:t>
            </w:r>
            <w:r w:rsidR="00CE27BE">
              <w:rPr>
                <w:rStyle w:val="KIRMIZIChar"/>
                <w:rFonts w:eastAsia="Calibri"/>
                <w:strike w:val="0"/>
              </w:rPr>
              <w:t xml:space="preserve"> </w:t>
            </w:r>
            <w:r w:rsidRPr="00A23740">
              <w:rPr>
                <w:b/>
                <w:color w:val="0000FF"/>
                <w:szCs w:val="24"/>
              </w:rPr>
              <w:t>tasfiye edilir.</w:t>
            </w:r>
          </w:p>
          <w:p w:rsidR="00AA5C8C" w:rsidRPr="00A23740" w:rsidRDefault="00AA5C8C" w:rsidP="009431FF">
            <w:pPr>
              <w:rPr>
                <w:b/>
                <w:color w:val="0000FF"/>
                <w:szCs w:val="24"/>
              </w:rPr>
            </w:pPr>
          </w:p>
          <w:p w:rsidR="00AA5C8C" w:rsidRPr="00A23740" w:rsidRDefault="00AA5C8C" w:rsidP="009431FF">
            <w:pPr>
              <w:rPr>
                <w:b/>
                <w:color w:val="0000FF"/>
                <w:szCs w:val="24"/>
              </w:rPr>
            </w:pPr>
            <w:r w:rsidRPr="00A23740">
              <w:rPr>
                <w:b/>
                <w:color w:val="0000FF"/>
                <w:szCs w:val="24"/>
              </w:rPr>
              <w:t>(2) İflas hükümlerine göre tasfiye bir alacaklı ya da bir mirasçı tarafından da talep edilebilir.</w:t>
            </w:r>
          </w:p>
          <w:p w:rsidR="00AA5C8C" w:rsidRPr="00A23740" w:rsidRDefault="00AA5C8C" w:rsidP="009431FF">
            <w:pPr>
              <w:pStyle w:val="KIRMIZI"/>
              <w:rPr>
                <w:b w:val="0"/>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tabs>
                <w:tab w:val="left" w:pos="567"/>
              </w:tabs>
              <w:rPr>
                <w:b/>
                <w:bCs/>
                <w:szCs w:val="24"/>
                <w:lang w:eastAsia="x-none"/>
              </w:rPr>
            </w:pPr>
          </w:p>
          <w:p w:rsidR="00687220" w:rsidRPr="00A23740" w:rsidRDefault="00687220" w:rsidP="009431FF">
            <w:pPr>
              <w:tabs>
                <w:tab w:val="left" w:pos="567"/>
              </w:tabs>
              <w:ind w:firstLine="709"/>
              <w:rPr>
                <w:b/>
                <w:szCs w:val="24"/>
              </w:rPr>
            </w:pPr>
            <w:r w:rsidRPr="00A23740">
              <w:rPr>
                <w:b/>
              </w:rPr>
              <w:t>MADDE 288-</w:t>
            </w:r>
            <w:r w:rsidRPr="00A23740">
              <w:t xml:space="preserve"> Maddeyle, doğrudan doğruya iflasta </w:t>
            </w:r>
            <w:r w:rsidRPr="00A23740">
              <w:rPr>
                <w:szCs w:val="24"/>
              </w:rPr>
              <w:t xml:space="preserve">terekenin tasfiyesine ilişkin hususlar düzenlenmektedir. Hüküm, 2004 sayılı Kanunun 180 inci maddesine karşılık gelmektedir. </w:t>
            </w:r>
          </w:p>
          <w:p w:rsidR="00687220" w:rsidRPr="00A23740" w:rsidRDefault="00687220" w:rsidP="009431FF">
            <w:pPr>
              <w:tabs>
                <w:tab w:val="left" w:pos="567"/>
              </w:tabs>
              <w:ind w:firstLine="709"/>
              <w:rPr>
                <w:bCs/>
                <w:szCs w:val="24"/>
                <w:lang w:eastAsia="x-none"/>
              </w:rPr>
            </w:pPr>
            <w:r w:rsidRPr="00A23740">
              <w:rPr>
                <w:bCs/>
                <w:szCs w:val="24"/>
                <w:lang w:eastAsia="x-none"/>
              </w:rPr>
              <w:t xml:space="preserve">Madde başlığından itibaren </w:t>
            </w:r>
            <w:r w:rsidR="00F1016D" w:rsidRPr="00A23740">
              <w:rPr>
                <w:bCs/>
                <w:szCs w:val="24"/>
                <w:lang w:eastAsia="x-none"/>
              </w:rPr>
              <w:t>K</w:t>
            </w:r>
            <w:r w:rsidRPr="00A23740">
              <w:rPr>
                <w:bCs/>
                <w:szCs w:val="24"/>
                <w:lang w:eastAsia="x-none"/>
              </w:rPr>
              <w:t xml:space="preserve">anun metninin </w:t>
            </w:r>
            <w:r w:rsidR="00806580" w:rsidRPr="00D60C1D">
              <w:rPr>
                <w:rStyle w:val="YELChar"/>
                <w:b w:val="0"/>
                <w:color w:val="000000"/>
              </w:rPr>
              <w:t>İsviçre’nin</w:t>
            </w:r>
            <w:r w:rsidR="00806580" w:rsidRPr="00D60C1D">
              <w:rPr>
                <w:b/>
                <w:bCs/>
                <w:color w:val="000000"/>
                <w:szCs w:val="24"/>
                <w:lang w:eastAsia="x-none"/>
              </w:rPr>
              <w:t xml:space="preserve"> </w:t>
            </w:r>
            <w:r w:rsidR="00806580" w:rsidRPr="00D60C1D">
              <w:rPr>
                <w:rStyle w:val="YELChar"/>
                <w:b w:val="0"/>
                <w:color w:val="000000"/>
              </w:rPr>
              <w:t>Borç İçin Takip ve İflas Hakkındaki Federal Kanununun 193 üncü maddesi</w:t>
            </w:r>
            <w:r w:rsidR="00806580" w:rsidRPr="00A23740">
              <w:rPr>
                <w:bCs/>
                <w:szCs w:val="24"/>
                <w:lang w:eastAsia="x-none"/>
              </w:rPr>
              <w:t xml:space="preserve"> </w:t>
            </w:r>
            <w:r w:rsidRPr="00A23740">
              <w:rPr>
                <w:bCs/>
                <w:szCs w:val="24"/>
                <w:lang w:eastAsia="x-none"/>
              </w:rPr>
              <w:t>gözetilerek yeniden kalem</w:t>
            </w:r>
            <w:r w:rsidR="00806580" w:rsidRPr="00D60C1D">
              <w:rPr>
                <w:rStyle w:val="YELChar"/>
                <w:b w:val="0"/>
                <w:color w:val="000000"/>
              </w:rPr>
              <w:t>e</w:t>
            </w:r>
            <w:r w:rsidRPr="00A23740">
              <w:rPr>
                <w:bCs/>
                <w:szCs w:val="24"/>
                <w:lang w:eastAsia="x-none"/>
              </w:rPr>
              <w:t xml:space="preserve"> alınması uygun bulunmuştur. </w:t>
            </w:r>
          </w:p>
          <w:p w:rsidR="00687220" w:rsidRPr="00A23740" w:rsidRDefault="00687220" w:rsidP="00DE5024">
            <w:pPr>
              <w:tabs>
                <w:tab w:val="left" w:pos="567"/>
              </w:tabs>
              <w:ind w:firstLine="709"/>
              <w:rPr>
                <w:b/>
                <w:szCs w:val="24"/>
              </w:rPr>
            </w:pPr>
            <w:r w:rsidRPr="00A23740">
              <w:rPr>
                <w:bCs/>
                <w:szCs w:val="24"/>
                <w:lang w:eastAsia="x-none"/>
              </w:rPr>
              <w:t xml:space="preserve">Bu surette </w:t>
            </w:r>
            <w:r w:rsidR="00F1016D" w:rsidRPr="00A23740">
              <w:rPr>
                <w:bCs/>
                <w:szCs w:val="24"/>
                <w:lang w:eastAsia="x-none"/>
              </w:rPr>
              <w:t xml:space="preserve">düzeltilerek </w:t>
            </w:r>
            <w:r w:rsidRPr="00A23740">
              <w:rPr>
                <w:bCs/>
                <w:szCs w:val="24"/>
                <w:lang w:eastAsia="x-none"/>
              </w:rPr>
              <w:t xml:space="preserve">yazılan nedenlerin varlığı karşısında, terekenin bir malvarlığı topluluğu olarak tıpkı masa gibi iflas tasfiyesine göre hak sahipleri arasında, lâkin bu kez tabi olduğu mahkemece paylaştırılması gerekmektedir. Görev yönünden Kanun metni ve yıllar içinde hasıl olan </w:t>
            </w:r>
            <w:r w:rsidR="00806580" w:rsidRPr="00D60C1D">
              <w:rPr>
                <w:rStyle w:val="YELChar"/>
                <w:b w:val="0"/>
                <w:color w:val="000000"/>
              </w:rPr>
              <w:t>yerleşik</w:t>
            </w:r>
            <w:r w:rsidR="00806580" w:rsidRPr="00A23740">
              <w:rPr>
                <w:bCs/>
                <w:szCs w:val="24"/>
                <w:lang w:eastAsia="x-none"/>
              </w:rPr>
              <w:t xml:space="preserve"> </w:t>
            </w:r>
            <w:r w:rsidRPr="00A23740">
              <w:rPr>
                <w:bCs/>
                <w:szCs w:val="24"/>
                <w:lang w:eastAsia="x-none"/>
              </w:rPr>
              <w:t>içtihat, Taslakla tesis edilmiş iflas mahkemesi şeklindeki özel göreve karşın aynen benimsenmiş ve korunmuştur. Bu durumda talep alacaklılardan gelebileceği gibi m</w:t>
            </w:r>
            <w:r w:rsidR="00DE5024">
              <w:rPr>
                <w:bCs/>
                <w:szCs w:val="24"/>
                <w:lang w:eastAsia="x-none"/>
              </w:rPr>
              <w:t>irasçılardan da gelebilecektir.</w:t>
            </w:r>
            <w:r w:rsidR="00E807F4" w:rsidRPr="00A23740">
              <w:rPr>
                <w:b/>
                <w:bCs/>
                <w:szCs w:val="24"/>
                <w:lang w:eastAsia="x-none"/>
              </w:rPr>
              <w:tab/>
            </w:r>
          </w:p>
          <w:p w:rsidR="00046430" w:rsidRPr="00A23740" w:rsidRDefault="00046430" w:rsidP="009431FF">
            <w:pPr>
              <w:tabs>
                <w:tab w:val="left" w:pos="567"/>
              </w:tabs>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Usul</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181 – (1)</w:t>
            </w:r>
            <w:r w:rsidRPr="00A23740">
              <w:rPr>
                <w:b/>
                <w:szCs w:val="24"/>
              </w:rPr>
              <w:t xml:space="preserve"> </w:t>
            </w:r>
            <w:r w:rsidRPr="00A23740">
              <w:rPr>
                <w:rStyle w:val="KIRMIZIChar"/>
                <w:rFonts w:eastAsia="Calibri"/>
              </w:rPr>
              <w:t>159, 160, 164, 165 ve 166 ncı</w:t>
            </w:r>
            <w:r w:rsidRPr="00A23740">
              <w:rPr>
                <w:szCs w:val="24"/>
              </w:rPr>
              <w:t xml:space="preserve"> maddeler bu </w:t>
            </w:r>
            <w:r w:rsidRPr="00A23740">
              <w:rPr>
                <w:rStyle w:val="KIRMIZIChar"/>
                <w:rFonts w:eastAsia="Calibri"/>
              </w:rPr>
              <w:t>fasıl</w:t>
            </w:r>
            <w:r w:rsidRPr="00A23740">
              <w:rPr>
                <w:szCs w:val="24"/>
              </w:rPr>
              <w:t xml:space="preserve"> </w:t>
            </w:r>
            <w:r w:rsidRPr="00A23740">
              <w:rPr>
                <w:rStyle w:val="KIRMIZIChar"/>
                <w:rFonts w:eastAsia="Calibri"/>
              </w:rPr>
              <w:t>hükmüne</w:t>
            </w:r>
            <w:r w:rsidRPr="00A23740">
              <w:rPr>
                <w:szCs w:val="24"/>
              </w:rPr>
              <w:t xml:space="preserve"> göre </w:t>
            </w:r>
            <w:r w:rsidRPr="00A23740">
              <w:rPr>
                <w:rStyle w:val="KIRMIZIChar"/>
                <w:rFonts w:eastAsia="Calibri"/>
              </w:rPr>
              <w:t>vukua gelen</w:t>
            </w:r>
            <w:r w:rsidRPr="00A23740">
              <w:rPr>
                <w:szCs w:val="24"/>
              </w:rPr>
              <w:t xml:space="preserve"> iflaslara da </w:t>
            </w:r>
            <w:r w:rsidRPr="00A23740">
              <w:rPr>
                <w:rStyle w:val="KIRMIZIChar"/>
                <w:rFonts w:eastAsia="Calibri"/>
              </w:rPr>
              <w:t>tatbik olunur.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Usul</w:t>
            </w:r>
          </w:p>
          <w:p w:rsidR="00AA5C8C" w:rsidRPr="00A23740" w:rsidRDefault="00AA5C8C" w:rsidP="009431FF">
            <w:pPr>
              <w:tabs>
                <w:tab w:val="left" w:pos="567"/>
              </w:tabs>
              <w:rPr>
                <w:szCs w:val="24"/>
              </w:rPr>
            </w:pPr>
            <w:r w:rsidRPr="00A23740">
              <w:rPr>
                <w:rStyle w:val="MAVChar"/>
                <w:rFonts w:eastAsia="Calibri"/>
                <w:u w:val="none"/>
              </w:rPr>
              <w:t>MADDE 28</w:t>
            </w:r>
            <w:r w:rsidR="0025055D" w:rsidRPr="00A23740">
              <w:rPr>
                <w:rStyle w:val="MAVChar"/>
                <w:rFonts w:eastAsia="Calibri"/>
                <w:u w:val="none"/>
              </w:rPr>
              <w:t>9</w:t>
            </w:r>
            <w:r w:rsidRPr="00A23740">
              <w:rPr>
                <w:rStyle w:val="MAVChar"/>
                <w:rFonts w:eastAsia="Calibri"/>
                <w:u w:val="none"/>
              </w:rPr>
              <w:t>- (1</w:t>
            </w:r>
            <w:r w:rsidRPr="00A23740">
              <w:rPr>
                <w:b/>
                <w:color w:val="0000FF"/>
                <w:szCs w:val="24"/>
              </w:rPr>
              <w:t>)</w:t>
            </w:r>
            <w:r w:rsidR="005A557A" w:rsidRPr="00A23740">
              <w:rPr>
                <w:b/>
                <w:color w:val="0000FF"/>
                <w:szCs w:val="24"/>
              </w:rPr>
              <w:t xml:space="preserve"> </w:t>
            </w:r>
            <w:r w:rsidR="005A557A" w:rsidRPr="00E5316E">
              <w:rPr>
                <w:rStyle w:val="MaviChar"/>
              </w:rPr>
              <w:t>279</w:t>
            </w:r>
            <w:r w:rsidR="00CE27BE">
              <w:rPr>
                <w:rStyle w:val="MaviChar"/>
                <w:lang w:val="tr-TR"/>
              </w:rPr>
              <w:t>,</w:t>
            </w:r>
            <w:r w:rsidRPr="00A23740">
              <w:rPr>
                <w:b/>
                <w:szCs w:val="24"/>
              </w:rPr>
              <w:t xml:space="preserve"> </w:t>
            </w:r>
            <w:r w:rsidR="005A557A" w:rsidRPr="00E5316E">
              <w:rPr>
                <w:rStyle w:val="MaviChar"/>
              </w:rPr>
              <w:t>280</w:t>
            </w:r>
            <w:r w:rsidR="00CE27BE" w:rsidRPr="00CE27BE">
              <w:rPr>
                <w:rStyle w:val="Balk1Char"/>
                <w:rFonts w:eastAsia="Calibri"/>
              </w:rPr>
              <w:t>,</w:t>
            </w:r>
            <w:r w:rsidR="00CE27BE">
              <w:rPr>
                <w:rStyle w:val="KonuBalChar"/>
                <w:rFonts w:eastAsia="Calibri"/>
                <w:lang w:val="tr-TR"/>
              </w:rPr>
              <w:t xml:space="preserve"> </w:t>
            </w:r>
            <w:r w:rsidR="005A557A" w:rsidRPr="00E5316E">
              <w:rPr>
                <w:rStyle w:val="MaviChar"/>
              </w:rPr>
              <w:t>281</w:t>
            </w:r>
            <w:r w:rsidR="00CE27BE" w:rsidRPr="00CE27BE">
              <w:rPr>
                <w:rStyle w:val="Balk1Char"/>
                <w:rFonts w:eastAsia="Calibri"/>
              </w:rPr>
              <w:t>,</w:t>
            </w:r>
            <w:r w:rsidR="00CE27BE">
              <w:rPr>
                <w:rStyle w:val="KonuBalChar"/>
                <w:rFonts w:eastAsia="Calibri"/>
              </w:rPr>
              <w:t xml:space="preserve"> </w:t>
            </w:r>
            <w:r w:rsidR="005A557A" w:rsidRPr="00E5316E">
              <w:rPr>
                <w:rStyle w:val="MaviChar"/>
              </w:rPr>
              <w:t>282</w:t>
            </w:r>
            <w:r w:rsidR="00CE27BE">
              <w:rPr>
                <w:rStyle w:val="MaviChar"/>
                <w:lang w:val="tr-TR"/>
              </w:rPr>
              <w:t>,</w:t>
            </w:r>
            <w:r w:rsidRPr="00E5316E">
              <w:rPr>
                <w:rStyle w:val="MaviChar"/>
              </w:rPr>
              <w:t xml:space="preserve"> </w:t>
            </w:r>
            <w:r w:rsidR="005A557A" w:rsidRPr="00E5316E">
              <w:rPr>
                <w:rStyle w:val="MaviChar"/>
              </w:rPr>
              <w:t>283</w:t>
            </w:r>
            <w:r w:rsidRPr="00E5316E">
              <w:rPr>
                <w:rStyle w:val="MaviChar"/>
              </w:rPr>
              <w:t xml:space="preserve"> </w:t>
            </w:r>
            <w:r w:rsidRPr="00A23740">
              <w:rPr>
                <w:rStyle w:val="MAVChar"/>
                <w:rFonts w:eastAsia="Calibri"/>
                <w:u w:val="none"/>
              </w:rPr>
              <w:t>ve</w:t>
            </w:r>
            <w:r w:rsidR="005A557A" w:rsidRPr="00A23740">
              <w:rPr>
                <w:rStyle w:val="KonuBalChar"/>
                <w:rFonts w:eastAsia="Calibri"/>
              </w:rPr>
              <w:t xml:space="preserve"> </w:t>
            </w:r>
            <w:r w:rsidR="005A557A" w:rsidRPr="00E5316E">
              <w:rPr>
                <w:rStyle w:val="MaviChar"/>
              </w:rPr>
              <w:t>284 üncü</w:t>
            </w:r>
            <w:r w:rsidR="005A557A" w:rsidRPr="00A23740">
              <w:rPr>
                <w:rStyle w:val="KonuBalChar"/>
                <w:rFonts w:eastAsia="Calibri"/>
                <w:lang w:val="tr-TR"/>
              </w:rPr>
              <w:t xml:space="preserve"> </w:t>
            </w:r>
            <w:r w:rsidRPr="00A23740">
              <w:rPr>
                <w:szCs w:val="24"/>
              </w:rPr>
              <w:t>maddeler</w:t>
            </w:r>
            <w:r w:rsidRPr="00CE27BE">
              <w:rPr>
                <w:rStyle w:val="Balk1Char"/>
                <w:rFonts w:eastAsia="ヒラギノ明朝 Pro W3"/>
              </w:rPr>
              <w:t>,</w:t>
            </w:r>
            <w:r w:rsidRPr="00A23740">
              <w:rPr>
                <w:szCs w:val="24"/>
              </w:rPr>
              <w:t xml:space="preserve"> bu </w:t>
            </w:r>
            <w:r w:rsidRPr="00A23740">
              <w:rPr>
                <w:rStyle w:val="MAVChar"/>
                <w:rFonts w:eastAsia="Calibri"/>
                <w:u w:val="none"/>
              </w:rPr>
              <w:t>bölüm hükümlerine</w:t>
            </w:r>
            <w:r w:rsidRPr="00A23740">
              <w:rPr>
                <w:szCs w:val="24"/>
              </w:rPr>
              <w:t xml:space="preserve"> göre </w:t>
            </w:r>
            <w:r w:rsidRPr="00A23740">
              <w:rPr>
                <w:rStyle w:val="MAVChar"/>
                <w:rFonts w:eastAsia="Calibri"/>
                <w:u w:val="none"/>
              </w:rPr>
              <w:t>gerçekleşen</w:t>
            </w:r>
            <w:r w:rsidRPr="00A23740">
              <w:rPr>
                <w:szCs w:val="24"/>
              </w:rPr>
              <w:t xml:space="preserve"> iflaslara da </w:t>
            </w:r>
            <w:r w:rsidRPr="00A23740">
              <w:rPr>
                <w:rStyle w:val="MAVChar"/>
                <w:rFonts w:eastAsia="Calibri"/>
                <w:u w:val="none"/>
              </w:rPr>
              <w:t>kıyasen uygulanır</w:t>
            </w:r>
            <w:r w:rsidRPr="00A23740">
              <w:rPr>
                <w:szCs w:val="24"/>
              </w:rPr>
              <w:t xml:space="preserve">. </w:t>
            </w:r>
          </w:p>
          <w:p w:rsidR="00AA5C8C" w:rsidRPr="00A23740" w:rsidRDefault="00AA5C8C" w:rsidP="009431FF">
            <w:pPr>
              <w:tabs>
                <w:tab w:val="left" w:pos="567"/>
              </w:tabs>
              <w:rPr>
                <w:szCs w:val="24"/>
              </w:rPr>
            </w:pPr>
          </w:p>
          <w:p w:rsidR="00E807F4" w:rsidRDefault="00AA5C8C" w:rsidP="009431FF">
            <w:pPr>
              <w:pStyle w:val="Mavi"/>
              <w:rPr>
                <w:lang w:val="tr-TR"/>
              </w:rPr>
            </w:pPr>
            <w:r w:rsidRPr="00A23740">
              <w:t>(2)</w:t>
            </w:r>
            <w:r w:rsidR="00BC15E2" w:rsidRPr="00A23740">
              <w:rPr>
                <w:lang w:val="tr-TR"/>
              </w:rPr>
              <w:t xml:space="preserve"> </w:t>
            </w:r>
            <w:r w:rsidR="00BC15E2" w:rsidRPr="00E5316E">
              <w:t>285 inci</w:t>
            </w:r>
            <w:r w:rsidR="00BC15E2" w:rsidRPr="00A23740">
              <w:rPr>
                <w:b w:val="0"/>
                <w:lang w:val="tr-TR"/>
              </w:rPr>
              <w:t xml:space="preserve"> </w:t>
            </w:r>
            <w:r w:rsidRPr="00A23740">
              <w:t xml:space="preserve">maddenin birinci fıkrasının </w:t>
            </w:r>
            <w:r w:rsidRPr="00A23740">
              <w:rPr>
                <w:lang w:val="tr-TR"/>
              </w:rPr>
              <w:t>(</w:t>
            </w:r>
            <w:r w:rsidRPr="00A23740">
              <w:t>c</w:t>
            </w:r>
            <w:r w:rsidRPr="00A23740">
              <w:rPr>
                <w:lang w:val="tr-TR"/>
              </w:rPr>
              <w:t>)</w:t>
            </w:r>
            <w:r w:rsidRPr="00A23740">
              <w:t xml:space="preserve"> bendindeki h</w:t>
            </w:r>
            <w:r w:rsidR="009D574E" w:rsidRPr="00A23740">
              <w:rPr>
                <w:lang w:val="tr-TR"/>
              </w:rPr>
              <w:t>â</w:t>
            </w:r>
            <w:r w:rsidRPr="00A23740">
              <w:t>lde,</w:t>
            </w:r>
            <w:r w:rsidR="00BC15E2" w:rsidRPr="00A23740">
              <w:rPr>
                <w:lang w:val="tr-TR"/>
              </w:rPr>
              <w:t xml:space="preserve"> </w:t>
            </w:r>
            <w:r w:rsidR="00BC15E2" w:rsidRPr="00E5316E">
              <w:t>275 inci</w:t>
            </w:r>
            <w:r w:rsidRPr="00A23740">
              <w:rPr>
                <w:b w:val="0"/>
              </w:rPr>
              <w:t xml:space="preserve"> </w:t>
            </w:r>
            <w:r w:rsidRPr="00A23740">
              <w:t>madde hükmü kıyasen uygulanır.</w:t>
            </w:r>
          </w:p>
          <w:p w:rsidR="00D74F7C" w:rsidRPr="00CE27BE" w:rsidRDefault="00D74F7C" w:rsidP="009431FF">
            <w:pPr>
              <w:pStyle w:val="Mavi"/>
              <w:rPr>
                <w:lang w:val="tr-TR"/>
              </w:rPr>
            </w:pPr>
          </w:p>
        </w:tc>
      </w:tr>
      <w:tr w:rsidR="0004643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87220" w:rsidRPr="00A23740" w:rsidRDefault="00687220" w:rsidP="009431FF">
            <w:pPr>
              <w:tabs>
                <w:tab w:val="left" w:pos="567"/>
              </w:tabs>
              <w:rPr>
                <w:b/>
                <w:bCs/>
                <w:szCs w:val="24"/>
                <w:lang w:eastAsia="x-none"/>
              </w:rPr>
            </w:pPr>
          </w:p>
          <w:p w:rsidR="00687220" w:rsidRPr="00A23740" w:rsidRDefault="00687220" w:rsidP="009431FF">
            <w:pPr>
              <w:tabs>
                <w:tab w:val="left" w:pos="567"/>
              </w:tabs>
              <w:ind w:firstLine="709"/>
              <w:rPr>
                <w:b/>
                <w:szCs w:val="24"/>
              </w:rPr>
            </w:pPr>
            <w:r w:rsidRPr="00A23740">
              <w:rPr>
                <w:b/>
              </w:rPr>
              <w:t>MADDE 289-</w:t>
            </w:r>
            <w:r w:rsidRPr="00A23740">
              <w:t xml:space="preserve"> Maddeyle, doğrudan doğruya iflasta </w:t>
            </w:r>
            <w:r w:rsidRPr="00A23740">
              <w:rPr>
                <w:szCs w:val="24"/>
              </w:rPr>
              <w:t xml:space="preserve">usule ilişkin hususlar düzenlenmektedir. </w:t>
            </w:r>
          </w:p>
          <w:p w:rsidR="00961D17" w:rsidRPr="00A23740" w:rsidRDefault="00687220" w:rsidP="009431FF">
            <w:pPr>
              <w:tabs>
                <w:tab w:val="left" w:pos="567"/>
              </w:tabs>
              <w:ind w:firstLine="709"/>
              <w:rPr>
                <w:szCs w:val="24"/>
              </w:rPr>
            </w:pPr>
            <w:r w:rsidRPr="00A23740">
              <w:rPr>
                <w:szCs w:val="24"/>
              </w:rPr>
              <w:t>Tasl</w:t>
            </w:r>
            <w:r w:rsidRPr="00A23740">
              <w:t xml:space="preserve">ağın </w:t>
            </w:r>
            <w:r w:rsidRPr="00A23740">
              <w:rPr>
                <w:szCs w:val="24"/>
              </w:rPr>
              <w:t xml:space="preserve">bu hükmü, doğrudan iflas nedenlerine dayalı olarak açılan iflas davasında, özel olarak zikredilmiş olanların dışında bu kez atfen uygulanacak usul hükümlerini düzenlemektedir. </w:t>
            </w:r>
          </w:p>
          <w:p w:rsidR="00961D17" w:rsidRPr="00D60C1D" w:rsidRDefault="00961D17" w:rsidP="009431FF">
            <w:pPr>
              <w:pStyle w:val="YEL"/>
              <w:rPr>
                <w:b w:val="0"/>
                <w:color w:val="000000"/>
                <w:lang w:val="tr-TR"/>
              </w:rPr>
            </w:pPr>
            <w:r w:rsidRPr="00A23740">
              <w:rPr>
                <w:lang w:val="tr-TR"/>
              </w:rPr>
              <w:tab/>
            </w:r>
            <w:r w:rsidRPr="00D60C1D">
              <w:rPr>
                <w:b w:val="0"/>
                <w:color w:val="000000"/>
                <w:lang w:val="tr-TR"/>
              </w:rPr>
              <w:t>Öğretide (Kuru, El Kitabı, s.1157; Pekcanıtez/Atalay/Özkan/Özekes, 11 inci Bası, s.660) defter tutmaya ilişkin hükümlerin doğrudan doğruya iflas h</w:t>
            </w:r>
            <w:r w:rsidR="009D574E" w:rsidRPr="00D60C1D">
              <w:rPr>
                <w:b w:val="0"/>
                <w:color w:val="000000"/>
                <w:lang w:val="tr-TR"/>
              </w:rPr>
              <w:t>â</w:t>
            </w:r>
            <w:r w:rsidRPr="00D60C1D">
              <w:rPr>
                <w:b w:val="0"/>
                <w:color w:val="000000"/>
                <w:lang w:val="tr-TR"/>
              </w:rPr>
              <w:t>llerinde de uygulanacağı öngörüldüğü için, bu görüşe hukuki dayanak sağlamak amacıyla maddenin birinci fıkrasına 161</w:t>
            </w:r>
            <w:r w:rsidR="002B679E" w:rsidRPr="00D60C1D">
              <w:rPr>
                <w:rStyle w:val="KonuBalChar"/>
                <w:rFonts w:eastAsia="ヒラギノ明朝 Pro W3"/>
                <w:b/>
                <w:color w:val="000000"/>
              </w:rPr>
              <w:t xml:space="preserve"> </w:t>
            </w:r>
            <w:r w:rsidR="002B679E" w:rsidRPr="00D60C1D">
              <w:rPr>
                <w:rStyle w:val="KonuBalChar"/>
                <w:rFonts w:eastAsia="ヒラギノ明朝 Pro W3"/>
                <w:color w:val="000000"/>
              </w:rPr>
              <w:t>il</w:t>
            </w:r>
            <w:r w:rsidR="00F25FDB" w:rsidRPr="00D60C1D">
              <w:rPr>
                <w:rStyle w:val="KonuBalChar"/>
                <w:rFonts w:eastAsia="ヒラギノ明朝 Pro W3"/>
                <w:color w:val="000000"/>
                <w:lang w:val="tr-TR"/>
              </w:rPr>
              <w:t>a</w:t>
            </w:r>
            <w:r w:rsidR="002B679E" w:rsidRPr="00D60C1D">
              <w:rPr>
                <w:rStyle w:val="KonuBalChar"/>
                <w:rFonts w:eastAsia="ヒラギノ明朝 Pro W3"/>
                <w:b/>
                <w:color w:val="000000"/>
              </w:rPr>
              <w:t xml:space="preserve"> </w:t>
            </w:r>
            <w:r w:rsidRPr="00D60C1D">
              <w:rPr>
                <w:b w:val="0"/>
                <w:color w:val="000000"/>
                <w:lang w:val="tr-TR"/>
              </w:rPr>
              <w:t>163 üncü maddeler de eklenmiştir.</w:t>
            </w:r>
          </w:p>
          <w:p w:rsidR="00CE27BE" w:rsidRDefault="00687220" w:rsidP="009431FF">
            <w:pPr>
              <w:tabs>
                <w:tab w:val="left" w:pos="567"/>
              </w:tabs>
              <w:ind w:firstLine="709"/>
              <w:rPr>
                <w:szCs w:val="24"/>
              </w:rPr>
            </w:pPr>
            <w:r w:rsidRPr="00A23740">
              <w:rPr>
                <w:szCs w:val="24"/>
              </w:rPr>
              <w:t xml:space="preserve">İkinci fıkra, yeni </w:t>
            </w:r>
            <w:r w:rsidR="00F1016D" w:rsidRPr="00A23740">
              <w:rPr>
                <w:szCs w:val="24"/>
              </w:rPr>
              <w:t>olup</w:t>
            </w:r>
            <w:r w:rsidRPr="00A23740">
              <w:rPr>
                <w:szCs w:val="24"/>
              </w:rPr>
              <w:t xml:space="preserve"> bir istisna</w:t>
            </w:r>
            <w:r w:rsidR="00F1016D" w:rsidRPr="00A23740">
              <w:rPr>
                <w:szCs w:val="24"/>
              </w:rPr>
              <w:t xml:space="preserve"> hükmüdür</w:t>
            </w:r>
            <w:r w:rsidRPr="00A23740">
              <w:rPr>
                <w:szCs w:val="24"/>
              </w:rPr>
              <w:t>. Böylece Tasl</w:t>
            </w:r>
            <w:r w:rsidRPr="00A23740">
              <w:t xml:space="preserve">ağın </w:t>
            </w:r>
            <w:r w:rsidR="00BC15E2" w:rsidRPr="00D60C1D">
              <w:rPr>
                <w:rStyle w:val="KonuBalChar"/>
                <w:rFonts w:eastAsia="Calibri"/>
                <w:b w:val="0"/>
                <w:color w:val="000000"/>
              </w:rPr>
              <w:t>285 inci</w:t>
            </w:r>
            <w:r w:rsidR="00BC15E2" w:rsidRPr="00A23740">
              <w:t xml:space="preserve"> </w:t>
            </w:r>
            <w:r w:rsidRPr="00A23740">
              <w:rPr>
                <w:szCs w:val="24"/>
              </w:rPr>
              <w:t xml:space="preserve">maddesinin birinci fıkrasının </w:t>
            </w:r>
            <w:r w:rsidR="006C12FA" w:rsidRPr="00D60C1D">
              <w:rPr>
                <w:rStyle w:val="KonuBalChar"/>
                <w:rFonts w:eastAsia="Calibri"/>
                <w:b w:val="0"/>
                <w:color w:val="000000"/>
              </w:rPr>
              <w:t>(c)</w:t>
            </w:r>
            <w:r w:rsidRPr="00A23740">
              <w:rPr>
                <w:szCs w:val="24"/>
              </w:rPr>
              <w:t xml:space="preserve"> bendinde düzenlenen </w:t>
            </w:r>
            <w:r w:rsidR="00F1016D" w:rsidRPr="00A23740">
              <w:rPr>
                <w:szCs w:val="24"/>
              </w:rPr>
              <w:t xml:space="preserve">ve </w:t>
            </w:r>
            <w:r w:rsidRPr="00A23740">
              <w:rPr>
                <w:szCs w:val="24"/>
              </w:rPr>
              <w:t>alacaklının doğrudan iflas başvurusuna</w:t>
            </w:r>
            <w:r w:rsidR="00F1016D" w:rsidRPr="00A23740">
              <w:rPr>
                <w:szCs w:val="24"/>
              </w:rPr>
              <w:t xml:space="preserve"> ilişkin olup</w:t>
            </w:r>
            <w:r w:rsidRPr="00A23740">
              <w:rPr>
                <w:szCs w:val="24"/>
              </w:rPr>
              <w:t xml:space="preserve"> esasen takipli iflas yargılamasına ait </w:t>
            </w:r>
            <w:r w:rsidR="00F1016D" w:rsidRPr="00A23740">
              <w:rPr>
                <w:szCs w:val="24"/>
              </w:rPr>
              <w:t xml:space="preserve">bulunan </w:t>
            </w:r>
            <w:r w:rsidRPr="00A23740">
              <w:rPr>
                <w:szCs w:val="24"/>
              </w:rPr>
              <w:t>“</w:t>
            </w:r>
            <w:r w:rsidRPr="000C46FB">
              <w:rPr>
                <w:szCs w:val="24"/>
              </w:rPr>
              <w:t>depo kararı</w:t>
            </w:r>
            <w:r w:rsidRPr="00A23740">
              <w:rPr>
                <w:szCs w:val="24"/>
              </w:rPr>
              <w:t>” usulü, bu hâlde de tatbik edilmekte; borçlunun a</w:t>
            </w:r>
            <w:r w:rsidRPr="00A23740">
              <w:t xml:space="preserve">nılan durumda, </w:t>
            </w:r>
            <w:r w:rsidRPr="00A23740">
              <w:rPr>
                <w:szCs w:val="24"/>
              </w:rPr>
              <w:t>iflastan son bir şansla kurtulmasına imk</w:t>
            </w:r>
            <w:r w:rsidR="00BE53A8" w:rsidRPr="00A23740">
              <w:rPr>
                <w:rFonts w:eastAsia="Times New Roman"/>
                <w:szCs w:val="24"/>
                <w:lang w:eastAsia="tr-TR"/>
              </w:rPr>
              <w:t>â</w:t>
            </w:r>
            <w:r w:rsidR="00CE27BE">
              <w:rPr>
                <w:szCs w:val="24"/>
              </w:rPr>
              <w:t xml:space="preserve">n tanınmaktadır. </w:t>
            </w:r>
          </w:p>
          <w:p w:rsidR="00046430" w:rsidRPr="00A23740" w:rsidRDefault="00046430" w:rsidP="00DE5024">
            <w:pPr>
              <w:tabs>
                <w:tab w:val="left" w:pos="567"/>
              </w:tabs>
              <w:ind w:firstLine="709"/>
              <w:rPr>
                <w:rFonts w:eastAsia="Times New Roman"/>
                <w:b/>
                <w:bCs/>
                <w:color w:val="0000FF"/>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rStyle w:val="KIRMIZIChar"/>
                <w:rFonts w:eastAsia="Calibri"/>
              </w:rPr>
              <w:t>V.</w:t>
            </w:r>
            <w:r w:rsidRPr="00A23740">
              <w:rPr>
                <w:szCs w:val="24"/>
              </w:rPr>
              <w:t xml:space="preserve"> İFLASIN KALDIRILMASI</w:t>
            </w:r>
          </w:p>
          <w:p w:rsidR="00AA5C8C" w:rsidRPr="00A23740" w:rsidRDefault="00AA5C8C" w:rsidP="009431FF">
            <w:pPr>
              <w:tabs>
                <w:tab w:val="left" w:pos="567"/>
              </w:tabs>
              <w:rPr>
                <w:szCs w:val="24"/>
              </w:rPr>
            </w:pPr>
          </w:p>
          <w:p w:rsidR="00AA5C8C" w:rsidRPr="00A23740" w:rsidRDefault="00AA5C8C" w:rsidP="009431FF">
            <w:pPr>
              <w:tabs>
                <w:tab w:val="left" w:pos="567"/>
              </w:tabs>
              <w:rPr>
                <w:b/>
                <w:bCs/>
                <w:strike/>
                <w:color w:val="FF0000"/>
                <w:szCs w:val="24"/>
              </w:rPr>
            </w:pPr>
            <w:r w:rsidRPr="00A23740">
              <w:rPr>
                <w:b/>
                <w:bCs/>
                <w:strike/>
                <w:color w:val="FF0000"/>
                <w:szCs w:val="24"/>
              </w:rPr>
              <w:t>İflasın kaldırılması:</w:t>
            </w:r>
          </w:p>
          <w:p w:rsidR="00AA5C8C" w:rsidRPr="00A23740" w:rsidRDefault="00AA5C8C" w:rsidP="009431FF">
            <w:pPr>
              <w:tabs>
                <w:tab w:val="left" w:pos="567"/>
              </w:tabs>
              <w:rPr>
                <w:szCs w:val="24"/>
              </w:rPr>
            </w:pPr>
            <w:r w:rsidRPr="00A23740">
              <w:rPr>
                <w:rStyle w:val="KIRMIZIChar"/>
                <w:rFonts w:eastAsia="Calibri"/>
              </w:rPr>
              <w:t>Madde 182 – (1) Borçlu</w:t>
            </w:r>
            <w:r w:rsidRPr="00A23740">
              <w:rPr>
                <w:b/>
                <w:bCs/>
                <w:strike/>
                <w:color w:val="FF0000"/>
                <w:szCs w:val="24"/>
              </w:rPr>
              <w:t xml:space="preserve"> bütün alacaklılarının taleplerinin geri aldıklarına dair bir beyanname veya tekmil alacakların itfa olunduğu hakkında bir vesika gösterir veya akdolunun konkordato tasdik edilirse mahkeme, iflasın kalkmasına ve borçlunun serbestçe tasarrufu için mallarının kendisine iadesine karar verir.</w:t>
            </w:r>
          </w:p>
          <w:p w:rsidR="00AA5C8C" w:rsidRPr="00A23740" w:rsidRDefault="00AA5C8C" w:rsidP="009431FF">
            <w:pPr>
              <w:tabs>
                <w:tab w:val="left" w:pos="567"/>
              </w:tabs>
              <w:rPr>
                <w:szCs w:val="24"/>
              </w:rPr>
            </w:pPr>
          </w:p>
          <w:p w:rsidR="00C42DF2" w:rsidRPr="00A23740" w:rsidRDefault="00C42DF2" w:rsidP="009431FF">
            <w:pPr>
              <w:tabs>
                <w:tab w:val="left" w:pos="567"/>
              </w:tabs>
              <w:rPr>
                <w:szCs w:val="24"/>
              </w:rPr>
            </w:pPr>
          </w:p>
          <w:p w:rsidR="00C42DF2" w:rsidRPr="00A23740" w:rsidRDefault="00C42DF2" w:rsidP="009431FF">
            <w:pPr>
              <w:tabs>
                <w:tab w:val="left" w:pos="567"/>
              </w:tabs>
              <w:rPr>
                <w:szCs w:val="24"/>
              </w:rPr>
            </w:pPr>
          </w:p>
          <w:p w:rsidR="00C42DF2" w:rsidRPr="00A23740" w:rsidRDefault="00C42DF2" w:rsidP="009431FF">
            <w:pPr>
              <w:tabs>
                <w:tab w:val="left" w:pos="567"/>
              </w:tabs>
              <w:rPr>
                <w:szCs w:val="24"/>
              </w:rPr>
            </w:pPr>
          </w:p>
          <w:p w:rsidR="00C42DF2" w:rsidRPr="00A23740" w:rsidRDefault="00C42DF2" w:rsidP="009431FF">
            <w:pPr>
              <w:tabs>
                <w:tab w:val="left" w:pos="567"/>
              </w:tabs>
              <w:rPr>
                <w:b/>
                <w:bCs/>
                <w:strike/>
                <w:color w:val="FF0000"/>
                <w:szCs w:val="24"/>
              </w:rPr>
            </w:pPr>
          </w:p>
          <w:p w:rsidR="00AA5C8C" w:rsidRPr="00A23740" w:rsidRDefault="00AA5C8C" w:rsidP="009431FF">
            <w:pPr>
              <w:tabs>
                <w:tab w:val="left" w:pos="567"/>
              </w:tabs>
              <w:rPr>
                <w:b/>
                <w:bCs/>
                <w:strike/>
                <w:color w:val="FF0000"/>
                <w:szCs w:val="24"/>
              </w:rPr>
            </w:pPr>
            <w:r w:rsidRPr="00A23740">
              <w:rPr>
                <w:b/>
                <w:bCs/>
                <w:strike/>
                <w:color w:val="FF0000"/>
                <w:szCs w:val="24"/>
              </w:rPr>
              <w:t xml:space="preserve">(2) (Değişik ikinci fıkra: 2/3/2005-5311/14 md.) İflâsın kaldırılmasına, alacak hakkındaki taleplerin kaydı için muayyen müddetin bitmesinden iflâsın kapanmasına kadar karar verilir. İflâsın kaldırılması hakkında verilen hükme karşı tebliğ tarihinden itibaren </w:t>
            </w:r>
            <w:r w:rsidR="00DF484B" w:rsidRPr="00A23740">
              <w:rPr>
                <w:b/>
                <w:bCs/>
                <w:strike/>
                <w:color w:val="FF0000"/>
                <w:szCs w:val="24"/>
              </w:rPr>
              <w:t>iki hafta</w:t>
            </w:r>
            <w:r w:rsidRPr="00A23740">
              <w:rPr>
                <w:b/>
                <w:bCs/>
                <w:strike/>
                <w:color w:val="FF0000"/>
                <w:szCs w:val="24"/>
              </w:rPr>
              <w:t xml:space="preserve"> içinde istinaf yoluna başvurulabilir. Bölge adliye mahkemesi kararına karşı tebliğ tarihinden itibaren on gün içinde temyiz yoluna başvurulabilir. İstinaf ve temyiz incelemeleri, Hukuk Usulü Muhakemeleri Kanunu hükümlerine göre yapılır.</w:t>
            </w:r>
          </w:p>
          <w:p w:rsidR="00E32A9F" w:rsidRPr="00A23740" w:rsidRDefault="00E32A9F" w:rsidP="009431FF">
            <w:pPr>
              <w:tabs>
                <w:tab w:val="left" w:pos="567"/>
              </w:tabs>
              <w:rPr>
                <w:szCs w:val="24"/>
              </w:rPr>
            </w:pPr>
          </w:p>
        </w:tc>
        <w:tc>
          <w:tcPr>
            <w:tcW w:w="2500" w:type="pct"/>
          </w:tcPr>
          <w:p w:rsidR="00D74F7C" w:rsidRDefault="00AA5C8C" w:rsidP="009431FF">
            <w:pPr>
              <w:pStyle w:val="Mavi"/>
              <w:jc w:val="center"/>
              <w:rPr>
                <w:lang w:val="tr-TR"/>
              </w:rPr>
            </w:pPr>
            <w:r w:rsidRPr="00A23740">
              <w:rPr>
                <w:lang w:val="tr-TR"/>
              </w:rPr>
              <w:t>ÜÇÜNCÜ BÖLÜM</w:t>
            </w:r>
            <w:r w:rsidR="00D74F7C">
              <w:rPr>
                <w:lang w:val="tr-TR"/>
              </w:rPr>
              <w:t xml:space="preserve"> </w:t>
            </w:r>
          </w:p>
          <w:p w:rsidR="00AA5C8C" w:rsidRPr="00D74F7C" w:rsidRDefault="00AA5C8C" w:rsidP="009431FF">
            <w:pPr>
              <w:jc w:val="center"/>
              <w:rPr>
                <w:b/>
              </w:rPr>
            </w:pPr>
            <w:r w:rsidRPr="00D74F7C">
              <w:rPr>
                <w:b/>
              </w:rPr>
              <w:t>İflasın Kaldırılması</w:t>
            </w:r>
          </w:p>
          <w:p w:rsidR="00AA5C8C" w:rsidRPr="00A23740" w:rsidRDefault="00AA5C8C" w:rsidP="009431FF">
            <w:pPr>
              <w:tabs>
                <w:tab w:val="left" w:pos="567"/>
              </w:tabs>
              <w:rPr>
                <w:b/>
                <w:szCs w:val="24"/>
              </w:rPr>
            </w:pPr>
          </w:p>
          <w:p w:rsidR="00AA5C8C" w:rsidRPr="00A23740" w:rsidRDefault="00AA5C8C" w:rsidP="009431FF">
            <w:pPr>
              <w:tabs>
                <w:tab w:val="left" w:pos="567"/>
              </w:tabs>
              <w:rPr>
                <w:b/>
                <w:color w:val="0000FF"/>
                <w:szCs w:val="24"/>
              </w:rPr>
            </w:pPr>
            <w:r w:rsidRPr="00A23740">
              <w:rPr>
                <w:b/>
                <w:color w:val="0000FF"/>
                <w:szCs w:val="24"/>
              </w:rPr>
              <w:t>Şartları</w:t>
            </w:r>
          </w:p>
          <w:p w:rsidR="00AA5C8C" w:rsidRPr="00A23740" w:rsidRDefault="0025055D" w:rsidP="009431FF">
            <w:pPr>
              <w:tabs>
                <w:tab w:val="left" w:pos="567"/>
              </w:tabs>
              <w:rPr>
                <w:b/>
              </w:rPr>
            </w:pPr>
            <w:r w:rsidRPr="00A23740">
              <w:rPr>
                <w:rStyle w:val="MAVChar"/>
                <w:rFonts w:eastAsia="Calibri"/>
                <w:u w:val="none"/>
              </w:rPr>
              <w:t>MADDE 290</w:t>
            </w:r>
            <w:r w:rsidR="00AA5C8C" w:rsidRPr="00A23740">
              <w:rPr>
                <w:rStyle w:val="MAVChar"/>
                <w:rFonts w:eastAsia="Calibri"/>
                <w:u w:val="none"/>
              </w:rPr>
              <w:t>- (1</w:t>
            </w:r>
            <w:r w:rsidR="00AA5C8C" w:rsidRPr="00A23740">
              <w:rPr>
                <w:b/>
                <w:color w:val="0000FF"/>
                <w:szCs w:val="24"/>
              </w:rPr>
              <w:t xml:space="preserve">) </w:t>
            </w:r>
            <w:r w:rsidR="00AA5C8C" w:rsidRPr="00A23740">
              <w:rPr>
                <w:rStyle w:val="MaviChar"/>
              </w:rPr>
              <w:t>Aşağıdaki h</w:t>
            </w:r>
            <w:r w:rsidR="005A7CCA" w:rsidRPr="00A23740">
              <w:rPr>
                <w:rStyle w:val="MaviChar"/>
                <w:lang w:val="tr-TR"/>
              </w:rPr>
              <w:t>â</w:t>
            </w:r>
            <w:r w:rsidR="00AA5C8C" w:rsidRPr="00A23740">
              <w:rPr>
                <w:rStyle w:val="MaviChar"/>
              </w:rPr>
              <w:t>llerde iflasın kaldırılmasına karar verilir:</w:t>
            </w:r>
            <w:r w:rsidR="00AA5C8C" w:rsidRPr="00A23740">
              <w:rPr>
                <w:rStyle w:val="YELChar"/>
              </w:rPr>
              <w:t xml:space="preserve"> </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a) Her bir alacaklının, </w:t>
            </w:r>
            <w:r w:rsidRPr="00A23740">
              <w:rPr>
                <w:rStyle w:val="MaviChar"/>
              </w:rPr>
              <w:t>alacak kayıt talebini geri aldığına ilişkin yazılı beyanının sunulması.</w:t>
            </w:r>
          </w:p>
          <w:p w:rsidR="00AA5C8C" w:rsidRPr="00A23740" w:rsidRDefault="00AA5C8C" w:rsidP="009431FF">
            <w:pPr>
              <w:pStyle w:val="YEL"/>
              <w:rPr>
                <w:lang w:val="tr-TR"/>
              </w:rPr>
            </w:pPr>
          </w:p>
          <w:p w:rsidR="00AA5C8C" w:rsidRPr="00A23740" w:rsidRDefault="00AA5C8C" w:rsidP="009431FF">
            <w:pPr>
              <w:pStyle w:val="Mavi"/>
            </w:pPr>
            <w:r w:rsidRPr="00A23740">
              <w:t>b) Bütün alacakların itfa olunduğunun ispatlanması.</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c) Konkordatonun tasdik edilmiş olması.</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(2) İflasın kaldırılması birinci fıkranın (a) ve (b) bentlerinde belirtilen h</w:t>
            </w:r>
            <w:r w:rsidR="005A7CCA" w:rsidRPr="00A23740">
              <w:rPr>
                <w:b/>
                <w:color w:val="0000FF"/>
                <w:szCs w:val="24"/>
              </w:rPr>
              <w:t>â</w:t>
            </w:r>
            <w:r w:rsidRPr="00A23740">
              <w:rPr>
                <w:b/>
                <w:color w:val="0000FF"/>
                <w:szCs w:val="24"/>
              </w:rPr>
              <w:t>llerde borçlu</w:t>
            </w:r>
            <w:r w:rsidR="00077916" w:rsidRPr="00E5316E">
              <w:rPr>
                <w:rStyle w:val="MaviChar"/>
              </w:rPr>
              <w:t>;</w:t>
            </w:r>
            <w:r w:rsidRPr="00A23740">
              <w:rPr>
                <w:b/>
                <w:color w:val="0000FF"/>
                <w:szCs w:val="24"/>
              </w:rPr>
              <w:t xml:space="preserve"> (c) bendinde belirtilen h</w:t>
            </w:r>
            <w:r w:rsidR="005A7CCA" w:rsidRPr="00A23740">
              <w:rPr>
                <w:b/>
                <w:color w:val="0000FF"/>
                <w:szCs w:val="24"/>
              </w:rPr>
              <w:t>â</w:t>
            </w:r>
            <w:r w:rsidRPr="00A23740">
              <w:rPr>
                <w:b/>
                <w:color w:val="0000FF"/>
                <w:szCs w:val="24"/>
              </w:rPr>
              <w:t>lde ise iflas idaresi tarafından istenir.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(3) İflasın kaldırılması en erken alacak hakkındaki taleplerin iflas masasına kaydı için belirlenen sürenin sona ermesinden sonra ve en geç iflasın kapanmasına kadar talep edilebilir.</w:t>
            </w:r>
          </w:p>
          <w:p w:rsidR="00AA5C8C" w:rsidRPr="00A23740" w:rsidRDefault="00AA5C8C" w:rsidP="009431FF">
            <w:pPr>
              <w:pStyle w:val="YEL"/>
              <w:rPr>
                <w:lang w:val="tr-TR"/>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961B3" w:rsidRPr="00A23740" w:rsidRDefault="004961B3" w:rsidP="009431FF">
            <w:pPr>
              <w:tabs>
                <w:tab w:val="left" w:pos="567"/>
              </w:tabs>
              <w:ind w:firstLine="709"/>
              <w:rPr>
                <w:b/>
              </w:rPr>
            </w:pPr>
          </w:p>
          <w:p w:rsidR="00F32E7F" w:rsidRPr="00A23740" w:rsidRDefault="0025055D" w:rsidP="009431FF">
            <w:pPr>
              <w:tabs>
                <w:tab w:val="left" w:pos="567"/>
              </w:tabs>
              <w:ind w:firstLine="709"/>
              <w:rPr>
                <w:b/>
                <w:szCs w:val="24"/>
              </w:rPr>
            </w:pPr>
            <w:r w:rsidRPr="00A23740">
              <w:rPr>
                <w:b/>
              </w:rPr>
              <w:t>MADDE 290</w:t>
            </w:r>
            <w:r w:rsidR="003D1FDC" w:rsidRPr="00A23740">
              <w:rPr>
                <w:b/>
              </w:rPr>
              <w:t>-</w:t>
            </w:r>
            <w:r w:rsidR="003D1FDC" w:rsidRPr="00A23740">
              <w:t xml:space="preserve"> Maddeyle, iflası</w:t>
            </w:r>
            <w:r w:rsidR="004961B3" w:rsidRPr="00A23740">
              <w:t>n kaldırılması</w:t>
            </w:r>
            <w:r w:rsidR="003D1FDC" w:rsidRPr="00A23740">
              <w:t xml:space="preserve"> şartlarına</w:t>
            </w:r>
            <w:r w:rsidR="003D1FDC" w:rsidRPr="00A23740">
              <w:rPr>
                <w:szCs w:val="24"/>
              </w:rPr>
              <w:t xml:space="preserve"> ilişkin hususlar düzenlenmektedir. Hüküm, 2004 sayılı Kanunun 182 nci maddesine karşılık gelmektedir.</w:t>
            </w:r>
            <w:r w:rsidR="003D1FDC" w:rsidRPr="00A23740">
              <w:rPr>
                <w:b/>
                <w:szCs w:val="24"/>
              </w:rPr>
              <w:t xml:space="preserve"> </w:t>
            </w:r>
          </w:p>
          <w:p w:rsidR="00F32E7F" w:rsidRPr="00A23740" w:rsidRDefault="00F32E7F" w:rsidP="009431FF">
            <w:pPr>
              <w:ind w:firstLine="709"/>
            </w:pPr>
            <w:r w:rsidRPr="00A23740">
              <w:t>İflasın etkilerini ortadan kaldırmak isteyen müflisin başvurabileceği yollardan birisi olan iflasın kaldırılması kurumun</w:t>
            </w:r>
            <w:r w:rsidR="00077916" w:rsidRPr="00A23740">
              <w:t>un</w:t>
            </w:r>
            <w:r w:rsidRPr="00A23740">
              <w:t xml:space="preserve"> ilk koşulu alacaklılardan her birinin alacak kayıt talebini geri aldığına ilişkin yazılı beyanı</w:t>
            </w:r>
            <w:r w:rsidR="00D257E7" w:rsidRPr="00A23740">
              <w:t>nın</w:t>
            </w:r>
            <w:r w:rsidRPr="00A23740">
              <w:t xml:space="preserve"> sunmasıdır. Hemen belirtmek gerekir ki, maddede bahsi geçen koşulların kümülatif olarak gerçekleşmesi aranmayacaktır. Hatta bir kısım alacaklılar bakımından ödeme</w:t>
            </w:r>
            <w:r w:rsidR="00077916" w:rsidRPr="000C46FB">
              <w:rPr>
                <w:rStyle w:val="YELChar"/>
                <w:b w:val="0"/>
                <w:color w:val="auto"/>
              </w:rPr>
              <w:t>,</w:t>
            </w:r>
            <w:r w:rsidRPr="000C46FB">
              <w:t xml:space="preserve"> </w:t>
            </w:r>
            <w:r w:rsidRPr="00A23740">
              <w:t>bir kısım alacaklılar bakımında</w:t>
            </w:r>
            <w:r w:rsidR="00D257E7" w:rsidRPr="00A23740">
              <w:t>n</w:t>
            </w:r>
            <w:r w:rsidRPr="00A23740">
              <w:t xml:space="preserve"> </w:t>
            </w:r>
            <w:r w:rsidR="00D257E7" w:rsidRPr="00A23740">
              <w:t xml:space="preserve">ise </w:t>
            </w:r>
            <w:r w:rsidRPr="00A23740">
              <w:t>alacak kayıt talebinin geri alınması mümkün olabilir.</w:t>
            </w:r>
            <w:r w:rsidRPr="00A23740">
              <w:rPr>
                <w:rStyle w:val="YELChar"/>
              </w:rPr>
              <w:t xml:space="preserve"> </w:t>
            </w:r>
            <w:r w:rsidR="00166D72" w:rsidRPr="00D60C1D">
              <w:rPr>
                <w:rStyle w:val="YELChar"/>
                <w:b w:val="0"/>
                <w:color w:val="000000"/>
              </w:rPr>
              <w:t>İtfanın ödeme suretiyle vuku bulması h</w:t>
            </w:r>
            <w:r w:rsidR="009D574E" w:rsidRPr="00D60C1D">
              <w:rPr>
                <w:rStyle w:val="YELChar"/>
                <w:b w:val="0"/>
                <w:color w:val="000000"/>
              </w:rPr>
              <w:t>â</w:t>
            </w:r>
            <w:r w:rsidR="00166D72" w:rsidRPr="00D60C1D">
              <w:rPr>
                <w:rStyle w:val="YELChar"/>
                <w:b w:val="0"/>
                <w:color w:val="000000"/>
              </w:rPr>
              <w:t>linde, anaparaya işletilecek faiz oranı bakımından 306 ncı</w:t>
            </w:r>
            <w:r w:rsidR="003B77F2" w:rsidRPr="00A23740">
              <w:rPr>
                <w:rStyle w:val="YELChar"/>
              </w:rPr>
              <w:t xml:space="preserve"> </w:t>
            </w:r>
            <w:r w:rsidR="00166D72" w:rsidRPr="00D60C1D">
              <w:rPr>
                <w:rStyle w:val="YELChar"/>
                <w:b w:val="0"/>
                <w:color w:val="000000"/>
              </w:rPr>
              <w:t>madde</w:t>
            </w:r>
            <w:r w:rsidR="00166D72" w:rsidRPr="00A23740">
              <w:rPr>
                <w:rStyle w:val="YELChar"/>
              </w:rPr>
              <w:t xml:space="preserve"> </w:t>
            </w:r>
            <w:r w:rsidR="00166D72" w:rsidRPr="00D60C1D">
              <w:rPr>
                <w:rStyle w:val="YELChar"/>
                <w:b w:val="0"/>
                <w:color w:val="000000"/>
              </w:rPr>
              <w:t>uygulanır.</w:t>
            </w:r>
            <w:r w:rsidR="00166D72" w:rsidRPr="00A23740">
              <w:rPr>
                <w:rStyle w:val="YELChar"/>
              </w:rPr>
              <w:t xml:space="preserve"> </w:t>
            </w:r>
            <w:r w:rsidRPr="00A23740">
              <w:t>Elbette ilk fıkrada bahsedilen alacaklılar, sıra cetveline alacaklarını kaydettirenlerdir. Bu alacaklılar imzalayacakları yazılı belge</w:t>
            </w:r>
            <w:r w:rsidR="00D257E7" w:rsidRPr="00A23740">
              <w:t>yle</w:t>
            </w:r>
            <w:r w:rsidRPr="00A23740">
              <w:t xml:space="preserve"> kayıt taleplerini geri aldıklarını müflise bildireceklerdir. Alacaklıların kayıt taleplerini geri almaları alacak haklarından vazgeçtikleri anlamına gelmeyecektir. Alacaklıların en erken alacak bildiriminin yapılmasından sonra bu türden bir geri alma talebinde bulunmaları mümkündür. Alacağını geç bildiren alacaklılar da dikkate alınacak ve onlardan da kayıt taleplerini geri almaları beklenecektir. Sıra cetvelinde yer almaları sıra cetveline itiraz davaları sonucunda kesin olarak reddedilen alacaklıların </w:t>
            </w:r>
            <w:r w:rsidR="00D257E7" w:rsidRPr="00A23740">
              <w:t xml:space="preserve">ise </w:t>
            </w:r>
            <w:r w:rsidRPr="00A23740">
              <w:t xml:space="preserve">bu kapsamda değerlendirilebilmesi mümkün değildir. Alacaklıların taleplerini geri alması koşulsuz </w:t>
            </w:r>
            <w:r w:rsidR="00D257E7" w:rsidRPr="00A23740">
              <w:t xml:space="preserve">olacak şekilde </w:t>
            </w:r>
            <w:r w:rsidRPr="00A23740">
              <w:t>gerçekleşmelidir. İflasın kaldırılmasın</w:t>
            </w:r>
            <w:r w:rsidR="00D257E7" w:rsidRPr="00A23740">
              <w:t xml:space="preserve">a imkan veren </w:t>
            </w:r>
            <w:r w:rsidRPr="00A23740">
              <w:t xml:space="preserve">bir diğer </w:t>
            </w:r>
            <w:r w:rsidR="00D257E7" w:rsidRPr="00A23740">
              <w:t xml:space="preserve">imkan </w:t>
            </w:r>
            <w:r w:rsidRPr="00A23740">
              <w:t>ise</w:t>
            </w:r>
            <w:r w:rsidR="00D257E7" w:rsidRPr="00A23740">
              <w:t>,</w:t>
            </w:r>
            <w:r w:rsidRPr="00A23740">
              <w:t xml:space="preserve"> konkordatonun tasdik edilmiş olmasıdır. İlk derece mahkemesince konkordatonun tasdik edilmiş olması iflasın kaldırılması için yeterli olmayıp</w:t>
            </w:r>
            <w:r w:rsidR="00D257E7" w:rsidRPr="00A23740">
              <w:t>,</w:t>
            </w:r>
            <w:r w:rsidRPr="00A23740">
              <w:t xml:space="preserve"> ayrıca tasdik kararının kesinleşmesin</w:t>
            </w:r>
            <w:r w:rsidR="003D1FDC" w:rsidRPr="00A23740">
              <w:t xml:space="preserve">in de beklenmesi gerekecektir. </w:t>
            </w:r>
          </w:p>
          <w:p w:rsidR="00F32E7F" w:rsidRPr="00A23740" w:rsidRDefault="00F32E7F" w:rsidP="009431FF">
            <w:pPr>
              <w:ind w:firstLine="709"/>
            </w:pPr>
            <w:r w:rsidRPr="00A23740">
              <w:t>Maddenin ikinci fıkrasında iflasın kaldırılmasının kimin tarafından isteneceği açıklığa kavuşturulmuştur. Buna göre itfa ve alacak kayıt talebinin geri alınması sebebiyle iflasın kaldırılması borçlu tarafından, konkordatonun tasdiki sebebiyle iflasın kaldırılması talebi ise iflas idaresi tarafından yapılacaktır. Alacaklıların bu konuda bir yetkileri bulunmamaktadır. Konkordatonun tasdiki kararının kesinleşmesi iflas idaresine bildirilecek ve bu bildirim üzerine idare</w:t>
            </w:r>
            <w:r w:rsidR="00D257E7" w:rsidRPr="00A23740">
              <w:t>,</w:t>
            </w:r>
            <w:r w:rsidRPr="00A23740">
              <w:t xml:space="preserve"> iflas kararını veren mahkemeye başvurarak iflasın k</w:t>
            </w:r>
            <w:r w:rsidR="003D1FDC" w:rsidRPr="00A23740">
              <w:t xml:space="preserve">aldırılmasını talep edecektir. </w:t>
            </w:r>
          </w:p>
          <w:p w:rsidR="00F32E7F" w:rsidRPr="00A23740" w:rsidRDefault="00F32E7F" w:rsidP="009431FF">
            <w:pPr>
              <w:ind w:firstLine="709"/>
            </w:pPr>
            <w:r w:rsidRPr="00A23740">
              <w:t>Maddenin son fıkrasında da iflasın kaldırılmasının talep edileceği zaman aralığı hükme bağlanmıştır. Buna göre, iflasın kaldırılması talebi en erken alacak kayıtlarının iflas masasına bildirilmesine ilişkin sürenin sona ermesinden itibaren</w:t>
            </w:r>
            <w:r w:rsidR="00D257E7" w:rsidRPr="00A23740">
              <w:t>yapılabilecek</w:t>
            </w:r>
            <w:r w:rsidRPr="00A23740">
              <w:t xml:space="preserve">, iflasın kapanmasına kadar iflasın kaldırılması talep edilebilecektir. </w:t>
            </w:r>
          </w:p>
          <w:p w:rsidR="00CE27BE" w:rsidRPr="00A23740" w:rsidRDefault="00CE27BE" w:rsidP="00DE5024">
            <w:pPr>
              <w:ind w:firstLine="709"/>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rStyle w:val="KIRMIZIChar"/>
                <w:rFonts w:eastAsia="Calibri"/>
              </w:rPr>
            </w:pPr>
          </w:p>
        </w:tc>
        <w:tc>
          <w:tcPr>
            <w:tcW w:w="2500" w:type="pct"/>
          </w:tcPr>
          <w:p w:rsidR="00AA5C8C" w:rsidRPr="00A23740" w:rsidRDefault="00AA5C8C" w:rsidP="009431FF">
            <w:pPr>
              <w:pStyle w:val="Mavi"/>
            </w:pPr>
            <w:r w:rsidRPr="00A23740">
              <w:t>Usul</w:t>
            </w:r>
          </w:p>
          <w:p w:rsidR="00AA5C8C" w:rsidRPr="00A23740" w:rsidRDefault="0025055D" w:rsidP="009431FF">
            <w:pPr>
              <w:pStyle w:val="Mavi"/>
            </w:pPr>
            <w:r w:rsidRPr="00A23740">
              <w:rPr>
                <w:rStyle w:val="YELChar"/>
                <w:rFonts w:eastAsia="Calibri"/>
                <w:b/>
                <w:color w:val="0000FF"/>
                <w:lang w:eastAsia="x-none"/>
              </w:rPr>
              <w:t>MADDE 291</w:t>
            </w:r>
            <w:r w:rsidR="00AA5C8C" w:rsidRPr="00A23740">
              <w:rPr>
                <w:rStyle w:val="YELChar"/>
                <w:rFonts w:eastAsia="Calibri"/>
                <w:b/>
                <w:color w:val="0000FF"/>
                <w:lang w:eastAsia="x-none"/>
              </w:rPr>
              <w:t>- (1)</w:t>
            </w:r>
            <w:r w:rsidR="00AA5C8C" w:rsidRPr="00A23740">
              <w:t xml:space="preserve"> İflasın kaldırılması talebi</w:t>
            </w:r>
            <w:r w:rsidR="00AA5C8C" w:rsidRPr="00A23740">
              <w:rPr>
                <w:lang w:val="tr-TR"/>
              </w:rPr>
              <w:t>,</w:t>
            </w:r>
            <w:r w:rsidR="00AA5C8C" w:rsidRPr="00A23740">
              <w:t xml:space="preserve"> basit yargılama usulüne göre incelenir. Mahkeme</w:t>
            </w:r>
            <w:r w:rsidR="00AA5C8C" w:rsidRPr="00A23740">
              <w:rPr>
                <w:lang w:val="tr-TR"/>
              </w:rPr>
              <w:t>,</w:t>
            </w:r>
            <w:r w:rsidR="00AA5C8C" w:rsidRPr="00A23740">
              <w:t xml:space="preserve"> gerekli görürse alacaklıları ve iflas idaresini dinler.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(2) İflasın kaldırılması talebi üzerine tasfiye işlemlerine devam edilip edilmeyeceğine mevcut delil durumuna göre </w:t>
            </w:r>
            <w:r w:rsidRPr="00A23740">
              <w:rPr>
                <w:rStyle w:val="MaviChar"/>
              </w:rPr>
              <w:t>mahkemece</w:t>
            </w:r>
            <w:r w:rsidRPr="00A23740">
              <w:rPr>
                <w:b/>
                <w:color w:val="0000FF"/>
                <w:szCs w:val="24"/>
              </w:rPr>
              <w:t xml:space="preserve"> karar verilir.</w:t>
            </w:r>
          </w:p>
          <w:p w:rsidR="00AA5C8C" w:rsidRPr="00A23740" w:rsidRDefault="00AA5C8C" w:rsidP="009431FF">
            <w:pPr>
              <w:tabs>
                <w:tab w:val="left" w:pos="567"/>
              </w:tabs>
              <w:rPr>
                <w:b/>
                <w:color w:val="0000FF"/>
                <w:szCs w:val="24"/>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961B3" w:rsidRPr="00A23740" w:rsidRDefault="004961B3" w:rsidP="009431FF">
            <w:pPr>
              <w:tabs>
                <w:tab w:val="left" w:pos="567"/>
              </w:tabs>
              <w:ind w:firstLine="709"/>
              <w:rPr>
                <w:b/>
              </w:rPr>
            </w:pPr>
          </w:p>
          <w:p w:rsidR="00F32E7F" w:rsidRPr="00A23740" w:rsidRDefault="0025055D" w:rsidP="009431FF">
            <w:pPr>
              <w:tabs>
                <w:tab w:val="left" w:pos="567"/>
              </w:tabs>
              <w:ind w:firstLine="709"/>
              <w:rPr>
                <w:b/>
                <w:szCs w:val="24"/>
              </w:rPr>
            </w:pPr>
            <w:r w:rsidRPr="00A23740">
              <w:rPr>
                <w:b/>
              </w:rPr>
              <w:t>MADDE 291</w:t>
            </w:r>
            <w:r w:rsidR="004961B3" w:rsidRPr="00A23740">
              <w:rPr>
                <w:b/>
              </w:rPr>
              <w:t>-</w:t>
            </w:r>
            <w:r w:rsidR="004961B3" w:rsidRPr="00A23740">
              <w:t xml:space="preserve"> Maddeyle, iflasın kaldırılmasının usulüne </w:t>
            </w:r>
            <w:r w:rsidR="004961B3" w:rsidRPr="00A23740">
              <w:rPr>
                <w:szCs w:val="24"/>
              </w:rPr>
              <w:t xml:space="preserve">ilişkin hususlar düzenlenmektedir. </w:t>
            </w:r>
          </w:p>
          <w:p w:rsidR="00F32E7F" w:rsidRPr="00A23740" w:rsidRDefault="00F32E7F" w:rsidP="009431FF">
            <w:pPr>
              <w:ind w:firstLine="709"/>
            </w:pPr>
            <w:r w:rsidRPr="00A23740">
              <w:t>İflasın kald</w:t>
            </w:r>
            <w:r w:rsidR="000E6645" w:rsidRPr="00A23740">
              <w:t xml:space="preserve">ırılması usulünü düzenleyen </w:t>
            </w:r>
            <w:r w:rsidR="00C07F26" w:rsidRPr="00D60C1D">
              <w:rPr>
                <w:rStyle w:val="KonuBalChar"/>
                <w:rFonts w:eastAsia="Calibri"/>
                <w:b w:val="0"/>
                <w:color w:val="000000"/>
              </w:rPr>
              <w:t>bu</w:t>
            </w:r>
            <w:r w:rsidR="00C07F26" w:rsidRPr="00A23740">
              <w:t xml:space="preserve"> </w:t>
            </w:r>
            <w:r w:rsidRPr="00A23740">
              <w:t>maddenin ilk fıkrasında iflasın kaldırılması talebini inceleyecek mahkemenin basit yargılama usulünü uygulayacağı ve gerekirse alacaklıları ve iflas idaresini dinleyebileceği açıklığa kavuşturulmuştur. Mahkeme, herhangi bir talep olmadan resen de alacaklıları ve ifla</w:t>
            </w:r>
            <w:r w:rsidR="004961B3" w:rsidRPr="00A23740">
              <w:t>s idaresini dinleyebil</w:t>
            </w:r>
            <w:r w:rsidR="00D257E7" w:rsidRPr="00A23740">
              <w:t>ir</w:t>
            </w:r>
            <w:r w:rsidR="004961B3" w:rsidRPr="00A23740">
              <w:t xml:space="preserve">. </w:t>
            </w:r>
          </w:p>
          <w:p w:rsidR="004961B3" w:rsidRPr="00A23740" w:rsidRDefault="00F32E7F" w:rsidP="009431FF">
            <w:pPr>
              <w:ind w:firstLine="709"/>
            </w:pPr>
            <w:r w:rsidRPr="00A23740">
              <w:t>Maddenin ikinci fıkrası gereğince iflasın kaldırılması talebine rağmen tasfiye işlemlerinin devamına mahkemece karar verilebilecektir. İflasın kaldırılması talebini ilk etapta değerlendiren ve iflasın kaldırılması için gerekli koşulların oluşmadığını düşünen mahkeme tasfiye işlemlerinin devamına karar verebilecektir. Alacaklılar da iflasın kaldırılmasının talep edildiği mahkemeden tasfiyenin devamına karar vermesini talep edebileceklerdir.</w:t>
            </w:r>
          </w:p>
          <w:p w:rsidR="00F32E7F" w:rsidRPr="00A23740" w:rsidRDefault="00F32E7F" w:rsidP="00DE5024">
            <w:pPr>
              <w:ind w:firstLine="709"/>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b/>
                <w:bCs/>
                <w:strike/>
                <w:color w:val="FF0000"/>
                <w:szCs w:val="24"/>
              </w:rPr>
            </w:pPr>
            <w:r w:rsidRPr="00A23740">
              <w:rPr>
                <w:b/>
                <w:bCs/>
                <w:strike/>
                <w:color w:val="FF0000"/>
                <w:szCs w:val="24"/>
              </w:rPr>
              <w:t>İflasın kaldırılması:</w:t>
            </w:r>
          </w:p>
          <w:p w:rsidR="00AA5C8C" w:rsidRPr="00A23740" w:rsidRDefault="00AA5C8C" w:rsidP="009431FF">
            <w:pPr>
              <w:widowControl w:val="0"/>
              <w:tabs>
                <w:tab w:val="left" w:pos="567"/>
              </w:tabs>
              <w:rPr>
                <w:b/>
                <w:bCs/>
                <w:strike/>
                <w:color w:val="FF0000"/>
                <w:szCs w:val="24"/>
              </w:rPr>
            </w:pPr>
            <w:r w:rsidRPr="00A23740">
              <w:rPr>
                <w:rStyle w:val="KIRMIZIChar"/>
                <w:rFonts w:eastAsia="Calibri"/>
              </w:rPr>
              <w:t>Madde 182 – …</w:t>
            </w:r>
          </w:p>
          <w:p w:rsidR="00AA5C8C" w:rsidRPr="00A23740" w:rsidRDefault="00AA5C8C" w:rsidP="009431FF">
            <w:pPr>
              <w:widowControl w:val="0"/>
              <w:tabs>
                <w:tab w:val="left" w:pos="567"/>
              </w:tabs>
              <w:rPr>
                <w:b/>
                <w:bCs/>
                <w:strike/>
                <w:color w:val="FF0000"/>
                <w:szCs w:val="24"/>
              </w:rPr>
            </w:pPr>
            <w:r w:rsidRPr="00A23740">
              <w:rPr>
                <w:b/>
                <w:bCs/>
                <w:strike/>
                <w:color w:val="FF0000"/>
                <w:szCs w:val="24"/>
              </w:rPr>
              <w:t xml:space="preserve">(2) (Değişik ikinci fıkra: 2/3/2005-5311/14 md.) İflâsın kaldırılmasına, alacak hakkındaki taleplerin kaydı için muayyen müddetin bitmesinden iflâsın kapanmasına kadar karar verilir. </w:t>
            </w:r>
            <w:r w:rsidRPr="00A23740">
              <w:t>İflâsın kaldırılması</w:t>
            </w:r>
            <w:r w:rsidRPr="00A23740">
              <w:rPr>
                <w:b/>
                <w:bCs/>
                <w:strike/>
                <w:color w:val="FF0000"/>
                <w:szCs w:val="24"/>
              </w:rPr>
              <w:t xml:space="preserve"> hakkında verilen hükme karşı </w:t>
            </w:r>
            <w:r w:rsidRPr="00A23740">
              <w:t>tebliğ tarihinden</w:t>
            </w:r>
            <w:r w:rsidRPr="00A23740">
              <w:rPr>
                <w:b/>
                <w:bCs/>
                <w:strike/>
                <w:color w:val="FF0000"/>
                <w:szCs w:val="24"/>
              </w:rPr>
              <w:t xml:space="preserve"> itibaren </w:t>
            </w:r>
            <w:r w:rsidR="00DF484B" w:rsidRPr="00A23740">
              <w:t>iki hafta</w:t>
            </w:r>
            <w:r w:rsidRPr="00A23740">
              <w:rPr>
                <w:b/>
                <w:bCs/>
                <w:strike/>
                <w:color w:val="FF0000"/>
                <w:szCs w:val="24"/>
              </w:rPr>
              <w:t xml:space="preserve"> içinde </w:t>
            </w:r>
            <w:r w:rsidRPr="00A23740">
              <w:t xml:space="preserve">istinaf yoluna başvurulabilir. Bölge adliye mahkemesi kararına karşı tebliğ tarihinden itibaren </w:t>
            </w:r>
            <w:r w:rsidR="00DF484B" w:rsidRPr="00A23740">
              <w:t>iki hafta</w:t>
            </w:r>
            <w:r w:rsidRPr="00A23740">
              <w:t xml:space="preserve"> içinde temyiz yoluna başvurulabilir.</w:t>
            </w:r>
            <w:r w:rsidRPr="00A23740">
              <w:rPr>
                <w:b/>
                <w:bCs/>
                <w:color w:val="FF0000"/>
                <w:szCs w:val="24"/>
              </w:rPr>
              <w:t xml:space="preserve"> </w:t>
            </w:r>
            <w:r w:rsidRPr="00A23740">
              <w:rPr>
                <w:b/>
                <w:bCs/>
                <w:strike/>
                <w:color w:val="FF0000"/>
                <w:szCs w:val="24"/>
              </w:rPr>
              <w:t>İstinaf ve temyiz incelemeleri, Hukuk Usulü Muhakemeleri Kanunu hükümlerine göre yapılır.</w:t>
            </w:r>
          </w:p>
          <w:p w:rsidR="00AA5C8C" w:rsidRPr="00A23740" w:rsidRDefault="00AA5C8C" w:rsidP="009431FF">
            <w:pPr>
              <w:widowControl w:val="0"/>
              <w:tabs>
                <w:tab w:val="left" w:pos="567"/>
              </w:tabs>
              <w:rPr>
                <w:b/>
                <w:bCs/>
                <w:strike/>
                <w:color w:val="FF0000"/>
                <w:szCs w:val="24"/>
              </w:rPr>
            </w:pPr>
          </w:p>
          <w:p w:rsidR="00AA5C8C" w:rsidRPr="00A23740" w:rsidRDefault="00AA5C8C" w:rsidP="009431FF">
            <w:pPr>
              <w:widowControl w:val="0"/>
              <w:tabs>
                <w:tab w:val="left" w:pos="567"/>
              </w:tabs>
              <w:rPr>
                <w:b/>
                <w:bCs/>
                <w:strike/>
                <w:color w:val="FF0000"/>
                <w:szCs w:val="24"/>
              </w:rPr>
            </w:pPr>
            <w:r w:rsidRPr="00A23740">
              <w:rPr>
                <w:b/>
                <w:bCs/>
                <w:strike/>
                <w:color w:val="FF0000"/>
                <w:szCs w:val="24"/>
              </w:rPr>
              <w:t>(3) İflasın kaldırıldığı ilan olunur.</w:t>
            </w:r>
          </w:p>
          <w:p w:rsidR="00AA5C8C" w:rsidRPr="00A23740" w:rsidRDefault="00AA5C8C" w:rsidP="009431FF">
            <w:pPr>
              <w:widowControl w:val="0"/>
              <w:tabs>
                <w:tab w:val="left" w:pos="567"/>
              </w:tabs>
              <w:rPr>
                <w:rStyle w:val="KIRMIZIChar"/>
                <w:rFonts w:eastAsia="Calibri"/>
              </w:rPr>
            </w:pPr>
          </w:p>
        </w:tc>
        <w:tc>
          <w:tcPr>
            <w:tcW w:w="2500" w:type="pct"/>
          </w:tcPr>
          <w:p w:rsidR="00AA5C8C" w:rsidRPr="00A23740" w:rsidRDefault="00AA5C8C" w:rsidP="009431FF">
            <w:pPr>
              <w:pStyle w:val="Mavi"/>
              <w:widowControl w:val="0"/>
            </w:pPr>
            <w:r w:rsidRPr="00A23740">
              <w:t>Sonuçları</w:t>
            </w:r>
          </w:p>
          <w:p w:rsidR="00AA5C8C" w:rsidRPr="00A23740" w:rsidRDefault="0025055D" w:rsidP="009431FF">
            <w:pPr>
              <w:pStyle w:val="Mavi"/>
              <w:widowControl w:val="0"/>
              <w:rPr>
                <w:b w:val="0"/>
                <w:bCs w:val="0"/>
                <w:color w:val="auto"/>
                <w:szCs w:val="22"/>
                <w:lang w:val="tr-TR" w:eastAsia="en-US"/>
              </w:rPr>
            </w:pPr>
            <w:r w:rsidRPr="00A23740">
              <w:rPr>
                <w:rStyle w:val="YELChar"/>
                <w:rFonts w:eastAsia="Calibri"/>
                <w:b/>
                <w:color w:val="0000FF"/>
                <w:lang w:eastAsia="x-none"/>
              </w:rPr>
              <w:t>MADDE 292</w:t>
            </w:r>
            <w:r w:rsidR="00AA5C8C" w:rsidRPr="00A23740">
              <w:rPr>
                <w:rStyle w:val="YELChar"/>
                <w:rFonts w:eastAsia="Calibri"/>
                <w:b/>
                <w:color w:val="0000FF"/>
                <w:lang w:eastAsia="x-none"/>
              </w:rPr>
              <w:t>- (1)</w:t>
            </w:r>
            <w:r w:rsidR="00AA5C8C" w:rsidRPr="00A23740">
              <w:t xml:space="preserve"> </w:t>
            </w:r>
            <w:r w:rsidR="00AA5C8C" w:rsidRPr="00A23740">
              <w:rPr>
                <w:b w:val="0"/>
                <w:bCs w:val="0"/>
                <w:color w:val="auto"/>
                <w:szCs w:val="22"/>
                <w:lang w:val="tr-TR" w:eastAsia="en-US"/>
              </w:rPr>
              <w:t>İflasın kaldırılması</w:t>
            </w:r>
            <w:r w:rsidR="00AA5C8C" w:rsidRPr="00A23740">
              <w:t xml:space="preserve"> </w:t>
            </w:r>
            <w:r w:rsidR="00714D45" w:rsidRPr="00E5316E">
              <w:t>kararıyla</w:t>
            </w:r>
            <w:r w:rsidR="00AA5C8C" w:rsidRPr="00A23740">
              <w:t xml:space="preserve"> tasfiye işlemleri durur. Karar,</w:t>
            </w:r>
            <w:r w:rsidR="00117DB1" w:rsidRPr="00A23740">
              <w:rPr>
                <w:lang w:val="tr-TR"/>
              </w:rPr>
              <w:t xml:space="preserve"> </w:t>
            </w:r>
            <w:r w:rsidR="00117DB1" w:rsidRPr="00E5316E">
              <w:t>283 üncü</w:t>
            </w:r>
            <w:r w:rsidR="00AA5C8C" w:rsidRPr="00A23740">
              <w:t xml:space="preserve"> maddenin ikinci fıkrasında öngörülen usule göre ilan edilir. Talep eden</w:t>
            </w:r>
            <w:r w:rsidR="000E6645" w:rsidRPr="00E5316E">
              <w:rPr>
                <w:rStyle w:val="Balk1Char"/>
                <w:rFonts w:eastAsia="ヒラギノ明朝 Pro W3"/>
              </w:rPr>
              <w:t>,</w:t>
            </w:r>
            <w:r w:rsidR="00AA5C8C" w:rsidRPr="00A23740">
              <w:rPr>
                <w:lang w:val="tr-TR"/>
              </w:rPr>
              <w:t xml:space="preserve"> </w:t>
            </w:r>
            <w:r w:rsidR="00AA5C8C" w:rsidRPr="00A23740">
              <w:t xml:space="preserve">kararın </w:t>
            </w:r>
            <w:r w:rsidR="00AA5C8C" w:rsidRPr="00A23740">
              <w:rPr>
                <w:b w:val="0"/>
                <w:bCs w:val="0"/>
                <w:color w:val="auto"/>
                <w:szCs w:val="22"/>
                <w:lang w:val="tr-TR" w:eastAsia="en-US"/>
              </w:rPr>
              <w:t>tebliğ</w:t>
            </w:r>
            <w:r w:rsidR="00AA5C8C" w:rsidRPr="00A23740">
              <w:t>i</w:t>
            </w:r>
            <w:r w:rsidR="00AA5C8C" w:rsidRPr="00A23740">
              <w:rPr>
                <w:b w:val="0"/>
                <w:bCs w:val="0"/>
                <w:color w:val="auto"/>
                <w:szCs w:val="22"/>
                <w:lang w:val="tr-TR" w:eastAsia="en-US"/>
              </w:rPr>
              <w:t xml:space="preserve"> tarihinden</w:t>
            </w:r>
            <w:r w:rsidR="00AA5C8C" w:rsidRPr="00A23740">
              <w:t>; ilgililer ise kararın</w:t>
            </w:r>
            <w:r w:rsidR="00AA5C8C" w:rsidRPr="00A23740">
              <w:rPr>
                <w:lang w:val="tr-TR"/>
              </w:rPr>
              <w:t xml:space="preserve"> </w:t>
            </w:r>
            <w:r w:rsidR="00AA5C8C" w:rsidRPr="00A23740">
              <w:t xml:space="preserve">ilanı tarihinden itibaren </w:t>
            </w:r>
            <w:r w:rsidR="00AA5C8C" w:rsidRPr="00A23740">
              <w:rPr>
                <w:b w:val="0"/>
                <w:bCs w:val="0"/>
                <w:color w:val="auto"/>
                <w:szCs w:val="22"/>
                <w:lang w:val="tr-TR" w:eastAsia="en-US"/>
              </w:rPr>
              <w:t>iki hafta</w:t>
            </w:r>
            <w:r w:rsidR="00AA5C8C" w:rsidRPr="00A23740">
              <w:t xml:space="preserve"> içinde karara karşı </w:t>
            </w:r>
            <w:r w:rsidR="00AA5C8C" w:rsidRPr="00A23740">
              <w:rPr>
                <w:b w:val="0"/>
                <w:bCs w:val="0"/>
                <w:color w:val="auto"/>
                <w:szCs w:val="22"/>
                <w:lang w:val="tr-TR" w:eastAsia="en-US"/>
              </w:rPr>
              <w:t>istinaf yoluna başvurabilir</w:t>
            </w:r>
            <w:r w:rsidR="000E6645" w:rsidRPr="00E5316E">
              <w:t>ler</w:t>
            </w:r>
            <w:r w:rsidR="00AA5C8C" w:rsidRPr="00A23740">
              <w:t xml:space="preserve">. </w:t>
            </w:r>
            <w:r w:rsidR="00AA5C8C" w:rsidRPr="00A23740">
              <w:rPr>
                <w:b w:val="0"/>
                <w:bCs w:val="0"/>
                <w:color w:val="auto"/>
                <w:szCs w:val="22"/>
                <w:lang w:val="tr-TR" w:eastAsia="en-US"/>
              </w:rPr>
              <w:t>Bölge adliye mahkemesi kararına karşı tebliğ tarihinden itibaren</w:t>
            </w:r>
            <w:r w:rsidR="00AA5C8C" w:rsidRPr="00A23740">
              <w:t xml:space="preserve"> </w:t>
            </w:r>
            <w:r w:rsidR="00AA5C8C" w:rsidRPr="00A23740">
              <w:rPr>
                <w:b w:val="0"/>
                <w:bCs w:val="0"/>
                <w:color w:val="auto"/>
                <w:szCs w:val="22"/>
                <w:lang w:val="tr-TR" w:eastAsia="en-US"/>
              </w:rPr>
              <w:t>iki hafta</w:t>
            </w:r>
            <w:r w:rsidR="00AA5C8C" w:rsidRPr="00A23740">
              <w:t xml:space="preserve"> </w:t>
            </w:r>
            <w:r w:rsidR="00AA5C8C" w:rsidRPr="00A23740">
              <w:rPr>
                <w:b w:val="0"/>
                <w:bCs w:val="0"/>
                <w:color w:val="auto"/>
                <w:szCs w:val="22"/>
                <w:lang w:val="tr-TR" w:eastAsia="en-US"/>
              </w:rPr>
              <w:t>içinde</w:t>
            </w:r>
            <w:r w:rsidR="00AA5C8C" w:rsidRPr="00A23740">
              <w:t xml:space="preserve"> </w:t>
            </w:r>
            <w:r w:rsidR="00AA5C8C" w:rsidRPr="00A23740">
              <w:rPr>
                <w:b w:val="0"/>
                <w:bCs w:val="0"/>
                <w:color w:val="auto"/>
                <w:szCs w:val="22"/>
                <w:lang w:val="tr-TR" w:eastAsia="en-US"/>
              </w:rPr>
              <w:t>temyiz yoluna başvurulabilir.</w:t>
            </w:r>
          </w:p>
          <w:p w:rsidR="00AA5C8C" w:rsidRPr="00A23740" w:rsidRDefault="00AA5C8C" w:rsidP="009431FF">
            <w:pPr>
              <w:widowControl w:val="0"/>
              <w:tabs>
                <w:tab w:val="left" w:pos="567"/>
              </w:tabs>
              <w:rPr>
                <w:b/>
                <w:color w:val="0000FF"/>
                <w:szCs w:val="24"/>
              </w:rPr>
            </w:pPr>
          </w:p>
          <w:p w:rsidR="00C42DF2" w:rsidRDefault="00C42DF2" w:rsidP="009431FF">
            <w:pPr>
              <w:widowControl w:val="0"/>
              <w:tabs>
                <w:tab w:val="left" w:pos="567"/>
              </w:tabs>
              <w:rPr>
                <w:b/>
                <w:color w:val="0000FF"/>
                <w:szCs w:val="24"/>
              </w:rPr>
            </w:pPr>
          </w:p>
          <w:p w:rsidR="000C46FB" w:rsidRDefault="000C46FB" w:rsidP="009431FF">
            <w:pPr>
              <w:widowControl w:val="0"/>
              <w:tabs>
                <w:tab w:val="left" w:pos="567"/>
              </w:tabs>
              <w:rPr>
                <w:b/>
                <w:color w:val="0000FF"/>
                <w:szCs w:val="24"/>
              </w:rPr>
            </w:pPr>
          </w:p>
          <w:p w:rsidR="000C46FB" w:rsidRPr="00A23740" w:rsidRDefault="000C46FB"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r w:rsidRPr="00A23740">
              <w:rPr>
                <w:rStyle w:val="MaviChar"/>
              </w:rPr>
              <w:t>(2)</w:t>
            </w:r>
            <w:r w:rsidRPr="00A23740">
              <w:rPr>
                <w:b/>
                <w:color w:val="0000FF"/>
                <w:szCs w:val="24"/>
              </w:rPr>
              <w:t xml:space="preserve"> İflasın kaldırılmasına ilişkin kararın kesinleştiği de </w:t>
            </w:r>
            <w:r w:rsidR="00117DB1" w:rsidRPr="00E5316E">
              <w:rPr>
                <w:rStyle w:val="MaviChar"/>
              </w:rPr>
              <w:t>283 üncü</w:t>
            </w:r>
            <w:r w:rsidR="00117DB1" w:rsidRPr="00A23740">
              <w:t xml:space="preserve"> </w:t>
            </w:r>
            <w:r w:rsidRPr="00A23740">
              <w:rPr>
                <w:b/>
                <w:color w:val="0000FF"/>
                <w:szCs w:val="24"/>
              </w:rPr>
              <w:t>maddenin ikinci fıkrasında öngörülen usule göre bildirilir ve ilan edilir.</w:t>
            </w:r>
          </w:p>
          <w:p w:rsidR="00AA5C8C" w:rsidRPr="00A23740" w:rsidRDefault="00AA5C8C" w:rsidP="009431FF">
            <w:pPr>
              <w:pStyle w:val="YEL"/>
              <w:widowControl w:val="0"/>
              <w:rPr>
                <w:lang w:val="tr-TR"/>
              </w:rPr>
            </w:pPr>
          </w:p>
          <w:p w:rsidR="00AA5C8C" w:rsidRPr="00A23740" w:rsidRDefault="00AA5C8C" w:rsidP="009431FF">
            <w:pPr>
              <w:pStyle w:val="Mavi"/>
              <w:widowControl w:val="0"/>
            </w:pPr>
            <w:r w:rsidRPr="00A23740">
              <w:t>(3) İflasın kaldırılması kararının kesinleşmesi üzerine</w:t>
            </w:r>
            <w:r w:rsidR="00714D45" w:rsidRPr="00E5316E">
              <w:t>, borçluya ait olup</w:t>
            </w:r>
            <w:r w:rsidRPr="00A23740">
              <w:t xml:space="preserve"> masaya giren mallar kendisine iade edilir.</w:t>
            </w:r>
          </w:p>
          <w:p w:rsidR="00E807F4" w:rsidRPr="00A23740" w:rsidRDefault="00E807F4" w:rsidP="009431FF">
            <w:pPr>
              <w:pStyle w:val="AltKonuBal"/>
              <w:widowControl w:val="0"/>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62B01" w:rsidRPr="00A23740" w:rsidRDefault="00362B01" w:rsidP="009431FF">
            <w:pPr>
              <w:tabs>
                <w:tab w:val="left" w:pos="567"/>
              </w:tabs>
              <w:ind w:firstLine="709"/>
              <w:rPr>
                <w:b/>
              </w:rPr>
            </w:pPr>
          </w:p>
          <w:p w:rsidR="00D70912" w:rsidRPr="00A23740" w:rsidRDefault="0025055D" w:rsidP="009431FF">
            <w:pPr>
              <w:tabs>
                <w:tab w:val="left" w:pos="567"/>
              </w:tabs>
              <w:ind w:firstLine="709"/>
              <w:rPr>
                <w:b/>
                <w:szCs w:val="24"/>
              </w:rPr>
            </w:pPr>
            <w:r w:rsidRPr="00A23740">
              <w:rPr>
                <w:b/>
              </w:rPr>
              <w:t>MADDE 292</w:t>
            </w:r>
            <w:r w:rsidR="00D70912" w:rsidRPr="00A23740">
              <w:rPr>
                <w:b/>
              </w:rPr>
              <w:t>-</w:t>
            </w:r>
            <w:r w:rsidR="00D70912" w:rsidRPr="00A23740">
              <w:t xml:space="preserve"> Maddeyle, iflasın kaldırılmasının sonuçlarına </w:t>
            </w:r>
            <w:r w:rsidR="00D70912" w:rsidRPr="00A23740">
              <w:rPr>
                <w:szCs w:val="24"/>
              </w:rPr>
              <w:t>ilişkin hususlar düzenlenmektedir. Hüküm, 2004 sayılı Kanunun 182 nci maddesine karşılık gelmektedir.</w:t>
            </w:r>
            <w:r w:rsidR="00D70912" w:rsidRPr="00A23740">
              <w:rPr>
                <w:b/>
                <w:szCs w:val="24"/>
              </w:rPr>
              <w:t xml:space="preserve"> </w:t>
            </w:r>
          </w:p>
          <w:p w:rsidR="00F32E7F" w:rsidRPr="00A23740" w:rsidRDefault="00F32E7F" w:rsidP="009431FF">
            <w:pPr>
              <w:ind w:firstLine="709"/>
            </w:pPr>
            <w:r w:rsidRPr="00A23740">
              <w:t>Mahkemenin iflasın kaldırılmasına yönelik kararı</w:t>
            </w:r>
            <w:r w:rsidR="00D257E7" w:rsidRPr="00A23740">
              <w:t>yla</w:t>
            </w:r>
            <w:r w:rsidRPr="00A23740">
              <w:t xml:space="preserve"> tasfiye işlemleri duracaktır. İflasın kaldırılması, iflasın açılması kadar önemli bir konu olduğundan</w:t>
            </w:r>
            <w:r w:rsidR="00D257E7" w:rsidRPr="00A23740">
              <w:t>,</w:t>
            </w:r>
            <w:r w:rsidRPr="00A23740">
              <w:t xml:space="preserve"> iflasın kaldırılması da </w:t>
            </w:r>
            <w:r w:rsidR="000E6645" w:rsidRPr="00D60C1D">
              <w:rPr>
                <w:rStyle w:val="YELChar"/>
                <w:b w:val="0"/>
                <w:color w:val="000000"/>
              </w:rPr>
              <w:t xml:space="preserve">Taslağın </w:t>
            </w:r>
            <w:r w:rsidR="0092018B" w:rsidRPr="00D60C1D">
              <w:rPr>
                <w:rStyle w:val="YELChar"/>
                <w:b w:val="0"/>
                <w:color w:val="000000"/>
              </w:rPr>
              <w:t>283 üncü</w:t>
            </w:r>
            <w:r w:rsidR="00DB2D8D" w:rsidRPr="00A23740">
              <w:rPr>
                <w:rStyle w:val="YELChar"/>
              </w:rPr>
              <w:t xml:space="preserve"> </w:t>
            </w:r>
            <w:r w:rsidR="000E6645" w:rsidRPr="00D60C1D">
              <w:rPr>
                <w:rStyle w:val="YELChar"/>
                <w:b w:val="0"/>
                <w:color w:val="000000"/>
              </w:rPr>
              <w:t>maddesine</w:t>
            </w:r>
            <w:r w:rsidR="000E6645" w:rsidRPr="00A23740">
              <w:rPr>
                <w:rStyle w:val="YELChar"/>
              </w:rPr>
              <w:t xml:space="preserve"> </w:t>
            </w:r>
            <w:r w:rsidRPr="00A23740">
              <w:t>göre ilan edilecektir. Bu ilan, borçlunun iflas h</w:t>
            </w:r>
            <w:r w:rsidR="009D574E" w:rsidRPr="00A23740">
              <w:t>â</w:t>
            </w:r>
            <w:r w:rsidRPr="00A23740">
              <w:t>linden kurtulduğunun ilgililere duyurulması fonksiyonuyla birlikte kanun yoluna başvuru süresi açısında</w:t>
            </w:r>
            <w:r w:rsidR="00D257E7" w:rsidRPr="00A23740">
              <w:t>n</w:t>
            </w:r>
            <w:r w:rsidRPr="00A23740">
              <w:t xml:space="preserve"> da önem taşımaktadır. Buna göre</w:t>
            </w:r>
            <w:r w:rsidR="00D257E7" w:rsidRPr="00A23740">
              <w:t>,</w:t>
            </w:r>
            <w:r w:rsidRPr="00A23740">
              <w:t xml:space="preserve"> ilgililer kararın ilanından itibaren iki hafta içinde iflasın kaldırılması kararını istinafa taşıyabileceklerdir. İflasın kaldırılmasını talep eden ise</w:t>
            </w:r>
            <w:r w:rsidR="00D257E7" w:rsidRPr="00A23740">
              <w:t>,</w:t>
            </w:r>
            <w:r w:rsidRPr="00A23740">
              <w:t xml:space="preserve"> bu kararın tebliğinden itibaren iki hafta içinde kanun yoluna b</w:t>
            </w:r>
            <w:r w:rsidR="00D70912" w:rsidRPr="00A23740">
              <w:t xml:space="preserve">aşvurabilecektir. </w:t>
            </w:r>
          </w:p>
          <w:p w:rsidR="00F32E7F" w:rsidRPr="00A23740" w:rsidRDefault="00F32E7F" w:rsidP="009431FF">
            <w:pPr>
              <w:ind w:firstLine="709"/>
            </w:pPr>
            <w:r w:rsidRPr="00A23740">
              <w:t xml:space="preserve">Yine </w:t>
            </w:r>
            <w:r w:rsidR="00362B01" w:rsidRPr="00D60C1D">
              <w:rPr>
                <w:rStyle w:val="KonuBalChar"/>
                <w:rFonts w:eastAsia="Calibri"/>
                <w:b w:val="0"/>
                <w:color w:val="000000"/>
              </w:rPr>
              <w:t>birinci</w:t>
            </w:r>
            <w:r w:rsidRPr="00A23740">
              <w:t xml:space="preserve"> fıkrada yapılan düzenlenmenin tamamlayıcısı niteliğindeki ikinci fıkrada da iflasın kaldırılması kararının kesinleşmesi h</w:t>
            </w:r>
            <w:r w:rsidR="009D574E" w:rsidRPr="00A23740">
              <w:t>â</w:t>
            </w:r>
            <w:r w:rsidRPr="00A23740">
              <w:t xml:space="preserve">linde </w:t>
            </w:r>
            <w:r w:rsidR="00DB2D8D" w:rsidRPr="00D60C1D">
              <w:rPr>
                <w:rStyle w:val="KonuBalChar"/>
                <w:rFonts w:eastAsia="Calibri"/>
                <w:b w:val="0"/>
                <w:color w:val="000000"/>
              </w:rPr>
              <w:t>283 üncü</w:t>
            </w:r>
            <w:r w:rsidR="00DB2D8D" w:rsidRPr="00A23740">
              <w:t xml:space="preserve"> </w:t>
            </w:r>
            <w:r w:rsidRPr="00A23740">
              <w:t>madde çerçevesinde ilanların yapılacağı ve bu durumun ilgili yerlere bildir</w:t>
            </w:r>
            <w:r w:rsidR="0092018B" w:rsidRPr="00A23740">
              <w:t>il</w:t>
            </w:r>
            <w:r w:rsidRPr="00A23740">
              <w:t>eceği belirtilmektedir. Bu şekilde iflasın açılmasıyla farklı bir hukuki statüde bulunan borçlunun iflastan önceki ticari hayatına kavuştuğu, malvarlığı üzerinde tasarruf yetkisinin tekrar elde ettiği t</w:t>
            </w:r>
            <w:r w:rsidR="00D70912" w:rsidRPr="00A23740">
              <w:t xml:space="preserve">üm ilgililere duyurulmaktadır. </w:t>
            </w:r>
          </w:p>
          <w:p w:rsidR="00F32E7F" w:rsidRPr="00A23740" w:rsidRDefault="00F32E7F" w:rsidP="00DE5024">
            <w:pPr>
              <w:ind w:firstLine="709"/>
            </w:pPr>
            <w:r w:rsidRPr="00A23740">
              <w:t>Son fıkra gereğince de iflasın kaldırılması kararının kesinleşmesinden sonra masaya giren malların borçluya iade edileceği açıklığa kavuşturulmuştur. Bu şekilde borçlu da söz konusu mallar üzerinde yeniden tasarruf yetkisi elde etmiş olacaktır.</w:t>
            </w:r>
          </w:p>
          <w:p w:rsidR="00D70912" w:rsidRPr="00A23740" w:rsidRDefault="00D70912" w:rsidP="00DE5024">
            <w:pPr>
              <w:tabs>
                <w:tab w:val="left" w:pos="567"/>
              </w:tabs>
              <w:ind w:firstLine="709"/>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rStyle w:val="KIRMIZIChar"/>
                <w:rFonts w:eastAsia="Calibri"/>
              </w:rPr>
              <w:t>Reddolunmuş bir miras</w:t>
            </w:r>
            <w:r w:rsidRPr="00A23740">
              <w:rPr>
                <w:szCs w:val="24"/>
              </w:rPr>
              <w:t xml:space="preserve"> tasfiyesinin durdurulması</w:t>
            </w:r>
            <w:r w:rsidRPr="00A23740">
              <w:rPr>
                <w:b/>
                <w:bCs/>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183 – (1) Bir</w:t>
            </w:r>
            <w:r w:rsidRPr="00A23740">
              <w:rPr>
                <w:szCs w:val="24"/>
              </w:rPr>
              <w:t xml:space="preserve"> tereke </w:t>
            </w:r>
            <w:r w:rsidRPr="00A23740">
              <w:rPr>
                <w:b/>
                <w:bCs/>
                <w:strike/>
                <w:color w:val="FF0000"/>
                <w:szCs w:val="24"/>
              </w:rPr>
              <w:t>180 inci madde mucibince</w:t>
            </w:r>
            <w:r w:rsidRPr="00A23740">
              <w:rPr>
                <w:szCs w:val="24"/>
              </w:rPr>
              <w:t xml:space="preserve"> tasfiye </w:t>
            </w:r>
            <w:r w:rsidRPr="00A23740">
              <w:rPr>
                <w:b/>
                <w:bCs/>
                <w:strike/>
                <w:color w:val="FF0000"/>
                <w:szCs w:val="24"/>
              </w:rPr>
              <w:t>halinde</w:t>
            </w:r>
            <w:r w:rsidRPr="00A23740">
              <w:rPr>
                <w:szCs w:val="24"/>
              </w:rPr>
              <w:t xml:space="preserve"> </w:t>
            </w:r>
            <w:r w:rsidRPr="00A23740">
              <w:rPr>
                <w:b/>
                <w:bCs/>
                <w:strike/>
                <w:color w:val="FF0000"/>
                <w:szCs w:val="24"/>
              </w:rPr>
              <w:t>bulunur</w:t>
            </w:r>
            <w:r w:rsidRPr="00A23740">
              <w:rPr>
                <w:szCs w:val="24"/>
              </w:rPr>
              <w:t xml:space="preserve"> </w:t>
            </w:r>
            <w:r w:rsidRPr="00A23740">
              <w:rPr>
                <w:rStyle w:val="KIRMIZIChar"/>
                <w:rFonts w:eastAsia="Calibri"/>
              </w:rPr>
              <w:t>ve</w:t>
            </w:r>
            <w:r w:rsidRPr="00A23740">
              <w:rPr>
                <w:szCs w:val="24"/>
              </w:rPr>
              <w:t xml:space="preserve"> tasfiye</w:t>
            </w:r>
            <w:r w:rsidRPr="000C46FB">
              <w:rPr>
                <w:rStyle w:val="KIRMIZIChar"/>
                <w:rFonts w:eastAsia="Calibri"/>
              </w:rPr>
              <w:t xml:space="preserve">nin </w:t>
            </w:r>
            <w:r w:rsidRPr="00A23740">
              <w:rPr>
                <w:szCs w:val="24"/>
              </w:rPr>
              <w:t>kapanma</w:t>
            </w:r>
            <w:r w:rsidRPr="00A23740">
              <w:rPr>
                <w:b/>
                <w:bCs/>
                <w:strike/>
                <w:color w:val="FF0000"/>
                <w:szCs w:val="24"/>
              </w:rPr>
              <w:t>sın</w:t>
            </w:r>
            <w:r w:rsidRPr="00A23740">
              <w:rPr>
                <w:szCs w:val="24"/>
              </w:rPr>
              <w:t xml:space="preserve">dan </w:t>
            </w:r>
            <w:r w:rsidRPr="00A23740">
              <w:rPr>
                <w:b/>
                <w:bCs/>
                <w:strike/>
                <w:color w:val="FF0000"/>
                <w:szCs w:val="24"/>
              </w:rPr>
              <w:t>evvel</w:t>
            </w:r>
            <w:r w:rsidRPr="00A23740">
              <w:rPr>
                <w:szCs w:val="24"/>
              </w:rPr>
              <w:t xml:space="preserve"> mirasçılardan biri </w:t>
            </w:r>
            <w:r w:rsidRPr="000C46FB">
              <w:rPr>
                <w:rStyle w:val="KIRMIZIChar"/>
                <w:rFonts w:eastAsia="Calibri"/>
              </w:rPr>
              <w:t>gelerek</w:t>
            </w:r>
            <w:r w:rsidRPr="00A23740">
              <w:rPr>
                <w:szCs w:val="24"/>
              </w:rPr>
              <w:t xml:space="preserve"> mirası kabul </w:t>
            </w:r>
            <w:r w:rsidRPr="00A23740">
              <w:rPr>
                <w:b/>
                <w:bCs/>
                <w:strike/>
                <w:color w:val="FF0000"/>
                <w:szCs w:val="24"/>
              </w:rPr>
              <w:t>eylediğini</w:t>
            </w:r>
            <w:r w:rsidRPr="00A23740">
              <w:rPr>
                <w:szCs w:val="24"/>
              </w:rPr>
              <w:t xml:space="preserve"> bildirir</w:t>
            </w:r>
            <w:r w:rsidRPr="00A23740">
              <w:rPr>
                <w:b/>
                <w:bCs/>
                <w:strike/>
                <w:color w:val="FF0000"/>
                <w:szCs w:val="24"/>
              </w:rPr>
              <w:t>se</w:t>
            </w:r>
            <w:r w:rsidRPr="00A23740">
              <w:rPr>
                <w:szCs w:val="24"/>
              </w:rPr>
              <w:t xml:space="preserve"> borçların ödenmesi için </w:t>
            </w:r>
            <w:r w:rsidRPr="00A23740">
              <w:rPr>
                <w:b/>
                <w:bCs/>
                <w:strike/>
                <w:color w:val="FF0000"/>
                <w:szCs w:val="24"/>
              </w:rPr>
              <w:t>mirasçının</w:t>
            </w:r>
            <w:r w:rsidRPr="00A23740">
              <w:rPr>
                <w:szCs w:val="24"/>
              </w:rPr>
              <w:t xml:space="preserve"> teminat göster</w:t>
            </w:r>
            <w:r w:rsidRPr="00A23740">
              <w:rPr>
                <w:b/>
                <w:bCs/>
                <w:strike/>
                <w:color w:val="FF0000"/>
                <w:szCs w:val="24"/>
              </w:rPr>
              <w:t>mesi mukabilinde</w:t>
            </w:r>
            <w:r w:rsidRPr="00A23740">
              <w:rPr>
                <w:szCs w:val="24"/>
              </w:rPr>
              <w:t xml:space="preserve"> mahkeme tasfiyeyi durdurur.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rStyle w:val="MaviChar"/>
              </w:rPr>
              <w:t>Terekenin</w:t>
            </w:r>
            <w:r w:rsidRPr="00A23740">
              <w:rPr>
                <w:b/>
                <w:szCs w:val="24"/>
              </w:rPr>
              <w:t xml:space="preserve"> tasfiyesinin durdurulması</w:t>
            </w:r>
          </w:p>
          <w:p w:rsidR="00AA5C8C" w:rsidRPr="00A23740" w:rsidRDefault="00AA5C8C" w:rsidP="009431FF">
            <w:pPr>
              <w:tabs>
                <w:tab w:val="left" w:pos="567"/>
              </w:tabs>
              <w:rPr>
                <w:b/>
                <w:color w:val="0000FF"/>
                <w:szCs w:val="24"/>
              </w:rPr>
            </w:pPr>
            <w:r w:rsidRPr="00A23740">
              <w:rPr>
                <w:rStyle w:val="MaviChar"/>
                <w:lang w:val="tr-TR"/>
              </w:rPr>
              <w:t xml:space="preserve">MADDE </w:t>
            </w:r>
            <w:r w:rsidR="0025055D" w:rsidRPr="00A23740">
              <w:rPr>
                <w:rStyle w:val="MAVChar"/>
                <w:rFonts w:eastAsia="Calibri"/>
                <w:u w:val="none"/>
              </w:rPr>
              <w:t>293</w:t>
            </w:r>
            <w:r w:rsidRPr="00A23740">
              <w:rPr>
                <w:rStyle w:val="MAVChar"/>
                <w:rFonts w:eastAsia="Calibri"/>
                <w:u w:val="none"/>
              </w:rPr>
              <w:t xml:space="preserve">- (1) </w:t>
            </w:r>
            <w:r w:rsidRPr="000C46FB">
              <w:rPr>
                <w:szCs w:val="24"/>
              </w:rPr>
              <w:t>Tereke</w:t>
            </w:r>
            <w:r w:rsidRPr="00A23740">
              <w:rPr>
                <w:b/>
                <w:color w:val="0000FF"/>
                <w:szCs w:val="24"/>
              </w:rPr>
              <w:t>nin iflas hükümlerine göre</w:t>
            </w:r>
            <w:r w:rsidRPr="00A23740">
              <w:rPr>
                <w:szCs w:val="24"/>
              </w:rPr>
              <w:t xml:space="preserve"> tasfiye</w:t>
            </w:r>
            <w:r w:rsidRPr="00A23740">
              <w:rPr>
                <w:b/>
                <w:color w:val="0000FF"/>
                <w:szCs w:val="24"/>
              </w:rPr>
              <w:t>sin</w:t>
            </w:r>
            <w:r w:rsidRPr="00A23740">
              <w:rPr>
                <w:rStyle w:val="MaviChar"/>
              </w:rPr>
              <w:t xml:space="preserve">de, </w:t>
            </w:r>
            <w:r w:rsidRPr="00A23740">
              <w:t>tasfiye</w:t>
            </w:r>
            <w:r w:rsidRPr="00A23740">
              <w:rPr>
                <w:szCs w:val="24"/>
              </w:rPr>
              <w:t xml:space="preserve"> kapanmadan </w:t>
            </w:r>
            <w:r w:rsidRPr="000C46FB">
              <w:rPr>
                <w:rStyle w:val="Balk1Char"/>
                <w:rFonts w:eastAsia="Calibri"/>
              </w:rPr>
              <w:t>önce</w:t>
            </w:r>
            <w:r w:rsidRPr="00A23740">
              <w:rPr>
                <w:szCs w:val="24"/>
              </w:rPr>
              <w:t xml:space="preserve"> mirasçılardan biri mirası kabul ettiğini bildirir </w:t>
            </w:r>
            <w:r w:rsidRPr="000C46FB">
              <w:rPr>
                <w:rStyle w:val="Balk1Char"/>
                <w:rFonts w:eastAsia="Calibri"/>
              </w:rPr>
              <w:t>ve</w:t>
            </w:r>
            <w:r w:rsidRPr="00A23740">
              <w:rPr>
                <w:szCs w:val="24"/>
              </w:rPr>
              <w:t xml:space="preserve"> borçların ödenmesi için </w:t>
            </w:r>
            <w:r w:rsidRPr="00A23740">
              <w:rPr>
                <w:b/>
                <w:color w:val="0000FF"/>
                <w:szCs w:val="24"/>
              </w:rPr>
              <w:t xml:space="preserve">yeterli </w:t>
            </w:r>
            <w:r w:rsidRPr="00A23740">
              <w:rPr>
                <w:szCs w:val="24"/>
              </w:rPr>
              <w:t>teminat</w:t>
            </w:r>
            <w:r w:rsidRPr="000C46FB">
              <w:rPr>
                <w:rStyle w:val="Balk1Char"/>
                <w:rFonts w:eastAsia="Calibri"/>
              </w:rPr>
              <w:t>ı</w:t>
            </w:r>
            <w:r w:rsidRPr="00A23740">
              <w:rPr>
                <w:szCs w:val="24"/>
              </w:rPr>
              <w:t xml:space="preserve"> göster</w:t>
            </w:r>
            <w:r w:rsidRPr="00A23740">
              <w:rPr>
                <w:b/>
                <w:color w:val="0000FF"/>
                <w:szCs w:val="24"/>
              </w:rPr>
              <w:t>irs</w:t>
            </w:r>
            <w:r w:rsidRPr="00A23740">
              <w:rPr>
                <w:rStyle w:val="MaviChar"/>
              </w:rPr>
              <w:t>e,</w:t>
            </w:r>
            <w:r w:rsidRPr="00A23740">
              <w:rPr>
                <w:b/>
                <w:color w:val="0000FF"/>
                <w:szCs w:val="24"/>
              </w:rPr>
              <w:t xml:space="preserve"> sulh</w:t>
            </w:r>
            <w:r w:rsidRPr="00A23740">
              <w:rPr>
                <w:szCs w:val="24"/>
              </w:rPr>
              <w:t xml:space="preserve"> </w:t>
            </w:r>
            <w:r w:rsidRPr="00A23740">
              <w:rPr>
                <w:rStyle w:val="MaviChar"/>
                <w:lang w:val="tr-TR"/>
              </w:rPr>
              <w:t>hukuk</w:t>
            </w:r>
            <w:r w:rsidRPr="00A23740">
              <w:rPr>
                <w:szCs w:val="24"/>
              </w:rPr>
              <w:t xml:space="preserve"> mahkeme</w:t>
            </w:r>
            <w:r w:rsidRPr="00A23740">
              <w:rPr>
                <w:b/>
                <w:color w:val="0000FF"/>
                <w:szCs w:val="24"/>
              </w:rPr>
              <w:t>si</w:t>
            </w:r>
            <w:r w:rsidRPr="00A23740">
              <w:rPr>
                <w:szCs w:val="24"/>
              </w:rPr>
              <w:t xml:space="preserve"> tasfiyeyi durdurur</w:t>
            </w:r>
            <w:r w:rsidRPr="00A23740">
              <w:rPr>
                <w:b/>
                <w:color w:val="0000FF"/>
                <w:szCs w:val="24"/>
              </w:rPr>
              <w:t xml:space="preserve"> ve kararı </w:t>
            </w:r>
            <w:r w:rsidR="00734675" w:rsidRPr="00E5316E">
              <w:rPr>
                <w:rStyle w:val="MaviChar"/>
              </w:rPr>
              <w:t>283 üncü</w:t>
            </w:r>
            <w:r w:rsidR="00734675" w:rsidRPr="00A23740">
              <w:t xml:space="preserve"> </w:t>
            </w:r>
            <w:r w:rsidRPr="00A23740">
              <w:rPr>
                <w:b/>
                <w:color w:val="0000FF"/>
                <w:szCs w:val="24"/>
              </w:rPr>
              <w:t>maddenin ikinci fıkrasında öngörülen usule göre ilan eder.</w:t>
            </w:r>
          </w:p>
          <w:p w:rsidR="00AA5C8C" w:rsidRPr="00A23740" w:rsidRDefault="00AA5C8C" w:rsidP="009431FF">
            <w:pPr>
              <w:pStyle w:val="KIRMIZI"/>
              <w:rPr>
                <w:lang w:val="tr-TR"/>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E61BDC" w:rsidRPr="00A23740" w:rsidRDefault="00E61BDC" w:rsidP="009431FF">
            <w:pPr>
              <w:ind w:firstLine="709"/>
            </w:pPr>
          </w:p>
          <w:p w:rsidR="00AB6C3B" w:rsidRPr="00A23740" w:rsidRDefault="00E61BDC" w:rsidP="009431FF">
            <w:pPr>
              <w:tabs>
                <w:tab w:val="left" w:pos="567"/>
              </w:tabs>
              <w:ind w:firstLine="709"/>
              <w:rPr>
                <w:b/>
                <w:strike/>
                <w:color w:val="FF0000"/>
              </w:rPr>
            </w:pPr>
            <w:r w:rsidRPr="00A23740">
              <w:rPr>
                <w:b/>
              </w:rPr>
              <w:t>MADDE 2</w:t>
            </w:r>
            <w:r w:rsidR="0025055D" w:rsidRPr="00A23740">
              <w:rPr>
                <w:b/>
              </w:rPr>
              <w:t>93</w:t>
            </w:r>
            <w:r w:rsidRPr="00A23740">
              <w:rPr>
                <w:b/>
              </w:rPr>
              <w:t>-</w:t>
            </w:r>
            <w:r w:rsidRPr="00A23740">
              <w:t xml:space="preserve"> Maddeyle, terekenin tasfiyesinin durdurulmasına </w:t>
            </w:r>
            <w:r w:rsidRPr="00A23740">
              <w:rPr>
                <w:szCs w:val="24"/>
              </w:rPr>
              <w:t>ilişkin hususlar düzenlenmektedir. Hüküm, 2004 sayılı Kanunun 183 üncü maddesine karşılık gelmektedir.</w:t>
            </w:r>
            <w:r w:rsidRPr="00A23740">
              <w:rPr>
                <w:b/>
                <w:szCs w:val="24"/>
              </w:rPr>
              <w:t xml:space="preserve"> </w:t>
            </w:r>
            <w:r w:rsidR="00F32E7F" w:rsidRPr="00A23740">
              <w:t xml:space="preserve">Terekenin iflas hükümlerini durdurmasını düzenleyen bu maddede </w:t>
            </w:r>
            <w:r w:rsidR="00AB6C3B" w:rsidRPr="00D60C1D">
              <w:rPr>
                <w:rStyle w:val="YELChar"/>
                <w:b w:val="0"/>
                <w:color w:val="000000"/>
              </w:rPr>
              <w:t>Taslağın</w:t>
            </w:r>
            <w:r w:rsidR="00AB6C3B" w:rsidRPr="00A23740">
              <w:rPr>
                <w:rStyle w:val="YELChar"/>
              </w:rPr>
              <w:t xml:space="preserve"> </w:t>
            </w:r>
            <w:r w:rsidR="00734675" w:rsidRPr="00CE27BE">
              <w:rPr>
                <w:rStyle w:val="KonuBalChar"/>
                <w:rFonts w:eastAsia="Calibri"/>
                <w:b w:val="0"/>
                <w:color w:val="000000" w:themeColor="text1"/>
              </w:rPr>
              <w:t>283 üncü</w:t>
            </w:r>
            <w:r w:rsidR="00AB6C3B" w:rsidRPr="00A23740">
              <w:rPr>
                <w:rStyle w:val="YELChar"/>
              </w:rPr>
              <w:t xml:space="preserve"> </w:t>
            </w:r>
            <w:r w:rsidR="00AB6C3B" w:rsidRPr="00D60C1D">
              <w:rPr>
                <w:rStyle w:val="YELChar"/>
                <w:b w:val="0"/>
                <w:color w:val="000000"/>
              </w:rPr>
              <w:t>maddesi gereğince mahkemenin tasfiyenin durdurulmasına ilişkin kararının ilan edileceği açıklığa kavuşturulmuştur.</w:t>
            </w:r>
          </w:p>
          <w:p w:rsidR="00E61BDC" w:rsidRPr="00A23740" w:rsidRDefault="00F32E7F" w:rsidP="00DE5024">
            <w:pPr>
              <w:tabs>
                <w:tab w:val="left" w:pos="567"/>
              </w:tabs>
              <w:ind w:firstLine="709"/>
            </w:pPr>
            <w:r w:rsidRPr="00A23740">
              <w:t>Terekenin tasfiyesinin durdurulması</w:t>
            </w:r>
            <w:r w:rsidR="00AB6C3B" w:rsidRPr="00D60C1D">
              <w:rPr>
                <w:rStyle w:val="YELChar"/>
                <w:b w:val="0"/>
                <w:color w:val="000000"/>
              </w:rPr>
              <w:t>,</w:t>
            </w:r>
            <w:r w:rsidRPr="00A23740">
              <w:t xml:space="preserve"> iflasın kaldırılması</w:t>
            </w:r>
            <w:r w:rsidR="00D257E7" w:rsidRPr="00A23740">
              <w:t>yla</w:t>
            </w:r>
            <w:r w:rsidR="00DE5024">
              <w:t xml:space="preserve"> benzer sonuçları doğuracaktır.</w:t>
            </w:r>
          </w:p>
          <w:p w:rsidR="00AB6C3B" w:rsidRPr="00A23740" w:rsidRDefault="00AB6C3B" w:rsidP="00DE5024">
            <w:pPr>
              <w:tabs>
                <w:tab w:val="left" w:pos="567"/>
              </w:tabs>
              <w:ind w:firstLine="709"/>
              <w:rPr>
                <w:rStyle w:val="MaviChar"/>
                <w:color w:val="auto"/>
                <w:szCs w:val="22"/>
                <w:lang w:val="tr-TR" w:eastAsia="en-US"/>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pStyle w:val="KIRMIZI"/>
              <w:rPr>
                <w:lang w:val="tr-TR"/>
              </w:rPr>
            </w:pPr>
            <w:r w:rsidRPr="00A23740">
              <w:rPr>
                <w:lang w:val="tr-TR"/>
              </w:rPr>
              <w:t>YEDİNCİ BAP</w:t>
            </w:r>
          </w:p>
          <w:p w:rsidR="00AA5C8C" w:rsidRPr="00A23740" w:rsidRDefault="00AA5C8C" w:rsidP="009431FF">
            <w:pPr>
              <w:tabs>
                <w:tab w:val="left" w:pos="567"/>
              </w:tabs>
              <w:rPr>
                <w:szCs w:val="24"/>
              </w:rPr>
            </w:pPr>
            <w:r w:rsidRPr="00A23740">
              <w:rPr>
                <w:szCs w:val="24"/>
              </w:rPr>
              <w:t xml:space="preserve">İflasın hukuki </w:t>
            </w:r>
            <w:r w:rsidRPr="00A23740">
              <w:rPr>
                <w:b/>
                <w:bCs/>
                <w:strike/>
                <w:color w:val="FF0000"/>
                <w:szCs w:val="24"/>
              </w:rPr>
              <w:t>neticeleri</w:t>
            </w:r>
          </w:p>
          <w:p w:rsidR="00AA5C8C" w:rsidRPr="00A23740" w:rsidRDefault="00AA5C8C" w:rsidP="009431FF">
            <w:pPr>
              <w:tabs>
                <w:tab w:val="left" w:pos="567"/>
              </w:tabs>
              <w:rPr>
                <w:szCs w:val="24"/>
              </w:rPr>
            </w:pPr>
            <w:r w:rsidRPr="00A23740">
              <w:rPr>
                <w:rStyle w:val="KIRMIZIChar"/>
                <w:rFonts w:eastAsia="Calibri"/>
              </w:rPr>
              <w:t>1 –</w:t>
            </w:r>
            <w:r w:rsidRPr="00A23740">
              <w:rPr>
                <w:szCs w:val="24"/>
              </w:rPr>
              <w:t xml:space="preserve"> Borçlunun malları hakkında iflasın </w:t>
            </w:r>
            <w:r w:rsidRPr="00A23740">
              <w:rPr>
                <w:b/>
                <w:bCs/>
                <w:strike/>
                <w:color w:val="FF0000"/>
                <w:szCs w:val="24"/>
              </w:rPr>
              <w:t>neticeleri</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t>İflas masası</w:t>
            </w:r>
            <w:r w:rsidRPr="00A23740">
              <w:rPr>
                <w:b/>
                <w:bCs/>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184 – (1)</w:t>
            </w:r>
            <w:r w:rsidRPr="00A23740">
              <w:rPr>
                <w:b/>
                <w:szCs w:val="24"/>
              </w:rPr>
              <w:t xml:space="preserve"> </w:t>
            </w:r>
            <w:r w:rsidRPr="00A23740">
              <w:rPr>
                <w:szCs w:val="24"/>
              </w:rPr>
              <w:t xml:space="preserve">İflas açıldığı </w:t>
            </w:r>
            <w:r w:rsidRPr="00A23740">
              <w:rPr>
                <w:rStyle w:val="KIRMIZIChar"/>
                <w:rFonts w:eastAsia="Calibri"/>
              </w:rPr>
              <w:t>zamanda</w:t>
            </w:r>
            <w:r w:rsidRPr="00A23740">
              <w:rPr>
                <w:szCs w:val="24"/>
              </w:rPr>
              <w:t xml:space="preserve"> müflisin </w:t>
            </w:r>
            <w:r w:rsidRPr="00A23740">
              <w:rPr>
                <w:rStyle w:val="KIRMIZIChar"/>
                <w:rFonts w:eastAsia="Calibri"/>
              </w:rPr>
              <w:t>haczi kabil</w:t>
            </w:r>
            <w:r w:rsidRPr="00A23740">
              <w:rPr>
                <w:szCs w:val="24"/>
              </w:rPr>
              <w:t xml:space="preserve"> bütün malları </w:t>
            </w:r>
            <w:r w:rsidRPr="00A23740">
              <w:rPr>
                <w:rStyle w:val="KIRMIZIChar"/>
                <w:rFonts w:eastAsia="Calibri"/>
              </w:rPr>
              <w:t>hangi yerde</w:t>
            </w:r>
            <w:r w:rsidRPr="00A23740">
              <w:rPr>
                <w:szCs w:val="24"/>
              </w:rPr>
              <w:t xml:space="preserve"> bulunursa bulunsun bir masa teşkil eder ve alacakların ödenmesine tahsis olunur. </w:t>
            </w:r>
            <w:r w:rsidRPr="000C46FB">
              <w:rPr>
                <w:rStyle w:val="KIRMIZIChar"/>
                <w:rFonts w:eastAsia="Calibri"/>
              </w:rPr>
              <w:t>İflasın kapanmasına kadar müflisin uhdesine geçen mallar masaya girer.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83E21">
              <w:rPr>
                <w:rStyle w:val="KIRMIZIChar"/>
                <w:rFonts w:eastAsia="Calibri"/>
              </w:rPr>
              <w:t>M.184/F1.C2:</w:t>
            </w:r>
            <w:r w:rsidRPr="00A23740">
              <w:rPr>
                <w:b/>
                <w:szCs w:val="24"/>
              </w:rPr>
              <w:t xml:space="preserve"> </w:t>
            </w:r>
            <w:r w:rsidRPr="00A23740">
              <w:rPr>
                <w:szCs w:val="24"/>
              </w:rPr>
              <w:t>İflasın kapanmasına kadar müflis</w:t>
            </w:r>
            <w:r w:rsidRPr="00A23740">
              <w:rPr>
                <w:b/>
                <w:bCs/>
                <w:strike/>
                <w:color w:val="FF0000"/>
                <w:szCs w:val="24"/>
              </w:rPr>
              <w:t>in</w:t>
            </w:r>
            <w:r w:rsidRPr="00A23740">
              <w:rPr>
                <w:szCs w:val="24"/>
              </w:rPr>
              <w:t xml:space="preserve"> </w:t>
            </w:r>
            <w:r w:rsidRPr="00A23740">
              <w:rPr>
                <w:b/>
                <w:bCs/>
                <w:strike/>
                <w:color w:val="FF0000"/>
                <w:szCs w:val="24"/>
              </w:rPr>
              <w:t>uhdesine geçen</w:t>
            </w:r>
            <w:r w:rsidRPr="00A23740">
              <w:rPr>
                <w:szCs w:val="24"/>
              </w:rPr>
              <w:t xml:space="preserve"> mal</w:t>
            </w:r>
            <w:r w:rsidRPr="000C46FB">
              <w:rPr>
                <w:rStyle w:val="KIRMIZIChar"/>
                <w:rFonts w:eastAsia="Calibri"/>
              </w:rPr>
              <w:t>lar</w:t>
            </w:r>
            <w:r w:rsidRPr="00A23740">
              <w:rPr>
                <w:szCs w:val="24"/>
              </w:rPr>
              <w:t xml:space="preserve"> masaya girer.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t xml:space="preserve">(2) Müflis </w:t>
            </w:r>
            <w:r w:rsidRPr="00A23740">
              <w:rPr>
                <w:rStyle w:val="KIRMIZIChar"/>
                <w:rFonts w:eastAsia="Calibri"/>
              </w:rPr>
              <w:t>namına gelen mektuplar iflas idaresi tarafından açılır ve sair mevrudelerin de masaya gönderilmesi posta idaresine bildirilir.</w:t>
            </w:r>
          </w:p>
          <w:p w:rsidR="00AA5C8C" w:rsidRPr="00A23740" w:rsidRDefault="00AA5C8C" w:rsidP="009431FF">
            <w:pPr>
              <w:rPr>
                <w:szCs w:val="24"/>
              </w:rPr>
            </w:pPr>
          </w:p>
        </w:tc>
        <w:tc>
          <w:tcPr>
            <w:tcW w:w="2500" w:type="pct"/>
          </w:tcPr>
          <w:p w:rsidR="00AA5C8C" w:rsidRPr="00A23740" w:rsidRDefault="00AA5C8C" w:rsidP="009431FF">
            <w:pPr>
              <w:tabs>
                <w:tab w:val="left" w:pos="567"/>
              </w:tabs>
              <w:jc w:val="center"/>
              <w:rPr>
                <w:b/>
                <w:color w:val="0000FF"/>
                <w:szCs w:val="24"/>
              </w:rPr>
            </w:pPr>
            <w:r w:rsidRPr="00A23740">
              <w:rPr>
                <w:b/>
                <w:color w:val="0000FF"/>
                <w:szCs w:val="24"/>
              </w:rPr>
              <w:t>DÖRDÜNCÜ BÖLÜM</w:t>
            </w:r>
          </w:p>
          <w:p w:rsidR="00AA5C8C" w:rsidRPr="00A23740" w:rsidRDefault="00AA5C8C" w:rsidP="009431FF">
            <w:pPr>
              <w:tabs>
                <w:tab w:val="left" w:pos="567"/>
              </w:tabs>
              <w:jc w:val="center"/>
              <w:rPr>
                <w:b/>
                <w:color w:val="0000FF"/>
                <w:szCs w:val="24"/>
              </w:rPr>
            </w:pPr>
            <w:r w:rsidRPr="000C46FB">
              <w:rPr>
                <w:b/>
                <w:szCs w:val="24"/>
              </w:rPr>
              <w:t>İflasın Hukuki</w:t>
            </w:r>
            <w:r w:rsidRPr="00A23740">
              <w:rPr>
                <w:b/>
                <w:color w:val="0000FF"/>
                <w:szCs w:val="24"/>
              </w:rPr>
              <w:t xml:space="preserve"> Sonuçları</w:t>
            </w:r>
          </w:p>
          <w:p w:rsidR="00AA5C8C" w:rsidRPr="00A23740" w:rsidRDefault="00AA5C8C" w:rsidP="009431FF">
            <w:pPr>
              <w:tabs>
                <w:tab w:val="left" w:pos="567"/>
              </w:tabs>
              <w:jc w:val="center"/>
              <w:rPr>
                <w:b/>
                <w:color w:val="0000CC"/>
                <w:szCs w:val="24"/>
              </w:rPr>
            </w:pPr>
          </w:p>
          <w:p w:rsidR="00AA5C8C" w:rsidRPr="00A23740" w:rsidRDefault="00AA5C8C" w:rsidP="009431FF">
            <w:pPr>
              <w:tabs>
                <w:tab w:val="left" w:pos="567"/>
              </w:tabs>
              <w:jc w:val="center"/>
              <w:rPr>
                <w:b/>
                <w:color w:val="0000FF"/>
                <w:szCs w:val="24"/>
              </w:rPr>
            </w:pPr>
            <w:r w:rsidRPr="00A23740">
              <w:rPr>
                <w:b/>
                <w:color w:val="0000FF"/>
                <w:szCs w:val="24"/>
              </w:rPr>
              <w:t>BİRİNCİ AYRIM</w:t>
            </w:r>
          </w:p>
          <w:p w:rsidR="00AA5C8C" w:rsidRPr="00A23740" w:rsidRDefault="00AA5C8C" w:rsidP="009431FF">
            <w:pPr>
              <w:tabs>
                <w:tab w:val="left" w:pos="567"/>
              </w:tabs>
              <w:jc w:val="center"/>
              <w:rPr>
                <w:b/>
                <w:color w:val="0000FF"/>
                <w:szCs w:val="24"/>
              </w:rPr>
            </w:pPr>
            <w:r w:rsidRPr="000C46FB">
              <w:rPr>
                <w:b/>
                <w:szCs w:val="24"/>
              </w:rPr>
              <w:t>Borçlunun Malları Hakkında</w:t>
            </w:r>
            <w:r w:rsidRPr="00A23740">
              <w:rPr>
                <w:b/>
                <w:color w:val="0000FF"/>
                <w:szCs w:val="24"/>
              </w:rPr>
              <w:t xml:space="preserve"> </w:t>
            </w:r>
            <w:r w:rsidRPr="000C46FB">
              <w:rPr>
                <w:b/>
                <w:szCs w:val="24"/>
              </w:rPr>
              <w:t xml:space="preserve">İflasın </w:t>
            </w:r>
            <w:r w:rsidRPr="00A23740">
              <w:rPr>
                <w:b/>
                <w:color w:val="0000FF"/>
                <w:szCs w:val="24"/>
              </w:rPr>
              <w:t>Sonuçları</w:t>
            </w: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r w:rsidRPr="00A23740">
              <w:rPr>
                <w:b/>
                <w:szCs w:val="24"/>
              </w:rPr>
              <w:t>İflas masası</w:t>
            </w:r>
          </w:p>
          <w:p w:rsidR="00AA5C8C" w:rsidRPr="00A23740" w:rsidRDefault="00AA5C8C" w:rsidP="009431FF">
            <w:pPr>
              <w:tabs>
                <w:tab w:val="left" w:pos="567"/>
              </w:tabs>
              <w:rPr>
                <w:szCs w:val="24"/>
              </w:rPr>
            </w:pPr>
            <w:r w:rsidRPr="00A23740">
              <w:rPr>
                <w:rStyle w:val="MaviChar"/>
                <w:lang w:val="tr-TR"/>
              </w:rPr>
              <w:t xml:space="preserve">MADDE </w:t>
            </w:r>
            <w:r w:rsidR="0025055D" w:rsidRPr="00A23740">
              <w:rPr>
                <w:rStyle w:val="MAVChar"/>
                <w:rFonts w:eastAsia="Calibri"/>
                <w:u w:val="none"/>
              </w:rPr>
              <w:t>294</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İflas</w:t>
            </w:r>
            <w:r w:rsidRPr="00A23740">
              <w:rPr>
                <w:rStyle w:val="MaviChar"/>
              </w:rPr>
              <w:t>ın</w:t>
            </w:r>
            <w:r w:rsidRPr="00A23740">
              <w:rPr>
                <w:szCs w:val="24"/>
              </w:rPr>
              <w:t xml:space="preserve"> açıldığı </w:t>
            </w:r>
            <w:r w:rsidRPr="00A23740">
              <w:rPr>
                <w:rStyle w:val="MaviChar"/>
              </w:rPr>
              <w:t>anda</w:t>
            </w:r>
            <w:r w:rsidRPr="00A23740">
              <w:rPr>
                <w:rStyle w:val="MaviChar"/>
                <w:lang w:val="tr-TR"/>
              </w:rPr>
              <w:t>,</w:t>
            </w:r>
            <w:r w:rsidRPr="00A23740">
              <w:rPr>
                <w:szCs w:val="24"/>
              </w:rPr>
              <w:t xml:space="preserve"> müflisin </w:t>
            </w:r>
            <w:r w:rsidRPr="00A23740">
              <w:rPr>
                <w:rStyle w:val="MaviChar"/>
              </w:rPr>
              <w:t>haczedilebilir</w:t>
            </w:r>
            <w:r w:rsidRPr="00A23740">
              <w:rPr>
                <w:szCs w:val="24"/>
              </w:rPr>
              <w:t xml:space="preserve"> bütün malları</w:t>
            </w:r>
            <w:r w:rsidRPr="00A23740">
              <w:rPr>
                <w:rStyle w:val="MaviChar"/>
              </w:rPr>
              <w:t>,</w:t>
            </w:r>
            <w:r w:rsidRPr="00A23740">
              <w:rPr>
                <w:szCs w:val="24"/>
              </w:rPr>
              <w:t xml:space="preserve"> </w:t>
            </w:r>
            <w:r w:rsidRPr="00A23740">
              <w:rPr>
                <w:rStyle w:val="MaviChar"/>
              </w:rPr>
              <w:t>nerede</w:t>
            </w:r>
            <w:r w:rsidRPr="00A23740">
              <w:rPr>
                <w:szCs w:val="24"/>
              </w:rPr>
              <w:t xml:space="preserve"> bulunursa bulunsun bir masa teşkil eder ve alacakların ödenmesine tahsis olunur.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İflasın kapanmasına kadar </w:t>
            </w:r>
            <w:r w:rsidRPr="00A23740">
              <w:rPr>
                <w:rStyle w:val="Stil2Char"/>
                <w:rFonts w:eastAsia="Calibri"/>
                <w:u w:val="none"/>
              </w:rPr>
              <w:t>ivazsız olarak</w:t>
            </w:r>
            <w:r w:rsidRPr="00A23740">
              <w:rPr>
                <w:szCs w:val="24"/>
              </w:rPr>
              <w:t xml:space="preserve"> müflis</w:t>
            </w:r>
            <w:r w:rsidRPr="00A23740">
              <w:rPr>
                <w:b/>
                <w:color w:val="0000FF"/>
                <w:szCs w:val="24"/>
              </w:rPr>
              <w:t>e intikal eden</w:t>
            </w:r>
            <w:r w:rsidRPr="00A23740">
              <w:rPr>
                <w:szCs w:val="24"/>
              </w:rPr>
              <w:t xml:space="preserve"> mal </w:t>
            </w:r>
            <w:r w:rsidRPr="00A23740">
              <w:rPr>
                <w:rStyle w:val="MaviChar"/>
              </w:rPr>
              <w:t>ve haklar</w:t>
            </w:r>
            <w:r w:rsidR="005675BC" w:rsidRPr="00A23740">
              <w:rPr>
                <w:rStyle w:val="MaviChar"/>
                <w:lang w:val="tr-TR"/>
              </w:rPr>
              <w:t xml:space="preserve"> </w:t>
            </w:r>
            <w:r w:rsidR="005675BC" w:rsidRPr="00E5316E">
              <w:rPr>
                <w:rStyle w:val="MaviChar"/>
              </w:rPr>
              <w:t>da</w:t>
            </w:r>
            <w:r w:rsidRPr="00A23740">
              <w:rPr>
                <w:szCs w:val="24"/>
              </w:rPr>
              <w:t xml:space="preserve"> masaya girer.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MaviChar"/>
              </w:rPr>
              <w:t>(3)</w:t>
            </w:r>
            <w:r w:rsidRPr="00A23740">
              <w:rPr>
                <w:szCs w:val="24"/>
              </w:rPr>
              <w:t xml:space="preserve"> Müflis</w:t>
            </w:r>
            <w:r w:rsidR="005675BC" w:rsidRPr="00A23740">
              <w:rPr>
                <w:rStyle w:val="MaviChar"/>
              </w:rPr>
              <w:t>, elektronik ortamdakiler d</w:t>
            </w:r>
            <w:r w:rsidR="005675BC" w:rsidRPr="00A23740">
              <w:rPr>
                <w:rStyle w:val="MaviChar"/>
                <w:lang w:val="tr-TR"/>
              </w:rPr>
              <w:t>â</w:t>
            </w:r>
            <w:r w:rsidR="005675BC" w:rsidRPr="00A23740">
              <w:rPr>
                <w:rStyle w:val="MaviChar"/>
              </w:rPr>
              <w:t xml:space="preserve">hil </w:t>
            </w:r>
            <w:r w:rsidRPr="00A23740">
              <w:rPr>
                <w:rStyle w:val="MaviChar"/>
              </w:rPr>
              <w:t>olmak üzere kendisine gelen yazışmalardan iflas masasını ilgilendirenleri derh</w:t>
            </w:r>
            <w:r w:rsidR="00DF22A1" w:rsidRPr="00A23740">
              <w:rPr>
                <w:rStyle w:val="MaviChar"/>
                <w:lang w:val="tr-TR"/>
              </w:rPr>
              <w:t>â</w:t>
            </w:r>
            <w:r w:rsidRPr="00A23740">
              <w:rPr>
                <w:rStyle w:val="MaviChar"/>
              </w:rPr>
              <w:t>l iflas idaresine iletmek zorundadır. Aksi h</w:t>
            </w:r>
            <w:r w:rsidR="009D574E" w:rsidRPr="00A23740">
              <w:rPr>
                <w:rStyle w:val="MaviChar"/>
                <w:lang w:val="tr-TR"/>
              </w:rPr>
              <w:t>â</w:t>
            </w:r>
            <w:r w:rsidRPr="00A23740">
              <w:rPr>
                <w:rStyle w:val="MaviChar"/>
              </w:rPr>
              <w:t>lde</w:t>
            </w:r>
            <w:r w:rsidR="00A21F16" w:rsidRPr="00A23740">
              <w:rPr>
                <w:rStyle w:val="MaviChar"/>
                <w:lang w:val="tr-TR"/>
              </w:rPr>
              <w:t xml:space="preserve"> </w:t>
            </w:r>
            <w:r w:rsidR="00A21F16" w:rsidRPr="00E5316E">
              <w:rPr>
                <w:rStyle w:val="MaviChar"/>
              </w:rPr>
              <w:t>517 nci</w:t>
            </w:r>
            <w:r w:rsidRPr="00A23740">
              <w:rPr>
                <w:rStyle w:val="MaviChar"/>
                <w:lang w:val="tr-TR"/>
              </w:rPr>
              <w:t xml:space="preserve"> </w:t>
            </w:r>
            <w:r w:rsidRPr="00A23740">
              <w:rPr>
                <w:rStyle w:val="MaviChar"/>
              </w:rPr>
              <w:t>madde hükmü uygulanır.</w:t>
            </w:r>
          </w:p>
          <w:p w:rsidR="00AA5C8C" w:rsidRPr="00A23740" w:rsidRDefault="00AA5C8C" w:rsidP="009431FF">
            <w:pPr>
              <w:tabs>
                <w:tab w:val="left" w:pos="567"/>
              </w:tabs>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E61BDC" w:rsidRPr="00A23740" w:rsidRDefault="00E61BDC" w:rsidP="009431FF">
            <w:pPr>
              <w:tabs>
                <w:tab w:val="left" w:pos="567"/>
              </w:tabs>
              <w:ind w:firstLine="709"/>
              <w:rPr>
                <w:b/>
              </w:rPr>
            </w:pPr>
          </w:p>
          <w:p w:rsidR="00F32E7F" w:rsidRPr="00A23740" w:rsidRDefault="0025055D" w:rsidP="009431FF">
            <w:pPr>
              <w:tabs>
                <w:tab w:val="left" w:pos="567"/>
              </w:tabs>
              <w:ind w:firstLine="709"/>
              <w:rPr>
                <w:b/>
                <w:szCs w:val="24"/>
              </w:rPr>
            </w:pPr>
            <w:r w:rsidRPr="00A23740">
              <w:rPr>
                <w:b/>
              </w:rPr>
              <w:t>MADDE 294</w:t>
            </w:r>
            <w:r w:rsidR="00E61BDC" w:rsidRPr="00A23740">
              <w:rPr>
                <w:b/>
              </w:rPr>
              <w:t>-</w:t>
            </w:r>
            <w:r w:rsidR="00E61BDC" w:rsidRPr="00A23740">
              <w:t xml:space="preserve"> Maddeyle, </w:t>
            </w:r>
            <w:r w:rsidR="00E61BDC" w:rsidRPr="00A23740">
              <w:rPr>
                <w:szCs w:val="24"/>
              </w:rPr>
              <w:t>iflas masasına ilişkin hususlar düzenlenmektedir. Hüküm, 2004 sayılı Kanunun 184 üncü maddesine karşılık gelmektedir.</w:t>
            </w:r>
            <w:r w:rsidR="00E61BDC" w:rsidRPr="00A23740">
              <w:rPr>
                <w:b/>
                <w:szCs w:val="24"/>
              </w:rPr>
              <w:t xml:space="preserve"> </w:t>
            </w:r>
          </w:p>
          <w:p w:rsidR="00FA53AE" w:rsidRPr="00A23740" w:rsidRDefault="00F32E7F" w:rsidP="009431FF">
            <w:pPr>
              <w:ind w:firstLine="709"/>
            </w:pPr>
            <w:r w:rsidRPr="00A23740">
              <w:t xml:space="preserve">İflasın hukuki sonuçlarının düzenlendiği dördüncü bölümün ilk ayırımında borçlunun malları üzerinde iflasın hukuki sonuçları hükme bağlanmıştır. Maddenin ilk fıkrasında iflasın açıldığı anda borçlunun haczedilebilir mallarının nerede bulunursa bulunsun bir masa teşkil edeceği ve bu malların alacaklıların alacaklarını ödemesine tahsis edileceği açıklanmıştır. </w:t>
            </w:r>
            <w:r w:rsidR="00FA53AE" w:rsidRPr="00A23740">
              <w:t xml:space="preserve">Her ne kadar “masa” terimi yanlış bir çeviri sonucunda 2004 sayılı Kanuna girimse de, uygulamada çok yerleşmiş olan bu terimin değiştirilmesine gerek görülmemiştir. </w:t>
            </w:r>
          </w:p>
          <w:p w:rsidR="00F32E7F" w:rsidRPr="00A23740" w:rsidRDefault="005675BC" w:rsidP="009431FF">
            <w:pPr>
              <w:ind w:firstLine="709"/>
            </w:pPr>
            <w:r w:rsidRPr="00D60C1D">
              <w:rPr>
                <w:rStyle w:val="YELChar"/>
                <w:b w:val="0"/>
                <w:color w:val="000000"/>
              </w:rPr>
              <w:t>Bu Kanun hükmü yurt içindeki malları kapsamakla kalmamakta</w:t>
            </w:r>
            <w:r w:rsidR="00FA53AE" w:rsidRPr="00D60C1D">
              <w:rPr>
                <w:rStyle w:val="YELChar"/>
                <w:b w:val="0"/>
                <w:color w:val="000000"/>
              </w:rPr>
              <w:t>,</w:t>
            </w:r>
            <w:r w:rsidRPr="00D60C1D">
              <w:rPr>
                <w:rStyle w:val="YELChar"/>
                <w:b w:val="0"/>
                <w:color w:val="000000"/>
              </w:rPr>
              <w:t xml:space="preserve"> bir milletlerarası iflas hukuku kuralı olarak yurt dışındaki malların da iflas masasına gireceğini ifade etmektedir. Ancak milletlerarası iflas hukukuna ilişkin bu sonucun sağlanabilmesi için söz konusu malların ülkelerinde bulunduğu yabancı devletlerle milletlerarası anlaşmalar yapılmış olması gerektiği dikkate alınmalıdır.</w:t>
            </w:r>
            <w:r w:rsidRPr="00D60C1D">
              <w:rPr>
                <w:b/>
                <w:color w:val="000000"/>
              </w:rPr>
              <w:t xml:space="preserve"> </w:t>
            </w:r>
            <w:r w:rsidR="00F32E7F" w:rsidRPr="00D60C1D">
              <w:rPr>
                <w:color w:val="000000"/>
              </w:rPr>
              <w:t>Masa</w:t>
            </w:r>
            <w:r w:rsidRPr="00D60C1D">
              <w:rPr>
                <w:color w:val="000000"/>
              </w:rPr>
              <w:t>ya</w:t>
            </w:r>
            <w:r w:rsidRPr="00D60C1D">
              <w:rPr>
                <w:b/>
                <w:color w:val="000000"/>
              </w:rPr>
              <w:t xml:space="preserve"> </w:t>
            </w:r>
            <w:r w:rsidRPr="00D60C1D">
              <w:rPr>
                <w:rStyle w:val="YELChar"/>
                <w:b w:val="0"/>
                <w:color w:val="000000"/>
              </w:rPr>
              <w:t>dahil malların</w:t>
            </w:r>
            <w:r w:rsidR="00F32E7F" w:rsidRPr="00A23740">
              <w:t xml:space="preserve"> belirlenmesinde iflasın açıldığı an önem arz etmekte, iflasın ilanının bu bakımda</w:t>
            </w:r>
            <w:r w:rsidR="00E61BDC" w:rsidRPr="00A23740">
              <w:t xml:space="preserve">n  bir önemi bulunmamaktadır.  </w:t>
            </w:r>
          </w:p>
          <w:p w:rsidR="00F32E7F" w:rsidRPr="00A23740" w:rsidRDefault="00F32E7F" w:rsidP="009431FF">
            <w:pPr>
              <w:ind w:firstLine="709"/>
            </w:pPr>
            <w:r w:rsidRPr="00A23740">
              <w:t xml:space="preserve">İkinci fıkra gereğince iflasın kapanmasına kadar ivazsız olarak müflise intikal eden mal ve haklar da masaya dahil olacaktır. Örneğin, iflas öncesinde dağıtılmamış bir terekeden borçluya düşen kısımlar masaya dahil olacaktır. Bu bağlamda iflas masası, alacaklıların menfaatine aykırı bir davranış sergileyen mirasçıya karşı itiraz </w:t>
            </w:r>
            <w:r w:rsidR="00E61BDC" w:rsidRPr="00A23740">
              <w:t xml:space="preserve">ve dava açma hakkına sahiptir. </w:t>
            </w:r>
          </w:p>
          <w:p w:rsidR="00F32E7F" w:rsidRPr="00A23740" w:rsidRDefault="00F32E7F" w:rsidP="009431FF">
            <w:pPr>
              <w:ind w:firstLine="709"/>
              <w:rPr>
                <w:rStyle w:val="MaviChar"/>
                <w:b w:val="0"/>
                <w:bCs w:val="0"/>
                <w:color w:val="auto"/>
                <w:lang w:val="tr-TR"/>
              </w:rPr>
            </w:pPr>
            <w:r w:rsidRPr="00A23740">
              <w:rPr>
                <w:szCs w:val="24"/>
              </w:rPr>
              <w:t>Maddenin son fıkrasında da müflisin</w:t>
            </w:r>
            <w:r w:rsidRPr="00A23740">
              <w:rPr>
                <w:rStyle w:val="MaviChar"/>
                <w:b w:val="0"/>
                <w:color w:val="auto"/>
              </w:rPr>
              <w:t xml:space="preserve">, elektronik ortamdakiler dahil olmak üzere kendisine gelen yazışmalardan iflas masasını ilgilendirenleri </w:t>
            </w:r>
            <w:r w:rsidR="00DF22A1" w:rsidRPr="00A23740">
              <w:rPr>
                <w:szCs w:val="24"/>
              </w:rPr>
              <w:t xml:space="preserve">derhâl </w:t>
            </w:r>
            <w:r w:rsidRPr="00A23740">
              <w:rPr>
                <w:rStyle w:val="MaviChar"/>
                <w:b w:val="0"/>
                <w:color w:val="auto"/>
              </w:rPr>
              <w:t>iflas idaresine iletmek zorunda</w:t>
            </w:r>
            <w:r w:rsidRPr="00A23740">
              <w:rPr>
                <w:rStyle w:val="MaviChar"/>
                <w:b w:val="0"/>
                <w:color w:val="auto"/>
                <w:lang w:val="tr-TR"/>
              </w:rPr>
              <w:t xml:space="preserve"> olduğu, aksi</w:t>
            </w:r>
            <w:r w:rsidRPr="00A23740">
              <w:rPr>
                <w:rStyle w:val="MaviChar"/>
                <w:color w:val="auto"/>
              </w:rPr>
              <w:t xml:space="preserve"> </w:t>
            </w:r>
            <w:r w:rsidRPr="00A23740">
              <w:rPr>
                <w:rStyle w:val="MaviChar"/>
                <w:b w:val="0"/>
                <w:color w:val="auto"/>
              </w:rPr>
              <w:t>h</w:t>
            </w:r>
            <w:r w:rsidR="009D574E" w:rsidRPr="00A23740">
              <w:rPr>
                <w:rStyle w:val="MaviChar"/>
                <w:b w:val="0"/>
                <w:color w:val="auto"/>
                <w:lang w:val="tr-TR"/>
              </w:rPr>
              <w:t>â</w:t>
            </w:r>
            <w:r w:rsidRPr="00A23740">
              <w:rPr>
                <w:rStyle w:val="MaviChar"/>
                <w:b w:val="0"/>
                <w:color w:val="auto"/>
              </w:rPr>
              <w:t xml:space="preserve">lde </w:t>
            </w:r>
            <w:r w:rsidR="00A21F16" w:rsidRPr="00D60C1D">
              <w:rPr>
                <w:rStyle w:val="KonuBalChar"/>
                <w:rFonts w:eastAsia="Calibri"/>
                <w:b w:val="0"/>
                <w:color w:val="000000"/>
              </w:rPr>
              <w:t>Taslağın</w:t>
            </w:r>
            <w:r w:rsidRPr="00D60C1D">
              <w:rPr>
                <w:rStyle w:val="KonuBalChar"/>
                <w:rFonts w:eastAsia="Calibri"/>
                <w:b w:val="0"/>
                <w:color w:val="000000"/>
              </w:rPr>
              <w:t xml:space="preserve"> </w:t>
            </w:r>
            <w:r w:rsidR="00A21F16" w:rsidRPr="00D60C1D">
              <w:rPr>
                <w:rStyle w:val="KonuBalChar"/>
                <w:rFonts w:eastAsia="Calibri"/>
                <w:b w:val="0"/>
                <w:color w:val="000000"/>
              </w:rPr>
              <w:t>517 nci</w:t>
            </w:r>
            <w:r w:rsidR="00A21F16" w:rsidRPr="00A23740">
              <w:rPr>
                <w:rStyle w:val="MaviChar"/>
              </w:rPr>
              <w:t xml:space="preserve"> </w:t>
            </w:r>
            <w:r w:rsidRPr="00A23740">
              <w:rPr>
                <w:rStyle w:val="MaviChar"/>
                <w:b w:val="0"/>
                <w:color w:val="auto"/>
              </w:rPr>
              <w:t>madde</w:t>
            </w:r>
            <w:r w:rsidRPr="00A23740">
              <w:rPr>
                <w:rStyle w:val="MaviChar"/>
                <w:b w:val="0"/>
                <w:color w:val="auto"/>
                <w:lang w:val="tr-TR"/>
              </w:rPr>
              <w:t>si gereğince sorumlu olacağı açıklığa kavuşmuştur</w:t>
            </w:r>
            <w:r w:rsidRPr="00A23740">
              <w:rPr>
                <w:rStyle w:val="MaviChar"/>
                <w:b w:val="0"/>
                <w:color w:val="auto"/>
              </w:rPr>
              <w:t>.</w:t>
            </w:r>
            <w:r w:rsidRPr="00A23740">
              <w:rPr>
                <w:rStyle w:val="MaviChar"/>
                <w:b w:val="0"/>
                <w:color w:val="auto"/>
                <w:lang w:val="tr-TR"/>
              </w:rPr>
              <w:t xml:space="preserve"> Mülga hükümden farklı olarak müflisin mektupları iflas idaresi tarafından doğrudan açıl</w:t>
            </w:r>
            <w:r w:rsidR="00FA53AE" w:rsidRPr="00A23740">
              <w:rPr>
                <w:rStyle w:val="MaviChar"/>
                <w:b w:val="0"/>
                <w:color w:val="auto"/>
                <w:lang w:val="tr-TR"/>
              </w:rPr>
              <w:t>a</w:t>
            </w:r>
            <w:r w:rsidRPr="00A23740">
              <w:rPr>
                <w:rStyle w:val="MaviChar"/>
                <w:b w:val="0"/>
                <w:color w:val="auto"/>
                <w:lang w:val="tr-TR"/>
              </w:rPr>
              <w:t>mayacaktır. Sistem değişikliği ile müflise bir sorumluluk yüklenmiş ve masayı ilgilen yazışmalardan iflas idaresinin bilgilendirilm</w:t>
            </w:r>
            <w:r w:rsidRPr="00A23740">
              <w:rPr>
                <w:rStyle w:val="MaviChar"/>
                <w:b w:val="0"/>
                <w:bCs w:val="0"/>
                <w:color w:val="auto"/>
                <w:lang w:val="tr-TR"/>
              </w:rPr>
              <w:t>esi zorunlu h</w:t>
            </w:r>
            <w:r w:rsidR="009D574E" w:rsidRPr="00A23740">
              <w:rPr>
                <w:rStyle w:val="MaviChar"/>
                <w:b w:val="0"/>
                <w:bCs w:val="0"/>
                <w:color w:val="auto"/>
                <w:lang w:val="tr-TR"/>
              </w:rPr>
              <w:t>â</w:t>
            </w:r>
            <w:r w:rsidRPr="00A23740">
              <w:rPr>
                <w:rStyle w:val="MaviChar"/>
                <w:b w:val="0"/>
                <w:bCs w:val="0"/>
                <w:color w:val="auto"/>
                <w:lang w:val="tr-TR"/>
              </w:rPr>
              <w:t>le getirilmiştir.</w:t>
            </w:r>
          </w:p>
          <w:p w:rsidR="00F32E7F" w:rsidRPr="00A23740" w:rsidRDefault="00F32E7F" w:rsidP="00DE5024">
            <w:pPr>
              <w:ind w:firstLine="709"/>
              <w:rPr>
                <w:b/>
                <w:color w:val="0000FF"/>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bCs/>
                <w:strike/>
                <w:color w:val="FF0000"/>
                <w:szCs w:val="24"/>
              </w:rPr>
            </w:pPr>
            <w:r w:rsidRPr="00A23740">
              <w:rPr>
                <w:szCs w:val="24"/>
              </w:rPr>
              <w:t xml:space="preserve">Rehinli mallar </w:t>
            </w:r>
            <w:r w:rsidRPr="00A23740">
              <w:rPr>
                <w:b/>
                <w:bCs/>
                <w:strike/>
                <w:color w:val="FF0000"/>
                <w:szCs w:val="24"/>
              </w:rPr>
              <w:t>ve üretime yönelik yerler:</w:t>
            </w:r>
          </w:p>
          <w:p w:rsidR="00AA5C8C" w:rsidRPr="00A23740" w:rsidRDefault="00AA5C8C" w:rsidP="009431FF">
            <w:pPr>
              <w:tabs>
                <w:tab w:val="left" w:pos="567"/>
              </w:tabs>
              <w:rPr>
                <w:szCs w:val="24"/>
              </w:rPr>
            </w:pPr>
            <w:r w:rsidRPr="00A23740">
              <w:rPr>
                <w:rStyle w:val="KIRMIZIChar"/>
                <w:rFonts w:eastAsia="Calibri"/>
              </w:rPr>
              <w:t>Madde 185 – (1) Üzerinde</w:t>
            </w:r>
            <w:r w:rsidRPr="00A23740">
              <w:rPr>
                <w:szCs w:val="24"/>
              </w:rPr>
              <w:t xml:space="preserve"> rehin </w:t>
            </w:r>
            <w:r w:rsidRPr="00A23740">
              <w:rPr>
                <w:b/>
                <w:bCs/>
                <w:strike/>
                <w:color w:val="FF0000"/>
                <w:szCs w:val="24"/>
              </w:rPr>
              <w:t>bulunan</w:t>
            </w:r>
            <w:r w:rsidRPr="00A23740">
              <w:rPr>
                <w:szCs w:val="24"/>
              </w:rPr>
              <w:t xml:space="preserve"> mallar rehin </w:t>
            </w:r>
            <w:r w:rsidRPr="00A23740">
              <w:rPr>
                <w:rStyle w:val="KIRMIZIChar"/>
                <w:rFonts w:eastAsia="Calibri"/>
              </w:rPr>
              <w:t>sahibi</w:t>
            </w:r>
            <w:r w:rsidRPr="00A23740">
              <w:rPr>
                <w:szCs w:val="24"/>
              </w:rPr>
              <w:t xml:space="preserve"> alacaklının rüçhan hakkı </w:t>
            </w:r>
            <w:r w:rsidRPr="00A23740">
              <w:rPr>
                <w:b/>
                <w:bCs/>
                <w:strike/>
                <w:color w:val="FF0000"/>
                <w:szCs w:val="24"/>
              </w:rPr>
              <w:t>mahfuz</w:t>
            </w:r>
            <w:r w:rsidRPr="00A23740">
              <w:rPr>
                <w:szCs w:val="24"/>
              </w:rPr>
              <w:t xml:space="preserve"> kalmak </w:t>
            </w:r>
            <w:r w:rsidRPr="000C46FB">
              <w:rPr>
                <w:rStyle w:val="KIRMIZIChar"/>
                <w:rFonts w:eastAsia="Calibri"/>
              </w:rPr>
              <w:t>suretiyle</w:t>
            </w:r>
            <w:r w:rsidRPr="00A23740">
              <w:rPr>
                <w:szCs w:val="24"/>
              </w:rPr>
              <w:t xml:space="preserve"> masaya girer ve iflas idaresi tarafından en yakın ve </w:t>
            </w:r>
            <w:r w:rsidRPr="000C46FB">
              <w:rPr>
                <w:rStyle w:val="KIRMIZIChar"/>
                <w:rFonts w:eastAsia="Calibri"/>
              </w:rPr>
              <w:t>münasip</w:t>
            </w:r>
            <w:r w:rsidRPr="00A23740">
              <w:rPr>
                <w:szCs w:val="24"/>
              </w:rPr>
              <w:t xml:space="preserve"> zamanda paraya çevrilip muhafaza ve satış </w:t>
            </w:r>
            <w:r w:rsidRPr="00A23740">
              <w:rPr>
                <w:rStyle w:val="KIRMIZIChar"/>
                <w:rFonts w:eastAsia="Calibri"/>
              </w:rPr>
              <w:t>masrafları</w:t>
            </w:r>
            <w:r w:rsidRPr="00A23740">
              <w:rPr>
                <w:szCs w:val="24"/>
              </w:rPr>
              <w:t xml:space="preserve"> çıkarıldıktan sonra rehinli alacaklıya hakkı verilir. </w:t>
            </w:r>
            <w:r w:rsidRPr="00A23740">
              <w:rPr>
                <w:b/>
                <w:bCs/>
                <w:strike/>
                <w:color w:val="FF0000"/>
                <w:szCs w:val="24"/>
              </w:rPr>
              <w:t>(Ek cümle:17/7/2003-4949/51 md.) Ancak,</w:t>
            </w:r>
            <w:r w:rsidRPr="00A23740">
              <w:rPr>
                <w:szCs w:val="24"/>
              </w:rPr>
              <w:t xml:space="preserve"> rehin </w:t>
            </w:r>
            <w:r w:rsidRPr="000C46FB">
              <w:rPr>
                <w:rStyle w:val="KIRMIZIChar"/>
                <w:rFonts w:eastAsia="Calibri"/>
              </w:rPr>
              <w:t>sahibi</w:t>
            </w:r>
            <w:r w:rsidRPr="00A23740">
              <w:rPr>
                <w:szCs w:val="24"/>
              </w:rPr>
              <w:t xml:space="preserve"> alacaklı, </w:t>
            </w:r>
            <w:r w:rsidRPr="000C46FB">
              <w:rPr>
                <w:rStyle w:val="KIRMIZIChar"/>
                <w:rFonts w:eastAsia="Calibri"/>
              </w:rPr>
              <w:t>istediği takdirde iflâstan</w:t>
            </w:r>
            <w:r w:rsidRPr="00A23740">
              <w:rPr>
                <w:szCs w:val="24"/>
              </w:rPr>
              <w:t xml:space="preserve"> sonra </w:t>
            </w:r>
            <w:r w:rsidRPr="000C46FB">
              <w:rPr>
                <w:rStyle w:val="KIRMIZIChar"/>
                <w:rFonts w:eastAsia="Calibri"/>
              </w:rPr>
              <w:t>da</w:t>
            </w:r>
            <w:r w:rsidRPr="00A23740">
              <w:rPr>
                <w:szCs w:val="24"/>
              </w:rPr>
              <w:t xml:space="preserve"> masaya karşı rehnin paraya çevrilmesi yoluyla takip yapabilir.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 Rehinin kıymeti rehinle temin edilen alacağa kafi gelmiyeceği borsa rayiciyle tahakkuk eder ve mürtehin rehnin satılmasını istemezse rehin, masadan muvakkaten çıkarılır.</w:t>
            </w:r>
          </w:p>
          <w:p w:rsidR="00AA5C8C" w:rsidRPr="00A23740" w:rsidRDefault="00AA5C8C" w:rsidP="009431FF">
            <w:pPr>
              <w:tabs>
                <w:tab w:val="left" w:pos="567"/>
              </w:tabs>
              <w:rPr>
                <w:szCs w:val="24"/>
              </w:rPr>
            </w:pPr>
          </w:p>
          <w:p w:rsidR="00AA5C8C" w:rsidRPr="00A23740" w:rsidRDefault="00AA5C8C" w:rsidP="009431FF">
            <w:pPr>
              <w:tabs>
                <w:tab w:val="left" w:pos="567"/>
              </w:tabs>
              <w:rPr>
                <w:b/>
                <w:bCs/>
                <w:strike/>
                <w:color w:val="FF0000"/>
                <w:szCs w:val="24"/>
              </w:rPr>
            </w:pPr>
            <w:r w:rsidRPr="00A23740">
              <w:rPr>
                <w:b/>
                <w:bCs/>
                <w:strike/>
                <w:color w:val="FF0000"/>
                <w:szCs w:val="24"/>
              </w:rPr>
              <w:t>(3) Rehinli alacak sahibi bu işlere ait muamelelerden dolayı icra mahkemesine şikayet hakkını haizdir.</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szCs w:val="24"/>
              </w:rPr>
            </w:pPr>
            <w:r w:rsidRPr="00A23740">
              <w:rPr>
                <w:rStyle w:val="KIRMIZIChar"/>
                <w:rFonts w:eastAsia="Calibri"/>
              </w:rPr>
              <w:t>(4)</w:t>
            </w:r>
            <w:r w:rsidRPr="00A23740">
              <w:rPr>
                <w:b/>
                <w:szCs w:val="24"/>
              </w:rPr>
              <w:t xml:space="preserve"> </w:t>
            </w:r>
            <w:r w:rsidRPr="00A23740">
              <w:rPr>
                <w:rStyle w:val="KIRMIZIChar"/>
                <w:rFonts w:eastAsia="Calibri"/>
              </w:rPr>
              <w:t>(Ek fıkra: 9/11/1988-3494/38 md.; Değişik fıkra: 28/2/2018-7101/4 md.) 210 uncu maddenin birinci fıkrası uyarınca masa hakkında faydalı olmayacağı anlaşıldığı için kapatılıp mühürlenen yerlerin, üzerinde rehin bulunmasa dahi, ilk alacaklılar toplanması tarafından da uygun bulunması hâlinde iflâs idaresince derhâl satışı yapılır.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bCs/>
                <w:strike/>
                <w:color w:val="FF0000"/>
                <w:szCs w:val="24"/>
              </w:rPr>
              <w:t>(5) (Ek: 9/11/1988 - 3494/38 md.)</w:t>
            </w:r>
            <w:r w:rsidRPr="00A23740">
              <w:rPr>
                <w:szCs w:val="24"/>
              </w:rPr>
              <w:t xml:space="preserve"> Bu maddeye göre yapılacak satışlar, </w:t>
            </w:r>
            <w:r w:rsidRPr="00A83E21">
              <w:rPr>
                <w:rStyle w:val="KIRMIZIChar"/>
                <w:rFonts w:eastAsia="Calibri"/>
              </w:rPr>
              <w:t>166 ncı</w:t>
            </w:r>
            <w:r w:rsidRPr="00A23740">
              <w:rPr>
                <w:szCs w:val="24"/>
              </w:rPr>
              <w:t xml:space="preserve"> maddenin ikinci fıkrasındaki usul</w:t>
            </w:r>
            <w:r w:rsidRPr="00A23740">
              <w:rPr>
                <w:rStyle w:val="KIRMIZIChar"/>
                <w:rFonts w:eastAsia="Calibri"/>
              </w:rPr>
              <w:t>le</w:t>
            </w:r>
            <w:r w:rsidRPr="00A23740">
              <w:rPr>
                <w:szCs w:val="24"/>
              </w:rPr>
              <w:t xml:space="preserve"> ilan edilir.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 xml:space="preserve">Rehinli mallar </w:t>
            </w:r>
          </w:p>
          <w:p w:rsidR="00AA5C8C" w:rsidRPr="00A23740" w:rsidRDefault="00AA5C8C" w:rsidP="009431FF">
            <w:pPr>
              <w:tabs>
                <w:tab w:val="left" w:pos="567"/>
              </w:tabs>
              <w:rPr>
                <w:szCs w:val="24"/>
              </w:rPr>
            </w:pPr>
            <w:r w:rsidRPr="00A23740">
              <w:rPr>
                <w:rStyle w:val="MaviChar"/>
                <w:lang w:val="tr-TR"/>
              </w:rPr>
              <w:t xml:space="preserve">MADDE </w:t>
            </w:r>
            <w:r w:rsidR="0025055D" w:rsidRPr="00A23740">
              <w:rPr>
                <w:rStyle w:val="MAVChar"/>
                <w:rFonts w:eastAsia="Calibri"/>
                <w:u w:val="none"/>
              </w:rPr>
              <w:t>295</w:t>
            </w:r>
            <w:r w:rsidRPr="00A23740">
              <w:rPr>
                <w:rStyle w:val="MAVChar"/>
                <w:rFonts w:eastAsia="Calibri"/>
                <w:u w:val="none"/>
              </w:rPr>
              <w:t>- (1</w:t>
            </w:r>
            <w:r w:rsidRPr="00A23740">
              <w:rPr>
                <w:b/>
                <w:color w:val="0000FF"/>
                <w:szCs w:val="24"/>
              </w:rPr>
              <w:t xml:space="preserve">) Müflise ait </w:t>
            </w:r>
            <w:r w:rsidRPr="00A23740">
              <w:rPr>
                <w:szCs w:val="24"/>
              </w:rPr>
              <w:t>rehin</w:t>
            </w:r>
            <w:r w:rsidRPr="00A23740">
              <w:rPr>
                <w:b/>
                <w:color w:val="0000FF"/>
                <w:szCs w:val="24"/>
              </w:rPr>
              <w:t xml:space="preserve">li </w:t>
            </w:r>
            <w:r w:rsidRPr="00A23740">
              <w:t>mallar</w:t>
            </w:r>
            <w:r w:rsidRPr="00A23740">
              <w:rPr>
                <w:b/>
                <w:color w:val="0000FF"/>
                <w:szCs w:val="24"/>
              </w:rPr>
              <w:t xml:space="preserve">, </w:t>
            </w:r>
            <w:r w:rsidRPr="000C46FB">
              <w:rPr>
                <w:rStyle w:val="MaviChar"/>
                <w:b w:val="0"/>
                <w:color w:val="auto"/>
              </w:rPr>
              <w:t>rehin</w:t>
            </w:r>
            <w:r w:rsidRPr="00A23740">
              <w:rPr>
                <w:rStyle w:val="MaviChar"/>
              </w:rPr>
              <w:t>li</w:t>
            </w:r>
            <w:r w:rsidRPr="00A23740">
              <w:rPr>
                <w:b/>
                <w:color w:val="0000FF"/>
                <w:szCs w:val="24"/>
              </w:rPr>
              <w:t xml:space="preserve"> </w:t>
            </w:r>
            <w:r w:rsidRPr="00A23740">
              <w:rPr>
                <w:szCs w:val="24"/>
              </w:rPr>
              <w:t>alacaklının</w:t>
            </w:r>
            <w:r w:rsidRPr="00A23740">
              <w:rPr>
                <w:b/>
                <w:szCs w:val="24"/>
              </w:rPr>
              <w:t xml:space="preserve"> </w:t>
            </w:r>
            <w:r w:rsidRPr="00A23740">
              <w:rPr>
                <w:szCs w:val="24"/>
              </w:rPr>
              <w:t xml:space="preserve">rüçhan hakkı </w:t>
            </w:r>
            <w:r w:rsidRPr="00A23740">
              <w:rPr>
                <w:b/>
                <w:color w:val="0000FF"/>
                <w:szCs w:val="24"/>
              </w:rPr>
              <w:t>saklı</w:t>
            </w:r>
            <w:r w:rsidRPr="00A23740">
              <w:rPr>
                <w:szCs w:val="24"/>
              </w:rPr>
              <w:t xml:space="preserve"> kalmak </w:t>
            </w:r>
            <w:r w:rsidR="00A20341" w:rsidRPr="00E5316E">
              <w:rPr>
                <w:rStyle w:val="MaviChar"/>
              </w:rPr>
              <w:t>üzere</w:t>
            </w:r>
            <w:r w:rsidR="00A20341" w:rsidRPr="00A23740">
              <w:rPr>
                <w:szCs w:val="24"/>
              </w:rPr>
              <w:t xml:space="preserve"> </w:t>
            </w:r>
            <w:r w:rsidRPr="00A23740">
              <w:rPr>
                <w:szCs w:val="24"/>
              </w:rPr>
              <w:t xml:space="preserve">masaya girer ve iflas idaresi tarafından en yakın ve </w:t>
            </w:r>
            <w:r w:rsidRPr="00A23740">
              <w:rPr>
                <w:rStyle w:val="MaviChar"/>
              </w:rPr>
              <w:t>uygun</w:t>
            </w:r>
            <w:r w:rsidRPr="00A23740">
              <w:rPr>
                <w:szCs w:val="24"/>
              </w:rPr>
              <w:t xml:space="preserve"> zamanda paraya çevrilip muhafaza ve satış </w:t>
            </w:r>
            <w:r w:rsidRPr="00A23740">
              <w:rPr>
                <w:rStyle w:val="MaviChar"/>
              </w:rPr>
              <w:t>giderleri</w:t>
            </w:r>
            <w:r w:rsidRPr="00A23740">
              <w:rPr>
                <w:szCs w:val="24"/>
              </w:rPr>
              <w:t xml:space="preserve"> çıkarıldıktan sonra rehinli alacaklıya hakkı verilir.</w:t>
            </w:r>
          </w:p>
          <w:p w:rsidR="00AA5C8C" w:rsidRPr="00A23740" w:rsidRDefault="00AA5C8C" w:rsidP="009431FF">
            <w:pPr>
              <w:tabs>
                <w:tab w:val="left" w:pos="567"/>
              </w:tabs>
              <w:rPr>
                <w:szCs w:val="24"/>
              </w:rPr>
            </w:pPr>
          </w:p>
          <w:p w:rsidR="00AA5C8C" w:rsidRPr="00A23740" w:rsidRDefault="00AA5C8C" w:rsidP="009431FF">
            <w:pPr>
              <w:tabs>
                <w:tab w:val="left" w:pos="567"/>
              </w:tabs>
              <w:rPr>
                <w:rStyle w:val="YELChar"/>
              </w:rPr>
            </w:pPr>
            <w:r w:rsidRPr="00A23740">
              <w:rPr>
                <w:b/>
                <w:color w:val="0000FF"/>
                <w:szCs w:val="24"/>
              </w:rPr>
              <w:t>(2)</w:t>
            </w:r>
            <w:r w:rsidRPr="00A23740">
              <w:rPr>
                <w:szCs w:val="24"/>
              </w:rPr>
              <w:t xml:space="preserve"> Rehin</w:t>
            </w:r>
            <w:r w:rsidRPr="00A23740">
              <w:rPr>
                <w:rStyle w:val="MaviChar"/>
              </w:rPr>
              <w:t>li</w:t>
            </w:r>
            <w:r w:rsidRPr="00A23740">
              <w:rPr>
                <w:szCs w:val="24"/>
              </w:rPr>
              <w:t xml:space="preserve"> alacaklı, </w:t>
            </w:r>
            <w:r w:rsidRPr="00A23740">
              <w:rPr>
                <w:rStyle w:val="MaviChar"/>
              </w:rPr>
              <w:t>iflasın açılmasından</w:t>
            </w:r>
            <w:r w:rsidRPr="00A23740">
              <w:rPr>
                <w:rStyle w:val="KIRMIZIChar"/>
                <w:rFonts w:eastAsia="Calibri"/>
                <w:strike w:val="0"/>
              </w:rPr>
              <w:t xml:space="preserve"> </w:t>
            </w:r>
            <w:r w:rsidRPr="00A23740">
              <w:rPr>
                <w:szCs w:val="24"/>
              </w:rPr>
              <w:t xml:space="preserve">sonra masaya karşı rehnin paraya çevrilmesi yoluyla takip </w:t>
            </w:r>
            <w:r w:rsidRPr="000C46FB">
              <w:rPr>
                <w:rStyle w:val="Balk1Char"/>
                <w:rFonts w:eastAsia="Calibri"/>
              </w:rPr>
              <w:t>de</w:t>
            </w:r>
            <w:r w:rsidRPr="00A23740">
              <w:rPr>
                <w:szCs w:val="24"/>
              </w:rPr>
              <w:t xml:space="preserve"> yapabilir.</w:t>
            </w:r>
            <w:r w:rsidRPr="00A23740">
              <w:rPr>
                <w:rStyle w:val="YELChar"/>
              </w:rPr>
              <w:t xml:space="preserve"> </w:t>
            </w:r>
            <w:r w:rsidRPr="00A23740">
              <w:rPr>
                <w:rStyle w:val="MaviChar"/>
              </w:rPr>
              <w:t>Bu h</w:t>
            </w:r>
            <w:r w:rsidR="009D574E" w:rsidRPr="00A23740">
              <w:rPr>
                <w:rStyle w:val="MaviChar"/>
                <w:lang w:val="tr-TR"/>
              </w:rPr>
              <w:t>â</w:t>
            </w:r>
            <w:r w:rsidRPr="00A23740">
              <w:rPr>
                <w:rStyle w:val="MaviChar"/>
              </w:rPr>
              <w:t xml:space="preserve">lde malın iflas idaresi tarafından </w:t>
            </w:r>
            <w:r w:rsidR="000B6113" w:rsidRPr="00E5316E">
              <w:rPr>
                <w:rStyle w:val="MaviChar"/>
              </w:rPr>
              <w:t>satılması</w:t>
            </w:r>
            <w:r w:rsidR="000B6113" w:rsidRPr="00A23740">
              <w:rPr>
                <w:rStyle w:val="MaviChar"/>
                <w:lang w:val="tr-TR"/>
              </w:rPr>
              <w:t xml:space="preserve"> </w:t>
            </w:r>
            <w:r w:rsidRPr="00A23740">
              <w:rPr>
                <w:rStyle w:val="MaviChar"/>
              </w:rPr>
              <w:t>talep edilemez</w:t>
            </w:r>
            <w:r w:rsidRPr="00A23740">
              <w:rPr>
                <w:rStyle w:val="MaviChar"/>
                <w:lang w:val="tr-TR"/>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rStyle w:val="MAVChar"/>
                <w:rFonts w:eastAsia="Calibri"/>
                <w:u w:val="none"/>
              </w:rPr>
              <w:t>) Bu maddeye göre paraya çevrilen mal üzerinde önceki tarihli haciz varsa</w:t>
            </w:r>
            <w:r w:rsidR="00050E09" w:rsidRPr="00E5316E">
              <w:rPr>
                <w:rStyle w:val="MaviChar"/>
              </w:rPr>
              <w:t>,</w:t>
            </w:r>
            <w:r w:rsidRPr="00A23740">
              <w:rPr>
                <w:rStyle w:val="MAVChar"/>
                <w:rFonts w:eastAsia="Calibri"/>
                <w:u w:val="none"/>
              </w:rPr>
              <w:t xml:space="preserve"> bu hacze isabet eden tutar iflas masasına intikal eder.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C42DF2" w:rsidRPr="00A23740" w:rsidRDefault="00C42DF2" w:rsidP="009431FF">
            <w:pPr>
              <w:tabs>
                <w:tab w:val="left" w:pos="567"/>
              </w:tabs>
              <w:rPr>
                <w:szCs w:val="24"/>
              </w:rPr>
            </w:pPr>
          </w:p>
          <w:p w:rsidR="00C42DF2" w:rsidRPr="00A23740" w:rsidRDefault="00C42DF2" w:rsidP="009431FF">
            <w:pPr>
              <w:tabs>
                <w:tab w:val="left" w:pos="567"/>
              </w:tabs>
              <w:rPr>
                <w:szCs w:val="24"/>
              </w:rPr>
            </w:pPr>
          </w:p>
          <w:p w:rsidR="00C42DF2" w:rsidRPr="00A23740" w:rsidRDefault="00C42DF2" w:rsidP="009431FF">
            <w:pPr>
              <w:tabs>
                <w:tab w:val="left" w:pos="567"/>
              </w:tabs>
              <w:rPr>
                <w:szCs w:val="24"/>
              </w:rPr>
            </w:pPr>
          </w:p>
          <w:p w:rsidR="00C42DF2" w:rsidRPr="00A23740" w:rsidRDefault="00C42DF2" w:rsidP="009431FF">
            <w:pPr>
              <w:tabs>
                <w:tab w:val="left" w:pos="567"/>
              </w:tabs>
              <w:rPr>
                <w:szCs w:val="24"/>
              </w:rPr>
            </w:pPr>
          </w:p>
          <w:p w:rsidR="00C42DF2" w:rsidRPr="00A23740" w:rsidRDefault="00C42DF2" w:rsidP="009431FF">
            <w:pPr>
              <w:tabs>
                <w:tab w:val="left" w:pos="567"/>
              </w:tabs>
              <w:rPr>
                <w:szCs w:val="24"/>
              </w:rPr>
            </w:pPr>
          </w:p>
          <w:p w:rsidR="00C42DF2" w:rsidRDefault="00C42DF2" w:rsidP="009431FF">
            <w:pPr>
              <w:tabs>
                <w:tab w:val="left" w:pos="567"/>
              </w:tabs>
              <w:rPr>
                <w:szCs w:val="24"/>
              </w:rPr>
            </w:pPr>
          </w:p>
          <w:p w:rsidR="00CE27BE" w:rsidRDefault="00CE27BE" w:rsidP="009431FF">
            <w:pPr>
              <w:tabs>
                <w:tab w:val="left" w:pos="567"/>
              </w:tabs>
              <w:rPr>
                <w:szCs w:val="24"/>
              </w:rPr>
            </w:pPr>
          </w:p>
          <w:p w:rsidR="00CE27BE" w:rsidRDefault="00CE27BE" w:rsidP="009431FF">
            <w:pPr>
              <w:tabs>
                <w:tab w:val="left" w:pos="567"/>
              </w:tabs>
              <w:rPr>
                <w:szCs w:val="24"/>
              </w:rPr>
            </w:pPr>
          </w:p>
          <w:p w:rsidR="00CE27BE" w:rsidRDefault="00CE27BE" w:rsidP="009431FF">
            <w:pPr>
              <w:tabs>
                <w:tab w:val="left" w:pos="567"/>
              </w:tabs>
              <w:rPr>
                <w:szCs w:val="24"/>
              </w:rPr>
            </w:pPr>
          </w:p>
          <w:p w:rsidR="00CE27BE" w:rsidRDefault="00CE27BE" w:rsidP="009431FF">
            <w:pPr>
              <w:tabs>
                <w:tab w:val="left" w:pos="567"/>
              </w:tabs>
              <w:rPr>
                <w:szCs w:val="24"/>
              </w:rPr>
            </w:pPr>
          </w:p>
          <w:p w:rsidR="00CE27BE" w:rsidRDefault="00CE27BE" w:rsidP="009431FF">
            <w:pPr>
              <w:tabs>
                <w:tab w:val="left" w:pos="567"/>
              </w:tabs>
              <w:rPr>
                <w:szCs w:val="24"/>
              </w:rPr>
            </w:pPr>
          </w:p>
          <w:p w:rsidR="00CE27BE" w:rsidRDefault="00CE27BE" w:rsidP="009431FF">
            <w:pPr>
              <w:tabs>
                <w:tab w:val="left" w:pos="567"/>
              </w:tabs>
              <w:rPr>
                <w:szCs w:val="24"/>
              </w:rPr>
            </w:pPr>
          </w:p>
          <w:p w:rsidR="00CE27BE" w:rsidRPr="00A23740" w:rsidRDefault="00CE27BE"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(4)</w:t>
            </w:r>
            <w:r w:rsidRPr="00A23740">
              <w:rPr>
                <w:szCs w:val="24"/>
              </w:rPr>
              <w:t xml:space="preserve"> Bu maddeye göre yapılacak satışlar, </w:t>
            </w:r>
            <w:r w:rsidR="003F4580" w:rsidRPr="00E5316E">
              <w:rPr>
                <w:rStyle w:val="MaviChar"/>
              </w:rPr>
              <w:t>283 üncü</w:t>
            </w:r>
            <w:r w:rsidRPr="00A23740">
              <w:rPr>
                <w:szCs w:val="24"/>
              </w:rPr>
              <w:t xml:space="preserve"> maddenin ikinci fıkrasındaki usul</w:t>
            </w:r>
            <w:r w:rsidRPr="00A23740">
              <w:rPr>
                <w:rStyle w:val="MaviChar"/>
                <w:lang w:val="tr-TR"/>
              </w:rPr>
              <w:t xml:space="preserve">e göre </w:t>
            </w:r>
            <w:r w:rsidRPr="00A23740">
              <w:rPr>
                <w:szCs w:val="24"/>
              </w:rPr>
              <w:t>ilan edilir.</w:t>
            </w:r>
          </w:p>
          <w:p w:rsidR="00AA5C8C" w:rsidRPr="00A23740" w:rsidRDefault="00AA5C8C" w:rsidP="009431FF">
            <w:pPr>
              <w:tabs>
                <w:tab w:val="left" w:pos="567"/>
              </w:tabs>
              <w:rPr>
                <w:szCs w:val="24"/>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28618E" w:rsidRPr="00A23740" w:rsidRDefault="0028618E" w:rsidP="009431FF">
            <w:pPr>
              <w:tabs>
                <w:tab w:val="left" w:pos="567"/>
              </w:tabs>
              <w:ind w:firstLine="709"/>
              <w:rPr>
                <w:b/>
              </w:rPr>
            </w:pPr>
          </w:p>
          <w:p w:rsidR="00F32E7F" w:rsidRPr="00A23740" w:rsidRDefault="0025055D" w:rsidP="009431FF">
            <w:pPr>
              <w:tabs>
                <w:tab w:val="left" w:pos="567"/>
              </w:tabs>
              <w:ind w:firstLine="709"/>
              <w:rPr>
                <w:b/>
                <w:szCs w:val="24"/>
              </w:rPr>
            </w:pPr>
            <w:r w:rsidRPr="00A23740">
              <w:rPr>
                <w:b/>
              </w:rPr>
              <w:t>MADDE 295</w:t>
            </w:r>
            <w:r w:rsidR="0028618E" w:rsidRPr="00A23740">
              <w:rPr>
                <w:b/>
              </w:rPr>
              <w:t>-</w:t>
            </w:r>
            <w:r w:rsidR="0028618E" w:rsidRPr="00A23740">
              <w:t xml:space="preserve"> Maddeyle, </w:t>
            </w:r>
            <w:r w:rsidR="0028618E" w:rsidRPr="00A23740">
              <w:rPr>
                <w:szCs w:val="24"/>
              </w:rPr>
              <w:t>rehinli mallara ilişkin hususlar düzenlenmektedir. Hüküm, 2004 sayılı Kanunun 185 inci maddesine karşılık gelmektedir.</w:t>
            </w:r>
            <w:r w:rsidR="0028618E" w:rsidRPr="00A23740">
              <w:rPr>
                <w:b/>
                <w:szCs w:val="24"/>
              </w:rPr>
              <w:t xml:space="preserve"> </w:t>
            </w:r>
          </w:p>
          <w:p w:rsidR="00F32E7F" w:rsidRPr="00A23740" w:rsidRDefault="00F32E7F" w:rsidP="009431FF">
            <w:pPr>
              <w:ind w:firstLine="709"/>
            </w:pPr>
            <w:r w:rsidRPr="00A23740">
              <w:t>Rehin</w:t>
            </w:r>
            <w:r w:rsidR="000B6113" w:rsidRPr="00A23740">
              <w:t>li</w:t>
            </w:r>
            <w:r w:rsidRPr="00A23740">
              <w:t xml:space="preserve"> malların iflasın açılması</w:t>
            </w:r>
            <w:r w:rsidR="00FA53AE" w:rsidRPr="00A23740">
              <w:t>yla</w:t>
            </w:r>
            <w:r w:rsidRPr="00A23740">
              <w:t xml:space="preserve"> birlikte masaya dahil olacağı ve rüçhan haklarının korunacağı, iflas idaresinin en uygun ve yakın zamanda rehinli malları paraya çevireceği, satış bedelinden de öncelikle masrafların ödeneceği</w:t>
            </w:r>
            <w:r w:rsidR="00FA53AE" w:rsidRPr="00A23740">
              <w:t>,</w:t>
            </w:r>
            <w:r w:rsidRPr="00A23740">
              <w:t xml:space="preserve"> </w:t>
            </w:r>
            <w:r w:rsidR="00FA53AE" w:rsidRPr="00A23740">
              <w:t xml:space="preserve">bundan sonra </w:t>
            </w:r>
            <w:r w:rsidRPr="00A23740">
              <w:t xml:space="preserve">da rehin alacaklısına alacağının verileceği </w:t>
            </w:r>
            <w:r w:rsidR="00FA53AE" w:rsidRPr="00A23740">
              <w:t xml:space="preserve">hususu </w:t>
            </w:r>
            <w:r w:rsidRPr="00A23740">
              <w:t>maddenin ilk fıkrası</w:t>
            </w:r>
            <w:r w:rsidR="00FA53AE" w:rsidRPr="00A23740">
              <w:t>yla</w:t>
            </w:r>
            <w:r w:rsidRPr="00A23740">
              <w:t xml:space="preserve"> düzenleme altına alınmıştır. Fıkra kapsamına konu olan rehinli mallar mülkiyeti müflise ait olanlardır. Üçüncü kişiler tarafından müflisin borcunu </w:t>
            </w:r>
            <w:r w:rsidR="000B6113" w:rsidRPr="00D60C1D">
              <w:rPr>
                <w:rStyle w:val="YELChar"/>
                <w:b w:val="0"/>
                <w:color w:val="000000"/>
              </w:rPr>
              <w:t>güvence altına almak</w:t>
            </w:r>
            <w:r w:rsidR="000B6113" w:rsidRPr="00A23740">
              <w:t xml:space="preserve"> </w:t>
            </w:r>
            <w:r w:rsidRPr="00A23740">
              <w:t>amacıyla verilen rehinlerin bu kapsamda değerlendirilebilmesi mümkün değildir. Yine bu kapsamda belirtilmesi gereken hususlardan birisi de</w:t>
            </w:r>
            <w:r w:rsidR="00FA53AE" w:rsidRPr="00A23740">
              <w:t>,</w:t>
            </w:r>
            <w:r w:rsidRPr="00A23740">
              <w:t xml:space="preserve"> üçüncü kişi rehni</w:t>
            </w:r>
            <w:r w:rsidR="00FA53AE" w:rsidRPr="00A23740">
              <w:t>yle</w:t>
            </w:r>
            <w:r w:rsidRPr="00A23740">
              <w:t xml:space="preserve"> alacağı güvence altına alınan alacaklının iflas tasfiyesinde rüçhanlı alacak olarak değerlendirilebilmesinin mümkün olmayacağı ve bu alacağın adi alacak</w:t>
            </w:r>
            <w:r w:rsidR="0028618E" w:rsidRPr="00A23740">
              <w:t xml:space="preserve"> olarak değerlendirileceğidir. </w:t>
            </w:r>
          </w:p>
          <w:p w:rsidR="00F32E7F" w:rsidRPr="00A23740" w:rsidRDefault="00F32E7F" w:rsidP="009431FF">
            <w:pPr>
              <w:ind w:firstLine="709"/>
            </w:pPr>
            <w:r w:rsidRPr="00A23740">
              <w:t>Rehinli malların masa tarafından satılması mümkün olabileceği gibi talep edilmesi h</w:t>
            </w:r>
            <w:r w:rsidR="009D574E" w:rsidRPr="00A23740">
              <w:t>â</w:t>
            </w:r>
            <w:r w:rsidRPr="00A23740">
              <w:t xml:space="preserve">linde rehin alacaklısı tarafından da bu malların satışı mümkün olabilecektir. Bu </w:t>
            </w:r>
            <w:r w:rsidR="00335C6E" w:rsidRPr="00A23740">
              <w:t>hâ</w:t>
            </w:r>
            <w:r w:rsidRPr="00A23740">
              <w:t>lde müflisin rehinli malı diğer mallarından bağımsız olarak satılacaktır. Maddenin ikinci fıkrasına yapılan ekleme</w:t>
            </w:r>
            <w:r w:rsidR="00FA53AE" w:rsidRPr="00A23740">
              <w:t>yle</w:t>
            </w:r>
            <w:r w:rsidRPr="00A23740">
              <w:t xml:space="preserve"> müflisin rehinli mallarının </w:t>
            </w:r>
            <w:r w:rsidR="000B6113" w:rsidRPr="00D60C1D">
              <w:rPr>
                <w:rStyle w:val="YELChar"/>
                <w:b w:val="0"/>
                <w:color w:val="000000"/>
              </w:rPr>
              <w:t>icra ve iflas dairesi tarafından paraya çevrildiği</w:t>
            </w:r>
            <w:r w:rsidR="000B6113" w:rsidRPr="00A23740">
              <w:t xml:space="preserve"> </w:t>
            </w:r>
            <w:r w:rsidRPr="00A23740">
              <w:t>h</w:t>
            </w:r>
            <w:r w:rsidR="009D574E" w:rsidRPr="00A23740">
              <w:t>â</w:t>
            </w:r>
            <w:r w:rsidRPr="00A23740">
              <w:t xml:space="preserve">llerde, bu yolu tercih eden alacaklının rehinli malların </w:t>
            </w:r>
            <w:r w:rsidR="000B6113" w:rsidRPr="00D60C1D">
              <w:rPr>
                <w:rStyle w:val="YELChar"/>
                <w:b w:val="0"/>
                <w:color w:val="000000"/>
              </w:rPr>
              <w:t>iflas idaresi</w:t>
            </w:r>
            <w:r w:rsidR="000B6113" w:rsidRPr="00A23740">
              <w:t xml:space="preserve"> </w:t>
            </w:r>
            <w:r w:rsidRPr="00A23740">
              <w:t>tarafından satılmasını istemesi mümkün olamayacaktır. Bu şekilde tahsil harçlarının azalmasın</w:t>
            </w:r>
            <w:r w:rsidR="0028618E" w:rsidRPr="00A23740">
              <w:t xml:space="preserve">ın önüne geçilmiş olunacaktır. </w:t>
            </w:r>
          </w:p>
          <w:p w:rsidR="00F32E7F" w:rsidRPr="00A23740" w:rsidRDefault="00F32E7F" w:rsidP="009431FF">
            <w:pPr>
              <w:tabs>
                <w:tab w:val="left" w:pos="567"/>
              </w:tabs>
              <w:ind w:firstLine="709"/>
              <w:rPr>
                <w:szCs w:val="24"/>
              </w:rPr>
            </w:pPr>
            <w:r w:rsidRPr="00A23740">
              <w:t xml:space="preserve">Maddenin üçüncü fıkrası </w:t>
            </w:r>
            <w:r w:rsidR="000B6113" w:rsidRPr="00D60C1D">
              <w:rPr>
                <w:rStyle w:val="YELChar"/>
                <w:b w:val="0"/>
                <w:color w:val="000000"/>
              </w:rPr>
              <w:t>2004 sayılı Kanunda</w:t>
            </w:r>
            <w:r w:rsidR="000B6113" w:rsidRPr="00A23740">
              <w:t xml:space="preserve"> </w:t>
            </w:r>
            <w:r w:rsidRPr="00A23740">
              <w:t>bulunmayan</w:t>
            </w:r>
            <w:r w:rsidR="003D3C39" w:rsidRPr="00A23740">
              <w:t>,</w:t>
            </w:r>
            <w:r w:rsidRPr="00A23740">
              <w:t xml:space="preserve"> ama uygulamanın kabul ettiği  yeni bir düzenlemedir. Buna göre, rehin alacaklısının rehin hakkından önce rehinli mal üzerinde bir haciz mevcutsa</w:t>
            </w:r>
            <w:r w:rsidR="003D3C39" w:rsidRPr="00A23740">
              <w:t>,</w:t>
            </w:r>
            <w:r w:rsidRPr="00A23740">
              <w:t xml:space="preserve"> rehinli malın satılmasından sonra bu hacze isabet eden tutar masaya intikal edecektir. </w:t>
            </w:r>
            <w:r w:rsidR="000B6113" w:rsidRPr="00D60C1D">
              <w:rPr>
                <w:rStyle w:val="YELChar"/>
                <w:b w:val="0"/>
                <w:color w:val="000000"/>
              </w:rPr>
              <w:t>Taslağın</w:t>
            </w:r>
            <w:r w:rsidR="003F4580" w:rsidRPr="00A23740">
              <w:rPr>
                <w:rStyle w:val="YELChar"/>
              </w:rPr>
              <w:t xml:space="preserve"> </w:t>
            </w:r>
            <w:r w:rsidR="003F4580" w:rsidRPr="00D60C1D">
              <w:rPr>
                <w:rStyle w:val="KonuBalChar"/>
                <w:rFonts w:eastAsia="ヒラギノ明朝 Pro W3"/>
                <w:b w:val="0"/>
                <w:color w:val="000000"/>
              </w:rPr>
              <w:t>303 üncü</w:t>
            </w:r>
            <w:r w:rsidR="000B6113" w:rsidRPr="00A23740">
              <w:rPr>
                <w:szCs w:val="24"/>
              </w:rPr>
              <w:t xml:space="preserve"> </w:t>
            </w:r>
            <w:r w:rsidRPr="00A23740">
              <w:rPr>
                <w:szCs w:val="24"/>
              </w:rPr>
              <w:t>maddesi iflas kararının kesinleşmesi</w:t>
            </w:r>
            <w:r w:rsidR="003D3C39" w:rsidRPr="00A23740">
              <w:rPr>
                <w:szCs w:val="24"/>
              </w:rPr>
              <w:t>yle</w:t>
            </w:r>
            <w:r w:rsidRPr="00A23740">
              <w:rPr>
                <w:szCs w:val="24"/>
              </w:rPr>
              <w:t xml:space="preserve"> takiplerin düşeceğini düzenlemiştir. Bu ilke doğal olarak takip dosyalarından konulan hacizlerin de düşmesi sonucunu doğurmaktadır. Önceki uygulamada rehin, üzerinde haciz bulunan bir mal</w:t>
            </w:r>
            <w:r w:rsidR="003D3C39" w:rsidRPr="00A23740">
              <w:rPr>
                <w:szCs w:val="24"/>
              </w:rPr>
              <w:t>da</w:t>
            </w:r>
            <w:r w:rsidRPr="00A23740">
              <w:rPr>
                <w:szCs w:val="24"/>
              </w:rPr>
              <w:t xml:space="preserve"> tesis edilmişse anılan düzenleme gereğince haciz düştüğünde rehin, serbest dereceden yararlanma hakkı benzeri bir avantaj kazanarak ilerlemekte ve mal bedelinden öncelikle rehin karşıla</w:t>
            </w:r>
            <w:r w:rsidR="000B6113" w:rsidRPr="00A23740">
              <w:rPr>
                <w:szCs w:val="24"/>
              </w:rPr>
              <w:t>n</w:t>
            </w:r>
            <w:r w:rsidRPr="00A23740">
              <w:rPr>
                <w:szCs w:val="24"/>
              </w:rPr>
              <w:t>maktadır. Bu uygulama daha önce konulmuş hacizlerin sağladığı kazanımın ortadan kalkmasına neden olmaktadır. Yapılan düzenleme</w:t>
            </w:r>
            <w:r w:rsidR="003D3C39" w:rsidRPr="00A23740">
              <w:rPr>
                <w:szCs w:val="24"/>
              </w:rPr>
              <w:t>yle</w:t>
            </w:r>
            <w:r w:rsidRPr="00A23740">
              <w:rPr>
                <w:szCs w:val="24"/>
              </w:rPr>
              <w:t xml:space="preserve"> mal üzerine rehnin tesisinden önce konulmuş bir haciz varsa</w:t>
            </w:r>
            <w:r w:rsidR="003D3C39" w:rsidRPr="00A23740">
              <w:rPr>
                <w:szCs w:val="24"/>
              </w:rPr>
              <w:t>,</w:t>
            </w:r>
            <w:r w:rsidRPr="00A23740">
              <w:rPr>
                <w:szCs w:val="24"/>
              </w:rPr>
              <w:t xml:space="preserve"> iflasla bu haciz düştüğünde bile bu haciz için sağlanan hak masaya intikal etmekte, bir diğer ifade</w:t>
            </w:r>
            <w:r w:rsidR="003D3C39" w:rsidRPr="00A23740">
              <w:rPr>
                <w:szCs w:val="24"/>
              </w:rPr>
              <w:t>şye</w:t>
            </w:r>
            <w:r w:rsidRPr="00A23740">
              <w:rPr>
                <w:szCs w:val="24"/>
              </w:rPr>
              <w:t xml:space="preserve"> mal bedelinden hacze isabet eden tutar masaya ayrıldıktan sonra kalan tutar rehinli alacaklıya verilmektedir. Böylelikle haciz yolu ile takiplerde edinilen haklar, takiplerin düşmesi</w:t>
            </w:r>
            <w:r w:rsidR="003D3C39" w:rsidRPr="00A23740">
              <w:rPr>
                <w:szCs w:val="24"/>
              </w:rPr>
              <w:t>yle</w:t>
            </w:r>
            <w:r w:rsidRPr="00A23740">
              <w:rPr>
                <w:szCs w:val="24"/>
              </w:rPr>
              <w:t xml:space="preserve"> yok olmamakta ve iflas </w:t>
            </w:r>
            <w:r w:rsidR="003D3C39" w:rsidRPr="00A23740">
              <w:rPr>
                <w:szCs w:val="24"/>
              </w:rPr>
              <w:t xml:space="preserve">masasına </w:t>
            </w:r>
            <w:r w:rsidRPr="00A23740">
              <w:rPr>
                <w:szCs w:val="24"/>
              </w:rPr>
              <w:t>aktarılmaktadır.</w:t>
            </w:r>
          </w:p>
          <w:p w:rsidR="00F32E7F" w:rsidRDefault="00F32E7F" w:rsidP="00DE5024">
            <w:pPr>
              <w:tabs>
                <w:tab w:val="left" w:pos="567"/>
              </w:tabs>
              <w:ind w:firstLine="709"/>
              <w:rPr>
                <w:szCs w:val="24"/>
              </w:rPr>
            </w:pPr>
            <w:r w:rsidRPr="00A23740">
              <w:rPr>
                <w:szCs w:val="24"/>
              </w:rPr>
              <w:t>Rehinli malların gerek masa gerekse de rehinli alacaklı tarafından satışını</w:t>
            </w:r>
            <w:r w:rsidR="003D3C39" w:rsidRPr="00A23740">
              <w:rPr>
                <w:szCs w:val="24"/>
              </w:rPr>
              <w:t>n</w:t>
            </w:r>
            <w:r w:rsidRPr="00A23740">
              <w:rPr>
                <w:szCs w:val="24"/>
              </w:rPr>
              <w:t xml:space="preserve"> iste</w:t>
            </w:r>
            <w:r w:rsidR="006E7025" w:rsidRPr="00A23740">
              <w:rPr>
                <w:szCs w:val="24"/>
              </w:rPr>
              <w:t>nmesi h</w:t>
            </w:r>
            <w:r w:rsidR="009D574E" w:rsidRPr="00A23740">
              <w:rPr>
                <w:szCs w:val="24"/>
              </w:rPr>
              <w:t>â</w:t>
            </w:r>
            <w:r w:rsidR="006E7025" w:rsidRPr="00A23740">
              <w:rPr>
                <w:szCs w:val="24"/>
              </w:rPr>
              <w:t>linde</w:t>
            </w:r>
            <w:r w:rsidR="003D3C39" w:rsidRPr="00A23740">
              <w:rPr>
                <w:szCs w:val="24"/>
              </w:rPr>
              <w:t>,</w:t>
            </w:r>
            <w:r w:rsidR="006E7025" w:rsidRPr="00A23740">
              <w:rPr>
                <w:szCs w:val="24"/>
              </w:rPr>
              <w:t xml:space="preserve"> satış </w:t>
            </w:r>
            <w:r w:rsidR="000E1AAA" w:rsidRPr="00D60C1D">
              <w:rPr>
                <w:rStyle w:val="YELChar"/>
                <w:b w:val="0"/>
                <w:color w:val="000000"/>
              </w:rPr>
              <w:t>Taslağın</w:t>
            </w:r>
            <w:r w:rsidR="000E1AAA" w:rsidRPr="00D60C1D">
              <w:rPr>
                <w:b/>
                <w:color w:val="000000"/>
                <w:szCs w:val="24"/>
              </w:rPr>
              <w:t xml:space="preserve"> </w:t>
            </w:r>
            <w:r w:rsidR="003F4580" w:rsidRPr="00D60C1D">
              <w:rPr>
                <w:rStyle w:val="KonuBalChar"/>
                <w:rFonts w:eastAsia="Calibri"/>
                <w:b w:val="0"/>
                <w:color w:val="000000"/>
              </w:rPr>
              <w:t>283 üncü</w:t>
            </w:r>
            <w:r w:rsidRPr="00A23740">
              <w:rPr>
                <w:szCs w:val="24"/>
              </w:rPr>
              <w:t xml:space="preserve"> maddesi gereğinc</w:t>
            </w:r>
            <w:r w:rsidR="00CE27BE">
              <w:rPr>
                <w:szCs w:val="24"/>
              </w:rPr>
              <w:t>e ilan edilecektir.</w:t>
            </w:r>
          </w:p>
          <w:p w:rsidR="00DE5024" w:rsidRPr="00A23740" w:rsidRDefault="00DE5024" w:rsidP="00DE5024">
            <w:pPr>
              <w:tabs>
                <w:tab w:val="left" w:pos="567"/>
              </w:tabs>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İhtiyaten veya </w:t>
            </w:r>
            <w:r w:rsidRPr="00A23740">
              <w:rPr>
                <w:b/>
                <w:bCs/>
                <w:strike/>
                <w:color w:val="FF0000"/>
                <w:szCs w:val="24"/>
              </w:rPr>
              <w:t>icraen</w:t>
            </w:r>
            <w:r w:rsidRPr="00A23740">
              <w:rPr>
                <w:szCs w:val="24"/>
              </w:rPr>
              <w:t xml:space="preserve"> haczedilen </w:t>
            </w:r>
            <w:r w:rsidRPr="00A23740">
              <w:rPr>
                <w:b/>
                <w:bCs/>
                <w:strike/>
                <w:color w:val="FF0000"/>
                <w:szCs w:val="24"/>
              </w:rPr>
              <w:t>şeyler:</w:t>
            </w:r>
          </w:p>
          <w:p w:rsidR="00AA5C8C" w:rsidRPr="00A23740" w:rsidRDefault="00AA5C8C" w:rsidP="009431FF">
            <w:pPr>
              <w:tabs>
                <w:tab w:val="left" w:pos="567"/>
              </w:tabs>
              <w:rPr>
                <w:b/>
                <w:szCs w:val="24"/>
              </w:rPr>
            </w:pPr>
            <w:r w:rsidRPr="00A23740">
              <w:rPr>
                <w:rStyle w:val="KIRMIZIChar"/>
                <w:rFonts w:eastAsia="Calibri"/>
              </w:rPr>
              <w:t>Madde 186 – (1) (Değişik</w:t>
            </w:r>
            <w:r w:rsidRPr="00A23740">
              <w:rPr>
                <w:b/>
                <w:bCs/>
                <w:strike/>
                <w:color w:val="FF0000"/>
                <w:szCs w:val="24"/>
              </w:rPr>
              <w:t>: 18/2/1965 - 538/94 md.)</w:t>
            </w:r>
          </w:p>
          <w:p w:rsidR="00AA5C8C" w:rsidRPr="00A23740" w:rsidRDefault="00AA5C8C" w:rsidP="009431FF">
            <w:pPr>
              <w:tabs>
                <w:tab w:val="left" w:pos="567"/>
              </w:tabs>
              <w:rPr>
                <w:szCs w:val="24"/>
              </w:rPr>
            </w:pPr>
            <w:r w:rsidRPr="00A23740">
              <w:rPr>
                <w:szCs w:val="24"/>
              </w:rPr>
              <w:t>İhtiyaten haczedilmiş mallar</w:t>
            </w:r>
            <w:r w:rsidRPr="00A83E21">
              <w:rPr>
                <w:rStyle w:val="KIRMIZIChar"/>
                <w:rFonts w:eastAsia="Calibri"/>
              </w:rPr>
              <w:t>la</w:t>
            </w:r>
            <w:r w:rsidRPr="00A23740">
              <w:rPr>
                <w:szCs w:val="24"/>
              </w:rPr>
              <w:t xml:space="preserve"> iflas </w:t>
            </w:r>
            <w:r w:rsidRPr="00A83E21">
              <w:rPr>
                <w:rStyle w:val="KIRMIZIChar"/>
                <w:rFonts w:eastAsia="Calibri"/>
              </w:rPr>
              <w:t>açıldığı zaman</w:t>
            </w:r>
            <w:r w:rsidRPr="00A23740">
              <w:rPr>
                <w:szCs w:val="24"/>
              </w:rPr>
              <w:t xml:space="preserve"> paraya çevrilme</w:t>
            </w:r>
            <w:r w:rsidR="00C42DF2" w:rsidRPr="00A23740">
              <w:rPr>
                <w:szCs w:val="24"/>
              </w:rPr>
              <w:t xml:space="preserve">miş </w:t>
            </w:r>
            <w:r w:rsidR="00C42DF2" w:rsidRPr="00A83E21">
              <w:rPr>
                <w:rStyle w:val="KIRMIZIChar"/>
                <w:rFonts w:eastAsia="Calibri"/>
              </w:rPr>
              <w:t>mahcuz</w:t>
            </w:r>
            <w:r w:rsidR="00C42DF2" w:rsidRPr="00A23740">
              <w:rPr>
                <w:szCs w:val="24"/>
              </w:rPr>
              <w:t xml:space="preserve"> mallar masaya girer.</w:t>
            </w:r>
          </w:p>
          <w:p w:rsidR="00C42DF2" w:rsidRPr="00A23740" w:rsidRDefault="00C42DF2"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İflasın açılmasından </w:t>
            </w:r>
            <w:r w:rsidRPr="00A23740">
              <w:rPr>
                <w:b/>
                <w:bCs/>
                <w:strike/>
                <w:color w:val="FF0000"/>
                <w:szCs w:val="24"/>
              </w:rPr>
              <w:t>evvel</w:t>
            </w:r>
            <w:r w:rsidRPr="00A23740">
              <w:rPr>
                <w:szCs w:val="24"/>
              </w:rPr>
              <w:t xml:space="preserve"> paraya çevrilmiş </w:t>
            </w:r>
            <w:r w:rsidRPr="00A83E21">
              <w:rPr>
                <w:rStyle w:val="KIRMIZIChar"/>
                <w:rFonts w:eastAsia="Calibri"/>
              </w:rPr>
              <w:t>bulunan</w:t>
            </w:r>
            <w:r w:rsidRPr="00A23740">
              <w:rPr>
                <w:szCs w:val="24"/>
              </w:rPr>
              <w:t xml:space="preserve"> </w:t>
            </w:r>
            <w:r w:rsidRPr="00A23740">
              <w:rPr>
                <w:b/>
                <w:bCs/>
                <w:strike/>
                <w:color w:val="FF0000"/>
                <w:szCs w:val="24"/>
              </w:rPr>
              <w:t>mahcuz</w:t>
            </w:r>
            <w:r w:rsidRPr="00A23740">
              <w:rPr>
                <w:szCs w:val="24"/>
              </w:rPr>
              <w:t xml:space="preserve"> malların bedeli, </w:t>
            </w:r>
            <w:r w:rsidRPr="00A83E21">
              <w:rPr>
                <w:rStyle w:val="KIRMIZIChar"/>
                <w:rFonts w:eastAsia="Calibri"/>
              </w:rPr>
              <w:t>138 ila 144 üncü</w:t>
            </w:r>
            <w:r w:rsidRPr="00A23740">
              <w:rPr>
                <w:szCs w:val="24"/>
              </w:rPr>
              <w:t xml:space="preserve"> maddeler hükümlerine göre haciz koyduran alacaklılar</w:t>
            </w:r>
            <w:r w:rsidRPr="00A83E21">
              <w:rPr>
                <w:rStyle w:val="KIRMIZIChar"/>
                <w:rFonts w:eastAsia="Calibri"/>
              </w:rPr>
              <w:t>a</w:t>
            </w:r>
            <w:r w:rsidRPr="00A23740">
              <w:rPr>
                <w:szCs w:val="24"/>
              </w:rPr>
              <w:t xml:space="preserve"> paylaştırılır. Artan kısım iflas masasına intikal eder.</w:t>
            </w:r>
          </w:p>
        </w:tc>
        <w:tc>
          <w:tcPr>
            <w:tcW w:w="2500" w:type="pct"/>
          </w:tcPr>
          <w:p w:rsidR="00AA5C8C" w:rsidRPr="00A23740" w:rsidRDefault="00AA5C8C" w:rsidP="009431FF">
            <w:pPr>
              <w:tabs>
                <w:tab w:val="left" w:pos="567"/>
              </w:tabs>
              <w:rPr>
                <w:b/>
                <w:szCs w:val="24"/>
              </w:rPr>
            </w:pPr>
            <w:r w:rsidRPr="00A23740">
              <w:rPr>
                <w:b/>
                <w:szCs w:val="24"/>
              </w:rPr>
              <w:t xml:space="preserve">İhtiyaten veya </w:t>
            </w:r>
            <w:r w:rsidRPr="00A23740">
              <w:rPr>
                <w:b/>
                <w:color w:val="0000FF"/>
                <w:szCs w:val="24"/>
              </w:rPr>
              <w:t>kesin olarak</w:t>
            </w:r>
            <w:r w:rsidRPr="00A23740">
              <w:rPr>
                <w:b/>
                <w:szCs w:val="24"/>
              </w:rPr>
              <w:t xml:space="preserve"> haczedilen </w:t>
            </w:r>
            <w:r w:rsidRPr="00A23740">
              <w:rPr>
                <w:b/>
                <w:color w:val="0000FF"/>
                <w:szCs w:val="24"/>
              </w:rPr>
              <w:t>mal ve haklar</w:t>
            </w:r>
          </w:p>
          <w:p w:rsidR="00AA5C8C" w:rsidRPr="00A23740" w:rsidRDefault="0025055D" w:rsidP="009431FF">
            <w:pPr>
              <w:tabs>
                <w:tab w:val="left" w:pos="567"/>
              </w:tabs>
              <w:rPr>
                <w:szCs w:val="24"/>
              </w:rPr>
            </w:pPr>
            <w:r w:rsidRPr="00A23740">
              <w:rPr>
                <w:rStyle w:val="MAVChar"/>
                <w:rFonts w:eastAsia="Calibri"/>
                <w:u w:val="none"/>
              </w:rPr>
              <w:t>MADDE 296</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 xml:space="preserve">İhtiyaten haczedilmiş </w:t>
            </w:r>
            <w:r w:rsidR="00AA5C8C" w:rsidRPr="00A83E21">
              <w:rPr>
                <w:rStyle w:val="MaviChar"/>
                <w:b w:val="0"/>
                <w:color w:val="auto"/>
              </w:rPr>
              <w:t>mallar</w:t>
            </w:r>
            <w:r w:rsidR="00AA5C8C" w:rsidRPr="00A83E21">
              <w:rPr>
                <w:rStyle w:val="MaviChar"/>
                <w:color w:val="auto"/>
              </w:rPr>
              <w:t xml:space="preserve"> </w:t>
            </w:r>
            <w:r w:rsidR="00AA5C8C" w:rsidRPr="00A23740">
              <w:rPr>
                <w:rStyle w:val="MaviChar"/>
              </w:rPr>
              <w:t>ile</w:t>
            </w:r>
            <w:r w:rsidR="00AA5C8C" w:rsidRPr="00A23740">
              <w:rPr>
                <w:szCs w:val="24"/>
              </w:rPr>
              <w:t xml:space="preserve"> iflas</w:t>
            </w:r>
            <w:r w:rsidR="00AA5C8C" w:rsidRPr="00A23740">
              <w:rPr>
                <w:rStyle w:val="MaviChar"/>
              </w:rPr>
              <w:t>ın açılması anında</w:t>
            </w:r>
            <w:r w:rsidR="00050E09" w:rsidRPr="00A23740">
              <w:rPr>
                <w:rStyle w:val="MaviChar"/>
                <w:lang w:val="tr-TR"/>
              </w:rPr>
              <w:t xml:space="preserve"> </w:t>
            </w:r>
            <w:r w:rsidR="00050E09" w:rsidRPr="00E5316E">
              <w:rPr>
                <w:rStyle w:val="MaviChar"/>
              </w:rPr>
              <w:t>henüz</w:t>
            </w:r>
            <w:r w:rsidR="00AA5C8C" w:rsidRPr="00A23740">
              <w:rPr>
                <w:szCs w:val="24"/>
              </w:rPr>
              <w:t xml:space="preserve"> paraya çevrilmemiş</w:t>
            </w:r>
            <w:r w:rsidR="00050E09" w:rsidRPr="00A23740">
              <w:rPr>
                <w:szCs w:val="24"/>
              </w:rPr>
              <w:t xml:space="preserve"> </w:t>
            </w:r>
            <w:r w:rsidR="00050E09" w:rsidRPr="00E5316E">
              <w:rPr>
                <w:rStyle w:val="MaviChar"/>
              </w:rPr>
              <w:t>olan</w:t>
            </w:r>
            <w:r w:rsidR="00AA5C8C" w:rsidRPr="00A23740">
              <w:rPr>
                <w:szCs w:val="24"/>
              </w:rPr>
              <w:t xml:space="preserve"> </w:t>
            </w:r>
            <w:r w:rsidR="00AA5C8C" w:rsidRPr="00A23740">
              <w:rPr>
                <w:rStyle w:val="MaviChar"/>
              </w:rPr>
              <w:t>hacizli</w:t>
            </w:r>
            <w:r w:rsidR="00AA5C8C" w:rsidRPr="00A23740">
              <w:rPr>
                <w:szCs w:val="24"/>
              </w:rPr>
              <w:t xml:space="preserve"> mallar</w:t>
            </w:r>
            <w:r w:rsidR="00050E09" w:rsidRPr="00A23740">
              <w:rPr>
                <w:szCs w:val="24"/>
              </w:rPr>
              <w:t xml:space="preserve"> </w:t>
            </w:r>
            <w:r w:rsidR="00050E09" w:rsidRPr="00E5316E">
              <w:rPr>
                <w:rStyle w:val="MaviChar"/>
              </w:rPr>
              <w:t>da</w:t>
            </w:r>
            <w:r w:rsidR="00AA5C8C" w:rsidRPr="00A23740">
              <w:rPr>
                <w:szCs w:val="24"/>
              </w:rPr>
              <w:t xml:space="preserve"> masaya girer.</w:t>
            </w:r>
          </w:p>
          <w:p w:rsidR="00AA5C8C" w:rsidRPr="00A23740" w:rsidRDefault="00AA5C8C" w:rsidP="009431FF">
            <w:pPr>
              <w:tabs>
                <w:tab w:val="left" w:pos="567"/>
              </w:tabs>
              <w:rPr>
                <w:szCs w:val="24"/>
              </w:rPr>
            </w:pPr>
          </w:p>
          <w:p w:rsidR="00C42DF2" w:rsidRPr="00A23740" w:rsidRDefault="00C42DF2"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İflasın açılmasından </w:t>
            </w:r>
            <w:r w:rsidRPr="00A23740">
              <w:rPr>
                <w:b/>
                <w:color w:val="0000FF"/>
                <w:szCs w:val="24"/>
              </w:rPr>
              <w:t>önce</w:t>
            </w:r>
            <w:r w:rsidRPr="00A23740">
              <w:rPr>
                <w:szCs w:val="24"/>
              </w:rPr>
              <w:t xml:space="preserve"> paraya çevrilmiş </w:t>
            </w:r>
            <w:r w:rsidRPr="00A23740">
              <w:rPr>
                <w:rStyle w:val="MaviChar"/>
              </w:rPr>
              <w:t xml:space="preserve">hacizli </w:t>
            </w:r>
            <w:r w:rsidRPr="00A83E21">
              <w:rPr>
                <w:rStyle w:val="MaviChar"/>
                <w:b w:val="0"/>
                <w:color w:val="auto"/>
              </w:rPr>
              <w:t>malların</w:t>
            </w:r>
            <w:r w:rsidRPr="00A83E21">
              <w:rPr>
                <w:szCs w:val="24"/>
              </w:rPr>
              <w:t xml:space="preserve"> </w:t>
            </w:r>
            <w:r w:rsidRPr="00A23740">
              <w:rPr>
                <w:szCs w:val="24"/>
              </w:rPr>
              <w:t xml:space="preserve">bedeli, </w:t>
            </w:r>
            <w:r w:rsidR="00F50844" w:rsidRPr="00E5316E">
              <w:rPr>
                <w:rStyle w:val="MaviChar"/>
              </w:rPr>
              <w:t>258 inci</w:t>
            </w:r>
            <w:r w:rsidR="00F50844" w:rsidRPr="00A23740">
              <w:rPr>
                <w:szCs w:val="24"/>
              </w:rPr>
              <w:t xml:space="preserve"> </w:t>
            </w:r>
            <w:r w:rsidRPr="00A23740">
              <w:rPr>
                <w:szCs w:val="24"/>
              </w:rPr>
              <w:t>il</w:t>
            </w:r>
            <w:r w:rsidR="00F25FDB" w:rsidRPr="00A23740">
              <w:rPr>
                <w:szCs w:val="24"/>
              </w:rPr>
              <w:t>a</w:t>
            </w:r>
            <w:r w:rsidR="00F50844" w:rsidRPr="00A23740">
              <w:rPr>
                <w:szCs w:val="24"/>
              </w:rPr>
              <w:t xml:space="preserve"> </w:t>
            </w:r>
            <w:r w:rsidR="0089482F" w:rsidRPr="00E5316E">
              <w:rPr>
                <w:rStyle w:val="MaviChar"/>
              </w:rPr>
              <w:t>264 üncü</w:t>
            </w:r>
            <w:r w:rsidRPr="00A23740">
              <w:rPr>
                <w:rStyle w:val="MaviChar"/>
              </w:rPr>
              <w:t xml:space="preserve"> ve</w:t>
            </w:r>
            <w:r w:rsidR="00F50844" w:rsidRPr="00A23740">
              <w:rPr>
                <w:rStyle w:val="MaviChar"/>
                <w:lang w:val="tr-TR"/>
              </w:rPr>
              <w:t xml:space="preserve"> </w:t>
            </w:r>
            <w:r w:rsidR="00F50844" w:rsidRPr="00E5316E">
              <w:rPr>
                <w:rStyle w:val="MaviChar"/>
              </w:rPr>
              <w:t xml:space="preserve">266 </w:t>
            </w:r>
            <w:r w:rsidR="0089482F" w:rsidRPr="00E5316E">
              <w:rPr>
                <w:rStyle w:val="MaviChar"/>
              </w:rPr>
              <w:t>ile</w:t>
            </w:r>
            <w:r w:rsidR="00F50844" w:rsidRPr="00E5316E">
              <w:rPr>
                <w:rStyle w:val="MaviChar"/>
              </w:rPr>
              <w:t xml:space="preserve"> 267 nci</w:t>
            </w:r>
            <w:r w:rsidR="00625A40" w:rsidRPr="00E5316E">
              <w:rPr>
                <w:rStyle w:val="MaviChar"/>
              </w:rPr>
              <w:t>, 477  ve 480 inci</w:t>
            </w:r>
            <w:r w:rsidR="00625A40" w:rsidRPr="00A23740">
              <w:rPr>
                <w:rStyle w:val="KonuBalChar"/>
                <w:rFonts w:eastAsia="Calibri"/>
              </w:rPr>
              <w:t xml:space="preserve"> </w:t>
            </w:r>
            <w:r w:rsidR="00050E09" w:rsidRPr="00A83E21">
              <w:rPr>
                <w:rStyle w:val="MaviChar"/>
                <w:b w:val="0"/>
                <w:color w:val="auto"/>
              </w:rPr>
              <w:t>maddeler</w:t>
            </w:r>
            <w:r w:rsidRPr="00A83E21">
              <w:rPr>
                <w:szCs w:val="24"/>
              </w:rPr>
              <w:t xml:space="preserve"> </w:t>
            </w:r>
            <w:r w:rsidRPr="00A23740">
              <w:rPr>
                <w:szCs w:val="24"/>
              </w:rPr>
              <w:t xml:space="preserve">hükümlerine göre haciz koyduran alacaklılar </w:t>
            </w:r>
            <w:r w:rsidRPr="00A23740">
              <w:rPr>
                <w:rStyle w:val="MaviChar"/>
              </w:rPr>
              <w:t>arasında</w:t>
            </w:r>
            <w:r w:rsidRPr="00A23740">
              <w:rPr>
                <w:szCs w:val="24"/>
              </w:rPr>
              <w:t xml:space="preserve"> paylaştırılır. Artan kısım iflas masasına intikal eder.</w:t>
            </w:r>
          </w:p>
          <w:p w:rsidR="00AA5C8C" w:rsidRPr="00A23740" w:rsidRDefault="00AA5C8C" w:rsidP="009431FF">
            <w:pPr>
              <w:tabs>
                <w:tab w:val="left" w:pos="567"/>
              </w:tabs>
              <w:rPr>
                <w:b/>
                <w:color w:val="FF0000"/>
                <w:szCs w:val="24"/>
              </w:rPr>
            </w:pPr>
          </w:p>
          <w:p w:rsidR="00AA5C8C" w:rsidRPr="00A23740" w:rsidRDefault="00AA5C8C" w:rsidP="009431FF">
            <w:pPr>
              <w:tabs>
                <w:tab w:val="left" w:pos="567"/>
              </w:tabs>
              <w:rPr>
                <w:b/>
                <w:color w:val="0000FF"/>
                <w:szCs w:val="24"/>
              </w:rPr>
            </w:pPr>
            <w:r w:rsidRPr="00A23740">
              <w:rPr>
                <w:b/>
                <w:color w:val="0000FF"/>
                <w:szCs w:val="24"/>
              </w:rPr>
              <w:t xml:space="preserve">(3) </w:t>
            </w:r>
            <w:r w:rsidRPr="00A23740">
              <w:rPr>
                <w:rStyle w:val="MaviChar"/>
              </w:rPr>
              <w:t>Maaş ve ücretler dahil olmak üzere,</w:t>
            </w:r>
            <w:r w:rsidRPr="00A23740">
              <w:rPr>
                <w:rStyle w:val="MaviChar"/>
                <w:lang w:val="tr-TR"/>
              </w:rPr>
              <w:t xml:space="preserve"> </w:t>
            </w:r>
            <w:r w:rsidRPr="00A23740">
              <w:rPr>
                <w:b/>
                <w:color w:val="0000FF"/>
                <w:szCs w:val="24"/>
              </w:rPr>
              <w:t>iflasın açılmasından ön</w:t>
            </w:r>
            <w:r w:rsidRPr="00A23740">
              <w:rPr>
                <w:rStyle w:val="MaviChar"/>
              </w:rPr>
              <w:t>ce haczedilerek icra</w:t>
            </w:r>
            <w:r w:rsidR="00B73523" w:rsidRPr="00A23740">
              <w:rPr>
                <w:b/>
                <w:color w:val="538135"/>
              </w:rPr>
              <w:t xml:space="preserve"> </w:t>
            </w:r>
            <w:r w:rsidR="00B73523" w:rsidRPr="00E5316E">
              <w:rPr>
                <w:rStyle w:val="MaviChar"/>
              </w:rPr>
              <w:t>ve iflas</w:t>
            </w:r>
            <w:r w:rsidRPr="00A23740">
              <w:rPr>
                <w:rStyle w:val="MaviChar"/>
              </w:rPr>
              <w:t xml:space="preserve"> dairesinin banka hesabına yatırılan</w:t>
            </w:r>
            <w:r w:rsidRPr="00A23740">
              <w:rPr>
                <w:rStyle w:val="MaviChar"/>
                <w:lang w:val="tr-TR"/>
              </w:rPr>
              <w:t xml:space="preserve"> </w:t>
            </w:r>
            <w:r w:rsidRPr="00A23740">
              <w:rPr>
                <w:rStyle w:val="MaviChar"/>
              </w:rPr>
              <w:t>veya 11 inci</w:t>
            </w:r>
            <w:r w:rsidR="002D0D5A" w:rsidRPr="00A23740">
              <w:rPr>
                <w:rStyle w:val="MaviChar"/>
                <w:lang w:val="tr-TR"/>
              </w:rPr>
              <w:t xml:space="preserve"> </w:t>
            </w:r>
            <w:r w:rsidRPr="00A23740">
              <w:rPr>
                <w:rStyle w:val="MaviChar"/>
              </w:rPr>
              <w:t>maddenin ikinci fıkrası hükmüne göre ödenen paralar</w:t>
            </w:r>
            <w:r w:rsidRPr="00A23740">
              <w:rPr>
                <w:rStyle w:val="MaviChar"/>
                <w:lang w:val="tr-TR"/>
              </w:rPr>
              <w:t xml:space="preserve"> </w:t>
            </w:r>
            <w:r w:rsidRPr="00A23740">
              <w:rPr>
                <w:b/>
                <w:color w:val="0000FF"/>
                <w:szCs w:val="24"/>
              </w:rPr>
              <w:t>iflas masasına girmez.</w:t>
            </w:r>
          </w:p>
          <w:p w:rsidR="00AA5C8C" w:rsidRPr="00A23740" w:rsidRDefault="00AA5C8C" w:rsidP="009431FF">
            <w:pPr>
              <w:tabs>
                <w:tab w:val="left" w:pos="567"/>
              </w:tabs>
              <w:rPr>
                <w:szCs w:val="24"/>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16157" w:rsidRPr="00A23740" w:rsidRDefault="00D16157" w:rsidP="009431FF">
            <w:pPr>
              <w:tabs>
                <w:tab w:val="left" w:pos="567"/>
              </w:tabs>
              <w:ind w:firstLine="709"/>
              <w:rPr>
                <w:b/>
              </w:rPr>
            </w:pPr>
          </w:p>
          <w:p w:rsidR="00F32E7F" w:rsidRPr="00A23740" w:rsidRDefault="0025055D" w:rsidP="009431FF">
            <w:pPr>
              <w:tabs>
                <w:tab w:val="left" w:pos="567"/>
              </w:tabs>
              <w:ind w:firstLine="709"/>
              <w:rPr>
                <w:b/>
                <w:szCs w:val="24"/>
              </w:rPr>
            </w:pPr>
            <w:r w:rsidRPr="00A23740">
              <w:rPr>
                <w:b/>
              </w:rPr>
              <w:t>MADDE 296</w:t>
            </w:r>
            <w:r w:rsidR="00D16157" w:rsidRPr="00A23740">
              <w:rPr>
                <w:b/>
              </w:rPr>
              <w:t>-</w:t>
            </w:r>
            <w:r w:rsidR="00D16157" w:rsidRPr="00A23740">
              <w:t xml:space="preserve"> Maddeyle, </w:t>
            </w:r>
            <w:r w:rsidR="00D16157" w:rsidRPr="00A23740">
              <w:rPr>
                <w:szCs w:val="24"/>
              </w:rPr>
              <w:t>ihtiyaten veya kesin olarak haczedilen mal ve haklara ilişkin hususlar düzenlenmektedir. Hüküm, 2004 sayılı Kanunun 186 ncı maddesine karşılık gelmektedir.</w:t>
            </w:r>
            <w:r w:rsidR="00D16157" w:rsidRPr="00A23740">
              <w:rPr>
                <w:b/>
                <w:szCs w:val="24"/>
              </w:rPr>
              <w:t xml:space="preserve"> </w:t>
            </w:r>
          </w:p>
          <w:p w:rsidR="00F32E7F" w:rsidRPr="00A23740" w:rsidRDefault="00F32E7F" w:rsidP="009431FF">
            <w:pPr>
              <w:ind w:firstLine="709"/>
            </w:pPr>
            <w:r w:rsidRPr="00A23740">
              <w:t>Madde, iflasın açılmasından önce ihtiyaten ve</w:t>
            </w:r>
            <w:r w:rsidR="003D3C39" w:rsidRPr="00A23740">
              <w:t>ya</w:t>
            </w:r>
            <w:r w:rsidRPr="00A23740">
              <w:t xml:space="preserve"> kesin olarak haczedilen müflise ait malların akıbeti hakkında bir düzen</w:t>
            </w:r>
            <w:r w:rsidR="00526267" w:rsidRPr="00A23740">
              <w:t>leme</w:t>
            </w:r>
            <w:r w:rsidR="003D3C39" w:rsidRPr="00A23740">
              <w:t>yi içermektedir</w:t>
            </w:r>
            <w:r w:rsidR="00526267" w:rsidRPr="00A23740">
              <w:t>.</w:t>
            </w:r>
            <w:r w:rsidRPr="00A23740">
              <w:t xml:space="preserve"> Maddenin ilk fıkrası gereğince iflasın açıldığı an </w:t>
            </w:r>
            <w:r w:rsidR="00A83E21">
              <w:t>itibarıyla</w:t>
            </w:r>
            <w:r w:rsidRPr="00A23740">
              <w:t xml:space="preserve"> ihtiyaten haczedilmiş veya </w:t>
            </w:r>
            <w:r w:rsidR="00526267" w:rsidRPr="00D60C1D">
              <w:rPr>
                <w:color w:val="000000"/>
              </w:rPr>
              <w:t>henüz</w:t>
            </w:r>
            <w:r w:rsidR="00526267" w:rsidRPr="00A23740">
              <w:t xml:space="preserve"> </w:t>
            </w:r>
            <w:r w:rsidRPr="00A23740">
              <w:t>paraya çevrilmemiş kesin hacze konu mallar i</w:t>
            </w:r>
            <w:r w:rsidR="00D16157" w:rsidRPr="00A23740">
              <w:t xml:space="preserve">flas masasına dahil olacaktır. </w:t>
            </w:r>
          </w:p>
          <w:p w:rsidR="00CA32F8" w:rsidRPr="00A23740" w:rsidRDefault="00F32E7F" w:rsidP="009431FF">
            <w:pPr>
              <w:ind w:firstLine="709"/>
            </w:pPr>
            <w:r w:rsidRPr="00A23740">
              <w:t>İflasın açılmasından önce paraya çevrilmiş mahcuzların bed</w:t>
            </w:r>
            <w:r w:rsidR="00CA32F8" w:rsidRPr="00A23740">
              <w:t>eli ise maddenin ikinci fıkrası</w:t>
            </w:r>
            <w:r w:rsidRPr="00A23740">
              <w:t xml:space="preserve"> gereğince takip alacaklısına ödenecektir. </w:t>
            </w:r>
            <w:r w:rsidR="00CA32F8" w:rsidRPr="00D60C1D">
              <w:rPr>
                <w:rStyle w:val="YELChar"/>
                <w:b w:val="0"/>
                <w:color w:val="000000"/>
              </w:rPr>
              <w:t xml:space="preserve">Bundan sonra </w:t>
            </w:r>
            <w:r w:rsidR="003D3C39" w:rsidRPr="00D60C1D">
              <w:rPr>
                <w:rStyle w:val="YELChar"/>
                <w:b w:val="0"/>
                <w:color w:val="000000"/>
              </w:rPr>
              <w:t xml:space="preserve">bir </w:t>
            </w:r>
            <w:r w:rsidR="00CA32F8" w:rsidRPr="00D60C1D">
              <w:rPr>
                <w:rStyle w:val="YELChar"/>
                <w:b w:val="0"/>
                <w:color w:val="000000"/>
              </w:rPr>
              <w:t>bakiye kalması h</w:t>
            </w:r>
            <w:r w:rsidR="009D574E" w:rsidRPr="00D60C1D">
              <w:rPr>
                <w:rStyle w:val="YELChar"/>
                <w:b w:val="0"/>
                <w:color w:val="000000"/>
              </w:rPr>
              <w:t>â</w:t>
            </w:r>
            <w:r w:rsidR="00CA32F8" w:rsidRPr="00D60C1D">
              <w:rPr>
                <w:rStyle w:val="YELChar"/>
                <w:b w:val="0"/>
                <w:color w:val="000000"/>
              </w:rPr>
              <w:t>linde</w:t>
            </w:r>
            <w:r w:rsidR="003D3C39" w:rsidRPr="00D60C1D">
              <w:rPr>
                <w:rStyle w:val="YELChar"/>
                <w:b w:val="0"/>
                <w:color w:val="000000"/>
              </w:rPr>
              <w:t>,</w:t>
            </w:r>
            <w:r w:rsidR="00CA32F8" w:rsidRPr="00D60C1D">
              <w:rPr>
                <w:rStyle w:val="YELChar"/>
                <w:b w:val="0"/>
                <w:color w:val="000000"/>
              </w:rPr>
              <w:t xml:space="preserve"> bu </w:t>
            </w:r>
            <w:r w:rsidR="003D3C39" w:rsidRPr="00D60C1D">
              <w:rPr>
                <w:rStyle w:val="YELChar"/>
                <w:b w:val="0"/>
                <w:color w:val="000000"/>
              </w:rPr>
              <w:t xml:space="preserve">bakiye </w:t>
            </w:r>
            <w:r w:rsidR="00CA32F8" w:rsidRPr="00D60C1D">
              <w:rPr>
                <w:rStyle w:val="YELChar"/>
                <w:b w:val="0"/>
                <w:color w:val="000000"/>
              </w:rPr>
              <w:t>masaya intikal edecektir.</w:t>
            </w:r>
          </w:p>
          <w:p w:rsidR="00F32E7F" w:rsidRPr="00A23740" w:rsidRDefault="00F32E7F" w:rsidP="009431FF">
            <w:pPr>
              <w:ind w:firstLine="709"/>
            </w:pPr>
            <w:r w:rsidRPr="00A23740">
              <w:t>Paraya çevirmenin diğer bir yöntemi olan pazarlıkla satışın iflastan önce gerçekleşmesi durumunda da satış bedelinin önce alacaklıya ödenmesi gerekecektir. Paraya çevirme sonucunda alacaklının alacağını almasından sonra bir bedel kalırsa</w:t>
            </w:r>
            <w:r w:rsidR="003D3C39" w:rsidRPr="00A23740">
              <w:t>,</w:t>
            </w:r>
            <w:r w:rsidRPr="00A23740">
              <w:t xml:space="preserve"> bu bedel de masaya intikal edecektir. </w:t>
            </w:r>
            <w:r w:rsidR="00BB25E0" w:rsidRPr="00D60C1D">
              <w:rPr>
                <w:rStyle w:val="YELChar"/>
                <w:b w:val="0"/>
                <w:color w:val="000000"/>
              </w:rPr>
              <w:t>Pazarlık suretiyle paraya çevirmeden elde eldilen bedel konusunda yapılacak değerlendirmede satış anı esas alınacaktır. Bu bağlamda mülkiyetin nakli zamanı değerlendirmeye esas alınmayacaktır.</w:t>
            </w:r>
            <w:r w:rsidR="00BB25E0" w:rsidRPr="00A23740">
              <w:rPr>
                <w:rStyle w:val="YELChar"/>
              </w:rPr>
              <w:t xml:space="preserve"> </w:t>
            </w:r>
            <w:r w:rsidR="008968E3">
              <w:t xml:space="preserve"> </w:t>
            </w:r>
          </w:p>
          <w:p w:rsidR="00F32E7F" w:rsidRPr="00A23740" w:rsidRDefault="00F32E7F" w:rsidP="009431FF">
            <w:pPr>
              <w:ind w:firstLine="709"/>
            </w:pPr>
            <w:r w:rsidRPr="00A23740">
              <w:t>Maddenin son fıkrasında da iflasın açılmasından önce haczedilen ve banka hesabına yatan maaş ve ücretlerin de iflas masasına dahil olmayacağı açıklığa kavuşturulmuştur.</w:t>
            </w:r>
          </w:p>
          <w:p w:rsidR="00BB25E0" w:rsidRPr="00A23740" w:rsidRDefault="00BB25E0" w:rsidP="00DE5024">
            <w:pPr>
              <w:ind w:firstLine="709"/>
              <w:rPr>
                <w:b/>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 w:val="center" w:pos="3543"/>
              </w:tabs>
              <w:rPr>
                <w:szCs w:val="24"/>
              </w:rPr>
            </w:pPr>
            <w:r w:rsidRPr="00A23740">
              <w:rPr>
                <w:szCs w:val="24"/>
              </w:rPr>
              <w:t>İptal davasına tabi haklar</w:t>
            </w:r>
            <w:r w:rsidRPr="00A23740">
              <w:rPr>
                <w:b/>
                <w:bCs/>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187 – (1)</w:t>
            </w:r>
            <w:r w:rsidRPr="00A23740">
              <w:rPr>
                <w:b/>
                <w:szCs w:val="24"/>
              </w:rPr>
              <w:t xml:space="preserve"> </w:t>
            </w:r>
            <w:r w:rsidRPr="00A83E21">
              <w:rPr>
                <w:rStyle w:val="KIRMIZIChar"/>
                <w:rFonts w:eastAsia="Calibri"/>
              </w:rPr>
              <w:t>201 inci madde ile 277 den 284 üncüye ka</w:t>
            </w:r>
            <w:r w:rsidRPr="00A23740">
              <w:rPr>
                <w:rStyle w:val="KIRMIZIChar"/>
                <w:rFonts w:eastAsia="Calibri"/>
              </w:rPr>
              <w:t>dar olan maddeler mucibince iptal davasına mevzu olabilecek bütün şeylerin masaya intikali için iflas idaresi lazımgelen</w:t>
            </w:r>
            <w:r w:rsidRPr="00A83E21">
              <w:rPr>
                <w:rStyle w:val="KIRMIZIChar"/>
                <w:rFonts w:eastAsia="Calibri"/>
                <w:strike w:val="0"/>
              </w:rPr>
              <w:t xml:space="preserve"> </w:t>
            </w:r>
            <w:r w:rsidRPr="00A83E21">
              <w:rPr>
                <w:rStyle w:val="KIRMIZIChar"/>
                <w:rFonts w:eastAsia="Calibri"/>
                <w:b w:val="0"/>
                <w:strike w:val="0"/>
                <w:color w:val="auto"/>
              </w:rPr>
              <w:t>davaları açar.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 xml:space="preserve">İptal davasına tabi </w:t>
            </w:r>
            <w:r w:rsidRPr="00A23740">
              <w:rPr>
                <w:b/>
                <w:color w:val="0000FF"/>
                <w:szCs w:val="24"/>
              </w:rPr>
              <w:t>mal ve</w:t>
            </w:r>
            <w:r w:rsidRPr="00A23740">
              <w:rPr>
                <w:b/>
                <w:szCs w:val="24"/>
              </w:rPr>
              <w:t xml:space="preserve"> haklar</w:t>
            </w:r>
          </w:p>
          <w:p w:rsidR="00E8553A" w:rsidRPr="008968E3" w:rsidRDefault="0025055D" w:rsidP="009431FF">
            <w:pPr>
              <w:tabs>
                <w:tab w:val="left" w:pos="567"/>
              </w:tabs>
              <w:rPr>
                <w:b/>
                <w:color w:val="0000FF"/>
                <w:szCs w:val="24"/>
              </w:rPr>
            </w:pPr>
            <w:r w:rsidRPr="00A23740">
              <w:rPr>
                <w:rStyle w:val="MAVChar"/>
                <w:rFonts w:eastAsia="Calibri"/>
                <w:u w:val="none"/>
              </w:rPr>
              <w:t>MADDE 297</w:t>
            </w:r>
            <w:r w:rsidR="00AA5C8C" w:rsidRPr="00A23740">
              <w:rPr>
                <w:rStyle w:val="MAVChar"/>
                <w:rFonts w:eastAsia="Calibri"/>
                <w:u w:val="none"/>
              </w:rPr>
              <w:t xml:space="preserve">- </w:t>
            </w:r>
            <w:r w:rsidR="00E8553A" w:rsidRPr="00A23740">
              <w:rPr>
                <w:rStyle w:val="MAVChar"/>
                <w:rFonts w:eastAsia="Calibri"/>
                <w:u w:val="none"/>
              </w:rPr>
              <w:t>(1</w:t>
            </w:r>
            <w:r w:rsidR="00E8553A" w:rsidRPr="00A23740">
              <w:rPr>
                <w:b/>
                <w:color w:val="0000FF"/>
                <w:szCs w:val="24"/>
              </w:rPr>
              <w:t>) İflas idaresi,</w:t>
            </w:r>
            <w:r w:rsidR="002E39D5" w:rsidRPr="00A23740">
              <w:rPr>
                <w:b/>
                <w:color w:val="0000FF"/>
                <w:szCs w:val="24"/>
              </w:rPr>
              <w:t xml:space="preserve"> </w:t>
            </w:r>
            <w:r w:rsidR="002E39D5" w:rsidRPr="00E5316E">
              <w:rPr>
                <w:rStyle w:val="MaviChar"/>
              </w:rPr>
              <w:t>312 nci</w:t>
            </w:r>
            <w:r w:rsidR="00E8553A" w:rsidRPr="00A23740">
              <w:rPr>
                <w:rStyle w:val="MaviChar"/>
                <w:lang w:val="tr-TR"/>
              </w:rPr>
              <w:t>,</w:t>
            </w:r>
            <w:r w:rsidR="00E8553A" w:rsidRPr="00A23740">
              <w:rPr>
                <w:szCs w:val="24"/>
              </w:rPr>
              <w:t xml:space="preserve"> </w:t>
            </w:r>
            <w:r w:rsidR="002E39D5" w:rsidRPr="00E5316E">
              <w:rPr>
                <w:rStyle w:val="MaviChar"/>
              </w:rPr>
              <w:t>442</w:t>
            </w:r>
            <w:r w:rsidR="008968E3">
              <w:rPr>
                <w:rStyle w:val="MaviChar"/>
                <w:lang w:val="tr-TR"/>
              </w:rPr>
              <w:t xml:space="preserve"> nci</w:t>
            </w:r>
            <w:r w:rsidR="002E39D5" w:rsidRPr="00E5316E">
              <w:rPr>
                <w:rStyle w:val="MaviChar"/>
              </w:rPr>
              <w:t>,</w:t>
            </w:r>
            <w:r w:rsidR="00882651" w:rsidRPr="00E5316E">
              <w:rPr>
                <w:rStyle w:val="MaviChar"/>
              </w:rPr>
              <w:t xml:space="preserve"> </w:t>
            </w:r>
            <w:r w:rsidR="002E39D5" w:rsidRPr="00E5316E">
              <w:rPr>
                <w:rStyle w:val="MaviChar"/>
              </w:rPr>
              <w:t>444</w:t>
            </w:r>
            <w:r w:rsidR="008968E3">
              <w:rPr>
                <w:rStyle w:val="MaviChar"/>
                <w:lang w:val="tr-TR"/>
              </w:rPr>
              <w:t xml:space="preserve"> üncü</w:t>
            </w:r>
            <w:r w:rsidR="00E8553A" w:rsidRPr="008968E3">
              <w:rPr>
                <w:rStyle w:val="Balk1Char"/>
                <w:rFonts w:eastAsia="Calibri"/>
              </w:rPr>
              <w:t>,</w:t>
            </w:r>
            <w:r w:rsidR="002E39D5" w:rsidRPr="00A23740">
              <w:rPr>
                <w:szCs w:val="24"/>
              </w:rPr>
              <w:t xml:space="preserve"> </w:t>
            </w:r>
            <w:r w:rsidR="002E39D5" w:rsidRPr="00E5316E">
              <w:rPr>
                <w:rStyle w:val="MaviChar"/>
              </w:rPr>
              <w:t>445</w:t>
            </w:r>
            <w:r w:rsidR="008968E3">
              <w:rPr>
                <w:rStyle w:val="MaviChar"/>
                <w:lang w:val="tr-TR"/>
              </w:rPr>
              <w:t xml:space="preserve"> inci</w:t>
            </w:r>
            <w:r w:rsidR="00E8553A" w:rsidRPr="00A23740">
              <w:rPr>
                <w:rStyle w:val="MaviChar"/>
              </w:rPr>
              <w:t>,</w:t>
            </w:r>
            <w:r w:rsidR="002E39D5" w:rsidRPr="00A23740">
              <w:rPr>
                <w:rStyle w:val="MaviChar"/>
                <w:lang w:val="tr-TR"/>
              </w:rPr>
              <w:t xml:space="preserve"> </w:t>
            </w:r>
            <w:r w:rsidR="002E39D5" w:rsidRPr="00E5316E">
              <w:rPr>
                <w:rStyle w:val="MaviChar"/>
              </w:rPr>
              <w:t>446</w:t>
            </w:r>
            <w:r w:rsidR="008968E3">
              <w:rPr>
                <w:rStyle w:val="MaviChar"/>
                <w:lang w:val="tr-TR"/>
              </w:rPr>
              <w:t xml:space="preserve"> ncı</w:t>
            </w:r>
            <w:r w:rsidR="00E8553A" w:rsidRPr="00A23740">
              <w:rPr>
                <w:rStyle w:val="MaviChar"/>
              </w:rPr>
              <w:t xml:space="preserve">, </w:t>
            </w:r>
            <w:r w:rsidR="002E39D5" w:rsidRPr="00E5316E">
              <w:rPr>
                <w:rStyle w:val="MaviChar"/>
              </w:rPr>
              <w:t>447</w:t>
            </w:r>
            <w:r w:rsidR="008968E3">
              <w:rPr>
                <w:rStyle w:val="MaviChar"/>
                <w:lang w:val="tr-TR"/>
              </w:rPr>
              <w:t xml:space="preserve"> nci</w:t>
            </w:r>
            <w:r w:rsidR="00E8553A" w:rsidRPr="00A23740">
              <w:rPr>
                <w:rStyle w:val="MaviChar"/>
                <w:lang w:val="tr-TR"/>
              </w:rPr>
              <w:t xml:space="preserve"> </w:t>
            </w:r>
            <w:r w:rsidR="00E8553A" w:rsidRPr="00E5316E">
              <w:rPr>
                <w:rStyle w:val="MaviChar"/>
              </w:rPr>
              <w:t>ve</w:t>
            </w:r>
            <w:r w:rsidR="002E39D5" w:rsidRPr="00E5316E">
              <w:rPr>
                <w:rStyle w:val="MaviChar"/>
              </w:rPr>
              <w:t xml:space="preserve"> 449</w:t>
            </w:r>
            <w:r w:rsidR="008968E3">
              <w:rPr>
                <w:rStyle w:val="MaviChar"/>
                <w:lang w:val="tr-TR"/>
              </w:rPr>
              <w:t xml:space="preserve"> uncu</w:t>
            </w:r>
            <w:r w:rsidR="00E8553A" w:rsidRPr="00A23740">
              <w:rPr>
                <w:rStyle w:val="MaviChar"/>
                <w:lang w:val="tr-TR"/>
              </w:rPr>
              <w:t xml:space="preserve"> </w:t>
            </w:r>
            <w:r w:rsidR="00E8553A" w:rsidRPr="00E5316E">
              <w:rPr>
                <w:rStyle w:val="MaviChar"/>
              </w:rPr>
              <w:t>il</w:t>
            </w:r>
            <w:r w:rsidR="00A127B1">
              <w:rPr>
                <w:rStyle w:val="MaviChar"/>
                <w:lang w:val="tr-TR"/>
              </w:rPr>
              <w:t>a</w:t>
            </w:r>
            <w:r w:rsidR="00E8553A" w:rsidRPr="00A23740">
              <w:rPr>
                <w:rStyle w:val="MaviChar"/>
              </w:rPr>
              <w:t xml:space="preserve"> </w:t>
            </w:r>
            <w:r w:rsidR="002E39D5" w:rsidRPr="00E5316E">
              <w:rPr>
                <w:rStyle w:val="MaviChar"/>
              </w:rPr>
              <w:t>452 nci</w:t>
            </w:r>
            <w:r w:rsidR="008968E3">
              <w:rPr>
                <w:szCs w:val="24"/>
              </w:rPr>
              <w:t xml:space="preserve"> </w:t>
            </w:r>
            <w:r w:rsidR="00050E09" w:rsidRPr="0091500F">
              <w:rPr>
                <w:rStyle w:val="MaviChar"/>
              </w:rPr>
              <w:t>maddeler</w:t>
            </w:r>
            <w:r w:rsidR="00E8553A" w:rsidRPr="00A23740">
              <w:rPr>
                <w:b/>
                <w:color w:val="0000FF"/>
                <w:szCs w:val="24"/>
              </w:rPr>
              <w:t xml:space="preserve"> hükümle</w:t>
            </w:r>
            <w:r w:rsidR="00E8553A" w:rsidRPr="00A23740">
              <w:rPr>
                <w:rStyle w:val="MaviChar"/>
              </w:rPr>
              <w:t>ri</w:t>
            </w:r>
            <w:r w:rsidR="00E8553A" w:rsidRPr="00A23740">
              <w:rPr>
                <w:szCs w:val="24"/>
              </w:rPr>
              <w:t xml:space="preserve"> </w:t>
            </w:r>
            <w:r w:rsidR="00E8553A" w:rsidRPr="00A23740">
              <w:rPr>
                <w:rStyle w:val="MaviChar"/>
              </w:rPr>
              <w:t>uyarınca</w:t>
            </w:r>
            <w:r w:rsidR="00E8553A" w:rsidRPr="00A23740">
              <w:rPr>
                <w:b/>
                <w:color w:val="0000FF"/>
                <w:szCs w:val="24"/>
              </w:rPr>
              <w:t>,</w:t>
            </w:r>
            <w:r w:rsidR="00E8553A" w:rsidRPr="00A23740">
              <w:rPr>
                <w:szCs w:val="24"/>
              </w:rPr>
              <w:t xml:space="preserve"> </w:t>
            </w:r>
            <w:r w:rsidR="00E8553A" w:rsidRPr="00A23740">
              <w:rPr>
                <w:b/>
                <w:color w:val="0000FF"/>
                <w:szCs w:val="24"/>
              </w:rPr>
              <w:t xml:space="preserve">alacaklılar toplantısının </w:t>
            </w:r>
            <w:r w:rsidR="00E8553A" w:rsidRPr="00A23740">
              <w:rPr>
                <w:rStyle w:val="MaviChar"/>
              </w:rPr>
              <w:t>iznine ihtiyaç olmaksızın, gerekli</w:t>
            </w:r>
            <w:r w:rsidR="00E8553A" w:rsidRPr="00A23740">
              <w:rPr>
                <w:rStyle w:val="MaviChar"/>
                <w:lang w:val="tr-TR"/>
              </w:rPr>
              <w:t xml:space="preserve"> </w:t>
            </w:r>
            <w:r w:rsidR="00E8553A" w:rsidRPr="00A23740">
              <w:rPr>
                <w:rStyle w:val="MaviChar"/>
              </w:rPr>
              <w:t xml:space="preserve">tasarrufun iptali </w:t>
            </w:r>
            <w:r w:rsidR="00E8553A" w:rsidRPr="00A83E21">
              <w:rPr>
                <w:rStyle w:val="MaviChar"/>
                <w:b w:val="0"/>
                <w:color w:val="auto"/>
              </w:rPr>
              <w:t>davaları</w:t>
            </w:r>
            <w:r w:rsidR="00E8553A" w:rsidRPr="00A83E21">
              <w:rPr>
                <w:rStyle w:val="Balk1Char"/>
                <w:rFonts w:eastAsia="Calibri"/>
              </w:rPr>
              <w:t>nı</w:t>
            </w:r>
            <w:r w:rsidR="00E8553A" w:rsidRPr="00A83E21">
              <w:rPr>
                <w:rStyle w:val="MaviChar"/>
                <w:b w:val="0"/>
                <w:color w:val="auto"/>
              </w:rPr>
              <w:t xml:space="preserve"> açar.</w:t>
            </w:r>
            <w:r w:rsidR="00E8553A" w:rsidRPr="00A23740">
              <w:rPr>
                <w:rStyle w:val="MaviChar"/>
                <w:lang w:val="tr-TR"/>
              </w:rPr>
              <w:t xml:space="preserve"> </w:t>
            </w:r>
            <w:r w:rsidR="00E8553A" w:rsidRPr="00A23740">
              <w:rPr>
                <w:rStyle w:val="MaviChar"/>
              </w:rPr>
              <w:t>Bu dava asliye hukuk mahkemesinde görülür.</w:t>
            </w:r>
          </w:p>
          <w:p w:rsidR="00AA5C8C" w:rsidRPr="00A23740" w:rsidRDefault="00AA5C8C" w:rsidP="009431FF">
            <w:pPr>
              <w:pStyle w:val="AltKonuBal"/>
              <w:rPr>
                <w:lang w:val="tr-TR"/>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16157" w:rsidRPr="00A23740" w:rsidRDefault="00D16157" w:rsidP="009431FF">
            <w:pPr>
              <w:tabs>
                <w:tab w:val="left" w:pos="567"/>
              </w:tabs>
              <w:ind w:firstLine="709"/>
              <w:rPr>
                <w:b/>
              </w:rPr>
            </w:pPr>
          </w:p>
          <w:p w:rsidR="00F32E7F" w:rsidRPr="00A23740" w:rsidRDefault="0025055D" w:rsidP="009431FF">
            <w:pPr>
              <w:tabs>
                <w:tab w:val="left" w:pos="567"/>
              </w:tabs>
              <w:ind w:firstLine="709"/>
              <w:rPr>
                <w:b/>
                <w:szCs w:val="24"/>
              </w:rPr>
            </w:pPr>
            <w:r w:rsidRPr="00A23740">
              <w:rPr>
                <w:b/>
              </w:rPr>
              <w:t>MADDE 297</w:t>
            </w:r>
            <w:r w:rsidR="00D16157" w:rsidRPr="00A23740">
              <w:rPr>
                <w:b/>
              </w:rPr>
              <w:t>-</w:t>
            </w:r>
            <w:r w:rsidR="00D16157" w:rsidRPr="00A23740">
              <w:t xml:space="preserve"> Maddeyle, iptal davasına tabi mal ve haklara ilişkin</w:t>
            </w:r>
            <w:r w:rsidR="00D16157" w:rsidRPr="00A23740">
              <w:rPr>
                <w:szCs w:val="24"/>
              </w:rPr>
              <w:t xml:space="preserve"> hususlar düzenlenmektedir. Hüküm, 2004 sayılı Kanunun 187 nci maddesine karşılık gelmektedir.</w:t>
            </w:r>
            <w:r w:rsidR="00D16157" w:rsidRPr="00A23740">
              <w:rPr>
                <w:b/>
                <w:szCs w:val="24"/>
              </w:rPr>
              <w:t xml:space="preserve"> </w:t>
            </w:r>
          </w:p>
          <w:p w:rsidR="00F32E7F" w:rsidRPr="00A23740" w:rsidRDefault="00F32E7F" w:rsidP="00B43502">
            <w:pPr>
              <w:ind w:firstLine="709"/>
              <w:rPr>
                <w:b/>
                <w:szCs w:val="24"/>
              </w:rPr>
            </w:pPr>
            <w:r w:rsidRPr="00A23740">
              <w:t>İflas tasfiyesinde kural, hukuk davalarının iflasın açılması</w:t>
            </w:r>
            <w:r w:rsidR="00E8553A" w:rsidRPr="00D60C1D">
              <w:rPr>
                <w:rStyle w:val="YELChar"/>
                <w:b w:val="0"/>
                <w:color w:val="000000"/>
              </w:rPr>
              <w:t>yla</w:t>
            </w:r>
            <w:r w:rsidRPr="00A23740">
              <w:t xml:space="preserve"> durması, alacaklılar </w:t>
            </w:r>
            <w:r w:rsidR="00E8553A" w:rsidRPr="00D60C1D">
              <w:rPr>
                <w:rStyle w:val="YELChar"/>
                <w:b w:val="0"/>
                <w:color w:val="000000"/>
              </w:rPr>
              <w:t>toplantısından</w:t>
            </w:r>
            <w:r w:rsidRPr="00A23740">
              <w:t xml:space="preserve"> sonra ise devam etmesidir. Genel kural bu olmakla birlikte, tasarrufun iptali davasının arz ettiği özellik gereğince alacaklılar toplantısı beklenmeksizin iflas idaresi tarafından tasarrufun iptali davası ve takasa itiraz</w:t>
            </w:r>
            <w:r w:rsidR="00E8553A" w:rsidRPr="00D60C1D">
              <w:rPr>
                <w:rStyle w:val="YELChar"/>
                <w:b w:val="0"/>
                <w:color w:val="000000"/>
              </w:rPr>
              <w:t>a</w:t>
            </w:r>
            <w:r w:rsidRPr="00D60C1D">
              <w:rPr>
                <w:b/>
                <w:color w:val="000000"/>
              </w:rPr>
              <w:t xml:space="preserve"> </w:t>
            </w:r>
            <w:r w:rsidRPr="00A23740">
              <w:t xml:space="preserve">ilişkin davalar açılabilecektir. İflas idaresi bu tür davalar bakımından yetkili olsa da nihai kararı alacaklılar </w:t>
            </w:r>
            <w:r w:rsidR="00E8553A" w:rsidRPr="00D60C1D">
              <w:rPr>
                <w:rStyle w:val="YELChar"/>
                <w:b w:val="0"/>
                <w:color w:val="000000"/>
              </w:rPr>
              <w:t>toplantısı</w:t>
            </w:r>
            <w:r w:rsidR="00E8553A" w:rsidRPr="00A23740">
              <w:t xml:space="preserve"> </w:t>
            </w:r>
            <w:r w:rsidRPr="00A23740">
              <w:t xml:space="preserve">verecektir. Alacaklılar </w:t>
            </w:r>
            <w:r w:rsidR="00E8553A" w:rsidRPr="00D60C1D">
              <w:rPr>
                <w:rStyle w:val="YELChar"/>
                <w:b w:val="0"/>
                <w:color w:val="000000"/>
              </w:rPr>
              <w:t>toplantısı</w:t>
            </w:r>
            <w:r w:rsidR="00E8553A" w:rsidRPr="00A23740">
              <w:t xml:space="preserve"> </w:t>
            </w:r>
            <w:r w:rsidRPr="00A23740">
              <w:t xml:space="preserve">iflas idaresi tarafından açılan </w:t>
            </w:r>
            <w:r w:rsidR="00E8553A" w:rsidRPr="00D60C1D">
              <w:rPr>
                <w:rStyle w:val="YELChar"/>
                <w:b w:val="0"/>
                <w:color w:val="000000"/>
              </w:rPr>
              <w:t>tasarrufun iptali davalarına</w:t>
            </w:r>
            <w:r w:rsidR="00E8553A" w:rsidRPr="00A23740">
              <w:t xml:space="preserve"> </w:t>
            </w:r>
            <w:r w:rsidRPr="00A23740">
              <w:t>devam edebileceği gibi</w:t>
            </w:r>
            <w:r w:rsidR="003D3C39" w:rsidRPr="00A23740">
              <w:t>,</w:t>
            </w:r>
            <w:r w:rsidRPr="00A23740">
              <w:t xml:space="preserve"> </w:t>
            </w:r>
            <w:r w:rsidRPr="00D60C1D">
              <w:rPr>
                <w:rStyle w:val="YELChar"/>
                <w:b w:val="0"/>
                <w:color w:val="000000"/>
              </w:rPr>
              <w:t>bu</w:t>
            </w:r>
            <w:r w:rsidR="00E8553A" w:rsidRPr="00D60C1D">
              <w:rPr>
                <w:b/>
                <w:color w:val="000000"/>
              </w:rPr>
              <w:t xml:space="preserve"> </w:t>
            </w:r>
            <w:r w:rsidR="00E8553A" w:rsidRPr="00D60C1D">
              <w:rPr>
                <w:rStyle w:val="YELChar"/>
                <w:b w:val="0"/>
                <w:color w:val="000000"/>
              </w:rPr>
              <w:t>davalardan feragat edilmesine de</w:t>
            </w:r>
            <w:r w:rsidRPr="00A23740">
              <w:t xml:space="preserve"> karar</w:t>
            </w:r>
            <w:r w:rsidR="003D3C39" w:rsidRPr="00A23740">
              <w:t xml:space="preserve"> verebilir</w:t>
            </w:r>
            <w:r w:rsidRPr="00A23740">
              <w:t>. Maddede tasarrufun iptali davalarının hangi mahkemede açılacağı konusunda da bir açıklık bulunmaktadır. Bu açıklığın getirilmesinin nedeni, iflas hukukundan doğan davaların iflas mahkemesinde görülmesinin kural olmasıdır. Genel kural bu olmakla birli</w:t>
            </w:r>
            <w:r w:rsidR="00E8553A" w:rsidRPr="00A23740">
              <w:t>kte</w:t>
            </w:r>
            <w:r w:rsidR="003D3C39" w:rsidRPr="00A23740">
              <w:t>,</w:t>
            </w:r>
            <w:r w:rsidR="00E8553A" w:rsidRPr="00A23740">
              <w:t xml:space="preserve"> tasarrufun iptali davası cü</w:t>
            </w:r>
            <w:r w:rsidRPr="00A23740">
              <w:t xml:space="preserve">zi icrayla </w:t>
            </w:r>
            <w:r w:rsidR="00E8553A" w:rsidRPr="00D60C1D">
              <w:rPr>
                <w:rStyle w:val="YELChar"/>
                <w:b w:val="0"/>
                <w:color w:val="000000"/>
              </w:rPr>
              <w:t>yeknesaklığı sağlamak için</w:t>
            </w:r>
            <w:r w:rsidR="00E8553A" w:rsidRPr="00A23740">
              <w:t xml:space="preserve"> </w:t>
            </w:r>
            <w:r w:rsidRPr="00A23740">
              <w:t xml:space="preserve">asliye hukuk mahkemesinde açılacaktır. </w:t>
            </w:r>
          </w:p>
          <w:p w:rsidR="00E807F4" w:rsidRPr="00A23740" w:rsidRDefault="00E807F4" w:rsidP="00B43502">
            <w:pPr>
              <w:tabs>
                <w:tab w:val="left" w:pos="567"/>
              </w:tabs>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bCs/>
                <w:strike/>
                <w:color w:val="FF0000"/>
                <w:szCs w:val="24"/>
              </w:rPr>
            </w:pPr>
            <w:r w:rsidRPr="00A23740">
              <w:rPr>
                <w:szCs w:val="24"/>
              </w:rPr>
              <w:t xml:space="preserve">Bedelinin tahsili için verilmiş emre veya hamiline </w:t>
            </w:r>
            <w:r w:rsidRPr="00A23740">
              <w:rPr>
                <w:b/>
                <w:bCs/>
                <w:strike/>
                <w:color w:val="FF0000"/>
                <w:szCs w:val="24"/>
              </w:rPr>
              <w:t>muharrer</w:t>
            </w:r>
            <w:r w:rsidRPr="00A23740">
              <w:rPr>
                <w:szCs w:val="24"/>
              </w:rPr>
              <w:t xml:space="preserve"> senetler</w:t>
            </w:r>
            <w:r w:rsidRPr="00A23740">
              <w:rPr>
                <w:b/>
                <w:bCs/>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188 – (1)</w:t>
            </w:r>
            <w:r w:rsidRPr="00A23740">
              <w:rPr>
                <w:b/>
                <w:szCs w:val="24"/>
              </w:rPr>
              <w:t xml:space="preserve"> </w:t>
            </w:r>
            <w:r w:rsidRPr="00A23740">
              <w:rPr>
                <w:szCs w:val="24"/>
              </w:rPr>
              <w:t xml:space="preserve">Sırf bedelini tahsil etmek için </w:t>
            </w:r>
            <w:r w:rsidRPr="00A23740">
              <w:rPr>
                <w:rStyle w:val="KIRMIZIChar"/>
                <w:rFonts w:eastAsia="Calibri"/>
              </w:rPr>
              <w:t>yahut tayin edilen</w:t>
            </w:r>
            <w:r w:rsidRPr="00A23740">
              <w:rPr>
                <w:szCs w:val="24"/>
              </w:rPr>
              <w:t xml:space="preserve"> ilerdeki bir </w:t>
            </w:r>
            <w:r w:rsidRPr="00A23740">
              <w:rPr>
                <w:b/>
                <w:bCs/>
                <w:strike/>
                <w:color w:val="FF0000"/>
                <w:szCs w:val="24"/>
              </w:rPr>
              <w:t>tediyeye</w:t>
            </w:r>
            <w:r w:rsidRPr="00A23740">
              <w:rPr>
                <w:szCs w:val="24"/>
              </w:rPr>
              <w:t xml:space="preserve"> karşılık olarak müflise devredilmiş olan hamiline veya emre </w:t>
            </w:r>
            <w:r w:rsidRPr="00A23740">
              <w:rPr>
                <w:rStyle w:val="KIRMIZIChar"/>
                <w:rFonts w:eastAsia="Calibri"/>
              </w:rPr>
              <w:t>muharrer</w:t>
            </w:r>
            <w:r w:rsidRPr="00A23740">
              <w:rPr>
                <w:szCs w:val="24"/>
              </w:rPr>
              <w:t xml:space="preserve"> senetleri devredenler </w:t>
            </w:r>
            <w:r w:rsidRPr="00A23740">
              <w:rPr>
                <w:rStyle w:val="KIRMIZIChar"/>
                <w:rFonts w:eastAsia="Calibri"/>
              </w:rPr>
              <w:t>geriye</w:t>
            </w:r>
            <w:r w:rsidRPr="00A23740">
              <w:rPr>
                <w:szCs w:val="24"/>
              </w:rPr>
              <w:t xml:space="preserve"> </w:t>
            </w:r>
            <w:r w:rsidRPr="00A83E21">
              <w:rPr>
                <w:rStyle w:val="KIRMIZIChar"/>
                <w:rFonts w:eastAsia="Calibri"/>
              </w:rPr>
              <w:t>istiyebilir</w:t>
            </w:r>
            <w:r w:rsidRPr="00A23740">
              <w:rPr>
                <w:szCs w:val="24"/>
              </w:rPr>
              <w:t>.</w:t>
            </w:r>
          </w:p>
          <w:p w:rsidR="00AA5C8C" w:rsidRPr="00A23740" w:rsidRDefault="00AA5C8C" w:rsidP="009431FF">
            <w:pPr>
              <w:tabs>
                <w:tab w:val="left" w:pos="567"/>
                <w:tab w:val="center" w:pos="3543"/>
              </w:tabs>
              <w:rPr>
                <w:szCs w:val="24"/>
              </w:rPr>
            </w:pPr>
          </w:p>
        </w:tc>
        <w:tc>
          <w:tcPr>
            <w:tcW w:w="2500" w:type="pct"/>
          </w:tcPr>
          <w:p w:rsidR="00AA5C8C" w:rsidRPr="00A23740" w:rsidRDefault="00AA5C8C" w:rsidP="009431FF">
            <w:pPr>
              <w:tabs>
                <w:tab w:val="left" w:pos="567"/>
                <w:tab w:val="center" w:pos="3543"/>
              </w:tabs>
              <w:rPr>
                <w:b/>
                <w:szCs w:val="24"/>
              </w:rPr>
            </w:pPr>
            <w:r w:rsidRPr="00A23740">
              <w:rPr>
                <w:b/>
                <w:szCs w:val="24"/>
              </w:rPr>
              <w:t xml:space="preserve">Bedelinin tahsili için verilmiş emre veya hamiline </w:t>
            </w:r>
            <w:r w:rsidRPr="00A23740">
              <w:rPr>
                <w:rStyle w:val="MAVChar"/>
                <w:rFonts w:eastAsia="Calibri"/>
                <w:u w:val="none"/>
              </w:rPr>
              <w:t>yazılı</w:t>
            </w:r>
            <w:r w:rsidRPr="00A23740">
              <w:rPr>
                <w:b/>
                <w:szCs w:val="24"/>
              </w:rPr>
              <w:t xml:space="preserve"> senetler</w:t>
            </w:r>
          </w:p>
          <w:p w:rsidR="00AA5C8C" w:rsidRDefault="00AA5C8C" w:rsidP="009431FF">
            <w:pPr>
              <w:tabs>
                <w:tab w:val="left" w:pos="567"/>
                <w:tab w:val="center" w:pos="3543"/>
              </w:tabs>
              <w:rPr>
                <w:szCs w:val="24"/>
              </w:rPr>
            </w:pPr>
            <w:r w:rsidRPr="00A23740">
              <w:rPr>
                <w:rStyle w:val="MAVChar"/>
                <w:rFonts w:eastAsia="Calibri"/>
                <w:u w:val="none"/>
              </w:rPr>
              <w:t>MADDE 29</w:t>
            </w:r>
            <w:r w:rsidR="0025055D" w:rsidRPr="00A23740">
              <w:rPr>
                <w:rStyle w:val="MAVChar"/>
                <w:rFonts w:eastAsia="Calibri"/>
                <w:u w:val="none"/>
              </w:rPr>
              <w:t>8</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 xml:space="preserve">Sırf bedelini tahsil etmek için </w:t>
            </w:r>
            <w:r w:rsidRPr="00A23740">
              <w:rPr>
                <w:rStyle w:val="MaviChar"/>
              </w:rPr>
              <w:t>veya</w:t>
            </w:r>
            <w:r w:rsidRPr="00A23740">
              <w:rPr>
                <w:szCs w:val="24"/>
              </w:rPr>
              <w:t xml:space="preserve"> iler</w:t>
            </w:r>
            <w:r w:rsidRPr="00A23740">
              <w:rPr>
                <w:rStyle w:val="MaviChar"/>
              </w:rPr>
              <w:t>i</w:t>
            </w:r>
            <w:r w:rsidRPr="00A23740">
              <w:rPr>
                <w:szCs w:val="24"/>
              </w:rPr>
              <w:t xml:space="preserve">deki bir </w:t>
            </w:r>
            <w:r w:rsidRPr="00A23740">
              <w:rPr>
                <w:b/>
                <w:color w:val="0000FF"/>
                <w:szCs w:val="24"/>
              </w:rPr>
              <w:t>ödemeye</w:t>
            </w:r>
            <w:r w:rsidRPr="00A23740">
              <w:rPr>
                <w:szCs w:val="24"/>
              </w:rPr>
              <w:t xml:space="preserve"> karşılık olarak </w:t>
            </w:r>
            <w:r w:rsidRPr="00A23740">
              <w:rPr>
                <w:b/>
                <w:color w:val="0000FF"/>
                <w:szCs w:val="24"/>
              </w:rPr>
              <w:t>iflastan önce</w:t>
            </w:r>
            <w:r w:rsidRPr="00A23740">
              <w:rPr>
                <w:szCs w:val="24"/>
              </w:rPr>
              <w:t xml:space="preserve"> müflise devredilmiş olan hamiline veya emre </w:t>
            </w:r>
            <w:r w:rsidRPr="00A23740">
              <w:rPr>
                <w:b/>
                <w:color w:val="0000FF"/>
                <w:szCs w:val="24"/>
              </w:rPr>
              <w:t>yazılı</w:t>
            </w:r>
            <w:r w:rsidRPr="00A23740">
              <w:rPr>
                <w:szCs w:val="24"/>
              </w:rPr>
              <w:t xml:space="preserve"> senetleri devredenler</w:t>
            </w:r>
            <w:r w:rsidRPr="00A83E21">
              <w:rPr>
                <w:rStyle w:val="Balk1Char"/>
                <w:rFonts w:eastAsia="ヒラギノ明朝 Pro W3"/>
              </w:rPr>
              <w:t>,</w:t>
            </w:r>
            <w:r w:rsidRPr="00A23740">
              <w:rPr>
                <w:szCs w:val="24"/>
              </w:rPr>
              <w:t xml:space="preserve"> </w:t>
            </w:r>
            <w:r w:rsidRPr="00A23740">
              <w:rPr>
                <w:rStyle w:val="MaviChar"/>
              </w:rPr>
              <w:t xml:space="preserve">bunların iadesini talep </w:t>
            </w:r>
            <w:r w:rsidRPr="00E5316E">
              <w:rPr>
                <w:rStyle w:val="MaviChar"/>
              </w:rPr>
              <w:t>edebilir</w:t>
            </w:r>
            <w:r w:rsidR="00D95266" w:rsidRPr="00E5316E">
              <w:rPr>
                <w:rStyle w:val="MaviChar"/>
              </w:rPr>
              <w:t>ler</w:t>
            </w:r>
            <w:r w:rsidRPr="00A23740">
              <w:rPr>
                <w:szCs w:val="24"/>
              </w:rPr>
              <w:t>.</w:t>
            </w:r>
          </w:p>
          <w:p w:rsidR="00B43502" w:rsidRDefault="00B43502" w:rsidP="009431FF">
            <w:pPr>
              <w:tabs>
                <w:tab w:val="left" w:pos="567"/>
                <w:tab w:val="center" w:pos="3543"/>
              </w:tabs>
              <w:rPr>
                <w:szCs w:val="24"/>
              </w:rPr>
            </w:pPr>
          </w:p>
          <w:p w:rsidR="00B43502" w:rsidRPr="00A23740" w:rsidRDefault="00B43502" w:rsidP="009431FF">
            <w:pPr>
              <w:tabs>
                <w:tab w:val="left" w:pos="567"/>
                <w:tab w:val="center" w:pos="3543"/>
              </w:tabs>
              <w:rPr>
                <w:szCs w:val="24"/>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D69C5" w:rsidRPr="00A23740" w:rsidRDefault="000D69C5" w:rsidP="009431FF">
            <w:pPr>
              <w:tabs>
                <w:tab w:val="left" w:pos="567"/>
                <w:tab w:val="center" w:pos="3543"/>
              </w:tabs>
              <w:ind w:firstLine="709"/>
              <w:rPr>
                <w:b/>
              </w:rPr>
            </w:pPr>
          </w:p>
          <w:p w:rsidR="00F32E7F" w:rsidRPr="00A23740" w:rsidRDefault="0025055D" w:rsidP="009431FF">
            <w:pPr>
              <w:tabs>
                <w:tab w:val="left" w:pos="567"/>
                <w:tab w:val="center" w:pos="3543"/>
              </w:tabs>
              <w:ind w:firstLine="709"/>
              <w:rPr>
                <w:b/>
                <w:szCs w:val="24"/>
              </w:rPr>
            </w:pPr>
            <w:r w:rsidRPr="00A23740">
              <w:rPr>
                <w:b/>
              </w:rPr>
              <w:t>MADDE 298</w:t>
            </w:r>
            <w:r w:rsidR="000D69C5" w:rsidRPr="00A23740">
              <w:rPr>
                <w:b/>
              </w:rPr>
              <w:t>-</w:t>
            </w:r>
            <w:r w:rsidR="000D69C5" w:rsidRPr="00A23740">
              <w:t xml:space="preserve"> Maddeyle, </w:t>
            </w:r>
            <w:r w:rsidR="000D69C5" w:rsidRPr="00A23740">
              <w:rPr>
                <w:szCs w:val="24"/>
              </w:rPr>
              <w:t xml:space="preserve">bedelinin tahsili için verilmiş emre veya hamiline yazılı </w:t>
            </w:r>
            <w:r w:rsidR="000D69C5" w:rsidRPr="00D60C1D">
              <w:rPr>
                <w:color w:val="000000"/>
                <w:szCs w:val="24"/>
              </w:rPr>
              <w:t>senetler</w:t>
            </w:r>
            <w:r w:rsidR="00D95266" w:rsidRPr="00D60C1D">
              <w:rPr>
                <w:rStyle w:val="YELChar"/>
                <w:b w:val="0"/>
                <w:color w:val="000000"/>
              </w:rPr>
              <w:t>e</w:t>
            </w:r>
            <w:r w:rsidR="000D69C5" w:rsidRPr="00A23740">
              <w:rPr>
                <w:szCs w:val="24"/>
              </w:rPr>
              <w:t xml:space="preserve"> ili</w:t>
            </w:r>
            <w:r w:rsidR="0091500F">
              <w:rPr>
                <w:szCs w:val="24"/>
              </w:rPr>
              <w:t>şkin hususlar düzenlenmektedir.</w:t>
            </w:r>
          </w:p>
          <w:p w:rsidR="00F32E7F" w:rsidRPr="00A23740" w:rsidRDefault="00F32E7F" w:rsidP="009431FF">
            <w:pPr>
              <w:ind w:firstLine="709"/>
            </w:pPr>
            <w:r w:rsidRPr="00A23740">
              <w:t>M</w:t>
            </w:r>
            <w:r w:rsidR="000D69C5" w:rsidRPr="00A23740">
              <w:t xml:space="preserve">adde, </w:t>
            </w:r>
            <w:r w:rsidR="006E7025" w:rsidRPr="00A23740">
              <w:t>2004 sayılı</w:t>
            </w:r>
            <w:r w:rsidR="000D69C5" w:rsidRPr="00A23740">
              <w:t xml:space="preserve"> Kanunun 188 inci</w:t>
            </w:r>
            <w:r w:rsidRPr="00A23740">
              <w:t xml:space="preserve"> maddesine tekabül etmekte ve </w:t>
            </w:r>
            <w:r w:rsidR="00D95266" w:rsidRPr="00D60C1D">
              <w:rPr>
                <w:rStyle w:val="YELChar"/>
                <w:b w:val="0"/>
                <w:color w:val="000000"/>
              </w:rPr>
              <w:t>bu hükme oranla</w:t>
            </w:r>
            <w:r w:rsidR="00D95266" w:rsidRPr="00A23740">
              <w:t xml:space="preserve"> </w:t>
            </w:r>
            <w:r w:rsidRPr="00A23740">
              <w:t>bir farklılık içermemektedir. Buna göre müflise tahsil cirosuyla iflastan önce verilen hamiline veya emre yazılı senetlerin iflas masasından çıkarılabileceği, ilgili senetleri devredenlerin iflas masasından senetlerin devredilmesi konusunda talepte bulunabilecekleri hükme bağlanmıştır. Yine benzer şekilde</w:t>
            </w:r>
            <w:r w:rsidR="003D3C39" w:rsidRPr="00A23740">
              <w:t>,</w:t>
            </w:r>
            <w:r w:rsidRPr="00A23740">
              <w:t xml:space="preserve"> ilerideki bir ödemeye karşılık olarak iflastan önce müflise devredilmiş hamiline veya emre yazılı senetler de devredenlerin talebi üzerine masadan çıkarılacaktır.</w:t>
            </w:r>
          </w:p>
          <w:p w:rsidR="00F32E7F" w:rsidRPr="00A23740" w:rsidRDefault="00F32E7F" w:rsidP="00B43502">
            <w:pPr>
              <w:tabs>
                <w:tab w:val="left" w:pos="567"/>
              </w:tabs>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bCs/>
                <w:strike/>
                <w:color w:val="FF0000"/>
                <w:szCs w:val="24"/>
              </w:rPr>
            </w:pPr>
            <w:r w:rsidRPr="00A23740">
              <w:rPr>
                <w:szCs w:val="24"/>
              </w:rPr>
              <w:t>Başkasına ait malın satış bedeli</w:t>
            </w:r>
            <w:r w:rsidRPr="00A23740">
              <w:rPr>
                <w:b/>
                <w:bCs/>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189 – (1)</w:t>
            </w:r>
            <w:r w:rsidRPr="00A23740">
              <w:rPr>
                <w:b/>
                <w:szCs w:val="24"/>
              </w:rPr>
              <w:t xml:space="preserve"> </w:t>
            </w:r>
            <w:r w:rsidRPr="00A23740">
              <w:rPr>
                <w:szCs w:val="24"/>
              </w:rPr>
              <w:t xml:space="preserve">Müflis başkasına ait bir malı satıp da iflasın açılmasından </w:t>
            </w:r>
            <w:r w:rsidRPr="00A23740">
              <w:rPr>
                <w:b/>
                <w:bCs/>
                <w:strike/>
                <w:color w:val="FF0000"/>
                <w:szCs w:val="24"/>
              </w:rPr>
              <w:t>evvel</w:t>
            </w:r>
            <w:r w:rsidRPr="00A23740">
              <w:rPr>
                <w:szCs w:val="24"/>
              </w:rPr>
              <w:t xml:space="preserve"> parasını almamış ise mal sahibi, bu mal için yapılan </w:t>
            </w:r>
            <w:r w:rsidRPr="00A23740">
              <w:rPr>
                <w:rStyle w:val="KIRMIZIChar"/>
                <w:rFonts w:eastAsia="Calibri"/>
              </w:rPr>
              <w:t>masrafların</w:t>
            </w:r>
            <w:r w:rsidRPr="00A23740">
              <w:rPr>
                <w:szCs w:val="24"/>
              </w:rPr>
              <w:t xml:space="preserve"> masaya </w:t>
            </w:r>
            <w:r w:rsidRPr="00A23740">
              <w:rPr>
                <w:b/>
                <w:bCs/>
                <w:strike/>
                <w:color w:val="FF0000"/>
                <w:szCs w:val="24"/>
              </w:rPr>
              <w:t>tesviyesi mukabilinde</w:t>
            </w:r>
            <w:r w:rsidRPr="00A23740">
              <w:rPr>
                <w:szCs w:val="24"/>
              </w:rPr>
              <w:t xml:space="preserve"> alıcıda olan alacağın kendisine </w:t>
            </w:r>
            <w:r w:rsidRPr="00A23740">
              <w:rPr>
                <w:b/>
                <w:bCs/>
                <w:strike/>
                <w:color w:val="FF0000"/>
                <w:szCs w:val="24"/>
              </w:rPr>
              <w:t>temlikini</w:t>
            </w:r>
            <w:r w:rsidRPr="00A23740">
              <w:rPr>
                <w:szCs w:val="24"/>
              </w:rPr>
              <w:t xml:space="preserve"> yahut satılan şeyin bedeli masaya ödenmiş ise bu bedelin kendisine verilmesini ist</w:t>
            </w:r>
            <w:r w:rsidRPr="00A23740">
              <w:rPr>
                <w:b/>
                <w:bCs/>
                <w:strike/>
                <w:color w:val="FF0000"/>
                <w:szCs w:val="24"/>
              </w:rPr>
              <w:t>i</w:t>
            </w:r>
            <w:r w:rsidRPr="00A23740">
              <w:rPr>
                <w:szCs w:val="24"/>
              </w:rPr>
              <w:t>yebilir.</w:t>
            </w:r>
          </w:p>
        </w:tc>
        <w:tc>
          <w:tcPr>
            <w:tcW w:w="2500" w:type="pct"/>
          </w:tcPr>
          <w:p w:rsidR="00AA5C8C" w:rsidRPr="00A23740" w:rsidRDefault="00AA5C8C" w:rsidP="009431FF">
            <w:pPr>
              <w:tabs>
                <w:tab w:val="left" w:pos="567"/>
              </w:tabs>
              <w:rPr>
                <w:b/>
                <w:szCs w:val="24"/>
              </w:rPr>
            </w:pPr>
            <w:r w:rsidRPr="00A23740">
              <w:rPr>
                <w:b/>
                <w:szCs w:val="24"/>
              </w:rPr>
              <w:t>Başkasına ait malın satış bedeli</w:t>
            </w:r>
          </w:p>
          <w:p w:rsidR="00AA5C8C" w:rsidRPr="00A23740" w:rsidRDefault="00AA5C8C" w:rsidP="009431FF">
            <w:pPr>
              <w:tabs>
                <w:tab w:val="left" w:pos="567"/>
              </w:tabs>
              <w:rPr>
                <w:szCs w:val="24"/>
              </w:rPr>
            </w:pPr>
            <w:r w:rsidRPr="00A23740">
              <w:rPr>
                <w:rStyle w:val="MaviChar"/>
                <w:lang w:val="tr-TR"/>
              </w:rPr>
              <w:t>MADDE 29</w:t>
            </w:r>
            <w:r w:rsidR="0025055D" w:rsidRPr="00A23740">
              <w:rPr>
                <w:rStyle w:val="MaviChar"/>
                <w:lang w:val="tr-TR"/>
              </w:rPr>
              <w:t>9</w:t>
            </w:r>
            <w:r w:rsidRPr="00A23740">
              <w:rPr>
                <w:b/>
                <w:szCs w:val="24"/>
              </w:rPr>
              <w:t xml:space="preserve">- </w:t>
            </w:r>
            <w:r w:rsidRPr="00A23740">
              <w:rPr>
                <w:b/>
                <w:color w:val="0000FF"/>
                <w:szCs w:val="24"/>
              </w:rPr>
              <w:t>(1)</w:t>
            </w:r>
            <w:r w:rsidRPr="00A23740">
              <w:rPr>
                <w:b/>
                <w:szCs w:val="24"/>
              </w:rPr>
              <w:t xml:space="preserve"> </w:t>
            </w:r>
            <w:r w:rsidRPr="00A23740">
              <w:rPr>
                <w:szCs w:val="24"/>
              </w:rPr>
              <w:t xml:space="preserve">Müflis başkasına ait bir malı satıp da iflasın açılmasından </w:t>
            </w:r>
            <w:r w:rsidRPr="00A23740">
              <w:rPr>
                <w:b/>
                <w:color w:val="0000FF"/>
                <w:szCs w:val="24"/>
              </w:rPr>
              <w:t>önce</w:t>
            </w:r>
            <w:r w:rsidRPr="00A23740">
              <w:rPr>
                <w:szCs w:val="24"/>
              </w:rPr>
              <w:t xml:space="preserve"> parasını almamış ise mal sahibi, bu mal için yapılan </w:t>
            </w:r>
            <w:r w:rsidRPr="00A23740">
              <w:rPr>
                <w:rStyle w:val="MaviChar"/>
              </w:rPr>
              <w:t>giderlerin</w:t>
            </w:r>
            <w:r w:rsidRPr="00A23740">
              <w:rPr>
                <w:szCs w:val="24"/>
              </w:rPr>
              <w:t xml:space="preserve"> masaya </w:t>
            </w:r>
            <w:r w:rsidRPr="00A23740">
              <w:rPr>
                <w:b/>
                <w:color w:val="0000FF"/>
                <w:szCs w:val="24"/>
              </w:rPr>
              <w:t xml:space="preserve">ödenmesi kaydıyla </w:t>
            </w:r>
            <w:r w:rsidRPr="00A23740">
              <w:rPr>
                <w:szCs w:val="24"/>
              </w:rPr>
              <w:t xml:space="preserve">alıcıda olan alacağın kendisine </w:t>
            </w:r>
            <w:r w:rsidRPr="00A23740">
              <w:rPr>
                <w:b/>
                <w:color w:val="0000FF"/>
                <w:szCs w:val="24"/>
              </w:rPr>
              <w:t>devrini</w:t>
            </w:r>
            <w:r w:rsidRPr="00A23740">
              <w:rPr>
                <w:szCs w:val="24"/>
              </w:rPr>
              <w:t xml:space="preserve"> yahut satılan şeyin bedeli masaya ödenmiş ise bu bedelin kendisine verilmesini ist</w:t>
            </w:r>
            <w:r w:rsidRPr="00A23740">
              <w:rPr>
                <w:b/>
                <w:color w:val="0000FF"/>
                <w:szCs w:val="24"/>
              </w:rPr>
              <w:t>e</w:t>
            </w:r>
            <w:r w:rsidRPr="00A23740">
              <w:rPr>
                <w:szCs w:val="24"/>
              </w:rPr>
              <w:t>yebilir.</w:t>
            </w:r>
          </w:p>
          <w:p w:rsidR="00AA5C8C" w:rsidRPr="00A23740" w:rsidRDefault="00AA5C8C" w:rsidP="009431FF">
            <w:pPr>
              <w:tabs>
                <w:tab w:val="left" w:pos="567"/>
                <w:tab w:val="center" w:pos="3543"/>
              </w:tabs>
              <w:rPr>
                <w:szCs w:val="24"/>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D69C5" w:rsidRPr="00A23740" w:rsidRDefault="000D69C5" w:rsidP="009431FF">
            <w:pPr>
              <w:tabs>
                <w:tab w:val="left" w:pos="567"/>
                <w:tab w:val="center" w:pos="3543"/>
              </w:tabs>
              <w:ind w:firstLine="709"/>
              <w:rPr>
                <w:b/>
              </w:rPr>
            </w:pPr>
          </w:p>
          <w:p w:rsidR="00F32E7F" w:rsidRPr="00A23740" w:rsidRDefault="0025055D" w:rsidP="009431FF">
            <w:pPr>
              <w:tabs>
                <w:tab w:val="left" w:pos="567"/>
              </w:tabs>
              <w:ind w:firstLine="709"/>
              <w:rPr>
                <w:b/>
                <w:szCs w:val="24"/>
              </w:rPr>
            </w:pPr>
            <w:r w:rsidRPr="00A23740">
              <w:rPr>
                <w:b/>
              </w:rPr>
              <w:t>MADDE 299</w:t>
            </w:r>
            <w:r w:rsidR="000D69C5" w:rsidRPr="00A23740">
              <w:rPr>
                <w:b/>
              </w:rPr>
              <w:t>-</w:t>
            </w:r>
            <w:r w:rsidR="000D69C5" w:rsidRPr="00A23740">
              <w:t xml:space="preserve"> Maddeyle, başkasına ait malın satış bedeli</w:t>
            </w:r>
            <w:r w:rsidR="00CA030A" w:rsidRPr="00A23740">
              <w:t>ne</w:t>
            </w:r>
            <w:r w:rsidR="000D69C5" w:rsidRPr="00A23740">
              <w:t xml:space="preserve"> ilişkin</w:t>
            </w:r>
            <w:r w:rsidR="000D69C5" w:rsidRPr="00A23740">
              <w:rPr>
                <w:szCs w:val="24"/>
              </w:rPr>
              <w:t xml:space="preserve"> hususlar düzenlenmektedir. Hüküm, 2004 sayılı Kanunun 189 uncu maddesine karşılık gelmektedir.</w:t>
            </w:r>
            <w:r w:rsidR="000D69C5" w:rsidRPr="00A23740">
              <w:rPr>
                <w:b/>
                <w:szCs w:val="24"/>
              </w:rPr>
              <w:t xml:space="preserve"> </w:t>
            </w:r>
          </w:p>
          <w:p w:rsidR="00F32E7F" w:rsidRPr="00A23740" w:rsidRDefault="000D69C5" w:rsidP="009431FF">
            <w:pPr>
              <w:ind w:firstLine="709"/>
            </w:pPr>
            <w:r w:rsidRPr="00A23740">
              <w:t>2004 sayılı</w:t>
            </w:r>
            <w:r w:rsidR="00F32E7F" w:rsidRPr="00A23740">
              <w:t xml:space="preserve"> Kanunun 189</w:t>
            </w:r>
            <w:r w:rsidRPr="00A23740">
              <w:t xml:space="preserve"> uncu</w:t>
            </w:r>
            <w:r w:rsidR="00F32E7F" w:rsidRPr="00A23740">
              <w:t xml:space="preserve"> maddesin</w:t>
            </w:r>
            <w:r w:rsidR="006E7025" w:rsidRPr="00A23740">
              <w:t xml:space="preserve">in karşılığı olan </w:t>
            </w:r>
            <w:r w:rsidR="006501B7" w:rsidRPr="00D60C1D">
              <w:rPr>
                <w:rStyle w:val="KonuBalChar"/>
                <w:rFonts w:eastAsia="Calibri"/>
                <w:b w:val="0"/>
                <w:color w:val="000000"/>
              </w:rPr>
              <w:t>bu</w:t>
            </w:r>
            <w:r w:rsidR="00F32E7F" w:rsidRPr="00A23740">
              <w:t xml:space="preserve"> maddede</w:t>
            </w:r>
            <w:r w:rsidR="00305F70" w:rsidRPr="00A23740">
              <w:t>,</w:t>
            </w:r>
            <w:r w:rsidR="00F32E7F" w:rsidRPr="00A23740">
              <w:t xml:space="preserve"> </w:t>
            </w:r>
            <w:r w:rsidR="006E7025" w:rsidRPr="00A23740">
              <w:t>2004 sayılı Kanun</w:t>
            </w:r>
            <w:r w:rsidR="00305F70" w:rsidRPr="00A23740">
              <w:t>un</w:t>
            </w:r>
            <w:r w:rsidR="00F32E7F" w:rsidRPr="00A23740">
              <w:t xml:space="preserve"> 189</w:t>
            </w:r>
            <w:r w:rsidR="006E7025" w:rsidRPr="00A23740">
              <w:t xml:space="preserve"> uncu</w:t>
            </w:r>
            <w:r w:rsidR="00F32E7F" w:rsidRPr="00A23740">
              <w:t xml:space="preserve"> </w:t>
            </w:r>
            <w:r w:rsidR="00305F70" w:rsidRPr="00A23740">
              <w:t>maddesine göre bir farklılık bulunmamaktadır</w:t>
            </w:r>
            <w:r w:rsidR="00F32E7F" w:rsidRPr="00A23740">
              <w:t>. Buna göre müflis başkasına ait bir malı satıp da iflasın açılmasından önce parasını almamış ise</w:t>
            </w:r>
            <w:r w:rsidR="00305F70" w:rsidRPr="00A23740">
              <w:t>,</w:t>
            </w:r>
            <w:r w:rsidR="00F32E7F" w:rsidRPr="00A23740">
              <w:t xml:space="preserve"> mal sahibi satışa konu mal için yapılan masrafları masaya ödemesi koşuluyla alıcıdan olan alacağın kendisine devrini veya satılan şeyin bedeli masaya ödenmişse bu bedelin kendisine verilmesini isteyebilecektir.</w:t>
            </w:r>
          </w:p>
          <w:p w:rsidR="00F32E7F" w:rsidRPr="00A23740" w:rsidRDefault="00F32E7F" w:rsidP="00B43502">
            <w:pPr>
              <w:tabs>
                <w:tab w:val="left" w:pos="567"/>
              </w:tabs>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bCs/>
                <w:strike/>
                <w:color w:val="FF0000"/>
                <w:szCs w:val="24"/>
              </w:rPr>
            </w:pPr>
            <w:r w:rsidRPr="00A23740">
              <w:rPr>
                <w:szCs w:val="24"/>
              </w:rPr>
              <w:t>Satıcının geri alma hakkı</w:t>
            </w:r>
            <w:r w:rsidRPr="00A23740">
              <w:rPr>
                <w:b/>
                <w:bCs/>
                <w:strike/>
                <w:color w:val="FF0000"/>
                <w:szCs w:val="24"/>
              </w:rPr>
              <w:t>:</w:t>
            </w:r>
          </w:p>
          <w:p w:rsidR="00AA5C8C" w:rsidRPr="00A23740" w:rsidRDefault="00AA5C8C" w:rsidP="009431FF">
            <w:pPr>
              <w:tabs>
                <w:tab w:val="left" w:pos="567"/>
              </w:tabs>
              <w:rPr>
                <w:b/>
                <w:bCs/>
                <w:strike/>
                <w:color w:val="FF0000"/>
                <w:szCs w:val="24"/>
              </w:rPr>
            </w:pPr>
            <w:r w:rsidRPr="00A23740">
              <w:rPr>
                <w:rStyle w:val="KIRMIZIChar"/>
                <w:rFonts w:eastAsia="Calibri"/>
              </w:rPr>
              <w:t>Madde 190 – (1) Satıldığı</w:t>
            </w:r>
            <w:r w:rsidRPr="00A23740">
              <w:rPr>
                <w:b/>
                <w:bCs/>
                <w:strike/>
                <w:color w:val="FF0000"/>
                <w:szCs w:val="24"/>
              </w:rPr>
              <w:t xml:space="preserve"> ve gönderildiği halde iflasına hükmolunmazdan evvel</w:t>
            </w:r>
            <w:r w:rsidRPr="00A23740">
              <w:rPr>
                <w:b/>
                <w:bCs/>
                <w:color w:val="FF0000"/>
                <w:szCs w:val="24"/>
              </w:rPr>
              <w:t xml:space="preserve"> </w:t>
            </w:r>
            <w:r w:rsidRPr="00A23740">
              <w:t>müflisin eline</w:t>
            </w:r>
            <w:r w:rsidRPr="00A23740">
              <w:rPr>
                <w:b/>
                <w:bCs/>
                <w:color w:val="FF0000"/>
                <w:szCs w:val="24"/>
              </w:rPr>
              <w:t xml:space="preserve"> </w:t>
            </w:r>
            <w:r w:rsidRPr="00A23740">
              <w:rPr>
                <w:b/>
                <w:bCs/>
                <w:strike/>
                <w:color w:val="FF0000"/>
                <w:szCs w:val="24"/>
              </w:rPr>
              <w:t>geçmiyen mallar için masa tarafından bedeli verilmiş olmadıkça satıcı istirdat iddiasında bulunabilir.</w:t>
            </w:r>
          </w:p>
          <w:p w:rsidR="00AA5C8C" w:rsidRPr="00A23740" w:rsidRDefault="00AA5C8C" w:rsidP="009431FF">
            <w:pPr>
              <w:tabs>
                <w:tab w:val="left" w:pos="567"/>
              </w:tabs>
              <w:rPr>
                <w:b/>
                <w:bCs/>
                <w:strike/>
                <w:color w:val="FF0000"/>
                <w:szCs w:val="24"/>
              </w:rPr>
            </w:pPr>
          </w:p>
          <w:p w:rsidR="00AA5C8C" w:rsidRPr="00A23740" w:rsidRDefault="00AA5C8C" w:rsidP="009431FF">
            <w:pPr>
              <w:tabs>
                <w:tab w:val="left" w:pos="567"/>
              </w:tabs>
              <w:rPr>
                <w:szCs w:val="24"/>
              </w:rPr>
            </w:pPr>
          </w:p>
          <w:p w:rsidR="00AA5C8C" w:rsidRDefault="00AA5C8C" w:rsidP="009431FF">
            <w:pPr>
              <w:tabs>
                <w:tab w:val="left" w:pos="567"/>
              </w:tabs>
              <w:rPr>
                <w:szCs w:val="24"/>
              </w:rPr>
            </w:pPr>
            <w:r w:rsidRPr="00A23740">
              <w:rPr>
                <w:rStyle w:val="KIRMIZIChar"/>
                <w:rFonts w:eastAsia="Calibri"/>
              </w:rPr>
              <w:t>(2) (Değişik</w:t>
            </w:r>
            <w:r w:rsidRPr="00A23740">
              <w:rPr>
                <w:b/>
                <w:bCs/>
                <w:strike/>
                <w:color w:val="FF0000"/>
                <w:szCs w:val="24"/>
              </w:rPr>
              <w:t xml:space="preserve"> : 29/6/1956 - 6763/42 md.)</w:t>
            </w:r>
            <w:r w:rsidRPr="00A23740">
              <w:rPr>
                <w:szCs w:val="24"/>
              </w:rPr>
              <w:t xml:space="preserve"> Bu mallar iflasın ilanından </w:t>
            </w:r>
            <w:r w:rsidRPr="00A23740">
              <w:rPr>
                <w:b/>
                <w:bCs/>
                <w:strike/>
                <w:color w:val="FF0000"/>
                <w:szCs w:val="24"/>
              </w:rPr>
              <w:t>evvel</w:t>
            </w:r>
            <w:r w:rsidRPr="00A23740">
              <w:rPr>
                <w:szCs w:val="24"/>
              </w:rPr>
              <w:t xml:space="preserve"> </w:t>
            </w:r>
            <w:r w:rsidRPr="00A23740">
              <w:rPr>
                <w:b/>
                <w:bCs/>
                <w:strike/>
                <w:color w:val="FF0000"/>
                <w:szCs w:val="24"/>
              </w:rPr>
              <w:t>taşıma senedi,</w:t>
            </w:r>
            <w:r w:rsidRPr="00A23740">
              <w:rPr>
                <w:szCs w:val="24"/>
              </w:rPr>
              <w:t xml:space="preserve"> konişmento, makbuz senedi, varant gibi emtiayı temsil eden bir senetle </w:t>
            </w:r>
            <w:r w:rsidRPr="00A23740">
              <w:rPr>
                <w:b/>
                <w:strike/>
                <w:color w:val="FF0000"/>
                <w:szCs w:val="24"/>
              </w:rPr>
              <w:t>iyi niyet</w:t>
            </w:r>
            <w:r w:rsidRPr="00A23740">
              <w:rPr>
                <w:szCs w:val="24"/>
              </w:rPr>
              <w:t xml:space="preserve"> sahibi üçüncü bir </w:t>
            </w:r>
            <w:r w:rsidRPr="00A23740">
              <w:rPr>
                <w:b/>
                <w:bCs/>
                <w:strike/>
                <w:color w:val="FF0000"/>
                <w:szCs w:val="24"/>
              </w:rPr>
              <w:t>şahsa</w:t>
            </w:r>
            <w:r w:rsidRPr="00A23740">
              <w:rPr>
                <w:szCs w:val="24"/>
              </w:rPr>
              <w:t xml:space="preserve"> satılmış veya rehnedilmiş olurlarsa artık geri alınamaz</w:t>
            </w:r>
            <w:r w:rsidRPr="00A83E21">
              <w:rPr>
                <w:rStyle w:val="KIRMIZIChar"/>
                <w:rFonts w:eastAsia="Calibri"/>
              </w:rPr>
              <w:t>lar</w:t>
            </w:r>
            <w:r w:rsidRPr="00A23740">
              <w:rPr>
                <w:szCs w:val="24"/>
              </w:rPr>
              <w:t>.</w:t>
            </w:r>
          </w:p>
          <w:p w:rsidR="0091500F" w:rsidRPr="00A23740" w:rsidRDefault="0091500F"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Satıcının geri alma hakkı</w:t>
            </w:r>
          </w:p>
          <w:p w:rsidR="00AA5C8C" w:rsidRPr="00A23740" w:rsidRDefault="0025055D" w:rsidP="009431FF">
            <w:pPr>
              <w:tabs>
                <w:tab w:val="left" w:pos="567"/>
              </w:tabs>
              <w:rPr>
                <w:b/>
                <w:szCs w:val="24"/>
              </w:rPr>
            </w:pPr>
            <w:r w:rsidRPr="00A23740">
              <w:rPr>
                <w:rStyle w:val="MAVChar"/>
                <w:rFonts w:eastAsia="Calibri"/>
                <w:u w:val="none"/>
              </w:rPr>
              <w:t>MADDE 300</w:t>
            </w:r>
            <w:r w:rsidR="00AA5C8C" w:rsidRPr="00A23740">
              <w:rPr>
                <w:rStyle w:val="MAVChar"/>
                <w:rFonts w:eastAsia="Calibri"/>
                <w:u w:val="none"/>
              </w:rPr>
              <w:t>- (1</w:t>
            </w:r>
            <w:r w:rsidR="00AA5C8C" w:rsidRPr="00A23740">
              <w:rPr>
                <w:b/>
                <w:color w:val="0000FF"/>
                <w:szCs w:val="24"/>
              </w:rPr>
              <w:t xml:space="preserve">) Satıcı, iflasın açılmasından önce müflise satılmış ve gönderilmiş olup da </w:t>
            </w:r>
            <w:r w:rsidR="00AA5C8C" w:rsidRPr="00A23740">
              <w:t>müflisin eline</w:t>
            </w:r>
            <w:r w:rsidR="00AA5C8C" w:rsidRPr="00A23740">
              <w:rPr>
                <w:b/>
                <w:color w:val="0000FF"/>
                <w:szCs w:val="24"/>
              </w:rPr>
              <w:t xml:space="preserve"> geçmemiş ve bedeli de ödenmemiş olan bir malın geri verilmesini iflas masasından isteyebilir.  İflas masası, bedelini satıcıya ödeyerek malın masada kalmasını sağlayabilir.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b/>
                <w:szCs w:val="24"/>
              </w:rPr>
              <w:t xml:space="preserve"> </w:t>
            </w:r>
            <w:r w:rsidRPr="00A23740">
              <w:rPr>
                <w:szCs w:val="24"/>
              </w:rPr>
              <w:t>Bu mallar</w:t>
            </w:r>
            <w:r w:rsidRPr="00A23740">
              <w:rPr>
                <w:rStyle w:val="MaviChar"/>
              </w:rPr>
              <w:t>,</w:t>
            </w:r>
            <w:r w:rsidRPr="00A23740">
              <w:rPr>
                <w:szCs w:val="24"/>
              </w:rPr>
              <w:t xml:space="preserve"> iflasın ilanından </w:t>
            </w:r>
            <w:r w:rsidRPr="00A23740">
              <w:rPr>
                <w:b/>
                <w:color w:val="0000FF"/>
                <w:szCs w:val="24"/>
              </w:rPr>
              <w:t>önce</w:t>
            </w:r>
            <w:r w:rsidRPr="00A23740">
              <w:rPr>
                <w:szCs w:val="24"/>
              </w:rPr>
              <w:t xml:space="preserve"> konişmento, makbuz senedi, varant gibi emtiayı temsil eden</w:t>
            </w:r>
            <w:r w:rsidRPr="00A23740">
              <w:rPr>
                <w:b/>
                <w:color w:val="0000FF"/>
                <w:szCs w:val="24"/>
              </w:rPr>
              <w:t xml:space="preserve"> cirosu kabil</w:t>
            </w:r>
            <w:r w:rsidRPr="00A23740">
              <w:rPr>
                <w:szCs w:val="24"/>
              </w:rPr>
              <w:t xml:space="preserve"> bir senetle </w:t>
            </w:r>
            <w:r w:rsidR="007F63AB" w:rsidRPr="00A23740">
              <w:rPr>
                <w:b/>
                <w:color w:val="0000FF"/>
                <w:szCs w:val="24"/>
              </w:rPr>
              <w:t>iyi</w:t>
            </w:r>
            <w:r w:rsidRPr="00A23740">
              <w:rPr>
                <w:b/>
                <w:color w:val="0000FF"/>
                <w:szCs w:val="24"/>
              </w:rPr>
              <w:t>niyet</w:t>
            </w:r>
            <w:r w:rsidRPr="00A23740">
              <w:rPr>
                <w:szCs w:val="24"/>
              </w:rPr>
              <w:t xml:space="preserve"> sahibi üçüncü bir </w:t>
            </w:r>
            <w:r w:rsidRPr="00A23740">
              <w:rPr>
                <w:b/>
                <w:color w:val="0000FF"/>
                <w:szCs w:val="24"/>
              </w:rPr>
              <w:t>kişiye</w:t>
            </w:r>
            <w:r w:rsidRPr="00A23740">
              <w:rPr>
                <w:szCs w:val="24"/>
              </w:rPr>
              <w:t xml:space="preserve"> satılmış veya rehnedilmiş olursa artık geri alınamaz.</w:t>
            </w:r>
          </w:p>
          <w:p w:rsidR="00AA5C8C" w:rsidRPr="00A23740" w:rsidRDefault="00AA5C8C" w:rsidP="009431FF">
            <w:pPr>
              <w:tabs>
                <w:tab w:val="left" w:pos="567"/>
              </w:tabs>
              <w:rPr>
                <w:b/>
                <w:color w:val="FF0000"/>
                <w:szCs w:val="24"/>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B25C8" w:rsidRPr="00A23740" w:rsidRDefault="000B25C8" w:rsidP="009431FF">
            <w:pPr>
              <w:tabs>
                <w:tab w:val="left" w:pos="567"/>
              </w:tabs>
              <w:ind w:firstLine="709"/>
              <w:rPr>
                <w:b/>
              </w:rPr>
            </w:pPr>
          </w:p>
          <w:p w:rsidR="000B25C8" w:rsidRPr="00A23740" w:rsidRDefault="0025055D" w:rsidP="009431FF">
            <w:pPr>
              <w:tabs>
                <w:tab w:val="left" w:pos="567"/>
              </w:tabs>
              <w:ind w:firstLine="709"/>
              <w:rPr>
                <w:b/>
                <w:szCs w:val="24"/>
              </w:rPr>
            </w:pPr>
            <w:r w:rsidRPr="00A23740">
              <w:rPr>
                <w:b/>
              </w:rPr>
              <w:t>MADDE 300</w:t>
            </w:r>
            <w:r w:rsidR="000B25C8" w:rsidRPr="00A23740">
              <w:rPr>
                <w:b/>
              </w:rPr>
              <w:t>-</w:t>
            </w:r>
            <w:r w:rsidR="000B25C8" w:rsidRPr="00A23740">
              <w:t xml:space="preserve"> Maddeyle, satıcının geri alma hakkına ilişkin</w:t>
            </w:r>
            <w:r w:rsidR="000B25C8" w:rsidRPr="00A23740">
              <w:rPr>
                <w:szCs w:val="24"/>
              </w:rPr>
              <w:t xml:space="preserve"> hususlar düzenlenmektedir. Hüküm, 2004 sayılı Kanunun 190 ıncı maddesine karşılık gelmektedir.</w:t>
            </w:r>
            <w:r w:rsidR="000B25C8" w:rsidRPr="00A23740">
              <w:rPr>
                <w:b/>
                <w:szCs w:val="24"/>
              </w:rPr>
              <w:t xml:space="preserve"> </w:t>
            </w:r>
          </w:p>
          <w:p w:rsidR="00F32E7F" w:rsidRPr="00A23740" w:rsidRDefault="00F32E7F" w:rsidP="009431FF">
            <w:pPr>
              <w:ind w:firstLine="709"/>
            </w:pPr>
            <w:r w:rsidRPr="00A23740">
              <w:t>Maddenin ilk fıkrasında iflasın açılmasından önce müflise satılmış ve gönderilmiş olup da müflisin eline geçmeyen ve bedeli de ödenmeyen malların satıcı tarafından iflas masasından geri istenebileceği belirtilmektedir. Her ne kadar satıcının bu konuda talep hakkı bulunmaktaysa da</w:t>
            </w:r>
            <w:r w:rsidR="00305F70" w:rsidRPr="00A23740">
              <w:t>,</w:t>
            </w:r>
            <w:r w:rsidRPr="00A23740">
              <w:t xml:space="preserve"> iflas idaresi malların masada kalmasını masanın menfaatine </w:t>
            </w:r>
            <w:r w:rsidR="00305F70" w:rsidRPr="00A23740">
              <w:t xml:space="preserve">gördüğü takdirde </w:t>
            </w:r>
            <w:r w:rsidRPr="00A23740">
              <w:t>bedelini ödeyerek malların masad</w:t>
            </w:r>
            <w:r w:rsidR="000B25C8" w:rsidRPr="00A23740">
              <w:t xml:space="preserve">a kalmasını sağlayabilecektir. </w:t>
            </w:r>
          </w:p>
          <w:p w:rsidR="00F32E7F" w:rsidRPr="00A23740" w:rsidRDefault="00F32E7F" w:rsidP="009431FF">
            <w:pPr>
              <w:tabs>
                <w:tab w:val="left" w:pos="567"/>
              </w:tabs>
              <w:ind w:firstLine="709"/>
              <w:rPr>
                <w:szCs w:val="24"/>
              </w:rPr>
            </w:pPr>
            <w:r w:rsidRPr="00A23740">
              <w:t>Maddenin ikinci fıkrasında ise ilk fıkranın bir istisnası düzenlenmektedir. Buna göre, iflasın açılmasından önce müflise satılmış ve gönderilmiş olup da müflisin eline geçmeyen ve bedeli de ödenmeyen mallar, iflasın ilanından önce konişmento,</w:t>
            </w:r>
            <w:r w:rsidRPr="00A23740">
              <w:rPr>
                <w:szCs w:val="24"/>
              </w:rPr>
              <w:t xml:space="preserve"> makbuz senedi, varant gibi emtiayı temsil eden</w:t>
            </w:r>
            <w:r w:rsidRPr="00A23740">
              <w:rPr>
                <w:b/>
                <w:color w:val="0000FF"/>
                <w:szCs w:val="24"/>
              </w:rPr>
              <w:t xml:space="preserve"> </w:t>
            </w:r>
            <w:r w:rsidRPr="00A23740">
              <w:rPr>
                <w:bCs/>
                <w:szCs w:val="24"/>
              </w:rPr>
              <w:t>cirosu kabil bir senetle iyiniyet sahibi üçüncü bir kişiye satılmış</w:t>
            </w:r>
            <w:r w:rsidRPr="00A23740">
              <w:rPr>
                <w:szCs w:val="24"/>
              </w:rPr>
              <w:t xml:space="preserve"> veya rehnedilmiş olursa</w:t>
            </w:r>
            <w:r w:rsidR="00305F70" w:rsidRPr="00A23740">
              <w:rPr>
                <w:szCs w:val="24"/>
              </w:rPr>
              <w:t>,</w:t>
            </w:r>
            <w:r w:rsidRPr="00A23740">
              <w:rPr>
                <w:szCs w:val="24"/>
              </w:rPr>
              <w:t xml:space="preserve"> artık geri alınama</w:t>
            </w:r>
            <w:r w:rsidR="000B25C8" w:rsidRPr="00A23740">
              <w:rPr>
                <w:szCs w:val="24"/>
              </w:rPr>
              <w:t>yacaktır. 2004 sayılı Kanunun 190 ıncı</w:t>
            </w:r>
            <w:r w:rsidRPr="00A23740">
              <w:rPr>
                <w:szCs w:val="24"/>
              </w:rPr>
              <w:t xml:space="preserve"> maddesinin ikinci fıkrasında düzenlenen taşıma senetleri, </w:t>
            </w:r>
            <w:r w:rsidR="000B25C8" w:rsidRPr="00A23740">
              <w:rPr>
                <w:szCs w:val="24"/>
              </w:rPr>
              <w:t>6102 sayılı Kanun</w:t>
            </w:r>
            <w:r w:rsidR="00305F70" w:rsidRPr="00A23740">
              <w:rPr>
                <w:szCs w:val="24"/>
              </w:rPr>
              <w:t>la</w:t>
            </w:r>
            <w:r w:rsidRPr="00A23740">
              <w:rPr>
                <w:szCs w:val="24"/>
              </w:rPr>
              <w:t xml:space="preserve"> cirosu kabil olmaktan çıkarıldığı için ikinci fıkrada</w:t>
            </w:r>
            <w:r w:rsidR="00305F70" w:rsidRPr="00A23740">
              <w:rPr>
                <w:szCs w:val="24"/>
              </w:rPr>
              <w:t xml:space="preserve"> yer almamıştır</w:t>
            </w:r>
            <w:r w:rsidRPr="00A23740">
              <w:rPr>
                <w:szCs w:val="24"/>
              </w:rPr>
              <w:t>.</w:t>
            </w:r>
          </w:p>
          <w:p w:rsidR="00F32E7F" w:rsidRPr="00A23740" w:rsidRDefault="00F32E7F" w:rsidP="00B43502">
            <w:pPr>
              <w:tabs>
                <w:tab w:val="left" w:pos="567"/>
              </w:tabs>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Müflisin </w:t>
            </w:r>
            <w:r w:rsidRPr="00A23740">
              <w:rPr>
                <w:rStyle w:val="KIRMIZIChar"/>
                <w:rFonts w:eastAsia="Calibri"/>
              </w:rPr>
              <w:t>tasarrufa ehliyetsizliği</w:t>
            </w:r>
            <w:r w:rsidRPr="00A23740">
              <w:rPr>
                <w:szCs w:val="24"/>
              </w:rPr>
              <w:t xml:space="preserve"> ve poliçe ödenmesi hükümleri</w:t>
            </w:r>
            <w:r w:rsidRPr="00A23740">
              <w:rPr>
                <w:b/>
                <w:bCs/>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191 – (1)</w:t>
            </w:r>
            <w:r w:rsidRPr="00A23740">
              <w:rPr>
                <w:b/>
                <w:szCs w:val="24"/>
              </w:rPr>
              <w:t xml:space="preserve"> </w:t>
            </w:r>
            <w:r w:rsidRPr="00A23740">
              <w:rPr>
                <w:szCs w:val="24"/>
              </w:rPr>
              <w:t>Borçlunun iflas açıldıktan sonra masaya ait mallar üzerinde her türlü tasarrufu alacaklılara karşı hükümsüzdür.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C42DF2" w:rsidRPr="00A23740" w:rsidRDefault="00AA5C8C" w:rsidP="009431FF">
            <w:pPr>
              <w:tabs>
                <w:tab w:val="left" w:pos="567"/>
              </w:tabs>
              <w:rPr>
                <w:szCs w:val="24"/>
              </w:rPr>
            </w:pPr>
            <w:r w:rsidRPr="00A23740">
              <w:rPr>
                <w:rStyle w:val="KIRMIZIChar"/>
                <w:rFonts w:eastAsia="Calibri"/>
              </w:rPr>
              <w:t>(2)</w:t>
            </w:r>
            <w:r w:rsidRPr="00A23740">
              <w:rPr>
                <w:szCs w:val="24"/>
              </w:rPr>
              <w:t xml:space="preserve"> İflas açılmadan </w:t>
            </w:r>
            <w:r w:rsidRPr="00A23740">
              <w:rPr>
                <w:b/>
                <w:bCs/>
                <w:strike/>
                <w:color w:val="FF0000"/>
                <w:szCs w:val="24"/>
              </w:rPr>
              <w:t>evvel</w:t>
            </w:r>
            <w:r w:rsidRPr="00A23740">
              <w:rPr>
                <w:szCs w:val="24"/>
              </w:rPr>
              <w:t xml:space="preserve"> borçlu tarafından imza edilmiş emre </w:t>
            </w:r>
            <w:r w:rsidRPr="00A23740">
              <w:rPr>
                <w:b/>
                <w:bCs/>
                <w:strike/>
                <w:color w:val="FF0000"/>
                <w:szCs w:val="24"/>
              </w:rPr>
              <w:t>muharrer</w:t>
            </w:r>
            <w:r w:rsidRPr="00A23740">
              <w:rPr>
                <w:szCs w:val="24"/>
              </w:rPr>
              <w:t xml:space="preserve"> bir senet veya üzerine </w:t>
            </w:r>
            <w:r w:rsidRPr="00A23740">
              <w:rPr>
                <w:b/>
                <w:bCs/>
                <w:strike/>
                <w:color w:val="FF0000"/>
                <w:szCs w:val="24"/>
              </w:rPr>
              <w:t>keşide olunmuş</w:t>
            </w:r>
            <w:r w:rsidRPr="00A23740">
              <w:rPr>
                <w:szCs w:val="24"/>
              </w:rPr>
              <w:t xml:space="preserve"> bir poliçe iflasın ilanından </w:t>
            </w:r>
            <w:r w:rsidRPr="00A23740">
              <w:rPr>
                <w:b/>
                <w:bCs/>
                <w:strike/>
                <w:color w:val="FF0000"/>
                <w:szCs w:val="24"/>
              </w:rPr>
              <w:t>evvel</w:t>
            </w:r>
            <w:r w:rsidRPr="00A23740">
              <w:rPr>
                <w:szCs w:val="24"/>
              </w:rPr>
              <w:t xml:space="preserve"> vadesinde müflis tarafından ödenmiş olursa iflastan haberdar olm</w:t>
            </w:r>
            <w:r w:rsidRPr="00A23740">
              <w:rPr>
                <w:b/>
                <w:bCs/>
                <w:strike/>
                <w:color w:val="FF0000"/>
                <w:szCs w:val="24"/>
              </w:rPr>
              <w:t>ı</w:t>
            </w:r>
            <w:r w:rsidRPr="00A23740">
              <w:rPr>
                <w:szCs w:val="24"/>
              </w:rPr>
              <w:t xml:space="preserve">yan ve ödemenin reddi halinde üçüncü bir </w:t>
            </w:r>
            <w:r w:rsidRPr="00A23740">
              <w:rPr>
                <w:b/>
                <w:bCs/>
                <w:strike/>
                <w:color w:val="FF0000"/>
                <w:szCs w:val="24"/>
              </w:rPr>
              <w:t>şahsa</w:t>
            </w:r>
            <w:r w:rsidRPr="00A23740">
              <w:rPr>
                <w:szCs w:val="24"/>
              </w:rPr>
              <w:t xml:space="preserve"> rücu hakkını kullanabilecek </w:t>
            </w:r>
            <w:r w:rsidRPr="00A23740">
              <w:rPr>
                <w:b/>
                <w:bCs/>
                <w:strike/>
                <w:color w:val="FF0000"/>
                <w:szCs w:val="24"/>
              </w:rPr>
              <w:t>vaziyette</w:t>
            </w:r>
            <w:r w:rsidRPr="00A23740">
              <w:rPr>
                <w:szCs w:val="24"/>
              </w:rPr>
              <w:t xml:space="preserve"> bulunan hamilden ödenen meblağ geri alınamaz.</w:t>
            </w:r>
          </w:p>
        </w:tc>
        <w:tc>
          <w:tcPr>
            <w:tcW w:w="2500" w:type="pct"/>
          </w:tcPr>
          <w:p w:rsidR="00AA5C8C" w:rsidRPr="00A23740" w:rsidRDefault="00AA5C8C" w:rsidP="009431FF">
            <w:pPr>
              <w:tabs>
                <w:tab w:val="left" w:pos="567"/>
              </w:tabs>
              <w:rPr>
                <w:b/>
                <w:szCs w:val="24"/>
              </w:rPr>
            </w:pPr>
            <w:r w:rsidRPr="00A23740">
              <w:rPr>
                <w:b/>
                <w:szCs w:val="24"/>
              </w:rPr>
              <w:t xml:space="preserve">Müflisin </w:t>
            </w:r>
            <w:r w:rsidRPr="00A23740">
              <w:rPr>
                <w:rStyle w:val="MaviChar"/>
              </w:rPr>
              <w:t>tasarruf yetkisi</w:t>
            </w:r>
            <w:r w:rsidRPr="00A23740">
              <w:rPr>
                <w:b/>
                <w:szCs w:val="24"/>
              </w:rPr>
              <w:t xml:space="preserve"> ve poliçe ödenmesi hükümleri</w:t>
            </w:r>
          </w:p>
          <w:p w:rsidR="00AA5C8C" w:rsidRPr="00A23740" w:rsidRDefault="0025055D" w:rsidP="009431FF">
            <w:pPr>
              <w:tabs>
                <w:tab w:val="left" w:pos="567"/>
              </w:tabs>
              <w:rPr>
                <w:szCs w:val="24"/>
              </w:rPr>
            </w:pPr>
            <w:r w:rsidRPr="00A23740">
              <w:rPr>
                <w:rStyle w:val="MAVChar"/>
                <w:rFonts w:eastAsia="Calibri"/>
                <w:u w:val="none"/>
              </w:rPr>
              <w:t>MADDE 301</w:t>
            </w:r>
            <w:r w:rsidR="00AA5C8C" w:rsidRPr="00A23740">
              <w:rPr>
                <w:rStyle w:val="MAVChar"/>
                <w:rFonts w:eastAsia="Calibri"/>
                <w:u w:val="none"/>
              </w:rPr>
              <w:t>- (1</w:t>
            </w:r>
            <w:r w:rsidR="00AA5C8C" w:rsidRPr="00A23740">
              <w:rPr>
                <w:b/>
                <w:color w:val="0000FF"/>
                <w:szCs w:val="24"/>
              </w:rPr>
              <w:t>)</w:t>
            </w:r>
            <w:r w:rsidR="00AA5C8C" w:rsidRPr="00A23740">
              <w:rPr>
                <w:b/>
                <w:szCs w:val="24"/>
              </w:rPr>
              <w:t xml:space="preserve"> </w:t>
            </w:r>
            <w:r w:rsidR="00AA5C8C" w:rsidRPr="00A23740">
              <w:rPr>
                <w:szCs w:val="24"/>
              </w:rPr>
              <w:t>Borçlunun iflas açıldıktan sonra masaya ait mallar üzerinde her türlü tasarrufu alacaklılara karşı hükümsüzdür.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Default="00AA5C8C" w:rsidP="009431FF">
            <w:pPr>
              <w:tabs>
                <w:tab w:val="left" w:pos="567"/>
              </w:tabs>
              <w:rPr>
                <w:szCs w:val="24"/>
              </w:rPr>
            </w:pPr>
            <w:r w:rsidRPr="00A23740">
              <w:rPr>
                <w:b/>
                <w:color w:val="0000FF"/>
                <w:szCs w:val="24"/>
              </w:rPr>
              <w:t>(2)</w:t>
            </w:r>
            <w:r w:rsidRPr="00A23740">
              <w:rPr>
                <w:szCs w:val="24"/>
              </w:rPr>
              <w:t xml:space="preserve"> İflas açılmadan </w:t>
            </w:r>
            <w:r w:rsidRPr="00A23740">
              <w:rPr>
                <w:b/>
                <w:color w:val="0000FF"/>
                <w:szCs w:val="24"/>
              </w:rPr>
              <w:t>önce</w:t>
            </w:r>
            <w:r w:rsidRPr="00A23740">
              <w:rPr>
                <w:szCs w:val="24"/>
              </w:rPr>
              <w:t xml:space="preserve"> borçlu tarafından imza edilmiş emre </w:t>
            </w:r>
            <w:r w:rsidRPr="00A23740">
              <w:rPr>
                <w:b/>
                <w:color w:val="0000FF"/>
                <w:szCs w:val="24"/>
              </w:rPr>
              <w:t>yazılı</w:t>
            </w:r>
            <w:r w:rsidRPr="00A23740">
              <w:rPr>
                <w:szCs w:val="24"/>
              </w:rPr>
              <w:t xml:space="preserve"> bir senet veya</w:t>
            </w:r>
            <w:r w:rsidR="00FD3CB2" w:rsidRPr="00A23740">
              <w:rPr>
                <w:szCs w:val="24"/>
              </w:rPr>
              <w:t xml:space="preserve"> </w:t>
            </w:r>
            <w:r w:rsidR="00FD3CB2" w:rsidRPr="00E5316E">
              <w:rPr>
                <w:rStyle w:val="MaviChar"/>
              </w:rPr>
              <w:t>borçlu</w:t>
            </w:r>
            <w:r w:rsidRPr="00A23740">
              <w:rPr>
                <w:szCs w:val="24"/>
              </w:rPr>
              <w:t xml:space="preserve"> üzerine </w:t>
            </w:r>
            <w:r w:rsidRPr="00A23740">
              <w:rPr>
                <w:b/>
                <w:color w:val="0000FF"/>
                <w:szCs w:val="24"/>
              </w:rPr>
              <w:t>düzenlenmiş</w:t>
            </w:r>
            <w:r w:rsidRPr="00A23740">
              <w:rPr>
                <w:szCs w:val="24"/>
              </w:rPr>
              <w:t xml:space="preserve"> bir poliçe iflasın ilanından </w:t>
            </w:r>
            <w:r w:rsidRPr="00A23740">
              <w:rPr>
                <w:b/>
                <w:color w:val="0000FF"/>
                <w:szCs w:val="24"/>
              </w:rPr>
              <w:t>önce</w:t>
            </w:r>
            <w:r w:rsidRPr="00A23740">
              <w:rPr>
                <w:szCs w:val="24"/>
              </w:rPr>
              <w:t xml:space="preserve"> vadesinde müflis tarafından ödenmiş olursa</w:t>
            </w:r>
            <w:r w:rsidRPr="00A23740">
              <w:rPr>
                <w:rStyle w:val="MaviChar"/>
              </w:rPr>
              <w:t>,</w:t>
            </w:r>
            <w:r w:rsidRPr="00A23740">
              <w:rPr>
                <w:szCs w:val="24"/>
              </w:rPr>
              <w:t xml:space="preserve"> </w:t>
            </w:r>
            <w:r w:rsidR="00CC3F6E" w:rsidRPr="00A83E21">
              <w:rPr>
                <w:rStyle w:val="Balk1Char"/>
                <w:rFonts w:eastAsia="Calibri"/>
              </w:rPr>
              <w:t>ödenen meblağ</w:t>
            </w:r>
            <w:r w:rsidR="00CC3F6E" w:rsidRPr="00A23740">
              <w:rPr>
                <w:szCs w:val="24"/>
              </w:rPr>
              <w:t xml:space="preserve"> </w:t>
            </w:r>
            <w:r w:rsidRPr="00A23740">
              <w:rPr>
                <w:szCs w:val="24"/>
              </w:rPr>
              <w:t>iflastan haberdar olm</w:t>
            </w:r>
            <w:r w:rsidRPr="00A23740">
              <w:rPr>
                <w:b/>
                <w:color w:val="0000FF"/>
                <w:szCs w:val="24"/>
              </w:rPr>
              <w:t>a</w:t>
            </w:r>
            <w:r w:rsidRPr="00A23740">
              <w:rPr>
                <w:szCs w:val="24"/>
              </w:rPr>
              <w:t>yan ve ödemenin reddi h</w:t>
            </w:r>
            <w:r w:rsidR="009D574E" w:rsidRPr="00A23740">
              <w:rPr>
                <w:szCs w:val="24"/>
              </w:rPr>
              <w:t>â</w:t>
            </w:r>
            <w:r w:rsidRPr="00A23740">
              <w:rPr>
                <w:szCs w:val="24"/>
              </w:rPr>
              <w:t xml:space="preserve">linde üçüncü bir </w:t>
            </w:r>
            <w:r w:rsidRPr="00A23740">
              <w:rPr>
                <w:b/>
                <w:color w:val="0000FF"/>
                <w:szCs w:val="24"/>
              </w:rPr>
              <w:t>kişiye</w:t>
            </w:r>
            <w:r w:rsidRPr="00A23740">
              <w:rPr>
                <w:szCs w:val="24"/>
              </w:rPr>
              <w:t xml:space="preserve"> rücu hakkını kullanabilecek </w:t>
            </w:r>
            <w:r w:rsidRPr="00A23740">
              <w:rPr>
                <w:b/>
                <w:color w:val="0000FF"/>
                <w:szCs w:val="24"/>
              </w:rPr>
              <w:t>durumda</w:t>
            </w:r>
            <w:r w:rsidRPr="00A23740">
              <w:rPr>
                <w:szCs w:val="24"/>
              </w:rPr>
              <w:t xml:space="preserve"> </w:t>
            </w:r>
            <w:r w:rsidR="00D74F7C">
              <w:rPr>
                <w:szCs w:val="24"/>
              </w:rPr>
              <w:t>bulunan hamilden geri alınamaz.</w:t>
            </w:r>
          </w:p>
          <w:p w:rsidR="00B43502" w:rsidRPr="00A23740" w:rsidRDefault="00B43502" w:rsidP="009431FF">
            <w:pPr>
              <w:tabs>
                <w:tab w:val="left" w:pos="567"/>
              </w:tabs>
              <w:rPr>
                <w:b/>
                <w:color w:val="FF0000"/>
                <w:szCs w:val="24"/>
              </w:rPr>
            </w:pPr>
          </w:p>
        </w:tc>
      </w:tr>
      <w:tr w:rsidR="002B2BD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B25C8" w:rsidRPr="00A23740" w:rsidRDefault="000B25C8" w:rsidP="009431FF">
            <w:pPr>
              <w:tabs>
                <w:tab w:val="left" w:pos="567"/>
              </w:tabs>
              <w:ind w:firstLine="709"/>
              <w:rPr>
                <w:b/>
              </w:rPr>
            </w:pPr>
          </w:p>
          <w:p w:rsidR="00F32E7F" w:rsidRPr="00A23740" w:rsidRDefault="0025055D" w:rsidP="009431FF">
            <w:pPr>
              <w:tabs>
                <w:tab w:val="left" w:pos="567"/>
              </w:tabs>
              <w:ind w:firstLine="709"/>
              <w:rPr>
                <w:b/>
                <w:szCs w:val="24"/>
              </w:rPr>
            </w:pPr>
            <w:r w:rsidRPr="00A23740">
              <w:rPr>
                <w:b/>
              </w:rPr>
              <w:t>MADDE 301</w:t>
            </w:r>
            <w:r w:rsidR="000B25C8" w:rsidRPr="00A23740">
              <w:rPr>
                <w:b/>
              </w:rPr>
              <w:t>-</w:t>
            </w:r>
            <w:r w:rsidR="000B25C8" w:rsidRPr="00A23740">
              <w:t xml:space="preserve"> Maddeyle, </w:t>
            </w:r>
            <w:r w:rsidR="000B25C8" w:rsidRPr="00A23740">
              <w:rPr>
                <w:szCs w:val="24"/>
              </w:rPr>
              <w:t>müflisin tasarruf</w:t>
            </w:r>
            <w:r w:rsidR="000B25C8" w:rsidRPr="00A23740">
              <w:rPr>
                <w:b/>
                <w:bCs/>
              </w:rPr>
              <w:t xml:space="preserve"> </w:t>
            </w:r>
            <w:r w:rsidR="000B25C8" w:rsidRPr="00A23740">
              <w:rPr>
                <w:szCs w:val="24"/>
              </w:rPr>
              <w:t>yetkisi ve poliçe ödenmesi hükümlerine ilişkin hususlar düzenlenmektedir. Hüküm, 2004 sayılı Kanunun 191 inci maddesine karşılık gelmektedir.</w:t>
            </w:r>
            <w:r w:rsidR="000B25C8" w:rsidRPr="00A23740">
              <w:rPr>
                <w:b/>
                <w:szCs w:val="24"/>
              </w:rPr>
              <w:t xml:space="preserve"> </w:t>
            </w:r>
          </w:p>
          <w:p w:rsidR="00F32E7F" w:rsidRPr="00A23740" w:rsidRDefault="00F32E7F" w:rsidP="009431FF">
            <w:pPr>
              <w:tabs>
                <w:tab w:val="left" w:pos="567"/>
              </w:tabs>
              <w:ind w:firstLine="709"/>
              <w:rPr>
                <w:szCs w:val="24"/>
              </w:rPr>
            </w:pPr>
            <w:r w:rsidRPr="00A23740">
              <w:rPr>
                <w:szCs w:val="24"/>
              </w:rPr>
              <w:t xml:space="preserve">Müflisin masaya dahil olmuş mallar üzerindeki tasarruf yetkisi kaldırılmıştır. Bu durumun doğal sonucu olarak müflisin bu mallar üzerindeki tasarrufu alacaklılara karşı hükümsüz olacaktır. Müflisin tasarruf yetkisinin kaldırıldığı an ise iflasın açıldığı andır. Maddenin açık hükmü karşısında iflasın ilanının tasarruf yetkisinin kaybı açısından bir önemi bulunmamaktadır. </w:t>
            </w:r>
          </w:p>
          <w:p w:rsidR="000B25C8" w:rsidRPr="00A23740" w:rsidRDefault="00F32E7F" w:rsidP="009431FF">
            <w:pPr>
              <w:ind w:firstLine="709"/>
              <w:rPr>
                <w:bCs/>
                <w:szCs w:val="24"/>
              </w:rPr>
            </w:pPr>
            <w:r w:rsidRPr="00A23740">
              <w:t xml:space="preserve">Maddenin ikinci fıkrasında da </w:t>
            </w:r>
            <w:r w:rsidR="000B25C8" w:rsidRPr="00A23740">
              <w:t>2004 sayılı Kanun</w:t>
            </w:r>
            <w:r w:rsidR="00305F70" w:rsidRPr="00A23740">
              <w:t>a göre</w:t>
            </w:r>
            <w:r w:rsidRPr="00A23740">
              <w:t xml:space="preserve"> önemli bir farklılık bulunmamaktadır. Buna göre</w:t>
            </w:r>
            <w:r w:rsidRPr="00A23740">
              <w:rPr>
                <w:szCs w:val="24"/>
              </w:rPr>
              <w:t xml:space="preserve"> iflasın açılmasından </w:t>
            </w:r>
            <w:r w:rsidRPr="00A23740">
              <w:rPr>
                <w:bCs/>
                <w:szCs w:val="24"/>
              </w:rPr>
              <w:t xml:space="preserve">önce borçlu tarafından imza edilmiş emre yazılı bir senet veya </w:t>
            </w:r>
            <w:r w:rsidR="00526267" w:rsidRPr="00D60C1D">
              <w:rPr>
                <w:bCs/>
                <w:color w:val="000000"/>
                <w:szCs w:val="24"/>
              </w:rPr>
              <w:t>borçlu</w:t>
            </w:r>
            <w:r w:rsidR="00526267" w:rsidRPr="00A23740">
              <w:rPr>
                <w:bCs/>
                <w:szCs w:val="24"/>
              </w:rPr>
              <w:t xml:space="preserve"> </w:t>
            </w:r>
            <w:r w:rsidRPr="00A23740">
              <w:rPr>
                <w:bCs/>
                <w:szCs w:val="24"/>
              </w:rPr>
              <w:t>üzerine düzenlenmiş bir poliçe iflasın ilanından önce vadesinde müflis tarafından ödenmiş olursa</w:t>
            </w:r>
            <w:r w:rsidRPr="00A23740">
              <w:rPr>
                <w:rStyle w:val="YELChar"/>
                <w:bCs/>
              </w:rPr>
              <w:t>,</w:t>
            </w:r>
            <w:r w:rsidRPr="00A23740">
              <w:rPr>
                <w:bCs/>
                <w:szCs w:val="24"/>
              </w:rPr>
              <w:t xml:space="preserve"> iflastan haberdar olmayan ve ödemenin reddi h</w:t>
            </w:r>
            <w:r w:rsidR="009D574E" w:rsidRPr="00A23740">
              <w:rPr>
                <w:bCs/>
                <w:szCs w:val="24"/>
              </w:rPr>
              <w:t>â</w:t>
            </w:r>
            <w:r w:rsidRPr="00A23740">
              <w:rPr>
                <w:bCs/>
                <w:szCs w:val="24"/>
              </w:rPr>
              <w:t>linde üçüncü bir kişiye rücu hakkını kullanabilecek durumda bulunan hamilden öden</w:t>
            </w:r>
            <w:r w:rsidR="00B43502">
              <w:rPr>
                <w:bCs/>
                <w:szCs w:val="24"/>
              </w:rPr>
              <w:t>en meblağ geri alınamayacaktır.</w:t>
            </w:r>
          </w:p>
          <w:p w:rsidR="007F61F8" w:rsidRPr="00A23740" w:rsidRDefault="007F61F8" w:rsidP="00B43502">
            <w:pPr>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Müflise ödeme</w:t>
            </w:r>
            <w:r w:rsidRPr="00A23740">
              <w:rPr>
                <w:b/>
                <w:bCs/>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192 – (1)</w:t>
            </w:r>
            <w:r w:rsidRPr="00A23740">
              <w:rPr>
                <w:b/>
                <w:szCs w:val="24"/>
              </w:rPr>
              <w:t xml:space="preserve"> </w:t>
            </w:r>
            <w:r w:rsidRPr="00A23740">
              <w:rPr>
                <w:szCs w:val="24"/>
              </w:rPr>
              <w:t xml:space="preserve">İflasın açılmasından sonra müflis hiçbir ödeme kabul edemez. Müflise ödemede bulunan kimse müflisin alacaklılarına karşı ancak masaya giren para veya kıymet </w:t>
            </w:r>
            <w:r w:rsidRPr="00A23740">
              <w:rPr>
                <w:b/>
                <w:bCs/>
                <w:strike/>
                <w:color w:val="FF0000"/>
                <w:szCs w:val="24"/>
              </w:rPr>
              <w:t>nispetinde</w:t>
            </w:r>
            <w:r w:rsidRPr="00A23740">
              <w:rPr>
                <w:szCs w:val="24"/>
              </w:rPr>
              <w:t xml:space="preserve"> borcundan kurtulur. </w:t>
            </w:r>
            <w:r w:rsidRPr="00A83E21">
              <w:rPr>
                <w:rStyle w:val="KIRMIZIChar"/>
                <w:rFonts w:eastAsia="Calibri"/>
              </w:rPr>
              <w:t>Bununla beraber iflasın ilanından evvel müflise ödemede bulunan borçlu iflastan haberi yoksa borcundan kurtulur.</w:t>
            </w:r>
          </w:p>
          <w:p w:rsidR="00A83E21" w:rsidRDefault="00A83E21" w:rsidP="009431FF">
            <w:pPr>
              <w:tabs>
                <w:tab w:val="left" w:pos="567"/>
              </w:tabs>
              <w:rPr>
                <w:szCs w:val="24"/>
              </w:rPr>
            </w:pPr>
          </w:p>
          <w:p w:rsidR="00A83E21" w:rsidRPr="00A23740" w:rsidRDefault="00923120" w:rsidP="009431FF">
            <w:pPr>
              <w:tabs>
                <w:tab w:val="left" w:pos="567"/>
              </w:tabs>
              <w:rPr>
                <w:szCs w:val="24"/>
              </w:rPr>
            </w:pPr>
            <w:r>
              <w:rPr>
                <w:rStyle w:val="KIRMIZIChar"/>
                <w:rFonts w:eastAsia="Calibri"/>
              </w:rPr>
              <w:t>M.192/F1.C</w:t>
            </w:r>
            <w:r w:rsidR="00A83E21" w:rsidRPr="00A83E21">
              <w:rPr>
                <w:rStyle w:val="KIRMIZIChar"/>
                <w:rFonts w:eastAsia="Calibri"/>
              </w:rPr>
              <w:t>2:</w:t>
            </w:r>
            <w:r w:rsidR="00A83E21">
              <w:t xml:space="preserve"> </w:t>
            </w:r>
            <w:r w:rsidR="00A83E21" w:rsidRPr="00A23740">
              <w:rPr>
                <w:b/>
                <w:bCs/>
                <w:strike/>
                <w:color w:val="FF0000"/>
                <w:szCs w:val="24"/>
              </w:rPr>
              <w:t>Bununla beraber</w:t>
            </w:r>
            <w:r w:rsidR="00A83E21" w:rsidRPr="00A23740">
              <w:rPr>
                <w:szCs w:val="24"/>
              </w:rPr>
              <w:t xml:space="preserve"> iflasın ilanından </w:t>
            </w:r>
            <w:r w:rsidR="00A83E21" w:rsidRPr="00A23740">
              <w:rPr>
                <w:b/>
                <w:bCs/>
                <w:strike/>
                <w:color w:val="FF0000"/>
                <w:szCs w:val="24"/>
              </w:rPr>
              <w:t>evvel</w:t>
            </w:r>
            <w:r w:rsidR="00A83E21" w:rsidRPr="00A23740">
              <w:rPr>
                <w:szCs w:val="24"/>
              </w:rPr>
              <w:t xml:space="preserve"> müflise ödemede bulunan borçlu iflastan haberi yoksa borcundan kurtulur.</w:t>
            </w:r>
          </w:p>
        </w:tc>
        <w:tc>
          <w:tcPr>
            <w:tcW w:w="2500" w:type="pct"/>
          </w:tcPr>
          <w:p w:rsidR="00AA5C8C" w:rsidRPr="00A23740" w:rsidRDefault="00AA5C8C" w:rsidP="009431FF">
            <w:pPr>
              <w:tabs>
                <w:tab w:val="left" w:pos="567"/>
              </w:tabs>
              <w:rPr>
                <w:b/>
                <w:szCs w:val="24"/>
              </w:rPr>
            </w:pPr>
            <w:r w:rsidRPr="00A23740">
              <w:rPr>
                <w:b/>
                <w:szCs w:val="24"/>
              </w:rPr>
              <w:t>Müflise ödeme</w:t>
            </w:r>
          </w:p>
          <w:p w:rsidR="00AA5C8C" w:rsidRDefault="0025055D" w:rsidP="009431FF">
            <w:pPr>
              <w:tabs>
                <w:tab w:val="left" w:pos="567"/>
              </w:tabs>
              <w:rPr>
                <w:szCs w:val="24"/>
              </w:rPr>
            </w:pPr>
            <w:r w:rsidRPr="00A23740">
              <w:rPr>
                <w:rStyle w:val="MAVChar"/>
                <w:rFonts w:eastAsia="Calibri"/>
                <w:u w:val="none"/>
              </w:rPr>
              <w:t>MADDE 302</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 xml:space="preserve">İflasın açılmasından sonra müflis hiçbir ödeme kabul edemez. Müflise ödemede bulunan kimse müflisin alacaklılarına karşı ancak masaya giren para veya kıymet </w:t>
            </w:r>
            <w:r w:rsidR="00AA5C8C" w:rsidRPr="00A23740">
              <w:rPr>
                <w:b/>
                <w:color w:val="0000FF"/>
                <w:szCs w:val="24"/>
              </w:rPr>
              <w:t>oranında</w:t>
            </w:r>
            <w:r w:rsidR="00AA5C8C" w:rsidRPr="00A23740">
              <w:rPr>
                <w:szCs w:val="24"/>
              </w:rPr>
              <w:t xml:space="preserve"> borcundan kurtulur.</w:t>
            </w:r>
          </w:p>
          <w:p w:rsidR="00A83E21" w:rsidRDefault="00A83E21" w:rsidP="009431FF">
            <w:pPr>
              <w:tabs>
                <w:tab w:val="left" w:pos="567"/>
              </w:tabs>
              <w:rPr>
                <w:szCs w:val="24"/>
              </w:rPr>
            </w:pPr>
          </w:p>
          <w:p w:rsidR="00A83E21" w:rsidRDefault="00A83E21" w:rsidP="009431FF">
            <w:pPr>
              <w:tabs>
                <w:tab w:val="left" w:pos="567"/>
              </w:tabs>
              <w:rPr>
                <w:szCs w:val="24"/>
              </w:rPr>
            </w:pPr>
          </w:p>
          <w:p w:rsidR="00A83E21" w:rsidRPr="00A23740" w:rsidRDefault="00A83E21"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İflasın ilanından </w:t>
            </w:r>
            <w:r w:rsidRPr="00A23740">
              <w:rPr>
                <w:b/>
                <w:color w:val="0000FF"/>
                <w:szCs w:val="24"/>
              </w:rPr>
              <w:t>önce</w:t>
            </w:r>
            <w:r w:rsidRPr="00A23740">
              <w:rPr>
                <w:szCs w:val="24"/>
              </w:rPr>
              <w:t xml:space="preserve"> müflise ödemede bulunan borçlu</w:t>
            </w:r>
            <w:r w:rsidRPr="00A23740">
              <w:rPr>
                <w:rStyle w:val="MaviChar"/>
              </w:rPr>
              <w:t>,</w:t>
            </w:r>
            <w:r w:rsidRPr="00A23740">
              <w:rPr>
                <w:szCs w:val="24"/>
              </w:rPr>
              <w:t xml:space="preserve"> iflastan haberi yoksa borcundan kurtulur.</w:t>
            </w:r>
          </w:p>
          <w:p w:rsidR="00AA5C8C" w:rsidRPr="00A23740" w:rsidRDefault="00AA5C8C" w:rsidP="009431FF">
            <w:pPr>
              <w:pStyle w:val="KIRMIZI"/>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B25C8" w:rsidRPr="00A23740" w:rsidRDefault="000B25C8" w:rsidP="009431FF">
            <w:pPr>
              <w:tabs>
                <w:tab w:val="left" w:pos="567"/>
              </w:tabs>
              <w:ind w:firstLine="709"/>
              <w:rPr>
                <w:b/>
              </w:rPr>
            </w:pPr>
          </w:p>
          <w:p w:rsidR="000B25C8" w:rsidRPr="00A23740" w:rsidRDefault="0025055D" w:rsidP="009431FF">
            <w:pPr>
              <w:tabs>
                <w:tab w:val="left" w:pos="567"/>
              </w:tabs>
              <w:ind w:firstLine="709"/>
              <w:rPr>
                <w:b/>
                <w:szCs w:val="24"/>
              </w:rPr>
            </w:pPr>
            <w:r w:rsidRPr="00A23740">
              <w:rPr>
                <w:b/>
              </w:rPr>
              <w:t>MADDE 302</w:t>
            </w:r>
            <w:r w:rsidR="000B25C8" w:rsidRPr="00A23740">
              <w:rPr>
                <w:b/>
              </w:rPr>
              <w:t>-</w:t>
            </w:r>
            <w:r w:rsidR="000B25C8" w:rsidRPr="00A23740">
              <w:t xml:space="preserve"> Maddeyle, </w:t>
            </w:r>
            <w:r w:rsidR="000B25C8" w:rsidRPr="00A23740">
              <w:rPr>
                <w:szCs w:val="24"/>
              </w:rPr>
              <w:t>müflise ödemeye ilişkin hususlar düzenlenmektedir. Hüküm, 2004 sayılı Kanunun 192 nci maddesine karşılık gelmektedir.</w:t>
            </w:r>
            <w:r w:rsidR="000B25C8" w:rsidRPr="00A23740">
              <w:rPr>
                <w:b/>
                <w:szCs w:val="24"/>
              </w:rPr>
              <w:t xml:space="preserve"> </w:t>
            </w:r>
          </w:p>
          <w:p w:rsidR="00F32E7F" w:rsidRPr="00A23740" w:rsidRDefault="00F32E7F" w:rsidP="009431FF">
            <w:pPr>
              <w:ind w:firstLine="709"/>
            </w:pPr>
            <w:r w:rsidRPr="00A23740">
              <w:t xml:space="preserve">Madde, </w:t>
            </w:r>
            <w:r w:rsidR="000B25C8" w:rsidRPr="00A23740">
              <w:t>2004 sayılı Kanun hükmünden</w:t>
            </w:r>
            <w:r w:rsidRPr="00A23740">
              <w:t xml:space="preserve"> farklı bir husus içermemektedir. Maddenin ilk fıkrasında iflasın açılmasından sonra müflisin hiçbir ödeme kabul edemeyeceği, şayet müflise bir ödeme yapılmışsa yapılan ödemenin masaya dahil olduğu oranda müflisin borçlusunun borcundan kurtulacağı, aksi </w:t>
            </w:r>
            <w:r w:rsidR="00305F70" w:rsidRPr="00A23740">
              <w:t xml:space="preserve">takdirde </w:t>
            </w:r>
            <w:r w:rsidRPr="00A23740">
              <w:t xml:space="preserve">masanın ödemenin kendisine yapılmasını talep edebileceği belirtilmektedir. Fıkrada düzenlenen husus, müflis, müflisin alacaklıları ve müflisin borçluları için iflasın açılmasının bazı kanuni engelleri ortaya çıkarmasının tipik bir örneğidir. </w:t>
            </w:r>
          </w:p>
          <w:p w:rsidR="00F32E7F" w:rsidRPr="00A23740" w:rsidRDefault="00F32E7F" w:rsidP="009431FF">
            <w:pPr>
              <w:ind w:firstLine="709"/>
            </w:pPr>
            <w:r w:rsidRPr="00A23740">
              <w:t>Maddenin ikinci fıkrasında ise</w:t>
            </w:r>
            <w:r w:rsidR="00305F70" w:rsidRPr="00A23740">
              <w:t>,</w:t>
            </w:r>
            <w:r w:rsidRPr="00A23740">
              <w:t xml:space="preserve"> müflise ödeme yapan borçlunun iyiniyetli olması hususu düzenlenmiştir. Şayet müflisin borçlusu iflas</w:t>
            </w:r>
            <w:r w:rsidR="00305F70" w:rsidRPr="00A23740">
              <w:t>ın</w:t>
            </w:r>
            <w:r w:rsidRPr="00A23740">
              <w:t xml:space="preserve"> ilanından önce iflastan haberdar değilse ve bu konuda iyiniyetli ise</w:t>
            </w:r>
            <w:r w:rsidR="00305F70" w:rsidRPr="00A23740">
              <w:t>,</w:t>
            </w:r>
            <w:r w:rsidRPr="00A23740">
              <w:t xml:space="preserve"> müflise yaptığı ödeme</w:t>
            </w:r>
            <w:r w:rsidR="00305F70" w:rsidRPr="00A23740">
              <w:t>yle</w:t>
            </w:r>
            <w:r w:rsidRPr="00A23740">
              <w:t xml:space="preserve"> borcundan kurtulacaktır. </w:t>
            </w:r>
            <w:r w:rsidR="00CC3F6E" w:rsidRPr="00A23740">
              <w:t xml:space="preserve">İflasın </w:t>
            </w:r>
            <w:r w:rsidRPr="00A23740">
              <w:t xml:space="preserve">ilanından sonra müflise ödeme yapan borçlunun iflastan haberi olmadığı şeklinde bir savunmada bulunabilmesi </w:t>
            </w:r>
            <w:r w:rsidR="00CC3F6E" w:rsidRPr="00D60C1D">
              <w:rPr>
                <w:rStyle w:val="YELChar"/>
                <w:b w:val="0"/>
                <w:color w:val="000000"/>
              </w:rPr>
              <w:t>ise</w:t>
            </w:r>
            <w:r w:rsidR="00CC3F6E" w:rsidRPr="00A23740">
              <w:t xml:space="preserve"> </w:t>
            </w:r>
            <w:r w:rsidRPr="00A23740">
              <w:t xml:space="preserve">kabul edilmeyecektir. </w:t>
            </w:r>
          </w:p>
          <w:p w:rsidR="00F32E7F" w:rsidRPr="00A23740" w:rsidRDefault="00F32E7F" w:rsidP="00B43502">
            <w:pPr>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rStyle w:val="KIRMIZIChar"/>
                <w:rFonts w:eastAsia="Calibri"/>
              </w:rPr>
              <w:t>Takibin</w:t>
            </w:r>
            <w:r w:rsidRPr="00A23740">
              <w:rPr>
                <w:szCs w:val="24"/>
              </w:rPr>
              <w:t xml:space="preserve"> durması ve düşmesi:</w:t>
            </w:r>
          </w:p>
          <w:p w:rsidR="00AA5C8C" w:rsidRPr="00A23740" w:rsidRDefault="00AA5C8C" w:rsidP="009431FF">
            <w:pPr>
              <w:tabs>
                <w:tab w:val="left" w:pos="567"/>
              </w:tabs>
              <w:rPr>
                <w:b/>
                <w:bCs/>
                <w:strike/>
                <w:color w:val="FF0000"/>
                <w:szCs w:val="24"/>
              </w:rPr>
            </w:pPr>
            <w:r w:rsidRPr="00A23740">
              <w:rPr>
                <w:rStyle w:val="KIRMIZIChar"/>
                <w:rFonts w:eastAsia="Calibri"/>
              </w:rPr>
              <w:t>Madde 193 – (1) (Değişik</w:t>
            </w:r>
            <w:r w:rsidRPr="00A23740">
              <w:rPr>
                <w:b/>
                <w:bCs/>
                <w:strike/>
                <w:color w:val="FF0000"/>
                <w:szCs w:val="24"/>
              </w:rPr>
              <w:t>: 18/2/1965 - 538/95 md.)</w:t>
            </w:r>
            <w:r w:rsidRPr="00A23740">
              <w:rPr>
                <w:b/>
                <w:bCs/>
                <w:color w:val="FF0000"/>
                <w:szCs w:val="24"/>
              </w:rPr>
              <w:t xml:space="preserve"> </w:t>
            </w:r>
            <w:r w:rsidRPr="00A23740">
              <w:rPr>
                <w:b/>
                <w:bCs/>
                <w:strike/>
                <w:color w:val="FF0000"/>
                <w:szCs w:val="24"/>
              </w:rPr>
              <w:t>(Değişik: 9/11/1988 - 3494/39 md.)</w:t>
            </w:r>
            <w:r w:rsidRPr="00A23740">
              <w:rPr>
                <w:szCs w:val="24"/>
              </w:rPr>
              <w:t xml:space="preserve"> İflasın açılması, borçlu aleyhinde </w:t>
            </w:r>
            <w:r w:rsidRPr="00A23740">
              <w:rPr>
                <w:b/>
                <w:bCs/>
                <w:strike/>
                <w:color w:val="FF0000"/>
                <w:szCs w:val="24"/>
              </w:rPr>
              <w:t>haciz yoluyla yapılan takiplerle teminat gösterilmesine ilişkin</w:t>
            </w:r>
            <w:r w:rsidRPr="00A23740">
              <w:rPr>
                <w:szCs w:val="24"/>
              </w:rPr>
              <w:t xml:space="preserve"> takipleri durdurur.</w:t>
            </w: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İflas kararının kesinleşmesi </w:t>
            </w:r>
            <w:r w:rsidRPr="00045DAC">
              <w:rPr>
                <w:rStyle w:val="KIRMIZIChar"/>
                <w:rFonts w:eastAsia="Calibri"/>
              </w:rPr>
              <w:t>ile</w:t>
            </w:r>
            <w:r w:rsidRPr="00A23740">
              <w:rPr>
                <w:szCs w:val="24"/>
              </w:rPr>
              <w:t xml:space="preserve"> bu takipler düşer.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İflasın tasfiyesi müddetince müflise karşı birinci fıkradaki takiplerden hiçbiri yapılamaz.</w:t>
            </w:r>
          </w:p>
          <w:p w:rsidR="00AA5C8C" w:rsidRPr="00A23740" w:rsidRDefault="00AA5C8C" w:rsidP="009431FF">
            <w:pPr>
              <w:tabs>
                <w:tab w:val="left" w:pos="567"/>
              </w:tabs>
              <w:rPr>
                <w:szCs w:val="24"/>
              </w:rPr>
            </w:pPr>
          </w:p>
          <w:p w:rsidR="00AA5C8C" w:rsidRPr="00A23740" w:rsidRDefault="00AA5C8C" w:rsidP="009431FF">
            <w:pPr>
              <w:pStyle w:val="Balk3"/>
              <w:rPr>
                <w:lang w:val="tr-TR"/>
              </w:rPr>
            </w:pPr>
          </w:p>
          <w:p w:rsidR="00AA5C8C" w:rsidRPr="00A23740" w:rsidRDefault="00AA5C8C" w:rsidP="009431FF"/>
          <w:p w:rsidR="00AA5C8C" w:rsidRPr="00A23740" w:rsidRDefault="00AA5C8C" w:rsidP="009431FF"/>
          <w:p w:rsidR="00AA5C8C" w:rsidRPr="00A23740" w:rsidRDefault="00AA5C8C" w:rsidP="009431FF">
            <w:pPr>
              <w:pStyle w:val="Balk3"/>
              <w:jc w:val="both"/>
              <w:rPr>
                <w:b w:val="0"/>
                <w:color w:val="000000"/>
                <w:lang w:val="tr-TR"/>
              </w:rPr>
            </w:pPr>
            <w:r w:rsidRPr="00A23740">
              <w:rPr>
                <w:bCs w:val="0"/>
                <w:color w:val="FF0000"/>
                <w:lang w:val="tr-TR"/>
              </w:rPr>
              <w:t>(4)</w:t>
            </w:r>
            <w:r w:rsidRPr="00A23740">
              <w:rPr>
                <w:b w:val="0"/>
                <w:bCs w:val="0"/>
                <w:color w:val="000000"/>
                <w:lang w:val="tr-TR"/>
              </w:rPr>
              <w:t xml:space="preserve"> </w:t>
            </w:r>
            <w:r w:rsidRPr="00045DAC">
              <w:rPr>
                <w:rStyle w:val="KIRMIZIChar"/>
                <w:b/>
              </w:rPr>
              <w:t>(Ek: 9/11/1988-3494/39 md.)</w:t>
            </w:r>
            <w:r w:rsidRPr="00A23740">
              <w:rPr>
                <w:color w:val="000000"/>
                <w:lang w:val="tr-TR"/>
              </w:rPr>
              <w:t> </w:t>
            </w:r>
            <w:r w:rsidRPr="00A23740">
              <w:rPr>
                <w:b w:val="0"/>
                <w:color w:val="000000"/>
                <w:lang w:val="tr-TR"/>
              </w:rPr>
              <w:t xml:space="preserve">Rehnin paraya çevrilmesi yoluyla yapılan takiplere </w:t>
            </w:r>
            <w:r w:rsidRPr="00A23740">
              <w:rPr>
                <w:rStyle w:val="KIRMIZIChar"/>
                <w:b/>
                <w:lang w:val="tr-TR"/>
              </w:rPr>
              <w:t>iflastan sonra da</w:t>
            </w:r>
            <w:r w:rsidRPr="00A23740">
              <w:rPr>
                <w:b w:val="0"/>
                <w:color w:val="000000"/>
                <w:lang w:val="tr-TR"/>
              </w:rPr>
              <w:t xml:space="preserve"> takip alacaklıları tarafından iflas masasına karşı devam </w:t>
            </w:r>
            <w:r w:rsidRPr="00045DAC">
              <w:rPr>
                <w:rStyle w:val="KIRMIZIChar"/>
                <w:b/>
              </w:rPr>
              <w:t>edilir</w:t>
            </w:r>
            <w:r w:rsidRPr="00A23740">
              <w:rPr>
                <w:b w:val="0"/>
                <w:color w:val="000000"/>
                <w:lang w:val="tr-TR"/>
              </w:rPr>
              <w:t xml:space="preserve"> </w:t>
            </w:r>
            <w:r w:rsidRPr="00A23740">
              <w:rPr>
                <w:rStyle w:val="KIRMIZIChar"/>
                <w:b/>
                <w:lang w:val="tr-TR"/>
              </w:rPr>
              <w:t>ve satış bedeli 151 inci maddeye göre rehinli alacaklılara paylaştırılır. Artan kısım iflas masasına intikal eder. Şu kadar ki,</w:t>
            </w:r>
            <w:r w:rsidRPr="00A23740">
              <w:rPr>
                <w:b w:val="0"/>
                <w:color w:val="000000"/>
                <w:lang w:val="tr-TR"/>
              </w:rPr>
              <w:t xml:space="preserve"> takip alacaklısı, iflastan önce </w:t>
            </w:r>
            <w:r w:rsidRPr="00A23740">
              <w:rPr>
                <w:rStyle w:val="KIRMIZIChar"/>
                <w:b/>
                <w:lang w:val="tr-TR"/>
              </w:rPr>
              <w:t>başlamış</w:t>
            </w:r>
            <w:r w:rsidRPr="00A23740">
              <w:rPr>
                <w:b w:val="0"/>
                <w:color w:val="000000"/>
                <w:lang w:val="tr-TR"/>
              </w:rPr>
              <w:t xml:space="preserve"> olduğu rehnin paraya çevrilmesi </w:t>
            </w:r>
            <w:r w:rsidRPr="00045DAC">
              <w:rPr>
                <w:rStyle w:val="KIRMIZIChar"/>
                <w:b/>
              </w:rPr>
              <w:t>yolu ile</w:t>
            </w:r>
            <w:r w:rsidRPr="00A23740">
              <w:rPr>
                <w:b w:val="0"/>
                <w:color w:val="000000"/>
                <w:lang w:val="tr-TR"/>
              </w:rPr>
              <w:t xml:space="preserve"> takipten vazgeçerek, </w:t>
            </w:r>
            <w:r w:rsidRPr="00045DAC">
              <w:rPr>
                <w:rStyle w:val="KIRMIZIChar"/>
                <w:b/>
              </w:rPr>
              <w:t>rehnin 185 inci maddeye göre</w:t>
            </w:r>
            <w:r w:rsidRPr="00A23740">
              <w:rPr>
                <w:b w:val="0"/>
                <w:color w:val="000000"/>
                <w:lang w:val="tr-TR"/>
              </w:rPr>
              <w:t xml:space="preserve"> satılmasını isteyebilir.</w:t>
            </w:r>
          </w:p>
          <w:p w:rsidR="00AA5C8C" w:rsidRPr="00A23740" w:rsidRDefault="00AA5C8C" w:rsidP="009431FF"/>
          <w:p w:rsidR="00AA5C8C" w:rsidRDefault="00AA5C8C" w:rsidP="009431FF">
            <w:pPr>
              <w:rPr>
                <w:rStyle w:val="KIRMIZIChar"/>
                <w:rFonts w:eastAsia="Calibri"/>
              </w:rPr>
            </w:pPr>
            <w:r w:rsidRPr="00045DAC">
              <w:rPr>
                <w:rStyle w:val="KIRMIZIChar"/>
                <w:rFonts w:eastAsia="Calibri"/>
              </w:rPr>
              <w:t>M.193/F4.C3:</w:t>
            </w:r>
            <w:r w:rsidRPr="00A23740">
              <w:rPr>
                <w:rStyle w:val="KIRMIZIChar"/>
                <w:rFonts w:eastAsia="Calibri"/>
              </w:rPr>
              <w:t xml:space="preserve"> Şu kadar ki, takip alacaklısı, iflastan önce başlamış olduğu rehnin paraya çevrilmesi yolu ile takipten vazgeçerek, rehnin 185 inci maddeye göre satılmasını isteyebilir.</w:t>
            </w:r>
          </w:p>
          <w:p w:rsidR="0091500F" w:rsidRPr="00A23740" w:rsidRDefault="0091500F" w:rsidP="009431FF"/>
        </w:tc>
        <w:tc>
          <w:tcPr>
            <w:tcW w:w="2500" w:type="pct"/>
          </w:tcPr>
          <w:p w:rsidR="00AA5C8C" w:rsidRPr="00A23740" w:rsidRDefault="00AA5C8C" w:rsidP="009431FF">
            <w:pPr>
              <w:tabs>
                <w:tab w:val="left" w:pos="567"/>
              </w:tabs>
              <w:rPr>
                <w:b/>
                <w:szCs w:val="24"/>
              </w:rPr>
            </w:pPr>
            <w:r w:rsidRPr="00A23740">
              <w:rPr>
                <w:rStyle w:val="MaviChar"/>
              </w:rPr>
              <w:t>Takiplerin</w:t>
            </w:r>
            <w:r w:rsidRPr="00A23740">
              <w:rPr>
                <w:b/>
                <w:szCs w:val="24"/>
              </w:rPr>
              <w:t xml:space="preserve"> durması ve düşmesi</w:t>
            </w:r>
          </w:p>
          <w:p w:rsidR="00AA5C8C" w:rsidRPr="00A23740" w:rsidRDefault="0025055D" w:rsidP="009431FF">
            <w:pPr>
              <w:tabs>
                <w:tab w:val="left" w:pos="567"/>
              </w:tabs>
            </w:pPr>
            <w:r w:rsidRPr="00A23740">
              <w:rPr>
                <w:rStyle w:val="MAVChar"/>
                <w:rFonts w:eastAsia="Calibri"/>
                <w:u w:val="none"/>
              </w:rPr>
              <w:t>MADDE 303</w:t>
            </w:r>
            <w:r w:rsidR="00AA5C8C" w:rsidRPr="00A23740">
              <w:rPr>
                <w:rStyle w:val="MAVChar"/>
                <w:rFonts w:eastAsia="Calibri"/>
                <w:u w:val="none"/>
              </w:rPr>
              <w:t>- (1</w:t>
            </w:r>
            <w:r w:rsidR="00AA5C8C" w:rsidRPr="00A23740">
              <w:rPr>
                <w:rStyle w:val="MaviChar"/>
                <w:lang w:val="tr-TR"/>
              </w:rPr>
              <w:t xml:space="preserve">) </w:t>
            </w:r>
            <w:r w:rsidR="00AA5C8C" w:rsidRPr="00A23740">
              <w:rPr>
                <w:bCs/>
                <w:szCs w:val="24"/>
              </w:rPr>
              <w:t>İflasın açılması, borçlu aleyhinde</w:t>
            </w:r>
            <w:r w:rsidR="00AA5C8C" w:rsidRPr="00A23740">
              <w:rPr>
                <w:rStyle w:val="Balk3Char"/>
                <w:rFonts w:eastAsia="Calibri"/>
              </w:rPr>
              <w:t xml:space="preserve"> </w:t>
            </w:r>
            <w:r w:rsidR="00AA5C8C" w:rsidRPr="00A23740">
              <w:rPr>
                <w:rStyle w:val="MaviChar"/>
                <w:lang w:val="tr-TR"/>
              </w:rPr>
              <w:t xml:space="preserve">Amme Alacaklarının Tahsil Usulü Hakkında Kanuna göre yapılan takipler de dahil olmak üzere para ve teminat alacaklarına ilişkin bütün </w:t>
            </w:r>
            <w:r w:rsidR="00AA5C8C" w:rsidRPr="00A23740">
              <w:rPr>
                <w:bCs/>
              </w:rPr>
              <w:t>takipleri</w:t>
            </w:r>
            <w:r w:rsidR="00AA5C8C" w:rsidRPr="00A23740">
              <w:rPr>
                <w:szCs w:val="24"/>
              </w:rPr>
              <w:t xml:space="preserve"> </w:t>
            </w:r>
            <w:r w:rsidR="00AA5C8C" w:rsidRPr="00A23740">
              <w:rPr>
                <w:bCs/>
                <w:szCs w:val="24"/>
              </w:rPr>
              <w:t xml:space="preserve">durdurur. </w:t>
            </w:r>
            <w:r w:rsidR="00AA5C8C" w:rsidRPr="00A23740">
              <w:rPr>
                <w:szCs w:val="24"/>
              </w:rPr>
              <w:t>İflas kararının kesinleşmesi</w:t>
            </w:r>
            <w:r w:rsidR="00FD3CB2" w:rsidRPr="00E5316E">
              <w:rPr>
                <w:rStyle w:val="MaviChar"/>
              </w:rPr>
              <w:t>yle</w:t>
            </w:r>
            <w:r w:rsidR="00AA5C8C" w:rsidRPr="00A23740">
              <w:rPr>
                <w:szCs w:val="24"/>
              </w:rPr>
              <w:t xml:space="preserve"> bu takipler düşer.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İflasın tasfiyesi müddetince müflise karşı birinci fıkradaki takiplerden hiçbiri yapılamaz.</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 xml:space="preserve">(3) Müflisin kiracı olduğu </w:t>
            </w:r>
            <w:r w:rsidR="00FD3CB2" w:rsidRPr="00E5316E">
              <w:rPr>
                <w:rStyle w:val="MaviChar"/>
              </w:rPr>
              <w:t>taşınmazları konu alan</w:t>
            </w:r>
            <w:r w:rsidRPr="00A23740">
              <w:rPr>
                <w:b/>
                <w:color w:val="0000FF"/>
                <w:szCs w:val="24"/>
              </w:rPr>
              <w:t xml:space="preserve"> ilamsız tahliye </w:t>
            </w:r>
            <w:r w:rsidR="00FD3CB2" w:rsidRPr="00E5316E">
              <w:rPr>
                <w:rStyle w:val="MaviChar"/>
              </w:rPr>
              <w:t>takipleri</w:t>
            </w:r>
            <w:r w:rsidR="00FD3CB2" w:rsidRPr="00A23740">
              <w:rPr>
                <w:b/>
                <w:color w:val="0000FF"/>
                <w:szCs w:val="24"/>
              </w:rPr>
              <w:t xml:space="preserve"> </w:t>
            </w:r>
            <w:r w:rsidRPr="00A23740">
              <w:rPr>
                <w:b/>
                <w:color w:val="0000FF"/>
                <w:szCs w:val="24"/>
              </w:rPr>
              <w:t>saklıdır.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(4)</w:t>
            </w:r>
            <w:r w:rsidRPr="00A23740">
              <w:rPr>
                <w:szCs w:val="24"/>
              </w:rPr>
              <w:t xml:space="preserve"> Rehnin paraya çevrilmesi yoluyla yapılan takiplere</w:t>
            </w:r>
            <w:r w:rsidR="00DE2541" w:rsidRPr="0091500F">
              <w:rPr>
                <w:rStyle w:val="Balk1Char"/>
                <w:rFonts w:eastAsia="Calibri"/>
              </w:rPr>
              <w:t>,</w:t>
            </w:r>
            <w:r w:rsidRPr="00A23740">
              <w:rPr>
                <w:szCs w:val="24"/>
              </w:rPr>
              <w:t xml:space="preserve"> takip alacaklıları tarafından iflas masasına karşı </w:t>
            </w:r>
            <w:r w:rsidRPr="00A23740">
              <w:rPr>
                <w:rStyle w:val="MaviChar"/>
              </w:rPr>
              <w:t>da</w:t>
            </w:r>
            <w:r w:rsidRPr="00A23740">
              <w:rPr>
                <w:szCs w:val="24"/>
              </w:rPr>
              <w:t xml:space="preserve"> devam </w:t>
            </w:r>
            <w:r w:rsidRPr="00A23740">
              <w:rPr>
                <w:rStyle w:val="MAVChar"/>
                <w:rFonts w:eastAsia="Calibri"/>
                <w:u w:val="none"/>
              </w:rPr>
              <w:t>edilebilir</w:t>
            </w:r>
            <w:r w:rsidRPr="00A23740">
              <w:rPr>
                <w:b/>
                <w:color w:val="0000FF"/>
                <w:szCs w:val="24"/>
              </w:rPr>
              <w:t xml:space="preserve">. </w:t>
            </w:r>
            <w:r w:rsidRPr="00A23740">
              <w:rPr>
                <w:rStyle w:val="MaviChar"/>
              </w:rPr>
              <w:t xml:space="preserve">Bu takdirde alacaklı artık malın iflas idaresi tarafından </w:t>
            </w:r>
            <w:r w:rsidR="00DE2541" w:rsidRPr="00E5316E">
              <w:rPr>
                <w:rStyle w:val="MaviChar"/>
              </w:rPr>
              <w:t>satılmasını</w:t>
            </w:r>
            <w:r w:rsidR="00DE2541" w:rsidRPr="00A23740">
              <w:rPr>
                <w:rStyle w:val="MaviChar"/>
                <w:lang w:val="tr-TR"/>
              </w:rPr>
              <w:t xml:space="preserve"> </w:t>
            </w:r>
            <w:r w:rsidRPr="00A23740">
              <w:rPr>
                <w:rStyle w:val="MaviChar"/>
              </w:rPr>
              <w:t>talep edemez.</w:t>
            </w:r>
            <w:r w:rsidR="001E09A9" w:rsidRPr="00A23740">
              <w:rPr>
                <w:rStyle w:val="MaviChar"/>
                <w:lang w:val="tr-TR"/>
              </w:rPr>
              <w:t xml:space="preserve"> </w:t>
            </w:r>
            <w:r w:rsidR="001E09A9" w:rsidRPr="00E5316E">
              <w:rPr>
                <w:rStyle w:val="MaviChar"/>
              </w:rPr>
              <w:t>Şu kadar ki,</w:t>
            </w:r>
            <w:r w:rsidR="001E09A9" w:rsidRPr="00A23740">
              <w:rPr>
                <w:rStyle w:val="MaviChar"/>
                <w:lang w:val="tr-TR"/>
              </w:rPr>
              <w:t xml:space="preserve"> </w:t>
            </w:r>
            <w:r w:rsidR="001E09A9" w:rsidRPr="00A23740">
              <w:rPr>
                <w:szCs w:val="24"/>
              </w:rPr>
              <w:t xml:space="preserve">takip alacaklısı iflastan önce </w:t>
            </w:r>
            <w:r w:rsidR="001E09A9" w:rsidRPr="00A23740">
              <w:rPr>
                <w:rStyle w:val="MaviChar"/>
              </w:rPr>
              <w:t>başlatmış</w:t>
            </w:r>
            <w:r w:rsidR="001E09A9" w:rsidRPr="00A23740">
              <w:rPr>
                <w:szCs w:val="24"/>
              </w:rPr>
              <w:t xml:space="preserve"> olduğu rehnin paraya çevrilmesi </w:t>
            </w:r>
            <w:r w:rsidR="00DE2541" w:rsidRPr="00E5316E">
              <w:rPr>
                <w:rStyle w:val="MaviChar"/>
              </w:rPr>
              <w:t>yoluyla</w:t>
            </w:r>
            <w:r w:rsidR="00DE2541" w:rsidRPr="00A23740">
              <w:rPr>
                <w:szCs w:val="24"/>
              </w:rPr>
              <w:t xml:space="preserve"> </w:t>
            </w:r>
            <w:r w:rsidR="001E09A9" w:rsidRPr="00A23740">
              <w:rPr>
                <w:szCs w:val="24"/>
              </w:rPr>
              <w:t xml:space="preserve">takipten vazgeçerek, </w:t>
            </w:r>
            <w:r w:rsidR="001E09A9" w:rsidRPr="00A23740">
              <w:rPr>
                <w:rStyle w:val="MaviChar"/>
              </w:rPr>
              <w:t>rehin konusu malın</w:t>
            </w:r>
            <w:r w:rsidR="001E09A9" w:rsidRPr="00A23740">
              <w:rPr>
                <w:b/>
                <w:color w:val="0000FF"/>
                <w:szCs w:val="24"/>
              </w:rPr>
              <w:t xml:space="preserve"> iflas </w:t>
            </w:r>
            <w:r w:rsidR="001E09A9" w:rsidRPr="00A23740">
              <w:rPr>
                <w:rStyle w:val="MaviChar"/>
              </w:rPr>
              <w:t>idaresi</w:t>
            </w:r>
            <w:r w:rsidR="001E09A9" w:rsidRPr="00A23740">
              <w:rPr>
                <w:b/>
                <w:color w:val="0000FF"/>
                <w:szCs w:val="24"/>
              </w:rPr>
              <w:t xml:space="preserve"> tarafından </w:t>
            </w:r>
            <w:r w:rsidR="001E09A9" w:rsidRPr="00A23740">
              <w:rPr>
                <w:szCs w:val="24"/>
              </w:rPr>
              <w:t>satılmasını isteyebilir.</w:t>
            </w:r>
          </w:p>
          <w:p w:rsidR="00AA5C8C" w:rsidRPr="00A23740" w:rsidRDefault="00C42DF2" w:rsidP="009431FF">
            <w:pPr>
              <w:tabs>
                <w:tab w:val="left" w:pos="567"/>
              </w:tabs>
              <w:rPr>
                <w:b/>
                <w:color w:val="FF0000"/>
                <w:szCs w:val="24"/>
              </w:rPr>
            </w:pPr>
            <w:r w:rsidRPr="00A23740">
              <w:rPr>
                <w:b/>
                <w:color w:val="FF0000"/>
                <w:szCs w:val="24"/>
              </w:rPr>
              <w:t xml:space="preserve"> </w:t>
            </w:r>
          </w:p>
          <w:p w:rsidR="00AA5C8C" w:rsidRPr="00A23740" w:rsidRDefault="00AA5C8C" w:rsidP="009431FF">
            <w:pPr>
              <w:pStyle w:val="KIRMIZI"/>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1A223D" w:rsidRPr="00A23740" w:rsidRDefault="001A223D" w:rsidP="009431FF">
            <w:pPr>
              <w:tabs>
                <w:tab w:val="left" w:pos="567"/>
              </w:tabs>
              <w:ind w:firstLine="709"/>
              <w:rPr>
                <w:b/>
              </w:rPr>
            </w:pPr>
          </w:p>
          <w:p w:rsidR="00F32E7F" w:rsidRPr="00A23740" w:rsidRDefault="0025055D" w:rsidP="009431FF">
            <w:pPr>
              <w:ind w:firstLine="709"/>
              <w:rPr>
                <w:b/>
                <w:szCs w:val="24"/>
              </w:rPr>
            </w:pPr>
            <w:r w:rsidRPr="00A23740">
              <w:rPr>
                <w:b/>
              </w:rPr>
              <w:t>MADDE 303</w:t>
            </w:r>
            <w:r w:rsidR="001A223D" w:rsidRPr="00A23740">
              <w:rPr>
                <w:b/>
              </w:rPr>
              <w:t>-</w:t>
            </w:r>
            <w:r w:rsidR="001A223D" w:rsidRPr="00A23740">
              <w:t xml:space="preserve"> Maddeyle, takiplerin durması</w:t>
            </w:r>
            <w:r w:rsidR="00305F70" w:rsidRPr="00A23740">
              <w:t>na</w:t>
            </w:r>
            <w:r w:rsidR="001A223D" w:rsidRPr="00A23740">
              <w:t xml:space="preserve"> ve düşmesi</w:t>
            </w:r>
            <w:r w:rsidR="00CA030A" w:rsidRPr="00A23740">
              <w:t>ne</w:t>
            </w:r>
            <w:r w:rsidR="001A223D" w:rsidRPr="00A23740">
              <w:t xml:space="preserve"> ilişkin</w:t>
            </w:r>
            <w:r w:rsidR="001A223D" w:rsidRPr="00A23740">
              <w:rPr>
                <w:szCs w:val="24"/>
              </w:rPr>
              <w:t xml:space="preserve"> hususlar düzenlenmektedir. Hüküm, 2004 sayılı Kanunun 193 üncü maddesine karşılık gelmektedir.</w:t>
            </w:r>
            <w:r w:rsidR="001A223D" w:rsidRPr="00A23740">
              <w:rPr>
                <w:b/>
                <w:szCs w:val="24"/>
              </w:rPr>
              <w:t xml:space="preserve"> </w:t>
            </w:r>
          </w:p>
          <w:p w:rsidR="00F32E7F" w:rsidRPr="00A23740" w:rsidRDefault="00F32E7F" w:rsidP="009431FF">
            <w:pPr>
              <w:ind w:firstLine="709"/>
            </w:pPr>
            <w:r w:rsidRPr="00A23740">
              <w:t>İflasın açılmasının</w:t>
            </w:r>
            <w:r w:rsidR="001E09A9" w:rsidRPr="00A23740">
              <w:t>,</w:t>
            </w:r>
            <w:r w:rsidRPr="00A23740">
              <w:t xml:space="preserve"> müflis</w:t>
            </w:r>
            <w:r w:rsidR="001E09A9" w:rsidRPr="00A23740">
              <w:t xml:space="preserve"> </w:t>
            </w:r>
            <w:r w:rsidR="001E09A9" w:rsidRPr="00D60C1D">
              <w:rPr>
                <w:rStyle w:val="YELChar"/>
                <w:b w:val="0"/>
                <w:color w:val="000000"/>
              </w:rPr>
              <w:t>aleyhine</w:t>
            </w:r>
            <w:r w:rsidR="001E09A9" w:rsidRPr="00D60C1D">
              <w:rPr>
                <w:b/>
                <w:color w:val="000000"/>
              </w:rPr>
              <w:t xml:space="preserve"> </w:t>
            </w:r>
            <w:r w:rsidR="001E09A9" w:rsidRPr="00D60C1D">
              <w:rPr>
                <w:rStyle w:val="YELChar"/>
                <w:b w:val="0"/>
                <w:color w:val="000000"/>
              </w:rPr>
              <w:t>daha</w:t>
            </w:r>
            <w:r w:rsidR="001E09A9" w:rsidRPr="00A23740">
              <w:t xml:space="preserve"> </w:t>
            </w:r>
            <w:r w:rsidRPr="00A23740">
              <w:t>önce başlatılan takipler üzerinde önemli sonuçları bulunmaktadır. Maddenin ilk fıkrasında vurgulandığı üzere</w:t>
            </w:r>
            <w:r w:rsidR="00887958" w:rsidRPr="00A23740">
              <w:t>,</w:t>
            </w:r>
            <w:r w:rsidRPr="00A23740">
              <w:t xml:space="preserve"> borçlu aleyhine başlatılan para ve teminat alacaklarına ilişkin takipler </w:t>
            </w:r>
            <w:r w:rsidR="00526267" w:rsidRPr="00D60C1D">
              <w:rPr>
                <w:rStyle w:val="YELChar"/>
                <w:color w:val="000000"/>
              </w:rPr>
              <w:t>-</w:t>
            </w:r>
            <w:r w:rsidRPr="00A23740">
              <w:t>ki</w:t>
            </w:r>
            <w:r w:rsidR="001E09A9" w:rsidRPr="00A23740">
              <w:t>,</w:t>
            </w:r>
            <w:r w:rsidRPr="00A23740">
              <w:t xml:space="preserve"> bu takipler</w:t>
            </w:r>
            <w:r w:rsidR="00506C64" w:rsidRPr="00A23740">
              <w:t xml:space="preserve"> </w:t>
            </w:r>
            <w:r w:rsidR="00506C64" w:rsidRPr="00D60C1D">
              <w:rPr>
                <w:color w:val="000000"/>
              </w:rPr>
              <w:t>kamu</w:t>
            </w:r>
            <w:r w:rsidRPr="00A23740">
              <w:rPr>
                <w:color w:val="385623"/>
              </w:rPr>
              <w:t xml:space="preserve"> </w:t>
            </w:r>
            <w:r w:rsidRPr="00A23740">
              <w:t>alacaklarına mahsus başlatılan takipler de olabilir</w:t>
            </w:r>
            <w:r w:rsidR="001E09A9" w:rsidRPr="00D60C1D">
              <w:rPr>
                <w:rStyle w:val="YELChar"/>
                <w:color w:val="000000"/>
              </w:rPr>
              <w:t>-</w:t>
            </w:r>
            <w:r w:rsidRPr="00A23740">
              <w:t xml:space="preserve"> du</w:t>
            </w:r>
            <w:r w:rsidR="001E09A9" w:rsidRPr="00A23740">
              <w:t>racak</w:t>
            </w:r>
            <w:r w:rsidR="0091500F">
              <w:rPr>
                <w:rStyle w:val="YELChar"/>
                <w:b w:val="0"/>
                <w:color w:val="000000"/>
              </w:rPr>
              <w:t xml:space="preserve"> </w:t>
            </w:r>
            <w:r w:rsidR="001E09A9" w:rsidRPr="00D60C1D">
              <w:rPr>
                <w:rStyle w:val="YELChar"/>
                <w:b w:val="0"/>
                <w:color w:val="000000"/>
              </w:rPr>
              <w:t>ve</w:t>
            </w:r>
            <w:r w:rsidR="001E09A9" w:rsidRPr="00A23740">
              <w:t xml:space="preserve"> iflasın </w:t>
            </w:r>
            <w:r w:rsidRPr="00A23740">
              <w:t>kesinleşmesiyle de bu takipler düşecektir. Maddede vurgulanan hususlardan birisi de duracak ve düşecek olan takiplerin para ve teminata ilişkin takipler olduğudur. Para ve teminat alacağı dışında diğer alacaklar için takip başlatma ve takibin durması yasağınd</w:t>
            </w:r>
            <w:r w:rsidR="001A223D" w:rsidRPr="00A23740">
              <w:t xml:space="preserve">an söz </w:t>
            </w:r>
            <w:r w:rsidR="001E09A9" w:rsidRPr="00D60C1D">
              <w:rPr>
                <w:rStyle w:val="YELChar"/>
                <w:b w:val="0"/>
                <w:color w:val="000000"/>
              </w:rPr>
              <w:t>edilemez</w:t>
            </w:r>
            <w:r w:rsidR="001A223D" w:rsidRPr="00A23740">
              <w:t xml:space="preserve">. </w:t>
            </w:r>
          </w:p>
          <w:p w:rsidR="00F32E7F" w:rsidRPr="00A23740" w:rsidRDefault="00F32E7F" w:rsidP="009431FF">
            <w:pPr>
              <w:ind w:firstLine="709"/>
            </w:pPr>
            <w:r w:rsidRPr="00A23740">
              <w:t>Maddenin ikinci fıkrasında ise ilk fıkraya konu alacaklar için iflas</w:t>
            </w:r>
            <w:r w:rsidR="001E09A9" w:rsidRPr="00D60C1D">
              <w:rPr>
                <w:rStyle w:val="YELChar"/>
                <w:b w:val="0"/>
                <w:color w:val="000000"/>
              </w:rPr>
              <w:t>ın</w:t>
            </w:r>
            <w:r w:rsidRPr="00A23740">
              <w:t xml:space="preserve"> </w:t>
            </w:r>
            <w:r w:rsidR="001E09A9" w:rsidRPr="00D60C1D">
              <w:rPr>
                <w:rStyle w:val="YELChar"/>
                <w:b w:val="0"/>
                <w:color w:val="000000"/>
              </w:rPr>
              <w:t>tasfiyesi süresince</w:t>
            </w:r>
            <w:r w:rsidR="001E09A9" w:rsidRPr="00A23740">
              <w:t xml:space="preserve"> </w:t>
            </w:r>
            <w:r w:rsidRPr="00A23740">
              <w:t>takip başlatılamayacağı hükme bağlanmıştır. Buna göre, para ve teminat alacaklarına ilişkin takiplerin (</w:t>
            </w:r>
            <w:r w:rsidR="00506C64" w:rsidRPr="00D60C1D">
              <w:rPr>
                <w:color w:val="000000"/>
              </w:rPr>
              <w:t>kamu</w:t>
            </w:r>
            <w:r w:rsidR="00506C64" w:rsidRPr="00A23740">
              <w:rPr>
                <w:color w:val="385623"/>
              </w:rPr>
              <w:t xml:space="preserve"> </w:t>
            </w:r>
            <w:r w:rsidRPr="00A23740">
              <w:t>alacaklarına ilişkin</w:t>
            </w:r>
            <w:r w:rsidR="001E09A9" w:rsidRPr="00A23740">
              <w:t xml:space="preserve"> takipler de dahil olmak üzere)</w:t>
            </w:r>
            <w:r w:rsidRPr="00A23740">
              <w:t xml:space="preserve"> iflasın açılmasından </w:t>
            </w:r>
            <w:r w:rsidR="001E09A9" w:rsidRPr="00D60C1D">
              <w:rPr>
                <w:rStyle w:val="YELChar"/>
                <w:b w:val="0"/>
                <w:color w:val="000000"/>
              </w:rPr>
              <w:t>itibaren ve</w:t>
            </w:r>
            <w:r w:rsidR="001E09A9" w:rsidRPr="00A23740">
              <w:t xml:space="preserve"> </w:t>
            </w:r>
            <w:r w:rsidRPr="00A23740">
              <w:t xml:space="preserve">tasfiyenin devamı müddetince </w:t>
            </w:r>
            <w:r w:rsidR="001E09A9" w:rsidRPr="00D60C1D">
              <w:rPr>
                <w:rStyle w:val="YELChar"/>
                <w:b w:val="0"/>
                <w:color w:val="000000"/>
              </w:rPr>
              <w:t>başlatılabilmesi</w:t>
            </w:r>
            <w:r w:rsidR="001E09A9" w:rsidRPr="00A23740">
              <w:t xml:space="preserve"> </w:t>
            </w:r>
            <w:r w:rsidR="001A223D" w:rsidRPr="00A23740">
              <w:t xml:space="preserve">mümkün olmayacaktır. </w:t>
            </w:r>
          </w:p>
          <w:p w:rsidR="00F32E7F" w:rsidRPr="00A23740" w:rsidRDefault="00A95232" w:rsidP="009431FF">
            <w:pPr>
              <w:ind w:firstLine="709"/>
            </w:pPr>
            <w:r w:rsidRPr="00A23740">
              <w:t xml:space="preserve">Maddenin </w:t>
            </w:r>
            <w:r w:rsidR="00F32E7F" w:rsidRPr="00A23740">
              <w:t>üçüncü fıkrasında müflisin kiracısı olduğu taşınmazlarla ilgili tahliyeye ilişkin ilamsız takiplerin iflas tasfiyesinde de devam edeceği açıklığa kavuşturulmuştur. Bu tür tak</w:t>
            </w:r>
            <w:r w:rsidRPr="00A23740">
              <w:t>iplere devam edilmesinin sebebi</w:t>
            </w:r>
            <w:r w:rsidRPr="00A23740">
              <w:rPr>
                <w:rStyle w:val="YELChar"/>
              </w:rPr>
              <w:t>;</w:t>
            </w:r>
            <w:r w:rsidR="00F32E7F" w:rsidRPr="00A23740">
              <w:t xml:space="preserve"> iflastaki takip yasaklarının masa malvarlığını ilgilendiren takipler bakımından geçerli olması, masa</w:t>
            </w:r>
            <w:r w:rsidRPr="00D60C1D">
              <w:rPr>
                <w:rStyle w:val="YELChar"/>
                <w:b w:val="0"/>
                <w:color w:val="000000"/>
              </w:rPr>
              <w:t>yı</w:t>
            </w:r>
            <w:r w:rsidR="00F32E7F" w:rsidRPr="00A23740">
              <w:t xml:space="preserve"> ilgilendirmeyen</w:t>
            </w:r>
            <w:r w:rsidRPr="0091500F">
              <w:rPr>
                <w:rStyle w:val="YELChar"/>
                <w:b w:val="0"/>
                <w:color w:val="000000" w:themeColor="text1"/>
              </w:rPr>
              <w:t>,</w:t>
            </w:r>
            <w:r w:rsidR="00F32E7F" w:rsidRPr="00A23740">
              <w:t xml:space="preserve"> kısaca konusu masa malvarlığı olmayan takiplerin ise devam edecek olmasıdır. İflas tasfiyesi </w:t>
            </w:r>
            <w:r w:rsidRPr="00D60C1D">
              <w:rPr>
                <w:rStyle w:val="YELChar"/>
                <w:b w:val="0"/>
                <w:color w:val="000000"/>
              </w:rPr>
              <w:t>süresince</w:t>
            </w:r>
            <w:r w:rsidRPr="00A23740">
              <w:t xml:space="preserve"> </w:t>
            </w:r>
            <w:r w:rsidR="00F32E7F" w:rsidRPr="00A23740">
              <w:t xml:space="preserve">devam edecek olan takipler üçüncü kişinin malvarlığına yönelik takipler olduğundan, müflisin kira borcunu ödememesi sebebiyle başlatılan </w:t>
            </w:r>
            <w:r w:rsidR="00887958" w:rsidRPr="00A23740">
              <w:t xml:space="preserve">ve konusu bir miktar </w:t>
            </w:r>
            <w:r w:rsidR="00F32E7F" w:rsidRPr="00A23740">
              <w:t xml:space="preserve">alacak </w:t>
            </w:r>
            <w:r w:rsidR="00887958" w:rsidRPr="00A23740">
              <w:t xml:space="preserve">olan </w:t>
            </w:r>
            <w:r w:rsidR="00F32E7F" w:rsidRPr="00A23740">
              <w:t xml:space="preserve">takipler ise durmaya devam edecek veya kira alacağına ilişkin yeni </w:t>
            </w:r>
            <w:r w:rsidR="001A223D" w:rsidRPr="00A23740">
              <w:t xml:space="preserve">bir takip başlatılamayacaktır. </w:t>
            </w:r>
          </w:p>
          <w:p w:rsidR="00F32E7F" w:rsidRPr="00A23740" w:rsidRDefault="00F32E7F" w:rsidP="009431FF">
            <w:pPr>
              <w:ind w:firstLine="709"/>
            </w:pPr>
            <w:r w:rsidRPr="00A23740">
              <w:t>Maddenin son fıkrasında</w:t>
            </w:r>
            <w:r w:rsidR="00887958" w:rsidRPr="00A23740">
              <w:t>,</w:t>
            </w:r>
            <w:r w:rsidRPr="00A23740">
              <w:t xml:space="preserve"> rehnin paraya çevrilmesine ilişkin takiplerin iflasın açılmasından sonraki akıbeti açıklığa bağlanmıştır. Maddenin dördüncü fıkrasında iflasın açılmasına rağmen rehin alacaklısının takibe masaya karşı devam edebileceği belirtilmiştir. Rehin alacaklısı masaya karşı takibe devam edebileceği gibi</w:t>
            </w:r>
            <w:r w:rsidR="00A95232" w:rsidRPr="00D60C1D">
              <w:rPr>
                <w:rStyle w:val="YELChar"/>
                <w:b w:val="0"/>
                <w:color w:val="000000"/>
              </w:rPr>
              <w:t>,</w:t>
            </w:r>
            <w:r w:rsidRPr="00A23740">
              <w:t xml:space="preserve"> rehinli malların satışının iflas idaresi tarafından </w:t>
            </w:r>
            <w:r w:rsidR="00A95232" w:rsidRPr="00D60C1D">
              <w:rPr>
                <w:rStyle w:val="YELChar"/>
                <w:b w:val="0"/>
                <w:color w:val="000000"/>
              </w:rPr>
              <w:t>yapılmasını</w:t>
            </w:r>
            <w:r w:rsidR="00A95232" w:rsidRPr="00A23740">
              <w:t xml:space="preserve"> </w:t>
            </w:r>
            <w:r w:rsidR="00A95232" w:rsidRPr="00D60C1D">
              <w:rPr>
                <w:rStyle w:val="YELChar"/>
                <w:b w:val="0"/>
                <w:color w:val="000000"/>
              </w:rPr>
              <w:t>da</w:t>
            </w:r>
            <w:r w:rsidR="00A95232" w:rsidRPr="00A23740">
              <w:t xml:space="preserve"> </w:t>
            </w:r>
            <w:r w:rsidRPr="00A23740">
              <w:t>isteyebilir. Bu konuda rehin alacaklısının seçim hakkı bulunmaktadır. Her ne kadar rehin alacaklısı bu konuda seçim hakkına sahipse de</w:t>
            </w:r>
            <w:r w:rsidR="00887958" w:rsidRPr="00A23740">
              <w:t>,</w:t>
            </w:r>
            <w:r w:rsidRPr="00A23740">
              <w:t xml:space="preserve"> masaya karşı takibe devam etmişse artık bu kararından vazgeçip rehinli malların masa tarafından satılmasını isteyemeyecektir</w:t>
            </w:r>
            <w:r w:rsidR="001A223D" w:rsidRPr="00A23740">
              <w:t xml:space="preserve">. </w:t>
            </w:r>
            <w:r w:rsidRPr="00A23740">
              <w:t>Rehinli alacaklı iflasın açılmasından önce başladığı takibe iflasın açılmasıyla birlikte devam etmek istemeyebilir. Bu h</w:t>
            </w:r>
            <w:r w:rsidR="009D574E" w:rsidRPr="00A23740">
              <w:t>â</w:t>
            </w:r>
            <w:r w:rsidRPr="00A23740">
              <w:t>lde rehinli malların iflas idaresi tarafından satılmasını talep edebilecektir. Bu aşamada belirtilmesi gereken önemli husus</w:t>
            </w:r>
            <w:r w:rsidR="00887958" w:rsidRPr="00A23740">
              <w:t>;</w:t>
            </w:r>
            <w:r w:rsidRPr="00A23740">
              <w:t xml:space="preserve"> </w:t>
            </w:r>
            <w:r w:rsidR="00A95232" w:rsidRPr="00D60C1D">
              <w:rPr>
                <w:rStyle w:val="YELChar"/>
                <w:b w:val="0"/>
                <w:color w:val="000000"/>
              </w:rPr>
              <w:t>dördüncü fıkrada</w:t>
            </w:r>
            <w:r w:rsidR="00A95232" w:rsidRPr="00A23740">
              <w:t xml:space="preserve"> </w:t>
            </w:r>
            <w:r w:rsidRPr="00A23740">
              <w:t>düzenlenen takiplerin iflastan önce başlatılan takipler olmasıdır. İflas</w:t>
            </w:r>
            <w:r w:rsidR="00A95232" w:rsidRPr="00D60C1D">
              <w:rPr>
                <w:rStyle w:val="YELChar"/>
                <w:b w:val="0"/>
                <w:color w:val="000000"/>
              </w:rPr>
              <w:t>ın</w:t>
            </w:r>
            <w:r w:rsidR="00A95232" w:rsidRPr="00A23740">
              <w:rPr>
                <w:rStyle w:val="YELChar"/>
              </w:rPr>
              <w:t xml:space="preserve"> </w:t>
            </w:r>
            <w:r w:rsidR="00A95232" w:rsidRPr="00D60C1D">
              <w:rPr>
                <w:rStyle w:val="YELChar"/>
                <w:b w:val="0"/>
                <w:color w:val="000000"/>
              </w:rPr>
              <w:t>açılmasından</w:t>
            </w:r>
            <w:r w:rsidRPr="00A23740">
              <w:t xml:space="preserve"> sonra ilk defa başlatılan rehnin paraya çevrilmesine ilişkin takipler bakımından ise </w:t>
            </w:r>
            <w:r w:rsidR="001E09A9" w:rsidRPr="00D60C1D">
              <w:rPr>
                <w:rStyle w:val="YELChar"/>
                <w:b w:val="0"/>
                <w:color w:val="000000"/>
              </w:rPr>
              <w:t>Taslağın</w:t>
            </w:r>
            <w:r w:rsidR="001E09A9" w:rsidRPr="00D60C1D">
              <w:rPr>
                <w:b/>
                <w:color w:val="000000"/>
              </w:rPr>
              <w:t xml:space="preserve"> </w:t>
            </w:r>
            <w:r w:rsidR="007A7DC5" w:rsidRPr="00D60C1D">
              <w:rPr>
                <w:rStyle w:val="KonuBalChar"/>
                <w:rFonts w:eastAsia="Calibri"/>
                <w:b w:val="0"/>
                <w:color w:val="000000"/>
              </w:rPr>
              <w:t>295 inci</w:t>
            </w:r>
            <w:r w:rsidR="007A7DC5" w:rsidRPr="00A23740">
              <w:t xml:space="preserve"> </w:t>
            </w:r>
            <w:r w:rsidRPr="00A23740">
              <w:t>maddesi uygulama alanı bulacaktır.</w:t>
            </w:r>
          </w:p>
          <w:p w:rsidR="00F32E7F" w:rsidRPr="00A23740" w:rsidRDefault="00F32E7F" w:rsidP="00B43502">
            <w:pPr>
              <w:ind w:firstLine="709"/>
              <w:rPr>
                <w:rStyle w:val="MaviCha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szCs w:val="24"/>
              </w:rPr>
              <w:t xml:space="preserve">Hukuk davalarının </w:t>
            </w:r>
            <w:r w:rsidRPr="00A23740">
              <w:rPr>
                <w:rStyle w:val="KIRMIZIChar"/>
                <w:rFonts w:eastAsia="Calibri"/>
              </w:rPr>
              <w:t>tatili</w:t>
            </w:r>
            <w:r w:rsidRPr="00A23740">
              <w:rPr>
                <w:b/>
                <w:strike/>
                <w:color w:val="FF0000"/>
                <w:szCs w:val="24"/>
              </w:rPr>
              <w:t>:</w:t>
            </w:r>
          </w:p>
          <w:p w:rsidR="00AA5C8C" w:rsidRPr="00A23740" w:rsidRDefault="00AA5C8C" w:rsidP="009431FF">
            <w:pPr>
              <w:pStyle w:val="KIRMIZI"/>
              <w:rPr>
                <w:lang w:val="tr-TR"/>
              </w:rPr>
            </w:pPr>
            <w:r w:rsidRPr="00A23740">
              <w:rPr>
                <w:lang w:val="tr-TR"/>
              </w:rPr>
              <w:t xml:space="preserve">Madde 194 – (1) (Değişik birinci fıkra : 9/11/1988 - 3494/40 md.) </w:t>
            </w:r>
            <w:r w:rsidRPr="00A23740">
              <w:rPr>
                <w:rFonts w:eastAsia="Calibri"/>
                <w:b w:val="0"/>
                <w:bCs w:val="0"/>
                <w:strike w:val="0"/>
                <w:color w:val="auto"/>
                <w:lang w:val="tr-TR" w:eastAsia="en-US"/>
              </w:rPr>
              <w:t>Acele haller</w:t>
            </w:r>
            <w:r w:rsidRPr="00A23740">
              <w:rPr>
                <w:strike w:val="0"/>
                <w:lang w:val="tr-TR"/>
              </w:rPr>
              <w:t xml:space="preserve"> </w:t>
            </w:r>
            <w:r w:rsidRPr="00A23740">
              <w:rPr>
                <w:lang w:val="tr-TR"/>
              </w:rPr>
              <w:t xml:space="preserve">müstesna olmak üzere müflisin davacı ve davalı olduğu </w:t>
            </w:r>
            <w:r w:rsidRPr="00A23740">
              <w:rPr>
                <w:rFonts w:eastAsia="Calibri"/>
                <w:b w:val="0"/>
                <w:bCs w:val="0"/>
                <w:strike w:val="0"/>
                <w:color w:val="auto"/>
                <w:lang w:val="tr-TR" w:eastAsia="en-US"/>
              </w:rPr>
              <w:t>hukuk davaları durur</w:t>
            </w:r>
            <w:r w:rsidRPr="00A23740">
              <w:rPr>
                <w:strike w:val="0"/>
                <w:lang w:val="tr-TR"/>
              </w:rPr>
              <w:t xml:space="preserve"> </w:t>
            </w:r>
            <w:r w:rsidRPr="00A23740">
              <w:rPr>
                <w:lang w:val="tr-TR"/>
              </w:rPr>
              <w:t>ve ancak alacaklıların ikinci toplanmasından on gün sonra devam olunabilir.</w:t>
            </w:r>
            <w:r w:rsidR="00045DAC">
              <w:rPr>
                <w:lang w:val="tr-TR"/>
              </w:rPr>
              <w:t xml:space="preserve"> </w:t>
            </w:r>
            <w:r w:rsidRPr="00A23740">
              <w:rPr>
                <w:lang w:val="tr-TR"/>
              </w:rPr>
              <w:t>Bu hüküm şeref ve haysiyete tecavüzden, vücut üzerinde ika olunan zararlardan doğan tazminat davaları ile evlenme, ahvali şahsiye veya nafaka işlerine müteallik ihtilaflara, rehnin paraya çevrilmesi yoluyla takiplerle ilgili olarak açılmış olan hukuk davalarına tatbik olunmaz.</w:t>
            </w: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strike w:val="0"/>
                <w:lang w:val="tr-TR"/>
              </w:rPr>
              <w:t xml:space="preserve">M.194/F1.C2: </w:t>
            </w:r>
            <w:r w:rsidRPr="00A23740">
              <w:rPr>
                <w:lang w:val="tr-TR"/>
              </w:rPr>
              <w:t>Bu hüküm şeref ve haysiyete tecavüzden, vücut üzerinde ika olunan zararlardan doğan tazminat davaları ile evlenme, ahvali şahsiye veya nafaka işlerine müteallik ihtilaflara, rehnin paraya çevrilmesi yoluyla takiplerle ilgili olarak açılmış olan hukuk davalarına tatbik olunmaz.</w:t>
            </w:r>
          </w:p>
          <w:p w:rsidR="00AA5C8C" w:rsidRPr="00A23740" w:rsidRDefault="00AA5C8C" w:rsidP="009431FF">
            <w:pPr>
              <w:pStyle w:val="KIRMIZI"/>
              <w:rPr>
                <w:lang w:val="tr-TR"/>
              </w:rPr>
            </w:pPr>
          </w:p>
          <w:p w:rsidR="00C42DF2" w:rsidRPr="00A23740" w:rsidRDefault="00C42DF2" w:rsidP="009431FF">
            <w:pPr>
              <w:pStyle w:val="KIRMIZI"/>
              <w:rPr>
                <w:lang w:val="tr-TR"/>
              </w:rPr>
            </w:pPr>
          </w:p>
          <w:p w:rsidR="00C42DF2" w:rsidRPr="00A23740" w:rsidRDefault="00C42DF2" w:rsidP="009431FF">
            <w:pPr>
              <w:pStyle w:val="KIRMIZI"/>
              <w:rPr>
                <w:lang w:val="tr-TR"/>
              </w:rPr>
            </w:pPr>
          </w:p>
          <w:p w:rsidR="00C42DF2" w:rsidRPr="00A23740" w:rsidRDefault="00C42DF2" w:rsidP="009431FF">
            <w:pPr>
              <w:pStyle w:val="KIRMIZI"/>
              <w:rPr>
                <w:lang w:val="tr-TR"/>
              </w:rPr>
            </w:pPr>
          </w:p>
          <w:p w:rsidR="00C42DF2" w:rsidRPr="00A23740" w:rsidRDefault="00C42DF2" w:rsidP="009431FF">
            <w:pPr>
              <w:pStyle w:val="KIRMIZI"/>
              <w:rPr>
                <w:lang w:val="tr-TR"/>
              </w:rPr>
            </w:pPr>
          </w:p>
          <w:p w:rsidR="00C42DF2" w:rsidRPr="00A23740" w:rsidRDefault="00C42DF2" w:rsidP="009431FF">
            <w:pPr>
              <w:pStyle w:val="KIRMIZI"/>
              <w:rPr>
                <w:lang w:val="tr-TR"/>
              </w:rPr>
            </w:pPr>
          </w:p>
          <w:p w:rsidR="00C42DF2" w:rsidRDefault="00C42DF2" w:rsidP="009431FF">
            <w:pPr>
              <w:pStyle w:val="KIRMIZI"/>
              <w:rPr>
                <w:lang w:val="tr-TR"/>
              </w:rPr>
            </w:pPr>
          </w:p>
          <w:p w:rsidR="00C42DF2" w:rsidRPr="00A23740" w:rsidRDefault="00C42DF2" w:rsidP="009431FF">
            <w:pPr>
              <w:pStyle w:val="KIRMIZI"/>
              <w:rPr>
                <w:lang w:val="tr-TR"/>
              </w:rPr>
            </w:pPr>
          </w:p>
          <w:p w:rsidR="00AA5C8C" w:rsidRPr="00A23740" w:rsidRDefault="00AA5C8C" w:rsidP="009431FF">
            <w:pPr>
              <w:pStyle w:val="KIRMIZI"/>
              <w:rPr>
                <w:rFonts w:eastAsia="Calibri"/>
                <w:b w:val="0"/>
                <w:bCs w:val="0"/>
                <w:strike w:val="0"/>
                <w:color w:val="auto"/>
                <w:lang w:val="tr-TR" w:eastAsia="en-US"/>
              </w:rPr>
            </w:pPr>
            <w:r w:rsidRPr="00A23740">
              <w:rPr>
                <w:strike w:val="0"/>
                <w:lang w:val="tr-TR"/>
              </w:rPr>
              <w:t xml:space="preserve">(2) </w:t>
            </w:r>
            <w:r w:rsidRPr="00A23740">
              <w:rPr>
                <w:rFonts w:eastAsia="Calibri"/>
                <w:b w:val="0"/>
                <w:bCs w:val="0"/>
                <w:strike w:val="0"/>
                <w:color w:val="auto"/>
                <w:lang w:val="tr-TR" w:eastAsia="en-US"/>
              </w:rPr>
              <w:t>Dava durduğu müddetçe zamanaşımı ve hak</w:t>
            </w:r>
            <w:r w:rsidRPr="00A23740">
              <w:rPr>
                <w:lang w:val="tr-TR" w:eastAsia="en-US"/>
              </w:rPr>
              <w:t>kı</w:t>
            </w:r>
            <w:r w:rsidRPr="00A23740">
              <w:rPr>
                <w:rFonts w:eastAsia="Calibri"/>
                <w:b w:val="0"/>
                <w:bCs w:val="0"/>
                <w:strike w:val="0"/>
                <w:color w:val="auto"/>
                <w:lang w:val="tr-TR" w:eastAsia="en-US"/>
              </w:rPr>
              <w:t xml:space="preserve"> </w:t>
            </w:r>
            <w:r w:rsidRPr="00045DAC">
              <w:rPr>
                <w:rFonts w:eastAsia="Calibri"/>
              </w:rPr>
              <w:t>düşür</w:t>
            </w:r>
            <w:r w:rsidRPr="00045DAC">
              <w:t>en</w:t>
            </w:r>
            <w:r w:rsidRPr="00A23740">
              <w:rPr>
                <w:lang w:val="tr-TR" w:eastAsia="en-US"/>
              </w:rPr>
              <w:t xml:space="preserve"> müddetler</w:t>
            </w:r>
            <w:r w:rsidRPr="00A23740">
              <w:rPr>
                <w:rFonts w:eastAsia="Calibri"/>
                <w:b w:val="0"/>
                <w:bCs w:val="0"/>
                <w:strike w:val="0"/>
                <w:color w:val="auto"/>
                <w:lang w:val="tr-TR" w:eastAsia="en-US"/>
              </w:rPr>
              <w:t xml:space="preserve"> işlemez.</w:t>
            </w:r>
          </w:p>
          <w:p w:rsidR="00C42DF2" w:rsidRPr="00A23740" w:rsidRDefault="00C42DF2" w:rsidP="009431FF">
            <w:pPr>
              <w:pStyle w:val="KIRMIZI"/>
              <w:rPr>
                <w:lang w:val="tr-TR"/>
              </w:rPr>
            </w:pPr>
          </w:p>
        </w:tc>
        <w:tc>
          <w:tcPr>
            <w:tcW w:w="2500" w:type="pct"/>
            <w:vAlign w:val="center"/>
          </w:tcPr>
          <w:p w:rsidR="00AA5C8C" w:rsidRPr="00A23740" w:rsidRDefault="00AA5C8C" w:rsidP="009431FF">
            <w:pPr>
              <w:tabs>
                <w:tab w:val="left" w:pos="567"/>
              </w:tabs>
              <w:rPr>
                <w:b/>
                <w:szCs w:val="24"/>
              </w:rPr>
            </w:pPr>
            <w:r w:rsidRPr="00A23740">
              <w:rPr>
                <w:b/>
                <w:szCs w:val="24"/>
              </w:rPr>
              <w:t xml:space="preserve">Hukuk davalarının </w:t>
            </w:r>
            <w:r w:rsidRPr="00A23740">
              <w:rPr>
                <w:rStyle w:val="MaviChar"/>
              </w:rPr>
              <w:t>durması</w:t>
            </w:r>
          </w:p>
          <w:p w:rsidR="00AA5C8C" w:rsidRPr="00A23740" w:rsidRDefault="0025055D" w:rsidP="009431FF">
            <w:pPr>
              <w:tabs>
                <w:tab w:val="left" w:pos="567"/>
              </w:tabs>
              <w:rPr>
                <w:b/>
                <w:color w:val="0000FF"/>
                <w:szCs w:val="24"/>
              </w:rPr>
            </w:pPr>
            <w:r w:rsidRPr="00A23740">
              <w:rPr>
                <w:rStyle w:val="MaviChar"/>
                <w:lang w:val="tr-TR"/>
              </w:rPr>
              <w:t>MADDE 304</w:t>
            </w:r>
            <w:r w:rsidR="00AA5C8C" w:rsidRPr="00A23740">
              <w:rPr>
                <w:rStyle w:val="MaviChar"/>
                <w:lang w:val="tr-TR"/>
              </w:rPr>
              <w:t>- (1</w:t>
            </w:r>
            <w:r w:rsidR="00AA5C8C" w:rsidRPr="00A23740">
              <w:rPr>
                <w:b/>
                <w:color w:val="0000FF"/>
                <w:szCs w:val="24"/>
              </w:rPr>
              <w:t xml:space="preserve">) İflas masasının mevcudunu ilgilendiren ve borçlunun taraf olduğu </w:t>
            </w:r>
            <w:r w:rsidR="00AA5C8C" w:rsidRPr="00A23740">
              <w:t>hukuk davaları</w:t>
            </w:r>
            <w:r w:rsidR="00AA5C8C" w:rsidRPr="00A23740">
              <w:rPr>
                <w:b/>
                <w:color w:val="0000FF"/>
                <w:szCs w:val="24"/>
              </w:rPr>
              <w:t xml:space="preserve">, </w:t>
            </w:r>
            <w:r w:rsidR="00AA5C8C" w:rsidRPr="00A23740">
              <w:rPr>
                <w:szCs w:val="24"/>
              </w:rPr>
              <w:t>acele h</w:t>
            </w:r>
            <w:r w:rsidR="009D574E" w:rsidRPr="00A23740">
              <w:rPr>
                <w:szCs w:val="24"/>
              </w:rPr>
              <w:t>â</w:t>
            </w:r>
            <w:r w:rsidR="00AA5C8C" w:rsidRPr="00A23740">
              <w:rPr>
                <w:szCs w:val="24"/>
              </w:rPr>
              <w:t>ller</w:t>
            </w:r>
            <w:r w:rsidR="00AA5C8C" w:rsidRPr="00A23740">
              <w:rPr>
                <w:b/>
                <w:color w:val="0000FF"/>
                <w:szCs w:val="24"/>
              </w:rPr>
              <w:t xml:space="preserve"> dışında </w:t>
            </w:r>
            <w:r w:rsidR="00AA5C8C" w:rsidRPr="00A23740">
              <w:t>durur</w:t>
            </w:r>
            <w:r w:rsidR="00AA5C8C" w:rsidRPr="00A23740">
              <w:rPr>
                <w:b/>
                <w:color w:val="0000FF"/>
                <w:szCs w:val="24"/>
              </w:rPr>
              <w:t xml:space="preserve">. Bu davalara en erken </w:t>
            </w:r>
            <w:r w:rsidR="00AA5C8C" w:rsidRPr="00A23740">
              <w:rPr>
                <w:rStyle w:val="Stil2Char"/>
                <w:rFonts w:eastAsia="Calibri"/>
                <w:u w:val="none"/>
              </w:rPr>
              <w:t xml:space="preserve">olağan tasfiyede </w:t>
            </w:r>
            <w:r w:rsidR="00AA5C8C" w:rsidRPr="00A23740">
              <w:rPr>
                <w:b/>
                <w:color w:val="0000FF"/>
                <w:szCs w:val="24"/>
              </w:rPr>
              <w:t>ikinci alacaklılar toplantısından; basit tasfiyede sıra cetvelinin ilanından itibaren iki hafta sonra devam olunabilir.</w:t>
            </w:r>
          </w:p>
          <w:p w:rsidR="00AA5C8C" w:rsidRPr="00A23740" w:rsidRDefault="00AA5C8C" w:rsidP="009431FF">
            <w:pPr>
              <w:tabs>
                <w:tab w:val="left" w:pos="567"/>
              </w:tabs>
              <w:rPr>
                <w:b/>
                <w:color w:val="0000FF"/>
                <w:szCs w:val="24"/>
              </w:rPr>
            </w:pPr>
          </w:p>
          <w:p w:rsidR="00C42DF2" w:rsidRPr="00A23740" w:rsidRDefault="00C42DF2" w:rsidP="009431FF">
            <w:pPr>
              <w:tabs>
                <w:tab w:val="left" w:pos="567"/>
              </w:tabs>
              <w:rPr>
                <w:b/>
                <w:color w:val="0000FF"/>
                <w:szCs w:val="24"/>
              </w:rPr>
            </w:pPr>
          </w:p>
          <w:p w:rsidR="00C42DF2" w:rsidRPr="00A23740" w:rsidRDefault="00C42DF2" w:rsidP="009431FF">
            <w:pPr>
              <w:tabs>
                <w:tab w:val="left" w:pos="567"/>
              </w:tabs>
              <w:rPr>
                <w:b/>
                <w:color w:val="FF0000"/>
                <w:szCs w:val="24"/>
              </w:rPr>
            </w:pPr>
          </w:p>
          <w:p w:rsidR="00AA5C8C" w:rsidRPr="00A23740" w:rsidRDefault="00AA5C8C" w:rsidP="009431FF">
            <w:pPr>
              <w:tabs>
                <w:tab w:val="left" w:pos="567"/>
              </w:tabs>
              <w:rPr>
                <w:b/>
                <w:color w:val="0000FF"/>
                <w:szCs w:val="24"/>
              </w:rPr>
            </w:pPr>
            <w:r w:rsidRPr="00A23740">
              <w:rPr>
                <w:b/>
                <w:color w:val="0000FF"/>
                <w:szCs w:val="24"/>
              </w:rPr>
              <w:t>(2) Müflisin taraf olduğu idari davalar ve vergi davaları birinci fıkra hükmüne tabidir.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(3) Birinci fıkra hükmü</w:t>
            </w:r>
            <w:r w:rsidR="004D01E3" w:rsidRPr="00045DAC">
              <w:rPr>
                <w:rStyle w:val="Balk1Char"/>
                <w:rFonts w:eastAsia="Calibri"/>
              </w:rPr>
              <w:t>,</w:t>
            </w:r>
            <w:r w:rsidRPr="00A23740">
              <w:rPr>
                <w:b/>
                <w:color w:val="0000FF"/>
                <w:szCs w:val="24"/>
              </w:rPr>
              <w:t xml:space="preserve"> masa mevcudunu etkilemeyen hukuk davaları ve özellikle aşağıdaki davalarda uygulanmaz:</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a) Kişilik hakkına saldırıdan kaynaklanan tazminat davaları.</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b) </w:t>
            </w:r>
            <w:r w:rsidRPr="00A23740">
              <w:rPr>
                <w:rStyle w:val="MaviChar"/>
              </w:rPr>
              <w:t>Bedensel</w:t>
            </w:r>
            <w:r w:rsidRPr="00A23740">
              <w:rPr>
                <w:b/>
                <w:color w:val="0000FF"/>
                <w:szCs w:val="24"/>
              </w:rPr>
              <w:t xml:space="preserve"> bütünlüğün </w:t>
            </w:r>
            <w:r w:rsidRPr="00A23740">
              <w:rPr>
                <w:rStyle w:val="MaviChar"/>
              </w:rPr>
              <w:t>zedelenmesi</w:t>
            </w:r>
            <w:r w:rsidRPr="00A23740">
              <w:rPr>
                <w:b/>
                <w:color w:val="0000FF"/>
                <w:szCs w:val="24"/>
              </w:rPr>
              <w:t xml:space="preserve"> nedeniyle meydana gelen zarara dayanan tazminat davaları.</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c) Aile hukukundan ve kişiler hukukundan kaynaklanan davalar.</w:t>
            </w:r>
          </w:p>
          <w:p w:rsidR="00AA5C8C" w:rsidRPr="00A23740" w:rsidRDefault="00AA5C8C" w:rsidP="009431FF">
            <w:pPr>
              <w:tabs>
                <w:tab w:val="left" w:pos="567"/>
              </w:tabs>
              <w:rPr>
                <w:b/>
                <w:color w:val="0000FF"/>
                <w:szCs w:val="24"/>
              </w:rPr>
            </w:pPr>
          </w:p>
          <w:p w:rsidR="00C42DF2" w:rsidRPr="00A23740" w:rsidRDefault="00AA5C8C" w:rsidP="009431FF">
            <w:pPr>
              <w:tabs>
                <w:tab w:val="left" w:pos="567"/>
              </w:tabs>
              <w:rPr>
                <w:b/>
                <w:color w:val="0000FF"/>
                <w:szCs w:val="24"/>
              </w:rPr>
            </w:pPr>
            <w:r w:rsidRPr="00A23740">
              <w:rPr>
                <w:b/>
                <w:color w:val="0000FF"/>
                <w:szCs w:val="24"/>
              </w:rPr>
              <w:t>ç) Rehnin paraya çevrilmesi yoluyla takiplerle ilgi</w:t>
            </w:r>
            <w:r w:rsidR="00C42DF2" w:rsidRPr="00A23740">
              <w:rPr>
                <w:b/>
                <w:color w:val="0000FF"/>
                <w:szCs w:val="24"/>
              </w:rPr>
              <w:t>li olarak açılmış olan davalar.</w:t>
            </w:r>
          </w:p>
          <w:p w:rsidR="00C42DF2" w:rsidRPr="00A23740" w:rsidRDefault="00C42DF2"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(4) </w:t>
            </w:r>
            <w:r w:rsidRPr="00A23740">
              <w:t>Dava durduğu</w:t>
            </w:r>
            <w:r w:rsidR="007902F8" w:rsidRPr="00A23740">
              <w:t xml:space="preserve"> </w:t>
            </w:r>
            <w:r w:rsidRPr="00A23740">
              <w:rPr>
                <w:bCs/>
              </w:rPr>
              <w:t>müddetçe</w:t>
            </w:r>
            <w:r w:rsidRPr="00A23740">
              <w:t xml:space="preserve"> zamanaşımı ve hak </w:t>
            </w:r>
            <w:r w:rsidRPr="00045DAC">
              <w:rPr>
                <w:rStyle w:val="Balk1Char"/>
                <w:rFonts w:eastAsia="Calibri"/>
              </w:rPr>
              <w:t>düşürücü</w:t>
            </w:r>
            <w:r w:rsidRPr="00A23740">
              <w:t xml:space="preserve"> </w:t>
            </w:r>
            <w:r w:rsidRPr="00A23740">
              <w:rPr>
                <w:rStyle w:val="MaviChar"/>
              </w:rPr>
              <w:t>süreler</w:t>
            </w:r>
            <w:r w:rsidRPr="00A23740">
              <w:t xml:space="preserve"> işlemez.</w:t>
            </w:r>
          </w:p>
          <w:p w:rsidR="00AA5C8C" w:rsidRPr="00A23740" w:rsidRDefault="00AA5C8C" w:rsidP="009431FF">
            <w:pPr>
              <w:tabs>
                <w:tab w:val="left" w:pos="567"/>
              </w:tabs>
              <w:rPr>
                <w:b/>
                <w:szCs w:val="24"/>
              </w:rPr>
            </w:pPr>
          </w:p>
        </w:tc>
      </w:tr>
      <w:tr w:rsidR="00F32E7F"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1A223D" w:rsidRPr="00A23740" w:rsidRDefault="001A223D" w:rsidP="009431FF">
            <w:pPr>
              <w:ind w:firstLine="709"/>
              <w:rPr>
                <w:b/>
              </w:rPr>
            </w:pPr>
          </w:p>
          <w:p w:rsidR="00F32E7F" w:rsidRPr="00A23740" w:rsidRDefault="0025055D" w:rsidP="009431FF">
            <w:pPr>
              <w:tabs>
                <w:tab w:val="left" w:pos="567"/>
              </w:tabs>
              <w:ind w:firstLine="709"/>
              <w:rPr>
                <w:b/>
                <w:szCs w:val="24"/>
              </w:rPr>
            </w:pPr>
            <w:r w:rsidRPr="00A23740">
              <w:rPr>
                <w:b/>
              </w:rPr>
              <w:t>MADDE 304</w:t>
            </w:r>
            <w:r w:rsidR="001A223D" w:rsidRPr="00A23740">
              <w:rPr>
                <w:b/>
              </w:rPr>
              <w:t>-</w:t>
            </w:r>
            <w:r w:rsidR="001A223D" w:rsidRPr="00A23740">
              <w:t xml:space="preserve"> Maddeyle, </w:t>
            </w:r>
            <w:r w:rsidR="001A223D" w:rsidRPr="00A23740">
              <w:rPr>
                <w:szCs w:val="24"/>
              </w:rPr>
              <w:t>hukuk davalarının durmasına ilişkin hususlar düzenlenmektedir. Hüküm, 2004 sayılı Kanunun 194 üncü maddesine karşılık gelmektedir.</w:t>
            </w:r>
            <w:r w:rsidR="001A223D" w:rsidRPr="00A23740">
              <w:rPr>
                <w:b/>
                <w:szCs w:val="24"/>
              </w:rPr>
              <w:t xml:space="preserve"> </w:t>
            </w:r>
          </w:p>
          <w:p w:rsidR="00F32E7F" w:rsidRPr="00A23740" w:rsidRDefault="00F32E7F" w:rsidP="009431FF">
            <w:pPr>
              <w:ind w:firstLine="709"/>
            </w:pPr>
            <w:r w:rsidRPr="00A23740">
              <w:t xml:space="preserve">Maddede iflasın açılmasının davalar üzerindeki etkisi düzenlenmiştir. İlk </w:t>
            </w:r>
            <w:r w:rsidRPr="00D60C1D">
              <w:rPr>
                <w:color w:val="000000"/>
              </w:rPr>
              <w:t>fıkra</w:t>
            </w:r>
            <w:r w:rsidR="007902F8" w:rsidRPr="00D60C1D">
              <w:rPr>
                <w:rStyle w:val="YELChar"/>
                <w:b w:val="0"/>
                <w:color w:val="000000"/>
              </w:rPr>
              <w:t>da</w:t>
            </w:r>
            <w:r w:rsidRPr="00A23740">
              <w:t xml:space="preserve"> masanın aktif ve pasif malvarlığını ilgilendiren ve borçlunun tarafı olduğu hukuk davalarının duracağı hükme bağlanmıştır. Bu kuralın istisnası ise acele h</w:t>
            </w:r>
            <w:r w:rsidR="009D574E" w:rsidRPr="00A23740">
              <w:t>â</w:t>
            </w:r>
            <w:r w:rsidRPr="00A23740">
              <w:t>llere ilişkin davalardır. İlgili fıkrada hukuk davaların</w:t>
            </w:r>
            <w:r w:rsidR="007902F8" w:rsidRPr="00D60C1D">
              <w:rPr>
                <w:rStyle w:val="YELChar"/>
                <w:b w:val="0"/>
                <w:color w:val="000000"/>
              </w:rPr>
              <w:t>ın</w:t>
            </w:r>
            <w:r w:rsidRPr="00A23740">
              <w:t xml:space="preserve"> durması gereken süre de belirlenmiştir. Buna göre iflasın açılmasıyla duran davalar, olağan tasfiyede en erken ikinci alacaklılar</w:t>
            </w:r>
            <w:r w:rsidR="00887958" w:rsidRPr="00A23740">
              <w:t>toplantısından</w:t>
            </w:r>
            <w:r w:rsidRPr="00A23740">
              <w:t xml:space="preserve">; basit tasfiyede ise sıra cetvelinin ilanından itibaren iki hafta sonra devam edecektir. </w:t>
            </w:r>
            <w:r w:rsidR="00AA2F67" w:rsidRPr="00D60C1D">
              <w:rPr>
                <w:rStyle w:val="YELChar"/>
                <w:b w:val="0"/>
                <w:color w:val="000000"/>
              </w:rPr>
              <w:t>Fıkrada sözü edilen “acele h</w:t>
            </w:r>
            <w:r w:rsidR="009D574E" w:rsidRPr="00D60C1D">
              <w:rPr>
                <w:rStyle w:val="YELChar"/>
                <w:b w:val="0"/>
                <w:color w:val="000000"/>
              </w:rPr>
              <w:t>â</w:t>
            </w:r>
            <w:r w:rsidR="00AA2F67" w:rsidRPr="00D60C1D">
              <w:rPr>
                <w:rStyle w:val="YELChar"/>
                <w:b w:val="0"/>
                <w:color w:val="000000"/>
              </w:rPr>
              <w:t>ller” ile kastedilen; tarafların özel durumu veya konusu nedeniyle beklemeye tahammülü olmayan h</w:t>
            </w:r>
            <w:r w:rsidR="009D574E" w:rsidRPr="00D60C1D">
              <w:rPr>
                <w:rStyle w:val="YELChar"/>
                <w:b w:val="0"/>
                <w:color w:val="000000"/>
              </w:rPr>
              <w:t>â</w:t>
            </w:r>
            <w:r w:rsidR="00AA2F67" w:rsidRPr="00D60C1D">
              <w:rPr>
                <w:rStyle w:val="YELChar"/>
                <w:b w:val="0"/>
                <w:color w:val="000000"/>
              </w:rPr>
              <w:t>llerdir. Bunlara örnek olarak tahliye davaları, zilyetliğin korunması davaları, ortaklığın giderilmesi davaları veya ihtiyati tedbir, ihtiyati haciz ve delil tespiti gibi geçici hukuki himaye tedbirleri gösterilebilir (Baki Kuru</w:t>
            </w:r>
            <w:r w:rsidR="00887958" w:rsidRPr="00D60C1D">
              <w:rPr>
                <w:rStyle w:val="YELChar"/>
                <w:b w:val="0"/>
                <w:color w:val="000000"/>
              </w:rPr>
              <w:t>,</w:t>
            </w:r>
            <w:r w:rsidR="00AA2F67" w:rsidRPr="00D60C1D">
              <w:rPr>
                <w:rStyle w:val="YELChar"/>
                <w:b w:val="0"/>
                <w:color w:val="000000"/>
              </w:rPr>
              <w:t xml:space="preserve"> İcra ve İflas Hukuku El Kitabı 2. Baskı</w:t>
            </w:r>
            <w:r w:rsidR="00887958" w:rsidRPr="00D60C1D">
              <w:rPr>
                <w:rStyle w:val="YELChar"/>
                <w:b w:val="0"/>
                <w:color w:val="000000"/>
              </w:rPr>
              <w:t>, İstanbul 2013, s.</w:t>
            </w:r>
            <w:r w:rsidR="00AA2F67" w:rsidRPr="00D60C1D">
              <w:rPr>
                <w:rStyle w:val="YELChar"/>
                <w:b w:val="0"/>
                <w:color w:val="000000"/>
              </w:rPr>
              <w:t>1232).</w:t>
            </w:r>
            <w:r w:rsidR="00AA2F67" w:rsidRPr="00A23740">
              <w:rPr>
                <w:rStyle w:val="YELChar"/>
              </w:rPr>
              <w:t xml:space="preserve"> </w:t>
            </w:r>
            <w:r w:rsidR="00335C6E" w:rsidRPr="00A23740">
              <w:t>Bu gibi hâ</w:t>
            </w:r>
            <w:r w:rsidRPr="00A23740">
              <w:t>llerde iflas idaresi</w:t>
            </w:r>
            <w:r w:rsidR="00887958" w:rsidRPr="00A23740">
              <w:t>,</w:t>
            </w:r>
            <w:r w:rsidRPr="00A23740">
              <w:t xml:space="preserve"> alacaklılar </w:t>
            </w:r>
            <w:r w:rsidR="00887958" w:rsidRPr="00A23740">
              <w:t xml:space="preserve">toplantısından </w:t>
            </w:r>
            <w:r w:rsidRPr="00A23740">
              <w:t>sonraki iki haftalık zaman</w:t>
            </w:r>
            <w:r w:rsidR="00887958" w:rsidRPr="00A23740">
              <w:t xml:space="preserve"> parçasının</w:t>
            </w:r>
            <w:r w:rsidRPr="00A23740">
              <w:t xml:space="preserve"> geçmesini beklemeden</w:t>
            </w:r>
            <w:r w:rsidR="00AA2F67" w:rsidRPr="00A23740">
              <w:t xml:space="preserve"> talepte bulunabilecektir.</w:t>
            </w:r>
            <w:r w:rsidRPr="00A23740">
              <w:t xml:space="preserve"> Benzer şekilde tasarrufun iptali davasının açılması için süre sorununun </w:t>
            </w:r>
            <w:r w:rsidR="00887958" w:rsidRPr="00A23740">
              <w:t xml:space="preserve"> yaşandığı </w:t>
            </w:r>
            <w:r w:rsidRPr="00A23740">
              <w:t>h</w:t>
            </w:r>
            <w:r w:rsidR="009D574E" w:rsidRPr="00A23740">
              <w:t>â</w:t>
            </w:r>
            <w:r w:rsidRPr="00A23740">
              <w:t>llerde</w:t>
            </w:r>
            <w:r w:rsidR="007902F8" w:rsidRPr="00D60C1D">
              <w:rPr>
                <w:rStyle w:val="YELChar"/>
                <w:b w:val="0"/>
                <w:color w:val="000000"/>
              </w:rPr>
              <w:t>,</w:t>
            </w:r>
            <w:r w:rsidRPr="00A23740">
              <w:t xml:space="preserve"> iflas idaresi alacaklılar </w:t>
            </w:r>
            <w:r w:rsidR="00887958" w:rsidRPr="00A23740">
              <w:t xml:space="preserve">toplantısını </w:t>
            </w:r>
            <w:r w:rsidRPr="00A23740">
              <w:t>bekleme</w:t>
            </w:r>
            <w:r w:rsidR="001A223D" w:rsidRPr="00A23740">
              <w:t xml:space="preserve">den bu davaları açabilecektir. </w:t>
            </w:r>
          </w:p>
          <w:p w:rsidR="00F32E7F" w:rsidRPr="00A23740" w:rsidRDefault="00F32E7F" w:rsidP="009431FF">
            <w:pPr>
              <w:ind w:firstLine="709"/>
            </w:pPr>
            <w:r w:rsidRPr="00A23740">
              <w:t>Maddenin ikinci fıkrasına göre müflisin taraf olduğu idari davalar ile vergi davaları da birinci fıkra çe</w:t>
            </w:r>
            <w:r w:rsidR="0091500F">
              <w:t xml:space="preserve">rçevesinde duracaktır. Bu fıkra </w:t>
            </w:r>
            <w:r w:rsidR="007902F8" w:rsidRPr="00D60C1D">
              <w:rPr>
                <w:rStyle w:val="YELChar"/>
                <w:b w:val="0"/>
                <w:color w:val="000000"/>
              </w:rPr>
              <w:t>2004 sayılı</w:t>
            </w:r>
            <w:r w:rsidR="007902F8" w:rsidRPr="00A23740">
              <w:t xml:space="preserve"> </w:t>
            </w:r>
            <w:r w:rsidRPr="00A23740">
              <w:t>Kanunda düzenlenmeyen bir hususu düzenleme konusu yapmıştır. Elbette bu fıkra kapsamındaki idari</w:t>
            </w:r>
            <w:r w:rsidR="007902F8" w:rsidRPr="00A23740">
              <w:t xml:space="preserve"> </w:t>
            </w:r>
            <w:r w:rsidR="007902F8" w:rsidRPr="00D60C1D">
              <w:rPr>
                <w:rStyle w:val="YELChar"/>
                <w:b w:val="0"/>
                <w:color w:val="000000"/>
              </w:rPr>
              <w:t>davalar ile</w:t>
            </w:r>
            <w:r w:rsidRPr="00A23740">
              <w:t xml:space="preserve"> vergi davalarının konusu</w:t>
            </w:r>
            <w:r w:rsidR="007902F8" w:rsidRPr="00D60C1D">
              <w:rPr>
                <w:rStyle w:val="YELChar"/>
                <w:b w:val="0"/>
                <w:color w:val="000000"/>
              </w:rPr>
              <w:t>nun</w:t>
            </w:r>
            <w:r w:rsidRPr="00A23740">
              <w:t>, masa ma</w:t>
            </w:r>
            <w:r w:rsidR="007902F8" w:rsidRPr="00A23740">
              <w:t>lvarlığın</w:t>
            </w:r>
            <w:r w:rsidR="007902F8" w:rsidRPr="00D60C1D">
              <w:rPr>
                <w:rStyle w:val="YELChar"/>
                <w:b w:val="0"/>
                <w:color w:val="000000"/>
              </w:rPr>
              <w:t>a</w:t>
            </w:r>
            <w:r w:rsidR="001A223D" w:rsidRPr="00A23740">
              <w:t xml:space="preserve"> ilişkin </w:t>
            </w:r>
            <w:r w:rsidR="007902F8" w:rsidRPr="00D60C1D">
              <w:rPr>
                <w:rStyle w:val="YELChar"/>
                <w:b w:val="0"/>
                <w:color w:val="000000"/>
              </w:rPr>
              <w:t>olması lazımdır.</w:t>
            </w:r>
          </w:p>
          <w:p w:rsidR="00F32E7F" w:rsidRPr="00A23740" w:rsidRDefault="00F32E7F" w:rsidP="009431FF">
            <w:pPr>
              <w:ind w:firstLine="709"/>
            </w:pPr>
            <w:r w:rsidRPr="00A23740">
              <w:t>Üçüncü fıkra, ilk fıkranın açıklaması</w:t>
            </w:r>
            <w:r w:rsidR="00887958" w:rsidRPr="00A23740">
              <w:t>,</w:t>
            </w:r>
            <w:r w:rsidRPr="00A23740">
              <w:t xml:space="preserve"> bir anlamda da istisnası niteliğindedir. İflas masasını ilgilendirmeyen hukuk davaları tasfiyeden </w:t>
            </w:r>
            <w:r w:rsidR="007902F8" w:rsidRPr="00D60C1D">
              <w:rPr>
                <w:rStyle w:val="YELChar"/>
                <w:b w:val="0"/>
                <w:color w:val="000000"/>
              </w:rPr>
              <w:t>etkilenmeyerek devam edecektir.</w:t>
            </w:r>
            <w:r w:rsidR="007902F8" w:rsidRPr="00A23740">
              <w:t xml:space="preserve"> </w:t>
            </w:r>
            <w:r w:rsidR="007902F8" w:rsidRPr="00D60C1D">
              <w:rPr>
                <w:rStyle w:val="YELChar"/>
                <w:b w:val="0"/>
                <w:color w:val="000000"/>
              </w:rPr>
              <w:t>Fıkrada</w:t>
            </w:r>
            <w:r w:rsidR="007902F8" w:rsidRPr="00A23740">
              <w:rPr>
                <w:rStyle w:val="YELChar"/>
              </w:rPr>
              <w:t xml:space="preserve"> </w:t>
            </w:r>
            <w:r w:rsidRPr="00A23740">
              <w:t>bu davalardan bazıları</w:t>
            </w:r>
            <w:r w:rsidR="001A223D" w:rsidRPr="00A23740">
              <w:t xml:space="preserve"> örnek kabilinden sayılmıştır. </w:t>
            </w:r>
          </w:p>
          <w:p w:rsidR="00F32E7F" w:rsidRPr="00A23740" w:rsidRDefault="00F32E7F" w:rsidP="009431FF">
            <w:pPr>
              <w:ind w:firstLine="709"/>
            </w:pPr>
            <w:r w:rsidRPr="00A23740">
              <w:t>Nihayet maddenin son fıkrasında da davalar durduğu sürece bu davalarla ilgili hak ve zamanaşımı sürelerinin işlemeye</w:t>
            </w:r>
            <w:r w:rsidR="00D3713D" w:rsidRPr="00A23740">
              <w:t>ceği açıklığa kavuşturulmuştur.</w:t>
            </w:r>
          </w:p>
          <w:p w:rsidR="0025055D" w:rsidRPr="00A23740" w:rsidRDefault="0025055D" w:rsidP="00B43502">
            <w:pPr>
              <w:ind w:firstLine="709"/>
              <w:rPr>
                <w:b/>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II. ALACAKLILARIN HAKLARI ÜZERİNE İFLASIN TESİRLERİ</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szCs w:val="24"/>
              </w:rPr>
            </w:pPr>
            <w:r w:rsidRPr="00A23740">
              <w:rPr>
                <w:szCs w:val="24"/>
              </w:rPr>
              <w:t>Müflisin borçlarının muaccel</w:t>
            </w:r>
            <w:r w:rsidRPr="00A23740">
              <w:rPr>
                <w:b/>
                <w:strike/>
                <w:color w:val="FF0000"/>
                <w:szCs w:val="24"/>
              </w:rPr>
              <w:t>iyet kesbetmesi:</w:t>
            </w:r>
          </w:p>
          <w:p w:rsidR="00AA5C8C" w:rsidRPr="00A23740" w:rsidRDefault="00AA5C8C" w:rsidP="009431FF">
            <w:pPr>
              <w:tabs>
                <w:tab w:val="left" w:pos="567"/>
              </w:tabs>
              <w:rPr>
                <w:b/>
                <w:strike/>
                <w:color w:val="FF0000"/>
                <w:szCs w:val="24"/>
              </w:rPr>
            </w:pPr>
            <w:r w:rsidRPr="00A23740">
              <w:rPr>
                <w:rStyle w:val="KIRMIZIChar"/>
                <w:rFonts w:eastAsia="Calibri"/>
              </w:rPr>
              <w:t>Madde 195 – (1) Borçlunun</w:t>
            </w:r>
            <w:r w:rsidRPr="00A23740">
              <w:rPr>
                <w:b/>
                <w:strike/>
                <w:color w:val="FF0000"/>
                <w:szCs w:val="24"/>
              </w:rPr>
              <w:t xml:space="preserve"> gayri taşınır mallarının rehni suretiyle </w:t>
            </w:r>
            <w:r w:rsidRPr="00A23740">
              <w:t>temin edilmiş</w:t>
            </w:r>
            <w:r w:rsidRPr="00A23740">
              <w:rPr>
                <w:b/>
                <w:strike/>
                <w:color w:val="FF0000"/>
                <w:szCs w:val="24"/>
              </w:rPr>
              <w:t xml:space="preserve"> olan alacaklar müstesna olmak üzere iflasın açılması müflisin borçlarını</w:t>
            </w:r>
            <w:r w:rsidRPr="00045DAC">
              <w:rPr>
                <w:b/>
                <w:color w:val="FF0000"/>
                <w:szCs w:val="24"/>
              </w:rPr>
              <w:t xml:space="preserve"> </w:t>
            </w:r>
            <w:r w:rsidRPr="00A23740">
              <w:t>muaccel</w:t>
            </w:r>
            <w:r w:rsidRPr="00A23740">
              <w:rPr>
                <w:b/>
                <w:color w:val="FF0000"/>
                <w:szCs w:val="24"/>
              </w:rPr>
              <w:t xml:space="preserve"> </w:t>
            </w:r>
            <w:r w:rsidRPr="00A23740">
              <w:rPr>
                <w:b/>
                <w:strike/>
                <w:color w:val="FF0000"/>
                <w:szCs w:val="24"/>
              </w:rPr>
              <w:t>kılar. İflasın açıldığı güne kadar işlemiş faiz ile takip masrafları anaya zammolunur.</w:t>
            </w:r>
          </w:p>
          <w:p w:rsidR="00AA5C8C" w:rsidRPr="00A23740" w:rsidRDefault="00AA5C8C" w:rsidP="009431FF">
            <w:pPr>
              <w:tabs>
                <w:tab w:val="left" w:pos="567"/>
              </w:tabs>
              <w:rPr>
                <w:b/>
                <w:strike/>
                <w:color w:val="FF0000"/>
                <w:szCs w:val="24"/>
              </w:rPr>
            </w:pPr>
          </w:p>
          <w:p w:rsidR="00AA5C8C" w:rsidRPr="00A23740" w:rsidRDefault="00AE0894" w:rsidP="009431FF">
            <w:pPr>
              <w:tabs>
                <w:tab w:val="left" w:pos="567"/>
              </w:tabs>
              <w:rPr>
                <w:b/>
                <w:strike/>
                <w:color w:val="FF0000"/>
                <w:szCs w:val="24"/>
              </w:rPr>
            </w:pPr>
            <w:r>
              <w:rPr>
                <w:rStyle w:val="KIRMIZIChar"/>
                <w:rFonts w:eastAsia="Calibri"/>
              </w:rPr>
              <w:t>M.</w:t>
            </w:r>
            <w:r w:rsidR="00AA5C8C" w:rsidRPr="00045DAC">
              <w:rPr>
                <w:rStyle w:val="KIRMIZIChar"/>
                <w:rFonts w:eastAsia="Calibri"/>
              </w:rPr>
              <w:t>195/F1.C2:</w:t>
            </w:r>
            <w:r w:rsidR="00AA5C8C" w:rsidRPr="00A23740">
              <w:rPr>
                <w:b/>
                <w:color w:val="FF0000"/>
                <w:szCs w:val="24"/>
              </w:rPr>
              <w:t xml:space="preserve"> </w:t>
            </w:r>
            <w:r w:rsidR="00AA5C8C" w:rsidRPr="00A23740">
              <w:t xml:space="preserve">İflasın açıldığı güne kadar işlemiş faiz </w:t>
            </w:r>
            <w:r w:rsidR="00AA5C8C" w:rsidRPr="00A23740">
              <w:rPr>
                <w:rStyle w:val="KIRMIZIChar"/>
                <w:rFonts w:eastAsia="Calibri"/>
              </w:rPr>
              <w:t>ile</w:t>
            </w:r>
            <w:r w:rsidR="00AA5C8C" w:rsidRPr="00A23740">
              <w:t xml:space="preserve"> takip </w:t>
            </w:r>
            <w:r w:rsidR="00AA5C8C" w:rsidRPr="00A23740">
              <w:rPr>
                <w:rStyle w:val="KIRMIZIChar"/>
                <w:rFonts w:eastAsia="Calibri"/>
              </w:rPr>
              <w:t>masrafları</w:t>
            </w:r>
            <w:r w:rsidR="00AA5C8C" w:rsidRPr="00A23740">
              <w:t xml:space="preserve"> </w:t>
            </w:r>
            <w:r w:rsidR="00AA5C8C" w:rsidRPr="00A23740">
              <w:rPr>
                <w:rStyle w:val="KIRMIZIChar"/>
                <w:rFonts w:eastAsia="Calibri"/>
              </w:rPr>
              <w:t>anaya zammolunur</w:t>
            </w:r>
            <w:r w:rsidR="00AA5C8C" w:rsidRPr="00A23740">
              <w:t>.</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b/>
                <w:strike/>
                <w:color w:val="FF0000"/>
                <w:szCs w:val="24"/>
              </w:rPr>
              <w:t>(2) (Değişik: 9/11/1988 - 3494/41 md.) Müflisin vadesi gelmemiş faizsiz borçlarından yıllık kanuni faiz hesabıyla iskonto yapılır.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pStyle w:val="MAV"/>
              <w:jc w:val="center"/>
              <w:rPr>
                <w:u w:val="none"/>
                <w:lang w:val="tr-TR"/>
              </w:rPr>
            </w:pPr>
            <w:r w:rsidRPr="00A23740">
              <w:rPr>
                <w:u w:val="none"/>
                <w:lang w:val="tr-TR"/>
              </w:rPr>
              <w:t>İKİNCİ AYRIM</w:t>
            </w:r>
          </w:p>
          <w:p w:rsidR="00AA5C8C" w:rsidRPr="00A23740" w:rsidRDefault="00AA5C8C" w:rsidP="009431FF">
            <w:pPr>
              <w:pStyle w:val="MAV"/>
              <w:jc w:val="center"/>
              <w:rPr>
                <w:u w:val="none"/>
                <w:lang w:val="tr-TR"/>
              </w:rPr>
            </w:pPr>
            <w:r w:rsidRPr="00A23740">
              <w:rPr>
                <w:u w:val="none"/>
                <w:lang w:val="tr-TR"/>
              </w:rPr>
              <w:t>İflasın Alacaklılar Bakımından Hukuki Sonuçları</w:t>
            </w:r>
          </w:p>
          <w:p w:rsidR="00AA5C8C" w:rsidRPr="00A23740" w:rsidRDefault="00AA5C8C" w:rsidP="009431FF">
            <w:pPr>
              <w:pStyle w:val="MAV"/>
              <w:jc w:val="center"/>
              <w:rPr>
                <w:u w:val="none"/>
                <w:lang w:val="tr-TR"/>
              </w:rPr>
            </w:pPr>
          </w:p>
          <w:p w:rsidR="00AA5C8C" w:rsidRPr="00A23740" w:rsidRDefault="00AA5C8C" w:rsidP="009431FF">
            <w:pPr>
              <w:pStyle w:val="MAV"/>
              <w:jc w:val="center"/>
              <w:rPr>
                <w:u w:val="none"/>
                <w:lang w:val="tr-TR"/>
              </w:rPr>
            </w:pPr>
          </w:p>
          <w:p w:rsidR="00AA5C8C" w:rsidRPr="00A23740" w:rsidRDefault="00AA5C8C" w:rsidP="009431FF">
            <w:pPr>
              <w:tabs>
                <w:tab w:val="left" w:pos="567"/>
              </w:tabs>
              <w:rPr>
                <w:b/>
                <w:szCs w:val="24"/>
              </w:rPr>
            </w:pPr>
            <w:r w:rsidRPr="00A23740">
              <w:rPr>
                <w:b/>
                <w:szCs w:val="24"/>
              </w:rPr>
              <w:t xml:space="preserve">Müflisin borçlarının muaccel </w:t>
            </w:r>
            <w:r w:rsidRPr="00A23740">
              <w:rPr>
                <w:b/>
                <w:color w:val="0000FF"/>
                <w:szCs w:val="24"/>
              </w:rPr>
              <w:t>h</w:t>
            </w:r>
            <w:r w:rsidR="002C1A75" w:rsidRPr="00A23740">
              <w:rPr>
                <w:b/>
                <w:color w:val="0000FF"/>
                <w:szCs w:val="24"/>
              </w:rPr>
              <w:t>â</w:t>
            </w:r>
            <w:r w:rsidRPr="00A23740">
              <w:rPr>
                <w:b/>
                <w:color w:val="0000FF"/>
                <w:szCs w:val="24"/>
              </w:rPr>
              <w:t>le gelmesi</w:t>
            </w:r>
          </w:p>
          <w:p w:rsidR="00AA5C8C" w:rsidRPr="00A23740" w:rsidRDefault="00AA5C8C" w:rsidP="009431FF">
            <w:pPr>
              <w:tabs>
                <w:tab w:val="left" w:pos="567"/>
              </w:tabs>
              <w:rPr>
                <w:b/>
                <w:color w:val="0000FF"/>
                <w:szCs w:val="24"/>
              </w:rPr>
            </w:pPr>
            <w:r w:rsidRPr="00A23740">
              <w:rPr>
                <w:rStyle w:val="MaviChar"/>
                <w:lang w:val="tr-TR"/>
              </w:rPr>
              <w:t xml:space="preserve">MADDE </w:t>
            </w:r>
            <w:r w:rsidR="00AA2F67" w:rsidRPr="00A23740">
              <w:rPr>
                <w:rStyle w:val="MAVChar"/>
                <w:rFonts w:eastAsia="Calibri"/>
                <w:u w:val="none"/>
              </w:rPr>
              <w:t>305</w:t>
            </w:r>
            <w:r w:rsidRPr="00A23740">
              <w:rPr>
                <w:rStyle w:val="MAVChar"/>
                <w:rFonts w:eastAsia="Calibri"/>
                <w:u w:val="none"/>
              </w:rPr>
              <w:t>- (1</w:t>
            </w:r>
            <w:r w:rsidRPr="00A23740">
              <w:rPr>
                <w:b/>
                <w:color w:val="0000FF"/>
                <w:szCs w:val="24"/>
              </w:rPr>
              <w:t xml:space="preserve">) İflasın açılması, borçlunun taşınmazının rehni suretiyle </w:t>
            </w:r>
            <w:r w:rsidRPr="00A23740">
              <w:t>temin edilmiş</w:t>
            </w:r>
            <w:r w:rsidRPr="00A23740">
              <w:rPr>
                <w:b/>
                <w:color w:val="0000FF"/>
                <w:szCs w:val="24"/>
              </w:rPr>
              <w:t xml:space="preserve"> olanlar dışında müflisin tüm borçlarını </w:t>
            </w:r>
            <w:r w:rsidRPr="00A23740">
              <w:rPr>
                <w:rStyle w:val="MaviChar"/>
              </w:rPr>
              <w:t>masaya karşı</w:t>
            </w:r>
            <w:r w:rsidRPr="00A23740">
              <w:rPr>
                <w:b/>
                <w:color w:val="0000FF"/>
                <w:szCs w:val="24"/>
              </w:rPr>
              <w:t xml:space="preserve"> </w:t>
            </w:r>
            <w:r w:rsidRPr="00A23740">
              <w:t>muaccel</w:t>
            </w:r>
            <w:r w:rsidRPr="00A23740">
              <w:rPr>
                <w:b/>
                <w:color w:val="0000FF"/>
                <w:szCs w:val="24"/>
              </w:rPr>
              <w:t xml:space="preserve"> h</w:t>
            </w:r>
            <w:r w:rsidR="002C1A75" w:rsidRPr="00A23740">
              <w:rPr>
                <w:b/>
                <w:color w:val="0000FF"/>
                <w:szCs w:val="24"/>
              </w:rPr>
              <w:t>â</w:t>
            </w:r>
            <w:r w:rsidRPr="00A23740">
              <w:rPr>
                <w:b/>
                <w:color w:val="0000FF"/>
                <w:szCs w:val="24"/>
              </w:rPr>
              <w:t>le getirir.</w:t>
            </w:r>
          </w:p>
          <w:p w:rsidR="00AA5C8C" w:rsidRPr="00A23740" w:rsidRDefault="00AA5C8C" w:rsidP="009431FF">
            <w:pPr>
              <w:tabs>
                <w:tab w:val="left" w:pos="567"/>
              </w:tabs>
              <w:rPr>
                <w:b/>
                <w:szCs w:val="24"/>
              </w:rPr>
            </w:pPr>
          </w:p>
          <w:p w:rsidR="00C42DF2" w:rsidRPr="00A23740" w:rsidRDefault="00C42DF2" w:rsidP="009431FF">
            <w:pPr>
              <w:tabs>
                <w:tab w:val="left" w:pos="567"/>
              </w:tabs>
              <w:rPr>
                <w:b/>
                <w:szCs w:val="24"/>
              </w:rPr>
            </w:pPr>
          </w:p>
          <w:p w:rsidR="00AA5C8C" w:rsidRPr="00A23740" w:rsidRDefault="00AA5C8C" w:rsidP="009431FF">
            <w:pPr>
              <w:tabs>
                <w:tab w:val="left" w:pos="567"/>
              </w:tabs>
              <w:rPr>
                <w:b/>
                <w:color w:val="0000FF"/>
                <w:szCs w:val="24"/>
              </w:rPr>
            </w:pPr>
            <w:r w:rsidRPr="00A23740">
              <w:rPr>
                <w:b/>
                <w:color w:val="0000FF"/>
                <w:szCs w:val="24"/>
              </w:rPr>
              <w:t xml:space="preserve">(2) </w:t>
            </w:r>
            <w:r w:rsidRPr="00A23740">
              <w:t>İflasın açıldığı güne kadar işlemiş olan faiz</w:t>
            </w:r>
            <w:r w:rsidRPr="00A23740">
              <w:rPr>
                <w:rStyle w:val="MaviChar"/>
              </w:rPr>
              <w:t>ler</w:t>
            </w:r>
            <w:r w:rsidRPr="00A23740">
              <w:t xml:space="preserve"> </w:t>
            </w:r>
            <w:r w:rsidRPr="00A23740">
              <w:rPr>
                <w:rStyle w:val="MaviChar"/>
              </w:rPr>
              <w:t>ve</w:t>
            </w:r>
            <w:r w:rsidRPr="00A23740">
              <w:t xml:space="preserve"> takip </w:t>
            </w:r>
            <w:r w:rsidRPr="00A23740">
              <w:rPr>
                <w:rStyle w:val="MaviChar"/>
              </w:rPr>
              <w:t>giderleri</w:t>
            </w:r>
            <w:r w:rsidRPr="00A23740">
              <w:t xml:space="preserve"> </w:t>
            </w:r>
            <w:r w:rsidR="00DC555E" w:rsidRPr="00462BE9">
              <w:rPr>
                <w:rStyle w:val="MaviChar"/>
              </w:rPr>
              <w:t>asıl alacağa</w:t>
            </w:r>
            <w:r w:rsidR="00DC555E" w:rsidRPr="00A23740">
              <w:rPr>
                <w:rStyle w:val="MaviChar"/>
                <w:lang w:val="tr-TR"/>
              </w:rPr>
              <w:t xml:space="preserve"> </w:t>
            </w:r>
            <w:r w:rsidRPr="00A23740">
              <w:rPr>
                <w:rStyle w:val="MaviChar"/>
              </w:rPr>
              <w:t>eklenerek masaya yazdırılır</w:t>
            </w:r>
            <w:r w:rsidRPr="00A23740">
              <w:t>.</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(3) İflasın açıldığı gün ile vade günü arasındaki süre için yıllık kanuni faiz hesaplanır ve bulunacak faiz miktarı alacak tutarından indirilerek masaya yazdırılır.</w:t>
            </w:r>
          </w:p>
          <w:p w:rsidR="00AA5C8C" w:rsidRPr="00A23740" w:rsidRDefault="00AA5C8C" w:rsidP="009431FF">
            <w:pPr>
              <w:tabs>
                <w:tab w:val="left" w:pos="567"/>
              </w:tabs>
              <w:rPr>
                <w:b/>
                <w:color w:val="0000FF"/>
                <w:szCs w:val="24"/>
              </w:rPr>
            </w:pPr>
          </w:p>
          <w:p w:rsidR="00AA5C8C" w:rsidRDefault="0091500F" w:rsidP="009431FF">
            <w:pPr>
              <w:tabs>
                <w:tab w:val="left" w:pos="567"/>
              </w:tabs>
              <w:rPr>
                <w:rStyle w:val="KIRMIZIChar"/>
                <w:rFonts w:eastAsia="Calibri"/>
              </w:rPr>
            </w:pPr>
            <w:r>
              <w:rPr>
                <w:b/>
                <w:color w:val="0000FF"/>
                <w:szCs w:val="24"/>
              </w:rPr>
              <w:t xml:space="preserve">(4) </w:t>
            </w:r>
            <w:r w:rsidR="001020DE" w:rsidRPr="00462BE9">
              <w:rPr>
                <w:rStyle w:val="MaviChar"/>
              </w:rPr>
              <w:t>Kamu</w:t>
            </w:r>
            <w:r w:rsidR="001020DE" w:rsidRPr="00A23740">
              <w:rPr>
                <w:b/>
                <w:color w:val="0000FF"/>
                <w:szCs w:val="24"/>
              </w:rPr>
              <w:t xml:space="preserve"> </w:t>
            </w:r>
            <w:r w:rsidR="00AA5C8C" w:rsidRPr="00A23740">
              <w:rPr>
                <w:b/>
                <w:color w:val="0000FF"/>
                <w:szCs w:val="24"/>
              </w:rPr>
              <w:t>alacağını doğuran olay iflasın açılmasından önce gerçekleşmiş</w:t>
            </w:r>
            <w:r w:rsidR="00DC555E" w:rsidRPr="00462BE9">
              <w:rPr>
                <w:rStyle w:val="MaviChar"/>
              </w:rPr>
              <w:t>se</w:t>
            </w:r>
            <w:r w:rsidR="00AA5C8C" w:rsidRPr="00A23740">
              <w:rPr>
                <w:b/>
                <w:color w:val="0000FF"/>
                <w:szCs w:val="24"/>
              </w:rPr>
              <w:t xml:space="preserve">, </w:t>
            </w:r>
            <w:r w:rsidR="001020DE" w:rsidRPr="00462BE9">
              <w:rPr>
                <w:rStyle w:val="MaviChar"/>
              </w:rPr>
              <w:t>kamu</w:t>
            </w:r>
            <w:r w:rsidR="001020DE" w:rsidRPr="00A23740">
              <w:rPr>
                <w:b/>
                <w:color w:val="0000FF"/>
                <w:szCs w:val="24"/>
              </w:rPr>
              <w:t xml:space="preserve"> </w:t>
            </w:r>
            <w:r w:rsidR="00AA5C8C" w:rsidRPr="00A23740">
              <w:rPr>
                <w:b/>
                <w:color w:val="0000FF"/>
                <w:szCs w:val="24"/>
              </w:rPr>
              <w:t>alacağı iflas masasına yazdırılır</w:t>
            </w:r>
            <w:r w:rsidR="00DC555E" w:rsidRPr="00A23740">
              <w:rPr>
                <w:b/>
                <w:color w:val="0000FF"/>
                <w:szCs w:val="24"/>
              </w:rPr>
              <w:t>.</w:t>
            </w:r>
            <w:r w:rsidR="00AA5C8C" w:rsidRPr="00A23740">
              <w:rPr>
                <w:b/>
                <w:color w:val="0000FF"/>
                <w:szCs w:val="24"/>
              </w:rPr>
              <w:t xml:space="preserve"> </w:t>
            </w:r>
          </w:p>
          <w:p w:rsidR="0091500F" w:rsidRPr="00A23740" w:rsidRDefault="0091500F"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(5) Yabancı para alacağı</w:t>
            </w:r>
            <w:r w:rsidR="00DC555E" w:rsidRPr="00462BE9">
              <w:rPr>
                <w:rStyle w:val="MaviChar"/>
              </w:rPr>
              <w:t>,</w:t>
            </w:r>
            <w:r w:rsidRPr="00A23740">
              <w:rPr>
                <w:b/>
                <w:color w:val="0000FF"/>
                <w:szCs w:val="24"/>
              </w:rPr>
              <w:t xml:space="preserve"> iflasın açıldığı gündeki Türkiye Cumhuriyet Merkez Bankası efektif satış kuru üzerinden Türk </w:t>
            </w:r>
            <w:r w:rsidR="00947548" w:rsidRPr="00A23740">
              <w:rPr>
                <w:b/>
                <w:color w:val="0000FF"/>
                <w:szCs w:val="24"/>
              </w:rPr>
              <w:t xml:space="preserve">lirası </w:t>
            </w:r>
            <w:r w:rsidR="005B47B7" w:rsidRPr="00462BE9">
              <w:rPr>
                <w:rStyle w:val="MaviChar"/>
              </w:rPr>
              <w:t>olarak</w:t>
            </w:r>
            <w:r w:rsidR="005B47B7" w:rsidRPr="00A23740">
              <w:rPr>
                <w:b/>
                <w:color w:val="0000FF"/>
                <w:szCs w:val="24"/>
              </w:rPr>
              <w:t xml:space="preserve"> </w:t>
            </w:r>
            <w:r w:rsidRPr="00A23740">
              <w:rPr>
                <w:b/>
                <w:color w:val="0000FF"/>
                <w:szCs w:val="24"/>
              </w:rPr>
              <w:t>masaya yazdırılır.</w:t>
            </w:r>
          </w:p>
          <w:p w:rsidR="00AA5C8C" w:rsidRPr="00A23740" w:rsidRDefault="00AA5C8C" w:rsidP="009431FF">
            <w:pPr>
              <w:tabs>
                <w:tab w:val="left" w:pos="567"/>
              </w:tabs>
              <w:rPr>
                <w:szCs w:val="24"/>
              </w:rPr>
            </w:pPr>
          </w:p>
        </w:tc>
      </w:tr>
      <w:tr w:rsidR="0059325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1A223D" w:rsidRPr="00A23740" w:rsidRDefault="001A223D" w:rsidP="009431FF">
            <w:pPr>
              <w:tabs>
                <w:tab w:val="left" w:pos="567"/>
              </w:tabs>
              <w:ind w:firstLine="709"/>
              <w:rPr>
                <w:b/>
              </w:rPr>
            </w:pPr>
          </w:p>
          <w:p w:rsidR="001A223D" w:rsidRPr="00A23740" w:rsidRDefault="00AA2F67" w:rsidP="009431FF">
            <w:pPr>
              <w:tabs>
                <w:tab w:val="left" w:pos="567"/>
              </w:tabs>
              <w:ind w:firstLine="709"/>
              <w:rPr>
                <w:b/>
                <w:szCs w:val="24"/>
              </w:rPr>
            </w:pPr>
            <w:r w:rsidRPr="00A23740">
              <w:rPr>
                <w:b/>
              </w:rPr>
              <w:t>MADDE 305</w:t>
            </w:r>
            <w:r w:rsidR="001A223D" w:rsidRPr="00A23740">
              <w:rPr>
                <w:b/>
              </w:rPr>
              <w:t>-</w:t>
            </w:r>
            <w:r w:rsidR="001A223D" w:rsidRPr="00A23740">
              <w:t xml:space="preserve"> Maddeyle, müflisin borçlarının muaccel h</w:t>
            </w:r>
            <w:r w:rsidR="009D574E" w:rsidRPr="00A23740">
              <w:t>â</w:t>
            </w:r>
            <w:r w:rsidR="001A223D" w:rsidRPr="00A23740">
              <w:t>le gelmesine ilişkin</w:t>
            </w:r>
            <w:r w:rsidR="001A223D" w:rsidRPr="00A23740">
              <w:rPr>
                <w:szCs w:val="24"/>
              </w:rPr>
              <w:t xml:space="preserve"> hususlar düzenlenmektedir. Hüküm, 2004 sayılı Kanunun 195 inci maddesine karşılık gelmektedir.</w:t>
            </w:r>
            <w:r w:rsidR="001A223D" w:rsidRPr="00A23740">
              <w:rPr>
                <w:b/>
                <w:szCs w:val="24"/>
              </w:rPr>
              <w:t xml:space="preserve"> </w:t>
            </w:r>
          </w:p>
          <w:p w:rsidR="00593252" w:rsidRPr="00A23740" w:rsidRDefault="00CA6ABA" w:rsidP="009431FF">
            <w:pPr>
              <w:ind w:firstLine="709"/>
            </w:pPr>
            <w:r w:rsidRPr="00A23740">
              <w:t>2004 sayılı Kanunun m</w:t>
            </w:r>
            <w:r w:rsidR="00593252" w:rsidRPr="00A23740">
              <w:t xml:space="preserve">üflisin iflasın açılmasından önce muaccel olmayan borçlarının iflasın açılmasıyla muaccel olmasına ilişkin </w:t>
            </w:r>
            <w:r w:rsidRPr="00A23740">
              <w:t xml:space="preserve">hükmü </w:t>
            </w:r>
            <w:r w:rsidR="00593252" w:rsidRPr="00A23740">
              <w:t xml:space="preserve">yeni düzenlemede de </w:t>
            </w:r>
            <w:r w:rsidRPr="00A23740">
              <w:t xml:space="preserve"> muhafaza edilmektedir</w:t>
            </w:r>
            <w:r w:rsidR="00593252" w:rsidRPr="00A23740">
              <w:t xml:space="preserve">. </w:t>
            </w:r>
            <w:r w:rsidRPr="00A23740">
              <w:t>Ancak, y</w:t>
            </w:r>
            <w:r w:rsidR="00593252" w:rsidRPr="00A23740">
              <w:t xml:space="preserve">eni düzenlemede </w:t>
            </w:r>
            <w:r w:rsidR="005B47B7" w:rsidRPr="00D60C1D">
              <w:rPr>
                <w:rStyle w:val="YELChar"/>
                <w:b w:val="0"/>
                <w:color w:val="000000"/>
              </w:rPr>
              <w:t>2004 sayılı Kanundaki</w:t>
            </w:r>
            <w:r w:rsidR="005B47B7" w:rsidRPr="00A23740">
              <w:t xml:space="preserve"> </w:t>
            </w:r>
            <w:r w:rsidR="00593252" w:rsidRPr="00A23740">
              <w:t xml:space="preserve">hükümden farklı olarak vurgulanan </w:t>
            </w:r>
            <w:r w:rsidRPr="00A23740">
              <w:t xml:space="preserve">bir </w:t>
            </w:r>
            <w:r w:rsidR="00593252" w:rsidRPr="00A23740">
              <w:t>husus</w:t>
            </w:r>
            <w:r w:rsidRPr="00A23740">
              <w:t xml:space="preserve"> vardır ki</w:t>
            </w:r>
            <w:r w:rsidR="00593252" w:rsidRPr="00A23740">
              <w:t xml:space="preserve">, </w:t>
            </w:r>
            <w:r w:rsidRPr="00A23740">
              <w:t xml:space="preserve">o da </w:t>
            </w:r>
            <w:r w:rsidR="00593252" w:rsidRPr="00A23740">
              <w:t>muacceliyetin masaya karşı gerçekleşe</w:t>
            </w:r>
            <w:r w:rsidR="00DA7EB8" w:rsidRPr="00A23740">
              <w:t>cek olmasıdır.</w:t>
            </w:r>
            <w:r w:rsidR="00593252" w:rsidRPr="00A23740">
              <w:t xml:space="preserve"> Şu h</w:t>
            </w:r>
            <w:r w:rsidR="009D574E" w:rsidRPr="00A23740">
              <w:t>â</w:t>
            </w:r>
            <w:r w:rsidR="00593252" w:rsidRPr="00A23740">
              <w:t xml:space="preserve">lde, müflisle birlikte borçtan sorumlu olan müşterek borçlular veya kefiller bakımından muacceliyetin gerçekleşeceğini söylemek mümkün değildir. Müeccel borç müflis bakımından iflasın açılmasıyla muaccel </w:t>
            </w:r>
            <w:r w:rsidR="00335C6E" w:rsidRPr="00A23740">
              <w:t>hâ</w:t>
            </w:r>
            <w:r w:rsidR="00593252" w:rsidRPr="00A23740">
              <w:t>le gelirken</w:t>
            </w:r>
            <w:r w:rsidRPr="00A23740">
              <w:t>,</w:t>
            </w:r>
            <w:r w:rsidR="00593252" w:rsidRPr="00A23740">
              <w:t xml:space="preserve"> kefiller veya müşterek borçlular bakımından aynı sonuca ulaşmak mümkün olamayacaktır. Maddenin ilk fıkrasında vurgulanan hususlardan birisi de bizzat borçluya ait bir taşınmazla teminat altına alınan müeccel alacakların iflasın açılmasına rağmen muaccel olmayacağı, bu neviden alacakların muaccel olması için v</w:t>
            </w:r>
            <w:r w:rsidR="001A223D" w:rsidRPr="00A23740">
              <w:t xml:space="preserve">adesinin beklenecek olmasıdır. </w:t>
            </w:r>
          </w:p>
          <w:p w:rsidR="00593252" w:rsidRPr="00A23740" w:rsidRDefault="00593252" w:rsidP="009431FF">
            <w:pPr>
              <w:ind w:firstLine="709"/>
            </w:pPr>
            <w:r w:rsidRPr="00A23740">
              <w:t>İkinci fıkra gereğince de iflasın açılması</w:t>
            </w:r>
            <w:r w:rsidR="005B47B7" w:rsidRPr="00D60C1D">
              <w:rPr>
                <w:rStyle w:val="YELChar"/>
                <w:b w:val="0"/>
                <w:color w:val="000000"/>
              </w:rPr>
              <w:t>yla</w:t>
            </w:r>
            <w:r w:rsidRPr="00A23740">
              <w:t xml:space="preserve"> muaccel h</w:t>
            </w:r>
            <w:r w:rsidR="009D574E" w:rsidRPr="00A23740">
              <w:t>â</w:t>
            </w:r>
            <w:r w:rsidRPr="00A23740">
              <w:t xml:space="preserve">le gelecek </w:t>
            </w:r>
            <w:r w:rsidR="005B47B7" w:rsidRPr="00D60C1D">
              <w:rPr>
                <w:rStyle w:val="YELChar"/>
                <w:b w:val="0"/>
                <w:color w:val="000000"/>
              </w:rPr>
              <w:t>olan</w:t>
            </w:r>
            <w:r w:rsidR="005B47B7" w:rsidRPr="00A23740">
              <w:t xml:space="preserve"> </w:t>
            </w:r>
            <w:r w:rsidRPr="00A23740">
              <w:t>alacak faizli ise</w:t>
            </w:r>
            <w:r w:rsidR="005B47B7" w:rsidRPr="00D60C1D">
              <w:rPr>
                <w:rStyle w:val="YELChar"/>
                <w:b w:val="0"/>
                <w:color w:val="000000"/>
              </w:rPr>
              <w:t>,</w:t>
            </w:r>
            <w:r w:rsidRPr="00A23740">
              <w:t xml:space="preserve"> iflasın açıldığı güne kadar işlemiş olan faizler ile varsa takip masrafları ana paraya eklenerek alacaklı tara</w:t>
            </w:r>
            <w:r w:rsidR="001A223D" w:rsidRPr="00A23740">
              <w:t xml:space="preserve">fından masaya yazdırılacaktır. </w:t>
            </w:r>
          </w:p>
          <w:p w:rsidR="00593252" w:rsidRPr="00A23740" w:rsidRDefault="00593252" w:rsidP="009431FF">
            <w:pPr>
              <w:ind w:firstLine="709"/>
            </w:pPr>
            <w:r w:rsidRPr="00A23740">
              <w:t>İflasın açılmasıyla muaccel h</w:t>
            </w:r>
            <w:r w:rsidR="009D574E" w:rsidRPr="00A23740">
              <w:t>â</w:t>
            </w:r>
            <w:r w:rsidRPr="00A23740">
              <w:t>le gelen müeccel alacak faizsiz ise</w:t>
            </w:r>
            <w:r w:rsidR="005B47B7" w:rsidRPr="00D60C1D">
              <w:rPr>
                <w:rStyle w:val="YELChar"/>
                <w:b w:val="0"/>
                <w:color w:val="000000"/>
              </w:rPr>
              <w:t>,</w:t>
            </w:r>
            <w:r w:rsidRPr="00A23740">
              <w:t xml:space="preserve"> iflasın açıldığı gün ile vade günü arasındaki yıllık kanuni faiz (alacağın niteliğine göre bu faiz adi veya ticari kanuni faiz olabilir) hesaplanarak bu faiz tutarı ala</w:t>
            </w:r>
            <w:r w:rsidR="001A223D" w:rsidRPr="00A23740">
              <w:t xml:space="preserve">cak tutarından indirilecektir. </w:t>
            </w:r>
          </w:p>
          <w:p w:rsidR="0091500F" w:rsidRDefault="00593252" w:rsidP="009431FF">
            <w:pPr>
              <w:ind w:firstLine="709"/>
              <w:rPr>
                <w:rStyle w:val="KIRMIZIChar"/>
                <w:rFonts w:eastAsia="Calibri"/>
              </w:rPr>
            </w:pPr>
            <w:r w:rsidRPr="00A23740">
              <w:t xml:space="preserve">İflasın açılmasının </w:t>
            </w:r>
            <w:r w:rsidR="00506C64" w:rsidRPr="00D60C1D">
              <w:rPr>
                <w:color w:val="000000"/>
              </w:rPr>
              <w:t>kamu</w:t>
            </w:r>
            <w:r w:rsidR="00506C64" w:rsidRPr="00A23740">
              <w:rPr>
                <w:color w:val="385623"/>
              </w:rPr>
              <w:t xml:space="preserve"> </w:t>
            </w:r>
            <w:r w:rsidRPr="00A23740">
              <w:t xml:space="preserve">alacaklarına etkisi ise dördüncü fıkrada düzenlenmiştir. Buna göre </w:t>
            </w:r>
            <w:r w:rsidR="00506C64" w:rsidRPr="00D60C1D">
              <w:rPr>
                <w:color w:val="000000"/>
              </w:rPr>
              <w:t>kamu</w:t>
            </w:r>
            <w:r w:rsidR="00506C64" w:rsidRPr="00A23740">
              <w:rPr>
                <w:color w:val="385623"/>
              </w:rPr>
              <w:t xml:space="preserve"> </w:t>
            </w:r>
            <w:r w:rsidRPr="00A23740">
              <w:t xml:space="preserve">alacağını doğuran olay iflasın açılmasından önce gerçekleşmişse </w:t>
            </w:r>
            <w:r w:rsidR="00506C64" w:rsidRPr="00D60C1D">
              <w:rPr>
                <w:color w:val="000000"/>
              </w:rPr>
              <w:t>kamu</w:t>
            </w:r>
            <w:r w:rsidR="00506C64" w:rsidRPr="00A23740">
              <w:rPr>
                <w:color w:val="385623"/>
              </w:rPr>
              <w:t xml:space="preserve"> </w:t>
            </w:r>
            <w:r w:rsidRPr="00A23740">
              <w:t xml:space="preserve">alacağı masaya </w:t>
            </w:r>
            <w:r w:rsidRPr="00D60C1D">
              <w:rPr>
                <w:rStyle w:val="YELChar"/>
                <w:b w:val="0"/>
                <w:color w:val="000000"/>
              </w:rPr>
              <w:t>yazdırılacak</w:t>
            </w:r>
            <w:r w:rsidR="005B47B7" w:rsidRPr="00D60C1D">
              <w:rPr>
                <w:rStyle w:val="YELChar"/>
                <w:b w:val="0"/>
                <w:color w:val="000000"/>
              </w:rPr>
              <w:t>tır.</w:t>
            </w:r>
            <w:r w:rsidR="005B47B7" w:rsidRPr="00A23740">
              <w:rPr>
                <w:rStyle w:val="KIRMIZIChar"/>
                <w:rFonts w:eastAsia="Calibri"/>
                <w:strike w:val="0"/>
              </w:rPr>
              <w:t xml:space="preserve"> </w:t>
            </w:r>
            <w:r w:rsidRPr="00A23740">
              <w:rPr>
                <w:rStyle w:val="KIRMIZIChar"/>
                <w:rFonts w:eastAsia="Calibri"/>
                <w:strike w:val="0"/>
              </w:rPr>
              <w:t xml:space="preserve"> </w:t>
            </w:r>
          </w:p>
          <w:p w:rsidR="00593252" w:rsidRPr="00A23740" w:rsidRDefault="00593252" w:rsidP="009431FF">
            <w:pPr>
              <w:ind w:firstLine="709"/>
            </w:pPr>
            <w:r w:rsidRPr="00A23740">
              <w:t xml:space="preserve">Maddenin son fıkrasında ise yabancı para alacaklarının iflasın açıldığı gündeki Türkiye Cumhuriyeti Merkez Bankasının efektif satış kuru üzerinden Türk lirası karşılığının masaya yazdırılacağı </w:t>
            </w:r>
            <w:r w:rsidR="00CA6ABA" w:rsidRPr="00A23740">
              <w:t xml:space="preserve"> açıklığa </w:t>
            </w:r>
            <w:r w:rsidRPr="00A23740">
              <w:t xml:space="preserve">kavuşturulmuştur. </w:t>
            </w:r>
            <w:r w:rsidR="005B47B7" w:rsidRPr="00D60C1D">
              <w:rPr>
                <w:rStyle w:val="YELChar"/>
                <w:b w:val="0"/>
                <w:color w:val="000000"/>
              </w:rPr>
              <w:t>2004 sayılı</w:t>
            </w:r>
            <w:r w:rsidR="005B47B7" w:rsidRPr="00A23740">
              <w:t xml:space="preserve"> </w:t>
            </w:r>
            <w:r w:rsidRPr="00A23740">
              <w:t xml:space="preserve">Kanun zamanında yabancı para alacaklarının iflas tarihi </w:t>
            </w:r>
            <w:r w:rsidR="005B47B7" w:rsidRPr="00D60C1D">
              <w:rPr>
                <w:rStyle w:val="YELChar"/>
                <w:b w:val="0"/>
                <w:color w:val="000000"/>
              </w:rPr>
              <w:t>itibarıyla</w:t>
            </w:r>
            <w:r w:rsidR="005B47B7" w:rsidRPr="00A23740">
              <w:t xml:space="preserve"> </w:t>
            </w:r>
            <w:r w:rsidRPr="00A23740">
              <w:t xml:space="preserve">Türk lirası karşılığının masaya kaydedileceğine ilişkin açık bir hüküm bulunmamasına rağmen uygulama bu şekilde gelişmiş ve bu uygulama </w:t>
            </w:r>
            <w:r w:rsidR="005B47B7" w:rsidRPr="00D60C1D">
              <w:rPr>
                <w:rStyle w:val="YELChar"/>
                <w:b w:val="0"/>
                <w:color w:val="000000"/>
              </w:rPr>
              <w:t>Taslakta</w:t>
            </w:r>
            <w:r w:rsidR="005B47B7" w:rsidRPr="00A23740">
              <w:t xml:space="preserve"> </w:t>
            </w:r>
            <w:r w:rsidRPr="00A23740">
              <w:t>açık bir kanun maddesi h</w:t>
            </w:r>
            <w:r w:rsidR="00947548" w:rsidRPr="00A23740">
              <w:t>â</w:t>
            </w:r>
            <w:r w:rsidRPr="00A23740">
              <w:t>lini almıştır.</w:t>
            </w:r>
          </w:p>
          <w:p w:rsidR="00462BE9" w:rsidRPr="00A23740" w:rsidRDefault="00462BE9" w:rsidP="00B43502">
            <w:pPr>
              <w:ind w:firstLine="709"/>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Faiz</w:t>
            </w:r>
            <w:r w:rsidRPr="00A23740">
              <w:rPr>
                <w:rStyle w:val="KIRMIZIChar"/>
                <w:rFonts w:eastAsia="Calibri"/>
              </w:rPr>
              <w:t>:</w:t>
            </w:r>
          </w:p>
          <w:p w:rsidR="00AA5C8C" w:rsidRPr="00A23740" w:rsidRDefault="00AA5C8C" w:rsidP="009431FF">
            <w:pPr>
              <w:tabs>
                <w:tab w:val="left" w:pos="567"/>
              </w:tabs>
              <w:rPr>
                <w:b/>
                <w:szCs w:val="24"/>
              </w:rPr>
            </w:pPr>
            <w:r w:rsidRPr="00A23740">
              <w:rPr>
                <w:rStyle w:val="KIRMIZIChar"/>
                <w:rFonts w:eastAsia="Calibri"/>
              </w:rPr>
              <w:t>Madde 196 – (1) (Değişik</w:t>
            </w:r>
            <w:r w:rsidRPr="00A23740">
              <w:rPr>
                <w:b/>
                <w:strike/>
                <w:color w:val="FF0000"/>
                <w:szCs w:val="24"/>
              </w:rPr>
              <w:t>: 9/11/1988 - 3494/42 md.)</w:t>
            </w:r>
          </w:p>
          <w:p w:rsidR="00AA5C8C" w:rsidRPr="00A23740" w:rsidRDefault="00AA5C8C" w:rsidP="009431FF">
            <w:pPr>
              <w:tabs>
                <w:tab w:val="left" w:pos="567"/>
              </w:tabs>
              <w:rPr>
                <w:rStyle w:val="KIRMIZIChar"/>
                <w:rFonts w:eastAsia="Calibri"/>
              </w:rPr>
            </w:pPr>
            <w:r w:rsidRPr="00A23740">
              <w:rPr>
                <w:szCs w:val="24"/>
              </w:rPr>
              <w:t xml:space="preserve">İflasın </w:t>
            </w:r>
            <w:r w:rsidRPr="00A23740">
              <w:t>açılması ile</w:t>
            </w:r>
            <w:r w:rsidRPr="00A23740">
              <w:rPr>
                <w:rStyle w:val="KIRMIZIChar"/>
                <w:rFonts w:eastAsia="Calibri"/>
                <w:strike w:val="0"/>
              </w:rPr>
              <w:t xml:space="preserve"> </w:t>
            </w:r>
            <w:r w:rsidRPr="00A23740">
              <w:rPr>
                <w:rStyle w:val="KIRMIZIChar"/>
                <w:rFonts w:eastAsia="Calibri"/>
              </w:rPr>
              <w:t>birlikte,</w:t>
            </w:r>
            <w:r w:rsidRPr="00A23740">
              <w:rPr>
                <w:szCs w:val="24"/>
              </w:rPr>
              <w:t xml:space="preserve"> iflas </w:t>
            </w:r>
            <w:r w:rsidRPr="00A23740">
              <w:rPr>
                <w:rStyle w:val="KIRMIZIChar"/>
                <w:rFonts w:eastAsia="Calibri"/>
              </w:rPr>
              <w:t>masasına giren</w:t>
            </w:r>
            <w:r w:rsidRPr="00A23740">
              <w:rPr>
                <w:szCs w:val="24"/>
              </w:rPr>
              <w:t xml:space="preserve"> alacaklar</w:t>
            </w:r>
            <w:r w:rsidRPr="00A23740">
              <w:rPr>
                <w:rStyle w:val="KIRMIZIChar"/>
                <w:rFonts w:eastAsia="Calibri"/>
              </w:rPr>
              <w:t>da</w:t>
            </w:r>
            <w:r w:rsidRPr="00A23740">
              <w:rPr>
                <w:szCs w:val="24"/>
              </w:rPr>
              <w:t xml:space="preserve"> faiz </w:t>
            </w:r>
            <w:r w:rsidRPr="00A23740">
              <w:t>işlemeye devam eder.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91500F">
              <w:rPr>
                <w:rStyle w:val="KIRMIZIChar"/>
                <w:rFonts w:eastAsia="Calibri"/>
              </w:rPr>
              <w:t>) Rehinle temin edilmemiş alacaklarda ticari olmayan işlerdeki faiz oranı uygulanır.</w:t>
            </w:r>
          </w:p>
          <w:p w:rsidR="00AA5C8C" w:rsidRPr="00A23740" w:rsidRDefault="00AA5C8C" w:rsidP="009431FF">
            <w:pPr>
              <w:tabs>
                <w:tab w:val="left" w:pos="567"/>
              </w:tabs>
              <w:rPr>
                <w:szCs w:val="24"/>
              </w:rPr>
            </w:pPr>
          </w:p>
          <w:p w:rsidR="00C42DF2" w:rsidRPr="00A23740" w:rsidRDefault="00C42DF2" w:rsidP="009431FF">
            <w:pPr>
              <w:tabs>
                <w:tab w:val="left" w:pos="567"/>
              </w:tabs>
              <w:rPr>
                <w:szCs w:val="24"/>
              </w:rPr>
            </w:pPr>
          </w:p>
          <w:p w:rsidR="00AA5C8C"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pStyle w:val="KIRMIZI"/>
            </w:pPr>
            <w:r w:rsidRPr="0091500F">
              <w:rPr>
                <w:rFonts w:eastAsia="Calibri"/>
              </w:rPr>
              <w:t>(3) Ancak,</w:t>
            </w:r>
            <w:r w:rsidRPr="0091500F">
              <w:t xml:space="preserve"> bu maddeye</w:t>
            </w:r>
            <w:r w:rsidRPr="00A23740">
              <w:t xml:space="preserve"> göre alacaklılara tahakkuk edecek faiz ödemeleri, 195 inci maddeye göre hesaplanan ana paralar ödendikten sonra bakiyesi üzerinden yapılır.</w:t>
            </w:r>
          </w:p>
        </w:tc>
        <w:tc>
          <w:tcPr>
            <w:tcW w:w="2500" w:type="pct"/>
          </w:tcPr>
          <w:p w:rsidR="00AA5C8C" w:rsidRPr="00A23740" w:rsidRDefault="00AA5C8C" w:rsidP="009431FF">
            <w:pPr>
              <w:tabs>
                <w:tab w:val="left" w:pos="567"/>
              </w:tabs>
              <w:rPr>
                <w:szCs w:val="24"/>
              </w:rPr>
            </w:pPr>
            <w:r w:rsidRPr="00A23740">
              <w:rPr>
                <w:b/>
                <w:szCs w:val="24"/>
              </w:rPr>
              <w:t>Faiz</w:t>
            </w:r>
          </w:p>
          <w:p w:rsidR="00AA5C8C" w:rsidRPr="00A23740" w:rsidRDefault="00AA2F67" w:rsidP="009431FF">
            <w:pPr>
              <w:pStyle w:val="KIRMIZI"/>
              <w:rPr>
                <w:rStyle w:val="MaviChar"/>
                <w:rFonts w:eastAsia="Calibri"/>
                <w:b/>
                <w:strike w:val="0"/>
              </w:rPr>
            </w:pPr>
            <w:r w:rsidRPr="00A23740">
              <w:rPr>
                <w:rStyle w:val="MaviChar"/>
                <w:rFonts w:eastAsia="Calibri"/>
                <w:b/>
                <w:strike w:val="0"/>
              </w:rPr>
              <w:t>MADDE 306</w:t>
            </w:r>
            <w:r w:rsidR="00AA5C8C" w:rsidRPr="00A23740">
              <w:rPr>
                <w:rStyle w:val="MaviChar"/>
                <w:rFonts w:eastAsia="Calibri"/>
                <w:b/>
                <w:strike w:val="0"/>
              </w:rPr>
              <w:t xml:space="preserve">- </w:t>
            </w:r>
            <w:r w:rsidR="00AA5C8C" w:rsidRPr="00A23740">
              <w:rPr>
                <w:rStyle w:val="YELChar"/>
                <w:strike w:val="0"/>
              </w:rPr>
              <w:t xml:space="preserve"> </w:t>
            </w:r>
            <w:r w:rsidR="00AA5C8C" w:rsidRPr="00A23740">
              <w:rPr>
                <w:rStyle w:val="MaviChar"/>
                <w:rFonts w:eastAsia="Calibri"/>
                <w:b/>
                <w:bCs/>
                <w:strike w:val="0"/>
                <w:lang w:val="tr-TR"/>
              </w:rPr>
              <w:t>(1)</w:t>
            </w:r>
            <w:r w:rsidR="00AA5C8C" w:rsidRPr="00A23740">
              <w:rPr>
                <w:rStyle w:val="YELChar"/>
                <w:b/>
                <w:bCs w:val="0"/>
                <w:strike w:val="0"/>
                <w:lang w:val="tr-TR"/>
              </w:rPr>
              <w:t xml:space="preserve"> </w:t>
            </w:r>
            <w:r w:rsidR="00AA5C8C" w:rsidRPr="00A23740">
              <w:rPr>
                <w:rFonts w:eastAsia="Calibri"/>
                <w:b w:val="0"/>
                <w:bCs w:val="0"/>
                <w:strike w:val="0"/>
                <w:color w:val="auto"/>
                <w:lang w:val="tr-TR" w:eastAsia="en-US"/>
              </w:rPr>
              <w:t>İflasın açılması ile iflas alacaklar</w:t>
            </w:r>
            <w:r w:rsidR="00AA5C8C" w:rsidRPr="00A23740">
              <w:rPr>
                <w:rStyle w:val="MaviChar"/>
                <w:rFonts w:eastAsia="ヒラギノ明朝 Pro W3"/>
                <w:b/>
                <w:strike w:val="0"/>
                <w:lang w:val="tr-TR" w:eastAsia="en-US"/>
              </w:rPr>
              <w:t>ına</w:t>
            </w:r>
            <w:r w:rsidR="00AA5C8C" w:rsidRPr="00A23740">
              <w:rPr>
                <w:rFonts w:eastAsia="Calibri"/>
                <w:b w:val="0"/>
                <w:bCs w:val="0"/>
                <w:strike w:val="0"/>
                <w:color w:val="auto"/>
                <w:lang w:val="tr-TR" w:eastAsia="en-US"/>
              </w:rPr>
              <w:t xml:space="preserve"> faiz işlemeye devam eder.</w:t>
            </w:r>
            <w:r w:rsidR="00AA5C8C" w:rsidRPr="00A23740">
              <w:rPr>
                <w:rStyle w:val="YELChar"/>
                <w:b/>
                <w:bCs w:val="0"/>
                <w:strike w:val="0"/>
                <w:lang w:val="tr-TR"/>
              </w:rPr>
              <w:t xml:space="preserve"> </w:t>
            </w:r>
            <w:r w:rsidR="00AA5C8C" w:rsidRPr="00A23740">
              <w:rPr>
                <w:rStyle w:val="MaviChar"/>
                <w:rFonts w:eastAsia="Calibri"/>
                <w:b/>
                <w:strike w:val="0"/>
              </w:rPr>
              <w:t>Şu kadar ki</w:t>
            </w:r>
            <w:r w:rsidR="00AA5C8C" w:rsidRPr="00A23740">
              <w:rPr>
                <w:rStyle w:val="MaviChar"/>
                <w:rFonts w:eastAsia="Calibri"/>
                <w:b/>
                <w:strike w:val="0"/>
                <w:lang w:val="tr-TR"/>
              </w:rPr>
              <w:t>,</w:t>
            </w:r>
            <w:r w:rsidR="00AA5C8C" w:rsidRPr="00A23740">
              <w:rPr>
                <w:rStyle w:val="MaviChar"/>
                <w:rFonts w:eastAsia="Calibri"/>
                <w:b/>
                <w:strike w:val="0"/>
              </w:rPr>
              <w:t xml:space="preserve"> alacaklılara ödenecek faiz bakımından kanuni faiz oranları dikkate alınır; alacaklılara ana paraların tamamı ödendikten sonra</w:t>
            </w:r>
            <w:r w:rsidR="009F3E36" w:rsidRPr="00E10BE3">
              <w:rPr>
                <w:rStyle w:val="MaviChar"/>
                <w:rFonts w:eastAsia="Calibri"/>
                <w:b/>
                <w:strike w:val="0"/>
              </w:rPr>
              <w:t xml:space="preserve"> bir</w:t>
            </w:r>
            <w:r w:rsidR="00AA5C8C" w:rsidRPr="00A23740">
              <w:rPr>
                <w:rStyle w:val="MaviChar"/>
                <w:rFonts w:eastAsia="Calibri"/>
                <w:b/>
                <w:strike w:val="0"/>
              </w:rPr>
              <w:t xml:space="preserve"> bakiye </w:t>
            </w:r>
            <w:r w:rsidR="009F3E36" w:rsidRPr="00E10BE3">
              <w:rPr>
                <w:rStyle w:val="MaviChar"/>
                <w:rFonts w:eastAsia="Calibri"/>
                <w:b/>
                <w:strike w:val="0"/>
              </w:rPr>
              <w:t>kalması</w:t>
            </w:r>
            <w:r w:rsidR="009F3E36" w:rsidRPr="00A23740">
              <w:rPr>
                <w:rStyle w:val="MaviChar"/>
                <w:rFonts w:eastAsia="Calibri"/>
                <w:b/>
                <w:strike w:val="0"/>
                <w:lang w:val="tr-TR"/>
              </w:rPr>
              <w:t xml:space="preserve"> </w:t>
            </w:r>
            <w:r w:rsidR="00AA5C8C" w:rsidRPr="00A23740">
              <w:rPr>
                <w:rStyle w:val="MaviChar"/>
                <w:rFonts w:eastAsia="Calibri"/>
                <w:b/>
                <w:strike w:val="0"/>
              </w:rPr>
              <w:t>h</w:t>
            </w:r>
            <w:r w:rsidR="009D574E" w:rsidRPr="00A23740">
              <w:rPr>
                <w:rStyle w:val="MaviChar"/>
                <w:rFonts w:eastAsia="Calibri"/>
                <w:b/>
                <w:strike w:val="0"/>
                <w:lang w:val="tr-TR"/>
              </w:rPr>
              <w:t>â</w:t>
            </w:r>
            <w:r w:rsidR="00AA5C8C" w:rsidRPr="00A23740">
              <w:rPr>
                <w:rStyle w:val="MaviChar"/>
                <w:rFonts w:eastAsia="Calibri"/>
                <w:b/>
                <w:strike w:val="0"/>
              </w:rPr>
              <w:t xml:space="preserve">linde </w:t>
            </w:r>
            <w:r w:rsidR="00947548" w:rsidRPr="00E10BE3">
              <w:rPr>
                <w:rStyle w:val="Balk1Char"/>
                <w:rFonts w:eastAsia="Calibri"/>
                <w:b/>
                <w:strike w:val="0"/>
              </w:rPr>
              <w:t>306 ncı</w:t>
            </w:r>
            <w:r w:rsidR="00947548" w:rsidRPr="00A23740">
              <w:rPr>
                <w:rStyle w:val="MaviChar"/>
                <w:rFonts w:eastAsia="Calibri"/>
                <w:b/>
                <w:strike w:val="0"/>
                <w:lang w:val="tr-TR"/>
              </w:rPr>
              <w:t xml:space="preserve"> </w:t>
            </w:r>
            <w:r w:rsidR="00AA5C8C" w:rsidRPr="00A23740">
              <w:rPr>
                <w:rStyle w:val="MaviChar"/>
                <w:rFonts w:eastAsia="Calibri"/>
                <w:b/>
                <w:strike w:val="0"/>
              </w:rPr>
              <w:t>madde</w:t>
            </w:r>
            <w:r w:rsidR="009F3E36" w:rsidRPr="00E10BE3">
              <w:rPr>
                <w:rStyle w:val="MaviChar"/>
                <w:rFonts w:eastAsia="Calibri"/>
                <w:b/>
              </w:rPr>
              <w:t>de</w:t>
            </w:r>
            <w:r w:rsidR="00AA5C8C" w:rsidRPr="00A23740">
              <w:rPr>
                <w:rStyle w:val="MaviChar"/>
                <w:rFonts w:eastAsia="Calibri"/>
                <w:b/>
                <w:strike w:val="0"/>
              </w:rPr>
              <w:t xml:space="preserve">ki esaslara göre faiz ödenir. Bu esaslar dahilinde dağıtım </w:t>
            </w:r>
            <w:r w:rsidR="009F3E36" w:rsidRPr="00E10BE3">
              <w:rPr>
                <w:rStyle w:val="Balk1Char"/>
                <w:rFonts w:eastAsia="ヒラギノ明朝 Pro W3"/>
                <w:b/>
                <w:strike w:val="0"/>
              </w:rPr>
              <w:t>yapıldıktan sonra</w:t>
            </w:r>
            <w:r w:rsidR="009F3E36" w:rsidRPr="00E10BE3">
              <w:rPr>
                <w:rStyle w:val="Balk1Char"/>
                <w:rFonts w:eastAsia="Calibri"/>
                <w:b/>
                <w:strike w:val="0"/>
              </w:rPr>
              <w:t xml:space="preserve"> </w:t>
            </w:r>
            <w:r w:rsidR="00AA5C8C" w:rsidRPr="00A23740">
              <w:rPr>
                <w:rStyle w:val="MaviChar"/>
                <w:rFonts w:eastAsia="Calibri"/>
                <w:b/>
                <w:strike w:val="0"/>
              </w:rPr>
              <w:t>iflas masasında</w:t>
            </w:r>
            <w:r w:rsidR="00AA5C8C" w:rsidRPr="00E10BE3">
              <w:rPr>
                <w:rStyle w:val="Balk1Char"/>
                <w:rFonts w:eastAsia="Calibri"/>
                <w:b/>
                <w:strike w:val="0"/>
              </w:rPr>
              <w:t xml:space="preserve"> </w:t>
            </w:r>
            <w:r w:rsidR="009F3E36" w:rsidRPr="00E10BE3">
              <w:rPr>
                <w:rStyle w:val="Balk1Char"/>
                <w:rFonts w:eastAsia="ヒラギノ明朝 Pro W3"/>
                <w:b/>
                <w:strike w:val="0"/>
              </w:rPr>
              <w:t>bir</w:t>
            </w:r>
            <w:r w:rsidR="009F3E36" w:rsidRPr="00A23740">
              <w:rPr>
                <w:rStyle w:val="MaviChar"/>
                <w:rFonts w:eastAsia="Calibri"/>
                <w:b/>
                <w:strike w:val="0"/>
                <w:lang w:val="tr-TR"/>
              </w:rPr>
              <w:t xml:space="preserve"> </w:t>
            </w:r>
            <w:r w:rsidR="00AA5C8C" w:rsidRPr="00A23740">
              <w:rPr>
                <w:rStyle w:val="MaviChar"/>
                <w:rFonts w:eastAsia="Calibri"/>
                <w:b/>
                <w:strike w:val="0"/>
              </w:rPr>
              <w:t>bakiye kalırsa</w:t>
            </w:r>
            <w:r w:rsidR="009F3E36" w:rsidRPr="00E10BE3">
              <w:rPr>
                <w:rStyle w:val="Balk1Char"/>
                <w:rFonts w:eastAsia="ヒラギノ明朝 Pro W3"/>
                <w:b/>
                <w:strike w:val="0"/>
              </w:rPr>
              <w:t>,</w:t>
            </w:r>
            <w:r w:rsidR="00AA5C8C" w:rsidRPr="00A23740">
              <w:rPr>
                <w:rStyle w:val="MaviChar"/>
                <w:rFonts w:eastAsia="Calibri"/>
                <w:b/>
                <w:strike w:val="0"/>
              </w:rPr>
              <w:t xml:space="preserve"> bu bakiye kanuni</w:t>
            </w:r>
            <w:r w:rsidR="008B4B76" w:rsidRPr="00A23740">
              <w:rPr>
                <w:rStyle w:val="MaviChar"/>
                <w:rFonts w:eastAsia="Calibri"/>
                <w:b/>
                <w:strike w:val="0"/>
                <w:lang w:val="tr-TR"/>
              </w:rPr>
              <w:t xml:space="preserve"> </w:t>
            </w:r>
            <w:r w:rsidR="008B4B76" w:rsidRPr="00E10BE3">
              <w:rPr>
                <w:rStyle w:val="MaviChar"/>
                <w:rFonts w:eastAsia="Calibri"/>
                <w:b/>
                <w:strike w:val="0"/>
              </w:rPr>
              <w:t>faiz</w:t>
            </w:r>
            <w:r w:rsidR="008B4B76" w:rsidRPr="00A23740">
              <w:rPr>
                <w:rStyle w:val="YELChar"/>
                <w:b/>
                <w:strike w:val="0"/>
              </w:rPr>
              <w:t xml:space="preserve"> </w:t>
            </w:r>
            <w:r w:rsidR="008B4B76" w:rsidRPr="00E10BE3">
              <w:rPr>
                <w:rStyle w:val="Balk1Char"/>
                <w:rFonts w:eastAsia="ヒラギノ明朝 Pro W3"/>
                <w:b/>
                <w:strike w:val="0"/>
              </w:rPr>
              <w:t>oranından</w:t>
            </w:r>
            <w:r w:rsidR="00AA5C8C" w:rsidRPr="00A23740">
              <w:rPr>
                <w:rStyle w:val="MaviChar"/>
                <w:rFonts w:eastAsia="Calibri"/>
                <w:b/>
                <w:strike w:val="0"/>
              </w:rPr>
              <w:t xml:space="preserve"> daha yüksek</w:t>
            </w:r>
            <w:r w:rsidR="008B4B76" w:rsidRPr="00A23740">
              <w:rPr>
                <w:rStyle w:val="MaviChar"/>
                <w:rFonts w:eastAsia="Calibri"/>
                <w:b/>
                <w:strike w:val="0"/>
                <w:lang w:val="tr-TR"/>
              </w:rPr>
              <w:t xml:space="preserve"> </w:t>
            </w:r>
            <w:r w:rsidR="008B4B76" w:rsidRPr="00E10BE3">
              <w:rPr>
                <w:rStyle w:val="MaviChar"/>
                <w:rFonts w:eastAsia="Calibri"/>
                <w:b/>
                <w:strike w:val="0"/>
              </w:rPr>
              <w:t>oranda</w:t>
            </w:r>
            <w:r w:rsidR="00AA5C8C" w:rsidRPr="00E10BE3">
              <w:rPr>
                <w:rStyle w:val="MaviChar"/>
                <w:rFonts w:eastAsia="Calibri"/>
                <w:b/>
                <w:strike w:val="0"/>
              </w:rPr>
              <w:t xml:space="preserve"> akdi</w:t>
            </w:r>
            <w:r w:rsidR="00AA5C8C" w:rsidRPr="00A23740">
              <w:rPr>
                <w:rStyle w:val="MaviChar"/>
                <w:rFonts w:eastAsia="Calibri"/>
                <w:b/>
                <w:strike w:val="0"/>
              </w:rPr>
              <w:t xml:space="preserve"> temerrüt faizi talep </w:t>
            </w:r>
            <w:r w:rsidR="008B4B76" w:rsidRPr="00E10BE3">
              <w:rPr>
                <w:rStyle w:val="MaviChar"/>
                <w:rFonts w:eastAsia="Calibri"/>
                <w:b/>
                <w:strike w:val="0"/>
              </w:rPr>
              <w:t xml:space="preserve">edebilecek </w:t>
            </w:r>
            <w:r w:rsidR="00AA5C8C" w:rsidRPr="00A23740">
              <w:rPr>
                <w:rStyle w:val="MaviChar"/>
                <w:rFonts w:eastAsia="Calibri"/>
                <w:b/>
                <w:strike w:val="0"/>
              </w:rPr>
              <w:t>alacaklıların faiz alacaklarının ödenmesinde kullanılır.</w:t>
            </w:r>
          </w:p>
          <w:p w:rsidR="009134D3" w:rsidRPr="00A23740" w:rsidRDefault="009134D3" w:rsidP="009431FF">
            <w:pPr>
              <w:tabs>
                <w:tab w:val="left" w:pos="567"/>
              </w:tabs>
              <w:rPr>
                <w:b/>
                <w:color w:val="0000FF"/>
                <w:szCs w:val="24"/>
              </w:rPr>
            </w:pPr>
          </w:p>
          <w:p w:rsidR="009134D3" w:rsidRDefault="009134D3" w:rsidP="009431FF">
            <w:pPr>
              <w:tabs>
                <w:tab w:val="left" w:pos="567"/>
              </w:tabs>
              <w:rPr>
                <w:b/>
                <w:color w:val="0000FF"/>
                <w:szCs w:val="24"/>
              </w:rPr>
            </w:pPr>
            <w:r w:rsidRPr="00E10BE3">
              <w:rPr>
                <w:b/>
                <w:color w:val="0000FF"/>
              </w:rPr>
              <w:t>(2) Kamu</w:t>
            </w:r>
            <w:r w:rsidRPr="00E10BE3">
              <w:rPr>
                <w:b/>
                <w:color w:val="0000FF"/>
                <w:szCs w:val="24"/>
              </w:rPr>
              <w:t xml:space="preserve"> alacaklarına</w:t>
            </w:r>
            <w:r w:rsidRPr="00A23740">
              <w:rPr>
                <w:b/>
                <w:color w:val="0000FF"/>
                <w:szCs w:val="24"/>
              </w:rPr>
              <w:t xml:space="preserve"> iflasın açılmasından sonra, ticari olmayan işlerdeki kanuni temerrüt faizi işletilir. Bu faizin ödenmesi de birinci fıkra hükümlerine göre olur.</w:t>
            </w:r>
          </w:p>
          <w:p w:rsidR="00B43502" w:rsidRPr="00A23740" w:rsidRDefault="00B43502" w:rsidP="009431FF">
            <w:pPr>
              <w:tabs>
                <w:tab w:val="left" w:pos="567"/>
              </w:tabs>
              <w:rPr>
                <w:b/>
                <w:color w:val="0000FF"/>
                <w:szCs w:val="24"/>
              </w:rPr>
            </w:pPr>
          </w:p>
          <w:p w:rsidR="00B57933" w:rsidRPr="00A23740" w:rsidRDefault="00B57933" w:rsidP="009431FF">
            <w:pPr>
              <w:pStyle w:val="KIRMIZI"/>
              <w:rPr>
                <w:strike w:val="0"/>
                <w:lang w:val="tr-TR"/>
              </w:rPr>
            </w:pPr>
          </w:p>
        </w:tc>
      </w:tr>
      <w:tr w:rsidR="0059325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A7EB8" w:rsidRPr="00A23740" w:rsidRDefault="00DA7EB8" w:rsidP="009431FF">
            <w:pPr>
              <w:tabs>
                <w:tab w:val="left" w:pos="567"/>
              </w:tabs>
              <w:ind w:firstLine="709"/>
              <w:rPr>
                <w:b/>
              </w:rPr>
            </w:pPr>
          </w:p>
          <w:p w:rsidR="00593252" w:rsidRPr="00A23740" w:rsidRDefault="00AA2F67" w:rsidP="009431FF">
            <w:pPr>
              <w:tabs>
                <w:tab w:val="left" w:pos="567"/>
              </w:tabs>
              <w:ind w:firstLine="709"/>
              <w:rPr>
                <w:b/>
                <w:szCs w:val="24"/>
              </w:rPr>
            </w:pPr>
            <w:r w:rsidRPr="00A23740">
              <w:rPr>
                <w:b/>
              </w:rPr>
              <w:t>MADDE 306</w:t>
            </w:r>
            <w:r w:rsidR="00DA7EB8" w:rsidRPr="00A23740">
              <w:rPr>
                <w:b/>
              </w:rPr>
              <w:t>-</w:t>
            </w:r>
            <w:r w:rsidR="00DA7EB8" w:rsidRPr="00A23740">
              <w:t xml:space="preserve"> Maddeyle, faize ilişkin</w:t>
            </w:r>
            <w:r w:rsidR="00DA7EB8" w:rsidRPr="00A23740">
              <w:rPr>
                <w:szCs w:val="24"/>
              </w:rPr>
              <w:t xml:space="preserve"> hususlar düzenlenmektedir. Hüküm, 2004 sayılı Kanunun 196 ncı maddesine karşılık gelmektedir.</w:t>
            </w:r>
            <w:r w:rsidR="00DA7EB8" w:rsidRPr="00A23740">
              <w:rPr>
                <w:b/>
                <w:szCs w:val="24"/>
              </w:rPr>
              <w:t xml:space="preserve"> </w:t>
            </w:r>
          </w:p>
          <w:p w:rsidR="00593252" w:rsidRPr="00A23740" w:rsidRDefault="00593252" w:rsidP="009431FF">
            <w:pPr>
              <w:ind w:firstLine="709"/>
            </w:pPr>
            <w:r w:rsidRPr="00A23740">
              <w:t xml:space="preserve">Maddede iflasın açılmasının faiz alacaklarına etkisi düzenleme konusu yapılmıştır. Maddenin ilk fıkrasına göre iflas alacaklarına iflasın açılmasından sonra da faiz işlemeye devam edecektir. İşlemeye devam </w:t>
            </w:r>
            <w:r w:rsidR="00B57933" w:rsidRPr="00A23740">
              <w:t>eden bu faiz i</w:t>
            </w:r>
            <w:r w:rsidR="00B57933" w:rsidRPr="00E10BE3">
              <w:t>se</w:t>
            </w:r>
            <w:r w:rsidR="00C35BF4" w:rsidRPr="00E10BE3">
              <w:t>,</w:t>
            </w:r>
            <w:r w:rsidR="00B57933" w:rsidRPr="00E10BE3">
              <w:t xml:space="preserve"> kanuni faizdir (alacağın niteliğine göre bu faiz adi veya ticari kanuni faiz olabilir).</w:t>
            </w:r>
            <w:r w:rsidR="00B57933" w:rsidRPr="00A23740">
              <w:t xml:space="preserve"> </w:t>
            </w:r>
            <w:r w:rsidRPr="00A23740">
              <w:t xml:space="preserve"> İflas alacaklarına kanuni faizin ö</w:t>
            </w:r>
            <w:r w:rsidR="00061342" w:rsidRPr="00A23740">
              <w:t>denebilmesinin temel koşulu ise</w:t>
            </w:r>
            <w:r w:rsidR="00C35BF4" w:rsidRPr="00A23740">
              <w:t>,</w:t>
            </w:r>
            <w:r w:rsidR="00061342" w:rsidRPr="00A23740">
              <w:t xml:space="preserve"> tüm alacaklılara alacaklarının</w:t>
            </w:r>
            <w:r w:rsidRPr="00A23740">
              <w:t xml:space="preserve"> ana paralarının ödenmiş olmasıdır. Tüm iflas alacaklılarının ana paraları ödendikten sonra bu alacaklılara kanuni faiz ödemesi yapılacaktır. Alacaklılara kanuni faiz ödenmesinden sonra masada h</w:t>
            </w:r>
            <w:r w:rsidR="00880534" w:rsidRPr="00A23740">
              <w:t>â</w:t>
            </w:r>
            <w:r w:rsidRPr="00A23740">
              <w:t>la para bulunması h</w:t>
            </w:r>
            <w:r w:rsidR="009D574E" w:rsidRPr="00A23740">
              <w:t>â</w:t>
            </w:r>
            <w:r w:rsidRPr="00A23740">
              <w:t xml:space="preserve">linde bu bakiye kanuni faizden daha yüksek akdi temerrüt faizi talep </w:t>
            </w:r>
            <w:r w:rsidR="00061342" w:rsidRPr="00E10BE3">
              <w:t xml:space="preserve">edebilecek </w:t>
            </w:r>
            <w:r w:rsidRPr="00A23740">
              <w:t>alacaklıların tahakkuk eden faiz alacaklarının ödenmesinde kullanılacaktır. Bu fıkra gereğince dikkat edilecek husus, alacaklıların ana para ödemeleri yapıldıktan sonra bakiye tutarın alacaklıların kanuni faiz alacaklarının tamamını karşılamaya yetmemesi durumunda faiz ödemesinin garameten yapılacak olmadır. Benzer şekilde kanuni faiz ödemeleri yapıldıktan sonra h</w:t>
            </w:r>
            <w:r w:rsidR="00880534" w:rsidRPr="00A23740">
              <w:t>â</w:t>
            </w:r>
            <w:r w:rsidRPr="00A23740">
              <w:t>la bakiye bir tutarın kalması ve bu tutarın akdi faizlerin tamamını karşılamaya yetmemesi h</w:t>
            </w:r>
            <w:r w:rsidR="009D574E" w:rsidRPr="00A23740">
              <w:t>â</w:t>
            </w:r>
            <w:r w:rsidRPr="00A23740">
              <w:t>linde bakiye tutar garam</w:t>
            </w:r>
            <w:r w:rsidR="00DA7EB8" w:rsidRPr="00A23740">
              <w:t xml:space="preserve">eten alacaklılara ödenecektir. </w:t>
            </w:r>
            <w:r w:rsidRPr="00A23740">
              <w:t xml:space="preserve"> </w:t>
            </w:r>
          </w:p>
          <w:p w:rsidR="009134D3" w:rsidRPr="00A23740" w:rsidRDefault="009134D3" w:rsidP="009431FF">
            <w:pPr>
              <w:pStyle w:val="Mavi"/>
              <w:rPr>
                <w:lang w:val="tr-TR"/>
              </w:rPr>
            </w:pPr>
            <w:r w:rsidRPr="00A23740">
              <w:tab/>
            </w:r>
            <w:r w:rsidRPr="00E10BE3">
              <w:rPr>
                <w:b w:val="0"/>
                <w:bCs w:val="0"/>
                <w:color w:val="auto"/>
                <w:szCs w:val="22"/>
                <w:lang w:val="tr-TR" w:eastAsia="en-US"/>
              </w:rPr>
              <w:t xml:space="preserve">Maddenin ikinci fıkrasında, </w:t>
            </w:r>
            <w:r w:rsidR="00C35BF4" w:rsidRPr="00E10BE3">
              <w:rPr>
                <w:b w:val="0"/>
                <w:bCs w:val="0"/>
                <w:color w:val="auto"/>
                <w:szCs w:val="22"/>
                <w:lang w:val="tr-TR" w:eastAsia="en-US"/>
              </w:rPr>
              <w:t xml:space="preserve">2004 sayılı </w:t>
            </w:r>
            <w:r w:rsidRPr="00E10BE3">
              <w:rPr>
                <w:b w:val="0"/>
                <w:bCs w:val="0"/>
                <w:color w:val="auto"/>
                <w:szCs w:val="22"/>
                <w:lang w:val="tr-TR" w:eastAsia="en-US"/>
              </w:rPr>
              <w:t>Kanundan farklı olarak</w:t>
            </w:r>
            <w:r w:rsidR="00C35BF4" w:rsidRPr="00E10BE3">
              <w:rPr>
                <w:b w:val="0"/>
                <w:bCs w:val="0"/>
                <w:color w:val="auto"/>
                <w:szCs w:val="22"/>
                <w:lang w:val="tr-TR" w:eastAsia="en-US"/>
              </w:rPr>
              <w:t>,</w:t>
            </w:r>
            <w:r w:rsidRPr="00E10BE3">
              <w:rPr>
                <w:b w:val="0"/>
                <w:bCs w:val="0"/>
                <w:color w:val="auto"/>
                <w:szCs w:val="22"/>
                <w:lang w:val="tr-TR" w:eastAsia="en-US"/>
              </w:rPr>
              <w:t xml:space="preserve"> kamu alacaklarına iflasın açılmasından sonra temerrüt faizi işletileceği düzenlenmiştir. Fıkrada belirtilen kamu alacaklarının kapsamına vergi alacakları girdiği gibi SGK’nın prim alacakları da girmektedir. Bu düzenlemeyi, 6183 sayılı Kanunun 52 nci maddesi</w:t>
            </w:r>
            <w:r w:rsidR="00C35BF4" w:rsidRPr="00E10BE3">
              <w:rPr>
                <w:b w:val="0"/>
                <w:bCs w:val="0"/>
                <w:color w:val="auto"/>
                <w:szCs w:val="22"/>
                <w:lang w:val="tr-TR" w:eastAsia="en-US"/>
              </w:rPr>
              <w:t>yle</w:t>
            </w:r>
            <w:r w:rsidRPr="00E10BE3">
              <w:rPr>
                <w:b w:val="0"/>
                <w:bCs w:val="0"/>
                <w:color w:val="auto"/>
                <w:szCs w:val="22"/>
                <w:lang w:val="tr-TR" w:eastAsia="en-US"/>
              </w:rPr>
              <w:t xml:space="preserve"> birlikte değerlendirmek gerekmektedir. Bahsi geçen düzenlemeye göre, kamu alacağı bakımından gecikme zammı, iflasın açıldığı ana kadar işler. Oysaki kamu alacağı niteliğinde olmayan diğer iflas alacakları bakımından, iflasın açılmasıyla birlikte temerrüt faizi işlemeye devam etmektedir. 306 ncı</w:t>
            </w:r>
            <w:r w:rsidR="00947548" w:rsidRPr="00E10BE3">
              <w:rPr>
                <w:b w:val="0"/>
                <w:bCs w:val="0"/>
                <w:color w:val="auto"/>
                <w:szCs w:val="22"/>
                <w:lang w:val="tr-TR" w:eastAsia="en-US"/>
              </w:rPr>
              <w:t xml:space="preserve"> </w:t>
            </w:r>
            <w:r w:rsidRPr="00E10BE3">
              <w:rPr>
                <w:b w:val="0"/>
                <w:bCs w:val="0"/>
                <w:color w:val="auto"/>
                <w:szCs w:val="22"/>
                <w:lang w:val="tr-TR" w:eastAsia="en-US"/>
              </w:rPr>
              <w:t>maddenin ikinci fıkrasıyla, kamu alacakları ve diğer iflas alacakları arasındaki bu eşitsizlik giderilmiştir. Buna göre, kamu alacakları bakımından iflas açılıncaya kadar kendi ilgili Kanun hükümlerine göre gecikme zammı, iflasın açılmasıyla birlikte ise Cebr</w:t>
            </w:r>
            <w:r w:rsidR="00436506" w:rsidRPr="00E10BE3">
              <w:rPr>
                <w:b w:val="0"/>
                <w:bCs w:val="0"/>
                <w:color w:val="auto"/>
                <w:szCs w:val="22"/>
                <w:lang w:val="tr-TR" w:eastAsia="en-US"/>
              </w:rPr>
              <w:t>î</w:t>
            </w:r>
            <w:r w:rsidRPr="00E10BE3">
              <w:rPr>
                <w:b w:val="0"/>
                <w:bCs w:val="0"/>
                <w:color w:val="auto"/>
                <w:szCs w:val="22"/>
                <w:lang w:val="tr-TR" w:eastAsia="en-US"/>
              </w:rPr>
              <w:t xml:space="preserve"> İcra Kanunu ve 3095 sayılı Kanuni Faiz ve Temerrüt Faizine İlişkin Kanun hükümlerine göre temerrüt faizi işletilecek ve diğer iflas alacaklarıyla bir paralellik sağlanmış olacaktır. Fıkrada, uygulanacak temerrüt faizi oranının, ticari olmayan işlerdeki kanuni faiz olduğu da açık şekilde belirtilmiştir. Kamu alacaklarına işletilecek olan temerrüt faizinin ödenmesi ise</w:t>
            </w:r>
            <w:r w:rsidR="00C35BF4" w:rsidRPr="00E10BE3">
              <w:rPr>
                <w:b w:val="0"/>
                <w:bCs w:val="0"/>
                <w:color w:val="auto"/>
                <w:szCs w:val="22"/>
                <w:lang w:val="tr-TR" w:eastAsia="en-US"/>
              </w:rPr>
              <w:t>,</w:t>
            </w:r>
            <w:r w:rsidRPr="00E10BE3">
              <w:rPr>
                <w:b w:val="0"/>
                <w:bCs w:val="0"/>
                <w:color w:val="auto"/>
                <w:szCs w:val="22"/>
                <w:lang w:val="tr-TR" w:eastAsia="en-US"/>
              </w:rPr>
              <w:t xml:space="preserve"> diğer iflas alacaklarıyla aynı rejime tabi olacak, yani bu fıkraya göre işletilen faizler de 306 ncı</w:t>
            </w:r>
            <w:r w:rsidR="00947548" w:rsidRPr="00A23740">
              <w:rPr>
                <w:lang w:val="tr-TR"/>
              </w:rPr>
              <w:t xml:space="preserve"> </w:t>
            </w:r>
            <w:r w:rsidRPr="00E10BE3">
              <w:rPr>
                <w:b w:val="0"/>
                <w:bCs w:val="0"/>
                <w:color w:val="auto"/>
                <w:szCs w:val="22"/>
                <w:lang w:val="tr-TR" w:eastAsia="en-US"/>
              </w:rPr>
              <w:t>maddenin birinci fıkrasına göre ödenecektir.</w:t>
            </w:r>
          </w:p>
          <w:p w:rsidR="00593252" w:rsidRPr="00A23740" w:rsidRDefault="00593252" w:rsidP="00B43502">
            <w:pPr>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Şarta</w:t>
            </w:r>
            <w:r w:rsidRPr="00A23740">
              <w:rPr>
                <w:strike/>
                <w:color w:val="FF0000"/>
                <w:szCs w:val="24"/>
              </w:rPr>
              <w:t xml:space="preserve"> </w:t>
            </w:r>
            <w:r w:rsidRPr="00A23740">
              <w:rPr>
                <w:b/>
                <w:strike/>
                <w:color w:val="FF0000"/>
                <w:szCs w:val="24"/>
              </w:rPr>
              <w:t>muallak</w:t>
            </w:r>
            <w:r w:rsidRPr="00A23740">
              <w:rPr>
                <w:szCs w:val="24"/>
              </w:rPr>
              <w:t xml:space="preserve"> alacaklar</w:t>
            </w:r>
            <w:r w:rsidRPr="00A23740">
              <w:rPr>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197 – (1)</w:t>
            </w:r>
            <w:r w:rsidRPr="00A23740">
              <w:rPr>
                <w:b/>
                <w:szCs w:val="24"/>
              </w:rPr>
              <w:t xml:space="preserve"> </w:t>
            </w:r>
            <w:r w:rsidRPr="00A23740">
              <w:rPr>
                <w:szCs w:val="24"/>
              </w:rPr>
              <w:t xml:space="preserve">Alacaklı </w:t>
            </w:r>
            <w:r w:rsidRPr="00A23740">
              <w:rPr>
                <w:b/>
                <w:strike/>
                <w:color w:val="FF0000"/>
                <w:szCs w:val="24"/>
              </w:rPr>
              <w:t>talikı</w:t>
            </w:r>
            <w:r w:rsidRPr="00A23740">
              <w:rPr>
                <w:szCs w:val="24"/>
              </w:rPr>
              <w:t xml:space="preserve"> bir şarta veya </w:t>
            </w:r>
            <w:r w:rsidRPr="00A23740">
              <w:rPr>
                <w:b/>
                <w:strike/>
                <w:color w:val="FF0000"/>
                <w:szCs w:val="24"/>
              </w:rPr>
              <w:t>gayri muayyen</w:t>
            </w:r>
            <w:r w:rsidRPr="00A23740">
              <w:rPr>
                <w:szCs w:val="24"/>
              </w:rPr>
              <w:t xml:space="preserve"> bir vadeye </w:t>
            </w:r>
            <w:r w:rsidRPr="00A23740">
              <w:rPr>
                <w:b/>
                <w:strike/>
                <w:color w:val="FF0000"/>
                <w:szCs w:val="24"/>
              </w:rPr>
              <w:t>muallak</w:t>
            </w:r>
            <w:r w:rsidRPr="00A23740">
              <w:rPr>
                <w:szCs w:val="24"/>
              </w:rPr>
              <w:t xml:space="preserve"> bulunan alacağını da kaydettirebilir. Fakat </w:t>
            </w:r>
            <w:r w:rsidRPr="00A23740">
              <w:rPr>
                <w:b/>
                <w:strike/>
                <w:color w:val="FF0000"/>
                <w:szCs w:val="24"/>
              </w:rPr>
              <w:t>hissesini</w:t>
            </w:r>
            <w:r w:rsidRPr="00A23740">
              <w:rPr>
                <w:szCs w:val="24"/>
              </w:rPr>
              <w:t xml:space="preserve"> şart</w:t>
            </w:r>
            <w:r w:rsidRPr="00A23740">
              <w:rPr>
                <w:rStyle w:val="KIRMIZIChar"/>
                <w:rFonts w:eastAsia="Calibri"/>
              </w:rPr>
              <w:t xml:space="preserve">ın </w:t>
            </w:r>
            <w:r w:rsidRPr="00A23740">
              <w:rPr>
                <w:b/>
                <w:strike/>
                <w:color w:val="FF0000"/>
                <w:szCs w:val="24"/>
              </w:rPr>
              <w:t>tahakkukunda</w:t>
            </w:r>
            <w:r w:rsidRPr="00A23740">
              <w:rPr>
                <w:szCs w:val="24"/>
              </w:rPr>
              <w:t xml:space="preserve"> veya vade</w:t>
            </w:r>
            <w:r w:rsidRPr="00A23740">
              <w:rPr>
                <w:b/>
                <w:strike/>
                <w:color w:val="FF0000"/>
                <w:szCs w:val="24"/>
              </w:rPr>
              <w:t>nin hulülünde</w:t>
            </w:r>
            <w:r w:rsidRPr="00A23740">
              <w:rPr>
                <w:b/>
                <w:color w:val="FF0000"/>
                <w:szCs w:val="24"/>
              </w:rPr>
              <w:t xml:space="preserve"> </w:t>
            </w:r>
            <w:r w:rsidRPr="00A23740">
              <w:rPr>
                <w:szCs w:val="24"/>
              </w:rPr>
              <w:t>alır.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(2) Kaydı hayatla irat mukavelenamesinden</w:t>
            </w:r>
            <w:r w:rsidRPr="00A23740">
              <w:rPr>
                <w:b/>
                <w:color w:val="FF0000"/>
                <w:szCs w:val="24"/>
              </w:rPr>
              <w:t xml:space="preserve"> </w:t>
            </w:r>
            <w:r w:rsidRPr="00A23740">
              <w:t>doğan</w:t>
            </w:r>
            <w:r w:rsidRPr="00A23740">
              <w:rPr>
                <w:b/>
                <w:color w:val="FF0000"/>
                <w:szCs w:val="24"/>
              </w:rPr>
              <w:t xml:space="preserve"> </w:t>
            </w:r>
            <w:r w:rsidRPr="00A23740">
              <w:rPr>
                <w:b/>
                <w:strike/>
                <w:color w:val="FF0000"/>
                <w:szCs w:val="24"/>
              </w:rPr>
              <w:t xml:space="preserve">iddialarda </w:t>
            </w:r>
            <w:r w:rsidRPr="00A23740">
              <w:t xml:space="preserve">Borçlar Kanununun </w:t>
            </w:r>
            <w:r w:rsidRPr="00A23740">
              <w:rPr>
                <w:rStyle w:val="KIRMIZIChar"/>
                <w:rFonts w:eastAsia="Calibri"/>
              </w:rPr>
              <w:t>509</w:t>
            </w:r>
            <w:r w:rsidRPr="00A23740">
              <w:t xml:space="preserve"> uncu maddesinin</w:t>
            </w:r>
            <w:r w:rsidRPr="00A23740">
              <w:rPr>
                <w:b/>
                <w:color w:val="FF0000"/>
                <w:szCs w:val="24"/>
              </w:rPr>
              <w:t xml:space="preserve"> </w:t>
            </w:r>
            <w:r w:rsidRPr="00A23740">
              <w:rPr>
                <w:b/>
                <w:strike/>
                <w:color w:val="FF0000"/>
                <w:szCs w:val="24"/>
              </w:rPr>
              <w:t>3 üncü</w:t>
            </w:r>
            <w:r w:rsidRPr="00A23740">
              <w:rPr>
                <w:b/>
                <w:color w:val="FF0000"/>
                <w:szCs w:val="24"/>
              </w:rPr>
              <w:t xml:space="preserve"> </w:t>
            </w:r>
            <w:r w:rsidRPr="00A23740">
              <w:t>fıkrası</w:t>
            </w:r>
            <w:r w:rsidRPr="00A23740">
              <w:rPr>
                <w:b/>
                <w:color w:val="FF0000"/>
                <w:szCs w:val="24"/>
              </w:rPr>
              <w:t xml:space="preserve"> </w:t>
            </w:r>
            <w:r w:rsidRPr="00A23740">
              <w:t>hükmü</w:t>
            </w:r>
            <w:r w:rsidRPr="00A23740">
              <w:rPr>
                <w:b/>
                <w:strike/>
                <w:color w:val="FF0000"/>
                <w:szCs w:val="24"/>
              </w:rPr>
              <w:t xml:space="preserve"> caridir.</w:t>
            </w:r>
          </w:p>
          <w:p w:rsidR="00AA5C8C" w:rsidRPr="00A23740" w:rsidRDefault="00AA5C8C" w:rsidP="009431FF">
            <w:pPr>
              <w:rPr>
                <w:rFonts w:eastAsia="Times New Roman"/>
                <w:color w:val="000000"/>
                <w:szCs w:val="24"/>
                <w:lang w:eastAsia="tr-TR"/>
              </w:rPr>
            </w:pP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Şarta</w:t>
            </w:r>
            <w:r w:rsidR="0059372D" w:rsidRPr="00A23740">
              <w:rPr>
                <w:b/>
                <w:szCs w:val="24"/>
              </w:rPr>
              <w:t xml:space="preserve"> </w:t>
            </w:r>
            <w:r w:rsidR="0059372D" w:rsidRPr="00E10BE3">
              <w:rPr>
                <w:rStyle w:val="Balk1Char"/>
                <w:rFonts w:eastAsia="Calibri"/>
              </w:rPr>
              <w:t>veya belirsiz vadeye</w:t>
            </w:r>
            <w:r w:rsidRPr="00A23740">
              <w:rPr>
                <w:b/>
                <w:szCs w:val="24"/>
              </w:rPr>
              <w:t xml:space="preserve"> </w:t>
            </w:r>
            <w:r w:rsidRPr="00A23740">
              <w:rPr>
                <w:b/>
                <w:color w:val="0000FF"/>
                <w:szCs w:val="24"/>
              </w:rPr>
              <w:t>bağlı</w:t>
            </w:r>
            <w:r w:rsidRPr="00A23740">
              <w:rPr>
                <w:b/>
                <w:szCs w:val="24"/>
              </w:rPr>
              <w:t xml:space="preserve"> alacaklar</w:t>
            </w:r>
          </w:p>
          <w:p w:rsidR="00AA5C8C" w:rsidRPr="00A23740" w:rsidRDefault="00AA2F67" w:rsidP="009431FF">
            <w:pPr>
              <w:tabs>
                <w:tab w:val="left" w:pos="567"/>
              </w:tabs>
              <w:rPr>
                <w:szCs w:val="24"/>
              </w:rPr>
            </w:pPr>
            <w:r w:rsidRPr="00A23740">
              <w:rPr>
                <w:rStyle w:val="MAVChar"/>
                <w:rFonts w:eastAsia="Calibri"/>
                <w:u w:val="none"/>
              </w:rPr>
              <w:t>MADDE 307</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Alacaklı</w:t>
            </w:r>
            <w:r w:rsidR="00AA5C8C" w:rsidRPr="00A23740">
              <w:rPr>
                <w:rStyle w:val="MaviChar"/>
              </w:rPr>
              <w:t>,</w:t>
            </w:r>
            <w:r w:rsidR="00AA5C8C" w:rsidRPr="00A23740">
              <w:rPr>
                <w:szCs w:val="24"/>
              </w:rPr>
              <w:t xml:space="preserve"> </w:t>
            </w:r>
            <w:r w:rsidR="00AA5C8C" w:rsidRPr="00A23740">
              <w:rPr>
                <w:b/>
                <w:color w:val="0000FF"/>
                <w:szCs w:val="24"/>
              </w:rPr>
              <w:t>geciktirici</w:t>
            </w:r>
            <w:r w:rsidR="00AA5C8C" w:rsidRPr="00A23740">
              <w:rPr>
                <w:szCs w:val="24"/>
              </w:rPr>
              <w:t xml:space="preserve"> bir şarta veya </w:t>
            </w:r>
            <w:r w:rsidR="00AA5C8C" w:rsidRPr="00A23740">
              <w:rPr>
                <w:b/>
                <w:color w:val="0000FF"/>
                <w:szCs w:val="24"/>
              </w:rPr>
              <w:t>belirsiz</w:t>
            </w:r>
            <w:r w:rsidR="00AA5C8C" w:rsidRPr="00A23740">
              <w:rPr>
                <w:szCs w:val="24"/>
              </w:rPr>
              <w:t xml:space="preserve"> bir vadeye </w:t>
            </w:r>
            <w:r w:rsidR="00AA5C8C" w:rsidRPr="00A23740">
              <w:rPr>
                <w:b/>
                <w:color w:val="0000FF"/>
                <w:szCs w:val="24"/>
              </w:rPr>
              <w:t>bağlı</w:t>
            </w:r>
            <w:r w:rsidR="00AA5C8C" w:rsidRPr="00A23740">
              <w:rPr>
                <w:szCs w:val="24"/>
              </w:rPr>
              <w:t xml:space="preserve"> bulunan alacağını da </w:t>
            </w:r>
            <w:r w:rsidR="00AA5C8C" w:rsidRPr="00A23740">
              <w:rPr>
                <w:b/>
                <w:color w:val="0000FF"/>
                <w:szCs w:val="24"/>
              </w:rPr>
              <w:t>masaya</w:t>
            </w:r>
            <w:r w:rsidR="00AA5C8C" w:rsidRPr="00A23740">
              <w:rPr>
                <w:szCs w:val="24"/>
              </w:rPr>
              <w:t xml:space="preserve"> kaydettirebilir. Fakat </w:t>
            </w:r>
            <w:r w:rsidR="00AA5C8C" w:rsidRPr="00A23740">
              <w:rPr>
                <w:b/>
                <w:color w:val="0000FF"/>
                <w:szCs w:val="24"/>
              </w:rPr>
              <w:t>payını</w:t>
            </w:r>
            <w:r w:rsidR="00AA5C8C" w:rsidRPr="00A23740">
              <w:rPr>
                <w:szCs w:val="24"/>
              </w:rPr>
              <w:t xml:space="preserve"> şart </w:t>
            </w:r>
            <w:r w:rsidR="00AA5C8C" w:rsidRPr="00A23740">
              <w:rPr>
                <w:b/>
                <w:color w:val="0000FF"/>
                <w:szCs w:val="24"/>
              </w:rPr>
              <w:t>gerçekleştiğinde</w:t>
            </w:r>
            <w:r w:rsidR="00AA5C8C" w:rsidRPr="00A23740">
              <w:rPr>
                <w:szCs w:val="24"/>
              </w:rPr>
              <w:t xml:space="preserve"> veya </w:t>
            </w:r>
            <w:r w:rsidR="00AA5C8C" w:rsidRPr="00A23740">
              <w:rPr>
                <w:b/>
                <w:color w:val="0000FF"/>
                <w:szCs w:val="24"/>
              </w:rPr>
              <w:t>alacağın</w:t>
            </w:r>
            <w:r w:rsidR="00AA5C8C" w:rsidRPr="00A23740">
              <w:rPr>
                <w:szCs w:val="24"/>
              </w:rPr>
              <w:t xml:space="preserve"> vade</w:t>
            </w:r>
            <w:r w:rsidR="00AA5C8C" w:rsidRPr="00A23740">
              <w:rPr>
                <w:b/>
                <w:color w:val="0000FF"/>
                <w:szCs w:val="24"/>
              </w:rPr>
              <w:t>si geldiğinde</w:t>
            </w:r>
            <w:r w:rsidR="00AA5C8C" w:rsidRPr="00A23740">
              <w:rPr>
                <w:szCs w:val="24"/>
              </w:rPr>
              <w:t xml:space="preserve"> alır.</w:t>
            </w:r>
          </w:p>
          <w:p w:rsidR="00AA5C8C" w:rsidRPr="00A23740" w:rsidRDefault="00AA5C8C" w:rsidP="009431FF">
            <w:pPr>
              <w:tabs>
                <w:tab w:val="left" w:pos="567"/>
              </w:tabs>
              <w:rPr>
                <w:b/>
                <w:color w:val="FF0000"/>
                <w:szCs w:val="24"/>
              </w:rPr>
            </w:pPr>
          </w:p>
          <w:p w:rsidR="00AA5C8C" w:rsidRPr="00A23740" w:rsidRDefault="00AA5C8C" w:rsidP="009431FF">
            <w:pPr>
              <w:tabs>
                <w:tab w:val="left" w:pos="567"/>
              </w:tabs>
              <w:rPr>
                <w:b/>
                <w:color w:val="0000FF"/>
                <w:szCs w:val="24"/>
              </w:rPr>
            </w:pPr>
            <w:r w:rsidRPr="00A23740">
              <w:rPr>
                <w:b/>
                <w:color w:val="0000FF"/>
                <w:szCs w:val="24"/>
              </w:rPr>
              <w:t xml:space="preserve">(2) Ömür boyu gelir sözleşmesinden </w:t>
            </w:r>
            <w:r w:rsidRPr="00A23740">
              <w:t>doğan</w:t>
            </w:r>
            <w:r w:rsidRPr="00A23740">
              <w:rPr>
                <w:b/>
                <w:color w:val="0000FF"/>
                <w:szCs w:val="24"/>
              </w:rPr>
              <w:t xml:space="preserve"> alacaklar </w:t>
            </w:r>
            <w:r w:rsidRPr="00A23740">
              <w:rPr>
                <w:rStyle w:val="MaviChar"/>
              </w:rPr>
              <w:t>hakkında</w:t>
            </w:r>
            <w:r w:rsidRPr="00A23740">
              <w:rPr>
                <w:rStyle w:val="MaviChar"/>
                <w:lang w:val="tr-TR"/>
              </w:rPr>
              <w:t>,</w:t>
            </w:r>
            <w:r w:rsidRPr="00A23740">
              <w:rPr>
                <w:b/>
                <w:color w:val="0000FF"/>
                <w:szCs w:val="24"/>
              </w:rPr>
              <w:t xml:space="preserve"> Türk </w:t>
            </w:r>
            <w:r w:rsidRPr="00A23740">
              <w:t xml:space="preserve">Borçlar Kanununun </w:t>
            </w:r>
            <w:r w:rsidRPr="00A23740">
              <w:rPr>
                <w:rStyle w:val="MaviChar"/>
              </w:rPr>
              <w:t>609</w:t>
            </w:r>
            <w:r w:rsidRPr="00A23740">
              <w:t xml:space="preserve"> uncu maddesinin</w:t>
            </w:r>
            <w:r w:rsidRPr="00A23740">
              <w:rPr>
                <w:b/>
                <w:color w:val="0000FF"/>
                <w:szCs w:val="24"/>
              </w:rPr>
              <w:t xml:space="preserve"> üçüncü </w:t>
            </w:r>
            <w:r w:rsidRPr="00A23740">
              <w:t>fıkrası</w:t>
            </w:r>
            <w:r w:rsidRPr="00A23740">
              <w:rPr>
                <w:b/>
                <w:color w:val="0000FF"/>
                <w:szCs w:val="24"/>
              </w:rPr>
              <w:t xml:space="preserve">; ölünceye kadar bakma sözleşmesinden </w:t>
            </w:r>
            <w:r w:rsidRPr="00A23740">
              <w:rPr>
                <w:rStyle w:val="MaviChar"/>
              </w:rPr>
              <w:t>doğan</w:t>
            </w:r>
            <w:r w:rsidRPr="00A23740">
              <w:rPr>
                <w:b/>
                <w:color w:val="0000FF"/>
                <w:szCs w:val="24"/>
              </w:rPr>
              <w:t xml:space="preserve"> alacaklar </w:t>
            </w:r>
            <w:r w:rsidRPr="00A23740">
              <w:rPr>
                <w:rStyle w:val="MaviChar"/>
              </w:rPr>
              <w:t>hakkında</w:t>
            </w:r>
            <w:r w:rsidRPr="00A23740">
              <w:rPr>
                <w:b/>
                <w:color w:val="0000FF"/>
                <w:szCs w:val="24"/>
              </w:rPr>
              <w:t xml:space="preserve"> ise 619 uncu maddesinin ikinci fıkrası </w:t>
            </w:r>
            <w:r w:rsidRPr="00A23740">
              <w:t>hükmü</w:t>
            </w:r>
            <w:r w:rsidRPr="00A23740">
              <w:rPr>
                <w:b/>
                <w:color w:val="0000FF"/>
                <w:szCs w:val="24"/>
              </w:rPr>
              <w:t xml:space="preserve"> uygulanır.</w:t>
            </w:r>
          </w:p>
          <w:p w:rsidR="00D07774" w:rsidRPr="00A23740" w:rsidRDefault="00D07774" w:rsidP="009431FF">
            <w:pPr>
              <w:pStyle w:val="KIRMIZI"/>
            </w:pPr>
          </w:p>
        </w:tc>
      </w:tr>
      <w:tr w:rsidR="0059325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A7EB8" w:rsidRPr="00A23740" w:rsidRDefault="00DA7EB8" w:rsidP="009431FF">
            <w:pPr>
              <w:tabs>
                <w:tab w:val="left" w:pos="567"/>
              </w:tabs>
              <w:ind w:firstLine="709"/>
              <w:rPr>
                <w:b/>
              </w:rPr>
            </w:pPr>
          </w:p>
          <w:p w:rsidR="00593252" w:rsidRPr="00A23740" w:rsidRDefault="00AA2F67" w:rsidP="009431FF">
            <w:pPr>
              <w:ind w:firstLine="709"/>
              <w:rPr>
                <w:b/>
                <w:szCs w:val="24"/>
              </w:rPr>
            </w:pPr>
            <w:r w:rsidRPr="00A23740">
              <w:rPr>
                <w:b/>
              </w:rPr>
              <w:t>MADDE 307</w:t>
            </w:r>
            <w:r w:rsidR="00DA7EB8" w:rsidRPr="00A23740">
              <w:rPr>
                <w:b/>
              </w:rPr>
              <w:t>-</w:t>
            </w:r>
            <w:r w:rsidR="00DA7EB8" w:rsidRPr="00A23740">
              <w:t xml:space="preserve"> Maddeyle, </w:t>
            </w:r>
            <w:r w:rsidR="00DA7EB8" w:rsidRPr="00A23740">
              <w:rPr>
                <w:bCs/>
              </w:rPr>
              <w:t xml:space="preserve">şarta </w:t>
            </w:r>
            <w:r w:rsidR="00C85D45" w:rsidRPr="00E10BE3">
              <w:rPr>
                <w:bCs/>
              </w:rPr>
              <w:t>veya belirsiz vadeye</w:t>
            </w:r>
            <w:r w:rsidR="00C85D45" w:rsidRPr="00A23740">
              <w:rPr>
                <w:bCs/>
              </w:rPr>
              <w:t xml:space="preserve"> </w:t>
            </w:r>
            <w:r w:rsidR="00DA7EB8" w:rsidRPr="00A23740">
              <w:rPr>
                <w:bCs/>
              </w:rPr>
              <w:t>bağlı alacaklar</w:t>
            </w:r>
            <w:r w:rsidR="0040082A" w:rsidRPr="00A23740">
              <w:rPr>
                <w:bCs/>
              </w:rPr>
              <w:t>a</w:t>
            </w:r>
            <w:r w:rsidR="00DA7EB8" w:rsidRPr="00A23740">
              <w:rPr>
                <w:bCs/>
              </w:rPr>
              <w:t xml:space="preserve"> ilişkin</w:t>
            </w:r>
            <w:r w:rsidR="00DA7EB8" w:rsidRPr="00A23740">
              <w:rPr>
                <w:szCs w:val="24"/>
              </w:rPr>
              <w:t xml:space="preserve"> hususlar düzenlenmektedir. Hüküm, 2004 sayılı Kanunun 197 nci maddesine karşılık gelmektedir.</w:t>
            </w:r>
          </w:p>
          <w:p w:rsidR="00593252" w:rsidRPr="00A23740" w:rsidRDefault="00593252" w:rsidP="009431FF">
            <w:pPr>
              <w:ind w:firstLine="709"/>
              <w:rPr>
                <w:bCs/>
              </w:rPr>
            </w:pPr>
            <w:r w:rsidRPr="00A23740">
              <w:rPr>
                <w:bCs/>
              </w:rPr>
              <w:t>Geciktirici bir şarta veya belirsiz bir vadeye bağlı alacaklar da masaya yazdırılır. Bu neviden alacaklar için ayrılan pay bankaya yatırılacak</w:t>
            </w:r>
            <w:r w:rsidR="00C35BF4" w:rsidRPr="00A23740">
              <w:rPr>
                <w:bCs/>
              </w:rPr>
              <w:t>;</w:t>
            </w:r>
            <w:r w:rsidRPr="00A23740">
              <w:rPr>
                <w:bCs/>
              </w:rPr>
              <w:t xml:space="preserve"> alacaklı, şart gerçekleştiğinde veya zamanı geldiğ</w:t>
            </w:r>
            <w:r w:rsidR="00DA7EB8" w:rsidRPr="00A23740">
              <w:rPr>
                <w:bCs/>
              </w:rPr>
              <w:t xml:space="preserve">inde alacağını alabilecektir. </w:t>
            </w:r>
          </w:p>
          <w:p w:rsidR="00593252" w:rsidRPr="00A23740" w:rsidRDefault="0040082A" w:rsidP="009431FF">
            <w:pPr>
              <w:ind w:firstLine="709"/>
              <w:rPr>
                <w:bCs/>
              </w:rPr>
            </w:pPr>
            <w:r w:rsidRPr="00A23740">
              <w:rPr>
                <w:bCs/>
              </w:rPr>
              <w:t>Ömür boyu gelir</w:t>
            </w:r>
            <w:r w:rsidR="00593252" w:rsidRPr="00A23740">
              <w:rPr>
                <w:bCs/>
              </w:rPr>
              <w:t xml:space="preserve"> ve ölünceye kadar bakma sözleşmelerinde alacaklı,</w:t>
            </w:r>
            <w:r w:rsidRPr="00A23740">
              <w:rPr>
                <w:bCs/>
              </w:rPr>
              <w:t xml:space="preserve"> 6098 sayılı Kanunun</w:t>
            </w:r>
            <w:r w:rsidR="00593252" w:rsidRPr="00A23740">
              <w:rPr>
                <w:bCs/>
              </w:rPr>
              <w:t xml:space="preserve"> ilgili maddeleri çerçevesinde masaya alacağını kaydettirebilecektir. </w:t>
            </w:r>
          </w:p>
          <w:p w:rsidR="00593252" w:rsidRPr="00A23740" w:rsidRDefault="00454D36" w:rsidP="009431FF">
            <w:pPr>
              <w:ind w:firstLine="709"/>
              <w:rPr>
                <w:bCs/>
              </w:rPr>
            </w:pPr>
            <w:r w:rsidRPr="00E10BE3">
              <w:rPr>
                <w:bCs/>
              </w:rPr>
              <w:t xml:space="preserve">Öğretide 2004 </w:t>
            </w:r>
            <w:r w:rsidR="00B57933" w:rsidRPr="00E10BE3">
              <w:rPr>
                <w:bCs/>
              </w:rPr>
              <w:t>sayılı Kanunun 197 nci maddesinin ikinci fıkrasının</w:t>
            </w:r>
            <w:r w:rsidRPr="00E10BE3">
              <w:rPr>
                <w:bCs/>
              </w:rPr>
              <w:t>,</w:t>
            </w:r>
            <w:r w:rsidR="00B57933" w:rsidRPr="00E10BE3">
              <w:rPr>
                <w:bCs/>
              </w:rPr>
              <w:t xml:space="preserve"> </w:t>
            </w:r>
            <w:r w:rsidRPr="00E10BE3">
              <w:rPr>
                <w:bCs/>
              </w:rPr>
              <w:t>hem ömür boyu gelir sözleşmesinin ve hem de ölünceye kadar bakma sözleşmesinin mevcut olması ihtimalinde, iflas vuku bulduğu takdirde doğan durumu ve ileri sürülebilecek iddiaları düzenlediği kabul edilmektedir (Bkz. Erdal Tercan, İflasın Sözleşmelere Etkisi, Ankara 1996, s. 276). Onun için Taslakta ikinci fıkra ölünceye kadar bakma sözleşmesini de kapsayacak şekilde kaleme alınmıştır.</w:t>
            </w:r>
          </w:p>
          <w:p w:rsidR="00D07774" w:rsidRPr="00A23740" w:rsidRDefault="00D07774" w:rsidP="00B43502">
            <w:pPr>
              <w:ind w:firstLine="709"/>
              <w:rPr>
                <w:b/>
                <w:bCs/>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trike/>
                <w:color w:val="FF0000"/>
                <w:szCs w:val="24"/>
              </w:rPr>
            </w:pPr>
            <w:r w:rsidRPr="00A23740">
              <w:rPr>
                <w:b/>
                <w:strike/>
                <w:color w:val="FF0000"/>
                <w:szCs w:val="24"/>
              </w:rPr>
              <w:t>Mevzuu</w:t>
            </w:r>
            <w:r w:rsidRPr="00A23740">
              <w:rPr>
                <w:szCs w:val="24"/>
              </w:rPr>
              <w:t xml:space="preserve"> para olm</w:t>
            </w:r>
            <w:r w:rsidRPr="00A23740">
              <w:rPr>
                <w:strike/>
                <w:color w:val="FF0000"/>
                <w:szCs w:val="24"/>
              </w:rPr>
              <w:t>ı</w:t>
            </w:r>
            <w:r w:rsidRPr="00A23740">
              <w:rPr>
                <w:szCs w:val="24"/>
              </w:rPr>
              <w:t>yan alacakların para</w:t>
            </w:r>
            <w:r w:rsidRPr="00A23740">
              <w:rPr>
                <w:rStyle w:val="KIRMIZIChar"/>
                <w:rFonts w:eastAsia="Calibri"/>
              </w:rPr>
              <w:t>ya</w:t>
            </w:r>
            <w:r w:rsidRPr="00A23740">
              <w:rPr>
                <w:szCs w:val="24"/>
              </w:rPr>
              <w:t xml:space="preserve"> çevrilmesi</w:t>
            </w:r>
            <w:r w:rsidRPr="00A23740">
              <w:rPr>
                <w:strike/>
                <w:color w:val="FF0000"/>
                <w:szCs w:val="24"/>
              </w:rPr>
              <w:t>:</w:t>
            </w:r>
          </w:p>
          <w:p w:rsidR="00AA5C8C" w:rsidRPr="00A23740" w:rsidRDefault="00AA5C8C" w:rsidP="009431FF">
            <w:pPr>
              <w:tabs>
                <w:tab w:val="left" w:pos="567"/>
              </w:tabs>
              <w:rPr>
                <w:b/>
                <w:strike/>
                <w:color w:val="FF0000"/>
                <w:szCs w:val="24"/>
              </w:rPr>
            </w:pPr>
            <w:r w:rsidRPr="00A23740">
              <w:rPr>
                <w:rStyle w:val="KIRMIZIChar"/>
                <w:rFonts w:eastAsia="Calibri"/>
              </w:rPr>
              <w:t>Madde 198 – (1) Mevzuu</w:t>
            </w:r>
            <w:r w:rsidRPr="00A23740">
              <w:rPr>
                <w:szCs w:val="24"/>
              </w:rPr>
              <w:t xml:space="preserve"> para olm</w:t>
            </w:r>
            <w:r w:rsidRPr="00A23740">
              <w:rPr>
                <w:b/>
                <w:strike/>
                <w:color w:val="FF0000"/>
                <w:szCs w:val="24"/>
              </w:rPr>
              <w:t>ı</w:t>
            </w:r>
            <w:r w:rsidRPr="00A23740">
              <w:rPr>
                <w:szCs w:val="24"/>
              </w:rPr>
              <w:t xml:space="preserve">yan alacak </w:t>
            </w:r>
            <w:r w:rsidRPr="00A23740">
              <w:rPr>
                <w:rStyle w:val="KIRMIZIChar"/>
                <w:rFonts w:eastAsia="Calibri"/>
              </w:rPr>
              <w:t xml:space="preserve">ona muadil bir </w:t>
            </w:r>
            <w:r w:rsidRPr="00A23740">
              <w:t>kıymet</w:t>
            </w:r>
            <w:r w:rsidRPr="00A23740">
              <w:rPr>
                <w:rStyle w:val="KIRMIZIChar"/>
                <w:rFonts w:eastAsia="Calibri"/>
              </w:rPr>
              <w:t>te</w:t>
            </w:r>
            <w:r w:rsidRPr="00A23740">
              <w:rPr>
                <w:szCs w:val="24"/>
              </w:rPr>
              <w:t xml:space="preserve"> para alacağına çevrilir. </w:t>
            </w:r>
            <w:r w:rsidRPr="00A23740">
              <w:rPr>
                <w:b/>
                <w:strike/>
                <w:color w:val="FF0000"/>
                <w:szCs w:val="24"/>
              </w:rPr>
              <w:t>Şu kadar ki iflas idaresi taahhüdün aynen ifasına deruhte edebilir. Bu takdirde alacaklı talep ederse iflas idaresi teminat gösterir.</w:t>
            </w:r>
          </w:p>
          <w:p w:rsidR="00AA5C8C" w:rsidRPr="00A23740" w:rsidRDefault="00AA5C8C" w:rsidP="009431FF">
            <w:pPr>
              <w:tabs>
                <w:tab w:val="left" w:pos="567"/>
              </w:tabs>
              <w:rPr>
                <w:b/>
                <w:strike/>
                <w:color w:val="FF0000"/>
                <w:szCs w:val="24"/>
              </w:rPr>
            </w:pPr>
          </w:p>
          <w:p w:rsidR="00AA5C8C" w:rsidRPr="00A23740" w:rsidRDefault="00AE0894" w:rsidP="009431FF">
            <w:pPr>
              <w:tabs>
                <w:tab w:val="left" w:pos="567"/>
              </w:tabs>
              <w:rPr>
                <w:b/>
                <w:strike/>
                <w:color w:val="FF0000"/>
                <w:szCs w:val="24"/>
              </w:rPr>
            </w:pPr>
            <w:r>
              <w:rPr>
                <w:b/>
                <w:color w:val="FF0000"/>
                <w:szCs w:val="24"/>
              </w:rPr>
              <w:t>M.198/F</w:t>
            </w:r>
            <w:r w:rsidR="00AA5C8C" w:rsidRPr="00A23740">
              <w:rPr>
                <w:b/>
                <w:color w:val="FF0000"/>
                <w:szCs w:val="24"/>
              </w:rPr>
              <w:t xml:space="preserve">1.C2: </w:t>
            </w:r>
            <w:r w:rsidR="00AA5C8C" w:rsidRPr="00A23740">
              <w:rPr>
                <w:rStyle w:val="KIRMIZIChar"/>
                <w:rFonts w:eastAsia="Calibri"/>
              </w:rPr>
              <w:t>Şu kadar ki</w:t>
            </w:r>
            <w:r w:rsidR="00AA5C8C" w:rsidRPr="00A23740">
              <w:t xml:space="preserve"> </w:t>
            </w:r>
            <w:r w:rsidR="00AA5C8C" w:rsidRPr="00A23740">
              <w:rPr>
                <w:rStyle w:val="KIRMIZIChar"/>
                <w:rFonts w:eastAsia="Calibri"/>
              </w:rPr>
              <w:t>i</w:t>
            </w:r>
            <w:r w:rsidR="00AA5C8C" w:rsidRPr="00A23740">
              <w:t>flas idaresi</w:t>
            </w:r>
            <w:r w:rsidR="00AA5C8C" w:rsidRPr="00A23740">
              <w:rPr>
                <w:b/>
                <w:color w:val="FF0000"/>
                <w:szCs w:val="24"/>
              </w:rPr>
              <w:t xml:space="preserve"> </w:t>
            </w:r>
            <w:r w:rsidR="00AA5C8C" w:rsidRPr="00A23740">
              <w:rPr>
                <w:b/>
                <w:strike/>
                <w:color w:val="FF0000"/>
                <w:szCs w:val="24"/>
              </w:rPr>
              <w:t>taahhüdün</w:t>
            </w:r>
            <w:r w:rsidR="00AA5C8C" w:rsidRPr="00A23740">
              <w:rPr>
                <w:b/>
                <w:color w:val="FF0000"/>
                <w:szCs w:val="24"/>
              </w:rPr>
              <w:t xml:space="preserve"> </w:t>
            </w:r>
            <w:r w:rsidR="00AA5C8C" w:rsidRPr="00A23740">
              <w:t>aynen ifasın</w:t>
            </w:r>
            <w:r w:rsidR="00AA5C8C" w:rsidRPr="00A23740">
              <w:rPr>
                <w:b/>
                <w:strike/>
                <w:color w:val="FF0000"/>
                <w:szCs w:val="24"/>
              </w:rPr>
              <w:t xml:space="preserve">a deruhte edebilir. </w:t>
            </w:r>
            <w:r w:rsidR="00AA5C8C" w:rsidRPr="00A23740">
              <w:t>Bu</w:t>
            </w:r>
            <w:r w:rsidR="00AA5C8C" w:rsidRPr="00A23740">
              <w:rPr>
                <w:b/>
                <w:color w:val="FF0000"/>
                <w:szCs w:val="24"/>
              </w:rPr>
              <w:t xml:space="preserve"> </w:t>
            </w:r>
            <w:r w:rsidR="00AA5C8C" w:rsidRPr="00A23740">
              <w:rPr>
                <w:b/>
                <w:strike/>
                <w:color w:val="FF0000"/>
                <w:szCs w:val="24"/>
              </w:rPr>
              <w:t>takdirde</w:t>
            </w:r>
            <w:r w:rsidR="00AA5C8C" w:rsidRPr="00A23740">
              <w:rPr>
                <w:b/>
                <w:color w:val="FF0000"/>
                <w:szCs w:val="24"/>
              </w:rPr>
              <w:t xml:space="preserve"> </w:t>
            </w:r>
            <w:r w:rsidR="00AA5C8C" w:rsidRPr="00A23740">
              <w:t>alacaklı talep ederse iflas idaresi</w:t>
            </w:r>
            <w:r w:rsidR="00AA5C8C" w:rsidRPr="00A23740">
              <w:rPr>
                <w:b/>
                <w:color w:val="FF0000"/>
                <w:szCs w:val="24"/>
              </w:rPr>
              <w:t xml:space="preserve"> </w:t>
            </w:r>
            <w:r w:rsidR="00AA5C8C" w:rsidRPr="00A23740">
              <w:t>teminat göster</w:t>
            </w:r>
            <w:r w:rsidR="00AA5C8C" w:rsidRPr="00A23740">
              <w:rPr>
                <w:b/>
                <w:strike/>
                <w:color w:val="FF0000"/>
                <w:szCs w:val="24"/>
              </w:rPr>
              <w:t>ir.</w:t>
            </w:r>
          </w:p>
          <w:p w:rsidR="00AA5C8C" w:rsidRPr="00A23740" w:rsidRDefault="00AA5C8C" w:rsidP="009431FF">
            <w:pPr>
              <w:tabs>
                <w:tab w:val="left" w:pos="567"/>
              </w:tabs>
              <w:rPr>
                <w:b/>
                <w:strike/>
                <w:color w:val="FF0000"/>
                <w:szCs w:val="24"/>
              </w:rPr>
            </w:pPr>
          </w:p>
          <w:p w:rsidR="00C42DF2" w:rsidRPr="00A23740" w:rsidRDefault="00C42DF2"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rStyle w:val="KIRMIZIChar"/>
                <w:rFonts w:eastAsia="Calibri"/>
              </w:rPr>
              <w:t>(2) Borçlar</w:t>
            </w:r>
            <w:r w:rsidRPr="00A23740">
              <w:rPr>
                <w:b/>
                <w:strike/>
                <w:color w:val="FF0000"/>
                <w:szCs w:val="24"/>
              </w:rPr>
              <w:t xml:space="preserve"> Kanununun 290 ncı maddesi hükümleri mahfuzdur.</w:t>
            </w:r>
          </w:p>
          <w:p w:rsidR="00AA5C8C" w:rsidRPr="00A23740" w:rsidRDefault="00AA5C8C" w:rsidP="009431FF">
            <w:pPr>
              <w:tabs>
                <w:tab w:val="left" w:pos="567"/>
              </w:tabs>
              <w:rPr>
                <w:b/>
                <w:strike/>
                <w:color w:val="FF0000"/>
                <w:szCs w:val="24"/>
              </w:rPr>
            </w:pPr>
          </w:p>
        </w:tc>
        <w:tc>
          <w:tcPr>
            <w:tcW w:w="2500" w:type="pct"/>
          </w:tcPr>
          <w:p w:rsidR="00AA5C8C" w:rsidRPr="00A23740" w:rsidRDefault="00AA5C8C" w:rsidP="009431FF">
            <w:pPr>
              <w:tabs>
                <w:tab w:val="left" w:pos="567"/>
              </w:tabs>
              <w:rPr>
                <w:b/>
                <w:szCs w:val="24"/>
              </w:rPr>
            </w:pPr>
            <w:r w:rsidRPr="00A23740">
              <w:rPr>
                <w:b/>
                <w:color w:val="0000FF"/>
                <w:szCs w:val="24"/>
              </w:rPr>
              <w:t>Konusu</w:t>
            </w:r>
            <w:r w:rsidRPr="00A23740">
              <w:rPr>
                <w:b/>
                <w:szCs w:val="24"/>
              </w:rPr>
              <w:t xml:space="preserve"> para olm</w:t>
            </w:r>
            <w:r w:rsidRPr="00A23740">
              <w:rPr>
                <w:rStyle w:val="MaviChar"/>
              </w:rPr>
              <w:t>a</w:t>
            </w:r>
            <w:r w:rsidRPr="00A23740">
              <w:rPr>
                <w:b/>
                <w:szCs w:val="24"/>
              </w:rPr>
              <w:t xml:space="preserve">yan alacakların para </w:t>
            </w:r>
            <w:r w:rsidRPr="00A23740">
              <w:rPr>
                <w:b/>
                <w:color w:val="0000FF"/>
                <w:szCs w:val="24"/>
              </w:rPr>
              <w:t>alacağına</w:t>
            </w:r>
            <w:r w:rsidRPr="00A23740">
              <w:rPr>
                <w:b/>
                <w:szCs w:val="24"/>
              </w:rPr>
              <w:t xml:space="preserve"> çevrilmesi</w:t>
            </w:r>
          </w:p>
          <w:p w:rsidR="00AA5C8C" w:rsidRPr="00A23740" w:rsidRDefault="00AA2F67" w:rsidP="009431FF">
            <w:pPr>
              <w:tabs>
                <w:tab w:val="left" w:pos="567"/>
              </w:tabs>
              <w:rPr>
                <w:szCs w:val="24"/>
              </w:rPr>
            </w:pPr>
            <w:r w:rsidRPr="00A23740">
              <w:rPr>
                <w:rStyle w:val="MaviChar"/>
              </w:rPr>
              <w:t>MADDE 308</w:t>
            </w:r>
            <w:r w:rsidR="00AA5C8C" w:rsidRPr="00A23740">
              <w:rPr>
                <w:rStyle w:val="MaviChar"/>
              </w:rPr>
              <w:t>-</w:t>
            </w:r>
            <w:r w:rsidR="00AA5C8C" w:rsidRPr="00A23740">
              <w:rPr>
                <w:b/>
                <w:szCs w:val="24"/>
              </w:rPr>
              <w:t xml:space="preserve"> </w:t>
            </w:r>
            <w:r w:rsidR="00AA5C8C" w:rsidRPr="00A23740">
              <w:rPr>
                <w:b/>
                <w:color w:val="0000FF"/>
                <w:szCs w:val="24"/>
              </w:rPr>
              <w:t>(1) Konusu</w:t>
            </w:r>
            <w:r w:rsidR="00AA5C8C" w:rsidRPr="00A23740">
              <w:rPr>
                <w:szCs w:val="24"/>
              </w:rPr>
              <w:t xml:space="preserve"> para olm</w:t>
            </w:r>
            <w:r w:rsidR="00AA5C8C" w:rsidRPr="00A23740">
              <w:rPr>
                <w:b/>
                <w:color w:val="0000FF"/>
                <w:szCs w:val="24"/>
              </w:rPr>
              <w:t>a</w:t>
            </w:r>
            <w:r w:rsidR="00AA5C8C" w:rsidRPr="00A23740">
              <w:rPr>
                <w:szCs w:val="24"/>
              </w:rPr>
              <w:t>yan alacak</w:t>
            </w:r>
            <w:r w:rsidR="00AA5C8C" w:rsidRPr="00A23740">
              <w:rPr>
                <w:rStyle w:val="MaviChar"/>
              </w:rPr>
              <w:t>lar</w:t>
            </w:r>
            <w:r w:rsidR="00AA5C8C" w:rsidRPr="00A23740">
              <w:rPr>
                <w:rStyle w:val="MaviChar"/>
                <w:lang w:val="tr-TR"/>
              </w:rPr>
              <w:t>,</w:t>
            </w:r>
            <w:r w:rsidR="00AA5C8C" w:rsidRPr="00A23740">
              <w:rPr>
                <w:szCs w:val="24"/>
              </w:rPr>
              <w:t xml:space="preserve"> </w:t>
            </w:r>
            <w:r w:rsidR="00AA5C8C" w:rsidRPr="00A23740">
              <w:rPr>
                <w:rStyle w:val="MaviChar"/>
              </w:rPr>
              <w:t xml:space="preserve">iflasın açıldığı tarihteki </w:t>
            </w:r>
            <w:r w:rsidR="00AA5C8C" w:rsidRPr="00A23740">
              <w:t>kıymet</w:t>
            </w:r>
            <w:r w:rsidR="00AA5C8C" w:rsidRPr="00A23740">
              <w:rPr>
                <w:rStyle w:val="MaviChar"/>
              </w:rPr>
              <w:t xml:space="preserve">i üzerinden </w:t>
            </w:r>
            <w:r w:rsidR="00AA5C8C" w:rsidRPr="00A23740">
              <w:rPr>
                <w:szCs w:val="24"/>
              </w:rPr>
              <w:t>para alacağına çevrilir.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 xml:space="preserve">(2) </w:t>
            </w:r>
            <w:r w:rsidRPr="00A23740">
              <w:rPr>
                <w:rStyle w:val="MaviChar"/>
              </w:rPr>
              <w:t>İ</w:t>
            </w:r>
            <w:r w:rsidRPr="00A23740">
              <w:t>flas idaresi</w:t>
            </w:r>
            <w:r w:rsidRPr="00A23740">
              <w:rPr>
                <w:rStyle w:val="MaviChar"/>
              </w:rPr>
              <w:t>,</w:t>
            </w:r>
            <w:r w:rsidRPr="00A23740">
              <w:rPr>
                <w:b/>
                <w:color w:val="0000FF"/>
                <w:szCs w:val="24"/>
              </w:rPr>
              <w:t xml:space="preserve"> konusu para olmayan bir borcun </w:t>
            </w:r>
            <w:r w:rsidRPr="00A23740">
              <w:t>aynen ifasın</w:t>
            </w:r>
            <w:r w:rsidRPr="00A23740">
              <w:rPr>
                <w:b/>
                <w:color w:val="0000FF"/>
                <w:szCs w:val="24"/>
              </w:rPr>
              <w:t xml:space="preserve">ı üstlenebilir. </w:t>
            </w:r>
            <w:r w:rsidRPr="00A23740">
              <w:t>Bu</w:t>
            </w:r>
            <w:r w:rsidRPr="00A23740">
              <w:rPr>
                <w:b/>
                <w:color w:val="0000FF"/>
                <w:szCs w:val="24"/>
              </w:rPr>
              <w:t xml:space="preserve"> durumda </w:t>
            </w:r>
            <w:r w:rsidRPr="00A23740">
              <w:t>alacaklı talep ederse</w:t>
            </w:r>
            <w:r w:rsidRPr="00A23740">
              <w:rPr>
                <w:rStyle w:val="MaviChar"/>
              </w:rPr>
              <w:t>,</w:t>
            </w:r>
            <w:r w:rsidRPr="00A23740">
              <w:t xml:space="preserve"> iflas idaresi</w:t>
            </w:r>
            <w:r w:rsidRPr="00A23740">
              <w:rPr>
                <w:b/>
                <w:color w:val="0000FF"/>
                <w:szCs w:val="24"/>
              </w:rPr>
              <w:t xml:space="preserve"> </w:t>
            </w:r>
            <w:r w:rsidRPr="00A23740">
              <w:t>teminat göster</w:t>
            </w:r>
            <w:r w:rsidRPr="00A23740">
              <w:rPr>
                <w:b/>
                <w:color w:val="0000FF"/>
                <w:szCs w:val="24"/>
              </w:rPr>
              <w:t xml:space="preserve">mekle yükümlüdür. Teminat uygun bir süre içinde </w:t>
            </w:r>
            <w:r w:rsidRPr="00A23740">
              <w:rPr>
                <w:rStyle w:val="MaviChar"/>
              </w:rPr>
              <w:t>gösterilmezse</w:t>
            </w:r>
            <w:r w:rsidR="00454D36" w:rsidRPr="00E10BE3">
              <w:rPr>
                <w:b/>
                <w:color w:val="0000FF"/>
              </w:rPr>
              <w:t>,</w:t>
            </w:r>
            <w:r w:rsidRPr="00E10BE3">
              <w:rPr>
                <w:b/>
                <w:color w:val="0000FF"/>
                <w:szCs w:val="24"/>
              </w:rPr>
              <w:t xml:space="preserve"> iflas</w:t>
            </w:r>
            <w:r w:rsidRPr="00A23740">
              <w:rPr>
                <w:b/>
                <w:color w:val="0000FF"/>
                <w:szCs w:val="24"/>
              </w:rPr>
              <w:t xml:space="preserve"> idaresi aynen ifayı üstlenmemiş sayılır.</w:t>
            </w:r>
          </w:p>
          <w:p w:rsidR="00AA5C8C" w:rsidRPr="00A23740" w:rsidRDefault="00AA5C8C" w:rsidP="009431FF">
            <w:pPr>
              <w:rPr>
                <w:lang w:eastAsia="x-none"/>
              </w:rPr>
            </w:pPr>
          </w:p>
          <w:p w:rsidR="00AA5C8C" w:rsidRPr="00A23740" w:rsidRDefault="00AA5C8C" w:rsidP="009431FF">
            <w:pPr>
              <w:tabs>
                <w:tab w:val="left" w:pos="567"/>
              </w:tabs>
              <w:rPr>
                <w:b/>
                <w:color w:val="0000FF"/>
                <w:szCs w:val="24"/>
              </w:rPr>
            </w:pPr>
            <w:r w:rsidRPr="00A23740">
              <w:rPr>
                <w:b/>
                <w:color w:val="0000FF"/>
                <w:szCs w:val="24"/>
              </w:rPr>
              <w:t xml:space="preserve">(3) İflas idaresi, edimin </w:t>
            </w:r>
            <w:r w:rsidRPr="00A23740">
              <w:rPr>
                <w:rStyle w:val="MaviChar"/>
              </w:rPr>
              <w:t>aynen ifası hakkında verdiği kararı, en</w:t>
            </w:r>
            <w:r w:rsidRPr="00A23740">
              <w:rPr>
                <w:b/>
                <w:color w:val="0000FF"/>
                <w:szCs w:val="24"/>
              </w:rPr>
              <w:t xml:space="preserve"> geç sıra cetvelinin iflas dairesine bırakıldığının ilanına kadar açıklamak zorundadır.</w:t>
            </w:r>
          </w:p>
          <w:p w:rsidR="00AA5C8C" w:rsidRPr="00A23740" w:rsidRDefault="00AA5C8C" w:rsidP="009431FF">
            <w:pPr>
              <w:pStyle w:val="AltKonuBal"/>
              <w:rPr>
                <w:b w:val="0"/>
                <w:color w:val="0000FF"/>
              </w:rPr>
            </w:pPr>
          </w:p>
        </w:tc>
      </w:tr>
      <w:tr w:rsidR="0059325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0082A" w:rsidRPr="00A23740" w:rsidRDefault="0040082A" w:rsidP="009431FF">
            <w:pPr>
              <w:ind w:firstLine="709"/>
              <w:rPr>
                <w:b/>
              </w:rPr>
            </w:pPr>
          </w:p>
          <w:p w:rsidR="00593252" w:rsidRPr="00A23740" w:rsidRDefault="00AA2F67" w:rsidP="009431FF">
            <w:pPr>
              <w:ind w:firstLine="709"/>
              <w:rPr>
                <w:b/>
                <w:szCs w:val="24"/>
              </w:rPr>
            </w:pPr>
            <w:r w:rsidRPr="00A23740">
              <w:rPr>
                <w:b/>
              </w:rPr>
              <w:t>MADDE 308</w:t>
            </w:r>
            <w:r w:rsidR="0040082A" w:rsidRPr="00A23740">
              <w:rPr>
                <w:b/>
              </w:rPr>
              <w:t>-</w:t>
            </w:r>
            <w:r w:rsidR="0040082A" w:rsidRPr="00A23740">
              <w:t xml:space="preserve"> Maddeyle, konusu para olmayan alacakların para alacağına çevrilmesine ilişkin</w:t>
            </w:r>
            <w:r w:rsidR="0040082A" w:rsidRPr="00A23740">
              <w:rPr>
                <w:szCs w:val="24"/>
              </w:rPr>
              <w:t xml:space="preserve"> hususlar düzenlenmektedir. Hüküm, 2004 sayılı Kanunun 198 inci maddesine karşılık gelmektedir.</w:t>
            </w:r>
            <w:r w:rsidR="0040082A" w:rsidRPr="00A23740">
              <w:rPr>
                <w:b/>
                <w:szCs w:val="24"/>
              </w:rPr>
              <w:t xml:space="preserve"> </w:t>
            </w:r>
          </w:p>
          <w:p w:rsidR="00593252" w:rsidRPr="00A23740" w:rsidRDefault="0040082A" w:rsidP="009431FF">
            <w:pPr>
              <w:ind w:firstLine="709"/>
            </w:pPr>
            <w:r w:rsidRPr="00A23740">
              <w:t>2004 sayılı</w:t>
            </w:r>
            <w:r w:rsidR="00593252" w:rsidRPr="00A23740">
              <w:t xml:space="preserve"> Kanunda olduğu gibi </w:t>
            </w:r>
            <w:r w:rsidR="00454D36" w:rsidRPr="00E10BE3">
              <w:t>Taslakta da</w:t>
            </w:r>
            <w:r w:rsidR="00C35BF4" w:rsidRPr="00E10BE3">
              <w:t>,</w:t>
            </w:r>
            <w:r w:rsidR="00454D36" w:rsidRPr="00E10BE3">
              <w:t xml:space="preserve"> </w:t>
            </w:r>
            <w:r w:rsidR="00593252" w:rsidRPr="00E10BE3">
              <w:t>konusu</w:t>
            </w:r>
            <w:r w:rsidR="00593252" w:rsidRPr="00A23740">
              <w:t xml:space="preserve"> paradan başka bir şey olan alacakların para alacağına çevrilerek masaya kaydettirilebileceği hükme bağlanmıştır. Maddenin ilk fıkrası gereğince konusu paradan başka bir şey olan alacaklar iflas tarihindeki kıymetleri üze</w:t>
            </w:r>
            <w:r w:rsidRPr="00A23740">
              <w:t xml:space="preserve">rinden masaya kaydedilecektir. </w:t>
            </w:r>
          </w:p>
          <w:p w:rsidR="00593252" w:rsidRPr="00A23740" w:rsidRDefault="00593252" w:rsidP="009431FF">
            <w:pPr>
              <w:ind w:firstLine="709"/>
            </w:pPr>
            <w:r w:rsidRPr="00A23740">
              <w:t xml:space="preserve">Maddenin ikinci fıkrası gereğince iflas idaresi konusu para olmayan alacağın aynen ifasını üstlenebilir. Bu durumda iflas idaresiyle sözleşme yapmak zorunda kalan akdin diğer </w:t>
            </w:r>
            <w:r w:rsidRPr="00E10BE3">
              <w:t>tarafının</w:t>
            </w:r>
            <w:r w:rsidR="00454D36" w:rsidRPr="00E10BE3">
              <w:t>,</w:t>
            </w:r>
            <w:r w:rsidRPr="00E10BE3">
              <w:t xml:space="preserve"> sözleşmeye devam etmek isteyen iflas idaresinden teminat talep edebilmesi mümkündür. Şayet iflas idaresi bu talebe rağmen teminat göstermezse</w:t>
            </w:r>
            <w:r w:rsidR="00454D36" w:rsidRPr="00E10BE3">
              <w:t>,</w:t>
            </w:r>
            <w:r w:rsidRPr="00A23740">
              <w:t xml:space="preserve"> sözleşmenin aynen ifasından bahsedilemeyecektir. İflas idaresinin sözleşmeye girdiği h</w:t>
            </w:r>
            <w:r w:rsidR="009D574E" w:rsidRPr="00A23740">
              <w:t>â</w:t>
            </w:r>
            <w:r w:rsidRPr="00A23740">
              <w:t>llerde ortaya çıkacak borç ise masa bor</w:t>
            </w:r>
            <w:r w:rsidR="0040082A" w:rsidRPr="00A23740">
              <w:t xml:space="preserve">cu olacaktır. </w:t>
            </w:r>
          </w:p>
          <w:p w:rsidR="00593252" w:rsidRPr="00A23740" w:rsidRDefault="00593252" w:rsidP="009431FF">
            <w:pPr>
              <w:ind w:firstLine="709"/>
            </w:pPr>
            <w:r w:rsidRPr="00A23740">
              <w:t xml:space="preserve">İflas idaresinin sözleşmeye girme yönündeki kararını en geç sıra cetvelinin iflas dairesine bırakıldığının ilanına kadar açıklaması gerekir. Bu fıkra yenidir ve kanun koyucu, iflas idaresinin sözleşmeye girme yönündeki kararını açıklamasını belli bir süreyle sınırlandırmıştır. Sözleşmeye girme yönündeki kararın belli bir süreyle sınırlandırılması, sıra cetveline para olarak geçirilmiş edimin daha sonradan aynen ifasının talep edilmesi gibi karışıklıkların önüne geçilmesinde de faydalı olabilecektir. </w:t>
            </w:r>
          </w:p>
          <w:p w:rsidR="00593252" w:rsidRPr="00A23740" w:rsidRDefault="00593252" w:rsidP="00B43502">
            <w:pPr>
              <w:ind w:firstLine="709"/>
              <w:rPr>
                <w:b/>
                <w:color w:val="0000FF"/>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widowControl w:val="0"/>
            </w:pPr>
            <w:r w:rsidRPr="00A23740">
              <w:t>Tamam olmuş satışların ifası:</w:t>
            </w:r>
          </w:p>
          <w:p w:rsidR="00AA5C8C" w:rsidRPr="00A23740" w:rsidRDefault="00AA5C8C" w:rsidP="009431FF">
            <w:pPr>
              <w:pStyle w:val="KIRMIZI"/>
              <w:widowControl w:val="0"/>
            </w:pPr>
            <w:r w:rsidRPr="00A23740">
              <w:t>Madde 199 – İflasın açılmasından evvel borçluya bir mal satıp teslim eden satıcı fesih ve geri almak hakkını açıkça muhafaza etmiş olsa bile, akti feshedemez ve sattığını geri alamaz.</w:t>
            </w: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p>
          <w:p w:rsidR="00AA5C8C" w:rsidRPr="00A23740" w:rsidRDefault="00AA5C8C" w:rsidP="009431FF">
            <w:pPr>
              <w:pStyle w:val="KIRMIZI"/>
              <w:widowControl w:val="0"/>
            </w:pPr>
            <w:r w:rsidRPr="00A23740">
              <w:t>Mevzuu para olmıyan alacakların para</w:t>
            </w:r>
            <w:r w:rsidRPr="00A23740">
              <w:rPr>
                <w:rStyle w:val="KIRMIZIChar"/>
                <w:rFonts w:eastAsia="Calibri"/>
              </w:rPr>
              <w:t>ya</w:t>
            </w:r>
            <w:r w:rsidRPr="00A23740">
              <w:t xml:space="preserve"> çevrilmesi:</w:t>
            </w:r>
          </w:p>
          <w:p w:rsidR="00AA5C8C" w:rsidRPr="00A23740" w:rsidRDefault="00AA5C8C" w:rsidP="009431FF">
            <w:pPr>
              <w:widowControl w:val="0"/>
              <w:tabs>
                <w:tab w:val="left" w:pos="567"/>
              </w:tabs>
              <w:rPr>
                <w:b/>
                <w:strike/>
                <w:color w:val="FF0000"/>
                <w:szCs w:val="24"/>
              </w:rPr>
            </w:pPr>
            <w:r w:rsidRPr="00A23740">
              <w:rPr>
                <w:rStyle w:val="KIRMIZIChar"/>
                <w:rFonts w:eastAsia="Calibri"/>
              </w:rPr>
              <w:t>Madde 198 – …</w:t>
            </w:r>
          </w:p>
          <w:p w:rsidR="00AA5C8C" w:rsidRPr="00A23740" w:rsidRDefault="00AA5C8C" w:rsidP="009431FF">
            <w:pPr>
              <w:widowControl w:val="0"/>
              <w:tabs>
                <w:tab w:val="left" w:pos="567"/>
              </w:tabs>
              <w:rPr>
                <w:b/>
                <w:strike/>
                <w:color w:val="FF0000"/>
                <w:szCs w:val="24"/>
              </w:rPr>
            </w:pPr>
            <w:r w:rsidRPr="00A23740">
              <w:rPr>
                <w:rStyle w:val="KIRMIZIChar"/>
                <w:rFonts w:eastAsia="Calibri"/>
              </w:rPr>
              <w:t>(2)</w:t>
            </w:r>
            <w:r w:rsidRPr="00A23740">
              <w:rPr>
                <w:rStyle w:val="KIRMIZIChar"/>
                <w:rFonts w:eastAsia="Calibri"/>
                <w:strike w:val="0"/>
              </w:rPr>
              <w:t xml:space="preserve"> </w:t>
            </w:r>
            <w:r w:rsidRPr="00A23740">
              <w:t xml:space="preserve">Borçlar Kanununun </w:t>
            </w:r>
            <w:r w:rsidRPr="00A23740">
              <w:rPr>
                <w:rStyle w:val="KIRMIZIChar"/>
                <w:rFonts w:eastAsia="Calibri"/>
              </w:rPr>
              <w:t>290 ncı</w:t>
            </w:r>
            <w:r w:rsidRPr="00A23740">
              <w:t xml:space="preserve"> maddesi hük</w:t>
            </w:r>
            <w:r w:rsidRPr="00A23740">
              <w:rPr>
                <w:rStyle w:val="KIRMIZIChar"/>
                <w:rFonts w:eastAsia="Calibri"/>
              </w:rPr>
              <w:t>ümleri mahfuzdur</w:t>
            </w:r>
            <w:r w:rsidRPr="00A23740">
              <w:t>.</w:t>
            </w:r>
          </w:p>
          <w:p w:rsidR="00AA5C8C" w:rsidRPr="00A23740" w:rsidRDefault="00AA5C8C" w:rsidP="009431FF">
            <w:pPr>
              <w:widowControl w:val="0"/>
              <w:tabs>
                <w:tab w:val="left" w:pos="567"/>
              </w:tabs>
              <w:rPr>
                <w:b/>
                <w:color w:val="0000FF"/>
                <w:szCs w:val="24"/>
              </w:rPr>
            </w:pPr>
          </w:p>
        </w:tc>
        <w:tc>
          <w:tcPr>
            <w:tcW w:w="2500" w:type="pct"/>
          </w:tcPr>
          <w:p w:rsidR="00AA5C8C" w:rsidRPr="00A23740" w:rsidRDefault="00AA5C8C" w:rsidP="009431FF">
            <w:pPr>
              <w:pStyle w:val="Mavi"/>
              <w:widowControl w:val="0"/>
            </w:pPr>
            <w:r w:rsidRPr="00A23740">
              <w:t>Müflisin taraf olduğu sürekli edimli sözleşmeler</w:t>
            </w:r>
          </w:p>
          <w:p w:rsidR="00AA5C8C" w:rsidRPr="00A23740" w:rsidRDefault="00AA2F67" w:rsidP="009431FF">
            <w:pPr>
              <w:pStyle w:val="Mavi"/>
              <w:widowControl w:val="0"/>
              <w:rPr>
                <w:rFonts w:eastAsia="Times New Roman"/>
              </w:rPr>
            </w:pPr>
            <w:r w:rsidRPr="00A23740">
              <w:rPr>
                <w:rStyle w:val="MaviChar"/>
                <w:b/>
                <w:bCs/>
              </w:rPr>
              <w:t>MADDE 309</w:t>
            </w:r>
            <w:r w:rsidR="00AA5C8C" w:rsidRPr="00A23740">
              <w:rPr>
                <w:rStyle w:val="MaviChar"/>
                <w:b/>
                <w:bCs/>
              </w:rPr>
              <w:t>-</w:t>
            </w:r>
            <w:r w:rsidR="00AA5C8C" w:rsidRPr="00A23740">
              <w:t xml:space="preserve"> (1) Müflisin taraf olduğu</w:t>
            </w:r>
            <w:r w:rsidR="00AA5C8C" w:rsidRPr="00A23740">
              <w:rPr>
                <w:rFonts w:eastAsia="Times New Roman"/>
                <w:color w:val="00B050"/>
              </w:rPr>
              <w:t xml:space="preserve"> </w:t>
            </w:r>
            <w:r w:rsidR="00AA5C8C" w:rsidRPr="00A23740">
              <w:rPr>
                <w:rStyle w:val="MaviChar"/>
              </w:rPr>
              <w:t>s</w:t>
            </w:r>
            <w:r w:rsidR="00AA5C8C" w:rsidRPr="00A23740">
              <w:rPr>
                <w:rFonts w:eastAsia="Times New Roman"/>
              </w:rPr>
              <w:t xml:space="preserve">ürekli edimli sözleşmelerden </w:t>
            </w:r>
            <w:r w:rsidR="00AA5C8C" w:rsidRPr="00A23740">
              <w:t>kaynaklanan talepler, belirsiz süreli sözleşmelerde en geç iflasın açılmasından sonraki ilk olası fesih ihbarı süresinin sonuna kadar; belirli süreli sözleşmelerde ise belirlenen sona erme süresinin sonuna kadar iflas alacağı olarak ileri sürülebilir</w:t>
            </w:r>
            <w:r w:rsidR="00AA5C8C" w:rsidRPr="00A23740">
              <w:rPr>
                <w:rFonts w:eastAsia="Times New Roman"/>
              </w:rPr>
              <w:t>. Bu süre esnasında alacaklının elde etmesi muhtemel faydalar alacağa mahsup edilir.</w:t>
            </w:r>
          </w:p>
          <w:p w:rsidR="00AA5C8C" w:rsidRPr="00A23740" w:rsidRDefault="00AA5C8C" w:rsidP="009431FF">
            <w:pPr>
              <w:widowControl w:val="0"/>
              <w:rPr>
                <w:rFonts w:eastAsia="Times New Roman"/>
                <w:b/>
                <w:bCs/>
                <w:color w:val="0000FF"/>
                <w:szCs w:val="24"/>
                <w:lang w:eastAsia="x-none"/>
              </w:rPr>
            </w:pPr>
          </w:p>
          <w:p w:rsidR="00AA5C8C" w:rsidRPr="00A23740" w:rsidRDefault="00AA5C8C" w:rsidP="009431FF">
            <w:pPr>
              <w:widowControl w:val="0"/>
              <w:tabs>
                <w:tab w:val="left" w:pos="567"/>
              </w:tabs>
              <w:rPr>
                <w:b/>
                <w:color w:val="0000FF"/>
                <w:szCs w:val="24"/>
              </w:rPr>
            </w:pPr>
            <w:r w:rsidRPr="00A23740">
              <w:rPr>
                <w:b/>
                <w:color w:val="0000FF"/>
                <w:szCs w:val="24"/>
              </w:rPr>
              <w:t xml:space="preserve">(2) İflas masası, sürekli borç ilişkisinden doğan edimlerden yararlandığı takdirde, alacaklının iflasın açılmasından sonra doğan karşı talepleri masa borcu olarak kabul edilir. </w:t>
            </w: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tabs>
                <w:tab w:val="left" w:pos="567"/>
              </w:tabs>
              <w:rPr>
                <w:b/>
                <w:color w:val="0000FF"/>
                <w:szCs w:val="24"/>
              </w:rPr>
            </w:pPr>
            <w:r w:rsidRPr="00A23740">
              <w:rPr>
                <w:b/>
                <w:color w:val="0000FF"/>
                <w:szCs w:val="24"/>
              </w:rPr>
              <w:t xml:space="preserve">(3) </w:t>
            </w:r>
            <w:r w:rsidRPr="00A23740">
              <w:rPr>
                <w:rStyle w:val="MaviChar"/>
              </w:rPr>
              <w:t>Müflisin</w:t>
            </w:r>
            <w:r w:rsidRPr="00A23740">
              <w:rPr>
                <w:b/>
                <w:color w:val="0000FF"/>
                <w:szCs w:val="24"/>
              </w:rPr>
              <w:t xml:space="preserve"> sözleşme ilişkilerini şahsen sürdürme hakkı saklıdır. </w:t>
            </w:r>
          </w:p>
          <w:p w:rsidR="00AA5C8C" w:rsidRPr="00A23740" w:rsidRDefault="00AA5C8C" w:rsidP="009431FF">
            <w:pPr>
              <w:widowControl w:val="0"/>
              <w:tabs>
                <w:tab w:val="left" w:pos="567"/>
              </w:tabs>
              <w:rPr>
                <w:b/>
                <w:color w:val="0000FF"/>
                <w:szCs w:val="24"/>
              </w:rPr>
            </w:pPr>
          </w:p>
          <w:p w:rsidR="00AA5C8C" w:rsidRPr="00A23740" w:rsidRDefault="00AA5C8C" w:rsidP="009431FF">
            <w:pPr>
              <w:widowControl w:val="0"/>
            </w:pPr>
            <w:r w:rsidRPr="00A23740">
              <w:rPr>
                <w:rStyle w:val="MaviChar"/>
              </w:rPr>
              <w:t>(4)</w:t>
            </w:r>
            <w:r w:rsidRPr="00A23740">
              <w:t xml:space="preserve"> </w:t>
            </w:r>
            <w:r w:rsidRPr="00A23740">
              <w:rPr>
                <w:rStyle w:val="MaviChar"/>
              </w:rPr>
              <w:t>Türk</w:t>
            </w:r>
            <w:r w:rsidRPr="00A23740">
              <w:t xml:space="preserve"> Borçlar Kanununun </w:t>
            </w:r>
            <w:r w:rsidRPr="00A23740">
              <w:rPr>
                <w:rStyle w:val="MaviChar"/>
              </w:rPr>
              <w:t>370 inci</w:t>
            </w:r>
            <w:r w:rsidRPr="00A23740">
              <w:t xml:space="preserve"> maddesi hük</w:t>
            </w:r>
            <w:r w:rsidRPr="00A23740">
              <w:rPr>
                <w:rStyle w:val="MaviChar"/>
              </w:rPr>
              <w:t>mü</w:t>
            </w:r>
            <w:r w:rsidRPr="00A23740">
              <w:t xml:space="preserve"> </w:t>
            </w:r>
            <w:r w:rsidRPr="00A23740">
              <w:rPr>
                <w:rStyle w:val="MaviChar"/>
              </w:rPr>
              <w:t>saklıdır</w:t>
            </w:r>
            <w:r w:rsidRPr="00A23740">
              <w:t>.</w:t>
            </w:r>
          </w:p>
          <w:p w:rsidR="00AA5C8C" w:rsidRPr="00A23740" w:rsidRDefault="00AA5C8C" w:rsidP="009431FF">
            <w:pPr>
              <w:widowControl w:val="0"/>
              <w:rPr>
                <w:b/>
                <w:color w:val="0000FF"/>
                <w:szCs w:val="24"/>
              </w:rPr>
            </w:pPr>
          </w:p>
        </w:tc>
      </w:tr>
      <w:tr w:rsidR="0059325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0082A" w:rsidRPr="00A23740" w:rsidRDefault="0040082A" w:rsidP="009431FF">
            <w:pPr>
              <w:ind w:firstLine="709"/>
              <w:rPr>
                <w:b/>
              </w:rPr>
            </w:pPr>
          </w:p>
          <w:p w:rsidR="00593252" w:rsidRPr="00A23740" w:rsidRDefault="00AA2F67" w:rsidP="009431FF">
            <w:pPr>
              <w:ind w:firstLine="709"/>
            </w:pPr>
            <w:r w:rsidRPr="00A23740">
              <w:rPr>
                <w:b/>
              </w:rPr>
              <w:t>MADDE 309</w:t>
            </w:r>
            <w:r w:rsidR="0040082A" w:rsidRPr="00A23740">
              <w:rPr>
                <w:b/>
              </w:rPr>
              <w:t>-</w:t>
            </w:r>
            <w:r w:rsidR="0040082A" w:rsidRPr="00A23740">
              <w:t xml:space="preserve"> Maddeyle, müflisin taraf olduğu sürekli edimli sözleşmelere ilişkin hususlar düzenlenmektedir. Hüküm, 2004 sayılı Kanunun 199 uncu maddesine karşılık gelmektedir. </w:t>
            </w:r>
          </w:p>
          <w:p w:rsidR="00593252" w:rsidRPr="00A23740" w:rsidRDefault="00593252" w:rsidP="009431FF">
            <w:pPr>
              <w:ind w:firstLine="709"/>
            </w:pPr>
            <w:r w:rsidRPr="00A23740">
              <w:t xml:space="preserve">İflasın açılmasının müflisin tarafı olduğu sürekli edimli sözleşmelere </w:t>
            </w:r>
            <w:r w:rsidR="004F1E3B" w:rsidRPr="00A23740">
              <w:t>olan etkisi</w:t>
            </w:r>
            <w:r w:rsidR="00C35BF4" w:rsidRPr="00A23740">
              <w:t>,</w:t>
            </w:r>
            <w:r w:rsidR="004F1E3B" w:rsidRPr="00A23740">
              <w:t xml:space="preserve"> maddenin konusu</w:t>
            </w:r>
            <w:r w:rsidR="00C35BF4" w:rsidRPr="00A23740">
              <w:t>nu oluşturmaktadır</w:t>
            </w:r>
            <w:r w:rsidR="004F1E3B" w:rsidRPr="00A23740">
              <w:t>.</w:t>
            </w:r>
            <w:r w:rsidRPr="00A23740">
              <w:t xml:space="preserve"> Sürekli edimli sözleşmeden bahsedilebilmesi için</w:t>
            </w:r>
            <w:r w:rsidR="00C35BF4" w:rsidRPr="00A23740">
              <w:t>,</w:t>
            </w:r>
            <w:r w:rsidRPr="00A23740">
              <w:t xml:space="preserve"> sözleşmedeki ana edimin sürekli nitelik taşıması</w:t>
            </w:r>
            <w:r w:rsidR="004F1E3B" w:rsidRPr="00A23740">
              <w:t xml:space="preserve"> </w:t>
            </w:r>
            <w:r w:rsidR="004F1E3B" w:rsidRPr="00E10BE3">
              <w:t>gerekir.</w:t>
            </w:r>
            <w:r w:rsidR="0091500F">
              <w:t xml:space="preserve"> </w:t>
            </w:r>
            <w:r w:rsidRPr="00A23740">
              <w:t>Aslında bu nitelikte bir sözleşme  bulunup bulunmadığı borçlar hukuku hükümlerine göre belirlenecektir. İflasın açılması sürekli edimli sözleşmeyi kural olarak kendiliğinden sona erdirmeyecektir. Dolayısıyla</w:t>
            </w:r>
            <w:r w:rsidR="00C35BF4" w:rsidRPr="00A23740">
              <w:t>,</w:t>
            </w:r>
            <w:r w:rsidRPr="00A23740">
              <w:t xml:space="preserve"> iflasa rağmen tarafların sözleşmesel yükümlülükleri devam edecektir. Madde mehaz Kanunun 211a maddesinden</w:t>
            </w:r>
            <w:r w:rsidR="004F1E3B" w:rsidRPr="00A23740">
              <w:t xml:space="preserve"> </w:t>
            </w:r>
            <w:r w:rsidR="004F1E3B" w:rsidRPr="00E10BE3">
              <w:t>mülhemdir.</w:t>
            </w:r>
            <w:r w:rsidRPr="00A23740">
              <w:t xml:space="preserve"> Buna göre sürekli edimli sözleşme gereğince müflisten alaca</w:t>
            </w:r>
            <w:r w:rsidR="004F1E3B" w:rsidRPr="00A23740">
              <w:t>k</w:t>
            </w:r>
            <w:r w:rsidRPr="00A23740">
              <w:t>lı olan iflas alacaklısının bu sözleşme</w:t>
            </w:r>
            <w:r w:rsidR="00C35BF4" w:rsidRPr="00A23740">
              <w:t xml:space="preserve">ye dayanarak </w:t>
            </w:r>
            <w:r w:rsidRPr="00A23740">
              <w:t>ileri sürebileceği talebin içeriği, sözleşmenin belirli veya belirsiz süreli olmasına göre tayin edilecektir. Bu çerçevede belirsiz süreli sözleşmelerde en geç iflasın açılmasından sonraki ilk olası fesih ihbarı süresinin sonuna kadar</w:t>
            </w:r>
            <w:r w:rsidR="00C35BF4" w:rsidRPr="00A23740">
              <w:t>;</w:t>
            </w:r>
            <w:r w:rsidRPr="00A23740">
              <w:t xml:space="preserve"> belirli süreli sözleşmelerde ise belirlenen sona erme süresinin sonuna kadar doğabilecek alacaklar iflas alacağı olarak masadan talep edilebilecektir. Bu süre içinde iflas  alacaklısının elde edebileceği muhtemel faydalar da a</w:t>
            </w:r>
            <w:r w:rsidR="0040082A" w:rsidRPr="00A23740">
              <w:t xml:space="preserve">lacağından mahsup edilecektir. </w:t>
            </w:r>
          </w:p>
          <w:p w:rsidR="00593252" w:rsidRPr="00A23740" w:rsidRDefault="00593252" w:rsidP="009431FF">
            <w:pPr>
              <w:ind w:firstLine="709"/>
            </w:pPr>
            <w:r w:rsidRPr="00A23740">
              <w:t>Maddenin ikinci fıkrasına göre iflasın açılmasından önce akdedilen sürekli edimli sözleşmenin devamında masanın menfaatinin bulunması h</w:t>
            </w:r>
            <w:r w:rsidR="009D574E" w:rsidRPr="00A23740">
              <w:t>â</w:t>
            </w:r>
            <w:r w:rsidRPr="00A23740">
              <w:t>linde iflas idaresi</w:t>
            </w:r>
            <w:r w:rsidR="00C35BF4" w:rsidRPr="00A23740">
              <w:t>nin</w:t>
            </w:r>
            <w:r w:rsidRPr="00A23740">
              <w:t xml:space="preserve"> sözleşmeye dahil </w:t>
            </w:r>
            <w:r w:rsidR="00C35BF4" w:rsidRPr="00A23740">
              <w:t xml:space="preserve">olması </w:t>
            </w:r>
            <w:r w:rsidRPr="00A23740">
              <w:t>ve bu sözleşmeden kaynaklanan borçlar</w:t>
            </w:r>
            <w:r w:rsidR="00C35BF4" w:rsidRPr="00A23740">
              <w:t>ın</w:t>
            </w:r>
            <w:r w:rsidRPr="00A23740">
              <w:t xml:space="preserve"> masa borcu niteliğine</w:t>
            </w:r>
            <w:r w:rsidR="009E52A2" w:rsidRPr="00A23740">
              <w:t xml:space="preserve"> kavuşması öngörülmektedir</w:t>
            </w:r>
            <w:r w:rsidRPr="00A23740">
              <w:t xml:space="preserve">. İflas idaresinin sözleşmeyi devam ettirme yönündeki iradesini makul süre içinde </w:t>
            </w:r>
            <w:r w:rsidR="009E52A2" w:rsidRPr="00A23740">
              <w:t xml:space="preserve"> sözleşmenin </w:t>
            </w:r>
            <w:r w:rsidRPr="00A23740">
              <w:t>diğer tarafına bildirmesi gerekir. Masa borcu olarak kabul edilecek alacaklar, iflasın açılmasından sonra ve iflas idaresinin sözleşmeye dahil olduğunu belirtt</w:t>
            </w:r>
            <w:r w:rsidR="0091500F">
              <w:t>ikten sonra doğan alacaklardır.</w:t>
            </w:r>
          </w:p>
          <w:p w:rsidR="00593252" w:rsidRPr="00A23740" w:rsidRDefault="00593252" w:rsidP="009431FF">
            <w:pPr>
              <w:ind w:firstLine="709"/>
            </w:pPr>
            <w:r w:rsidRPr="00A23740">
              <w:t>Maddenin üçüncü fıkrasında da müflisin özellikle gerçek kişi tacir olması h</w:t>
            </w:r>
            <w:r w:rsidR="009D574E" w:rsidRPr="00A23740">
              <w:t>â</w:t>
            </w:r>
            <w:r w:rsidRPr="00A23740">
              <w:t xml:space="preserve">linde iflasa rağmen bazı sözleşmeleri devam ettirme hakkı olduğu belirtilmektedir. Bu bağlamda, kira ve özel sigorta sözleşmesi gibi müflisin kişisel hayatını doğrudan ilgilendiren sözleşmeler </w:t>
            </w:r>
            <w:r w:rsidR="0040082A" w:rsidRPr="00A23740">
              <w:t xml:space="preserve">iflasa rağmen devam edecektir. </w:t>
            </w:r>
          </w:p>
          <w:p w:rsidR="00593252" w:rsidRPr="00A23740" w:rsidRDefault="00593252" w:rsidP="009431FF">
            <w:pPr>
              <w:ind w:firstLine="709"/>
            </w:pPr>
            <w:r w:rsidRPr="00A23740">
              <w:t xml:space="preserve">Maddenin son fıkrasında da </w:t>
            </w:r>
            <w:r w:rsidR="0040082A" w:rsidRPr="00A23740">
              <w:t>6098 sayılı Kanunun</w:t>
            </w:r>
            <w:r w:rsidRPr="00A23740">
              <w:t xml:space="preserve"> </w:t>
            </w:r>
            <w:r w:rsidR="009E52A2" w:rsidRPr="00A23740">
              <w:t xml:space="preserve">kiracının iflasına lişkin </w:t>
            </w:r>
            <w:r w:rsidRPr="00A23740">
              <w:t>370 inci madde</w:t>
            </w:r>
            <w:r w:rsidR="0040082A" w:rsidRPr="00A23740">
              <w:t>si</w:t>
            </w:r>
            <w:r w:rsidRPr="00A23740">
              <w:t>nin saklı olduğu belirtilmiştir.</w:t>
            </w:r>
          </w:p>
          <w:p w:rsidR="00AA4E1E" w:rsidRPr="00A23740" w:rsidRDefault="00AA4E1E" w:rsidP="00B43502">
            <w:pPr>
              <w:ind w:firstLine="709"/>
              <w:rPr>
                <w:b/>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color w:val="0000FF"/>
                <w:szCs w:val="24"/>
              </w:rPr>
            </w:pPr>
          </w:p>
        </w:tc>
        <w:tc>
          <w:tcPr>
            <w:tcW w:w="2500" w:type="pct"/>
          </w:tcPr>
          <w:p w:rsidR="00AA5C8C" w:rsidRPr="00A23740" w:rsidRDefault="00AA5C8C" w:rsidP="009431FF">
            <w:pPr>
              <w:pStyle w:val="Mavi"/>
            </w:pPr>
            <w:r w:rsidRPr="00A23740">
              <w:t>Satıcının sözleşmeden dönme hakkının sınırlanması</w:t>
            </w:r>
          </w:p>
          <w:p w:rsidR="00AA5C8C" w:rsidRPr="00A23740" w:rsidRDefault="00AA2F67" w:rsidP="009431FF">
            <w:pPr>
              <w:pStyle w:val="Mavi"/>
            </w:pPr>
            <w:r w:rsidRPr="00A23740">
              <w:t>MADDE 310</w:t>
            </w:r>
            <w:r w:rsidR="00AA5C8C" w:rsidRPr="00A23740">
              <w:t>- (1) Müflise</w:t>
            </w:r>
            <w:r w:rsidR="00AA5C8C" w:rsidRPr="00A23740">
              <w:rPr>
                <w:lang w:val="tr-TR"/>
              </w:rPr>
              <w:t xml:space="preserve"> </w:t>
            </w:r>
            <w:r w:rsidR="00F564FE" w:rsidRPr="00A23740">
              <w:t>iflası</w:t>
            </w:r>
            <w:r w:rsidR="00AA5C8C" w:rsidRPr="00A23740">
              <w:t>n açılmasından önce bir mal satıp teslim etmiş olan</w:t>
            </w:r>
            <w:r w:rsidR="00AA5C8C" w:rsidRPr="00A23740">
              <w:rPr>
                <w:lang w:val="tr-TR"/>
              </w:rPr>
              <w:t xml:space="preserve"> </w:t>
            </w:r>
            <w:r w:rsidR="00AA5C8C" w:rsidRPr="00A23740">
              <w:t>satıcı</w:t>
            </w:r>
            <w:r w:rsidR="00F564FE" w:rsidRPr="0091500F">
              <w:rPr>
                <w:rStyle w:val="Balk1Char"/>
                <w:rFonts w:eastAsia="ヒラギノ明朝 Pro W3"/>
                <w:b/>
              </w:rPr>
              <w:t>,</w:t>
            </w:r>
            <w:r w:rsidR="00AA5C8C" w:rsidRPr="00A23740">
              <w:t xml:space="preserve"> dönme ve geri alma hakkını açıkça saklı tutmuş olsa bile, sözleşmeden dönemez ve sattığını geri alamaz.</w:t>
            </w:r>
          </w:p>
          <w:p w:rsidR="00AA5C8C" w:rsidRPr="00A23740" w:rsidRDefault="00AA5C8C" w:rsidP="009431FF">
            <w:pPr>
              <w:pStyle w:val="KIRMIZI"/>
              <w:rPr>
                <w:b w:val="0"/>
                <w:color w:val="0000FF"/>
              </w:rPr>
            </w:pPr>
          </w:p>
        </w:tc>
      </w:tr>
      <w:tr w:rsidR="0059325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0082A" w:rsidRPr="00A23740" w:rsidRDefault="0040082A" w:rsidP="009431FF">
            <w:pPr>
              <w:ind w:firstLine="709"/>
              <w:rPr>
                <w:b/>
              </w:rPr>
            </w:pPr>
          </w:p>
          <w:p w:rsidR="0040082A" w:rsidRPr="00A23740" w:rsidRDefault="00AA2F67" w:rsidP="009431FF">
            <w:pPr>
              <w:ind w:firstLine="709"/>
            </w:pPr>
            <w:r w:rsidRPr="00A23740">
              <w:rPr>
                <w:b/>
              </w:rPr>
              <w:t>MADDE 310</w:t>
            </w:r>
            <w:r w:rsidR="0040082A" w:rsidRPr="00A23740">
              <w:rPr>
                <w:b/>
              </w:rPr>
              <w:t>-</w:t>
            </w:r>
            <w:r w:rsidR="0040082A" w:rsidRPr="00A23740">
              <w:t xml:space="preserve"> Maddeyle, satıcının sözleşmeden dönme hakkının sınırlanması</w:t>
            </w:r>
            <w:r w:rsidR="00706E87" w:rsidRPr="00A23740">
              <w:t>na</w:t>
            </w:r>
            <w:r w:rsidR="0040082A" w:rsidRPr="00A23740">
              <w:t xml:space="preserve"> ilişkin hususlar düzenlenmektedir. </w:t>
            </w:r>
          </w:p>
          <w:p w:rsidR="00593252" w:rsidRPr="00A23740" w:rsidRDefault="00593252" w:rsidP="009431FF">
            <w:pPr>
              <w:ind w:firstLine="709"/>
            </w:pPr>
            <w:r w:rsidRPr="00A23740">
              <w:t>Bu madde, iflasın açıldığı anda müflisin haczi kabil bütün mallarının iflas masasına dahil olacağı ilkesinin bir görünümüdür. Buna göre müflise iflasın açılmasından önce bir mal satıp teslim etmiş olan satıcı, dönme ve geri alma hakkını açıkça saklı tutmuş olsa bile sözleşmeden dönemeyecek ve sattığını masadan çıkartamayacaktır. Satış sözleşmesi sebebiyle satıcının müflisten bir alacağı mevcutsa</w:t>
            </w:r>
            <w:r w:rsidR="00314653" w:rsidRPr="00B43502">
              <w:t>,</w:t>
            </w:r>
            <w:r w:rsidRPr="00A23740">
              <w:t xml:space="preserve"> bu alacak bir iflas alacağı olarak kabul edil</w:t>
            </w:r>
            <w:r w:rsidR="00B43502">
              <w:t>ecektir.</w:t>
            </w:r>
          </w:p>
          <w:p w:rsidR="00593252" w:rsidRPr="00A23740" w:rsidRDefault="00593252" w:rsidP="009431FF">
            <w:pPr>
              <w:ind w:firstLine="709"/>
            </w:pPr>
          </w:p>
          <w:p w:rsidR="00C42DF2" w:rsidRPr="00A23740" w:rsidRDefault="00C42DF2" w:rsidP="00B43502">
            <w:pPr>
              <w:ind w:firstLine="709"/>
              <w:rPr>
                <w:b/>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center" w:pos="3543"/>
              </w:tabs>
              <w:rPr>
                <w:szCs w:val="24"/>
              </w:rPr>
            </w:pPr>
            <w:r w:rsidRPr="00A23740">
              <w:rPr>
                <w:szCs w:val="24"/>
              </w:rPr>
              <w:t>Takas</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200 – (1)</w:t>
            </w:r>
            <w:r w:rsidRPr="00A23740">
              <w:rPr>
                <w:b/>
                <w:szCs w:val="24"/>
              </w:rPr>
              <w:t xml:space="preserve"> </w:t>
            </w:r>
            <w:r w:rsidRPr="00A23740">
              <w:rPr>
                <w:szCs w:val="24"/>
              </w:rPr>
              <w:t xml:space="preserve">Alacaklı </w:t>
            </w:r>
            <w:r w:rsidRPr="0091500F">
              <w:rPr>
                <w:rStyle w:val="KIRMIZIChar"/>
                <w:rFonts w:eastAsia="Calibri"/>
              </w:rPr>
              <w:t>alacağını</w:t>
            </w:r>
            <w:r w:rsidRPr="00A23740">
              <w:rPr>
                <w:szCs w:val="24"/>
              </w:rPr>
              <w:t xml:space="preserve"> müflisin </w:t>
            </w:r>
            <w:r w:rsidRPr="0091500F">
              <w:rPr>
                <w:rStyle w:val="KIRMIZIChar"/>
                <w:rFonts w:eastAsia="Calibri"/>
              </w:rPr>
              <w:t>kendinde olan</w:t>
            </w:r>
            <w:r w:rsidRPr="00A23740">
              <w:rPr>
                <w:szCs w:val="24"/>
              </w:rPr>
              <w:t xml:space="preserve"> alacağı ile takas edebilir. Aşağıdaki hallerde takas yapılamaz</w:t>
            </w:r>
            <w:r w:rsidRPr="00A23740">
              <w:rPr>
                <w:rStyle w:val="KIRMIZIChar"/>
                <w:rFonts w:eastAsia="Calibri"/>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1 –</w:t>
            </w:r>
            <w:r w:rsidRPr="00A23740">
              <w:rPr>
                <w:szCs w:val="24"/>
              </w:rPr>
              <w:t xml:space="preserve"> Müflisin </w:t>
            </w:r>
            <w:r w:rsidRPr="0091500F">
              <w:rPr>
                <w:rStyle w:val="KIRMIZIChar"/>
                <w:rFonts w:eastAsia="Calibri"/>
              </w:rPr>
              <w:t>borçlusu iflas açıldıktan sonra müflisin alacaklısı olursa</w:t>
            </w:r>
            <w:r w:rsidRPr="00A23740">
              <w:rPr>
                <w:rStyle w:val="KIRMIZIChar"/>
                <w:rFonts w:eastAsia="Calibri"/>
              </w:rPr>
              <w:t>;</w:t>
            </w:r>
          </w:p>
          <w:p w:rsidR="00AA5C8C" w:rsidRPr="00A23740" w:rsidRDefault="00AA5C8C" w:rsidP="009431FF">
            <w:pPr>
              <w:tabs>
                <w:tab w:val="left" w:pos="567"/>
              </w:tabs>
              <w:rPr>
                <w:szCs w:val="24"/>
              </w:rPr>
            </w:pPr>
          </w:p>
          <w:p w:rsidR="00E807F4" w:rsidRPr="00A23740" w:rsidRDefault="00E807F4" w:rsidP="009431FF">
            <w:pPr>
              <w:tabs>
                <w:tab w:val="left" w:pos="567"/>
              </w:tabs>
              <w:rPr>
                <w:szCs w:val="24"/>
              </w:rPr>
            </w:pPr>
          </w:p>
          <w:p w:rsidR="00E807F4" w:rsidRPr="00A23740" w:rsidRDefault="00E807F4" w:rsidP="009431FF">
            <w:pPr>
              <w:tabs>
                <w:tab w:val="left" w:pos="567"/>
              </w:tabs>
              <w:rPr>
                <w:szCs w:val="24"/>
              </w:rPr>
            </w:pPr>
          </w:p>
          <w:p w:rsidR="00E807F4" w:rsidRPr="00A23740" w:rsidRDefault="00E807F4"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2 –</w:t>
            </w:r>
            <w:r w:rsidRPr="00A23740">
              <w:rPr>
                <w:szCs w:val="24"/>
              </w:rPr>
              <w:t xml:space="preserve"> Müflisin alacaklısı iflas açıldıktan sonra müflisin veya masanın borçlusu olursa</w:t>
            </w:r>
            <w:r w:rsidRPr="00A23740">
              <w:rPr>
                <w:b/>
                <w:strike/>
                <w:color w:val="FF0000"/>
                <w:szCs w:val="24"/>
              </w:rPr>
              <w:t>;</w:t>
            </w:r>
          </w:p>
          <w:p w:rsidR="00E807F4" w:rsidRPr="00A23740" w:rsidRDefault="00E807F4"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3 –</w:t>
            </w:r>
            <w:r w:rsidRPr="00A23740">
              <w:rPr>
                <w:szCs w:val="24"/>
              </w:rPr>
              <w:t xml:space="preserve"> Alacaklı</w:t>
            </w:r>
            <w:r w:rsidRPr="00A23740">
              <w:rPr>
                <w:b/>
                <w:strike/>
                <w:color w:val="FF0000"/>
                <w:szCs w:val="24"/>
              </w:rPr>
              <w:t xml:space="preserve">nın </w:t>
            </w:r>
            <w:r w:rsidRPr="00A23740">
              <w:rPr>
                <w:szCs w:val="24"/>
              </w:rPr>
              <w:t xml:space="preserve">alacağı hamile </w:t>
            </w:r>
            <w:r w:rsidRPr="00A23740">
              <w:rPr>
                <w:b/>
                <w:strike/>
                <w:color w:val="FF0000"/>
                <w:szCs w:val="24"/>
              </w:rPr>
              <w:t>muharer</w:t>
            </w:r>
            <w:r w:rsidRPr="00A23740">
              <w:rPr>
                <w:szCs w:val="24"/>
              </w:rPr>
              <w:t xml:space="preserve"> bir senede </w:t>
            </w:r>
            <w:r w:rsidRPr="00A23740">
              <w:rPr>
                <w:b/>
                <w:strike/>
                <w:color w:val="FF0000"/>
                <w:szCs w:val="24"/>
              </w:rPr>
              <w:t>müstenit ise</w:t>
            </w:r>
            <w:r w:rsidRPr="00A23740">
              <w:rPr>
                <w:szCs w:val="24"/>
              </w:rPr>
              <w:t>.</w:t>
            </w:r>
          </w:p>
          <w:p w:rsidR="00AA5C8C" w:rsidRPr="00A23740" w:rsidRDefault="00AA5C8C" w:rsidP="009431FF">
            <w:pPr>
              <w:tabs>
                <w:tab w:val="left" w:pos="567"/>
              </w:tabs>
              <w:rPr>
                <w:szCs w:val="24"/>
              </w:rPr>
            </w:pPr>
          </w:p>
          <w:p w:rsidR="00E807F4" w:rsidRPr="00A23740" w:rsidRDefault="00E807F4" w:rsidP="009431FF"/>
          <w:p w:rsidR="00AB6CFD" w:rsidRPr="00A23740" w:rsidRDefault="00AB6CFD" w:rsidP="009431FF"/>
          <w:p w:rsidR="00AA5C8C" w:rsidRPr="00A23740" w:rsidRDefault="00AA5C8C" w:rsidP="009431FF"/>
          <w:p w:rsidR="00AA5C8C" w:rsidRPr="00A23740" w:rsidRDefault="00AA5C8C" w:rsidP="009431FF">
            <w:pPr>
              <w:pStyle w:val="Balk3"/>
              <w:jc w:val="both"/>
              <w:rPr>
                <w:lang w:val="tr-TR"/>
              </w:rPr>
            </w:pPr>
            <w:r w:rsidRPr="00A23740">
              <w:rPr>
                <w:rStyle w:val="KIRMIZIChar"/>
                <w:b/>
                <w:lang w:val="tr-TR"/>
              </w:rPr>
              <w:t>(2) (Değişik</w:t>
            </w:r>
            <w:r w:rsidRPr="00A23740">
              <w:rPr>
                <w:strike/>
                <w:color w:val="FF0000"/>
                <w:lang w:val="tr-TR"/>
              </w:rPr>
              <w:t>:</w:t>
            </w:r>
            <w:r w:rsidRPr="00A23740">
              <w:rPr>
                <w:b w:val="0"/>
                <w:strike/>
                <w:color w:val="FF0000"/>
                <w:lang w:val="tr-TR"/>
              </w:rPr>
              <w:t xml:space="preserve"> </w:t>
            </w:r>
            <w:r w:rsidRPr="00A23740">
              <w:rPr>
                <w:strike/>
                <w:color w:val="FF0000"/>
                <w:lang w:val="tr-TR"/>
              </w:rPr>
              <w:t>29/6/1956 - 6763/42 md.)</w:t>
            </w:r>
            <w:r w:rsidRPr="00A23740">
              <w:rPr>
                <w:lang w:val="tr-TR"/>
              </w:rPr>
              <w:t xml:space="preserve"> </w:t>
            </w:r>
            <w:r w:rsidRPr="00A23740">
              <w:rPr>
                <w:rFonts w:eastAsia="Calibri"/>
                <w:b w:val="0"/>
                <w:bCs w:val="0"/>
                <w:color w:val="auto"/>
                <w:szCs w:val="24"/>
                <w:lang w:val="tr-TR"/>
              </w:rPr>
              <w:t xml:space="preserve">Anonim, limited ve kooperatif şirketlerin iflasları halinde </w:t>
            </w:r>
            <w:r w:rsidRPr="00A23740">
              <w:rPr>
                <w:rStyle w:val="KIRMIZIChar"/>
                <w:b/>
                <w:lang w:val="tr-TR"/>
              </w:rPr>
              <w:t>esas mukavele</w:t>
            </w:r>
            <w:r w:rsidRPr="00A23740">
              <w:rPr>
                <w:rFonts w:eastAsia="Calibri"/>
                <w:b w:val="0"/>
                <w:bCs w:val="0"/>
                <w:color w:val="auto"/>
                <w:szCs w:val="24"/>
                <w:lang w:val="tr-TR"/>
              </w:rPr>
              <w:t xml:space="preserve"> gereğince verilmesi </w:t>
            </w:r>
            <w:r w:rsidRPr="00A23740">
              <w:rPr>
                <w:rStyle w:val="KIRMIZIChar"/>
                <w:b/>
                <w:lang w:val="tr-TR"/>
              </w:rPr>
              <w:t>lazımgelen hisse</w:t>
            </w:r>
            <w:r w:rsidRPr="00A23740">
              <w:rPr>
                <w:rFonts w:eastAsia="Calibri"/>
                <w:b w:val="0"/>
                <w:bCs w:val="0"/>
                <w:color w:val="auto"/>
                <w:szCs w:val="24"/>
                <w:lang w:val="tr-TR"/>
              </w:rPr>
              <w:t xml:space="preserve"> senedi bedellerinin henüz ödenmemiş olan </w:t>
            </w:r>
            <w:r w:rsidRPr="00A23740">
              <w:rPr>
                <w:rStyle w:val="KIRMIZIChar"/>
                <w:b/>
                <w:lang w:val="tr-TR"/>
              </w:rPr>
              <w:t>kısımları</w:t>
            </w:r>
            <w:r w:rsidRPr="00A23740">
              <w:rPr>
                <w:rFonts w:eastAsia="Calibri"/>
                <w:b w:val="0"/>
                <w:bCs w:val="0"/>
                <w:color w:val="auto"/>
                <w:szCs w:val="24"/>
                <w:lang w:val="tr-TR"/>
              </w:rPr>
              <w:t xml:space="preserve"> veya konması taahhüt edilen ve fakat konmamış olan sermaye</w:t>
            </w:r>
            <w:r w:rsidRPr="00A23740">
              <w:rPr>
                <w:rStyle w:val="KIRMIZIChar"/>
                <w:b/>
                <w:lang w:val="tr-TR"/>
              </w:rPr>
              <w:t>ler</w:t>
            </w:r>
            <w:r w:rsidRPr="00A23740">
              <w:rPr>
                <w:rFonts w:eastAsia="Calibri"/>
                <w:b w:val="0"/>
                <w:bCs w:val="0"/>
                <w:color w:val="auto"/>
                <w:szCs w:val="24"/>
                <w:lang w:val="tr-TR"/>
              </w:rPr>
              <w:t xml:space="preserve"> bu şirketler</w:t>
            </w:r>
            <w:r w:rsidRPr="00A23740">
              <w:rPr>
                <w:rStyle w:val="KIRMIZIChar"/>
                <w:b/>
                <w:lang w:val="tr-TR"/>
              </w:rPr>
              <w:t>in borçlariyle</w:t>
            </w:r>
            <w:r w:rsidRPr="00A23740">
              <w:rPr>
                <w:rFonts w:eastAsia="Calibri"/>
                <w:b w:val="0"/>
                <w:bCs w:val="0"/>
                <w:color w:val="auto"/>
                <w:szCs w:val="24"/>
                <w:lang w:val="tr-TR"/>
              </w:rPr>
              <w:t xml:space="preserve"> takas edilemez.</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Takas</w:t>
            </w:r>
          </w:p>
          <w:p w:rsidR="00AA5C8C" w:rsidRPr="00A23740" w:rsidRDefault="00AA5C8C" w:rsidP="009431FF">
            <w:pPr>
              <w:tabs>
                <w:tab w:val="left" w:pos="567"/>
              </w:tabs>
              <w:rPr>
                <w:szCs w:val="24"/>
              </w:rPr>
            </w:pPr>
            <w:r w:rsidRPr="00A23740">
              <w:rPr>
                <w:rStyle w:val="MaviChar"/>
                <w:lang w:val="tr-TR"/>
              </w:rPr>
              <w:t xml:space="preserve">MADDE </w:t>
            </w:r>
            <w:r w:rsidR="008276D4" w:rsidRPr="00A23740">
              <w:rPr>
                <w:rStyle w:val="MAVChar"/>
                <w:rFonts w:eastAsia="Calibri"/>
                <w:u w:val="none"/>
              </w:rPr>
              <w:t>311</w:t>
            </w:r>
            <w:r w:rsidRPr="00A23740">
              <w:rPr>
                <w:rStyle w:val="MAVChar"/>
                <w:rFonts w:eastAsia="Calibri"/>
                <w:u w:val="none"/>
              </w:rPr>
              <w:t xml:space="preserve">- </w:t>
            </w:r>
            <w:r w:rsidRPr="00A23740">
              <w:rPr>
                <w:rStyle w:val="MaviChar"/>
              </w:rPr>
              <w:t xml:space="preserve">(1) </w:t>
            </w:r>
            <w:r w:rsidRPr="0091500F">
              <w:rPr>
                <w:rStyle w:val="MaviChar"/>
                <w:b w:val="0"/>
                <w:color w:val="000000" w:themeColor="text1"/>
              </w:rPr>
              <w:t>Alacaklı,</w:t>
            </w:r>
            <w:r w:rsidRPr="0091500F">
              <w:rPr>
                <w:rStyle w:val="MaviChar"/>
                <w:color w:val="000000" w:themeColor="text1"/>
              </w:rPr>
              <w:t xml:space="preserve"> </w:t>
            </w:r>
            <w:r w:rsidRPr="0091500F">
              <w:rPr>
                <w:rStyle w:val="MaviChar"/>
                <w:b w:val="0"/>
                <w:color w:val="000000" w:themeColor="text1"/>
              </w:rPr>
              <w:t>müflisin</w:t>
            </w:r>
            <w:r w:rsidRPr="0091500F">
              <w:rPr>
                <w:rStyle w:val="MaviChar"/>
                <w:color w:val="000000" w:themeColor="text1"/>
              </w:rPr>
              <w:t xml:space="preserve"> </w:t>
            </w:r>
            <w:r w:rsidRPr="00A23740">
              <w:rPr>
                <w:rStyle w:val="MaviChar"/>
              </w:rPr>
              <w:t xml:space="preserve">kendisine karşı ileri sürebileceği </w:t>
            </w:r>
            <w:r w:rsidRPr="0091500F">
              <w:rPr>
                <w:rStyle w:val="MaviChar"/>
                <w:b w:val="0"/>
                <w:color w:val="000000" w:themeColor="text1"/>
              </w:rPr>
              <w:t>alacağı ile</w:t>
            </w:r>
            <w:r w:rsidRPr="00A23740">
              <w:rPr>
                <w:rStyle w:val="MaviChar"/>
              </w:rPr>
              <w:t xml:space="preserve"> kendi alacağını </w:t>
            </w:r>
            <w:r w:rsidRPr="0091500F">
              <w:rPr>
                <w:rStyle w:val="MaviChar"/>
                <w:b w:val="0"/>
                <w:color w:val="000000" w:themeColor="text1"/>
              </w:rPr>
              <w:t>takas edebilir.</w:t>
            </w:r>
            <w:r w:rsidRPr="00A23740">
              <w:t xml:space="preserve"> </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(2)</w:t>
            </w:r>
            <w:r w:rsidRPr="00A23740">
              <w:rPr>
                <w:szCs w:val="24"/>
              </w:rPr>
              <w:t xml:space="preserve"> Aşağıdaki h</w:t>
            </w:r>
            <w:r w:rsidR="009D574E" w:rsidRPr="00A23740">
              <w:rPr>
                <w:szCs w:val="24"/>
              </w:rPr>
              <w:t>â</w:t>
            </w:r>
            <w:r w:rsidRPr="00A23740">
              <w:rPr>
                <w:szCs w:val="24"/>
              </w:rPr>
              <w:t>llerde takas yapılamaz</w:t>
            </w:r>
            <w:r w:rsidRPr="00A23740">
              <w:rPr>
                <w:b/>
                <w:color w:val="0000FF"/>
                <w:szCs w:val="24"/>
              </w:rPr>
              <w:t>:</w:t>
            </w:r>
          </w:p>
          <w:p w:rsidR="00AA5C8C" w:rsidRPr="00A23740" w:rsidRDefault="00AA5C8C" w:rsidP="009431FF">
            <w:pPr>
              <w:tabs>
                <w:tab w:val="left" w:pos="567"/>
              </w:tabs>
              <w:rPr>
                <w:szCs w:val="24"/>
              </w:rPr>
            </w:pPr>
          </w:p>
          <w:p w:rsidR="00AA5C8C" w:rsidRPr="00A23740" w:rsidRDefault="00AA5C8C" w:rsidP="009431FF">
            <w:pPr>
              <w:rPr>
                <w:b/>
                <w:color w:val="0000FF"/>
                <w:szCs w:val="24"/>
              </w:rPr>
            </w:pPr>
            <w:r w:rsidRPr="00A23740">
              <w:rPr>
                <w:b/>
                <w:color w:val="0000FF"/>
                <w:szCs w:val="24"/>
              </w:rPr>
              <w:t xml:space="preserve">a) </w:t>
            </w:r>
            <w:r w:rsidRPr="00A23740">
              <w:rPr>
                <w:szCs w:val="24"/>
              </w:rPr>
              <w:t xml:space="preserve">Müflisin </w:t>
            </w:r>
            <w:r w:rsidRPr="00A23740">
              <w:rPr>
                <w:b/>
                <w:color w:val="0000FF"/>
                <w:szCs w:val="24"/>
              </w:rPr>
              <w:t xml:space="preserve">borçlusunun iflastan önce </w:t>
            </w:r>
            <w:r w:rsidRPr="00A23740">
              <w:rPr>
                <w:rStyle w:val="MaviChar"/>
              </w:rPr>
              <w:t>gerçekleşmiş</w:t>
            </w:r>
            <w:r w:rsidRPr="00A23740">
              <w:rPr>
                <w:b/>
                <w:color w:val="0000FF"/>
                <w:szCs w:val="24"/>
              </w:rPr>
              <w:t xml:space="preserve"> bir taahhüdü yerine getirmiş veya kendisinin üzerinde mülkiyet veya sınırlı ayni hak sahibi bulunduğu ve borçlunun borcu için rehinle yüklenmiş bir malı rehinden kurtarmış olduğu h</w:t>
            </w:r>
            <w:r w:rsidR="009D574E" w:rsidRPr="00A23740">
              <w:rPr>
                <w:b/>
                <w:color w:val="0000FF"/>
                <w:szCs w:val="24"/>
              </w:rPr>
              <w:t>â</w:t>
            </w:r>
            <w:r w:rsidRPr="00A23740">
              <w:rPr>
                <w:b/>
                <w:color w:val="0000FF"/>
                <w:szCs w:val="24"/>
              </w:rPr>
              <w:t>ller saklı kalmak kaydıyla,</w:t>
            </w:r>
            <w:r w:rsidRPr="00A23740">
              <w:rPr>
                <w:szCs w:val="24"/>
              </w:rPr>
              <w:t xml:space="preserve"> </w:t>
            </w:r>
            <w:r w:rsidRPr="00A23740">
              <w:rPr>
                <w:rStyle w:val="MaviChar"/>
              </w:rPr>
              <w:t>müflisin</w:t>
            </w:r>
            <w:r w:rsidRPr="00A23740">
              <w:rPr>
                <w:szCs w:val="24"/>
              </w:rPr>
              <w:t xml:space="preserve"> borçlusu iflas açıldıktan sonra müflisin alacaklısı olursa</w:t>
            </w:r>
            <w:r w:rsidRPr="00A23740">
              <w:rPr>
                <w:b/>
                <w:color w:val="0000FF"/>
                <w:szCs w:val="24"/>
              </w:rPr>
              <w:t>.</w:t>
            </w:r>
          </w:p>
          <w:p w:rsidR="00AB6CFD" w:rsidRPr="00A23740" w:rsidRDefault="00AB6CFD" w:rsidP="009431FF">
            <w:pPr>
              <w:rPr>
                <w:szCs w:val="24"/>
              </w:rPr>
            </w:pPr>
          </w:p>
          <w:p w:rsidR="00AA5C8C" w:rsidRPr="00A23740" w:rsidRDefault="00AA5C8C" w:rsidP="009431FF">
            <w:pPr>
              <w:tabs>
                <w:tab w:val="left" w:pos="567"/>
              </w:tabs>
              <w:rPr>
                <w:b/>
                <w:color w:val="0000FF"/>
                <w:szCs w:val="24"/>
              </w:rPr>
            </w:pPr>
            <w:r w:rsidRPr="00A23740">
              <w:rPr>
                <w:b/>
                <w:color w:val="0000FF"/>
                <w:szCs w:val="24"/>
              </w:rPr>
              <w:t>b)</w:t>
            </w:r>
            <w:r w:rsidRPr="00A23740">
              <w:rPr>
                <w:szCs w:val="24"/>
              </w:rPr>
              <w:t xml:space="preserve"> Müflisin alacaklısı iflas açıldıktan sonra müflisin veya masanın borçlusu olursa</w:t>
            </w:r>
            <w:r w:rsidRPr="00A23740">
              <w:rPr>
                <w:b/>
                <w:color w:val="0000FF"/>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 xml:space="preserve">(3) </w:t>
            </w:r>
            <w:r w:rsidRPr="00A23740">
              <w:rPr>
                <w:szCs w:val="24"/>
              </w:rPr>
              <w:t>Alacaklı</w:t>
            </w:r>
            <w:r w:rsidRPr="00A23740">
              <w:rPr>
                <w:rStyle w:val="MaviChar"/>
              </w:rPr>
              <w:t>,</w:t>
            </w:r>
            <w:r w:rsidRPr="00A23740">
              <w:rPr>
                <w:b/>
                <w:color w:val="0000FF"/>
                <w:szCs w:val="24"/>
              </w:rPr>
              <w:t xml:space="preserve"> </w:t>
            </w:r>
            <w:r w:rsidRPr="00A23740">
              <w:rPr>
                <w:szCs w:val="24"/>
              </w:rPr>
              <w:t>alacağı hamil</w:t>
            </w:r>
            <w:r w:rsidRPr="00A23740">
              <w:rPr>
                <w:rStyle w:val="MaviChar"/>
              </w:rPr>
              <w:t>in</w:t>
            </w:r>
            <w:r w:rsidRPr="00A23740">
              <w:t>e</w:t>
            </w:r>
            <w:r w:rsidRPr="00A23740">
              <w:rPr>
                <w:b/>
                <w:color w:val="0000FF"/>
                <w:szCs w:val="24"/>
              </w:rPr>
              <w:t xml:space="preserve"> yazılı </w:t>
            </w:r>
            <w:r w:rsidRPr="00A23740">
              <w:rPr>
                <w:szCs w:val="24"/>
              </w:rPr>
              <w:t>bir senede</w:t>
            </w:r>
            <w:r w:rsidRPr="00A23740">
              <w:rPr>
                <w:b/>
                <w:color w:val="0000FF"/>
                <w:szCs w:val="24"/>
              </w:rPr>
              <w:t xml:space="preserve"> dayanıyorsa senede bağlı alacağı ile borcunu takas edemez. Ancak alacaklı senedi iflasın açılmasından önce iyiniyetle iktisap ettiğini ispat ederse</w:t>
            </w:r>
            <w:r w:rsidRPr="00A23740">
              <w:rPr>
                <w:rStyle w:val="YELChar"/>
              </w:rPr>
              <w:t>,</w:t>
            </w:r>
            <w:r w:rsidRPr="00A23740">
              <w:rPr>
                <w:b/>
                <w:color w:val="0000FF"/>
                <w:szCs w:val="24"/>
              </w:rPr>
              <w:t xml:space="preserve"> senede bağlı alacağı ile borcunu takas edebilir.</w:t>
            </w:r>
          </w:p>
          <w:p w:rsidR="00AA5C8C" w:rsidRPr="00A23740" w:rsidRDefault="00AA5C8C" w:rsidP="009431FF">
            <w:pPr>
              <w:tabs>
                <w:tab w:val="left" w:pos="567"/>
              </w:tabs>
              <w:rPr>
                <w:szCs w:val="24"/>
              </w:rPr>
            </w:pPr>
          </w:p>
          <w:p w:rsidR="00AA5C8C" w:rsidRDefault="00AA5C8C" w:rsidP="009431FF">
            <w:pPr>
              <w:tabs>
                <w:tab w:val="left" w:pos="567"/>
              </w:tabs>
              <w:rPr>
                <w:szCs w:val="24"/>
              </w:rPr>
            </w:pPr>
            <w:r w:rsidRPr="00A23740">
              <w:rPr>
                <w:b/>
                <w:color w:val="0000FF"/>
                <w:szCs w:val="24"/>
              </w:rPr>
              <w:t>(4)</w:t>
            </w:r>
            <w:r w:rsidRPr="00A23740">
              <w:rPr>
                <w:szCs w:val="24"/>
              </w:rPr>
              <w:t xml:space="preserve"> Anonim, limited</w:t>
            </w:r>
            <w:r w:rsidRPr="00A23740">
              <w:rPr>
                <w:rStyle w:val="MaviChar"/>
                <w:lang w:val="tr-TR"/>
              </w:rPr>
              <w:t>, sermayesi paylara bölünmüş komandit</w:t>
            </w:r>
            <w:r w:rsidRPr="00A23740">
              <w:rPr>
                <w:rStyle w:val="KIRMIZIChar"/>
                <w:rFonts w:eastAsia="Calibri"/>
                <w:strike w:val="0"/>
              </w:rPr>
              <w:t xml:space="preserve"> </w:t>
            </w:r>
            <w:r w:rsidRPr="00A23740">
              <w:rPr>
                <w:szCs w:val="24"/>
              </w:rPr>
              <w:t>ve kooperatif şirketlerin iflasları h</w:t>
            </w:r>
            <w:r w:rsidR="009D574E" w:rsidRPr="00A23740">
              <w:rPr>
                <w:szCs w:val="24"/>
              </w:rPr>
              <w:t>â</w:t>
            </w:r>
            <w:r w:rsidRPr="00A23740">
              <w:rPr>
                <w:szCs w:val="24"/>
              </w:rPr>
              <w:t xml:space="preserve">linde </w:t>
            </w:r>
            <w:r w:rsidRPr="00A23740">
              <w:rPr>
                <w:b/>
                <w:color w:val="0000FF"/>
                <w:szCs w:val="24"/>
              </w:rPr>
              <w:t>şirket sözleşmesi</w:t>
            </w:r>
            <w:r w:rsidRPr="00A23740">
              <w:rPr>
                <w:szCs w:val="24"/>
              </w:rPr>
              <w:t xml:space="preserve"> gereğince verilmesi </w:t>
            </w:r>
            <w:r w:rsidRPr="00A23740">
              <w:rPr>
                <w:b/>
                <w:color w:val="0000FF"/>
                <w:szCs w:val="24"/>
              </w:rPr>
              <w:t xml:space="preserve">gereken pay </w:t>
            </w:r>
            <w:r w:rsidRPr="00A23740">
              <w:rPr>
                <w:szCs w:val="24"/>
              </w:rPr>
              <w:t xml:space="preserve">senedi bedellerinin henüz ödenmemiş olan </w:t>
            </w:r>
            <w:r w:rsidRPr="00A23740">
              <w:rPr>
                <w:rStyle w:val="MaviChar"/>
              </w:rPr>
              <w:t>kısmına</w:t>
            </w:r>
            <w:r w:rsidRPr="00A23740">
              <w:rPr>
                <w:szCs w:val="24"/>
              </w:rPr>
              <w:t xml:space="preserve"> </w:t>
            </w:r>
            <w:r w:rsidRPr="00A23740">
              <w:rPr>
                <w:b/>
                <w:color w:val="0000FF"/>
                <w:szCs w:val="24"/>
              </w:rPr>
              <w:t>ilişkin borçları</w:t>
            </w:r>
            <w:r w:rsidRPr="00A23740">
              <w:rPr>
                <w:szCs w:val="24"/>
              </w:rPr>
              <w:t xml:space="preserve"> veya konması taahhüt edilen ve fakat konmamış olan sermaye </w:t>
            </w:r>
            <w:r w:rsidRPr="00A23740">
              <w:rPr>
                <w:b/>
                <w:color w:val="0000FF"/>
                <w:szCs w:val="24"/>
              </w:rPr>
              <w:t>borçları,</w:t>
            </w:r>
            <w:r w:rsidRPr="00A23740">
              <w:rPr>
                <w:szCs w:val="24"/>
              </w:rPr>
              <w:t xml:space="preserve"> bu şirketler</w:t>
            </w:r>
            <w:r w:rsidRPr="00A23740">
              <w:rPr>
                <w:b/>
                <w:color w:val="0000FF"/>
                <w:szCs w:val="24"/>
              </w:rPr>
              <w:t xml:space="preserve">den olan alacaklar ile </w:t>
            </w:r>
            <w:r w:rsidRPr="00A23740">
              <w:rPr>
                <w:szCs w:val="24"/>
              </w:rPr>
              <w:t xml:space="preserve">takas edilemez. </w:t>
            </w:r>
          </w:p>
          <w:p w:rsidR="00F62254" w:rsidRPr="00A23740" w:rsidRDefault="00F62254" w:rsidP="009431FF">
            <w:pPr>
              <w:tabs>
                <w:tab w:val="left" w:pos="567"/>
              </w:tabs>
            </w:pPr>
          </w:p>
        </w:tc>
      </w:tr>
      <w:tr w:rsidR="00AB6CFD"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A4E1E" w:rsidRPr="00A23740" w:rsidRDefault="00AA4E1E" w:rsidP="009431FF">
            <w:pPr>
              <w:ind w:firstLine="709"/>
              <w:rPr>
                <w:b/>
              </w:rPr>
            </w:pPr>
          </w:p>
          <w:p w:rsidR="00AA4E1E" w:rsidRPr="00A23740" w:rsidRDefault="008276D4" w:rsidP="009431FF">
            <w:pPr>
              <w:ind w:firstLine="709"/>
            </w:pPr>
            <w:r w:rsidRPr="00A23740">
              <w:rPr>
                <w:b/>
              </w:rPr>
              <w:t>MADDE 311</w:t>
            </w:r>
            <w:r w:rsidR="00706E87" w:rsidRPr="00A23740">
              <w:rPr>
                <w:b/>
              </w:rPr>
              <w:t>-</w:t>
            </w:r>
            <w:r w:rsidR="00706E87" w:rsidRPr="00A23740">
              <w:t xml:space="preserve"> Maddeyle, </w:t>
            </w:r>
            <w:r w:rsidR="00AA4E1E" w:rsidRPr="00A23740">
              <w:t xml:space="preserve">takasa </w:t>
            </w:r>
            <w:r w:rsidR="00706E87" w:rsidRPr="00A23740">
              <w:t xml:space="preserve">ilişkin hususlar düzenlenmektedir. Hüküm, 2004 sayılı Kanunun 200 üncü maddesine karşılık gelmektedir. </w:t>
            </w:r>
          </w:p>
          <w:p w:rsidR="007700AE" w:rsidRPr="00A23740" w:rsidRDefault="007700AE" w:rsidP="009431FF">
            <w:pPr>
              <w:tabs>
                <w:tab w:val="left" w:pos="567"/>
              </w:tabs>
              <w:ind w:firstLine="709"/>
            </w:pPr>
            <w:r w:rsidRPr="00A23740">
              <w:t>Maddenin önceki düzenlemesinin birinci fıkrası, “Alacaklı alacağını müflisin kendinde olan alacağı ile takas edebilir” şeklinde</w:t>
            </w:r>
            <w:r w:rsidR="009E52A2" w:rsidRPr="00A23740">
              <w:t xml:space="preserve"> </w:t>
            </w:r>
            <w:r w:rsidR="009E52A2" w:rsidRPr="00E10BE3">
              <w:t>i</w:t>
            </w:r>
            <w:r w:rsidR="00761F55" w:rsidRPr="00E10BE3">
              <w:t>ken</w:t>
            </w:r>
            <w:r w:rsidR="009E52A2" w:rsidRPr="00E10BE3">
              <w:t>,</w:t>
            </w:r>
            <w:r w:rsidRPr="00A23740">
              <w:t xml:space="preserve"> bu hüküm, “Alacaklı, müflisin kendisine karşı ileri sürebileceği alacağı ile kendi alacağını takas edebilir” biçimde daha açık ve anlaşılır </w:t>
            </w:r>
            <w:r w:rsidR="009E52A2" w:rsidRPr="00A23740">
              <w:t xml:space="preserve">bir dille </w:t>
            </w:r>
            <w:r w:rsidRPr="00A23740">
              <w:t>kaleme alınmıştır. İflâs alacaklıları, tasfiye sonunda alacaklarını genellikle tam olarak alamayıp, yalnız o alacağa düşen ifl</w:t>
            </w:r>
            <w:r w:rsidR="00656C77" w:rsidRPr="00A23740">
              <w:t>a</w:t>
            </w:r>
            <w:r w:rsidRPr="00A23740">
              <w:t>s payını alırlar. Buna karşılık, müflisin borçluları, borçlarını ifl</w:t>
            </w:r>
            <w:r w:rsidR="00656C77" w:rsidRPr="00A23740">
              <w:t>a</w:t>
            </w:r>
            <w:r w:rsidRPr="00A23740">
              <w:t>s masasına tam olarak ödemek zorundadırlar. İflâsta takas yapılmasına izin verildiğinde ifl</w:t>
            </w:r>
            <w:r w:rsidR="00656C77" w:rsidRPr="00A23740">
              <w:t>a</w:t>
            </w:r>
            <w:r w:rsidRPr="00A23740">
              <w:t>s açıldığı anda müflisin hem alacaklısı hem de borçlusu olan kişilerin durumu, müflisten yalnızca alacaklı olanlara oranla daha avantajlı h</w:t>
            </w:r>
            <w:r w:rsidR="009D574E" w:rsidRPr="00A23740">
              <w:t>â</w:t>
            </w:r>
            <w:r w:rsidRPr="00A23740">
              <w:t>le gelir. Çünkü, müflisten hem alacaklı hem de ona borçlu olan kişiler, müflise olan borçları kadar ifl</w:t>
            </w:r>
            <w:r w:rsidR="00656C77" w:rsidRPr="00A23740">
              <w:t>a</w:t>
            </w:r>
            <w:r w:rsidRPr="00A23740">
              <w:t>s alacaklarını tam olarak tahsil etmiş olurlar. İflâsta takasa izin verilmesi, alacaklılar arasındaki dengeyi de etkiler. Bu nedenle takas, borçlar hukukundan farklı bazı kural ve sınırlamal</w:t>
            </w:r>
            <w:r w:rsidR="00101837" w:rsidRPr="00A23740">
              <w:t>ara ta</w:t>
            </w:r>
            <w:r w:rsidRPr="00A23740">
              <w:t xml:space="preserve">bi tutulmuştur. </w:t>
            </w:r>
          </w:p>
          <w:p w:rsidR="007700AE" w:rsidRPr="00A23740" w:rsidRDefault="007700AE" w:rsidP="009431FF">
            <w:pPr>
              <w:tabs>
                <w:tab w:val="left" w:pos="567"/>
              </w:tabs>
              <w:ind w:firstLine="709"/>
            </w:pPr>
            <w:r w:rsidRPr="00A23740">
              <w:t>Maddenin ilk fıkrasında kural olarak takasa izin verildiği belirtilmekle birlikte ikinci fıkrasında takasın yasak olduğu h</w:t>
            </w:r>
            <w:r w:rsidR="009D574E" w:rsidRPr="00A23740">
              <w:t>â</w:t>
            </w:r>
            <w:r w:rsidRPr="00A23740">
              <w:t>ller sayılmıştır. Düzenleme, ifl</w:t>
            </w:r>
            <w:r w:rsidR="00656C77" w:rsidRPr="00A23740">
              <w:t>a</w:t>
            </w:r>
            <w:r w:rsidRPr="00A23740">
              <w:t>sta alacaklılar arasındaki eşitliğin sağlanması için ve kötü niyetli ifl</w:t>
            </w:r>
            <w:r w:rsidR="00656C77" w:rsidRPr="00A23740">
              <w:t>a</w:t>
            </w:r>
            <w:r w:rsidRPr="00A23740">
              <w:t>s alacaklısının diğer ifl</w:t>
            </w:r>
            <w:r w:rsidR="00656C77" w:rsidRPr="00A23740">
              <w:t>a</w:t>
            </w:r>
            <w:r w:rsidRPr="00A23740">
              <w:t>s alacaklılarını zarara uğratma tehlikesine karşı getirilmiştir.</w:t>
            </w:r>
          </w:p>
          <w:p w:rsidR="00AA4E1E" w:rsidRPr="00A23740" w:rsidRDefault="007700AE" w:rsidP="009431FF">
            <w:pPr>
              <w:tabs>
                <w:tab w:val="left" w:pos="567"/>
              </w:tabs>
              <w:ind w:firstLine="709"/>
              <w:rPr>
                <w:bCs/>
                <w:szCs w:val="24"/>
              </w:rPr>
            </w:pPr>
            <w:r w:rsidRPr="00A23740">
              <w:t>Üç bentte sayılan bu durumlardan ilki, 2004 sayılı Kanunda  “Müflisin borçlusu iflas açıldıktan sonra müflisin alacaklısı olursa” şeklinde mutlak bir ifade içermekteyke</w:t>
            </w:r>
            <w:r w:rsidRPr="00E10BE3">
              <w:t>n</w:t>
            </w:r>
            <w:r w:rsidR="00101837" w:rsidRPr="00E10BE3">
              <w:t>,</w:t>
            </w:r>
            <w:r w:rsidRPr="00A23740">
              <w:t xml:space="preserve"> “Müflisin borçlusunun iflastan önce gerçekleşmiş bir taahhüdü yerine getirmiş veya kendisinin üzerinde mülkiyet veya sınırlı ayni hak sahibi bulunduğu ve borçlunun borcu için rehinle yüklenmiş bir malı rehinden kurtarmış olduğu h</w:t>
            </w:r>
            <w:r w:rsidR="009D574E" w:rsidRPr="00A23740">
              <w:t>â</w:t>
            </w:r>
            <w:r w:rsidRPr="00A23740">
              <w:t xml:space="preserve">ller saklı kalmak kaydıyla, müflisin borçlusu iflas açıldıktan sonra müflisin alacaklısı olursa” şeklinde düzenlenmiştir. Bu değişiklik, esasen </w:t>
            </w:r>
            <w:r w:rsidRPr="00E10BE3">
              <w:t>İsviç</w:t>
            </w:r>
            <w:r w:rsidR="00101837" w:rsidRPr="00E10BE3">
              <w:t xml:space="preserve">re’nin Borç İçin Takip ve İflas Hakkındaki Federal Kanununun </w:t>
            </w:r>
            <w:r w:rsidR="00AA4E1E" w:rsidRPr="00A23740">
              <w:t>213 üncü</w:t>
            </w:r>
            <w:r w:rsidRPr="00A23740">
              <w:t xml:space="preserve"> maddesinin ikinci fıkrasında 1994 yılında yapılan değişikliğe paraleldir. Müflisin borçlusu, ifl</w:t>
            </w:r>
            <w:r w:rsidR="00656C77" w:rsidRPr="00A23740">
              <w:t>a</w:t>
            </w:r>
            <w:r w:rsidRPr="00A23740">
              <w:t>sın açılmasından önce üstlendiği bir taahhüdü ifl</w:t>
            </w:r>
            <w:r w:rsidR="00656C77" w:rsidRPr="00A23740">
              <w:t>a</w:t>
            </w:r>
            <w:r w:rsidRPr="00A23740">
              <w:t>s açıldıktan sonra yerine getirmiş olsa dahi bu alacağı, takas yasağına t</w:t>
            </w:r>
            <w:r w:rsidR="00D81869" w:rsidRPr="00A23740">
              <w:t>a</w:t>
            </w:r>
            <w:r w:rsidRPr="00A23740">
              <w:t>bi olmadan ileri sürebilir. Aynı şekilde müflisin borçlusu, üzerinde mülkiyet veya sınırlı ayni</w:t>
            </w:r>
            <w:r w:rsidRPr="00A23740">
              <w:rPr>
                <w:bCs/>
                <w:szCs w:val="24"/>
              </w:rPr>
              <w:t xml:space="preserve"> hak sahibi bulunduğu ve borçlunun borcu için rehinle teminat altına alınan bir malı rehinden kurtarırsa</w:t>
            </w:r>
            <w:r w:rsidR="009E52A2" w:rsidRPr="00A23740">
              <w:rPr>
                <w:bCs/>
                <w:szCs w:val="24"/>
              </w:rPr>
              <w:t>,</w:t>
            </w:r>
            <w:r w:rsidRPr="00A23740">
              <w:rPr>
                <w:bCs/>
                <w:szCs w:val="24"/>
              </w:rPr>
              <w:t xml:space="preserve"> bu alacağını da müflise olan borcu</w:t>
            </w:r>
            <w:r w:rsidR="00101837" w:rsidRPr="00E10BE3">
              <w:t>yla</w:t>
            </w:r>
            <w:r w:rsidRPr="00A23740">
              <w:rPr>
                <w:bCs/>
                <w:szCs w:val="24"/>
              </w:rPr>
              <w:t xml:space="preserve"> takas edebilir. İsviçre hukukunda bu istisna bakımından madde metninde açıkça</w:t>
            </w:r>
            <w:r w:rsidR="00D07774" w:rsidRPr="00A23740">
              <w:rPr>
                <w:bCs/>
                <w:szCs w:val="24"/>
              </w:rPr>
              <w:t xml:space="preserve"> İsviçre Borçlar Kanunu</w:t>
            </w:r>
            <w:r w:rsidR="00AA4E1E" w:rsidRPr="00A23740">
              <w:rPr>
                <w:bCs/>
                <w:szCs w:val="24"/>
              </w:rPr>
              <w:t>nun 110 uncu</w:t>
            </w:r>
            <w:r w:rsidRPr="00A23740">
              <w:rPr>
                <w:bCs/>
                <w:szCs w:val="24"/>
              </w:rPr>
              <w:t xml:space="preserve"> maddesinin birinci fıkrasına atıf yapılmıştır. Söz konusu maddenin </w:t>
            </w:r>
            <w:r w:rsidR="00CB4D3D" w:rsidRPr="00E10BE3">
              <w:rPr>
                <w:szCs w:val="24"/>
              </w:rPr>
              <w:t>6098 sayılı Kanundaki</w:t>
            </w:r>
            <w:r w:rsidRPr="00E10BE3">
              <w:rPr>
                <w:bCs/>
                <w:szCs w:val="24"/>
              </w:rPr>
              <w:t xml:space="preserve"> karşılığı</w:t>
            </w:r>
            <w:r w:rsidRPr="00A23740">
              <w:rPr>
                <w:bCs/>
                <w:szCs w:val="24"/>
              </w:rPr>
              <w:t xml:space="preserve"> 127</w:t>
            </w:r>
            <w:r w:rsidR="00AA4E1E" w:rsidRPr="00A23740">
              <w:rPr>
                <w:bCs/>
                <w:szCs w:val="24"/>
              </w:rPr>
              <w:t xml:space="preserve"> nci</w:t>
            </w:r>
            <w:r w:rsidRPr="00A23740">
              <w:rPr>
                <w:bCs/>
                <w:szCs w:val="24"/>
              </w:rPr>
              <w:t xml:space="preserve"> maddede halefiyet olarak düzenlenmiştir. Buna göre, “alacaklıya ifada bulunan üçüncü kişi, aşağıdaki h</w:t>
            </w:r>
            <w:r w:rsidR="009D574E" w:rsidRPr="00A23740">
              <w:rPr>
                <w:bCs/>
                <w:szCs w:val="24"/>
              </w:rPr>
              <w:t>â</w:t>
            </w:r>
            <w:r w:rsidRPr="00A23740">
              <w:rPr>
                <w:bCs/>
                <w:szCs w:val="24"/>
              </w:rPr>
              <w:t>llerde ifası ölçüsünde alacaklının haklarına halef olur: 1. Başkasının borcu için rehnedilen bir şeyi rehinden kurtardığı ve bu şey üzerinde mülkiyet veya başka bir ayni hakkı bulunduğu takdirde…” denilmek suretiyle</w:t>
            </w:r>
            <w:r w:rsidR="009E52A2" w:rsidRPr="00A23740">
              <w:rPr>
                <w:bCs/>
                <w:szCs w:val="24"/>
              </w:rPr>
              <w:t>,</w:t>
            </w:r>
            <w:r w:rsidRPr="00A23740">
              <w:rPr>
                <w:bCs/>
                <w:szCs w:val="24"/>
              </w:rPr>
              <w:t xml:space="preserve"> üçüncü kişinin alacaklının hakkına halef olacağı kabul edilmiştir. Böylece Türk hukukunda da İsviçre hukukunda olduğu gibi, ifl</w:t>
            </w:r>
            <w:r w:rsidR="00656C77" w:rsidRPr="00A23740">
              <w:rPr>
                <w:bCs/>
                <w:szCs w:val="24"/>
              </w:rPr>
              <w:t>a</w:t>
            </w:r>
            <w:r w:rsidRPr="00A23740">
              <w:rPr>
                <w:bCs/>
                <w:szCs w:val="24"/>
              </w:rPr>
              <w:t xml:space="preserve">sın açılmasından sonra doğan bir alacak olmasına rağmen takasın mümkün olduğu açıkça kabul edilmiştir. </w:t>
            </w:r>
          </w:p>
          <w:p w:rsidR="007700AE" w:rsidRPr="00A23740" w:rsidRDefault="007700AE" w:rsidP="009431FF">
            <w:pPr>
              <w:tabs>
                <w:tab w:val="left" w:pos="567"/>
              </w:tabs>
              <w:ind w:firstLine="709"/>
              <w:rPr>
                <w:b/>
                <w:bCs/>
                <w:color w:val="C00000"/>
                <w:szCs w:val="24"/>
              </w:rPr>
            </w:pPr>
            <w:r w:rsidRPr="00A23740">
              <w:rPr>
                <w:szCs w:val="24"/>
              </w:rPr>
              <w:t>İkinci fıkranın (a) bendinde geçen “iflas açıldıktan sonra müflisin alacaklısı olursa” ifadesi, alacağın iflas açıldıktan sonra doğması gerektiği şeklinde anlaşılmadır. Buna göre alacak, iflasın açıldığı an hukuken mevcut olmamalı; bir başka ifadeyle alacak, ifl</w:t>
            </w:r>
            <w:r w:rsidR="00656C77" w:rsidRPr="00A23740">
              <w:rPr>
                <w:szCs w:val="24"/>
              </w:rPr>
              <w:t>a</w:t>
            </w:r>
            <w:r w:rsidRPr="00A23740">
              <w:rPr>
                <w:szCs w:val="24"/>
              </w:rPr>
              <w:t>sın açılmasından sonra doğmuş olmalıdır. Ne var ki, ifl</w:t>
            </w:r>
            <w:r w:rsidR="00656C77" w:rsidRPr="00A23740">
              <w:rPr>
                <w:szCs w:val="24"/>
              </w:rPr>
              <w:t>a</w:t>
            </w:r>
            <w:r w:rsidRPr="00A23740">
              <w:rPr>
                <w:szCs w:val="24"/>
              </w:rPr>
              <w:t>s açılmadan önce doğan şarta veya vadeye bağlı alacakların söz konusu yasak kapsamına giren alacakla</w:t>
            </w:r>
            <w:r w:rsidRPr="00E10BE3">
              <w:rPr>
                <w:szCs w:val="24"/>
              </w:rPr>
              <w:t>r</w:t>
            </w:r>
            <w:r w:rsidR="00101837" w:rsidRPr="00E10BE3">
              <w:t>la</w:t>
            </w:r>
            <w:r w:rsidRPr="00A23740">
              <w:rPr>
                <w:szCs w:val="24"/>
              </w:rPr>
              <w:t xml:space="preserve"> karıştırılmaması gerekir. İfl</w:t>
            </w:r>
            <w:r w:rsidR="00656C77" w:rsidRPr="00A23740">
              <w:rPr>
                <w:szCs w:val="24"/>
              </w:rPr>
              <w:t>a</w:t>
            </w:r>
            <w:r w:rsidRPr="00A23740">
              <w:rPr>
                <w:szCs w:val="24"/>
              </w:rPr>
              <w:t xml:space="preserve">s açılmadan önce doğan ve şarta veya vadeye bağlı alacaklar için (a) bendindeki yasak uygulama alanı bulmaz. Şarta ve vadeye bağlı </w:t>
            </w:r>
            <w:r w:rsidR="00E96016" w:rsidRPr="00E10BE3">
              <w:t>sözleşmenin yapıldığı</w:t>
            </w:r>
            <w:r w:rsidR="00E96016" w:rsidRPr="00A23740">
              <w:rPr>
                <w:szCs w:val="24"/>
              </w:rPr>
              <w:t xml:space="preserve"> </w:t>
            </w:r>
            <w:r w:rsidRPr="00A23740">
              <w:rPr>
                <w:szCs w:val="24"/>
              </w:rPr>
              <w:t>tarihin</w:t>
            </w:r>
            <w:r w:rsidR="00101837" w:rsidRPr="00E10BE3">
              <w:t>,</w:t>
            </w:r>
            <w:r w:rsidRPr="00E10BE3">
              <w:rPr>
                <w:szCs w:val="24"/>
              </w:rPr>
              <w:t xml:space="preserve"> </w:t>
            </w:r>
            <w:r w:rsidRPr="00A23740">
              <w:rPr>
                <w:szCs w:val="24"/>
              </w:rPr>
              <w:t>ifl</w:t>
            </w:r>
            <w:r w:rsidR="00656C77" w:rsidRPr="00A23740">
              <w:rPr>
                <w:szCs w:val="24"/>
              </w:rPr>
              <w:t>a</w:t>
            </w:r>
            <w:r w:rsidRPr="00A23740">
              <w:rPr>
                <w:szCs w:val="24"/>
              </w:rPr>
              <w:t xml:space="preserve">sın açılmasından </w:t>
            </w:r>
            <w:r w:rsidRPr="00E10BE3">
              <w:rPr>
                <w:szCs w:val="24"/>
              </w:rPr>
              <w:t>önce</w:t>
            </w:r>
            <w:r w:rsidR="00E96016" w:rsidRPr="00E10BE3">
              <w:t>ki bir tarih</w:t>
            </w:r>
            <w:r w:rsidRPr="00E10BE3">
              <w:rPr>
                <w:szCs w:val="24"/>
              </w:rPr>
              <w:t xml:space="preserve"> olması</w:t>
            </w:r>
            <w:r w:rsidRPr="00A23740">
              <w:rPr>
                <w:szCs w:val="24"/>
              </w:rPr>
              <w:t xml:space="preserve"> yeterli olup, bu alacakların ifl</w:t>
            </w:r>
            <w:r w:rsidR="00656C77" w:rsidRPr="00A23740">
              <w:rPr>
                <w:szCs w:val="24"/>
              </w:rPr>
              <w:t>a</w:t>
            </w:r>
            <w:r w:rsidRPr="00A23740">
              <w:rPr>
                <w:szCs w:val="24"/>
              </w:rPr>
              <w:t>sın açılmasından sonra</w:t>
            </w:r>
            <w:r w:rsidR="00E96016" w:rsidRPr="00A23740">
              <w:rPr>
                <w:szCs w:val="24"/>
              </w:rPr>
              <w:t xml:space="preserve"> </w:t>
            </w:r>
            <w:r w:rsidR="00E96016" w:rsidRPr="00E10BE3">
              <w:t>talep edilebilir olması</w:t>
            </w:r>
            <w:r w:rsidRPr="00A23740">
              <w:rPr>
                <w:szCs w:val="24"/>
              </w:rPr>
              <w:t xml:space="preserve">, onların takas edilmesine engel olmaz. </w:t>
            </w:r>
          </w:p>
          <w:p w:rsidR="007700AE" w:rsidRPr="00A23740" w:rsidRDefault="007700AE" w:rsidP="009431FF">
            <w:pPr>
              <w:ind w:firstLine="709"/>
              <w:rPr>
                <w:szCs w:val="24"/>
              </w:rPr>
            </w:pPr>
            <w:r w:rsidRPr="00A23740">
              <w:rPr>
                <w:szCs w:val="24"/>
              </w:rPr>
              <w:t>İkinci fıkranın (b) bendinde</w:t>
            </w:r>
            <w:r w:rsidR="009E52A2" w:rsidRPr="00A23740">
              <w:rPr>
                <w:szCs w:val="24"/>
              </w:rPr>
              <w:t>,</w:t>
            </w:r>
            <w:r w:rsidRPr="00A23740">
              <w:rPr>
                <w:szCs w:val="24"/>
              </w:rPr>
              <w:t xml:space="preserve"> önceki Kanundan farklı bir husus bulunmayıp, müflisin alacaklısının ifl</w:t>
            </w:r>
            <w:r w:rsidR="00656C77" w:rsidRPr="00A23740">
              <w:rPr>
                <w:szCs w:val="24"/>
              </w:rPr>
              <w:t>a</w:t>
            </w:r>
            <w:r w:rsidRPr="00A23740">
              <w:rPr>
                <w:szCs w:val="24"/>
              </w:rPr>
              <w:t>s açıldıktan sonra müflisin</w:t>
            </w:r>
            <w:r w:rsidR="00E96016" w:rsidRPr="00A23740">
              <w:rPr>
                <w:szCs w:val="24"/>
              </w:rPr>
              <w:t xml:space="preserve"> veya masanın borçlusu olması hâ</w:t>
            </w:r>
            <w:r w:rsidRPr="00A23740">
              <w:rPr>
                <w:szCs w:val="24"/>
              </w:rPr>
              <w:t xml:space="preserve">linde takas hükümlerinden yararlanamayacağı hükme </w:t>
            </w:r>
            <w:r w:rsidR="00E96016" w:rsidRPr="00E10BE3">
              <w:rPr>
                <w:color w:val="000000"/>
              </w:rPr>
              <w:t>bağlanmıştır</w:t>
            </w:r>
            <w:r w:rsidRPr="00E10BE3">
              <w:rPr>
                <w:color w:val="000000"/>
              </w:rPr>
              <w:t>.</w:t>
            </w:r>
            <w:r w:rsidRPr="00A23740">
              <w:rPr>
                <w:szCs w:val="24"/>
              </w:rPr>
              <w:t xml:space="preserve">  </w:t>
            </w:r>
          </w:p>
          <w:p w:rsidR="007700AE" w:rsidRPr="00A23740" w:rsidRDefault="007700AE" w:rsidP="009431FF">
            <w:pPr>
              <w:tabs>
                <w:tab w:val="left" w:pos="567"/>
              </w:tabs>
              <w:ind w:firstLine="709"/>
              <w:rPr>
                <w:color w:val="000000"/>
              </w:rPr>
            </w:pPr>
            <w:r w:rsidRPr="00A23740">
              <w:rPr>
                <w:bCs/>
                <w:szCs w:val="24"/>
              </w:rPr>
              <w:t xml:space="preserve">Maddenin üçüncü fıkrasında 2004 </w:t>
            </w:r>
            <w:r w:rsidRPr="00A23740">
              <w:rPr>
                <w:color w:val="000000"/>
              </w:rPr>
              <w:t>sayılı Kanunda olduğu gibi, alacağı hamiline yazılı bir senede dayanan alacaklının bu senede bağlı alacağı ile borcunu takas edemeyeceği kabul edilmiştir. Çünkü hamile yazılı senedin kime ait olduğu senet metninden anlaşılmadığı, senet kimin elinde ise senetteki alacak ona ait sayıldığı, bu senetteki alacağın devri için senedin teslimi yeterli olduğundan, takas talebinde bulunan alacaklının bu alacağı ifl</w:t>
            </w:r>
            <w:r w:rsidR="00656C77" w:rsidRPr="00A23740">
              <w:rPr>
                <w:color w:val="000000"/>
              </w:rPr>
              <w:t>a</w:t>
            </w:r>
            <w:r w:rsidRPr="00A23740">
              <w:rPr>
                <w:color w:val="000000"/>
              </w:rPr>
              <w:t>stan önce mi</w:t>
            </w:r>
            <w:r w:rsidR="009E52A2" w:rsidRPr="00A23740">
              <w:rPr>
                <w:color w:val="000000"/>
              </w:rPr>
              <w:t xml:space="preserve">, yoksa </w:t>
            </w:r>
            <w:r w:rsidRPr="00A23740">
              <w:rPr>
                <w:color w:val="000000"/>
              </w:rPr>
              <w:t xml:space="preserve"> sonra mı devraldığının anlaşılması son derece güç olduğu için, haksız ve hileli işlemlere meydan verilmemesi bakımından bu durumda takasın yapılamayacağı benimsenmişti. Ancak fıkrada yapılan değişiklikle, alacaklının senedi ifl</w:t>
            </w:r>
            <w:r w:rsidR="00656C77" w:rsidRPr="00A23740">
              <w:rPr>
                <w:color w:val="000000"/>
              </w:rPr>
              <w:t>a</w:t>
            </w:r>
            <w:r w:rsidRPr="00A23740">
              <w:rPr>
                <w:color w:val="000000"/>
              </w:rPr>
              <w:t>sın açılmasından önce iyiniyetle iktisap ettiğini ispat etmesi h</w:t>
            </w:r>
            <w:r w:rsidR="009D574E" w:rsidRPr="00A23740">
              <w:rPr>
                <w:color w:val="000000"/>
              </w:rPr>
              <w:t>â</w:t>
            </w:r>
            <w:r w:rsidRPr="00A23740">
              <w:rPr>
                <w:color w:val="000000"/>
              </w:rPr>
              <w:t>linde</w:t>
            </w:r>
            <w:r w:rsidR="00D74FAF" w:rsidRPr="00A23740">
              <w:rPr>
                <w:color w:val="000000"/>
              </w:rPr>
              <w:t>,</w:t>
            </w:r>
            <w:r w:rsidRPr="00A23740">
              <w:rPr>
                <w:color w:val="000000"/>
              </w:rPr>
              <w:t xml:space="preserve"> senede bağlı alacağı ile borcunu takas edebileceği; bunun adil olacağı düşüncesiyle alacaklıya bu imkânın verilmesi </w:t>
            </w:r>
            <w:r w:rsidR="00D74FAF" w:rsidRPr="00A23740">
              <w:rPr>
                <w:color w:val="000000"/>
              </w:rPr>
              <w:t xml:space="preserve">cihetine </w:t>
            </w:r>
            <w:r w:rsidRPr="00A23740">
              <w:rPr>
                <w:color w:val="000000"/>
              </w:rPr>
              <w:t>gidilmiştir.</w:t>
            </w:r>
          </w:p>
          <w:p w:rsidR="007700AE" w:rsidRPr="00A23740" w:rsidRDefault="007700AE" w:rsidP="00B43502">
            <w:pPr>
              <w:tabs>
                <w:tab w:val="left" w:pos="567"/>
              </w:tabs>
              <w:ind w:firstLine="709"/>
            </w:pPr>
            <w:r w:rsidRPr="00A23740">
              <w:rPr>
                <w:color w:val="000000"/>
              </w:rPr>
              <w:t>Maddenin dördüncü fıkrasında anonim, limited, sermayesi paylara bölünmüş komandi</w:t>
            </w:r>
            <w:r w:rsidR="00E96016" w:rsidRPr="00A23740">
              <w:rPr>
                <w:color w:val="000000"/>
              </w:rPr>
              <w:t>t ve kooperatif şirketlerin ifla</w:t>
            </w:r>
            <w:r w:rsidRPr="00A23740">
              <w:rPr>
                <w:color w:val="000000"/>
              </w:rPr>
              <w:t>sları h</w:t>
            </w:r>
            <w:r w:rsidR="00E96016" w:rsidRPr="00A23740">
              <w:rPr>
                <w:color w:val="000000"/>
              </w:rPr>
              <w:t>â</w:t>
            </w:r>
            <w:r w:rsidRPr="00A23740">
              <w:rPr>
                <w:color w:val="000000"/>
              </w:rPr>
              <w:t>linde şirket sözleşmesi gereğince verilmesi gereken pay senedi bedellerinin henüz ödenmemiş olan kısmına ilişkin borçları</w:t>
            </w:r>
            <w:r w:rsidR="00D74FAF" w:rsidRPr="00A23740">
              <w:rPr>
                <w:color w:val="000000"/>
              </w:rPr>
              <w:t>nın</w:t>
            </w:r>
            <w:r w:rsidRPr="00A23740">
              <w:rPr>
                <w:color w:val="000000"/>
              </w:rPr>
              <w:t xml:space="preserve"> veya ko</w:t>
            </w:r>
            <w:r w:rsidRPr="00E10BE3">
              <w:rPr>
                <w:color w:val="000000"/>
              </w:rPr>
              <w:t>n</w:t>
            </w:r>
            <w:r w:rsidR="00E96016" w:rsidRPr="00E10BE3">
              <w:rPr>
                <w:color w:val="000000"/>
              </w:rPr>
              <w:t>ul</w:t>
            </w:r>
            <w:r w:rsidRPr="00E10BE3">
              <w:rPr>
                <w:color w:val="000000"/>
              </w:rPr>
              <w:t>m</w:t>
            </w:r>
            <w:r w:rsidRPr="00A23740">
              <w:rPr>
                <w:color w:val="000000"/>
              </w:rPr>
              <w:t xml:space="preserve">ası taahhüt edilen ve fakat </w:t>
            </w:r>
            <w:r w:rsidR="00E96016" w:rsidRPr="00E10BE3">
              <w:rPr>
                <w:color w:val="000000"/>
              </w:rPr>
              <w:t xml:space="preserve">yerine getirilmemiş </w:t>
            </w:r>
            <w:r w:rsidRPr="00E10BE3">
              <w:rPr>
                <w:color w:val="000000"/>
              </w:rPr>
              <w:t>olan</w:t>
            </w:r>
            <w:r w:rsidRPr="00A23740">
              <w:rPr>
                <w:color w:val="000000"/>
              </w:rPr>
              <w:t xml:space="preserve"> sermaye borçlarının bu şirketlerden olan alacaklar</w:t>
            </w:r>
            <w:r w:rsidR="00D74FAF" w:rsidRPr="00A23740">
              <w:rPr>
                <w:color w:val="000000"/>
              </w:rPr>
              <w:t>la</w:t>
            </w:r>
            <w:r w:rsidRPr="00A23740">
              <w:rPr>
                <w:color w:val="000000"/>
              </w:rPr>
              <w:t xml:space="preserve"> takas edilemeyeceği hükme bağlanmıştır. Burada yapılan değişiklik, fıkraya diğer bir sermaye şirketi olan sermayesi paylara bölünmüş komandit şirketin de eklenmesidir. Sermayeden iade sonucunu önlemek için öngörülen takas yasağının anonim, limited ve kooperatif şirketleri</w:t>
            </w:r>
            <w:r w:rsidR="00D74FAF" w:rsidRPr="00A23740">
              <w:rPr>
                <w:color w:val="000000"/>
              </w:rPr>
              <w:t>n</w:t>
            </w:r>
            <w:r w:rsidRPr="00A23740">
              <w:rPr>
                <w:color w:val="000000"/>
              </w:rPr>
              <w:t xml:space="preserve"> yanında tüm komandit şirketler için değil sadece sermayesi paylara bölünmüş komandit şirketler için geçerli olacağı kabul edilmiştir.</w:t>
            </w:r>
          </w:p>
          <w:p w:rsidR="00AB6CFD" w:rsidRPr="00A23740" w:rsidRDefault="00AB6CFD" w:rsidP="00B43502">
            <w:pPr>
              <w:ind w:firstLine="709"/>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Takasa itiraz</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201 – (1)</w:t>
            </w:r>
            <w:r w:rsidRPr="00A23740">
              <w:rPr>
                <w:b/>
                <w:szCs w:val="24"/>
              </w:rPr>
              <w:t xml:space="preserve"> </w:t>
            </w:r>
            <w:r w:rsidRPr="00A23740">
              <w:rPr>
                <w:szCs w:val="24"/>
              </w:rPr>
              <w:t xml:space="preserve">Müflisin borçlusu iflasın açılmasından </w:t>
            </w:r>
            <w:r w:rsidRPr="00A23740">
              <w:rPr>
                <w:b/>
                <w:strike/>
                <w:color w:val="FF0000"/>
                <w:szCs w:val="24"/>
              </w:rPr>
              <w:t>evvel</w:t>
            </w:r>
            <w:r w:rsidRPr="00A23740">
              <w:rPr>
                <w:szCs w:val="24"/>
              </w:rPr>
              <w:t xml:space="preserve"> alacaklısının aciz halinde bulunduğunu bilerek masanın zararına kendisine veya üçüncü </w:t>
            </w:r>
            <w:r w:rsidRPr="00A23740">
              <w:rPr>
                <w:rStyle w:val="KIRMIZIChar"/>
                <w:rFonts w:eastAsia="Calibri"/>
              </w:rPr>
              <w:t>bir şahsa</w:t>
            </w:r>
            <w:r w:rsidRPr="00A23740">
              <w:rPr>
                <w:szCs w:val="24"/>
              </w:rPr>
              <w:t xml:space="preserve"> takas suretiyle bir menfaat temin etmek için müflise karşı bir alacak ihdas ederse bu takasa </w:t>
            </w:r>
            <w:r w:rsidRPr="00A23740">
              <w:rPr>
                <w:rStyle w:val="KIRMIZIChar"/>
                <w:rFonts w:eastAsia="Calibri"/>
              </w:rPr>
              <w:t>mahkemede</w:t>
            </w:r>
            <w:r w:rsidRPr="00A23740">
              <w:rPr>
                <w:szCs w:val="24"/>
              </w:rPr>
              <w:t xml:space="preserve"> itiraz olunabilir.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Takasa itiraz</w:t>
            </w:r>
          </w:p>
          <w:p w:rsidR="00AA5C8C" w:rsidRPr="00A23740" w:rsidRDefault="008276D4" w:rsidP="009431FF">
            <w:pPr>
              <w:tabs>
                <w:tab w:val="left" w:pos="567"/>
              </w:tabs>
              <w:rPr>
                <w:rStyle w:val="MaviChar"/>
              </w:rPr>
            </w:pPr>
            <w:r w:rsidRPr="00A23740">
              <w:rPr>
                <w:rStyle w:val="MAVChar"/>
                <w:rFonts w:eastAsia="Calibri"/>
                <w:u w:val="none"/>
              </w:rPr>
              <w:t>MADDE 312</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Müflisin borçlusu</w:t>
            </w:r>
            <w:r w:rsidR="00AA5C8C" w:rsidRPr="00A23740">
              <w:rPr>
                <w:rStyle w:val="MaviChar"/>
              </w:rPr>
              <w:t>,</w:t>
            </w:r>
            <w:r w:rsidR="00AA5C8C" w:rsidRPr="00A23740">
              <w:rPr>
                <w:szCs w:val="24"/>
              </w:rPr>
              <w:t xml:space="preserve"> iflasın açılmasından </w:t>
            </w:r>
            <w:r w:rsidR="00AA5C8C" w:rsidRPr="00A23740">
              <w:rPr>
                <w:b/>
                <w:color w:val="0000FF"/>
                <w:szCs w:val="24"/>
              </w:rPr>
              <w:t>önce</w:t>
            </w:r>
            <w:r w:rsidR="00AA5C8C" w:rsidRPr="00A23740">
              <w:rPr>
                <w:szCs w:val="24"/>
              </w:rPr>
              <w:t xml:space="preserve"> alacaklısının aciz h</w:t>
            </w:r>
            <w:r w:rsidR="009D574E" w:rsidRPr="00A23740">
              <w:rPr>
                <w:szCs w:val="24"/>
              </w:rPr>
              <w:t>â</w:t>
            </w:r>
            <w:r w:rsidR="00AA5C8C" w:rsidRPr="00A23740">
              <w:rPr>
                <w:szCs w:val="24"/>
              </w:rPr>
              <w:t xml:space="preserve">linde bulunduğunu bilerek masanın zararına kendisine veya üçüncü </w:t>
            </w:r>
            <w:r w:rsidR="00AA5C8C" w:rsidRPr="00A23740">
              <w:rPr>
                <w:rStyle w:val="MaviChar"/>
              </w:rPr>
              <w:t>kişiye</w:t>
            </w:r>
            <w:r w:rsidR="00AA5C8C" w:rsidRPr="00A23740">
              <w:rPr>
                <w:szCs w:val="24"/>
              </w:rPr>
              <w:t xml:space="preserve"> takas suretiyle bir menfaat temin etmek için müflise karşı bir alacak ihdas ederse</w:t>
            </w:r>
            <w:r w:rsidR="00AA5C8C" w:rsidRPr="00A23740">
              <w:rPr>
                <w:rStyle w:val="MaviChar"/>
              </w:rPr>
              <w:t>,</w:t>
            </w:r>
            <w:r w:rsidR="00AA5C8C" w:rsidRPr="00A23740">
              <w:rPr>
                <w:szCs w:val="24"/>
              </w:rPr>
              <w:t xml:space="preserve"> bu takasa </w:t>
            </w:r>
            <w:r w:rsidR="00AA5C8C" w:rsidRPr="00A23740">
              <w:rPr>
                <w:rStyle w:val="MaviChar"/>
              </w:rPr>
              <w:t>iflas idaresi tarafından iflas mahkemesinde</w:t>
            </w:r>
            <w:r w:rsidR="00AA5C8C" w:rsidRPr="00A23740">
              <w:rPr>
                <w:szCs w:val="24"/>
              </w:rPr>
              <w:t xml:space="preserve"> itiraz olunabilir. </w:t>
            </w:r>
            <w:r w:rsidR="00AA5C8C" w:rsidRPr="00A23740">
              <w:rPr>
                <w:rStyle w:val="MaviChar"/>
              </w:rPr>
              <w:t>Bu davada</w:t>
            </w:r>
            <w:r w:rsidR="00AA5C8C" w:rsidRPr="00A23740">
              <w:rPr>
                <w:rStyle w:val="MaviChar"/>
                <w:lang w:val="tr-TR"/>
              </w:rPr>
              <w:t>,</w:t>
            </w:r>
            <w:r w:rsidR="00AA5C8C" w:rsidRPr="00A23740">
              <w:rPr>
                <w:rStyle w:val="MaviChar"/>
              </w:rPr>
              <w:t xml:space="preserve"> niteliğine uygun düştüğü ölçüde</w:t>
            </w:r>
            <w:r w:rsidR="00D07774" w:rsidRPr="00A23740">
              <w:rPr>
                <w:rStyle w:val="MaviChar"/>
                <w:lang w:val="tr-TR"/>
              </w:rPr>
              <w:t xml:space="preserve"> </w:t>
            </w:r>
            <w:r w:rsidR="00D07774" w:rsidRPr="00E10BE3">
              <w:rPr>
                <w:rStyle w:val="MaviChar"/>
              </w:rPr>
              <w:t>297 nci</w:t>
            </w:r>
            <w:r w:rsidR="00AA5C8C" w:rsidRPr="00A23740">
              <w:rPr>
                <w:rStyle w:val="MaviChar"/>
              </w:rPr>
              <w:t xml:space="preserve"> ve devamı</w:t>
            </w:r>
            <w:r w:rsidR="00AA5C8C" w:rsidRPr="00A23740">
              <w:rPr>
                <w:rStyle w:val="MaviChar"/>
                <w:lang w:val="tr-TR"/>
              </w:rPr>
              <w:t xml:space="preserve"> maddeler </w:t>
            </w:r>
            <w:r w:rsidR="00AA5C8C" w:rsidRPr="00A23740">
              <w:rPr>
                <w:rStyle w:val="MaviChar"/>
              </w:rPr>
              <w:t>uygulanır.</w:t>
            </w:r>
          </w:p>
          <w:p w:rsidR="00AA5C8C" w:rsidRPr="00A23740" w:rsidRDefault="00AA5C8C" w:rsidP="009431FF">
            <w:pPr>
              <w:pStyle w:val="KIRMIZI"/>
            </w:pPr>
          </w:p>
        </w:tc>
      </w:tr>
      <w:tr w:rsidR="00706E87"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115167" w:rsidRPr="00A23740" w:rsidRDefault="00115167" w:rsidP="009431FF">
            <w:pPr>
              <w:ind w:firstLine="709"/>
              <w:rPr>
                <w:b/>
              </w:rPr>
            </w:pPr>
          </w:p>
          <w:p w:rsidR="00706E87" w:rsidRPr="00A23740" w:rsidRDefault="008276D4" w:rsidP="009431FF">
            <w:pPr>
              <w:ind w:firstLine="709"/>
            </w:pPr>
            <w:r w:rsidRPr="00A23740">
              <w:rPr>
                <w:b/>
              </w:rPr>
              <w:t>MADDE 312</w:t>
            </w:r>
            <w:r w:rsidR="00706E87" w:rsidRPr="00A23740">
              <w:rPr>
                <w:b/>
              </w:rPr>
              <w:t>-</w:t>
            </w:r>
            <w:r w:rsidR="00706E87" w:rsidRPr="00A23740">
              <w:t xml:space="preserve"> Maddeyle, </w:t>
            </w:r>
            <w:r w:rsidR="00AA4E1E" w:rsidRPr="00A23740">
              <w:t xml:space="preserve">takasa itiraza </w:t>
            </w:r>
            <w:r w:rsidR="00706E87" w:rsidRPr="00A23740">
              <w:t xml:space="preserve">ilişkin hususlar düzenlenmektedir. Hüküm, 2004 sayılı Kanunun </w:t>
            </w:r>
            <w:r w:rsidR="00115167" w:rsidRPr="00A23740">
              <w:t>201</w:t>
            </w:r>
            <w:r w:rsidR="00706E87" w:rsidRPr="00A23740">
              <w:t xml:space="preserve"> </w:t>
            </w:r>
            <w:r w:rsidR="00115167" w:rsidRPr="00A23740">
              <w:t>inci</w:t>
            </w:r>
            <w:r w:rsidR="00706E87" w:rsidRPr="00A23740">
              <w:t xml:space="preserve"> maddesine karşılık gelmektedir. </w:t>
            </w:r>
          </w:p>
          <w:p w:rsidR="00B43502" w:rsidRPr="00A23740" w:rsidRDefault="007700AE" w:rsidP="00B43502">
            <w:pPr>
              <w:tabs>
                <w:tab w:val="left" w:pos="567"/>
              </w:tabs>
              <w:rPr>
                <w:b/>
                <w:szCs w:val="24"/>
              </w:rPr>
            </w:pPr>
            <w:r w:rsidRPr="00A23740">
              <w:rPr>
                <w:bCs/>
                <w:szCs w:val="24"/>
              </w:rPr>
              <w:t xml:space="preserve">           Bir fıkradan oluşan madde, 2004 sayılı Kanunda yer alan hükmün uygulama ile doktrin görüşleri doğrultusunda genişletilmiş şeklidir. Buna göre, müflisin borçlusunun ileri sürdüğü takasa itiraz edilebilir. M</w:t>
            </w:r>
            <w:r w:rsidR="00E96016" w:rsidRPr="00A23740">
              <w:rPr>
                <w:bCs/>
                <w:szCs w:val="24"/>
              </w:rPr>
              <w:t>üflisin borçlusunun ifla</w:t>
            </w:r>
            <w:r w:rsidRPr="00A23740">
              <w:rPr>
                <w:bCs/>
                <w:szCs w:val="24"/>
              </w:rPr>
              <w:t>sın açılmasından önce alacaklısının aciz h</w:t>
            </w:r>
            <w:r w:rsidR="009D574E" w:rsidRPr="00A23740">
              <w:rPr>
                <w:bCs/>
                <w:szCs w:val="24"/>
              </w:rPr>
              <w:t>â</w:t>
            </w:r>
            <w:r w:rsidRPr="00A23740">
              <w:rPr>
                <w:bCs/>
                <w:szCs w:val="24"/>
              </w:rPr>
              <w:t xml:space="preserve">linde bulunduğunu bilerek masanın zararına </w:t>
            </w:r>
            <w:r w:rsidR="00D74FAF" w:rsidRPr="00A23740">
              <w:rPr>
                <w:bCs/>
                <w:szCs w:val="24"/>
              </w:rPr>
              <w:t xml:space="preserve">olacak şekilde </w:t>
            </w:r>
            <w:r w:rsidRPr="00A23740">
              <w:rPr>
                <w:bCs/>
                <w:szCs w:val="24"/>
              </w:rPr>
              <w:t>kendisine veya üçüncü kişiye takas suretiyle bir menfaat temin etmek için müflise karşı bir alacak ihdas etmesi h</w:t>
            </w:r>
            <w:r w:rsidR="00E96016" w:rsidRPr="00A23740">
              <w:rPr>
                <w:bCs/>
                <w:szCs w:val="24"/>
              </w:rPr>
              <w:t>â</w:t>
            </w:r>
            <w:r w:rsidRPr="00A23740">
              <w:rPr>
                <w:bCs/>
                <w:szCs w:val="24"/>
              </w:rPr>
              <w:t>linde</w:t>
            </w:r>
            <w:r w:rsidR="00E96016" w:rsidRPr="00A23740">
              <w:rPr>
                <w:rStyle w:val="YELChar"/>
              </w:rPr>
              <w:t>,</w:t>
            </w:r>
            <w:r w:rsidRPr="00A23740">
              <w:rPr>
                <w:bCs/>
                <w:szCs w:val="24"/>
              </w:rPr>
              <w:t xml:space="preserve"> bu takasa iflas idaresi tarafından iflas mahkemesinde itiraz olunabilir. Bu davada, niteliğine uygun düştüğü ölçüde </w:t>
            </w:r>
            <w:r w:rsidR="00D74FAF" w:rsidRPr="00A23740">
              <w:rPr>
                <w:bCs/>
                <w:szCs w:val="24"/>
              </w:rPr>
              <w:t xml:space="preserve">Taslağın </w:t>
            </w:r>
            <w:r w:rsidRPr="00A23740">
              <w:rPr>
                <w:bCs/>
                <w:szCs w:val="24"/>
              </w:rPr>
              <w:t xml:space="preserve">tasarrufun iptaline ilişkin </w:t>
            </w:r>
            <w:r w:rsidR="00D07774" w:rsidRPr="00E10BE3">
              <w:rPr>
                <w:szCs w:val="24"/>
              </w:rPr>
              <w:t>297 nci</w:t>
            </w:r>
            <w:r w:rsidR="00D07774" w:rsidRPr="00A23740">
              <w:rPr>
                <w:rStyle w:val="MaviChar"/>
              </w:rPr>
              <w:t xml:space="preserve"> </w:t>
            </w:r>
            <w:r w:rsidRPr="00A23740">
              <w:rPr>
                <w:bCs/>
                <w:szCs w:val="24"/>
              </w:rPr>
              <w:t>ve devamı maddeleri uygulanır. Madde metnin</w:t>
            </w:r>
            <w:r w:rsidR="00E96016" w:rsidRPr="00A23740">
              <w:rPr>
                <w:bCs/>
                <w:szCs w:val="24"/>
              </w:rPr>
              <w:t>de yer alan yenilik, takasa iflas idaresi tarafından ifla</w:t>
            </w:r>
            <w:r w:rsidRPr="00A23740">
              <w:rPr>
                <w:bCs/>
                <w:szCs w:val="24"/>
              </w:rPr>
              <w:t>s mahkemesinde itiraz edileceğinin açıkça ifade edilmiş olmasıdır. Basit tasfiyenin söz konus</w:t>
            </w:r>
            <w:r w:rsidR="00E96016" w:rsidRPr="00A23740">
              <w:rPr>
                <w:bCs/>
                <w:szCs w:val="24"/>
              </w:rPr>
              <w:t>u olduğu h</w:t>
            </w:r>
            <w:r w:rsidR="009D574E" w:rsidRPr="00A23740">
              <w:rPr>
                <w:bCs/>
                <w:szCs w:val="24"/>
              </w:rPr>
              <w:t>â</w:t>
            </w:r>
            <w:r w:rsidR="00E96016" w:rsidRPr="00A23740">
              <w:rPr>
                <w:bCs/>
                <w:szCs w:val="24"/>
              </w:rPr>
              <w:t>llerde bu itiraz ifla</w:t>
            </w:r>
            <w:r w:rsidRPr="00A23740">
              <w:rPr>
                <w:bCs/>
                <w:szCs w:val="24"/>
              </w:rPr>
              <w:t xml:space="preserve">s dairesi tarafından yapılır. Bu itirazın bir dava şeklinde ileri sürülmesi gerektiği maddede geçen “Bu davada, niteliğine uygun düştüğü ölçüde </w:t>
            </w:r>
            <w:r w:rsidR="00D07774" w:rsidRPr="00E10BE3">
              <w:rPr>
                <w:szCs w:val="24"/>
              </w:rPr>
              <w:t>297 nci</w:t>
            </w:r>
            <w:r w:rsidRPr="00A23740">
              <w:rPr>
                <w:bCs/>
                <w:szCs w:val="24"/>
              </w:rPr>
              <w:t xml:space="preserve"> ve devamı maddeleri uygulanır” ifadesinden de anlaşılmaktadır. Esasen doktrinde ve yargı kararlarında kabul edilen görüş, takasa itirazın tasarrufun iptali davasına benzeyen bir dava olduğudur. </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Müflisin kefil olduğu borçlar</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202 – (1)</w:t>
            </w:r>
            <w:r w:rsidRPr="00A23740">
              <w:rPr>
                <w:b/>
                <w:szCs w:val="24"/>
              </w:rPr>
              <w:t xml:space="preserve"> </w:t>
            </w:r>
            <w:r w:rsidRPr="00A23740">
              <w:rPr>
                <w:szCs w:val="24"/>
              </w:rPr>
              <w:t xml:space="preserve">Müflisin kefil olduğu borçlar vadeleri gelmese bile masaya </w:t>
            </w:r>
            <w:r w:rsidRPr="00A23740">
              <w:rPr>
                <w:b/>
                <w:strike/>
                <w:color w:val="FF0000"/>
                <w:szCs w:val="24"/>
              </w:rPr>
              <w:t>zimmet olarak kaydolunur</w:t>
            </w:r>
            <w:r w:rsidRPr="00A23740">
              <w:rPr>
                <w:szCs w:val="24"/>
              </w:rPr>
              <w:t>.</w:t>
            </w:r>
          </w:p>
          <w:p w:rsidR="0080060A" w:rsidRPr="00A23740" w:rsidRDefault="0080060A" w:rsidP="009431FF">
            <w:pPr>
              <w:tabs>
                <w:tab w:val="left" w:pos="567"/>
              </w:tabs>
              <w:rPr>
                <w:szCs w:val="24"/>
              </w:rPr>
            </w:pPr>
          </w:p>
          <w:p w:rsidR="00AA5C8C" w:rsidRPr="00A23740" w:rsidRDefault="00AA5C8C" w:rsidP="009431FF">
            <w:pPr>
              <w:tabs>
                <w:tab w:val="center" w:pos="3543"/>
              </w:tabs>
              <w:rPr>
                <w:szCs w:val="24"/>
              </w:rPr>
            </w:pPr>
            <w:r w:rsidRPr="00A23740">
              <w:rPr>
                <w:szCs w:val="24"/>
              </w:rPr>
              <w:tab/>
            </w:r>
            <w:r w:rsidRPr="00A23740">
              <w:rPr>
                <w:rStyle w:val="KIRMIZIChar"/>
                <w:rFonts w:eastAsia="Calibri"/>
              </w:rPr>
              <w:t>(2)</w:t>
            </w:r>
            <w:r w:rsidRPr="00A23740">
              <w:rPr>
                <w:szCs w:val="24"/>
              </w:rPr>
              <w:t xml:space="preserve"> Masa ödediği para </w:t>
            </w:r>
            <w:r w:rsidRPr="00A23740">
              <w:rPr>
                <w:rStyle w:val="KIRMIZIChar"/>
                <w:rFonts w:eastAsia="Calibri"/>
              </w:rPr>
              <w:t>nispetinde</w:t>
            </w:r>
            <w:r w:rsidRPr="00A23740">
              <w:rPr>
                <w:szCs w:val="24"/>
              </w:rPr>
              <w:t xml:space="preserve"> </w:t>
            </w:r>
            <w:r w:rsidRPr="00A23740">
              <w:rPr>
                <w:rStyle w:val="KIRMIZIChar"/>
                <w:rFonts w:eastAsia="Calibri"/>
              </w:rPr>
              <w:t>asıl ve müşterek borçluların alacaklıları yerine geçer (Borçlar Kanunu 496.)</w:t>
            </w:r>
            <w:r w:rsidRPr="00A23740">
              <w:rPr>
                <w:szCs w:val="24"/>
              </w:rPr>
              <w:t xml:space="preserve"> Asıl borçlunun veya </w:t>
            </w:r>
            <w:r w:rsidRPr="00A23740">
              <w:rPr>
                <w:b/>
                <w:strike/>
                <w:color w:val="FF0000"/>
                <w:szCs w:val="24"/>
              </w:rPr>
              <w:t>müşterek borçlulardan</w:t>
            </w:r>
            <w:r w:rsidRPr="00A23740">
              <w:rPr>
                <w:b/>
                <w:color w:val="FF0000"/>
                <w:szCs w:val="24"/>
              </w:rPr>
              <w:t xml:space="preserve"> </w:t>
            </w:r>
            <w:r w:rsidRPr="00A23740">
              <w:rPr>
                <w:szCs w:val="24"/>
              </w:rPr>
              <w:t xml:space="preserve">birinin iflası halinde 203 ve 204 üncü maddeler </w:t>
            </w:r>
            <w:r w:rsidRPr="00A23740">
              <w:rPr>
                <w:b/>
                <w:strike/>
                <w:color w:val="FF0000"/>
                <w:szCs w:val="24"/>
              </w:rPr>
              <w:t>tatbik olunur</w:t>
            </w:r>
            <w:r w:rsidRPr="00A23740">
              <w:rPr>
                <w:szCs w:val="24"/>
              </w:rPr>
              <w:t>.</w:t>
            </w:r>
          </w:p>
          <w:p w:rsidR="00AA5C8C" w:rsidRPr="00A23740" w:rsidRDefault="00AA5C8C" w:rsidP="009431FF">
            <w:pPr>
              <w:tabs>
                <w:tab w:val="center" w:pos="3543"/>
              </w:tabs>
              <w:rPr>
                <w:szCs w:val="24"/>
              </w:rPr>
            </w:pPr>
          </w:p>
          <w:p w:rsidR="00AA5C8C" w:rsidRPr="00A23740" w:rsidRDefault="00AE0894" w:rsidP="009431FF">
            <w:pPr>
              <w:tabs>
                <w:tab w:val="center" w:pos="3543"/>
              </w:tabs>
              <w:rPr>
                <w:szCs w:val="24"/>
              </w:rPr>
            </w:pPr>
            <w:r>
              <w:rPr>
                <w:b/>
                <w:color w:val="FF0000"/>
                <w:szCs w:val="24"/>
              </w:rPr>
              <w:t>M.202/F2.</w:t>
            </w:r>
            <w:r w:rsidR="00AA5C8C" w:rsidRPr="00A23740">
              <w:rPr>
                <w:b/>
                <w:color w:val="FF0000"/>
                <w:szCs w:val="24"/>
              </w:rPr>
              <w:t>C2:</w:t>
            </w:r>
            <w:r w:rsidR="00AA5C8C" w:rsidRPr="00A23740">
              <w:rPr>
                <w:szCs w:val="24"/>
              </w:rPr>
              <w:t xml:space="preserve"> Asıl borçlunun veya </w:t>
            </w:r>
            <w:r w:rsidR="00AA5C8C" w:rsidRPr="00A23740">
              <w:rPr>
                <w:b/>
                <w:strike/>
                <w:color w:val="FF0000"/>
                <w:szCs w:val="24"/>
              </w:rPr>
              <w:t>müşterek borçlulardan</w:t>
            </w:r>
            <w:r w:rsidR="00AA5C8C" w:rsidRPr="00A23740">
              <w:rPr>
                <w:b/>
                <w:color w:val="FF0000"/>
                <w:szCs w:val="24"/>
              </w:rPr>
              <w:t xml:space="preserve"> </w:t>
            </w:r>
            <w:r w:rsidR="00AA5C8C" w:rsidRPr="00A23740">
              <w:rPr>
                <w:szCs w:val="24"/>
              </w:rPr>
              <w:t xml:space="preserve">birinin iflası halinde 203 ve 204 üncü maddeler </w:t>
            </w:r>
            <w:r w:rsidR="00AA5C8C" w:rsidRPr="00A23740">
              <w:rPr>
                <w:b/>
                <w:strike/>
                <w:color w:val="FF0000"/>
                <w:szCs w:val="24"/>
              </w:rPr>
              <w:t>tatbik olunur</w:t>
            </w:r>
            <w:r w:rsidR="00AA5C8C" w:rsidRPr="00A23740">
              <w:rPr>
                <w:szCs w:val="24"/>
              </w:rPr>
              <w:t>.</w:t>
            </w:r>
          </w:p>
        </w:tc>
        <w:tc>
          <w:tcPr>
            <w:tcW w:w="2500" w:type="pct"/>
          </w:tcPr>
          <w:p w:rsidR="00AA5C8C" w:rsidRPr="00A23740" w:rsidRDefault="00AA5C8C" w:rsidP="009431FF">
            <w:pPr>
              <w:tabs>
                <w:tab w:val="left" w:pos="567"/>
              </w:tabs>
              <w:rPr>
                <w:b/>
                <w:szCs w:val="24"/>
              </w:rPr>
            </w:pPr>
            <w:r w:rsidRPr="00A23740">
              <w:rPr>
                <w:b/>
                <w:szCs w:val="24"/>
              </w:rPr>
              <w:t>Müflisin kefil olduğu borçlar</w:t>
            </w:r>
          </w:p>
          <w:p w:rsidR="00AA5C8C" w:rsidRPr="00A23740" w:rsidRDefault="008276D4" w:rsidP="009431FF">
            <w:pPr>
              <w:tabs>
                <w:tab w:val="left" w:pos="567"/>
              </w:tabs>
              <w:rPr>
                <w:szCs w:val="24"/>
              </w:rPr>
            </w:pPr>
            <w:r w:rsidRPr="00A23740">
              <w:rPr>
                <w:rStyle w:val="MAVChar"/>
                <w:rFonts w:eastAsia="Calibri"/>
                <w:u w:val="none"/>
              </w:rPr>
              <w:t>MADDE 313</w:t>
            </w:r>
            <w:r w:rsidR="00AA5C8C" w:rsidRPr="00A23740">
              <w:rPr>
                <w:rStyle w:val="MAVChar"/>
                <w:rFonts w:eastAsia="Calibri"/>
                <w:u w:val="none"/>
              </w:rPr>
              <w:t>- (1</w:t>
            </w:r>
            <w:r w:rsidR="00AA5C8C" w:rsidRPr="00A23740">
              <w:rPr>
                <w:b/>
                <w:color w:val="0000FF"/>
                <w:szCs w:val="24"/>
              </w:rPr>
              <w:t>)</w:t>
            </w:r>
            <w:r w:rsidR="00AA5C8C" w:rsidRPr="00A23740">
              <w:rPr>
                <w:b/>
                <w:szCs w:val="24"/>
              </w:rPr>
              <w:t xml:space="preserve"> </w:t>
            </w:r>
            <w:r w:rsidR="00AA5C8C" w:rsidRPr="00A23740">
              <w:rPr>
                <w:szCs w:val="24"/>
              </w:rPr>
              <w:t>Müflisin kefil olduğu borçları</w:t>
            </w:r>
            <w:r w:rsidR="00AA5C8C" w:rsidRPr="00A23740">
              <w:rPr>
                <w:b/>
                <w:color w:val="0000FF"/>
                <w:szCs w:val="24"/>
              </w:rPr>
              <w:t xml:space="preserve">n </w:t>
            </w:r>
            <w:r w:rsidR="00AA5C8C" w:rsidRPr="00A23740">
              <w:rPr>
                <w:szCs w:val="24"/>
              </w:rPr>
              <w:t xml:space="preserve">vadeleri gelmese bile </w:t>
            </w:r>
            <w:r w:rsidR="00AA5C8C" w:rsidRPr="00A23740">
              <w:rPr>
                <w:b/>
                <w:color w:val="0000FF"/>
                <w:szCs w:val="24"/>
              </w:rPr>
              <w:t xml:space="preserve">alacaklılar alacaklarını </w:t>
            </w:r>
            <w:r w:rsidR="00AA5C8C" w:rsidRPr="00A23740">
              <w:rPr>
                <w:szCs w:val="24"/>
              </w:rPr>
              <w:t>masaya</w:t>
            </w:r>
            <w:r w:rsidR="00BE06AB" w:rsidRPr="00A23740">
              <w:rPr>
                <w:szCs w:val="24"/>
              </w:rPr>
              <w:t xml:space="preserve"> </w:t>
            </w:r>
            <w:r w:rsidR="00BE06AB" w:rsidRPr="00E10BE3">
              <w:rPr>
                <w:b/>
                <w:color w:val="0000FF"/>
              </w:rPr>
              <w:t>kaydettirebilirler.</w:t>
            </w:r>
          </w:p>
          <w:p w:rsidR="00AA5C8C" w:rsidRPr="00A23740" w:rsidRDefault="00AA5C8C" w:rsidP="009431FF">
            <w:pPr>
              <w:tabs>
                <w:tab w:val="left" w:pos="567"/>
              </w:tabs>
              <w:rPr>
                <w:szCs w:val="24"/>
              </w:rPr>
            </w:pPr>
          </w:p>
          <w:p w:rsidR="00AA5C8C" w:rsidRPr="00A23740" w:rsidRDefault="00AA5C8C" w:rsidP="009431FF">
            <w:pPr>
              <w:tabs>
                <w:tab w:val="center" w:pos="3543"/>
              </w:tabs>
              <w:rPr>
                <w:szCs w:val="24"/>
              </w:rPr>
            </w:pPr>
            <w:r w:rsidRPr="00A23740">
              <w:rPr>
                <w:szCs w:val="24"/>
              </w:rPr>
              <w:tab/>
            </w:r>
            <w:r w:rsidRPr="00A23740">
              <w:rPr>
                <w:b/>
                <w:color w:val="0000FF"/>
                <w:szCs w:val="24"/>
              </w:rPr>
              <w:t xml:space="preserve">(2) İflas </w:t>
            </w:r>
            <w:r w:rsidRPr="00A23740">
              <w:t>masa</w:t>
            </w:r>
            <w:r w:rsidRPr="00A23740">
              <w:rPr>
                <w:b/>
                <w:color w:val="0000FF"/>
                <w:szCs w:val="24"/>
              </w:rPr>
              <w:t xml:space="preserve">sı, </w:t>
            </w:r>
            <w:r w:rsidRPr="00A23740">
              <w:t>ödediği para</w:t>
            </w:r>
            <w:r w:rsidRPr="00A23740">
              <w:rPr>
                <w:b/>
                <w:color w:val="0000FF"/>
                <w:szCs w:val="24"/>
              </w:rPr>
              <w:t xml:space="preserve"> oranında alacaklının haklarına halef olur</w:t>
            </w:r>
            <w:r w:rsidRPr="00A23740">
              <w:rPr>
                <w:rStyle w:val="MaviChar"/>
              </w:rPr>
              <w:t>. Bu konuda Türk Borçlar Kanununun 596 ncı maddesi hükmü uygulanır.</w:t>
            </w:r>
          </w:p>
          <w:p w:rsidR="00AA5C8C" w:rsidRPr="00A23740" w:rsidRDefault="00AA5C8C" w:rsidP="009431FF">
            <w:pPr>
              <w:tabs>
                <w:tab w:val="center" w:pos="3543"/>
              </w:tabs>
              <w:rPr>
                <w:szCs w:val="24"/>
              </w:rPr>
            </w:pPr>
          </w:p>
          <w:p w:rsidR="0080060A" w:rsidRPr="00A23740" w:rsidRDefault="0080060A" w:rsidP="009431FF">
            <w:pPr>
              <w:tabs>
                <w:tab w:val="center" w:pos="3543"/>
              </w:tabs>
              <w:rPr>
                <w:szCs w:val="24"/>
              </w:rPr>
            </w:pPr>
          </w:p>
          <w:p w:rsidR="00AA5C8C" w:rsidRPr="00A23740" w:rsidRDefault="00AA5C8C" w:rsidP="009431FF">
            <w:pPr>
              <w:tabs>
                <w:tab w:val="center" w:pos="3543"/>
              </w:tabs>
              <w:rPr>
                <w:rStyle w:val="KIRMIZIChar"/>
                <w:rFonts w:eastAsia="ヒラギノ明朝 Pro W3"/>
                <w:b w:val="0"/>
                <w:bCs w:val="0"/>
                <w:strike w:val="0"/>
              </w:rPr>
            </w:pPr>
            <w:r w:rsidRPr="00A23740">
              <w:rPr>
                <w:b/>
                <w:color w:val="0000FF"/>
                <w:szCs w:val="24"/>
              </w:rPr>
              <w:t>(3)</w:t>
            </w:r>
            <w:r w:rsidRPr="00A23740">
              <w:rPr>
                <w:szCs w:val="24"/>
              </w:rPr>
              <w:t xml:space="preserve"> Asıl borçlunun veya </w:t>
            </w:r>
            <w:r w:rsidRPr="00A23740">
              <w:rPr>
                <w:rStyle w:val="MaviChar"/>
              </w:rPr>
              <w:t>birlikte kefillerden</w:t>
            </w:r>
            <w:r w:rsidRPr="00A23740">
              <w:rPr>
                <w:szCs w:val="24"/>
              </w:rPr>
              <w:t xml:space="preserve"> birinin iflası h</w:t>
            </w:r>
            <w:r w:rsidR="009D574E" w:rsidRPr="00A23740">
              <w:rPr>
                <w:szCs w:val="24"/>
              </w:rPr>
              <w:t>â</w:t>
            </w:r>
            <w:r w:rsidRPr="00A23740">
              <w:rPr>
                <w:szCs w:val="24"/>
              </w:rPr>
              <w:t>linde</w:t>
            </w:r>
            <w:r w:rsidR="00D07774" w:rsidRPr="00A23740">
              <w:rPr>
                <w:szCs w:val="24"/>
              </w:rPr>
              <w:t xml:space="preserve"> </w:t>
            </w:r>
            <w:r w:rsidR="00D07774" w:rsidRPr="00E10BE3">
              <w:rPr>
                <w:rStyle w:val="MaviChar"/>
              </w:rPr>
              <w:t>314</w:t>
            </w:r>
            <w:r w:rsidR="00D07774" w:rsidRPr="00A23740">
              <w:rPr>
                <w:szCs w:val="24"/>
              </w:rPr>
              <w:t xml:space="preserve"> </w:t>
            </w:r>
            <w:r w:rsidRPr="00A23740">
              <w:rPr>
                <w:szCs w:val="24"/>
              </w:rPr>
              <w:t>ve</w:t>
            </w:r>
            <w:r w:rsidR="00D07774" w:rsidRPr="00A23740">
              <w:rPr>
                <w:szCs w:val="24"/>
              </w:rPr>
              <w:t xml:space="preserve"> </w:t>
            </w:r>
            <w:r w:rsidR="00D07774" w:rsidRPr="00E10BE3">
              <w:rPr>
                <w:rStyle w:val="MaviChar"/>
              </w:rPr>
              <w:t>315 inci</w:t>
            </w:r>
            <w:r w:rsidRPr="00A23740">
              <w:rPr>
                <w:szCs w:val="24"/>
              </w:rPr>
              <w:t xml:space="preserve"> maddeler </w:t>
            </w:r>
            <w:r w:rsidRPr="00A23740">
              <w:rPr>
                <w:b/>
                <w:color w:val="0000FF"/>
                <w:szCs w:val="24"/>
              </w:rPr>
              <w:t>uygulanır</w:t>
            </w:r>
            <w:r w:rsidRPr="00A23740">
              <w:rPr>
                <w:szCs w:val="24"/>
              </w:rPr>
              <w:t>.</w:t>
            </w:r>
          </w:p>
          <w:p w:rsidR="00AA5C8C" w:rsidRPr="00A23740" w:rsidRDefault="00AA5C8C" w:rsidP="009431FF">
            <w:pPr>
              <w:pStyle w:val="KIRMIZI"/>
            </w:pPr>
          </w:p>
        </w:tc>
      </w:tr>
      <w:tr w:rsidR="00706E87"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F87049" w:rsidRPr="00A23740" w:rsidRDefault="00F87049" w:rsidP="009431FF">
            <w:pPr>
              <w:tabs>
                <w:tab w:val="left" w:pos="567"/>
              </w:tabs>
              <w:ind w:firstLine="567"/>
              <w:rPr>
                <w:b/>
              </w:rPr>
            </w:pPr>
          </w:p>
          <w:p w:rsidR="00706E87" w:rsidRPr="00A23740" w:rsidRDefault="00F87049" w:rsidP="009431FF">
            <w:pPr>
              <w:tabs>
                <w:tab w:val="left" w:pos="567"/>
              </w:tabs>
              <w:ind w:firstLine="567"/>
              <w:rPr>
                <w:b/>
                <w:szCs w:val="24"/>
              </w:rPr>
            </w:pPr>
            <w:r w:rsidRPr="00A23740">
              <w:rPr>
                <w:b/>
              </w:rPr>
              <w:t>M</w:t>
            </w:r>
            <w:r w:rsidR="008276D4" w:rsidRPr="00A23740">
              <w:rPr>
                <w:b/>
              </w:rPr>
              <w:t>ADDE 313</w:t>
            </w:r>
            <w:r w:rsidR="00706E87" w:rsidRPr="00A23740">
              <w:rPr>
                <w:b/>
              </w:rPr>
              <w:t>-</w:t>
            </w:r>
            <w:r w:rsidR="00706E87" w:rsidRPr="00A23740">
              <w:t xml:space="preserve"> </w:t>
            </w:r>
            <w:r w:rsidR="00706E87" w:rsidRPr="00A23740">
              <w:rPr>
                <w:bCs/>
                <w:szCs w:val="24"/>
              </w:rPr>
              <w:t xml:space="preserve">Maddeyle, </w:t>
            </w:r>
            <w:r w:rsidRPr="00A23740">
              <w:rPr>
                <w:bCs/>
                <w:szCs w:val="24"/>
              </w:rPr>
              <w:t xml:space="preserve">müflisin kefil olduğu borçlara </w:t>
            </w:r>
            <w:r w:rsidR="00706E87" w:rsidRPr="00A23740">
              <w:rPr>
                <w:bCs/>
                <w:szCs w:val="24"/>
              </w:rPr>
              <w:t xml:space="preserve">ilişkin hususlar düzenlenmektedir. Hüküm, 2004 sayılı Kanunun </w:t>
            </w:r>
            <w:r w:rsidRPr="00A23740">
              <w:rPr>
                <w:bCs/>
                <w:szCs w:val="24"/>
              </w:rPr>
              <w:t>202 nci</w:t>
            </w:r>
            <w:r w:rsidR="00706E87" w:rsidRPr="00A23740">
              <w:rPr>
                <w:bCs/>
                <w:szCs w:val="24"/>
              </w:rPr>
              <w:t xml:space="preserve"> maddesine karşılık gelmektedir.</w:t>
            </w:r>
            <w:r w:rsidR="00706E87" w:rsidRPr="00A23740">
              <w:t xml:space="preserve"> </w:t>
            </w:r>
          </w:p>
          <w:p w:rsidR="007700AE" w:rsidRPr="00A23740" w:rsidRDefault="007700AE" w:rsidP="009431FF">
            <w:pPr>
              <w:tabs>
                <w:tab w:val="left" w:pos="567"/>
              </w:tabs>
              <w:ind w:firstLine="567"/>
              <w:rPr>
                <w:bCs/>
                <w:szCs w:val="24"/>
              </w:rPr>
            </w:pPr>
            <w:r w:rsidRPr="00A23740">
              <w:rPr>
                <w:bCs/>
                <w:szCs w:val="24"/>
              </w:rPr>
              <w:t xml:space="preserve">Maddenin birinci fıkrasında </w:t>
            </w:r>
            <w:r w:rsidRPr="00A23740">
              <w:rPr>
                <w:szCs w:val="24"/>
              </w:rPr>
              <w:t>müflisin kefil olduğu borçları</w:t>
            </w:r>
            <w:r w:rsidRPr="00A23740">
              <w:rPr>
                <w:bCs/>
                <w:szCs w:val="24"/>
              </w:rPr>
              <w:t>n</w:t>
            </w:r>
            <w:r w:rsidR="00F3128F" w:rsidRPr="00A23740">
              <w:rPr>
                <w:bCs/>
                <w:szCs w:val="24"/>
              </w:rPr>
              <w:t>,</w:t>
            </w:r>
            <w:r w:rsidRPr="00A23740">
              <w:rPr>
                <w:b/>
                <w:color w:val="0000FF"/>
                <w:szCs w:val="24"/>
              </w:rPr>
              <w:t xml:space="preserve"> </w:t>
            </w:r>
            <w:r w:rsidRPr="00A23740">
              <w:rPr>
                <w:szCs w:val="24"/>
              </w:rPr>
              <w:t>vadeleri gelmese bile</w:t>
            </w:r>
            <w:r w:rsidR="00F3128F" w:rsidRPr="00A23740">
              <w:rPr>
                <w:szCs w:val="24"/>
              </w:rPr>
              <w:t>,</w:t>
            </w:r>
            <w:r w:rsidRPr="00A23740">
              <w:rPr>
                <w:szCs w:val="24"/>
              </w:rPr>
              <w:t xml:space="preserve"> </w:t>
            </w:r>
            <w:r w:rsidRPr="00A23740">
              <w:rPr>
                <w:bCs/>
                <w:szCs w:val="24"/>
              </w:rPr>
              <w:t>alacaklıların alacaklarını masaya yazdırabilecekleri hüküm altına alınmıştır. Bu düz</w:t>
            </w:r>
            <w:r w:rsidR="00F87049" w:rsidRPr="00A23740">
              <w:rPr>
                <w:bCs/>
                <w:szCs w:val="24"/>
              </w:rPr>
              <w:t>enleme</w:t>
            </w:r>
            <w:r w:rsidR="00BE06AB" w:rsidRPr="00E10BE3">
              <w:rPr>
                <w:bCs/>
              </w:rPr>
              <w:t>de</w:t>
            </w:r>
            <w:r w:rsidR="00F87049" w:rsidRPr="00A23740">
              <w:rPr>
                <w:bCs/>
                <w:szCs w:val="24"/>
              </w:rPr>
              <w:t>, 2004 sayılı Kanunun 202 nci</w:t>
            </w:r>
            <w:r w:rsidRPr="00A23740">
              <w:rPr>
                <w:bCs/>
                <w:szCs w:val="24"/>
              </w:rPr>
              <w:t xml:space="preserve"> maddesinde yer alan </w:t>
            </w:r>
            <w:r w:rsidR="00BE06AB" w:rsidRPr="00E10BE3">
              <w:rPr>
                <w:bCs/>
              </w:rPr>
              <w:t>hüküm</w:t>
            </w:r>
            <w:r w:rsidR="00BE06AB" w:rsidRPr="00E10BE3">
              <w:rPr>
                <w:bCs/>
                <w:szCs w:val="24"/>
              </w:rPr>
              <w:t xml:space="preserve"> </w:t>
            </w:r>
            <w:r w:rsidRPr="00E10BE3">
              <w:rPr>
                <w:bCs/>
                <w:szCs w:val="24"/>
              </w:rPr>
              <w:t>daha</w:t>
            </w:r>
            <w:r w:rsidRPr="00A23740">
              <w:rPr>
                <w:bCs/>
                <w:szCs w:val="24"/>
              </w:rPr>
              <w:t xml:space="preserve"> açık bir şekilde ifade </w:t>
            </w:r>
            <w:r w:rsidRPr="00E10BE3">
              <w:rPr>
                <w:bCs/>
                <w:szCs w:val="24"/>
              </w:rPr>
              <w:t>edilmiş</w:t>
            </w:r>
            <w:r w:rsidR="00BE06AB" w:rsidRPr="00E10BE3">
              <w:rPr>
                <w:bCs/>
              </w:rPr>
              <w:t>tir.</w:t>
            </w:r>
            <w:r w:rsidR="00F62254" w:rsidRPr="00F62254">
              <w:rPr>
                <w:rStyle w:val="KIRMIZIChar"/>
                <w:rFonts w:eastAsia="Calibri"/>
                <w:strike w:val="0"/>
              </w:rPr>
              <w:t xml:space="preserve"> </w:t>
            </w:r>
            <w:r w:rsidRPr="00A23740">
              <w:rPr>
                <w:bCs/>
                <w:szCs w:val="24"/>
              </w:rPr>
              <w:t>Buna göre, asıl borç müeccel olsa bile, kefilin ifl</w:t>
            </w:r>
            <w:r w:rsidR="00656C77" w:rsidRPr="00A23740">
              <w:rPr>
                <w:bCs/>
                <w:szCs w:val="24"/>
              </w:rPr>
              <w:t>a</w:t>
            </w:r>
            <w:r w:rsidRPr="00A23740">
              <w:rPr>
                <w:bCs/>
                <w:szCs w:val="24"/>
              </w:rPr>
              <w:t>sı, onun borcunu muaccel h</w:t>
            </w:r>
            <w:r w:rsidR="009D574E" w:rsidRPr="00A23740">
              <w:rPr>
                <w:bCs/>
                <w:szCs w:val="24"/>
              </w:rPr>
              <w:t>â</w:t>
            </w:r>
            <w:r w:rsidRPr="00A23740">
              <w:rPr>
                <w:bCs/>
                <w:szCs w:val="24"/>
              </w:rPr>
              <w:t>le getirir. Bu alacak masaya yazdırılır ve bunun için pay ayrılır. Asıl alacak müeccel olsa dahi ay</w:t>
            </w:r>
            <w:r w:rsidR="00E10BE3">
              <w:rPr>
                <w:bCs/>
                <w:szCs w:val="24"/>
              </w:rPr>
              <w:t>rılan bu pay alacaklıya ödenir.</w:t>
            </w:r>
          </w:p>
          <w:p w:rsidR="007700AE" w:rsidRPr="00A23740" w:rsidRDefault="007700AE" w:rsidP="009431FF">
            <w:pPr>
              <w:tabs>
                <w:tab w:val="left" w:pos="567"/>
              </w:tabs>
              <w:ind w:firstLine="567"/>
              <w:rPr>
                <w:bCs/>
                <w:szCs w:val="24"/>
              </w:rPr>
            </w:pPr>
            <w:r w:rsidRPr="00A23740">
              <w:rPr>
                <w:bCs/>
                <w:szCs w:val="24"/>
              </w:rPr>
              <w:t xml:space="preserve">Maddenin ikinci fıkrasında iflas </w:t>
            </w:r>
            <w:r w:rsidRPr="00E10BE3">
              <w:rPr>
                <w:bCs/>
                <w:szCs w:val="24"/>
              </w:rPr>
              <w:t>masasının</w:t>
            </w:r>
            <w:r w:rsidR="00BE06AB" w:rsidRPr="00E10BE3">
              <w:rPr>
                <w:bCs/>
              </w:rPr>
              <w:t>,</w:t>
            </w:r>
            <w:r w:rsidRPr="00A23740">
              <w:rPr>
                <w:bCs/>
                <w:szCs w:val="24"/>
              </w:rPr>
              <w:t xml:space="preserve"> ödediği para oranında alacaklının haklarına halef olacağı ve bu konuda </w:t>
            </w:r>
            <w:r w:rsidR="00CB4D3D" w:rsidRPr="00E10BE3">
              <w:rPr>
                <w:szCs w:val="24"/>
              </w:rPr>
              <w:t>6098 sayılı Kanunun</w:t>
            </w:r>
            <w:r w:rsidRPr="00A23740">
              <w:rPr>
                <w:bCs/>
                <w:szCs w:val="24"/>
              </w:rPr>
              <w:t xml:space="preserve"> 596 ncı maddesi hükmünün uygulanacağı ifade edilmiştir. Düzenleme</w:t>
            </w:r>
            <w:r w:rsidR="00BE06AB" w:rsidRPr="00A23740">
              <w:rPr>
                <w:bCs/>
                <w:szCs w:val="24"/>
              </w:rPr>
              <w:t xml:space="preserve"> yapılırken </w:t>
            </w:r>
            <w:r w:rsidR="00CB4D3D" w:rsidRPr="00E10BE3">
              <w:rPr>
                <w:szCs w:val="24"/>
              </w:rPr>
              <w:t>6098 sayılı Kanunun</w:t>
            </w:r>
            <w:r w:rsidRPr="00A23740">
              <w:rPr>
                <w:bCs/>
                <w:szCs w:val="24"/>
              </w:rPr>
              <w:t xml:space="preserve"> kefalete ilişkin hükümlerinde İsviçre’de yapılan değişiklikleri takiben kapsamlı değişiklikler yapılmış olması da dikkate alınmıştır. B</w:t>
            </w:r>
            <w:r w:rsidR="00BE06AB" w:rsidRPr="00A23740">
              <w:rPr>
                <w:bCs/>
                <w:szCs w:val="24"/>
              </w:rPr>
              <w:t>u anlamda önceki Borçlar Kanunu</w:t>
            </w:r>
            <w:r w:rsidRPr="00A23740">
              <w:rPr>
                <w:bCs/>
                <w:szCs w:val="24"/>
              </w:rPr>
              <w:t>nun 496</w:t>
            </w:r>
            <w:r w:rsidR="00F87049" w:rsidRPr="00A23740">
              <w:rPr>
                <w:bCs/>
                <w:szCs w:val="24"/>
              </w:rPr>
              <w:t xml:space="preserve"> ncı</w:t>
            </w:r>
            <w:r w:rsidRPr="00A23740">
              <w:rPr>
                <w:bCs/>
                <w:szCs w:val="24"/>
              </w:rPr>
              <w:t xml:space="preserve"> maddesi</w:t>
            </w:r>
            <w:r w:rsidR="00F3128F" w:rsidRPr="00A23740">
              <w:rPr>
                <w:bCs/>
                <w:szCs w:val="24"/>
              </w:rPr>
              <w:t xml:space="preserve"> ile</w:t>
            </w:r>
            <w:r w:rsidRPr="00A23740">
              <w:rPr>
                <w:bCs/>
                <w:szCs w:val="24"/>
              </w:rPr>
              <w:t xml:space="preserve"> y</w:t>
            </w:r>
            <w:r w:rsidR="00BE06AB" w:rsidRPr="00A23740">
              <w:rPr>
                <w:bCs/>
                <w:szCs w:val="24"/>
              </w:rPr>
              <w:t xml:space="preserve">ürürlükteki </w:t>
            </w:r>
            <w:r w:rsidR="00CB4D3D" w:rsidRPr="00E10BE3">
              <w:rPr>
                <w:szCs w:val="24"/>
              </w:rPr>
              <w:t>6098 sayılı Kanunun</w:t>
            </w:r>
            <w:r w:rsidRPr="00A23740">
              <w:rPr>
                <w:bCs/>
                <w:szCs w:val="24"/>
              </w:rPr>
              <w:t xml:space="preserve"> ona tekabül eden 596</w:t>
            </w:r>
            <w:r w:rsidR="00F87049" w:rsidRPr="00A23740">
              <w:rPr>
                <w:bCs/>
                <w:szCs w:val="24"/>
              </w:rPr>
              <w:t xml:space="preserve"> ncı </w:t>
            </w:r>
            <w:r w:rsidRPr="00A23740">
              <w:rPr>
                <w:bCs/>
                <w:szCs w:val="24"/>
              </w:rPr>
              <w:t>maddesinin incelenmesi sonucunda bu hükümlerdeki içerik ve düzenleme farklılığının</w:t>
            </w:r>
            <w:r w:rsidR="00F3128F" w:rsidRPr="00A23740">
              <w:rPr>
                <w:bCs/>
                <w:szCs w:val="24"/>
              </w:rPr>
              <w:t>,</w:t>
            </w:r>
            <w:r w:rsidRPr="00A23740">
              <w:rPr>
                <w:bCs/>
                <w:szCs w:val="24"/>
              </w:rPr>
              <w:t xml:space="preserve"> </w:t>
            </w:r>
            <w:r w:rsidR="00F3128F" w:rsidRPr="00A23740">
              <w:rPr>
                <w:bCs/>
                <w:szCs w:val="24"/>
              </w:rPr>
              <w:t xml:space="preserve">2004 sayılı Kanununun </w:t>
            </w:r>
            <w:r w:rsidRPr="00A23740">
              <w:rPr>
                <w:bCs/>
                <w:szCs w:val="24"/>
              </w:rPr>
              <w:t>müflisin kefil olduğu borçlara ilişkin 202</w:t>
            </w:r>
            <w:r w:rsidR="00F87049" w:rsidRPr="00A23740">
              <w:rPr>
                <w:bCs/>
                <w:szCs w:val="24"/>
              </w:rPr>
              <w:t xml:space="preserve"> nci</w:t>
            </w:r>
            <w:r w:rsidRPr="00A23740">
              <w:rPr>
                <w:bCs/>
                <w:szCs w:val="24"/>
              </w:rPr>
              <w:t xml:space="preserve"> madde</w:t>
            </w:r>
            <w:r w:rsidR="00BE06AB" w:rsidRPr="00E10BE3">
              <w:rPr>
                <w:bCs/>
              </w:rPr>
              <w:t>sin</w:t>
            </w:r>
            <w:r w:rsidRPr="00E10BE3">
              <w:rPr>
                <w:bCs/>
                <w:szCs w:val="24"/>
              </w:rPr>
              <w:t>d</w:t>
            </w:r>
            <w:r w:rsidRPr="00A23740">
              <w:rPr>
                <w:bCs/>
                <w:szCs w:val="24"/>
              </w:rPr>
              <w:t>e bir değişikliği gerektirmediği sonucuna ulaşılmıştır. Nitekim İsviç</w:t>
            </w:r>
            <w:r w:rsidR="00BE06AB" w:rsidRPr="00A23740">
              <w:rPr>
                <w:bCs/>
                <w:szCs w:val="24"/>
              </w:rPr>
              <w:t>re’de de İsviçre Borçlar Kanunu</w:t>
            </w:r>
            <w:r w:rsidRPr="00A23740">
              <w:rPr>
                <w:bCs/>
                <w:szCs w:val="24"/>
              </w:rPr>
              <w:t xml:space="preserve">ndaki değişikliklere rağmen </w:t>
            </w:r>
            <w:r w:rsidR="00BE06AB" w:rsidRPr="00E10BE3">
              <w:rPr>
                <w:bCs/>
              </w:rPr>
              <w:t>bu</w:t>
            </w:r>
            <w:r w:rsidR="00BE06AB" w:rsidRPr="00E10BE3">
              <w:rPr>
                <w:bCs/>
                <w:szCs w:val="24"/>
              </w:rPr>
              <w:t xml:space="preserve"> </w:t>
            </w:r>
            <w:r w:rsidRPr="00A23740">
              <w:rPr>
                <w:bCs/>
                <w:szCs w:val="24"/>
              </w:rPr>
              <w:t>maddeye tekabül eden İsviçre</w:t>
            </w:r>
            <w:r w:rsidR="00BE06AB" w:rsidRPr="00A23740">
              <w:rPr>
                <w:bCs/>
                <w:szCs w:val="24"/>
              </w:rPr>
              <w:t xml:space="preserve">’nin </w:t>
            </w:r>
            <w:r w:rsidR="00BE06AB" w:rsidRPr="00E10BE3">
              <w:rPr>
                <w:bCs/>
              </w:rPr>
              <w:t>Borç İçin Takip ve İflas Hakkındaki Federal</w:t>
            </w:r>
            <w:r w:rsidRPr="00A23740">
              <w:rPr>
                <w:bCs/>
                <w:szCs w:val="24"/>
              </w:rPr>
              <w:t xml:space="preserve"> </w:t>
            </w:r>
            <w:r w:rsidR="00BE06AB" w:rsidRPr="00A23740">
              <w:rPr>
                <w:bCs/>
                <w:szCs w:val="24"/>
              </w:rPr>
              <w:t>Kanunu</w:t>
            </w:r>
            <w:r w:rsidRPr="00A23740">
              <w:rPr>
                <w:bCs/>
                <w:szCs w:val="24"/>
              </w:rPr>
              <w:t>nun 215</w:t>
            </w:r>
            <w:r w:rsidR="00F87049" w:rsidRPr="00A23740">
              <w:rPr>
                <w:bCs/>
                <w:szCs w:val="24"/>
              </w:rPr>
              <w:t xml:space="preserve"> inci</w:t>
            </w:r>
            <w:r w:rsidRPr="00A23740">
              <w:rPr>
                <w:bCs/>
                <w:szCs w:val="24"/>
              </w:rPr>
              <w:t xml:space="preserve"> maddesi aynı şekilde korunmuştur. </w:t>
            </w:r>
          </w:p>
          <w:p w:rsidR="00B43502" w:rsidRDefault="007700AE" w:rsidP="00B43502">
            <w:pPr>
              <w:tabs>
                <w:tab w:val="left" w:pos="567"/>
              </w:tabs>
              <w:ind w:firstLine="567"/>
              <w:rPr>
                <w:bCs/>
                <w:szCs w:val="24"/>
              </w:rPr>
            </w:pPr>
            <w:r w:rsidRPr="00A23740">
              <w:rPr>
                <w:bCs/>
                <w:szCs w:val="24"/>
              </w:rPr>
              <w:t>Maddenin üçüncü fıkrasında asıl borçlunun veya birlikte kefillerden birinin ifl</w:t>
            </w:r>
            <w:r w:rsidR="00656C77" w:rsidRPr="00A23740">
              <w:rPr>
                <w:bCs/>
                <w:szCs w:val="24"/>
              </w:rPr>
              <w:t>a</w:t>
            </w:r>
            <w:r w:rsidRPr="00A23740">
              <w:rPr>
                <w:bCs/>
                <w:szCs w:val="24"/>
              </w:rPr>
              <w:t>sı h</w:t>
            </w:r>
            <w:r w:rsidR="009D574E" w:rsidRPr="00A23740">
              <w:rPr>
                <w:bCs/>
                <w:szCs w:val="24"/>
              </w:rPr>
              <w:t>â</w:t>
            </w:r>
            <w:r w:rsidRPr="00A23740">
              <w:rPr>
                <w:bCs/>
                <w:szCs w:val="24"/>
              </w:rPr>
              <w:t xml:space="preserve">linde </w:t>
            </w:r>
            <w:r w:rsidR="00BE06AB" w:rsidRPr="00E10BE3">
              <w:rPr>
                <w:bCs/>
              </w:rPr>
              <w:t>Taslağın</w:t>
            </w:r>
            <w:r w:rsidR="00BE06AB" w:rsidRPr="00E10BE3">
              <w:rPr>
                <w:bCs/>
                <w:szCs w:val="24"/>
              </w:rPr>
              <w:t xml:space="preserve"> </w:t>
            </w:r>
            <w:r w:rsidR="004419FC" w:rsidRPr="00E10BE3">
              <w:t>314</w:t>
            </w:r>
            <w:r w:rsidR="004419FC" w:rsidRPr="00E10BE3">
              <w:rPr>
                <w:bCs/>
              </w:rPr>
              <w:t xml:space="preserve"> </w:t>
            </w:r>
            <w:r w:rsidR="004419FC" w:rsidRPr="00A23740">
              <w:rPr>
                <w:szCs w:val="24"/>
              </w:rPr>
              <w:t xml:space="preserve">ve </w:t>
            </w:r>
            <w:r w:rsidR="004419FC" w:rsidRPr="00E10BE3">
              <w:t>315 inci</w:t>
            </w:r>
            <w:r w:rsidRPr="00A23740">
              <w:rPr>
                <w:bCs/>
                <w:szCs w:val="24"/>
              </w:rPr>
              <w:t xml:space="preserve"> maddele</w:t>
            </w:r>
            <w:r w:rsidRPr="00E10BE3">
              <w:rPr>
                <w:bCs/>
                <w:szCs w:val="24"/>
              </w:rPr>
              <w:t>r</w:t>
            </w:r>
            <w:r w:rsidR="00BE06AB" w:rsidRPr="00E10BE3">
              <w:rPr>
                <w:bCs/>
              </w:rPr>
              <w:t>in</w:t>
            </w:r>
            <w:r w:rsidRPr="00E10BE3">
              <w:rPr>
                <w:bCs/>
                <w:szCs w:val="24"/>
              </w:rPr>
              <w:t>de</w:t>
            </w:r>
            <w:r w:rsidRPr="00A23740">
              <w:rPr>
                <w:bCs/>
                <w:szCs w:val="24"/>
              </w:rPr>
              <w:t>ki özel hükümlerin ge</w:t>
            </w:r>
            <w:r w:rsidR="00E10BE3">
              <w:rPr>
                <w:bCs/>
                <w:szCs w:val="24"/>
              </w:rPr>
              <w:t>çerli olacağı ifade edilmiştir.</w:t>
            </w:r>
            <w:r w:rsidR="00B43502">
              <w:rPr>
                <w:bCs/>
                <w:szCs w:val="24"/>
              </w:rPr>
              <w:t xml:space="preserve"> </w:t>
            </w:r>
          </w:p>
          <w:p w:rsidR="00B43502" w:rsidRDefault="00B43502" w:rsidP="00B43502">
            <w:pPr>
              <w:tabs>
                <w:tab w:val="left" w:pos="567"/>
              </w:tabs>
              <w:ind w:firstLine="567"/>
              <w:rPr>
                <w:bCs/>
                <w:szCs w:val="24"/>
              </w:rPr>
            </w:pPr>
          </w:p>
          <w:p w:rsidR="00B43502" w:rsidRDefault="00B43502" w:rsidP="00B43502">
            <w:pPr>
              <w:tabs>
                <w:tab w:val="left" w:pos="567"/>
              </w:tabs>
              <w:ind w:firstLine="567"/>
              <w:rPr>
                <w:bCs/>
                <w:szCs w:val="24"/>
              </w:rPr>
            </w:pPr>
          </w:p>
          <w:p w:rsidR="00B43502" w:rsidRDefault="00B43502" w:rsidP="00B43502">
            <w:pPr>
              <w:tabs>
                <w:tab w:val="left" w:pos="567"/>
              </w:tabs>
              <w:ind w:firstLine="567"/>
              <w:rPr>
                <w:bCs/>
                <w:szCs w:val="24"/>
              </w:rPr>
            </w:pPr>
          </w:p>
          <w:p w:rsidR="00B43502" w:rsidRPr="00A23740" w:rsidRDefault="00B43502" w:rsidP="00B43502">
            <w:pPr>
              <w:tabs>
                <w:tab w:val="left" w:pos="567"/>
              </w:tabs>
              <w:ind w:firstLine="567"/>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center" w:pos="3543"/>
              </w:tabs>
              <w:rPr>
                <w:szCs w:val="24"/>
              </w:rPr>
            </w:pPr>
            <w:r w:rsidRPr="00A23740">
              <w:rPr>
                <w:szCs w:val="24"/>
              </w:rPr>
              <w:t xml:space="preserve">Müşterek borçluların </w:t>
            </w:r>
            <w:r w:rsidRPr="00A23740">
              <w:rPr>
                <w:b/>
                <w:strike/>
                <w:color w:val="FF0000"/>
                <w:szCs w:val="24"/>
              </w:rPr>
              <w:t>bir</w:t>
            </w:r>
            <w:r w:rsidRPr="00A23740">
              <w:rPr>
                <w:szCs w:val="24"/>
              </w:rPr>
              <w:t xml:space="preserve"> zamanda iflası</w:t>
            </w:r>
            <w:r w:rsidRPr="00A23740">
              <w:rPr>
                <w:b/>
                <w:strike/>
                <w:color w:val="FF0000"/>
                <w:szCs w:val="24"/>
              </w:rPr>
              <w:t>:</w:t>
            </w:r>
          </w:p>
          <w:p w:rsidR="00AA5C8C" w:rsidRPr="00A23740" w:rsidRDefault="00AA5C8C" w:rsidP="009431FF">
            <w:pPr>
              <w:tabs>
                <w:tab w:val="center" w:pos="3543"/>
              </w:tabs>
              <w:rPr>
                <w:b/>
                <w:strike/>
                <w:color w:val="FF0000"/>
                <w:szCs w:val="24"/>
              </w:rPr>
            </w:pPr>
            <w:r w:rsidRPr="00A23740">
              <w:rPr>
                <w:rStyle w:val="KIRMIZIChar"/>
                <w:rFonts w:eastAsia="Calibri"/>
              </w:rPr>
              <w:t>Madde 203 – (1)</w:t>
            </w:r>
            <w:r w:rsidRPr="00A23740">
              <w:rPr>
                <w:b/>
                <w:szCs w:val="24"/>
              </w:rPr>
              <w:t xml:space="preserve"> </w:t>
            </w:r>
            <w:r w:rsidRPr="00A23740">
              <w:rPr>
                <w:szCs w:val="24"/>
              </w:rPr>
              <w:t xml:space="preserve">Bir borcu birlikte taahhüt edenlerin iflas </w:t>
            </w:r>
            <w:r w:rsidRPr="00A23740">
              <w:rPr>
                <w:b/>
                <w:strike/>
                <w:color w:val="FF0000"/>
                <w:szCs w:val="24"/>
              </w:rPr>
              <w:t>muameleleri</w:t>
            </w:r>
            <w:r w:rsidRPr="00A23740">
              <w:rPr>
                <w:szCs w:val="24"/>
              </w:rPr>
              <w:t xml:space="preserve"> </w:t>
            </w:r>
            <w:r w:rsidRPr="00A23740">
              <w:rPr>
                <w:b/>
                <w:strike/>
                <w:color w:val="FF0000"/>
                <w:szCs w:val="24"/>
              </w:rPr>
              <w:t>bir</w:t>
            </w:r>
            <w:r w:rsidRPr="00A23740">
              <w:rPr>
                <w:szCs w:val="24"/>
              </w:rPr>
              <w:t xml:space="preserve"> zamana </w:t>
            </w:r>
            <w:r w:rsidRPr="00A23740">
              <w:rPr>
                <w:rStyle w:val="KIRMIZIChar"/>
                <w:rFonts w:eastAsia="Calibri"/>
              </w:rPr>
              <w:t>tesadüf ederse</w:t>
            </w:r>
            <w:r w:rsidRPr="00A23740">
              <w:rPr>
                <w:szCs w:val="24"/>
              </w:rPr>
              <w:t xml:space="preserve"> alacaklı alacağının tamamını müflislerin her birinin masasın</w:t>
            </w:r>
            <w:r w:rsidRPr="00A23740">
              <w:rPr>
                <w:rStyle w:val="KIRMIZIChar"/>
                <w:rFonts w:eastAsia="Calibri"/>
              </w:rPr>
              <w:t xml:space="preserve">dan </w:t>
            </w:r>
            <w:r w:rsidRPr="00A23740">
              <w:rPr>
                <w:b/>
                <w:strike/>
                <w:color w:val="FF0000"/>
                <w:szCs w:val="24"/>
              </w:rPr>
              <w:t>istiyebilir.</w:t>
            </w:r>
          </w:p>
          <w:p w:rsidR="00AA5C8C" w:rsidRPr="00A23740" w:rsidRDefault="00AA5C8C" w:rsidP="009431FF">
            <w:pPr>
              <w:tabs>
                <w:tab w:val="center" w:pos="3543"/>
              </w:tabs>
              <w:rPr>
                <w:szCs w:val="24"/>
              </w:rPr>
            </w:pPr>
          </w:p>
          <w:p w:rsidR="00AA5C8C" w:rsidRPr="00A23740" w:rsidRDefault="00AA5C8C" w:rsidP="009431FF">
            <w:pPr>
              <w:tabs>
                <w:tab w:val="center" w:pos="3543"/>
              </w:tabs>
              <w:rPr>
                <w:szCs w:val="24"/>
              </w:rPr>
            </w:pPr>
            <w:r w:rsidRPr="00A23740">
              <w:rPr>
                <w:rStyle w:val="KIRMIZIChar"/>
                <w:rFonts w:eastAsia="Calibri"/>
              </w:rPr>
              <w:t>(2) Toplanan</w:t>
            </w:r>
            <w:r w:rsidRPr="00A23740">
              <w:rPr>
                <w:b/>
                <w:strike/>
                <w:color w:val="FF0000"/>
                <w:szCs w:val="24"/>
              </w:rPr>
              <w:t xml:space="preserve"> hisseler</w:t>
            </w:r>
            <w:r w:rsidRPr="00A23740">
              <w:rPr>
                <w:szCs w:val="24"/>
              </w:rPr>
              <w:t xml:space="preserve"> alacak </w:t>
            </w:r>
            <w:r w:rsidRPr="00A23740">
              <w:rPr>
                <w:b/>
                <w:strike/>
                <w:color w:val="FF0000"/>
                <w:szCs w:val="24"/>
              </w:rPr>
              <w:t>yekünundan</w:t>
            </w:r>
            <w:r w:rsidRPr="00A23740">
              <w:rPr>
                <w:szCs w:val="24"/>
              </w:rPr>
              <w:t xml:space="preserve"> fazla ise bu fazla </w:t>
            </w:r>
            <w:r w:rsidRPr="00A23740">
              <w:rPr>
                <w:b/>
                <w:strike/>
                <w:color w:val="FF0000"/>
                <w:szCs w:val="24"/>
              </w:rPr>
              <w:t>müşterek borçlusuna karşı mükellef olduğu hisseden ziyade</w:t>
            </w:r>
            <w:r w:rsidRPr="00A23740">
              <w:rPr>
                <w:b/>
                <w:color w:val="FF0000"/>
                <w:szCs w:val="24"/>
              </w:rPr>
              <w:t xml:space="preserve"> </w:t>
            </w:r>
            <w:r w:rsidRPr="00A23740">
              <w:t>ödemede</w:t>
            </w:r>
            <w:r w:rsidRPr="00A23740">
              <w:rPr>
                <w:b/>
                <w:strike/>
                <w:color w:val="FF0000"/>
                <w:szCs w:val="24"/>
              </w:rPr>
              <w:t xml:space="preserve"> bulunmuş olan</w:t>
            </w:r>
            <w:r w:rsidRPr="00A23740">
              <w:rPr>
                <w:b/>
                <w:color w:val="FF0000"/>
                <w:szCs w:val="24"/>
              </w:rPr>
              <w:t xml:space="preserve"> </w:t>
            </w:r>
            <w:r w:rsidRPr="00A23740">
              <w:rPr>
                <w:szCs w:val="24"/>
              </w:rPr>
              <w:t>masalara intikal eder.</w:t>
            </w:r>
          </w:p>
          <w:p w:rsidR="00AA5C8C" w:rsidRPr="00A23740" w:rsidRDefault="00AA5C8C" w:rsidP="009431FF">
            <w:pPr>
              <w:tabs>
                <w:tab w:val="center" w:pos="3543"/>
              </w:tabs>
              <w:rPr>
                <w:szCs w:val="24"/>
              </w:rPr>
            </w:pPr>
          </w:p>
          <w:p w:rsidR="00AA5C8C" w:rsidRPr="00A23740" w:rsidRDefault="00AA5C8C" w:rsidP="009431FF">
            <w:pPr>
              <w:tabs>
                <w:tab w:val="center" w:pos="3543"/>
              </w:tabs>
              <w:rPr>
                <w:szCs w:val="24"/>
              </w:rPr>
            </w:pPr>
            <w:r w:rsidRPr="00A23740">
              <w:rPr>
                <w:szCs w:val="24"/>
              </w:rPr>
              <w:tab/>
            </w:r>
            <w:r w:rsidRPr="00A23740">
              <w:rPr>
                <w:rStyle w:val="KIRMIZIChar"/>
                <w:rFonts w:eastAsia="Calibri"/>
              </w:rPr>
              <w:t>(3)</w:t>
            </w:r>
            <w:r w:rsidRPr="00A23740">
              <w:rPr>
                <w:szCs w:val="24"/>
              </w:rPr>
              <w:t xml:space="preserve"> Ödedikleri </w:t>
            </w:r>
            <w:r w:rsidRPr="00A23740">
              <w:rPr>
                <w:b/>
                <w:strike/>
                <w:color w:val="FF0000"/>
                <w:szCs w:val="24"/>
              </w:rPr>
              <w:t>hisselerin mecmuu</w:t>
            </w:r>
            <w:r w:rsidRPr="00A23740">
              <w:rPr>
                <w:szCs w:val="24"/>
              </w:rPr>
              <w:t xml:space="preserve"> alacak miktarını geçmedikçe masaların </w:t>
            </w:r>
            <w:r w:rsidRPr="00A23740">
              <w:rPr>
                <w:b/>
                <w:strike/>
                <w:color w:val="FF0000"/>
                <w:szCs w:val="24"/>
              </w:rPr>
              <w:t>yekdiğerine</w:t>
            </w:r>
            <w:r w:rsidRPr="00A23740">
              <w:rPr>
                <w:szCs w:val="24"/>
              </w:rPr>
              <w:t xml:space="preserve"> rücu hakları yoktur.</w:t>
            </w:r>
          </w:p>
        </w:tc>
        <w:tc>
          <w:tcPr>
            <w:tcW w:w="2500" w:type="pct"/>
          </w:tcPr>
          <w:p w:rsidR="00AA5C8C" w:rsidRPr="00A23740" w:rsidRDefault="00AA5C8C" w:rsidP="009431FF">
            <w:pPr>
              <w:tabs>
                <w:tab w:val="center" w:pos="3543"/>
              </w:tabs>
              <w:rPr>
                <w:b/>
                <w:szCs w:val="24"/>
              </w:rPr>
            </w:pPr>
            <w:r w:rsidRPr="00A23740">
              <w:rPr>
                <w:b/>
                <w:szCs w:val="24"/>
              </w:rPr>
              <w:t xml:space="preserve">Müşterek borçluların </w:t>
            </w:r>
            <w:r w:rsidRPr="00A23740">
              <w:rPr>
                <w:b/>
                <w:color w:val="0000FF"/>
                <w:szCs w:val="24"/>
              </w:rPr>
              <w:t>aynı</w:t>
            </w:r>
            <w:r w:rsidRPr="00A23740">
              <w:rPr>
                <w:b/>
                <w:szCs w:val="24"/>
              </w:rPr>
              <w:t xml:space="preserve"> zamanda iflası</w:t>
            </w:r>
          </w:p>
          <w:p w:rsidR="00AA5C8C" w:rsidRPr="00A23740" w:rsidRDefault="008276D4" w:rsidP="009431FF">
            <w:pPr>
              <w:tabs>
                <w:tab w:val="left" w:pos="567"/>
              </w:tabs>
              <w:rPr>
                <w:b/>
                <w:color w:val="0000FF"/>
                <w:szCs w:val="24"/>
              </w:rPr>
            </w:pPr>
            <w:r w:rsidRPr="00A23740">
              <w:rPr>
                <w:rStyle w:val="MAVChar"/>
                <w:rFonts w:eastAsia="Calibri"/>
                <w:u w:val="none"/>
              </w:rPr>
              <w:t>MADDE 314</w:t>
            </w:r>
            <w:r w:rsidR="00AA5C8C" w:rsidRPr="00A23740">
              <w:rPr>
                <w:rStyle w:val="MAVChar"/>
                <w:rFonts w:eastAsia="Calibri"/>
                <w:u w:val="none"/>
              </w:rPr>
              <w:t>- (</w:t>
            </w:r>
            <w:r w:rsidR="00AA5C8C" w:rsidRPr="00A23740">
              <w:rPr>
                <w:b/>
                <w:color w:val="0000FF"/>
                <w:szCs w:val="24"/>
              </w:rPr>
              <w:t xml:space="preserve">1) </w:t>
            </w:r>
            <w:r w:rsidR="00AA5C8C" w:rsidRPr="00A23740">
              <w:rPr>
                <w:szCs w:val="24"/>
              </w:rPr>
              <w:t>Bir borcu birlikte taahhüt edenlerin iflas</w:t>
            </w:r>
            <w:r w:rsidR="00AA5C8C" w:rsidRPr="00A23740">
              <w:rPr>
                <w:b/>
                <w:color w:val="0000FF"/>
                <w:szCs w:val="24"/>
              </w:rPr>
              <w:t xml:space="preserve"> tasfiye işlemleri aynı</w:t>
            </w:r>
            <w:r w:rsidR="00AA5C8C" w:rsidRPr="00A23740">
              <w:rPr>
                <w:szCs w:val="24"/>
              </w:rPr>
              <w:t xml:space="preserve"> zamana </w:t>
            </w:r>
            <w:r w:rsidR="00AA5C8C" w:rsidRPr="00A23740">
              <w:rPr>
                <w:rStyle w:val="MaviChar"/>
              </w:rPr>
              <w:t>rastlarsa</w:t>
            </w:r>
            <w:r w:rsidR="00AA5C8C" w:rsidRPr="00A23740">
              <w:rPr>
                <w:szCs w:val="24"/>
              </w:rPr>
              <w:t xml:space="preserve"> alacaklı</w:t>
            </w:r>
            <w:r w:rsidR="00AA5C8C" w:rsidRPr="00A23740">
              <w:rPr>
                <w:rStyle w:val="MaviChar"/>
              </w:rPr>
              <w:t>,</w:t>
            </w:r>
            <w:r w:rsidR="00AA5C8C" w:rsidRPr="00A23740">
              <w:rPr>
                <w:szCs w:val="24"/>
              </w:rPr>
              <w:t xml:space="preserve"> alacağının tamamını müflislerin her birinin </w:t>
            </w:r>
            <w:r w:rsidR="00AA5C8C" w:rsidRPr="00A23740">
              <w:rPr>
                <w:b/>
                <w:color w:val="0000FF"/>
                <w:szCs w:val="24"/>
              </w:rPr>
              <w:t>iflas</w:t>
            </w:r>
            <w:r w:rsidR="00AA5C8C" w:rsidRPr="00A23740">
              <w:rPr>
                <w:szCs w:val="24"/>
              </w:rPr>
              <w:t xml:space="preserve"> masasın</w:t>
            </w:r>
            <w:r w:rsidR="00AA5C8C" w:rsidRPr="00A23740">
              <w:rPr>
                <w:rStyle w:val="MaviChar"/>
              </w:rPr>
              <w:t>a kaydettirebilir.</w:t>
            </w:r>
          </w:p>
          <w:p w:rsidR="00AA5C8C" w:rsidRPr="00A23740" w:rsidRDefault="00AA5C8C" w:rsidP="009431FF">
            <w:pPr>
              <w:tabs>
                <w:tab w:val="left" w:pos="567"/>
              </w:tabs>
              <w:rPr>
                <w:szCs w:val="24"/>
              </w:rPr>
            </w:pPr>
          </w:p>
          <w:p w:rsidR="00AA5C8C" w:rsidRPr="00A23740" w:rsidRDefault="00AA5C8C" w:rsidP="009431FF">
            <w:pPr>
              <w:tabs>
                <w:tab w:val="center" w:pos="3543"/>
              </w:tabs>
              <w:rPr>
                <w:szCs w:val="24"/>
              </w:rPr>
            </w:pPr>
            <w:r w:rsidRPr="00A23740">
              <w:rPr>
                <w:b/>
                <w:color w:val="0000FF"/>
                <w:szCs w:val="24"/>
              </w:rPr>
              <w:t>(2) İflas masalarında ayrılan paylar toplamı</w:t>
            </w:r>
            <w:r w:rsidRPr="00A23740">
              <w:rPr>
                <w:szCs w:val="24"/>
              </w:rPr>
              <w:t xml:space="preserve"> alacak </w:t>
            </w:r>
            <w:r w:rsidR="00932D30" w:rsidRPr="00E10BE3">
              <w:rPr>
                <w:rStyle w:val="Balk1Char"/>
                <w:rFonts w:eastAsia="Calibri"/>
              </w:rPr>
              <w:t>toplamını aşıyorsa</w:t>
            </w:r>
            <w:r w:rsidR="00932D30" w:rsidRPr="00A23740">
              <w:rPr>
                <w:szCs w:val="24"/>
              </w:rPr>
              <w:t xml:space="preserve"> </w:t>
            </w:r>
            <w:r w:rsidRPr="00A23740">
              <w:rPr>
                <w:szCs w:val="24"/>
              </w:rPr>
              <w:t xml:space="preserve">bu fazla </w:t>
            </w:r>
            <w:r w:rsidRPr="00A23740">
              <w:rPr>
                <w:b/>
                <w:color w:val="0000FF"/>
                <w:szCs w:val="24"/>
              </w:rPr>
              <w:t xml:space="preserve">para, payından daha fazla </w:t>
            </w:r>
            <w:r w:rsidRPr="00A23740">
              <w:t>ödemede</w:t>
            </w:r>
            <w:r w:rsidRPr="00A23740">
              <w:rPr>
                <w:b/>
                <w:color w:val="0000FF"/>
                <w:szCs w:val="24"/>
              </w:rPr>
              <w:t xml:space="preserve"> bulunan iflas </w:t>
            </w:r>
            <w:r w:rsidRPr="00A23740">
              <w:rPr>
                <w:szCs w:val="24"/>
              </w:rPr>
              <w:t>masalar</w:t>
            </w:r>
            <w:r w:rsidRPr="00A23740">
              <w:rPr>
                <w:rStyle w:val="MaviChar"/>
              </w:rPr>
              <w:t>ın</w:t>
            </w:r>
            <w:r w:rsidRPr="00A23740">
              <w:rPr>
                <w:szCs w:val="24"/>
              </w:rPr>
              <w:t>a intikal eder.</w:t>
            </w:r>
          </w:p>
          <w:p w:rsidR="00AA5C8C" w:rsidRPr="00A23740" w:rsidRDefault="00AA5C8C" w:rsidP="009431FF">
            <w:pPr>
              <w:tabs>
                <w:tab w:val="left" w:pos="567"/>
              </w:tabs>
              <w:rPr>
                <w:szCs w:val="24"/>
              </w:rPr>
            </w:pPr>
          </w:p>
          <w:p w:rsidR="00AA5C8C" w:rsidRPr="00A23740" w:rsidRDefault="00AA5C8C" w:rsidP="009431FF">
            <w:pPr>
              <w:tabs>
                <w:tab w:val="center" w:pos="3543"/>
              </w:tabs>
              <w:rPr>
                <w:szCs w:val="24"/>
              </w:rPr>
            </w:pPr>
            <w:r w:rsidRPr="00A23740">
              <w:rPr>
                <w:szCs w:val="24"/>
              </w:rPr>
              <w:tab/>
            </w:r>
            <w:r w:rsidRPr="00A23740">
              <w:rPr>
                <w:b/>
                <w:color w:val="0000FF"/>
                <w:szCs w:val="24"/>
              </w:rPr>
              <w:t>(3)</w:t>
            </w:r>
            <w:r w:rsidRPr="00A23740">
              <w:rPr>
                <w:szCs w:val="24"/>
              </w:rPr>
              <w:t xml:space="preserve"> Ödedikleri </w:t>
            </w:r>
            <w:r w:rsidRPr="00A23740">
              <w:rPr>
                <w:b/>
                <w:color w:val="0000FF"/>
                <w:szCs w:val="24"/>
              </w:rPr>
              <w:t>payların toplamı</w:t>
            </w:r>
            <w:r w:rsidRPr="00A23740">
              <w:rPr>
                <w:szCs w:val="24"/>
              </w:rPr>
              <w:t xml:space="preserve"> alacak miktarını geçmedikçe masaların </w:t>
            </w:r>
            <w:r w:rsidRPr="00A23740">
              <w:rPr>
                <w:b/>
                <w:color w:val="0000FF"/>
                <w:szCs w:val="24"/>
              </w:rPr>
              <w:t>birbirlerine</w:t>
            </w:r>
            <w:r w:rsidRPr="00A23740">
              <w:rPr>
                <w:szCs w:val="24"/>
              </w:rPr>
              <w:t xml:space="preserve"> rücu hakları yoktur.</w:t>
            </w:r>
          </w:p>
          <w:p w:rsidR="00AA5C8C" w:rsidRPr="00A23740" w:rsidRDefault="00AA5C8C" w:rsidP="009431FF">
            <w:pPr>
              <w:pStyle w:val="KIRMIZI"/>
            </w:pPr>
          </w:p>
        </w:tc>
      </w:tr>
      <w:tr w:rsidR="00706E87"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756E3" w:rsidRPr="00A23740" w:rsidRDefault="008756E3" w:rsidP="009431FF">
            <w:pPr>
              <w:tabs>
                <w:tab w:val="left" w:pos="567"/>
              </w:tabs>
              <w:ind w:firstLine="709"/>
              <w:rPr>
                <w:b/>
              </w:rPr>
            </w:pPr>
          </w:p>
          <w:p w:rsidR="00F87049" w:rsidRPr="00A23740" w:rsidRDefault="008276D4" w:rsidP="009431FF">
            <w:pPr>
              <w:tabs>
                <w:tab w:val="left" w:pos="567"/>
              </w:tabs>
              <w:ind w:firstLine="709"/>
              <w:rPr>
                <w:bCs/>
                <w:szCs w:val="24"/>
              </w:rPr>
            </w:pPr>
            <w:r w:rsidRPr="00A23740">
              <w:rPr>
                <w:b/>
              </w:rPr>
              <w:t>MADDE 314</w:t>
            </w:r>
            <w:r w:rsidR="00706E87" w:rsidRPr="00A23740">
              <w:rPr>
                <w:b/>
              </w:rPr>
              <w:t>-</w:t>
            </w:r>
            <w:r w:rsidR="00706E87" w:rsidRPr="00A23740">
              <w:t xml:space="preserve"> </w:t>
            </w:r>
            <w:r w:rsidR="00706E87" w:rsidRPr="00A23740">
              <w:rPr>
                <w:bCs/>
                <w:szCs w:val="24"/>
              </w:rPr>
              <w:t xml:space="preserve">Maddeyle, </w:t>
            </w:r>
            <w:r w:rsidR="00F87049" w:rsidRPr="00A23740">
              <w:rPr>
                <w:bCs/>
                <w:szCs w:val="24"/>
              </w:rPr>
              <w:t xml:space="preserve">müşterek borçluların aynı zamanda iflası </w:t>
            </w:r>
            <w:r w:rsidR="00706E87" w:rsidRPr="00A23740">
              <w:rPr>
                <w:bCs/>
                <w:szCs w:val="24"/>
              </w:rPr>
              <w:t xml:space="preserve">düzenlenmektedir. Hüküm, 2004 sayılı Kanunun </w:t>
            </w:r>
            <w:r w:rsidR="00F87049" w:rsidRPr="00A23740">
              <w:rPr>
                <w:bCs/>
                <w:szCs w:val="24"/>
              </w:rPr>
              <w:t>203</w:t>
            </w:r>
            <w:r w:rsidR="00706E87" w:rsidRPr="00A23740">
              <w:rPr>
                <w:bCs/>
                <w:szCs w:val="24"/>
              </w:rPr>
              <w:t xml:space="preserve"> üncü maddesine karşılık gelmektedir. </w:t>
            </w:r>
          </w:p>
          <w:p w:rsidR="007700AE" w:rsidRPr="00A23740" w:rsidRDefault="007700AE" w:rsidP="009431FF">
            <w:pPr>
              <w:tabs>
                <w:tab w:val="left" w:pos="567"/>
              </w:tabs>
              <w:ind w:firstLine="709"/>
              <w:rPr>
                <w:bCs/>
                <w:szCs w:val="24"/>
              </w:rPr>
            </w:pPr>
            <w:r w:rsidRPr="00A23740">
              <w:rPr>
                <w:bCs/>
                <w:szCs w:val="24"/>
              </w:rPr>
              <w:t>Madde,</w:t>
            </w:r>
            <w:r w:rsidR="00F87049" w:rsidRPr="00A23740">
              <w:rPr>
                <w:bCs/>
                <w:szCs w:val="24"/>
              </w:rPr>
              <w:t xml:space="preserve"> esasen 2004 sayılı Kanunun 203 üncü</w:t>
            </w:r>
            <w:r w:rsidRPr="00A23740">
              <w:rPr>
                <w:bCs/>
                <w:szCs w:val="24"/>
              </w:rPr>
              <w:t xml:space="preserve"> maddesin</w:t>
            </w:r>
            <w:r w:rsidR="00F3128F" w:rsidRPr="00A23740">
              <w:rPr>
                <w:bCs/>
                <w:szCs w:val="24"/>
              </w:rPr>
              <w:t>e göre</w:t>
            </w:r>
            <w:r w:rsidRPr="00A23740">
              <w:rPr>
                <w:bCs/>
                <w:szCs w:val="24"/>
              </w:rPr>
              <w:t xml:space="preserve"> önemli bir farklılık içermeyip, daha açık ve sade bir düzenleme yoluna gidilmiştir. </w:t>
            </w:r>
          </w:p>
          <w:p w:rsidR="007700AE" w:rsidRPr="00A23740" w:rsidRDefault="007700AE" w:rsidP="009431FF">
            <w:pPr>
              <w:tabs>
                <w:tab w:val="left" w:pos="567"/>
              </w:tabs>
              <w:ind w:firstLine="709"/>
            </w:pPr>
            <w:r w:rsidRPr="00A23740">
              <w:rPr>
                <w:bCs/>
                <w:szCs w:val="24"/>
              </w:rPr>
              <w:t xml:space="preserve">Maddede, </w:t>
            </w:r>
            <w:r w:rsidR="00546866" w:rsidRPr="00E10BE3">
              <w:rPr>
                <w:szCs w:val="24"/>
              </w:rPr>
              <w:t>2004 sayılı</w:t>
            </w:r>
            <w:r w:rsidRPr="00A23740">
              <w:rPr>
                <w:bCs/>
                <w:szCs w:val="24"/>
              </w:rPr>
              <w:t xml:space="preserve"> Kanunda kullanılan “müşterek borçlu” ibaresi korunmuştur. “Müşterek borçl</w:t>
            </w:r>
            <w:r w:rsidR="00C436F4" w:rsidRPr="00A23740">
              <w:rPr>
                <w:bCs/>
                <w:szCs w:val="24"/>
              </w:rPr>
              <w:t xml:space="preserve">u” terimi, </w:t>
            </w:r>
            <w:r w:rsidR="00546866" w:rsidRPr="00E10BE3">
              <w:rPr>
                <w:szCs w:val="24"/>
              </w:rPr>
              <w:t>bu Kanuna</w:t>
            </w:r>
            <w:r w:rsidR="00546866" w:rsidRPr="00A23740">
              <w:rPr>
                <w:bCs/>
                <w:szCs w:val="24"/>
              </w:rPr>
              <w:t xml:space="preserve"> </w:t>
            </w:r>
            <w:r w:rsidRPr="00A23740">
              <w:rPr>
                <w:bCs/>
                <w:szCs w:val="24"/>
              </w:rPr>
              <w:t>özgü olup</w:t>
            </w:r>
            <w:r w:rsidR="00546866" w:rsidRPr="00A23740">
              <w:rPr>
                <w:bCs/>
                <w:szCs w:val="24"/>
              </w:rPr>
              <w:t>,</w:t>
            </w:r>
            <w:r w:rsidRPr="00A23740">
              <w:rPr>
                <w:bCs/>
                <w:szCs w:val="24"/>
              </w:rPr>
              <w:t xml:space="preserve"> bu terimin kapsamına aynı borcu ödemesi kendilerinden</w:t>
            </w:r>
            <w:r w:rsidRPr="00A23740">
              <w:t xml:space="preserve"> talep edilebilecek olan müteselsil veya müşterek borçlu, kefil, kefile kefil gibi kişiler girer. Nitekim doktrinde de müşterek borçlunun, bir borcu birlikte ödemeyi taahhüt eden kişiler olduğu kabul edilmektedir. Bu anlamda birlikte borçlunun borcunun tamamından veya bir kısmından sorumlu olmasının önemi yoktur. </w:t>
            </w:r>
            <w:r w:rsidRPr="00A23740">
              <w:rPr>
                <w:color w:val="C00000"/>
              </w:rPr>
              <w:t xml:space="preserve">  </w:t>
            </w:r>
          </w:p>
          <w:p w:rsidR="007700AE" w:rsidRPr="00A23740" w:rsidRDefault="007700AE" w:rsidP="009431FF">
            <w:pPr>
              <w:tabs>
                <w:tab w:val="left" w:pos="567"/>
              </w:tabs>
              <w:ind w:firstLine="709"/>
            </w:pPr>
            <w:r w:rsidRPr="00A23740">
              <w:t>Maddenin birinci fıkrasında</w:t>
            </w:r>
            <w:r w:rsidR="00F3128F" w:rsidRPr="00A23740">
              <w:t>,</w:t>
            </w:r>
            <w:r w:rsidRPr="00A23740">
              <w:t xml:space="preserve"> bir borcu birlikte taahhüt edenlerin iflas tasfiye işlemlerinin aynı zamana rastlaması h</w:t>
            </w:r>
            <w:r w:rsidR="009D574E" w:rsidRPr="00A23740">
              <w:t>â</w:t>
            </w:r>
            <w:r w:rsidRPr="00A23740">
              <w:t>linde alacaklının alacağının tamamını</w:t>
            </w:r>
            <w:r w:rsidR="00C436F4" w:rsidRPr="00A23740">
              <w:rPr>
                <w:rStyle w:val="YELChar"/>
              </w:rPr>
              <w:t>,</w:t>
            </w:r>
            <w:r w:rsidRPr="00A23740">
              <w:t xml:space="preserve"> müflislerin her birinin iflas masasına yazdırabileceği hüküm altına alınmıştır. Bu hüküm, borçlar hukukundaki müşterek ve müteselsil</w:t>
            </w:r>
            <w:r w:rsidR="00C436F4" w:rsidRPr="00A23740">
              <w:t xml:space="preserve"> borçluluk ilkelerinin ifla</w:t>
            </w:r>
            <w:r w:rsidRPr="00A23740">
              <w:t>s hukukuna yansıtılmış şeklidir. Bütün masalar kural olarak borcun tamamından sorumludur. Burada müşter</w:t>
            </w:r>
            <w:r w:rsidR="00C436F4" w:rsidRPr="00A23740">
              <w:t>ek borçluların aynı zamanda ifla</w:t>
            </w:r>
            <w:r w:rsidRPr="00A23740">
              <w:t>s etmesi gerekmeyip</w:t>
            </w:r>
            <w:r w:rsidR="00F3128F" w:rsidRPr="00A23740">
              <w:t>,</w:t>
            </w:r>
            <w:r w:rsidRPr="00A23740">
              <w:t xml:space="preserve"> </w:t>
            </w:r>
            <w:r w:rsidR="00F3128F" w:rsidRPr="00A23740">
              <w:t xml:space="preserve">önemli olan </w:t>
            </w:r>
            <w:r w:rsidRPr="00A23740">
              <w:t>tasfiyelerinin aynı zamanda yapılması</w:t>
            </w:r>
            <w:r w:rsidR="00F3128F" w:rsidRPr="00A23740">
              <w:t>dır</w:t>
            </w:r>
            <w:r w:rsidRPr="00A23740">
              <w:t>. Alacaklı alacağını kural olarak tasfiye bitinceye kadar kaydettirebileceği için</w:t>
            </w:r>
            <w:r w:rsidR="00F3128F" w:rsidRPr="00A23740">
              <w:t>,</w:t>
            </w:r>
            <w:r w:rsidRPr="00A23740">
              <w:t xml:space="preserve"> alacak kaydı </w:t>
            </w:r>
            <w:r w:rsidR="00C436F4" w:rsidRPr="00E10BE3">
              <w:t xml:space="preserve">hakkında </w:t>
            </w:r>
            <w:r w:rsidRPr="00A23740">
              <w:t>öngörülen sürenin geçmiş olması bu alacakl</w:t>
            </w:r>
            <w:r w:rsidR="00C436F4" w:rsidRPr="00A23740">
              <w:t>arın birden fazla borçlunun ifla</w:t>
            </w:r>
            <w:r w:rsidRPr="00A23740">
              <w:t xml:space="preserve">s masasına yazdırılmasına engel olmaz. </w:t>
            </w:r>
          </w:p>
          <w:p w:rsidR="007700AE" w:rsidRPr="00A23740" w:rsidRDefault="007700AE" w:rsidP="009431FF">
            <w:pPr>
              <w:tabs>
                <w:tab w:val="left" w:pos="567"/>
              </w:tabs>
              <w:ind w:firstLine="709"/>
              <w:rPr>
                <w:bCs/>
                <w:szCs w:val="24"/>
              </w:rPr>
            </w:pPr>
            <w:r w:rsidRPr="00A23740">
              <w:t>Maddenin ikinci fıkrasında, iflas masalarında ayrılan paylar toplamı al</w:t>
            </w:r>
            <w:r w:rsidR="00C436F4" w:rsidRPr="00A23740">
              <w:t xml:space="preserve">acak </w:t>
            </w:r>
            <w:r w:rsidR="00C85D45" w:rsidRPr="00E10BE3">
              <w:t>toplamını aşıyorsa</w:t>
            </w:r>
            <w:r w:rsidR="00C85D45" w:rsidRPr="00A23740">
              <w:rPr>
                <w:color w:val="385623"/>
              </w:rPr>
              <w:t xml:space="preserve"> </w:t>
            </w:r>
            <w:r w:rsidRPr="00A23740">
              <w:t>fazla paranın, payından daha fazla ödemede bulunan iflas masasına intikal</w:t>
            </w:r>
            <w:r w:rsidRPr="00A23740">
              <w:rPr>
                <w:bCs/>
                <w:szCs w:val="24"/>
              </w:rPr>
              <w:t xml:space="preserve"> edeceği hüküm altına alınmıştır. Böylece alacaklıya karşı borcun tamamından sorumlu olan ve bu nedenle alacağın tamamı </w:t>
            </w:r>
            <w:r w:rsidR="00F3128F" w:rsidRPr="00A23740">
              <w:rPr>
                <w:bCs/>
                <w:szCs w:val="24"/>
              </w:rPr>
              <w:t xml:space="preserve">iflas </w:t>
            </w:r>
            <w:r w:rsidRPr="00A23740">
              <w:rPr>
                <w:bCs/>
                <w:szCs w:val="24"/>
              </w:rPr>
              <w:t>masasına kaydedilen bor</w:t>
            </w:r>
            <w:r w:rsidR="00C436F4" w:rsidRPr="00A23740">
              <w:rPr>
                <w:bCs/>
                <w:szCs w:val="24"/>
              </w:rPr>
              <w:t>çlunun iç ilişki bakımından ifla</w:t>
            </w:r>
            <w:r w:rsidRPr="00A23740">
              <w:rPr>
                <w:bCs/>
                <w:szCs w:val="24"/>
              </w:rPr>
              <w:t>s eden diğer borçluya karşı talep hakkının ileri sürülmesi mümkün olmaktadır. Buna göre iç ilişki çerçevesinde (</w:t>
            </w:r>
            <w:r w:rsidR="004961AA" w:rsidRPr="002D6869">
              <w:rPr>
                <w:szCs w:val="24"/>
              </w:rPr>
              <w:t>6098 sayılı Kanunun</w:t>
            </w:r>
            <w:r w:rsidR="004961AA" w:rsidRPr="00A23740">
              <w:rPr>
                <w:rStyle w:val="KonuBalChar"/>
                <w:rFonts w:eastAsia="Calibri"/>
                <w:lang w:val="tr-TR"/>
              </w:rPr>
              <w:t xml:space="preserve"> </w:t>
            </w:r>
            <w:r w:rsidRPr="00A23740">
              <w:rPr>
                <w:bCs/>
                <w:szCs w:val="24"/>
              </w:rPr>
              <w:t>167</w:t>
            </w:r>
            <w:r w:rsidR="004961AA" w:rsidRPr="00A23740">
              <w:rPr>
                <w:bCs/>
                <w:szCs w:val="24"/>
              </w:rPr>
              <w:t xml:space="preserve"> </w:t>
            </w:r>
            <w:r w:rsidR="004961AA" w:rsidRPr="002D6869">
              <w:rPr>
                <w:szCs w:val="24"/>
              </w:rPr>
              <w:t>nci maddesi</w:t>
            </w:r>
            <w:r w:rsidRPr="00A23740">
              <w:rPr>
                <w:bCs/>
                <w:szCs w:val="24"/>
              </w:rPr>
              <w:t xml:space="preserve">) payından fazla ödeme yapan masa, müşterek ve müteselsil borçluluktaki alacağın yazdırıldığı diğer masalara alacaklının </w:t>
            </w:r>
            <w:r w:rsidR="002D6869">
              <w:rPr>
                <w:bCs/>
                <w:szCs w:val="24"/>
              </w:rPr>
              <w:t>halefi sıfatıyla başvurabilir.</w:t>
            </w:r>
          </w:p>
          <w:p w:rsidR="007700AE" w:rsidRPr="00A23740" w:rsidRDefault="007700AE" w:rsidP="00B43502">
            <w:pPr>
              <w:tabs>
                <w:tab w:val="left" w:pos="567"/>
              </w:tabs>
              <w:ind w:firstLine="709"/>
            </w:pPr>
            <w:r w:rsidRPr="00A23740">
              <w:rPr>
                <w:bCs/>
                <w:szCs w:val="24"/>
              </w:rPr>
              <w:t xml:space="preserve">Maddenin üçüncü fıkrasında ise, </w:t>
            </w:r>
            <w:r w:rsidRPr="00A23740">
              <w:rPr>
                <w:szCs w:val="24"/>
              </w:rPr>
              <w:t xml:space="preserve">ödedikleri </w:t>
            </w:r>
            <w:r w:rsidRPr="00A23740">
              <w:rPr>
                <w:bCs/>
                <w:szCs w:val="24"/>
              </w:rPr>
              <w:t>payların toplamı alacak miktarını geçmedikçe masaların birbirlerine rücu hakları olmadığı ifade edilerek</w:t>
            </w:r>
            <w:r w:rsidR="00F3128F" w:rsidRPr="00A23740">
              <w:rPr>
                <w:bCs/>
                <w:szCs w:val="24"/>
              </w:rPr>
              <w:t>,</w:t>
            </w:r>
            <w:r w:rsidRPr="00A23740">
              <w:rPr>
                <w:bCs/>
                <w:szCs w:val="24"/>
              </w:rPr>
              <w:t xml:space="preserve"> alacaklının alacağını tam olarak elde etmesi öncelikli amaç olarak kabul edilmiştir. </w:t>
            </w:r>
          </w:p>
          <w:p w:rsidR="00E807F4" w:rsidRPr="00A23740" w:rsidRDefault="00E807F4" w:rsidP="00B43502">
            <w:pPr>
              <w:ind w:firstLine="709"/>
              <w:rPr>
                <w:b/>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rStyle w:val="KIRMIZIChar"/>
                <w:rFonts w:eastAsia="Calibri"/>
              </w:rPr>
              <w:t>Müflisle birlikte</w:t>
            </w:r>
            <w:r w:rsidRPr="00A23740">
              <w:rPr>
                <w:szCs w:val="24"/>
              </w:rPr>
              <w:t xml:space="preserve"> borçlu tarafından borcun kısmen ödenmesi</w:t>
            </w:r>
            <w:r w:rsidRPr="00A23740">
              <w:rPr>
                <w:rStyle w:val="KIRMIZIChar"/>
                <w:rFonts w:eastAsia="Calibri"/>
              </w:rPr>
              <w:t>:</w:t>
            </w:r>
          </w:p>
          <w:p w:rsidR="00AA5C8C" w:rsidRPr="00A23740" w:rsidRDefault="00AA5C8C" w:rsidP="009431FF">
            <w:pPr>
              <w:tabs>
                <w:tab w:val="left" w:pos="567"/>
              </w:tabs>
              <w:rPr>
                <w:szCs w:val="24"/>
              </w:rPr>
            </w:pPr>
            <w:r w:rsidRPr="00A23740">
              <w:rPr>
                <w:rStyle w:val="KIRMIZIChar"/>
                <w:rFonts w:eastAsia="Calibri"/>
              </w:rPr>
              <w:t>Madde 204 – (1)</w:t>
            </w:r>
            <w:r w:rsidRPr="00A23740">
              <w:rPr>
                <w:b/>
                <w:szCs w:val="24"/>
              </w:rPr>
              <w:t xml:space="preserve"> </w:t>
            </w:r>
            <w:r w:rsidRPr="00A23740">
              <w:rPr>
                <w:szCs w:val="24"/>
              </w:rPr>
              <w:t xml:space="preserve">Alacaklı müflisle birlikte borçlu olandan alacağının bir kısmını almış ise müşterek borçlunun müflise rücu hakkı </w:t>
            </w:r>
            <w:r w:rsidRPr="00A23740">
              <w:rPr>
                <w:rStyle w:val="KIRMIZIChar"/>
                <w:rFonts w:eastAsia="Calibri"/>
              </w:rPr>
              <w:t>olsun olmasın</w:t>
            </w:r>
            <w:r w:rsidRPr="00A23740">
              <w:rPr>
                <w:szCs w:val="24"/>
              </w:rPr>
              <w:t xml:space="preserve"> borcun tamamı masa</w:t>
            </w:r>
            <w:r w:rsidRPr="00A23740">
              <w:rPr>
                <w:rStyle w:val="KIRMIZIChar"/>
                <w:rFonts w:eastAsia="Calibri"/>
              </w:rPr>
              <w:t>ya kaydolunur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 İflas masasına kaydolunmak hakkı alacaklının ve müşterek borçlunundur.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Alacaklı masa</w:t>
            </w:r>
            <w:r w:rsidRPr="00A23740">
              <w:rPr>
                <w:b/>
                <w:strike/>
                <w:color w:val="FF0000"/>
                <w:szCs w:val="24"/>
              </w:rPr>
              <w:t>ca</w:t>
            </w:r>
            <w:r w:rsidRPr="00A23740">
              <w:rPr>
                <w:szCs w:val="24"/>
              </w:rPr>
              <w:t xml:space="preserve"> yapılan </w:t>
            </w:r>
            <w:r w:rsidRPr="00A23740">
              <w:rPr>
                <w:b/>
                <w:strike/>
                <w:color w:val="FF0000"/>
                <w:szCs w:val="24"/>
              </w:rPr>
              <w:t>taksimde</w:t>
            </w:r>
            <w:r w:rsidRPr="00A23740">
              <w:rPr>
                <w:szCs w:val="24"/>
              </w:rPr>
              <w:t xml:space="preserve"> alacağının tamamına düşen </w:t>
            </w:r>
            <w:r w:rsidRPr="00A23740">
              <w:rPr>
                <w:rStyle w:val="KIRMIZIChar"/>
                <w:rFonts w:eastAsia="Calibri"/>
              </w:rPr>
              <w:t>hisseden alacağını tamamlıyacak kadarını</w:t>
            </w:r>
            <w:r w:rsidRPr="00A23740">
              <w:rPr>
                <w:szCs w:val="24"/>
              </w:rPr>
              <w:t xml:space="preserve"> alır</w:t>
            </w:r>
            <w:r w:rsidRPr="00A23740">
              <w:rPr>
                <w:rStyle w:val="KIRMIZIChar"/>
                <w:rFonts w:eastAsia="Calibri"/>
              </w:rPr>
              <w:t>;</w:t>
            </w:r>
            <w:r w:rsidRPr="00A23740">
              <w:rPr>
                <w:szCs w:val="24"/>
              </w:rPr>
              <w:t xml:space="preserve"> </w:t>
            </w:r>
            <w:r w:rsidRPr="00A23740">
              <w:rPr>
                <w:rStyle w:val="KIRMIZIChar"/>
                <w:rFonts w:eastAsia="Calibri"/>
              </w:rPr>
              <w:t>geriye</w:t>
            </w:r>
            <w:r w:rsidRPr="00A23740">
              <w:rPr>
                <w:szCs w:val="24"/>
              </w:rPr>
              <w:t xml:space="preserve"> kalan paradan </w:t>
            </w:r>
            <w:r w:rsidRPr="00A23740">
              <w:t>müşterek</w:t>
            </w:r>
            <w:r w:rsidRPr="00A23740">
              <w:rPr>
                <w:szCs w:val="24"/>
              </w:rPr>
              <w:t xml:space="preserve"> borçlu</w:t>
            </w:r>
            <w:r w:rsidRPr="00A23740">
              <w:rPr>
                <w:rStyle w:val="KIRMIZIChar"/>
                <w:rFonts w:eastAsia="Calibri"/>
              </w:rPr>
              <w:t>ya</w:t>
            </w:r>
            <w:r w:rsidRPr="00A23740">
              <w:rPr>
                <w:szCs w:val="24"/>
              </w:rPr>
              <w:t xml:space="preserve">, rücu hakkı olduğu miktara düşen </w:t>
            </w:r>
            <w:r w:rsidRPr="00A23740">
              <w:rPr>
                <w:b/>
                <w:strike/>
                <w:color w:val="FF0000"/>
                <w:szCs w:val="24"/>
              </w:rPr>
              <w:t>hisse</w:t>
            </w:r>
            <w:r w:rsidRPr="00A23740">
              <w:rPr>
                <w:rStyle w:val="KIRMIZIChar"/>
                <w:rFonts w:eastAsia="Calibri"/>
              </w:rPr>
              <w:t xml:space="preserve"> verilir. Artan para da masaya kalır.</w:t>
            </w:r>
          </w:p>
        </w:tc>
        <w:tc>
          <w:tcPr>
            <w:tcW w:w="2500" w:type="pct"/>
          </w:tcPr>
          <w:p w:rsidR="00AA5C8C" w:rsidRPr="00A23740" w:rsidRDefault="00AA5C8C" w:rsidP="009431FF">
            <w:pPr>
              <w:tabs>
                <w:tab w:val="left" w:pos="567"/>
              </w:tabs>
              <w:rPr>
                <w:b/>
                <w:szCs w:val="24"/>
              </w:rPr>
            </w:pPr>
            <w:r w:rsidRPr="00A23740">
              <w:rPr>
                <w:rStyle w:val="MaviChar"/>
              </w:rPr>
              <w:t>Müşterek</w:t>
            </w:r>
            <w:r w:rsidRPr="00A23740">
              <w:rPr>
                <w:b/>
                <w:szCs w:val="24"/>
              </w:rPr>
              <w:t xml:space="preserve"> borçlu tarafından borcun kısmen ödenmesi</w:t>
            </w:r>
          </w:p>
          <w:p w:rsidR="00AA5C8C" w:rsidRPr="00A23740" w:rsidRDefault="008276D4" w:rsidP="009431FF">
            <w:pPr>
              <w:tabs>
                <w:tab w:val="left" w:pos="567"/>
              </w:tabs>
              <w:rPr>
                <w:szCs w:val="24"/>
              </w:rPr>
            </w:pPr>
            <w:r w:rsidRPr="00A23740">
              <w:rPr>
                <w:rStyle w:val="MAVChar"/>
                <w:rFonts w:eastAsia="Calibri"/>
                <w:u w:val="none"/>
              </w:rPr>
              <w:t>MADDE 315</w:t>
            </w:r>
            <w:r w:rsidR="00AA5C8C" w:rsidRPr="00A23740">
              <w:rPr>
                <w:rStyle w:val="MAVChar"/>
                <w:rFonts w:eastAsia="Calibri"/>
                <w:u w:val="none"/>
              </w:rPr>
              <w:t>- (1</w:t>
            </w:r>
            <w:r w:rsidR="00AA5C8C" w:rsidRPr="00A23740">
              <w:rPr>
                <w:b/>
                <w:color w:val="0000FF"/>
                <w:szCs w:val="24"/>
              </w:rPr>
              <w:t>)</w:t>
            </w:r>
            <w:r w:rsidR="00AA5C8C" w:rsidRPr="00A23740">
              <w:rPr>
                <w:b/>
                <w:szCs w:val="24"/>
              </w:rPr>
              <w:t xml:space="preserve"> </w:t>
            </w:r>
            <w:r w:rsidR="00A0691E" w:rsidRPr="00A23740">
              <w:rPr>
                <w:szCs w:val="24"/>
              </w:rPr>
              <w:t xml:space="preserve">Müflisle </w:t>
            </w:r>
            <w:r w:rsidR="00AA5C8C" w:rsidRPr="00A23740">
              <w:rPr>
                <w:szCs w:val="24"/>
              </w:rPr>
              <w:t xml:space="preserve">birlikte </w:t>
            </w:r>
            <w:r w:rsidR="00AA5C8C" w:rsidRPr="00A23740">
              <w:rPr>
                <w:rStyle w:val="MaviChar"/>
              </w:rPr>
              <w:t>müşterek</w:t>
            </w:r>
            <w:r w:rsidR="00AA5C8C" w:rsidRPr="00A23740">
              <w:rPr>
                <w:szCs w:val="24"/>
              </w:rPr>
              <w:t xml:space="preserve"> borçlu olandan alacağının bir kısmını</w:t>
            </w:r>
            <w:r w:rsidR="00A0691E" w:rsidRPr="00A23740">
              <w:rPr>
                <w:szCs w:val="24"/>
              </w:rPr>
              <w:t xml:space="preserve"> </w:t>
            </w:r>
            <w:r w:rsidR="00A0691E" w:rsidRPr="002D6869">
              <w:rPr>
                <w:rStyle w:val="MaviChar"/>
              </w:rPr>
              <w:t>alan</w:t>
            </w:r>
            <w:r w:rsidR="00AA5C8C" w:rsidRPr="00A23740">
              <w:rPr>
                <w:color w:val="538135"/>
                <w:szCs w:val="24"/>
              </w:rPr>
              <w:t xml:space="preserve"> </w:t>
            </w:r>
            <w:r w:rsidR="00A0691E" w:rsidRPr="002D6869">
              <w:rPr>
                <w:rStyle w:val="MaviChar"/>
              </w:rPr>
              <w:t>alacaklı,</w:t>
            </w:r>
            <w:r w:rsidR="00AA5C8C" w:rsidRPr="00A23740">
              <w:rPr>
                <w:szCs w:val="24"/>
              </w:rPr>
              <w:t xml:space="preserve"> müşterek borçlunun müflise rücu hakkı </w:t>
            </w:r>
            <w:r w:rsidR="00AA5C8C" w:rsidRPr="00A23740">
              <w:rPr>
                <w:rStyle w:val="MaviChar"/>
              </w:rPr>
              <w:t>olup olmadığına bakılmaksızın</w:t>
            </w:r>
            <w:r w:rsidR="00AA5C8C" w:rsidRPr="00A23740">
              <w:rPr>
                <w:szCs w:val="24"/>
              </w:rPr>
              <w:t xml:space="preserve"> </w:t>
            </w:r>
            <w:r w:rsidR="00A0691E" w:rsidRPr="002D6869">
              <w:rPr>
                <w:rStyle w:val="MaviChar"/>
              </w:rPr>
              <w:t>alacağının</w:t>
            </w:r>
            <w:r w:rsidR="00A0691E" w:rsidRPr="00A23740">
              <w:rPr>
                <w:szCs w:val="24"/>
              </w:rPr>
              <w:t xml:space="preserve"> </w:t>
            </w:r>
            <w:r w:rsidR="00AA5C8C" w:rsidRPr="00A23740">
              <w:rPr>
                <w:szCs w:val="24"/>
              </w:rPr>
              <w:t>tamamı</w:t>
            </w:r>
            <w:r w:rsidR="00AA5C8C" w:rsidRPr="00A23740">
              <w:rPr>
                <w:b/>
                <w:color w:val="0000FF"/>
                <w:szCs w:val="24"/>
              </w:rPr>
              <w:t xml:space="preserve">nı </w:t>
            </w:r>
            <w:r w:rsidR="00AA5C8C" w:rsidRPr="00A23740">
              <w:rPr>
                <w:rStyle w:val="MaviChar"/>
              </w:rPr>
              <w:t>iflas</w:t>
            </w:r>
            <w:r w:rsidR="00AA5C8C" w:rsidRPr="00A23740">
              <w:rPr>
                <w:szCs w:val="24"/>
              </w:rPr>
              <w:t xml:space="preserve"> masa</w:t>
            </w:r>
            <w:r w:rsidR="00AA5C8C" w:rsidRPr="00A23740">
              <w:rPr>
                <w:rStyle w:val="MaviChar"/>
              </w:rPr>
              <w:t>sına</w:t>
            </w:r>
            <w:r w:rsidR="00AA5C8C" w:rsidRPr="00A23740">
              <w:rPr>
                <w:szCs w:val="24"/>
              </w:rPr>
              <w:t xml:space="preserve"> </w:t>
            </w:r>
            <w:r w:rsidR="00AA5C8C" w:rsidRPr="00A23740">
              <w:rPr>
                <w:rStyle w:val="MaviChar"/>
              </w:rPr>
              <w:t>kaydettirebilir.</w:t>
            </w:r>
          </w:p>
          <w:p w:rsidR="00AA5C8C" w:rsidRPr="00A23740" w:rsidRDefault="00AA5C8C" w:rsidP="009431FF">
            <w:pPr>
              <w:pStyle w:val="YEL"/>
              <w:rPr>
                <w:lang w:val="tr-TR"/>
              </w:rPr>
            </w:pPr>
          </w:p>
          <w:p w:rsidR="00AA5C8C" w:rsidRPr="00A23740" w:rsidRDefault="00AA5C8C" w:rsidP="009431FF">
            <w:pPr>
              <w:pStyle w:val="Mavi"/>
              <w:rPr>
                <w:lang w:val="tr-TR"/>
              </w:rPr>
            </w:pPr>
            <w:r w:rsidRPr="00A23740">
              <w:t>(2) Müşterek borçludan alacağının bir kısmını tahsil etmiş olan alacaklı iflas masasına alacağını kaydettirmezse, kısmen ödeme yapan müşterek borçlu da alacağın tamamını masaya kaydettirebilir.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szCs w:val="24"/>
              </w:rPr>
              <w:t xml:space="preserve"> Alacaklı</w:t>
            </w:r>
            <w:r w:rsidRPr="00A23740">
              <w:rPr>
                <w:rStyle w:val="MaviChar"/>
                <w:lang w:val="tr-TR"/>
              </w:rPr>
              <w:t>,</w:t>
            </w:r>
            <w:r w:rsidRPr="00A23740">
              <w:rPr>
                <w:szCs w:val="24"/>
              </w:rPr>
              <w:t xml:space="preserve"> masa </w:t>
            </w:r>
            <w:r w:rsidRPr="00A23740">
              <w:rPr>
                <w:b/>
                <w:color w:val="0000FF"/>
                <w:szCs w:val="24"/>
              </w:rPr>
              <w:t>tarafından</w:t>
            </w:r>
            <w:r w:rsidRPr="00A23740">
              <w:rPr>
                <w:szCs w:val="24"/>
              </w:rPr>
              <w:t xml:space="preserve"> yapılan </w:t>
            </w:r>
            <w:r w:rsidRPr="00A23740">
              <w:rPr>
                <w:b/>
                <w:color w:val="0000FF"/>
                <w:szCs w:val="24"/>
              </w:rPr>
              <w:t>paylaştırmada</w:t>
            </w:r>
            <w:r w:rsidR="00A0691E" w:rsidRPr="00A23740">
              <w:rPr>
                <w:b/>
                <w:color w:val="538135"/>
                <w:szCs w:val="24"/>
              </w:rPr>
              <w:t>,</w:t>
            </w:r>
            <w:r w:rsidRPr="00A23740">
              <w:rPr>
                <w:szCs w:val="24"/>
              </w:rPr>
              <w:t xml:space="preserve"> alacağının tamamına düşen </w:t>
            </w:r>
            <w:r w:rsidRPr="00A23740">
              <w:rPr>
                <w:b/>
                <w:color w:val="0000FF"/>
                <w:szCs w:val="24"/>
              </w:rPr>
              <w:t>paydan</w:t>
            </w:r>
            <w:r w:rsidRPr="00A23740">
              <w:rPr>
                <w:szCs w:val="24"/>
              </w:rPr>
              <w:t xml:space="preserve"> </w:t>
            </w:r>
            <w:r w:rsidRPr="00A23740">
              <w:rPr>
                <w:rStyle w:val="MaviChar"/>
              </w:rPr>
              <w:t>birinci fıkraya göre yapılan ödemeden sonra kalan kısmı karşılayacak miktarı</w:t>
            </w:r>
            <w:r w:rsidRPr="00A23740">
              <w:rPr>
                <w:szCs w:val="24"/>
              </w:rPr>
              <w:t xml:space="preserve"> alır</w:t>
            </w:r>
            <w:r w:rsidR="00A0691E" w:rsidRPr="00A23740">
              <w:rPr>
                <w:rStyle w:val="MaviChar"/>
              </w:rPr>
              <w:t>.</w:t>
            </w:r>
          </w:p>
          <w:p w:rsidR="00AA5C8C" w:rsidRPr="00A23740" w:rsidRDefault="00AA5C8C" w:rsidP="009431FF">
            <w:pPr>
              <w:tabs>
                <w:tab w:val="left" w:pos="567"/>
              </w:tabs>
              <w:rPr>
                <w:szCs w:val="24"/>
              </w:rPr>
            </w:pPr>
          </w:p>
          <w:p w:rsidR="00AA5C8C" w:rsidRPr="00A23740" w:rsidRDefault="00AA5C8C" w:rsidP="009431FF">
            <w:pPr>
              <w:pStyle w:val="Mavi"/>
            </w:pPr>
            <w:r w:rsidRPr="00A23740">
              <w:t xml:space="preserve">(4) </w:t>
            </w:r>
            <w:r w:rsidRPr="00A23740">
              <w:rPr>
                <w:b w:val="0"/>
                <w:bCs w:val="0"/>
                <w:color w:val="auto"/>
                <w:lang w:val="tr-TR" w:eastAsia="en-US"/>
              </w:rPr>
              <w:t>Müşterek borçlu,</w:t>
            </w:r>
            <w:r w:rsidRPr="00A23740">
              <w:t xml:space="preserve"> üçüncü fıkraya göre alacaklıya yapılan ödemeden sonra </w:t>
            </w:r>
            <w:r w:rsidRPr="00A23740">
              <w:rPr>
                <w:b w:val="0"/>
                <w:bCs w:val="0"/>
                <w:color w:val="auto"/>
                <w:lang w:val="tr-TR" w:eastAsia="en-US"/>
              </w:rPr>
              <w:t>kalan paradan rücu hakkı olduğu miktara düşen</w:t>
            </w:r>
            <w:r w:rsidRPr="00A23740">
              <w:t xml:space="preserve"> payı alır. </w:t>
            </w:r>
          </w:p>
          <w:p w:rsidR="00AA5C8C" w:rsidRPr="00A23740" w:rsidRDefault="00AA5C8C" w:rsidP="009431FF">
            <w:pPr>
              <w:pStyle w:val="Mavi"/>
            </w:pPr>
          </w:p>
          <w:p w:rsidR="00AA5C8C" w:rsidRPr="00A23740" w:rsidRDefault="00AA5C8C" w:rsidP="009431FF">
            <w:pPr>
              <w:pStyle w:val="Mavi"/>
            </w:pPr>
            <w:r w:rsidRPr="00A23740">
              <w:t>(5) Dördüncü fıkraya göre müşterek borçluya yapılan ödemeden sonra kalan para masaya ait olur.</w:t>
            </w:r>
          </w:p>
          <w:p w:rsidR="00AA5C8C" w:rsidRPr="00A23740" w:rsidRDefault="00AA5C8C" w:rsidP="009431FF">
            <w:pPr>
              <w:pStyle w:val="KIRMIZI"/>
            </w:pPr>
          </w:p>
        </w:tc>
      </w:tr>
      <w:tr w:rsidR="00706E87"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756E3" w:rsidRPr="00A23740" w:rsidRDefault="008756E3" w:rsidP="009431FF">
            <w:pPr>
              <w:tabs>
                <w:tab w:val="left" w:pos="567"/>
              </w:tabs>
              <w:ind w:firstLine="567"/>
              <w:rPr>
                <w:bCs/>
                <w:szCs w:val="24"/>
              </w:rPr>
            </w:pPr>
          </w:p>
          <w:p w:rsidR="007700AE" w:rsidRPr="00A23740" w:rsidRDefault="008276D4" w:rsidP="009431FF">
            <w:pPr>
              <w:tabs>
                <w:tab w:val="left" w:pos="567"/>
              </w:tabs>
              <w:ind w:firstLine="567"/>
              <w:rPr>
                <w:bCs/>
                <w:szCs w:val="24"/>
              </w:rPr>
            </w:pPr>
            <w:r w:rsidRPr="00A23740">
              <w:rPr>
                <w:b/>
                <w:bCs/>
                <w:szCs w:val="24"/>
              </w:rPr>
              <w:t>MADDE 315</w:t>
            </w:r>
            <w:r w:rsidR="007700AE" w:rsidRPr="00A23740">
              <w:rPr>
                <w:b/>
                <w:bCs/>
                <w:szCs w:val="24"/>
              </w:rPr>
              <w:t>-</w:t>
            </w:r>
            <w:r w:rsidR="007700AE" w:rsidRPr="00A23740">
              <w:rPr>
                <w:bCs/>
                <w:szCs w:val="24"/>
              </w:rPr>
              <w:t xml:space="preserve"> </w:t>
            </w:r>
            <w:r w:rsidR="008756E3" w:rsidRPr="00A23740">
              <w:rPr>
                <w:bCs/>
                <w:szCs w:val="24"/>
              </w:rPr>
              <w:t xml:space="preserve"> Maddeyle, müşterek borçlu tarafından borcun kısmen ödenmesine ilişkin hususlar düzenlenmektedir. Hüküm, 2004 sayılı Kanunun 204 üncü maddesine karşılık gelmektedir. </w:t>
            </w:r>
          </w:p>
          <w:p w:rsidR="00C85D45" w:rsidRPr="00A23740" w:rsidRDefault="007700AE" w:rsidP="009431FF">
            <w:pPr>
              <w:tabs>
                <w:tab w:val="left" w:pos="567"/>
              </w:tabs>
              <w:ind w:firstLine="567"/>
              <w:rPr>
                <w:bCs/>
                <w:szCs w:val="24"/>
              </w:rPr>
            </w:pPr>
            <w:r w:rsidRPr="00A23740">
              <w:rPr>
                <w:bCs/>
                <w:szCs w:val="24"/>
              </w:rPr>
              <w:t>Maddenin birinci fıkrasınd</w:t>
            </w:r>
            <w:r w:rsidRPr="002D6869">
              <w:rPr>
                <w:bCs/>
                <w:szCs w:val="24"/>
              </w:rPr>
              <w:t>a</w:t>
            </w:r>
            <w:r w:rsidR="00E6597A" w:rsidRPr="002D6869">
              <w:rPr>
                <w:bCs/>
              </w:rPr>
              <w:t>,</w:t>
            </w:r>
            <w:r w:rsidRPr="00A23740">
              <w:rPr>
                <w:bCs/>
                <w:szCs w:val="24"/>
              </w:rPr>
              <w:t xml:space="preserve"> müflisle birlikte müşterek borçl</w:t>
            </w:r>
            <w:r w:rsidRPr="002D6869">
              <w:rPr>
                <w:bCs/>
                <w:szCs w:val="24"/>
              </w:rPr>
              <w:t>u</w:t>
            </w:r>
            <w:r w:rsidR="00E6597A" w:rsidRPr="002D6869">
              <w:rPr>
                <w:bCs/>
              </w:rPr>
              <w:t>dan</w:t>
            </w:r>
            <w:r w:rsidRPr="00A23740">
              <w:rPr>
                <w:bCs/>
                <w:szCs w:val="24"/>
              </w:rPr>
              <w:t xml:space="preserve"> alacağının bir kısmını</w:t>
            </w:r>
            <w:r w:rsidR="00C85D45" w:rsidRPr="00A23740">
              <w:rPr>
                <w:bCs/>
                <w:szCs w:val="24"/>
              </w:rPr>
              <w:t xml:space="preserve"> </w:t>
            </w:r>
            <w:r w:rsidR="00C85D45" w:rsidRPr="002D6869">
              <w:rPr>
                <w:bCs/>
                <w:szCs w:val="24"/>
              </w:rPr>
              <w:t>alan alacaklı</w:t>
            </w:r>
            <w:r w:rsidR="00475D38" w:rsidRPr="002D6869">
              <w:rPr>
                <w:bCs/>
                <w:szCs w:val="24"/>
              </w:rPr>
              <w:t>nın</w:t>
            </w:r>
            <w:r w:rsidRPr="00A23740">
              <w:rPr>
                <w:bCs/>
                <w:szCs w:val="24"/>
              </w:rPr>
              <w:t xml:space="preserve">, müşterek borçlunun müflise rücu hakkı olup olmadığına bakılmaksızın, </w:t>
            </w:r>
            <w:r w:rsidR="00C85D45" w:rsidRPr="002D6869">
              <w:rPr>
                <w:bCs/>
                <w:szCs w:val="24"/>
              </w:rPr>
              <w:t>alacağının</w:t>
            </w:r>
            <w:r w:rsidR="00C85D45" w:rsidRPr="00A23740">
              <w:rPr>
                <w:bCs/>
                <w:szCs w:val="24"/>
              </w:rPr>
              <w:t xml:space="preserve"> </w:t>
            </w:r>
            <w:r w:rsidRPr="00A23740">
              <w:rPr>
                <w:bCs/>
                <w:szCs w:val="24"/>
              </w:rPr>
              <w:t>tamamını iflas masasına kaydettirebileceği ifade edilmiştir. Burada söz edilen müşterek borçlu, icra ve ifl</w:t>
            </w:r>
            <w:r w:rsidR="00656C77" w:rsidRPr="00A23740">
              <w:rPr>
                <w:bCs/>
                <w:szCs w:val="24"/>
              </w:rPr>
              <w:t>a</w:t>
            </w:r>
            <w:r w:rsidRPr="00A23740">
              <w:rPr>
                <w:bCs/>
                <w:szCs w:val="24"/>
              </w:rPr>
              <w:t xml:space="preserve">s hukukuna özgü olarak bir borcun birlikte ödenmesinin taahhüt edildiği çeşitli olasılıklar çerçevesinde müteselsil borçlu, kefil veya </w:t>
            </w:r>
            <w:r w:rsidR="00C85D45" w:rsidRPr="00A23740">
              <w:rPr>
                <w:bCs/>
                <w:szCs w:val="24"/>
              </w:rPr>
              <w:t>kefile kefil gibi kişilerdir.</w:t>
            </w:r>
          </w:p>
          <w:p w:rsidR="007700AE" w:rsidRPr="00A23740" w:rsidRDefault="007700AE" w:rsidP="009431FF">
            <w:pPr>
              <w:tabs>
                <w:tab w:val="left" w:pos="567"/>
              </w:tabs>
              <w:ind w:firstLine="567"/>
              <w:rPr>
                <w:bCs/>
                <w:szCs w:val="24"/>
              </w:rPr>
            </w:pPr>
            <w:r w:rsidRPr="00A23740">
              <w:rPr>
                <w:bCs/>
                <w:szCs w:val="24"/>
              </w:rPr>
              <w:t>Maddenin ikinci fıkrasındaki değişiklik, esaslı bir değişiklik olmayıp, maddenin birinci fıkrasında işaret edilen hususu tamamlayıcı ve açıklayıcı niteliktedir. Buna göre, müşterek borçludan alacağının bir kısmını tahsil etmiş olan alacaklı iflas masasına alacağını kaydettirmezse, kısmen ödeme yapan müşterek borçlu da alacağın tamamını masaya kaydettirebilir.</w:t>
            </w:r>
          </w:p>
          <w:p w:rsidR="007700AE" w:rsidRPr="00A23740" w:rsidRDefault="007700AE" w:rsidP="009431FF">
            <w:pPr>
              <w:tabs>
                <w:tab w:val="left" w:pos="567"/>
              </w:tabs>
              <w:ind w:firstLine="567"/>
              <w:rPr>
                <w:bCs/>
                <w:szCs w:val="24"/>
              </w:rPr>
            </w:pPr>
            <w:r w:rsidRPr="00A23740">
              <w:rPr>
                <w:bCs/>
                <w:szCs w:val="24"/>
              </w:rPr>
              <w:t>Maddenin üçüncü fıkrasında</w:t>
            </w:r>
            <w:r w:rsidR="008A1910" w:rsidRPr="00A23740">
              <w:rPr>
                <w:bCs/>
                <w:szCs w:val="24"/>
              </w:rPr>
              <w:t>,</w:t>
            </w:r>
            <w:r w:rsidRPr="00A23740">
              <w:rPr>
                <w:bCs/>
                <w:szCs w:val="24"/>
              </w:rPr>
              <w:t xml:space="preserve"> alacaklının masa tarafından yapılan paylaştırmada alacağının tamamına düşen paydan birinci fıkraya göre yapılan ödemeden sonra kalan kısmı karşılayacak miktarı alacağı düzenlenmiştir. </w:t>
            </w:r>
          </w:p>
          <w:p w:rsidR="007700AE" w:rsidRPr="00A23740" w:rsidRDefault="007700AE" w:rsidP="009431FF">
            <w:pPr>
              <w:tabs>
                <w:tab w:val="left" w:pos="567"/>
              </w:tabs>
              <w:ind w:firstLine="567"/>
              <w:rPr>
                <w:bCs/>
                <w:szCs w:val="24"/>
              </w:rPr>
            </w:pPr>
            <w:r w:rsidRPr="00A23740">
              <w:rPr>
                <w:bCs/>
                <w:szCs w:val="24"/>
              </w:rPr>
              <w:t xml:space="preserve">Maddenin dördüncü fıkrasında ise müşterek borçlunun, üçüncü fıkraya göre alacaklıya yapılan ödemeden sonra kalan paradan rücu hakkı olduğu miktara </w:t>
            </w:r>
            <w:r w:rsidR="00E6597A" w:rsidRPr="002D6869">
              <w:rPr>
                <w:bCs/>
              </w:rPr>
              <w:t>karşılık gelen</w:t>
            </w:r>
            <w:r w:rsidR="00E6597A" w:rsidRPr="00A23740">
              <w:rPr>
                <w:bCs/>
                <w:szCs w:val="24"/>
              </w:rPr>
              <w:t xml:space="preserve"> </w:t>
            </w:r>
            <w:r w:rsidR="004C3DBE" w:rsidRPr="002D6869">
              <w:rPr>
                <w:bCs/>
              </w:rPr>
              <w:t>parayı</w:t>
            </w:r>
            <w:r w:rsidR="004C3DBE" w:rsidRPr="002D6869">
              <w:rPr>
                <w:bCs/>
                <w:szCs w:val="24"/>
              </w:rPr>
              <w:t xml:space="preserve"> </w:t>
            </w:r>
            <w:r w:rsidRPr="00A23740">
              <w:rPr>
                <w:bCs/>
                <w:szCs w:val="24"/>
              </w:rPr>
              <w:t xml:space="preserve">alacağı belirtilmiştir. </w:t>
            </w:r>
          </w:p>
          <w:p w:rsidR="007700AE" w:rsidRPr="00A23740" w:rsidRDefault="007700AE" w:rsidP="009431FF">
            <w:pPr>
              <w:tabs>
                <w:tab w:val="left" w:pos="567"/>
              </w:tabs>
              <w:ind w:firstLine="567"/>
              <w:rPr>
                <w:bCs/>
                <w:szCs w:val="24"/>
              </w:rPr>
            </w:pPr>
            <w:r w:rsidRPr="00A23740">
              <w:rPr>
                <w:bCs/>
                <w:szCs w:val="24"/>
              </w:rPr>
              <w:t>Dördüncü fıkraya göre müşterek borçluya yapıl</w:t>
            </w:r>
            <w:r w:rsidR="004C3DBE" w:rsidRPr="00A23740">
              <w:rPr>
                <w:bCs/>
                <w:szCs w:val="24"/>
              </w:rPr>
              <w:t>an ödemeden sonra kalan paranın</w:t>
            </w:r>
            <w:r w:rsidRPr="00A23740">
              <w:rPr>
                <w:bCs/>
                <w:szCs w:val="24"/>
              </w:rPr>
              <w:t xml:space="preserve"> masaya ait olacağı </w:t>
            </w:r>
            <w:r w:rsidR="008A1910" w:rsidRPr="00A23740">
              <w:rPr>
                <w:bCs/>
                <w:szCs w:val="24"/>
              </w:rPr>
              <w:t xml:space="preserve">hususu </w:t>
            </w:r>
            <w:r w:rsidRPr="00A23740">
              <w:rPr>
                <w:bCs/>
                <w:szCs w:val="24"/>
              </w:rPr>
              <w:t>ise</w:t>
            </w:r>
            <w:r w:rsidR="008A1910" w:rsidRPr="00A23740">
              <w:rPr>
                <w:bCs/>
                <w:szCs w:val="24"/>
              </w:rPr>
              <w:t>,</w:t>
            </w:r>
            <w:r w:rsidRPr="00A23740">
              <w:rPr>
                <w:bCs/>
                <w:szCs w:val="24"/>
              </w:rPr>
              <w:t xml:space="preserve"> maddenin beş</w:t>
            </w:r>
            <w:r w:rsidR="002D6869">
              <w:rPr>
                <w:bCs/>
                <w:szCs w:val="24"/>
              </w:rPr>
              <w:t>inci fıkrasında düzenlenmiştir.</w:t>
            </w:r>
          </w:p>
          <w:p w:rsidR="008756E3" w:rsidRPr="00A23740" w:rsidRDefault="007700AE" w:rsidP="009431FF">
            <w:pPr>
              <w:tabs>
                <w:tab w:val="left" w:pos="567"/>
              </w:tabs>
              <w:ind w:firstLine="567"/>
              <w:rPr>
                <w:bCs/>
                <w:szCs w:val="24"/>
              </w:rPr>
            </w:pPr>
            <w:r w:rsidRPr="00A23740">
              <w:rPr>
                <w:bCs/>
                <w:szCs w:val="24"/>
              </w:rPr>
              <w:t>Burada ortaya çıkması olası durumu</w:t>
            </w:r>
            <w:r w:rsidR="004C3DBE" w:rsidRPr="00A23740">
              <w:rPr>
                <w:bCs/>
                <w:szCs w:val="24"/>
              </w:rPr>
              <w:t xml:space="preserve"> </w:t>
            </w:r>
            <w:r w:rsidR="004C3DBE" w:rsidRPr="002D6869">
              <w:rPr>
                <w:bCs/>
              </w:rPr>
              <w:t>doktrinde verilen</w:t>
            </w:r>
            <w:r w:rsidRPr="00A23740">
              <w:rPr>
                <w:bCs/>
                <w:szCs w:val="24"/>
              </w:rPr>
              <w:t xml:space="preserve"> bir örnekle açıklamak gerekirse, “A ve B, X’e karşı müteselsil borçludurlar. Borç miktarı 100 liradır.  Aksine bir anlaşma olmadıkça iç münasebette borçlular bu borçtan 50’şer lira sorumludurlar. B’nin hakkında ifl</w:t>
            </w:r>
            <w:r w:rsidR="00656C77" w:rsidRPr="00A23740">
              <w:rPr>
                <w:bCs/>
                <w:szCs w:val="24"/>
              </w:rPr>
              <w:t>a</w:t>
            </w:r>
            <w:r w:rsidRPr="00A23740">
              <w:rPr>
                <w:bCs/>
                <w:szCs w:val="24"/>
              </w:rPr>
              <w:t>s açılmıştır. Bu arada aynı borçtan dolayı müteselsil borçlu olan A, alacaklı X’e 75 lira ödemiştir. Buna rağmen X 100 lirayı masaya kaydettirecektir. Masanın da %50 ödemede bulunduğunu kabul edelim. Bunun 25 lirası alacaklı X’e verilecek ve o bu suretle alacağının tamamını almış olacaktır. Geriye 25 lira kalacaktır. Borçlu A, 25 lira fazla ödediğinden masadan bunun %50’sini alacak ve geriye kalan 12,5 lira masaya iade edilmek gerekecektir” (Saim Üstündağ, İflâs Hukuku, Gözden geçirilmiş ve yenilenmiş 7. Bası, İstanbul 2007, s. 118-119).</w:t>
            </w:r>
          </w:p>
          <w:p w:rsidR="00706E87" w:rsidRPr="00A23740" w:rsidRDefault="00706E87" w:rsidP="00B43502">
            <w:pPr>
              <w:tabs>
                <w:tab w:val="left" w:pos="567"/>
              </w:tabs>
              <w:ind w:firstLine="567"/>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Kollektif şirket</w:t>
            </w:r>
            <w:r w:rsidRPr="002D6869">
              <w:rPr>
                <w:szCs w:val="24"/>
              </w:rPr>
              <w:t>in</w:t>
            </w:r>
            <w:r w:rsidRPr="00A23740">
              <w:rPr>
                <w:szCs w:val="24"/>
              </w:rPr>
              <w:t xml:space="preserve"> ve </w:t>
            </w:r>
            <w:r w:rsidRPr="00A23740">
              <w:rPr>
                <w:b/>
                <w:strike/>
                <w:color w:val="FF0000"/>
                <w:szCs w:val="24"/>
              </w:rPr>
              <w:t>gayrimahdut mesuliyetli şeriklerin</w:t>
            </w:r>
            <w:r w:rsidRPr="00A23740">
              <w:rPr>
                <w:szCs w:val="24"/>
              </w:rPr>
              <w:t xml:space="preserve"> iflası</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205 – (1)</w:t>
            </w:r>
            <w:r w:rsidRPr="00A23740">
              <w:rPr>
                <w:b/>
                <w:szCs w:val="24"/>
              </w:rPr>
              <w:t xml:space="preserve"> </w:t>
            </w:r>
            <w:r w:rsidRPr="00A23740">
              <w:rPr>
                <w:szCs w:val="24"/>
              </w:rPr>
              <w:t xml:space="preserve">Bir kollektif şirket ile </w:t>
            </w:r>
            <w:r w:rsidRPr="00A23740">
              <w:rPr>
                <w:b/>
                <w:strike/>
                <w:color w:val="FF0000"/>
                <w:szCs w:val="24"/>
              </w:rPr>
              <w:t>şeriklerden</w:t>
            </w:r>
            <w:r w:rsidRPr="00A23740">
              <w:rPr>
                <w:szCs w:val="24"/>
              </w:rPr>
              <w:t xml:space="preserve"> biri</w:t>
            </w:r>
            <w:r w:rsidRPr="00A23740">
              <w:rPr>
                <w:rStyle w:val="KIRMIZIChar"/>
                <w:rFonts w:eastAsia="Calibri"/>
              </w:rPr>
              <w:t>si</w:t>
            </w:r>
            <w:r w:rsidRPr="00A23740">
              <w:rPr>
                <w:szCs w:val="24"/>
              </w:rPr>
              <w:t xml:space="preserve">nin iflas </w:t>
            </w:r>
            <w:r w:rsidRPr="00A23740">
              <w:rPr>
                <w:b/>
                <w:strike/>
                <w:color w:val="FF0000"/>
                <w:szCs w:val="24"/>
              </w:rPr>
              <w:t>muameleleri bir</w:t>
            </w:r>
            <w:r w:rsidRPr="00A23740">
              <w:rPr>
                <w:szCs w:val="24"/>
              </w:rPr>
              <w:t xml:space="preserve"> zamana </w:t>
            </w:r>
            <w:r w:rsidRPr="00A23740">
              <w:rPr>
                <w:rStyle w:val="KIRMIZIChar"/>
                <w:rFonts w:eastAsia="Calibri"/>
              </w:rPr>
              <w:t>tesadüf ederse</w:t>
            </w:r>
            <w:r w:rsidRPr="00A23740">
              <w:rPr>
                <w:szCs w:val="24"/>
              </w:rPr>
              <w:t xml:space="preserve"> şirketin alacaklıları bütün alacaklarını </w:t>
            </w:r>
            <w:r w:rsidRPr="00A23740">
              <w:rPr>
                <w:b/>
                <w:strike/>
                <w:color w:val="FF0000"/>
                <w:szCs w:val="24"/>
              </w:rPr>
              <w:t>şerikin</w:t>
            </w:r>
            <w:r w:rsidRPr="00A23740">
              <w:rPr>
                <w:szCs w:val="24"/>
              </w:rPr>
              <w:t xml:space="preserve"> </w:t>
            </w:r>
            <w:r w:rsidRPr="00A23740">
              <w:rPr>
                <w:b/>
                <w:strike/>
                <w:color w:val="FF0000"/>
                <w:szCs w:val="24"/>
              </w:rPr>
              <w:t>de</w:t>
            </w:r>
            <w:r w:rsidRPr="00A23740">
              <w:rPr>
                <w:szCs w:val="24"/>
              </w:rPr>
              <w:t xml:space="preserve"> masasına kaydetti</w:t>
            </w:r>
            <w:r w:rsidRPr="00A23740">
              <w:rPr>
                <w:rStyle w:val="KIRMIZIChar"/>
                <w:rFonts w:eastAsia="Calibri"/>
              </w:rPr>
              <w:t>rir</w:t>
            </w:r>
            <w:r w:rsidRPr="00A23740">
              <w:rPr>
                <w:szCs w:val="24"/>
              </w:rPr>
              <w:t xml:space="preserve">ler; ancak şirket masasından </w:t>
            </w:r>
            <w:r w:rsidRPr="00A23740">
              <w:rPr>
                <w:rStyle w:val="KIRMIZIChar"/>
                <w:rFonts w:eastAsia="Calibri"/>
              </w:rPr>
              <w:t>alamadıkları</w:t>
            </w:r>
            <w:r w:rsidRPr="00A23740">
              <w:rPr>
                <w:szCs w:val="24"/>
              </w:rPr>
              <w:t xml:space="preserve"> miktar</w:t>
            </w:r>
            <w:r w:rsidRPr="00A23740">
              <w:rPr>
                <w:rStyle w:val="KIRMIZIChar"/>
                <w:rFonts w:eastAsia="Calibri"/>
              </w:rPr>
              <w:t>ı</w:t>
            </w:r>
            <w:r w:rsidRPr="00A23740">
              <w:rPr>
                <w:szCs w:val="24"/>
              </w:rPr>
              <w:t xml:space="preserve"> müflis </w:t>
            </w:r>
            <w:r w:rsidRPr="00A23740">
              <w:rPr>
                <w:b/>
                <w:strike/>
                <w:color w:val="FF0000"/>
                <w:szCs w:val="24"/>
              </w:rPr>
              <w:t>şerikin</w:t>
            </w:r>
            <w:r w:rsidRPr="00A23740">
              <w:rPr>
                <w:szCs w:val="24"/>
              </w:rPr>
              <w:t xml:space="preserve"> masasından </w:t>
            </w:r>
            <w:r w:rsidRPr="00A23740">
              <w:rPr>
                <w:rStyle w:val="KIRMIZIChar"/>
                <w:rFonts w:eastAsia="Calibri"/>
              </w:rPr>
              <w:t>istiyebilirler</w:t>
            </w:r>
            <w:r w:rsidRPr="00A23740">
              <w:rPr>
                <w:szCs w:val="24"/>
              </w:rPr>
              <w:t xml:space="preserve">. Bu miktarın </w:t>
            </w:r>
            <w:r w:rsidRPr="00A23740">
              <w:rPr>
                <w:b/>
                <w:strike/>
                <w:color w:val="FF0000"/>
                <w:szCs w:val="24"/>
              </w:rPr>
              <w:t>mütaaddit şerikler</w:t>
            </w:r>
            <w:r w:rsidRPr="00A23740">
              <w:rPr>
                <w:szCs w:val="24"/>
              </w:rPr>
              <w:t xml:space="preserve"> tarafından ödenmesi halinde </w:t>
            </w:r>
            <w:r w:rsidRPr="00A23740">
              <w:rPr>
                <w:rStyle w:val="KIRMIZIChar"/>
                <w:rFonts w:eastAsia="Calibri"/>
              </w:rPr>
              <w:t>203 ve 204 üncü</w:t>
            </w:r>
            <w:r w:rsidRPr="00A23740">
              <w:rPr>
                <w:szCs w:val="24"/>
              </w:rPr>
              <w:t xml:space="preserve"> maddeler </w:t>
            </w:r>
            <w:r w:rsidRPr="00A23740">
              <w:rPr>
                <w:b/>
                <w:strike/>
                <w:color w:val="FF0000"/>
                <w:szCs w:val="24"/>
              </w:rPr>
              <w:t>tatbik olunur</w:t>
            </w:r>
            <w:r w:rsidRPr="00A23740">
              <w:rPr>
                <w:szCs w:val="24"/>
              </w:rPr>
              <w:t xml:space="preserve">. Şirket iflas etmeksizin </w:t>
            </w:r>
            <w:r w:rsidRPr="00A23740">
              <w:rPr>
                <w:b/>
                <w:strike/>
                <w:color w:val="FF0000"/>
                <w:szCs w:val="24"/>
              </w:rPr>
              <w:t>şeriklerden</w:t>
            </w:r>
            <w:r w:rsidRPr="00A23740">
              <w:rPr>
                <w:szCs w:val="24"/>
              </w:rPr>
              <w:t xml:space="preserve"> biri</w:t>
            </w:r>
            <w:r w:rsidRPr="00A23740">
              <w:rPr>
                <w:rStyle w:val="KIRMIZIChar"/>
                <w:rFonts w:eastAsia="Calibri"/>
              </w:rPr>
              <w:t>si</w:t>
            </w:r>
            <w:r w:rsidRPr="00A23740">
              <w:rPr>
                <w:szCs w:val="24"/>
              </w:rPr>
              <w:t xml:space="preserve"> iflas ederse şirketin alacaklıları alacaklarının tamamı</w:t>
            </w:r>
            <w:r w:rsidRPr="00A23740">
              <w:rPr>
                <w:b/>
                <w:strike/>
                <w:color w:val="FF0000"/>
                <w:szCs w:val="24"/>
              </w:rPr>
              <w:t>yle masaya kabul olunurlar</w:t>
            </w:r>
            <w:r w:rsidRPr="00A23740">
              <w:rPr>
                <w:szCs w:val="24"/>
              </w:rPr>
              <w:t xml:space="preserve">. Müflis </w:t>
            </w:r>
            <w:r w:rsidRPr="00A23740">
              <w:rPr>
                <w:b/>
                <w:strike/>
                <w:color w:val="FF0000"/>
                <w:szCs w:val="24"/>
              </w:rPr>
              <w:t>şerikin</w:t>
            </w:r>
            <w:r w:rsidRPr="00A23740">
              <w:rPr>
                <w:szCs w:val="24"/>
              </w:rPr>
              <w:t xml:space="preserve"> masası 202 nci madde</w:t>
            </w:r>
            <w:r w:rsidRPr="00A23740">
              <w:rPr>
                <w:rStyle w:val="KIRMIZIChar"/>
                <w:rFonts w:eastAsia="Calibri"/>
              </w:rPr>
              <w:t xml:space="preserve">de yazılı olduğu gibi </w:t>
            </w:r>
            <w:r w:rsidRPr="00A23740">
              <w:rPr>
                <w:szCs w:val="24"/>
              </w:rPr>
              <w:t>şirket alacaklıları yerine geçer.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FF0000"/>
                <w:szCs w:val="24"/>
              </w:rPr>
              <w:t>M.205/F1.C3-4:</w:t>
            </w:r>
            <w:r w:rsidRPr="00A23740">
              <w:rPr>
                <w:szCs w:val="24"/>
              </w:rPr>
              <w:t xml:space="preserve"> Şirket iflas etmeksizin </w:t>
            </w:r>
            <w:r w:rsidRPr="00A23740">
              <w:rPr>
                <w:b/>
                <w:strike/>
                <w:color w:val="FF0000"/>
                <w:szCs w:val="24"/>
              </w:rPr>
              <w:t>şeriklerden</w:t>
            </w:r>
            <w:r w:rsidRPr="00A23740">
              <w:rPr>
                <w:szCs w:val="24"/>
              </w:rPr>
              <w:t xml:space="preserve"> biri</w:t>
            </w:r>
            <w:r w:rsidRPr="00A23740">
              <w:rPr>
                <w:rStyle w:val="KIRMIZIChar"/>
                <w:rFonts w:eastAsia="Calibri"/>
              </w:rPr>
              <w:t>si</w:t>
            </w:r>
            <w:r w:rsidRPr="00A23740">
              <w:rPr>
                <w:szCs w:val="24"/>
              </w:rPr>
              <w:t xml:space="preserve"> iflas ederse şirketin alacaklıları alacaklarının tamamı</w:t>
            </w:r>
            <w:r w:rsidRPr="00A23740">
              <w:rPr>
                <w:b/>
                <w:strike/>
                <w:color w:val="FF0000"/>
                <w:szCs w:val="24"/>
              </w:rPr>
              <w:t>yle masaya kabul olunurlar</w:t>
            </w:r>
            <w:r w:rsidRPr="00A23740">
              <w:rPr>
                <w:szCs w:val="24"/>
              </w:rPr>
              <w:t xml:space="preserve">. Müflis </w:t>
            </w:r>
            <w:r w:rsidRPr="00A23740">
              <w:rPr>
                <w:b/>
                <w:strike/>
                <w:color w:val="FF0000"/>
                <w:szCs w:val="24"/>
              </w:rPr>
              <w:t>şerikin</w:t>
            </w:r>
            <w:r w:rsidRPr="00A23740">
              <w:rPr>
                <w:szCs w:val="24"/>
              </w:rPr>
              <w:t xml:space="preserve"> masası </w:t>
            </w:r>
            <w:r w:rsidRPr="00A23740">
              <w:rPr>
                <w:rStyle w:val="KIRMIZIChar"/>
                <w:rFonts w:eastAsia="Calibri"/>
              </w:rPr>
              <w:t>202 nci</w:t>
            </w:r>
            <w:r w:rsidRPr="00A23740">
              <w:rPr>
                <w:szCs w:val="24"/>
              </w:rPr>
              <w:t xml:space="preserve"> madde</w:t>
            </w:r>
            <w:r w:rsidRPr="00A23740">
              <w:rPr>
                <w:rStyle w:val="KIRMIZIChar"/>
                <w:rFonts w:eastAsia="Calibri"/>
              </w:rPr>
              <w:t xml:space="preserve">de yazılı olduğu gibi </w:t>
            </w:r>
            <w:r w:rsidRPr="00A23740">
              <w:rPr>
                <w:szCs w:val="24"/>
              </w:rPr>
              <w:t>şirket alacaklıları yerine geçer.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Kollektif şirket</w:t>
            </w:r>
            <w:r w:rsidR="00C91AF9" w:rsidRPr="002D6869">
              <w:rPr>
                <w:b/>
                <w:szCs w:val="24"/>
              </w:rPr>
              <w:t>in</w:t>
            </w:r>
            <w:r w:rsidRPr="002D6869">
              <w:rPr>
                <w:b/>
                <w:szCs w:val="24"/>
              </w:rPr>
              <w:t xml:space="preserve"> </w:t>
            </w:r>
            <w:r w:rsidRPr="00A23740">
              <w:rPr>
                <w:b/>
                <w:szCs w:val="24"/>
              </w:rPr>
              <w:t xml:space="preserve">ve </w:t>
            </w:r>
            <w:r w:rsidRPr="00A23740">
              <w:rPr>
                <w:b/>
                <w:color w:val="0000FF"/>
                <w:szCs w:val="24"/>
              </w:rPr>
              <w:t>sınırsız sorumlu ortakların</w:t>
            </w:r>
            <w:r w:rsidRPr="00A23740">
              <w:rPr>
                <w:b/>
                <w:szCs w:val="24"/>
              </w:rPr>
              <w:t xml:space="preserve"> iflası</w:t>
            </w:r>
          </w:p>
          <w:p w:rsidR="00AA5C8C" w:rsidRPr="00A23740" w:rsidRDefault="00AA5C8C" w:rsidP="009431FF">
            <w:pPr>
              <w:tabs>
                <w:tab w:val="left" w:pos="567"/>
              </w:tabs>
              <w:rPr>
                <w:szCs w:val="24"/>
              </w:rPr>
            </w:pPr>
            <w:r w:rsidRPr="00A23740">
              <w:rPr>
                <w:rStyle w:val="MaviChar"/>
                <w:lang w:val="tr-TR"/>
              </w:rPr>
              <w:t xml:space="preserve">MADDE </w:t>
            </w:r>
            <w:r w:rsidR="008276D4" w:rsidRPr="00A23740">
              <w:rPr>
                <w:rStyle w:val="MAVChar"/>
                <w:rFonts w:eastAsia="Calibri"/>
                <w:u w:val="none"/>
              </w:rPr>
              <w:t>316</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 xml:space="preserve">Bir kollektif şirket ile </w:t>
            </w:r>
            <w:r w:rsidRPr="00A23740">
              <w:rPr>
                <w:b/>
                <w:color w:val="0000FF"/>
                <w:szCs w:val="24"/>
              </w:rPr>
              <w:t>ortaklardan</w:t>
            </w:r>
            <w:r w:rsidRPr="00A23740">
              <w:rPr>
                <w:szCs w:val="24"/>
              </w:rPr>
              <w:t xml:space="preserve"> birinin iflas </w:t>
            </w:r>
            <w:r w:rsidRPr="00A23740">
              <w:rPr>
                <w:b/>
                <w:color w:val="0000FF"/>
                <w:szCs w:val="24"/>
              </w:rPr>
              <w:t>tasfiy</w:t>
            </w:r>
            <w:r w:rsidRPr="00A23740">
              <w:rPr>
                <w:rStyle w:val="MaviChar"/>
              </w:rPr>
              <w:t>esi</w:t>
            </w:r>
            <w:r w:rsidRPr="00A23740">
              <w:rPr>
                <w:b/>
                <w:color w:val="0000FF"/>
                <w:szCs w:val="24"/>
              </w:rPr>
              <w:t xml:space="preserve"> aynı</w:t>
            </w:r>
            <w:r w:rsidRPr="00A23740">
              <w:rPr>
                <w:szCs w:val="24"/>
              </w:rPr>
              <w:t xml:space="preserve"> zamana </w:t>
            </w:r>
            <w:r w:rsidRPr="00A23740">
              <w:rPr>
                <w:rStyle w:val="MaviChar"/>
              </w:rPr>
              <w:t>rastlarsa</w:t>
            </w:r>
            <w:r w:rsidR="00012028" w:rsidRPr="00F62254">
              <w:rPr>
                <w:rStyle w:val="Balk1Char"/>
                <w:rFonts w:eastAsia="Calibri"/>
              </w:rPr>
              <w:t>,</w:t>
            </w:r>
            <w:r w:rsidRPr="00A23740">
              <w:rPr>
                <w:szCs w:val="24"/>
              </w:rPr>
              <w:t xml:space="preserve"> şirketin alacaklıları bütün alacaklarını </w:t>
            </w:r>
            <w:r w:rsidRPr="00A23740">
              <w:rPr>
                <w:b/>
                <w:color w:val="0000FF"/>
                <w:szCs w:val="24"/>
              </w:rPr>
              <w:t>ortağın iflas</w:t>
            </w:r>
            <w:r w:rsidRPr="00A23740">
              <w:rPr>
                <w:szCs w:val="24"/>
              </w:rPr>
              <w:t xml:space="preserve"> masasına </w:t>
            </w:r>
            <w:r w:rsidRPr="00A23740">
              <w:rPr>
                <w:b/>
                <w:color w:val="0000FF"/>
                <w:szCs w:val="24"/>
              </w:rPr>
              <w:t xml:space="preserve">da </w:t>
            </w:r>
            <w:r w:rsidRPr="00A23740">
              <w:rPr>
                <w:szCs w:val="24"/>
              </w:rPr>
              <w:t>kaydettir</w:t>
            </w:r>
            <w:r w:rsidRPr="00A23740">
              <w:rPr>
                <w:rStyle w:val="MaviChar"/>
              </w:rPr>
              <w:t>ebilir</w:t>
            </w:r>
            <w:r w:rsidRPr="00A23740">
              <w:rPr>
                <w:szCs w:val="24"/>
              </w:rPr>
              <w:t>ler</w:t>
            </w:r>
            <w:r w:rsidRPr="00A23740">
              <w:rPr>
                <w:b/>
                <w:color w:val="0000FF"/>
                <w:szCs w:val="24"/>
              </w:rPr>
              <w:t>.</w:t>
            </w:r>
            <w:r w:rsidRPr="00A23740">
              <w:rPr>
                <w:szCs w:val="24"/>
              </w:rPr>
              <w:t xml:space="preserve"> </w:t>
            </w:r>
            <w:r w:rsidRPr="00A23740">
              <w:rPr>
                <w:rStyle w:val="MaviChar"/>
              </w:rPr>
              <w:t xml:space="preserve">Bu durumda </w:t>
            </w:r>
            <w:r w:rsidRPr="00A23740">
              <w:rPr>
                <w:szCs w:val="24"/>
              </w:rPr>
              <w:t>ancak</w:t>
            </w:r>
            <w:r w:rsidRPr="00A23740">
              <w:rPr>
                <w:b/>
                <w:bCs/>
              </w:rPr>
              <w:t xml:space="preserve"> </w:t>
            </w:r>
            <w:r w:rsidRPr="00A23740">
              <w:rPr>
                <w:szCs w:val="24"/>
              </w:rPr>
              <w:t>şirket</w:t>
            </w:r>
            <w:r w:rsidR="00012028" w:rsidRPr="002D6869">
              <w:rPr>
                <w:b/>
                <w:color w:val="0000FF"/>
                <w:szCs w:val="24"/>
              </w:rPr>
              <w:t>in iflas</w:t>
            </w:r>
            <w:r w:rsidRPr="002D6869">
              <w:rPr>
                <w:b/>
                <w:color w:val="0000FF"/>
                <w:szCs w:val="24"/>
              </w:rPr>
              <w:t xml:space="preserve"> </w:t>
            </w:r>
            <w:r w:rsidRPr="00A23740">
              <w:rPr>
                <w:szCs w:val="24"/>
              </w:rPr>
              <w:t>masasından</w:t>
            </w:r>
            <w:r w:rsidRPr="00A23740">
              <w:rPr>
                <w:rStyle w:val="MaviChar"/>
              </w:rPr>
              <w:t xml:space="preserve"> alınamayan </w:t>
            </w:r>
            <w:r w:rsidRPr="00A23740">
              <w:rPr>
                <w:szCs w:val="24"/>
              </w:rPr>
              <w:t>miktar</w:t>
            </w:r>
            <w:r w:rsidRPr="00A23740">
              <w:rPr>
                <w:rStyle w:val="MaviChar"/>
              </w:rPr>
              <w:t>,</w:t>
            </w:r>
            <w:r w:rsidRPr="00A23740">
              <w:rPr>
                <w:szCs w:val="24"/>
              </w:rPr>
              <w:t xml:space="preserve"> müflis </w:t>
            </w:r>
            <w:r w:rsidRPr="00A23740">
              <w:rPr>
                <w:b/>
                <w:color w:val="0000FF"/>
                <w:szCs w:val="24"/>
              </w:rPr>
              <w:t>ortağın</w:t>
            </w:r>
            <w:r w:rsidRPr="00A23740">
              <w:rPr>
                <w:szCs w:val="24"/>
              </w:rPr>
              <w:t xml:space="preserve"> masasından </w:t>
            </w:r>
            <w:r w:rsidRPr="00A23740">
              <w:rPr>
                <w:rStyle w:val="MaviChar"/>
              </w:rPr>
              <w:t>talep edilebilir.</w:t>
            </w:r>
            <w:r w:rsidRPr="00A23740">
              <w:rPr>
                <w:szCs w:val="24"/>
              </w:rPr>
              <w:t xml:space="preserve"> Bu miktarın </w:t>
            </w:r>
            <w:r w:rsidRPr="00A23740">
              <w:rPr>
                <w:b/>
                <w:color w:val="0000FF"/>
                <w:szCs w:val="24"/>
              </w:rPr>
              <w:t>birden fazla ortak</w:t>
            </w:r>
            <w:r w:rsidRPr="00A23740">
              <w:rPr>
                <w:szCs w:val="24"/>
              </w:rPr>
              <w:t xml:space="preserve"> tarafından ödenmesi h</w:t>
            </w:r>
            <w:r w:rsidR="009D574E" w:rsidRPr="00A23740">
              <w:rPr>
                <w:szCs w:val="24"/>
              </w:rPr>
              <w:t>â</w:t>
            </w:r>
            <w:r w:rsidRPr="00A23740">
              <w:rPr>
                <w:szCs w:val="24"/>
              </w:rPr>
              <w:t xml:space="preserve">linde </w:t>
            </w:r>
            <w:r w:rsidR="00F62254">
              <w:rPr>
                <w:rStyle w:val="MaviChar"/>
              </w:rPr>
              <w:t>314</w:t>
            </w:r>
            <w:r w:rsidR="00FB2D82" w:rsidRPr="00A23740">
              <w:rPr>
                <w:szCs w:val="24"/>
              </w:rPr>
              <w:t xml:space="preserve"> ve </w:t>
            </w:r>
            <w:r w:rsidR="00FB2D82" w:rsidRPr="002D6869">
              <w:rPr>
                <w:rStyle w:val="MaviChar"/>
              </w:rPr>
              <w:t>315 inci</w:t>
            </w:r>
            <w:r w:rsidR="00FB2D82" w:rsidRPr="00A23740">
              <w:rPr>
                <w:szCs w:val="24"/>
              </w:rPr>
              <w:t xml:space="preserve"> </w:t>
            </w:r>
            <w:r w:rsidRPr="00A23740">
              <w:rPr>
                <w:szCs w:val="24"/>
              </w:rPr>
              <w:t xml:space="preserve">maddeler </w:t>
            </w:r>
            <w:r w:rsidRPr="00A23740">
              <w:rPr>
                <w:b/>
                <w:color w:val="0000FF"/>
                <w:szCs w:val="24"/>
              </w:rPr>
              <w:t>uygulanır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Default="00AA5C8C" w:rsidP="009431FF">
            <w:pPr>
              <w:tabs>
                <w:tab w:val="left" w:pos="567"/>
              </w:tabs>
              <w:rPr>
                <w:szCs w:val="24"/>
              </w:rPr>
            </w:pPr>
          </w:p>
          <w:p w:rsidR="00F62254" w:rsidRPr="00A23740" w:rsidRDefault="00F62254"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Şirket iflas etmeksizin </w:t>
            </w:r>
            <w:r w:rsidRPr="00A23740">
              <w:rPr>
                <w:b/>
                <w:color w:val="0000FF"/>
                <w:szCs w:val="24"/>
              </w:rPr>
              <w:t>ortaklarından</w:t>
            </w:r>
            <w:r w:rsidRPr="00A23740">
              <w:rPr>
                <w:szCs w:val="24"/>
              </w:rPr>
              <w:t xml:space="preserve"> biri iflas ederse</w:t>
            </w:r>
            <w:r w:rsidRPr="002D6869">
              <w:rPr>
                <w:rStyle w:val="MaviChar"/>
              </w:rPr>
              <w:t>,</w:t>
            </w:r>
            <w:r w:rsidRPr="00A23740">
              <w:rPr>
                <w:szCs w:val="24"/>
              </w:rPr>
              <w:t xml:space="preserve"> şirketin alacaklıları alacaklarının tamamı</w:t>
            </w:r>
            <w:r w:rsidRPr="00A23740">
              <w:rPr>
                <w:rStyle w:val="MaviChar"/>
              </w:rPr>
              <w:t>nı</w:t>
            </w:r>
            <w:r w:rsidRPr="00A23740">
              <w:rPr>
                <w:szCs w:val="24"/>
              </w:rPr>
              <w:t xml:space="preserve"> </w:t>
            </w:r>
            <w:r w:rsidRPr="00A23740">
              <w:rPr>
                <w:rStyle w:val="MaviChar"/>
              </w:rPr>
              <w:t>ortağın iflas masasına</w:t>
            </w:r>
            <w:r w:rsidRPr="00A23740">
              <w:rPr>
                <w:szCs w:val="24"/>
              </w:rPr>
              <w:t xml:space="preserve"> </w:t>
            </w:r>
            <w:r w:rsidRPr="00A23740">
              <w:rPr>
                <w:rStyle w:val="MaviChar"/>
              </w:rPr>
              <w:t>kaydettirebilir</w:t>
            </w:r>
            <w:r w:rsidR="00C91AF9" w:rsidRPr="002D6869">
              <w:rPr>
                <w:rStyle w:val="MaviChar"/>
              </w:rPr>
              <w:t>ler</w:t>
            </w:r>
            <w:r w:rsidRPr="00A23740">
              <w:rPr>
                <w:szCs w:val="24"/>
              </w:rPr>
              <w:t xml:space="preserve">. Müflis </w:t>
            </w:r>
            <w:r w:rsidRPr="00A23740">
              <w:rPr>
                <w:b/>
                <w:color w:val="0000FF"/>
                <w:szCs w:val="24"/>
              </w:rPr>
              <w:t>ortağın</w:t>
            </w:r>
            <w:r w:rsidRPr="00A23740">
              <w:rPr>
                <w:szCs w:val="24"/>
              </w:rPr>
              <w:t xml:space="preserve"> masası</w:t>
            </w:r>
            <w:r w:rsidRPr="00A23740">
              <w:rPr>
                <w:rStyle w:val="MaviChar"/>
              </w:rPr>
              <w:t>,</w:t>
            </w:r>
            <w:r w:rsidRPr="00A23740">
              <w:rPr>
                <w:szCs w:val="24"/>
              </w:rPr>
              <w:t xml:space="preserve"> </w:t>
            </w:r>
            <w:r w:rsidRPr="00A23740">
              <w:rPr>
                <w:b/>
                <w:color w:val="0000FF"/>
                <w:szCs w:val="24"/>
              </w:rPr>
              <w:t>ödediği para oranında</w:t>
            </w:r>
            <w:r w:rsidR="00FB2D82" w:rsidRPr="002D6869">
              <w:rPr>
                <w:b/>
                <w:color w:val="0000FF"/>
                <w:szCs w:val="24"/>
              </w:rPr>
              <w:t xml:space="preserve"> </w:t>
            </w:r>
            <w:r w:rsidR="00FB2D82" w:rsidRPr="002D6869">
              <w:rPr>
                <w:b/>
                <w:bCs/>
                <w:color w:val="0000FF"/>
                <w:szCs w:val="24"/>
              </w:rPr>
              <w:t>313</w:t>
            </w:r>
            <w:r w:rsidRPr="002D6869">
              <w:rPr>
                <w:b/>
                <w:bCs/>
                <w:color w:val="0000FF"/>
                <w:szCs w:val="24"/>
              </w:rPr>
              <w:t xml:space="preserve"> </w:t>
            </w:r>
            <w:r w:rsidR="00FB2D82" w:rsidRPr="002D6869">
              <w:rPr>
                <w:b/>
                <w:bCs/>
                <w:color w:val="0000FF"/>
                <w:szCs w:val="24"/>
              </w:rPr>
              <w:t>üncü</w:t>
            </w:r>
            <w:r w:rsidR="00FB2D82" w:rsidRPr="002D6869">
              <w:rPr>
                <w:b/>
                <w:color w:val="0000FF"/>
                <w:szCs w:val="24"/>
              </w:rPr>
              <w:t xml:space="preserve"> </w:t>
            </w:r>
            <w:r w:rsidR="00CE09DA" w:rsidRPr="002D6869">
              <w:rPr>
                <w:szCs w:val="24"/>
              </w:rPr>
              <w:t>madde</w:t>
            </w:r>
            <w:r w:rsidR="00CE09DA" w:rsidRPr="002D6869">
              <w:rPr>
                <w:b/>
                <w:bCs/>
                <w:color w:val="0000FF"/>
              </w:rPr>
              <w:t>de öngörüldüğü gibi</w:t>
            </w:r>
            <w:r w:rsidRPr="002D6869">
              <w:rPr>
                <w:b/>
                <w:color w:val="0000FF"/>
                <w:szCs w:val="24"/>
              </w:rPr>
              <w:t xml:space="preserve"> </w:t>
            </w:r>
            <w:r w:rsidRPr="00A23740">
              <w:rPr>
                <w:szCs w:val="24"/>
              </w:rPr>
              <w:t>şirket alacaklıları</w:t>
            </w:r>
            <w:r w:rsidR="00CE09DA" w:rsidRPr="002D6869">
              <w:rPr>
                <w:b/>
                <w:bCs/>
                <w:color w:val="0000FF"/>
              </w:rPr>
              <w:t>nın</w:t>
            </w:r>
            <w:r w:rsidRPr="002D6869">
              <w:rPr>
                <w:b/>
                <w:bCs/>
                <w:color w:val="0000FF"/>
              </w:rPr>
              <w:t xml:space="preserve"> </w:t>
            </w:r>
            <w:r w:rsidRPr="00A23740">
              <w:rPr>
                <w:szCs w:val="24"/>
              </w:rPr>
              <w:t>yerine geçer.</w:t>
            </w:r>
          </w:p>
          <w:p w:rsidR="00AA5C8C" w:rsidRPr="00A23740" w:rsidRDefault="00AA5C8C" w:rsidP="009431FF">
            <w:pPr>
              <w:tabs>
                <w:tab w:val="left" w:pos="567"/>
              </w:tabs>
              <w:rPr>
                <w:szCs w:val="24"/>
              </w:rPr>
            </w:pPr>
          </w:p>
          <w:p w:rsidR="00AA5C8C" w:rsidRPr="00A23740" w:rsidRDefault="00AA5C8C" w:rsidP="009431FF">
            <w:pPr>
              <w:tabs>
                <w:tab w:val="left" w:pos="567"/>
              </w:tabs>
            </w:pPr>
            <w:r w:rsidRPr="00A23740">
              <w:rPr>
                <w:b/>
                <w:color w:val="0000FF"/>
                <w:szCs w:val="24"/>
              </w:rPr>
              <w:t xml:space="preserve">(3) </w:t>
            </w:r>
            <w:r w:rsidR="00C91AF9" w:rsidRPr="00A23740">
              <w:rPr>
                <w:b/>
                <w:color w:val="0000FF"/>
                <w:szCs w:val="24"/>
              </w:rPr>
              <w:t>Komandite ortakların iflası h</w:t>
            </w:r>
            <w:r w:rsidR="009D574E" w:rsidRPr="00A23740">
              <w:rPr>
                <w:b/>
                <w:color w:val="0000FF"/>
                <w:szCs w:val="24"/>
              </w:rPr>
              <w:t>â</w:t>
            </w:r>
            <w:r w:rsidR="00C91AF9" w:rsidRPr="00A23740">
              <w:rPr>
                <w:b/>
                <w:color w:val="0000FF"/>
                <w:szCs w:val="24"/>
              </w:rPr>
              <w:t xml:space="preserve">linde birinci </w:t>
            </w:r>
            <w:r w:rsidRPr="00A23740">
              <w:rPr>
                <w:b/>
                <w:color w:val="0000FF"/>
                <w:szCs w:val="24"/>
              </w:rPr>
              <w:t xml:space="preserve">ve ikinci fıkra hükümleri </w:t>
            </w:r>
            <w:r w:rsidR="00C91AF9" w:rsidRPr="00A23740">
              <w:rPr>
                <w:rStyle w:val="MaviChar"/>
              </w:rPr>
              <w:t>kıyasen</w:t>
            </w:r>
            <w:r w:rsidR="00C91AF9" w:rsidRPr="00A23740">
              <w:rPr>
                <w:b/>
                <w:color w:val="0000FF"/>
                <w:szCs w:val="24"/>
              </w:rPr>
              <w:t xml:space="preserve"> </w:t>
            </w:r>
            <w:r w:rsidRPr="00A23740">
              <w:rPr>
                <w:b/>
                <w:color w:val="0000FF"/>
                <w:szCs w:val="24"/>
              </w:rPr>
              <w:t>uygulanır.</w:t>
            </w:r>
          </w:p>
          <w:p w:rsidR="00FB2D82" w:rsidRPr="00A23740" w:rsidRDefault="00FB2D82" w:rsidP="009431FF">
            <w:pPr>
              <w:pStyle w:val="KIRMIZI"/>
              <w:rPr>
                <w:szCs w:val="22"/>
              </w:rPr>
            </w:pPr>
          </w:p>
        </w:tc>
      </w:tr>
      <w:tr w:rsidR="00706E87"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756E3" w:rsidRPr="00A23740" w:rsidRDefault="008756E3" w:rsidP="009431FF">
            <w:pPr>
              <w:tabs>
                <w:tab w:val="left" w:pos="567"/>
              </w:tabs>
              <w:ind w:firstLine="567"/>
              <w:rPr>
                <w:b/>
              </w:rPr>
            </w:pPr>
          </w:p>
          <w:p w:rsidR="007700AE" w:rsidRPr="00A23740" w:rsidRDefault="008276D4" w:rsidP="009431FF">
            <w:pPr>
              <w:tabs>
                <w:tab w:val="left" w:pos="567"/>
              </w:tabs>
              <w:ind w:firstLine="567"/>
              <w:rPr>
                <w:bCs/>
                <w:szCs w:val="24"/>
              </w:rPr>
            </w:pPr>
            <w:r w:rsidRPr="00A23740">
              <w:rPr>
                <w:b/>
              </w:rPr>
              <w:t>MADDE 316</w:t>
            </w:r>
            <w:r w:rsidR="00706E87" w:rsidRPr="00A23740">
              <w:rPr>
                <w:b/>
              </w:rPr>
              <w:t>-</w:t>
            </w:r>
            <w:r w:rsidR="00706E87" w:rsidRPr="00A23740">
              <w:t xml:space="preserve"> Maddeyle, </w:t>
            </w:r>
            <w:r w:rsidR="008756E3" w:rsidRPr="00A23740">
              <w:rPr>
                <w:bCs/>
                <w:szCs w:val="24"/>
              </w:rPr>
              <w:t xml:space="preserve">kollektif şirket ve sınırsız sorumlu ortaklarının iflasına </w:t>
            </w:r>
            <w:r w:rsidR="00706E87" w:rsidRPr="00A23740">
              <w:rPr>
                <w:bCs/>
                <w:szCs w:val="24"/>
              </w:rPr>
              <w:t xml:space="preserve">ilişkin hususlar düzenlenmektedir. </w:t>
            </w:r>
            <w:r w:rsidR="007700AE" w:rsidRPr="00A23740">
              <w:rPr>
                <w:bCs/>
                <w:szCs w:val="24"/>
              </w:rPr>
              <w:t>Madde</w:t>
            </w:r>
            <w:r w:rsidR="00543C57" w:rsidRPr="00A23740">
              <w:rPr>
                <w:bCs/>
                <w:szCs w:val="24"/>
              </w:rPr>
              <w:t>yle</w:t>
            </w:r>
            <w:r w:rsidR="007700AE" w:rsidRPr="00A23740">
              <w:rPr>
                <w:bCs/>
                <w:szCs w:val="24"/>
              </w:rPr>
              <w:t xml:space="preserve"> 2004 s</w:t>
            </w:r>
            <w:r w:rsidR="008756E3" w:rsidRPr="00A23740">
              <w:rPr>
                <w:bCs/>
                <w:szCs w:val="24"/>
              </w:rPr>
              <w:t>ayılı Kanunun 205 inci</w:t>
            </w:r>
            <w:r w:rsidR="007700AE" w:rsidRPr="00A23740">
              <w:rPr>
                <w:bCs/>
                <w:szCs w:val="24"/>
              </w:rPr>
              <w:t xml:space="preserve"> maddesinde yer alan “Kollektif şirket ve sınırsız sorumlu ortaklarının iflası” yeniden düzenlenmiş olup ilk iki fıkra, önceki Kanuna paraleldir; buna karşılık maddeye eklenen üçüncü fıkra yeni bir düzenlemedir. </w:t>
            </w:r>
          </w:p>
          <w:p w:rsidR="007700AE" w:rsidRPr="00A23740" w:rsidRDefault="007700AE" w:rsidP="009431FF">
            <w:pPr>
              <w:tabs>
                <w:tab w:val="left" w:pos="567"/>
              </w:tabs>
              <w:ind w:firstLine="567"/>
              <w:rPr>
                <w:bCs/>
                <w:szCs w:val="24"/>
              </w:rPr>
            </w:pPr>
            <w:r w:rsidRPr="00A23740">
              <w:rPr>
                <w:bCs/>
                <w:szCs w:val="24"/>
              </w:rPr>
              <w:t xml:space="preserve">Maddenin birinci fıkrası, kollektif şirket ile onun ortaklarından birinin iflas tasfiyesinin aynı zamanda </w:t>
            </w:r>
            <w:r w:rsidR="00C91AF9" w:rsidRPr="00A23740">
              <w:rPr>
                <w:bCs/>
                <w:szCs w:val="24"/>
              </w:rPr>
              <w:t>gerçekleşmesi hâ</w:t>
            </w:r>
            <w:r w:rsidRPr="00A23740">
              <w:rPr>
                <w:bCs/>
                <w:szCs w:val="24"/>
              </w:rPr>
              <w:t>linde, şirketin alacaklılarının bütün alacaklarını ortağın iflas masasına da kaydettirebilmelerine izin vermektedir. Zira sermaye şirketlerinden farklı olarak kollektif şirket ti</w:t>
            </w:r>
            <w:r w:rsidR="00330FCE" w:rsidRPr="00A23740">
              <w:rPr>
                <w:bCs/>
                <w:szCs w:val="24"/>
              </w:rPr>
              <w:t>cari bir işletmeyi bir ticaret ü</w:t>
            </w:r>
            <w:r w:rsidRPr="00A23740">
              <w:rPr>
                <w:bCs/>
                <w:szCs w:val="24"/>
              </w:rPr>
              <w:t>nvanı altında işletmek amacıyla, gerçek kişiler arasında kurulan ve ortaklarından hiçbirinin sorumluluğu şirket alacaklılarına karşı sınırlanmamış olan şirkettir (</w:t>
            </w:r>
            <w:r w:rsidR="00FB2D82" w:rsidRPr="002D6869">
              <w:rPr>
                <w:szCs w:val="24"/>
              </w:rPr>
              <w:t>6102 sayılı Kanunun</w:t>
            </w:r>
            <w:r w:rsidRPr="00A23740">
              <w:rPr>
                <w:bCs/>
                <w:szCs w:val="24"/>
              </w:rPr>
              <w:t xml:space="preserve"> 211</w:t>
            </w:r>
            <w:r w:rsidR="00FB2D82" w:rsidRPr="00A23740">
              <w:rPr>
                <w:bCs/>
                <w:szCs w:val="24"/>
              </w:rPr>
              <w:t xml:space="preserve"> </w:t>
            </w:r>
            <w:r w:rsidR="00FB2D82" w:rsidRPr="002D6869">
              <w:rPr>
                <w:szCs w:val="24"/>
              </w:rPr>
              <w:t>inci maddesi</w:t>
            </w:r>
            <w:r w:rsidRPr="00A23740">
              <w:rPr>
                <w:bCs/>
                <w:szCs w:val="24"/>
              </w:rPr>
              <w:t xml:space="preserve">). Ortaklar, şirketin borç ve taahhütlerinden dolayı müteselsilen ve bütün </w:t>
            </w:r>
            <w:r w:rsidR="00155604" w:rsidRPr="00A23740">
              <w:rPr>
                <w:bCs/>
                <w:szCs w:val="24"/>
              </w:rPr>
              <w:t xml:space="preserve">malvarlıklarıyla </w:t>
            </w:r>
            <w:r w:rsidRPr="00A23740">
              <w:rPr>
                <w:bCs/>
                <w:szCs w:val="24"/>
              </w:rPr>
              <w:t>sorumludur</w:t>
            </w:r>
            <w:r w:rsidR="00C91AF9" w:rsidRPr="002D6869">
              <w:rPr>
                <w:bCs/>
              </w:rPr>
              <w:t>lar</w:t>
            </w:r>
            <w:r w:rsidRPr="00A23740">
              <w:rPr>
                <w:bCs/>
                <w:szCs w:val="24"/>
              </w:rPr>
              <w:t xml:space="preserve"> (</w:t>
            </w:r>
            <w:r w:rsidR="00FB2D82" w:rsidRPr="002D6869">
              <w:rPr>
                <w:bCs/>
                <w:szCs w:val="24"/>
              </w:rPr>
              <w:t>6102 sayılı Kanunun</w:t>
            </w:r>
            <w:r w:rsidR="00FB2D82" w:rsidRPr="00A23740">
              <w:rPr>
                <w:bCs/>
                <w:szCs w:val="24"/>
              </w:rPr>
              <w:t xml:space="preserve"> 236 </w:t>
            </w:r>
            <w:r w:rsidR="00FB2D82" w:rsidRPr="002D6869">
              <w:rPr>
                <w:bCs/>
                <w:szCs w:val="24"/>
              </w:rPr>
              <w:t>ncı maddesi</w:t>
            </w:r>
            <w:r w:rsidR="00155604" w:rsidRPr="002D6869">
              <w:rPr>
                <w:bCs/>
                <w:szCs w:val="24"/>
              </w:rPr>
              <w:t>).</w:t>
            </w:r>
            <w:r w:rsidR="00155604" w:rsidRPr="00A23740">
              <w:rPr>
                <w:bCs/>
                <w:szCs w:val="24"/>
              </w:rPr>
              <w:t xml:space="preserve">  Ş</w:t>
            </w:r>
            <w:r w:rsidRPr="00A23740">
              <w:rPr>
                <w:bCs/>
                <w:szCs w:val="24"/>
              </w:rPr>
              <w:t>irket alacaklısı, alacağının tamamını ortağın masasına da yazdırabilmesine rağmen ancak şirket masasından alınamayan miktarı müflis ortağın masasından talep</w:t>
            </w:r>
            <w:r w:rsidR="001020DE" w:rsidRPr="00A23740">
              <w:rPr>
                <w:bCs/>
                <w:szCs w:val="24"/>
              </w:rPr>
              <w:t xml:space="preserve"> </w:t>
            </w:r>
            <w:r w:rsidR="001020DE" w:rsidRPr="002D6869">
              <w:rPr>
                <w:bCs/>
              </w:rPr>
              <w:t>edebilir.</w:t>
            </w:r>
            <w:r w:rsidRPr="00A23740">
              <w:rPr>
                <w:bCs/>
                <w:szCs w:val="24"/>
              </w:rPr>
              <w:t xml:space="preserve"> Bu miktarın birden fazla ortak tarafından ödenmesi h</w:t>
            </w:r>
            <w:r w:rsidR="009D574E" w:rsidRPr="00A23740">
              <w:rPr>
                <w:bCs/>
                <w:szCs w:val="24"/>
              </w:rPr>
              <w:t>â</w:t>
            </w:r>
            <w:r w:rsidRPr="00A23740">
              <w:rPr>
                <w:bCs/>
                <w:szCs w:val="24"/>
              </w:rPr>
              <w:t xml:space="preserve">linde </w:t>
            </w:r>
            <w:r w:rsidR="00C91AF9" w:rsidRPr="002D6869">
              <w:rPr>
                <w:bCs/>
              </w:rPr>
              <w:t>Taslağın</w:t>
            </w:r>
            <w:r w:rsidR="00C91AF9" w:rsidRPr="002D6869">
              <w:rPr>
                <w:bCs/>
                <w:szCs w:val="24"/>
              </w:rPr>
              <w:t xml:space="preserve"> </w:t>
            </w:r>
            <w:r w:rsidR="00FB2D82" w:rsidRPr="002D6869">
              <w:rPr>
                <w:szCs w:val="24"/>
              </w:rPr>
              <w:t>314</w:t>
            </w:r>
            <w:r w:rsidR="00FB2D82" w:rsidRPr="00A23740">
              <w:rPr>
                <w:szCs w:val="24"/>
              </w:rPr>
              <w:t xml:space="preserve"> ve </w:t>
            </w:r>
            <w:r w:rsidR="00FB2D82" w:rsidRPr="002D6869">
              <w:rPr>
                <w:szCs w:val="24"/>
              </w:rPr>
              <w:t>315 inci</w:t>
            </w:r>
            <w:r w:rsidR="00FB2D82" w:rsidRPr="00A23740">
              <w:rPr>
                <w:szCs w:val="24"/>
              </w:rPr>
              <w:t xml:space="preserve"> </w:t>
            </w:r>
            <w:r w:rsidRPr="002D6869">
              <w:rPr>
                <w:bCs/>
                <w:szCs w:val="24"/>
              </w:rPr>
              <w:t>maddeler</w:t>
            </w:r>
            <w:r w:rsidR="001020DE" w:rsidRPr="002D6869">
              <w:rPr>
                <w:bCs/>
              </w:rPr>
              <w:t>i</w:t>
            </w:r>
            <w:r w:rsidRPr="002D6869">
              <w:rPr>
                <w:bCs/>
                <w:szCs w:val="24"/>
              </w:rPr>
              <w:t xml:space="preserve"> uygulanır</w:t>
            </w:r>
            <w:r w:rsidRPr="00A23740">
              <w:rPr>
                <w:bCs/>
                <w:szCs w:val="24"/>
              </w:rPr>
              <w:t>.</w:t>
            </w:r>
          </w:p>
          <w:p w:rsidR="007700AE" w:rsidRPr="00A23740" w:rsidRDefault="007700AE" w:rsidP="009431FF">
            <w:pPr>
              <w:tabs>
                <w:tab w:val="left" w:pos="567"/>
              </w:tabs>
              <w:ind w:firstLine="567"/>
              <w:rPr>
                <w:bCs/>
                <w:szCs w:val="24"/>
              </w:rPr>
            </w:pPr>
            <w:r w:rsidRPr="00A23740">
              <w:rPr>
                <w:bCs/>
                <w:szCs w:val="24"/>
              </w:rPr>
              <w:t>Maddenin ikinci fıkrasında ise, kollektif şirket iflas etmeksizin ortaklarından birinin iflas etmesi h</w:t>
            </w:r>
            <w:r w:rsidR="009D574E" w:rsidRPr="00A23740">
              <w:rPr>
                <w:bCs/>
                <w:szCs w:val="24"/>
              </w:rPr>
              <w:t>â</w:t>
            </w:r>
            <w:r w:rsidRPr="00A23740">
              <w:rPr>
                <w:bCs/>
                <w:szCs w:val="24"/>
              </w:rPr>
              <w:t xml:space="preserve">linde, şirketin alacaklılarının alacaklarının tamamını ortağın iflas masasına kaydettirebileceği hüküm altına alınmıştır. Bu durumda müflis ortağın masası, ödediği para oranında </w:t>
            </w:r>
            <w:r w:rsidR="001020DE" w:rsidRPr="002D6869">
              <w:rPr>
                <w:bCs/>
              </w:rPr>
              <w:t>Taslağın</w:t>
            </w:r>
            <w:r w:rsidR="001020DE" w:rsidRPr="002D6869">
              <w:rPr>
                <w:bCs/>
                <w:szCs w:val="24"/>
              </w:rPr>
              <w:t xml:space="preserve"> </w:t>
            </w:r>
            <w:r w:rsidR="00FB2D82" w:rsidRPr="002D6869">
              <w:rPr>
                <w:szCs w:val="24"/>
              </w:rPr>
              <w:t>313 üncü</w:t>
            </w:r>
            <w:r w:rsidR="00FB2D82" w:rsidRPr="00A23740">
              <w:rPr>
                <w:szCs w:val="24"/>
              </w:rPr>
              <w:t xml:space="preserve"> </w:t>
            </w:r>
            <w:r w:rsidR="00CE09DA" w:rsidRPr="002D6869">
              <w:t>maddesinde öngörüldüğü şekilde</w:t>
            </w:r>
            <w:r w:rsidR="001020DE" w:rsidRPr="002D6869">
              <w:rPr>
                <w:bCs/>
                <w:szCs w:val="24"/>
              </w:rPr>
              <w:t xml:space="preserve"> şirket alacaklıları</w:t>
            </w:r>
            <w:r w:rsidR="00CE09DA" w:rsidRPr="002D6869">
              <w:rPr>
                <w:bCs/>
                <w:szCs w:val="24"/>
              </w:rPr>
              <w:t>nın</w:t>
            </w:r>
            <w:r w:rsidR="001020DE" w:rsidRPr="002D6869">
              <w:rPr>
                <w:bCs/>
                <w:szCs w:val="24"/>
              </w:rPr>
              <w:t xml:space="preserve"> </w:t>
            </w:r>
            <w:r w:rsidR="00CE09DA" w:rsidRPr="002D6869">
              <w:rPr>
                <w:bCs/>
                <w:szCs w:val="24"/>
              </w:rPr>
              <w:t>yerine geçer, yani şirket alacaklılarının haklarında onlara halef olur.</w:t>
            </w:r>
          </w:p>
          <w:p w:rsidR="007700AE" w:rsidRPr="00A23740" w:rsidRDefault="007700AE" w:rsidP="00B43502">
            <w:pPr>
              <w:tabs>
                <w:tab w:val="left" w:pos="567"/>
              </w:tabs>
              <w:ind w:firstLine="567"/>
            </w:pPr>
            <w:r w:rsidRPr="00A23740">
              <w:rPr>
                <w:bCs/>
                <w:szCs w:val="24"/>
              </w:rPr>
              <w:t xml:space="preserve">Maddenin üçüncü fıkrası, 2004 sayılı Kanunda mevcut olmayan ancak </w:t>
            </w:r>
            <w:r w:rsidR="001020DE" w:rsidRPr="002D6869">
              <w:rPr>
                <w:bCs/>
              </w:rPr>
              <w:t>İsviçre’nin Borç İçin Takip ve İflas Hakkında Federal</w:t>
            </w:r>
            <w:r w:rsidR="001020DE" w:rsidRPr="00A23740">
              <w:rPr>
                <w:bCs/>
                <w:szCs w:val="24"/>
              </w:rPr>
              <w:t xml:space="preserve"> </w:t>
            </w:r>
            <w:r w:rsidR="00543C57" w:rsidRPr="00A23740">
              <w:rPr>
                <w:bCs/>
                <w:szCs w:val="24"/>
              </w:rPr>
              <w:t>Kanunu</w:t>
            </w:r>
            <w:r w:rsidRPr="00A23740">
              <w:rPr>
                <w:bCs/>
                <w:szCs w:val="24"/>
              </w:rPr>
              <w:t>nun 218</w:t>
            </w:r>
            <w:r w:rsidR="00543C57" w:rsidRPr="00A23740">
              <w:rPr>
                <w:bCs/>
                <w:szCs w:val="24"/>
              </w:rPr>
              <w:t xml:space="preserve"> inci</w:t>
            </w:r>
            <w:r w:rsidRPr="00A23740">
              <w:rPr>
                <w:bCs/>
                <w:szCs w:val="24"/>
              </w:rPr>
              <w:t xml:space="preserve"> maddesinin üçüncü fıkrasında yer alan düzenlemenin</w:t>
            </w:r>
            <w:r w:rsidR="001020DE" w:rsidRPr="00A23740">
              <w:rPr>
                <w:bCs/>
                <w:szCs w:val="24"/>
              </w:rPr>
              <w:t xml:space="preserve"> </w:t>
            </w:r>
            <w:r w:rsidR="001020DE" w:rsidRPr="002D6869">
              <w:rPr>
                <w:bCs/>
              </w:rPr>
              <w:t>Taslağa</w:t>
            </w:r>
            <w:r w:rsidRPr="00A23740">
              <w:rPr>
                <w:bCs/>
                <w:szCs w:val="24"/>
              </w:rPr>
              <w:t xml:space="preserve"> aynen alınması</w:t>
            </w:r>
            <w:r w:rsidR="00155604" w:rsidRPr="00A23740">
              <w:rPr>
                <w:bCs/>
                <w:szCs w:val="24"/>
              </w:rPr>
              <w:t>ndan ibarettir</w:t>
            </w:r>
            <w:r w:rsidRPr="00A23740">
              <w:rPr>
                <w:bCs/>
                <w:szCs w:val="24"/>
              </w:rPr>
              <w:t>. Maddenin daha önce yalnızca kollektif şirket ve ortakları bakımından geçerli olması kabul edildiği h</w:t>
            </w:r>
            <w:r w:rsidR="009D574E" w:rsidRPr="00A23740">
              <w:rPr>
                <w:bCs/>
                <w:szCs w:val="24"/>
              </w:rPr>
              <w:t>â</w:t>
            </w:r>
            <w:r w:rsidRPr="00A23740">
              <w:rPr>
                <w:bCs/>
                <w:szCs w:val="24"/>
              </w:rPr>
              <w:t>lde, yapılan değişiklikle bu hükümlerin kı</w:t>
            </w:r>
            <w:r w:rsidRPr="00A23740">
              <w:t>yasen</w:t>
            </w:r>
            <w:r w:rsidRPr="00A23740">
              <w:rPr>
                <w:bCs/>
                <w:szCs w:val="24"/>
              </w:rPr>
              <w:t xml:space="preserve"> komandite ortakların iflası h</w:t>
            </w:r>
            <w:r w:rsidR="009D574E" w:rsidRPr="00A23740">
              <w:rPr>
                <w:bCs/>
                <w:szCs w:val="24"/>
              </w:rPr>
              <w:t>â</w:t>
            </w:r>
            <w:r w:rsidRPr="00A23740">
              <w:rPr>
                <w:bCs/>
                <w:szCs w:val="24"/>
              </w:rPr>
              <w:t xml:space="preserve">linde de </w:t>
            </w:r>
            <w:r w:rsidR="00155604" w:rsidRPr="00A23740">
              <w:rPr>
                <w:bCs/>
                <w:szCs w:val="24"/>
              </w:rPr>
              <w:t xml:space="preserve"> uygulanması kabul edilmiştir</w:t>
            </w:r>
            <w:r w:rsidRPr="00A23740">
              <w:rPr>
                <w:bCs/>
                <w:szCs w:val="24"/>
              </w:rPr>
              <w:t>. Komandite ortakların şirket alacaklılarına karşı sorumluluğunun sınırlandırılmamış olduğu ve onlar hakkında kollektif şirket ortaklarına ilişkin hükümlere atıf yapıldığı dikkate alındığında</w:t>
            </w:r>
            <w:r w:rsidR="00155604" w:rsidRPr="00A23740">
              <w:rPr>
                <w:bCs/>
                <w:szCs w:val="24"/>
              </w:rPr>
              <w:t>,</w:t>
            </w:r>
            <w:r w:rsidRPr="00A23740">
              <w:rPr>
                <w:bCs/>
                <w:szCs w:val="24"/>
              </w:rPr>
              <w:t xml:space="preserve"> (</w:t>
            </w:r>
            <w:r w:rsidR="00FB2D82" w:rsidRPr="002D6869">
              <w:rPr>
                <w:szCs w:val="24"/>
              </w:rPr>
              <w:t>6102 sayılı Kanunun</w:t>
            </w:r>
            <w:r w:rsidR="00FB2D82" w:rsidRPr="002D6869">
              <w:rPr>
                <w:bCs/>
                <w:szCs w:val="24"/>
              </w:rPr>
              <w:t xml:space="preserve"> </w:t>
            </w:r>
            <w:r w:rsidR="00FB2D82" w:rsidRPr="00A23740">
              <w:rPr>
                <w:bCs/>
                <w:szCs w:val="24"/>
              </w:rPr>
              <w:t xml:space="preserve">304 ve 305 </w:t>
            </w:r>
            <w:r w:rsidR="00FB2D82" w:rsidRPr="002D6869">
              <w:rPr>
                <w:szCs w:val="24"/>
              </w:rPr>
              <w:t>inci maddeleri</w:t>
            </w:r>
            <w:r w:rsidRPr="00A23740">
              <w:rPr>
                <w:bCs/>
                <w:szCs w:val="24"/>
              </w:rPr>
              <w:t>), değişiklik</w:t>
            </w:r>
            <w:r w:rsidR="001020DE" w:rsidRPr="002D6869">
              <w:rPr>
                <w:bCs/>
              </w:rPr>
              <w:t>,</w:t>
            </w:r>
            <w:r w:rsidR="00E04EE4" w:rsidRPr="00A23740">
              <w:rPr>
                <w:rStyle w:val="YELChar"/>
              </w:rPr>
              <w:t xml:space="preserve"> </w:t>
            </w:r>
            <w:r w:rsidR="00E53E4E" w:rsidRPr="002D6869">
              <w:rPr>
                <w:szCs w:val="24"/>
              </w:rPr>
              <w:t>6102 sayılı Kanunla</w:t>
            </w:r>
            <w:r w:rsidR="00E53E4E" w:rsidRPr="00A23740">
              <w:rPr>
                <w:rStyle w:val="YELChar"/>
              </w:rPr>
              <w:t xml:space="preserve"> </w:t>
            </w:r>
            <w:r w:rsidRPr="00A23740">
              <w:rPr>
                <w:bCs/>
                <w:szCs w:val="24"/>
              </w:rPr>
              <w:t xml:space="preserve">uyum sağlamak amacına </w:t>
            </w:r>
            <w:r w:rsidRPr="002D6869">
              <w:rPr>
                <w:bCs/>
                <w:szCs w:val="24"/>
              </w:rPr>
              <w:t>yönelik</w:t>
            </w:r>
            <w:r w:rsidR="001020DE" w:rsidRPr="002D6869">
              <w:rPr>
                <w:bCs/>
              </w:rPr>
              <w:t>tir.</w:t>
            </w:r>
            <w:r w:rsidRPr="00A23740">
              <w:rPr>
                <w:bCs/>
                <w:szCs w:val="24"/>
              </w:rPr>
              <w:t xml:space="preserve"> </w:t>
            </w:r>
          </w:p>
          <w:p w:rsidR="00706E87" w:rsidRPr="00A23740" w:rsidRDefault="00706E87" w:rsidP="00B43502">
            <w:pPr>
              <w:ind w:firstLine="567"/>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szCs w:val="24"/>
              </w:rPr>
            </w:pPr>
            <w:r w:rsidRPr="00A23740">
              <w:rPr>
                <w:szCs w:val="24"/>
              </w:rPr>
              <w:t>Adi ve rehinli alacakların sırası</w:t>
            </w:r>
            <w:r w:rsidRPr="00A23740">
              <w:rPr>
                <w:b/>
                <w:strike/>
                <w:color w:val="FF0000"/>
                <w:szCs w:val="24"/>
              </w:rPr>
              <w:t>:</w:t>
            </w:r>
          </w:p>
          <w:p w:rsidR="00AA5C8C" w:rsidRPr="00A23740" w:rsidRDefault="00AA5C8C" w:rsidP="009431FF">
            <w:pPr>
              <w:widowControl w:val="0"/>
              <w:tabs>
                <w:tab w:val="left" w:pos="567"/>
              </w:tabs>
              <w:rPr>
                <w:b/>
                <w:strike/>
                <w:color w:val="FF0000"/>
                <w:szCs w:val="24"/>
              </w:rPr>
            </w:pPr>
            <w:r w:rsidRPr="00A23740">
              <w:rPr>
                <w:rStyle w:val="KIRMIZIChar"/>
                <w:rFonts w:eastAsia="Calibri"/>
              </w:rPr>
              <w:t>Madde 206 – (1) (Değişik birinci fıkra: 28/2/2018-7101/5 md.)</w:t>
            </w:r>
            <w:r w:rsidRPr="00A23740">
              <w:rPr>
                <w:szCs w:val="24"/>
              </w:rPr>
              <w:t xml:space="preserve"> </w:t>
            </w:r>
            <w:r w:rsidRPr="00A23740">
              <w:rPr>
                <w:rStyle w:val="KIRMIZIChar"/>
                <w:rFonts w:eastAsia="Calibri"/>
              </w:rPr>
              <w:t>Alacakları rehinli olan a</w:t>
            </w:r>
            <w:r w:rsidRPr="00A23740">
              <w:rPr>
                <w:szCs w:val="24"/>
              </w:rPr>
              <w:t>lacaklıların satış tutarı üzerinde rüçhan hakları vardır. Gümrük resmi ve akar vergisi gibi Devlet tekliflerinden muayyen eşya ve akardan alınması lazım gelen resim ve vergi, rehinli alacaklardan sonra gelir.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F62254">
              <w:rPr>
                <w:rStyle w:val="KIRMIZIChar"/>
                <w:rFonts w:eastAsia="Calibri"/>
              </w:rPr>
              <w:t>(2)</w:t>
            </w:r>
            <w:r w:rsidRPr="00A23740">
              <w:rPr>
                <w:szCs w:val="24"/>
              </w:rPr>
              <w:t xml:space="preserve"> Bir alacak birden </w:t>
            </w:r>
            <w:r w:rsidRPr="00A23740">
              <w:rPr>
                <w:b/>
                <w:strike/>
                <w:color w:val="FF0000"/>
                <w:szCs w:val="24"/>
              </w:rPr>
              <w:t>ziyade</w:t>
            </w:r>
            <w:r w:rsidRPr="00A23740">
              <w:rPr>
                <w:szCs w:val="24"/>
              </w:rPr>
              <w:t xml:space="preserve"> rehinle temin edilmiş </w:t>
            </w:r>
            <w:r w:rsidRPr="00A23740">
              <w:rPr>
                <w:b/>
                <w:strike/>
                <w:color w:val="FF0000"/>
                <w:szCs w:val="24"/>
              </w:rPr>
              <w:t>ise</w:t>
            </w:r>
            <w:r w:rsidRPr="00A23740">
              <w:rPr>
                <w:szCs w:val="24"/>
              </w:rPr>
              <w:t xml:space="preserve"> satış </w:t>
            </w:r>
            <w:r w:rsidRPr="00A23740">
              <w:rPr>
                <w:b/>
                <w:strike/>
                <w:color w:val="FF0000"/>
                <w:szCs w:val="24"/>
              </w:rPr>
              <w:t>tutarı</w:t>
            </w:r>
            <w:r w:rsidRPr="00A23740">
              <w:rPr>
                <w:szCs w:val="24"/>
              </w:rPr>
              <w:t xml:space="preserve"> </w:t>
            </w:r>
            <w:r w:rsidRPr="00A23740">
              <w:rPr>
                <w:b/>
                <w:strike/>
                <w:color w:val="FF0000"/>
                <w:szCs w:val="24"/>
              </w:rPr>
              <w:t>borca mahsup edilirken her rehinin</w:t>
            </w:r>
            <w:r w:rsidRPr="00A23740">
              <w:rPr>
                <w:szCs w:val="24"/>
              </w:rPr>
              <w:t xml:space="preserve"> </w:t>
            </w:r>
            <w:r w:rsidRPr="00A23740">
              <w:rPr>
                <w:b/>
                <w:strike/>
                <w:color w:val="FF0000"/>
                <w:szCs w:val="24"/>
              </w:rPr>
              <w:t>idare ve satış masrafı ve bu rehinlerden bir kısmı ile temin edilmiş başka alacaklar da varsa bunlar nazara alınıp paylaştırmada lazım gelen tenasübe riayet edilir.</w:t>
            </w:r>
          </w:p>
          <w:p w:rsidR="00AA5C8C" w:rsidRPr="00A23740" w:rsidRDefault="00AA5C8C" w:rsidP="009431FF">
            <w:pPr>
              <w:widowControl w:val="0"/>
              <w:tabs>
                <w:tab w:val="left" w:pos="567"/>
              </w:tabs>
              <w:rPr>
                <w:szCs w:val="24"/>
              </w:rPr>
            </w:pPr>
          </w:p>
          <w:p w:rsidR="0080060A" w:rsidRPr="00A23740" w:rsidRDefault="0080060A" w:rsidP="009431FF">
            <w:pPr>
              <w:widowControl w:val="0"/>
              <w:tabs>
                <w:tab w:val="left" w:pos="567"/>
              </w:tabs>
              <w:rPr>
                <w:szCs w:val="24"/>
              </w:rPr>
            </w:pPr>
          </w:p>
          <w:p w:rsidR="00AA5C8C" w:rsidRPr="00A23740" w:rsidRDefault="00AA5C8C" w:rsidP="009431FF">
            <w:pPr>
              <w:widowControl w:val="0"/>
              <w:tabs>
                <w:tab w:val="left" w:pos="567"/>
              </w:tabs>
              <w:rPr>
                <w:b/>
                <w:strike/>
                <w:color w:val="FF0000"/>
                <w:szCs w:val="24"/>
              </w:rPr>
            </w:pPr>
            <w:r w:rsidRPr="00A23740">
              <w:rPr>
                <w:rStyle w:val="KIRMIZIChar"/>
                <w:rFonts w:eastAsia="Calibri"/>
              </w:rPr>
              <w:t>(3) Alacakları</w:t>
            </w:r>
            <w:r w:rsidRPr="00A23740">
              <w:rPr>
                <w:b/>
                <w:strike/>
                <w:color w:val="FF0000"/>
                <w:szCs w:val="24"/>
              </w:rPr>
              <w:t xml:space="preserve"> taşınmaz rehniyle temin edilmiş olan alacaklıların sırası ve bu teminatın faiz ve eklentisine şümulü Kanunu Medeninin taşınmaz rehnine müteallik hükümlerine göre tayin olunur. (Ek cümle: 29/6/1956 - 6763/42 md.; Mülga cümle: 14/1/2011-6103/41 md.) (…)</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strike/>
                <w:color w:val="FF0000"/>
                <w:szCs w:val="24"/>
              </w:rPr>
              <w:t>(4) (Değişik dördüncü fıkra: 17/7/2003-4949/52 md.)</w:t>
            </w:r>
            <w:r w:rsidRPr="00A23740">
              <w:rPr>
                <w:b/>
                <w:szCs w:val="24"/>
              </w:rPr>
              <w:t xml:space="preserve"> </w:t>
            </w:r>
            <w:r w:rsidRPr="00A23740">
              <w:rPr>
                <w:szCs w:val="24"/>
              </w:rPr>
              <w:t xml:space="preserve">Teminatlı olup da rehinle karşılanmamış olan veya teminatsız bulunan alacaklar masa mallarının satış tutarından, aşağıdaki sıra ile </w:t>
            </w:r>
            <w:r w:rsidRPr="00A23740">
              <w:rPr>
                <w:b/>
                <w:strike/>
                <w:color w:val="FF0000"/>
                <w:szCs w:val="24"/>
              </w:rPr>
              <w:t>verilmek</w:t>
            </w:r>
            <w:r w:rsidRPr="00A23740">
              <w:rPr>
                <w:szCs w:val="24"/>
              </w:rPr>
              <w:t xml:space="preserve"> üzere kaydolunur: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szCs w:val="24"/>
              </w:rPr>
              <w:t>Birinci sıra:</w:t>
            </w:r>
          </w:p>
          <w:p w:rsidR="00AA5C8C" w:rsidRPr="00A23740" w:rsidRDefault="00AA5C8C" w:rsidP="009431FF">
            <w:pPr>
              <w:widowControl w:val="0"/>
              <w:tabs>
                <w:tab w:val="left" w:pos="567"/>
              </w:tabs>
              <w:rPr>
                <w:szCs w:val="24"/>
              </w:rPr>
            </w:pPr>
            <w:r w:rsidRPr="00A23740">
              <w:rPr>
                <w:b/>
                <w:strike/>
                <w:color w:val="FF0000"/>
                <w:szCs w:val="24"/>
              </w:rPr>
              <w:t>A)</w:t>
            </w:r>
            <w:r w:rsidRPr="00A23740">
              <w:rPr>
                <w:szCs w:val="24"/>
              </w:rPr>
              <w:t xml:space="preserve"> İşçilerin, iş ilişkisine dayanan ve  iflâsın açılmasından önceki bir yıl içinde tahakkuk etmiş ihbar ve kıdem tazminatları dahil alacakları ile  iflâs nedeniyle iş ilişkisinin sona ermesi üzerine hak etmiş oldukla</w:t>
            </w:r>
            <w:r w:rsidR="00E45C87" w:rsidRPr="00A23740">
              <w:rPr>
                <w:szCs w:val="24"/>
              </w:rPr>
              <w:t>rı ihbar ve kıdem tazminatları,</w:t>
            </w:r>
          </w:p>
          <w:p w:rsidR="00F62254" w:rsidRDefault="00F62254"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strike/>
                <w:color w:val="FF0000"/>
                <w:szCs w:val="24"/>
              </w:rPr>
              <w:t>B)</w:t>
            </w:r>
            <w:r w:rsidRPr="00A23740">
              <w:rPr>
                <w:szCs w:val="24"/>
              </w:rPr>
              <w:t xml:space="preserve"> İşverenlerin, işçiler için yardım sandıkları veya sair yardım teşkilatı kurulması veya bunların yaşatılması maksadıyla meydana gelmiş ve tüzel kişilik kazanmış bulunan tesislere veya derneklere olan borçları,</w:t>
            </w:r>
          </w:p>
          <w:p w:rsidR="00AA5C8C" w:rsidRPr="00A23740" w:rsidRDefault="00AA5C8C" w:rsidP="009431FF">
            <w:pPr>
              <w:widowControl w:val="0"/>
              <w:tabs>
                <w:tab w:val="left" w:pos="567"/>
              </w:tabs>
              <w:rPr>
                <w:szCs w:val="24"/>
              </w:rPr>
            </w:pPr>
          </w:p>
          <w:p w:rsidR="000E28FE" w:rsidRPr="00A23740" w:rsidRDefault="000E28FE"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strike/>
                <w:color w:val="FF0000"/>
                <w:szCs w:val="24"/>
              </w:rPr>
              <w:t>C)</w:t>
            </w:r>
            <w:r w:rsidRPr="00A23740">
              <w:rPr>
                <w:szCs w:val="24"/>
              </w:rPr>
              <w:t xml:space="preserve"> İflâsın açılmasından önceki son bir yıl içinde tahakkuk etmiş olan ve nakden ifası gereken aile hukukundan doğan her türlü nafaka alacakları.</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szCs w:val="24"/>
              </w:rPr>
              <w:t>İkinci sıra:</w:t>
            </w:r>
          </w:p>
          <w:p w:rsidR="00AA5C8C" w:rsidRPr="00A23740" w:rsidRDefault="00AA5C8C" w:rsidP="009431FF">
            <w:pPr>
              <w:widowControl w:val="0"/>
              <w:tabs>
                <w:tab w:val="left" w:pos="567"/>
              </w:tabs>
              <w:rPr>
                <w:szCs w:val="24"/>
              </w:rPr>
            </w:pPr>
            <w:r w:rsidRPr="00A23740">
              <w:rPr>
                <w:szCs w:val="24"/>
              </w:rPr>
              <w:t>Velâyet ve vesayet nedeniyle malları borçlunun idaresine bırakılan kimselerin bu ilişki nedeniyle doğmuş olan tüm alacakları</w:t>
            </w:r>
            <w:r w:rsidRPr="00A23740">
              <w:rPr>
                <w:rStyle w:val="KIRMIZIChar"/>
                <w:rFonts w:eastAsia="Calibri"/>
              </w:rPr>
              <w:t>;</w:t>
            </w:r>
          </w:p>
          <w:p w:rsidR="00AA5C8C" w:rsidRPr="00A23740" w:rsidRDefault="00AA5C8C" w:rsidP="009431FF">
            <w:pPr>
              <w:widowControl w:val="0"/>
              <w:tabs>
                <w:tab w:val="left" w:pos="567"/>
              </w:tabs>
              <w:rPr>
                <w:szCs w:val="24"/>
              </w:rPr>
            </w:pPr>
            <w:r w:rsidRPr="00A23740">
              <w:rPr>
                <w:b/>
                <w:strike/>
                <w:color w:val="FF0000"/>
                <w:szCs w:val="24"/>
              </w:rPr>
              <w:t>Ancak bu alacaklar,</w:t>
            </w:r>
            <w:r w:rsidRPr="00A23740">
              <w:rPr>
                <w:szCs w:val="24"/>
              </w:rPr>
              <w:t xml:space="preserve">  iflâs, vesayet veya velâyetin devam ettiği </w:t>
            </w:r>
            <w:r w:rsidRPr="00A23740">
              <w:rPr>
                <w:b/>
                <w:strike/>
                <w:color w:val="FF0000"/>
                <w:szCs w:val="24"/>
              </w:rPr>
              <w:t>müddet</w:t>
            </w:r>
            <w:r w:rsidRPr="00A23740">
              <w:rPr>
                <w:szCs w:val="24"/>
              </w:rPr>
              <w:t xml:space="preserve"> yahut bunların bitmesini takip eden yıl içinde açılırsa</w:t>
            </w:r>
            <w:r w:rsidRPr="00A23740">
              <w:rPr>
                <w:b/>
                <w:strike/>
                <w:color w:val="FF0000"/>
                <w:szCs w:val="24"/>
              </w:rPr>
              <w:t xml:space="preserve"> imtiyazlı alacak olarak kabul olunur. Bir davanın veya takibin devam ettiği müddet hesaba katılmaz.</w:t>
            </w:r>
            <w:r w:rsidRPr="00A23740">
              <w:rPr>
                <w:szCs w:val="24"/>
              </w:rPr>
              <w:t xml:space="preserve">   </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szCs w:val="24"/>
              </w:rPr>
              <w:t>Üçüncü sıra:</w:t>
            </w:r>
          </w:p>
          <w:p w:rsidR="00AA5C8C" w:rsidRPr="00A23740" w:rsidRDefault="00AA5C8C" w:rsidP="009431FF">
            <w:pPr>
              <w:widowControl w:val="0"/>
              <w:tabs>
                <w:tab w:val="left" w:pos="567"/>
              </w:tabs>
              <w:rPr>
                <w:szCs w:val="24"/>
              </w:rPr>
            </w:pPr>
            <w:r w:rsidRPr="00A23740">
              <w:rPr>
                <w:szCs w:val="24"/>
              </w:rPr>
              <w:t xml:space="preserve">Özel kanunlarında imtiyazlı olduğu belirtilen alacaklar.  </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szCs w:val="24"/>
              </w:rPr>
              <w:t>Dördüncü sıra:</w:t>
            </w:r>
          </w:p>
          <w:p w:rsidR="00AA5C8C" w:rsidRPr="00A23740" w:rsidRDefault="00AA5C8C" w:rsidP="009431FF">
            <w:pPr>
              <w:widowControl w:val="0"/>
              <w:tabs>
                <w:tab w:val="left" w:pos="567"/>
              </w:tabs>
              <w:rPr>
                <w:szCs w:val="24"/>
              </w:rPr>
            </w:pPr>
            <w:r w:rsidRPr="00A23740">
              <w:rPr>
                <w:szCs w:val="24"/>
              </w:rPr>
              <w:t>İmtiyazlı olmayan diğer bütün alacaklar.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szCs w:val="24"/>
              </w:rPr>
              <w:t xml:space="preserve">(Ek fıkra: 17/7/2003-4949/52 md.) </w:t>
            </w:r>
            <w:r w:rsidRPr="00A23740">
              <w:rPr>
                <w:szCs w:val="24"/>
              </w:rPr>
              <w:t>Bir ve ikinci sıra</w:t>
            </w:r>
            <w:r w:rsidRPr="00A23740">
              <w:rPr>
                <w:rStyle w:val="KIRMIZIChar"/>
                <w:rFonts w:eastAsia="Calibri"/>
              </w:rPr>
              <w:t>daki</w:t>
            </w:r>
            <w:r w:rsidRPr="00A23740">
              <w:rPr>
                <w:szCs w:val="24"/>
              </w:rPr>
              <w:t xml:space="preserve"> </w:t>
            </w:r>
            <w:r w:rsidRPr="00A23740">
              <w:rPr>
                <w:rStyle w:val="KIRMIZIChar"/>
                <w:rFonts w:eastAsia="Calibri"/>
              </w:rPr>
              <w:t>müddetlerin</w:t>
            </w:r>
            <w:r w:rsidRPr="00A23740">
              <w:rPr>
                <w:szCs w:val="24"/>
              </w:rPr>
              <w:t xml:space="preserve"> hesapla</w:t>
            </w:r>
            <w:r w:rsidRPr="00A23740">
              <w:rPr>
                <w:rStyle w:val="KIRMIZIChar"/>
                <w:rFonts w:eastAsia="Calibri"/>
              </w:rPr>
              <w:t>nmasında</w:t>
            </w:r>
            <w:r w:rsidRPr="00A23740">
              <w:rPr>
                <w:szCs w:val="24"/>
              </w:rPr>
              <w:t xml:space="preserve"> aşağıda</w:t>
            </w:r>
            <w:r w:rsidRPr="00A23740">
              <w:rPr>
                <w:rStyle w:val="KIRMIZIChar"/>
                <w:rFonts w:eastAsia="Calibri"/>
              </w:rPr>
              <w:t>ki</w:t>
            </w:r>
            <w:r w:rsidRPr="00A23740">
              <w:rPr>
                <w:szCs w:val="24"/>
              </w:rPr>
              <w:t xml:space="preserve"> süreler </w:t>
            </w:r>
            <w:r w:rsidRPr="00A23740">
              <w:rPr>
                <w:rStyle w:val="KIRMIZIChar"/>
                <w:rFonts w:eastAsia="Calibri"/>
              </w:rPr>
              <w:t>hesaba katılmaz</w:t>
            </w:r>
            <w:r w:rsidRPr="00A23740">
              <w:rPr>
                <w:szCs w:val="24"/>
              </w:rPr>
              <w:t>:</w:t>
            </w:r>
          </w:p>
          <w:p w:rsidR="00AA5C8C" w:rsidRPr="00A23740" w:rsidRDefault="00AA5C8C" w:rsidP="009431FF">
            <w:pPr>
              <w:widowControl w:val="0"/>
              <w:tabs>
                <w:tab w:val="left" w:pos="567"/>
              </w:tabs>
              <w:rPr>
                <w:szCs w:val="24"/>
              </w:rPr>
            </w:pPr>
            <w:r w:rsidRPr="00A23740">
              <w:rPr>
                <w:rStyle w:val="KIRMIZIChar"/>
                <w:rFonts w:eastAsia="Calibri"/>
              </w:rPr>
              <w:t>1.</w:t>
            </w:r>
            <w:r w:rsidRPr="00A23740">
              <w:rPr>
                <w:szCs w:val="24"/>
              </w:rPr>
              <w:t xml:space="preserve"> </w:t>
            </w:r>
            <w:r w:rsidRPr="00A23740">
              <w:rPr>
                <w:rStyle w:val="KIRMIZIChar"/>
                <w:rFonts w:eastAsia="Calibri"/>
              </w:rPr>
              <w:t>İflâsın açılmasından önce</w:t>
            </w:r>
            <w:r w:rsidRPr="00A23740">
              <w:rPr>
                <w:szCs w:val="24"/>
              </w:rPr>
              <w:t xml:space="preserve"> </w:t>
            </w:r>
            <w:r w:rsidRPr="00A23740">
              <w:rPr>
                <w:rStyle w:val="KIRMIZIChar"/>
                <w:rFonts w:eastAsia="Calibri"/>
              </w:rPr>
              <w:t>mühlet de dahil olmak üzere geçirilen konkordato süresi</w:t>
            </w:r>
            <w:r w:rsidRPr="00A23740">
              <w:rPr>
                <w:szCs w:val="24"/>
              </w:rPr>
              <w:t>.</w:t>
            </w:r>
          </w:p>
          <w:p w:rsidR="00AA5C8C" w:rsidRPr="00A23740" w:rsidRDefault="00AA5C8C" w:rsidP="009431FF">
            <w:pPr>
              <w:pStyle w:val="KIRMIZI"/>
              <w:widowControl w:val="0"/>
              <w:rPr>
                <w:lang w:val="tr-TR"/>
              </w:rPr>
            </w:pPr>
            <w:r w:rsidRPr="00A23740">
              <w:rPr>
                <w:lang w:val="tr-TR"/>
              </w:rPr>
              <w:t>2. İflâsın ertelenmesi süresi.</w:t>
            </w:r>
          </w:p>
          <w:p w:rsidR="00AA5C8C" w:rsidRPr="00A23740" w:rsidRDefault="00AA5C8C" w:rsidP="009431FF">
            <w:pPr>
              <w:pStyle w:val="KIRMIZI"/>
              <w:widowControl w:val="0"/>
              <w:rPr>
                <w:lang w:val="tr-TR"/>
              </w:rPr>
            </w:pPr>
          </w:p>
          <w:p w:rsidR="00AA5C8C" w:rsidRPr="00A23740" w:rsidRDefault="00AA5C8C" w:rsidP="009431FF">
            <w:pPr>
              <w:widowControl w:val="0"/>
              <w:tabs>
                <w:tab w:val="left" w:pos="567"/>
              </w:tabs>
              <w:rPr>
                <w:szCs w:val="24"/>
              </w:rPr>
            </w:pPr>
            <w:r w:rsidRPr="00A23740">
              <w:rPr>
                <w:rStyle w:val="KIRMIZIChar"/>
                <w:rFonts w:eastAsia="Calibri"/>
              </w:rPr>
              <w:t>3.</w:t>
            </w:r>
            <w:r w:rsidRPr="00A23740">
              <w:rPr>
                <w:szCs w:val="24"/>
              </w:rPr>
              <w:t xml:space="preserve"> Alacak hakkında açıl</w:t>
            </w:r>
            <w:r w:rsidRPr="00A23740">
              <w:rPr>
                <w:b/>
                <w:strike/>
                <w:color w:val="FF0000"/>
                <w:szCs w:val="24"/>
              </w:rPr>
              <w:t>mış olan</w:t>
            </w:r>
            <w:r w:rsidRPr="00A23740">
              <w:rPr>
                <w:szCs w:val="24"/>
              </w:rPr>
              <w:t xml:space="preserve"> davanın devam ettiği süre.</w:t>
            </w:r>
          </w:p>
          <w:p w:rsidR="0080060A" w:rsidRPr="00A23740" w:rsidRDefault="0080060A" w:rsidP="009431FF">
            <w:pPr>
              <w:widowControl w:val="0"/>
              <w:tabs>
                <w:tab w:val="left" w:pos="567"/>
              </w:tabs>
              <w:rPr>
                <w:rStyle w:val="KIRMIZIChar"/>
                <w:rFonts w:eastAsia="Calibri"/>
              </w:rPr>
            </w:pPr>
          </w:p>
          <w:p w:rsidR="00AA5C8C" w:rsidRPr="00A23740" w:rsidRDefault="00AA5C8C" w:rsidP="009431FF">
            <w:pPr>
              <w:widowControl w:val="0"/>
              <w:tabs>
                <w:tab w:val="left" w:pos="567"/>
              </w:tabs>
              <w:rPr>
                <w:szCs w:val="24"/>
              </w:rPr>
            </w:pPr>
            <w:r w:rsidRPr="00A23740">
              <w:rPr>
                <w:rStyle w:val="KIRMIZIChar"/>
                <w:rFonts w:eastAsia="Calibri"/>
              </w:rPr>
              <w:t>4.</w:t>
            </w:r>
            <w:r w:rsidRPr="00A23740">
              <w:rPr>
                <w:szCs w:val="24"/>
              </w:rPr>
              <w:t xml:space="preserve"> Terekenin iflâs hükümlerine göre tasfiyesinde, ölüm tarihinden tasfiye kararı verilmesine kadar geçen süre.</w:t>
            </w:r>
          </w:p>
          <w:p w:rsidR="00AA5C8C" w:rsidRPr="00A23740" w:rsidRDefault="00AA5C8C" w:rsidP="009431FF">
            <w:pPr>
              <w:widowControl w:val="0"/>
              <w:tabs>
                <w:tab w:val="left" w:pos="567"/>
              </w:tabs>
              <w:rPr>
                <w:szCs w:val="24"/>
              </w:rPr>
            </w:pPr>
          </w:p>
          <w:p w:rsidR="0080060A" w:rsidRPr="00A23740" w:rsidRDefault="00AA5C8C" w:rsidP="00B43502">
            <w:pPr>
              <w:pStyle w:val="KIRMIZI"/>
              <w:widowControl w:val="0"/>
              <w:rPr>
                <w:lang w:val="tr-TR"/>
              </w:rPr>
            </w:pPr>
            <w:r w:rsidRPr="00A23740">
              <w:rPr>
                <w:lang w:val="tr-TR"/>
              </w:rPr>
              <w:t>(Ek fıkra: 14/1/2011-6103/41 md.) Gemilerin paraya çevrilmesi hâlinde yapılacak sıra cetveli, bayrağına ve sicile kayıtlı olup olmadığına bakılmaksızın bütün gemiler için Türk Ticaret Kanununun 1389 ilâ 1397 nci maddesi hükümlerine göre düzenlenir.</w:t>
            </w:r>
          </w:p>
        </w:tc>
        <w:tc>
          <w:tcPr>
            <w:tcW w:w="2500" w:type="pct"/>
          </w:tcPr>
          <w:p w:rsidR="00AA5C8C" w:rsidRPr="00A23740" w:rsidRDefault="00AA5C8C" w:rsidP="009431FF">
            <w:pPr>
              <w:widowControl w:val="0"/>
              <w:tabs>
                <w:tab w:val="left" w:pos="567"/>
              </w:tabs>
              <w:rPr>
                <w:b/>
                <w:szCs w:val="24"/>
              </w:rPr>
            </w:pPr>
            <w:r w:rsidRPr="00A23740">
              <w:rPr>
                <w:b/>
                <w:szCs w:val="24"/>
              </w:rPr>
              <w:t>Adi ve rehinli alacakların sırası</w:t>
            </w:r>
          </w:p>
          <w:p w:rsidR="00AA5C8C" w:rsidRPr="00A23740" w:rsidRDefault="00AA5C8C" w:rsidP="009431FF">
            <w:pPr>
              <w:widowControl w:val="0"/>
              <w:tabs>
                <w:tab w:val="left" w:pos="567"/>
              </w:tabs>
              <w:rPr>
                <w:szCs w:val="24"/>
              </w:rPr>
            </w:pPr>
            <w:r w:rsidRPr="00A23740">
              <w:rPr>
                <w:rStyle w:val="MaviChar"/>
                <w:lang w:val="tr-TR"/>
              </w:rPr>
              <w:t xml:space="preserve">MADDE </w:t>
            </w:r>
            <w:r w:rsidR="008276D4" w:rsidRPr="00A23740">
              <w:rPr>
                <w:rStyle w:val="MAVChar"/>
                <w:rFonts w:eastAsia="Calibri"/>
                <w:u w:val="none"/>
              </w:rPr>
              <w:t>317</w:t>
            </w:r>
            <w:r w:rsidRPr="00A23740">
              <w:rPr>
                <w:rStyle w:val="MAVChar"/>
                <w:rFonts w:eastAsia="Calibri"/>
                <w:u w:val="none"/>
              </w:rPr>
              <w:t>- (</w:t>
            </w:r>
            <w:r w:rsidRPr="00A23740">
              <w:rPr>
                <w:b/>
                <w:color w:val="0000FF"/>
                <w:szCs w:val="24"/>
              </w:rPr>
              <w:t>1)</w:t>
            </w:r>
            <w:r w:rsidRPr="00A23740">
              <w:rPr>
                <w:rStyle w:val="Stil2Char"/>
                <w:rFonts w:eastAsia="Calibri"/>
                <w:u w:val="none"/>
              </w:rPr>
              <w:t xml:space="preserve"> </w:t>
            </w:r>
            <w:r w:rsidRPr="00A23740">
              <w:rPr>
                <w:rStyle w:val="Balk1Char"/>
                <w:rFonts w:eastAsia="Calibri"/>
              </w:rPr>
              <w:t>Rehinli</w:t>
            </w:r>
            <w:r w:rsidRPr="00A23740">
              <w:rPr>
                <w:szCs w:val="24"/>
              </w:rPr>
              <w:t xml:space="preserve"> alacakların satış tutarı üzerinde rüçhan hakkı vardır.</w:t>
            </w:r>
            <w:r w:rsidRPr="00A23740">
              <w:rPr>
                <w:rStyle w:val="Stil2Char"/>
                <w:rFonts w:eastAsia="Calibri"/>
                <w:u w:val="none"/>
              </w:rPr>
              <w:t xml:space="preserve"> </w:t>
            </w:r>
            <w:r w:rsidRPr="00A23740">
              <w:rPr>
                <w:rStyle w:val="MaviChar"/>
              </w:rPr>
              <w:t>Rehinli malın satış bedelinden</w:t>
            </w:r>
            <w:r w:rsidR="008C2E32" w:rsidRPr="00A23740">
              <w:rPr>
                <w:rStyle w:val="MaviChar"/>
                <w:lang w:val="tr-TR"/>
              </w:rPr>
              <w:t xml:space="preserve"> </w:t>
            </w:r>
            <w:r w:rsidR="008C2E32" w:rsidRPr="002D6869">
              <w:rPr>
                <w:rStyle w:val="MaviChar"/>
                <w:lang w:val="tr-TR"/>
              </w:rPr>
              <w:t>önce</w:t>
            </w:r>
            <w:r w:rsidRPr="002D6869">
              <w:rPr>
                <w:rStyle w:val="MaviChar"/>
                <w:lang w:val="tr-TR"/>
              </w:rPr>
              <w:t xml:space="preserve"> </w:t>
            </w:r>
            <w:r w:rsidRPr="00A23740">
              <w:rPr>
                <w:rStyle w:val="MaviChar"/>
              </w:rPr>
              <w:t xml:space="preserve">rehnin muhafazası ve paraya çevrilmesi </w:t>
            </w:r>
            <w:r w:rsidRPr="00A23740">
              <w:rPr>
                <w:rStyle w:val="MaviChar"/>
                <w:lang w:val="tr-TR"/>
              </w:rPr>
              <w:t>giderleri</w:t>
            </w:r>
            <w:r w:rsidRPr="00A23740">
              <w:rPr>
                <w:rStyle w:val="MaviChar"/>
              </w:rPr>
              <w:t xml:space="preserve"> karşılanır.</w:t>
            </w:r>
            <w:r w:rsidRPr="00A23740">
              <w:rPr>
                <w:rStyle w:val="YELChar"/>
              </w:rPr>
              <w:t xml:space="preserve"> </w:t>
            </w:r>
            <w:r w:rsidRPr="00A23740">
              <w:rPr>
                <w:szCs w:val="24"/>
              </w:rPr>
              <w:t>Gümrük</w:t>
            </w:r>
            <w:r w:rsidRPr="00A23740">
              <w:rPr>
                <w:rStyle w:val="Stil2Char"/>
                <w:rFonts w:eastAsia="Calibri"/>
                <w:u w:val="none"/>
              </w:rPr>
              <w:t xml:space="preserve"> </w:t>
            </w:r>
            <w:r w:rsidRPr="00A23740">
              <w:rPr>
                <w:szCs w:val="24"/>
              </w:rPr>
              <w:t>ve</w:t>
            </w:r>
            <w:r w:rsidRPr="00A23740">
              <w:rPr>
                <w:rStyle w:val="Stil2Char"/>
                <w:rFonts w:eastAsia="Calibri"/>
                <w:u w:val="none"/>
              </w:rPr>
              <w:t xml:space="preserve"> emlak vergisi ile motorlu taşıtlar vergisi gibi eşya ve taşınmazın aynından doğan kamu alacakları</w:t>
            </w:r>
            <w:r w:rsidR="001020DE" w:rsidRPr="002D6869">
              <w:rPr>
                <w:rStyle w:val="Stil2Char"/>
                <w:rFonts w:eastAsia="Calibri"/>
                <w:u w:val="none"/>
              </w:rPr>
              <w:t>,</w:t>
            </w:r>
            <w:r w:rsidRPr="00A23740">
              <w:rPr>
                <w:rStyle w:val="Stil2Char"/>
                <w:rFonts w:eastAsia="Calibri"/>
                <w:u w:val="none"/>
              </w:rPr>
              <w:t xml:space="preserve"> </w:t>
            </w:r>
            <w:r w:rsidRPr="00A23740">
              <w:rPr>
                <w:szCs w:val="24"/>
              </w:rPr>
              <w:t xml:space="preserve">rehinli alacaklardan sonra </w:t>
            </w:r>
            <w:r w:rsidR="008C2E32" w:rsidRPr="002D6869">
              <w:rPr>
                <w:rStyle w:val="Stil2Char"/>
                <w:rFonts w:eastAsia="Calibri"/>
                <w:u w:val="none"/>
              </w:rPr>
              <w:t>ödenir.</w:t>
            </w:r>
          </w:p>
          <w:p w:rsidR="00AA5C8C" w:rsidRPr="00A23740" w:rsidRDefault="00AA5C8C" w:rsidP="009431FF">
            <w:pPr>
              <w:widowControl w:val="0"/>
              <w:tabs>
                <w:tab w:val="left" w:pos="567"/>
              </w:tabs>
              <w:rPr>
                <w:rStyle w:val="Stil2Char"/>
                <w:rFonts w:eastAsia="Calibri"/>
                <w:color w:val="FF0000"/>
                <w:u w:val="none"/>
              </w:rPr>
            </w:pPr>
          </w:p>
          <w:p w:rsidR="00AA5C8C" w:rsidRPr="00A23740" w:rsidRDefault="00AA5C8C" w:rsidP="009431FF">
            <w:pPr>
              <w:widowControl w:val="0"/>
              <w:tabs>
                <w:tab w:val="left" w:pos="567"/>
              </w:tabs>
              <w:rPr>
                <w:rStyle w:val="Stil2Char"/>
                <w:rFonts w:eastAsia="Calibri"/>
                <w:u w:val="none"/>
              </w:rPr>
            </w:pPr>
            <w:r w:rsidRPr="00A23740">
              <w:rPr>
                <w:rStyle w:val="Stil2Char"/>
                <w:rFonts w:eastAsia="Calibri"/>
                <w:u w:val="none"/>
                <w:lang w:eastAsia="en-US"/>
              </w:rPr>
              <w:t>(2)</w:t>
            </w:r>
            <w:r w:rsidRPr="00A23740">
              <w:t xml:space="preserve"> Bir alacak birden </w:t>
            </w:r>
            <w:r w:rsidRPr="00A23740">
              <w:rPr>
                <w:rStyle w:val="Stil2Char"/>
                <w:rFonts w:eastAsia="Calibri"/>
                <w:u w:val="none"/>
              </w:rPr>
              <w:t>fazla</w:t>
            </w:r>
            <w:r w:rsidRPr="00A23740">
              <w:t xml:space="preserve"> rehinle temin edilmiş</w:t>
            </w:r>
            <w:r w:rsidRPr="00A23740">
              <w:rPr>
                <w:rStyle w:val="Stil2Char"/>
                <w:rFonts w:eastAsia="Calibri"/>
                <w:u w:val="none"/>
              </w:rPr>
              <w:t xml:space="preserve">se, </w:t>
            </w:r>
            <w:r w:rsidRPr="00A23740">
              <w:t xml:space="preserve">satış </w:t>
            </w:r>
            <w:r w:rsidRPr="00A23740">
              <w:rPr>
                <w:rStyle w:val="Stil2Char"/>
                <w:rFonts w:eastAsia="Calibri"/>
                <w:u w:val="none"/>
              </w:rPr>
              <w:t>bedeli</w:t>
            </w:r>
            <w:r w:rsidRPr="00A23740">
              <w:t xml:space="preserve"> </w:t>
            </w:r>
            <w:r w:rsidRPr="00A23740">
              <w:rPr>
                <w:rStyle w:val="Stil2Char"/>
                <w:rFonts w:eastAsia="Calibri"/>
                <w:u w:val="none"/>
              </w:rPr>
              <w:t>alacağın tutarına oranlanarak borcun ödenmesine tahsis edilir. Ancak</w:t>
            </w:r>
            <w:r w:rsidR="00002464" w:rsidRPr="00A23740">
              <w:rPr>
                <w:rStyle w:val="Stil2Char"/>
                <w:rFonts w:eastAsia="Calibri"/>
                <w:u w:val="none"/>
                <w:lang w:val="tr-TR"/>
              </w:rPr>
              <w:t xml:space="preserve"> </w:t>
            </w:r>
            <w:r w:rsidR="00002464" w:rsidRPr="002D6869">
              <w:rPr>
                <w:rStyle w:val="Stil2Char"/>
                <w:rFonts w:eastAsia="Calibri"/>
                <w:u w:val="none"/>
              </w:rPr>
              <w:t>aynı mallar üzerinde</w:t>
            </w:r>
            <w:r w:rsidRPr="00A23740">
              <w:rPr>
                <w:rStyle w:val="Stil2Char"/>
                <w:rFonts w:eastAsia="Calibri"/>
                <w:u w:val="none"/>
              </w:rPr>
              <w:t xml:space="preserve"> sonraki derece</w:t>
            </w:r>
            <w:r w:rsidR="00F62254">
              <w:rPr>
                <w:rStyle w:val="Stil2Char"/>
                <w:rFonts w:eastAsia="Calibri"/>
                <w:u w:val="none"/>
              </w:rPr>
              <w:t xml:space="preserve">lerde başka alacaklar da varsa, </w:t>
            </w:r>
            <w:r w:rsidRPr="00A23740">
              <w:rPr>
                <w:rStyle w:val="Stil2Char"/>
                <w:rFonts w:eastAsia="Calibri"/>
                <w:u w:val="none"/>
              </w:rPr>
              <w:t xml:space="preserve">rehin derecesi hakkındaki esaslara </w:t>
            </w:r>
            <w:r w:rsidR="00002464" w:rsidRPr="002D6869">
              <w:rPr>
                <w:rStyle w:val="Stil2Char"/>
                <w:rFonts w:eastAsia="Calibri"/>
                <w:u w:val="none"/>
              </w:rPr>
              <w:t>uyulmak</w:t>
            </w:r>
            <w:r w:rsidR="00002464" w:rsidRPr="00A23740">
              <w:rPr>
                <w:rStyle w:val="Stil2Char"/>
                <w:rFonts w:eastAsia="Calibri"/>
                <w:u w:val="none"/>
                <w:lang w:val="tr-TR"/>
              </w:rPr>
              <w:t xml:space="preserve"> </w:t>
            </w:r>
            <w:r w:rsidRPr="00A23740">
              <w:rPr>
                <w:rStyle w:val="Stil2Char"/>
                <w:rFonts w:eastAsia="Calibri"/>
                <w:u w:val="none"/>
              </w:rPr>
              <w:t xml:space="preserve">kaydıyla, diğer derecelerdeki alacaklıların en yüksek tutarla tatmini imkânı da göz önünde </w:t>
            </w:r>
            <w:r w:rsidR="00002464" w:rsidRPr="002D6869">
              <w:rPr>
                <w:rStyle w:val="Stil2Char"/>
                <w:rFonts w:eastAsia="Calibri"/>
                <w:u w:val="none"/>
              </w:rPr>
              <w:t>bulundurularak ödeme yapılır</w:t>
            </w:r>
            <w:r w:rsidRPr="00A23740">
              <w:rPr>
                <w:rStyle w:val="Stil2Char"/>
                <w:rFonts w:eastAsia="Calibri"/>
                <w:u w:val="none"/>
              </w:rPr>
              <w:t>.</w:t>
            </w:r>
          </w:p>
          <w:p w:rsidR="00AA5C8C" w:rsidRPr="00A23740" w:rsidRDefault="00AA5C8C" w:rsidP="009431FF">
            <w:pPr>
              <w:pStyle w:val="Stil2"/>
              <w:widowControl w:val="0"/>
              <w:rPr>
                <w:u w:val="none"/>
                <w:lang w:val="tr-TR"/>
              </w:rPr>
            </w:pPr>
          </w:p>
          <w:p w:rsidR="00AA5C8C" w:rsidRPr="00A23740" w:rsidRDefault="00AA5C8C" w:rsidP="009431FF">
            <w:pPr>
              <w:widowControl w:val="0"/>
              <w:tabs>
                <w:tab w:val="left" w:pos="567"/>
              </w:tabs>
              <w:rPr>
                <w:szCs w:val="24"/>
              </w:rPr>
            </w:pPr>
            <w:r w:rsidRPr="00A23740">
              <w:rPr>
                <w:b/>
                <w:color w:val="0000FF"/>
                <w:szCs w:val="24"/>
              </w:rPr>
              <w:t>(3) Rehinli alacakların kendi aralarındaki sırası ile alacak ve rehnin konusu bakımından kapsamı</w:t>
            </w:r>
            <w:r w:rsidR="00002464" w:rsidRPr="00A23740">
              <w:rPr>
                <w:rStyle w:val="YELChar"/>
              </w:rPr>
              <w:t>,</w:t>
            </w:r>
            <w:r w:rsidRPr="00A23740">
              <w:rPr>
                <w:b/>
                <w:color w:val="0000FF"/>
                <w:szCs w:val="24"/>
              </w:rPr>
              <w:t xml:space="preserve"> Türk Medeni Kanunu ve ilgili diğer kanun hükümlerine göre belirlenir.</w:t>
            </w:r>
            <w:r w:rsidRPr="00A23740">
              <w:rPr>
                <w:szCs w:val="24"/>
              </w:rPr>
              <w:t xml:space="preserve"> </w:t>
            </w:r>
          </w:p>
          <w:p w:rsidR="00AA5C8C" w:rsidRPr="00A23740" w:rsidRDefault="00AA5C8C" w:rsidP="009431FF">
            <w:pPr>
              <w:widowControl w:val="0"/>
              <w:tabs>
                <w:tab w:val="left" w:pos="567"/>
              </w:tabs>
              <w:rPr>
                <w:szCs w:val="24"/>
              </w:rPr>
            </w:pPr>
          </w:p>
          <w:p w:rsidR="0080060A" w:rsidRPr="00A23740" w:rsidRDefault="0080060A" w:rsidP="009431FF">
            <w:pPr>
              <w:widowControl w:val="0"/>
              <w:tabs>
                <w:tab w:val="left" w:pos="567"/>
              </w:tabs>
              <w:rPr>
                <w:szCs w:val="24"/>
              </w:rPr>
            </w:pPr>
          </w:p>
          <w:p w:rsidR="0080060A" w:rsidRPr="00A23740" w:rsidRDefault="0080060A"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(4)</w:t>
            </w:r>
            <w:r w:rsidRPr="00A23740">
              <w:rPr>
                <w:szCs w:val="24"/>
              </w:rPr>
              <w:t xml:space="preserve"> Teminatlı olup da rehinle karşılanmamış olan veya teminatsız bulunan alacaklar</w:t>
            </w:r>
            <w:r w:rsidRPr="00A23740">
              <w:rPr>
                <w:b/>
                <w:color w:val="0000FF"/>
                <w:szCs w:val="24"/>
              </w:rPr>
              <w:t xml:space="preserve">, </w:t>
            </w:r>
            <w:r w:rsidRPr="00A23740">
              <w:rPr>
                <w:szCs w:val="24"/>
              </w:rPr>
              <w:t>masa mallarının satış tutarından,</w:t>
            </w:r>
            <w:r w:rsidR="00D240C9" w:rsidRPr="00A23740">
              <w:rPr>
                <w:szCs w:val="24"/>
              </w:rPr>
              <w:t xml:space="preserve"> </w:t>
            </w:r>
            <w:r w:rsidR="00D240C9" w:rsidRPr="002D6869">
              <w:rPr>
                <w:rStyle w:val="MaviChar"/>
              </w:rPr>
              <w:t>365 inci</w:t>
            </w:r>
            <w:r w:rsidRPr="00A23740">
              <w:rPr>
                <w:rStyle w:val="MaviChar"/>
              </w:rPr>
              <w:t xml:space="preserve"> madde hükmü saklı kalmak üzere</w:t>
            </w:r>
            <w:r w:rsidRPr="00A23740">
              <w:rPr>
                <w:szCs w:val="24"/>
              </w:rPr>
              <w:t xml:space="preserve"> aşağıdaki sıra ile </w:t>
            </w:r>
            <w:r w:rsidRPr="00A23740">
              <w:rPr>
                <w:b/>
                <w:color w:val="0000FF"/>
                <w:szCs w:val="24"/>
              </w:rPr>
              <w:t>ödenmek</w:t>
            </w:r>
            <w:r w:rsidRPr="00A23740">
              <w:rPr>
                <w:szCs w:val="24"/>
              </w:rPr>
              <w:t xml:space="preserve"> üzere kaydolunur: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a)</w:t>
            </w:r>
            <w:r w:rsidRPr="00A23740">
              <w:rPr>
                <w:szCs w:val="24"/>
              </w:rPr>
              <w:t xml:space="preserve"> Birinci sıra:</w:t>
            </w:r>
          </w:p>
          <w:p w:rsidR="00AA5C8C" w:rsidRPr="00A23740" w:rsidRDefault="00AA5C8C" w:rsidP="009431FF">
            <w:pPr>
              <w:widowControl w:val="0"/>
              <w:tabs>
                <w:tab w:val="left" w:pos="567"/>
              </w:tabs>
              <w:rPr>
                <w:szCs w:val="24"/>
              </w:rPr>
            </w:pPr>
            <w:r w:rsidRPr="00A23740">
              <w:rPr>
                <w:b/>
                <w:color w:val="0000FF"/>
                <w:szCs w:val="24"/>
              </w:rPr>
              <w:t xml:space="preserve">1) </w:t>
            </w:r>
            <w:r w:rsidRPr="00A23740">
              <w:rPr>
                <w:szCs w:val="24"/>
              </w:rPr>
              <w:t>İşçilerin, iş ilişkisine dayanan ve  ifl</w:t>
            </w:r>
            <w:r w:rsidR="00656C77" w:rsidRPr="00A23740">
              <w:rPr>
                <w:szCs w:val="24"/>
              </w:rPr>
              <w:t>a</w:t>
            </w:r>
            <w:r w:rsidRPr="00A23740">
              <w:rPr>
                <w:szCs w:val="24"/>
              </w:rPr>
              <w:t>sın açılmasından önceki bir yıl içinde tahakkuk etmiş ihbar ve kıdem tazminatları dahil alacakları ile  ifl</w:t>
            </w:r>
            <w:r w:rsidR="00656C77" w:rsidRPr="00A23740">
              <w:rPr>
                <w:szCs w:val="24"/>
              </w:rPr>
              <w:t>a</w:t>
            </w:r>
            <w:r w:rsidRPr="00A23740">
              <w:rPr>
                <w:szCs w:val="24"/>
              </w:rPr>
              <w:t>s nedeniyle iş ilişkisinin sona ermesi üzerine hak etmiş oldukları ihbar ve kıdem tazminatları,</w:t>
            </w:r>
          </w:p>
          <w:p w:rsidR="00F62254" w:rsidRPr="00A23740" w:rsidRDefault="00F62254"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2)</w:t>
            </w:r>
            <w:r w:rsidRPr="00A23740">
              <w:rPr>
                <w:szCs w:val="24"/>
              </w:rPr>
              <w:t xml:space="preserve"> İşverenlerin, işçiler için yardım sandıkları veya </w:t>
            </w:r>
            <w:r w:rsidR="00951562" w:rsidRPr="002D6869">
              <w:rPr>
                <w:rStyle w:val="MaviChar"/>
              </w:rPr>
              <w:t>benzeri</w:t>
            </w:r>
            <w:r w:rsidR="00002464" w:rsidRPr="002D6869">
              <w:rPr>
                <w:rStyle w:val="MaviChar"/>
              </w:rPr>
              <w:t xml:space="preserve"> </w:t>
            </w:r>
            <w:r w:rsidRPr="00A23740">
              <w:rPr>
                <w:szCs w:val="24"/>
              </w:rPr>
              <w:t xml:space="preserve">yardım teşkilatı kurulması </w:t>
            </w:r>
            <w:r w:rsidR="00951562" w:rsidRPr="002D6869">
              <w:rPr>
                <w:b/>
                <w:color w:val="0000FF"/>
              </w:rPr>
              <w:t>ya da</w:t>
            </w:r>
            <w:r w:rsidR="00951562" w:rsidRPr="00A23740">
              <w:rPr>
                <w:szCs w:val="24"/>
              </w:rPr>
              <w:t xml:space="preserve"> </w:t>
            </w:r>
            <w:r w:rsidRPr="00A23740">
              <w:rPr>
                <w:szCs w:val="24"/>
              </w:rPr>
              <w:t xml:space="preserve">bunların yaşatılması </w:t>
            </w:r>
            <w:r w:rsidR="00002464" w:rsidRPr="002D6869">
              <w:rPr>
                <w:rStyle w:val="MaviChar"/>
              </w:rPr>
              <w:t xml:space="preserve">amacıyla </w:t>
            </w:r>
            <w:r w:rsidRPr="00A23740">
              <w:rPr>
                <w:szCs w:val="24"/>
              </w:rPr>
              <w:t xml:space="preserve">meydana gelmiş ve tüzel kişilik kazanmış bulunan </w:t>
            </w:r>
            <w:r w:rsidR="00951562" w:rsidRPr="00A23740">
              <w:rPr>
                <w:szCs w:val="24"/>
              </w:rPr>
              <w:t xml:space="preserve">tesislere </w:t>
            </w:r>
            <w:r w:rsidR="00951562" w:rsidRPr="002D6869">
              <w:rPr>
                <w:rStyle w:val="MaviChar"/>
              </w:rPr>
              <w:t>yahut</w:t>
            </w:r>
            <w:r w:rsidR="00951562" w:rsidRPr="00A23740">
              <w:rPr>
                <w:szCs w:val="24"/>
              </w:rPr>
              <w:t xml:space="preserve"> </w:t>
            </w:r>
            <w:r w:rsidRPr="00A23740">
              <w:rPr>
                <w:szCs w:val="24"/>
              </w:rPr>
              <w:t>derneklere olan borçları,</w:t>
            </w:r>
          </w:p>
          <w:p w:rsidR="00DF3697" w:rsidRPr="00A23740" w:rsidRDefault="00DF3697"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3)</w:t>
            </w:r>
            <w:r w:rsidRPr="00A23740">
              <w:rPr>
                <w:szCs w:val="24"/>
              </w:rPr>
              <w:t xml:space="preserve"> İflâsın açılmasından önceki son bir yıl içinde tahakkuk etmiş olan ve nakden ifası gereken aile hukukundan doğan her türlü nafaka alacakları.</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b)</w:t>
            </w:r>
            <w:r w:rsidRPr="00A23740">
              <w:rPr>
                <w:szCs w:val="24"/>
              </w:rPr>
              <w:t xml:space="preserve"> İkinci sıra:</w:t>
            </w:r>
          </w:p>
          <w:p w:rsidR="00AA5C8C" w:rsidRPr="00A23740" w:rsidRDefault="00AA5C8C" w:rsidP="009431FF">
            <w:pPr>
              <w:widowControl w:val="0"/>
              <w:tabs>
                <w:tab w:val="left" w:pos="567"/>
              </w:tabs>
              <w:rPr>
                <w:b/>
                <w:color w:val="0000FF"/>
                <w:szCs w:val="24"/>
              </w:rPr>
            </w:pPr>
            <w:r w:rsidRPr="00A23740">
              <w:rPr>
                <w:szCs w:val="24"/>
              </w:rPr>
              <w:t xml:space="preserve">Vesayet veya velâyetin devam ettiği </w:t>
            </w:r>
            <w:r w:rsidRPr="00A23740">
              <w:rPr>
                <w:b/>
                <w:color w:val="0000FF"/>
                <w:szCs w:val="24"/>
              </w:rPr>
              <w:t>süre</w:t>
            </w:r>
            <w:r w:rsidRPr="00A23740">
              <w:rPr>
                <w:szCs w:val="24"/>
              </w:rPr>
              <w:t xml:space="preserve"> yahut bunların bitmesini takip eden yıl içinde</w:t>
            </w:r>
            <w:r w:rsidRPr="00A23740">
              <w:rPr>
                <w:rStyle w:val="MAVChar"/>
                <w:rFonts w:eastAsia="Calibri"/>
                <w:u w:val="none"/>
              </w:rPr>
              <w:t xml:space="preserve"> </w:t>
            </w:r>
            <w:r w:rsidRPr="00A23740">
              <w:rPr>
                <w:b/>
                <w:color w:val="0000FF"/>
                <w:szCs w:val="24"/>
              </w:rPr>
              <w:t>iflas</w:t>
            </w:r>
            <w:r w:rsidRPr="00A23740">
              <w:rPr>
                <w:szCs w:val="24"/>
              </w:rPr>
              <w:t xml:space="preserve"> açılırsa, vesayet</w:t>
            </w:r>
            <w:r w:rsidR="000E28FE" w:rsidRPr="00A23740">
              <w:rPr>
                <w:szCs w:val="24"/>
              </w:rPr>
              <w:t xml:space="preserve"> </w:t>
            </w:r>
            <w:r w:rsidR="000E28FE" w:rsidRPr="002D6869">
              <w:rPr>
                <w:b/>
                <w:color w:val="0000FF"/>
              </w:rPr>
              <w:t>veya</w:t>
            </w:r>
            <w:r w:rsidRPr="00A23740">
              <w:rPr>
                <w:szCs w:val="24"/>
              </w:rPr>
              <w:t xml:space="preserve"> </w:t>
            </w:r>
            <w:r w:rsidR="000E28FE" w:rsidRPr="00A23740">
              <w:rPr>
                <w:szCs w:val="24"/>
              </w:rPr>
              <w:t xml:space="preserve">velâyet </w:t>
            </w:r>
            <w:r w:rsidRPr="00A23740">
              <w:rPr>
                <w:szCs w:val="24"/>
              </w:rPr>
              <w:t>nedeniyle malları borçlunun idaresine bırakılan kimselerin bu ilişki nedeniyle doğmuş olan tüm alacakları</w:t>
            </w:r>
            <w:r w:rsidRPr="00A23740">
              <w:rPr>
                <w:rStyle w:val="MaviChar"/>
              </w:rPr>
              <w:t xml:space="preserve">, </w:t>
            </w:r>
          </w:p>
          <w:p w:rsidR="00AA5C8C" w:rsidRPr="00A23740" w:rsidRDefault="00AA5C8C" w:rsidP="009431FF">
            <w:pPr>
              <w:widowControl w:val="0"/>
              <w:tabs>
                <w:tab w:val="left" w:pos="567"/>
              </w:tabs>
              <w:rPr>
                <w:b/>
                <w:color w:val="FF0000"/>
                <w:szCs w:val="24"/>
              </w:rPr>
            </w:pPr>
          </w:p>
          <w:p w:rsidR="0080060A" w:rsidRPr="00A23740" w:rsidRDefault="0080060A" w:rsidP="009431FF">
            <w:pPr>
              <w:widowControl w:val="0"/>
              <w:tabs>
                <w:tab w:val="left" w:pos="567"/>
              </w:tabs>
              <w:rPr>
                <w:b/>
                <w:color w:val="0000FF"/>
                <w:szCs w:val="24"/>
              </w:rPr>
            </w:pPr>
          </w:p>
          <w:p w:rsidR="0080060A" w:rsidRPr="00A23740" w:rsidRDefault="0080060A" w:rsidP="009431FF">
            <w:pPr>
              <w:widowControl w:val="0"/>
              <w:tabs>
                <w:tab w:val="left" w:pos="567"/>
              </w:tabs>
              <w:rPr>
                <w:b/>
                <w:color w:val="0000FF"/>
                <w:szCs w:val="24"/>
              </w:rPr>
            </w:pPr>
          </w:p>
          <w:p w:rsidR="00AA5C8C" w:rsidRPr="00A23740" w:rsidRDefault="00AA5C8C" w:rsidP="009431FF">
            <w:pPr>
              <w:widowControl w:val="0"/>
              <w:tabs>
                <w:tab w:val="left" w:pos="567"/>
              </w:tabs>
              <w:rPr>
                <w:szCs w:val="24"/>
              </w:rPr>
            </w:pPr>
            <w:r w:rsidRPr="00A23740">
              <w:rPr>
                <w:b/>
                <w:color w:val="0000FF"/>
                <w:szCs w:val="24"/>
              </w:rPr>
              <w:t>c)</w:t>
            </w:r>
            <w:r w:rsidRPr="00A23740">
              <w:rPr>
                <w:szCs w:val="24"/>
              </w:rPr>
              <w:t xml:space="preserve"> Üçüncü sıra:</w:t>
            </w:r>
          </w:p>
          <w:p w:rsidR="00AA5C8C" w:rsidRPr="00A23740" w:rsidRDefault="00AA5C8C" w:rsidP="009431FF">
            <w:pPr>
              <w:widowControl w:val="0"/>
              <w:tabs>
                <w:tab w:val="left" w:pos="567"/>
              </w:tabs>
              <w:rPr>
                <w:szCs w:val="24"/>
              </w:rPr>
            </w:pPr>
            <w:r w:rsidRPr="00A23740">
              <w:rPr>
                <w:szCs w:val="24"/>
              </w:rPr>
              <w:t xml:space="preserve">Özel kanunlarında imtiyazlı olduğu belirtilen alacaklar. </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ç)</w:t>
            </w:r>
            <w:r w:rsidRPr="00A23740">
              <w:rPr>
                <w:szCs w:val="24"/>
              </w:rPr>
              <w:t xml:space="preserve"> Dördüncü sıra:</w:t>
            </w:r>
          </w:p>
          <w:p w:rsidR="00AA5C8C" w:rsidRPr="00A23740" w:rsidRDefault="00AA5C8C" w:rsidP="009431FF">
            <w:pPr>
              <w:widowControl w:val="0"/>
              <w:tabs>
                <w:tab w:val="left" w:pos="567"/>
              </w:tabs>
              <w:rPr>
                <w:szCs w:val="24"/>
              </w:rPr>
            </w:pPr>
            <w:r w:rsidRPr="00A23740">
              <w:rPr>
                <w:szCs w:val="24"/>
              </w:rPr>
              <w:t>İmtiyazlı olmayan diğer bütün alacaklar.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(5)</w:t>
            </w:r>
            <w:r w:rsidRPr="00A23740">
              <w:rPr>
                <w:b/>
                <w:szCs w:val="24"/>
              </w:rPr>
              <w:t xml:space="preserve"> </w:t>
            </w:r>
            <w:r w:rsidRPr="00A23740">
              <w:rPr>
                <w:szCs w:val="24"/>
              </w:rPr>
              <w:t>Bir</w:t>
            </w:r>
            <w:r w:rsidRPr="00A23740">
              <w:rPr>
                <w:rStyle w:val="MaviChar"/>
              </w:rPr>
              <w:t>inci</w:t>
            </w:r>
            <w:r w:rsidRPr="00A23740">
              <w:rPr>
                <w:szCs w:val="24"/>
              </w:rPr>
              <w:t xml:space="preserve"> ve ikinci sıra </w:t>
            </w:r>
            <w:r w:rsidRPr="00A23740">
              <w:rPr>
                <w:rStyle w:val="MaviChar"/>
              </w:rPr>
              <w:t>bakımından yapılacak</w:t>
            </w:r>
            <w:r w:rsidRPr="00A23740">
              <w:rPr>
                <w:szCs w:val="24"/>
              </w:rPr>
              <w:t xml:space="preserve"> hesapla</w:t>
            </w:r>
            <w:r w:rsidRPr="00A23740">
              <w:rPr>
                <w:rStyle w:val="MaviChar"/>
              </w:rPr>
              <w:t>mada</w:t>
            </w:r>
            <w:r w:rsidRPr="00A23740">
              <w:rPr>
                <w:szCs w:val="24"/>
              </w:rPr>
              <w:t xml:space="preserve"> aşağıda </w:t>
            </w:r>
            <w:r w:rsidRPr="00A23740">
              <w:rPr>
                <w:b/>
                <w:color w:val="0000FF"/>
                <w:szCs w:val="24"/>
              </w:rPr>
              <w:t>belirtilen</w:t>
            </w:r>
            <w:r w:rsidRPr="00A23740">
              <w:rPr>
                <w:rStyle w:val="YELChar"/>
              </w:rPr>
              <w:t xml:space="preserve"> </w:t>
            </w:r>
            <w:r w:rsidRPr="00A23740">
              <w:rPr>
                <w:szCs w:val="24"/>
              </w:rPr>
              <w:t>süreler</w:t>
            </w:r>
            <w:r w:rsidRPr="00A23740">
              <w:rPr>
                <w:b/>
                <w:color w:val="0000FF"/>
                <w:szCs w:val="24"/>
              </w:rPr>
              <w:t xml:space="preserve"> </w:t>
            </w:r>
            <w:r w:rsidRPr="00A23740">
              <w:rPr>
                <w:rStyle w:val="MaviChar"/>
              </w:rPr>
              <w:t>dikkate alınmaz</w:t>
            </w:r>
            <w:r w:rsidRPr="00A23740">
              <w:rPr>
                <w:szCs w:val="24"/>
              </w:rPr>
              <w:t>:</w:t>
            </w:r>
          </w:p>
          <w:p w:rsidR="00AA5C8C" w:rsidRPr="00A23740" w:rsidRDefault="00AA5C8C" w:rsidP="009431FF">
            <w:pPr>
              <w:widowControl w:val="0"/>
              <w:tabs>
                <w:tab w:val="left" w:pos="567"/>
                <w:tab w:val="left" w:pos="4376"/>
              </w:tabs>
              <w:rPr>
                <w:szCs w:val="24"/>
              </w:rPr>
            </w:pPr>
            <w:r w:rsidRPr="00A23740">
              <w:rPr>
                <w:rStyle w:val="MAVChar"/>
                <w:rFonts w:eastAsia="Calibri"/>
                <w:u w:val="none"/>
              </w:rPr>
              <w:t>a)</w:t>
            </w:r>
            <w:r w:rsidRPr="00A23740">
              <w:rPr>
                <w:szCs w:val="24"/>
              </w:rPr>
              <w:t xml:space="preserve"> </w:t>
            </w:r>
            <w:r w:rsidRPr="00A23740">
              <w:rPr>
                <w:rStyle w:val="MAVChar"/>
                <w:rFonts w:eastAsia="Calibri"/>
                <w:u w:val="none"/>
              </w:rPr>
              <w:t>Konkordato mühletinde geçen süre</w:t>
            </w:r>
            <w:r w:rsidRPr="00A23740">
              <w:rPr>
                <w:rStyle w:val="YELChar"/>
              </w:rPr>
              <w:t>.</w:t>
            </w:r>
            <w:r w:rsidRPr="00A23740">
              <w:rPr>
                <w:szCs w:val="24"/>
              </w:rPr>
              <w:t xml:space="preserve"> </w:t>
            </w:r>
            <w:r w:rsidRPr="00A23740">
              <w:rPr>
                <w:szCs w:val="24"/>
              </w:rPr>
              <w:tab/>
            </w:r>
          </w:p>
          <w:p w:rsidR="00AA5C8C" w:rsidRPr="00A23740" w:rsidRDefault="00AA5C8C" w:rsidP="009431FF">
            <w:pPr>
              <w:widowControl w:val="0"/>
              <w:tabs>
                <w:tab w:val="left" w:pos="567"/>
                <w:tab w:val="left" w:pos="4376"/>
              </w:tabs>
              <w:rPr>
                <w:szCs w:val="24"/>
              </w:rPr>
            </w:pPr>
          </w:p>
          <w:p w:rsidR="00AA5C8C" w:rsidRPr="00A23740" w:rsidRDefault="00AA5C8C" w:rsidP="009431FF">
            <w:pPr>
              <w:pStyle w:val="Stil1"/>
              <w:widowControl w:val="0"/>
              <w:rPr>
                <w:strike/>
                <w:u w:val="none"/>
                <w:lang w:val="tr-TR"/>
              </w:rPr>
            </w:pPr>
          </w:p>
          <w:p w:rsidR="0080060A" w:rsidRPr="00A23740" w:rsidRDefault="0080060A" w:rsidP="009431FF">
            <w:pPr>
              <w:pStyle w:val="Stil1"/>
              <w:widowControl w:val="0"/>
              <w:rPr>
                <w:strike/>
                <w:u w:val="none"/>
                <w:lang w:val="tr-TR"/>
              </w:rPr>
            </w:pPr>
          </w:p>
          <w:p w:rsidR="00AA5C8C" w:rsidRPr="00A23740" w:rsidRDefault="00AA5C8C" w:rsidP="009431FF">
            <w:pPr>
              <w:widowControl w:val="0"/>
              <w:tabs>
                <w:tab w:val="left" w:pos="567"/>
              </w:tabs>
              <w:rPr>
                <w:szCs w:val="24"/>
              </w:rPr>
            </w:pPr>
            <w:r w:rsidRPr="00A23740">
              <w:rPr>
                <w:rStyle w:val="MAVChar"/>
                <w:rFonts w:eastAsia="Calibri"/>
                <w:u w:val="none"/>
              </w:rPr>
              <w:t>b)</w:t>
            </w:r>
            <w:r w:rsidRPr="00A23740">
              <w:rPr>
                <w:szCs w:val="24"/>
              </w:rPr>
              <w:t xml:space="preserve"> Alacak hakkında açıl</w:t>
            </w:r>
            <w:r w:rsidRPr="00A23740">
              <w:rPr>
                <w:b/>
                <w:color w:val="0000FF"/>
                <w:szCs w:val="24"/>
              </w:rPr>
              <w:t>an bir</w:t>
            </w:r>
            <w:r w:rsidRPr="00A23740">
              <w:rPr>
                <w:szCs w:val="24"/>
              </w:rPr>
              <w:t xml:space="preserve"> davanın </w:t>
            </w:r>
            <w:r w:rsidRPr="00A23740">
              <w:rPr>
                <w:b/>
                <w:color w:val="0000FF"/>
                <w:szCs w:val="24"/>
              </w:rPr>
              <w:t>veya takibin</w:t>
            </w:r>
            <w:r w:rsidRPr="00A23740">
              <w:rPr>
                <w:szCs w:val="24"/>
              </w:rPr>
              <w:t xml:space="preserve"> devam ettiği süre.</w:t>
            </w:r>
          </w:p>
          <w:p w:rsidR="0080060A" w:rsidRPr="00A23740" w:rsidRDefault="0080060A"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MAVChar"/>
                <w:rFonts w:eastAsia="Calibri"/>
                <w:u w:val="none"/>
              </w:rPr>
              <w:t>c)</w:t>
            </w:r>
            <w:r w:rsidRPr="00A23740">
              <w:rPr>
                <w:szCs w:val="24"/>
              </w:rPr>
              <w:t xml:space="preserve"> Terekenin ifl</w:t>
            </w:r>
            <w:r w:rsidR="00656C77" w:rsidRPr="00A23740">
              <w:rPr>
                <w:szCs w:val="24"/>
              </w:rPr>
              <w:t>a</w:t>
            </w:r>
            <w:r w:rsidRPr="00A23740">
              <w:rPr>
                <w:szCs w:val="24"/>
              </w:rPr>
              <w:t>s hükümlerine göre tasfiyesinde, ölüm tarihinden tasfiye kararı verilmesine kadar geçen süre.</w:t>
            </w:r>
          </w:p>
          <w:p w:rsidR="00AA5C8C" w:rsidRPr="00A23740" w:rsidRDefault="00AA5C8C" w:rsidP="009431FF">
            <w:pPr>
              <w:widowControl w:val="0"/>
              <w:tabs>
                <w:tab w:val="left" w:pos="567"/>
              </w:tabs>
              <w:rPr>
                <w:b/>
                <w:szCs w:val="24"/>
              </w:rPr>
            </w:pPr>
          </w:p>
          <w:p w:rsidR="00AA5C8C" w:rsidRPr="00A23740" w:rsidRDefault="00AA5C8C" w:rsidP="009431FF">
            <w:pPr>
              <w:widowControl w:val="0"/>
              <w:tabs>
                <w:tab w:val="left" w:pos="567"/>
              </w:tabs>
              <w:rPr>
                <w:b/>
                <w:color w:val="FF0000"/>
                <w:szCs w:val="24"/>
              </w:rPr>
            </w:pPr>
          </w:p>
          <w:p w:rsidR="00AA5C8C" w:rsidRPr="00A23740" w:rsidRDefault="00AA5C8C" w:rsidP="009431FF">
            <w:pPr>
              <w:widowControl w:val="0"/>
              <w:tabs>
                <w:tab w:val="left" w:pos="567"/>
              </w:tabs>
              <w:rPr>
                <w:b/>
                <w:color w:val="FF0000"/>
                <w:szCs w:val="24"/>
              </w:rPr>
            </w:pPr>
          </w:p>
        </w:tc>
      </w:tr>
      <w:tr w:rsidR="00706E87"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1663DF" w:rsidRPr="00A23740" w:rsidRDefault="001663DF" w:rsidP="009431FF">
            <w:pPr>
              <w:ind w:firstLine="709"/>
              <w:rPr>
                <w:b/>
              </w:rPr>
            </w:pPr>
          </w:p>
          <w:p w:rsidR="001663DF" w:rsidRPr="00A23740" w:rsidRDefault="008276D4" w:rsidP="009431FF">
            <w:pPr>
              <w:ind w:firstLine="709"/>
            </w:pPr>
            <w:r w:rsidRPr="00A23740">
              <w:rPr>
                <w:b/>
              </w:rPr>
              <w:t>MADDE 317</w:t>
            </w:r>
            <w:r w:rsidR="005F2472" w:rsidRPr="00A23740">
              <w:rPr>
                <w:b/>
              </w:rPr>
              <w:t>-</w:t>
            </w:r>
            <w:r w:rsidR="005F2472" w:rsidRPr="00A23740">
              <w:t xml:space="preserve"> Maddeyle, </w:t>
            </w:r>
            <w:r w:rsidR="001663DF" w:rsidRPr="00A23740">
              <w:t xml:space="preserve">adi ve rehinli alacakların sırasına ilişkin </w:t>
            </w:r>
            <w:r w:rsidR="005F2472" w:rsidRPr="00A23740">
              <w:t xml:space="preserve">hususlar düzenlenmektedir. Hüküm, 2004 sayılı Kanunun </w:t>
            </w:r>
            <w:r w:rsidR="001663DF" w:rsidRPr="00A23740">
              <w:t xml:space="preserve">206 ncı </w:t>
            </w:r>
            <w:r w:rsidR="005F2472" w:rsidRPr="00A23740">
              <w:t>maddesine karşılık gelmektedir.</w:t>
            </w:r>
          </w:p>
          <w:p w:rsidR="00D91DF4" w:rsidRPr="00A23740" w:rsidRDefault="00214303" w:rsidP="009431FF">
            <w:pPr>
              <w:ind w:firstLine="709"/>
              <w:rPr>
                <w:szCs w:val="24"/>
              </w:rPr>
            </w:pPr>
            <w:r w:rsidRPr="00A23740">
              <w:t>Birinci fıkrayla,</w:t>
            </w:r>
            <w:r w:rsidR="005F2472" w:rsidRPr="00A23740">
              <w:t xml:space="preserve"> </w:t>
            </w:r>
            <w:r w:rsidRPr="00A23740">
              <w:rPr>
                <w:szCs w:val="24"/>
              </w:rPr>
              <w:t xml:space="preserve">rehinli malların satışından elde edilecek paranın paylaştırılmasındaki sıralamayı net bir şekilde ortaya koymak amacıyla </w:t>
            </w:r>
            <w:r w:rsidR="00D91DF4" w:rsidRPr="00A23740">
              <w:rPr>
                <w:szCs w:val="24"/>
              </w:rPr>
              <w:t xml:space="preserve">2004 sayılı Kanunun </w:t>
            </w:r>
            <w:r w:rsidRPr="00A23740">
              <w:rPr>
                <w:szCs w:val="24"/>
              </w:rPr>
              <w:t>206 ncı madde</w:t>
            </w:r>
            <w:r w:rsidR="00D91DF4" w:rsidRPr="00A23740">
              <w:rPr>
                <w:szCs w:val="24"/>
              </w:rPr>
              <w:t>sin</w:t>
            </w:r>
            <w:r w:rsidRPr="00A23740">
              <w:rPr>
                <w:szCs w:val="24"/>
              </w:rPr>
              <w:t xml:space="preserve">de değişiklik yapılarak </w:t>
            </w:r>
            <w:r w:rsidR="00155604" w:rsidRPr="00A23740">
              <w:rPr>
                <w:szCs w:val="24"/>
              </w:rPr>
              <w:t xml:space="preserve">ve </w:t>
            </w:r>
            <w:r w:rsidR="00D91DF4" w:rsidRPr="00A23740">
              <w:rPr>
                <w:szCs w:val="24"/>
              </w:rPr>
              <w:t>yine 2004 sayılı Kanunun 248</w:t>
            </w:r>
            <w:r w:rsidRPr="00A23740">
              <w:rPr>
                <w:szCs w:val="24"/>
              </w:rPr>
              <w:t xml:space="preserve"> inci madde</w:t>
            </w:r>
            <w:r w:rsidR="000E28FE" w:rsidRPr="00F62254">
              <w:rPr>
                <w:rStyle w:val="YELChar"/>
                <w:b w:val="0"/>
                <w:color w:val="000000" w:themeColor="text1"/>
              </w:rPr>
              <w:t>si</w:t>
            </w:r>
            <w:r w:rsidRPr="00A23740">
              <w:rPr>
                <w:szCs w:val="24"/>
              </w:rPr>
              <w:t>nin birinci fıkrasının ikinci cümlesindeki ibare fıkraya eklenmek suretiyle</w:t>
            </w:r>
            <w:r w:rsidR="00155604" w:rsidRPr="00A23740">
              <w:rPr>
                <w:szCs w:val="24"/>
              </w:rPr>
              <w:t>,</w:t>
            </w:r>
            <w:r w:rsidRPr="00A23740">
              <w:rPr>
                <w:szCs w:val="24"/>
              </w:rPr>
              <w:t xml:space="preserve"> rehinli mallardaki sıralama tek bir maddede ve net bir şekilde düzenlenmiştir.</w:t>
            </w:r>
            <w:r w:rsidR="00D91DF4" w:rsidRPr="00A23740">
              <w:rPr>
                <w:szCs w:val="24"/>
              </w:rPr>
              <w:t xml:space="preserve"> </w:t>
            </w:r>
            <w:r w:rsidR="00D91DF4" w:rsidRPr="00A23740">
              <w:t xml:space="preserve">Rehinli alacakların satış tutarı üzerinde rüçhan hakkı olduğu, rehinli malın satış bedelinden ilk olarak sadece rehnin muhafazası ve paraya çevrilmesi giderlerinin karşılanacağı, gümrük ve emlak vergisi ile motorlu taşıtlar vergisi gibi eşya ve taşınmazın aynından doğan kamu alacaklarının satış tutarı üzerinden </w:t>
            </w:r>
            <w:r w:rsidR="000E28FE" w:rsidRPr="002D6869">
              <w:t xml:space="preserve">ödenmesinin </w:t>
            </w:r>
            <w:r w:rsidR="00D91DF4" w:rsidRPr="002D6869">
              <w:t>rehinli</w:t>
            </w:r>
            <w:r w:rsidR="00D91DF4" w:rsidRPr="00A23740">
              <w:t xml:space="preserve"> alacaklardan sonra geldiği </w:t>
            </w:r>
            <w:r w:rsidR="00F7622E" w:rsidRPr="00A23740">
              <w:t>hususlarında bir değişiklik yapılmamaktadır</w:t>
            </w:r>
            <w:r w:rsidR="00D91DF4" w:rsidRPr="00A23740">
              <w:t>.</w:t>
            </w:r>
            <w:r w:rsidR="00D91DF4" w:rsidRPr="00A23740">
              <w:rPr>
                <w:szCs w:val="24"/>
              </w:rPr>
              <w:t xml:space="preserve"> </w:t>
            </w:r>
          </w:p>
          <w:p w:rsidR="00D91DF4" w:rsidRPr="00A23740" w:rsidRDefault="00D91DF4" w:rsidP="009431FF">
            <w:pPr>
              <w:ind w:firstLine="709"/>
              <w:rPr>
                <w:szCs w:val="24"/>
              </w:rPr>
            </w:pPr>
            <w:r w:rsidRPr="00A23740">
              <w:rPr>
                <w:szCs w:val="24"/>
              </w:rPr>
              <w:t>İkinci fıkrayla, birden fazla rehinle temin edilen alacakların ödenmesine tahsis edilen rehinli mallara ilişkin hususlar düzenlenmektedir. Düzenlemeyle, b</w:t>
            </w:r>
            <w:r w:rsidRPr="00A23740">
              <w:t xml:space="preserve">irden fazla rehinle temin edilen alacağın </w:t>
            </w:r>
            <w:r w:rsidRPr="00A23740">
              <w:rPr>
                <w:szCs w:val="24"/>
              </w:rPr>
              <w:t>rehinli malların satış bedelinin bu alacağın tutarına oranlanarak borcun ödenmesine tahsis edileceği hükme bağlanmaktadır. Ancak rehin konusu mallar</w:t>
            </w:r>
            <w:r w:rsidR="00F7622E" w:rsidRPr="00A23740">
              <w:rPr>
                <w:szCs w:val="24"/>
              </w:rPr>
              <w:t>la</w:t>
            </w:r>
            <w:r w:rsidRPr="00A23740">
              <w:rPr>
                <w:szCs w:val="24"/>
              </w:rPr>
              <w:t xml:space="preserve"> temin edilmiş sonraki derecelerde başka alacakların bulunması h</w:t>
            </w:r>
            <w:r w:rsidR="000E28FE" w:rsidRPr="00A23740">
              <w:rPr>
                <w:szCs w:val="24"/>
              </w:rPr>
              <w:t>â</w:t>
            </w:r>
            <w:r w:rsidRPr="00A23740">
              <w:rPr>
                <w:szCs w:val="24"/>
              </w:rPr>
              <w:t xml:space="preserve">linde, alacağın ödenmesinde, rehin derecesi hakkındaki esaslara uymak kaydıyla, diğer derecelerdeki alacaklıların en yüksek tutarla tatmini imkânının da göz önünde bulundurulacağı </w:t>
            </w:r>
            <w:r w:rsidR="00414AA5" w:rsidRPr="00A23740">
              <w:rPr>
                <w:szCs w:val="24"/>
              </w:rPr>
              <w:t>düzenlenmektedir.</w:t>
            </w:r>
          </w:p>
          <w:p w:rsidR="00414AA5" w:rsidRPr="00A23740" w:rsidRDefault="00414AA5" w:rsidP="009431FF">
            <w:pPr>
              <w:ind w:firstLine="709"/>
              <w:rPr>
                <w:szCs w:val="24"/>
              </w:rPr>
            </w:pPr>
            <w:r w:rsidRPr="00A23740">
              <w:rPr>
                <w:szCs w:val="24"/>
              </w:rPr>
              <w:t xml:space="preserve">Üçüncü fıkrayla, rehinli alacakların kendi aralarındaki sırası ile alacak ve rehnin konusu bakımından kapsamının </w:t>
            </w:r>
            <w:r w:rsidR="0000314C" w:rsidRPr="002D6869">
              <w:rPr>
                <w:bCs/>
                <w:szCs w:val="24"/>
              </w:rPr>
              <w:t>4721 sayılı Kanun</w:t>
            </w:r>
            <w:r w:rsidR="0000314C" w:rsidRPr="00A23740">
              <w:rPr>
                <w:szCs w:val="24"/>
              </w:rPr>
              <w:t xml:space="preserve"> </w:t>
            </w:r>
            <w:r w:rsidRPr="00A23740">
              <w:rPr>
                <w:szCs w:val="24"/>
              </w:rPr>
              <w:t xml:space="preserve">ve ilgili diğer kanun hükümlerine göre belirleneceği hükme bağlanmaktadır. </w:t>
            </w:r>
          </w:p>
          <w:p w:rsidR="002B6487" w:rsidRPr="00A23740" w:rsidRDefault="00414AA5" w:rsidP="009431FF">
            <w:pPr>
              <w:ind w:firstLine="709"/>
              <w:rPr>
                <w:szCs w:val="24"/>
              </w:rPr>
            </w:pPr>
            <w:r w:rsidRPr="00A23740">
              <w:rPr>
                <w:szCs w:val="24"/>
              </w:rPr>
              <w:t>Dördüncü fıkra</w:t>
            </w:r>
            <w:r w:rsidR="00F7622E" w:rsidRPr="00A23740">
              <w:rPr>
                <w:szCs w:val="24"/>
              </w:rPr>
              <w:t>da</w:t>
            </w:r>
            <w:r w:rsidRPr="00A23740">
              <w:rPr>
                <w:szCs w:val="24"/>
              </w:rPr>
              <w:t>, teminatlı olup da rehinle karşılanmamış olan veya teminatsız bulunan alacaklar</w:t>
            </w:r>
            <w:r w:rsidR="00E618DD" w:rsidRPr="00A23740">
              <w:rPr>
                <w:szCs w:val="24"/>
              </w:rPr>
              <w:t>ın</w:t>
            </w:r>
            <w:r w:rsidRPr="00A23740">
              <w:rPr>
                <w:szCs w:val="24"/>
              </w:rPr>
              <w:t>, masa mallarının satış tutarından, aşağıdaki sıra</w:t>
            </w:r>
            <w:r w:rsidR="00F7622E" w:rsidRPr="00A23740">
              <w:rPr>
                <w:szCs w:val="24"/>
              </w:rPr>
              <w:t>yla</w:t>
            </w:r>
            <w:r w:rsidRPr="00A23740">
              <w:rPr>
                <w:szCs w:val="24"/>
              </w:rPr>
              <w:t xml:space="preserve"> ödenmek üzere kaydolun</w:t>
            </w:r>
            <w:r w:rsidR="00E618DD" w:rsidRPr="00A23740">
              <w:rPr>
                <w:szCs w:val="24"/>
              </w:rPr>
              <w:t>acağı</w:t>
            </w:r>
            <w:r w:rsidR="000E28FE" w:rsidRPr="00A23740">
              <w:rPr>
                <w:szCs w:val="24"/>
              </w:rPr>
              <w:t xml:space="preserve"> </w:t>
            </w:r>
            <w:r w:rsidR="000E28FE" w:rsidRPr="002D6869">
              <w:t>ifade edilmiştir.</w:t>
            </w:r>
            <w:r w:rsidR="00E618DD" w:rsidRPr="00A23740">
              <w:rPr>
                <w:szCs w:val="24"/>
              </w:rPr>
              <w:t xml:space="preserve"> Şu kadar ki, fıkraya eklenen </w:t>
            </w:r>
            <w:r w:rsidR="000E28FE" w:rsidRPr="00A23740">
              <w:rPr>
                <w:szCs w:val="24"/>
              </w:rPr>
              <w:t>“</w:t>
            </w:r>
            <w:r w:rsidR="00C265BA" w:rsidRPr="002D6869">
              <w:rPr>
                <w:bCs/>
                <w:szCs w:val="24"/>
              </w:rPr>
              <w:t>365 inci</w:t>
            </w:r>
            <w:r w:rsidR="00C265BA" w:rsidRPr="00A23740">
              <w:rPr>
                <w:szCs w:val="24"/>
              </w:rPr>
              <w:t xml:space="preserve"> </w:t>
            </w:r>
            <w:r w:rsidR="00E618DD" w:rsidRPr="00A23740">
              <w:rPr>
                <w:szCs w:val="24"/>
              </w:rPr>
              <w:t>madde hükmü saklı kalmak üzere</w:t>
            </w:r>
            <w:r w:rsidR="000E28FE" w:rsidRPr="00A23740">
              <w:rPr>
                <w:szCs w:val="24"/>
              </w:rPr>
              <w:t>”</w:t>
            </w:r>
            <w:r w:rsidR="00E618DD" w:rsidRPr="00A23740">
              <w:rPr>
                <w:szCs w:val="24"/>
              </w:rPr>
              <w:t xml:space="preserve"> ibaresiyle birlikte</w:t>
            </w:r>
            <w:r w:rsidR="00F7622E" w:rsidRPr="00A23740">
              <w:rPr>
                <w:szCs w:val="24"/>
              </w:rPr>
              <w:t>,</w:t>
            </w:r>
            <w:r w:rsidR="00E618DD" w:rsidRPr="00A23740">
              <w:rPr>
                <w:szCs w:val="24"/>
              </w:rPr>
              <w:t xml:space="preserve"> rehinli malların satış tutarından yapılacak paylaştırmada imtiyazlı alacakların ödenmesine geçmeden önce masa borçlarının ödeneceği hususu hükme bağlanarak bu husus netleştirilmiştir.</w:t>
            </w:r>
          </w:p>
          <w:p w:rsidR="002B6487" w:rsidRPr="00A23740" w:rsidRDefault="00D908F3" w:rsidP="009431FF">
            <w:pPr>
              <w:ind w:firstLine="709"/>
              <w:rPr>
                <w:szCs w:val="24"/>
              </w:rPr>
            </w:pPr>
            <w:r w:rsidRPr="00A23740">
              <w:rPr>
                <w:szCs w:val="24"/>
              </w:rPr>
              <w:t>Adi ve rehinli alacaklar aşağıdaki sıraya göre ödenir.</w:t>
            </w:r>
          </w:p>
          <w:p w:rsidR="00414AA5" w:rsidRPr="00A23740" w:rsidRDefault="00414AA5" w:rsidP="009431FF">
            <w:pPr>
              <w:ind w:firstLine="709"/>
              <w:rPr>
                <w:szCs w:val="24"/>
              </w:rPr>
            </w:pPr>
            <w:r w:rsidRPr="00A23740">
              <w:rPr>
                <w:szCs w:val="24"/>
              </w:rPr>
              <w:t>Birinci sıra:</w:t>
            </w:r>
          </w:p>
          <w:p w:rsidR="00414AA5" w:rsidRPr="00A23740" w:rsidRDefault="00414AA5" w:rsidP="009431FF">
            <w:pPr>
              <w:ind w:firstLine="709"/>
              <w:rPr>
                <w:szCs w:val="24"/>
              </w:rPr>
            </w:pPr>
            <w:r w:rsidRPr="00A23740">
              <w:rPr>
                <w:szCs w:val="24"/>
              </w:rPr>
              <w:t>1) İşçilerin, iş ilişkisine dayanan ve  ifl</w:t>
            </w:r>
            <w:r w:rsidR="00656C77" w:rsidRPr="00A23740">
              <w:rPr>
                <w:szCs w:val="24"/>
              </w:rPr>
              <w:t>a</w:t>
            </w:r>
            <w:r w:rsidRPr="00A23740">
              <w:rPr>
                <w:szCs w:val="24"/>
              </w:rPr>
              <w:t>sın açılmasından önceki bir yıl içinde tahakkuk etmiş ihbar ve kıdem tazminatları dahil alacakları ile  ifl</w:t>
            </w:r>
            <w:r w:rsidR="00656C77" w:rsidRPr="00A23740">
              <w:rPr>
                <w:szCs w:val="24"/>
              </w:rPr>
              <w:t>a</w:t>
            </w:r>
            <w:r w:rsidRPr="00A23740">
              <w:rPr>
                <w:szCs w:val="24"/>
              </w:rPr>
              <w:t>s nedeniyle iş ilişkisinin sona ermesi üzerine hak etmiş oldukları ihbar ve kıdem tazminatları,</w:t>
            </w:r>
          </w:p>
          <w:p w:rsidR="00414AA5" w:rsidRPr="00A23740" w:rsidRDefault="00414AA5" w:rsidP="009431FF">
            <w:pPr>
              <w:ind w:firstLine="709"/>
              <w:rPr>
                <w:szCs w:val="24"/>
              </w:rPr>
            </w:pPr>
            <w:r w:rsidRPr="00A23740">
              <w:rPr>
                <w:szCs w:val="24"/>
              </w:rPr>
              <w:t xml:space="preserve">2) İşverenlerin, işçiler için yardım sandıkları veya sair yardım teşkilatı kurulması veya bunların yaşatılması maksadıyla meydana gelmiş ve tüzel kişilik kazanmış bulunan </w:t>
            </w:r>
            <w:r w:rsidR="000E28FE" w:rsidRPr="002D6869">
              <w:t>tesislere</w:t>
            </w:r>
            <w:r w:rsidR="000E28FE" w:rsidRPr="002D6869">
              <w:rPr>
                <w:szCs w:val="24"/>
              </w:rPr>
              <w:t xml:space="preserve"> </w:t>
            </w:r>
            <w:r w:rsidRPr="002D6869">
              <w:rPr>
                <w:szCs w:val="24"/>
              </w:rPr>
              <w:t>veya</w:t>
            </w:r>
            <w:r w:rsidRPr="00A23740">
              <w:rPr>
                <w:szCs w:val="24"/>
              </w:rPr>
              <w:t xml:space="preserve"> derneklere olan borçları,</w:t>
            </w:r>
          </w:p>
          <w:p w:rsidR="00414AA5" w:rsidRPr="00A23740" w:rsidRDefault="00414AA5" w:rsidP="009431FF">
            <w:pPr>
              <w:ind w:firstLine="709"/>
              <w:rPr>
                <w:szCs w:val="24"/>
              </w:rPr>
            </w:pPr>
            <w:r w:rsidRPr="00A23740">
              <w:rPr>
                <w:szCs w:val="24"/>
              </w:rPr>
              <w:t>3) İflâsın açılmasından önceki son bir yıl içinde tahakkuk etmiş olan ve nakden ifası gereken aile hukukundan doğan her türlü nafaka alacakları.</w:t>
            </w:r>
          </w:p>
          <w:p w:rsidR="00414AA5" w:rsidRPr="00A23740" w:rsidRDefault="00414AA5" w:rsidP="009431FF">
            <w:pPr>
              <w:ind w:firstLine="709"/>
              <w:rPr>
                <w:szCs w:val="24"/>
              </w:rPr>
            </w:pPr>
            <w:r w:rsidRPr="00A23740">
              <w:rPr>
                <w:szCs w:val="24"/>
              </w:rPr>
              <w:t>İkinci sıra:</w:t>
            </w:r>
          </w:p>
          <w:p w:rsidR="00414AA5" w:rsidRPr="00A23740" w:rsidRDefault="00414AA5" w:rsidP="009431FF">
            <w:pPr>
              <w:ind w:firstLine="709"/>
              <w:rPr>
                <w:szCs w:val="24"/>
              </w:rPr>
            </w:pPr>
            <w:r w:rsidRPr="00A23740">
              <w:rPr>
                <w:szCs w:val="24"/>
              </w:rPr>
              <w:t>Vesayet veya velâyetin devam ettiği süre yahut bunların bitmesini takip eden yıl içinde</w:t>
            </w:r>
            <w:r w:rsidRPr="00A23740">
              <w:rPr>
                <w:b/>
                <w:bCs/>
              </w:rPr>
              <w:t xml:space="preserve"> </w:t>
            </w:r>
            <w:r w:rsidRPr="00A23740">
              <w:rPr>
                <w:szCs w:val="24"/>
              </w:rPr>
              <w:t xml:space="preserve">iflas açılırsa, </w:t>
            </w:r>
            <w:r w:rsidR="000E28FE" w:rsidRPr="00A23740">
              <w:rPr>
                <w:szCs w:val="24"/>
              </w:rPr>
              <w:t xml:space="preserve">vesayet veya </w:t>
            </w:r>
            <w:r w:rsidRPr="00A23740">
              <w:rPr>
                <w:szCs w:val="24"/>
              </w:rPr>
              <w:t>velâyet nedeniyle malları borçlunun idaresine bırakılan kimselerin bu ilişki nedeniyle doğmuş olan tüm alacakları</w:t>
            </w:r>
            <w:r w:rsidRPr="00A23740">
              <w:rPr>
                <w:bCs/>
              </w:rPr>
              <w:t xml:space="preserve">, </w:t>
            </w:r>
          </w:p>
          <w:p w:rsidR="00414AA5" w:rsidRPr="00A23740" w:rsidRDefault="00414AA5" w:rsidP="009431FF">
            <w:pPr>
              <w:ind w:firstLine="709"/>
              <w:rPr>
                <w:szCs w:val="24"/>
              </w:rPr>
            </w:pPr>
            <w:r w:rsidRPr="00A23740">
              <w:rPr>
                <w:szCs w:val="24"/>
              </w:rPr>
              <w:t>Üçüncü sıra:</w:t>
            </w:r>
          </w:p>
          <w:p w:rsidR="00414AA5" w:rsidRPr="00A23740" w:rsidRDefault="00414AA5" w:rsidP="009431FF">
            <w:pPr>
              <w:ind w:firstLine="709"/>
              <w:rPr>
                <w:rStyle w:val="KIRMIZIChar"/>
                <w:rFonts w:eastAsia="Calibri"/>
              </w:rPr>
            </w:pPr>
            <w:r w:rsidRPr="00A23740">
              <w:rPr>
                <w:szCs w:val="24"/>
              </w:rPr>
              <w:t>Özel kanunlarında imtiyaz</w:t>
            </w:r>
            <w:r w:rsidR="00F62254">
              <w:rPr>
                <w:szCs w:val="24"/>
              </w:rPr>
              <w:t>lı olduğu belirtilen alacaklar.</w:t>
            </w:r>
          </w:p>
          <w:p w:rsidR="00414AA5" w:rsidRPr="00A23740" w:rsidRDefault="00414AA5" w:rsidP="009431FF">
            <w:pPr>
              <w:ind w:firstLine="709"/>
              <w:rPr>
                <w:szCs w:val="24"/>
              </w:rPr>
            </w:pPr>
            <w:r w:rsidRPr="00A23740">
              <w:rPr>
                <w:szCs w:val="24"/>
              </w:rPr>
              <w:t>Dördüncü sıra:</w:t>
            </w:r>
          </w:p>
          <w:p w:rsidR="00414AA5" w:rsidRPr="00A23740" w:rsidRDefault="00414AA5" w:rsidP="009431FF">
            <w:pPr>
              <w:ind w:firstLine="709"/>
              <w:rPr>
                <w:szCs w:val="24"/>
              </w:rPr>
            </w:pPr>
            <w:r w:rsidRPr="00A23740">
              <w:rPr>
                <w:szCs w:val="24"/>
              </w:rPr>
              <w:t>İmtiyazlı</w:t>
            </w:r>
            <w:r w:rsidR="00452B0B" w:rsidRPr="00A23740">
              <w:rPr>
                <w:szCs w:val="24"/>
              </w:rPr>
              <w:t xml:space="preserve"> olmayan diğer bütün alacaklar.</w:t>
            </w:r>
          </w:p>
          <w:p w:rsidR="004D3AEE" w:rsidRPr="00A23740" w:rsidRDefault="00452B0B" w:rsidP="009431FF">
            <w:pPr>
              <w:ind w:firstLine="709"/>
              <w:rPr>
                <w:b/>
              </w:rPr>
            </w:pPr>
            <w:r w:rsidRPr="00A23740">
              <w:rPr>
                <w:szCs w:val="24"/>
              </w:rPr>
              <w:t>Beşinci fıkrayla, birinci ve ikinci sıra bakımından yapılacak hesaplamada dikkate alınmayacak süreler belirlenmektedir. Buna göre, konkordato mühletinde geçen süre, alacak hakkında açılan bir davanın veya takibin devam ettiği süre ve terekenin ifl</w:t>
            </w:r>
            <w:r w:rsidR="00656C77" w:rsidRPr="00A23740">
              <w:rPr>
                <w:szCs w:val="24"/>
              </w:rPr>
              <w:t>a</w:t>
            </w:r>
            <w:r w:rsidRPr="00A23740">
              <w:rPr>
                <w:szCs w:val="24"/>
              </w:rPr>
              <w:t>s hükümlerine göre tasfiyesinde, ölüm tarihinden tasfiye kararı</w:t>
            </w:r>
            <w:r w:rsidR="00F7622E" w:rsidRPr="00A23740">
              <w:rPr>
                <w:szCs w:val="24"/>
              </w:rPr>
              <w:t>nın</w:t>
            </w:r>
            <w:r w:rsidRPr="00A23740">
              <w:rPr>
                <w:szCs w:val="24"/>
              </w:rPr>
              <w:t xml:space="preserve"> verilmesine kadar geçen süre dikkate alınmayacaktır.</w:t>
            </w:r>
            <w:r w:rsidR="009A4CE5" w:rsidRPr="00A23740">
              <w:rPr>
                <w:szCs w:val="24"/>
              </w:rPr>
              <w:t xml:space="preserve"> </w:t>
            </w:r>
            <w:r w:rsidR="009A4CE5" w:rsidRPr="00E15D75">
              <w:t>2004 sayılı Kanundan farklı olarak alacak hakkında takip yapılmış olması h</w:t>
            </w:r>
            <w:r w:rsidR="009D574E" w:rsidRPr="00E15D75">
              <w:t>â</w:t>
            </w:r>
            <w:r w:rsidR="009A4CE5" w:rsidRPr="00E15D75">
              <w:t>linde</w:t>
            </w:r>
            <w:r w:rsidR="00F7622E" w:rsidRPr="00E15D75">
              <w:t>,</w:t>
            </w:r>
            <w:r w:rsidR="009A4CE5" w:rsidRPr="00E15D75">
              <w:t xml:space="preserve"> takibin devam ettiği sürenin hesaba katılmayacağı kabul edilmiştir. </w:t>
            </w:r>
            <w:r w:rsidR="00F7622E" w:rsidRPr="00E15D75">
              <w:t>D</w:t>
            </w:r>
            <w:r w:rsidR="009A4CE5" w:rsidRPr="00E15D75">
              <w:t xml:space="preserve">eniz icra hukukunda sıra, ayrıca düzenlenmiş olduğu için burada yer almamıştır. </w:t>
            </w:r>
          </w:p>
          <w:p w:rsidR="004D3AEE" w:rsidRPr="00A23740" w:rsidRDefault="004D3AEE" w:rsidP="009431FF">
            <w:pPr>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Sıralar arasındaki </w:t>
            </w:r>
            <w:r w:rsidRPr="00A23740">
              <w:rPr>
                <w:rStyle w:val="KIRMIZIChar"/>
                <w:rFonts w:eastAsia="Calibri"/>
              </w:rPr>
              <w:t>münasebet:</w:t>
            </w:r>
          </w:p>
          <w:p w:rsidR="00AA5C8C" w:rsidRPr="00A23740" w:rsidRDefault="00AA5C8C" w:rsidP="009431FF">
            <w:pPr>
              <w:tabs>
                <w:tab w:val="left" w:pos="567"/>
              </w:tabs>
              <w:rPr>
                <w:szCs w:val="24"/>
              </w:rPr>
            </w:pPr>
            <w:r w:rsidRPr="00A23740">
              <w:rPr>
                <w:rStyle w:val="KIRMIZIChar"/>
                <w:rFonts w:eastAsia="Calibri"/>
              </w:rPr>
              <w:t>Madde 207 – (1)</w:t>
            </w:r>
            <w:r w:rsidRPr="00A23740">
              <w:rPr>
                <w:b/>
                <w:szCs w:val="24"/>
              </w:rPr>
              <w:t xml:space="preserve"> </w:t>
            </w:r>
            <w:r w:rsidRPr="00A23740">
              <w:rPr>
                <w:szCs w:val="24"/>
              </w:rPr>
              <w:t xml:space="preserve">Her sıranın alacaklıları aralarında </w:t>
            </w:r>
            <w:r w:rsidRPr="00A23740">
              <w:rPr>
                <w:b/>
                <w:strike/>
                <w:color w:val="FF0000"/>
                <w:szCs w:val="24"/>
              </w:rPr>
              <w:t>müsavi</w:t>
            </w:r>
            <w:r w:rsidRPr="00A23740">
              <w:rPr>
                <w:szCs w:val="24"/>
              </w:rPr>
              <w:t xml:space="preserve"> hakka </w:t>
            </w:r>
            <w:r w:rsidRPr="00A23740">
              <w:rPr>
                <w:b/>
                <w:strike/>
                <w:color w:val="FF0000"/>
                <w:szCs w:val="24"/>
              </w:rPr>
              <w:t>maliktirler</w:t>
            </w:r>
            <w:r w:rsidRPr="00A23740">
              <w:rPr>
                <w:szCs w:val="24"/>
              </w:rPr>
              <w:t>.</w:t>
            </w:r>
          </w:p>
          <w:p w:rsidR="009C7014" w:rsidRPr="00A23740" w:rsidRDefault="009C7014"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w:t>
            </w:r>
            <w:r w:rsidRPr="00F62254">
              <w:rPr>
                <w:rStyle w:val="KIRMIZIChar"/>
                <w:rFonts w:eastAsia="Calibri"/>
              </w:rPr>
              <w:t>Bir sıra</w:t>
            </w:r>
            <w:r w:rsidRPr="00A23740">
              <w:rPr>
                <w:szCs w:val="24"/>
              </w:rPr>
              <w:t xml:space="preserve"> </w:t>
            </w:r>
            <w:r w:rsidRPr="00A23740">
              <w:rPr>
                <w:b/>
                <w:strike/>
                <w:color w:val="FF0000"/>
                <w:szCs w:val="24"/>
              </w:rPr>
              <w:t>evvelki</w:t>
            </w:r>
            <w:r w:rsidRPr="00A23740">
              <w:rPr>
                <w:szCs w:val="24"/>
              </w:rPr>
              <w:t xml:space="preserve"> alacaklılar alacaklarını tamamen almadıkça sonra gelen sıradakiler </w:t>
            </w:r>
            <w:r w:rsidRPr="00892799">
              <w:rPr>
                <w:rStyle w:val="KIRMIZIChar"/>
                <w:rFonts w:eastAsia="Calibri"/>
              </w:rPr>
              <w:t>bir şey alamazlar.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szCs w:val="24"/>
              </w:rPr>
            </w:pPr>
            <w:r w:rsidRPr="00A23740">
              <w:rPr>
                <w:b/>
                <w:szCs w:val="24"/>
              </w:rPr>
              <w:t>Sıralar arasındaki</w:t>
            </w:r>
            <w:r w:rsidRPr="00A23740">
              <w:rPr>
                <w:szCs w:val="24"/>
              </w:rPr>
              <w:t xml:space="preserve"> </w:t>
            </w:r>
            <w:r w:rsidRPr="00A23740">
              <w:rPr>
                <w:rStyle w:val="MaviChar"/>
              </w:rPr>
              <w:t>ilişki</w:t>
            </w:r>
            <w:r w:rsidRPr="00A23740">
              <w:rPr>
                <w:szCs w:val="24"/>
              </w:rPr>
              <w:t xml:space="preserve"> </w:t>
            </w:r>
          </w:p>
          <w:p w:rsidR="00AA5C8C" w:rsidRPr="00A23740" w:rsidRDefault="00AA5C8C" w:rsidP="009431FF">
            <w:pPr>
              <w:tabs>
                <w:tab w:val="left" w:pos="567"/>
              </w:tabs>
              <w:rPr>
                <w:szCs w:val="24"/>
              </w:rPr>
            </w:pPr>
            <w:r w:rsidRPr="00A23740">
              <w:rPr>
                <w:rStyle w:val="MaviChar"/>
                <w:lang w:val="tr-TR"/>
              </w:rPr>
              <w:t xml:space="preserve">MADDE </w:t>
            </w:r>
            <w:r w:rsidR="008276D4" w:rsidRPr="00A23740">
              <w:rPr>
                <w:rStyle w:val="MAVChar"/>
                <w:rFonts w:eastAsia="Calibri"/>
                <w:u w:val="none"/>
              </w:rPr>
              <w:t>318</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Her sıranın alacaklıları</w:t>
            </w:r>
            <w:r w:rsidRPr="00A23740">
              <w:rPr>
                <w:rStyle w:val="MaviChar"/>
              </w:rPr>
              <w:t>,</w:t>
            </w:r>
            <w:r w:rsidRPr="00A23740">
              <w:rPr>
                <w:szCs w:val="24"/>
              </w:rPr>
              <w:t xml:space="preserve"> </w:t>
            </w:r>
            <w:r w:rsidRPr="00A23740">
              <w:rPr>
                <w:b/>
                <w:color w:val="0000FF"/>
                <w:szCs w:val="24"/>
              </w:rPr>
              <w:t>kendi</w:t>
            </w:r>
            <w:r w:rsidRPr="00A23740">
              <w:rPr>
                <w:szCs w:val="24"/>
              </w:rPr>
              <w:t xml:space="preserve"> aralarında </w:t>
            </w:r>
            <w:r w:rsidRPr="00A23740">
              <w:rPr>
                <w:b/>
                <w:color w:val="0000FF"/>
                <w:szCs w:val="24"/>
              </w:rPr>
              <w:t>alacakları oranında eşit</w:t>
            </w:r>
            <w:r w:rsidRPr="00A23740">
              <w:rPr>
                <w:szCs w:val="24"/>
              </w:rPr>
              <w:t xml:space="preserve"> hakka </w:t>
            </w:r>
            <w:r w:rsidRPr="00A23740">
              <w:rPr>
                <w:b/>
                <w:color w:val="0000FF"/>
                <w:szCs w:val="24"/>
              </w:rPr>
              <w:t>sahiptirler</w:t>
            </w:r>
            <w:r w:rsidRPr="00A23740">
              <w:rPr>
                <w:szCs w:val="24"/>
              </w:rPr>
              <w:t>.</w:t>
            </w:r>
          </w:p>
          <w:p w:rsidR="00AA5C8C" w:rsidRPr="00A23740" w:rsidRDefault="00AA5C8C" w:rsidP="009431FF">
            <w:pPr>
              <w:pStyle w:val="KIRMIZI"/>
            </w:pPr>
          </w:p>
          <w:p w:rsidR="00012EE6" w:rsidRPr="00A23740" w:rsidRDefault="00012EE6" w:rsidP="009431FF">
            <w:pPr>
              <w:tabs>
                <w:tab w:val="left" w:pos="567"/>
              </w:tabs>
              <w:rPr>
                <w:szCs w:val="24"/>
              </w:rPr>
            </w:pPr>
            <w:r w:rsidRPr="00322CB4">
              <w:rPr>
                <w:b/>
                <w:color w:val="0000FF"/>
                <w:szCs w:val="24"/>
              </w:rPr>
              <w:t>(2)</w:t>
            </w:r>
            <w:r w:rsidRPr="00A23740">
              <w:rPr>
                <w:szCs w:val="24"/>
              </w:rPr>
              <w:t xml:space="preserve"> </w:t>
            </w:r>
            <w:r w:rsidRPr="00E15D75">
              <w:rPr>
                <w:b/>
                <w:color w:val="0000FF"/>
              </w:rPr>
              <w:t>Önceki sırada bulunan</w:t>
            </w:r>
            <w:r w:rsidRPr="00A23740">
              <w:rPr>
                <w:szCs w:val="24"/>
              </w:rPr>
              <w:t xml:space="preserve"> alacaklılar alacaklarını tamamen almadıkça</w:t>
            </w:r>
            <w:r w:rsidRPr="00E15D75">
              <w:rPr>
                <w:b/>
                <w:color w:val="0000FF"/>
              </w:rPr>
              <w:t>,</w:t>
            </w:r>
            <w:r w:rsidRPr="00A23740">
              <w:rPr>
                <w:szCs w:val="24"/>
              </w:rPr>
              <w:t xml:space="preserve"> sonra gelen sıradakiler</w:t>
            </w:r>
            <w:r w:rsidRPr="00E15D75">
              <w:rPr>
                <w:b/>
                <w:color w:val="0000FF"/>
              </w:rPr>
              <w:t>e</w:t>
            </w:r>
            <w:r w:rsidRPr="00A23740">
              <w:rPr>
                <w:szCs w:val="24"/>
              </w:rPr>
              <w:t xml:space="preserve"> </w:t>
            </w:r>
            <w:r w:rsidRPr="00E15D75">
              <w:rPr>
                <w:b/>
                <w:bCs/>
                <w:color w:val="0000FF"/>
              </w:rPr>
              <w:t>ödeme</w:t>
            </w:r>
            <w:r w:rsidRPr="00A23740">
              <w:rPr>
                <w:rStyle w:val="KIRMIZIChar"/>
                <w:rFonts w:eastAsia="Calibri"/>
                <w:strike w:val="0"/>
                <w:color w:val="538135"/>
              </w:rPr>
              <w:t xml:space="preserve"> </w:t>
            </w:r>
            <w:r w:rsidRPr="00E15D75">
              <w:rPr>
                <w:b/>
                <w:bCs/>
                <w:color w:val="0000FF"/>
              </w:rPr>
              <w:t>yapılmaz</w:t>
            </w:r>
            <w:r w:rsidRPr="00A23740">
              <w:rPr>
                <w:szCs w:val="24"/>
              </w:rPr>
              <w:t>.</w:t>
            </w:r>
          </w:p>
          <w:p w:rsidR="009A4CE5" w:rsidRPr="00A23740" w:rsidRDefault="009A4CE5" w:rsidP="009431FF">
            <w:pPr>
              <w:tabs>
                <w:tab w:val="left" w:pos="567"/>
              </w:tabs>
              <w:rPr>
                <w:szCs w:val="24"/>
              </w:rPr>
            </w:pPr>
          </w:p>
          <w:p w:rsidR="009A4CE5" w:rsidRPr="00A23740" w:rsidRDefault="009A4CE5" w:rsidP="009431FF">
            <w:pPr>
              <w:pStyle w:val="YEL"/>
              <w:rPr>
                <w:lang w:val="tr-TR"/>
              </w:rPr>
            </w:pPr>
            <w:r w:rsidRPr="00E15D75">
              <w:rPr>
                <w:rStyle w:val="Balk1Char"/>
                <w:rFonts w:eastAsia="ヒラギノ明朝 Pro W3"/>
                <w:b/>
              </w:rPr>
              <w:t>(3) İflastan sonra işleyen faiz alacaklarının ödenmesinde 317 nci</w:t>
            </w:r>
            <w:r w:rsidRPr="00A23740">
              <w:rPr>
                <w:lang w:val="tr-TR"/>
              </w:rPr>
              <w:t xml:space="preserve"> </w:t>
            </w:r>
            <w:r w:rsidR="009C7014" w:rsidRPr="00E15D75">
              <w:rPr>
                <w:rStyle w:val="Balk1Char"/>
                <w:rFonts w:eastAsia="ヒラギノ明朝 Pro W3"/>
                <w:b/>
              </w:rPr>
              <w:t>maddedeki sıra gözetilir.</w:t>
            </w:r>
          </w:p>
          <w:p w:rsidR="009C7014" w:rsidRPr="00A23740" w:rsidRDefault="009C7014" w:rsidP="009431FF">
            <w:pPr>
              <w:tabs>
                <w:tab w:val="left" w:pos="567"/>
              </w:tabs>
              <w:rPr>
                <w:szCs w:val="24"/>
              </w:rPr>
            </w:pPr>
          </w:p>
        </w:tc>
      </w:tr>
      <w:tr w:rsidR="005F2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2F7F2F" w:rsidRPr="00A23740" w:rsidRDefault="002F7F2F" w:rsidP="009431FF">
            <w:pPr>
              <w:ind w:firstLine="709"/>
              <w:rPr>
                <w:b/>
              </w:rPr>
            </w:pPr>
          </w:p>
          <w:p w:rsidR="004B0876" w:rsidRPr="00A23740" w:rsidRDefault="008276D4" w:rsidP="009431FF">
            <w:pPr>
              <w:ind w:firstLine="709"/>
            </w:pPr>
            <w:r w:rsidRPr="00A23740">
              <w:rPr>
                <w:b/>
              </w:rPr>
              <w:t>MADDE 318</w:t>
            </w:r>
            <w:r w:rsidR="005F2472" w:rsidRPr="00A23740">
              <w:rPr>
                <w:b/>
              </w:rPr>
              <w:t>-</w:t>
            </w:r>
            <w:r w:rsidR="005F2472" w:rsidRPr="00A23740">
              <w:t xml:space="preserve"> </w:t>
            </w:r>
            <w:r w:rsidR="004B0876" w:rsidRPr="00A23740">
              <w:t xml:space="preserve">Maddeyle, </w:t>
            </w:r>
            <w:r w:rsidR="002F7F2F" w:rsidRPr="00A23740">
              <w:t>sıralar arasındaki ilişki</w:t>
            </w:r>
            <w:r w:rsidR="00892799">
              <w:t xml:space="preserve"> </w:t>
            </w:r>
            <w:r w:rsidR="004B0876" w:rsidRPr="00A23740">
              <w:t xml:space="preserve">düzenlenmektedir. Hüküm, 2004 sayılı Kanunun </w:t>
            </w:r>
            <w:r w:rsidR="002F7F2F" w:rsidRPr="00A23740">
              <w:t xml:space="preserve">207 nci </w:t>
            </w:r>
            <w:r w:rsidR="004B0876" w:rsidRPr="00A23740">
              <w:t>maddesine karşılık gelmektedir.</w:t>
            </w:r>
          </w:p>
          <w:p w:rsidR="004B0876" w:rsidRPr="00A23740" w:rsidRDefault="002F7F2F" w:rsidP="009431FF">
            <w:pPr>
              <w:ind w:firstLine="709"/>
            </w:pPr>
            <w:r w:rsidRPr="00A23740">
              <w:t>Birinci fıkrayla, her sıranın alacaklılarının</w:t>
            </w:r>
            <w:r w:rsidRPr="00B43502">
              <w:rPr>
                <w:bCs/>
              </w:rPr>
              <w:t>,</w:t>
            </w:r>
            <w:r w:rsidRPr="00A23740">
              <w:t xml:space="preserve"> kendi aralarında alacakları oranında eşit hakka sahip olacakları hükme bağlanmaktadır.</w:t>
            </w:r>
          </w:p>
          <w:p w:rsidR="002F7F2F" w:rsidRPr="00A23740" w:rsidRDefault="002F7F2F" w:rsidP="009431FF">
            <w:pPr>
              <w:ind w:firstLine="709"/>
            </w:pPr>
            <w:r w:rsidRPr="00A23740">
              <w:t xml:space="preserve">İkinci fıkraya göre, </w:t>
            </w:r>
            <w:r w:rsidR="009C7014" w:rsidRPr="00E15D75">
              <w:t xml:space="preserve">bir sonraki sıraya ödeme yapılabilmesi için önceki sıradaki alacaklıların alacaklarını tümüyle almış olmaları gerekir. </w:t>
            </w:r>
          </w:p>
          <w:p w:rsidR="00892799" w:rsidRDefault="009C7014" w:rsidP="009431FF">
            <w:pPr>
              <w:ind w:firstLine="709"/>
            </w:pPr>
            <w:r w:rsidRPr="00A23740">
              <w:t xml:space="preserve">Üçüncü fıkrayla </w:t>
            </w:r>
            <w:r w:rsidRPr="00E15D75">
              <w:t xml:space="preserve">getirilen düzenleme yeni olup, </w:t>
            </w:r>
            <w:r w:rsidR="002A4347" w:rsidRPr="00E15D75">
              <w:t xml:space="preserve">fıkra </w:t>
            </w:r>
            <w:r w:rsidRPr="00E15D75">
              <w:t>iflastan sonra işleyen faiz alacaklarının ödenmesi bakımından da Taslağın 317 nci maddesindeki sıranın gözetilmesi gerektiğini düzenlemektedir.</w:t>
            </w:r>
          </w:p>
          <w:p w:rsidR="005F2472" w:rsidRPr="00A23740" w:rsidRDefault="005F2472" w:rsidP="001560F0">
            <w:pPr>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jc w:val="center"/>
              <w:rPr>
                <w:lang w:val="tr-TR"/>
              </w:rPr>
            </w:pPr>
            <w:r w:rsidRPr="00A23740">
              <w:rPr>
                <w:lang w:val="tr-TR"/>
              </w:rPr>
              <w:t>SEKİZİNCİ BAP</w:t>
            </w:r>
          </w:p>
          <w:p w:rsidR="00AA5C8C" w:rsidRPr="00A23740" w:rsidRDefault="00AA5C8C" w:rsidP="009431FF">
            <w:pPr>
              <w:pStyle w:val="KIRMIZI"/>
              <w:jc w:val="center"/>
              <w:rPr>
                <w:lang w:val="tr-TR"/>
              </w:rPr>
            </w:pPr>
          </w:p>
          <w:p w:rsidR="00AA5C8C" w:rsidRPr="00A23740" w:rsidRDefault="00AA5C8C" w:rsidP="009431FF">
            <w:pPr>
              <w:pStyle w:val="KIRMIZI"/>
              <w:jc w:val="center"/>
              <w:rPr>
                <w:lang w:val="tr-TR"/>
              </w:rPr>
            </w:pPr>
          </w:p>
          <w:p w:rsidR="00AA5C8C" w:rsidRPr="00A23740" w:rsidRDefault="00AA5C8C" w:rsidP="009431FF">
            <w:pPr>
              <w:pStyle w:val="KIRMIZI"/>
              <w:jc w:val="center"/>
              <w:rPr>
                <w:lang w:val="tr-TR"/>
              </w:rPr>
            </w:pPr>
          </w:p>
          <w:p w:rsidR="00AA5C8C" w:rsidRPr="00A23740" w:rsidRDefault="00AA5C8C" w:rsidP="009431FF">
            <w:pPr>
              <w:pStyle w:val="KIRMIZI"/>
              <w:jc w:val="center"/>
              <w:rPr>
                <w:lang w:val="tr-TR"/>
              </w:rPr>
            </w:pPr>
          </w:p>
          <w:p w:rsidR="00AA5C8C" w:rsidRPr="00A23740" w:rsidRDefault="00AA5C8C" w:rsidP="009431FF">
            <w:pPr>
              <w:pStyle w:val="KIRMIZI"/>
              <w:jc w:val="center"/>
              <w:rPr>
                <w:lang w:val="tr-TR"/>
              </w:rPr>
            </w:pPr>
          </w:p>
          <w:p w:rsidR="00AA5C8C" w:rsidRPr="00A23740" w:rsidRDefault="00AA5C8C" w:rsidP="009431FF">
            <w:pPr>
              <w:pStyle w:val="KIRMIZI"/>
              <w:rPr>
                <w:lang w:val="tr-TR"/>
              </w:rPr>
            </w:pPr>
            <w:r w:rsidRPr="00A23740">
              <w:rPr>
                <w:lang w:val="tr-TR"/>
              </w:rPr>
              <w:t>İflasın tasfiyesi</w:t>
            </w:r>
          </w:p>
          <w:p w:rsidR="00AA5C8C" w:rsidRPr="00A23740" w:rsidRDefault="00AA5C8C" w:rsidP="009431FF">
            <w:pPr>
              <w:pStyle w:val="KIRMIZI"/>
              <w:rPr>
                <w:lang w:val="tr-TR"/>
              </w:rPr>
            </w:pPr>
            <w:r w:rsidRPr="00A23740">
              <w:rPr>
                <w:lang w:val="tr-TR"/>
              </w:rPr>
              <w:t>1 – Masanın teşkili:</w:t>
            </w:r>
          </w:p>
          <w:p w:rsidR="00AA5C8C" w:rsidRPr="00A23740" w:rsidRDefault="00AA5C8C" w:rsidP="009431FF">
            <w:pPr>
              <w:tabs>
                <w:tab w:val="left" w:pos="567"/>
              </w:tabs>
              <w:rPr>
                <w:szCs w:val="24"/>
              </w:rPr>
            </w:pPr>
            <w:r w:rsidRPr="00A23740">
              <w:rPr>
                <w:szCs w:val="24"/>
              </w:rPr>
              <w:t>Defter tanzimi</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208 – (1)</w:t>
            </w:r>
            <w:r w:rsidRPr="00A23740">
              <w:rPr>
                <w:b/>
                <w:szCs w:val="24"/>
              </w:rPr>
              <w:t xml:space="preserve"> </w:t>
            </w:r>
            <w:r w:rsidRPr="00A23740">
              <w:rPr>
                <w:szCs w:val="24"/>
              </w:rPr>
              <w:t>İflasın açıl</w:t>
            </w:r>
            <w:r w:rsidRPr="00A23740">
              <w:rPr>
                <w:rFonts w:eastAsia="Times New Roman"/>
                <w:b/>
                <w:bCs/>
                <w:strike/>
                <w:color w:val="FF0000"/>
                <w:szCs w:val="24"/>
                <w:lang w:eastAsia="x-none"/>
              </w:rPr>
              <w:t>ması</w:t>
            </w:r>
            <w:r w:rsidRPr="00A23740">
              <w:rPr>
                <w:szCs w:val="24"/>
              </w:rPr>
              <w:t xml:space="preserve"> kendisine tebliğ olunur olunmaz iflas dairesi müflisin mallarının defterini tutma</w:t>
            </w:r>
            <w:r w:rsidRPr="00A23740">
              <w:rPr>
                <w:rStyle w:val="KIRMIZIChar"/>
                <w:rFonts w:eastAsia="Calibri"/>
              </w:rPr>
              <w:t>ğ</w:t>
            </w:r>
            <w:r w:rsidRPr="00A23740">
              <w:rPr>
                <w:szCs w:val="24"/>
              </w:rPr>
              <w:t xml:space="preserve">a başlar ve muhafazaları için </w:t>
            </w:r>
            <w:r w:rsidRPr="00A23740">
              <w:rPr>
                <w:b/>
                <w:strike/>
                <w:color w:val="FF0000"/>
                <w:szCs w:val="24"/>
              </w:rPr>
              <w:t>lazımgelen</w:t>
            </w:r>
            <w:r w:rsidRPr="00A23740">
              <w:rPr>
                <w:szCs w:val="24"/>
              </w:rPr>
              <w:t xml:space="preserve"> tedbirleri alır.</w:t>
            </w: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Başka bir </w:t>
            </w:r>
            <w:r w:rsidRPr="00A23740">
              <w:rPr>
                <w:rStyle w:val="KIRMIZIChar"/>
                <w:rFonts w:eastAsia="Calibri"/>
              </w:rPr>
              <w:t>kaza dahilinde</w:t>
            </w:r>
            <w:r w:rsidRPr="00A23740">
              <w:rPr>
                <w:szCs w:val="24"/>
              </w:rPr>
              <w:t xml:space="preserve"> bulunan mallar hakkında bu </w:t>
            </w:r>
            <w:r w:rsidRPr="00A23740">
              <w:rPr>
                <w:rStyle w:val="KIRMIZIChar"/>
                <w:rFonts w:eastAsia="Calibri"/>
              </w:rPr>
              <w:t>muamele ora</w:t>
            </w:r>
            <w:r w:rsidRPr="00A23740">
              <w:rPr>
                <w:szCs w:val="24"/>
              </w:rPr>
              <w:t xml:space="preserve"> iflas dairesi </w:t>
            </w:r>
            <w:r w:rsidRPr="00A23740">
              <w:rPr>
                <w:rStyle w:val="KIRMIZIChar"/>
                <w:rFonts w:eastAsia="Calibri"/>
              </w:rPr>
              <w:t>vesatatiyle</w:t>
            </w:r>
            <w:r w:rsidRPr="00A23740">
              <w:rPr>
                <w:szCs w:val="24"/>
              </w:rPr>
              <w:t xml:space="preserve"> yapılır.</w:t>
            </w:r>
          </w:p>
          <w:p w:rsidR="00AA5C8C" w:rsidRPr="00A23740" w:rsidRDefault="00AA5C8C" w:rsidP="009431FF">
            <w:pPr>
              <w:tabs>
                <w:tab w:val="left" w:pos="567"/>
              </w:tabs>
              <w:rPr>
                <w:b/>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(Ek: 9/11/1988-3494/43 md.) İflas dairesi iflas kararının kendisine </w:t>
            </w:r>
            <w:r w:rsidRPr="00A23740">
              <w:rPr>
                <w:rStyle w:val="KIRMIZIChar"/>
                <w:rFonts w:eastAsia="Calibri"/>
              </w:rPr>
              <w:t>tebliğinden</w:t>
            </w:r>
            <w:r w:rsidRPr="00A23740">
              <w:rPr>
                <w:szCs w:val="24"/>
              </w:rPr>
              <w:t xml:space="preserve"> itibaren en geç iki ay içinde tasfiyenin </w:t>
            </w:r>
            <w:r w:rsidRPr="00A23740">
              <w:rPr>
                <w:rStyle w:val="KIRMIZIChar"/>
                <w:rFonts w:eastAsia="Calibri"/>
              </w:rPr>
              <w:t>adi veya basit şekilde yapılacağına</w:t>
            </w:r>
            <w:r w:rsidRPr="00A23740">
              <w:rPr>
                <w:szCs w:val="24"/>
              </w:rPr>
              <w:t xml:space="preserve"> karar </w:t>
            </w:r>
            <w:r w:rsidRPr="00892799">
              <w:rPr>
                <w:rStyle w:val="KIRMIZIChar"/>
                <w:rFonts w:eastAsia="Calibri"/>
              </w:rPr>
              <w:t>vermek</w:t>
            </w:r>
            <w:r w:rsidRPr="00A23740">
              <w:rPr>
                <w:szCs w:val="24"/>
              </w:rPr>
              <w:t xml:space="preserve"> </w:t>
            </w:r>
            <w:r w:rsidRPr="00A23740">
              <w:rPr>
                <w:rStyle w:val="KIRMIZIChar"/>
                <w:rFonts w:eastAsia="Calibri"/>
              </w:rPr>
              <w:t>zorundadır</w:t>
            </w:r>
            <w:r w:rsidRPr="00A23740">
              <w:rPr>
                <w:szCs w:val="24"/>
              </w:rPr>
              <w:t>.</w:t>
            </w:r>
          </w:p>
        </w:tc>
        <w:tc>
          <w:tcPr>
            <w:tcW w:w="2500" w:type="pct"/>
          </w:tcPr>
          <w:p w:rsidR="00AA5C8C" w:rsidRPr="00A23740" w:rsidRDefault="00AA5C8C" w:rsidP="009431FF">
            <w:pPr>
              <w:pStyle w:val="MAV"/>
              <w:jc w:val="center"/>
              <w:rPr>
                <w:u w:val="none"/>
                <w:lang w:val="tr-TR"/>
              </w:rPr>
            </w:pPr>
            <w:r w:rsidRPr="00A23740">
              <w:rPr>
                <w:u w:val="none"/>
                <w:lang w:val="tr-TR"/>
              </w:rPr>
              <w:t>BEŞİNCİ BÖLÜM</w:t>
            </w:r>
          </w:p>
          <w:p w:rsidR="00AA5C8C" w:rsidRPr="00A23740" w:rsidRDefault="00AA5C8C" w:rsidP="009431FF">
            <w:pPr>
              <w:pStyle w:val="MAV"/>
              <w:jc w:val="center"/>
              <w:rPr>
                <w:u w:val="none"/>
                <w:lang w:val="tr-TR"/>
              </w:rPr>
            </w:pPr>
            <w:r w:rsidRPr="00A23740">
              <w:rPr>
                <w:u w:val="none"/>
                <w:lang w:val="tr-TR"/>
              </w:rPr>
              <w:t>İflasın Tasfiyesi</w:t>
            </w:r>
          </w:p>
          <w:p w:rsidR="00AA5C8C" w:rsidRPr="00A23740" w:rsidRDefault="00AA5C8C" w:rsidP="009431FF">
            <w:pPr>
              <w:pStyle w:val="MAV"/>
              <w:jc w:val="center"/>
              <w:rPr>
                <w:u w:val="none"/>
                <w:lang w:val="tr-TR"/>
              </w:rPr>
            </w:pPr>
          </w:p>
          <w:p w:rsidR="00AA5C8C" w:rsidRPr="00A23740" w:rsidRDefault="00AA5C8C" w:rsidP="009431FF">
            <w:pPr>
              <w:pStyle w:val="MAV"/>
              <w:jc w:val="center"/>
              <w:rPr>
                <w:u w:val="none"/>
                <w:lang w:val="tr-TR"/>
              </w:rPr>
            </w:pPr>
            <w:r w:rsidRPr="00A23740">
              <w:rPr>
                <w:u w:val="none"/>
                <w:lang w:val="tr-TR"/>
              </w:rPr>
              <w:t>BİRİNCİ AYRIM</w:t>
            </w:r>
          </w:p>
          <w:p w:rsidR="00AA5C8C" w:rsidRPr="00A23740" w:rsidRDefault="00AA5C8C" w:rsidP="009431FF">
            <w:pPr>
              <w:pStyle w:val="MAV"/>
              <w:jc w:val="center"/>
              <w:rPr>
                <w:u w:val="none"/>
                <w:lang w:val="tr-TR"/>
              </w:rPr>
            </w:pPr>
            <w:r w:rsidRPr="00A23740">
              <w:rPr>
                <w:u w:val="none"/>
                <w:lang w:val="tr-TR"/>
              </w:rPr>
              <w:t>Masanın Oluşturulması</w:t>
            </w:r>
          </w:p>
          <w:p w:rsidR="00AA5C8C" w:rsidRPr="00A23740" w:rsidRDefault="00AA5C8C" w:rsidP="009431FF">
            <w:pPr>
              <w:tabs>
                <w:tab w:val="center" w:pos="3543"/>
              </w:tabs>
              <w:rPr>
                <w:szCs w:val="24"/>
              </w:rPr>
            </w:pP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r w:rsidRPr="00A23740">
              <w:rPr>
                <w:b/>
                <w:szCs w:val="24"/>
              </w:rPr>
              <w:t xml:space="preserve">Defter </w:t>
            </w:r>
            <w:r w:rsidRPr="00A23740">
              <w:rPr>
                <w:rStyle w:val="MaviChar"/>
              </w:rPr>
              <w:t>tutma</w:t>
            </w:r>
          </w:p>
          <w:p w:rsidR="00AA5C8C" w:rsidRPr="00A23740" w:rsidRDefault="00AA5C8C" w:rsidP="009431FF">
            <w:pPr>
              <w:tabs>
                <w:tab w:val="left" w:pos="567"/>
              </w:tabs>
              <w:rPr>
                <w:szCs w:val="24"/>
              </w:rPr>
            </w:pPr>
            <w:r w:rsidRPr="00A23740">
              <w:rPr>
                <w:rStyle w:val="MaviChar"/>
                <w:lang w:val="tr-TR"/>
              </w:rPr>
              <w:t xml:space="preserve">MADDE </w:t>
            </w:r>
            <w:r w:rsidR="008276D4" w:rsidRPr="00A23740">
              <w:rPr>
                <w:rStyle w:val="MAVChar"/>
                <w:rFonts w:eastAsia="Calibri"/>
                <w:u w:val="none"/>
              </w:rPr>
              <w:t>319</w:t>
            </w:r>
            <w:r w:rsidRPr="00A23740">
              <w:rPr>
                <w:rStyle w:val="MAVChar"/>
                <w:rFonts w:eastAsia="Calibri"/>
                <w:u w:val="none"/>
              </w:rPr>
              <w:t>- (1</w:t>
            </w:r>
            <w:r w:rsidRPr="00A23740">
              <w:rPr>
                <w:b/>
                <w:color w:val="0000FF"/>
                <w:szCs w:val="24"/>
              </w:rPr>
              <w:t>)</w:t>
            </w:r>
            <w:r w:rsidRPr="00A23740">
              <w:rPr>
                <w:b/>
                <w:szCs w:val="24"/>
              </w:rPr>
              <w:t xml:space="preserve"> </w:t>
            </w:r>
            <w:r w:rsidR="005B4350" w:rsidRPr="00E15D75">
              <w:rPr>
                <w:rStyle w:val="Balk1Char"/>
                <w:rFonts w:eastAsia="ヒラギノ明朝 Pro W3"/>
              </w:rPr>
              <w:t>İflas dairesi,</w:t>
            </w:r>
            <w:r w:rsidR="005B4350" w:rsidRPr="00A23740">
              <w:rPr>
                <w:b/>
                <w:szCs w:val="24"/>
              </w:rPr>
              <w:t xml:space="preserve"> </w:t>
            </w:r>
            <w:r w:rsidR="005B4350" w:rsidRPr="00A23740">
              <w:rPr>
                <w:szCs w:val="24"/>
              </w:rPr>
              <w:t xml:space="preserve">iflasın </w:t>
            </w:r>
            <w:r w:rsidRPr="00A23740">
              <w:rPr>
                <w:szCs w:val="24"/>
              </w:rPr>
              <w:t>açıl</w:t>
            </w:r>
            <w:r w:rsidRPr="00A23740">
              <w:rPr>
                <w:rStyle w:val="MaviChar"/>
              </w:rPr>
              <w:t>dığı</w:t>
            </w:r>
            <w:r w:rsidR="005B4350" w:rsidRPr="00E15D75">
              <w:rPr>
                <w:rStyle w:val="Balk1Char"/>
                <w:rFonts w:eastAsia="ヒラギノ明朝 Pro W3"/>
              </w:rPr>
              <w:t>nın</w:t>
            </w:r>
            <w:r w:rsidR="00153C22" w:rsidRPr="00A23740">
              <w:rPr>
                <w:rStyle w:val="YELChar"/>
              </w:rPr>
              <w:t xml:space="preserve"> </w:t>
            </w:r>
            <w:r w:rsidR="00153C22" w:rsidRPr="00E15D75">
              <w:rPr>
                <w:rStyle w:val="Balk1Char"/>
                <w:rFonts w:eastAsia="ヒラギノ明朝 Pro W3"/>
              </w:rPr>
              <w:t>283 üncü</w:t>
            </w:r>
            <w:r w:rsidRPr="00A23740">
              <w:rPr>
                <w:szCs w:val="24"/>
              </w:rPr>
              <w:t xml:space="preserve"> </w:t>
            </w:r>
            <w:r w:rsidRPr="00A23740">
              <w:rPr>
                <w:rStyle w:val="Stil2Char"/>
                <w:rFonts w:eastAsia="Calibri"/>
                <w:u w:val="none"/>
              </w:rPr>
              <w:t xml:space="preserve">madde uyarınca </w:t>
            </w:r>
            <w:r w:rsidRPr="00A23740">
              <w:rPr>
                <w:szCs w:val="24"/>
              </w:rPr>
              <w:t>kendisine</w:t>
            </w:r>
            <w:r w:rsidR="005B4350" w:rsidRPr="00A23740">
              <w:rPr>
                <w:szCs w:val="24"/>
              </w:rPr>
              <w:t xml:space="preserve"> </w:t>
            </w:r>
            <w:r w:rsidR="005B4350" w:rsidRPr="00E15D75">
              <w:rPr>
                <w:rStyle w:val="Balk1Char"/>
                <w:rFonts w:eastAsia="ヒラギノ明朝 Pro W3"/>
              </w:rPr>
              <w:t>bildirilmesi üzerine derh</w:t>
            </w:r>
            <w:r w:rsidR="00DF22A1" w:rsidRPr="00E15D75">
              <w:rPr>
                <w:rStyle w:val="Balk1Char"/>
                <w:rFonts w:eastAsia="ヒラギノ明朝 Pro W3"/>
              </w:rPr>
              <w:t>â</w:t>
            </w:r>
            <w:r w:rsidR="005B4350" w:rsidRPr="00E15D75">
              <w:rPr>
                <w:rStyle w:val="Balk1Char"/>
                <w:rFonts w:eastAsia="ヒラギノ明朝 Pro W3"/>
              </w:rPr>
              <w:t>l</w:t>
            </w:r>
            <w:r w:rsidRPr="00A23740">
              <w:rPr>
                <w:rStyle w:val="Stil2Char"/>
                <w:rFonts w:eastAsia="Calibri"/>
                <w:u w:val="none"/>
              </w:rPr>
              <w:t xml:space="preserve"> </w:t>
            </w:r>
            <w:r w:rsidRPr="00A23740">
              <w:rPr>
                <w:szCs w:val="24"/>
              </w:rPr>
              <w:t>müflisin mallarının defterini tutma</w:t>
            </w:r>
            <w:r w:rsidRPr="00A23740">
              <w:rPr>
                <w:rStyle w:val="MAVChar"/>
                <w:rFonts w:eastAsia="Calibri"/>
                <w:u w:val="none"/>
              </w:rPr>
              <w:t>y</w:t>
            </w:r>
            <w:r w:rsidRPr="00A23740">
              <w:rPr>
                <w:szCs w:val="24"/>
              </w:rPr>
              <w:t xml:space="preserve">a başlar ve </w:t>
            </w:r>
            <w:r w:rsidR="005B4350" w:rsidRPr="00E15D75">
              <w:rPr>
                <w:rStyle w:val="Balk1Char"/>
                <w:rFonts w:eastAsia="ヒラギノ明朝 Pro W3"/>
              </w:rPr>
              <w:t>bu malların muhafazası</w:t>
            </w:r>
            <w:r w:rsidR="005B4350" w:rsidRPr="00A23740">
              <w:rPr>
                <w:szCs w:val="24"/>
              </w:rPr>
              <w:t xml:space="preserve"> </w:t>
            </w:r>
            <w:r w:rsidRPr="00A23740">
              <w:rPr>
                <w:szCs w:val="24"/>
              </w:rPr>
              <w:t xml:space="preserve">için </w:t>
            </w:r>
            <w:r w:rsidRPr="00A23740">
              <w:rPr>
                <w:b/>
                <w:color w:val="0000FF"/>
                <w:szCs w:val="24"/>
              </w:rPr>
              <w:t>gerekli</w:t>
            </w:r>
            <w:r w:rsidRPr="00A23740">
              <w:rPr>
                <w:szCs w:val="24"/>
              </w:rPr>
              <w:t xml:space="preserve"> tedbirleri alır. Başka bir </w:t>
            </w:r>
            <w:r w:rsidRPr="00A23740">
              <w:rPr>
                <w:rStyle w:val="MAVChar"/>
                <w:rFonts w:eastAsia="Calibri"/>
                <w:u w:val="none"/>
              </w:rPr>
              <w:t>yerde</w:t>
            </w:r>
            <w:r w:rsidRPr="00A23740">
              <w:rPr>
                <w:szCs w:val="24"/>
              </w:rPr>
              <w:t xml:space="preserve"> bulunan mallar hakkında bu </w:t>
            </w:r>
            <w:r w:rsidRPr="00A23740">
              <w:rPr>
                <w:rStyle w:val="MAVChar"/>
                <w:rFonts w:eastAsia="Calibri"/>
                <w:u w:val="none"/>
              </w:rPr>
              <w:t>işlem</w:t>
            </w:r>
            <w:r w:rsidRPr="00A23740">
              <w:rPr>
                <w:rStyle w:val="MaviChar"/>
              </w:rPr>
              <w:t>,</w:t>
            </w:r>
            <w:r w:rsidRPr="00A23740">
              <w:rPr>
                <w:rStyle w:val="MAVChar"/>
                <w:rFonts w:eastAsia="Calibri"/>
                <w:u w:val="none"/>
              </w:rPr>
              <w:t xml:space="preserve"> o yerdeki</w:t>
            </w:r>
            <w:r w:rsidRPr="00A23740">
              <w:rPr>
                <w:szCs w:val="24"/>
              </w:rPr>
              <w:t xml:space="preserve"> iflas dairesi </w:t>
            </w:r>
            <w:r w:rsidRPr="00A23740">
              <w:rPr>
                <w:rStyle w:val="MAVChar"/>
                <w:rFonts w:eastAsia="Calibri"/>
                <w:u w:val="none"/>
              </w:rPr>
              <w:t>aracılığıyla</w:t>
            </w:r>
            <w:r w:rsidRPr="00A23740">
              <w:rPr>
                <w:szCs w:val="24"/>
              </w:rPr>
              <w:t xml:space="preserve"> yapılır.</w:t>
            </w:r>
          </w:p>
          <w:p w:rsidR="00AA5C8C" w:rsidRPr="00A23740" w:rsidRDefault="00AA5C8C" w:rsidP="009431FF">
            <w:pPr>
              <w:tabs>
                <w:tab w:val="left" w:pos="567"/>
              </w:tabs>
              <w:rPr>
                <w:b/>
                <w:color w:val="FF0000"/>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İflas dairesi</w:t>
            </w:r>
            <w:r w:rsidRPr="00A23740">
              <w:rPr>
                <w:b/>
                <w:color w:val="0000FF"/>
                <w:szCs w:val="24"/>
              </w:rPr>
              <w:t>,</w:t>
            </w:r>
            <w:r w:rsidRPr="00A23740">
              <w:rPr>
                <w:szCs w:val="24"/>
              </w:rPr>
              <w:t xml:space="preserve"> iflas kararının kendisine </w:t>
            </w:r>
            <w:r w:rsidRPr="00A23740">
              <w:rPr>
                <w:rStyle w:val="Stil2Char"/>
                <w:rFonts w:eastAsia="Calibri"/>
                <w:u w:val="none"/>
              </w:rPr>
              <w:t>bildirilmesinden</w:t>
            </w:r>
            <w:r w:rsidRPr="00A23740">
              <w:rPr>
                <w:szCs w:val="24"/>
              </w:rPr>
              <w:t xml:space="preserve"> itibaren en geç iki ay içinde</w:t>
            </w:r>
            <w:r w:rsidRPr="00A23740">
              <w:rPr>
                <w:b/>
                <w:color w:val="0000FF"/>
                <w:szCs w:val="24"/>
              </w:rPr>
              <w:t xml:space="preserve">, </w:t>
            </w:r>
            <w:r w:rsidRPr="00A23740">
              <w:rPr>
                <w:szCs w:val="24"/>
              </w:rPr>
              <w:t>tasfiyenin</w:t>
            </w:r>
            <w:r w:rsidRPr="00A23740">
              <w:rPr>
                <w:b/>
                <w:color w:val="0000FF"/>
                <w:szCs w:val="24"/>
              </w:rPr>
              <w:t xml:space="preserve"> </w:t>
            </w:r>
            <w:r w:rsidRPr="00A23740">
              <w:rPr>
                <w:rStyle w:val="MaviChar"/>
              </w:rPr>
              <w:t>olağan</w:t>
            </w:r>
            <w:r w:rsidRPr="00A23740">
              <w:rPr>
                <w:rStyle w:val="MaviChar"/>
                <w:lang w:val="tr-TR"/>
              </w:rPr>
              <w:t xml:space="preserve"> </w:t>
            </w:r>
            <w:r w:rsidRPr="00A23740">
              <w:rPr>
                <w:rStyle w:val="MaviChar"/>
              </w:rPr>
              <w:t>veya basit şekilde yapılmasına ya da</w:t>
            </w:r>
            <w:r w:rsidRPr="00A23740">
              <w:rPr>
                <w:rStyle w:val="YELChar"/>
              </w:rPr>
              <w:t xml:space="preserve"> </w:t>
            </w:r>
            <w:r w:rsidRPr="00A23740">
              <w:rPr>
                <w:rStyle w:val="MaviChar"/>
              </w:rPr>
              <w:t>tasfiyenin tatiline</w:t>
            </w:r>
            <w:r w:rsidRPr="00A23740">
              <w:rPr>
                <w:b/>
                <w:color w:val="0000FF"/>
                <w:szCs w:val="24"/>
              </w:rPr>
              <w:t xml:space="preserve"> </w:t>
            </w:r>
            <w:r w:rsidRPr="00A23740">
              <w:rPr>
                <w:szCs w:val="24"/>
              </w:rPr>
              <w:t xml:space="preserve">karar </w:t>
            </w:r>
            <w:r w:rsidRPr="00892799">
              <w:rPr>
                <w:rStyle w:val="Balk1Char"/>
                <w:rFonts w:eastAsia="Calibri"/>
              </w:rPr>
              <w:t>verir</w:t>
            </w:r>
            <w:r w:rsidRPr="00A23740">
              <w:rPr>
                <w:szCs w:val="24"/>
              </w:rPr>
              <w:t>.</w:t>
            </w:r>
          </w:p>
          <w:p w:rsidR="00AA5C8C" w:rsidRPr="00A23740" w:rsidRDefault="00AA5C8C" w:rsidP="009431FF">
            <w:pPr>
              <w:pStyle w:val="KIRMIZI"/>
            </w:pPr>
          </w:p>
        </w:tc>
      </w:tr>
      <w:tr w:rsidR="000C765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5F2472" w:rsidRPr="00A23740" w:rsidRDefault="005F2472" w:rsidP="009431FF">
            <w:pPr>
              <w:ind w:firstLine="709"/>
              <w:rPr>
                <w:b/>
              </w:rPr>
            </w:pPr>
          </w:p>
          <w:p w:rsidR="005F2472" w:rsidRPr="00A23740" w:rsidRDefault="008276D4" w:rsidP="009431FF">
            <w:pPr>
              <w:ind w:firstLine="709"/>
            </w:pPr>
            <w:r w:rsidRPr="00A23740">
              <w:rPr>
                <w:b/>
              </w:rPr>
              <w:t>MADDE 319</w:t>
            </w:r>
            <w:r w:rsidR="005F2472" w:rsidRPr="00A23740">
              <w:rPr>
                <w:b/>
              </w:rPr>
              <w:t>-</w:t>
            </w:r>
            <w:r w:rsidR="005F2472" w:rsidRPr="00A23740">
              <w:t xml:space="preserve"> Maddeyle, </w:t>
            </w:r>
            <w:r w:rsidR="00832242" w:rsidRPr="00A23740">
              <w:t xml:space="preserve">defter tutmaya </w:t>
            </w:r>
            <w:r w:rsidR="005F2472" w:rsidRPr="00A23740">
              <w:t xml:space="preserve">ilişkin hususlar düzenlenmektedir. Hüküm, 2004 sayılı Kanunun </w:t>
            </w:r>
            <w:r w:rsidR="00832242" w:rsidRPr="00A23740">
              <w:t>208 inci</w:t>
            </w:r>
            <w:r w:rsidR="005F2472" w:rsidRPr="00A23740">
              <w:t xml:space="preserve"> maddesine karşılık gelmektedir. </w:t>
            </w:r>
          </w:p>
          <w:p w:rsidR="000C7650" w:rsidRPr="00A23740" w:rsidRDefault="00ED4844" w:rsidP="009431FF">
            <w:pPr>
              <w:tabs>
                <w:tab w:val="left" w:pos="567"/>
              </w:tabs>
              <w:ind w:firstLine="709"/>
            </w:pPr>
            <w:r w:rsidRPr="00A23740">
              <w:t xml:space="preserve">Maddede </w:t>
            </w:r>
            <w:r w:rsidR="005B4350" w:rsidRPr="00E15D75">
              <w:t xml:space="preserve">iflas dairesinin </w:t>
            </w:r>
            <w:r w:rsidRPr="00E15D75">
              <w:t>iflasın</w:t>
            </w:r>
            <w:r w:rsidRPr="00A23740">
              <w:t xml:space="preserve"> açılmas</w:t>
            </w:r>
            <w:r w:rsidR="005B4350" w:rsidRPr="00A23740">
              <w:t>ı</w:t>
            </w:r>
            <w:r w:rsidRPr="00A23740">
              <w:t>ndan sonra</w:t>
            </w:r>
            <w:r w:rsidR="00892799">
              <w:t xml:space="preserve"> </w:t>
            </w:r>
            <w:r w:rsidRPr="00A23740">
              <w:t>defter tutmasının usulü günümüz Türkçesi</w:t>
            </w:r>
            <w:r w:rsidR="005B4350" w:rsidRPr="00E15D75">
              <w:t>yle</w:t>
            </w:r>
            <w:r w:rsidRPr="00A23740">
              <w:t xml:space="preserve"> ve sadeleştirilerek kaleme alınmıştır. </w:t>
            </w:r>
            <w:r w:rsidR="000F4080" w:rsidRPr="00E15D75">
              <w:rPr>
                <w:bCs/>
              </w:rPr>
              <w:t>4721 sayılı Kanunun</w:t>
            </w:r>
            <w:r w:rsidRPr="00E15D75">
              <w:t xml:space="preserve"> </w:t>
            </w:r>
            <w:r w:rsidR="00704602" w:rsidRPr="00E15D75">
              <w:t>590</w:t>
            </w:r>
            <w:r w:rsidR="00153C22" w:rsidRPr="00E15D75">
              <w:t xml:space="preserve"> </w:t>
            </w:r>
            <w:r w:rsidR="00153C22" w:rsidRPr="00E15D75">
              <w:rPr>
                <w:bCs/>
              </w:rPr>
              <w:t>ıncı maddesinde</w:t>
            </w:r>
            <w:r w:rsidR="00704602" w:rsidRPr="00A23740">
              <w:rPr>
                <w:rStyle w:val="YELChar"/>
              </w:rPr>
              <w:t xml:space="preserve"> </w:t>
            </w:r>
            <w:r w:rsidR="005B4350" w:rsidRPr="00E15D75">
              <w:t>sözü edilen</w:t>
            </w:r>
            <w:r w:rsidR="005B4350" w:rsidRPr="00A23740">
              <w:t xml:space="preserve"> “terekenin defterinin tutulması</w:t>
            </w:r>
            <w:r w:rsidR="00704602" w:rsidRPr="00A23740">
              <w:t>”</w:t>
            </w:r>
            <w:r w:rsidRPr="00A23740">
              <w:t>na ilişkin hükü</w:t>
            </w:r>
            <w:r w:rsidR="00927F6C" w:rsidRPr="00A23740">
              <w:t>mlerle paralellik sağlamak için</w:t>
            </w:r>
            <w:r w:rsidR="00935A26" w:rsidRPr="00A23740">
              <w:t>,</w:t>
            </w:r>
            <w:r w:rsidRPr="00A23740">
              <w:t xml:space="preserve"> defter tanzimi yerine </w:t>
            </w:r>
            <w:r w:rsidR="00935A26" w:rsidRPr="00A23740">
              <w:t>“</w:t>
            </w:r>
            <w:r w:rsidRPr="00A23740">
              <w:t>defter tutma</w:t>
            </w:r>
            <w:r w:rsidR="00935A26" w:rsidRPr="00A23740">
              <w:t>”</w:t>
            </w:r>
            <w:r w:rsidRPr="00A23740">
              <w:t xml:space="preserve"> ibaresi tercih edilmiştir.  </w:t>
            </w:r>
          </w:p>
          <w:p w:rsidR="005F2472" w:rsidRPr="00A23740" w:rsidRDefault="005F2472"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szCs w:val="24"/>
              </w:rPr>
            </w:pPr>
            <w:r w:rsidRPr="00A23740">
              <w:rPr>
                <w:szCs w:val="24"/>
              </w:rPr>
              <w:t xml:space="preserve">Müflisin </w:t>
            </w:r>
            <w:r w:rsidRPr="00A23740">
              <w:rPr>
                <w:b/>
                <w:strike/>
                <w:color w:val="FF0000"/>
                <w:szCs w:val="24"/>
              </w:rPr>
              <w:t>vazifeleri:</w:t>
            </w:r>
          </w:p>
          <w:p w:rsidR="00AA5C8C" w:rsidRPr="00A23740" w:rsidRDefault="00AA5C8C" w:rsidP="009431FF">
            <w:pPr>
              <w:widowControl w:val="0"/>
              <w:tabs>
                <w:tab w:val="left" w:pos="567"/>
              </w:tabs>
              <w:rPr>
                <w:szCs w:val="24"/>
              </w:rPr>
            </w:pPr>
            <w:r w:rsidRPr="00A23740">
              <w:rPr>
                <w:rStyle w:val="KIRMIZIChar"/>
                <w:rFonts w:eastAsia="Calibri"/>
              </w:rPr>
              <w:t>Madde 209 – (1)</w:t>
            </w:r>
            <w:r w:rsidRPr="00A23740">
              <w:rPr>
                <w:b/>
                <w:szCs w:val="24"/>
              </w:rPr>
              <w:t xml:space="preserve"> </w:t>
            </w:r>
            <w:r w:rsidRPr="00A23740">
              <w:rPr>
                <w:szCs w:val="24"/>
              </w:rPr>
              <w:t xml:space="preserve">Müflis defter tutulurken </w:t>
            </w:r>
            <w:r w:rsidRPr="00A23740">
              <w:rPr>
                <w:rStyle w:val="KIRMIZIChar"/>
                <w:rFonts w:eastAsia="Calibri"/>
              </w:rPr>
              <w:t>bulunarak</w:t>
            </w:r>
            <w:r w:rsidRPr="00A23740">
              <w:rPr>
                <w:szCs w:val="24"/>
              </w:rPr>
              <w:t xml:space="preserve"> mallarını iflas dairesine </w:t>
            </w:r>
            <w:r w:rsidRPr="00A23740">
              <w:rPr>
                <w:b/>
                <w:strike/>
                <w:color w:val="FF0000"/>
                <w:szCs w:val="24"/>
              </w:rPr>
              <w:t>göstermeğe</w:t>
            </w:r>
            <w:r w:rsidRPr="00A23740">
              <w:rPr>
                <w:szCs w:val="24"/>
              </w:rPr>
              <w:t xml:space="preserve"> ve emrine hazır </w:t>
            </w:r>
            <w:r w:rsidRPr="00A23740">
              <w:rPr>
                <w:b/>
                <w:strike/>
                <w:color w:val="FF0000"/>
                <w:szCs w:val="24"/>
              </w:rPr>
              <w:t>bulundurmağa</w:t>
            </w:r>
            <w:r w:rsidRPr="00A23740">
              <w:rPr>
                <w:szCs w:val="24"/>
              </w:rPr>
              <w:t xml:space="preserve"> </w:t>
            </w:r>
            <w:r w:rsidRPr="00A23740">
              <w:rPr>
                <w:b/>
                <w:strike/>
                <w:color w:val="FF0000"/>
                <w:szCs w:val="24"/>
              </w:rPr>
              <w:t>mecburdur</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51573C" w:rsidRPr="00A23740" w:rsidRDefault="0051573C" w:rsidP="009431FF">
            <w:pPr>
              <w:widowControl w:val="0"/>
              <w:tabs>
                <w:tab w:val="left" w:pos="567"/>
              </w:tabs>
              <w:rPr>
                <w:szCs w:val="24"/>
              </w:rPr>
            </w:pPr>
          </w:p>
          <w:p w:rsidR="00AA5C8C" w:rsidRPr="00A23740" w:rsidRDefault="00AA5C8C" w:rsidP="009431FF">
            <w:pPr>
              <w:widowControl w:val="0"/>
              <w:tabs>
                <w:tab w:val="left" w:pos="567"/>
              </w:tabs>
              <w:rPr>
                <w:b/>
                <w:strike/>
                <w:color w:val="FF0000"/>
                <w:szCs w:val="24"/>
              </w:rPr>
            </w:pPr>
            <w:r w:rsidRPr="00A23740">
              <w:rPr>
                <w:rStyle w:val="KIRMIZIChar"/>
                <w:rFonts w:eastAsia="Calibri"/>
              </w:rPr>
              <w:t>(2)</w:t>
            </w:r>
            <w:r w:rsidRPr="00A23740">
              <w:rPr>
                <w:szCs w:val="24"/>
              </w:rPr>
              <w:t xml:space="preserve"> Müflisi hazır bulundurmak mümkün olmazsa bu </w:t>
            </w:r>
            <w:r w:rsidRPr="00A23740">
              <w:rPr>
                <w:b/>
                <w:strike/>
                <w:color w:val="FF0000"/>
                <w:szCs w:val="24"/>
              </w:rPr>
              <w:t>mecburiyet</w:t>
            </w:r>
            <w:r w:rsidRPr="00A23740">
              <w:rPr>
                <w:szCs w:val="24"/>
              </w:rPr>
              <w:t xml:space="preserve"> onunla bir arada </w:t>
            </w:r>
            <w:r w:rsidRPr="00A23740">
              <w:rPr>
                <w:b/>
                <w:strike/>
                <w:color w:val="FF0000"/>
                <w:szCs w:val="24"/>
              </w:rPr>
              <w:t>yaşamış kimselerin reşit olanlarına düşer.</w:t>
            </w:r>
          </w:p>
          <w:p w:rsidR="00AA5C8C" w:rsidRPr="00A23740" w:rsidRDefault="00AA5C8C" w:rsidP="009431FF">
            <w:pPr>
              <w:widowControl w:val="0"/>
              <w:tabs>
                <w:tab w:val="left" w:pos="567"/>
              </w:tabs>
              <w:rPr>
                <w:b/>
                <w:strike/>
                <w:color w:val="FF0000"/>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(3)</w:t>
            </w:r>
            <w:r w:rsidRPr="00A23740">
              <w:rPr>
                <w:szCs w:val="24"/>
              </w:rPr>
              <w:t xml:space="preserve"> İflas dairesi bu </w:t>
            </w:r>
            <w:r w:rsidRPr="00A23740">
              <w:rPr>
                <w:b/>
                <w:strike/>
                <w:color w:val="FF0000"/>
                <w:szCs w:val="24"/>
              </w:rPr>
              <w:t>mecburiyet</w:t>
            </w:r>
            <w:r w:rsidRPr="00A23740">
              <w:rPr>
                <w:szCs w:val="24"/>
              </w:rPr>
              <w:t xml:space="preserve"> </w:t>
            </w:r>
            <w:r w:rsidRPr="00A23740">
              <w:rPr>
                <w:rStyle w:val="KIRMIZIChar"/>
                <w:rFonts w:eastAsia="Calibri"/>
              </w:rPr>
              <w:t>kandilerine</w:t>
            </w:r>
            <w:r w:rsidRPr="00A23740">
              <w:rPr>
                <w:szCs w:val="24"/>
              </w:rPr>
              <w:t xml:space="preserve"> </w:t>
            </w:r>
            <w:r w:rsidRPr="00A23740">
              <w:rPr>
                <w:b/>
                <w:strike/>
                <w:color w:val="FF0000"/>
                <w:szCs w:val="24"/>
              </w:rPr>
              <w:t>teveccüh eden kimselere</w:t>
            </w:r>
            <w:r w:rsidRPr="00A23740">
              <w:rPr>
                <w:szCs w:val="24"/>
              </w:rPr>
              <w:t xml:space="preserve"> </w:t>
            </w:r>
            <w:r w:rsidRPr="00A23740">
              <w:rPr>
                <w:rStyle w:val="KIRMIZIChar"/>
                <w:rFonts w:eastAsia="Calibri"/>
              </w:rPr>
              <w:t>kanunun hükmünü ihtar eder</w:t>
            </w:r>
            <w:r w:rsidRPr="00A23740">
              <w:rPr>
                <w:szCs w:val="24"/>
              </w:rPr>
              <w:t>.</w:t>
            </w:r>
          </w:p>
        </w:tc>
        <w:tc>
          <w:tcPr>
            <w:tcW w:w="2500" w:type="pct"/>
          </w:tcPr>
          <w:p w:rsidR="00AA5C8C" w:rsidRPr="00A23740" w:rsidRDefault="00AA5C8C" w:rsidP="009431FF">
            <w:pPr>
              <w:widowControl w:val="0"/>
              <w:tabs>
                <w:tab w:val="left" w:pos="567"/>
              </w:tabs>
              <w:rPr>
                <w:szCs w:val="24"/>
              </w:rPr>
            </w:pPr>
            <w:r w:rsidRPr="00A23740">
              <w:rPr>
                <w:b/>
                <w:szCs w:val="24"/>
              </w:rPr>
              <w:t>Müflisin</w:t>
            </w:r>
            <w:r w:rsidRPr="00A23740">
              <w:rPr>
                <w:szCs w:val="24"/>
              </w:rPr>
              <w:t xml:space="preserve"> </w:t>
            </w:r>
            <w:r w:rsidRPr="00A23740">
              <w:rPr>
                <w:b/>
                <w:color w:val="0000FF"/>
                <w:szCs w:val="24"/>
              </w:rPr>
              <w:t>görevleri</w:t>
            </w:r>
          </w:p>
          <w:p w:rsidR="00AA5C8C" w:rsidRPr="00A23740" w:rsidRDefault="00AA5C8C" w:rsidP="009431FF">
            <w:pPr>
              <w:widowControl w:val="0"/>
              <w:tabs>
                <w:tab w:val="left" w:pos="567"/>
              </w:tabs>
            </w:pPr>
            <w:r w:rsidRPr="00A23740">
              <w:rPr>
                <w:rStyle w:val="MaviChar"/>
                <w:lang w:val="tr-TR"/>
              </w:rPr>
              <w:t xml:space="preserve">MADDE </w:t>
            </w:r>
            <w:r w:rsidR="008276D4" w:rsidRPr="00A23740">
              <w:rPr>
                <w:rStyle w:val="MAVChar"/>
                <w:rFonts w:eastAsia="Calibri"/>
                <w:u w:val="none"/>
              </w:rPr>
              <w:t>320</w:t>
            </w:r>
            <w:r w:rsidRPr="00A23740">
              <w:rPr>
                <w:rStyle w:val="MAVChar"/>
                <w:rFonts w:eastAsia="Calibri"/>
                <w:u w:val="none"/>
              </w:rPr>
              <w:t xml:space="preserve">- </w:t>
            </w:r>
            <w:r w:rsidRPr="00A23740">
              <w:rPr>
                <w:rStyle w:val="MaviChar"/>
              </w:rPr>
              <w:t xml:space="preserve">(1) </w:t>
            </w:r>
            <w:r w:rsidRPr="00A23740">
              <w:t>Müflis defter tutulurken</w:t>
            </w:r>
            <w:r w:rsidR="007F6433" w:rsidRPr="00A23740">
              <w:rPr>
                <w:rStyle w:val="MaviChar"/>
              </w:rPr>
              <w:t xml:space="preserve"> hazır bulunmak,</w:t>
            </w:r>
            <w:r w:rsidRPr="00A23740">
              <w:rPr>
                <w:rStyle w:val="MaviChar"/>
              </w:rPr>
              <w:t xml:space="preserve"> </w:t>
            </w:r>
            <w:r w:rsidR="000075D7" w:rsidRPr="00A23740">
              <w:rPr>
                <w:rStyle w:val="MaviChar"/>
                <w:lang w:val="tr-TR"/>
              </w:rPr>
              <w:t xml:space="preserve">malları hakkında </w:t>
            </w:r>
            <w:r w:rsidR="007F6433" w:rsidRPr="00A23740">
              <w:rPr>
                <w:rStyle w:val="MaviChar"/>
                <w:lang w:val="tr-TR"/>
              </w:rPr>
              <w:t xml:space="preserve">iflas dairesine </w:t>
            </w:r>
            <w:r w:rsidR="000075D7" w:rsidRPr="00A23740">
              <w:rPr>
                <w:rStyle w:val="MaviChar"/>
                <w:lang w:val="tr-TR"/>
              </w:rPr>
              <w:t>bilgi vermek</w:t>
            </w:r>
            <w:r w:rsidR="007F6433" w:rsidRPr="00A23740">
              <w:rPr>
                <w:rStyle w:val="MaviChar"/>
              </w:rPr>
              <w:t xml:space="preserve">, </w:t>
            </w:r>
            <w:r w:rsidRPr="00A23740">
              <w:t>mallarını iflas dairesine</w:t>
            </w:r>
            <w:r w:rsidRPr="00A23740">
              <w:rPr>
                <w:rStyle w:val="MaviChar"/>
              </w:rPr>
              <w:t xml:space="preserve"> göstermek</w:t>
            </w:r>
            <w:r w:rsidR="000075D7" w:rsidRPr="00A23740">
              <w:rPr>
                <w:rStyle w:val="MaviChar"/>
                <w:lang w:val="tr-TR"/>
              </w:rPr>
              <w:t xml:space="preserve"> </w:t>
            </w:r>
            <w:r w:rsidRPr="00A23740">
              <w:rPr>
                <w:rStyle w:val="MaviChar"/>
              </w:rPr>
              <w:t xml:space="preserve">ve iflas dairesinin </w:t>
            </w:r>
            <w:r w:rsidRPr="00A23740">
              <w:t>emrine hazır</w:t>
            </w:r>
            <w:r w:rsidR="0051573C" w:rsidRPr="00A23740">
              <w:rPr>
                <w:rStyle w:val="MaviChar"/>
              </w:rPr>
              <w:t xml:space="preserve"> bulundurmakla yükümlüdür</w:t>
            </w:r>
            <w:r w:rsidR="00153C22" w:rsidRPr="00A23740">
              <w:rPr>
                <w:rStyle w:val="MaviChar"/>
                <w:lang w:val="tr-TR"/>
              </w:rPr>
              <w:t>.</w:t>
            </w:r>
          </w:p>
          <w:p w:rsidR="000075D7" w:rsidRPr="00A23740" w:rsidRDefault="000075D7"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(2)</w:t>
            </w:r>
            <w:r w:rsidRPr="00A23740">
              <w:rPr>
                <w:b/>
                <w:szCs w:val="24"/>
              </w:rPr>
              <w:t xml:space="preserve"> </w:t>
            </w:r>
            <w:r w:rsidRPr="00A23740">
              <w:rPr>
                <w:szCs w:val="24"/>
              </w:rPr>
              <w:t xml:space="preserve">Müflisi hazır bulundurmak mümkün olmazsa bu </w:t>
            </w:r>
            <w:r w:rsidRPr="00A23740">
              <w:rPr>
                <w:b/>
                <w:color w:val="0000FF"/>
                <w:szCs w:val="24"/>
              </w:rPr>
              <w:t>yükümlülük</w:t>
            </w:r>
            <w:r w:rsidRPr="00A23740">
              <w:rPr>
                <w:szCs w:val="24"/>
              </w:rPr>
              <w:t xml:space="preserve"> onunla bir arada </w:t>
            </w:r>
            <w:r w:rsidRPr="00A23740">
              <w:rPr>
                <w:b/>
                <w:color w:val="0000FF"/>
                <w:szCs w:val="24"/>
              </w:rPr>
              <w:t>yaşayan, ayırt etme gücüne sahip ergin kişiler tarafından yerine getirilir.</w:t>
            </w:r>
            <w:r w:rsidRPr="00A23740">
              <w:rPr>
                <w:szCs w:val="24"/>
              </w:rPr>
              <w:t xml:space="preserve"> </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color w:val="0000FF"/>
                <w:szCs w:val="24"/>
              </w:rPr>
            </w:pPr>
            <w:r w:rsidRPr="00A23740">
              <w:rPr>
                <w:b/>
                <w:color w:val="0000FF"/>
                <w:szCs w:val="24"/>
              </w:rPr>
              <w:t xml:space="preserve">(3) Birinci ve ikinci fıkradaki hükümlere göre yükümlü olanlar, iflas dairesinin talebiyle kilitli yerleri ve depoları açmak zorundadırlar. İflas dairesi </w:t>
            </w:r>
            <w:r w:rsidRPr="00A23740">
              <w:rPr>
                <w:rStyle w:val="MaviChar"/>
              </w:rPr>
              <w:t>bu hususta</w:t>
            </w:r>
            <w:r w:rsidRPr="00A23740">
              <w:rPr>
                <w:b/>
                <w:color w:val="0000FF"/>
                <w:szCs w:val="24"/>
              </w:rPr>
              <w:t xml:space="preserve"> gerektiğinde kolluk gücüne başvurabilir.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szCs w:val="24"/>
              </w:rPr>
            </w:pPr>
            <w:r w:rsidRPr="00A23740">
              <w:rPr>
                <w:b/>
                <w:color w:val="0000FF"/>
                <w:szCs w:val="24"/>
              </w:rPr>
              <w:t xml:space="preserve">(4) </w:t>
            </w:r>
            <w:r w:rsidR="000075D7" w:rsidRPr="00A23740">
              <w:rPr>
                <w:b/>
                <w:color w:val="0000FF"/>
                <w:szCs w:val="24"/>
              </w:rPr>
              <w:t>Müflisin</w:t>
            </w:r>
            <w:r w:rsidRPr="00A23740">
              <w:rPr>
                <w:b/>
                <w:color w:val="0000FF"/>
                <w:szCs w:val="24"/>
              </w:rPr>
              <w:t xml:space="preserve"> malvarlığını elinde bulunduran üçüncü kişiler de </w:t>
            </w:r>
            <w:r w:rsidR="005B4350" w:rsidRPr="00E15D75">
              <w:rPr>
                <w:b/>
                <w:color w:val="0000FF"/>
              </w:rPr>
              <w:t>bu malvarlığı hakkında</w:t>
            </w:r>
            <w:r w:rsidRPr="00A23740">
              <w:rPr>
                <w:b/>
                <w:color w:val="0000FF"/>
                <w:szCs w:val="24"/>
              </w:rPr>
              <w:t xml:space="preserve"> bilgi verme ve </w:t>
            </w:r>
            <w:r w:rsidRPr="00A23740">
              <w:rPr>
                <w:rStyle w:val="MaviChar"/>
              </w:rPr>
              <w:t>malvarlığını</w:t>
            </w:r>
            <w:r w:rsidRPr="00A23740">
              <w:rPr>
                <w:b/>
                <w:color w:val="0000FF"/>
                <w:szCs w:val="24"/>
              </w:rPr>
              <w:t xml:space="preserve"> </w:t>
            </w:r>
            <w:r w:rsidR="005B4350" w:rsidRPr="00E15D75">
              <w:rPr>
                <w:rStyle w:val="Balk1Char"/>
                <w:rFonts w:eastAsia="ヒラギノ明朝 Pro W3"/>
              </w:rPr>
              <w:t>iflas masasına</w:t>
            </w:r>
            <w:r w:rsidR="005B4350" w:rsidRPr="00A23740">
              <w:rPr>
                <w:b/>
                <w:color w:val="0000FF"/>
                <w:szCs w:val="24"/>
              </w:rPr>
              <w:t xml:space="preserve"> </w:t>
            </w:r>
            <w:r w:rsidRPr="00A23740">
              <w:rPr>
                <w:b/>
                <w:color w:val="0000FF"/>
                <w:szCs w:val="24"/>
              </w:rPr>
              <w:t>teslim</w:t>
            </w:r>
            <w:r w:rsidR="005B4350" w:rsidRPr="00A23740">
              <w:rPr>
                <w:b/>
                <w:color w:val="0000FF"/>
                <w:szCs w:val="24"/>
              </w:rPr>
              <w:t xml:space="preserve"> </w:t>
            </w:r>
            <w:r w:rsidR="005B4350" w:rsidRPr="00E15D75">
              <w:rPr>
                <w:rStyle w:val="Balk1Char"/>
                <w:rFonts w:eastAsia="ヒラギノ明朝 Pro W3"/>
              </w:rPr>
              <w:t>etme</w:t>
            </w:r>
            <w:r w:rsidRPr="00A23740">
              <w:rPr>
                <w:b/>
                <w:color w:val="0000FF"/>
                <w:szCs w:val="24"/>
              </w:rPr>
              <w:t xml:space="preserve"> yükümlülüğü altındadırlar.</w:t>
            </w:r>
          </w:p>
          <w:p w:rsidR="00AA5C8C" w:rsidRPr="00A23740" w:rsidRDefault="00AA5C8C" w:rsidP="009431FF">
            <w:pPr>
              <w:widowControl w:val="0"/>
              <w:tabs>
                <w:tab w:val="left" w:pos="567"/>
              </w:tabs>
              <w:rPr>
                <w:b/>
                <w:szCs w:val="24"/>
              </w:rPr>
            </w:pPr>
          </w:p>
          <w:p w:rsidR="00AA5C8C" w:rsidRPr="00A23740" w:rsidRDefault="00AA5C8C" w:rsidP="009431FF">
            <w:pPr>
              <w:pStyle w:val="Mavi"/>
              <w:widowControl w:val="0"/>
              <w:rPr>
                <w:lang w:val="tr-TR"/>
              </w:rPr>
            </w:pPr>
            <w:r w:rsidRPr="00A23740">
              <w:rPr>
                <w:lang w:val="tr-TR"/>
              </w:rPr>
              <w:t>(5) Bu maddedeki yükümlülüklerin tüzel kişilere ait olması h</w:t>
            </w:r>
            <w:r w:rsidR="009D574E" w:rsidRPr="00A23740">
              <w:rPr>
                <w:lang w:val="tr-TR"/>
              </w:rPr>
              <w:t>â</w:t>
            </w:r>
            <w:r w:rsidRPr="00A23740">
              <w:rPr>
                <w:lang w:val="tr-TR"/>
              </w:rPr>
              <w:t>linde yükümlülük</w:t>
            </w:r>
            <w:r w:rsidR="007177DE" w:rsidRPr="00BE6EBD">
              <w:rPr>
                <w:rStyle w:val="Balk1Char"/>
                <w:rFonts w:eastAsia="Calibri"/>
                <w:b/>
              </w:rPr>
              <w:t>,</w:t>
            </w:r>
            <w:r w:rsidRPr="00BE6EBD">
              <w:rPr>
                <w:b w:val="0"/>
                <w:lang w:val="tr-TR"/>
              </w:rPr>
              <w:t xml:space="preserve"> </w:t>
            </w:r>
            <w:r w:rsidRPr="00A23740">
              <w:rPr>
                <w:lang w:val="tr-TR"/>
              </w:rPr>
              <w:t xml:space="preserve">durumun gereklerine göre tüzel kişinin yöneticileri </w:t>
            </w:r>
            <w:r w:rsidRPr="00A23740">
              <w:t>veya temsilcileri ya da</w:t>
            </w:r>
            <w:r w:rsidRPr="00A23740">
              <w:rPr>
                <w:lang w:val="tr-TR"/>
              </w:rPr>
              <w:t xml:space="preserve"> tasfiye memurları tarafından yerine getirilir.</w:t>
            </w:r>
          </w:p>
          <w:p w:rsidR="0051573C" w:rsidRPr="00A23740" w:rsidRDefault="0051573C" w:rsidP="009431FF">
            <w:pPr>
              <w:widowControl w:val="0"/>
              <w:tabs>
                <w:tab w:val="left" w:pos="567"/>
              </w:tabs>
              <w:rPr>
                <w:b/>
                <w:color w:val="0000FF"/>
                <w:szCs w:val="24"/>
              </w:rPr>
            </w:pPr>
          </w:p>
          <w:p w:rsidR="0051573C" w:rsidRPr="00A23740" w:rsidRDefault="0051573C" w:rsidP="009431FF">
            <w:pPr>
              <w:widowControl w:val="0"/>
              <w:tabs>
                <w:tab w:val="left" w:pos="567"/>
              </w:tabs>
              <w:rPr>
                <w:b/>
                <w:color w:val="0000FF"/>
                <w:szCs w:val="24"/>
              </w:rPr>
            </w:pPr>
            <w:r w:rsidRPr="00A23740">
              <w:rPr>
                <w:b/>
                <w:color w:val="0000FF"/>
                <w:szCs w:val="24"/>
              </w:rPr>
              <w:t xml:space="preserve">(6) </w:t>
            </w:r>
            <w:r w:rsidRPr="00A23740">
              <w:rPr>
                <w:szCs w:val="24"/>
              </w:rPr>
              <w:t>İflas dairesi</w:t>
            </w:r>
            <w:r w:rsidRPr="00A23740">
              <w:rPr>
                <w:b/>
                <w:color w:val="0000FF"/>
                <w:szCs w:val="24"/>
              </w:rPr>
              <w:t xml:space="preserve">, </w:t>
            </w:r>
            <w:r w:rsidRPr="00A23740">
              <w:rPr>
                <w:szCs w:val="24"/>
              </w:rPr>
              <w:t>bu</w:t>
            </w:r>
            <w:r w:rsidR="000075D7" w:rsidRPr="00A23740">
              <w:rPr>
                <w:b/>
                <w:color w:val="0000FF"/>
                <w:szCs w:val="24"/>
              </w:rPr>
              <w:t xml:space="preserve"> yükümlülüklere uyul</w:t>
            </w:r>
            <w:r w:rsidRPr="00A23740">
              <w:rPr>
                <w:b/>
                <w:color w:val="0000FF"/>
                <w:szCs w:val="24"/>
              </w:rPr>
              <w:t>maması h</w:t>
            </w:r>
            <w:r w:rsidR="009D574E" w:rsidRPr="00A23740">
              <w:rPr>
                <w:b/>
                <w:color w:val="0000FF"/>
                <w:szCs w:val="24"/>
              </w:rPr>
              <w:t>â</w:t>
            </w:r>
            <w:r w:rsidRPr="00A23740">
              <w:rPr>
                <w:b/>
                <w:color w:val="0000FF"/>
                <w:szCs w:val="24"/>
              </w:rPr>
              <w:t>linde</w:t>
            </w:r>
            <w:r w:rsidR="00153C22" w:rsidRPr="00A23740">
              <w:rPr>
                <w:b/>
                <w:color w:val="0000FF"/>
                <w:szCs w:val="24"/>
              </w:rPr>
              <w:t xml:space="preserve"> </w:t>
            </w:r>
            <w:r w:rsidR="00153C22" w:rsidRPr="00E15D75">
              <w:rPr>
                <w:rStyle w:val="MaviChar"/>
              </w:rPr>
              <w:t>517 nci</w:t>
            </w:r>
            <w:r w:rsidRPr="00A23740">
              <w:rPr>
                <w:b/>
                <w:color w:val="0000FF"/>
                <w:szCs w:val="24"/>
              </w:rPr>
              <w:t xml:space="preserve"> </w:t>
            </w:r>
            <w:r w:rsidR="00A352DE" w:rsidRPr="00A23740">
              <w:rPr>
                <w:b/>
                <w:color w:val="0000FF"/>
                <w:szCs w:val="24"/>
              </w:rPr>
              <w:t>madde gereğince disipl</w:t>
            </w:r>
            <w:r w:rsidR="000075D7" w:rsidRPr="00A23740">
              <w:rPr>
                <w:b/>
                <w:color w:val="0000FF"/>
                <w:szCs w:val="24"/>
              </w:rPr>
              <w:t xml:space="preserve">in </w:t>
            </w:r>
            <w:r w:rsidR="001647D1" w:rsidRPr="00E15D75">
              <w:rPr>
                <w:rStyle w:val="Balk1Char"/>
                <w:rFonts w:eastAsia="Calibri"/>
              </w:rPr>
              <w:t>hapsiyle</w:t>
            </w:r>
            <w:r w:rsidR="005B4350" w:rsidRPr="00E15D75">
              <w:rPr>
                <w:rStyle w:val="Balk1Char"/>
                <w:rFonts w:eastAsia="Calibri"/>
              </w:rPr>
              <w:t xml:space="preserve"> </w:t>
            </w:r>
            <w:r w:rsidR="005B4350" w:rsidRPr="00E15D75">
              <w:rPr>
                <w:rStyle w:val="Balk1Char"/>
                <w:rFonts w:eastAsia="ヒラギノ明朝 Pro W3"/>
              </w:rPr>
              <w:t>cezalandırılacakları</w:t>
            </w:r>
            <w:r w:rsidR="000075D7" w:rsidRPr="00E15D75">
              <w:rPr>
                <w:rStyle w:val="Balk1Char"/>
                <w:rFonts w:eastAsia="Calibri"/>
              </w:rPr>
              <w:t xml:space="preserve"> </w:t>
            </w:r>
            <w:r w:rsidR="000075D7" w:rsidRPr="00A23740">
              <w:rPr>
                <w:b/>
                <w:color w:val="0000FF"/>
                <w:szCs w:val="24"/>
              </w:rPr>
              <w:t xml:space="preserve">hususunda </w:t>
            </w:r>
            <w:r w:rsidR="007177DE" w:rsidRPr="00E15D75">
              <w:rPr>
                <w:rStyle w:val="MaviChar"/>
              </w:rPr>
              <w:t>ilgililere</w:t>
            </w:r>
            <w:r w:rsidR="00A352DE" w:rsidRPr="00A23740">
              <w:rPr>
                <w:b/>
                <w:color w:val="0000FF"/>
                <w:szCs w:val="24"/>
              </w:rPr>
              <w:t xml:space="preserve"> ihta</w:t>
            </w:r>
            <w:r w:rsidR="00A352DE" w:rsidRPr="00E15D75">
              <w:rPr>
                <w:rStyle w:val="Balk1Char"/>
                <w:rFonts w:eastAsia="Calibri"/>
              </w:rPr>
              <w:t>r</w:t>
            </w:r>
            <w:r w:rsidR="007177DE" w:rsidRPr="00E15D75">
              <w:rPr>
                <w:rStyle w:val="Balk1Char"/>
                <w:rFonts w:eastAsia="Calibri"/>
              </w:rPr>
              <w:t>da</w:t>
            </w:r>
            <w:r w:rsidR="00A352DE" w:rsidRPr="00A23740">
              <w:rPr>
                <w:b/>
                <w:color w:val="0000FF"/>
                <w:szCs w:val="24"/>
              </w:rPr>
              <w:t xml:space="preserve"> </w:t>
            </w:r>
            <w:r w:rsidR="007177DE" w:rsidRPr="00E15D75">
              <w:rPr>
                <w:rStyle w:val="Balk1Char"/>
                <w:rFonts w:eastAsia="Calibri"/>
              </w:rPr>
              <w:t>bulunur</w:t>
            </w:r>
            <w:r w:rsidR="00A352DE" w:rsidRPr="00A23740">
              <w:rPr>
                <w:b/>
                <w:color w:val="0000FF"/>
                <w:szCs w:val="24"/>
              </w:rPr>
              <w:t>.</w:t>
            </w:r>
          </w:p>
          <w:p w:rsidR="00AA5C8C" w:rsidRPr="00A23740" w:rsidRDefault="00AA5C8C" w:rsidP="009431FF">
            <w:pPr>
              <w:widowControl w:val="0"/>
              <w:tabs>
                <w:tab w:val="left" w:pos="567"/>
              </w:tabs>
              <w:rPr>
                <w:b/>
                <w:color w:val="FF0000"/>
                <w:szCs w:val="24"/>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927F6C" w:rsidRPr="00A23740" w:rsidRDefault="00927F6C" w:rsidP="009431FF">
            <w:pPr>
              <w:pStyle w:val="Mavi"/>
              <w:ind w:firstLine="709"/>
              <w:rPr>
                <w:b w:val="0"/>
                <w:color w:val="auto"/>
              </w:rPr>
            </w:pPr>
          </w:p>
          <w:p w:rsidR="00927F6C" w:rsidRPr="00A23740" w:rsidRDefault="008276D4" w:rsidP="009431FF">
            <w:pPr>
              <w:ind w:firstLine="709"/>
            </w:pPr>
            <w:r w:rsidRPr="00A23740">
              <w:rPr>
                <w:b/>
              </w:rPr>
              <w:t>MADDE 320</w:t>
            </w:r>
            <w:r w:rsidR="00927F6C" w:rsidRPr="00A23740">
              <w:rPr>
                <w:b/>
              </w:rPr>
              <w:t>-</w:t>
            </w:r>
            <w:r w:rsidR="00927F6C" w:rsidRPr="00A23740">
              <w:t xml:space="preserve"> Maddeyle, müflisin görevlerine ilişkin hususlar düzenlenmektedir. Hüküm, 2004 sayılı Kanunun 209 uncu maddesine karşılık gelmektedir. </w:t>
            </w:r>
          </w:p>
          <w:p w:rsidR="00ED4844" w:rsidRPr="00A23740" w:rsidRDefault="00ED4844" w:rsidP="009431FF">
            <w:pPr>
              <w:pStyle w:val="Mavi"/>
              <w:ind w:firstLine="709"/>
              <w:rPr>
                <w:b w:val="0"/>
                <w:color w:val="auto"/>
                <w:lang w:val="tr-TR"/>
              </w:rPr>
            </w:pPr>
            <w:r w:rsidRPr="00A23740">
              <w:rPr>
                <w:b w:val="0"/>
                <w:color w:val="auto"/>
              </w:rPr>
              <w:t xml:space="preserve">Müflisin ve müflis yerine bu görevi yerine getirecek kimselerin, defter tutulması bakımından yükümlülükleri ve bu yükümlülüklerin kapsamı </w:t>
            </w:r>
            <w:r w:rsidRPr="00A23740">
              <w:rPr>
                <w:b w:val="0"/>
                <w:color w:val="auto"/>
                <w:lang w:val="tr-TR"/>
              </w:rPr>
              <w:t>günümüz Türkçes</w:t>
            </w:r>
            <w:r w:rsidRPr="00E15D75">
              <w:rPr>
                <w:b w:val="0"/>
                <w:color w:val="auto"/>
              </w:rPr>
              <w:t>i</w:t>
            </w:r>
            <w:r w:rsidR="00704602" w:rsidRPr="00E15D75">
              <w:rPr>
                <w:b w:val="0"/>
                <w:color w:val="auto"/>
              </w:rPr>
              <w:t>yle</w:t>
            </w:r>
            <w:r w:rsidRPr="00A23740">
              <w:rPr>
                <w:b w:val="0"/>
                <w:color w:val="auto"/>
                <w:lang w:val="tr-TR"/>
              </w:rPr>
              <w:t xml:space="preserve"> ve sade bir dille </w:t>
            </w:r>
            <w:r w:rsidRPr="00A23740">
              <w:rPr>
                <w:b w:val="0"/>
                <w:color w:val="auto"/>
              </w:rPr>
              <w:t xml:space="preserve">açıklanmaktadır. </w:t>
            </w:r>
            <w:r w:rsidRPr="00A23740">
              <w:rPr>
                <w:b w:val="0"/>
                <w:color w:val="auto"/>
                <w:lang w:val="tr-TR"/>
              </w:rPr>
              <w:t>Bu maddedeki yükümlülüklerin tüzel kişilere ait olması h</w:t>
            </w:r>
            <w:r w:rsidR="009D574E" w:rsidRPr="00A23740">
              <w:rPr>
                <w:b w:val="0"/>
                <w:color w:val="auto"/>
                <w:lang w:val="tr-TR"/>
              </w:rPr>
              <w:t>â</w:t>
            </w:r>
            <w:r w:rsidRPr="00A23740">
              <w:rPr>
                <w:b w:val="0"/>
                <w:color w:val="auto"/>
                <w:lang w:val="tr-TR"/>
              </w:rPr>
              <w:t>linde yükümlülük</w:t>
            </w:r>
            <w:r w:rsidR="00935A26" w:rsidRPr="00A23740">
              <w:rPr>
                <w:b w:val="0"/>
                <w:color w:val="auto"/>
                <w:lang w:val="tr-TR"/>
              </w:rPr>
              <w:t>,</w:t>
            </w:r>
            <w:r w:rsidRPr="00A23740">
              <w:rPr>
                <w:b w:val="0"/>
                <w:color w:val="auto"/>
                <w:lang w:val="tr-TR"/>
              </w:rPr>
              <w:t xml:space="preserve"> durumun gereklerine göre</w:t>
            </w:r>
            <w:r w:rsidR="00935A26" w:rsidRPr="00A23740">
              <w:rPr>
                <w:b w:val="0"/>
                <w:color w:val="auto"/>
                <w:lang w:val="tr-TR"/>
              </w:rPr>
              <w:t>,</w:t>
            </w:r>
            <w:r w:rsidRPr="00A23740">
              <w:rPr>
                <w:b w:val="0"/>
                <w:color w:val="auto"/>
                <w:lang w:val="tr-TR"/>
              </w:rPr>
              <w:t xml:space="preserve"> tüzel kişinin yöneticileri </w:t>
            </w:r>
            <w:r w:rsidRPr="00A23740">
              <w:rPr>
                <w:b w:val="0"/>
                <w:color w:val="auto"/>
              </w:rPr>
              <w:t>veya temsilcileri ya da</w:t>
            </w:r>
            <w:r w:rsidRPr="00A23740">
              <w:rPr>
                <w:b w:val="0"/>
                <w:color w:val="auto"/>
                <w:lang w:val="tr-TR"/>
              </w:rPr>
              <w:t xml:space="preserve"> tasfiye memurları tarafından yerine getirilecektir.</w:t>
            </w:r>
          </w:p>
          <w:p w:rsidR="00ED4844" w:rsidRPr="00A23740" w:rsidRDefault="00ED4844" w:rsidP="009431FF">
            <w:pPr>
              <w:tabs>
                <w:tab w:val="left" w:pos="567"/>
              </w:tabs>
              <w:ind w:firstLine="709"/>
              <w:rPr>
                <w:bCs/>
                <w:szCs w:val="24"/>
              </w:rPr>
            </w:pPr>
            <w:r w:rsidRPr="00A23740">
              <w:rPr>
                <w:bCs/>
                <w:szCs w:val="24"/>
              </w:rPr>
              <w:t xml:space="preserve">Borçlunun malvarlığını elinde bulunduran üçüncü kişiler de </w:t>
            </w:r>
            <w:r w:rsidR="00704602" w:rsidRPr="00E15D75">
              <w:rPr>
                <w:bCs/>
              </w:rPr>
              <w:t>bu malvarlığı hakkında iflas masasına</w:t>
            </w:r>
            <w:r w:rsidR="00704602" w:rsidRPr="00A23740">
              <w:rPr>
                <w:bCs/>
                <w:szCs w:val="24"/>
              </w:rPr>
              <w:t xml:space="preserve"> </w:t>
            </w:r>
            <w:r w:rsidRPr="00A23740">
              <w:rPr>
                <w:bCs/>
                <w:szCs w:val="24"/>
              </w:rPr>
              <w:t xml:space="preserve">bilgi verme ve bu malvarlığını </w:t>
            </w:r>
            <w:r w:rsidR="00704602" w:rsidRPr="00E15D75">
              <w:rPr>
                <w:bCs/>
              </w:rPr>
              <w:t>iflas masasına</w:t>
            </w:r>
            <w:r w:rsidR="00704602" w:rsidRPr="00E15D75">
              <w:rPr>
                <w:bCs/>
                <w:szCs w:val="24"/>
              </w:rPr>
              <w:t xml:space="preserve"> </w:t>
            </w:r>
            <w:r w:rsidRPr="00E15D75">
              <w:rPr>
                <w:bCs/>
                <w:szCs w:val="24"/>
              </w:rPr>
              <w:t xml:space="preserve">teslim </w:t>
            </w:r>
            <w:r w:rsidR="00704602" w:rsidRPr="00E15D75">
              <w:rPr>
                <w:bCs/>
              </w:rPr>
              <w:t>etme</w:t>
            </w:r>
            <w:r w:rsidR="00704602" w:rsidRPr="00E15D75">
              <w:rPr>
                <w:bCs/>
                <w:szCs w:val="24"/>
              </w:rPr>
              <w:t xml:space="preserve"> </w:t>
            </w:r>
            <w:r w:rsidRPr="00E15D75">
              <w:rPr>
                <w:bCs/>
                <w:szCs w:val="24"/>
              </w:rPr>
              <w:t>yükümlülüğü altındadırlar. Ancak üçüncü kişilerin</w:t>
            </w:r>
            <w:r w:rsidR="00704602" w:rsidRPr="00E15D75">
              <w:rPr>
                <w:bCs/>
              </w:rPr>
              <w:t>,</w:t>
            </w:r>
            <w:r w:rsidRPr="00E15D75">
              <w:rPr>
                <w:bCs/>
                <w:szCs w:val="24"/>
              </w:rPr>
              <w:t xml:space="preserve"> üzerinde mülkiyet </w:t>
            </w:r>
            <w:r w:rsidR="002A4347" w:rsidRPr="00E15D75">
              <w:rPr>
                <w:bCs/>
                <w:szCs w:val="24"/>
              </w:rPr>
              <w:t xml:space="preserve">hakkı </w:t>
            </w:r>
            <w:r w:rsidRPr="00E15D75">
              <w:rPr>
                <w:bCs/>
                <w:szCs w:val="24"/>
              </w:rPr>
              <w:t>iddia</w:t>
            </w:r>
            <w:r w:rsidRPr="00A23740">
              <w:rPr>
                <w:bCs/>
                <w:szCs w:val="24"/>
              </w:rPr>
              <w:t xml:space="preserve"> ettiği mal ve haklar yönünden iade yükümlülüğü bulunmamaktadır. Bu durumda </w:t>
            </w:r>
            <w:r w:rsidR="00704602" w:rsidRPr="00A23740">
              <w:rPr>
                <w:bCs/>
                <w:szCs w:val="24"/>
              </w:rPr>
              <w:t>iflas idaresi/iflas dairesi</w:t>
            </w:r>
            <w:r w:rsidRPr="00A23740">
              <w:rPr>
                <w:bCs/>
                <w:szCs w:val="24"/>
              </w:rPr>
              <w:t xml:space="preserve"> genel mahkemede üçüncü kişiye karşı maddi hukuk davası açabilecektir. </w:t>
            </w:r>
          </w:p>
          <w:p w:rsidR="00927F6C" w:rsidRPr="00A23740" w:rsidRDefault="00927F6C"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b/>
                <w:strike/>
                <w:color w:val="FF0000"/>
                <w:szCs w:val="24"/>
              </w:rPr>
              <w:t>Teminat</w:t>
            </w:r>
            <w:r w:rsidRPr="00A23740">
              <w:rPr>
                <w:szCs w:val="24"/>
              </w:rPr>
              <w:t xml:space="preserve"> tedbirleri</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210 – (1)</w:t>
            </w:r>
            <w:r w:rsidRPr="00A23740">
              <w:rPr>
                <w:b/>
                <w:szCs w:val="24"/>
              </w:rPr>
              <w:t xml:space="preserve"> </w:t>
            </w:r>
            <w:r w:rsidRPr="00A23740">
              <w:rPr>
                <w:szCs w:val="24"/>
              </w:rPr>
              <w:t xml:space="preserve">(Değişik birinci fıkra: 28/2/2018-7101/7 md.) İflâs dairesi; müflisin mağazalarını, eşya depolarını, fabrikalarını, imalathanelerini ve üretime yönelik sair yerlerini, perakende satış dükkânlarını ve buna </w:t>
            </w:r>
            <w:r w:rsidRPr="00A23740">
              <w:rPr>
                <w:rStyle w:val="KIRMIZIChar"/>
                <w:rFonts w:eastAsia="Calibri"/>
              </w:rPr>
              <w:t>mümasil</w:t>
            </w:r>
            <w:r w:rsidRPr="00A23740">
              <w:rPr>
                <w:szCs w:val="24"/>
              </w:rPr>
              <w:t xml:space="preserve"> yerlerini, masa hakkında faydalı olacağı anlaşılırsa ilk alacaklılar </w:t>
            </w:r>
            <w:r w:rsidRPr="00A23740">
              <w:rPr>
                <w:rStyle w:val="KIRMIZIChar"/>
                <w:rFonts w:eastAsia="Calibri"/>
              </w:rPr>
              <w:t>toplanmasına</w:t>
            </w:r>
            <w:r w:rsidRPr="00A23740">
              <w:rPr>
                <w:szCs w:val="24"/>
              </w:rPr>
              <w:t xml:space="preserve"> kadar kontrolü altında idare eder; aksi takdirde bu yerleri kapatıp mühürler.</w:t>
            </w:r>
          </w:p>
          <w:p w:rsidR="00AA5C8C" w:rsidRPr="00A23740" w:rsidRDefault="00AA5C8C" w:rsidP="009431FF">
            <w:pPr>
              <w:tabs>
                <w:tab w:val="left" w:pos="567"/>
              </w:tabs>
              <w:rPr>
                <w:szCs w:val="24"/>
              </w:rPr>
            </w:pPr>
          </w:p>
          <w:p w:rsidR="00AA5C8C" w:rsidRPr="00A23740" w:rsidRDefault="00AA5C8C" w:rsidP="009431FF">
            <w:pPr>
              <w:pStyle w:val="KIRMIZI"/>
            </w:pPr>
            <w:r w:rsidRPr="00A23740">
              <w:rPr>
                <w:rStyle w:val="KIRMIZIChar"/>
                <w:rFonts w:eastAsia="Calibri"/>
                <w:lang w:val="tr-TR"/>
              </w:rPr>
              <w:t>(2)</w:t>
            </w:r>
            <w:r w:rsidRPr="00A23740">
              <w:rPr>
                <w:rStyle w:val="KIRMIZIChar"/>
                <w:lang w:val="tr-TR"/>
              </w:rPr>
              <w:t xml:space="preserve"> (</w:t>
            </w:r>
            <w:r w:rsidRPr="00A23740">
              <w:t>Mülga ikinci fıkra: 28/2/2018-7101/7 md.)</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Daire, paraları, kıymetli evrakı, ticari </w:t>
            </w:r>
            <w:r w:rsidRPr="00A23740">
              <w:rPr>
                <w:b/>
                <w:strike/>
                <w:color w:val="FF0000"/>
                <w:szCs w:val="24"/>
              </w:rPr>
              <w:t>ve ev idaresine ait defterleri</w:t>
            </w:r>
            <w:r w:rsidRPr="00A23740">
              <w:rPr>
                <w:szCs w:val="24"/>
              </w:rPr>
              <w:t xml:space="preserve"> ve </w:t>
            </w:r>
            <w:r w:rsidRPr="00A23740">
              <w:rPr>
                <w:b/>
                <w:strike/>
                <w:color w:val="FF0000"/>
                <w:szCs w:val="24"/>
              </w:rPr>
              <w:t>sair her hangi ehemmiyeti haiz evrakı</w:t>
            </w:r>
            <w:r w:rsidRPr="00A23740">
              <w:rPr>
                <w:szCs w:val="24"/>
              </w:rPr>
              <w:t xml:space="preserve"> muhafaza altına alır.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pStyle w:val="KIRMIZI"/>
              <w:rPr>
                <w:lang w:val="tr-TR"/>
              </w:rPr>
            </w:pPr>
            <w:r w:rsidRPr="00A23740">
              <w:rPr>
                <w:rFonts w:eastAsia="Calibri"/>
                <w:lang w:val="tr-TR"/>
              </w:rPr>
              <w:t>(4)</w:t>
            </w:r>
            <w:r w:rsidRPr="00A23740">
              <w:rPr>
                <w:lang w:val="tr-TR"/>
              </w:rPr>
              <w:t xml:space="preserve"> Başka malları defter tutuluncıya kadar mühürler. Daire lüzum görürse defter tutulduktan sonra tekrar mühürler.</w:t>
            </w:r>
          </w:p>
          <w:p w:rsidR="00AA5C8C" w:rsidRPr="00A23740" w:rsidRDefault="00AA5C8C" w:rsidP="009431FF">
            <w:pPr>
              <w:pStyle w:val="KIRMIZI"/>
              <w:rPr>
                <w:lang w:val="tr-TR"/>
              </w:rPr>
            </w:pPr>
          </w:p>
          <w:p w:rsidR="00AA5C8C" w:rsidRPr="00A23740" w:rsidRDefault="00AA5C8C" w:rsidP="009431FF">
            <w:pPr>
              <w:tabs>
                <w:tab w:val="left" w:pos="567"/>
              </w:tabs>
              <w:rPr>
                <w:szCs w:val="24"/>
              </w:rPr>
            </w:pPr>
            <w:r w:rsidRPr="00A23740">
              <w:rPr>
                <w:rStyle w:val="KIRMIZIChar"/>
                <w:rFonts w:eastAsia="Calibri"/>
              </w:rPr>
              <w:t>(5)</w:t>
            </w:r>
            <w:r w:rsidRPr="00A23740">
              <w:rPr>
                <w:szCs w:val="24"/>
              </w:rPr>
              <w:t xml:space="preserve"> Daire müflisin kullandığı yerler </w:t>
            </w:r>
            <w:r w:rsidRPr="00A23740">
              <w:rPr>
                <w:b/>
                <w:strike/>
                <w:color w:val="FF0000"/>
                <w:szCs w:val="24"/>
              </w:rPr>
              <w:t>haricinde</w:t>
            </w:r>
            <w:r w:rsidRPr="00A23740">
              <w:rPr>
                <w:b/>
                <w:color w:val="FF0000"/>
                <w:szCs w:val="24"/>
              </w:rPr>
              <w:t xml:space="preserve"> </w:t>
            </w:r>
            <w:r w:rsidRPr="00A23740">
              <w:rPr>
                <w:szCs w:val="24"/>
              </w:rPr>
              <w:t>bulunan</w:t>
            </w:r>
            <w:r w:rsidRPr="00A23740">
              <w:rPr>
                <w:b/>
                <w:color w:val="FF0000"/>
                <w:szCs w:val="24"/>
              </w:rPr>
              <w:t xml:space="preserve"> </w:t>
            </w:r>
            <w:r w:rsidRPr="00A23740">
              <w:rPr>
                <w:b/>
                <w:strike/>
                <w:color w:val="FF0000"/>
                <w:szCs w:val="24"/>
              </w:rPr>
              <w:t>eşyayı</w:t>
            </w:r>
            <w:r w:rsidRPr="00A23740">
              <w:rPr>
                <w:szCs w:val="24"/>
              </w:rPr>
              <w:t xml:space="preserve"> da muhafaza altına alır.</w:t>
            </w:r>
          </w:p>
        </w:tc>
        <w:tc>
          <w:tcPr>
            <w:tcW w:w="2500" w:type="pct"/>
          </w:tcPr>
          <w:p w:rsidR="00AA5C8C" w:rsidRPr="00A23740" w:rsidRDefault="00AA5C8C" w:rsidP="009431FF">
            <w:pPr>
              <w:tabs>
                <w:tab w:val="left" w:pos="567"/>
              </w:tabs>
              <w:rPr>
                <w:szCs w:val="24"/>
              </w:rPr>
            </w:pPr>
            <w:r w:rsidRPr="00A23740">
              <w:rPr>
                <w:b/>
                <w:color w:val="0000FF"/>
                <w:szCs w:val="24"/>
              </w:rPr>
              <w:t>Koruma</w:t>
            </w:r>
            <w:r w:rsidRPr="00A23740">
              <w:rPr>
                <w:szCs w:val="24"/>
              </w:rPr>
              <w:t xml:space="preserve"> </w:t>
            </w:r>
            <w:r w:rsidRPr="00A23740">
              <w:rPr>
                <w:b/>
                <w:szCs w:val="24"/>
              </w:rPr>
              <w:t>tedbirleri</w:t>
            </w:r>
          </w:p>
          <w:p w:rsidR="00AA5C8C" w:rsidRPr="00A23740" w:rsidRDefault="00AA5C8C" w:rsidP="009431FF">
            <w:pPr>
              <w:tabs>
                <w:tab w:val="left" w:pos="567"/>
              </w:tabs>
              <w:rPr>
                <w:szCs w:val="24"/>
              </w:rPr>
            </w:pPr>
            <w:r w:rsidRPr="00A23740">
              <w:rPr>
                <w:rStyle w:val="MaviChar"/>
                <w:lang w:val="tr-TR"/>
              </w:rPr>
              <w:t xml:space="preserve">MADDE </w:t>
            </w:r>
            <w:r w:rsidR="00730693" w:rsidRPr="00A23740">
              <w:rPr>
                <w:rStyle w:val="MAVChar"/>
                <w:rFonts w:eastAsia="Calibri"/>
                <w:u w:val="none"/>
              </w:rPr>
              <w:t>321</w:t>
            </w:r>
            <w:r w:rsidRPr="00A23740">
              <w:rPr>
                <w:rStyle w:val="MAVChar"/>
                <w:rFonts w:eastAsia="Calibri"/>
                <w:u w:val="none"/>
              </w:rPr>
              <w:t>- (</w:t>
            </w:r>
            <w:r w:rsidRPr="00A23740">
              <w:rPr>
                <w:rStyle w:val="Stil2Char"/>
                <w:rFonts w:eastAsia="Calibri"/>
                <w:u w:val="none"/>
              </w:rPr>
              <w:t>1)</w:t>
            </w:r>
            <w:r w:rsidR="00084C38" w:rsidRPr="00A23740">
              <w:rPr>
                <w:szCs w:val="24"/>
              </w:rPr>
              <w:t xml:space="preserve"> İfla</w:t>
            </w:r>
            <w:r w:rsidRPr="00A23740">
              <w:rPr>
                <w:szCs w:val="24"/>
              </w:rPr>
              <w:t xml:space="preserve">s dairesi müflisin mağazalarını, eşya depolarını, fabrikalarını, imalathanelerini ve üretime yönelik </w:t>
            </w:r>
            <w:r w:rsidR="007177DE" w:rsidRPr="00E15D75">
              <w:rPr>
                <w:rStyle w:val="MaviChar"/>
              </w:rPr>
              <w:t>diğer</w:t>
            </w:r>
            <w:r w:rsidR="007177DE" w:rsidRPr="00A23740">
              <w:rPr>
                <w:szCs w:val="24"/>
              </w:rPr>
              <w:t xml:space="preserve"> </w:t>
            </w:r>
            <w:r w:rsidRPr="00A23740">
              <w:rPr>
                <w:szCs w:val="24"/>
              </w:rPr>
              <w:t xml:space="preserve">yerlerini, perakende satış dükkânlarını, </w:t>
            </w:r>
            <w:r w:rsidRPr="00A23740">
              <w:rPr>
                <w:rStyle w:val="Stil2Char"/>
                <w:rFonts w:eastAsia="Calibri"/>
                <w:u w:val="none"/>
              </w:rPr>
              <w:t xml:space="preserve">elektronik ticaret yaptığı </w:t>
            </w:r>
            <w:r w:rsidR="00704602" w:rsidRPr="00E15D75">
              <w:rPr>
                <w:rStyle w:val="Stil2Char"/>
                <w:rFonts w:eastAsia="Calibri"/>
                <w:u w:val="none"/>
              </w:rPr>
              <w:t xml:space="preserve">ve kendisine ait olan </w:t>
            </w:r>
            <w:r w:rsidRPr="00A23740">
              <w:rPr>
                <w:rStyle w:val="Stil2Char"/>
                <w:rFonts w:eastAsia="Calibri"/>
                <w:u w:val="none"/>
              </w:rPr>
              <w:t>her türlü ortam</w:t>
            </w:r>
            <w:r w:rsidRPr="00A23740">
              <w:rPr>
                <w:szCs w:val="24"/>
              </w:rPr>
              <w:t xml:space="preserve"> ve </w:t>
            </w:r>
            <w:r w:rsidRPr="00A23740">
              <w:rPr>
                <w:rStyle w:val="Stil2Char"/>
                <w:rFonts w:eastAsia="Calibri"/>
                <w:u w:val="none"/>
              </w:rPr>
              <w:t>benzeri</w:t>
            </w:r>
            <w:r w:rsidRPr="00A23740">
              <w:rPr>
                <w:szCs w:val="24"/>
              </w:rPr>
              <w:t xml:space="preserve"> yerlerini,</w:t>
            </w:r>
            <w:r w:rsidR="007177DE" w:rsidRPr="00E15D75">
              <w:rPr>
                <w:rStyle w:val="MaviChar"/>
              </w:rPr>
              <w:t xml:space="preserve"> iflas</w:t>
            </w:r>
            <w:r w:rsidRPr="00E15D75">
              <w:rPr>
                <w:rStyle w:val="MaviChar"/>
              </w:rPr>
              <w:t xml:space="preserve"> </w:t>
            </w:r>
            <w:r w:rsidRPr="00A23740">
              <w:rPr>
                <w:szCs w:val="24"/>
              </w:rPr>
              <w:t>masa</w:t>
            </w:r>
            <w:r w:rsidR="007177DE" w:rsidRPr="00E15D75">
              <w:rPr>
                <w:rStyle w:val="MaviChar"/>
              </w:rPr>
              <w:t>sı</w:t>
            </w:r>
            <w:r w:rsidRPr="00A23740">
              <w:rPr>
                <w:szCs w:val="24"/>
              </w:rPr>
              <w:t xml:space="preserve"> hakkında faydalı olacağı anlaşılırsa ilk alacaklılar </w:t>
            </w:r>
            <w:r w:rsidRPr="00A23740">
              <w:rPr>
                <w:rStyle w:val="MaviChar"/>
              </w:rPr>
              <w:t>toplantısına</w:t>
            </w:r>
            <w:r w:rsidRPr="00A23740">
              <w:rPr>
                <w:szCs w:val="24"/>
              </w:rPr>
              <w:t xml:space="preserve"> kadar kontrolü altında idare eder; aksi takdirde bu yerleri kapatıp mühürler.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w:t>
            </w:r>
            <w:r w:rsidRPr="00A23740">
              <w:rPr>
                <w:rStyle w:val="MaviChar"/>
              </w:rPr>
              <w:t>İflas</w:t>
            </w:r>
            <w:r w:rsidRPr="00A23740">
              <w:rPr>
                <w:rStyle w:val="YELChar"/>
              </w:rPr>
              <w:t xml:space="preserve"> </w:t>
            </w:r>
            <w:r w:rsidRPr="00A23740">
              <w:rPr>
                <w:szCs w:val="24"/>
              </w:rPr>
              <w:t>daire</w:t>
            </w:r>
            <w:r w:rsidRPr="00A23740">
              <w:rPr>
                <w:rStyle w:val="MaviChar"/>
              </w:rPr>
              <w:t>si</w:t>
            </w:r>
            <w:r w:rsidRPr="00A23740">
              <w:rPr>
                <w:szCs w:val="24"/>
              </w:rPr>
              <w:t xml:space="preserve"> paraları, kıymetli evrakı, </w:t>
            </w:r>
            <w:r w:rsidRPr="00A23740">
              <w:rPr>
                <w:b/>
                <w:color w:val="0000FF"/>
                <w:szCs w:val="24"/>
              </w:rPr>
              <w:t>elektronik olanlar da dahil</w:t>
            </w:r>
            <w:r w:rsidRPr="00A23740">
              <w:rPr>
                <w:szCs w:val="24"/>
              </w:rPr>
              <w:t xml:space="preserve"> ticari </w:t>
            </w:r>
            <w:r w:rsidRPr="00A23740">
              <w:rPr>
                <w:b/>
                <w:color w:val="0000FF"/>
                <w:szCs w:val="24"/>
              </w:rPr>
              <w:t>defterler ve diğer önemli kayıt ile belgeleri</w:t>
            </w:r>
            <w:r w:rsidRPr="00A23740">
              <w:rPr>
                <w:szCs w:val="24"/>
              </w:rPr>
              <w:t xml:space="preserve"> muhafaza altına alır. </w:t>
            </w:r>
            <w:r w:rsidRPr="00A23740">
              <w:rPr>
                <w:rStyle w:val="MAVChar"/>
                <w:rFonts w:eastAsia="Calibri"/>
                <w:u w:val="none"/>
              </w:rPr>
              <w:t xml:space="preserve">Diğer tüm mallar iflas dairesi tarafından defter tutuluncaya kadar  mühürlenir; </w:t>
            </w:r>
            <w:r w:rsidRPr="00A23740">
              <w:rPr>
                <w:rStyle w:val="MaviChar"/>
              </w:rPr>
              <w:t>iflas dairesi</w:t>
            </w:r>
            <w:r w:rsidRPr="00A23740">
              <w:rPr>
                <w:rStyle w:val="MAVChar"/>
                <w:rFonts w:eastAsia="Calibri"/>
                <w:u w:val="none"/>
              </w:rPr>
              <w:t xml:space="preserve"> lüzum görürse bu mallar üzerindeki mührü defter tutulduktan sonra da devam ettirebilir.</w:t>
            </w:r>
          </w:p>
          <w:p w:rsidR="00AA5C8C" w:rsidRPr="00A23740" w:rsidRDefault="00AA5C8C" w:rsidP="009431FF">
            <w:pPr>
              <w:tabs>
                <w:tab w:val="left" w:pos="567"/>
              </w:tabs>
              <w:rPr>
                <w:szCs w:val="24"/>
              </w:rPr>
            </w:pPr>
          </w:p>
          <w:p w:rsidR="004F017D" w:rsidRPr="00A23740" w:rsidRDefault="004F017D" w:rsidP="009431FF">
            <w:pPr>
              <w:tabs>
                <w:tab w:val="left" w:pos="567"/>
              </w:tabs>
              <w:rPr>
                <w:szCs w:val="24"/>
              </w:rPr>
            </w:pPr>
          </w:p>
          <w:p w:rsidR="004F017D" w:rsidRPr="00A23740" w:rsidRDefault="004F017D"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szCs w:val="24"/>
              </w:rPr>
              <w:t xml:space="preserve"> </w:t>
            </w:r>
            <w:r w:rsidRPr="00A23740">
              <w:rPr>
                <w:rStyle w:val="MaviChar"/>
              </w:rPr>
              <w:t>İflas</w:t>
            </w:r>
            <w:r w:rsidRPr="00A23740">
              <w:rPr>
                <w:rStyle w:val="YELChar"/>
              </w:rPr>
              <w:t xml:space="preserve"> </w:t>
            </w:r>
            <w:r w:rsidRPr="00A23740">
              <w:rPr>
                <w:szCs w:val="24"/>
              </w:rPr>
              <w:t>daire</w:t>
            </w:r>
            <w:r w:rsidRPr="00A23740">
              <w:rPr>
                <w:rStyle w:val="MaviChar"/>
              </w:rPr>
              <w:t>si</w:t>
            </w:r>
            <w:r w:rsidR="00704602" w:rsidRPr="00E15D75">
              <w:rPr>
                <w:rStyle w:val="MaviChar"/>
              </w:rPr>
              <w:t>,</w:t>
            </w:r>
            <w:r w:rsidRPr="00E15D75">
              <w:rPr>
                <w:rStyle w:val="MaviChar"/>
              </w:rPr>
              <w:t xml:space="preserve"> </w:t>
            </w:r>
            <w:r w:rsidR="00704602" w:rsidRPr="00E15D75">
              <w:rPr>
                <w:rStyle w:val="MaviChar"/>
              </w:rPr>
              <w:t>müflise ait olup</w:t>
            </w:r>
            <w:r w:rsidR="00704602" w:rsidRPr="00A23740">
              <w:rPr>
                <w:szCs w:val="24"/>
              </w:rPr>
              <w:t xml:space="preserve"> </w:t>
            </w:r>
            <w:r w:rsidRPr="00A23740">
              <w:rPr>
                <w:szCs w:val="24"/>
              </w:rPr>
              <w:t xml:space="preserve">müflisin kullandığı yerler </w:t>
            </w:r>
            <w:r w:rsidRPr="00A23740">
              <w:rPr>
                <w:b/>
                <w:color w:val="0000FF"/>
                <w:szCs w:val="24"/>
              </w:rPr>
              <w:t xml:space="preserve">dışında </w:t>
            </w:r>
            <w:r w:rsidRPr="00A23740">
              <w:rPr>
                <w:szCs w:val="24"/>
              </w:rPr>
              <w:t>bulunan</w:t>
            </w:r>
            <w:r w:rsidRPr="00A23740">
              <w:rPr>
                <w:b/>
                <w:color w:val="0000FF"/>
                <w:szCs w:val="24"/>
              </w:rPr>
              <w:t xml:space="preserve"> malları</w:t>
            </w:r>
            <w:r w:rsidRPr="00A23740">
              <w:rPr>
                <w:szCs w:val="24"/>
              </w:rPr>
              <w:t xml:space="preserve"> da muhafaza altına alır. </w:t>
            </w:r>
            <w:r w:rsidRPr="00A23740">
              <w:rPr>
                <w:b/>
                <w:color w:val="0000FF"/>
                <w:szCs w:val="24"/>
              </w:rPr>
              <w:t>Şu kadar ki, üçüncü kişinin elinde bulunan ve üçüncü kişinin mülkiyetinde olduğu iddia edilen mallar muhafaza altına alınmaz.</w:t>
            </w:r>
          </w:p>
          <w:p w:rsidR="00AA5C8C" w:rsidRPr="00A23740" w:rsidRDefault="00AA5C8C" w:rsidP="009431FF">
            <w:pPr>
              <w:tabs>
                <w:tab w:val="left" w:pos="567"/>
              </w:tabs>
              <w:rPr>
                <w:szCs w:val="24"/>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927F6C" w:rsidRPr="00A23740" w:rsidRDefault="00927F6C" w:rsidP="009431FF">
            <w:pPr>
              <w:ind w:firstLine="709"/>
              <w:rPr>
                <w:b/>
              </w:rPr>
            </w:pPr>
          </w:p>
          <w:p w:rsidR="00927F6C" w:rsidRPr="00A23740" w:rsidRDefault="00730693" w:rsidP="009431FF">
            <w:pPr>
              <w:ind w:firstLine="709"/>
            </w:pPr>
            <w:r w:rsidRPr="00A23740">
              <w:rPr>
                <w:b/>
              </w:rPr>
              <w:t>MADDE 321</w:t>
            </w:r>
            <w:r w:rsidR="00927F6C" w:rsidRPr="00A23740">
              <w:rPr>
                <w:b/>
              </w:rPr>
              <w:t>-</w:t>
            </w:r>
            <w:r w:rsidR="00927F6C" w:rsidRPr="00A23740">
              <w:t xml:space="preserve"> Maddeyle, koruma tedbirlerine ilişkin hususlar düzenlenmektedir. Hüküm, 2004 sayılı Kanunun 210 uncu maddesine karşılık gelmektedir. </w:t>
            </w:r>
          </w:p>
          <w:p w:rsidR="00ED4844" w:rsidRPr="00A23740" w:rsidRDefault="00ED4844" w:rsidP="009431FF">
            <w:pPr>
              <w:tabs>
                <w:tab w:val="left" w:pos="567"/>
              </w:tabs>
              <w:ind w:firstLine="709"/>
              <w:rPr>
                <w:szCs w:val="24"/>
              </w:rPr>
            </w:pPr>
            <w:r w:rsidRPr="00A23740">
              <w:rPr>
                <w:bCs/>
                <w:szCs w:val="24"/>
              </w:rPr>
              <w:t xml:space="preserve">İflasın açılmasından sonra müflisin malları hakkındaki koruma tedbirleri </w:t>
            </w:r>
            <w:r w:rsidR="00935A26" w:rsidRPr="00A23740">
              <w:rPr>
                <w:bCs/>
                <w:szCs w:val="24"/>
              </w:rPr>
              <w:t xml:space="preserve">bu maddede </w:t>
            </w:r>
            <w:r w:rsidRPr="00A23740">
              <w:rPr>
                <w:bCs/>
                <w:szCs w:val="24"/>
              </w:rPr>
              <w:t>düzenlenmiştir.</w:t>
            </w:r>
            <w:r w:rsidRPr="00A23740">
              <w:rPr>
                <w:b/>
                <w:szCs w:val="24"/>
              </w:rPr>
              <w:t xml:space="preserve"> </w:t>
            </w:r>
            <w:r w:rsidR="0008624B" w:rsidRPr="00A23740">
              <w:rPr>
                <w:szCs w:val="24"/>
              </w:rPr>
              <w:t>İfla</w:t>
            </w:r>
            <w:r w:rsidRPr="00A23740">
              <w:rPr>
                <w:szCs w:val="24"/>
              </w:rPr>
              <w:t xml:space="preserve">s dairesinin müflisin mağazaları, eşya depoları, fabrikaları, imalathaneleri ve üretime yönelik </w:t>
            </w:r>
            <w:r w:rsidR="002A4347" w:rsidRPr="00E15D75">
              <w:rPr>
                <w:szCs w:val="24"/>
              </w:rPr>
              <w:t xml:space="preserve">diğer </w:t>
            </w:r>
            <w:r w:rsidRPr="00E15D75">
              <w:rPr>
                <w:szCs w:val="24"/>
              </w:rPr>
              <w:t>yerleri, per</w:t>
            </w:r>
            <w:r w:rsidR="0008624B" w:rsidRPr="00E15D75">
              <w:rPr>
                <w:szCs w:val="24"/>
              </w:rPr>
              <w:t>akende satış dükkânları dışında</w:t>
            </w:r>
            <w:r w:rsidRPr="00E15D75">
              <w:rPr>
                <w:szCs w:val="24"/>
              </w:rPr>
              <w:t xml:space="preserve"> </w:t>
            </w:r>
            <w:r w:rsidR="0008624B" w:rsidRPr="00E15D75">
              <w:t>kendisine ait olmak kaydıyla</w:t>
            </w:r>
            <w:r w:rsidR="0008624B" w:rsidRPr="00E15D75">
              <w:rPr>
                <w:szCs w:val="24"/>
              </w:rPr>
              <w:t xml:space="preserve"> </w:t>
            </w:r>
            <w:r w:rsidRPr="00E15D75">
              <w:rPr>
                <w:szCs w:val="24"/>
              </w:rPr>
              <w:t>elektronik ticaret yaptığı her türlü ortamı ve benzeri yerleri de</w:t>
            </w:r>
            <w:r w:rsidR="00935A26" w:rsidRPr="00E15D75">
              <w:rPr>
                <w:szCs w:val="24"/>
              </w:rPr>
              <w:t>,</w:t>
            </w:r>
            <w:r w:rsidRPr="00E15D75">
              <w:rPr>
                <w:szCs w:val="24"/>
              </w:rPr>
              <w:t xml:space="preserve"> </w:t>
            </w:r>
            <w:r w:rsidR="002A4347" w:rsidRPr="00E15D75">
              <w:rPr>
                <w:szCs w:val="24"/>
              </w:rPr>
              <w:t>iflas masası</w:t>
            </w:r>
            <w:r w:rsidR="002A4347" w:rsidRPr="00A23740">
              <w:rPr>
                <w:szCs w:val="24"/>
              </w:rPr>
              <w:t xml:space="preserve"> </w:t>
            </w:r>
            <w:r w:rsidRPr="00A23740">
              <w:rPr>
                <w:szCs w:val="24"/>
              </w:rPr>
              <w:t xml:space="preserve">hakkında faydalı olacağı </w:t>
            </w:r>
            <w:r w:rsidRPr="00E15D75">
              <w:rPr>
                <w:szCs w:val="24"/>
              </w:rPr>
              <w:t>anlaşılırsa</w:t>
            </w:r>
            <w:r w:rsidR="0008624B" w:rsidRPr="00E15D75">
              <w:t>,</w:t>
            </w:r>
            <w:r w:rsidRPr="00E15D75">
              <w:rPr>
                <w:szCs w:val="24"/>
              </w:rPr>
              <w:t xml:space="preserve"> ilk</w:t>
            </w:r>
            <w:r w:rsidRPr="00A23740">
              <w:rPr>
                <w:szCs w:val="24"/>
              </w:rPr>
              <w:t xml:space="preserve"> alacaklılar </w:t>
            </w:r>
            <w:r w:rsidRPr="00A23740">
              <w:rPr>
                <w:bCs/>
                <w:lang w:val="x-none" w:eastAsia="x-none"/>
              </w:rPr>
              <w:t>toplantısına</w:t>
            </w:r>
            <w:r w:rsidRPr="00A23740">
              <w:rPr>
                <w:szCs w:val="24"/>
              </w:rPr>
              <w:t xml:space="preserve"> kadar kontrolü altında idare edeceği; aksi takdirde</w:t>
            </w:r>
            <w:r w:rsidR="0008624B" w:rsidRPr="00E15D75">
              <w:t>,</w:t>
            </w:r>
            <w:r w:rsidRPr="00E15D75">
              <w:rPr>
                <w:szCs w:val="24"/>
              </w:rPr>
              <w:t xml:space="preserve"> </w:t>
            </w:r>
            <w:r w:rsidRPr="00A23740">
              <w:rPr>
                <w:szCs w:val="24"/>
              </w:rPr>
              <w:t xml:space="preserve">bu yerleri kapatıp mühürleyeceği </w:t>
            </w:r>
            <w:r w:rsidR="00935A26" w:rsidRPr="00A23740">
              <w:rPr>
                <w:szCs w:val="24"/>
              </w:rPr>
              <w:t xml:space="preserve">birinci fıkrada </w:t>
            </w:r>
            <w:r w:rsidRPr="00A23740">
              <w:rPr>
                <w:szCs w:val="24"/>
              </w:rPr>
              <w:t>hüküm altına alınmıştır. Görüldüğü üzere bu fı</w:t>
            </w:r>
            <w:r w:rsidR="0008624B" w:rsidRPr="00A23740">
              <w:rPr>
                <w:szCs w:val="24"/>
              </w:rPr>
              <w:t>kradaki sayım tahdidi değildir.</w:t>
            </w:r>
            <w:r w:rsidRPr="00A23740">
              <w:rPr>
                <w:szCs w:val="24"/>
              </w:rPr>
              <w:t xml:space="preserve"> </w:t>
            </w:r>
            <w:r w:rsidR="0008624B" w:rsidRPr="00A23740">
              <w:rPr>
                <w:szCs w:val="24"/>
              </w:rPr>
              <w:t xml:space="preserve">Hükümde </w:t>
            </w:r>
            <w:r w:rsidRPr="00A23740">
              <w:rPr>
                <w:szCs w:val="24"/>
              </w:rPr>
              <w:t xml:space="preserve">elektronik ticaret yapılan ortam ve benzeri yerlerin idaresi yahut kapatılması </w:t>
            </w:r>
            <w:r w:rsidR="0008624B" w:rsidRPr="00E15D75">
              <w:t>da</w:t>
            </w:r>
            <w:r w:rsidR="0008624B" w:rsidRPr="00A23740">
              <w:rPr>
                <w:szCs w:val="24"/>
              </w:rPr>
              <w:t xml:space="preserve"> </w:t>
            </w:r>
            <w:r w:rsidRPr="00A23740">
              <w:rPr>
                <w:szCs w:val="24"/>
              </w:rPr>
              <w:t xml:space="preserve">düzenlenmiştir. Örneğin müflis ticaretini </w:t>
            </w:r>
            <w:r w:rsidR="0008624B" w:rsidRPr="00E15D75">
              <w:t>kendi</w:t>
            </w:r>
            <w:r w:rsidR="0008624B" w:rsidRPr="00E15D75">
              <w:rPr>
                <w:szCs w:val="24"/>
              </w:rPr>
              <w:t xml:space="preserve"> </w:t>
            </w:r>
            <w:r w:rsidRPr="00E15D75">
              <w:rPr>
                <w:szCs w:val="24"/>
              </w:rPr>
              <w:t>web</w:t>
            </w:r>
            <w:r w:rsidRPr="00A23740">
              <w:rPr>
                <w:szCs w:val="24"/>
              </w:rPr>
              <w:t xml:space="preserve"> sitesi üzerinden yapıyorsa</w:t>
            </w:r>
            <w:r w:rsidR="0008624B" w:rsidRPr="00E15D75">
              <w:t>,</w:t>
            </w:r>
            <w:r w:rsidRPr="00E15D75">
              <w:rPr>
                <w:szCs w:val="24"/>
              </w:rPr>
              <w:t xml:space="preserve"> </w:t>
            </w:r>
            <w:r w:rsidRPr="00A23740">
              <w:rPr>
                <w:szCs w:val="24"/>
              </w:rPr>
              <w:t xml:space="preserve">iflas dairesi bu sitenin idaresini üstlenecek yahut bu siteyi kapatacaktır. </w:t>
            </w:r>
          </w:p>
          <w:p w:rsidR="00ED4844" w:rsidRPr="00A23740" w:rsidRDefault="00ED4844" w:rsidP="009431FF">
            <w:pPr>
              <w:tabs>
                <w:tab w:val="left" w:pos="567"/>
              </w:tabs>
              <w:ind w:firstLine="709"/>
              <w:rPr>
                <w:szCs w:val="24"/>
              </w:rPr>
            </w:pPr>
            <w:r w:rsidRPr="00A23740">
              <w:rPr>
                <w:szCs w:val="24"/>
              </w:rPr>
              <w:t>İkinci fıkrada da bu doğrultuda iflas dairesinin</w:t>
            </w:r>
            <w:r w:rsidR="00935A26" w:rsidRPr="00A23740">
              <w:rPr>
                <w:szCs w:val="24"/>
              </w:rPr>
              <w:t>,</w:t>
            </w:r>
            <w:r w:rsidRPr="00A23740">
              <w:rPr>
                <w:szCs w:val="24"/>
              </w:rPr>
              <w:t xml:space="preserve"> paraları, kıymetli evrakı, ticari defterler</w:t>
            </w:r>
            <w:r w:rsidR="00935A26" w:rsidRPr="00A23740">
              <w:rPr>
                <w:szCs w:val="24"/>
              </w:rPr>
              <w:t>i</w:t>
            </w:r>
            <w:r w:rsidRPr="00A23740">
              <w:rPr>
                <w:szCs w:val="24"/>
              </w:rPr>
              <w:t xml:space="preserve"> ve diğer önemli </w:t>
            </w:r>
            <w:r w:rsidRPr="00E15D75">
              <w:rPr>
                <w:szCs w:val="24"/>
              </w:rPr>
              <w:t>kayıt</w:t>
            </w:r>
            <w:r w:rsidR="0008624B" w:rsidRPr="00E15D75">
              <w:t>ları,</w:t>
            </w:r>
            <w:r w:rsidRPr="00A23740">
              <w:rPr>
                <w:szCs w:val="24"/>
              </w:rPr>
              <w:t xml:space="preserve"> belgeler</w:t>
            </w:r>
            <w:r w:rsidRPr="00E15D75">
              <w:rPr>
                <w:szCs w:val="24"/>
              </w:rPr>
              <w:t>i</w:t>
            </w:r>
            <w:r w:rsidR="0008624B" w:rsidRPr="00E15D75">
              <w:t>yle</w:t>
            </w:r>
            <w:r w:rsidRPr="00E15D75">
              <w:rPr>
                <w:szCs w:val="24"/>
              </w:rPr>
              <w:t xml:space="preserve"> </w:t>
            </w:r>
            <w:r w:rsidRPr="00A23740">
              <w:rPr>
                <w:szCs w:val="24"/>
              </w:rPr>
              <w:t>birlikte elektronik ticari defterleri de muhafaza altına alacağı düzenlenmiştir. Fık</w:t>
            </w:r>
            <w:r w:rsidR="0008624B" w:rsidRPr="00A23740">
              <w:rPr>
                <w:szCs w:val="24"/>
              </w:rPr>
              <w:t xml:space="preserve">radaki sayım tahdidi değildir. </w:t>
            </w:r>
            <w:r w:rsidR="0008624B" w:rsidRPr="00E15D75">
              <w:t>Ayrıca,</w:t>
            </w:r>
            <w:r w:rsidR="0008624B" w:rsidRPr="00A23740">
              <w:rPr>
                <w:szCs w:val="24"/>
              </w:rPr>
              <w:t xml:space="preserve"> maddenin lafzında İsviçre’nin </w:t>
            </w:r>
            <w:r w:rsidR="0008624B" w:rsidRPr="00E15D75">
              <w:t>Borç İçin Takip ve İflas Hakkındaki Federal Kanunu</w:t>
            </w:r>
            <w:r w:rsidR="0008624B" w:rsidRPr="00A23740">
              <w:rPr>
                <w:szCs w:val="24"/>
              </w:rPr>
              <w:t xml:space="preserve"> </w:t>
            </w:r>
            <w:r w:rsidRPr="00A23740">
              <w:rPr>
                <w:szCs w:val="24"/>
              </w:rPr>
              <w:t>madde 223</w:t>
            </w:r>
            <w:r w:rsidR="0008624B" w:rsidRPr="00E15D75">
              <w:t>,</w:t>
            </w:r>
            <w:r w:rsidRPr="00E15D75">
              <w:rPr>
                <w:szCs w:val="24"/>
              </w:rPr>
              <w:t xml:space="preserve"> fıkra</w:t>
            </w:r>
            <w:r w:rsidRPr="00A23740">
              <w:rPr>
                <w:szCs w:val="24"/>
              </w:rPr>
              <w:t xml:space="preserve"> iki ve fıkra üç doğrultusunda düzenleme de yapılmıştır. Buna göre, defter tutulduktan sonra malların yeniden mühürlenmesi değil, mührün defter tutulduktan sonra devam ettirilmesi yönündeki düzenleme tasrih edilmiştir. </w:t>
            </w:r>
          </w:p>
          <w:p w:rsidR="00ED4844" w:rsidRPr="00A23740" w:rsidRDefault="00ED4844" w:rsidP="009431FF">
            <w:pPr>
              <w:tabs>
                <w:tab w:val="left" w:pos="567"/>
              </w:tabs>
              <w:ind w:firstLine="709"/>
              <w:rPr>
                <w:szCs w:val="24"/>
              </w:rPr>
            </w:pPr>
            <w:r w:rsidRPr="00A23740">
              <w:rPr>
                <w:szCs w:val="24"/>
              </w:rPr>
              <w:t xml:space="preserve">Üçüncü fıkra, </w:t>
            </w:r>
            <w:r w:rsidR="0008624B" w:rsidRPr="00E15D75">
              <w:t>müflise ait olup</w:t>
            </w:r>
            <w:r w:rsidRPr="00A23740">
              <w:rPr>
                <w:bCs/>
                <w:lang w:val="x-none" w:eastAsia="x-none"/>
              </w:rPr>
              <w:t>,</w:t>
            </w:r>
            <w:r w:rsidRPr="00A23740">
              <w:rPr>
                <w:szCs w:val="24"/>
              </w:rPr>
              <w:t xml:space="preserve"> müflisin kullandığı yerler dışında bulunan malların da muhafaza altına alınacağını</w:t>
            </w:r>
            <w:r w:rsidR="0008624B" w:rsidRPr="00E15D75">
              <w:rPr>
                <w:b/>
              </w:rPr>
              <w:t>;</w:t>
            </w:r>
            <w:r w:rsidRPr="00A23740">
              <w:rPr>
                <w:szCs w:val="24"/>
              </w:rPr>
              <w:t xml:space="preserve"> ancak</w:t>
            </w:r>
            <w:r w:rsidR="0008624B" w:rsidRPr="00E15D75">
              <w:rPr>
                <w:b/>
              </w:rPr>
              <w:t>,</w:t>
            </w:r>
            <w:r w:rsidRPr="00A23740">
              <w:rPr>
                <w:szCs w:val="24"/>
              </w:rPr>
              <w:t xml:space="preserve"> üçüncü kişinin elinde bulunan ve üçüncü kişinin mülkiyetinde olduğu iddia edilen malların muhafaza altına alınamayacağını düzenlemektedir.</w:t>
            </w:r>
          </w:p>
          <w:p w:rsidR="00927F6C" w:rsidRPr="00A23740" w:rsidRDefault="00927F6C"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 w:val="center" w:pos="3543"/>
              </w:tabs>
              <w:rPr>
                <w:szCs w:val="24"/>
              </w:rPr>
            </w:pPr>
            <w:r w:rsidRPr="00A23740">
              <w:rPr>
                <w:rStyle w:val="KIRMIZIChar"/>
                <w:rFonts w:eastAsia="Calibri"/>
              </w:rPr>
              <w:t xml:space="preserve">Haczi caiz olmıyan </w:t>
            </w:r>
            <w:r w:rsidRPr="00A23740">
              <w:rPr>
                <w:szCs w:val="24"/>
              </w:rPr>
              <w:t>eşya hakkında</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211 – (1)</w:t>
            </w:r>
            <w:r w:rsidRPr="00A23740">
              <w:rPr>
                <w:b/>
                <w:szCs w:val="24"/>
              </w:rPr>
              <w:t xml:space="preserve"> </w:t>
            </w:r>
            <w:r w:rsidRPr="00A23740">
              <w:rPr>
                <w:szCs w:val="24"/>
              </w:rPr>
              <w:t xml:space="preserve">Daire </w:t>
            </w:r>
            <w:r w:rsidRPr="00892799">
              <w:rPr>
                <w:rStyle w:val="KIRMIZIChar"/>
                <w:rFonts w:eastAsia="Calibri"/>
              </w:rPr>
              <w:t>82 nci maddede sayılan</w:t>
            </w:r>
            <w:r w:rsidRPr="00A23740">
              <w:rPr>
                <w:szCs w:val="24"/>
              </w:rPr>
              <w:t xml:space="preserve"> malları deftere kaydetmekle beraber müflisin elinde bırakır.</w:t>
            </w:r>
          </w:p>
        </w:tc>
        <w:tc>
          <w:tcPr>
            <w:tcW w:w="2500" w:type="pct"/>
          </w:tcPr>
          <w:p w:rsidR="00AA5C8C" w:rsidRPr="00A23740" w:rsidRDefault="00AA5C8C" w:rsidP="009431FF">
            <w:pPr>
              <w:tabs>
                <w:tab w:val="left" w:pos="567"/>
                <w:tab w:val="center" w:pos="3543"/>
              </w:tabs>
              <w:rPr>
                <w:b/>
                <w:szCs w:val="24"/>
              </w:rPr>
            </w:pPr>
            <w:r w:rsidRPr="00A23740">
              <w:rPr>
                <w:rStyle w:val="MaviChar"/>
              </w:rPr>
              <w:t>Haczedilemeyen</w:t>
            </w:r>
            <w:r w:rsidRPr="00A23740">
              <w:rPr>
                <w:b/>
                <w:szCs w:val="24"/>
              </w:rPr>
              <w:t xml:space="preserve"> eşya hakkında</w:t>
            </w:r>
          </w:p>
          <w:p w:rsidR="00AA5C8C" w:rsidRPr="00A23740" w:rsidRDefault="00AA5C8C" w:rsidP="009431FF">
            <w:pPr>
              <w:tabs>
                <w:tab w:val="left" w:pos="567"/>
              </w:tabs>
              <w:rPr>
                <w:szCs w:val="24"/>
              </w:rPr>
            </w:pPr>
            <w:r w:rsidRPr="00A23740">
              <w:rPr>
                <w:rStyle w:val="MaviChar"/>
                <w:lang w:val="tr-TR"/>
              </w:rPr>
              <w:t xml:space="preserve">MADDE </w:t>
            </w:r>
            <w:r w:rsidR="00730693" w:rsidRPr="00A23740">
              <w:rPr>
                <w:rStyle w:val="MAVChar"/>
                <w:rFonts w:eastAsia="Calibri"/>
                <w:u w:val="none"/>
              </w:rPr>
              <w:t>322</w:t>
            </w:r>
            <w:r w:rsidRPr="00A23740">
              <w:rPr>
                <w:rStyle w:val="MAVChar"/>
                <w:rFonts w:eastAsia="Calibri"/>
                <w:u w:val="none"/>
              </w:rPr>
              <w:t>- (</w:t>
            </w:r>
            <w:r w:rsidRPr="00A23740">
              <w:rPr>
                <w:b/>
                <w:color w:val="0000FF"/>
                <w:szCs w:val="24"/>
              </w:rPr>
              <w:t>1)</w:t>
            </w:r>
            <w:r w:rsidRPr="00A23740">
              <w:rPr>
                <w:b/>
                <w:szCs w:val="24"/>
              </w:rPr>
              <w:t xml:space="preserve"> </w:t>
            </w:r>
            <w:r w:rsidRPr="00A23740">
              <w:rPr>
                <w:rStyle w:val="MaviChar"/>
              </w:rPr>
              <w:t>İflas</w:t>
            </w:r>
            <w:r w:rsidRPr="00A23740">
              <w:rPr>
                <w:rStyle w:val="YELChar"/>
              </w:rPr>
              <w:t xml:space="preserve"> </w:t>
            </w:r>
            <w:r w:rsidRPr="00A23740">
              <w:rPr>
                <w:szCs w:val="24"/>
              </w:rPr>
              <w:t>daire</w:t>
            </w:r>
            <w:r w:rsidRPr="00A23740">
              <w:rPr>
                <w:rStyle w:val="MaviChar"/>
              </w:rPr>
              <w:t>si</w:t>
            </w:r>
            <w:r w:rsidR="00233F24" w:rsidRPr="00892799">
              <w:rPr>
                <w:rStyle w:val="Balk1Char"/>
                <w:rFonts w:eastAsia="Calibri"/>
              </w:rPr>
              <w:t>,</w:t>
            </w:r>
            <w:r w:rsidRPr="00A23740">
              <w:rPr>
                <w:rStyle w:val="MaviChar"/>
              </w:rPr>
              <w:t xml:space="preserve"> varsa</w:t>
            </w:r>
            <w:r w:rsidRPr="00A23740">
              <w:rPr>
                <w:rStyle w:val="MaviChar"/>
                <w:lang w:val="tr-TR"/>
              </w:rPr>
              <w:t xml:space="preserve"> </w:t>
            </w:r>
            <w:r w:rsidRPr="00A23740">
              <w:rPr>
                <w:rStyle w:val="MaviChar"/>
              </w:rPr>
              <w:t xml:space="preserve">haczedilemeyen </w:t>
            </w:r>
            <w:r w:rsidRPr="00A23740">
              <w:rPr>
                <w:szCs w:val="24"/>
              </w:rPr>
              <w:t>malları deftere kaydetmekle beraber müflisin elinde bırakır.</w:t>
            </w:r>
          </w:p>
          <w:p w:rsidR="00AA5C8C" w:rsidRPr="00A23740" w:rsidRDefault="00AA5C8C" w:rsidP="009431FF">
            <w:pPr>
              <w:pStyle w:val="KIRMIZI"/>
              <w:rPr>
                <w:b w:val="0"/>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2A7687" w:rsidRPr="00A23740" w:rsidRDefault="002A7687" w:rsidP="009431FF">
            <w:pPr>
              <w:ind w:firstLine="709"/>
              <w:rPr>
                <w:b/>
              </w:rPr>
            </w:pPr>
          </w:p>
          <w:p w:rsidR="002A7687" w:rsidRPr="00A23740" w:rsidRDefault="00730693" w:rsidP="009431FF">
            <w:pPr>
              <w:ind w:firstLine="709"/>
            </w:pPr>
            <w:r w:rsidRPr="00A23740">
              <w:rPr>
                <w:b/>
              </w:rPr>
              <w:t>MADDE 322</w:t>
            </w:r>
            <w:r w:rsidR="002A7687" w:rsidRPr="00A23740">
              <w:rPr>
                <w:b/>
              </w:rPr>
              <w:t>-</w:t>
            </w:r>
            <w:r w:rsidR="002A7687" w:rsidRPr="00A23740">
              <w:t xml:space="preserve"> Maddeyle, haczedilemeyen eşyaya ilişkin hususlar düzenlenmektedir. Hüküm, 2004 sayılı Kanunun 211 inci maddesine karşılık gelmektedir. </w:t>
            </w:r>
          </w:p>
          <w:p w:rsidR="00ED4844" w:rsidRPr="00A23740" w:rsidRDefault="00ED4844" w:rsidP="009431FF">
            <w:pPr>
              <w:pStyle w:val="YEL"/>
              <w:ind w:firstLine="709"/>
              <w:rPr>
                <w:b w:val="0"/>
                <w:color w:val="auto"/>
                <w:lang w:val="tr-TR"/>
              </w:rPr>
            </w:pPr>
            <w:r w:rsidRPr="00A23740">
              <w:rPr>
                <w:b w:val="0"/>
                <w:color w:val="auto"/>
                <w:lang w:val="tr-TR"/>
              </w:rPr>
              <w:t xml:space="preserve">Haczi caiz olmayan eşyanın defteri </w:t>
            </w:r>
            <w:r w:rsidR="00EF7D81" w:rsidRPr="00E15D75">
              <w:rPr>
                <w:b w:val="0"/>
                <w:color w:val="auto"/>
                <w:lang w:val="tr-TR"/>
              </w:rPr>
              <w:t>tutulacak,</w:t>
            </w:r>
            <w:r w:rsidR="00EF7D81" w:rsidRPr="00A23740">
              <w:rPr>
                <w:b w:val="0"/>
                <w:color w:val="auto"/>
                <w:lang w:val="tr-TR"/>
              </w:rPr>
              <w:t xml:space="preserve"> </w:t>
            </w:r>
            <w:r w:rsidRPr="00A23740">
              <w:rPr>
                <w:b w:val="0"/>
                <w:color w:val="auto"/>
                <w:lang w:val="tr-TR"/>
              </w:rPr>
              <w:t>ancak</w:t>
            </w:r>
            <w:r w:rsidR="00EF7D81" w:rsidRPr="00A23740">
              <w:rPr>
                <w:b w:val="0"/>
                <w:color w:val="auto"/>
                <w:lang w:val="tr-TR"/>
              </w:rPr>
              <w:t xml:space="preserve"> </w:t>
            </w:r>
            <w:r w:rsidR="00EF7D81" w:rsidRPr="00E15D75">
              <w:rPr>
                <w:b w:val="0"/>
                <w:color w:val="auto"/>
                <w:lang w:val="tr-TR"/>
              </w:rPr>
              <w:t>bu eşya</w:t>
            </w:r>
            <w:r w:rsidRPr="00A23740">
              <w:rPr>
                <w:b w:val="0"/>
                <w:color w:val="auto"/>
                <w:lang w:val="tr-TR"/>
              </w:rPr>
              <w:t xml:space="preserve"> müflisin elinde</w:t>
            </w:r>
            <w:r w:rsidR="00EF7D81" w:rsidRPr="00A23740">
              <w:rPr>
                <w:b w:val="0"/>
                <w:color w:val="auto"/>
                <w:lang w:val="tr-TR"/>
              </w:rPr>
              <w:t xml:space="preserve"> </w:t>
            </w:r>
            <w:r w:rsidR="00EF7D81" w:rsidRPr="00E15D75">
              <w:rPr>
                <w:b w:val="0"/>
                <w:color w:val="auto"/>
                <w:lang w:val="tr-TR"/>
              </w:rPr>
              <w:t>bırakılacaktır.</w:t>
            </w:r>
            <w:r w:rsidRPr="00A23740">
              <w:rPr>
                <w:b w:val="0"/>
                <w:color w:val="auto"/>
                <w:lang w:val="tr-TR"/>
              </w:rPr>
              <w:t xml:space="preserve"> İflasa tabi tüzel kişiler bakımından haczi caiz olmayan eşyadan bahsedilemeyeceğinden</w:t>
            </w:r>
            <w:r w:rsidR="00EF7D81" w:rsidRPr="00E15D75">
              <w:rPr>
                <w:b w:val="0"/>
                <w:color w:val="auto"/>
                <w:lang w:val="tr-TR"/>
              </w:rPr>
              <w:t>,</w:t>
            </w:r>
            <w:r w:rsidRPr="00A23740">
              <w:rPr>
                <w:b w:val="0"/>
                <w:color w:val="auto"/>
                <w:lang w:val="tr-TR"/>
              </w:rPr>
              <w:t xml:space="preserve"> cümleye “varsa” kelimesi ilave edilmiştir. </w:t>
            </w:r>
          </w:p>
          <w:p w:rsidR="00ED4844" w:rsidRPr="00A23740" w:rsidRDefault="002A7687" w:rsidP="009431FF">
            <w:pPr>
              <w:pStyle w:val="YEL"/>
              <w:ind w:firstLine="709"/>
              <w:rPr>
                <w:rStyle w:val="MaviChar"/>
                <w:bCs w:val="0"/>
                <w:color w:val="auto"/>
              </w:rPr>
            </w:pPr>
            <w:r w:rsidRPr="00A23740">
              <w:rPr>
                <w:b w:val="0"/>
                <w:color w:val="auto"/>
                <w:lang w:val="tr-TR"/>
              </w:rPr>
              <w:t>Maddede, 2004 sayılı Kanun</w:t>
            </w:r>
            <w:r w:rsidR="00EF7D81" w:rsidRPr="00A23740">
              <w:rPr>
                <w:b w:val="0"/>
                <w:color w:val="auto"/>
                <w:lang w:val="tr-TR"/>
              </w:rPr>
              <w:t>dan farklı olarak</w:t>
            </w:r>
            <w:r w:rsidR="00ED4844" w:rsidRPr="00A23740">
              <w:rPr>
                <w:b w:val="0"/>
                <w:color w:val="auto"/>
                <w:lang w:val="tr-TR"/>
              </w:rPr>
              <w:t xml:space="preserve"> sadece </w:t>
            </w:r>
            <w:r w:rsidRPr="00A23740">
              <w:rPr>
                <w:b w:val="0"/>
                <w:color w:val="auto"/>
                <w:lang w:val="tr-TR"/>
              </w:rPr>
              <w:t>2004 sayılı Kanun</w:t>
            </w:r>
            <w:r w:rsidR="00ED4844" w:rsidRPr="00A23740">
              <w:rPr>
                <w:b w:val="0"/>
                <w:color w:val="auto"/>
                <w:lang w:val="tr-TR"/>
              </w:rPr>
              <w:t xml:space="preserve"> kapsamında haczi cai</w:t>
            </w:r>
            <w:r w:rsidR="00EF7D81" w:rsidRPr="00A23740">
              <w:rPr>
                <w:b w:val="0"/>
                <w:color w:val="auto"/>
                <w:lang w:val="tr-TR"/>
              </w:rPr>
              <w:t>z olmayan mal ve hakların değil</w:t>
            </w:r>
            <w:r w:rsidR="00EF7D81" w:rsidRPr="001560F0">
              <w:rPr>
                <w:b w:val="0"/>
                <w:color w:val="000000" w:themeColor="text1"/>
                <w:lang w:val="tr-TR"/>
              </w:rPr>
              <w:t>,</w:t>
            </w:r>
            <w:r w:rsidR="00ED4844" w:rsidRPr="00A23740">
              <w:rPr>
                <w:b w:val="0"/>
                <w:color w:val="auto"/>
                <w:lang w:val="tr-TR"/>
              </w:rPr>
              <w:t xml:space="preserve"> diğer kanunlarda haczedilmezliği kabul edilen mal ve hakların </w:t>
            </w:r>
            <w:r w:rsidR="00EF7D81" w:rsidRPr="00E15D75">
              <w:rPr>
                <w:b w:val="0"/>
                <w:color w:val="auto"/>
                <w:lang w:val="tr-TR"/>
              </w:rPr>
              <w:t xml:space="preserve">da yasağa </w:t>
            </w:r>
            <w:r w:rsidR="00ED4844" w:rsidRPr="00A23740">
              <w:rPr>
                <w:b w:val="0"/>
                <w:color w:val="auto"/>
                <w:lang w:val="tr-TR"/>
              </w:rPr>
              <w:t xml:space="preserve">dahil edilmesi doğrultusunda düzenleme yapılmıştır. </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Üçüncü </w:t>
            </w:r>
            <w:r w:rsidRPr="00A23740">
              <w:rPr>
                <w:b/>
                <w:strike/>
                <w:color w:val="FF0000"/>
                <w:szCs w:val="24"/>
              </w:rPr>
              <w:t>şahıslara</w:t>
            </w:r>
            <w:r w:rsidRPr="00A23740">
              <w:rPr>
                <w:szCs w:val="24"/>
              </w:rPr>
              <w:t xml:space="preserve"> ait mallar</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212 – (1)</w:t>
            </w:r>
            <w:r w:rsidRPr="00A23740">
              <w:rPr>
                <w:b/>
                <w:szCs w:val="24"/>
              </w:rPr>
              <w:t xml:space="preserve"> </w:t>
            </w:r>
            <w:r w:rsidRPr="00A23740">
              <w:rPr>
                <w:szCs w:val="24"/>
              </w:rPr>
              <w:t xml:space="preserve">Üçüncü </w:t>
            </w:r>
            <w:r w:rsidRPr="00A23740">
              <w:rPr>
                <w:b/>
                <w:strike/>
                <w:color w:val="FF0000"/>
                <w:szCs w:val="24"/>
              </w:rPr>
              <w:t>şahısların</w:t>
            </w:r>
            <w:r w:rsidRPr="00A23740">
              <w:rPr>
                <w:szCs w:val="24"/>
              </w:rPr>
              <w:t xml:space="preserve"> mülkü olarak gösterilen yahut bunlar tarafından mülkiyeti iddia olunan mallar, bu </w:t>
            </w:r>
            <w:r w:rsidRPr="00A23740">
              <w:rPr>
                <w:b/>
                <w:strike/>
                <w:color w:val="FF0000"/>
                <w:szCs w:val="24"/>
              </w:rPr>
              <w:t>cihetler de</w:t>
            </w:r>
            <w:r w:rsidRPr="00A23740">
              <w:rPr>
                <w:szCs w:val="24"/>
              </w:rPr>
              <w:t xml:space="preserve"> şerh verilerek deftere kaydolunur.</w:t>
            </w:r>
          </w:p>
        </w:tc>
        <w:tc>
          <w:tcPr>
            <w:tcW w:w="2500" w:type="pct"/>
          </w:tcPr>
          <w:p w:rsidR="00AA5C8C" w:rsidRPr="00A23740" w:rsidRDefault="00AA5C8C" w:rsidP="009431FF">
            <w:pPr>
              <w:tabs>
                <w:tab w:val="left" w:pos="567"/>
              </w:tabs>
              <w:rPr>
                <w:b/>
                <w:szCs w:val="24"/>
              </w:rPr>
            </w:pPr>
            <w:r w:rsidRPr="00A23740">
              <w:rPr>
                <w:b/>
                <w:szCs w:val="24"/>
              </w:rPr>
              <w:t xml:space="preserve">Üçüncü </w:t>
            </w:r>
            <w:r w:rsidRPr="00A23740">
              <w:rPr>
                <w:b/>
                <w:color w:val="0000FF"/>
                <w:szCs w:val="24"/>
              </w:rPr>
              <w:t>kişilere</w:t>
            </w:r>
            <w:r w:rsidRPr="00A23740">
              <w:rPr>
                <w:b/>
                <w:szCs w:val="24"/>
              </w:rPr>
              <w:t xml:space="preserve"> ait mallar</w:t>
            </w:r>
          </w:p>
          <w:p w:rsidR="00AA5C8C" w:rsidRPr="00A23740" w:rsidRDefault="00AA5C8C" w:rsidP="009431FF">
            <w:pPr>
              <w:tabs>
                <w:tab w:val="left" w:pos="567"/>
              </w:tabs>
              <w:rPr>
                <w:szCs w:val="24"/>
              </w:rPr>
            </w:pPr>
            <w:r w:rsidRPr="00A23740">
              <w:rPr>
                <w:rStyle w:val="MaviChar"/>
                <w:lang w:val="tr-TR"/>
              </w:rPr>
              <w:t xml:space="preserve">MADDE </w:t>
            </w:r>
            <w:r w:rsidR="00730693" w:rsidRPr="00A23740">
              <w:rPr>
                <w:rStyle w:val="MAVChar"/>
                <w:rFonts w:eastAsia="Calibri"/>
                <w:u w:val="none"/>
              </w:rPr>
              <w:t>323</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 xml:space="preserve">Üçüncü </w:t>
            </w:r>
            <w:r w:rsidRPr="00A23740">
              <w:rPr>
                <w:b/>
                <w:color w:val="0000FF"/>
                <w:szCs w:val="24"/>
              </w:rPr>
              <w:t>kişilerin</w:t>
            </w:r>
            <w:r w:rsidRPr="00A23740">
              <w:rPr>
                <w:szCs w:val="24"/>
              </w:rPr>
              <w:t xml:space="preserve"> mülkü olarak gösterilen</w:t>
            </w:r>
            <w:r w:rsidR="00EF7D81" w:rsidRPr="00A23740">
              <w:rPr>
                <w:szCs w:val="24"/>
              </w:rPr>
              <w:t xml:space="preserve"> </w:t>
            </w:r>
            <w:r w:rsidR="00EF7D81" w:rsidRPr="00E15D75">
              <w:t>veya</w:t>
            </w:r>
            <w:r w:rsidRPr="00E15D75">
              <w:rPr>
                <w:szCs w:val="24"/>
              </w:rPr>
              <w:t xml:space="preserve"> </w:t>
            </w:r>
            <w:r w:rsidRPr="00A23740">
              <w:rPr>
                <w:szCs w:val="24"/>
              </w:rPr>
              <w:t xml:space="preserve">bunlar tarafından </w:t>
            </w:r>
            <w:r w:rsidR="00EF7D81" w:rsidRPr="00E15D75">
              <w:t>üzerinde</w:t>
            </w:r>
            <w:r w:rsidR="00EF7D81" w:rsidRPr="00E15D75">
              <w:rPr>
                <w:szCs w:val="24"/>
              </w:rPr>
              <w:t xml:space="preserve"> </w:t>
            </w:r>
            <w:r w:rsidRPr="00A23740">
              <w:rPr>
                <w:szCs w:val="24"/>
              </w:rPr>
              <w:t>mülkiyet iddia olunan mallar, bu</w:t>
            </w:r>
            <w:r w:rsidR="00EF7D81" w:rsidRPr="00A23740">
              <w:rPr>
                <w:szCs w:val="24"/>
              </w:rPr>
              <w:t xml:space="preserve"> </w:t>
            </w:r>
            <w:r w:rsidR="00EF7D81" w:rsidRPr="00E15D75">
              <w:t>iddialar</w:t>
            </w:r>
            <w:r w:rsidRPr="00E15D75">
              <w:rPr>
                <w:szCs w:val="24"/>
              </w:rPr>
              <w:t xml:space="preserve"> </w:t>
            </w:r>
            <w:r w:rsidR="00EF7D81" w:rsidRPr="00E15D75">
              <w:t>belirtilerek</w:t>
            </w:r>
            <w:r w:rsidR="00EF7D81" w:rsidRPr="00E15D75">
              <w:rPr>
                <w:szCs w:val="24"/>
              </w:rPr>
              <w:t xml:space="preserve"> </w:t>
            </w:r>
            <w:r w:rsidRPr="00E15D75">
              <w:rPr>
                <w:szCs w:val="24"/>
              </w:rPr>
              <w:t>deftere</w:t>
            </w:r>
            <w:r w:rsidRPr="00A23740">
              <w:rPr>
                <w:szCs w:val="24"/>
              </w:rPr>
              <w:t xml:space="preserve"> kaydolunur.</w:t>
            </w:r>
            <w:r w:rsidRPr="00A23740">
              <w:rPr>
                <w:b/>
                <w:color w:val="0000FF"/>
                <w:szCs w:val="24"/>
              </w:rPr>
              <w:t xml:space="preserve"> </w:t>
            </w:r>
          </w:p>
          <w:p w:rsidR="00AA5C8C" w:rsidRPr="00A23740" w:rsidRDefault="00AA5C8C" w:rsidP="009431FF">
            <w:pPr>
              <w:tabs>
                <w:tab w:val="left" w:pos="567"/>
              </w:tabs>
              <w:rPr>
                <w:szCs w:val="24"/>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2A7687" w:rsidRPr="00A23740" w:rsidRDefault="002A7687" w:rsidP="009431FF">
            <w:pPr>
              <w:tabs>
                <w:tab w:val="left" w:pos="567"/>
              </w:tabs>
              <w:ind w:firstLine="709"/>
              <w:rPr>
                <w:b/>
                <w:szCs w:val="24"/>
              </w:rPr>
            </w:pPr>
          </w:p>
          <w:p w:rsidR="002A7687" w:rsidRPr="00A23740" w:rsidRDefault="00730693" w:rsidP="009431FF">
            <w:pPr>
              <w:ind w:firstLine="709"/>
            </w:pPr>
            <w:r w:rsidRPr="00A23740">
              <w:rPr>
                <w:b/>
              </w:rPr>
              <w:t>MADDE 323</w:t>
            </w:r>
            <w:r w:rsidR="002A7687" w:rsidRPr="00A23740">
              <w:rPr>
                <w:b/>
              </w:rPr>
              <w:t>-</w:t>
            </w:r>
            <w:r w:rsidR="002A7687" w:rsidRPr="00A23740">
              <w:t xml:space="preserve"> Maddeyle, üçüncü kişilere </w:t>
            </w:r>
            <w:r w:rsidR="002A7687" w:rsidRPr="00E15D75">
              <w:t xml:space="preserve">ait </w:t>
            </w:r>
            <w:r w:rsidR="00EF7D81" w:rsidRPr="00E15D75">
              <w:t xml:space="preserve">olduğu iddia </w:t>
            </w:r>
            <w:r w:rsidR="00935A26" w:rsidRPr="00E15D75">
              <w:t>edilen</w:t>
            </w:r>
            <w:r w:rsidR="00935A26" w:rsidRPr="00A23740">
              <w:t xml:space="preserve"> </w:t>
            </w:r>
            <w:r w:rsidR="002A7687" w:rsidRPr="00A23740">
              <w:t>mallar</w:t>
            </w:r>
            <w:r w:rsidR="00EF7D81" w:rsidRPr="00A23740">
              <w:t>a</w:t>
            </w:r>
            <w:r w:rsidR="002A7687" w:rsidRPr="00A23740">
              <w:t xml:space="preserve"> ilişkin hususlar düzenlenmektedir. Hüküm, 2004 sayılı Kanunun 212 nci maddesine karşılık gelmektedir. </w:t>
            </w:r>
          </w:p>
          <w:p w:rsidR="00ED4844" w:rsidRPr="00A23740" w:rsidRDefault="00ED4844" w:rsidP="009431FF">
            <w:pPr>
              <w:tabs>
                <w:tab w:val="left" w:pos="567"/>
              </w:tabs>
              <w:ind w:firstLine="709"/>
              <w:rPr>
                <w:szCs w:val="24"/>
              </w:rPr>
            </w:pPr>
            <w:r w:rsidRPr="00A23740">
              <w:rPr>
                <w:szCs w:val="24"/>
              </w:rPr>
              <w:t xml:space="preserve">Üzerinde üçüncü kişilerin hak iddiası olan malların da söz konusu iddialarla birlikte deftere kaydedileceği düzenlenmiştir. </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Taşınmazlar  üzerinde üçüncü </w:t>
            </w:r>
            <w:r w:rsidRPr="00A23740">
              <w:rPr>
                <w:b/>
                <w:strike/>
                <w:color w:val="FF0000"/>
                <w:szCs w:val="24"/>
              </w:rPr>
              <w:t>şahısların</w:t>
            </w:r>
            <w:r w:rsidRPr="00A23740">
              <w:rPr>
                <w:szCs w:val="24"/>
              </w:rPr>
              <w:t xml:space="preserve"> hakları</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213 – (1)</w:t>
            </w:r>
            <w:r w:rsidRPr="00A23740">
              <w:rPr>
                <w:b/>
                <w:szCs w:val="24"/>
              </w:rPr>
              <w:t xml:space="preserve"> </w:t>
            </w:r>
            <w:r w:rsidRPr="00A23740">
              <w:rPr>
                <w:szCs w:val="24"/>
              </w:rPr>
              <w:t xml:space="preserve">Müflisin taşınmazları üzerinde sicilden anlaşılan üçüncü </w:t>
            </w:r>
            <w:r w:rsidRPr="00A23740">
              <w:rPr>
                <w:b/>
                <w:strike/>
                <w:color w:val="FF0000"/>
                <w:szCs w:val="24"/>
              </w:rPr>
              <w:t>şahıslara</w:t>
            </w:r>
            <w:r w:rsidRPr="00A23740">
              <w:rPr>
                <w:szCs w:val="24"/>
              </w:rPr>
              <w:t xml:space="preserve"> ait haklar re</w:t>
            </w:r>
            <w:r w:rsidRPr="00A23740">
              <w:rPr>
                <w:b/>
                <w:strike/>
                <w:color w:val="FF0000"/>
                <w:szCs w:val="24"/>
              </w:rPr>
              <w:t>'</w:t>
            </w:r>
            <w:r w:rsidRPr="00A23740">
              <w:rPr>
                <w:szCs w:val="24"/>
              </w:rPr>
              <w:t xml:space="preserve">sen deftere </w:t>
            </w:r>
            <w:r w:rsidRPr="00A23740">
              <w:rPr>
                <w:b/>
                <w:strike/>
                <w:color w:val="FF0000"/>
                <w:szCs w:val="24"/>
              </w:rPr>
              <w:t>işaret olunur.</w:t>
            </w:r>
          </w:p>
        </w:tc>
        <w:tc>
          <w:tcPr>
            <w:tcW w:w="2500" w:type="pct"/>
          </w:tcPr>
          <w:p w:rsidR="00AA5C8C" w:rsidRPr="00A23740" w:rsidRDefault="00AA5C8C" w:rsidP="009431FF">
            <w:pPr>
              <w:tabs>
                <w:tab w:val="left" w:pos="567"/>
              </w:tabs>
              <w:rPr>
                <w:b/>
                <w:szCs w:val="24"/>
              </w:rPr>
            </w:pPr>
            <w:r w:rsidRPr="00A23740">
              <w:rPr>
                <w:b/>
                <w:szCs w:val="24"/>
              </w:rPr>
              <w:t xml:space="preserve">Taşınmazlar üzerinde üçüncü </w:t>
            </w:r>
            <w:r w:rsidRPr="00A23740">
              <w:rPr>
                <w:b/>
                <w:color w:val="0000FF"/>
                <w:szCs w:val="24"/>
              </w:rPr>
              <w:t>kişilerin</w:t>
            </w:r>
            <w:r w:rsidRPr="00A23740">
              <w:rPr>
                <w:b/>
                <w:szCs w:val="24"/>
              </w:rPr>
              <w:t xml:space="preserve"> hakları</w:t>
            </w:r>
          </w:p>
          <w:p w:rsidR="00AA5C8C" w:rsidRPr="00A23740" w:rsidRDefault="00AA5C8C" w:rsidP="009431FF">
            <w:pPr>
              <w:tabs>
                <w:tab w:val="left" w:pos="567"/>
              </w:tabs>
              <w:rPr>
                <w:szCs w:val="24"/>
              </w:rPr>
            </w:pPr>
            <w:r w:rsidRPr="00A23740">
              <w:rPr>
                <w:rStyle w:val="MaviChar"/>
                <w:lang w:val="tr-TR"/>
              </w:rPr>
              <w:t xml:space="preserve">MADDE </w:t>
            </w:r>
            <w:r w:rsidR="00730693" w:rsidRPr="00A23740">
              <w:rPr>
                <w:rStyle w:val="MAVChar"/>
                <w:rFonts w:eastAsia="Calibri"/>
                <w:u w:val="none"/>
              </w:rPr>
              <w:t>324</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Müflisin taşınmazları üzerinde</w:t>
            </w:r>
            <w:r w:rsidRPr="00E15D75">
              <w:rPr>
                <w:rStyle w:val="MaviChar"/>
              </w:rPr>
              <w:t xml:space="preserve"> </w:t>
            </w:r>
            <w:r w:rsidR="00EF7D81" w:rsidRPr="00E15D75">
              <w:rPr>
                <w:rStyle w:val="MaviChar"/>
              </w:rPr>
              <w:t xml:space="preserve">bulunan ve tapu sicilinden </w:t>
            </w:r>
            <w:r w:rsidRPr="00A23740">
              <w:rPr>
                <w:szCs w:val="24"/>
              </w:rPr>
              <w:t xml:space="preserve">anlaşılan üçüncü </w:t>
            </w:r>
            <w:r w:rsidRPr="00A23740">
              <w:rPr>
                <w:b/>
                <w:color w:val="0000FF"/>
                <w:szCs w:val="24"/>
              </w:rPr>
              <w:t>kişilere</w:t>
            </w:r>
            <w:r w:rsidRPr="00A23740">
              <w:rPr>
                <w:szCs w:val="24"/>
              </w:rPr>
              <w:t xml:space="preserve"> ait haklar resen deftere </w:t>
            </w:r>
            <w:r w:rsidRPr="00A23740">
              <w:rPr>
                <w:b/>
                <w:color w:val="0000FF"/>
                <w:szCs w:val="24"/>
              </w:rPr>
              <w:t>kaydedilir</w:t>
            </w:r>
            <w:r w:rsidRPr="00A23740">
              <w:rPr>
                <w:szCs w:val="24"/>
              </w:rPr>
              <w:t>.</w:t>
            </w:r>
          </w:p>
          <w:p w:rsidR="00AA5C8C" w:rsidRPr="00A23740" w:rsidRDefault="00AA5C8C" w:rsidP="009431FF">
            <w:pPr>
              <w:tabs>
                <w:tab w:val="left" w:pos="567"/>
              </w:tabs>
              <w:rPr>
                <w:szCs w:val="24"/>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81471" w:rsidRPr="00A23740" w:rsidRDefault="00D81471" w:rsidP="009431FF">
            <w:pPr>
              <w:tabs>
                <w:tab w:val="left" w:pos="567"/>
              </w:tabs>
              <w:ind w:firstLine="567"/>
              <w:rPr>
                <w:b/>
                <w:szCs w:val="24"/>
              </w:rPr>
            </w:pPr>
          </w:p>
          <w:p w:rsidR="00D81471" w:rsidRPr="00A23740" w:rsidRDefault="00730693" w:rsidP="009431FF">
            <w:pPr>
              <w:tabs>
                <w:tab w:val="left" w:pos="567"/>
              </w:tabs>
              <w:ind w:firstLine="567"/>
              <w:rPr>
                <w:b/>
                <w:szCs w:val="24"/>
              </w:rPr>
            </w:pPr>
            <w:r w:rsidRPr="00A23740">
              <w:rPr>
                <w:b/>
              </w:rPr>
              <w:t>MADDE 324</w:t>
            </w:r>
            <w:r w:rsidR="00D81471" w:rsidRPr="00A23740">
              <w:rPr>
                <w:b/>
              </w:rPr>
              <w:t>-</w:t>
            </w:r>
            <w:r w:rsidR="00D81471" w:rsidRPr="00A23740">
              <w:t xml:space="preserve"> Maddeyle, taşınmazlar üzerinde üçüncü kişilerin </w:t>
            </w:r>
            <w:r w:rsidR="0083065C" w:rsidRPr="00A23740">
              <w:t xml:space="preserve">sahip oldukları </w:t>
            </w:r>
            <w:r w:rsidR="00D81471" w:rsidRPr="00A23740">
              <w:t xml:space="preserve">haklarına ilişkin hususlar düzenlenmektedir. Hüküm, 2004 sayılı Kanunun 213 üncü maddesine karşılık gelmektedir. </w:t>
            </w:r>
          </w:p>
          <w:p w:rsidR="00ED4844" w:rsidRPr="00A23740" w:rsidRDefault="00ED4844" w:rsidP="009431FF">
            <w:pPr>
              <w:tabs>
                <w:tab w:val="left" w:pos="567"/>
              </w:tabs>
              <w:ind w:firstLine="567"/>
              <w:rPr>
                <w:szCs w:val="24"/>
              </w:rPr>
            </w:pPr>
            <w:r w:rsidRPr="00A23740">
              <w:rPr>
                <w:szCs w:val="24"/>
              </w:rPr>
              <w:t>Üçüncü kişilerin müflisin taşınmazların</w:t>
            </w:r>
            <w:r w:rsidR="0083065C" w:rsidRPr="00A23740">
              <w:rPr>
                <w:szCs w:val="24"/>
              </w:rPr>
              <w:t>a ilişkin</w:t>
            </w:r>
            <w:r w:rsidRPr="00A23740">
              <w:rPr>
                <w:szCs w:val="24"/>
              </w:rPr>
              <w:t xml:space="preserve"> sicil</w:t>
            </w:r>
            <w:r w:rsidR="0083065C" w:rsidRPr="00A23740">
              <w:rPr>
                <w:szCs w:val="24"/>
              </w:rPr>
              <w:t xml:space="preserve"> kayıtlarından</w:t>
            </w:r>
            <w:r w:rsidRPr="00A23740">
              <w:rPr>
                <w:szCs w:val="24"/>
              </w:rPr>
              <w:t xml:space="preserve"> anlaşılan haklarının resen deftere kaydedilmesi düzenlenmektedir. </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Kıymet takdiri</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214 – (1)</w:t>
            </w:r>
            <w:r w:rsidRPr="00A23740">
              <w:rPr>
                <w:b/>
                <w:szCs w:val="24"/>
              </w:rPr>
              <w:t xml:space="preserve"> </w:t>
            </w:r>
            <w:r w:rsidRPr="00A23740">
              <w:rPr>
                <w:szCs w:val="24"/>
              </w:rPr>
              <w:t>Deftere  geçirilen her malın kıymeti takdir olunur.</w:t>
            </w:r>
          </w:p>
        </w:tc>
        <w:tc>
          <w:tcPr>
            <w:tcW w:w="2500" w:type="pct"/>
          </w:tcPr>
          <w:p w:rsidR="00AA5C8C" w:rsidRPr="00A23740" w:rsidRDefault="00AA5C8C" w:rsidP="009431FF">
            <w:pPr>
              <w:tabs>
                <w:tab w:val="left" w:pos="567"/>
              </w:tabs>
              <w:rPr>
                <w:b/>
                <w:szCs w:val="24"/>
              </w:rPr>
            </w:pPr>
            <w:r w:rsidRPr="00A23740">
              <w:rPr>
                <w:b/>
                <w:szCs w:val="24"/>
              </w:rPr>
              <w:t>Kıymet takdiri</w:t>
            </w:r>
          </w:p>
          <w:p w:rsidR="00AA5C8C" w:rsidRPr="00A23740" w:rsidRDefault="00EF7D81" w:rsidP="009431FF">
            <w:pPr>
              <w:tabs>
                <w:tab w:val="left" w:pos="567"/>
              </w:tabs>
              <w:rPr>
                <w:szCs w:val="24"/>
              </w:rPr>
            </w:pPr>
            <w:r w:rsidRPr="00A23740">
              <w:rPr>
                <w:rStyle w:val="MAVChar"/>
                <w:rFonts w:eastAsia="Calibri"/>
                <w:u w:val="none"/>
              </w:rPr>
              <w:t>MADDE 325</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Deftere geçirilen her malın kıymeti takdir olunur.</w:t>
            </w:r>
          </w:p>
          <w:p w:rsidR="00AA5C8C" w:rsidRPr="00A23740" w:rsidRDefault="00AA5C8C" w:rsidP="009431FF">
            <w:pPr>
              <w:tabs>
                <w:tab w:val="left" w:pos="567"/>
              </w:tabs>
              <w:rPr>
                <w:rStyle w:val="YELChar"/>
              </w:rPr>
            </w:pPr>
            <w:r w:rsidRPr="00A23740">
              <w:rPr>
                <w:szCs w:val="24"/>
              </w:rPr>
              <w:t xml:space="preserve"> </w:t>
            </w:r>
          </w:p>
          <w:p w:rsidR="00AA5C8C" w:rsidRPr="00A23740" w:rsidRDefault="00AA5C8C" w:rsidP="009431FF">
            <w:pPr>
              <w:pStyle w:val="Mavi"/>
            </w:pPr>
            <w:r w:rsidRPr="00A23740">
              <w:t>(2) Sicile kayıtlı malların kıymet takdirinin bilirkişilik bölge kurulu listesinde kayıtlı ve bu konuda Adalet Bakanlığınca izin verilen bilirkişilere, bunların bulunmaması hâlinde listede kayıtlı diğer bilirkişilere yaptırılması zorunludur.</w:t>
            </w:r>
          </w:p>
          <w:p w:rsidR="00AA5C8C" w:rsidRPr="00A23740" w:rsidRDefault="00AA5C8C" w:rsidP="009431FF">
            <w:pPr>
              <w:pStyle w:val="KIRMIZI"/>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5A466F" w:rsidRPr="00A23740" w:rsidRDefault="005A466F" w:rsidP="009431FF">
            <w:pPr>
              <w:tabs>
                <w:tab w:val="left" w:pos="567"/>
              </w:tabs>
              <w:ind w:firstLine="709"/>
              <w:rPr>
                <w:b/>
              </w:rPr>
            </w:pPr>
          </w:p>
          <w:p w:rsidR="005A466F" w:rsidRPr="00A23740" w:rsidRDefault="00EF7D81" w:rsidP="009431FF">
            <w:pPr>
              <w:tabs>
                <w:tab w:val="left" w:pos="567"/>
              </w:tabs>
              <w:ind w:firstLine="709"/>
              <w:rPr>
                <w:b/>
                <w:szCs w:val="24"/>
              </w:rPr>
            </w:pPr>
            <w:r w:rsidRPr="00A23740">
              <w:rPr>
                <w:b/>
              </w:rPr>
              <w:t>MADDE 325</w:t>
            </w:r>
            <w:r w:rsidR="005A466F" w:rsidRPr="00A23740">
              <w:rPr>
                <w:b/>
              </w:rPr>
              <w:t>-</w:t>
            </w:r>
            <w:r w:rsidR="005A466F" w:rsidRPr="00A23740">
              <w:t xml:space="preserve"> Maddeyle, kıymet takdirine ilişkin hususlar düzenlenmektedir. Hüküm, 2004 sayılı Kanunun 214 üncü maddesine karşılık gelmektedir. </w:t>
            </w:r>
          </w:p>
          <w:p w:rsidR="00ED4844" w:rsidRPr="00A23740" w:rsidRDefault="00ED4844" w:rsidP="009431FF">
            <w:pPr>
              <w:tabs>
                <w:tab w:val="left" w:pos="567"/>
              </w:tabs>
              <w:ind w:firstLine="709"/>
            </w:pPr>
            <w:r w:rsidRPr="00A23740">
              <w:t xml:space="preserve">Kıymet takdirine ilişkin madde, </w:t>
            </w:r>
            <w:r w:rsidR="0083065C" w:rsidRPr="00A23740">
              <w:t xml:space="preserve">2004 sayılı Kanununun </w:t>
            </w:r>
            <w:r w:rsidRPr="00A23740">
              <w:t>haciz yoluyla takibe ilişkin hükümler</w:t>
            </w:r>
            <w:r w:rsidR="0083065C" w:rsidRPr="00A23740">
              <w:t>i</w:t>
            </w:r>
            <w:r w:rsidRPr="00A23740">
              <w:t xml:space="preserve"> arasında yer alan</w:t>
            </w:r>
            <w:r w:rsidR="00A76777" w:rsidRPr="00A23740">
              <w:t xml:space="preserve"> </w:t>
            </w:r>
            <w:r w:rsidRPr="00A23740">
              <w:t>87 nci madde</w:t>
            </w:r>
            <w:r w:rsidR="0083065C" w:rsidRPr="00A23740">
              <w:t>siyle</w:t>
            </w:r>
            <w:r w:rsidRPr="00A23740">
              <w:t xml:space="preserve"> paralel şekilde kaleme alınmıştır.</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Defterin müflis tarafından tanınması:</w:t>
            </w:r>
          </w:p>
          <w:p w:rsidR="00AA5C8C" w:rsidRPr="00A23740" w:rsidRDefault="00AA5C8C" w:rsidP="009431FF">
            <w:pPr>
              <w:tabs>
                <w:tab w:val="left" w:pos="567"/>
              </w:tabs>
              <w:rPr>
                <w:szCs w:val="24"/>
              </w:rPr>
            </w:pPr>
            <w:r w:rsidRPr="00A23740">
              <w:rPr>
                <w:rStyle w:val="KIRMIZIChar"/>
                <w:rFonts w:eastAsia="Calibri"/>
              </w:rPr>
              <w:t>Madde 215 – (1)</w:t>
            </w:r>
            <w:r w:rsidRPr="00A23740">
              <w:rPr>
                <w:b/>
                <w:szCs w:val="24"/>
              </w:rPr>
              <w:t xml:space="preserve"> </w:t>
            </w:r>
            <w:r w:rsidRPr="00A23740">
              <w:rPr>
                <w:szCs w:val="24"/>
              </w:rPr>
              <w:t>Daire doğru</w:t>
            </w:r>
            <w:r w:rsidRPr="00A23740">
              <w:rPr>
                <w:b/>
                <w:strike/>
                <w:color w:val="FF0000"/>
                <w:szCs w:val="24"/>
              </w:rPr>
              <w:t>luğu</w:t>
            </w:r>
            <w:r w:rsidRPr="00A23740">
              <w:rPr>
                <w:szCs w:val="24"/>
              </w:rPr>
              <w:t xml:space="preserve"> ve </w:t>
            </w:r>
            <w:r w:rsidRPr="00A23740">
              <w:rPr>
                <w:b/>
                <w:strike/>
                <w:color w:val="FF0000"/>
                <w:szCs w:val="24"/>
              </w:rPr>
              <w:t>noksansızlığı</w:t>
            </w:r>
            <w:r w:rsidRPr="00A23740">
              <w:rPr>
                <w:szCs w:val="24"/>
              </w:rPr>
              <w:t xml:space="preserve"> hakkında beyanda bulunma</w:t>
            </w:r>
            <w:r w:rsidRPr="00A23740">
              <w:rPr>
                <w:rStyle w:val="KIRMIZIChar"/>
                <w:rFonts w:eastAsia="Calibri"/>
              </w:rPr>
              <w:t>k</w:t>
            </w:r>
            <w:r w:rsidRPr="00A23740">
              <w:rPr>
                <w:szCs w:val="24"/>
              </w:rPr>
              <w:t xml:space="preserve"> </w:t>
            </w:r>
            <w:r w:rsidRPr="00A23740">
              <w:rPr>
                <w:rStyle w:val="KIRMIZIChar"/>
                <w:rFonts w:eastAsia="Calibri"/>
              </w:rPr>
              <w:t>üzere</w:t>
            </w:r>
            <w:r w:rsidRPr="00A23740">
              <w:rPr>
                <w:szCs w:val="24"/>
              </w:rPr>
              <w:t xml:space="preserve"> tutulan defteri müflise gösterir.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Müflisin </w:t>
            </w:r>
            <w:r w:rsidRPr="00A23740">
              <w:rPr>
                <w:b/>
                <w:strike/>
                <w:color w:val="FF0000"/>
                <w:szCs w:val="24"/>
              </w:rPr>
              <w:t>cevabı</w:t>
            </w:r>
            <w:r w:rsidRPr="00A23740">
              <w:rPr>
                <w:szCs w:val="24"/>
              </w:rPr>
              <w:t xml:space="preserve"> deftere yazılır ve kendisine imza ettirilir.</w:t>
            </w:r>
          </w:p>
        </w:tc>
        <w:tc>
          <w:tcPr>
            <w:tcW w:w="2500" w:type="pct"/>
          </w:tcPr>
          <w:p w:rsidR="00AA5C8C" w:rsidRPr="00A23740" w:rsidRDefault="00AA5C8C" w:rsidP="009431FF">
            <w:pPr>
              <w:pStyle w:val="KIRMIZI"/>
              <w:rPr>
                <w:lang w:val="tr-TR"/>
              </w:rPr>
            </w:pPr>
            <w:r w:rsidRPr="00A23740">
              <w:rPr>
                <w:rStyle w:val="MAVChar"/>
                <w:b/>
                <w:strike w:val="0"/>
                <w:u w:val="none"/>
                <w:lang w:val="tr-TR"/>
              </w:rPr>
              <w:t>Müflisin defter hakkındaki beyanı</w:t>
            </w:r>
          </w:p>
          <w:p w:rsidR="00AA5C8C" w:rsidRPr="00A23740" w:rsidRDefault="00AA5C8C" w:rsidP="009431FF">
            <w:pPr>
              <w:tabs>
                <w:tab w:val="left" w:pos="567"/>
              </w:tabs>
              <w:rPr>
                <w:szCs w:val="24"/>
              </w:rPr>
            </w:pPr>
            <w:r w:rsidRPr="00A23740">
              <w:rPr>
                <w:rStyle w:val="MaviChar"/>
                <w:lang w:val="tr-TR"/>
              </w:rPr>
              <w:t xml:space="preserve">MADDE </w:t>
            </w:r>
            <w:r w:rsidR="00EF7D81" w:rsidRPr="00A23740">
              <w:rPr>
                <w:rStyle w:val="MAVChar"/>
                <w:rFonts w:eastAsia="Calibri"/>
                <w:u w:val="none"/>
              </w:rPr>
              <w:t>326</w:t>
            </w:r>
            <w:r w:rsidRPr="00A23740">
              <w:rPr>
                <w:rStyle w:val="MAVChar"/>
                <w:rFonts w:eastAsia="Calibri"/>
                <w:u w:val="none"/>
              </w:rPr>
              <w:t>- (1) İflas</w:t>
            </w:r>
            <w:r w:rsidRPr="00A23740">
              <w:rPr>
                <w:b/>
                <w:szCs w:val="24"/>
              </w:rPr>
              <w:t xml:space="preserve"> </w:t>
            </w:r>
            <w:r w:rsidRPr="00A23740">
              <w:rPr>
                <w:szCs w:val="24"/>
              </w:rPr>
              <w:t>daire</w:t>
            </w:r>
            <w:r w:rsidRPr="00A23740">
              <w:rPr>
                <w:b/>
                <w:color w:val="0000FF"/>
                <w:szCs w:val="24"/>
              </w:rPr>
              <w:t xml:space="preserve">si, tam </w:t>
            </w:r>
            <w:r w:rsidRPr="00A23740">
              <w:rPr>
                <w:szCs w:val="24"/>
              </w:rPr>
              <w:t xml:space="preserve">ve doğru </w:t>
            </w:r>
            <w:r w:rsidRPr="00A23740">
              <w:rPr>
                <w:b/>
                <w:color w:val="0000FF"/>
                <w:szCs w:val="24"/>
              </w:rPr>
              <w:t>olduğu</w:t>
            </w:r>
            <w:r w:rsidRPr="00A23740">
              <w:rPr>
                <w:szCs w:val="24"/>
              </w:rPr>
              <w:t xml:space="preserve"> hakkında beyanda bulunma</w:t>
            </w:r>
            <w:r w:rsidRPr="00A23740">
              <w:rPr>
                <w:rStyle w:val="MaviChar"/>
              </w:rPr>
              <w:t xml:space="preserve">sı için </w:t>
            </w:r>
            <w:r w:rsidRPr="00A23740">
              <w:rPr>
                <w:szCs w:val="24"/>
              </w:rPr>
              <w:t>tutulan defteri müflise gösterir.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b/>
                <w:szCs w:val="24"/>
              </w:rPr>
              <w:t xml:space="preserve"> </w:t>
            </w:r>
            <w:r w:rsidRPr="00A23740">
              <w:rPr>
                <w:szCs w:val="24"/>
              </w:rPr>
              <w:t xml:space="preserve">Müflisin </w:t>
            </w:r>
            <w:r w:rsidRPr="00A23740">
              <w:rPr>
                <w:b/>
                <w:color w:val="0000FF"/>
                <w:szCs w:val="24"/>
              </w:rPr>
              <w:t>beyanı</w:t>
            </w:r>
            <w:r w:rsidRPr="00A23740">
              <w:rPr>
                <w:szCs w:val="24"/>
              </w:rPr>
              <w:t xml:space="preserve"> deftere yazılır ve kendisine imza ettirilir.</w:t>
            </w:r>
          </w:p>
          <w:p w:rsidR="00E807F4" w:rsidRPr="00A23740" w:rsidRDefault="00E807F4" w:rsidP="009431FF">
            <w:pPr>
              <w:tabs>
                <w:tab w:val="left" w:pos="567"/>
              </w:tabs>
              <w:rPr>
                <w:szCs w:val="24"/>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5A466F" w:rsidRPr="00A23740" w:rsidRDefault="005A466F" w:rsidP="009431FF">
            <w:pPr>
              <w:tabs>
                <w:tab w:val="left" w:pos="567"/>
              </w:tabs>
              <w:ind w:firstLine="709"/>
              <w:rPr>
                <w:bCs/>
                <w:szCs w:val="24"/>
              </w:rPr>
            </w:pPr>
          </w:p>
          <w:p w:rsidR="005A466F" w:rsidRPr="00A23740" w:rsidRDefault="00EF7D81" w:rsidP="009431FF">
            <w:pPr>
              <w:tabs>
                <w:tab w:val="left" w:pos="567"/>
              </w:tabs>
              <w:ind w:firstLine="709"/>
              <w:rPr>
                <w:b/>
                <w:szCs w:val="24"/>
              </w:rPr>
            </w:pPr>
            <w:r w:rsidRPr="00A23740">
              <w:rPr>
                <w:b/>
              </w:rPr>
              <w:t>MADDE 326</w:t>
            </w:r>
            <w:r w:rsidR="005A466F" w:rsidRPr="00A23740">
              <w:rPr>
                <w:b/>
              </w:rPr>
              <w:t>-</w:t>
            </w:r>
            <w:r w:rsidR="005A466F" w:rsidRPr="00A23740">
              <w:t xml:space="preserve"> Maddeyle, müflisin defter hakkındaki beyanına ilişkin hususlar düzenlenmektedir. Hüküm, 2004 sayılı Kanunun 215 inci maddesine karşılık gelmektedir. </w:t>
            </w:r>
          </w:p>
          <w:p w:rsidR="00ED4844" w:rsidRPr="00A23740" w:rsidRDefault="00ED4844" w:rsidP="009431FF">
            <w:pPr>
              <w:tabs>
                <w:tab w:val="left" w:pos="567"/>
              </w:tabs>
              <w:ind w:firstLine="709"/>
              <w:rPr>
                <w:bCs/>
                <w:szCs w:val="24"/>
              </w:rPr>
            </w:pPr>
            <w:r w:rsidRPr="00A23740">
              <w:rPr>
                <w:bCs/>
                <w:szCs w:val="24"/>
              </w:rPr>
              <w:t xml:space="preserve">Defter hakkında müflisin beyanının alınması düzenlenmiştir. </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Müflisin </w:t>
            </w:r>
            <w:r w:rsidRPr="00A23740">
              <w:rPr>
                <w:b/>
                <w:strike/>
                <w:color w:val="FF0000"/>
                <w:szCs w:val="24"/>
              </w:rPr>
              <w:t>mükellefiyetleri:</w:t>
            </w:r>
          </w:p>
          <w:p w:rsidR="00AA5C8C" w:rsidRPr="00A23740" w:rsidRDefault="00AA5C8C" w:rsidP="009431FF">
            <w:pPr>
              <w:tabs>
                <w:tab w:val="left" w:pos="567"/>
              </w:tabs>
              <w:rPr>
                <w:szCs w:val="24"/>
              </w:rPr>
            </w:pPr>
            <w:r w:rsidRPr="00A23740">
              <w:rPr>
                <w:rStyle w:val="KIRMIZIChar"/>
                <w:rFonts w:eastAsia="Calibri"/>
              </w:rPr>
              <w:t>Madde 216 – (1)</w:t>
            </w:r>
            <w:r w:rsidRPr="00A23740">
              <w:rPr>
                <w:b/>
                <w:szCs w:val="24"/>
              </w:rPr>
              <w:t xml:space="preserve"> </w:t>
            </w:r>
            <w:r w:rsidRPr="00A23740">
              <w:rPr>
                <w:szCs w:val="24"/>
              </w:rPr>
              <w:t xml:space="preserve">Kendisine ayrıca </w:t>
            </w:r>
            <w:r w:rsidRPr="00A23740">
              <w:rPr>
                <w:b/>
                <w:strike/>
                <w:color w:val="FF0000"/>
                <w:szCs w:val="24"/>
              </w:rPr>
              <w:t>müsaade edilmiyen</w:t>
            </w:r>
            <w:r w:rsidRPr="00A23740">
              <w:rPr>
                <w:szCs w:val="24"/>
              </w:rPr>
              <w:t xml:space="preserve"> müflis tasfiye</w:t>
            </w:r>
            <w:r w:rsidRPr="00A23740">
              <w:rPr>
                <w:b/>
                <w:strike/>
                <w:color w:val="FF0000"/>
                <w:szCs w:val="24"/>
              </w:rPr>
              <w:t>nin devamı müddetince</w:t>
            </w:r>
            <w:r w:rsidRPr="00A23740">
              <w:rPr>
                <w:szCs w:val="24"/>
              </w:rPr>
              <w:t xml:space="preserve"> iflas idaresinin emri altında bulunmakla </w:t>
            </w:r>
            <w:r w:rsidRPr="00A23740">
              <w:rPr>
                <w:b/>
                <w:strike/>
                <w:color w:val="FF0000"/>
                <w:szCs w:val="24"/>
              </w:rPr>
              <w:t>mükelleftir</w:t>
            </w:r>
            <w:r w:rsidRPr="00A23740">
              <w:rPr>
                <w:szCs w:val="24"/>
              </w:rPr>
              <w:t xml:space="preserve"> ve </w:t>
            </w:r>
            <w:r w:rsidRPr="00A23740">
              <w:rPr>
                <w:b/>
                <w:strike/>
                <w:color w:val="FF0000"/>
                <w:szCs w:val="24"/>
              </w:rPr>
              <w:t>icabında zabıta kuvvetleriyle</w:t>
            </w:r>
            <w:r w:rsidRPr="00A23740">
              <w:rPr>
                <w:szCs w:val="24"/>
              </w:rPr>
              <w:t xml:space="preserve"> getirilir. İflas idaresi müflis</w:t>
            </w:r>
            <w:r w:rsidRPr="00A23740">
              <w:rPr>
                <w:rStyle w:val="KIRMIZIChar"/>
                <w:rFonts w:eastAsia="Calibri"/>
              </w:rPr>
              <w:t xml:space="preserve">e </w:t>
            </w:r>
            <w:r w:rsidRPr="00A23740">
              <w:rPr>
                <w:b/>
                <w:strike/>
                <w:color w:val="FF0000"/>
                <w:szCs w:val="24"/>
              </w:rPr>
              <w:t xml:space="preserve">hususiyle emri altında tuttukça </w:t>
            </w:r>
            <w:r w:rsidRPr="00A23740">
              <w:rPr>
                <w:szCs w:val="24"/>
              </w:rPr>
              <w:t xml:space="preserve">münasip miktarda </w:t>
            </w:r>
            <w:r w:rsidRPr="00A23740">
              <w:rPr>
                <w:b/>
                <w:strike/>
                <w:color w:val="FF0000"/>
                <w:szCs w:val="24"/>
              </w:rPr>
              <w:t>muavenette bulunabilir.</w:t>
            </w:r>
          </w:p>
        </w:tc>
        <w:tc>
          <w:tcPr>
            <w:tcW w:w="2500" w:type="pct"/>
          </w:tcPr>
          <w:p w:rsidR="00AA5C8C" w:rsidRPr="00A23740" w:rsidRDefault="00AA5C8C" w:rsidP="009431FF">
            <w:pPr>
              <w:tabs>
                <w:tab w:val="left" w:pos="567"/>
              </w:tabs>
              <w:rPr>
                <w:szCs w:val="24"/>
              </w:rPr>
            </w:pPr>
            <w:r w:rsidRPr="00A23740">
              <w:rPr>
                <w:b/>
                <w:szCs w:val="24"/>
              </w:rPr>
              <w:t>Müflisin</w:t>
            </w:r>
            <w:r w:rsidRPr="00A23740">
              <w:rPr>
                <w:szCs w:val="24"/>
              </w:rPr>
              <w:t xml:space="preserve"> </w:t>
            </w:r>
            <w:r w:rsidRPr="00A23740">
              <w:rPr>
                <w:b/>
                <w:color w:val="0000FF"/>
                <w:szCs w:val="24"/>
              </w:rPr>
              <w:t>yükümlülüğü</w:t>
            </w:r>
          </w:p>
          <w:p w:rsidR="00A352DE" w:rsidRPr="00A23740" w:rsidRDefault="00AA5C8C" w:rsidP="009431FF">
            <w:pPr>
              <w:tabs>
                <w:tab w:val="left" w:pos="567"/>
              </w:tabs>
              <w:rPr>
                <w:b/>
                <w:color w:val="0000FF"/>
                <w:szCs w:val="24"/>
              </w:rPr>
            </w:pPr>
            <w:r w:rsidRPr="00A23740">
              <w:rPr>
                <w:rStyle w:val="MaviChar"/>
                <w:lang w:val="tr-TR"/>
              </w:rPr>
              <w:t xml:space="preserve">MADDE </w:t>
            </w:r>
            <w:r w:rsidR="00EF7D81" w:rsidRPr="00A23740">
              <w:rPr>
                <w:rStyle w:val="MAVChar"/>
                <w:rFonts w:eastAsia="Calibri"/>
                <w:u w:val="none"/>
              </w:rPr>
              <w:t>327</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 xml:space="preserve">Kendisine ayrıca </w:t>
            </w:r>
            <w:r w:rsidRPr="00A23740">
              <w:rPr>
                <w:b/>
                <w:color w:val="0000FF"/>
                <w:szCs w:val="24"/>
              </w:rPr>
              <w:t>izin verilmeyen</w:t>
            </w:r>
            <w:r w:rsidRPr="00A23740">
              <w:rPr>
                <w:szCs w:val="24"/>
              </w:rPr>
              <w:t xml:space="preserve"> müflis</w:t>
            </w:r>
            <w:r w:rsidRPr="00A23740">
              <w:rPr>
                <w:rStyle w:val="MaviChar"/>
                <w:lang w:val="tr-TR"/>
              </w:rPr>
              <w:t>,</w:t>
            </w:r>
            <w:r w:rsidRPr="00A23740">
              <w:rPr>
                <w:szCs w:val="24"/>
              </w:rPr>
              <w:t xml:space="preserve"> tasfiye </w:t>
            </w:r>
            <w:r w:rsidRPr="00A23740">
              <w:rPr>
                <w:b/>
                <w:color w:val="0000FF"/>
                <w:szCs w:val="24"/>
              </w:rPr>
              <w:t>süresince</w:t>
            </w:r>
            <w:r w:rsidRPr="00A23740">
              <w:rPr>
                <w:szCs w:val="24"/>
              </w:rPr>
              <w:t xml:space="preserve"> iflas idaresinin emri altında bulunmakla </w:t>
            </w:r>
            <w:r w:rsidRPr="00A23740">
              <w:rPr>
                <w:b/>
                <w:color w:val="0000FF"/>
                <w:szCs w:val="24"/>
              </w:rPr>
              <w:t>yükümlüdür</w:t>
            </w:r>
            <w:r w:rsidRPr="00A23740">
              <w:rPr>
                <w:szCs w:val="24"/>
              </w:rPr>
              <w:t xml:space="preserve"> ve </w:t>
            </w:r>
            <w:r w:rsidRPr="00A23740">
              <w:rPr>
                <w:b/>
                <w:color w:val="0000FF"/>
                <w:szCs w:val="24"/>
              </w:rPr>
              <w:t>gerektiğinde kolluk gücüyle</w:t>
            </w:r>
            <w:r w:rsidRPr="00A23740">
              <w:rPr>
                <w:szCs w:val="24"/>
              </w:rPr>
              <w:t xml:space="preserve"> getir</w:t>
            </w:r>
            <w:r w:rsidRPr="00A23740">
              <w:rPr>
                <w:rStyle w:val="MaviChar"/>
              </w:rPr>
              <w:t>t</w:t>
            </w:r>
            <w:r w:rsidRPr="00A23740">
              <w:rPr>
                <w:szCs w:val="24"/>
              </w:rPr>
              <w:t>ilir</w:t>
            </w:r>
            <w:r w:rsidR="00A352DE" w:rsidRPr="00A23740">
              <w:rPr>
                <w:szCs w:val="24"/>
              </w:rPr>
              <w:t>. İflas idaresi</w:t>
            </w:r>
            <w:r w:rsidR="00A352DE" w:rsidRPr="00A23740">
              <w:rPr>
                <w:b/>
                <w:color w:val="0000FF"/>
                <w:szCs w:val="24"/>
              </w:rPr>
              <w:t xml:space="preserve">, </w:t>
            </w:r>
            <w:r w:rsidR="00A352DE" w:rsidRPr="00A23740">
              <w:rPr>
                <w:szCs w:val="24"/>
              </w:rPr>
              <w:t>müflis</w:t>
            </w:r>
            <w:r w:rsidR="00A352DE" w:rsidRPr="00A23740">
              <w:rPr>
                <w:b/>
                <w:color w:val="0000FF"/>
                <w:szCs w:val="24"/>
              </w:rPr>
              <w:t>i, yükümlülüklerine uymaması h</w:t>
            </w:r>
            <w:r w:rsidR="00574FD2" w:rsidRPr="00A23740">
              <w:rPr>
                <w:b/>
                <w:color w:val="0000FF"/>
                <w:szCs w:val="24"/>
              </w:rPr>
              <w:t>â</w:t>
            </w:r>
            <w:r w:rsidR="00A352DE" w:rsidRPr="00A23740">
              <w:rPr>
                <w:b/>
                <w:color w:val="0000FF"/>
                <w:szCs w:val="24"/>
              </w:rPr>
              <w:t>linde</w:t>
            </w:r>
            <w:r w:rsidR="00C505F8" w:rsidRPr="00A23740">
              <w:rPr>
                <w:b/>
                <w:color w:val="0000FF"/>
                <w:szCs w:val="24"/>
              </w:rPr>
              <w:t xml:space="preserve"> </w:t>
            </w:r>
            <w:r w:rsidR="00C505F8" w:rsidRPr="00E15D75">
              <w:rPr>
                <w:b/>
                <w:bCs/>
                <w:color w:val="0000FF"/>
                <w:szCs w:val="24"/>
              </w:rPr>
              <w:t>517 nci</w:t>
            </w:r>
            <w:r w:rsidR="00A352DE" w:rsidRPr="00A23740">
              <w:rPr>
                <w:b/>
                <w:color w:val="0000FF"/>
                <w:szCs w:val="24"/>
              </w:rPr>
              <w:t xml:space="preserve"> madde gereğince disiplin </w:t>
            </w:r>
            <w:r w:rsidR="001647D1" w:rsidRPr="00E15D75">
              <w:rPr>
                <w:b/>
                <w:color w:val="0000FF"/>
              </w:rPr>
              <w:t>hapsiyle</w:t>
            </w:r>
            <w:r w:rsidR="00A352DE" w:rsidRPr="00E15D75">
              <w:rPr>
                <w:b/>
                <w:color w:val="0000FF"/>
                <w:szCs w:val="24"/>
              </w:rPr>
              <w:t xml:space="preserve"> </w:t>
            </w:r>
            <w:r w:rsidR="00A352DE" w:rsidRPr="00A23740">
              <w:rPr>
                <w:b/>
                <w:color w:val="0000FF"/>
                <w:szCs w:val="24"/>
              </w:rPr>
              <w:t>cezalandırılacağı</w:t>
            </w:r>
            <w:r w:rsidR="00892799">
              <w:rPr>
                <w:b/>
                <w:color w:val="0000FF"/>
                <w:szCs w:val="24"/>
              </w:rPr>
              <w:t xml:space="preserve"> </w:t>
            </w:r>
            <w:r w:rsidR="00574FD2" w:rsidRPr="00A23740">
              <w:rPr>
                <w:b/>
                <w:color w:val="0000FF"/>
                <w:szCs w:val="24"/>
              </w:rPr>
              <w:t xml:space="preserve">hususunda ikaz </w:t>
            </w:r>
            <w:r w:rsidR="00A352DE" w:rsidRPr="00A23740">
              <w:rPr>
                <w:b/>
                <w:color w:val="0000FF"/>
                <w:szCs w:val="24"/>
              </w:rPr>
              <w:t>eder.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İflas idaresi müflise</w:t>
            </w:r>
            <w:r w:rsidRPr="00A23740">
              <w:rPr>
                <w:rStyle w:val="MaviChar"/>
              </w:rPr>
              <w:t>,</w:t>
            </w:r>
            <w:r w:rsidRPr="00A23740">
              <w:rPr>
                <w:szCs w:val="24"/>
              </w:rPr>
              <w:t xml:space="preserve"> </w:t>
            </w:r>
            <w:r w:rsidRPr="00A23740">
              <w:rPr>
                <w:b/>
                <w:color w:val="0000FF"/>
                <w:szCs w:val="24"/>
              </w:rPr>
              <w:t>özellikle kendi</w:t>
            </w:r>
            <w:r w:rsidRPr="00A23740">
              <w:rPr>
                <w:szCs w:val="24"/>
              </w:rPr>
              <w:t xml:space="preserve"> emri altında tuttu</w:t>
            </w:r>
            <w:r w:rsidRPr="00A23740">
              <w:rPr>
                <w:b/>
                <w:color w:val="0000FF"/>
                <w:szCs w:val="24"/>
              </w:rPr>
              <w:t xml:space="preserve">ğu süre içinde geçimini sağlayacak </w:t>
            </w:r>
            <w:r w:rsidR="00574FD2" w:rsidRPr="00A23740">
              <w:rPr>
                <w:rStyle w:val="Balk1Char"/>
                <w:rFonts w:eastAsia="Calibri"/>
              </w:rPr>
              <w:t>uygun</w:t>
            </w:r>
            <w:r w:rsidR="00574FD2" w:rsidRPr="00A23740">
              <w:rPr>
                <w:szCs w:val="24"/>
              </w:rPr>
              <w:t xml:space="preserve"> </w:t>
            </w:r>
            <w:r w:rsidRPr="00A23740">
              <w:rPr>
                <w:szCs w:val="24"/>
              </w:rPr>
              <w:t>miktarda</w:t>
            </w:r>
            <w:r w:rsidRPr="00A23740">
              <w:rPr>
                <w:b/>
                <w:color w:val="0000FF"/>
                <w:szCs w:val="24"/>
              </w:rPr>
              <w:t xml:space="preserve"> yardımda</w:t>
            </w:r>
            <w:r w:rsidRPr="00A23740">
              <w:rPr>
                <w:szCs w:val="24"/>
              </w:rPr>
              <w:t xml:space="preserve"> bulunabilir.</w:t>
            </w:r>
          </w:p>
          <w:p w:rsidR="00AA5C8C" w:rsidRPr="00A23740" w:rsidRDefault="00AA5C8C" w:rsidP="009431FF">
            <w:pPr>
              <w:tabs>
                <w:tab w:val="left" w:pos="567"/>
              </w:tabs>
              <w:rPr>
                <w:b/>
                <w:color w:val="0000FF"/>
                <w:szCs w:val="24"/>
              </w:rPr>
            </w:pPr>
          </w:p>
          <w:p w:rsidR="00AA5C8C" w:rsidRPr="00A23740" w:rsidRDefault="00AA5C8C" w:rsidP="009431FF">
            <w:pPr>
              <w:pStyle w:val="Mavi"/>
              <w:rPr>
                <w:b w:val="0"/>
              </w:rPr>
            </w:pPr>
            <w:r w:rsidRPr="00A23740">
              <w:t>(3) İflas idaresi, borçlu veya ailesinin iflas masasına giren konutta ne kadar süreyle ve hangi şartlarla kalmaya devam edeceklerini belirler. Bu Kanunun</w:t>
            </w:r>
            <w:r w:rsidR="00C505F8" w:rsidRPr="00A23740">
              <w:rPr>
                <w:lang w:val="tr-TR"/>
              </w:rPr>
              <w:t xml:space="preserve"> </w:t>
            </w:r>
            <w:r w:rsidR="00C505F8" w:rsidRPr="00E15D75">
              <w:rPr>
                <w:bCs w:val="0"/>
              </w:rPr>
              <w:t>161 inci</w:t>
            </w:r>
            <w:r w:rsidRPr="00A23740">
              <w:t xml:space="preserve"> maddesinin birinci fıkrasının</w:t>
            </w:r>
            <w:r w:rsidR="007311B2" w:rsidRPr="00A23740">
              <w:rPr>
                <w:lang w:val="tr-TR"/>
              </w:rPr>
              <w:t xml:space="preserve"> </w:t>
            </w:r>
            <w:r w:rsidR="007311B2" w:rsidRPr="00E15D75">
              <w:rPr>
                <w:bCs w:val="0"/>
              </w:rPr>
              <w:t>(k)</w:t>
            </w:r>
            <w:r w:rsidRPr="00A23740">
              <w:rPr>
                <w:b w:val="0"/>
              </w:rPr>
              <w:t xml:space="preserve"> </w:t>
            </w:r>
            <w:r w:rsidRPr="00A23740">
              <w:rPr>
                <w:lang w:val="tr-TR"/>
              </w:rPr>
              <w:t xml:space="preserve">bendi </w:t>
            </w:r>
            <w:r w:rsidRPr="00A23740">
              <w:t>hükmü saklıdır.</w:t>
            </w:r>
          </w:p>
          <w:p w:rsidR="00543C57" w:rsidRPr="00A23740" w:rsidRDefault="00543C57" w:rsidP="009431FF">
            <w:pPr>
              <w:pStyle w:val="YEL"/>
              <w:rPr>
                <w:b w:val="0"/>
                <w:color w:val="FF0000"/>
                <w:lang w:val="tr-TR"/>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5A466F" w:rsidRPr="00A23740" w:rsidRDefault="00ED4844" w:rsidP="009431FF">
            <w:pPr>
              <w:tabs>
                <w:tab w:val="left" w:pos="567"/>
              </w:tabs>
              <w:ind w:firstLine="709"/>
              <w:rPr>
                <w:bCs/>
                <w:szCs w:val="24"/>
              </w:rPr>
            </w:pPr>
            <w:r w:rsidRPr="00A23740">
              <w:rPr>
                <w:bCs/>
                <w:szCs w:val="24"/>
              </w:rPr>
              <w:tab/>
            </w:r>
          </w:p>
          <w:p w:rsidR="005A466F" w:rsidRPr="00A23740" w:rsidRDefault="00EF7D81" w:rsidP="009431FF">
            <w:pPr>
              <w:tabs>
                <w:tab w:val="left" w:pos="567"/>
              </w:tabs>
              <w:ind w:firstLine="709"/>
              <w:rPr>
                <w:b/>
                <w:szCs w:val="24"/>
              </w:rPr>
            </w:pPr>
            <w:r w:rsidRPr="00A23740">
              <w:rPr>
                <w:b/>
              </w:rPr>
              <w:t>MADDE 327</w:t>
            </w:r>
            <w:r w:rsidR="005A466F" w:rsidRPr="00A23740">
              <w:rPr>
                <w:b/>
              </w:rPr>
              <w:t>-</w:t>
            </w:r>
            <w:r w:rsidR="005A466F" w:rsidRPr="00A23740">
              <w:t xml:space="preserve"> Maddeyle, müflisin </w:t>
            </w:r>
            <w:r w:rsidR="0083065C" w:rsidRPr="00A23740">
              <w:t xml:space="preserve">tasfiye sürecindeki </w:t>
            </w:r>
            <w:r w:rsidR="005A466F" w:rsidRPr="00A23740">
              <w:t>yükümlülü</w:t>
            </w:r>
            <w:r w:rsidR="0083065C" w:rsidRPr="00A23740">
              <w:t>klerine</w:t>
            </w:r>
            <w:r w:rsidR="005A466F" w:rsidRPr="00A23740">
              <w:t xml:space="preserve"> ilişkin hususlar düzenlenmektedir. Hüküm, 2004 sayılı Kanunun 216 ncı maddesine karşılık gelmektedir. </w:t>
            </w:r>
          </w:p>
          <w:p w:rsidR="00ED4844" w:rsidRPr="00A23740" w:rsidRDefault="00ED4844" w:rsidP="009431FF">
            <w:pPr>
              <w:tabs>
                <w:tab w:val="left" w:pos="567"/>
              </w:tabs>
              <w:ind w:firstLine="709"/>
              <w:rPr>
                <w:bCs/>
                <w:szCs w:val="24"/>
              </w:rPr>
            </w:pPr>
            <w:r w:rsidRPr="00A23740">
              <w:rPr>
                <w:bCs/>
                <w:szCs w:val="24"/>
              </w:rPr>
              <w:t xml:space="preserve">Maddenin birinci fıkrasında, özel olarak izin verilmeyen müflisin tasfiye boyunca iflas idaresinin emri altında olduğu ve yükümlülüklerinin kendisine ihtar edilmesi düzenlenmiştir. </w:t>
            </w:r>
          </w:p>
          <w:p w:rsidR="00ED4844" w:rsidRPr="00A23740" w:rsidRDefault="00ED4844" w:rsidP="009431FF">
            <w:pPr>
              <w:tabs>
                <w:tab w:val="left" w:pos="567"/>
              </w:tabs>
              <w:ind w:firstLine="709"/>
              <w:rPr>
                <w:bCs/>
                <w:szCs w:val="24"/>
              </w:rPr>
            </w:pPr>
            <w:r w:rsidRPr="00A23740">
              <w:rPr>
                <w:bCs/>
                <w:szCs w:val="24"/>
              </w:rPr>
              <w:t>İkinci fıkrada ise idarenin emri altında olduğu için çalışamayan müflisin geçimini sağlaması için kendisine ayrılacak yardım</w:t>
            </w:r>
            <w:r w:rsidR="0083065C" w:rsidRPr="00A23740">
              <w:rPr>
                <w:bCs/>
                <w:szCs w:val="24"/>
              </w:rPr>
              <w:t xml:space="preserve"> açıklanmıştır</w:t>
            </w:r>
            <w:r w:rsidRPr="00A23740">
              <w:rPr>
                <w:bCs/>
                <w:szCs w:val="24"/>
              </w:rPr>
              <w:t>.</w:t>
            </w:r>
          </w:p>
          <w:p w:rsidR="00ED4844" w:rsidRPr="00A23740" w:rsidRDefault="00ED4844" w:rsidP="009431FF">
            <w:pPr>
              <w:tabs>
                <w:tab w:val="left" w:pos="567"/>
              </w:tabs>
              <w:ind w:firstLine="709"/>
              <w:rPr>
                <w:bCs/>
                <w:szCs w:val="24"/>
              </w:rPr>
            </w:pPr>
            <w:r w:rsidRPr="00A23740">
              <w:rPr>
                <w:bCs/>
                <w:szCs w:val="24"/>
              </w:rPr>
              <w:t>Üçüncü fıkrada</w:t>
            </w:r>
            <w:r w:rsidR="0083065C" w:rsidRPr="00A23740">
              <w:rPr>
                <w:bCs/>
                <w:szCs w:val="24"/>
              </w:rPr>
              <w:t>,</w:t>
            </w:r>
            <w:r w:rsidRPr="00A23740">
              <w:rPr>
                <w:bCs/>
                <w:szCs w:val="24"/>
              </w:rPr>
              <w:t xml:space="preserve"> iflas masasına giren konutta müflisin ve ailesinin hangi süre boyunca kalacağının iflas idaresi tarafından belirleneceği</w:t>
            </w:r>
            <w:r w:rsidR="00574FD2" w:rsidRPr="00A23740">
              <w:rPr>
                <w:bCs/>
                <w:szCs w:val="24"/>
              </w:rPr>
              <w:t xml:space="preserve"> </w:t>
            </w:r>
            <w:r w:rsidR="00574FD2" w:rsidRPr="00E15D75">
              <w:rPr>
                <w:szCs w:val="24"/>
              </w:rPr>
              <w:t>hükme bağ</w:t>
            </w:r>
            <w:r w:rsidR="00892799">
              <w:rPr>
                <w:szCs w:val="24"/>
              </w:rPr>
              <w:t>lanmıştır</w:t>
            </w:r>
            <w:r w:rsidRPr="00A23740">
              <w:rPr>
                <w:bCs/>
                <w:szCs w:val="24"/>
              </w:rPr>
              <w:t xml:space="preserve">. Hüküm </w:t>
            </w:r>
            <w:r w:rsidR="008D666F" w:rsidRPr="00E15D75">
              <w:rPr>
                <w:szCs w:val="24"/>
              </w:rPr>
              <w:t>İsviçre’nin Borç İçin Takip ve İflas Hakkında Federal Kanununun</w:t>
            </w:r>
            <w:r w:rsidR="008D666F" w:rsidRPr="00A23740">
              <w:rPr>
                <w:bCs/>
                <w:szCs w:val="24"/>
              </w:rPr>
              <w:t xml:space="preserve"> </w:t>
            </w:r>
            <w:r w:rsidRPr="00A23740">
              <w:rPr>
                <w:bCs/>
                <w:szCs w:val="24"/>
              </w:rPr>
              <w:t>229</w:t>
            </w:r>
            <w:r w:rsidR="0083065C" w:rsidRPr="00A23740">
              <w:rPr>
                <w:bCs/>
                <w:szCs w:val="24"/>
              </w:rPr>
              <w:t xml:space="preserve"> uncu </w:t>
            </w:r>
            <w:r w:rsidRPr="00A23740">
              <w:rPr>
                <w:bCs/>
                <w:szCs w:val="24"/>
              </w:rPr>
              <w:t xml:space="preserve"> </w:t>
            </w:r>
            <w:r w:rsidR="008D666F" w:rsidRPr="00E15D75">
              <w:rPr>
                <w:szCs w:val="24"/>
              </w:rPr>
              <w:t>maddesi</w:t>
            </w:r>
            <w:r w:rsidR="0083065C" w:rsidRPr="00E15D75">
              <w:rPr>
                <w:szCs w:val="24"/>
              </w:rPr>
              <w:t>nin 3 üncü fıkrası</w:t>
            </w:r>
            <w:r w:rsidR="008D666F" w:rsidRPr="00E15D75">
              <w:rPr>
                <w:bCs/>
                <w:szCs w:val="24"/>
              </w:rPr>
              <w:t xml:space="preserve"> </w:t>
            </w:r>
            <w:r w:rsidRPr="00E15D75">
              <w:rPr>
                <w:bCs/>
                <w:szCs w:val="24"/>
              </w:rPr>
              <w:t>hükmü</w:t>
            </w:r>
            <w:r w:rsidRPr="00A23740">
              <w:rPr>
                <w:bCs/>
                <w:szCs w:val="24"/>
              </w:rPr>
              <w:t xml:space="preserve"> dikkate alınmak suretiyle kaleme alınmıştır. Burada dikkat edilecek husus, söz konusu konutun haczinin kabil olmasıdır. Yani </w:t>
            </w:r>
            <w:r w:rsidR="0083065C" w:rsidRPr="00A23740">
              <w:rPr>
                <w:bCs/>
                <w:szCs w:val="24"/>
              </w:rPr>
              <w:t xml:space="preserve">Taslağın </w:t>
            </w:r>
            <w:r w:rsidR="007311B2" w:rsidRPr="00E15D75">
              <w:rPr>
                <w:szCs w:val="24"/>
              </w:rPr>
              <w:t>161 inci</w:t>
            </w:r>
            <w:r w:rsidR="007311B2" w:rsidRPr="00A23740">
              <w:t xml:space="preserve"> </w:t>
            </w:r>
            <w:r w:rsidRPr="00A23740">
              <w:rPr>
                <w:bCs/>
                <w:szCs w:val="24"/>
              </w:rPr>
              <w:t>madde</w:t>
            </w:r>
            <w:r w:rsidR="0083065C" w:rsidRPr="00A23740">
              <w:rPr>
                <w:bCs/>
                <w:szCs w:val="24"/>
              </w:rPr>
              <w:t>si</w:t>
            </w:r>
            <w:r w:rsidRPr="00A23740">
              <w:rPr>
                <w:bCs/>
                <w:szCs w:val="24"/>
              </w:rPr>
              <w:t xml:space="preserve">nin birinci fıkrasının </w:t>
            </w:r>
            <w:r w:rsidR="007311B2" w:rsidRPr="00E15D75">
              <w:rPr>
                <w:szCs w:val="24"/>
              </w:rPr>
              <w:t>(k)</w:t>
            </w:r>
            <w:r w:rsidRPr="00A23740">
              <w:rPr>
                <w:bCs/>
                <w:szCs w:val="24"/>
              </w:rPr>
              <w:t xml:space="preserve"> bendine göre haczi kabil olmayan konut zaten iflas masasına girmeyeceğinden</w:t>
            </w:r>
            <w:r w:rsidR="0083065C" w:rsidRPr="00A23740">
              <w:rPr>
                <w:bCs/>
                <w:szCs w:val="24"/>
              </w:rPr>
              <w:t>,</w:t>
            </w:r>
            <w:r w:rsidRPr="00A23740">
              <w:rPr>
                <w:bCs/>
                <w:szCs w:val="24"/>
              </w:rPr>
              <w:t xml:space="preserve"> böyle bir süre sınırlandırması da söz konusu olmayacaktır. Bununla birlikte</w:t>
            </w:r>
            <w:r w:rsidR="0083065C" w:rsidRPr="00A23740">
              <w:rPr>
                <w:bCs/>
                <w:szCs w:val="24"/>
              </w:rPr>
              <w:t>,</w:t>
            </w:r>
            <w:r w:rsidRPr="00A23740">
              <w:rPr>
                <w:bCs/>
                <w:szCs w:val="24"/>
              </w:rPr>
              <w:t xml:space="preserve"> </w:t>
            </w:r>
            <w:r w:rsidR="007311B2" w:rsidRPr="00E15D75">
              <w:rPr>
                <w:szCs w:val="24"/>
              </w:rPr>
              <w:t>161 inci</w:t>
            </w:r>
            <w:r w:rsidR="007311B2" w:rsidRPr="00A23740">
              <w:t xml:space="preserve"> </w:t>
            </w:r>
            <w:r w:rsidRPr="00A23740">
              <w:rPr>
                <w:bCs/>
                <w:szCs w:val="24"/>
              </w:rPr>
              <w:t>maddenin üçüncü fıkrası hükmü de dikkate alınacak ve müflisin ihtiyacını aşan bir konutta oturması durumunda buna g</w:t>
            </w:r>
            <w:r w:rsidR="00E15D75">
              <w:rPr>
                <w:bCs/>
                <w:szCs w:val="24"/>
              </w:rPr>
              <w:t>öre değerlendirme yapılacaktır.</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b/>
                <w:bCs/>
                <w:strike/>
                <w:color w:val="FF0000"/>
                <w:szCs w:val="24"/>
              </w:rPr>
            </w:pPr>
            <w:r w:rsidRPr="00A23740">
              <w:rPr>
                <w:b/>
                <w:bCs/>
                <w:strike/>
                <w:color w:val="FF0000"/>
                <w:szCs w:val="24"/>
              </w:rPr>
              <w:t>Müflise gönderilen postalar</w:t>
            </w:r>
          </w:p>
          <w:p w:rsidR="00AA5C8C" w:rsidRPr="00A23740" w:rsidRDefault="00AA5C8C" w:rsidP="009431FF">
            <w:pPr>
              <w:rPr>
                <w:b/>
                <w:bCs/>
                <w:strike/>
                <w:color w:val="FF0000"/>
                <w:szCs w:val="24"/>
              </w:rPr>
            </w:pPr>
            <w:r w:rsidRPr="00A23740">
              <w:rPr>
                <w:b/>
                <w:bCs/>
                <w:strike/>
                <w:color w:val="FF0000"/>
                <w:szCs w:val="24"/>
              </w:rPr>
              <w:t>Madde 266 –</w:t>
            </w:r>
          </w:p>
          <w:p w:rsidR="00AA5C8C" w:rsidRPr="00A23740" w:rsidRDefault="00AA5C8C" w:rsidP="009431FF">
            <w:pPr>
              <w:rPr>
                <w:szCs w:val="24"/>
              </w:rPr>
            </w:pPr>
          </w:p>
        </w:tc>
        <w:tc>
          <w:tcPr>
            <w:tcW w:w="2500" w:type="pct"/>
          </w:tcPr>
          <w:p w:rsidR="00AA5C8C" w:rsidRPr="00A23740" w:rsidRDefault="00AA5C8C" w:rsidP="009431FF">
            <w:pPr>
              <w:rPr>
                <w:b/>
                <w:color w:val="FF0000"/>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Tasfiyenin tatili</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217 – (1)</w:t>
            </w:r>
            <w:r w:rsidRPr="00A23740">
              <w:rPr>
                <w:b/>
                <w:szCs w:val="24"/>
              </w:rPr>
              <w:t xml:space="preserve"> </w:t>
            </w:r>
            <w:r w:rsidRPr="00A23740">
              <w:rPr>
                <w:szCs w:val="24"/>
              </w:rPr>
              <w:t xml:space="preserve">Masaya ait hiç bir mal bulunmazsa iflas dairesi tasfiyenin tatiline karar verir ve ilan eder. Bu ilanda alacaklılar tarafından </w:t>
            </w:r>
            <w:r w:rsidRPr="00A23740">
              <w:rPr>
                <w:rStyle w:val="KIRMIZIChar"/>
                <w:rFonts w:eastAsia="Calibri"/>
              </w:rPr>
              <w:t>otuz gün</w:t>
            </w:r>
            <w:r w:rsidRPr="00A23740">
              <w:rPr>
                <w:szCs w:val="24"/>
              </w:rPr>
              <w:t xml:space="preserve"> içinde iflas</w:t>
            </w:r>
            <w:r w:rsidRPr="00A23740">
              <w:rPr>
                <w:b/>
                <w:strike/>
                <w:color w:val="FF0000"/>
                <w:szCs w:val="24"/>
              </w:rPr>
              <w:t>a mütaallik muamelelerin tatbikına</w:t>
            </w:r>
            <w:r w:rsidRPr="00A23740">
              <w:rPr>
                <w:szCs w:val="24"/>
              </w:rPr>
              <w:t xml:space="preserve"> devam edilmesi </w:t>
            </w:r>
            <w:r w:rsidRPr="00A23740">
              <w:rPr>
                <w:rStyle w:val="KIRMIZIChar"/>
                <w:rFonts w:eastAsia="Calibri"/>
              </w:rPr>
              <w:t>istenilerek masrafı peşin verilmediği</w:t>
            </w:r>
            <w:r w:rsidRPr="00A23740">
              <w:rPr>
                <w:szCs w:val="24"/>
              </w:rPr>
              <w:t xml:space="preserve"> takdirde iflasın kapatılacağı yazılır.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Tasfiyenin tatili</w:t>
            </w:r>
          </w:p>
          <w:p w:rsidR="00AA5C8C" w:rsidRPr="00A23740" w:rsidRDefault="00AA5C8C" w:rsidP="009431FF">
            <w:pPr>
              <w:tabs>
                <w:tab w:val="left" w:pos="567"/>
              </w:tabs>
              <w:rPr>
                <w:szCs w:val="24"/>
              </w:rPr>
            </w:pPr>
            <w:r w:rsidRPr="00A23740">
              <w:rPr>
                <w:rStyle w:val="MaviChar"/>
                <w:lang w:val="tr-TR"/>
              </w:rPr>
              <w:t xml:space="preserve">MADDE </w:t>
            </w:r>
            <w:r w:rsidR="00BB2129" w:rsidRPr="00A23740">
              <w:rPr>
                <w:rStyle w:val="MAVChar"/>
                <w:rFonts w:eastAsia="Calibri"/>
                <w:u w:val="none"/>
              </w:rPr>
              <w:t>328</w:t>
            </w:r>
            <w:r w:rsidRPr="00A23740">
              <w:rPr>
                <w:rStyle w:val="MAVChar"/>
                <w:rFonts w:eastAsia="Calibri"/>
                <w:u w:val="none"/>
              </w:rPr>
              <w:t>- (</w:t>
            </w:r>
            <w:r w:rsidRPr="00A23740">
              <w:rPr>
                <w:b/>
                <w:color w:val="0000FF"/>
                <w:szCs w:val="24"/>
              </w:rPr>
              <w:t>1)</w:t>
            </w:r>
            <w:r w:rsidRPr="00A23740">
              <w:rPr>
                <w:szCs w:val="24"/>
              </w:rPr>
              <w:t xml:space="preserve"> Masaya ait hiç bir mal bulunmazsa </w:t>
            </w:r>
            <w:r w:rsidRPr="00A23740">
              <w:rPr>
                <w:b/>
                <w:color w:val="0000FF"/>
                <w:szCs w:val="24"/>
              </w:rPr>
              <w:t>veya bulunan malların değerinin basit tasfiye giderlerini karşılamayacak miktarda olduğu anlaşılırsa</w:t>
            </w:r>
            <w:r w:rsidR="00233F24" w:rsidRPr="00990FD2">
              <w:rPr>
                <w:rStyle w:val="Balk1Char"/>
                <w:rFonts w:eastAsia="Calibri"/>
              </w:rPr>
              <w:t>,</w:t>
            </w:r>
            <w:r w:rsidRPr="00A23740">
              <w:rPr>
                <w:szCs w:val="24"/>
              </w:rPr>
              <w:t xml:space="preserve"> iflas dairesi tasfiyenin tatiline karar verir ve</w:t>
            </w:r>
            <w:r w:rsidR="00233F24" w:rsidRPr="00A23740">
              <w:rPr>
                <w:szCs w:val="24"/>
              </w:rPr>
              <w:t xml:space="preserve"> </w:t>
            </w:r>
            <w:r w:rsidR="00233F24" w:rsidRPr="00E15D75">
              <w:rPr>
                <w:rStyle w:val="MaviChar"/>
              </w:rPr>
              <w:t>bunu</w:t>
            </w:r>
            <w:r w:rsidRPr="00A23740">
              <w:rPr>
                <w:szCs w:val="24"/>
              </w:rPr>
              <w:t xml:space="preserve"> ilan eder. Bu ilanda</w:t>
            </w:r>
            <w:r w:rsidRPr="00A23740">
              <w:rPr>
                <w:rStyle w:val="MaviChar"/>
              </w:rPr>
              <w:t>,</w:t>
            </w:r>
            <w:r w:rsidRPr="00A23740">
              <w:rPr>
                <w:szCs w:val="24"/>
              </w:rPr>
              <w:t xml:space="preserve"> alacaklılar tarafından </w:t>
            </w:r>
            <w:r w:rsidRPr="00A23740">
              <w:rPr>
                <w:rStyle w:val="Stil2Char"/>
                <w:rFonts w:eastAsia="Calibri"/>
                <w:u w:val="none"/>
              </w:rPr>
              <w:t>iki hafta</w:t>
            </w:r>
            <w:r w:rsidRPr="00A23740">
              <w:rPr>
                <w:szCs w:val="24"/>
              </w:rPr>
              <w:t xml:space="preserve"> içinde </w:t>
            </w:r>
            <w:r w:rsidRPr="00A23740">
              <w:rPr>
                <w:rStyle w:val="Stil2Char"/>
                <w:rFonts w:eastAsia="Calibri"/>
                <w:u w:val="none"/>
                <w:lang w:val="tr-TR"/>
              </w:rPr>
              <w:t>gideri</w:t>
            </w:r>
            <w:r w:rsidRPr="00A23740">
              <w:rPr>
                <w:rStyle w:val="Stil2Char"/>
                <w:rFonts w:eastAsia="Calibri"/>
                <w:u w:val="none"/>
              </w:rPr>
              <w:t xml:space="preserve"> peşin verilerek</w:t>
            </w:r>
            <w:r w:rsidRPr="00A23740">
              <w:rPr>
                <w:szCs w:val="24"/>
              </w:rPr>
              <w:t xml:space="preserve"> iflas </w:t>
            </w:r>
            <w:r w:rsidRPr="00A23740">
              <w:rPr>
                <w:b/>
                <w:color w:val="0000FF"/>
                <w:szCs w:val="24"/>
              </w:rPr>
              <w:t>tasfiye işlemlerine</w:t>
            </w:r>
            <w:r w:rsidRPr="00A23740">
              <w:rPr>
                <w:szCs w:val="24"/>
              </w:rPr>
              <w:t xml:space="preserve"> </w:t>
            </w:r>
            <w:r w:rsidR="008D666F" w:rsidRPr="00A23740">
              <w:rPr>
                <w:rStyle w:val="Balk1Char"/>
                <w:rFonts w:eastAsia="Calibri"/>
              </w:rPr>
              <w:t xml:space="preserve">basit veya </w:t>
            </w:r>
            <w:r w:rsidR="00233F24" w:rsidRPr="00E15D75">
              <w:rPr>
                <w:rStyle w:val="MaviChar"/>
              </w:rPr>
              <w:t>olağan</w:t>
            </w:r>
            <w:r w:rsidR="00233F24" w:rsidRPr="00A23740">
              <w:rPr>
                <w:rStyle w:val="Balk1Char"/>
                <w:rFonts w:eastAsia="Calibri"/>
              </w:rPr>
              <w:t xml:space="preserve"> </w:t>
            </w:r>
            <w:r w:rsidR="008D666F" w:rsidRPr="00A23740">
              <w:rPr>
                <w:rStyle w:val="Balk1Char"/>
                <w:rFonts w:eastAsia="Calibri"/>
              </w:rPr>
              <w:t>tasfiye şeklinde</w:t>
            </w:r>
            <w:r w:rsidR="008D666F" w:rsidRPr="00A23740">
              <w:rPr>
                <w:szCs w:val="24"/>
              </w:rPr>
              <w:t xml:space="preserve"> </w:t>
            </w:r>
            <w:r w:rsidRPr="00A23740">
              <w:rPr>
                <w:szCs w:val="24"/>
              </w:rPr>
              <w:t xml:space="preserve">devam edilmesi </w:t>
            </w:r>
            <w:r w:rsidRPr="00A23740">
              <w:rPr>
                <w:rStyle w:val="Stil2Char"/>
                <w:rFonts w:eastAsia="Calibri"/>
                <w:u w:val="none"/>
              </w:rPr>
              <w:t>istenmediği</w:t>
            </w:r>
            <w:r w:rsidRPr="00A23740">
              <w:rPr>
                <w:szCs w:val="24"/>
              </w:rPr>
              <w:t xml:space="preserve"> takdirde iflasın kapatılacağı yazılır.</w:t>
            </w:r>
          </w:p>
          <w:p w:rsidR="008D666F" w:rsidRPr="00A23740" w:rsidRDefault="008D666F"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(2) İflas dairesi, ilanda belirtilen sürede hiçbir alacaklının tasfiye giderlerini peşin yatırmaması h</w:t>
            </w:r>
            <w:r w:rsidR="008D50F6" w:rsidRPr="00A23740">
              <w:rPr>
                <w:b/>
                <w:color w:val="0000FF"/>
                <w:szCs w:val="24"/>
              </w:rPr>
              <w:t>â</w:t>
            </w:r>
            <w:r w:rsidRPr="00A23740">
              <w:rPr>
                <w:b/>
                <w:color w:val="0000FF"/>
                <w:szCs w:val="24"/>
              </w:rPr>
              <w:t xml:space="preserve">linde iflas mahkemesinden iflasın </w:t>
            </w:r>
            <w:r w:rsidR="008D50F6" w:rsidRPr="00A23740">
              <w:rPr>
                <w:b/>
                <w:color w:val="0000FF"/>
                <w:szCs w:val="24"/>
              </w:rPr>
              <w:t xml:space="preserve">kapanmasını </w:t>
            </w:r>
            <w:r w:rsidRPr="00A23740">
              <w:rPr>
                <w:b/>
                <w:color w:val="0000FF"/>
                <w:szCs w:val="24"/>
              </w:rPr>
              <w:t xml:space="preserve">talep eder. Mahkeme, tasfiyenin tatiline ilişkin işlemlerin usulüne uygun </w:t>
            </w:r>
            <w:r w:rsidR="008D50F6" w:rsidRPr="00A23740">
              <w:rPr>
                <w:b/>
                <w:color w:val="0000FF"/>
                <w:szCs w:val="24"/>
              </w:rPr>
              <w:t xml:space="preserve">şekilde </w:t>
            </w:r>
            <w:r w:rsidRPr="00A23740">
              <w:rPr>
                <w:b/>
                <w:color w:val="0000FF"/>
                <w:szCs w:val="24"/>
              </w:rPr>
              <w:t xml:space="preserve">yapıldığını </w:t>
            </w:r>
            <w:r w:rsidRPr="00A23740">
              <w:rPr>
                <w:rStyle w:val="Stil2Char"/>
                <w:rFonts w:eastAsia="Calibri"/>
                <w:u w:val="none"/>
              </w:rPr>
              <w:t>belirledikten</w:t>
            </w:r>
            <w:r w:rsidRPr="00A23740">
              <w:rPr>
                <w:b/>
                <w:color w:val="0000FF"/>
                <w:szCs w:val="24"/>
              </w:rPr>
              <w:t xml:space="preserve"> sonra kapanma kararı verir ve bu kararı ilan eder. İlgililer ilandan itibaren iki hafta içinde</w:t>
            </w:r>
            <w:r w:rsidR="00233F24" w:rsidRPr="00A23740">
              <w:rPr>
                <w:b/>
                <w:color w:val="0000FF"/>
                <w:szCs w:val="24"/>
              </w:rPr>
              <w:t xml:space="preserve"> </w:t>
            </w:r>
            <w:r w:rsidR="00233F24" w:rsidRPr="00E15D75">
              <w:rPr>
                <w:rStyle w:val="MaviChar"/>
              </w:rPr>
              <w:t>kapanma</w:t>
            </w:r>
            <w:r w:rsidR="00233F24" w:rsidRPr="00A23740">
              <w:rPr>
                <w:b/>
                <w:color w:val="538135"/>
                <w:szCs w:val="24"/>
              </w:rPr>
              <w:t xml:space="preserve"> </w:t>
            </w:r>
            <w:r w:rsidR="00233F24" w:rsidRPr="00E15D75">
              <w:rPr>
                <w:rStyle w:val="MaviChar"/>
              </w:rPr>
              <w:t>kararına karşı</w:t>
            </w:r>
            <w:r w:rsidRPr="00E15D75">
              <w:rPr>
                <w:rStyle w:val="MaviChar"/>
              </w:rPr>
              <w:t xml:space="preserve"> istinaf yoluna başvurabilirler. Bölge adliye mahkemesinin</w:t>
            </w:r>
            <w:r w:rsidRPr="00A23740">
              <w:rPr>
                <w:b/>
                <w:color w:val="0000FF"/>
                <w:szCs w:val="24"/>
              </w:rPr>
              <w:t xml:space="preserve"> verdiği karar kesindir.</w:t>
            </w:r>
          </w:p>
          <w:p w:rsidR="00AA5C8C" w:rsidRPr="00A23740" w:rsidRDefault="00AA5C8C" w:rsidP="009431FF">
            <w:pPr>
              <w:tabs>
                <w:tab w:val="left" w:pos="567"/>
              </w:tabs>
              <w:rPr>
                <w:b/>
                <w:color w:val="0000FF"/>
                <w:szCs w:val="24"/>
              </w:rPr>
            </w:pPr>
          </w:p>
          <w:p w:rsidR="00AA5C8C" w:rsidRDefault="00AA5C8C" w:rsidP="009431FF">
            <w:pPr>
              <w:tabs>
                <w:tab w:val="left" w:pos="567"/>
              </w:tabs>
              <w:rPr>
                <w:b/>
                <w:color w:val="0000FF"/>
                <w:szCs w:val="24"/>
              </w:rPr>
            </w:pPr>
            <w:r w:rsidRPr="00A23740">
              <w:rPr>
                <w:b/>
                <w:color w:val="0000FF"/>
                <w:szCs w:val="24"/>
              </w:rPr>
              <w:t xml:space="preserve">(3) </w:t>
            </w:r>
            <w:r w:rsidR="008D50F6" w:rsidRPr="00A23740">
              <w:rPr>
                <w:b/>
                <w:color w:val="0000FF"/>
                <w:szCs w:val="24"/>
              </w:rPr>
              <w:t>T</w:t>
            </w:r>
            <w:r w:rsidRPr="00A23740">
              <w:rPr>
                <w:b/>
                <w:color w:val="0000FF"/>
                <w:szCs w:val="24"/>
              </w:rPr>
              <w:t>asfiyenin tatili</w:t>
            </w:r>
            <w:r w:rsidR="008D50F6" w:rsidRPr="00A23740">
              <w:rPr>
                <w:b/>
                <w:color w:val="0000FF"/>
                <w:szCs w:val="24"/>
              </w:rPr>
              <w:t xml:space="preserve"> sebebiyle</w:t>
            </w:r>
            <w:r w:rsidRPr="00A23740">
              <w:rPr>
                <w:b/>
                <w:color w:val="0000FF"/>
                <w:szCs w:val="24"/>
              </w:rPr>
              <w:t xml:space="preserve"> iflasın </w:t>
            </w:r>
            <w:r w:rsidR="008D50F6" w:rsidRPr="00A23740">
              <w:rPr>
                <w:b/>
                <w:color w:val="0000FF"/>
                <w:szCs w:val="24"/>
              </w:rPr>
              <w:t>kapanması üzerine</w:t>
            </w:r>
            <w:r w:rsidR="00233F24" w:rsidRPr="00892799">
              <w:rPr>
                <w:rStyle w:val="Balk1Char"/>
                <w:rFonts w:eastAsia="Calibri"/>
              </w:rPr>
              <w:t>,</w:t>
            </w:r>
            <w:r w:rsidR="008D50F6" w:rsidRPr="00A23740">
              <w:rPr>
                <w:b/>
                <w:color w:val="0000FF"/>
                <w:szCs w:val="24"/>
              </w:rPr>
              <w:t xml:space="preserve"> iflasın açılmasından önce başlatılmış icra takiplerine ve hukuk davalarına </w:t>
            </w:r>
            <w:r w:rsidRPr="00A23740">
              <w:rPr>
                <w:b/>
                <w:color w:val="0000FF"/>
                <w:szCs w:val="24"/>
              </w:rPr>
              <w:t xml:space="preserve">kaldıkları yerden devam edilir. </w:t>
            </w:r>
            <w:r w:rsidR="008D50F6" w:rsidRPr="00A23740">
              <w:rPr>
                <w:b/>
                <w:color w:val="0000FF"/>
                <w:szCs w:val="24"/>
              </w:rPr>
              <w:t>İ</w:t>
            </w:r>
            <w:r w:rsidRPr="00A23740">
              <w:rPr>
                <w:b/>
                <w:color w:val="0000FF"/>
                <w:szCs w:val="24"/>
              </w:rPr>
              <w:t>flasın açılmasıyla tasfiyenin tatili arasında geçen dönem, bu Kanundaki sürelerin hesabında dikkate alınmaz.</w:t>
            </w:r>
          </w:p>
          <w:p w:rsidR="00E15D75" w:rsidRPr="00A23740" w:rsidRDefault="00E15D75" w:rsidP="009431FF">
            <w:pPr>
              <w:tabs>
                <w:tab w:val="left" w:pos="567"/>
              </w:tabs>
              <w:rPr>
                <w:b/>
                <w:color w:val="0000FF"/>
                <w:szCs w:val="24"/>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97749B" w:rsidRPr="00A23740" w:rsidRDefault="00ED4844" w:rsidP="009431FF">
            <w:pPr>
              <w:tabs>
                <w:tab w:val="left" w:pos="567"/>
              </w:tabs>
              <w:ind w:firstLine="709"/>
              <w:rPr>
                <w:bCs/>
                <w:szCs w:val="24"/>
              </w:rPr>
            </w:pPr>
            <w:r w:rsidRPr="00A23740">
              <w:rPr>
                <w:bCs/>
                <w:szCs w:val="24"/>
              </w:rPr>
              <w:tab/>
            </w:r>
          </w:p>
          <w:p w:rsidR="0097749B" w:rsidRPr="00A23740" w:rsidRDefault="00BB2129" w:rsidP="009431FF">
            <w:pPr>
              <w:tabs>
                <w:tab w:val="left" w:pos="567"/>
              </w:tabs>
              <w:ind w:firstLine="709"/>
              <w:rPr>
                <w:b/>
                <w:szCs w:val="24"/>
              </w:rPr>
            </w:pPr>
            <w:r w:rsidRPr="00A23740">
              <w:rPr>
                <w:b/>
              </w:rPr>
              <w:t>MADDE 328</w:t>
            </w:r>
            <w:r w:rsidR="0097749B" w:rsidRPr="00A23740">
              <w:rPr>
                <w:b/>
              </w:rPr>
              <w:t>-</w:t>
            </w:r>
            <w:r w:rsidR="0097749B" w:rsidRPr="00A23740">
              <w:t xml:space="preserve"> Maddeyle, tasfiyenin tatiline ilişkin hususlar düzenlenmektedir. Hüküm, 2004 sayılı Kanunun 217 nci maddesine karşılık gelmektedir. </w:t>
            </w:r>
          </w:p>
          <w:p w:rsidR="00ED4844" w:rsidRPr="00A23740" w:rsidRDefault="00ED4844" w:rsidP="009431FF">
            <w:pPr>
              <w:tabs>
                <w:tab w:val="left" w:pos="567"/>
              </w:tabs>
              <w:ind w:firstLine="709"/>
            </w:pPr>
            <w:r w:rsidRPr="00A23740">
              <w:t xml:space="preserve">Maddenin birinci fıkrasında tasfiye giderlerine yetecek </w:t>
            </w:r>
            <w:r w:rsidR="0083065C" w:rsidRPr="00A23740">
              <w:t xml:space="preserve">kadar </w:t>
            </w:r>
            <w:r w:rsidRPr="00A23740">
              <w:t xml:space="preserve">malvarlığı bulunmadığı </w:t>
            </w:r>
            <w:r w:rsidR="0083065C" w:rsidRPr="00A23740">
              <w:t xml:space="preserve">takdirde </w:t>
            </w:r>
            <w:r w:rsidRPr="00A23740">
              <w:t>uygulanacak prosedür düzenlenmiştir. Bu çerçevede</w:t>
            </w:r>
            <w:r w:rsidR="0083065C" w:rsidRPr="00A23740">
              <w:t>,</w:t>
            </w:r>
            <w:r w:rsidRPr="00A23740">
              <w:t xml:space="preserve"> yapılacak ilandan sonra alacaklı tasfiyeye basit tasfiye şeklinde devam edebileceği gibi, </w:t>
            </w:r>
            <w:r w:rsidR="00847046" w:rsidRPr="00E15D75">
              <w:t>olağan</w:t>
            </w:r>
            <w:r w:rsidR="00847046" w:rsidRPr="00A23740">
              <w:t xml:space="preserve"> </w:t>
            </w:r>
            <w:r w:rsidRPr="00A23740">
              <w:t xml:space="preserve">tasfiye usulünün uygulanmasını </w:t>
            </w:r>
            <w:r w:rsidR="0083065C" w:rsidRPr="00A23740">
              <w:t xml:space="preserve">da </w:t>
            </w:r>
            <w:r w:rsidRPr="00A23740">
              <w:t xml:space="preserve">isteyebilir. </w:t>
            </w:r>
          </w:p>
          <w:p w:rsidR="00ED4844" w:rsidRPr="00A23740" w:rsidRDefault="00ED4844" w:rsidP="009431FF">
            <w:pPr>
              <w:tabs>
                <w:tab w:val="left" w:pos="567"/>
              </w:tabs>
              <w:ind w:firstLine="709"/>
              <w:rPr>
                <w:bCs/>
                <w:szCs w:val="24"/>
              </w:rPr>
            </w:pPr>
            <w:r w:rsidRPr="00A23740">
              <w:rPr>
                <w:bCs/>
              </w:rPr>
              <w:t xml:space="preserve">İkinci fıkrada, ilanda </w:t>
            </w:r>
            <w:r w:rsidRPr="00A23740">
              <w:rPr>
                <w:bCs/>
                <w:szCs w:val="24"/>
              </w:rPr>
              <w:t>belirtilen sürede hiçbir alacaklının tasfiye giderlerini peşin yatırmaması h</w:t>
            </w:r>
            <w:r w:rsidR="008D50F6" w:rsidRPr="00A23740">
              <w:rPr>
                <w:bCs/>
                <w:szCs w:val="24"/>
              </w:rPr>
              <w:t>â</w:t>
            </w:r>
            <w:r w:rsidRPr="00A23740">
              <w:rPr>
                <w:bCs/>
                <w:szCs w:val="24"/>
              </w:rPr>
              <w:t>linde izlenecek prosedür düzenlenmiştir. Bu h</w:t>
            </w:r>
            <w:r w:rsidR="008D50F6" w:rsidRPr="00A23740">
              <w:rPr>
                <w:bCs/>
                <w:szCs w:val="24"/>
              </w:rPr>
              <w:t>â</w:t>
            </w:r>
            <w:r w:rsidRPr="00A23740">
              <w:rPr>
                <w:bCs/>
                <w:szCs w:val="24"/>
              </w:rPr>
              <w:t xml:space="preserve">lde iflasın kapatılması iflas dairesince, herhangi bir alacaklı ya da müflisin talebine gerek olmaksızın iflas mahkemesinden talep edilir. Mahkeme doğrudan iflasın kapatılmasına karar vermeyecek, öncelikle tasfiyenin tatiline ilişkin işlemlerin usulüne uygun </w:t>
            </w:r>
            <w:r w:rsidR="0083065C" w:rsidRPr="00A23740">
              <w:rPr>
                <w:bCs/>
                <w:szCs w:val="24"/>
              </w:rPr>
              <w:t xml:space="preserve">şekilde </w:t>
            </w:r>
            <w:r w:rsidRPr="00A23740">
              <w:rPr>
                <w:bCs/>
                <w:szCs w:val="24"/>
              </w:rPr>
              <w:t xml:space="preserve">yapılıp yapılmadığını inceleyecek ve usulüne uygun </w:t>
            </w:r>
            <w:r w:rsidR="0083065C" w:rsidRPr="00A23740">
              <w:rPr>
                <w:bCs/>
                <w:szCs w:val="24"/>
              </w:rPr>
              <w:t xml:space="preserve"> şekilde yapıldığını </w:t>
            </w:r>
            <w:r w:rsidRPr="00A23740">
              <w:rPr>
                <w:lang w:val="x-none" w:eastAsia="x-none"/>
              </w:rPr>
              <w:t>belirledikten</w:t>
            </w:r>
            <w:r w:rsidRPr="00A23740">
              <w:rPr>
                <w:b/>
                <w:szCs w:val="24"/>
              </w:rPr>
              <w:t xml:space="preserve"> </w:t>
            </w:r>
            <w:r w:rsidRPr="00A23740">
              <w:rPr>
                <w:bCs/>
                <w:szCs w:val="24"/>
              </w:rPr>
              <w:t xml:space="preserve">sonra iflasın </w:t>
            </w:r>
            <w:r w:rsidR="00990FD2">
              <w:rPr>
                <w:bCs/>
                <w:szCs w:val="24"/>
              </w:rPr>
              <w:t>kapatılmasına karar verecektir.</w:t>
            </w:r>
            <w:r w:rsidRPr="00A23740">
              <w:rPr>
                <w:bCs/>
                <w:szCs w:val="24"/>
              </w:rPr>
              <w:t xml:space="preserve"> Bu kararın mahkemece </w:t>
            </w:r>
            <w:r w:rsidR="008D50F6" w:rsidRPr="00892799">
              <w:rPr>
                <w:rStyle w:val="Balk1Char"/>
                <w:rFonts w:eastAsia="Calibri"/>
                <w:b w:val="0"/>
                <w:color w:val="000000" w:themeColor="text1"/>
              </w:rPr>
              <w:t>ilanından</w:t>
            </w:r>
            <w:r w:rsidR="008D50F6" w:rsidRPr="00892799">
              <w:rPr>
                <w:bCs/>
                <w:color w:val="000000" w:themeColor="text1"/>
                <w:szCs w:val="24"/>
              </w:rPr>
              <w:t xml:space="preserve"> </w:t>
            </w:r>
            <w:r w:rsidRPr="00A23740">
              <w:rPr>
                <w:bCs/>
                <w:szCs w:val="24"/>
              </w:rPr>
              <w:t>itibaren iki hafta içinde</w:t>
            </w:r>
            <w:r w:rsidR="006A5699" w:rsidRPr="00A23740">
              <w:rPr>
                <w:bCs/>
                <w:szCs w:val="24"/>
              </w:rPr>
              <w:t>,</w:t>
            </w:r>
            <w:r w:rsidRPr="00A23740">
              <w:rPr>
                <w:bCs/>
                <w:szCs w:val="24"/>
              </w:rPr>
              <w:t xml:space="preserve"> </w:t>
            </w:r>
            <w:r w:rsidR="002A4347" w:rsidRPr="00E15D75">
              <w:rPr>
                <w:bCs/>
                <w:szCs w:val="24"/>
              </w:rPr>
              <w:t>kapanma kararına karşı</w:t>
            </w:r>
            <w:r w:rsidR="002A4347" w:rsidRPr="00A23740">
              <w:rPr>
                <w:bCs/>
                <w:szCs w:val="24"/>
              </w:rPr>
              <w:t xml:space="preserve"> </w:t>
            </w:r>
            <w:r w:rsidRPr="00A23740">
              <w:rPr>
                <w:bCs/>
                <w:szCs w:val="24"/>
              </w:rPr>
              <w:t>ilgililer istinaf yoluna başvurabilirler. Bölge adliye mahkemesince verilecek karar ise kesindir.</w:t>
            </w:r>
          </w:p>
          <w:p w:rsidR="00ED4844" w:rsidRPr="00A23740" w:rsidRDefault="00ED4844" w:rsidP="009431FF">
            <w:pPr>
              <w:tabs>
                <w:tab w:val="left" w:pos="567"/>
              </w:tabs>
              <w:ind w:firstLine="709"/>
              <w:rPr>
                <w:bCs/>
                <w:szCs w:val="24"/>
              </w:rPr>
            </w:pPr>
            <w:r w:rsidRPr="00A23740">
              <w:rPr>
                <w:bCs/>
                <w:szCs w:val="24"/>
              </w:rPr>
              <w:t xml:space="preserve">Üçüncü fıkra iflasın açılmasından önce başlatılmış icra takiplerinin ve hukuk davalarının akıbetine ilişkindir. Bunlara tasfiyenin tatili üzerine iflasın kapanmasıyla kaldıkları yerden devam edileceği, iflasın açılmasıyla tasfiyenin tatili arasında geçen dönemin, Kanundaki sürelerin hesabında dikkate alınmayacağı </w:t>
            </w:r>
            <w:r w:rsidR="006A5699" w:rsidRPr="00A23740">
              <w:rPr>
                <w:bCs/>
                <w:szCs w:val="24"/>
              </w:rPr>
              <w:t xml:space="preserve">bu fıkrada </w:t>
            </w:r>
            <w:r w:rsidRPr="00A23740">
              <w:rPr>
                <w:bCs/>
                <w:szCs w:val="24"/>
              </w:rPr>
              <w:t>düzenlenmiştir. Bu çerçevede, tasfiyenin tatili ve bilahare iflasın kapanması kararının verilmesine kadar, düşük bir olasılık olmakla birlikte, iflas kararı kesinleşmiş ise</w:t>
            </w:r>
            <w:r w:rsidR="006A5699" w:rsidRPr="00A23740">
              <w:rPr>
                <w:bCs/>
                <w:szCs w:val="24"/>
              </w:rPr>
              <w:t>,</w:t>
            </w:r>
            <w:r w:rsidRPr="00A23740">
              <w:rPr>
                <w:bCs/>
                <w:szCs w:val="24"/>
              </w:rPr>
              <w:t xml:space="preserve"> bu suretle düşmüş olan takipler de yeniden derdest h</w:t>
            </w:r>
            <w:r w:rsidR="008D50F6" w:rsidRPr="00A23740">
              <w:rPr>
                <w:bCs/>
                <w:szCs w:val="24"/>
              </w:rPr>
              <w:t>â</w:t>
            </w:r>
            <w:r w:rsidRPr="00A23740">
              <w:rPr>
                <w:bCs/>
                <w:szCs w:val="24"/>
              </w:rPr>
              <w:t>le gelecek ve bu takiplere üçüncü fıkra çerçevesinde kaldıkları yerden devam edilebilecektir</w:t>
            </w:r>
            <w:r w:rsidR="006A5699" w:rsidRPr="00A23740">
              <w:rPr>
                <w:bCs/>
                <w:szCs w:val="24"/>
              </w:rPr>
              <w:t xml:space="preserve"> (Baki Kuru, İcra ve İflas Hukuku El Ki</w:t>
            </w:r>
            <w:r w:rsidR="00AE0894">
              <w:rPr>
                <w:bCs/>
                <w:szCs w:val="24"/>
              </w:rPr>
              <w:t>tabı, Ankara 2013, s.1287-1288).</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II. ALACAKLILARI DAVET</w:t>
            </w: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tabs>
                <w:tab w:val="left" w:pos="567"/>
              </w:tabs>
              <w:rPr>
                <w:szCs w:val="24"/>
              </w:rPr>
            </w:pPr>
            <w:r w:rsidRPr="00A23740">
              <w:rPr>
                <w:szCs w:val="24"/>
              </w:rPr>
              <w:t>Basit tasfiye</w:t>
            </w:r>
            <w:r w:rsidRPr="00A23740">
              <w:rPr>
                <w:b/>
                <w:strike/>
                <w:color w:val="FF0000"/>
                <w:szCs w:val="24"/>
              </w:rPr>
              <w:t>:</w:t>
            </w:r>
          </w:p>
          <w:p w:rsidR="00AA5C8C" w:rsidRPr="00A23740" w:rsidRDefault="00AA5C8C" w:rsidP="009431FF">
            <w:pPr>
              <w:tabs>
                <w:tab w:val="left" w:pos="567"/>
              </w:tabs>
              <w:rPr>
                <w:b/>
                <w:strike/>
                <w:color w:val="FF0000"/>
                <w:szCs w:val="24"/>
              </w:rPr>
            </w:pPr>
            <w:r w:rsidRPr="00A23740">
              <w:rPr>
                <w:rStyle w:val="KIRMIZIChar"/>
                <w:rFonts w:eastAsia="Calibri"/>
              </w:rPr>
              <w:t>Madde 218 – (1)</w:t>
            </w:r>
            <w:r w:rsidRPr="00A23740">
              <w:rPr>
                <w:b/>
                <w:szCs w:val="24"/>
              </w:rPr>
              <w:t xml:space="preserve"> </w:t>
            </w:r>
            <w:r w:rsidRPr="00A23740">
              <w:rPr>
                <w:szCs w:val="24"/>
              </w:rPr>
              <w:t xml:space="preserve">İflas dairesince defteri tutulan mallar </w:t>
            </w:r>
            <w:r w:rsidRPr="00A23740">
              <w:rPr>
                <w:rStyle w:val="KIRMIZIChar"/>
                <w:rFonts w:eastAsia="Calibri"/>
              </w:rPr>
              <w:t>bedelinin</w:t>
            </w:r>
            <w:r w:rsidRPr="00A23740">
              <w:rPr>
                <w:szCs w:val="24"/>
              </w:rPr>
              <w:t xml:space="preserve"> tasfiye </w:t>
            </w:r>
            <w:r w:rsidRPr="00A23740">
              <w:rPr>
                <w:rStyle w:val="KIRMIZIChar"/>
                <w:rFonts w:eastAsia="Calibri"/>
              </w:rPr>
              <w:t>masraflarını</w:t>
            </w:r>
            <w:r w:rsidRPr="00A23740">
              <w:rPr>
                <w:szCs w:val="24"/>
              </w:rPr>
              <w:t xml:space="preserve"> </w:t>
            </w:r>
            <w:r w:rsidRPr="00A23740">
              <w:rPr>
                <w:b/>
                <w:strike/>
                <w:color w:val="FF0000"/>
                <w:szCs w:val="24"/>
              </w:rPr>
              <w:t>koruyamıyacağı anlaşılırsa</w:t>
            </w:r>
            <w:r w:rsidRPr="00A23740">
              <w:rPr>
                <w:szCs w:val="24"/>
              </w:rPr>
              <w:t xml:space="preserve"> basit tasfiye usulü </w:t>
            </w:r>
            <w:r w:rsidRPr="00A23740">
              <w:rPr>
                <w:b/>
                <w:strike/>
                <w:color w:val="FF0000"/>
                <w:szCs w:val="24"/>
              </w:rPr>
              <w:t>tatbik olunur.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br w:type="page"/>
            </w:r>
            <w:r w:rsidRPr="00A23740">
              <w:rPr>
                <w:rStyle w:val="KIRMIZIChar"/>
                <w:rFonts w:eastAsia="Calibri"/>
              </w:rPr>
              <w:t>(2) Bu</w:t>
            </w:r>
            <w:r w:rsidRPr="00A23740">
              <w:rPr>
                <w:b/>
                <w:strike/>
                <w:color w:val="FF0000"/>
                <w:szCs w:val="24"/>
              </w:rPr>
              <w:t xml:space="preserve"> takdirde</w:t>
            </w:r>
            <w:r w:rsidRPr="00A23740">
              <w:rPr>
                <w:szCs w:val="24"/>
              </w:rPr>
              <w:t xml:space="preserve"> iflas dairesi, alacaklıları </w:t>
            </w:r>
            <w:r w:rsidRPr="00A23740">
              <w:rPr>
                <w:b/>
                <w:strike/>
                <w:color w:val="FF0000"/>
                <w:szCs w:val="24"/>
              </w:rPr>
              <w:t>yirmi günden</w:t>
            </w:r>
            <w:r w:rsidRPr="00A23740">
              <w:rPr>
                <w:szCs w:val="24"/>
              </w:rPr>
              <w:t xml:space="preserve"> </w:t>
            </w:r>
            <w:r w:rsidRPr="00A23740">
              <w:rPr>
                <w:b/>
                <w:strike/>
                <w:color w:val="FF0000"/>
                <w:szCs w:val="24"/>
              </w:rPr>
              <w:t>az ve iki aydan çok olmamak üzere tayin edilecek</w:t>
            </w:r>
            <w:r w:rsidRPr="00A23740">
              <w:rPr>
                <w:szCs w:val="24"/>
              </w:rPr>
              <w:t xml:space="preserve"> </w:t>
            </w:r>
            <w:r w:rsidRPr="00A23740">
              <w:rPr>
                <w:b/>
                <w:strike/>
                <w:color w:val="FF0000"/>
                <w:szCs w:val="24"/>
              </w:rPr>
              <w:t>müddet</w:t>
            </w:r>
            <w:r w:rsidRPr="00A23740">
              <w:rPr>
                <w:szCs w:val="24"/>
              </w:rPr>
              <w:t xml:space="preserve"> içinde alacaklarını ve iddialarını bildirme</w:t>
            </w:r>
            <w:r w:rsidRPr="00A23740">
              <w:rPr>
                <w:rStyle w:val="KIRMIZIChar"/>
                <w:rFonts w:eastAsia="Calibri"/>
              </w:rPr>
              <w:t>ğ</w:t>
            </w:r>
            <w:r w:rsidRPr="00A23740">
              <w:rPr>
                <w:szCs w:val="24"/>
              </w:rPr>
              <w:t xml:space="preserve">e ilanla davet eder. Bu </w:t>
            </w:r>
            <w:r w:rsidRPr="00A23740">
              <w:rPr>
                <w:b/>
                <w:strike/>
                <w:color w:val="FF0000"/>
                <w:szCs w:val="24"/>
              </w:rPr>
              <w:t>müddet</w:t>
            </w:r>
            <w:r w:rsidRPr="00A23740">
              <w:rPr>
                <w:szCs w:val="24"/>
              </w:rPr>
              <w:t xml:space="preserve"> içinde alacaklılardan biri </w:t>
            </w:r>
            <w:r w:rsidRPr="00A23740">
              <w:rPr>
                <w:rStyle w:val="KIRMIZIChar"/>
                <w:rFonts w:eastAsia="Calibri"/>
              </w:rPr>
              <w:t>masrafları</w:t>
            </w:r>
            <w:r w:rsidRPr="00A23740">
              <w:rPr>
                <w:szCs w:val="24"/>
              </w:rPr>
              <w:t xml:space="preserve"> peşin vermek suretiyle tasfiyenin </w:t>
            </w:r>
            <w:r w:rsidRPr="00A23740">
              <w:rPr>
                <w:b/>
                <w:strike/>
                <w:color w:val="FF0000"/>
                <w:szCs w:val="24"/>
              </w:rPr>
              <w:t>adi</w:t>
            </w:r>
            <w:r w:rsidRPr="00A23740">
              <w:rPr>
                <w:szCs w:val="24"/>
              </w:rPr>
              <w:t xml:space="preserve"> </w:t>
            </w:r>
            <w:r w:rsidRPr="00A23740">
              <w:rPr>
                <w:rStyle w:val="KIRMIZIChar"/>
                <w:rFonts w:eastAsia="Calibri"/>
              </w:rPr>
              <w:t>şekilde</w:t>
            </w:r>
            <w:r w:rsidRPr="00A23740">
              <w:rPr>
                <w:szCs w:val="24"/>
              </w:rPr>
              <w:t xml:space="preserve"> yapılmasını isteyebilir.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Basit tasfiyede iflas dairesi alacaklıların menfaatlerine </w:t>
            </w:r>
            <w:r w:rsidRPr="00A23740">
              <w:rPr>
                <w:b/>
                <w:strike/>
                <w:color w:val="FF0000"/>
                <w:szCs w:val="24"/>
              </w:rPr>
              <w:t>muvafık surette</w:t>
            </w:r>
            <w:r w:rsidRPr="00A23740">
              <w:rPr>
                <w:szCs w:val="24"/>
              </w:rPr>
              <w:t xml:space="preserve"> malları paraya çevirir ve başka </w:t>
            </w:r>
            <w:r w:rsidRPr="00A23740">
              <w:rPr>
                <w:b/>
                <w:strike/>
                <w:color w:val="FF0000"/>
                <w:szCs w:val="24"/>
              </w:rPr>
              <w:t>merasime mahal</w:t>
            </w:r>
            <w:r w:rsidRPr="00A23740">
              <w:rPr>
                <w:szCs w:val="24"/>
              </w:rPr>
              <w:t xml:space="preserve"> kalmaksızın alacakları </w:t>
            </w:r>
            <w:r w:rsidRPr="00A23740">
              <w:rPr>
                <w:b/>
                <w:strike/>
                <w:color w:val="FF0000"/>
                <w:szCs w:val="24"/>
              </w:rPr>
              <w:t>tahkik</w:t>
            </w:r>
            <w:r w:rsidRPr="00A23740">
              <w:rPr>
                <w:szCs w:val="24"/>
              </w:rPr>
              <w:t xml:space="preserve"> ve sıralarını tayin ederek bedelleri</w:t>
            </w:r>
            <w:r w:rsidRPr="00A23740">
              <w:rPr>
                <w:rStyle w:val="KIRMIZIChar"/>
                <w:rFonts w:eastAsia="Calibri"/>
              </w:rPr>
              <w:t>ni</w:t>
            </w:r>
            <w:r w:rsidRPr="00A23740">
              <w:rPr>
                <w:szCs w:val="24"/>
              </w:rPr>
              <w:t xml:space="preserve"> dağıtır.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Default="00AA5C8C" w:rsidP="009431FF">
            <w:pPr>
              <w:tabs>
                <w:tab w:val="left" w:pos="567"/>
              </w:tabs>
              <w:rPr>
                <w:szCs w:val="24"/>
              </w:rPr>
            </w:pPr>
          </w:p>
          <w:p w:rsidR="00892799" w:rsidRDefault="00892799" w:rsidP="009431FF">
            <w:pPr>
              <w:tabs>
                <w:tab w:val="left" w:pos="567"/>
              </w:tabs>
              <w:rPr>
                <w:szCs w:val="24"/>
              </w:rPr>
            </w:pPr>
          </w:p>
          <w:p w:rsidR="00892799" w:rsidRDefault="00892799" w:rsidP="009431FF">
            <w:pPr>
              <w:tabs>
                <w:tab w:val="left" w:pos="567"/>
              </w:tabs>
              <w:rPr>
                <w:szCs w:val="24"/>
              </w:rPr>
            </w:pPr>
          </w:p>
          <w:p w:rsidR="00892799" w:rsidRPr="00A23740" w:rsidRDefault="00892799"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(4) Tasfiyenin kapandığı</w:t>
            </w:r>
            <w:r w:rsidRPr="00A23740">
              <w:rPr>
                <w:szCs w:val="24"/>
              </w:rPr>
              <w:t xml:space="preserve"> ilan olunur.</w:t>
            </w:r>
          </w:p>
          <w:p w:rsidR="00AA5C8C" w:rsidRPr="00A23740" w:rsidRDefault="00AA5C8C" w:rsidP="009431FF">
            <w:pPr>
              <w:tabs>
                <w:tab w:val="left" w:pos="567"/>
              </w:tabs>
              <w:rPr>
                <w:szCs w:val="24"/>
              </w:rPr>
            </w:pPr>
          </w:p>
        </w:tc>
        <w:tc>
          <w:tcPr>
            <w:tcW w:w="2500" w:type="pct"/>
          </w:tcPr>
          <w:p w:rsidR="00AA5C8C" w:rsidRPr="00A23740" w:rsidRDefault="00AA5C8C" w:rsidP="009431FF">
            <w:pPr>
              <w:pStyle w:val="MAV"/>
              <w:jc w:val="center"/>
              <w:rPr>
                <w:u w:val="none"/>
                <w:lang w:val="tr-TR"/>
              </w:rPr>
            </w:pPr>
            <w:r w:rsidRPr="00A23740">
              <w:rPr>
                <w:u w:val="none"/>
                <w:lang w:val="tr-TR"/>
              </w:rPr>
              <w:t>İKİNCİ AYRIM</w:t>
            </w:r>
          </w:p>
          <w:p w:rsidR="00AA5C8C" w:rsidRPr="00A23740" w:rsidRDefault="00AA5C8C" w:rsidP="009431FF">
            <w:pPr>
              <w:pStyle w:val="MAV"/>
              <w:jc w:val="center"/>
              <w:rPr>
                <w:u w:val="none"/>
                <w:lang w:val="tr-TR"/>
              </w:rPr>
            </w:pPr>
            <w:r w:rsidRPr="00A23740">
              <w:rPr>
                <w:u w:val="none"/>
                <w:lang w:val="tr-TR"/>
              </w:rPr>
              <w:t>Tasfiye Türleri ve Alacaklıları Davet</w:t>
            </w:r>
          </w:p>
          <w:p w:rsidR="00AA5C8C" w:rsidRPr="00A23740" w:rsidRDefault="00AA5C8C" w:rsidP="009431FF">
            <w:pPr>
              <w:tabs>
                <w:tab w:val="left" w:pos="567"/>
              </w:tabs>
              <w:rPr>
                <w:szCs w:val="24"/>
              </w:rPr>
            </w:pPr>
          </w:p>
          <w:p w:rsidR="00AA5C8C" w:rsidRPr="00A23740" w:rsidRDefault="00AA5C8C" w:rsidP="009431FF">
            <w:pPr>
              <w:tabs>
                <w:tab w:val="left" w:pos="567"/>
              </w:tabs>
              <w:rPr>
                <w:b/>
                <w:szCs w:val="24"/>
              </w:rPr>
            </w:pPr>
            <w:r w:rsidRPr="00A23740">
              <w:rPr>
                <w:b/>
                <w:szCs w:val="24"/>
              </w:rPr>
              <w:t>Basit tasfiye</w:t>
            </w:r>
          </w:p>
          <w:p w:rsidR="00AA5C8C" w:rsidRPr="00A23740" w:rsidRDefault="00AA5C8C" w:rsidP="009431FF">
            <w:pPr>
              <w:tabs>
                <w:tab w:val="left" w:pos="567"/>
              </w:tabs>
              <w:rPr>
                <w:b/>
                <w:strike/>
                <w:color w:val="FF0000"/>
                <w:szCs w:val="24"/>
              </w:rPr>
            </w:pPr>
            <w:r w:rsidRPr="00A23740">
              <w:rPr>
                <w:rStyle w:val="MaviChar"/>
                <w:lang w:val="tr-TR"/>
              </w:rPr>
              <w:t xml:space="preserve">MADDE </w:t>
            </w:r>
            <w:r w:rsidR="00BB2129" w:rsidRPr="00A23740">
              <w:rPr>
                <w:rStyle w:val="MAVChar"/>
                <w:rFonts w:eastAsia="Calibri"/>
                <w:u w:val="none"/>
              </w:rPr>
              <w:t>329</w:t>
            </w:r>
            <w:r w:rsidRPr="00A23740">
              <w:rPr>
                <w:rStyle w:val="MAVChar"/>
                <w:rFonts w:eastAsia="Calibri"/>
                <w:u w:val="none"/>
              </w:rPr>
              <w:t>- (</w:t>
            </w:r>
            <w:r w:rsidRPr="00A23740">
              <w:rPr>
                <w:b/>
                <w:color w:val="0000FF"/>
                <w:szCs w:val="24"/>
              </w:rPr>
              <w:t>1)</w:t>
            </w:r>
            <w:r w:rsidRPr="00A23740">
              <w:rPr>
                <w:b/>
                <w:szCs w:val="24"/>
              </w:rPr>
              <w:t xml:space="preserve"> </w:t>
            </w:r>
            <w:r w:rsidRPr="00A23740">
              <w:rPr>
                <w:szCs w:val="24"/>
              </w:rPr>
              <w:t>İflas dairesince defteri tutulan mallar</w:t>
            </w:r>
            <w:r w:rsidRPr="00A23740">
              <w:rPr>
                <w:b/>
                <w:color w:val="0000FF"/>
                <w:szCs w:val="24"/>
              </w:rPr>
              <w:t xml:space="preserve">ın </w:t>
            </w:r>
            <w:r w:rsidRPr="00A23740">
              <w:rPr>
                <w:rStyle w:val="MaviChar"/>
              </w:rPr>
              <w:t>değerinin</w:t>
            </w:r>
            <w:r w:rsidRPr="00A23740">
              <w:rPr>
                <w:szCs w:val="24"/>
              </w:rPr>
              <w:t xml:space="preserve"> </w:t>
            </w:r>
            <w:r w:rsidRPr="00A23740">
              <w:rPr>
                <w:rStyle w:val="MAVChar"/>
                <w:rFonts w:eastAsia="Calibri"/>
                <w:u w:val="none"/>
              </w:rPr>
              <w:t xml:space="preserve">olağan </w:t>
            </w:r>
            <w:r w:rsidRPr="00A23740">
              <w:rPr>
                <w:szCs w:val="24"/>
              </w:rPr>
              <w:t xml:space="preserve">tasfiye </w:t>
            </w:r>
            <w:r w:rsidRPr="00A23740">
              <w:rPr>
                <w:rStyle w:val="MaviChar"/>
              </w:rPr>
              <w:t>giderlerini</w:t>
            </w:r>
            <w:r w:rsidRPr="00A23740">
              <w:rPr>
                <w:szCs w:val="24"/>
              </w:rPr>
              <w:t xml:space="preserve"> </w:t>
            </w:r>
            <w:r w:rsidRPr="00A23740">
              <w:rPr>
                <w:b/>
                <w:color w:val="0000FF"/>
                <w:szCs w:val="24"/>
              </w:rPr>
              <w:t>karşılamayacağı</w:t>
            </w:r>
            <w:r w:rsidRPr="00A23740">
              <w:rPr>
                <w:szCs w:val="24"/>
              </w:rPr>
              <w:t xml:space="preserve"> </w:t>
            </w:r>
            <w:r w:rsidRPr="00A23740">
              <w:rPr>
                <w:b/>
                <w:color w:val="0000FF"/>
                <w:szCs w:val="24"/>
              </w:rPr>
              <w:t>anlaşılıyorsa</w:t>
            </w:r>
            <w:r w:rsidRPr="00A23740">
              <w:rPr>
                <w:rStyle w:val="MaviChar"/>
              </w:rPr>
              <w:t>,</w:t>
            </w:r>
            <w:r w:rsidRPr="00A23740">
              <w:rPr>
                <w:b/>
                <w:color w:val="0000FF"/>
                <w:szCs w:val="24"/>
              </w:rPr>
              <w:t xml:space="preserve"> </w:t>
            </w:r>
            <w:r w:rsidRPr="00A23740">
              <w:rPr>
                <w:szCs w:val="24"/>
              </w:rPr>
              <w:t xml:space="preserve">basit tasfiye usulü </w:t>
            </w:r>
            <w:r w:rsidRPr="00A23740">
              <w:rPr>
                <w:b/>
                <w:color w:val="0000FF"/>
                <w:szCs w:val="24"/>
              </w:rPr>
              <w:t>uygulanır</w:t>
            </w:r>
            <w:r w:rsidRPr="00A23740">
              <w:rPr>
                <w:szCs w:val="24"/>
              </w:rPr>
              <w:t>.</w:t>
            </w:r>
            <w:r w:rsidRPr="00A23740">
              <w:rPr>
                <w:b/>
                <w:strike/>
                <w:color w:val="FF0000"/>
                <w:szCs w:val="24"/>
              </w:rPr>
              <w:t xml:space="preserve"> </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br w:type="page"/>
            </w:r>
            <w:r w:rsidRPr="00A23740">
              <w:rPr>
                <w:b/>
                <w:color w:val="0000FF"/>
                <w:szCs w:val="24"/>
              </w:rPr>
              <w:t xml:space="preserve">(2) Basit tasfiyeye karar </w:t>
            </w:r>
            <w:r w:rsidRPr="00A23740">
              <w:rPr>
                <w:rStyle w:val="MAVChar"/>
                <w:rFonts w:eastAsia="Calibri"/>
                <w:u w:val="none"/>
                <w:lang w:eastAsia="x-none"/>
              </w:rPr>
              <w:t xml:space="preserve">verilmesi </w:t>
            </w:r>
            <w:r w:rsidRPr="00A23740">
              <w:rPr>
                <w:b/>
                <w:color w:val="0000FF"/>
                <w:szCs w:val="24"/>
              </w:rPr>
              <w:t>h</w:t>
            </w:r>
            <w:r w:rsidR="003B1DAB" w:rsidRPr="00A23740">
              <w:rPr>
                <w:b/>
                <w:color w:val="0000FF"/>
                <w:szCs w:val="24"/>
              </w:rPr>
              <w:t>â</w:t>
            </w:r>
            <w:r w:rsidRPr="00A23740">
              <w:rPr>
                <w:b/>
                <w:color w:val="0000FF"/>
                <w:szCs w:val="24"/>
              </w:rPr>
              <w:t>linde</w:t>
            </w:r>
            <w:r w:rsidRPr="00A23740">
              <w:rPr>
                <w:szCs w:val="24"/>
              </w:rPr>
              <w:t xml:space="preserve"> iflas dairesi, alacaklıları </w:t>
            </w:r>
            <w:r w:rsidRPr="00A23740">
              <w:rPr>
                <w:b/>
                <w:color w:val="0000FF"/>
                <w:szCs w:val="24"/>
              </w:rPr>
              <w:t>bir aylık süre</w:t>
            </w:r>
            <w:r w:rsidRPr="00A23740">
              <w:rPr>
                <w:szCs w:val="24"/>
              </w:rPr>
              <w:t xml:space="preserve"> içinde alacaklarını ve iddialarını bildirme</w:t>
            </w:r>
            <w:r w:rsidRPr="00A23740">
              <w:rPr>
                <w:rStyle w:val="MaviChar"/>
              </w:rPr>
              <w:t>y</w:t>
            </w:r>
            <w:r w:rsidRPr="00A23740">
              <w:rPr>
                <w:szCs w:val="24"/>
              </w:rPr>
              <w:t xml:space="preserve">e ilanla davet eder. Bu </w:t>
            </w:r>
            <w:r w:rsidRPr="00A23740">
              <w:rPr>
                <w:b/>
                <w:color w:val="0000FF"/>
                <w:szCs w:val="24"/>
              </w:rPr>
              <w:t>süre</w:t>
            </w:r>
            <w:r w:rsidRPr="00A23740">
              <w:rPr>
                <w:szCs w:val="24"/>
              </w:rPr>
              <w:t xml:space="preserve"> içinde alacaklılardan biri</w:t>
            </w:r>
            <w:r w:rsidRPr="00F75759">
              <w:rPr>
                <w:rStyle w:val="MaviChar"/>
              </w:rPr>
              <w:t>,</w:t>
            </w:r>
            <w:r w:rsidRPr="00A23740">
              <w:rPr>
                <w:szCs w:val="24"/>
              </w:rPr>
              <w:t xml:space="preserve"> </w:t>
            </w:r>
            <w:r w:rsidRPr="00A23740">
              <w:rPr>
                <w:rStyle w:val="MaviChar"/>
              </w:rPr>
              <w:t>giderleri</w:t>
            </w:r>
            <w:r w:rsidR="003B1DAB" w:rsidRPr="00A23740">
              <w:rPr>
                <w:rStyle w:val="MaviChar"/>
                <w:lang w:val="tr-TR"/>
              </w:rPr>
              <w:t>ni</w:t>
            </w:r>
            <w:r w:rsidRPr="00A23740">
              <w:rPr>
                <w:szCs w:val="24"/>
              </w:rPr>
              <w:t xml:space="preserve"> peşin vermek suretiyle tasfiyenin </w:t>
            </w:r>
            <w:r w:rsidRPr="00A23740">
              <w:rPr>
                <w:b/>
                <w:color w:val="0000FF"/>
                <w:szCs w:val="24"/>
              </w:rPr>
              <w:t>olağan</w:t>
            </w:r>
            <w:r w:rsidRPr="00A23740">
              <w:rPr>
                <w:szCs w:val="24"/>
              </w:rPr>
              <w:t xml:space="preserve"> </w:t>
            </w:r>
            <w:r w:rsidRPr="00A23740">
              <w:rPr>
                <w:rStyle w:val="MaviChar"/>
              </w:rPr>
              <w:t>tasfiye şeklinde</w:t>
            </w:r>
            <w:r w:rsidRPr="00A23740">
              <w:rPr>
                <w:szCs w:val="24"/>
              </w:rPr>
              <w:t xml:space="preserve"> yapılmasını isteyebilir.</w:t>
            </w:r>
          </w:p>
          <w:p w:rsidR="00AA5C8C" w:rsidRDefault="00AA5C8C" w:rsidP="009431FF">
            <w:pPr>
              <w:tabs>
                <w:tab w:val="left" w:pos="567"/>
              </w:tabs>
              <w:rPr>
                <w:szCs w:val="24"/>
              </w:rPr>
            </w:pPr>
          </w:p>
          <w:p w:rsidR="00892799" w:rsidRPr="00A23740" w:rsidRDefault="00892799"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szCs w:val="24"/>
              </w:rPr>
              <w:t xml:space="preserve"> Basit tasfiyede iflas dairesi</w:t>
            </w:r>
            <w:r w:rsidRPr="00A23740">
              <w:rPr>
                <w:rStyle w:val="MaviChar"/>
              </w:rPr>
              <w:t>,</w:t>
            </w:r>
            <w:r w:rsidRPr="00A23740">
              <w:rPr>
                <w:szCs w:val="24"/>
              </w:rPr>
              <w:t xml:space="preserve"> </w:t>
            </w:r>
            <w:r w:rsidR="003B1DAB" w:rsidRPr="00A23740">
              <w:rPr>
                <w:rStyle w:val="Balk1Char"/>
                <w:rFonts w:eastAsia="Calibri"/>
              </w:rPr>
              <w:t>özellikle,</w:t>
            </w:r>
            <w:r w:rsidR="003B1DAB" w:rsidRPr="00A23740">
              <w:rPr>
                <w:szCs w:val="24"/>
              </w:rPr>
              <w:t xml:space="preserve"> </w:t>
            </w:r>
            <w:r w:rsidRPr="00A23740">
              <w:rPr>
                <w:szCs w:val="24"/>
              </w:rPr>
              <w:t xml:space="preserve">alacaklıların menfaatlerine </w:t>
            </w:r>
            <w:r w:rsidRPr="00A23740">
              <w:rPr>
                <w:b/>
                <w:color w:val="0000FF"/>
                <w:szCs w:val="24"/>
              </w:rPr>
              <w:t xml:space="preserve">uygun </w:t>
            </w:r>
            <w:r w:rsidRPr="00A23740">
              <w:rPr>
                <w:rStyle w:val="MaviChar"/>
              </w:rPr>
              <w:t>olacak şekilde</w:t>
            </w:r>
            <w:r w:rsidRPr="00A23740">
              <w:rPr>
                <w:szCs w:val="24"/>
              </w:rPr>
              <w:t xml:space="preserve"> malları paraya çevirir</w:t>
            </w:r>
            <w:r w:rsidR="003B1DAB" w:rsidRPr="00A23740">
              <w:rPr>
                <w:rStyle w:val="Balk1Char"/>
                <w:rFonts w:eastAsia="Calibri"/>
              </w:rPr>
              <w:t>,</w:t>
            </w:r>
            <w:r w:rsidRPr="00A23740">
              <w:rPr>
                <w:szCs w:val="24"/>
              </w:rPr>
              <w:t xml:space="preserve"> alacakları </w:t>
            </w:r>
            <w:r w:rsidRPr="00A23740">
              <w:rPr>
                <w:b/>
                <w:color w:val="0000FF"/>
                <w:szCs w:val="24"/>
              </w:rPr>
              <w:t>inceler</w:t>
            </w:r>
            <w:r w:rsidR="003B1DAB" w:rsidRPr="00A23740">
              <w:rPr>
                <w:rStyle w:val="Balk1Char"/>
                <w:rFonts w:eastAsia="Calibri"/>
              </w:rPr>
              <w:t>,</w:t>
            </w:r>
            <w:r w:rsidRPr="00A23740">
              <w:rPr>
                <w:b/>
                <w:color w:val="0000FF"/>
                <w:szCs w:val="24"/>
              </w:rPr>
              <w:t xml:space="preserve"> sıra </w:t>
            </w:r>
            <w:r w:rsidR="003B1DAB" w:rsidRPr="00A23740">
              <w:rPr>
                <w:b/>
                <w:color w:val="0000FF"/>
                <w:szCs w:val="24"/>
              </w:rPr>
              <w:t xml:space="preserve">cetveli ile pay cetvelini </w:t>
            </w:r>
            <w:r w:rsidRPr="00A23740">
              <w:rPr>
                <w:b/>
                <w:color w:val="0000FF"/>
                <w:szCs w:val="24"/>
              </w:rPr>
              <w:t>hazırlar</w:t>
            </w:r>
            <w:r w:rsidRPr="00A23740">
              <w:rPr>
                <w:szCs w:val="24"/>
              </w:rPr>
              <w:t xml:space="preserve"> ve </w:t>
            </w:r>
            <w:r w:rsidRPr="00A23740">
              <w:rPr>
                <w:rStyle w:val="Stil2Char"/>
                <w:rFonts w:eastAsia="Calibri"/>
                <w:u w:val="none"/>
              </w:rPr>
              <w:t>ilan eder</w:t>
            </w:r>
            <w:r w:rsidR="003B1DAB" w:rsidRPr="00A23740">
              <w:rPr>
                <w:rStyle w:val="Balk1Char"/>
                <w:rFonts w:eastAsia="Calibri"/>
              </w:rPr>
              <w:t>,</w:t>
            </w:r>
            <w:r w:rsidRPr="00A23740">
              <w:rPr>
                <w:rStyle w:val="Stil2Char"/>
                <w:rFonts w:eastAsia="Calibri"/>
                <w:u w:val="none"/>
              </w:rPr>
              <w:t xml:space="preserve"> alacaklılara isabet eden</w:t>
            </w:r>
            <w:r w:rsidRPr="00A23740">
              <w:rPr>
                <w:szCs w:val="24"/>
              </w:rPr>
              <w:t xml:space="preserve"> bedelleri dağıtır </w:t>
            </w:r>
            <w:r w:rsidRPr="00A23740">
              <w:rPr>
                <w:rStyle w:val="MAVChar"/>
                <w:rFonts w:eastAsia="Calibri"/>
                <w:u w:val="none"/>
              </w:rPr>
              <w:t xml:space="preserve">ve alacağını tamamen alamayan iflas alacaklılarına aciz belgelerini </w:t>
            </w:r>
            <w:r w:rsidRPr="00A23740">
              <w:rPr>
                <w:rStyle w:val="MaviChar"/>
              </w:rPr>
              <w:t>düzenleyip</w:t>
            </w:r>
            <w:r w:rsidRPr="00A23740">
              <w:rPr>
                <w:rStyle w:val="MAVChar"/>
                <w:rFonts w:eastAsia="Calibri"/>
                <w:u w:val="none"/>
              </w:rPr>
              <w:t xml:space="preserve"> verir</w:t>
            </w:r>
            <w:r w:rsidRPr="00A23740">
              <w:rPr>
                <w:rStyle w:val="Balk1Char"/>
                <w:rFonts w:eastAsia="Calibri"/>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(4</w:t>
            </w:r>
            <w:r w:rsidRPr="00A23740">
              <w:rPr>
                <w:rStyle w:val="MAVChar"/>
                <w:rFonts w:eastAsia="Calibri"/>
                <w:u w:val="none"/>
              </w:rPr>
              <w:t xml:space="preserve">) Basit tasfiye bitince iflas dairesi, iflas mahkemesine bir son rapor verir </w:t>
            </w:r>
            <w:r w:rsidRPr="00A23740">
              <w:rPr>
                <w:rStyle w:val="MaviChar"/>
              </w:rPr>
              <w:t>ve iflasın kapanmasına karar verilmesini</w:t>
            </w:r>
            <w:r w:rsidRPr="00A23740">
              <w:rPr>
                <w:rStyle w:val="MAVChar"/>
                <w:rFonts w:eastAsia="Calibri"/>
                <w:u w:val="none"/>
              </w:rPr>
              <w:t xml:space="preserve"> ister. İflas mahkemesinin iflasın </w:t>
            </w:r>
            <w:r w:rsidRPr="00A23740">
              <w:rPr>
                <w:rStyle w:val="MaviChar"/>
              </w:rPr>
              <w:t>kapanmasına</w:t>
            </w:r>
            <w:r w:rsidRPr="00A23740">
              <w:rPr>
                <w:rStyle w:val="MAVChar"/>
                <w:rFonts w:eastAsia="Calibri"/>
                <w:u w:val="none"/>
              </w:rPr>
              <w:t xml:space="preserve"> ilişkin kararı iflas dairesince</w:t>
            </w:r>
            <w:r w:rsidRPr="00A23740">
              <w:rPr>
                <w:szCs w:val="24"/>
              </w:rPr>
              <w:t xml:space="preserve"> ilan olunur.</w:t>
            </w:r>
          </w:p>
          <w:p w:rsidR="00AA5C8C" w:rsidRPr="00A23740" w:rsidRDefault="00AA5C8C" w:rsidP="009431FF">
            <w:pPr>
              <w:tabs>
                <w:tab w:val="left" w:pos="567"/>
              </w:tabs>
              <w:rPr>
                <w:szCs w:val="24"/>
              </w:rPr>
            </w:pPr>
          </w:p>
          <w:p w:rsidR="00AA5C8C" w:rsidRDefault="00AA5C8C" w:rsidP="009431FF">
            <w:pPr>
              <w:pStyle w:val="Mavi"/>
              <w:rPr>
                <w:lang w:val="tr-TR"/>
              </w:rPr>
            </w:pPr>
            <w:r w:rsidRPr="00A23740">
              <w:rPr>
                <w:lang w:val="tr-TR"/>
              </w:rPr>
              <w:t xml:space="preserve">(5) </w:t>
            </w:r>
            <w:r w:rsidRPr="00A23740">
              <w:t>Olağan</w:t>
            </w:r>
            <w:r w:rsidRPr="00A23740">
              <w:rPr>
                <w:lang w:val="tr-TR"/>
              </w:rPr>
              <w:t xml:space="preserve"> tasfiyeye ilişkin hükümler, bu maddede belirtilen hükümlerle çelişmediği</w:t>
            </w:r>
            <w:r w:rsidR="009945B6" w:rsidRPr="00A23740">
              <w:rPr>
                <w:lang w:val="tr-TR"/>
              </w:rPr>
              <w:t>,</w:t>
            </w:r>
            <w:r w:rsidRPr="00A23740">
              <w:rPr>
                <w:lang w:val="tr-TR"/>
              </w:rPr>
              <w:t xml:space="preserve"> basit tasfiye usulünün çabukluğuna zarar vermediği </w:t>
            </w:r>
            <w:r w:rsidR="009945B6" w:rsidRPr="00A23740">
              <w:rPr>
                <w:lang w:val="tr-TR"/>
              </w:rPr>
              <w:t xml:space="preserve">ve niteliğine uygun düştüğü </w:t>
            </w:r>
            <w:r w:rsidRPr="00A23740">
              <w:rPr>
                <w:lang w:val="tr-TR"/>
              </w:rPr>
              <w:t>ölçüde basit tasfiye usulünde de kıyasen uygulanır.</w:t>
            </w:r>
          </w:p>
          <w:p w:rsidR="00322CB4" w:rsidRPr="00A23740" w:rsidRDefault="00322CB4" w:rsidP="009431FF">
            <w:pPr>
              <w:pStyle w:val="Mavi"/>
              <w:rPr>
                <w:color w:val="FF0000"/>
                <w:lang w:val="tr-TR"/>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97749B" w:rsidRPr="00A23740" w:rsidRDefault="00ED4844" w:rsidP="009431FF">
            <w:pPr>
              <w:tabs>
                <w:tab w:val="left" w:pos="567"/>
              </w:tabs>
              <w:ind w:firstLine="709"/>
              <w:rPr>
                <w:bCs/>
                <w:szCs w:val="24"/>
              </w:rPr>
            </w:pPr>
            <w:r w:rsidRPr="00A23740">
              <w:rPr>
                <w:bCs/>
                <w:szCs w:val="24"/>
              </w:rPr>
              <w:tab/>
            </w:r>
          </w:p>
          <w:p w:rsidR="0097749B" w:rsidRPr="00A23740" w:rsidRDefault="00BB2129" w:rsidP="009431FF">
            <w:pPr>
              <w:tabs>
                <w:tab w:val="left" w:pos="567"/>
              </w:tabs>
              <w:ind w:firstLine="709"/>
              <w:rPr>
                <w:b/>
                <w:szCs w:val="24"/>
              </w:rPr>
            </w:pPr>
            <w:r w:rsidRPr="00A23740">
              <w:rPr>
                <w:b/>
              </w:rPr>
              <w:t>MADDE 329</w:t>
            </w:r>
            <w:r w:rsidR="0097749B" w:rsidRPr="00A23740">
              <w:rPr>
                <w:b/>
              </w:rPr>
              <w:t>-</w:t>
            </w:r>
            <w:r w:rsidR="0097749B" w:rsidRPr="00A23740">
              <w:t xml:space="preserve"> Maddeyle, basit tasfiyeye ilişkin hususlar düzenlenmektedir. Hüküm, 2004 sayılı Kanunun 218 inci maddesine karşılık gelmektedir. </w:t>
            </w:r>
          </w:p>
          <w:p w:rsidR="00ED4844" w:rsidRPr="00A23740" w:rsidRDefault="00ED4844" w:rsidP="009431FF">
            <w:pPr>
              <w:tabs>
                <w:tab w:val="left" w:pos="567"/>
              </w:tabs>
              <w:ind w:firstLine="709"/>
              <w:rPr>
                <w:bCs/>
                <w:szCs w:val="24"/>
              </w:rPr>
            </w:pPr>
            <w:r w:rsidRPr="00A23740">
              <w:rPr>
                <w:bCs/>
                <w:szCs w:val="24"/>
              </w:rPr>
              <w:t xml:space="preserve">Birinci fıkrada, defteri tutulan malların olağan tasfiye giderlerini karşılamayacağı anlaşılırsa basit tasfiye usulünün uygulanacağı kabul edilmiştir. Fıkraya “olağan” sözcüğü eklenmek suretiyle daha sonra üçüncü ayırım ve devamında yer alan olağan tasfiye hükümlerinin kural olduğu vurgulanmak, basit tasfiyenin istisna olduğu ifade edilmek istenmiştir. </w:t>
            </w:r>
          </w:p>
          <w:p w:rsidR="00ED4844" w:rsidRPr="00A23740" w:rsidRDefault="00ED4844" w:rsidP="009431FF">
            <w:pPr>
              <w:tabs>
                <w:tab w:val="left" w:pos="567"/>
              </w:tabs>
              <w:ind w:firstLine="709"/>
              <w:rPr>
                <w:bCs/>
                <w:szCs w:val="24"/>
              </w:rPr>
            </w:pPr>
            <w:r w:rsidRPr="00A23740">
              <w:rPr>
                <w:bCs/>
                <w:szCs w:val="24"/>
              </w:rPr>
              <w:t xml:space="preserve">İkinci fıkra uyarınca, basit tasfiyeye karar </w:t>
            </w:r>
            <w:r w:rsidRPr="00A23740">
              <w:rPr>
                <w:bCs/>
                <w:lang w:val="x-none" w:eastAsia="x-none"/>
              </w:rPr>
              <w:t xml:space="preserve">verilmesi </w:t>
            </w:r>
            <w:r w:rsidRPr="00A23740">
              <w:rPr>
                <w:bCs/>
                <w:szCs w:val="24"/>
              </w:rPr>
              <w:t>h</w:t>
            </w:r>
            <w:r w:rsidR="009945B6" w:rsidRPr="00A23740">
              <w:rPr>
                <w:bCs/>
                <w:szCs w:val="24"/>
              </w:rPr>
              <w:t>â</w:t>
            </w:r>
            <w:r w:rsidRPr="00A23740">
              <w:rPr>
                <w:bCs/>
                <w:szCs w:val="24"/>
              </w:rPr>
              <w:t>linde iflas dairesi, alacaklıları bir aylık süre içinde alacaklarını ve iddialarını bildirme</w:t>
            </w:r>
            <w:r w:rsidRPr="00A23740">
              <w:rPr>
                <w:bCs/>
                <w:lang w:val="x-none" w:eastAsia="x-none"/>
              </w:rPr>
              <w:t>y</w:t>
            </w:r>
            <w:r w:rsidRPr="00A23740">
              <w:rPr>
                <w:bCs/>
                <w:szCs w:val="24"/>
              </w:rPr>
              <w:t>e ilanla davet eder. Bu ilan ve tanınan bir aylık sürenin iki fonksiyonu bulunmaktadır. İlan üzerine söz konusu süre içinde alacaklılar alacak bildiriminde bulunabilir ve alacaklılardan biri</w:t>
            </w:r>
            <w:r w:rsidRPr="00A23740">
              <w:rPr>
                <w:rFonts w:eastAsia="ヒラギノ明朝 Pro W3"/>
                <w:bCs/>
              </w:rPr>
              <w:t>,</w:t>
            </w:r>
            <w:r w:rsidRPr="00A23740">
              <w:rPr>
                <w:bCs/>
                <w:szCs w:val="24"/>
              </w:rPr>
              <w:t xml:space="preserve"> </w:t>
            </w:r>
            <w:r w:rsidRPr="00A23740">
              <w:rPr>
                <w:bCs/>
                <w:lang w:val="x-none" w:eastAsia="x-none"/>
              </w:rPr>
              <w:t>giderleri</w:t>
            </w:r>
            <w:r w:rsidRPr="00A23740">
              <w:rPr>
                <w:bCs/>
                <w:szCs w:val="24"/>
              </w:rPr>
              <w:t xml:space="preserve"> peşin vermek suretiyle tasfiyenin olağan </w:t>
            </w:r>
            <w:r w:rsidRPr="00A23740">
              <w:rPr>
                <w:bCs/>
                <w:lang w:val="x-none" w:eastAsia="x-none"/>
              </w:rPr>
              <w:t>tasfiye şeklinde</w:t>
            </w:r>
            <w:r w:rsidRPr="00A23740">
              <w:rPr>
                <w:bCs/>
                <w:szCs w:val="24"/>
              </w:rPr>
              <w:t xml:space="preserve"> yapılmasını isteyebilir. </w:t>
            </w:r>
          </w:p>
          <w:p w:rsidR="00ED4844" w:rsidRPr="00A23740" w:rsidRDefault="00ED4844" w:rsidP="009431FF">
            <w:pPr>
              <w:tabs>
                <w:tab w:val="left" w:pos="567"/>
              </w:tabs>
              <w:ind w:firstLine="709"/>
              <w:rPr>
                <w:bCs/>
                <w:szCs w:val="24"/>
              </w:rPr>
            </w:pPr>
            <w:r w:rsidRPr="00A23740">
              <w:rPr>
                <w:bCs/>
                <w:szCs w:val="24"/>
              </w:rPr>
              <w:t>Üçüncü fıkrada, basit tasfiyede iflas dairesi</w:t>
            </w:r>
            <w:r w:rsidR="00892799">
              <w:rPr>
                <w:bCs/>
                <w:szCs w:val="24"/>
              </w:rPr>
              <w:t xml:space="preserve"> </w:t>
            </w:r>
            <w:r w:rsidRPr="00A23740">
              <w:rPr>
                <w:bCs/>
                <w:szCs w:val="24"/>
              </w:rPr>
              <w:t xml:space="preserve">malları alacaklıların menfaatlerine uygun </w:t>
            </w:r>
            <w:r w:rsidRPr="00A23740">
              <w:rPr>
                <w:bCs/>
                <w:lang w:val="x-none" w:eastAsia="x-none"/>
              </w:rPr>
              <w:t>şekilde</w:t>
            </w:r>
            <w:r w:rsidRPr="00A23740">
              <w:rPr>
                <w:bCs/>
                <w:szCs w:val="24"/>
              </w:rPr>
              <w:t xml:space="preserve"> paraya çevirir</w:t>
            </w:r>
            <w:r w:rsidR="00D42C1F" w:rsidRPr="00A23740">
              <w:rPr>
                <w:bCs/>
                <w:szCs w:val="24"/>
              </w:rPr>
              <w:t>.</w:t>
            </w:r>
            <w:r w:rsidR="00892799">
              <w:rPr>
                <w:bCs/>
                <w:szCs w:val="24"/>
              </w:rPr>
              <w:t xml:space="preserve"> </w:t>
            </w:r>
            <w:r w:rsidRPr="00A23740">
              <w:rPr>
                <w:bCs/>
                <w:szCs w:val="24"/>
              </w:rPr>
              <w:t>İflas dairesinin, paraya çevirmenin ardından başka herhangi bir merasime gere</w:t>
            </w:r>
            <w:r w:rsidR="00D42C1F" w:rsidRPr="00A23740">
              <w:rPr>
                <w:bCs/>
                <w:szCs w:val="24"/>
              </w:rPr>
              <w:t>k</w:t>
            </w:r>
            <w:r w:rsidRPr="00A23740">
              <w:rPr>
                <w:bCs/>
                <w:szCs w:val="24"/>
              </w:rPr>
              <w:t xml:space="preserve"> </w:t>
            </w:r>
            <w:r w:rsidR="00D42C1F" w:rsidRPr="00F75759">
              <w:rPr>
                <w:szCs w:val="24"/>
              </w:rPr>
              <w:t>olmaksızın</w:t>
            </w:r>
            <w:r w:rsidR="00D42C1F" w:rsidRPr="00F75759">
              <w:rPr>
                <w:bCs/>
                <w:szCs w:val="24"/>
              </w:rPr>
              <w:t xml:space="preserve"> </w:t>
            </w:r>
            <w:r w:rsidRPr="00A23740">
              <w:rPr>
                <w:bCs/>
                <w:szCs w:val="24"/>
              </w:rPr>
              <w:t>alacakları inceleyip buna göre sıra cetvelini</w:t>
            </w:r>
            <w:r w:rsidR="00D42C1F" w:rsidRPr="00A23740">
              <w:rPr>
                <w:bCs/>
                <w:szCs w:val="24"/>
              </w:rPr>
              <w:t xml:space="preserve"> ve </w:t>
            </w:r>
            <w:r w:rsidR="00D42C1F" w:rsidRPr="00F75759">
              <w:rPr>
                <w:szCs w:val="24"/>
              </w:rPr>
              <w:t>pay cetvelini</w:t>
            </w:r>
            <w:r w:rsidR="00D42C1F" w:rsidRPr="00A23740">
              <w:rPr>
                <w:bCs/>
                <w:szCs w:val="24"/>
              </w:rPr>
              <w:t xml:space="preserve"> </w:t>
            </w:r>
            <w:r w:rsidR="00D42C1F" w:rsidRPr="00F75759">
              <w:rPr>
                <w:lang w:val="x-none" w:eastAsia="x-none"/>
              </w:rPr>
              <w:t>hazırlayarak</w:t>
            </w:r>
            <w:r w:rsidR="00D42C1F" w:rsidRPr="00F75759">
              <w:rPr>
                <w:bCs/>
                <w:lang w:val="x-none" w:eastAsia="x-none"/>
              </w:rPr>
              <w:t xml:space="preserve"> </w:t>
            </w:r>
            <w:r w:rsidRPr="00F75759">
              <w:rPr>
                <w:bCs/>
                <w:lang w:val="x-none" w:eastAsia="x-none"/>
              </w:rPr>
              <w:t>ilan</w:t>
            </w:r>
            <w:r w:rsidRPr="00A23740">
              <w:rPr>
                <w:bCs/>
                <w:lang w:val="x-none" w:eastAsia="x-none"/>
              </w:rPr>
              <w:t xml:space="preserve"> etmesi ve alacaklılara isabet eden</w:t>
            </w:r>
            <w:r w:rsidRPr="00A23740">
              <w:rPr>
                <w:bCs/>
                <w:szCs w:val="24"/>
              </w:rPr>
              <w:t xml:space="preserve"> bedelleri dağıtması</w:t>
            </w:r>
            <w:r w:rsidRPr="00A23740">
              <w:rPr>
                <w:bCs/>
                <w:lang w:val="x-none" w:eastAsia="x-none"/>
              </w:rPr>
              <w:t xml:space="preserve"> öngörülmüştür. Ayrıca iflas dairesi alacağını tamamen alamayan iflas alacaklılarına aciz belgelerini düzenleyip verecektir. </w:t>
            </w:r>
            <w:r w:rsidRPr="00A23740">
              <w:rPr>
                <w:bCs/>
                <w:szCs w:val="24"/>
              </w:rPr>
              <w:t>Uygulamada basit tasfiye usulünde aciz belgesinin verilmesi konusunda tereddüt ve sorunlar bulunduğundan, öğretide zaten kabul edilmiş olan bu hususun Kanuna açıkça yazılması uygun görülmüştür.</w:t>
            </w:r>
          </w:p>
          <w:p w:rsidR="00ED4844" w:rsidRPr="00A23740" w:rsidRDefault="00ED4844" w:rsidP="009431FF">
            <w:pPr>
              <w:tabs>
                <w:tab w:val="left" w:pos="567"/>
              </w:tabs>
              <w:ind w:firstLine="709"/>
              <w:rPr>
                <w:bCs/>
                <w:szCs w:val="24"/>
              </w:rPr>
            </w:pPr>
            <w:r w:rsidRPr="00A23740">
              <w:rPr>
                <w:bCs/>
                <w:szCs w:val="24"/>
              </w:rPr>
              <w:t xml:space="preserve">Dördüncü </w:t>
            </w:r>
            <w:r w:rsidR="00D42C1F" w:rsidRPr="00F75759">
              <w:rPr>
                <w:szCs w:val="24"/>
              </w:rPr>
              <w:t>fıkrayla da</w:t>
            </w:r>
            <w:r w:rsidR="00D42C1F" w:rsidRPr="00A23740">
              <w:rPr>
                <w:bCs/>
                <w:szCs w:val="24"/>
              </w:rPr>
              <w:t xml:space="preserve"> </w:t>
            </w:r>
            <w:r w:rsidRPr="00A23740">
              <w:rPr>
                <w:bCs/>
                <w:szCs w:val="24"/>
              </w:rPr>
              <w:t>yine uygulamada tereddütlü olan “son rapor”un iflas dairesince hazırlanarak iflasın kapatılması talebiyle birlikte iflas mahkemesine verilmesi hususu sarahate kavuşturulmuştur.</w:t>
            </w:r>
          </w:p>
          <w:p w:rsidR="00ED4844" w:rsidRPr="00A23740" w:rsidRDefault="00ED4844" w:rsidP="009431FF">
            <w:pPr>
              <w:tabs>
                <w:tab w:val="left" w:pos="567"/>
              </w:tabs>
              <w:ind w:firstLine="709"/>
              <w:rPr>
                <w:bCs/>
                <w:szCs w:val="24"/>
                <w:lang w:eastAsia="x-none"/>
              </w:rPr>
            </w:pPr>
            <w:r w:rsidRPr="00A23740">
              <w:rPr>
                <w:bCs/>
                <w:szCs w:val="24"/>
                <w:lang w:val="x-none" w:eastAsia="x-none"/>
              </w:rPr>
              <w:t>B</w:t>
            </w:r>
            <w:r w:rsidRPr="00A23740">
              <w:rPr>
                <w:bCs/>
                <w:szCs w:val="24"/>
                <w:lang w:eastAsia="x-none"/>
              </w:rPr>
              <w:t xml:space="preserve">asit tasfiye usulünün yetersiz hükümlerle düzenlendiği öğretide oy birliğiyle ifade edildiğinden, beşinci </w:t>
            </w:r>
            <w:r w:rsidR="00892799">
              <w:rPr>
                <w:szCs w:val="24"/>
                <w:lang w:eastAsia="x-none"/>
              </w:rPr>
              <w:t xml:space="preserve">fıkrayla </w:t>
            </w:r>
            <w:r w:rsidRPr="00A23740">
              <w:rPr>
                <w:bCs/>
                <w:szCs w:val="24"/>
                <w:lang w:eastAsia="x-none"/>
              </w:rPr>
              <w:t xml:space="preserve">bu konuda kıyasen </w:t>
            </w:r>
            <w:r w:rsidR="00DC6449" w:rsidRPr="00F75759">
              <w:rPr>
                <w:bCs/>
                <w:szCs w:val="24"/>
                <w:lang w:eastAsia="x-none"/>
              </w:rPr>
              <w:t>olağan</w:t>
            </w:r>
            <w:r w:rsidR="00DC6449" w:rsidRPr="00A23740">
              <w:rPr>
                <w:bCs/>
                <w:color w:val="385623"/>
                <w:szCs w:val="24"/>
                <w:lang w:eastAsia="x-none"/>
              </w:rPr>
              <w:t xml:space="preserve"> </w:t>
            </w:r>
            <w:r w:rsidRPr="00A23740">
              <w:rPr>
                <w:bCs/>
                <w:szCs w:val="24"/>
                <w:lang w:eastAsia="x-none"/>
              </w:rPr>
              <w:t>tasfiye hükümlerinin uygulanması kabul edilmiştir. Bununla birlikt</w:t>
            </w:r>
            <w:r w:rsidRPr="00F75759">
              <w:rPr>
                <w:bCs/>
                <w:szCs w:val="24"/>
                <w:lang w:eastAsia="x-none"/>
              </w:rPr>
              <w:t>e</w:t>
            </w:r>
            <w:r w:rsidR="00D42C1F" w:rsidRPr="00F75759">
              <w:rPr>
                <w:szCs w:val="24"/>
                <w:lang w:eastAsia="x-none"/>
              </w:rPr>
              <w:t>,</w:t>
            </w:r>
            <w:r w:rsidRPr="00A23740">
              <w:rPr>
                <w:bCs/>
                <w:szCs w:val="24"/>
                <w:lang w:eastAsia="x-none"/>
              </w:rPr>
              <w:t xml:space="preserve"> </w:t>
            </w:r>
            <w:r w:rsidR="00DC6449" w:rsidRPr="00F75759">
              <w:rPr>
                <w:bCs/>
                <w:szCs w:val="24"/>
                <w:lang w:eastAsia="x-none"/>
              </w:rPr>
              <w:t>olağan</w:t>
            </w:r>
            <w:r w:rsidR="00DC6449" w:rsidRPr="00A23740">
              <w:rPr>
                <w:bCs/>
                <w:szCs w:val="24"/>
                <w:lang w:eastAsia="x-none"/>
              </w:rPr>
              <w:t xml:space="preserve"> </w:t>
            </w:r>
            <w:r w:rsidRPr="00A23740">
              <w:rPr>
                <w:bCs/>
                <w:szCs w:val="24"/>
                <w:lang w:eastAsia="x-none"/>
              </w:rPr>
              <w:t>tasfiyeye ilişkin hükümlerin ancak maddede belirtilen ve basit yargılamaya özgü olan hükümlerle çelişmemes</w:t>
            </w:r>
            <w:r w:rsidRPr="00F75759">
              <w:rPr>
                <w:bCs/>
                <w:szCs w:val="24"/>
                <w:lang w:eastAsia="x-none"/>
              </w:rPr>
              <w:t>i</w:t>
            </w:r>
            <w:r w:rsidR="00D42C1F" w:rsidRPr="00F75759">
              <w:rPr>
                <w:szCs w:val="24"/>
                <w:lang w:eastAsia="x-none"/>
              </w:rPr>
              <w:t>,</w:t>
            </w:r>
            <w:r w:rsidRPr="00A23740">
              <w:rPr>
                <w:bCs/>
                <w:szCs w:val="24"/>
                <w:lang w:eastAsia="x-none"/>
              </w:rPr>
              <w:t xml:space="preserve"> diğer yandan basit tasfiye usulü ile sağlanmak istenen çabukluğa engel olmaması </w:t>
            </w:r>
            <w:r w:rsidR="00D42C1F" w:rsidRPr="00A23740">
              <w:rPr>
                <w:bCs/>
                <w:szCs w:val="24"/>
                <w:lang w:eastAsia="x-none"/>
              </w:rPr>
              <w:t xml:space="preserve">ve </w:t>
            </w:r>
            <w:r w:rsidR="00D42C1F" w:rsidRPr="00F75759">
              <w:rPr>
                <w:szCs w:val="24"/>
                <w:lang w:eastAsia="x-none"/>
              </w:rPr>
              <w:t>basit tasfiye usulünün niteliğine uygun düşmesi</w:t>
            </w:r>
            <w:r w:rsidR="00D42C1F" w:rsidRPr="00A23740">
              <w:rPr>
                <w:bCs/>
                <w:szCs w:val="24"/>
                <w:lang w:eastAsia="x-none"/>
              </w:rPr>
              <w:t xml:space="preserve"> </w:t>
            </w:r>
            <w:r w:rsidRPr="00A23740">
              <w:rPr>
                <w:bCs/>
                <w:szCs w:val="24"/>
                <w:lang w:eastAsia="x-none"/>
              </w:rPr>
              <w:t>kaydıyla uygulanmasının doğru olacağı</w:t>
            </w:r>
            <w:r w:rsidR="00D42C1F" w:rsidRPr="00A23740">
              <w:rPr>
                <w:bCs/>
                <w:szCs w:val="24"/>
                <w:lang w:eastAsia="x-none"/>
              </w:rPr>
              <w:t xml:space="preserve"> </w:t>
            </w:r>
            <w:r w:rsidR="00D42C1F" w:rsidRPr="00F75759">
              <w:rPr>
                <w:szCs w:val="24"/>
                <w:lang w:eastAsia="x-none"/>
              </w:rPr>
              <w:t>kabul edilerek</w:t>
            </w:r>
            <w:r w:rsidR="006A5699" w:rsidRPr="00F75759">
              <w:rPr>
                <w:szCs w:val="24"/>
                <w:lang w:eastAsia="x-none"/>
              </w:rPr>
              <w:t>,</w:t>
            </w:r>
            <w:r w:rsidR="00D42C1F" w:rsidRPr="00F75759">
              <w:rPr>
                <w:szCs w:val="24"/>
                <w:lang w:eastAsia="x-none"/>
              </w:rPr>
              <w:t xml:space="preserve"> bu</w:t>
            </w:r>
            <w:r w:rsidRPr="00A23740">
              <w:rPr>
                <w:bCs/>
                <w:szCs w:val="24"/>
                <w:lang w:eastAsia="x-none"/>
              </w:rPr>
              <w:t xml:space="preserve"> hüküm şekillendirilmiştir.</w:t>
            </w:r>
          </w:p>
          <w:p w:rsidR="00ED4844" w:rsidRPr="001560F0" w:rsidRDefault="00ED4844" w:rsidP="001560F0">
            <w:pPr>
              <w:tabs>
                <w:tab w:val="left" w:pos="567"/>
              </w:tabs>
              <w:ind w:firstLine="709"/>
              <w:rPr>
                <w:bCs/>
                <w:szCs w:val="24"/>
              </w:rPr>
            </w:pPr>
            <w:r w:rsidRPr="00A23740">
              <w:rPr>
                <w:bCs/>
                <w:szCs w:val="24"/>
              </w:rPr>
              <w:t xml:space="preserve"> </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b/>
                <w:strike/>
                <w:color w:val="FF0000"/>
                <w:szCs w:val="24"/>
              </w:rPr>
              <w:t>Adi</w:t>
            </w:r>
            <w:r w:rsidRPr="00A23740">
              <w:rPr>
                <w:szCs w:val="24"/>
              </w:rPr>
              <w:t xml:space="preserve"> tasfiye </w:t>
            </w:r>
            <w:r w:rsidRPr="00A23740">
              <w:rPr>
                <w:b/>
                <w:strike/>
                <w:color w:val="FF0000"/>
                <w:szCs w:val="24"/>
              </w:rPr>
              <w:t>ve iflasın açılmasının ilanı:</w:t>
            </w:r>
          </w:p>
          <w:p w:rsidR="00AA5C8C" w:rsidRPr="00A23740" w:rsidRDefault="00AA5C8C" w:rsidP="009431FF">
            <w:pPr>
              <w:tabs>
                <w:tab w:val="left" w:pos="567"/>
              </w:tabs>
              <w:rPr>
                <w:szCs w:val="24"/>
              </w:rPr>
            </w:pPr>
            <w:r w:rsidRPr="00A23740">
              <w:rPr>
                <w:rStyle w:val="KIRMIZIChar"/>
                <w:rFonts w:eastAsia="Calibri"/>
              </w:rPr>
              <w:t>Madde 219 – (1) (Değişik</w:t>
            </w:r>
            <w:r w:rsidRPr="00A23740">
              <w:rPr>
                <w:b/>
                <w:strike/>
                <w:color w:val="FF0000"/>
                <w:szCs w:val="24"/>
              </w:rPr>
              <w:t xml:space="preserve"> birinci fıkra : 9/11/1988 - 3494/44 md.) </w:t>
            </w:r>
            <w:r w:rsidRPr="00A23740">
              <w:rPr>
                <w:szCs w:val="24"/>
              </w:rPr>
              <w:t xml:space="preserve">Tasfiye </w:t>
            </w:r>
            <w:r w:rsidRPr="00A23740">
              <w:rPr>
                <w:b/>
                <w:strike/>
                <w:color w:val="FF0000"/>
                <w:szCs w:val="24"/>
              </w:rPr>
              <w:t>adi</w:t>
            </w:r>
            <w:r w:rsidRPr="00A23740">
              <w:rPr>
                <w:szCs w:val="24"/>
              </w:rPr>
              <w:t xml:space="preserve"> şekilde yapılacak ise</w:t>
            </w:r>
            <w:r w:rsidRPr="00A23740">
              <w:rPr>
                <w:rStyle w:val="KIRMIZIChar"/>
                <w:rFonts w:eastAsia="Calibri"/>
              </w:rPr>
              <w:t>,</w:t>
            </w:r>
            <w:r w:rsidRPr="00A23740">
              <w:rPr>
                <w:szCs w:val="24"/>
              </w:rPr>
              <w:t xml:space="preserve"> iflas dairesi 208 inci maddeye göre vereceği karar </w:t>
            </w:r>
            <w:r w:rsidRPr="00A23740">
              <w:rPr>
                <w:b/>
                <w:strike/>
                <w:color w:val="FF0000"/>
                <w:szCs w:val="24"/>
              </w:rPr>
              <w:t>tarihinden itibaren en geç on gün içerisinde keyfiyeti</w:t>
            </w:r>
            <w:r w:rsidRPr="00A23740">
              <w:rPr>
                <w:szCs w:val="24"/>
              </w:rPr>
              <w:t xml:space="preserve"> 166 ncı maddenin ikinci fıkrasındaki usulle ilan eder. Bu maddedeki sürelerin hesabında son ilan tarihi esas alınır.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İlanda:</w:t>
            </w:r>
          </w:p>
          <w:p w:rsidR="00AA5C8C" w:rsidRPr="00A23740" w:rsidRDefault="00AA5C8C" w:rsidP="009431FF">
            <w:pPr>
              <w:tabs>
                <w:tab w:val="left" w:pos="567"/>
              </w:tabs>
              <w:rPr>
                <w:b/>
                <w:strike/>
                <w:color w:val="FF0000"/>
                <w:szCs w:val="24"/>
              </w:rPr>
            </w:pPr>
            <w:r w:rsidRPr="00A23740">
              <w:rPr>
                <w:b/>
                <w:strike/>
                <w:color w:val="FF0000"/>
                <w:szCs w:val="24"/>
              </w:rPr>
              <w:t>1 –</w:t>
            </w:r>
            <w:r w:rsidRPr="00A23740">
              <w:rPr>
                <w:szCs w:val="24"/>
              </w:rPr>
              <w:t xml:space="preserve"> Müflisin </w:t>
            </w:r>
            <w:r w:rsidRPr="00A23740">
              <w:rPr>
                <w:b/>
                <w:strike/>
                <w:color w:val="FF0000"/>
                <w:szCs w:val="24"/>
              </w:rPr>
              <w:t>hüviyeti</w:t>
            </w:r>
            <w:r w:rsidRPr="00A23740">
              <w:rPr>
                <w:szCs w:val="24"/>
              </w:rPr>
              <w:t>, yerleşim yeri ve iflasın açıldığı tarih</w:t>
            </w:r>
            <w:r w:rsidRPr="00A23740">
              <w:rPr>
                <w:b/>
                <w:strike/>
                <w:color w:val="FF0000"/>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2 –</w:t>
            </w:r>
            <w:r w:rsidRPr="00A23740">
              <w:rPr>
                <w:szCs w:val="24"/>
              </w:rPr>
              <w:t xml:space="preserve"> Alacaklılara ve istihkak iddiasında bulunanlara alacaklarını </w:t>
            </w:r>
            <w:r w:rsidRPr="00A23740">
              <w:rPr>
                <w:b/>
                <w:strike/>
                <w:color w:val="FF0000"/>
                <w:szCs w:val="24"/>
              </w:rPr>
              <w:t>ve istihkaklarını</w:t>
            </w:r>
            <w:r w:rsidRPr="00A23740">
              <w:rPr>
                <w:szCs w:val="24"/>
              </w:rPr>
              <w:t xml:space="preserve"> ilandan bir ay içinde kaydettirmeleri ve </w:t>
            </w:r>
            <w:r w:rsidRPr="00A23740">
              <w:rPr>
                <w:b/>
                <w:strike/>
                <w:color w:val="FF0000"/>
                <w:szCs w:val="24"/>
              </w:rPr>
              <w:t>delillerinin (senetler ve defterler hulasaları v.s.) asıl veya musaddak</w:t>
            </w:r>
            <w:r w:rsidRPr="00A23740">
              <w:rPr>
                <w:szCs w:val="24"/>
              </w:rPr>
              <w:t xml:space="preserve"> </w:t>
            </w:r>
            <w:r w:rsidRPr="00A23740">
              <w:rPr>
                <w:b/>
                <w:strike/>
                <w:color w:val="FF0000"/>
                <w:szCs w:val="24"/>
              </w:rPr>
              <w:t>suretlerini tevdi eylemeleri, (pek uzak yerlerde veya yabancı memleketlerde ikamet eden alacaklılar için müddet uzatılabilir.)</w:t>
            </w:r>
          </w:p>
          <w:p w:rsidR="00AA5C8C" w:rsidRPr="00A23740" w:rsidRDefault="00AA5C8C" w:rsidP="009431FF">
            <w:pPr>
              <w:tabs>
                <w:tab w:val="left" w:pos="567"/>
              </w:tabs>
              <w:rPr>
                <w:b/>
                <w:strike/>
                <w:color w:val="FF0000"/>
                <w:szCs w:val="24"/>
              </w:rPr>
            </w:pPr>
            <w:r w:rsidRPr="00A23740">
              <w:rPr>
                <w:b/>
                <w:strike/>
                <w:color w:val="FF0000"/>
                <w:szCs w:val="24"/>
              </w:rPr>
              <w:t xml:space="preserve">3 – Hilafına haraket cezai mes'uliyeti müstelzim olmak üzere müflisin borçlularının aynı müddet içinde kendilerini ve borçlarını bildirmeleri; </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szCs w:val="24"/>
              </w:rPr>
            </w:pPr>
            <w:r w:rsidRPr="00A23740">
              <w:rPr>
                <w:b/>
                <w:strike/>
                <w:color w:val="FF0000"/>
                <w:szCs w:val="24"/>
              </w:rPr>
              <w:t>4 –</w:t>
            </w:r>
            <w:r w:rsidRPr="00A23740">
              <w:rPr>
                <w:szCs w:val="24"/>
              </w:rPr>
              <w:t xml:space="preserve"> Müflisin mallarını her ne sıfatla olursa olsun ellerinde bulunduranların o mallar üzerindeki hakları </w:t>
            </w:r>
            <w:r w:rsidRPr="00A23740">
              <w:rPr>
                <w:b/>
                <w:strike/>
                <w:color w:val="FF0000"/>
                <w:szCs w:val="24"/>
              </w:rPr>
              <w:t>mahfuz</w:t>
            </w:r>
            <w:r w:rsidRPr="00A23740">
              <w:rPr>
                <w:szCs w:val="24"/>
              </w:rPr>
              <w:t xml:space="preserve"> kalmak şartiyle bunları aynı </w:t>
            </w:r>
            <w:r w:rsidRPr="00A23740">
              <w:rPr>
                <w:b/>
                <w:strike/>
                <w:color w:val="FF0000"/>
                <w:szCs w:val="24"/>
              </w:rPr>
              <w:t>müddet</w:t>
            </w:r>
            <w:r w:rsidRPr="00A23740">
              <w:rPr>
                <w:szCs w:val="24"/>
              </w:rPr>
              <w:t xml:space="preserve"> içinde daire emrine </w:t>
            </w:r>
            <w:r w:rsidRPr="00A23740">
              <w:rPr>
                <w:b/>
                <w:strike/>
                <w:color w:val="FF0000"/>
                <w:szCs w:val="24"/>
              </w:rPr>
              <w:t>tevdi etmeleri ve etmezlerse makbul mazeretleri bulunmadıkça cezai mes'uliyete uğrayacakları</w:t>
            </w:r>
            <w:r w:rsidRPr="00A23740">
              <w:rPr>
                <w:szCs w:val="24"/>
              </w:rPr>
              <w:t xml:space="preserve"> ve rüçhan haklarından mahrum kalacakları</w:t>
            </w:r>
            <w:r w:rsidRPr="00A23740">
              <w:rPr>
                <w:b/>
                <w:strike/>
                <w:color w:val="FF0000"/>
                <w:szCs w:val="24"/>
              </w:rPr>
              <w:t>;</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szCs w:val="24"/>
              </w:rPr>
            </w:pPr>
            <w:r w:rsidRPr="00A23740">
              <w:rPr>
                <w:b/>
                <w:strike/>
                <w:color w:val="FF0000"/>
                <w:szCs w:val="24"/>
              </w:rPr>
              <w:t xml:space="preserve">5 </w:t>
            </w:r>
            <w:r w:rsidRPr="00A23740">
              <w:rPr>
                <w:rStyle w:val="KIRMIZIChar"/>
                <w:rFonts w:eastAsia="Calibri"/>
              </w:rPr>
              <w:t>– İlandan nihayet on gün içinde toplanmak üzere alacaklıların ilk içtimaa gelmeleri ve müflis ile müşterek borçlu olanlar ve kefillerinin ve borcu tekeffül eden sair kimselerin toplanmada bulunmağa hakları olduğu yazılır.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 xml:space="preserve">(3) </w:t>
            </w:r>
            <w:r w:rsidRPr="00A23740">
              <w:rPr>
                <w:szCs w:val="24"/>
              </w:rPr>
              <w:t>İlanın bir sureti adresi belli olan alacaklılara posta ile gönderilir.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szCs w:val="24"/>
              </w:rPr>
            </w:pPr>
            <w:r w:rsidRPr="00A23740">
              <w:rPr>
                <w:b/>
                <w:color w:val="0000FF"/>
                <w:szCs w:val="24"/>
              </w:rPr>
              <w:t>Olağan</w:t>
            </w:r>
            <w:r w:rsidRPr="00A23740">
              <w:rPr>
                <w:szCs w:val="24"/>
              </w:rPr>
              <w:t xml:space="preserve"> </w:t>
            </w:r>
            <w:r w:rsidRPr="00A23740">
              <w:rPr>
                <w:b/>
                <w:szCs w:val="24"/>
              </w:rPr>
              <w:t>tasfiye</w:t>
            </w:r>
            <w:r w:rsidRPr="00A23740">
              <w:rPr>
                <w:szCs w:val="24"/>
              </w:rPr>
              <w:t xml:space="preserve"> </w:t>
            </w:r>
          </w:p>
          <w:p w:rsidR="00AA5C8C" w:rsidRPr="00A23740" w:rsidRDefault="00BB2129" w:rsidP="009431FF">
            <w:pPr>
              <w:tabs>
                <w:tab w:val="left" w:pos="567"/>
              </w:tabs>
              <w:rPr>
                <w:szCs w:val="24"/>
              </w:rPr>
            </w:pPr>
            <w:r w:rsidRPr="00A23740">
              <w:rPr>
                <w:rStyle w:val="MAVChar"/>
                <w:rFonts w:eastAsia="Calibri"/>
                <w:u w:val="none"/>
                <w:lang w:eastAsia="x-none"/>
              </w:rPr>
              <w:t>MADDE 330</w:t>
            </w:r>
            <w:r w:rsidR="00AA5C8C" w:rsidRPr="00A23740">
              <w:rPr>
                <w:rStyle w:val="MAVChar"/>
                <w:rFonts w:eastAsia="Calibri"/>
                <w:u w:val="none"/>
                <w:lang w:eastAsia="x-none"/>
              </w:rPr>
              <w:t>- (1)</w:t>
            </w:r>
            <w:r w:rsidR="00AA5C8C" w:rsidRPr="00A23740">
              <w:rPr>
                <w:b/>
                <w:szCs w:val="24"/>
              </w:rPr>
              <w:t xml:space="preserve"> </w:t>
            </w:r>
            <w:r w:rsidR="00AA5C8C" w:rsidRPr="00A23740">
              <w:rPr>
                <w:szCs w:val="24"/>
              </w:rPr>
              <w:t xml:space="preserve">Tasfiye </w:t>
            </w:r>
            <w:r w:rsidR="00AA5C8C" w:rsidRPr="00A23740">
              <w:rPr>
                <w:rStyle w:val="MAVChar"/>
                <w:rFonts w:eastAsia="Calibri"/>
                <w:u w:val="none"/>
                <w:lang w:eastAsia="x-none"/>
              </w:rPr>
              <w:t>olağan</w:t>
            </w:r>
            <w:r w:rsidR="00AA5C8C" w:rsidRPr="00A23740">
              <w:rPr>
                <w:szCs w:val="24"/>
              </w:rPr>
              <w:t xml:space="preserve"> şekilde yapılacak</w:t>
            </w:r>
            <w:r w:rsidR="00233F24" w:rsidRPr="00F75759">
              <w:rPr>
                <w:rStyle w:val="MaviChar"/>
              </w:rPr>
              <w:t>sa</w:t>
            </w:r>
            <w:r w:rsidR="00AA5C8C" w:rsidRPr="00A23740">
              <w:rPr>
                <w:szCs w:val="24"/>
              </w:rPr>
              <w:t xml:space="preserve"> iflas dairesi</w:t>
            </w:r>
            <w:r w:rsidR="00AA5C8C" w:rsidRPr="00A23740">
              <w:rPr>
                <w:rStyle w:val="MaviChar"/>
              </w:rPr>
              <w:t>,</w:t>
            </w:r>
            <w:r w:rsidR="00892799">
              <w:rPr>
                <w:szCs w:val="24"/>
              </w:rPr>
              <w:t xml:space="preserve"> </w:t>
            </w:r>
            <w:r w:rsidR="00AA5C8C" w:rsidRPr="00A23740">
              <w:rPr>
                <w:szCs w:val="24"/>
              </w:rPr>
              <w:t>maddeye göre vereceği karar</w:t>
            </w:r>
            <w:r w:rsidR="00AA5C8C" w:rsidRPr="00A23740">
              <w:rPr>
                <w:b/>
                <w:color w:val="0000FF"/>
                <w:szCs w:val="24"/>
              </w:rPr>
              <w:t>ı derh</w:t>
            </w:r>
            <w:r w:rsidR="00DF22A1" w:rsidRPr="00A23740">
              <w:rPr>
                <w:b/>
                <w:color w:val="0000FF"/>
                <w:szCs w:val="24"/>
              </w:rPr>
              <w:t>â</w:t>
            </w:r>
            <w:r w:rsidR="00AA5C8C" w:rsidRPr="00A23740">
              <w:rPr>
                <w:b/>
                <w:color w:val="0000FF"/>
                <w:szCs w:val="24"/>
              </w:rPr>
              <w:t>l</w:t>
            </w:r>
            <w:r w:rsidR="002466AD" w:rsidRPr="00A23740">
              <w:rPr>
                <w:b/>
                <w:color w:val="0000FF"/>
                <w:szCs w:val="24"/>
              </w:rPr>
              <w:t xml:space="preserve"> </w:t>
            </w:r>
            <w:r w:rsidR="002466AD" w:rsidRPr="00F75759">
              <w:rPr>
                <w:rStyle w:val="MaviChar"/>
              </w:rPr>
              <w:t>319 uncu</w:t>
            </w:r>
            <w:r w:rsidR="00AA5C8C" w:rsidRPr="00F75759">
              <w:rPr>
                <w:rStyle w:val="MaviChar"/>
              </w:rPr>
              <w:t xml:space="preserve"> </w:t>
            </w:r>
            <w:r w:rsidR="002466AD" w:rsidRPr="00F75759">
              <w:rPr>
                <w:rStyle w:val="MaviChar"/>
              </w:rPr>
              <w:t xml:space="preserve">283 üncü </w:t>
            </w:r>
            <w:r w:rsidR="00AA5C8C" w:rsidRPr="00A23740">
              <w:rPr>
                <w:szCs w:val="24"/>
              </w:rPr>
              <w:t>maddenin ikinci fıkrasındaki usulle ilan eder. Bu maddedeki sürelerin hesabında son ilan tarihi esas alınır.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İlanda </w:t>
            </w:r>
            <w:r w:rsidRPr="00A23740">
              <w:rPr>
                <w:b/>
                <w:color w:val="0000FF"/>
                <w:szCs w:val="24"/>
              </w:rPr>
              <w:t>aşağıdaki hususlar yer alır</w:t>
            </w:r>
            <w:r w:rsidRPr="00A23740">
              <w:rPr>
                <w:szCs w:val="24"/>
              </w:rPr>
              <w:t>:</w:t>
            </w:r>
          </w:p>
          <w:p w:rsidR="00AA5C8C" w:rsidRPr="00A23740" w:rsidRDefault="00AA5C8C" w:rsidP="009431FF">
            <w:pPr>
              <w:tabs>
                <w:tab w:val="left" w:pos="567"/>
              </w:tabs>
              <w:rPr>
                <w:rStyle w:val="MaviChar"/>
                <w:lang w:val="tr-TR"/>
              </w:rPr>
            </w:pPr>
            <w:r w:rsidRPr="00A23740">
              <w:rPr>
                <w:b/>
                <w:color w:val="0000FF"/>
                <w:szCs w:val="24"/>
              </w:rPr>
              <w:t>a)</w:t>
            </w:r>
            <w:r w:rsidRPr="00A23740">
              <w:rPr>
                <w:szCs w:val="24"/>
              </w:rPr>
              <w:t xml:space="preserve"> Müflisin </w:t>
            </w:r>
            <w:r w:rsidRPr="00A23740">
              <w:rPr>
                <w:b/>
                <w:color w:val="0000FF"/>
                <w:szCs w:val="24"/>
              </w:rPr>
              <w:t>kimliği</w:t>
            </w:r>
            <w:r w:rsidRPr="00A23740">
              <w:rPr>
                <w:szCs w:val="24"/>
              </w:rPr>
              <w:t>, yerleşim yeri ve iflasın açıldığı tarih</w:t>
            </w:r>
            <w:r w:rsidRPr="00A23740">
              <w:rPr>
                <w:rStyle w:val="MaviChar"/>
                <w:lang w:val="tr-TR"/>
              </w:rPr>
              <w:t>.</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b)</w:t>
            </w:r>
            <w:r w:rsidRPr="00A23740">
              <w:rPr>
                <w:szCs w:val="24"/>
              </w:rPr>
              <w:t xml:space="preserve"> Alacaklılara ve istihkak iddiasında bulunanlara</w:t>
            </w:r>
            <w:r w:rsidRPr="00A23740">
              <w:rPr>
                <w:rStyle w:val="MAVChar"/>
                <w:rFonts w:eastAsia="Calibri"/>
                <w:u w:val="none"/>
              </w:rPr>
              <w:t>,</w:t>
            </w:r>
            <w:r w:rsidRPr="00A23740">
              <w:rPr>
                <w:szCs w:val="24"/>
              </w:rPr>
              <w:t xml:space="preserve"> </w:t>
            </w:r>
            <w:r w:rsidRPr="00A23740">
              <w:rPr>
                <w:b/>
                <w:color w:val="0000FF"/>
                <w:szCs w:val="24"/>
              </w:rPr>
              <w:t xml:space="preserve">alacak taleplerini ve istihkak iddialarını </w:t>
            </w:r>
            <w:r w:rsidRPr="00A23740">
              <w:rPr>
                <w:szCs w:val="24"/>
              </w:rPr>
              <w:t xml:space="preserve">ilandan </w:t>
            </w:r>
            <w:r w:rsidRPr="00A23740">
              <w:rPr>
                <w:b/>
                <w:color w:val="0000FF"/>
                <w:szCs w:val="24"/>
              </w:rPr>
              <w:t>itibaren</w:t>
            </w:r>
            <w:r w:rsidRPr="00A23740">
              <w:rPr>
                <w:szCs w:val="24"/>
              </w:rPr>
              <w:t xml:space="preserve"> bir ay içinde kaydettirmeleri ve </w:t>
            </w:r>
            <w:r w:rsidRPr="00A23740">
              <w:rPr>
                <w:b/>
                <w:color w:val="0000FF"/>
                <w:szCs w:val="24"/>
              </w:rPr>
              <w:t>bunlara ilişkin delillerini sunmaları.</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c) Müflise borçlu olanların aynı süre içinde borçlarını bildirmeleri</w:t>
            </w:r>
            <w:r w:rsidRPr="00A23740">
              <w:rPr>
                <w:rStyle w:val="MaviChar"/>
              </w:rPr>
              <w:t>,</w:t>
            </w:r>
            <w:r w:rsidRPr="00A23740">
              <w:rPr>
                <w:b/>
                <w:color w:val="0000FF"/>
                <w:szCs w:val="24"/>
              </w:rPr>
              <w:t xml:space="preserve"> aksi takdirde</w:t>
            </w:r>
            <w:r w:rsidR="002466AD" w:rsidRPr="00A23740">
              <w:rPr>
                <w:b/>
                <w:color w:val="0000FF"/>
                <w:szCs w:val="24"/>
              </w:rPr>
              <w:t xml:space="preserve"> </w:t>
            </w:r>
            <w:r w:rsidR="002466AD" w:rsidRPr="00F75759">
              <w:rPr>
                <w:rStyle w:val="MaviChar"/>
              </w:rPr>
              <w:t>516 ncı</w:t>
            </w:r>
            <w:r w:rsidRPr="00A23740">
              <w:rPr>
                <w:b/>
                <w:color w:val="0000FF"/>
                <w:szCs w:val="24"/>
              </w:rPr>
              <w:t xml:space="preserve"> madde</w:t>
            </w:r>
            <w:r w:rsidR="00346FD0" w:rsidRPr="00A23740">
              <w:rPr>
                <w:b/>
                <w:color w:val="0000FF"/>
                <w:szCs w:val="24"/>
              </w:rPr>
              <w:t xml:space="preserve"> gereğince</w:t>
            </w:r>
            <w:r w:rsidRPr="00A23740">
              <w:rPr>
                <w:b/>
                <w:color w:val="0000FF"/>
                <w:szCs w:val="24"/>
              </w:rPr>
              <w:t xml:space="preserve"> </w:t>
            </w:r>
            <w:r w:rsidR="00346FD0" w:rsidRPr="00A23740">
              <w:rPr>
                <w:b/>
                <w:color w:val="0000FF"/>
                <w:szCs w:val="24"/>
              </w:rPr>
              <w:t xml:space="preserve">tazyik </w:t>
            </w:r>
            <w:r w:rsidR="001647D1" w:rsidRPr="00F75759">
              <w:rPr>
                <w:b/>
                <w:color w:val="0000FF"/>
              </w:rPr>
              <w:t>hapsiyle</w:t>
            </w:r>
            <w:r w:rsidR="00346FD0" w:rsidRPr="00F75759">
              <w:rPr>
                <w:b/>
                <w:color w:val="0000FF"/>
                <w:szCs w:val="24"/>
              </w:rPr>
              <w:t xml:space="preserve"> </w:t>
            </w:r>
            <w:r w:rsidRPr="00A23740">
              <w:rPr>
                <w:b/>
                <w:color w:val="0000FF"/>
                <w:szCs w:val="24"/>
              </w:rPr>
              <w:t>cezalandırılacakları.</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rStyle w:val="MaviChar"/>
                <w:lang w:val="tr-TR"/>
              </w:rPr>
            </w:pPr>
            <w:r w:rsidRPr="00A23740">
              <w:rPr>
                <w:b/>
                <w:color w:val="0000FF"/>
                <w:szCs w:val="24"/>
              </w:rPr>
              <w:t>ç)</w:t>
            </w:r>
            <w:r w:rsidRPr="00A23740">
              <w:rPr>
                <w:szCs w:val="24"/>
              </w:rPr>
              <w:t xml:space="preserve"> Müflisin mallarını her ne sıfatla olursa olsun ellerinde bulunduranların o mallar üzerindeki hakları </w:t>
            </w:r>
            <w:r w:rsidRPr="00A23740">
              <w:rPr>
                <w:b/>
                <w:color w:val="0000FF"/>
                <w:szCs w:val="24"/>
              </w:rPr>
              <w:t>saklı</w:t>
            </w:r>
            <w:r w:rsidRPr="00A23740">
              <w:rPr>
                <w:szCs w:val="24"/>
              </w:rPr>
              <w:t xml:space="preserve"> kalmak şartıyla bunları aynı </w:t>
            </w:r>
            <w:r w:rsidRPr="00A23740">
              <w:rPr>
                <w:b/>
                <w:color w:val="0000FF"/>
                <w:szCs w:val="24"/>
              </w:rPr>
              <w:t>süre</w:t>
            </w:r>
            <w:r w:rsidRPr="00A23740">
              <w:rPr>
                <w:szCs w:val="24"/>
              </w:rPr>
              <w:t xml:space="preserve"> içinde</w:t>
            </w:r>
            <w:r w:rsidR="00233F24" w:rsidRPr="00A23740">
              <w:rPr>
                <w:szCs w:val="24"/>
              </w:rPr>
              <w:t xml:space="preserve"> </w:t>
            </w:r>
            <w:r w:rsidR="00233F24" w:rsidRPr="00F75759">
              <w:rPr>
                <w:rStyle w:val="MaviChar"/>
              </w:rPr>
              <w:t>iflas</w:t>
            </w:r>
            <w:r w:rsidRPr="00A23740">
              <w:rPr>
                <w:szCs w:val="24"/>
              </w:rPr>
              <w:t xml:space="preserve"> daire</w:t>
            </w:r>
            <w:r w:rsidR="00233F24" w:rsidRPr="00F75759">
              <w:rPr>
                <w:rStyle w:val="MaviChar"/>
              </w:rPr>
              <w:t>si</w:t>
            </w:r>
            <w:r w:rsidRPr="00A23740">
              <w:rPr>
                <w:szCs w:val="24"/>
              </w:rPr>
              <w:t xml:space="preserve"> emrine </w:t>
            </w:r>
            <w:r w:rsidRPr="00A23740">
              <w:rPr>
                <w:rStyle w:val="Stil2Char"/>
                <w:rFonts w:eastAsia="Calibri"/>
                <w:u w:val="none"/>
              </w:rPr>
              <w:t>teslim etmeleri veya teslim</w:t>
            </w:r>
            <w:r w:rsidRPr="00A23740">
              <w:rPr>
                <w:b/>
                <w:color w:val="0000FF"/>
                <w:szCs w:val="24"/>
              </w:rPr>
              <w:t xml:space="preserve"> etmeye hazır bulunduklarını bildirmeleri</w:t>
            </w:r>
            <w:r w:rsidRPr="00A23740">
              <w:rPr>
                <w:rStyle w:val="MaviChar"/>
              </w:rPr>
              <w:t>;</w:t>
            </w:r>
            <w:r w:rsidRPr="00A23740">
              <w:rPr>
                <w:b/>
                <w:color w:val="0000FF"/>
                <w:szCs w:val="24"/>
              </w:rPr>
              <w:t xml:space="preserve"> geçerli mazereti bulunmaksızın bildirmedikleri </w:t>
            </w:r>
            <w:r w:rsidRPr="00A23740">
              <w:rPr>
                <w:rStyle w:val="Stil2Char"/>
                <w:rFonts w:eastAsia="Calibri"/>
                <w:u w:val="none"/>
              </w:rPr>
              <w:t xml:space="preserve">takdirde </w:t>
            </w:r>
            <w:r w:rsidR="002466AD" w:rsidRPr="00F75759">
              <w:rPr>
                <w:rStyle w:val="MaviChar"/>
              </w:rPr>
              <w:t>516 ncı</w:t>
            </w:r>
            <w:r w:rsidR="002466AD" w:rsidRPr="00A23740">
              <w:rPr>
                <w:b/>
                <w:color w:val="0000FF"/>
                <w:szCs w:val="24"/>
              </w:rPr>
              <w:t xml:space="preserve"> </w:t>
            </w:r>
            <w:r w:rsidR="00346FD0" w:rsidRPr="00A23740">
              <w:rPr>
                <w:b/>
                <w:color w:val="0000FF"/>
                <w:szCs w:val="24"/>
              </w:rPr>
              <w:t xml:space="preserve">madde gereğince tazyik </w:t>
            </w:r>
            <w:r w:rsidR="001647D1" w:rsidRPr="00F75759">
              <w:rPr>
                <w:rStyle w:val="MaviChar"/>
              </w:rPr>
              <w:t>hapsiyle</w:t>
            </w:r>
            <w:r w:rsidR="00346FD0" w:rsidRPr="00A23740">
              <w:rPr>
                <w:b/>
                <w:color w:val="0000FF"/>
                <w:szCs w:val="24"/>
              </w:rPr>
              <w:t xml:space="preserve"> </w:t>
            </w:r>
            <w:r w:rsidRPr="00A23740">
              <w:rPr>
                <w:rStyle w:val="Stil2Char"/>
                <w:rFonts w:eastAsia="Calibri"/>
                <w:u w:val="none"/>
              </w:rPr>
              <w:t>cezalandırıla</w:t>
            </w:r>
            <w:r w:rsidRPr="00A23740">
              <w:rPr>
                <w:rStyle w:val="MaviChar"/>
              </w:rPr>
              <w:t xml:space="preserve">cakları </w:t>
            </w:r>
            <w:r w:rsidRPr="00A23740">
              <w:rPr>
                <w:szCs w:val="24"/>
              </w:rPr>
              <w:t>ve rüçhan haklarından mahrum</w:t>
            </w:r>
            <w:r w:rsidRPr="00A23740">
              <w:rPr>
                <w:b/>
                <w:bCs/>
              </w:rPr>
              <w:t xml:space="preserve"> </w:t>
            </w:r>
            <w:r w:rsidRPr="00A23740">
              <w:rPr>
                <w:szCs w:val="24"/>
              </w:rPr>
              <w:t>kalacakları</w:t>
            </w:r>
            <w:r w:rsidRPr="00A23740">
              <w:rPr>
                <w:rStyle w:val="MaviChar"/>
              </w:rPr>
              <w:t>.</w:t>
            </w:r>
            <w:r w:rsidR="00346FD0" w:rsidRPr="00A23740">
              <w:rPr>
                <w:rStyle w:val="MaviChar"/>
                <w:lang w:val="tr-TR"/>
              </w:rPr>
              <w:t xml:space="preserve"> </w:t>
            </w:r>
          </w:p>
          <w:p w:rsidR="0052220F" w:rsidRPr="00A23740" w:rsidRDefault="0052220F" w:rsidP="009431FF">
            <w:pPr>
              <w:tabs>
                <w:tab w:val="left" w:pos="567"/>
              </w:tabs>
              <w:rPr>
                <w:b/>
                <w:color w:val="0000FF"/>
                <w:szCs w:val="24"/>
              </w:rPr>
            </w:pPr>
          </w:p>
          <w:p w:rsidR="0052220F" w:rsidRPr="00A23740" w:rsidRDefault="0052220F" w:rsidP="009431FF">
            <w:pPr>
              <w:tabs>
                <w:tab w:val="left" w:pos="567"/>
              </w:tabs>
              <w:rPr>
                <w:szCs w:val="24"/>
              </w:rPr>
            </w:pPr>
            <w:r w:rsidRPr="00A23740">
              <w:rPr>
                <w:b/>
                <w:color w:val="0000FF"/>
                <w:szCs w:val="24"/>
              </w:rPr>
              <w:t xml:space="preserve">d) Alacak bildirimi için öngörülen sürenin sona erdiği tarihten itibaren en geç bir hafta içinde ilanda belirtilen yer ve tarihte birinci alacaklılar </w:t>
            </w:r>
            <w:r w:rsidRPr="00A23740">
              <w:rPr>
                <w:rStyle w:val="MaviChar"/>
              </w:rPr>
              <w:t>toplantısının</w:t>
            </w:r>
            <w:r w:rsidRPr="00A23740">
              <w:rPr>
                <w:b/>
                <w:color w:val="0000FF"/>
                <w:szCs w:val="24"/>
              </w:rPr>
              <w:t xml:space="preserve"> yapılacağı, alacaklıların bu toplantıya gelmeleri ve borçtan müflisle </w:t>
            </w:r>
            <w:r w:rsidRPr="00A23740">
              <w:rPr>
                <w:rStyle w:val="MaviChar"/>
              </w:rPr>
              <w:t>birlikte sorumlu olan kimselerin</w:t>
            </w:r>
            <w:r w:rsidRPr="00A23740">
              <w:rPr>
                <w:b/>
                <w:color w:val="0000FF"/>
                <w:szCs w:val="24"/>
              </w:rPr>
              <w:t xml:space="preserve"> de toplantıya katılabilecekleri.</w:t>
            </w:r>
          </w:p>
          <w:p w:rsidR="0052220F" w:rsidRPr="00A23740" w:rsidRDefault="0052220F" w:rsidP="009431FF">
            <w:pPr>
              <w:tabs>
                <w:tab w:val="left" w:pos="567"/>
              </w:tabs>
              <w:rPr>
                <w:szCs w:val="24"/>
              </w:rPr>
            </w:pPr>
          </w:p>
          <w:p w:rsidR="00AA5C8C" w:rsidRPr="00A23740" w:rsidRDefault="00AA5C8C" w:rsidP="009431FF">
            <w:pPr>
              <w:tabs>
                <w:tab w:val="left" w:pos="567"/>
              </w:tabs>
              <w:rPr>
                <w:rStyle w:val="MaviChar"/>
                <w:lang w:val="tr-TR"/>
              </w:rPr>
            </w:pPr>
            <w:r w:rsidRPr="00A23740">
              <w:rPr>
                <w:b/>
                <w:color w:val="0000FF"/>
                <w:szCs w:val="24"/>
              </w:rPr>
              <w:t xml:space="preserve">e) </w:t>
            </w:r>
            <w:r w:rsidR="0052220F" w:rsidRPr="00A23740">
              <w:rPr>
                <w:b/>
                <w:color w:val="0000FF"/>
                <w:szCs w:val="24"/>
              </w:rPr>
              <w:t xml:space="preserve">Bu madde uyarınca bildirimde bulunacak olan kişi </w:t>
            </w:r>
            <w:r w:rsidRPr="00A23740">
              <w:rPr>
                <w:b/>
                <w:color w:val="0000FF"/>
                <w:szCs w:val="24"/>
              </w:rPr>
              <w:t>yurt dışında ise</w:t>
            </w:r>
            <w:r w:rsidR="0052220F" w:rsidRPr="00A23740">
              <w:rPr>
                <w:b/>
                <w:color w:val="0000FF"/>
                <w:szCs w:val="24"/>
              </w:rPr>
              <w:t>,</w:t>
            </w:r>
            <w:r w:rsidRPr="00A23740">
              <w:rPr>
                <w:b/>
                <w:color w:val="0000FF"/>
                <w:szCs w:val="24"/>
              </w:rPr>
              <w:t xml:space="preserve"> yurt içinde geçerli bir tebligat adresi göstermediği takdirde iflas daires</w:t>
            </w:r>
            <w:r w:rsidRPr="00A23740">
              <w:rPr>
                <w:rStyle w:val="MaviChar"/>
              </w:rPr>
              <w:t>inin</w:t>
            </w:r>
            <w:r w:rsidRPr="00A23740">
              <w:rPr>
                <w:rStyle w:val="MaviChar"/>
                <w:lang w:val="tr-TR"/>
              </w:rPr>
              <w:t xml:space="preserve"> </w:t>
            </w:r>
            <w:r w:rsidRPr="00A23740">
              <w:rPr>
                <w:rStyle w:val="MaviChar"/>
              </w:rPr>
              <w:t>bulunduğu yerin</w:t>
            </w:r>
            <w:r w:rsidRPr="00A23740">
              <w:rPr>
                <w:b/>
                <w:color w:val="0000FF"/>
                <w:szCs w:val="24"/>
              </w:rPr>
              <w:t xml:space="preserve"> </w:t>
            </w:r>
            <w:r w:rsidR="00656012" w:rsidRPr="00A23740">
              <w:rPr>
                <w:b/>
                <w:color w:val="0000FF"/>
                <w:szCs w:val="24"/>
              </w:rPr>
              <w:t xml:space="preserve">bu kişi bakımından </w:t>
            </w:r>
            <w:r w:rsidRPr="00A23740">
              <w:rPr>
                <w:b/>
                <w:color w:val="0000FF"/>
                <w:szCs w:val="24"/>
              </w:rPr>
              <w:t xml:space="preserve">geçerli tebligat adresi olarak kabul </w:t>
            </w:r>
            <w:r w:rsidRPr="00A23740">
              <w:rPr>
                <w:rStyle w:val="MaviChar"/>
              </w:rPr>
              <w:t>edileceği</w:t>
            </w:r>
            <w:r w:rsidRPr="00A23740">
              <w:rPr>
                <w:rStyle w:val="MaviChar"/>
                <w:lang w:val="tr-TR"/>
              </w:rPr>
              <w:t xml:space="preserve">. </w:t>
            </w:r>
          </w:p>
          <w:p w:rsidR="00AA5C8C" w:rsidRPr="00A23740" w:rsidRDefault="00AA5C8C" w:rsidP="009431FF">
            <w:pPr>
              <w:tabs>
                <w:tab w:val="left" w:pos="567"/>
              </w:tabs>
              <w:rPr>
                <w:rStyle w:val="MaviChar"/>
                <w:lang w:val="tr-TR"/>
              </w:rPr>
            </w:pPr>
          </w:p>
          <w:p w:rsidR="00AA5C8C" w:rsidRPr="00A23740" w:rsidRDefault="00AA5C8C" w:rsidP="009431FF">
            <w:pPr>
              <w:tabs>
                <w:tab w:val="left" w:pos="567"/>
              </w:tabs>
              <w:rPr>
                <w:b/>
                <w:color w:val="0000FF"/>
                <w:szCs w:val="24"/>
              </w:rPr>
            </w:pPr>
            <w:r w:rsidRPr="00A23740">
              <w:rPr>
                <w:b/>
                <w:color w:val="0000FF"/>
                <w:szCs w:val="24"/>
              </w:rPr>
              <w:t xml:space="preserve">(3) Yurt dışında olan alacaklılar için ikinci fıkranın (b) bendinde öngörülen süre uzatılabilir. </w:t>
            </w:r>
          </w:p>
          <w:p w:rsidR="00AA5C8C" w:rsidRPr="00A23740" w:rsidRDefault="00AA5C8C" w:rsidP="009431FF">
            <w:pPr>
              <w:tabs>
                <w:tab w:val="left" w:pos="567"/>
              </w:tabs>
              <w:rPr>
                <w:b/>
                <w:color w:val="0000FF"/>
                <w:szCs w:val="24"/>
              </w:rPr>
            </w:pPr>
          </w:p>
          <w:p w:rsidR="00AA5C8C" w:rsidRPr="00A23740" w:rsidRDefault="00AA5C8C" w:rsidP="009431FF">
            <w:pPr>
              <w:pStyle w:val="Stil2"/>
              <w:rPr>
                <w:u w:val="none"/>
                <w:lang w:val="tr-TR"/>
              </w:rPr>
            </w:pPr>
            <w:r w:rsidRPr="00A23740">
              <w:rPr>
                <w:u w:val="none"/>
                <w:lang w:val="tr-TR"/>
              </w:rPr>
              <w:t xml:space="preserve">(4) </w:t>
            </w:r>
            <w:r w:rsidRPr="00A23740">
              <w:rPr>
                <w:rFonts w:eastAsia="Calibri"/>
                <w:b w:val="0"/>
                <w:color w:val="auto"/>
                <w:u w:val="none"/>
                <w:lang w:val="tr-TR" w:eastAsia="en-US"/>
              </w:rPr>
              <w:t>İlanın bir sureti</w:t>
            </w:r>
            <w:r w:rsidRPr="001560F0">
              <w:rPr>
                <w:bCs/>
                <w:u w:val="none"/>
                <w:lang w:val="tr-TR"/>
              </w:rPr>
              <w:t>,</w:t>
            </w:r>
            <w:r w:rsidRPr="00A23740">
              <w:rPr>
                <w:u w:val="none"/>
                <w:lang w:val="tr-TR"/>
              </w:rPr>
              <w:t xml:space="preserve"> </w:t>
            </w:r>
            <w:r w:rsidRPr="00A23740">
              <w:rPr>
                <w:rFonts w:eastAsia="Calibri"/>
                <w:b w:val="0"/>
                <w:color w:val="auto"/>
                <w:u w:val="none"/>
                <w:lang w:val="tr-TR" w:eastAsia="en-US"/>
              </w:rPr>
              <w:t>adresi belli olan alacaklılara posta ile gönderilir.</w:t>
            </w:r>
            <w:r w:rsidRPr="00A23740">
              <w:rPr>
                <w:u w:val="none"/>
                <w:lang w:val="tr-TR"/>
              </w:rPr>
              <w:t xml:space="preserve"> Ancak ilana</w:t>
            </w:r>
            <w:r w:rsidRPr="00A23740">
              <w:rPr>
                <w:b w:val="0"/>
                <w:bCs/>
                <w:u w:val="none"/>
                <w:lang w:val="tr-TR"/>
              </w:rPr>
              <w:t xml:space="preserve"> </w:t>
            </w:r>
            <w:r w:rsidRPr="00A23740">
              <w:rPr>
                <w:u w:val="none"/>
                <w:lang w:val="tr-TR"/>
              </w:rPr>
              <w:t>bağlanan sonuçlar bu durumda uygulanmaz.</w:t>
            </w:r>
          </w:p>
          <w:p w:rsidR="00AA5C8C" w:rsidRPr="00A23740" w:rsidRDefault="00AA5C8C" w:rsidP="009431FF">
            <w:pPr>
              <w:pStyle w:val="Stil2"/>
              <w:rPr>
                <w:u w:val="none"/>
                <w:lang w:val="tr-TR"/>
              </w:rPr>
            </w:pPr>
          </w:p>
          <w:p w:rsidR="00AA5C8C" w:rsidRPr="00A23740" w:rsidRDefault="00AA5C8C" w:rsidP="009431FF">
            <w:pPr>
              <w:pStyle w:val="MAV"/>
              <w:rPr>
                <w:u w:val="none"/>
                <w:lang w:val="tr-TR"/>
              </w:rPr>
            </w:pPr>
            <w:r w:rsidRPr="00A23740">
              <w:rPr>
                <w:u w:val="none"/>
                <w:lang w:val="tr-TR"/>
              </w:rPr>
              <w:t>(5) Geç kalan müracaatlar hakkındaki</w:t>
            </w:r>
            <w:r w:rsidR="002466AD" w:rsidRPr="00A23740">
              <w:rPr>
                <w:u w:val="none"/>
                <w:lang w:val="tr-TR"/>
              </w:rPr>
              <w:t xml:space="preserve"> </w:t>
            </w:r>
            <w:r w:rsidR="002466AD" w:rsidRPr="00F75759">
              <w:rPr>
                <w:bCs w:val="0"/>
                <w:u w:val="none"/>
                <w:lang w:val="tr-TR"/>
              </w:rPr>
              <w:t>351 inci</w:t>
            </w:r>
            <w:r w:rsidRPr="00A23740">
              <w:rPr>
                <w:u w:val="none"/>
                <w:lang w:val="tr-TR"/>
              </w:rPr>
              <w:t xml:space="preserve"> madde hükmü saklıdır.</w:t>
            </w:r>
          </w:p>
          <w:p w:rsidR="00865514" w:rsidRPr="00A23740" w:rsidRDefault="00865514" w:rsidP="009431FF">
            <w:pPr>
              <w:pStyle w:val="MAV"/>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97749B" w:rsidRPr="00A23740" w:rsidRDefault="0097749B" w:rsidP="009431FF">
            <w:pPr>
              <w:tabs>
                <w:tab w:val="left" w:pos="567"/>
              </w:tabs>
              <w:ind w:firstLine="709"/>
              <w:rPr>
                <w:b/>
              </w:rPr>
            </w:pPr>
          </w:p>
          <w:p w:rsidR="00ED4844" w:rsidRPr="00A23740" w:rsidRDefault="00BB2129" w:rsidP="009431FF">
            <w:pPr>
              <w:tabs>
                <w:tab w:val="left" w:pos="567"/>
              </w:tabs>
              <w:ind w:firstLine="709"/>
              <w:rPr>
                <w:b/>
                <w:szCs w:val="24"/>
              </w:rPr>
            </w:pPr>
            <w:r w:rsidRPr="00A23740">
              <w:rPr>
                <w:b/>
              </w:rPr>
              <w:t>MADDE 330</w:t>
            </w:r>
            <w:r w:rsidR="0097749B" w:rsidRPr="00A23740">
              <w:rPr>
                <w:b/>
              </w:rPr>
              <w:t>-</w:t>
            </w:r>
            <w:r w:rsidR="0097749B" w:rsidRPr="00A23740">
              <w:t xml:space="preserve"> Maddeyle, olağan tasfiyeye ilişkin hususlar düzenlenmektedir. Hüküm, 2004 sayılı Kanunun 219 uncu maddesine karşılık gelmektedir. </w:t>
            </w:r>
          </w:p>
          <w:p w:rsidR="00ED4844" w:rsidRPr="00A23740" w:rsidRDefault="00ED4844" w:rsidP="009431FF">
            <w:pPr>
              <w:pStyle w:val="Stil2"/>
              <w:ind w:firstLine="709"/>
              <w:rPr>
                <w:b w:val="0"/>
                <w:bCs/>
                <w:color w:val="auto"/>
                <w:u w:val="none"/>
                <w:lang w:val="tr-TR"/>
              </w:rPr>
            </w:pPr>
            <w:r w:rsidRPr="00A23740">
              <w:rPr>
                <w:b w:val="0"/>
                <w:bCs/>
                <w:color w:val="auto"/>
                <w:u w:val="none"/>
                <w:lang w:val="tr-TR"/>
              </w:rPr>
              <w:t>M</w:t>
            </w:r>
            <w:r w:rsidR="0097749B" w:rsidRPr="00A23740">
              <w:rPr>
                <w:b w:val="0"/>
                <w:bCs/>
                <w:color w:val="auto"/>
                <w:u w:val="none"/>
                <w:lang w:val="tr-TR"/>
              </w:rPr>
              <w:t>addede 2004 sayılı Kanun</w:t>
            </w:r>
            <w:r w:rsidRPr="00A23740">
              <w:rPr>
                <w:b w:val="0"/>
                <w:bCs/>
                <w:color w:val="auto"/>
                <w:u w:val="none"/>
                <w:lang w:val="tr-TR"/>
              </w:rPr>
              <w:t>da adi tasfiye olarak nitelendirilmiş olan olağan tasfiye ve usulü hüküm altına alınm</w:t>
            </w:r>
            <w:r w:rsidR="0097749B" w:rsidRPr="00A23740">
              <w:rPr>
                <w:b w:val="0"/>
                <w:bCs/>
                <w:color w:val="auto"/>
                <w:u w:val="none"/>
                <w:lang w:val="tr-TR"/>
              </w:rPr>
              <w:t xml:space="preserve">aktadır. </w:t>
            </w:r>
          </w:p>
          <w:p w:rsidR="00C20125" w:rsidRPr="00A23740" w:rsidRDefault="00C20125" w:rsidP="009431FF">
            <w:pPr>
              <w:pStyle w:val="Stil2"/>
              <w:ind w:firstLine="709"/>
              <w:rPr>
                <w:b w:val="0"/>
                <w:bCs/>
                <w:color w:val="auto"/>
                <w:u w:val="none"/>
                <w:lang w:val="tr-TR"/>
              </w:rPr>
            </w:pPr>
            <w:r w:rsidRPr="00A23740">
              <w:rPr>
                <w:b w:val="0"/>
                <w:bCs/>
                <w:color w:val="auto"/>
                <w:u w:val="none"/>
                <w:lang w:val="tr-TR"/>
              </w:rPr>
              <w:t>Birinci fıkrada iflas dairesinin olağan tasfiyeye ilişkin ilanı ve bu ilanın hukuki sonuçları düzenlenmiştir.</w:t>
            </w:r>
          </w:p>
          <w:p w:rsidR="00ED4844" w:rsidRPr="00A23740" w:rsidRDefault="00ED4844" w:rsidP="009431FF">
            <w:pPr>
              <w:pStyle w:val="Stil2"/>
              <w:ind w:firstLine="709"/>
              <w:rPr>
                <w:b w:val="0"/>
                <w:bCs/>
                <w:color w:val="auto"/>
                <w:u w:val="none"/>
                <w:lang w:val="tr-TR"/>
              </w:rPr>
            </w:pPr>
            <w:r w:rsidRPr="00A23740">
              <w:rPr>
                <w:b w:val="0"/>
                <w:bCs/>
                <w:color w:val="auto"/>
                <w:u w:val="none"/>
                <w:lang w:val="tr-TR"/>
              </w:rPr>
              <w:t xml:space="preserve">İkinci fıkrada ilanda yer alacak hususlara yer verilmiştir. Burada 2004 sayılı </w:t>
            </w:r>
            <w:r w:rsidR="00656012" w:rsidRPr="00F75759">
              <w:rPr>
                <w:b w:val="0"/>
                <w:color w:val="auto"/>
                <w:u w:val="none"/>
                <w:lang w:val="tr-TR"/>
              </w:rPr>
              <w:t>K</w:t>
            </w:r>
            <w:r w:rsidRPr="00F75759">
              <w:rPr>
                <w:b w:val="0"/>
                <w:bCs/>
                <w:color w:val="auto"/>
                <w:u w:val="none"/>
                <w:lang w:val="tr-TR"/>
              </w:rPr>
              <w:t>a</w:t>
            </w:r>
            <w:r w:rsidRPr="00A23740">
              <w:rPr>
                <w:b w:val="0"/>
                <w:bCs/>
                <w:color w:val="auto"/>
                <w:u w:val="none"/>
                <w:lang w:val="tr-TR"/>
              </w:rPr>
              <w:t>nun kapsamındaki bir sorunun ortadan kaldırılması amaçlanmıştır. Bu meyanda, 2004 sayılı Kanunun 219 uncu maddesinin beşinci fıkrası</w:t>
            </w:r>
            <w:r w:rsidR="00C20125" w:rsidRPr="00A23740">
              <w:rPr>
                <w:b w:val="0"/>
                <w:bCs/>
                <w:color w:val="auto"/>
                <w:u w:val="none"/>
                <w:lang w:val="tr-TR"/>
              </w:rPr>
              <w:t>na göre</w:t>
            </w:r>
            <w:r w:rsidRPr="00A23740">
              <w:rPr>
                <w:b w:val="0"/>
                <w:bCs/>
                <w:color w:val="auto"/>
                <w:u w:val="none"/>
                <w:lang w:val="tr-TR"/>
              </w:rPr>
              <w:t xml:space="preserve"> alacaklılar toplantısının ilandan itibaren on gün içinde yapılması</w:t>
            </w:r>
            <w:r w:rsidR="00C20125" w:rsidRPr="00A23740">
              <w:rPr>
                <w:b w:val="0"/>
                <w:bCs/>
                <w:color w:val="auto"/>
                <w:u w:val="none"/>
                <w:lang w:val="tr-TR"/>
              </w:rPr>
              <w:t>,</w:t>
            </w:r>
            <w:r w:rsidRPr="00A23740">
              <w:rPr>
                <w:b w:val="0"/>
                <w:bCs/>
                <w:color w:val="auto"/>
                <w:u w:val="none"/>
                <w:lang w:val="tr-TR"/>
              </w:rPr>
              <w:t xml:space="preserve"> buna karşılık alacak bildiriminin ilandan itibaren bir ay içinde gerçekleştiriliyor olması nedeniyle, birinci alacaklılar toplantısına bildirim süresi içerisinde alacağını yazdırabilecek tüm alacaklıların katılmasına imk</w:t>
            </w:r>
            <w:r w:rsidR="00BE53A8" w:rsidRPr="00A23740">
              <w:rPr>
                <w:b w:val="0"/>
                <w:bCs/>
                <w:color w:val="auto"/>
                <w:u w:val="none"/>
                <w:lang w:val="tr-TR"/>
              </w:rPr>
              <w:t>â</w:t>
            </w:r>
            <w:r w:rsidRPr="00A23740">
              <w:rPr>
                <w:b w:val="0"/>
                <w:bCs/>
                <w:color w:val="auto"/>
                <w:u w:val="none"/>
                <w:lang w:val="tr-TR"/>
              </w:rPr>
              <w:t>n ver</w:t>
            </w:r>
            <w:r w:rsidR="00C20125" w:rsidRPr="00A23740">
              <w:rPr>
                <w:b w:val="0"/>
                <w:bCs/>
                <w:color w:val="auto"/>
                <w:u w:val="none"/>
                <w:lang w:val="tr-TR"/>
              </w:rPr>
              <w:t>il</w:t>
            </w:r>
            <w:r w:rsidRPr="00A23740">
              <w:rPr>
                <w:b w:val="0"/>
                <w:bCs/>
                <w:color w:val="auto"/>
                <w:u w:val="none"/>
                <w:lang w:val="tr-TR"/>
              </w:rPr>
              <w:t xml:space="preserve">mediği için sadece ilk on günlük sürede alacak bildiren alacaklılar </w:t>
            </w:r>
            <w:r w:rsidR="00C20125" w:rsidRPr="00A23740">
              <w:rPr>
                <w:b w:val="0"/>
                <w:bCs/>
                <w:color w:val="auto"/>
                <w:u w:val="none"/>
                <w:lang w:val="tr-TR"/>
              </w:rPr>
              <w:t xml:space="preserve">toplantıya </w:t>
            </w:r>
            <w:r w:rsidRPr="00A23740">
              <w:rPr>
                <w:b w:val="0"/>
                <w:bCs/>
                <w:color w:val="auto"/>
                <w:u w:val="none"/>
                <w:lang w:val="tr-TR"/>
              </w:rPr>
              <w:t xml:space="preserve">katılabilmekteydi. İşte maddenin ikinci fıkrasının </w:t>
            </w:r>
            <w:r w:rsidR="0097749B" w:rsidRPr="00A23740">
              <w:rPr>
                <w:b w:val="0"/>
                <w:bCs/>
                <w:color w:val="auto"/>
                <w:u w:val="none"/>
                <w:lang w:val="tr-TR"/>
              </w:rPr>
              <w:t>(</w:t>
            </w:r>
            <w:r w:rsidRPr="00A23740">
              <w:rPr>
                <w:b w:val="0"/>
                <w:bCs/>
                <w:color w:val="auto"/>
                <w:u w:val="none"/>
                <w:lang w:val="tr-TR"/>
              </w:rPr>
              <w:t>d</w:t>
            </w:r>
            <w:r w:rsidR="0097749B" w:rsidRPr="00A23740">
              <w:rPr>
                <w:b w:val="0"/>
                <w:bCs/>
                <w:color w:val="auto"/>
                <w:u w:val="none"/>
                <w:lang w:val="tr-TR"/>
              </w:rPr>
              <w:t>)</w:t>
            </w:r>
            <w:r w:rsidRPr="00A23740">
              <w:rPr>
                <w:b w:val="0"/>
                <w:bCs/>
                <w:color w:val="auto"/>
                <w:u w:val="none"/>
                <w:lang w:val="tr-TR"/>
              </w:rPr>
              <w:t xml:space="preserve"> bendi</w:t>
            </w:r>
            <w:r w:rsidR="00C20125" w:rsidRPr="00A23740">
              <w:rPr>
                <w:b w:val="0"/>
                <w:bCs/>
                <w:color w:val="auto"/>
                <w:u w:val="none"/>
                <w:lang w:val="tr-TR"/>
              </w:rPr>
              <w:t>yle</w:t>
            </w:r>
            <w:r w:rsidRPr="00A23740">
              <w:rPr>
                <w:b w:val="0"/>
                <w:bCs/>
                <w:color w:val="auto"/>
                <w:u w:val="none"/>
                <w:lang w:val="tr-TR"/>
              </w:rPr>
              <w:t xml:space="preserve"> birinci alacaklılar toplantısı </w:t>
            </w:r>
            <w:r w:rsidR="00C20125" w:rsidRPr="00A23740">
              <w:rPr>
                <w:b w:val="0"/>
                <w:bCs/>
                <w:color w:val="auto"/>
                <w:u w:val="none"/>
                <w:lang w:val="tr-TR"/>
              </w:rPr>
              <w:t xml:space="preserve"> ve </w:t>
            </w:r>
            <w:r w:rsidRPr="00A23740">
              <w:rPr>
                <w:b w:val="0"/>
                <w:bCs/>
                <w:color w:val="auto"/>
                <w:u w:val="none"/>
                <w:lang w:val="tr-TR"/>
              </w:rPr>
              <w:t xml:space="preserve"> alacak bildirimi süresi eşitlenmiştir. Bu düzenlemeyle</w:t>
            </w:r>
            <w:r w:rsidR="00C20125" w:rsidRPr="00A23740">
              <w:rPr>
                <w:b w:val="0"/>
                <w:bCs/>
                <w:color w:val="auto"/>
                <w:u w:val="none"/>
                <w:lang w:val="tr-TR"/>
              </w:rPr>
              <w:t>,</w:t>
            </w:r>
            <w:r w:rsidRPr="00A23740">
              <w:rPr>
                <w:b w:val="0"/>
                <w:bCs/>
                <w:color w:val="auto"/>
                <w:u w:val="none"/>
                <w:lang w:val="tr-TR"/>
              </w:rPr>
              <w:t xml:space="preserve"> asli görevi iflas idaresine aday göstermek olan birinci alacaklılar toplantısında daha geniş ölçekte alacaklının söz sahibi olabilmesi amaçlanmıştır. Uygulamada ortaya çıkabilecek süre hesabına ilişkin sorunların önüne geçmek için de alacak bildiriminin sona erdiği tarihten itibaren bir hafta içinde iflas dairesinin birinci alacaklılar toplantısının gün ve saatini belirleyip i</w:t>
            </w:r>
            <w:r w:rsidR="0097749B" w:rsidRPr="00A23740">
              <w:rPr>
                <w:b w:val="0"/>
                <w:bCs/>
                <w:color w:val="auto"/>
                <w:u w:val="none"/>
                <w:lang w:val="tr-TR"/>
              </w:rPr>
              <w:t xml:space="preserve">lana dercetmesi öngörülmüştür. </w:t>
            </w:r>
            <w:r w:rsidR="00C20125" w:rsidRPr="00A23740">
              <w:rPr>
                <w:b w:val="0"/>
                <w:bCs/>
                <w:color w:val="auto"/>
                <w:u w:val="none"/>
                <w:lang w:val="tr-TR"/>
              </w:rPr>
              <w:t xml:space="preserve">Fıkranın </w:t>
            </w:r>
            <w:r w:rsidR="0097749B" w:rsidRPr="00A23740">
              <w:rPr>
                <w:b w:val="0"/>
                <w:bCs/>
                <w:color w:val="auto"/>
                <w:u w:val="none"/>
                <w:lang w:val="tr-TR"/>
              </w:rPr>
              <w:t>(d)</w:t>
            </w:r>
            <w:r w:rsidRPr="00A23740">
              <w:rPr>
                <w:b w:val="0"/>
                <w:bCs/>
                <w:color w:val="auto"/>
                <w:u w:val="none"/>
                <w:lang w:val="tr-TR"/>
              </w:rPr>
              <w:t xml:space="preserve"> bendinde, “tekeffül eden” ibaresi yerine “borçtan birlikte sorumlu olanlar” ibaresi</w:t>
            </w:r>
            <w:r w:rsidRPr="00A23740">
              <w:rPr>
                <w:bCs/>
                <w:u w:val="none"/>
              </w:rPr>
              <w:t xml:space="preserve"> </w:t>
            </w:r>
            <w:r w:rsidRPr="00A23740">
              <w:rPr>
                <w:b w:val="0"/>
                <w:bCs/>
                <w:color w:val="auto"/>
                <w:u w:val="none"/>
                <w:lang w:val="tr-TR"/>
              </w:rPr>
              <w:t>tercih edilmek suretiyle hem kapsam itibarıyla daha doğru hem de dil yönünden daha isabetli olacak bir düzenleme</w:t>
            </w:r>
            <w:r w:rsidR="00C20125" w:rsidRPr="00A23740">
              <w:rPr>
                <w:b w:val="0"/>
                <w:bCs/>
                <w:color w:val="auto"/>
                <w:u w:val="none"/>
                <w:lang w:val="tr-TR"/>
              </w:rPr>
              <w:t xml:space="preserve"> yapılmıştır</w:t>
            </w:r>
            <w:r w:rsidR="0097749B" w:rsidRPr="00A23740">
              <w:rPr>
                <w:b w:val="0"/>
                <w:bCs/>
                <w:color w:val="auto"/>
                <w:u w:val="none"/>
                <w:lang w:val="tr-TR"/>
              </w:rPr>
              <w:t xml:space="preserve">. </w:t>
            </w:r>
          </w:p>
          <w:p w:rsidR="00ED4844" w:rsidRPr="00A23740" w:rsidRDefault="00C20125" w:rsidP="009431FF">
            <w:pPr>
              <w:pStyle w:val="Stil2"/>
              <w:ind w:firstLine="709"/>
              <w:rPr>
                <w:b w:val="0"/>
                <w:bCs/>
                <w:color w:val="auto"/>
                <w:u w:val="none"/>
                <w:lang w:val="tr-TR"/>
              </w:rPr>
            </w:pPr>
            <w:r w:rsidRPr="00A23740">
              <w:rPr>
                <w:b w:val="0"/>
                <w:bCs/>
                <w:color w:val="auto"/>
                <w:u w:val="none"/>
                <w:lang w:val="tr-TR"/>
              </w:rPr>
              <w:t xml:space="preserve">Fıkranın </w:t>
            </w:r>
            <w:r w:rsidR="0097749B" w:rsidRPr="00A23740">
              <w:rPr>
                <w:b w:val="0"/>
                <w:bCs/>
                <w:color w:val="auto"/>
                <w:u w:val="none"/>
                <w:lang w:val="tr-TR"/>
              </w:rPr>
              <w:t>(e)</w:t>
            </w:r>
            <w:r w:rsidR="00ED4844" w:rsidRPr="00A23740">
              <w:rPr>
                <w:b w:val="0"/>
                <w:bCs/>
                <w:color w:val="auto"/>
                <w:u w:val="none"/>
                <w:lang w:val="tr-TR"/>
              </w:rPr>
              <w:t xml:space="preserve"> bendinde ilgili, yurt dışında ise yurt içinde geçerli bir tebligat adresi göstermediği takdirde iflas dairesinin bulunduğu yerin geçerli tebligat adresi olarak kabul edileceği düzenlemesine yer verilmiştir. Belirtilmelidir ki</w:t>
            </w:r>
            <w:r w:rsidRPr="00A23740">
              <w:rPr>
                <w:b w:val="0"/>
                <w:bCs/>
                <w:color w:val="auto"/>
                <w:u w:val="none"/>
                <w:lang w:val="tr-TR"/>
              </w:rPr>
              <w:t>,</w:t>
            </w:r>
            <w:r w:rsidR="00ED4844" w:rsidRPr="00A23740">
              <w:rPr>
                <w:b w:val="0"/>
                <w:bCs/>
                <w:color w:val="auto"/>
                <w:u w:val="none"/>
                <w:lang w:val="tr-TR"/>
              </w:rPr>
              <w:t xml:space="preserve"> buradaki tebligat adresi kavramı, elektronik tebligat adres</w:t>
            </w:r>
            <w:r w:rsidR="0097749B" w:rsidRPr="00A23740">
              <w:rPr>
                <w:b w:val="0"/>
                <w:bCs/>
                <w:color w:val="auto"/>
                <w:u w:val="none"/>
                <w:lang w:val="tr-TR"/>
              </w:rPr>
              <w:t xml:space="preserve">ini de kapsar şekilde kullanılmaktadır. </w:t>
            </w:r>
          </w:p>
          <w:p w:rsidR="00ED4844" w:rsidRPr="00A23740" w:rsidRDefault="0097749B" w:rsidP="009431FF">
            <w:pPr>
              <w:pStyle w:val="Stil2"/>
              <w:ind w:firstLine="709"/>
              <w:rPr>
                <w:b w:val="0"/>
                <w:bCs/>
                <w:color w:val="auto"/>
                <w:u w:val="none"/>
                <w:lang w:val="tr-TR"/>
              </w:rPr>
            </w:pPr>
            <w:r w:rsidRPr="00A23740">
              <w:rPr>
                <w:b w:val="0"/>
                <w:bCs/>
                <w:color w:val="auto"/>
                <w:u w:val="none"/>
                <w:lang w:val="tr-TR"/>
              </w:rPr>
              <w:t>Üçüncü fıkrayla</w:t>
            </w:r>
            <w:r w:rsidR="00ED4844" w:rsidRPr="00A23740">
              <w:rPr>
                <w:b w:val="0"/>
                <w:bCs/>
                <w:color w:val="auto"/>
                <w:u w:val="none"/>
                <w:lang w:val="tr-TR"/>
              </w:rPr>
              <w:t xml:space="preserve">, yurtdışında olanlar için ikinci fıkranın </w:t>
            </w:r>
            <w:r w:rsidRPr="00A23740">
              <w:rPr>
                <w:b w:val="0"/>
                <w:bCs/>
                <w:color w:val="auto"/>
                <w:u w:val="none"/>
                <w:lang w:val="tr-TR"/>
              </w:rPr>
              <w:t>(</w:t>
            </w:r>
            <w:r w:rsidR="00ED4844" w:rsidRPr="00A23740">
              <w:rPr>
                <w:b w:val="0"/>
                <w:bCs/>
                <w:color w:val="auto"/>
                <w:u w:val="none"/>
                <w:lang w:val="tr-TR"/>
              </w:rPr>
              <w:t>b</w:t>
            </w:r>
            <w:r w:rsidRPr="00A23740">
              <w:rPr>
                <w:b w:val="0"/>
                <w:bCs/>
                <w:color w:val="auto"/>
                <w:u w:val="none"/>
                <w:lang w:val="tr-TR"/>
              </w:rPr>
              <w:t>)</w:t>
            </w:r>
            <w:r w:rsidR="00ED4844" w:rsidRPr="00A23740">
              <w:rPr>
                <w:b w:val="0"/>
                <w:bCs/>
                <w:color w:val="auto"/>
                <w:u w:val="none"/>
                <w:lang w:val="tr-TR"/>
              </w:rPr>
              <w:t xml:space="preserve"> bendindeki sürenin uzatılab</w:t>
            </w:r>
            <w:r w:rsidRPr="00A23740">
              <w:rPr>
                <w:b w:val="0"/>
                <w:bCs/>
                <w:color w:val="auto"/>
                <w:u w:val="none"/>
                <w:lang w:val="tr-TR"/>
              </w:rPr>
              <w:t>ileceği kabul edilmektedir.</w:t>
            </w:r>
          </w:p>
          <w:p w:rsidR="00ED4844" w:rsidRPr="00A23740" w:rsidRDefault="00ED4844" w:rsidP="009431FF">
            <w:pPr>
              <w:pStyle w:val="Stil2"/>
              <w:ind w:firstLine="709"/>
              <w:rPr>
                <w:b w:val="0"/>
                <w:bCs/>
                <w:color w:val="auto"/>
                <w:u w:val="none"/>
                <w:lang w:val="tr-TR"/>
              </w:rPr>
            </w:pPr>
            <w:r w:rsidRPr="00A23740">
              <w:rPr>
                <w:b w:val="0"/>
                <w:bCs/>
                <w:color w:val="auto"/>
                <w:u w:val="none"/>
                <w:lang w:val="tr-TR"/>
              </w:rPr>
              <w:t xml:space="preserve">Yerleşim yeri </w:t>
            </w:r>
            <w:r w:rsidR="00656012" w:rsidRPr="00F75759">
              <w:rPr>
                <w:b w:val="0"/>
                <w:color w:val="auto"/>
                <w:u w:val="none"/>
                <w:lang w:val="tr-TR"/>
              </w:rPr>
              <w:t>ibaresi</w:t>
            </w:r>
            <w:r w:rsidR="00656012" w:rsidRPr="00F75759">
              <w:rPr>
                <w:b w:val="0"/>
                <w:bCs/>
                <w:color w:val="auto"/>
                <w:u w:val="none"/>
                <w:lang w:val="tr-TR"/>
              </w:rPr>
              <w:t xml:space="preserve"> </w:t>
            </w:r>
            <w:r w:rsidRPr="00F75759">
              <w:rPr>
                <w:b w:val="0"/>
                <w:bCs/>
                <w:color w:val="auto"/>
                <w:u w:val="none"/>
                <w:lang w:val="tr-TR"/>
              </w:rPr>
              <w:t>yurtdışında</w:t>
            </w:r>
            <w:r w:rsidRPr="00A23740">
              <w:rPr>
                <w:b w:val="0"/>
                <w:bCs/>
                <w:color w:val="auto"/>
                <w:u w:val="none"/>
                <w:lang w:val="tr-TR"/>
              </w:rPr>
              <w:t xml:space="preserve"> olan alacaklılara </w:t>
            </w:r>
            <w:r w:rsidR="00C20125" w:rsidRPr="00A23740">
              <w:rPr>
                <w:b w:val="0"/>
                <w:bCs/>
                <w:color w:val="auto"/>
                <w:u w:val="none"/>
                <w:lang w:val="tr-TR"/>
              </w:rPr>
              <w:t xml:space="preserve">özgü </w:t>
            </w:r>
            <w:r w:rsidRPr="00A23740">
              <w:rPr>
                <w:b w:val="0"/>
                <w:bCs/>
                <w:color w:val="auto"/>
                <w:u w:val="none"/>
                <w:lang w:val="tr-TR"/>
              </w:rPr>
              <w:t xml:space="preserve">değildir. Bu ibare hem </w:t>
            </w:r>
            <w:r w:rsidR="0097749B" w:rsidRPr="00A23740">
              <w:rPr>
                <w:b w:val="0"/>
                <w:bCs/>
                <w:color w:val="auto"/>
                <w:u w:val="none"/>
                <w:lang w:val="tr-TR"/>
              </w:rPr>
              <w:t>yurtdışında mukim alacaklıları</w:t>
            </w:r>
            <w:r w:rsidR="0097749B" w:rsidRPr="00A23740">
              <w:rPr>
                <w:rStyle w:val="KIRMIZIChar"/>
              </w:rPr>
              <w:t>,</w:t>
            </w:r>
            <w:r w:rsidRPr="00A23740">
              <w:rPr>
                <w:b w:val="0"/>
                <w:bCs/>
                <w:color w:val="auto"/>
                <w:u w:val="none"/>
                <w:lang w:val="tr-TR"/>
              </w:rPr>
              <w:t xml:space="preserve"> hem de uzun süre için yurt dışında bulunan ve yerleşim yerini yurt dışına nakletmemiş olan alacaklıları kapsamaktadır.</w:t>
            </w:r>
          </w:p>
          <w:p w:rsidR="00ED4844" w:rsidRPr="00A23740" w:rsidRDefault="00ED4844" w:rsidP="009431FF">
            <w:pPr>
              <w:pStyle w:val="Stil2"/>
              <w:ind w:firstLine="709"/>
              <w:rPr>
                <w:b w:val="0"/>
                <w:bCs/>
                <w:color w:val="auto"/>
                <w:u w:val="none"/>
                <w:lang w:val="tr-TR"/>
              </w:rPr>
            </w:pPr>
            <w:r w:rsidRPr="00A23740">
              <w:rPr>
                <w:b w:val="0"/>
                <w:bCs/>
                <w:color w:val="auto"/>
                <w:u w:val="none"/>
              </w:rPr>
              <w:t>Dördüncü fıkra uyarınca i</w:t>
            </w:r>
            <w:r w:rsidRPr="00A23740">
              <w:rPr>
                <w:rFonts w:eastAsia="Calibri"/>
                <w:b w:val="0"/>
                <w:bCs/>
                <w:color w:val="auto"/>
                <w:u w:val="none"/>
                <w:lang w:val="tr-TR" w:eastAsia="en-US"/>
              </w:rPr>
              <w:t>lanın bir sureti</w:t>
            </w:r>
            <w:r w:rsidRPr="00A23740">
              <w:rPr>
                <w:b w:val="0"/>
                <w:bCs/>
                <w:color w:val="auto"/>
                <w:u w:val="none"/>
                <w:lang w:val="tr-TR"/>
              </w:rPr>
              <w:t xml:space="preserve">, </w:t>
            </w:r>
            <w:r w:rsidRPr="00A23740">
              <w:rPr>
                <w:rFonts w:eastAsia="Calibri"/>
                <w:b w:val="0"/>
                <w:bCs/>
                <w:color w:val="auto"/>
                <w:u w:val="none"/>
                <w:lang w:val="tr-TR" w:eastAsia="en-US"/>
              </w:rPr>
              <w:t xml:space="preserve">adresi belli olan </w:t>
            </w:r>
            <w:r w:rsidRPr="00A23740">
              <w:rPr>
                <w:b w:val="0"/>
                <w:bCs/>
                <w:color w:val="auto"/>
                <w:u w:val="none"/>
                <w:lang w:val="tr-TR"/>
              </w:rPr>
              <w:t>alacaklılara</w:t>
            </w:r>
            <w:r w:rsidRPr="00A23740">
              <w:rPr>
                <w:rFonts w:eastAsia="Calibri"/>
                <w:b w:val="0"/>
                <w:bCs/>
                <w:color w:val="auto"/>
                <w:u w:val="none"/>
                <w:lang w:val="tr-TR" w:eastAsia="en-US"/>
              </w:rPr>
              <w:t xml:space="preserve"> posta</w:t>
            </w:r>
            <w:r w:rsidR="00C20125" w:rsidRPr="00A23740">
              <w:rPr>
                <w:rFonts w:eastAsia="Calibri"/>
                <w:b w:val="0"/>
                <w:bCs/>
                <w:color w:val="auto"/>
                <w:u w:val="none"/>
                <w:lang w:val="tr-TR" w:eastAsia="en-US"/>
              </w:rPr>
              <w:t>yla</w:t>
            </w:r>
            <w:r w:rsidRPr="00A23740">
              <w:rPr>
                <w:rFonts w:eastAsia="Calibri"/>
                <w:b w:val="0"/>
                <w:bCs/>
                <w:color w:val="auto"/>
                <w:u w:val="none"/>
                <w:lang w:val="tr-TR" w:eastAsia="en-US"/>
              </w:rPr>
              <w:t xml:space="preserve"> gönderilecektir, ancak </w:t>
            </w:r>
            <w:r w:rsidRPr="00A23740">
              <w:rPr>
                <w:b w:val="0"/>
                <w:bCs/>
                <w:color w:val="auto"/>
                <w:u w:val="none"/>
                <w:lang w:val="tr-TR"/>
              </w:rPr>
              <w:t xml:space="preserve"> ilana bağlanan sonuçlar bu durumda uygulanmayacaktır. Zira ilana bağlanan sonuçların bu münferit bildirimlere de uygulanması h</w:t>
            </w:r>
            <w:r w:rsidR="009D574E" w:rsidRPr="00A23740">
              <w:rPr>
                <w:b w:val="0"/>
                <w:bCs/>
                <w:color w:val="auto"/>
                <w:u w:val="none"/>
                <w:lang w:val="tr-TR"/>
              </w:rPr>
              <w:t>â</w:t>
            </w:r>
            <w:r w:rsidRPr="00A23740">
              <w:rPr>
                <w:b w:val="0"/>
                <w:bCs/>
                <w:color w:val="auto"/>
                <w:u w:val="none"/>
                <w:lang w:val="tr-TR"/>
              </w:rPr>
              <w:t>linde</w:t>
            </w:r>
            <w:r w:rsidR="00C20125" w:rsidRPr="00A23740">
              <w:rPr>
                <w:b w:val="0"/>
                <w:bCs/>
                <w:color w:val="auto"/>
                <w:u w:val="none"/>
                <w:lang w:val="tr-TR"/>
              </w:rPr>
              <w:t>,</w:t>
            </w:r>
            <w:r w:rsidRPr="00A23740">
              <w:rPr>
                <w:b w:val="0"/>
                <w:bCs/>
                <w:color w:val="auto"/>
                <w:u w:val="none"/>
                <w:lang w:val="tr-TR"/>
              </w:rPr>
              <w:t xml:space="preserve"> her bir bildirimin ulaştığı tarihten itibaren hesaplanacak süre içinde farklı tarihlerde yapılacak bildirimler</w:t>
            </w:r>
            <w:r w:rsidR="00C20125" w:rsidRPr="00A23740">
              <w:rPr>
                <w:b w:val="0"/>
                <w:bCs/>
                <w:color w:val="auto"/>
                <w:u w:val="none"/>
                <w:lang w:val="tr-TR"/>
              </w:rPr>
              <w:t>söz konusu olacak</w:t>
            </w:r>
            <w:r w:rsidRPr="00A23740">
              <w:rPr>
                <w:b w:val="0"/>
                <w:bCs/>
                <w:color w:val="auto"/>
                <w:u w:val="none"/>
                <w:lang w:val="tr-TR"/>
              </w:rPr>
              <w:t xml:space="preserve">, </w:t>
            </w:r>
            <w:r w:rsidR="00C20125" w:rsidRPr="00A23740">
              <w:rPr>
                <w:b w:val="0"/>
                <w:bCs/>
                <w:color w:val="auto"/>
                <w:u w:val="none"/>
                <w:lang w:val="tr-TR"/>
              </w:rPr>
              <w:t xml:space="preserve">bu da </w:t>
            </w:r>
            <w:r w:rsidRPr="00A23740">
              <w:rPr>
                <w:b w:val="0"/>
                <w:bCs/>
                <w:color w:val="auto"/>
                <w:u w:val="none"/>
                <w:lang w:val="tr-TR"/>
              </w:rPr>
              <w:t xml:space="preserve">toplantı tarihinin sarih olmaması gibi </w:t>
            </w:r>
            <w:r w:rsidR="0097749B" w:rsidRPr="00A23740">
              <w:rPr>
                <w:b w:val="0"/>
                <w:bCs/>
                <w:color w:val="auto"/>
                <w:u w:val="none"/>
                <w:lang w:val="tr-TR"/>
              </w:rPr>
              <w:t>durumlar ortaya çıka</w:t>
            </w:r>
            <w:r w:rsidR="00C20125" w:rsidRPr="00A23740">
              <w:rPr>
                <w:b w:val="0"/>
                <w:bCs/>
                <w:color w:val="auto"/>
                <w:u w:val="none"/>
                <w:lang w:val="tr-TR"/>
              </w:rPr>
              <w:t>ra</w:t>
            </w:r>
            <w:r w:rsidR="0097749B" w:rsidRPr="00A23740">
              <w:rPr>
                <w:b w:val="0"/>
                <w:bCs/>
                <w:color w:val="auto"/>
                <w:u w:val="none"/>
                <w:lang w:val="tr-TR"/>
              </w:rPr>
              <w:t>bilecektir.</w:t>
            </w:r>
            <w:r w:rsidRPr="00A23740">
              <w:rPr>
                <w:b w:val="0"/>
                <w:bCs/>
                <w:color w:val="auto"/>
                <w:u w:val="none"/>
                <w:lang w:val="tr-TR"/>
              </w:rPr>
              <w:t xml:space="preserve"> İşte iflas idaresinin yükünü bu suretle arttırmamak ve tasfiyenin süratle yürümesini sağlamak amacıyla fık</w:t>
            </w:r>
            <w:r w:rsidR="0097749B" w:rsidRPr="00A23740">
              <w:rPr>
                <w:b w:val="0"/>
                <w:bCs/>
                <w:color w:val="auto"/>
                <w:u w:val="none"/>
                <w:lang w:val="tr-TR"/>
              </w:rPr>
              <w:t>ra bu h</w:t>
            </w:r>
            <w:r w:rsidR="009D574E" w:rsidRPr="00A23740">
              <w:rPr>
                <w:b w:val="0"/>
                <w:bCs/>
                <w:color w:val="auto"/>
                <w:u w:val="none"/>
                <w:lang w:val="tr-TR"/>
              </w:rPr>
              <w:t>â</w:t>
            </w:r>
            <w:r w:rsidR="0097749B" w:rsidRPr="00A23740">
              <w:rPr>
                <w:b w:val="0"/>
                <w:bCs/>
                <w:color w:val="auto"/>
                <w:u w:val="none"/>
                <w:lang w:val="tr-TR"/>
              </w:rPr>
              <w:t xml:space="preserve">liyle kabul edilmektedir. </w:t>
            </w:r>
          </w:p>
          <w:p w:rsidR="00ED4844" w:rsidRPr="00A23740" w:rsidRDefault="0097749B" w:rsidP="009431FF">
            <w:pPr>
              <w:tabs>
                <w:tab w:val="left" w:pos="567"/>
              </w:tabs>
              <w:ind w:firstLine="709"/>
              <w:rPr>
                <w:bCs/>
                <w:szCs w:val="24"/>
              </w:rPr>
            </w:pPr>
            <w:r w:rsidRPr="00A23740">
              <w:rPr>
                <w:bCs/>
              </w:rPr>
              <w:t>Beşinci fıkrayla</w:t>
            </w:r>
            <w:r w:rsidR="00ED4844" w:rsidRPr="00A23740">
              <w:rPr>
                <w:bCs/>
                <w:szCs w:val="24"/>
              </w:rPr>
              <w:t>, maddedeki alacak bildirme süresinin hak düşürücü olmadığı</w:t>
            </w:r>
            <w:r w:rsidR="00ED4844" w:rsidRPr="00F75759">
              <w:rPr>
                <w:bCs/>
                <w:szCs w:val="24"/>
              </w:rPr>
              <w:t xml:space="preserve">, </w:t>
            </w:r>
            <w:r w:rsidR="002466AD" w:rsidRPr="00F75759">
              <w:rPr>
                <w:szCs w:val="24"/>
              </w:rPr>
              <w:t>351 inci</w:t>
            </w:r>
            <w:r w:rsidR="002466AD" w:rsidRPr="00A23740">
              <w:t xml:space="preserve"> </w:t>
            </w:r>
            <w:r w:rsidR="00ED4844" w:rsidRPr="00A23740">
              <w:rPr>
                <w:bCs/>
                <w:szCs w:val="24"/>
              </w:rPr>
              <w:t xml:space="preserve">madde uyarınca gecikmiş alacak bildirimlerinin de belirli şartlarla dikkate alınacağı hususunda açıklık </w:t>
            </w:r>
            <w:r w:rsidR="00C20125" w:rsidRPr="00A23740">
              <w:rPr>
                <w:bCs/>
                <w:szCs w:val="24"/>
              </w:rPr>
              <w:t>getirilmiştir</w:t>
            </w:r>
            <w:r w:rsidRPr="00A23740">
              <w:rPr>
                <w:bCs/>
                <w:szCs w:val="24"/>
              </w:rPr>
              <w:t>.</w:t>
            </w:r>
            <w:r w:rsidR="00ED4844" w:rsidRPr="00A23740">
              <w:rPr>
                <w:bCs/>
                <w:szCs w:val="24"/>
              </w:rPr>
              <w:t xml:space="preserve"> </w:t>
            </w:r>
          </w:p>
          <w:p w:rsidR="00ED4844" w:rsidRPr="001560F0" w:rsidRDefault="00ED4844" w:rsidP="001560F0">
            <w:pPr>
              <w:tabs>
                <w:tab w:val="left" w:pos="567"/>
              </w:tabs>
              <w:ind w:firstLine="709"/>
              <w:rPr>
                <w:bCs/>
                <w:szCs w:val="24"/>
              </w:rPr>
            </w:pPr>
            <w:r w:rsidRPr="00A23740">
              <w:rPr>
                <w:bCs/>
                <w:szCs w:val="24"/>
              </w:rPr>
              <w:t xml:space="preserve"> </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rStyle w:val="Stil1Char"/>
                <w:rFonts w:eastAsia="Calibri"/>
                <w:b/>
                <w:color w:val="FF0000"/>
                <w:u w:val="none"/>
              </w:rPr>
            </w:pPr>
            <w:r w:rsidRPr="00A23740">
              <w:rPr>
                <w:rStyle w:val="Stil1Char"/>
                <w:rFonts w:eastAsia="Calibri"/>
                <w:b/>
                <w:color w:val="FF0000"/>
                <w:u w:val="none"/>
              </w:rPr>
              <w:t>İflasın tasfiyesi müddeti :</w:t>
            </w:r>
          </w:p>
          <w:p w:rsidR="00AA5C8C" w:rsidRPr="00A23740" w:rsidRDefault="00AA5C8C" w:rsidP="009431FF">
            <w:pPr>
              <w:tabs>
                <w:tab w:val="left" w:pos="567"/>
              </w:tabs>
              <w:rPr>
                <w:rStyle w:val="KIRMIZIChar"/>
                <w:rFonts w:eastAsia="Calibri"/>
              </w:rPr>
            </w:pPr>
            <w:r w:rsidRPr="00A23740">
              <w:rPr>
                <w:rStyle w:val="KIRMIZIChar"/>
                <w:rFonts w:eastAsia="Calibri"/>
              </w:rPr>
              <w:t>Madde 256 – (1)</w:t>
            </w:r>
            <w:r w:rsidRPr="00A23740">
              <w:rPr>
                <w:b/>
                <w:szCs w:val="24"/>
              </w:rPr>
              <w:t xml:space="preserve"> </w:t>
            </w:r>
            <w:r w:rsidRPr="00A23740">
              <w:rPr>
                <w:rStyle w:val="KIRMIZIChar"/>
                <w:rFonts w:eastAsia="Calibri"/>
              </w:rPr>
              <w:t>İflas</w:t>
            </w:r>
            <w:r w:rsidRPr="00A23740">
              <w:rPr>
                <w:szCs w:val="24"/>
              </w:rPr>
              <w:t xml:space="preserve"> açıldıktan </w:t>
            </w:r>
            <w:r w:rsidRPr="00A23740">
              <w:rPr>
                <w:rStyle w:val="KIRMIZIChar"/>
                <w:rFonts w:eastAsia="Calibri"/>
              </w:rPr>
              <w:t>altı ay</w:t>
            </w:r>
            <w:r w:rsidRPr="00A23740">
              <w:rPr>
                <w:szCs w:val="24"/>
              </w:rPr>
              <w:t xml:space="preserve"> içinde tasfiye edilmek lazımdır. Bu </w:t>
            </w:r>
            <w:r w:rsidRPr="00A23740">
              <w:rPr>
                <w:rStyle w:val="KIRMIZIChar"/>
                <w:rFonts w:eastAsia="Calibri"/>
              </w:rPr>
              <w:t>müddet</w:t>
            </w:r>
            <w:r w:rsidRPr="00A23740">
              <w:rPr>
                <w:szCs w:val="24"/>
              </w:rPr>
              <w:t xml:space="preserve"> içinde tasfiye </w:t>
            </w:r>
            <w:r w:rsidRPr="00A23740">
              <w:rPr>
                <w:rStyle w:val="KIRMIZIChar"/>
                <w:rFonts w:eastAsia="Calibri"/>
              </w:rPr>
              <w:t>muamelesi</w:t>
            </w:r>
            <w:r w:rsidRPr="00A23740">
              <w:rPr>
                <w:szCs w:val="24"/>
              </w:rPr>
              <w:t xml:space="preserve"> bitmediği takdirde alacaklılar toplanıp basit tasfiye usulünün </w:t>
            </w:r>
            <w:r w:rsidRPr="00A23740">
              <w:rPr>
                <w:rStyle w:val="KIRMIZIChar"/>
                <w:rFonts w:eastAsia="Calibri"/>
              </w:rPr>
              <w:t>tatbikına</w:t>
            </w:r>
            <w:r w:rsidRPr="00A23740">
              <w:rPr>
                <w:szCs w:val="24"/>
              </w:rPr>
              <w:t xml:space="preserve"> karar verebilir. </w:t>
            </w:r>
            <w:r w:rsidRPr="00A23740">
              <w:rPr>
                <w:rStyle w:val="KIRMIZIChar"/>
                <w:rFonts w:eastAsia="Calibri"/>
              </w:rPr>
              <w:t>Bu karar da ekseriyeti meblağiyenin husulü şarttır. Böyle bir karar verilmemişse icra mahkemesi icabına göre müddeti uzatır.</w:t>
            </w:r>
          </w:p>
          <w:p w:rsidR="00AA5C8C" w:rsidRPr="00A23740" w:rsidRDefault="00AA5C8C" w:rsidP="009431FF">
            <w:pPr>
              <w:tabs>
                <w:tab w:val="left" w:pos="567"/>
              </w:tabs>
              <w:rPr>
                <w:szCs w:val="24"/>
              </w:rPr>
            </w:pPr>
          </w:p>
          <w:p w:rsidR="00AA5C8C" w:rsidRPr="00A23740" w:rsidRDefault="00AE0894" w:rsidP="009431FF">
            <w:pPr>
              <w:tabs>
                <w:tab w:val="left" w:pos="567"/>
              </w:tabs>
              <w:rPr>
                <w:b/>
                <w:strike/>
                <w:color w:val="FF0000"/>
                <w:szCs w:val="24"/>
              </w:rPr>
            </w:pPr>
            <w:r>
              <w:rPr>
                <w:b/>
                <w:color w:val="FF0000"/>
                <w:szCs w:val="24"/>
              </w:rPr>
              <w:t>M.256/F1.C2-</w:t>
            </w:r>
            <w:r w:rsidR="00AA5C8C" w:rsidRPr="00A23740">
              <w:rPr>
                <w:b/>
                <w:color w:val="FF0000"/>
                <w:szCs w:val="24"/>
              </w:rPr>
              <w:t>3:</w:t>
            </w:r>
            <w:r w:rsidR="00AA5C8C" w:rsidRPr="00A23740">
              <w:rPr>
                <w:szCs w:val="24"/>
              </w:rPr>
              <w:t xml:space="preserve"> Bu </w:t>
            </w:r>
            <w:r w:rsidR="00AA5C8C" w:rsidRPr="00A23740">
              <w:rPr>
                <w:rStyle w:val="KIRMIZIChar"/>
                <w:rFonts w:eastAsia="Calibri"/>
              </w:rPr>
              <w:t>müddet</w:t>
            </w:r>
            <w:r w:rsidR="00AA5C8C" w:rsidRPr="00A23740">
              <w:rPr>
                <w:szCs w:val="24"/>
              </w:rPr>
              <w:t xml:space="preserve"> içinde tasfiye </w:t>
            </w:r>
            <w:r w:rsidR="00AA5C8C" w:rsidRPr="00A23740">
              <w:rPr>
                <w:rStyle w:val="KIRMIZIChar"/>
                <w:rFonts w:eastAsia="Calibri"/>
              </w:rPr>
              <w:t>muamelesi</w:t>
            </w:r>
            <w:r w:rsidR="00AA5C8C" w:rsidRPr="00A23740">
              <w:rPr>
                <w:szCs w:val="24"/>
              </w:rPr>
              <w:t xml:space="preserve"> bitmediği takdirde alacaklılar toplanıp basit tasfiye usulünün </w:t>
            </w:r>
            <w:r w:rsidR="00AA5C8C" w:rsidRPr="00A23740">
              <w:rPr>
                <w:rStyle w:val="KIRMIZIChar"/>
                <w:rFonts w:eastAsia="Calibri"/>
              </w:rPr>
              <w:t>tatbikına</w:t>
            </w:r>
            <w:r w:rsidR="00AA5C8C" w:rsidRPr="00A23740">
              <w:rPr>
                <w:szCs w:val="24"/>
              </w:rPr>
              <w:t xml:space="preserve"> karar verebilir. </w:t>
            </w:r>
            <w:r w:rsidR="00AA5C8C" w:rsidRPr="00A23740">
              <w:rPr>
                <w:rStyle w:val="KIRMIZIChar"/>
                <w:rFonts w:eastAsia="Calibri"/>
              </w:rPr>
              <w:t>Bu karar da ekseriyeti meblağiyenin husulü şarttır. Böyle bir karar verilmemişse icra mahkemesi icabına göre müddeti uzatır.</w:t>
            </w:r>
          </w:p>
        </w:tc>
        <w:tc>
          <w:tcPr>
            <w:tcW w:w="2500" w:type="pct"/>
          </w:tcPr>
          <w:p w:rsidR="00AA5C8C" w:rsidRPr="00A23740" w:rsidRDefault="00AA5C8C" w:rsidP="009431FF">
            <w:pPr>
              <w:pStyle w:val="Mavi"/>
            </w:pPr>
            <w:r w:rsidRPr="00A23740">
              <w:t>Olağan tasfiyenin tamamlanması</w:t>
            </w:r>
          </w:p>
          <w:p w:rsidR="00AA5C8C" w:rsidRPr="00A23740" w:rsidRDefault="00BB2129" w:rsidP="009431FF">
            <w:pPr>
              <w:tabs>
                <w:tab w:val="left" w:pos="567"/>
              </w:tabs>
              <w:rPr>
                <w:rStyle w:val="Stil2Char"/>
                <w:rFonts w:eastAsia="Calibri"/>
                <w:u w:val="none"/>
              </w:rPr>
            </w:pPr>
            <w:r w:rsidRPr="00A23740">
              <w:rPr>
                <w:rStyle w:val="MaviChar"/>
              </w:rPr>
              <w:t>MADDE 331</w:t>
            </w:r>
            <w:r w:rsidR="00AA5C8C" w:rsidRPr="00A23740">
              <w:rPr>
                <w:rStyle w:val="MaviChar"/>
              </w:rPr>
              <w:t>- (1)</w:t>
            </w:r>
            <w:r w:rsidR="00AA5C8C" w:rsidRPr="00A23740">
              <w:rPr>
                <w:rStyle w:val="Stil2Char"/>
                <w:rFonts w:eastAsia="Calibri"/>
                <w:u w:val="none"/>
              </w:rPr>
              <w:t xml:space="preserve"> </w:t>
            </w:r>
            <w:r w:rsidR="00AA5C8C" w:rsidRPr="00A23740">
              <w:rPr>
                <w:rStyle w:val="Stil2Char"/>
                <w:rFonts w:eastAsia="Calibri"/>
                <w:u w:val="none"/>
                <w:lang w:val="tr-TR"/>
              </w:rPr>
              <w:t>O</w:t>
            </w:r>
            <w:r w:rsidR="00AA5C8C" w:rsidRPr="00A23740">
              <w:rPr>
                <w:rStyle w:val="Stil2Char"/>
                <w:rFonts w:eastAsia="Calibri"/>
                <w:u w:val="none"/>
              </w:rPr>
              <w:t>lağan tasfiye</w:t>
            </w:r>
            <w:r w:rsidR="00AA5C8C" w:rsidRPr="00A23740">
              <w:rPr>
                <w:rStyle w:val="MaviChar"/>
              </w:rPr>
              <w:t>,</w:t>
            </w:r>
            <w:r w:rsidR="00AA5C8C" w:rsidRPr="00A23740">
              <w:rPr>
                <w:rStyle w:val="Stil2Char"/>
                <w:rFonts w:eastAsia="Calibri"/>
                <w:u w:val="none"/>
              </w:rPr>
              <w:t xml:space="preserve"> iflas kararının kesinleşmesinden itibaren altı ay içinde </w:t>
            </w:r>
            <w:r w:rsidR="00AA5C8C" w:rsidRPr="00A23740">
              <w:rPr>
                <w:rStyle w:val="MaviChar"/>
              </w:rPr>
              <w:t>tamamlanır</w:t>
            </w:r>
            <w:r w:rsidR="0055222C" w:rsidRPr="00A23740">
              <w:rPr>
                <w:rStyle w:val="Stil2Char"/>
                <w:rFonts w:eastAsia="Calibri"/>
                <w:u w:val="none"/>
              </w:rPr>
              <w:t>.</w:t>
            </w:r>
          </w:p>
          <w:p w:rsidR="00AA5C8C" w:rsidRPr="00A23740" w:rsidRDefault="00AA5C8C" w:rsidP="009431FF">
            <w:pPr>
              <w:tabs>
                <w:tab w:val="left" w:pos="567"/>
              </w:tabs>
              <w:rPr>
                <w:rStyle w:val="Stil2Char"/>
                <w:rFonts w:eastAsia="Calibri"/>
                <w:u w:val="none"/>
              </w:rPr>
            </w:pPr>
          </w:p>
          <w:p w:rsidR="00AA5C8C" w:rsidRPr="00A23740" w:rsidRDefault="00AA5C8C" w:rsidP="009431FF">
            <w:pPr>
              <w:tabs>
                <w:tab w:val="left" w:pos="567"/>
              </w:tabs>
              <w:rPr>
                <w:rStyle w:val="Stil2Char"/>
                <w:rFonts w:eastAsia="Calibri"/>
                <w:u w:val="none"/>
              </w:rPr>
            </w:pPr>
          </w:p>
          <w:p w:rsidR="00AA5C8C" w:rsidRPr="00A23740" w:rsidRDefault="00AA5C8C" w:rsidP="009431FF">
            <w:pPr>
              <w:tabs>
                <w:tab w:val="left" w:pos="567"/>
              </w:tabs>
              <w:rPr>
                <w:rStyle w:val="Stil2Char"/>
                <w:rFonts w:eastAsia="Calibri"/>
                <w:u w:val="none"/>
              </w:rPr>
            </w:pPr>
          </w:p>
          <w:p w:rsidR="00AA5C8C" w:rsidRPr="00A23740" w:rsidRDefault="00AA5C8C" w:rsidP="009431FF">
            <w:pPr>
              <w:tabs>
                <w:tab w:val="left" w:pos="567"/>
              </w:tabs>
              <w:rPr>
                <w:rStyle w:val="Stil2Char"/>
                <w:rFonts w:eastAsia="Calibri"/>
                <w:u w:val="none"/>
              </w:rPr>
            </w:pPr>
          </w:p>
          <w:p w:rsidR="00AA5C8C" w:rsidRPr="00A23740" w:rsidRDefault="00AA5C8C" w:rsidP="009431FF">
            <w:pPr>
              <w:tabs>
                <w:tab w:val="left" w:pos="567"/>
              </w:tabs>
              <w:rPr>
                <w:rStyle w:val="Stil2Char"/>
                <w:rFonts w:eastAsia="Calibri"/>
                <w:u w:val="none"/>
              </w:rPr>
            </w:pPr>
            <w:r w:rsidRPr="00A23740">
              <w:rPr>
                <w:rStyle w:val="MaviChar"/>
              </w:rPr>
              <w:t xml:space="preserve">(2) Altı aylık </w:t>
            </w:r>
            <w:r w:rsidRPr="00A23740">
              <w:rPr>
                <w:szCs w:val="24"/>
              </w:rPr>
              <w:t xml:space="preserve">bu </w:t>
            </w:r>
            <w:r w:rsidRPr="00A23740">
              <w:rPr>
                <w:rStyle w:val="Stil2Char"/>
                <w:rFonts w:eastAsia="Calibri"/>
                <w:u w:val="none"/>
              </w:rPr>
              <w:t>süre</w:t>
            </w:r>
            <w:r w:rsidRPr="00A23740">
              <w:rPr>
                <w:szCs w:val="24"/>
              </w:rPr>
              <w:t xml:space="preserve"> içinde tasfiye </w:t>
            </w:r>
            <w:r w:rsidR="00511A81" w:rsidRPr="00A23740">
              <w:rPr>
                <w:rStyle w:val="Balk1Char"/>
                <w:rFonts w:eastAsia="Calibri"/>
              </w:rPr>
              <w:t>tamamlanmadığı</w:t>
            </w:r>
            <w:r w:rsidR="00511A81" w:rsidRPr="00A23740">
              <w:rPr>
                <w:szCs w:val="24"/>
              </w:rPr>
              <w:t xml:space="preserve"> </w:t>
            </w:r>
            <w:r w:rsidRPr="00A23740">
              <w:rPr>
                <w:szCs w:val="24"/>
              </w:rPr>
              <w:t>takdirde</w:t>
            </w:r>
            <w:r w:rsidR="0055222C" w:rsidRPr="00A23740">
              <w:rPr>
                <w:b/>
                <w:color w:val="538135"/>
                <w:szCs w:val="24"/>
              </w:rPr>
              <w:t>,</w:t>
            </w:r>
            <w:r w:rsidRPr="00A23740">
              <w:rPr>
                <w:szCs w:val="24"/>
              </w:rPr>
              <w:t xml:space="preserve"> </w:t>
            </w:r>
            <w:r w:rsidRPr="00A23740">
              <w:rPr>
                <w:rStyle w:val="Stil2Char"/>
                <w:rFonts w:eastAsia="Calibri"/>
                <w:u w:val="none"/>
              </w:rPr>
              <w:t xml:space="preserve">sürenin bitiminden itibaren en geç bir ay </w:t>
            </w:r>
            <w:r w:rsidRPr="00A23740">
              <w:rPr>
                <w:rStyle w:val="MaviChar"/>
                <w:lang w:val="tr-TR"/>
              </w:rPr>
              <w:t>içinde iflas idaresinin daveti üzerine</w:t>
            </w:r>
            <w:r w:rsidRPr="00A23740">
              <w:rPr>
                <w:szCs w:val="24"/>
              </w:rPr>
              <w:t xml:space="preserve"> alacaklılar toplanıp</w:t>
            </w:r>
            <w:r w:rsidR="00656012" w:rsidRPr="00A23740">
              <w:rPr>
                <w:rStyle w:val="Balk1Char"/>
                <w:rFonts w:eastAsia="Calibri"/>
              </w:rPr>
              <w:t>,</w:t>
            </w:r>
            <w:r w:rsidRPr="00A23740">
              <w:rPr>
                <w:szCs w:val="24"/>
              </w:rPr>
              <w:t xml:space="preserve"> </w:t>
            </w:r>
            <w:r w:rsidRPr="00A23740">
              <w:rPr>
                <w:rStyle w:val="Stil2Char"/>
                <w:rFonts w:eastAsia="Calibri"/>
                <w:u w:val="none"/>
              </w:rPr>
              <w:t>alacak çoğunluğuyla</w:t>
            </w:r>
            <w:r w:rsidRPr="00A23740">
              <w:rPr>
                <w:szCs w:val="24"/>
              </w:rPr>
              <w:t xml:space="preserve"> basit tasfiye usulünün </w:t>
            </w:r>
            <w:r w:rsidRPr="00A23740">
              <w:rPr>
                <w:rStyle w:val="Stil2Char"/>
                <w:rFonts w:eastAsia="Calibri"/>
                <w:u w:val="none"/>
              </w:rPr>
              <w:t xml:space="preserve">uygulanmasına </w:t>
            </w:r>
            <w:r w:rsidRPr="00A23740">
              <w:rPr>
                <w:rStyle w:val="MaviChar"/>
                <w:lang w:val="tr-TR"/>
              </w:rPr>
              <w:t>veya tasfiyenin olağan tasfiye şeklinde devam etmesine</w:t>
            </w:r>
            <w:r w:rsidRPr="00A23740">
              <w:rPr>
                <w:szCs w:val="24"/>
              </w:rPr>
              <w:t xml:space="preserve"> karar verebilirler. </w:t>
            </w:r>
            <w:r w:rsidRPr="00A23740">
              <w:rPr>
                <w:rStyle w:val="MAVChar"/>
                <w:rFonts w:eastAsia="Calibri"/>
                <w:u w:val="none"/>
              </w:rPr>
              <w:t xml:space="preserve">Toplantının yapılamaması veya </w:t>
            </w:r>
            <w:r w:rsidRPr="00A23740">
              <w:rPr>
                <w:rStyle w:val="MaviChar"/>
              </w:rPr>
              <w:t>yapılıp da gerekli alacak çoğunluğunun sağlanamaması h</w:t>
            </w:r>
            <w:r w:rsidR="009D574E" w:rsidRPr="00A23740">
              <w:rPr>
                <w:rStyle w:val="MaviChar"/>
                <w:lang w:val="tr-TR"/>
              </w:rPr>
              <w:t>â</w:t>
            </w:r>
            <w:r w:rsidRPr="00A23740">
              <w:rPr>
                <w:rStyle w:val="MaviChar"/>
              </w:rPr>
              <w:t>linde</w:t>
            </w:r>
            <w:r w:rsidRPr="00A23740">
              <w:rPr>
                <w:rStyle w:val="MaviChar"/>
                <w:lang w:val="tr-TR"/>
              </w:rPr>
              <w:t>,</w:t>
            </w:r>
            <w:r w:rsidRPr="00A23740">
              <w:rPr>
                <w:rStyle w:val="MaviChar"/>
              </w:rPr>
              <w:t xml:space="preserve"> iflas idaresi veya iflas dairesi</w:t>
            </w:r>
            <w:r w:rsidRPr="00A23740">
              <w:rPr>
                <w:rStyle w:val="MaviChar"/>
                <w:lang w:val="tr-TR"/>
              </w:rPr>
              <w:t>,</w:t>
            </w:r>
            <w:r w:rsidRPr="00A23740">
              <w:rPr>
                <w:rStyle w:val="MaviChar"/>
              </w:rPr>
              <w:t xml:space="preserve"> derh</w:t>
            </w:r>
            <w:r w:rsidR="00DF22A1" w:rsidRPr="00A23740">
              <w:rPr>
                <w:rStyle w:val="MaviChar"/>
                <w:lang w:val="tr-TR"/>
              </w:rPr>
              <w:t>â</w:t>
            </w:r>
            <w:r w:rsidRPr="00A23740">
              <w:rPr>
                <w:rStyle w:val="MaviChar"/>
              </w:rPr>
              <w:t>l iflas mahkemesine başvurarak sürenin uzatılmasına karar verilmesini ister.</w:t>
            </w:r>
          </w:p>
          <w:p w:rsidR="00AA5C8C" w:rsidRPr="00A23740" w:rsidRDefault="00AA5C8C" w:rsidP="009431FF">
            <w:pPr>
              <w:tabs>
                <w:tab w:val="left" w:pos="567"/>
              </w:tabs>
              <w:rPr>
                <w:rStyle w:val="Stil2Char"/>
                <w:rFonts w:eastAsia="Calibri"/>
                <w:u w:val="none"/>
              </w:rPr>
            </w:pPr>
          </w:p>
          <w:p w:rsidR="00AA5C8C" w:rsidRPr="00A23740" w:rsidRDefault="00AA5C8C" w:rsidP="009431FF">
            <w:pPr>
              <w:tabs>
                <w:tab w:val="left" w:pos="567"/>
              </w:tabs>
            </w:pPr>
            <w:r w:rsidRPr="00A23740">
              <w:rPr>
                <w:rStyle w:val="MaviChar"/>
              </w:rPr>
              <w:t>(3)</w:t>
            </w:r>
            <w:r w:rsidRPr="00A23740">
              <w:rPr>
                <w:rStyle w:val="Stil2Char"/>
                <w:rFonts w:eastAsia="Calibri"/>
                <w:u w:val="none"/>
                <w:lang w:val="tr-TR"/>
              </w:rPr>
              <w:t xml:space="preserve"> </w:t>
            </w:r>
            <w:r w:rsidRPr="00A23740">
              <w:rPr>
                <w:rStyle w:val="MaviChar"/>
              </w:rPr>
              <w:t>İflas mahkemesi</w:t>
            </w:r>
            <w:r w:rsidRPr="00A23740">
              <w:rPr>
                <w:rStyle w:val="MaviChar"/>
                <w:lang w:val="tr-TR"/>
              </w:rPr>
              <w:t>,</w:t>
            </w:r>
            <w:r w:rsidRPr="00A23740">
              <w:rPr>
                <w:rStyle w:val="Stil2Char"/>
                <w:rFonts w:eastAsia="Calibri"/>
                <w:u w:val="none"/>
              </w:rPr>
              <w:t xml:space="preserve"> sürenin uzatılmasına </w:t>
            </w:r>
            <w:r w:rsidRPr="00A23740">
              <w:rPr>
                <w:rStyle w:val="MaviChar"/>
              </w:rPr>
              <w:t>veya</w:t>
            </w:r>
            <w:r w:rsidRPr="00A23740">
              <w:rPr>
                <w:rStyle w:val="Stil2Char"/>
                <w:rFonts w:eastAsia="Calibri"/>
                <w:u w:val="none"/>
                <w:lang w:val="tr-TR"/>
              </w:rPr>
              <w:t xml:space="preserve"> </w:t>
            </w:r>
            <w:r w:rsidRPr="00A23740">
              <w:rPr>
                <w:rStyle w:val="Stil2Char"/>
                <w:rFonts w:eastAsia="Calibri"/>
                <w:u w:val="none"/>
              </w:rPr>
              <w:t xml:space="preserve">basit tasfiye usulünün uygulanmasına kesin olarak karar </w:t>
            </w:r>
            <w:r w:rsidRPr="00A23740">
              <w:rPr>
                <w:rStyle w:val="MaviChar"/>
              </w:rPr>
              <w:t>verir</w:t>
            </w:r>
            <w:r w:rsidRPr="00A23740">
              <w:rPr>
                <w:rStyle w:val="Stil2Char"/>
                <w:rFonts w:eastAsia="Calibri"/>
                <w:u w:val="none"/>
              </w:rPr>
              <w:t>.</w:t>
            </w:r>
          </w:p>
          <w:p w:rsidR="00AA5C8C" w:rsidRPr="00A23740" w:rsidRDefault="00AA5C8C" w:rsidP="009431FF">
            <w:pPr>
              <w:tabs>
                <w:tab w:val="left" w:pos="567"/>
              </w:tabs>
              <w:rPr>
                <w:b/>
                <w:color w:val="0000FF"/>
                <w:szCs w:val="24"/>
              </w:rPr>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ED4844" w:rsidRPr="00A23740" w:rsidRDefault="00ED4844" w:rsidP="009431FF">
            <w:pPr>
              <w:pStyle w:val="Stil2"/>
              <w:ind w:firstLine="709"/>
              <w:rPr>
                <w:bCs/>
              </w:rPr>
            </w:pPr>
          </w:p>
          <w:p w:rsidR="0097749B" w:rsidRPr="00A23740" w:rsidRDefault="00BB2129" w:rsidP="009431FF">
            <w:pPr>
              <w:pStyle w:val="Mavi"/>
              <w:ind w:firstLine="709"/>
              <w:rPr>
                <w:b w:val="0"/>
                <w:bCs w:val="0"/>
                <w:color w:val="auto"/>
                <w:lang w:val="tr-TR"/>
              </w:rPr>
            </w:pPr>
            <w:r w:rsidRPr="00A23740">
              <w:rPr>
                <w:bCs w:val="0"/>
                <w:color w:val="auto"/>
                <w:lang w:val="tr-TR"/>
              </w:rPr>
              <w:t>MADDE 331</w:t>
            </w:r>
            <w:r w:rsidR="0097749B" w:rsidRPr="00A23740">
              <w:rPr>
                <w:bCs w:val="0"/>
                <w:color w:val="auto"/>
                <w:lang w:val="tr-TR"/>
              </w:rPr>
              <w:t>-</w:t>
            </w:r>
            <w:r w:rsidR="0097749B" w:rsidRPr="00A23740">
              <w:rPr>
                <w:b w:val="0"/>
                <w:bCs w:val="0"/>
                <w:color w:val="auto"/>
                <w:lang w:val="tr-TR"/>
              </w:rPr>
              <w:t xml:space="preserve"> Maddeyle, </w:t>
            </w:r>
            <w:r w:rsidR="008C62A0" w:rsidRPr="00A23740">
              <w:rPr>
                <w:b w:val="0"/>
                <w:bCs w:val="0"/>
                <w:color w:val="auto"/>
                <w:lang w:val="tr-TR"/>
              </w:rPr>
              <w:t xml:space="preserve">olağan </w:t>
            </w:r>
            <w:r w:rsidR="0097749B" w:rsidRPr="00A23740">
              <w:rPr>
                <w:b w:val="0"/>
                <w:bCs w:val="0"/>
                <w:color w:val="auto"/>
                <w:lang w:val="tr-TR"/>
              </w:rPr>
              <w:t>tasfiyenin tamamlanmasına ilişkin hususlar düzenlenmektedir. Hüküm, 2004 sayılı Kanunun 256 ncı m</w:t>
            </w:r>
            <w:r w:rsidR="00F75759">
              <w:rPr>
                <w:b w:val="0"/>
                <w:bCs w:val="0"/>
                <w:color w:val="auto"/>
                <w:lang w:val="tr-TR"/>
              </w:rPr>
              <w:t>addesine karşılık gelmektedir.</w:t>
            </w:r>
          </w:p>
          <w:p w:rsidR="00ED4844" w:rsidRPr="00A23740" w:rsidRDefault="00ED4844" w:rsidP="009431FF">
            <w:pPr>
              <w:pStyle w:val="Mavi"/>
              <w:ind w:firstLine="709"/>
              <w:rPr>
                <w:b w:val="0"/>
                <w:bCs w:val="0"/>
                <w:color w:val="auto"/>
                <w:lang w:val="tr-TR"/>
              </w:rPr>
            </w:pPr>
            <w:r w:rsidRPr="00A23740">
              <w:rPr>
                <w:b w:val="0"/>
                <w:bCs w:val="0"/>
                <w:color w:val="auto"/>
                <w:lang w:val="tr-TR"/>
              </w:rPr>
              <w:t>Olağan tasfiyenin tamamlanması</w:t>
            </w:r>
            <w:r w:rsidR="00511A81" w:rsidRPr="00A23740">
              <w:rPr>
                <w:b w:val="0"/>
                <w:bCs w:val="0"/>
                <w:color w:val="auto"/>
                <w:lang w:val="tr-TR"/>
              </w:rPr>
              <w:t xml:space="preserve"> </w:t>
            </w:r>
            <w:r w:rsidR="00511A81" w:rsidRPr="00F75759">
              <w:rPr>
                <w:b w:val="0"/>
                <w:color w:val="auto"/>
                <w:lang w:val="tr-TR"/>
              </w:rPr>
              <w:t>konusu,</w:t>
            </w:r>
            <w:r w:rsidRPr="00A23740">
              <w:rPr>
                <w:b w:val="0"/>
                <w:bCs w:val="0"/>
                <w:color w:val="auto"/>
                <w:lang w:val="tr-TR"/>
              </w:rPr>
              <w:t xml:space="preserve"> </w:t>
            </w:r>
            <w:r w:rsidR="002466AD" w:rsidRPr="00F75759">
              <w:rPr>
                <w:b w:val="0"/>
                <w:color w:val="auto"/>
                <w:lang w:val="tr-TR"/>
              </w:rPr>
              <w:t>bu</w:t>
            </w:r>
            <w:r w:rsidRPr="00F75759">
              <w:rPr>
                <w:b w:val="0"/>
                <w:bCs w:val="0"/>
                <w:color w:val="auto"/>
                <w:lang w:val="tr-TR"/>
              </w:rPr>
              <w:t xml:space="preserve"> </w:t>
            </w:r>
            <w:r w:rsidRPr="00A23740">
              <w:rPr>
                <w:b w:val="0"/>
                <w:bCs w:val="0"/>
                <w:color w:val="auto"/>
                <w:lang w:val="tr-TR"/>
              </w:rPr>
              <w:t xml:space="preserve">madde olarak düzenlenmiş ve böylece ilgililerin tasfiye </w:t>
            </w:r>
            <w:r w:rsidR="00511A81" w:rsidRPr="00F75759">
              <w:rPr>
                <w:b w:val="0"/>
                <w:color w:val="auto"/>
                <w:lang w:val="tr-TR"/>
              </w:rPr>
              <w:t>süreci</w:t>
            </w:r>
            <w:r w:rsidR="00511A81" w:rsidRPr="00F75759">
              <w:rPr>
                <w:b w:val="0"/>
                <w:bCs w:val="0"/>
                <w:color w:val="auto"/>
                <w:lang w:val="tr-TR"/>
              </w:rPr>
              <w:t xml:space="preserve"> </w:t>
            </w:r>
            <w:r w:rsidRPr="00A23740">
              <w:rPr>
                <w:b w:val="0"/>
                <w:bCs w:val="0"/>
                <w:color w:val="auto"/>
                <w:lang w:val="tr-TR"/>
              </w:rPr>
              <w:t>hakkında baştan bilgi sahibi olmaları sağlanmak istenmiştir. Ayrıca hükümle olağan tasfiye mekanizmasının iflas tasfiyesinin gereklerine uygun h</w:t>
            </w:r>
            <w:r w:rsidR="009D574E" w:rsidRPr="00A23740">
              <w:rPr>
                <w:b w:val="0"/>
                <w:bCs w:val="0"/>
                <w:color w:val="auto"/>
                <w:lang w:val="tr-TR"/>
              </w:rPr>
              <w:t>â</w:t>
            </w:r>
            <w:r w:rsidRPr="00A23740">
              <w:rPr>
                <w:b w:val="0"/>
                <w:bCs w:val="0"/>
                <w:color w:val="auto"/>
                <w:lang w:val="tr-TR"/>
              </w:rPr>
              <w:t xml:space="preserve">le getirilmesi sağlanmıştır. </w:t>
            </w:r>
          </w:p>
          <w:p w:rsidR="00ED4844" w:rsidRPr="00A23740" w:rsidRDefault="00ED4844" w:rsidP="009431FF">
            <w:pPr>
              <w:tabs>
                <w:tab w:val="left" w:pos="567"/>
              </w:tabs>
              <w:ind w:firstLine="709"/>
              <w:rPr>
                <w:bCs/>
                <w:szCs w:val="24"/>
              </w:rPr>
            </w:pPr>
            <w:r w:rsidRPr="00A23740">
              <w:t>İflas mahkemesinin tasfiye süresinin uzatılması yahut basit tasfiye usulüne geçilmesi yönündeki kararının kesin olduğu açıkça düzenlenmiştir.</w:t>
            </w:r>
          </w:p>
          <w:p w:rsidR="00ED4844" w:rsidRPr="00A23740" w:rsidRDefault="00ED4844"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Reddedilen miraslarda alacaklıları davet</w:t>
            </w:r>
            <w:r w:rsidRPr="00A23740">
              <w:rPr>
                <w:b/>
                <w:strike/>
                <w:color w:val="FF0000"/>
                <w:szCs w:val="24"/>
              </w:rPr>
              <w:t>:</w:t>
            </w:r>
          </w:p>
          <w:p w:rsidR="00AA5C8C" w:rsidRPr="00A23740" w:rsidRDefault="00AA5C8C" w:rsidP="009431FF">
            <w:pPr>
              <w:tabs>
                <w:tab w:val="left" w:pos="567"/>
              </w:tabs>
              <w:rPr>
                <w:b/>
                <w:szCs w:val="24"/>
              </w:rPr>
            </w:pPr>
            <w:r w:rsidRPr="00A23740">
              <w:rPr>
                <w:rStyle w:val="KIRMIZIChar"/>
                <w:rFonts w:eastAsia="Calibri"/>
              </w:rPr>
              <w:t>Madde 220 – (1) (</w:t>
            </w:r>
            <w:r w:rsidRPr="00A23740">
              <w:rPr>
                <w:b/>
                <w:strike/>
                <w:color w:val="FF0000"/>
                <w:szCs w:val="24"/>
              </w:rPr>
              <w:t>Değişik: 3/7/1940 - 3890/1 md.)</w:t>
            </w:r>
          </w:p>
          <w:p w:rsidR="00AA5C8C" w:rsidRPr="00A23740" w:rsidRDefault="00AA5C8C" w:rsidP="009431FF">
            <w:pPr>
              <w:tabs>
                <w:tab w:val="left" w:pos="567"/>
              </w:tabs>
              <w:rPr>
                <w:szCs w:val="24"/>
              </w:rPr>
            </w:pPr>
            <w:r w:rsidRPr="00A23740">
              <w:rPr>
                <w:szCs w:val="24"/>
              </w:rPr>
              <w:t xml:space="preserve">Reddedilen bir mirasın tasfiyesi </w:t>
            </w:r>
            <w:r w:rsidRPr="00A23740">
              <w:rPr>
                <w:b/>
                <w:strike/>
                <w:color w:val="FF0000"/>
                <w:szCs w:val="24"/>
              </w:rPr>
              <w:t>lazım geldikte</w:t>
            </w:r>
            <w:r w:rsidRPr="00A23740">
              <w:rPr>
                <w:szCs w:val="24"/>
              </w:rPr>
              <w:t xml:space="preserve"> miras hükümleri </w:t>
            </w:r>
            <w:r w:rsidRPr="00A23740">
              <w:rPr>
                <w:b/>
                <w:strike/>
                <w:color w:val="FF0000"/>
                <w:szCs w:val="24"/>
              </w:rPr>
              <w:t xml:space="preserve">mucibince evvelce </w:t>
            </w:r>
            <w:r w:rsidRPr="00A23740">
              <w:rPr>
                <w:szCs w:val="24"/>
              </w:rPr>
              <w:t>alacaklılar davet edilmiş ise yukarıdaki madde</w:t>
            </w:r>
            <w:r w:rsidRPr="00A23740">
              <w:rPr>
                <w:rStyle w:val="KIRMIZIChar"/>
                <w:rFonts w:eastAsia="Calibri"/>
              </w:rPr>
              <w:t>ye</w:t>
            </w:r>
            <w:r w:rsidRPr="00A23740">
              <w:rPr>
                <w:szCs w:val="24"/>
              </w:rPr>
              <w:t xml:space="preserve"> göre </w:t>
            </w:r>
            <w:r w:rsidRPr="00A23740">
              <w:rPr>
                <w:rStyle w:val="KIRMIZIChar"/>
                <w:rFonts w:eastAsia="Calibri"/>
              </w:rPr>
              <w:t>kayıt</w:t>
            </w:r>
            <w:r w:rsidRPr="00A23740">
              <w:rPr>
                <w:szCs w:val="24"/>
              </w:rPr>
              <w:t xml:space="preserve"> </w:t>
            </w:r>
            <w:r w:rsidRPr="00A23740">
              <w:rPr>
                <w:b/>
                <w:strike/>
                <w:color w:val="FF0000"/>
                <w:szCs w:val="24"/>
              </w:rPr>
              <w:t>müddeti on güne</w:t>
            </w:r>
            <w:r w:rsidRPr="00A23740">
              <w:rPr>
                <w:szCs w:val="24"/>
              </w:rPr>
              <w:t xml:space="preserve"> indirilir. </w:t>
            </w:r>
            <w:r w:rsidRPr="00A23740">
              <w:rPr>
                <w:b/>
                <w:strike/>
                <w:color w:val="FF0000"/>
                <w:szCs w:val="24"/>
              </w:rPr>
              <w:t>Evvelce</w:t>
            </w:r>
            <w:r w:rsidRPr="00A23740">
              <w:rPr>
                <w:szCs w:val="24"/>
              </w:rPr>
              <w:t xml:space="preserve"> alacaklarını kayıt</w:t>
            </w:r>
            <w:r w:rsidRPr="00A23740">
              <w:rPr>
                <w:b/>
                <w:strike/>
                <w:color w:val="FF0000"/>
                <w:szCs w:val="24"/>
              </w:rPr>
              <w:t xml:space="preserve"> </w:t>
            </w:r>
            <w:r w:rsidRPr="00A23740">
              <w:rPr>
                <w:szCs w:val="24"/>
              </w:rPr>
              <w:t xml:space="preserve">ettirenler </w:t>
            </w:r>
            <w:r w:rsidRPr="00A23740">
              <w:rPr>
                <w:b/>
                <w:strike/>
                <w:color w:val="FF0000"/>
                <w:szCs w:val="24"/>
              </w:rPr>
              <w:t>için</w:t>
            </w:r>
            <w:r w:rsidRPr="00A23740">
              <w:rPr>
                <w:szCs w:val="24"/>
              </w:rPr>
              <w:t xml:space="preserve"> yeniden </w:t>
            </w:r>
            <w:r w:rsidRPr="00A23740">
              <w:rPr>
                <w:b/>
                <w:strike/>
                <w:color w:val="FF0000"/>
                <w:szCs w:val="24"/>
              </w:rPr>
              <w:t xml:space="preserve">müracaata lüzum </w:t>
            </w:r>
            <w:r w:rsidRPr="00A23740">
              <w:rPr>
                <w:szCs w:val="24"/>
              </w:rPr>
              <w:t>yoktur.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szCs w:val="24"/>
              </w:rPr>
            </w:pPr>
            <w:r w:rsidRPr="00A23740">
              <w:rPr>
                <w:b/>
                <w:bCs/>
              </w:rPr>
              <w:t>Reddedilen miraslarda</w:t>
            </w:r>
            <w:r w:rsidRPr="00A23740">
              <w:rPr>
                <w:szCs w:val="24"/>
              </w:rPr>
              <w:t xml:space="preserve"> </w:t>
            </w:r>
            <w:r w:rsidRPr="00A23740">
              <w:rPr>
                <w:b/>
                <w:szCs w:val="24"/>
              </w:rPr>
              <w:t>alacaklıları davet</w:t>
            </w:r>
          </w:p>
          <w:p w:rsidR="00AA5C8C" w:rsidRPr="00A23740" w:rsidRDefault="00AA5C8C" w:rsidP="009431FF">
            <w:pPr>
              <w:tabs>
                <w:tab w:val="left" w:pos="567"/>
              </w:tabs>
              <w:rPr>
                <w:rStyle w:val="YELChar"/>
              </w:rPr>
            </w:pPr>
            <w:r w:rsidRPr="00A23740">
              <w:rPr>
                <w:rStyle w:val="MaviChar"/>
                <w:lang w:val="tr-TR"/>
              </w:rPr>
              <w:t xml:space="preserve">MADDE </w:t>
            </w:r>
            <w:r w:rsidR="00BB2129" w:rsidRPr="00A23740">
              <w:rPr>
                <w:rStyle w:val="MAVChar"/>
                <w:rFonts w:eastAsia="Calibri"/>
                <w:u w:val="none"/>
              </w:rPr>
              <w:t>332</w:t>
            </w:r>
            <w:r w:rsidRPr="00A23740">
              <w:rPr>
                <w:rStyle w:val="MAVChar"/>
                <w:rFonts w:eastAsia="Calibri"/>
                <w:u w:val="none"/>
              </w:rPr>
              <w:t>- (</w:t>
            </w:r>
            <w:r w:rsidRPr="00A23740">
              <w:rPr>
                <w:b/>
                <w:color w:val="0000FF"/>
                <w:szCs w:val="24"/>
              </w:rPr>
              <w:t>1)</w:t>
            </w:r>
            <w:r w:rsidRPr="00A23740">
              <w:rPr>
                <w:b/>
                <w:szCs w:val="24"/>
              </w:rPr>
              <w:t xml:space="preserve"> </w:t>
            </w:r>
            <w:r w:rsidRPr="00A23740">
              <w:t>Reddedilen bir mirasın tasfiyesi</w:t>
            </w:r>
            <w:r w:rsidRPr="00A23740">
              <w:rPr>
                <w:rStyle w:val="MaviChar"/>
              </w:rPr>
              <w:t>nde</w:t>
            </w:r>
            <w:r w:rsidRPr="00A23740">
              <w:rPr>
                <w:rStyle w:val="YELChar"/>
              </w:rPr>
              <w:t xml:space="preserve"> </w:t>
            </w:r>
            <w:r w:rsidRPr="00A23740">
              <w:t>miras</w:t>
            </w:r>
            <w:r w:rsidRPr="00A23740">
              <w:rPr>
                <w:b/>
              </w:rPr>
              <w:t xml:space="preserve"> </w:t>
            </w:r>
            <w:r w:rsidRPr="00A23740">
              <w:t>hükümleri</w:t>
            </w:r>
            <w:r w:rsidRPr="00A23740">
              <w:rPr>
                <w:rStyle w:val="YELChar"/>
              </w:rPr>
              <w:t xml:space="preserve"> </w:t>
            </w:r>
            <w:r w:rsidRPr="00A23740">
              <w:rPr>
                <w:rStyle w:val="MaviChar"/>
              </w:rPr>
              <w:t>uyarınca</w:t>
            </w:r>
            <w:r w:rsidRPr="00A23740">
              <w:rPr>
                <w:rStyle w:val="YELChar"/>
              </w:rPr>
              <w:t xml:space="preserve"> </w:t>
            </w:r>
            <w:r w:rsidRPr="00A23740">
              <w:rPr>
                <w:szCs w:val="24"/>
              </w:rPr>
              <w:t>alacaklılar</w:t>
            </w:r>
            <w:r w:rsidRPr="00A23740">
              <w:rPr>
                <w:rStyle w:val="YELChar"/>
              </w:rPr>
              <w:t xml:space="preserve"> </w:t>
            </w:r>
            <w:r w:rsidRPr="00A23740">
              <w:rPr>
                <w:rStyle w:val="MaviChar"/>
              </w:rPr>
              <w:t>daha önce</w:t>
            </w:r>
            <w:r w:rsidRPr="00A23740">
              <w:rPr>
                <w:rStyle w:val="YELChar"/>
              </w:rPr>
              <w:t xml:space="preserve"> </w:t>
            </w:r>
            <w:r w:rsidRPr="00A23740">
              <w:t>davet edilmiş</w:t>
            </w:r>
            <w:r w:rsidR="00511A81" w:rsidRPr="00A23740">
              <w:rPr>
                <w:rStyle w:val="Balk1Char"/>
                <w:rFonts w:eastAsia="Calibri"/>
              </w:rPr>
              <w:t>se,</w:t>
            </w:r>
            <w:r w:rsidRPr="00A23740">
              <w:rPr>
                <w:rStyle w:val="YELChar"/>
              </w:rPr>
              <w:t xml:space="preserve"> </w:t>
            </w:r>
            <w:r w:rsidR="009357BA" w:rsidRPr="00A23740">
              <w:rPr>
                <w:rStyle w:val="MaviChar"/>
                <w:lang w:val="tr-TR"/>
              </w:rPr>
              <w:t>330 uncu</w:t>
            </w:r>
            <w:r w:rsidR="009357BA" w:rsidRPr="00A23740">
              <w:rPr>
                <w:rStyle w:val="KIRMIZIChar"/>
                <w:rFonts w:eastAsia="Calibri"/>
                <w:strike w:val="0"/>
              </w:rPr>
              <w:t xml:space="preserve"> </w:t>
            </w:r>
            <w:r w:rsidR="00511A81" w:rsidRPr="00A23740">
              <w:rPr>
                <w:rStyle w:val="MaviChar"/>
                <w:lang w:val="tr-TR"/>
              </w:rPr>
              <w:t xml:space="preserve">maddeye </w:t>
            </w:r>
            <w:r w:rsidRPr="00A23740">
              <w:rPr>
                <w:szCs w:val="24"/>
              </w:rPr>
              <w:t>göre</w:t>
            </w:r>
            <w:r w:rsidRPr="00A23740">
              <w:rPr>
                <w:rStyle w:val="MaviChar"/>
              </w:rPr>
              <w:t xml:space="preserve"> </w:t>
            </w:r>
            <w:r w:rsidR="00511A81" w:rsidRPr="00A23740">
              <w:rPr>
                <w:rStyle w:val="MaviChar"/>
                <w:lang w:val="tr-TR"/>
              </w:rPr>
              <w:t xml:space="preserve">yapılacak bildirimin </w:t>
            </w:r>
            <w:r w:rsidRPr="00A23740">
              <w:rPr>
                <w:rStyle w:val="MaviChar"/>
              </w:rPr>
              <w:t>süresi iki haftadır.</w:t>
            </w:r>
          </w:p>
          <w:p w:rsidR="00AA5C8C" w:rsidRDefault="00AA5C8C" w:rsidP="009431FF">
            <w:pPr>
              <w:tabs>
                <w:tab w:val="left" w:pos="567"/>
              </w:tabs>
              <w:rPr>
                <w:rStyle w:val="YELChar"/>
              </w:rPr>
            </w:pPr>
          </w:p>
          <w:p w:rsidR="00892799" w:rsidRPr="00A23740" w:rsidRDefault="00892799" w:rsidP="009431FF">
            <w:pPr>
              <w:tabs>
                <w:tab w:val="left" w:pos="567"/>
              </w:tabs>
              <w:rPr>
                <w:rStyle w:val="YELChar"/>
              </w:rPr>
            </w:pPr>
          </w:p>
          <w:p w:rsidR="00AA5C8C" w:rsidRPr="00A23740" w:rsidRDefault="00AA5C8C" w:rsidP="009431FF">
            <w:pPr>
              <w:tabs>
                <w:tab w:val="left" w:pos="567"/>
              </w:tabs>
            </w:pPr>
            <w:r w:rsidRPr="00A23740">
              <w:rPr>
                <w:rStyle w:val="MaviChar"/>
              </w:rPr>
              <w:t>(2)</w:t>
            </w:r>
            <w:r w:rsidRPr="00A23740">
              <w:rPr>
                <w:rStyle w:val="YELChar"/>
              </w:rPr>
              <w:t xml:space="preserve"> </w:t>
            </w:r>
            <w:r w:rsidRPr="00A23740">
              <w:rPr>
                <w:szCs w:val="24"/>
              </w:rPr>
              <w:t>Alacaklarını</w:t>
            </w:r>
            <w:r w:rsidRPr="00A23740">
              <w:rPr>
                <w:rStyle w:val="MaviChar"/>
              </w:rPr>
              <w:t xml:space="preserve"> daha önce </w:t>
            </w:r>
            <w:r w:rsidR="004654F2" w:rsidRPr="00A23740">
              <w:rPr>
                <w:rStyle w:val="MaviChar"/>
                <w:lang w:val="tr-TR"/>
              </w:rPr>
              <w:t xml:space="preserve">kaydettirenlerin </w:t>
            </w:r>
            <w:r w:rsidRPr="00A23740">
              <w:rPr>
                <w:szCs w:val="24"/>
              </w:rPr>
              <w:t>yeniden</w:t>
            </w:r>
            <w:r w:rsidRPr="00A23740">
              <w:rPr>
                <w:rStyle w:val="MaviChar"/>
              </w:rPr>
              <w:t xml:space="preserve"> </w:t>
            </w:r>
            <w:r w:rsidR="004654F2" w:rsidRPr="00A23740">
              <w:rPr>
                <w:rStyle w:val="MaviChar"/>
                <w:lang w:val="tr-TR"/>
              </w:rPr>
              <w:t xml:space="preserve">bildirimde bulunmalarına </w:t>
            </w:r>
            <w:r w:rsidRPr="00A23740">
              <w:rPr>
                <w:rStyle w:val="MaviChar"/>
              </w:rPr>
              <w:t>gerek</w:t>
            </w:r>
            <w:r w:rsidRPr="00A23740">
              <w:rPr>
                <w:rStyle w:val="YELChar"/>
              </w:rPr>
              <w:t xml:space="preserve"> </w:t>
            </w:r>
            <w:r w:rsidRPr="00A23740">
              <w:t>yoktur.</w:t>
            </w:r>
          </w:p>
          <w:p w:rsidR="00AA5C8C" w:rsidRPr="00A23740" w:rsidRDefault="00AA5C8C" w:rsidP="009431FF">
            <w:pPr>
              <w:pStyle w:val="YEL"/>
            </w:pPr>
          </w:p>
        </w:tc>
      </w:tr>
      <w:tr w:rsidR="00ED4844"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C62A0" w:rsidRPr="00A23740" w:rsidRDefault="008C62A0" w:rsidP="009431FF">
            <w:pPr>
              <w:pStyle w:val="Mavi"/>
              <w:ind w:firstLine="709"/>
              <w:rPr>
                <w:bCs w:val="0"/>
                <w:color w:val="auto"/>
                <w:lang w:val="tr-TR"/>
              </w:rPr>
            </w:pPr>
          </w:p>
          <w:p w:rsidR="008C62A0" w:rsidRPr="00A23740" w:rsidRDefault="00BB2129" w:rsidP="009431FF">
            <w:pPr>
              <w:tabs>
                <w:tab w:val="left" w:pos="567"/>
              </w:tabs>
              <w:ind w:firstLine="709"/>
              <w:rPr>
                <w:szCs w:val="24"/>
              </w:rPr>
            </w:pPr>
            <w:r w:rsidRPr="00A23740">
              <w:rPr>
                <w:b/>
                <w:bCs/>
              </w:rPr>
              <w:t>MADDE 332</w:t>
            </w:r>
            <w:r w:rsidR="008C62A0" w:rsidRPr="00A23740">
              <w:rPr>
                <w:b/>
                <w:bCs/>
              </w:rPr>
              <w:t xml:space="preserve">- </w:t>
            </w:r>
            <w:r w:rsidR="008C62A0" w:rsidRPr="00A23740">
              <w:rPr>
                <w:bCs/>
                <w:szCs w:val="24"/>
              </w:rPr>
              <w:t>Maddeyle, reddedilen miraslarda alacaklıları davete ilişkin hususlar düzenlenmektedir. Hüküm, 2004 sayılı Kanunun 220</w:t>
            </w:r>
            <w:r w:rsidR="00F65461" w:rsidRPr="00A23740">
              <w:rPr>
                <w:bCs/>
                <w:szCs w:val="24"/>
              </w:rPr>
              <w:t xml:space="preserve"> </w:t>
            </w:r>
            <w:r w:rsidR="00F65461" w:rsidRPr="001560F0">
              <w:rPr>
                <w:bCs/>
                <w:color w:val="000000" w:themeColor="text1"/>
                <w:szCs w:val="24"/>
              </w:rPr>
              <w:t>nci</w:t>
            </w:r>
            <w:r w:rsidR="008C62A0" w:rsidRPr="00A23740">
              <w:rPr>
                <w:bCs/>
                <w:szCs w:val="24"/>
              </w:rPr>
              <w:t xml:space="preserve"> maddesine karşılık gelmektedir.</w:t>
            </w:r>
            <w:r w:rsidR="008C62A0" w:rsidRPr="00A23740">
              <w:rPr>
                <w:b/>
                <w:bCs/>
              </w:rPr>
              <w:t xml:space="preserve"> </w:t>
            </w:r>
          </w:p>
          <w:p w:rsidR="00ED4844" w:rsidRPr="00A23740" w:rsidRDefault="00ED4844" w:rsidP="009431FF">
            <w:pPr>
              <w:pStyle w:val="Stil2"/>
              <w:ind w:firstLine="709"/>
              <w:rPr>
                <w:bCs/>
              </w:rPr>
            </w:pPr>
            <w:r w:rsidRPr="00A23740">
              <w:rPr>
                <w:rFonts w:eastAsia="Calibri"/>
                <w:b w:val="0"/>
                <w:bCs/>
                <w:color w:val="auto"/>
                <w:u w:val="none"/>
                <w:lang w:val="tr-TR" w:eastAsia="en-US"/>
              </w:rPr>
              <w:t xml:space="preserve">Hükümde reddedilen mirasın tasfiyesinde alacaklıları davet usulü </w:t>
            </w:r>
            <w:r w:rsidR="004654F2" w:rsidRPr="00F75759">
              <w:rPr>
                <w:rFonts w:eastAsia="Calibri"/>
                <w:b w:val="0"/>
                <w:color w:val="auto"/>
                <w:u w:val="none"/>
                <w:lang w:val="tr-TR"/>
              </w:rPr>
              <w:t>açıklanmıştır.</w:t>
            </w:r>
          </w:p>
          <w:p w:rsidR="00D61600" w:rsidRPr="00A23740" w:rsidRDefault="00D61600"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III. MASANIN İDARESİ</w:t>
            </w: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tabs>
                <w:tab w:val="left" w:pos="567"/>
              </w:tabs>
              <w:rPr>
                <w:rStyle w:val="KIRMIZIChar"/>
                <w:rFonts w:eastAsia="Calibri"/>
              </w:rPr>
            </w:pPr>
          </w:p>
          <w:p w:rsidR="00AA5C8C" w:rsidRPr="00A23740" w:rsidRDefault="00AA5C8C" w:rsidP="009431FF">
            <w:pPr>
              <w:tabs>
                <w:tab w:val="left" w:pos="567"/>
              </w:tabs>
              <w:rPr>
                <w:rStyle w:val="KIRMIZIChar"/>
                <w:rFonts w:eastAsia="Calibri"/>
              </w:rPr>
            </w:pPr>
          </w:p>
          <w:p w:rsidR="00AA5C8C" w:rsidRPr="00A23740" w:rsidRDefault="00AA5C8C" w:rsidP="009431FF">
            <w:pPr>
              <w:tabs>
                <w:tab w:val="left" w:pos="567"/>
              </w:tabs>
              <w:rPr>
                <w:rStyle w:val="KIRMIZIChar"/>
                <w:rFonts w:eastAsia="Calibri"/>
              </w:rPr>
            </w:pPr>
          </w:p>
          <w:p w:rsidR="00AA5C8C" w:rsidRPr="00A23740" w:rsidRDefault="00AA5C8C" w:rsidP="009431FF">
            <w:pPr>
              <w:tabs>
                <w:tab w:val="left" w:pos="567"/>
              </w:tabs>
              <w:rPr>
                <w:szCs w:val="24"/>
              </w:rPr>
            </w:pPr>
            <w:r w:rsidRPr="00A23740">
              <w:rPr>
                <w:rStyle w:val="KIRMIZIChar"/>
                <w:rFonts w:eastAsia="Calibri"/>
              </w:rPr>
              <w:t>İlk</w:t>
            </w:r>
            <w:r w:rsidRPr="00A23740">
              <w:rPr>
                <w:szCs w:val="24"/>
              </w:rPr>
              <w:t xml:space="preserve"> alacaklılar toplan</w:t>
            </w:r>
            <w:r w:rsidRPr="00A23740">
              <w:rPr>
                <w:b/>
                <w:strike/>
                <w:color w:val="FF0000"/>
                <w:szCs w:val="24"/>
              </w:rPr>
              <w:t>ması:</w:t>
            </w:r>
          </w:p>
          <w:p w:rsidR="00AA5C8C" w:rsidRPr="00A23740" w:rsidRDefault="00AA5C8C" w:rsidP="009431FF">
            <w:pPr>
              <w:tabs>
                <w:tab w:val="left" w:pos="567"/>
              </w:tabs>
              <w:rPr>
                <w:b/>
                <w:strike/>
                <w:color w:val="FF0000"/>
                <w:szCs w:val="24"/>
              </w:rPr>
            </w:pPr>
            <w:r w:rsidRPr="00A23740">
              <w:rPr>
                <w:rStyle w:val="KIRMIZIChar"/>
                <w:rFonts w:eastAsia="Calibri"/>
              </w:rPr>
              <w:t>Madde 221 – (1) (</w:t>
            </w:r>
            <w:r w:rsidRPr="00A23740">
              <w:rPr>
                <w:b/>
                <w:strike/>
                <w:color w:val="FF0000"/>
                <w:szCs w:val="24"/>
              </w:rPr>
              <w:t>Değişik: 6/6/1985 - 3222/25 md.)</w:t>
            </w:r>
          </w:p>
          <w:p w:rsidR="00AA5C8C" w:rsidRPr="00A23740" w:rsidRDefault="00AA5C8C" w:rsidP="009431FF">
            <w:pPr>
              <w:tabs>
                <w:tab w:val="left" w:pos="567"/>
              </w:tabs>
              <w:rPr>
                <w:b/>
                <w:strike/>
                <w:color w:val="FF0000"/>
                <w:szCs w:val="24"/>
              </w:rPr>
            </w:pPr>
            <w:r w:rsidRPr="00A23740">
              <w:rPr>
                <w:b/>
                <w:strike/>
                <w:color w:val="FF0000"/>
                <w:szCs w:val="24"/>
              </w:rPr>
              <w:t>(Değişik: 9/11/1988 - 3494/45 md.)</w:t>
            </w:r>
            <w:r w:rsidRPr="00A23740">
              <w:rPr>
                <w:szCs w:val="24"/>
              </w:rPr>
              <w:t xml:space="preserve"> </w:t>
            </w:r>
            <w:r w:rsidRPr="00A23740">
              <w:rPr>
                <w:b/>
                <w:strike/>
                <w:color w:val="FF0000"/>
                <w:szCs w:val="24"/>
              </w:rPr>
              <w:t>İlk</w:t>
            </w:r>
            <w:r w:rsidRPr="00A23740">
              <w:rPr>
                <w:szCs w:val="24"/>
              </w:rPr>
              <w:t xml:space="preserve"> alacaklılar toplantısı</w:t>
            </w:r>
            <w:r w:rsidRPr="00A23740">
              <w:rPr>
                <w:b/>
                <w:strike/>
                <w:color w:val="FF0000"/>
                <w:szCs w:val="24"/>
              </w:rPr>
              <w:t xml:space="preserve">na </w:t>
            </w:r>
            <w:r w:rsidRPr="00A23740">
              <w:rPr>
                <w:szCs w:val="24"/>
              </w:rPr>
              <w:t>iflas müdürü</w:t>
            </w:r>
            <w:r w:rsidRPr="00A23740">
              <w:rPr>
                <w:b/>
                <w:strike/>
                <w:color w:val="FF0000"/>
                <w:szCs w:val="24"/>
              </w:rPr>
              <w:t xml:space="preserve"> veya yardımcılarından biri başkanlık eder. Müdür, alacaklı oldukları tercihan ellerinde noter veya ipotek senedi gibi resmi senetle yahut 68/b ve 150/ı maddelerinde belirtilen belgelerle sabit olan kişilerden bir veya iki alacaklı veya mümesilleriyle birlikte bir büro teşkil eder.</w:t>
            </w:r>
          </w:p>
          <w:p w:rsidR="00AA5C8C" w:rsidRPr="00A23740" w:rsidRDefault="00AA5C8C" w:rsidP="009431FF">
            <w:pPr>
              <w:tabs>
                <w:tab w:val="left" w:pos="567"/>
              </w:tabs>
              <w:rPr>
                <w:szCs w:val="24"/>
              </w:rPr>
            </w:pPr>
          </w:p>
          <w:p w:rsidR="00AA5C8C" w:rsidRPr="00A23740" w:rsidRDefault="00AE0894" w:rsidP="009431FF">
            <w:pPr>
              <w:tabs>
                <w:tab w:val="left" w:pos="567"/>
              </w:tabs>
              <w:rPr>
                <w:b/>
                <w:strike/>
                <w:color w:val="FF0000"/>
                <w:szCs w:val="24"/>
              </w:rPr>
            </w:pPr>
            <w:r>
              <w:rPr>
                <w:b/>
                <w:color w:val="FF0000"/>
                <w:szCs w:val="24"/>
              </w:rPr>
              <w:t>M.</w:t>
            </w:r>
            <w:r w:rsidR="00AA5C8C" w:rsidRPr="00A23740">
              <w:rPr>
                <w:b/>
                <w:color w:val="FF0000"/>
                <w:szCs w:val="24"/>
              </w:rPr>
              <w:t>221</w:t>
            </w:r>
            <w:r>
              <w:rPr>
                <w:b/>
                <w:color w:val="FF0000"/>
                <w:szCs w:val="24"/>
              </w:rPr>
              <w:t>/</w:t>
            </w:r>
            <w:r w:rsidR="00AA5C8C" w:rsidRPr="00A23740">
              <w:rPr>
                <w:b/>
                <w:color w:val="FF0000"/>
                <w:szCs w:val="24"/>
              </w:rPr>
              <w:t xml:space="preserve">F1.C2: </w:t>
            </w:r>
            <w:r w:rsidR="00AA5C8C" w:rsidRPr="00A23740">
              <w:rPr>
                <w:szCs w:val="24"/>
              </w:rPr>
              <w:t>Müdür,</w:t>
            </w:r>
            <w:r w:rsidR="00AA5C8C" w:rsidRPr="00A23740">
              <w:rPr>
                <w:b/>
                <w:color w:val="FF0000"/>
                <w:szCs w:val="24"/>
              </w:rPr>
              <w:t xml:space="preserve"> </w:t>
            </w:r>
            <w:r w:rsidR="00AA5C8C" w:rsidRPr="00A23740">
              <w:rPr>
                <w:szCs w:val="24"/>
              </w:rPr>
              <w:t xml:space="preserve">alacaklı oldukları </w:t>
            </w:r>
            <w:r w:rsidR="00AA5C8C" w:rsidRPr="00A23740">
              <w:rPr>
                <w:b/>
                <w:strike/>
                <w:color w:val="FF0000"/>
                <w:szCs w:val="24"/>
              </w:rPr>
              <w:t>tercihan</w:t>
            </w:r>
            <w:r w:rsidR="00AA5C8C" w:rsidRPr="00A23740">
              <w:rPr>
                <w:szCs w:val="24"/>
              </w:rPr>
              <w:t xml:space="preserve"> ellerinde noter veya ipotek senedi gibi resmi senetle </w:t>
            </w:r>
            <w:r w:rsidR="00AA5C8C" w:rsidRPr="00A23740">
              <w:rPr>
                <w:b/>
                <w:strike/>
                <w:color w:val="FF0000"/>
                <w:szCs w:val="24"/>
              </w:rPr>
              <w:t>yahut 68/b ve 150/ı maddelerinde belirtilen belgelerle</w:t>
            </w:r>
            <w:r w:rsidR="00AA5C8C" w:rsidRPr="00A23740">
              <w:rPr>
                <w:b/>
                <w:color w:val="FF0000"/>
                <w:szCs w:val="24"/>
              </w:rPr>
              <w:t xml:space="preserve"> </w:t>
            </w:r>
            <w:r w:rsidR="00AA5C8C" w:rsidRPr="00A23740">
              <w:rPr>
                <w:szCs w:val="24"/>
              </w:rPr>
              <w:t>sabit olan</w:t>
            </w:r>
            <w:r w:rsidR="00AA5C8C" w:rsidRPr="00A23740">
              <w:rPr>
                <w:b/>
                <w:strike/>
                <w:color w:val="FF0000"/>
                <w:szCs w:val="24"/>
              </w:rPr>
              <w:t xml:space="preserve"> kişilerden bir veya </w:t>
            </w:r>
            <w:r w:rsidR="00AA5C8C" w:rsidRPr="00A23740">
              <w:rPr>
                <w:szCs w:val="24"/>
              </w:rPr>
              <w:t xml:space="preserve">iki alacaklı </w:t>
            </w:r>
            <w:r w:rsidR="00AA5C8C" w:rsidRPr="00A23740">
              <w:rPr>
                <w:b/>
                <w:strike/>
                <w:color w:val="FF0000"/>
                <w:szCs w:val="24"/>
              </w:rPr>
              <w:t>veya mümesilleriyle</w:t>
            </w:r>
            <w:r w:rsidR="00AA5C8C" w:rsidRPr="00A23740">
              <w:rPr>
                <w:szCs w:val="24"/>
              </w:rPr>
              <w:t xml:space="preserve"> birlikte bir büro</w:t>
            </w:r>
            <w:r w:rsidR="00AA5C8C" w:rsidRPr="00A23740">
              <w:rPr>
                <w:b/>
                <w:color w:val="FF0000"/>
                <w:szCs w:val="24"/>
              </w:rPr>
              <w:t xml:space="preserve"> </w:t>
            </w:r>
            <w:r w:rsidR="00AA5C8C" w:rsidRPr="00A23740">
              <w:rPr>
                <w:b/>
                <w:strike/>
                <w:color w:val="FF0000"/>
                <w:szCs w:val="24"/>
              </w:rPr>
              <w:t>teşkil eder.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w:t>
            </w:r>
            <w:r w:rsidRPr="00A23740">
              <w:rPr>
                <w:rStyle w:val="KIRMIZIChar"/>
                <w:rFonts w:eastAsia="Calibri"/>
              </w:rPr>
              <w:t>Kendileri veya</w:t>
            </w:r>
            <w:r w:rsidRPr="00A23740">
              <w:rPr>
                <w:szCs w:val="24"/>
              </w:rPr>
              <w:t xml:space="preserve"> </w:t>
            </w:r>
            <w:r w:rsidRPr="00A23740">
              <w:rPr>
                <w:b/>
                <w:strike/>
                <w:color w:val="FF0000"/>
                <w:szCs w:val="24"/>
              </w:rPr>
              <w:t>mümessilleri</w:t>
            </w:r>
            <w:r w:rsidRPr="00A23740">
              <w:rPr>
                <w:szCs w:val="24"/>
              </w:rPr>
              <w:t xml:space="preserve"> bulunan alacaklılar, </w:t>
            </w:r>
            <w:r w:rsidRPr="00A23740">
              <w:rPr>
                <w:b/>
                <w:strike/>
                <w:color w:val="FF0000"/>
                <w:szCs w:val="24"/>
              </w:rPr>
              <w:t>malum</w:t>
            </w:r>
            <w:r w:rsidRPr="00A23740">
              <w:rPr>
                <w:szCs w:val="24"/>
              </w:rPr>
              <w:t xml:space="preserve"> alacaklar tutarının en az dörtte birin</w:t>
            </w:r>
            <w:r w:rsidRPr="00A23740">
              <w:rPr>
                <w:rStyle w:val="KIRMIZIChar"/>
                <w:rFonts w:eastAsia="Calibri"/>
              </w:rPr>
              <w:t>i</w:t>
            </w:r>
            <w:r w:rsidRPr="00A23740">
              <w:rPr>
                <w:szCs w:val="24"/>
              </w:rPr>
              <w:t xml:space="preserve"> </w:t>
            </w:r>
            <w:r w:rsidRPr="00A23740">
              <w:rPr>
                <w:rStyle w:val="KIRMIZIChar"/>
                <w:rFonts w:eastAsia="Calibri"/>
              </w:rPr>
              <w:t>temsil etmesi</w:t>
            </w:r>
            <w:r w:rsidRPr="00A23740">
              <w:rPr>
                <w:szCs w:val="24"/>
              </w:rPr>
              <w:t xml:space="preserve"> halinde toplantı </w:t>
            </w:r>
            <w:r w:rsidRPr="00A23740">
              <w:rPr>
                <w:b/>
                <w:strike/>
                <w:color w:val="FF0000"/>
                <w:szCs w:val="24"/>
              </w:rPr>
              <w:t>nisabı hasıl</w:t>
            </w:r>
            <w:r w:rsidRPr="00A23740">
              <w:rPr>
                <w:szCs w:val="24"/>
              </w:rPr>
              <w:t xml:space="preserve"> </w:t>
            </w:r>
            <w:r w:rsidRPr="00A23740">
              <w:rPr>
                <w:rStyle w:val="KIRMIZIChar"/>
                <w:rFonts w:eastAsia="Calibri"/>
              </w:rPr>
              <w:t>olur</w:t>
            </w:r>
            <w:r w:rsidRPr="00A23740">
              <w:rPr>
                <w:szCs w:val="24"/>
              </w:rPr>
              <w:t>. Toplantıda bulunan</w:t>
            </w:r>
            <w:r w:rsidRPr="00A23740">
              <w:rPr>
                <w:rStyle w:val="KIRMIZIChar"/>
                <w:rFonts w:eastAsia="Calibri"/>
              </w:rPr>
              <w:t>lar</w:t>
            </w:r>
            <w:r w:rsidRPr="00A23740">
              <w:rPr>
                <w:szCs w:val="24"/>
              </w:rPr>
              <w:t xml:space="preserve"> beş kişiden az ise bunların, alacak tutarının yarısına sahip olması şarttır.</w:t>
            </w:r>
          </w:p>
          <w:p w:rsidR="00AA5C8C" w:rsidRPr="00A23740" w:rsidRDefault="00AA5C8C" w:rsidP="009431FF">
            <w:pPr>
              <w:tabs>
                <w:tab w:val="left" w:pos="567"/>
              </w:tabs>
              <w:rPr>
                <w:szCs w:val="24"/>
              </w:rPr>
            </w:pPr>
          </w:p>
          <w:p w:rsidR="00540255" w:rsidRPr="00A23740" w:rsidRDefault="00540255" w:rsidP="009431FF">
            <w:pPr>
              <w:tabs>
                <w:tab w:val="left" w:pos="567"/>
              </w:tabs>
              <w:rPr>
                <w:szCs w:val="24"/>
              </w:rPr>
            </w:pPr>
            <w:r w:rsidRPr="00A23740">
              <w:rPr>
                <w:b/>
                <w:bCs/>
                <w:strike/>
                <w:color w:val="FF0000"/>
                <w:szCs w:val="24"/>
                <w:lang w:val="x-none" w:eastAsia="x-none"/>
              </w:rPr>
              <w:t>(3)</w:t>
            </w:r>
            <w:r w:rsidRPr="00A23740">
              <w:rPr>
                <w:szCs w:val="24"/>
              </w:rPr>
              <w:t xml:space="preserve"> Kararlar, alacak tutarı </w:t>
            </w:r>
            <w:r w:rsidRPr="00A23740">
              <w:rPr>
                <w:b/>
                <w:strike/>
                <w:color w:val="FF0000"/>
                <w:szCs w:val="24"/>
              </w:rPr>
              <w:t>ekseriyeti ile</w:t>
            </w:r>
            <w:r w:rsidRPr="00A23740">
              <w:rPr>
                <w:szCs w:val="24"/>
              </w:rPr>
              <w:t xml:space="preserve"> alınır.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540255" w:rsidRPr="00A23740" w:rsidRDefault="00540255" w:rsidP="009431FF">
            <w:pPr>
              <w:tabs>
                <w:tab w:val="left" w:pos="567"/>
              </w:tabs>
              <w:rPr>
                <w:szCs w:val="24"/>
              </w:rPr>
            </w:pPr>
          </w:p>
          <w:p w:rsidR="00C14FD1" w:rsidRPr="00A23740" w:rsidRDefault="00C14FD1"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br w:type="page"/>
            </w:r>
            <w:r w:rsidRPr="00A23740">
              <w:rPr>
                <w:rStyle w:val="KIRMIZIChar"/>
                <w:rFonts w:eastAsia="Calibri"/>
              </w:rPr>
              <w:t>(4)</w:t>
            </w:r>
            <w:r w:rsidRPr="00A23740">
              <w:rPr>
                <w:szCs w:val="24"/>
              </w:rPr>
              <w:t xml:space="preserve"> </w:t>
            </w:r>
            <w:r w:rsidRPr="00A23740">
              <w:rPr>
                <w:b/>
                <w:strike/>
                <w:color w:val="FF0000"/>
                <w:szCs w:val="24"/>
              </w:rPr>
              <w:t xml:space="preserve">Reylerin </w:t>
            </w:r>
            <w:r w:rsidRPr="00A23740">
              <w:rPr>
                <w:rStyle w:val="KIRMIZIChar"/>
                <w:rFonts w:eastAsia="Calibri"/>
              </w:rPr>
              <w:t>muteber olup olmayacağı hakkındaki</w:t>
            </w:r>
            <w:r w:rsidRPr="00A23740">
              <w:rPr>
                <w:szCs w:val="24"/>
              </w:rPr>
              <w:t xml:space="preserve"> </w:t>
            </w:r>
            <w:r w:rsidRPr="00A23740">
              <w:rPr>
                <w:b/>
                <w:strike/>
                <w:color w:val="FF0000"/>
                <w:szCs w:val="24"/>
              </w:rPr>
              <w:t>ihtilafı</w:t>
            </w:r>
            <w:r w:rsidRPr="00A23740">
              <w:rPr>
                <w:szCs w:val="24"/>
              </w:rPr>
              <w:t xml:space="preserve"> </w:t>
            </w:r>
            <w:r w:rsidRPr="00A23740">
              <w:rPr>
                <w:rStyle w:val="KIRMIZIChar"/>
                <w:rFonts w:eastAsia="Calibri"/>
              </w:rPr>
              <w:t>büro</w:t>
            </w:r>
            <w:r w:rsidRPr="00A23740">
              <w:rPr>
                <w:szCs w:val="24"/>
              </w:rPr>
              <w:t xml:space="preserve"> </w:t>
            </w:r>
            <w:r w:rsidRPr="00A23740">
              <w:rPr>
                <w:b/>
                <w:strike/>
                <w:color w:val="FF0000"/>
                <w:szCs w:val="24"/>
              </w:rPr>
              <w:t>halleder</w:t>
            </w:r>
            <w:r w:rsidRPr="00A23740">
              <w:rPr>
                <w:szCs w:val="24"/>
              </w:rPr>
              <w:t xml:space="preserve">. Büronun işlemlerine karşı ilgililer toplantı tarihinden itibaren </w:t>
            </w:r>
            <w:r w:rsidRPr="00A23740">
              <w:rPr>
                <w:b/>
                <w:strike/>
                <w:color w:val="FF0000"/>
                <w:szCs w:val="24"/>
              </w:rPr>
              <w:t>yedi gün</w:t>
            </w:r>
            <w:r w:rsidRPr="00A23740">
              <w:rPr>
                <w:szCs w:val="24"/>
              </w:rPr>
              <w:t xml:space="preserve"> içinde </w:t>
            </w:r>
            <w:r w:rsidRPr="00A23740">
              <w:rPr>
                <w:b/>
                <w:strike/>
                <w:color w:val="FF0000"/>
                <w:szCs w:val="24"/>
              </w:rPr>
              <w:t>icra mahkemesine</w:t>
            </w:r>
            <w:r w:rsidRPr="00A23740">
              <w:rPr>
                <w:szCs w:val="24"/>
              </w:rPr>
              <w:t xml:space="preserve"> şikayette bulunabilirler. </w:t>
            </w:r>
            <w:r w:rsidRPr="00A23740">
              <w:rPr>
                <w:b/>
                <w:strike/>
                <w:color w:val="FF0000"/>
                <w:szCs w:val="24"/>
              </w:rPr>
              <w:t>Şikayet sebebinin yerinde görülmesi ancak</w:t>
            </w:r>
            <w:r w:rsidRPr="00A23740">
              <w:rPr>
                <w:b/>
                <w:color w:val="FF0000"/>
                <w:szCs w:val="24"/>
              </w:rPr>
              <w:t xml:space="preserve"> </w:t>
            </w:r>
            <w:r w:rsidRPr="00A23740">
              <w:rPr>
                <w:szCs w:val="24"/>
              </w:rPr>
              <w:t>karar</w:t>
            </w:r>
            <w:r w:rsidRPr="00A23740">
              <w:rPr>
                <w:b/>
                <w:color w:val="FF0000"/>
                <w:szCs w:val="24"/>
              </w:rPr>
              <w:t xml:space="preserve"> </w:t>
            </w:r>
            <w:r w:rsidRPr="00A23740">
              <w:rPr>
                <w:b/>
                <w:strike/>
                <w:color w:val="FF0000"/>
                <w:szCs w:val="24"/>
              </w:rPr>
              <w:t>ekseriyetinin bozulması halinde nazara alınır. Aksi takdirde</w:t>
            </w:r>
            <w:r w:rsidRPr="00A23740">
              <w:rPr>
                <w:b/>
                <w:color w:val="FF0000"/>
                <w:szCs w:val="24"/>
              </w:rPr>
              <w:t xml:space="preserve"> </w:t>
            </w:r>
            <w:r w:rsidRPr="00A23740">
              <w:rPr>
                <w:szCs w:val="24"/>
              </w:rPr>
              <w:t xml:space="preserve">şikayet </w:t>
            </w:r>
            <w:r w:rsidRPr="00A23740">
              <w:rPr>
                <w:rStyle w:val="KIRMIZIChar"/>
                <w:rFonts w:eastAsia="Calibri"/>
              </w:rPr>
              <w:t>red olunur</w:t>
            </w:r>
            <w:r w:rsidRPr="00A23740">
              <w:rPr>
                <w:szCs w:val="24"/>
              </w:rPr>
              <w:t>.</w:t>
            </w:r>
          </w:p>
          <w:p w:rsidR="00AA5C8C" w:rsidRPr="00A23740" w:rsidRDefault="00AA5C8C" w:rsidP="009431FF">
            <w:pPr>
              <w:tabs>
                <w:tab w:val="left" w:pos="540"/>
              </w:tabs>
              <w:rPr>
                <w:szCs w:val="24"/>
              </w:rPr>
            </w:pPr>
          </w:p>
        </w:tc>
        <w:tc>
          <w:tcPr>
            <w:tcW w:w="2500" w:type="pct"/>
          </w:tcPr>
          <w:p w:rsidR="00AA5C8C" w:rsidRPr="00A23740" w:rsidRDefault="00AA5C8C" w:rsidP="009431FF">
            <w:pPr>
              <w:pStyle w:val="MAV"/>
              <w:jc w:val="center"/>
              <w:rPr>
                <w:u w:val="none"/>
                <w:lang w:val="tr-TR"/>
              </w:rPr>
            </w:pPr>
            <w:r w:rsidRPr="00A23740">
              <w:rPr>
                <w:u w:val="none"/>
                <w:lang w:val="tr-TR"/>
              </w:rPr>
              <w:t>ÜÇÜNCÜ AYRIM</w:t>
            </w:r>
          </w:p>
          <w:p w:rsidR="00AA5C8C" w:rsidRPr="00A23740" w:rsidRDefault="00AA5C8C" w:rsidP="009431FF">
            <w:pPr>
              <w:pStyle w:val="MAV"/>
              <w:jc w:val="center"/>
              <w:rPr>
                <w:u w:val="none"/>
                <w:lang w:val="tr-TR"/>
              </w:rPr>
            </w:pPr>
            <w:r w:rsidRPr="00A23740">
              <w:rPr>
                <w:u w:val="none"/>
                <w:lang w:val="tr-TR"/>
              </w:rPr>
              <w:t>Masanın İdaresi</w:t>
            </w:r>
          </w:p>
          <w:p w:rsidR="00AA5C8C" w:rsidRPr="00A23740" w:rsidRDefault="00AA5C8C" w:rsidP="009431FF">
            <w:pPr>
              <w:pStyle w:val="MAV"/>
              <w:jc w:val="center"/>
              <w:rPr>
                <w:u w:val="none"/>
                <w:lang w:val="tr-TR"/>
              </w:rPr>
            </w:pPr>
          </w:p>
          <w:p w:rsidR="00AA5C8C" w:rsidRPr="00A23740" w:rsidRDefault="00AA5C8C" w:rsidP="009431FF">
            <w:pPr>
              <w:pStyle w:val="MAV"/>
              <w:jc w:val="center"/>
              <w:rPr>
                <w:u w:val="none"/>
                <w:lang w:val="tr-TR"/>
              </w:rPr>
            </w:pPr>
            <w:r w:rsidRPr="00A23740">
              <w:rPr>
                <w:u w:val="none"/>
                <w:lang w:val="tr-TR"/>
              </w:rPr>
              <w:t>BİRİNCİ ALT AYRIM</w:t>
            </w:r>
          </w:p>
          <w:p w:rsidR="00AA5C8C" w:rsidRPr="00A23740" w:rsidRDefault="00AA5C8C" w:rsidP="009431FF">
            <w:pPr>
              <w:pStyle w:val="MAV"/>
              <w:jc w:val="center"/>
              <w:rPr>
                <w:u w:val="none"/>
                <w:lang w:val="tr-TR"/>
              </w:rPr>
            </w:pPr>
            <w:r w:rsidRPr="00A23740">
              <w:rPr>
                <w:u w:val="none"/>
                <w:lang w:val="tr-TR"/>
              </w:rPr>
              <w:t>Birinci Alacaklılar Toplantısı</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Stil2Char"/>
                <w:rFonts w:eastAsia="Calibri"/>
                <w:u w:val="none"/>
              </w:rPr>
              <w:t>Birinci</w:t>
            </w:r>
            <w:r w:rsidRPr="00A23740">
              <w:rPr>
                <w:szCs w:val="24"/>
              </w:rPr>
              <w:t xml:space="preserve"> </w:t>
            </w:r>
            <w:r w:rsidRPr="00A23740">
              <w:rPr>
                <w:b/>
                <w:szCs w:val="24"/>
              </w:rPr>
              <w:t>alacaklılar toplan</w:t>
            </w:r>
            <w:r w:rsidRPr="00A23740">
              <w:rPr>
                <w:rStyle w:val="MaviChar"/>
              </w:rPr>
              <w:t xml:space="preserve">tısı </w:t>
            </w:r>
            <w:r w:rsidRPr="00A23740">
              <w:rPr>
                <w:rStyle w:val="MAVChar"/>
                <w:rFonts w:eastAsia="Calibri"/>
                <w:u w:val="none"/>
              </w:rPr>
              <w:t>ve iflas bürosu</w:t>
            </w:r>
          </w:p>
          <w:p w:rsidR="00AA5C8C" w:rsidRPr="00A23740" w:rsidRDefault="00AA5C8C" w:rsidP="009431FF">
            <w:pPr>
              <w:tabs>
                <w:tab w:val="left" w:pos="567"/>
              </w:tabs>
              <w:rPr>
                <w:szCs w:val="24"/>
              </w:rPr>
            </w:pPr>
            <w:r w:rsidRPr="00A23740">
              <w:rPr>
                <w:b/>
                <w:color w:val="0000FF"/>
                <w:szCs w:val="24"/>
              </w:rPr>
              <w:t xml:space="preserve">MADDE </w:t>
            </w:r>
            <w:r w:rsidR="00BB2129" w:rsidRPr="00A23740">
              <w:rPr>
                <w:b/>
                <w:bCs/>
                <w:color w:val="0000FF"/>
                <w:szCs w:val="24"/>
              </w:rPr>
              <w:t>333</w:t>
            </w:r>
            <w:r w:rsidRPr="00A23740">
              <w:rPr>
                <w:b/>
                <w:color w:val="0000FF"/>
                <w:szCs w:val="24"/>
              </w:rPr>
              <w:t>- (1</w:t>
            </w:r>
            <w:r w:rsidRPr="00A23740">
              <w:rPr>
                <w:rStyle w:val="MAVChar"/>
                <w:rFonts w:eastAsia="Calibri"/>
                <w:u w:val="none"/>
                <w:lang w:eastAsia="x-none"/>
              </w:rPr>
              <w:t xml:space="preserve">) </w:t>
            </w:r>
            <w:r w:rsidRPr="00A23740">
              <w:rPr>
                <w:rStyle w:val="Stil2Char"/>
                <w:rFonts w:eastAsia="Calibri"/>
                <w:u w:val="none"/>
              </w:rPr>
              <w:t>Birinci</w:t>
            </w:r>
            <w:r w:rsidRPr="00A23740">
              <w:rPr>
                <w:szCs w:val="24"/>
              </w:rPr>
              <w:t xml:space="preserve"> alacaklılar toplantısı</w:t>
            </w:r>
            <w:r w:rsidRPr="00A23740">
              <w:rPr>
                <w:rStyle w:val="MAVChar"/>
                <w:rFonts w:eastAsia="Calibri"/>
                <w:u w:val="none"/>
              </w:rPr>
              <w:t>, ilanda belirtilen yerde ve tarihte</w:t>
            </w:r>
            <w:r w:rsidRPr="00A23740">
              <w:rPr>
                <w:szCs w:val="24"/>
              </w:rPr>
              <w:t xml:space="preserve"> iflas müdürü </w:t>
            </w:r>
            <w:r w:rsidRPr="00A23740">
              <w:rPr>
                <w:rStyle w:val="MaviChar"/>
              </w:rPr>
              <w:t>veya yardımcılarından birinin</w:t>
            </w:r>
            <w:r w:rsidRPr="00A23740">
              <w:rPr>
                <w:szCs w:val="24"/>
              </w:rPr>
              <w:t xml:space="preserve"> </w:t>
            </w:r>
            <w:r w:rsidRPr="00A23740">
              <w:rPr>
                <w:rStyle w:val="MAVChar"/>
                <w:rFonts w:eastAsia="Calibri"/>
                <w:u w:val="none"/>
              </w:rPr>
              <w:t xml:space="preserve">başkanlığında </w:t>
            </w:r>
            <w:r w:rsidRPr="00A23740">
              <w:rPr>
                <w:rStyle w:val="MaviChar"/>
              </w:rPr>
              <w:t>gerçekleştirilir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865514" w:rsidRPr="00A23740" w:rsidRDefault="00865514" w:rsidP="009431FF">
            <w:pPr>
              <w:tabs>
                <w:tab w:val="left" w:pos="567"/>
              </w:tabs>
              <w:rPr>
                <w:szCs w:val="24"/>
              </w:rPr>
            </w:pPr>
          </w:p>
          <w:p w:rsidR="00865514" w:rsidRPr="00A23740" w:rsidRDefault="00865514" w:rsidP="009431FF">
            <w:pPr>
              <w:tabs>
                <w:tab w:val="left" w:pos="567"/>
              </w:tabs>
              <w:rPr>
                <w:szCs w:val="24"/>
              </w:rPr>
            </w:pPr>
          </w:p>
          <w:p w:rsidR="00865514" w:rsidRPr="00A23740" w:rsidRDefault="00865514" w:rsidP="009431FF">
            <w:pPr>
              <w:tabs>
                <w:tab w:val="left" w:pos="567"/>
              </w:tabs>
              <w:rPr>
                <w:szCs w:val="24"/>
              </w:rPr>
            </w:pPr>
          </w:p>
          <w:p w:rsidR="00AA5C8C" w:rsidRPr="00A23740" w:rsidRDefault="00AA5C8C" w:rsidP="009431FF">
            <w:pPr>
              <w:tabs>
                <w:tab w:val="left" w:pos="567"/>
              </w:tabs>
              <w:rPr>
                <w:szCs w:val="24"/>
              </w:rPr>
            </w:pPr>
            <w:r w:rsidRPr="00A23740">
              <w:rPr>
                <w:rStyle w:val="MAVChar"/>
                <w:rFonts w:eastAsia="Calibri"/>
                <w:u w:val="none"/>
              </w:rPr>
              <w:t xml:space="preserve">(2) İflas </w:t>
            </w:r>
            <w:r w:rsidRPr="00A23740">
              <w:rPr>
                <w:szCs w:val="24"/>
              </w:rPr>
              <w:t>müdür</w:t>
            </w:r>
            <w:r w:rsidRPr="00A23740">
              <w:rPr>
                <w:rStyle w:val="MAVChar"/>
                <w:rFonts w:eastAsia="Calibri"/>
                <w:u w:val="none"/>
              </w:rPr>
              <w:t>ü</w:t>
            </w:r>
            <w:r w:rsidRPr="00A23740">
              <w:rPr>
                <w:szCs w:val="24"/>
              </w:rPr>
              <w:t xml:space="preserve">, alacaklı oldukları </w:t>
            </w:r>
            <w:r w:rsidRPr="00A23740">
              <w:rPr>
                <w:rStyle w:val="MaviChar"/>
              </w:rPr>
              <w:t>öncelikle</w:t>
            </w:r>
            <w:r w:rsidRPr="00A23740">
              <w:rPr>
                <w:szCs w:val="24"/>
              </w:rPr>
              <w:t xml:space="preserve"> ellerinde not</w:t>
            </w:r>
            <w:r w:rsidR="00AD7D81" w:rsidRPr="00A23740">
              <w:rPr>
                <w:szCs w:val="24"/>
              </w:rPr>
              <w:t>er veya ipotek senedi gibi resmî</w:t>
            </w:r>
            <w:r w:rsidRPr="00A23740">
              <w:rPr>
                <w:szCs w:val="24"/>
              </w:rPr>
              <w:t xml:space="preserve"> senetle sabit olan iki alacaklı </w:t>
            </w:r>
            <w:r w:rsidRPr="00A23740">
              <w:rPr>
                <w:rStyle w:val="MAVChar"/>
                <w:rFonts w:eastAsia="Calibri"/>
                <w:u w:val="none"/>
              </w:rPr>
              <w:t>ile</w:t>
            </w:r>
            <w:r w:rsidRPr="00A23740">
              <w:rPr>
                <w:szCs w:val="24"/>
              </w:rPr>
              <w:t xml:space="preserve"> birlikte bir büro </w:t>
            </w:r>
            <w:r w:rsidRPr="00A23740">
              <w:rPr>
                <w:rStyle w:val="MAVChar"/>
                <w:rFonts w:eastAsia="Calibri"/>
                <w:u w:val="none"/>
              </w:rPr>
              <w:t>oluşturur</w:t>
            </w:r>
            <w:r w:rsidRPr="00A23740">
              <w:rPr>
                <w:szCs w:val="24"/>
              </w:rPr>
              <w:t>.</w:t>
            </w:r>
          </w:p>
          <w:p w:rsidR="00AA5C8C" w:rsidRPr="00A23740" w:rsidRDefault="00AA5C8C" w:rsidP="009431FF">
            <w:pPr>
              <w:tabs>
                <w:tab w:val="left" w:pos="567"/>
              </w:tabs>
              <w:rPr>
                <w:szCs w:val="24"/>
              </w:rPr>
            </w:pPr>
          </w:p>
          <w:p w:rsidR="00865514" w:rsidRDefault="00865514" w:rsidP="009431FF">
            <w:pPr>
              <w:tabs>
                <w:tab w:val="left" w:pos="567"/>
              </w:tabs>
              <w:rPr>
                <w:szCs w:val="24"/>
              </w:rPr>
            </w:pPr>
          </w:p>
          <w:p w:rsidR="001560F0" w:rsidRPr="00A23740" w:rsidRDefault="001560F0"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szCs w:val="24"/>
              </w:rPr>
              <w:t xml:space="preserve"> </w:t>
            </w:r>
            <w:r w:rsidRPr="00A23740">
              <w:rPr>
                <w:rStyle w:val="MAVChar"/>
                <w:rFonts w:eastAsia="Calibri"/>
                <w:u w:val="none"/>
              </w:rPr>
              <w:t>Toplantıda</w:t>
            </w:r>
            <w:r w:rsidRPr="00A23740">
              <w:rPr>
                <w:szCs w:val="24"/>
              </w:rPr>
              <w:t xml:space="preserve"> bulunan alacaklılar</w:t>
            </w:r>
            <w:r w:rsidRPr="00A23740">
              <w:rPr>
                <w:rStyle w:val="MAVChar"/>
                <w:rFonts w:eastAsia="Calibri"/>
                <w:u w:val="none"/>
              </w:rPr>
              <w:t>ın</w:t>
            </w:r>
            <w:r w:rsidRPr="00A23740">
              <w:rPr>
                <w:szCs w:val="24"/>
              </w:rPr>
              <w:t xml:space="preserve">, </w:t>
            </w:r>
            <w:r w:rsidRPr="00A23740">
              <w:rPr>
                <w:b/>
                <w:color w:val="0000FF"/>
                <w:szCs w:val="24"/>
              </w:rPr>
              <w:t>bilinen</w:t>
            </w:r>
            <w:r w:rsidRPr="00A23740">
              <w:rPr>
                <w:szCs w:val="24"/>
              </w:rPr>
              <w:t xml:space="preserve"> alacaklar tutarının en az dörtte birin</w:t>
            </w:r>
            <w:r w:rsidRPr="00A23740">
              <w:rPr>
                <w:rStyle w:val="Stil2Char"/>
                <w:rFonts w:eastAsia="Calibri"/>
                <w:bCs/>
                <w:u w:val="none"/>
              </w:rPr>
              <w:t>e</w:t>
            </w:r>
            <w:r w:rsidRPr="00A23740">
              <w:rPr>
                <w:rStyle w:val="Stil2Char"/>
                <w:rFonts w:eastAsia="Calibri"/>
                <w:u w:val="none"/>
              </w:rPr>
              <w:t xml:space="preserve"> </w:t>
            </w:r>
            <w:r w:rsidRPr="00A23740">
              <w:rPr>
                <w:rStyle w:val="MAVChar"/>
                <w:rFonts w:eastAsia="Calibri"/>
                <w:u w:val="none"/>
              </w:rPr>
              <w:t>sahip</w:t>
            </w:r>
            <w:r w:rsidR="00C14FD1" w:rsidRPr="00A23740">
              <w:rPr>
                <w:rStyle w:val="MAVChar"/>
                <w:rFonts w:eastAsia="Calibri"/>
                <w:u w:val="none"/>
              </w:rPr>
              <w:t xml:space="preserve"> </w:t>
            </w:r>
            <w:r w:rsidR="00C14FD1" w:rsidRPr="00F75759">
              <w:rPr>
                <w:rStyle w:val="MAVChar"/>
                <w:rFonts w:eastAsia="Calibri"/>
                <w:u w:val="none"/>
              </w:rPr>
              <w:t>olmaları</w:t>
            </w:r>
            <w:r w:rsidRPr="00A23740">
              <w:rPr>
                <w:rStyle w:val="MAVChar"/>
                <w:rFonts w:eastAsia="Calibri"/>
                <w:u w:val="none"/>
              </w:rPr>
              <w:t xml:space="preserve"> </w:t>
            </w:r>
            <w:r w:rsidRPr="00A23740">
              <w:rPr>
                <w:szCs w:val="24"/>
              </w:rPr>
              <w:t>h</w:t>
            </w:r>
            <w:r w:rsidR="009D574E" w:rsidRPr="00A23740">
              <w:rPr>
                <w:szCs w:val="24"/>
              </w:rPr>
              <w:t>â</w:t>
            </w:r>
            <w:r w:rsidRPr="00A23740">
              <w:rPr>
                <w:szCs w:val="24"/>
              </w:rPr>
              <w:t xml:space="preserve">linde toplantı </w:t>
            </w:r>
            <w:r w:rsidRPr="00A23740">
              <w:rPr>
                <w:b/>
                <w:color w:val="0000FF"/>
                <w:szCs w:val="24"/>
              </w:rPr>
              <w:t>yeter sayısı gerçekleşir</w:t>
            </w:r>
            <w:r w:rsidRPr="00A23740">
              <w:rPr>
                <w:szCs w:val="24"/>
              </w:rPr>
              <w:t xml:space="preserve">. Toplantıda </w:t>
            </w:r>
            <w:r w:rsidRPr="00A23740">
              <w:rPr>
                <w:rStyle w:val="MaviChar"/>
              </w:rPr>
              <w:t>hazır</w:t>
            </w:r>
            <w:r w:rsidRPr="00A23740">
              <w:rPr>
                <w:szCs w:val="24"/>
              </w:rPr>
              <w:t xml:space="preserve"> bulunan </w:t>
            </w:r>
            <w:r w:rsidRPr="00A23740">
              <w:rPr>
                <w:rStyle w:val="MAVChar"/>
                <w:rFonts w:eastAsia="Calibri"/>
                <w:u w:val="none"/>
              </w:rPr>
              <w:t>alacaklılar</w:t>
            </w:r>
            <w:r w:rsidRPr="00A23740">
              <w:rPr>
                <w:szCs w:val="24"/>
              </w:rPr>
              <w:t xml:space="preserve"> beş kişiden az ise bunların, alacak tutarının yarısına sahip olması şarttır.</w:t>
            </w:r>
          </w:p>
          <w:p w:rsidR="00AA5C8C" w:rsidRPr="00A23740" w:rsidRDefault="00AA5C8C" w:rsidP="009431FF">
            <w:pPr>
              <w:tabs>
                <w:tab w:val="left" w:pos="567"/>
              </w:tabs>
              <w:rPr>
                <w:szCs w:val="24"/>
              </w:rPr>
            </w:pPr>
            <w:r w:rsidRPr="00A23740">
              <w:rPr>
                <w:szCs w:val="24"/>
              </w:rPr>
              <w:br w:type="page"/>
            </w:r>
          </w:p>
          <w:p w:rsidR="00540255" w:rsidRPr="00A23740" w:rsidRDefault="00540255" w:rsidP="009431FF">
            <w:pPr>
              <w:tabs>
                <w:tab w:val="left" w:pos="567"/>
              </w:tabs>
              <w:rPr>
                <w:szCs w:val="24"/>
              </w:rPr>
            </w:pPr>
            <w:r w:rsidRPr="00A23740">
              <w:rPr>
                <w:b/>
                <w:color w:val="0000FF"/>
                <w:szCs w:val="24"/>
              </w:rPr>
              <w:t>(4)</w:t>
            </w:r>
            <w:r w:rsidRPr="00A23740">
              <w:rPr>
                <w:szCs w:val="24"/>
              </w:rPr>
              <w:t xml:space="preserve"> Kararlar, </w:t>
            </w:r>
            <w:r w:rsidRPr="00A23740">
              <w:rPr>
                <w:rStyle w:val="MAVChar"/>
                <w:rFonts w:eastAsia="Calibri"/>
                <w:u w:val="none"/>
              </w:rPr>
              <w:t>toplantıya katılan alacaklıların</w:t>
            </w:r>
            <w:r w:rsidRPr="00A23740">
              <w:rPr>
                <w:szCs w:val="24"/>
              </w:rPr>
              <w:t xml:space="preserve"> alacak tutarı</w:t>
            </w:r>
            <w:r w:rsidRPr="00A23740">
              <w:rPr>
                <w:b/>
                <w:color w:val="0000FF"/>
                <w:szCs w:val="24"/>
              </w:rPr>
              <w:t>nın çoğunluğuyla</w:t>
            </w:r>
            <w:r w:rsidRPr="00A23740">
              <w:rPr>
                <w:szCs w:val="24"/>
              </w:rPr>
              <w:t xml:space="preserve"> alınır.</w:t>
            </w:r>
          </w:p>
          <w:p w:rsidR="00AA5C8C" w:rsidRPr="00A23740" w:rsidRDefault="00AA5C8C" w:rsidP="009431FF">
            <w:pPr>
              <w:tabs>
                <w:tab w:val="left" w:pos="567"/>
              </w:tabs>
              <w:rPr>
                <w:szCs w:val="24"/>
              </w:rPr>
            </w:pPr>
          </w:p>
          <w:p w:rsidR="00AA5C8C" w:rsidRPr="00A23740" w:rsidRDefault="00AA5C8C" w:rsidP="009431FF">
            <w:pPr>
              <w:pStyle w:val="YEL"/>
              <w:rPr>
                <w:rStyle w:val="YELChar"/>
                <w:b/>
                <w:lang w:val="tr-TR"/>
              </w:rPr>
            </w:pPr>
            <w:r w:rsidRPr="00A23740">
              <w:rPr>
                <w:color w:val="0000FF"/>
                <w:lang w:val="tr-TR"/>
              </w:rPr>
              <w:t>(</w:t>
            </w:r>
            <w:r w:rsidR="00540255" w:rsidRPr="00A23740">
              <w:rPr>
                <w:color w:val="0000FF"/>
                <w:lang w:val="tr-TR"/>
              </w:rPr>
              <w:t>5</w:t>
            </w:r>
            <w:r w:rsidRPr="00A23740">
              <w:rPr>
                <w:color w:val="0000FF"/>
                <w:lang w:val="tr-TR"/>
              </w:rPr>
              <w:t>)</w:t>
            </w:r>
            <w:r w:rsidRPr="00A23740">
              <w:rPr>
                <w:lang w:val="tr-TR"/>
              </w:rPr>
              <w:t xml:space="preserve"> </w:t>
            </w:r>
            <w:r w:rsidRPr="00A23740">
              <w:rPr>
                <w:rStyle w:val="MaviChar"/>
                <w:b/>
              </w:rPr>
              <w:t>Birinci alacaklılar toplantısına katılmak isteyenlerin alacaklı olup olmadıklarına, ne kadar alacaklı olduklarına ve toplantıya alacaklı temsilcisi olarak gelen kişilerin temsil  yetkisinin bulunup bulunmadığına basit bir inceleme sonucunda iflas bürosu karar verir. Büro</w:t>
            </w:r>
            <w:r w:rsidRPr="00A23740">
              <w:rPr>
                <w:rStyle w:val="MaviChar"/>
                <w:b/>
                <w:lang w:val="tr-TR"/>
              </w:rPr>
              <w:t>,</w:t>
            </w:r>
            <w:r w:rsidRPr="00A23740">
              <w:rPr>
                <w:rStyle w:val="MaviChar"/>
                <w:b/>
              </w:rPr>
              <w:t xml:space="preserve"> oyların geçerliliğine ve sayımına ilişkin uyuşmazlıklar hakkında da karar verir.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rStyle w:val="MaviChar"/>
              </w:rPr>
              <w:t>(6)</w:t>
            </w:r>
            <w:r w:rsidRPr="00A23740">
              <w:rPr>
                <w:szCs w:val="24"/>
              </w:rPr>
              <w:t xml:space="preserve"> Büronun işlemlerine karşı ilgililer toplantı tarihinden itibaren </w:t>
            </w:r>
            <w:r w:rsidRPr="00A23740">
              <w:rPr>
                <w:b/>
                <w:color w:val="0000FF"/>
                <w:szCs w:val="24"/>
              </w:rPr>
              <w:t>bir hafta</w:t>
            </w:r>
            <w:r w:rsidRPr="00A23740">
              <w:rPr>
                <w:szCs w:val="24"/>
              </w:rPr>
              <w:t xml:space="preserve"> içinde </w:t>
            </w:r>
            <w:r w:rsidRPr="00A23740">
              <w:rPr>
                <w:rStyle w:val="MaviChar"/>
              </w:rPr>
              <w:t>iflas mahkemesi nezdinde</w:t>
            </w:r>
            <w:r w:rsidRPr="00A23740">
              <w:rPr>
                <w:szCs w:val="24"/>
              </w:rPr>
              <w:t xml:space="preserve"> şik</w:t>
            </w:r>
            <w:r w:rsidR="001510BD" w:rsidRPr="00A23740">
              <w:rPr>
                <w:szCs w:val="24"/>
              </w:rPr>
              <w:t>â</w:t>
            </w:r>
            <w:r w:rsidRPr="00A23740">
              <w:rPr>
                <w:szCs w:val="24"/>
              </w:rPr>
              <w:t>yette bulunabilirler</w:t>
            </w:r>
            <w:r w:rsidRPr="00A23740">
              <w:rPr>
                <w:rStyle w:val="MaviChar"/>
              </w:rPr>
              <w:t xml:space="preserve">; </w:t>
            </w:r>
            <w:r w:rsidRPr="00A23740">
              <w:rPr>
                <w:szCs w:val="24"/>
              </w:rPr>
              <w:t xml:space="preserve">karar </w:t>
            </w:r>
            <w:r w:rsidRPr="00A23740">
              <w:rPr>
                <w:b/>
                <w:color w:val="0000FF"/>
                <w:szCs w:val="24"/>
              </w:rPr>
              <w:t xml:space="preserve">çoğunluğunu değiştirmeyecek </w:t>
            </w:r>
            <w:r w:rsidRPr="00A23740">
              <w:rPr>
                <w:szCs w:val="24"/>
              </w:rPr>
              <w:t>şik</w:t>
            </w:r>
            <w:r w:rsidR="001510BD" w:rsidRPr="00A23740">
              <w:rPr>
                <w:szCs w:val="24"/>
              </w:rPr>
              <w:t>â</w:t>
            </w:r>
            <w:r w:rsidRPr="00A23740">
              <w:rPr>
                <w:szCs w:val="24"/>
              </w:rPr>
              <w:t>yet</w:t>
            </w:r>
            <w:r w:rsidRPr="00A23740">
              <w:rPr>
                <w:b/>
                <w:color w:val="0000FF"/>
                <w:szCs w:val="24"/>
              </w:rPr>
              <w:t xml:space="preserve"> reddedilir</w:t>
            </w:r>
            <w:r w:rsidRPr="00A23740">
              <w:rPr>
                <w:szCs w:val="24"/>
              </w:rPr>
              <w:t>.</w:t>
            </w:r>
            <w:r w:rsidRPr="00A23740">
              <w:rPr>
                <w:b/>
                <w:color w:val="0000FF"/>
                <w:szCs w:val="24"/>
              </w:rPr>
              <w:t xml:space="preserve"> </w:t>
            </w:r>
            <w:r w:rsidRPr="00A23740">
              <w:rPr>
                <w:rStyle w:val="MaviChar"/>
              </w:rPr>
              <w:t>İflas mahkemesinin şik</w:t>
            </w:r>
            <w:r w:rsidR="001510BD" w:rsidRPr="00A23740">
              <w:rPr>
                <w:rStyle w:val="MaviChar"/>
                <w:lang w:val="tr-TR"/>
              </w:rPr>
              <w:t>â</w:t>
            </w:r>
            <w:r w:rsidRPr="00A23740">
              <w:rPr>
                <w:rStyle w:val="MaviChar"/>
              </w:rPr>
              <w:t>yet üzerine verdiği kararlar kesindir.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color w:val="FF0000"/>
                <w:szCs w:val="24"/>
              </w:rPr>
            </w:pPr>
          </w:p>
        </w:tc>
      </w:tr>
      <w:tr w:rsidR="00AF3319"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C62A0" w:rsidRPr="00A23740" w:rsidRDefault="008C62A0" w:rsidP="009431FF">
            <w:pPr>
              <w:tabs>
                <w:tab w:val="left" w:pos="567"/>
              </w:tabs>
              <w:ind w:firstLine="709"/>
              <w:rPr>
                <w:bCs/>
                <w:szCs w:val="24"/>
              </w:rPr>
            </w:pPr>
          </w:p>
          <w:p w:rsidR="008C62A0" w:rsidRPr="00A23740" w:rsidRDefault="00BB2129" w:rsidP="009431FF">
            <w:pPr>
              <w:tabs>
                <w:tab w:val="left" w:pos="567"/>
              </w:tabs>
              <w:ind w:firstLine="709"/>
              <w:rPr>
                <w:szCs w:val="24"/>
              </w:rPr>
            </w:pPr>
            <w:r w:rsidRPr="00A23740">
              <w:rPr>
                <w:b/>
                <w:bCs/>
              </w:rPr>
              <w:t>MADDE 333</w:t>
            </w:r>
            <w:r w:rsidR="008C62A0" w:rsidRPr="00A23740">
              <w:rPr>
                <w:b/>
                <w:bCs/>
              </w:rPr>
              <w:t xml:space="preserve">- </w:t>
            </w:r>
            <w:r w:rsidR="008C62A0" w:rsidRPr="00A23740">
              <w:rPr>
                <w:bCs/>
                <w:szCs w:val="24"/>
              </w:rPr>
              <w:t xml:space="preserve">Maddeyle, birinci alacaklılar toplantısı ve iflas </w:t>
            </w:r>
            <w:r w:rsidR="008C62A0" w:rsidRPr="00F75759">
              <w:rPr>
                <w:bCs/>
                <w:szCs w:val="24"/>
              </w:rPr>
              <w:t>bürosu</w:t>
            </w:r>
            <w:r w:rsidR="001510BD" w:rsidRPr="00F75759">
              <w:rPr>
                <w:szCs w:val="24"/>
              </w:rPr>
              <w:t>na</w:t>
            </w:r>
            <w:r w:rsidR="008C62A0" w:rsidRPr="00F75759">
              <w:rPr>
                <w:bCs/>
                <w:szCs w:val="24"/>
              </w:rPr>
              <w:t xml:space="preserve"> ilişkin</w:t>
            </w:r>
            <w:r w:rsidR="008C62A0" w:rsidRPr="00A23740">
              <w:rPr>
                <w:bCs/>
                <w:szCs w:val="24"/>
              </w:rPr>
              <w:t xml:space="preserve"> hususlar düzenlenmektedir. Hüküm, 2004 sayılı Kanunun 221 inci maddesine karşılık gelmektedir.</w:t>
            </w:r>
            <w:r w:rsidR="008C62A0" w:rsidRPr="00A23740">
              <w:rPr>
                <w:b/>
                <w:bCs/>
              </w:rPr>
              <w:t xml:space="preserve">  </w:t>
            </w:r>
          </w:p>
          <w:p w:rsidR="00AF3319" w:rsidRPr="00A23740" w:rsidRDefault="00AF3319" w:rsidP="009431FF">
            <w:pPr>
              <w:tabs>
                <w:tab w:val="left" w:pos="567"/>
              </w:tabs>
              <w:ind w:firstLine="709"/>
              <w:rPr>
                <w:bCs/>
              </w:rPr>
            </w:pPr>
            <w:r w:rsidRPr="00A23740">
              <w:rPr>
                <w:bCs/>
                <w:szCs w:val="24"/>
              </w:rPr>
              <w:t xml:space="preserve">Madde metninde birinci alacaklılar toplantısı terimi tercih edilmiştir. Burada amaç, </w:t>
            </w:r>
            <w:r w:rsidRPr="00A23740">
              <w:rPr>
                <w:bCs/>
              </w:rPr>
              <w:t>öğretide kimi zaman toplanma kimi zaman toplantı sözcüklerini</w:t>
            </w:r>
            <w:r w:rsidR="00552782" w:rsidRPr="00A23740">
              <w:rPr>
                <w:bCs/>
              </w:rPr>
              <w:t>n</w:t>
            </w:r>
            <w:r w:rsidRPr="00A23740">
              <w:rPr>
                <w:bCs/>
              </w:rPr>
              <w:t xml:space="preserve"> kullanıldığı görülmekle, bu terim kargaşasının “toplantı” sözcüğü benimsenerek giderilmesidir. Her ne kadar “toplanma” sözcüğünün alacaklılardan oluşan bir organ olduğu, bu toplanmanın “toplantı” yapabileceği ve bu iki kavramın birbirinden farklı anlamları bulunduğu yönünde  görüşler </w:t>
            </w:r>
            <w:r w:rsidR="00552782" w:rsidRPr="00A23740">
              <w:rPr>
                <w:bCs/>
              </w:rPr>
              <w:t xml:space="preserve"> ileri sürülmüşse </w:t>
            </w:r>
            <w:r w:rsidRPr="00A23740">
              <w:rPr>
                <w:bCs/>
              </w:rPr>
              <w:t>de</w:t>
            </w:r>
            <w:r w:rsidR="00552782" w:rsidRPr="00A23740">
              <w:rPr>
                <w:bCs/>
              </w:rPr>
              <w:t>,</w:t>
            </w:r>
            <w:r w:rsidRPr="00A23740">
              <w:rPr>
                <w:bCs/>
              </w:rPr>
              <w:t xml:space="preserve"> bu tartışmanın esas yönünden önemli olmadığı sonucuna varılarak terim birliği</w:t>
            </w:r>
            <w:r w:rsidR="00552782" w:rsidRPr="00A23740">
              <w:rPr>
                <w:bCs/>
              </w:rPr>
              <w:t>nin</w:t>
            </w:r>
            <w:r w:rsidRPr="00A23740">
              <w:rPr>
                <w:bCs/>
              </w:rPr>
              <w:t xml:space="preserve"> </w:t>
            </w:r>
            <w:r w:rsidR="001510BD" w:rsidRPr="00F75759">
              <w:t>“</w:t>
            </w:r>
            <w:r w:rsidRPr="00A23740">
              <w:rPr>
                <w:bCs/>
              </w:rPr>
              <w:t xml:space="preserve">alacaklılar </w:t>
            </w:r>
            <w:r w:rsidRPr="00F75759">
              <w:rPr>
                <w:bCs/>
                <w:szCs w:val="24"/>
              </w:rPr>
              <w:t>toplantısı</w:t>
            </w:r>
            <w:r w:rsidR="001510BD" w:rsidRPr="00F75759">
              <w:rPr>
                <w:szCs w:val="24"/>
              </w:rPr>
              <w:t>”</w:t>
            </w:r>
            <w:r w:rsidRPr="00F75759">
              <w:rPr>
                <w:bCs/>
                <w:szCs w:val="24"/>
              </w:rPr>
              <w:t xml:space="preserve"> </w:t>
            </w:r>
            <w:r w:rsidR="001510BD" w:rsidRPr="00F75759">
              <w:rPr>
                <w:szCs w:val="24"/>
              </w:rPr>
              <w:t>ifadesiyle</w:t>
            </w:r>
            <w:r w:rsidR="001510BD" w:rsidRPr="00A23740">
              <w:rPr>
                <w:bCs/>
              </w:rPr>
              <w:t xml:space="preserve"> </w:t>
            </w:r>
            <w:r w:rsidR="00552782" w:rsidRPr="00F75759">
              <w:t>sağlanması cihetine gidilmiştir</w:t>
            </w:r>
            <w:r w:rsidR="001510BD" w:rsidRPr="00F75759">
              <w:t>.</w:t>
            </w:r>
          </w:p>
          <w:p w:rsidR="00AF3319" w:rsidRPr="00A23740" w:rsidRDefault="00AF3319" w:rsidP="009431FF">
            <w:pPr>
              <w:tabs>
                <w:tab w:val="left" w:pos="567"/>
              </w:tabs>
              <w:ind w:firstLine="709"/>
              <w:rPr>
                <w:bCs/>
                <w:szCs w:val="24"/>
              </w:rPr>
            </w:pPr>
            <w:r w:rsidRPr="00A23740">
              <w:rPr>
                <w:bCs/>
              </w:rPr>
              <w:t xml:space="preserve">İkinci fıkra </w:t>
            </w:r>
            <w:r w:rsidRPr="00F75759">
              <w:rPr>
                <w:bCs/>
                <w:szCs w:val="24"/>
              </w:rPr>
              <w:t>İsviçre</w:t>
            </w:r>
            <w:r w:rsidR="001510BD" w:rsidRPr="00F75759">
              <w:rPr>
                <w:szCs w:val="24"/>
              </w:rPr>
              <w:t xml:space="preserve">’nin Borç </w:t>
            </w:r>
            <w:r w:rsidR="00546866" w:rsidRPr="00F75759">
              <w:rPr>
                <w:szCs w:val="24"/>
              </w:rPr>
              <w:t xml:space="preserve">için </w:t>
            </w:r>
            <w:r w:rsidR="001510BD" w:rsidRPr="00F75759">
              <w:rPr>
                <w:szCs w:val="24"/>
              </w:rPr>
              <w:t>Takip ve İflas Hakkında Federal Kanununun</w:t>
            </w:r>
            <w:r w:rsidRPr="00A23740">
              <w:rPr>
                <w:rStyle w:val="Balk1Char"/>
                <w:rFonts w:eastAsia="Calibri"/>
              </w:rPr>
              <w:t xml:space="preserve"> </w:t>
            </w:r>
            <w:r w:rsidRPr="00A23740">
              <w:rPr>
                <w:bCs/>
                <w:szCs w:val="24"/>
              </w:rPr>
              <w:t>235 inci maddesinin birinci fıkrasında belirtildiği şekilde kaleme alınmış ve uygulamada ortaya çıkabilecek tereddütlerin giderilmesi amaçlanmıştır. Bu düzenleme</w:t>
            </w:r>
            <w:r w:rsidR="00552782" w:rsidRPr="00A23740">
              <w:rPr>
                <w:bCs/>
                <w:szCs w:val="24"/>
              </w:rPr>
              <w:t>yle</w:t>
            </w:r>
            <w:r w:rsidRPr="00A23740">
              <w:rPr>
                <w:bCs/>
                <w:szCs w:val="24"/>
              </w:rPr>
              <w:t xml:space="preserve"> toplantıya başkanlık edecek iflas müdürüyle birlikte alacaklı sayısının tek sayıda olması amaçlandığı h</w:t>
            </w:r>
            <w:r w:rsidR="001510BD" w:rsidRPr="00A23740">
              <w:rPr>
                <w:bCs/>
                <w:szCs w:val="24"/>
              </w:rPr>
              <w:t>â</w:t>
            </w:r>
            <w:r w:rsidRPr="00A23740">
              <w:rPr>
                <w:bCs/>
                <w:szCs w:val="24"/>
              </w:rPr>
              <w:t>lde 2004 sayılı Kanunun 221 inci maddesi metni bu amaç doğrultusund</w:t>
            </w:r>
            <w:r w:rsidR="001510BD" w:rsidRPr="00A23740">
              <w:rPr>
                <w:bCs/>
                <w:szCs w:val="24"/>
              </w:rPr>
              <w:t>a düzenlenmiş olmadığı</w:t>
            </w:r>
            <w:r w:rsidRPr="00A23740">
              <w:rPr>
                <w:bCs/>
                <w:szCs w:val="24"/>
              </w:rPr>
              <w:t xml:space="preserve"> gibi</w:t>
            </w:r>
            <w:r w:rsidR="00552782" w:rsidRPr="00A23740">
              <w:rPr>
                <w:bCs/>
                <w:szCs w:val="24"/>
              </w:rPr>
              <w:t>,</w:t>
            </w:r>
            <w:r w:rsidRPr="00A23740">
              <w:rPr>
                <w:bCs/>
                <w:szCs w:val="24"/>
              </w:rPr>
              <w:t xml:space="preserve"> söz konusu metinden iflas müdürünün bir veya iki alacaklı ile büro oluşturma konusunda bir serbestisi olduğu sonucu çıkmakta</w:t>
            </w:r>
            <w:r w:rsidR="00552782" w:rsidRPr="00A23740">
              <w:rPr>
                <w:bCs/>
                <w:szCs w:val="24"/>
              </w:rPr>
              <w:t>ydı</w:t>
            </w:r>
            <w:r w:rsidRPr="00A23740">
              <w:rPr>
                <w:bCs/>
                <w:szCs w:val="24"/>
              </w:rPr>
              <w:t>.  Bu sonucu ortadan kaldırmak am</w:t>
            </w:r>
            <w:r w:rsidRPr="00F75759">
              <w:rPr>
                <w:bCs/>
                <w:szCs w:val="24"/>
              </w:rPr>
              <w:t xml:space="preserve">acıyla </w:t>
            </w:r>
            <w:r w:rsidR="00F601F2" w:rsidRPr="00F75759">
              <w:rPr>
                <w:bCs/>
                <w:szCs w:val="24"/>
              </w:rPr>
              <w:t>İsviçre</w:t>
            </w:r>
            <w:r w:rsidR="00F601F2" w:rsidRPr="00F75759">
              <w:rPr>
                <w:szCs w:val="24"/>
              </w:rPr>
              <w:t>’nin Borç İçin Takip ve İflas Hakkında Federal Kanununun</w:t>
            </w:r>
            <w:r w:rsidR="00F601F2" w:rsidRPr="00A23740">
              <w:rPr>
                <w:rStyle w:val="KIRMIZIChar"/>
                <w:rFonts w:eastAsia="Calibri"/>
                <w:strike w:val="0"/>
              </w:rPr>
              <w:t xml:space="preserve"> </w:t>
            </w:r>
            <w:r w:rsidRPr="00A23740">
              <w:rPr>
                <w:bCs/>
                <w:szCs w:val="24"/>
              </w:rPr>
              <w:t>235 inci maddesinde de yer alan, iflas müdürü ile iki alacaklının büroyu oluşturacağı şeklindeki düzenleme Kanunumuza alınmıştır. Şüphesiz bir tek alacaklının bulunduğu h</w:t>
            </w:r>
            <w:r w:rsidR="00926B95" w:rsidRPr="00A23740">
              <w:rPr>
                <w:bCs/>
                <w:szCs w:val="24"/>
              </w:rPr>
              <w:t>â</w:t>
            </w:r>
            <w:r w:rsidRPr="00A23740">
              <w:rPr>
                <w:bCs/>
                <w:szCs w:val="24"/>
              </w:rPr>
              <w:t>llerde iflas bürosu bu alacaklı ve iflas müdüründen oluşacaktır.</w:t>
            </w:r>
          </w:p>
          <w:p w:rsidR="00AF3319" w:rsidRPr="00A23740" w:rsidRDefault="00AF3319" w:rsidP="009431FF">
            <w:pPr>
              <w:tabs>
                <w:tab w:val="left" w:pos="567"/>
              </w:tabs>
              <w:ind w:firstLine="709"/>
              <w:rPr>
                <w:bCs/>
                <w:szCs w:val="24"/>
              </w:rPr>
            </w:pPr>
            <w:r w:rsidRPr="00A23740">
              <w:rPr>
                <w:bCs/>
                <w:szCs w:val="24"/>
              </w:rPr>
              <w:t xml:space="preserve">2004 sayılı Kanundan farklı olarak, fıkraya iflas bürosunu oluşturacak alacaklıların temsilcilerinin de </w:t>
            </w:r>
            <w:r w:rsidR="00F601F2" w:rsidRPr="00F75759">
              <w:rPr>
                <w:szCs w:val="24"/>
              </w:rPr>
              <w:t>alacaklılar</w:t>
            </w:r>
            <w:r w:rsidR="00F601F2" w:rsidRPr="00F75759">
              <w:rPr>
                <w:bCs/>
                <w:szCs w:val="24"/>
              </w:rPr>
              <w:t xml:space="preserve"> </w:t>
            </w:r>
            <w:r w:rsidRPr="00A23740">
              <w:rPr>
                <w:bCs/>
                <w:szCs w:val="24"/>
              </w:rPr>
              <w:t>yerine büroda yer ala</w:t>
            </w:r>
            <w:r w:rsidR="001510BD" w:rsidRPr="00A23740">
              <w:rPr>
                <w:bCs/>
                <w:szCs w:val="24"/>
              </w:rPr>
              <w:t>bilece</w:t>
            </w:r>
            <w:r w:rsidR="00552782" w:rsidRPr="00A23740">
              <w:rPr>
                <w:bCs/>
                <w:szCs w:val="24"/>
              </w:rPr>
              <w:t>kleri</w:t>
            </w:r>
            <w:r w:rsidR="001510BD" w:rsidRPr="00A23740">
              <w:rPr>
                <w:bCs/>
                <w:szCs w:val="24"/>
              </w:rPr>
              <w:t xml:space="preserve"> ibaresi eklenmemiştir.</w:t>
            </w:r>
            <w:r w:rsidRPr="00A23740">
              <w:rPr>
                <w:bCs/>
                <w:szCs w:val="24"/>
              </w:rPr>
              <w:t xml:space="preserve"> Zira iflas bürosu üyelerinin karar vermesi yahut oy kullanması, kişiye sıkı surette bağlı bir hak olmadığından bu hakkın temsilci vasıtasıyla kullanılması özel yetkiyi de gerektirmemektedir. Bu sebeple de maddede ayrıca bu hususa yer </w:t>
            </w:r>
            <w:r w:rsidR="00F601F2" w:rsidRPr="00F75759">
              <w:rPr>
                <w:szCs w:val="24"/>
              </w:rPr>
              <w:t>verilmemiştir.</w:t>
            </w:r>
            <w:r w:rsidRPr="00A23740">
              <w:rPr>
                <w:bCs/>
                <w:szCs w:val="24"/>
              </w:rPr>
              <w:t xml:space="preserve"> </w:t>
            </w:r>
          </w:p>
          <w:p w:rsidR="00AF3319" w:rsidRPr="00A23740" w:rsidRDefault="00AF3319" w:rsidP="009431FF">
            <w:pPr>
              <w:tabs>
                <w:tab w:val="left" w:pos="567"/>
              </w:tabs>
              <w:ind w:firstLine="709"/>
              <w:rPr>
                <w:rStyle w:val="Balk1Char"/>
                <w:rFonts w:eastAsia="Calibri"/>
              </w:rPr>
            </w:pPr>
            <w:r w:rsidRPr="00A23740">
              <w:t xml:space="preserve">Toplantı yeter sayısına ilişkin üçüncü fıkrada, </w:t>
            </w:r>
            <w:r w:rsidRPr="00A23740">
              <w:rPr>
                <w:bCs/>
              </w:rPr>
              <w:t>t</w:t>
            </w:r>
            <w:r w:rsidRPr="00A23740">
              <w:rPr>
                <w:lang w:val="x-none" w:eastAsia="x-none"/>
              </w:rPr>
              <w:t>oplantıda</w:t>
            </w:r>
            <w:r w:rsidRPr="00A23740">
              <w:rPr>
                <w:b/>
                <w:bCs/>
                <w:szCs w:val="24"/>
              </w:rPr>
              <w:t xml:space="preserve"> </w:t>
            </w:r>
            <w:r w:rsidRPr="00A23740">
              <w:rPr>
                <w:szCs w:val="24"/>
              </w:rPr>
              <w:t>bulunan alacaklılar</w:t>
            </w:r>
            <w:r w:rsidRPr="00A23740">
              <w:rPr>
                <w:lang w:val="x-none" w:eastAsia="x-none"/>
              </w:rPr>
              <w:t>ın</w:t>
            </w:r>
            <w:r w:rsidRPr="00A23740">
              <w:rPr>
                <w:szCs w:val="24"/>
              </w:rPr>
              <w:t>, bilinen alacaklar tutarının en az dörtte birin</w:t>
            </w:r>
            <w:r w:rsidRPr="00A23740">
              <w:rPr>
                <w:bCs/>
                <w:lang w:val="x-none" w:eastAsia="x-none"/>
              </w:rPr>
              <w:t xml:space="preserve">e </w:t>
            </w:r>
            <w:r w:rsidRPr="00A23740">
              <w:rPr>
                <w:lang w:val="x-none" w:eastAsia="x-none"/>
              </w:rPr>
              <w:t>sahip</w:t>
            </w:r>
            <w:r w:rsidR="00F65461" w:rsidRPr="00A23740">
              <w:rPr>
                <w:lang w:eastAsia="x-none"/>
              </w:rPr>
              <w:t xml:space="preserve"> </w:t>
            </w:r>
            <w:r w:rsidR="00F65461" w:rsidRPr="00F75759">
              <w:rPr>
                <w:szCs w:val="24"/>
              </w:rPr>
              <w:t>olmaları</w:t>
            </w:r>
            <w:r w:rsidRPr="00F75759">
              <w:rPr>
                <w:szCs w:val="24"/>
              </w:rPr>
              <w:t xml:space="preserve"> </w:t>
            </w:r>
            <w:r w:rsidRPr="00A23740">
              <w:rPr>
                <w:szCs w:val="24"/>
              </w:rPr>
              <w:t>h</w:t>
            </w:r>
            <w:r w:rsidR="001510BD" w:rsidRPr="00A23740">
              <w:rPr>
                <w:szCs w:val="24"/>
              </w:rPr>
              <w:t>â</w:t>
            </w:r>
            <w:r w:rsidRPr="00A23740">
              <w:rPr>
                <w:szCs w:val="24"/>
              </w:rPr>
              <w:t>linde toplantı yeter sayısının gerçekleşeceği ifade edilmiştir. “Toplantıda bulunan alacaklılar” ibaresi eklenerek toplantı yeter sayısının tespitinde teredd</w:t>
            </w:r>
            <w:r w:rsidR="008C62A0" w:rsidRPr="00A23740">
              <w:rPr>
                <w:szCs w:val="24"/>
              </w:rPr>
              <w:t>üt oluşturmamak</w:t>
            </w:r>
            <w:r w:rsidR="008C62A0" w:rsidRPr="00A23740">
              <w:rPr>
                <w:rStyle w:val="KIRMIZIChar"/>
                <w:rFonts w:eastAsia="Calibri"/>
                <w:strike w:val="0"/>
              </w:rPr>
              <w:t xml:space="preserve"> </w:t>
            </w:r>
            <w:r w:rsidR="00F601F2" w:rsidRPr="00A23740">
              <w:rPr>
                <w:rStyle w:val="Balk1Char"/>
                <w:rFonts w:eastAsia="Calibri"/>
              </w:rPr>
              <w:t xml:space="preserve"> </w:t>
            </w:r>
            <w:r w:rsidR="00F601F2" w:rsidRPr="00F75759">
              <w:rPr>
                <w:bCs/>
                <w:szCs w:val="24"/>
              </w:rPr>
              <w:t>amaçlanmıştır.</w:t>
            </w:r>
          </w:p>
          <w:p w:rsidR="00540255" w:rsidRPr="00F75759" w:rsidRDefault="00540255" w:rsidP="009431FF">
            <w:pPr>
              <w:tabs>
                <w:tab w:val="left" w:pos="567"/>
              </w:tabs>
              <w:ind w:firstLine="709"/>
              <w:rPr>
                <w:b/>
                <w:bCs/>
                <w:strike/>
              </w:rPr>
            </w:pPr>
            <w:r w:rsidRPr="00F75759">
              <w:rPr>
                <w:szCs w:val="24"/>
              </w:rPr>
              <w:t xml:space="preserve">Dördüncü fıkra karar yeter sayısına ilişkindir. </w:t>
            </w:r>
          </w:p>
          <w:p w:rsidR="00AF3319" w:rsidRPr="00A23740" w:rsidRDefault="00540255" w:rsidP="009431FF">
            <w:pPr>
              <w:tabs>
                <w:tab w:val="left" w:pos="566"/>
              </w:tabs>
              <w:ind w:firstLine="709"/>
              <w:rPr>
                <w:szCs w:val="24"/>
                <w:lang w:val="x-none" w:eastAsia="x-none"/>
              </w:rPr>
            </w:pPr>
            <w:r w:rsidRPr="00F75759">
              <w:rPr>
                <w:szCs w:val="24"/>
                <w:lang w:val="x-none" w:eastAsia="x-none"/>
              </w:rPr>
              <w:t>Beşinci</w:t>
            </w:r>
            <w:r w:rsidR="00AF3319" w:rsidRPr="00F75759">
              <w:rPr>
                <w:szCs w:val="24"/>
                <w:lang w:val="x-none" w:eastAsia="x-none"/>
              </w:rPr>
              <w:t xml:space="preserve"> </w:t>
            </w:r>
            <w:r w:rsidR="00AF3319" w:rsidRPr="00A23740">
              <w:rPr>
                <w:szCs w:val="24"/>
                <w:lang w:val="x-none" w:eastAsia="x-none"/>
              </w:rPr>
              <w:t xml:space="preserve">fıkra, 2004 sayılı Kanunun 221 inci maddesi </w:t>
            </w:r>
            <w:r w:rsidR="00AF3319" w:rsidRPr="00A23740">
              <w:rPr>
                <w:rFonts w:eastAsia="ヒラギノ明朝 Pro W3"/>
                <w:szCs w:val="24"/>
              </w:rPr>
              <w:t>büronun yetki ve görevlerini tam olarak yansıtmaktan uzak olduğu için,</w:t>
            </w:r>
            <w:r w:rsidR="00AF3319" w:rsidRPr="00A23740">
              <w:rPr>
                <w:szCs w:val="24"/>
                <w:lang w:val="x-none" w:eastAsia="x-none"/>
              </w:rPr>
              <w:t xml:space="preserve"> birinci alacaklılar toplantısına katılmak isteyenlerin alacaklı olup olmadıklarına, ne kadar alacaklı olduklarına ve toplantıya alacaklı temsilcisi olarak gelen kişilerin temsil  yetkisinin bulunup bulunmadığına basit bir inceleme sonucunda iflas bürosunun karar vereceği yönünde açık bir düzenlemeyi içermektedir. Ayrıca büro, oyların geçerliliğine ve sayımına ilişkin uyuşmazlıklar hakkında da karar verecektir. Hükümde iflas bürosunun birinci alacaklılar toplantısına hangi alacaklıların katılacağına ne şekilde </w:t>
            </w:r>
            <w:r w:rsidR="00AF3319" w:rsidRPr="00F75759">
              <w:rPr>
                <w:szCs w:val="24"/>
                <w:lang w:val="x-none" w:eastAsia="x-none"/>
              </w:rPr>
              <w:t>karar vereceğin</w:t>
            </w:r>
            <w:r w:rsidR="001510BD" w:rsidRPr="00F75759">
              <w:rPr>
                <w:bCs/>
                <w:szCs w:val="24"/>
                <w:lang w:val="x-none" w:eastAsia="x-none"/>
              </w:rPr>
              <w:t>e</w:t>
            </w:r>
            <w:r w:rsidR="00AF3319" w:rsidRPr="00F75759">
              <w:rPr>
                <w:szCs w:val="24"/>
                <w:lang w:val="x-none" w:eastAsia="x-none"/>
              </w:rPr>
              <w:t xml:space="preserve"> ilişkin olarak </w:t>
            </w:r>
            <w:r w:rsidR="00F601F2" w:rsidRPr="00F75759">
              <w:rPr>
                <w:szCs w:val="24"/>
                <w:lang w:val="x-none" w:eastAsia="x-none"/>
              </w:rPr>
              <w:t>İsviçre</w:t>
            </w:r>
            <w:r w:rsidR="00F601F2" w:rsidRPr="00F75759">
              <w:rPr>
                <w:bCs/>
                <w:szCs w:val="24"/>
                <w:lang w:val="x-none" w:eastAsia="x-none"/>
              </w:rPr>
              <w:t>’nin Borç İçin Takip ve İflas Hakkında Federal Kanununun</w:t>
            </w:r>
            <w:r w:rsidR="00F601F2" w:rsidRPr="00F75759">
              <w:rPr>
                <w:bCs/>
                <w:lang w:val="x-none" w:eastAsia="x-none"/>
              </w:rPr>
              <w:t xml:space="preserve"> </w:t>
            </w:r>
            <w:r w:rsidR="00AF3319" w:rsidRPr="00A23740">
              <w:rPr>
                <w:szCs w:val="24"/>
                <w:lang w:val="x-none" w:eastAsia="x-none"/>
              </w:rPr>
              <w:t xml:space="preserve">235 inci maddesinin ikinci fıkrasına kıyasla daha ayrıntılı bir düzenlemeye yer </w:t>
            </w:r>
            <w:r w:rsidR="00F601F2" w:rsidRPr="00F75759">
              <w:rPr>
                <w:szCs w:val="24"/>
                <w:lang w:val="x-none" w:eastAsia="x-none"/>
              </w:rPr>
              <w:t>verilmiştir.</w:t>
            </w:r>
            <w:r w:rsidR="00AF3319" w:rsidRPr="00A23740">
              <w:rPr>
                <w:szCs w:val="24"/>
                <w:lang w:val="x-none" w:eastAsia="x-none"/>
              </w:rPr>
              <w:t xml:space="preserve">   </w:t>
            </w:r>
          </w:p>
          <w:p w:rsidR="00AF3319" w:rsidRPr="00A23740" w:rsidRDefault="00AF3319" w:rsidP="009431FF">
            <w:pPr>
              <w:tabs>
                <w:tab w:val="left" w:pos="566"/>
              </w:tabs>
              <w:ind w:firstLine="709"/>
              <w:rPr>
                <w:rFonts w:eastAsia="ヒラギノ明朝 Pro W3"/>
                <w:b/>
                <w:bCs/>
                <w:szCs w:val="24"/>
              </w:rPr>
            </w:pPr>
            <w:r w:rsidRPr="00A23740">
              <w:rPr>
                <w:rFonts w:eastAsia="ヒラギノ明朝 Pro W3"/>
                <w:szCs w:val="24"/>
              </w:rPr>
              <w:t>Altıncı fıkra</w:t>
            </w:r>
            <w:r w:rsidR="001510BD" w:rsidRPr="00F75759">
              <w:rPr>
                <w:bCs/>
                <w:szCs w:val="24"/>
              </w:rPr>
              <w:t>,</w:t>
            </w:r>
            <w:r w:rsidRPr="00F75759">
              <w:rPr>
                <w:rFonts w:eastAsia="ヒラギノ明朝 Pro W3"/>
                <w:szCs w:val="24"/>
              </w:rPr>
              <w:t xml:space="preserve"> büronun</w:t>
            </w:r>
            <w:r w:rsidRPr="00A23740">
              <w:rPr>
                <w:rFonts w:eastAsia="ヒラギノ明朝 Pro W3"/>
                <w:szCs w:val="24"/>
              </w:rPr>
              <w:t xml:space="preserve"> işlemlerine karşı şik</w:t>
            </w:r>
            <w:r w:rsidR="001510BD" w:rsidRPr="00A23740">
              <w:rPr>
                <w:rFonts w:eastAsia="ヒラギノ明朝 Pro W3"/>
                <w:szCs w:val="24"/>
              </w:rPr>
              <w:t>â</w:t>
            </w:r>
            <w:r w:rsidRPr="00A23740">
              <w:rPr>
                <w:rFonts w:eastAsia="ヒラギノ明朝 Pro W3"/>
                <w:szCs w:val="24"/>
              </w:rPr>
              <w:t xml:space="preserve">yeti düzenlemektedir. </w:t>
            </w:r>
            <w:r w:rsidRPr="00A23740">
              <w:rPr>
                <w:rFonts w:eastAsia="ヒラギノ明朝 Pro W3"/>
                <w:bCs/>
                <w:szCs w:val="24"/>
              </w:rPr>
              <w:t>Burada şik</w:t>
            </w:r>
            <w:r w:rsidR="001510BD" w:rsidRPr="00A23740">
              <w:rPr>
                <w:rFonts w:eastAsia="ヒラギノ明朝 Pro W3"/>
                <w:bCs/>
                <w:szCs w:val="24"/>
              </w:rPr>
              <w:t>â</w:t>
            </w:r>
            <w:r w:rsidRPr="00A23740">
              <w:rPr>
                <w:rFonts w:eastAsia="ヒラギノ明朝 Pro W3"/>
                <w:bCs/>
                <w:szCs w:val="24"/>
              </w:rPr>
              <w:t xml:space="preserve">yet </w:t>
            </w:r>
            <w:r w:rsidRPr="00F75759">
              <w:rPr>
                <w:rFonts w:eastAsia="ヒラギノ明朝 Pro W3"/>
                <w:bCs/>
                <w:szCs w:val="24"/>
              </w:rPr>
              <w:t>merci</w:t>
            </w:r>
            <w:r w:rsidR="001510BD" w:rsidRPr="00F75759">
              <w:rPr>
                <w:szCs w:val="24"/>
              </w:rPr>
              <w:t>i</w:t>
            </w:r>
            <w:r w:rsidR="00552782" w:rsidRPr="00F75759">
              <w:rPr>
                <w:szCs w:val="24"/>
              </w:rPr>
              <w:t>,</w:t>
            </w:r>
            <w:r w:rsidRPr="00F75759">
              <w:rPr>
                <w:rFonts w:eastAsia="ヒラギノ明朝 Pro W3"/>
                <w:bCs/>
                <w:szCs w:val="24"/>
              </w:rPr>
              <w:t xml:space="preserve"> iflas</w:t>
            </w:r>
            <w:r w:rsidRPr="00A23740">
              <w:rPr>
                <w:rFonts w:eastAsia="ヒラギノ明朝 Pro W3"/>
                <w:bCs/>
                <w:szCs w:val="24"/>
              </w:rPr>
              <w:t xml:space="preserve"> mahkemesidir. Büronun işlemlerine karşı iflas mahkemesi nezdinde şik</w:t>
            </w:r>
            <w:r w:rsidR="001510BD" w:rsidRPr="00A23740">
              <w:rPr>
                <w:rFonts w:eastAsia="ヒラギノ明朝 Pro W3"/>
                <w:bCs/>
                <w:szCs w:val="24"/>
              </w:rPr>
              <w:t>â</w:t>
            </w:r>
            <w:r w:rsidRPr="00A23740">
              <w:rPr>
                <w:rFonts w:eastAsia="ヒラギノ明朝 Pro W3"/>
                <w:bCs/>
                <w:szCs w:val="24"/>
              </w:rPr>
              <w:t>yette bulunulabileceği maddede açıklanmış ve konunun gerektirdiği sürat nedeniyle iflas mahkemesinin şik</w:t>
            </w:r>
            <w:r w:rsidR="001510BD" w:rsidRPr="00A23740">
              <w:rPr>
                <w:rFonts w:eastAsia="ヒラギノ明朝 Pro W3"/>
                <w:bCs/>
                <w:szCs w:val="24"/>
              </w:rPr>
              <w:t>â</w:t>
            </w:r>
            <w:r w:rsidRPr="00A23740">
              <w:rPr>
                <w:rFonts w:eastAsia="ヒラギノ明朝 Pro W3"/>
                <w:bCs/>
                <w:szCs w:val="24"/>
              </w:rPr>
              <w:t xml:space="preserve">yet üzerine vereceği kararın kesin olması gerektiği sonucuna </w:t>
            </w:r>
            <w:r w:rsidR="00F601F2" w:rsidRPr="00F75759">
              <w:rPr>
                <w:szCs w:val="24"/>
              </w:rPr>
              <w:t>varılmıştır.</w:t>
            </w:r>
          </w:p>
          <w:p w:rsidR="00AF3319" w:rsidRPr="00A23740" w:rsidRDefault="00AF3319"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40"/>
              </w:tabs>
              <w:rPr>
                <w:szCs w:val="24"/>
              </w:rPr>
            </w:pPr>
            <w:r w:rsidRPr="00A23740">
              <w:rPr>
                <w:szCs w:val="24"/>
              </w:rPr>
              <w:t xml:space="preserve">Toplantı veya karar </w:t>
            </w:r>
            <w:r w:rsidRPr="00A23740">
              <w:rPr>
                <w:b/>
                <w:strike/>
                <w:color w:val="FF0000"/>
                <w:szCs w:val="24"/>
              </w:rPr>
              <w:t>nisabının</w:t>
            </w:r>
            <w:r w:rsidRPr="00A23740">
              <w:rPr>
                <w:szCs w:val="24"/>
              </w:rPr>
              <w:t xml:space="preserve"> oluşmaması</w:t>
            </w:r>
            <w:r w:rsidRPr="00A23740">
              <w:rPr>
                <w:b/>
                <w:strike/>
                <w:color w:val="FF0000"/>
                <w:szCs w:val="24"/>
              </w:rPr>
              <w:t>:</w:t>
            </w:r>
          </w:p>
          <w:p w:rsidR="00AA5C8C" w:rsidRPr="00A23740" w:rsidRDefault="00AA5C8C" w:rsidP="009431FF">
            <w:pPr>
              <w:tabs>
                <w:tab w:val="left" w:pos="540"/>
              </w:tabs>
              <w:rPr>
                <w:b/>
                <w:szCs w:val="24"/>
              </w:rPr>
            </w:pPr>
            <w:r w:rsidRPr="00A23740">
              <w:rPr>
                <w:rStyle w:val="KIRMIZIChar"/>
                <w:rFonts w:eastAsia="Calibri"/>
              </w:rPr>
              <w:t>Madde 222- (1) (Değişik</w:t>
            </w:r>
            <w:r w:rsidRPr="00A23740">
              <w:rPr>
                <w:b/>
                <w:strike/>
                <w:color w:val="FF0000"/>
                <w:szCs w:val="24"/>
              </w:rPr>
              <w:t>: 17/7/2003-3939/53 md.)</w:t>
            </w:r>
          </w:p>
          <w:p w:rsidR="00AA5C8C" w:rsidRPr="00A23740" w:rsidRDefault="00AA5C8C" w:rsidP="009431FF">
            <w:pPr>
              <w:tabs>
                <w:tab w:val="left" w:pos="540"/>
              </w:tabs>
              <w:rPr>
                <w:szCs w:val="24"/>
              </w:rPr>
            </w:pPr>
            <w:r w:rsidRPr="00A23740">
              <w:rPr>
                <w:szCs w:val="24"/>
              </w:rPr>
              <w:t xml:space="preserve">Alacaklılar </w:t>
            </w:r>
            <w:r w:rsidRPr="00A23740">
              <w:rPr>
                <w:b/>
                <w:strike/>
                <w:color w:val="FF0000"/>
                <w:szCs w:val="24"/>
              </w:rPr>
              <w:t>toplanması</w:t>
            </w:r>
            <w:r w:rsidRPr="00A23740">
              <w:rPr>
                <w:szCs w:val="24"/>
              </w:rPr>
              <w:t xml:space="preserve"> </w:t>
            </w:r>
            <w:r w:rsidRPr="00A23740">
              <w:rPr>
                <w:b/>
                <w:strike/>
                <w:color w:val="FF0000"/>
                <w:szCs w:val="24"/>
              </w:rPr>
              <w:t>mümkün olmazsa</w:t>
            </w:r>
            <w:r w:rsidRPr="00A23740">
              <w:rPr>
                <w:b/>
                <w:color w:val="FF0000"/>
                <w:szCs w:val="24"/>
              </w:rPr>
              <w:t xml:space="preserve"> </w:t>
            </w:r>
            <w:r w:rsidRPr="00A23740">
              <w:rPr>
                <w:szCs w:val="24"/>
              </w:rPr>
              <w:t>veya</w:t>
            </w:r>
            <w:r w:rsidRPr="00A23740">
              <w:rPr>
                <w:b/>
                <w:color w:val="FF0000"/>
                <w:szCs w:val="24"/>
              </w:rPr>
              <w:t xml:space="preserve"> </w:t>
            </w:r>
            <w:r w:rsidRPr="00A23740">
              <w:rPr>
                <w:szCs w:val="24"/>
              </w:rPr>
              <w:t xml:space="preserve">karar </w:t>
            </w:r>
            <w:r w:rsidRPr="00A23740">
              <w:rPr>
                <w:b/>
                <w:strike/>
                <w:color w:val="FF0000"/>
                <w:szCs w:val="24"/>
              </w:rPr>
              <w:t>nisabı</w:t>
            </w:r>
            <w:r w:rsidRPr="00A23740">
              <w:rPr>
                <w:szCs w:val="24"/>
              </w:rPr>
              <w:t xml:space="preserve"> oluşmazsa durum tespit </w:t>
            </w:r>
            <w:r w:rsidRPr="00A23740">
              <w:rPr>
                <w:b/>
                <w:strike/>
                <w:color w:val="FF0000"/>
                <w:szCs w:val="24"/>
              </w:rPr>
              <w:t>olunur</w:t>
            </w:r>
            <w:r w:rsidRPr="00A23740">
              <w:rPr>
                <w:szCs w:val="24"/>
              </w:rPr>
              <w:t xml:space="preserve">. Bu hâlde daire, ikinci alacaklılar </w:t>
            </w:r>
            <w:r w:rsidRPr="00A23740">
              <w:rPr>
                <w:rStyle w:val="KIRMIZIChar"/>
                <w:rFonts w:eastAsia="Calibri"/>
              </w:rPr>
              <w:t>toplanmasına</w:t>
            </w:r>
            <w:r w:rsidRPr="00A23740">
              <w:rPr>
                <w:szCs w:val="24"/>
              </w:rPr>
              <w:t xml:space="preserve"> kadar masayı idare eder ve tasfiyeye </w:t>
            </w:r>
            <w:r w:rsidRPr="00A23740">
              <w:rPr>
                <w:rStyle w:val="KIRMIZIChar"/>
                <w:rFonts w:eastAsia="Calibri"/>
              </w:rPr>
              <w:t>başlar</w:t>
            </w:r>
            <w:r w:rsidRPr="00A23740">
              <w:rPr>
                <w:szCs w:val="24"/>
              </w:rPr>
              <w:t>.</w:t>
            </w:r>
          </w:p>
        </w:tc>
        <w:tc>
          <w:tcPr>
            <w:tcW w:w="2500" w:type="pct"/>
          </w:tcPr>
          <w:p w:rsidR="00AA5C8C" w:rsidRPr="00A23740" w:rsidRDefault="00AA5C8C" w:rsidP="009431FF">
            <w:pPr>
              <w:tabs>
                <w:tab w:val="left" w:pos="540"/>
                <w:tab w:val="left" w:pos="567"/>
              </w:tabs>
              <w:rPr>
                <w:szCs w:val="24"/>
              </w:rPr>
            </w:pPr>
            <w:r w:rsidRPr="00A23740">
              <w:rPr>
                <w:b/>
                <w:szCs w:val="24"/>
              </w:rPr>
              <w:t>Toplantı veya karar</w:t>
            </w:r>
            <w:r w:rsidRPr="00A23740">
              <w:rPr>
                <w:szCs w:val="24"/>
              </w:rPr>
              <w:t xml:space="preserve"> </w:t>
            </w:r>
            <w:r w:rsidRPr="00A23740">
              <w:rPr>
                <w:b/>
                <w:color w:val="0000FF"/>
                <w:szCs w:val="24"/>
              </w:rPr>
              <w:t>yeter sayısının</w:t>
            </w:r>
            <w:r w:rsidRPr="00A23740">
              <w:rPr>
                <w:szCs w:val="24"/>
              </w:rPr>
              <w:t xml:space="preserve"> </w:t>
            </w:r>
            <w:r w:rsidRPr="00A23740">
              <w:rPr>
                <w:b/>
                <w:szCs w:val="24"/>
              </w:rPr>
              <w:t>oluşmaması</w:t>
            </w:r>
          </w:p>
          <w:p w:rsidR="00AA5C8C" w:rsidRDefault="00BB2129" w:rsidP="009431FF">
            <w:pPr>
              <w:tabs>
                <w:tab w:val="left" w:pos="540"/>
                <w:tab w:val="left" w:pos="567"/>
              </w:tabs>
              <w:rPr>
                <w:szCs w:val="24"/>
              </w:rPr>
            </w:pPr>
            <w:r w:rsidRPr="00A23740">
              <w:rPr>
                <w:rStyle w:val="MAVChar"/>
                <w:rFonts w:eastAsia="Calibri"/>
                <w:u w:val="none"/>
              </w:rPr>
              <w:t>MADDE 334</w:t>
            </w:r>
            <w:r w:rsidR="00AA5C8C" w:rsidRPr="00A23740">
              <w:rPr>
                <w:rStyle w:val="MAVChar"/>
                <w:rFonts w:eastAsia="Calibri"/>
                <w:u w:val="none"/>
              </w:rPr>
              <w:t>- (1) Birinci</w:t>
            </w:r>
            <w:r w:rsidR="00AA5C8C" w:rsidRPr="00A23740">
              <w:rPr>
                <w:b/>
                <w:szCs w:val="24"/>
              </w:rPr>
              <w:t xml:space="preserve"> </w:t>
            </w:r>
            <w:r w:rsidR="00AA5C8C" w:rsidRPr="00A23740">
              <w:rPr>
                <w:rStyle w:val="MaviChar"/>
              </w:rPr>
              <w:t>alacaklılar toplantısında toplantı</w:t>
            </w:r>
            <w:r w:rsidR="00AA5C8C" w:rsidRPr="00A23740">
              <w:rPr>
                <w:szCs w:val="24"/>
              </w:rPr>
              <w:t xml:space="preserve"> veya</w:t>
            </w:r>
            <w:r w:rsidR="00AA5C8C" w:rsidRPr="00A23740">
              <w:rPr>
                <w:b/>
                <w:color w:val="FF0000"/>
                <w:szCs w:val="24"/>
              </w:rPr>
              <w:t xml:space="preserve"> </w:t>
            </w:r>
            <w:r w:rsidR="00AA5C8C" w:rsidRPr="00A23740">
              <w:rPr>
                <w:szCs w:val="24"/>
              </w:rPr>
              <w:t xml:space="preserve">karar </w:t>
            </w:r>
            <w:r w:rsidR="00AA5C8C" w:rsidRPr="00A23740">
              <w:rPr>
                <w:rStyle w:val="MaviChar"/>
              </w:rPr>
              <w:t>yeter sayısı</w:t>
            </w:r>
            <w:r w:rsidR="00AA5C8C" w:rsidRPr="00A23740">
              <w:rPr>
                <w:szCs w:val="24"/>
              </w:rPr>
              <w:t xml:space="preserve"> oluşmazsa</w:t>
            </w:r>
            <w:r w:rsidR="0071562F" w:rsidRPr="00A23740">
              <w:rPr>
                <w:b/>
                <w:color w:val="538135"/>
                <w:szCs w:val="24"/>
              </w:rPr>
              <w:t>,</w:t>
            </w:r>
            <w:r w:rsidR="00AA5C8C" w:rsidRPr="00A23740">
              <w:rPr>
                <w:szCs w:val="24"/>
              </w:rPr>
              <w:t xml:space="preserve"> durum </w:t>
            </w:r>
            <w:r w:rsidR="00AA5C8C" w:rsidRPr="00A23740">
              <w:rPr>
                <w:rStyle w:val="MaviChar"/>
              </w:rPr>
              <w:t>bir tutanakla</w:t>
            </w:r>
            <w:r w:rsidR="00AA5C8C" w:rsidRPr="00A23740">
              <w:rPr>
                <w:szCs w:val="24"/>
              </w:rPr>
              <w:t xml:space="preserve"> tespit </w:t>
            </w:r>
            <w:r w:rsidR="00AA5C8C" w:rsidRPr="00A23740">
              <w:rPr>
                <w:b/>
                <w:color w:val="0000FF"/>
                <w:szCs w:val="24"/>
              </w:rPr>
              <w:t>edilir</w:t>
            </w:r>
            <w:r w:rsidR="00D74F7C">
              <w:rPr>
                <w:szCs w:val="24"/>
              </w:rPr>
              <w:t>.</w:t>
            </w:r>
          </w:p>
          <w:p w:rsidR="00D74F7C" w:rsidRPr="00A23740" w:rsidRDefault="00D74F7C" w:rsidP="009431FF">
            <w:pPr>
              <w:tabs>
                <w:tab w:val="left" w:pos="540"/>
                <w:tab w:val="left" w:pos="567"/>
              </w:tabs>
              <w:rPr>
                <w:szCs w:val="24"/>
              </w:rPr>
            </w:pPr>
          </w:p>
          <w:p w:rsidR="00AA5C8C" w:rsidRPr="00A23740" w:rsidRDefault="00AA5C8C" w:rsidP="009431FF">
            <w:pPr>
              <w:tabs>
                <w:tab w:val="left" w:pos="540"/>
                <w:tab w:val="left" w:pos="567"/>
              </w:tabs>
              <w:rPr>
                <w:szCs w:val="24"/>
              </w:rPr>
            </w:pPr>
            <w:r w:rsidRPr="00A23740">
              <w:rPr>
                <w:rStyle w:val="MaviChar"/>
              </w:rPr>
              <w:t>(2)</w:t>
            </w:r>
            <w:r w:rsidRPr="00A23740">
              <w:rPr>
                <w:szCs w:val="24"/>
              </w:rPr>
              <w:t xml:space="preserve"> Bu hâlde </w:t>
            </w:r>
            <w:r w:rsidRPr="00A23740">
              <w:rPr>
                <w:rStyle w:val="MaviChar"/>
              </w:rPr>
              <w:t>iflas</w:t>
            </w:r>
            <w:r w:rsidRPr="00A23740">
              <w:rPr>
                <w:szCs w:val="24"/>
              </w:rPr>
              <w:t xml:space="preserve"> daire</w:t>
            </w:r>
            <w:r w:rsidRPr="00A23740">
              <w:rPr>
                <w:rStyle w:val="MaviChar"/>
              </w:rPr>
              <w:t>si</w:t>
            </w:r>
            <w:r w:rsidRPr="00A23740">
              <w:rPr>
                <w:szCs w:val="24"/>
              </w:rPr>
              <w:t xml:space="preserve">, </w:t>
            </w:r>
            <w:r w:rsidRPr="00A23740">
              <w:rPr>
                <w:b/>
                <w:color w:val="0000FF"/>
                <w:szCs w:val="24"/>
              </w:rPr>
              <w:t>hazır bulunan alacaklılara masanın durumu hakkında bilgi verir</w:t>
            </w:r>
            <w:r w:rsidR="0071562F" w:rsidRPr="00F75759">
              <w:rPr>
                <w:rStyle w:val="MaviChar"/>
              </w:rPr>
              <w:t>,</w:t>
            </w:r>
            <w:r w:rsidRPr="00A23740">
              <w:rPr>
                <w:szCs w:val="24"/>
              </w:rPr>
              <w:t xml:space="preserve"> ikinci alacaklılar </w:t>
            </w:r>
            <w:r w:rsidRPr="00A23740">
              <w:rPr>
                <w:rStyle w:val="Stil2Char"/>
                <w:rFonts w:eastAsia="Calibri"/>
                <w:u w:val="none"/>
              </w:rPr>
              <w:t>toplantısına</w:t>
            </w:r>
            <w:r w:rsidRPr="00A23740">
              <w:rPr>
                <w:szCs w:val="24"/>
              </w:rPr>
              <w:t xml:space="preserve"> kadar </w:t>
            </w:r>
            <w:r w:rsidR="0071562F" w:rsidRPr="00F75759">
              <w:rPr>
                <w:rStyle w:val="MaviChar"/>
              </w:rPr>
              <w:t>iflas masasını</w:t>
            </w:r>
            <w:r w:rsidR="0071562F" w:rsidRPr="00A23740">
              <w:rPr>
                <w:szCs w:val="24"/>
              </w:rPr>
              <w:t xml:space="preserve"> </w:t>
            </w:r>
            <w:r w:rsidRPr="00A23740">
              <w:rPr>
                <w:szCs w:val="24"/>
              </w:rPr>
              <w:t xml:space="preserve">idare eder ve tasfiyeye </w:t>
            </w:r>
            <w:r w:rsidRPr="00A23740">
              <w:rPr>
                <w:rStyle w:val="MAVChar"/>
                <w:rFonts w:eastAsia="Calibri"/>
                <w:u w:val="none"/>
              </w:rPr>
              <w:t>devam eder</w:t>
            </w:r>
            <w:r w:rsidRPr="00A23740">
              <w:rPr>
                <w:szCs w:val="24"/>
              </w:rPr>
              <w:t>.</w:t>
            </w:r>
          </w:p>
          <w:p w:rsidR="00AA5C8C" w:rsidRPr="00A23740" w:rsidRDefault="00AA5C8C" w:rsidP="009431FF">
            <w:pPr>
              <w:tabs>
                <w:tab w:val="left" w:pos="540"/>
                <w:tab w:val="left" w:pos="567"/>
              </w:tabs>
              <w:rPr>
                <w:b/>
                <w:color w:val="FF0000"/>
                <w:szCs w:val="24"/>
              </w:rPr>
            </w:pPr>
          </w:p>
        </w:tc>
      </w:tr>
      <w:tr w:rsidR="00AF3319"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17C18" w:rsidRPr="00A23740" w:rsidRDefault="00617C18" w:rsidP="009431FF">
            <w:pPr>
              <w:tabs>
                <w:tab w:val="left" w:pos="567"/>
              </w:tabs>
              <w:ind w:firstLine="709"/>
              <w:rPr>
                <w:bCs/>
                <w:szCs w:val="24"/>
              </w:rPr>
            </w:pPr>
          </w:p>
          <w:p w:rsidR="00617C18" w:rsidRPr="00A23740" w:rsidRDefault="00BB2129" w:rsidP="009431FF">
            <w:pPr>
              <w:tabs>
                <w:tab w:val="left" w:pos="540"/>
                <w:tab w:val="left" w:pos="567"/>
              </w:tabs>
              <w:ind w:firstLine="709"/>
              <w:rPr>
                <w:szCs w:val="24"/>
              </w:rPr>
            </w:pPr>
            <w:r w:rsidRPr="00A23740">
              <w:rPr>
                <w:b/>
                <w:bCs/>
              </w:rPr>
              <w:t>MADDE 334</w:t>
            </w:r>
            <w:r w:rsidR="00617C18" w:rsidRPr="00A23740">
              <w:rPr>
                <w:b/>
                <w:bCs/>
              </w:rPr>
              <w:t xml:space="preserve">- </w:t>
            </w:r>
            <w:r w:rsidR="00617C18" w:rsidRPr="00A23740">
              <w:rPr>
                <w:bCs/>
                <w:szCs w:val="24"/>
              </w:rPr>
              <w:t>Maddeyle, toplantı veya karar yeter sayısının oluşmamasına ilişkin hususlar düzenlenmektedir. Hüküm, 2004 sayılı Kanunun 222 nci maddesine karşılık gelmektedir.</w:t>
            </w:r>
            <w:r w:rsidR="00617C18" w:rsidRPr="00A23740">
              <w:rPr>
                <w:b/>
                <w:bCs/>
              </w:rPr>
              <w:t xml:space="preserve">  </w:t>
            </w:r>
          </w:p>
          <w:p w:rsidR="00F97472" w:rsidRPr="00A23740" w:rsidRDefault="00F97472" w:rsidP="009431FF">
            <w:pPr>
              <w:tabs>
                <w:tab w:val="left" w:pos="567"/>
              </w:tabs>
              <w:ind w:firstLine="709"/>
              <w:rPr>
                <w:bCs/>
                <w:szCs w:val="24"/>
              </w:rPr>
            </w:pPr>
            <w:r w:rsidRPr="00A23740">
              <w:rPr>
                <w:bCs/>
                <w:szCs w:val="24"/>
              </w:rPr>
              <w:t>Birinci fıkrada toplantı veya karar yeter sayısının oluşmaması h</w:t>
            </w:r>
            <w:r w:rsidR="00F601F2" w:rsidRPr="00A23740">
              <w:rPr>
                <w:bCs/>
                <w:szCs w:val="24"/>
              </w:rPr>
              <w:t>â</w:t>
            </w:r>
            <w:r w:rsidRPr="00A23740">
              <w:rPr>
                <w:bCs/>
                <w:szCs w:val="24"/>
              </w:rPr>
              <w:t xml:space="preserve">linde durumun tutanakla tespiti düzenlenmiştir. Hükümde “veya” bağlacına yer verilmesi bilinçli bir tercihtir. Zira birinci alacaklılar toplantısının </w:t>
            </w:r>
            <w:r w:rsidR="00552782" w:rsidRPr="00A23740">
              <w:rPr>
                <w:bCs/>
                <w:szCs w:val="24"/>
              </w:rPr>
              <w:t>K</w:t>
            </w:r>
            <w:r w:rsidRPr="00A23740">
              <w:rPr>
                <w:bCs/>
                <w:szCs w:val="24"/>
              </w:rPr>
              <w:t>anunda öngörülen sayıda alacaklının katılımının gerçekleşmemesi sebebiyle yapılamaması ile toplantıda karar yeter sayısının oluşmaması birbirine bağlı olmayıp</w:t>
            </w:r>
            <w:r w:rsidR="00552782" w:rsidRPr="00A23740">
              <w:rPr>
                <w:bCs/>
                <w:szCs w:val="24"/>
              </w:rPr>
              <w:t>,</w:t>
            </w:r>
            <w:r w:rsidRPr="00A23740">
              <w:rPr>
                <w:bCs/>
                <w:szCs w:val="24"/>
              </w:rPr>
              <w:t xml:space="preserve"> seçenekli olarak ortaya çıkabilecek olasılıklardır. Öte yandan ikinci fıkrada, toplantı veya karar yeter sayısına ulaşılamaması h</w:t>
            </w:r>
            <w:r w:rsidR="00F601F2" w:rsidRPr="00A23740">
              <w:rPr>
                <w:bCs/>
                <w:szCs w:val="24"/>
              </w:rPr>
              <w:t>â</w:t>
            </w:r>
            <w:r w:rsidRPr="00A23740">
              <w:rPr>
                <w:bCs/>
                <w:szCs w:val="24"/>
              </w:rPr>
              <w:t>linde</w:t>
            </w:r>
            <w:r w:rsidR="00F601F2" w:rsidRPr="00F75759">
              <w:rPr>
                <w:szCs w:val="24"/>
              </w:rPr>
              <w:t>,</w:t>
            </w:r>
            <w:r w:rsidRPr="00F75759">
              <w:rPr>
                <w:bCs/>
                <w:szCs w:val="24"/>
              </w:rPr>
              <w:t xml:space="preserve"> iflas</w:t>
            </w:r>
            <w:r w:rsidRPr="00A23740">
              <w:rPr>
                <w:bCs/>
                <w:szCs w:val="24"/>
              </w:rPr>
              <w:t xml:space="preserve"> dairesinin ikinci alacaklılar toplantısına kadar masayı idare etmek yanında esasen iflasın açılması süreciyle başlayan “tasfiye” işini de yürüteceği ifade edilmek istenilm</w:t>
            </w:r>
            <w:r w:rsidR="00543C57" w:rsidRPr="00A23740">
              <w:rPr>
                <w:bCs/>
                <w:szCs w:val="24"/>
              </w:rPr>
              <w:t xml:space="preserve">iş ve 2004 sayılı Kanunun 222 </w:t>
            </w:r>
            <w:r w:rsidRPr="00A23740">
              <w:rPr>
                <w:bCs/>
                <w:szCs w:val="24"/>
              </w:rPr>
              <w:t>nci maddesindeki “… başlar” ifadesi “… devam eder” şeklinde değiştirilmiştir</w:t>
            </w:r>
            <w:r w:rsidR="00512416" w:rsidRPr="00A23740">
              <w:rPr>
                <w:bCs/>
                <w:szCs w:val="24"/>
              </w:rPr>
              <w:t xml:space="preserve"> (bkz.Baki Kuru, İcra ve İflas Hukuku El Kitabı, 2.Baskı, Ankara 2013, s.1301)</w:t>
            </w:r>
            <w:r w:rsidRPr="00A23740">
              <w:rPr>
                <w:bCs/>
                <w:szCs w:val="24"/>
              </w:rPr>
              <w:t xml:space="preserve">. Ancak bu durum olağan tasfiyeyi basit tasfiyeye dönüştürmeyecektir. İflas dairesinin, birinci alacaklılar toplantısında iflas idaresi oluşturulamadığı için ikinci alacaklılar toplantısına kadar </w:t>
            </w:r>
            <w:r w:rsidR="00F65461" w:rsidRPr="00F75759">
              <w:rPr>
                <w:bCs/>
                <w:szCs w:val="24"/>
              </w:rPr>
              <w:t>iflas masasını</w:t>
            </w:r>
            <w:r w:rsidR="00F65461" w:rsidRPr="00A23740">
              <w:rPr>
                <w:bCs/>
                <w:szCs w:val="24"/>
              </w:rPr>
              <w:t xml:space="preserve"> </w:t>
            </w:r>
            <w:r w:rsidRPr="00A23740">
              <w:rPr>
                <w:bCs/>
                <w:szCs w:val="24"/>
              </w:rPr>
              <w:t>ve tasfiyeyi idare etmesi basit tasfiyenin uygulanmasını gerektiren bir h</w:t>
            </w:r>
            <w:r w:rsidR="00F601F2" w:rsidRPr="00A23740">
              <w:rPr>
                <w:bCs/>
                <w:szCs w:val="24"/>
              </w:rPr>
              <w:t>â</w:t>
            </w:r>
            <w:r w:rsidRPr="00A23740">
              <w:rPr>
                <w:bCs/>
                <w:szCs w:val="24"/>
              </w:rPr>
              <w:t xml:space="preserve">l değildir. </w:t>
            </w:r>
          </w:p>
          <w:p w:rsidR="00AF3319" w:rsidRPr="00A23740" w:rsidRDefault="00AF3319"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Kararlar aleyhine müracaat:</w:t>
            </w:r>
          </w:p>
          <w:p w:rsidR="00AA5C8C" w:rsidRPr="00A23740" w:rsidRDefault="00AA5C8C" w:rsidP="009431FF">
            <w:pPr>
              <w:tabs>
                <w:tab w:val="left" w:pos="567"/>
              </w:tabs>
              <w:rPr>
                <w:b/>
                <w:szCs w:val="24"/>
              </w:rPr>
            </w:pPr>
            <w:r w:rsidRPr="00A23740">
              <w:rPr>
                <w:rStyle w:val="KIRMIZIChar"/>
                <w:rFonts w:eastAsia="Calibri"/>
              </w:rPr>
              <w:t>Madde 225 – (1) (Değişik</w:t>
            </w:r>
            <w:r w:rsidRPr="00A23740">
              <w:rPr>
                <w:b/>
                <w:strike/>
                <w:color w:val="FF0000"/>
                <w:szCs w:val="24"/>
              </w:rPr>
              <w:t>: 3/7/1940 - 3890/1 md.)</w:t>
            </w:r>
          </w:p>
          <w:p w:rsidR="00AA5C8C" w:rsidRPr="00A23740" w:rsidRDefault="00AA5C8C" w:rsidP="009431FF">
            <w:pPr>
              <w:tabs>
                <w:tab w:val="left" w:pos="567"/>
              </w:tabs>
              <w:rPr>
                <w:szCs w:val="24"/>
              </w:rPr>
            </w:pPr>
            <w:r w:rsidRPr="00A23740">
              <w:rPr>
                <w:szCs w:val="24"/>
              </w:rPr>
              <w:t>Alacaklılar toplan</w:t>
            </w:r>
            <w:r w:rsidRPr="00A23740">
              <w:rPr>
                <w:rStyle w:val="KIRMIZIChar"/>
                <w:rFonts w:eastAsia="Calibri"/>
              </w:rPr>
              <w:t>masının</w:t>
            </w:r>
            <w:r w:rsidRPr="00A23740">
              <w:rPr>
                <w:szCs w:val="24"/>
              </w:rPr>
              <w:t xml:space="preserve"> kararların</w:t>
            </w:r>
            <w:r w:rsidRPr="00A23740">
              <w:rPr>
                <w:b/>
                <w:strike/>
                <w:color w:val="FF0000"/>
                <w:szCs w:val="24"/>
              </w:rPr>
              <w:t>dan dolayı</w:t>
            </w:r>
            <w:r w:rsidRPr="00A23740">
              <w:rPr>
                <w:szCs w:val="24"/>
              </w:rPr>
              <w:t xml:space="preserve"> her alacaklı </w:t>
            </w:r>
            <w:r w:rsidRPr="00A23740">
              <w:rPr>
                <w:b/>
                <w:strike/>
                <w:color w:val="FF0000"/>
                <w:szCs w:val="24"/>
              </w:rPr>
              <w:t>tarafından yedi gün</w:t>
            </w:r>
            <w:r w:rsidRPr="00A23740">
              <w:rPr>
                <w:szCs w:val="24"/>
              </w:rPr>
              <w:t xml:space="preserve"> içinde </w:t>
            </w:r>
            <w:r w:rsidRPr="00A23740">
              <w:rPr>
                <w:b/>
                <w:strike/>
                <w:color w:val="FF0000"/>
                <w:szCs w:val="24"/>
              </w:rPr>
              <w:t>icra</w:t>
            </w:r>
            <w:r w:rsidRPr="00A23740">
              <w:rPr>
                <w:szCs w:val="24"/>
              </w:rPr>
              <w:t xml:space="preserve"> mahkemesine şikayet </w:t>
            </w:r>
            <w:r w:rsidRPr="00A23740">
              <w:rPr>
                <w:b/>
                <w:strike/>
                <w:color w:val="FF0000"/>
                <w:szCs w:val="24"/>
              </w:rPr>
              <w:t>olunabilir</w:t>
            </w:r>
            <w:r w:rsidRPr="00A23740">
              <w:rPr>
                <w:szCs w:val="24"/>
              </w:rPr>
              <w:t xml:space="preserve">. </w:t>
            </w:r>
            <w:r w:rsidRPr="00A23740">
              <w:rPr>
                <w:b/>
                <w:strike/>
                <w:color w:val="FF0000"/>
                <w:szCs w:val="24"/>
              </w:rPr>
              <w:t>İcra</w:t>
            </w:r>
            <w:r w:rsidRPr="00A23740">
              <w:rPr>
                <w:szCs w:val="24"/>
              </w:rPr>
              <w:t xml:space="preserve"> mahkemesi </w:t>
            </w:r>
            <w:r w:rsidRPr="00A23740">
              <w:rPr>
                <w:b/>
                <w:strike/>
                <w:color w:val="FF0000"/>
                <w:szCs w:val="24"/>
              </w:rPr>
              <w:t>iflas</w:t>
            </w:r>
            <w:r w:rsidRPr="00A23740">
              <w:rPr>
                <w:szCs w:val="24"/>
              </w:rPr>
              <w:t xml:space="preserve"> Dairesinin </w:t>
            </w:r>
            <w:r w:rsidRPr="00A23740">
              <w:rPr>
                <w:b/>
                <w:strike/>
                <w:color w:val="FF0000"/>
                <w:szCs w:val="24"/>
              </w:rPr>
              <w:t>mütalaasını</w:t>
            </w:r>
            <w:r w:rsidRPr="00A23740">
              <w:rPr>
                <w:szCs w:val="24"/>
              </w:rPr>
              <w:t xml:space="preserve"> aldıktan ve </w:t>
            </w:r>
            <w:r w:rsidRPr="00A23740">
              <w:rPr>
                <w:b/>
                <w:strike/>
                <w:color w:val="FF0000"/>
                <w:szCs w:val="24"/>
              </w:rPr>
              <w:t>icabında</w:t>
            </w:r>
            <w:r w:rsidRPr="00A23740">
              <w:rPr>
                <w:szCs w:val="24"/>
              </w:rPr>
              <w:t xml:space="preserve"> şikayet edeni ve dinlenmelerini istiyen alacaklıları da dinledikten sonra </w:t>
            </w:r>
            <w:r w:rsidRPr="00A23740">
              <w:rPr>
                <w:b/>
                <w:strike/>
                <w:color w:val="FF0000"/>
                <w:szCs w:val="24"/>
              </w:rPr>
              <w:t>kısa bir zamanda</w:t>
            </w:r>
            <w:r w:rsidRPr="00A23740">
              <w:rPr>
                <w:szCs w:val="24"/>
              </w:rPr>
              <w:t xml:space="preserve"> kararını verir.</w:t>
            </w:r>
          </w:p>
          <w:p w:rsidR="00AA5C8C" w:rsidRPr="00A23740" w:rsidRDefault="00AA5C8C" w:rsidP="009431FF">
            <w:pPr>
              <w:tabs>
                <w:tab w:val="left" w:pos="567"/>
              </w:tabs>
              <w:rPr>
                <w:szCs w:val="24"/>
              </w:rPr>
            </w:pPr>
          </w:p>
          <w:p w:rsidR="00AA5C8C" w:rsidRPr="00A23740" w:rsidRDefault="00AE0894" w:rsidP="009431FF">
            <w:pPr>
              <w:tabs>
                <w:tab w:val="left" w:pos="567"/>
              </w:tabs>
              <w:rPr>
                <w:szCs w:val="24"/>
              </w:rPr>
            </w:pPr>
            <w:r>
              <w:rPr>
                <w:b/>
                <w:color w:val="FF0000"/>
                <w:szCs w:val="24"/>
              </w:rPr>
              <w:t>M.225/F1.</w:t>
            </w:r>
            <w:r w:rsidR="00AA5C8C" w:rsidRPr="00A23740">
              <w:rPr>
                <w:b/>
                <w:color w:val="FF0000"/>
                <w:szCs w:val="24"/>
              </w:rPr>
              <w:t xml:space="preserve">C2: </w:t>
            </w:r>
            <w:r w:rsidR="00AA5C8C" w:rsidRPr="00A23740">
              <w:rPr>
                <w:b/>
                <w:strike/>
                <w:color w:val="FF0000"/>
                <w:szCs w:val="24"/>
              </w:rPr>
              <w:t>İcra</w:t>
            </w:r>
            <w:r w:rsidR="00AA5C8C" w:rsidRPr="00A23740">
              <w:rPr>
                <w:szCs w:val="24"/>
              </w:rPr>
              <w:t xml:space="preserve"> mahkemesi </w:t>
            </w:r>
            <w:r w:rsidR="00AA5C8C" w:rsidRPr="00A23740">
              <w:rPr>
                <w:b/>
                <w:strike/>
                <w:color w:val="FF0000"/>
                <w:szCs w:val="24"/>
              </w:rPr>
              <w:t>iflas</w:t>
            </w:r>
            <w:r w:rsidR="00AA5C8C" w:rsidRPr="00A23740">
              <w:rPr>
                <w:szCs w:val="24"/>
              </w:rPr>
              <w:t xml:space="preserve"> Dairesinin </w:t>
            </w:r>
            <w:r w:rsidR="00AA5C8C" w:rsidRPr="00A23740">
              <w:rPr>
                <w:b/>
                <w:strike/>
                <w:color w:val="FF0000"/>
                <w:szCs w:val="24"/>
              </w:rPr>
              <w:t>mütalaasını</w:t>
            </w:r>
            <w:r w:rsidR="00AA5C8C" w:rsidRPr="00A23740">
              <w:rPr>
                <w:szCs w:val="24"/>
              </w:rPr>
              <w:t xml:space="preserve"> aldıktan ve </w:t>
            </w:r>
            <w:r w:rsidR="00AA5C8C" w:rsidRPr="00A23740">
              <w:rPr>
                <w:b/>
                <w:strike/>
                <w:color w:val="FF0000"/>
                <w:szCs w:val="24"/>
              </w:rPr>
              <w:t>icabında</w:t>
            </w:r>
            <w:r w:rsidR="00AA5C8C" w:rsidRPr="00A23740">
              <w:rPr>
                <w:szCs w:val="24"/>
              </w:rPr>
              <w:t xml:space="preserve"> şikayet edeni ve dinlenmelerini istiyen alacaklıları da dinledikten sonra </w:t>
            </w:r>
            <w:r w:rsidR="00AA5C8C" w:rsidRPr="00A23740">
              <w:rPr>
                <w:b/>
                <w:strike/>
                <w:color w:val="FF0000"/>
                <w:szCs w:val="24"/>
              </w:rPr>
              <w:t>kısa bir zamanda</w:t>
            </w:r>
            <w:r w:rsidR="00AA5C8C" w:rsidRPr="00A23740">
              <w:rPr>
                <w:szCs w:val="24"/>
              </w:rPr>
              <w:t xml:space="preserve"> kararını verir.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color w:val="0000FF"/>
                <w:szCs w:val="24"/>
              </w:rPr>
            </w:pPr>
            <w:r w:rsidRPr="00A23740">
              <w:rPr>
                <w:b/>
                <w:color w:val="0000FF"/>
                <w:szCs w:val="24"/>
              </w:rPr>
              <w:t>Birinci alacaklıla</w:t>
            </w:r>
            <w:r w:rsidRPr="00A23740">
              <w:rPr>
                <w:rStyle w:val="Stil2Char"/>
                <w:rFonts w:eastAsia="Calibri"/>
                <w:u w:val="none"/>
              </w:rPr>
              <w:t>r toplantısında</w:t>
            </w:r>
            <w:r w:rsidRPr="00A23740">
              <w:rPr>
                <w:b/>
                <w:color w:val="0000FF"/>
                <w:szCs w:val="24"/>
              </w:rPr>
              <w:t xml:space="preserve"> alınan kararlara karşı şik</w:t>
            </w:r>
            <w:r w:rsidR="00F601F2" w:rsidRPr="00A23740">
              <w:rPr>
                <w:b/>
                <w:color w:val="0000FF"/>
                <w:szCs w:val="24"/>
              </w:rPr>
              <w:t>â</w:t>
            </w:r>
            <w:r w:rsidRPr="00A23740">
              <w:rPr>
                <w:b/>
                <w:color w:val="0000FF"/>
                <w:szCs w:val="24"/>
              </w:rPr>
              <w:t xml:space="preserve">yet </w:t>
            </w:r>
          </w:p>
          <w:p w:rsidR="00AA5C8C" w:rsidRPr="00A23740" w:rsidRDefault="00BB2129" w:rsidP="009431FF">
            <w:pPr>
              <w:tabs>
                <w:tab w:val="left" w:pos="567"/>
              </w:tabs>
              <w:rPr>
                <w:szCs w:val="24"/>
              </w:rPr>
            </w:pPr>
            <w:r w:rsidRPr="00A23740">
              <w:rPr>
                <w:rStyle w:val="MAVChar"/>
                <w:rFonts w:eastAsia="Calibri"/>
                <w:u w:val="none"/>
              </w:rPr>
              <w:t>MADDE 335</w:t>
            </w:r>
            <w:r w:rsidR="00AA5C8C" w:rsidRPr="00A23740">
              <w:rPr>
                <w:rStyle w:val="MAVChar"/>
                <w:rFonts w:eastAsia="Calibri"/>
                <w:u w:val="none"/>
              </w:rPr>
              <w:t>- (1) Birinci</w:t>
            </w:r>
            <w:r w:rsidR="00AA5C8C" w:rsidRPr="00A23740">
              <w:rPr>
                <w:b/>
                <w:szCs w:val="24"/>
              </w:rPr>
              <w:t xml:space="preserve"> </w:t>
            </w:r>
            <w:r w:rsidR="00AA5C8C" w:rsidRPr="00A23740">
              <w:rPr>
                <w:szCs w:val="24"/>
              </w:rPr>
              <w:t>alacaklılar toplan</w:t>
            </w:r>
            <w:r w:rsidR="00AA5C8C" w:rsidRPr="00A23740">
              <w:rPr>
                <w:rStyle w:val="Stil2Char"/>
                <w:rFonts w:eastAsia="Calibri"/>
                <w:u w:val="none"/>
              </w:rPr>
              <w:t xml:space="preserve">tısının </w:t>
            </w:r>
            <w:r w:rsidR="00AA5C8C" w:rsidRPr="00A23740">
              <w:rPr>
                <w:szCs w:val="24"/>
              </w:rPr>
              <w:t>kararların</w:t>
            </w:r>
            <w:r w:rsidR="00AA5C8C" w:rsidRPr="00A23740">
              <w:rPr>
                <w:rStyle w:val="Stil2Char"/>
                <w:rFonts w:eastAsia="Calibri"/>
                <w:u w:val="none"/>
              </w:rPr>
              <w:t>a</w:t>
            </w:r>
            <w:r w:rsidR="00AA5C8C" w:rsidRPr="00A23740">
              <w:rPr>
                <w:b/>
                <w:color w:val="0000FF"/>
                <w:szCs w:val="24"/>
              </w:rPr>
              <w:t xml:space="preserve"> karşı iflas müdürü, müflis ve</w:t>
            </w:r>
            <w:r w:rsidR="00AA5C8C" w:rsidRPr="00A23740">
              <w:rPr>
                <w:szCs w:val="24"/>
              </w:rPr>
              <w:t xml:space="preserve"> her alacaklı, </w:t>
            </w:r>
            <w:r w:rsidR="00F601F2" w:rsidRPr="00A23740">
              <w:rPr>
                <w:rStyle w:val="Balk1Char"/>
                <w:rFonts w:eastAsia="Calibri"/>
              </w:rPr>
              <w:t>toplantıdan itibaren</w:t>
            </w:r>
            <w:r w:rsidR="00F601F2" w:rsidRPr="00A23740">
              <w:rPr>
                <w:szCs w:val="24"/>
              </w:rPr>
              <w:t xml:space="preserve"> </w:t>
            </w:r>
            <w:r w:rsidR="00AA5C8C" w:rsidRPr="00A23740">
              <w:rPr>
                <w:b/>
                <w:color w:val="0000FF"/>
                <w:szCs w:val="24"/>
              </w:rPr>
              <w:t>bir hafta</w:t>
            </w:r>
            <w:r w:rsidR="00AA5C8C" w:rsidRPr="00A23740">
              <w:rPr>
                <w:szCs w:val="24"/>
              </w:rPr>
              <w:t xml:space="preserve"> içinde </w:t>
            </w:r>
            <w:r w:rsidR="00AA5C8C" w:rsidRPr="00A23740">
              <w:rPr>
                <w:b/>
                <w:color w:val="0000FF"/>
                <w:szCs w:val="24"/>
              </w:rPr>
              <w:t>iflas</w:t>
            </w:r>
            <w:r w:rsidR="00AA5C8C" w:rsidRPr="00A23740">
              <w:rPr>
                <w:szCs w:val="24"/>
              </w:rPr>
              <w:t xml:space="preserve"> mahkemesine şik</w:t>
            </w:r>
            <w:r w:rsidR="00F601F2" w:rsidRPr="00A23740">
              <w:rPr>
                <w:szCs w:val="24"/>
              </w:rPr>
              <w:t>â</w:t>
            </w:r>
            <w:r w:rsidR="00AA5C8C" w:rsidRPr="00A23740">
              <w:rPr>
                <w:szCs w:val="24"/>
              </w:rPr>
              <w:t xml:space="preserve">yette </w:t>
            </w:r>
            <w:r w:rsidR="00AA5C8C" w:rsidRPr="00A23740">
              <w:rPr>
                <w:b/>
                <w:color w:val="0000FF"/>
                <w:szCs w:val="24"/>
              </w:rPr>
              <w:t>bulunabilir</w:t>
            </w:r>
            <w:r w:rsidR="00AA5C8C"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E807F4" w:rsidRPr="00A23740" w:rsidRDefault="00AA5C8C" w:rsidP="009431FF">
            <w:pPr>
              <w:tabs>
                <w:tab w:val="left" w:pos="567"/>
              </w:tabs>
              <w:rPr>
                <w:strike/>
                <w:color w:val="FF0000"/>
              </w:rPr>
            </w:pPr>
            <w:r w:rsidRPr="00A23740">
              <w:rPr>
                <w:rStyle w:val="MaviChar"/>
              </w:rPr>
              <w:t>(2)</w:t>
            </w:r>
            <w:r w:rsidRPr="00A23740">
              <w:rPr>
                <w:szCs w:val="24"/>
              </w:rPr>
              <w:t xml:space="preserve"> </w:t>
            </w:r>
            <w:r w:rsidRPr="00A23740">
              <w:rPr>
                <w:b/>
                <w:color w:val="0000FF"/>
                <w:szCs w:val="24"/>
              </w:rPr>
              <w:t>İflas</w:t>
            </w:r>
            <w:r w:rsidRPr="00A23740">
              <w:rPr>
                <w:szCs w:val="24"/>
              </w:rPr>
              <w:t xml:space="preserve"> mahkemesi</w:t>
            </w:r>
            <w:r w:rsidRPr="00A23740">
              <w:rPr>
                <w:rStyle w:val="KIRMIZIChar"/>
                <w:rFonts w:eastAsia="Calibri"/>
                <w:strike w:val="0"/>
              </w:rPr>
              <w:t xml:space="preserve"> </w:t>
            </w:r>
            <w:r w:rsidRPr="00A23740">
              <w:rPr>
                <w:b/>
                <w:color w:val="0000FF"/>
                <w:szCs w:val="24"/>
              </w:rPr>
              <w:t>gerektiğinde</w:t>
            </w:r>
            <w:r w:rsidRPr="00A23740">
              <w:rPr>
                <w:szCs w:val="24"/>
              </w:rPr>
              <w:t xml:space="preserve"> iflas dairesinin </w:t>
            </w:r>
            <w:r w:rsidRPr="00A23740">
              <w:rPr>
                <w:b/>
                <w:color w:val="0000FF"/>
                <w:szCs w:val="24"/>
              </w:rPr>
              <w:t>görüşünü</w:t>
            </w:r>
            <w:r w:rsidRPr="00A23740">
              <w:rPr>
                <w:szCs w:val="24"/>
              </w:rPr>
              <w:t xml:space="preserve"> </w:t>
            </w:r>
            <w:r w:rsidRPr="00A23740">
              <w:rPr>
                <w:rStyle w:val="MaviChar"/>
              </w:rPr>
              <w:t>alır;</w:t>
            </w:r>
            <w:r w:rsidRPr="00A23740">
              <w:rPr>
                <w:szCs w:val="24"/>
              </w:rPr>
              <w:t xml:space="preserve"> şik</w:t>
            </w:r>
            <w:r w:rsidR="00F601F2" w:rsidRPr="00A23740">
              <w:rPr>
                <w:szCs w:val="24"/>
              </w:rPr>
              <w:t>â</w:t>
            </w:r>
            <w:r w:rsidRPr="00A23740">
              <w:rPr>
                <w:szCs w:val="24"/>
              </w:rPr>
              <w:t xml:space="preserve">yet edeni ve dinlenmelerini isteyen alacaklıları </w:t>
            </w:r>
            <w:r w:rsidRPr="00A23740">
              <w:rPr>
                <w:rStyle w:val="MaviChar"/>
              </w:rPr>
              <w:t>dinler</w:t>
            </w:r>
            <w:r w:rsidRPr="00A23740">
              <w:rPr>
                <w:rStyle w:val="YELChar"/>
              </w:rPr>
              <w:t xml:space="preserve"> </w:t>
            </w:r>
            <w:r w:rsidRPr="00A23740">
              <w:rPr>
                <w:szCs w:val="24"/>
              </w:rPr>
              <w:t xml:space="preserve">ve kararını </w:t>
            </w:r>
            <w:r w:rsidRPr="00A23740">
              <w:rPr>
                <w:rStyle w:val="MaviChar"/>
              </w:rPr>
              <w:t>şik</w:t>
            </w:r>
            <w:r w:rsidR="00F601F2" w:rsidRPr="00A23740">
              <w:rPr>
                <w:rStyle w:val="MaviChar"/>
                <w:lang w:val="tr-TR"/>
              </w:rPr>
              <w:t>â</w:t>
            </w:r>
            <w:r w:rsidRPr="00A23740">
              <w:rPr>
                <w:rStyle w:val="MaviChar"/>
              </w:rPr>
              <w:t>yet tarihinden itibaren en geç iki hafta içinde</w:t>
            </w:r>
            <w:r w:rsidRPr="00A23740">
              <w:rPr>
                <w:szCs w:val="24"/>
              </w:rPr>
              <w:t xml:space="preserve"> </w:t>
            </w:r>
            <w:r w:rsidRPr="00A23740">
              <w:rPr>
                <w:rStyle w:val="MaviChar"/>
              </w:rPr>
              <w:t>kesin olarak</w:t>
            </w:r>
            <w:r w:rsidRPr="00A23740">
              <w:rPr>
                <w:szCs w:val="24"/>
              </w:rPr>
              <w:t xml:space="preserve"> verir.</w:t>
            </w:r>
          </w:p>
        </w:tc>
      </w:tr>
      <w:tr w:rsidR="00F97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17C18" w:rsidRPr="00A23740" w:rsidRDefault="00617C18" w:rsidP="009431FF">
            <w:pPr>
              <w:tabs>
                <w:tab w:val="left" w:pos="567"/>
              </w:tabs>
              <w:ind w:firstLine="709"/>
              <w:rPr>
                <w:lang w:val="x-none" w:eastAsia="x-none"/>
              </w:rPr>
            </w:pPr>
          </w:p>
          <w:p w:rsidR="00617C18" w:rsidRPr="00A23740" w:rsidRDefault="00BB2129" w:rsidP="009431FF">
            <w:pPr>
              <w:tabs>
                <w:tab w:val="left" w:pos="567"/>
              </w:tabs>
              <w:ind w:firstLine="709"/>
              <w:rPr>
                <w:b/>
                <w:color w:val="0000FF"/>
                <w:szCs w:val="24"/>
              </w:rPr>
            </w:pPr>
            <w:r w:rsidRPr="00A23740">
              <w:rPr>
                <w:b/>
                <w:bCs/>
              </w:rPr>
              <w:t>MADDE 335</w:t>
            </w:r>
            <w:r w:rsidR="00617C18" w:rsidRPr="00A23740">
              <w:rPr>
                <w:b/>
                <w:bCs/>
              </w:rPr>
              <w:t xml:space="preserve">- </w:t>
            </w:r>
            <w:r w:rsidR="00617C18" w:rsidRPr="00A23740">
              <w:rPr>
                <w:bCs/>
                <w:szCs w:val="24"/>
              </w:rPr>
              <w:t xml:space="preserve">Maddeyle, </w:t>
            </w:r>
            <w:r w:rsidR="00617C18" w:rsidRPr="00A23740">
              <w:rPr>
                <w:szCs w:val="24"/>
              </w:rPr>
              <w:t>birinci alacaklıla</w:t>
            </w:r>
            <w:r w:rsidR="00617C18" w:rsidRPr="00A23740">
              <w:t>r</w:t>
            </w:r>
            <w:r w:rsidR="00617C18" w:rsidRPr="00A23740">
              <w:rPr>
                <w:b/>
              </w:rPr>
              <w:t xml:space="preserve"> </w:t>
            </w:r>
            <w:r w:rsidR="00617C18" w:rsidRPr="00A23740">
              <w:rPr>
                <w:szCs w:val="24"/>
              </w:rPr>
              <w:t xml:space="preserve">toplantısında alınan kararlara karşı </w:t>
            </w:r>
            <w:r w:rsidR="00617C18" w:rsidRPr="00F75759">
              <w:rPr>
                <w:bCs/>
                <w:szCs w:val="24"/>
              </w:rPr>
              <w:t>şik</w:t>
            </w:r>
            <w:r w:rsidR="00F601F2" w:rsidRPr="00F75759">
              <w:rPr>
                <w:bCs/>
                <w:szCs w:val="24"/>
              </w:rPr>
              <w:t>â</w:t>
            </w:r>
            <w:r w:rsidR="00617C18" w:rsidRPr="00F75759">
              <w:rPr>
                <w:bCs/>
                <w:szCs w:val="24"/>
              </w:rPr>
              <w:t>yet</w:t>
            </w:r>
            <w:r w:rsidR="00F601F2" w:rsidRPr="00F75759">
              <w:rPr>
                <w:szCs w:val="24"/>
              </w:rPr>
              <w:t>e</w:t>
            </w:r>
            <w:r w:rsidR="00617C18" w:rsidRPr="00F75759">
              <w:rPr>
                <w:bCs/>
                <w:szCs w:val="24"/>
              </w:rPr>
              <w:t xml:space="preserve"> ilişkin</w:t>
            </w:r>
            <w:r w:rsidR="00617C18" w:rsidRPr="00A23740">
              <w:rPr>
                <w:bCs/>
                <w:szCs w:val="24"/>
              </w:rPr>
              <w:t xml:space="preserve"> hususlar düzenlenmektedir. Hüküm, 2004 sayılı Kanunun 222 nci maddesine karşılık gelmektedir.</w:t>
            </w:r>
            <w:r w:rsidR="00617C18" w:rsidRPr="00A23740">
              <w:rPr>
                <w:b/>
                <w:bCs/>
              </w:rPr>
              <w:t xml:space="preserve">  </w:t>
            </w:r>
          </w:p>
          <w:p w:rsidR="00F97472" w:rsidRPr="00A23740" w:rsidRDefault="00F97472" w:rsidP="009431FF">
            <w:pPr>
              <w:tabs>
                <w:tab w:val="left" w:pos="567"/>
              </w:tabs>
              <w:ind w:firstLine="709"/>
              <w:rPr>
                <w:szCs w:val="24"/>
              </w:rPr>
            </w:pPr>
            <w:r w:rsidRPr="00A23740">
              <w:rPr>
                <w:lang w:val="x-none" w:eastAsia="x-none"/>
              </w:rPr>
              <w:t>Maddede, birinci</w:t>
            </w:r>
            <w:r w:rsidRPr="00A23740">
              <w:rPr>
                <w:szCs w:val="24"/>
              </w:rPr>
              <w:t xml:space="preserve"> alacaklılar toplan</w:t>
            </w:r>
            <w:r w:rsidRPr="00A23740">
              <w:rPr>
                <w:lang w:val="x-none" w:eastAsia="x-none"/>
              </w:rPr>
              <w:t xml:space="preserve">tısının </w:t>
            </w:r>
            <w:r w:rsidRPr="00A23740">
              <w:rPr>
                <w:szCs w:val="24"/>
              </w:rPr>
              <w:t>kararların</w:t>
            </w:r>
            <w:r w:rsidRPr="00A23740">
              <w:rPr>
                <w:lang w:val="x-none" w:eastAsia="x-none"/>
              </w:rPr>
              <w:t>a</w:t>
            </w:r>
            <w:r w:rsidRPr="00A23740">
              <w:rPr>
                <w:szCs w:val="24"/>
              </w:rPr>
              <w:t xml:space="preserve"> karşı, iflas müdürünün, müflisin ve her alacaklının, </w:t>
            </w:r>
            <w:r w:rsidR="00F52F2B" w:rsidRPr="00F75759">
              <w:rPr>
                <w:bCs/>
                <w:szCs w:val="24"/>
              </w:rPr>
              <w:t>toplantıdan itibaren</w:t>
            </w:r>
            <w:r w:rsidR="00F52F2B" w:rsidRPr="00A23740">
              <w:rPr>
                <w:szCs w:val="24"/>
              </w:rPr>
              <w:t xml:space="preserve"> </w:t>
            </w:r>
            <w:r w:rsidRPr="00A23740">
              <w:rPr>
                <w:szCs w:val="24"/>
              </w:rPr>
              <w:t>bir hafta içinde iflas mahkemesine şik</w:t>
            </w:r>
            <w:r w:rsidR="00F601F2" w:rsidRPr="00A23740">
              <w:rPr>
                <w:szCs w:val="24"/>
              </w:rPr>
              <w:t>â</w:t>
            </w:r>
            <w:r w:rsidRPr="00A23740">
              <w:rPr>
                <w:szCs w:val="24"/>
              </w:rPr>
              <w:t xml:space="preserve">yette </w:t>
            </w:r>
            <w:r w:rsidR="00512416" w:rsidRPr="00A23740">
              <w:rPr>
                <w:szCs w:val="24"/>
              </w:rPr>
              <w:t xml:space="preserve">bulunabilmesi </w:t>
            </w:r>
            <w:r w:rsidR="00543C57" w:rsidRPr="00A23740">
              <w:rPr>
                <w:szCs w:val="24"/>
              </w:rPr>
              <w:t>düzenlenmiştir. Öncelikle</w:t>
            </w:r>
            <w:r w:rsidRPr="00A23740">
              <w:rPr>
                <w:szCs w:val="24"/>
              </w:rPr>
              <w:t xml:space="preserve"> </w:t>
            </w:r>
            <w:r w:rsidR="00F52F2B" w:rsidRPr="00F75759">
              <w:rPr>
                <w:bCs/>
                <w:szCs w:val="24"/>
              </w:rPr>
              <w:t>Taslağın</w:t>
            </w:r>
            <w:r w:rsidR="005352E3" w:rsidRPr="00F75759">
              <w:rPr>
                <w:bCs/>
                <w:szCs w:val="24"/>
              </w:rPr>
              <w:t xml:space="preserve"> 333 üncü</w:t>
            </w:r>
            <w:r w:rsidR="00F52F2B" w:rsidRPr="00A23740">
              <w:rPr>
                <w:szCs w:val="24"/>
              </w:rPr>
              <w:t xml:space="preserve"> </w:t>
            </w:r>
            <w:r w:rsidRPr="00A23740">
              <w:rPr>
                <w:szCs w:val="24"/>
              </w:rPr>
              <w:t>madde</w:t>
            </w:r>
            <w:r w:rsidR="00F52F2B" w:rsidRPr="00F75759">
              <w:rPr>
                <w:bCs/>
                <w:szCs w:val="24"/>
              </w:rPr>
              <w:t>si</w:t>
            </w:r>
            <w:r w:rsidRPr="00A23740">
              <w:rPr>
                <w:szCs w:val="24"/>
              </w:rPr>
              <w:t xml:space="preserve"> doğrultusunda </w:t>
            </w:r>
            <w:r w:rsidR="00512416" w:rsidRPr="00A23740">
              <w:rPr>
                <w:szCs w:val="24"/>
              </w:rPr>
              <w:t xml:space="preserve">ilgili </w:t>
            </w:r>
            <w:r w:rsidRPr="00A23740">
              <w:rPr>
                <w:szCs w:val="24"/>
              </w:rPr>
              <w:t>organ “birinci alacaklılar toplantısı” olarak</w:t>
            </w:r>
            <w:r w:rsidR="00F52F2B" w:rsidRPr="00A23740">
              <w:rPr>
                <w:szCs w:val="24"/>
              </w:rPr>
              <w:t xml:space="preserve"> </w:t>
            </w:r>
            <w:r w:rsidR="00F52F2B" w:rsidRPr="00F75759">
              <w:rPr>
                <w:bCs/>
                <w:szCs w:val="24"/>
              </w:rPr>
              <w:t>isimlendirilmiştir.</w:t>
            </w:r>
            <w:r w:rsidRPr="00A23740">
              <w:rPr>
                <w:szCs w:val="24"/>
              </w:rPr>
              <w:t xml:space="preserve"> Şik</w:t>
            </w:r>
            <w:r w:rsidR="00F601F2" w:rsidRPr="00A23740">
              <w:rPr>
                <w:szCs w:val="24"/>
              </w:rPr>
              <w:t>â</w:t>
            </w:r>
            <w:r w:rsidR="00F52F2B" w:rsidRPr="00A23740">
              <w:rPr>
                <w:szCs w:val="24"/>
              </w:rPr>
              <w:t>yet merci</w:t>
            </w:r>
            <w:r w:rsidR="00F52F2B" w:rsidRPr="00F75759">
              <w:rPr>
                <w:bCs/>
                <w:szCs w:val="24"/>
              </w:rPr>
              <w:t>i</w:t>
            </w:r>
            <w:r w:rsidR="00512416" w:rsidRPr="00F75759">
              <w:rPr>
                <w:bCs/>
                <w:szCs w:val="24"/>
              </w:rPr>
              <w:t>,</w:t>
            </w:r>
            <w:r w:rsidR="00F52F2B" w:rsidRPr="00A23740">
              <w:rPr>
                <w:szCs w:val="24"/>
              </w:rPr>
              <w:t xml:space="preserve"> iflas mahkemesidir.</w:t>
            </w:r>
            <w:r w:rsidRPr="00A23740">
              <w:rPr>
                <w:szCs w:val="24"/>
              </w:rPr>
              <w:t xml:space="preserve"> </w:t>
            </w:r>
            <w:r w:rsidR="00543C57" w:rsidRPr="00A23740">
              <w:rPr>
                <w:szCs w:val="24"/>
              </w:rPr>
              <w:t>2004 sayılı Kanun</w:t>
            </w:r>
            <w:r w:rsidRPr="00A23740">
              <w:rPr>
                <w:szCs w:val="24"/>
              </w:rPr>
              <w:t>un 225 inci maddesinde şik</w:t>
            </w:r>
            <w:r w:rsidR="00F52F2B" w:rsidRPr="00A23740">
              <w:rPr>
                <w:szCs w:val="24"/>
              </w:rPr>
              <w:t>â</w:t>
            </w:r>
            <w:r w:rsidRPr="00A23740">
              <w:rPr>
                <w:szCs w:val="24"/>
              </w:rPr>
              <w:t>yet hakkı alacaklılara tanınmış iken, burada birinci alacaklılar toplantısının işlemlerine karşı şik</w:t>
            </w:r>
            <w:r w:rsidR="00F52F2B" w:rsidRPr="00A23740">
              <w:rPr>
                <w:szCs w:val="24"/>
              </w:rPr>
              <w:t>â</w:t>
            </w:r>
            <w:r w:rsidRPr="00A23740">
              <w:rPr>
                <w:szCs w:val="24"/>
              </w:rPr>
              <w:t>yet hakkı</w:t>
            </w:r>
            <w:r w:rsidR="0051419B">
              <w:rPr>
                <w:szCs w:val="24"/>
              </w:rPr>
              <w:t xml:space="preserve"> </w:t>
            </w:r>
            <w:r w:rsidRPr="00A23740">
              <w:rPr>
                <w:szCs w:val="24"/>
              </w:rPr>
              <w:t xml:space="preserve">alacaklılar yanında iflas müdürü ve müflise de </w:t>
            </w:r>
            <w:r w:rsidR="00F52F2B" w:rsidRPr="00F75759">
              <w:rPr>
                <w:bCs/>
                <w:szCs w:val="24"/>
              </w:rPr>
              <w:t>verilmiştir.</w:t>
            </w:r>
            <w:r w:rsidR="00F52F2B" w:rsidRPr="00A23740">
              <w:rPr>
                <w:szCs w:val="24"/>
              </w:rPr>
              <w:t xml:space="preserve"> </w:t>
            </w:r>
            <w:r w:rsidRPr="00A23740">
              <w:rPr>
                <w:szCs w:val="24"/>
              </w:rPr>
              <w:t>Zira birinci alacaklılar toplantısının işlemleri öncelikle müflisin haklarına etki edeceğinden</w:t>
            </w:r>
            <w:r w:rsidR="00512416" w:rsidRPr="00A23740">
              <w:rPr>
                <w:szCs w:val="24"/>
              </w:rPr>
              <w:t>,</w:t>
            </w:r>
            <w:r w:rsidRPr="00A23740">
              <w:rPr>
                <w:szCs w:val="24"/>
              </w:rPr>
              <w:t xml:space="preserve"> </w:t>
            </w:r>
            <w:r w:rsidR="00512416" w:rsidRPr="00A23740">
              <w:rPr>
                <w:szCs w:val="24"/>
              </w:rPr>
              <w:t xml:space="preserve">onun </w:t>
            </w:r>
            <w:r w:rsidRPr="00A23740">
              <w:rPr>
                <w:szCs w:val="24"/>
              </w:rPr>
              <w:t>şik</w:t>
            </w:r>
            <w:r w:rsidR="00F52F2B" w:rsidRPr="00A23740">
              <w:rPr>
                <w:szCs w:val="24"/>
              </w:rPr>
              <w:t>â</w:t>
            </w:r>
            <w:r w:rsidRPr="00A23740">
              <w:rPr>
                <w:szCs w:val="24"/>
              </w:rPr>
              <w:t xml:space="preserve">yet bakımından “ilgili” olarak kabul edilmemesi düşünülemez. Ayrıca müflisin tasarruf yetkisinin masaya giren malvarlığı bakımından kısıtlanmış olması ve masaya dahil malvarlığına ilişkin davalarda dava takip yetkisinin kural olarak iflas masasını temsil eden organa geçmiş </w:t>
            </w:r>
            <w:r w:rsidR="00F52F2B" w:rsidRPr="00F75759">
              <w:rPr>
                <w:bCs/>
                <w:szCs w:val="24"/>
              </w:rPr>
              <w:t>bulunması,</w:t>
            </w:r>
            <w:r w:rsidR="00F52F2B" w:rsidRPr="00A23740">
              <w:rPr>
                <w:szCs w:val="24"/>
              </w:rPr>
              <w:t xml:space="preserve"> </w:t>
            </w:r>
            <w:r w:rsidRPr="00A23740">
              <w:rPr>
                <w:szCs w:val="24"/>
              </w:rPr>
              <w:t>masayla ilgili işlemler bakımından şik</w:t>
            </w:r>
            <w:r w:rsidR="00F52F2B" w:rsidRPr="00A23740">
              <w:rPr>
                <w:szCs w:val="24"/>
              </w:rPr>
              <w:t>â</w:t>
            </w:r>
            <w:r w:rsidRPr="00A23740">
              <w:rPr>
                <w:szCs w:val="24"/>
              </w:rPr>
              <w:t>yet hakkının ortadan kalktığı anlamına da gelm</w:t>
            </w:r>
            <w:r w:rsidR="00845E21">
              <w:rPr>
                <w:szCs w:val="24"/>
              </w:rPr>
              <w:t>emektedir.</w:t>
            </w:r>
          </w:p>
          <w:p w:rsidR="00F97472" w:rsidRPr="00A23740" w:rsidRDefault="00F97472" w:rsidP="009431FF">
            <w:pPr>
              <w:tabs>
                <w:tab w:val="left" w:pos="567"/>
              </w:tabs>
              <w:ind w:firstLine="709"/>
              <w:rPr>
                <w:b/>
                <w:szCs w:val="24"/>
              </w:rPr>
            </w:pPr>
            <w:r w:rsidRPr="00A23740">
              <w:rPr>
                <w:szCs w:val="24"/>
              </w:rPr>
              <w:t xml:space="preserve">İkinci fıkrada </w:t>
            </w:r>
            <w:r w:rsidRPr="00A23740">
              <w:t>işin süratle sonuçlandırılması l</w:t>
            </w:r>
            <w:r w:rsidR="00F52F2B" w:rsidRPr="00A23740">
              <w:t>â</w:t>
            </w:r>
            <w:r w:rsidRPr="00A23740">
              <w:t xml:space="preserve">zım </w:t>
            </w:r>
            <w:r w:rsidR="00512416" w:rsidRPr="00A23740">
              <w:t xml:space="preserve">gelmesi nedeniyle </w:t>
            </w:r>
            <w:r w:rsidRPr="00A23740">
              <w:t>şik</w:t>
            </w:r>
            <w:r w:rsidR="00F52F2B" w:rsidRPr="00A23740">
              <w:t>â</w:t>
            </w:r>
            <w:r w:rsidRPr="00A23740">
              <w:t>yet yargılamasının iki hafta içinde bitmesi gerektiği hususu  vurgulanmıştır. bu itibarla şik</w:t>
            </w:r>
            <w:r w:rsidR="00F52F2B" w:rsidRPr="00A23740">
              <w:t>â</w:t>
            </w:r>
            <w:r w:rsidRPr="00A23740">
              <w:t>yet talebinden itibaren iki hafta içinde mahkeme tarafından</w:t>
            </w:r>
            <w:r w:rsidR="00512416" w:rsidRPr="00A23740">
              <w:t>,</w:t>
            </w:r>
            <w:r w:rsidRPr="00A23740">
              <w:t xml:space="preserve"> gerektiğinde ilgililer de dinlenerek karar verilecektir.</w:t>
            </w:r>
            <w:r w:rsidRPr="00A23740">
              <w:rPr>
                <w:szCs w:val="24"/>
              </w:rPr>
              <w:t xml:space="preserve"> Aynı gerekçeyle şik</w:t>
            </w:r>
            <w:r w:rsidR="00F52F2B" w:rsidRPr="00A23740">
              <w:rPr>
                <w:szCs w:val="24"/>
              </w:rPr>
              <w:t>â</w:t>
            </w:r>
            <w:r w:rsidRPr="00A23740">
              <w:rPr>
                <w:szCs w:val="24"/>
              </w:rPr>
              <w:t>yet üzerine iflas mahkemesinin vereceği kararın kesin olacağı da kabul edilmiştir.</w:t>
            </w:r>
          </w:p>
          <w:p w:rsidR="00F97472" w:rsidRPr="00A23740" w:rsidRDefault="00F97472"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t xml:space="preserve">İflas idaresi </w:t>
            </w:r>
            <w:r w:rsidRPr="00A23740">
              <w:rPr>
                <w:b/>
                <w:strike/>
                <w:color w:val="FF0000"/>
                <w:szCs w:val="24"/>
              </w:rPr>
              <w:t>ve iflas dairesinin vazifeleri:</w:t>
            </w:r>
          </w:p>
          <w:p w:rsidR="00AA5C8C" w:rsidRPr="00A23740" w:rsidRDefault="00AA5C8C" w:rsidP="009431FF">
            <w:pPr>
              <w:tabs>
                <w:tab w:val="left" w:pos="567"/>
              </w:tabs>
              <w:rPr>
                <w:b/>
                <w:strike/>
                <w:color w:val="FF0000"/>
                <w:szCs w:val="24"/>
              </w:rPr>
            </w:pPr>
            <w:r w:rsidRPr="00A23740">
              <w:rPr>
                <w:rStyle w:val="KIRMIZIChar"/>
                <w:rFonts w:eastAsia="Calibri"/>
              </w:rPr>
              <w:t>Madde 223 – (</w:t>
            </w:r>
            <w:r w:rsidRPr="00A23740">
              <w:rPr>
                <w:b/>
                <w:strike/>
                <w:color w:val="FF0000"/>
                <w:szCs w:val="24"/>
              </w:rPr>
              <w:t>Değişik: 6/6/1985 - 3222/26 md.)</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926B95" w:rsidRPr="00A23740" w:rsidRDefault="00926B95"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Default="00AA5C8C" w:rsidP="009431FF">
            <w:pPr>
              <w:tabs>
                <w:tab w:val="left" w:pos="567"/>
              </w:tabs>
              <w:rPr>
                <w:b/>
                <w:strike/>
                <w:color w:val="FF0000"/>
                <w:szCs w:val="24"/>
              </w:rPr>
            </w:pPr>
          </w:p>
          <w:p w:rsidR="00D74F7C" w:rsidRPr="00A23740" w:rsidRDefault="00D74F7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rStyle w:val="KIRMIZIChar"/>
                <w:rFonts w:eastAsia="Calibri"/>
              </w:rPr>
            </w:pPr>
            <w:r w:rsidRPr="00A23740">
              <w:rPr>
                <w:rStyle w:val="KIRMIZIChar"/>
                <w:rFonts w:eastAsia="Calibri"/>
              </w:rPr>
              <w:t>(1)</w:t>
            </w:r>
            <w:r w:rsidRPr="00A23740">
              <w:rPr>
                <w:szCs w:val="24"/>
              </w:rPr>
              <w:t xml:space="preserve"> İflas idaresi üç kişiden oluş</w:t>
            </w:r>
            <w:r w:rsidRPr="00A23740">
              <w:rPr>
                <w:rStyle w:val="KIRMIZIChar"/>
                <w:rFonts w:eastAsia="Calibri"/>
              </w:rPr>
              <w:t>ur.</w:t>
            </w:r>
            <w:r w:rsidRPr="00A23740">
              <w:rPr>
                <w:rStyle w:val="KIRMIZIChar"/>
                <w:rFonts w:eastAsia="Calibri"/>
                <w:strike w:val="0"/>
              </w:rPr>
              <w:t xml:space="preserve"> </w:t>
            </w:r>
            <w:r w:rsidRPr="00A23740">
              <w:rPr>
                <w:rStyle w:val="KIRMIZIChar"/>
                <w:rFonts w:eastAsia="Calibri"/>
              </w:rPr>
              <w:t>Toplanan alacaklıların yapacağı seçimde, bu sayının iki katı, bu konuda yeterli bilgi ve tecrübeye sahip kişi</w:t>
            </w:r>
            <w:r w:rsidRPr="00A23740">
              <w:rPr>
                <w:szCs w:val="24"/>
              </w:rPr>
              <w:t xml:space="preserve"> aday </w:t>
            </w:r>
            <w:r w:rsidRPr="00A23740">
              <w:rPr>
                <w:rStyle w:val="KIRMIZIChar"/>
                <w:rFonts w:eastAsia="Calibri"/>
              </w:rPr>
              <w:t>gösterilir</w:t>
            </w:r>
            <w:r w:rsidRPr="00A23740">
              <w:rPr>
                <w:szCs w:val="24"/>
              </w:rPr>
              <w:t>. Bu aday</w:t>
            </w:r>
            <w:r w:rsidRPr="00A23740">
              <w:rPr>
                <w:rStyle w:val="KIRMIZIChar"/>
                <w:rFonts w:eastAsia="Calibri"/>
              </w:rPr>
              <w:t>lar</w:t>
            </w:r>
            <w:r w:rsidRPr="00A23740">
              <w:rPr>
                <w:szCs w:val="24"/>
              </w:rPr>
              <w:t xml:space="preserve">dan </w:t>
            </w:r>
            <w:r w:rsidRPr="00A23740">
              <w:rPr>
                <w:b/>
                <w:strike/>
                <w:color w:val="FF0000"/>
                <w:szCs w:val="24"/>
              </w:rPr>
              <w:t>dört adedi</w:t>
            </w:r>
            <w:r w:rsidRPr="00A23740">
              <w:rPr>
                <w:szCs w:val="24"/>
              </w:rPr>
              <w:t xml:space="preserve"> alacak tutarı</w:t>
            </w:r>
            <w:r w:rsidRPr="00A23740">
              <w:rPr>
                <w:rStyle w:val="KIRMIZIChar"/>
                <w:rFonts w:eastAsia="Calibri"/>
              </w:rPr>
              <w:t>na</w:t>
            </w:r>
            <w:r w:rsidRPr="00A23740">
              <w:rPr>
                <w:szCs w:val="24"/>
              </w:rPr>
              <w:t xml:space="preserve"> göre </w:t>
            </w:r>
            <w:r w:rsidRPr="00A23740">
              <w:rPr>
                <w:b/>
                <w:strike/>
                <w:color w:val="FF0000"/>
                <w:szCs w:val="24"/>
              </w:rPr>
              <w:t>ekseriyeti teşkil edenlerce</w:t>
            </w:r>
            <w:r w:rsidRPr="00A23740">
              <w:rPr>
                <w:szCs w:val="24"/>
              </w:rPr>
              <w:t xml:space="preserve">, </w:t>
            </w:r>
            <w:r w:rsidRPr="00A23740">
              <w:rPr>
                <w:b/>
                <w:strike/>
                <w:color w:val="FF0000"/>
                <w:szCs w:val="24"/>
              </w:rPr>
              <w:t>iki adedi</w:t>
            </w:r>
            <w:r w:rsidRPr="00A23740">
              <w:rPr>
                <w:szCs w:val="24"/>
              </w:rPr>
              <w:t xml:space="preserve"> </w:t>
            </w:r>
            <w:r w:rsidRPr="00A23740">
              <w:rPr>
                <w:rStyle w:val="KIRMIZIChar"/>
                <w:rFonts w:eastAsia="Calibri"/>
              </w:rPr>
              <w:t>ise alacaklılar sayısı itibariyle ekseriyeti teşkil edenlerce seçilir ve</w:t>
            </w:r>
            <w:r w:rsidRPr="00A23740">
              <w:rPr>
                <w:szCs w:val="24"/>
              </w:rPr>
              <w:t xml:space="preserve"> </w:t>
            </w:r>
            <w:r w:rsidRPr="00A23740">
              <w:rPr>
                <w:b/>
                <w:strike/>
                <w:color w:val="FF0000"/>
                <w:szCs w:val="24"/>
              </w:rPr>
              <w:t>icra</w:t>
            </w:r>
            <w:r w:rsidRPr="00A23740">
              <w:rPr>
                <w:szCs w:val="24"/>
              </w:rPr>
              <w:t xml:space="preserve"> mahkemesine bildirilir. </w:t>
            </w:r>
            <w:r w:rsidRPr="00A23740">
              <w:rPr>
                <w:b/>
                <w:strike/>
                <w:color w:val="FF0000"/>
                <w:szCs w:val="24"/>
              </w:rPr>
              <w:t>İcra</w:t>
            </w:r>
            <w:r w:rsidRPr="00A23740">
              <w:rPr>
                <w:szCs w:val="24"/>
              </w:rPr>
              <w:t xml:space="preserve"> mahkemesi, </w:t>
            </w:r>
            <w:r w:rsidRPr="00A23740">
              <w:rPr>
                <w:rStyle w:val="KIRMIZIChar"/>
                <w:rFonts w:eastAsia="Calibri"/>
              </w:rPr>
              <w:t>iflas idaresini teşkil edecek üç kişiden ikisini alacak ekseriyetine sahip olanların gösterdiği dört aday, birini ise alacaklı ekseriyetinin gösterdiği iki aday arasından seçer.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(2) Tasfiye, iflas dairesince, yukarıdaki fıkraya göre teşkil edilen iflas idaresine havale olunur.</w:t>
            </w:r>
          </w:p>
          <w:p w:rsidR="00AA5C8C" w:rsidRPr="00A23740" w:rsidRDefault="00AA5C8C" w:rsidP="009431FF">
            <w:pPr>
              <w:tabs>
                <w:tab w:val="left" w:pos="567"/>
              </w:tabs>
              <w:rPr>
                <w:b/>
                <w:strike/>
                <w:color w:val="FF0000"/>
                <w:szCs w:val="24"/>
              </w:rPr>
            </w:pPr>
          </w:p>
          <w:p w:rsidR="00AA5C8C" w:rsidRPr="00A23740" w:rsidRDefault="00AA5C8C" w:rsidP="009431FF">
            <w:pPr>
              <w:pStyle w:val="StilKrmz"/>
              <w:rPr>
                <w:lang w:val="tr-TR"/>
              </w:rPr>
            </w:pPr>
            <w:r w:rsidRPr="00A23740">
              <w:rPr>
                <w:lang w:val="tr-TR"/>
              </w:rPr>
              <w:t xml:space="preserve">(3) (Değişik üçüncü fıkra: 17/7/2003-4949/54 md.) İflâs idaresi toplantıları, idare memurlarının veya herhangi bir alacaklının gündem belirlemek suretiyle yapacağı talep üzerine iflâs dairesi müdürünün toplantı gününden en az yedi gün önce göndereceği çağrı üzerine yapılır. İflâs idaresi, kararlarını çoğunlukla alır; ancak toplantıya her üç iflâs idare memurunun da katılmaması hâlinde iflâs dairesi müdürü iflâs idaresinin görevini yüklenir ve iflâs idaresi adına tek başına karar alır. Toplantıya iflâs idaresi memurlarından birinin veya ikisinin iştiraki hâlinde iflâs dairesi müdürü de bu toplantıya katılır. Karar alınamaması hâlinde iflâs dairesi müdürünün oyu doğrultusunda işlem yapılır. İflâs masasına alacaklı olarak müracaat eden alacaklılar, tebligata elverişli adres göstermek ve Adalet Bakanlığınca çıkarılacak tarifede gösterilecek yazı ve tebliğ masrafları için avans vermek suretiyle iflâs idaresince alınacak kararların kendilerine tebliğini isteyebilirler. Bu muameleyi yaptırmış alacaklılar hakkında iflâs idare memurunun kararlarına karşı kanun yolları kendilerine tebliğ tarihinden itibaren işlemeye başlar. </w:t>
            </w:r>
          </w:p>
          <w:p w:rsidR="00AA5C8C" w:rsidRPr="00A23740" w:rsidRDefault="00AA5C8C" w:rsidP="009431FF">
            <w:pPr>
              <w:tabs>
                <w:tab w:val="left" w:pos="567"/>
              </w:tabs>
              <w:rPr>
                <w:szCs w:val="24"/>
              </w:rPr>
            </w:pPr>
          </w:p>
          <w:p w:rsidR="00AA5C8C" w:rsidRPr="00A23740" w:rsidRDefault="00AA5C8C" w:rsidP="009431FF">
            <w:pPr>
              <w:pStyle w:val="StilKrmz"/>
              <w:rPr>
                <w:lang w:val="tr-TR"/>
              </w:rPr>
            </w:pPr>
            <w:r w:rsidRPr="00A23740">
              <w:rPr>
                <w:lang w:val="tr-TR"/>
              </w:rPr>
              <w:t>(4) İflas idaresine, Adalet Bakanlığınca hazırlanan ve iki yılda bir yenilenen ücret tarifesine göre ücret ödenir.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(5) İflas idaresi iflas dairesinin murakabesi altındadır. Bu halde iflas dairesi aşağıdaki görevleri yerine getirir:</w:t>
            </w:r>
          </w:p>
          <w:p w:rsidR="00AA5C8C" w:rsidRPr="00A23740" w:rsidRDefault="00AA5C8C" w:rsidP="009431FF">
            <w:pPr>
              <w:tabs>
                <w:tab w:val="left" w:pos="567"/>
              </w:tabs>
              <w:rPr>
                <w:b/>
                <w:strike/>
                <w:color w:val="FF0000"/>
                <w:szCs w:val="24"/>
              </w:rPr>
            </w:pPr>
            <w:r w:rsidRPr="00A23740">
              <w:rPr>
                <w:b/>
                <w:strike/>
                <w:color w:val="FF0000"/>
                <w:szCs w:val="24"/>
              </w:rPr>
              <w:t>1. Alacaklılar toplantısının kararlarına, alacaklıların menfaatine uygun görmediği bütün tedbirlere ve idarece kabul edilen alacaklar ile istihkak iddialarının kabulüne dair olan kararlardan kanuna ve hadiseye uygun görmediklerine yedi gün içinde icra mahkemesine müracaatla itiraz etmek.</w:t>
            </w:r>
          </w:p>
          <w:p w:rsidR="00AA5C8C" w:rsidRPr="00A23740" w:rsidRDefault="00AA5C8C" w:rsidP="009431FF">
            <w:pPr>
              <w:tabs>
                <w:tab w:val="left" w:pos="567"/>
              </w:tabs>
              <w:rPr>
                <w:b/>
                <w:strike/>
                <w:color w:val="FF0000"/>
                <w:szCs w:val="24"/>
              </w:rPr>
            </w:pPr>
            <w:r w:rsidRPr="00A23740">
              <w:rPr>
                <w:b/>
                <w:strike/>
                <w:color w:val="FF0000"/>
                <w:szCs w:val="24"/>
              </w:rPr>
              <w:t>2. İflası idare edenlerin ücretleriyle masrafları da dahil olmak üzere hesap pusulalarını icra mahkemesinin tasdikine arz etmek.</w:t>
            </w:r>
          </w:p>
          <w:p w:rsidR="00AA5C8C" w:rsidRPr="00A23740" w:rsidRDefault="00AA5C8C" w:rsidP="009431FF">
            <w:pPr>
              <w:tabs>
                <w:tab w:val="left" w:pos="567"/>
              </w:tabs>
              <w:rPr>
                <w:b/>
                <w:strike/>
                <w:color w:val="FF0000"/>
                <w:szCs w:val="24"/>
              </w:rPr>
            </w:pPr>
          </w:p>
          <w:p w:rsidR="00AA5C8C" w:rsidRPr="00A23740" w:rsidRDefault="00AA5C8C" w:rsidP="009431FF">
            <w:pPr>
              <w:pStyle w:val="KIRMIZI"/>
            </w:pPr>
            <w:r w:rsidRPr="00A23740">
              <w:rPr>
                <w:rStyle w:val="KIRMIZIChar"/>
                <w:rFonts w:eastAsia="Calibri"/>
                <w:b/>
                <w:bCs/>
                <w:strike/>
              </w:rPr>
              <w:t>(6) (Ek fıkra:9/6/2021-7327/1 md.)</w:t>
            </w:r>
            <w:r w:rsidRPr="00A23740">
              <w:t xml:space="preserve"> İflâs idare memurları, bilirkişilik bölge kurulları tarafından oluşturulan iflâs idare memurları listesinden seçilir. </w:t>
            </w:r>
            <w:r w:rsidRPr="001560F0">
              <w:rPr>
                <w:rFonts w:eastAsia="Calibri"/>
              </w:rPr>
              <w:t>Bu şekilde seçilen iflâs idare</w:t>
            </w:r>
            <w:r w:rsidRPr="001560F0">
              <w:t xml:space="preserve"> memurlar</w:t>
            </w:r>
            <w:r w:rsidRPr="001560F0">
              <w:rPr>
                <w:rFonts w:eastAsia="Calibri"/>
              </w:rPr>
              <w:t>ın</w:t>
            </w:r>
            <w:r w:rsidRPr="001560F0">
              <w:t>dan birinin yeminli mali müşavir veya ser</w:t>
            </w:r>
            <w:r w:rsidRPr="00A23740">
              <w:t xml:space="preserve">best muhasebeci mali müşavir, birinin ise hukukçu olması zorunludur. Listeye kayıt için, Adalet Bakanlığı tarafından izin verilen kurumlardan alınacak eğitimin tamamlanmış olması şarttır. Listede görevlendirilecek memurun bulunmaması hâlinde liste dışından görevlendirme yapılır ve bu durum bölge kuruluna bildirilir. Bir iflâs idare memuru, eş zamanlı olarak beşten fazla dosyada görev alamaz. İflâs idare memurlarının nitelikleri, denetimi, eğitimi, eğitim verecek kurumlar ve eğitimden muaf tutulacaklar ile bu maddenin uygulanmasına ilişkin diğer hususlar </w:t>
            </w:r>
            <w:r w:rsidRPr="00A23740">
              <w:rPr>
                <w:rStyle w:val="StilKrmzChar"/>
                <w:rFonts w:eastAsia="Calibri"/>
              </w:rPr>
              <w:t>Adalet Bakanlığınca</w:t>
            </w:r>
            <w:r w:rsidRPr="00A23740">
              <w:t xml:space="preserve"> yürürlüğe konulan yönetmelikte belirlenir.</w:t>
            </w:r>
          </w:p>
          <w:p w:rsidR="00AA5C8C" w:rsidRPr="00A23740" w:rsidRDefault="00AA5C8C" w:rsidP="009431FF">
            <w:pPr>
              <w:tabs>
                <w:tab w:val="left" w:pos="567"/>
              </w:tabs>
              <w:rPr>
                <w:szCs w:val="24"/>
              </w:rPr>
            </w:pPr>
          </w:p>
        </w:tc>
        <w:tc>
          <w:tcPr>
            <w:tcW w:w="2500" w:type="pct"/>
          </w:tcPr>
          <w:p w:rsidR="00AA5C8C" w:rsidRPr="00A23740" w:rsidRDefault="00AA5C8C" w:rsidP="009431FF">
            <w:pPr>
              <w:pStyle w:val="MAV"/>
              <w:jc w:val="center"/>
              <w:rPr>
                <w:u w:val="none"/>
                <w:lang w:val="tr-TR"/>
              </w:rPr>
            </w:pPr>
            <w:r w:rsidRPr="00A23740">
              <w:rPr>
                <w:u w:val="none"/>
                <w:lang w:val="tr-TR"/>
              </w:rPr>
              <w:t>İKİNCİ ALT AYRIM</w:t>
            </w:r>
          </w:p>
          <w:p w:rsidR="00AA5C8C" w:rsidRPr="00A23740" w:rsidRDefault="00AA5C8C" w:rsidP="009431FF">
            <w:pPr>
              <w:pStyle w:val="MAV"/>
              <w:jc w:val="center"/>
              <w:rPr>
                <w:u w:val="none"/>
                <w:lang w:val="tr-TR"/>
              </w:rPr>
            </w:pPr>
            <w:r w:rsidRPr="00A23740">
              <w:rPr>
                <w:u w:val="none"/>
                <w:lang w:val="tr-TR"/>
              </w:rPr>
              <w:t>İflas İdaresi</w:t>
            </w:r>
          </w:p>
          <w:p w:rsidR="00926B95" w:rsidRPr="00A23740" w:rsidRDefault="00926B95" w:rsidP="009431FF">
            <w:pPr>
              <w:pStyle w:val="MAV"/>
              <w:jc w:val="center"/>
              <w:rPr>
                <w:u w:val="none"/>
                <w:lang w:val="tr-TR"/>
              </w:rPr>
            </w:pPr>
          </w:p>
          <w:p w:rsidR="00AA5C8C" w:rsidRPr="00A23740" w:rsidRDefault="00AA5C8C" w:rsidP="009431FF">
            <w:pPr>
              <w:tabs>
                <w:tab w:val="left" w:pos="567"/>
              </w:tabs>
              <w:rPr>
                <w:szCs w:val="24"/>
              </w:rPr>
            </w:pPr>
            <w:r w:rsidRPr="00A23740">
              <w:rPr>
                <w:b/>
                <w:szCs w:val="24"/>
              </w:rPr>
              <w:t>İflas idaresi</w:t>
            </w:r>
            <w:r w:rsidRPr="00A23740">
              <w:rPr>
                <w:b/>
                <w:color w:val="0000FF"/>
                <w:szCs w:val="24"/>
              </w:rPr>
              <w:t>nin oluşumu</w:t>
            </w:r>
          </w:p>
          <w:p w:rsidR="00AA5C8C" w:rsidRPr="00A23740" w:rsidRDefault="00BB2129" w:rsidP="009431FF">
            <w:pPr>
              <w:tabs>
                <w:tab w:val="left" w:pos="567"/>
              </w:tabs>
              <w:rPr>
                <w:b/>
                <w:color w:val="0000FF"/>
                <w:szCs w:val="24"/>
              </w:rPr>
            </w:pPr>
            <w:r w:rsidRPr="00A23740">
              <w:rPr>
                <w:rStyle w:val="MAVChar"/>
                <w:rFonts w:eastAsia="Calibri"/>
                <w:u w:val="none"/>
              </w:rPr>
              <w:t>MADDE 336</w:t>
            </w:r>
            <w:r w:rsidR="00AA5C8C" w:rsidRPr="00A23740">
              <w:rPr>
                <w:rStyle w:val="MAVChar"/>
                <w:rFonts w:eastAsia="Calibri"/>
                <w:u w:val="none"/>
              </w:rPr>
              <w:t>- (1)</w:t>
            </w:r>
            <w:r w:rsidR="00AA5C8C" w:rsidRPr="00A23740">
              <w:rPr>
                <w:b/>
                <w:color w:val="0000FF"/>
                <w:szCs w:val="24"/>
              </w:rPr>
              <w:t xml:space="preserve"> </w:t>
            </w:r>
            <w:r w:rsidR="00AA5C8C" w:rsidRPr="00A23740">
              <w:rPr>
                <w:rStyle w:val="MaviChar"/>
              </w:rPr>
              <w:t>Birinci alacaklılar toplantısında</w:t>
            </w:r>
            <w:r w:rsidR="00AA5C8C" w:rsidRPr="00A23740">
              <w:rPr>
                <w:b/>
                <w:color w:val="0000FF"/>
                <w:szCs w:val="24"/>
              </w:rPr>
              <w:t xml:space="preserve"> yeter sayı sağlandığında iflas </w:t>
            </w:r>
            <w:r w:rsidR="00AA5C8C" w:rsidRPr="00A23740">
              <w:rPr>
                <w:rStyle w:val="MaviChar"/>
              </w:rPr>
              <w:t>dairesi</w:t>
            </w:r>
            <w:r w:rsidR="00AA5C8C" w:rsidRPr="00A23740">
              <w:rPr>
                <w:b/>
                <w:color w:val="0000FF"/>
                <w:szCs w:val="24"/>
              </w:rPr>
              <w:t xml:space="preserve"> müdürü, tutulan defterin ve masanın durumu hakkında alacaklılara </w:t>
            </w:r>
            <w:r w:rsidR="00AA5C8C" w:rsidRPr="00A23740">
              <w:rPr>
                <w:rStyle w:val="MaviChar"/>
              </w:rPr>
              <w:t>bilgi</w:t>
            </w:r>
            <w:r w:rsidR="00AA5C8C" w:rsidRPr="00A23740">
              <w:rPr>
                <w:b/>
                <w:color w:val="0000FF"/>
                <w:szCs w:val="24"/>
              </w:rPr>
              <w:t xml:space="preserve"> </w:t>
            </w:r>
            <w:r w:rsidR="00AA5C8C" w:rsidRPr="00A23740">
              <w:rPr>
                <w:rStyle w:val="MaviChar"/>
              </w:rPr>
              <w:t>verdikten sonra birinci</w:t>
            </w:r>
            <w:r w:rsidR="00AA5C8C" w:rsidRPr="00A23740">
              <w:rPr>
                <w:b/>
                <w:color w:val="0000FF"/>
                <w:szCs w:val="24"/>
              </w:rPr>
              <w:t xml:space="preserve"> alacaklılar toplantısı</w:t>
            </w:r>
            <w:r w:rsidR="00F52F2B" w:rsidRPr="00A23740">
              <w:rPr>
                <w:b/>
                <w:color w:val="0000FF"/>
                <w:szCs w:val="24"/>
              </w:rPr>
              <w:t>,</w:t>
            </w:r>
            <w:r w:rsidR="00AA5C8C" w:rsidRPr="00A23740">
              <w:rPr>
                <w:b/>
                <w:color w:val="0000FF"/>
                <w:szCs w:val="24"/>
              </w:rPr>
              <w:t xml:space="preserve"> iflasın tasfiyesinin iflas </w:t>
            </w:r>
            <w:r w:rsidR="00AA5C8C" w:rsidRPr="00A23740">
              <w:rPr>
                <w:rStyle w:val="MaviChar"/>
              </w:rPr>
              <w:t>dairesine</w:t>
            </w:r>
            <w:r w:rsidR="00AA5C8C" w:rsidRPr="00A23740">
              <w:rPr>
                <w:b/>
                <w:color w:val="0000FF"/>
                <w:szCs w:val="24"/>
              </w:rPr>
              <w:t xml:space="preserve"> veya bir ya da üç kişiden oluşacak </w:t>
            </w:r>
            <w:r w:rsidR="00AA5C8C" w:rsidRPr="00A23740">
              <w:rPr>
                <w:rStyle w:val="MaviChar"/>
              </w:rPr>
              <w:t>bir</w:t>
            </w:r>
            <w:r w:rsidR="00AA5C8C" w:rsidRPr="00A23740">
              <w:rPr>
                <w:b/>
                <w:color w:val="0000FF"/>
                <w:szCs w:val="24"/>
              </w:rPr>
              <w:t xml:space="preserve"> iflas idaresine </w:t>
            </w:r>
            <w:r w:rsidR="0002084D" w:rsidRPr="00A23740">
              <w:rPr>
                <w:b/>
                <w:color w:val="0000FF"/>
                <w:szCs w:val="24"/>
              </w:rPr>
              <w:t xml:space="preserve">bırakılması </w:t>
            </w:r>
            <w:r w:rsidR="00AA5C8C" w:rsidRPr="00A23740">
              <w:rPr>
                <w:b/>
                <w:color w:val="0000FF"/>
                <w:szCs w:val="24"/>
              </w:rPr>
              <w:t>konusunda karar verir.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(2) Alacaklılar, iflas idaresine,</w:t>
            </w:r>
            <w:r w:rsidR="005352E3" w:rsidRPr="00A23740">
              <w:rPr>
                <w:b/>
                <w:color w:val="0000FF"/>
                <w:szCs w:val="24"/>
              </w:rPr>
              <w:t xml:space="preserve"> </w:t>
            </w:r>
            <w:r w:rsidR="005352E3" w:rsidRPr="00845E21">
              <w:rPr>
                <w:b/>
                <w:bCs/>
                <w:color w:val="0000FF"/>
                <w:szCs w:val="24"/>
              </w:rPr>
              <w:t>337 nci</w:t>
            </w:r>
            <w:r w:rsidR="005352E3" w:rsidRPr="00A23740">
              <w:rPr>
                <w:b/>
                <w:color w:val="0000FF"/>
                <w:szCs w:val="24"/>
              </w:rPr>
              <w:t xml:space="preserve"> </w:t>
            </w:r>
            <w:r w:rsidRPr="00A23740">
              <w:rPr>
                <w:rStyle w:val="MaviChar"/>
              </w:rPr>
              <w:t>maddedeki listede yer alan kiş</w:t>
            </w:r>
            <w:r w:rsidRPr="00A23740">
              <w:rPr>
                <w:b/>
                <w:color w:val="0000FF"/>
                <w:szCs w:val="24"/>
              </w:rPr>
              <w:t>iler arasından aday gösterirler.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(3) İflas idaresinin bir iflas idare </w:t>
            </w:r>
            <w:r w:rsidRPr="00A23740">
              <w:rPr>
                <w:rStyle w:val="MaviChar"/>
              </w:rPr>
              <w:t>memurundan oluşmasına</w:t>
            </w:r>
            <w:r w:rsidRPr="00A23740">
              <w:rPr>
                <w:b/>
                <w:color w:val="0000FF"/>
                <w:szCs w:val="24"/>
              </w:rPr>
              <w:t xml:space="preserve"> karar verilmesi h</w:t>
            </w:r>
            <w:r w:rsidR="00F52F2B" w:rsidRPr="00A23740">
              <w:rPr>
                <w:b/>
                <w:color w:val="0000FF"/>
                <w:szCs w:val="24"/>
              </w:rPr>
              <w:t>â</w:t>
            </w:r>
            <w:r w:rsidRPr="00A23740">
              <w:rPr>
                <w:b/>
                <w:color w:val="0000FF"/>
                <w:szCs w:val="24"/>
              </w:rPr>
              <w:t>linde, alacaklılar toplantısı iki aday seçer. Bu iki adaydan biri, alacak tutarı</w:t>
            </w:r>
            <w:r w:rsidRPr="00A23740">
              <w:rPr>
                <w:rStyle w:val="MaviChar"/>
              </w:rPr>
              <w:t>;</w:t>
            </w:r>
            <w:r w:rsidRPr="00A23740">
              <w:rPr>
                <w:b/>
                <w:color w:val="0000FF"/>
                <w:szCs w:val="24"/>
              </w:rPr>
              <w:t xml:space="preserve"> diğeri</w:t>
            </w:r>
            <w:r w:rsidRPr="00A23740">
              <w:rPr>
                <w:rStyle w:val="MaviChar"/>
              </w:rPr>
              <w:t>,</w:t>
            </w:r>
            <w:r w:rsidRPr="00A23740">
              <w:rPr>
                <w:b/>
                <w:color w:val="0000FF"/>
                <w:szCs w:val="24"/>
              </w:rPr>
              <w:t xml:space="preserve"> alacaklı sayısı çoğunluğu esasına göre </w:t>
            </w:r>
            <w:r w:rsidRPr="00A23740">
              <w:rPr>
                <w:rStyle w:val="MaviChar"/>
              </w:rPr>
              <w:t>ayrı ayrı</w:t>
            </w:r>
            <w:r w:rsidRPr="00A23740">
              <w:rPr>
                <w:rStyle w:val="YELChar"/>
              </w:rPr>
              <w:t xml:space="preserve"> </w:t>
            </w:r>
            <w:r w:rsidRPr="00A23740">
              <w:rPr>
                <w:b/>
                <w:color w:val="0000FF"/>
                <w:szCs w:val="24"/>
              </w:rPr>
              <w:t xml:space="preserve">belirlenir. Oylamalarda en fazla oyu alan </w:t>
            </w:r>
            <w:r w:rsidRPr="00A23740">
              <w:rPr>
                <w:rStyle w:val="MaviChar"/>
              </w:rPr>
              <w:t>iki</w:t>
            </w:r>
            <w:r w:rsidRPr="00A23740">
              <w:rPr>
                <w:b/>
                <w:color w:val="0000FF"/>
                <w:szCs w:val="24"/>
              </w:rPr>
              <w:t xml:space="preserve"> aday, iflas mahkemesine bildirilir. İflas mahkemesi, </w:t>
            </w:r>
            <w:r w:rsidRPr="00A23740">
              <w:rPr>
                <w:rStyle w:val="MaviChar"/>
              </w:rPr>
              <w:t>bu</w:t>
            </w:r>
            <w:r w:rsidRPr="00A23740">
              <w:rPr>
                <w:rStyle w:val="YELChar"/>
              </w:rPr>
              <w:t xml:space="preserve"> </w:t>
            </w:r>
            <w:r w:rsidRPr="00A23740">
              <w:rPr>
                <w:b/>
                <w:color w:val="0000FF"/>
                <w:szCs w:val="24"/>
              </w:rPr>
              <w:t>iki aday</w:t>
            </w:r>
            <w:r w:rsidRPr="00A23740">
              <w:rPr>
                <w:rStyle w:val="MaviChar"/>
              </w:rPr>
              <w:t>dan</w:t>
            </w:r>
            <w:r w:rsidRPr="00A23740">
              <w:rPr>
                <w:b/>
                <w:color w:val="0000FF"/>
                <w:szCs w:val="24"/>
              </w:rPr>
              <w:t xml:space="preserve"> </w:t>
            </w:r>
            <w:r w:rsidRPr="00A23740">
              <w:rPr>
                <w:rStyle w:val="MaviChar"/>
              </w:rPr>
              <w:t>birini iflas idare memuru olarak</w:t>
            </w:r>
            <w:r w:rsidRPr="00A23740">
              <w:rPr>
                <w:b/>
                <w:color w:val="0000FF"/>
                <w:szCs w:val="24"/>
              </w:rPr>
              <w:t xml:space="preserve"> </w:t>
            </w:r>
            <w:r w:rsidRPr="00A23740">
              <w:rPr>
                <w:rStyle w:val="MaviChar"/>
              </w:rPr>
              <w:t>belirler</w:t>
            </w:r>
            <w:r w:rsidRPr="00A23740">
              <w:rPr>
                <w:b/>
                <w:color w:val="0000FF"/>
                <w:szCs w:val="24"/>
              </w:rPr>
              <w:t>.</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(4) </w:t>
            </w:r>
            <w:r w:rsidRPr="00A23740">
              <w:rPr>
                <w:szCs w:val="24"/>
              </w:rPr>
              <w:t>İflas idaresinin üç kişiden</w:t>
            </w:r>
            <w:r w:rsidRPr="00A23740">
              <w:rPr>
                <w:b/>
                <w:color w:val="0000FF"/>
                <w:szCs w:val="24"/>
              </w:rPr>
              <w:t xml:space="preserve"> </w:t>
            </w:r>
            <w:r w:rsidRPr="00A23740">
              <w:rPr>
                <w:szCs w:val="24"/>
              </w:rPr>
              <w:t>oluş</w:t>
            </w:r>
            <w:r w:rsidRPr="00A23740">
              <w:rPr>
                <w:rStyle w:val="MaviChar"/>
              </w:rPr>
              <w:t>masına</w:t>
            </w:r>
            <w:r w:rsidRPr="00A23740">
              <w:rPr>
                <w:b/>
                <w:color w:val="0000FF"/>
                <w:szCs w:val="24"/>
              </w:rPr>
              <w:t xml:space="preserve"> karar verilmesi h</w:t>
            </w:r>
            <w:r w:rsidR="00F52F2B" w:rsidRPr="00A23740">
              <w:rPr>
                <w:b/>
                <w:color w:val="0000FF"/>
                <w:szCs w:val="24"/>
              </w:rPr>
              <w:t>â</w:t>
            </w:r>
            <w:r w:rsidRPr="00A23740">
              <w:rPr>
                <w:b/>
                <w:color w:val="0000FF"/>
                <w:szCs w:val="24"/>
              </w:rPr>
              <w:t xml:space="preserve">linde, </w:t>
            </w:r>
            <w:r w:rsidRPr="00A23740">
              <w:rPr>
                <w:rStyle w:val="MaviChar"/>
              </w:rPr>
              <w:t xml:space="preserve">alacaklılar toplantısı altı </w:t>
            </w:r>
            <w:r w:rsidRPr="00A23740">
              <w:rPr>
                <w:szCs w:val="24"/>
              </w:rPr>
              <w:t>aday</w:t>
            </w:r>
            <w:r w:rsidRPr="00A23740">
              <w:rPr>
                <w:rStyle w:val="MaviChar"/>
              </w:rPr>
              <w:t xml:space="preserve"> seçer. </w:t>
            </w:r>
            <w:r w:rsidRPr="00A23740">
              <w:rPr>
                <w:szCs w:val="24"/>
              </w:rPr>
              <w:t>Bu</w:t>
            </w:r>
            <w:r w:rsidRPr="00A23740">
              <w:rPr>
                <w:rStyle w:val="MaviChar"/>
              </w:rPr>
              <w:t xml:space="preserve"> altı </w:t>
            </w:r>
            <w:r w:rsidRPr="00A23740">
              <w:rPr>
                <w:szCs w:val="24"/>
              </w:rPr>
              <w:t>adaydan</w:t>
            </w:r>
            <w:r w:rsidRPr="00A23740">
              <w:rPr>
                <w:rStyle w:val="MaviChar"/>
              </w:rPr>
              <w:t xml:space="preserve"> </w:t>
            </w:r>
            <w:r w:rsidRPr="00A23740">
              <w:rPr>
                <w:szCs w:val="24"/>
              </w:rPr>
              <w:t>dör</w:t>
            </w:r>
            <w:r w:rsidRPr="00A23740">
              <w:rPr>
                <w:rStyle w:val="MaviChar"/>
              </w:rPr>
              <w:t>dü</w:t>
            </w:r>
            <w:r w:rsidRPr="00A23740">
              <w:rPr>
                <w:rStyle w:val="MaviChar"/>
                <w:lang w:val="tr-TR"/>
              </w:rPr>
              <w:t>,</w:t>
            </w:r>
            <w:r w:rsidRPr="00A23740">
              <w:rPr>
                <w:rStyle w:val="MaviChar"/>
              </w:rPr>
              <w:t xml:space="preserve"> </w:t>
            </w:r>
            <w:r w:rsidRPr="00A23740">
              <w:rPr>
                <w:szCs w:val="24"/>
              </w:rPr>
              <w:t>alacak</w:t>
            </w:r>
            <w:r w:rsidRPr="00A23740">
              <w:rPr>
                <w:rStyle w:val="MaviChar"/>
              </w:rPr>
              <w:t xml:space="preserve"> </w:t>
            </w:r>
            <w:r w:rsidRPr="00A23740">
              <w:rPr>
                <w:szCs w:val="24"/>
              </w:rPr>
              <w:t>tutarı</w:t>
            </w:r>
            <w:r w:rsidRPr="00A23740">
              <w:rPr>
                <w:rStyle w:val="MaviChar"/>
              </w:rPr>
              <w:t xml:space="preserve">; </w:t>
            </w:r>
            <w:r w:rsidRPr="00A23740">
              <w:rPr>
                <w:szCs w:val="24"/>
              </w:rPr>
              <w:t>iki</w:t>
            </w:r>
            <w:r w:rsidRPr="00A23740">
              <w:rPr>
                <w:rStyle w:val="MaviChar"/>
              </w:rPr>
              <w:t xml:space="preserve">si, </w:t>
            </w:r>
            <w:r w:rsidRPr="00A23740">
              <w:rPr>
                <w:szCs w:val="24"/>
              </w:rPr>
              <w:t>alacaklı</w:t>
            </w:r>
            <w:r w:rsidRPr="00A23740">
              <w:rPr>
                <w:b/>
                <w:bCs/>
              </w:rPr>
              <w:t xml:space="preserve"> </w:t>
            </w:r>
            <w:r w:rsidRPr="00A23740">
              <w:rPr>
                <w:szCs w:val="24"/>
              </w:rPr>
              <w:t>sayısı</w:t>
            </w:r>
            <w:r w:rsidRPr="00A23740">
              <w:rPr>
                <w:rStyle w:val="MaviChar"/>
              </w:rPr>
              <w:t xml:space="preserve"> çoğunluğu esasına </w:t>
            </w:r>
            <w:r w:rsidRPr="00A23740">
              <w:rPr>
                <w:szCs w:val="24"/>
              </w:rPr>
              <w:t>göre</w:t>
            </w:r>
            <w:r w:rsidRPr="00A23740">
              <w:rPr>
                <w:rStyle w:val="MaviChar"/>
              </w:rPr>
              <w:t xml:space="preserve"> ayrı ayrı belirlenir. Oylamalarda en fazla oyu alan altı </w:t>
            </w:r>
            <w:r w:rsidRPr="00A23740">
              <w:rPr>
                <w:rStyle w:val="MaviChar"/>
                <w:lang w:val="tr-TR" w:eastAsia="en-US"/>
              </w:rPr>
              <w:t>aday,</w:t>
            </w:r>
            <w:r w:rsidRPr="00A23740">
              <w:rPr>
                <w:b/>
                <w:color w:val="0000FF"/>
                <w:szCs w:val="24"/>
              </w:rPr>
              <w:t xml:space="preserve"> iflas </w:t>
            </w:r>
            <w:r w:rsidRPr="00A23740">
              <w:rPr>
                <w:szCs w:val="24"/>
              </w:rPr>
              <w:t>mahkemesine bildirilir.</w:t>
            </w:r>
            <w:r w:rsidRPr="00A23740">
              <w:rPr>
                <w:b/>
                <w:color w:val="0000FF"/>
                <w:szCs w:val="24"/>
              </w:rPr>
              <w:t xml:space="preserve"> İflas </w:t>
            </w:r>
            <w:r w:rsidRPr="00A23740">
              <w:rPr>
                <w:szCs w:val="24"/>
              </w:rPr>
              <w:t>mahkemesi,</w:t>
            </w:r>
            <w:r w:rsidRPr="00A23740">
              <w:rPr>
                <w:b/>
                <w:color w:val="0000FF"/>
                <w:szCs w:val="24"/>
              </w:rPr>
              <w:t xml:space="preserve"> iki kişiyi alacak çoğunluğuna </w:t>
            </w:r>
            <w:r w:rsidRPr="00A23740">
              <w:rPr>
                <w:szCs w:val="24"/>
              </w:rPr>
              <w:t>sahip olanların gösterdiği</w:t>
            </w:r>
            <w:r w:rsidRPr="00A23740">
              <w:rPr>
                <w:b/>
                <w:color w:val="0000FF"/>
                <w:szCs w:val="24"/>
              </w:rPr>
              <w:t xml:space="preserve"> adaylar arasından, bir kişiyi ise alacaklı çoğunluğuna sahip olanların gösterdiği adaylar arasından </w:t>
            </w:r>
            <w:r w:rsidRPr="00A23740">
              <w:rPr>
                <w:rStyle w:val="MaviChar"/>
              </w:rPr>
              <w:t>iflas idare memuru olarak belirler</w:t>
            </w:r>
            <w:r w:rsidRPr="00A23740">
              <w:rPr>
                <w:b/>
                <w:color w:val="0000FF"/>
                <w:szCs w:val="24"/>
              </w:rPr>
              <w:t>.</w:t>
            </w:r>
          </w:p>
          <w:p w:rsidR="00AA5C8C" w:rsidRPr="00A23740" w:rsidRDefault="00AA5C8C" w:rsidP="009431FF">
            <w:pPr>
              <w:rPr>
                <w:b/>
                <w:bCs/>
                <w:color w:val="0000FF"/>
                <w:szCs w:val="24"/>
                <w:lang w:eastAsia="x-none"/>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trike/>
                <w:szCs w:val="24"/>
              </w:rPr>
            </w:pPr>
          </w:p>
          <w:p w:rsidR="00AA5C8C" w:rsidRPr="00A23740" w:rsidRDefault="00AA5C8C" w:rsidP="009431FF">
            <w:pPr>
              <w:tabs>
                <w:tab w:val="left" w:pos="567"/>
              </w:tabs>
              <w:rPr>
                <w:strike/>
                <w:szCs w:val="24"/>
              </w:rPr>
            </w:pPr>
          </w:p>
          <w:p w:rsidR="00AA5C8C" w:rsidRPr="00A23740" w:rsidRDefault="00AA5C8C" w:rsidP="009431FF">
            <w:pPr>
              <w:tabs>
                <w:tab w:val="left" w:pos="567"/>
              </w:tabs>
              <w:rPr>
                <w:strike/>
                <w:szCs w:val="24"/>
              </w:rPr>
            </w:pPr>
          </w:p>
          <w:p w:rsidR="00AA5C8C" w:rsidRPr="00A23740" w:rsidRDefault="00AA5C8C" w:rsidP="009431FF">
            <w:pPr>
              <w:tabs>
                <w:tab w:val="left" w:pos="567"/>
              </w:tabs>
              <w:rPr>
                <w:strike/>
                <w:szCs w:val="24"/>
              </w:rPr>
            </w:pPr>
          </w:p>
          <w:p w:rsidR="00AA5C8C" w:rsidRPr="00A23740" w:rsidRDefault="00AA5C8C" w:rsidP="009431FF">
            <w:pPr>
              <w:tabs>
                <w:tab w:val="left" w:pos="567"/>
              </w:tabs>
              <w:rPr>
                <w:strike/>
                <w:szCs w:val="24"/>
              </w:rPr>
            </w:pPr>
          </w:p>
          <w:p w:rsidR="00AA5C8C" w:rsidRPr="00A23740" w:rsidRDefault="00AA5C8C" w:rsidP="009431FF">
            <w:pPr>
              <w:tabs>
                <w:tab w:val="left" w:pos="567"/>
              </w:tabs>
              <w:rPr>
                <w:b/>
                <w:color w:val="FF0000"/>
                <w:szCs w:val="24"/>
              </w:rPr>
            </w:pPr>
          </w:p>
        </w:tc>
      </w:tr>
      <w:tr w:rsidR="00F97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51372C" w:rsidRPr="00A23740" w:rsidRDefault="0051372C" w:rsidP="009431FF">
            <w:pPr>
              <w:tabs>
                <w:tab w:val="left" w:pos="567"/>
              </w:tabs>
              <w:ind w:firstLine="709"/>
              <w:rPr>
                <w:lang w:val="x-none" w:eastAsia="x-none"/>
              </w:rPr>
            </w:pPr>
          </w:p>
          <w:p w:rsidR="0051372C" w:rsidRPr="00A23740" w:rsidRDefault="00BB2129" w:rsidP="009431FF">
            <w:pPr>
              <w:tabs>
                <w:tab w:val="left" w:pos="567"/>
              </w:tabs>
              <w:ind w:firstLine="709"/>
              <w:rPr>
                <w:szCs w:val="24"/>
              </w:rPr>
            </w:pPr>
            <w:r w:rsidRPr="00A23740">
              <w:rPr>
                <w:b/>
                <w:bCs/>
              </w:rPr>
              <w:t>MADDE 336</w:t>
            </w:r>
            <w:r w:rsidR="0051372C" w:rsidRPr="00A23740">
              <w:rPr>
                <w:b/>
                <w:bCs/>
              </w:rPr>
              <w:t xml:space="preserve">- </w:t>
            </w:r>
            <w:r w:rsidR="0051372C" w:rsidRPr="00A23740">
              <w:rPr>
                <w:bCs/>
                <w:szCs w:val="24"/>
              </w:rPr>
              <w:t>Maddeyle</w:t>
            </w:r>
            <w:r w:rsidR="0051372C" w:rsidRPr="00A23740">
              <w:rPr>
                <w:lang w:val="x-none" w:eastAsia="x-none"/>
              </w:rPr>
              <w:t>, iflas idaresinin oluşumu</w:t>
            </w:r>
            <w:r w:rsidR="0002084D" w:rsidRPr="00845E21">
              <w:rPr>
                <w:bCs/>
                <w:lang w:val="x-none" w:eastAsia="x-none"/>
              </w:rPr>
              <w:t>na</w:t>
            </w:r>
            <w:r w:rsidR="0051372C" w:rsidRPr="00845E21">
              <w:rPr>
                <w:lang w:val="x-none" w:eastAsia="x-none"/>
              </w:rPr>
              <w:t xml:space="preserve"> </w:t>
            </w:r>
            <w:r w:rsidR="0051372C" w:rsidRPr="00A23740">
              <w:rPr>
                <w:lang w:val="x-none" w:eastAsia="x-none"/>
              </w:rPr>
              <w:t>ilişkin hususlar düzenlenmektedir. Hüküm, 2004 sayılı Kanunun 223 üncü maddesine karşılık gelmektedir.</w:t>
            </w:r>
          </w:p>
          <w:p w:rsidR="00F97472" w:rsidRPr="00A23740" w:rsidRDefault="00F97472" w:rsidP="009431FF">
            <w:pPr>
              <w:tabs>
                <w:tab w:val="left" w:pos="567"/>
              </w:tabs>
              <w:ind w:firstLine="709"/>
              <w:rPr>
                <w:szCs w:val="24"/>
              </w:rPr>
            </w:pPr>
            <w:r w:rsidRPr="00A23740">
              <w:rPr>
                <w:lang w:val="x-none" w:eastAsia="x-none"/>
              </w:rPr>
              <w:t xml:space="preserve">Maddenin birinci fıkrası, iflas idaresinin </w:t>
            </w:r>
            <w:r w:rsidR="0002084D" w:rsidRPr="00845E21">
              <w:rPr>
                <w:bCs/>
                <w:lang w:val="x-none" w:eastAsia="x-none"/>
              </w:rPr>
              <w:t>oluşturulması usulünü</w:t>
            </w:r>
            <w:r w:rsidR="0002084D" w:rsidRPr="00A23740">
              <w:rPr>
                <w:lang w:eastAsia="x-none"/>
              </w:rPr>
              <w:t xml:space="preserve"> </w:t>
            </w:r>
            <w:r w:rsidRPr="00A23740">
              <w:rPr>
                <w:lang w:val="x-none" w:eastAsia="x-none"/>
              </w:rPr>
              <w:t>düzenlemektedir. Buna göre, birinci alacaklılar toplantısında</w:t>
            </w:r>
            <w:r w:rsidRPr="00A23740">
              <w:rPr>
                <w:szCs w:val="24"/>
              </w:rPr>
              <w:t xml:space="preserve"> yeter sayı sağlandığında iflas </w:t>
            </w:r>
            <w:r w:rsidRPr="00A23740">
              <w:rPr>
                <w:lang w:val="x-none" w:eastAsia="x-none"/>
              </w:rPr>
              <w:t>dairesi</w:t>
            </w:r>
            <w:r w:rsidRPr="00A23740">
              <w:rPr>
                <w:szCs w:val="24"/>
              </w:rPr>
              <w:t xml:space="preserve"> müdürü, tutulan defterin ve masanın durumu hakkında alacaklılara </w:t>
            </w:r>
            <w:r w:rsidRPr="00A23740">
              <w:rPr>
                <w:lang w:val="x-none" w:eastAsia="x-none"/>
              </w:rPr>
              <w:t>bilgi</w:t>
            </w:r>
            <w:r w:rsidRPr="00A23740">
              <w:rPr>
                <w:szCs w:val="24"/>
              </w:rPr>
              <w:t xml:space="preserve"> </w:t>
            </w:r>
            <w:r w:rsidRPr="00A23740">
              <w:rPr>
                <w:lang w:val="x-none" w:eastAsia="x-none"/>
              </w:rPr>
              <w:t>verdikten sonra, birinci</w:t>
            </w:r>
            <w:r w:rsidRPr="00A23740">
              <w:rPr>
                <w:szCs w:val="24"/>
              </w:rPr>
              <w:t xml:space="preserve"> alacaklılar toplantısı iflasın tasfiyesinin iflas </w:t>
            </w:r>
            <w:r w:rsidRPr="00A23740">
              <w:rPr>
                <w:lang w:val="x-none" w:eastAsia="x-none"/>
              </w:rPr>
              <w:t>dairesine</w:t>
            </w:r>
            <w:r w:rsidRPr="00A23740">
              <w:rPr>
                <w:szCs w:val="24"/>
              </w:rPr>
              <w:t xml:space="preserve"> veya bir ya da üç kişiden oluşacak </w:t>
            </w:r>
            <w:r w:rsidRPr="00A23740">
              <w:rPr>
                <w:lang w:val="x-none" w:eastAsia="x-none"/>
              </w:rPr>
              <w:t>bir</w:t>
            </w:r>
            <w:r w:rsidRPr="00A23740">
              <w:rPr>
                <w:szCs w:val="24"/>
              </w:rPr>
              <w:t xml:space="preserve"> iflas idaresine </w:t>
            </w:r>
            <w:r w:rsidR="0002084D" w:rsidRPr="00845E21">
              <w:rPr>
                <w:bCs/>
                <w:szCs w:val="24"/>
              </w:rPr>
              <w:t>bırakılması</w:t>
            </w:r>
            <w:r w:rsidR="0002084D" w:rsidRPr="00845E21">
              <w:rPr>
                <w:szCs w:val="24"/>
              </w:rPr>
              <w:t xml:space="preserve"> </w:t>
            </w:r>
            <w:r w:rsidRPr="00A23740">
              <w:rPr>
                <w:szCs w:val="24"/>
              </w:rPr>
              <w:t xml:space="preserve">konusunda karar verir. </w:t>
            </w:r>
            <w:r w:rsidR="0002084D" w:rsidRPr="00845E21">
              <w:rPr>
                <w:bCs/>
                <w:szCs w:val="24"/>
              </w:rPr>
              <w:t>Fıkrayla</w:t>
            </w:r>
            <w:r w:rsidR="0002084D" w:rsidRPr="00845E21">
              <w:rPr>
                <w:szCs w:val="24"/>
              </w:rPr>
              <w:t xml:space="preserve"> </w:t>
            </w:r>
            <w:r w:rsidRPr="00A23740">
              <w:rPr>
                <w:szCs w:val="24"/>
              </w:rPr>
              <w:t xml:space="preserve">olağan tasfiyede dahi, birinci alacaklılar toplantısının seçimi doğrultusunda, iflasın tasfiyesi konusunda iflas dairesinin yetkilendirilebileceği yahut iflas idaresinin </w:t>
            </w:r>
            <w:r w:rsidR="0002084D" w:rsidRPr="00845E21">
              <w:rPr>
                <w:bCs/>
                <w:szCs w:val="24"/>
              </w:rPr>
              <w:t>oluşturulabileceği</w:t>
            </w:r>
            <w:r w:rsidR="0002084D" w:rsidRPr="00845E21">
              <w:rPr>
                <w:szCs w:val="24"/>
              </w:rPr>
              <w:t xml:space="preserve"> düzenlenmiştir</w:t>
            </w:r>
            <w:r w:rsidR="0002084D" w:rsidRPr="00A23740">
              <w:rPr>
                <w:szCs w:val="24"/>
              </w:rPr>
              <w:t>. Bu</w:t>
            </w:r>
            <w:r w:rsidRPr="00A23740">
              <w:rPr>
                <w:szCs w:val="24"/>
              </w:rPr>
              <w:t>güne kadarki if</w:t>
            </w:r>
            <w:r w:rsidR="0002084D" w:rsidRPr="00A23740">
              <w:rPr>
                <w:szCs w:val="24"/>
              </w:rPr>
              <w:t xml:space="preserve">las uygulamasında iflas </w:t>
            </w:r>
            <w:r w:rsidR="0002084D" w:rsidRPr="00845E21">
              <w:rPr>
                <w:szCs w:val="24"/>
              </w:rPr>
              <w:t>idaresi</w:t>
            </w:r>
            <w:r w:rsidR="001B2358" w:rsidRPr="00845E21">
              <w:rPr>
                <w:bCs/>
                <w:szCs w:val="24"/>
              </w:rPr>
              <w:t>ne ilişkin</w:t>
            </w:r>
            <w:r w:rsidR="001B2358" w:rsidRPr="00A23740">
              <w:rPr>
                <w:szCs w:val="24"/>
              </w:rPr>
              <w:t xml:space="preserve"> </w:t>
            </w:r>
            <w:r w:rsidRPr="00A23740">
              <w:rPr>
                <w:szCs w:val="24"/>
              </w:rPr>
              <w:t>sorunlar dikkate alınarak, iflasın tasfiyesinin, tasfiye olağan usulde yürütülecek olsa dahi, iflas dairesince gerçekleştirilmesine de olanak tanınmıştır. Şu h</w:t>
            </w:r>
            <w:r w:rsidR="001B2358" w:rsidRPr="00A23740">
              <w:rPr>
                <w:szCs w:val="24"/>
              </w:rPr>
              <w:t>â</w:t>
            </w:r>
            <w:r w:rsidRPr="00A23740">
              <w:rPr>
                <w:szCs w:val="24"/>
              </w:rPr>
              <w:t>lde alacaklılar toplantısının tercihine göre</w:t>
            </w:r>
            <w:r w:rsidR="001B2358" w:rsidRPr="0051419B">
              <w:rPr>
                <w:rStyle w:val="Balk1Char"/>
                <w:rFonts w:eastAsia="Calibri"/>
                <w:b w:val="0"/>
                <w:color w:val="000000" w:themeColor="text1"/>
              </w:rPr>
              <w:t>,</w:t>
            </w:r>
            <w:r w:rsidRPr="00A23740">
              <w:rPr>
                <w:szCs w:val="24"/>
              </w:rPr>
              <w:t xml:space="preserve"> iflas dairesi yahut iflas idaresi tasfiyeyi yürütecektir.</w:t>
            </w:r>
          </w:p>
          <w:p w:rsidR="00F97472" w:rsidRPr="00A23740" w:rsidRDefault="00F97472" w:rsidP="009431FF">
            <w:pPr>
              <w:tabs>
                <w:tab w:val="left" w:pos="567"/>
              </w:tabs>
              <w:ind w:firstLine="709"/>
              <w:rPr>
                <w:szCs w:val="24"/>
              </w:rPr>
            </w:pPr>
            <w:r w:rsidRPr="00A23740">
              <w:rPr>
                <w:szCs w:val="24"/>
              </w:rPr>
              <w:t xml:space="preserve">İkinci fıkra uyarınca alacaklılar, iflas idaresine, </w:t>
            </w:r>
            <w:r w:rsidR="005831BD" w:rsidRPr="00845E21">
              <w:rPr>
                <w:bCs/>
                <w:szCs w:val="24"/>
              </w:rPr>
              <w:t>337 nci</w:t>
            </w:r>
            <w:r w:rsidR="005831BD" w:rsidRPr="00A23740">
              <w:rPr>
                <w:b/>
                <w:color w:val="0000FF"/>
                <w:szCs w:val="24"/>
              </w:rPr>
              <w:t xml:space="preserve"> </w:t>
            </w:r>
            <w:r w:rsidRPr="00A23740">
              <w:rPr>
                <w:lang w:val="x-none" w:eastAsia="x-none"/>
              </w:rPr>
              <w:t xml:space="preserve">maddede de atıf yapılan </w:t>
            </w:r>
            <w:r w:rsidRPr="00A23740">
              <w:rPr>
                <w:szCs w:val="24"/>
              </w:rPr>
              <w:t>bilirkişilik bölge kurulları tarafından oluşturulan ifl</w:t>
            </w:r>
            <w:r w:rsidR="00656C77" w:rsidRPr="00A23740">
              <w:rPr>
                <w:szCs w:val="24"/>
              </w:rPr>
              <w:t>a</w:t>
            </w:r>
            <w:r w:rsidRPr="00A23740">
              <w:rPr>
                <w:szCs w:val="24"/>
              </w:rPr>
              <w:t>s idare memurları listesinde</w:t>
            </w:r>
            <w:r w:rsidRPr="00A23740">
              <w:rPr>
                <w:lang w:val="x-none" w:eastAsia="x-none"/>
              </w:rPr>
              <w:t xml:space="preserve"> yer alan kiş</w:t>
            </w:r>
            <w:r w:rsidRPr="00A23740">
              <w:rPr>
                <w:szCs w:val="24"/>
              </w:rPr>
              <w:t>iler arasından aday göstereceklerdir. Komisyon çalışmalarında, tüzel kişilerin de iflas idare memurluğuna aday gösterilebilmesi tartışılmışsa da</w:t>
            </w:r>
            <w:r w:rsidR="00512416" w:rsidRPr="00A23740">
              <w:rPr>
                <w:szCs w:val="24"/>
              </w:rPr>
              <w:t>,</w:t>
            </w:r>
            <w:r w:rsidRPr="00A23740">
              <w:rPr>
                <w:szCs w:val="24"/>
              </w:rPr>
              <w:t xml:space="preserve"> </w:t>
            </w:r>
            <w:r w:rsidR="001B2358" w:rsidRPr="00845E21">
              <w:rPr>
                <w:bCs/>
                <w:szCs w:val="24"/>
              </w:rPr>
              <w:t>tüzel kişilerin</w:t>
            </w:r>
            <w:r w:rsidR="001B2358" w:rsidRPr="00845E21">
              <w:rPr>
                <w:szCs w:val="24"/>
              </w:rPr>
              <w:t xml:space="preserve"> </w:t>
            </w:r>
            <w:r w:rsidRPr="00845E21">
              <w:rPr>
                <w:szCs w:val="24"/>
              </w:rPr>
              <w:t>iflas</w:t>
            </w:r>
            <w:r w:rsidRPr="00A23740">
              <w:rPr>
                <w:szCs w:val="24"/>
              </w:rPr>
              <w:t xml:space="preserve"> idare memuru olmalarının mümkün olmadığı</w:t>
            </w:r>
            <w:r w:rsidR="00512416" w:rsidRPr="00A23740">
              <w:rPr>
                <w:szCs w:val="24"/>
              </w:rPr>
              <w:t xml:space="preserve"> sonucuna varılmıştır</w:t>
            </w:r>
            <w:r w:rsidR="005831BD" w:rsidRPr="00A23740">
              <w:rPr>
                <w:szCs w:val="24"/>
              </w:rPr>
              <w:t>.</w:t>
            </w:r>
          </w:p>
          <w:p w:rsidR="00F97472" w:rsidRPr="00A23740" w:rsidRDefault="00F97472" w:rsidP="009431FF">
            <w:pPr>
              <w:tabs>
                <w:tab w:val="left" w:pos="567"/>
              </w:tabs>
              <w:ind w:firstLine="709"/>
              <w:rPr>
                <w:szCs w:val="24"/>
              </w:rPr>
            </w:pPr>
            <w:r w:rsidRPr="00A23740">
              <w:rPr>
                <w:szCs w:val="24"/>
              </w:rPr>
              <w:t xml:space="preserve">Üçüncü </w:t>
            </w:r>
            <w:r w:rsidR="001B2358" w:rsidRPr="00845E21">
              <w:rPr>
                <w:bCs/>
                <w:szCs w:val="24"/>
              </w:rPr>
              <w:t>fıkrayla</w:t>
            </w:r>
            <w:r w:rsidR="001B2358" w:rsidRPr="00845E21">
              <w:rPr>
                <w:szCs w:val="24"/>
              </w:rPr>
              <w:t xml:space="preserve"> </w:t>
            </w:r>
            <w:r w:rsidRPr="00A23740">
              <w:rPr>
                <w:szCs w:val="24"/>
              </w:rPr>
              <w:t xml:space="preserve">bir yenilik daha ihdas edilmiş, birinci alacaklılar toplantısının iflas idaresinin bir kişiden oluşmasına da karar verebileceği kabul edilmiştir. Buna göre, iflas idaresinin bir iflas idare </w:t>
            </w:r>
            <w:r w:rsidRPr="00A23740">
              <w:rPr>
                <w:lang w:val="x-none" w:eastAsia="x-none"/>
              </w:rPr>
              <w:t>memurundan oluşmasına</w:t>
            </w:r>
            <w:r w:rsidRPr="00A23740">
              <w:rPr>
                <w:szCs w:val="24"/>
              </w:rPr>
              <w:t xml:space="preserve"> karar verilmesi h</w:t>
            </w:r>
            <w:r w:rsidR="0002084D" w:rsidRPr="00A23740">
              <w:rPr>
                <w:szCs w:val="24"/>
              </w:rPr>
              <w:t>â</w:t>
            </w:r>
            <w:r w:rsidRPr="00A23740">
              <w:rPr>
                <w:szCs w:val="24"/>
              </w:rPr>
              <w:t xml:space="preserve">linde, alacaklılar toplantısı iki aday seçecek, bu iki adaydan biri alacak tutarı, diğeri alacaklı sayısı çoğunluğu esasına göre </w:t>
            </w:r>
            <w:r w:rsidRPr="00A23740">
              <w:rPr>
                <w:lang w:val="x-none" w:eastAsia="x-none"/>
              </w:rPr>
              <w:t>ayrı ayrı</w:t>
            </w:r>
            <w:r w:rsidRPr="00A23740">
              <w:rPr>
                <w:rFonts w:eastAsia="ヒラギノ明朝 Pro W3"/>
              </w:rPr>
              <w:t xml:space="preserve"> </w:t>
            </w:r>
            <w:r w:rsidRPr="00A23740">
              <w:rPr>
                <w:szCs w:val="24"/>
              </w:rPr>
              <w:t xml:space="preserve">belirlenecektir. Oylamalarda en fazla oyu alan </w:t>
            </w:r>
            <w:r w:rsidRPr="00A23740">
              <w:rPr>
                <w:lang w:val="x-none" w:eastAsia="x-none"/>
              </w:rPr>
              <w:t>iki</w:t>
            </w:r>
            <w:r w:rsidRPr="00A23740">
              <w:rPr>
                <w:szCs w:val="24"/>
              </w:rPr>
              <w:t xml:space="preserve"> aday, iflas mahkemesine bildirilecek</w:t>
            </w:r>
            <w:r w:rsidR="001B2358" w:rsidRPr="00845E21">
              <w:rPr>
                <w:bCs/>
                <w:szCs w:val="24"/>
              </w:rPr>
              <w:t>;</w:t>
            </w:r>
            <w:r w:rsidRPr="00845E21">
              <w:rPr>
                <w:szCs w:val="24"/>
              </w:rPr>
              <w:t xml:space="preserve"> </w:t>
            </w:r>
            <w:r w:rsidRPr="00A23740">
              <w:rPr>
                <w:szCs w:val="24"/>
              </w:rPr>
              <w:t xml:space="preserve">iflas mahkemesi, </w:t>
            </w:r>
            <w:r w:rsidRPr="00A23740">
              <w:rPr>
                <w:lang w:val="x-none" w:eastAsia="x-none"/>
              </w:rPr>
              <w:t>bu</w:t>
            </w:r>
            <w:r w:rsidRPr="00A23740">
              <w:rPr>
                <w:rFonts w:eastAsia="ヒラギノ明朝 Pro W3"/>
              </w:rPr>
              <w:t xml:space="preserve"> </w:t>
            </w:r>
            <w:r w:rsidRPr="00A23740">
              <w:rPr>
                <w:szCs w:val="24"/>
              </w:rPr>
              <w:t>iki aday</w:t>
            </w:r>
            <w:r w:rsidRPr="00A23740">
              <w:rPr>
                <w:lang w:val="x-none" w:eastAsia="x-none"/>
              </w:rPr>
              <w:t>dan</w:t>
            </w:r>
            <w:r w:rsidRPr="00A23740">
              <w:rPr>
                <w:szCs w:val="24"/>
              </w:rPr>
              <w:t xml:space="preserve"> </w:t>
            </w:r>
            <w:r w:rsidRPr="00A23740">
              <w:rPr>
                <w:lang w:val="x-none" w:eastAsia="x-none"/>
              </w:rPr>
              <w:t>birini iflas idare memuru olarak</w:t>
            </w:r>
            <w:r w:rsidRPr="00A23740">
              <w:rPr>
                <w:szCs w:val="24"/>
              </w:rPr>
              <w:t xml:space="preserve"> </w:t>
            </w:r>
            <w:r w:rsidRPr="00A23740">
              <w:rPr>
                <w:lang w:val="x-none" w:eastAsia="x-none"/>
              </w:rPr>
              <w:t>belirleyecektir. Şu h</w:t>
            </w:r>
            <w:r w:rsidR="0002084D" w:rsidRPr="00A23740">
              <w:rPr>
                <w:lang w:eastAsia="x-none"/>
              </w:rPr>
              <w:t>â</w:t>
            </w:r>
            <w:r w:rsidRPr="00A23740">
              <w:rPr>
                <w:lang w:val="x-none" w:eastAsia="x-none"/>
              </w:rPr>
              <w:t>lde</w:t>
            </w:r>
            <w:r w:rsidR="001B2358" w:rsidRPr="0051419B">
              <w:rPr>
                <w:rStyle w:val="Balk1Char"/>
                <w:rFonts w:eastAsia="Calibri"/>
                <w:b w:val="0"/>
                <w:color w:val="000000" w:themeColor="text1"/>
              </w:rPr>
              <w:t>,</w:t>
            </w:r>
            <w:r w:rsidRPr="00A23740">
              <w:rPr>
                <w:lang w:val="x-none" w:eastAsia="x-none"/>
              </w:rPr>
              <w:t xml:space="preserve"> seçilen iki adaydan birini iflas idare memuru olarak atamayı gerçekleştirecek merci iflas mahkemesidir. </w:t>
            </w:r>
          </w:p>
          <w:p w:rsidR="00F97472" w:rsidRPr="00A23740" w:rsidRDefault="00F97472" w:rsidP="009431FF">
            <w:pPr>
              <w:tabs>
                <w:tab w:val="left" w:pos="567"/>
              </w:tabs>
              <w:ind w:firstLine="709"/>
              <w:rPr>
                <w:szCs w:val="24"/>
              </w:rPr>
            </w:pPr>
            <w:r w:rsidRPr="00A23740">
              <w:rPr>
                <w:szCs w:val="24"/>
              </w:rPr>
              <w:t xml:space="preserve">Dördüncü fıkra </w:t>
            </w:r>
            <w:r w:rsidR="001B2358" w:rsidRPr="00845E21">
              <w:rPr>
                <w:bCs/>
                <w:lang w:val="x-none" w:eastAsia="x-none"/>
              </w:rPr>
              <w:t>hükmüyle</w:t>
            </w:r>
            <w:r w:rsidR="001B2358" w:rsidRPr="00845E21">
              <w:rPr>
                <w:lang w:val="x-none" w:eastAsia="x-none"/>
              </w:rPr>
              <w:t xml:space="preserve"> </w:t>
            </w:r>
            <w:r w:rsidRPr="00A23740">
              <w:rPr>
                <w:szCs w:val="24"/>
              </w:rPr>
              <w:t xml:space="preserve">iflas idaresinin üç kişiden oluşmasına karar verme yetkisi birinci alacaklılar toplantısına </w:t>
            </w:r>
            <w:r w:rsidR="001B2358" w:rsidRPr="00845E21">
              <w:rPr>
                <w:bCs/>
                <w:szCs w:val="24"/>
              </w:rPr>
              <w:t>tanınmıştır.</w:t>
            </w:r>
            <w:r w:rsidR="001B2358" w:rsidRPr="00A23740">
              <w:rPr>
                <w:szCs w:val="24"/>
              </w:rPr>
              <w:t xml:space="preserve"> </w:t>
            </w:r>
            <w:r w:rsidRPr="00A23740">
              <w:rPr>
                <w:szCs w:val="24"/>
              </w:rPr>
              <w:t>Bu h</w:t>
            </w:r>
            <w:r w:rsidR="0002084D" w:rsidRPr="00A23740">
              <w:rPr>
                <w:szCs w:val="24"/>
              </w:rPr>
              <w:t>â</w:t>
            </w:r>
            <w:r w:rsidRPr="00A23740">
              <w:rPr>
                <w:szCs w:val="24"/>
              </w:rPr>
              <w:t xml:space="preserve">lde, </w:t>
            </w:r>
            <w:r w:rsidRPr="00A23740">
              <w:rPr>
                <w:lang w:val="x-none" w:eastAsia="x-none"/>
              </w:rPr>
              <w:t xml:space="preserve">alacaklılar toplantısı altı </w:t>
            </w:r>
            <w:r w:rsidRPr="00A23740">
              <w:rPr>
                <w:szCs w:val="24"/>
              </w:rPr>
              <w:t>aday</w:t>
            </w:r>
            <w:r w:rsidRPr="00A23740">
              <w:rPr>
                <w:lang w:val="x-none" w:eastAsia="x-none"/>
              </w:rPr>
              <w:t xml:space="preserve"> seçecek, b</w:t>
            </w:r>
            <w:r w:rsidRPr="00A23740">
              <w:rPr>
                <w:szCs w:val="24"/>
              </w:rPr>
              <w:t>u</w:t>
            </w:r>
            <w:r w:rsidRPr="00A23740">
              <w:rPr>
                <w:lang w:val="x-none" w:eastAsia="x-none"/>
              </w:rPr>
              <w:t xml:space="preserve"> altı </w:t>
            </w:r>
            <w:r w:rsidRPr="00A23740">
              <w:rPr>
                <w:szCs w:val="24"/>
              </w:rPr>
              <w:t>adaydan</w:t>
            </w:r>
            <w:r w:rsidRPr="00A23740">
              <w:rPr>
                <w:lang w:val="x-none" w:eastAsia="x-none"/>
              </w:rPr>
              <w:t xml:space="preserve"> </w:t>
            </w:r>
            <w:r w:rsidRPr="00A23740">
              <w:rPr>
                <w:szCs w:val="24"/>
              </w:rPr>
              <w:t>dör</w:t>
            </w:r>
            <w:r w:rsidRPr="00A23740">
              <w:rPr>
                <w:lang w:val="x-none" w:eastAsia="x-none"/>
              </w:rPr>
              <w:t xml:space="preserve">dü </w:t>
            </w:r>
            <w:r w:rsidRPr="00A23740">
              <w:rPr>
                <w:szCs w:val="24"/>
              </w:rPr>
              <w:t>alacak</w:t>
            </w:r>
            <w:r w:rsidRPr="00A23740">
              <w:rPr>
                <w:lang w:val="x-none" w:eastAsia="x-none"/>
              </w:rPr>
              <w:t xml:space="preserve"> </w:t>
            </w:r>
            <w:r w:rsidRPr="00A23740">
              <w:rPr>
                <w:szCs w:val="24"/>
              </w:rPr>
              <w:t>tutarı,</w:t>
            </w:r>
            <w:r w:rsidRPr="00A23740">
              <w:rPr>
                <w:lang w:val="x-none" w:eastAsia="x-none"/>
              </w:rPr>
              <w:t xml:space="preserve"> </w:t>
            </w:r>
            <w:r w:rsidRPr="00A23740">
              <w:rPr>
                <w:szCs w:val="24"/>
              </w:rPr>
              <w:t>iki</w:t>
            </w:r>
            <w:r w:rsidRPr="00A23740">
              <w:rPr>
                <w:lang w:val="x-none" w:eastAsia="x-none"/>
              </w:rPr>
              <w:t xml:space="preserve">si </w:t>
            </w:r>
            <w:r w:rsidRPr="00A23740">
              <w:rPr>
                <w:szCs w:val="24"/>
              </w:rPr>
              <w:t>alacaklı</w:t>
            </w:r>
            <w:r w:rsidRPr="00A23740">
              <w:t xml:space="preserve"> </w:t>
            </w:r>
            <w:r w:rsidRPr="00A23740">
              <w:rPr>
                <w:szCs w:val="24"/>
              </w:rPr>
              <w:t>sayısı</w:t>
            </w:r>
            <w:r w:rsidRPr="00A23740">
              <w:rPr>
                <w:lang w:val="x-none" w:eastAsia="x-none"/>
              </w:rPr>
              <w:t xml:space="preserve"> çoğunluğu esasına </w:t>
            </w:r>
            <w:r w:rsidRPr="00A23740">
              <w:rPr>
                <w:szCs w:val="24"/>
              </w:rPr>
              <w:t>göre</w:t>
            </w:r>
            <w:r w:rsidRPr="00A23740">
              <w:rPr>
                <w:lang w:val="x-none" w:eastAsia="x-none"/>
              </w:rPr>
              <w:t xml:space="preserve"> ayrı ayrı belirlenecek, oylamalarda en fazla oyu alan altı aday,</w:t>
            </w:r>
            <w:r w:rsidRPr="00A23740">
              <w:rPr>
                <w:szCs w:val="24"/>
              </w:rPr>
              <w:t xml:space="preserve"> iflas mahkemesine bildirilecektir. İflas mahkemesi, iki kişiyi alacak çoğunluğuna sahip olanların gösterdiği adaylar arasından, bir kişiyi ise alacaklı çoğunluğuna sahip olanların gösterdiği adaylar arasından </w:t>
            </w:r>
            <w:r w:rsidRPr="00A23740">
              <w:rPr>
                <w:lang w:val="x-none" w:eastAsia="x-none"/>
              </w:rPr>
              <w:t>iflas idare memuru olarak belirleyecektir</w:t>
            </w:r>
            <w:r w:rsidRPr="00A23740">
              <w:rPr>
                <w:szCs w:val="24"/>
              </w:rPr>
              <w:t>.</w:t>
            </w:r>
          </w:p>
          <w:p w:rsidR="00F97472" w:rsidRPr="00A23740" w:rsidRDefault="00F97472"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rStyle w:val="KIRMIZIChar"/>
                <w:rFonts w:eastAsia="Calibri"/>
              </w:rPr>
              <w:t>İflas idaresi ve</w:t>
            </w:r>
            <w:r w:rsidRPr="00A23740">
              <w:rPr>
                <w:b/>
                <w:strike/>
                <w:color w:val="FF0000"/>
                <w:szCs w:val="24"/>
              </w:rPr>
              <w:t xml:space="preserve"> iflas dairesinin vazifeleri:</w:t>
            </w:r>
          </w:p>
          <w:p w:rsidR="00AA5C8C" w:rsidRPr="00A23740" w:rsidRDefault="00AA5C8C" w:rsidP="009431FF">
            <w:pPr>
              <w:tabs>
                <w:tab w:val="left" w:pos="567"/>
              </w:tabs>
              <w:rPr>
                <w:rStyle w:val="KIRMIZIChar"/>
                <w:rFonts w:eastAsia="Calibri"/>
              </w:rPr>
            </w:pPr>
            <w:r w:rsidRPr="00A23740">
              <w:rPr>
                <w:rStyle w:val="KIRMIZIChar"/>
                <w:rFonts w:eastAsia="Calibri"/>
              </w:rPr>
              <w:t>Madde 223 – . . .</w:t>
            </w:r>
          </w:p>
          <w:p w:rsidR="00AA5C8C" w:rsidRPr="00A23740" w:rsidRDefault="00AA5C8C" w:rsidP="009431FF">
            <w:pPr>
              <w:tabs>
                <w:tab w:val="left" w:pos="567"/>
              </w:tabs>
              <w:rPr>
                <w:rStyle w:val="KIRMIZIChar"/>
                <w:rFonts w:eastAsia="Calibri"/>
              </w:rPr>
            </w:pPr>
            <w:r w:rsidRPr="00A23740">
              <w:rPr>
                <w:rStyle w:val="KIRMIZIChar"/>
                <w:rFonts w:eastAsia="Calibri"/>
              </w:rPr>
              <w:t>(6) (Ek fıkra:9/6/2021-7327/1 md.)</w:t>
            </w:r>
            <w:r w:rsidRPr="00A23740">
              <w:rPr>
                <w:b/>
                <w:bCs/>
                <w:szCs w:val="24"/>
              </w:rPr>
              <w:t> </w:t>
            </w:r>
            <w:r w:rsidRPr="00A23740">
              <w:rPr>
                <w:szCs w:val="24"/>
              </w:rPr>
              <w:t xml:space="preserve">İflâs idare memurları, bilirkişilik bölge kurulları tarafından oluşturulan iflâs idare memurları listesinden seçilir. </w:t>
            </w:r>
            <w:r w:rsidRPr="00A23740">
              <w:rPr>
                <w:rStyle w:val="KIRMIZIChar"/>
                <w:rFonts w:eastAsia="Calibri"/>
              </w:rPr>
              <w:t xml:space="preserve">Bu </w:t>
            </w:r>
            <w:r w:rsidRPr="00A23740">
              <w:rPr>
                <w:rStyle w:val="StilKrmzChar"/>
                <w:rFonts w:eastAsia="Calibri"/>
                <w:lang w:val="tr-TR"/>
              </w:rPr>
              <w:t>şekilde seçilen iflâs idare</w:t>
            </w:r>
            <w:r w:rsidRPr="00A23740">
              <w:rPr>
                <w:szCs w:val="24"/>
              </w:rPr>
              <w:t xml:space="preserve"> memurlar</w:t>
            </w:r>
            <w:r w:rsidRPr="00A23740">
              <w:rPr>
                <w:rStyle w:val="StilKrmzChar"/>
                <w:rFonts w:eastAsia="Calibri"/>
                <w:lang w:val="tr-TR"/>
              </w:rPr>
              <w:t>ın</w:t>
            </w:r>
            <w:r w:rsidRPr="00A23740">
              <w:rPr>
                <w:szCs w:val="24"/>
              </w:rPr>
              <w:t xml:space="preserve">dan birinin yeminli mali müşavir veya serbest muhasebeci mali müşavir, birinin ise hukukçu olması zorunludur. </w:t>
            </w:r>
            <w:r w:rsidRPr="00A23740">
              <w:rPr>
                <w:rStyle w:val="KIRMIZIChar"/>
                <w:rFonts w:eastAsia="Calibri"/>
              </w:rPr>
              <w:t>Listeye kayıt için, Adalet Bakanlığı tarafından izin verilen kurumlardan alınacak eğitimin tamamlanmış olması şarttır. Listede görevlendirilecek memurun bulunmaması hâlinde liste dışından görevlendirme yapılır ve bu durum bölge kuruluna bildirilir. Bir iflâs idare memuru, eş zamanlı olarak beşten fazla dosyada görev alamaz. İflâs idare memurlarının nitelikleri, denetimi, eğitimi, eğitim verecek kurumlar ve eğitimden muaf tutulacaklar ile bu maddenin uygulanmasına ilişkin diğer hususlar Adalet Bakanlığınca yürürlüğe konulan yönetmelikte belirlenir.</w:t>
            </w:r>
          </w:p>
          <w:p w:rsidR="00E807F4" w:rsidRPr="00A23740" w:rsidRDefault="00E807F4" w:rsidP="009431FF">
            <w:pPr>
              <w:tabs>
                <w:tab w:val="left" w:pos="567"/>
              </w:tabs>
              <w:rPr>
                <w:szCs w:val="24"/>
              </w:rPr>
            </w:pPr>
          </w:p>
          <w:p w:rsidR="00AA5C8C" w:rsidRPr="00A23740" w:rsidRDefault="00AE0894" w:rsidP="009431FF">
            <w:pPr>
              <w:tabs>
                <w:tab w:val="left" w:pos="567"/>
              </w:tabs>
              <w:rPr>
                <w:szCs w:val="24"/>
              </w:rPr>
            </w:pPr>
            <w:r>
              <w:rPr>
                <w:b/>
                <w:color w:val="FF0000"/>
                <w:szCs w:val="24"/>
              </w:rPr>
              <w:t>M.223/F6.</w:t>
            </w:r>
            <w:r w:rsidR="00AA5C8C" w:rsidRPr="00A23740">
              <w:rPr>
                <w:b/>
                <w:color w:val="FF0000"/>
                <w:szCs w:val="24"/>
              </w:rPr>
              <w:t>C3:</w:t>
            </w:r>
            <w:r w:rsidR="00AA5C8C" w:rsidRPr="00A23740">
              <w:rPr>
                <w:szCs w:val="24"/>
              </w:rPr>
              <w:t xml:space="preserve"> Listeye kayıt için, Adalet Bakanlığı tarafından izin verilen kurumlardan alınacak eğitimin tamamlanmış olması şarttır. </w:t>
            </w:r>
          </w:p>
          <w:p w:rsidR="00AA5C8C" w:rsidRPr="00A23740" w:rsidRDefault="00AA5C8C" w:rsidP="009431FF">
            <w:pPr>
              <w:tabs>
                <w:tab w:val="left" w:pos="567"/>
              </w:tabs>
              <w:rPr>
                <w:szCs w:val="24"/>
              </w:rPr>
            </w:pPr>
          </w:p>
          <w:p w:rsidR="00AA5C8C" w:rsidRPr="00A23740" w:rsidRDefault="00AE0894" w:rsidP="009431FF">
            <w:pPr>
              <w:tabs>
                <w:tab w:val="left" w:pos="567"/>
              </w:tabs>
              <w:rPr>
                <w:szCs w:val="24"/>
              </w:rPr>
            </w:pPr>
            <w:r>
              <w:rPr>
                <w:b/>
                <w:color w:val="FF0000"/>
                <w:szCs w:val="24"/>
              </w:rPr>
              <w:t>M.223/F6.</w:t>
            </w:r>
            <w:r w:rsidR="00AA5C8C" w:rsidRPr="00A23740">
              <w:rPr>
                <w:b/>
                <w:color w:val="FF0000"/>
                <w:szCs w:val="24"/>
              </w:rPr>
              <w:t>C4:</w:t>
            </w:r>
            <w:r w:rsidR="00AA5C8C" w:rsidRPr="00A23740">
              <w:rPr>
                <w:szCs w:val="24"/>
              </w:rPr>
              <w:t xml:space="preserve"> Listede görevlendirilecek memurun bulunmaması hâlinde liste dışından görevlendirme yapılır ve bu durum bölge kuruluna bildirilir. </w:t>
            </w:r>
          </w:p>
          <w:p w:rsidR="00AA5C8C" w:rsidRPr="00A23740" w:rsidRDefault="00AA5C8C" w:rsidP="009431FF">
            <w:pPr>
              <w:tabs>
                <w:tab w:val="left" w:pos="567"/>
              </w:tabs>
              <w:rPr>
                <w:szCs w:val="24"/>
              </w:rPr>
            </w:pPr>
          </w:p>
          <w:p w:rsidR="00AA5C8C" w:rsidRPr="00A23740" w:rsidRDefault="00AE0894" w:rsidP="009431FF">
            <w:pPr>
              <w:tabs>
                <w:tab w:val="left" w:pos="567"/>
              </w:tabs>
              <w:rPr>
                <w:szCs w:val="24"/>
              </w:rPr>
            </w:pPr>
            <w:r>
              <w:rPr>
                <w:b/>
                <w:color w:val="FF0000"/>
                <w:szCs w:val="24"/>
              </w:rPr>
              <w:t>M.223/F6.</w:t>
            </w:r>
            <w:r w:rsidR="00AA5C8C" w:rsidRPr="00A23740">
              <w:rPr>
                <w:b/>
                <w:color w:val="FF0000"/>
                <w:szCs w:val="24"/>
              </w:rPr>
              <w:t>C5:</w:t>
            </w:r>
            <w:r w:rsidR="00AA5C8C" w:rsidRPr="00A23740">
              <w:rPr>
                <w:szCs w:val="24"/>
              </w:rPr>
              <w:t xml:space="preserve"> Bir iflâs idare memuru, eş zamanlı olarak beşten fazla dosyada görev alamaz. </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E0894" w:rsidP="009431FF">
            <w:pPr>
              <w:tabs>
                <w:tab w:val="left" w:pos="567"/>
              </w:tabs>
              <w:rPr>
                <w:szCs w:val="24"/>
              </w:rPr>
            </w:pPr>
            <w:r>
              <w:rPr>
                <w:b/>
                <w:color w:val="FF0000"/>
                <w:szCs w:val="24"/>
              </w:rPr>
              <w:t>M.223/F6.</w:t>
            </w:r>
            <w:r w:rsidR="00AA5C8C" w:rsidRPr="00A23740">
              <w:rPr>
                <w:b/>
                <w:color w:val="FF0000"/>
                <w:szCs w:val="24"/>
              </w:rPr>
              <w:t>C6:</w:t>
            </w:r>
            <w:r w:rsidR="00AA5C8C" w:rsidRPr="00A23740">
              <w:rPr>
                <w:szCs w:val="24"/>
              </w:rPr>
              <w:t xml:space="preserve"> İflâs idare memurlarının nitelikleri, denetimi, eğitimi, eğitim verecek kurumlar ve eğitimden muaf tutulacaklar ile bu maddenin uygulanmasına ilişkin diğer hususlar Adalet Bakanlığınca </w:t>
            </w:r>
            <w:r w:rsidR="00AA5C8C" w:rsidRPr="00A23740">
              <w:rPr>
                <w:rStyle w:val="KIRMIZIChar"/>
                <w:rFonts w:eastAsia="Calibri"/>
              </w:rPr>
              <w:t>yürürlüğe konulan</w:t>
            </w:r>
            <w:r w:rsidR="00AA5C8C" w:rsidRPr="00A23740">
              <w:rPr>
                <w:szCs w:val="24"/>
              </w:rPr>
              <w:t xml:space="preserve"> yönetmelikte belirlenir.</w:t>
            </w:r>
          </w:p>
        </w:tc>
        <w:tc>
          <w:tcPr>
            <w:tcW w:w="2500" w:type="pct"/>
          </w:tcPr>
          <w:p w:rsidR="00AA5C8C" w:rsidRPr="00A23740" w:rsidRDefault="00AA5C8C" w:rsidP="009431FF">
            <w:pPr>
              <w:pStyle w:val="Mavi"/>
            </w:pPr>
            <w:r w:rsidRPr="00A23740">
              <w:t>İflas idare memurları listesi</w:t>
            </w:r>
          </w:p>
          <w:p w:rsidR="00AA5C8C" w:rsidRPr="00A23740" w:rsidRDefault="00BB2129" w:rsidP="009431FF">
            <w:pPr>
              <w:rPr>
                <w:szCs w:val="24"/>
              </w:rPr>
            </w:pPr>
            <w:r w:rsidRPr="00A23740">
              <w:rPr>
                <w:rStyle w:val="MaviChar"/>
              </w:rPr>
              <w:t>MADDE 337</w:t>
            </w:r>
            <w:r w:rsidR="00AA5C8C" w:rsidRPr="00A23740">
              <w:rPr>
                <w:rStyle w:val="MaviChar"/>
              </w:rPr>
              <w:t>-</w:t>
            </w:r>
            <w:r w:rsidR="00AA5C8C" w:rsidRPr="00A23740">
              <w:rPr>
                <w:rStyle w:val="MAVChar"/>
                <w:rFonts w:eastAsia="Calibri"/>
                <w:u w:val="none"/>
              </w:rPr>
              <w:t xml:space="preserve"> (1)</w:t>
            </w:r>
            <w:r w:rsidR="00AA5C8C" w:rsidRPr="00A23740">
              <w:rPr>
                <w:b/>
                <w:bCs/>
                <w:szCs w:val="24"/>
              </w:rPr>
              <w:t xml:space="preserve"> </w:t>
            </w:r>
            <w:r w:rsidR="00AA5C8C" w:rsidRPr="00A23740">
              <w:rPr>
                <w:szCs w:val="24"/>
              </w:rPr>
              <w:t>İfl</w:t>
            </w:r>
            <w:r w:rsidR="001B2358" w:rsidRPr="00A23740">
              <w:rPr>
                <w:szCs w:val="24"/>
              </w:rPr>
              <w:t>a</w:t>
            </w:r>
            <w:r w:rsidR="00AA5C8C" w:rsidRPr="00A23740">
              <w:rPr>
                <w:szCs w:val="24"/>
              </w:rPr>
              <w:t>s idare memurları, bilirkişilik bölge kurulları tarafından oluşturulan ifl</w:t>
            </w:r>
            <w:r w:rsidR="001B2358" w:rsidRPr="00A23740">
              <w:rPr>
                <w:szCs w:val="24"/>
              </w:rPr>
              <w:t>a</w:t>
            </w:r>
            <w:r w:rsidR="00AA5C8C" w:rsidRPr="00A23740">
              <w:rPr>
                <w:szCs w:val="24"/>
              </w:rPr>
              <w:t xml:space="preserve">s idare memurları listesinden seçilir. </w:t>
            </w:r>
            <w:r w:rsidR="00AA5C8C" w:rsidRPr="00A23740">
              <w:rPr>
                <w:rStyle w:val="MaviChar"/>
                <w:lang w:val="tr-TR"/>
              </w:rPr>
              <w:t>İflas idare</w:t>
            </w:r>
            <w:r w:rsidR="001B2358" w:rsidRPr="00A23740">
              <w:rPr>
                <w:rStyle w:val="MaviChar"/>
                <w:lang w:val="tr-TR"/>
              </w:rPr>
              <w:t>sinin</w:t>
            </w:r>
            <w:r w:rsidR="00AA5C8C" w:rsidRPr="00A23740">
              <w:rPr>
                <w:rStyle w:val="MaviChar"/>
                <w:lang w:val="tr-TR"/>
              </w:rPr>
              <w:t xml:space="preserve"> üç kişiden oluşması h</w:t>
            </w:r>
            <w:r w:rsidR="001B2358" w:rsidRPr="00A23740">
              <w:rPr>
                <w:rStyle w:val="MaviChar"/>
                <w:lang w:val="tr-TR"/>
              </w:rPr>
              <w:t>â</w:t>
            </w:r>
            <w:r w:rsidR="00AA5C8C" w:rsidRPr="00A23740">
              <w:rPr>
                <w:rStyle w:val="MaviChar"/>
                <w:lang w:val="tr-TR"/>
              </w:rPr>
              <w:t>linde,</w:t>
            </w:r>
            <w:r w:rsidR="00AA5C8C" w:rsidRPr="00A23740">
              <w:rPr>
                <w:szCs w:val="24"/>
              </w:rPr>
              <w:t xml:space="preserve"> memurlardan birinin yeminli mali müşavir veya serbest muhasebeci mali müşavir, birinin ise hukukçu olması zorunludur.</w:t>
            </w:r>
            <w:r w:rsidR="001B2358" w:rsidRPr="00A23740">
              <w:rPr>
                <w:szCs w:val="24"/>
              </w:rPr>
              <w:t xml:space="preserve"> </w:t>
            </w:r>
            <w:r w:rsidR="001B2358" w:rsidRPr="00A23740">
              <w:rPr>
                <w:rStyle w:val="Balk1Char"/>
                <w:rFonts w:eastAsia="Calibri"/>
              </w:rPr>
              <w:t>İflas idaresinin bir kişiden ibaret olması hâlinde, bu kişinin hukukçu olması gerekir.</w:t>
            </w:r>
            <w:r w:rsidR="001B2358" w:rsidRPr="00A23740">
              <w:rPr>
                <w:szCs w:val="24"/>
              </w:rPr>
              <w:t xml:space="preserve"> </w:t>
            </w:r>
          </w:p>
          <w:p w:rsidR="00926B95" w:rsidRPr="00A23740" w:rsidRDefault="00926B95" w:rsidP="009431FF">
            <w:pPr>
              <w:rPr>
                <w:szCs w:val="24"/>
              </w:rPr>
            </w:pPr>
          </w:p>
          <w:p w:rsidR="00AA5C8C" w:rsidRPr="00A23740" w:rsidRDefault="00AA5C8C" w:rsidP="009431FF">
            <w:pPr>
              <w:rPr>
                <w:szCs w:val="24"/>
              </w:rPr>
            </w:pPr>
          </w:p>
          <w:p w:rsidR="00483FBF" w:rsidRPr="00A23740" w:rsidRDefault="00483FBF" w:rsidP="009431FF">
            <w:pPr>
              <w:rPr>
                <w:szCs w:val="24"/>
              </w:rPr>
            </w:pPr>
          </w:p>
          <w:p w:rsidR="00AA5C8C" w:rsidRPr="00A23740" w:rsidRDefault="00AA5C8C" w:rsidP="009431FF">
            <w:pPr>
              <w:rPr>
                <w:szCs w:val="24"/>
              </w:rPr>
            </w:pPr>
          </w:p>
          <w:p w:rsidR="00483FBF" w:rsidRPr="00A23740" w:rsidRDefault="00483FBF" w:rsidP="009431FF">
            <w:pPr>
              <w:rPr>
                <w:szCs w:val="24"/>
              </w:rPr>
            </w:pPr>
          </w:p>
          <w:p w:rsidR="00483FBF" w:rsidRPr="00A23740" w:rsidRDefault="00483FBF" w:rsidP="009431FF">
            <w:pPr>
              <w:rPr>
                <w:szCs w:val="24"/>
              </w:rPr>
            </w:pPr>
          </w:p>
          <w:p w:rsidR="00483FBF" w:rsidRPr="00A23740" w:rsidRDefault="00483FBF" w:rsidP="009431FF">
            <w:pPr>
              <w:rPr>
                <w:szCs w:val="24"/>
              </w:rPr>
            </w:pPr>
          </w:p>
          <w:p w:rsidR="00483FBF" w:rsidRPr="00A23740" w:rsidRDefault="00483FBF" w:rsidP="009431FF">
            <w:pPr>
              <w:rPr>
                <w:szCs w:val="24"/>
              </w:rPr>
            </w:pPr>
          </w:p>
          <w:p w:rsidR="00483FBF" w:rsidRDefault="00483FBF" w:rsidP="009431FF">
            <w:pPr>
              <w:rPr>
                <w:szCs w:val="24"/>
              </w:rPr>
            </w:pPr>
          </w:p>
          <w:p w:rsidR="00D74F7C" w:rsidRPr="00A23740" w:rsidRDefault="00D74F7C" w:rsidP="009431FF">
            <w:pPr>
              <w:rPr>
                <w:szCs w:val="24"/>
              </w:rPr>
            </w:pPr>
          </w:p>
          <w:p w:rsidR="00483FBF" w:rsidRPr="00A23740" w:rsidRDefault="00483FBF" w:rsidP="009431FF">
            <w:pPr>
              <w:rPr>
                <w:szCs w:val="24"/>
              </w:rPr>
            </w:pPr>
          </w:p>
          <w:p w:rsidR="00AA5C8C" w:rsidRPr="00A23740" w:rsidRDefault="00AA5C8C" w:rsidP="009431FF">
            <w:pPr>
              <w:rPr>
                <w:szCs w:val="24"/>
              </w:rPr>
            </w:pPr>
            <w:r w:rsidRPr="00A23740">
              <w:rPr>
                <w:rStyle w:val="MaviChar"/>
              </w:rPr>
              <w:t>(2)</w:t>
            </w:r>
            <w:r w:rsidRPr="00A23740">
              <w:rPr>
                <w:szCs w:val="24"/>
              </w:rPr>
              <w:t xml:space="preserve"> Listeye kayıt için Adalet Bakanlığı tarafından izin verilen kurumlardan alınacak eğitimin tamamlanmış olması şarttır. </w:t>
            </w:r>
          </w:p>
          <w:p w:rsidR="00AA5C8C" w:rsidRPr="00A23740" w:rsidRDefault="00AA5C8C" w:rsidP="009431FF">
            <w:pPr>
              <w:rPr>
                <w:szCs w:val="24"/>
              </w:rPr>
            </w:pPr>
          </w:p>
          <w:p w:rsidR="00AA5C8C" w:rsidRPr="00A23740" w:rsidRDefault="00AA5C8C" w:rsidP="009431FF">
            <w:pPr>
              <w:rPr>
                <w:szCs w:val="24"/>
              </w:rPr>
            </w:pPr>
            <w:r w:rsidRPr="00A23740">
              <w:rPr>
                <w:rStyle w:val="MaviChar"/>
              </w:rPr>
              <w:t>(3)</w:t>
            </w:r>
            <w:r w:rsidRPr="00A23740">
              <w:rPr>
                <w:szCs w:val="24"/>
              </w:rPr>
              <w:t xml:space="preserve"> Listede görevlendirilecek memurun bulunmaması hâlinde liste dışından görevlendirme yapılır ve bu durum bölge kuruluna bildirilir.</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rStyle w:val="YELChar"/>
              </w:rPr>
            </w:pPr>
            <w:r w:rsidRPr="00A23740">
              <w:rPr>
                <w:rStyle w:val="MaviChar"/>
              </w:rPr>
              <w:t>(4)</w:t>
            </w:r>
            <w:r w:rsidRPr="00A23740">
              <w:rPr>
                <w:szCs w:val="24"/>
              </w:rPr>
              <w:t xml:space="preserve"> Bir ifl</w:t>
            </w:r>
            <w:r w:rsidR="00356838" w:rsidRPr="00A23740">
              <w:rPr>
                <w:szCs w:val="24"/>
              </w:rPr>
              <w:t>a</w:t>
            </w:r>
            <w:r w:rsidRPr="00A23740">
              <w:rPr>
                <w:szCs w:val="24"/>
              </w:rPr>
              <w:t xml:space="preserve">s idare memuru, eş zamanlı olarak beşten fazla dosyada görev alamaz. </w:t>
            </w:r>
            <w:r w:rsidRPr="00A23740">
              <w:rPr>
                <w:rStyle w:val="MaviChar"/>
              </w:rPr>
              <w:t>Şu kadar ki, aynı hüküm</w:t>
            </w:r>
            <w:r w:rsidR="00356838" w:rsidRPr="00A23740">
              <w:rPr>
                <w:rStyle w:val="MaviChar"/>
                <w:lang w:val="tr-TR"/>
              </w:rPr>
              <w:t>le</w:t>
            </w:r>
            <w:r w:rsidRPr="00A23740">
              <w:rPr>
                <w:rStyle w:val="MaviChar"/>
              </w:rPr>
              <w:t xml:space="preserve"> birden fazla borçlunun iflasına karar verilmişse</w:t>
            </w:r>
            <w:r w:rsidR="00356838" w:rsidRPr="00A23740">
              <w:rPr>
                <w:rStyle w:val="MaviChar"/>
                <w:lang w:val="tr-TR"/>
              </w:rPr>
              <w:t>,</w:t>
            </w:r>
            <w:r w:rsidRPr="00A23740">
              <w:rPr>
                <w:rStyle w:val="MaviChar"/>
              </w:rPr>
              <w:t xml:space="preserve"> dosya sayısının hesaplanmasında bu dosya bir dosya olarak kabul edilir.</w:t>
            </w:r>
          </w:p>
          <w:p w:rsidR="00AA5C8C" w:rsidRPr="00A23740" w:rsidRDefault="00AA5C8C" w:rsidP="009431FF">
            <w:pPr>
              <w:pStyle w:val="YEL"/>
              <w:rPr>
                <w:rStyle w:val="MaviChar"/>
                <w:b/>
              </w:rPr>
            </w:pPr>
          </w:p>
          <w:p w:rsidR="00AA5C8C" w:rsidRPr="00A23740" w:rsidRDefault="00AA5C8C" w:rsidP="009431FF">
            <w:pPr>
              <w:pStyle w:val="YEL"/>
              <w:rPr>
                <w:lang w:val="tr-TR"/>
              </w:rPr>
            </w:pPr>
            <w:r w:rsidRPr="00A23740">
              <w:rPr>
                <w:rStyle w:val="MaviChar"/>
                <w:b/>
              </w:rPr>
              <w:t>(5)</w:t>
            </w:r>
            <w:r w:rsidRPr="00A23740">
              <w:rPr>
                <w:rFonts w:eastAsia="Calibri"/>
                <w:b w:val="0"/>
                <w:color w:val="auto"/>
                <w:lang w:val="tr-TR"/>
              </w:rPr>
              <w:t xml:space="preserve"> İfl</w:t>
            </w:r>
            <w:r w:rsidR="00356838" w:rsidRPr="00A23740">
              <w:rPr>
                <w:rFonts w:eastAsia="Calibri"/>
                <w:b w:val="0"/>
                <w:color w:val="auto"/>
                <w:lang w:val="tr-TR"/>
              </w:rPr>
              <w:t>a</w:t>
            </w:r>
            <w:r w:rsidRPr="00A23740">
              <w:rPr>
                <w:rFonts w:eastAsia="Calibri"/>
                <w:b w:val="0"/>
                <w:color w:val="auto"/>
                <w:lang w:val="tr-TR"/>
              </w:rPr>
              <w:t xml:space="preserve">s idare memurlarının nitelikleri, </w:t>
            </w:r>
            <w:r w:rsidRPr="00A23740">
              <w:rPr>
                <w:rStyle w:val="MaviChar"/>
                <w:b/>
              </w:rPr>
              <w:t xml:space="preserve">yükümlülükleri, </w:t>
            </w:r>
            <w:r w:rsidRPr="00A23740">
              <w:rPr>
                <w:rStyle w:val="MaviChar"/>
                <w:b/>
                <w:lang w:val="tr-TR"/>
              </w:rPr>
              <w:t>denetimi, sorumlulukları, listeden çıkarılma</w:t>
            </w:r>
            <w:r w:rsidR="001747B0" w:rsidRPr="00845E21">
              <w:rPr>
                <w:rStyle w:val="MaviChar"/>
                <w:b/>
              </w:rPr>
              <w:t>ları</w:t>
            </w:r>
            <w:r w:rsidRPr="00845E21">
              <w:rPr>
                <w:rStyle w:val="MaviChar"/>
                <w:b/>
              </w:rPr>
              <w:t xml:space="preserve">, </w:t>
            </w:r>
            <w:r w:rsidRPr="00A23740">
              <w:rPr>
                <w:rStyle w:val="MaviChar"/>
                <w:b/>
              </w:rPr>
              <w:t>uyacakları temel ilkeler,</w:t>
            </w:r>
            <w:r w:rsidRPr="00A23740">
              <w:rPr>
                <w:rFonts w:eastAsia="Calibri"/>
                <w:b w:val="0"/>
                <w:color w:val="auto"/>
                <w:lang w:val="tr-TR"/>
              </w:rPr>
              <w:t xml:space="preserve"> eğitimi, eğitim verecek kurumlar ve eğitimden muaf tutulacaklar</w:t>
            </w:r>
            <w:r w:rsidRPr="00A23740">
              <w:rPr>
                <w:lang w:val="tr-TR"/>
              </w:rPr>
              <w:t xml:space="preserve"> </w:t>
            </w:r>
            <w:r w:rsidRPr="00A23740">
              <w:rPr>
                <w:rFonts w:eastAsia="Calibri"/>
                <w:b w:val="0"/>
                <w:color w:val="auto"/>
                <w:lang w:val="tr-TR"/>
              </w:rPr>
              <w:t xml:space="preserve">ile </w:t>
            </w:r>
            <w:r w:rsidRPr="00A23740">
              <w:rPr>
                <w:rStyle w:val="MaviChar"/>
                <w:b/>
              </w:rPr>
              <w:t>iflas idare memurluğuna ilişkin</w:t>
            </w:r>
            <w:r w:rsidRPr="00A23740">
              <w:rPr>
                <w:rFonts w:eastAsia="Calibri"/>
                <w:b w:val="0"/>
                <w:color w:val="auto"/>
                <w:lang w:val="tr-TR"/>
              </w:rPr>
              <w:t xml:space="preserve"> diğer hususlar</w:t>
            </w:r>
            <w:r w:rsidRPr="00A23740">
              <w:rPr>
                <w:lang w:val="tr-TR"/>
              </w:rPr>
              <w:t xml:space="preserve"> </w:t>
            </w:r>
            <w:r w:rsidRPr="00A23740">
              <w:rPr>
                <w:rFonts w:eastAsia="Calibri"/>
                <w:b w:val="0"/>
                <w:color w:val="auto"/>
                <w:lang w:val="tr-TR"/>
              </w:rPr>
              <w:t xml:space="preserve">Adalet Bakanlığınca </w:t>
            </w:r>
            <w:r w:rsidRPr="00A23740">
              <w:rPr>
                <w:rStyle w:val="MaviChar"/>
                <w:b/>
              </w:rPr>
              <w:t>çıkarılacak</w:t>
            </w:r>
            <w:r w:rsidRPr="00A23740">
              <w:rPr>
                <w:rFonts w:eastAsia="Calibri"/>
                <w:b w:val="0"/>
                <w:color w:val="auto"/>
                <w:lang w:val="tr-TR"/>
              </w:rPr>
              <w:t xml:space="preserve"> yönetmelik</w:t>
            </w:r>
            <w:r w:rsidRPr="00A23740">
              <w:rPr>
                <w:rStyle w:val="MaviChar"/>
                <w:b/>
              </w:rPr>
              <w:t>l</w:t>
            </w:r>
            <w:r w:rsidRPr="00A23740">
              <w:rPr>
                <w:rFonts w:eastAsia="Calibri"/>
                <w:b w:val="0"/>
                <w:color w:val="auto"/>
                <w:lang w:val="tr-TR"/>
              </w:rPr>
              <w:t xml:space="preserve">e </w:t>
            </w:r>
            <w:r w:rsidRPr="00A23740">
              <w:rPr>
                <w:rStyle w:val="MaviChar"/>
                <w:b/>
              </w:rPr>
              <w:t>düzenlenir</w:t>
            </w:r>
            <w:r w:rsidRPr="00A23740">
              <w:rPr>
                <w:rFonts w:eastAsia="Calibri"/>
                <w:b w:val="0"/>
                <w:color w:val="auto"/>
                <w:lang w:val="tr-TR"/>
              </w:rPr>
              <w:t>.</w:t>
            </w:r>
            <w:r w:rsidRPr="00A23740">
              <w:rPr>
                <w:rFonts w:eastAsia="Calibri"/>
                <w:color w:val="0000CC"/>
                <w:lang w:val="tr-TR"/>
              </w:rPr>
              <w:t xml:space="preserve"> </w:t>
            </w:r>
            <w:r w:rsidRPr="00A23740">
              <w:rPr>
                <w:rStyle w:val="MaviChar"/>
                <w:b/>
              </w:rPr>
              <w:t>Temel ilkeler ile yükümlülükler, bu Kanunda yer alan iflas idare memurlarının görev ve yetkilerine ilişkin hükümler dikkate alınmak suretiyle belirlenir.</w:t>
            </w:r>
          </w:p>
          <w:p w:rsidR="00AA5C8C" w:rsidRPr="00A23740" w:rsidRDefault="00AA5C8C" w:rsidP="009431FF">
            <w:pPr>
              <w:pStyle w:val="YEL"/>
              <w:rPr>
                <w:lang w:val="tr-TR"/>
              </w:rPr>
            </w:pPr>
          </w:p>
        </w:tc>
      </w:tr>
      <w:tr w:rsidR="00F97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51372C" w:rsidRPr="00A23740" w:rsidRDefault="0051372C" w:rsidP="009431FF">
            <w:pPr>
              <w:ind w:firstLine="709"/>
              <w:rPr>
                <w:szCs w:val="24"/>
              </w:rPr>
            </w:pPr>
          </w:p>
          <w:p w:rsidR="0051372C" w:rsidRPr="00A23740" w:rsidRDefault="00BB2129" w:rsidP="009431FF">
            <w:pPr>
              <w:pStyle w:val="Mavi"/>
              <w:ind w:firstLine="709"/>
            </w:pPr>
            <w:r w:rsidRPr="00A23740">
              <w:rPr>
                <w:bCs w:val="0"/>
                <w:color w:val="auto"/>
                <w:lang w:val="tr-TR" w:eastAsia="en-US"/>
              </w:rPr>
              <w:t>MADDE 337</w:t>
            </w:r>
            <w:r w:rsidR="0051372C" w:rsidRPr="00A23740">
              <w:rPr>
                <w:bCs w:val="0"/>
                <w:color w:val="auto"/>
                <w:lang w:val="tr-TR" w:eastAsia="en-US"/>
              </w:rPr>
              <w:t>-</w:t>
            </w:r>
            <w:r w:rsidR="0051372C" w:rsidRPr="00A23740">
              <w:rPr>
                <w:b w:val="0"/>
                <w:bCs w:val="0"/>
                <w:color w:val="auto"/>
                <w:lang w:val="tr-TR"/>
              </w:rPr>
              <w:t xml:space="preserve"> </w:t>
            </w:r>
            <w:r w:rsidR="0051372C" w:rsidRPr="00A23740">
              <w:rPr>
                <w:b w:val="0"/>
                <w:bCs w:val="0"/>
                <w:color w:val="auto"/>
                <w:lang w:val="tr-TR" w:eastAsia="en-US"/>
              </w:rPr>
              <w:t>Maddeyle, iflas idare memurları listesi</w:t>
            </w:r>
            <w:r w:rsidR="00356838" w:rsidRPr="00845E21">
              <w:rPr>
                <w:b w:val="0"/>
                <w:color w:val="auto"/>
                <w:lang w:val="tr-TR"/>
              </w:rPr>
              <w:t>ne</w:t>
            </w:r>
            <w:r w:rsidR="0051372C" w:rsidRPr="00845E21">
              <w:rPr>
                <w:b w:val="0"/>
                <w:bCs w:val="0"/>
                <w:color w:val="auto"/>
                <w:lang w:val="tr-TR" w:eastAsia="en-US"/>
              </w:rPr>
              <w:t xml:space="preserve"> </w:t>
            </w:r>
            <w:r w:rsidR="0051372C" w:rsidRPr="00A23740">
              <w:rPr>
                <w:b w:val="0"/>
                <w:bCs w:val="0"/>
                <w:color w:val="auto"/>
                <w:lang w:val="tr-TR" w:eastAsia="en-US"/>
              </w:rPr>
              <w:t>ilişkin hususlar düzenlenmektedir. Hüküm, 2004 sayılı Kanunun 223 üncü maddesine karşılık gelmektedir.</w:t>
            </w:r>
            <w:r w:rsidR="0051372C" w:rsidRPr="00A23740">
              <w:rPr>
                <w:b w:val="0"/>
                <w:bCs w:val="0"/>
                <w:color w:val="auto"/>
                <w:lang w:val="tr-TR"/>
              </w:rPr>
              <w:t xml:space="preserve"> </w:t>
            </w:r>
            <w:r w:rsidR="0051372C" w:rsidRPr="00A23740">
              <w:rPr>
                <w:b w:val="0"/>
                <w:bCs w:val="0"/>
              </w:rPr>
              <w:t xml:space="preserve"> </w:t>
            </w:r>
          </w:p>
          <w:p w:rsidR="00F97472" w:rsidRPr="00A23740" w:rsidRDefault="00F97472" w:rsidP="009431FF">
            <w:pPr>
              <w:ind w:firstLine="709"/>
              <w:rPr>
                <w:color w:val="FFFF00"/>
                <w:szCs w:val="24"/>
              </w:rPr>
            </w:pPr>
            <w:r w:rsidRPr="00A23740">
              <w:rPr>
                <w:szCs w:val="24"/>
              </w:rPr>
              <w:t>Maddenin birinci fıkrasında,</w:t>
            </w:r>
            <w:r w:rsidR="005831BD" w:rsidRPr="00A23740">
              <w:rPr>
                <w:szCs w:val="24"/>
              </w:rPr>
              <w:t xml:space="preserve"> </w:t>
            </w:r>
            <w:r w:rsidR="005831BD" w:rsidRPr="00845E21">
              <w:rPr>
                <w:bCs/>
                <w:szCs w:val="24"/>
              </w:rPr>
              <w:t>336 ncı</w:t>
            </w:r>
            <w:r w:rsidRPr="00A23740">
              <w:rPr>
                <w:szCs w:val="24"/>
              </w:rPr>
              <w:t xml:space="preserve"> madde hükmüne de uygu</w:t>
            </w:r>
            <w:r w:rsidR="00356838" w:rsidRPr="00A23740">
              <w:rPr>
                <w:szCs w:val="24"/>
              </w:rPr>
              <w:t>n</w:t>
            </w:r>
            <w:r w:rsidRPr="00A23740">
              <w:rPr>
                <w:szCs w:val="24"/>
              </w:rPr>
              <w:t xml:space="preserve"> olarak, ifl</w:t>
            </w:r>
            <w:r w:rsidR="00926B95" w:rsidRPr="00A23740">
              <w:rPr>
                <w:szCs w:val="24"/>
              </w:rPr>
              <w:t>a</w:t>
            </w:r>
            <w:r w:rsidRPr="00A23740">
              <w:rPr>
                <w:szCs w:val="24"/>
              </w:rPr>
              <w:t>s idare memurlarının, bilirkişilik bölge kurul</w:t>
            </w:r>
            <w:r w:rsidR="00926B95" w:rsidRPr="00A23740">
              <w:rPr>
                <w:szCs w:val="24"/>
              </w:rPr>
              <w:t>ları tarafından oluşturulan ifla</w:t>
            </w:r>
            <w:r w:rsidRPr="00A23740">
              <w:rPr>
                <w:szCs w:val="24"/>
              </w:rPr>
              <w:t xml:space="preserve">s idare memurları listesinden </w:t>
            </w:r>
            <w:r w:rsidR="00512416" w:rsidRPr="00A23740">
              <w:rPr>
                <w:szCs w:val="24"/>
              </w:rPr>
              <w:t>seçilmesi öngörülmüştür</w:t>
            </w:r>
            <w:r w:rsidRPr="00A23740">
              <w:rPr>
                <w:szCs w:val="24"/>
              </w:rPr>
              <w:t xml:space="preserve">. İflas idare memurlarının bir kişi veya üç kişi olması mümkün kılındığından bununla uyumlu olarak </w:t>
            </w:r>
            <w:r w:rsidRPr="00A23740">
              <w:rPr>
                <w:bCs/>
                <w:szCs w:val="24"/>
              </w:rPr>
              <w:t>i</w:t>
            </w:r>
            <w:r w:rsidRPr="00A23740">
              <w:rPr>
                <w:lang w:val="x-none" w:eastAsia="x-none"/>
              </w:rPr>
              <w:t>flas idare memurlarının üç kişiden oluşması h</w:t>
            </w:r>
            <w:r w:rsidR="00926B95" w:rsidRPr="00A23740">
              <w:rPr>
                <w:lang w:eastAsia="x-none"/>
              </w:rPr>
              <w:t>â</w:t>
            </w:r>
            <w:r w:rsidRPr="00A23740">
              <w:rPr>
                <w:lang w:val="x-none" w:eastAsia="x-none"/>
              </w:rPr>
              <w:t>linde</w:t>
            </w:r>
            <w:r w:rsidRPr="00333897">
              <w:t>,</w:t>
            </w:r>
            <w:r w:rsidRPr="00A23740">
              <w:rPr>
                <w:szCs w:val="24"/>
              </w:rPr>
              <w:t xml:space="preserve"> memurlardan birinin yeminli mali müşavir veya serbest muhasebeci</w:t>
            </w:r>
            <w:r w:rsidR="00512416" w:rsidRPr="00A23740">
              <w:rPr>
                <w:szCs w:val="24"/>
              </w:rPr>
              <w:t>-</w:t>
            </w:r>
            <w:r w:rsidRPr="00A23740">
              <w:rPr>
                <w:szCs w:val="24"/>
              </w:rPr>
              <w:t>mali müşavir, birinin ise hukukçu olması zorun</w:t>
            </w:r>
            <w:r w:rsidR="00356838" w:rsidRPr="00A23740">
              <w:rPr>
                <w:szCs w:val="24"/>
              </w:rPr>
              <w:t>l</w:t>
            </w:r>
            <w:r w:rsidRPr="00A23740">
              <w:rPr>
                <w:szCs w:val="24"/>
              </w:rPr>
              <w:t xml:space="preserve">u kılınmıştır. Zira </w:t>
            </w:r>
            <w:r w:rsidRPr="00A23740">
              <w:rPr>
                <w:bCs/>
                <w:szCs w:val="24"/>
              </w:rPr>
              <w:t>tasfiyenin usulüne uygun olarak ve sağlıklı bir şekilde yapılabilmesi için müflisin özellikle ticari defterlerinin etraflı bir şekilde incelenmesi ve bu defterlerdeki usulsüzlüklerin tespiti gerektiğinde</w:t>
            </w:r>
            <w:r w:rsidR="008C4C44" w:rsidRPr="00A23740">
              <w:rPr>
                <w:bCs/>
                <w:szCs w:val="24"/>
              </w:rPr>
              <w:t>,</w:t>
            </w:r>
            <w:r w:rsidRPr="00A23740">
              <w:rPr>
                <w:bCs/>
                <w:szCs w:val="24"/>
              </w:rPr>
              <w:t xml:space="preserve"> bu konuda iflas idare memurlarından birinin muhasebe bilimi alanında</w:t>
            </w:r>
            <w:r w:rsidRPr="00845E21">
              <w:rPr>
                <w:bCs/>
                <w:szCs w:val="24"/>
              </w:rPr>
              <w:t xml:space="preserve"> uzman olması büyük önem arz edecektir. </w:t>
            </w:r>
            <w:r w:rsidR="00B522FF" w:rsidRPr="00845E21">
              <w:rPr>
                <w:szCs w:val="24"/>
              </w:rPr>
              <w:t>İflas idaresinin tek kişiden oluştuğu durumda bu kişinin hukukçu olması tercih edilmiştir.</w:t>
            </w:r>
          </w:p>
          <w:p w:rsidR="00F97472" w:rsidRPr="00A23740" w:rsidRDefault="00F97472" w:rsidP="009431FF">
            <w:pPr>
              <w:ind w:firstLine="709"/>
              <w:rPr>
                <w:szCs w:val="24"/>
              </w:rPr>
            </w:pPr>
            <w:r w:rsidRPr="00A23740">
              <w:rPr>
                <w:szCs w:val="24"/>
              </w:rPr>
              <w:t>İki</w:t>
            </w:r>
            <w:r w:rsidR="00F65461" w:rsidRPr="00A23740">
              <w:rPr>
                <w:b/>
                <w:color w:val="385623"/>
                <w:szCs w:val="24"/>
              </w:rPr>
              <w:t>nci</w:t>
            </w:r>
            <w:r w:rsidRPr="00A23740">
              <w:rPr>
                <w:szCs w:val="24"/>
              </w:rPr>
              <w:t xml:space="preserve"> ve üçüncü fıkralarda</w:t>
            </w:r>
            <w:r w:rsidR="008C4C44" w:rsidRPr="00A23740">
              <w:rPr>
                <w:szCs w:val="24"/>
              </w:rPr>
              <w:t>,</w:t>
            </w:r>
            <w:r w:rsidRPr="00A23740">
              <w:rPr>
                <w:szCs w:val="24"/>
              </w:rPr>
              <w:t xml:space="preserve"> listeye kayıt için gerekli şart ve liste dışından görevlendirme </w:t>
            </w:r>
            <w:r w:rsidR="0051372C" w:rsidRPr="00A23740">
              <w:rPr>
                <w:szCs w:val="24"/>
              </w:rPr>
              <w:t>yapılması h</w:t>
            </w:r>
            <w:r w:rsidR="00B522FF" w:rsidRPr="00A23740">
              <w:rPr>
                <w:szCs w:val="24"/>
              </w:rPr>
              <w:t>â</w:t>
            </w:r>
            <w:r w:rsidR="0051372C" w:rsidRPr="00A23740">
              <w:rPr>
                <w:szCs w:val="24"/>
              </w:rPr>
              <w:t xml:space="preserve">li düzenlenmiştir. </w:t>
            </w:r>
          </w:p>
          <w:p w:rsidR="00F97472" w:rsidRPr="00A23740" w:rsidRDefault="00F97472" w:rsidP="009431FF">
            <w:pPr>
              <w:ind w:firstLine="709"/>
              <w:rPr>
                <w:b/>
                <w:bCs/>
                <w:color w:val="FFFF00"/>
                <w:lang w:val="x-none" w:eastAsia="x-none"/>
              </w:rPr>
            </w:pPr>
            <w:r w:rsidRPr="00A23740">
              <w:rPr>
                <w:szCs w:val="24"/>
              </w:rPr>
              <w:t>Dördüncü fıkra uyarınca bir ifl</w:t>
            </w:r>
            <w:r w:rsidR="00B522FF" w:rsidRPr="00A23740">
              <w:rPr>
                <w:szCs w:val="24"/>
              </w:rPr>
              <w:t>a</w:t>
            </w:r>
            <w:r w:rsidRPr="00A23740">
              <w:rPr>
                <w:szCs w:val="24"/>
              </w:rPr>
              <w:t>s idare memuru, eş zamanlı olarak beşten fa</w:t>
            </w:r>
            <w:r w:rsidR="003D04A5" w:rsidRPr="00A23740">
              <w:rPr>
                <w:szCs w:val="24"/>
              </w:rPr>
              <w:t>zla dosyada görev alamayacaktır</w:t>
            </w:r>
            <w:r w:rsidR="003D04A5" w:rsidRPr="00845E21">
              <w:rPr>
                <w:bCs/>
                <w:szCs w:val="24"/>
              </w:rPr>
              <w:t>; burada “dosya”</w:t>
            </w:r>
            <w:r w:rsidRPr="00845E21">
              <w:rPr>
                <w:bCs/>
                <w:szCs w:val="24"/>
              </w:rPr>
              <w:t xml:space="preserve"> </w:t>
            </w:r>
            <w:r w:rsidR="003D04A5" w:rsidRPr="00845E21">
              <w:rPr>
                <w:bCs/>
                <w:szCs w:val="24"/>
              </w:rPr>
              <w:t xml:space="preserve">terimiyle kastedilen, </w:t>
            </w:r>
            <w:r w:rsidR="00F65461" w:rsidRPr="00845E21">
              <w:rPr>
                <w:bCs/>
                <w:szCs w:val="24"/>
              </w:rPr>
              <w:t xml:space="preserve">hem </w:t>
            </w:r>
            <w:r w:rsidR="003D04A5" w:rsidRPr="00845E21">
              <w:rPr>
                <w:bCs/>
                <w:szCs w:val="24"/>
              </w:rPr>
              <w:t xml:space="preserve">iflas tasfiyesi dosyası </w:t>
            </w:r>
            <w:r w:rsidR="00F65461" w:rsidRPr="00845E21">
              <w:rPr>
                <w:bCs/>
                <w:szCs w:val="24"/>
              </w:rPr>
              <w:t xml:space="preserve">hem de </w:t>
            </w:r>
            <w:r w:rsidR="003D04A5" w:rsidRPr="00845E21">
              <w:rPr>
                <w:bCs/>
                <w:szCs w:val="24"/>
              </w:rPr>
              <w:t>konkordato dosyasıdır.</w:t>
            </w:r>
            <w:r w:rsidR="003D04A5" w:rsidRPr="00A23740">
              <w:rPr>
                <w:szCs w:val="24"/>
              </w:rPr>
              <w:t xml:space="preserve"> </w:t>
            </w:r>
            <w:r w:rsidRPr="00A23740">
              <w:rPr>
                <w:lang w:val="x-none" w:eastAsia="x-none"/>
              </w:rPr>
              <w:t xml:space="preserve">Şu kadar ki aynı </w:t>
            </w:r>
            <w:r w:rsidR="00B522FF" w:rsidRPr="00845E21">
              <w:rPr>
                <w:bCs/>
                <w:szCs w:val="24"/>
              </w:rPr>
              <w:t>hükümle</w:t>
            </w:r>
            <w:r w:rsidR="00B522FF" w:rsidRPr="00845E21">
              <w:rPr>
                <w:szCs w:val="24"/>
              </w:rPr>
              <w:t xml:space="preserve"> </w:t>
            </w:r>
            <w:r w:rsidRPr="00A23740">
              <w:rPr>
                <w:lang w:val="x-none" w:eastAsia="x-none"/>
              </w:rPr>
              <w:t>birden fazla borçlunun iflasına karar verilmişse</w:t>
            </w:r>
            <w:r w:rsidR="008C4C44" w:rsidRPr="00A23740">
              <w:rPr>
                <w:lang w:eastAsia="x-none"/>
              </w:rPr>
              <w:t>,</w:t>
            </w:r>
            <w:r w:rsidRPr="00A23740">
              <w:rPr>
                <w:lang w:val="x-none" w:eastAsia="x-none"/>
              </w:rPr>
              <w:t xml:space="preserve"> dosya sayısının hesaplanmasında bu dosya bir dosya olarak kabul edilecektir.</w:t>
            </w:r>
            <w:r w:rsidRPr="00A23740">
              <w:rPr>
                <w:b/>
                <w:bCs/>
                <w:lang w:val="x-none" w:eastAsia="x-none"/>
              </w:rPr>
              <w:t xml:space="preserve"> </w:t>
            </w:r>
          </w:p>
          <w:p w:rsidR="00F97472" w:rsidRPr="00A23740" w:rsidRDefault="00F97472" w:rsidP="009431FF">
            <w:pPr>
              <w:ind w:firstLine="709"/>
              <w:rPr>
                <w:lang w:val="x-none" w:eastAsia="x-none"/>
              </w:rPr>
            </w:pPr>
            <w:r w:rsidRPr="00A23740">
              <w:t>Beşinci fıkra ile, ifl</w:t>
            </w:r>
            <w:r w:rsidR="00656C77" w:rsidRPr="00A23740">
              <w:t>a</w:t>
            </w:r>
            <w:r w:rsidRPr="00A23740">
              <w:t xml:space="preserve">s idare memurlarının nitelikleri, </w:t>
            </w:r>
            <w:r w:rsidRPr="00A23740">
              <w:rPr>
                <w:lang w:val="x-none" w:eastAsia="x-none"/>
              </w:rPr>
              <w:t xml:space="preserve">yükümlülükleri, denetimi, sorumlulukları, listeden </w:t>
            </w:r>
            <w:r w:rsidR="00F65461" w:rsidRPr="00845E21">
              <w:rPr>
                <w:lang w:val="x-none" w:eastAsia="x-none"/>
              </w:rPr>
              <w:t>çıkarılmaları,</w:t>
            </w:r>
            <w:r w:rsidR="00F65461" w:rsidRPr="00A23740">
              <w:rPr>
                <w:color w:val="385623"/>
                <w:lang w:eastAsia="x-none"/>
              </w:rPr>
              <w:t xml:space="preserve"> </w:t>
            </w:r>
            <w:r w:rsidRPr="00A23740">
              <w:rPr>
                <w:lang w:val="x-none" w:eastAsia="x-none"/>
              </w:rPr>
              <w:t>uyacakları temel ilkeler,</w:t>
            </w:r>
            <w:r w:rsidRPr="00A23740">
              <w:rPr>
                <w:b/>
                <w:bCs/>
              </w:rPr>
              <w:t xml:space="preserve"> </w:t>
            </w:r>
            <w:r w:rsidRPr="00A23740">
              <w:rPr>
                <w:bCs/>
              </w:rPr>
              <w:t>eğitimi, eğitim verecek kurumlar ve eğitimden muaf tutulacaklar ile</w:t>
            </w:r>
            <w:r w:rsidRPr="00A23740">
              <w:rPr>
                <w:b/>
                <w:bCs/>
              </w:rPr>
              <w:t xml:space="preserve"> </w:t>
            </w:r>
            <w:r w:rsidRPr="00A23740">
              <w:rPr>
                <w:lang w:val="x-none" w:eastAsia="x-none"/>
              </w:rPr>
              <w:t>iflas idare memurluğuna ilişkin</w:t>
            </w:r>
            <w:r w:rsidRPr="00A23740">
              <w:rPr>
                <w:b/>
                <w:bCs/>
              </w:rPr>
              <w:t xml:space="preserve"> </w:t>
            </w:r>
            <w:r w:rsidRPr="00A23740">
              <w:rPr>
                <w:bCs/>
              </w:rPr>
              <w:t>diğer hususların Adalet Bakanlığınca</w:t>
            </w:r>
            <w:r w:rsidRPr="00A23740">
              <w:rPr>
                <w:b/>
                <w:bCs/>
              </w:rPr>
              <w:t xml:space="preserve"> </w:t>
            </w:r>
            <w:r w:rsidRPr="00A23740">
              <w:rPr>
                <w:lang w:val="x-none" w:eastAsia="x-none"/>
              </w:rPr>
              <w:t>çıkarılacak</w:t>
            </w:r>
            <w:r w:rsidRPr="00A23740">
              <w:rPr>
                <w:b/>
                <w:bCs/>
              </w:rPr>
              <w:t xml:space="preserve"> </w:t>
            </w:r>
            <w:r w:rsidRPr="00A23740">
              <w:rPr>
                <w:bCs/>
              </w:rPr>
              <w:t>yönetmelik</w:t>
            </w:r>
            <w:r w:rsidRPr="00A23740">
              <w:rPr>
                <w:lang w:val="x-none" w:eastAsia="x-none"/>
              </w:rPr>
              <w:t>l</w:t>
            </w:r>
            <w:r w:rsidRPr="00A23740">
              <w:rPr>
                <w:bCs/>
              </w:rPr>
              <w:t>e</w:t>
            </w:r>
            <w:r w:rsidRPr="00A23740">
              <w:rPr>
                <w:b/>
                <w:bCs/>
              </w:rPr>
              <w:t xml:space="preserve"> </w:t>
            </w:r>
            <w:r w:rsidRPr="00A23740">
              <w:rPr>
                <w:lang w:val="x-none" w:eastAsia="x-none"/>
              </w:rPr>
              <w:t>düzenleneceği hüküm altına alınmıştır</w:t>
            </w:r>
            <w:r w:rsidRPr="00A23740">
              <w:rPr>
                <w:b/>
                <w:bCs/>
              </w:rPr>
              <w:t xml:space="preserve">. </w:t>
            </w:r>
            <w:r w:rsidRPr="00A23740">
              <w:rPr>
                <w:bCs/>
              </w:rPr>
              <w:t>Bu</w:t>
            </w:r>
            <w:r w:rsidRPr="00A23740">
              <w:rPr>
                <w:b/>
                <w:bCs/>
              </w:rPr>
              <w:t xml:space="preserve"> </w:t>
            </w:r>
            <w:r w:rsidR="00B522FF" w:rsidRPr="00845E21">
              <w:rPr>
                <w:bCs/>
                <w:lang w:eastAsia="x-none"/>
              </w:rPr>
              <w:t>yönetmeliğin</w:t>
            </w:r>
            <w:r w:rsidR="00B522FF" w:rsidRPr="00845E21">
              <w:rPr>
                <w:lang w:eastAsia="x-none"/>
              </w:rPr>
              <w:t xml:space="preserve"> </w:t>
            </w:r>
            <w:r w:rsidRPr="00A23740">
              <w:rPr>
                <w:bCs/>
              </w:rPr>
              <w:t>t</w:t>
            </w:r>
            <w:r w:rsidRPr="00A23740">
              <w:rPr>
                <w:lang w:val="x-none" w:eastAsia="x-none"/>
              </w:rPr>
              <w:t xml:space="preserve">emel </w:t>
            </w:r>
            <w:r w:rsidRPr="00845E21">
              <w:rPr>
                <w:lang w:val="x-none" w:eastAsia="x-none"/>
              </w:rPr>
              <w:t>ilkeler</w:t>
            </w:r>
            <w:r w:rsidR="00B522FF" w:rsidRPr="00845E21">
              <w:rPr>
                <w:bCs/>
                <w:lang w:val="x-none" w:eastAsia="x-none"/>
              </w:rPr>
              <w:t>i</w:t>
            </w:r>
            <w:r w:rsidRPr="00845E21">
              <w:rPr>
                <w:lang w:val="x-none" w:eastAsia="x-none"/>
              </w:rPr>
              <w:t xml:space="preserve"> ile</w:t>
            </w:r>
            <w:r w:rsidRPr="00A23740">
              <w:rPr>
                <w:lang w:val="x-none" w:eastAsia="x-none"/>
              </w:rPr>
              <w:t xml:space="preserve"> </w:t>
            </w:r>
            <w:r w:rsidR="00B522FF" w:rsidRPr="00845E21">
              <w:rPr>
                <w:bCs/>
                <w:lang w:val="x-none" w:eastAsia="x-none"/>
              </w:rPr>
              <w:t>iflas idare memurlarına ait</w:t>
            </w:r>
            <w:r w:rsidR="00B522FF" w:rsidRPr="00845E21">
              <w:rPr>
                <w:lang w:val="x-none" w:eastAsia="x-none"/>
              </w:rPr>
              <w:t xml:space="preserve"> </w:t>
            </w:r>
            <w:r w:rsidRPr="00845E21">
              <w:rPr>
                <w:lang w:val="x-none" w:eastAsia="x-none"/>
              </w:rPr>
              <w:t>yükümlülükler</w:t>
            </w:r>
            <w:r w:rsidRPr="00A23740">
              <w:rPr>
                <w:lang w:val="x-none" w:eastAsia="x-none"/>
              </w:rPr>
              <w:t xml:space="preserve">, bu Kanunda yer alan </w:t>
            </w:r>
            <w:r w:rsidR="008C4C44" w:rsidRPr="00A23740">
              <w:rPr>
                <w:lang w:eastAsia="x-none"/>
              </w:rPr>
              <w:t xml:space="preserve">ve </w:t>
            </w:r>
            <w:r w:rsidRPr="00A23740">
              <w:rPr>
                <w:lang w:val="x-none" w:eastAsia="x-none"/>
              </w:rPr>
              <w:t xml:space="preserve">iflas idare memurlarının görev ve yetkilerine ilişkin </w:t>
            </w:r>
            <w:r w:rsidR="008C4C44" w:rsidRPr="00A23740">
              <w:rPr>
                <w:lang w:eastAsia="x-none"/>
              </w:rPr>
              <w:t xml:space="preserve">olan </w:t>
            </w:r>
            <w:r w:rsidRPr="00A23740">
              <w:rPr>
                <w:lang w:val="x-none" w:eastAsia="x-none"/>
              </w:rPr>
              <w:t>hükümler dikkate alınmak suretiyle belirlenecektir. Bu hü</w:t>
            </w:r>
            <w:r w:rsidR="00B522FF" w:rsidRPr="00A23740">
              <w:rPr>
                <w:lang w:val="x-none" w:eastAsia="x-none"/>
              </w:rPr>
              <w:t>küm</w:t>
            </w:r>
            <w:r w:rsidR="008C4C44" w:rsidRPr="00A23740">
              <w:rPr>
                <w:lang w:eastAsia="x-none"/>
              </w:rPr>
              <w:t>,</w:t>
            </w:r>
            <w:r w:rsidR="00B522FF" w:rsidRPr="00A23740">
              <w:rPr>
                <w:lang w:eastAsia="x-none"/>
              </w:rPr>
              <w:t xml:space="preserve"> </w:t>
            </w:r>
            <w:r w:rsidRPr="00A23740">
              <w:rPr>
                <w:lang w:val="x-none" w:eastAsia="x-none"/>
              </w:rPr>
              <w:t>iflas idaresinin denetimine ve görevi ifasına ilişkin hususlardaki bilirkişilik bölge kurulu denetimi ve</w:t>
            </w:r>
            <w:r w:rsidR="005831BD" w:rsidRPr="00A23740">
              <w:rPr>
                <w:lang w:eastAsia="x-none"/>
              </w:rPr>
              <w:t xml:space="preserve"> </w:t>
            </w:r>
            <w:r w:rsidR="005831BD" w:rsidRPr="00845E21">
              <w:rPr>
                <w:bCs/>
              </w:rPr>
              <w:t>341 inci</w:t>
            </w:r>
            <w:r w:rsidRPr="00A23740">
              <w:rPr>
                <w:lang w:val="x-none" w:eastAsia="x-none"/>
              </w:rPr>
              <w:t xml:space="preserve"> maddeye göre iflas dairesi ve iflas mahkemesinin iflas idaresi üzerindeki denetimi kapsamı dışında kalan hususlara ilişkindir.</w:t>
            </w:r>
          </w:p>
          <w:p w:rsidR="00F97472" w:rsidRPr="00A23740" w:rsidRDefault="00F97472"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E807F4" w:rsidRPr="00A23740" w:rsidRDefault="00E807F4" w:rsidP="009431FF">
            <w:pPr>
              <w:widowControl w:val="0"/>
              <w:tabs>
                <w:tab w:val="left" w:pos="567"/>
              </w:tabs>
              <w:rPr>
                <w:rStyle w:val="KIRMIZIChar"/>
                <w:rFonts w:eastAsia="Calibri"/>
              </w:rPr>
            </w:pPr>
          </w:p>
          <w:p w:rsidR="00AA5C8C" w:rsidRPr="00A23740" w:rsidRDefault="00AA5C8C" w:rsidP="009431FF">
            <w:pPr>
              <w:widowControl w:val="0"/>
              <w:tabs>
                <w:tab w:val="left" w:pos="567"/>
              </w:tabs>
              <w:rPr>
                <w:rStyle w:val="KIRMIZIChar"/>
                <w:rFonts w:eastAsia="Calibri"/>
              </w:rPr>
            </w:pPr>
          </w:p>
          <w:p w:rsidR="00AA5C8C" w:rsidRPr="00A23740" w:rsidRDefault="00AA5C8C" w:rsidP="009431FF">
            <w:pPr>
              <w:widowControl w:val="0"/>
              <w:tabs>
                <w:tab w:val="left" w:pos="567"/>
              </w:tabs>
              <w:rPr>
                <w:szCs w:val="24"/>
              </w:rPr>
            </w:pPr>
            <w:r w:rsidRPr="00A23740">
              <w:rPr>
                <w:rStyle w:val="KIRMIZIChar"/>
                <w:rFonts w:eastAsia="Calibri"/>
              </w:rPr>
              <w:t>İflas idaresi ve</w:t>
            </w:r>
            <w:r w:rsidRPr="00A23740">
              <w:rPr>
                <w:b/>
                <w:strike/>
                <w:color w:val="FF0000"/>
                <w:szCs w:val="24"/>
              </w:rPr>
              <w:t xml:space="preserve"> iflas dairesinin vazifeleri:</w:t>
            </w:r>
          </w:p>
          <w:p w:rsidR="00AA5C8C" w:rsidRPr="00A23740" w:rsidRDefault="00AA5C8C" w:rsidP="009431FF">
            <w:pPr>
              <w:widowControl w:val="0"/>
              <w:tabs>
                <w:tab w:val="left" w:pos="567"/>
              </w:tabs>
              <w:rPr>
                <w:rStyle w:val="KIRMIZIChar"/>
                <w:rFonts w:eastAsia="Calibri"/>
              </w:rPr>
            </w:pPr>
            <w:r w:rsidRPr="00A23740">
              <w:rPr>
                <w:rStyle w:val="KIRMIZIChar"/>
                <w:rFonts w:eastAsia="Calibri"/>
              </w:rPr>
              <w:t>Madde 223 – . . .</w:t>
            </w:r>
          </w:p>
          <w:p w:rsidR="00AA5C8C" w:rsidRPr="00A23740" w:rsidRDefault="00AE0894" w:rsidP="009431FF">
            <w:pPr>
              <w:widowControl w:val="0"/>
              <w:tabs>
                <w:tab w:val="left" w:pos="567"/>
              </w:tabs>
            </w:pPr>
            <w:r>
              <w:rPr>
                <w:b/>
                <w:color w:val="FF0000"/>
                <w:szCs w:val="24"/>
              </w:rPr>
              <w:t>M.223/F6.</w:t>
            </w:r>
            <w:r w:rsidR="00AA5C8C" w:rsidRPr="00A23740">
              <w:rPr>
                <w:b/>
                <w:color w:val="FF0000"/>
                <w:szCs w:val="24"/>
              </w:rPr>
              <w:t>C6:</w:t>
            </w:r>
            <w:r w:rsidR="00AA5C8C" w:rsidRPr="00A23740">
              <w:rPr>
                <w:szCs w:val="24"/>
              </w:rPr>
              <w:t xml:space="preserve"> </w:t>
            </w:r>
            <w:r w:rsidR="00AA5C8C" w:rsidRPr="00A23740">
              <w:t>İflâs idare memurlarının</w:t>
            </w:r>
            <w:r w:rsidR="00AA5C8C" w:rsidRPr="00A23740">
              <w:rPr>
                <w:rStyle w:val="KIRMIZIChar"/>
                <w:rFonts w:eastAsia="Calibri"/>
                <w:strike w:val="0"/>
              </w:rPr>
              <w:t xml:space="preserve"> </w:t>
            </w:r>
            <w:r w:rsidR="00AA5C8C" w:rsidRPr="00A23740">
              <w:rPr>
                <w:rStyle w:val="KIRMIZIChar"/>
                <w:rFonts w:eastAsia="Calibri"/>
              </w:rPr>
              <w:t>nitelikleri,</w:t>
            </w:r>
            <w:r w:rsidR="00AA5C8C" w:rsidRPr="00A23740">
              <w:rPr>
                <w:szCs w:val="24"/>
              </w:rPr>
              <w:t xml:space="preserve"> denetimi, </w:t>
            </w:r>
            <w:r w:rsidR="00AA5C8C" w:rsidRPr="00A23740">
              <w:rPr>
                <w:rStyle w:val="KIRMIZIChar"/>
                <w:rFonts w:eastAsia="Calibri"/>
              </w:rPr>
              <w:t>eğitimi, eğitim verecek kurumlar ve eğitimden muaf tutulacaklar</w:t>
            </w:r>
            <w:r w:rsidR="00AA5C8C" w:rsidRPr="00A23740">
              <w:rPr>
                <w:rStyle w:val="KIRMIZIChar"/>
                <w:rFonts w:eastAsia="Calibri"/>
                <w:strike w:val="0"/>
              </w:rPr>
              <w:t xml:space="preserve"> </w:t>
            </w:r>
            <w:r w:rsidR="00AA5C8C" w:rsidRPr="00A23740">
              <w:t xml:space="preserve">ile bu maddenin uygulanmasına ilişkin diğer hususlar Adalet Bakanlığınca </w:t>
            </w:r>
            <w:r w:rsidR="00AA5C8C" w:rsidRPr="00A23740">
              <w:rPr>
                <w:rStyle w:val="KIRMIZIChar"/>
                <w:rFonts w:eastAsia="Calibri"/>
              </w:rPr>
              <w:t>yürürlüğe konulan</w:t>
            </w:r>
            <w:r w:rsidR="00AA5C8C" w:rsidRPr="00A23740">
              <w:t xml:space="preserve"> yönetmelikte belirlenir.</w:t>
            </w:r>
          </w:p>
          <w:p w:rsidR="00AA5C8C" w:rsidRPr="00A23740" w:rsidRDefault="00AA5C8C" w:rsidP="009431FF">
            <w:pPr>
              <w:widowControl w:val="0"/>
              <w:tabs>
                <w:tab w:val="left" w:pos="567"/>
              </w:tabs>
              <w:rPr>
                <w:rStyle w:val="KIRMIZIChar"/>
                <w:rFonts w:eastAsia="Calibri"/>
              </w:rPr>
            </w:pPr>
          </w:p>
        </w:tc>
        <w:tc>
          <w:tcPr>
            <w:tcW w:w="2500" w:type="pct"/>
          </w:tcPr>
          <w:p w:rsidR="00AA5C8C" w:rsidRPr="00A23740" w:rsidRDefault="00AA5C8C" w:rsidP="009431FF">
            <w:pPr>
              <w:pStyle w:val="Mavi"/>
              <w:widowControl w:val="0"/>
              <w:rPr>
                <w:rStyle w:val="YELChar"/>
                <w:rFonts w:eastAsia="Calibri"/>
                <w:b/>
                <w:color w:val="0000FF"/>
                <w:lang w:eastAsia="x-none"/>
              </w:rPr>
            </w:pPr>
            <w:r w:rsidRPr="00A23740">
              <w:t>Bilirkişilik bölge kurulu</w:t>
            </w:r>
            <w:r w:rsidRPr="00A23740">
              <w:rPr>
                <w:rStyle w:val="YELChar"/>
                <w:b/>
              </w:rPr>
              <w:t xml:space="preserve"> </w:t>
            </w:r>
            <w:r w:rsidRPr="00A23740">
              <w:rPr>
                <w:rStyle w:val="YELChar"/>
                <w:rFonts w:eastAsia="Calibri"/>
                <w:b/>
                <w:color w:val="0000FF"/>
                <w:lang w:eastAsia="x-none"/>
              </w:rPr>
              <w:t>denetim</w:t>
            </w:r>
            <w:r w:rsidRPr="00A23740">
              <w:rPr>
                <w:rStyle w:val="YELChar"/>
                <w:rFonts w:eastAsia="Calibri"/>
                <w:b/>
                <w:color w:val="0000FF"/>
                <w:lang w:val="tr-TR" w:eastAsia="x-none"/>
              </w:rPr>
              <w:t>i</w:t>
            </w:r>
            <w:r w:rsidRPr="00A23740">
              <w:rPr>
                <w:rStyle w:val="YELChar"/>
                <w:rFonts w:eastAsia="Calibri"/>
                <w:b/>
                <w:color w:val="0000FF"/>
                <w:lang w:eastAsia="x-none"/>
              </w:rPr>
              <w:t xml:space="preserve"> ve diğer hususlar</w:t>
            </w:r>
          </w:p>
          <w:p w:rsidR="00AA5C8C" w:rsidRPr="00A23740" w:rsidRDefault="00BB2129" w:rsidP="009431FF">
            <w:pPr>
              <w:pStyle w:val="Mavi"/>
              <w:widowControl w:val="0"/>
            </w:pPr>
            <w:r w:rsidRPr="00A23740">
              <w:t>MADDE 338</w:t>
            </w:r>
            <w:r w:rsidR="00AA5C8C" w:rsidRPr="00A23740">
              <w:t>- (1) İflas idare memurları, görevlerinin mevzuata uygunluğu bakımından bilirkişilik bölge kurulu tarafından resen veya başvuru üzerine denetlenir.</w:t>
            </w:r>
          </w:p>
          <w:p w:rsidR="00AA5C8C" w:rsidRPr="00A23740" w:rsidRDefault="00AA5C8C" w:rsidP="009431FF">
            <w:pPr>
              <w:pStyle w:val="Mavi"/>
              <w:widowControl w:val="0"/>
            </w:pPr>
          </w:p>
          <w:p w:rsidR="00AA5C8C" w:rsidRPr="00A23740" w:rsidRDefault="00AA5C8C" w:rsidP="009431FF">
            <w:pPr>
              <w:pStyle w:val="Mavi"/>
              <w:widowControl w:val="0"/>
            </w:pPr>
            <w:r w:rsidRPr="00A23740">
              <w:t>(2) Bilirkişilik bölge kurulu, aşağıdaki h</w:t>
            </w:r>
            <w:r w:rsidR="00B522FF" w:rsidRPr="00A23740">
              <w:rPr>
                <w:lang w:val="tr-TR"/>
              </w:rPr>
              <w:t>â</w:t>
            </w:r>
            <w:r w:rsidRPr="00A23740">
              <w:t xml:space="preserve">llerden birini tespit ederse ihlalin niteliğine göre uyarma, bir yıla kadar geçici süreyle listeden çıkarma veya tamamen listeden çıkarma yaptırımı uygular ve kesinleşen bu yaptırımı gereği yapılmak üzere </w:t>
            </w:r>
            <w:r w:rsidRPr="00A23740">
              <w:rPr>
                <w:lang w:val="tr-TR"/>
              </w:rPr>
              <w:t xml:space="preserve">iflas idare memurunun </w:t>
            </w:r>
            <w:r w:rsidRPr="00A23740">
              <w:t>görev yaptığı diğer dosyalara bildirir:</w:t>
            </w:r>
          </w:p>
          <w:p w:rsidR="00AA5C8C" w:rsidRPr="00A23740" w:rsidRDefault="00AA5C8C" w:rsidP="009431FF">
            <w:pPr>
              <w:pStyle w:val="Mavi"/>
              <w:widowControl w:val="0"/>
            </w:pPr>
            <w:r w:rsidRPr="00A23740">
              <w:t xml:space="preserve">a) İflas idare memurluğu görevinin gereklerine aykırı işlem ve davranışlarda bulunulması. </w:t>
            </w:r>
          </w:p>
          <w:p w:rsidR="00AA5C8C" w:rsidRPr="00A23740" w:rsidRDefault="00AA5C8C" w:rsidP="009431FF">
            <w:pPr>
              <w:pStyle w:val="Mavi"/>
              <w:widowControl w:val="0"/>
            </w:pPr>
            <w:r w:rsidRPr="00A23740">
              <w:t xml:space="preserve">b) İflas idare memurluğuyla ilgili yükümlülükler ve temel ilkelerle bağdaşmayan tutum ve davranışlar </w:t>
            </w:r>
            <w:r w:rsidR="00040A8D" w:rsidRPr="00845E21">
              <w:t xml:space="preserve">göstererek </w:t>
            </w:r>
            <w:r w:rsidRPr="00A23740">
              <w:t xml:space="preserve">faaliyette bulunulması. </w:t>
            </w:r>
          </w:p>
          <w:p w:rsidR="00AA5C8C" w:rsidRPr="00A23740" w:rsidRDefault="00AA5C8C" w:rsidP="009431FF">
            <w:pPr>
              <w:pStyle w:val="Mavi"/>
              <w:widowControl w:val="0"/>
            </w:pPr>
            <w:r w:rsidRPr="00A23740">
              <w:t xml:space="preserve">c) İflas idare memurluğu görevinin gerektirdiği güven duygusunu sarsıcı tutum ve davranışlarda bulunulması. </w:t>
            </w:r>
          </w:p>
          <w:p w:rsidR="00AA5C8C" w:rsidRPr="00A23740" w:rsidRDefault="00AA5C8C" w:rsidP="009431FF">
            <w:pPr>
              <w:pStyle w:val="Mavi"/>
              <w:widowControl w:val="0"/>
            </w:pPr>
            <w:r w:rsidRPr="00A23740">
              <w:t>ç) Geçerli bir mazeret olmaksızın iflas idare memurluğu görevinin ifasından kaçınılması.</w:t>
            </w:r>
          </w:p>
          <w:p w:rsidR="00AA5C8C" w:rsidRPr="00A23740" w:rsidRDefault="00AA5C8C" w:rsidP="009431FF">
            <w:pPr>
              <w:pStyle w:val="Mavi"/>
              <w:widowControl w:val="0"/>
            </w:pPr>
            <w:r w:rsidRPr="00A23740">
              <w:t xml:space="preserve">(3) Bilirkişilik bölge kurulu, iflas idare </w:t>
            </w:r>
            <w:r w:rsidR="003D04A5" w:rsidRPr="00A23740">
              <w:rPr>
                <w:lang w:val="tr-TR"/>
              </w:rPr>
              <w:t xml:space="preserve">memurları </w:t>
            </w:r>
            <w:r w:rsidRPr="00A23740">
              <w:t>listesi dışından görevlendirilenlerin ikinci fıkrada belirtilen h</w:t>
            </w:r>
            <w:r w:rsidR="003D04A5" w:rsidRPr="00A23740">
              <w:rPr>
                <w:lang w:val="tr-TR"/>
              </w:rPr>
              <w:t>â</w:t>
            </w:r>
            <w:r w:rsidRPr="00A23740">
              <w:t xml:space="preserve">llerini tespit ederse, ihlalin niteliğine göre uyarma, bir yıla kadar geçici süreyle </w:t>
            </w:r>
            <w:r w:rsidRPr="00A23740">
              <w:rPr>
                <w:lang w:val="tr-TR"/>
              </w:rPr>
              <w:t xml:space="preserve">veya sürekli olarak </w:t>
            </w:r>
            <w:r w:rsidRPr="00A23740">
              <w:t xml:space="preserve">iflas idare memurluğu yapmaktan yasaklama </w:t>
            </w:r>
            <w:r w:rsidRPr="00A23740">
              <w:rPr>
                <w:lang w:val="tr-TR"/>
              </w:rPr>
              <w:t>yaptırımlarından birini</w:t>
            </w:r>
            <w:r w:rsidRPr="00A23740">
              <w:t xml:space="preserve"> uygular</w:t>
            </w:r>
            <w:r w:rsidRPr="00A23740">
              <w:rPr>
                <w:lang w:val="tr-TR"/>
              </w:rPr>
              <w:t>;</w:t>
            </w:r>
            <w:r w:rsidRPr="00A23740">
              <w:t xml:space="preserve"> kesinleşen yaptırım</w:t>
            </w:r>
            <w:r w:rsidRPr="00A23740">
              <w:rPr>
                <w:lang w:val="tr-TR"/>
              </w:rPr>
              <w:t>ı</w:t>
            </w:r>
            <w:r w:rsidRPr="00A23740">
              <w:t xml:space="preserve">, gereği yapılmak üzere </w:t>
            </w:r>
            <w:r w:rsidRPr="00A23740">
              <w:rPr>
                <w:lang w:val="tr-TR"/>
              </w:rPr>
              <w:t>iflas idare memurunun</w:t>
            </w:r>
            <w:r w:rsidRPr="00A23740">
              <w:t xml:space="preserve"> görev yaptığı diğer dosyaların ait olduğu mahkemelere bildirir.</w:t>
            </w:r>
          </w:p>
          <w:p w:rsidR="00AA5C8C" w:rsidRPr="00A23740" w:rsidRDefault="00AA5C8C" w:rsidP="009431FF">
            <w:pPr>
              <w:pStyle w:val="Mavi"/>
              <w:widowControl w:val="0"/>
              <w:rPr>
                <w:rStyle w:val="YELChar"/>
              </w:rPr>
            </w:pPr>
          </w:p>
          <w:p w:rsidR="00AA5C8C" w:rsidRPr="00A23740" w:rsidRDefault="00AA5C8C" w:rsidP="009431FF">
            <w:pPr>
              <w:pStyle w:val="Mavi"/>
              <w:widowControl w:val="0"/>
            </w:pPr>
            <w:r w:rsidRPr="00A23740">
              <w:t>(4) Denetim, inceleme ve yaptırımların uygulanma usulü ile bunlara ilişkin diğer hususlar hakkında Bilirkişilik Kanunu hükümleri kıyasen uygulanır.</w:t>
            </w:r>
          </w:p>
          <w:p w:rsidR="00AA5C8C" w:rsidRPr="00A23740" w:rsidRDefault="00AA5C8C" w:rsidP="009431FF">
            <w:pPr>
              <w:widowControl w:val="0"/>
              <w:tabs>
                <w:tab w:val="left" w:pos="567"/>
              </w:tabs>
              <w:rPr>
                <w:rStyle w:val="YELChar"/>
              </w:rPr>
            </w:pPr>
          </w:p>
          <w:p w:rsidR="00AA5C8C" w:rsidRPr="00A23740" w:rsidRDefault="00AA5C8C" w:rsidP="009431FF">
            <w:pPr>
              <w:widowControl w:val="0"/>
              <w:tabs>
                <w:tab w:val="left" w:pos="567"/>
              </w:tabs>
              <w:rPr>
                <w:rStyle w:val="YELChar"/>
              </w:rPr>
            </w:pPr>
            <w:r w:rsidRPr="00A23740">
              <w:rPr>
                <w:rStyle w:val="MaviChar"/>
              </w:rPr>
              <w:t>(5)</w:t>
            </w:r>
            <w:r w:rsidRPr="00A23740">
              <w:rPr>
                <w:szCs w:val="24"/>
              </w:rPr>
              <w:t xml:space="preserve"> </w:t>
            </w:r>
            <w:r w:rsidRPr="00A23740">
              <w:t>İfl</w:t>
            </w:r>
            <w:r w:rsidR="003D04A5" w:rsidRPr="00A23740">
              <w:t>a</w:t>
            </w:r>
            <w:r w:rsidRPr="00A23740">
              <w:t>s idare memurlarının</w:t>
            </w:r>
            <w:r w:rsidRPr="00A23740">
              <w:rPr>
                <w:rStyle w:val="YELChar"/>
              </w:rPr>
              <w:t xml:space="preserve"> </w:t>
            </w:r>
            <w:r w:rsidRPr="00A23740">
              <w:t>denetimi,</w:t>
            </w:r>
            <w:r w:rsidRPr="00A23740">
              <w:rPr>
                <w:rStyle w:val="YELChar"/>
              </w:rPr>
              <w:t xml:space="preserve"> </w:t>
            </w:r>
            <w:r w:rsidRPr="00A23740">
              <w:rPr>
                <w:rStyle w:val="MaviChar"/>
              </w:rPr>
              <w:t>listeden çıkarılması</w:t>
            </w:r>
            <w:r w:rsidRPr="00A23740">
              <w:rPr>
                <w:rStyle w:val="YELChar"/>
              </w:rPr>
              <w:t xml:space="preserve"> </w:t>
            </w:r>
            <w:r w:rsidRPr="00A23740">
              <w:t xml:space="preserve">ile bu maddenin uygulanmasına ilişkin diğer hususlar Adalet Bakanlığınca </w:t>
            </w:r>
            <w:r w:rsidRPr="00A23740">
              <w:rPr>
                <w:rStyle w:val="MaviChar"/>
              </w:rPr>
              <w:t>çıkarılacak</w:t>
            </w:r>
            <w:r w:rsidRPr="00A23740">
              <w:t xml:space="preserve"> yönetmelikte belirlenir.</w:t>
            </w:r>
          </w:p>
          <w:p w:rsidR="00AA5C8C" w:rsidRPr="00A23740" w:rsidRDefault="00AA5C8C" w:rsidP="009431FF">
            <w:pPr>
              <w:widowControl w:val="0"/>
              <w:tabs>
                <w:tab w:val="left" w:pos="567"/>
              </w:tabs>
            </w:pPr>
          </w:p>
          <w:p w:rsidR="00AA5C8C" w:rsidRPr="00A23740" w:rsidRDefault="00AA5C8C" w:rsidP="009431FF">
            <w:pPr>
              <w:pStyle w:val="KIRMIZI"/>
              <w:widowControl w:val="0"/>
            </w:pPr>
          </w:p>
        </w:tc>
      </w:tr>
      <w:tr w:rsidR="00F97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51372C" w:rsidRPr="00A23740" w:rsidRDefault="0051372C" w:rsidP="009431FF">
            <w:pPr>
              <w:pStyle w:val="Mavi"/>
              <w:ind w:firstLine="709"/>
              <w:rPr>
                <w:b w:val="0"/>
                <w:bCs w:val="0"/>
                <w:color w:val="auto"/>
                <w:lang w:val="tr-TR"/>
              </w:rPr>
            </w:pPr>
          </w:p>
          <w:p w:rsidR="0051372C" w:rsidRPr="00A23740" w:rsidRDefault="0051372C" w:rsidP="009431FF">
            <w:pPr>
              <w:pStyle w:val="Mavi"/>
              <w:ind w:firstLine="709"/>
              <w:rPr>
                <w:b w:val="0"/>
                <w:bCs w:val="0"/>
                <w:color w:val="auto"/>
                <w:lang w:val="tr-TR" w:eastAsia="en-US"/>
              </w:rPr>
            </w:pPr>
            <w:r w:rsidRPr="00A23740">
              <w:rPr>
                <w:bCs w:val="0"/>
                <w:color w:val="auto"/>
                <w:lang w:val="tr-TR" w:eastAsia="en-US"/>
              </w:rPr>
              <w:t>M</w:t>
            </w:r>
            <w:r w:rsidR="00BB2129" w:rsidRPr="00A23740">
              <w:rPr>
                <w:bCs w:val="0"/>
                <w:color w:val="auto"/>
                <w:lang w:val="tr-TR" w:eastAsia="en-US"/>
              </w:rPr>
              <w:t>ADDE 338</w:t>
            </w:r>
            <w:r w:rsidRPr="00A23740">
              <w:rPr>
                <w:bCs w:val="0"/>
                <w:color w:val="auto"/>
                <w:lang w:val="tr-TR" w:eastAsia="en-US"/>
              </w:rPr>
              <w:t>-</w:t>
            </w:r>
            <w:r w:rsidRPr="00A23740">
              <w:rPr>
                <w:b w:val="0"/>
                <w:bCs w:val="0"/>
                <w:color w:val="auto"/>
                <w:lang w:val="tr-TR"/>
              </w:rPr>
              <w:t xml:space="preserve"> </w:t>
            </w:r>
            <w:r w:rsidRPr="00A23740">
              <w:rPr>
                <w:b w:val="0"/>
                <w:bCs w:val="0"/>
                <w:color w:val="auto"/>
                <w:lang w:val="tr-TR" w:eastAsia="en-US"/>
              </w:rPr>
              <w:t>Maddeyle, bilirkişilik bölge kurulu</w:t>
            </w:r>
            <w:r w:rsidRPr="00A23740">
              <w:rPr>
                <w:bCs w:val="0"/>
                <w:color w:val="auto"/>
                <w:lang w:val="tr-TR"/>
              </w:rPr>
              <w:t xml:space="preserve"> </w:t>
            </w:r>
            <w:r w:rsidRPr="00A23740">
              <w:rPr>
                <w:b w:val="0"/>
                <w:bCs w:val="0"/>
                <w:color w:val="auto"/>
                <w:lang w:val="tr-TR" w:eastAsia="en-US"/>
              </w:rPr>
              <w:t xml:space="preserve">denetimi ve diğer hususlar düzenlenmektedir. Hüküm, 2004 sayılı Kanunun 223 üncü maddesine kısmen karşılık gelmektedir. </w:t>
            </w:r>
          </w:p>
          <w:p w:rsidR="0051372C" w:rsidRPr="00A23740" w:rsidRDefault="0051372C" w:rsidP="009431FF">
            <w:pPr>
              <w:pStyle w:val="Mavi"/>
              <w:ind w:firstLine="709"/>
              <w:rPr>
                <w:b w:val="0"/>
                <w:bCs w:val="0"/>
                <w:color w:val="auto"/>
                <w:lang w:val="tr-TR"/>
              </w:rPr>
            </w:pPr>
            <w:r w:rsidRPr="00A23740">
              <w:rPr>
                <w:b w:val="0"/>
                <w:bCs w:val="0"/>
                <w:color w:val="auto"/>
                <w:lang w:val="tr-TR"/>
              </w:rPr>
              <w:t>Birinci fıkrayla, iflas idare memurlarının, görevlerinin mevzuata uygunluğu bakımından bilirkişilik bölge kurulu tarafından resen veya başvuru üzerine denetleneceği belirlenmektedir.</w:t>
            </w:r>
          </w:p>
          <w:p w:rsidR="00CD5F4C" w:rsidRPr="00A23740" w:rsidRDefault="0051372C" w:rsidP="009431FF">
            <w:pPr>
              <w:pStyle w:val="Mavi"/>
              <w:ind w:firstLine="709"/>
              <w:rPr>
                <w:b w:val="0"/>
                <w:bCs w:val="0"/>
                <w:color w:val="auto"/>
                <w:lang w:val="tr-TR"/>
              </w:rPr>
            </w:pPr>
            <w:r w:rsidRPr="00A23740">
              <w:rPr>
                <w:b w:val="0"/>
                <w:bCs w:val="0"/>
                <w:color w:val="auto"/>
                <w:lang w:val="tr-TR"/>
              </w:rPr>
              <w:t xml:space="preserve">İkinci fıkrayla, bilirkişilik bölge kurulunun, </w:t>
            </w:r>
            <w:r w:rsidR="00CD5F4C" w:rsidRPr="00A23740">
              <w:rPr>
                <w:b w:val="0"/>
                <w:bCs w:val="0"/>
                <w:color w:val="auto"/>
                <w:lang w:val="tr-TR"/>
              </w:rPr>
              <w:t>fıkrada bentler h</w:t>
            </w:r>
            <w:r w:rsidR="003D04A5" w:rsidRPr="00A23740">
              <w:rPr>
                <w:b w:val="0"/>
                <w:bCs w:val="0"/>
                <w:color w:val="auto"/>
                <w:lang w:val="tr-TR"/>
              </w:rPr>
              <w:t>â</w:t>
            </w:r>
            <w:r w:rsidR="00CD5F4C" w:rsidRPr="00A23740">
              <w:rPr>
                <w:b w:val="0"/>
                <w:bCs w:val="0"/>
                <w:color w:val="auto"/>
                <w:lang w:val="tr-TR"/>
              </w:rPr>
              <w:t>linde belirtilen</w:t>
            </w:r>
            <w:r w:rsidRPr="00A23740">
              <w:rPr>
                <w:b w:val="0"/>
                <w:bCs w:val="0"/>
                <w:color w:val="auto"/>
                <w:lang w:val="tr-TR"/>
              </w:rPr>
              <w:t xml:space="preserve"> h</w:t>
            </w:r>
            <w:r w:rsidR="003D04A5" w:rsidRPr="00A23740">
              <w:rPr>
                <w:b w:val="0"/>
                <w:bCs w:val="0"/>
                <w:color w:val="auto"/>
                <w:lang w:val="tr-TR"/>
              </w:rPr>
              <w:t>â</w:t>
            </w:r>
            <w:r w:rsidRPr="00A23740">
              <w:rPr>
                <w:b w:val="0"/>
                <w:bCs w:val="0"/>
                <w:color w:val="auto"/>
                <w:lang w:val="tr-TR"/>
              </w:rPr>
              <w:t>llerden birini tespit ederse ihlalin niteliğine göre uyarma, bir yıla kadar geçici süreyle listeden çıkarma veya tamamen li</w:t>
            </w:r>
            <w:r w:rsidR="00CD5F4C" w:rsidRPr="00A23740">
              <w:rPr>
                <w:b w:val="0"/>
                <w:bCs w:val="0"/>
                <w:color w:val="auto"/>
                <w:lang w:val="tr-TR"/>
              </w:rPr>
              <w:t>steden çıkarma yaptırımı</w:t>
            </w:r>
            <w:r w:rsidR="00B5342C" w:rsidRPr="00A23740">
              <w:rPr>
                <w:b w:val="0"/>
                <w:bCs w:val="0"/>
                <w:color w:val="auto"/>
                <w:lang w:val="tr-TR"/>
              </w:rPr>
              <w:t>nı</w:t>
            </w:r>
            <w:r w:rsidR="00CD5F4C" w:rsidRPr="00A23740">
              <w:rPr>
                <w:b w:val="0"/>
                <w:bCs w:val="0"/>
                <w:color w:val="auto"/>
                <w:lang w:val="tr-TR"/>
              </w:rPr>
              <w:t xml:space="preserve"> uygulayacağı</w:t>
            </w:r>
            <w:r w:rsidRPr="00A23740">
              <w:rPr>
                <w:b w:val="0"/>
                <w:bCs w:val="0"/>
                <w:color w:val="auto"/>
                <w:lang w:val="tr-TR"/>
              </w:rPr>
              <w:t xml:space="preserve"> ve kesinleşen bu yaptırımı gereği yapılmak üzere iflas idare memurunun görev </w:t>
            </w:r>
            <w:r w:rsidR="00CD5F4C" w:rsidRPr="00A23740">
              <w:rPr>
                <w:b w:val="0"/>
                <w:bCs w:val="0"/>
                <w:color w:val="auto"/>
                <w:lang w:val="tr-TR"/>
              </w:rPr>
              <w:t xml:space="preserve">yaptığı diğer dosyalara bildireceği hüküm altına alınmaktadır. </w:t>
            </w:r>
          </w:p>
          <w:p w:rsidR="00CD5F4C" w:rsidRPr="00A23740" w:rsidRDefault="00CD5F4C" w:rsidP="009431FF">
            <w:pPr>
              <w:pStyle w:val="Mavi"/>
              <w:ind w:firstLine="709"/>
              <w:rPr>
                <w:b w:val="0"/>
                <w:bCs w:val="0"/>
                <w:color w:val="auto"/>
                <w:lang w:val="tr-TR"/>
              </w:rPr>
            </w:pPr>
            <w:r w:rsidRPr="00A23740">
              <w:rPr>
                <w:b w:val="0"/>
                <w:bCs w:val="0"/>
                <w:color w:val="auto"/>
                <w:lang w:val="tr-TR"/>
              </w:rPr>
              <w:t xml:space="preserve">(a) bendinde, iflas </w:t>
            </w:r>
            <w:r w:rsidR="0051372C" w:rsidRPr="00A23740">
              <w:rPr>
                <w:b w:val="0"/>
                <w:bCs w:val="0"/>
                <w:color w:val="auto"/>
                <w:lang w:val="tr-TR"/>
              </w:rPr>
              <w:t>idare memurluğu görevinin gereklerine aykırı işl</w:t>
            </w:r>
            <w:r w:rsidRPr="00A23740">
              <w:rPr>
                <w:b w:val="0"/>
                <w:bCs w:val="0"/>
                <w:color w:val="auto"/>
                <w:lang w:val="tr-TR"/>
              </w:rPr>
              <w:t>em ve davranışlarda bulunulması h</w:t>
            </w:r>
            <w:r w:rsidR="009D574E" w:rsidRPr="00A23740">
              <w:rPr>
                <w:b w:val="0"/>
                <w:bCs w:val="0"/>
                <w:color w:val="auto"/>
                <w:lang w:val="tr-TR"/>
              </w:rPr>
              <w:t>â</w:t>
            </w:r>
            <w:r w:rsidRPr="00A23740">
              <w:rPr>
                <w:b w:val="0"/>
                <w:bCs w:val="0"/>
                <w:color w:val="auto"/>
                <w:lang w:val="tr-TR"/>
              </w:rPr>
              <w:t xml:space="preserve">li yer almaktadır. </w:t>
            </w:r>
          </w:p>
          <w:p w:rsidR="00CD5F4C" w:rsidRPr="00A23740" w:rsidRDefault="00CD5F4C" w:rsidP="009431FF">
            <w:pPr>
              <w:pStyle w:val="Mavi"/>
              <w:ind w:firstLine="709"/>
              <w:rPr>
                <w:b w:val="0"/>
                <w:bCs w:val="0"/>
                <w:color w:val="auto"/>
                <w:lang w:val="tr-TR"/>
              </w:rPr>
            </w:pPr>
            <w:r w:rsidRPr="00A23740">
              <w:rPr>
                <w:b w:val="0"/>
                <w:bCs w:val="0"/>
                <w:color w:val="auto"/>
                <w:lang w:val="tr-TR"/>
              </w:rPr>
              <w:t>(</w:t>
            </w:r>
            <w:r w:rsidR="0051372C" w:rsidRPr="00A23740">
              <w:rPr>
                <w:b w:val="0"/>
                <w:bCs w:val="0"/>
                <w:color w:val="auto"/>
                <w:lang w:val="tr-TR"/>
              </w:rPr>
              <w:t xml:space="preserve">b) </w:t>
            </w:r>
            <w:r w:rsidRPr="00A23740">
              <w:rPr>
                <w:b w:val="0"/>
                <w:bCs w:val="0"/>
                <w:color w:val="auto"/>
                <w:lang w:val="tr-TR"/>
              </w:rPr>
              <w:t xml:space="preserve">bendinde, iflas </w:t>
            </w:r>
            <w:r w:rsidR="0051372C" w:rsidRPr="00A23740">
              <w:rPr>
                <w:b w:val="0"/>
                <w:bCs w:val="0"/>
                <w:color w:val="auto"/>
                <w:lang w:val="tr-TR"/>
              </w:rPr>
              <w:t>idare memurluğuyla ilgili yükümlülükler ve temel ilkelerle bağdaşmayan tutum ve davranı</w:t>
            </w:r>
            <w:r w:rsidRPr="00A23740">
              <w:rPr>
                <w:b w:val="0"/>
                <w:bCs w:val="0"/>
                <w:color w:val="auto"/>
                <w:lang w:val="tr-TR"/>
              </w:rPr>
              <w:t xml:space="preserve">şlar </w:t>
            </w:r>
            <w:r w:rsidR="00B5342C" w:rsidRPr="00A23740">
              <w:rPr>
                <w:b w:val="0"/>
                <w:bCs w:val="0"/>
                <w:color w:val="auto"/>
                <w:lang w:val="tr-TR"/>
              </w:rPr>
              <w:t xml:space="preserve">içinde </w:t>
            </w:r>
            <w:r w:rsidRPr="00A23740">
              <w:rPr>
                <w:b w:val="0"/>
                <w:bCs w:val="0"/>
                <w:color w:val="auto"/>
                <w:lang w:val="tr-TR"/>
              </w:rPr>
              <w:t>faaliyette bulunulması h</w:t>
            </w:r>
            <w:r w:rsidR="003D04A5" w:rsidRPr="00A23740">
              <w:rPr>
                <w:b w:val="0"/>
                <w:bCs w:val="0"/>
                <w:color w:val="auto"/>
                <w:lang w:val="tr-TR"/>
              </w:rPr>
              <w:t>â</w:t>
            </w:r>
            <w:r w:rsidRPr="00A23740">
              <w:rPr>
                <w:b w:val="0"/>
                <w:bCs w:val="0"/>
                <w:color w:val="auto"/>
                <w:lang w:val="tr-TR"/>
              </w:rPr>
              <w:t xml:space="preserve">li yer almaktadır. </w:t>
            </w:r>
            <w:r w:rsidR="0051372C" w:rsidRPr="00A23740">
              <w:rPr>
                <w:b w:val="0"/>
                <w:bCs w:val="0"/>
                <w:color w:val="auto"/>
                <w:lang w:val="tr-TR"/>
              </w:rPr>
              <w:t xml:space="preserve"> </w:t>
            </w:r>
          </w:p>
          <w:p w:rsidR="00CD5F4C" w:rsidRPr="00A23740" w:rsidRDefault="00CD5F4C" w:rsidP="009431FF">
            <w:pPr>
              <w:pStyle w:val="Mavi"/>
              <w:ind w:firstLine="709"/>
              <w:rPr>
                <w:b w:val="0"/>
                <w:bCs w:val="0"/>
                <w:color w:val="auto"/>
                <w:lang w:val="tr-TR"/>
              </w:rPr>
            </w:pPr>
            <w:r w:rsidRPr="00A23740">
              <w:rPr>
                <w:b w:val="0"/>
                <w:bCs w:val="0"/>
                <w:color w:val="auto"/>
                <w:lang w:val="tr-TR"/>
              </w:rPr>
              <w:t>(</w:t>
            </w:r>
            <w:r w:rsidR="0051372C" w:rsidRPr="00A23740">
              <w:rPr>
                <w:b w:val="0"/>
                <w:bCs w:val="0"/>
                <w:color w:val="auto"/>
                <w:lang w:val="tr-TR"/>
              </w:rPr>
              <w:t>c)</w:t>
            </w:r>
            <w:r w:rsidRPr="00A23740">
              <w:rPr>
                <w:b w:val="0"/>
                <w:bCs w:val="0"/>
                <w:color w:val="auto"/>
                <w:lang w:val="tr-TR"/>
              </w:rPr>
              <w:t xml:space="preserve"> bendinde, </w:t>
            </w:r>
            <w:r w:rsidR="0051372C" w:rsidRPr="00A23740">
              <w:rPr>
                <w:b w:val="0"/>
                <w:bCs w:val="0"/>
                <w:color w:val="auto"/>
                <w:lang w:val="tr-TR"/>
              </w:rPr>
              <w:t xml:space="preserve"> </w:t>
            </w:r>
            <w:r w:rsidRPr="00A23740">
              <w:rPr>
                <w:b w:val="0"/>
                <w:bCs w:val="0"/>
                <w:color w:val="auto"/>
                <w:lang w:val="tr-TR"/>
              </w:rPr>
              <w:t xml:space="preserve">iflas </w:t>
            </w:r>
            <w:r w:rsidR="0051372C" w:rsidRPr="00A23740">
              <w:rPr>
                <w:b w:val="0"/>
                <w:bCs w:val="0"/>
                <w:color w:val="auto"/>
                <w:lang w:val="tr-TR"/>
              </w:rPr>
              <w:t>idare memurluğu görevinin gerektirdiği güven duygusunu sarsıcı tutu</w:t>
            </w:r>
            <w:r w:rsidRPr="00A23740">
              <w:rPr>
                <w:b w:val="0"/>
                <w:bCs w:val="0"/>
                <w:color w:val="auto"/>
                <w:lang w:val="tr-TR"/>
              </w:rPr>
              <w:t>m ve davranışlarda bulunulması h</w:t>
            </w:r>
            <w:r w:rsidR="003D04A5" w:rsidRPr="00A23740">
              <w:rPr>
                <w:b w:val="0"/>
                <w:bCs w:val="0"/>
                <w:color w:val="auto"/>
                <w:lang w:val="tr-TR"/>
              </w:rPr>
              <w:t>â</w:t>
            </w:r>
            <w:r w:rsidRPr="00A23740">
              <w:rPr>
                <w:b w:val="0"/>
                <w:bCs w:val="0"/>
                <w:color w:val="auto"/>
                <w:lang w:val="tr-TR"/>
              </w:rPr>
              <w:t xml:space="preserve">li yer almaktadır. </w:t>
            </w:r>
          </w:p>
          <w:p w:rsidR="00CD5F4C" w:rsidRPr="00A23740" w:rsidRDefault="00CD5F4C" w:rsidP="009431FF">
            <w:pPr>
              <w:pStyle w:val="Mavi"/>
              <w:ind w:firstLine="709"/>
              <w:rPr>
                <w:b w:val="0"/>
                <w:bCs w:val="0"/>
                <w:color w:val="auto"/>
                <w:lang w:val="tr-TR"/>
              </w:rPr>
            </w:pPr>
            <w:r w:rsidRPr="00A23740">
              <w:rPr>
                <w:b w:val="0"/>
                <w:bCs w:val="0"/>
                <w:color w:val="auto"/>
                <w:lang w:val="tr-TR"/>
              </w:rPr>
              <w:t>(</w:t>
            </w:r>
            <w:r w:rsidR="0051372C" w:rsidRPr="00A23740">
              <w:rPr>
                <w:b w:val="0"/>
                <w:bCs w:val="0"/>
                <w:color w:val="auto"/>
                <w:lang w:val="tr-TR"/>
              </w:rPr>
              <w:t>ç)</w:t>
            </w:r>
            <w:r w:rsidRPr="00A23740">
              <w:rPr>
                <w:b w:val="0"/>
                <w:bCs w:val="0"/>
                <w:color w:val="auto"/>
                <w:lang w:val="tr-TR"/>
              </w:rPr>
              <w:t xml:space="preserve"> bendinde, </w:t>
            </w:r>
            <w:r w:rsidR="0051372C" w:rsidRPr="00A23740">
              <w:rPr>
                <w:b w:val="0"/>
                <w:bCs w:val="0"/>
                <w:color w:val="auto"/>
                <w:lang w:val="tr-TR"/>
              </w:rPr>
              <w:t xml:space="preserve"> </w:t>
            </w:r>
            <w:r w:rsidRPr="00A23740">
              <w:rPr>
                <w:b w:val="0"/>
                <w:bCs w:val="0"/>
                <w:color w:val="auto"/>
                <w:lang w:val="tr-TR"/>
              </w:rPr>
              <w:t xml:space="preserve">geçerli </w:t>
            </w:r>
            <w:r w:rsidR="0051372C" w:rsidRPr="00A23740">
              <w:rPr>
                <w:b w:val="0"/>
                <w:bCs w:val="0"/>
                <w:color w:val="auto"/>
                <w:lang w:val="tr-TR"/>
              </w:rPr>
              <w:t>bir mazeret olmaksızın iflas idare memurluğu görevinin ifasından</w:t>
            </w:r>
            <w:r w:rsidRPr="00A23740">
              <w:rPr>
                <w:b w:val="0"/>
                <w:bCs w:val="0"/>
                <w:color w:val="auto"/>
                <w:lang w:val="tr-TR"/>
              </w:rPr>
              <w:t xml:space="preserve"> kaçınılması h</w:t>
            </w:r>
            <w:r w:rsidR="003D04A5" w:rsidRPr="00A23740">
              <w:rPr>
                <w:b w:val="0"/>
                <w:bCs w:val="0"/>
                <w:color w:val="auto"/>
                <w:lang w:val="tr-TR"/>
              </w:rPr>
              <w:t>â</w:t>
            </w:r>
            <w:r w:rsidRPr="00A23740">
              <w:rPr>
                <w:b w:val="0"/>
                <w:bCs w:val="0"/>
                <w:color w:val="auto"/>
                <w:lang w:val="tr-TR"/>
              </w:rPr>
              <w:t>li yer almaktadır.</w:t>
            </w:r>
          </w:p>
          <w:p w:rsidR="00CD5F4C" w:rsidRPr="00A23740" w:rsidRDefault="00CD5F4C" w:rsidP="009431FF">
            <w:pPr>
              <w:pStyle w:val="Mavi"/>
              <w:ind w:firstLine="709"/>
              <w:rPr>
                <w:b w:val="0"/>
                <w:bCs w:val="0"/>
                <w:color w:val="auto"/>
                <w:lang w:val="tr-TR"/>
              </w:rPr>
            </w:pPr>
            <w:r w:rsidRPr="00A23740">
              <w:rPr>
                <w:b w:val="0"/>
                <w:bCs w:val="0"/>
                <w:color w:val="auto"/>
                <w:lang w:val="tr-TR"/>
              </w:rPr>
              <w:t xml:space="preserve">Üçüncü fıkraya göre bilirkişilik </w:t>
            </w:r>
            <w:r w:rsidR="0051372C" w:rsidRPr="00A23740">
              <w:rPr>
                <w:b w:val="0"/>
                <w:bCs w:val="0"/>
                <w:color w:val="auto"/>
                <w:lang w:val="tr-TR"/>
              </w:rPr>
              <w:t xml:space="preserve">bölge kurulu, iflas idare </w:t>
            </w:r>
            <w:r w:rsidR="003D04A5" w:rsidRPr="00845E21">
              <w:rPr>
                <w:b w:val="0"/>
                <w:color w:val="auto"/>
                <w:lang w:val="tr-TR"/>
              </w:rPr>
              <w:t>memurları</w:t>
            </w:r>
            <w:r w:rsidR="003D04A5" w:rsidRPr="00845E21">
              <w:rPr>
                <w:b w:val="0"/>
                <w:bCs w:val="0"/>
                <w:color w:val="auto"/>
                <w:lang w:val="tr-TR"/>
              </w:rPr>
              <w:t xml:space="preserve"> </w:t>
            </w:r>
            <w:r w:rsidR="0051372C" w:rsidRPr="00A23740">
              <w:rPr>
                <w:b w:val="0"/>
                <w:bCs w:val="0"/>
                <w:color w:val="auto"/>
                <w:lang w:val="tr-TR"/>
              </w:rPr>
              <w:t>listesi dışından görevlendirilenlerin ikinci fıkrada belirtilen h</w:t>
            </w:r>
            <w:r w:rsidR="003D04A5" w:rsidRPr="00A23740">
              <w:rPr>
                <w:b w:val="0"/>
                <w:bCs w:val="0"/>
                <w:color w:val="auto"/>
                <w:lang w:val="tr-TR"/>
              </w:rPr>
              <w:t>â</w:t>
            </w:r>
            <w:r w:rsidR="0051372C" w:rsidRPr="00A23740">
              <w:rPr>
                <w:b w:val="0"/>
                <w:bCs w:val="0"/>
                <w:color w:val="auto"/>
                <w:lang w:val="tr-TR"/>
              </w:rPr>
              <w:t>llerini tespit ederse, ihlalin niteliğine göre uyarma, bir yıla kadar geçici süreyle veya sürekli olarak iflas idare memurluğu yapmaktan yasaklama yaptırımlarından birini uygular; kesinleşen yaptırımı, gereği yapılmak üzere iflas idare memurunun görev yaptığı diğer dosyaların ait olduğu mahkemelere bildirir.</w:t>
            </w:r>
          </w:p>
          <w:p w:rsidR="00CD5F4C" w:rsidRPr="00A23740" w:rsidRDefault="00CD5F4C" w:rsidP="009431FF">
            <w:pPr>
              <w:pStyle w:val="Mavi"/>
              <w:ind w:firstLine="709"/>
              <w:rPr>
                <w:b w:val="0"/>
                <w:bCs w:val="0"/>
                <w:color w:val="auto"/>
                <w:lang w:val="tr-TR"/>
              </w:rPr>
            </w:pPr>
            <w:r w:rsidRPr="00A23740">
              <w:rPr>
                <w:b w:val="0"/>
                <w:bCs w:val="0"/>
                <w:color w:val="auto"/>
                <w:lang w:val="tr-TR"/>
              </w:rPr>
              <w:t>Dördüncü fıkrayla, denetim</w:t>
            </w:r>
            <w:r w:rsidR="0051372C" w:rsidRPr="00A23740">
              <w:rPr>
                <w:b w:val="0"/>
                <w:bCs w:val="0"/>
                <w:color w:val="auto"/>
                <w:lang w:val="tr-TR"/>
              </w:rPr>
              <w:t xml:space="preserve">, inceleme ve yaptırımların uygulanma </w:t>
            </w:r>
            <w:r w:rsidR="003D04A5" w:rsidRPr="00845E21">
              <w:rPr>
                <w:b w:val="0"/>
                <w:color w:val="auto"/>
                <w:lang w:val="tr-TR"/>
              </w:rPr>
              <w:t>usulüyle</w:t>
            </w:r>
            <w:r w:rsidR="003D04A5" w:rsidRPr="00845E21">
              <w:rPr>
                <w:b w:val="0"/>
                <w:bCs w:val="0"/>
                <w:color w:val="auto"/>
                <w:lang w:val="tr-TR"/>
              </w:rPr>
              <w:t xml:space="preserve"> </w:t>
            </w:r>
            <w:r w:rsidR="0051372C" w:rsidRPr="00A23740">
              <w:rPr>
                <w:b w:val="0"/>
                <w:bCs w:val="0"/>
                <w:color w:val="auto"/>
                <w:lang w:val="tr-TR"/>
              </w:rPr>
              <w:t>bunlara ilişkin diğer hususlar hakkında</w:t>
            </w:r>
            <w:r w:rsidRPr="00A23740">
              <w:rPr>
                <w:b w:val="0"/>
                <w:bCs w:val="0"/>
                <w:color w:val="auto"/>
                <w:lang w:val="tr-TR"/>
              </w:rPr>
              <w:t xml:space="preserve"> Bilirkişilik Kanunu hükümlerinin </w:t>
            </w:r>
            <w:r w:rsidR="0051372C" w:rsidRPr="00A23740">
              <w:rPr>
                <w:b w:val="0"/>
                <w:bCs w:val="0"/>
                <w:color w:val="auto"/>
                <w:lang w:val="tr-TR"/>
              </w:rPr>
              <w:t xml:space="preserve">kıyasen </w:t>
            </w:r>
            <w:r w:rsidRPr="00A23740">
              <w:rPr>
                <w:b w:val="0"/>
                <w:bCs w:val="0"/>
                <w:color w:val="auto"/>
                <w:lang w:val="tr-TR"/>
              </w:rPr>
              <w:t>uygulanacağı hükme bağlanmaktadır.</w:t>
            </w:r>
          </w:p>
          <w:p w:rsidR="0051372C" w:rsidRPr="00A23740" w:rsidRDefault="00CD5F4C" w:rsidP="009431FF">
            <w:pPr>
              <w:pStyle w:val="Mavi"/>
              <w:ind w:firstLine="709"/>
              <w:rPr>
                <w:b w:val="0"/>
                <w:bCs w:val="0"/>
                <w:color w:val="auto"/>
                <w:lang w:val="tr-TR"/>
              </w:rPr>
            </w:pPr>
            <w:r w:rsidRPr="00A23740">
              <w:rPr>
                <w:b w:val="0"/>
                <w:bCs w:val="0"/>
                <w:color w:val="auto"/>
                <w:lang w:val="tr-TR"/>
              </w:rPr>
              <w:t>Beşinci fıkraya göre, ifl</w:t>
            </w:r>
            <w:r w:rsidR="003D04A5" w:rsidRPr="00A23740">
              <w:rPr>
                <w:b w:val="0"/>
                <w:bCs w:val="0"/>
                <w:color w:val="auto"/>
                <w:lang w:val="tr-TR"/>
              </w:rPr>
              <w:t>a</w:t>
            </w:r>
            <w:r w:rsidRPr="00A23740">
              <w:rPr>
                <w:b w:val="0"/>
                <w:bCs w:val="0"/>
                <w:color w:val="auto"/>
                <w:lang w:val="tr-TR"/>
              </w:rPr>
              <w:t xml:space="preserve">s </w:t>
            </w:r>
            <w:r w:rsidR="0051372C" w:rsidRPr="00A23740">
              <w:rPr>
                <w:b w:val="0"/>
                <w:bCs w:val="0"/>
                <w:color w:val="auto"/>
                <w:lang w:val="tr-TR"/>
              </w:rPr>
              <w:t>idare memurlarının denetimi, listeden çıkarılması ile bu maddenin uygulanmasına ilişkin diğer hususlar</w:t>
            </w:r>
            <w:r w:rsidR="00B5342C" w:rsidRPr="00A23740">
              <w:rPr>
                <w:b w:val="0"/>
                <w:bCs w:val="0"/>
                <w:color w:val="auto"/>
                <w:lang w:val="tr-TR"/>
              </w:rPr>
              <w:t>ın</w:t>
            </w:r>
            <w:r w:rsidR="0051372C" w:rsidRPr="00A23740">
              <w:rPr>
                <w:b w:val="0"/>
                <w:bCs w:val="0"/>
                <w:color w:val="auto"/>
                <w:lang w:val="tr-TR"/>
              </w:rPr>
              <w:t xml:space="preserve"> Adalet Bakanlığınca çıkarılacak</w:t>
            </w:r>
            <w:r w:rsidRPr="00A23740">
              <w:rPr>
                <w:b w:val="0"/>
                <w:bCs w:val="0"/>
                <w:color w:val="auto"/>
                <w:lang w:val="tr-TR"/>
              </w:rPr>
              <w:t xml:space="preserve"> yönetmelik</w:t>
            </w:r>
            <w:r w:rsidR="00B5342C" w:rsidRPr="00A23740">
              <w:rPr>
                <w:b w:val="0"/>
                <w:bCs w:val="0"/>
                <w:color w:val="auto"/>
                <w:lang w:val="tr-TR"/>
              </w:rPr>
              <w:t>le</w:t>
            </w:r>
            <w:r w:rsidRPr="00A23740">
              <w:rPr>
                <w:b w:val="0"/>
                <w:bCs w:val="0"/>
                <w:color w:val="auto"/>
                <w:lang w:val="tr-TR"/>
              </w:rPr>
              <w:t xml:space="preserve"> belirlenece</w:t>
            </w:r>
            <w:r w:rsidR="00B5342C" w:rsidRPr="00A23740">
              <w:rPr>
                <w:b w:val="0"/>
                <w:bCs w:val="0"/>
                <w:color w:val="auto"/>
                <w:lang w:val="tr-TR"/>
              </w:rPr>
              <w:t>ği açıklanmaktadır</w:t>
            </w:r>
            <w:r w:rsidRPr="00A23740">
              <w:rPr>
                <w:b w:val="0"/>
                <w:bCs w:val="0"/>
                <w:color w:val="auto"/>
                <w:lang w:val="tr-TR"/>
              </w:rPr>
              <w:t>.</w:t>
            </w:r>
          </w:p>
          <w:p w:rsidR="00F97472" w:rsidRPr="00A23740" w:rsidRDefault="00F97472"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szCs w:val="24"/>
              </w:rPr>
              <w:t xml:space="preserve">İflas idaresi </w:t>
            </w:r>
            <w:r w:rsidRPr="00A23740">
              <w:rPr>
                <w:b/>
                <w:strike/>
                <w:color w:val="FF0000"/>
                <w:szCs w:val="24"/>
              </w:rPr>
              <w:t xml:space="preserve">ve </w:t>
            </w:r>
            <w:r w:rsidRPr="00A23740">
              <w:rPr>
                <w:rStyle w:val="KIRMIZIChar"/>
                <w:rFonts w:eastAsia="Calibri"/>
              </w:rPr>
              <w:t>iflas daire</w:t>
            </w:r>
            <w:r w:rsidRPr="00A23740">
              <w:rPr>
                <w:b/>
                <w:strike/>
                <w:color w:val="FF0000"/>
                <w:szCs w:val="24"/>
              </w:rPr>
              <w:t>sinin vazifeleri:</w:t>
            </w:r>
          </w:p>
          <w:p w:rsidR="00AA5C8C" w:rsidRPr="00A23740" w:rsidRDefault="00AA5C8C" w:rsidP="009431FF">
            <w:pPr>
              <w:tabs>
                <w:tab w:val="left" w:pos="567"/>
              </w:tabs>
              <w:rPr>
                <w:b/>
                <w:strike/>
                <w:color w:val="FF0000"/>
                <w:szCs w:val="24"/>
              </w:rPr>
            </w:pPr>
            <w:r w:rsidRPr="00A23740">
              <w:rPr>
                <w:rStyle w:val="StilKrmzChar"/>
                <w:rFonts w:eastAsia="Calibri"/>
                <w:lang w:val="tr-TR"/>
              </w:rPr>
              <w:t>Madde 223</w:t>
            </w:r>
            <w:r w:rsidRPr="00A23740">
              <w:rPr>
                <w:b/>
                <w:strike/>
                <w:color w:val="FF0000"/>
                <w:szCs w:val="24"/>
              </w:rPr>
              <w:t xml:space="preserve"> – (1) (Değişik: 6/6/1985 - 3222/26 md.)</w:t>
            </w:r>
          </w:p>
          <w:p w:rsidR="00AA5C8C" w:rsidRPr="00A23740" w:rsidRDefault="00AA5C8C" w:rsidP="009431FF">
            <w:pPr>
              <w:tabs>
                <w:tab w:val="left" w:pos="567"/>
              </w:tabs>
              <w:rPr>
                <w:b/>
                <w:strike/>
                <w:color w:val="FF0000"/>
                <w:szCs w:val="24"/>
              </w:rPr>
            </w:pPr>
            <w:r w:rsidRPr="00A23740">
              <w:rPr>
                <w:b/>
                <w:strike/>
                <w:color w:val="FF0000"/>
                <w:szCs w:val="24"/>
              </w:rPr>
              <w:t>…</w:t>
            </w:r>
          </w:p>
          <w:p w:rsidR="00AA5C8C" w:rsidRPr="00A23740" w:rsidRDefault="00AA5C8C" w:rsidP="009431FF">
            <w:pPr>
              <w:rPr>
                <w:szCs w:val="24"/>
              </w:rPr>
            </w:pPr>
            <w:r w:rsidRPr="00A23740">
              <w:rPr>
                <w:b/>
                <w:strike/>
                <w:color w:val="FF0000"/>
                <w:szCs w:val="24"/>
              </w:rPr>
              <w:t xml:space="preserve">(2) </w:t>
            </w:r>
            <w:r w:rsidRPr="00A23740">
              <w:rPr>
                <w:szCs w:val="24"/>
              </w:rPr>
              <w:t>Tasfiye, iflas</w:t>
            </w:r>
            <w:r w:rsidRPr="00A23740">
              <w:rPr>
                <w:b/>
                <w:bCs/>
                <w:szCs w:val="24"/>
              </w:rPr>
              <w:t xml:space="preserve"> </w:t>
            </w:r>
            <w:r w:rsidRPr="00A23740">
              <w:rPr>
                <w:szCs w:val="24"/>
              </w:rPr>
              <w:t>dairesi</w:t>
            </w:r>
            <w:r w:rsidRPr="00A23740">
              <w:rPr>
                <w:rStyle w:val="StilKrmzChar"/>
                <w:rFonts w:eastAsia="Calibri"/>
                <w:lang w:val="tr-TR"/>
              </w:rPr>
              <w:t>nce, yukarıdaki fıkraya göre teşkil edilen</w:t>
            </w:r>
            <w:r w:rsidRPr="00A23740">
              <w:rPr>
                <w:rStyle w:val="Balk3Char"/>
                <w:rFonts w:eastAsia="Calibri"/>
              </w:rPr>
              <w:t xml:space="preserve"> </w:t>
            </w:r>
            <w:r w:rsidRPr="00A23740">
              <w:rPr>
                <w:szCs w:val="24"/>
              </w:rPr>
              <w:t xml:space="preserve">iflas idaresine </w:t>
            </w:r>
            <w:r w:rsidRPr="00A23740">
              <w:rPr>
                <w:rStyle w:val="KIRMIZIChar"/>
                <w:rFonts w:eastAsia="Calibri"/>
              </w:rPr>
              <w:t>havale olunur.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İflas idaresinin</w:t>
            </w:r>
            <w:r w:rsidRPr="00A23740">
              <w:rPr>
                <w:szCs w:val="24"/>
              </w:rPr>
              <w:t xml:space="preserve"> </w:t>
            </w:r>
            <w:r w:rsidRPr="00A23740">
              <w:rPr>
                <w:b/>
                <w:strike/>
                <w:color w:val="FF0000"/>
                <w:szCs w:val="24"/>
              </w:rPr>
              <w:t>vazifesi:</w:t>
            </w:r>
          </w:p>
          <w:p w:rsidR="00AA5C8C" w:rsidRPr="00A23740" w:rsidRDefault="00AA5C8C" w:rsidP="009431FF">
            <w:r w:rsidRPr="00A23740">
              <w:rPr>
                <w:rStyle w:val="StilKrmzChar"/>
                <w:rFonts w:eastAsia="Calibri"/>
                <w:lang w:val="tr-TR"/>
              </w:rPr>
              <w:t>Madde 226 –</w:t>
            </w:r>
            <w:r w:rsidRPr="00A23740">
              <w:rPr>
                <w:b/>
                <w:szCs w:val="24"/>
              </w:rPr>
              <w:t xml:space="preserve"> </w:t>
            </w:r>
            <w:r w:rsidRPr="00A23740">
              <w:rPr>
                <w:rStyle w:val="KIRMIZIChar"/>
                <w:rFonts w:eastAsia="Calibri"/>
              </w:rPr>
              <w:t xml:space="preserve">(1) Masanın kanuni mümessili iflas idaresidir. İdare </w:t>
            </w:r>
            <w:r w:rsidRPr="00A23740">
              <w:rPr>
                <w:szCs w:val="24"/>
              </w:rPr>
              <w:t>masanın menfaatlerini  gözetmek</w:t>
            </w:r>
            <w:r w:rsidRPr="00A23740">
              <w:rPr>
                <w:rStyle w:val="KIRMIZIChar"/>
                <w:rFonts w:eastAsia="Calibri"/>
              </w:rPr>
              <w:t xml:space="preserve"> ve tasfiyeyi yapmakla mükelleftir.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E807F4" w:rsidRPr="00A23740" w:rsidRDefault="00E807F4"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(2) (Değişik: 6/6/1985 - 3222/27 md.)</w:t>
            </w:r>
            <w:r w:rsidRPr="00A23740">
              <w:rPr>
                <w:szCs w:val="24"/>
              </w:rPr>
              <w:t xml:space="preserve"> İdare, </w:t>
            </w:r>
            <w:r w:rsidRPr="00A23740">
              <w:rPr>
                <w:rStyle w:val="KIRMIZIChar"/>
                <w:rFonts w:eastAsia="Calibri"/>
              </w:rPr>
              <w:t>i</w:t>
            </w:r>
            <w:r w:rsidRPr="00A23740">
              <w:rPr>
                <w:b/>
                <w:strike/>
                <w:color w:val="FF0000"/>
                <w:szCs w:val="24"/>
              </w:rPr>
              <w:t>kimilyar</w:t>
            </w:r>
            <w:r w:rsidRPr="00A23740">
              <w:rPr>
                <w:szCs w:val="24"/>
              </w:rPr>
              <w:t xml:space="preserve"> lira</w:t>
            </w:r>
            <w:r w:rsidRPr="00A23740">
              <w:rPr>
                <w:b/>
                <w:strike/>
                <w:color w:val="FF0000"/>
                <w:szCs w:val="24"/>
              </w:rPr>
              <w:t>ya</w:t>
            </w:r>
            <w:r w:rsidRPr="00A23740">
              <w:rPr>
                <w:b/>
                <w:color w:val="FF0000"/>
                <w:szCs w:val="24"/>
              </w:rPr>
              <w:t xml:space="preserve"> </w:t>
            </w:r>
            <w:r w:rsidRPr="00A23740">
              <w:rPr>
                <w:szCs w:val="24"/>
              </w:rPr>
              <w:t>kadar olan alacaklarda</w:t>
            </w:r>
            <w:r w:rsidRPr="00A23740">
              <w:rPr>
                <w:b/>
                <w:strike/>
                <w:color w:val="FF0000"/>
                <w:szCs w:val="24"/>
              </w:rPr>
              <w:t>n</w:t>
            </w:r>
            <w:r w:rsidRPr="00A23740">
              <w:rPr>
                <w:szCs w:val="24"/>
              </w:rPr>
              <w:t xml:space="preserve"> doğrudan doğruya, daha </w:t>
            </w:r>
            <w:r w:rsidRPr="00A23740">
              <w:rPr>
                <w:b/>
                <w:strike/>
                <w:color w:val="FF0000"/>
                <w:szCs w:val="24"/>
              </w:rPr>
              <w:t>ziyade</w:t>
            </w:r>
            <w:r w:rsidRPr="00A23740">
              <w:rPr>
                <w:szCs w:val="24"/>
              </w:rPr>
              <w:t xml:space="preserve"> alacaklarda</w:t>
            </w:r>
            <w:r w:rsidRPr="00A23740">
              <w:rPr>
                <w:b/>
                <w:strike/>
                <w:color w:val="FF0000"/>
                <w:szCs w:val="24"/>
              </w:rPr>
              <w:t xml:space="preserve">n </w:t>
            </w:r>
            <w:r w:rsidRPr="00A23740">
              <w:rPr>
                <w:szCs w:val="24"/>
              </w:rPr>
              <w:t xml:space="preserve">alacaklılar </w:t>
            </w:r>
            <w:r w:rsidRPr="00A23740">
              <w:rPr>
                <w:rStyle w:val="KIRMIZIChar"/>
                <w:rFonts w:eastAsia="Calibri"/>
              </w:rPr>
              <w:t>toplanmasının</w:t>
            </w:r>
            <w:r w:rsidRPr="00A23740">
              <w:rPr>
                <w:szCs w:val="24"/>
              </w:rPr>
              <w:t xml:space="preserve"> vereceği yetkiyle sulh olabilir ve tahkim yapabilir.</w:t>
            </w:r>
          </w:p>
          <w:p w:rsidR="00AA5C8C" w:rsidRPr="00A23740" w:rsidRDefault="00AA5C8C" w:rsidP="009431FF">
            <w:pPr>
              <w:tabs>
                <w:tab w:val="left" w:pos="567"/>
              </w:tabs>
              <w:rPr>
                <w:b/>
                <w:strike/>
                <w:color w:val="FF0000"/>
                <w:szCs w:val="24"/>
              </w:rPr>
            </w:pPr>
          </w:p>
          <w:p w:rsidR="00AA5C8C" w:rsidRPr="00A23740" w:rsidRDefault="00AA5C8C" w:rsidP="009431FF">
            <w:pPr>
              <w:pStyle w:val="KIRMIZI"/>
              <w:rPr>
                <w:lang w:val="tr-TR"/>
              </w:rPr>
            </w:pPr>
            <w:r w:rsidRPr="00A23740">
              <w:rPr>
                <w:lang w:val="tr-TR"/>
              </w:rPr>
              <w:t>İflas idaresinin vazife ve mes’uliyeti:</w:t>
            </w:r>
          </w:p>
          <w:p w:rsidR="00AA5C8C" w:rsidRPr="00A23740" w:rsidRDefault="00AA5C8C" w:rsidP="009431FF">
            <w:pPr>
              <w:pStyle w:val="KIRMIZI"/>
              <w:rPr>
                <w:lang w:val="tr-TR"/>
              </w:rPr>
            </w:pPr>
            <w:r w:rsidRPr="00A23740">
              <w:rPr>
                <w:lang w:val="tr-TR"/>
              </w:rPr>
              <w:t xml:space="preserve">Madde 227 – </w:t>
            </w:r>
            <w:r w:rsidRPr="00A23740">
              <w:rPr>
                <w:rStyle w:val="KIRMIZIChar"/>
                <w:rFonts w:eastAsia="Calibri"/>
                <w:lang w:val="tr-TR"/>
              </w:rPr>
              <w:t>(1)</w:t>
            </w:r>
            <w:r w:rsidRPr="00A23740">
              <w:rPr>
                <w:color w:val="000000"/>
                <w:lang w:val="tr-TR" w:eastAsia="tr-TR"/>
              </w:rPr>
              <w:t xml:space="preserve"> </w:t>
            </w:r>
            <w:r w:rsidRPr="00A23740">
              <w:rPr>
                <w:lang w:val="tr-TR"/>
              </w:rPr>
              <w:t>(Değişik: 6/6/1985-3222/28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 xml:space="preserve">8 </w:t>
            </w:r>
            <w:r w:rsidRPr="00A23740">
              <w:rPr>
                <w:rStyle w:val="StilKrmzChar"/>
                <w:rFonts w:eastAsia="Calibri"/>
                <w:lang w:val="tr-TR" w:eastAsia="tr-TR"/>
              </w:rPr>
              <w:t>inci maddenin bir ve ikinci fıkraları ve</w:t>
            </w:r>
            <w:r w:rsidRPr="00A23740">
              <w:rPr>
                <w:rFonts w:eastAsia="Times New Roman"/>
                <w:color w:val="000000"/>
                <w:szCs w:val="24"/>
                <w:lang w:eastAsia="tr-TR"/>
              </w:rPr>
              <w:t xml:space="preserve"> 9,11,16 ve 359 uncu maddelerin icra dairelerine ait hükümleri iflas idaresi hakkında da uygulanır. </w:t>
            </w:r>
            <w:r w:rsidRPr="00A23740">
              <w:rPr>
                <w:rStyle w:val="KIRMIZIChar"/>
                <w:rFonts w:eastAsia="Calibri"/>
                <w:lang w:eastAsia="tr-TR"/>
              </w:rPr>
              <w:t>(Ek cümle: 28/2/2018-7101/9 md.)</w:t>
            </w:r>
            <w:r w:rsidRPr="00A23740">
              <w:rPr>
                <w:rFonts w:eastAsia="Times New Roman"/>
                <w:b/>
                <w:bCs/>
                <w:color w:val="000000"/>
                <w:szCs w:val="24"/>
                <w:lang w:eastAsia="tr-TR"/>
              </w:rPr>
              <w:t> </w:t>
            </w:r>
            <w:r w:rsidRPr="00A23740">
              <w:rPr>
                <w:rFonts w:eastAsia="Times New Roman"/>
                <w:color w:val="000000"/>
                <w:szCs w:val="24"/>
                <w:lang w:eastAsia="tr-TR"/>
              </w:rPr>
              <w:t>İflâs idaresi, iflâs masasına kabul edilen alacaklılara, talepleri hâlinde iflâs tasfiyesi</w:t>
            </w:r>
            <w:r w:rsidRPr="00A23740">
              <w:rPr>
                <w:rStyle w:val="KIRMIZIChar"/>
                <w:rFonts w:eastAsia="Calibri"/>
                <w:lang w:eastAsia="tr-TR"/>
              </w:rPr>
              <w:t>nin</w:t>
            </w:r>
            <w:r w:rsidRPr="00A23740">
              <w:rPr>
                <w:rFonts w:eastAsia="Times New Roman"/>
                <w:color w:val="000000"/>
                <w:szCs w:val="24"/>
                <w:lang w:eastAsia="tr-TR"/>
              </w:rPr>
              <w:t xml:space="preserve"> </w:t>
            </w:r>
            <w:r w:rsidRPr="00A23740">
              <w:rPr>
                <w:rStyle w:val="KIRMIZIChar"/>
                <w:rFonts w:eastAsia="Calibri"/>
                <w:lang w:eastAsia="tr-TR"/>
              </w:rPr>
              <w:t>seyri ile müteakip işlemlerin planı ve takvimi</w:t>
            </w:r>
            <w:r w:rsidRPr="00A23740">
              <w:rPr>
                <w:rFonts w:eastAsia="Times New Roman"/>
                <w:color w:val="000000"/>
                <w:szCs w:val="24"/>
                <w:lang w:eastAsia="tr-TR"/>
              </w:rPr>
              <w:t xml:space="preserve"> hakkında bilgi vermekle yükümlüdür.</w:t>
            </w:r>
          </w:p>
          <w:p w:rsidR="00AA5C8C" w:rsidRPr="00A23740" w:rsidRDefault="00AA5C8C" w:rsidP="009431FF">
            <w:pPr>
              <w:rPr>
                <w:szCs w:val="24"/>
              </w:rPr>
            </w:pPr>
          </w:p>
          <w:p w:rsidR="00AA5C8C" w:rsidRPr="00A23740" w:rsidRDefault="00AE0894" w:rsidP="009431FF">
            <w:pPr>
              <w:rPr>
                <w:rFonts w:eastAsia="Times New Roman"/>
                <w:color w:val="000000"/>
                <w:szCs w:val="24"/>
                <w:lang w:eastAsia="tr-TR"/>
              </w:rPr>
            </w:pPr>
            <w:r>
              <w:rPr>
                <w:rFonts w:eastAsia="Times New Roman"/>
                <w:b/>
                <w:color w:val="FF0000"/>
                <w:szCs w:val="24"/>
                <w:lang w:eastAsia="tr-TR"/>
              </w:rPr>
              <w:t>M.227/F1.C</w:t>
            </w:r>
            <w:r w:rsidR="00AA5C8C" w:rsidRPr="00A23740">
              <w:rPr>
                <w:rFonts w:eastAsia="Times New Roman"/>
                <w:b/>
                <w:color w:val="FF0000"/>
                <w:szCs w:val="24"/>
                <w:lang w:eastAsia="tr-TR"/>
              </w:rPr>
              <w:t>1:</w:t>
            </w:r>
            <w:r w:rsidR="00AA5C8C" w:rsidRPr="00A23740">
              <w:rPr>
                <w:rFonts w:eastAsia="Times New Roman"/>
                <w:color w:val="000000"/>
                <w:szCs w:val="24"/>
                <w:lang w:eastAsia="tr-TR"/>
              </w:rPr>
              <w:t xml:space="preserve"> İflâs idaresi, iflâs masasına kabul edilen alacaklılara, talepleri hâlinde iflâs tasfiyesi</w:t>
            </w:r>
            <w:r w:rsidR="00AA5C8C" w:rsidRPr="00A23740">
              <w:rPr>
                <w:rStyle w:val="KIRMIZIChar"/>
                <w:rFonts w:eastAsia="Calibri"/>
                <w:lang w:eastAsia="tr-TR"/>
              </w:rPr>
              <w:t>nin</w:t>
            </w:r>
            <w:r w:rsidR="00AA5C8C" w:rsidRPr="00A23740">
              <w:rPr>
                <w:rFonts w:eastAsia="Times New Roman"/>
                <w:color w:val="000000"/>
                <w:szCs w:val="24"/>
                <w:lang w:eastAsia="tr-TR"/>
              </w:rPr>
              <w:t xml:space="preserve"> </w:t>
            </w:r>
            <w:r w:rsidR="00AA5C8C" w:rsidRPr="00A23740">
              <w:rPr>
                <w:rStyle w:val="KIRMIZIChar"/>
                <w:rFonts w:eastAsia="Calibri"/>
                <w:lang w:eastAsia="tr-TR"/>
              </w:rPr>
              <w:t>seyri ile müteakip işlemlerin planı ve takvimi</w:t>
            </w:r>
            <w:r w:rsidR="00AA5C8C" w:rsidRPr="00A23740">
              <w:rPr>
                <w:rFonts w:eastAsia="Times New Roman"/>
                <w:color w:val="000000"/>
                <w:szCs w:val="24"/>
                <w:lang w:eastAsia="tr-TR"/>
              </w:rPr>
              <w:t xml:space="preserve"> hakkında bilgi vermekle yükümlüdür.</w:t>
            </w:r>
          </w:p>
          <w:p w:rsidR="00AA5C8C" w:rsidRPr="00A23740" w:rsidRDefault="00AA5C8C" w:rsidP="009431FF">
            <w:pPr>
              <w:rPr>
                <w:szCs w:val="24"/>
              </w:rPr>
            </w:pPr>
          </w:p>
        </w:tc>
        <w:tc>
          <w:tcPr>
            <w:tcW w:w="2500" w:type="pct"/>
          </w:tcPr>
          <w:p w:rsidR="00AA5C8C" w:rsidRPr="00A23740" w:rsidRDefault="00AA5C8C" w:rsidP="009431FF">
            <w:pPr>
              <w:tabs>
                <w:tab w:val="left" w:pos="567"/>
              </w:tabs>
              <w:rPr>
                <w:b/>
                <w:color w:val="0000FF"/>
                <w:szCs w:val="24"/>
              </w:rPr>
            </w:pPr>
            <w:r w:rsidRPr="00A23740">
              <w:rPr>
                <w:b/>
                <w:szCs w:val="24"/>
              </w:rPr>
              <w:t>İflas</w:t>
            </w:r>
            <w:r w:rsidRPr="00A23740">
              <w:rPr>
                <w:rStyle w:val="Balk3Char"/>
                <w:rFonts w:eastAsia="Calibri"/>
                <w:b w:val="0"/>
              </w:rPr>
              <w:t xml:space="preserve"> </w:t>
            </w:r>
            <w:r w:rsidRPr="00A23740">
              <w:rPr>
                <w:b/>
                <w:szCs w:val="24"/>
              </w:rPr>
              <w:t>idaresi</w:t>
            </w:r>
            <w:r w:rsidRPr="00A23740">
              <w:rPr>
                <w:b/>
                <w:color w:val="0000FF"/>
                <w:szCs w:val="24"/>
              </w:rPr>
              <w:t>nin görev ve yetkileri</w:t>
            </w:r>
          </w:p>
          <w:p w:rsidR="00073308" w:rsidRPr="00A23740" w:rsidRDefault="00073308" w:rsidP="009431FF">
            <w:pPr>
              <w:rPr>
                <w:b/>
                <w:color w:val="0000FF"/>
                <w:szCs w:val="24"/>
              </w:rPr>
            </w:pPr>
          </w:p>
          <w:p w:rsidR="00073308" w:rsidRPr="00A23740" w:rsidRDefault="00073308" w:rsidP="009431FF">
            <w:pPr>
              <w:rPr>
                <w:b/>
                <w:color w:val="0000FF"/>
                <w:szCs w:val="24"/>
              </w:rPr>
            </w:pPr>
          </w:p>
          <w:p w:rsidR="00AA5C8C" w:rsidRPr="00A23740" w:rsidRDefault="00BB2129" w:rsidP="009431FF">
            <w:pPr>
              <w:rPr>
                <w:szCs w:val="24"/>
              </w:rPr>
            </w:pPr>
            <w:r w:rsidRPr="00A23740">
              <w:rPr>
                <w:b/>
                <w:color w:val="0000FF"/>
                <w:szCs w:val="24"/>
              </w:rPr>
              <w:t>MADDE 339</w:t>
            </w:r>
            <w:r w:rsidR="00AA5C8C" w:rsidRPr="00A23740">
              <w:rPr>
                <w:b/>
                <w:color w:val="0000FF"/>
                <w:szCs w:val="24"/>
              </w:rPr>
              <w:t xml:space="preserve">- (1) </w:t>
            </w:r>
            <w:r w:rsidR="00AA5C8C" w:rsidRPr="00A23740">
              <w:rPr>
                <w:szCs w:val="24"/>
              </w:rPr>
              <w:t xml:space="preserve">Tasfiye, iflas dairesi </w:t>
            </w:r>
            <w:r w:rsidR="00AA5C8C" w:rsidRPr="00A23740">
              <w:rPr>
                <w:rStyle w:val="Stil2Char"/>
                <w:rFonts w:eastAsia="Calibri"/>
                <w:bCs/>
                <w:u w:val="none"/>
              </w:rPr>
              <w:t>tarafından</w:t>
            </w:r>
            <w:r w:rsidR="005831BD" w:rsidRPr="00A23740">
              <w:rPr>
                <w:rStyle w:val="Stil2Char"/>
                <w:rFonts w:eastAsia="Calibri"/>
                <w:bCs/>
                <w:u w:val="none"/>
                <w:lang w:val="tr-TR"/>
              </w:rPr>
              <w:t xml:space="preserve"> </w:t>
            </w:r>
            <w:r w:rsidR="005831BD" w:rsidRPr="00845E21">
              <w:rPr>
                <w:rStyle w:val="MaviChar"/>
              </w:rPr>
              <w:t>336 ncı</w:t>
            </w:r>
            <w:r w:rsidR="00AA5C8C" w:rsidRPr="00A23740">
              <w:rPr>
                <w:rStyle w:val="Stil2Char"/>
                <w:rFonts w:eastAsia="Calibri"/>
                <w:u w:val="none"/>
              </w:rPr>
              <w:t xml:space="preserve"> </w:t>
            </w:r>
            <w:r w:rsidR="00AA5C8C" w:rsidRPr="00A23740">
              <w:rPr>
                <w:rStyle w:val="MaviChar"/>
              </w:rPr>
              <w:t>maddeye</w:t>
            </w:r>
            <w:r w:rsidR="00AA5C8C" w:rsidRPr="00A23740">
              <w:rPr>
                <w:rStyle w:val="MAVChar"/>
                <w:rFonts w:eastAsia="Calibri"/>
                <w:u w:val="none"/>
              </w:rPr>
              <w:t xml:space="preserve"> göre oluşturulan</w:t>
            </w:r>
            <w:r w:rsidR="00AA5C8C" w:rsidRPr="00A23740">
              <w:rPr>
                <w:szCs w:val="24"/>
              </w:rPr>
              <w:t xml:space="preserve"> iflas idaresine </w:t>
            </w:r>
            <w:r w:rsidR="00AA5C8C" w:rsidRPr="00A23740">
              <w:rPr>
                <w:rStyle w:val="MaviChar"/>
              </w:rPr>
              <w:t>devrolunur.</w:t>
            </w:r>
          </w:p>
          <w:p w:rsidR="00AA5C8C" w:rsidRPr="00A23740" w:rsidRDefault="00AA5C8C" w:rsidP="009431FF">
            <w:pPr>
              <w:pStyle w:val="MAV"/>
              <w:rPr>
                <w:u w:val="none"/>
                <w:lang w:val="tr-TR"/>
              </w:rPr>
            </w:pPr>
          </w:p>
          <w:p w:rsidR="00073308" w:rsidRPr="00A23740" w:rsidRDefault="00073308" w:rsidP="009431FF">
            <w:pPr>
              <w:pStyle w:val="MAV"/>
              <w:rPr>
                <w:u w:val="none"/>
                <w:lang w:val="tr-TR"/>
              </w:rPr>
            </w:pPr>
          </w:p>
          <w:p w:rsidR="00AA5C8C" w:rsidRPr="00A23740" w:rsidRDefault="00AA5C8C" w:rsidP="009431FF">
            <w:pPr>
              <w:pStyle w:val="MAV"/>
              <w:rPr>
                <w:u w:val="none"/>
                <w:lang w:val="tr-TR"/>
              </w:rPr>
            </w:pPr>
            <w:r w:rsidRPr="00A23740">
              <w:rPr>
                <w:u w:val="none"/>
                <w:lang w:val="tr-TR"/>
              </w:rPr>
              <w:t>(2) İflas idares</w:t>
            </w:r>
            <w:r w:rsidRPr="00A23740">
              <w:rPr>
                <w:rStyle w:val="MaviChar"/>
                <w:b/>
                <w:u w:val="none"/>
              </w:rPr>
              <w:t>i</w:t>
            </w:r>
            <w:r w:rsidRPr="00A23740">
              <w:rPr>
                <w:rStyle w:val="MaviChar"/>
                <w:b/>
                <w:u w:val="none"/>
                <w:lang w:val="tr-TR"/>
              </w:rPr>
              <w:t>,</w:t>
            </w:r>
            <w:r w:rsidRPr="00A23740">
              <w:rPr>
                <w:rStyle w:val="MaviChar"/>
                <w:b/>
                <w:u w:val="none"/>
              </w:rPr>
              <w:t xml:space="preserve"> </w:t>
            </w:r>
            <w:r w:rsidRPr="00A23740">
              <w:rPr>
                <w:rFonts w:eastAsia="Calibri"/>
                <w:b w:val="0"/>
                <w:color w:val="auto"/>
                <w:u w:val="none"/>
                <w:lang w:val="tr-TR" w:eastAsia="en-US"/>
              </w:rPr>
              <w:t>masanın menfaatlerini gözetmek</w:t>
            </w:r>
            <w:r w:rsidRPr="00A23740">
              <w:rPr>
                <w:rStyle w:val="MaviChar"/>
                <w:rFonts w:eastAsia="ヒラギノ明朝 Pro W3"/>
                <w:b/>
                <w:u w:val="none"/>
              </w:rPr>
              <w:t>le yükümlü olup</w:t>
            </w:r>
            <w:r w:rsidRPr="00A23740">
              <w:rPr>
                <w:rStyle w:val="MaviChar"/>
                <w:b/>
                <w:u w:val="none"/>
              </w:rPr>
              <w:t xml:space="preserve"> </w:t>
            </w:r>
            <w:r w:rsidRPr="00A23740">
              <w:rPr>
                <w:rStyle w:val="MaviChar"/>
                <w:rFonts w:eastAsia="ヒラギノ明朝 Pro W3"/>
                <w:b/>
                <w:u w:val="none"/>
              </w:rPr>
              <w:t>masaya</w:t>
            </w:r>
            <w:r w:rsidRPr="00A23740">
              <w:rPr>
                <w:u w:val="none"/>
                <w:lang w:val="tr-TR"/>
              </w:rPr>
              <w:t xml:space="preserve"> ait malların idaresi, muhafazası ve paraya </w:t>
            </w:r>
            <w:r w:rsidR="00E616A4" w:rsidRPr="00A23740">
              <w:rPr>
                <w:u w:val="none"/>
                <w:lang w:val="tr-TR"/>
              </w:rPr>
              <w:t xml:space="preserve">çevrilmesiyle </w:t>
            </w:r>
            <w:r w:rsidRPr="00A23740">
              <w:rPr>
                <w:u w:val="none"/>
                <w:lang w:val="tr-TR"/>
              </w:rPr>
              <w:t xml:space="preserve">ilgili bütün işlemleri yapar; iflas masasını ilgilendiren dava ve takiplerde takip yetkisine sahiptir. </w:t>
            </w:r>
          </w:p>
          <w:p w:rsidR="00AA5C8C" w:rsidRPr="00A23740" w:rsidRDefault="00AA5C8C" w:rsidP="009431FF">
            <w:pPr>
              <w:pStyle w:val="YEL"/>
              <w:rPr>
                <w:color w:val="FF0000"/>
                <w:lang w:val="tr-TR"/>
              </w:rPr>
            </w:pPr>
          </w:p>
          <w:p w:rsidR="00AA5C8C" w:rsidRPr="00A23740" w:rsidRDefault="00AA5C8C" w:rsidP="009431FF">
            <w:pPr>
              <w:tabs>
                <w:tab w:val="left" w:pos="567"/>
              </w:tabs>
              <w:rPr>
                <w:b/>
                <w:color w:val="0000FF"/>
                <w:szCs w:val="24"/>
              </w:rPr>
            </w:pPr>
            <w:r w:rsidRPr="00A23740">
              <w:rPr>
                <w:b/>
                <w:color w:val="0000FF"/>
                <w:szCs w:val="24"/>
              </w:rPr>
              <w:t>(3)</w:t>
            </w:r>
            <w:r w:rsidRPr="00A23740">
              <w:rPr>
                <w:szCs w:val="24"/>
              </w:rPr>
              <w:t xml:space="preserve"> </w:t>
            </w:r>
            <w:r w:rsidRPr="00A23740">
              <w:rPr>
                <w:rStyle w:val="MaviChar"/>
              </w:rPr>
              <w:t>İflas</w:t>
            </w:r>
            <w:r w:rsidRPr="00A23740">
              <w:rPr>
                <w:szCs w:val="24"/>
              </w:rPr>
              <w:t xml:space="preserve"> idare</w:t>
            </w:r>
            <w:r w:rsidRPr="00A23740">
              <w:rPr>
                <w:rStyle w:val="MaviChar"/>
              </w:rPr>
              <w:t>si</w:t>
            </w:r>
            <w:r w:rsidRPr="00A23740">
              <w:rPr>
                <w:szCs w:val="24"/>
              </w:rPr>
              <w:t xml:space="preserve">, </w:t>
            </w:r>
            <w:r w:rsidRPr="00A23740">
              <w:rPr>
                <w:rStyle w:val="MaviChar"/>
              </w:rPr>
              <w:t>ikiyüzbin</w:t>
            </w:r>
            <w:r w:rsidRPr="00A23740">
              <w:rPr>
                <w:rStyle w:val="Stil2Char"/>
                <w:rFonts w:eastAsia="Calibri"/>
                <w:bCs/>
                <w:u w:val="none"/>
                <w:lang w:val="tr-TR"/>
              </w:rPr>
              <w:t xml:space="preserve"> </w:t>
            </w:r>
            <w:r w:rsidRPr="00A23740">
              <w:rPr>
                <w:b/>
                <w:color w:val="0000FF"/>
                <w:szCs w:val="24"/>
              </w:rPr>
              <w:t>Türk</w:t>
            </w:r>
            <w:r w:rsidRPr="00A23740">
              <w:rPr>
                <w:szCs w:val="24"/>
              </w:rPr>
              <w:t xml:space="preserve"> lira</w:t>
            </w:r>
            <w:r w:rsidRPr="00A23740">
              <w:rPr>
                <w:b/>
                <w:color w:val="0000FF"/>
                <w:szCs w:val="24"/>
              </w:rPr>
              <w:t xml:space="preserve">sına </w:t>
            </w:r>
            <w:r w:rsidRPr="00A23740">
              <w:rPr>
                <w:szCs w:val="24"/>
              </w:rPr>
              <w:t xml:space="preserve">kadar olan alacaklarda doğrudan doğruya, daha </w:t>
            </w:r>
            <w:r w:rsidRPr="00A23740">
              <w:rPr>
                <w:b/>
                <w:color w:val="0000FF"/>
                <w:szCs w:val="24"/>
              </w:rPr>
              <w:t>fazla</w:t>
            </w:r>
            <w:r w:rsidRPr="00A23740">
              <w:rPr>
                <w:szCs w:val="24"/>
              </w:rPr>
              <w:t xml:space="preserve"> alacaklarda </w:t>
            </w:r>
            <w:r w:rsidRPr="00A23740">
              <w:rPr>
                <w:b/>
                <w:color w:val="0000FF"/>
                <w:szCs w:val="24"/>
              </w:rPr>
              <w:t xml:space="preserve">ise </w:t>
            </w:r>
            <w:r w:rsidRPr="00A23740">
              <w:rPr>
                <w:rStyle w:val="MaviChar"/>
                <w:lang w:val="tr-TR"/>
              </w:rPr>
              <w:t>ikinci</w:t>
            </w:r>
            <w:r w:rsidRPr="00A23740">
              <w:rPr>
                <w:szCs w:val="24"/>
              </w:rPr>
              <w:t xml:space="preserve"> alacaklılar toplan</w:t>
            </w:r>
            <w:r w:rsidRPr="00A23740">
              <w:rPr>
                <w:rStyle w:val="MaviChar"/>
              </w:rPr>
              <w:t>tısının</w:t>
            </w:r>
            <w:r w:rsidRPr="00A23740">
              <w:rPr>
                <w:szCs w:val="24"/>
              </w:rPr>
              <w:t xml:space="preserve"> vereceği yetkiyle </w:t>
            </w:r>
            <w:r w:rsidRPr="00A23740">
              <w:rPr>
                <w:rStyle w:val="Stil2Char"/>
                <w:rFonts w:eastAsia="Calibri"/>
                <w:u w:val="none"/>
              </w:rPr>
              <w:t>feragat, kabul ve</w:t>
            </w:r>
            <w:r w:rsidRPr="00A23740">
              <w:rPr>
                <w:szCs w:val="24"/>
              </w:rPr>
              <w:t xml:space="preserve"> sulh olabilir </w:t>
            </w:r>
            <w:r w:rsidRPr="00A23740">
              <w:rPr>
                <w:b/>
                <w:color w:val="0000FF"/>
                <w:szCs w:val="24"/>
              </w:rPr>
              <w:t>veya</w:t>
            </w:r>
            <w:r w:rsidRPr="00A23740">
              <w:rPr>
                <w:szCs w:val="24"/>
              </w:rPr>
              <w:t xml:space="preserve"> tahkim yapabilir </w:t>
            </w:r>
            <w:r w:rsidRPr="00A23740">
              <w:rPr>
                <w:b/>
                <w:color w:val="0000FF"/>
                <w:szCs w:val="24"/>
              </w:rPr>
              <w:t xml:space="preserve">yahut arabuluculuğa başvurabilir. </w:t>
            </w:r>
          </w:p>
          <w:p w:rsidR="00AA5C8C" w:rsidRDefault="00AA5C8C" w:rsidP="009431FF">
            <w:pPr>
              <w:tabs>
                <w:tab w:val="left" w:pos="567"/>
              </w:tabs>
              <w:rPr>
                <w:b/>
                <w:color w:val="FF0000"/>
                <w:szCs w:val="24"/>
              </w:rPr>
            </w:pPr>
          </w:p>
          <w:p w:rsidR="0051419B" w:rsidRDefault="0051419B" w:rsidP="009431FF">
            <w:pPr>
              <w:tabs>
                <w:tab w:val="left" w:pos="567"/>
              </w:tabs>
              <w:rPr>
                <w:b/>
                <w:color w:val="FF0000"/>
                <w:szCs w:val="24"/>
              </w:rPr>
            </w:pPr>
          </w:p>
          <w:p w:rsidR="0051419B" w:rsidRPr="00A23740" w:rsidRDefault="0051419B" w:rsidP="009431FF">
            <w:pPr>
              <w:tabs>
                <w:tab w:val="left" w:pos="567"/>
              </w:tabs>
              <w:rPr>
                <w:b/>
                <w:color w:val="FF0000"/>
                <w:szCs w:val="24"/>
              </w:rPr>
            </w:pPr>
          </w:p>
          <w:p w:rsidR="00AA5C8C" w:rsidRPr="00A23740" w:rsidRDefault="00AA5C8C" w:rsidP="009431FF">
            <w:pPr>
              <w:tabs>
                <w:tab w:val="left" w:pos="567"/>
              </w:tabs>
              <w:rPr>
                <w:szCs w:val="24"/>
              </w:rPr>
            </w:pPr>
            <w:r w:rsidRPr="00A23740">
              <w:rPr>
                <w:b/>
                <w:color w:val="0000FF"/>
                <w:szCs w:val="24"/>
              </w:rPr>
              <w:t>(4)</w:t>
            </w:r>
            <w:r w:rsidRPr="00A23740">
              <w:rPr>
                <w:b/>
                <w:szCs w:val="24"/>
              </w:rPr>
              <w:t xml:space="preserve"> </w:t>
            </w:r>
            <w:r w:rsidR="005831BD" w:rsidRPr="00845E21">
              <w:rPr>
                <w:b/>
                <w:bCs/>
                <w:color w:val="0000FF"/>
                <w:szCs w:val="24"/>
              </w:rPr>
              <w:t>3 üncü</w:t>
            </w:r>
            <w:r w:rsidRPr="00A23740">
              <w:rPr>
                <w:rStyle w:val="Balk1Char"/>
                <w:rFonts w:eastAsia="Calibri"/>
              </w:rPr>
              <w:t>, 9, 10, 11, 14</w:t>
            </w:r>
            <w:r w:rsidR="0051419B">
              <w:rPr>
                <w:rStyle w:val="Balk1Char"/>
                <w:rFonts w:eastAsia="Calibri"/>
              </w:rPr>
              <w:t>, 15 ve 21</w:t>
            </w:r>
            <w:r w:rsidRPr="00A23740">
              <w:rPr>
                <w:rStyle w:val="Balk1Char"/>
                <w:rFonts w:eastAsia="Calibri"/>
              </w:rPr>
              <w:t xml:space="preserve"> ve 22 nci </w:t>
            </w:r>
            <w:r w:rsidRPr="00A23740">
              <w:rPr>
                <w:szCs w:val="24"/>
              </w:rPr>
              <w:t xml:space="preserve">maddelerin icra </w:t>
            </w:r>
            <w:r w:rsidRPr="00A23740">
              <w:rPr>
                <w:rStyle w:val="MaviChar"/>
              </w:rPr>
              <w:t>ve iflas</w:t>
            </w:r>
            <w:r w:rsidRPr="00A23740">
              <w:rPr>
                <w:szCs w:val="24"/>
              </w:rPr>
              <w:t xml:space="preserve"> dairelerine ait hükümleri </w:t>
            </w:r>
            <w:r w:rsidR="007C4E36" w:rsidRPr="00845E21">
              <w:rPr>
                <w:rStyle w:val="Balk1Char"/>
                <w:rFonts w:eastAsia="Calibri"/>
              </w:rPr>
              <w:t>kıyasen</w:t>
            </w:r>
            <w:r w:rsidR="007C4E36" w:rsidRPr="00A23740">
              <w:rPr>
                <w:color w:val="385623"/>
                <w:szCs w:val="24"/>
              </w:rPr>
              <w:t xml:space="preserve"> </w:t>
            </w:r>
            <w:r w:rsidRPr="00A23740">
              <w:rPr>
                <w:szCs w:val="24"/>
              </w:rPr>
              <w:t xml:space="preserve">iflas </w:t>
            </w:r>
            <w:r w:rsidR="00E807F4" w:rsidRPr="00A23740">
              <w:rPr>
                <w:szCs w:val="24"/>
              </w:rPr>
              <w:t>i</w:t>
            </w:r>
            <w:r w:rsidR="00073308" w:rsidRPr="00A23740">
              <w:rPr>
                <w:szCs w:val="24"/>
              </w:rPr>
              <w:t>daresi hakkında da uygulanır.</w:t>
            </w:r>
          </w:p>
          <w:p w:rsidR="0051419B" w:rsidRDefault="0051419B" w:rsidP="009431FF">
            <w:pPr>
              <w:tabs>
                <w:tab w:val="left" w:pos="567"/>
              </w:tabs>
              <w:rPr>
                <w:szCs w:val="24"/>
              </w:rPr>
            </w:pPr>
          </w:p>
          <w:p w:rsidR="0051419B" w:rsidRDefault="0051419B" w:rsidP="009431FF">
            <w:pPr>
              <w:tabs>
                <w:tab w:val="left" w:pos="567"/>
              </w:tabs>
              <w:rPr>
                <w:szCs w:val="24"/>
              </w:rPr>
            </w:pPr>
          </w:p>
          <w:p w:rsidR="0051419B" w:rsidRDefault="0051419B" w:rsidP="009431FF">
            <w:pPr>
              <w:tabs>
                <w:tab w:val="left" w:pos="567"/>
              </w:tabs>
              <w:rPr>
                <w:szCs w:val="24"/>
              </w:rPr>
            </w:pPr>
          </w:p>
          <w:p w:rsidR="0051419B" w:rsidRDefault="0051419B" w:rsidP="009431FF">
            <w:pPr>
              <w:tabs>
                <w:tab w:val="left" w:pos="567"/>
              </w:tabs>
              <w:rPr>
                <w:szCs w:val="24"/>
              </w:rPr>
            </w:pPr>
          </w:p>
          <w:p w:rsidR="0051419B" w:rsidRPr="00A23740" w:rsidRDefault="0051419B" w:rsidP="009431FF">
            <w:pPr>
              <w:tabs>
                <w:tab w:val="left" w:pos="567"/>
              </w:tabs>
              <w:rPr>
                <w:szCs w:val="24"/>
              </w:rPr>
            </w:pPr>
          </w:p>
          <w:p w:rsidR="00AA5C8C" w:rsidRPr="00A23740" w:rsidRDefault="00AA5C8C" w:rsidP="009431FF">
            <w:pPr>
              <w:pStyle w:val="Stil2"/>
              <w:rPr>
                <w:rFonts w:eastAsia="Calibri"/>
                <w:b w:val="0"/>
                <w:color w:val="auto"/>
                <w:u w:val="none"/>
                <w:lang w:val="tr-TR" w:eastAsia="en-US"/>
              </w:rPr>
            </w:pPr>
            <w:r w:rsidRPr="00A23740">
              <w:rPr>
                <w:u w:val="none"/>
                <w:lang w:val="tr-TR"/>
              </w:rPr>
              <w:t xml:space="preserve">(5) </w:t>
            </w:r>
            <w:r w:rsidRPr="00A23740">
              <w:rPr>
                <w:rFonts w:eastAsia="Calibri"/>
                <w:b w:val="0"/>
                <w:color w:val="auto"/>
                <w:u w:val="none"/>
                <w:lang w:val="tr-TR" w:eastAsia="en-US"/>
              </w:rPr>
              <w:t>İfl</w:t>
            </w:r>
            <w:r w:rsidR="00E616A4" w:rsidRPr="00A23740">
              <w:rPr>
                <w:rFonts w:eastAsia="Calibri"/>
                <w:b w:val="0"/>
                <w:color w:val="auto"/>
                <w:u w:val="none"/>
                <w:lang w:val="tr-TR" w:eastAsia="en-US"/>
              </w:rPr>
              <w:t>a</w:t>
            </w:r>
            <w:r w:rsidRPr="00A23740">
              <w:rPr>
                <w:rFonts w:eastAsia="Calibri"/>
                <w:b w:val="0"/>
                <w:color w:val="auto"/>
                <w:u w:val="none"/>
                <w:lang w:val="tr-TR" w:eastAsia="en-US"/>
              </w:rPr>
              <w:t>s idaresi, ifl</w:t>
            </w:r>
            <w:r w:rsidR="00E616A4" w:rsidRPr="00A23740">
              <w:rPr>
                <w:rFonts w:eastAsia="Calibri"/>
                <w:b w:val="0"/>
                <w:color w:val="auto"/>
                <w:u w:val="none"/>
                <w:lang w:val="tr-TR" w:eastAsia="en-US"/>
              </w:rPr>
              <w:t>a</w:t>
            </w:r>
            <w:r w:rsidRPr="00A23740">
              <w:rPr>
                <w:rFonts w:eastAsia="Calibri"/>
                <w:b w:val="0"/>
                <w:color w:val="auto"/>
                <w:u w:val="none"/>
                <w:lang w:val="tr-TR" w:eastAsia="en-US"/>
              </w:rPr>
              <w:t>s masasına kabul edilen alacaklılara, talepleri hâlinde ifl</w:t>
            </w:r>
            <w:r w:rsidR="00E616A4" w:rsidRPr="00A23740">
              <w:rPr>
                <w:rFonts w:eastAsia="Calibri"/>
                <w:b w:val="0"/>
                <w:color w:val="auto"/>
                <w:u w:val="none"/>
                <w:lang w:val="tr-TR" w:eastAsia="en-US"/>
              </w:rPr>
              <w:t>a</w:t>
            </w:r>
            <w:r w:rsidRPr="00A23740">
              <w:rPr>
                <w:rFonts w:eastAsia="Calibri"/>
                <w:b w:val="0"/>
                <w:color w:val="auto"/>
                <w:u w:val="none"/>
                <w:lang w:val="tr-TR" w:eastAsia="en-US"/>
              </w:rPr>
              <w:t>s tasfiyesi</w:t>
            </w:r>
            <w:r w:rsidRPr="00A23740">
              <w:rPr>
                <w:rStyle w:val="MaviChar"/>
                <w:rFonts w:eastAsia="ヒラギノ明朝 Pro W3"/>
                <w:b/>
                <w:u w:val="none"/>
              </w:rPr>
              <w:t xml:space="preserve">nin bulunduğu aşama ile sonraki işlemlerin planı ve takvimi </w:t>
            </w:r>
            <w:r w:rsidRPr="00A23740">
              <w:rPr>
                <w:rStyle w:val="MaviChar"/>
                <w:rFonts w:eastAsia="Calibri"/>
                <w:b/>
                <w:u w:val="none"/>
              </w:rPr>
              <w:t xml:space="preserve"> </w:t>
            </w:r>
            <w:r w:rsidRPr="00A23740">
              <w:rPr>
                <w:rFonts w:eastAsia="Calibri"/>
                <w:b w:val="0"/>
                <w:color w:val="auto"/>
                <w:u w:val="none"/>
                <w:lang w:val="tr-TR" w:eastAsia="en-US"/>
              </w:rPr>
              <w:t>hakkında bilgi vermekle yükümlüdür.</w:t>
            </w:r>
          </w:p>
          <w:p w:rsidR="00AA5C8C" w:rsidRPr="00A23740" w:rsidRDefault="00AA5C8C" w:rsidP="009431FF">
            <w:pPr>
              <w:pStyle w:val="YEL"/>
              <w:rPr>
                <w:b w:val="0"/>
                <w:color w:val="0000FF"/>
                <w:lang w:val="tr-TR"/>
              </w:rPr>
            </w:pPr>
          </w:p>
          <w:p w:rsidR="00AA5C8C" w:rsidRPr="00A23740" w:rsidRDefault="00AA5C8C" w:rsidP="009431FF">
            <w:pPr>
              <w:pStyle w:val="Mavi"/>
            </w:pPr>
            <w:r w:rsidRPr="00A23740">
              <w:t>(</w:t>
            </w:r>
            <w:r w:rsidRPr="00A23740">
              <w:rPr>
                <w:lang w:val="tr-TR"/>
              </w:rPr>
              <w:t>6</w:t>
            </w:r>
            <w:r w:rsidRPr="00A23740">
              <w:t xml:space="preserve">) </w:t>
            </w:r>
            <w:r w:rsidRPr="00A23740">
              <w:rPr>
                <w:lang w:val="tr-TR"/>
              </w:rPr>
              <w:t xml:space="preserve">İflas </w:t>
            </w:r>
            <w:r w:rsidRPr="00A23740">
              <w:t>idareleri</w:t>
            </w:r>
            <w:r w:rsidRPr="00A23740">
              <w:rPr>
                <w:lang w:val="tr-TR"/>
              </w:rPr>
              <w:t xml:space="preserve"> </w:t>
            </w:r>
            <w:r w:rsidRPr="00A23740">
              <w:t>tarafından yapılacak</w:t>
            </w:r>
            <w:r w:rsidRPr="00A23740">
              <w:rPr>
                <w:lang w:val="tr-TR"/>
              </w:rPr>
              <w:t xml:space="preserve"> </w:t>
            </w:r>
            <w:r w:rsidRPr="00A23740">
              <w:t xml:space="preserve">tebligatlar, Tebligat Kanunu hükümlerine göre gerçekleştirilir. </w:t>
            </w:r>
            <w:r w:rsidRPr="00A23740">
              <w:rPr>
                <w:lang w:val="tr-TR"/>
              </w:rPr>
              <w:t>İflas idareleri,</w:t>
            </w:r>
            <w:r w:rsidRPr="00A23740">
              <w:t xml:space="preserve"> yapacakları tebligat ve bildirimler için gönderici elektronik tebligat adresi ve gerektiğinde kayıtlı elektronik posta adresi alır.</w:t>
            </w:r>
          </w:p>
          <w:p w:rsidR="00F97472" w:rsidRPr="00A23740" w:rsidRDefault="00F97472" w:rsidP="009431FF">
            <w:pPr>
              <w:rPr>
                <w:b/>
                <w:color w:val="0000FF"/>
              </w:rPr>
            </w:pPr>
          </w:p>
        </w:tc>
      </w:tr>
      <w:tr w:rsidR="00F97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CD5F4C" w:rsidRPr="00A23740" w:rsidRDefault="00CD5F4C" w:rsidP="009431FF">
            <w:pPr>
              <w:tabs>
                <w:tab w:val="left" w:pos="567"/>
              </w:tabs>
              <w:ind w:firstLine="709"/>
              <w:rPr>
                <w:szCs w:val="24"/>
              </w:rPr>
            </w:pPr>
          </w:p>
          <w:p w:rsidR="00CD5F4C" w:rsidRPr="00A23740" w:rsidRDefault="00BB2129" w:rsidP="009431FF">
            <w:pPr>
              <w:tabs>
                <w:tab w:val="left" w:pos="567"/>
              </w:tabs>
              <w:ind w:firstLine="709"/>
              <w:rPr>
                <w:szCs w:val="24"/>
              </w:rPr>
            </w:pPr>
            <w:r w:rsidRPr="00A23740">
              <w:rPr>
                <w:b/>
                <w:szCs w:val="24"/>
              </w:rPr>
              <w:t>MADDE 339</w:t>
            </w:r>
            <w:r w:rsidR="00CD5F4C" w:rsidRPr="00A23740">
              <w:rPr>
                <w:b/>
                <w:szCs w:val="24"/>
              </w:rPr>
              <w:t>-</w:t>
            </w:r>
            <w:r w:rsidR="00CD5F4C" w:rsidRPr="00A23740">
              <w:rPr>
                <w:szCs w:val="24"/>
              </w:rPr>
              <w:t xml:space="preserve"> Maddeyle, iflas idaresinin görev ve yetkilerine ilişkin hususlar düzenlenmektedir. Hüküm, 2004 sayılı Kanunun 223, 226 ve 227 nci maddelerine karşılık gelmektedir. </w:t>
            </w:r>
          </w:p>
          <w:p w:rsidR="00F97472" w:rsidRPr="00A23740" w:rsidRDefault="00F97472" w:rsidP="009431FF">
            <w:pPr>
              <w:tabs>
                <w:tab w:val="left" w:pos="567"/>
              </w:tabs>
              <w:ind w:firstLine="709"/>
              <w:rPr>
                <w:lang w:eastAsia="tr-TR"/>
              </w:rPr>
            </w:pPr>
            <w:r w:rsidRPr="00A23740">
              <w:rPr>
                <w:szCs w:val="24"/>
              </w:rPr>
              <w:t xml:space="preserve">İflas idaresinin görev ve yetkilerini düzenleyen bu maddeye göre, tasfiye, o ana kadar tasfiye işlemlerini yürütmüş olan iflas dairesi </w:t>
            </w:r>
            <w:r w:rsidRPr="00A23740">
              <w:rPr>
                <w:lang w:val="x-none" w:eastAsia="x-none"/>
              </w:rPr>
              <w:t xml:space="preserve">tarafından </w:t>
            </w:r>
            <w:r w:rsidR="005831BD" w:rsidRPr="00845E21">
              <w:rPr>
                <w:bCs/>
                <w:szCs w:val="24"/>
              </w:rPr>
              <w:t>336 ncı</w:t>
            </w:r>
            <w:r w:rsidR="005831BD" w:rsidRPr="00A23740">
              <w:rPr>
                <w:rStyle w:val="Stil2Char"/>
                <w:rFonts w:eastAsia="Calibri"/>
                <w:u w:val="none"/>
              </w:rPr>
              <w:t xml:space="preserve"> </w:t>
            </w:r>
            <w:r w:rsidRPr="00A23740">
              <w:rPr>
                <w:lang w:val="x-none" w:eastAsia="x-none"/>
              </w:rPr>
              <w:t>maddeye göre oluşturulan</w:t>
            </w:r>
            <w:r w:rsidRPr="00A23740">
              <w:rPr>
                <w:szCs w:val="24"/>
              </w:rPr>
              <w:t xml:space="preserve"> iflas idaresine </w:t>
            </w:r>
            <w:r w:rsidRPr="00A23740">
              <w:rPr>
                <w:lang w:val="x-none" w:eastAsia="x-none"/>
              </w:rPr>
              <w:t xml:space="preserve">devrolunacaktır. Ancak burada </w:t>
            </w:r>
            <w:r w:rsidR="00B5342C" w:rsidRPr="00A23740">
              <w:rPr>
                <w:lang w:eastAsia="x-none"/>
              </w:rPr>
              <w:t xml:space="preserve">336 ncı maddenin </w:t>
            </w:r>
            <w:r w:rsidRPr="00A23740">
              <w:rPr>
                <w:lang w:val="x-none" w:eastAsia="x-none"/>
              </w:rPr>
              <w:t>dikkat edilmesi gereken birinci fıkrasına göre</w:t>
            </w:r>
            <w:r w:rsidR="00B5342C" w:rsidRPr="00A23740">
              <w:rPr>
                <w:lang w:eastAsia="x-none"/>
              </w:rPr>
              <w:t>,</w:t>
            </w:r>
            <w:r w:rsidRPr="00A23740">
              <w:rPr>
                <w:lang w:val="x-none" w:eastAsia="x-none"/>
              </w:rPr>
              <w:t xml:space="preserve"> birinci</w:t>
            </w:r>
            <w:r w:rsidRPr="00A23740">
              <w:rPr>
                <w:szCs w:val="24"/>
              </w:rPr>
              <w:t xml:space="preserve"> alacaklılar toplantısının iflasın tasfiyesinin iflas </w:t>
            </w:r>
            <w:r w:rsidRPr="00A23740">
              <w:rPr>
                <w:lang w:val="x-none" w:eastAsia="x-none"/>
              </w:rPr>
              <w:t>dairesine</w:t>
            </w:r>
            <w:r w:rsidRPr="00A23740">
              <w:rPr>
                <w:szCs w:val="24"/>
              </w:rPr>
              <w:t xml:space="preserve"> veya bir ya da üç kişiden oluşacak </w:t>
            </w:r>
            <w:r w:rsidRPr="00A23740">
              <w:rPr>
                <w:lang w:val="x-none" w:eastAsia="x-none"/>
              </w:rPr>
              <w:t>bir</w:t>
            </w:r>
            <w:r w:rsidRPr="00A23740">
              <w:rPr>
                <w:szCs w:val="24"/>
              </w:rPr>
              <w:t xml:space="preserve"> iflas idaresine tevdii konusunda karar vereceği hususudur. Şu h</w:t>
            </w:r>
            <w:r w:rsidR="004C6451" w:rsidRPr="00A23740">
              <w:rPr>
                <w:szCs w:val="24"/>
              </w:rPr>
              <w:t>â</w:t>
            </w:r>
            <w:r w:rsidRPr="00A23740">
              <w:rPr>
                <w:szCs w:val="24"/>
              </w:rPr>
              <w:t>lde bu madde uyarınca iflas idaresine tasfiyenin devrolunması, birinci alacaklılar toplantısının iflasın tasfiyesinde iflas idaresi</w:t>
            </w:r>
            <w:r w:rsidR="00B5342C" w:rsidRPr="00A23740">
              <w:rPr>
                <w:szCs w:val="24"/>
              </w:rPr>
              <w:t>ni</w:t>
            </w:r>
            <w:r w:rsidRPr="00A23740">
              <w:rPr>
                <w:szCs w:val="24"/>
              </w:rPr>
              <w:t xml:space="preserve"> görevlendirmesi h</w:t>
            </w:r>
            <w:r w:rsidR="004C6451" w:rsidRPr="00A23740">
              <w:rPr>
                <w:szCs w:val="24"/>
              </w:rPr>
              <w:t>â</w:t>
            </w:r>
            <w:r w:rsidRPr="00A23740">
              <w:rPr>
                <w:szCs w:val="24"/>
              </w:rPr>
              <w:t xml:space="preserve">linde </w:t>
            </w:r>
            <w:r w:rsidR="00EC1D69" w:rsidRPr="00845E21">
              <w:rPr>
                <w:bCs/>
                <w:szCs w:val="24"/>
              </w:rPr>
              <w:t>söz konusu</w:t>
            </w:r>
            <w:r w:rsidR="00EC1D69" w:rsidRPr="00A23740">
              <w:rPr>
                <w:szCs w:val="24"/>
              </w:rPr>
              <w:t xml:space="preserve"> </w:t>
            </w:r>
            <w:r w:rsidRPr="00A23740">
              <w:rPr>
                <w:szCs w:val="24"/>
              </w:rPr>
              <w:t xml:space="preserve">olacaktır. Ayrıca, </w:t>
            </w:r>
            <w:r w:rsidR="004C6451" w:rsidRPr="00A23740">
              <w:t>Kanun</w:t>
            </w:r>
            <w:r w:rsidRPr="00A23740">
              <w:t>un, k</w:t>
            </w:r>
            <w:r w:rsidRPr="00A23740">
              <w:rPr>
                <w:lang w:eastAsia="tr-TR"/>
              </w:rPr>
              <w:t>onkordatonun tasdik edilmemesi nedeniyle borçlunun iflasını düzenleyen</w:t>
            </w:r>
            <w:r w:rsidR="005831BD" w:rsidRPr="00A23740">
              <w:rPr>
                <w:lang w:eastAsia="tr-TR"/>
              </w:rPr>
              <w:t xml:space="preserve"> </w:t>
            </w:r>
            <w:r w:rsidR="005831BD" w:rsidRPr="00845E21">
              <w:rPr>
                <w:bCs/>
              </w:rPr>
              <w:t>402 nci</w:t>
            </w:r>
            <w:r w:rsidRPr="00A23740">
              <w:rPr>
                <w:lang w:eastAsia="tr-TR"/>
              </w:rPr>
              <w:t xml:space="preserve"> maddesinin ikinci fıkrası uyarınca, konkordato süreci ifl</w:t>
            </w:r>
            <w:r w:rsidR="004C6451" w:rsidRPr="00A23740">
              <w:rPr>
                <w:lang w:eastAsia="tr-TR"/>
              </w:rPr>
              <w:t>a</w:t>
            </w:r>
            <w:r w:rsidRPr="00A23740">
              <w:rPr>
                <w:lang w:eastAsia="tr-TR"/>
              </w:rPr>
              <w:t>sla sonuçlandığı takdirde, ifl</w:t>
            </w:r>
            <w:r w:rsidR="004C6451" w:rsidRPr="00A23740">
              <w:rPr>
                <w:lang w:eastAsia="tr-TR"/>
              </w:rPr>
              <w:t>a</w:t>
            </w:r>
            <w:r w:rsidRPr="00A23740">
              <w:rPr>
                <w:lang w:eastAsia="tr-TR"/>
              </w:rPr>
              <w:t xml:space="preserve">s kararını veren mahkeme tasfiyenin basit veya </w:t>
            </w:r>
            <w:r w:rsidR="00DC6449" w:rsidRPr="00845E21">
              <w:rPr>
                <w:lang w:eastAsia="tr-TR"/>
              </w:rPr>
              <w:t>olağan</w:t>
            </w:r>
            <w:r w:rsidR="00DC6449" w:rsidRPr="00A23740">
              <w:rPr>
                <w:lang w:eastAsia="tr-TR"/>
              </w:rPr>
              <w:t xml:space="preserve"> </w:t>
            </w:r>
            <w:r w:rsidRPr="00A23740">
              <w:rPr>
                <w:lang w:eastAsia="tr-TR"/>
              </w:rPr>
              <w:t xml:space="preserve">tasfiye usulüne göre yapılmasına ve gerektiğinde </w:t>
            </w:r>
            <w:r w:rsidR="00DC6449" w:rsidRPr="00845E21">
              <w:rPr>
                <w:lang w:eastAsia="tr-TR"/>
              </w:rPr>
              <w:t>olağan</w:t>
            </w:r>
            <w:r w:rsidR="00DC6449" w:rsidRPr="00A23740">
              <w:rPr>
                <w:lang w:eastAsia="tr-TR"/>
              </w:rPr>
              <w:t xml:space="preserve"> </w:t>
            </w:r>
            <w:r w:rsidRPr="00A23740">
              <w:rPr>
                <w:lang w:eastAsia="tr-TR"/>
              </w:rPr>
              <w:t>tasfiyenin komiserler tarafından yerine getirilmesine karar verecektir. Bu hâlde ifl</w:t>
            </w:r>
            <w:r w:rsidR="004C6451" w:rsidRPr="00A23740">
              <w:rPr>
                <w:lang w:eastAsia="tr-TR"/>
              </w:rPr>
              <w:t>a</w:t>
            </w:r>
            <w:r w:rsidRPr="00A23740">
              <w:rPr>
                <w:lang w:eastAsia="tr-TR"/>
              </w:rPr>
              <w:t>s idaresine ait görev ve yetkiler komiserl</w:t>
            </w:r>
            <w:r w:rsidR="00DC6449" w:rsidRPr="00A23740">
              <w:rPr>
                <w:lang w:eastAsia="tr-TR"/>
              </w:rPr>
              <w:t>er tarafından kullanılacaktır.</w:t>
            </w:r>
          </w:p>
          <w:p w:rsidR="00F97472" w:rsidRPr="00A23740" w:rsidRDefault="00F97472" w:rsidP="009431FF">
            <w:pPr>
              <w:ind w:firstLine="709"/>
              <w:rPr>
                <w:rFonts w:eastAsia="Times New Roman"/>
                <w:szCs w:val="24"/>
                <w:lang w:eastAsia="x-none"/>
              </w:rPr>
            </w:pPr>
            <w:r w:rsidRPr="00A23740">
              <w:rPr>
                <w:rFonts w:eastAsia="Times New Roman"/>
                <w:szCs w:val="24"/>
                <w:lang w:eastAsia="x-none"/>
              </w:rPr>
              <w:t>İkinci fıkraya göre, iflas idares</w:t>
            </w:r>
            <w:r w:rsidRPr="00A23740">
              <w:rPr>
                <w:szCs w:val="24"/>
                <w:lang w:val="x-none" w:eastAsia="x-none"/>
              </w:rPr>
              <w:t>i</w:t>
            </w:r>
            <w:r w:rsidRPr="00A23740">
              <w:rPr>
                <w:szCs w:val="24"/>
                <w:lang w:eastAsia="x-none"/>
              </w:rPr>
              <w:t>,</w:t>
            </w:r>
            <w:r w:rsidRPr="00A23740">
              <w:rPr>
                <w:szCs w:val="24"/>
                <w:lang w:val="x-none" w:eastAsia="x-none"/>
              </w:rPr>
              <w:t xml:space="preserve"> </w:t>
            </w:r>
            <w:r w:rsidRPr="00A23740">
              <w:rPr>
                <w:szCs w:val="24"/>
              </w:rPr>
              <w:t>masanın menfaatlerini gözetmek</w:t>
            </w:r>
            <w:r w:rsidRPr="00A23740">
              <w:rPr>
                <w:rFonts w:eastAsia="ヒラギノ明朝 Pro W3"/>
                <w:szCs w:val="24"/>
                <w:lang w:val="x-none" w:eastAsia="x-none"/>
              </w:rPr>
              <w:t>le yükümlü olup</w:t>
            </w:r>
            <w:r w:rsidRPr="00A23740">
              <w:rPr>
                <w:szCs w:val="24"/>
                <w:lang w:val="x-none" w:eastAsia="x-none"/>
              </w:rPr>
              <w:t xml:space="preserve"> </w:t>
            </w:r>
            <w:r w:rsidRPr="00A23740">
              <w:rPr>
                <w:rFonts w:eastAsia="ヒラギノ明朝 Pro W3"/>
                <w:szCs w:val="24"/>
                <w:lang w:val="x-none" w:eastAsia="x-none"/>
              </w:rPr>
              <w:t>masaya</w:t>
            </w:r>
            <w:r w:rsidRPr="00A23740">
              <w:rPr>
                <w:rFonts w:eastAsia="Times New Roman"/>
                <w:szCs w:val="24"/>
                <w:lang w:eastAsia="x-none"/>
              </w:rPr>
              <w:t xml:space="preserve"> ait malların idaresi, muhafazası ve paraya </w:t>
            </w:r>
            <w:r w:rsidR="00EC1D69" w:rsidRPr="00845E21">
              <w:rPr>
                <w:rFonts w:eastAsia="Times New Roman"/>
                <w:bCs/>
                <w:szCs w:val="24"/>
                <w:lang w:eastAsia="x-none"/>
              </w:rPr>
              <w:t>çevrilmesiyle</w:t>
            </w:r>
            <w:r w:rsidR="00EC1D69" w:rsidRPr="00845E21">
              <w:rPr>
                <w:rFonts w:eastAsia="Times New Roman"/>
                <w:szCs w:val="24"/>
                <w:lang w:eastAsia="x-none"/>
              </w:rPr>
              <w:t xml:space="preserve"> </w:t>
            </w:r>
            <w:r w:rsidRPr="00845E21">
              <w:rPr>
                <w:rFonts w:eastAsia="Times New Roman"/>
                <w:szCs w:val="24"/>
                <w:lang w:eastAsia="x-none"/>
              </w:rPr>
              <w:t>ilgili</w:t>
            </w:r>
            <w:r w:rsidRPr="00A23740">
              <w:rPr>
                <w:rFonts w:eastAsia="Times New Roman"/>
                <w:szCs w:val="24"/>
                <w:lang w:eastAsia="x-none"/>
              </w:rPr>
              <w:t xml:space="preserve"> bütün işlemleri yapar; iflas masasını ilgilendiren dava ve takiplerde takip yetkis</w:t>
            </w:r>
            <w:r w:rsidR="00543C57" w:rsidRPr="00A23740">
              <w:rPr>
                <w:rFonts w:eastAsia="Times New Roman"/>
                <w:szCs w:val="24"/>
                <w:lang w:eastAsia="x-none"/>
              </w:rPr>
              <w:t xml:space="preserve">ine sahiptir. 2004 sayılı Kanunun 226 </w:t>
            </w:r>
            <w:r w:rsidRPr="00A23740">
              <w:rPr>
                <w:rFonts w:eastAsia="Times New Roman"/>
                <w:szCs w:val="24"/>
                <w:lang w:eastAsia="x-none"/>
              </w:rPr>
              <w:t>ncı maddesi, iflas idaresinin masanın kanuni mümessili olduğu ifadesini içermektedir. Bu ifade</w:t>
            </w:r>
            <w:r w:rsidR="00B5342C" w:rsidRPr="00A23740">
              <w:rPr>
                <w:rFonts w:eastAsia="Times New Roman"/>
                <w:szCs w:val="24"/>
                <w:lang w:eastAsia="x-none"/>
              </w:rPr>
              <w:t>yle</w:t>
            </w:r>
            <w:r w:rsidRPr="00A23740">
              <w:rPr>
                <w:rFonts w:eastAsia="Times New Roman"/>
                <w:szCs w:val="24"/>
                <w:lang w:eastAsia="x-none"/>
              </w:rPr>
              <w:t xml:space="preserve"> Kanu</w:t>
            </w:r>
            <w:r w:rsidRPr="00845E21">
              <w:rPr>
                <w:rFonts w:eastAsia="Times New Roman"/>
                <w:szCs w:val="24"/>
                <w:lang w:eastAsia="x-none"/>
              </w:rPr>
              <w:t xml:space="preserve">n, </w:t>
            </w:r>
            <w:r w:rsidRPr="00845E21">
              <w:rPr>
                <w:rFonts w:eastAsia="Times New Roman"/>
                <w:bCs/>
                <w:szCs w:val="24"/>
                <w:lang w:eastAsia="x-none"/>
              </w:rPr>
              <w:t>İsviçre</w:t>
            </w:r>
            <w:r w:rsidR="00887B3A" w:rsidRPr="00845E21">
              <w:rPr>
                <w:rFonts w:eastAsia="Times New Roman"/>
                <w:bCs/>
                <w:szCs w:val="24"/>
                <w:lang w:eastAsia="x-none"/>
              </w:rPr>
              <w:t>’</w:t>
            </w:r>
            <w:r w:rsidR="00EC1D69" w:rsidRPr="00845E21">
              <w:rPr>
                <w:rFonts w:eastAsia="Times New Roman"/>
                <w:bCs/>
                <w:szCs w:val="24"/>
                <w:lang w:eastAsia="x-none"/>
              </w:rPr>
              <w:t xml:space="preserve">nin Borç </w:t>
            </w:r>
            <w:r w:rsidR="00546866" w:rsidRPr="00845E21">
              <w:rPr>
                <w:rFonts w:eastAsia="Times New Roman"/>
                <w:bCs/>
                <w:szCs w:val="24"/>
                <w:lang w:eastAsia="x-none"/>
              </w:rPr>
              <w:t xml:space="preserve">İçin </w:t>
            </w:r>
            <w:r w:rsidR="00EC1D69" w:rsidRPr="00845E21">
              <w:rPr>
                <w:rFonts w:eastAsia="Times New Roman"/>
                <w:bCs/>
                <w:szCs w:val="24"/>
                <w:lang w:eastAsia="x-none"/>
              </w:rPr>
              <w:t>Takip ve İflas Hakkında Federal Kanununun</w:t>
            </w:r>
            <w:r w:rsidRPr="00A23740">
              <w:rPr>
                <w:rFonts w:eastAsia="Times New Roman"/>
                <w:szCs w:val="24"/>
                <w:lang w:eastAsia="x-none"/>
              </w:rPr>
              <w:t xml:space="preserve"> </w:t>
            </w:r>
            <w:r w:rsidR="00EC1D69" w:rsidRPr="00845E21">
              <w:rPr>
                <w:rFonts w:eastAsia="Times New Roman"/>
                <w:bCs/>
                <w:szCs w:val="24"/>
                <w:lang w:eastAsia="x-none"/>
              </w:rPr>
              <w:t>240 ıncı maddesine</w:t>
            </w:r>
            <w:r w:rsidR="00EC1D69" w:rsidRPr="00A23740">
              <w:rPr>
                <w:rFonts w:eastAsia="Times New Roman"/>
                <w:szCs w:val="24"/>
                <w:lang w:eastAsia="x-none"/>
              </w:rPr>
              <w:t xml:space="preserve"> paralel şekilde,</w:t>
            </w:r>
            <w:r w:rsidRPr="00A23740">
              <w:rPr>
                <w:rFonts w:eastAsia="Times New Roman"/>
                <w:szCs w:val="24"/>
                <w:lang w:eastAsia="x-none"/>
              </w:rPr>
              <w:t xml:space="preserve"> iflas masasının bir tüzel kişiliği bulunmamasına rağmen iflas masasına adeta bir tüzel kişilik tanımakta, iflas idaresine de adeta bu tüzel kişiliği temsil</w:t>
            </w:r>
            <w:r w:rsidR="00B5342C" w:rsidRPr="00A23740">
              <w:rPr>
                <w:rFonts w:eastAsia="Times New Roman"/>
                <w:szCs w:val="24"/>
                <w:lang w:eastAsia="x-none"/>
              </w:rPr>
              <w:t>le</w:t>
            </w:r>
            <w:r w:rsidRPr="00A23740">
              <w:rPr>
                <w:rFonts w:eastAsia="Times New Roman"/>
                <w:szCs w:val="24"/>
                <w:lang w:eastAsia="x-none"/>
              </w:rPr>
              <w:t xml:space="preserve"> yetkili organ sıfatını vermektedir. Aslında bu şekillendirmenin temelinde yatan düşünce, iflas idaresinin hukuki niteliği konusunda, mehaz İsviçre ve Alman hukuklarında tezahür etmiş teorilere son noktayı koymak ve iflas idaresini alacaklılar ve müflisten soyutlayarak </w:t>
            </w:r>
            <w:r w:rsidR="00B5342C" w:rsidRPr="00A23740">
              <w:rPr>
                <w:rFonts w:eastAsia="Times New Roman"/>
                <w:szCs w:val="24"/>
                <w:lang w:eastAsia="x-none"/>
              </w:rPr>
              <w:t xml:space="preserve">onun </w:t>
            </w:r>
            <w:r w:rsidRPr="00A23740">
              <w:rPr>
                <w:rFonts w:eastAsia="Times New Roman"/>
                <w:szCs w:val="24"/>
                <w:lang w:eastAsia="x-none"/>
              </w:rPr>
              <w:t>alacaklıların yahut müflisin temsilcisi olmadığını ortaya koymaktır. Esasen iflas idaresine</w:t>
            </w:r>
            <w:r w:rsidR="00EC1D69" w:rsidRPr="00A23740">
              <w:rPr>
                <w:rFonts w:eastAsia="Times New Roman"/>
                <w:szCs w:val="24"/>
                <w:lang w:eastAsia="x-none"/>
              </w:rPr>
              <w:t xml:space="preserve"> </w:t>
            </w:r>
            <w:r w:rsidRPr="00A23740">
              <w:rPr>
                <w:rFonts w:eastAsia="Times New Roman"/>
                <w:szCs w:val="24"/>
                <w:lang w:eastAsia="x-none"/>
              </w:rPr>
              <w:t>“masanın kanuni temsilcisi” sıfatını yüklemekteki amaç, iflasın tasfiyesi için gereken bütün işlemleri yapmak konusunda tek yetkinin iflas idaresi olduğunu ve mahkeme önünde masayla ilgili tüm işlemleri yalnızca iflas idaresinin yapabileceğini vurgulamaktır. Öyle ki</w:t>
            </w:r>
            <w:r w:rsidR="00B5342C" w:rsidRPr="00A23740">
              <w:rPr>
                <w:rFonts w:eastAsia="Times New Roman"/>
                <w:szCs w:val="24"/>
                <w:lang w:eastAsia="x-none"/>
              </w:rPr>
              <w:t>,</w:t>
            </w:r>
            <w:r w:rsidRPr="00A23740">
              <w:rPr>
                <w:rFonts w:eastAsia="Times New Roman"/>
                <w:szCs w:val="24"/>
                <w:lang w:eastAsia="x-none"/>
              </w:rPr>
              <w:t xml:space="preserve"> masa malvarlığıyla ilgili davalarda (ve takiplerde) takip yetkisi iflas idaresine aitt</w:t>
            </w:r>
            <w:r w:rsidR="00543C57" w:rsidRPr="00A23740">
              <w:rPr>
                <w:rFonts w:eastAsia="Times New Roman"/>
                <w:szCs w:val="24"/>
                <w:lang w:eastAsia="x-none"/>
              </w:rPr>
              <w:t>ir</w:t>
            </w:r>
            <w:r w:rsidR="00EC1D69" w:rsidRPr="00A23740">
              <w:rPr>
                <w:rFonts w:eastAsia="Times New Roman"/>
                <w:szCs w:val="24"/>
                <w:lang w:eastAsia="x-none"/>
              </w:rPr>
              <w:t>.</w:t>
            </w:r>
            <w:r w:rsidR="00543C57" w:rsidRPr="00A23740">
              <w:rPr>
                <w:rFonts w:eastAsia="Times New Roman"/>
                <w:szCs w:val="24"/>
                <w:lang w:eastAsia="x-none"/>
              </w:rPr>
              <w:t xml:space="preserve"> Burada ise 2004 sayılı Kanun</w:t>
            </w:r>
            <w:r w:rsidRPr="00A23740">
              <w:rPr>
                <w:rFonts w:eastAsia="Times New Roman"/>
                <w:szCs w:val="24"/>
                <w:lang w:eastAsia="x-none"/>
              </w:rPr>
              <w:t xml:space="preserve">un 226 ncı maddesindeki “kanuni temsil” terimi terk edilmiştir. </w:t>
            </w:r>
            <w:r w:rsidRPr="00A23740">
              <w:rPr>
                <w:rFonts w:eastAsia="Times New Roman"/>
                <w:szCs w:val="24"/>
                <w:lang w:val="x-none" w:eastAsia="x-none"/>
              </w:rPr>
              <w:t>Fıkrada iflas ida</w:t>
            </w:r>
            <w:r w:rsidRPr="00A23740">
              <w:rPr>
                <w:rFonts w:eastAsia="Times New Roman"/>
                <w:szCs w:val="24"/>
                <w:lang w:eastAsia="x-none"/>
              </w:rPr>
              <w:t>resinin tasfiyeye ilişkin bütün işlemleri yapacağı ve iflas masasını ilgilendiren dava ve takiplerde takip yetkisine sahip olduğu açıkça ifade edilerek</w:t>
            </w:r>
            <w:r w:rsidR="00EC1D69" w:rsidRPr="0051419B">
              <w:rPr>
                <w:rStyle w:val="Balk1Char"/>
                <w:rFonts w:eastAsia="Calibri"/>
                <w:b w:val="0"/>
                <w:color w:val="000000" w:themeColor="text1"/>
              </w:rPr>
              <w:t>,</w:t>
            </w:r>
            <w:r w:rsidRPr="00A23740">
              <w:rPr>
                <w:rFonts w:eastAsia="Times New Roman"/>
                <w:szCs w:val="24"/>
                <w:lang w:eastAsia="x-none"/>
              </w:rPr>
              <w:t xml:space="preserve"> hükmün esası ve lafzı yeknesaklaştırılmıştır. Şüphesiz, tasfiyenin iflas dairesince yahut komiserlerce yürütüleceği h</w:t>
            </w:r>
            <w:r w:rsidR="00EC1D69" w:rsidRPr="00A23740">
              <w:rPr>
                <w:rFonts w:eastAsia="Times New Roman"/>
                <w:szCs w:val="24"/>
                <w:lang w:eastAsia="x-none"/>
              </w:rPr>
              <w:t>â</w:t>
            </w:r>
            <w:r w:rsidRPr="00A23740">
              <w:rPr>
                <w:rFonts w:eastAsia="Times New Roman"/>
                <w:szCs w:val="24"/>
                <w:lang w:eastAsia="x-none"/>
              </w:rPr>
              <w:t>llerde</w:t>
            </w:r>
            <w:r w:rsidR="00EC1D69" w:rsidRPr="0051419B">
              <w:rPr>
                <w:rStyle w:val="Balk1Char"/>
                <w:rFonts w:eastAsia="Calibri"/>
                <w:b w:val="0"/>
                <w:color w:val="000000" w:themeColor="text1"/>
              </w:rPr>
              <w:t>,</w:t>
            </w:r>
            <w:r w:rsidRPr="00A23740">
              <w:rPr>
                <w:rFonts w:eastAsia="Times New Roman"/>
                <w:szCs w:val="24"/>
                <w:lang w:eastAsia="x-none"/>
              </w:rPr>
              <w:t xml:space="preserve"> iflas masasını ilgilendiren dava ve takiplerde tak</w:t>
            </w:r>
            <w:r w:rsidR="00CD5F4C" w:rsidRPr="00A23740">
              <w:rPr>
                <w:rFonts w:eastAsia="Times New Roman"/>
                <w:szCs w:val="24"/>
                <w:lang w:eastAsia="x-none"/>
              </w:rPr>
              <w:t xml:space="preserve">ip yetkisi bunlarda olacaktır. </w:t>
            </w:r>
          </w:p>
          <w:p w:rsidR="00F97472" w:rsidRPr="00A23740" w:rsidRDefault="00F97472" w:rsidP="009431FF">
            <w:pPr>
              <w:tabs>
                <w:tab w:val="left" w:pos="567"/>
              </w:tabs>
              <w:ind w:firstLine="709"/>
              <w:rPr>
                <w:szCs w:val="24"/>
              </w:rPr>
            </w:pPr>
            <w:r w:rsidRPr="00A23740">
              <w:rPr>
                <w:lang w:val="x-none" w:eastAsia="x-none"/>
              </w:rPr>
              <w:t>Üçüncü fıkraya göre iflas</w:t>
            </w:r>
            <w:r w:rsidRPr="00A23740">
              <w:rPr>
                <w:szCs w:val="24"/>
              </w:rPr>
              <w:t xml:space="preserve"> idare</w:t>
            </w:r>
            <w:r w:rsidRPr="00A23740">
              <w:rPr>
                <w:lang w:val="x-none" w:eastAsia="x-none"/>
              </w:rPr>
              <w:t>si</w:t>
            </w:r>
            <w:r w:rsidRPr="00A23740">
              <w:rPr>
                <w:szCs w:val="24"/>
              </w:rPr>
              <w:t xml:space="preserve">, </w:t>
            </w:r>
            <w:r w:rsidRPr="00A23740">
              <w:rPr>
                <w:lang w:val="x-none" w:eastAsia="x-none"/>
              </w:rPr>
              <w:t xml:space="preserve">ikiyüzbin </w:t>
            </w:r>
            <w:r w:rsidRPr="00A23740">
              <w:rPr>
                <w:szCs w:val="24"/>
              </w:rPr>
              <w:t xml:space="preserve">Türk lirasına kadar olan alacaklarda doğrudan doğruya, daha fazla alacaklarda ise </w:t>
            </w:r>
            <w:r w:rsidRPr="00A23740">
              <w:rPr>
                <w:lang w:val="x-none" w:eastAsia="x-none"/>
              </w:rPr>
              <w:t>ikinci</w:t>
            </w:r>
            <w:r w:rsidRPr="00A23740">
              <w:rPr>
                <w:szCs w:val="24"/>
              </w:rPr>
              <w:t xml:space="preserve"> alacaklılar toplan</w:t>
            </w:r>
            <w:r w:rsidRPr="00A23740">
              <w:rPr>
                <w:lang w:val="x-none" w:eastAsia="x-none"/>
              </w:rPr>
              <w:t>tısının</w:t>
            </w:r>
            <w:r w:rsidRPr="00A23740">
              <w:rPr>
                <w:szCs w:val="24"/>
              </w:rPr>
              <w:t xml:space="preserve"> vereceği yetkiyle </w:t>
            </w:r>
            <w:r w:rsidRPr="00A23740">
              <w:rPr>
                <w:lang w:val="x-none" w:eastAsia="x-none"/>
              </w:rPr>
              <w:t>feragat</w:t>
            </w:r>
            <w:r w:rsidR="00181110" w:rsidRPr="00A23740">
              <w:rPr>
                <w:lang w:eastAsia="x-none"/>
              </w:rPr>
              <w:t xml:space="preserve"> edebilir</w:t>
            </w:r>
            <w:r w:rsidRPr="00A23740">
              <w:rPr>
                <w:lang w:val="x-none" w:eastAsia="x-none"/>
              </w:rPr>
              <w:t xml:space="preserve"> </w:t>
            </w:r>
            <w:r w:rsidR="00EC1D69" w:rsidRPr="00845E21">
              <w:rPr>
                <w:rFonts w:eastAsia="Times New Roman"/>
                <w:bCs/>
                <w:szCs w:val="24"/>
                <w:lang w:eastAsia="x-none"/>
              </w:rPr>
              <w:t xml:space="preserve">veya </w:t>
            </w:r>
            <w:r w:rsidRPr="00845E21">
              <w:rPr>
                <w:rFonts w:eastAsia="Times New Roman"/>
                <w:bCs/>
                <w:szCs w:val="24"/>
                <w:lang w:eastAsia="x-none"/>
              </w:rPr>
              <w:t>kabul</w:t>
            </w:r>
            <w:r w:rsidR="00181110" w:rsidRPr="00845E21">
              <w:rPr>
                <w:rFonts w:eastAsia="Times New Roman"/>
                <w:bCs/>
                <w:szCs w:val="24"/>
                <w:lang w:eastAsia="x-none"/>
              </w:rPr>
              <w:t>de bulunabilir</w:t>
            </w:r>
            <w:r w:rsidR="00EC1D69" w:rsidRPr="00A23740">
              <w:rPr>
                <w:lang w:eastAsia="x-none"/>
              </w:rPr>
              <w:t xml:space="preserve"> </w:t>
            </w:r>
            <w:r w:rsidR="00181110" w:rsidRPr="00A23740">
              <w:rPr>
                <w:szCs w:val="24"/>
              </w:rPr>
              <w:t xml:space="preserve">ya da </w:t>
            </w:r>
            <w:r w:rsidRPr="00A23740">
              <w:rPr>
                <w:szCs w:val="24"/>
              </w:rPr>
              <w:t>sulh olabilir veya</w:t>
            </w:r>
            <w:r w:rsidR="00181110" w:rsidRPr="00A23740">
              <w:rPr>
                <w:szCs w:val="24"/>
              </w:rPr>
              <w:t>hut</w:t>
            </w:r>
            <w:r w:rsidRPr="00A23740">
              <w:rPr>
                <w:szCs w:val="24"/>
              </w:rPr>
              <w:t xml:space="preserve"> tahkim yapabilir</w:t>
            </w:r>
            <w:r w:rsidR="00181110" w:rsidRPr="00A23740">
              <w:rPr>
                <w:szCs w:val="24"/>
              </w:rPr>
              <w:t>,</w:t>
            </w:r>
            <w:r w:rsidRPr="00A23740">
              <w:rPr>
                <w:szCs w:val="24"/>
              </w:rPr>
              <w:t xml:space="preserve"> arabuluculuğa </w:t>
            </w:r>
            <w:r w:rsidR="00543C57" w:rsidRPr="00A23740">
              <w:rPr>
                <w:szCs w:val="24"/>
              </w:rPr>
              <w:t>başvurabilir. 2004 sayılı Kanun</w:t>
            </w:r>
            <w:r w:rsidRPr="00A23740">
              <w:rPr>
                <w:szCs w:val="24"/>
              </w:rPr>
              <w:t>da iflas idaresine sulh olmak veya tahkim yapmak yetkisi tanınmışken bu fıkra</w:t>
            </w:r>
            <w:r w:rsidR="00181110" w:rsidRPr="00A23740">
              <w:rPr>
                <w:szCs w:val="24"/>
              </w:rPr>
              <w:t>yla</w:t>
            </w:r>
            <w:r w:rsidRPr="00A23740">
              <w:rPr>
                <w:szCs w:val="24"/>
              </w:rPr>
              <w:t xml:space="preserve"> feragat, kabul ve arabuluculuk</w:t>
            </w:r>
            <w:r w:rsidR="00EC1D69" w:rsidRPr="00A23740">
              <w:rPr>
                <w:szCs w:val="24"/>
              </w:rPr>
              <w:t xml:space="preserve"> da yetki kapsamına alınmıştır.</w:t>
            </w:r>
            <w:r w:rsidR="00F805B5" w:rsidRPr="00A23740">
              <w:rPr>
                <w:szCs w:val="24"/>
              </w:rPr>
              <w:t xml:space="preserve"> </w:t>
            </w:r>
          </w:p>
          <w:p w:rsidR="00F97472" w:rsidRPr="00A23740" w:rsidRDefault="00F97472" w:rsidP="009431FF">
            <w:pPr>
              <w:tabs>
                <w:tab w:val="left" w:pos="567"/>
              </w:tabs>
              <w:ind w:firstLine="709"/>
              <w:rPr>
                <w:szCs w:val="24"/>
              </w:rPr>
            </w:pPr>
            <w:r w:rsidRPr="00A23740">
              <w:t xml:space="preserve">Dördüncü fıkrada </w:t>
            </w:r>
            <w:r w:rsidR="00F805B5" w:rsidRPr="00845E21">
              <w:rPr>
                <w:bCs/>
                <w:szCs w:val="24"/>
              </w:rPr>
              <w:t>3, 9, 10, 11, 14</w:t>
            </w:r>
            <w:r w:rsidR="0051419B">
              <w:rPr>
                <w:bCs/>
                <w:szCs w:val="24"/>
              </w:rPr>
              <w:t>, 15 ve 21</w:t>
            </w:r>
            <w:r w:rsidR="00F805B5" w:rsidRPr="00A23740">
              <w:rPr>
                <w:rStyle w:val="Balk1Char"/>
                <w:rFonts w:eastAsia="Calibri"/>
              </w:rPr>
              <w:t xml:space="preserve"> </w:t>
            </w:r>
            <w:r w:rsidR="00F805B5" w:rsidRPr="00845E21">
              <w:rPr>
                <w:bCs/>
                <w:szCs w:val="24"/>
              </w:rPr>
              <w:t>ve 22 nci</w:t>
            </w:r>
            <w:r w:rsidR="00F805B5" w:rsidRPr="00A23740">
              <w:rPr>
                <w:rStyle w:val="Balk1Char"/>
                <w:rFonts w:eastAsia="Calibri"/>
              </w:rPr>
              <w:t xml:space="preserve"> </w:t>
            </w:r>
            <w:r w:rsidRPr="00A23740">
              <w:rPr>
                <w:szCs w:val="24"/>
              </w:rPr>
              <w:t xml:space="preserve">maddelerin icra </w:t>
            </w:r>
            <w:r w:rsidRPr="00A23740">
              <w:rPr>
                <w:lang w:val="x-none" w:eastAsia="x-none"/>
              </w:rPr>
              <w:t>ve iflas</w:t>
            </w:r>
            <w:r w:rsidRPr="00A23740">
              <w:rPr>
                <w:szCs w:val="24"/>
              </w:rPr>
              <w:t xml:space="preserve"> dairelerine ait hükümlerinin </w:t>
            </w:r>
            <w:r w:rsidR="007C4E36" w:rsidRPr="00845E21">
              <w:rPr>
                <w:szCs w:val="24"/>
              </w:rPr>
              <w:t xml:space="preserve">kıyasen </w:t>
            </w:r>
            <w:r w:rsidRPr="00A23740">
              <w:rPr>
                <w:szCs w:val="24"/>
              </w:rPr>
              <w:t>iflas idaresi hakkında da uygulanacağı dü</w:t>
            </w:r>
            <w:r w:rsidR="00543C57" w:rsidRPr="00A23740">
              <w:rPr>
                <w:szCs w:val="24"/>
              </w:rPr>
              <w:t>zenlenmiştir. 2004 sayılı Kanun</w:t>
            </w:r>
            <w:r w:rsidRPr="00A23740">
              <w:rPr>
                <w:szCs w:val="24"/>
              </w:rPr>
              <w:t>dan farklı olarak</w:t>
            </w:r>
            <w:r w:rsidR="00181110" w:rsidRPr="00A23740">
              <w:rPr>
                <w:szCs w:val="24"/>
              </w:rPr>
              <w:t>,</w:t>
            </w:r>
            <w:r w:rsidRPr="00A23740">
              <w:rPr>
                <w:szCs w:val="24"/>
              </w:rPr>
              <w:t xml:space="preserve"> atıf yapılan hükümler arasına </w:t>
            </w:r>
            <w:r w:rsidR="00F805B5" w:rsidRPr="00A23740">
              <w:rPr>
                <w:rStyle w:val="Balk1Char"/>
                <w:rFonts w:eastAsia="Calibri"/>
                <w:b w:val="0"/>
                <w:color w:val="000000"/>
              </w:rPr>
              <w:t>14</w:t>
            </w:r>
            <w:r w:rsidR="00F805B5" w:rsidRPr="00A23740">
              <w:rPr>
                <w:rStyle w:val="Balk1Char"/>
                <w:rFonts w:eastAsia="Calibri"/>
                <w:color w:val="000000"/>
              </w:rPr>
              <w:t xml:space="preserve"> </w:t>
            </w:r>
            <w:r w:rsidR="00181110" w:rsidRPr="00845E21">
              <w:rPr>
                <w:bCs/>
                <w:szCs w:val="24"/>
              </w:rPr>
              <w:t>üncü madde</w:t>
            </w:r>
            <w:r w:rsidR="00181110" w:rsidRPr="00A23740">
              <w:rPr>
                <w:rStyle w:val="Balk1Char"/>
                <w:rFonts w:eastAsia="Calibri"/>
                <w:color w:val="000000"/>
              </w:rPr>
              <w:t xml:space="preserve"> </w:t>
            </w:r>
            <w:r w:rsidRPr="00A23740">
              <w:rPr>
                <w:szCs w:val="24"/>
              </w:rPr>
              <w:t>de dahil edilmiş ve böylece iflas idaresi üyelerinin de yasaklılığı h</w:t>
            </w:r>
            <w:r w:rsidR="00EC1D69" w:rsidRPr="00A23740">
              <w:rPr>
                <w:szCs w:val="24"/>
              </w:rPr>
              <w:t>â</w:t>
            </w:r>
            <w:r w:rsidRPr="00A23740">
              <w:rPr>
                <w:szCs w:val="24"/>
              </w:rPr>
              <w:t>lleri kabul edilm</w:t>
            </w:r>
            <w:r w:rsidR="00543C57" w:rsidRPr="00A23740">
              <w:rPr>
                <w:szCs w:val="24"/>
              </w:rPr>
              <w:t xml:space="preserve">iştir. Ayrıca 2004 sayılı Kanunun 227 </w:t>
            </w:r>
            <w:r w:rsidRPr="00A23740">
              <w:rPr>
                <w:szCs w:val="24"/>
              </w:rPr>
              <w:t xml:space="preserve">nci maddesinden farklı olarak bu fıkrada, söz konusu hükümlerin </w:t>
            </w:r>
            <w:r w:rsidR="007C4E36" w:rsidRPr="00845E21">
              <w:rPr>
                <w:szCs w:val="24"/>
              </w:rPr>
              <w:t>kıyasen</w:t>
            </w:r>
            <w:r w:rsidRPr="00A23740">
              <w:rPr>
                <w:szCs w:val="24"/>
              </w:rPr>
              <w:t xml:space="preserve"> uygulanacağı hususu tasrih edilmiştir. </w:t>
            </w:r>
          </w:p>
          <w:p w:rsidR="00F97472" w:rsidRPr="00A23740" w:rsidRDefault="00F97472" w:rsidP="009431FF">
            <w:pPr>
              <w:tabs>
                <w:tab w:val="left" w:pos="567"/>
              </w:tabs>
              <w:ind w:firstLine="709"/>
              <w:rPr>
                <w:szCs w:val="24"/>
              </w:rPr>
            </w:pPr>
            <w:r w:rsidRPr="00A23740">
              <w:rPr>
                <w:szCs w:val="24"/>
              </w:rPr>
              <w:t xml:space="preserve">Beşinci fıkra iflas idaresinin alacaklılara bilgi verme yükümlülüğüne ilişkindir. </w:t>
            </w:r>
          </w:p>
          <w:p w:rsidR="00F97472" w:rsidRPr="00A23740" w:rsidRDefault="00F97472" w:rsidP="009431FF">
            <w:pPr>
              <w:tabs>
                <w:tab w:val="left" w:pos="567"/>
              </w:tabs>
              <w:ind w:firstLine="709"/>
              <w:rPr>
                <w:szCs w:val="24"/>
              </w:rPr>
            </w:pPr>
            <w:r w:rsidRPr="00A23740">
              <w:rPr>
                <w:szCs w:val="24"/>
              </w:rPr>
              <w:t xml:space="preserve">2004 </w:t>
            </w:r>
            <w:r w:rsidR="00543C57" w:rsidRPr="00A23740">
              <w:rPr>
                <w:szCs w:val="24"/>
              </w:rPr>
              <w:t>sayılı Kanun</w:t>
            </w:r>
            <w:r w:rsidRPr="00A23740">
              <w:rPr>
                <w:szCs w:val="24"/>
              </w:rPr>
              <w:t xml:space="preserve">da </w:t>
            </w:r>
            <w:r w:rsidRPr="00A23740">
              <w:t>iflas idarelerinin bildirimlerini ne şekilde yapacakları konusu düzenlenmemiş olduğundan</w:t>
            </w:r>
            <w:r w:rsidR="00181110" w:rsidRPr="00A23740">
              <w:t>,</w:t>
            </w:r>
            <w:r w:rsidRPr="00A23740">
              <w:t xml:space="preserve"> altıncı </w:t>
            </w:r>
            <w:r w:rsidR="00EC1D69" w:rsidRPr="00845E21">
              <w:rPr>
                <w:bCs/>
                <w:szCs w:val="24"/>
              </w:rPr>
              <w:t>fıkrayla</w:t>
            </w:r>
            <w:r w:rsidR="00EC1D69" w:rsidRPr="00A23740">
              <w:t xml:space="preserve"> </w:t>
            </w:r>
            <w:r w:rsidRPr="00A23740">
              <w:t xml:space="preserve">7201 sayılı Tebligat Kanunu anlamında tebliğ çıkarabilecek merciler arasında iflas idaresinin de yer alması hususu </w:t>
            </w:r>
            <w:r w:rsidR="00C02D1D" w:rsidRPr="00845E21">
              <w:rPr>
                <w:bCs/>
              </w:rPr>
              <w:t>düzenlenmiştir.</w:t>
            </w:r>
            <w:r w:rsidR="00C02D1D" w:rsidRPr="00A23740">
              <w:t xml:space="preserve"> </w:t>
            </w:r>
            <w:r w:rsidRPr="00A23740">
              <w:t>Maddede yapılan düzenleme</w:t>
            </w:r>
            <w:r w:rsidR="00EC1D69" w:rsidRPr="001560F0">
              <w:rPr>
                <w:rStyle w:val="Balk1Char"/>
                <w:rFonts w:eastAsia="Calibri"/>
                <w:b w:val="0"/>
                <w:color w:val="000000" w:themeColor="text1"/>
              </w:rPr>
              <w:t>,</w:t>
            </w:r>
            <w:r w:rsidRPr="00A23740">
              <w:t xml:space="preserve"> iflas idaresinin her türlü bildirimi mutlaka tebligat şeklinde yapması gerektiği şeklinde anlaşılmamalı, yalnızca iflas idaresine “tebliğ” görevi yüklendiği h</w:t>
            </w:r>
            <w:r w:rsidR="00EC1D69" w:rsidRPr="00A23740">
              <w:t>â</w:t>
            </w:r>
            <w:r w:rsidRPr="00A23740">
              <w:t>llerde bunu Tebligat Kanunu kapsamında ve elektronik yolla gerçekleştireceği</w:t>
            </w:r>
            <w:r w:rsidR="00181110" w:rsidRPr="00A23740">
              <w:t>,</w:t>
            </w:r>
            <w:r w:rsidRPr="00A23740">
              <w:t xml:space="preserve"> hatta KEP adresi almak suretiyle istisnai olarak bu şekilde de tebligat yapabile</w:t>
            </w:r>
            <w:r w:rsidR="0051419B">
              <w:t>ceği açıklığa kavuşturulmuştur.</w:t>
            </w:r>
          </w:p>
          <w:p w:rsidR="00C02D1D" w:rsidRPr="00A23740" w:rsidRDefault="00C02D1D"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StilKrmz"/>
              <w:rPr>
                <w:lang w:val="tr-TR"/>
              </w:rPr>
            </w:pPr>
            <w:r w:rsidRPr="00A23740">
              <w:rPr>
                <w:lang w:val="tr-TR"/>
              </w:rPr>
              <w:t>İflas idaresi ve iflas dairesinin vazifeleri:</w:t>
            </w:r>
          </w:p>
          <w:p w:rsidR="00AA5C8C" w:rsidRPr="00A23740" w:rsidRDefault="00AA5C8C" w:rsidP="009431FF">
            <w:pPr>
              <w:pStyle w:val="StilKrmz"/>
              <w:rPr>
                <w:lang w:val="tr-TR"/>
              </w:rPr>
            </w:pPr>
            <w:r w:rsidRPr="00A23740">
              <w:rPr>
                <w:lang w:val="tr-TR"/>
              </w:rPr>
              <w:t>Madde 223 – (Değişik: 6/6/1985-3222/26 md.)</w:t>
            </w:r>
          </w:p>
          <w:p w:rsidR="00AA5C8C" w:rsidRPr="00A23740" w:rsidRDefault="00AA5C8C" w:rsidP="009431FF">
            <w:pPr>
              <w:rPr>
                <w:szCs w:val="24"/>
              </w:rPr>
            </w:pPr>
            <w:r w:rsidRPr="00A23740">
              <w:rPr>
                <w:rFonts w:eastAsia="Times New Roman"/>
                <w:b/>
                <w:bCs/>
                <w:color w:val="000000"/>
                <w:szCs w:val="24"/>
                <w:lang w:eastAsia="tr-TR"/>
              </w:rPr>
              <w:t>…</w:t>
            </w:r>
          </w:p>
          <w:p w:rsidR="00AA5C8C" w:rsidRPr="00A23740" w:rsidRDefault="00AA5C8C" w:rsidP="009431FF">
            <w:pPr>
              <w:rPr>
                <w:rFonts w:eastAsia="Times New Roman"/>
                <w:color w:val="000000"/>
                <w:szCs w:val="24"/>
                <w:lang w:eastAsia="tr-TR"/>
              </w:rPr>
            </w:pPr>
            <w:r w:rsidRPr="00A23740">
              <w:rPr>
                <w:rStyle w:val="StilKrmzChar"/>
                <w:rFonts w:eastAsia="Calibri"/>
                <w:lang w:val="tr-TR"/>
              </w:rPr>
              <w:t xml:space="preserve">(3) </w:t>
            </w:r>
            <w:r w:rsidRPr="00A23740">
              <w:rPr>
                <w:rStyle w:val="StilKrmzChar"/>
                <w:rFonts w:eastAsia="Calibri"/>
                <w:lang w:val="tr-TR" w:eastAsia="tr-TR"/>
              </w:rPr>
              <w:t>(Değişik üçüncü fıkra: 17/7/2003-4949/54 md.) İflâs idaresi toplantıları,</w:t>
            </w:r>
            <w:r w:rsidRPr="00A23740">
              <w:rPr>
                <w:rFonts w:eastAsia="Times New Roman"/>
                <w:color w:val="000000"/>
                <w:szCs w:val="24"/>
                <w:lang w:eastAsia="tr-TR"/>
              </w:rPr>
              <w:t xml:space="preserve"> idare memurlarının veya herhangi bir alacaklının gündem belirlemek suretiyle yapacağı talep üzerine iflâs dairesi müdürü</w:t>
            </w:r>
            <w:r w:rsidRPr="00A23740">
              <w:rPr>
                <w:rStyle w:val="StilKrmzChar"/>
                <w:rFonts w:eastAsia="Calibri"/>
                <w:lang w:val="tr-TR" w:eastAsia="tr-TR"/>
              </w:rPr>
              <w:t>nün</w:t>
            </w:r>
            <w:r w:rsidRPr="00A23740">
              <w:rPr>
                <w:rFonts w:eastAsia="Times New Roman"/>
                <w:color w:val="000000"/>
                <w:szCs w:val="24"/>
                <w:lang w:eastAsia="tr-TR"/>
              </w:rPr>
              <w:t xml:space="preserve"> toplantı gününden en az </w:t>
            </w:r>
            <w:r w:rsidRPr="00A23740">
              <w:rPr>
                <w:rStyle w:val="StilKrmzChar"/>
                <w:rFonts w:eastAsia="Calibri"/>
                <w:lang w:val="tr-TR" w:eastAsia="tr-TR"/>
              </w:rPr>
              <w:t>yedi gün</w:t>
            </w:r>
            <w:r w:rsidRPr="00A23740">
              <w:rPr>
                <w:rFonts w:eastAsia="Times New Roman"/>
                <w:color w:val="000000"/>
                <w:szCs w:val="24"/>
                <w:lang w:eastAsia="tr-TR"/>
              </w:rPr>
              <w:t xml:space="preserve"> önce </w:t>
            </w:r>
            <w:r w:rsidRPr="00A23740">
              <w:rPr>
                <w:rStyle w:val="StilKrmzChar"/>
                <w:rFonts w:eastAsia="Calibri"/>
                <w:lang w:val="tr-TR" w:eastAsia="tr-TR"/>
              </w:rPr>
              <w:t>göndereceği</w:t>
            </w:r>
            <w:r w:rsidRPr="00A23740">
              <w:rPr>
                <w:rFonts w:eastAsia="Times New Roman"/>
                <w:color w:val="000000"/>
                <w:szCs w:val="24"/>
                <w:lang w:eastAsia="tr-TR"/>
              </w:rPr>
              <w:t xml:space="preserve"> çağrı üzerine yapılır.</w:t>
            </w:r>
            <w:r w:rsidRPr="00A23740">
              <w:rPr>
                <w:rFonts w:eastAsia="Times New Roman"/>
                <w:b/>
                <w:color w:val="000000"/>
                <w:szCs w:val="24"/>
                <w:lang w:eastAsia="tr-TR"/>
              </w:rPr>
              <w:t xml:space="preserve"> </w:t>
            </w:r>
            <w:r w:rsidRPr="00A23740">
              <w:rPr>
                <w:rStyle w:val="KIRMIZIChar"/>
                <w:rFonts w:eastAsia="Calibri"/>
              </w:rPr>
              <w:t>İflâs idaresi, kararlarını çoğunlukla alır; ancak toplantıya her üç iflâs idare memurunun da katılmaması hâlinde iflâs dairesi müdürü iflâs idaresinin görevini yüklenir ve iflâs idaresi adına tek başına karar alır. Toplantıya iflâs idaresi memurlarından birinin veya ikisinin iştiraki hâlinde iflâs dairesi müdürü de bu toplantıya katılır. Karar alınamaması hâlinde iflâs dairesi müdürünün oyu doğrultusunda işlem yapılır.</w:t>
            </w:r>
            <w:r w:rsidRPr="00A23740">
              <w:rPr>
                <w:rFonts w:eastAsia="Times New Roman"/>
                <w:color w:val="000000"/>
                <w:szCs w:val="24"/>
                <w:lang w:eastAsia="tr-TR"/>
              </w:rPr>
              <w:t xml:space="preserve"> </w:t>
            </w:r>
            <w:r w:rsidRPr="00A23740">
              <w:rPr>
                <w:rStyle w:val="KIRMIZIChar"/>
                <w:rFonts w:eastAsia="Calibri"/>
              </w:rPr>
              <w:t>İflâs masasına alacaklı olarak müracaat eden alacaklılar, tebligata elverişli adres göstermek ve Adalet Bakanlığınca çıkarılacak tarifede gösterilecek yazı ve tebliğ masrafları için avans vermek suretiyle iflâs idaresince alınacak kararların kendilerine tebliğini isteyebilirler. Bu muameleyi yaptırmış alacaklılar hakkında iflâs idare memurunun kararlarına karşı kanun yolları kendilerine tebliğ tarihinden itibaren işlemeye başlar.</w:t>
            </w:r>
          </w:p>
          <w:p w:rsidR="00AA5C8C" w:rsidRPr="00A23740" w:rsidRDefault="00AA5C8C" w:rsidP="009431FF">
            <w:pPr>
              <w:rPr>
                <w:rFonts w:eastAsia="Times New Roman"/>
                <w:color w:val="000000"/>
                <w:szCs w:val="24"/>
                <w:lang w:eastAsia="tr-TR"/>
              </w:rPr>
            </w:pPr>
          </w:p>
          <w:p w:rsidR="00AA5C8C" w:rsidRPr="00A23740" w:rsidRDefault="00AE0894" w:rsidP="009431FF">
            <w:pPr>
              <w:rPr>
                <w:rFonts w:eastAsia="Times New Roman"/>
                <w:color w:val="000000"/>
                <w:szCs w:val="24"/>
                <w:lang w:eastAsia="tr-TR"/>
              </w:rPr>
            </w:pPr>
            <w:r>
              <w:rPr>
                <w:rFonts w:eastAsia="Times New Roman"/>
                <w:b/>
                <w:color w:val="FF0000"/>
                <w:szCs w:val="24"/>
                <w:lang w:eastAsia="tr-TR"/>
              </w:rPr>
              <w:t>M.223/F3.</w:t>
            </w:r>
            <w:r w:rsidR="00AA5C8C" w:rsidRPr="00A23740">
              <w:rPr>
                <w:rFonts w:eastAsia="Times New Roman"/>
                <w:b/>
                <w:color w:val="FF0000"/>
                <w:szCs w:val="24"/>
                <w:lang w:eastAsia="tr-TR"/>
              </w:rPr>
              <w:t>C2-3-4:</w:t>
            </w:r>
            <w:r w:rsidR="00AA5C8C" w:rsidRPr="00A23740">
              <w:rPr>
                <w:rFonts w:eastAsia="Times New Roman"/>
                <w:b/>
                <w:color w:val="000000"/>
                <w:szCs w:val="24"/>
                <w:lang w:eastAsia="tr-TR"/>
              </w:rPr>
              <w:t xml:space="preserve"> </w:t>
            </w:r>
            <w:r w:rsidR="00AA5C8C" w:rsidRPr="00A23740">
              <w:rPr>
                <w:rFonts w:eastAsia="Times New Roman"/>
                <w:color w:val="000000"/>
                <w:szCs w:val="24"/>
                <w:lang w:eastAsia="tr-TR"/>
              </w:rPr>
              <w:t>İflâs idaresi, kararlarını çoğunlukla alır</w:t>
            </w:r>
            <w:r w:rsidR="00AA5C8C" w:rsidRPr="00A23740">
              <w:rPr>
                <w:rStyle w:val="StilKrmzChar"/>
                <w:rFonts w:eastAsia="Calibri"/>
                <w:lang w:val="tr-TR" w:eastAsia="tr-TR"/>
              </w:rPr>
              <w:t>; ancak</w:t>
            </w:r>
            <w:r w:rsidR="00AA5C8C" w:rsidRPr="00A23740">
              <w:rPr>
                <w:rFonts w:eastAsia="Times New Roman"/>
                <w:color w:val="000000"/>
                <w:szCs w:val="24"/>
                <w:lang w:eastAsia="tr-TR"/>
              </w:rPr>
              <w:t xml:space="preserve"> </w:t>
            </w:r>
            <w:r w:rsidR="00AA5C8C" w:rsidRPr="00A23740">
              <w:rPr>
                <w:rStyle w:val="StilKrmzChar"/>
                <w:rFonts w:eastAsia="Calibri"/>
                <w:lang w:val="tr-TR" w:eastAsia="tr-TR"/>
              </w:rPr>
              <w:t>toplantıya her üç iflâs idare memurunun da katılmaması hâlinde iflâs dairesi müdürü iflâs idaresinin görevini yüklenir ve iflâs idaresi adına tek başına karar alır.</w:t>
            </w:r>
            <w:r w:rsidR="00AA5C8C" w:rsidRPr="00A23740">
              <w:rPr>
                <w:rFonts w:eastAsia="Times New Roman"/>
                <w:color w:val="000000"/>
                <w:szCs w:val="24"/>
                <w:lang w:eastAsia="tr-TR"/>
              </w:rPr>
              <w:t xml:space="preserve"> Toplantıya iflâs idaresi memurlarından birinin veya ikisinin </w:t>
            </w:r>
            <w:r w:rsidR="00AA5C8C" w:rsidRPr="00A23740">
              <w:rPr>
                <w:rStyle w:val="KIRMIZIChar"/>
                <w:rFonts w:eastAsia="Calibri"/>
              </w:rPr>
              <w:t>iştiraki</w:t>
            </w:r>
            <w:r w:rsidR="00AA5C8C" w:rsidRPr="00A23740">
              <w:rPr>
                <w:rFonts w:eastAsia="Times New Roman"/>
                <w:color w:val="000000"/>
                <w:szCs w:val="24"/>
                <w:lang w:eastAsia="tr-TR"/>
              </w:rPr>
              <w:t xml:space="preserve"> hâlinde iflâs dairesi müdürü </w:t>
            </w:r>
            <w:r w:rsidR="00AA5C8C" w:rsidRPr="00A23740">
              <w:rPr>
                <w:rStyle w:val="StilKrmzChar"/>
                <w:rFonts w:eastAsia="Calibri"/>
                <w:lang w:val="tr-TR" w:eastAsia="tr-TR"/>
              </w:rPr>
              <w:t>de bu toplantıya</w:t>
            </w:r>
            <w:r w:rsidR="00AA5C8C" w:rsidRPr="00A23740">
              <w:rPr>
                <w:rFonts w:eastAsia="Times New Roman"/>
                <w:color w:val="000000"/>
                <w:szCs w:val="24"/>
                <w:lang w:eastAsia="tr-TR"/>
              </w:rPr>
              <w:t xml:space="preserve"> katılır. Karar alınamaması hâlinde iflâs </w:t>
            </w:r>
            <w:r w:rsidR="00AA5C8C" w:rsidRPr="00A23740">
              <w:rPr>
                <w:rStyle w:val="StilKrmzChar"/>
                <w:rFonts w:eastAsia="Calibri"/>
                <w:lang w:val="tr-TR" w:eastAsia="tr-TR"/>
              </w:rPr>
              <w:t>dairesi</w:t>
            </w:r>
            <w:r w:rsidR="00AA5C8C" w:rsidRPr="00A23740">
              <w:rPr>
                <w:rFonts w:eastAsia="Times New Roman"/>
                <w:color w:val="000000"/>
                <w:szCs w:val="24"/>
                <w:lang w:eastAsia="tr-TR"/>
              </w:rPr>
              <w:t xml:space="preserve"> müdürünün oyu doğrultusunda işlem yapılır. </w:t>
            </w:r>
          </w:p>
          <w:p w:rsidR="00AA5C8C" w:rsidRPr="00A23740" w:rsidRDefault="00AA5C8C" w:rsidP="009431FF">
            <w:pPr>
              <w:rPr>
                <w:rFonts w:eastAsia="Times New Roman"/>
                <w:color w:val="000000"/>
                <w:szCs w:val="24"/>
                <w:lang w:eastAsia="tr-TR"/>
              </w:rPr>
            </w:pPr>
          </w:p>
          <w:p w:rsidR="00AA5C8C" w:rsidRPr="00A23740" w:rsidRDefault="00AE0894" w:rsidP="009431FF">
            <w:pPr>
              <w:rPr>
                <w:rFonts w:eastAsia="Times New Roman"/>
                <w:color w:val="000000"/>
                <w:szCs w:val="24"/>
                <w:lang w:eastAsia="tr-TR"/>
              </w:rPr>
            </w:pPr>
            <w:r>
              <w:rPr>
                <w:rFonts w:eastAsia="Times New Roman"/>
                <w:b/>
                <w:color w:val="FF0000"/>
                <w:szCs w:val="24"/>
                <w:lang w:eastAsia="tr-TR"/>
              </w:rPr>
              <w:t>M.</w:t>
            </w:r>
            <w:r w:rsidR="00AA5C8C" w:rsidRPr="00A23740">
              <w:rPr>
                <w:rFonts w:eastAsia="Times New Roman"/>
                <w:b/>
                <w:color w:val="FF0000"/>
                <w:szCs w:val="24"/>
                <w:lang w:eastAsia="tr-TR"/>
              </w:rPr>
              <w:t>223</w:t>
            </w:r>
            <w:r>
              <w:rPr>
                <w:rFonts w:eastAsia="Times New Roman"/>
                <w:b/>
                <w:color w:val="FF0000"/>
                <w:szCs w:val="24"/>
                <w:lang w:eastAsia="tr-TR"/>
              </w:rPr>
              <w:t>/F3.</w:t>
            </w:r>
            <w:r w:rsidR="00AA5C8C" w:rsidRPr="00A23740">
              <w:rPr>
                <w:rFonts w:eastAsia="Times New Roman"/>
                <w:b/>
                <w:color w:val="FF0000"/>
                <w:szCs w:val="24"/>
                <w:lang w:eastAsia="tr-TR"/>
              </w:rPr>
              <w:t xml:space="preserve">C5-6: </w:t>
            </w:r>
            <w:r w:rsidR="00AA5C8C" w:rsidRPr="00A23740">
              <w:rPr>
                <w:rFonts w:eastAsia="Times New Roman"/>
                <w:color w:val="000000"/>
                <w:szCs w:val="24"/>
                <w:lang w:eastAsia="tr-TR"/>
              </w:rPr>
              <w:t xml:space="preserve">İflâs masasına alacaklı olarak </w:t>
            </w:r>
            <w:r w:rsidR="00AA5C8C" w:rsidRPr="00A23740">
              <w:rPr>
                <w:rStyle w:val="StilKrmzChar"/>
                <w:rFonts w:eastAsia="Calibri"/>
                <w:lang w:val="tr-TR" w:eastAsia="tr-TR"/>
              </w:rPr>
              <w:t>müracaat eden</w:t>
            </w:r>
            <w:r w:rsidR="00AA5C8C" w:rsidRPr="00A23740">
              <w:rPr>
                <w:rFonts w:eastAsia="Times New Roman"/>
                <w:color w:val="000000"/>
                <w:szCs w:val="24"/>
                <w:lang w:eastAsia="tr-TR"/>
              </w:rPr>
              <w:t xml:space="preserve"> alacaklılar, tebligata elverişli adres göstermek ve Adalet Bakanlığınca çıkarılacak tarifede gösterilecek yazı ve tebliğ </w:t>
            </w:r>
            <w:r w:rsidR="00AA5C8C" w:rsidRPr="00A23740">
              <w:rPr>
                <w:rStyle w:val="KIRMIZIChar"/>
                <w:rFonts w:eastAsia="Calibri"/>
              </w:rPr>
              <w:t>masrafları</w:t>
            </w:r>
            <w:r w:rsidR="00AA5C8C" w:rsidRPr="00A23740">
              <w:rPr>
                <w:rFonts w:eastAsia="Times New Roman"/>
                <w:color w:val="000000"/>
                <w:szCs w:val="24"/>
                <w:lang w:eastAsia="tr-TR"/>
              </w:rPr>
              <w:t xml:space="preserve"> için avans vermek suretiyle iflâs idaresince alınacak kararların kendilerine tebliğini isteyebilirler. Bu </w:t>
            </w:r>
            <w:r w:rsidR="00AA5C8C" w:rsidRPr="00A23740">
              <w:rPr>
                <w:rStyle w:val="StilKrmzChar"/>
                <w:rFonts w:eastAsia="Calibri"/>
                <w:lang w:val="tr-TR" w:eastAsia="tr-TR"/>
              </w:rPr>
              <w:t>muameleyi</w:t>
            </w:r>
            <w:r w:rsidR="00AA5C8C" w:rsidRPr="00A23740">
              <w:rPr>
                <w:rFonts w:eastAsia="Times New Roman"/>
                <w:color w:val="000000"/>
                <w:szCs w:val="24"/>
                <w:lang w:eastAsia="tr-TR"/>
              </w:rPr>
              <w:t xml:space="preserve"> yaptır</w:t>
            </w:r>
            <w:r w:rsidR="00AA5C8C" w:rsidRPr="00A23740">
              <w:rPr>
                <w:rStyle w:val="StilKrmzChar"/>
                <w:rFonts w:eastAsia="Calibri"/>
                <w:lang w:val="tr-TR" w:eastAsia="tr-TR"/>
              </w:rPr>
              <w:t>mış</w:t>
            </w:r>
            <w:r w:rsidR="00AA5C8C" w:rsidRPr="00A23740">
              <w:rPr>
                <w:rStyle w:val="StilKrmzChar"/>
                <w:rFonts w:eastAsia="Calibri"/>
                <w:strike w:val="0"/>
                <w:lang w:val="tr-TR" w:eastAsia="tr-TR"/>
              </w:rPr>
              <w:t xml:space="preserve"> </w:t>
            </w:r>
            <w:r w:rsidR="00AA5C8C" w:rsidRPr="00A23740">
              <w:rPr>
                <w:rFonts w:eastAsia="Times New Roman"/>
                <w:color w:val="000000"/>
                <w:szCs w:val="24"/>
                <w:lang w:eastAsia="tr-TR"/>
              </w:rPr>
              <w:t xml:space="preserve">alacaklılar </w:t>
            </w:r>
            <w:r w:rsidR="00AA5C8C" w:rsidRPr="00A23740">
              <w:rPr>
                <w:rStyle w:val="KIRMIZIChar"/>
                <w:rFonts w:eastAsia="Calibri"/>
                <w:lang w:eastAsia="tr-TR"/>
              </w:rPr>
              <w:t>hakkında iflâs idare memurunun kararlarına karşı kanun yolları</w:t>
            </w:r>
            <w:r w:rsidR="00AA5C8C" w:rsidRPr="00A23740">
              <w:rPr>
                <w:rStyle w:val="KIRMIZIChar"/>
                <w:rFonts w:eastAsia="Calibri"/>
                <w:strike w:val="0"/>
                <w:lang w:eastAsia="tr-TR"/>
              </w:rPr>
              <w:t xml:space="preserve"> </w:t>
            </w:r>
            <w:r w:rsidR="00AA5C8C" w:rsidRPr="00A23740">
              <w:rPr>
                <w:rFonts w:eastAsia="Times New Roman"/>
                <w:color w:val="000000"/>
                <w:szCs w:val="24"/>
                <w:lang w:eastAsia="tr-TR"/>
              </w:rPr>
              <w:t>kendilerine tebliğ tarihinden itibaren işlemeye başlar.</w:t>
            </w:r>
          </w:p>
          <w:p w:rsidR="00AA5C8C" w:rsidRPr="00A23740" w:rsidRDefault="00AA5C8C" w:rsidP="009431FF">
            <w:pPr>
              <w:rPr>
                <w:rFonts w:eastAsia="Times New Roman"/>
                <w:color w:val="000000"/>
                <w:szCs w:val="24"/>
                <w:lang w:eastAsia="tr-TR"/>
              </w:rPr>
            </w:pPr>
          </w:p>
          <w:p w:rsidR="00AA5C8C" w:rsidRPr="00A23740" w:rsidRDefault="00AA5C8C" w:rsidP="009431FF">
            <w:pPr>
              <w:rPr>
                <w:rStyle w:val="KIRMIZIChar"/>
                <w:rFonts w:eastAsia="Calibri"/>
              </w:rPr>
            </w:pPr>
            <w:r w:rsidRPr="00A23740">
              <w:rPr>
                <w:rStyle w:val="KIRMIZIChar"/>
                <w:rFonts w:eastAsia="Calibri"/>
              </w:rPr>
              <w:t>(4)</w:t>
            </w:r>
            <w:r w:rsidRPr="00A23740">
              <w:rPr>
                <w:rFonts w:eastAsia="Times New Roman"/>
                <w:color w:val="000000"/>
                <w:szCs w:val="24"/>
                <w:lang w:eastAsia="tr-TR"/>
              </w:rPr>
              <w:t xml:space="preserve"> İflas </w:t>
            </w:r>
            <w:r w:rsidRPr="00F20491">
              <w:rPr>
                <w:rStyle w:val="KIRMIZIChar"/>
                <w:rFonts w:eastAsia="Calibri"/>
              </w:rPr>
              <w:t>idaresine</w:t>
            </w:r>
            <w:r w:rsidRPr="00F20491">
              <w:rPr>
                <w:rFonts w:eastAsia="Times New Roman"/>
                <w:bCs/>
                <w:color w:val="000000"/>
                <w:lang w:eastAsia="tr-TR"/>
              </w:rPr>
              <w:t>,</w:t>
            </w:r>
            <w:r w:rsidRPr="00A23740">
              <w:rPr>
                <w:rFonts w:eastAsia="Times New Roman"/>
                <w:color w:val="000000"/>
                <w:szCs w:val="24"/>
                <w:lang w:eastAsia="tr-TR"/>
              </w:rPr>
              <w:t xml:space="preserve"> Adalet Bakanlığınca </w:t>
            </w:r>
            <w:r w:rsidRPr="00A23740">
              <w:rPr>
                <w:rStyle w:val="KIRMIZIChar"/>
                <w:rFonts w:eastAsia="Calibri"/>
              </w:rPr>
              <w:t>hazırlanan ve iki yılda bir yenilenen ücret tarifesine göre ücret ödenir.</w:t>
            </w:r>
          </w:p>
          <w:p w:rsidR="00AA5C8C" w:rsidRPr="00A23740" w:rsidRDefault="00AA5C8C" w:rsidP="009431FF">
            <w:pPr>
              <w:ind w:firstLine="567"/>
              <w:rPr>
                <w:szCs w:val="24"/>
              </w:rPr>
            </w:pPr>
          </w:p>
        </w:tc>
        <w:tc>
          <w:tcPr>
            <w:tcW w:w="2500" w:type="pct"/>
          </w:tcPr>
          <w:p w:rsidR="00AA5C8C" w:rsidRPr="00A23740" w:rsidRDefault="00AA5C8C" w:rsidP="009431FF">
            <w:pPr>
              <w:tabs>
                <w:tab w:val="left" w:pos="567"/>
              </w:tabs>
              <w:rPr>
                <w:rStyle w:val="MAVChar"/>
                <w:rFonts w:eastAsia="Calibri"/>
                <w:u w:val="none"/>
              </w:rPr>
            </w:pPr>
            <w:r w:rsidRPr="00A23740">
              <w:rPr>
                <w:rStyle w:val="MAVChar"/>
                <w:rFonts w:eastAsia="Calibri"/>
                <w:u w:val="none"/>
              </w:rPr>
              <w:t xml:space="preserve">İflas idaresinin çalışma usulü </w:t>
            </w:r>
            <w:r w:rsidRPr="00A23740">
              <w:rPr>
                <w:rStyle w:val="MaviChar"/>
              </w:rPr>
              <w:t>ve ücreti</w:t>
            </w:r>
          </w:p>
          <w:p w:rsidR="00AA5C8C" w:rsidRPr="00A23740" w:rsidRDefault="00AA5C8C" w:rsidP="009431FF">
            <w:pPr>
              <w:tabs>
                <w:tab w:val="left" w:pos="567"/>
              </w:tabs>
              <w:rPr>
                <w:rStyle w:val="MAVChar"/>
                <w:rFonts w:eastAsia="Calibri"/>
                <w:u w:val="none"/>
              </w:rPr>
            </w:pPr>
            <w:r w:rsidRPr="00A23740">
              <w:rPr>
                <w:rStyle w:val="MAVChar"/>
                <w:rFonts w:eastAsia="Calibri"/>
                <w:u w:val="none"/>
              </w:rPr>
              <w:t>MA</w:t>
            </w:r>
            <w:r w:rsidR="00BB2129" w:rsidRPr="00A23740">
              <w:rPr>
                <w:rStyle w:val="MAVChar"/>
                <w:rFonts w:eastAsia="Calibri"/>
                <w:u w:val="none"/>
              </w:rPr>
              <w:t>DDE 340</w:t>
            </w:r>
            <w:r w:rsidRPr="00A23740">
              <w:rPr>
                <w:b/>
                <w:color w:val="0000FF"/>
                <w:szCs w:val="24"/>
              </w:rPr>
              <w:t>-</w:t>
            </w:r>
            <w:r w:rsidRPr="00A23740">
              <w:rPr>
                <w:rStyle w:val="MAVChar"/>
                <w:rFonts w:eastAsia="Calibri"/>
                <w:u w:val="none"/>
              </w:rPr>
              <w:t xml:space="preserve"> </w:t>
            </w:r>
          </w:p>
          <w:p w:rsidR="00AA5C8C" w:rsidRPr="00A23740" w:rsidRDefault="00AA5C8C" w:rsidP="009431FF">
            <w:pPr>
              <w:tabs>
                <w:tab w:val="left" w:pos="567"/>
              </w:tabs>
              <w:rPr>
                <w:rStyle w:val="MAVChar"/>
                <w:rFonts w:eastAsia="Calibri"/>
                <w:u w:val="none"/>
              </w:rPr>
            </w:pPr>
          </w:p>
          <w:p w:rsidR="00AA5C8C" w:rsidRPr="00A23740" w:rsidRDefault="00AA5C8C" w:rsidP="009431FF">
            <w:pPr>
              <w:rPr>
                <w:szCs w:val="24"/>
              </w:rPr>
            </w:pPr>
            <w:r w:rsidRPr="00A23740">
              <w:rPr>
                <w:rStyle w:val="MAVChar"/>
                <w:rFonts w:eastAsia="Calibri"/>
                <w:u w:val="none"/>
              </w:rPr>
              <w:t xml:space="preserve">(1) Üç kişiden oluşan iflas </w:t>
            </w:r>
            <w:r w:rsidRPr="00A23740">
              <w:rPr>
                <w:rStyle w:val="MaviChar"/>
              </w:rPr>
              <w:t>idaresinin</w:t>
            </w:r>
            <w:r w:rsidRPr="00A23740">
              <w:rPr>
                <w:rStyle w:val="MAVChar"/>
                <w:rFonts w:eastAsia="Calibri"/>
                <w:u w:val="none"/>
              </w:rPr>
              <w:t xml:space="preserve"> toplantıları, ivedi h</w:t>
            </w:r>
            <w:r w:rsidR="003B47E1" w:rsidRPr="00A23740">
              <w:rPr>
                <w:rStyle w:val="MAVChar"/>
                <w:rFonts w:eastAsia="Calibri"/>
                <w:u w:val="none"/>
              </w:rPr>
              <w:t>â</w:t>
            </w:r>
            <w:r w:rsidRPr="00A23740">
              <w:rPr>
                <w:rStyle w:val="MAVChar"/>
                <w:rFonts w:eastAsia="Calibri"/>
                <w:u w:val="none"/>
              </w:rPr>
              <w:t>ller dışında</w:t>
            </w:r>
            <w:r w:rsidRPr="00A23740">
              <w:rPr>
                <w:szCs w:val="24"/>
              </w:rPr>
              <w:t xml:space="preserve">, </w:t>
            </w:r>
            <w:r w:rsidRPr="00A23740">
              <w:rPr>
                <w:rStyle w:val="MaviChar"/>
              </w:rPr>
              <w:t>iflas</w:t>
            </w:r>
            <w:r w:rsidRPr="00A23740">
              <w:rPr>
                <w:szCs w:val="24"/>
              </w:rPr>
              <w:t xml:space="preserve"> idare memurlarının veya herhangi bir alacaklının gündem belirlemek suretiyle yapacağı talep üzerine</w:t>
            </w:r>
            <w:r w:rsidRPr="00A23740">
              <w:rPr>
                <w:b/>
                <w:color w:val="0000FF"/>
                <w:szCs w:val="24"/>
              </w:rPr>
              <w:t>,</w:t>
            </w:r>
            <w:r w:rsidRPr="00A23740">
              <w:rPr>
                <w:szCs w:val="24"/>
              </w:rPr>
              <w:t xml:space="preserve"> ifl</w:t>
            </w:r>
            <w:r w:rsidR="003B47E1" w:rsidRPr="00A23740">
              <w:rPr>
                <w:szCs w:val="24"/>
              </w:rPr>
              <w:t>a</w:t>
            </w:r>
            <w:r w:rsidRPr="00A23740">
              <w:rPr>
                <w:szCs w:val="24"/>
              </w:rPr>
              <w:t xml:space="preserve">s </w:t>
            </w:r>
            <w:r w:rsidRPr="00A23740">
              <w:rPr>
                <w:rFonts w:eastAsia="Times New Roman"/>
                <w:color w:val="000000"/>
                <w:szCs w:val="24"/>
                <w:lang w:eastAsia="tr-TR"/>
              </w:rPr>
              <w:t>dairesi</w:t>
            </w:r>
            <w:r w:rsidRPr="00A23740">
              <w:rPr>
                <w:szCs w:val="24"/>
              </w:rPr>
              <w:t xml:space="preserve"> müdürü </w:t>
            </w:r>
            <w:r w:rsidRPr="00A23740">
              <w:rPr>
                <w:b/>
                <w:color w:val="0000FF"/>
                <w:szCs w:val="24"/>
              </w:rPr>
              <w:t>tarafından</w:t>
            </w:r>
            <w:r w:rsidRPr="00A23740">
              <w:rPr>
                <w:szCs w:val="24"/>
              </w:rPr>
              <w:t xml:space="preserve"> toplantı gününden en az </w:t>
            </w:r>
            <w:r w:rsidRPr="00A23740">
              <w:rPr>
                <w:b/>
                <w:color w:val="0000FF"/>
                <w:szCs w:val="24"/>
              </w:rPr>
              <w:t>bir hafta</w:t>
            </w:r>
            <w:r w:rsidRPr="00A23740">
              <w:rPr>
                <w:szCs w:val="24"/>
              </w:rPr>
              <w:t xml:space="preserve"> önce </w:t>
            </w:r>
            <w:r w:rsidRPr="00A23740">
              <w:rPr>
                <w:b/>
                <w:color w:val="0000FF"/>
                <w:szCs w:val="24"/>
              </w:rPr>
              <w:t>gönderilecek</w:t>
            </w:r>
            <w:r w:rsidRPr="00A23740">
              <w:rPr>
                <w:szCs w:val="24"/>
              </w:rPr>
              <w:t xml:space="preserve"> çağrı üzerine yapılır.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rPr>
                <w:szCs w:val="24"/>
              </w:rPr>
            </w:pPr>
            <w:r w:rsidRPr="00A23740">
              <w:rPr>
                <w:b/>
                <w:color w:val="0000FF"/>
                <w:szCs w:val="24"/>
              </w:rPr>
              <w:t>(2) Üç kişiden oluşan</w:t>
            </w:r>
            <w:r w:rsidRPr="00A23740">
              <w:rPr>
                <w:szCs w:val="24"/>
              </w:rPr>
              <w:t xml:space="preserve"> ifl</w:t>
            </w:r>
            <w:r w:rsidR="003B47E1" w:rsidRPr="00A23740">
              <w:rPr>
                <w:szCs w:val="24"/>
              </w:rPr>
              <w:t>a</w:t>
            </w:r>
            <w:r w:rsidRPr="00A23740">
              <w:rPr>
                <w:szCs w:val="24"/>
              </w:rPr>
              <w:t>s idaresi, kararlarını çoğunlukla alır</w:t>
            </w:r>
            <w:r w:rsidRPr="00A23740">
              <w:rPr>
                <w:b/>
                <w:color w:val="0000FF"/>
                <w:szCs w:val="24"/>
              </w:rPr>
              <w:t>.</w:t>
            </w:r>
            <w:r w:rsidRPr="00A23740">
              <w:rPr>
                <w:szCs w:val="24"/>
              </w:rPr>
              <w:t xml:space="preserve"> Toplantıya ifl</w:t>
            </w:r>
            <w:r w:rsidR="003B47E1" w:rsidRPr="00A23740">
              <w:rPr>
                <w:szCs w:val="24"/>
              </w:rPr>
              <w:t>a</w:t>
            </w:r>
            <w:r w:rsidRPr="00A23740">
              <w:rPr>
                <w:szCs w:val="24"/>
              </w:rPr>
              <w:t xml:space="preserve">s idare memurlarından </w:t>
            </w:r>
            <w:r w:rsidRPr="00A23740">
              <w:rPr>
                <w:rStyle w:val="MAVChar"/>
                <w:rFonts w:eastAsia="Calibri"/>
                <w:u w:val="none"/>
              </w:rPr>
              <w:t>sadece</w:t>
            </w:r>
            <w:r w:rsidRPr="00A23740">
              <w:rPr>
                <w:szCs w:val="24"/>
              </w:rPr>
              <w:t xml:space="preserve"> birinin veya ikisinin </w:t>
            </w:r>
            <w:r w:rsidRPr="00A23740">
              <w:rPr>
                <w:rStyle w:val="MaviChar"/>
              </w:rPr>
              <w:t>gelmesi</w:t>
            </w:r>
            <w:r w:rsidRPr="00A23740">
              <w:rPr>
                <w:szCs w:val="24"/>
              </w:rPr>
              <w:t xml:space="preserve"> hâlinde </w:t>
            </w:r>
            <w:r w:rsidRPr="00A23740">
              <w:rPr>
                <w:b/>
                <w:color w:val="0000FF"/>
                <w:szCs w:val="24"/>
              </w:rPr>
              <w:t>ise</w:t>
            </w:r>
            <w:r w:rsidRPr="00A23740">
              <w:rPr>
                <w:rStyle w:val="MaviChar"/>
              </w:rPr>
              <w:t xml:space="preserve"> toplantıya</w:t>
            </w:r>
            <w:r w:rsidRPr="00A23740">
              <w:rPr>
                <w:szCs w:val="24"/>
              </w:rPr>
              <w:t xml:space="preserve"> ifl</w:t>
            </w:r>
            <w:r w:rsidR="003B47E1" w:rsidRPr="00A23740">
              <w:rPr>
                <w:szCs w:val="24"/>
              </w:rPr>
              <w:t>a</w:t>
            </w:r>
            <w:r w:rsidRPr="00A23740">
              <w:rPr>
                <w:szCs w:val="24"/>
              </w:rPr>
              <w:t xml:space="preserve">s </w:t>
            </w:r>
            <w:r w:rsidRPr="00A23740">
              <w:rPr>
                <w:rFonts w:eastAsia="Times New Roman"/>
                <w:color w:val="000000"/>
                <w:szCs w:val="24"/>
                <w:lang w:eastAsia="tr-TR"/>
              </w:rPr>
              <w:t>dairesi</w:t>
            </w:r>
            <w:r w:rsidRPr="00A23740">
              <w:rPr>
                <w:szCs w:val="24"/>
              </w:rPr>
              <w:t xml:space="preserve"> müdürü </w:t>
            </w:r>
            <w:r w:rsidRPr="00A23740">
              <w:rPr>
                <w:rStyle w:val="MaviChar"/>
              </w:rPr>
              <w:t>veya yetkili kıldığı memur</w:t>
            </w:r>
            <w:r w:rsidRPr="00A23740">
              <w:rPr>
                <w:szCs w:val="24"/>
              </w:rPr>
              <w:t xml:space="preserve"> katılır. Karar </w:t>
            </w:r>
            <w:r w:rsidRPr="00A23740">
              <w:rPr>
                <w:rStyle w:val="MaviChar"/>
              </w:rPr>
              <w:t>alınamadığı takdirde</w:t>
            </w:r>
            <w:r w:rsidRPr="00A23740">
              <w:rPr>
                <w:szCs w:val="24"/>
              </w:rPr>
              <w:t xml:space="preserve"> ifl</w:t>
            </w:r>
            <w:r w:rsidR="003B47E1" w:rsidRPr="00A23740">
              <w:rPr>
                <w:szCs w:val="24"/>
              </w:rPr>
              <w:t>a</w:t>
            </w:r>
            <w:r w:rsidRPr="00A23740">
              <w:rPr>
                <w:szCs w:val="24"/>
              </w:rPr>
              <w:t xml:space="preserve">s </w:t>
            </w:r>
            <w:r w:rsidRPr="00A23740">
              <w:rPr>
                <w:rStyle w:val="MaviChar"/>
              </w:rPr>
              <w:t>dairesi</w:t>
            </w:r>
            <w:r w:rsidRPr="00A23740">
              <w:rPr>
                <w:szCs w:val="24"/>
              </w:rPr>
              <w:t xml:space="preserve"> müdürünün </w:t>
            </w:r>
            <w:r w:rsidRPr="00A23740">
              <w:rPr>
                <w:rStyle w:val="MaviChar"/>
              </w:rPr>
              <w:t>veya memurunun</w:t>
            </w:r>
            <w:r w:rsidRPr="00A23740">
              <w:rPr>
                <w:szCs w:val="24"/>
              </w:rPr>
              <w:t xml:space="preserve"> oyu doğrultusunda işlem yapılır.</w:t>
            </w:r>
          </w:p>
          <w:p w:rsidR="00AA5C8C" w:rsidRPr="00A23740" w:rsidRDefault="00AA5C8C" w:rsidP="009431FF">
            <w:pPr>
              <w:tabs>
                <w:tab w:val="left" w:pos="567"/>
              </w:tabs>
              <w:rPr>
                <w:b/>
                <w:bCs/>
                <w:strike/>
                <w:color w:val="FF0000"/>
                <w:szCs w:val="24"/>
              </w:rPr>
            </w:pPr>
          </w:p>
          <w:p w:rsidR="00AA5C8C" w:rsidRPr="00A23740" w:rsidRDefault="00AA5C8C" w:rsidP="009431FF">
            <w:pPr>
              <w:pStyle w:val="KIRMIZI"/>
            </w:pPr>
            <w:r w:rsidRPr="00A23740">
              <w:t xml:space="preserve"> </w:t>
            </w:r>
          </w:p>
          <w:p w:rsidR="00AA5C8C" w:rsidRPr="00A23740" w:rsidRDefault="00AA5C8C" w:rsidP="009431FF">
            <w:pPr>
              <w:rPr>
                <w:szCs w:val="24"/>
              </w:rPr>
            </w:pPr>
            <w:r w:rsidRPr="00A23740">
              <w:rPr>
                <w:b/>
                <w:color w:val="0000FF"/>
                <w:szCs w:val="24"/>
              </w:rPr>
              <w:t>(3)</w:t>
            </w:r>
            <w:r w:rsidRPr="00A23740">
              <w:rPr>
                <w:szCs w:val="24"/>
              </w:rPr>
              <w:t xml:space="preserve"> İfl</w:t>
            </w:r>
            <w:r w:rsidR="003B47E1" w:rsidRPr="00A23740">
              <w:rPr>
                <w:szCs w:val="24"/>
              </w:rPr>
              <w:t>a</w:t>
            </w:r>
            <w:r w:rsidRPr="00A23740">
              <w:rPr>
                <w:szCs w:val="24"/>
              </w:rPr>
              <w:t xml:space="preserve">s masasına alacaklı olarak </w:t>
            </w:r>
            <w:r w:rsidRPr="00A23740">
              <w:rPr>
                <w:b/>
                <w:color w:val="0000FF"/>
                <w:szCs w:val="24"/>
              </w:rPr>
              <w:t>başvuran</w:t>
            </w:r>
            <w:r w:rsidRPr="00A23740">
              <w:rPr>
                <w:szCs w:val="24"/>
              </w:rPr>
              <w:t xml:space="preserve"> alacaklılar, tebligata elverişli adres göstermek ve Adalet Bakanlığınca çıkarılacak tarifede gösterilecek yazı ve tebliğ </w:t>
            </w:r>
            <w:r w:rsidRPr="00A23740">
              <w:rPr>
                <w:rStyle w:val="MaviChar"/>
              </w:rPr>
              <w:t>giderleri</w:t>
            </w:r>
            <w:r w:rsidRPr="00A23740">
              <w:rPr>
                <w:szCs w:val="24"/>
              </w:rPr>
              <w:t xml:space="preserve"> için avans vermek suretiyle</w:t>
            </w:r>
            <w:r w:rsidR="003B47E1" w:rsidRPr="00A23740">
              <w:rPr>
                <w:rStyle w:val="Balk1Char"/>
                <w:rFonts w:eastAsia="Calibri"/>
              </w:rPr>
              <w:t>,</w:t>
            </w:r>
            <w:r w:rsidRPr="00A23740">
              <w:rPr>
                <w:szCs w:val="24"/>
              </w:rPr>
              <w:t xml:space="preserve"> ifl</w:t>
            </w:r>
            <w:r w:rsidR="003B47E1" w:rsidRPr="00A23740">
              <w:rPr>
                <w:szCs w:val="24"/>
              </w:rPr>
              <w:t>a</w:t>
            </w:r>
            <w:r w:rsidRPr="00A23740">
              <w:rPr>
                <w:szCs w:val="24"/>
              </w:rPr>
              <w:t xml:space="preserve">s idaresince alınacak kararların kendilerine tebliğini isteyebilirler. Bu </w:t>
            </w:r>
            <w:r w:rsidRPr="00A23740">
              <w:rPr>
                <w:b/>
                <w:color w:val="0000FF"/>
                <w:szCs w:val="24"/>
              </w:rPr>
              <w:t>işlemi</w:t>
            </w:r>
            <w:r w:rsidRPr="00A23740">
              <w:rPr>
                <w:szCs w:val="24"/>
              </w:rPr>
              <w:t xml:space="preserve"> yaptır</w:t>
            </w:r>
            <w:r w:rsidRPr="00A23740">
              <w:rPr>
                <w:b/>
                <w:color w:val="0000FF"/>
                <w:szCs w:val="24"/>
              </w:rPr>
              <w:t>an</w:t>
            </w:r>
            <w:r w:rsidRPr="00A23740">
              <w:rPr>
                <w:szCs w:val="24"/>
              </w:rPr>
              <w:t xml:space="preserve"> alacaklılar </w:t>
            </w:r>
            <w:r w:rsidRPr="00A23740">
              <w:rPr>
                <w:b/>
                <w:color w:val="0000FF"/>
                <w:szCs w:val="24"/>
              </w:rPr>
              <w:t>yönünden başvuru süreleri, kararın</w:t>
            </w:r>
            <w:r w:rsidRPr="00A23740">
              <w:rPr>
                <w:szCs w:val="24"/>
              </w:rPr>
              <w:t xml:space="preserve"> kendilerine tebliğ</w:t>
            </w:r>
            <w:r w:rsidRPr="00A23740">
              <w:rPr>
                <w:rStyle w:val="Stil2Char"/>
                <w:rFonts w:eastAsia="Calibri"/>
                <w:u w:val="none"/>
              </w:rPr>
              <w:t>i</w:t>
            </w:r>
            <w:r w:rsidRPr="00A23740">
              <w:rPr>
                <w:szCs w:val="24"/>
              </w:rPr>
              <w:t xml:space="preserve"> tarihinden itibaren işlemeye başlar.</w:t>
            </w:r>
          </w:p>
          <w:p w:rsidR="00AA5C8C" w:rsidRPr="00A23740" w:rsidRDefault="00AA5C8C" w:rsidP="009431FF">
            <w:pPr>
              <w:tabs>
                <w:tab w:val="left" w:pos="567"/>
              </w:tabs>
              <w:rPr>
                <w:szCs w:val="24"/>
              </w:rPr>
            </w:pPr>
          </w:p>
          <w:p w:rsidR="00EB4ABD" w:rsidRPr="00A23740" w:rsidRDefault="00EB4ABD" w:rsidP="009431FF">
            <w:pPr>
              <w:pStyle w:val="Mavi"/>
            </w:pPr>
          </w:p>
          <w:p w:rsidR="00AA5C8C" w:rsidRPr="00A23740" w:rsidRDefault="00AA5C8C" w:rsidP="009431FF">
            <w:pPr>
              <w:pStyle w:val="Mavi"/>
              <w:rPr>
                <w:lang w:val="tr-TR"/>
              </w:rPr>
            </w:pPr>
            <w:r w:rsidRPr="00A23740">
              <w:t xml:space="preserve">(4) </w:t>
            </w:r>
            <w:r w:rsidRPr="00A23740">
              <w:rPr>
                <w:rFonts w:eastAsia="Times New Roman"/>
                <w:b w:val="0"/>
                <w:bCs w:val="0"/>
                <w:color w:val="000000"/>
                <w:lang w:val="tr-TR" w:eastAsia="tr-TR"/>
              </w:rPr>
              <w:t>İflas</w:t>
            </w:r>
            <w:r w:rsidR="00813119" w:rsidRPr="00A23740">
              <w:rPr>
                <w:rFonts w:eastAsia="Times New Roman"/>
                <w:b w:val="0"/>
                <w:bCs w:val="0"/>
                <w:color w:val="000000"/>
                <w:lang w:val="tr-TR" w:eastAsia="tr-TR"/>
              </w:rPr>
              <w:t xml:space="preserve"> </w:t>
            </w:r>
            <w:r w:rsidR="00813119" w:rsidRPr="00F20491">
              <w:t>idare memurlarına</w:t>
            </w:r>
            <w:r w:rsidRPr="00A23740">
              <w:rPr>
                <w:rFonts w:eastAsia="Times New Roman"/>
                <w:b w:val="0"/>
                <w:bCs w:val="0"/>
                <w:color w:val="000000"/>
                <w:lang w:val="tr-TR" w:eastAsia="tr-TR"/>
              </w:rPr>
              <w:t>,</w:t>
            </w:r>
            <w:r w:rsidRPr="00A23740">
              <w:t xml:space="preserve"> iflas idaresinin oluşumuna karar veren iflas mahkemesince </w:t>
            </w:r>
            <w:r w:rsidR="003B47E1" w:rsidRPr="00A23740">
              <w:rPr>
                <w:lang w:val="tr-TR"/>
              </w:rPr>
              <w:t xml:space="preserve">uygun görülecek </w:t>
            </w:r>
            <w:r w:rsidRPr="00A23740">
              <w:t>aylık ücret ödenir. Ayrıca,</w:t>
            </w:r>
            <w:r w:rsidR="00EE7D0A" w:rsidRPr="00A23740">
              <w:rPr>
                <w:lang w:val="tr-TR"/>
              </w:rPr>
              <w:t xml:space="preserve"> </w:t>
            </w:r>
            <w:r w:rsidR="00EE7D0A" w:rsidRPr="00F20491">
              <w:t>tasfiyenin sonunda</w:t>
            </w:r>
            <w:r w:rsidRPr="00A23740">
              <w:t xml:space="preserve"> iflas</w:t>
            </w:r>
            <w:r w:rsidR="00EE7D0A" w:rsidRPr="00A23740">
              <w:rPr>
                <w:lang w:val="tr-TR"/>
              </w:rPr>
              <w:t xml:space="preserve"> </w:t>
            </w:r>
            <w:r w:rsidR="00EE7D0A" w:rsidRPr="00F20491">
              <w:t>idare memurlarına</w:t>
            </w:r>
            <w:r w:rsidRPr="00A23740">
              <w:t xml:space="preserve"> </w:t>
            </w:r>
            <w:r w:rsidRPr="00A23740">
              <w:rPr>
                <w:rFonts w:eastAsia="Times New Roman"/>
                <w:b w:val="0"/>
                <w:bCs w:val="0"/>
                <w:color w:val="000000"/>
                <w:lang w:val="tr-TR" w:eastAsia="tr-TR"/>
              </w:rPr>
              <w:t>Adalet Bakanlığınca</w:t>
            </w:r>
            <w:r w:rsidR="00EE7D0A" w:rsidRPr="00A23740">
              <w:rPr>
                <w:rFonts w:eastAsia="Times New Roman"/>
                <w:b w:val="0"/>
                <w:bCs w:val="0"/>
                <w:color w:val="000000"/>
                <w:lang w:val="tr-TR" w:eastAsia="tr-TR"/>
              </w:rPr>
              <w:t xml:space="preserve"> </w:t>
            </w:r>
            <w:r w:rsidR="00EE7D0A" w:rsidRPr="00F20491">
              <w:t>her yıl</w:t>
            </w:r>
            <w:r w:rsidRPr="00A23740">
              <w:t xml:space="preserve"> belirlenen tarife üzerinden de </w:t>
            </w:r>
            <w:r w:rsidR="003B47E1" w:rsidRPr="00A23740">
              <w:rPr>
                <w:lang w:val="tr-TR"/>
              </w:rPr>
              <w:t xml:space="preserve">bir </w:t>
            </w:r>
            <w:r w:rsidRPr="00A23740">
              <w:t>ödeme yapılır.</w:t>
            </w:r>
          </w:p>
          <w:p w:rsidR="00AA5C8C" w:rsidRPr="00A23740" w:rsidRDefault="00AA5C8C" w:rsidP="009431FF">
            <w:pPr>
              <w:pStyle w:val="YEL"/>
              <w:rPr>
                <w:lang w:val="tr-TR"/>
              </w:rPr>
            </w:pPr>
          </w:p>
        </w:tc>
      </w:tr>
      <w:tr w:rsidR="00F97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CD5F4C" w:rsidRPr="00A23740" w:rsidRDefault="00CD5F4C" w:rsidP="009431FF">
            <w:pPr>
              <w:tabs>
                <w:tab w:val="left" w:pos="567"/>
              </w:tabs>
              <w:ind w:firstLine="709"/>
              <w:rPr>
                <w:b/>
                <w:szCs w:val="24"/>
              </w:rPr>
            </w:pPr>
          </w:p>
          <w:p w:rsidR="00CD5F4C" w:rsidRPr="00A23740" w:rsidRDefault="00CD5F4C" w:rsidP="009431FF">
            <w:pPr>
              <w:tabs>
                <w:tab w:val="left" w:pos="567"/>
              </w:tabs>
              <w:ind w:firstLine="709"/>
              <w:rPr>
                <w:b/>
                <w:bCs/>
                <w:color w:val="0000FF"/>
                <w:szCs w:val="24"/>
              </w:rPr>
            </w:pPr>
            <w:r w:rsidRPr="00A23740">
              <w:rPr>
                <w:b/>
                <w:szCs w:val="24"/>
              </w:rPr>
              <w:t>M</w:t>
            </w:r>
            <w:r w:rsidR="00BB2129" w:rsidRPr="00A23740">
              <w:rPr>
                <w:b/>
                <w:szCs w:val="24"/>
              </w:rPr>
              <w:t>ADDE 340</w:t>
            </w:r>
            <w:r w:rsidRPr="00A23740">
              <w:rPr>
                <w:b/>
                <w:szCs w:val="24"/>
              </w:rPr>
              <w:t>-</w:t>
            </w:r>
            <w:r w:rsidRPr="00A23740">
              <w:rPr>
                <w:szCs w:val="24"/>
              </w:rPr>
              <w:t xml:space="preserve"> Maddeyle, </w:t>
            </w:r>
            <w:r w:rsidRPr="00A23740">
              <w:rPr>
                <w:bCs/>
                <w:szCs w:val="24"/>
              </w:rPr>
              <w:t>iflas idaresinin çalışma usulü</w:t>
            </w:r>
            <w:r w:rsidR="00181110" w:rsidRPr="00A23740">
              <w:rPr>
                <w:bCs/>
                <w:szCs w:val="24"/>
              </w:rPr>
              <w:t>ne</w:t>
            </w:r>
            <w:r w:rsidRPr="00A23740">
              <w:rPr>
                <w:bCs/>
                <w:szCs w:val="24"/>
              </w:rPr>
              <w:t xml:space="preserve"> v</w:t>
            </w:r>
            <w:r w:rsidR="003B47E1" w:rsidRPr="00A23740">
              <w:rPr>
                <w:bCs/>
                <w:szCs w:val="24"/>
              </w:rPr>
              <w:t>e ücrete</w:t>
            </w:r>
            <w:r w:rsidRPr="00A23740">
              <w:rPr>
                <w:bCs/>
                <w:szCs w:val="24"/>
              </w:rPr>
              <w:t xml:space="preserve"> ilişkin hususlar düzenlenmektedir. Hüküm, 2004 sayılı Kanunun 223 üncü </w:t>
            </w:r>
            <w:r w:rsidR="003B47E1" w:rsidRPr="00F20491">
              <w:rPr>
                <w:szCs w:val="24"/>
              </w:rPr>
              <w:t>maddesine</w:t>
            </w:r>
            <w:r w:rsidR="003B47E1" w:rsidRPr="00F20491">
              <w:rPr>
                <w:bCs/>
                <w:szCs w:val="24"/>
              </w:rPr>
              <w:t xml:space="preserve"> </w:t>
            </w:r>
            <w:r w:rsidRPr="00A23740">
              <w:rPr>
                <w:bCs/>
                <w:szCs w:val="24"/>
              </w:rPr>
              <w:t>karşılık gelmektedir.</w:t>
            </w:r>
            <w:r w:rsidRPr="00A23740">
              <w:rPr>
                <w:szCs w:val="24"/>
              </w:rPr>
              <w:t xml:space="preserve"> </w:t>
            </w:r>
          </w:p>
          <w:p w:rsidR="00F97472" w:rsidRPr="00A23740" w:rsidRDefault="00F97472" w:rsidP="009431FF">
            <w:pPr>
              <w:tabs>
                <w:tab w:val="left" w:pos="567"/>
              </w:tabs>
              <w:ind w:firstLine="709"/>
              <w:rPr>
                <w:bCs/>
                <w:szCs w:val="24"/>
              </w:rPr>
            </w:pPr>
            <w:r w:rsidRPr="00A23740">
              <w:rPr>
                <w:bCs/>
                <w:szCs w:val="24"/>
              </w:rPr>
              <w:t>İflas idaresinin çalışma usulü ve ücreti başlıklı maddenin ikinci fıkrası üç iflas idare memurunun olduğu h</w:t>
            </w:r>
            <w:r w:rsidR="00DC2A65" w:rsidRPr="00A23740">
              <w:rPr>
                <w:bCs/>
                <w:szCs w:val="24"/>
              </w:rPr>
              <w:t>â</w:t>
            </w:r>
            <w:r w:rsidRPr="00A23740">
              <w:rPr>
                <w:bCs/>
                <w:szCs w:val="24"/>
              </w:rPr>
              <w:t>llerde kararların çoğunlukla alınacağını düzenlenmektedir. Toplantıya ifl</w:t>
            </w:r>
            <w:r w:rsidR="00DC2A65" w:rsidRPr="00A23740">
              <w:rPr>
                <w:bCs/>
                <w:szCs w:val="24"/>
              </w:rPr>
              <w:t>a</w:t>
            </w:r>
            <w:r w:rsidRPr="00A23740">
              <w:rPr>
                <w:bCs/>
                <w:szCs w:val="24"/>
              </w:rPr>
              <w:t xml:space="preserve">s idare memurlarından </w:t>
            </w:r>
            <w:r w:rsidRPr="00A23740">
              <w:rPr>
                <w:bCs/>
                <w:lang w:val="x-none" w:eastAsia="x-none"/>
              </w:rPr>
              <w:t>sadece</w:t>
            </w:r>
            <w:r w:rsidRPr="00A23740">
              <w:rPr>
                <w:bCs/>
                <w:szCs w:val="24"/>
              </w:rPr>
              <w:t xml:space="preserve"> birinin veya ikisinin </w:t>
            </w:r>
            <w:r w:rsidRPr="00A23740">
              <w:rPr>
                <w:bCs/>
                <w:lang w:val="x-none" w:eastAsia="x-none"/>
              </w:rPr>
              <w:t>gelmesi</w:t>
            </w:r>
            <w:r w:rsidRPr="00A23740">
              <w:rPr>
                <w:bCs/>
                <w:szCs w:val="24"/>
              </w:rPr>
              <w:t xml:space="preserve"> hâlinde</w:t>
            </w:r>
            <w:r w:rsidRPr="00A23740">
              <w:rPr>
                <w:bCs/>
                <w:lang w:val="x-none" w:eastAsia="x-none"/>
              </w:rPr>
              <w:t xml:space="preserve"> toplantıya</w:t>
            </w:r>
            <w:r w:rsidRPr="00A23740">
              <w:rPr>
                <w:bCs/>
                <w:szCs w:val="24"/>
              </w:rPr>
              <w:t xml:space="preserve"> ifl</w:t>
            </w:r>
            <w:r w:rsidR="00DC2A65" w:rsidRPr="00A23740">
              <w:rPr>
                <w:bCs/>
                <w:szCs w:val="24"/>
              </w:rPr>
              <w:t>a</w:t>
            </w:r>
            <w:r w:rsidRPr="00A23740">
              <w:rPr>
                <w:bCs/>
                <w:szCs w:val="24"/>
              </w:rPr>
              <w:t xml:space="preserve">s </w:t>
            </w:r>
            <w:r w:rsidRPr="00A23740">
              <w:rPr>
                <w:rFonts w:eastAsia="Times New Roman"/>
                <w:bCs/>
                <w:szCs w:val="24"/>
                <w:lang w:eastAsia="tr-TR"/>
              </w:rPr>
              <w:t>dairesi</w:t>
            </w:r>
            <w:r w:rsidRPr="00A23740">
              <w:rPr>
                <w:bCs/>
                <w:szCs w:val="24"/>
              </w:rPr>
              <w:t xml:space="preserve"> müdürü </w:t>
            </w:r>
            <w:r w:rsidRPr="00A23740">
              <w:rPr>
                <w:bCs/>
                <w:lang w:val="x-none" w:eastAsia="x-none"/>
              </w:rPr>
              <w:t>veya yetkili kıldığı memur</w:t>
            </w:r>
            <w:r w:rsidRPr="00A23740">
              <w:rPr>
                <w:bCs/>
                <w:szCs w:val="24"/>
              </w:rPr>
              <w:t xml:space="preserve"> katılacak; karar </w:t>
            </w:r>
            <w:r w:rsidRPr="00A23740">
              <w:rPr>
                <w:bCs/>
                <w:lang w:val="x-none" w:eastAsia="x-none"/>
              </w:rPr>
              <w:t>alınamadığı takdirde</w:t>
            </w:r>
            <w:r w:rsidRPr="00A23740">
              <w:rPr>
                <w:bCs/>
                <w:szCs w:val="24"/>
              </w:rPr>
              <w:t xml:space="preserve"> ifl</w:t>
            </w:r>
            <w:r w:rsidR="00656C77" w:rsidRPr="00A23740">
              <w:rPr>
                <w:bCs/>
                <w:szCs w:val="24"/>
              </w:rPr>
              <w:t>a</w:t>
            </w:r>
            <w:r w:rsidRPr="00A23740">
              <w:rPr>
                <w:bCs/>
                <w:szCs w:val="24"/>
              </w:rPr>
              <w:t xml:space="preserve">s </w:t>
            </w:r>
            <w:r w:rsidRPr="00A23740">
              <w:rPr>
                <w:bCs/>
                <w:lang w:val="x-none" w:eastAsia="x-none"/>
              </w:rPr>
              <w:t>dairesi</w:t>
            </w:r>
            <w:r w:rsidRPr="00A23740">
              <w:rPr>
                <w:bCs/>
                <w:szCs w:val="24"/>
              </w:rPr>
              <w:t xml:space="preserve"> müdürünün </w:t>
            </w:r>
            <w:r w:rsidRPr="00A23740">
              <w:rPr>
                <w:bCs/>
                <w:lang w:val="x-none" w:eastAsia="x-none"/>
              </w:rPr>
              <w:t>veya memurunun</w:t>
            </w:r>
            <w:r w:rsidRPr="00A23740">
              <w:rPr>
                <w:bCs/>
                <w:szCs w:val="24"/>
              </w:rPr>
              <w:t xml:space="preserve"> oyu doğrultusunda işlem yapılacaktır. Ancak toplantıya iki iflas idare memurunun katılması ve iflas müdürünün başkanlık etmesi durumunda</w:t>
            </w:r>
            <w:r w:rsidR="00181110" w:rsidRPr="00A23740">
              <w:rPr>
                <w:bCs/>
                <w:szCs w:val="24"/>
              </w:rPr>
              <w:t>,</w:t>
            </w:r>
            <w:r w:rsidRPr="00A23740">
              <w:rPr>
                <w:bCs/>
                <w:szCs w:val="24"/>
              </w:rPr>
              <w:t xml:space="preserve"> iflas müdürü başka yönde oy kullansa bile diğer iki </w:t>
            </w:r>
            <w:r w:rsidR="003B47E1" w:rsidRPr="00F20491">
              <w:rPr>
                <w:szCs w:val="24"/>
              </w:rPr>
              <w:t>oy</w:t>
            </w:r>
            <w:r w:rsidR="003B47E1" w:rsidRPr="00A23740">
              <w:rPr>
                <w:bCs/>
                <w:szCs w:val="24"/>
              </w:rPr>
              <w:t xml:space="preserve"> </w:t>
            </w:r>
            <w:r w:rsidRPr="00A23740">
              <w:rPr>
                <w:bCs/>
                <w:szCs w:val="24"/>
              </w:rPr>
              <w:t>karar</w:t>
            </w:r>
            <w:r w:rsidR="00CD5F4C" w:rsidRPr="00A23740">
              <w:rPr>
                <w:bCs/>
                <w:szCs w:val="24"/>
              </w:rPr>
              <w:t xml:space="preserve"> almak için yeterli olacaktır. </w:t>
            </w:r>
          </w:p>
          <w:p w:rsidR="00F97472" w:rsidRPr="00A23740" w:rsidRDefault="00F97472" w:rsidP="009431FF">
            <w:pPr>
              <w:tabs>
                <w:tab w:val="left" w:pos="567"/>
              </w:tabs>
              <w:ind w:firstLine="709"/>
              <w:rPr>
                <w:bCs/>
                <w:szCs w:val="24"/>
              </w:rPr>
            </w:pPr>
            <w:r w:rsidRPr="00A23740">
              <w:rPr>
                <w:bCs/>
                <w:szCs w:val="24"/>
              </w:rPr>
              <w:t xml:space="preserve">İflas dairesi </w:t>
            </w:r>
            <w:r w:rsidRPr="00F20491">
              <w:rPr>
                <w:bCs/>
                <w:szCs w:val="24"/>
              </w:rPr>
              <w:t>müdürünün</w:t>
            </w:r>
            <w:r w:rsidR="003B47E1" w:rsidRPr="00F20491">
              <w:rPr>
                <w:szCs w:val="24"/>
              </w:rPr>
              <w:t>,</w:t>
            </w:r>
            <w:r w:rsidRPr="00F20491">
              <w:rPr>
                <w:bCs/>
                <w:szCs w:val="24"/>
              </w:rPr>
              <w:t xml:space="preserve"> iş</w:t>
            </w:r>
            <w:r w:rsidRPr="00A23740">
              <w:rPr>
                <w:bCs/>
                <w:szCs w:val="24"/>
              </w:rPr>
              <w:t xml:space="preserve"> yükü bakımından bütün iflas dosyalarındaki toplantılara katılabilmesi mümkün olamayacağından, kurumun işlemesi </w:t>
            </w:r>
            <w:r w:rsidRPr="00F20491">
              <w:rPr>
                <w:bCs/>
              </w:rPr>
              <w:t>için</w:t>
            </w:r>
            <w:r w:rsidR="003B47E1" w:rsidRPr="00F20491">
              <w:rPr>
                <w:b/>
              </w:rPr>
              <w:t>,</w:t>
            </w:r>
            <w:r w:rsidRPr="00F20491">
              <w:rPr>
                <w:bCs/>
              </w:rPr>
              <w:t xml:space="preserve"> görevlendireceği</w:t>
            </w:r>
            <w:r w:rsidRPr="00A23740">
              <w:rPr>
                <w:bCs/>
                <w:szCs w:val="24"/>
              </w:rPr>
              <w:t xml:space="preserve"> bir iflas dairesi memurunun da toplantıya katılmasını hukuken mümkün kılmanın</w:t>
            </w:r>
            <w:r w:rsidR="00CD5F4C" w:rsidRPr="00A23740">
              <w:rPr>
                <w:bCs/>
                <w:szCs w:val="24"/>
              </w:rPr>
              <w:t xml:space="preserve"> yararlı olacağı düşünülmüştür.</w:t>
            </w:r>
          </w:p>
          <w:p w:rsidR="00F97472" w:rsidRPr="00A23740" w:rsidRDefault="00F97472" w:rsidP="009431FF">
            <w:pPr>
              <w:tabs>
                <w:tab w:val="left" w:pos="567"/>
              </w:tabs>
              <w:ind w:firstLine="709"/>
              <w:rPr>
                <w:bCs/>
              </w:rPr>
            </w:pPr>
            <w:r w:rsidRPr="00A23740">
              <w:rPr>
                <w:bCs/>
              </w:rPr>
              <w:t>İflas idare memurlarına yapılan ödemenin tasfiyenin sonunda yapılması yöntemini</w:t>
            </w:r>
            <w:r w:rsidR="00DC2A65" w:rsidRPr="00A23740">
              <w:rPr>
                <w:bCs/>
              </w:rPr>
              <w:t>n</w:t>
            </w:r>
            <w:r w:rsidRPr="00A23740">
              <w:rPr>
                <w:bCs/>
              </w:rPr>
              <w:t xml:space="preserve"> uygulamada büyük sıkıntılara neden olduğu müşahede edildiğinden, bu konuda iflas idare </w:t>
            </w:r>
            <w:r w:rsidRPr="00F20491">
              <w:rPr>
                <w:bCs/>
              </w:rPr>
              <w:t>memurlarına</w:t>
            </w:r>
            <w:r w:rsidR="00DC2A65" w:rsidRPr="00F20491">
              <w:t>,</w:t>
            </w:r>
            <w:r w:rsidRPr="00F20491">
              <w:rPr>
                <w:bCs/>
              </w:rPr>
              <w:t xml:space="preserve"> en</w:t>
            </w:r>
            <w:r w:rsidRPr="00A23740">
              <w:rPr>
                <w:bCs/>
              </w:rPr>
              <w:t xml:space="preserve"> azından cari masraflarını karşılamak üzere her ay makul bir ödeme yapılması ve tasfiyenin sonunda da </w:t>
            </w:r>
            <w:r w:rsidR="006F56BD" w:rsidRPr="00F20491">
              <w:rPr>
                <w:bCs/>
              </w:rPr>
              <w:t>iflas idare memurlarına Adalet Bakanlığınca</w:t>
            </w:r>
            <w:r w:rsidR="006F56BD" w:rsidRPr="00A23740">
              <w:rPr>
                <w:bCs/>
              </w:rPr>
              <w:t xml:space="preserve"> </w:t>
            </w:r>
            <w:r w:rsidR="006F56BD" w:rsidRPr="00F20491">
              <w:rPr>
                <w:bCs/>
              </w:rPr>
              <w:t>her yıl</w:t>
            </w:r>
            <w:r w:rsidR="006F56BD" w:rsidRPr="00A23740">
              <w:rPr>
                <w:bCs/>
                <w:color w:val="385623"/>
              </w:rPr>
              <w:t xml:space="preserve"> </w:t>
            </w:r>
            <w:r w:rsidRPr="00A23740">
              <w:rPr>
                <w:bCs/>
              </w:rPr>
              <w:t>belirlenen tarife üzerinden ayrıca</w:t>
            </w:r>
            <w:r w:rsidR="006F56BD" w:rsidRPr="00A23740">
              <w:rPr>
                <w:bCs/>
              </w:rPr>
              <w:t xml:space="preserve"> </w:t>
            </w:r>
            <w:r w:rsidR="006F56BD" w:rsidRPr="00F20491">
              <w:rPr>
                <w:bCs/>
              </w:rPr>
              <w:t>bir defaya mahsus olmak üzere</w:t>
            </w:r>
            <w:r w:rsidRPr="00A23740">
              <w:rPr>
                <w:bCs/>
              </w:rPr>
              <w:t xml:space="preserve"> toplu bir ödeme yapılması yöntemi benimsenmiştir.</w:t>
            </w:r>
          </w:p>
          <w:p w:rsidR="00F97472" w:rsidRPr="00A23740" w:rsidRDefault="00F97472"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StilKrmz"/>
              <w:widowControl w:val="0"/>
              <w:rPr>
                <w:lang w:val="tr-TR"/>
              </w:rPr>
            </w:pPr>
            <w:r w:rsidRPr="00A23740">
              <w:rPr>
                <w:lang w:val="tr-TR"/>
              </w:rPr>
              <w:t>İflas idaresi ve iflas dairesinin vazifeleri:</w:t>
            </w:r>
          </w:p>
          <w:p w:rsidR="00AA5C8C" w:rsidRPr="00A23740" w:rsidRDefault="00AA5C8C" w:rsidP="009431FF">
            <w:pPr>
              <w:pStyle w:val="StilKrmz"/>
              <w:widowControl w:val="0"/>
              <w:rPr>
                <w:lang w:val="tr-TR"/>
              </w:rPr>
            </w:pPr>
            <w:r w:rsidRPr="00A23740">
              <w:rPr>
                <w:lang w:val="tr-TR"/>
              </w:rPr>
              <w:t>Madde 223 – (Değişik: 6/6/1985-3222/26 md. . . .</w:t>
            </w:r>
          </w:p>
          <w:p w:rsidR="00AA5C8C" w:rsidRPr="00A23740" w:rsidRDefault="00AA5C8C" w:rsidP="009431FF">
            <w:pPr>
              <w:widowControl w:val="0"/>
              <w:tabs>
                <w:tab w:val="left" w:pos="567"/>
              </w:tabs>
              <w:rPr>
                <w:b/>
                <w:strike/>
                <w:color w:val="FF0000"/>
                <w:szCs w:val="24"/>
              </w:rPr>
            </w:pPr>
            <w:r w:rsidRPr="00A23740">
              <w:rPr>
                <w:b/>
                <w:strike/>
                <w:color w:val="FF0000"/>
                <w:szCs w:val="24"/>
              </w:rPr>
              <w:t xml:space="preserve">(5) </w:t>
            </w:r>
            <w:r w:rsidRPr="00A23740">
              <w:rPr>
                <w:szCs w:val="24"/>
              </w:rPr>
              <w:t>İflas</w:t>
            </w:r>
            <w:r w:rsidRPr="00A23740">
              <w:rPr>
                <w:b/>
                <w:color w:val="FF0000"/>
                <w:szCs w:val="24"/>
              </w:rPr>
              <w:t xml:space="preserve"> </w:t>
            </w:r>
            <w:r w:rsidRPr="00A23740">
              <w:rPr>
                <w:b/>
                <w:strike/>
                <w:color w:val="FF0000"/>
                <w:szCs w:val="24"/>
              </w:rPr>
              <w:t>idaresi</w:t>
            </w:r>
            <w:r w:rsidRPr="00A23740">
              <w:rPr>
                <w:b/>
                <w:color w:val="FF0000"/>
                <w:szCs w:val="24"/>
              </w:rPr>
              <w:t xml:space="preserve"> </w:t>
            </w:r>
            <w:r w:rsidRPr="00A23740">
              <w:rPr>
                <w:szCs w:val="24"/>
              </w:rPr>
              <w:t>iflas</w:t>
            </w:r>
            <w:r w:rsidRPr="00A23740">
              <w:rPr>
                <w:b/>
                <w:color w:val="FF0000"/>
                <w:szCs w:val="24"/>
              </w:rPr>
              <w:t xml:space="preserve"> </w:t>
            </w:r>
            <w:r w:rsidRPr="00A23740">
              <w:rPr>
                <w:b/>
                <w:strike/>
                <w:color w:val="FF0000"/>
                <w:szCs w:val="24"/>
              </w:rPr>
              <w:t>dairesinin murakabesi</w:t>
            </w:r>
            <w:r w:rsidRPr="00A23740">
              <w:rPr>
                <w:b/>
                <w:color w:val="FF0000"/>
                <w:szCs w:val="24"/>
              </w:rPr>
              <w:t xml:space="preserve"> </w:t>
            </w:r>
            <w:r w:rsidRPr="00A23740">
              <w:rPr>
                <w:szCs w:val="24"/>
              </w:rPr>
              <w:t>altında</w:t>
            </w:r>
            <w:r w:rsidRPr="00A23740">
              <w:rPr>
                <w:b/>
                <w:strike/>
                <w:color w:val="FF0000"/>
                <w:szCs w:val="24"/>
              </w:rPr>
              <w:t xml:space="preserve">dır. Bu halde iflas dairesi </w:t>
            </w:r>
            <w:r w:rsidRPr="00A23740">
              <w:rPr>
                <w:szCs w:val="24"/>
              </w:rPr>
              <w:t>aşağıdaki görevleri yerine getirir:</w:t>
            </w:r>
          </w:p>
          <w:p w:rsidR="00AA5C8C" w:rsidRPr="00A23740" w:rsidRDefault="00AA5C8C" w:rsidP="009431FF">
            <w:pPr>
              <w:widowControl w:val="0"/>
              <w:tabs>
                <w:tab w:val="left" w:pos="567"/>
              </w:tabs>
              <w:rPr>
                <w:b/>
                <w:strike/>
                <w:color w:val="FF0000"/>
                <w:szCs w:val="24"/>
              </w:rPr>
            </w:pPr>
            <w:r w:rsidRPr="00A23740">
              <w:rPr>
                <w:b/>
                <w:strike/>
                <w:color w:val="FF0000"/>
                <w:szCs w:val="24"/>
              </w:rPr>
              <w:t xml:space="preserve">1. </w:t>
            </w:r>
            <w:r w:rsidRPr="00A23740">
              <w:rPr>
                <w:szCs w:val="24"/>
              </w:rPr>
              <w:t>Alacaklılar toplantısının kararlarına, alacaklıların menfaatine uygun görmediği bütün</w:t>
            </w:r>
            <w:r w:rsidRPr="00A23740">
              <w:rPr>
                <w:b/>
                <w:color w:val="FF0000"/>
                <w:szCs w:val="24"/>
              </w:rPr>
              <w:t xml:space="preserve"> </w:t>
            </w:r>
            <w:r w:rsidRPr="00A23740">
              <w:rPr>
                <w:b/>
                <w:strike/>
                <w:color w:val="FF0000"/>
                <w:szCs w:val="24"/>
              </w:rPr>
              <w:t>tedbirlere</w:t>
            </w:r>
            <w:r w:rsidRPr="00A23740">
              <w:rPr>
                <w:b/>
                <w:color w:val="FF0000"/>
                <w:szCs w:val="24"/>
              </w:rPr>
              <w:t xml:space="preserve"> </w:t>
            </w:r>
            <w:r w:rsidRPr="00A23740">
              <w:rPr>
                <w:szCs w:val="24"/>
              </w:rPr>
              <w:t>ve idarece kabul edilen alacaklar ile istihkak iddialarının kabulüne dair olan kararlardan kanuna ve hadiseye uygun görmediklerine</w:t>
            </w:r>
            <w:r w:rsidRPr="00A23740">
              <w:rPr>
                <w:b/>
                <w:color w:val="FF0000"/>
                <w:szCs w:val="24"/>
              </w:rPr>
              <w:t xml:space="preserve"> </w:t>
            </w:r>
            <w:r w:rsidRPr="00A23740">
              <w:rPr>
                <w:b/>
                <w:strike/>
                <w:color w:val="FF0000"/>
                <w:szCs w:val="24"/>
              </w:rPr>
              <w:t>yedi gün</w:t>
            </w:r>
            <w:r w:rsidRPr="00A23740">
              <w:rPr>
                <w:b/>
                <w:color w:val="FF0000"/>
                <w:szCs w:val="24"/>
              </w:rPr>
              <w:t xml:space="preserve"> </w:t>
            </w:r>
            <w:r w:rsidRPr="00A23740">
              <w:rPr>
                <w:szCs w:val="24"/>
              </w:rPr>
              <w:t>içinde</w:t>
            </w:r>
            <w:r w:rsidRPr="00A23740">
              <w:rPr>
                <w:b/>
                <w:color w:val="FF0000"/>
                <w:szCs w:val="24"/>
              </w:rPr>
              <w:t xml:space="preserve"> </w:t>
            </w:r>
            <w:r w:rsidRPr="00A23740">
              <w:rPr>
                <w:b/>
                <w:strike/>
                <w:color w:val="FF0000"/>
                <w:szCs w:val="24"/>
              </w:rPr>
              <w:t>icra</w:t>
            </w:r>
            <w:r w:rsidRPr="00A23740">
              <w:rPr>
                <w:b/>
                <w:color w:val="FF0000"/>
                <w:szCs w:val="24"/>
              </w:rPr>
              <w:t xml:space="preserve"> </w:t>
            </w:r>
            <w:r w:rsidRPr="00A23740">
              <w:rPr>
                <w:szCs w:val="24"/>
              </w:rPr>
              <w:t>mahkemesine</w:t>
            </w:r>
            <w:r w:rsidRPr="00A23740">
              <w:rPr>
                <w:b/>
                <w:color w:val="FF0000"/>
                <w:szCs w:val="24"/>
              </w:rPr>
              <w:t xml:space="preserve"> </w:t>
            </w:r>
            <w:r w:rsidRPr="00A23740">
              <w:rPr>
                <w:b/>
                <w:strike/>
                <w:color w:val="FF0000"/>
                <w:szCs w:val="24"/>
              </w:rPr>
              <w:t>müracaatla itiraz etmek.</w:t>
            </w:r>
          </w:p>
          <w:p w:rsidR="00AA5C8C" w:rsidRPr="00A23740" w:rsidRDefault="00AA5C8C" w:rsidP="009431FF">
            <w:pPr>
              <w:widowControl w:val="0"/>
              <w:tabs>
                <w:tab w:val="left" w:pos="567"/>
              </w:tabs>
              <w:rPr>
                <w:b/>
                <w:strike/>
                <w:color w:val="FF0000"/>
                <w:szCs w:val="24"/>
              </w:rPr>
            </w:pPr>
            <w:r w:rsidRPr="00A23740">
              <w:rPr>
                <w:b/>
                <w:strike/>
                <w:color w:val="FF0000"/>
                <w:szCs w:val="24"/>
              </w:rPr>
              <w:t>2.</w:t>
            </w:r>
            <w:r w:rsidRPr="00A23740">
              <w:rPr>
                <w:b/>
                <w:color w:val="FF0000"/>
                <w:szCs w:val="24"/>
              </w:rPr>
              <w:t xml:space="preserve"> </w:t>
            </w:r>
            <w:r w:rsidRPr="00A23740">
              <w:rPr>
                <w:szCs w:val="24"/>
              </w:rPr>
              <w:t xml:space="preserve">İflası idare edenlerin ücretleriyle </w:t>
            </w:r>
            <w:r w:rsidRPr="00A23740">
              <w:rPr>
                <w:rStyle w:val="KIRMIZIChar"/>
                <w:rFonts w:eastAsia="Calibri"/>
              </w:rPr>
              <w:t>masrafları</w:t>
            </w:r>
            <w:r w:rsidRPr="00A23740">
              <w:rPr>
                <w:szCs w:val="24"/>
              </w:rPr>
              <w:t xml:space="preserve"> da dahil olmak üzere hesap pusulalarını</w:t>
            </w:r>
            <w:r w:rsidRPr="00A23740">
              <w:rPr>
                <w:b/>
                <w:color w:val="FF0000"/>
                <w:szCs w:val="24"/>
              </w:rPr>
              <w:t xml:space="preserve"> </w:t>
            </w:r>
            <w:r w:rsidRPr="00A23740">
              <w:rPr>
                <w:b/>
                <w:strike/>
                <w:color w:val="FF0000"/>
                <w:szCs w:val="24"/>
              </w:rPr>
              <w:t>icra</w:t>
            </w:r>
            <w:r w:rsidRPr="00A23740">
              <w:rPr>
                <w:b/>
                <w:color w:val="FF0000"/>
                <w:szCs w:val="24"/>
              </w:rPr>
              <w:t xml:space="preserve"> </w:t>
            </w:r>
            <w:r w:rsidRPr="00A23740">
              <w:rPr>
                <w:szCs w:val="24"/>
              </w:rPr>
              <w:t>mahkemesinin</w:t>
            </w:r>
            <w:r w:rsidRPr="00A23740">
              <w:rPr>
                <w:b/>
                <w:color w:val="FF0000"/>
                <w:szCs w:val="24"/>
              </w:rPr>
              <w:t xml:space="preserve"> </w:t>
            </w:r>
            <w:r w:rsidRPr="00A23740">
              <w:rPr>
                <w:b/>
                <w:strike/>
                <w:color w:val="FF0000"/>
                <w:szCs w:val="24"/>
              </w:rPr>
              <w:t>tasdikine arz etmek.</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p>
          <w:p w:rsidR="00AA5C8C" w:rsidRPr="00A23740" w:rsidRDefault="00AA5C8C" w:rsidP="009431FF">
            <w:pPr>
              <w:pStyle w:val="KIRMIZI"/>
              <w:widowControl w:val="0"/>
              <w:rPr>
                <w:lang w:val="tr-TR"/>
              </w:rPr>
            </w:pPr>
            <w:r w:rsidRPr="00A23740">
              <w:rPr>
                <w:lang w:val="tr-TR"/>
              </w:rPr>
              <w:t>İflas idaresinin vazife ve mes'uliyeti:</w:t>
            </w:r>
          </w:p>
          <w:p w:rsidR="00AA5C8C" w:rsidRPr="00A23740" w:rsidRDefault="00AA5C8C" w:rsidP="009431FF">
            <w:pPr>
              <w:pStyle w:val="KIRMIZI"/>
              <w:widowControl w:val="0"/>
              <w:rPr>
                <w:lang w:val="tr-TR"/>
              </w:rPr>
            </w:pPr>
            <w:r w:rsidRPr="00A23740">
              <w:rPr>
                <w:lang w:val="tr-TR"/>
              </w:rPr>
              <w:t>Madde 227 – (Değişik: 6/6/1985-3222/28 md.) . . .</w:t>
            </w:r>
          </w:p>
          <w:p w:rsidR="00AA5C8C" w:rsidRPr="00A23740" w:rsidRDefault="00AA5C8C" w:rsidP="009431FF">
            <w:pPr>
              <w:widowControl w:val="0"/>
              <w:tabs>
                <w:tab w:val="left" w:pos="567"/>
              </w:tabs>
              <w:rPr>
                <w:b/>
                <w:strike/>
                <w:color w:val="FF0000"/>
                <w:szCs w:val="24"/>
              </w:rPr>
            </w:pPr>
          </w:p>
          <w:p w:rsidR="00AA5C8C" w:rsidRPr="00A23740" w:rsidRDefault="00AA5C8C" w:rsidP="009431FF">
            <w:pPr>
              <w:widowControl w:val="0"/>
              <w:tabs>
                <w:tab w:val="left" w:pos="567"/>
              </w:tabs>
              <w:rPr>
                <w:b/>
                <w:strike/>
                <w:color w:val="FF0000"/>
                <w:szCs w:val="24"/>
              </w:rPr>
            </w:pPr>
          </w:p>
          <w:p w:rsidR="00E807F4" w:rsidRPr="00A23740" w:rsidRDefault="00E807F4" w:rsidP="009431FF">
            <w:pPr>
              <w:widowControl w:val="0"/>
              <w:tabs>
                <w:tab w:val="left" w:pos="567"/>
              </w:tabs>
              <w:rPr>
                <w:b/>
                <w:strike/>
                <w:color w:val="FF0000"/>
                <w:szCs w:val="24"/>
              </w:rPr>
            </w:pPr>
          </w:p>
          <w:p w:rsidR="00AA5C8C" w:rsidRPr="00A23740" w:rsidRDefault="00AA5C8C" w:rsidP="009431FF">
            <w:pPr>
              <w:widowControl w:val="0"/>
              <w:tabs>
                <w:tab w:val="left" w:pos="567"/>
              </w:tabs>
              <w:rPr>
                <w:szCs w:val="24"/>
              </w:rPr>
            </w:pPr>
            <w:r w:rsidRPr="00A23740">
              <w:rPr>
                <w:rStyle w:val="KIRMIZIChar"/>
                <w:rFonts w:eastAsia="Calibri"/>
              </w:rPr>
              <w:t>(3)</w:t>
            </w:r>
            <w:r w:rsidRPr="00A23740">
              <w:rPr>
                <w:b/>
                <w:color w:val="FF0000"/>
                <w:szCs w:val="24"/>
              </w:rPr>
              <w:t xml:space="preserve"> </w:t>
            </w:r>
            <w:r w:rsidRPr="00A23740">
              <w:rPr>
                <w:b/>
                <w:strike/>
                <w:color w:val="FF0000"/>
                <w:szCs w:val="24"/>
              </w:rPr>
              <w:t>İcra</w:t>
            </w:r>
            <w:r w:rsidRPr="00A23740">
              <w:rPr>
                <w:szCs w:val="24"/>
              </w:rPr>
              <w:t xml:space="preserve"> mahkemesi</w:t>
            </w:r>
            <w:r w:rsidRPr="00A23740">
              <w:rPr>
                <w:rStyle w:val="KIRMIZIChar"/>
                <w:rFonts w:eastAsia="Calibri"/>
              </w:rPr>
              <w:t>,</w:t>
            </w:r>
            <w:r w:rsidRPr="00A23740">
              <w:rPr>
                <w:szCs w:val="24"/>
              </w:rPr>
              <w:t xml:space="preserve"> iflas idaresi üzerinde gözetim yetkisine sahip olup gerektiğinde iflas idaresi</w:t>
            </w:r>
            <w:r w:rsidRPr="00A23740">
              <w:rPr>
                <w:b/>
                <w:strike/>
                <w:color w:val="FF0000"/>
                <w:szCs w:val="24"/>
              </w:rPr>
              <w:t xml:space="preserve">ni teşkil edenlerin </w:t>
            </w:r>
            <w:r w:rsidRPr="00A23740">
              <w:rPr>
                <w:szCs w:val="24"/>
              </w:rPr>
              <w:t xml:space="preserve">görevine son verebilir. </w:t>
            </w:r>
            <w:r w:rsidRPr="00A23740">
              <w:rPr>
                <w:b/>
                <w:strike/>
                <w:color w:val="FF0000"/>
                <w:szCs w:val="24"/>
              </w:rPr>
              <w:t>İcra</w:t>
            </w:r>
            <w:r w:rsidRPr="00A23740">
              <w:rPr>
                <w:szCs w:val="24"/>
              </w:rPr>
              <w:t xml:space="preserve"> mahkemesi, görevine son verilen veya istifa edenin yerine, önceki adaylar arasından </w:t>
            </w:r>
            <w:r w:rsidRPr="00A23740">
              <w:rPr>
                <w:rStyle w:val="KIRMIZIChar"/>
                <w:rFonts w:eastAsia="Calibri"/>
              </w:rPr>
              <w:t>223 üncü</w:t>
            </w:r>
            <w:r w:rsidRPr="00A23740">
              <w:rPr>
                <w:szCs w:val="24"/>
              </w:rPr>
              <w:t xml:space="preserve"> maddedeki esaslar dairesinde yenisini </w:t>
            </w:r>
            <w:r w:rsidRPr="00A23740">
              <w:rPr>
                <w:rStyle w:val="KIRMIZIChar"/>
                <w:rFonts w:eastAsia="Calibri"/>
              </w:rPr>
              <w:t>seçer</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pStyle w:val="KIRMIZI"/>
            </w:pPr>
            <w:r w:rsidRPr="00A23740">
              <w:rPr>
                <w:rStyle w:val="KIRMIZIChar"/>
                <w:rFonts w:eastAsia="Calibri"/>
                <w:b/>
                <w:bCs/>
                <w:strike/>
              </w:rPr>
              <w:t>(4)</w:t>
            </w:r>
            <w:r w:rsidRPr="00A23740">
              <w:t xml:space="preserve"> İflas idaresini </w:t>
            </w:r>
            <w:r w:rsidRPr="00A23740">
              <w:rPr>
                <w:rStyle w:val="KIRMIZIChar"/>
                <w:rFonts w:eastAsia="Calibri"/>
                <w:b/>
                <w:bCs/>
                <w:strike/>
              </w:rPr>
              <w:t>teşkil edenler</w:t>
            </w:r>
            <w:r w:rsidRPr="00A23740">
              <w:t xml:space="preserve"> kusurlarından ileri gelen zarardan sorumludurlar. Bu davalara </w:t>
            </w:r>
            <w:r w:rsidRPr="00A23740">
              <w:rPr>
                <w:rStyle w:val="StilKrmzChar"/>
                <w:rFonts w:eastAsia="Calibri"/>
                <w:b/>
                <w:strike/>
              </w:rPr>
              <w:t>adliye</w:t>
            </w:r>
            <w:r w:rsidRPr="00A23740">
              <w:t xml:space="preserve"> mahkemelerinde bakılır.</w:t>
            </w:r>
          </w:p>
          <w:p w:rsidR="00AA5C8C" w:rsidRPr="00A23740" w:rsidRDefault="00AA5C8C" w:rsidP="009431FF">
            <w:pPr>
              <w:pStyle w:val="KIRMIZI"/>
            </w:pPr>
          </w:p>
          <w:p w:rsidR="00AA5C8C" w:rsidRPr="00A23740" w:rsidRDefault="00AA5C8C" w:rsidP="009431FF">
            <w:pPr>
              <w:pStyle w:val="KIRMIZI"/>
            </w:pPr>
            <w:r w:rsidRPr="00A23740">
              <w:rPr>
                <w:rStyle w:val="KIRMIZIChar"/>
                <w:rFonts w:eastAsia="Calibri"/>
                <w:b/>
                <w:bCs/>
                <w:strike/>
              </w:rPr>
              <w:t>(5)</w:t>
            </w:r>
            <w:r w:rsidRPr="00A23740">
              <w:t xml:space="preserve"> İflas idaresini teşkil edenler Türk Ceza Kanununun uygulanmasında </w:t>
            </w:r>
            <w:r w:rsidRPr="00A23740">
              <w:rPr>
                <w:rStyle w:val="StilKrmzChar"/>
                <w:rFonts w:eastAsia="Calibri"/>
                <w:b/>
                <w:strike/>
              </w:rPr>
              <w:t>memur</w:t>
            </w:r>
            <w:r w:rsidRPr="00A23740">
              <w:t xml:space="preserve"> sayılırlar.</w:t>
            </w:r>
          </w:p>
        </w:tc>
        <w:tc>
          <w:tcPr>
            <w:tcW w:w="2500" w:type="pct"/>
          </w:tcPr>
          <w:p w:rsidR="00AA5C8C" w:rsidRPr="00A23740" w:rsidRDefault="00AA5C8C" w:rsidP="009431FF">
            <w:pPr>
              <w:widowControl w:val="0"/>
              <w:rPr>
                <w:b/>
                <w:color w:val="0000FF"/>
                <w:szCs w:val="24"/>
              </w:rPr>
            </w:pPr>
            <w:r w:rsidRPr="00A23740">
              <w:rPr>
                <w:b/>
                <w:color w:val="0000FF"/>
                <w:szCs w:val="24"/>
              </w:rPr>
              <w:t>İflas idaresinin denetimi</w:t>
            </w:r>
          </w:p>
          <w:p w:rsidR="00AA5C8C" w:rsidRPr="00A23740" w:rsidRDefault="00DA2ED0" w:rsidP="009431FF">
            <w:pPr>
              <w:widowControl w:val="0"/>
              <w:tabs>
                <w:tab w:val="left" w:pos="567"/>
              </w:tabs>
              <w:rPr>
                <w:szCs w:val="24"/>
              </w:rPr>
            </w:pPr>
            <w:r w:rsidRPr="00A23740">
              <w:rPr>
                <w:b/>
                <w:color w:val="0000FF"/>
                <w:szCs w:val="24"/>
              </w:rPr>
              <w:t>MADDE 341</w:t>
            </w:r>
            <w:r w:rsidR="00AA5C8C" w:rsidRPr="00A23740">
              <w:rPr>
                <w:b/>
                <w:color w:val="0000FF"/>
                <w:szCs w:val="24"/>
              </w:rPr>
              <w:t xml:space="preserve">- (1) </w:t>
            </w:r>
            <w:r w:rsidR="00AA5C8C" w:rsidRPr="00A23740">
              <w:rPr>
                <w:szCs w:val="24"/>
              </w:rPr>
              <w:t>İflas</w:t>
            </w:r>
            <w:r w:rsidR="00AA5C8C" w:rsidRPr="00A23740">
              <w:rPr>
                <w:b/>
                <w:color w:val="0000FF"/>
                <w:szCs w:val="24"/>
              </w:rPr>
              <w:t xml:space="preserve"> dairesi, </w:t>
            </w:r>
            <w:r w:rsidR="00AA5C8C" w:rsidRPr="00A23740">
              <w:rPr>
                <w:szCs w:val="24"/>
              </w:rPr>
              <w:t>iflas</w:t>
            </w:r>
            <w:r w:rsidR="00AA5C8C" w:rsidRPr="00A23740">
              <w:rPr>
                <w:b/>
                <w:color w:val="0000FF"/>
                <w:szCs w:val="24"/>
              </w:rPr>
              <w:t xml:space="preserve"> idaresini gözetim ve denetimi </w:t>
            </w:r>
            <w:r w:rsidR="00AA5C8C" w:rsidRPr="00A23740">
              <w:rPr>
                <w:rStyle w:val="Balk3Char"/>
                <w:rFonts w:eastAsia="Calibri"/>
              </w:rPr>
              <w:t>altında</w:t>
            </w:r>
            <w:r w:rsidR="00AA5C8C" w:rsidRPr="00A23740">
              <w:rPr>
                <w:b/>
                <w:color w:val="0000FF"/>
                <w:szCs w:val="24"/>
              </w:rPr>
              <w:t xml:space="preserve"> bulundurur ve özellikle </w:t>
            </w:r>
            <w:r w:rsidR="00AA5C8C" w:rsidRPr="00A23740">
              <w:rPr>
                <w:szCs w:val="24"/>
              </w:rPr>
              <w:t>aşağıdaki</w:t>
            </w:r>
            <w:r w:rsidR="00AA5C8C" w:rsidRPr="00A23740">
              <w:rPr>
                <w:b/>
                <w:bCs/>
                <w:szCs w:val="24"/>
              </w:rPr>
              <w:t xml:space="preserve"> </w:t>
            </w:r>
            <w:r w:rsidR="00AA5C8C" w:rsidRPr="00A23740">
              <w:rPr>
                <w:szCs w:val="24"/>
              </w:rPr>
              <w:t>görevleri yerine getirir: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a)</w:t>
            </w:r>
            <w:r w:rsidRPr="00A23740">
              <w:rPr>
                <w:szCs w:val="24"/>
              </w:rPr>
              <w:t xml:space="preserve"> Alacaklılar toplantısının kararlarına, alacaklıların menfaatine uygun görmediği bütün </w:t>
            </w:r>
            <w:r w:rsidRPr="00A23740">
              <w:rPr>
                <w:b/>
                <w:color w:val="0000FF"/>
                <w:szCs w:val="24"/>
              </w:rPr>
              <w:t>işlemlere</w:t>
            </w:r>
            <w:r w:rsidRPr="00A23740">
              <w:rPr>
                <w:szCs w:val="24"/>
              </w:rPr>
              <w:t xml:space="preserve"> ve </w:t>
            </w:r>
            <w:r w:rsidRPr="00A23740">
              <w:rPr>
                <w:rStyle w:val="MaviChar"/>
              </w:rPr>
              <w:t>iflas idaresince</w:t>
            </w:r>
            <w:r w:rsidRPr="00A23740">
              <w:rPr>
                <w:szCs w:val="24"/>
              </w:rPr>
              <w:t xml:space="preserve"> kabul edilen alacaklar ile istihkak iddialarının kabulüne dair olan kararlardan kanuna ve hadiseye uygun görmediklerine </w:t>
            </w:r>
            <w:r w:rsidRPr="00A23740">
              <w:rPr>
                <w:b/>
                <w:color w:val="0000FF"/>
                <w:szCs w:val="24"/>
              </w:rPr>
              <w:t>karşı bir hafta</w:t>
            </w:r>
            <w:r w:rsidRPr="00A23740">
              <w:rPr>
                <w:szCs w:val="24"/>
              </w:rPr>
              <w:t xml:space="preserve"> içinde </w:t>
            </w:r>
            <w:r w:rsidRPr="00A23740">
              <w:rPr>
                <w:b/>
                <w:color w:val="0000FF"/>
                <w:szCs w:val="24"/>
              </w:rPr>
              <w:t>iflas</w:t>
            </w:r>
            <w:r w:rsidRPr="00A23740">
              <w:rPr>
                <w:szCs w:val="24"/>
              </w:rPr>
              <w:t xml:space="preserve"> mahkemesine </w:t>
            </w:r>
            <w:r w:rsidRPr="00A23740">
              <w:rPr>
                <w:b/>
                <w:color w:val="0000FF"/>
                <w:szCs w:val="24"/>
              </w:rPr>
              <w:t>şik</w:t>
            </w:r>
            <w:r w:rsidR="00DC2A65" w:rsidRPr="00A23740">
              <w:rPr>
                <w:b/>
                <w:color w:val="0000FF"/>
                <w:szCs w:val="24"/>
              </w:rPr>
              <w:t>â</w:t>
            </w:r>
            <w:r w:rsidRPr="00A23740">
              <w:rPr>
                <w:b/>
                <w:color w:val="0000FF"/>
                <w:szCs w:val="24"/>
              </w:rPr>
              <w:t>yette bulunmak</w:t>
            </w:r>
            <w:r w:rsidRPr="00A23740">
              <w:rPr>
                <w:szCs w:val="24"/>
              </w:rPr>
              <w:t>.</w:t>
            </w:r>
          </w:p>
          <w:p w:rsidR="00AA5C8C" w:rsidRPr="00A23740" w:rsidRDefault="00AA5C8C" w:rsidP="009431FF">
            <w:pPr>
              <w:widowControl w:val="0"/>
              <w:tabs>
                <w:tab w:val="left" w:pos="567"/>
              </w:tabs>
              <w:rPr>
                <w:szCs w:val="24"/>
              </w:rPr>
            </w:pPr>
            <w:r w:rsidRPr="00A23740">
              <w:rPr>
                <w:b/>
                <w:color w:val="0000FF"/>
                <w:szCs w:val="24"/>
              </w:rPr>
              <w:t>b)</w:t>
            </w:r>
            <w:r w:rsidRPr="00A23740">
              <w:rPr>
                <w:szCs w:val="24"/>
              </w:rPr>
              <w:t xml:space="preserve"> İflas idare </w:t>
            </w:r>
            <w:r w:rsidRPr="00A23740">
              <w:rPr>
                <w:rStyle w:val="MaviChar"/>
              </w:rPr>
              <w:t>memurlarının</w:t>
            </w:r>
            <w:r w:rsidRPr="00A23740">
              <w:rPr>
                <w:szCs w:val="24"/>
              </w:rPr>
              <w:t xml:space="preserve"> ücretleriyle </w:t>
            </w:r>
            <w:r w:rsidRPr="00A23740">
              <w:rPr>
                <w:rStyle w:val="MaviChar"/>
              </w:rPr>
              <w:t>giderleri</w:t>
            </w:r>
            <w:r w:rsidR="00DC2A65" w:rsidRPr="00A23740">
              <w:rPr>
                <w:rStyle w:val="MaviChar"/>
                <w:lang w:val="tr-TR"/>
              </w:rPr>
              <w:t xml:space="preserve"> de</w:t>
            </w:r>
            <w:r w:rsidRPr="00A23740">
              <w:rPr>
                <w:szCs w:val="24"/>
              </w:rPr>
              <w:t xml:space="preserve"> dahil olmak üzere </w:t>
            </w:r>
            <w:r w:rsidRPr="00A23740">
              <w:rPr>
                <w:rStyle w:val="MaviChar"/>
              </w:rPr>
              <w:t>hazırlanan</w:t>
            </w:r>
            <w:r w:rsidRPr="00A23740">
              <w:rPr>
                <w:szCs w:val="24"/>
              </w:rPr>
              <w:t xml:space="preserve"> hesap pusulalarını </w:t>
            </w:r>
            <w:r w:rsidRPr="00A23740">
              <w:rPr>
                <w:b/>
                <w:color w:val="0000FF"/>
                <w:szCs w:val="24"/>
              </w:rPr>
              <w:t>iflas</w:t>
            </w:r>
            <w:r w:rsidRPr="00A23740">
              <w:rPr>
                <w:szCs w:val="24"/>
              </w:rPr>
              <w:t xml:space="preserve"> mahkemesinin </w:t>
            </w:r>
            <w:r w:rsidRPr="00A23740">
              <w:rPr>
                <w:b/>
                <w:color w:val="0000FF"/>
                <w:szCs w:val="24"/>
              </w:rPr>
              <w:t>onayına sunmak</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pStyle w:val="Mavi"/>
              <w:widowControl w:val="0"/>
            </w:pPr>
            <w:r w:rsidRPr="00A23740">
              <w:t xml:space="preserve">(2) İflas idaresinin tasfiyenin yürütülmesiyle ilgili kararları almayarak tasfiyenin süratli bir şekilde </w:t>
            </w:r>
            <w:r w:rsidRPr="00A23740">
              <w:rPr>
                <w:rStyle w:val="MaviChar"/>
                <w:b/>
                <w:bCs/>
              </w:rPr>
              <w:t>ilerlemesini</w:t>
            </w:r>
            <w:r w:rsidRPr="00A23740">
              <w:t xml:space="preserve"> sağlamadığı hâllerde, iflas </w:t>
            </w:r>
            <w:r w:rsidRPr="00A23740">
              <w:rPr>
                <w:rStyle w:val="MaviChar"/>
                <w:b/>
                <w:bCs/>
              </w:rPr>
              <w:t>dairesi</w:t>
            </w:r>
            <w:r w:rsidRPr="00A23740">
              <w:t xml:space="preserve"> müdürü durumu bir raporla iflas mahkemesine bildirir. İflas mahkemesi, bu durumda tasfiyenin ikinci alacaklılar toplantısına kadar iflas </w:t>
            </w:r>
            <w:r w:rsidRPr="00A23740">
              <w:rPr>
                <w:rStyle w:val="MaviChar"/>
                <w:b/>
                <w:bCs/>
              </w:rPr>
              <w:t>dairesi</w:t>
            </w:r>
            <w:r w:rsidRPr="00A23740">
              <w:t xml:space="preserve"> müdürünce yürütülmesine karar verebilir. </w:t>
            </w:r>
          </w:p>
          <w:p w:rsidR="00AA5C8C" w:rsidRPr="00A23740" w:rsidRDefault="00AA5C8C" w:rsidP="009431FF">
            <w:pPr>
              <w:widowControl w:val="0"/>
              <w:tabs>
                <w:tab w:val="left" w:pos="567"/>
              </w:tabs>
              <w:rPr>
                <w:rStyle w:val="MAVChar"/>
                <w:rFonts w:eastAsia="Calibri"/>
                <w:u w:val="none"/>
              </w:rPr>
            </w:pPr>
          </w:p>
          <w:p w:rsidR="00AA5C8C" w:rsidRPr="00A23740" w:rsidRDefault="00AA5C8C" w:rsidP="009431FF">
            <w:pPr>
              <w:widowControl w:val="0"/>
              <w:tabs>
                <w:tab w:val="left" w:pos="567"/>
              </w:tabs>
              <w:rPr>
                <w:rStyle w:val="MaviChar"/>
              </w:rPr>
            </w:pPr>
            <w:r w:rsidRPr="00A23740">
              <w:rPr>
                <w:b/>
                <w:color w:val="0000FF"/>
                <w:szCs w:val="24"/>
              </w:rPr>
              <w:t>(3) İflas</w:t>
            </w:r>
            <w:r w:rsidRPr="00A23740">
              <w:rPr>
                <w:szCs w:val="24"/>
              </w:rPr>
              <w:t xml:space="preserve"> mahkemesi </w:t>
            </w:r>
            <w:r w:rsidRPr="00A23740">
              <w:rPr>
                <w:rStyle w:val="MAVChar"/>
                <w:rFonts w:eastAsia="Calibri"/>
                <w:u w:val="none"/>
              </w:rPr>
              <w:t>de</w:t>
            </w:r>
            <w:r w:rsidRPr="00A23740">
              <w:rPr>
                <w:szCs w:val="24"/>
              </w:rPr>
              <w:t xml:space="preserve"> iflas idaresi üzerinde gözetim </w:t>
            </w:r>
            <w:r w:rsidRPr="00A23740">
              <w:rPr>
                <w:b/>
                <w:color w:val="0000FF"/>
                <w:szCs w:val="24"/>
              </w:rPr>
              <w:t>ve denetim</w:t>
            </w:r>
            <w:r w:rsidRPr="00A23740">
              <w:rPr>
                <w:szCs w:val="24"/>
              </w:rPr>
              <w:t xml:space="preserve"> yetkisine sahip olup</w:t>
            </w:r>
            <w:r w:rsidRPr="00A23740">
              <w:rPr>
                <w:rStyle w:val="MaviChar"/>
              </w:rPr>
              <w:t>,</w:t>
            </w:r>
            <w:r w:rsidRPr="00A23740">
              <w:rPr>
                <w:szCs w:val="24"/>
              </w:rPr>
              <w:t xml:space="preserve"> gerektiğinde iflas idare </w:t>
            </w:r>
            <w:r w:rsidRPr="00A23740">
              <w:rPr>
                <w:b/>
                <w:color w:val="0000FF"/>
                <w:szCs w:val="24"/>
              </w:rPr>
              <w:t xml:space="preserve">memurlarının </w:t>
            </w:r>
            <w:r w:rsidRPr="00A23740">
              <w:rPr>
                <w:szCs w:val="24"/>
              </w:rPr>
              <w:t xml:space="preserve">görevine son verebilir. </w:t>
            </w:r>
            <w:r w:rsidRPr="00A23740">
              <w:rPr>
                <w:b/>
                <w:color w:val="0000FF"/>
                <w:szCs w:val="24"/>
              </w:rPr>
              <w:t>İflas</w:t>
            </w:r>
            <w:r w:rsidRPr="00A23740">
              <w:rPr>
                <w:szCs w:val="24"/>
              </w:rPr>
              <w:t xml:space="preserve"> mahkemesi, görevine son verilen</w:t>
            </w:r>
            <w:r w:rsidRPr="00A23740">
              <w:rPr>
                <w:rStyle w:val="MaviChar"/>
              </w:rPr>
              <w:t>in</w:t>
            </w:r>
            <w:r w:rsidRPr="00A23740">
              <w:rPr>
                <w:szCs w:val="24"/>
              </w:rPr>
              <w:t xml:space="preserve"> veya istifa edenin yerine, önceki adaylar arasından</w:t>
            </w:r>
            <w:r w:rsidR="00F805B5" w:rsidRPr="00A23740">
              <w:rPr>
                <w:szCs w:val="24"/>
              </w:rPr>
              <w:t xml:space="preserve"> </w:t>
            </w:r>
            <w:r w:rsidR="00F805B5" w:rsidRPr="00F20491">
              <w:rPr>
                <w:rStyle w:val="MaviChar"/>
              </w:rPr>
              <w:t>336 ncı</w:t>
            </w:r>
            <w:r w:rsidRPr="00A23740">
              <w:rPr>
                <w:szCs w:val="24"/>
              </w:rPr>
              <w:t xml:space="preserve"> maddedeki esaslar </w:t>
            </w:r>
            <w:r w:rsidRPr="00A23740">
              <w:rPr>
                <w:rStyle w:val="MaviChar"/>
              </w:rPr>
              <w:t>uyarınca</w:t>
            </w:r>
            <w:r w:rsidRPr="00A23740">
              <w:rPr>
                <w:szCs w:val="24"/>
              </w:rPr>
              <w:t xml:space="preserve"> yenisini </w:t>
            </w:r>
            <w:r w:rsidRPr="00A23740">
              <w:rPr>
                <w:rStyle w:val="MaviChar"/>
              </w:rPr>
              <w:t>belirler.</w:t>
            </w:r>
          </w:p>
          <w:p w:rsidR="00AA5C8C" w:rsidRPr="00A23740" w:rsidRDefault="00AA5C8C" w:rsidP="009431FF">
            <w:pPr>
              <w:widowControl w:val="0"/>
              <w:tabs>
                <w:tab w:val="left" w:pos="567"/>
              </w:tabs>
              <w:rPr>
                <w:rStyle w:val="MaviChar"/>
              </w:rPr>
            </w:pPr>
          </w:p>
          <w:p w:rsidR="00AA5C8C" w:rsidRPr="00A23740" w:rsidRDefault="00AA5C8C" w:rsidP="009431FF">
            <w:pPr>
              <w:widowControl w:val="0"/>
              <w:rPr>
                <w:rStyle w:val="MAVChar"/>
                <w:rFonts w:eastAsia="Calibri"/>
                <w:color w:val="FF0000"/>
                <w:u w:val="none"/>
              </w:rPr>
            </w:pPr>
          </w:p>
        </w:tc>
      </w:tr>
      <w:tr w:rsidR="00F97472"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CD5F4C" w:rsidRPr="00A23740" w:rsidRDefault="00CD5F4C" w:rsidP="009431FF">
            <w:pPr>
              <w:tabs>
                <w:tab w:val="left" w:pos="567"/>
              </w:tabs>
              <w:ind w:firstLine="709"/>
              <w:rPr>
                <w:bCs/>
                <w:szCs w:val="24"/>
              </w:rPr>
            </w:pPr>
          </w:p>
          <w:p w:rsidR="00CD5F4C" w:rsidRPr="00A23740" w:rsidRDefault="00CD5F4C" w:rsidP="009431FF">
            <w:pPr>
              <w:ind w:firstLine="709"/>
              <w:rPr>
                <w:b/>
                <w:color w:val="0000FF"/>
                <w:szCs w:val="24"/>
              </w:rPr>
            </w:pPr>
            <w:r w:rsidRPr="00A23740">
              <w:rPr>
                <w:b/>
                <w:szCs w:val="24"/>
              </w:rPr>
              <w:t>M</w:t>
            </w:r>
            <w:r w:rsidR="00DA2ED0" w:rsidRPr="00A23740">
              <w:rPr>
                <w:b/>
                <w:szCs w:val="24"/>
              </w:rPr>
              <w:t>ADDE 341</w:t>
            </w:r>
            <w:r w:rsidRPr="00A23740">
              <w:rPr>
                <w:b/>
                <w:szCs w:val="24"/>
              </w:rPr>
              <w:t>-</w:t>
            </w:r>
            <w:r w:rsidRPr="00A23740">
              <w:rPr>
                <w:szCs w:val="24"/>
              </w:rPr>
              <w:t xml:space="preserve"> Maddeyle, </w:t>
            </w:r>
            <w:r w:rsidRPr="00A23740">
              <w:rPr>
                <w:bCs/>
                <w:szCs w:val="24"/>
              </w:rPr>
              <w:t>iflas idaresinin denetimi</w:t>
            </w:r>
            <w:r w:rsidR="001058DA" w:rsidRPr="00A23740">
              <w:rPr>
                <w:bCs/>
                <w:szCs w:val="24"/>
              </w:rPr>
              <w:t>ne</w:t>
            </w:r>
            <w:r w:rsidRPr="00A23740">
              <w:rPr>
                <w:bCs/>
                <w:szCs w:val="24"/>
              </w:rPr>
              <w:t xml:space="preserve"> ilişkin hususlar düzenlenmektedir. Hüküm, 2004 sayılı Kanunun 223 üncü </w:t>
            </w:r>
            <w:r w:rsidR="00DC2A65" w:rsidRPr="00F20491">
              <w:rPr>
                <w:szCs w:val="24"/>
              </w:rPr>
              <w:t>maddesine</w:t>
            </w:r>
            <w:r w:rsidR="00DC2A65" w:rsidRPr="00F20491">
              <w:rPr>
                <w:bCs/>
                <w:szCs w:val="24"/>
              </w:rPr>
              <w:t xml:space="preserve"> </w:t>
            </w:r>
            <w:r w:rsidRPr="00F20491">
              <w:rPr>
                <w:bCs/>
                <w:szCs w:val="24"/>
              </w:rPr>
              <w:t>karşılık</w:t>
            </w:r>
            <w:r w:rsidRPr="00A23740">
              <w:rPr>
                <w:bCs/>
                <w:szCs w:val="24"/>
              </w:rPr>
              <w:t xml:space="preserve"> gelmektedir.</w:t>
            </w:r>
            <w:r w:rsidRPr="00A23740">
              <w:rPr>
                <w:szCs w:val="24"/>
              </w:rPr>
              <w:t xml:space="preserve"> </w:t>
            </w:r>
          </w:p>
          <w:p w:rsidR="00F97472" w:rsidRPr="00A23740" w:rsidRDefault="00F97472" w:rsidP="009431FF">
            <w:pPr>
              <w:tabs>
                <w:tab w:val="left" w:pos="567"/>
              </w:tabs>
              <w:ind w:firstLine="709"/>
              <w:rPr>
                <w:bCs/>
                <w:szCs w:val="24"/>
              </w:rPr>
            </w:pPr>
            <w:r w:rsidRPr="00A23740">
              <w:rPr>
                <w:bCs/>
                <w:szCs w:val="24"/>
              </w:rPr>
              <w:t xml:space="preserve">Maddede iflas idaresinin iflas dairesince denetimi ve iflas dairesinin bu denetim kapsamındaki görevleri düzenlenmiştir. Buna göre iflas dairesi, iflas idaresini gözetim ve denetimi </w:t>
            </w:r>
            <w:r w:rsidRPr="00A23740">
              <w:rPr>
                <w:szCs w:val="26"/>
              </w:rPr>
              <w:t>altında</w:t>
            </w:r>
            <w:r w:rsidRPr="00A23740">
              <w:rPr>
                <w:bCs/>
                <w:szCs w:val="24"/>
              </w:rPr>
              <w:t xml:space="preserve"> bulunduracak ve alacaklılar toplantısının kararlarına, alacaklıların menfaatine uygun görmediği bütün işlemlere ve </w:t>
            </w:r>
            <w:r w:rsidRPr="00A23740">
              <w:rPr>
                <w:lang w:val="x-none" w:eastAsia="x-none"/>
              </w:rPr>
              <w:t>iflas idaresince</w:t>
            </w:r>
            <w:r w:rsidRPr="00A23740">
              <w:rPr>
                <w:bCs/>
                <w:szCs w:val="24"/>
              </w:rPr>
              <w:t xml:space="preserve"> kabul edilen alacaklar ile istihkak iddialarının kabulüne dair olan kararlardan kanuna ve hadiseye uygun görmediklerine karşı bir hafta içinde iflas mahkemesine şik</w:t>
            </w:r>
            <w:r w:rsidR="00DC2A65" w:rsidRPr="00A23740">
              <w:rPr>
                <w:bCs/>
                <w:szCs w:val="24"/>
              </w:rPr>
              <w:t>â</w:t>
            </w:r>
            <w:r w:rsidRPr="00A23740">
              <w:rPr>
                <w:bCs/>
                <w:szCs w:val="24"/>
              </w:rPr>
              <w:t xml:space="preserve">yette </w:t>
            </w:r>
            <w:r w:rsidR="00DC2A65" w:rsidRPr="00A23740">
              <w:rPr>
                <w:bCs/>
                <w:szCs w:val="24"/>
              </w:rPr>
              <w:t>bulunacaktır. 2004 sayılı Kanun</w:t>
            </w:r>
            <w:r w:rsidRPr="00A23740">
              <w:rPr>
                <w:bCs/>
                <w:szCs w:val="24"/>
              </w:rPr>
              <w:t>dan farklı olarak burada “itiraz” yerine “şik</w:t>
            </w:r>
            <w:r w:rsidR="00DC2A65" w:rsidRPr="00A23740">
              <w:rPr>
                <w:bCs/>
                <w:szCs w:val="24"/>
              </w:rPr>
              <w:t>â</w:t>
            </w:r>
            <w:r w:rsidRPr="00A23740">
              <w:rPr>
                <w:bCs/>
                <w:szCs w:val="24"/>
              </w:rPr>
              <w:t>yet” terimi kullanılarak, bu başvurunun esasen bir şik</w:t>
            </w:r>
            <w:r w:rsidR="00DC2A65" w:rsidRPr="00A23740">
              <w:rPr>
                <w:bCs/>
                <w:szCs w:val="24"/>
              </w:rPr>
              <w:t>â</w:t>
            </w:r>
            <w:r w:rsidRPr="00A23740">
              <w:rPr>
                <w:bCs/>
                <w:szCs w:val="24"/>
              </w:rPr>
              <w:t>yet olduğu açıkça ifade edilmiştir. Burada da şik</w:t>
            </w:r>
            <w:r w:rsidR="00DC2A65" w:rsidRPr="00A23740">
              <w:rPr>
                <w:bCs/>
                <w:szCs w:val="24"/>
              </w:rPr>
              <w:t>â</w:t>
            </w:r>
            <w:r w:rsidRPr="00A23740">
              <w:rPr>
                <w:bCs/>
                <w:szCs w:val="24"/>
              </w:rPr>
              <w:t xml:space="preserve">yet </w:t>
            </w:r>
            <w:r w:rsidRPr="00F20491">
              <w:rPr>
                <w:bCs/>
              </w:rPr>
              <w:t>merci</w:t>
            </w:r>
            <w:r w:rsidR="00DC2A65" w:rsidRPr="00F20491">
              <w:t>i</w:t>
            </w:r>
            <w:r w:rsidRPr="00F20491">
              <w:rPr>
                <w:bCs/>
              </w:rPr>
              <w:t xml:space="preserve"> iflas</w:t>
            </w:r>
            <w:r w:rsidRPr="00A23740">
              <w:rPr>
                <w:bCs/>
                <w:szCs w:val="24"/>
              </w:rPr>
              <w:t xml:space="preserve"> mahkemesidir. </w:t>
            </w:r>
          </w:p>
          <w:p w:rsidR="00F97472" w:rsidRPr="00A23740" w:rsidRDefault="00F97472" w:rsidP="009431FF">
            <w:pPr>
              <w:tabs>
                <w:tab w:val="left" w:pos="567"/>
              </w:tabs>
              <w:ind w:firstLine="709"/>
              <w:rPr>
                <w:bCs/>
                <w:szCs w:val="24"/>
              </w:rPr>
            </w:pPr>
            <w:r w:rsidRPr="00A23740">
              <w:rPr>
                <w:bCs/>
                <w:szCs w:val="24"/>
              </w:rPr>
              <w:t xml:space="preserve">İflas idare </w:t>
            </w:r>
            <w:r w:rsidRPr="00A23740">
              <w:rPr>
                <w:lang w:val="x-none" w:eastAsia="x-none"/>
              </w:rPr>
              <w:t>memurlarının</w:t>
            </w:r>
            <w:r w:rsidRPr="00A23740">
              <w:rPr>
                <w:bCs/>
                <w:szCs w:val="24"/>
              </w:rPr>
              <w:t xml:space="preserve"> ücretleri </w:t>
            </w:r>
            <w:r w:rsidR="00181110" w:rsidRPr="00A23740">
              <w:rPr>
                <w:bCs/>
                <w:szCs w:val="24"/>
              </w:rPr>
              <w:t xml:space="preserve">ile </w:t>
            </w:r>
            <w:r w:rsidRPr="00A23740">
              <w:rPr>
                <w:lang w:val="x-none" w:eastAsia="x-none"/>
              </w:rPr>
              <w:t>giderleri</w:t>
            </w:r>
            <w:r w:rsidRPr="00A23740">
              <w:rPr>
                <w:bCs/>
                <w:szCs w:val="24"/>
              </w:rPr>
              <w:t xml:space="preserve"> </w:t>
            </w:r>
            <w:r w:rsidR="00DC2A65" w:rsidRPr="00F20491">
              <w:rPr>
                <w:szCs w:val="24"/>
              </w:rPr>
              <w:t>de</w:t>
            </w:r>
            <w:r w:rsidR="00DC2A65" w:rsidRPr="00A23740">
              <w:rPr>
                <w:bCs/>
                <w:szCs w:val="24"/>
              </w:rPr>
              <w:t xml:space="preserve"> </w:t>
            </w:r>
            <w:r w:rsidRPr="00A23740">
              <w:rPr>
                <w:bCs/>
                <w:szCs w:val="24"/>
              </w:rPr>
              <w:t xml:space="preserve">dahil olmak üzere </w:t>
            </w:r>
            <w:r w:rsidRPr="00A23740">
              <w:rPr>
                <w:lang w:val="x-none" w:eastAsia="x-none"/>
              </w:rPr>
              <w:t>hazırlanan</w:t>
            </w:r>
            <w:r w:rsidRPr="00A23740">
              <w:rPr>
                <w:bCs/>
                <w:szCs w:val="24"/>
              </w:rPr>
              <w:t xml:space="preserve"> hesap pusulalarını iflas mahkemesinin onayına sunmak da iflas dairesinin görevi da</w:t>
            </w:r>
            <w:r w:rsidRPr="00F20491">
              <w:rPr>
                <w:bCs/>
              </w:rPr>
              <w:t>h</w:t>
            </w:r>
            <w:r w:rsidR="00DC2A65" w:rsidRPr="00F20491">
              <w:t>i</w:t>
            </w:r>
            <w:r w:rsidRPr="00F20491">
              <w:rPr>
                <w:bCs/>
              </w:rPr>
              <w:t>li</w:t>
            </w:r>
            <w:r w:rsidRPr="00A23740">
              <w:rPr>
                <w:bCs/>
                <w:szCs w:val="24"/>
              </w:rPr>
              <w:t xml:space="preserve">ndedir. </w:t>
            </w:r>
            <w:r w:rsidRPr="00A23740">
              <w:rPr>
                <w:bCs/>
              </w:rPr>
              <w:t>Bununla kastedilen iflas idare memurlarının aylıkları dışında kalan harcamalarına ilişkin hesap pusulalarıdır.</w:t>
            </w:r>
          </w:p>
          <w:p w:rsidR="00F97472" w:rsidRPr="00A23740" w:rsidRDefault="00F97472" w:rsidP="009431FF">
            <w:pPr>
              <w:tabs>
                <w:tab w:val="left" w:pos="567"/>
              </w:tabs>
              <w:ind w:firstLine="709"/>
              <w:rPr>
                <w:bCs/>
                <w:szCs w:val="24"/>
                <w:lang w:eastAsia="x-none"/>
              </w:rPr>
            </w:pPr>
            <w:r w:rsidRPr="00A23740">
              <w:rPr>
                <w:bCs/>
                <w:szCs w:val="24"/>
                <w:lang w:val="x-none" w:eastAsia="x-none"/>
              </w:rPr>
              <w:t>İkinci fıkraya göre</w:t>
            </w:r>
            <w:r w:rsidRPr="00A23740">
              <w:rPr>
                <w:bCs/>
                <w:szCs w:val="24"/>
                <w:lang w:eastAsia="x-none"/>
              </w:rPr>
              <w:t xml:space="preserve"> i</w:t>
            </w:r>
            <w:r w:rsidRPr="00A23740">
              <w:rPr>
                <w:bCs/>
                <w:szCs w:val="24"/>
                <w:lang w:val="x-none" w:eastAsia="x-none"/>
              </w:rPr>
              <w:t xml:space="preserve">flas idaresinin tasfiyenin yürütülmesiyle ilgili kararları </w:t>
            </w:r>
            <w:r w:rsidR="00DC2A65" w:rsidRPr="00F20491">
              <w:rPr>
                <w:szCs w:val="24"/>
                <w:lang w:val="x-none" w:eastAsia="x-none"/>
              </w:rPr>
              <w:t>almadığı ve bu nedenle</w:t>
            </w:r>
            <w:r w:rsidR="00DC2A65" w:rsidRPr="00A23740">
              <w:rPr>
                <w:bCs/>
                <w:szCs w:val="24"/>
                <w:lang w:eastAsia="x-none"/>
              </w:rPr>
              <w:t xml:space="preserve"> </w:t>
            </w:r>
            <w:r w:rsidRPr="00A23740">
              <w:rPr>
                <w:bCs/>
                <w:szCs w:val="24"/>
                <w:lang w:val="x-none" w:eastAsia="x-none"/>
              </w:rPr>
              <w:t>tasfiyenin süratli bir şekilde ilerlemesini sağlamadığı hâllerde, iflas dairesi müdürü, durumu bir raporla iflas mahkemesine bildirece</w:t>
            </w:r>
            <w:r w:rsidRPr="00A23740">
              <w:rPr>
                <w:bCs/>
                <w:szCs w:val="24"/>
                <w:lang w:eastAsia="x-none"/>
              </w:rPr>
              <w:t>k bunun üzerine de</w:t>
            </w:r>
            <w:r w:rsidRPr="00A23740">
              <w:rPr>
                <w:bCs/>
                <w:szCs w:val="24"/>
                <w:lang w:val="x-none" w:eastAsia="x-none"/>
              </w:rPr>
              <w:t xml:space="preserve"> </w:t>
            </w:r>
            <w:r w:rsidRPr="00A23740">
              <w:rPr>
                <w:bCs/>
                <w:szCs w:val="24"/>
                <w:lang w:eastAsia="x-none"/>
              </w:rPr>
              <w:t>i</w:t>
            </w:r>
            <w:r w:rsidRPr="00A23740">
              <w:rPr>
                <w:bCs/>
                <w:szCs w:val="24"/>
                <w:lang w:val="x-none" w:eastAsia="x-none"/>
              </w:rPr>
              <w:t>flas mahkemesi, tasfiyenin ikinci alacaklılar toplantısına kadar iflas dairesi müdürünce yürütülmesine karar verebil</w:t>
            </w:r>
            <w:r w:rsidRPr="00A23740">
              <w:rPr>
                <w:bCs/>
                <w:szCs w:val="24"/>
                <w:lang w:eastAsia="x-none"/>
              </w:rPr>
              <w:t>ecektir</w:t>
            </w:r>
            <w:r w:rsidRPr="00A23740">
              <w:rPr>
                <w:bCs/>
                <w:szCs w:val="24"/>
                <w:lang w:val="x-none" w:eastAsia="x-none"/>
              </w:rPr>
              <w:t xml:space="preserve">. </w:t>
            </w:r>
            <w:r w:rsidR="00DC2A65" w:rsidRPr="00A23740">
              <w:rPr>
                <w:bCs/>
                <w:szCs w:val="24"/>
                <w:lang w:eastAsia="x-none"/>
              </w:rPr>
              <w:t>Fıkra, Kanun</w:t>
            </w:r>
            <w:r w:rsidRPr="00A23740">
              <w:rPr>
                <w:bCs/>
                <w:szCs w:val="24"/>
                <w:lang w:eastAsia="x-none"/>
              </w:rPr>
              <w:t>da iflas idaresinin denetimine ilişkin olarak ihdas edilen hükümlerden biridir. İflas idaresinin bir çok yönden denetim</w:t>
            </w:r>
            <w:r w:rsidR="00DC2A65" w:rsidRPr="00A23740">
              <w:rPr>
                <w:bCs/>
                <w:szCs w:val="24"/>
                <w:lang w:eastAsia="x-none"/>
              </w:rPr>
              <w:t>i hususundaki hassasiyet, Kanun</w:t>
            </w:r>
            <w:r w:rsidRPr="00A23740">
              <w:rPr>
                <w:bCs/>
                <w:szCs w:val="24"/>
                <w:lang w:eastAsia="x-none"/>
              </w:rPr>
              <w:t>un iflasa ilişkin hükümlerinde ön plana çıkmaktadır. Bu hükümle amaçlanan, karar alma konusunda zafiyet göstererek tasfiyenin süratli bir şekilde devamını sağlamayan iflas idaresinin, tasfiyenin erken bir aşamasında devre dışı bırakılarak tasfiyenin sağlıklı ve süratli yürütülmesi için iflas dairesi ve iflas mahkemesi çerçevesinde dinamik bir denetim mekanizma</w:t>
            </w:r>
            <w:r w:rsidR="00CD5F4C" w:rsidRPr="00A23740">
              <w:rPr>
                <w:bCs/>
                <w:szCs w:val="24"/>
                <w:lang w:eastAsia="x-none"/>
              </w:rPr>
              <w:t xml:space="preserve">sının oluşturulmasıdır.  </w:t>
            </w:r>
          </w:p>
          <w:p w:rsidR="00F97472" w:rsidRPr="00A23740" w:rsidRDefault="00F97472" w:rsidP="009431FF">
            <w:pPr>
              <w:tabs>
                <w:tab w:val="left" w:pos="567"/>
              </w:tabs>
              <w:ind w:firstLine="709"/>
              <w:rPr>
                <w:bCs/>
                <w:szCs w:val="24"/>
                <w:lang w:eastAsia="x-none"/>
              </w:rPr>
            </w:pPr>
            <w:r w:rsidRPr="00A23740">
              <w:rPr>
                <w:bCs/>
                <w:szCs w:val="24"/>
                <w:lang w:val="x-none" w:eastAsia="x-none"/>
              </w:rPr>
              <w:t>Üçüncü fıkra</w:t>
            </w:r>
            <w:r w:rsidRPr="00A23740">
              <w:rPr>
                <w:bCs/>
                <w:szCs w:val="24"/>
                <w:lang w:eastAsia="x-none"/>
              </w:rPr>
              <w:t>da</w:t>
            </w:r>
            <w:r w:rsidRPr="00A23740">
              <w:rPr>
                <w:bCs/>
                <w:szCs w:val="24"/>
                <w:lang w:val="x-none" w:eastAsia="x-none"/>
              </w:rPr>
              <w:t xml:space="preserve"> </w:t>
            </w:r>
            <w:r w:rsidRPr="00A23740">
              <w:rPr>
                <w:bCs/>
                <w:szCs w:val="24"/>
                <w:lang w:eastAsia="x-none"/>
              </w:rPr>
              <w:t>iflas mahkemesinin de iflas idaresi üzerinde doğrudan gözetim ve denetim yetkisi düzenlenmiş, iflas dairesinin bildirimi olmasa dahi iflas mahkemesinin iflas idaresinin görevine son verebileceği hüküm altına alınmıştır. Bu</w:t>
            </w:r>
            <w:r w:rsidR="001560F0">
              <w:rPr>
                <w:bCs/>
                <w:szCs w:val="24"/>
                <w:lang w:eastAsia="x-none"/>
              </w:rPr>
              <w:t xml:space="preserve"> </w:t>
            </w:r>
            <w:r w:rsidR="00181110" w:rsidRPr="00A23740">
              <w:rPr>
                <w:bCs/>
                <w:szCs w:val="24"/>
                <w:lang w:eastAsia="x-none"/>
              </w:rPr>
              <w:t>çerçevede</w:t>
            </w:r>
            <w:r w:rsidRPr="00A23740">
              <w:rPr>
                <w:bCs/>
                <w:szCs w:val="24"/>
                <w:lang w:eastAsia="x-none"/>
              </w:rPr>
              <w:t xml:space="preserve">, </w:t>
            </w:r>
            <w:r w:rsidRPr="00A23740">
              <w:rPr>
                <w:bCs/>
                <w:szCs w:val="24"/>
                <w:lang w:val="x-none" w:eastAsia="x-none"/>
              </w:rPr>
              <w:t>iflas mahkemesi bir veya birkaç alaca</w:t>
            </w:r>
            <w:r w:rsidRPr="00A23740">
              <w:rPr>
                <w:bCs/>
                <w:szCs w:val="24"/>
                <w:lang w:eastAsia="x-none"/>
              </w:rPr>
              <w:t>klı</w:t>
            </w:r>
            <w:r w:rsidRPr="00A23740">
              <w:rPr>
                <w:bCs/>
                <w:szCs w:val="24"/>
                <w:lang w:val="x-none" w:eastAsia="x-none"/>
              </w:rPr>
              <w:t>n yapt</w:t>
            </w:r>
            <w:r w:rsidRPr="00A23740">
              <w:rPr>
                <w:bCs/>
                <w:szCs w:val="24"/>
                <w:lang w:eastAsia="x-none"/>
              </w:rPr>
              <w:t xml:space="preserve">ığı </w:t>
            </w:r>
            <w:r w:rsidRPr="00A23740">
              <w:rPr>
                <w:bCs/>
                <w:szCs w:val="24"/>
                <w:lang w:val="x-none" w:eastAsia="x-none"/>
              </w:rPr>
              <w:t>şik</w:t>
            </w:r>
            <w:r w:rsidR="00DC2A65" w:rsidRPr="00A23740">
              <w:rPr>
                <w:bCs/>
                <w:szCs w:val="24"/>
                <w:lang w:eastAsia="x-none"/>
              </w:rPr>
              <w:t>â</w:t>
            </w:r>
            <w:r w:rsidRPr="00A23740">
              <w:rPr>
                <w:bCs/>
                <w:szCs w:val="24"/>
                <w:lang w:val="x-none" w:eastAsia="x-none"/>
              </w:rPr>
              <w:t>yet üzerine dahi iflas idare memurlar</w:t>
            </w:r>
            <w:r w:rsidRPr="00A23740">
              <w:rPr>
                <w:bCs/>
                <w:szCs w:val="24"/>
                <w:lang w:eastAsia="x-none"/>
              </w:rPr>
              <w:t>ını</w:t>
            </w:r>
            <w:r w:rsidRPr="00A23740">
              <w:rPr>
                <w:bCs/>
                <w:szCs w:val="24"/>
                <w:lang w:val="x-none" w:eastAsia="x-none"/>
              </w:rPr>
              <w:t>n görevine son verebilecektir.</w:t>
            </w:r>
          </w:p>
          <w:p w:rsidR="00F97472" w:rsidRPr="00A23740" w:rsidRDefault="00F97472" w:rsidP="009431FF">
            <w:pPr>
              <w:tabs>
                <w:tab w:val="left" w:pos="567"/>
              </w:tabs>
            </w:pPr>
          </w:p>
          <w:p w:rsidR="00F97472" w:rsidRPr="00A23740" w:rsidRDefault="00F97472" w:rsidP="001560F0">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rFonts w:eastAsia="Calibri"/>
                <w:b w:val="0"/>
                <w:bCs w:val="0"/>
                <w:strike w:val="0"/>
                <w:color w:val="auto"/>
                <w:lang w:val="tr-TR" w:eastAsia="en-US"/>
              </w:rPr>
              <w:t>İflas idaresini</w:t>
            </w:r>
            <w:r w:rsidRPr="00A23740">
              <w:rPr>
                <w:lang w:val="tr-TR"/>
              </w:rPr>
              <w:t>n vazife ve mes'uliyeti:</w:t>
            </w:r>
          </w:p>
          <w:p w:rsidR="00AA5C8C" w:rsidRPr="00A23740" w:rsidRDefault="00AA5C8C" w:rsidP="009431FF">
            <w:pPr>
              <w:pStyle w:val="KIRMIZI"/>
              <w:rPr>
                <w:lang w:val="tr-TR"/>
              </w:rPr>
            </w:pPr>
            <w:r w:rsidRPr="00A23740">
              <w:rPr>
                <w:lang w:val="tr-TR"/>
              </w:rPr>
              <w:t>Madde 227 – (Değişik: 6/6/1985-3222/28 md.) . . .</w:t>
            </w:r>
          </w:p>
          <w:p w:rsidR="00AA5C8C" w:rsidRPr="00A23740" w:rsidRDefault="00AA5C8C" w:rsidP="009431FF">
            <w:pPr>
              <w:tabs>
                <w:tab w:val="left" w:pos="567"/>
              </w:tabs>
              <w:rPr>
                <w:szCs w:val="24"/>
              </w:rPr>
            </w:pPr>
            <w:r w:rsidRPr="00A23740">
              <w:rPr>
                <w:rStyle w:val="KIRMIZIChar"/>
                <w:rFonts w:eastAsia="Calibri"/>
              </w:rPr>
              <w:t>(4)</w:t>
            </w:r>
            <w:r w:rsidRPr="00A23740">
              <w:rPr>
                <w:szCs w:val="24"/>
              </w:rPr>
              <w:t xml:space="preserve"> İflas idaresini </w:t>
            </w:r>
            <w:r w:rsidRPr="00A23740">
              <w:rPr>
                <w:rStyle w:val="KIRMIZIChar"/>
                <w:rFonts w:eastAsia="Calibri"/>
              </w:rPr>
              <w:t>teşkil edenler</w:t>
            </w:r>
            <w:r w:rsidRPr="00A23740">
              <w:rPr>
                <w:szCs w:val="24"/>
              </w:rPr>
              <w:t xml:space="preserve"> kusurlarından ileri gelen zarardan sorumludurlar. Bu davalara </w:t>
            </w:r>
            <w:r w:rsidRPr="00A23740">
              <w:rPr>
                <w:rStyle w:val="StilKrmzChar"/>
                <w:rFonts w:eastAsia="Calibri"/>
                <w:lang w:val="tr-TR"/>
              </w:rPr>
              <w:t>adliye</w:t>
            </w:r>
            <w:r w:rsidRPr="00A23740">
              <w:rPr>
                <w:szCs w:val="24"/>
              </w:rPr>
              <w:t xml:space="preserve"> mahkemelerinde bakılır.</w:t>
            </w:r>
          </w:p>
          <w:p w:rsidR="00AA5C8C" w:rsidRPr="00A23740" w:rsidRDefault="00AA5C8C" w:rsidP="009431FF">
            <w:pPr>
              <w:tabs>
                <w:tab w:val="left" w:pos="567"/>
              </w:tabs>
              <w:rPr>
                <w:szCs w:val="24"/>
              </w:rPr>
            </w:pPr>
          </w:p>
          <w:p w:rsidR="00AA5C8C" w:rsidRPr="00A23740" w:rsidRDefault="00AA5C8C" w:rsidP="009431FF">
            <w:r w:rsidRPr="00A23740">
              <w:rPr>
                <w:rStyle w:val="KIRMIZIChar"/>
                <w:rFonts w:eastAsia="Calibri"/>
              </w:rPr>
              <w:t>(5)</w:t>
            </w:r>
            <w:r w:rsidRPr="00A23740">
              <w:rPr>
                <w:szCs w:val="24"/>
              </w:rPr>
              <w:t xml:space="preserve"> İflas idaresini </w:t>
            </w:r>
            <w:r w:rsidRPr="00A23740">
              <w:rPr>
                <w:b/>
                <w:strike/>
                <w:color w:val="FF0000"/>
                <w:szCs w:val="24"/>
              </w:rPr>
              <w:t>teşkil edenler</w:t>
            </w:r>
            <w:r w:rsidRPr="00A23740">
              <w:rPr>
                <w:szCs w:val="24"/>
              </w:rPr>
              <w:t xml:space="preserve"> Türk Ceza Kanununun uygulanmasında </w:t>
            </w:r>
            <w:r w:rsidRPr="00A23740">
              <w:rPr>
                <w:rStyle w:val="StilKrmzChar"/>
                <w:rFonts w:eastAsia="Calibri"/>
                <w:lang w:val="tr-TR"/>
              </w:rPr>
              <w:t>memur</w:t>
            </w:r>
            <w:r w:rsidRPr="00A23740">
              <w:rPr>
                <w:szCs w:val="24"/>
              </w:rPr>
              <w:t xml:space="preserve"> sayılırlar.</w:t>
            </w:r>
          </w:p>
        </w:tc>
        <w:tc>
          <w:tcPr>
            <w:tcW w:w="2500" w:type="pct"/>
          </w:tcPr>
          <w:p w:rsidR="00AA5C8C" w:rsidRPr="00A23740" w:rsidRDefault="00AA5C8C" w:rsidP="009431FF">
            <w:pPr>
              <w:tabs>
                <w:tab w:val="left" w:pos="567"/>
              </w:tabs>
              <w:rPr>
                <w:rStyle w:val="Stil2Char"/>
                <w:rFonts w:eastAsia="Calibri"/>
                <w:u w:val="none"/>
              </w:rPr>
            </w:pPr>
            <w:r w:rsidRPr="00A23740">
              <w:rPr>
                <w:b/>
              </w:rPr>
              <w:t xml:space="preserve">İflas </w:t>
            </w:r>
            <w:r w:rsidRPr="00A23740">
              <w:rPr>
                <w:rStyle w:val="MaviChar"/>
              </w:rPr>
              <w:t>idare memurlarının</w:t>
            </w:r>
            <w:r w:rsidRPr="00A23740">
              <w:rPr>
                <w:rStyle w:val="Stil2Char"/>
                <w:rFonts w:eastAsia="Calibri"/>
                <w:u w:val="none"/>
                <w:lang w:val="tr-TR"/>
              </w:rPr>
              <w:t xml:space="preserve"> </w:t>
            </w:r>
            <w:r w:rsidRPr="00A23740">
              <w:rPr>
                <w:rStyle w:val="Stil2Char"/>
                <w:rFonts w:eastAsia="Calibri"/>
                <w:u w:val="none"/>
              </w:rPr>
              <w:t>hukuki ve cezai sorumluluğu</w:t>
            </w:r>
          </w:p>
          <w:p w:rsidR="00AA5C8C" w:rsidRPr="00A23740" w:rsidRDefault="00DA2ED0" w:rsidP="009431FF">
            <w:pPr>
              <w:tabs>
                <w:tab w:val="left" w:pos="567"/>
              </w:tabs>
              <w:rPr>
                <w:szCs w:val="24"/>
              </w:rPr>
            </w:pPr>
            <w:r w:rsidRPr="00A23740">
              <w:rPr>
                <w:rStyle w:val="MaviChar"/>
              </w:rPr>
              <w:t>MADDE 342</w:t>
            </w:r>
            <w:r w:rsidR="00AA5C8C" w:rsidRPr="009A013D">
              <w:rPr>
                <w:rStyle w:val="MaviChar"/>
                <w:b w:val="0"/>
              </w:rPr>
              <w:t>-</w:t>
            </w:r>
            <w:r w:rsidR="00AA5C8C" w:rsidRPr="00A23740">
              <w:rPr>
                <w:rStyle w:val="YELChar"/>
              </w:rPr>
              <w:t xml:space="preserve"> </w:t>
            </w:r>
            <w:r w:rsidR="00AA5C8C" w:rsidRPr="00A23740">
              <w:rPr>
                <w:rStyle w:val="MaviChar"/>
              </w:rPr>
              <w:t>(1)</w:t>
            </w:r>
            <w:r w:rsidR="00AA5C8C" w:rsidRPr="00A23740">
              <w:rPr>
                <w:szCs w:val="24"/>
              </w:rPr>
              <w:t xml:space="preserve"> İflas </w:t>
            </w:r>
            <w:r w:rsidR="00AA5C8C" w:rsidRPr="00A23740">
              <w:rPr>
                <w:rStyle w:val="MaviChar"/>
              </w:rPr>
              <w:t>idare memurları</w:t>
            </w:r>
            <w:r w:rsidR="00AA5C8C" w:rsidRPr="00A23740">
              <w:rPr>
                <w:szCs w:val="24"/>
              </w:rPr>
              <w:t xml:space="preserve"> </w:t>
            </w:r>
            <w:r w:rsidR="00AA5C8C" w:rsidRPr="00A23740">
              <w:rPr>
                <w:rStyle w:val="Stil2Char"/>
                <w:rFonts w:eastAsia="Calibri"/>
                <w:u w:val="none"/>
              </w:rPr>
              <w:t>kas</w:t>
            </w:r>
            <w:r w:rsidR="00AA5C8C" w:rsidRPr="00A23740">
              <w:rPr>
                <w:rStyle w:val="Stil2Char"/>
                <w:rFonts w:eastAsia="Calibri"/>
                <w:u w:val="none"/>
                <w:lang w:val="tr-TR"/>
              </w:rPr>
              <w:t>ı</w:t>
            </w:r>
            <w:r w:rsidR="00AA5C8C" w:rsidRPr="00A23740">
              <w:rPr>
                <w:rStyle w:val="Stil2Char"/>
                <w:rFonts w:eastAsia="Calibri"/>
                <w:u w:val="none"/>
              </w:rPr>
              <w:t xml:space="preserve">t veya ağır </w:t>
            </w:r>
            <w:r w:rsidR="00AA5C8C" w:rsidRPr="00A23740">
              <w:rPr>
                <w:szCs w:val="24"/>
              </w:rPr>
              <w:t xml:space="preserve">kusurlarından ileri gelen zarardan sorumludurlar. Bu davalara </w:t>
            </w:r>
            <w:r w:rsidR="00AA5C8C" w:rsidRPr="00A23740">
              <w:rPr>
                <w:rStyle w:val="Stil2Char"/>
                <w:rFonts w:eastAsia="Calibri"/>
                <w:u w:val="none"/>
              </w:rPr>
              <w:t>iflas</w:t>
            </w:r>
            <w:r w:rsidR="00AA5C8C" w:rsidRPr="00A23740">
              <w:rPr>
                <w:szCs w:val="24"/>
              </w:rPr>
              <w:t xml:space="preserve"> mahkemelerinde bakılır.</w:t>
            </w:r>
          </w:p>
          <w:p w:rsidR="00AA5C8C" w:rsidRPr="00A23740" w:rsidRDefault="00AA5C8C" w:rsidP="009431FF">
            <w:pPr>
              <w:tabs>
                <w:tab w:val="left" w:pos="567"/>
              </w:tabs>
              <w:rPr>
                <w:szCs w:val="24"/>
              </w:rPr>
            </w:pPr>
          </w:p>
          <w:p w:rsidR="00AA5C8C" w:rsidRDefault="00AA5C8C" w:rsidP="009431FF">
            <w:pPr>
              <w:rPr>
                <w:szCs w:val="24"/>
              </w:rPr>
            </w:pPr>
            <w:r w:rsidRPr="00A23740">
              <w:rPr>
                <w:b/>
                <w:color w:val="0000FF"/>
                <w:szCs w:val="24"/>
              </w:rPr>
              <w:t>(2)</w:t>
            </w:r>
            <w:r w:rsidRPr="00A23740">
              <w:rPr>
                <w:szCs w:val="24"/>
              </w:rPr>
              <w:t xml:space="preserve"> İflas </w:t>
            </w:r>
            <w:r w:rsidRPr="00A23740">
              <w:rPr>
                <w:rStyle w:val="MaviChar"/>
              </w:rPr>
              <w:t>idare memurları</w:t>
            </w:r>
            <w:r w:rsidR="001F7CA8" w:rsidRPr="00A23740">
              <w:rPr>
                <w:rStyle w:val="MaviChar"/>
                <w:lang w:val="tr-TR"/>
              </w:rPr>
              <w:t xml:space="preserve"> </w:t>
            </w:r>
            <w:r w:rsidR="001F7CA8" w:rsidRPr="00F20491">
              <w:rPr>
                <w:rStyle w:val="MaviChar"/>
              </w:rPr>
              <w:t>26/9/2004 tarihli ve 5237 sayılı</w:t>
            </w:r>
            <w:r w:rsidRPr="00A23740">
              <w:rPr>
                <w:szCs w:val="24"/>
              </w:rPr>
              <w:t xml:space="preserve"> Türk Ceza Kanununun uygulanmasında </w:t>
            </w:r>
            <w:r w:rsidRPr="00A23740">
              <w:rPr>
                <w:b/>
                <w:color w:val="0000FF"/>
                <w:szCs w:val="24"/>
              </w:rPr>
              <w:t>kamu görevlisi</w:t>
            </w:r>
            <w:r w:rsidRPr="00A23740">
              <w:rPr>
                <w:szCs w:val="24"/>
              </w:rPr>
              <w:t xml:space="preserve"> sayılırlar.</w:t>
            </w:r>
          </w:p>
          <w:p w:rsidR="00D74F7C" w:rsidRPr="00A23740" w:rsidRDefault="00D74F7C" w:rsidP="009431FF">
            <w:pPr>
              <w:rPr>
                <w:b/>
                <w:color w:val="0000FF"/>
                <w:szCs w:val="24"/>
              </w:rPr>
            </w:pPr>
          </w:p>
        </w:tc>
      </w:tr>
      <w:tr w:rsidR="00846B3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46B3C" w:rsidRPr="00A23740" w:rsidRDefault="00846B3C" w:rsidP="009431FF">
            <w:pPr>
              <w:ind w:firstLine="709"/>
              <w:rPr>
                <w:b/>
                <w:szCs w:val="24"/>
              </w:rPr>
            </w:pPr>
          </w:p>
          <w:p w:rsidR="00846B3C" w:rsidRPr="00F20491" w:rsidRDefault="00846B3C" w:rsidP="009431FF">
            <w:pPr>
              <w:tabs>
                <w:tab w:val="left" w:pos="567"/>
              </w:tabs>
              <w:ind w:firstLine="709"/>
              <w:rPr>
                <w:szCs w:val="24"/>
              </w:rPr>
            </w:pPr>
            <w:r w:rsidRPr="00A23740">
              <w:rPr>
                <w:b/>
                <w:szCs w:val="24"/>
              </w:rPr>
              <w:t>M</w:t>
            </w:r>
            <w:r w:rsidR="00DA2ED0" w:rsidRPr="00A23740">
              <w:rPr>
                <w:b/>
                <w:szCs w:val="24"/>
              </w:rPr>
              <w:t>ADDE 342</w:t>
            </w:r>
            <w:r w:rsidRPr="00A23740">
              <w:rPr>
                <w:b/>
                <w:szCs w:val="24"/>
              </w:rPr>
              <w:t>-</w:t>
            </w:r>
            <w:r w:rsidRPr="00A23740">
              <w:rPr>
                <w:szCs w:val="24"/>
              </w:rPr>
              <w:t xml:space="preserve"> Maddeyle, </w:t>
            </w:r>
            <w:r w:rsidR="003011E1" w:rsidRPr="00A23740">
              <w:rPr>
                <w:szCs w:val="24"/>
              </w:rPr>
              <w:t>iflas idare memurlarının hukuki ve cezai sorumluluğuna</w:t>
            </w:r>
            <w:r w:rsidRPr="00A23740">
              <w:rPr>
                <w:szCs w:val="24"/>
              </w:rPr>
              <w:t xml:space="preserve"> ilişkin hususlar düzenlenmektedir. Hüküm, 2004 sayılı Kanunun </w:t>
            </w:r>
            <w:r w:rsidR="003011E1" w:rsidRPr="00A23740">
              <w:rPr>
                <w:szCs w:val="24"/>
              </w:rPr>
              <w:t>227 nci</w:t>
            </w:r>
            <w:r w:rsidRPr="00A23740">
              <w:rPr>
                <w:szCs w:val="24"/>
              </w:rPr>
              <w:t xml:space="preserve"> </w:t>
            </w:r>
            <w:r w:rsidR="00987631" w:rsidRPr="00F20491">
              <w:rPr>
                <w:bCs/>
                <w:szCs w:val="24"/>
              </w:rPr>
              <w:t>maddesine</w:t>
            </w:r>
            <w:r w:rsidR="00987631" w:rsidRPr="00F20491">
              <w:rPr>
                <w:szCs w:val="24"/>
              </w:rPr>
              <w:t xml:space="preserve"> </w:t>
            </w:r>
            <w:r w:rsidRPr="00F20491">
              <w:rPr>
                <w:szCs w:val="24"/>
              </w:rPr>
              <w:t xml:space="preserve">karşılık gelmektedir. </w:t>
            </w:r>
          </w:p>
          <w:p w:rsidR="00846B3C" w:rsidRPr="00A23740" w:rsidRDefault="00846B3C" w:rsidP="009431FF">
            <w:pPr>
              <w:tabs>
                <w:tab w:val="left" w:pos="567"/>
              </w:tabs>
              <w:ind w:firstLine="709"/>
              <w:rPr>
                <w:szCs w:val="24"/>
              </w:rPr>
            </w:pPr>
            <w:r w:rsidRPr="00F20491">
              <w:rPr>
                <w:szCs w:val="24"/>
              </w:rPr>
              <w:t>Maddenin birinci fıkrası iflas idare memurlarının kasıt</w:t>
            </w:r>
            <w:r w:rsidR="00987631" w:rsidRPr="00F20491">
              <w:rPr>
                <w:szCs w:val="24"/>
              </w:rPr>
              <w:t>larından</w:t>
            </w:r>
            <w:r w:rsidRPr="00F20491">
              <w:rPr>
                <w:szCs w:val="24"/>
              </w:rPr>
              <w:t xml:space="preserve"> veya ağır kusurlarından ileri gelen zarardan </w:t>
            </w:r>
            <w:r w:rsidR="00C06C57" w:rsidRPr="00F20491">
              <w:rPr>
                <w:szCs w:val="24"/>
              </w:rPr>
              <w:t xml:space="preserve">kaynaklanan </w:t>
            </w:r>
            <w:r w:rsidRPr="00F20491">
              <w:rPr>
                <w:szCs w:val="24"/>
              </w:rPr>
              <w:t>hukuki sorumluluğu düzenlemi</w:t>
            </w:r>
            <w:r w:rsidR="00543C57" w:rsidRPr="00F20491">
              <w:rPr>
                <w:szCs w:val="24"/>
              </w:rPr>
              <w:t xml:space="preserve">ştir. 2004 sayılı Kanunun 227 </w:t>
            </w:r>
            <w:r w:rsidRPr="00F20491">
              <w:rPr>
                <w:szCs w:val="24"/>
              </w:rPr>
              <w:t>nci maddesinden farklı olarak burada “kusurlarından” ifadesi yerine</w:t>
            </w:r>
            <w:r w:rsidR="00C06C57" w:rsidRPr="00F20491">
              <w:rPr>
                <w:szCs w:val="24"/>
              </w:rPr>
              <w:t>,</w:t>
            </w:r>
            <w:r w:rsidRPr="00F20491">
              <w:rPr>
                <w:szCs w:val="24"/>
              </w:rPr>
              <w:t xml:space="preserve"> “kasıt veya ağır kusurlarından” ifadesi tercih edilerek kusur </w:t>
            </w:r>
            <w:r w:rsidR="00C06C57" w:rsidRPr="00F20491">
              <w:rPr>
                <w:szCs w:val="24"/>
              </w:rPr>
              <w:t xml:space="preserve">derecesinin açıklığa kavuşturulmasıyla </w:t>
            </w:r>
            <w:r w:rsidRPr="00F20491">
              <w:rPr>
                <w:szCs w:val="24"/>
              </w:rPr>
              <w:t>önemli bir değişiklik yapılmıştır. Buna göre iflas idare memurlarının her türlü kusurundan değil</w:t>
            </w:r>
            <w:r w:rsidR="00987631" w:rsidRPr="00F20491">
              <w:rPr>
                <w:bCs/>
                <w:szCs w:val="24"/>
              </w:rPr>
              <w:t>,</w:t>
            </w:r>
            <w:r w:rsidRPr="00F20491">
              <w:rPr>
                <w:szCs w:val="24"/>
              </w:rPr>
              <w:t xml:space="preserve"> kas</w:t>
            </w:r>
            <w:r w:rsidR="00987631" w:rsidRPr="00F20491">
              <w:rPr>
                <w:szCs w:val="24"/>
              </w:rPr>
              <w:t>ı</w:t>
            </w:r>
            <w:r w:rsidRPr="00F20491">
              <w:rPr>
                <w:szCs w:val="24"/>
              </w:rPr>
              <w:t>t</w:t>
            </w:r>
            <w:r w:rsidRPr="00A23740">
              <w:rPr>
                <w:szCs w:val="24"/>
              </w:rPr>
              <w:t xml:space="preserve"> veya ağır kusurlarından kaynaklanan zararlar sorumluluğu gerektirecektir. Bu davalara </w:t>
            </w:r>
            <w:r w:rsidRPr="00A23740">
              <w:rPr>
                <w:bCs/>
                <w:lang w:val="x-none" w:eastAsia="x-none"/>
              </w:rPr>
              <w:t>iflas</w:t>
            </w:r>
            <w:r w:rsidRPr="00A23740">
              <w:rPr>
                <w:b/>
                <w:bCs/>
                <w:szCs w:val="24"/>
              </w:rPr>
              <w:t xml:space="preserve"> </w:t>
            </w:r>
            <w:r w:rsidRPr="00A23740">
              <w:rPr>
                <w:szCs w:val="24"/>
              </w:rPr>
              <w:t>mahkemelerinde bakılacağı açıkça hüküm altına alınmıştır.</w:t>
            </w:r>
          </w:p>
          <w:p w:rsidR="00846B3C" w:rsidRPr="00A23740" w:rsidRDefault="00846B3C" w:rsidP="009431FF">
            <w:pPr>
              <w:tabs>
                <w:tab w:val="left" w:pos="567"/>
              </w:tabs>
              <w:ind w:firstLine="709"/>
              <w:rPr>
                <w:szCs w:val="24"/>
              </w:rPr>
            </w:pPr>
            <w:r w:rsidRPr="00A23740">
              <w:rPr>
                <w:szCs w:val="24"/>
              </w:rPr>
              <w:t>İkinci fıkraya göre de cezai sorumluluk bakımından iflas idare memurları</w:t>
            </w:r>
            <w:r w:rsidR="00F805B5" w:rsidRPr="00A23740">
              <w:rPr>
                <w:szCs w:val="24"/>
              </w:rPr>
              <w:t xml:space="preserve"> </w:t>
            </w:r>
            <w:r w:rsidR="00F805B5" w:rsidRPr="00F20491">
              <w:rPr>
                <w:bCs/>
                <w:szCs w:val="24"/>
              </w:rPr>
              <w:t xml:space="preserve">5237 sayılı </w:t>
            </w:r>
            <w:r w:rsidR="00C427F5" w:rsidRPr="00F20491">
              <w:rPr>
                <w:bCs/>
                <w:szCs w:val="24"/>
              </w:rPr>
              <w:t>Kanunun</w:t>
            </w:r>
            <w:r w:rsidRPr="00A23740">
              <w:rPr>
                <w:szCs w:val="24"/>
              </w:rPr>
              <w:t xml:space="preserve"> uygulanmasında kamu görevlisi sayılacaklardır. </w:t>
            </w:r>
          </w:p>
          <w:p w:rsidR="00846B3C" w:rsidRPr="00A23740" w:rsidRDefault="00846B3C" w:rsidP="009A013D">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İflas idaresinin vazifesi:</w:t>
            </w:r>
          </w:p>
          <w:p w:rsidR="00AA5C8C" w:rsidRPr="00A23740" w:rsidRDefault="00AA5C8C" w:rsidP="009431FF">
            <w:pPr>
              <w:pStyle w:val="KIRMIZI"/>
            </w:pPr>
            <w:r w:rsidRPr="00A23740">
              <w:t>Madde 226 – Masanın kanuni mümessili iflas idaresidir. İdare masanın menfaatlerini  gözetmek ve tasfiyeyi yapmakla mükelleftir.</w:t>
            </w:r>
          </w:p>
          <w:p w:rsidR="00AA5C8C" w:rsidRPr="00A23740" w:rsidRDefault="00AA5C8C" w:rsidP="009431FF">
            <w:pPr>
              <w:pStyle w:val="KIRMIZI"/>
            </w:pPr>
          </w:p>
          <w:p w:rsidR="00AA5C8C" w:rsidRPr="00A23740" w:rsidRDefault="00AA5C8C" w:rsidP="009431FF">
            <w:pPr>
              <w:pStyle w:val="KIRMIZI"/>
            </w:pPr>
            <w:r w:rsidRPr="00A23740">
              <w:t>(Değişik: 6/6/1985-3222/27 md.) İdare, ikimilyar liraya kadar olan alacaklardan doğrudan doğruya, daha ziyade alacaklardan alacaklılar toplanmasının vereceği yetkiyle sulh olabilir ve tahkim yapabilir.</w:t>
            </w:r>
          </w:p>
          <w:p w:rsidR="00AA5C8C" w:rsidRPr="00A23740" w:rsidRDefault="00AA5C8C" w:rsidP="009431FF">
            <w:pPr>
              <w:pStyle w:val="KIRMIZI"/>
              <w:rPr>
                <w:lang w:val="tr-TR"/>
              </w:rPr>
            </w:pPr>
          </w:p>
        </w:tc>
        <w:tc>
          <w:tcPr>
            <w:tcW w:w="2500" w:type="pct"/>
          </w:tcPr>
          <w:p w:rsidR="00AA5C8C" w:rsidRPr="00A23740" w:rsidRDefault="00AA5C8C" w:rsidP="009431FF">
            <w:pPr>
              <w:pStyle w:val="YEL"/>
              <w:rPr>
                <w:rStyle w:val="MaviChar"/>
                <w:b/>
                <w:bCs w:val="0"/>
                <w:strike/>
                <w:color w:val="339933"/>
                <w:lang w:val="tr-TR" w:eastAsia="en-US"/>
              </w:rPr>
            </w:pPr>
          </w:p>
          <w:p w:rsidR="00AA5C8C" w:rsidRPr="00A23740" w:rsidRDefault="00AA5C8C" w:rsidP="009431FF">
            <w:pPr>
              <w:rPr>
                <w:rStyle w:val="MaviChar"/>
                <w:b w:val="0"/>
                <w:bCs w:val="0"/>
                <w:color w:val="339933"/>
                <w:lang w:val="tr-TR" w:eastAsia="en-US"/>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İflas idaresinin vazife ve mes’uliyeti:</w:t>
            </w:r>
          </w:p>
          <w:p w:rsidR="00AA5C8C" w:rsidRPr="00A23740" w:rsidRDefault="00AA5C8C" w:rsidP="009431FF">
            <w:pPr>
              <w:pStyle w:val="KIRMIZI"/>
            </w:pPr>
            <w:r w:rsidRPr="00A23740">
              <w:t>Madde 227 – (Değişik: 6/6/1985-3222/28 md.)</w:t>
            </w:r>
          </w:p>
          <w:p w:rsidR="00AA5C8C" w:rsidRPr="00A23740" w:rsidRDefault="00AA5C8C" w:rsidP="009431FF">
            <w:pPr>
              <w:pStyle w:val="KIRMIZI"/>
              <w:rPr>
                <w:lang w:val="en-US"/>
              </w:rPr>
            </w:pPr>
            <w:r w:rsidRPr="00A23740">
              <w:t>8 inci maddenin bir ve ikinci fıkraları ve 9,11,16 ve 359 uncu maddelerin icra dairelerine ait hükümleri iflas idaresi hakkında da uygulanır. (Ek cümle: 28/2/2018-7101/9 md.) </w:t>
            </w:r>
            <w:r w:rsidRPr="00A23740">
              <w:rPr>
                <w:lang w:val="en-US"/>
              </w:rPr>
              <w:t>İflâs idaresi, iflâs masasına kabul edilen alacaklılara, talepleri hâlinde iflâs tasfiyesinin seyri ile müteakip işlemlerin planı ve takvimi hakkında bilgi vermekle yükümlüdür.</w:t>
            </w:r>
          </w:p>
          <w:p w:rsidR="00AA5C8C" w:rsidRPr="00A23740" w:rsidRDefault="00AA5C8C" w:rsidP="009431FF">
            <w:pPr>
              <w:pStyle w:val="KIRMIZI"/>
            </w:pPr>
          </w:p>
          <w:p w:rsidR="00AA5C8C" w:rsidRPr="00A23740" w:rsidRDefault="00AA5C8C" w:rsidP="009431FF">
            <w:pPr>
              <w:pStyle w:val="KIRMIZI"/>
            </w:pPr>
            <w:r w:rsidRPr="00A23740">
              <w:t>(Ek ikinci fıkra: 9/11/1988-3494/46 md.; Mülga: 2/3/2005-5311/28 md.)</w:t>
            </w:r>
          </w:p>
          <w:p w:rsidR="00AA5C8C" w:rsidRPr="00A23740" w:rsidRDefault="00AA5C8C" w:rsidP="009431FF">
            <w:pPr>
              <w:pStyle w:val="KIRMIZI"/>
            </w:pPr>
          </w:p>
          <w:p w:rsidR="00AA5C8C" w:rsidRPr="00A23740" w:rsidRDefault="00AA5C8C" w:rsidP="009431FF">
            <w:pPr>
              <w:pStyle w:val="KIRMIZI"/>
            </w:pPr>
            <w:r w:rsidRPr="00A23740">
              <w:t>İcra mahkemesi, iflas idaresi üzerinde gözetim yetkisine sahip olup gerektiğinde iflas idaresini teşkil edenlerin görevine son verebilir. İcra mahkemesi, görevine son verilen veya istifa edenin yerine, önceki adaylar arasından 223 üncü maddedeki esaslar dairesinde yenisini seçer.</w:t>
            </w:r>
          </w:p>
          <w:p w:rsidR="00AA5C8C" w:rsidRPr="00A23740" w:rsidRDefault="00AA5C8C" w:rsidP="009431FF">
            <w:pPr>
              <w:pStyle w:val="KIRMIZI"/>
            </w:pPr>
          </w:p>
          <w:p w:rsidR="00AA5C8C" w:rsidRPr="00A23740" w:rsidRDefault="00AA5C8C" w:rsidP="009431FF">
            <w:pPr>
              <w:pStyle w:val="KIRMIZI"/>
            </w:pPr>
            <w:r w:rsidRPr="00A23740">
              <w:t>İflas idaresini teşkil edenler kusurlarından ileri gelen zarardan sorumludurlar. Bu davalara adliye mahkemelerinde bakılır.</w:t>
            </w:r>
          </w:p>
          <w:p w:rsidR="00AA5C8C" w:rsidRPr="00A23740" w:rsidRDefault="00AA5C8C" w:rsidP="009431FF">
            <w:pPr>
              <w:pStyle w:val="KIRMIZI"/>
            </w:pPr>
          </w:p>
          <w:p w:rsidR="00AA5C8C" w:rsidRPr="00A23740" w:rsidRDefault="00AA5C8C" w:rsidP="009431FF">
            <w:pPr>
              <w:pStyle w:val="KIRMIZI"/>
            </w:pPr>
          </w:p>
          <w:p w:rsidR="00AA5C8C" w:rsidRPr="00A23740" w:rsidRDefault="00AA5C8C" w:rsidP="009431FF">
            <w:pPr>
              <w:pStyle w:val="KIRMIZI"/>
            </w:pPr>
            <w:r w:rsidRPr="00A23740">
              <w:t>İflas idaresini teşkil edenler Türk Ceza Kanununun uygulanmasında memur sayılırlar.</w:t>
            </w:r>
          </w:p>
          <w:p w:rsidR="00AA5C8C" w:rsidRPr="00A23740" w:rsidRDefault="00AA5C8C" w:rsidP="009431FF">
            <w:pPr>
              <w:pStyle w:val="KIRMIZI"/>
              <w:rPr>
                <w:lang w:val="tr-TR"/>
              </w:rPr>
            </w:pPr>
          </w:p>
        </w:tc>
        <w:tc>
          <w:tcPr>
            <w:tcW w:w="2500" w:type="pct"/>
          </w:tcPr>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color w:val="339933"/>
                <w:lang w:val="tr-TR" w:eastAsia="en-US"/>
              </w:rPr>
            </w:pPr>
          </w:p>
          <w:p w:rsidR="00AA5C8C" w:rsidRPr="00A23740" w:rsidRDefault="00AA5C8C" w:rsidP="009431FF">
            <w:pPr>
              <w:pStyle w:val="YEL"/>
              <w:rPr>
                <w:rStyle w:val="MaviChar"/>
                <w:b/>
                <w:bCs w:val="0"/>
                <w:strike/>
                <w:color w:val="339933"/>
                <w:lang w:val="tr-TR" w:eastAsia="en-US"/>
              </w:rPr>
            </w:pPr>
          </w:p>
          <w:p w:rsidR="00AA5C8C" w:rsidRPr="00A23740" w:rsidRDefault="00AA5C8C" w:rsidP="009431FF">
            <w:pPr>
              <w:pStyle w:val="YEL"/>
              <w:rPr>
                <w:rStyle w:val="MaviChar"/>
                <w:b/>
                <w:bCs w:val="0"/>
                <w:strike/>
                <w:color w:val="339933"/>
                <w:lang w:val="tr-TR" w:eastAsia="en-US"/>
              </w:rPr>
            </w:pPr>
          </w:p>
          <w:p w:rsidR="00AA5C8C" w:rsidRPr="00A23740" w:rsidRDefault="00AA5C8C" w:rsidP="009431FF">
            <w:pPr>
              <w:pStyle w:val="YEL"/>
              <w:rPr>
                <w:rStyle w:val="MaviChar"/>
                <w:b/>
                <w:bCs w:val="0"/>
                <w:strike/>
                <w:color w:val="339933"/>
                <w:lang w:val="tr-TR" w:eastAsia="en-US"/>
              </w:rPr>
            </w:pPr>
          </w:p>
          <w:p w:rsidR="00AA5C8C" w:rsidRPr="00A23740" w:rsidRDefault="00AA5C8C" w:rsidP="009431FF">
            <w:pPr>
              <w:rPr>
                <w:rStyle w:val="Balk3Char"/>
                <w:rFonts w:eastAsia="Calibri"/>
                <w:color w:val="FF0000"/>
              </w:rPr>
            </w:pPr>
          </w:p>
          <w:p w:rsidR="00AA5C8C" w:rsidRPr="00A23740" w:rsidRDefault="00AA5C8C" w:rsidP="009431FF">
            <w:pPr>
              <w:pStyle w:val="YEL"/>
              <w:rPr>
                <w:rStyle w:val="MaviChar"/>
                <w:b/>
                <w:bCs w:val="0"/>
                <w:color w:val="339933"/>
                <w:lang w:val="tr-TR" w:eastAsia="en-US"/>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b/>
                <w:strike/>
                <w:color w:val="FF0000"/>
                <w:szCs w:val="24"/>
              </w:rPr>
            </w:pPr>
          </w:p>
          <w:p w:rsidR="00AA5C8C" w:rsidRPr="00A23740" w:rsidRDefault="00AA5C8C" w:rsidP="009431FF">
            <w:pPr>
              <w:widowControl w:val="0"/>
              <w:tabs>
                <w:tab w:val="left" w:pos="567"/>
              </w:tabs>
              <w:rPr>
                <w:b/>
                <w:strike/>
                <w:color w:val="FF0000"/>
                <w:szCs w:val="24"/>
              </w:rPr>
            </w:pPr>
          </w:p>
          <w:p w:rsidR="00AA5C8C" w:rsidRPr="00A23740" w:rsidRDefault="00AA5C8C" w:rsidP="009431FF">
            <w:pPr>
              <w:widowControl w:val="0"/>
              <w:tabs>
                <w:tab w:val="left" w:pos="567"/>
              </w:tabs>
              <w:rPr>
                <w:b/>
                <w:strike/>
                <w:color w:val="FF0000"/>
                <w:szCs w:val="24"/>
              </w:rPr>
            </w:pPr>
          </w:p>
          <w:p w:rsidR="00AA5C8C" w:rsidRPr="00A23740" w:rsidRDefault="00AA5C8C" w:rsidP="009431FF">
            <w:pPr>
              <w:widowControl w:val="0"/>
              <w:tabs>
                <w:tab w:val="left" w:pos="567"/>
              </w:tabs>
              <w:rPr>
                <w:rStyle w:val="KIRMIZIChar"/>
                <w:rFonts w:eastAsia="Calibri"/>
              </w:rPr>
            </w:pPr>
            <w:r w:rsidRPr="00A23740">
              <w:rPr>
                <w:b/>
                <w:strike/>
                <w:color w:val="FF0000"/>
                <w:szCs w:val="24"/>
              </w:rPr>
              <w:t>Toplanmada</w:t>
            </w:r>
            <w:r w:rsidRPr="00A23740">
              <w:rPr>
                <w:szCs w:val="24"/>
              </w:rPr>
              <w:t xml:space="preserve"> verilen kararlar</w:t>
            </w:r>
            <w:r w:rsidRPr="00A23740">
              <w:rPr>
                <w:b/>
                <w:strike/>
                <w:color w:val="FF0000"/>
                <w:szCs w:val="24"/>
              </w:rPr>
              <w:t>:</w:t>
            </w:r>
          </w:p>
          <w:p w:rsidR="00AA5C8C" w:rsidRPr="00A23740" w:rsidRDefault="00AA5C8C" w:rsidP="009431FF">
            <w:pPr>
              <w:widowControl w:val="0"/>
              <w:tabs>
                <w:tab w:val="left" w:pos="567"/>
              </w:tabs>
              <w:rPr>
                <w:szCs w:val="24"/>
              </w:rPr>
            </w:pPr>
            <w:r w:rsidRPr="00A23740">
              <w:rPr>
                <w:rStyle w:val="KIRMIZIChar"/>
                <w:rFonts w:eastAsia="Calibri"/>
              </w:rPr>
              <w:t>Madde 224 – (1)</w:t>
            </w:r>
            <w:r w:rsidRPr="00A23740">
              <w:rPr>
                <w:szCs w:val="24"/>
              </w:rPr>
              <w:t xml:space="preserve"> </w:t>
            </w:r>
            <w:r w:rsidRPr="00A23740">
              <w:rPr>
                <w:rStyle w:val="KIRMIZIChar"/>
                <w:rFonts w:eastAsia="Calibri"/>
              </w:rPr>
              <w:t>(Değişik birinci fıkra: 28/2/2018-7101/8 md.)</w:t>
            </w:r>
            <w:r w:rsidRPr="00A23740">
              <w:rPr>
                <w:szCs w:val="24"/>
              </w:rPr>
              <w:t xml:space="preserve"> Alacaklılar </w:t>
            </w:r>
            <w:r w:rsidRPr="00A23740">
              <w:rPr>
                <w:rStyle w:val="KIRMIZIChar"/>
                <w:rFonts w:eastAsia="Calibri"/>
              </w:rPr>
              <w:t>toplanması</w:t>
            </w:r>
            <w:r w:rsidRPr="00A23740">
              <w:rPr>
                <w:szCs w:val="24"/>
              </w:rPr>
              <w:t xml:space="preserve">, </w:t>
            </w:r>
            <w:r w:rsidRPr="00A23740">
              <w:rPr>
                <w:rStyle w:val="KIRMIZIChar"/>
                <w:rFonts w:eastAsia="Calibri"/>
              </w:rPr>
              <w:t>bilhassa</w:t>
            </w:r>
            <w:r w:rsidRPr="00A23740">
              <w:rPr>
                <w:szCs w:val="24"/>
              </w:rPr>
              <w:t xml:space="preserve"> müflisin sanat veya ticaretinin devamı, </w:t>
            </w:r>
            <w:r w:rsidRPr="00A23740">
              <w:rPr>
                <w:rStyle w:val="KIRMIZIChar"/>
                <w:rFonts w:eastAsia="Calibri"/>
              </w:rPr>
              <w:t>fabrikaları, imalathaneleri ve üretime yönelik sair yerleriyle mağazalarının, eşya depolarının, perakende satış dükkânlarının faaliyetlerine devam edip etmemesi, muallak davalar ve pazarlıkla satışlar hakkında müstacel</w:t>
            </w:r>
            <w:r w:rsidRPr="00A23740">
              <w:rPr>
                <w:szCs w:val="24"/>
              </w:rPr>
              <w:t xml:space="preserve"> karar</w:t>
            </w:r>
            <w:r w:rsidRPr="00A23740">
              <w:rPr>
                <w:rStyle w:val="KIRMIZIChar"/>
                <w:rFonts w:eastAsia="Calibri"/>
              </w:rPr>
              <w:t>lar verebilir</w:t>
            </w:r>
            <w:r w:rsidRPr="00A23740">
              <w:rPr>
                <w:szCs w:val="24"/>
              </w:rPr>
              <w:t>.</w:t>
            </w:r>
          </w:p>
          <w:p w:rsidR="00227212" w:rsidRPr="00A23740" w:rsidRDefault="00227212" w:rsidP="009431FF">
            <w:pPr>
              <w:widowControl w:val="0"/>
              <w:tabs>
                <w:tab w:val="left" w:pos="567"/>
              </w:tabs>
              <w:rPr>
                <w:rStyle w:val="KIRMIZIChar"/>
                <w:rFonts w:eastAsia="Calibri"/>
              </w:rPr>
            </w:pPr>
          </w:p>
          <w:p w:rsidR="00AA5C8C" w:rsidRPr="00A23740" w:rsidRDefault="00AA5C8C" w:rsidP="009431FF">
            <w:pPr>
              <w:widowControl w:val="0"/>
              <w:tabs>
                <w:tab w:val="left" w:pos="567"/>
              </w:tabs>
              <w:rPr>
                <w:szCs w:val="24"/>
              </w:rPr>
            </w:pPr>
            <w:r w:rsidRPr="00A23740">
              <w:rPr>
                <w:rStyle w:val="KIRMIZIChar"/>
                <w:rFonts w:eastAsia="Calibri"/>
              </w:rPr>
              <w:t>(2)</w:t>
            </w:r>
            <w:r w:rsidRPr="00A23740">
              <w:rPr>
                <w:szCs w:val="24"/>
              </w:rPr>
              <w:t xml:space="preserve"> Müflis </w:t>
            </w:r>
            <w:r w:rsidRPr="00A23740">
              <w:rPr>
                <w:rStyle w:val="KIRMIZIChar"/>
                <w:rFonts w:eastAsia="Calibri"/>
              </w:rPr>
              <w:t>bir</w:t>
            </w:r>
            <w:r w:rsidRPr="00A23740">
              <w:rPr>
                <w:szCs w:val="24"/>
              </w:rPr>
              <w:t xml:space="preserve"> konkordato teklif ederse</w:t>
            </w:r>
            <w:r w:rsidRPr="00A23740">
              <w:rPr>
                <w:b/>
                <w:color w:val="FF0000"/>
                <w:szCs w:val="24"/>
              </w:rPr>
              <w:t xml:space="preserve"> </w:t>
            </w:r>
            <w:r w:rsidRPr="00A23740">
              <w:t>alacaklılar</w:t>
            </w:r>
            <w:r w:rsidRPr="00A23740">
              <w:rPr>
                <w:b/>
                <w:color w:val="FF0000"/>
                <w:szCs w:val="24"/>
              </w:rPr>
              <w:t xml:space="preserve"> </w:t>
            </w:r>
            <w:r w:rsidRPr="00A23740">
              <w:rPr>
                <w:b/>
                <w:strike/>
                <w:color w:val="FF0000"/>
                <w:szCs w:val="24"/>
              </w:rPr>
              <w:t>tasfiyeyi tatil edebilirler.</w:t>
            </w:r>
          </w:p>
          <w:p w:rsidR="00AA5C8C" w:rsidRPr="00A23740" w:rsidRDefault="00AA5C8C" w:rsidP="009431FF">
            <w:pPr>
              <w:widowControl w:val="0"/>
              <w:tabs>
                <w:tab w:val="left" w:pos="567"/>
              </w:tabs>
              <w:rPr>
                <w:szCs w:val="24"/>
              </w:rPr>
            </w:pPr>
          </w:p>
        </w:tc>
        <w:tc>
          <w:tcPr>
            <w:tcW w:w="2500" w:type="pct"/>
          </w:tcPr>
          <w:p w:rsidR="00AA5C8C" w:rsidRPr="00A23740" w:rsidRDefault="00AA5C8C" w:rsidP="009431FF">
            <w:pPr>
              <w:pStyle w:val="Balk5"/>
              <w:widowControl w:val="0"/>
              <w:rPr>
                <w:rStyle w:val="Stil1Char"/>
                <w:rFonts w:eastAsia="Calibri"/>
                <w:b/>
                <w:color w:val="0000FF"/>
                <w:szCs w:val="26"/>
                <w:u w:val="none"/>
                <w:lang w:val="tr-TR" w:eastAsia="en-US"/>
              </w:rPr>
            </w:pPr>
            <w:r w:rsidRPr="00A23740">
              <w:rPr>
                <w:rStyle w:val="Stil1Char"/>
                <w:rFonts w:eastAsia="Calibri"/>
                <w:b/>
                <w:color w:val="0000FF"/>
                <w:szCs w:val="26"/>
                <w:u w:val="none"/>
                <w:lang w:val="tr-TR" w:eastAsia="en-US"/>
              </w:rPr>
              <w:t>ÜÇÜNCÜ ALT AYRIM</w:t>
            </w:r>
          </w:p>
          <w:p w:rsidR="00AA5C8C" w:rsidRPr="00A23740" w:rsidRDefault="00AA5C8C" w:rsidP="009431FF">
            <w:pPr>
              <w:pStyle w:val="Balk5"/>
              <w:widowControl w:val="0"/>
              <w:rPr>
                <w:rStyle w:val="Stil1Char"/>
                <w:rFonts w:eastAsia="ヒラギノ明朝 Pro W3"/>
                <w:b/>
                <w:color w:val="0000FF"/>
                <w:szCs w:val="26"/>
                <w:u w:val="none"/>
                <w:lang w:val="tr-TR" w:eastAsia="en-US"/>
              </w:rPr>
            </w:pPr>
            <w:r w:rsidRPr="00A23740">
              <w:rPr>
                <w:rStyle w:val="Stil1Char"/>
                <w:rFonts w:eastAsia="ヒラギノ明朝 Pro W3"/>
                <w:b/>
                <w:color w:val="0000FF"/>
                <w:szCs w:val="26"/>
                <w:u w:val="none"/>
                <w:lang w:val="tr-TR" w:eastAsia="en-US"/>
              </w:rPr>
              <w:t>Acele H</w:t>
            </w:r>
            <w:r w:rsidR="00987631" w:rsidRPr="00A23740">
              <w:rPr>
                <w:rStyle w:val="Stil1Char"/>
                <w:rFonts w:eastAsia="ヒラギノ明朝 Pro W3"/>
                <w:b/>
                <w:color w:val="0000FF"/>
                <w:szCs w:val="26"/>
                <w:u w:val="none"/>
                <w:lang w:val="tr-TR" w:eastAsia="en-US"/>
              </w:rPr>
              <w:t>â</w:t>
            </w:r>
            <w:r w:rsidRPr="00A23740">
              <w:rPr>
                <w:rStyle w:val="Stil1Char"/>
                <w:rFonts w:eastAsia="ヒラギノ明朝 Pro W3"/>
                <w:b/>
                <w:color w:val="0000FF"/>
                <w:szCs w:val="26"/>
                <w:u w:val="none"/>
                <w:lang w:val="tr-TR" w:eastAsia="en-US"/>
              </w:rPr>
              <w:t>llerde Birinci Alacaklılar Toplantısı ve İflas İdaresi Tarafından Alınabilecek Kararlar</w:t>
            </w:r>
          </w:p>
          <w:p w:rsidR="00AA5C8C" w:rsidRPr="00A23740" w:rsidRDefault="00AA5C8C" w:rsidP="009431FF">
            <w:pPr>
              <w:pStyle w:val="MAV"/>
              <w:widowControl w:val="0"/>
              <w:jc w:val="center"/>
              <w:rPr>
                <w:rStyle w:val="Stil1Char"/>
                <w:rFonts w:eastAsia="Calibri"/>
                <w:b/>
                <w:color w:val="0000FF"/>
                <w:u w:val="none"/>
                <w:lang w:val="tr-TR"/>
              </w:rPr>
            </w:pPr>
          </w:p>
          <w:p w:rsidR="00AA5C8C" w:rsidRPr="00A23740" w:rsidRDefault="00341D78" w:rsidP="009431FF">
            <w:pPr>
              <w:widowControl w:val="0"/>
              <w:tabs>
                <w:tab w:val="left" w:pos="567"/>
              </w:tabs>
              <w:rPr>
                <w:szCs w:val="24"/>
              </w:rPr>
            </w:pPr>
            <w:r w:rsidRPr="00F20491">
              <w:rPr>
                <w:rStyle w:val="MaviChar"/>
              </w:rPr>
              <w:t>Acele hâllerde</w:t>
            </w:r>
            <w:r w:rsidRPr="00A23740">
              <w:rPr>
                <w:b/>
                <w:color w:val="0000FF"/>
                <w:szCs w:val="24"/>
              </w:rPr>
              <w:t xml:space="preserve"> b</w:t>
            </w:r>
            <w:r w:rsidR="00AA5C8C" w:rsidRPr="00A23740">
              <w:rPr>
                <w:b/>
                <w:color w:val="0000FF"/>
                <w:szCs w:val="24"/>
              </w:rPr>
              <w:t xml:space="preserve">irinci alacaklılar toplantısında </w:t>
            </w:r>
            <w:r w:rsidR="00AA5C8C" w:rsidRPr="00A23740">
              <w:rPr>
                <w:rStyle w:val="MaviChar"/>
              </w:rPr>
              <w:t>alınabilecek</w:t>
            </w:r>
            <w:r w:rsidR="00AA5C8C" w:rsidRPr="00A23740">
              <w:rPr>
                <w:b/>
                <w:color w:val="0000FF"/>
                <w:szCs w:val="24"/>
              </w:rPr>
              <w:t xml:space="preserve"> </w:t>
            </w:r>
            <w:r w:rsidR="00AA5C8C" w:rsidRPr="00A23740">
              <w:rPr>
                <w:szCs w:val="24"/>
              </w:rPr>
              <w:t>kararlar</w:t>
            </w:r>
          </w:p>
          <w:p w:rsidR="00792F62" w:rsidRPr="0051419B" w:rsidRDefault="00AA5C8C" w:rsidP="009431FF">
            <w:pPr>
              <w:widowControl w:val="0"/>
              <w:tabs>
                <w:tab w:val="left" w:pos="567"/>
              </w:tabs>
              <w:rPr>
                <w:rStyle w:val="Balk1Char"/>
                <w:rFonts w:eastAsia="Calibri"/>
              </w:rPr>
            </w:pPr>
            <w:r w:rsidRPr="00A23740">
              <w:rPr>
                <w:rStyle w:val="MaviChar"/>
                <w:lang w:val="tr-TR"/>
              </w:rPr>
              <w:t xml:space="preserve">MADDE </w:t>
            </w:r>
            <w:r w:rsidR="00DA2ED0" w:rsidRPr="00A23740">
              <w:rPr>
                <w:rStyle w:val="MAVChar"/>
                <w:rFonts w:eastAsia="Calibri"/>
                <w:u w:val="none"/>
              </w:rPr>
              <w:t>343</w:t>
            </w:r>
            <w:r w:rsidR="0051419B">
              <w:rPr>
                <w:rStyle w:val="MAVChar"/>
                <w:rFonts w:eastAsia="Calibri"/>
                <w:u w:val="none"/>
              </w:rPr>
              <w:t xml:space="preserve">- </w:t>
            </w:r>
            <w:r w:rsidR="00792F62" w:rsidRPr="0051419B">
              <w:rPr>
                <w:rStyle w:val="Balk1Char"/>
                <w:rFonts w:eastAsia="Calibri"/>
              </w:rPr>
              <w:t>(1) Birinci alacaklılar toplantısı özellikle müflisin ticaret veya üretiminin devamı; atölyelerinin, mağazalarının, perakende satış yerlerinin açılması; derdest davalar ve pazarlık suretiyle satışlar hususunda acele hâllerde karar alabilir.</w:t>
            </w:r>
          </w:p>
          <w:p w:rsidR="00AA5C8C" w:rsidRDefault="00AA5C8C" w:rsidP="009431FF">
            <w:pPr>
              <w:widowControl w:val="0"/>
              <w:tabs>
                <w:tab w:val="left" w:pos="567"/>
              </w:tabs>
              <w:rPr>
                <w:szCs w:val="24"/>
              </w:rPr>
            </w:pPr>
          </w:p>
          <w:p w:rsidR="0051419B" w:rsidRPr="00A23740" w:rsidRDefault="0051419B" w:rsidP="009431FF">
            <w:pPr>
              <w:widowControl w:val="0"/>
              <w:tabs>
                <w:tab w:val="left" w:pos="567"/>
              </w:tabs>
              <w:rPr>
                <w:szCs w:val="24"/>
              </w:rPr>
            </w:pPr>
          </w:p>
          <w:p w:rsidR="00AA5C8C" w:rsidRPr="00A23740" w:rsidRDefault="00AA5C8C" w:rsidP="009431FF">
            <w:pPr>
              <w:widowControl w:val="0"/>
              <w:tabs>
                <w:tab w:val="left" w:pos="567"/>
              </w:tabs>
              <w:rPr>
                <w:rStyle w:val="MAVChar"/>
                <w:rFonts w:eastAsia="Calibri"/>
                <w:u w:val="none"/>
              </w:rPr>
            </w:pPr>
            <w:r w:rsidRPr="00A23740">
              <w:rPr>
                <w:rStyle w:val="MaviChar"/>
                <w:lang w:val="tr-TR"/>
              </w:rPr>
              <w:t>(2)</w:t>
            </w:r>
            <w:r w:rsidRPr="00A23740">
              <w:rPr>
                <w:szCs w:val="24"/>
              </w:rPr>
              <w:t xml:space="preserve"> Müflis konkordato teklif ederse</w:t>
            </w:r>
            <w:r w:rsidRPr="00A23740">
              <w:rPr>
                <w:rStyle w:val="MAVChar"/>
                <w:rFonts w:eastAsia="Calibri"/>
                <w:u w:val="none"/>
              </w:rPr>
              <w:t xml:space="preserve">, </w:t>
            </w:r>
            <w:r w:rsidRPr="00A23740">
              <w:t>alacaklılar</w:t>
            </w:r>
            <w:r w:rsidRPr="00A23740">
              <w:rPr>
                <w:rStyle w:val="MAVChar"/>
                <w:rFonts w:eastAsia="Calibri"/>
                <w:u w:val="none"/>
              </w:rPr>
              <w:t xml:space="preserve"> </w:t>
            </w:r>
            <w:r w:rsidRPr="00A23740">
              <w:rPr>
                <w:rStyle w:val="MaviChar"/>
              </w:rPr>
              <w:t>toplantısında rehnin paraya çevrilmesi yoluyla yapılanlar dışındaki diğer paraya çevirmelerin durdurulmasına karar verilebilir.</w:t>
            </w:r>
          </w:p>
          <w:p w:rsidR="00AA5C8C" w:rsidRPr="00A23740" w:rsidRDefault="00AA5C8C" w:rsidP="009431FF">
            <w:pPr>
              <w:widowControl w:val="0"/>
              <w:tabs>
                <w:tab w:val="left" w:pos="567"/>
              </w:tabs>
              <w:rPr>
                <w:b/>
                <w:color w:val="FF0000"/>
              </w:rPr>
            </w:pPr>
          </w:p>
        </w:tc>
      </w:tr>
      <w:tr w:rsidR="0073198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pPr>
          </w:p>
          <w:p w:rsidR="003011E1" w:rsidRPr="00A23740" w:rsidRDefault="003011E1" w:rsidP="009431FF">
            <w:pPr>
              <w:ind w:firstLine="709"/>
              <w:rPr>
                <w:szCs w:val="24"/>
              </w:rPr>
            </w:pPr>
            <w:r w:rsidRPr="00A23740">
              <w:rPr>
                <w:b/>
                <w:szCs w:val="24"/>
              </w:rPr>
              <w:t>M</w:t>
            </w:r>
            <w:r w:rsidR="00DA2ED0" w:rsidRPr="00A23740">
              <w:rPr>
                <w:b/>
                <w:szCs w:val="24"/>
              </w:rPr>
              <w:t>ADDE 343</w:t>
            </w:r>
            <w:r w:rsidRPr="00A23740">
              <w:rPr>
                <w:b/>
                <w:szCs w:val="24"/>
              </w:rPr>
              <w:t>-</w:t>
            </w:r>
            <w:r w:rsidRPr="00A23740">
              <w:rPr>
                <w:szCs w:val="24"/>
              </w:rPr>
              <w:t xml:space="preserve"> Maddeyle, birinci alacaklılar toplantısında acele h</w:t>
            </w:r>
            <w:r w:rsidR="00792F62" w:rsidRPr="00A23740">
              <w:rPr>
                <w:szCs w:val="24"/>
              </w:rPr>
              <w:t>â</w:t>
            </w:r>
            <w:r w:rsidRPr="00A23740">
              <w:rPr>
                <w:szCs w:val="24"/>
              </w:rPr>
              <w:t xml:space="preserve">llerde alınabilecek kararlara ilişkin hususlar düzenlenmektedir. Hüküm, 2004 sayılı Kanunun 224 üncü </w:t>
            </w:r>
            <w:r w:rsidR="00F20491">
              <w:rPr>
                <w:szCs w:val="24"/>
              </w:rPr>
              <w:t>maddesine karşılık gelmektedir.</w:t>
            </w:r>
          </w:p>
          <w:p w:rsidR="00731980" w:rsidRPr="00A23740" w:rsidRDefault="00731980" w:rsidP="009431FF">
            <w:pPr>
              <w:ind w:firstLine="709"/>
              <w:rPr>
                <w:bCs/>
                <w:lang w:eastAsia="x-none"/>
              </w:rPr>
            </w:pPr>
            <w:r w:rsidRPr="00A23740">
              <w:rPr>
                <w:szCs w:val="24"/>
              </w:rPr>
              <w:t>Maddenin konusu, acele h</w:t>
            </w:r>
            <w:r w:rsidR="00792F62" w:rsidRPr="00A23740">
              <w:rPr>
                <w:szCs w:val="24"/>
              </w:rPr>
              <w:t>â</w:t>
            </w:r>
            <w:r w:rsidRPr="00A23740">
              <w:rPr>
                <w:szCs w:val="24"/>
              </w:rPr>
              <w:t>llerde birinci alacaklılar toplantısında alınacak kararlara ilişkindir. Bu kararlar m</w:t>
            </w:r>
            <w:r w:rsidRPr="00F20491">
              <w:rPr>
                <w:szCs w:val="24"/>
              </w:rPr>
              <w:t xml:space="preserve">addede </w:t>
            </w:r>
            <w:r w:rsidR="00227212" w:rsidRPr="00F20491">
              <w:rPr>
                <w:bCs/>
                <w:szCs w:val="24"/>
              </w:rPr>
              <w:t>İsviçre’nin Borç İçin Takip ve İflas Hakkındaki Federal Kanununun 238 inci maddesinin birinci fıkrasındaki hâller esas alınarak</w:t>
            </w:r>
            <w:r w:rsidR="00227212" w:rsidRPr="00F20491">
              <w:rPr>
                <w:szCs w:val="24"/>
              </w:rPr>
              <w:t xml:space="preserve"> </w:t>
            </w:r>
            <w:r w:rsidRPr="00A23740">
              <w:rPr>
                <w:szCs w:val="24"/>
              </w:rPr>
              <w:t xml:space="preserve">örnek kabilinden sayılmıştır. </w:t>
            </w:r>
            <w:r w:rsidRPr="00A23740">
              <w:rPr>
                <w:bCs/>
                <w:lang w:eastAsia="x-none"/>
              </w:rPr>
              <w:t>Birinci alacaklılar toplantısında malların pazarlıkla satılmasına karar verebileceği gibi olağan satış yöntemi olan açık artırma yoluyla satışına da karar verilebilecektir. Alacaklılar toplantısının satışına karar vereceği malların üzerinde rehin hakkı da bulunabilir. Bu h</w:t>
            </w:r>
            <w:r w:rsidR="00227212" w:rsidRPr="00A23740">
              <w:rPr>
                <w:bCs/>
                <w:lang w:eastAsia="x-none"/>
              </w:rPr>
              <w:t>â</w:t>
            </w:r>
            <w:r w:rsidRPr="00A23740">
              <w:rPr>
                <w:bCs/>
                <w:lang w:eastAsia="x-none"/>
              </w:rPr>
              <w:t xml:space="preserve">lde </w:t>
            </w:r>
            <w:r w:rsidR="00227212" w:rsidRPr="00F20491">
              <w:rPr>
                <w:lang w:eastAsia="x-none"/>
              </w:rPr>
              <w:t>hiç kuşkusuz</w:t>
            </w:r>
            <w:r w:rsidR="00227212" w:rsidRPr="00A23740">
              <w:rPr>
                <w:bCs/>
                <w:lang w:eastAsia="x-none"/>
              </w:rPr>
              <w:t xml:space="preserve"> </w:t>
            </w:r>
            <w:r w:rsidRPr="00A23740">
              <w:rPr>
                <w:bCs/>
                <w:lang w:eastAsia="x-none"/>
              </w:rPr>
              <w:t xml:space="preserve">rehin alacaklısının satışa muvafakatinin alınması </w:t>
            </w:r>
            <w:r w:rsidR="00227212" w:rsidRPr="00F20491">
              <w:rPr>
                <w:lang w:eastAsia="x-none"/>
              </w:rPr>
              <w:t>gerekir.</w:t>
            </w:r>
            <w:r w:rsidR="00227212" w:rsidRPr="00F20491">
              <w:rPr>
                <w:bCs/>
                <w:lang w:eastAsia="x-none"/>
              </w:rPr>
              <w:t xml:space="preserve"> </w:t>
            </w:r>
            <w:r w:rsidRPr="00F20491">
              <w:rPr>
                <w:bCs/>
                <w:lang w:eastAsia="x-none"/>
              </w:rPr>
              <w:t>Bu</w:t>
            </w:r>
            <w:r w:rsidRPr="00A23740">
              <w:rPr>
                <w:bCs/>
                <w:lang w:eastAsia="x-none"/>
              </w:rPr>
              <w:t xml:space="preserve"> madde gereğince alacaklılar toplantısında alınacak kararların ortak özelliği bu kararların gecikmesinin ve hatta kararların alınması için ikinci alacaklılar toplantısının beklenilmesinin masayı zarara </w:t>
            </w:r>
            <w:r w:rsidR="003011E1" w:rsidRPr="00A23740">
              <w:rPr>
                <w:bCs/>
                <w:lang w:eastAsia="x-none"/>
              </w:rPr>
              <w:t xml:space="preserve">uğratacak nitelikte olmasıdır. </w:t>
            </w:r>
          </w:p>
          <w:p w:rsidR="00731980" w:rsidRPr="00A23740" w:rsidRDefault="00731980" w:rsidP="009431FF">
            <w:pPr>
              <w:ind w:firstLine="709"/>
              <w:rPr>
                <w:bCs/>
                <w:lang w:eastAsia="x-none"/>
              </w:rPr>
            </w:pPr>
            <w:r w:rsidRPr="00A23740">
              <w:rPr>
                <w:bCs/>
                <w:lang w:eastAsia="x-none"/>
              </w:rPr>
              <w:t xml:space="preserve">Maddenin ikinci fıkrasında birinci alacaklılar toplantısında müflisin konkordato talep etmesinin takipler üzerindeki etkileri düzenlenmiştir. Buna göre birinci alacaklılar toplantısında konkordato teklif edilirse alacaklılar, paraya çevirme işlemlerinin durdurulmasına karar </w:t>
            </w:r>
            <w:r w:rsidR="00227212" w:rsidRPr="00F20491">
              <w:rPr>
                <w:lang w:eastAsia="x-none"/>
              </w:rPr>
              <w:t>verebilirler.</w:t>
            </w:r>
            <w:r w:rsidR="00227212" w:rsidRPr="00A23740">
              <w:rPr>
                <w:bCs/>
                <w:lang w:eastAsia="x-none"/>
              </w:rPr>
              <w:t xml:space="preserve"> </w:t>
            </w:r>
            <w:r w:rsidRPr="00A23740">
              <w:rPr>
                <w:bCs/>
                <w:lang w:eastAsia="x-none"/>
              </w:rPr>
              <w:t>Mülga hükümde bu h</w:t>
            </w:r>
            <w:r w:rsidR="00341D78" w:rsidRPr="00A23740">
              <w:rPr>
                <w:bCs/>
                <w:lang w:eastAsia="x-none"/>
              </w:rPr>
              <w:t>â</w:t>
            </w:r>
            <w:r w:rsidRPr="00A23740">
              <w:rPr>
                <w:bCs/>
                <w:lang w:eastAsia="x-none"/>
              </w:rPr>
              <w:t>lde tasfiyenin durdurulmasından bahsedilmişse de doktrinde tasfiyenin değil</w:t>
            </w:r>
            <w:r w:rsidR="00227212" w:rsidRPr="00333897">
              <w:rPr>
                <w:rStyle w:val="Balk1Char"/>
                <w:rFonts w:eastAsia="Calibri"/>
                <w:b w:val="0"/>
                <w:color w:val="000000" w:themeColor="text1"/>
              </w:rPr>
              <w:t>,</w:t>
            </w:r>
            <w:r w:rsidRPr="00A23740">
              <w:rPr>
                <w:bCs/>
                <w:lang w:eastAsia="x-none"/>
              </w:rPr>
              <w:t xml:space="preserve"> paraya çevirmenin durdurulması gerektiği kabul edilmekteydi. </w:t>
            </w:r>
            <w:r w:rsidR="00227212" w:rsidRPr="00A23740">
              <w:rPr>
                <w:bCs/>
                <w:lang w:eastAsia="x-none"/>
              </w:rPr>
              <w:t>Doktrindeki bu görüş yeni madde</w:t>
            </w:r>
            <w:r w:rsidRPr="00A23740">
              <w:rPr>
                <w:bCs/>
                <w:lang w:eastAsia="x-none"/>
              </w:rPr>
              <w:t>de karşılık bulmuş ve alacaklıların yalnızca paraya çev</w:t>
            </w:r>
            <w:r w:rsidR="00227212" w:rsidRPr="00A23740">
              <w:rPr>
                <w:bCs/>
                <w:lang w:eastAsia="x-none"/>
              </w:rPr>
              <w:t>ir</w:t>
            </w:r>
            <w:r w:rsidRPr="00A23740">
              <w:rPr>
                <w:bCs/>
                <w:lang w:eastAsia="x-none"/>
              </w:rPr>
              <w:t>menin durdurulması yönünde karar alabilecekleri hükme bağlanmıştır. Her ne kadar birinci alacaklılar toplantısında  paraya çevirmenin durdurulmasına ilişkin karar alınabilecekse de</w:t>
            </w:r>
            <w:r w:rsidR="004A414F" w:rsidRPr="00A23740">
              <w:rPr>
                <w:bCs/>
                <w:lang w:eastAsia="x-none"/>
              </w:rPr>
              <w:t>,</w:t>
            </w:r>
            <w:r w:rsidRPr="00A23740">
              <w:rPr>
                <w:bCs/>
                <w:lang w:eastAsia="x-none"/>
              </w:rPr>
              <w:t xml:space="preserve"> bu karar rehnin paraya çevrilmesine ilişkin takipleri etkilemeyecek, rehin alacaklıları bu takiplere devam edebileceklerdir.  </w:t>
            </w:r>
          </w:p>
          <w:p w:rsidR="00731980" w:rsidRPr="00A23740" w:rsidRDefault="00731980" w:rsidP="009A013D">
            <w:pPr>
              <w:rPr>
                <w:b/>
                <w:color w:val="FF0000"/>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İflas idaresinin vazifesi:</w:t>
            </w:r>
          </w:p>
          <w:p w:rsidR="00AA5C8C" w:rsidRPr="00A23740" w:rsidRDefault="00AA5C8C" w:rsidP="009431FF">
            <w:pPr>
              <w:tabs>
                <w:tab w:val="left" w:pos="567"/>
              </w:tabs>
              <w:rPr>
                <w:b/>
                <w:strike/>
                <w:color w:val="FF0000"/>
                <w:szCs w:val="24"/>
              </w:rPr>
            </w:pPr>
            <w:r w:rsidRPr="00A23740">
              <w:rPr>
                <w:b/>
                <w:strike/>
                <w:color w:val="FF0000"/>
                <w:szCs w:val="24"/>
              </w:rPr>
              <w:t>Madde 226 – (1) Masanın kanuni mümessili iflas idaresidir. İdare masanın menfaatlerini  gözetmek ve tasfiyeyi yapmakla mükelleftir.</w:t>
            </w:r>
          </w:p>
          <w:p w:rsidR="00AA5C8C" w:rsidRPr="00A23740" w:rsidRDefault="00AA5C8C" w:rsidP="009431FF">
            <w:pPr>
              <w:tabs>
                <w:tab w:val="left" w:pos="567"/>
              </w:tabs>
              <w:rPr>
                <w:b/>
                <w:strike/>
                <w:color w:val="FF0000"/>
                <w:szCs w:val="24"/>
              </w:rPr>
            </w:pPr>
          </w:p>
          <w:p w:rsidR="00AA5C8C" w:rsidRPr="009A013D" w:rsidRDefault="00AA5C8C" w:rsidP="009431FF">
            <w:pPr>
              <w:tabs>
                <w:tab w:val="left" w:pos="567"/>
              </w:tabs>
              <w:rPr>
                <w:b/>
                <w:strike/>
                <w:color w:val="FF0000"/>
                <w:szCs w:val="24"/>
              </w:rPr>
            </w:pPr>
            <w:r w:rsidRPr="00A23740">
              <w:rPr>
                <w:b/>
                <w:strike/>
                <w:color w:val="FF0000"/>
                <w:szCs w:val="24"/>
              </w:rPr>
              <w:t>(2) (Değişik: 6/6/1985 - 3222/27 md.) İdare, ikimilyar liraya kadar olan alacaklardan doğrudan doğruya, daha ziyade alacaklardan alacaklılar toplanmasının vereceği yetkiyle sulh olabilir ve tahkim yapabilir.</w:t>
            </w:r>
          </w:p>
        </w:tc>
        <w:tc>
          <w:tcPr>
            <w:tcW w:w="2500" w:type="pct"/>
          </w:tcPr>
          <w:p w:rsidR="00AA5C8C" w:rsidRPr="00A23740" w:rsidRDefault="00AA5C8C" w:rsidP="009431FF">
            <w:pPr>
              <w:rPr>
                <w:b/>
                <w:strike/>
                <w:color w:val="FF0000"/>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İflas idaresinin vazife ve mes'uliyeti:</w:t>
            </w:r>
          </w:p>
          <w:p w:rsidR="00AA5C8C" w:rsidRPr="00A23740" w:rsidRDefault="00AA5C8C" w:rsidP="009431FF">
            <w:pPr>
              <w:pStyle w:val="KIRMIZI"/>
              <w:rPr>
                <w:lang w:val="tr-TR"/>
              </w:rPr>
            </w:pPr>
            <w:r w:rsidRPr="00A23740">
              <w:rPr>
                <w:lang w:val="tr-TR"/>
              </w:rPr>
              <w:t>Madde 227 – (1) (Değişik: 6/6/1985-3222/28 md.)</w:t>
            </w:r>
          </w:p>
          <w:p w:rsidR="00AA5C8C" w:rsidRPr="00A23740" w:rsidRDefault="00AA5C8C" w:rsidP="009431FF">
            <w:pPr>
              <w:pStyle w:val="KIRMIZI"/>
              <w:rPr>
                <w:lang w:val="tr-TR"/>
              </w:rPr>
            </w:pPr>
            <w:r w:rsidRPr="00A23740">
              <w:rPr>
                <w:lang w:val="tr-TR"/>
              </w:rPr>
              <w:t xml:space="preserve">8 inci maddenin bir ve ikinci fıkraları ve 9,11,16 ve 359 uncu maddelerin icra dairelerine ait hükümleri iflas idaresi hakkında da uygulanır. (Ek cümle: 28/2/2018-7101/9 md.) İflâs idaresi, iflâs masasına kabul edilen alacaklılara, talepleri hâlinde iflâs tasfiyesinin seyri ile müteakip işlemlerin planı ve takvimi hakkında bilgi vermekle yükümlüdür. </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(2) (Ek ikinci fıkra: 9/11/1988  - 3494/46 md.; Mülga: 2/3/2005-5311/28 md.)</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(3) İcra mahkemesi, iflas idaresi üzerinde gözetim yetkisine sahip olup gerektiğinde iflas idaresini teşkil edenlerin görevine son verebilir. İcra mahkemesi, görevine son verilen veya istifa edenin yerine, önceki adaylar arasından 223 üncü maddedeki esaslar dairesinde yenisini seçer.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(4) İflas idaresini teşkil edenler kusurlarından ileri gelen zarardan sorumludurlar. Bu davalara adliye mahkemelerinde bakılır.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(5) İflas idaresini teşkil edenler Türk Ceza Kanununun uygulanmasında memur sayılırlar.</w:t>
            </w:r>
          </w:p>
          <w:p w:rsidR="00AA5C8C" w:rsidRPr="00A23740" w:rsidRDefault="00AA5C8C" w:rsidP="009431FF">
            <w:pPr>
              <w:pStyle w:val="KIRMIZI"/>
              <w:rPr>
                <w:lang w:val="tr-TR"/>
              </w:rPr>
            </w:pPr>
          </w:p>
        </w:tc>
        <w:tc>
          <w:tcPr>
            <w:tcW w:w="2500" w:type="pct"/>
          </w:tcPr>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rPr>
                <w:szCs w:val="24"/>
              </w:rPr>
            </w:pPr>
          </w:p>
          <w:p w:rsidR="00AA5C8C" w:rsidRPr="00A23740" w:rsidRDefault="00AA5C8C" w:rsidP="009431FF">
            <w:pPr>
              <w:rPr>
                <w:b/>
                <w:color w:val="FF0000"/>
                <w:szCs w:val="24"/>
              </w:rPr>
            </w:pPr>
          </w:p>
          <w:p w:rsidR="00AA5C8C" w:rsidRPr="00A23740" w:rsidRDefault="00AA5C8C" w:rsidP="009431FF">
            <w:pPr>
              <w:rPr>
                <w:b/>
                <w:color w:val="FF0000"/>
                <w:szCs w:val="24"/>
              </w:rPr>
            </w:pPr>
          </w:p>
          <w:p w:rsidR="00AA5C8C" w:rsidRPr="00A23740" w:rsidRDefault="00AA5C8C" w:rsidP="009431FF">
            <w:pPr>
              <w:rPr>
                <w:b/>
                <w:color w:val="FF0000"/>
                <w:szCs w:val="24"/>
              </w:rPr>
            </w:pPr>
          </w:p>
          <w:p w:rsidR="00AA5C8C" w:rsidRPr="00A23740" w:rsidRDefault="00AA5C8C" w:rsidP="009431FF">
            <w:pPr>
              <w:rPr>
                <w:strike/>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Üçüncü şahısların istihkak iddiaları:</w:t>
            </w:r>
          </w:p>
          <w:p w:rsidR="00AA5C8C" w:rsidRPr="00A23740" w:rsidRDefault="00AA5C8C" w:rsidP="009431FF">
            <w:pPr>
              <w:pStyle w:val="KIRMIZI"/>
              <w:rPr>
                <w:lang w:val="tr-TR"/>
              </w:rPr>
            </w:pPr>
            <w:r w:rsidRPr="00A23740">
              <w:rPr>
                <w:lang w:val="tr-TR"/>
              </w:rPr>
              <w:t>Madde 228 – (1) (Değişik: 18/2/1965  - 538/96 md.)</w:t>
            </w:r>
          </w:p>
          <w:p w:rsidR="00AA5C8C" w:rsidRPr="00A23740" w:rsidRDefault="00AA5C8C" w:rsidP="009431FF">
            <w:pPr>
              <w:pStyle w:val="KIRMIZI"/>
              <w:rPr>
                <w:lang w:val="tr-TR"/>
              </w:rPr>
            </w:pPr>
            <w:r w:rsidRPr="00A23740">
              <w:rPr>
                <w:lang w:val="tr-TR"/>
              </w:rPr>
              <w:t>Üçüncü şahıslar tarafından istihkak iddiasında bulunulan eşyanın kendilerine verilip verilmiyeceğini iflas idaresi kararlaştırır.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(2) İflas idaresi; istihkak iddiasını reddederse, üçüncü şahsa icra mahkemesinde istihkak davası açması için yedi günlük bir mühlet tayin ve tebliğ eder. Bu mühleti geçiren üçüncü şahıs, masaya karşı istihkak iddiasından vazgeçmiş sayılır.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(3) İstihkak davasına, genel hükümler dairesinde ve basit yargılama usulüne göre bakılır.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(4) İcra mahkemesi, icabında istihkak davacısından masanın muhtemel zararına karşı teminat istiyebilir.</w:t>
            </w:r>
          </w:p>
          <w:p w:rsidR="00AA5C8C" w:rsidRPr="00A23740" w:rsidRDefault="00AA5C8C" w:rsidP="009431FF">
            <w:pPr>
              <w:pStyle w:val="KIRMIZI"/>
              <w:rPr>
                <w:lang w:val="tr-TR"/>
              </w:rPr>
            </w:pPr>
          </w:p>
        </w:tc>
        <w:tc>
          <w:tcPr>
            <w:tcW w:w="2500" w:type="pct"/>
          </w:tcPr>
          <w:p w:rsidR="00AA5C8C" w:rsidRPr="00A23740" w:rsidRDefault="00AA5C8C" w:rsidP="009431FF">
            <w:pPr>
              <w:pStyle w:val="KIRMIZI"/>
              <w:rPr>
                <w:lang w:val="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Balk1"/>
              <w:jc w:val="both"/>
              <w:rPr>
                <w:lang w:val="tr-TR"/>
              </w:rPr>
            </w:pPr>
            <w:r w:rsidRPr="009A013D">
              <w:rPr>
                <w:color w:val="000000" w:themeColor="text1"/>
                <w:lang w:val="tr-TR"/>
              </w:rPr>
              <w:t>Masa alacaklarının tahsili,</w:t>
            </w:r>
            <w:r w:rsidRPr="00A23740">
              <w:rPr>
                <w:lang w:val="tr-TR"/>
              </w:rPr>
              <w:t xml:space="preserve"> </w:t>
            </w:r>
            <w:r w:rsidRPr="00A23740">
              <w:rPr>
                <w:strike/>
                <w:color w:val="FF0000"/>
                <w:lang w:val="tr-TR"/>
              </w:rPr>
              <w:t>müstacel</w:t>
            </w:r>
            <w:r w:rsidRPr="00A23740">
              <w:rPr>
                <w:lang w:val="tr-TR"/>
              </w:rPr>
              <w:t xml:space="preserve"> </w:t>
            </w:r>
            <w:r w:rsidRPr="009A013D">
              <w:rPr>
                <w:color w:val="000000" w:themeColor="text1"/>
                <w:lang w:val="tr-TR"/>
              </w:rPr>
              <w:t>satış</w:t>
            </w:r>
            <w:r w:rsidRPr="00A23740">
              <w:rPr>
                <w:strike/>
                <w:color w:val="FF0000"/>
                <w:lang w:val="tr-TR"/>
              </w:rPr>
              <w:t>:</w:t>
            </w:r>
          </w:p>
          <w:p w:rsidR="00AA5C8C" w:rsidRPr="00A23740" w:rsidRDefault="00AA5C8C" w:rsidP="009431FF">
            <w:pPr>
              <w:tabs>
                <w:tab w:val="left" w:pos="567"/>
              </w:tabs>
              <w:rPr>
                <w:szCs w:val="24"/>
              </w:rPr>
            </w:pPr>
            <w:r w:rsidRPr="00A23740">
              <w:rPr>
                <w:rStyle w:val="KIRMIZIChar"/>
                <w:rFonts w:eastAsia="Calibri"/>
              </w:rPr>
              <w:t>Madde 229 – (1</w:t>
            </w:r>
            <w:r w:rsidRPr="009A013D">
              <w:rPr>
                <w:rStyle w:val="KIRMIZIChar"/>
                <w:rFonts w:eastAsia="Calibri"/>
              </w:rPr>
              <w:t>) İflas idaresi, masanın vadesi gelmiş alacaklarını tahsil ve lüzumunda takip veya dava eder.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Kıymeti düşecek yahut muhafazası masraflı olacak şeyler geciktirilmeksizin satılır. Borsa veya piyasada fiyatı bulunan </w:t>
            </w:r>
            <w:r w:rsidRPr="00A23740">
              <w:rPr>
                <w:b/>
                <w:strike/>
                <w:color w:val="FF0000"/>
                <w:szCs w:val="24"/>
              </w:rPr>
              <w:t>esham</w:t>
            </w:r>
            <w:r w:rsidRPr="00A23740">
              <w:rPr>
                <w:szCs w:val="24"/>
              </w:rPr>
              <w:t xml:space="preserve"> ve eşya derhal paraya çevrilebilir. </w:t>
            </w:r>
            <w:r w:rsidRPr="00A23740">
              <w:rPr>
                <w:b/>
                <w:strike/>
                <w:color w:val="FF0000"/>
                <w:szCs w:val="24"/>
              </w:rPr>
              <w:t>Sair</w:t>
            </w:r>
            <w:r w:rsidRPr="00A23740">
              <w:rPr>
                <w:szCs w:val="24"/>
              </w:rPr>
              <w:t xml:space="preserve"> mallar ancak ikinci alacaklılar </w:t>
            </w:r>
            <w:r w:rsidRPr="00A23740">
              <w:rPr>
                <w:rStyle w:val="KIRMIZIChar"/>
                <w:rFonts w:eastAsia="Calibri"/>
              </w:rPr>
              <w:t>toplanmasından</w:t>
            </w:r>
            <w:r w:rsidRPr="00A23740">
              <w:rPr>
                <w:szCs w:val="24"/>
              </w:rPr>
              <w:t xml:space="preserve"> sonra satılır.</w:t>
            </w:r>
          </w:p>
          <w:p w:rsidR="00AA5C8C" w:rsidRPr="00A23740" w:rsidRDefault="00AA5C8C" w:rsidP="009431FF">
            <w:pPr>
              <w:tabs>
                <w:tab w:val="left" w:pos="567"/>
              </w:tabs>
              <w:rPr>
                <w:szCs w:val="24"/>
              </w:rPr>
            </w:pPr>
          </w:p>
          <w:p w:rsidR="00AA5C8C" w:rsidRPr="00A23740" w:rsidRDefault="00AA5C8C" w:rsidP="009431FF">
            <w:pPr>
              <w:tabs>
                <w:tab w:val="left" w:pos="567"/>
              </w:tabs>
              <w:rPr>
                <w:b/>
                <w:bCs/>
                <w:strike/>
                <w:color w:val="FF0000"/>
                <w:szCs w:val="24"/>
              </w:rPr>
            </w:pPr>
            <w:r w:rsidRPr="00A23740">
              <w:rPr>
                <w:szCs w:val="24"/>
              </w:rPr>
              <w:t xml:space="preserve">Rehinli mallar </w:t>
            </w:r>
            <w:r w:rsidRPr="00A23740">
              <w:rPr>
                <w:b/>
                <w:bCs/>
                <w:strike/>
                <w:color w:val="FF0000"/>
                <w:szCs w:val="24"/>
              </w:rPr>
              <w:t>ve üretime yönelik yerler:</w:t>
            </w:r>
          </w:p>
          <w:p w:rsidR="00AA5C8C" w:rsidRPr="00A23740" w:rsidRDefault="00AA5C8C" w:rsidP="009431FF">
            <w:pPr>
              <w:tabs>
                <w:tab w:val="left" w:pos="567"/>
              </w:tabs>
              <w:rPr>
                <w:b/>
                <w:bCs/>
                <w:strike/>
                <w:color w:val="FF0000"/>
                <w:szCs w:val="24"/>
              </w:rPr>
            </w:pPr>
            <w:r w:rsidRPr="00A23740">
              <w:rPr>
                <w:rStyle w:val="KIRMIZIChar"/>
                <w:rFonts w:eastAsia="Calibri"/>
              </w:rPr>
              <w:t xml:space="preserve">Madde 185 – . . . </w:t>
            </w:r>
          </w:p>
          <w:p w:rsidR="00AA5C8C" w:rsidRPr="00A23740" w:rsidRDefault="00AA5C8C" w:rsidP="009431FF">
            <w:pPr>
              <w:tabs>
                <w:tab w:val="left" w:pos="567"/>
              </w:tabs>
              <w:rPr>
                <w:szCs w:val="24"/>
              </w:rPr>
            </w:pPr>
            <w:r w:rsidRPr="00A23740">
              <w:rPr>
                <w:rStyle w:val="KIRMIZIChar"/>
                <w:rFonts w:eastAsia="Calibri"/>
              </w:rPr>
              <w:t>(4)</w:t>
            </w:r>
            <w:r w:rsidRPr="00A23740">
              <w:rPr>
                <w:b/>
                <w:szCs w:val="24"/>
              </w:rPr>
              <w:t xml:space="preserve"> </w:t>
            </w:r>
            <w:r w:rsidRPr="00A23740">
              <w:rPr>
                <w:rStyle w:val="KIRMIZIChar"/>
                <w:rFonts w:eastAsia="Calibri"/>
              </w:rPr>
              <w:t>(Ek fıkra: 9/11/1988-3494/38 md.; Değişik fıkra: 28/2/2018-7101/4 md.) 210</w:t>
            </w:r>
            <w:r w:rsidRPr="00A23740">
              <w:rPr>
                <w:szCs w:val="24"/>
              </w:rPr>
              <w:t xml:space="preserve"> </w:t>
            </w:r>
            <w:r w:rsidRPr="00A23740">
              <w:rPr>
                <w:rStyle w:val="KIRMIZIChar"/>
                <w:rFonts w:eastAsia="Calibri"/>
              </w:rPr>
              <w:t>uncu</w:t>
            </w:r>
            <w:r w:rsidRPr="00A23740">
              <w:rPr>
                <w:szCs w:val="24"/>
              </w:rPr>
              <w:t xml:space="preserve"> maddenin birinci fıkrası uyarınca masa hakkında faydalı olmayacağı anlaşıldığı için kapatılıp mühürlenen yerlerin, </w:t>
            </w:r>
            <w:r w:rsidRPr="00A23740">
              <w:rPr>
                <w:rStyle w:val="KIRMIZIChar"/>
                <w:rFonts w:eastAsia="Calibri"/>
              </w:rPr>
              <w:t>üzerinde rehin bulunmasa dahi,</w:t>
            </w:r>
            <w:r w:rsidRPr="00A23740">
              <w:rPr>
                <w:szCs w:val="24"/>
              </w:rPr>
              <w:t xml:space="preserve"> ilk alacaklılar </w:t>
            </w:r>
            <w:r w:rsidRPr="00A23740">
              <w:rPr>
                <w:rStyle w:val="KIRMIZIChar"/>
                <w:rFonts w:eastAsia="Calibri"/>
              </w:rPr>
              <w:t>toplanması</w:t>
            </w:r>
            <w:r w:rsidRPr="00A23740">
              <w:rPr>
                <w:szCs w:val="24"/>
              </w:rPr>
              <w:t xml:space="preserve"> </w:t>
            </w:r>
            <w:r w:rsidRPr="00A23740">
              <w:rPr>
                <w:rStyle w:val="KIRMIZIChar"/>
                <w:rFonts w:eastAsia="Calibri"/>
              </w:rPr>
              <w:t>tarafından da</w:t>
            </w:r>
            <w:r w:rsidRPr="00A23740">
              <w:rPr>
                <w:szCs w:val="24"/>
              </w:rPr>
              <w:t xml:space="preserve"> uygun bulunması </w:t>
            </w:r>
            <w:r w:rsidRPr="00A23740">
              <w:rPr>
                <w:rStyle w:val="KIRMIZIChar"/>
                <w:rFonts w:eastAsia="Calibri"/>
              </w:rPr>
              <w:t>hâlinde</w:t>
            </w:r>
            <w:r w:rsidRPr="00A23740">
              <w:rPr>
                <w:szCs w:val="24"/>
              </w:rPr>
              <w:t xml:space="preserve"> iflâs idaresince derhâl satışı yapılır.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Üzerinde rehin hakkı bulunan mallar </w:t>
            </w:r>
            <w:r w:rsidRPr="00A23740">
              <w:rPr>
                <w:rStyle w:val="KIRMIZIChar"/>
                <w:rFonts w:eastAsia="Calibri"/>
              </w:rPr>
              <w:t>185 inci</w:t>
            </w:r>
            <w:r w:rsidRPr="00A23740">
              <w:rPr>
                <w:szCs w:val="24"/>
              </w:rPr>
              <w:t xml:space="preserve"> madde hükmüne tabidir.</w:t>
            </w:r>
          </w:p>
        </w:tc>
        <w:tc>
          <w:tcPr>
            <w:tcW w:w="2500" w:type="pct"/>
          </w:tcPr>
          <w:p w:rsidR="00AA5C8C" w:rsidRPr="00A23740" w:rsidRDefault="00AA5C8C" w:rsidP="009431FF">
            <w:pPr>
              <w:pStyle w:val="Balk1"/>
              <w:jc w:val="both"/>
              <w:rPr>
                <w:lang w:val="tr-TR"/>
              </w:rPr>
            </w:pPr>
            <w:r w:rsidRPr="009A013D">
              <w:rPr>
                <w:color w:val="000000" w:themeColor="text1"/>
                <w:lang w:val="tr-TR"/>
              </w:rPr>
              <w:t>Masa alacaklarının tahsili</w:t>
            </w:r>
            <w:r w:rsidRPr="00A23740">
              <w:rPr>
                <w:lang w:val="tr-TR"/>
              </w:rPr>
              <w:t xml:space="preserve"> ve acele h</w:t>
            </w:r>
            <w:r w:rsidR="00227212" w:rsidRPr="00A23740">
              <w:rPr>
                <w:lang w:val="tr-TR"/>
              </w:rPr>
              <w:t>â</w:t>
            </w:r>
            <w:r w:rsidRPr="00A23740">
              <w:rPr>
                <w:lang w:val="tr-TR"/>
              </w:rPr>
              <w:t xml:space="preserve">llerde </w:t>
            </w:r>
            <w:r w:rsidRPr="009A013D">
              <w:rPr>
                <w:color w:val="000000" w:themeColor="text1"/>
                <w:lang w:val="tr-TR"/>
              </w:rPr>
              <w:t>satış</w:t>
            </w:r>
          </w:p>
          <w:p w:rsidR="00AA5C8C" w:rsidRPr="00A23740" w:rsidRDefault="00AA5C8C" w:rsidP="009431FF">
            <w:pPr>
              <w:tabs>
                <w:tab w:val="left" w:pos="567"/>
              </w:tabs>
              <w:rPr>
                <w:b/>
                <w:color w:val="0000FF"/>
                <w:szCs w:val="24"/>
              </w:rPr>
            </w:pPr>
            <w:r w:rsidRPr="00A23740">
              <w:rPr>
                <w:rStyle w:val="MaviChar"/>
                <w:lang w:val="tr-TR"/>
              </w:rPr>
              <w:t xml:space="preserve">MADDE </w:t>
            </w:r>
            <w:r w:rsidR="00DA2ED0" w:rsidRPr="00A23740">
              <w:rPr>
                <w:rStyle w:val="MaviChar"/>
              </w:rPr>
              <w:t>344</w:t>
            </w:r>
            <w:r w:rsidRPr="00A23740">
              <w:rPr>
                <w:rStyle w:val="MAVChar"/>
                <w:rFonts w:eastAsia="Calibri"/>
                <w:u w:val="none"/>
              </w:rPr>
              <w:t>- (1</w:t>
            </w:r>
            <w:r w:rsidRPr="00A23740">
              <w:rPr>
                <w:b/>
                <w:color w:val="0000FF"/>
                <w:szCs w:val="24"/>
              </w:rPr>
              <w:t xml:space="preserve">) </w:t>
            </w:r>
            <w:r w:rsidRPr="00A23740">
              <w:rPr>
                <w:rStyle w:val="Balk3Char"/>
                <w:rFonts w:eastAsia="Calibri"/>
              </w:rPr>
              <w:t>İflas idaresi, masanın vadesi gelmiş</w:t>
            </w:r>
            <w:r w:rsidRPr="00A23740">
              <w:rPr>
                <w:b/>
                <w:color w:val="0000FF"/>
                <w:szCs w:val="24"/>
              </w:rPr>
              <w:t xml:space="preserve"> ve üzerinde uyuşmazlık bulunmayan </w:t>
            </w:r>
            <w:r w:rsidRPr="00A23740">
              <w:rPr>
                <w:rStyle w:val="Balk3Char"/>
                <w:rFonts w:eastAsia="Calibri"/>
              </w:rPr>
              <w:t>alacaklarını tahsil eder</w:t>
            </w:r>
            <w:r w:rsidRPr="00A23740">
              <w:rPr>
                <w:b/>
                <w:color w:val="0000FF"/>
                <w:szCs w:val="24"/>
              </w:rPr>
              <w:t xml:space="preserve"> ve gerektiğinde bu alacaklar için </w:t>
            </w:r>
            <w:r w:rsidRPr="00A23740">
              <w:rPr>
                <w:rStyle w:val="Balk3Char"/>
                <w:rFonts w:eastAsia="Calibri"/>
              </w:rPr>
              <w:t>takip</w:t>
            </w:r>
            <w:r w:rsidRPr="00A23740">
              <w:rPr>
                <w:b/>
                <w:color w:val="0000FF"/>
                <w:szCs w:val="24"/>
              </w:rPr>
              <w:t xml:space="preserve"> yapar </w:t>
            </w:r>
            <w:r w:rsidRPr="00A23740">
              <w:rPr>
                <w:rStyle w:val="Balk3Char"/>
                <w:rFonts w:eastAsia="Calibri"/>
              </w:rPr>
              <w:t>veya</w:t>
            </w:r>
            <w:r w:rsidRPr="00A23740">
              <w:rPr>
                <w:b/>
                <w:color w:val="0000FF"/>
                <w:szCs w:val="24"/>
              </w:rPr>
              <w:t xml:space="preserve"> acele h</w:t>
            </w:r>
            <w:r w:rsidR="00227212" w:rsidRPr="00A23740">
              <w:rPr>
                <w:b/>
                <w:color w:val="0000FF"/>
                <w:szCs w:val="24"/>
              </w:rPr>
              <w:t>â</w:t>
            </w:r>
            <w:r w:rsidRPr="00A23740">
              <w:rPr>
                <w:b/>
                <w:color w:val="0000FF"/>
                <w:szCs w:val="24"/>
              </w:rPr>
              <w:t xml:space="preserve">llerde </w:t>
            </w:r>
            <w:r w:rsidRPr="00A23740">
              <w:rPr>
                <w:rStyle w:val="Balk3Char"/>
                <w:rFonts w:eastAsia="Calibri"/>
              </w:rPr>
              <w:t>dava</w:t>
            </w:r>
            <w:r w:rsidRPr="00A23740">
              <w:rPr>
                <w:b/>
                <w:color w:val="0000FF"/>
                <w:szCs w:val="24"/>
              </w:rPr>
              <w:t xml:space="preserve"> açar.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(2) </w:t>
            </w:r>
            <w:r w:rsidR="00C06D7F" w:rsidRPr="00F20491">
              <w:rPr>
                <w:b/>
                <w:color w:val="0000FF"/>
                <w:szCs w:val="24"/>
              </w:rPr>
              <w:t>Acele hâllerde</w:t>
            </w:r>
            <w:r w:rsidR="00C06D7F" w:rsidRPr="00A23740">
              <w:rPr>
                <w:b/>
                <w:color w:val="0000FF"/>
                <w:szCs w:val="24"/>
              </w:rPr>
              <w:t xml:space="preserve"> müflisin </w:t>
            </w:r>
            <w:r w:rsidRPr="00A23740">
              <w:rPr>
                <w:b/>
                <w:color w:val="0000FF"/>
                <w:szCs w:val="24"/>
              </w:rPr>
              <w:t>konusu paradan başka bir şey olan alacakları hakkında da iflas idaresi yukarıda</w:t>
            </w:r>
            <w:r w:rsidR="00276DA8" w:rsidRPr="00A23740">
              <w:rPr>
                <w:b/>
                <w:color w:val="0000FF"/>
                <w:szCs w:val="24"/>
              </w:rPr>
              <w:t>ki hükme göre hareket edebilir.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szCs w:val="24"/>
              </w:rPr>
              <w:t xml:space="preserve"> Kıymeti düşecek yahut muhafazası masraflı olacak şeyler geciktirilmeksizin satılır. Borsa veya piyasada fiyatı bulunan </w:t>
            </w:r>
            <w:r w:rsidRPr="00A23740">
              <w:rPr>
                <w:b/>
                <w:color w:val="0000FF"/>
                <w:szCs w:val="24"/>
              </w:rPr>
              <w:t>hisse senetleri</w:t>
            </w:r>
            <w:r w:rsidRPr="00A23740">
              <w:rPr>
                <w:szCs w:val="24"/>
              </w:rPr>
              <w:t xml:space="preserve"> ve</w:t>
            </w:r>
            <w:r w:rsidRPr="00A23740">
              <w:rPr>
                <w:b/>
                <w:color w:val="0000FF"/>
                <w:szCs w:val="24"/>
              </w:rPr>
              <w:t>ya</w:t>
            </w:r>
            <w:r w:rsidRPr="00A23740">
              <w:rPr>
                <w:szCs w:val="24"/>
              </w:rPr>
              <w:t xml:space="preserve"> eşya derh</w:t>
            </w:r>
            <w:r w:rsidR="00227212" w:rsidRPr="00A23740">
              <w:rPr>
                <w:szCs w:val="24"/>
              </w:rPr>
              <w:t>â</w:t>
            </w:r>
            <w:r w:rsidRPr="00A23740">
              <w:rPr>
                <w:szCs w:val="24"/>
              </w:rPr>
              <w:t xml:space="preserve">l paraya çevrilebilir. </w:t>
            </w:r>
            <w:r w:rsidRPr="00A23740">
              <w:rPr>
                <w:b/>
                <w:color w:val="0000FF"/>
                <w:szCs w:val="24"/>
              </w:rPr>
              <w:t>Diğer</w:t>
            </w:r>
            <w:r w:rsidRPr="00A23740">
              <w:rPr>
                <w:szCs w:val="24"/>
              </w:rPr>
              <w:t xml:space="preserve"> mallar ancak ikinci alacaklılar </w:t>
            </w:r>
            <w:r w:rsidRPr="00A23740">
              <w:rPr>
                <w:rStyle w:val="Stil2Char"/>
                <w:rFonts w:eastAsia="Calibri"/>
                <w:u w:val="none"/>
              </w:rPr>
              <w:t>toplantısından</w:t>
            </w:r>
            <w:r w:rsidRPr="00A23740">
              <w:rPr>
                <w:szCs w:val="24"/>
              </w:rPr>
              <w:t xml:space="preserve"> sonra satılır.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pStyle w:val="Mavi"/>
            </w:pPr>
            <w:r w:rsidRPr="00A23740">
              <w:t>(4)</w:t>
            </w:r>
            <w:r w:rsidR="00F805B5" w:rsidRPr="00A23740">
              <w:rPr>
                <w:lang w:val="tr-TR"/>
              </w:rPr>
              <w:t xml:space="preserve"> </w:t>
            </w:r>
            <w:r w:rsidR="00F805B5" w:rsidRPr="00F20491">
              <w:t>321 inci</w:t>
            </w:r>
            <w:r w:rsidRPr="00A23740">
              <w:t xml:space="preserve"> </w:t>
            </w:r>
            <w:r w:rsidRPr="00A23740">
              <w:rPr>
                <w:b w:val="0"/>
                <w:bCs w:val="0"/>
                <w:color w:val="auto"/>
                <w:lang w:val="tr-TR" w:eastAsia="en-US"/>
              </w:rPr>
              <w:t xml:space="preserve">maddenin birinci fıkrası uyarınca masa hakkında faydalı olmayacağı anlaşıldığı için kapatılıp mühürlenen yerlerin, ilk alacaklılar </w:t>
            </w:r>
            <w:r w:rsidRPr="00A23740">
              <w:rPr>
                <w:lang w:val="tr-TR" w:eastAsia="en-US"/>
              </w:rPr>
              <w:t>toplantısında</w:t>
            </w:r>
            <w:r w:rsidRPr="00A23740">
              <w:rPr>
                <w:b w:val="0"/>
                <w:bCs w:val="0"/>
                <w:color w:val="auto"/>
                <w:lang w:val="tr-TR" w:eastAsia="en-US"/>
              </w:rPr>
              <w:t xml:space="preserve"> uygun bulunması </w:t>
            </w:r>
            <w:r w:rsidRPr="00A23740">
              <w:rPr>
                <w:lang w:val="tr-TR" w:eastAsia="en-US"/>
              </w:rPr>
              <w:t>ve en uygun yöntemin de belirlenmesi kaydıyla</w:t>
            </w:r>
            <w:r w:rsidRPr="00A23740">
              <w:rPr>
                <w:b w:val="0"/>
                <w:bCs w:val="0"/>
                <w:color w:val="auto"/>
                <w:lang w:val="tr-TR" w:eastAsia="en-US"/>
              </w:rPr>
              <w:t xml:space="preserve"> ifl</w:t>
            </w:r>
            <w:r w:rsidR="00227212" w:rsidRPr="00A23740">
              <w:rPr>
                <w:b w:val="0"/>
                <w:bCs w:val="0"/>
                <w:color w:val="auto"/>
                <w:lang w:val="tr-TR" w:eastAsia="en-US"/>
              </w:rPr>
              <w:t>a</w:t>
            </w:r>
            <w:r w:rsidRPr="00A23740">
              <w:rPr>
                <w:b w:val="0"/>
                <w:bCs w:val="0"/>
                <w:color w:val="auto"/>
                <w:lang w:val="tr-TR" w:eastAsia="en-US"/>
              </w:rPr>
              <w:t>s idaresince derhâl satışı yapılır.</w:t>
            </w:r>
          </w:p>
          <w:p w:rsidR="00AA5C8C" w:rsidRPr="00A23740" w:rsidRDefault="00AA5C8C" w:rsidP="009431FF">
            <w:pPr>
              <w:tabs>
                <w:tab w:val="left" w:pos="567"/>
              </w:tabs>
              <w:rPr>
                <w:szCs w:val="24"/>
              </w:rPr>
            </w:pPr>
          </w:p>
          <w:p w:rsidR="00EB4ABD" w:rsidRDefault="00EB4ABD" w:rsidP="009431FF">
            <w:pPr>
              <w:tabs>
                <w:tab w:val="left" w:pos="567"/>
              </w:tabs>
              <w:rPr>
                <w:szCs w:val="24"/>
              </w:rPr>
            </w:pPr>
          </w:p>
          <w:p w:rsidR="0051419B" w:rsidRPr="00A23740" w:rsidRDefault="0051419B" w:rsidP="009431FF">
            <w:pPr>
              <w:tabs>
                <w:tab w:val="left" w:pos="567"/>
              </w:tabs>
              <w:rPr>
                <w:szCs w:val="24"/>
              </w:rPr>
            </w:pPr>
          </w:p>
          <w:p w:rsidR="00AA5C8C" w:rsidRDefault="00AA5C8C" w:rsidP="009431FF">
            <w:pPr>
              <w:tabs>
                <w:tab w:val="left" w:pos="567"/>
              </w:tabs>
              <w:rPr>
                <w:szCs w:val="24"/>
              </w:rPr>
            </w:pPr>
            <w:r w:rsidRPr="00A23740">
              <w:rPr>
                <w:b/>
                <w:color w:val="0000FF"/>
                <w:szCs w:val="24"/>
              </w:rPr>
              <w:t>(5)</w:t>
            </w:r>
            <w:r w:rsidRPr="00A23740">
              <w:rPr>
                <w:szCs w:val="24"/>
              </w:rPr>
              <w:t xml:space="preserve"> Üzerinde rehin hakkı bulunan mallar</w:t>
            </w:r>
            <w:r w:rsidR="00F805B5" w:rsidRPr="00A23740">
              <w:rPr>
                <w:szCs w:val="24"/>
              </w:rPr>
              <w:t xml:space="preserve"> </w:t>
            </w:r>
            <w:r w:rsidR="00F805B5" w:rsidRPr="00F20491">
              <w:rPr>
                <w:rStyle w:val="MaviChar"/>
              </w:rPr>
              <w:t>295 inci</w:t>
            </w:r>
            <w:r w:rsidRPr="00A23740">
              <w:rPr>
                <w:rStyle w:val="MaviChar"/>
              </w:rPr>
              <w:t xml:space="preserve"> </w:t>
            </w:r>
            <w:r w:rsidRPr="00A23740">
              <w:rPr>
                <w:szCs w:val="24"/>
              </w:rPr>
              <w:t>madde hükmüne tabidir.</w:t>
            </w:r>
          </w:p>
          <w:p w:rsidR="00D74F7C" w:rsidRPr="00A23740" w:rsidRDefault="00D74F7C" w:rsidP="009431FF">
            <w:pPr>
              <w:tabs>
                <w:tab w:val="left" w:pos="567"/>
              </w:tabs>
              <w:rPr>
                <w:szCs w:val="24"/>
              </w:rPr>
            </w:pPr>
          </w:p>
        </w:tc>
      </w:tr>
      <w:tr w:rsidR="0073198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bCs/>
              </w:rPr>
            </w:pPr>
          </w:p>
          <w:p w:rsidR="003011E1" w:rsidRPr="00A23740" w:rsidRDefault="00DA2ED0" w:rsidP="009431FF">
            <w:pPr>
              <w:ind w:firstLine="709"/>
            </w:pPr>
            <w:r w:rsidRPr="00A23740">
              <w:rPr>
                <w:b/>
              </w:rPr>
              <w:t>MADDE 344</w:t>
            </w:r>
            <w:r w:rsidR="003011E1" w:rsidRPr="00A23740">
              <w:rPr>
                <w:b/>
              </w:rPr>
              <w:t>-</w:t>
            </w:r>
            <w:r w:rsidR="003011E1" w:rsidRPr="00A23740">
              <w:t xml:space="preserve"> Maddeyle, masa alacaklarının tahsili ve acele h</w:t>
            </w:r>
            <w:r w:rsidR="009D574E" w:rsidRPr="00A23740">
              <w:t>â</w:t>
            </w:r>
            <w:r w:rsidR="003011E1" w:rsidRPr="00A23740">
              <w:t>llerde satış</w:t>
            </w:r>
            <w:r w:rsidR="001058DA" w:rsidRPr="00A23740">
              <w:t>a</w:t>
            </w:r>
            <w:r w:rsidR="003011E1" w:rsidRPr="00A23740">
              <w:t xml:space="preserve"> ilişkin hususlar düzenlenmektedir. Hüküm, 2004 sayılı Kanunun 229 ve 185 inci maddelerine karşılık gelmektedir. </w:t>
            </w:r>
          </w:p>
          <w:p w:rsidR="00731980" w:rsidRPr="00A23740" w:rsidRDefault="00731980" w:rsidP="009431FF">
            <w:pPr>
              <w:ind w:firstLine="709"/>
            </w:pPr>
            <w:r w:rsidRPr="00A23740">
              <w:t>İflas idaresinin önemli görevlerinden birisi de masanın vadesi gelmiş ve üzerinde uyuşmazlık bulunmayan alacaklarını tahsil etmektir. İflas idaresi bu kapsamda gerekli takipleri ve hatta davaları da açabilecektir. Davaların açılmasının temel kuralı ise</w:t>
            </w:r>
            <w:r w:rsidR="004A414F" w:rsidRPr="00A23740">
              <w:t>,</w:t>
            </w:r>
            <w:r w:rsidRPr="00A23740">
              <w:t xml:space="preserve"> davaya bağlı hakkın zamanaşımına uğrayacak olması gi</w:t>
            </w:r>
            <w:r w:rsidR="003011E1" w:rsidRPr="00A23740">
              <w:t>bi acele bir h</w:t>
            </w:r>
            <w:r w:rsidR="009D574E" w:rsidRPr="00A23740">
              <w:t>â</w:t>
            </w:r>
            <w:r w:rsidR="003011E1" w:rsidRPr="00A23740">
              <w:t xml:space="preserve">lin varlığıdır. </w:t>
            </w:r>
          </w:p>
          <w:p w:rsidR="00731980" w:rsidRPr="00A23740" w:rsidRDefault="00731980" w:rsidP="009431FF">
            <w:pPr>
              <w:ind w:firstLine="709"/>
            </w:pPr>
            <w:r w:rsidRPr="00A23740">
              <w:t>Sadece para alacakları için değil</w:t>
            </w:r>
            <w:r w:rsidR="00CB3E09" w:rsidRPr="0051419B">
              <w:rPr>
                <w:rStyle w:val="Balk1Char"/>
                <w:rFonts w:eastAsia="Calibri"/>
                <w:b w:val="0"/>
                <w:color w:val="000000" w:themeColor="text1"/>
              </w:rPr>
              <w:t>,</w:t>
            </w:r>
            <w:r w:rsidRPr="00A23740">
              <w:t xml:space="preserve"> konusu paradan başka bir şey olan, vadesi gelmiş ve üzerinde uyuşmazlık bulunmayan alacaklar için de iflas idaresinin takip başlatıp, gerektiğinde acele h</w:t>
            </w:r>
            <w:r w:rsidR="009D574E" w:rsidRPr="00A23740">
              <w:t>â</w:t>
            </w:r>
            <w:r w:rsidRPr="00A23740">
              <w:t>llerde dava açabileceği hususu maddenin ik</w:t>
            </w:r>
            <w:r w:rsidR="003011E1" w:rsidRPr="00A23740">
              <w:t>inci fıkrasında düzenlenmiştir.</w:t>
            </w:r>
          </w:p>
          <w:p w:rsidR="00731980" w:rsidRPr="00A23740" w:rsidRDefault="00731980" w:rsidP="009431FF">
            <w:pPr>
              <w:ind w:firstLine="709"/>
            </w:pPr>
            <w:r w:rsidRPr="00A23740">
              <w:t>İflas tasfiyesinde satışlara ilişkin genel kural, bu işlemin ikinci alacaklılar toplantısından sonra gerçekleşmesidir. Fakat bazı h</w:t>
            </w:r>
            <w:r w:rsidR="009D574E" w:rsidRPr="00A23740">
              <w:t>â</w:t>
            </w:r>
            <w:r w:rsidRPr="00A23740">
              <w:t>llerde satış için ikinci alacaklılar toplantısına kadar beklemek masa menfaatine uygun düşmeyebilir. İşte bir an önce satılması masanın menfaati icabı olan mallar iflas idaresi tarafından ikinci alacaklılar toplantısı beklenmeksizin satılabilecektir. Malın kıymetinin düşeceği veya muhafazasının masraflı olacağı h</w:t>
            </w:r>
            <w:r w:rsidR="009D574E" w:rsidRPr="00A23740">
              <w:t>â</w:t>
            </w:r>
            <w:r w:rsidRPr="00A23740">
              <w:t>ller acele satış sebebi olarak üçüncü fıkrada düzenlenmiştir. Yine borsada veya piyasada fiyatı bulunan hisse senetleri veya eşyaların ikinci alacaklılar toplantısı beklenmeksizin iflas idaresi tarafından satılabilmesi bu fıkra gereğince mümkün olacaktır. İflas idaresi bu tür malları ekseriyetle pazarlıkla satış suretiyle paraya çevirecektir. Üzerinde rehin bulunan mallar da rehin alacaklısının muvafakati h</w:t>
            </w:r>
            <w:r w:rsidR="009D574E" w:rsidRPr="00A23740">
              <w:t>â</w:t>
            </w:r>
            <w:r w:rsidRPr="00A23740">
              <w:t>linde bu ma</w:t>
            </w:r>
            <w:r w:rsidR="003011E1" w:rsidRPr="00A23740">
              <w:t>dde gereğince satılabilecektir.</w:t>
            </w:r>
          </w:p>
          <w:p w:rsidR="00731980" w:rsidRPr="00A23740" w:rsidRDefault="00731980" w:rsidP="009431FF">
            <w:pPr>
              <w:ind w:firstLine="709"/>
            </w:pPr>
            <w:r w:rsidRPr="00A23740">
              <w:t xml:space="preserve">Birinci alacaklılar toplantısında masa menfaatine olmaması sebebiyle kapatılıp mühürlenmesine karar verilen bir yerin alacaklılar toplantısında alınan kararla paraya çevrilebileceği ve paraya çevirme yönteminin de yine birinci alacaklılar toplantısında belirleneceği </w:t>
            </w:r>
            <w:r w:rsidR="004A414F" w:rsidRPr="00A23740">
              <w:t xml:space="preserve">hususu </w:t>
            </w:r>
            <w:r w:rsidRPr="00A23740">
              <w:t>dördüncü fıkranın konusu olmuştur. Buna göre</w:t>
            </w:r>
            <w:r w:rsidR="004A414F" w:rsidRPr="00A23740">
              <w:t>,</w:t>
            </w:r>
            <w:r w:rsidRPr="00A23740">
              <w:t xml:space="preserve"> birinci alacaklılar toplantısında alınan kararla</w:t>
            </w:r>
            <w:r w:rsidR="00CB3E09" w:rsidRPr="0051419B">
              <w:rPr>
                <w:rStyle w:val="Balk1Char"/>
                <w:rFonts w:eastAsia="Calibri"/>
                <w:b w:val="0"/>
                <w:color w:val="000000" w:themeColor="text1"/>
              </w:rPr>
              <w:t>,</w:t>
            </w:r>
            <w:r w:rsidRPr="00A23740">
              <w:t xml:space="preserve"> ikinci alacaklılar toplantısını beklemeksizin bu neviden mallar pazarlıkla veya açık artırma yoluyla satılabilecektir. İflas idaresi de alacaklılar toplantısında alınan karar çerçevesi</w:t>
            </w:r>
            <w:r w:rsidR="003011E1" w:rsidRPr="00A23740">
              <w:t>nde satışı gerçekleştirecektir.</w:t>
            </w:r>
          </w:p>
          <w:p w:rsidR="00731980" w:rsidRPr="00A23740" w:rsidRDefault="00731980" w:rsidP="009431FF">
            <w:pPr>
              <w:ind w:firstLine="709"/>
            </w:pPr>
            <w:r w:rsidRPr="00A23740">
              <w:t>Maddenin son fıkrasında ise üzer</w:t>
            </w:r>
            <w:r w:rsidR="003011E1" w:rsidRPr="00A23740">
              <w:t xml:space="preserve">inde rehin bulunan malların </w:t>
            </w:r>
            <w:r w:rsidR="00F805B5" w:rsidRPr="00F20491">
              <w:rPr>
                <w:bCs/>
              </w:rPr>
              <w:t>295 inci</w:t>
            </w:r>
            <w:r w:rsidR="00F805B5" w:rsidRPr="00A23740">
              <w:rPr>
                <w:szCs w:val="24"/>
              </w:rPr>
              <w:t xml:space="preserve"> </w:t>
            </w:r>
            <w:r w:rsidRPr="00A23740">
              <w:t>madde hükmüne tabi olacağı belirtilmektedir. Buna göre</w:t>
            </w:r>
            <w:r w:rsidR="004A414F" w:rsidRPr="00A23740">
              <w:t>,</w:t>
            </w:r>
            <w:r w:rsidRPr="00A23740">
              <w:t xml:space="preserve"> rehinli malların satışı için ikinci alacaklılar toplantısını beklemeye gerek yoktur; bu mallar ikinci alacaklılar toplantısından önce rehin</w:t>
            </w:r>
            <w:r w:rsidR="004A414F" w:rsidRPr="00A23740">
              <w:t>li</w:t>
            </w:r>
            <w:r w:rsidRPr="00A23740">
              <w:t xml:space="preserve"> alacaklı veya iflas idare</w:t>
            </w:r>
            <w:r w:rsidR="00F805B5" w:rsidRPr="00A23740">
              <w:t>si tarafından satılabilecektir.</w:t>
            </w:r>
          </w:p>
          <w:p w:rsidR="00731980" w:rsidRPr="00A23740" w:rsidRDefault="00731980" w:rsidP="009A013D"/>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IV. ALACAKLARIN TAHKİKİ VE SIRALARIN TAYİNİ</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9A013D">
              <w:rPr>
                <w:rStyle w:val="Balk1Char"/>
                <w:rFonts w:eastAsia="Calibri"/>
                <w:color w:val="000000" w:themeColor="text1"/>
              </w:rPr>
              <w:t>İddia edilen alacakların</w:t>
            </w:r>
            <w:r w:rsidRPr="00A23740">
              <w:rPr>
                <w:szCs w:val="24"/>
              </w:rPr>
              <w:t xml:space="preserve"> </w:t>
            </w:r>
            <w:r w:rsidRPr="00A23740">
              <w:rPr>
                <w:b/>
                <w:strike/>
                <w:color w:val="FF0000"/>
                <w:szCs w:val="24"/>
              </w:rPr>
              <w:t>tetkiki:</w:t>
            </w:r>
          </w:p>
          <w:p w:rsidR="00AA5C8C" w:rsidRPr="00A23740" w:rsidRDefault="00AA5C8C" w:rsidP="009431FF">
            <w:pPr>
              <w:tabs>
                <w:tab w:val="left" w:pos="567"/>
              </w:tabs>
              <w:rPr>
                <w:szCs w:val="24"/>
              </w:rPr>
            </w:pPr>
            <w:r w:rsidRPr="00A23740">
              <w:rPr>
                <w:rStyle w:val="KIRMIZIChar"/>
                <w:rFonts w:eastAsia="Calibri"/>
              </w:rPr>
              <w:t>Madde 230 – (1)</w:t>
            </w:r>
            <w:r w:rsidRPr="00A23740">
              <w:rPr>
                <w:b/>
                <w:szCs w:val="24"/>
              </w:rPr>
              <w:t xml:space="preserve"> </w:t>
            </w:r>
            <w:r w:rsidRPr="00A23740">
              <w:rPr>
                <w:szCs w:val="24"/>
              </w:rPr>
              <w:t xml:space="preserve">İdare, alacak ve istihkak iddialarının kaydı için tayin olunan müddet bittikten sonra iddiaları </w:t>
            </w:r>
            <w:r w:rsidRPr="00A23740">
              <w:rPr>
                <w:b/>
                <w:strike/>
                <w:color w:val="FF0000"/>
                <w:szCs w:val="24"/>
              </w:rPr>
              <w:t>tahkik</w:t>
            </w:r>
            <w:r w:rsidRPr="00A23740">
              <w:rPr>
                <w:szCs w:val="24"/>
              </w:rPr>
              <w:t xml:space="preserve"> ve </w:t>
            </w:r>
            <w:r w:rsidRPr="00A23740">
              <w:rPr>
                <w:b/>
                <w:strike/>
                <w:color w:val="FF0000"/>
                <w:szCs w:val="24"/>
              </w:rPr>
              <w:t>tetkik eder</w:t>
            </w:r>
            <w:r w:rsidRPr="00A23740">
              <w:rPr>
                <w:szCs w:val="24"/>
              </w:rPr>
              <w:t xml:space="preserve">. Müflisi bulundurmak mümkünse her iddia hakkında </w:t>
            </w:r>
            <w:r w:rsidRPr="00A23740">
              <w:rPr>
                <w:rStyle w:val="KIRMIZIChar"/>
                <w:rFonts w:eastAsia="Calibri"/>
              </w:rPr>
              <w:t>ne diyeceğini sorar</w:t>
            </w:r>
            <w:r w:rsidRPr="00A23740">
              <w:rPr>
                <w:szCs w:val="24"/>
              </w:rPr>
              <w:t xml:space="preserve"> ve </w:t>
            </w:r>
            <w:r w:rsidRPr="00A23740">
              <w:rPr>
                <w:rStyle w:val="KIRMIZIChar"/>
                <w:rFonts w:eastAsia="Calibri"/>
              </w:rPr>
              <w:t>icabına göre</w:t>
            </w:r>
            <w:r w:rsidRPr="00A23740">
              <w:rPr>
                <w:szCs w:val="24"/>
              </w:rPr>
              <w:t xml:space="preserve"> kabul veya ret kararı verir.</w:t>
            </w:r>
          </w:p>
        </w:tc>
        <w:tc>
          <w:tcPr>
            <w:tcW w:w="2500" w:type="pct"/>
          </w:tcPr>
          <w:p w:rsidR="00AA5C8C" w:rsidRPr="00A23740" w:rsidRDefault="00AA5C8C" w:rsidP="009431FF">
            <w:pPr>
              <w:pStyle w:val="MAV"/>
              <w:jc w:val="center"/>
              <w:rPr>
                <w:u w:val="none"/>
                <w:lang w:val="tr-TR"/>
              </w:rPr>
            </w:pPr>
            <w:r w:rsidRPr="00A23740">
              <w:rPr>
                <w:u w:val="none"/>
                <w:lang w:val="tr-TR"/>
              </w:rPr>
              <w:t>DÖRDÜNCÜ AYRIM</w:t>
            </w:r>
          </w:p>
          <w:p w:rsidR="00AA5C8C" w:rsidRPr="00A23740" w:rsidRDefault="00AA5C8C" w:rsidP="009431FF">
            <w:pPr>
              <w:tabs>
                <w:tab w:val="left" w:pos="567"/>
              </w:tabs>
              <w:jc w:val="center"/>
              <w:rPr>
                <w:b/>
                <w:color w:val="0000FF"/>
                <w:szCs w:val="24"/>
              </w:rPr>
            </w:pPr>
            <w:r w:rsidRPr="00A23740">
              <w:rPr>
                <w:b/>
                <w:color w:val="0000FF"/>
                <w:szCs w:val="24"/>
              </w:rPr>
              <w:t>Alacakların Araştırılması ve Sıraların Tayini</w:t>
            </w:r>
          </w:p>
          <w:p w:rsidR="00AA5C8C" w:rsidRPr="00A23740" w:rsidRDefault="00AA5C8C" w:rsidP="009431FF">
            <w:pPr>
              <w:tabs>
                <w:tab w:val="left" w:pos="567"/>
              </w:tabs>
              <w:jc w:val="center"/>
              <w:rPr>
                <w:b/>
                <w:color w:val="0000FF"/>
                <w:szCs w:val="24"/>
              </w:rPr>
            </w:pPr>
          </w:p>
          <w:p w:rsidR="00AA5C8C" w:rsidRPr="00A23740" w:rsidRDefault="00AA5C8C" w:rsidP="009431FF">
            <w:pPr>
              <w:tabs>
                <w:tab w:val="left" w:pos="567"/>
              </w:tabs>
              <w:rPr>
                <w:b/>
                <w:szCs w:val="24"/>
              </w:rPr>
            </w:pPr>
            <w:r w:rsidRPr="00A23740">
              <w:rPr>
                <w:b/>
                <w:szCs w:val="24"/>
              </w:rPr>
              <w:t xml:space="preserve">İddia edilen alacakların </w:t>
            </w:r>
            <w:r w:rsidRPr="00A23740">
              <w:rPr>
                <w:b/>
                <w:color w:val="0000FF"/>
                <w:szCs w:val="24"/>
              </w:rPr>
              <w:t>incelenmesi</w:t>
            </w:r>
          </w:p>
          <w:p w:rsidR="00AA5C8C" w:rsidRPr="00A23740" w:rsidRDefault="00AA5C8C" w:rsidP="009431FF">
            <w:pPr>
              <w:tabs>
                <w:tab w:val="left" w:pos="567"/>
              </w:tabs>
              <w:rPr>
                <w:szCs w:val="24"/>
              </w:rPr>
            </w:pPr>
            <w:r w:rsidRPr="00A23740">
              <w:rPr>
                <w:rStyle w:val="MaviChar"/>
                <w:lang w:val="tr-TR"/>
              </w:rPr>
              <w:t xml:space="preserve">MADDE </w:t>
            </w:r>
            <w:r w:rsidR="00DA2ED0" w:rsidRPr="00A23740">
              <w:rPr>
                <w:rStyle w:val="MaviChar"/>
              </w:rPr>
              <w:t>345</w:t>
            </w:r>
            <w:r w:rsidRPr="00A23740">
              <w:rPr>
                <w:rStyle w:val="MaviChar"/>
                <w:lang w:val="tr-TR"/>
              </w:rPr>
              <w:t>- (</w:t>
            </w:r>
            <w:r w:rsidRPr="00A23740">
              <w:rPr>
                <w:b/>
                <w:color w:val="0000FF"/>
                <w:szCs w:val="24"/>
              </w:rPr>
              <w:t>1) İflas</w:t>
            </w:r>
            <w:r w:rsidRPr="00A23740">
              <w:rPr>
                <w:b/>
                <w:szCs w:val="24"/>
              </w:rPr>
              <w:t xml:space="preserve"> </w:t>
            </w:r>
            <w:r w:rsidRPr="00A23740">
              <w:rPr>
                <w:szCs w:val="24"/>
              </w:rPr>
              <w:t>idare</w:t>
            </w:r>
            <w:r w:rsidRPr="00A23740">
              <w:rPr>
                <w:b/>
                <w:color w:val="0000FF"/>
                <w:szCs w:val="24"/>
              </w:rPr>
              <w:t>si</w:t>
            </w:r>
            <w:r w:rsidRPr="00A23740">
              <w:rPr>
                <w:szCs w:val="24"/>
              </w:rPr>
              <w:t xml:space="preserve">, alacak ve istihkak iddialarının </w:t>
            </w:r>
            <w:r w:rsidR="00276DA8" w:rsidRPr="00A23740">
              <w:rPr>
                <w:rStyle w:val="Balk1Char"/>
                <w:rFonts w:eastAsia="Calibri"/>
              </w:rPr>
              <w:t>bildirilmesi</w:t>
            </w:r>
            <w:r w:rsidR="00276DA8" w:rsidRPr="00A23740">
              <w:rPr>
                <w:szCs w:val="24"/>
              </w:rPr>
              <w:t xml:space="preserve"> </w:t>
            </w:r>
            <w:r w:rsidRPr="00A23740">
              <w:rPr>
                <w:szCs w:val="24"/>
              </w:rPr>
              <w:t xml:space="preserve">için </w:t>
            </w:r>
            <w:r w:rsidR="00276DA8" w:rsidRPr="00A23740">
              <w:rPr>
                <w:rStyle w:val="Balk1Char"/>
                <w:rFonts w:eastAsia="Calibri"/>
              </w:rPr>
              <w:t>belirlenen</w:t>
            </w:r>
            <w:r w:rsidR="00276DA8" w:rsidRPr="00A23740">
              <w:rPr>
                <w:szCs w:val="24"/>
              </w:rPr>
              <w:t xml:space="preserve"> </w:t>
            </w:r>
            <w:r w:rsidRPr="00A23740">
              <w:rPr>
                <w:szCs w:val="24"/>
              </w:rPr>
              <w:t xml:space="preserve">süre bittikten sonra iddiaları </w:t>
            </w:r>
            <w:r w:rsidRPr="00A23740">
              <w:rPr>
                <w:b/>
                <w:color w:val="0000FF"/>
                <w:szCs w:val="24"/>
              </w:rPr>
              <w:t>araştırır</w:t>
            </w:r>
            <w:r w:rsidRPr="00A23740">
              <w:rPr>
                <w:szCs w:val="24"/>
              </w:rPr>
              <w:t xml:space="preserve"> ve </w:t>
            </w:r>
            <w:r w:rsidRPr="00A23740">
              <w:rPr>
                <w:b/>
                <w:color w:val="0000FF"/>
                <w:szCs w:val="24"/>
              </w:rPr>
              <w:t>inceler</w:t>
            </w:r>
            <w:r w:rsidRPr="00A23740">
              <w:rPr>
                <w:szCs w:val="24"/>
              </w:rPr>
              <w:t>. Müflisi bulundurmak mümkünse</w:t>
            </w:r>
            <w:r w:rsidR="00276DA8" w:rsidRPr="00A23740">
              <w:rPr>
                <w:rStyle w:val="Balk1Char"/>
                <w:rFonts w:eastAsia="Calibri"/>
              </w:rPr>
              <w:t>,</w:t>
            </w:r>
            <w:r w:rsidRPr="00A23740">
              <w:rPr>
                <w:szCs w:val="24"/>
              </w:rPr>
              <w:t xml:space="preserve"> her iddia hakkında </w:t>
            </w:r>
            <w:r w:rsidRPr="00A23740">
              <w:rPr>
                <w:rStyle w:val="Stil2Char"/>
                <w:rFonts w:eastAsia="Calibri"/>
                <w:u w:val="none"/>
              </w:rPr>
              <w:t>beyanını alır</w:t>
            </w:r>
            <w:r w:rsidRPr="00A23740">
              <w:rPr>
                <w:rStyle w:val="Stil1Char"/>
                <w:rFonts w:eastAsia="Calibri"/>
                <w:u w:val="none"/>
              </w:rPr>
              <w:t xml:space="preserve"> </w:t>
            </w:r>
            <w:r w:rsidRPr="00A23740">
              <w:rPr>
                <w:szCs w:val="24"/>
              </w:rPr>
              <w:t xml:space="preserve">ve </w:t>
            </w:r>
            <w:r w:rsidRPr="00A23740">
              <w:rPr>
                <w:rStyle w:val="MAVChar"/>
                <w:rFonts w:eastAsia="Calibri"/>
                <w:u w:val="none"/>
              </w:rPr>
              <w:t>bu beyanla bağlı olmaksızın,</w:t>
            </w:r>
            <w:r w:rsidR="00C06D7F" w:rsidRPr="00A23740">
              <w:rPr>
                <w:rStyle w:val="MAVChar"/>
                <w:rFonts w:eastAsia="Calibri"/>
                <w:u w:val="none"/>
              </w:rPr>
              <w:t xml:space="preserve"> </w:t>
            </w:r>
            <w:r w:rsidR="00C06D7F" w:rsidRPr="00F20491">
              <w:rPr>
                <w:rStyle w:val="MAVChar"/>
                <w:rFonts w:eastAsia="Calibri"/>
                <w:u w:val="none"/>
              </w:rPr>
              <w:t>kendi araştırmalarına göre ve</w:t>
            </w:r>
            <w:r w:rsidRPr="00A23740">
              <w:rPr>
                <w:rStyle w:val="MAVChar"/>
                <w:rFonts w:eastAsia="Calibri"/>
                <w:u w:val="none"/>
              </w:rPr>
              <w:t xml:space="preserve"> gerekçesini de göstererek</w:t>
            </w:r>
            <w:r w:rsidR="00276DA8" w:rsidRPr="00A23740">
              <w:rPr>
                <w:rStyle w:val="MAVChar"/>
                <w:rFonts w:eastAsia="Calibri"/>
                <w:u w:val="none"/>
              </w:rPr>
              <w:t>,</w:t>
            </w:r>
            <w:r w:rsidRPr="00A23740">
              <w:rPr>
                <w:szCs w:val="24"/>
              </w:rPr>
              <w:t xml:space="preserve"> kabul veya ret kararı verir.</w:t>
            </w:r>
          </w:p>
          <w:p w:rsidR="00AA5C8C" w:rsidRPr="00A23740" w:rsidRDefault="00AA5C8C" w:rsidP="009431FF">
            <w:pPr>
              <w:tabs>
                <w:tab w:val="left" w:pos="567"/>
              </w:tabs>
              <w:rPr>
                <w:szCs w:val="24"/>
              </w:rPr>
            </w:pPr>
          </w:p>
        </w:tc>
      </w:tr>
      <w:tr w:rsidR="003011E1"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bCs/>
              </w:rPr>
            </w:pPr>
          </w:p>
          <w:p w:rsidR="003011E1" w:rsidRPr="00A23740" w:rsidRDefault="00DA2ED0" w:rsidP="009431FF">
            <w:pPr>
              <w:ind w:firstLine="709"/>
              <w:rPr>
                <w:szCs w:val="24"/>
              </w:rPr>
            </w:pPr>
            <w:r w:rsidRPr="00A23740">
              <w:rPr>
                <w:b/>
                <w:szCs w:val="24"/>
              </w:rPr>
              <w:t>MADDE 345</w:t>
            </w:r>
            <w:r w:rsidR="003011E1" w:rsidRPr="00A23740">
              <w:rPr>
                <w:b/>
                <w:szCs w:val="24"/>
              </w:rPr>
              <w:t>-</w:t>
            </w:r>
            <w:r w:rsidR="003011E1" w:rsidRPr="00A23740">
              <w:rPr>
                <w:szCs w:val="24"/>
              </w:rPr>
              <w:t xml:space="preserve"> Maddeyle, </w:t>
            </w:r>
            <w:r w:rsidR="002F7F2F" w:rsidRPr="00A23740">
              <w:rPr>
                <w:szCs w:val="24"/>
              </w:rPr>
              <w:t xml:space="preserve">iddia edilen alacakların incelenmesine </w:t>
            </w:r>
            <w:r w:rsidR="003011E1" w:rsidRPr="00A23740">
              <w:rPr>
                <w:szCs w:val="24"/>
              </w:rPr>
              <w:t xml:space="preserve">ilişkin hususlar düzenlenmektedir. Hüküm, 2004 sayılı Kanunun </w:t>
            </w:r>
            <w:r w:rsidR="002F7F2F" w:rsidRPr="00A23740">
              <w:rPr>
                <w:szCs w:val="24"/>
              </w:rPr>
              <w:t xml:space="preserve">230 uncu maddesine </w:t>
            </w:r>
            <w:r w:rsidR="003011E1" w:rsidRPr="00A23740">
              <w:rPr>
                <w:szCs w:val="24"/>
              </w:rPr>
              <w:t xml:space="preserve">karşılık gelmektedir. </w:t>
            </w:r>
          </w:p>
          <w:p w:rsidR="003011E1" w:rsidRPr="00A23740" w:rsidRDefault="002F7F2F" w:rsidP="009431FF">
            <w:pPr>
              <w:ind w:firstLine="709"/>
              <w:rPr>
                <w:szCs w:val="24"/>
              </w:rPr>
            </w:pPr>
            <w:r w:rsidRPr="00A23740">
              <w:rPr>
                <w:szCs w:val="24"/>
              </w:rPr>
              <w:t>Madde</w:t>
            </w:r>
            <w:r w:rsidR="004A414F" w:rsidRPr="00A23740">
              <w:rPr>
                <w:szCs w:val="24"/>
              </w:rPr>
              <w:t>de</w:t>
            </w:r>
            <w:r w:rsidRPr="00A23740">
              <w:rPr>
                <w:szCs w:val="24"/>
              </w:rPr>
              <w:t xml:space="preserve">, iflas idaresinin, alacak ve istihkak iddialarının kaydı için tayin olunan süre bittikten sonra iddiaları araştıracağı ve inceleyeceği düzenlenmektedir. Hükme göre, </w:t>
            </w:r>
            <w:r w:rsidR="004A414F" w:rsidRPr="00A23740">
              <w:rPr>
                <w:szCs w:val="24"/>
              </w:rPr>
              <w:t xml:space="preserve">iflas idaresi </w:t>
            </w:r>
            <w:r w:rsidRPr="00A23740">
              <w:rPr>
                <w:szCs w:val="24"/>
              </w:rPr>
              <w:t xml:space="preserve">müflisin bulundurmak mümkünse her iddia hakkında beyanını alır ve bu beyanla bağlı olmaksızın, </w:t>
            </w:r>
            <w:r w:rsidR="006F56BD" w:rsidRPr="00F20491">
              <w:rPr>
                <w:szCs w:val="24"/>
              </w:rPr>
              <w:t>kendi araştırmalarına göre ve</w:t>
            </w:r>
            <w:r w:rsidR="006F56BD" w:rsidRPr="00A23740">
              <w:rPr>
                <w:szCs w:val="24"/>
              </w:rPr>
              <w:t xml:space="preserve"> </w:t>
            </w:r>
            <w:r w:rsidRPr="00A23740">
              <w:rPr>
                <w:szCs w:val="24"/>
              </w:rPr>
              <w:t>gerekçesini de göstererek kabul veya ret kararı verir.</w:t>
            </w:r>
          </w:p>
          <w:p w:rsidR="003011E1" w:rsidRPr="00A23740" w:rsidRDefault="003011E1" w:rsidP="009A013D"/>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pPr>
            <w:r w:rsidRPr="00A23740">
              <w:rPr>
                <w:szCs w:val="24"/>
              </w:rPr>
              <w:t>Tapu sicil</w:t>
            </w:r>
            <w:r w:rsidRPr="00A23740">
              <w:rPr>
                <w:rStyle w:val="KIRMIZIChar"/>
                <w:rFonts w:eastAsia="Calibri"/>
              </w:rPr>
              <w:t>line</w:t>
            </w:r>
            <w:r w:rsidRPr="00A23740">
              <w:rPr>
                <w:szCs w:val="24"/>
              </w:rPr>
              <w:t xml:space="preserve"> yazılı</w:t>
            </w:r>
            <w:r w:rsidRPr="00A23740">
              <w:t xml:space="preserve"> </w:t>
            </w:r>
            <w:r w:rsidRPr="00A23740">
              <w:rPr>
                <w:rStyle w:val="KIRMIZIChar"/>
                <w:rFonts w:eastAsia="Calibri"/>
              </w:rPr>
              <w:t>alacaklar</w:t>
            </w:r>
            <w:r w:rsidRPr="00A23740">
              <w:rPr>
                <w:rStyle w:val="KIRMIZIChar"/>
                <w:rFonts w:eastAsia="Calibri"/>
                <w:b w:val="0"/>
              </w:rPr>
              <w:t>:</w:t>
            </w:r>
          </w:p>
          <w:p w:rsidR="00AA5C8C" w:rsidRPr="00A23740" w:rsidRDefault="00AA5C8C" w:rsidP="009431FF">
            <w:pPr>
              <w:tabs>
                <w:tab w:val="left" w:pos="567"/>
              </w:tabs>
              <w:rPr>
                <w:szCs w:val="24"/>
              </w:rPr>
            </w:pPr>
            <w:r w:rsidRPr="00A23740">
              <w:rPr>
                <w:rStyle w:val="KIRMIZIChar"/>
                <w:rFonts w:eastAsia="Calibri"/>
              </w:rPr>
              <w:t>Madde 231 –</w:t>
            </w:r>
            <w:r w:rsidRPr="00A23740">
              <w:rPr>
                <w:b/>
                <w:szCs w:val="24"/>
              </w:rPr>
              <w:t xml:space="preserve"> </w:t>
            </w:r>
            <w:r w:rsidRPr="00A23740">
              <w:rPr>
                <w:rStyle w:val="KIRMIZIChar"/>
                <w:rFonts w:eastAsia="Calibri"/>
              </w:rPr>
              <w:t>(1) Tapu</w:t>
            </w:r>
            <w:r w:rsidRPr="00A23740">
              <w:rPr>
                <w:b/>
                <w:strike/>
                <w:color w:val="FF0000"/>
                <w:szCs w:val="24"/>
              </w:rPr>
              <w:t xml:space="preserve"> siciline yazılı olan alacaklar;</w:t>
            </w:r>
            <w:r w:rsidRPr="00A23740">
              <w:rPr>
                <w:szCs w:val="24"/>
              </w:rPr>
              <w:t xml:space="preserve"> kayıt için müracaat edilmemiş </w:t>
            </w:r>
            <w:r w:rsidRPr="00A23740">
              <w:rPr>
                <w:bCs/>
                <w:szCs w:val="24"/>
              </w:rPr>
              <w:t>olsa bile</w:t>
            </w:r>
            <w:r w:rsidRPr="00A23740">
              <w:rPr>
                <w:rStyle w:val="Balk3Char"/>
                <w:rFonts w:eastAsia="Calibri"/>
              </w:rPr>
              <w:t xml:space="preserve"> </w:t>
            </w:r>
            <w:r w:rsidRPr="00A23740">
              <w:rPr>
                <w:szCs w:val="24"/>
              </w:rPr>
              <w:t>işl</w:t>
            </w:r>
            <w:r w:rsidRPr="00A23740">
              <w:rPr>
                <w:rStyle w:val="KIRMIZIChar"/>
                <w:rFonts w:eastAsia="Calibri"/>
              </w:rPr>
              <w:t>i</w:t>
            </w:r>
            <w:r w:rsidRPr="00A23740">
              <w:rPr>
                <w:szCs w:val="24"/>
              </w:rPr>
              <w:t>yen</w:t>
            </w:r>
            <w:r w:rsidRPr="00A23740">
              <w:rPr>
                <w:b/>
                <w:bCs/>
                <w:szCs w:val="24"/>
              </w:rPr>
              <w:t xml:space="preserve"> </w:t>
            </w:r>
            <w:r w:rsidRPr="00A23740">
              <w:rPr>
                <w:szCs w:val="24"/>
              </w:rPr>
              <w:t>faizle kabul olunur</w:t>
            </w:r>
            <w:r w:rsidRPr="00A23740">
              <w:rPr>
                <w:b/>
                <w:strike/>
                <w:color w:val="FF0000"/>
                <w:szCs w:val="24"/>
              </w:rPr>
              <w:t>lar</w:t>
            </w:r>
            <w:r w:rsidRPr="00A23740">
              <w:rPr>
                <w:szCs w:val="24"/>
              </w:rPr>
              <w:t>.</w:t>
            </w:r>
          </w:p>
        </w:tc>
        <w:tc>
          <w:tcPr>
            <w:tcW w:w="2500" w:type="pct"/>
          </w:tcPr>
          <w:p w:rsidR="00AA5C8C" w:rsidRPr="00A23740" w:rsidRDefault="00AA5C8C" w:rsidP="009431FF">
            <w:pPr>
              <w:tabs>
                <w:tab w:val="left" w:pos="567"/>
              </w:tabs>
              <w:rPr>
                <w:b/>
                <w:szCs w:val="24"/>
              </w:rPr>
            </w:pPr>
            <w:r w:rsidRPr="00A23740">
              <w:rPr>
                <w:b/>
                <w:szCs w:val="24"/>
              </w:rPr>
              <w:t>Tapu sicil</w:t>
            </w:r>
            <w:r w:rsidRPr="00A23740">
              <w:rPr>
                <w:rStyle w:val="MaviChar"/>
              </w:rPr>
              <w:t>in</w:t>
            </w:r>
            <w:r w:rsidRPr="00A23740">
              <w:rPr>
                <w:rStyle w:val="Stil2Char"/>
                <w:rFonts w:eastAsia="Calibri"/>
                <w:u w:val="none"/>
              </w:rPr>
              <w:t>d</w:t>
            </w:r>
            <w:r w:rsidRPr="00A23740">
              <w:rPr>
                <w:rStyle w:val="MaviChar"/>
              </w:rPr>
              <w:t>e</w:t>
            </w:r>
            <w:r w:rsidRPr="00A23740">
              <w:rPr>
                <w:b/>
                <w:szCs w:val="24"/>
              </w:rPr>
              <w:t xml:space="preserve"> yazılı </w:t>
            </w:r>
            <w:r w:rsidRPr="00A23740">
              <w:rPr>
                <w:rStyle w:val="Stil2Char"/>
                <w:rFonts w:eastAsia="Calibri"/>
                <w:u w:val="none"/>
              </w:rPr>
              <w:t>haklar</w:t>
            </w:r>
          </w:p>
          <w:p w:rsidR="00AA5C8C" w:rsidRPr="00A23740" w:rsidRDefault="00AA5C8C" w:rsidP="009431FF">
            <w:pPr>
              <w:tabs>
                <w:tab w:val="left" w:pos="567"/>
              </w:tabs>
              <w:rPr>
                <w:szCs w:val="24"/>
              </w:rPr>
            </w:pPr>
            <w:r w:rsidRPr="00A23740">
              <w:rPr>
                <w:rStyle w:val="MaviChar"/>
                <w:lang w:val="tr-TR"/>
              </w:rPr>
              <w:t xml:space="preserve">MADDE </w:t>
            </w:r>
            <w:r w:rsidR="00276DA8" w:rsidRPr="00A23740">
              <w:rPr>
                <w:rStyle w:val="MaviChar"/>
                <w:lang w:val="tr-TR"/>
              </w:rPr>
              <w:t>346</w:t>
            </w:r>
            <w:r w:rsidRPr="00A23740">
              <w:rPr>
                <w:rStyle w:val="MAVChar"/>
                <w:rFonts w:eastAsia="Calibri"/>
                <w:u w:val="none"/>
              </w:rPr>
              <w:t>- (1)</w:t>
            </w:r>
            <w:r w:rsidRPr="00A23740">
              <w:rPr>
                <w:b/>
                <w:color w:val="0000FF"/>
                <w:szCs w:val="24"/>
              </w:rPr>
              <w:t xml:space="preserve"> Müflisin taşınmazları üzerinde tapu sicilinden anlaşılan üçüncü kişilere ait haklar, </w:t>
            </w:r>
            <w:r w:rsidR="0051419B">
              <w:rPr>
                <w:szCs w:val="24"/>
              </w:rPr>
              <w:t xml:space="preserve">kayıt için </w:t>
            </w:r>
            <w:r w:rsidR="00276DA8" w:rsidRPr="00F20491">
              <w:rPr>
                <w:b/>
                <w:bCs/>
                <w:color w:val="0000FF"/>
                <w:szCs w:val="24"/>
              </w:rPr>
              <w:t>başvuruda bulunulmamış</w:t>
            </w:r>
            <w:r w:rsidR="00276DA8" w:rsidRPr="00A23740">
              <w:rPr>
                <w:szCs w:val="24"/>
              </w:rPr>
              <w:t xml:space="preserve"> </w:t>
            </w:r>
            <w:r w:rsidRPr="00A23740">
              <w:rPr>
                <w:szCs w:val="24"/>
              </w:rPr>
              <w:t>olsa bile</w:t>
            </w:r>
            <w:r w:rsidR="00276DA8" w:rsidRPr="00A23740">
              <w:rPr>
                <w:rStyle w:val="Balk1Char"/>
                <w:rFonts w:eastAsia="Calibri"/>
              </w:rPr>
              <w:t>,</w:t>
            </w:r>
            <w:r w:rsidRPr="00A23740">
              <w:rPr>
                <w:szCs w:val="24"/>
              </w:rPr>
              <w:t xml:space="preserve"> </w:t>
            </w:r>
            <w:r w:rsidRPr="00A23740">
              <w:rPr>
                <w:b/>
                <w:color w:val="0000FF"/>
                <w:szCs w:val="24"/>
              </w:rPr>
              <w:t xml:space="preserve">varsa </w:t>
            </w:r>
            <w:r w:rsidRPr="00A23740">
              <w:rPr>
                <w:rStyle w:val="Balk3Char"/>
                <w:rFonts w:eastAsia="Calibri"/>
              </w:rPr>
              <w:t>işl</w:t>
            </w:r>
            <w:r w:rsidRPr="00A23740">
              <w:rPr>
                <w:rStyle w:val="MaviChar"/>
                <w:lang w:val="tr-TR"/>
              </w:rPr>
              <w:t>e</w:t>
            </w:r>
            <w:r w:rsidRPr="00A23740">
              <w:rPr>
                <w:rStyle w:val="Balk3Char"/>
                <w:rFonts w:eastAsia="Calibri"/>
              </w:rPr>
              <w:t>yen faiz</w:t>
            </w:r>
            <w:r w:rsidRPr="00A23740">
              <w:rPr>
                <w:b/>
                <w:color w:val="0000FF"/>
                <w:szCs w:val="24"/>
              </w:rPr>
              <w:t>iy</w:t>
            </w:r>
            <w:r w:rsidRPr="00A23740">
              <w:rPr>
                <w:rStyle w:val="Balk3Char"/>
                <w:rFonts w:eastAsia="Calibri"/>
              </w:rPr>
              <w:t>le</w:t>
            </w:r>
            <w:r w:rsidRPr="00A23740">
              <w:rPr>
                <w:b/>
                <w:color w:val="0000FF"/>
                <w:szCs w:val="24"/>
              </w:rPr>
              <w:t xml:space="preserve"> </w:t>
            </w:r>
            <w:r w:rsidRPr="00A23740">
              <w:rPr>
                <w:rStyle w:val="MaviChar"/>
              </w:rPr>
              <w:t xml:space="preserve">ve </w:t>
            </w:r>
            <w:r w:rsidRPr="00A23740">
              <w:rPr>
                <w:b/>
                <w:color w:val="0000FF"/>
                <w:szCs w:val="24"/>
              </w:rPr>
              <w:t>diğer fer</w:t>
            </w:r>
            <w:r w:rsidR="00F816DE" w:rsidRPr="00A23740">
              <w:rPr>
                <w:b/>
                <w:color w:val="0000FF"/>
                <w:szCs w:val="24"/>
              </w:rPr>
              <w:t>î</w:t>
            </w:r>
            <w:r w:rsidRPr="00A23740">
              <w:rPr>
                <w:b/>
                <w:color w:val="0000FF"/>
                <w:szCs w:val="24"/>
              </w:rPr>
              <w:t xml:space="preserve">leriyle birlikte </w:t>
            </w:r>
            <w:r w:rsidRPr="00A23740">
              <w:rPr>
                <w:rStyle w:val="MaviChar"/>
              </w:rPr>
              <w:t>masaya</w:t>
            </w:r>
            <w:r w:rsidRPr="00A23740">
              <w:rPr>
                <w:b/>
                <w:color w:val="0000FF"/>
                <w:szCs w:val="24"/>
              </w:rPr>
              <w:t xml:space="preserve"> </w:t>
            </w:r>
            <w:r w:rsidRPr="00A23740">
              <w:rPr>
                <w:szCs w:val="24"/>
              </w:rPr>
              <w:t xml:space="preserve">kabul olunur. </w:t>
            </w:r>
          </w:p>
          <w:p w:rsidR="00AA5C8C" w:rsidRPr="00A23740" w:rsidRDefault="00AA5C8C" w:rsidP="009431FF">
            <w:pPr>
              <w:pStyle w:val="KIRMIZI"/>
              <w:rPr>
                <w:lang w:val="tr-TR"/>
              </w:rPr>
            </w:pPr>
          </w:p>
        </w:tc>
      </w:tr>
      <w:tr w:rsidR="003011E1"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bCs/>
              </w:rPr>
            </w:pPr>
          </w:p>
          <w:p w:rsidR="003011E1" w:rsidRPr="00A23740" w:rsidRDefault="003011E1" w:rsidP="009431FF">
            <w:pPr>
              <w:tabs>
                <w:tab w:val="left" w:pos="567"/>
              </w:tabs>
              <w:ind w:firstLine="709"/>
            </w:pPr>
            <w:r w:rsidRPr="00A23740">
              <w:rPr>
                <w:b/>
              </w:rPr>
              <w:t xml:space="preserve">MADDE </w:t>
            </w:r>
            <w:r w:rsidR="00276DA8" w:rsidRPr="00A23740">
              <w:rPr>
                <w:b/>
              </w:rPr>
              <w:t>346</w:t>
            </w:r>
            <w:r w:rsidRPr="00A23740">
              <w:rPr>
                <w:b/>
              </w:rPr>
              <w:t>-</w:t>
            </w:r>
            <w:r w:rsidRPr="00A23740">
              <w:t xml:space="preserve"> Maddeyle, </w:t>
            </w:r>
            <w:r w:rsidR="002F7F2F" w:rsidRPr="00A23740">
              <w:t xml:space="preserve">tapu sicilinde yazılı haklara </w:t>
            </w:r>
            <w:r w:rsidRPr="00A23740">
              <w:t xml:space="preserve">ilişkin hususlar düzenlenmektedir. Hüküm, 2004 sayılı Kanunun </w:t>
            </w:r>
            <w:r w:rsidR="002F7F2F" w:rsidRPr="00A23740">
              <w:t xml:space="preserve">231 inci maddesine </w:t>
            </w:r>
            <w:r w:rsidRPr="00A23740">
              <w:t xml:space="preserve">karşılık gelmektedir. </w:t>
            </w:r>
          </w:p>
          <w:p w:rsidR="003011E1" w:rsidRPr="00A23740" w:rsidRDefault="002F7F2F" w:rsidP="009431FF">
            <w:pPr>
              <w:tabs>
                <w:tab w:val="left" w:pos="567"/>
              </w:tabs>
              <w:ind w:firstLine="709"/>
            </w:pPr>
            <w:r w:rsidRPr="00A23740">
              <w:t>Maddeye göre müflisin taşınmazları üzerinde tapu sicilinden anlaşılan üçüncü kişilere ait haklar, kayıt için</w:t>
            </w:r>
            <w:r w:rsidR="006F56BD" w:rsidRPr="00A23740">
              <w:t xml:space="preserve"> </w:t>
            </w:r>
            <w:r w:rsidR="006F56BD" w:rsidRPr="00F20491">
              <w:rPr>
                <w:bCs/>
              </w:rPr>
              <w:t>başvuruda bulunulmamış</w:t>
            </w:r>
            <w:r w:rsidRPr="00A23740">
              <w:t xml:space="preserve"> olsa </w:t>
            </w:r>
            <w:r w:rsidRPr="00F20491">
              <w:t>bile</w:t>
            </w:r>
            <w:r w:rsidR="00276DA8" w:rsidRPr="00F20491">
              <w:rPr>
                <w:bCs/>
              </w:rPr>
              <w:t>,</w:t>
            </w:r>
            <w:r w:rsidRPr="00F20491">
              <w:t xml:space="preserve"> varsa</w:t>
            </w:r>
            <w:r w:rsidRPr="00A23740">
              <w:t xml:space="preserve"> işleyen faiziyle ve diğer fer</w:t>
            </w:r>
            <w:r w:rsidR="00F816DE" w:rsidRPr="00A23740">
              <w:t>î</w:t>
            </w:r>
            <w:r w:rsidRPr="00A23740">
              <w:t>leriyle birlikte masaya kabul olunur.</w:t>
            </w:r>
          </w:p>
          <w:p w:rsidR="00276DA8" w:rsidRPr="00A23740" w:rsidRDefault="00276DA8" w:rsidP="009A013D"/>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rStyle w:val="KIRMIZIChar"/>
                <w:rFonts w:eastAsia="Calibri"/>
              </w:rPr>
              <w:t>Alacaklılar</w:t>
            </w:r>
            <w:r w:rsidRPr="00A23740">
              <w:rPr>
                <w:b/>
                <w:szCs w:val="24"/>
              </w:rPr>
              <w:t xml:space="preserve"> sıra cetvelinin </w:t>
            </w:r>
            <w:r w:rsidRPr="00A23740">
              <w:rPr>
                <w:rStyle w:val="KIRMIZIChar"/>
                <w:rFonts w:eastAsia="Calibri"/>
              </w:rPr>
              <w:t>müddet</w:t>
            </w:r>
            <w:r w:rsidRPr="00A23740">
              <w:rPr>
                <w:b/>
                <w:szCs w:val="24"/>
              </w:rPr>
              <w:t xml:space="preserve"> ve şekli</w:t>
            </w:r>
            <w:r w:rsidRPr="00A23740">
              <w:rPr>
                <w:rStyle w:val="KIRMIZIChar"/>
                <w:rFonts w:eastAsia="Calibri"/>
              </w:rPr>
              <w:t>:</w:t>
            </w:r>
          </w:p>
          <w:p w:rsidR="00AA5C8C" w:rsidRPr="00A23740" w:rsidRDefault="00AA5C8C" w:rsidP="009431FF">
            <w:pPr>
              <w:pStyle w:val="KIRMIZI"/>
              <w:rPr>
                <w:lang w:val="tr-TR"/>
              </w:rPr>
            </w:pPr>
            <w:r w:rsidRPr="00A23740">
              <w:rPr>
                <w:lang w:val="tr-TR"/>
              </w:rPr>
              <w:t>Madde 232 –</w:t>
            </w:r>
            <w:r w:rsidRPr="00A23740">
              <w:rPr>
                <w:b w:val="0"/>
                <w:lang w:val="tr-TR"/>
              </w:rPr>
              <w:t xml:space="preserve"> </w:t>
            </w:r>
            <w:r w:rsidRPr="00A23740">
              <w:rPr>
                <w:rStyle w:val="KIRMIZIChar"/>
                <w:rFonts w:eastAsia="Calibri"/>
                <w:b/>
                <w:lang w:val="tr-TR"/>
              </w:rPr>
              <w:t>(1)</w:t>
            </w:r>
            <w:r w:rsidRPr="00A23740">
              <w:rPr>
                <w:b w:val="0"/>
                <w:lang w:val="tr-TR"/>
              </w:rPr>
              <w:t xml:space="preserve"> (</w:t>
            </w:r>
            <w:r w:rsidRPr="00A23740">
              <w:rPr>
                <w:lang w:val="tr-TR"/>
              </w:rPr>
              <w:t xml:space="preserve">Değişik: 28/2/2018-7101/10 md.) </w:t>
            </w:r>
          </w:p>
          <w:p w:rsidR="00AA5C8C" w:rsidRPr="00A23740" w:rsidRDefault="00AA5C8C" w:rsidP="009431FF">
            <w:pPr>
              <w:tabs>
                <w:tab w:val="left" w:pos="567"/>
              </w:tabs>
              <w:rPr>
                <w:szCs w:val="24"/>
              </w:rPr>
            </w:pPr>
            <w:r w:rsidRPr="00A23740">
              <w:rPr>
                <w:szCs w:val="24"/>
              </w:rPr>
              <w:t xml:space="preserve">Alacakların kaydı için </w:t>
            </w:r>
            <w:r w:rsidRPr="00A23740">
              <w:rPr>
                <w:rStyle w:val="KIRMIZIChar"/>
                <w:rFonts w:eastAsia="Calibri"/>
              </w:rPr>
              <w:t>muayyen müracaat müddeti</w:t>
            </w:r>
            <w:r w:rsidRPr="00A23740">
              <w:rPr>
                <w:szCs w:val="24"/>
              </w:rPr>
              <w:t xml:space="preserve"> geçtikten sonra ve iflâs idaresinin seçilmesinden itibaren en geç iki ay içinde iflâs idaresi tarafından </w:t>
            </w:r>
            <w:r w:rsidRPr="00A23740">
              <w:rPr>
                <w:rStyle w:val="KIRMIZIChar"/>
                <w:rFonts w:eastAsia="Calibri"/>
              </w:rPr>
              <w:t>206 ncı</w:t>
            </w:r>
            <w:r w:rsidRPr="00A23740">
              <w:rPr>
                <w:szCs w:val="24"/>
              </w:rPr>
              <w:t xml:space="preserve"> ve </w:t>
            </w:r>
            <w:r w:rsidRPr="00A23740">
              <w:rPr>
                <w:rStyle w:val="KIRMIZIChar"/>
                <w:rFonts w:eastAsia="Calibri"/>
              </w:rPr>
              <w:t>207 nci</w:t>
            </w:r>
            <w:r w:rsidRPr="00A23740">
              <w:rPr>
                <w:szCs w:val="24"/>
              </w:rPr>
              <w:t xml:space="preserve"> maddelerde yazılı hükümlere göre alacaklıların sırasını gösteren bir cetvel yapılır ve iflâs dairesine bırakılır. Zorunlu hâllerde iki ayın </w:t>
            </w:r>
            <w:r w:rsidRPr="00A23740">
              <w:rPr>
                <w:rStyle w:val="KIRMIZIChar"/>
                <w:rFonts w:eastAsia="Calibri"/>
              </w:rPr>
              <w:t>hitamından</w:t>
            </w:r>
            <w:r w:rsidRPr="00A23740">
              <w:rPr>
                <w:szCs w:val="24"/>
              </w:rPr>
              <w:t xml:space="preserve"> önce iflâs idaresinin </w:t>
            </w:r>
            <w:r w:rsidRPr="00A23740">
              <w:rPr>
                <w:rStyle w:val="KIRMIZIChar"/>
                <w:rFonts w:eastAsia="Calibri"/>
              </w:rPr>
              <w:t>icra</w:t>
            </w:r>
            <w:r w:rsidRPr="00A23740">
              <w:rPr>
                <w:szCs w:val="24"/>
              </w:rPr>
              <w:t xml:space="preserve"> mahkemesine başvurması hâlinde icra mahkemesi bir defaya mahsus olmak üzere bu süreyi </w:t>
            </w:r>
            <w:r w:rsidR="00CD6043" w:rsidRPr="00A23740">
              <w:rPr>
                <w:szCs w:val="24"/>
              </w:rPr>
              <w:t xml:space="preserve">en çok iki ay daha uzatabilir. </w:t>
            </w:r>
            <w:r w:rsidRPr="00A23740">
              <w:rPr>
                <w:szCs w:val="24"/>
              </w:rPr>
              <w:t xml:space="preserve">Süresi içinde sıra cetvelinin verilmemesi hâlinde iflâs dairesinin durumu </w:t>
            </w:r>
            <w:r w:rsidRPr="00A23740">
              <w:rPr>
                <w:rStyle w:val="KIRMIZIChar"/>
                <w:rFonts w:eastAsia="Calibri"/>
              </w:rPr>
              <w:t>icra</w:t>
            </w:r>
            <w:r w:rsidRPr="00A23740">
              <w:rPr>
                <w:szCs w:val="24"/>
              </w:rPr>
              <w:t xml:space="preserve"> mahkemesine intikal ettirmesi üzerine iflâs idaresi üyelerinin </w:t>
            </w:r>
            <w:r w:rsidRPr="00A23740">
              <w:rPr>
                <w:rStyle w:val="KIRMIZIChar"/>
                <w:rFonts w:eastAsia="Calibri"/>
              </w:rPr>
              <w:t>vazifesine</w:t>
            </w:r>
            <w:r w:rsidRPr="00A23740">
              <w:rPr>
                <w:szCs w:val="24"/>
              </w:rPr>
              <w:t xml:space="preserve"> son verilir ve </w:t>
            </w:r>
            <w:r w:rsidRPr="00A23740">
              <w:rPr>
                <w:rStyle w:val="KIRMIZIChar"/>
                <w:rFonts w:eastAsia="Calibri"/>
              </w:rPr>
              <w:t>sebketmiş</w:t>
            </w:r>
            <w:r w:rsidRPr="00A23740">
              <w:rPr>
                <w:szCs w:val="24"/>
              </w:rPr>
              <w:t xml:space="preserve"> hizmetleri için kendilerine bir ücret tahakkuk ettirilmez. Mahkeme ayrıca bu üyelerin bir yıldan az olmamak ve üç yılı geçmemek kaydıyla herhangi bir iflâs idaresinde görev almalarını yasaklayabilir, bu karar kesindir.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szCs w:val="24"/>
              </w:rPr>
            </w:pPr>
            <w:r w:rsidRPr="00A23740">
              <w:rPr>
                <w:b/>
                <w:szCs w:val="24"/>
              </w:rPr>
              <w:t>Sıra cetvelinin</w:t>
            </w:r>
            <w:r w:rsidRPr="00A23740">
              <w:rPr>
                <w:szCs w:val="24"/>
              </w:rPr>
              <w:t xml:space="preserve"> </w:t>
            </w:r>
            <w:r w:rsidR="00CD6043" w:rsidRPr="00A23740">
              <w:rPr>
                <w:rStyle w:val="Balk1Char"/>
                <w:rFonts w:eastAsia="Calibri"/>
              </w:rPr>
              <w:t>hazırlanma</w:t>
            </w:r>
            <w:r w:rsidR="00CD6043" w:rsidRPr="00A23740">
              <w:rPr>
                <w:szCs w:val="24"/>
              </w:rPr>
              <w:t xml:space="preserve"> </w:t>
            </w:r>
            <w:r w:rsidRPr="00A23740">
              <w:rPr>
                <w:b/>
                <w:color w:val="0000FF"/>
                <w:szCs w:val="24"/>
              </w:rPr>
              <w:t>süresi</w:t>
            </w:r>
            <w:r w:rsidRPr="00A23740">
              <w:rPr>
                <w:szCs w:val="24"/>
              </w:rPr>
              <w:t xml:space="preserve"> </w:t>
            </w:r>
            <w:r w:rsidRPr="00A23740">
              <w:rPr>
                <w:b/>
                <w:szCs w:val="24"/>
              </w:rPr>
              <w:t>ve şekli</w:t>
            </w:r>
          </w:p>
          <w:p w:rsidR="00AA5C8C" w:rsidRPr="00A23740" w:rsidRDefault="00AA5C8C" w:rsidP="009431FF">
            <w:pPr>
              <w:rPr>
                <w:szCs w:val="24"/>
              </w:rPr>
            </w:pPr>
            <w:r w:rsidRPr="00A23740">
              <w:rPr>
                <w:rStyle w:val="MaviChar"/>
                <w:lang w:val="tr-TR"/>
              </w:rPr>
              <w:t xml:space="preserve">MADDE </w:t>
            </w:r>
            <w:r w:rsidR="00276DA8" w:rsidRPr="00A23740">
              <w:rPr>
                <w:rStyle w:val="MaviChar"/>
                <w:lang w:val="tr-TR"/>
              </w:rPr>
              <w:t>347</w:t>
            </w:r>
            <w:r w:rsidRPr="00A23740">
              <w:rPr>
                <w:rStyle w:val="MaviChar"/>
                <w:lang w:val="tr-TR"/>
              </w:rPr>
              <w:t xml:space="preserve">- </w:t>
            </w:r>
            <w:r w:rsidRPr="00A23740">
              <w:rPr>
                <w:rStyle w:val="Stil2Char"/>
                <w:rFonts w:eastAsia="Calibri"/>
                <w:u w:val="none"/>
              </w:rPr>
              <w:t>(1)</w:t>
            </w:r>
            <w:r w:rsidRPr="00A23740">
              <w:rPr>
                <w:szCs w:val="24"/>
              </w:rPr>
              <w:t xml:space="preserve"> Alacakların kaydı için </w:t>
            </w:r>
            <w:r w:rsidRPr="00A23740">
              <w:rPr>
                <w:rStyle w:val="MaviChar"/>
              </w:rPr>
              <w:t>belirlenen başvuru süresi</w:t>
            </w:r>
            <w:r w:rsidRPr="00A23740">
              <w:rPr>
                <w:rStyle w:val="KIRMIZIChar"/>
                <w:rFonts w:eastAsia="Calibri"/>
                <w:strike w:val="0"/>
              </w:rPr>
              <w:t xml:space="preserve"> </w:t>
            </w:r>
            <w:r w:rsidRPr="00A23740">
              <w:rPr>
                <w:szCs w:val="24"/>
              </w:rPr>
              <w:t>geçtikten sonra ve ifl</w:t>
            </w:r>
            <w:r w:rsidR="00087EDE" w:rsidRPr="00A23740">
              <w:rPr>
                <w:szCs w:val="24"/>
              </w:rPr>
              <w:t>a</w:t>
            </w:r>
            <w:r w:rsidRPr="00A23740">
              <w:rPr>
                <w:szCs w:val="24"/>
              </w:rPr>
              <w:t>s idaresinin seçilmesinden itibaren en geç iki ay içinde</w:t>
            </w:r>
            <w:r w:rsidR="00087EDE" w:rsidRPr="00A23740">
              <w:rPr>
                <w:rStyle w:val="Balk1Char"/>
                <w:rFonts w:eastAsia="Calibri"/>
              </w:rPr>
              <w:t>,</w:t>
            </w:r>
            <w:r w:rsidRPr="00A23740">
              <w:rPr>
                <w:szCs w:val="24"/>
              </w:rPr>
              <w:t xml:space="preserve"> ifl</w:t>
            </w:r>
            <w:r w:rsidR="00276DA8" w:rsidRPr="00A23740">
              <w:rPr>
                <w:szCs w:val="24"/>
              </w:rPr>
              <w:t>a</w:t>
            </w:r>
            <w:r w:rsidRPr="00A23740">
              <w:rPr>
                <w:szCs w:val="24"/>
              </w:rPr>
              <w:t>s idaresi tarafından</w:t>
            </w:r>
            <w:r w:rsidR="00F805B5" w:rsidRPr="00A23740">
              <w:rPr>
                <w:szCs w:val="24"/>
              </w:rPr>
              <w:t xml:space="preserve"> </w:t>
            </w:r>
            <w:r w:rsidR="00F805B5" w:rsidRPr="00F20491">
              <w:rPr>
                <w:rStyle w:val="MaviChar"/>
              </w:rPr>
              <w:t>317 nci</w:t>
            </w:r>
            <w:r w:rsidRPr="00A23740">
              <w:rPr>
                <w:szCs w:val="24"/>
              </w:rPr>
              <w:t xml:space="preserve"> ve</w:t>
            </w:r>
            <w:r w:rsidR="00F805B5" w:rsidRPr="00A23740">
              <w:rPr>
                <w:szCs w:val="24"/>
              </w:rPr>
              <w:t xml:space="preserve"> </w:t>
            </w:r>
            <w:r w:rsidR="00F805B5" w:rsidRPr="00F20491">
              <w:rPr>
                <w:rStyle w:val="MaviChar"/>
              </w:rPr>
              <w:t>318 inci</w:t>
            </w:r>
            <w:r w:rsidRPr="00A23740">
              <w:rPr>
                <w:szCs w:val="24"/>
              </w:rPr>
              <w:t xml:space="preserve"> maddelerde yazılı hükümlere göre alacaklıların sırasını gösteren bir cetvel yapılır ve ifl</w:t>
            </w:r>
            <w:r w:rsidR="00087EDE" w:rsidRPr="00A23740">
              <w:rPr>
                <w:szCs w:val="24"/>
              </w:rPr>
              <w:t>a</w:t>
            </w:r>
            <w:r w:rsidRPr="00A23740">
              <w:rPr>
                <w:szCs w:val="24"/>
              </w:rPr>
              <w:t>s dairesine bırakılır. Zorunlu hâllerde</w:t>
            </w:r>
            <w:r w:rsidR="00C06D7F" w:rsidRPr="00F20491">
              <w:rPr>
                <w:rStyle w:val="MaviChar"/>
              </w:rPr>
              <w:t>, iflas idaresinin</w:t>
            </w:r>
            <w:r w:rsidRPr="00A23740">
              <w:rPr>
                <w:szCs w:val="24"/>
              </w:rPr>
              <w:t xml:space="preserve"> iki ayın </w:t>
            </w:r>
            <w:r w:rsidRPr="00A23740">
              <w:rPr>
                <w:rStyle w:val="MaviChar"/>
              </w:rPr>
              <w:t>sona ermesinden</w:t>
            </w:r>
            <w:r w:rsidRPr="00A23740">
              <w:rPr>
                <w:szCs w:val="24"/>
              </w:rPr>
              <w:t xml:space="preserve"> önce </w:t>
            </w:r>
            <w:r w:rsidRPr="00A23740">
              <w:rPr>
                <w:rStyle w:val="Stil2Char"/>
                <w:rFonts w:eastAsia="Calibri"/>
                <w:u w:val="none"/>
              </w:rPr>
              <w:t>iflas</w:t>
            </w:r>
            <w:r w:rsidRPr="00A23740">
              <w:rPr>
                <w:szCs w:val="24"/>
              </w:rPr>
              <w:t xml:space="preserve"> mahkemesine başvurması hâlinde iflas mahkemesi</w:t>
            </w:r>
            <w:r w:rsidR="00C06D7F" w:rsidRPr="00F20491">
              <w:rPr>
                <w:rStyle w:val="MaviChar"/>
              </w:rPr>
              <w:t>,</w:t>
            </w:r>
            <w:r w:rsidRPr="00F20491">
              <w:rPr>
                <w:rStyle w:val="MaviChar"/>
              </w:rPr>
              <w:t xml:space="preserve"> </w:t>
            </w:r>
            <w:r w:rsidRPr="00A23740">
              <w:rPr>
                <w:szCs w:val="24"/>
              </w:rPr>
              <w:t>bir defaya mahsus olmak üzere bu süreyi en çok iki ay daha uzatabilir.</w:t>
            </w:r>
          </w:p>
          <w:p w:rsidR="00AA5C8C" w:rsidRPr="00A23740" w:rsidRDefault="00AA5C8C" w:rsidP="009431FF">
            <w:pPr>
              <w:pStyle w:val="KIRMIZI"/>
              <w:rPr>
                <w:lang w:val="tr-TR"/>
              </w:rPr>
            </w:pPr>
          </w:p>
          <w:p w:rsidR="00AA5C8C" w:rsidRPr="00A23740" w:rsidRDefault="00AA5C8C" w:rsidP="009431FF">
            <w:pPr>
              <w:rPr>
                <w:szCs w:val="24"/>
              </w:rPr>
            </w:pPr>
            <w:r w:rsidRPr="00A23740">
              <w:rPr>
                <w:rStyle w:val="Stil2Char"/>
                <w:rFonts w:eastAsia="Calibri"/>
                <w:u w:val="none"/>
              </w:rPr>
              <w:t>(2)</w:t>
            </w:r>
            <w:r w:rsidRPr="00A23740">
              <w:rPr>
                <w:szCs w:val="24"/>
              </w:rPr>
              <w:t xml:space="preserve"> Süresi içinde sıra cetvelinin verilmemesi hâlinde ifl</w:t>
            </w:r>
            <w:r w:rsidR="00087EDE" w:rsidRPr="00A23740">
              <w:rPr>
                <w:szCs w:val="24"/>
              </w:rPr>
              <w:t>a</w:t>
            </w:r>
            <w:r w:rsidRPr="00A23740">
              <w:rPr>
                <w:szCs w:val="24"/>
              </w:rPr>
              <w:t xml:space="preserve">s dairesinin durumu </w:t>
            </w:r>
            <w:r w:rsidRPr="00A23740">
              <w:rPr>
                <w:rStyle w:val="Stil2Char"/>
                <w:rFonts w:eastAsia="Calibri"/>
                <w:u w:val="none"/>
              </w:rPr>
              <w:t>iflas</w:t>
            </w:r>
            <w:r w:rsidRPr="00A23740">
              <w:rPr>
                <w:szCs w:val="24"/>
              </w:rPr>
              <w:t xml:space="preserve"> mahkemesine </w:t>
            </w:r>
            <w:r w:rsidRPr="00A23740">
              <w:rPr>
                <w:rStyle w:val="MaviChar"/>
              </w:rPr>
              <w:t>bildirmesi</w:t>
            </w:r>
            <w:r w:rsidRPr="00A23740">
              <w:rPr>
                <w:szCs w:val="24"/>
              </w:rPr>
              <w:t xml:space="preserve"> üzerine ifl</w:t>
            </w:r>
            <w:r w:rsidR="00087EDE" w:rsidRPr="00A23740">
              <w:rPr>
                <w:szCs w:val="24"/>
              </w:rPr>
              <w:t>a</w:t>
            </w:r>
            <w:r w:rsidRPr="00A23740">
              <w:rPr>
                <w:szCs w:val="24"/>
              </w:rPr>
              <w:t xml:space="preserve">s idaresi üyelerinin </w:t>
            </w:r>
            <w:r w:rsidRPr="00A23740">
              <w:rPr>
                <w:rStyle w:val="Stil2Char"/>
                <w:rFonts w:eastAsia="Calibri"/>
                <w:u w:val="none"/>
              </w:rPr>
              <w:t>görevine</w:t>
            </w:r>
            <w:r w:rsidRPr="00A23740">
              <w:rPr>
                <w:szCs w:val="24"/>
              </w:rPr>
              <w:t xml:space="preserve"> son verilir ve </w:t>
            </w:r>
            <w:r w:rsidRPr="00A23740">
              <w:rPr>
                <w:rStyle w:val="Stil2Char"/>
                <w:rFonts w:eastAsia="Calibri"/>
                <w:u w:val="none"/>
              </w:rPr>
              <w:t>o zamana kadarki</w:t>
            </w:r>
            <w:r w:rsidRPr="00A23740">
              <w:rPr>
                <w:szCs w:val="24"/>
              </w:rPr>
              <w:t xml:space="preserve"> hizmetleri için kendilerine bir ücret tahakkuk ettirilmez. Mahkeme</w:t>
            </w:r>
            <w:r w:rsidRPr="00A23740">
              <w:rPr>
                <w:rStyle w:val="MaviChar"/>
              </w:rPr>
              <w:t>,</w:t>
            </w:r>
            <w:r w:rsidRPr="00A23740">
              <w:rPr>
                <w:szCs w:val="24"/>
              </w:rPr>
              <w:t xml:space="preserve"> ayrıca bu üyelerin bir yıldan az olmamak ve </w:t>
            </w:r>
            <w:r w:rsidRPr="00A23740">
              <w:rPr>
                <w:rStyle w:val="MAVChar"/>
                <w:rFonts w:eastAsia="Calibri"/>
                <w:u w:val="none"/>
              </w:rPr>
              <w:t>karardan sonra</w:t>
            </w:r>
            <w:r w:rsidRPr="00A23740">
              <w:rPr>
                <w:szCs w:val="24"/>
              </w:rPr>
              <w:t xml:space="preserve"> üç yılı geçmemek kaydıyla herhangi bir ifl</w:t>
            </w:r>
            <w:r w:rsidR="00087EDE" w:rsidRPr="00A23740">
              <w:rPr>
                <w:szCs w:val="24"/>
              </w:rPr>
              <w:t>a</w:t>
            </w:r>
            <w:r w:rsidRPr="00A23740">
              <w:rPr>
                <w:szCs w:val="24"/>
              </w:rPr>
              <w:t xml:space="preserve">s idaresinde </w:t>
            </w:r>
            <w:r w:rsidRPr="00A23740">
              <w:rPr>
                <w:rStyle w:val="Stil2Char"/>
                <w:rFonts w:eastAsia="Calibri"/>
                <w:u w:val="none"/>
              </w:rPr>
              <w:t xml:space="preserve">yeni </w:t>
            </w:r>
            <w:r w:rsidRPr="00A23740">
              <w:rPr>
                <w:szCs w:val="24"/>
              </w:rPr>
              <w:t>görev almalarını yasaklayabilir</w:t>
            </w:r>
            <w:r w:rsidRPr="00A23740">
              <w:rPr>
                <w:rStyle w:val="KIRMIZIChar"/>
                <w:rFonts w:eastAsia="Calibri"/>
              </w:rPr>
              <w:t>,</w:t>
            </w:r>
            <w:r w:rsidR="00087EDE" w:rsidRPr="00A23740">
              <w:rPr>
                <w:rStyle w:val="Balk1Char"/>
                <w:rFonts w:eastAsia="Calibri"/>
              </w:rPr>
              <w:t>;</w:t>
            </w:r>
            <w:r w:rsidRPr="00A23740">
              <w:rPr>
                <w:szCs w:val="24"/>
              </w:rPr>
              <w:t xml:space="preserve"> </w:t>
            </w:r>
            <w:r w:rsidR="00087EDE" w:rsidRPr="00A23740">
              <w:rPr>
                <w:rStyle w:val="Balk1Char"/>
                <w:rFonts w:eastAsia="Calibri"/>
              </w:rPr>
              <w:t>kesin olan</w:t>
            </w:r>
            <w:r w:rsidR="00087EDE" w:rsidRPr="00A23740">
              <w:rPr>
                <w:szCs w:val="24"/>
              </w:rPr>
              <w:t xml:space="preserve"> </w:t>
            </w:r>
            <w:r w:rsidRPr="00A23740">
              <w:rPr>
                <w:szCs w:val="24"/>
              </w:rPr>
              <w:t xml:space="preserve">bu karar </w:t>
            </w:r>
            <w:r w:rsidRPr="00A23740">
              <w:rPr>
                <w:rStyle w:val="MaviChar"/>
              </w:rPr>
              <w:t>bilirkişilik bölge kuruluna bildirilir.</w:t>
            </w:r>
          </w:p>
          <w:p w:rsidR="00AA5C8C" w:rsidRPr="00A23740" w:rsidRDefault="00AA5C8C" w:rsidP="009431FF">
            <w:pPr>
              <w:pStyle w:val="KIRMIZI"/>
              <w:rPr>
                <w:lang w:val="tr-TR"/>
              </w:rPr>
            </w:pPr>
          </w:p>
        </w:tc>
      </w:tr>
      <w:tr w:rsidR="003011E1"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bCs/>
              </w:rPr>
            </w:pPr>
          </w:p>
          <w:p w:rsidR="003011E1" w:rsidRPr="00A23740" w:rsidRDefault="003011E1" w:rsidP="009431FF">
            <w:pPr>
              <w:ind w:firstLine="709"/>
              <w:rPr>
                <w:szCs w:val="24"/>
              </w:rPr>
            </w:pPr>
            <w:r w:rsidRPr="00A23740">
              <w:rPr>
                <w:b/>
              </w:rPr>
              <w:t>M</w:t>
            </w:r>
            <w:r w:rsidR="00087EDE" w:rsidRPr="00A23740">
              <w:rPr>
                <w:b/>
              </w:rPr>
              <w:t>ADDE 347</w:t>
            </w:r>
            <w:r w:rsidRPr="00A23740">
              <w:rPr>
                <w:b/>
              </w:rPr>
              <w:t>-</w:t>
            </w:r>
            <w:r w:rsidRPr="00A23740">
              <w:t xml:space="preserve"> </w:t>
            </w:r>
            <w:r w:rsidRPr="00A23740">
              <w:rPr>
                <w:szCs w:val="24"/>
              </w:rPr>
              <w:t xml:space="preserve">Maddeyle, </w:t>
            </w:r>
            <w:r w:rsidR="001058DA" w:rsidRPr="00A23740">
              <w:rPr>
                <w:szCs w:val="24"/>
              </w:rPr>
              <w:t xml:space="preserve">sıra </w:t>
            </w:r>
            <w:r w:rsidR="002F7F2F" w:rsidRPr="00A23740">
              <w:rPr>
                <w:szCs w:val="24"/>
              </w:rPr>
              <w:t xml:space="preserve">cetvelinin süresi ve şekline </w:t>
            </w:r>
            <w:r w:rsidRPr="00A23740">
              <w:rPr>
                <w:szCs w:val="24"/>
              </w:rPr>
              <w:t xml:space="preserve">ilişkin hususlar düzenlenmektedir. Hüküm, 2004 sayılı Kanunun </w:t>
            </w:r>
            <w:r w:rsidR="002F7F2F" w:rsidRPr="00A23740">
              <w:rPr>
                <w:szCs w:val="24"/>
              </w:rPr>
              <w:t xml:space="preserve">232 nci maddesine </w:t>
            </w:r>
            <w:r w:rsidRPr="00A23740">
              <w:rPr>
                <w:szCs w:val="24"/>
              </w:rPr>
              <w:t xml:space="preserve">karşılık gelmektedir. </w:t>
            </w:r>
          </w:p>
          <w:p w:rsidR="002F7F2F" w:rsidRPr="00A23740" w:rsidRDefault="002F7F2F" w:rsidP="009431FF">
            <w:pPr>
              <w:ind w:firstLine="709"/>
              <w:rPr>
                <w:szCs w:val="24"/>
              </w:rPr>
            </w:pPr>
            <w:r w:rsidRPr="00A23740">
              <w:rPr>
                <w:szCs w:val="24"/>
              </w:rPr>
              <w:t>Birinci fıkrayla, alacakların kaydı için belirlenen başvuru süresinin geçmesinden sonra ve ifl</w:t>
            </w:r>
            <w:r w:rsidR="00087EDE" w:rsidRPr="00A23740">
              <w:rPr>
                <w:szCs w:val="24"/>
              </w:rPr>
              <w:t>a</w:t>
            </w:r>
            <w:r w:rsidRPr="00A23740">
              <w:rPr>
                <w:szCs w:val="24"/>
              </w:rPr>
              <w:t>s idaresinin seçilmesinden itibaren en geç iki ay içinde ifl</w:t>
            </w:r>
            <w:r w:rsidR="00087EDE" w:rsidRPr="00A23740">
              <w:rPr>
                <w:szCs w:val="24"/>
              </w:rPr>
              <w:t>a</w:t>
            </w:r>
            <w:r w:rsidRPr="00A23740">
              <w:rPr>
                <w:szCs w:val="24"/>
              </w:rPr>
              <w:t xml:space="preserve">s idaresi tarafından </w:t>
            </w:r>
            <w:r w:rsidR="00F805B5" w:rsidRPr="00F20491">
              <w:rPr>
                <w:bCs/>
                <w:szCs w:val="24"/>
              </w:rPr>
              <w:t>317 nci</w:t>
            </w:r>
            <w:r w:rsidR="00F805B5" w:rsidRPr="00A23740">
              <w:rPr>
                <w:szCs w:val="24"/>
              </w:rPr>
              <w:t xml:space="preserve"> ve </w:t>
            </w:r>
            <w:r w:rsidR="00F805B5" w:rsidRPr="00F20491">
              <w:rPr>
                <w:bCs/>
                <w:szCs w:val="24"/>
              </w:rPr>
              <w:t>318 inci</w:t>
            </w:r>
            <w:r w:rsidR="00F805B5" w:rsidRPr="00A23740">
              <w:rPr>
                <w:szCs w:val="24"/>
              </w:rPr>
              <w:t xml:space="preserve"> </w:t>
            </w:r>
            <w:r w:rsidRPr="00A23740">
              <w:rPr>
                <w:szCs w:val="24"/>
              </w:rPr>
              <w:t>maddelerde yazılı hükümlere göre alacaklıların sırasını gösteren bir cetvelin yapılacağı ve ifl</w:t>
            </w:r>
            <w:r w:rsidR="00087EDE" w:rsidRPr="00A23740">
              <w:rPr>
                <w:szCs w:val="24"/>
              </w:rPr>
              <w:t>a</w:t>
            </w:r>
            <w:r w:rsidRPr="00A23740">
              <w:rPr>
                <w:szCs w:val="24"/>
              </w:rPr>
              <w:t>s dairesine bırakılacağı hükme bağlanmaktadır. Buna göre, zorunlu hâllerde</w:t>
            </w:r>
            <w:r w:rsidR="006F56BD" w:rsidRPr="00A23740">
              <w:rPr>
                <w:szCs w:val="24"/>
              </w:rPr>
              <w:t xml:space="preserve"> </w:t>
            </w:r>
            <w:r w:rsidR="006F56BD" w:rsidRPr="00F20491">
              <w:rPr>
                <w:szCs w:val="24"/>
              </w:rPr>
              <w:t>iflas idaresinin</w:t>
            </w:r>
            <w:r w:rsidRPr="00A23740">
              <w:rPr>
                <w:szCs w:val="24"/>
              </w:rPr>
              <w:t xml:space="preserve"> iki ayın sona ermesinden önce iflas mahkemesine başvurması hâlinde</w:t>
            </w:r>
            <w:r w:rsidR="004A414F" w:rsidRPr="00A23740">
              <w:rPr>
                <w:szCs w:val="24"/>
              </w:rPr>
              <w:t>,</w:t>
            </w:r>
            <w:r w:rsidRPr="00A23740">
              <w:rPr>
                <w:szCs w:val="24"/>
              </w:rPr>
              <w:t xml:space="preserve"> iflas mahkemesi bir defaya mahsus olmak üzere bu süreyi en çok iki ay daha uzatabilir.</w:t>
            </w:r>
          </w:p>
          <w:p w:rsidR="002F7F2F" w:rsidRPr="00A23740" w:rsidRDefault="002F7F2F" w:rsidP="009431FF">
            <w:pPr>
              <w:ind w:firstLine="709"/>
              <w:rPr>
                <w:szCs w:val="24"/>
              </w:rPr>
            </w:pPr>
            <w:r w:rsidRPr="00A23740">
              <w:rPr>
                <w:szCs w:val="24"/>
              </w:rPr>
              <w:t>İkinci fıkraya göre, süresi içinde sıra cetvelinin verilmemesi hâlinde ifl</w:t>
            </w:r>
            <w:r w:rsidR="00087EDE" w:rsidRPr="00A23740">
              <w:rPr>
                <w:szCs w:val="24"/>
              </w:rPr>
              <w:t>a</w:t>
            </w:r>
            <w:r w:rsidRPr="00A23740">
              <w:rPr>
                <w:szCs w:val="24"/>
              </w:rPr>
              <w:t>s dairesinin durumu iflas mahkemesine bildirmesi üzerine</w:t>
            </w:r>
            <w:r w:rsidR="004A414F" w:rsidRPr="00A23740">
              <w:rPr>
                <w:szCs w:val="24"/>
              </w:rPr>
              <w:t>,</w:t>
            </w:r>
            <w:r w:rsidRPr="00A23740">
              <w:rPr>
                <w:szCs w:val="24"/>
              </w:rPr>
              <w:t xml:space="preserve"> ifl</w:t>
            </w:r>
            <w:r w:rsidR="00087EDE" w:rsidRPr="00A23740">
              <w:rPr>
                <w:szCs w:val="24"/>
              </w:rPr>
              <w:t>a</w:t>
            </w:r>
            <w:r w:rsidRPr="00A23740">
              <w:rPr>
                <w:szCs w:val="24"/>
              </w:rPr>
              <w:t>s idaresi üyelerinin görevine son verilir ve o zamana kadarki hizmetleri için kendilerine bir ücret tahakkuk ettirilmez. Hükümle, mahkemenin ayrıca bu üyelerin bir yıldan az olmamak ve karardan sonra üç yılı geçmemek kaydıyla herhangi bir ifl</w:t>
            </w:r>
            <w:r w:rsidR="00087EDE" w:rsidRPr="00A23740">
              <w:rPr>
                <w:szCs w:val="24"/>
              </w:rPr>
              <w:t>a</w:t>
            </w:r>
            <w:r w:rsidRPr="00A23740">
              <w:rPr>
                <w:szCs w:val="24"/>
              </w:rPr>
              <w:t>s idaresinde yeni görev almalarını yasaklayabileceği ve bu kararın</w:t>
            </w:r>
            <w:r w:rsidR="00087EDE" w:rsidRPr="00A23740">
              <w:rPr>
                <w:szCs w:val="24"/>
              </w:rPr>
              <w:t xml:space="preserve"> kesin olduğu düzenlenmektedir.</w:t>
            </w:r>
          </w:p>
          <w:p w:rsidR="003011E1" w:rsidRPr="00A23740" w:rsidRDefault="003011E1" w:rsidP="009A013D"/>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szCs w:val="24"/>
              </w:rPr>
            </w:pPr>
            <w:r w:rsidRPr="00A23740">
              <w:rPr>
                <w:rStyle w:val="KIRMIZIChar"/>
                <w:rFonts w:eastAsia="Calibri"/>
              </w:rPr>
              <w:t>Reddedilen</w:t>
            </w:r>
            <w:r w:rsidRPr="00A23740">
              <w:rPr>
                <w:szCs w:val="24"/>
              </w:rPr>
              <w:t xml:space="preserve"> </w:t>
            </w:r>
            <w:r w:rsidRPr="00A23740">
              <w:rPr>
                <w:b/>
                <w:szCs w:val="24"/>
              </w:rPr>
              <w:t>alacaklar</w:t>
            </w:r>
            <w:r w:rsidRPr="00A23740">
              <w:rPr>
                <w:b/>
                <w:strike/>
                <w:color w:val="FF0000"/>
                <w:szCs w:val="24"/>
              </w:rPr>
              <w:t>:</w:t>
            </w:r>
          </w:p>
          <w:p w:rsidR="00AA5C8C" w:rsidRPr="00A23740" w:rsidRDefault="00AA5C8C" w:rsidP="009431FF">
            <w:pPr>
              <w:widowControl w:val="0"/>
              <w:tabs>
                <w:tab w:val="left" w:pos="567"/>
              </w:tabs>
              <w:rPr>
                <w:b/>
                <w:strike/>
                <w:color w:val="FF0000"/>
                <w:szCs w:val="24"/>
              </w:rPr>
            </w:pPr>
            <w:r w:rsidRPr="00A23740">
              <w:rPr>
                <w:rStyle w:val="KIRMIZIChar"/>
                <w:rFonts w:eastAsia="Calibri"/>
              </w:rPr>
              <w:t>Madde</w:t>
            </w:r>
            <w:r w:rsidRPr="00A23740">
              <w:rPr>
                <w:b/>
                <w:szCs w:val="24"/>
              </w:rPr>
              <w:t xml:space="preserve"> </w:t>
            </w:r>
            <w:r w:rsidRPr="00A23740">
              <w:rPr>
                <w:rStyle w:val="KIRMIZIChar"/>
                <w:rFonts w:eastAsia="Calibri"/>
              </w:rPr>
              <w:t>233 – (1) (Değişik</w:t>
            </w:r>
            <w:r w:rsidRPr="00A23740">
              <w:rPr>
                <w:b/>
                <w:strike/>
                <w:color w:val="FF0000"/>
                <w:szCs w:val="24"/>
              </w:rPr>
              <w:t>:  9/11/1988 - 3494/48 md.)</w:t>
            </w:r>
          </w:p>
          <w:p w:rsidR="00AA5C8C" w:rsidRPr="00A23740" w:rsidRDefault="00AA5C8C" w:rsidP="009431FF">
            <w:pPr>
              <w:widowControl w:val="0"/>
              <w:tabs>
                <w:tab w:val="left" w:pos="567"/>
              </w:tabs>
              <w:rPr>
                <w:szCs w:val="24"/>
              </w:rPr>
            </w:pPr>
            <w:r w:rsidRPr="00A23740">
              <w:rPr>
                <w:b/>
                <w:strike/>
                <w:color w:val="FF0000"/>
                <w:szCs w:val="24"/>
              </w:rPr>
              <w:t>Sıra cetvelinde kabul edilmeyen alacaklar red sebepleri ile birlikte gösterilir.</w:t>
            </w:r>
            <w:r w:rsidRPr="00A23740">
              <w:rPr>
                <w:szCs w:val="24"/>
              </w:rPr>
              <w:t xml:space="preserve"> </w:t>
            </w:r>
            <w:r w:rsidRPr="00A23740">
              <w:rPr>
                <w:rStyle w:val="KIRMIZIChar"/>
                <w:rFonts w:eastAsia="Calibri"/>
              </w:rPr>
              <w:t>Ancak, iflas idaresi ipotekle temin edilmiş alacakla ilgili olarak bunu doğuran sebep veya ipotek limiti miktarı bakımından red kararı vermeyip, kabul etmediğini ikinci alacaklılar toplantısına bildirir.</w:t>
            </w:r>
            <w:r w:rsidRPr="00A23740">
              <w:rPr>
                <w:rStyle w:val="KIRMIZIChar"/>
                <w:rFonts w:eastAsia="Calibri"/>
                <w:strike w:val="0"/>
              </w:rPr>
              <w:t xml:space="preserve"> </w:t>
            </w:r>
            <w:r w:rsidRPr="00A23740">
              <w:t>İpoteğin iptali veya miktarının</w:t>
            </w:r>
            <w:r w:rsidRPr="00A23740">
              <w:rPr>
                <w:rStyle w:val="KIRMIZIChar"/>
                <w:rFonts w:eastAsia="Calibri"/>
              </w:rPr>
              <w:t xml:space="preserve"> tenzili </w:t>
            </w:r>
            <w:r w:rsidRPr="00A23740">
              <w:t>iddiasını takip hakkı,</w:t>
            </w:r>
            <w:r w:rsidRPr="00A23740">
              <w:rPr>
                <w:rStyle w:val="KIRMIZIChar"/>
                <w:rFonts w:eastAsia="Calibri"/>
              </w:rPr>
              <w:t xml:space="preserve"> isteyen alacaklıya 245 inci madde hükmü çerçevesinde devrolunur.</w:t>
            </w:r>
          </w:p>
          <w:p w:rsidR="00AA5C8C" w:rsidRPr="00A23740" w:rsidRDefault="00070994" w:rsidP="009431FF">
            <w:pPr>
              <w:widowControl w:val="0"/>
              <w:tabs>
                <w:tab w:val="left" w:pos="567"/>
              </w:tabs>
              <w:rPr>
                <w:szCs w:val="24"/>
              </w:rPr>
            </w:pPr>
            <w:r>
              <w:rPr>
                <w:b/>
                <w:color w:val="FF0000"/>
              </w:rPr>
              <w:t>M.233/F1.</w:t>
            </w:r>
            <w:r w:rsidR="00AA5C8C" w:rsidRPr="00A23740">
              <w:rPr>
                <w:b/>
                <w:color w:val="FF0000"/>
              </w:rPr>
              <w:t>C3:</w:t>
            </w:r>
            <w:r w:rsidR="00AA5C8C" w:rsidRPr="00A23740">
              <w:t xml:space="preserve"> İpoteğin iptali veya miktarının</w:t>
            </w:r>
            <w:r w:rsidR="00AA5C8C" w:rsidRPr="00A23740">
              <w:rPr>
                <w:rStyle w:val="KIRMIZIChar"/>
                <w:rFonts w:eastAsia="Calibri"/>
                <w:strike w:val="0"/>
              </w:rPr>
              <w:t xml:space="preserve"> </w:t>
            </w:r>
            <w:r w:rsidR="00AA5C8C" w:rsidRPr="00A23740">
              <w:rPr>
                <w:rStyle w:val="KIRMIZIChar"/>
                <w:rFonts w:eastAsia="Calibri"/>
              </w:rPr>
              <w:t>tenzili</w:t>
            </w:r>
            <w:r w:rsidR="00AA5C8C" w:rsidRPr="00A23740">
              <w:rPr>
                <w:rStyle w:val="KIRMIZIChar"/>
                <w:rFonts w:eastAsia="Calibri"/>
                <w:strike w:val="0"/>
              </w:rPr>
              <w:t xml:space="preserve"> </w:t>
            </w:r>
            <w:r w:rsidR="00AA5C8C" w:rsidRPr="00A23740">
              <w:t>iddiasını takip hakkı,</w:t>
            </w:r>
            <w:r w:rsidR="00AA5C8C" w:rsidRPr="00A23740">
              <w:rPr>
                <w:rStyle w:val="KIRMIZIChar"/>
                <w:rFonts w:eastAsia="Calibri"/>
                <w:strike w:val="0"/>
              </w:rPr>
              <w:t xml:space="preserve"> </w:t>
            </w:r>
            <w:r w:rsidR="00AA5C8C" w:rsidRPr="00A23740">
              <w:rPr>
                <w:rStyle w:val="KIRMIZIChar"/>
                <w:rFonts w:eastAsia="Calibri"/>
              </w:rPr>
              <w:t>isteyen alacaklıya 245 inci madde hükmü çerçevesinde devrolunur.</w:t>
            </w:r>
          </w:p>
          <w:p w:rsidR="00AA5C8C" w:rsidRPr="00A23740" w:rsidRDefault="00AA5C8C" w:rsidP="009431FF">
            <w:pPr>
              <w:widowControl w:val="0"/>
              <w:tabs>
                <w:tab w:val="left" w:pos="567"/>
              </w:tabs>
              <w:rPr>
                <w:b/>
                <w:strike/>
                <w:color w:val="FF0000"/>
                <w:szCs w:val="24"/>
              </w:rPr>
            </w:pPr>
          </w:p>
        </w:tc>
        <w:tc>
          <w:tcPr>
            <w:tcW w:w="2500" w:type="pct"/>
          </w:tcPr>
          <w:p w:rsidR="00AA5C8C" w:rsidRPr="00A23740" w:rsidRDefault="00AA5C8C" w:rsidP="009431FF">
            <w:pPr>
              <w:widowControl w:val="0"/>
              <w:tabs>
                <w:tab w:val="left" w:pos="567"/>
              </w:tabs>
              <w:rPr>
                <w:szCs w:val="24"/>
              </w:rPr>
            </w:pPr>
            <w:r w:rsidRPr="00A23740">
              <w:rPr>
                <w:rStyle w:val="MAVChar"/>
                <w:rFonts w:eastAsia="Calibri"/>
                <w:u w:val="none"/>
              </w:rPr>
              <w:t>İpotekli</w:t>
            </w:r>
            <w:r w:rsidRPr="00A23740">
              <w:rPr>
                <w:b/>
                <w:szCs w:val="24"/>
              </w:rPr>
              <w:t xml:space="preserve"> alacaklar</w:t>
            </w:r>
          </w:p>
          <w:p w:rsidR="00AA5C8C" w:rsidRPr="00A23740" w:rsidRDefault="00AA5C8C" w:rsidP="009431FF">
            <w:pPr>
              <w:widowControl w:val="0"/>
              <w:tabs>
                <w:tab w:val="left" w:pos="567"/>
              </w:tabs>
              <w:rPr>
                <w:rStyle w:val="Stil2Char"/>
                <w:rFonts w:eastAsia="Calibri"/>
                <w:bCs/>
                <w:u w:val="none"/>
              </w:rPr>
            </w:pPr>
            <w:r w:rsidRPr="00A23740">
              <w:rPr>
                <w:rStyle w:val="MaviChar"/>
                <w:lang w:val="tr-TR"/>
              </w:rPr>
              <w:t xml:space="preserve">MADDE </w:t>
            </w:r>
            <w:r w:rsidR="00087EDE" w:rsidRPr="00A23740">
              <w:rPr>
                <w:rStyle w:val="MaviChar"/>
              </w:rPr>
              <w:t>348</w:t>
            </w:r>
            <w:r w:rsidRPr="00A23740">
              <w:rPr>
                <w:rStyle w:val="MaviChar"/>
                <w:lang w:val="tr-TR"/>
              </w:rPr>
              <w:t xml:space="preserve">- (1) İflas idaresi, anapara ipoteği ile teminat altına alınan bir alacak bakımından; </w:t>
            </w:r>
            <w:r w:rsidRPr="00A23740">
              <w:rPr>
                <w:rStyle w:val="Stil2Char"/>
                <w:rFonts w:eastAsia="Calibri"/>
                <w:bCs/>
                <w:u w:val="none"/>
              </w:rPr>
              <w:t xml:space="preserve">üst sınır ipoteğinde ise ipotek limitinin tapuda yazan miktarı yönünden ret kararı veremez. </w:t>
            </w:r>
            <w:r w:rsidRPr="00A23740">
              <w:rPr>
                <w:rStyle w:val="MaviChar"/>
              </w:rPr>
              <w:t>İflas idaresi</w:t>
            </w:r>
            <w:r w:rsidRPr="00A23740">
              <w:rPr>
                <w:rStyle w:val="Stil2Char"/>
                <w:rFonts w:eastAsia="Calibri"/>
                <w:bCs/>
                <w:u w:val="none"/>
                <w:lang w:val="tr-TR"/>
              </w:rPr>
              <w:t xml:space="preserve"> </w:t>
            </w:r>
            <w:r w:rsidRPr="00A23740">
              <w:rPr>
                <w:rStyle w:val="Stil2Char"/>
                <w:rFonts w:eastAsia="Calibri"/>
                <w:bCs/>
                <w:u w:val="none"/>
              </w:rPr>
              <w:t>b</w:t>
            </w:r>
            <w:r w:rsidR="00C46318" w:rsidRPr="00A23740">
              <w:rPr>
                <w:rStyle w:val="Stil2Char"/>
                <w:rFonts w:eastAsia="Calibri"/>
                <w:bCs/>
                <w:u w:val="none"/>
              </w:rPr>
              <w:t xml:space="preserve">u hususta </w:t>
            </w:r>
            <w:r w:rsidRPr="00A23740">
              <w:rPr>
                <w:rStyle w:val="Stil2Char"/>
                <w:rFonts w:eastAsia="Calibri"/>
                <w:bCs/>
                <w:u w:val="none"/>
              </w:rPr>
              <w:t xml:space="preserve">yapacağı </w:t>
            </w:r>
            <w:r w:rsidR="00C46318" w:rsidRPr="00A23740">
              <w:rPr>
                <w:rStyle w:val="Stil2Char"/>
                <w:rFonts w:eastAsia="Calibri"/>
                <w:bCs/>
                <w:u w:val="none"/>
                <w:lang w:val="tr-TR"/>
              </w:rPr>
              <w:t xml:space="preserve">incelemenin sonucunu </w:t>
            </w:r>
            <w:r w:rsidRPr="00A23740">
              <w:rPr>
                <w:rStyle w:val="MaviChar"/>
              </w:rPr>
              <w:t>ikinci</w:t>
            </w:r>
            <w:r w:rsidRPr="00A23740">
              <w:rPr>
                <w:rStyle w:val="Stil2Char"/>
                <w:rFonts w:eastAsia="Calibri"/>
                <w:bCs/>
                <w:u w:val="none"/>
                <w:lang w:val="tr-TR"/>
              </w:rPr>
              <w:t xml:space="preserve"> </w:t>
            </w:r>
            <w:r w:rsidRPr="00A23740">
              <w:rPr>
                <w:rStyle w:val="Stil2Char"/>
                <w:rFonts w:eastAsia="Calibri"/>
                <w:bCs/>
                <w:u w:val="none"/>
              </w:rPr>
              <w:t xml:space="preserve">alacaklılar </w:t>
            </w:r>
            <w:r w:rsidR="00C46318" w:rsidRPr="00A23740">
              <w:rPr>
                <w:rStyle w:val="Stil2Char"/>
                <w:rFonts w:eastAsia="Calibri"/>
                <w:bCs/>
                <w:u w:val="none"/>
                <w:lang w:val="tr-TR"/>
              </w:rPr>
              <w:t xml:space="preserve">toplantısına bildirir. </w:t>
            </w:r>
          </w:p>
          <w:p w:rsidR="00AA5C8C" w:rsidRPr="00A23740" w:rsidRDefault="00AA5C8C" w:rsidP="009431FF">
            <w:pPr>
              <w:widowControl w:val="0"/>
              <w:tabs>
                <w:tab w:val="left" w:pos="567"/>
              </w:tabs>
              <w:rPr>
                <w:rStyle w:val="Stil2Char"/>
                <w:rFonts w:eastAsia="Calibri"/>
                <w:bCs/>
                <w:u w:val="none"/>
              </w:rPr>
            </w:pPr>
          </w:p>
          <w:p w:rsidR="00AA5C8C" w:rsidRDefault="00AA5C8C" w:rsidP="009431FF">
            <w:pPr>
              <w:widowControl w:val="0"/>
              <w:tabs>
                <w:tab w:val="left" w:pos="567"/>
              </w:tabs>
              <w:rPr>
                <w:rStyle w:val="Stil2Char"/>
                <w:rFonts w:eastAsia="Calibri"/>
                <w:bCs/>
                <w:u w:val="none"/>
              </w:rPr>
            </w:pPr>
          </w:p>
          <w:p w:rsidR="0051419B" w:rsidRDefault="0051419B" w:rsidP="009431FF">
            <w:pPr>
              <w:widowControl w:val="0"/>
              <w:tabs>
                <w:tab w:val="left" w:pos="567"/>
              </w:tabs>
              <w:rPr>
                <w:rStyle w:val="Stil2Char"/>
                <w:rFonts w:eastAsia="Calibri"/>
                <w:bCs/>
                <w:u w:val="none"/>
              </w:rPr>
            </w:pPr>
          </w:p>
          <w:p w:rsidR="00AA5C8C" w:rsidRPr="00A23740" w:rsidRDefault="00AA5C8C" w:rsidP="009431FF">
            <w:pPr>
              <w:widowControl w:val="0"/>
              <w:tabs>
                <w:tab w:val="left" w:pos="567"/>
              </w:tabs>
            </w:pPr>
            <w:r w:rsidRPr="00A23740">
              <w:rPr>
                <w:rStyle w:val="Stil2Char"/>
                <w:rFonts w:eastAsia="Calibri"/>
                <w:bCs/>
                <w:u w:val="none"/>
                <w:lang w:val="tr-TR"/>
              </w:rPr>
              <w:t xml:space="preserve">(2) </w:t>
            </w:r>
            <w:r w:rsidRPr="00A23740">
              <w:t>İpoteğin iptali veya miktarının</w:t>
            </w:r>
            <w:r w:rsidRPr="00A23740">
              <w:rPr>
                <w:rStyle w:val="Stil2Char"/>
                <w:rFonts w:eastAsia="Calibri"/>
                <w:bCs/>
                <w:u w:val="none"/>
              </w:rPr>
              <w:t xml:space="preserve"> indirilmesi</w:t>
            </w:r>
            <w:r w:rsidR="00C46318" w:rsidRPr="00A23740">
              <w:rPr>
                <w:rStyle w:val="Stil2Char"/>
                <w:rFonts w:eastAsia="Calibri"/>
                <w:bCs/>
                <w:u w:val="none"/>
                <w:lang w:val="tr-TR"/>
              </w:rPr>
              <w:t>ne ilişkin</w:t>
            </w:r>
            <w:r w:rsidRPr="00A23740">
              <w:rPr>
                <w:rStyle w:val="Stil2Char"/>
                <w:rFonts w:eastAsia="Calibri"/>
                <w:bCs/>
                <w:u w:val="none"/>
              </w:rPr>
              <w:t xml:space="preserve"> </w:t>
            </w:r>
            <w:r w:rsidR="00C46318" w:rsidRPr="00A23740">
              <w:rPr>
                <w:rStyle w:val="Stil2Char"/>
                <w:rFonts w:eastAsia="Calibri"/>
                <w:bCs/>
                <w:u w:val="none"/>
                <w:lang w:val="tr-TR"/>
              </w:rPr>
              <w:t xml:space="preserve">iddiayı </w:t>
            </w:r>
            <w:r w:rsidRPr="00A23740">
              <w:t>takip hakkı,</w:t>
            </w:r>
            <w:r w:rsidRPr="00A23740">
              <w:rPr>
                <w:rStyle w:val="Stil2Char"/>
                <w:rFonts w:eastAsia="Calibri"/>
                <w:bCs/>
                <w:u w:val="none"/>
              </w:rPr>
              <w:t xml:space="preserve"> </w:t>
            </w:r>
            <w:r w:rsidRPr="00A23740">
              <w:rPr>
                <w:rStyle w:val="MaviChar"/>
              </w:rPr>
              <w:t>ikinci alacaklılar toplantısına</w:t>
            </w:r>
            <w:r w:rsidRPr="00A23740">
              <w:rPr>
                <w:rStyle w:val="Stil2Char"/>
                <w:rFonts w:eastAsia="Calibri"/>
                <w:bCs/>
                <w:u w:val="none"/>
                <w:lang w:val="tr-TR"/>
              </w:rPr>
              <w:t xml:space="preserve"> </w:t>
            </w:r>
            <w:r w:rsidRPr="00A23740">
              <w:rPr>
                <w:rStyle w:val="Stil2Char"/>
                <w:rFonts w:eastAsia="Calibri"/>
                <w:bCs/>
                <w:u w:val="none"/>
              </w:rPr>
              <w:t>aittir. Bu</w:t>
            </w:r>
            <w:r w:rsidRPr="00A23740">
              <w:rPr>
                <w:rStyle w:val="MaviChar"/>
                <w:lang w:val="tr-TR"/>
              </w:rPr>
              <w:t xml:space="preserve"> h</w:t>
            </w:r>
            <w:r w:rsidR="00C46318" w:rsidRPr="00A23740">
              <w:rPr>
                <w:rStyle w:val="MaviChar"/>
                <w:lang w:val="tr-TR"/>
              </w:rPr>
              <w:t>â</w:t>
            </w:r>
            <w:r w:rsidRPr="00A23740">
              <w:rPr>
                <w:rStyle w:val="MaviChar"/>
                <w:lang w:val="tr-TR"/>
              </w:rPr>
              <w:t>lde</w:t>
            </w:r>
            <w:r w:rsidR="00F805B5" w:rsidRPr="00A23740">
              <w:rPr>
                <w:rStyle w:val="MaviChar"/>
                <w:lang w:val="tr-TR"/>
              </w:rPr>
              <w:t xml:space="preserve"> </w:t>
            </w:r>
            <w:r w:rsidR="00F805B5" w:rsidRPr="00F20491">
              <w:rPr>
                <w:rStyle w:val="MaviChar"/>
              </w:rPr>
              <w:t>362 nci</w:t>
            </w:r>
            <w:r w:rsidRPr="00A23740">
              <w:rPr>
                <w:rStyle w:val="MaviChar"/>
                <w:lang w:val="tr-TR"/>
              </w:rPr>
              <w:t xml:space="preserve"> madde hükmü saklıdır.</w:t>
            </w:r>
          </w:p>
          <w:p w:rsidR="00AA5C8C" w:rsidRPr="00A23740" w:rsidRDefault="00AA5C8C" w:rsidP="009431FF">
            <w:pPr>
              <w:widowControl w:val="0"/>
              <w:tabs>
                <w:tab w:val="left" w:pos="567"/>
              </w:tabs>
            </w:pPr>
          </w:p>
        </w:tc>
      </w:tr>
      <w:tr w:rsidR="003011E1"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bCs/>
              </w:rPr>
            </w:pPr>
          </w:p>
          <w:p w:rsidR="003011E1" w:rsidRPr="00A23740" w:rsidRDefault="003011E1" w:rsidP="009431FF">
            <w:pPr>
              <w:ind w:firstLine="709"/>
            </w:pPr>
            <w:r w:rsidRPr="00A23740">
              <w:rPr>
                <w:b/>
              </w:rPr>
              <w:t>M</w:t>
            </w:r>
            <w:r w:rsidR="00C46318" w:rsidRPr="00A23740">
              <w:rPr>
                <w:b/>
              </w:rPr>
              <w:t>ADDE 348</w:t>
            </w:r>
            <w:r w:rsidRPr="00A23740">
              <w:rPr>
                <w:b/>
              </w:rPr>
              <w:t>-</w:t>
            </w:r>
            <w:r w:rsidRPr="00A23740">
              <w:t xml:space="preserve"> Maddeyle, </w:t>
            </w:r>
            <w:r w:rsidR="00AC7D4D" w:rsidRPr="00A23740">
              <w:t xml:space="preserve">ipotekli alacaklara </w:t>
            </w:r>
            <w:r w:rsidRPr="00A23740">
              <w:t xml:space="preserve">ilişkin hususlar düzenlenmektedir. Hüküm, 2004 sayılı Kanunun </w:t>
            </w:r>
            <w:r w:rsidR="00AC7D4D" w:rsidRPr="00A23740">
              <w:t xml:space="preserve">233 üncü maddesine </w:t>
            </w:r>
            <w:r w:rsidRPr="00A23740">
              <w:t xml:space="preserve">karşılık gelmektedir. </w:t>
            </w:r>
          </w:p>
          <w:p w:rsidR="00AC7D4D" w:rsidRPr="00A23740" w:rsidRDefault="00AC7D4D" w:rsidP="009431FF">
            <w:pPr>
              <w:ind w:firstLine="709"/>
            </w:pPr>
            <w:r w:rsidRPr="00A23740">
              <w:t>Birinci fıkraya göre iflas idaresi, anapara ipoteği</w:t>
            </w:r>
            <w:r w:rsidR="00A338AB" w:rsidRPr="00A23740">
              <w:t>yle</w:t>
            </w:r>
            <w:r w:rsidRPr="00A23740">
              <w:t xml:space="preserve"> teminat altına alınan bir alacak bakımından; üst sınır ipoteğinde ise ipotek limitinin tapuda yazan miktarı yönünden ret kararı veremez. Hükümle, iflas idaresinin bu</w:t>
            </w:r>
            <w:r w:rsidR="001A6925" w:rsidRPr="00A23740">
              <w:t xml:space="preserve"> </w:t>
            </w:r>
            <w:r w:rsidR="001A6925" w:rsidRPr="00F20491">
              <w:t>hususta</w:t>
            </w:r>
            <w:r w:rsidRPr="00A23740">
              <w:rPr>
                <w:color w:val="385623"/>
              </w:rPr>
              <w:t xml:space="preserve"> </w:t>
            </w:r>
            <w:r w:rsidRPr="00A23740">
              <w:t xml:space="preserve">yapacağı </w:t>
            </w:r>
            <w:r w:rsidR="00A338AB" w:rsidRPr="00A23740">
              <w:t xml:space="preserve"> incelemenin sonucunu </w:t>
            </w:r>
            <w:r w:rsidRPr="00A23740">
              <w:t>ikinci alacaklılar toplantısına</w:t>
            </w:r>
            <w:r w:rsidR="001A6925" w:rsidRPr="00A23740">
              <w:t xml:space="preserve"> </w:t>
            </w:r>
            <w:r w:rsidR="001A6925" w:rsidRPr="00F20491">
              <w:t>bildireceği</w:t>
            </w:r>
            <w:r w:rsidRPr="00A23740">
              <w:t xml:space="preserve"> </w:t>
            </w:r>
            <w:r w:rsidRPr="00F20491">
              <w:t>düzenlenmektedir</w:t>
            </w:r>
            <w:r w:rsidRPr="00A23740">
              <w:t>.</w:t>
            </w:r>
          </w:p>
          <w:p w:rsidR="0051419B" w:rsidRDefault="00AC7D4D" w:rsidP="009431FF">
            <w:pPr>
              <w:ind w:firstLine="709"/>
            </w:pPr>
            <w:r w:rsidRPr="00A23740">
              <w:t>İkinci fıkrayla, ipoteğin iptali veya miktarının indirilmesi iddiasını takip hakkının, ikinci alacaklılar toplantısına ait olduğu hükme bağlanmaktadır. Bu h</w:t>
            </w:r>
            <w:r w:rsidR="00C46318" w:rsidRPr="00A23740">
              <w:t>â</w:t>
            </w:r>
            <w:r w:rsidRPr="00A23740">
              <w:t xml:space="preserve">lde </w:t>
            </w:r>
            <w:r w:rsidR="00F805B5" w:rsidRPr="00F20491">
              <w:rPr>
                <w:bCs/>
              </w:rPr>
              <w:t>362 nci</w:t>
            </w:r>
            <w:r w:rsidR="00F805B5" w:rsidRPr="00A23740">
              <w:rPr>
                <w:rStyle w:val="MaviChar"/>
                <w:lang w:val="tr-TR"/>
              </w:rPr>
              <w:t xml:space="preserve"> </w:t>
            </w:r>
            <w:r w:rsidR="0051419B">
              <w:t>madde hükmü saklıdır.</w:t>
            </w:r>
          </w:p>
          <w:p w:rsidR="003011E1" w:rsidRPr="00A23740" w:rsidRDefault="003011E1" w:rsidP="009A013D"/>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b/>
                <w:strike/>
                <w:color w:val="FF0000"/>
                <w:szCs w:val="24"/>
              </w:rPr>
              <w:t>Alacaklılar</w:t>
            </w:r>
            <w:r w:rsidRPr="00A23740">
              <w:rPr>
                <w:b/>
                <w:color w:val="FF0000"/>
                <w:szCs w:val="24"/>
              </w:rPr>
              <w:t xml:space="preserve"> </w:t>
            </w:r>
            <w:r w:rsidRPr="00A23740">
              <w:t>sıra cetveli</w:t>
            </w:r>
            <w:r w:rsidRPr="00A23740">
              <w:rPr>
                <w:b/>
                <w:strike/>
                <w:color w:val="FF0000"/>
                <w:szCs w:val="24"/>
              </w:rPr>
              <w:t>,</w:t>
            </w:r>
            <w:r w:rsidRPr="00A23740">
              <w:rPr>
                <w:b/>
                <w:color w:val="FF0000"/>
                <w:szCs w:val="24"/>
              </w:rPr>
              <w:t xml:space="preserve"> </w:t>
            </w:r>
            <w:r w:rsidRPr="00A23740">
              <w:t>ilan</w:t>
            </w:r>
            <w:r w:rsidRPr="00A23740">
              <w:rPr>
                <w:b/>
                <w:color w:val="FF0000"/>
                <w:szCs w:val="24"/>
              </w:rPr>
              <w:t xml:space="preserve"> </w:t>
            </w:r>
            <w:r w:rsidRPr="00A23740">
              <w:rPr>
                <w:b/>
                <w:strike/>
                <w:color w:val="FF0000"/>
                <w:szCs w:val="24"/>
              </w:rPr>
              <w:t>ve ihbar:</w:t>
            </w:r>
          </w:p>
          <w:p w:rsidR="00AA5C8C" w:rsidRPr="00A23740" w:rsidRDefault="00AA5C8C" w:rsidP="009431FF">
            <w:pPr>
              <w:tabs>
                <w:tab w:val="left" w:pos="567"/>
              </w:tabs>
              <w:rPr>
                <w:szCs w:val="24"/>
              </w:rPr>
            </w:pPr>
            <w:r w:rsidRPr="00A23740">
              <w:rPr>
                <w:rStyle w:val="KIRMIZIChar"/>
                <w:rFonts w:eastAsia="Calibri"/>
              </w:rPr>
              <w:t>Madde 234 – (1) (Değişik</w:t>
            </w:r>
            <w:r w:rsidRPr="00A23740">
              <w:rPr>
                <w:b/>
                <w:strike/>
                <w:color w:val="FF0000"/>
                <w:szCs w:val="24"/>
              </w:rPr>
              <w:t xml:space="preserve"> birinci fıkra: 6/6/1985 - 3222/29 md.) </w:t>
            </w:r>
            <w:r w:rsidRPr="00A23740">
              <w:rPr>
                <w:szCs w:val="24"/>
              </w:rPr>
              <w:t xml:space="preserve">İflas idaresi sıra  cetvelini iflas dairesine verir ve </w:t>
            </w:r>
            <w:r w:rsidRPr="00A23740">
              <w:rPr>
                <w:rStyle w:val="KIRMIZIChar"/>
                <w:rFonts w:eastAsia="Calibri"/>
              </w:rPr>
              <w:t>alacaklıları</w:t>
            </w:r>
            <w:r w:rsidRPr="00A23740">
              <w:rPr>
                <w:szCs w:val="24"/>
              </w:rPr>
              <w:t xml:space="preserve"> </w:t>
            </w:r>
            <w:r w:rsidRPr="00A23740">
              <w:rPr>
                <w:rStyle w:val="KIRMIZIChar"/>
                <w:rFonts w:eastAsia="Calibri"/>
              </w:rPr>
              <w:t>166 ncı</w:t>
            </w:r>
            <w:r w:rsidRPr="00A23740">
              <w:rPr>
                <w:szCs w:val="24"/>
              </w:rPr>
              <w:t xml:space="preserve"> maddenin </w:t>
            </w:r>
            <w:r w:rsidRPr="00A23740">
              <w:rPr>
                <w:rStyle w:val="KIRMIZIChar"/>
                <w:rFonts w:eastAsia="Calibri"/>
              </w:rPr>
              <w:t>2 nci</w:t>
            </w:r>
            <w:r w:rsidRPr="00A23740">
              <w:rPr>
                <w:szCs w:val="24"/>
              </w:rPr>
              <w:t xml:space="preserve"> fıkrasındaki usule göre ilan </w:t>
            </w:r>
            <w:r w:rsidRPr="00A23740">
              <w:rPr>
                <w:rStyle w:val="KIRMIZIChar"/>
                <w:rFonts w:eastAsia="Calibri"/>
              </w:rPr>
              <w:t>yoluyla haberdar</w:t>
            </w:r>
            <w:r w:rsidRPr="00A23740">
              <w:rPr>
                <w:szCs w:val="24"/>
              </w:rPr>
              <w:t xml:space="preserve"> eder.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(2) İddialarının tamamı veya bir kısmı reddedilen yahut iddia ettikleri sıraya kabul edilmiyen alacaklılara doğrudan doğruya haber verilir.</w:t>
            </w:r>
          </w:p>
          <w:p w:rsidR="00AA5C8C" w:rsidRPr="00A23740" w:rsidRDefault="00AA5C8C" w:rsidP="009431FF">
            <w:pPr>
              <w:tabs>
                <w:tab w:val="left" w:pos="567"/>
              </w:tabs>
              <w:rPr>
                <w:szCs w:val="24"/>
              </w:rPr>
            </w:pPr>
          </w:p>
          <w:p w:rsidR="00AA5C8C" w:rsidRPr="00A23740" w:rsidRDefault="00AA5C8C" w:rsidP="009431FF">
            <w:pPr>
              <w:rPr>
                <w:szCs w:val="24"/>
              </w:rPr>
            </w:pPr>
          </w:p>
        </w:tc>
        <w:tc>
          <w:tcPr>
            <w:tcW w:w="2500" w:type="pct"/>
          </w:tcPr>
          <w:p w:rsidR="00AA5C8C" w:rsidRPr="00A23740" w:rsidRDefault="00AA5C8C" w:rsidP="009431FF">
            <w:pPr>
              <w:tabs>
                <w:tab w:val="left" w:pos="567"/>
              </w:tabs>
              <w:rPr>
                <w:color w:val="0000FF"/>
                <w:szCs w:val="24"/>
              </w:rPr>
            </w:pPr>
            <w:r w:rsidRPr="00A23740">
              <w:rPr>
                <w:b/>
              </w:rPr>
              <w:t>Sıra cetveli</w:t>
            </w:r>
            <w:r w:rsidRPr="00A23740">
              <w:rPr>
                <w:b/>
                <w:color w:val="0000FF"/>
                <w:szCs w:val="24"/>
              </w:rPr>
              <w:t>nin</w:t>
            </w:r>
            <w:r w:rsidRPr="00A23740">
              <w:rPr>
                <w:color w:val="0000FF"/>
                <w:szCs w:val="24"/>
              </w:rPr>
              <w:t xml:space="preserve"> </w:t>
            </w:r>
            <w:r w:rsidRPr="00A23740">
              <w:rPr>
                <w:b/>
              </w:rPr>
              <w:t>ilan</w:t>
            </w:r>
            <w:r w:rsidRPr="00A23740">
              <w:rPr>
                <w:b/>
                <w:color w:val="0000FF"/>
                <w:szCs w:val="24"/>
              </w:rPr>
              <w:t>ı</w:t>
            </w:r>
          </w:p>
          <w:p w:rsidR="00AA5C8C" w:rsidRPr="00A23740" w:rsidRDefault="00AA5C8C" w:rsidP="009431FF">
            <w:pPr>
              <w:tabs>
                <w:tab w:val="left" w:pos="567"/>
              </w:tabs>
              <w:rPr>
                <w:b/>
                <w:color w:val="FF0000"/>
                <w:szCs w:val="24"/>
              </w:rPr>
            </w:pPr>
            <w:r w:rsidRPr="00A23740">
              <w:rPr>
                <w:rStyle w:val="MaviChar"/>
                <w:lang w:val="tr-TR"/>
              </w:rPr>
              <w:t xml:space="preserve">MADDE </w:t>
            </w:r>
            <w:r w:rsidR="00C46318" w:rsidRPr="00A23740">
              <w:rPr>
                <w:rStyle w:val="MaviChar"/>
              </w:rPr>
              <w:t>349</w:t>
            </w:r>
            <w:r w:rsidRPr="00A23740">
              <w:rPr>
                <w:rStyle w:val="MaviChar"/>
                <w:lang w:val="tr-TR"/>
              </w:rPr>
              <w:t xml:space="preserve">- </w:t>
            </w:r>
          </w:p>
          <w:p w:rsidR="00C46318" w:rsidRPr="00A23740" w:rsidRDefault="002E1926" w:rsidP="009431FF">
            <w:pPr>
              <w:tabs>
                <w:tab w:val="left" w:pos="567"/>
              </w:tabs>
              <w:rPr>
                <w:b/>
                <w:color w:val="FF0000"/>
                <w:szCs w:val="24"/>
              </w:rPr>
            </w:pPr>
            <w:r w:rsidRPr="00A23740">
              <w:rPr>
                <w:rStyle w:val="Balk1Char"/>
                <w:rFonts w:eastAsia="Calibri"/>
              </w:rPr>
              <w:t>(1)</w:t>
            </w:r>
            <w:r w:rsidRPr="00A23740">
              <w:rPr>
                <w:rStyle w:val="KIRMIZIChar"/>
                <w:rFonts w:eastAsia="Calibri"/>
                <w:strike w:val="0"/>
              </w:rPr>
              <w:t xml:space="preserve"> </w:t>
            </w:r>
            <w:r w:rsidR="00C46318" w:rsidRPr="00A23740">
              <w:rPr>
                <w:rStyle w:val="Balk1Char"/>
                <w:rFonts w:eastAsia="Calibri"/>
              </w:rPr>
              <w:t>İ</w:t>
            </w:r>
            <w:r w:rsidR="00C46318" w:rsidRPr="00A23740">
              <w:rPr>
                <w:rStyle w:val="MAVChar"/>
                <w:rFonts w:eastAsia="Calibri"/>
                <w:u w:val="none"/>
              </w:rPr>
              <w:t xml:space="preserve">flas dairesi, </w:t>
            </w:r>
            <w:r w:rsidR="00C46318" w:rsidRPr="00A23740">
              <w:rPr>
                <w:rStyle w:val="Balk1Char"/>
                <w:rFonts w:eastAsia="Calibri"/>
              </w:rPr>
              <w:t>347 nci</w:t>
            </w:r>
            <w:r w:rsidR="00C46318" w:rsidRPr="00A23740">
              <w:rPr>
                <w:rStyle w:val="MAVChar"/>
                <w:rFonts w:eastAsia="Calibri"/>
                <w:u w:val="none"/>
              </w:rPr>
              <w:t xml:space="preserve"> madde uyarınca sıra </w:t>
            </w:r>
            <w:r w:rsidR="00C46318" w:rsidRPr="00A23740">
              <w:rPr>
                <w:rStyle w:val="Stil2Char"/>
                <w:rFonts w:eastAsia="Calibri"/>
                <w:u w:val="none"/>
              </w:rPr>
              <w:t xml:space="preserve">cetvelinin </w:t>
            </w:r>
            <w:r w:rsidR="00C46318" w:rsidRPr="00A23740">
              <w:rPr>
                <w:rStyle w:val="Stil2Char"/>
                <w:rFonts w:eastAsia="Calibri"/>
                <w:u w:val="none"/>
                <w:lang w:val="tr-TR"/>
              </w:rPr>
              <w:t xml:space="preserve">iflas idaresi tarafından </w:t>
            </w:r>
            <w:r w:rsidR="00C46318" w:rsidRPr="00A23740">
              <w:rPr>
                <w:rStyle w:val="Stil2Char"/>
                <w:rFonts w:eastAsia="Calibri"/>
                <w:u w:val="none"/>
              </w:rPr>
              <w:t>kendisine bırakıldığını, ilgililerin incelemesine ve suret almasına açık tutulduğunu</w:t>
            </w:r>
            <w:r w:rsidR="00F805B5" w:rsidRPr="00A23740">
              <w:rPr>
                <w:rStyle w:val="Stil2Char"/>
                <w:rFonts w:eastAsia="Calibri"/>
                <w:u w:val="none"/>
                <w:lang w:val="tr-TR"/>
              </w:rPr>
              <w:t xml:space="preserve"> </w:t>
            </w:r>
            <w:r w:rsidR="00F805B5" w:rsidRPr="00F20491">
              <w:rPr>
                <w:rStyle w:val="MaviChar"/>
              </w:rPr>
              <w:t>283 üncü</w:t>
            </w:r>
            <w:r w:rsidR="00C46318" w:rsidRPr="00A23740">
              <w:rPr>
                <w:rStyle w:val="MaviChar"/>
              </w:rPr>
              <w:t xml:space="preserve"> </w:t>
            </w:r>
            <w:r w:rsidR="00C46318" w:rsidRPr="00A23740">
              <w:rPr>
                <w:szCs w:val="24"/>
              </w:rPr>
              <w:t xml:space="preserve">maddenin </w:t>
            </w:r>
            <w:r w:rsidR="00C46318" w:rsidRPr="00A23740">
              <w:rPr>
                <w:rStyle w:val="MaviChar"/>
              </w:rPr>
              <w:t>ikinci</w:t>
            </w:r>
            <w:r w:rsidR="00C46318" w:rsidRPr="00A23740">
              <w:rPr>
                <w:szCs w:val="24"/>
              </w:rPr>
              <w:t xml:space="preserve"> fıkrasındaki usule göre ilan eder. </w:t>
            </w:r>
          </w:p>
          <w:p w:rsidR="00AA5C8C" w:rsidRPr="00A23740" w:rsidRDefault="00AA5C8C" w:rsidP="009431FF">
            <w:pPr>
              <w:tabs>
                <w:tab w:val="left" w:pos="567"/>
              </w:tabs>
              <w:rPr>
                <w:szCs w:val="24"/>
              </w:rPr>
            </w:pPr>
          </w:p>
        </w:tc>
      </w:tr>
      <w:tr w:rsidR="003011E1"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bCs/>
              </w:rPr>
            </w:pPr>
          </w:p>
          <w:p w:rsidR="00BC06BC" w:rsidRPr="00A23740" w:rsidRDefault="003011E1" w:rsidP="009431FF">
            <w:pPr>
              <w:ind w:firstLine="709"/>
            </w:pPr>
            <w:r w:rsidRPr="00A23740">
              <w:rPr>
                <w:b/>
              </w:rPr>
              <w:t>M</w:t>
            </w:r>
            <w:r w:rsidR="00C46318" w:rsidRPr="00A23740">
              <w:rPr>
                <w:b/>
              </w:rPr>
              <w:t>ADDE 349</w:t>
            </w:r>
            <w:r w:rsidRPr="00A23740">
              <w:rPr>
                <w:b/>
              </w:rPr>
              <w:t>-</w:t>
            </w:r>
            <w:r w:rsidRPr="00A23740">
              <w:t xml:space="preserve"> Maddeyle, </w:t>
            </w:r>
            <w:r w:rsidR="00AC7D4D" w:rsidRPr="00A23740">
              <w:t xml:space="preserve">sıra cetvelinin ilanına </w:t>
            </w:r>
            <w:r w:rsidRPr="00A23740">
              <w:t xml:space="preserve">ilişkin hususlar düzenlenmektedir. Hüküm, 2004 sayılı Kanunun </w:t>
            </w:r>
            <w:r w:rsidR="00AC7D4D" w:rsidRPr="00A23740">
              <w:t xml:space="preserve">234 üncü maddesine </w:t>
            </w:r>
            <w:r w:rsidRPr="00A23740">
              <w:t xml:space="preserve">karşılık gelmektedir. </w:t>
            </w:r>
            <w:r w:rsidR="00BC06BC" w:rsidRPr="00A23740">
              <w:t xml:space="preserve">Maddeye göre iflas dairesi sıra cetvelinin kendisine bırakıldığını, ilgililerin incelemesine ve suret almasına açık tutulduğunu </w:t>
            </w:r>
            <w:r w:rsidR="002877C7" w:rsidRPr="00F20491">
              <w:rPr>
                <w:bCs/>
              </w:rPr>
              <w:t>283 üncü</w:t>
            </w:r>
            <w:r w:rsidR="002877C7" w:rsidRPr="00A23740">
              <w:rPr>
                <w:rStyle w:val="MAVChar"/>
                <w:rFonts w:eastAsia="Calibri"/>
                <w:u w:val="none"/>
              </w:rPr>
              <w:t xml:space="preserve"> </w:t>
            </w:r>
            <w:r w:rsidR="00BC06BC" w:rsidRPr="00A23740">
              <w:t>maddenin ikinci fıkrasındaki usule göre ilan eder.</w:t>
            </w:r>
          </w:p>
          <w:p w:rsidR="004B0876" w:rsidRPr="009A013D" w:rsidRDefault="004E29C2" w:rsidP="009431FF">
            <w:pPr>
              <w:pStyle w:val="Mavi"/>
              <w:rPr>
                <w:b w:val="0"/>
                <w:bCs w:val="0"/>
                <w:color w:val="auto"/>
                <w:szCs w:val="22"/>
                <w:lang w:val="tr-TR" w:eastAsia="en-US"/>
              </w:rPr>
            </w:pPr>
            <w:r w:rsidRPr="00A23740">
              <w:tab/>
            </w:r>
            <w:r w:rsidR="00BC06BC" w:rsidRPr="00F20491">
              <w:rPr>
                <w:b w:val="0"/>
                <w:bCs w:val="0"/>
                <w:color w:val="auto"/>
                <w:szCs w:val="22"/>
                <w:lang w:val="tr-TR" w:eastAsia="en-US"/>
              </w:rPr>
              <w:t>2004 sayılı Kanunun 234 üncü maddesinin ikinci fıkrasında yer alan</w:t>
            </w:r>
            <w:r w:rsidR="00A338AB" w:rsidRPr="00F20491">
              <w:rPr>
                <w:b w:val="0"/>
                <w:bCs w:val="0"/>
                <w:color w:val="auto"/>
                <w:szCs w:val="22"/>
                <w:lang w:val="tr-TR" w:eastAsia="en-US"/>
              </w:rPr>
              <w:t xml:space="preserve"> ve</w:t>
            </w:r>
            <w:r w:rsidR="00BC06BC" w:rsidRPr="00F20491">
              <w:rPr>
                <w:b w:val="0"/>
                <w:bCs w:val="0"/>
                <w:color w:val="auto"/>
                <w:szCs w:val="22"/>
                <w:lang w:val="tr-TR" w:eastAsia="en-US"/>
              </w:rPr>
              <w:t xml:space="preserve"> alacakları kısmen veya tamamen reddedilen alacaklılara doğrudan doğruya haber vermeye ilişkin olan </w:t>
            </w:r>
            <w:r w:rsidRPr="00F20491">
              <w:rPr>
                <w:b w:val="0"/>
                <w:bCs w:val="0"/>
                <w:color w:val="auto"/>
                <w:szCs w:val="22"/>
                <w:lang w:val="tr-TR" w:eastAsia="en-US"/>
              </w:rPr>
              <w:t>düzenleme Taslağa alınmamıştır. Söz konusu hükümde geçen “haber verilme” ifadesinin sıra cetveline itiraz bakımından süreyi başlatan bir etkiye sahip olmaması nedeniyle uygulamada işlevinin bulunmadığı; buna karşılık Taslağın 340 ıncı</w:t>
            </w:r>
            <w:r w:rsidR="002877C7" w:rsidRPr="00A23740">
              <w:rPr>
                <w:lang w:val="tr-TR"/>
              </w:rPr>
              <w:t xml:space="preserve"> </w:t>
            </w:r>
            <w:r w:rsidRPr="00F20491">
              <w:rPr>
                <w:b w:val="0"/>
                <w:bCs w:val="0"/>
                <w:color w:val="auto"/>
                <w:szCs w:val="22"/>
                <w:lang w:val="tr-TR" w:eastAsia="en-US"/>
              </w:rPr>
              <w:t>maddesinin üçüncü fıkrasında “İflas masasına alacaklı olarak başvuran alacaklılar, tebligata elverişli adres göstermek ve Adalet Bakanlığınca çıkarılacak tarifede gösterilecek yazı ve tebliğ giderleri için avans vermek suretiyle, iflas idaresince alınacak kararların kendilerine tebliğini isteyebilirler. Bu işlemi yaptıran alacaklılar yönünden başvuru süreleri, kararın kendilerine tebliği tarihinden itibaren işlemeye başlar.” şeklindeki düzenlemenin söz konusu alacaklılar bakımından daha güvenceli bir mekanizma içerdiği kabul edilmiştir.</w:t>
            </w:r>
          </w:p>
          <w:p w:rsidR="00CC19B0" w:rsidRPr="00A23740" w:rsidRDefault="00CC19B0" w:rsidP="009431FF">
            <w:pPr>
              <w:pStyle w:val="MAV"/>
              <w:rPr>
                <w:u w:val="none"/>
                <w:lang w:val="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Sıra cetveline itiraz ve </w:t>
            </w:r>
            <w:r w:rsidRPr="00A23740">
              <w:rPr>
                <w:b/>
                <w:strike/>
                <w:color w:val="FF0000"/>
                <w:szCs w:val="24"/>
              </w:rPr>
              <w:t>neticeleri:</w:t>
            </w:r>
          </w:p>
          <w:p w:rsidR="00AA5C8C" w:rsidRPr="00A23740" w:rsidRDefault="00AA5C8C" w:rsidP="009431FF">
            <w:pPr>
              <w:tabs>
                <w:tab w:val="left" w:pos="567"/>
              </w:tabs>
              <w:rPr>
                <w:b/>
                <w:strike/>
                <w:color w:val="FF0000"/>
                <w:szCs w:val="24"/>
              </w:rPr>
            </w:pPr>
            <w:r w:rsidRPr="00A23740">
              <w:rPr>
                <w:rStyle w:val="KIRMIZIChar"/>
                <w:rFonts w:eastAsia="Calibri"/>
              </w:rPr>
              <w:t>Madde 235 – (1) (Değişik</w:t>
            </w:r>
            <w:r w:rsidRPr="00A23740">
              <w:rPr>
                <w:b/>
                <w:strike/>
                <w:color w:val="FF0000"/>
                <w:szCs w:val="24"/>
              </w:rPr>
              <w:t>: 18/2/1965 - 538/97 md.)</w:t>
            </w:r>
          </w:p>
          <w:p w:rsidR="00AA5C8C" w:rsidRPr="00A23740" w:rsidRDefault="00AA5C8C" w:rsidP="009431FF">
            <w:pPr>
              <w:tabs>
                <w:tab w:val="left" w:pos="567"/>
              </w:tabs>
              <w:rPr>
                <w:szCs w:val="24"/>
              </w:rPr>
            </w:pPr>
            <w:r w:rsidRPr="00A23740">
              <w:rPr>
                <w:b/>
                <w:strike/>
                <w:color w:val="FF0000"/>
                <w:szCs w:val="24"/>
              </w:rPr>
              <w:t>(Değişik: 9/11/1988 - 3494/49 md.)</w:t>
            </w:r>
            <w:r w:rsidRPr="00A23740">
              <w:rPr>
                <w:b/>
                <w:color w:val="FF0000"/>
                <w:szCs w:val="24"/>
              </w:rPr>
              <w:t xml:space="preserve"> </w:t>
            </w:r>
            <w:r w:rsidRPr="00A23740">
              <w:rPr>
                <w:szCs w:val="24"/>
              </w:rPr>
              <w:t xml:space="preserve">Sıra cetveline itiraz edenler, cetvelin ilanından itibaren </w:t>
            </w:r>
            <w:r w:rsidRPr="00A23740">
              <w:rPr>
                <w:b/>
                <w:strike/>
                <w:color w:val="FF0000"/>
                <w:szCs w:val="24"/>
              </w:rPr>
              <w:t>onbeş gün</w:t>
            </w:r>
            <w:r w:rsidRPr="00A23740">
              <w:rPr>
                <w:b/>
                <w:color w:val="FF0000"/>
                <w:szCs w:val="24"/>
              </w:rPr>
              <w:t xml:space="preserve"> </w:t>
            </w:r>
            <w:r w:rsidRPr="00A23740">
              <w:rPr>
                <w:szCs w:val="24"/>
              </w:rPr>
              <w:t xml:space="preserve">içinde iflasa karar verilen yerdeki </w:t>
            </w:r>
            <w:r w:rsidRPr="00A23740">
              <w:rPr>
                <w:b/>
                <w:strike/>
                <w:color w:val="FF0000"/>
                <w:szCs w:val="24"/>
              </w:rPr>
              <w:t>ticaret</w:t>
            </w:r>
            <w:r w:rsidRPr="00A23740">
              <w:rPr>
                <w:szCs w:val="24"/>
              </w:rPr>
              <w:t xml:space="preserve"> mahkemesine dava açma</w:t>
            </w:r>
            <w:r w:rsidRPr="00A23740">
              <w:rPr>
                <w:rStyle w:val="KIRMIZIChar"/>
                <w:rFonts w:eastAsia="Calibri"/>
              </w:rPr>
              <w:t>ya mecburdurlar</w:t>
            </w:r>
            <w:r w:rsidRPr="00A23740">
              <w:rPr>
                <w:szCs w:val="24"/>
              </w:rPr>
              <w:t xml:space="preserve">. </w:t>
            </w:r>
            <w:r w:rsidRPr="00A23740">
              <w:rPr>
                <w:rStyle w:val="KIRMIZIChar"/>
                <w:rFonts w:eastAsia="Calibri"/>
              </w:rPr>
              <w:t>223 üncü</w:t>
            </w:r>
            <w:r w:rsidRPr="00A23740">
              <w:rPr>
                <w:szCs w:val="24"/>
              </w:rPr>
              <w:t xml:space="preserve"> maddenin üçüncü fıkrası hükmü </w:t>
            </w:r>
            <w:r w:rsidRPr="00A23740">
              <w:rPr>
                <w:b/>
                <w:strike/>
                <w:color w:val="FF0000"/>
                <w:szCs w:val="24"/>
              </w:rPr>
              <w:t>mahfuzdur.</w:t>
            </w:r>
            <w:r w:rsidRPr="00A23740">
              <w:rPr>
                <w:szCs w:val="24"/>
              </w:rPr>
              <w:t xml:space="preserve"> Bu davaya bakan mahkeme, davacının </w:t>
            </w:r>
            <w:r w:rsidRPr="00A23740">
              <w:rPr>
                <w:rStyle w:val="KIRMIZIChar"/>
                <w:rFonts w:eastAsia="Calibri"/>
              </w:rPr>
              <w:t>isteği</w:t>
            </w:r>
            <w:r w:rsidRPr="00A23740">
              <w:rPr>
                <w:szCs w:val="24"/>
              </w:rPr>
              <w:t xml:space="preserve"> halinde ikinci alacaklılar </w:t>
            </w:r>
            <w:r w:rsidRPr="00A23740">
              <w:rPr>
                <w:rStyle w:val="KIRMIZIChar"/>
                <w:rFonts w:eastAsia="Calibri"/>
              </w:rPr>
              <w:t>toplantısına</w:t>
            </w:r>
            <w:r w:rsidRPr="00A23740">
              <w:rPr>
                <w:szCs w:val="24"/>
              </w:rPr>
              <w:t xml:space="preserve"> katılıp </w:t>
            </w:r>
            <w:r w:rsidRPr="00A23740">
              <w:rPr>
                <w:rStyle w:val="KIRMIZIChar"/>
                <w:rFonts w:eastAsia="Calibri"/>
              </w:rPr>
              <w:t>katılmaması</w:t>
            </w:r>
            <w:r w:rsidRPr="00A23740">
              <w:rPr>
                <w:szCs w:val="24"/>
              </w:rPr>
              <w:t xml:space="preserve"> ve </w:t>
            </w:r>
            <w:r w:rsidRPr="00A23740">
              <w:rPr>
                <w:rStyle w:val="KIRMIZIChar"/>
                <w:rFonts w:eastAsia="Calibri"/>
              </w:rPr>
              <w:t>ne nisbette katılması gerektiği</w:t>
            </w:r>
            <w:r w:rsidRPr="00A23740">
              <w:rPr>
                <w:szCs w:val="24"/>
              </w:rPr>
              <w:t xml:space="preserve"> konusunda </w:t>
            </w:r>
            <w:r w:rsidRPr="00A23740">
              <w:rPr>
                <w:rStyle w:val="KIRMIZIChar"/>
                <w:rFonts w:eastAsia="Calibri"/>
              </w:rPr>
              <w:t>302 nci</w:t>
            </w:r>
            <w:r w:rsidRPr="00A23740">
              <w:rPr>
                <w:szCs w:val="24"/>
              </w:rPr>
              <w:t xml:space="preserve"> maddenin </w:t>
            </w:r>
            <w:r w:rsidRPr="00A23740">
              <w:rPr>
                <w:rStyle w:val="KIRMIZIChar"/>
                <w:rFonts w:eastAsia="Calibri"/>
              </w:rPr>
              <w:t>altıncı fıkrasına kıyasen onbeş gün zarfında</w:t>
            </w:r>
            <w:r w:rsidRPr="00A23740">
              <w:rPr>
                <w:szCs w:val="24"/>
              </w:rPr>
              <w:t xml:space="preserve"> karar verir.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br w:type="page"/>
            </w:r>
            <w:r w:rsidRPr="00A23740">
              <w:rPr>
                <w:rStyle w:val="KIRMIZIChar"/>
                <w:rFonts w:eastAsia="Calibri"/>
              </w:rPr>
              <w:t>(2) İtiraz</w:t>
            </w:r>
            <w:r w:rsidRPr="00A23740">
              <w:rPr>
                <w:b/>
                <w:strike/>
                <w:color w:val="FF0000"/>
                <w:szCs w:val="24"/>
              </w:rPr>
              <w:t xml:space="preserve"> eden, talebinin haksız olarak ret veya tenzil edildiğini iddia ederse dava masaya karşı açılır. Muteriz başkasının kabul edilen alacağına veya ona verilen sıraya itiraz ediyorsa davasını o alacaklı aleyhine açar.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rStyle w:val="KIRMIZIChar"/>
                <w:rFonts w:eastAsia="Calibri"/>
              </w:rPr>
            </w:pPr>
            <w:r w:rsidRPr="00A23740">
              <w:rPr>
                <w:rStyle w:val="KIRMIZIChar"/>
                <w:rFonts w:eastAsia="Calibri"/>
              </w:rPr>
              <w:t>(3)</w:t>
            </w:r>
            <w:r w:rsidRPr="00A23740">
              <w:rPr>
                <w:szCs w:val="24"/>
              </w:rPr>
              <w:t xml:space="preserve"> Bir alacağın terkini hakkında açılan dava </w:t>
            </w:r>
            <w:r w:rsidRPr="00A23740">
              <w:rPr>
                <w:b/>
                <w:strike/>
                <w:color w:val="FF0000"/>
                <w:szCs w:val="24"/>
              </w:rPr>
              <w:t>kazanılırsa</w:t>
            </w:r>
            <w:r w:rsidRPr="00A23740">
              <w:rPr>
                <w:szCs w:val="24"/>
              </w:rPr>
              <w:t xml:space="preserve">, bu alacağa tahsis edilen hisse </w:t>
            </w:r>
            <w:r w:rsidRPr="00A23740">
              <w:rPr>
                <w:b/>
                <w:strike/>
                <w:color w:val="FF0000"/>
                <w:szCs w:val="24"/>
              </w:rPr>
              <w:t>dava masrafları da</w:t>
            </w:r>
            <w:r w:rsidRPr="00A23740">
              <w:rPr>
                <w:szCs w:val="24"/>
              </w:rPr>
              <w:t xml:space="preserve"> d</w:t>
            </w:r>
            <w:r w:rsidRPr="00A23740">
              <w:rPr>
                <w:rStyle w:val="KIRMIZIChar"/>
                <w:rFonts w:eastAsia="Calibri"/>
              </w:rPr>
              <w:t>a</w:t>
            </w:r>
            <w:r w:rsidRPr="00A23740">
              <w:rPr>
                <w:szCs w:val="24"/>
              </w:rPr>
              <w:t xml:space="preserve">hil </w:t>
            </w:r>
            <w:r w:rsidRPr="00A23740">
              <w:rPr>
                <w:b/>
                <w:strike/>
                <w:color w:val="FF0000"/>
                <w:szCs w:val="24"/>
              </w:rPr>
              <w:t>olduğu halde</w:t>
            </w:r>
            <w:r w:rsidRPr="00A23740">
              <w:rPr>
                <w:szCs w:val="24"/>
              </w:rPr>
              <w:t xml:space="preserve"> sıraya bakılmaksızın alacağı </w:t>
            </w:r>
            <w:r w:rsidRPr="00A23740">
              <w:rPr>
                <w:b/>
                <w:strike/>
                <w:color w:val="FF0000"/>
                <w:szCs w:val="24"/>
              </w:rPr>
              <w:t>nisbetinde</w:t>
            </w:r>
            <w:r w:rsidRPr="00A23740">
              <w:rPr>
                <w:szCs w:val="24"/>
              </w:rPr>
              <w:t xml:space="preserve"> itiraz eden</w:t>
            </w:r>
            <w:r w:rsidRPr="00A23740">
              <w:rPr>
                <w:rStyle w:val="KIRMIZIChar"/>
                <w:rFonts w:eastAsia="Calibri"/>
              </w:rPr>
              <w:t>e</w:t>
            </w:r>
            <w:r w:rsidRPr="00A23740">
              <w:rPr>
                <w:szCs w:val="24"/>
              </w:rPr>
              <w:t xml:space="preserve"> verilir ve artanı da diğer alacaklılara sıra cetveline göre dağıtılır. </w:t>
            </w:r>
            <w:r w:rsidRPr="00A23740">
              <w:rPr>
                <w:rStyle w:val="KIRMIZIChar"/>
                <w:rFonts w:eastAsia="Calibri"/>
              </w:rPr>
              <w:t>Dava basit yargılama usulü ile görülür.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(4) Ancak, itiraz alacağın esas veya miktarına taallük etmeyip yalnız sıraya dair ise şikayet yoliyle icra mahkemesine arz olunur.</w:t>
            </w:r>
          </w:p>
          <w:p w:rsidR="00AA5C8C" w:rsidRPr="00A23740" w:rsidRDefault="00070994" w:rsidP="009431FF">
            <w:pPr>
              <w:tabs>
                <w:tab w:val="left" w:pos="567"/>
              </w:tabs>
              <w:rPr>
                <w:szCs w:val="24"/>
              </w:rPr>
            </w:pPr>
            <w:r>
              <w:rPr>
                <w:rStyle w:val="KIRMIZIChar"/>
                <w:rFonts w:eastAsia="Calibri"/>
                <w:strike w:val="0"/>
              </w:rPr>
              <w:t>M.235/F3.</w:t>
            </w:r>
            <w:r w:rsidR="00AA5C8C" w:rsidRPr="00A23740">
              <w:rPr>
                <w:rStyle w:val="KIRMIZIChar"/>
                <w:rFonts w:eastAsia="Calibri"/>
                <w:strike w:val="0"/>
              </w:rPr>
              <w:t>C2:</w:t>
            </w:r>
            <w:r w:rsidR="00AA5C8C" w:rsidRPr="00A23740">
              <w:rPr>
                <w:rStyle w:val="KIRMIZIChar"/>
                <w:rFonts w:eastAsia="Calibri"/>
              </w:rPr>
              <w:t xml:space="preserve"> Dava</w:t>
            </w:r>
            <w:r w:rsidR="00AA5C8C" w:rsidRPr="00A23740">
              <w:rPr>
                <w:szCs w:val="24"/>
              </w:rPr>
              <w:t xml:space="preserve"> basit yargılama usulü ile görülür.</w:t>
            </w:r>
          </w:p>
        </w:tc>
        <w:tc>
          <w:tcPr>
            <w:tcW w:w="2500" w:type="pct"/>
          </w:tcPr>
          <w:p w:rsidR="00AA5C8C" w:rsidRPr="00A23740" w:rsidRDefault="00AA5C8C" w:rsidP="009431FF">
            <w:pPr>
              <w:tabs>
                <w:tab w:val="left" w:pos="567"/>
              </w:tabs>
              <w:rPr>
                <w:b/>
                <w:szCs w:val="24"/>
              </w:rPr>
            </w:pPr>
            <w:r w:rsidRPr="00A23740">
              <w:rPr>
                <w:b/>
                <w:szCs w:val="24"/>
              </w:rPr>
              <w:t xml:space="preserve">Sıra cetveline itiraz </w:t>
            </w:r>
            <w:r w:rsidRPr="00A23740">
              <w:rPr>
                <w:b/>
                <w:color w:val="0000FF"/>
                <w:szCs w:val="24"/>
              </w:rPr>
              <w:t>davası</w:t>
            </w:r>
            <w:r w:rsidRPr="00A23740">
              <w:rPr>
                <w:b/>
                <w:szCs w:val="24"/>
              </w:rPr>
              <w:t xml:space="preserve"> </w:t>
            </w:r>
            <w:r w:rsidRPr="00A23740">
              <w:rPr>
                <w:rStyle w:val="MaviChar"/>
              </w:rPr>
              <w:t>ve şik</w:t>
            </w:r>
            <w:r w:rsidR="004E29C2" w:rsidRPr="00A23740">
              <w:rPr>
                <w:rStyle w:val="MaviChar"/>
                <w:lang w:val="tr-TR"/>
              </w:rPr>
              <w:t>â</w:t>
            </w:r>
            <w:r w:rsidRPr="00A23740">
              <w:rPr>
                <w:rStyle w:val="MaviChar"/>
              </w:rPr>
              <w:t>yet</w:t>
            </w:r>
            <w:r w:rsidRPr="00A23740">
              <w:rPr>
                <w:b/>
                <w:szCs w:val="24"/>
              </w:rPr>
              <w:t xml:space="preserve"> </w:t>
            </w:r>
          </w:p>
          <w:p w:rsidR="00AA5C8C" w:rsidRPr="00A23740" w:rsidRDefault="00AA5C8C" w:rsidP="009431FF">
            <w:pPr>
              <w:tabs>
                <w:tab w:val="left" w:pos="567"/>
              </w:tabs>
              <w:rPr>
                <w:szCs w:val="24"/>
              </w:rPr>
            </w:pPr>
            <w:r w:rsidRPr="00A23740">
              <w:rPr>
                <w:rStyle w:val="MaviChar"/>
                <w:lang w:val="tr-TR"/>
              </w:rPr>
              <w:t xml:space="preserve">MADDE </w:t>
            </w:r>
            <w:r w:rsidR="004E29C2" w:rsidRPr="00A23740">
              <w:rPr>
                <w:rStyle w:val="MaviChar"/>
              </w:rPr>
              <w:t>350</w:t>
            </w:r>
            <w:r w:rsidRPr="00A23740">
              <w:rPr>
                <w:rStyle w:val="MaviChar"/>
                <w:lang w:val="tr-TR"/>
              </w:rPr>
              <w:t>- (</w:t>
            </w:r>
            <w:r w:rsidRPr="00A23740">
              <w:rPr>
                <w:b/>
                <w:color w:val="0000FF"/>
                <w:szCs w:val="24"/>
              </w:rPr>
              <w:t>1)</w:t>
            </w:r>
            <w:r w:rsidRPr="00A23740">
              <w:rPr>
                <w:b/>
                <w:szCs w:val="24"/>
              </w:rPr>
              <w:t xml:space="preserve"> </w:t>
            </w:r>
            <w:r w:rsidRPr="00A23740">
              <w:rPr>
                <w:szCs w:val="24"/>
              </w:rPr>
              <w:t xml:space="preserve">Sıra cetveline itiraz edenler, </w:t>
            </w:r>
            <w:r w:rsidR="00D51EFD" w:rsidRPr="00A23740">
              <w:rPr>
                <w:rStyle w:val="Balk1Char"/>
                <w:rFonts w:eastAsia="Calibri"/>
              </w:rPr>
              <w:t>sıra cetvelinin ilanına ilişkin</w:t>
            </w:r>
            <w:r w:rsidR="00D51EFD" w:rsidRPr="00A23740">
              <w:rPr>
                <w:szCs w:val="24"/>
              </w:rPr>
              <w:t xml:space="preserve"> </w:t>
            </w:r>
            <w:r w:rsidR="00D51EFD" w:rsidRPr="00A23740">
              <w:rPr>
                <w:rStyle w:val="Balk1Char"/>
                <w:rFonts w:eastAsia="Calibri"/>
              </w:rPr>
              <w:t>349 uncu</w:t>
            </w:r>
            <w:r w:rsidRPr="00A23740">
              <w:rPr>
                <w:rStyle w:val="AralkYokChar"/>
                <w:strike w:val="0"/>
                <w:lang w:val="tr-TR"/>
              </w:rPr>
              <w:t xml:space="preserve"> </w:t>
            </w:r>
            <w:r w:rsidRPr="00A23740">
              <w:rPr>
                <w:rStyle w:val="MaviChar"/>
              </w:rPr>
              <w:t>maddeye göre yapılan ilandan</w:t>
            </w:r>
            <w:r w:rsidRPr="00A23740">
              <w:rPr>
                <w:rStyle w:val="YELChar"/>
              </w:rPr>
              <w:t xml:space="preserve"> </w:t>
            </w:r>
            <w:r w:rsidRPr="00A23740">
              <w:rPr>
                <w:szCs w:val="24"/>
              </w:rPr>
              <w:t xml:space="preserve">itibaren </w:t>
            </w:r>
            <w:r w:rsidRPr="00A23740">
              <w:rPr>
                <w:b/>
                <w:color w:val="0000FF"/>
                <w:szCs w:val="24"/>
              </w:rPr>
              <w:t>iki hafta</w:t>
            </w:r>
            <w:r w:rsidRPr="00A23740">
              <w:rPr>
                <w:szCs w:val="24"/>
              </w:rPr>
              <w:t xml:space="preserve"> içinde iflasa karar verilen yerdeki </w:t>
            </w:r>
            <w:r w:rsidRPr="00A23740">
              <w:rPr>
                <w:b/>
                <w:color w:val="0000FF"/>
                <w:szCs w:val="24"/>
              </w:rPr>
              <w:t xml:space="preserve">iflas </w:t>
            </w:r>
            <w:r w:rsidRPr="00A23740">
              <w:rPr>
                <w:rStyle w:val="MaviChar"/>
              </w:rPr>
              <w:t>mahkemesinde</w:t>
            </w:r>
            <w:r w:rsidRPr="00A23740">
              <w:rPr>
                <w:szCs w:val="24"/>
              </w:rPr>
              <w:t xml:space="preserve"> dava açma</w:t>
            </w:r>
            <w:r w:rsidRPr="00A23740">
              <w:rPr>
                <w:rStyle w:val="MaviChar"/>
              </w:rPr>
              <w:t>k zorundadırlar</w:t>
            </w:r>
            <w:r w:rsidRPr="00A23740">
              <w:rPr>
                <w:szCs w:val="24"/>
              </w:rPr>
              <w:t xml:space="preserve">. </w:t>
            </w:r>
            <w:r w:rsidR="00D51EFD" w:rsidRPr="00A23740">
              <w:rPr>
                <w:rStyle w:val="Balk1Char"/>
                <w:rFonts w:eastAsia="Calibri"/>
              </w:rPr>
              <w:t>İflas idaresi kararlarının tebliğine ilişkin 340 ıncı</w:t>
            </w:r>
            <w:r w:rsidR="00D51EFD" w:rsidRPr="00A23740">
              <w:rPr>
                <w:szCs w:val="24"/>
              </w:rPr>
              <w:t xml:space="preserve"> </w:t>
            </w:r>
            <w:r w:rsidRPr="00A23740">
              <w:rPr>
                <w:szCs w:val="24"/>
              </w:rPr>
              <w:t xml:space="preserve">maddenin üçüncü fıkrası hükmü </w:t>
            </w:r>
            <w:r w:rsidRPr="00A23740">
              <w:rPr>
                <w:b/>
                <w:color w:val="0000FF"/>
                <w:szCs w:val="24"/>
              </w:rPr>
              <w:t xml:space="preserve">saklıdır. </w:t>
            </w:r>
            <w:r w:rsidRPr="00A23740">
              <w:rPr>
                <w:szCs w:val="24"/>
              </w:rPr>
              <w:t xml:space="preserve">Bu davaya bakan mahkeme, davacının </w:t>
            </w:r>
            <w:r w:rsidRPr="00A23740">
              <w:rPr>
                <w:rStyle w:val="MaviChar"/>
              </w:rPr>
              <w:t>talebi</w:t>
            </w:r>
            <w:r w:rsidRPr="00A23740">
              <w:rPr>
                <w:szCs w:val="24"/>
              </w:rPr>
              <w:t xml:space="preserve"> h</w:t>
            </w:r>
            <w:r w:rsidR="004E29C2" w:rsidRPr="00A23740">
              <w:rPr>
                <w:szCs w:val="24"/>
              </w:rPr>
              <w:t>â</w:t>
            </w:r>
            <w:r w:rsidRPr="00A23740">
              <w:rPr>
                <w:szCs w:val="24"/>
              </w:rPr>
              <w:t xml:space="preserve">linde ikinci alacaklılar </w:t>
            </w:r>
            <w:r w:rsidRPr="00A23740">
              <w:rPr>
                <w:rStyle w:val="MaviChar"/>
              </w:rPr>
              <w:t>toplantısına</w:t>
            </w:r>
            <w:r w:rsidRPr="00A23740">
              <w:rPr>
                <w:szCs w:val="24"/>
              </w:rPr>
              <w:t xml:space="preserve"> katılıp </w:t>
            </w:r>
            <w:r w:rsidRPr="00A23740">
              <w:rPr>
                <w:b/>
                <w:color w:val="0000FF"/>
                <w:szCs w:val="24"/>
              </w:rPr>
              <w:t xml:space="preserve">katılmayacağı </w:t>
            </w:r>
            <w:r w:rsidRPr="00A23740">
              <w:rPr>
                <w:szCs w:val="24"/>
              </w:rPr>
              <w:t>ve</w:t>
            </w:r>
            <w:r w:rsidRPr="00A23740">
              <w:rPr>
                <w:b/>
                <w:color w:val="0000FF"/>
                <w:szCs w:val="24"/>
              </w:rPr>
              <w:t xml:space="preserve"> hangi miktar üzerin</w:t>
            </w:r>
            <w:r w:rsidRPr="00F20491">
              <w:rPr>
                <w:rStyle w:val="MaviChar"/>
              </w:rPr>
              <w:t>den katılacağı konusunda</w:t>
            </w:r>
            <w:r w:rsidR="00D51EFD" w:rsidRPr="00F20491">
              <w:rPr>
                <w:rStyle w:val="MaviChar"/>
              </w:rPr>
              <w:t xml:space="preserve"> </w:t>
            </w:r>
            <w:r w:rsidR="0012625E" w:rsidRPr="00F20491">
              <w:rPr>
                <w:rStyle w:val="MaviChar"/>
              </w:rPr>
              <w:t>395 inci</w:t>
            </w:r>
            <w:r w:rsidR="0012625E" w:rsidRPr="00A23740">
              <w:rPr>
                <w:rStyle w:val="KonuBalChar"/>
                <w:rFonts w:eastAsia="Calibri"/>
                <w:lang w:val="tr-TR"/>
              </w:rPr>
              <w:t xml:space="preserve"> </w:t>
            </w:r>
            <w:r w:rsidR="00D51EFD" w:rsidRPr="00A23740">
              <w:rPr>
                <w:rStyle w:val="Balk1Char"/>
                <w:rFonts w:eastAsia="Calibri"/>
              </w:rPr>
              <w:t>maddenin çekişmeli alacaklar hakkındaki</w:t>
            </w:r>
            <w:r w:rsidRPr="00A23740">
              <w:rPr>
                <w:b/>
                <w:color w:val="0000FF"/>
                <w:szCs w:val="24"/>
              </w:rPr>
              <w:t xml:space="preserve"> </w:t>
            </w:r>
            <w:r w:rsidRPr="00A23740">
              <w:rPr>
                <w:rStyle w:val="MAVChar"/>
                <w:rFonts w:eastAsia="Calibri"/>
                <w:u w:val="none"/>
              </w:rPr>
              <w:t>beşinci fıkrası çerçevesinde</w:t>
            </w:r>
            <w:r w:rsidRPr="00A23740">
              <w:rPr>
                <w:b/>
                <w:color w:val="0000FF"/>
                <w:szCs w:val="24"/>
              </w:rPr>
              <w:t xml:space="preserve"> iki hafta içinde</w:t>
            </w:r>
            <w:r w:rsidRPr="00A23740">
              <w:rPr>
                <w:szCs w:val="24"/>
              </w:rPr>
              <w:t xml:space="preserve"> karar verir.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(2) Alacağı tamamen veya kısmen reddedilen ya da talep ettiği sıraya alınmayan ve bu durumun haksız olduğunu iddia eden alacaklı</w:t>
            </w:r>
            <w:r w:rsidR="00A0700B" w:rsidRPr="00A23740">
              <w:rPr>
                <w:b/>
                <w:color w:val="0000FF"/>
                <w:szCs w:val="24"/>
              </w:rPr>
              <w:t>,</w:t>
            </w:r>
            <w:r w:rsidRPr="00A23740">
              <w:rPr>
                <w:b/>
                <w:color w:val="0000FF"/>
                <w:szCs w:val="24"/>
              </w:rPr>
              <w:t xml:space="preserve"> davayı iflas masasına karşı açar.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 xml:space="preserve">(3)  İflas masasına kabul edilen başka bir alacaklının alacağına veya ona verilen sıraya itiraz eden alacaklı, davasını alacağına veya sırasına itiraz ettiği alacaklıya karşı açar. </w:t>
            </w:r>
          </w:p>
          <w:p w:rsidR="00AA5C8C" w:rsidRPr="00A23740" w:rsidRDefault="00AA5C8C" w:rsidP="009431FF">
            <w:pPr>
              <w:tabs>
                <w:tab w:val="left" w:pos="567"/>
              </w:tabs>
              <w:rPr>
                <w:szCs w:val="24"/>
              </w:rPr>
            </w:pPr>
            <w:r w:rsidRPr="00A23740">
              <w:rPr>
                <w:b/>
                <w:color w:val="0000FF"/>
                <w:szCs w:val="24"/>
              </w:rPr>
              <w:t xml:space="preserve"> </w:t>
            </w:r>
            <w:r w:rsidRPr="00A23740">
              <w:rPr>
                <w:szCs w:val="24"/>
              </w:rPr>
              <w:br w:type="page"/>
            </w:r>
          </w:p>
          <w:p w:rsidR="00AA5C8C" w:rsidRPr="00A23740" w:rsidRDefault="00AA5C8C" w:rsidP="009431FF">
            <w:pPr>
              <w:tabs>
                <w:tab w:val="left" w:pos="567"/>
              </w:tabs>
              <w:rPr>
                <w:szCs w:val="24"/>
              </w:rPr>
            </w:pPr>
            <w:r w:rsidRPr="00A23740">
              <w:rPr>
                <w:b/>
                <w:color w:val="0000FF"/>
                <w:szCs w:val="24"/>
              </w:rPr>
              <w:t xml:space="preserve">(4) </w:t>
            </w:r>
            <w:r w:rsidRPr="00A23740">
              <w:rPr>
                <w:szCs w:val="24"/>
              </w:rPr>
              <w:t>Bir alacağın terkini hakkında açılan dava</w:t>
            </w:r>
            <w:r w:rsidRPr="00A23740">
              <w:rPr>
                <w:b/>
                <w:color w:val="0000FF"/>
                <w:szCs w:val="24"/>
              </w:rPr>
              <w:t>nın kabulü h</w:t>
            </w:r>
            <w:r w:rsidR="004E29C2" w:rsidRPr="00A23740">
              <w:rPr>
                <w:b/>
                <w:color w:val="0000FF"/>
                <w:szCs w:val="24"/>
              </w:rPr>
              <w:t>â</w:t>
            </w:r>
            <w:r w:rsidRPr="00A23740">
              <w:rPr>
                <w:b/>
                <w:color w:val="0000FF"/>
                <w:szCs w:val="24"/>
              </w:rPr>
              <w:t xml:space="preserve">linde, </w:t>
            </w:r>
            <w:r w:rsidRPr="00A23740">
              <w:rPr>
                <w:szCs w:val="24"/>
              </w:rPr>
              <w:t>bu alacağa tahsis edilen hisse</w:t>
            </w:r>
            <w:r w:rsidRPr="00A23740">
              <w:rPr>
                <w:b/>
                <w:color w:val="0000FF"/>
                <w:szCs w:val="24"/>
              </w:rPr>
              <w:t xml:space="preserve">, yargılama giderleri de </w:t>
            </w:r>
            <w:r w:rsidRPr="00A23740">
              <w:rPr>
                <w:szCs w:val="24"/>
              </w:rPr>
              <w:t>d</w:t>
            </w:r>
            <w:r w:rsidRPr="00A23740">
              <w:rPr>
                <w:rStyle w:val="MaviChar"/>
                <w:lang w:val="tr-TR"/>
              </w:rPr>
              <w:t>â</w:t>
            </w:r>
            <w:r w:rsidRPr="00A23740">
              <w:rPr>
                <w:szCs w:val="24"/>
              </w:rPr>
              <w:t xml:space="preserve">hil </w:t>
            </w:r>
            <w:r w:rsidRPr="00A23740">
              <w:rPr>
                <w:b/>
                <w:color w:val="0000FF"/>
                <w:szCs w:val="24"/>
              </w:rPr>
              <w:t>olmak üzere,</w:t>
            </w:r>
            <w:r w:rsidRPr="00A23740">
              <w:rPr>
                <w:szCs w:val="24"/>
              </w:rPr>
              <w:t xml:space="preserve"> sıraya </w:t>
            </w:r>
            <w:r w:rsidRPr="00A23740">
              <w:rPr>
                <w:rStyle w:val="Balk3Char"/>
                <w:rFonts w:eastAsia="Calibri"/>
              </w:rPr>
              <w:t xml:space="preserve">bakılmaksızın </w:t>
            </w:r>
            <w:r w:rsidRPr="00A23740">
              <w:rPr>
                <w:rStyle w:val="MaviChar"/>
              </w:rPr>
              <w:t>davayı açan alacaklının</w:t>
            </w:r>
            <w:r w:rsidRPr="00A23740">
              <w:rPr>
                <w:b/>
                <w:color w:val="0000FF"/>
                <w:szCs w:val="24"/>
              </w:rPr>
              <w:t xml:space="preserve"> </w:t>
            </w:r>
            <w:r w:rsidRPr="00A23740">
              <w:rPr>
                <w:szCs w:val="24"/>
              </w:rPr>
              <w:t>alacağı</w:t>
            </w:r>
            <w:r w:rsidRPr="00A23740">
              <w:rPr>
                <w:b/>
                <w:color w:val="0000FF"/>
                <w:szCs w:val="24"/>
              </w:rPr>
              <w:t xml:space="preserve">nı tamamen karşılayıncaya kadar </w:t>
            </w:r>
            <w:r w:rsidRPr="00A23740">
              <w:rPr>
                <w:rStyle w:val="MaviChar"/>
              </w:rPr>
              <w:t>davacı alacaklıya</w:t>
            </w:r>
            <w:r w:rsidRPr="00A23740">
              <w:rPr>
                <w:szCs w:val="24"/>
              </w:rPr>
              <w:t xml:space="preserve"> verilir ve artanı da diğer alacaklılara sıra cetveline göre dağıtılır.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 xml:space="preserve">(5) Bir alacaklı, kendi alacağının miktarına veya sırasına ya da  başka bir alacaklının alacağının esasına veya sırasına itiraz ettiği takdirde, bu dava iflas mahkemesinde </w:t>
            </w:r>
            <w:r w:rsidRPr="00A23740">
              <w:rPr>
                <w:szCs w:val="24"/>
              </w:rPr>
              <w:t>basit yargılama usulü</w:t>
            </w:r>
            <w:r w:rsidR="002167CC" w:rsidRPr="00F20491">
              <w:rPr>
                <w:b/>
                <w:color w:val="0000FF"/>
                <w:szCs w:val="24"/>
              </w:rPr>
              <w:t>yle</w:t>
            </w:r>
            <w:r w:rsidRPr="00A23740">
              <w:rPr>
                <w:szCs w:val="24"/>
              </w:rPr>
              <w:t xml:space="preserve"> görülür.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 xml:space="preserve">(6) Alacaklının </w:t>
            </w:r>
            <w:r w:rsidRPr="00A23740">
              <w:rPr>
                <w:rStyle w:val="MaviChar"/>
              </w:rPr>
              <w:t>muhalefeti</w:t>
            </w:r>
            <w:r w:rsidRPr="00A23740">
              <w:rPr>
                <w:b/>
                <w:color w:val="0000FF"/>
                <w:szCs w:val="24"/>
              </w:rPr>
              <w:t xml:space="preserve"> yalnız sıra cetvelinin düzenlenmesindeki usulsüzlüklere ilişkin ise</w:t>
            </w:r>
            <w:r w:rsidR="002167CC" w:rsidRPr="00A23740">
              <w:rPr>
                <w:b/>
                <w:color w:val="538135"/>
                <w:szCs w:val="24"/>
              </w:rPr>
              <w:t>,</w:t>
            </w:r>
            <w:r w:rsidRPr="00A23740">
              <w:rPr>
                <w:b/>
                <w:color w:val="0000FF"/>
                <w:szCs w:val="24"/>
              </w:rPr>
              <w:t xml:space="preserve"> </w:t>
            </w:r>
            <w:r w:rsidRPr="00A23740">
              <w:rPr>
                <w:rStyle w:val="MaviChar"/>
              </w:rPr>
              <w:t>bu muhalefet</w:t>
            </w:r>
            <w:r w:rsidRPr="00A23740">
              <w:rPr>
                <w:b/>
                <w:color w:val="0000FF"/>
                <w:szCs w:val="24"/>
              </w:rPr>
              <w:t xml:space="preserve"> şik</w:t>
            </w:r>
            <w:r w:rsidR="004E29C2" w:rsidRPr="00A23740">
              <w:rPr>
                <w:b/>
                <w:color w:val="0000FF"/>
                <w:szCs w:val="24"/>
              </w:rPr>
              <w:t>â</w:t>
            </w:r>
            <w:r w:rsidRPr="00A23740">
              <w:rPr>
                <w:b/>
                <w:color w:val="0000FF"/>
                <w:szCs w:val="24"/>
              </w:rPr>
              <w:t>yet yoluyla iflas mahkemesinde ileri sürülür.</w:t>
            </w:r>
          </w:p>
          <w:p w:rsidR="00AA5C8C" w:rsidRPr="00A23740" w:rsidRDefault="00AA5C8C" w:rsidP="009431FF">
            <w:pPr>
              <w:tabs>
                <w:tab w:val="left" w:pos="567"/>
              </w:tabs>
            </w:pPr>
          </w:p>
        </w:tc>
      </w:tr>
      <w:tr w:rsidR="003011E1"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12625E" w:rsidRPr="00A23740" w:rsidRDefault="0012625E" w:rsidP="009431FF">
            <w:pPr>
              <w:tabs>
                <w:tab w:val="left" w:pos="567"/>
              </w:tabs>
              <w:rPr>
                <w:b/>
                <w:szCs w:val="24"/>
              </w:rPr>
            </w:pPr>
          </w:p>
          <w:p w:rsidR="003011E1" w:rsidRPr="00A23740" w:rsidRDefault="003011E1" w:rsidP="009431FF">
            <w:pPr>
              <w:tabs>
                <w:tab w:val="left" w:pos="567"/>
              </w:tabs>
              <w:ind w:firstLine="709"/>
              <w:rPr>
                <w:szCs w:val="24"/>
              </w:rPr>
            </w:pPr>
            <w:r w:rsidRPr="00A23740">
              <w:rPr>
                <w:b/>
                <w:szCs w:val="24"/>
              </w:rPr>
              <w:t xml:space="preserve">MADDE </w:t>
            </w:r>
            <w:r w:rsidR="00A0700B" w:rsidRPr="00A23740">
              <w:rPr>
                <w:b/>
                <w:szCs w:val="24"/>
              </w:rPr>
              <w:t>350</w:t>
            </w:r>
            <w:r w:rsidRPr="00A23740">
              <w:rPr>
                <w:b/>
                <w:szCs w:val="24"/>
              </w:rPr>
              <w:t>-</w:t>
            </w:r>
            <w:r w:rsidRPr="00A23740">
              <w:rPr>
                <w:szCs w:val="24"/>
              </w:rPr>
              <w:t xml:space="preserve"> Maddeyle, </w:t>
            </w:r>
            <w:r w:rsidR="00F5709A" w:rsidRPr="00A23740">
              <w:rPr>
                <w:szCs w:val="24"/>
              </w:rPr>
              <w:t>sıra cetveline itiraz davası ve şik</w:t>
            </w:r>
            <w:r w:rsidR="00A0700B" w:rsidRPr="00A23740">
              <w:rPr>
                <w:szCs w:val="24"/>
              </w:rPr>
              <w:t>â</w:t>
            </w:r>
            <w:r w:rsidR="00F5709A" w:rsidRPr="00A23740">
              <w:rPr>
                <w:szCs w:val="24"/>
              </w:rPr>
              <w:t xml:space="preserve">yete ilişkin </w:t>
            </w:r>
            <w:r w:rsidRPr="00A23740">
              <w:rPr>
                <w:szCs w:val="24"/>
              </w:rPr>
              <w:t xml:space="preserve">hususlar düzenlenmektedir. Hüküm, 2004 sayılı Kanunun </w:t>
            </w:r>
            <w:r w:rsidR="00F5709A" w:rsidRPr="00A23740">
              <w:rPr>
                <w:szCs w:val="24"/>
              </w:rPr>
              <w:t xml:space="preserve">235 inci maddesine </w:t>
            </w:r>
            <w:r w:rsidRPr="00A23740">
              <w:rPr>
                <w:szCs w:val="24"/>
              </w:rPr>
              <w:t xml:space="preserve">karşılık gelmektedir. </w:t>
            </w:r>
          </w:p>
          <w:p w:rsidR="00F5709A" w:rsidRPr="00A23740" w:rsidRDefault="00F5709A" w:rsidP="009431FF">
            <w:pPr>
              <w:tabs>
                <w:tab w:val="left" w:pos="567"/>
              </w:tabs>
              <w:ind w:firstLine="709"/>
              <w:rPr>
                <w:szCs w:val="24"/>
              </w:rPr>
            </w:pPr>
            <w:r w:rsidRPr="00A23740">
              <w:rPr>
                <w:szCs w:val="24"/>
              </w:rPr>
              <w:t>Birinci fıkrayla, sıra cetveline itiraz edenlerin,</w:t>
            </w:r>
            <w:r w:rsidR="0012625E" w:rsidRPr="00A23740">
              <w:rPr>
                <w:szCs w:val="24"/>
              </w:rPr>
              <w:t xml:space="preserve"> </w:t>
            </w:r>
            <w:r w:rsidR="0012625E" w:rsidRPr="00F20491">
              <w:rPr>
                <w:bCs/>
                <w:szCs w:val="24"/>
              </w:rPr>
              <w:t>349 uncu</w:t>
            </w:r>
            <w:r w:rsidRPr="00A23740">
              <w:rPr>
                <w:szCs w:val="24"/>
              </w:rPr>
              <w:t xml:space="preserve"> maddeye göre yapılan ilandan itibaren iki hafta içinde iflasa karar verilen yerdeki iflas mahkemesinde dava açmak zorunda </w:t>
            </w:r>
            <w:r w:rsidR="00A338AB" w:rsidRPr="00A23740">
              <w:rPr>
                <w:szCs w:val="24"/>
              </w:rPr>
              <w:t xml:space="preserve">oldukları </w:t>
            </w:r>
            <w:r w:rsidRPr="00A23740">
              <w:rPr>
                <w:szCs w:val="24"/>
              </w:rPr>
              <w:t>hükme bağlanmaktadır. Bu kapsamda,</w:t>
            </w:r>
            <w:r w:rsidR="0012625E" w:rsidRPr="00A23740">
              <w:rPr>
                <w:szCs w:val="24"/>
              </w:rPr>
              <w:t xml:space="preserve"> </w:t>
            </w:r>
            <w:r w:rsidR="0012625E" w:rsidRPr="00F20491">
              <w:rPr>
                <w:szCs w:val="24"/>
              </w:rPr>
              <w:t>3</w:t>
            </w:r>
            <w:r w:rsidR="00291CA3" w:rsidRPr="00F20491">
              <w:rPr>
                <w:szCs w:val="24"/>
              </w:rPr>
              <w:t>40</w:t>
            </w:r>
            <w:r w:rsidR="0012625E" w:rsidRPr="00F20491">
              <w:rPr>
                <w:szCs w:val="24"/>
              </w:rPr>
              <w:t xml:space="preserve"> </w:t>
            </w:r>
            <w:r w:rsidR="00291CA3" w:rsidRPr="00F20491">
              <w:rPr>
                <w:szCs w:val="24"/>
              </w:rPr>
              <w:t>ı</w:t>
            </w:r>
            <w:r w:rsidR="0012625E" w:rsidRPr="00F20491">
              <w:rPr>
                <w:szCs w:val="24"/>
              </w:rPr>
              <w:t>ncı</w:t>
            </w:r>
            <w:r w:rsidRPr="00A23740">
              <w:rPr>
                <w:szCs w:val="24"/>
              </w:rPr>
              <w:t xml:space="preserve"> maddenin üçüncü fıkrası hükmü saklıdır. Hükme göre, bu davaya bakan mahkeme, davacının talebi h</w:t>
            </w:r>
            <w:r w:rsidR="00A0700B" w:rsidRPr="00A23740">
              <w:rPr>
                <w:szCs w:val="24"/>
              </w:rPr>
              <w:t>â</w:t>
            </w:r>
            <w:r w:rsidRPr="00A23740">
              <w:rPr>
                <w:szCs w:val="24"/>
              </w:rPr>
              <w:t xml:space="preserve">linde ikinci alacaklılar toplantısına katılıp katılmayacağı ve hangi miktar üzerinden katılacağı konusunda </w:t>
            </w:r>
            <w:r w:rsidR="0012625E" w:rsidRPr="00F20491">
              <w:rPr>
                <w:bCs/>
                <w:szCs w:val="24"/>
              </w:rPr>
              <w:t>395 inci</w:t>
            </w:r>
            <w:r w:rsidR="0012625E" w:rsidRPr="00A23740">
              <w:rPr>
                <w:rStyle w:val="AralkYokChar"/>
                <w:bCs/>
                <w:strike w:val="0"/>
                <w:lang w:val="tr-TR"/>
              </w:rPr>
              <w:t xml:space="preserve"> </w:t>
            </w:r>
            <w:r w:rsidRPr="00A23740">
              <w:rPr>
                <w:szCs w:val="24"/>
              </w:rPr>
              <w:t>maddenin beşinci fıkrası çerçevesinde iki hafta içinde karar verir.</w:t>
            </w:r>
            <w:r w:rsidR="00ED596F" w:rsidRPr="00A23740">
              <w:rPr>
                <w:szCs w:val="24"/>
              </w:rPr>
              <w:t xml:space="preserve"> 2004 sayılı Kanunun 235 inci maddesi, aynı Kanunun 234 üncü maddesiyle birlikte yorumlandığında</w:t>
            </w:r>
            <w:r w:rsidR="00AF5588" w:rsidRPr="00575A70">
              <w:rPr>
                <w:rStyle w:val="Balk1Char"/>
                <w:rFonts w:eastAsia="Calibri"/>
                <w:b w:val="0"/>
                <w:color w:val="000000" w:themeColor="text1"/>
              </w:rPr>
              <w:t>,</w:t>
            </w:r>
            <w:r w:rsidR="00ED596F" w:rsidRPr="00A23740">
              <w:rPr>
                <w:szCs w:val="24"/>
              </w:rPr>
              <w:t xml:space="preserve"> sıra cetvelinin iptali davasının açılması için öngörülen sürenin başlama anı hususunda uygulamada tereddüt yaşandığı gözlemlenmiştir. Bu konuyla ilgili tereddütleri ve farklı yorumları ortadan kaldırmak amacıyla 2004 sayılı Kanunun 235 inci maddesine karşılık gelen bu hükümde </w:t>
            </w:r>
            <w:r w:rsidR="00AF5588" w:rsidRPr="00F20491">
              <w:rPr>
                <w:bCs/>
                <w:szCs w:val="24"/>
              </w:rPr>
              <w:t>sıra cetveline itiraz davasının</w:t>
            </w:r>
            <w:r w:rsidR="00AF5588" w:rsidRPr="00A23740">
              <w:rPr>
                <w:szCs w:val="24"/>
              </w:rPr>
              <w:t xml:space="preserve"> </w:t>
            </w:r>
            <w:r w:rsidR="00ED596F" w:rsidRPr="00A23740">
              <w:rPr>
                <w:szCs w:val="24"/>
              </w:rPr>
              <w:t xml:space="preserve">açılması için öngörülen sürenin de cetvelin iflas dairesine bırakıldığının ilanından itibaren başlatılması gerektiği hususu tasrih edilmektedir. </w:t>
            </w:r>
          </w:p>
          <w:p w:rsidR="00F5709A" w:rsidRPr="00A23740" w:rsidRDefault="00ED596F" w:rsidP="009431FF">
            <w:pPr>
              <w:tabs>
                <w:tab w:val="left" w:pos="567"/>
              </w:tabs>
              <w:ind w:firstLine="709"/>
              <w:rPr>
                <w:szCs w:val="24"/>
              </w:rPr>
            </w:pPr>
            <w:r w:rsidRPr="00A23740">
              <w:rPr>
                <w:szCs w:val="24"/>
              </w:rPr>
              <w:t xml:space="preserve">İkinci fıkrayla, alacağı </w:t>
            </w:r>
            <w:r w:rsidR="00F5709A" w:rsidRPr="00A23740">
              <w:rPr>
                <w:szCs w:val="24"/>
              </w:rPr>
              <w:t>tamamen veya kısmen reddedilen ya da talep ettiği sıraya alınmayan ve bu durumun haks</w:t>
            </w:r>
            <w:r w:rsidRPr="00A23740">
              <w:rPr>
                <w:szCs w:val="24"/>
              </w:rPr>
              <w:t>ız olduğunu iddia eden alacaklının davayı iflas masasına karşı açacağı hükme bağlanmaktadır.</w:t>
            </w:r>
          </w:p>
          <w:p w:rsidR="00F5709A" w:rsidRPr="00A23740" w:rsidRDefault="00ED596F" w:rsidP="009431FF">
            <w:pPr>
              <w:tabs>
                <w:tab w:val="left" w:pos="567"/>
              </w:tabs>
              <w:ind w:firstLine="709"/>
              <w:rPr>
                <w:szCs w:val="24"/>
              </w:rPr>
            </w:pPr>
            <w:r w:rsidRPr="00A23740">
              <w:rPr>
                <w:szCs w:val="24"/>
              </w:rPr>
              <w:t xml:space="preserve">Üçüncü fıkraya göre, iflas </w:t>
            </w:r>
            <w:r w:rsidR="00F5709A" w:rsidRPr="00A23740">
              <w:rPr>
                <w:szCs w:val="24"/>
              </w:rPr>
              <w:t>masasına kabul edilen başka bir alacaklının alacağına veya ona verilen sıraya itiraz eden alacaklı, davasını alacağına veya sırasına itiraz</w:t>
            </w:r>
            <w:r w:rsidRPr="00A23740">
              <w:rPr>
                <w:szCs w:val="24"/>
              </w:rPr>
              <w:t xml:space="preserve"> ettiği alacaklıya karşı açar. </w:t>
            </w:r>
          </w:p>
          <w:p w:rsidR="00F5709A" w:rsidRPr="00A23740" w:rsidRDefault="00ED596F" w:rsidP="009431FF">
            <w:pPr>
              <w:tabs>
                <w:tab w:val="left" w:pos="567"/>
              </w:tabs>
              <w:ind w:firstLine="709"/>
              <w:rPr>
                <w:szCs w:val="24"/>
              </w:rPr>
            </w:pPr>
            <w:r w:rsidRPr="00A23740">
              <w:rPr>
                <w:szCs w:val="24"/>
              </w:rPr>
              <w:t xml:space="preserve">Dördüncü fıkraya göre, bir </w:t>
            </w:r>
            <w:r w:rsidR="00F5709A" w:rsidRPr="00A23740">
              <w:rPr>
                <w:szCs w:val="24"/>
              </w:rPr>
              <w:t>alacağın terkini hakkında açılan davanın kabulü h</w:t>
            </w:r>
            <w:r w:rsidR="00A0700B" w:rsidRPr="00A23740">
              <w:rPr>
                <w:szCs w:val="24"/>
              </w:rPr>
              <w:t>â</w:t>
            </w:r>
            <w:r w:rsidR="00F5709A" w:rsidRPr="00A23740">
              <w:rPr>
                <w:szCs w:val="24"/>
              </w:rPr>
              <w:t>linde, bu alacağa tahsis edilen hisse, yargılama giderleri de dâhil olmak üzere, sıraya bakılmaksızın davayı açan alacaklının alacağını tamamen karşılayıncaya kadar davacı alacaklıya verilir ve artanı da diğer alacaklılara</w:t>
            </w:r>
            <w:r w:rsidRPr="00A23740">
              <w:rPr>
                <w:szCs w:val="24"/>
              </w:rPr>
              <w:t xml:space="preserve"> sıra cetveline göre dağıtılır.</w:t>
            </w:r>
          </w:p>
          <w:p w:rsidR="00F5709A" w:rsidRPr="00A23740" w:rsidRDefault="00ED596F" w:rsidP="009431FF">
            <w:pPr>
              <w:tabs>
                <w:tab w:val="left" w:pos="567"/>
              </w:tabs>
              <w:ind w:firstLine="709"/>
              <w:rPr>
                <w:szCs w:val="24"/>
              </w:rPr>
            </w:pPr>
            <w:r w:rsidRPr="00A23740">
              <w:rPr>
                <w:szCs w:val="24"/>
              </w:rPr>
              <w:t xml:space="preserve">Beşinci fıkrayla, bir </w:t>
            </w:r>
            <w:r w:rsidR="00F5709A" w:rsidRPr="00A23740">
              <w:rPr>
                <w:szCs w:val="24"/>
              </w:rPr>
              <w:t>alacaklı, kendi alacağını</w:t>
            </w:r>
            <w:r w:rsidR="00A0700B" w:rsidRPr="00A23740">
              <w:rPr>
                <w:szCs w:val="24"/>
              </w:rPr>
              <w:t>n miktarına veya sırasına ya da</w:t>
            </w:r>
            <w:r w:rsidR="00F5709A" w:rsidRPr="00A23740">
              <w:rPr>
                <w:szCs w:val="24"/>
              </w:rPr>
              <w:t xml:space="preserve"> başka bir alacaklının alacağının esasına veya sırasına </w:t>
            </w:r>
            <w:r w:rsidRPr="00A23740">
              <w:rPr>
                <w:szCs w:val="24"/>
              </w:rPr>
              <w:t xml:space="preserve">itiraz ettiği takdirde, bu davanın </w:t>
            </w:r>
            <w:r w:rsidR="00F5709A" w:rsidRPr="00A23740">
              <w:rPr>
                <w:szCs w:val="24"/>
              </w:rPr>
              <w:t>iflas mahkemesinde b</w:t>
            </w:r>
            <w:r w:rsidRPr="00A23740">
              <w:rPr>
                <w:szCs w:val="24"/>
              </w:rPr>
              <w:t>asit yargılama usulü ile görüleceği düzenlenmektedir.</w:t>
            </w:r>
          </w:p>
          <w:p w:rsidR="00F5709A" w:rsidRPr="00A23740" w:rsidRDefault="00ED596F" w:rsidP="009431FF">
            <w:pPr>
              <w:tabs>
                <w:tab w:val="left" w:pos="567"/>
              </w:tabs>
              <w:ind w:firstLine="709"/>
              <w:rPr>
                <w:szCs w:val="24"/>
              </w:rPr>
            </w:pPr>
            <w:r w:rsidRPr="00A23740">
              <w:rPr>
                <w:szCs w:val="24"/>
              </w:rPr>
              <w:t xml:space="preserve">Altıncı fıkraya göre, alacaklının </w:t>
            </w:r>
            <w:r w:rsidR="00F5709A" w:rsidRPr="00A23740">
              <w:rPr>
                <w:szCs w:val="24"/>
              </w:rPr>
              <w:t>muhalefeti yalnız sıra cetvelinin düzenlenmesindeki usulsüzlüklere ilişkin ise bu muhalefet şik</w:t>
            </w:r>
            <w:r w:rsidR="00A0700B" w:rsidRPr="00A23740">
              <w:rPr>
                <w:szCs w:val="24"/>
              </w:rPr>
              <w:t>â</w:t>
            </w:r>
            <w:r w:rsidR="00F5709A" w:rsidRPr="00A23740">
              <w:rPr>
                <w:szCs w:val="24"/>
              </w:rPr>
              <w:t>yet yoluyla iflas mahkemesinde ileri sürülür.</w:t>
            </w:r>
          </w:p>
          <w:p w:rsidR="003011E1" w:rsidRDefault="003011E1" w:rsidP="009A013D"/>
          <w:p w:rsidR="009A013D" w:rsidRDefault="009A013D" w:rsidP="009A013D"/>
          <w:p w:rsidR="009A013D" w:rsidRPr="00A23740" w:rsidRDefault="009A013D" w:rsidP="009A013D"/>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szCs w:val="24"/>
              </w:rPr>
              <w:t>Geç kalan</w:t>
            </w:r>
            <w:r w:rsidRPr="00A23740">
              <w:rPr>
                <w:b/>
                <w:strike/>
                <w:color w:val="FF0000"/>
                <w:szCs w:val="24"/>
              </w:rPr>
              <w:t xml:space="preserve"> müracaatlar:</w:t>
            </w:r>
          </w:p>
          <w:p w:rsidR="00AA5C8C" w:rsidRPr="00A23740" w:rsidRDefault="00AA5C8C" w:rsidP="009431FF">
            <w:pPr>
              <w:tabs>
                <w:tab w:val="left" w:pos="567"/>
              </w:tabs>
              <w:rPr>
                <w:b/>
                <w:strike/>
                <w:color w:val="FF0000"/>
                <w:szCs w:val="24"/>
              </w:rPr>
            </w:pPr>
            <w:r w:rsidRPr="00A23740">
              <w:rPr>
                <w:rStyle w:val="KIRMIZIChar"/>
                <w:rFonts w:eastAsia="Calibri"/>
              </w:rPr>
              <w:t>Madde 236 – (1) Vaktinde</w:t>
            </w:r>
            <w:r w:rsidRPr="00A23740">
              <w:rPr>
                <w:b/>
                <w:strike/>
                <w:color w:val="FF0000"/>
                <w:szCs w:val="24"/>
              </w:rPr>
              <w:t xml:space="preserve"> deftere kaydettirilmiyen alacaklar iflasın kapanmasına kadar kabul olunur.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CD6043" w:rsidRPr="00A23740" w:rsidRDefault="00CD6043"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rStyle w:val="KIRMIZIChar"/>
                <w:rFonts w:eastAsia="Calibri"/>
              </w:rPr>
              <w:t>(2)</w:t>
            </w:r>
            <w:r w:rsidRPr="00A23740">
              <w:rPr>
                <w:szCs w:val="24"/>
              </w:rPr>
              <w:t xml:space="preserve"> Geç</w:t>
            </w:r>
            <w:r w:rsidRPr="00A23740">
              <w:rPr>
                <w:b/>
                <w:color w:val="FF0000"/>
                <w:szCs w:val="24"/>
              </w:rPr>
              <w:t xml:space="preserve"> </w:t>
            </w:r>
            <w:r w:rsidRPr="00A23740">
              <w:rPr>
                <w:b/>
                <w:strike/>
                <w:color w:val="FF0000"/>
                <w:szCs w:val="24"/>
              </w:rPr>
              <w:t>kalmadan ileri gelen masraflar alacaklıya aittir. Alacaklı bu masrafları peşin vermeğe cebrolunabilir.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(3) Müracaattan evvel kararlaştırılmış paylaşmıya alacaklının iştirak hakkı yoktur.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rStyle w:val="KIRMIZIChar"/>
                <w:rFonts w:eastAsia="Calibri"/>
              </w:rPr>
              <w:t>(4)</w:t>
            </w:r>
            <w:r w:rsidRPr="00A23740">
              <w:rPr>
                <w:szCs w:val="24"/>
              </w:rPr>
              <w:t xml:space="preserve"> İflas idaresi alacağı kabul ederse </w:t>
            </w:r>
            <w:r w:rsidRPr="00A23740">
              <w:rPr>
                <w:b/>
                <w:strike/>
                <w:color w:val="FF0000"/>
                <w:szCs w:val="24"/>
              </w:rPr>
              <w:t>alacaklılar</w:t>
            </w:r>
            <w:r w:rsidRPr="00A23740">
              <w:rPr>
                <w:szCs w:val="24"/>
              </w:rPr>
              <w:t xml:space="preserve"> sıra cetvelini düzeltir ve </w:t>
            </w:r>
            <w:r w:rsidRPr="00A23740">
              <w:rPr>
                <w:rStyle w:val="KIRMIZIChar"/>
                <w:rFonts w:eastAsia="Calibri"/>
              </w:rPr>
              <w:t>bunu ilan</w:t>
            </w:r>
            <w:r w:rsidRPr="00A23740">
              <w:rPr>
                <w:szCs w:val="24"/>
              </w:rPr>
              <w:t xml:space="preserve"> </w:t>
            </w:r>
            <w:r w:rsidRPr="00A23740">
              <w:rPr>
                <w:b/>
                <w:strike/>
                <w:color w:val="FF0000"/>
                <w:szCs w:val="24"/>
              </w:rPr>
              <w:t>ile alacaklılara bildirir.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(5)</w:t>
            </w:r>
            <w:r w:rsidRPr="00A23740">
              <w:rPr>
                <w:szCs w:val="24"/>
              </w:rPr>
              <w:t xml:space="preserve"> </w:t>
            </w:r>
            <w:r w:rsidRPr="00A23740">
              <w:rPr>
                <w:rStyle w:val="KIRMIZIChar"/>
                <w:rFonts w:eastAsia="Calibri"/>
              </w:rPr>
              <w:t>235 inci</w:t>
            </w:r>
            <w:r w:rsidRPr="00A23740">
              <w:rPr>
                <w:szCs w:val="24"/>
              </w:rPr>
              <w:t xml:space="preserve"> madde hükmü burada da </w:t>
            </w:r>
            <w:r w:rsidRPr="00A23740">
              <w:rPr>
                <w:b/>
                <w:strike/>
                <w:color w:val="FF0000"/>
                <w:szCs w:val="24"/>
              </w:rPr>
              <w:t>caridir.</w:t>
            </w:r>
          </w:p>
        </w:tc>
        <w:tc>
          <w:tcPr>
            <w:tcW w:w="2500" w:type="pct"/>
          </w:tcPr>
          <w:p w:rsidR="00AA5C8C" w:rsidRPr="00A23740" w:rsidRDefault="00AA5C8C" w:rsidP="009431FF">
            <w:pPr>
              <w:tabs>
                <w:tab w:val="left" w:pos="567"/>
              </w:tabs>
              <w:rPr>
                <w:b/>
                <w:color w:val="0000FF"/>
                <w:szCs w:val="24"/>
              </w:rPr>
            </w:pPr>
            <w:r w:rsidRPr="00A23740">
              <w:rPr>
                <w:b/>
                <w:szCs w:val="24"/>
              </w:rPr>
              <w:t>Geç kalan</w:t>
            </w:r>
            <w:r w:rsidRPr="00A23740">
              <w:rPr>
                <w:b/>
                <w:color w:val="0000FF"/>
                <w:szCs w:val="24"/>
              </w:rPr>
              <w:t xml:space="preserve"> başvurular</w:t>
            </w:r>
          </w:p>
          <w:p w:rsidR="00AA5C8C" w:rsidRPr="00A23740" w:rsidRDefault="00AA5C8C" w:rsidP="009431FF">
            <w:pPr>
              <w:tabs>
                <w:tab w:val="left" w:pos="567"/>
              </w:tabs>
              <w:rPr>
                <w:b/>
                <w:color w:val="0000FF"/>
                <w:szCs w:val="24"/>
              </w:rPr>
            </w:pPr>
            <w:r w:rsidRPr="00A23740">
              <w:rPr>
                <w:rStyle w:val="MaviChar"/>
                <w:lang w:val="tr-TR"/>
              </w:rPr>
              <w:t xml:space="preserve">MADDE </w:t>
            </w:r>
            <w:r w:rsidR="00CD6043" w:rsidRPr="00A23740">
              <w:rPr>
                <w:rStyle w:val="MaviChar"/>
              </w:rPr>
              <w:t>351</w:t>
            </w:r>
            <w:r w:rsidRPr="00A23740">
              <w:rPr>
                <w:rStyle w:val="MaviChar"/>
                <w:lang w:val="tr-TR"/>
              </w:rPr>
              <w:t>-</w:t>
            </w:r>
            <w:r w:rsidRPr="00A23740">
              <w:rPr>
                <w:b/>
                <w:color w:val="0000FF"/>
                <w:szCs w:val="24"/>
              </w:rPr>
              <w:t xml:space="preserve"> (1) </w:t>
            </w:r>
            <w:r w:rsidR="00CD6043" w:rsidRPr="00A23740">
              <w:rPr>
                <w:b/>
                <w:color w:val="0000FF"/>
                <w:szCs w:val="24"/>
              </w:rPr>
              <w:t xml:space="preserve">Alacakların iflas masasına kaydedilmesine ilişkin </w:t>
            </w:r>
            <w:r w:rsidR="00291CA3" w:rsidRPr="00F20491">
              <w:rPr>
                <w:b/>
                <w:bCs/>
                <w:color w:val="0000FF"/>
                <w:szCs w:val="24"/>
              </w:rPr>
              <w:t>330 uncu</w:t>
            </w:r>
            <w:r w:rsidR="00291CA3" w:rsidRPr="00A23740">
              <w:rPr>
                <w:b/>
                <w:color w:val="0000FF"/>
                <w:szCs w:val="24"/>
              </w:rPr>
              <w:t xml:space="preserve"> </w:t>
            </w:r>
            <w:r w:rsidRPr="00A23740">
              <w:rPr>
                <w:b/>
                <w:color w:val="0000FF"/>
                <w:szCs w:val="24"/>
              </w:rPr>
              <w:t>maddede belirlenen süreden sonra da iflasın kapanmasına kadar</w:t>
            </w:r>
            <w:r w:rsidR="00CD6043" w:rsidRPr="00A23740">
              <w:rPr>
                <w:b/>
                <w:color w:val="0000FF"/>
                <w:szCs w:val="24"/>
              </w:rPr>
              <w:t>,</w:t>
            </w:r>
            <w:r w:rsidRPr="00A23740">
              <w:rPr>
                <w:b/>
                <w:color w:val="0000FF"/>
                <w:szCs w:val="24"/>
              </w:rPr>
              <w:t xml:space="preserve"> masaya alacak yazdırılabilir. Geç yapılan başvuru sebebiyle </w:t>
            </w:r>
            <w:r w:rsidR="00CD6043" w:rsidRPr="00A23740">
              <w:rPr>
                <w:b/>
                <w:color w:val="0000FF"/>
                <w:szCs w:val="24"/>
              </w:rPr>
              <w:t xml:space="preserve">doğacak </w:t>
            </w:r>
            <w:r w:rsidRPr="00A23740">
              <w:rPr>
                <w:b/>
                <w:color w:val="0000FF"/>
                <w:szCs w:val="24"/>
              </w:rPr>
              <w:t xml:space="preserve">giderler alacaklıdan peşinen alınır. </w:t>
            </w:r>
          </w:p>
          <w:p w:rsidR="00AA5C8C" w:rsidRPr="00A23740" w:rsidRDefault="00AA5C8C" w:rsidP="009431FF">
            <w:pPr>
              <w:tabs>
                <w:tab w:val="left" w:pos="567"/>
              </w:tabs>
              <w:rPr>
                <w:b/>
                <w:color w:val="FF0000"/>
                <w:szCs w:val="24"/>
              </w:rPr>
            </w:pPr>
          </w:p>
          <w:p w:rsidR="00AA5C8C" w:rsidRPr="00A23740" w:rsidRDefault="00AA5C8C" w:rsidP="009431FF">
            <w:pPr>
              <w:tabs>
                <w:tab w:val="left" w:pos="567"/>
              </w:tabs>
              <w:rPr>
                <w:szCs w:val="24"/>
              </w:rPr>
            </w:pPr>
            <w:r w:rsidRPr="00A23740">
              <w:rPr>
                <w:b/>
                <w:color w:val="0000FF"/>
                <w:szCs w:val="24"/>
              </w:rPr>
              <w:t xml:space="preserve">(2) </w:t>
            </w:r>
            <w:r w:rsidRPr="00A23740">
              <w:rPr>
                <w:szCs w:val="24"/>
              </w:rPr>
              <w:t>Geç</w:t>
            </w:r>
            <w:r w:rsidRPr="00A23740">
              <w:rPr>
                <w:b/>
                <w:color w:val="0000FF"/>
                <w:szCs w:val="24"/>
              </w:rPr>
              <w:t xml:space="preserve"> başvuran alacaklı önceden </w:t>
            </w:r>
            <w:r w:rsidRPr="00A23740">
              <w:rPr>
                <w:rStyle w:val="MaviChar"/>
                <w:lang w:val="tr-TR"/>
              </w:rPr>
              <w:t>yapılmış paylaştırmaya</w:t>
            </w:r>
            <w:r w:rsidRPr="00A23740">
              <w:rPr>
                <w:b/>
                <w:color w:val="0000FF"/>
                <w:szCs w:val="24"/>
              </w:rPr>
              <w:t xml:space="preserve"> katılamaz. </w:t>
            </w:r>
          </w:p>
          <w:p w:rsidR="00AA5C8C" w:rsidRPr="00A23740" w:rsidRDefault="00AA5C8C" w:rsidP="009431FF">
            <w:pPr>
              <w:tabs>
                <w:tab w:val="left" w:pos="1113"/>
              </w:tabs>
              <w:rPr>
                <w:szCs w:val="24"/>
              </w:rPr>
            </w:pPr>
            <w:r w:rsidRPr="00A23740">
              <w:rPr>
                <w:szCs w:val="24"/>
              </w:rPr>
              <w:tab/>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CD6043" w:rsidRPr="00A23740" w:rsidRDefault="00CD6043" w:rsidP="009431FF">
            <w:pPr>
              <w:tabs>
                <w:tab w:val="left" w:pos="567"/>
              </w:tabs>
              <w:rPr>
                <w:szCs w:val="24"/>
              </w:rPr>
            </w:pPr>
          </w:p>
          <w:p w:rsidR="00AA5C8C" w:rsidRPr="00A23740" w:rsidRDefault="00AA5C8C" w:rsidP="009431FF">
            <w:pPr>
              <w:tabs>
                <w:tab w:val="left" w:pos="567"/>
              </w:tabs>
              <w:rPr>
                <w:rStyle w:val="KIRMIZIChar"/>
                <w:rFonts w:eastAsia="Calibri"/>
              </w:rPr>
            </w:pPr>
            <w:r w:rsidRPr="00A23740">
              <w:rPr>
                <w:b/>
                <w:color w:val="0000FF"/>
                <w:szCs w:val="24"/>
              </w:rPr>
              <w:t>(3)</w:t>
            </w:r>
            <w:r w:rsidRPr="00A23740">
              <w:rPr>
                <w:szCs w:val="24"/>
              </w:rPr>
              <w:t xml:space="preserve"> İflas idaresi alacağı kabul ederse</w:t>
            </w:r>
            <w:r w:rsidR="00CD6043" w:rsidRPr="00A23740">
              <w:rPr>
                <w:rStyle w:val="Balk1Char"/>
                <w:rFonts w:eastAsia="Calibri"/>
              </w:rPr>
              <w:t>,</w:t>
            </w:r>
            <w:r w:rsidRPr="00A23740">
              <w:rPr>
                <w:szCs w:val="24"/>
              </w:rPr>
              <w:t xml:space="preserve"> sıra cetvelini düzeltir ve </w:t>
            </w:r>
            <w:r w:rsidR="00CD6043" w:rsidRPr="00A23740">
              <w:rPr>
                <w:rStyle w:val="MaviChar"/>
                <w:lang w:val="tr-TR"/>
              </w:rPr>
              <w:t xml:space="preserve">sıra cetvelinin ilanına ilişkin 349 uncu </w:t>
            </w:r>
            <w:r w:rsidR="00575A70">
              <w:rPr>
                <w:rStyle w:val="MaviChar"/>
                <w:lang w:val="tr-TR"/>
              </w:rPr>
              <w:t>madde uyarınca ilan eder.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FF0000"/>
                <w:szCs w:val="24"/>
              </w:rPr>
            </w:pPr>
            <w:r w:rsidRPr="00A23740">
              <w:rPr>
                <w:b/>
                <w:color w:val="0000FF"/>
                <w:szCs w:val="24"/>
              </w:rPr>
              <w:t>(4)</w:t>
            </w:r>
            <w:r w:rsidRPr="00A23740">
              <w:rPr>
                <w:szCs w:val="24"/>
              </w:rPr>
              <w:t xml:space="preserve"> </w:t>
            </w:r>
            <w:r w:rsidR="00CD6043" w:rsidRPr="00A23740">
              <w:rPr>
                <w:rStyle w:val="Balk1Char"/>
                <w:rFonts w:eastAsia="Calibri"/>
              </w:rPr>
              <w:t>Sıra cetveline şikâyet ve itiraza ilişkin hükümler</w:t>
            </w:r>
            <w:r w:rsidR="00CD6043" w:rsidRPr="00A23740">
              <w:rPr>
                <w:szCs w:val="24"/>
              </w:rPr>
              <w:t xml:space="preserve"> </w:t>
            </w:r>
            <w:r w:rsidRPr="00A23740">
              <w:rPr>
                <w:szCs w:val="24"/>
              </w:rPr>
              <w:t xml:space="preserve">burada da </w:t>
            </w:r>
            <w:r w:rsidRPr="00A23740">
              <w:rPr>
                <w:b/>
                <w:color w:val="0000FF"/>
                <w:szCs w:val="24"/>
              </w:rPr>
              <w:t>uygulanır.</w:t>
            </w:r>
          </w:p>
          <w:p w:rsidR="00AA5C8C" w:rsidRPr="00A23740" w:rsidRDefault="00AA5C8C" w:rsidP="009431FF">
            <w:pPr>
              <w:tabs>
                <w:tab w:val="left" w:pos="567"/>
              </w:tabs>
              <w:rPr>
                <w:szCs w:val="24"/>
              </w:rPr>
            </w:pPr>
          </w:p>
        </w:tc>
      </w:tr>
      <w:tr w:rsidR="003011E1"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bCs/>
              </w:rPr>
            </w:pPr>
          </w:p>
          <w:p w:rsidR="003011E1" w:rsidRPr="00A23740" w:rsidRDefault="00F06498" w:rsidP="009431FF">
            <w:pPr>
              <w:ind w:firstLine="709"/>
            </w:pPr>
            <w:r w:rsidRPr="00A23740">
              <w:rPr>
                <w:b/>
              </w:rPr>
              <w:t>MADDE 351</w:t>
            </w:r>
            <w:r w:rsidR="003011E1" w:rsidRPr="00A23740">
              <w:rPr>
                <w:b/>
              </w:rPr>
              <w:t>-</w:t>
            </w:r>
            <w:r w:rsidR="003011E1" w:rsidRPr="00A23740">
              <w:t xml:space="preserve"> Maddeyle, </w:t>
            </w:r>
            <w:r w:rsidR="00ED596F" w:rsidRPr="00A23740">
              <w:t xml:space="preserve">geç kalan başvurulara </w:t>
            </w:r>
            <w:r w:rsidR="003011E1" w:rsidRPr="00A23740">
              <w:t xml:space="preserve">ilişkin hususlar düzenlenmektedir. Hüküm, 2004 sayılı Kanunun </w:t>
            </w:r>
            <w:r w:rsidR="00ED596F" w:rsidRPr="00A23740">
              <w:t xml:space="preserve">236 ncı maddesine </w:t>
            </w:r>
            <w:r w:rsidR="003011E1" w:rsidRPr="00A23740">
              <w:t xml:space="preserve">karşılık gelmektedir. </w:t>
            </w:r>
          </w:p>
          <w:p w:rsidR="00ED596F" w:rsidRPr="00A23740" w:rsidRDefault="00ED596F" w:rsidP="009431FF">
            <w:pPr>
              <w:ind w:firstLine="709"/>
            </w:pPr>
            <w:r w:rsidRPr="00A23740">
              <w:t xml:space="preserve">Birinci fıkrayla, olağan tasfiyeyle ilgili </w:t>
            </w:r>
            <w:r w:rsidR="00291CA3" w:rsidRPr="00F20491">
              <w:rPr>
                <w:bCs/>
              </w:rPr>
              <w:t>330 uncu</w:t>
            </w:r>
            <w:r w:rsidR="00291CA3" w:rsidRPr="00A23740">
              <w:rPr>
                <w:b/>
                <w:color w:val="0000FF"/>
                <w:szCs w:val="24"/>
              </w:rPr>
              <w:t xml:space="preserve"> </w:t>
            </w:r>
            <w:r w:rsidRPr="00A23740">
              <w:t xml:space="preserve">maddede belirlenen süreden sonra da iflasın kapanmasına kadar masaya alacağın yazdırılabileceği hükme bağlanmaktadır. Buna göre, geç yapılan başvuru sebebiyle </w:t>
            </w:r>
            <w:r w:rsidR="001A6925" w:rsidRPr="00F20491">
              <w:t xml:space="preserve">doğacak </w:t>
            </w:r>
            <w:r w:rsidRPr="00A23740">
              <w:t>gider</w:t>
            </w:r>
            <w:r w:rsidR="00F20491">
              <w:t>ler alacaklıdan peşinen alınır.</w:t>
            </w:r>
          </w:p>
          <w:p w:rsidR="00ED596F" w:rsidRPr="00A23740" w:rsidRDefault="00ED596F" w:rsidP="009431FF">
            <w:pPr>
              <w:ind w:firstLine="709"/>
            </w:pPr>
            <w:r w:rsidRPr="00A23740">
              <w:t xml:space="preserve">İkinci fıkraya göre, geç başvuran alacaklı önceden yapılmış paylaştırmaya katılamaz. </w:t>
            </w:r>
          </w:p>
          <w:p w:rsidR="00ED596F" w:rsidRPr="00A23740" w:rsidRDefault="00ED596F" w:rsidP="009431FF">
            <w:pPr>
              <w:ind w:firstLine="709"/>
            </w:pPr>
            <w:r w:rsidRPr="00A23740">
              <w:t>Üçüncü fıkrayla, iflas idaresinin alacağı kabul etmesi h</w:t>
            </w:r>
            <w:r w:rsidR="00291CA3" w:rsidRPr="00A23740">
              <w:t>â</w:t>
            </w:r>
            <w:r w:rsidRPr="00A23740">
              <w:t>linde sıra cetvelininin düzeltileceği ve bu h</w:t>
            </w:r>
            <w:r w:rsidR="00291CA3" w:rsidRPr="00A23740">
              <w:t>â</w:t>
            </w:r>
            <w:r w:rsidRPr="00A23740">
              <w:t>lde de sıra cetvelinin süresi ve şekliyle ilgili</w:t>
            </w:r>
            <w:r w:rsidR="00291CA3" w:rsidRPr="00A23740">
              <w:t xml:space="preserve"> </w:t>
            </w:r>
            <w:r w:rsidR="00291CA3" w:rsidRPr="00F20491">
              <w:rPr>
                <w:bCs/>
              </w:rPr>
              <w:t>347 nci</w:t>
            </w:r>
            <w:r w:rsidRPr="00A23740">
              <w:t xml:space="preserve"> maddenin birinci fıkrası hükmünün uygulanacağı düzenlenmektedir.</w:t>
            </w:r>
          </w:p>
          <w:p w:rsidR="00ED596F" w:rsidRPr="00A23740" w:rsidRDefault="00ED596F" w:rsidP="009431FF">
            <w:pPr>
              <w:ind w:firstLine="709"/>
            </w:pPr>
            <w:r w:rsidRPr="00A23740">
              <w:t>Dördüncü fıkraya göre, sıra cetveline itiraz davası ve şik</w:t>
            </w:r>
            <w:r w:rsidR="00291CA3" w:rsidRPr="00A23740">
              <w:t>â</w:t>
            </w:r>
            <w:r w:rsidRPr="00A23740">
              <w:t xml:space="preserve">yetle ilgili </w:t>
            </w:r>
            <w:r w:rsidR="0018368F" w:rsidRPr="00F20491">
              <w:rPr>
                <w:bCs/>
              </w:rPr>
              <w:t>350 nci</w:t>
            </w:r>
            <w:r w:rsidR="0018368F" w:rsidRPr="00A23740">
              <w:t xml:space="preserve"> </w:t>
            </w:r>
            <w:r w:rsidRPr="00A23740">
              <w:t xml:space="preserve">madde hükmü burada da uygulanır. </w:t>
            </w:r>
          </w:p>
          <w:p w:rsidR="003011E1" w:rsidRPr="00A23740" w:rsidRDefault="003011E1" w:rsidP="009A013D"/>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V. MASANIN TASFİYESİ</w:t>
            </w: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pStyle w:val="KIRMIZI"/>
              <w:rPr>
                <w:lang w:val="tr-TR"/>
              </w:rPr>
            </w:pPr>
          </w:p>
          <w:p w:rsidR="00AA5C8C" w:rsidRPr="00A23740" w:rsidRDefault="00AA5C8C" w:rsidP="009431FF">
            <w:pPr>
              <w:tabs>
                <w:tab w:val="left" w:pos="567"/>
              </w:tabs>
              <w:rPr>
                <w:szCs w:val="24"/>
              </w:rPr>
            </w:pPr>
            <w:r w:rsidRPr="00A23740">
              <w:rPr>
                <w:szCs w:val="24"/>
              </w:rPr>
              <w:t xml:space="preserve">İkinci alacaklılar </w:t>
            </w:r>
            <w:r w:rsidRPr="00A23740">
              <w:rPr>
                <w:rStyle w:val="KIRMIZIChar"/>
                <w:rFonts w:eastAsia="Calibri"/>
              </w:rPr>
              <w:t>toplanması:</w:t>
            </w:r>
          </w:p>
          <w:p w:rsidR="00AA5C8C" w:rsidRPr="00A23740" w:rsidRDefault="00AA5C8C" w:rsidP="009431FF">
            <w:pPr>
              <w:tabs>
                <w:tab w:val="left" w:pos="567"/>
              </w:tabs>
              <w:rPr>
                <w:szCs w:val="24"/>
              </w:rPr>
            </w:pPr>
            <w:r w:rsidRPr="00A23740">
              <w:rPr>
                <w:rStyle w:val="KIRMIZIChar"/>
                <w:rFonts w:eastAsia="Calibri"/>
              </w:rPr>
              <w:t>Madde 237 – (1) (Değişik</w:t>
            </w:r>
            <w:r w:rsidRPr="00A23740">
              <w:rPr>
                <w:b/>
                <w:strike/>
                <w:color w:val="FF0000"/>
                <w:szCs w:val="24"/>
              </w:rPr>
              <w:t xml:space="preserve"> birinci fıkra: 9/11/1988 - 3494/50 md.)</w:t>
            </w:r>
            <w:r w:rsidRPr="00A23740">
              <w:rPr>
                <w:szCs w:val="24"/>
              </w:rPr>
              <w:t xml:space="preserve"> İflas idaresi, alacakların tespit işini </w:t>
            </w:r>
            <w:r w:rsidRPr="00A23740">
              <w:rPr>
                <w:rStyle w:val="KIRMIZIChar"/>
                <w:rFonts w:eastAsia="Calibri"/>
              </w:rPr>
              <w:t>yaptıktan</w:t>
            </w:r>
            <w:r w:rsidRPr="00A23740">
              <w:rPr>
                <w:szCs w:val="24"/>
              </w:rPr>
              <w:t xml:space="preserve"> sonra, </w:t>
            </w:r>
            <w:r w:rsidRPr="00A23740">
              <w:rPr>
                <w:rStyle w:val="KIRMIZIChar"/>
                <w:rFonts w:eastAsia="Calibri"/>
              </w:rPr>
              <w:t>232 nci</w:t>
            </w:r>
            <w:r w:rsidRPr="00A23740">
              <w:rPr>
                <w:szCs w:val="24"/>
              </w:rPr>
              <w:t xml:space="preserve"> maddedeki sürenin bitiminde alacakları tamamen veya kısmen idarece kabul edilen alacaklılar ile sıra cetveline kayıt davası açmış alacaklılardan </w:t>
            </w:r>
            <w:r w:rsidRPr="00A23740">
              <w:rPr>
                <w:rStyle w:val="KIRMIZIChar"/>
                <w:rFonts w:eastAsia="Calibri"/>
              </w:rPr>
              <w:t>235 inci</w:t>
            </w:r>
            <w:r w:rsidRPr="00A23740">
              <w:rPr>
                <w:szCs w:val="24"/>
              </w:rPr>
              <w:t xml:space="preserve"> maddeye göre katılmalarına karar verilmiş olanları da ikinci toplantıya ilanla davet eder.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İlan, en az </w:t>
            </w:r>
            <w:r w:rsidRPr="00A23740">
              <w:rPr>
                <w:b/>
                <w:strike/>
                <w:color w:val="FF0000"/>
                <w:szCs w:val="24"/>
              </w:rPr>
              <w:t>yirmi gün evvel</w:t>
            </w:r>
            <w:r w:rsidRPr="00A23740">
              <w:rPr>
                <w:b/>
                <w:color w:val="FF0000"/>
                <w:szCs w:val="24"/>
              </w:rPr>
              <w:t xml:space="preserve"> </w:t>
            </w:r>
            <w:r w:rsidRPr="00A23740">
              <w:rPr>
                <w:szCs w:val="24"/>
              </w:rPr>
              <w:t>yapılır ve ilanın birer nüshası alacaklılara gönderilir.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F06498" w:rsidRPr="00A23740" w:rsidRDefault="00F06498"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rStyle w:val="KIRMIZIChar"/>
                <w:rFonts w:eastAsia="Calibri"/>
              </w:rPr>
              <w:t>(3)</w:t>
            </w:r>
            <w:r w:rsidRPr="00A23740">
              <w:rPr>
                <w:szCs w:val="24"/>
              </w:rPr>
              <w:t xml:space="preserve"> Konkordato teklifi </w:t>
            </w:r>
            <w:r w:rsidRPr="00A23740">
              <w:rPr>
                <w:b/>
                <w:strike/>
                <w:color w:val="FF0000"/>
                <w:szCs w:val="24"/>
              </w:rPr>
              <w:t>hakkında müzakere cereyan edecekse davette bu cihet de bildirilmelidir.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(4)</w:t>
            </w:r>
            <w:r w:rsidRPr="00A23740">
              <w:rPr>
                <w:szCs w:val="24"/>
              </w:rPr>
              <w:t xml:space="preserve"> </w:t>
            </w:r>
            <w:r w:rsidRPr="00A23740">
              <w:rPr>
                <w:rStyle w:val="KIRMIZIChar"/>
                <w:rFonts w:eastAsia="Calibri"/>
              </w:rPr>
              <w:t>Toplanmıya</w:t>
            </w:r>
            <w:r w:rsidRPr="00A23740">
              <w:rPr>
                <w:szCs w:val="24"/>
              </w:rPr>
              <w:t xml:space="preserve"> iflas </w:t>
            </w:r>
            <w:r w:rsidRPr="00A23740">
              <w:rPr>
                <w:b/>
                <w:strike/>
                <w:color w:val="FF0000"/>
                <w:szCs w:val="24"/>
              </w:rPr>
              <w:t>memuru</w:t>
            </w:r>
            <w:r w:rsidRPr="00A23740">
              <w:rPr>
                <w:szCs w:val="24"/>
              </w:rPr>
              <w:t xml:space="preserve"> veya yardımcısı </w:t>
            </w:r>
            <w:r w:rsidRPr="00A23740">
              <w:rPr>
                <w:b/>
                <w:strike/>
                <w:color w:val="FF0000"/>
                <w:szCs w:val="24"/>
              </w:rPr>
              <w:t>reislik</w:t>
            </w:r>
            <w:r w:rsidRPr="00A23740">
              <w:rPr>
                <w:szCs w:val="24"/>
              </w:rPr>
              <w:t xml:space="preserve"> eder. </w:t>
            </w:r>
            <w:r w:rsidRPr="00A23740">
              <w:rPr>
                <w:rStyle w:val="KIRMIZIChar"/>
                <w:rFonts w:eastAsia="Calibri"/>
              </w:rPr>
              <w:t>221 inci</w:t>
            </w:r>
            <w:r w:rsidRPr="00A23740">
              <w:rPr>
                <w:szCs w:val="24"/>
              </w:rPr>
              <w:t xml:space="preserve"> maddenin </w:t>
            </w:r>
            <w:r w:rsidRPr="00A23740">
              <w:rPr>
                <w:rStyle w:val="KIRMIZIChar"/>
                <w:rFonts w:eastAsia="Calibri"/>
              </w:rPr>
              <w:t>2</w:t>
            </w:r>
            <w:r w:rsidRPr="00A23740">
              <w:rPr>
                <w:szCs w:val="24"/>
              </w:rPr>
              <w:t xml:space="preserve"> ve </w:t>
            </w:r>
            <w:r w:rsidRPr="00A23740">
              <w:rPr>
                <w:rStyle w:val="KIRMIZIChar"/>
                <w:rFonts w:eastAsia="Calibri"/>
              </w:rPr>
              <w:t>3 üncü</w:t>
            </w:r>
            <w:r w:rsidRPr="00A23740">
              <w:rPr>
                <w:szCs w:val="24"/>
              </w:rPr>
              <w:t xml:space="preserve"> fıkraları burada da </w:t>
            </w:r>
            <w:r w:rsidRPr="00A23740">
              <w:rPr>
                <w:b/>
                <w:strike/>
                <w:color w:val="FF0000"/>
                <w:szCs w:val="24"/>
              </w:rPr>
              <w:t>caridir</w:t>
            </w:r>
            <w:r w:rsidRPr="00A23740">
              <w:rPr>
                <w:szCs w:val="24"/>
              </w:rPr>
              <w:t>.</w:t>
            </w:r>
          </w:p>
          <w:p w:rsidR="00AA5C8C" w:rsidRPr="00A23740" w:rsidRDefault="00AA5C8C" w:rsidP="009431FF">
            <w:pPr>
              <w:tabs>
                <w:tab w:val="left" w:pos="567"/>
              </w:tabs>
              <w:rPr>
                <w:szCs w:val="24"/>
              </w:rPr>
            </w:pPr>
          </w:p>
        </w:tc>
        <w:tc>
          <w:tcPr>
            <w:tcW w:w="2500" w:type="pct"/>
          </w:tcPr>
          <w:p w:rsidR="00AA5C8C" w:rsidRPr="00A23740" w:rsidRDefault="00AA5C8C" w:rsidP="009431FF">
            <w:pPr>
              <w:pStyle w:val="MAV"/>
              <w:jc w:val="center"/>
              <w:rPr>
                <w:b w:val="0"/>
                <w:u w:val="none"/>
                <w:lang w:val="tr-TR"/>
              </w:rPr>
            </w:pPr>
            <w:r w:rsidRPr="00A23740">
              <w:rPr>
                <w:u w:val="none"/>
                <w:lang w:val="tr-TR"/>
              </w:rPr>
              <w:t>BEŞİNCİ AYRIM</w:t>
            </w:r>
          </w:p>
          <w:p w:rsidR="00AA5C8C" w:rsidRPr="00A23740" w:rsidRDefault="00AA5C8C" w:rsidP="009431FF">
            <w:pPr>
              <w:pStyle w:val="MAV"/>
              <w:jc w:val="center"/>
              <w:rPr>
                <w:u w:val="none"/>
                <w:lang w:val="tr-TR"/>
              </w:rPr>
            </w:pPr>
            <w:r w:rsidRPr="00A23740">
              <w:rPr>
                <w:u w:val="none"/>
                <w:lang w:val="tr-TR"/>
              </w:rPr>
              <w:t>Masanın Tasfiyesi</w:t>
            </w:r>
          </w:p>
          <w:p w:rsidR="00AA5C8C" w:rsidRPr="00A23740" w:rsidRDefault="00AA5C8C" w:rsidP="009431FF">
            <w:pPr>
              <w:pStyle w:val="MAV"/>
              <w:jc w:val="center"/>
              <w:rPr>
                <w:u w:val="none"/>
                <w:lang w:val="tr-TR"/>
              </w:rPr>
            </w:pPr>
          </w:p>
          <w:p w:rsidR="00AA5C8C" w:rsidRPr="00A23740" w:rsidRDefault="00AA5C8C" w:rsidP="009431FF">
            <w:pPr>
              <w:pStyle w:val="MAV"/>
              <w:jc w:val="center"/>
              <w:rPr>
                <w:u w:val="none"/>
                <w:lang w:val="tr-TR"/>
              </w:rPr>
            </w:pPr>
            <w:r w:rsidRPr="00A23740">
              <w:rPr>
                <w:u w:val="none"/>
                <w:lang w:val="tr-TR"/>
              </w:rPr>
              <w:t>BİRİNCİ ALT AYRIM</w:t>
            </w:r>
          </w:p>
          <w:p w:rsidR="00AA5C8C" w:rsidRPr="00A23740" w:rsidRDefault="00AA5C8C" w:rsidP="009431FF">
            <w:pPr>
              <w:pStyle w:val="MAV"/>
              <w:jc w:val="center"/>
              <w:rPr>
                <w:u w:val="none"/>
                <w:lang w:val="tr-TR"/>
              </w:rPr>
            </w:pPr>
            <w:r w:rsidRPr="00A23740">
              <w:rPr>
                <w:u w:val="none"/>
                <w:lang w:val="tr-TR"/>
              </w:rPr>
              <w:t>İkinci Alacaklılar Toplantısı</w:t>
            </w:r>
          </w:p>
          <w:p w:rsidR="00AA5C8C" w:rsidRPr="00A23740" w:rsidRDefault="00AA5C8C" w:rsidP="009431FF">
            <w:pPr>
              <w:pStyle w:val="MAV"/>
              <w:jc w:val="center"/>
              <w:rPr>
                <w:u w:val="none"/>
                <w:lang w:val="tr-TR"/>
              </w:rPr>
            </w:pPr>
          </w:p>
          <w:p w:rsidR="00AA5C8C" w:rsidRPr="00A23740" w:rsidRDefault="00AA5C8C" w:rsidP="009431FF">
            <w:pPr>
              <w:tabs>
                <w:tab w:val="left" w:pos="567"/>
              </w:tabs>
              <w:rPr>
                <w:b/>
                <w:szCs w:val="24"/>
              </w:rPr>
            </w:pPr>
            <w:r w:rsidRPr="00A23740">
              <w:rPr>
                <w:b/>
                <w:szCs w:val="24"/>
              </w:rPr>
              <w:t xml:space="preserve">İkinci alacaklılar </w:t>
            </w:r>
            <w:r w:rsidRPr="00A23740">
              <w:rPr>
                <w:rStyle w:val="MAVChar"/>
                <w:rFonts w:eastAsia="Calibri"/>
                <w:u w:val="none"/>
              </w:rPr>
              <w:t>toplantısına davet</w:t>
            </w:r>
            <w:r w:rsidRPr="00A23740">
              <w:rPr>
                <w:b/>
                <w:szCs w:val="24"/>
              </w:rPr>
              <w:t xml:space="preserve"> </w:t>
            </w:r>
          </w:p>
          <w:p w:rsidR="00AA5C8C" w:rsidRPr="00A23740" w:rsidRDefault="00AA5C8C" w:rsidP="009431FF">
            <w:pPr>
              <w:tabs>
                <w:tab w:val="left" w:pos="567"/>
              </w:tabs>
              <w:rPr>
                <w:szCs w:val="24"/>
              </w:rPr>
            </w:pPr>
            <w:r w:rsidRPr="00A23740">
              <w:rPr>
                <w:rStyle w:val="MaviChar"/>
                <w:lang w:val="tr-TR"/>
              </w:rPr>
              <w:t xml:space="preserve">MADDE </w:t>
            </w:r>
            <w:r w:rsidR="0018368F" w:rsidRPr="00A23740">
              <w:rPr>
                <w:rStyle w:val="MaviChar"/>
              </w:rPr>
              <w:t>352</w:t>
            </w:r>
            <w:r w:rsidRPr="00A23740">
              <w:rPr>
                <w:rStyle w:val="MaviChar"/>
                <w:lang w:val="tr-TR"/>
              </w:rPr>
              <w:t>- (</w:t>
            </w:r>
            <w:r w:rsidRPr="00A23740">
              <w:rPr>
                <w:b/>
                <w:color w:val="0000FF"/>
                <w:szCs w:val="24"/>
              </w:rPr>
              <w:t>1)</w:t>
            </w:r>
            <w:r w:rsidRPr="00A23740">
              <w:rPr>
                <w:b/>
                <w:szCs w:val="24"/>
              </w:rPr>
              <w:t xml:space="preserve"> </w:t>
            </w:r>
            <w:r w:rsidRPr="00A23740">
              <w:rPr>
                <w:szCs w:val="24"/>
              </w:rPr>
              <w:t>İflas idaresi, alacakları</w:t>
            </w:r>
            <w:r w:rsidR="00575A70">
              <w:rPr>
                <w:szCs w:val="24"/>
              </w:rPr>
              <w:t xml:space="preserve"> </w:t>
            </w:r>
            <w:r w:rsidR="00E46F2C" w:rsidRPr="00F20491">
              <w:rPr>
                <w:rStyle w:val="MaviChar"/>
              </w:rPr>
              <w:t>tespit ettikten</w:t>
            </w:r>
            <w:r w:rsidR="00E46F2C" w:rsidRPr="00A23740">
              <w:rPr>
                <w:rStyle w:val="KIRMIZIChar"/>
                <w:rFonts w:eastAsia="Calibri"/>
                <w:strike w:val="0"/>
                <w:color w:val="538135"/>
              </w:rPr>
              <w:t xml:space="preserve"> </w:t>
            </w:r>
            <w:r w:rsidRPr="00A23740">
              <w:rPr>
                <w:szCs w:val="24"/>
              </w:rPr>
              <w:t xml:space="preserve">sonra, </w:t>
            </w:r>
            <w:r w:rsidR="0018368F" w:rsidRPr="00A23740">
              <w:rPr>
                <w:rStyle w:val="Balk1Char"/>
                <w:rFonts w:eastAsia="Calibri"/>
              </w:rPr>
              <w:t>sıra cetvelinin hazırlanmasına ilişkin 347 nci</w:t>
            </w:r>
            <w:r w:rsidRPr="00A23740">
              <w:rPr>
                <w:szCs w:val="24"/>
              </w:rPr>
              <w:t xml:space="preserve"> maddedeki sürenin bitiminde</w:t>
            </w:r>
            <w:r w:rsidR="00E46F2C" w:rsidRPr="00575A70">
              <w:rPr>
                <w:rStyle w:val="Balk1Char"/>
                <w:rFonts w:eastAsia="Calibri"/>
              </w:rPr>
              <w:t>,</w:t>
            </w:r>
            <w:r w:rsidRPr="00A23740">
              <w:rPr>
                <w:szCs w:val="24"/>
              </w:rPr>
              <w:t xml:space="preserve"> alacakları tamamen veya kısmen idarece kabul edilen alacaklılar ile sıra cetveline kayıt </w:t>
            </w:r>
            <w:r w:rsidRPr="00A23740">
              <w:rPr>
                <w:rStyle w:val="MaviChar"/>
              </w:rPr>
              <w:t>için itiraz</w:t>
            </w:r>
            <w:r w:rsidRPr="00A23740">
              <w:rPr>
                <w:szCs w:val="24"/>
              </w:rPr>
              <w:t xml:space="preserve"> davası açmış alacaklılardan</w:t>
            </w:r>
            <w:r w:rsidR="0018368F" w:rsidRPr="00A23740">
              <w:rPr>
                <w:szCs w:val="24"/>
              </w:rPr>
              <w:t xml:space="preserve"> </w:t>
            </w:r>
            <w:r w:rsidR="0018368F" w:rsidRPr="00A23740">
              <w:rPr>
                <w:rStyle w:val="Balk1Char"/>
                <w:rFonts w:eastAsia="Calibri"/>
              </w:rPr>
              <w:t>350 nci</w:t>
            </w:r>
            <w:r w:rsidRPr="00A23740">
              <w:rPr>
                <w:szCs w:val="24"/>
              </w:rPr>
              <w:t xml:space="preserve"> maddeye göre katılmalarına karar verilmiş olanları ikinci </w:t>
            </w:r>
            <w:r w:rsidR="0018368F" w:rsidRPr="00A23740">
              <w:rPr>
                <w:rStyle w:val="Balk1Char"/>
                <w:rFonts w:eastAsia="Calibri"/>
              </w:rPr>
              <w:t>alacaklılar toplantısına</w:t>
            </w:r>
            <w:r w:rsidR="0018368F" w:rsidRPr="00A23740">
              <w:rPr>
                <w:szCs w:val="24"/>
              </w:rPr>
              <w:t xml:space="preserve"> </w:t>
            </w:r>
            <w:r w:rsidRPr="00A23740">
              <w:rPr>
                <w:szCs w:val="24"/>
              </w:rPr>
              <w:t>ilanla davet eder.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FF0000"/>
                <w:szCs w:val="24"/>
              </w:rPr>
            </w:pPr>
            <w:r w:rsidRPr="00A23740">
              <w:rPr>
                <w:b/>
                <w:color w:val="0000FF"/>
                <w:szCs w:val="24"/>
              </w:rPr>
              <w:t xml:space="preserve">(2) </w:t>
            </w:r>
            <w:r w:rsidRPr="00A23740">
              <w:rPr>
                <w:szCs w:val="24"/>
              </w:rPr>
              <w:t xml:space="preserve">İlan, </w:t>
            </w:r>
            <w:r w:rsidRPr="00A23740">
              <w:rPr>
                <w:rStyle w:val="Stil2Char"/>
                <w:rFonts w:eastAsia="Calibri"/>
                <w:u w:val="none"/>
              </w:rPr>
              <w:t>toplantıdan</w:t>
            </w:r>
            <w:r w:rsidRPr="00A23740">
              <w:rPr>
                <w:szCs w:val="24"/>
              </w:rPr>
              <w:t xml:space="preserve"> en az </w:t>
            </w:r>
            <w:r w:rsidRPr="00A23740">
              <w:rPr>
                <w:b/>
                <w:color w:val="0000FF"/>
                <w:szCs w:val="24"/>
              </w:rPr>
              <w:t xml:space="preserve">bir </w:t>
            </w:r>
            <w:r w:rsidRPr="00A23740">
              <w:rPr>
                <w:rStyle w:val="MAVChar"/>
                <w:rFonts w:eastAsia="Calibri"/>
                <w:u w:val="none"/>
              </w:rPr>
              <w:t>ay önce</w:t>
            </w:r>
            <w:r w:rsidRPr="00A23740">
              <w:rPr>
                <w:szCs w:val="24"/>
              </w:rPr>
              <w:t xml:space="preserve"> yapılır ve ilanın birer </w:t>
            </w:r>
            <w:r w:rsidR="0018368F" w:rsidRPr="00A23740">
              <w:rPr>
                <w:rStyle w:val="Balk1Char"/>
                <w:rFonts w:eastAsia="Calibri"/>
              </w:rPr>
              <w:t>örneği,</w:t>
            </w:r>
            <w:r w:rsidR="0018368F" w:rsidRPr="00A23740">
              <w:rPr>
                <w:szCs w:val="24"/>
              </w:rPr>
              <w:t xml:space="preserve"> </w:t>
            </w:r>
            <w:r w:rsidR="0018368F" w:rsidRPr="00A23740">
              <w:rPr>
                <w:b/>
                <w:color w:val="0000FF"/>
                <w:szCs w:val="24"/>
              </w:rPr>
              <w:t xml:space="preserve">iflas idaresinin kararlarının bildirilmesine ilişkin 340 ıncı </w:t>
            </w:r>
            <w:r w:rsidRPr="00A23740">
              <w:rPr>
                <w:rStyle w:val="MaviChar"/>
              </w:rPr>
              <w:t>maddenin</w:t>
            </w:r>
            <w:r w:rsidR="0018368F" w:rsidRPr="00A23740">
              <w:rPr>
                <w:rStyle w:val="MaviChar"/>
                <w:lang w:val="tr-TR"/>
              </w:rPr>
              <w:t xml:space="preserve"> üçüncü</w:t>
            </w:r>
            <w:r w:rsidRPr="00A23740">
              <w:rPr>
                <w:rStyle w:val="MaviChar"/>
              </w:rPr>
              <w:t xml:space="preserve"> fıkrasına </w:t>
            </w:r>
            <w:r w:rsidRPr="00A23740">
              <w:rPr>
                <w:b/>
                <w:color w:val="0000FF"/>
                <w:szCs w:val="24"/>
              </w:rPr>
              <w:t xml:space="preserve">göre gider yatıran </w:t>
            </w:r>
            <w:r w:rsidRPr="00A23740">
              <w:rPr>
                <w:szCs w:val="24"/>
              </w:rPr>
              <w:t xml:space="preserve">alacaklılara </w:t>
            </w:r>
            <w:r w:rsidR="0018368F" w:rsidRPr="00A23740">
              <w:rPr>
                <w:rStyle w:val="Balk1Char"/>
                <w:rFonts w:eastAsia="Calibri"/>
              </w:rPr>
              <w:t>tebliğ edilir.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w:t>
            </w:r>
            <w:r w:rsidRPr="00A23740">
              <w:rPr>
                <w:rStyle w:val="Stil2Char"/>
                <w:rFonts w:eastAsia="Calibri"/>
                <w:u w:val="none"/>
              </w:rPr>
              <w:t>3) İflasın</w:t>
            </w:r>
            <w:r w:rsidRPr="00A23740">
              <w:rPr>
                <w:b/>
                <w:color w:val="0000FF"/>
                <w:szCs w:val="24"/>
              </w:rPr>
              <w:t xml:space="preserve"> açılmasından önce müflise karşı dava açan alacaklının ikinci alacaklar </w:t>
            </w:r>
            <w:r w:rsidRPr="00A23740">
              <w:rPr>
                <w:rStyle w:val="MaviChar"/>
              </w:rPr>
              <w:t>toplantısına</w:t>
            </w:r>
            <w:r w:rsidRPr="00A23740">
              <w:rPr>
                <w:b/>
                <w:color w:val="0000FF"/>
                <w:szCs w:val="24"/>
              </w:rPr>
              <w:t xml:space="preserve"> katılıp katılmayacağı</w:t>
            </w:r>
            <w:r w:rsidR="0018368F" w:rsidRPr="00A23740">
              <w:rPr>
                <w:b/>
                <w:color w:val="0000FF"/>
                <w:szCs w:val="24"/>
              </w:rPr>
              <w:t>;</w:t>
            </w:r>
            <w:r w:rsidRPr="00A23740">
              <w:rPr>
                <w:b/>
                <w:color w:val="0000FF"/>
                <w:szCs w:val="24"/>
              </w:rPr>
              <w:t xml:space="preserve"> katılacaksa </w:t>
            </w:r>
            <w:r w:rsidRPr="00A23740">
              <w:rPr>
                <w:rStyle w:val="Balk1Char"/>
                <w:rFonts w:eastAsia="Calibri"/>
              </w:rPr>
              <w:t>ne</w:t>
            </w:r>
            <w:r w:rsidRPr="00A23740">
              <w:rPr>
                <w:b/>
                <w:color w:val="0000FF"/>
                <w:szCs w:val="24"/>
              </w:rPr>
              <w:t xml:space="preserve"> </w:t>
            </w:r>
            <w:r w:rsidR="0018368F" w:rsidRPr="00A23740">
              <w:rPr>
                <w:b/>
                <w:color w:val="0000FF"/>
                <w:szCs w:val="24"/>
              </w:rPr>
              <w:t>miktarda alacak için katılacağı</w:t>
            </w:r>
            <w:r w:rsidR="00281204" w:rsidRPr="00333897">
              <w:rPr>
                <w:rStyle w:val="Balk1Char"/>
                <w:rFonts w:eastAsia="Calibri"/>
              </w:rPr>
              <w:t>,</w:t>
            </w:r>
            <w:r w:rsidR="0018368F" w:rsidRPr="00A23740">
              <w:rPr>
                <w:b/>
                <w:color w:val="0000FF"/>
                <w:szCs w:val="24"/>
              </w:rPr>
              <w:t xml:space="preserve"> </w:t>
            </w:r>
            <w:r w:rsidRPr="00A23740">
              <w:rPr>
                <w:b/>
                <w:color w:val="0000FF"/>
                <w:szCs w:val="24"/>
              </w:rPr>
              <w:t>talep üzerine mahkemesince karara bağlanır.</w:t>
            </w:r>
            <w:r w:rsidR="001D66B7" w:rsidRPr="00A23740">
              <w:rPr>
                <w:b/>
                <w:color w:val="0000FF"/>
                <w:szCs w:val="24"/>
              </w:rPr>
              <w:t xml:space="preserve"> Bu durumda toplantıya katılan alacaklı kendi alacağına ilişkin oylamada oy kullanamaz. D</w:t>
            </w:r>
            <w:r w:rsidRPr="00A23740">
              <w:rPr>
                <w:b/>
                <w:color w:val="0000FF"/>
                <w:szCs w:val="24"/>
              </w:rPr>
              <w:t>aha önce konkordato talebinde bulunulmuş ve bu talep iflasla sonuçlanmışsa, konkordato yargılamasında</w:t>
            </w:r>
            <w:r w:rsidR="00DA4AEB" w:rsidRPr="00A23740">
              <w:rPr>
                <w:b/>
                <w:color w:val="0000FF"/>
                <w:szCs w:val="24"/>
              </w:rPr>
              <w:t xml:space="preserve"> </w:t>
            </w:r>
            <w:r w:rsidR="00DA4AEB" w:rsidRPr="00F20491">
              <w:rPr>
                <w:b/>
                <w:bCs/>
                <w:color w:val="0000FF"/>
                <w:szCs w:val="24"/>
              </w:rPr>
              <w:t>395 inci</w:t>
            </w:r>
            <w:r w:rsidRPr="00A23740">
              <w:rPr>
                <w:b/>
                <w:color w:val="0000FF"/>
                <w:szCs w:val="24"/>
              </w:rPr>
              <w:t xml:space="preserve"> maddenin beşinci fıkrası hükmü uyarınca verilmiş olan karar saklıdır. </w:t>
            </w:r>
          </w:p>
          <w:p w:rsidR="001D66B7" w:rsidRPr="00A23740" w:rsidRDefault="001D66B7"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(4) Müflisin</w:t>
            </w:r>
            <w:r w:rsidRPr="00A23740">
              <w:rPr>
                <w:szCs w:val="24"/>
              </w:rPr>
              <w:t xml:space="preserve"> konkordato teklifi </w:t>
            </w:r>
            <w:r w:rsidRPr="00A23740">
              <w:rPr>
                <w:b/>
                <w:color w:val="0000FF"/>
                <w:szCs w:val="24"/>
              </w:rPr>
              <w:t>varsa</w:t>
            </w:r>
            <w:r w:rsidRPr="00F20491">
              <w:rPr>
                <w:rStyle w:val="MaviChar"/>
              </w:rPr>
              <w:t>,</w:t>
            </w:r>
            <w:r w:rsidRPr="00A23740">
              <w:rPr>
                <w:b/>
                <w:color w:val="0000FF"/>
                <w:szCs w:val="24"/>
              </w:rPr>
              <w:t xml:space="preserve"> ilanda bu husus ve ayrıca </w:t>
            </w:r>
            <w:r w:rsidRPr="00A23740">
              <w:rPr>
                <w:rStyle w:val="MaviChar"/>
              </w:rPr>
              <w:t xml:space="preserve">konkordato </w:t>
            </w:r>
            <w:r w:rsidRPr="00A23740">
              <w:rPr>
                <w:b/>
                <w:color w:val="0000FF"/>
                <w:szCs w:val="24"/>
              </w:rPr>
              <w:t>teklifin</w:t>
            </w:r>
            <w:r w:rsidRPr="00A23740">
              <w:rPr>
                <w:rStyle w:val="MaviChar"/>
              </w:rPr>
              <w:t>in</w:t>
            </w:r>
            <w:r w:rsidRPr="00A23740">
              <w:rPr>
                <w:b/>
                <w:color w:val="0000FF"/>
                <w:szCs w:val="24"/>
              </w:rPr>
              <w:t xml:space="preserve"> müzakere edileceği </w:t>
            </w:r>
            <w:r w:rsidR="00281204" w:rsidRPr="00F20491">
              <w:rPr>
                <w:b/>
                <w:bCs/>
                <w:color w:val="0000FF"/>
              </w:rPr>
              <w:t>hususu</w:t>
            </w:r>
            <w:r w:rsidRPr="00F20491">
              <w:rPr>
                <w:b/>
                <w:color w:val="0000FF"/>
                <w:szCs w:val="24"/>
              </w:rPr>
              <w:t xml:space="preserve"> </w:t>
            </w:r>
            <w:r w:rsidRPr="00A23740">
              <w:rPr>
                <w:b/>
                <w:color w:val="0000FF"/>
                <w:szCs w:val="24"/>
              </w:rPr>
              <w:t>belirtilir.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(5)</w:t>
            </w:r>
            <w:r w:rsidRPr="00A23740">
              <w:rPr>
                <w:szCs w:val="24"/>
              </w:rPr>
              <w:t xml:space="preserve"> </w:t>
            </w:r>
            <w:r w:rsidRPr="00A23740">
              <w:rPr>
                <w:rStyle w:val="MaviChar"/>
              </w:rPr>
              <w:t>Toplantıya</w:t>
            </w:r>
            <w:r w:rsidRPr="00A23740">
              <w:rPr>
                <w:szCs w:val="24"/>
              </w:rPr>
              <w:t xml:space="preserve"> iflas </w:t>
            </w:r>
            <w:r w:rsidRPr="00A23740">
              <w:rPr>
                <w:b/>
                <w:color w:val="0000FF"/>
                <w:szCs w:val="24"/>
              </w:rPr>
              <w:t>müdürü</w:t>
            </w:r>
            <w:r w:rsidRPr="00A23740">
              <w:rPr>
                <w:szCs w:val="24"/>
              </w:rPr>
              <w:t xml:space="preserve"> veya </w:t>
            </w:r>
            <w:r w:rsidRPr="00A23740">
              <w:rPr>
                <w:rStyle w:val="MaviChar"/>
              </w:rPr>
              <w:t>yardımcılarından biri</w:t>
            </w:r>
            <w:r w:rsidRPr="00A23740">
              <w:rPr>
                <w:szCs w:val="24"/>
              </w:rPr>
              <w:t xml:space="preserve"> </w:t>
            </w:r>
            <w:r w:rsidRPr="00A23740">
              <w:rPr>
                <w:b/>
                <w:color w:val="0000FF"/>
                <w:szCs w:val="24"/>
              </w:rPr>
              <w:t>başkanlık</w:t>
            </w:r>
            <w:r w:rsidRPr="00A23740">
              <w:rPr>
                <w:szCs w:val="24"/>
              </w:rPr>
              <w:t xml:space="preserve"> eder. </w:t>
            </w:r>
            <w:r w:rsidRPr="00A23740">
              <w:rPr>
                <w:rStyle w:val="MaviChar"/>
              </w:rPr>
              <w:t xml:space="preserve">Toplantı ve karar </w:t>
            </w:r>
            <w:r w:rsidR="00063825" w:rsidRPr="00F20491">
              <w:rPr>
                <w:rStyle w:val="MaviChar"/>
              </w:rPr>
              <w:t>yeter sayısı</w:t>
            </w:r>
            <w:r w:rsidRPr="00A23740">
              <w:rPr>
                <w:rStyle w:val="MaviChar"/>
              </w:rPr>
              <w:t xml:space="preserve"> bakımından</w:t>
            </w:r>
            <w:r w:rsidRPr="00A23740">
              <w:rPr>
                <w:szCs w:val="24"/>
              </w:rPr>
              <w:t xml:space="preserve"> </w:t>
            </w:r>
            <w:r w:rsidR="008054BA" w:rsidRPr="00A23740">
              <w:rPr>
                <w:rStyle w:val="Balk1Char"/>
                <w:rFonts w:eastAsia="Calibri"/>
              </w:rPr>
              <w:t>birinci alacaklılar toplantısına ilişkin</w:t>
            </w:r>
            <w:r w:rsidR="00646A5C" w:rsidRPr="00A23740">
              <w:rPr>
                <w:rStyle w:val="Balk1Char"/>
                <w:rFonts w:eastAsia="Calibri"/>
              </w:rPr>
              <w:t xml:space="preserve"> </w:t>
            </w:r>
            <w:r w:rsidR="00646A5C" w:rsidRPr="00F20491">
              <w:rPr>
                <w:rStyle w:val="MaviChar"/>
              </w:rPr>
              <w:t>333 üncü</w:t>
            </w:r>
            <w:r w:rsidR="008054BA" w:rsidRPr="00A23740">
              <w:rPr>
                <w:szCs w:val="24"/>
              </w:rPr>
              <w:t xml:space="preserve"> </w:t>
            </w:r>
            <w:r w:rsidRPr="00A23740">
              <w:rPr>
                <w:szCs w:val="24"/>
              </w:rPr>
              <w:t xml:space="preserve">maddenin </w:t>
            </w:r>
            <w:r w:rsidRPr="00A23740">
              <w:rPr>
                <w:rStyle w:val="MaviChar"/>
                <w:lang w:val="tr-TR"/>
              </w:rPr>
              <w:t>üçüncü</w:t>
            </w:r>
            <w:r w:rsidRPr="00A23740">
              <w:rPr>
                <w:szCs w:val="24"/>
              </w:rPr>
              <w:t xml:space="preserve"> ve </w:t>
            </w:r>
            <w:r w:rsidR="008A25DC" w:rsidRPr="00F20491">
              <w:rPr>
                <w:rStyle w:val="MaviChar"/>
              </w:rPr>
              <w:t>dördüncü</w:t>
            </w:r>
            <w:r w:rsidRPr="00A23740">
              <w:rPr>
                <w:szCs w:val="24"/>
              </w:rPr>
              <w:t xml:space="preserve"> fıkraları burada da </w:t>
            </w:r>
            <w:r w:rsidRPr="00A23740">
              <w:rPr>
                <w:b/>
                <w:color w:val="0000FF"/>
                <w:szCs w:val="24"/>
              </w:rPr>
              <w:t>uygulanır</w:t>
            </w:r>
            <w:r w:rsidRPr="00A23740">
              <w:rPr>
                <w:szCs w:val="24"/>
              </w:rPr>
              <w:t>.</w:t>
            </w:r>
          </w:p>
          <w:p w:rsidR="00AA5C8C" w:rsidRPr="00A23740" w:rsidRDefault="00AA5C8C" w:rsidP="009431FF">
            <w:pPr>
              <w:tabs>
                <w:tab w:val="left" w:pos="567"/>
              </w:tabs>
              <w:rPr>
                <w:b/>
                <w:color w:val="FF0000"/>
                <w:szCs w:val="24"/>
              </w:rPr>
            </w:pPr>
          </w:p>
        </w:tc>
      </w:tr>
      <w:tr w:rsidR="0073198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rPr>
                <w:b/>
              </w:rPr>
            </w:pPr>
          </w:p>
          <w:p w:rsidR="00731980" w:rsidRPr="00A23740" w:rsidRDefault="003011E1" w:rsidP="009431FF">
            <w:pPr>
              <w:ind w:firstLine="709"/>
            </w:pPr>
            <w:r w:rsidRPr="00A23740">
              <w:rPr>
                <w:b/>
              </w:rPr>
              <w:t>M</w:t>
            </w:r>
            <w:r w:rsidR="00DC6B9B" w:rsidRPr="00A23740">
              <w:rPr>
                <w:b/>
              </w:rPr>
              <w:t>ADDE 352</w:t>
            </w:r>
            <w:r w:rsidRPr="00A23740">
              <w:rPr>
                <w:b/>
              </w:rPr>
              <w:t>-</w:t>
            </w:r>
            <w:r w:rsidRPr="00A23740">
              <w:t xml:space="preserve"> Maddeyle, ikinci alacaklılar toplantısına davete ilişkin hususlar düzenlenmektedir. Hüküm, 2004 sayılı Kanunun 237 nci maddesine karşılık gelmektedir. </w:t>
            </w:r>
          </w:p>
          <w:p w:rsidR="00731980" w:rsidRPr="00A23740" w:rsidRDefault="00731980" w:rsidP="009431FF">
            <w:pPr>
              <w:ind w:firstLine="709"/>
            </w:pPr>
            <w:r w:rsidRPr="00A23740">
              <w:t>Maddenin konusu iflas tasfiyesinin en önemli toplantısı olan ikinci alacaklılar toplantısına davettir. Bu toplantıya, alacakları iflas idaresi tarafından tamamen veya kısmen sıra cetveline kabul edilmiş iflas alacaklıları ile iflas idaresince alacak kayıt talepleri reddedilen ve sonrasında sıra cetveline itiraz davası açarak bu davanın görüldüğü mahkemeden alacaklılar toplantısına katılması konusunda karar getiren alacaklılar katılırlar. İflas idaresi</w:t>
            </w:r>
            <w:r w:rsidR="008054BA" w:rsidRPr="00575A70">
              <w:rPr>
                <w:bCs/>
              </w:rPr>
              <w:t>,</w:t>
            </w:r>
            <w:r w:rsidRPr="00A23740">
              <w:t xml:space="preserve"> bu alacaklıları </w:t>
            </w:r>
            <w:r w:rsidRPr="00A23740">
              <w:rPr>
                <w:szCs w:val="24"/>
              </w:rPr>
              <w:t xml:space="preserve">ikinci toplantıya ilanla davet eder. </w:t>
            </w:r>
          </w:p>
          <w:p w:rsidR="00731980" w:rsidRPr="00A23740" w:rsidRDefault="00731980" w:rsidP="009431FF">
            <w:pPr>
              <w:tabs>
                <w:tab w:val="left" w:pos="567"/>
              </w:tabs>
              <w:ind w:firstLine="709"/>
              <w:rPr>
                <w:lang w:val="x-none" w:eastAsia="x-none"/>
              </w:rPr>
            </w:pPr>
            <w:r w:rsidRPr="00A23740">
              <w:rPr>
                <w:szCs w:val="24"/>
              </w:rPr>
              <w:t>İkinci alacaklılar toplantısı ilanı toplantıdan en az bir ay önce yapıl</w:t>
            </w:r>
            <w:r w:rsidR="003011E1" w:rsidRPr="00A23740">
              <w:rPr>
                <w:szCs w:val="24"/>
              </w:rPr>
              <w:t>ır ve ilanın bir</w:t>
            </w:r>
            <w:r w:rsidR="008054BA" w:rsidRPr="00A23740">
              <w:rPr>
                <w:szCs w:val="24"/>
              </w:rPr>
              <w:t xml:space="preserve"> </w:t>
            </w:r>
            <w:r w:rsidR="008054BA" w:rsidRPr="00F20491">
              <w:rPr>
                <w:bCs/>
                <w:szCs w:val="24"/>
              </w:rPr>
              <w:t>örneği de</w:t>
            </w:r>
            <w:r w:rsidR="003011E1" w:rsidRPr="00A23740">
              <w:rPr>
                <w:szCs w:val="24"/>
              </w:rPr>
              <w:t xml:space="preserve"> </w:t>
            </w:r>
            <w:r w:rsidR="008054BA" w:rsidRPr="00F20491">
              <w:rPr>
                <w:bCs/>
                <w:szCs w:val="24"/>
              </w:rPr>
              <w:t xml:space="preserve">Taslağın </w:t>
            </w:r>
            <w:r w:rsidR="00646A5C" w:rsidRPr="00F20491">
              <w:rPr>
                <w:szCs w:val="24"/>
              </w:rPr>
              <w:t>340 ıncı</w:t>
            </w:r>
            <w:r w:rsidR="00646A5C" w:rsidRPr="00A23740">
              <w:rPr>
                <w:b/>
                <w:color w:val="0000FF"/>
                <w:szCs w:val="24"/>
              </w:rPr>
              <w:t xml:space="preserve"> </w:t>
            </w:r>
            <w:r w:rsidR="008054BA" w:rsidRPr="00F20491">
              <w:rPr>
                <w:bCs/>
                <w:szCs w:val="24"/>
              </w:rPr>
              <w:t>maddesinin üçüncü fıkrası</w:t>
            </w:r>
            <w:r w:rsidR="00575A70">
              <w:rPr>
                <w:szCs w:val="24"/>
              </w:rPr>
              <w:t xml:space="preserve"> </w:t>
            </w:r>
            <w:r w:rsidRPr="00A23740">
              <w:rPr>
                <w:szCs w:val="24"/>
              </w:rPr>
              <w:t xml:space="preserve">gereğince masraf yatıran alacaklılara tebliğ edilir. </w:t>
            </w:r>
          </w:p>
          <w:p w:rsidR="00900DB0" w:rsidRPr="00A23740" w:rsidRDefault="00731980" w:rsidP="009431FF">
            <w:pPr>
              <w:ind w:firstLine="709"/>
            </w:pPr>
            <w:r w:rsidRPr="00A23740">
              <w:t xml:space="preserve">İflasın açılmasından </w:t>
            </w:r>
            <w:r w:rsidRPr="00F20491">
              <w:rPr>
                <w:szCs w:val="24"/>
              </w:rPr>
              <w:t>sonra</w:t>
            </w:r>
            <w:r w:rsidR="00900DB0" w:rsidRPr="00F20491">
              <w:rPr>
                <w:bCs/>
                <w:szCs w:val="24"/>
              </w:rPr>
              <w:t>,</w:t>
            </w:r>
            <w:r w:rsidRPr="00F20491">
              <w:rPr>
                <w:szCs w:val="24"/>
              </w:rPr>
              <w:t xml:space="preserve"> açılan </w:t>
            </w:r>
            <w:r w:rsidR="00900DB0" w:rsidRPr="00F20491">
              <w:rPr>
                <w:bCs/>
                <w:szCs w:val="24"/>
              </w:rPr>
              <w:t>sıra cetveline itiraz davalarında</w:t>
            </w:r>
            <w:r w:rsidR="00900DB0" w:rsidRPr="00A23740">
              <w:t xml:space="preserve"> </w:t>
            </w:r>
            <w:r w:rsidRPr="00A23740">
              <w:t xml:space="preserve">olduğu gibi iflasın açılmasından önce müflise karşı açılan davalarda </w:t>
            </w:r>
            <w:r w:rsidR="008415B5" w:rsidRPr="00A23740">
              <w:t xml:space="preserve">da </w:t>
            </w:r>
            <w:r w:rsidRPr="00A23740">
              <w:t>davacının ikinci alacaklılar toplantısına katılıp katılamayacağı, katılacaksa hangi tutar üzerinde katılacağının davanın açıldığı mahkemece hükme bağlanacağı meselesi üçüncü fıkranın konusu olmuştur.</w:t>
            </w:r>
            <w:r w:rsidR="00900DB0" w:rsidRPr="00A23740">
              <w:t xml:space="preserve"> </w:t>
            </w:r>
            <w:r w:rsidR="00900DB0" w:rsidRPr="00F20491">
              <w:rPr>
                <w:bCs/>
              </w:rPr>
              <w:t>Bu h</w:t>
            </w:r>
            <w:r w:rsidR="00646A5C" w:rsidRPr="00F20491">
              <w:rPr>
                <w:bCs/>
              </w:rPr>
              <w:t>â</w:t>
            </w:r>
            <w:r w:rsidR="00900DB0" w:rsidRPr="00F20491">
              <w:rPr>
                <w:bCs/>
              </w:rPr>
              <w:t>lde</w:t>
            </w:r>
            <w:r w:rsidRPr="00A23740">
              <w:t xml:space="preserve"> </w:t>
            </w:r>
            <w:r w:rsidR="00900DB0" w:rsidRPr="00A23740">
              <w:t xml:space="preserve">toplantıya mahkeme kararıyla katılan alacaklının oy hakkına </w:t>
            </w:r>
            <w:r w:rsidR="00900DB0" w:rsidRPr="00F20491">
              <w:rPr>
                <w:bCs/>
              </w:rPr>
              <w:t>bir sınırlama getirilmiştir.</w:t>
            </w:r>
            <w:r w:rsidR="00900DB0" w:rsidRPr="00A23740">
              <w:t xml:space="preserve"> </w:t>
            </w:r>
            <w:r w:rsidR="00900DB0" w:rsidRPr="00F20491">
              <w:rPr>
                <w:bCs/>
              </w:rPr>
              <w:t>Buna göre,</w:t>
            </w:r>
            <w:r w:rsidR="00900DB0" w:rsidRPr="00A23740">
              <w:t xml:space="preserve"> mahkeme kararıyla toplantıya katılan alacaklı, kendi alacağına ilişkin oylamada oy kullanamayacaktır</w:t>
            </w:r>
            <w:r w:rsidR="008415B5" w:rsidRPr="00A23740">
              <w:t xml:space="preserve"> </w:t>
            </w:r>
            <w:r w:rsidR="009A2B15" w:rsidRPr="00A23740">
              <w:t>Güray Edoönmez, İflasta Alacaklılar Toplanmasının Yetkileri, İstanbul 2005, s.146-147)</w:t>
            </w:r>
            <w:r w:rsidR="00900DB0" w:rsidRPr="00A23740">
              <w:t xml:space="preserve">. </w:t>
            </w:r>
            <w:r w:rsidRPr="00A23740">
              <w:t>Şayet iflastan önce müflis konkordato talep etmiş ve bu talebi çerçevesinde devam eden yargılamada konkordato mahkemesi tarafından ç</w:t>
            </w:r>
            <w:r w:rsidR="003011E1" w:rsidRPr="00A23740">
              <w:t xml:space="preserve">ekişmeli alacaklar hakkında </w:t>
            </w:r>
            <w:r w:rsidR="00646A5C" w:rsidRPr="00F20491">
              <w:rPr>
                <w:bCs/>
              </w:rPr>
              <w:t>395 inci</w:t>
            </w:r>
            <w:r w:rsidRPr="00A23740">
              <w:t xml:space="preserve"> madde gereğince bir karar verilmişse, bu karar daha sonra borçlunun iflası h</w:t>
            </w:r>
            <w:r w:rsidR="00900DB0" w:rsidRPr="00A23740">
              <w:t>â</w:t>
            </w:r>
            <w:r w:rsidRPr="00A23740">
              <w:t>linde alacaklılar toplantısına katılma konusunda alacaklıya bir hak tanımaktadır. Konkordato alacaklısı çekişmeli alacağı hakkında konkordato mahkemesince verilen karar tutarında alacakl</w:t>
            </w:r>
            <w:r w:rsidR="00646A5C" w:rsidRPr="00A23740">
              <w:t>ılar toplantısına katılacaktır.</w:t>
            </w:r>
          </w:p>
          <w:p w:rsidR="00731980" w:rsidRPr="00A23740" w:rsidRDefault="00DC6B9B" w:rsidP="009431FF">
            <w:pPr>
              <w:ind w:firstLine="709"/>
              <w:rPr>
                <w:bCs/>
                <w:lang w:eastAsia="x-none"/>
              </w:rPr>
            </w:pPr>
            <w:r w:rsidRPr="00F20491">
              <w:rPr>
                <w:bCs/>
              </w:rPr>
              <w:t>M</w:t>
            </w:r>
            <w:r w:rsidR="00731980" w:rsidRPr="00F20491">
              <w:t>ü</w:t>
            </w:r>
            <w:r w:rsidR="00731980" w:rsidRPr="00A23740">
              <w:rPr>
                <w:bCs/>
                <w:lang w:eastAsia="x-none"/>
              </w:rPr>
              <w:t xml:space="preserve">flis konkordato talep etmişse, </w:t>
            </w:r>
            <w:r w:rsidR="00900DB0" w:rsidRPr="00F20491">
              <w:rPr>
                <w:lang w:eastAsia="x-none"/>
              </w:rPr>
              <w:t>ikinci alacaklılar toplantısında</w:t>
            </w:r>
            <w:r w:rsidR="00900DB0" w:rsidRPr="00A23740">
              <w:rPr>
                <w:bCs/>
                <w:lang w:eastAsia="x-none"/>
              </w:rPr>
              <w:t xml:space="preserve"> </w:t>
            </w:r>
            <w:r w:rsidR="00731980" w:rsidRPr="00A23740">
              <w:rPr>
                <w:bCs/>
                <w:lang w:eastAsia="x-none"/>
              </w:rPr>
              <w:t>konkordatonun görüşüleceğinin ilanda belirtilmesine kanun koyucu ayrı bir önem vermiştir. Şayet ilanda konkordato teklifinden söz edilmemişse</w:t>
            </w:r>
            <w:r w:rsidR="009A2B15" w:rsidRPr="00A23740">
              <w:rPr>
                <w:bCs/>
                <w:lang w:eastAsia="x-none"/>
              </w:rPr>
              <w:t>,</w:t>
            </w:r>
            <w:r w:rsidR="00731980" w:rsidRPr="00A23740">
              <w:rPr>
                <w:bCs/>
                <w:lang w:eastAsia="x-none"/>
              </w:rPr>
              <w:t xml:space="preserve"> alacaklılar toplantısında konkordatonun görüşülebilmesi mümkün değildir.</w:t>
            </w:r>
            <w:r w:rsidR="00900DB0" w:rsidRPr="00A23740">
              <w:rPr>
                <w:bCs/>
                <w:lang w:eastAsia="x-none"/>
              </w:rPr>
              <w:t xml:space="preserve"> </w:t>
            </w:r>
            <w:r w:rsidR="00900DB0" w:rsidRPr="00F20491">
              <w:rPr>
                <w:lang w:eastAsia="x-none"/>
              </w:rPr>
              <w:t>Buradaki</w:t>
            </w:r>
            <w:r w:rsidR="00731980" w:rsidRPr="00F20491">
              <w:rPr>
                <w:bCs/>
                <w:lang w:eastAsia="x-none"/>
              </w:rPr>
              <w:t xml:space="preserve"> </w:t>
            </w:r>
            <w:r w:rsidR="00731980" w:rsidRPr="00A23740">
              <w:rPr>
                <w:bCs/>
                <w:lang w:eastAsia="x-none"/>
              </w:rPr>
              <w:t>hassasiyetin gerekçelerinden birisi</w:t>
            </w:r>
            <w:r w:rsidR="009A2B15" w:rsidRPr="00A23740">
              <w:rPr>
                <w:bCs/>
                <w:lang w:eastAsia="x-none"/>
              </w:rPr>
              <w:t>,</w:t>
            </w:r>
            <w:r w:rsidR="00731980" w:rsidRPr="00A23740">
              <w:rPr>
                <w:bCs/>
                <w:lang w:eastAsia="x-none"/>
              </w:rPr>
              <w:t xml:space="preserve"> toplantıya katılacak alacaklıların konkordato teklifini müşterek borçlulara bildirmelerinin</w:t>
            </w:r>
            <w:r w:rsidR="00646A5C" w:rsidRPr="00A23740">
              <w:rPr>
                <w:bCs/>
                <w:lang w:eastAsia="x-none"/>
              </w:rPr>
              <w:t xml:space="preserve"> </w:t>
            </w:r>
            <w:r w:rsidR="00646A5C" w:rsidRPr="00F20491">
              <w:t>396 ncı</w:t>
            </w:r>
            <w:r w:rsidR="003011E1" w:rsidRPr="00A23740">
              <w:rPr>
                <w:bCs/>
                <w:lang w:eastAsia="x-none"/>
              </w:rPr>
              <w:t xml:space="preserve"> madde gereğince sağlanmasıdır. </w:t>
            </w:r>
          </w:p>
          <w:p w:rsidR="00731980" w:rsidRPr="00A23740" w:rsidRDefault="00731980" w:rsidP="009431FF">
            <w:pPr>
              <w:ind w:firstLine="709"/>
              <w:rPr>
                <w:bCs/>
                <w:lang w:eastAsia="x-none"/>
              </w:rPr>
            </w:pPr>
            <w:r w:rsidRPr="00A23740">
              <w:rPr>
                <w:bCs/>
                <w:lang w:eastAsia="x-none"/>
              </w:rPr>
              <w:t>İkinci alacaklılar toplantısına iflas müdür veya yardımcılarından birisi başkanlık edecektir. İkinci alacaklılar toplantısında toplantı ve karar yeter sayısı, birinci alacaklılar toplantısında toplantı ve karar y</w:t>
            </w:r>
            <w:r w:rsidR="003011E1" w:rsidRPr="00A23740">
              <w:rPr>
                <w:bCs/>
                <w:lang w:eastAsia="x-none"/>
              </w:rPr>
              <w:t xml:space="preserve">eter sayısının düzenlendiği </w:t>
            </w:r>
            <w:r w:rsidR="00646A5C" w:rsidRPr="00F20491">
              <w:t>333 üncü</w:t>
            </w:r>
            <w:r w:rsidR="00646A5C" w:rsidRPr="00A23740">
              <w:rPr>
                <w:szCs w:val="24"/>
              </w:rPr>
              <w:t xml:space="preserve"> </w:t>
            </w:r>
            <w:r w:rsidRPr="00A23740">
              <w:rPr>
                <w:bCs/>
                <w:lang w:eastAsia="x-none"/>
              </w:rPr>
              <w:t xml:space="preserve">maddenin üçüncü ve </w:t>
            </w:r>
            <w:r w:rsidR="00125698" w:rsidRPr="00F20491">
              <w:rPr>
                <w:lang w:eastAsia="x-none"/>
              </w:rPr>
              <w:t>dördüncü</w:t>
            </w:r>
            <w:r w:rsidRPr="00F20491">
              <w:rPr>
                <w:bCs/>
                <w:lang w:eastAsia="x-none"/>
              </w:rPr>
              <w:t xml:space="preserve"> fıkralarına</w:t>
            </w:r>
            <w:r w:rsidRPr="00A23740">
              <w:rPr>
                <w:bCs/>
                <w:lang w:eastAsia="x-none"/>
              </w:rPr>
              <w:t xml:space="preserve"> göre</w:t>
            </w:r>
            <w:r w:rsidR="00646A5C" w:rsidRPr="00A23740">
              <w:rPr>
                <w:bCs/>
                <w:lang w:eastAsia="x-none"/>
              </w:rPr>
              <w:t xml:space="preserve"> belirlenecektir.</w:t>
            </w:r>
          </w:p>
          <w:p w:rsidR="00DC6B9B" w:rsidRPr="00A23740" w:rsidRDefault="00DC6B9B" w:rsidP="009A013D">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İkinci alacaklılar </w:t>
            </w:r>
            <w:r w:rsidRPr="00A23740">
              <w:rPr>
                <w:rStyle w:val="KIRMIZIChar"/>
                <w:rFonts w:eastAsia="Calibri"/>
              </w:rPr>
              <w:t>toplanmasının</w:t>
            </w:r>
            <w:r w:rsidRPr="00A23740">
              <w:rPr>
                <w:szCs w:val="24"/>
              </w:rPr>
              <w:t xml:space="preserve"> yetkisi</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238 – (1) İflas idaresi tasfiyenin cereyanı şekline ve alacaklarla borçların vaziyetine dair alacaklılar toplanmasına mufassal bir rapor verir.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Alacaklılar </w:t>
            </w:r>
            <w:r w:rsidRPr="00A23740">
              <w:rPr>
                <w:rStyle w:val="KIRMIZIChar"/>
                <w:rFonts w:eastAsia="Calibri"/>
              </w:rPr>
              <w:t>toplanması</w:t>
            </w:r>
            <w:r w:rsidRPr="00A23740">
              <w:rPr>
                <w:szCs w:val="24"/>
              </w:rPr>
              <w:t xml:space="preserve"> iflas idaresini </w:t>
            </w:r>
            <w:r w:rsidRPr="00A23740">
              <w:rPr>
                <w:b/>
                <w:strike/>
                <w:color w:val="FF0000"/>
                <w:szCs w:val="24"/>
              </w:rPr>
              <w:t>vazifelerinde bırakmak</w:t>
            </w:r>
            <w:r w:rsidRPr="00A23740">
              <w:rPr>
                <w:szCs w:val="24"/>
              </w:rPr>
              <w:t xml:space="preserve"> isterse bu </w:t>
            </w:r>
            <w:r w:rsidRPr="00A23740">
              <w:rPr>
                <w:b/>
                <w:strike/>
                <w:color w:val="FF0000"/>
                <w:szCs w:val="24"/>
              </w:rPr>
              <w:t>hususta</w:t>
            </w:r>
            <w:r w:rsidRPr="00A23740">
              <w:rPr>
                <w:szCs w:val="24"/>
              </w:rPr>
              <w:t xml:space="preserve"> ve masanın menfaati </w:t>
            </w:r>
            <w:r w:rsidRPr="00A23740">
              <w:rPr>
                <w:rStyle w:val="KIRMIZIChar"/>
                <w:rFonts w:eastAsia="Calibri"/>
              </w:rPr>
              <w:t>için</w:t>
            </w:r>
            <w:r w:rsidRPr="00A23740">
              <w:rPr>
                <w:szCs w:val="24"/>
              </w:rPr>
              <w:t xml:space="preserve"> </w:t>
            </w:r>
            <w:r w:rsidRPr="00A23740">
              <w:rPr>
                <w:b/>
                <w:strike/>
                <w:color w:val="FF0000"/>
                <w:szCs w:val="24"/>
              </w:rPr>
              <w:t>zaruri</w:t>
            </w:r>
            <w:r w:rsidRPr="00A23740">
              <w:rPr>
                <w:szCs w:val="24"/>
              </w:rPr>
              <w:t xml:space="preserve"> gördüğü diğer hususlar</w:t>
            </w:r>
            <w:r w:rsidRPr="00A23740">
              <w:rPr>
                <w:rStyle w:val="KIRMIZIChar"/>
                <w:rFonts w:eastAsia="Calibri"/>
              </w:rPr>
              <w:t>da</w:t>
            </w:r>
            <w:r w:rsidRPr="00A23740">
              <w:rPr>
                <w:szCs w:val="24"/>
              </w:rPr>
              <w:t xml:space="preserve"> </w:t>
            </w:r>
            <w:r w:rsidRPr="00A23740">
              <w:rPr>
                <w:b/>
                <w:strike/>
                <w:color w:val="FF0000"/>
                <w:szCs w:val="24"/>
              </w:rPr>
              <w:t>icap eden</w:t>
            </w:r>
            <w:r w:rsidRPr="00A23740">
              <w:rPr>
                <w:szCs w:val="24"/>
              </w:rPr>
              <w:t xml:space="preserve"> kararları verir.</w:t>
            </w:r>
          </w:p>
        </w:tc>
        <w:tc>
          <w:tcPr>
            <w:tcW w:w="2500" w:type="pct"/>
          </w:tcPr>
          <w:p w:rsidR="00AA5C8C" w:rsidRPr="00A23740" w:rsidRDefault="00AA5C8C" w:rsidP="009431FF">
            <w:pPr>
              <w:tabs>
                <w:tab w:val="left" w:pos="567"/>
              </w:tabs>
              <w:rPr>
                <w:b/>
                <w:szCs w:val="24"/>
              </w:rPr>
            </w:pPr>
            <w:r w:rsidRPr="00A23740">
              <w:rPr>
                <w:b/>
                <w:szCs w:val="24"/>
              </w:rPr>
              <w:t xml:space="preserve">İkinci alacaklılar </w:t>
            </w:r>
            <w:r w:rsidRPr="00A23740">
              <w:rPr>
                <w:rStyle w:val="MAVChar"/>
                <w:rFonts w:eastAsia="Calibri"/>
                <w:u w:val="none"/>
              </w:rPr>
              <w:t>toplantısının</w:t>
            </w:r>
            <w:r w:rsidRPr="00A23740">
              <w:rPr>
                <w:b/>
                <w:szCs w:val="24"/>
              </w:rPr>
              <w:t xml:space="preserve"> yetkisi</w:t>
            </w:r>
          </w:p>
          <w:p w:rsidR="00AA5C8C" w:rsidRPr="00A23740" w:rsidRDefault="00AA5C8C" w:rsidP="009431FF">
            <w:pPr>
              <w:tabs>
                <w:tab w:val="left" w:pos="567"/>
              </w:tabs>
              <w:rPr>
                <w:b/>
                <w:color w:val="0000FF"/>
                <w:szCs w:val="24"/>
              </w:rPr>
            </w:pPr>
            <w:r w:rsidRPr="00A23740">
              <w:rPr>
                <w:rStyle w:val="MaviChar"/>
                <w:lang w:val="tr-TR"/>
              </w:rPr>
              <w:t xml:space="preserve">MADDE </w:t>
            </w:r>
            <w:r w:rsidR="00DC6B9B" w:rsidRPr="00A23740">
              <w:rPr>
                <w:rStyle w:val="MaviChar"/>
              </w:rPr>
              <w:t>353</w:t>
            </w:r>
            <w:r w:rsidRPr="00A23740">
              <w:rPr>
                <w:rStyle w:val="MaviChar"/>
                <w:lang w:val="tr-TR"/>
              </w:rPr>
              <w:t xml:space="preserve">- (1) </w:t>
            </w:r>
            <w:r w:rsidR="009A6C82" w:rsidRPr="00A23740">
              <w:rPr>
                <w:b/>
                <w:color w:val="0000FF"/>
                <w:szCs w:val="24"/>
              </w:rPr>
              <w:t>İ</w:t>
            </w:r>
            <w:r w:rsidRPr="00A23740">
              <w:rPr>
                <w:b/>
                <w:color w:val="0000FF"/>
                <w:szCs w:val="24"/>
              </w:rPr>
              <w:t>flas idaresinin tasfiyenin yürütülmesi ve alacaklarla borçların durumu hakkında toplantıya katılan alacaklılara ayrıntılı bir rapor vermesiyle</w:t>
            </w:r>
            <w:r w:rsidR="009A6C82" w:rsidRPr="00A23740">
              <w:rPr>
                <w:b/>
                <w:color w:val="0000FF"/>
                <w:szCs w:val="24"/>
              </w:rPr>
              <w:t xml:space="preserve"> toplantı</w:t>
            </w:r>
            <w:r w:rsidRPr="00A23740">
              <w:rPr>
                <w:b/>
                <w:color w:val="0000FF"/>
                <w:szCs w:val="24"/>
              </w:rPr>
              <w:t xml:space="preserve"> başlar.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szCs w:val="24"/>
              </w:rPr>
            </w:pPr>
            <w:r w:rsidRPr="00A23740">
              <w:rPr>
                <w:b/>
                <w:color w:val="0000FF"/>
                <w:szCs w:val="24"/>
              </w:rPr>
              <w:t xml:space="preserve">(2) </w:t>
            </w:r>
            <w:r w:rsidRPr="00A23740">
              <w:rPr>
                <w:szCs w:val="24"/>
              </w:rPr>
              <w:t xml:space="preserve">Alacaklılar </w:t>
            </w:r>
            <w:r w:rsidRPr="00A23740">
              <w:rPr>
                <w:rStyle w:val="MAVChar"/>
                <w:rFonts w:eastAsia="Calibri"/>
                <w:u w:val="none"/>
              </w:rPr>
              <w:t>toplantısı,</w:t>
            </w:r>
            <w:r w:rsidRPr="00A23740">
              <w:rPr>
                <w:szCs w:val="24"/>
              </w:rPr>
              <w:t xml:space="preserve"> iflas idaresinin </w:t>
            </w:r>
            <w:r w:rsidRPr="00A23740">
              <w:rPr>
                <w:rStyle w:val="MaviChar"/>
              </w:rPr>
              <w:t>görevine</w:t>
            </w:r>
            <w:r w:rsidRPr="00A23740">
              <w:rPr>
                <w:rStyle w:val="MaviChar"/>
                <w:lang w:val="tr-TR"/>
              </w:rPr>
              <w:t xml:space="preserve"> </w:t>
            </w:r>
            <w:r w:rsidRPr="00A23740">
              <w:rPr>
                <w:rStyle w:val="MaviChar"/>
              </w:rPr>
              <w:t xml:space="preserve">devam etmesi </w:t>
            </w:r>
            <w:r w:rsidRPr="00A23740">
              <w:t xml:space="preserve">ve </w:t>
            </w:r>
            <w:r w:rsidRPr="00A23740">
              <w:rPr>
                <w:rStyle w:val="MaviChar"/>
              </w:rPr>
              <w:t>tasfiyenin icrası d</w:t>
            </w:r>
            <w:r w:rsidR="009A6C82" w:rsidRPr="00A23740">
              <w:rPr>
                <w:rStyle w:val="MaviChar"/>
                <w:lang w:val="tr-TR"/>
              </w:rPr>
              <w:t>â</w:t>
            </w:r>
            <w:r w:rsidRPr="00A23740">
              <w:rPr>
                <w:rStyle w:val="MaviChar"/>
              </w:rPr>
              <w:t>hil</w:t>
            </w:r>
            <w:r w:rsidR="009A6C82" w:rsidRPr="00A23740">
              <w:rPr>
                <w:rStyle w:val="MaviChar"/>
                <w:lang w:val="tr-TR"/>
              </w:rPr>
              <w:t>,</w:t>
            </w:r>
            <w:r w:rsidRPr="00A23740">
              <w:rPr>
                <w:rStyle w:val="YELChar"/>
              </w:rPr>
              <w:t xml:space="preserve"> </w:t>
            </w:r>
            <w:r w:rsidRPr="00A23740">
              <w:t>masanın menfaati</w:t>
            </w:r>
            <w:r w:rsidRPr="00A23740">
              <w:rPr>
                <w:rStyle w:val="MaviChar"/>
              </w:rPr>
              <w:t>ne</w:t>
            </w:r>
            <w:r w:rsidRPr="00A23740">
              <w:rPr>
                <w:rStyle w:val="YELChar"/>
              </w:rPr>
              <w:t xml:space="preserve"> </w:t>
            </w:r>
            <w:r w:rsidRPr="00A23740">
              <w:t>gördüğü</w:t>
            </w:r>
            <w:r w:rsidRPr="00A23740">
              <w:rPr>
                <w:rStyle w:val="YELChar"/>
              </w:rPr>
              <w:t xml:space="preserve"> </w:t>
            </w:r>
            <w:r w:rsidRPr="00A23740">
              <w:rPr>
                <w:rStyle w:val="MaviChar"/>
              </w:rPr>
              <w:t>her konuda gereken</w:t>
            </w:r>
            <w:r w:rsidRPr="00A23740">
              <w:rPr>
                <w:rStyle w:val="YELChar"/>
              </w:rPr>
              <w:t xml:space="preserve"> </w:t>
            </w:r>
            <w:r w:rsidRPr="00A23740">
              <w:t>kararları verir</w:t>
            </w:r>
            <w:r w:rsidRPr="00A23740">
              <w:rPr>
                <w:rStyle w:val="YELChar"/>
              </w:rPr>
              <w:t xml:space="preserve">. </w:t>
            </w:r>
          </w:p>
          <w:p w:rsidR="00AA5C8C" w:rsidRPr="00A23740" w:rsidRDefault="00AA5C8C" w:rsidP="009431FF">
            <w:pPr>
              <w:tabs>
                <w:tab w:val="left" w:pos="567"/>
              </w:tabs>
            </w:pPr>
          </w:p>
          <w:p w:rsidR="00AA5C8C" w:rsidRPr="00A23740" w:rsidRDefault="00AA5C8C" w:rsidP="009431FF">
            <w:pPr>
              <w:pStyle w:val="Stil2"/>
              <w:rPr>
                <w:u w:val="none"/>
                <w:lang w:val="tr-TR"/>
              </w:rPr>
            </w:pPr>
            <w:r w:rsidRPr="00A23740">
              <w:rPr>
                <w:u w:val="none"/>
                <w:lang w:val="tr-TR"/>
              </w:rPr>
              <w:t>(3) Alacaklılar toplantısı</w:t>
            </w:r>
            <w:r w:rsidR="004134A3" w:rsidRPr="00A23740">
              <w:rPr>
                <w:u w:val="none"/>
                <w:lang w:val="tr-TR"/>
              </w:rPr>
              <w:t>,</w:t>
            </w:r>
            <w:r w:rsidRPr="00A23740">
              <w:rPr>
                <w:u w:val="none"/>
                <w:lang w:val="tr-TR"/>
              </w:rPr>
              <w:t xml:space="preserve"> iki kişiyi alacak çoğunluğunun</w:t>
            </w:r>
            <w:r w:rsidR="004134A3" w:rsidRPr="00A23740">
              <w:rPr>
                <w:u w:val="none"/>
                <w:lang w:val="tr-TR"/>
              </w:rPr>
              <w:t>;</w:t>
            </w:r>
            <w:r w:rsidRPr="00A23740">
              <w:rPr>
                <w:u w:val="none"/>
                <w:lang w:val="tr-TR"/>
              </w:rPr>
              <w:t xml:space="preserve"> bir kişiyi alacaklılar çoğunluğunun gösterdiği adaylar arasından </w:t>
            </w:r>
            <w:r w:rsidR="004134A3" w:rsidRPr="00A23740">
              <w:rPr>
                <w:u w:val="none"/>
                <w:lang w:val="tr-TR"/>
              </w:rPr>
              <w:t xml:space="preserve">ve </w:t>
            </w:r>
            <w:r w:rsidR="004134A3" w:rsidRPr="00A23740">
              <w:rPr>
                <w:rStyle w:val="Balk1Char"/>
                <w:b/>
                <w:u w:val="none"/>
              </w:rPr>
              <w:t>337 nci</w:t>
            </w:r>
            <w:r w:rsidR="008B6C6D" w:rsidRPr="00A23740">
              <w:rPr>
                <w:rStyle w:val="Balk1Char"/>
                <w:b/>
                <w:u w:val="none"/>
                <w:lang w:val="tr-TR"/>
              </w:rPr>
              <w:t xml:space="preserve"> </w:t>
            </w:r>
            <w:r w:rsidR="004134A3" w:rsidRPr="00A23740">
              <w:rPr>
                <w:u w:val="none"/>
                <w:lang w:val="tr-TR"/>
              </w:rPr>
              <w:t xml:space="preserve">maddeye uygun şekilde </w:t>
            </w:r>
            <w:r w:rsidRPr="00A23740">
              <w:rPr>
                <w:rStyle w:val="MaviChar"/>
                <w:b/>
                <w:u w:val="none"/>
              </w:rPr>
              <w:t>seçerek iflas</w:t>
            </w:r>
            <w:r w:rsidRPr="00A23740">
              <w:rPr>
                <w:u w:val="none"/>
                <w:lang w:val="tr-TR"/>
              </w:rPr>
              <w:t xml:space="preserve"> idaresini tamamen veya kısmen değiştirebilir.</w:t>
            </w:r>
          </w:p>
          <w:p w:rsidR="004134A3" w:rsidRPr="00A23740" w:rsidRDefault="004134A3" w:rsidP="009431FF">
            <w:pPr>
              <w:tabs>
                <w:tab w:val="left" w:pos="567"/>
              </w:tabs>
              <w:rPr>
                <w:szCs w:val="24"/>
              </w:rPr>
            </w:pPr>
          </w:p>
          <w:p w:rsidR="00AA5C8C" w:rsidRPr="00A23740" w:rsidRDefault="00AA5C8C" w:rsidP="009431FF">
            <w:pPr>
              <w:pStyle w:val="MAV"/>
              <w:rPr>
                <w:u w:val="none"/>
                <w:lang w:val="tr-TR"/>
              </w:rPr>
            </w:pPr>
            <w:r w:rsidRPr="00A23740">
              <w:rPr>
                <w:u w:val="none"/>
                <w:lang w:val="tr-TR"/>
              </w:rPr>
              <w:t xml:space="preserve">(4) </w:t>
            </w:r>
            <w:r w:rsidRPr="00A23740">
              <w:rPr>
                <w:rStyle w:val="Stil2Char"/>
                <w:rFonts w:eastAsia="Calibri"/>
                <w:b/>
                <w:u w:val="none"/>
                <w:lang w:val="tr-TR"/>
              </w:rPr>
              <w:t>İkinci</w:t>
            </w:r>
            <w:r w:rsidRPr="00A23740">
              <w:rPr>
                <w:u w:val="none"/>
                <w:lang w:val="tr-TR"/>
              </w:rPr>
              <w:t xml:space="preserve"> alacaklılar </w:t>
            </w:r>
            <w:r w:rsidRPr="00A23740">
              <w:rPr>
                <w:rStyle w:val="Stil2Char"/>
                <w:rFonts w:eastAsia="Calibri"/>
                <w:b/>
                <w:u w:val="none"/>
                <w:lang w:val="tr-TR"/>
              </w:rPr>
              <w:t>toplantısının</w:t>
            </w:r>
            <w:r w:rsidRPr="00A23740">
              <w:rPr>
                <w:u w:val="none"/>
                <w:lang w:val="tr-TR"/>
              </w:rPr>
              <w:t xml:space="preserve"> kararlarına karşı iflas müdürü, iflas idaresi, müflis ve her alacaklı, </w:t>
            </w:r>
            <w:r w:rsidR="004134A3" w:rsidRPr="00A23740">
              <w:rPr>
                <w:u w:val="none"/>
                <w:lang w:val="tr-TR"/>
              </w:rPr>
              <w:t xml:space="preserve">toplantıdan itibaren </w:t>
            </w:r>
            <w:r w:rsidRPr="00A23740">
              <w:rPr>
                <w:u w:val="none"/>
                <w:lang w:val="tr-TR"/>
              </w:rPr>
              <w:t>bir hafta içinde iflas mahkemesine şik</w:t>
            </w:r>
            <w:r w:rsidR="004134A3" w:rsidRPr="00A23740">
              <w:rPr>
                <w:u w:val="none"/>
                <w:lang w:val="tr-TR"/>
              </w:rPr>
              <w:t>â</w:t>
            </w:r>
            <w:r w:rsidRPr="00A23740">
              <w:rPr>
                <w:u w:val="none"/>
                <w:lang w:val="tr-TR"/>
              </w:rPr>
              <w:t xml:space="preserve">yette bulunabilir. İflas mahkemesi, gerektiğinde </w:t>
            </w:r>
            <w:r w:rsidRPr="00A23740">
              <w:rPr>
                <w:rStyle w:val="MaviChar"/>
                <w:rFonts w:eastAsia="ヒラギノ明朝 Pro W3"/>
                <w:b/>
                <w:u w:val="none"/>
              </w:rPr>
              <w:t>şik</w:t>
            </w:r>
            <w:r w:rsidR="004134A3" w:rsidRPr="00A23740">
              <w:rPr>
                <w:rStyle w:val="MaviChar"/>
                <w:rFonts w:eastAsia="ヒラギノ明朝 Pro W3"/>
                <w:b/>
                <w:u w:val="none"/>
                <w:lang w:val="tr-TR"/>
              </w:rPr>
              <w:t>â</w:t>
            </w:r>
            <w:r w:rsidRPr="00A23740">
              <w:rPr>
                <w:rStyle w:val="MaviChar"/>
                <w:rFonts w:eastAsia="ヒラギノ明朝 Pro W3"/>
                <w:b/>
                <w:u w:val="none"/>
              </w:rPr>
              <w:t>yetin konusuna göre</w:t>
            </w:r>
            <w:r w:rsidRPr="00A23740">
              <w:rPr>
                <w:rStyle w:val="MaviChar"/>
                <w:b/>
                <w:u w:val="none"/>
              </w:rPr>
              <w:t xml:space="preserve"> iflas dairesinin </w:t>
            </w:r>
            <w:r w:rsidRPr="00A23740">
              <w:rPr>
                <w:rStyle w:val="MaviChar"/>
                <w:rFonts w:eastAsia="ヒラギノ明朝 Pro W3"/>
                <w:b/>
                <w:u w:val="none"/>
              </w:rPr>
              <w:t>veya iflas idaresinin</w:t>
            </w:r>
            <w:r w:rsidRPr="00A23740">
              <w:rPr>
                <w:u w:val="none"/>
                <w:lang w:val="tr-TR"/>
              </w:rPr>
              <w:t xml:space="preserve"> görüşünü aldıktan ve şik</w:t>
            </w:r>
            <w:r w:rsidR="004134A3" w:rsidRPr="00A23740">
              <w:rPr>
                <w:u w:val="none"/>
                <w:lang w:val="tr-TR"/>
              </w:rPr>
              <w:t>â</w:t>
            </w:r>
            <w:r w:rsidRPr="00A23740">
              <w:rPr>
                <w:u w:val="none"/>
                <w:lang w:val="tr-TR"/>
              </w:rPr>
              <w:t xml:space="preserve">yet </w:t>
            </w:r>
            <w:r w:rsidR="004134A3" w:rsidRPr="00A23740">
              <w:rPr>
                <w:u w:val="none"/>
                <w:lang w:val="tr-TR"/>
              </w:rPr>
              <w:t xml:space="preserve">eden ile dinlenilmelerini </w:t>
            </w:r>
            <w:r w:rsidRPr="00A23740">
              <w:rPr>
                <w:u w:val="none"/>
                <w:lang w:val="tr-TR"/>
              </w:rPr>
              <w:t>isteyen alacaklıları da dinledikten sonra bir hafta içinde kararını verir.</w:t>
            </w:r>
          </w:p>
          <w:p w:rsidR="00AA5C8C" w:rsidRPr="00A23740" w:rsidRDefault="00AA5C8C" w:rsidP="009431FF">
            <w:pPr>
              <w:pStyle w:val="MAV"/>
            </w:pPr>
          </w:p>
        </w:tc>
      </w:tr>
      <w:tr w:rsidR="0073198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pPr>
          </w:p>
          <w:p w:rsidR="003011E1" w:rsidRPr="00A23740" w:rsidRDefault="003011E1" w:rsidP="009431FF">
            <w:pPr>
              <w:ind w:firstLine="709"/>
              <w:rPr>
                <w:b/>
                <w:szCs w:val="24"/>
              </w:rPr>
            </w:pPr>
            <w:r w:rsidRPr="00A23740">
              <w:rPr>
                <w:b/>
              </w:rPr>
              <w:t>M</w:t>
            </w:r>
            <w:r w:rsidR="009A6C82" w:rsidRPr="00A23740">
              <w:rPr>
                <w:b/>
              </w:rPr>
              <w:t>ADDE 353</w:t>
            </w:r>
            <w:r w:rsidRPr="00A23740">
              <w:rPr>
                <w:b/>
              </w:rPr>
              <w:t>-</w:t>
            </w:r>
            <w:r w:rsidRPr="00A23740">
              <w:t xml:space="preserve"> Maddeyle, ikinci alacaklılar toplantısının yetkisine ilişkin hususlar düzenlenmektedir. Hüküm, 2004 sayılı Kanunun 238 inci maddesine karşılık gelmektedir. </w:t>
            </w:r>
          </w:p>
          <w:p w:rsidR="00731980" w:rsidRPr="00A23740" w:rsidRDefault="00731980" w:rsidP="009431FF">
            <w:pPr>
              <w:ind w:firstLine="709"/>
            </w:pPr>
            <w:r w:rsidRPr="00A23740">
              <w:t xml:space="preserve">İkinci alacaklılar toplantısının başında iflas idaresi, tasfiyenin yürütülmesi ve müflisin aktifleri ve pasifleri hakkında toplantıya katılan alacaklıları bilgilendirir. Bu bilgilendirme ayrıntılı bir rapor şeklinde olmalıdır. Yine bu bilgilendirmenin gereği olarak iflas idaresi toplantıya katılan alacaklıların </w:t>
            </w:r>
            <w:r w:rsidR="003011E1" w:rsidRPr="00A23740">
              <w:t>sorularına da cevap verecektir.</w:t>
            </w:r>
          </w:p>
          <w:p w:rsidR="00731980" w:rsidRPr="00A23740" w:rsidRDefault="00731980" w:rsidP="009431FF">
            <w:pPr>
              <w:ind w:firstLine="709"/>
            </w:pPr>
            <w:r w:rsidRPr="00A23740">
              <w:t>Maddenin ikinci fıkrası, ikinci alacaklılar toplantısının tasfiyenin en önemli organı olduğunu gösterdiği için önemlidir. İlgili düzenleme gereğince alacaklılar toplantısında daha önce görevlendirilmiş iflas idaresinin görevine son verilip yeni bir iflas idaresi belirlenebilecektir. Alacaklılar toplantısının iflas idaresi hakkındaki tasarrufu yanında belki de en önemli yetkisi</w:t>
            </w:r>
            <w:r w:rsidR="004134A3" w:rsidRPr="00575A70">
              <w:rPr>
                <w:rStyle w:val="Balk1Char"/>
                <w:rFonts w:eastAsia="Calibri"/>
                <w:b w:val="0"/>
                <w:color w:val="000000" w:themeColor="text1"/>
              </w:rPr>
              <w:t>,</w:t>
            </w:r>
            <w:r w:rsidRPr="00A23740">
              <w:t xml:space="preserve"> masanın menfaatini gerektiren bütün kararları alabilecek olmasıdır. Birinci alacaklılar toplantısına göre alacakları tetkik ve kabul edilmiş alacaklıların katıldığı ikinci </w:t>
            </w:r>
            <w:r w:rsidR="004134A3" w:rsidRPr="00F20491">
              <w:rPr>
                <w:bCs/>
              </w:rPr>
              <w:t xml:space="preserve">alacaklılar </w:t>
            </w:r>
            <w:r w:rsidRPr="00F20491">
              <w:rPr>
                <w:bCs/>
              </w:rPr>
              <w:t>toplantı</w:t>
            </w:r>
            <w:r w:rsidR="004134A3" w:rsidRPr="00F20491">
              <w:rPr>
                <w:bCs/>
              </w:rPr>
              <w:t>sı</w:t>
            </w:r>
            <w:r w:rsidRPr="00F20491">
              <w:rPr>
                <w:bCs/>
              </w:rPr>
              <w:t>nın</w:t>
            </w:r>
            <w:r w:rsidRPr="00A23740">
              <w:t xml:space="preserve"> geniş yetkilere sahip olması kabul edilebilir bir durumdur. İkinci alacaklılar toplantısında istihkak iddiaları, çekişmeli alacakların takibi, sulh, konkordato, pazarlıkla satış gibi önem</w:t>
            </w:r>
            <w:r w:rsidR="003011E1" w:rsidRPr="00A23740">
              <w:t xml:space="preserve">li konularda karar alınabilir. </w:t>
            </w:r>
          </w:p>
          <w:p w:rsidR="00731980" w:rsidRPr="00A23740" w:rsidRDefault="00731980" w:rsidP="009431FF">
            <w:pPr>
              <w:ind w:firstLine="709"/>
              <w:rPr>
                <w:rStyle w:val="Balk1Char"/>
                <w:rFonts w:eastAsia="Calibri"/>
              </w:rPr>
            </w:pPr>
            <w:r w:rsidRPr="00A23740">
              <w:t xml:space="preserve">Alacaklılar toplantısının iflas idaresinin seçimi konusundaki geniş yetkisi üçüncü fıkrada açıklığa kavuşturulmuştur. Bu kapsamda alacaklılar toplantısında daha önce seçilen iflas idaresi kısmen ya da tamamen değiştirilebileceği gibi, daha önce iflas idaresi oluşturulmamışsa ikinci alacaklılar toplantısında ilk defa iflas idaresi oluşturulabilecektir. </w:t>
            </w:r>
            <w:r w:rsidR="004134A3" w:rsidRPr="00F20491">
              <w:rPr>
                <w:bCs/>
              </w:rPr>
              <w:t>A</w:t>
            </w:r>
            <w:r w:rsidR="004134A3" w:rsidRPr="00F20491">
              <w:t xml:space="preserve">ncak ikinci alacaklılar toplantısının iflas idaresini değiştirmesi veya yeni bir iflas idaresi oluşturabilmesi bakımından iflas idare memuru belirlenmesi konusundaki ana ilke geçerli olup, burada da seçilen memurların </w:t>
            </w:r>
            <w:r w:rsidR="00B2701E" w:rsidRPr="00F20491">
              <w:t>Taslakta</w:t>
            </w:r>
            <w:r w:rsidR="004134A3" w:rsidRPr="00F20491">
              <w:t xml:space="preserve"> </w:t>
            </w:r>
            <w:r w:rsidR="00992DCC" w:rsidRPr="00F20491">
              <w:t xml:space="preserve">öngörülen </w:t>
            </w:r>
            <w:r w:rsidR="004134A3" w:rsidRPr="00F20491">
              <w:t xml:space="preserve">listeden </w:t>
            </w:r>
            <w:r w:rsidR="0017022D" w:rsidRPr="00F20491">
              <w:t xml:space="preserve">seçilmesi </w:t>
            </w:r>
            <w:r w:rsidR="00992DCC" w:rsidRPr="00F20491">
              <w:t>gerekir. Buna göre alacaklılar toplantısı, iki kişiyi alacak çoğunluğunun; bir kişiyi alacaklılar çoğunluğunun gösterdiği adaylar arasından olacak ve 337 nci</w:t>
            </w:r>
            <w:r w:rsidR="008B6C6D" w:rsidRPr="00A23740">
              <w:rPr>
                <w:rStyle w:val="Balk1Char"/>
                <w:rFonts w:eastAsia="Calibri"/>
              </w:rPr>
              <w:t xml:space="preserve"> </w:t>
            </w:r>
            <w:r w:rsidR="00992DCC" w:rsidRPr="00F20491">
              <w:rPr>
                <w:bCs/>
              </w:rPr>
              <w:t xml:space="preserve">maddeye uygun </w:t>
            </w:r>
            <w:r w:rsidR="0017022D" w:rsidRPr="00F20491">
              <w:rPr>
                <w:bCs/>
              </w:rPr>
              <w:t xml:space="preserve">düşecek </w:t>
            </w:r>
            <w:r w:rsidR="00992DCC" w:rsidRPr="00F20491">
              <w:rPr>
                <w:bCs/>
              </w:rPr>
              <w:t>şekilde seçerek iflas idaresini tamamen veya kısmen değiştirebilir.</w:t>
            </w:r>
            <w:r w:rsidR="00992DCC" w:rsidRPr="00A23740">
              <w:rPr>
                <w:rStyle w:val="Balk1Char"/>
                <w:rFonts w:eastAsia="Calibri"/>
              </w:rPr>
              <w:t xml:space="preserve"> </w:t>
            </w:r>
          </w:p>
          <w:p w:rsidR="00992DCC" w:rsidRPr="00A23740" w:rsidRDefault="00992DCC" w:rsidP="009431FF">
            <w:pPr>
              <w:ind w:firstLine="709"/>
            </w:pPr>
            <w:r w:rsidRPr="00F20491">
              <w:rPr>
                <w:bCs/>
              </w:rPr>
              <w:t xml:space="preserve">İflas mahkemesinin iflas idaresini görevden alma konusunda resen yahut talep üzerine karar vermek yetkisine sahip olduğu ve alacaklılar toplantısının basit tasfiyeye dönmek ve bu suretle iflas idaresine ait görevleri iflas </w:t>
            </w:r>
            <w:r w:rsidR="00015582" w:rsidRPr="00F20491">
              <w:rPr>
                <w:bCs/>
              </w:rPr>
              <w:t>dairesine</w:t>
            </w:r>
            <w:r w:rsidRPr="00F20491">
              <w:rPr>
                <w:bCs/>
              </w:rPr>
              <w:t xml:space="preserve"> verme</w:t>
            </w:r>
            <w:r w:rsidR="0017022D" w:rsidRPr="00F20491">
              <w:rPr>
                <w:bCs/>
              </w:rPr>
              <w:t>k</w:t>
            </w:r>
            <w:r w:rsidRPr="00F20491">
              <w:rPr>
                <w:bCs/>
              </w:rPr>
              <w:t xml:space="preserve"> imk</w:t>
            </w:r>
            <w:r w:rsidR="00BE53A8" w:rsidRPr="00F20491">
              <w:rPr>
                <w:bCs/>
              </w:rPr>
              <w:t>â</w:t>
            </w:r>
            <w:r w:rsidRPr="00F20491">
              <w:rPr>
                <w:bCs/>
              </w:rPr>
              <w:t>nına sahip olduğu dikkate alınarak</w:t>
            </w:r>
            <w:r w:rsidR="0017022D" w:rsidRPr="00F20491">
              <w:rPr>
                <w:bCs/>
              </w:rPr>
              <w:t>,</w:t>
            </w:r>
            <w:r w:rsidRPr="00F20491">
              <w:rPr>
                <w:bCs/>
              </w:rPr>
              <w:t xml:space="preserve"> Komisyon çalışmaları sırasında buradaki iflas idaresi seçiminin doğrudan alacaklılar toplantısı tarafından yapılabileceği ve fakat bu seçimin üç kişilik iflas idaresiyle sınırlı olduğu, aksi hâlde </w:t>
            </w:r>
            <w:r w:rsidR="00015582" w:rsidRPr="00F20491">
              <w:rPr>
                <w:bCs/>
              </w:rPr>
              <w:t xml:space="preserve">mahkemeye başvuru mekanizması olmadığı için </w:t>
            </w:r>
            <w:r w:rsidRPr="00F20491">
              <w:rPr>
                <w:bCs/>
              </w:rPr>
              <w:t>bir kişilik iflas idaresinin oluşumunda sistemin tıkanacağı; iflas idaresinin görevlerinin iflas dairesine bırakılmasının ise anılan nedenlerle gerekli olmadığı sonucuna varılmıştır.</w:t>
            </w:r>
          </w:p>
          <w:p w:rsidR="00731980" w:rsidRPr="00A23740" w:rsidRDefault="00731980" w:rsidP="009431FF">
            <w:pPr>
              <w:ind w:firstLine="709"/>
            </w:pPr>
            <w:r w:rsidRPr="00A23740">
              <w:t>Maddenin son fıkrasında alacaklılar toplantısı kararlarına karşı şik</w:t>
            </w:r>
            <w:r w:rsidR="00015582" w:rsidRPr="00A23740">
              <w:t>â</w:t>
            </w:r>
            <w:r w:rsidRPr="00A23740">
              <w:t xml:space="preserve">yet </w:t>
            </w:r>
            <w:r w:rsidR="0017022D" w:rsidRPr="00A23740">
              <w:t xml:space="preserve">yoluna gidilmesinin </w:t>
            </w:r>
            <w:r w:rsidRPr="00A23740">
              <w:t>mümkün olduğu</w:t>
            </w:r>
            <w:r w:rsidR="00015582" w:rsidRPr="00F20491">
              <w:rPr>
                <w:bCs/>
              </w:rPr>
              <w:t>;</w:t>
            </w:r>
            <w:r w:rsidRPr="00F20491">
              <w:t xml:space="preserve"> </w:t>
            </w:r>
            <w:r w:rsidRPr="00A23740">
              <w:t>kimlerin</w:t>
            </w:r>
            <w:r w:rsidR="00015582" w:rsidRPr="00F20491">
              <w:t>, hangi sürede</w:t>
            </w:r>
            <w:r w:rsidRPr="00F20491">
              <w:rPr>
                <w:bCs/>
              </w:rPr>
              <w:t xml:space="preserve"> bu yola başvurabileceği düzenleme altına alınmıştır. Buna göre, toplantı kararlarına karşı iflas </w:t>
            </w:r>
            <w:r w:rsidR="0017022D" w:rsidRPr="00F20491">
              <w:rPr>
                <w:bCs/>
              </w:rPr>
              <w:t xml:space="preserve">dairesi </w:t>
            </w:r>
            <w:r w:rsidRPr="00F20491">
              <w:rPr>
                <w:bCs/>
              </w:rPr>
              <w:t>müdürü, iflas idaresi, müflis ve her alacaklı</w:t>
            </w:r>
            <w:r w:rsidR="00015582" w:rsidRPr="00F20491">
              <w:rPr>
                <w:bCs/>
              </w:rPr>
              <w:t xml:space="preserve"> </w:t>
            </w:r>
            <w:r w:rsidR="00015582" w:rsidRPr="00F20491">
              <w:t>toplantıdan itibaren</w:t>
            </w:r>
            <w:r w:rsidRPr="00A23740">
              <w:t xml:space="preserve"> bir hafta içinde iflas mahkemesi </w:t>
            </w:r>
            <w:r w:rsidR="0017022D" w:rsidRPr="00A23740">
              <w:t xml:space="preserve">nezdinde </w:t>
            </w:r>
            <w:r w:rsidRPr="00A23740">
              <w:t>şik</w:t>
            </w:r>
            <w:r w:rsidR="00015582" w:rsidRPr="00A23740">
              <w:t>â</w:t>
            </w:r>
            <w:r w:rsidRPr="00A23740">
              <w:t>yet yoluna başvurabilecektir. Şik</w:t>
            </w:r>
            <w:r w:rsidR="00015582" w:rsidRPr="00A23740">
              <w:t>â</w:t>
            </w:r>
            <w:r w:rsidRPr="00A23740">
              <w:t>yeti inceleyecek olan iflas mahkemesi</w:t>
            </w:r>
            <w:r w:rsidR="00015582" w:rsidRPr="00A23740">
              <w:rPr>
                <w:rStyle w:val="Balk1Char"/>
                <w:rFonts w:eastAsia="Calibri"/>
              </w:rPr>
              <w:t>,</w:t>
            </w:r>
            <w:r w:rsidRPr="00A23740">
              <w:t xml:space="preserve"> şik</w:t>
            </w:r>
            <w:r w:rsidR="00015582" w:rsidRPr="00A23740">
              <w:t>â</w:t>
            </w:r>
            <w:r w:rsidRPr="00A23740">
              <w:t>yetin niteliğine göre gerekli kişileri dinledikten sonra bir ha</w:t>
            </w:r>
            <w:r w:rsidR="00575A70">
              <w:t>fta içinde kararını verecektir.</w:t>
            </w:r>
          </w:p>
          <w:p w:rsidR="003011E1" w:rsidRPr="00A23740" w:rsidRDefault="003011E1" w:rsidP="009A013D">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b/>
                <w:strike/>
                <w:color w:val="FF0000"/>
                <w:szCs w:val="24"/>
              </w:rPr>
            </w:pPr>
            <w:r w:rsidRPr="00A23740">
              <w:rPr>
                <w:szCs w:val="24"/>
              </w:rPr>
              <w:t>Toplantı ve karar nisabının oluşmaması</w:t>
            </w:r>
            <w:r w:rsidRPr="00A23740">
              <w:rPr>
                <w:b/>
                <w:strike/>
                <w:color w:val="FF0000"/>
                <w:szCs w:val="24"/>
              </w:rPr>
              <w:t>:</w:t>
            </w:r>
          </w:p>
          <w:p w:rsidR="00AA5C8C" w:rsidRPr="00A23740" w:rsidRDefault="00AA5C8C" w:rsidP="009431FF">
            <w:pPr>
              <w:widowControl w:val="0"/>
              <w:tabs>
                <w:tab w:val="left" w:pos="567"/>
              </w:tabs>
              <w:rPr>
                <w:b/>
                <w:szCs w:val="24"/>
              </w:rPr>
            </w:pPr>
            <w:r w:rsidRPr="00A23740">
              <w:rPr>
                <w:rStyle w:val="KIRMIZIChar"/>
                <w:rFonts w:eastAsia="Calibri"/>
              </w:rPr>
              <w:t>Madde 239- (1) (Değişik</w:t>
            </w:r>
            <w:r w:rsidRPr="00A23740">
              <w:rPr>
                <w:b/>
                <w:strike/>
                <w:color w:val="FF0000"/>
                <w:szCs w:val="24"/>
              </w:rPr>
              <w:t>: 17/7/2003-4949/56 md.)</w:t>
            </w:r>
          </w:p>
          <w:p w:rsidR="00AA5C8C" w:rsidRPr="00A23740" w:rsidRDefault="00AA5C8C" w:rsidP="009431FF">
            <w:pPr>
              <w:widowControl w:val="0"/>
              <w:tabs>
                <w:tab w:val="left" w:pos="567"/>
              </w:tabs>
              <w:rPr>
                <w:szCs w:val="24"/>
              </w:rPr>
            </w:pPr>
            <w:r w:rsidRPr="00A23740">
              <w:rPr>
                <w:b/>
                <w:strike/>
                <w:color w:val="FF0000"/>
                <w:szCs w:val="24"/>
              </w:rPr>
              <w:t>Alacaklıların toplanması mümkün olmazsa veya karar nisabı oluşmazsa</w:t>
            </w:r>
            <w:r w:rsidRPr="00A23740">
              <w:rPr>
                <w:szCs w:val="24"/>
              </w:rPr>
              <w:t xml:space="preserve"> </w:t>
            </w:r>
            <w:r w:rsidRPr="00A23740">
              <w:rPr>
                <w:rStyle w:val="KIRMIZIChar"/>
                <w:rFonts w:eastAsia="Calibri"/>
              </w:rPr>
              <w:t>durum tespit olunur.</w:t>
            </w:r>
            <w:r w:rsidRPr="00A23740">
              <w:rPr>
                <w:szCs w:val="24"/>
              </w:rPr>
              <w:t xml:space="preserve"> Bu halde iflâs idaresi tasfiye </w:t>
            </w:r>
            <w:r w:rsidRPr="00A23740">
              <w:rPr>
                <w:rStyle w:val="KIRMIZIChar"/>
                <w:rFonts w:eastAsia="Calibri"/>
              </w:rPr>
              <w:t>kapanıncaya kadar işe</w:t>
            </w:r>
            <w:r w:rsidR="00070994">
              <w:rPr>
                <w:szCs w:val="24"/>
              </w:rPr>
              <w:t xml:space="preserve"> devam eder.</w:t>
            </w:r>
          </w:p>
          <w:p w:rsidR="00AA5C8C" w:rsidRPr="00A23740" w:rsidRDefault="00AA5C8C" w:rsidP="009431FF">
            <w:pPr>
              <w:widowControl w:val="0"/>
              <w:tabs>
                <w:tab w:val="left" w:pos="567"/>
              </w:tabs>
              <w:rPr>
                <w:szCs w:val="24"/>
              </w:rPr>
            </w:pPr>
          </w:p>
        </w:tc>
        <w:tc>
          <w:tcPr>
            <w:tcW w:w="2500" w:type="pct"/>
          </w:tcPr>
          <w:p w:rsidR="00AA5C8C" w:rsidRPr="00A23740" w:rsidRDefault="00AA5C8C" w:rsidP="009431FF">
            <w:pPr>
              <w:widowControl w:val="0"/>
              <w:tabs>
                <w:tab w:val="left" w:pos="567"/>
              </w:tabs>
              <w:rPr>
                <w:b/>
                <w:szCs w:val="24"/>
              </w:rPr>
            </w:pPr>
            <w:r w:rsidRPr="00A23740">
              <w:rPr>
                <w:b/>
                <w:szCs w:val="24"/>
              </w:rPr>
              <w:t xml:space="preserve">Toplantı ve karar </w:t>
            </w:r>
            <w:r w:rsidR="00C139B2" w:rsidRPr="00F20491">
              <w:rPr>
                <w:rStyle w:val="MaviChar"/>
              </w:rPr>
              <w:t>yeter</w:t>
            </w:r>
            <w:r w:rsidR="00063825" w:rsidRPr="00F20491">
              <w:rPr>
                <w:rStyle w:val="MaviChar"/>
              </w:rPr>
              <w:t xml:space="preserve"> </w:t>
            </w:r>
            <w:r w:rsidR="00C139B2" w:rsidRPr="00F20491">
              <w:rPr>
                <w:rStyle w:val="MaviChar"/>
              </w:rPr>
              <w:t>sayı</w:t>
            </w:r>
            <w:r w:rsidR="00063825" w:rsidRPr="00F20491">
              <w:rPr>
                <w:rStyle w:val="MaviChar"/>
              </w:rPr>
              <w:t>sı</w:t>
            </w:r>
            <w:r w:rsidR="00C139B2" w:rsidRPr="00F20491">
              <w:rPr>
                <w:rStyle w:val="MaviChar"/>
              </w:rPr>
              <w:t>nın</w:t>
            </w:r>
            <w:r w:rsidRPr="00A23740">
              <w:rPr>
                <w:b/>
                <w:szCs w:val="24"/>
              </w:rPr>
              <w:t xml:space="preserve"> oluşmaması</w:t>
            </w:r>
          </w:p>
          <w:p w:rsidR="00AA5C8C" w:rsidRPr="00A23740" w:rsidRDefault="00AA5C8C" w:rsidP="009431FF">
            <w:pPr>
              <w:widowControl w:val="0"/>
              <w:tabs>
                <w:tab w:val="left" w:pos="567"/>
              </w:tabs>
              <w:rPr>
                <w:rStyle w:val="YELChar"/>
              </w:rPr>
            </w:pPr>
            <w:r w:rsidRPr="00A23740">
              <w:rPr>
                <w:rStyle w:val="MaviChar"/>
                <w:lang w:val="tr-TR"/>
              </w:rPr>
              <w:t xml:space="preserve">MADDE </w:t>
            </w:r>
            <w:r w:rsidR="00015582" w:rsidRPr="00A23740">
              <w:rPr>
                <w:rStyle w:val="MaviChar"/>
              </w:rPr>
              <w:t>354</w:t>
            </w:r>
            <w:r w:rsidRPr="00A23740">
              <w:rPr>
                <w:rStyle w:val="MaviChar"/>
                <w:lang w:val="tr-TR"/>
              </w:rPr>
              <w:t>- (</w:t>
            </w:r>
            <w:r w:rsidRPr="00A23740">
              <w:rPr>
                <w:b/>
                <w:color w:val="0000FF"/>
                <w:szCs w:val="24"/>
              </w:rPr>
              <w:t xml:space="preserve">1) </w:t>
            </w:r>
            <w:r w:rsidR="00C139B2" w:rsidRPr="00F20491">
              <w:rPr>
                <w:rStyle w:val="MaviChar"/>
              </w:rPr>
              <w:t>Yeter</w:t>
            </w:r>
            <w:r w:rsidR="00063825" w:rsidRPr="00F20491">
              <w:rPr>
                <w:rStyle w:val="MaviChar"/>
              </w:rPr>
              <w:t xml:space="preserve"> </w:t>
            </w:r>
            <w:r w:rsidR="00C139B2" w:rsidRPr="00F20491">
              <w:rPr>
                <w:rStyle w:val="MaviChar"/>
              </w:rPr>
              <w:t>sayının</w:t>
            </w:r>
            <w:r w:rsidR="00C139B2" w:rsidRPr="00A23740">
              <w:rPr>
                <w:b/>
                <w:color w:val="0000FF"/>
                <w:szCs w:val="24"/>
              </w:rPr>
              <w:t xml:space="preserve"> </w:t>
            </w:r>
            <w:r w:rsidRPr="00A23740">
              <w:rPr>
                <w:b/>
                <w:color w:val="0000FF"/>
                <w:szCs w:val="24"/>
              </w:rPr>
              <w:t>sağlanamaması nedeniyle toplantı yapılamaz veya karar alınamazsa</w:t>
            </w:r>
            <w:r w:rsidRPr="00575A70">
              <w:rPr>
                <w:rStyle w:val="Balk1Char"/>
                <w:rFonts w:eastAsia="ヒラギノ明朝 Pro W3"/>
              </w:rPr>
              <w:t>,</w:t>
            </w:r>
            <w:r w:rsidRPr="00A23740">
              <w:rPr>
                <w:b/>
                <w:color w:val="0000FF"/>
                <w:szCs w:val="24"/>
              </w:rPr>
              <w:t xml:space="preserve"> </w:t>
            </w:r>
            <w:r w:rsidRPr="00A23740">
              <w:rPr>
                <w:rStyle w:val="MaviChar"/>
              </w:rPr>
              <w:t xml:space="preserve">toplantıda hazır bulunan alacaklılara masanın durumu hakkında bilgi verilerek bir tutanak düzenlenir. </w:t>
            </w:r>
            <w:r w:rsidRPr="00A23740">
              <w:rPr>
                <w:szCs w:val="24"/>
              </w:rPr>
              <w:t>Bu h</w:t>
            </w:r>
            <w:r w:rsidR="00015582" w:rsidRPr="00A23740">
              <w:rPr>
                <w:szCs w:val="24"/>
              </w:rPr>
              <w:t>â</w:t>
            </w:r>
            <w:r w:rsidRPr="00A23740">
              <w:rPr>
                <w:szCs w:val="24"/>
              </w:rPr>
              <w:t xml:space="preserve">lde iflas idaresi </w:t>
            </w:r>
            <w:r w:rsidRPr="00A23740">
              <w:t>tasfiye</w:t>
            </w:r>
            <w:r w:rsidRPr="00A23740">
              <w:rPr>
                <w:rStyle w:val="MaviChar"/>
              </w:rPr>
              <w:t xml:space="preserve"> görevine</w:t>
            </w:r>
            <w:r w:rsidRPr="00A23740">
              <w:rPr>
                <w:rStyle w:val="YELChar"/>
              </w:rPr>
              <w:t xml:space="preserve"> </w:t>
            </w:r>
            <w:r w:rsidRPr="00A23740">
              <w:rPr>
                <w:szCs w:val="24"/>
              </w:rPr>
              <w:t>devam eder.</w:t>
            </w:r>
          </w:p>
          <w:p w:rsidR="00AA5C8C" w:rsidRPr="00A23740" w:rsidRDefault="00AA5C8C" w:rsidP="009431FF">
            <w:pPr>
              <w:pStyle w:val="AltKonuBal"/>
              <w:widowControl w:val="0"/>
            </w:pPr>
          </w:p>
        </w:tc>
      </w:tr>
      <w:tr w:rsidR="00731980"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tabs>
                <w:tab w:val="left" w:pos="567"/>
              </w:tabs>
              <w:ind w:firstLine="709"/>
              <w:rPr>
                <w:b/>
              </w:rPr>
            </w:pPr>
          </w:p>
          <w:p w:rsidR="003011E1" w:rsidRPr="00A23740" w:rsidRDefault="003011E1" w:rsidP="009431FF">
            <w:pPr>
              <w:tabs>
                <w:tab w:val="left" w:pos="567"/>
              </w:tabs>
              <w:ind w:firstLine="709"/>
              <w:rPr>
                <w:b/>
                <w:szCs w:val="24"/>
              </w:rPr>
            </w:pPr>
            <w:r w:rsidRPr="00A23740">
              <w:rPr>
                <w:b/>
              </w:rPr>
              <w:t>M</w:t>
            </w:r>
            <w:r w:rsidR="00015582" w:rsidRPr="00A23740">
              <w:rPr>
                <w:b/>
              </w:rPr>
              <w:t>ADDE 354</w:t>
            </w:r>
            <w:r w:rsidRPr="00A23740">
              <w:rPr>
                <w:b/>
              </w:rPr>
              <w:t>-</w:t>
            </w:r>
            <w:r w:rsidRPr="00A23740">
              <w:t xml:space="preserve"> Maddeyle, toplantı ve karar </w:t>
            </w:r>
            <w:r w:rsidR="00FA442F" w:rsidRPr="00F20491">
              <w:t>yeter sayısının</w:t>
            </w:r>
            <w:r w:rsidR="00FA442F" w:rsidRPr="00A23740">
              <w:rPr>
                <w:b/>
                <w:color w:val="385623"/>
              </w:rPr>
              <w:t xml:space="preserve"> </w:t>
            </w:r>
            <w:r w:rsidRPr="00A23740">
              <w:t xml:space="preserve">oluşmamasına ilişkin hususlar düzenlenmektedir. Hüküm, 2004 sayılı Kanunun 239 uncu maddesine karşılık gelmektedir. </w:t>
            </w:r>
          </w:p>
          <w:p w:rsidR="00731980" w:rsidRPr="00A23740" w:rsidRDefault="00731980" w:rsidP="009431FF">
            <w:pPr>
              <w:ind w:firstLine="709"/>
            </w:pPr>
            <w:r w:rsidRPr="00A23740">
              <w:t xml:space="preserve">Toplantı </w:t>
            </w:r>
            <w:r w:rsidR="00FA442F" w:rsidRPr="00F20491">
              <w:t>yeter sayısı</w:t>
            </w:r>
            <w:r w:rsidR="00FA442F" w:rsidRPr="00A23740">
              <w:rPr>
                <w:color w:val="385623"/>
              </w:rPr>
              <w:t xml:space="preserve"> </w:t>
            </w:r>
            <w:r w:rsidRPr="00A23740">
              <w:t xml:space="preserve">sağlanamadığı için ikinci alacaklılar toplantısı yapılamaz veya toplantı </w:t>
            </w:r>
            <w:r w:rsidR="00FA442F" w:rsidRPr="00F20491">
              <w:t>yeter sayısı</w:t>
            </w:r>
            <w:r w:rsidR="00FA442F" w:rsidRPr="00A23740">
              <w:t xml:space="preserve"> </w:t>
            </w:r>
            <w:r w:rsidRPr="00A23740">
              <w:t xml:space="preserve">sağlanmasına rağmen karar </w:t>
            </w:r>
            <w:r w:rsidR="00FA442F" w:rsidRPr="00F20491">
              <w:t>yeter sayısı</w:t>
            </w:r>
            <w:r w:rsidR="00FA442F" w:rsidRPr="00A23740">
              <w:t xml:space="preserve"> </w:t>
            </w:r>
            <w:r w:rsidRPr="00A23740">
              <w:t xml:space="preserve">oluşmadığı için karar alınamazsa, tasfiyenin gidişatı ve masanın durumu hakkında iflas </w:t>
            </w:r>
            <w:r w:rsidR="00015582" w:rsidRPr="00237377">
              <w:rPr>
                <w:bCs/>
              </w:rPr>
              <w:t>dairesi</w:t>
            </w:r>
            <w:r w:rsidR="00015582" w:rsidRPr="00A23740">
              <w:t xml:space="preserve"> </w:t>
            </w:r>
            <w:r w:rsidRPr="00A23740">
              <w:t>tarafından alacaklılara açıklama yapılarak tutanak tanzim edilir. Bu gibi h</w:t>
            </w:r>
            <w:r w:rsidR="00015582" w:rsidRPr="00A23740">
              <w:t>â</w:t>
            </w:r>
            <w:r w:rsidRPr="00A23740">
              <w:t xml:space="preserve">llerde iflas idaresi konusunda da bir karar alınamayacağı için daha önce görevlendirilen iflas idaresi görevine devam eder. Maddenin </w:t>
            </w:r>
            <w:r w:rsidR="00015582" w:rsidRPr="00F20491">
              <w:rPr>
                <w:bCs/>
              </w:rPr>
              <w:t>2004 sayılı Kanundaki şeklinde</w:t>
            </w:r>
            <w:r w:rsidR="00015582" w:rsidRPr="00A23740">
              <w:t xml:space="preserve"> </w:t>
            </w:r>
            <w:r w:rsidRPr="00A23740">
              <w:t xml:space="preserve">iflas idaresinin </w:t>
            </w:r>
            <w:r w:rsidRPr="00A23740">
              <w:rPr>
                <w:iCs/>
              </w:rPr>
              <w:t>tasfiye kapanıncaya</w:t>
            </w:r>
            <w:r w:rsidRPr="00A23740">
              <w:t xml:space="preserve"> kadar görevine devam edeceği belirtilmişse de</w:t>
            </w:r>
            <w:r w:rsidR="0017022D" w:rsidRPr="00A23740">
              <w:t>,</w:t>
            </w:r>
            <w:r w:rsidRPr="00A23740">
              <w:t xml:space="preserve"> </w:t>
            </w:r>
            <w:r w:rsidR="00B2701E" w:rsidRPr="00F20491">
              <w:rPr>
                <w:bCs/>
              </w:rPr>
              <w:t>bu</w:t>
            </w:r>
            <w:r w:rsidR="00B2701E" w:rsidRPr="00F20491">
              <w:t xml:space="preserve"> </w:t>
            </w:r>
            <w:r w:rsidRPr="00A23740">
              <w:t>ibarenin yanlış anlamala</w:t>
            </w:r>
            <w:r w:rsidRPr="00237377">
              <w:t xml:space="preserve">ra </w:t>
            </w:r>
            <w:r w:rsidR="00B2701E" w:rsidRPr="00237377">
              <w:rPr>
                <w:bCs/>
              </w:rPr>
              <w:t xml:space="preserve">neden </w:t>
            </w:r>
            <w:r w:rsidR="0017022D" w:rsidRPr="00237377">
              <w:t xml:space="preserve">olabilmesinin </w:t>
            </w:r>
            <w:r w:rsidRPr="00237377">
              <w:t>açık olduğu, her ne kadar ikinci alacaklılar toplantısı yapılamasa da sonrasında alacaklılar toplantısı yapılabileceği ve bu toplantıda</w:t>
            </w:r>
            <w:r w:rsidR="00B2701E" w:rsidRPr="00237377">
              <w:t xml:space="preserve"> </w:t>
            </w:r>
            <w:r w:rsidR="00B2701E" w:rsidRPr="00237377">
              <w:rPr>
                <w:bCs/>
              </w:rPr>
              <w:t>yeni bir</w:t>
            </w:r>
            <w:r w:rsidRPr="00237377">
              <w:t xml:space="preserve"> iflas </w:t>
            </w:r>
            <w:r w:rsidRPr="00A23740">
              <w:t xml:space="preserve">idaresinin seçilebileceği </w:t>
            </w:r>
            <w:r w:rsidR="00B2701E" w:rsidRPr="00237377">
              <w:rPr>
                <w:bCs/>
              </w:rPr>
              <w:t>gibi</w:t>
            </w:r>
            <w:r w:rsidR="00B2701E" w:rsidRPr="00237377">
              <w:t xml:space="preserve"> </w:t>
            </w:r>
            <w:r w:rsidRPr="00A23740">
              <w:t>mevcut iflas idaresinin görevine iflas mahkemesinin son verebileceği hususları göz önünde bulundurularak</w:t>
            </w:r>
            <w:r w:rsidR="0017022D" w:rsidRPr="00A23740">
              <w:t>,</w:t>
            </w:r>
            <w:r w:rsidRPr="00A23740">
              <w:t xml:space="preserve"> madde, </w:t>
            </w:r>
            <w:r w:rsidR="00B2701E" w:rsidRPr="00237377">
              <w:rPr>
                <w:bCs/>
              </w:rPr>
              <w:t>“Bu hâlde iflas idaresi tasfiye görevine devam eder.” şeklinde yeniden yazılmıştır.</w:t>
            </w:r>
            <w:r w:rsidR="00B2701E" w:rsidRPr="00A23740">
              <w:t xml:space="preserve"> </w:t>
            </w:r>
            <w:r w:rsidR="00B2701E" w:rsidRPr="00237377">
              <w:rPr>
                <w:bCs/>
              </w:rPr>
              <w:t>Öte yandan İsviçre’nin Borç İçin Takip ve İflas Hakkındaki Federal Kanununun 254 üncü maddesinde 1994 yılında yapılan değişikliğe paralel olarak toplantı veya karar nisabının oluşmaması hâlinde dahi iflas idaresinin toplantıda bulunan alacaklılara ayrıntılı bir şekilde açıklama yapıp  bu hususu tutanağa bağlaması gerektiği kabul edilmiştir.</w:t>
            </w:r>
          </w:p>
          <w:p w:rsidR="003011E1" w:rsidRPr="00A23740" w:rsidRDefault="003011E1" w:rsidP="009A013D">
            <w:pPr>
              <w:tabs>
                <w:tab w:val="left" w:pos="567"/>
              </w:tabs>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r w:rsidRPr="00A23740">
              <w:rPr>
                <w:rStyle w:val="KIRMIZIChar"/>
                <w:rFonts w:eastAsia="Calibri"/>
              </w:rPr>
              <w:t>Yeniden</w:t>
            </w:r>
            <w:r w:rsidRPr="00A23740">
              <w:rPr>
                <w:szCs w:val="24"/>
              </w:rPr>
              <w:t xml:space="preserve"> alacaklılar </w:t>
            </w:r>
            <w:r w:rsidRPr="00A23740">
              <w:rPr>
                <w:rStyle w:val="KIRMIZIChar"/>
                <w:rFonts w:eastAsia="Calibri"/>
              </w:rPr>
              <w:t>toplanması</w:t>
            </w:r>
            <w:r w:rsidRPr="00A23740">
              <w:rPr>
                <w:b/>
                <w:strike/>
                <w:color w:val="FF0000"/>
                <w:szCs w:val="24"/>
              </w:rPr>
              <w:t>:</w:t>
            </w:r>
          </w:p>
          <w:p w:rsidR="00AA5C8C" w:rsidRPr="00A23740" w:rsidRDefault="00AA5C8C" w:rsidP="009431FF">
            <w:pPr>
              <w:tabs>
                <w:tab w:val="left" w:pos="567"/>
              </w:tabs>
              <w:rPr>
                <w:b/>
                <w:szCs w:val="24"/>
              </w:rPr>
            </w:pPr>
            <w:r w:rsidRPr="00A23740">
              <w:rPr>
                <w:rStyle w:val="KIRMIZIChar"/>
                <w:rFonts w:eastAsia="Calibri"/>
              </w:rPr>
              <w:t>Madde 240 – (1) (Değişik</w:t>
            </w:r>
            <w:r w:rsidRPr="00A23740">
              <w:rPr>
                <w:b/>
                <w:strike/>
                <w:color w:val="FF0000"/>
                <w:szCs w:val="24"/>
              </w:rPr>
              <w:t>: 6/6/1985 - 3222/30 md.)</w:t>
            </w:r>
          </w:p>
          <w:p w:rsidR="00AA5C8C" w:rsidRPr="00A23740" w:rsidRDefault="00AA5C8C" w:rsidP="009431FF">
            <w:pPr>
              <w:pStyle w:val="KIRMIZI"/>
            </w:pPr>
            <w:r w:rsidRPr="00A23740">
              <w:t>Alacaklıların ekseriyeti ister yahut iflas idaresi lüzumuna kani olursa yeniden alacaklılar toplanması için davet yapılabilir. Yeniden alacaklılar toplantısının gündemindeki konular hakkında alacaklıların oyu, kendilerinin bilinen adreslerine taahhütlü bir mektupla yazılacak davet üzerine ve imzası noterlikçe tasdikli cevap yazısı ile elde edilebilir.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w:t>
            </w:r>
            <w:r w:rsidRPr="00A23740">
              <w:rPr>
                <w:rStyle w:val="KIRMIZIChar"/>
                <w:rFonts w:eastAsia="Calibri"/>
              </w:rPr>
              <w:t>Nisap</w:t>
            </w:r>
            <w:r w:rsidRPr="00A23740">
              <w:rPr>
                <w:szCs w:val="24"/>
              </w:rPr>
              <w:t xml:space="preserve"> hakkında </w:t>
            </w:r>
            <w:r w:rsidRPr="00A23740">
              <w:rPr>
                <w:rStyle w:val="KIRMIZIChar"/>
                <w:rFonts w:eastAsia="Calibri"/>
              </w:rPr>
              <w:t>221 inci</w:t>
            </w:r>
            <w:r w:rsidRPr="00A23740">
              <w:rPr>
                <w:szCs w:val="24"/>
              </w:rPr>
              <w:t xml:space="preserve"> madde hükümleri uygulanır.</w:t>
            </w:r>
          </w:p>
        </w:tc>
        <w:tc>
          <w:tcPr>
            <w:tcW w:w="2500" w:type="pct"/>
          </w:tcPr>
          <w:p w:rsidR="00AA5C8C" w:rsidRPr="00A23740" w:rsidRDefault="00AA5C8C" w:rsidP="009431FF">
            <w:pPr>
              <w:tabs>
                <w:tab w:val="left" w:pos="567"/>
              </w:tabs>
              <w:rPr>
                <w:b/>
                <w:szCs w:val="24"/>
              </w:rPr>
            </w:pPr>
            <w:r w:rsidRPr="00A23740">
              <w:rPr>
                <w:rStyle w:val="MaviChar"/>
              </w:rPr>
              <w:t>Sonraki</w:t>
            </w:r>
            <w:r w:rsidRPr="00A23740">
              <w:rPr>
                <w:b/>
                <w:szCs w:val="24"/>
              </w:rPr>
              <w:t xml:space="preserve"> alacaklılar </w:t>
            </w:r>
            <w:r w:rsidRPr="00A23740">
              <w:rPr>
                <w:rStyle w:val="MaviChar"/>
              </w:rPr>
              <w:t>toplantıları</w:t>
            </w:r>
            <w:r w:rsidRPr="00A23740">
              <w:rPr>
                <w:b/>
                <w:szCs w:val="24"/>
              </w:rPr>
              <w:t xml:space="preserve"> </w:t>
            </w:r>
          </w:p>
          <w:p w:rsidR="00AA5C8C" w:rsidRPr="00A23740" w:rsidRDefault="00AA5C8C" w:rsidP="009431FF">
            <w:pPr>
              <w:tabs>
                <w:tab w:val="left" w:pos="567"/>
              </w:tabs>
              <w:rPr>
                <w:szCs w:val="24"/>
              </w:rPr>
            </w:pPr>
            <w:r w:rsidRPr="00A23740">
              <w:rPr>
                <w:rStyle w:val="MaviChar"/>
                <w:lang w:val="tr-TR"/>
              </w:rPr>
              <w:t xml:space="preserve">MADDE </w:t>
            </w:r>
            <w:r w:rsidR="00B2701E" w:rsidRPr="00A23740">
              <w:rPr>
                <w:rStyle w:val="MaviChar"/>
              </w:rPr>
              <w:t>355</w:t>
            </w:r>
            <w:r w:rsidRPr="00A23740">
              <w:rPr>
                <w:rStyle w:val="MAVChar"/>
                <w:rFonts w:eastAsia="Calibri"/>
                <w:u w:val="none"/>
              </w:rPr>
              <w:t xml:space="preserve">- </w:t>
            </w:r>
            <w:r w:rsidRPr="00A23740">
              <w:rPr>
                <w:rStyle w:val="MaviChar"/>
              </w:rPr>
              <w:t xml:space="preserve">(1) İkinci alacaklılar toplantısı yapılamamış olsa </w:t>
            </w:r>
            <w:r w:rsidR="00FA6A25" w:rsidRPr="00A23740">
              <w:rPr>
                <w:rStyle w:val="MaviChar"/>
                <w:lang w:val="tr-TR"/>
              </w:rPr>
              <w:t>da</w:t>
            </w:r>
            <w:r w:rsidR="004029A0" w:rsidRPr="00237377">
              <w:rPr>
                <w:rStyle w:val="MaviChar"/>
              </w:rPr>
              <w:t>hi,</w:t>
            </w:r>
            <w:r w:rsidR="00FA6A25" w:rsidRPr="00A23740">
              <w:rPr>
                <w:rStyle w:val="MaviChar"/>
                <w:lang w:val="tr-TR"/>
              </w:rPr>
              <w:t xml:space="preserve"> </w:t>
            </w:r>
            <w:r w:rsidRPr="00A23740">
              <w:rPr>
                <w:rStyle w:val="MaviChar"/>
              </w:rPr>
              <w:t>alacak tutarının dörtte birini temsil eden alacaklılar talep eder veya iflas idaresi gerekli görürse, yeni</w:t>
            </w:r>
            <w:r w:rsidRPr="00A23740">
              <w:rPr>
                <w:rStyle w:val="MaviChar"/>
                <w:lang w:val="tr-TR"/>
              </w:rPr>
              <w:t xml:space="preserve"> </w:t>
            </w:r>
            <w:r w:rsidRPr="00A23740">
              <w:rPr>
                <w:rStyle w:val="MaviChar"/>
              </w:rPr>
              <w:t>alacaklılar toplantıları da yapılabilir. Bu h</w:t>
            </w:r>
            <w:r w:rsidR="00B2701E" w:rsidRPr="00A23740">
              <w:rPr>
                <w:rStyle w:val="MaviChar"/>
                <w:lang w:val="tr-TR"/>
              </w:rPr>
              <w:t>â</w:t>
            </w:r>
            <w:r w:rsidRPr="00A23740">
              <w:rPr>
                <w:rStyle w:val="MaviChar"/>
              </w:rPr>
              <w:t xml:space="preserve">lde iflas idaresi, toplantı gündemini belirleyerek </w:t>
            </w:r>
            <w:r w:rsidR="00FA6A25" w:rsidRPr="00A23740">
              <w:rPr>
                <w:rStyle w:val="MaviChar"/>
                <w:lang w:val="tr-TR"/>
              </w:rPr>
              <w:t>alac</w:t>
            </w:r>
            <w:r w:rsidR="00575A70">
              <w:rPr>
                <w:rStyle w:val="MaviChar"/>
                <w:lang w:val="tr-TR"/>
              </w:rPr>
              <w:t>aklıları toplantıya davet eder.</w:t>
            </w:r>
          </w:p>
          <w:p w:rsidR="00EB4ABD" w:rsidRDefault="00EB4ABD" w:rsidP="009431FF">
            <w:pPr>
              <w:tabs>
                <w:tab w:val="left" w:pos="567"/>
              </w:tabs>
              <w:rPr>
                <w:b/>
                <w:color w:val="0000FF"/>
                <w:szCs w:val="24"/>
              </w:rPr>
            </w:pPr>
          </w:p>
          <w:p w:rsidR="00575A70" w:rsidRDefault="00575A70" w:rsidP="009431FF">
            <w:pPr>
              <w:tabs>
                <w:tab w:val="left" w:pos="567"/>
              </w:tabs>
              <w:rPr>
                <w:b/>
                <w:color w:val="0000FF"/>
                <w:szCs w:val="24"/>
              </w:rPr>
            </w:pPr>
          </w:p>
          <w:p w:rsidR="00575A70" w:rsidRPr="00A23740" w:rsidRDefault="00575A70" w:rsidP="009431FF">
            <w:pPr>
              <w:tabs>
                <w:tab w:val="left" w:pos="567"/>
              </w:tabs>
              <w:rPr>
                <w:b/>
                <w:color w:val="0000FF"/>
                <w:szCs w:val="24"/>
              </w:rPr>
            </w:pPr>
          </w:p>
          <w:p w:rsidR="00AA5C8C" w:rsidRPr="00A23740" w:rsidRDefault="00AA5C8C" w:rsidP="009431FF">
            <w:pPr>
              <w:tabs>
                <w:tab w:val="left" w:pos="567"/>
              </w:tabs>
              <w:rPr>
                <w:strike/>
                <w:lang w:val="x-none" w:eastAsia="x-none"/>
              </w:rPr>
            </w:pPr>
            <w:r w:rsidRPr="00A23740">
              <w:rPr>
                <w:b/>
                <w:color w:val="0000FF"/>
                <w:szCs w:val="24"/>
              </w:rPr>
              <w:t>(2)</w:t>
            </w:r>
            <w:r w:rsidRPr="00A23740">
              <w:rPr>
                <w:szCs w:val="24"/>
              </w:rPr>
              <w:t xml:space="preserve"> </w:t>
            </w:r>
            <w:r w:rsidRPr="00A23740">
              <w:rPr>
                <w:rStyle w:val="MaviChar"/>
              </w:rPr>
              <w:t xml:space="preserve">Sonraki alacaklılar toplantıları </w:t>
            </w:r>
            <w:r w:rsidRPr="00A23740">
              <w:rPr>
                <w:szCs w:val="24"/>
              </w:rPr>
              <w:t>hakkında</w:t>
            </w:r>
            <w:r w:rsidRPr="00A23740">
              <w:rPr>
                <w:rStyle w:val="MaviChar"/>
                <w:lang w:val="tr-TR"/>
              </w:rPr>
              <w:t>,</w:t>
            </w:r>
            <w:r w:rsidRPr="00A23740">
              <w:rPr>
                <w:rStyle w:val="MaviChar"/>
              </w:rPr>
              <w:t xml:space="preserve"> ikinci alacaklılar toplantısına ilişkin hükümler</w:t>
            </w:r>
            <w:r w:rsidRPr="00A23740">
              <w:rPr>
                <w:szCs w:val="24"/>
              </w:rPr>
              <w:t xml:space="preserve"> uygulanır.</w:t>
            </w:r>
          </w:p>
          <w:p w:rsidR="00AA5C8C" w:rsidRPr="00A23740" w:rsidRDefault="00AA5C8C" w:rsidP="009431FF">
            <w:pPr>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3011E1" w:rsidP="009431FF">
            <w:pPr>
              <w:ind w:firstLine="709"/>
            </w:pPr>
          </w:p>
          <w:p w:rsidR="003011E1" w:rsidRPr="00A23740" w:rsidRDefault="003011E1" w:rsidP="009431FF">
            <w:pPr>
              <w:tabs>
                <w:tab w:val="left" w:pos="567"/>
              </w:tabs>
              <w:ind w:firstLine="709"/>
            </w:pPr>
            <w:r w:rsidRPr="00A23740">
              <w:rPr>
                <w:b/>
              </w:rPr>
              <w:t>M</w:t>
            </w:r>
            <w:r w:rsidR="00FA6A25" w:rsidRPr="00A23740">
              <w:rPr>
                <w:b/>
              </w:rPr>
              <w:t>ADDE 355</w:t>
            </w:r>
            <w:r w:rsidRPr="00A23740">
              <w:rPr>
                <w:b/>
              </w:rPr>
              <w:t>-</w:t>
            </w:r>
            <w:r w:rsidRPr="00A23740">
              <w:t xml:space="preserve"> Madd</w:t>
            </w:r>
            <w:r w:rsidR="00543C57" w:rsidRPr="00A23740">
              <w:t>eyle, s</w:t>
            </w:r>
            <w:r w:rsidRPr="00A23740">
              <w:t xml:space="preserve">onraki alacaklılar toplantısına ilişkin hususlar düzenlenmektedir. Hüküm, 2004 sayılı Kanunun 240 ıncı maddesine karşılık gelmektedir. </w:t>
            </w:r>
          </w:p>
          <w:p w:rsidR="006E092B" w:rsidRPr="00A23740" w:rsidRDefault="006E092B" w:rsidP="009431FF">
            <w:pPr>
              <w:ind w:firstLine="709"/>
              <w:rPr>
                <w:rStyle w:val="KIRMIZIChar"/>
                <w:rFonts w:eastAsia="Calibri"/>
              </w:rPr>
            </w:pPr>
            <w:r w:rsidRPr="00A23740">
              <w:t>Madde, 2</w:t>
            </w:r>
            <w:r w:rsidR="00543C57" w:rsidRPr="00A23740">
              <w:t>004 sayılı İcra ve İflâs Kanununun 3222 sayılı Kanunla değişik 240 ıncı</w:t>
            </w:r>
            <w:r w:rsidRPr="00A23740">
              <w:t xml:space="preserve"> maddesinin “yeniden alacaklılar toplantısı” başlıklı maddesinin “sonraki alacaklılar toplantıları” adı altında yeniden düzenlenmiş şeklidir. Buna göre, ikinci alacaklılar toplantısı yapılamamış olsa </w:t>
            </w:r>
            <w:r w:rsidR="00FA6A25" w:rsidRPr="00237377">
              <w:rPr>
                <w:bCs/>
              </w:rPr>
              <w:t>da</w:t>
            </w:r>
            <w:r w:rsidR="00FA442F" w:rsidRPr="00237377">
              <w:rPr>
                <w:bCs/>
              </w:rPr>
              <w:t>hi</w:t>
            </w:r>
            <w:r w:rsidR="0017022D" w:rsidRPr="00237377">
              <w:rPr>
                <w:bCs/>
              </w:rPr>
              <w:t>,</w:t>
            </w:r>
            <w:r w:rsidR="00FA6A25" w:rsidRPr="00237377">
              <w:t xml:space="preserve"> </w:t>
            </w:r>
            <w:r w:rsidRPr="00237377">
              <w:t>alacak</w:t>
            </w:r>
            <w:r w:rsidRPr="00A23740">
              <w:t xml:space="preserve"> tutarının dörtte birini temsil eden alacaklılar talep eder veya iflas idaresi gerekli görürse, yeni alacaklılar toplantıları da yapılabilir. Bu h</w:t>
            </w:r>
            <w:r w:rsidR="00FA6A25" w:rsidRPr="00A23740">
              <w:t>â</w:t>
            </w:r>
            <w:r w:rsidRPr="00A23740">
              <w:t xml:space="preserve">lde iflas idaresi, toplantı gündemini belirleyerek </w:t>
            </w:r>
            <w:r w:rsidR="00FA6A25" w:rsidRPr="00237377">
              <w:rPr>
                <w:bCs/>
              </w:rPr>
              <w:t>alacaklıları toplantıya davet eder.</w:t>
            </w:r>
            <w:r w:rsidR="00FA6A25" w:rsidRPr="00A23740">
              <w:t xml:space="preserve"> </w:t>
            </w:r>
          </w:p>
          <w:p w:rsidR="006E092B" w:rsidRPr="00A23740" w:rsidRDefault="006E092B" w:rsidP="009431FF">
            <w:pPr>
              <w:ind w:firstLine="709"/>
            </w:pPr>
            <w:r w:rsidRPr="00A23740">
              <w:t xml:space="preserve">Maddenin başlığı </w:t>
            </w:r>
            <w:r w:rsidRPr="00237377">
              <w:t>İsviç</w:t>
            </w:r>
            <w:r w:rsidR="00FA6A25" w:rsidRPr="00237377">
              <w:t>re</w:t>
            </w:r>
            <w:r w:rsidR="00FA6A25" w:rsidRPr="00237377">
              <w:rPr>
                <w:bCs/>
              </w:rPr>
              <w:t>’nin</w:t>
            </w:r>
            <w:r w:rsidR="00FA6A25" w:rsidRPr="00237377">
              <w:t xml:space="preserve"> </w:t>
            </w:r>
            <w:r w:rsidR="00FA6A25" w:rsidRPr="00237377">
              <w:rPr>
                <w:bCs/>
              </w:rPr>
              <w:t>Borç İçin Takip ve İflas Hakkındaki Federal Kanununun</w:t>
            </w:r>
            <w:r w:rsidR="00FA6A25" w:rsidRPr="00A23740">
              <w:t xml:space="preserve"> </w:t>
            </w:r>
            <w:r w:rsidR="00543C57" w:rsidRPr="00A23740">
              <w:t>255 inci</w:t>
            </w:r>
            <w:r w:rsidRPr="00A23740">
              <w:t xml:space="preserve"> maddesine uygun şekilde “sonraki” ibaresi ile değiştirilmiştir. Önceki düzenlemedeki “yeniden” nitelemesi nedeniyle, bu toplantının önceki toplantıların devamı niteliğinde olup olmadığı ve özellikle bu “yeni” toplantının yapılmasının ikinci alacaklılar toplantısının yapılmasına veya bu toplantıda karar alınamamasına bağlı olup olmadığı tartışmalarını önlemek açısından kaynak </w:t>
            </w:r>
            <w:r w:rsidR="00FA6A25" w:rsidRPr="00A23740">
              <w:t>K</w:t>
            </w:r>
            <w:r w:rsidRPr="00A23740">
              <w:t>anundaki gibi “sonraki” ibaresinin isabetli olduğu değerlendirilmiştir. Buna karşılık madde içinde “sonraki” ibaresi dil yönünden uygun görülmeyerek sadece ve çoğul olarak başlıkta kullanılmış, metnin içinde “yeni” teriminin kullanılmasına devam edilmiştir. Madde metninde de ifade edildiği üzere, ikinci alacaklılar toplantısı yapılamamış olsa dahi sonraki toplantı veya toplantı</w:t>
            </w:r>
            <w:r w:rsidR="00543C57" w:rsidRPr="00A23740">
              <w:t xml:space="preserve">ların yapılabilmesi mümkündür. </w:t>
            </w:r>
          </w:p>
          <w:p w:rsidR="006E092B" w:rsidRPr="00A23740" w:rsidRDefault="006E092B" w:rsidP="009431FF">
            <w:pPr>
              <w:ind w:firstLine="709"/>
            </w:pPr>
            <w:r w:rsidRPr="00A23740">
              <w:t>Sonraki toplantı veya toplantıların yapılabilmesine ifl</w:t>
            </w:r>
            <w:r w:rsidR="00656C77" w:rsidRPr="00A23740">
              <w:t>a</w:t>
            </w:r>
            <w:r w:rsidRPr="00A23740">
              <w:t xml:space="preserve">s idaresi karar verebileceği gibi alacaklılar da bu toplantıların yapılmasını talep edebilirler. 2004 sayılı Kanunda yer alan ve alacaklı çoğunluğuna verilen toplantıya davet yetkisi, kaynak </w:t>
            </w:r>
            <w:r w:rsidR="00FA6A25" w:rsidRPr="00A23740">
              <w:t>K</w:t>
            </w:r>
            <w:r w:rsidRPr="00A23740">
              <w:t>anundan farklı olarak alacak çoğunluğuna tanınmış ve böylece düzenleme, toplantı nisabıyla uyumlu h</w:t>
            </w:r>
            <w:r w:rsidR="00FA6A25" w:rsidRPr="00A23740">
              <w:t>â</w:t>
            </w:r>
            <w:r w:rsidRPr="00A23740">
              <w:t xml:space="preserve">le getirilmiştir. Buna göre, toplantıya davet yetkisi olan alacaklılar, </w:t>
            </w:r>
            <w:r w:rsidR="00FA6A25" w:rsidRPr="00A23740">
              <w:t>2004 sayılı K</w:t>
            </w:r>
            <w:r w:rsidRPr="00A23740">
              <w:t>anunda olduğu gibi alacaklıların çoğunluğu değil</w:t>
            </w:r>
            <w:r w:rsidR="0017022D" w:rsidRPr="00A23740">
              <w:t>,</w:t>
            </w:r>
            <w:r w:rsidRPr="00A23740">
              <w:t xml:space="preserve"> alacak tutarının dörtte birini temsil eden alacaklılardır. Bu sayıda alacaklının talebi üzerine ifl</w:t>
            </w:r>
            <w:r w:rsidR="00FA6A25" w:rsidRPr="00A23740">
              <w:t>a</w:t>
            </w:r>
            <w:r w:rsidRPr="00A23740">
              <w:t xml:space="preserve">s idaresi, toplantı gündemini belirleyerek </w:t>
            </w:r>
            <w:r w:rsidR="00FA6A25" w:rsidRPr="00237377">
              <w:rPr>
                <w:bCs/>
              </w:rPr>
              <w:t>alacaklıları toplantıya davet eder.</w:t>
            </w:r>
            <w:r w:rsidR="00FA6A25" w:rsidRPr="00A23740">
              <w:t xml:space="preserve"> </w:t>
            </w:r>
            <w:r w:rsidRPr="00A23740">
              <w:t>Sonraki toplantıların sayısı sınırlandırılmış olmayıp, somut olayın koşullarına göre birden fazla da gerçekleşebilir.</w:t>
            </w:r>
          </w:p>
          <w:p w:rsidR="00731980" w:rsidRPr="00A23740" w:rsidRDefault="006E092B" w:rsidP="009431FF">
            <w:pPr>
              <w:tabs>
                <w:tab w:val="left" w:pos="567"/>
              </w:tabs>
              <w:ind w:firstLine="709"/>
            </w:pPr>
            <w:r w:rsidRPr="00A23740">
              <w:t>Maddenin ikinci fıkrasında, bu yeni toplantılar hakkında ikinci alacaklılar toplantısına ilişkin hükümlerin uygulanacağı ifade edilm</w:t>
            </w:r>
            <w:r w:rsidR="00543C57" w:rsidRPr="00A23740">
              <w:t>iştir. 2004 sayılı Kanunun 240 ıncı</w:t>
            </w:r>
            <w:r w:rsidRPr="00A23740">
              <w:t xml:space="preserve"> maddesinde yalnızca birinci alacaklılar toplantısının toplantı ve karar nisabına atıf yapılmışken bu düzenleme ile daha geniş bir atıf yapılmaktadır. Buna göre, hem toplantı ve karar nisabı bakımından ikinci alacaklılar toplantısındaki kurallar sonraki alacaklılar toplantısında da aranacak hem de ikinci alacaklılar toplantısında alınabilecek nitelikteki kararlar sonraki alacaklılar toplantısında da alınabilecektir.</w:t>
            </w:r>
          </w:p>
          <w:p w:rsidR="0017022D" w:rsidRPr="00A23740" w:rsidRDefault="0017022D" w:rsidP="009431FF">
            <w:pPr>
              <w:tabs>
                <w:tab w:val="left" w:pos="567"/>
              </w:tabs>
              <w:ind w:firstLine="709"/>
            </w:pPr>
            <w:r w:rsidRPr="00A23740">
              <w:t>Maddede İsviçre hukukuyla paralellik sağlanarak tasfiyede görev alacak bir “alacaklılar kurulu” oluşturulması önerisi Bilim Komisyonu tarafından kabul edilmemiştir.</w:t>
            </w:r>
          </w:p>
          <w:p w:rsidR="00AA5C8C" w:rsidRPr="00A23740" w:rsidRDefault="00AA5C8C" w:rsidP="009A013D">
            <w:pPr>
              <w:tabs>
                <w:tab w:val="left" w:pos="567"/>
              </w:tabs>
              <w:rPr>
                <w:b/>
                <w:color w:val="0000FF"/>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b/>
                <w:strike/>
                <w:color w:val="FF0000"/>
                <w:szCs w:val="24"/>
              </w:rPr>
            </w:pPr>
            <w:r w:rsidRPr="00A23740">
              <w:rPr>
                <w:rStyle w:val="KIRMIZIChar"/>
                <w:rFonts w:eastAsia="Calibri"/>
              </w:rPr>
              <w:t>Yeniden</w:t>
            </w:r>
            <w:r w:rsidRPr="00A23740">
              <w:rPr>
                <w:szCs w:val="24"/>
              </w:rPr>
              <w:t xml:space="preserve"> </w:t>
            </w:r>
            <w:r w:rsidRPr="00A23740">
              <w:rPr>
                <w:rStyle w:val="KIRMIZIChar"/>
                <w:rFonts w:eastAsia="Calibri"/>
              </w:rPr>
              <w:t>alacaklılar toplanması:</w:t>
            </w:r>
          </w:p>
          <w:p w:rsidR="00AA5C8C" w:rsidRPr="00A23740" w:rsidRDefault="00AA5C8C" w:rsidP="009431FF">
            <w:pPr>
              <w:widowControl w:val="0"/>
              <w:tabs>
                <w:tab w:val="left" w:pos="567"/>
              </w:tabs>
              <w:rPr>
                <w:b/>
                <w:szCs w:val="24"/>
              </w:rPr>
            </w:pPr>
            <w:r w:rsidRPr="00A23740">
              <w:rPr>
                <w:rStyle w:val="KIRMIZIChar"/>
                <w:rFonts w:eastAsia="Calibri"/>
              </w:rPr>
              <w:t>Madde 240 – (1) (Değişik</w:t>
            </w:r>
            <w:r w:rsidRPr="00A23740">
              <w:rPr>
                <w:b/>
                <w:strike/>
                <w:color w:val="FF0000"/>
                <w:szCs w:val="24"/>
              </w:rPr>
              <w:t>: 6/6/1985 - 3222/30 md.)</w:t>
            </w:r>
          </w:p>
          <w:p w:rsidR="00AA5C8C" w:rsidRPr="00A23740" w:rsidRDefault="00AA5C8C" w:rsidP="009431FF">
            <w:pPr>
              <w:pStyle w:val="KIRMIZI"/>
              <w:widowControl w:val="0"/>
            </w:pPr>
            <w:r w:rsidRPr="00A23740">
              <w:t>Alacaklıların ekseriyeti ister yahut iflas idaresi lüzumuna kani olursa yeniden alacaklılar toplanması için davet yapılabilir. Yeniden alacaklılar toplantısının gündemindeki konular hakkında alacaklıların oyu, kendilerinin bilinen adreslerine taahhütlü bir mektupla yazılacak davet üzerine ve imzası noterlikçe tasdikli cevap yazısı ile elde edilebilir.</w:t>
            </w:r>
          </w:p>
          <w:p w:rsidR="00AA5C8C" w:rsidRPr="00A23740" w:rsidRDefault="00AA5C8C" w:rsidP="009431FF">
            <w:pPr>
              <w:widowControl w:val="0"/>
              <w:tabs>
                <w:tab w:val="left" w:pos="567"/>
              </w:tabs>
              <w:rPr>
                <w:szCs w:val="24"/>
              </w:rPr>
            </w:pPr>
          </w:p>
          <w:p w:rsidR="00AA5C8C" w:rsidRPr="00A23740" w:rsidRDefault="00070994" w:rsidP="009431FF">
            <w:pPr>
              <w:widowControl w:val="0"/>
              <w:tabs>
                <w:tab w:val="left" w:pos="567"/>
              </w:tabs>
              <w:rPr>
                <w:szCs w:val="24"/>
              </w:rPr>
            </w:pPr>
            <w:r>
              <w:rPr>
                <w:b/>
                <w:color w:val="FF0000"/>
              </w:rPr>
              <w:t>M.240/F1.</w:t>
            </w:r>
            <w:r w:rsidR="00AA5C8C" w:rsidRPr="00A23740">
              <w:rPr>
                <w:b/>
                <w:color w:val="FF0000"/>
              </w:rPr>
              <w:t>C2:</w:t>
            </w:r>
            <w:r w:rsidR="00AA5C8C" w:rsidRPr="00A23740">
              <w:t xml:space="preserve"> </w:t>
            </w:r>
            <w:r w:rsidR="00AA5C8C" w:rsidRPr="00A23740">
              <w:rPr>
                <w:rStyle w:val="KIRMIZIChar"/>
                <w:rFonts w:eastAsia="Calibri"/>
              </w:rPr>
              <w:t>Yeniden alacaklılar toplantısının gündemindeki konular hakkında alacaklıların oyu, kendilerinin bilinen adreslerine taahhütlü bir mektupla yazılacak davet üzerine ve imzası noterlikçe tasdikli cevap yazısı ile elde edilebilir.</w:t>
            </w:r>
          </w:p>
        </w:tc>
        <w:tc>
          <w:tcPr>
            <w:tcW w:w="2500" w:type="pct"/>
          </w:tcPr>
          <w:p w:rsidR="00AA5C8C" w:rsidRPr="00A23740" w:rsidRDefault="00AA5C8C" w:rsidP="009431FF">
            <w:pPr>
              <w:widowControl w:val="0"/>
              <w:tabs>
                <w:tab w:val="left" w:pos="567"/>
              </w:tabs>
              <w:rPr>
                <w:b/>
                <w:color w:val="0000FF"/>
                <w:szCs w:val="24"/>
              </w:rPr>
            </w:pPr>
            <w:r w:rsidRPr="00A23740">
              <w:rPr>
                <w:b/>
                <w:color w:val="0000FF"/>
                <w:szCs w:val="24"/>
              </w:rPr>
              <w:t xml:space="preserve">Sirküler yoluyla </w:t>
            </w:r>
            <w:r w:rsidRPr="00A23740">
              <w:rPr>
                <w:rStyle w:val="MaviChar"/>
              </w:rPr>
              <w:t>karar alınması</w:t>
            </w:r>
            <w:r w:rsidRPr="00A23740">
              <w:rPr>
                <w:b/>
                <w:color w:val="0000FF"/>
                <w:szCs w:val="24"/>
              </w:rPr>
              <w:t xml:space="preserve"> </w:t>
            </w:r>
          </w:p>
          <w:p w:rsidR="00B04041" w:rsidRPr="00A23740" w:rsidRDefault="00AA5C8C" w:rsidP="009431FF">
            <w:pPr>
              <w:widowControl w:val="0"/>
              <w:tabs>
                <w:tab w:val="left" w:pos="567"/>
              </w:tabs>
              <w:rPr>
                <w:b/>
                <w:color w:val="0000FF"/>
                <w:szCs w:val="24"/>
              </w:rPr>
            </w:pPr>
            <w:r w:rsidRPr="00A23740">
              <w:rPr>
                <w:b/>
                <w:color w:val="0000FF"/>
                <w:szCs w:val="24"/>
              </w:rPr>
              <w:t xml:space="preserve">MADDE </w:t>
            </w:r>
            <w:r w:rsidR="00FA6A25" w:rsidRPr="00A23740">
              <w:rPr>
                <w:rStyle w:val="MaviChar"/>
              </w:rPr>
              <w:t>356</w:t>
            </w:r>
            <w:r w:rsidRPr="00A23740">
              <w:rPr>
                <w:b/>
                <w:color w:val="0000FF"/>
                <w:szCs w:val="24"/>
              </w:rPr>
              <w:t>- (1) Acele h</w:t>
            </w:r>
            <w:r w:rsidR="00FA6A25" w:rsidRPr="00A23740">
              <w:rPr>
                <w:b/>
                <w:color w:val="0000FF"/>
                <w:szCs w:val="24"/>
              </w:rPr>
              <w:t>â</w:t>
            </w:r>
            <w:r w:rsidRPr="00A23740">
              <w:rPr>
                <w:b/>
                <w:color w:val="0000FF"/>
                <w:szCs w:val="24"/>
              </w:rPr>
              <w:t xml:space="preserve">llerde veya </w:t>
            </w:r>
            <w:r w:rsidRPr="00A23740">
              <w:rPr>
                <w:rStyle w:val="MaviChar"/>
              </w:rPr>
              <w:t>alacaklılar toplantısında karar alınamadığında,</w:t>
            </w:r>
            <w:r w:rsidRPr="00A23740">
              <w:rPr>
                <w:rStyle w:val="YELChar"/>
              </w:rPr>
              <w:t xml:space="preserve"> </w:t>
            </w:r>
            <w:r w:rsidRPr="00A23740">
              <w:rPr>
                <w:b/>
                <w:color w:val="0000FF"/>
                <w:szCs w:val="24"/>
              </w:rPr>
              <w:t xml:space="preserve">iflas idaresi </w:t>
            </w:r>
            <w:r w:rsidRPr="00A23740">
              <w:rPr>
                <w:rStyle w:val="MaviChar"/>
              </w:rPr>
              <w:t xml:space="preserve">kararın </w:t>
            </w:r>
            <w:r w:rsidRPr="00A23740">
              <w:rPr>
                <w:b/>
                <w:color w:val="0000FF"/>
                <w:szCs w:val="24"/>
              </w:rPr>
              <w:t xml:space="preserve">sirküler yoluyla </w:t>
            </w:r>
            <w:r w:rsidRPr="00A23740">
              <w:rPr>
                <w:rStyle w:val="MaviChar"/>
              </w:rPr>
              <w:t xml:space="preserve">alınmasına karar verebilir. </w:t>
            </w:r>
            <w:r w:rsidRPr="00A23740">
              <w:rPr>
                <w:b/>
                <w:color w:val="0000FF"/>
                <w:szCs w:val="24"/>
              </w:rPr>
              <w:t xml:space="preserve">Gündem, </w:t>
            </w:r>
            <w:r w:rsidRPr="00A23740">
              <w:rPr>
                <w:rStyle w:val="MaviChar"/>
              </w:rPr>
              <w:t>alacaklılara tebliğ edilir</w:t>
            </w:r>
            <w:r w:rsidR="00B04041" w:rsidRPr="00A23740">
              <w:rPr>
                <w:rStyle w:val="MaviChar"/>
                <w:lang w:val="tr-TR"/>
              </w:rPr>
              <w:t>.</w:t>
            </w:r>
          </w:p>
          <w:p w:rsidR="00B04041" w:rsidRPr="00A23740" w:rsidRDefault="00B04041" w:rsidP="009431FF">
            <w:pPr>
              <w:widowControl w:val="0"/>
              <w:tabs>
                <w:tab w:val="left" w:pos="567"/>
              </w:tabs>
              <w:rPr>
                <w:b/>
                <w:color w:val="0000FF"/>
                <w:szCs w:val="24"/>
              </w:rPr>
            </w:pPr>
          </w:p>
          <w:p w:rsidR="00AA5C8C" w:rsidRPr="00A23740" w:rsidRDefault="00AA5C8C" w:rsidP="009431FF">
            <w:pPr>
              <w:widowControl w:val="0"/>
              <w:tabs>
                <w:tab w:val="left" w:pos="567"/>
              </w:tabs>
              <w:rPr>
                <w:rStyle w:val="Stil1Char"/>
                <w:rFonts w:eastAsia="Calibri"/>
                <w:u w:val="none"/>
              </w:rPr>
            </w:pPr>
            <w:r w:rsidRPr="00A23740">
              <w:rPr>
                <w:b/>
                <w:color w:val="0000FF"/>
                <w:szCs w:val="24"/>
              </w:rPr>
              <w:t xml:space="preserve">(2) </w:t>
            </w:r>
            <w:r w:rsidRPr="00A23740">
              <w:rPr>
                <w:rStyle w:val="MaviChar"/>
              </w:rPr>
              <w:t>İflas idaresi tarafından</w:t>
            </w:r>
            <w:r w:rsidRPr="00A23740">
              <w:rPr>
                <w:b/>
                <w:color w:val="0000FF"/>
                <w:szCs w:val="24"/>
              </w:rPr>
              <w:t xml:space="preserve"> alacaklılara gönderilecek </w:t>
            </w:r>
            <w:r w:rsidR="005130C0" w:rsidRPr="00A23740">
              <w:rPr>
                <w:b/>
                <w:color w:val="0000FF"/>
                <w:szCs w:val="24"/>
              </w:rPr>
              <w:t xml:space="preserve">gündem metninde </w:t>
            </w:r>
            <w:r w:rsidRPr="00A23740">
              <w:rPr>
                <w:b/>
                <w:color w:val="0000FF"/>
                <w:szCs w:val="24"/>
              </w:rPr>
              <w:t>belirlenen süre içinde görüş bildirilmemesi h</w:t>
            </w:r>
            <w:r w:rsidR="00FA6A25" w:rsidRPr="00A23740">
              <w:rPr>
                <w:b/>
                <w:color w:val="0000FF"/>
                <w:szCs w:val="24"/>
              </w:rPr>
              <w:t>â</w:t>
            </w:r>
            <w:r w:rsidRPr="00A23740">
              <w:rPr>
                <w:b/>
                <w:color w:val="0000FF"/>
                <w:szCs w:val="24"/>
              </w:rPr>
              <w:t xml:space="preserve">linde </w:t>
            </w:r>
            <w:r w:rsidR="005130C0" w:rsidRPr="00A23740">
              <w:rPr>
                <w:b/>
                <w:color w:val="0000FF"/>
                <w:szCs w:val="24"/>
              </w:rPr>
              <w:t xml:space="preserve">ilgili </w:t>
            </w:r>
            <w:r w:rsidRPr="00A23740">
              <w:rPr>
                <w:b/>
                <w:color w:val="0000FF"/>
                <w:szCs w:val="24"/>
              </w:rPr>
              <w:t xml:space="preserve">gündem maddesinin kabul edilmiş sayılacağı </w:t>
            </w:r>
            <w:r w:rsidRPr="00A23740">
              <w:rPr>
                <w:rStyle w:val="MaviChar"/>
              </w:rPr>
              <w:t>açıkça</w:t>
            </w:r>
            <w:r w:rsidRPr="00A23740">
              <w:rPr>
                <w:b/>
                <w:color w:val="0000FF"/>
                <w:szCs w:val="24"/>
              </w:rPr>
              <w:t xml:space="preserve"> ihtar edilir.</w:t>
            </w:r>
          </w:p>
          <w:p w:rsidR="00AA5C8C" w:rsidRPr="00A23740" w:rsidRDefault="00AA5C8C" w:rsidP="009431FF">
            <w:pPr>
              <w:widowControl w:val="0"/>
              <w:tabs>
                <w:tab w:val="left" w:pos="567"/>
              </w:tabs>
              <w:rPr>
                <w:rStyle w:val="Stil1Char"/>
                <w:rFonts w:eastAsia="Calibri"/>
                <w:strike/>
                <w:u w:val="none"/>
              </w:rPr>
            </w:pPr>
          </w:p>
          <w:p w:rsidR="00AA5C8C" w:rsidRPr="00A23740" w:rsidRDefault="00AA5C8C" w:rsidP="009431FF">
            <w:pPr>
              <w:widowControl w:val="0"/>
              <w:tabs>
                <w:tab w:val="left" w:pos="567"/>
              </w:tabs>
              <w:rPr>
                <w:b/>
                <w:color w:val="0000FF"/>
                <w:szCs w:val="24"/>
              </w:rPr>
            </w:pPr>
            <w:r w:rsidRPr="00A23740">
              <w:rPr>
                <w:b/>
                <w:color w:val="0000FF"/>
                <w:szCs w:val="24"/>
              </w:rPr>
              <w:t>(3</w:t>
            </w:r>
            <w:r w:rsidRPr="00A23740">
              <w:rPr>
                <w:rStyle w:val="MaviChar"/>
                <w:lang w:val="tr-TR"/>
              </w:rPr>
              <w:t xml:space="preserve">) </w:t>
            </w:r>
            <w:r w:rsidRPr="00A23740">
              <w:rPr>
                <w:rStyle w:val="MaviChar"/>
              </w:rPr>
              <w:t>Alacaklılar</w:t>
            </w:r>
            <w:r w:rsidR="005130C0" w:rsidRPr="00A23740">
              <w:rPr>
                <w:rStyle w:val="MaviChar"/>
                <w:lang w:val="tr-TR"/>
              </w:rPr>
              <w:t>,</w:t>
            </w:r>
            <w:r w:rsidRPr="00A23740">
              <w:rPr>
                <w:rStyle w:val="MaviChar"/>
              </w:rPr>
              <w:t xml:space="preserve"> oylarını iflas idaresince belirlenen süre içinde, imzası noterlikçe onaylı bir belge</w:t>
            </w:r>
            <w:r w:rsidR="004029A0" w:rsidRPr="00237377">
              <w:rPr>
                <w:rStyle w:val="MaviChar"/>
              </w:rPr>
              <w:t>yle</w:t>
            </w:r>
            <w:r w:rsidRPr="00A23740">
              <w:rPr>
                <w:rStyle w:val="MaviChar"/>
              </w:rPr>
              <w:t xml:space="preserve"> iflas idaresine veya iflas idaresine gönderilmek üzere herhangi bir icra ve iflas</w:t>
            </w:r>
            <w:r w:rsidRPr="00A23740">
              <w:rPr>
                <w:b/>
                <w:color w:val="0000FF"/>
                <w:szCs w:val="24"/>
              </w:rPr>
              <w:t xml:space="preserve"> dairesine bizzat veya vekil aracılığıyla yazılı beyanda bulunmak suretiyle </w:t>
            </w:r>
            <w:r w:rsidR="005130C0" w:rsidRPr="00A23740">
              <w:rPr>
                <w:b/>
                <w:color w:val="0000FF"/>
                <w:szCs w:val="24"/>
              </w:rPr>
              <w:t>kullanabilirler.</w:t>
            </w:r>
          </w:p>
          <w:p w:rsidR="005130C0" w:rsidRPr="00A23740" w:rsidRDefault="005130C0" w:rsidP="009431FF">
            <w:pPr>
              <w:pStyle w:val="Mavi"/>
              <w:widowControl w:val="0"/>
            </w:pPr>
          </w:p>
          <w:p w:rsidR="00AA5C8C" w:rsidRPr="00A23740" w:rsidRDefault="005130C0" w:rsidP="009431FF">
            <w:pPr>
              <w:pStyle w:val="Mavi"/>
              <w:widowControl w:val="0"/>
              <w:rPr>
                <w:lang w:val="tr-TR"/>
              </w:rPr>
            </w:pPr>
            <w:r w:rsidRPr="00A23740">
              <w:rPr>
                <w:lang w:val="tr-TR"/>
              </w:rPr>
              <w:t xml:space="preserve">(4) </w:t>
            </w:r>
            <w:r w:rsidRPr="00A23740">
              <w:t xml:space="preserve">Alacak tutarının çoğunluğuna sahip alacaklılar, </w:t>
            </w:r>
            <w:r w:rsidRPr="00A23740">
              <w:rPr>
                <w:lang w:val="tr-TR"/>
              </w:rPr>
              <w:t xml:space="preserve">yukarıdaki fıkra hükümleri uyarınca </w:t>
            </w:r>
            <w:r w:rsidR="004029A0" w:rsidRPr="00237377">
              <w:t>onayladıkları</w:t>
            </w:r>
            <w:r w:rsidR="004029A0" w:rsidRPr="00A23740">
              <w:rPr>
                <w:lang w:val="tr-TR"/>
              </w:rPr>
              <w:t xml:space="preserve"> </w:t>
            </w:r>
            <w:r w:rsidR="00575A70">
              <w:rPr>
                <w:lang w:val="tr-TR"/>
              </w:rPr>
              <w:t xml:space="preserve">takdirde </w:t>
            </w:r>
            <w:r w:rsidRPr="00A23740">
              <w:t>teklif kabul edilmiş olur.</w:t>
            </w:r>
          </w:p>
          <w:p w:rsidR="00AA5C8C" w:rsidRDefault="00AA5C8C" w:rsidP="009431FF">
            <w:pPr>
              <w:pStyle w:val="YEL"/>
              <w:widowControl w:val="0"/>
              <w:rPr>
                <w:b w:val="0"/>
              </w:rPr>
            </w:pPr>
          </w:p>
          <w:p w:rsidR="009A013D" w:rsidRDefault="009A013D" w:rsidP="009431FF">
            <w:pPr>
              <w:pStyle w:val="YEL"/>
              <w:widowControl w:val="0"/>
              <w:rPr>
                <w:b w:val="0"/>
              </w:rPr>
            </w:pPr>
          </w:p>
          <w:p w:rsidR="009A013D" w:rsidRPr="00A23740" w:rsidRDefault="009A013D" w:rsidP="009431FF">
            <w:pPr>
              <w:pStyle w:val="YEL"/>
              <w:widowControl w:val="0"/>
              <w:rPr>
                <w:b w:val="0"/>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011E1" w:rsidRPr="00A23740" w:rsidRDefault="00AA5C8C" w:rsidP="009431FF">
            <w:pPr>
              <w:tabs>
                <w:tab w:val="left" w:pos="567"/>
              </w:tabs>
              <w:ind w:firstLine="709"/>
              <w:rPr>
                <w:b/>
                <w:color w:val="0000FF"/>
              </w:rPr>
            </w:pPr>
            <w:r w:rsidRPr="00A23740">
              <w:rPr>
                <w:b/>
                <w:color w:val="0000FF"/>
                <w:szCs w:val="24"/>
              </w:rPr>
              <w:t xml:space="preserve"> </w:t>
            </w:r>
            <w:r w:rsidRPr="00A23740">
              <w:rPr>
                <w:b/>
                <w:color w:val="0000FF"/>
              </w:rPr>
              <w:t xml:space="preserve">          </w:t>
            </w:r>
          </w:p>
          <w:p w:rsidR="003011E1" w:rsidRPr="00A23740" w:rsidRDefault="005130C0" w:rsidP="009431FF">
            <w:pPr>
              <w:tabs>
                <w:tab w:val="left" w:pos="567"/>
              </w:tabs>
              <w:ind w:firstLine="709"/>
            </w:pPr>
            <w:r w:rsidRPr="00A23740">
              <w:rPr>
                <w:b/>
              </w:rPr>
              <w:t>MADDE 356</w:t>
            </w:r>
            <w:r w:rsidR="003011E1" w:rsidRPr="00A23740">
              <w:rPr>
                <w:b/>
              </w:rPr>
              <w:t>-</w:t>
            </w:r>
            <w:r w:rsidR="003011E1" w:rsidRPr="00A23740">
              <w:t xml:space="preserve"> Maddeyle, sirküler yoluyla karar alınmasına ilişkin hususlar düzenlenmektedir. Hüküm, 2004 sayılı Kanunun 240 ıncı maddesine karşılık gelmektedir. </w:t>
            </w:r>
          </w:p>
          <w:p w:rsidR="006E092B" w:rsidRPr="00A23740" w:rsidRDefault="006E092B" w:rsidP="009431FF">
            <w:pPr>
              <w:tabs>
                <w:tab w:val="left" w:pos="567"/>
              </w:tabs>
              <w:ind w:firstLine="709"/>
            </w:pPr>
            <w:r w:rsidRPr="00A23740">
              <w:t xml:space="preserve">2004 sayılı Kanunun </w:t>
            </w:r>
            <w:r w:rsidRPr="00237377">
              <w:t>240</w:t>
            </w:r>
            <w:r w:rsidR="005130C0" w:rsidRPr="00237377">
              <w:t xml:space="preserve"> </w:t>
            </w:r>
            <w:r w:rsidR="005130C0" w:rsidRPr="00237377">
              <w:rPr>
                <w:bCs/>
              </w:rPr>
              <w:t>ıncı</w:t>
            </w:r>
            <w:r w:rsidRPr="00237377">
              <w:t xml:space="preserve"> maddesinde</w:t>
            </w:r>
            <w:r w:rsidRPr="00A23740">
              <w:t>, alacaklılar toplantısının gündemindeki konular hakkında alacaklıların oyunun, kendilerinin bilinen adreslerine taahhütlü bir mektupla yazılacak davet üzerine ve imzası noterlikçe tasdikli cevap yazısı</w:t>
            </w:r>
            <w:r w:rsidR="00E70D46" w:rsidRPr="00A23740">
              <w:t>yla</w:t>
            </w:r>
            <w:r w:rsidRPr="00A23740">
              <w:t xml:space="preserve"> elde edilebileceği ifade edilmekle birlikte, bu hüküm yalnızca yeni alacaklılar toplantısının yapılması h</w:t>
            </w:r>
            <w:r w:rsidR="009D574E" w:rsidRPr="00A23740">
              <w:t>â</w:t>
            </w:r>
            <w:r w:rsidRPr="00A23740">
              <w:t>line özgüdür. Öte yandan önceki düzenlemede 240</w:t>
            </w:r>
            <w:r w:rsidR="0063519E" w:rsidRPr="00237377">
              <w:t xml:space="preserve"> </w:t>
            </w:r>
            <w:r w:rsidR="0063519E" w:rsidRPr="00237377">
              <w:rPr>
                <w:bCs/>
              </w:rPr>
              <w:t>ıncı</w:t>
            </w:r>
            <w:r w:rsidRPr="00A23740">
              <w:t xml:space="preserve"> maddenin başlığı, “alacaklılar toplanması” olmakla birlikte, esasında bir toplantı değil karar alma; hatta toplantı yapmadan karar alma söz konusuydu. O nedenle, daha isabetli bulunduğu için </w:t>
            </w:r>
            <w:r w:rsidRPr="00237377">
              <w:rPr>
                <w:bCs/>
              </w:rPr>
              <w:t>İsviçre</w:t>
            </w:r>
            <w:r w:rsidR="0063519E" w:rsidRPr="00237377">
              <w:rPr>
                <w:bCs/>
              </w:rPr>
              <w:t>’nin Borç için Takip ve İflas</w:t>
            </w:r>
            <w:r w:rsidR="0063519E" w:rsidRPr="00237377">
              <w:t xml:space="preserve"> </w:t>
            </w:r>
            <w:r w:rsidR="0063519E" w:rsidRPr="00237377">
              <w:rPr>
                <w:bCs/>
              </w:rPr>
              <w:t>Hakkında Federal Kanunun</w:t>
            </w:r>
            <w:r w:rsidRPr="00A23740">
              <w:t xml:space="preserve"> 255a maddesinde olduğu şekilde </w:t>
            </w:r>
            <w:r w:rsidR="0063519E" w:rsidRPr="00237377">
              <w:rPr>
                <w:bCs/>
              </w:rPr>
              <w:t>başlıkta</w:t>
            </w:r>
            <w:r w:rsidR="0063519E" w:rsidRPr="00237377">
              <w:t xml:space="preserve"> </w:t>
            </w:r>
            <w:r w:rsidRPr="00A23740">
              <w:t xml:space="preserve">“sirküler yoluyla karar alınması” </w:t>
            </w:r>
            <w:r w:rsidR="00E70D46" w:rsidRPr="00A23740">
              <w:t xml:space="preserve"> terimi </w:t>
            </w:r>
            <w:r w:rsidRPr="00A23740">
              <w:t>tercih edilmiştir. Ayrıca bu düzenleme</w:t>
            </w:r>
            <w:r w:rsidR="0063519E" w:rsidRPr="00A23740">
              <w:t xml:space="preserve"> </w:t>
            </w:r>
            <w:r w:rsidR="0063519E" w:rsidRPr="00237377">
              <w:rPr>
                <w:bCs/>
              </w:rPr>
              <w:t>2004 sayılı Kanunun 240 ıncı maddesinden de</w:t>
            </w:r>
            <w:r w:rsidR="0063519E" w:rsidRPr="00A23740">
              <w:t xml:space="preserve"> </w:t>
            </w:r>
            <w:r w:rsidRPr="00A23740">
              <w:t xml:space="preserve">farklıdır. Çünkü </w:t>
            </w:r>
            <w:r w:rsidR="0063519E" w:rsidRPr="00237377">
              <w:rPr>
                <w:bCs/>
              </w:rPr>
              <w:t>2004 sayılı Kanunun 240 ıncı maddesinde</w:t>
            </w:r>
            <w:r w:rsidR="0063519E" w:rsidRPr="00A23740">
              <w:t xml:space="preserve"> </w:t>
            </w:r>
            <w:r w:rsidRPr="00A23740">
              <w:t>yalnızca yeni alacaklılar toplantısının yapılması h</w:t>
            </w:r>
            <w:r w:rsidR="0063519E" w:rsidRPr="00A23740">
              <w:t>âlinde ifla</w:t>
            </w:r>
            <w:r w:rsidRPr="00A23740">
              <w:t xml:space="preserve">s idaresine tanınmış </w:t>
            </w:r>
            <w:r w:rsidR="00E70D46" w:rsidRPr="00A23740">
              <w:t xml:space="preserve">bir </w:t>
            </w:r>
            <w:r w:rsidRPr="00A23740">
              <w:t xml:space="preserve">yetki söz konusudur. Buna karşılık yeni düzenlemede </w:t>
            </w:r>
            <w:r w:rsidR="0063519E" w:rsidRPr="00A23740">
              <w:t>ifla</w:t>
            </w:r>
            <w:r w:rsidRPr="00A23740">
              <w:t>s idaresine acele h</w:t>
            </w:r>
            <w:r w:rsidR="009D574E" w:rsidRPr="00A23740">
              <w:t>â</w:t>
            </w:r>
            <w:r w:rsidRPr="00A23740">
              <w:t xml:space="preserve">llerde veya alacaklılar toplantısında karar alınamadığında, kararın sirküler yoluyla alınması yetkisi </w:t>
            </w:r>
            <w:r w:rsidR="00E70D46" w:rsidRPr="00237377">
              <w:rPr>
                <w:bCs/>
              </w:rPr>
              <w:t>tanınmaktadır</w:t>
            </w:r>
            <w:r w:rsidR="0063519E" w:rsidRPr="00237377">
              <w:rPr>
                <w:bCs/>
              </w:rPr>
              <w:t>.</w:t>
            </w:r>
            <w:r w:rsidR="0063519E" w:rsidRPr="00A23740">
              <w:t xml:space="preserve"> </w:t>
            </w:r>
            <w:r w:rsidRPr="00A23740">
              <w:t>Maddenin birinci fıkrasında ifl</w:t>
            </w:r>
            <w:r w:rsidR="0063519E" w:rsidRPr="00A23740">
              <w:t>a</w:t>
            </w:r>
            <w:r w:rsidRPr="00A23740">
              <w:t>s idaresinin bu şekilde karar alınması yoluna gitmesi h</w:t>
            </w:r>
            <w:r w:rsidR="0063519E" w:rsidRPr="00A23740">
              <w:t>â</w:t>
            </w:r>
            <w:r w:rsidRPr="00A23740">
              <w:t>linde, gündemi alacaklılara tebliğ edeceği hükme bağlanmıştır. Bu husus, ifl</w:t>
            </w:r>
            <w:r w:rsidR="00656C77" w:rsidRPr="00A23740">
              <w:t>a</w:t>
            </w:r>
            <w:r w:rsidRPr="00A23740">
              <w:t xml:space="preserve">s idaresinin tebligatı, Tebligat Kanunu hükümleri uyarınca yapabileceğine ilişkin genel düzenlemeye paraleldir. </w:t>
            </w:r>
          </w:p>
          <w:p w:rsidR="006E092B" w:rsidRPr="00A23740" w:rsidRDefault="006E092B" w:rsidP="009431FF">
            <w:pPr>
              <w:tabs>
                <w:tab w:val="left" w:pos="567"/>
              </w:tabs>
              <w:ind w:firstLine="709"/>
            </w:pPr>
            <w:r w:rsidRPr="00A23740">
              <w:t>Maddenin ikinci fıkrasında önemli bir yaptırım düzenlenmektedir. Buna göre, iflas idaresi tarafından alacaklılara gönderilecek sirkülerde, belirlenen süre içinde görüş bildirilmemesi h</w:t>
            </w:r>
            <w:r w:rsidR="0063519E" w:rsidRPr="00A23740">
              <w:t>â</w:t>
            </w:r>
            <w:r w:rsidRPr="00A23740">
              <w:t>linde</w:t>
            </w:r>
            <w:r w:rsidR="0063519E" w:rsidRPr="00575A70">
              <w:rPr>
                <w:rStyle w:val="Balk1Char"/>
                <w:rFonts w:eastAsia="Calibri"/>
                <w:b w:val="0"/>
                <w:color w:val="000000" w:themeColor="text1"/>
              </w:rPr>
              <w:t>,</w:t>
            </w:r>
            <w:r w:rsidRPr="00A23740">
              <w:t xml:space="preserve"> gündem maddesinin kabul edilmiş sayılacağı açıkça ihtar edilir. Alacaklılar tarafından sirkülere cevap verilmemesinin, alınmak istenen karara katılmak şeklinde veya olumlu oy vermek biçiminde anlaşılması gibi ağır bir yaptırım söz konusu olduğu için</w:t>
            </w:r>
            <w:r w:rsidR="00E70D46" w:rsidRPr="00A23740">
              <w:t>,</w:t>
            </w:r>
            <w:r w:rsidRPr="00A23740">
              <w:t xml:space="preserve"> bunun da toplantı gündemiyle birlikte “ihtar” olarak yazılması gerektiği</w:t>
            </w:r>
            <w:r w:rsidR="00E70D46" w:rsidRPr="00A23740">
              <w:t xml:space="preserve"> sonucuna varılmıştır</w:t>
            </w:r>
            <w:r w:rsidRPr="00A23740">
              <w:t xml:space="preserve">. </w:t>
            </w:r>
          </w:p>
          <w:p w:rsidR="006E092B" w:rsidRPr="00A23740" w:rsidRDefault="006E092B" w:rsidP="009431FF">
            <w:pPr>
              <w:tabs>
                <w:tab w:val="left" w:pos="567"/>
              </w:tabs>
              <w:ind w:firstLine="709"/>
            </w:pPr>
            <w:r w:rsidRPr="00A23740">
              <w:t>Maddenin üçüncü fıkrası, alınmak istenen karara sessiz kalmak istemeyenlerin hangi usulle oy verece</w:t>
            </w:r>
            <w:r w:rsidR="00E70D46" w:rsidRPr="00A23740">
              <w:t>kler</w:t>
            </w:r>
            <w:r w:rsidRPr="00A23740">
              <w:t>ini açıklamaktadır. Buna göre, alacaklılar oylarını iflas idaresince belirlenen süre içinde, imzası noterlikçe onaylı bir belge</w:t>
            </w:r>
            <w:r w:rsidR="00E70D46" w:rsidRPr="00A23740">
              <w:t>yle</w:t>
            </w:r>
            <w:r w:rsidRPr="00A23740">
              <w:t xml:space="preserve"> iflas idaresine veya iflas idaresine gönderilmek </w:t>
            </w:r>
            <w:r w:rsidR="0063519E" w:rsidRPr="00A23740">
              <w:t>üzere herhangi bir icra ve ifla</w:t>
            </w:r>
            <w:r w:rsidRPr="00A23740">
              <w:t>s dairesine bizzat veya vekil aracılığıyla yazılı beyanda bulunmak suretiyle bildirebilirler.</w:t>
            </w:r>
          </w:p>
          <w:p w:rsidR="006E092B" w:rsidRDefault="006E092B" w:rsidP="009431FF">
            <w:pPr>
              <w:tabs>
                <w:tab w:val="left" w:pos="567"/>
              </w:tabs>
              <w:ind w:firstLine="709"/>
            </w:pPr>
            <w:r w:rsidRPr="00A23740">
              <w:t>Maddenin dördüncü fıkrasında</w:t>
            </w:r>
            <w:r w:rsidR="00E70D46" w:rsidRPr="00A23740">
              <w:t>,</w:t>
            </w:r>
            <w:r w:rsidRPr="00A23740">
              <w:t xml:space="preserve"> karar yeter sayısı bakımından ortaya çıkabilecek sorunların önüne geçmek amacıyla açık bir düzenleme yapılmıştır. Buna göre, alacak tutarının çoğunluğuna sahip alacaklılar, belirlenen süre içinde,</w:t>
            </w:r>
            <w:r w:rsidRPr="00237377">
              <w:t xml:space="preserve"> </w:t>
            </w:r>
            <w:r w:rsidR="0063519E" w:rsidRPr="00237377">
              <w:rPr>
                <w:bCs/>
              </w:rPr>
              <w:t>Kanunda belirtilen usule göre cevap vermedikleri takdirde teklif kabul edilmiş sayılır.</w:t>
            </w:r>
            <w:r w:rsidR="0063519E" w:rsidRPr="00A23740">
              <w:t xml:space="preserve"> </w:t>
            </w:r>
            <w:r w:rsidRPr="00A23740">
              <w:t>Yukarıda belirtildiği üzere, sirkülere kayıtsız kalan veya cevap vermeyen</w:t>
            </w:r>
            <w:r w:rsidR="00575A70" w:rsidRPr="00575A70">
              <w:rPr>
                <w:rStyle w:val="KIRMIZIChar"/>
                <w:rFonts w:eastAsia="Calibri"/>
                <w:strike w:val="0"/>
              </w:rPr>
              <w:t xml:space="preserve"> </w:t>
            </w:r>
            <w:r w:rsidR="0063519E" w:rsidRPr="00237377">
              <w:rPr>
                <w:bCs/>
              </w:rPr>
              <w:t>alacaklı,</w:t>
            </w:r>
            <w:r w:rsidR="0063519E" w:rsidRPr="00A23740">
              <w:t xml:space="preserve"> </w:t>
            </w:r>
            <w:r w:rsidRPr="00A23740">
              <w:t>söz konusu karara örtülü bir şekilde ona</w:t>
            </w:r>
            <w:r w:rsidR="0063519E" w:rsidRPr="00A23740">
              <w:t>y</w:t>
            </w:r>
            <w:r w:rsidRPr="00237377">
              <w:t xml:space="preserve"> </w:t>
            </w:r>
            <w:r w:rsidR="003C6988" w:rsidRPr="00237377">
              <w:rPr>
                <w:bCs/>
              </w:rPr>
              <w:t>vermiş olacaktır.</w:t>
            </w:r>
          </w:p>
          <w:p w:rsidR="00AA5C8C" w:rsidRPr="00A23740" w:rsidRDefault="00AA5C8C" w:rsidP="009A013D">
            <w:pPr>
              <w:tabs>
                <w:tab w:val="left" w:pos="567"/>
              </w:tabs>
              <w:rPr>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color w:val="0000FF"/>
                <w:szCs w:val="24"/>
              </w:rPr>
            </w:pPr>
            <w:r w:rsidRPr="00A23740">
              <w:rPr>
                <w:b/>
                <w:color w:val="0000FF"/>
                <w:szCs w:val="24"/>
              </w:rPr>
              <w:t>Alacaklılar toplantısının elektronik ortamda yapılması</w:t>
            </w:r>
          </w:p>
          <w:p w:rsidR="00AA5C8C" w:rsidRPr="00A23740" w:rsidRDefault="00543C57" w:rsidP="009431FF">
            <w:pPr>
              <w:pStyle w:val="YEL"/>
              <w:rPr>
                <w:lang w:val="tr-TR"/>
              </w:rPr>
            </w:pPr>
            <w:r w:rsidRPr="00A23740">
              <w:rPr>
                <w:color w:val="0000FF"/>
                <w:lang w:val="tr-TR"/>
              </w:rPr>
              <w:t xml:space="preserve">MADDE </w:t>
            </w:r>
            <w:r w:rsidR="003C6988" w:rsidRPr="00A23740">
              <w:rPr>
                <w:rStyle w:val="MaviChar"/>
                <w:b/>
              </w:rPr>
              <w:t>357</w:t>
            </w:r>
            <w:r w:rsidR="00AA5C8C" w:rsidRPr="00A23740">
              <w:rPr>
                <w:rStyle w:val="MaviChar"/>
                <w:b/>
              </w:rPr>
              <w:t>-</w:t>
            </w:r>
            <w:r w:rsidR="00AA5C8C" w:rsidRPr="00A23740">
              <w:rPr>
                <w:color w:val="0000FF"/>
                <w:lang w:val="tr-TR"/>
              </w:rPr>
              <w:t xml:space="preserve"> (1) Alacaklılar toplantısı, alacaklıların talebi ve iflas idaresinin kararıyla elektronik ortamda da yapılabilir. </w:t>
            </w:r>
            <w:r w:rsidR="00AA5C8C" w:rsidRPr="00A23740">
              <w:rPr>
                <w:rStyle w:val="MaviChar"/>
                <w:b/>
              </w:rPr>
              <w:t>Bu h</w:t>
            </w:r>
            <w:r w:rsidR="003C6988" w:rsidRPr="00A23740">
              <w:rPr>
                <w:rStyle w:val="MaviChar"/>
                <w:b/>
                <w:lang w:val="tr-TR"/>
              </w:rPr>
              <w:t>â</w:t>
            </w:r>
            <w:r w:rsidR="00AA5C8C" w:rsidRPr="00A23740">
              <w:rPr>
                <w:rStyle w:val="MaviChar"/>
                <w:b/>
              </w:rPr>
              <w:t>lde toplantının elektronik ortamda yapılma usulü</w:t>
            </w:r>
            <w:r w:rsidR="009255B5" w:rsidRPr="00A23740">
              <w:rPr>
                <w:rStyle w:val="MaviChar"/>
                <w:b/>
                <w:lang w:val="tr-TR"/>
              </w:rPr>
              <w:t>,</w:t>
            </w:r>
            <w:r w:rsidR="00AA5C8C" w:rsidRPr="00A23740">
              <w:rPr>
                <w:rStyle w:val="MaviChar"/>
                <w:b/>
              </w:rPr>
              <w:t xml:space="preserve"> toplantı ilanında belirtilir.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(2) Alacaklılar toplantısına elektronik ortamda katılma ve oy verme, fiziki katılımın ve oy vermenin bütün hukuki sonuçlarını doğurur.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(3) Alacaklılar toplantısının elektronik ortamda yapılmasına ilişkin usul ve esaslar Adalet Bakanlığınca çıkarılacak yönetmelikle belirlenir.</w:t>
            </w:r>
          </w:p>
          <w:p w:rsidR="00AA5C8C" w:rsidRPr="00A23740" w:rsidRDefault="00AA5C8C" w:rsidP="009431FF">
            <w:pPr>
              <w:pStyle w:val="YEL"/>
              <w:rPr>
                <w:b w:val="0"/>
                <w:lang w:val="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E092B" w:rsidRPr="00A23740" w:rsidRDefault="006E092B" w:rsidP="009431FF">
            <w:pPr>
              <w:tabs>
                <w:tab w:val="left" w:pos="567"/>
              </w:tabs>
              <w:ind w:firstLine="567"/>
              <w:rPr>
                <w:b/>
              </w:rPr>
            </w:pPr>
          </w:p>
          <w:p w:rsidR="00AA0112" w:rsidRPr="00A23740" w:rsidRDefault="003C6988" w:rsidP="009431FF">
            <w:pPr>
              <w:tabs>
                <w:tab w:val="left" w:pos="567"/>
              </w:tabs>
              <w:ind w:firstLine="567"/>
            </w:pPr>
            <w:r w:rsidRPr="00A23740">
              <w:rPr>
                <w:b/>
              </w:rPr>
              <w:t>MADDE 357</w:t>
            </w:r>
            <w:r w:rsidR="00AA0112" w:rsidRPr="00A23740">
              <w:rPr>
                <w:b/>
              </w:rPr>
              <w:t>-</w:t>
            </w:r>
            <w:r w:rsidR="00AA0112" w:rsidRPr="00A23740">
              <w:t xml:space="preserve"> Maddeyle, alacaklılar toplantısının elektronik ortamda yapılmasına ilişkin hususlar düzenlenmektedir. Hüküm, 2004 sayılı Kanunun 240 ıncı maddesine karşılık gelmektedir. </w:t>
            </w:r>
          </w:p>
          <w:p w:rsidR="006E092B" w:rsidRPr="00A23740" w:rsidRDefault="006E092B" w:rsidP="009431FF">
            <w:pPr>
              <w:pStyle w:val="MAV"/>
              <w:ind w:firstLine="567"/>
              <w:rPr>
                <w:b w:val="0"/>
                <w:color w:val="auto"/>
                <w:u w:val="none"/>
                <w:lang w:val="tr-TR"/>
              </w:rPr>
            </w:pPr>
            <w:r w:rsidRPr="00A23740">
              <w:rPr>
                <w:b w:val="0"/>
                <w:bCs w:val="0"/>
                <w:color w:val="auto"/>
                <w:u w:val="none"/>
              </w:rPr>
              <w:t xml:space="preserve">Alacaklılar toplantısı, alacaklıların talebi ve iflas idaresinin kararıyla elektronik ortamda da yapılabilir. </w:t>
            </w:r>
            <w:r w:rsidR="009255B5" w:rsidRPr="00237377">
              <w:rPr>
                <w:rFonts w:eastAsia="Calibri"/>
                <w:b w:val="0"/>
                <w:color w:val="auto"/>
                <w:u w:val="none"/>
                <w:lang w:val="tr-TR"/>
              </w:rPr>
              <w:t xml:space="preserve">Bu konuda karar verme yetkisi somut olayın </w:t>
            </w:r>
            <w:r w:rsidR="00E70D46" w:rsidRPr="00237377">
              <w:rPr>
                <w:rFonts w:eastAsia="Calibri"/>
                <w:b w:val="0"/>
                <w:color w:val="auto"/>
                <w:u w:val="none"/>
              </w:rPr>
              <w:t xml:space="preserve">özelliklerine </w:t>
            </w:r>
            <w:r w:rsidR="009255B5" w:rsidRPr="00237377">
              <w:rPr>
                <w:rFonts w:eastAsia="Calibri"/>
                <w:b w:val="0"/>
                <w:color w:val="auto"/>
                <w:u w:val="none"/>
                <w:lang w:val="tr-TR"/>
              </w:rPr>
              <w:t>göre iflas idaresindedir.</w:t>
            </w:r>
            <w:r w:rsidR="009255B5" w:rsidRPr="00A23740">
              <w:rPr>
                <w:b w:val="0"/>
                <w:bCs w:val="0"/>
                <w:color w:val="auto"/>
                <w:u w:val="none"/>
                <w:lang w:val="tr-TR"/>
              </w:rPr>
              <w:t xml:space="preserve"> </w:t>
            </w:r>
            <w:r w:rsidR="009255B5" w:rsidRPr="00237377">
              <w:rPr>
                <w:rStyle w:val="MaviChar"/>
                <w:color w:val="auto"/>
                <w:u w:val="none"/>
              </w:rPr>
              <w:t>T</w:t>
            </w:r>
            <w:r w:rsidRPr="00A23740">
              <w:rPr>
                <w:rStyle w:val="MaviChar"/>
                <w:color w:val="auto"/>
                <w:u w:val="none"/>
              </w:rPr>
              <w:t xml:space="preserve">oplantının elektronik ortamda </w:t>
            </w:r>
            <w:r w:rsidR="009255B5" w:rsidRPr="00237377">
              <w:rPr>
                <w:rFonts w:eastAsia="Calibri"/>
                <w:b w:val="0"/>
                <w:bCs w:val="0"/>
                <w:color w:val="auto"/>
                <w:u w:val="none"/>
                <w:lang w:val="tr-TR"/>
              </w:rPr>
              <w:t>yapılmasına karar verilmesi h</w:t>
            </w:r>
            <w:r w:rsidR="009D574E" w:rsidRPr="00237377">
              <w:rPr>
                <w:rFonts w:eastAsia="Calibri"/>
                <w:b w:val="0"/>
                <w:bCs w:val="0"/>
                <w:color w:val="auto"/>
                <w:u w:val="none"/>
              </w:rPr>
              <w:t>â</w:t>
            </w:r>
            <w:r w:rsidR="009255B5" w:rsidRPr="00237377">
              <w:rPr>
                <w:rFonts w:eastAsia="Calibri"/>
                <w:b w:val="0"/>
                <w:bCs w:val="0"/>
                <w:color w:val="auto"/>
                <w:u w:val="none"/>
                <w:lang w:val="tr-TR"/>
              </w:rPr>
              <w:t>linde</w:t>
            </w:r>
            <w:r w:rsidR="009255B5" w:rsidRPr="00237377">
              <w:rPr>
                <w:rFonts w:eastAsia="Calibri"/>
                <w:b w:val="0"/>
                <w:bCs w:val="0"/>
                <w:color w:val="auto"/>
                <w:u w:val="none"/>
              </w:rPr>
              <w:t>,</w:t>
            </w:r>
            <w:r w:rsidRPr="00A23740">
              <w:rPr>
                <w:rStyle w:val="MaviChar"/>
                <w:color w:val="auto"/>
                <w:u w:val="none"/>
              </w:rPr>
              <w:t xml:space="preserve"> toplantı</w:t>
            </w:r>
            <w:r w:rsidR="009255B5" w:rsidRPr="00A23740">
              <w:rPr>
                <w:rStyle w:val="MaviChar"/>
                <w:color w:val="auto"/>
                <w:u w:val="none"/>
                <w:lang w:val="tr-TR"/>
              </w:rPr>
              <w:t xml:space="preserve">nın </w:t>
            </w:r>
            <w:r w:rsidR="009255B5" w:rsidRPr="00237377">
              <w:rPr>
                <w:rFonts w:eastAsia="Calibri"/>
                <w:b w:val="0"/>
                <w:color w:val="auto"/>
                <w:u w:val="none"/>
                <w:lang w:val="tr-TR"/>
              </w:rPr>
              <w:t>ne şekilde ve nasıl yapılacağı toplantı</w:t>
            </w:r>
            <w:r w:rsidRPr="00237377">
              <w:rPr>
                <w:rFonts w:eastAsia="Calibri"/>
                <w:b w:val="0"/>
                <w:u w:val="none"/>
                <w:lang w:val="tr-TR"/>
              </w:rPr>
              <w:t xml:space="preserve"> </w:t>
            </w:r>
            <w:r w:rsidRPr="00237377">
              <w:rPr>
                <w:rFonts w:eastAsia="Calibri"/>
                <w:b w:val="0"/>
                <w:color w:val="auto"/>
                <w:u w:val="none"/>
                <w:lang w:val="tr-TR"/>
              </w:rPr>
              <w:t>ilanında</w:t>
            </w:r>
            <w:r w:rsidRPr="00A23740">
              <w:rPr>
                <w:rStyle w:val="MaviChar"/>
                <w:color w:val="auto"/>
                <w:u w:val="none"/>
              </w:rPr>
              <w:t xml:space="preserve"> belirtilir</w:t>
            </w:r>
            <w:r w:rsidRPr="00A23740">
              <w:rPr>
                <w:b w:val="0"/>
                <w:color w:val="auto"/>
                <w:u w:val="none"/>
                <w:lang w:val="tr-TR"/>
              </w:rPr>
              <w:t xml:space="preserve">. </w:t>
            </w:r>
          </w:p>
          <w:p w:rsidR="006E092B" w:rsidRPr="00A23740" w:rsidRDefault="006E092B" w:rsidP="009431FF">
            <w:pPr>
              <w:tabs>
                <w:tab w:val="left" w:pos="567"/>
              </w:tabs>
              <w:ind w:firstLine="567"/>
              <w:rPr>
                <w:bCs/>
                <w:szCs w:val="24"/>
              </w:rPr>
            </w:pPr>
            <w:r w:rsidRPr="00A23740">
              <w:rPr>
                <w:bCs/>
                <w:szCs w:val="24"/>
              </w:rPr>
              <w:t>Alacaklılar toplantısının elektronik ortamda yapılması hem toplantını</w:t>
            </w:r>
            <w:r w:rsidR="009255B5" w:rsidRPr="00A23740">
              <w:rPr>
                <w:bCs/>
                <w:szCs w:val="24"/>
              </w:rPr>
              <w:t>n icra edilmesi hem de toplantı</w:t>
            </w:r>
            <w:r w:rsidRPr="00A23740">
              <w:rPr>
                <w:bCs/>
                <w:szCs w:val="24"/>
              </w:rPr>
              <w:t xml:space="preserve">da karar alınabilmesi bakımındandır. Bu husus maddenin ikinci fıkrasında “katılma ve oy verme, fiziki katılımın ve oy vermenin bütün hukuki sonuçlarını doğurur” şeklinde ifade edilmiştir. </w:t>
            </w:r>
          </w:p>
          <w:p w:rsidR="00731980" w:rsidRPr="00A23740" w:rsidRDefault="006E092B" w:rsidP="009431FF">
            <w:pPr>
              <w:tabs>
                <w:tab w:val="left" w:pos="567"/>
              </w:tabs>
              <w:ind w:firstLine="567"/>
              <w:rPr>
                <w:bCs/>
                <w:szCs w:val="24"/>
              </w:rPr>
            </w:pPr>
            <w:r w:rsidRPr="00A23740">
              <w:rPr>
                <w:bCs/>
                <w:szCs w:val="24"/>
              </w:rPr>
              <w:t>Alacaklılar toplantısının elektronik ortamda yapılmasına ilişkin usul ve esaslar Adalet Bakanlığınca çıkarılacak yönetmelikle belirlenir.</w:t>
            </w:r>
          </w:p>
          <w:p w:rsidR="00AA5C8C" w:rsidRPr="00A23740" w:rsidRDefault="00AA5C8C" w:rsidP="009431FF">
            <w:pPr>
              <w:tabs>
                <w:tab w:val="left" w:pos="567"/>
              </w:tabs>
              <w:rPr>
                <w:bCs/>
                <w:szCs w:val="24"/>
              </w:rPr>
            </w:pPr>
            <w:r w:rsidRPr="00A23740">
              <w:rPr>
                <w:bCs/>
                <w:szCs w:val="24"/>
              </w:rPr>
              <w:t xml:space="preserve">        </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8420D4" w:rsidRPr="00A23740" w:rsidRDefault="008420D4" w:rsidP="009431FF">
            <w:pPr>
              <w:tabs>
                <w:tab w:val="left" w:pos="567"/>
              </w:tabs>
              <w:rPr>
                <w:szCs w:val="24"/>
              </w:rPr>
            </w:pPr>
          </w:p>
          <w:p w:rsidR="00AA5C8C" w:rsidRPr="00A23740" w:rsidRDefault="00AA5C8C" w:rsidP="009431FF">
            <w:pPr>
              <w:pStyle w:val="KIRMIZI"/>
            </w:pPr>
            <w:r w:rsidRPr="00A23740">
              <w:t>Malların paraya çevrilmesi usulü:</w:t>
            </w:r>
          </w:p>
          <w:p w:rsidR="00AA5C8C" w:rsidRPr="00A23740" w:rsidRDefault="00AA5C8C" w:rsidP="009431FF">
            <w:pPr>
              <w:tabs>
                <w:tab w:val="left" w:pos="567"/>
              </w:tabs>
              <w:rPr>
                <w:szCs w:val="24"/>
              </w:rPr>
            </w:pPr>
            <w:r w:rsidRPr="00A23740">
              <w:rPr>
                <w:rStyle w:val="KIRMIZIChar"/>
                <w:rFonts w:eastAsia="Calibri"/>
              </w:rPr>
              <w:t>Madde 241 – (1)</w:t>
            </w:r>
            <w:r w:rsidRPr="00A23740">
              <w:rPr>
                <w:b/>
                <w:szCs w:val="24"/>
              </w:rPr>
              <w:t xml:space="preserve"> </w:t>
            </w:r>
            <w:r w:rsidRPr="00A23740">
              <w:rPr>
                <w:szCs w:val="24"/>
              </w:rPr>
              <w:t xml:space="preserve">Masaya </w:t>
            </w:r>
            <w:r w:rsidRPr="00A23740">
              <w:rPr>
                <w:b/>
                <w:strike/>
                <w:color w:val="FF0000"/>
                <w:szCs w:val="24"/>
              </w:rPr>
              <w:t>ait</w:t>
            </w:r>
            <w:r w:rsidRPr="00A23740">
              <w:rPr>
                <w:szCs w:val="24"/>
              </w:rPr>
              <w:t xml:space="preserve"> mallar iflas idaresi </w:t>
            </w:r>
            <w:r w:rsidRPr="00A23740">
              <w:rPr>
                <w:b/>
                <w:strike/>
                <w:color w:val="FF0000"/>
                <w:szCs w:val="24"/>
              </w:rPr>
              <w:t>marifetiyle</w:t>
            </w:r>
            <w:r w:rsidRPr="00A23740">
              <w:rPr>
                <w:szCs w:val="24"/>
              </w:rPr>
              <w:t xml:space="preserve"> açık artırma </w:t>
            </w:r>
            <w:r w:rsidRPr="00A23740">
              <w:rPr>
                <w:b/>
                <w:strike/>
                <w:color w:val="FF0000"/>
                <w:szCs w:val="24"/>
              </w:rPr>
              <w:t>yahut alacaklılar karar verirlerse</w:t>
            </w:r>
            <w:r w:rsidRPr="00A23740">
              <w:rPr>
                <w:szCs w:val="24"/>
              </w:rPr>
              <w:t xml:space="preserve"> pazarlık suretiyle satılır.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FF0000"/>
                <w:szCs w:val="24"/>
              </w:rPr>
            </w:pPr>
            <w:r w:rsidRPr="00A23740">
              <w:rPr>
                <w:b/>
                <w:strike/>
                <w:color w:val="FF0000"/>
                <w:szCs w:val="24"/>
              </w:rPr>
              <w:t>(2) Üzerlerinde rehin hakkı bulunan eşya ancak rehin sahibi alacaklıların da muvafakati halinde pazarlık suretiyle satılabilir.</w:t>
            </w:r>
          </w:p>
          <w:p w:rsidR="009B1DBC" w:rsidRPr="00A23740" w:rsidRDefault="009B1DBC" w:rsidP="009431FF">
            <w:pPr>
              <w:tabs>
                <w:tab w:val="left" w:pos="567"/>
              </w:tabs>
              <w:rPr>
                <w:b/>
                <w:color w:val="FF0000"/>
                <w:szCs w:val="24"/>
              </w:rPr>
            </w:pPr>
          </w:p>
          <w:p w:rsidR="00AA5C8C" w:rsidRPr="00A23740" w:rsidRDefault="00AA5C8C" w:rsidP="009431FF">
            <w:pPr>
              <w:tabs>
                <w:tab w:val="left" w:pos="567"/>
              </w:tabs>
              <w:rPr>
                <w:b/>
                <w:color w:val="FF0000"/>
                <w:szCs w:val="24"/>
              </w:rPr>
            </w:pPr>
            <w:r w:rsidRPr="00A23740">
              <w:rPr>
                <w:rStyle w:val="KIRMIZIChar"/>
                <w:rFonts w:eastAsia="Calibri"/>
              </w:rPr>
              <w:t xml:space="preserve">(3) </w:t>
            </w:r>
            <w:r w:rsidRPr="00A23740">
              <w:rPr>
                <w:rStyle w:val="KIRMIZIChar"/>
                <w:rFonts w:eastAsia="Calibri"/>
                <w:lang w:eastAsia="tr-TR"/>
              </w:rPr>
              <w:t>(Ek üçüncü fıkra: 28/2/2018-7101/12 md.) (Değişik üçüncü fıkra:9/6/2021-7327/2 md.)</w:t>
            </w:r>
            <w:r w:rsidRPr="00A23740">
              <w:rPr>
                <w:rFonts w:eastAsia="Times New Roman"/>
                <w:b/>
                <w:bCs/>
                <w:color w:val="000000"/>
                <w:szCs w:val="24"/>
                <w:lang w:eastAsia="tr-TR"/>
              </w:rPr>
              <w:t> </w:t>
            </w:r>
            <w:r w:rsidRPr="00A23740">
              <w:rPr>
                <w:rFonts w:eastAsia="Times New Roman"/>
                <w:color w:val="000000"/>
                <w:szCs w:val="24"/>
                <w:lang w:eastAsia="tr-TR"/>
              </w:rPr>
              <w:t xml:space="preserve">Ticari ve ekonomik bütünlük arz eden ya da bir bütün hâlinde satıldığı takdirde daha yüksek gelir elde edileceği anlaşılan mal ve haklar ile bu mal ve hakları bünyesinde bulunduran işletmeler bir bütün olarak satılır. Satışta işletmenin devamlılığı ve ekonomiye olan katkısı gözetilir. </w:t>
            </w:r>
            <w:r w:rsidRPr="00A23740">
              <w:rPr>
                <w:rStyle w:val="KIRMIZIChar"/>
                <w:rFonts w:eastAsia="Calibri"/>
              </w:rPr>
              <w:t>Bu hâlde taşınmazın paraya çevrilmesi hükümleri uygulanır.</w:t>
            </w:r>
            <w:r w:rsidRPr="00A23740">
              <w:rPr>
                <w:rFonts w:eastAsia="Times New Roman"/>
                <w:color w:val="000000"/>
                <w:szCs w:val="24"/>
                <w:lang w:eastAsia="tr-TR"/>
              </w:rPr>
              <w:t xml:space="preserve"> Bir bütün olarak satış gerçekleşmezse mal ve haklar ayrı ayrı satılır. </w:t>
            </w:r>
            <w:r w:rsidRPr="00A23740">
              <w:t xml:space="preserve">Bu fıkranın uygulanmasına ilişkin usul ve esaslar Adalet Bakanlığı tarafından </w:t>
            </w:r>
            <w:r w:rsidRPr="00A23740">
              <w:rPr>
                <w:rStyle w:val="KIRMIZIChar"/>
                <w:rFonts w:eastAsia="Calibri"/>
              </w:rPr>
              <w:t>çıkarılan</w:t>
            </w:r>
            <w:r w:rsidRPr="00A23740">
              <w:t xml:space="preserve"> yönetmelikte düzenlenir.</w:t>
            </w:r>
          </w:p>
          <w:p w:rsidR="00AA5C8C" w:rsidRPr="00A23740" w:rsidRDefault="00AA5C8C" w:rsidP="009431FF">
            <w:pPr>
              <w:tabs>
                <w:tab w:val="left" w:pos="567"/>
              </w:tabs>
              <w:rPr>
                <w:szCs w:val="24"/>
              </w:rPr>
            </w:pPr>
          </w:p>
        </w:tc>
        <w:tc>
          <w:tcPr>
            <w:tcW w:w="2500" w:type="pct"/>
          </w:tcPr>
          <w:p w:rsidR="00AA5C8C" w:rsidRPr="00A23740" w:rsidRDefault="00AA5C8C" w:rsidP="009431FF">
            <w:pPr>
              <w:pStyle w:val="MAV"/>
              <w:jc w:val="center"/>
              <w:rPr>
                <w:u w:val="none"/>
                <w:lang w:val="tr-TR"/>
              </w:rPr>
            </w:pPr>
            <w:r w:rsidRPr="00A23740">
              <w:rPr>
                <w:u w:val="none"/>
                <w:lang w:val="tr-TR"/>
              </w:rPr>
              <w:t>İKİNCİ ALT AYRIM</w:t>
            </w:r>
          </w:p>
          <w:p w:rsidR="00AA5C8C" w:rsidRPr="00A23740" w:rsidRDefault="009B1DBC" w:rsidP="009431FF">
            <w:pPr>
              <w:pStyle w:val="MAV"/>
              <w:jc w:val="center"/>
              <w:rPr>
                <w:u w:val="none"/>
                <w:lang w:val="tr-TR"/>
              </w:rPr>
            </w:pPr>
            <w:r w:rsidRPr="00A23740">
              <w:rPr>
                <w:u w:val="none"/>
                <w:lang w:val="tr-TR"/>
              </w:rPr>
              <w:t>Paraya Çevirme</w:t>
            </w:r>
          </w:p>
          <w:p w:rsidR="009B1DBC" w:rsidRPr="00A23740" w:rsidRDefault="009B1DBC" w:rsidP="009431FF">
            <w:pPr>
              <w:pStyle w:val="MAV"/>
              <w:rPr>
                <w:u w:val="none"/>
                <w:lang w:val="tr-TR"/>
              </w:rPr>
            </w:pPr>
          </w:p>
          <w:p w:rsidR="00AA5C8C" w:rsidRPr="00A23740" w:rsidRDefault="009B1DBC" w:rsidP="009431FF">
            <w:pPr>
              <w:pStyle w:val="KIRMIZI"/>
              <w:rPr>
                <w:lang w:val="tr-TR"/>
              </w:rPr>
            </w:pPr>
            <w:r w:rsidRPr="00A23740">
              <w:rPr>
                <w:rStyle w:val="Balk1Char"/>
                <w:b/>
                <w:strike w:val="0"/>
                <w:lang w:val="tr-TR"/>
              </w:rPr>
              <w:t>Satış</w:t>
            </w:r>
            <w:r w:rsidRPr="00A23740">
              <w:rPr>
                <w:rStyle w:val="Balk1Char"/>
                <w:b/>
                <w:strike w:val="0"/>
              </w:rPr>
              <w:t xml:space="preserve"> usulü</w:t>
            </w:r>
          </w:p>
          <w:p w:rsidR="00AA5C8C" w:rsidRPr="00A23740" w:rsidRDefault="00AA5C8C" w:rsidP="009431FF">
            <w:pPr>
              <w:tabs>
                <w:tab w:val="left" w:pos="567"/>
              </w:tabs>
              <w:rPr>
                <w:szCs w:val="24"/>
              </w:rPr>
            </w:pPr>
            <w:r w:rsidRPr="00A23740">
              <w:rPr>
                <w:rStyle w:val="MaviChar"/>
                <w:lang w:val="tr-TR"/>
              </w:rPr>
              <w:t xml:space="preserve">MADDE </w:t>
            </w:r>
            <w:r w:rsidR="009B1DBC" w:rsidRPr="00A23740">
              <w:rPr>
                <w:rStyle w:val="MaviChar"/>
              </w:rPr>
              <w:t>358</w:t>
            </w:r>
            <w:r w:rsidRPr="00A23740">
              <w:rPr>
                <w:rStyle w:val="MaviChar"/>
                <w:lang w:val="tr-TR"/>
              </w:rPr>
              <w:t>- (</w:t>
            </w:r>
            <w:r w:rsidRPr="00A23740">
              <w:rPr>
                <w:b/>
                <w:color w:val="0000FF"/>
                <w:szCs w:val="24"/>
              </w:rPr>
              <w:t>1)</w:t>
            </w:r>
            <w:r w:rsidRPr="00A23740">
              <w:rPr>
                <w:b/>
                <w:szCs w:val="24"/>
              </w:rPr>
              <w:t xml:space="preserve"> </w:t>
            </w:r>
            <w:r w:rsidRPr="00A23740">
              <w:rPr>
                <w:szCs w:val="24"/>
              </w:rPr>
              <w:t>Masa</w:t>
            </w:r>
            <w:r w:rsidRPr="00A23740">
              <w:rPr>
                <w:rStyle w:val="MaviChar"/>
                <w:lang w:val="tr-TR"/>
              </w:rPr>
              <w:t>daki</w:t>
            </w:r>
            <w:r w:rsidRPr="00A23740">
              <w:rPr>
                <w:szCs w:val="24"/>
              </w:rPr>
              <w:t xml:space="preserve"> mallar</w:t>
            </w:r>
            <w:r w:rsidRPr="00A23740">
              <w:rPr>
                <w:rStyle w:val="MaviChar"/>
              </w:rPr>
              <w:t>,</w:t>
            </w:r>
            <w:r w:rsidRPr="00A23740">
              <w:rPr>
                <w:szCs w:val="24"/>
              </w:rPr>
              <w:t xml:space="preserve"> iflas idaresi </w:t>
            </w:r>
            <w:r w:rsidRPr="00A23740">
              <w:rPr>
                <w:b/>
                <w:color w:val="0000FF"/>
                <w:szCs w:val="24"/>
              </w:rPr>
              <w:t>tarafından</w:t>
            </w:r>
            <w:r w:rsidRPr="00A23740">
              <w:rPr>
                <w:szCs w:val="24"/>
              </w:rPr>
              <w:t xml:space="preserve"> açık artırma </w:t>
            </w:r>
            <w:r w:rsidRPr="00A23740">
              <w:rPr>
                <w:b/>
                <w:color w:val="0000FF"/>
                <w:szCs w:val="24"/>
              </w:rPr>
              <w:t>veya</w:t>
            </w:r>
            <w:r w:rsidRPr="00A23740">
              <w:rPr>
                <w:szCs w:val="24"/>
              </w:rPr>
              <w:t xml:space="preserve"> alacaklılar karar verirlerse pazarlık suretiyle satılır.</w:t>
            </w:r>
          </w:p>
          <w:p w:rsidR="00AA5C8C" w:rsidRPr="00A23740" w:rsidRDefault="00AA5C8C" w:rsidP="009431FF">
            <w:pPr>
              <w:tabs>
                <w:tab w:val="left" w:pos="567"/>
              </w:tabs>
              <w:rPr>
                <w:szCs w:val="24"/>
              </w:rPr>
            </w:pPr>
          </w:p>
          <w:p w:rsidR="00AA5C8C" w:rsidRPr="00A23740" w:rsidRDefault="00AA5C8C" w:rsidP="009431FF">
            <w:pPr>
              <w:pStyle w:val="KIRMIZI"/>
            </w:pPr>
          </w:p>
          <w:p w:rsidR="007620A1" w:rsidRPr="00A23740" w:rsidRDefault="007620A1" w:rsidP="009431FF">
            <w:pPr>
              <w:pStyle w:val="KIRMIZI"/>
            </w:pPr>
          </w:p>
          <w:p w:rsidR="007620A1" w:rsidRPr="00A23740" w:rsidRDefault="007620A1" w:rsidP="009431FF">
            <w:pPr>
              <w:pStyle w:val="KIRMIZI"/>
            </w:pPr>
          </w:p>
          <w:p w:rsidR="00AA5C8C" w:rsidRPr="00A23740" w:rsidRDefault="00AA5C8C" w:rsidP="009431FF">
            <w:pPr>
              <w:tabs>
                <w:tab w:val="left" w:pos="567"/>
              </w:tabs>
            </w:pPr>
            <w:r w:rsidRPr="00A23740">
              <w:rPr>
                <w:rStyle w:val="MaviChar"/>
                <w:lang w:val="tr-TR"/>
              </w:rPr>
              <w:t>(2)</w:t>
            </w:r>
            <w:r w:rsidRPr="00A23740">
              <w:rPr>
                <w:rFonts w:eastAsia="Times New Roman"/>
                <w:b/>
                <w:szCs w:val="24"/>
                <w:lang w:eastAsia="tr-TR"/>
              </w:rPr>
              <w:t xml:space="preserve"> </w:t>
            </w:r>
            <w:r w:rsidRPr="00A23740">
              <w:rPr>
                <w:rStyle w:val="MaviChar"/>
              </w:rPr>
              <w:t>Alacaklılar toplantısında aksine bir karar verilmedikçe</w:t>
            </w:r>
            <w:r w:rsidRPr="00575A70">
              <w:rPr>
                <w:rStyle w:val="Balk1Char"/>
                <w:rFonts w:eastAsia="ヒラギノ明朝 Pro W3"/>
              </w:rPr>
              <w:t>,</w:t>
            </w:r>
            <w:r w:rsidRPr="00A23740">
              <w:rPr>
                <w:rFonts w:eastAsia="Times New Roman"/>
                <w:b/>
                <w:szCs w:val="24"/>
                <w:lang w:eastAsia="tr-TR"/>
              </w:rPr>
              <w:t xml:space="preserve"> </w:t>
            </w:r>
            <w:r w:rsidRPr="00A23740">
              <w:rPr>
                <w:rFonts w:eastAsia="Times New Roman"/>
                <w:color w:val="000000"/>
                <w:szCs w:val="24"/>
                <w:lang w:eastAsia="tr-TR"/>
              </w:rPr>
              <w:t>ticari ve ekonomik bütünlük arz eden ya da bir bütün hâlinde satıldığı takdirde daha yüksek gelir elde edileceği anlaşılan mal ve haklar ile bu mal ve hakları bünyesinde bulunduran işletmeler</w:t>
            </w:r>
            <w:r w:rsidRPr="00C00F6E">
              <w:rPr>
                <w:rStyle w:val="Balk1Char"/>
                <w:rFonts w:eastAsia="ヒラギノ明朝 Pro W3"/>
              </w:rPr>
              <w:t>,</w:t>
            </w:r>
            <w:r w:rsidRPr="00A23740">
              <w:rPr>
                <w:rFonts w:eastAsia="Times New Roman"/>
                <w:color w:val="000000"/>
                <w:szCs w:val="24"/>
                <w:lang w:eastAsia="tr-TR"/>
              </w:rPr>
              <w:t xml:space="preserve"> bir bütün olarak satılır. Satışta işletmenin devamlılığı ve ekonomiye olan katkısı gözetilir. </w:t>
            </w:r>
            <w:r w:rsidR="008420D4" w:rsidRPr="00237377">
              <w:rPr>
                <w:rStyle w:val="MaviChar"/>
              </w:rPr>
              <w:t>Satış</w:t>
            </w:r>
            <w:r w:rsidR="008420D4" w:rsidRPr="00A23740">
              <w:rPr>
                <w:rFonts w:eastAsia="Times New Roman"/>
                <w:color w:val="000000"/>
                <w:szCs w:val="24"/>
                <w:lang w:eastAsia="tr-TR"/>
              </w:rPr>
              <w:t xml:space="preserve"> bir </w:t>
            </w:r>
            <w:r w:rsidRPr="00A23740">
              <w:rPr>
                <w:rFonts w:eastAsia="Times New Roman"/>
                <w:color w:val="000000"/>
                <w:szCs w:val="24"/>
                <w:lang w:eastAsia="tr-TR"/>
              </w:rPr>
              <w:t>bütün olarak gerçekleşmezse</w:t>
            </w:r>
            <w:r w:rsidRPr="00C00F6E">
              <w:rPr>
                <w:rStyle w:val="Balk1Char"/>
                <w:rFonts w:eastAsia="ヒラギノ明朝 Pro W3"/>
              </w:rPr>
              <w:t>,</w:t>
            </w:r>
            <w:r w:rsidRPr="00A23740">
              <w:rPr>
                <w:rFonts w:eastAsia="Times New Roman"/>
                <w:color w:val="000000"/>
                <w:szCs w:val="24"/>
                <w:lang w:eastAsia="tr-TR"/>
              </w:rPr>
              <w:t xml:space="preserve"> mal ve haklar ayrı ayrı satılır. </w:t>
            </w:r>
            <w:r w:rsidRPr="00A23740">
              <w:t xml:space="preserve">Bu fıkranın uygulanmasına ilişkin usul ve esaslar Adalet Bakanlığı tarafından </w:t>
            </w:r>
            <w:r w:rsidR="00607E0B" w:rsidRPr="00237377">
              <w:rPr>
                <w:rStyle w:val="MaviChar"/>
              </w:rPr>
              <w:t>çıkarılacak</w:t>
            </w:r>
            <w:r w:rsidR="00607E0B" w:rsidRPr="00A23740">
              <w:t xml:space="preserve"> </w:t>
            </w:r>
            <w:r w:rsidRPr="00A23740">
              <w:t>yönetmelikte düzenlenir.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179F1" w:rsidRPr="00A23740" w:rsidRDefault="00D179F1" w:rsidP="009431FF">
            <w:pPr>
              <w:pStyle w:val="Mavi"/>
              <w:ind w:firstLine="709"/>
              <w:rPr>
                <w:rStyle w:val="MaviChar"/>
                <w:b/>
                <w:color w:val="auto"/>
                <w:lang w:val="tr-TR"/>
              </w:rPr>
            </w:pPr>
          </w:p>
          <w:p w:rsidR="00D179F1" w:rsidRPr="00A23740" w:rsidRDefault="009B1DBC" w:rsidP="009431FF">
            <w:pPr>
              <w:ind w:firstLine="709"/>
              <w:rPr>
                <w:szCs w:val="24"/>
              </w:rPr>
            </w:pPr>
            <w:r w:rsidRPr="00A23740">
              <w:rPr>
                <w:b/>
                <w:szCs w:val="24"/>
              </w:rPr>
              <w:t>MADDE 358</w:t>
            </w:r>
            <w:r w:rsidR="00B30037" w:rsidRPr="00A23740">
              <w:rPr>
                <w:b/>
                <w:szCs w:val="24"/>
              </w:rPr>
              <w:t>-</w:t>
            </w:r>
            <w:r w:rsidR="00B30037" w:rsidRPr="00A23740">
              <w:rPr>
                <w:szCs w:val="24"/>
              </w:rPr>
              <w:t xml:space="preserve"> </w:t>
            </w:r>
            <w:r w:rsidR="008D0FC2" w:rsidRPr="00A23740">
              <w:rPr>
                <w:szCs w:val="24"/>
              </w:rPr>
              <w:t>Maddeyle, iflas masasına dâ</w:t>
            </w:r>
            <w:r w:rsidR="00D179F1" w:rsidRPr="00A23740">
              <w:rPr>
                <w:szCs w:val="24"/>
              </w:rPr>
              <w:t>hil olan m</w:t>
            </w:r>
            <w:r w:rsidR="00B30037" w:rsidRPr="00A23740">
              <w:rPr>
                <w:szCs w:val="24"/>
              </w:rPr>
              <w:t xml:space="preserve">alların </w:t>
            </w:r>
            <w:r w:rsidR="008D0FC2" w:rsidRPr="00237377">
              <w:rPr>
                <w:bCs/>
                <w:szCs w:val="24"/>
              </w:rPr>
              <w:t>satış suretiyle</w:t>
            </w:r>
            <w:r w:rsidR="008D0FC2" w:rsidRPr="00A23740">
              <w:rPr>
                <w:rStyle w:val="Balk1Char"/>
                <w:rFonts w:eastAsia="Calibri"/>
              </w:rPr>
              <w:t xml:space="preserve"> </w:t>
            </w:r>
            <w:r w:rsidR="00B30037" w:rsidRPr="00A23740">
              <w:rPr>
                <w:szCs w:val="24"/>
              </w:rPr>
              <w:t xml:space="preserve">paraya çevrilmesi usulüne ilişkin hususlar </w:t>
            </w:r>
            <w:r w:rsidR="00D179F1" w:rsidRPr="00A23740">
              <w:rPr>
                <w:szCs w:val="24"/>
              </w:rPr>
              <w:t>düzenlenmektedir. Madde, bazı değişiklikler</w:t>
            </w:r>
            <w:r w:rsidR="00E70D46" w:rsidRPr="00A23740">
              <w:rPr>
                <w:szCs w:val="24"/>
              </w:rPr>
              <w:t>le</w:t>
            </w:r>
            <w:r w:rsidR="00D179F1" w:rsidRPr="00A23740">
              <w:rPr>
                <w:szCs w:val="24"/>
              </w:rPr>
              <w:t xml:space="preserve"> bi</w:t>
            </w:r>
            <w:r w:rsidR="00543C57" w:rsidRPr="00A23740">
              <w:rPr>
                <w:szCs w:val="24"/>
              </w:rPr>
              <w:t>rlikte, 2004 s</w:t>
            </w:r>
            <w:r w:rsidR="00B30037" w:rsidRPr="00A23740">
              <w:rPr>
                <w:szCs w:val="24"/>
              </w:rPr>
              <w:t>ayılı Kanunun 241 inci</w:t>
            </w:r>
            <w:r w:rsidR="00D179F1" w:rsidRPr="00A23740">
              <w:rPr>
                <w:szCs w:val="24"/>
              </w:rPr>
              <w:t xml:space="preserve"> maddesine karşılık gelmektedir. </w:t>
            </w:r>
          </w:p>
          <w:p w:rsidR="00B30037" w:rsidRPr="00A23740" w:rsidRDefault="00D179F1" w:rsidP="009431FF">
            <w:pPr>
              <w:ind w:firstLine="709"/>
              <w:rPr>
                <w:szCs w:val="24"/>
              </w:rPr>
            </w:pPr>
            <w:r w:rsidRPr="00A23740">
              <w:rPr>
                <w:szCs w:val="24"/>
              </w:rPr>
              <w:t>M</w:t>
            </w:r>
            <w:r w:rsidR="008D0FC2" w:rsidRPr="00A23740">
              <w:rPr>
                <w:szCs w:val="24"/>
              </w:rPr>
              <w:t>addenin birinci fıkrasında, ifla</w:t>
            </w:r>
            <w:r w:rsidRPr="00A23740">
              <w:rPr>
                <w:szCs w:val="24"/>
              </w:rPr>
              <w:t>s masasına d</w:t>
            </w:r>
            <w:r w:rsidR="008D0FC2" w:rsidRPr="00A23740">
              <w:rPr>
                <w:szCs w:val="24"/>
              </w:rPr>
              <w:t>â</w:t>
            </w:r>
            <w:r w:rsidRPr="00A23740">
              <w:rPr>
                <w:szCs w:val="24"/>
              </w:rPr>
              <w:t xml:space="preserve">hil olan malların, iflas idaresi tarafından açık artırma veya alacaklıların karar vermeleri durumunda pazarlık suretiyle satılacağı düzenlenmektedir. </w:t>
            </w:r>
          </w:p>
          <w:p w:rsidR="00B30037" w:rsidRPr="00A23740" w:rsidRDefault="00D179F1" w:rsidP="009431FF">
            <w:pPr>
              <w:ind w:firstLine="709"/>
              <w:rPr>
                <w:szCs w:val="24"/>
              </w:rPr>
            </w:pPr>
            <w:r w:rsidRPr="00A23740">
              <w:rPr>
                <w:szCs w:val="24"/>
              </w:rPr>
              <w:t>Maddenin ikinci fıkrasında, alacakl</w:t>
            </w:r>
            <w:r w:rsidRPr="00237377">
              <w:rPr>
                <w:szCs w:val="24"/>
              </w:rPr>
              <w:t>ı</w:t>
            </w:r>
            <w:r w:rsidR="008D0FC2" w:rsidRPr="00237377">
              <w:rPr>
                <w:bCs/>
                <w:szCs w:val="24"/>
              </w:rPr>
              <w:t>lar</w:t>
            </w:r>
            <w:r w:rsidRPr="00237377">
              <w:rPr>
                <w:szCs w:val="24"/>
              </w:rPr>
              <w:t xml:space="preserve"> </w:t>
            </w:r>
            <w:r w:rsidRPr="00A23740">
              <w:rPr>
                <w:szCs w:val="24"/>
              </w:rPr>
              <w:t xml:space="preserve">ve </w:t>
            </w:r>
            <w:r w:rsidR="008D0FC2" w:rsidRPr="00237377">
              <w:rPr>
                <w:bCs/>
                <w:szCs w:val="24"/>
              </w:rPr>
              <w:t>müflis</w:t>
            </w:r>
            <w:r w:rsidR="008D0FC2" w:rsidRPr="00237377">
              <w:rPr>
                <w:szCs w:val="24"/>
              </w:rPr>
              <w:t xml:space="preserve"> </w:t>
            </w:r>
            <w:r w:rsidRPr="00A23740">
              <w:rPr>
                <w:szCs w:val="24"/>
              </w:rPr>
              <w:t xml:space="preserve">yararına olacağı gözetilerek, ticari ve ekonomik bütünlük arz eden ya da bir bütün hâlinde satıldığı takdirde daha yüksek gelir elde edileceği anlaşılan mal ve </w:t>
            </w:r>
            <w:r w:rsidRPr="00237377">
              <w:t>haklar</w:t>
            </w:r>
            <w:r w:rsidR="008D0FC2" w:rsidRPr="00237377">
              <w:t>ın veya</w:t>
            </w:r>
            <w:r w:rsidRPr="00A23740">
              <w:rPr>
                <w:szCs w:val="24"/>
              </w:rPr>
              <w:t xml:space="preserve"> bu mal ve hakları bünyesinde bulunduran işletmelerin, bir bütün olarak </w:t>
            </w:r>
            <w:r w:rsidR="008D0FC2" w:rsidRPr="00237377">
              <w:t xml:space="preserve">satılabilmesi </w:t>
            </w:r>
            <w:r w:rsidRPr="00A23740">
              <w:rPr>
                <w:szCs w:val="24"/>
              </w:rPr>
              <w:t xml:space="preserve">kabul edilmiştir. Bununla birlikte bu düzenleme emredici nitelikte olmayıp, alacaklılar toplantısında bunun aksine karar verilmesi de mümkündür. Bu fıkranın uygulanmasına ilişkin usul ve esaslar Adalet Bakanlığı tarafından </w:t>
            </w:r>
            <w:r w:rsidR="00607E0B" w:rsidRPr="00237377">
              <w:t>çıkarılacak</w:t>
            </w:r>
            <w:r w:rsidR="00607E0B" w:rsidRPr="00A23740">
              <w:rPr>
                <w:szCs w:val="24"/>
              </w:rPr>
              <w:t xml:space="preserve"> </w:t>
            </w:r>
            <w:r w:rsidRPr="00A23740">
              <w:rPr>
                <w:szCs w:val="24"/>
              </w:rPr>
              <w:t xml:space="preserve">yönetmelikte düzenlenecektir. </w:t>
            </w:r>
          </w:p>
          <w:p w:rsidR="00B30037" w:rsidRPr="00A23740" w:rsidRDefault="00B30037" w:rsidP="009A013D">
            <w:pPr>
              <w:ind w:firstLine="709"/>
              <w:rPr>
                <w:rStyle w:val="MaviChar"/>
                <w:b w:val="0"/>
                <w:bCs w:val="0"/>
                <w:color w:val="auto"/>
                <w:lang w:val="tr-TR" w:eastAsia="en-US"/>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Artırmanın ilanı:</w:t>
            </w:r>
          </w:p>
          <w:p w:rsidR="00AA5C8C" w:rsidRPr="00A23740" w:rsidRDefault="00AA5C8C" w:rsidP="009431FF">
            <w:pPr>
              <w:tabs>
                <w:tab w:val="left" w:pos="567"/>
              </w:tabs>
              <w:rPr>
                <w:szCs w:val="24"/>
              </w:rPr>
            </w:pPr>
            <w:r w:rsidRPr="00A23740">
              <w:rPr>
                <w:rStyle w:val="KIRMIZIChar"/>
                <w:rFonts w:eastAsia="Calibri"/>
              </w:rPr>
              <w:t>Madde 242 – (1)</w:t>
            </w:r>
            <w:r w:rsidRPr="00A23740">
              <w:rPr>
                <w:b/>
                <w:szCs w:val="24"/>
              </w:rPr>
              <w:t xml:space="preserve"> </w:t>
            </w:r>
            <w:r w:rsidRPr="00A23740">
              <w:rPr>
                <w:rStyle w:val="KIRMIZIChar"/>
                <w:rFonts w:eastAsia="Calibri"/>
              </w:rPr>
              <w:t>(Değişik birinci fıkra:24/11/2021-7343/30 md.) Artırma ilanı ve hazırlık tedbirleri 126 ncı madde hükmü uyarınca yapılır.</w:t>
            </w:r>
          </w:p>
          <w:p w:rsidR="00AA5C8C" w:rsidRPr="00A23740" w:rsidRDefault="00AA5C8C" w:rsidP="009431FF">
            <w:pPr>
              <w:tabs>
                <w:tab w:val="left" w:pos="567"/>
              </w:tabs>
              <w:rPr>
                <w:b/>
                <w:color w:val="0000FF"/>
                <w:szCs w:val="20"/>
                <w:lang w:eastAsia="x-none"/>
              </w:rPr>
            </w:pPr>
          </w:p>
          <w:p w:rsidR="00AA5C8C" w:rsidRPr="00A23740" w:rsidRDefault="00AA5C8C" w:rsidP="009431FF">
            <w:pPr>
              <w:pStyle w:val="KIRMIZI"/>
            </w:pPr>
            <w:r w:rsidRPr="00A23740">
              <w:t>Artırma suretiyle satışın şartları</w:t>
            </w:r>
            <w:r w:rsidRPr="00A23740">
              <w:rPr>
                <w:rStyle w:val="KIRMIZIChar"/>
              </w:rPr>
              <w:t>:</w:t>
            </w:r>
          </w:p>
          <w:p w:rsidR="00AA5C8C" w:rsidRPr="00A23740" w:rsidRDefault="00AA5C8C" w:rsidP="009431FF">
            <w:pPr>
              <w:pStyle w:val="KIRMIZI"/>
            </w:pPr>
            <w:r w:rsidRPr="00A23740">
              <w:t>Madde 244 – (Değişik: 18/2/1965-538/98 md.)</w:t>
            </w:r>
          </w:p>
          <w:p w:rsidR="00AA5C8C" w:rsidRPr="00A23740" w:rsidRDefault="00AA5C8C" w:rsidP="009431FF">
            <w:pPr>
              <w:rPr>
                <w:rFonts w:eastAsia="Times New Roman"/>
                <w:color w:val="000000"/>
                <w:szCs w:val="24"/>
                <w:lang w:eastAsia="tr-TR"/>
              </w:rPr>
            </w:pPr>
            <w:r w:rsidRPr="00A23740">
              <w:rPr>
                <w:rStyle w:val="KIRMIZIChar"/>
                <w:rFonts w:eastAsia="Calibri"/>
                <w:lang w:eastAsia="tr-TR"/>
              </w:rPr>
              <w:t>(1)</w:t>
            </w:r>
            <w:r w:rsidRPr="00A23740">
              <w:rPr>
                <w:rFonts w:eastAsia="Times New Roman"/>
                <w:color w:val="000000"/>
                <w:szCs w:val="24"/>
                <w:lang w:eastAsia="tr-TR"/>
              </w:rPr>
              <w:t xml:space="preserve"> </w:t>
            </w:r>
            <w:r w:rsidRPr="00A23740">
              <w:rPr>
                <w:rStyle w:val="KIRMIZIChar"/>
                <w:rFonts w:eastAsia="Calibri"/>
                <w:lang w:eastAsia="tr-TR"/>
              </w:rPr>
              <w:t>111/b,</w:t>
            </w:r>
            <w:r w:rsidRPr="00A23740">
              <w:rPr>
                <w:rStyle w:val="KIRMIZIChar"/>
                <w:rFonts w:eastAsia="Calibri"/>
              </w:rPr>
              <w:t xml:space="preserve"> 117, 118, 124, 125, 130, 131, 134 ve 135 inci maddeler burada da </w:t>
            </w:r>
            <w:r w:rsidRPr="00A23740">
              <w:rPr>
                <w:rFonts w:eastAsia="Times New Roman"/>
                <w:color w:val="000000"/>
                <w:szCs w:val="24"/>
                <w:lang w:eastAsia="tr-TR"/>
              </w:rPr>
              <w:t xml:space="preserve">uygulanır. </w:t>
            </w:r>
          </w:p>
          <w:p w:rsidR="00001ABF" w:rsidRPr="00A23740" w:rsidRDefault="00001ABF" w:rsidP="009431FF">
            <w:pPr>
              <w:rPr>
                <w:rFonts w:eastAsia="Times New Roman"/>
                <w:color w:val="000000"/>
                <w:szCs w:val="24"/>
                <w:lang w:eastAsia="tr-TR"/>
              </w:rPr>
            </w:pPr>
          </w:p>
          <w:p w:rsidR="00AA5C8C" w:rsidRPr="00A23740" w:rsidRDefault="00AA5C8C" w:rsidP="009431FF">
            <w:pPr>
              <w:tabs>
                <w:tab w:val="left" w:pos="567"/>
              </w:tabs>
              <w:rPr>
                <w:rFonts w:eastAsia="Times New Roman"/>
                <w:color w:val="000000"/>
                <w:szCs w:val="24"/>
                <w:lang w:eastAsia="tr-TR"/>
              </w:rPr>
            </w:pPr>
            <w:r w:rsidRPr="00A23740">
              <w:rPr>
                <w:rFonts w:eastAsia="Times New Roman"/>
                <w:b/>
                <w:color w:val="FF0000"/>
                <w:szCs w:val="24"/>
                <w:lang w:eastAsia="tr-TR"/>
              </w:rPr>
              <w:t>M.244/F1.C2:</w:t>
            </w:r>
            <w:r w:rsidRPr="00A23740">
              <w:rPr>
                <w:rFonts w:eastAsia="Times New Roman"/>
                <w:color w:val="000000"/>
                <w:szCs w:val="24"/>
                <w:lang w:eastAsia="tr-TR"/>
              </w:rPr>
              <w:t xml:space="preserve"> </w:t>
            </w:r>
            <w:r w:rsidRPr="00A23740">
              <w:rPr>
                <w:szCs w:val="24"/>
              </w:rPr>
              <w:t>İ</w:t>
            </w:r>
            <w:r w:rsidRPr="00A23740">
              <w:rPr>
                <w:rFonts w:eastAsia="Times New Roman"/>
                <w:color w:val="000000"/>
                <w:szCs w:val="24"/>
                <w:lang w:eastAsia="tr-TR"/>
              </w:rPr>
              <w:t>cra dairesi</w:t>
            </w:r>
            <w:r w:rsidRPr="00A23740">
              <w:rPr>
                <w:rStyle w:val="KIRMIZIChar"/>
                <w:rFonts w:eastAsia="Calibri"/>
              </w:rPr>
              <w:t>ne</w:t>
            </w:r>
            <w:r w:rsidRPr="00A23740">
              <w:rPr>
                <w:rFonts w:eastAsia="Times New Roman"/>
                <w:color w:val="000000"/>
                <w:szCs w:val="24"/>
                <w:lang w:eastAsia="tr-TR"/>
              </w:rPr>
              <w:t xml:space="preserve"> </w:t>
            </w:r>
            <w:r w:rsidRPr="00A23740">
              <w:rPr>
                <w:rStyle w:val="KIRMIZIChar"/>
                <w:rFonts w:eastAsia="Calibri"/>
              </w:rPr>
              <w:t>ait</w:t>
            </w:r>
            <w:r w:rsidRPr="00A23740">
              <w:rPr>
                <w:rFonts w:eastAsia="Times New Roman"/>
                <w:color w:val="000000"/>
                <w:szCs w:val="24"/>
                <w:lang w:eastAsia="tr-TR"/>
              </w:rPr>
              <w:t xml:space="preserve"> </w:t>
            </w:r>
            <w:r w:rsidRPr="00A23740">
              <w:rPr>
                <w:rStyle w:val="KIRMIZIChar"/>
                <w:rFonts w:eastAsia="Calibri"/>
              </w:rPr>
              <w:t>vazifeler</w:t>
            </w:r>
            <w:r w:rsidRPr="00A23740">
              <w:rPr>
                <w:rFonts w:eastAsia="Times New Roman"/>
                <w:color w:val="000000"/>
                <w:szCs w:val="24"/>
                <w:lang w:eastAsia="tr-TR"/>
              </w:rPr>
              <w:t xml:space="preserve"> iflas idaresi tarafından </w:t>
            </w:r>
            <w:r w:rsidRPr="00A23740">
              <w:rPr>
                <w:rStyle w:val="KIRMIZIChar"/>
                <w:rFonts w:eastAsia="Calibri"/>
              </w:rPr>
              <w:t>görülür.</w:t>
            </w:r>
          </w:p>
          <w:p w:rsidR="00AA5C8C" w:rsidRPr="00A23740" w:rsidRDefault="00AA5C8C" w:rsidP="009431FF">
            <w:pPr>
              <w:tabs>
                <w:tab w:val="left" w:pos="567"/>
              </w:tabs>
              <w:rPr>
                <w:szCs w:val="24"/>
              </w:rPr>
            </w:pPr>
          </w:p>
          <w:p w:rsidR="00AA5C8C" w:rsidRDefault="00AA5C8C" w:rsidP="009431FF">
            <w:pPr>
              <w:tabs>
                <w:tab w:val="left" w:pos="567"/>
              </w:tabs>
              <w:rPr>
                <w:szCs w:val="24"/>
              </w:rPr>
            </w:pPr>
            <w:r w:rsidRPr="00A23740">
              <w:rPr>
                <w:rStyle w:val="KIRMIZIChar"/>
                <w:rFonts w:eastAsia="Calibri"/>
              </w:rPr>
              <w:t>(2)</w:t>
            </w:r>
            <w:r w:rsidRPr="00A23740">
              <w:rPr>
                <w:szCs w:val="24"/>
              </w:rPr>
              <w:t xml:space="preserve"> </w:t>
            </w:r>
            <w:r w:rsidRPr="00A23740">
              <w:rPr>
                <w:rStyle w:val="KIRMIZIChar"/>
                <w:rFonts w:eastAsia="Calibri"/>
              </w:rPr>
              <w:t xml:space="preserve">İpotek </w:t>
            </w:r>
            <w:r w:rsidRPr="00C00F6E">
              <w:rPr>
                <w:rStyle w:val="KIRMIZIChar"/>
                <w:rFonts w:eastAsia="Calibri"/>
              </w:rPr>
              <w:t>alacaklısına ilandan bir nüsha verilir ve kendisine</w:t>
            </w:r>
            <w:r w:rsidRPr="00A23740">
              <w:rPr>
                <w:szCs w:val="24"/>
              </w:rPr>
              <w:t xml:space="preserve"> tahmin edilen bedel </w:t>
            </w:r>
            <w:r w:rsidRPr="00A23740">
              <w:rPr>
                <w:rStyle w:val="KIRMIZIChar"/>
                <w:rFonts w:eastAsia="Calibri"/>
              </w:rPr>
              <w:t>bildirilir</w:t>
            </w:r>
            <w:r w:rsidRPr="00A23740">
              <w:rPr>
                <w:szCs w:val="24"/>
              </w:rPr>
              <w:t>.</w:t>
            </w:r>
          </w:p>
          <w:p w:rsidR="00C00F6E" w:rsidRPr="00A23740" w:rsidRDefault="00C00F6E" w:rsidP="009431FF">
            <w:pPr>
              <w:tabs>
                <w:tab w:val="left" w:pos="567"/>
              </w:tabs>
              <w:rPr>
                <w:szCs w:val="24"/>
              </w:rPr>
            </w:pPr>
          </w:p>
        </w:tc>
        <w:tc>
          <w:tcPr>
            <w:tcW w:w="2500" w:type="pct"/>
          </w:tcPr>
          <w:p w:rsidR="00AA5C8C" w:rsidRPr="00A23740" w:rsidRDefault="00AA5C8C" w:rsidP="009431FF">
            <w:pPr>
              <w:pStyle w:val="Mavi"/>
            </w:pPr>
            <w:r w:rsidRPr="00A23740">
              <w:rPr>
                <w:rStyle w:val="MaviChar"/>
                <w:b/>
                <w:bCs/>
              </w:rPr>
              <w:t>Açık artırma ve sonuçları</w:t>
            </w:r>
          </w:p>
          <w:p w:rsidR="00AA5C8C" w:rsidRPr="00A23740" w:rsidRDefault="00AA5C8C" w:rsidP="009431FF">
            <w:pPr>
              <w:pStyle w:val="Mavi"/>
            </w:pPr>
            <w:r w:rsidRPr="00A23740">
              <w:t xml:space="preserve">MADDE </w:t>
            </w:r>
            <w:r w:rsidR="009B1DBC" w:rsidRPr="00A23740">
              <w:t>359</w:t>
            </w:r>
            <w:r w:rsidRPr="00A23740">
              <w:t>-</w:t>
            </w:r>
            <w:r w:rsidRPr="00A23740">
              <w:rPr>
                <w:rStyle w:val="MaviChar"/>
                <w:lang w:val="tr-TR"/>
              </w:rPr>
              <w:t xml:space="preserve"> </w:t>
            </w:r>
            <w:r w:rsidRPr="00A23740">
              <w:t xml:space="preserve">(1) Masadaki malın açık artırma suretiyle satışı, </w:t>
            </w:r>
            <w:r w:rsidR="002B2D03" w:rsidRPr="00A23740">
              <w:rPr>
                <w:lang w:val="tr-TR"/>
              </w:rPr>
              <w:t xml:space="preserve">UYAP’a </w:t>
            </w:r>
            <w:r w:rsidRPr="00A23740">
              <w:t>entegre elektronik satış portalında yapılır.</w:t>
            </w:r>
          </w:p>
          <w:p w:rsidR="003F647A" w:rsidRPr="00A23740" w:rsidRDefault="003F647A" w:rsidP="009431FF">
            <w:pPr>
              <w:pStyle w:val="Mavi"/>
              <w:rPr>
                <w:rStyle w:val="MaviChar"/>
                <w:b/>
                <w:bCs/>
              </w:rPr>
            </w:pPr>
          </w:p>
          <w:p w:rsidR="003F647A" w:rsidRPr="00A23740" w:rsidRDefault="003F647A" w:rsidP="009431FF">
            <w:pPr>
              <w:pStyle w:val="Mavi"/>
              <w:rPr>
                <w:rStyle w:val="MaviChar"/>
                <w:b/>
                <w:bCs/>
                <w:lang w:val="tr-TR"/>
              </w:rPr>
            </w:pPr>
            <w:r w:rsidRPr="00A23740">
              <w:rPr>
                <w:rStyle w:val="MaviChar"/>
                <w:b/>
                <w:bCs/>
              </w:rPr>
              <w:t xml:space="preserve">(2) Artırmaya hazırlık, artırmanın ilanı, artırma, ihale ve ihalenin sonuçları hakkında, </w:t>
            </w:r>
            <w:r w:rsidR="00C32683" w:rsidRPr="00237377">
              <w:t>223, 225</w:t>
            </w:r>
            <w:r w:rsidR="00C32683" w:rsidRPr="00A23740">
              <w:rPr>
                <w:rStyle w:val="Balk1Char"/>
                <w:rFonts w:eastAsia="Calibri"/>
                <w:b/>
              </w:rPr>
              <w:t>,</w:t>
            </w:r>
            <w:r w:rsidR="00C32683" w:rsidRPr="00A23740">
              <w:rPr>
                <w:rStyle w:val="Balk1Char"/>
                <w:rFonts w:eastAsia="Calibri"/>
                <w:b/>
                <w:lang w:val="tr-TR"/>
              </w:rPr>
              <w:t xml:space="preserve"> </w:t>
            </w:r>
            <w:r w:rsidR="00B87312" w:rsidRPr="00237377">
              <w:t>233</w:t>
            </w:r>
            <w:r w:rsidRPr="00A23740">
              <w:rPr>
                <w:rStyle w:val="MaviChar"/>
                <w:b/>
                <w:bCs/>
              </w:rPr>
              <w:t xml:space="preserve">, </w:t>
            </w:r>
            <w:r w:rsidR="00286800" w:rsidRPr="00237377">
              <w:t>234</w:t>
            </w:r>
            <w:r w:rsidRPr="00A23740">
              <w:rPr>
                <w:rStyle w:val="MaviChar"/>
                <w:b/>
                <w:bCs/>
              </w:rPr>
              <w:t xml:space="preserve">, </w:t>
            </w:r>
            <w:r w:rsidR="00286800" w:rsidRPr="00237377">
              <w:t>235</w:t>
            </w:r>
            <w:r w:rsidRPr="00A23740">
              <w:rPr>
                <w:rStyle w:val="MaviChar"/>
                <w:b/>
                <w:bCs/>
                <w:lang w:val="tr-TR"/>
              </w:rPr>
              <w:t>,</w:t>
            </w:r>
            <w:r w:rsidR="00394891" w:rsidRPr="00A23740">
              <w:rPr>
                <w:rStyle w:val="MaviChar"/>
                <w:b/>
                <w:bCs/>
                <w:lang w:val="tr-TR"/>
              </w:rPr>
              <w:t xml:space="preserve"> </w:t>
            </w:r>
            <w:r w:rsidR="00394891" w:rsidRPr="00237377">
              <w:t>237</w:t>
            </w:r>
            <w:r w:rsidRPr="00A23740">
              <w:rPr>
                <w:rStyle w:val="MaviChar"/>
                <w:b/>
                <w:bCs/>
                <w:lang w:val="tr-TR"/>
              </w:rPr>
              <w:t xml:space="preserve">, </w:t>
            </w:r>
            <w:r w:rsidR="00394891" w:rsidRPr="00237377">
              <w:t>246</w:t>
            </w:r>
            <w:r w:rsidRPr="00A23740">
              <w:rPr>
                <w:rStyle w:val="MaviChar"/>
                <w:b/>
                <w:bCs/>
              </w:rPr>
              <w:t>,</w:t>
            </w:r>
            <w:r w:rsidR="00394891" w:rsidRPr="00A23740">
              <w:rPr>
                <w:rStyle w:val="MaviChar"/>
                <w:b/>
                <w:bCs/>
                <w:lang w:val="tr-TR"/>
              </w:rPr>
              <w:t xml:space="preserve"> </w:t>
            </w:r>
            <w:r w:rsidR="00394891" w:rsidRPr="00237377">
              <w:t>247</w:t>
            </w:r>
            <w:r w:rsidRPr="00A23740">
              <w:rPr>
                <w:rStyle w:val="MaviChar"/>
                <w:b/>
                <w:bCs/>
              </w:rPr>
              <w:t xml:space="preserve">, </w:t>
            </w:r>
            <w:r w:rsidR="00394891" w:rsidRPr="00237377">
              <w:t>248</w:t>
            </w:r>
            <w:r w:rsidRPr="00A23740">
              <w:rPr>
                <w:rStyle w:val="Balk1Char"/>
                <w:rFonts w:eastAsia="Calibri"/>
                <w:b/>
              </w:rPr>
              <w:t>,</w:t>
            </w:r>
            <w:r w:rsidR="00B87312" w:rsidRPr="00A23740">
              <w:rPr>
                <w:rStyle w:val="Balk1Char"/>
                <w:rFonts w:eastAsia="Calibri"/>
                <w:b/>
                <w:lang w:val="tr-TR"/>
              </w:rPr>
              <w:t xml:space="preserve"> </w:t>
            </w:r>
            <w:r w:rsidR="00B87312" w:rsidRPr="00237377">
              <w:t>249</w:t>
            </w:r>
            <w:r w:rsidR="00B87312" w:rsidRPr="00A23740">
              <w:rPr>
                <w:rStyle w:val="Balk1Char"/>
                <w:rFonts w:eastAsia="Calibri"/>
                <w:b/>
              </w:rPr>
              <w:t>,</w:t>
            </w:r>
            <w:r w:rsidR="00B87312" w:rsidRPr="00A23740">
              <w:rPr>
                <w:rStyle w:val="Balk1Char"/>
                <w:rFonts w:eastAsia="Calibri"/>
                <w:b/>
                <w:lang w:val="tr-TR"/>
              </w:rPr>
              <w:t xml:space="preserve"> </w:t>
            </w:r>
            <w:r w:rsidR="00B87312" w:rsidRPr="00237377">
              <w:t>251</w:t>
            </w:r>
            <w:r w:rsidR="00B87312" w:rsidRPr="00A23740">
              <w:rPr>
                <w:rStyle w:val="Balk1Char"/>
                <w:rFonts w:eastAsia="Calibri"/>
                <w:b/>
              </w:rPr>
              <w:t>,</w:t>
            </w:r>
            <w:r w:rsidR="00B87312" w:rsidRPr="00A23740">
              <w:rPr>
                <w:rStyle w:val="Balk1Char"/>
                <w:rFonts w:eastAsia="Calibri"/>
                <w:b/>
                <w:lang w:val="tr-TR"/>
              </w:rPr>
              <w:t xml:space="preserve"> </w:t>
            </w:r>
            <w:r w:rsidR="00B87312" w:rsidRPr="00237377">
              <w:t>252 ve 253</w:t>
            </w:r>
            <w:r w:rsidR="00B87312" w:rsidRPr="00A23740">
              <w:rPr>
                <w:rStyle w:val="Balk1Char"/>
                <w:rFonts w:eastAsia="Calibri"/>
                <w:b/>
              </w:rPr>
              <w:t>,</w:t>
            </w:r>
            <w:r w:rsidR="00B87312" w:rsidRPr="00237377">
              <w:t xml:space="preserve"> 254, </w:t>
            </w:r>
            <w:r w:rsidR="00333897">
              <w:t>255, 256 ve 257 nci</w:t>
            </w:r>
            <w:r w:rsidR="00DA7325" w:rsidRPr="00A23740">
              <w:rPr>
                <w:rStyle w:val="Balk1Char"/>
                <w:rFonts w:eastAsia="Calibri"/>
                <w:b/>
                <w:lang w:val="tr-TR"/>
              </w:rPr>
              <w:t xml:space="preserve"> </w:t>
            </w:r>
            <w:r w:rsidRPr="00A23740">
              <w:rPr>
                <w:rStyle w:val="MaviChar"/>
                <w:b/>
                <w:bCs/>
              </w:rPr>
              <w:t>maddeler</w:t>
            </w:r>
            <w:r w:rsidR="00B87312" w:rsidRPr="00237377">
              <w:t>,</w:t>
            </w:r>
            <w:r w:rsidR="00394891" w:rsidRPr="00237377">
              <w:t xml:space="preserve"> 295 inci</w:t>
            </w:r>
            <w:r w:rsidRPr="00A23740">
              <w:rPr>
                <w:rStyle w:val="MaviChar"/>
                <w:b/>
                <w:bCs/>
                <w:lang w:val="tr-TR"/>
              </w:rPr>
              <w:t xml:space="preserve"> maddeye aykırı olmayacak şekilde </w:t>
            </w:r>
            <w:r w:rsidRPr="00A23740">
              <w:rPr>
                <w:rFonts w:eastAsia="Times New Roman"/>
                <w:b w:val="0"/>
                <w:color w:val="000000"/>
                <w:lang w:val="tr-TR" w:eastAsia="tr-TR"/>
              </w:rPr>
              <w:t>uygulanır.</w:t>
            </w:r>
          </w:p>
          <w:p w:rsidR="00001ABF" w:rsidRDefault="00001ABF" w:rsidP="009431FF">
            <w:pPr>
              <w:tabs>
                <w:tab w:val="left" w:pos="567"/>
              </w:tabs>
              <w:rPr>
                <w:rStyle w:val="MaviChar"/>
              </w:rPr>
            </w:pPr>
          </w:p>
          <w:p w:rsidR="00C00F6E" w:rsidRPr="00A23740" w:rsidRDefault="00C00F6E" w:rsidP="009431FF">
            <w:pPr>
              <w:tabs>
                <w:tab w:val="left" w:pos="567"/>
              </w:tabs>
              <w:rPr>
                <w:rStyle w:val="MaviChar"/>
              </w:rPr>
            </w:pPr>
          </w:p>
          <w:p w:rsidR="00AA5C8C" w:rsidRPr="00A23740" w:rsidRDefault="00AA5C8C" w:rsidP="009431FF">
            <w:pPr>
              <w:tabs>
                <w:tab w:val="left" w:pos="567"/>
              </w:tabs>
              <w:rPr>
                <w:szCs w:val="24"/>
              </w:rPr>
            </w:pPr>
            <w:r w:rsidRPr="00A23740">
              <w:rPr>
                <w:rStyle w:val="MaviChar"/>
              </w:rPr>
              <w:t>(3)</w:t>
            </w:r>
            <w:r w:rsidRPr="00A23740">
              <w:rPr>
                <w:szCs w:val="24"/>
              </w:rPr>
              <w:t xml:space="preserve"> </w:t>
            </w:r>
            <w:r w:rsidR="002B2D03" w:rsidRPr="00A23740">
              <w:rPr>
                <w:szCs w:val="24"/>
              </w:rPr>
              <w:t>İ</w:t>
            </w:r>
            <w:r w:rsidRPr="00A23740">
              <w:rPr>
                <w:szCs w:val="24"/>
              </w:rPr>
              <w:t xml:space="preserve">cra </w:t>
            </w:r>
            <w:r w:rsidRPr="00A23740">
              <w:rPr>
                <w:rStyle w:val="MaviChar"/>
              </w:rPr>
              <w:t>ve iflas</w:t>
            </w:r>
            <w:r w:rsidRPr="00A23740">
              <w:rPr>
                <w:szCs w:val="24"/>
              </w:rPr>
              <w:t xml:space="preserve"> </w:t>
            </w:r>
            <w:r w:rsidR="002B2D03" w:rsidRPr="00A23740">
              <w:rPr>
                <w:szCs w:val="24"/>
              </w:rPr>
              <w:t>dairesi</w:t>
            </w:r>
            <w:r w:rsidR="002B2D03" w:rsidRPr="00A23740">
              <w:rPr>
                <w:rStyle w:val="Balk1Char"/>
                <w:rFonts w:eastAsia="Calibri"/>
              </w:rPr>
              <w:t>nin açık artırmaya ilişkin görevleri</w:t>
            </w:r>
            <w:r w:rsidRPr="00A23740">
              <w:rPr>
                <w:rStyle w:val="Balk1Char"/>
                <w:rFonts w:eastAsia="Calibri"/>
              </w:rPr>
              <w:t xml:space="preserve"> </w:t>
            </w:r>
            <w:r w:rsidRPr="00A23740">
              <w:rPr>
                <w:szCs w:val="24"/>
              </w:rPr>
              <w:t xml:space="preserve">iflas idaresi tarafından </w:t>
            </w:r>
            <w:r w:rsidRPr="00A23740">
              <w:rPr>
                <w:rStyle w:val="MAVChar"/>
                <w:rFonts w:eastAsia="Calibri"/>
                <w:u w:val="none"/>
              </w:rPr>
              <w:t>yerine getirilir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pPr>
            <w:r w:rsidRPr="00A23740">
              <w:rPr>
                <w:b/>
                <w:color w:val="0000FF"/>
                <w:szCs w:val="24"/>
              </w:rPr>
              <w:t>(4)</w:t>
            </w:r>
            <w:r w:rsidRPr="00A23740">
              <w:rPr>
                <w:szCs w:val="24"/>
              </w:rPr>
              <w:t xml:space="preserve"> </w:t>
            </w:r>
            <w:r w:rsidRPr="00A23740">
              <w:rPr>
                <w:rStyle w:val="MaviChar"/>
              </w:rPr>
              <w:t xml:space="preserve">Rehinli alacaklılara </w:t>
            </w:r>
            <w:r w:rsidRPr="00A23740">
              <w:rPr>
                <w:szCs w:val="24"/>
              </w:rPr>
              <w:t>tahmin</w:t>
            </w:r>
            <w:r w:rsidRPr="00A23740">
              <w:rPr>
                <w:b/>
                <w:bCs/>
              </w:rPr>
              <w:t xml:space="preserve"> </w:t>
            </w:r>
            <w:r w:rsidRPr="00A23740">
              <w:rPr>
                <w:szCs w:val="24"/>
              </w:rPr>
              <w:t>edilen</w:t>
            </w:r>
            <w:r w:rsidRPr="00A23740">
              <w:rPr>
                <w:b/>
                <w:bCs/>
              </w:rPr>
              <w:t xml:space="preserve"> </w:t>
            </w:r>
            <w:r w:rsidR="00E56D84" w:rsidRPr="00237377">
              <w:rPr>
                <w:rStyle w:val="MaviChar"/>
              </w:rPr>
              <w:t>kıymeti</w:t>
            </w:r>
            <w:r w:rsidR="00E56D84" w:rsidRPr="00A23740">
              <w:rPr>
                <w:b/>
                <w:bCs/>
                <w:color w:val="538135"/>
                <w:szCs w:val="24"/>
                <w:lang w:val="x-none" w:eastAsia="x-none"/>
              </w:rPr>
              <w:t xml:space="preserve"> </w:t>
            </w:r>
            <w:r w:rsidRPr="00A23740">
              <w:rPr>
                <w:rStyle w:val="MaviChar"/>
              </w:rPr>
              <w:t>de içeren</w:t>
            </w:r>
            <w:r w:rsidRPr="00A23740">
              <w:rPr>
                <w:rStyle w:val="YELChar"/>
              </w:rPr>
              <w:t xml:space="preserve"> </w:t>
            </w:r>
            <w:r w:rsidR="002B2D03" w:rsidRPr="00A23740">
              <w:rPr>
                <w:rStyle w:val="Balk1Char"/>
                <w:rFonts w:eastAsia="ヒラギノ明朝 Pro W3"/>
              </w:rPr>
              <w:t>ilanın bir örneği</w:t>
            </w:r>
            <w:r w:rsidR="002B2D03" w:rsidRPr="00A23740">
              <w:rPr>
                <w:rStyle w:val="YELChar"/>
              </w:rPr>
              <w:t xml:space="preserve"> </w:t>
            </w:r>
            <w:r w:rsidRPr="00A23740">
              <w:rPr>
                <w:rStyle w:val="MAVChar"/>
                <w:rFonts w:eastAsia="Calibri"/>
                <w:u w:val="none"/>
              </w:rPr>
              <w:t>tebliğ edilir</w:t>
            </w:r>
            <w:r w:rsidRPr="00A23740">
              <w:rPr>
                <w:szCs w:val="24"/>
              </w:rPr>
              <w:t>.</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B95505" w:rsidRPr="00A23740" w:rsidRDefault="00B95505" w:rsidP="009431FF">
            <w:pPr>
              <w:ind w:firstLine="709"/>
              <w:rPr>
                <w:b/>
                <w:szCs w:val="24"/>
              </w:rPr>
            </w:pPr>
          </w:p>
          <w:p w:rsidR="00D179F1" w:rsidRPr="00A23740" w:rsidRDefault="009B1DBC" w:rsidP="009431FF">
            <w:pPr>
              <w:ind w:firstLine="709"/>
              <w:rPr>
                <w:szCs w:val="24"/>
              </w:rPr>
            </w:pPr>
            <w:r w:rsidRPr="00A23740">
              <w:rPr>
                <w:b/>
                <w:szCs w:val="24"/>
              </w:rPr>
              <w:t>MADDE 359</w:t>
            </w:r>
            <w:r w:rsidR="00B95505" w:rsidRPr="00A23740">
              <w:rPr>
                <w:b/>
                <w:szCs w:val="24"/>
              </w:rPr>
              <w:t>-</w:t>
            </w:r>
            <w:r w:rsidR="00B95505" w:rsidRPr="00A23740">
              <w:rPr>
                <w:szCs w:val="24"/>
              </w:rPr>
              <w:t xml:space="preserve"> Maddeyle, açık artırma ve sonuçlarına ilişkin hususlar düzenlenmektedir. Madde, bazı değişikliklerle birlikte 2004 </w:t>
            </w:r>
            <w:r w:rsidR="002B2D03" w:rsidRPr="00A23740">
              <w:rPr>
                <w:szCs w:val="24"/>
              </w:rPr>
              <w:t>s</w:t>
            </w:r>
            <w:r w:rsidR="00B95505" w:rsidRPr="00A23740">
              <w:rPr>
                <w:szCs w:val="24"/>
              </w:rPr>
              <w:t xml:space="preserve">ayılı Kanunun 242 nci maddesinin birinci fıkrası ile 244 üncü maddesine karşılık gelmektedir. </w:t>
            </w:r>
          </w:p>
          <w:p w:rsidR="004A0F3A" w:rsidRPr="00A23740" w:rsidRDefault="00D179F1" w:rsidP="009431FF">
            <w:pPr>
              <w:ind w:firstLine="709"/>
              <w:rPr>
                <w:szCs w:val="24"/>
              </w:rPr>
            </w:pPr>
            <w:r w:rsidRPr="00A23740">
              <w:rPr>
                <w:szCs w:val="24"/>
              </w:rPr>
              <w:t xml:space="preserve">Maddenin birinci fıkrasında, iflas masasında bulunan bir malın açık artırma suretiyle satışının, </w:t>
            </w:r>
            <w:r w:rsidR="002B2D03" w:rsidRPr="00A23740">
              <w:rPr>
                <w:szCs w:val="24"/>
              </w:rPr>
              <w:t xml:space="preserve">UYAP’a </w:t>
            </w:r>
            <w:r w:rsidRPr="00A23740">
              <w:rPr>
                <w:szCs w:val="24"/>
              </w:rPr>
              <w:t>entegre elektronik satış portalınd</w:t>
            </w:r>
            <w:r w:rsidR="0090558D" w:rsidRPr="00A23740">
              <w:rPr>
                <w:szCs w:val="24"/>
              </w:rPr>
              <w:t xml:space="preserve">a yapılacağı belirtilmektedir. </w:t>
            </w:r>
          </w:p>
          <w:p w:rsidR="004A0F3A" w:rsidRPr="00A23740" w:rsidRDefault="004A0F3A" w:rsidP="009431FF">
            <w:pPr>
              <w:tabs>
                <w:tab w:val="left" w:pos="567"/>
              </w:tabs>
              <w:ind w:firstLine="709"/>
              <w:rPr>
                <w:b/>
                <w:szCs w:val="24"/>
              </w:rPr>
            </w:pPr>
            <w:r w:rsidRPr="00A23740">
              <w:rPr>
                <w:szCs w:val="24"/>
              </w:rPr>
              <w:t>Maddenin ikinci fıkrasında, açık artırma ve ihale bakımından uygulanacak maddeler belirlenmektedir. Buna göre artırmaya hazırlık, artırmanın ilanı, artırma, ihale ve ihalenin sonuçları hakkında,</w:t>
            </w:r>
            <w:r w:rsidR="00C32683" w:rsidRPr="00A23740">
              <w:rPr>
                <w:szCs w:val="24"/>
              </w:rPr>
              <w:t xml:space="preserve"> </w:t>
            </w:r>
            <w:r w:rsidR="00C32683" w:rsidRPr="00237377">
              <w:t>223, 225,</w:t>
            </w:r>
            <w:r w:rsidRPr="00237377">
              <w:t xml:space="preserve"> 233, 234, 235, 237, 246, 247, 248, 249, 251, 252 ve 253, 254, 255, 256 ve 257 nci</w:t>
            </w:r>
            <w:r w:rsidRPr="00A23740">
              <w:rPr>
                <w:rStyle w:val="Balk1Char"/>
                <w:rFonts w:eastAsia="Calibri"/>
                <w:b w:val="0"/>
              </w:rPr>
              <w:t xml:space="preserve"> </w:t>
            </w:r>
            <w:r w:rsidRPr="00A23740">
              <w:t>maddeler</w:t>
            </w:r>
            <w:r w:rsidRPr="00237377">
              <w:t>, 295 inci</w:t>
            </w:r>
            <w:r w:rsidRPr="00A23740">
              <w:rPr>
                <w:rStyle w:val="AralkYokChar"/>
                <w:b w:val="0"/>
                <w:strike w:val="0"/>
                <w:lang w:val="tr-TR"/>
              </w:rPr>
              <w:t xml:space="preserve"> </w:t>
            </w:r>
            <w:r w:rsidRPr="00237377">
              <w:t>maddeye aykırı olmamak kaydıyla</w:t>
            </w:r>
            <w:r w:rsidRPr="00A23740">
              <w:rPr>
                <w:rStyle w:val="AralkYokChar"/>
                <w:b w:val="0"/>
                <w:strike w:val="0"/>
                <w:lang w:val="tr-TR"/>
              </w:rPr>
              <w:t xml:space="preserve"> </w:t>
            </w:r>
            <w:r w:rsidRPr="00A23740">
              <w:rPr>
                <w:szCs w:val="24"/>
              </w:rPr>
              <w:t xml:space="preserve">uygulama alanı bulacaktır. 2004 sayılı Kanunun, hacizdeki paraya çevirme hükümlerine atıf yapan 243 ve 244 üncü maddelerinde 127, 128 ve 128/a </w:t>
            </w:r>
            <w:r w:rsidR="00E70D46" w:rsidRPr="00A23740">
              <w:rPr>
                <w:szCs w:val="24"/>
              </w:rPr>
              <w:t xml:space="preserve">maddeler </w:t>
            </w:r>
            <w:r w:rsidRPr="00A23740">
              <w:rPr>
                <w:szCs w:val="24"/>
              </w:rPr>
              <w:t>hükümlerine atıf yapılmamaktaydı. Bu nedenle de öğreti ve Yargıtay kararlarında, kıymet takdiri raporunun ilgililere tebliğ edilmeyeceği, satış ilanının ise ipotekli alacaklılar hariç ilgililere tebliğ edilmeyeceği  kabul edilmekteydi. Bu anlayış bu maddede de benimsenmiştir. Bu nedenle de kıymet takdiri raporu</w:t>
            </w:r>
            <w:r w:rsidR="00E70D46" w:rsidRPr="00A23740">
              <w:rPr>
                <w:szCs w:val="24"/>
              </w:rPr>
              <w:t>yla</w:t>
            </w:r>
            <w:r w:rsidRPr="00A23740">
              <w:rPr>
                <w:szCs w:val="24"/>
              </w:rPr>
              <w:t xml:space="preserve"> </w:t>
            </w:r>
            <w:r w:rsidRPr="00237377">
              <w:t>rehinli alacaklılar hariç</w:t>
            </w:r>
            <w:r w:rsidRPr="00A23740">
              <w:rPr>
                <w:szCs w:val="24"/>
              </w:rPr>
              <w:t xml:space="preserve"> satış ilanının ilgililere tebliğ edilmesine gerek bulunmayacaktır. </w:t>
            </w:r>
          </w:p>
          <w:p w:rsidR="00D179F1" w:rsidRPr="00A23740" w:rsidRDefault="00D179F1" w:rsidP="009431FF">
            <w:pPr>
              <w:ind w:firstLine="709"/>
              <w:rPr>
                <w:szCs w:val="24"/>
              </w:rPr>
            </w:pPr>
            <w:r w:rsidRPr="00A23740">
              <w:rPr>
                <w:szCs w:val="24"/>
              </w:rPr>
              <w:t xml:space="preserve">Maddenin üçüncü fıkrasında, icra ve iflas dairesine ait görevlerin iflas idaresi tarafından yerine </w:t>
            </w:r>
            <w:r w:rsidR="00E70D46" w:rsidRPr="00A23740">
              <w:rPr>
                <w:szCs w:val="24"/>
              </w:rPr>
              <w:t xml:space="preserve">getirilmesi </w:t>
            </w:r>
            <w:r w:rsidRPr="00A23740">
              <w:rPr>
                <w:szCs w:val="24"/>
              </w:rPr>
              <w:t xml:space="preserve">düzenlenmektedir. </w:t>
            </w:r>
          </w:p>
          <w:p w:rsidR="00D179F1" w:rsidRPr="00A23740" w:rsidRDefault="00D179F1" w:rsidP="009431FF">
            <w:pPr>
              <w:ind w:firstLine="709"/>
              <w:rPr>
                <w:rStyle w:val="MaviChar"/>
                <w:b w:val="0"/>
                <w:bCs w:val="0"/>
                <w:color w:val="auto"/>
                <w:lang w:val="tr-TR" w:eastAsia="en-US"/>
              </w:rPr>
            </w:pPr>
            <w:r w:rsidRPr="00A23740">
              <w:rPr>
                <w:szCs w:val="24"/>
              </w:rPr>
              <w:t xml:space="preserve">Maddenin dördüncü fıkrasında, rehinli alacaklılara tahmin edilen </w:t>
            </w:r>
            <w:r w:rsidR="00E56D84" w:rsidRPr="00237377">
              <w:t>kıymeti</w:t>
            </w:r>
            <w:r w:rsidR="00E56D84" w:rsidRPr="00A23740">
              <w:rPr>
                <w:b/>
                <w:bCs/>
                <w:color w:val="538135"/>
                <w:szCs w:val="24"/>
                <w:lang w:val="x-none" w:eastAsia="x-none"/>
              </w:rPr>
              <w:t xml:space="preserve"> </w:t>
            </w:r>
            <w:r w:rsidRPr="00A23740">
              <w:rPr>
                <w:szCs w:val="24"/>
              </w:rPr>
              <w:t xml:space="preserve">de içeren ilandan bir </w:t>
            </w:r>
            <w:r w:rsidR="00612BD4" w:rsidRPr="00237377">
              <w:t>örnek</w:t>
            </w:r>
            <w:r w:rsidR="00612BD4" w:rsidRPr="00A23740">
              <w:rPr>
                <w:szCs w:val="24"/>
              </w:rPr>
              <w:t xml:space="preserve"> </w:t>
            </w:r>
            <w:r w:rsidRPr="00A23740">
              <w:rPr>
                <w:szCs w:val="24"/>
              </w:rPr>
              <w:t>tebliğ edileceği belirtilmektedir.</w:t>
            </w:r>
            <w:r w:rsidR="00612BD4" w:rsidRPr="00A23740">
              <w:rPr>
                <w:szCs w:val="24"/>
              </w:rPr>
              <w:t xml:space="preserve"> Burada sözü geçen tebligatın</w:t>
            </w:r>
            <w:r w:rsidR="0090558D" w:rsidRPr="00237377">
              <w:t>, Taslağın 232 nci</w:t>
            </w:r>
            <w:r w:rsidR="0090558D" w:rsidRPr="00A23740">
              <w:rPr>
                <w:rStyle w:val="KonuBalChar"/>
                <w:rFonts w:eastAsia="Calibri"/>
                <w:lang w:val="tr-TR"/>
              </w:rPr>
              <w:t xml:space="preserve"> </w:t>
            </w:r>
            <w:r w:rsidR="0029455E" w:rsidRPr="00A23740">
              <w:rPr>
                <w:szCs w:val="24"/>
              </w:rPr>
              <w:t xml:space="preserve">maddesine </w:t>
            </w:r>
            <w:r w:rsidR="00612BD4" w:rsidRPr="00A23740">
              <w:rPr>
                <w:szCs w:val="24"/>
              </w:rPr>
              <w:t>uygun olarak yapılacağı şüphesizdir.</w:t>
            </w:r>
            <w:r w:rsidRPr="00A23740">
              <w:rPr>
                <w:szCs w:val="24"/>
              </w:rPr>
              <w:t xml:space="preserve"> Bu fıkrada, hem taşınır rehni hem de taşınmaz rehnini kapsayacak şekilde “rehinli alacaklılar” kavramı tercih edilmiştir. </w:t>
            </w:r>
          </w:p>
          <w:p w:rsidR="00A436E5" w:rsidRPr="00A23740" w:rsidRDefault="00A436E5" w:rsidP="009A013D">
            <w:pPr>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C00F6E" w:rsidRDefault="00AA5C8C" w:rsidP="009431FF">
            <w:pPr>
              <w:pStyle w:val="KIRMIZI"/>
            </w:pPr>
            <w:r w:rsidRPr="00C00F6E">
              <w:t>Artırma ve İhale:</w:t>
            </w:r>
          </w:p>
          <w:p w:rsidR="00AA5C8C" w:rsidRPr="00C00F6E" w:rsidRDefault="00AA5C8C" w:rsidP="009431FF">
            <w:pPr>
              <w:pStyle w:val="KIRMIZI"/>
            </w:pPr>
            <w:r w:rsidRPr="00C00F6E">
              <w:rPr>
                <w:rStyle w:val="KIRMIZIChar"/>
                <w:rFonts w:eastAsia="Calibri"/>
                <w:b/>
                <w:bCs/>
                <w:strike/>
              </w:rPr>
              <w:t>Madde 243 – (1)</w:t>
            </w:r>
            <w:r w:rsidRPr="00C00F6E">
              <w:t xml:space="preserve"> İflas idaresi tarafından artırma ile satılacak </w:t>
            </w:r>
            <w:r w:rsidRPr="00C00F6E">
              <w:rPr>
                <w:rStyle w:val="KIRMIZIChar"/>
                <w:rFonts w:eastAsia="Calibri"/>
                <w:b/>
                <w:bCs/>
                <w:strike/>
              </w:rPr>
              <w:t>taşınır ve taşınmaz malların</w:t>
            </w:r>
            <w:r w:rsidRPr="00C00F6E">
              <w:t xml:space="preserve"> ihalesi </w:t>
            </w:r>
            <w:r w:rsidRPr="00C00F6E">
              <w:rPr>
                <w:rStyle w:val="KIRMIZIChar"/>
                <w:rFonts w:eastAsia="Calibri"/>
                <w:b/>
                <w:bCs/>
                <w:strike/>
              </w:rPr>
              <w:t>115 ve 129 uncu maddelerin</w:t>
            </w:r>
            <w:r w:rsidRPr="00C00F6E">
              <w:t xml:space="preserve"> </w:t>
            </w:r>
            <w:r w:rsidRPr="00C00F6E">
              <w:rPr>
                <w:rStyle w:val="KIRMIZIChar"/>
                <w:rFonts w:eastAsia="Calibri"/>
                <w:b/>
                <w:bCs/>
                <w:strike/>
              </w:rPr>
              <w:t>185 inci</w:t>
            </w:r>
            <w:r w:rsidRPr="00C00F6E">
              <w:t xml:space="preserve"> maddeye muhalif olmıyan hükümlerine göre yapılır.</w:t>
            </w:r>
          </w:p>
          <w:p w:rsidR="002C79FC" w:rsidRPr="00C00F6E" w:rsidRDefault="002C79FC" w:rsidP="009431FF">
            <w:pPr>
              <w:pStyle w:val="KIRMIZI"/>
              <w:rPr>
                <w:rFonts w:eastAsia="Calibri"/>
              </w:rPr>
            </w:pPr>
          </w:p>
          <w:p w:rsidR="00AA5C8C" w:rsidRPr="00C00F6E" w:rsidRDefault="002C79FC" w:rsidP="009431FF">
            <w:pPr>
              <w:pStyle w:val="KIRMIZI"/>
            </w:pPr>
            <w:r w:rsidRPr="00C00F6E">
              <w:rPr>
                <w:rFonts w:eastAsia="Calibri"/>
              </w:rPr>
              <w:t xml:space="preserve"> </w:t>
            </w:r>
            <w:r w:rsidR="00AA5C8C" w:rsidRPr="00C00F6E">
              <w:rPr>
                <w:rFonts w:eastAsia="Calibri"/>
              </w:rPr>
              <w:t>(2) Taşınır satışlarında</w:t>
            </w:r>
            <w:r w:rsidR="00AA5C8C" w:rsidRPr="00C00F6E">
              <w:t xml:space="preserve"> 242 nci madde hükmü tatbik olunur. </w:t>
            </w:r>
          </w:p>
          <w:p w:rsidR="00AA5C8C" w:rsidRPr="00A23740" w:rsidRDefault="00AA5C8C" w:rsidP="009431FF">
            <w:pPr>
              <w:pStyle w:val="KIRMIZI"/>
            </w:pPr>
          </w:p>
        </w:tc>
        <w:tc>
          <w:tcPr>
            <w:tcW w:w="2500" w:type="pct"/>
          </w:tcPr>
          <w:p w:rsidR="00AA5C8C" w:rsidRPr="00A23740" w:rsidRDefault="00AA5C8C" w:rsidP="009431FF">
            <w:pPr>
              <w:pStyle w:val="AltKonuBal"/>
            </w:pPr>
          </w:p>
          <w:p w:rsidR="00AA5C8C" w:rsidRPr="00A23740" w:rsidRDefault="00AA5C8C" w:rsidP="009431FF">
            <w:pPr>
              <w:tabs>
                <w:tab w:val="left" w:pos="567"/>
              </w:tabs>
              <w:rPr>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A013D">
            <w:pPr>
              <w:widowControl w:val="0"/>
              <w:tabs>
                <w:tab w:val="left" w:pos="567"/>
              </w:tabs>
              <w:contextualSpacing/>
              <w:rPr>
                <w:b/>
                <w:strike/>
                <w:color w:val="FF0000"/>
                <w:szCs w:val="24"/>
              </w:rPr>
            </w:pPr>
            <w:r w:rsidRPr="00A23740">
              <w:rPr>
                <w:b/>
                <w:strike/>
                <w:color w:val="FF0000"/>
                <w:szCs w:val="24"/>
              </w:rPr>
              <w:t>Malların paraya çevrilmesi usulü:</w:t>
            </w:r>
          </w:p>
          <w:p w:rsidR="00AA5C8C" w:rsidRPr="00A23740" w:rsidRDefault="00AA5C8C" w:rsidP="009A013D">
            <w:pPr>
              <w:widowControl w:val="0"/>
              <w:tabs>
                <w:tab w:val="left" w:pos="567"/>
              </w:tabs>
              <w:contextualSpacing/>
              <w:rPr>
                <w:szCs w:val="24"/>
              </w:rPr>
            </w:pPr>
            <w:r w:rsidRPr="00A23740">
              <w:rPr>
                <w:b/>
                <w:strike/>
                <w:color w:val="FF0000"/>
                <w:szCs w:val="24"/>
              </w:rPr>
              <w:t xml:space="preserve">Madde 241 – (1) Masaya ait mallar iflas idaresi marifetiyle açık artırma yahut </w:t>
            </w:r>
            <w:r w:rsidRPr="00A23740">
              <w:rPr>
                <w:szCs w:val="24"/>
              </w:rPr>
              <w:t>alacaklılar karar veri</w:t>
            </w:r>
            <w:r w:rsidRPr="00A23740">
              <w:rPr>
                <w:b/>
                <w:strike/>
                <w:color w:val="FF0000"/>
                <w:szCs w:val="24"/>
              </w:rPr>
              <w:t>rlerse</w:t>
            </w:r>
            <w:r w:rsidRPr="00A23740">
              <w:rPr>
                <w:szCs w:val="24"/>
              </w:rPr>
              <w:t xml:space="preserve"> </w:t>
            </w:r>
            <w:r w:rsidRPr="00A23740">
              <w:rPr>
                <w:b/>
                <w:strike/>
                <w:color w:val="FF0000"/>
                <w:szCs w:val="24"/>
              </w:rPr>
              <w:t>pazarlık suretiyle satılır.</w:t>
            </w: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r w:rsidRPr="00A23740">
              <w:rPr>
                <w:rStyle w:val="KIRMIZIChar"/>
                <w:rFonts w:eastAsia="Calibri"/>
              </w:rPr>
              <w:t>(2)</w:t>
            </w:r>
            <w:r w:rsidRPr="00A23740">
              <w:rPr>
                <w:szCs w:val="24"/>
              </w:rPr>
              <w:t xml:space="preserve"> Üzerlerinde rehin hakkı bulunan </w:t>
            </w:r>
            <w:r w:rsidRPr="00A23740">
              <w:rPr>
                <w:b/>
                <w:strike/>
                <w:color w:val="FF0000"/>
                <w:szCs w:val="24"/>
              </w:rPr>
              <w:t>eşya ancak rehin sahibi alacaklıların da muvafakati halinde pazarlık suretiyle satılabilir.</w:t>
            </w:r>
            <w:r w:rsidRPr="00A23740">
              <w:rPr>
                <w:szCs w:val="24"/>
              </w:rPr>
              <w:t xml:space="preserve"> </w:t>
            </w: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contextualSpacing/>
              <w:rPr>
                <w:szCs w:val="24"/>
              </w:rPr>
            </w:pPr>
          </w:p>
          <w:p w:rsidR="00AA5C8C" w:rsidRPr="00A23740" w:rsidRDefault="00AA5C8C" w:rsidP="009A013D">
            <w:pPr>
              <w:widowControl w:val="0"/>
              <w:tabs>
                <w:tab w:val="left" w:pos="567"/>
              </w:tabs>
              <w:rPr>
                <w:szCs w:val="24"/>
              </w:rPr>
            </w:pPr>
          </w:p>
          <w:p w:rsidR="00AA5C8C" w:rsidRPr="00A23740" w:rsidRDefault="00AA5C8C" w:rsidP="009A013D">
            <w:pPr>
              <w:widowControl w:val="0"/>
              <w:tabs>
                <w:tab w:val="left" w:pos="567"/>
              </w:tabs>
              <w:rPr>
                <w:szCs w:val="24"/>
              </w:rPr>
            </w:pPr>
          </w:p>
          <w:p w:rsidR="00AA5C8C" w:rsidRPr="00A23740" w:rsidRDefault="00AA5C8C" w:rsidP="009A013D">
            <w:pPr>
              <w:widowControl w:val="0"/>
              <w:tabs>
                <w:tab w:val="left" w:pos="567"/>
              </w:tabs>
              <w:rPr>
                <w:szCs w:val="24"/>
              </w:rPr>
            </w:pPr>
          </w:p>
          <w:p w:rsidR="00AA5C8C" w:rsidRPr="00A23740" w:rsidRDefault="00AA5C8C" w:rsidP="009A013D">
            <w:pPr>
              <w:widowControl w:val="0"/>
              <w:tabs>
                <w:tab w:val="left" w:pos="567"/>
              </w:tabs>
              <w:rPr>
                <w:szCs w:val="24"/>
              </w:rPr>
            </w:pPr>
          </w:p>
          <w:p w:rsidR="00AA5C8C" w:rsidRPr="00A23740" w:rsidRDefault="00AA5C8C" w:rsidP="009A013D">
            <w:pPr>
              <w:widowControl w:val="0"/>
              <w:tabs>
                <w:tab w:val="left" w:pos="567"/>
              </w:tabs>
              <w:rPr>
                <w:szCs w:val="24"/>
              </w:rPr>
            </w:pPr>
          </w:p>
          <w:p w:rsidR="00AA5C8C" w:rsidRPr="00A23740" w:rsidRDefault="00AA5C8C" w:rsidP="009A013D">
            <w:pPr>
              <w:widowControl w:val="0"/>
              <w:tabs>
                <w:tab w:val="left" w:pos="567"/>
              </w:tabs>
              <w:rPr>
                <w:szCs w:val="24"/>
              </w:rPr>
            </w:pPr>
          </w:p>
          <w:p w:rsidR="00AA5C8C" w:rsidRPr="00A23740" w:rsidRDefault="00AA5C8C" w:rsidP="009A013D">
            <w:pPr>
              <w:widowControl w:val="0"/>
              <w:tabs>
                <w:tab w:val="left" w:pos="567"/>
              </w:tabs>
              <w:rPr>
                <w:szCs w:val="24"/>
              </w:rPr>
            </w:pPr>
          </w:p>
          <w:p w:rsidR="00AA5C8C" w:rsidRPr="00A23740" w:rsidRDefault="00AA5C8C" w:rsidP="009A013D">
            <w:pPr>
              <w:pStyle w:val="KIRMIZI"/>
              <w:widowControl w:val="0"/>
            </w:pPr>
          </w:p>
        </w:tc>
        <w:tc>
          <w:tcPr>
            <w:tcW w:w="2500" w:type="pct"/>
          </w:tcPr>
          <w:p w:rsidR="00AA5C8C" w:rsidRPr="00A23740" w:rsidRDefault="00AA5C8C" w:rsidP="009A013D">
            <w:pPr>
              <w:widowControl w:val="0"/>
              <w:tabs>
                <w:tab w:val="left" w:pos="567"/>
              </w:tabs>
              <w:rPr>
                <w:b/>
                <w:color w:val="0000FF"/>
                <w:szCs w:val="24"/>
              </w:rPr>
            </w:pPr>
            <w:r w:rsidRPr="00A23740">
              <w:rPr>
                <w:b/>
                <w:color w:val="0000FF"/>
                <w:szCs w:val="24"/>
              </w:rPr>
              <w:t>Pazarlık suretiyle satış</w:t>
            </w:r>
          </w:p>
          <w:p w:rsidR="00AA5C8C" w:rsidRPr="00A23740" w:rsidRDefault="00AA5C8C" w:rsidP="009A013D">
            <w:pPr>
              <w:widowControl w:val="0"/>
              <w:tabs>
                <w:tab w:val="left" w:pos="567"/>
              </w:tabs>
              <w:contextualSpacing/>
              <w:rPr>
                <w:szCs w:val="24"/>
              </w:rPr>
            </w:pPr>
            <w:r w:rsidRPr="00A23740">
              <w:rPr>
                <w:b/>
                <w:color w:val="0000FF"/>
                <w:szCs w:val="24"/>
              </w:rPr>
              <w:t xml:space="preserve">MADDE </w:t>
            </w:r>
            <w:r w:rsidR="00001ABF" w:rsidRPr="00A23740">
              <w:rPr>
                <w:rStyle w:val="MaviChar"/>
              </w:rPr>
              <w:t>360</w:t>
            </w:r>
            <w:r w:rsidRPr="00A23740">
              <w:rPr>
                <w:rStyle w:val="MaviChar"/>
              </w:rPr>
              <w:t>-</w:t>
            </w:r>
            <w:r w:rsidRPr="00A23740">
              <w:rPr>
                <w:b/>
                <w:color w:val="0000FF"/>
                <w:szCs w:val="24"/>
              </w:rPr>
              <w:t xml:space="preserve"> (1) Pazarlık suretiyle satış</w:t>
            </w:r>
            <w:r w:rsidRPr="00A23740">
              <w:rPr>
                <w:rStyle w:val="YELChar"/>
              </w:rPr>
              <w:t xml:space="preserve"> </w:t>
            </w:r>
            <w:r w:rsidRPr="00A23740">
              <w:rPr>
                <w:rStyle w:val="MaviChar"/>
              </w:rPr>
              <w:t>ancak</w:t>
            </w:r>
            <w:r w:rsidRPr="00A23740">
              <w:rPr>
                <w:rStyle w:val="YELChar"/>
              </w:rPr>
              <w:t xml:space="preserve"> </w:t>
            </w:r>
            <w:r w:rsidRPr="00A23740">
              <w:rPr>
                <w:szCs w:val="24"/>
              </w:rPr>
              <w:t xml:space="preserve">alacaklılar </w:t>
            </w:r>
            <w:r w:rsidRPr="00A23740">
              <w:rPr>
                <w:b/>
                <w:color w:val="0000FF"/>
                <w:szCs w:val="24"/>
              </w:rPr>
              <w:t>toplantısında</w:t>
            </w:r>
            <w:r w:rsidR="008420D4" w:rsidRPr="00A23740">
              <w:rPr>
                <w:b/>
                <w:color w:val="0000FF"/>
                <w:szCs w:val="24"/>
              </w:rPr>
              <w:t xml:space="preserve"> </w:t>
            </w:r>
            <w:r w:rsidR="008420D4" w:rsidRPr="00237377">
              <w:rPr>
                <w:rStyle w:val="MaviChar"/>
              </w:rPr>
              <w:t>bu yönde</w:t>
            </w:r>
            <w:r w:rsidRPr="00A23740">
              <w:rPr>
                <w:szCs w:val="24"/>
              </w:rPr>
              <w:t xml:space="preserve"> karar verilmesi </w:t>
            </w:r>
            <w:r w:rsidRPr="00A23740">
              <w:rPr>
                <w:rStyle w:val="MAVChar"/>
                <w:rFonts w:eastAsia="Calibri"/>
                <w:u w:val="none"/>
              </w:rPr>
              <w:t>h</w:t>
            </w:r>
            <w:r w:rsidR="00001ABF" w:rsidRPr="00A23740">
              <w:rPr>
                <w:rStyle w:val="MAVChar"/>
                <w:rFonts w:eastAsia="Calibri"/>
                <w:u w:val="none"/>
              </w:rPr>
              <w:t>â</w:t>
            </w:r>
            <w:r w:rsidRPr="00A23740">
              <w:rPr>
                <w:rStyle w:val="MAVChar"/>
                <w:rFonts w:eastAsia="Calibri"/>
                <w:u w:val="none"/>
              </w:rPr>
              <w:t xml:space="preserve">linde yapılabilir. </w:t>
            </w:r>
            <w:r w:rsidR="00C75821" w:rsidRPr="00A23740">
              <w:rPr>
                <w:rStyle w:val="MAVChar"/>
                <w:rFonts w:eastAsia="Calibri"/>
                <w:u w:val="none"/>
              </w:rPr>
              <w:t>A</w:t>
            </w:r>
            <w:r w:rsidRPr="00A23740">
              <w:rPr>
                <w:rStyle w:val="MAVChar"/>
                <w:rFonts w:eastAsia="Calibri"/>
                <w:u w:val="none"/>
              </w:rPr>
              <w:t xml:space="preserve">lacaklılar toplantısında malın satılabileceği asgari bedel ve satış şartları da belirlenir. </w:t>
            </w:r>
            <w:r w:rsidR="00C75821" w:rsidRPr="00A23740">
              <w:rPr>
                <w:rFonts w:eastAsia="Times New Roman"/>
                <w:szCs w:val="24"/>
                <w:lang w:eastAsia="tr-TR"/>
              </w:rPr>
              <w:t>Ü</w:t>
            </w:r>
            <w:r w:rsidRPr="00A23740">
              <w:rPr>
                <w:rFonts w:eastAsia="Times New Roman"/>
                <w:szCs w:val="24"/>
                <w:lang w:eastAsia="tr-TR"/>
              </w:rPr>
              <w:t xml:space="preserve">zerlerinde rehin hakkı bulunan </w:t>
            </w:r>
            <w:r w:rsidRPr="00A23740">
              <w:rPr>
                <w:rStyle w:val="MAVChar"/>
                <w:rFonts w:eastAsia="Calibri"/>
                <w:u w:val="none"/>
              </w:rPr>
              <w:t>mallar, ilgili rehinli alacaklıların muvafakati olmadıkça o mallarla güvence altına alınmış alacakların toplamından daha düşük bir bedelle satılamaz.</w:t>
            </w:r>
          </w:p>
          <w:p w:rsidR="00AA5C8C" w:rsidRPr="00A23740" w:rsidRDefault="00AA5C8C" w:rsidP="009A013D">
            <w:pPr>
              <w:pStyle w:val="KIRMIZI"/>
              <w:widowControl w:val="0"/>
              <w:rPr>
                <w:strike w:val="0"/>
                <w:lang w:val="tr-TR"/>
              </w:rPr>
            </w:pPr>
          </w:p>
          <w:p w:rsidR="00AA5C8C" w:rsidRPr="00A23740" w:rsidRDefault="00AA5C8C" w:rsidP="009A013D">
            <w:pPr>
              <w:pStyle w:val="Mavi"/>
              <w:widowControl w:val="0"/>
              <w:rPr>
                <w:lang w:val="tr-TR"/>
              </w:rPr>
            </w:pPr>
            <w:r w:rsidRPr="00A23740">
              <w:t>(2) Alacaklılar toplantısının pazarlıkla satışa ilişkin kararı UYAP satış portalında ilan edilir, ilgililere ayrıca tebligat yapılmaz. Alacaklılar toplantısı</w:t>
            </w:r>
            <w:r w:rsidR="00C75821" w:rsidRPr="00A23740">
              <w:rPr>
                <w:lang w:val="tr-TR"/>
              </w:rPr>
              <w:t>,</w:t>
            </w:r>
            <w:r w:rsidRPr="00A23740">
              <w:t xml:space="preserve"> acele h</w:t>
            </w:r>
            <w:r w:rsidR="00C75821" w:rsidRPr="00A23740">
              <w:rPr>
                <w:lang w:val="tr-TR"/>
              </w:rPr>
              <w:t>â</w:t>
            </w:r>
            <w:r w:rsidRPr="00A23740">
              <w:t>llerde pazarlıkla satışın ilan yapılmaksızın gerçekleştirilmesine de karar verebilir.</w:t>
            </w:r>
          </w:p>
          <w:p w:rsidR="00AA5C8C" w:rsidRPr="00A23740" w:rsidRDefault="00AA5C8C" w:rsidP="009A013D">
            <w:pPr>
              <w:pStyle w:val="YEL"/>
              <w:widowControl w:val="0"/>
              <w:rPr>
                <w:lang w:val="tr-TR"/>
              </w:rPr>
            </w:pPr>
          </w:p>
          <w:p w:rsidR="00AA5C8C" w:rsidRPr="00A23740" w:rsidRDefault="00AA5C8C" w:rsidP="009A013D">
            <w:pPr>
              <w:pStyle w:val="Mavi"/>
              <w:widowControl w:val="0"/>
            </w:pPr>
            <w:r w:rsidRPr="00A23740">
              <w:t xml:space="preserve">(3) </w:t>
            </w:r>
            <w:r w:rsidR="00C75821" w:rsidRPr="00A23740">
              <w:rPr>
                <w:lang w:val="tr-TR"/>
              </w:rPr>
              <w:t xml:space="preserve">Değerli madenlere ilişkin 246 ncı </w:t>
            </w:r>
            <w:r w:rsidRPr="00A23740">
              <w:t xml:space="preserve"> maddenin ikinci fıkrası ve </w:t>
            </w:r>
            <w:r w:rsidR="00C11725" w:rsidRPr="00A23740">
              <w:rPr>
                <w:lang w:val="tr-TR"/>
              </w:rPr>
              <w:t xml:space="preserve">358 inci </w:t>
            </w:r>
            <w:r w:rsidRPr="00A23740">
              <w:t xml:space="preserve">maddenin </w:t>
            </w:r>
            <w:r w:rsidR="00C11725" w:rsidRPr="00A23740">
              <w:rPr>
                <w:lang w:val="tr-TR"/>
              </w:rPr>
              <w:t xml:space="preserve">ikinci </w:t>
            </w:r>
            <w:r w:rsidRPr="00A23740">
              <w:t>fıkrası niteliğine uygun düştüğü ölçüde burada da uygulanır. İcra ve iflas</w:t>
            </w:r>
            <w:r w:rsidRPr="00A23740">
              <w:rPr>
                <w:b w:val="0"/>
                <w:lang w:val="tr-TR"/>
              </w:rPr>
              <w:t xml:space="preserve"> </w:t>
            </w:r>
            <w:r w:rsidRPr="00A23740">
              <w:t>dairesine ait görevler iflas idaresi tarafından yerine getirilir.</w:t>
            </w:r>
          </w:p>
          <w:p w:rsidR="00AA5C8C" w:rsidRPr="00A23740" w:rsidRDefault="00AA5C8C" w:rsidP="009A013D">
            <w:pPr>
              <w:pStyle w:val="Mavi"/>
              <w:widowControl w:val="0"/>
            </w:pPr>
          </w:p>
          <w:p w:rsidR="00AA5C8C" w:rsidRPr="00A23740" w:rsidRDefault="00AA5C8C" w:rsidP="009A013D">
            <w:pPr>
              <w:pStyle w:val="Mavi"/>
              <w:widowControl w:val="0"/>
            </w:pPr>
            <w:r w:rsidRPr="00A23740">
              <w:t>(4) Pazarlık suretiyle satışın usul ve esasları, Adale</w:t>
            </w:r>
            <w:r w:rsidR="00C75821" w:rsidRPr="00A23740">
              <w:t>t Bakanlığı tarafından çıkarılacak</w:t>
            </w:r>
            <w:r w:rsidR="00C11725" w:rsidRPr="00A23740">
              <w:t xml:space="preserve"> yönetmelikl</w:t>
            </w:r>
            <w:r w:rsidRPr="00A23740">
              <w:t>e düzenlenir.</w:t>
            </w:r>
          </w:p>
          <w:p w:rsidR="002C79FC" w:rsidRPr="00A23740" w:rsidRDefault="002C79FC" w:rsidP="009A013D">
            <w:pPr>
              <w:pStyle w:val="Mavi"/>
              <w:widowControl w:val="0"/>
              <w:rPr>
                <w:b w:val="0"/>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44A13" w:rsidRPr="00A23740" w:rsidRDefault="00844A13" w:rsidP="009431FF">
            <w:pPr>
              <w:ind w:firstLine="709"/>
              <w:rPr>
                <w:b/>
                <w:szCs w:val="24"/>
              </w:rPr>
            </w:pPr>
          </w:p>
          <w:p w:rsidR="00D179F1" w:rsidRPr="00A23740" w:rsidRDefault="009B1DBC" w:rsidP="009431FF">
            <w:pPr>
              <w:ind w:firstLine="709"/>
              <w:rPr>
                <w:szCs w:val="24"/>
              </w:rPr>
            </w:pPr>
            <w:r w:rsidRPr="00A23740">
              <w:rPr>
                <w:b/>
                <w:szCs w:val="24"/>
              </w:rPr>
              <w:t>MADDE</w:t>
            </w:r>
            <w:r w:rsidR="00A47DFA" w:rsidRPr="00A23740">
              <w:rPr>
                <w:b/>
                <w:szCs w:val="24"/>
              </w:rPr>
              <w:t xml:space="preserve"> 360</w:t>
            </w:r>
            <w:r w:rsidR="00844A13" w:rsidRPr="00A23740">
              <w:rPr>
                <w:b/>
                <w:szCs w:val="24"/>
              </w:rPr>
              <w:t>-</w:t>
            </w:r>
            <w:r w:rsidR="00844A13" w:rsidRPr="00A23740">
              <w:rPr>
                <w:szCs w:val="24"/>
              </w:rPr>
              <w:t xml:space="preserve"> Maddeyle, iflas masasına d</w:t>
            </w:r>
            <w:r w:rsidR="00C11725" w:rsidRPr="00A23740">
              <w:rPr>
                <w:szCs w:val="24"/>
              </w:rPr>
              <w:t>â</w:t>
            </w:r>
            <w:r w:rsidR="00844A13" w:rsidRPr="00A23740">
              <w:rPr>
                <w:szCs w:val="24"/>
              </w:rPr>
              <w:t xml:space="preserve">hil olan malların pazarlık suretiyle satışı düzenlenmektedir. Madde, 2004 sayılı Kanunun 241 inci maddesine kısmen karşılık gelmektedir. </w:t>
            </w:r>
          </w:p>
          <w:p w:rsidR="00D179F1" w:rsidRPr="00A23740" w:rsidRDefault="00D179F1" w:rsidP="009431FF">
            <w:pPr>
              <w:ind w:firstLine="709"/>
              <w:rPr>
                <w:szCs w:val="24"/>
              </w:rPr>
            </w:pPr>
            <w:r w:rsidRPr="00A23740">
              <w:rPr>
                <w:szCs w:val="24"/>
              </w:rPr>
              <w:t>Maddenin ilk fıkrasında, pazarlık suretiyle satışın hangi h</w:t>
            </w:r>
            <w:r w:rsidR="00C11725" w:rsidRPr="00A23740">
              <w:rPr>
                <w:szCs w:val="24"/>
              </w:rPr>
              <w:t>â</w:t>
            </w:r>
            <w:r w:rsidRPr="00A23740">
              <w:rPr>
                <w:szCs w:val="24"/>
              </w:rPr>
              <w:t>lde uygulanacağı düzenlenmektedir. Buna göre pazarlık suretiyle satış, ancak alacaklılar toplantısında karar verilmesi h</w:t>
            </w:r>
            <w:r w:rsidR="00C11725" w:rsidRPr="00A23740">
              <w:rPr>
                <w:szCs w:val="24"/>
              </w:rPr>
              <w:t>â</w:t>
            </w:r>
            <w:r w:rsidRPr="00A23740">
              <w:rPr>
                <w:szCs w:val="24"/>
              </w:rPr>
              <w:t xml:space="preserve">linde yapılabilecektir. Alacaklılar toplantısında böyle bir karar alınması durumunda, yine alacaklılar toplantısında malın satılabileceği asgari bedel ve satış şartları da belirlenecektir. </w:t>
            </w:r>
            <w:r w:rsidR="00C11725" w:rsidRPr="00237377">
              <w:t>R</w:t>
            </w:r>
            <w:r w:rsidRPr="00237377">
              <w:t>e</w:t>
            </w:r>
            <w:r w:rsidRPr="00A23740">
              <w:rPr>
                <w:szCs w:val="24"/>
              </w:rPr>
              <w:t>hinli mallar bakımından özel bir şarta yer verilmektedir. Şöyle ki</w:t>
            </w:r>
            <w:r w:rsidR="0029455E" w:rsidRPr="00A23740">
              <w:rPr>
                <w:szCs w:val="24"/>
              </w:rPr>
              <w:t>,</w:t>
            </w:r>
            <w:r w:rsidRPr="00A23740">
              <w:rPr>
                <w:szCs w:val="24"/>
              </w:rPr>
              <w:t xml:space="preserve"> üzerinde rehin hakkı bulunan mallar, ilgili rehinli alacaklıların muvafakati olmadıkça, o mallarla güvence altına alınmış alacakların toplamından daha düşük bir bedelle satılamayacaktır. </w:t>
            </w:r>
          </w:p>
          <w:p w:rsidR="00D179F1" w:rsidRPr="00A23740" w:rsidRDefault="00D179F1" w:rsidP="009431FF">
            <w:pPr>
              <w:ind w:firstLine="709"/>
              <w:rPr>
                <w:szCs w:val="24"/>
              </w:rPr>
            </w:pPr>
            <w:r w:rsidRPr="00A23740">
              <w:rPr>
                <w:szCs w:val="24"/>
              </w:rPr>
              <w:t>Maddenin ikinci fıkrasına göre, alacaklılar toplantısında alınan pazarlıkla satışa ilişkin karar, UYAP satış portalında ilan edilecek olup, ilgililere ayrıca tebligat yapılm</w:t>
            </w:r>
            <w:r w:rsidR="00C11725" w:rsidRPr="00237377">
              <w:t>a</w:t>
            </w:r>
            <w:r w:rsidRPr="00237377">
              <w:t>y</w:t>
            </w:r>
            <w:r w:rsidRPr="00A23740">
              <w:rPr>
                <w:szCs w:val="24"/>
              </w:rPr>
              <w:t>acaktır. Bununla birlikte alacaklılar toplantısı, acele h</w:t>
            </w:r>
            <w:r w:rsidR="00C11725" w:rsidRPr="00A23740">
              <w:rPr>
                <w:szCs w:val="24"/>
              </w:rPr>
              <w:t>â</w:t>
            </w:r>
            <w:r w:rsidRPr="00A23740">
              <w:rPr>
                <w:szCs w:val="24"/>
              </w:rPr>
              <w:t xml:space="preserve">llerde, pazarlıkla satışın ilan yapılmaksızın gerçekleştirilmesine de karar verebilecektir. </w:t>
            </w:r>
          </w:p>
          <w:p w:rsidR="00D179F1" w:rsidRPr="00A23740" w:rsidRDefault="00D179F1" w:rsidP="009431FF">
            <w:pPr>
              <w:ind w:firstLine="709"/>
              <w:rPr>
                <w:szCs w:val="24"/>
              </w:rPr>
            </w:pPr>
            <w:r w:rsidRPr="00A23740">
              <w:rPr>
                <w:szCs w:val="24"/>
              </w:rPr>
              <w:t xml:space="preserve">Maddenin üçüncü fıkrasında, </w:t>
            </w:r>
            <w:r w:rsidR="00C11725" w:rsidRPr="00237377">
              <w:t>Taslağın</w:t>
            </w:r>
            <w:r w:rsidR="00C11725" w:rsidRPr="00A23740">
              <w:rPr>
                <w:szCs w:val="24"/>
              </w:rPr>
              <w:t xml:space="preserve"> </w:t>
            </w:r>
            <w:r w:rsidR="00C11725" w:rsidRPr="00237377">
              <w:t>246 ncı</w:t>
            </w:r>
            <w:r w:rsidR="00E06008" w:rsidRPr="00A23740">
              <w:rPr>
                <w:rStyle w:val="Balk1Char"/>
                <w:rFonts w:eastAsia="Calibri"/>
              </w:rPr>
              <w:t xml:space="preserve"> </w:t>
            </w:r>
            <w:r w:rsidR="00C11725" w:rsidRPr="00237377">
              <w:t>maddesinin</w:t>
            </w:r>
            <w:r w:rsidR="00C11725" w:rsidRPr="00A23740">
              <w:rPr>
                <w:szCs w:val="24"/>
              </w:rPr>
              <w:t xml:space="preserve"> </w:t>
            </w:r>
            <w:r w:rsidRPr="00A23740">
              <w:rPr>
                <w:szCs w:val="24"/>
              </w:rPr>
              <w:t xml:space="preserve">ikinci fıkrası ile </w:t>
            </w:r>
            <w:r w:rsidR="00C11725" w:rsidRPr="00237377">
              <w:t>358 inci</w:t>
            </w:r>
            <w:r w:rsidR="00E06008" w:rsidRPr="00A23740">
              <w:rPr>
                <w:rStyle w:val="Balk1Char"/>
                <w:rFonts w:eastAsia="Calibri"/>
              </w:rPr>
              <w:t xml:space="preserve"> </w:t>
            </w:r>
            <w:r w:rsidR="00C11725" w:rsidRPr="00237377">
              <w:t>maddesinin</w:t>
            </w:r>
            <w:r w:rsidR="00C11725" w:rsidRPr="00A23740">
              <w:rPr>
                <w:szCs w:val="24"/>
              </w:rPr>
              <w:t xml:space="preserve"> </w:t>
            </w:r>
            <w:r w:rsidR="00C11725" w:rsidRPr="00237377">
              <w:t>ikinci</w:t>
            </w:r>
            <w:r w:rsidR="00C11725" w:rsidRPr="00A23740">
              <w:rPr>
                <w:szCs w:val="24"/>
              </w:rPr>
              <w:t xml:space="preserve"> </w:t>
            </w:r>
            <w:r w:rsidRPr="00A23740">
              <w:rPr>
                <w:szCs w:val="24"/>
              </w:rPr>
              <w:t xml:space="preserve">fıkrasının </w:t>
            </w:r>
            <w:r w:rsidR="00C11725" w:rsidRPr="00237377">
              <w:t>somut olayın özelliklerine</w:t>
            </w:r>
            <w:r w:rsidR="00C11725" w:rsidRPr="00A23740">
              <w:rPr>
                <w:szCs w:val="24"/>
              </w:rPr>
              <w:t xml:space="preserve"> </w:t>
            </w:r>
            <w:r w:rsidRPr="00A23740">
              <w:rPr>
                <w:szCs w:val="24"/>
              </w:rPr>
              <w:t xml:space="preserve">uygun düştüğü ölçüde burada da uygulanacağı belirtilmektedir. </w:t>
            </w:r>
            <w:r w:rsidR="00C11725" w:rsidRPr="00237377">
              <w:t>Öte yandan</w:t>
            </w:r>
            <w:r w:rsidR="00C11725" w:rsidRPr="00A23740">
              <w:rPr>
                <w:szCs w:val="24"/>
              </w:rPr>
              <w:t xml:space="preserve"> </w:t>
            </w:r>
            <w:r w:rsidRPr="00A23740">
              <w:rPr>
                <w:szCs w:val="24"/>
              </w:rPr>
              <w:t xml:space="preserve">icra ve iflas dairesine ait görevler, iflas idaresi tarafından yerine getirilecektir. </w:t>
            </w:r>
          </w:p>
          <w:p w:rsidR="00AA5C8C" w:rsidRPr="009A013D" w:rsidRDefault="00844A13" w:rsidP="009A013D">
            <w:pPr>
              <w:ind w:firstLine="709"/>
              <w:rPr>
                <w:szCs w:val="24"/>
              </w:rPr>
            </w:pPr>
            <w:r w:rsidRPr="00A23740">
              <w:rPr>
                <w:szCs w:val="24"/>
              </w:rPr>
              <w:t xml:space="preserve">Dördüncü fıkraya göre, pazarlık </w:t>
            </w:r>
            <w:r w:rsidR="00D179F1" w:rsidRPr="00A23740">
              <w:rPr>
                <w:szCs w:val="24"/>
              </w:rPr>
              <w:t>suretiyle satışın usul ve esasları, Adal</w:t>
            </w:r>
            <w:r w:rsidR="00C11725" w:rsidRPr="00A23740">
              <w:rPr>
                <w:szCs w:val="24"/>
              </w:rPr>
              <w:t>et Bakanlığı tarafından çıkarılacak yönetmelikl</w:t>
            </w:r>
            <w:r w:rsidR="00D179F1" w:rsidRPr="00A23740">
              <w:rPr>
                <w:szCs w:val="24"/>
              </w:rPr>
              <w:t>e düzenlenecektir.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contextualSpacing/>
              <w:rPr>
                <w:b/>
                <w:strike/>
                <w:color w:val="FF0000"/>
                <w:szCs w:val="24"/>
              </w:rPr>
            </w:pPr>
          </w:p>
        </w:tc>
        <w:tc>
          <w:tcPr>
            <w:tcW w:w="2500" w:type="pct"/>
          </w:tcPr>
          <w:p w:rsidR="00AA5C8C" w:rsidRPr="00A23740" w:rsidRDefault="00AA5C8C" w:rsidP="009431FF">
            <w:pPr>
              <w:pStyle w:val="Mavi"/>
            </w:pPr>
            <w:r w:rsidRPr="00A23740">
              <w:t>Pazarlık suretiyle satışın sonuçları</w:t>
            </w:r>
          </w:p>
          <w:p w:rsidR="0019557A" w:rsidRPr="00A23740" w:rsidRDefault="00AA5C8C" w:rsidP="009431FF">
            <w:pPr>
              <w:tabs>
                <w:tab w:val="left" w:pos="567"/>
              </w:tabs>
              <w:rPr>
                <w:b/>
                <w:color w:val="0000FF"/>
                <w:szCs w:val="24"/>
              </w:rPr>
            </w:pPr>
            <w:r w:rsidRPr="00A23740">
              <w:rPr>
                <w:b/>
                <w:color w:val="0000FF"/>
                <w:szCs w:val="24"/>
              </w:rPr>
              <w:t xml:space="preserve">MADDE </w:t>
            </w:r>
            <w:r w:rsidR="00A47DFA" w:rsidRPr="00A23740">
              <w:rPr>
                <w:b/>
                <w:color w:val="0000FF"/>
                <w:szCs w:val="24"/>
              </w:rPr>
              <w:t>361</w:t>
            </w:r>
            <w:r w:rsidRPr="00A23740">
              <w:rPr>
                <w:b/>
                <w:color w:val="0000FF"/>
                <w:szCs w:val="24"/>
              </w:rPr>
              <w:t xml:space="preserve">- (1) Pazarlık suretiyle satışlarda </w:t>
            </w:r>
            <w:r w:rsidR="0019557A" w:rsidRPr="00A23740">
              <w:rPr>
                <w:b/>
                <w:color w:val="0000FF"/>
                <w:szCs w:val="24"/>
              </w:rPr>
              <w:t xml:space="preserve">taşınır, </w:t>
            </w:r>
            <w:r w:rsidRPr="00A23740">
              <w:rPr>
                <w:b/>
                <w:color w:val="0000FF"/>
                <w:szCs w:val="24"/>
              </w:rPr>
              <w:t xml:space="preserve">satışın </w:t>
            </w:r>
            <w:r w:rsidRPr="00A23740">
              <w:rPr>
                <w:rStyle w:val="MaviChar"/>
              </w:rPr>
              <w:t>tamamlandığının</w:t>
            </w:r>
            <w:r w:rsidRPr="00A23740">
              <w:rPr>
                <w:b/>
                <w:color w:val="0000FF"/>
                <w:szCs w:val="24"/>
              </w:rPr>
              <w:t xml:space="preserve"> UYAP portalında ilanından itibaren bir hafta </w:t>
            </w:r>
            <w:r w:rsidR="0019557A" w:rsidRPr="00A23740">
              <w:rPr>
                <w:b/>
                <w:color w:val="0000FF"/>
                <w:szCs w:val="24"/>
              </w:rPr>
              <w:t xml:space="preserve">içinde </w:t>
            </w:r>
            <w:r w:rsidRPr="00A23740">
              <w:rPr>
                <w:b/>
                <w:color w:val="0000FF"/>
                <w:szCs w:val="24"/>
              </w:rPr>
              <w:t>satışın iptali talep edilmemişse</w:t>
            </w:r>
            <w:r w:rsidR="0019557A" w:rsidRPr="00A23740">
              <w:rPr>
                <w:b/>
                <w:color w:val="0000FF"/>
                <w:szCs w:val="24"/>
              </w:rPr>
              <w:t xml:space="preserve"> teslim edilir.</w:t>
            </w:r>
            <w:r w:rsidR="00E83BBF" w:rsidRPr="00A23740">
              <w:rPr>
                <w:b/>
                <w:color w:val="0000FF"/>
                <w:szCs w:val="24"/>
              </w:rPr>
              <w:t xml:space="preserve"> Taşınır mallarda mülkiyet</w:t>
            </w:r>
            <w:r w:rsidR="00E83BBF" w:rsidRPr="00A23740">
              <w:rPr>
                <w:rStyle w:val="MaviChar"/>
              </w:rPr>
              <w:t xml:space="preserve">, </w:t>
            </w:r>
            <w:r w:rsidR="00E83BBF" w:rsidRPr="00A23740">
              <w:rPr>
                <w:b/>
                <w:color w:val="0000FF"/>
                <w:szCs w:val="24"/>
              </w:rPr>
              <w:t>teslim ile alıcıya geçer.</w:t>
            </w:r>
            <w:r w:rsidRPr="00A23740">
              <w:rPr>
                <w:b/>
                <w:color w:val="0000FF"/>
                <w:szCs w:val="24"/>
              </w:rPr>
              <w:t xml:space="preserve"> </w:t>
            </w:r>
            <w:r w:rsidR="0019557A" w:rsidRPr="00A23740">
              <w:rPr>
                <w:b/>
                <w:color w:val="0000FF"/>
                <w:szCs w:val="24"/>
              </w:rPr>
              <w:t>P</w:t>
            </w:r>
            <w:r w:rsidRPr="00A23740">
              <w:rPr>
                <w:b/>
                <w:color w:val="0000FF"/>
                <w:szCs w:val="24"/>
              </w:rPr>
              <w:t>azarlık suretiyle satışın iptali talep edilmişse, bu durum iptal talebine bakan iflas mahkemesi tarafından tensip tutanağıyla birlikte iflas idaresine ve iflas dairesine hemen bildirilir. Satış kesinleşene kadar satış bedeli</w:t>
            </w:r>
            <w:r w:rsidR="0019557A" w:rsidRPr="00A23740">
              <w:rPr>
                <w:b/>
                <w:color w:val="0000FF"/>
                <w:szCs w:val="24"/>
              </w:rPr>
              <w:t>,</w:t>
            </w:r>
            <w:r w:rsidRPr="00A23740">
              <w:rPr>
                <w:b/>
                <w:color w:val="0000FF"/>
                <w:szCs w:val="24"/>
              </w:rPr>
              <w:t xml:space="preserve"> iflas alacaklılarına ödenemeyeceği gibi bu bedelden herhangi bir harcama da yapılamaz ve </w:t>
            </w:r>
            <w:r w:rsidR="0019557A" w:rsidRPr="00A23740">
              <w:rPr>
                <w:b/>
                <w:color w:val="0000FF"/>
                <w:szCs w:val="24"/>
              </w:rPr>
              <w:t xml:space="preserve">para </w:t>
            </w:r>
            <w:r w:rsidRPr="00A23740">
              <w:rPr>
                <w:b/>
                <w:color w:val="0000FF"/>
                <w:szCs w:val="24"/>
              </w:rPr>
              <w:t xml:space="preserve">bankada nemalandırılır. </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rStyle w:val="MaviChar"/>
              </w:rPr>
            </w:pPr>
            <w:r w:rsidRPr="00A23740">
              <w:rPr>
                <w:b/>
                <w:color w:val="0000FF"/>
                <w:szCs w:val="24"/>
              </w:rPr>
              <w:t xml:space="preserve">(2) </w:t>
            </w:r>
            <w:r w:rsidRPr="00A23740">
              <w:rPr>
                <w:rStyle w:val="MaviChar"/>
              </w:rPr>
              <w:t>İflas dairesi,</w:t>
            </w:r>
            <w:r w:rsidRPr="00A23740">
              <w:rPr>
                <w:b/>
                <w:color w:val="0000FF"/>
                <w:szCs w:val="24"/>
              </w:rPr>
              <w:t xml:space="preserve"> iflas idaresinin talebi üzerine yapılacak </w:t>
            </w:r>
            <w:r w:rsidR="008420D4" w:rsidRPr="00237377">
              <w:rPr>
                <w:rStyle w:val="MaviChar"/>
              </w:rPr>
              <w:t>inceleme</w:t>
            </w:r>
            <w:r w:rsidR="00EF3A5E" w:rsidRPr="00237377">
              <w:rPr>
                <w:rStyle w:val="MaviChar"/>
              </w:rPr>
              <w:t>yle</w:t>
            </w:r>
            <w:r w:rsidRPr="00A23740">
              <w:rPr>
                <w:b/>
                <w:color w:val="0000FF"/>
                <w:szCs w:val="24"/>
              </w:rPr>
              <w:t xml:space="preserve"> </w:t>
            </w:r>
            <w:r w:rsidRPr="00A23740">
              <w:rPr>
                <w:rStyle w:val="MaviChar"/>
              </w:rPr>
              <w:t>satışın alacaklılar toplantısında alınan karara uygun olarak yapıldığını ve</w:t>
            </w:r>
            <w:r w:rsidRPr="00A23740">
              <w:rPr>
                <w:b/>
                <w:color w:val="0000FF"/>
                <w:szCs w:val="24"/>
              </w:rPr>
              <w:t xml:space="preserve"> </w:t>
            </w:r>
            <w:r w:rsidRPr="00A23740">
              <w:rPr>
                <w:rStyle w:val="MaviChar"/>
              </w:rPr>
              <w:t>bedelinin ödendiğini tespit ederse, tescilin alıcı adına gerçekleştirilmesini tapu siciline bildirir; bu bildirim üzerine yapılan tesci</w:t>
            </w:r>
            <w:r w:rsidRPr="00237377">
              <w:rPr>
                <w:rStyle w:val="MaviChar"/>
              </w:rPr>
              <w:t>l</w:t>
            </w:r>
            <w:r w:rsidR="00EF3A5E" w:rsidRPr="00237377">
              <w:rPr>
                <w:rStyle w:val="MaviChar"/>
              </w:rPr>
              <w:t>le</w:t>
            </w:r>
            <w:r w:rsidRPr="00A23740">
              <w:rPr>
                <w:rStyle w:val="MaviChar"/>
              </w:rPr>
              <w:t xml:space="preserve"> mülkiyet alıcıya geçer. Söz konusu bildirim </w:t>
            </w:r>
            <w:r w:rsidR="00EF3A5E" w:rsidRPr="00237377">
              <w:rPr>
                <w:rStyle w:val="MaviChar"/>
              </w:rPr>
              <w:t>ancak</w:t>
            </w:r>
            <w:r w:rsidR="00EF3A5E" w:rsidRPr="00A23740">
              <w:rPr>
                <w:rStyle w:val="MaviChar"/>
                <w:lang w:val="tr-TR"/>
              </w:rPr>
              <w:t xml:space="preserve"> </w:t>
            </w:r>
            <w:r w:rsidRPr="00A23740">
              <w:rPr>
                <w:rStyle w:val="MaviChar"/>
              </w:rPr>
              <w:t xml:space="preserve">pazarlık suretiyle satışın tamamlandığının UYAP portalında ilanından itibaren bir hafta </w:t>
            </w:r>
            <w:r w:rsidR="00E83BBF" w:rsidRPr="00A23740">
              <w:rPr>
                <w:rStyle w:val="MaviChar"/>
                <w:lang w:val="tr-TR"/>
              </w:rPr>
              <w:t xml:space="preserve">içinde </w:t>
            </w:r>
            <w:r w:rsidRPr="00A23740">
              <w:rPr>
                <w:b/>
                <w:color w:val="0000FF"/>
                <w:szCs w:val="24"/>
              </w:rPr>
              <w:t xml:space="preserve">satışın iptali talep edilmemişse yapılır. Bir haftalık süre içinde pazarlık suretiyle satışın iptali talep edilmişse, bu durum iptal talebine </w:t>
            </w:r>
            <w:r w:rsidRPr="00A23740">
              <w:rPr>
                <w:rStyle w:val="MaviChar"/>
              </w:rPr>
              <w:t>bakan iflas mahkemesi tarafından tensip tutanağıyla birlikte hemen tapu siciline şerh ettirilir. Satış kesinleşene kadar satış bedeli iflas alacaklılarına ödenemeyeceği gibi</w:t>
            </w:r>
            <w:r w:rsidR="00EF3A5E" w:rsidRPr="00C00F6E">
              <w:rPr>
                <w:rStyle w:val="Balk1Char"/>
                <w:rFonts w:eastAsia="Calibri"/>
              </w:rPr>
              <w:t>,</w:t>
            </w:r>
            <w:r w:rsidRPr="00A23740">
              <w:rPr>
                <w:rStyle w:val="MaviChar"/>
              </w:rPr>
              <w:t xml:space="preserve"> bu bedelden herhangi bir </w:t>
            </w:r>
            <w:r w:rsidR="00EF3A5E" w:rsidRPr="00237377">
              <w:rPr>
                <w:rStyle w:val="MaviChar"/>
              </w:rPr>
              <w:t>başka</w:t>
            </w:r>
            <w:r w:rsidR="00EF3A5E" w:rsidRPr="00A23740">
              <w:rPr>
                <w:rStyle w:val="MaviChar"/>
                <w:lang w:val="tr-TR"/>
              </w:rPr>
              <w:t xml:space="preserve"> </w:t>
            </w:r>
            <w:r w:rsidRPr="00A23740">
              <w:rPr>
                <w:rStyle w:val="MaviChar"/>
              </w:rPr>
              <w:t xml:space="preserve">harcama da yapılamaz ve </w:t>
            </w:r>
            <w:r w:rsidR="00E83BBF" w:rsidRPr="00A23740">
              <w:rPr>
                <w:rStyle w:val="MaviChar"/>
                <w:lang w:val="tr-TR"/>
              </w:rPr>
              <w:t xml:space="preserve">para </w:t>
            </w:r>
            <w:r w:rsidRPr="00A23740">
              <w:rPr>
                <w:rStyle w:val="MaviChar"/>
              </w:rPr>
              <w:t>bankada nemalandırılır. Sicile kayıtlı diğer mal ve haklar bakımından da bu fıkra hükümleri uygulanır.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szCs w:val="24"/>
              </w:rPr>
            </w:pPr>
            <w:r w:rsidRPr="00A23740">
              <w:rPr>
                <w:b/>
                <w:color w:val="0000FF"/>
                <w:szCs w:val="24"/>
              </w:rPr>
              <w:t>(3) Pazarlık suretiyle satışta satış bedeli peşin ödenir.  Bunun için alıcıya bir süre verilmez.</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b/>
                <w:color w:val="0000FF"/>
              </w:rPr>
            </w:pPr>
            <w:r w:rsidRPr="00A23740">
              <w:rPr>
                <w:b/>
                <w:color w:val="0000FF"/>
                <w:szCs w:val="24"/>
              </w:rPr>
              <w:t xml:space="preserve">(4) </w:t>
            </w:r>
            <w:r w:rsidRPr="00A23740">
              <w:rPr>
                <w:rStyle w:val="MaviChar"/>
              </w:rPr>
              <w:t xml:space="preserve">İlgililer, pazarlık suretiyle satışın tamamlandığının UYAP portalında </w:t>
            </w:r>
            <w:r w:rsidR="00E83BBF" w:rsidRPr="00A23740">
              <w:rPr>
                <w:rStyle w:val="MaviChar"/>
                <w:lang w:val="tr-TR"/>
              </w:rPr>
              <w:t xml:space="preserve">ilanından </w:t>
            </w:r>
            <w:r w:rsidRPr="00A23740">
              <w:rPr>
                <w:rStyle w:val="MaviChar"/>
              </w:rPr>
              <w:t>itibaren bir hafta içinde, şik</w:t>
            </w:r>
            <w:r w:rsidR="00E83BBF" w:rsidRPr="00A23740">
              <w:rPr>
                <w:rStyle w:val="MaviChar"/>
                <w:lang w:val="tr-TR"/>
              </w:rPr>
              <w:t>â</w:t>
            </w:r>
            <w:r w:rsidRPr="00A23740">
              <w:rPr>
                <w:rStyle w:val="MaviChar"/>
              </w:rPr>
              <w:t>yet yoluyla, iflas mahkemesinden satışın</w:t>
            </w:r>
            <w:r w:rsidRPr="00A23740">
              <w:rPr>
                <w:b/>
                <w:color w:val="0000FF"/>
                <w:szCs w:val="24"/>
              </w:rPr>
              <w:t xml:space="preserve"> iptalini isteyebilirler.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844A13" w:rsidRPr="00A23740" w:rsidRDefault="00844A13" w:rsidP="009431FF">
            <w:pPr>
              <w:ind w:firstLine="709"/>
              <w:rPr>
                <w:b/>
                <w:szCs w:val="24"/>
              </w:rPr>
            </w:pPr>
          </w:p>
          <w:p w:rsidR="00C00EB1" w:rsidRPr="00A23740" w:rsidRDefault="00C00EB1" w:rsidP="009431FF">
            <w:pPr>
              <w:ind w:firstLine="709"/>
              <w:rPr>
                <w:szCs w:val="24"/>
              </w:rPr>
            </w:pPr>
            <w:r w:rsidRPr="00A23740">
              <w:rPr>
                <w:b/>
                <w:szCs w:val="24"/>
              </w:rPr>
              <w:t xml:space="preserve">MADDE </w:t>
            </w:r>
            <w:r w:rsidR="00AE014C" w:rsidRPr="00A23740">
              <w:rPr>
                <w:b/>
                <w:color w:val="000000"/>
                <w:szCs w:val="24"/>
              </w:rPr>
              <w:t>361</w:t>
            </w:r>
            <w:r w:rsidRPr="00A23740">
              <w:rPr>
                <w:b/>
                <w:szCs w:val="24"/>
              </w:rPr>
              <w:t>-</w:t>
            </w:r>
            <w:r w:rsidRPr="00A23740">
              <w:rPr>
                <w:szCs w:val="24"/>
              </w:rPr>
              <w:t xml:space="preserve"> Maddeyle</w:t>
            </w:r>
            <w:r w:rsidR="00B95505" w:rsidRPr="00A23740">
              <w:rPr>
                <w:szCs w:val="24"/>
              </w:rPr>
              <w:t>,</w:t>
            </w:r>
            <w:r w:rsidRPr="00A23740">
              <w:rPr>
                <w:szCs w:val="24"/>
              </w:rPr>
              <w:t xml:space="preserve"> </w:t>
            </w:r>
            <w:r w:rsidR="00844A13" w:rsidRPr="00A23740">
              <w:rPr>
                <w:szCs w:val="24"/>
              </w:rPr>
              <w:t>pazarlık suretiyle satı</w:t>
            </w:r>
            <w:r w:rsidR="00AE014C" w:rsidRPr="00A23740">
              <w:rPr>
                <w:szCs w:val="24"/>
              </w:rPr>
              <w:t>şın sonuçları düzenlenmektedir.</w:t>
            </w:r>
          </w:p>
          <w:p w:rsidR="00D179F1" w:rsidRPr="00A23740" w:rsidRDefault="00D179F1" w:rsidP="009431FF">
            <w:pPr>
              <w:ind w:firstLine="709"/>
              <w:rPr>
                <w:szCs w:val="24"/>
              </w:rPr>
            </w:pPr>
            <w:r w:rsidRPr="00A23740">
              <w:rPr>
                <w:szCs w:val="24"/>
              </w:rPr>
              <w:t>Maddenin birinci fıkrasında, pazarlık suretiyle satılan bir taşınır malın teslimine ilişkin esaslara yer verilmektedir. Buna göre pazarlık suretiyle satılan bir taşınır, pazarlık suretiyle satışın tamamlandığının UYAP portalında ilanından itibaren bir hafta geçtikten sonra ve bu süre içinde pazarlık suretiyle satışın iptali talep edilmemişse</w:t>
            </w:r>
            <w:r w:rsidR="0029455E" w:rsidRPr="00A23740">
              <w:rPr>
                <w:szCs w:val="24"/>
              </w:rPr>
              <w:t>,</w:t>
            </w:r>
            <w:r w:rsidRPr="00A23740">
              <w:rPr>
                <w:szCs w:val="24"/>
              </w:rPr>
              <w:t xml:space="preserve"> alıcıya </w:t>
            </w:r>
            <w:r w:rsidR="0029455E" w:rsidRPr="00A23740">
              <w:rPr>
                <w:szCs w:val="24"/>
              </w:rPr>
              <w:t xml:space="preserve">(ihale alıcısına) </w:t>
            </w:r>
            <w:r w:rsidRPr="00A23740">
              <w:rPr>
                <w:szCs w:val="24"/>
              </w:rPr>
              <w:t xml:space="preserve">teslim edilecektir. </w:t>
            </w:r>
            <w:r w:rsidR="00E83BBF" w:rsidRPr="00A23740">
              <w:rPr>
                <w:szCs w:val="24"/>
              </w:rPr>
              <w:t xml:space="preserve">Taşınır mallarda mülkiyet, teslim ile alıcıya geçecektir. </w:t>
            </w:r>
            <w:r w:rsidRPr="00A23740">
              <w:rPr>
                <w:szCs w:val="24"/>
              </w:rPr>
              <w:t>Bir haftalık süre içinde pazarlık suretiyle satışın iptalinin talep edilmesi hâlinde, bu husus, iptal talebine bakan iflas mahkemesi tarafından tensip tutanağıyla birlikte iflas idaresine ve iflas dairesine hemen bildirilecektir. Bu ihtimalde</w:t>
            </w:r>
            <w:r w:rsidR="00AE014C" w:rsidRPr="00A23740">
              <w:rPr>
                <w:szCs w:val="24"/>
              </w:rPr>
              <w:t xml:space="preserve"> </w:t>
            </w:r>
            <w:r w:rsidR="00AE014C" w:rsidRPr="00237377">
              <w:t>taşınır alıcıya teslim edilmeyecek,</w:t>
            </w:r>
            <w:r w:rsidR="00AE014C" w:rsidRPr="00A23740">
              <w:rPr>
                <w:szCs w:val="24"/>
              </w:rPr>
              <w:t xml:space="preserve"> </w:t>
            </w:r>
            <w:r w:rsidRPr="00A23740">
              <w:rPr>
                <w:szCs w:val="24"/>
              </w:rPr>
              <w:t xml:space="preserve">satış kesinleşinceye kadar satış bedeli iflas alacaklılarına ödenmeyecek ve bu bedelden başka herhangi bir harcama da yapılamayacaktır. Ayrıca söz konusu </w:t>
            </w:r>
            <w:r w:rsidR="00E83BBF" w:rsidRPr="00237377">
              <w:t>para</w:t>
            </w:r>
            <w:r w:rsidR="00E83BBF" w:rsidRPr="00A23740">
              <w:rPr>
                <w:szCs w:val="24"/>
              </w:rPr>
              <w:t xml:space="preserve"> </w:t>
            </w:r>
            <w:r w:rsidR="00AE014C" w:rsidRPr="00A23740">
              <w:rPr>
                <w:szCs w:val="24"/>
              </w:rPr>
              <w:t>bankada nemalandırılacaktır.</w:t>
            </w:r>
          </w:p>
          <w:p w:rsidR="00D179F1" w:rsidRPr="00A23740" w:rsidRDefault="00D179F1" w:rsidP="009431FF">
            <w:pPr>
              <w:ind w:firstLine="709"/>
              <w:rPr>
                <w:szCs w:val="24"/>
              </w:rPr>
            </w:pPr>
            <w:r w:rsidRPr="00A23740">
              <w:rPr>
                <w:szCs w:val="24"/>
              </w:rPr>
              <w:t>Maddenin ikinci fıkrasında, sicile kayıtlı malların pazarlık suretiyle satışı sonucunda tescil işlemlerinin gerçekleştirilmesine ilişkin esaslar düzenlenmektedir. Buna göre bir taşınmazın pazarlık suretiyle satılması üzerine iflas idaresi</w:t>
            </w:r>
            <w:r w:rsidR="00E83BBF" w:rsidRPr="00C00F6E">
              <w:rPr>
                <w:rStyle w:val="Balk1Char"/>
                <w:rFonts w:eastAsia="Calibri"/>
                <w:b w:val="0"/>
                <w:color w:val="000000" w:themeColor="text1"/>
              </w:rPr>
              <w:t>,</w:t>
            </w:r>
            <w:r w:rsidRPr="00A23740">
              <w:rPr>
                <w:szCs w:val="24"/>
              </w:rPr>
              <w:t xml:space="preserve"> iflas dairesi </w:t>
            </w:r>
            <w:r w:rsidR="0029455E" w:rsidRPr="00A23740">
              <w:rPr>
                <w:szCs w:val="24"/>
              </w:rPr>
              <w:t xml:space="preserve">nezdinde </w:t>
            </w:r>
            <w:r w:rsidRPr="00A23740">
              <w:rPr>
                <w:szCs w:val="24"/>
              </w:rPr>
              <w:t xml:space="preserve">talepte bulunacaktır. Bu talep üzerine iflas dairesi, satışın alacaklılar toplantısında alınan karara uygun olarak yapıldığını ve bedelinin ödendiğini tespit ederse, tescilin </w:t>
            </w:r>
            <w:r w:rsidR="0029455E" w:rsidRPr="00A23740">
              <w:rPr>
                <w:szCs w:val="24"/>
              </w:rPr>
              <w:t xml:space="preserve">ihale </w:t>
            </w:r>
            <w:r w:rsidRPr="00A23740">
              <w:rPr>
                <w:szCs w:val="24"/>
              </w:rPr>
              <w:t>alıcı</w:t>
            </w:r>
            <w:r w:rsidR="0029455E" w:rsidRPr="00A23740">
              <w:rPr>
                <w:szCs w:val="24"/>
              </w:rPr>
              <w:t>sı</w:t>
            </w:r>
            <w:r w:rsidRPr="00A23740">
              <w:rPr>
                <w:szCs w:val="24"/>
              </w:rPr>
              <w:t xml:space="preserve"> adına gerçekleşt</w:t>
            </w:r>
            <w:r w:rsidR="00E83BBF" w:rsidRPr="00A23740">
              <w:rPr>
                <w:szCs w:val="24"/>
              </w:rPr>
              <w:t>irilmesini tapu siciline bildire</w:t>
            </w:r>
            <w:r w:rsidRPr="00A23740">
              <w:rPr>
                <w:szCs w:val="24"/>
              </w:rPr>
              <w:t xml:space="preserve">cektir. </w:t>
            </w:r>
            <w:r w:rsidR="00E83BBF" w:rsidRPr="00A23740">
              <w:rPr>
                <w:szCs w:val="24"/>
              </w:rPr>
              <w:t>İ</w:t>
            </w:r>
            <w:r w:rsidRPr="00A23740">
              <w:rPr>
                <w:szCs w:val="24"/>
              </w:rPr>
              <w:t xml:space="preserve">flas dairesi, iflas idaresinin talebini </w:t>
            </w:r>
            <w:r w:rsidR="00E83BBF" w:rsidRPr="00A23740">
              <w:rPr>
                <w:szCs w:val="24"/>
              </w:rPr>
              <w:t>K</w:t>
            </w:r>
            <w:r w:rsidRPr="00A23740">
              <w:rPr>
                <w:szCs w:val="24"/>
              </w:rPr>
              <w:t xml:space="preserve">anunda belirtilen incelemeyi </w:t>
            </w:r>
            <w:r w:rsidR="00E83BBF" w:rsidRPr="00237377">
              <w:t>gerçekleştirmek suretiyle karara bağlayacaktır.</w:t>
            </w:r>
            <w:r w:rsidR="00E83BBF" w:rsidRPr="00A23740">
              <w:rPr>
                <w:szCs w:val="24"/>
              </w:rPr>
              <w:t xml:space="preserve">  </w:t>
            </w:r>
            <w:r w:rsidRPr="00A23740">
              <w:rPr>
                <w:szCs w:val="24"/>
              </w:rPr>
              <w:t>İflas dairesinin bildirimi üzerine ta</w:t>
            </w:r>
            <w:r w:rsidR="00E83BBF" w:rsidRPr="00A23740">
              <w:rPr>
                <w:szCs w:val="24"/>
              </w:rPr>
              <w:t>p</w:t>
            </w:r>
            <w:r w:rsidRPr="00A23740">
              <w:rPr>
                <w:szCs w:val="24"/>
              </w:rPr>
              <w:t>u müdürlüğü tescil işlemini yapmak zorunda olup, tesc</w:t>
            </w:r>
            <w:r w:rsidRPr="00237377">
              <w:t>il</w:t>
            </w:r>
            <w:r w:rsidR="00AE014C" w:rsidRPr="00237377">
              <w:t>le</w:t>
            </w:r>
            <w:r w:rsidRPr="00A23740">
              <w:rPr>
                <w:szCs w:val="24"/>
              </w:rPr>
              <w:t xml:space="preserve"> mülkiyet alıcıya geçecektir. İflas dairesi, söz konusu bildirimi, pazarlık suretiyle satışın tamamlandığının UYAP portalında ilanından itibaren bir hafta</w:t>
            </w:r>
            <w:r w:rsidR="00AE014C" w:rsidRPr="00A23740">
              <w:rPr>
                <w:szCs w:val="24"/>
              </w:rPr>
              <w:t xml:space="preserve"> </w:t>
            </w:r>
            <w:r w:rsidR="00AE014C" w:rsidRPr="00237377">
              <w:t>içinde</w:t>
            </w:r>
            <w:r w:rsidRPr="00A23740">
              <w:rPr>
                <w:szCs w:val="24"/>
              </w:rPr>
              <w:t xml:space="preserve"> pazarlık suretiyle satışın iptali talep edilmemişse yapacaktır. Bir haftalık süre içinde pazarlık suretiyle satışın iptali talep edilmişse, bu durum iptal talebine bakan iflas mahkemesi tarafından tensip tutanağıyla birlikte hemen tapu siciline şerh ettirilecektir. Satış kesinleşene kadar satış bedeli iflas alacaklılarına ödenemeyeceği gibi</w:t>
            </w:r>
            <w:r w:rsidR="0029455E" w:rsidRPr="00A23740">
              <w:rPr>
                <w:szCs w:val="24"/>
              </w:rPr>
              <w:t>,</w:t>
            </w:r>
            <w:r w:rsidRPr="00A23740">
              <w:rPr>
                <w:szCs w:val="24"/>
              </w:rPr>
              <w:t xml:space="preserve"> bu bedelden herhangi bir harcama da yapılamayacak ve </w:t>
            </w:r>
            <w:r w:rsidR="00AE014C" w:rsidRPr="00237377">
              <w:t>para</w:t>
            </w:r>
            <w:r w:rsidR="00AE014C" w:rsidRPr="00A23740">
              <w:rPr>
                <w:szCs w:val="24"/>
              </w:rPr>
              <w:t xml:space="preserve"> </w:t>
            </w:r>
            <w:r w:rsidRPr="00A23740">
              <w:rPr>
                <w:szCs w:val="24"/>
              </w:rPr>
              <w:t xml:space="preserve">bankada nemalandırılacaktır. Sicile kayıtlı diğer mal ve haklar bakımından da bu </w:t>
            </w:r>
            <w:r w:rsidR="00AE014C" w:rsidRPr="00A23740">
              <w:rPr>
                <w:szCs w:val="24"/>
              </w:rPr>
              <w:t>fıkra hükümleri uygulanacaktır.</w:t>
            </w:r>
          </w:p>
          <w:p w:rsidR="00D179F1" w:rsidRPr="00A23740" w:rsidRDefault="00D179F1" w:rsidP="009431FF">
            <w:pPr>
              <w:ind w:firstLine="709"/>
              <w:rPr>
                <w:szCs w:val="24"/>
              </w:rPr>
            </w:pPr>
            <w:r w:rsidRPr="00A23740">
              <w:rPr>
                <w:szCs w:val="24"/>
              </w:rPr>
              <w:t>Maddenin üçüncü fıkrasında, pazarlık suretiyle satışta satış bedelinin ödenmesi düzenlenmektedir. Buna göre pazar</w:t>
            </w:r>
            <w:r w:rsidR="00AE014C" w:rsidRPr="00A23740">
              <w:rPr>
                <w:szCs w:val="24"/>
              </w:rPr>
              <w:t>l</w:t>
            </w:r>
            <w:r w:rsidRPr="00A23740">
              <w:rPr>
                <w:szCs w:val="24"/>
              </w:rPr>
              <w:t>ık suretiyle satışta satış bedelinin peşin olarak ödenmesi gerekmekte olup, bunun için al</w:t>
            </w:r>
            <w:r w:rsidR="00AE014C" w:rsidRPr="00A23740">
              <w:rPr>
                <w:szCs w:val="24"/>
              </w:rPr>
              <w:t>ıcıya bir süre verilmeyecektir.</w:t>
            </w:r>
          </w:p>
          <w:p w:rsidR="00D179F1" w:rsidRPr="00A23740" w:rsidRDefault="00D179F1" w:rsidP="009431FF">
            <w:pPr>
              <w:ind w:firstLine="709"/>
              <w:rPr>
                <w:szCs w:val="24"/>
              </w:rPr>
            </w:pPr>
            <w:r w:rsidRPr="00A23740">
              <w:rPr>
                <w:szCs w:val="24"/>
              </w:rPr>
              <w:t xml:space="preserve">Maddenin dördüncü fıkrasında, pazarlık suretiyle satış işlemine karşı başvurulabilecek hukuki çare düzenlenmektedir. Şöyle ki ilgililer, pazarlık suretiyle satışın tamamlandığının UYAP portalında </w:t>
            </w:r>
            <w:r w:rsidR="00AE014C" w:rsidRPr="00237377">
              <w:t xml:space="preserve">ilan edildiği </w:t>
            </w:r>
            <w:r w:rsidRPr="00237377">
              <w:t>tarihten</w:t>
            </w:r>
            <w:r w:rsidRPr="00A23740">
              <w:rPr>
                <w:szCs w:val="24"/>
              </w:rPr>
              <w:t xml:space="preserve"> itibaren bir hafta içinde iflas mahkemesinde şik</w:t>
            </w:r>
            <w:r w:rsidR="00AE014C" w:rsidRPr="00A23740">
              <w:rPr>
                <w:szCs w:val="24"/>
              </w:rPr>
              <w:t>â</w:t>
            </w:r>
            <w:r w:rsidRPr="00A23740">
              <w:rPr>
                <w:szCs w:val="24"/>
              </w:rPr>
              <w:t>yet yoluna başvurmak suretiyle satışın i</w:t>
            </w:r>
            <w:r w:rsidR="00AE014C" w:rsidRPr="00A23740">
              <w:rPr>
                <w:szCs w:val="24"/>
              </w:rPr>
              <w:t>ptalini talep edebileceklerdir.</w:t>
            </w:r>
          </w:p>
          <w:p w:rsidR="00C00EB1" w:rsidRPr="00A23740" w:rsidRDefault="00C00EB1" w:rsidP="009A013D">
            <w:pPr>
              <w:tabs>
                <w:tab w:val="left" w:pos="567"/>
              </w:tabs>
              <w:rPr>
                <w:color w:val="0000FF"/>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b/>
                <w:strike/>
                <w:color w:val="FF0000"/>
                <w:szCs w:val="24"/>
              </w:rPr>
              <w:t>Münazaalı</w:t>
            </w:r>
            <w:r w:rsidRPr="00A23740">
              <w:rPr>
                <w:szCs w:val="24"/>
              </w:rPr>
              <w:t xml:space="preserve"> hakların </w:t>
            </w:r>
            <w:r w:rsidRPr="00A23740">
              <w:rPr>
                <w:b/>
                <w:strike/>
                <w:color w:val="FF0000"/>
                <w:szCs w:val="24"/>
              </w:rPr>
              <w:t>talep eden alacaklılara temliki :</w:t>
            </w:r>
          </w:p>
          <w:p w:rsidR="00AA5C8C" w:rsidRPr="00A23740" w:rsidRDefault="00AA5C8C" w:rsidP="009431FF">
            <w:pPr>
              <w:tabs>
                <w:tab w:val="left" w:pos="567"/>
              </w:tabs>
              <w:rPr>
                <w:szCs w:val="24"/>
              </w:rPr>
            </w:pPr>
            <w:r w:rsidRPr="00A23740">
              <w:rPr>
                <w:rStyle w:val="KIRMIZIChar"/>
                <w:rFonts w:eastAsia="Calibri"/>
              </w:rPr>
              <w:t>Madde 245 – (1)</w:t>
            </w:r>
            <w:r w:rsidRPr="00A23740">
              <w:rPr>
                <w:b/>
                <w:szCs w:val="24"/>
              </w:rPr>
              <w:t xml:space="preserve"> </w:t>
            </w:r>
            <w:r w:rsidRPr="00A23740">
              <w:rPr>
                <w:szCs w:val="24"/>
              </w:rPr>
              <w:t>Alacaklılar</w:t>
            </w:r>
            <w:r w:rsidRPr="00A23740">
              <w:rPr>
                <w:b/>
                <w:strike/>
                <w:color w:val="FF0000"/>
                <w:szCs w:val="24"/>
              </w:rPr>
              <w:t>ın masa</w:t>
            </w:r>
            <w:r w:rsidRPr="00A23740">
              <w:rPr>
                <w:b/>
                <w:color w:val="FF0000"/>
                <w:szCs w:val="24"/>
              </w:rPr>
              <w:t xml:space="preserve"> </w:t>
            </w:r>
            <w:r w:rsidRPr="00A23740">
              <w:rPr>
                <w:szCs w:val="24"/>
              </w:rPr>
              <w:t xml:space="preserve">tarafından </w:t>
            </w:r>
            <w:r w:rsidRPr="00A23740">
              <w:rPr>
                <w:b/>
                <w:strike/>
                <w:color w:val="FF0000"/>
                <w:szCs w:val="24"/>
              </w:rPr>
              <w:t>neticelendirilmesine lüzum görmedikleri</w:t>
            </w:r>
            <w:r w:rsidRPr="00A23740">
              <w:rPr>
                <w:szCs w:val="24"/>
              </w:rPr>
              <w:t xml:space="preserve"> bir </w:t>
            </w:r>
            <w:r w:rsidRPr="00A23740">
              <w:rPr>
                <w:b/>
                <w:strike/>
                <w:color w:val="FF0000"/>
                <w:szCs w:val="24"/>
              </w:rPr>
              <w:t>iddianın</w:t>
            </w:r>
            <w:r w:rsidRPr="00A23740">
              <w:rPr>
                <w:szCs w:val="24"/>
              </w:rPr>
              <w:t xml:space="preserve"> takibi hakkı istiyen alacaklıya devr</w:t>
            </w:r>
            <w:r w:rsidRPr="00A23740">
              <w:rPr>
                <w:b/>
                <w:strike/>
                <w:color w:val="FF0000"/>
                <w:szCs w:val="24"/>
              </w:rPr>
              <w:t xml:space="preserve">olunur. </w:t>
            </w:r>
            <w:r w:rsidRPr="00A23740">
              <w:rPr>
                <w:rStyle w:val="KIRMIZIChar"/>
                <w:rFonts w:eastAsia="Calibri"/>
              </w:rPr>
              <w:t>Hasıl olan neticeden masraflar çıkarıldıktan sonra devralanın alacağı verilir ve artanı masaya yatırılır.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M.245/F1.C2: Hasıl olan neticeden</w:t>
            </w:r>
            <w:r w:rsidRPr="00A23740">
              <w:rPr>
                <w:b/>
                <w:color w:val="FF0000"/>
                <w:szCs w:val="24"/>
              </w:rPr>
              <w:t xml:space="preserve"> </w:t>
            </w:r>
            <w:r w:rsidRPr="00A23740">
              <w:rPr>
                <w:rStyle w:val="KIRMIZIChar"/>
                <w:rFonts w:eastAsia="Calibri"/>
              </w:rPr>
              <w:t>masraflar</w:t>
            </w:r>
            <w:r w:rsidRPr="00A23740">
              <w:rPr>
                <w:szCs w:val="24"/>
              </w:rPr>
              <w:t xml:space="preserve"> çıkarıldıktan sonra devralan</w:t>
            </w:r>
            <w:r w:rsidRPr="00A23740">
              <w:rPr>
                <w:b/>
                <w:strike/>
                <w:color w:val="FF0000"/>
                <w:szCs w:val="24"/>
              </w:rPr>
              <w:t>ın</w:t>
            </w:r>
            <w:r w:rsidRPr="00A23740">
              <w:rPr>
                <w:szCs w:val="24"/>
              </w:rPr>
              <w:t xml:space="preserve"> alacağı </w:t>
            </w:r>
            <w:r w:rsidRPr="00A23740">
              <w:rPr>
                <w:b/>
                <w:strike/>
                <w:color w:val="FF0000"/>
                <w:szCs w:val="24"/>
              </w:rPr>
              <w:t>verilir</w:t>
            </w:r>
            <w:r w:rsidRPr="00A23740">
              <w:rPr>
                <w:szCs w:val="24"/>
              </w:rPr>
              <w:t xml:space="preserve"> ve artanı masaya </w:t>
            </w:r>
            <w:r w:rsidRPr="00A23740">
              <w:rPr>
                <w:rStyle w:val="KIRMIZIChar"/>
                <w:rFonts w:eastAsia="Calibri"/>
              </w:rPr>
              <w:t>yatırılır</w:t>
            </w:r>
            <w:r w:rsidRPr="00A23740">
              <w:rPr>
                <w:szCs w:val="24"/>
              </w:rPr>
              <w:t>.</w:t>
            </w:r>
          </w:p>
          <w:p w:rsidR="00AA5C8C" w:rsidRPr="00A23740" w:rsidRDefault="00AA5C8C" w:rsidP="009431FF">
            <w:pPr>
              <w:pStyle w:val="KIRMIZI"/>
            </w:pPr>
          </w:p>
        </w:tc>
        <w:tc>
          <w:tcPr>
            <w:tcW w:w="2500" w:type="pct"/>
          </w:tcPr>
          <w:p w:rsidR="00AA5C8C" w:rsidRPr="00A23740" w:rsidRDefault="00AA5C8C" w:rsidP="009431FF">
            <w:pPr>
              <w:tabs>
                <w:tab w:val="left" w:pos="567"/>
              </w:tabs>
              <w:rPr>
                <w:b/>
                <w:szCs w:val="24"/>
              </w:rPr>
            </w:pPr>
            <w:r w:rsidRPr="00A23740">
              <w:rPr>
                <w:b/>
                <w:color w:val="0000FF"/>
                <w:szCs w:val="24"/>
              </w:rPr>
              <w:t>Çekişmeli</w:t>
            </w:r>
            <w:r w:rsidRPr="00A23740">
              <w:rPr>
                <w:b/>
                <w:szCs w:val="24"/>
              </w:rPr>
              <w:t xml:space="preserve"> hakları </w:t>
            </w:r>
            <w:r w:rsidRPr="00A23740">
              <w:rPr>
                <w:b/>
                <w:color w:val="0000FF"/>
                <w:szCs w:val="24"/>
              </w:rPr>
              <w:t>takip yetkisinin devri</w:t>
            </w:r>
          </w:p>
          <w:p w:rsidR="00AA5C8C" w:rsidRPr="00A23740" w:rsidRDefault="00AA5C8C" w:rsidP="009431FF">
            <w:pPr>
              <w:tabs>
                <w:tab w:val="left" w:pos="567"/>
              </w:tabs>
              <w:rPr>
                <w:b/>
                <w:color w:val="0000FF"/>
                <w:szCs w:val="24"/>
              </w:rPr>
            </w:pPr>
            <w:r w:rsidRPr="00A23740">
              <w:rPr>
                <w:rStyle w:val="MAVChar"/>
                <w:rFonts w:eastAsia="Calibri"/>
                <w:u w:val="none"/>
              </w:rPr>
              <w:t xml:space="preserve">MADDE </w:t>
            </w:r>
            <w:r w:rsidR="00231B02" w:rsidRPr="00A23740">
              <w:rPr>
                <w:rStyle w:val="MaviChar"/>
              </w:rPr>
              <w:t>362</w:t>
            </w:r>
            <w:r w:rsidRPr="00A23740">
              <w:rPr>
                <w:rStyle w:val="MaviChar"/>
              </w:rPr>
              <w:t>-</w:t>
            </w:r>
            <w:r w:rsidRPr="00A23740">
              <w:rPr>
                <w:rStyle w:val="MaviChar"/>
                <w:lang w:val="tr-TR"/>
              </w:rPr>
              <w:t xml:space="preserve"> (</w:t>
            </w:r>
            <w:r w:rsidRPr="00A23740">
              <w:rPr>
                <w:b/>
                <w:color w:val="0000FF"/>
                <w:szCs w:val="24"/>
              </w:rPr>
              <w:t xml:space="preserve">1) İkinci </w:t>
            </w:r>
            <w:r w:rsidRPr="00A23740">
              <w:rPr>
                <w:szCs w:val="24"/>
              </w:rPr>
              <w:t>alacaklılar</w:t>
            </w:r>
            <w:r w:rsidRPr="00A23740">
              <w:rPr>
                <w:b/>
                <w:color w:val="0000FF"/>
                <w:szCs w:val="24"/>
              </w:rPr>
              <w:t xml:space="preserve"> toplantısı, </w:t>
            </w:r>
            <w:r w:rsidRPr="00A23740">
              <w:rPr>
                <w:rStyle w:val="MaviChar"/>
              </w:rPr>
              <w:t>iflas masasına ait olup</w:t>
            </w:r>
            <w:r w:rsidRPr="00A23740">
              <w:rPr>
                <w:b/>
                <w:color w:val="0000FF"/>
                <w:szCs w:val="24"/>
              </w:rPr>
              <w:t xml:space="preserve"> iflas idaresi </w:t>
            </w:r>
            <w:r w:rsidRPr="00A23740">
              <w:rPr>
                <w:szCs w:val="24"/>
              </w:rPr>
              <w:t>tarafından</w:t>
            </w:r>
            <w:r w:rsidRPr="00A23740">
              <w:rPr>
                <w:b/>
                <w:color w:val="0000FF"/>
                <w:szCs w:val="24"/>
              </w:rPr>
              <w:t xml:space="preserve"> takip edilmesine gerek </w:t>
            </w:r>
            <w:r w:rsidRPr="00A23740">
              <w:rPr>
                <w:rStyle w:val="MaviChar"/>
              </w:rPr>
              <w:t>görülmeyen</w:t>
            </w:r>
            <w:r w:rsidRPr="00A23740">
              <w:rPr>
                <w:b/>
                <w:color w:val="0000FF"/>
                <w:szCs w:val="24"/>
              </w:rPr>
              <w:t xml:space="preserve"> </w:t>
            </w:r>
            <w:r w:rsidRPr="00A23740">
              <w:rPr>
                <w:rStyle w:val="MaviChar"/>
              </w:rPr>
              <w:t>bir iddianın takibi</w:t>
            </w:r>
            <w:r w:rsidRPr="00A23740">
              <w:rPr>
                <w:rStyle w:val="YELChar"/>
              </w:rPr>
              <w:t xml:space="preserve"> </w:t>
            </w:r>
            <w:r w:rsidRPr="00A23740">
              <w:rPr>
                <w:rStyle w:val="MaviChar"/>
              </w:rPr>
              <w:t>yetkisini,</w:t>
            </w:r>
            <w:r w:rsidRPr="00A23740">
              <w:rPr>
                <w:szCs w:val="24"/>
              </w:rPr>
              <w:t xml:space="preserve"> isteyen alacaklıya devr</w:t>
            </w:r>
            <w:r w:rsidRPr="00A23740">
              <w:rPr>
                <w:b/>
                <w:color w:val="0000FF"/>
                <w:szCs w:val="24"/>
              </w:rPr>
              <w:t>edebilir. Devir işlemi iflas idaresi tarafından yerine getirilir.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szCs w:val="24"/>
              </w:rPr>
            </w:pPr>
            <w:r w:rsidRPr="00A23740">
              <w:rPr>
                <w:b/>
                <w:color w:val="0000FF"/>
                <w:szCs w:val="24"/>
              </w:rPr>
              <w:t xml:space="preserve">(2) Elde edilen menfaatten </w:t>
            </w:r>
            <w:r w:rsidRPr="00A23740">
              <w:rPr>
                <w:rStyle w:val="MaviChar"/>
              </w:rPr>
              <w:t>giderler</w:t>
            </w:r>
            <w:r w:rsidRPr="00A23740">
              <w:rPr>
                <w:szCs w:val="24"/>
              </w:rPr>
              <w:t xml:space="preserve"> çıkarıldıktan sonra devralan</w:t>
            </w:r>
            <w:r w:rsidRPr="00A23740">
              <w:rPr>
                <w:b/>
                <w:color w:val="0000FF"/>
                <w:szCs w:val="24"/>
              </w:rPr>
              <w:t xml:space="preserve"> alacaklının </w:t>
            </w:r>
            <w:r w:rsidRPr="00A23740">
              <w:rPr>
                <w:szCs w:val="24"/>
              </w:rPr>
              <w:t>alacağı</w:t>
            </w:r>
            <w:r w:rsidRPr="00A23740">
              <w:rPr>
                <w:b/>
                <w:color w:val="0000FF"/>
                <w:szCs w:val="24"/>
              </w:rPr>
              <w:t xml:space="preserve"> ödenir</w:t>
            </w:r>
            <w:r w:rsidRPr="00A23740">
              <w:rPr>
                <w:szCs w:val="24"/>
              </w:rPr>
              <w:t xml:space="preserve"> ve artanı masaya </w:t>
            </w:r>
            <w:r w:rsidRPr="00A23740">
              <w:rPr>
                <w:rStyle w:val="MaviChar"/>
                <w:lang w:val="tr-TR"/>
              </w:rPr>
              <w:t>bırakılır</w:t>
            </w:r>
            <w:r w:rsidRPr="00A23740">
              <w:rPr>
                <w:szCs w:val="24"/>
              </w:rPr>
              <w:t>.</w:t>
            </w:r>
          </w:p>
          <w:p w:rsidR="008B5AD1" w:rsidRPr="00A23740" w:rsidRDefault="008B5AD1" w:rsidP="009431FF">
            <w:pPr>
              <w:tabs>
                <w:tab w:val="left" w:pos="567"/>
              </w:tabs>
              <w:rPr>
                <w:b/>
                <w:color w:val="0000FF"/>
                <w:szCs w:val="24"/>
              </w:rPr>
            </w:pPr>
          </w:p>
          <w:p w:rsidR="00AA5C8C" w:rsidRPr="00A23740" w:rsidRDefault="008B5AD1" w:rsidP="009431FF">
            <w:pPr>
              <w:tabs>
                <w:tab w:val="left" w:pos="567"/>
              </w:tabs>
              <w:rPr>
                <w:b/>
                <w:color w:val="0000FF"/>
                <w:szCs w:val="24"/>
              </w:rPr>
            </w:pPr>
            <w:r w:rsidRPr="00A23740">
              <w:rPr>
                <w:b/>
                <w:color w:val="0000FF"/>
                <w:szCs w:val="24"/>
              </w:rPr>
              <w:t xml:space="preserve">(3) İkinci alacaklılar </w:t>
            </w:r>
            <w:r w:rsidRPr="00237377">
              <w:rPr>
                <w:rStyle w:val="MaviChar"/>
              </w:rPr>
              <w:t>toplantısı, iddianın</w:t>
            </w:r>
            <w:r w:rsidRPr="00A23740">
              <w:rPr>
                <w:b/>
                <w:color w:val="0000FF"/>
                <w:szCs w:val="24"/>
              </w:rPr>
              <w:t xml:space="preserve"> iflas idaresi tarafından takip </w:t>
            </w:r>
            <w:r w:rsidRPr="00237377">
              <w:rPr>
                <w:rStyle w:val="MaviChar"/>
              </w:rPr>
              <w:t>edilmesini</w:t>
            </w:r>
            <w:r w:rsidRPr="00A23740">
              <w:rPr>
                <w:b/>
                <w:color w:val="0000FF"/>
                <w:szCs w:val="24"/>
              </w:rPr>
              <w:t xml:space="preserve"> gerekli </w:t>
            </w:r>
            <w:r w:rsidRPr="00237377">
              <w:rPr>
                <w:rStyle w:val="MaviChar"/>
              </w:rPr>
              <w:t>görmez ve</w:t>
            </w:r>
            <w:r w:rsidRPr="00A23740">
              <w:rPr>
                <w:b/>
                <w:color w:val="0000FF"/>
                <w:szCs w:val="24"/>
              </w:rPr>
              <w:t xml:space="preserve"> </w:t>
            </w:r>
            <w:r w:rsidRPr="00237377">
              <w:rPr>
                <w:rStyle w:val="MaviChar"/>
              </w:rPr>
              <w:t>bu iddiayı</w:t>
            </w:r>
            <w:r w:rsidRPr="00A23740">
              <w:rPr>
                <w:b/>
                <w:color w:val="0000FF"/>
                <w:szCs w:val="24"/>
              </w:rPr>
              <w:t xml:space="preserve"> </w:t>
            </w:r>
            <w:r w:rsidRPr="00A23740">
              <w:rPr>
                <w:rStyle w:val="MaviChar"/>
              </w:rPr>
              <w:t>takip yetkisini devralmak isteyen alacaklı</w:t>
            </w:r>
            <w:r w:rsidRPr="00A23740">
              <w:rPr>
                <w:rStyle w:val="MaviChar"/>
                <w:lang w:val="tr-TR"/>
              </w:rPr>
              <w:t xml:space="preserve"> </w:t>
            </w:r>
            <w:r w:rsidRPr="00237377">
              <w:rPr>
                <w:rStyle w:val="MaviChar"/>
              </w:rPr>
              <w:t>da</w:t>
            </w:r>
            <w:r w:rsidRPr="00A23740">
              <w:rPr>
                <w:rStyle w:val="MaviChar"/>
              </w:rPr>
              <w:t xml:space="preserve"> çıkmazsa, bu iddianın konusu olan</w:t>
            </w:r>
            <w:r w:rsidRPr="00A23740">
              <w:rPr>
                <w:b/>
                <w:color w:val="0000FF"/>
                <w:szCs w:val="24"/>
              </w:rPr>
              <w:t xml:space="preserve"> hak</w:t>
            </w:r>
            <w:r w:rsidR="009759A0" w:rsidRPr="00A23740">
              <w:rPr>
                <w:b/>
                <w:color w:val="0000FF"/>
                <w:szCs w:val="24"/>
              </w:rPr>
              <w:t xml:space="preserve"> </w:t>
            </w:r>
            <w:r w:rsidR="009759A0" w:rsidRPr="00237377">
              <w:rPr>
                <w:rStyle w:val="MaviChar"/>
              </w:rPr>
              <w:t>358 inci</w:t>
            </w:r>
            <w:r w:rsidRPr="00A23740">
              <w:rPr>
                <w:rStyle w:val="YELChar"/>
              </w:rPr>
              <w:t xml:space="preserve"> </w:t>
            </w:r>
            <w:r w:rsidRPr="00A23740">
              <w:rPr>
                <w:b/>
                <w:color w:val="0000FF"/>
                <w:szCs w:val="24"/>
              </w:rPr>
              <w:t>maddeye göre paraya çevrilebilir.</w:t>
            </w:r>
          </w:p>
          <w:p w:rsidR="008B5AD1" w:rsidRPr="00A23740" w:rsidRDefault="008B5AD1" w:rsidP="009431FF">
            <w:pPr>
              <w:tabs>
                <w:tab w:val="left" w:pos="567"/>
              </w:tabs>
              <w:rPr>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179F1" w:rsidRPr="00A23740" w:rsidRDefault="00D179F1" w:rsidP="009431FF">
            <w:pPr>
              <w:tabs>
                <w:tab w:val="left" w:pos="567"/>
              </w:tabs>
              <w:ind w:firstLine="709"/>
              <w:rPr>
                <w:rStyle w:val="MaviChar"/>
                <w:color w:val="auto"/>
                <w:lang w:val="tr-TR"/>
              </w:rPr>
            </w:pPr>
          </w:p>
          <w:p w:rsidR="00280320" w:rsidRPr="00A23740" w:rsidRDefault="00231B02" w:rsidP="009431FF">
            <w:pPr>
              <w:ind w:firstLine="709"/>
              <w:rPr>
                <w:rStyle w:val="MaviChar"/>
                <w:b w:val="0"/>
                <w:bCs w:val="0"/>
                <w:color w:val="auto"/>
                <w:lang w:val="tr-TR" w:eastAsia="en-US"/>
              </w:rPr>
            </w:pPr>
            <w:r w:rsidRPr="00A23740">
              <w:rPr>
                <w:b/>
                <w:szCs w:val="24"/>
              </w:rPr>
              <w:t>MADDE 362</w:t>
            </w:r>
            <w:r w:rsidR="00280320" w:rsidRPr="00A23740">
              <w:rPr>
                <w:b/>
                <w:szCs w:val="24"/>
              </w:rPr>
              <w:t>-</w:t>
            </w:r>
            <w:r w:rsidR="00280320" w:rsidRPr="00A23740">
              <w:rPr>
                <w:szCs w:val="24"/>
              </w:rPr>
              <w:t xml:space="preserve"> Maddeyle</w:t>
            </w:r>
            <w:r w:rsidR="00B95505" w:rsidRPr="00A23740">
              <w:rPr>
                <w:szCs w:val="24"/>
              </w:rPr>
              <w:t>,</w:t>
            </w:r>
            <w:r w:rsidR="00280320" w:rsidRPr="00A23740">
              <w:rPr>
                <w:szCs w:val="24"/>
              </w:rPr>
              <w:t xml:space="preserve"> </w:t>
            </w:r>
            <w:r w:rsidR="00B95505" w:rsidRPr="00A23740">
              <w:rPr>
                <w:szCs w:val="24"/>
              </w:rPr>
              <w:t xml:space="preserve">çekişmeli </w:t>
            </w:r>
            <w:r w:rsidR="00280320" w:rsidRPr="00A23740">
              <w:rPr>
                <w:szCs w:val="24"/>
              </w:rPr>
              <w:t xml:space="preserve">hakları takip yetkisinin devrine ilişkin hususlar düzenlenmektedir. Hüküm, 2004 sayılı Kanunun 245 inci </w:t>
            </w:r>
            <w:r w:rsidR="00835059" w:rsidRPr="00237377">
              <w:t>maddesine</w:t>
            </w:r>
            <w:r w:rsidR="00835059" w:rsidRPr="00A23740">
              <w:rPr>
                <w:szCs w:val="24"/>
              </w:rPr>
              <w:t xml:space="preserve"> </w:t>
            </w:r>
            <w:r w:rsidR="00280320" w:rsidRPr="00A23740">
              <w:rPr>
                <w:szCs w:val="24"/>
              </w:rPr>
              <w:t xml:space="preserve">karşılık gelmektedir. </w:t>
            </w:r>
          </w:p>
          <w:p w:rsidR="00D179F1" w:rsidRPr="00A23740" w:rsidRDefault="00D179F1" w:rsidP="009431FF">
            <w:pPr>
              <w:ind w:firstLine="709"/>
              <w:rPr>
                <w:szCs w:val="24"/>
              </w:rPr>
            </w:pPr>
            <w:r w:rsidRPr="00A23740">
              <w:rPr>
                <w:szCs w:val="24"/>
              </w:rPr>
              <w:t>Maddenin ilk fıkrasında, iflas masasına dahil olup da iflas idaresi tarafından takip edilmesine gerek görülmeyen bir iddianın takip yetkisinin, ikinci alacaklılar toplantısında, talep eden alacaklı veya alacaklılara devredilebileceği düzenlenmektedir. İkinci alacaklılar toplantısında bu doğrultuda bir karar alınması durumunda ifl</w:t>
            </w:r>
            <w:r w:rsidR="00656C77" w:rsidRPr="00A23740">
              <w:rPr>
                <w:szCs w:val="24"/>
              </w:rPr>
              <w:t>a</w:t>
            </w:r>
            <w:r w:rsidRPr="00A23740">
              <w:rPr>
                <w:szCs w:val="24"/>
              </w:rPr>
              <w:t xml:space="preserve">s idaresi, devir işlemini gerçekleştirecektir. </w:t>
            </w:r>
          </w:p>
          <w:p w:rsidR="00835059" w:rsidRPr="00A23740" w:rsidRDefault="00D179F1" w:rsidP="009431FF">
            <w:pPr>
              <w:ind w:firstLine="709"/>
              <w:rPr>
                <w:szCs w:val="24"/>
              </w:rPr>
            </w:pPr>
            <w:r w:rsidRPr="00A23740">
              <w:rPr>
                <w:szCs w:val="24"/>
              </w:rPr>
              <w:t>Maddenin ikinci fıkrasında devir sonucunda elde edilen menfaatin akıbeti belirlenmektedir. Buna göre devir sonucunda elde edilen menfaatten önce giderler çıkarılacak, kalan miktardan devralan alacaklının alacağı ödenecektir. Bundan sonra artan miktar ise masaya bırakılacaktır. Bu noktada birden fazla alacaklının takip yetkis</w:t>
            </w:r>
            <w:r w:rsidR="00543C57" w:rsidRPr="00A23740">
              <w:rPr>
                <w:szCs w:val="24"/>
              </w:rPr>
              <w:t>ini devralması durumunda, 2</w:t>
            </w:r>
            <w:r w:rsidR="00543C57" w:rsidRPr="00237377">
              <w:t>004 s</w:t>
            </w:r>
            <w:r w:rsidR="004E7D91" w:rsidRPr="00237377">
              <w:t xml:space="preserve">ayılı Kanun döneminde, İsviçre hukukunda kabul edilenin (İsviçre’nin Borç İçin Takip ve İflas Hakkında Federal Kanunu </w:t>
            </w:r>
            <w:r w:rsidR="0029455E" w:rsidRPr="00237377">
              <w:t>m.</w:t>
            </w:r>
            <w:r w:rsidR="004E7D91" w:rsidRPr="00237377">
              <w:t>260, f</w:t>
            </w:r>
            <w:r w:rsidR="0029455E" w:rsidRPr="00237377">
              <w:t>.</w:t>
            </w:r>
            <w:r w:rsidR="004E7D91" w:rsidRPr="00237377">
              <w:t xml:space="preserve">2) aksine </w:t>
            </w:r>
            <w:r w:rsidRPr="00A23740">
              <w:rPr>
                <w:szCs w:val="24"/>
              </w:rPr>
              <w:t>Yargıtay, devralan alacaklıların sıralarına bakılmaksızın alacakları oranında elde edilen menfaatten yararlana</w:t>
            </w:r>
            <w:r w:rsidR="00C00F6E">
              <w:rPr>
                <w:szCs w:val="24"/>
              </w:rPr>
              <w:t>bileceklerini kabul etmekteydi.</w:t>
            </w:r>
          </w:p>
          <w:p w:rsidR="00D179F1" w:rsidRPr="00A23740" w:rsidRDefault="00D179F1" w:rsidP="009431FF">
            <w:pPr>
              <w:ind w:firstLine="709"/>
              <w:rPr>
                <w:szCs w:val="24"/>
              </w:rPr>
            </w:pPr>
            <w:r w:rsidRPr="00A23740">
              <w:rPr>
                <w:szCs w:val="24"/>
              </w:rPr>
              <w:t xml:space="preserve">Maddenin üçüncü </w:t>
            </w:r>
            <w:r w:rsidR="003D4B4E" w:rsidRPr="00237377">
              <w:t>fıkrası</w:t>
            </w:r>
            <w:r w:rsidRPr="00237377">
              <w:t xml:space="preserve">, </w:t>
            </w:r>
            <w:r w:rsidR="003D4B4E" w:rsidRPr="00237377">
              <w:t>İsviçre’nin Borç İçin Takip ve İflas Hakkındaki Federal Kanununun 260 ıncı maddesinin üçüncü fıkrasından alınmıştır. Buna göre,</w:t>
            </w:r>
            <w:r w:rsidR="003D4B4E" w:rsidRPr="00A23740">
              <w:rPr>
                <w:szCs w:val="24"/>
              </w:rPr>
              <w:t xml:space="preserve"> </w:t>
            </w:r>
            <w:r w:rsidRPr="00A23740">
              <w:rPr>
                <w:szCs w:val="24"/>
              </w:rPr>
              <w:t xml:space="preserve">ikinci alacaklılar </w:t>
            </w:r>
            <w:r w:rsidR="00835059" w:rsidRPr="00237377">
              <w:t xml:space="preserve">toplantısı iddianın iflas idaresi tarafından takip edilmesini gerekli görmez ve bu iddiayı takip yetkisini devralmak isteyen alacaklı da çıkmazsa, bu iddianın konusu olan hak </w:t>
            </w:r>
            <w:r w:rsidR="009759A0" w:rsidRPr="00237377">
              <w:t>358 inci</w:t>
            </w:r>
            <w:r w:rsidR="00835059" w:rsidRPr="00A23740">
              <w:rPr>
                <w:rStyle w:val="YELChar"/>
              </w:rPr>
              <w:t xml:space="preserve"> </w:t>
            </w:r>
            <w:r w:rsidR="00835059" w:rsidRPr="00237377">
              <w:t>maddeye göre paraya çevrilebilir.</w:t>
            </w:r>
            <w:r w:rsidR="00835059" w:rsidRPr="00A23740">
              <w:rPr>
                <w:szCs w:val="24"/>
              </w:rPr>
              <w:t xml:space="preserve"> </w:t>
            </w:r>
            <w:r w:rsidR="004E7D91" w:rsidRPr="00237377">
              <w:t xml:space="preserve">Söz konusu iddianın </w:t>
            </w:r>
            <w:r w:rsidR="009759A0" w:rsidRPr="00237377">
              <w:t>358 inci</w:t>
            </w:r>
            <w:r w:rsidR="009759A0" w:rsidRPr="00A23740">
              <w:rPr>
                <w:rFonts w:eastAsia="ヒラギノ明朝 Pro W3"/>
                <w:b/>
                <w:color w:val="339933"/>
                <w:szCs w:val="24"/>
              </w:rPr>
              <w:t xml:space="preserve"> </w:t>
            </w:r>
            <w:r w:rsidR="0006716D" w:rsidRPr="00237377">
              <w:t>maddeye göre paraya çevrilememesi durumunda</w:t>
            </w:r>
            <w:r w:rsidR="004E7D91" w:rsidRPr="00237377">
              <w:t>, bu yetki müflise devredilebilir.</w:t>
            </w:r>
          </w:p>
          <w:p w:rsidR="00280320" w:rsidRPr="00A23740" w:rsidRDefault="00280320" w:rsidP="009A013D">
            <w:pPr>
              <w:tabs>
                <w:tab w:val="left" w:pos="567"/>
              </w:tabs>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Aile yurtları</w:t>
            </w:r>
            <w:r w:rsidRPr="00A23740">
              <w:rPr>
                <w:b/>
                <w:strike/>
                <w:color w:val="FF0000"/>
                <w:szCs w:val="24"/>
              </w:rPr>
              <w:t>:</w:t>
            </w:r>
          </w:p>
          <w:p w:rsidR="00AA5C8C" w:rsidRDefault="00AA5C8C" w:rsidP="009431FF">
            <w:pPr>
              <w:tabs>
                <w:tab w:val="left" w:pos="567"/>
              </w:tabs>
              <w:rPr>
                <w:szCs w:val="24"/>
              </w:rPr>
            </w:pPr>
            <w:r w:rsidRPr="00A23740">
              <w:rPr>
                <w:rStyle w:val="KIRMIZIChar"/>
                <w:rFonts w:eastAsia="Calibri"/>
              </w:rPr>
              <w:t>Madde 246 – (1)</w:t>
            </w:r>
            <w:r w:rsidRPr="00A23740">
              <w:rPr>
                <w:b/>
                <w:szCs w:val="24"/>
              </w:rPr>
              <w:t xml:space="preserve"> </w:t>
            </w:r>
            <w:r w:rsidRPr="00A23740">
              <w:rPr>
                <w:szCs w:val="24"/>
              </w:rPr>
              <w:t>Aile yurtları hakkında</w:t>
            </w:r>
            <w:r w:rsidRPr="00A23740">
              <w:rPr>
                <w:b/>
                <w:strike/>
                <w:color w:val="FF0000"/>
                <w:szCs w:val="24"/>
              </w:rPr>
              <w:t>ki</w:t>
            </w:r>
            <w:r w:rsidRPr="00A23740">
              <w:rPr>
                <w:szCs w:val="24"/>
              </w:rPr>
              <w:t xml:space="preserve"> Kanunu Medeni hükümleri </w:t>
            </w:r>
            <w:r w:rsidRPr="00A23740">
              <w:rPr>
                <w:b/>
                <w:strike/>
                <w:color w:val="FF0000"/>
                <w:szCs w:val="24"/>
              </w:rPr>
              <w:t>mahfuzdur</w:t>
            </w:r>
            <w:r w:rsidRPr="00A23740">
              <w:rPr>
                <w:szCs w:val="24"/>
              </w:rPr>
              <w:t>.</w:t>
            </w:r>
          </w:p>
          <w:p w:rsidR="00D74F7C" w:rsidRPr="00A23740" w:rsidRDefault="00D74F7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Aile yurtları</w:t>
            </w:r>
          </w:p>
          <w:p w:rsidR="00AA5C8C" w:rsidRPr="00A23740" w:rsidRDefault="00AA5C8C" w:rsidP="009431FF">
            <w:pPr>
              <w:tabs>
                <w:tab w:val="left" w:pos="567"/>
              </w:tabs>
              <w:rPr>
                <w:szCs w:val="24"/>
              </w:rPr>
            </w:pPr>
            <w:r w:rsidRPr="00A23740">
              <w:rPr>
                <w:rStyle w:val="Stil2Char"/>
                <w:rFonts w:eastAsia="Calibri"/>
                <w:u w:val="none"/>
              </w:rPr>
              <w:t xml:space="preserve">MADDE </w:t>
            </w:r>
            <w:r w:rsidR="00231B02" w:rsidRPr="00A23740">
              <w:rPr>
                <w:rStyle w:val="MaviChar"/>
              </w:rPr>
              <w:t>363</w:t>
            </w:r>
            <w:r w:rsidRPr="00A23740">
              <w:rPr>
                <w:rStyle w:val="MaviChar"/>
              </w:rPr>
              <w:t>-</w:t>
            </w:r>
            <w:r w:rsidRPr="00A23740">
              <w:rPr>
                <w:b/>
                <w:szCs w:val="24"/>
              </w:rPr>
              <w:t xml:space="preserve"> </w:t>
            </w:r>
            <w:r w:rsidRPr="00A23740">
              <w:rPr>
                <w:b/>
                <w:color w:val="0000FF"/>
                <w:szCs w:val="24"/>
              </w:rPr>
              <w:t>(1)</w:t>
            </w:r>
            <w:r w:rsidRPr="00A23740">
              <w:rPr>
                <w:b/>
                <w:szCs w:val="24"/>
              </w:rPr>
              <w:t xml:space="preserve"> </w:t>
            </w:r>
            <w:r w:rsidRPr="00A23740">
              <w:rPr>
                <w:b/>
                <w:color w:val="0000FF"/>
                <w:szCs w:val="24"/>
              </w:rPr>
              <w:t>Türk</w:t>
            </w:r>
            <w:r w:rsidRPr="00A23740">
              <w:rPr>
                <w:szCs w:val="24"/>
              </w:rPr>
              <w:t xml:space="preserve"> Medeni Kanunu</w:t>
            </w:r>
            <w:r w:rsidRPr="00A23740">
              <w:rPr>
                <w:b/>
                <w:color w:val="0000FF"/>
                <w:szCs w:val="24"/>
              </w:rPr>
              <w:t>n</w:t>
            </w:r>
            <w:r w:rsidRPr="00A23740">
              <w:rPr>
                <w:rStyle w:val="MaviChar"/>
              </w:rPr>
              <w:t>un</w:t>
            </w:r>
            <w:r w:rsidR="00891AC5" w:rsidRPr="00A23740">
              <w:rPr>
                <w:rStyle w:val="MaviChar"/>
                <w:lang w:val="tr-TR"/>
              </w:rPr>
              <w:t xml:space="preserve"> </w:t>
            </w:r>
            <w:r w:rsidR="00891AC5" w:rsidRPr="00237377">
              <w:rPr>
                <w:rStyle w:val="MaviChar"/>
              </w:rPr>
              <w:t>aile yurtları hakkındaki</w:t>
            </w:r>
            <w:r w:rsidRPr="00A23740">
              <w:rPr>
                <w:szCs w:val="24"/>
              </w:rPr>
              <w:t xml:space="preserve"> hükümleri </w:t>
            </w:r>
            <w:r w:rsidRPr="00A23740">
              <w:rPr>
                <w:b/>
                <w:color w:val="0000FF"/>
                <w:szCs w:val="24"/>
              </w:rPr>
              <w:t>saklıdır</w:t>
            </w:r>
            <w:r w:rsidRPr="00A23740">
              <w:rPr>
                <w:szCs w:val="24"/>
              </w:rPr>
              <w:t>.</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F12E5F" w:rsidRPr="00A23740" w:rsidRDefault="00F12E5F" w:rsidP="009431FF">
            <w:pPr>
              <w:tabs>
                <w:tab w:val="left" w:pos="567"/>
              </w:tabs>
              <w:ind w:firstLine="567"/>
              <w:rPr>
                <w:b/>
                <w:bCs/>
                <w:color w:val="000000"/>
                <w:szCs w:val="24"/>
                <w:lang w:val="x-none" w:eastAsia="x-none"/>
              </w:rPr>
            </w:pPr>
          </w:p>
          <w:p w:rsidR="00F12E5F" w:rsidRPr="00A23740" w:rsidRDefault="00231B02" w:rsidP="009431FF">
            <w:pPr>
              <w:tabs>
                <w:tab w:val="left" w:pos="567"/>
              </w:tabs>
              <w:ind w:firstLine="567"/>
              <w:rPr>
                <w:bCs/>
                <w:color w:val="000000"/>
                <w:szCs w:val="24"/>
                <w:lang w:eastAsia="x-none"/>
              </w:rPr>
            </w:pPr>
            <w:r w:rsidRPr="00A23740">
              <w:rPr>
                <w:b/>
                <w:bCs/>
                <w:color w:val="000000"/>
                <w:szCs w:val="24"/>
                <w:lang w:val="x-none" w:eastAsia="x-none"/>
              </w:rPr>
              <w:t>MADDE 363</w:t>
            </w:r>
            <w:r w:rsidR="00F12E5F" w:rsidRPr="00A23740">
              <w:rPr>
                <w:b/>
                <w:bCs/>
                <w:color w:val="000000"/>
                <w:szCs w:val="24"/>
                <w:lang w:val="x-none" w:eastAsia="x-none"/>
              </w:rPr>
              <w:t>-</w:t>
            </w:r>
            <w:r w:rsidR="00F12E5F" w:rsidRPr="00A23740">
              <w:rPr>
                <w:bCs/>
                <w:color w:val="000000"/>
                <w:szCs w:val="24"/>
                <w:lang w:val="x-none" w:eastAsia="x-none"/>
              </w:rPr>
              <w:t xml:space="preserve"> </w:t>
            </w:r>
            <w:r w:rsidR="00F12E5F" w:rsidRPr="00A23740">
              <w:rPr>
                <w:bCs/>
                <w:color w:val="000000"/>
                <w:szCs w:val="24"/>
                <w:lang w:eastAsia="x-none"/>
              </w:rPr>
              <w:t>Maddeyle</w:t>
            </w:r>
            <w:r w:rsidR="00B95505" w:rsidRPr="00A23740">
              <w:rPr>
                <w:bCs/>
                <w:color w:val="000000"/>
                <w:szCs w:val="24"/>
                <w:lang w:eastAsia="x-none"/>
              </w:rPr>
              <w:t>,</w:t>
            </w:r>
            <w:r w:rsidR="00F12E5F" w:rsidRPr="00A23740">
              <w:rPr>
                <w:bCs/>
                <w:color w:val="000000"/>
                <w:szCs w:val="24"/>
                <w:lang w:eastAsia="x-none"/>
              </w:rPr>
              <w:t xml:space="preserve"> aile yurtlarına ilişkin husus düzenlenmektedir. Hüküm, 2004 sayılı Kanunun 246 ncı maddesine karşılık gelmekte olup, aynen muhafaza edilmektedir. </w:t>
            </w:r>
          </w:p>
          <w:p w:rsidR="00F06498" w:rsidRPr="009A013D" w:rsidRDefault="0000314C" w:rsidP="009A013D">
            <w:pPr>
              <w:tabs>
                <w:tab w:val="left" w:pos="567"/>
              </w:tabs>
              <w:ind w:firstLine="567"/>
              <w:rPr>
                <w:rFonts w:eastAsia="Times New Roman"/>
                <w:bCs/>
                <w:szCs w:val="24"/>
                <w:lang w:eastAsia="tr-TR"/>
              </w:rPr>
            </w:pPr>
            <w:r w:rsidRPr="00237377">
              <w:t>4721 sayılı Kanunun</w:t>
            </w:r>
            <w:r w:rsidRPr="00A23740">
              <w:rPr>
                <w:rFonts w:eastAsia="Times New Roman"/>
                <w:bCs/>
                <w:szCs w:val="24"/>
                <w:lang w:eastAsia="tr-TR"/>
              </w:rPr>
              <w:t xml:space="preserve"> aile </w:t>
            </w:r>
            <w:r w:rsidR="00D179F1" w:rsidRPr="00A23740">
              <w:rPr>
                <w:rFonts w:eastAsia="Times New Roman"/>
                <w:bCs/>
                <w:szCs w:val="24"/>
                <w:lang w:eastAsia="tr-TR"/>
              </w:rPr>
              <w:t xml:space="preserve">yurtları hakkındaki </w:t>
            </w:r>
            <w:r w:rsidR="00891AC5" w:rsidRPr="00A23740">
              <w:rPr>
                <w:rFonts w:eastAsia="Times New Roman"/>
                <w:bCs/>
                <w:szCs w:val="24"/>
                <w:lang w:eastAsia="tr-TR"/>
              </w:rPr>
              <w:t>hükümleri saklıdır.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szCs w:val="24"/>
              </w:rPr>
            </w:pPr>
            <w:r w:rsidRPr="00A23740">
              <w:rPr>
                <w:b/>
                <w:strike/>
                <w:color w:val="FF0000"/>
                <w:szCs w:val="24"/>
              </w:rPr>
              <w:t>VI.</w:t>
            </w:r>
            <w:r w:rsidRPr="00A23740">
              <w:rPr>
                <w:szCs w:val="24"/>
              </w:rPr>
              <w:t xml:space="preserve"> PARALARIN PAYLAŞTlRlLMASl</w:t>
            </w:r>
          </w:p>
          <w:p w:rsidR="00AA5C8C" w:rsidRPr="00A23740" w:rsidRDefault="00AA5C8C" w:rsidP="009431FF">
            <w:pPr>
              <w:tabs>
                <w:tab w:val="left" w:pos="567"/>
              </w:tabs>
              <w:rPr>
                <w:szCs w:val="24"/>
              </w:rPr>
            </w:pPr>
          </w:p>
          <w:p w:rsidR="00AA5C8C" w:rsidRPr="00A23740" w:rsidRDefault="00AA5C8C" w:rsidP="009431FF">
            <w:pPr>
              <w:tabs>
                <w:tab w:val="left" w:pos="567"/>
              </w:tabs>
              <w:rPr>
                <w:i/>
                <w:szCs w:val="24"/>
              </w:rPr>
            </w:pPr>
            <w:r w:rsidRPr="00A23740">
              <w:rPr>
                <w:i/>
                <w:szCs w:val="24"/>
              </w:rPr>
              <w:t>Pay cetveli ve son hesap</w:t>
            </w:r>
            <w:r w:rsidRPr="00A23740">
              <w:rPr>
                <w:b/>
                <w:i/>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247 – (1)</w:t>
            </w:r>
            <w:r w:rsidRPr="00A23740">
              <w:rPr>
                <w:b/>
                <w:szCs w:val="24"/>
              </w:rPr>
              <w:t xml:space="preserve"> </w:t>
            </w:r>
            <w:r w:rsidRPr="00A23740">
              <w:rPr>
                <w:szCs w:val="24"/>
              </w:rPr>
              <w:t xml:space="preserve">Satılan malların bedeli tahsil </w:t>
            </w:r>
            <w:r w:rsidRPr="00A23740">
              <w:rPr>
                <w:b/>
                <w:strike/>
                <w:color w:val="FF0000"/>
                <w:szCs w:val="24"/>
              </w:rPr>
              <w:t>edilip alacaklıların sıra cetveli katileşince iflas idaresi paraların pay cetvelini</w:t>
            </w:r>
            <w:r w:rsidRPr="00A23740">
              <w:rPr>
                <w:szCs w:val="24"/>
              </w:rPr>
              <w:t xml:space="preserve"> ve son hesabı</w:t>
            </w:r>
            <w:r w:rsidRPr="00A23740">
              <w:rPr>
                <w:b/>
                <w:strike/>
                <w:color w:val="FF0000"/>
                <w:szCs w:val="24"/>
              </w:rPr>
              <w:t>nı</w:t>
            </w:r>
            <w:r w:rsidRPr="00A23740">
              <w:rPr>
                <w:szCs w:val="24"/>
              </w:rPr>
              <w:t xml:space="preserve"> yapar.</w:t>
            </w:r>
          </w:p>
        </w:tc>
        <w:tc>
          <w:tcPr>
            <w:tcW w:w="2500" w:type="pct"/>
          </w:tcPr>
          <w:p w:rsidR="00AA5C8C" w:rsidRPr="00A23740" w:rsidRDefault="00AA5C8C" w:rsidP="009431FF">
            <w:pPr>
              <w:pStyle w:val="MAV"/>
              <w:jc w:val="center"/>
              <w:rPr>
                <w:u w:val="none"/>
                <w:lang w:val="tr-TR"/>
              </w:rPr>
            </w:pPr>
            <w:r w:rsidRPr="00A23740">
              <w:rPr>
                <w:u w:val="none"/>
                <w:lang w:val="tr-TR"/>
              </w:rPr>
              <w:t>ALTINCI AYRIM</w:t>
            </w:r>
          </w:p>
          <w:p w:rsidR="00AA5C8C" w:rsidRPr="00A23740" w:rsidRDefault="00AA5C8C" w:rsidP="009431FF">
            <w:pPr>
              <w:pStyle w:val="MAV"/>
              <w:jc w:val="center"/>
              <w:rPr>
                <w:u w:val="none"/>
                <w:lang w:val="tr-TR"/>
              </w:rPr>
            </w:pPr>
            <w:r w:rsidRPr="00A23740">
              <w:rPr>
                <w:u w:val="none"/>
                <w:lang w:val="tr-TR"/>
              </w:rPr>
              <w:t>Paraların Paylaştırılması ve Aciz Belgesi</w:t>
            </w:r>
          </w:p>
          <w:p w:rsidR="00AA5C8C" w:rsidRPr="00A23740" w:rsidRDefault="00AA5C8C" w:rsidP="009431FF">
            <w:pPr>
              <w:pStyle w:val="MAV"/>
              <w:jc w:val="center"/>
              <w:rPr>
                <w:u w:val="none"/>
                <w:lang w:val="tr-TR"/>
              </w:rPr>
            </w:pPr>
          </w:p>
          <w:p w:rsidR="00AA5C8C" w:rsidRPr="00A23740" w:rsidRDefault="00AA5C8C" w:rsidP="009431FF">
            <w:pPr>
              <w:tabs>
                <w:tab w:val="left" w:pos="567"/>
              </w:tabs>
              <w:rPr>
                <w:b/>
                <w:szCs w:val="24"/>
              </w:rPr>
            </w:pPr>
            <w:r w:rsidRPr="00A23740">
              <w:rPr>
                <w:b/>
                <w:szCs w:val="24"/>
              </w:rPr>
              <w:t xml:space="preserve">Pay cetveli ve son hesap </w:t>
            </w:r>
          </w:p>
          <w:p w:rsidR="00AA5C8C" w:rsidRPr="00A23740" w:rsidRDefault="00AA5C8C" w:rsidP="009431FF">
            <w:pPr>
              <w:tabs>
                <w:tab w:val="left" w:pos="567"/>
              </w:tabs>
              <w:rPr>
                <w:szCs w:val="24"/>
              </w:rPr>
            </w:pPr>
            <w:r w:rsidRPr="00A23740">
              <w:rPr>
                <w:rStyle w:val="MAVChar"/>
                <w:rFonts w:eastAsia="Calibri"/>
                <w:u w:val="none"/>
              </w:rPr>
              <w:t xml:space="preserve">MADDE </w:t>
            </w:r>
            <w:r w:rsidR="00231B02" w:rsidRPr="00A23740">
              <w:rPr>
                <w:rStyle w:val="MaviChar"/>
              </w:rPr>
              <w:t>364</w:t>
            </w:r>
            <w:r w:rsidRPr="00A23740">
              <w:rPr>
                <w:rStyle w:val="MaviChar"/>
              </w:rPr>
              <w:t>-</w:t>
            </w:r>
            <w:r w:rsidRPr="00A23740">
              <w:rPr>
                <w:rStyle w:val="MAVChar"/>
                <w:rFonts w:eastAsia="Calibri"/>
                <w:u w:val="none"/>
              </w:rPr>
              <w:t xml:space="preserve"> (</w:t>
            </w:r>
            <w:r w:rsidRPr="00A23740">
              <w:rPr>
                <w:b/>
                <w:color w:val="0000FF"/>
                <w:szCs w:val="24"/>
              </w:rPr>
              <w:t>1)</w:t>
            </w:r>
            <w:r w:rsidRPr="00A23740">
              <w:rPr>
                <w:b/>
                <w:szCs w:val="24"/>
              </w:rPr>
              <w:t xml:space="preserve"> </w:t>
            </w:r>
            <w:r w:rsidRPr="00A23740">
              <w:rPr>
                <w:szCs w:val="24"/>
              </w:rPr>
              <w:t xml:space="preserve">Satılan malların bedeli tahsil </w:t>
            </w:r>
            <w:r w:rsidRPr="00A23740">
              <w:rPr>
                <w:b/>
                <w:color w:val="0000FF"/>
                <w:szCs w:val="24"/>
              </w:rPr>
              <w:t xml:space="preserve">edildikten sonra iflas idaresi, kesinleşen sıra cetveline göre bir pay cetveli düzenler </w:t>
            </w:r>
            <w:r w:rsidRPr="00A23740">
              <w:rPr>
                <w:szCs w:val="24"/>
              </w:rPr>
              <w:t>ve son hesabı yapar.</w:t>
            </w:r>
          </w:p>
          <w:p w:rsidR="00AA5C8C" w:rsidRPr="00A23740" w:rsidRDefault="00AA5C8C" w:rsidP="009431FF">
            <w:pPr>
              <w:tabs>
                <w:tab w:val="left" w:pos="567"/>
              </w:tabs>
              <w:rPr>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37470" w:rsidRPr="00A23740" w:rsidRDefault="00D37470" w:rsidP="009431FF">
            <w:pPr>
              <w:tabs>
                <w:tab w:val="left" w:pos="567"/>
              </w:tabs>
              <w:ind w:firstLine="567"/>
              <w:rPr>
                <w:b/>
                <w:bCs/>
                <w:color w:val="000000"/>
                <w:szCs w:val="24"/>
                <w:lang w:val="x-none" w:eastAsia="x-none"/>
              </w:rPr>
            </w:pPr>
          </w:p>
          <w:p w:rsidR="00D37470" w:rsidRPr="00A23740" w:rsidRDefault="00231B02" w:rsidP="009431FF">
            <w:pPr>
              <w:tabs>
                <w:tab w:val="left" w:pos="567"/>
              </w:tabs>
              <w:ind w:firstLine="567"/>
              <w:rPr>
                <w:bCs/>
                <w:color w:val="000000"/>
                <w:szCs w:val="24"/>
                <w:lang w:eastAsia="x-none"/>
              </w:rPr>
            </w:pPr>
            <w:r w:rsidRPr="00A23740">
              <w:rPr>
                <w:b/>
                <w:bCs/>
                <w:color w:val="000000"/>
                <w:szCs w:val="24"/>
                <w:lang w:val="x-none" w:eastAsia="x-none"/>
              </w:rPr>
              <w:t>MADDE 364</w:t>
            </w:r>
            <w:r w:rsidR="00D37470" w:rsidRPr="00A23740">
              <w:rPr>
                <w:b/>
                <w:bCs/>
                <w:color w:val="000000"/>
                <w:szCs w:val="24"/>
                <w:lang w:val="x-none" w:eastAsia="x-none"/>
              </w:rPr>
              <w:t>-</w:t>
            </w:r>
            <w:r w:rsidR="00D37470" w:rsidRPr="00A23740">
              <w:rPr>
                <w:bCs/>
                <w:color w:val="000000"/>
                <w:szCs w:val="24"/>
                <w:lang w:val="x-none" w:eastAsia="x-none"/>
              </w:rPr>
              <w:t xml:space="preserve"> </w:t>
            </w:r>
            <w:r w:rsidR="00D37470" w:rsidRPr="00A23740">
              <w:rPr>
                <w:bCs/>
                <w:color w:val="000000"/>
                <w:szCs w:val="24"/>
                <w:lang w:eastAsia="x-none"/>
              </w:rPr>
              <w:t xml:space="preserve">Maddeyle, pay cetveli ve son hesaba ilişkin hususlar düzenlenmektedir. Hüküm, 2004 sayılı Kanunun 247 nci maddesine karşılık gelmektedir. </w:t>
            </w:r>
          </w:p>
          <w:p w:rsidR="00D37470" w:rsidRPr="00A23740" w:rsidRDefault="00D37470" w:rsidP="009431FF">
            <w:pPr>
              <w:tabs>
                <w:tab w:val="left" w:pos="567"/>
              </w:tabs>
              <w:ind w:firstLine="567"/>
              <w:rPr>
                <w:bCs/>
                <w:color w:val="000000"/>
                <w:szCs w:val="24"/>
                <w:lang w:eastAsia="x-none"/>
              </w:rPr>
            </w:pPr>
            <w:r w:rsidRPr="00A23740">
              <w:rPr>
                <w:bCs/>
                <w:color w:val="000000"/>
                <w:szCs w:val="24"/>
                <w:lang w:eastAsia="x-none"/>
              </w:rPr>
              <w:t>Maddeye göre, satılan malların bedeli tahsil edildikten sonra iflas idaresi, kesinleşen sıra cetveline göre bir pay cetveli düzenler ve son hesabı yapar.</w:t>
            </w:r>
            <w:r w:rsidR="0006716D" w:rsidRPr="00A23740">
              <w:rPr>
                <w:bCs/>
                <w:color w:val="000000"/>
                <w:szCs w:val="24"/>
                <w:lang w:eastAsia="x-none"/>
              </w:rPr>
              <w:t xml:space="preserve"> </w:t>
            </w:r>
            <w:r w:rsidR="0006716D" w:rsidRPr="00237377">
              <w:t>Uygulamada maalesef pek yerine getirilmeyen bu husus aslında Taslakta emredici şekilde düzenlenmiş olup</w:t>
            </w:r>
            <w:r w:rsidR="00773EFA" w:rsidRPr="00237377">
              <w:t>,</w:t>
            </w:r>
            <w:r w:rsidR="0006716D" w:rsidRPr="00237377">
              <w:t xml:space="preserve"> pay cetvelinin ve son hesabın hazırlanıp gerçekleştirilmemiş olması iflasın kapanmasına engel teşkil edecektir.</w:t>
            </w:r>
            <w:r w:rsidR="0006716D" w:rsidRPr="00A23740">
              <w:rPr>
                <w:bCs/>
                <w:color w:val="000000"/>
                <w:szCs w:val="24"/>
                <w:lang w:eastAsia="x-none"/>
              </w:rPr>
              <w:t xml:space="preserve"> </w:t>
            </w:r>
          </w:p>
          <w:p w:rsidR="00AA5C8C" w:rsidRPr="00A23740" w:rsidRDefault="00AA5C8C"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İflas </w:t>
            </w:r>
            <w:r w:rsidRPr="00A23740">
              <w:rPr>
                <w:rStyle w:val="KIRMIZIChar"/>
                <w:rFonts w:eastAsia="Calibri"/>
              </w:rPr>
              <w:t>masrafları</w:t>
            </w:r>
            <w:r w:rsidRPr="00A23740">
              <w:rPr>
                <w:szCs w:val="24"/>
              </w:rPr>
              <w:t xml:space="preserve"> ve masanın borçları</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248 – (1)</w:t>
            </w:r>
            <w:r w:rsidRPr="00A23740">
              <w:rPr>
                <w:b/>
                <w:szCs w:val="24"/>
              </w:rPr>
              <w:t xml:space="preserve"> </w:t>
            </w:r>
            <w:r w:rsidRPr="00A23740">
              <w:rPr>
                <w:szCs w:val="24"/>
              </w:rPr>
              <w:t xml:space="preserve">İflasın açılmasından ve tasfiyeden doğan </w:t>
            </w:r>
            <w:r w:rsidRPr="00A23740">
              <w:rPr>
                <w:rStyle w:val="KIRMIZIChar"/>
                <w:rFonts w:eastAsia="Calibri"/>
              </w:rPr>
              <w:t>masraflar</w:t>
            </w:r>
            <w:r w:rsidRPr="00A23740">
              <w:rPr>
                <w:szCs w:val="24"/>
              </w:rPr>
              <w:t xml:space="preserve"> önce </w:t>
            </w:r>
            <w:r w:rsidRPr="00A23740">
              <w:rPr>
                <w:b/>
                <w:strike/>
                <w:color w:val="FF0000"/>
                <w:szCs w:val="24"/>
              </w:rPr>
              <w:t>çıkarılır</w:t>
            </w:r>
            <w:r w:rsidRPr="00A23740">
              <w:rPr>
                <w:szCs w:val="24"/>
              </w:rPr>
              <w:t>. Rehinl</w:t>
            </w:r>
            <w:r w:rsidRPr="00A23740">
              <w:rPr>
                <w:b/>
                <w:strike/>
                <w:color w:val="FF0000"/>
                <w:szCs w:val="24"/>
              </w:rPr>
              <w:t>erin bedelinden yalnız</w:t>
            </w:r>
            <w:r w:rsidRPr="00A23740">
              <w:rPr>
                <w:szCs w:val="24"/>
              </w:rPr>
              <w:t xml:space="preserve"> reh</w:t>
            </w:r>
            <w:r w:rsidRPr="00A23740">
              <w:rPr>
                <w:b/>
                <w:strike/>
                <w:color w:val="FF0000"/>
                <w:szCs w:val="24"/>
              </w:rPr>
              <w:t>i</w:t>
            </w:r>
            <w:r w:rsidRPr="00A23740">
              <w:rPr>
                <w:szCs w:val="24"/>
              </w:rPr>
              <w:t xml:space="preserve">nin muhafaza ve paraya çevrilmesi masrafları </w:t>
            </w:r>
            <w:r w:rsidRPr="00A23740">
              <w:rPr>
                <w:b/>
                <w:strike/>
                <w:color w:val="FF0000"/>
                <w:szCs w:val="24"/>
              </w:rPr>
              <w:t>çıkarılır</w:t>
            </w:r>
            <w:r w:rsidRPr="00A23740">
              <w:rPr>
                <w:szCs w:val="24"/>
              </w:rPr>
              <w:t>.</w:t>
            </w:r>
          </w:p>
        </w:tc>
        <w:tc>
          <w:tcPr>
            <w:tcW w:w="2500" w:type="pct"/>
          </w:tcPr>
          <w:p w:rsidR="00AA5C8C" w:rsidRPr="00A23740" w:rsidRDefault="00AA5C8C" w:rsidP="009431FF">
            <w:pPr>
              <w:rPr>
                <w:b/>
                <w:szCs w:val="24"/>
              </w:rPr>
            </w:pPr>
            <w:r w:rsidRPr="00A23740">
              <w:rPr>
                <w:b/>
                <w:szCs w:val="24"/>
              </w:rPr>
              <w:t xml:space="preserve">İflas </w:t>
            </w:r>
            <w:r w:rsidRPr="00A23740">
              <w:rPr>
                <w:rStyle w:val="MaviChar"/>
              </w:rPr>
              <w:t>giderleri</w:t>
            </w:r>
            <w:r w:rsidRPr="00A23740">
              <w:rPr>
                <w:b/>
                <w:szCs w:val="24"/>
              </w:rPr>
              <w:t xml:space="preserve"> ve masanın borçları</w:t>
            </w:r>
          </w:p>
          <w:p w:rsidR="00AA5C8C" w:rsidRPr="00A23740" w:rsidRDefault="00231B02" w:rsidP="009431FF">
            <w:pPr>
              <w:rPr>
                <w:b/>
                <w:color w:val="0000FF"/>
                <w:szCs w:val="24"/>
              </w:rPr>
            </w:pPr>
            <w:r w:rsidRPr="00A23740">
              <w:rPr>
                <w:rStyle w:val="MAVChar"/>
                <w:rFonts w:eastAsia="Calibri"/>
                <w:u w:val="none"/>
              </w:rPr>
              <w:t>MADDE 365</w:t>
            </w:r>
            <w:r w:rsidR="00AA5C8C" w:rsidRPr="00A23740">
              <w:rPr>
                <w:rStyle w:val="MAVChar"/>
                <w:rFonts w:eastAsia="Calibri"/>
                <w:u w:val="none"/>
              </w:rPr>
              <w:t>- (</w:t>
            </w:r>
            <w:r w:rsidR="00AA5C8C" w:rsidRPr="00A23740">
              <w:rPr>
                <w:b/>
                <w:color w:val="0000FF"/>
                <w:szCs w:val="24"/>
              </w:rPr>
              <w:t>1)</w:t>
            </w:r>
            <w:r w:rsidR="00AA5C8C" w:rsidRPr="00A23740">
              <w:rPr>
                <w:b/>
                <w:szCs w:val="24"/>
              </w:rPr>
              <w:t xml:space="preserve"> </w:t>
            </w:r>
            <w:r w:rsidR="00AA5C8C" w:rsidRPr="00A23740">
              <w:rPr>
                <w:szCs w:val="24"/>
              </w:rPr>
              <w:t xml:space="preserve">İflasın açılmasından ve tasfiyeden doğan </w:t>
            </w:r>
            <w:r w:rsidR="00AA5C8C" w:rsidRPr="00A23740">
              <w:rPr>
                <w:rStyle w:val="MaviChar"/>
              </w:rPr>
              <w:t>giderler</w:t>
            </w:r>
            <w:r w:rsidR="00AA5C8C" w:rsidRPr="00A23740">
              <w:rPr>
                <w:szCs w:val="24"/>
              </w:rPr>
              <w:t xml:space="preserve"> </w:t>
            </w:r>
            <w:r w:rsidR="00AA5C8C" w:rsidRPr="00A23740">
              <w:rPr>
                <w:b/>
                <w:color w:val="0000FF"/>
                <w:szCs w:val="24"/>
              </w:rPr>
              <w:t>ile masa borçları</w:t>
            </w:r>
            <w:r w:rsidR="00AA5C8C" w:rsidRPr="00A23740">
              <w:rPr>
                <w:szCs w:val="24"/>
              </w:rPr>
              <w:t xml:space="preserve"> öncelikle </w:t>
            </w:r>
            <w:r w:rsidR="00AA5C8C" w:rsidRPr="00A23740">
              <w:rPr>
                <w:b/>
                <w:color w:val="0000FF"/>
                <w:szCs w:val="24"/>
              </w:rPr>
              <w:t>ödenir</w:t>
            </w:r>
            <w:r w:rsidR="00AA5C8C" w:rsidRPr="00A23740">
              <w:rPr>
                <w:szCs w:val="24"/>
              </w:rPr>
              <w:t xml:space="preserve">. </w:t>
            </w:r>
          </w:p>
          <w:p w:rsidR="00AA5C8C" w:rsidRPr="00A23740" w:rsidRDefault="00AA5C8C" w:rsidP="009431FF">
            <w:pPr>
              <w:rPr>
                <w:b/>
                <w:color w:val="FF0000"/>
                <w:szCs w:val="24"/>
              </w:rPr>
            </w:pPr>
          </w:p>
          <w:p w:rsidR="00AA5C8C" w:rsidRPr="00A23740" w:rsidRDefault="00AA5C8C" w:rsidP="009431FF">
            <w:pPr>
              <w:pStyle w:val="KIRMIZI"/>
              <w:rPr>
                <w:b w:val="0"/>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D37470" w:rsidRPr="00A23740" w:rsidRDefault="00D37470" w:rsidP="009431FF">
            <w:pPr>
              <w:tabs>
                <w:tab w:val="left" w:pos="567"/>
              </w:tabs>
              <w:ind w:firstLine="567"/>
              <w:rPr>
                <w:b/>
                <w:bCs/>
                <w:color w:val="000000"/>
                <w:szCs w:val="24"/>
                <w:lang w:val="x-none" w:eastAsia="x-none"/>
              </w:rPr>
            </w:pPr>
          </w:p>
          <w:p w:rsidR="00D37470" w:rsidRPr="00A23740" w:rsidRDefault="00231B02" w:rsidP="009431FF">
            <w:pPr>
              <w:tabs>
                <w:tab w:val="left" w:pos="567"/>
              </w:tabs>
              <w:ind w:firstLine="567"/>
              <w:rPr>
                <w:bCs/>
                <w:color w:val="000000"/>
                <w:szCs w:val="24"/>
                <w:lang w:eastAsia="x-none"/>
              </w:rPr>
            </w:pPr>
            <w:r w:rsidRPr="00A23740">
              <w:rPr>
                <w:b/>
                <w:bCs/>
                <w:color w:val="000000"/>
                <w:szCs w:val="24"/>
                <w:lang w:val="x-none" w:eastAsia="x-none"/>
              </w:rPr>
              <w:t>MADDE 365</w:t>
            </w:r>
            <w:r w:rsidR="00D37470" w:rsidRPr="00A23740">
              <w:rPr>
                <w:b/>
                <w:bCs/>
                <w:color w:val="000000"/>
                <w:szCs w:val="24"/>
                <w:lang w:val="x-none" w:eastAsia="x-none"/>
              </w:rPr>
              <w:t>-</w:t>
            </w:r>
            <w:r w:rsidR="00D37470" w:rsidRPr="00A23740">
              <w:rPr>
                <w:bCs/>
                <w:color w:val="000000"/>
                <w:szCs w:val="24"/>
                <w:lang w:val="x-none" w:eastAsia="x-none"/>
              </w:rPr>
              <w:t xml:space="preserve"> </w:t>
            </w:r>
            <w:r w:rsidR="00D37470" w:rsidRPr="00A23740">
              <w:rPr>
                <w:bCs/>
                <w:color w:val="000000"/>
                <w:szCs w:val="24"/>
                <w:lang w:eastAsia="x-none"/>
              </w:rPr>
              <w:t>Maddeyle, iflas giderleri</w:t>
            </w:r>
            <w:r w:rsidR="00773EFA" w:rsidRPr="00A23740">
              <w:rPr>
                <w:bCs/>
                <w:color w:val="000000"/>
                <w:szCs w:val="24"/>
                <w:lang w:eastAsia="x-none"/>
              </w:rPr>
              <w:t>ne</w:t>
            </w:r>
            <w:r w:rsidR="00D37470" w:rsidRPr="00A23740">
              <w:rPr>
                <w:bCs/>
                <w:color w:val="000000"/>
                <w:szCs w:val="24"/>
                <w:lang w:eastAsia="x-none"/>
              </w:rPr>
              <w:t xml:space="preserve"> ve masanın borçlarına ilişkin hususlar düzenlenmektedir. Hüküm, 2004 sayılı Kanunun 248 inci maddesine karşılık gelmektedir. </w:t>
            </w:r>
          </w:p>
          <w:p w:rsidR="00050C04" w:rsidRDefault="0006716D" w:rsidP="009431FF">
            <w:pPr>
              <w:tabs>
                <w:tab w:val="left" w:pos="567"/>
              </w:tabs>
              <w:ind w:firstLine="567"/>
              <w:rPr>
                <w:bCs/>
                <w:color w:val="000000"/>
                <w:szCs w:val="24"/>
                <w:lang w:eastAsia="x-none"/>
              </w:rPr>
            </w:pPr>
            <w:r w:rsidRPr="00A23740">
              <w:rPr>
                <w:bCs/>
                <w:color w:val="000000"/>
                <w:szCs w:val="24"/>
                <w:lang w:eastAsia="x-none"/>
              </w:rPr>
              <w:t>Maddeye göre,</w:t>
            </w:r>
            <w:r w:rsidR="00D37470" w:rsidRPr="00A23740">
              <w:rPr>
                <w:bCs/>
                <w:color w:val="000000"/>
                <w:szCs w:val="24"/>
                <w:lang w:eastAsia="x-none"/>
              </w:rPr>
              <w:t xml:space="preserve"> iflasın açılmasından ve tasfiyeden doğan giderler ile masa borçları öncelikle ödenir.</w:t>
            </w:r>
            <w:r w:rsidR="00050C04" w:rsidRPr="00A23740">
              <w:rPr>
                <w:bCs/>
                <w:color w:val="000000"/>
                <w:szCs w:val="24"/>
                <w:lang w:eastAsia="x-none"/>
              </w:rPr>
              <w:t xml:space="preserve"> Bu hüküm,</w:t>
            </w:r>
            <w:r w:rsidR="00693D5F" w:rsidRPr="00A23740">
              <w:rPr>
                <w:bCs/>
                <w:color w:val="000000"/>
                <w:szCs w:val="24"/>
                <w:lang w:eastAsia="x-none"/>
              </w:rPr>
              <w:t xml:space="preserve"> </w:t>
            </w:r>
            <w:r w:rsidR="00050C04" w:rsidRPr="00A23740">
              <w:rPr>
                <w:bCs/>
                <w:color w:val="000000"/>
                <w:szCs w:val="24"/>
                <w:lang w:eastAsia="x-none"/>
              </w:rPr>
              <w:t>adi ve rehin</w:t>
            </w:r>
            <w:r w:rsidRPr="00A23740">
              <w:rPr>
                <w:bCs/>
                <w:color w:val="000000"/>
                <w:szCs w:val="24"/>
                <w:lang w:eastAsia="x-none"/>
              </w:rPr>
              <w:t>li alacakların sırasıyla ilgili</w:t>
            </w:r>
            <w:r w:rsidR="00693D5F" w:rsidRPr="00A23740">
              <w:rPr>
                <w:bCs/>
                <w:color w:val="000000"/>
                <w:szCs w:val="24"/>
                <w:lang w:eastAsia="x-none"/>
              </w:rPr>
              <w:t xml:space="preserve"> </w:t>
            </w:r>
            <w:r w:rsidR="00693D5F" w:rsidRPr="00237377">
              <w:t>317 nci</w:t>
            </w:r>
            <w:r w:rsidR="00693D5F" w:rsidRPr="00A23740">
              <w:rPr>
                <w:bCs/>
                <w:color w:val="000000"/>
                <w:szCs w:val="24"/>
                <w:lang w:eastAsia="x-none"/>
              </w:rPr>
              <w:t xml:space="preserve"> </w:t>
            </w:r>
            <w:r w:rsidR="00050C04" w:rsidRPr="00A23740">
              <w:rPr>
                <w:bCs/>
                <w:color w:val="000000"/>
                <w:szCs w:val="24"/>
                <w:lang w:eastAsia="x-none"/>
              </w:rPr>
              <w:t>madde hükmü</w:t>
            </w:r>
            <w:r w:rsidR="00773EFA" w:rsidRPr="00A23740">
              <w:rPr>
                <w:bCs/>
                <w:color w:val="000000"/>
                <w:szCs w:val="24"/>
                <w:lang w:eastAsia="x-none"/>
              </w:rPr>
              <w:t>yle</w:t>
            </w:r>
            <w:r w:rsidR="00050C04" w:rsidRPr="00A23740">
              <w:rPr>
                <w:bCs/>
                <w:color w:val="000000"/>
                <w:szCs w:val="24"/>
                <w:lang w:eastAsia="x-none"/>
              </w:rPr>
              <w:t xml:space="preserve"> birlikte değerlendirilmel</w:t>
            </w:r>
            <w:r w:rsidR="00050C04" w:rsidRPr="00237377">
              <w:t>i</w:t>
            </w:r>
            <w:r w:rsidRPr="00237377">
              <w:t>dir.</w:t>
            </w:r>
          </w:p>
          <w:p w:rsidR="006A6763" w:rsidRPr="00A23740" w:rsidRDefault="006A6763" w:rsidP="009A013D">
            <w:pPr>
              <w:tabs>
                <w:tab w:val="left" w:pos="567"/>
              </w:tabs>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Pay cetvelinin iflas dairesine bırakılması</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249 – (1)</w:t>
            </w:r>
            <w:r w:rsidRPr="00A23740">
              <w:rPr>
                <w:b/>
                <w:szCs w:val="24"/>
              </w:rPr>
              <w:t xml:space="preserve"> </w:t>
            </w:r>
            <w:r w:rsidRPr="00A23740">
              <w:rPr>
                <w:szCs w:val="24"/>
              </w:rPr>
              <w:t xml:space="preserve">Pay cetveli ve son hesap iflas dairesine bırakılır ve orada </w:t>
            </w:r>
            <w:r w:rsidRPr="00A23740">
              <w:rPr>
                <w:b/>
                <w:strike/>
                <w:color w:val="FF0000"/>
                <w:szCs w:val="24"/>
              </w:rPr>
              <w:t>on gün</w:t>
            </w:r>
            <w:r w:rsidRPr="00A23740">
              <w:rPr>
                <w:szCs w:val="24"/>
              </w:rPr>
              <w:t xml:space="preserve"> kalır.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(2) İflas idaresince bırakılma keyfiyeti ve payının miktarı her alacaklıya bildirilir.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pStyle w:val="KIRMIZI"/>
            </w:pPr>
          </w:p>
        </w:tc>
        <w:tc>
          <w:tcPr>
            <w:tcW w:w="2500" w:type="pct"/>
          </w:tcPr>
          <w:p w:rsidR="00AA5C8C" w:rsidRPr="00A23740" w:rsidRDefault="00AA5C8C" w:rsidP="009431FF">
            <w:pPr>
              <w:tabs>
                <w:tab w:val="left" w:pos="567"/>
              </w:tabs>
              <w:rPr>
                <w:b/>
                <w:szCs w:val="24"/>
              </w:rPr>
            </w:pPr>
            <w:r w:rsidRPr="00A23740">
              <w:rPr>
                <w:b/>
                <w:szCs w:val="24"/>
              </w:rPr>
              <w:t>Pay cetvelinin iflas dairesine bırakılması</w:t>
            </w:r>
          </w:p>
          <w:p w:rsidR="00AA5C8C" w:rsidRPr="00A23740" w:rsidRDefault="00231B02" w:rsidP="009431FF">
            <w:pPr>
              <w:tabs>
                <w:tab w:val="left" w:pos="567"/>
              </w:tabs>
              <w:rPr>
                <w:szCs w:val="24"/>
              </w:rPr>
            </w:pPr>
            <w:r w:rsidRPr="00A23740">
              <w:rPr>
                <w:rStyle w:val="MaviChar"/>
                <w:lang w:val="tr-TR"/>
              </w:rPr>
              <w:t>MADDE 366</w:t>
            </w:r>
            <w:r w:rsidR="00AA5C8C" w:rsidRPr="00A23740">
              <w:rPr>
                <w:rStyle w:val="MaviChar"/>
                <w:lang w:val="tr-TR"/>
              </w:rPr>
              <w:t>- (1</w:t>
            </w:r>
            <w:r w:rsidR="00AA5C8C" w:rsidRPr="00A23740">
              <w:rPr>
                <w:b/>
                <w:color w:val="0000FF"/>
                <w:szCs w:val="24"/>
              </w:rPr>
              <w:t>)</w:t>
            </w:r>
            <w:r w:rsidR="00AA5C8C" w:rsidRPr="00A23740">
              <w:rPr>
                <w:b/>
                <w:szCs w:val="24"/>
              </w:rPr>
              <w:t xml:space="preserve"> </w:t>
            </w:r>
            <w:r w:rsidR="00AA5C8C" w:rsidRPr="00A23740">
              <w:rPr>
                <w:szCs w:val="24"/>
              </w:rPr>
              <w:t xml:space="preserve">Pay cetveli ve son hesap iflas dairesine bırakılır ve orada </w:t>
            </w:r>
            <w:r w:rsidR="00AA5C8C" w:rsidRPr="00A23740">
              <w:rPr>
                <w:b/>
                <w:color w:val="0000FF"/>
                <w:szCs w:val="24"/>
              </w:rPr>
              <w:t>iki hafta</w:t>
            </w:r>
            <w:r w:rsidR="00AA5C8C" w:rsidRPr="00A23740">
              <w:rPr>
                <w:szCs w:val="24"/>
              </w:rPr>
              <w:t xml:space="preserve"> kalır.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 xml:space="preserve">(2) Pay cetveli ve son hesabın iflas dairesine bırakıldığı hususu </w:t>
            </w:r>
            <w:r w:rsidRPr="00A23740">
              <w:rPr>
                <w:rStyle w:val="MaviChar"/>
              </w:rPr>
              <w:t xml:space="preserve">UYAP ilan portalındaki usule göre </w:t>
            </w:r>
            <w:r w:rsidR="00B069D9" w:rsidRPr="00237377">
              <w:rPr>
                <w:rStyle w:val="MaviChar"/>
              </w:rPr>
              <w:t>ilan edilir.</w:t>
            </w:r>
            <w:r w:rsidRPr="00A23740">
              <w:rPr>
                <w:rStyle w:val="MaviChar"/>
              </w:rPr>
              <w:t xml:space="preserve"> Alacaklılar</w:t>
            </w:r>
            <w:r w:rsidRPr="00A23740">
              <w:rPr>
                <w:rStyle w:val="MaviChar"/>
                <w:lang w:val="tr-TR"/>
              </w:rPr>
              <w:t>,</w:t>
            </w:r>
            <w:r w:rsidRPr="00A23740">
              <w:rPr>
                <w:rStyle w:val="MaviChar"/>
              </w:rPr>
              <w:t xml:space="preserve"> </w:t>
            </w:r>
            <w:r w:rsidR="00B069D9" w:rsidRPr="00237377">
              <w:rPr>
                <w:rStyle w:val="MaviChar"/>
              </w:rPr>
              <w:t>ilandan</w:t>
            </w:r>
            <w:r w:rsidR="00B069D9" w:rsidRPr="00A23740">
              <w:rPr>
                <w:rStyle w:val="MaviChar"/>
                <w:lang w:val="tr-TR"/>
              </w:rPr>
              <w:t xml:space="preserve"> </w:t>
            </w:r>
            <w:r w:rsidRPr="00A23740">
              <w:rPr>
                <w:rStyle w:val="MaviChar"/>
              </w:rPr>
              <w:t>itibaren bir hafta içinde pay cetveli ve son hesap hakkında iflas mahkemesi nezdinde şik</w:t>
            </w:r>
            <w:r w:rsidR="008D1615" w:rsidRPr="00A23740">
              <w:rPr>
                <w:rStyle w:val="MaviChar"/>
                <w:lang w:val="tr-TR"/>
              </w:rPr>
              <w:t>â</w:t>
            </w:r>
            <w:r w:rsidRPr="00A23740">
              <w:rPr>
                <w:rStyle w:val="MaviChar"/>
              </w:rPr>
              <w:t>yet yoluna başvurabilir.</w:t>
            </w:r>
            <w:r w:rsidR="00D112FA" w:rsidRPr="00A23740">
              <w:rPr>
                <w:rStyle w:val="MaviChar"/>
                <w:lang w:val="tr-TR"/>
              </w:rPr>
              <w:t xml:space="preserve"> </w:t>
            </w:r>
            <w:r w:rsidR="00D112FA" w:rsidRPr="00237377">
              <w:rPr>
                <w:rStyle w:val="MaviChar"/>
              </w:rPr>
              <w:t>340 ıncı</w:t>
            </w:r>
            <w:r w:rsidRPr="00A23740">
              <w:rPr>
                <w:rStyle w:val="MaviChar"/>
              </w:rPr>
              <w:t xml:space="preserve"> maddenin üçüncü fıkrası hükmü saklıdır.</w:t>
            </w:r>
          </w:p>
          <w:p w:rsidR="00AA5C8C" w:rsidRPr="00A23740" w:rsidRDefault="00AA5C8C" w:rsidP="009431FF">
            <w:pPr>
              <w:pStyle w:val="KIRMIZI"/>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A45F5" w:rsidRPr="00A23740" w:rsidRDefault="003A45F5" w:rsidP="009431FF">
            <w:pPr>
              <w:tabs>
                <w:tab w:val="left" w:pos="567"/>
              </w:tabs>
              <w:ind w:firstLine="567"/>
              <w:rPr>
                <w:b/>
                <w:bCs/>
                <w:color w:val="000000"/>
                <w:szCs w:val="24"/>
                <w:lang w:val="x-none" w:eastAsia="x-none"/>
              </w:rPr>
            </w:pPr>
          </w:p>
          <w:p w:rsidR="003A45F5" w:rsidRPr="00A23740" w:rsidRDefault="00231B02" w:rsidP="009431FF">
            <w:pPr>
              <w:tabs>
                <w:tab w:val="left" w:pos="567"/>
              </w:tabs>
              <w:ind w:firstLine="567"/>
              <w:rPr>
                <w:bCs/>
                <w:color w:val="000000"/>
                <w:szCs w:val="24"/>
                <w:lang w:eastAsia="x-none"/>
              </w:rPr>
            </w:pPr>
            <w:r w:rsidRPr="00A23740">
              <w:rPr>
                <w:b/>
                <w:bCs/>
                <w:color w:val="000000"/>
                <w:szCs w:val="24"/>
                <w:lang w:val="x-none" w:eastAsia="x-none"/>
              </w:rPr>
              <w:t>MADDE 366</w:t>
            </w:r>
            <w:r w:rsidR="003A45F5" w:rsidRPr="00A23740">
              <w:rPr>
                <w:b/>
                <w:bCs/>
                <w:color w:val="000000"/>
                <w:szCs w:val="24"/>
                <w:lang w:val="x-none" w:eastAsia="x-none"/>
              </w:rPr>
              <w:t>-</w:t>
            </w:r>
            <w:r w:rsidR="003A45F5" w:rsidRPr="00A23740">
              <w:rPr>
                <w:bCs/>
                <w:color w:val="000000"/>
                <w:szCs w:val="24"/>
                <w:lang w:val="x-none" w:eastAsia="x-none"/>
              </w:rPr>
              <w:t xml:space="preserve"> </w:t>
            </w:r>
            <w:r w:rsidR="003A45F5" w:rsidRPr="00A23740">
              <w:rPr>
                <w:bCs/>
                <w:color w:val="000000"/>
                <w:szCs w:val="24"/>
                <w:lang w:eastAsia="x-none"/>
              </w:rPr>
              <w:t>Maddeyle, pay cetvelinin iflas dairesine bırakılmasına ilişkin hususlar düzenlenmektedir. Hüküm, 2004 sayılı Kanunun 249 uncu maddesine karşılık gelmektedir.</w:t>
            </w:r>
          </w:p>
          <w:p w:rsidR="003A45F5" w:rsidRPr="00A23740" w:rsidRDefault="003A45F5" w:rsidP="009431FF">
            <w:pPr>
              <w:tabs>
                <w:tab w:val="left" w:pos="567"/>
              </w:tabs>
              <w:ind w:firstLine="567"/>
              <w:rPr>
                <w:bCs/>
                <w:color w:val="000000"/>
                <w:szCs w:val="24"/>
                <w:lang w:eastAsia="x-none"/>
              </w:rPr>
            </w:pPr>
            <w:r w:rsidRPr="00A23740">
              <w:rPr>
                <w:bCs/>
                <w:color w:val="000000"/>
                <w:szCs w:val="24"/>
                <w:lang w:eastAsia="x-none"/>
              </w:rPr>
              <w:t xml:space="preserve">Birinci fıkrayla, pay cetvelinin ve son hesabın, iflas dairesine bırakılacağı ve orada iki hafta süreyle kalacağı hükme bağlanmaktadır. </w:t>
            </w:r>
          </w:p>
          <w:p w:rsidR="003A45F5" w:rsidRPr="00A23740" w:rsidRDefault="003A45F5" w:rsidP="009431FF">
            <w:pPr>
              <w:tabs>
                <w:tab w:val="left" w:pos="567"/>
              </w:tabs>
              <w:ind w:firstLine="567"/>
              <w:rPr>
                <w:bCs/>
                <w:color w:val="000000"/>
                <w:szCs w:val="24"/>
                <w:lang w:eastAsia="x-none"/>
              </w:rPr>
            </w:pPr>
            <w:r w:rsidRPr="00A23740">
              <w:rPr>
                <w:bCs/>
                <w:color w:val="000000"/>
                <w:szCs w:val="24"/>
                <w:lang w:eastAsia="x-none"/>
              </w:rPr>
              <w:t>İkinci fıkraya göre, pay cetveli ve son hesabın iflas dairesine bırakıldığı hususu UYAP ilan portalındaki usule göre</w:t>
            </w:r>
            <w:r w:rsidR="0003094B" w:rsidRPr="00A23740">
              <w:rPr>
                <w:bCs/>
                <w:color w:val="000000"/>
                <w:szCs w:val="24"/>
                <w:lang w:eastAsia="x-none"/>
              </w:rPr>
              <w:t xml:space="preserve"> </w:t>
            </w:r>
            <w:r w:rsidR="0003094B" w:rsidRPr="00237377">
              <w:t>ilan edilir.</w:t>
            </w:r>
            <w:r w:rsidRPr="00A23740">
              <w:rPr>
                <w:bCs/>
                <w:color w:val="000000"/>
                <w:szCs w:val="24"/>
                <w:lang w:eastAsia="x-none"/>
              </w:rPr>
              <w:t xml:space="preserve"> Bu kapsamda alacaklılar, </w:t>
            </w:r>
            <w:r w:rsidR="0003094B" w:rsidRPr="00237377">
              <w:t>ilandan</w:t>
            </w:r>
            <w:r w:rsidR="0003094B" w:rsidRPr="00A23740">
              <w:rPr>
                <w:bCs/>
                <w:color w:val="000000"/>
                <w:szCs w:val="24"/>
                <w:lang w:eastAsia="x-none"/>
              </w:rPr>
              <w:t xml:space="preserve"> </w:t>
            </w:r>
            <w:r w:rsidRPr="00A23740">
              <w:rPr>
                <w:bCs/>
                <w:color w:val="000000"/>
                <w:szCs w:val="24"/>
                <w:lang w:eastAsia="x-none"/>
              </w:rPr>
              <w:t>itibaren bir hafta içinde pay cetveli ve son hesap hakkında iflas mahkemesi nezdinde şik</w:t>
            </w:r>
            <w:r w:rsidR="008D1615" w:rsidRPr="00A23740">
              <w:rPr>
                <w:bCs/>
                <w:color w:val="000000"/>
                <w:szCs w:val="24"/>
                <w:lang w:eastAsia="x-none"/>
              </w:rPr>
              <w:t>â</w:t>
            </w:r>
            <w:r w:rsidRPr="00A23740">
              <w:rPr>
                <w:bCs/>
                <w:color w:val="000000"/>
                <w:szCs w:val="24"/>
                <w:lang w:eastAsia="x-none"/>
              </w:rPr>
              <w:t>yet yoluna başvurabilir</w:t>
            </w:r>
            <w:r w:rsidR="00B53F3A" w:rsidRPr="004219D4">
              <w:t>ler</w:t>
            </w:r>
            <w:r w:rsidR="0003094B" w:rsidRPr="00A23740">
              <w:rPr>
                <w:bCs/>
                <w:color w:val="000000"/>
                <w:szCs w:val="24"/>
                <w:lang w:eastAsia="x-none"/>
              </w:rPr>
              <w:t>.</w:t>
            </w:r>
            <w:r w:rsidRPr="00A23740">
              <w:rPr>
                <w:bCs/>
                <w:color w:val="000000"/>
                <w:szCs w:val="24"/>
                <w:lang w:eastAsia="x-none"/>
              </w:rPr>
              <w:t xml:space="preserve"> Buna göre, iflas idaresinin çalışma usulü ve ücretiyle ilgili </w:t>
            </w:r>
            <w:r w:rsidR="00D112FA" w:rsidRPr="00237377">
              <w:t>340 ıncı</w:t>
            </w:r>
            <w:r w:rsidR="00D112FA" w:rsidRPr="00A23740">
              <w:rPr>
                <w:rStyle w:val="MaviChar"/>
              </w:rPr>
              <w:t xml:space="preserve"> </w:t>
            </w:r>
            <w:r w:rsidR="00C00F6E">
              <w:rPr>
                <w:bCs/>
                <w:color w:val="000000"/>
                <w:szCs w:val="24"/>
                <w:lang w:eastAsia="x-none"/>
              </w:rPr>
              <w:t>maddenin üçüncü fıkrası</w:t>
            </w:r>
            <w:r w:rsidRPr="00A23740">
              <w:rPr>
                <w:bCs/>
                <w:color w:val="000000"/>
                <w:szCs w:val="24"/>
                <w:lang w:eastAsia="x-none"/>
              </w:rPr>
              <w:t xml:space="preserve"> hükmü </w:t>
            </w:r>
            <w:r w:rsidR="0003094B" w:rsidRPr="00A23740">
              <w:rPr>
                <w:bCs/>
                <w:color w:val="000000"/>
                <w:szCs w:val="24"/>
                <w:lang w:eastAsia="x-none"/>
              </w:rPr>
              <w:t>de dikkate alınmalıdır.</w:t>
            </w:r>
          </w:p>
          <w:p w:rsidR="006A6763" w:rsidRPr="00A23740" w:rsidRDefault="006A6763"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szCs w:val="24"/>
              </w:rPr>
            </w:pPr>
            <w:r w:rsidRPr="00A23740">
              <w:rPr>
                <w:szCs w:val="24"/>
              </w:rPr>
              <w:t>Dağıt</w:t>
            </w:r>
            <w:r w:rsidRPr="00A23740">
              <w:rPr>
                <w:b/>
                <w:strike/>
                <w:color w:val="FF0000"/>
                <w:szCs w:val="24"/>
              </w:rPr>
              <w:t>ma :</w:t>
            </w:r>
          </w:p>
          <w:p w:rsidR="00AA5C8C" w:rsidRPr="00A23740" w:rsidRDefault="00AA5C8C" w:rsidP="009431FF">
            <w:pPr>
              <w:widowControl w:val="0"/>
              <w:tabs>
                <w:tab w:val="left" w:pos="567"/>
              </w:tabs>
              <w:rPr>
                <w:b/>
                <w:szCs w:val="24"/>
              </w:rPr>
            </w:pPr>
            <w:r w:rsidRPr="00A23740">
              <w:rPr>
                <w:rStyle w:val="KIRMIZIChar"/>
                <w:rFonts w:eastAsia="Calibri"/>
              </w:rPr>
              <w:t>Madde 250– (1) (</w:t>
            </w:r>
            <w:r w:rsidRPr="00A23740">
              <w:rPr>
                <w:b/>
                <w:strike/>
                <w:color w:val="FF0000"/>
                <w:szCs w:val="24"/>
              </w:rPr>
              <w:t>Değişik: 17/7/2003-4949/57 md.)</w:t>
            </w:r>
          </w:p>
          <w:p w:rsidR="00AA5C8C" w:rsidRPr="00A23740" w:rsidRDefault="00AA5C8C" w:rsidP="009431FF">
            <w:pPr>
              <w:widowControl w:val="0"/>
              <w:tabs>
                <w:tab w:val="left" w:pos="567"/>
              </w:tabs>
              <w:rPr>
                <w:b/>
                <w:strike/>
                <w:color w:val="FF0000"/>
                <w:szCs w:val="24"/>
              </w:rPr>
            </w:pPr>
            <w:r w:rsidRPr="00A23740">
              <w:rPr>
                <w:szCs w:val="24"/>
              </w:rPr>
              <w:t xml:space="preserve">Dağıtıma </w:t>
            </w:r>
            <w:r w:rsidRPr="00A23740">
              <w:rPr>
                <w:b/>
                <w:strike/>
                <w:color w:val="FF0000"/>
                <w:szCs w:val="24"/>
              </w:rPr>
              <w:t>yukarıdaki maddede yazılı</w:t>
            </w:r>
            <w:r w:rsidRPr="00A23740">
              <w:rPr>
                <w:szCs w:val="24"/>
              </w:rPr>
              <w:t xml:space="preserve"> bırakılma </w:t>
            </w:r>
            <w:r w:rsidRPr="00A23740">
              <w:rPr>
                <w:b/>
                <w:strike/>
                <w:color w:val="FF0000"/>
                <w:szCs w:val="24"/>
              </w:rPr>
              <w:t>müddeti</w:t>
            </w:r>
            <w:r w:rsidRPr="00A23740">
              <w:rPr>
                <w:szCs w:val="24"/>
              </w:rPr>
              <w:t xml:space="preserve"> bittikten sonra başlanır. </w:t>
            </w:r>
            <w:r w:rsidRPr="00A23740">
              <w:rPr>
                <w:b/>
                <w:strike/>
                <w:color w:val="FF0000"/>
                <w:szCs w:val="24"/>
              </w:rPr>
              <w:t>Şikâyet vaki olmuşsa, dağıtım bu</w:t>
            </w:r>
            <w:r w:rsidRPr="00A23740">
              <w:rPr>
                <w:szCs w:val="24"/>
              </w:rPr>
              <w:t xml:space="preserve"> şikâyet üzerine verilecek kararın dağıtıma etkili olabileceği oranda ertelenebilir. </w:t>
            </w:r>
            <w:r w:rsidRPr="00A23740">
              <w:rPr>
                <w:rStyle w:val="KIRMIZIChar"/>
                <w:rFonts w:eastAsia="Calibri"/>
              </w:rPr>
              <w:t xml:space="preserve">144 üncü </w:t>
            </w:r>
            <w:r w:rsidRPr="00A23740">
              <w:rPr>
                <w:szCs w:val="24"/>
              </w:rPr>
              <w:t xml:space="preserve">madde hükümleri burada da uygulanır. </w:t>
            </w:r>
            <w:r w:rsidRPr="00A23740">
              <w:rPr>
                <w:b/>
                <w:strike/>
                <w:color w:val="FF0000"/>
                <w:szCs w:val="24"/>
              </w:rPr>
              <w:t>Tâlikî bir</w:t>
            </w:r>
            <w:r w:rsidRPr="00A23740">
              <w:rPr>
                <w:szCs w:val="24"/>
              </w:rPr>
              <w:t xml:space="preserve"> şarta veya </w:t>
            </w:r>
            <w:r w:rsidRPr="00A23740">
              <w:rPr>
                <w:b/>
                <w:strike/>
                <w:color w:val="FF0000"/>
                <w:szCs w:val="24"/>
              </w:rPr>
              <w:t>belirli olmayan bir</w:t>
            </w:r>
            <w:r w:rsidRPr="00A23740">
              <w:rPr>
                <w:szCs w:val="24"/>
              </w:rPr>
              <w:t xml:space="preserve"> vadeye bağlı alacaklar için ayrılan paylar </w:t>
            </w:r>
            <w:r w:rsidRPr="00A23740">
              <w:rPr>
                <w:b/>
                <w:strike/>
                <w:color w:val="FF0000"/>
                <w:szCs w:val="24"/>
              </w:rPr>
              <w:t>hakkında 9 uncu madde hükümleri uygulanır.</w:t>
            </w:r>
          </w:p>
          <w:p w:rsidR="00AA5C8C" w:rsidRPr="00A23740" w:rsidRDefault="00AA5C8C" w:rsidP="009431FF">
            <w:pPr>
              <w:widowControl w:val="0"/>
              <w:tabs>
                <w:tab w:val="left" w:pos="567"/>
              </w:tabs>
              <w:rPr>
                <w:szCs w:val="24"/>
              </w:rPr>
            </w:pPr>
          </w:p>
          <w:p w:rsidR="00AA5C8C" w:rsidRPr="00A23740" w:rsidRDefault="00AA5C8C" w:rsidP="009431FF">
            <w:pPr>
              <w:pStyle w:val="KIRMIZI"/>
              <w:widowControl w:val="0"/>
            </w:pPr>
          </w:p>
        </w:tc>
        <w:tc>
          <w:tcPr>
            <w:tcW w:w="2500" w:type="pct"/>
          </w:tcPr>
          <w:p w:rsidR="00AA5C8C" w:rsidRPr="00A23740" w:rsidRDefault="00AA5C8C" w:rsidP="009431FF">
            <w:pPr>
              <w:pStyle w:val="MAV"/>
              <w:widowControl w:val="0"/>
              <w:rPr>
                <w:u w:val="none"/>
                <w:lang w:val="tr-TR"/>
              </w:rPr>
            </w:pPr>
            <w:r w:rsidRPr="00A23740">
              <w:rPr>
                <w:u w:val="none"/>
                <w:lang w:val="tr-TR"/>
              </w:rPr>
              <w:t>Paraların dağıtımı</w:t>
            </w:r>
          </w:p>
          <w:p w:rsidR="00AA5C8C" w:rsidRPr="00A23740" w:rsidRDefault="003A1467" w:rsidP="009431FF">
            <w:pPr>
              <w:widowControl w:val="0"/>
              <w:tabs>
                <w:tab w:val="left" w:pos="567"/>
              </w:tabs>
              <w:rPr>
                <w:szCs w:val="24"/>
              </w:rPr>
            </w:pPr>
            <w:r w:rsidRPr="00A23740">
              <w:rPr>
                <w:rStyle w:val="MAVChar"/>
                <w:rFonts w:eastAsia="Calibri"/>
                <w:u w:val="none"/>
              </w:rPr>
              <w:t>MADDE 367</w:t>
            </w:r>
            <w:r w:rsidR="00AA5C8C" w:rsidRPr="00A23740">
              <w:rPr>
                <w:rStyle w:val="MAVChar"/>
                <w:rFonts w:eastAsia="Calibri"/>
                <w:u w:val="none"/>
              </w:rPr>
              <w:t xml:space="preserve">- </w:t>
            </w:r>
            <w:r w:rsidR="00AA5C8C" w:rsidRPr="00A23740">
              <w:rPr>
                <w:b/>
                <w:color w:val="0000FF"/>
                <w:szCs w:val="24"/>
              </w:rPr>
              <w:t>(1) Pay cetveli ve son hesabın iflas dairesine</w:t>
            </w:r>
            <w:r w:rsidR="00AA5C8C" w:rsidRPr="00A23740">
              <w:rPr>
                <w:szCs w:val="24"/>
              </w:rPr>
              <w:t xml:space="preserve"> bırakılma </w:t>
            </w:r>
            <w:r w:rsidR="00B53F3A" w:rsidRPr="004219D4">
              <w:rPr>
                <w:rStyle w:val="MaviChar"/>
              </w:rPr>
              <w:t>ve orada kalma</w:t>
            </w:r>
            <w:r w:rsidR="00B53F3A" w:rsidRPr="00A23740">
              <w:rPr>
                <w:szCs w:val="24"/>
              </w:rPr>
              <w:t xml:space="preserve"> </w:t>
            </w:r>
            <w:r w:rsidR="00AA5C8C" w:rsidRPr="00A23740">
              <w:rPr>
                <w:b/>
                <w:color w:val="0000FF"/>
                <w:szCs w:val="24"/>
              </w:rPr>
              <w:t>süresi</w:t>
            </w:r>
            <w:r w:rsidR="00AA5C8C" w:rsidRPr="00A23740">
              <w:rPr>
                <w:szCs w:val="24"/>
              </w:rPr>
              <w:t xml:space="preserve"> bittikten sonra </w:t>
            </w:r>
            <w:r w:rsidR="00B53F3A" w:rsidRPr="004219D4">
              <w:rPr>
                <w:rStyle w:val="MaviChar"/>
              </w:rPr>
              <w:t>derh</w:t>
            </w:r>
            <w:r w:rsidR="00DF22A1" w:rsidRPr="004219D4">
              <w:rPr>
                <w:rStyle w:val="MaviChar"/>
              </w:rPr>
              <w:t>â</w:t>
            </w:r>
            <w:r w:rsidR="00B53F3A" w:rsidRPr="004219D4">
              <w:rPr>
                <w:rStyle w:val="MaviChar"/>
              </w:rPr>
              <w:t>l</w:t>
            </w:r>
            <w:r w:rsidR="00B53F3A" w:rsidRPr="00A23740">
              <w:rPr>
                <w:szCs w:val="24"/>
              </w:rPr>
              <w:t xml:space="preserve"> </w:t>
            </w:r>
            <w:r w:rsidR="00AA5C8C" w:rsidRPr="00A23740">
              <w:rPr>
                <w:rStyle w:val="MAVChar"/>
                <w:rFonts w:eastAsia="Calibri"/>
                <w:u w:val="none"/>
              </w:rPr>
              <w:t>paraların dağıtımına</w:t>
            </w:r>
            <w:r w:rsidR="00AA5C8C" w:rsidRPr="00A23740">
              <w:rPr>
                <w:szCs w:val="24"/>
              </w:rPr>
              <w:t xml:space="preserve"> başlanır.</w:t>
            </w:r>
          </w:p>
          <w:p w:rsidR="003B4DF3" w:rsidRPr="00A23740" w:rsidRDefault="003B4DF3" w:rsidP="009431FF">
            <w:pPr>
              <w:widowControl w:val="0"/>
              <w:tabs>
                <w:tab w:val="left" w:pos="567"/>
              </w:tabs>
              <w:rPr>
                <w:szCs w:val="24"/>
              </w:rPr>
            </w:pPr>
          </w:p>
          <w:p w:rsidR="00B53F3A" w:rsidRPr="00A23740" w:rsidRDefault="00B53F3A" w:rsidP="009431FF">
            <w:pPr>
              <w:widowControl w:val="0"/>
              <w:tabs>
                <w:tab w:val="left" w:pos="567"/>
              </w:tabs>
              <w:rPr>
                <w:szCs w:val="24"/>
              </w:rPr>
            </w:pPr>
            <w:r w:rsidRPr="00A23740">
              <w:rPr>
                <w:b/>
                <w:color w:val="0000FF"/>
                <w:szCs w:val="24"/>
              </w:rPr>
              <w:t>(2) Pay cetveli ve son hesaba karşı</w:t>
            </w:r>
            <w:r w:rsidRPr="00A23740">
              <w:rPr>
                <w:szCs w:val="24"/>
              </w:rPr>
              <w:t xml:space="preserve"> şikâyet üzerine verilecek</w:t>
            </w:r>
            <w:r w:rsidR="00F82849" w:rsidRPr="00A23740">
              <w:rPr>
                <w:szCs w:val="24"/>
              </w:rPr>
              <w:t xml:space="preserve"> </w:t>
            </w:r>
            <w:r w:rsidR="00F82849" w:rsidRPr="004219D4">
              <w:rPr>
                <w:rStyle w:val="MaviChar"/>
              </w:rPr>
              <w:t>karar</w:t>
            </w:r>
            <w:r w:rsidRPr="00A23740">
              <w:rPr>
                <w:szCs w:val="24"/>
              </w:rPr>
              <w:t xml:space="preserve"> </w:t>
            </w:r>
            <w:r w:rsidR="00F82849" w:rsidRPr="004219D4">
              <w:rPr>
                <w:rStyle w:val="MaviChar"/>
              </w:rPr>
              <w:t xml:space="preserve">dağıtım miktarlarında değişikliğe yol açabilecekse, </w:t>
            </w:r>
            <w:r w:rsidRPr="00A23740">
              <w:rPr>
                <w:b/>
                <w:color w:val="0000FF"/>
                <w:szCs w:val="24"/>
              </w:rPr>
              <w:t>iflas mahkemesince dağıtım</w:t>
            </w:r>
            <w:r w:rsidRPr="00A23740">
              <w:rPr>
                <w:szCs w:val="24"/>
              </w:rPr>
              <w:t xml:space="preserve"> ertelenebilir. </w:t>
            </w:r>
          </w:p>
          <w:p w:rsidR="00F82849" w:rsidRPr="00A23740" w:rsidRDefault="00F82849"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(3)</w:t>
            </w:r>
            <w:r w:rsidRPr="00A23740">
              <w:rPr>
                <w:szCs w:val="24"/>
              </w:rPr>
              <w:t xml:space="preserve"> </w:t>
            </w:r>
            <w:r w:rsidRPr="00A23740">
              <w:rPr>
                <w:b/>
                <w:color w:val="0000FF"/>
              </w:rPr>
              <w:t>Senedin iadesi hakkındaki</w:t>
            </w:r>
            <w:r w:rsidR="002963E8" w:rsidRPr="00A23740">
              <w:rPr>
                <w:b/>
                <w:color w:val="0000FF"/>
              </w:rPr>
              <w:t xml:space="preserve"> </w:t>
            </w:r>
            <w:r w:rsidR="002963E8" w:rsidRPr="004219D4">
              <w:rPr>
                <w:rStyle w:val="MaviChar"/>
              </w:rPr>
              <w:t>266</w:t>
            </w:r>
            <w:r w:rsidRPr="00A23740">
              <w:rPr>
                <w:rStyle w:val="YELChar"/>
              </w:rPr>
              <w:t xml:space="preserve"> </w:t>
            </w:r>
            <w:r w:rsidRPr="00A23740">
              <w:rPr>
                <w:rStyle w:val="MaviChar"/>
              </w:rPr>
              <w:t>ve</w:t>
            </w:r>
            <w:r w:rsidRPr="00A23740">
              <w:rPr>
                <w:b/>
                <w:bCs/>
              </w:rPr>
              <w:t xml:space="preserve"> </w:t>
            </w:r>
            <w:r w:rsidRPr="00A23740">
              <w:rPr>
                <w:b/>
                <w:color w:val="0000FF"/>
              </w:rPr>
              <w:t>ilamın icrasına ilişkin belge hakkındaki</w:t>
            </w:r>
            <w:r w:rsidR="002963E8" w:rsidRPr="00A23740">
              <w:rPr>
                <w:b/>
                <w:color w:val="0000FF"/>
              </w:rPr>
              <w:t xml:space="preserve"> </w:t>
            </w:r>
            <w:r w:rsidR="002963E8" w:rsidRPr="004219D4">
              <w:rPr>
                <w:rStyle w:val="MaviChar"/>
              </w:rPr>
              <w:t>267 nci</w:t>
            </w:r>
            <w:r w:rsidRPr="00A23740">
              <w:rPr>
                <w:rStyle w:val="MaviChar"/>
                <w:lang w:val="tr-TR"/>
              </w:rPr>
              <w:t xml:space="preserve"> </w:t>
            </w:r>
            <w:r w:rsidRPr="00A23740">
              <w:rPr>
                <w:szCs w:val="24"/>
              </w:rPr>
              <w:t>madde hükümleri burada da uygulanır.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MAVChar"/>
                <w:rFonts w:eastAsia="Calibri"/>
                <w:u w:val="none"/>
              </w:rPr>
              <w:t>(4)</w:t>
            </w:r>
            <w:r w:rsidRPr="00A23740">
              <w:rPr>
                <w:szCs w:val="24"/>
              </w:rPr>
              <w:t xml:space="preserve"> </w:t>
            </w:r>
            <w:r w:rsidRPr="00A23740">
              <w:rPr>
                <w:b/>
                <w:color w:val="0000FF"/>
                <w:szCs w:val="24"/>
              </w:rPr>
              <w:t>Geciktirici</w:t>
            </w:r>
            <w:r w:rsidRPr="00A23740">
              <w:rPr>
                <w:szCs w:val="24"/>
              </w:rPr>
              <w:t xml:space="preserve"> şarta veya </w:t>
            </w:r>
            <w:r w:rsidRPr="00A23740">
              <w:rPr>
                <w:b/>
                <w:color w:val="0000FF"/>
                <w:szCs w:val="24"/>
              </w:rPr>
              <w:t>belirsiz</w:t>
            </w:r>
            <w:r w:rsidRPr="00A23740">
              <w:rPr>
                <w:szCs w:val="24"/>
              </w:rPr>
              <w:t xml:space="preserve"> vadeye bağlı alacaklar için ayrılan paylar</w:t>
            </w:r>
            <w:r w:rsidR="00F82849" w:rsidRPr="003B4DF3">
              <w:rPr>
                <w:rStyle w:val="Balk1Char"/>
                <w:rFonts w:eastAsia="ヒラギノ明朝 Pro W3"/>
              </w:rPr>
              <w:t>,</w:t>
            </w:r>
            <w:r w:rsidRPr="00A23740">
              <w:rPr>
                <w:szCs w:val="24"/>
              </w:rPr>
              <w:t xml:space="preserve"> </w:t>
            </w:r>
            <w:r w:rsidRPr="00A23740">
              <w:rPr>
                <w:rStyle w:val="MAVChar"/>
                <w:rFonts w:eastAsia="Calibri"/>
                <w:u w:val="none"/>
              </w:rPr>
              <w:t>iflas dairesi adına açılan hesaba yatırılır. Paranın nemalandırılması hakkındaki</w:t>
            </w:r>
            <w:r w:rsidR="002963E8" w:rsidRPr="00A23740">
              <w:rPr>
                <w:rStyle w:val="MAVChar"/>
                <w:rFonts w:eastAsia="Calibri"/>
                <w:u w:val="none"/>
              </w:rPr>
              <w:t xml:space="preserve"> </w:t>
            </w:r>
            <w:r w:rsidRPr="00A23740">
              <w:rPr>
                <w:rStyle w:val="MAVChar"/>
                <w:rFonts w:eastAsia="Calibri"/>
                <w:u w:val="none"/>
              </w:rPr>
              <w:t>12  nci madde hükmü saklıdır.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color w:val="0000FF"/>
                <w:szCs w:val="24"/>
              </w:rPr>
            </w:pPr>
            <w:r w:rsidRPr="00A23740">
              <w:rPr>
                <w:b/>
                <w:color w:val="0000FF"/>
                <w:szCs w:val="24"/>
              </w:rPr>
              <w:t>(5) Dağıtım sonunda tasfiye bakiyesi kalırsa</w:t>
            </w:r>
            <w:r w:rsidR="00F82849" w:rsidRPr="00A23740">
              <w:rPr>
                <w:rStyle w:val="YELChar"/>
              </w:rPr>
              <w:t>,</w:t>
            </w:r>
            <w:r w:rsidRPr="00A23740">
              <w:rPr>
                <w:b/>
                <w:color w:val="0000FF"/>
                <w:szCs w:val="24"/>
              </w:rPr>
              <w:t xml:space="preserve"> önce</w:t>
            </w:r>
            <w:r w:rsidR="00292981" w:rsidRPr="00A23740">
              <w:rPr>
                <w:b/>
                <w:color w:val="0000FF"/>
                <w:szCs w:val="24"/>
              </w:rPr>
              <w:t xml:space="preserve"> </w:t>
            </w:r>
            <w:r w:rsidR="00292981" w:rsidRPr="004219D4">
              <w:rPr>
                <w:rStyle w:val="MaviChar"/>
              </w:rPr>
              <w:t>306 ncı</w:t>
            </w:r>
            <w:r w:rsidRPr="00A23740">
              <w:rPr>
                <w:rStyle w:val="MaviChar"/>
              </w:rPr>
              <w:t xml:space="preserve"> </w:t>
            </w:r>
            <w:r w:rsidRPr="00A23740">
              <w:rPr>
                <w:b/>
                <w:color w:val="0000FF"/>
                <w:szCs w:val="24"/>
              </w:rPr>
              <w:t xml:space="preserve">göre işleyen faiz ödenir. Bu ödemeden sonra kalan para müflise </w:t>
            </w:r>
            <w:r w:rsidRPr="00A23740">
              <w:rPr>
                <w:rStyle w:val="MaviChar"/>
              </w:rPr>
              <w:t>verilir</w:t>
            </w:r>
            <w:r w:rsidRPr="00A23740">
              <w:rPr>
                <w:b/>
                <w:color w:val="0000FF"/>
                <w:szCs w:val="24"/>
              </w:rPr>
              <w:t>.</w:t>
            </w:r>
          </w:p>
          <w:p w:rsidR="00AA5C8C" w:rsidRDefault="00AA5C8C" w:rsidP="009431FF">
            <w:pPr>
              <w:widowControl w:val="0"/>
              <w:tabs>
                <w:tab w:val="left" w:pos="567"/>
              </w:tabs>
              <w:rPr>
                <w:b/>
                <w:color w:val="FF0000"/>
                <w:szCs w:val="24"/>
              </w:rPr>
            </w:pPr>
          </w:p>
          <w:p w:rsidR="009A013D" w:rsidRPr="00A23740" w:rsidRDefault="009A013D" w:rsidP="009431FF">
            <w:pPr>
              <w:widowControl w:val="0"/>
              <w:tabs>
                <w:tab w:val="left" w:pos="567"/>
              </w:tabs>
              <w:rPr>
                <w:b/>
                <w:color w:val="FF0000"/>
                <w:szCs w:val="24"/>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700438" w:rsidRPr="00A23740" w:rsidRDefault="00700438" w:rsidP="009431FF">
            <w:pPr>
              <w:tabs>
                <w:tab w:val="left" w:pos="567"/>
              </w:tabs>
              <w:ind w:firstLine="567"/>
              <w:rPr>
                <w:b/>
                <w:bCs/>
                <w:color w:val="000000"/>
                <w:szCs w:val="24"/>
                <w:lang w:val="x-none" w:eastAsia="x-none"/>
              </w:rPr>
            </w:pPr>
          </w:p>
          <w:p w:rsidR="00700438" w:rsidRPr="00A23740" w:rsidRDefault="003A1467" w:rsidP="009431FF">
            <w:pPr>
              <w:tabs>
                <w:tab w:val="left" w:pos="567"/>
              </w:tabs>
              <w:ind w:firstLine="567"/>
              <w:rPr>
                <w:bCs/>
                <w:color w:val="000000"/>
                <w:szCs w:val="24"/>
                <w:lang w:eastAsia="x-none"/>
              </w:rPr>
            </w:pPr>
            <w:r w:rsidRPr="00A23740">
              <w:rPr>
                <w:b/>
                <w:bCs/>
                <w:color w:val="000000"/>
                <w:szCs w:val="24"/>
                <w:lang w:eastAsia="x-none"/>
              </w:rPr>
              <w:t>MADDE 367</w:t>
            </w:r>
            <w:r w:rsidR="00700438" w:rsidRPr="00A23740">
              <w:rPr>
                <w:b/>
                <w:bCs/>
                <w:color w:val="000000"/>
                <w:szCs w:val="24"/>
                <w:lang w:eastAsia="x-none"/>
              </w:rPr>
              <w:t>-</w:t>
            </w:r>
            <w:r w:rsidR="00700438" w:rsidRPr="00A23740">
              <w:rPr>
                <w:bCs/>
                <w:color w:val="000000"/>
                <w:szCs w:val="24"/>
                <w:lang w:eastAsia="x-none"/>
              </w:rPr>
              <w:t xml:space="preserve"> Maddeyle, paraların dağıtımına ilişkin hususlar düzenlenmektedir. Hüküm, 2004 sayılı Kanunun 250 nci maddesine karşılık gelmektedir.</w:t>
            </w:r>
          </w:p>
          <w:p w:rsidR="00700438" w:rsidRPr="00A23740" w:rsidRDefault="00700438" w:rsidP="009431FF">
            <w:pPr>
              <w:tabs>
                <w:tab w:val="left" w:pos="567"/>
              </w:tabs>
              <w:ind w:firstLine="567"/>
              <w:rPr>
                <w:bCs/>
                <w:color w:val="000000"/>
                <w:szCs w:val="24"/>
                <w:lang w:eastAsia="x-none"/>
              </w:rPr>
            </w:pPr>
            <w:r w:rsidRPr="00A23740">
              <w:rPr>
                <w:bCs/>
                <w:color w:val="000000"/>
                <w:szCs w:val="24"/>
                <w:lang w:eastAsia="x-none"/>
              </w:rPr>
              <w:t xml:space="preserve">Birinci fıkrayla, pay cetvelinin ve son hesabın iflas dairesine bırakılma süresi bittikten sonra </w:t>
            </w:r>
            <w:r w:rsidR="0003094B" w:rsidRPr="004219D4">
              <w:t>derhâl</w:t>
            </w:r>
            <w:r w:rsidR="0003094B" w:rsidRPr="00A23740">
              <w:rPr>
                <w:bCs/>
                <w:color w:val="000000"/>
                <w:szCs w:val="24"/>
                <w:lang w:eastAsia="x-none"/>
              </w:rPr>
              <w:t xml:space="preserve"> </w:t>
            </w:r>
            <w:r w:rsidRPr="00A23740">
              <w:rPr>
                <w:bCs/>
                <w:color w:val="000000"/>
                <w:szCs w:val="24"/>
                <w:lang w:eastAsia="x-none"/>
              </w:rPr>
              <w:t>paraların dağıtımına başlanacağı hükme bağlanmaktadır.</w:t>
            </w:r>
          </w:p>
          <w:p w:rsidR="00700438" w:rsidRPr="00A23740" w:rsidRDefault="00700438" w:rsidP="009431FF">
            <w:pPr>
              <w:tabs>
                <w:tab w:val="left" w:pos="567"/>
              </w:tabs>
              <w:ind w:firstLine="567"/>
              <w:rPr>
                <w:bCs/>
                <w:color w:val="000000"/>
                <w:szCs w:val="24"/>
                <w:lang w:eastAsia="x-none"/>
              </w:rPr>
            </w:pPr>
            <w:r w:rsidRPr="00A23740">
              <w:rPr>
                <w:bCs/>
                <w:color w:val="000000"/>
                <w:szCs w:val="24"/>
                <w:lang w:eastAsia="x-none"/>
              </w:rPr>
              <w:t xml:space="preserve">İkinci fıkraya göre, pay cetveli ve son hesaba karşı şikâyet üzerine verilecek kararın </w:t>
            </w:r>
            <w:r w:rsidR="0003094B" w:rsidRPr="004219D4">
              <w:t xml:space="preserve">dağıtım miktarlarında değişikliğe yol açabilecek olması ihtimali </w:t>
            </w:r>
            <w:r w:rsidR="00773EFA" w:rsidRPr="00A23740">
              <w:rPr>
                <w:bCs/>
                <w:color w:val="000000"/>
                <w:szCs w:val="24"/>
                <w:lang w:eastAsia="x-none"/>
              </w:rPr>
              <w:t xml:space="preserve">varsa, </w:t>
            </w:r>
            <w:r w:rsidRPr="00A23740">
              <w:rPr>
                <w:bCs/>
                <w:color w:val="000000"/>
                <w:szCs w:val="24"/>
                <w:lang w:eastAsia="x-none"/>
              </w:rPr>
              <w:t xml:space="preserve">iflas mahkemesince dağıtım ertelenebilir. </w:t>
            </w:r>
          </w:p>
          <w:p w:rsidR="00700438" w:rsidRPr="00A23740" w:rsidRDefault="00700438" w:rsidP="009431FF">
            <w:pPr>
              <w:tabs>
                <w:tab w:val="left" w:pos="567"/>
              </w:tabs>
              <w:ind w:firstLine="567"/>
              <w:rPr>
                <w:bCs/>
                <w:color w:val="000000"/>
                <w:szCs w:val="24"/>
                <w:lang w:eastAsia="x-none"/>
              </w:rPr>
            </w:pPr>
            <w:r w:rsidRPr="00A23740">
              <w:rPr>
                <w:bCs/>
                <w:color w:val="000000"/>
                <w:szCs w:val="24"/>
                <w:lang w:eastAsia="x-none"/>
              </w:rPr>
              <w:t xml:space="preserve">Üçüncü fıkrayla, senedin iadesi hakkındaki </w:t>
            </w:r>
            <w:r w:rsidR="00292981" w:rsidRPr="004219D4">
              <w:t>266</w:t>
            </w:r>
            <w:r w:rsidR="00292981" w:rsidRPr="00A23740">
              <w:rPr>
                <w:rStyle w:val="YELChar"/>
              </w:rPr>
              <w:t xml:space="preserve"> </w:t>
            </w:r>
            <w:r w:rsidRPr="00A23740">
              <w:rPr>
                <w:bCs/>
                <w:color w:val="000000"/>
                <w:szCs w:val="24"/>
                <w:lang w:eastAsia="x-none"/>
              </w:rPr>
              <w:t xml:space="preserve">ve ilamın icrasına ilişkin belge hakkındaki </w:t>
            </w:r>
            <w:r w:rsidR="00292981" w:rsidRPr="004219D4">
              <w:t>267 nci</w:t>
            </w:r>
            <w:r w:rsidRPr="00A23740">
              <w:rPr>
                <w:bCs/>
                <w:color w:val="000000"/>
                <w:szCs w:val="24"/>
                <w:lang w:eastAsia="x-none"/>
              </w:rPr>
              <w:t xml:space="preserve"> madd</w:t>
            </w:r>
            <w:r w:rsidR="003B4DF3">
              <w:rPr>
                <w:bCs/>
                <w:color w:val="000000"/>
                <w:szCs w:val="24"/>
                <w:lang w:eastAsia="x-none"/>
              </w:rPr>
              <w:t xml:space="preserve">e </w:t>
            </w:r>
            <w:r w:rsidRPr="00A23740">
              <w:rPr>
                <w:bCs/>
                <w:color w:val="000000"/>
                <w:szCs w:val="24"/>
                <w:lang w:eastAsia="x-none"/>
              </w:rPr>
              <w:t xml:space="preserve">hükümlerinin burada da uygulanacağı düzenlenmektedir. </w:t>
            </w:r>
          </w:p>
          <w:p w:rsidR="00700438" w:rsidRPr="00A23740" w:rsidRDefault="00700438" w:rsidP="009431FF">
            <w:pPr>
              <w:tabs>
                <w:tab w:val="left" w:pos="567"/>
              </w:tabs>
              <w:ind w:firstLine="567"/>
              <w:rPr>
                <w:bCs/>
                <w:color w:val="000000"/>
                <w:szCs w:val="24"/>
                <w:lang w:eastAsia="x-none"/>
              </w:rPr>
            </w:pPr>
            <w:r w:rsidRPr="00A23740">
              <w:rPr>
                <w:bCs/>
                <w:color w:val="000000"/>
                <w:szCs w:val="24"/>
                <w:lang w:eastAsia="x-none"/>
              </w:rPr>
              <w:t xml:space="preserve">Dördüncü fıkraya göre, geciktirici şarta veya belirsiz vadeye bağlı alacaklar için ayrılan paylar iflas dairesi adına açılan hesaba yatırılır. Bu bağlamda, paranın nemalandırılması hakkındaki 12  nci madde hükmü de dikkate alınacaktır. </w:t>
            </w:r>
          </w:p>
          <w:p w:rsidR="00700438" w:rsidRPr="00A23740" w:rsidRDefault="00700438" w:rsidP="009431FF">
            <w:pPr>
              <w:tabs>
                <w:tab w:val="left" w:pos="567"/>
              </w:tabs>
              <w:ind w:firstLine="567"/>
              <w:rPr>
                <w:bCs/>
                <w:color w:val="000000"/>
                <w:szCs w:val="24"/>
                <w:lang w:eastAsia="x-none"/>
              </w:rPr>
            </w:pPr>
            <w:r w:rsidRPr="00A23740">
              <w:rPr>
                <w:bCs/>
                <w:color w:val="000000"/>
                <w:szCs w:val="24"/>
                <w:lang w:eastAsia="x-none"/>
              </w:rPr>
              <w:t>Beşinci fıkraya göre, dağıtım sonunda tasfiye bakiyesi kalırsa</w:t>
            </w:r>
            <w:r w:rsidR="00773EFA" w:rsidRPr="00A23740">
              <w:rPr>
                <w:bCs/>
                <w:color w:val="000000"/>
                <w:szCs w:val="24"/>
                <w:lang w:eastAsia="x-none"/>
              </w:rPr>
              <w:t>,</w:t>
            </w:r>
            <w:r w:rsidRPr="00A23740">
              <w:rPr>
                <w:bCs/>
                <w:color w:val="000000"/>
                <w:szCs w:val="24"/>
                <w:lang w:eastAsia="x-none"/>
              </w:rPr>
              <w:t xml:space="preserve"> önce </w:t>
            </w:r>
            <w:r w:rsidR="00292981" w:rsidRPr="004219D4">
              <w:t>306 ncı</w:t>
            </w:r>
            <w:r w:rsidR="00292981" w:rsidRPr="00A23740">
              <w:rPr>
                <w:rStyle w:val="MaviChar"/>
              </w:rPr>
              <w:t xml:space="preserve"> </w:t>
            </w:r>
            <w:r w:rsidRPr="00A23740">
              <w:rPr>
                <w:bCs/>
                <w:color w:val="000000"/>
                <w:szCs w:val="24"/>
                <w:lang w:eastAsia="x-none"/>
              </w:rPr>
              <w:t>maddeye g</w:t>
            </w:r>
            <w:r w:rsidRPr="004219D4">
              <w:t xml:space="preserve">öre </w:t>
            </w:r>
            <w:r w:rsidR="00F82849" w:rsidRPr="004219D4">
              <w:t xml:space="preserve">iflasın açılmasından sonra </w:t>
            </w:r>
            <w:r w:rsidR="00F82849" w:rsidRPr="00A23740">
              <w:rPr>
                <w:bCs/>
                <w:color w:val="000000"/>
                <w:szCs w:val="24"/>
                <w:lang w:eastAsia="x-none"/>
              </w:rPr>
              <w:t>işleyen faiz</w:t>
            </w:r>
            <w:r w:rsidR="00F82849" w:rsidRPr="004219D4">
              <w:t xml:space="preserve">ler </w:t>
            </w:r>
            <w:r w:rsidRPr="00A23740">
              <w:rPr>
                <w:bCs/>
                <w:color w:val="000000"/>
                <w:szCs w:val="24"/>
                <w:lang w:eastAsia="x-none"/>
              </w:rPr>
              <w:t xml:space="preserve">ödenir ve bu ödemeden sonra </w:t>
            </w:r>
            <w:r w:rsidR="00F82849" w:rsidRPr="004219D4">
              <w:t>bir para kalırsa,</w:t>
            </w:r>
            <w:r w:rsidR="00F82849" w:rsidRPr="00A23740">
              <w:rPr>
                <w:bCs/>
                <w:color w:val="000000"/>
                <w:szCs w:val="24"/>
                <w:lang w:eastAsia="x-none"/>
              </w:rPr>
              <w:t xml:space="preserve"> </w:t>
            </w:r>
            <w:r w:rsidRPr="00A23740">
              <w:rPr>
                <w:bCs/>
                <w:color w:val="000000"/>
                <w:szCs w:val="24"/>
                <w:lang w:eastAsia="x-none"/>
              </w:rPr>
              <w:t xml:space="preserve">kalan </w:t>
            </w:r>
            <w:r w:rsidR="00773EFA" w:rsidRPr="00A23740">
              <w:rPr>
                <w:bCs/>
                <w:color w:val="000000"/>
                <w:szCs w:val="24"/>
                <w:lang w:eastAsia="x-none"/>
              </w:rPr>
              <w:t xml:space="preserve">bu </w:t>
            </w:r>
            <w:r w:rsidRPr="00A23740">
              <w:rPr>
                <w:bCs/>
                <w:color w:val="000000"/>
                <w:szCs w:val="24"/>
                <w:lang w:eastAsia="x-none"/>
              </w:rPr>
              <w:t>para müflise verilir.</w:t>
            </w:r>
          </w:p>
          <w:p w:rsidR="00700438" w:rsidRPr="00A23740" w:rsidRDefault="00700438"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Borç ödemeden aciz </w:t>
            </w:r>
            <w:r w:rsidRPr="00A23740">
              <w:rPr>
                <w:b/>
                <w:strike/>
                <w:color w:val="FF0000"/>
                <w:szCs w:val="24"/>
              </w:rPr>
              <w:t>vesikası :</w:t>
            </w:r>
          </w:p>
          <w:p w:rsidR="00AA5C8C" w:rsidRPr="00A23740" w:rsidRDefault="00AA5C8C" w:rsidP="009431FF">
            <w:pPr>
              <w:tabs>
                <w:tab w:val="left" w:pos="567"/>
              </w:tabs>
              <w:rPr>
                <w:b/>
                <w:szCs w:val="24"/>
              </w:rPr>
            </w:pPr>
            <w:r w:rsidRPr="00A23740">
              <w:rPr>
                <w:rStyle w:val="KIRMIZIChar"/>
                <w:rFonts w:eastAsia="Calibri"/>
              </w:rPr>
              <w:t>Madde 251 – (1) (Değişik</w:t>
            </w:r>
            <w:r w:rsidRPr="00A23740">
              <w:rPr>
                <w:b/>
                <w:strike/>
                <w:color w:val="FF0000"/>
                <w:szCs w:val="24"/>
              </w:rPr>
              <w:t>: 18/2/1965 - 538/99 md.)</w:t>
            </w:r>
          </w:p>
          <w:p w:rsidR="00AA5C8C" w:rsidRPr="00A23740" w:rsidRDefault="00AA5C8C" w:rsidP="009431FF">
            <w:pPr>
              <w:tabs>
                <w:tab w:val="left" w:pos="567"/>
              </w:tabs>
              <w:rPr>
                <w:szCs w:val="24"/>
              </w:rPr>
            </w:pPr>
            <w:r w:rsidRPr="00A23740">
              <w:rPr>
                <w:b/>
                <w:strike/>
                <w:color w:val="FF0000"/>
                <w:szCs w:val="24"/>
              </w:rPr>
              <w:t>İdare, paraları dağıtırken</w:t>
            </w:r>
            <w:r w:rsidRPr="00A23740">
              <w:rPr>
                <w:szCs w:val="24"/>
              </w:rPr>
              <w:t xml:space="preserve"> alacağının tamamını alamamış olan her alacaklıya ödenmemiş miktar için aciz </w:t>
            </w:r>
            <w:r w:rsidRPr="00A23740">
              <w:rPr>
                <w:b/>
                <w:strike/>
                <w:color w:val="FF0000"/>
                <w:szCs w:val="24"/>
              </w:rPr>
              <w:t>vesikası</w:t>
            </w:r>
            <w:r w:rsidRPr="00A23740">
              <w:rPr>
                <w:szCs w:val="24"/>
              </w:rPr>
              <w:t xml:space="preserve"> verir. </w:t>
            </w:r>
            <w:r w:rsidRPr="00A23740">
              <w:rPr>
                <w:b/>
                <w:strike/>
                <w:color w:val="FF0000"/>
                <w:szCs w:val="24"/>
              </w:rPr>
              <w:t>Vesikada</w:t>
            </w:r>
            <w:r w:rsidRPr="00A23740">
              <w:rPr>
                <w:szCs w:val="24"/>
              </w:rPr>
              <w:t xml:space="preserve"> müflisin alacağı kabul veya reddettiği yazılır. Kabul halinde </w:t>
            </w:r>
            <w:r w:rsidRPr="00A23740">
              <w:rPr>
                <w:b/>
                <w:strike/>
                <w:color w:val="FF0000"/>
                <w:szCs w:val="24"/>
              </w:rPr>
              <w:t>vesika 68 inci maddenin 1 inci fıkrasında yazılı senet mahiyetinde olur.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(2) (Değişik birinci cümle: 17/7/2003-4949/58 md.)</w:t>
            </w:r>
            <w:r w:rsidRPr="00A23740">
              <w:rPr>
                <w:b/>
                <w:szCs w:val="24"/>
              </w:rPr>
              <w:t xml:space="preserve"> </w:t>
            </w:r>
            <w:r w:rsidRPr="00A23740">
              <w:rPr>
                <w:rStyle w:val="KIRMIZIChar"/>
                <w:rFonts w:eastAsia="Calibri"/>
              </w:rPr>
              <w:t>196 ncı madde hükmü saklı kalmak kaydıyla,</w:t>
            </w:r>
            <w:r w:rsidRPr="00A23740">
              <w:rPr>
                <w:szCs w:val="24"/>
              </w:rPr>
              <w:t xml:space="preserve"> aciz </w:t>
            </w:r>
            <w:r w:rsidRPr="00A23740">
              <w:rPr>
                <w:b/>
                <w:strike/>
                <w:color w:val="FF0000"/>
                <w:szCs w:val="24"/>
              </w:rPr>
              <w:t>vesikası</w:t>
            </w:r>
            <w:r w:rsidRPr="00A23740">
              <w:rPr>
                <w:szCs w:val="24"/>
              </w:rPr>
              <w:t xml:space="preserve"> </w:t>
            </w:r>
            <w:r w:rsidRPr="00A23740">
              <w:rPr>
                <w:rStyle w:val="KIRMIZIChar"/>
                <w:rFonts w:eastAsia="Calibri"/>
              </w:rPr>
              <w:t>143 üncü</w:t>
            </w:r>
            <w:r w:rsidRPr="00A23740">
              <w:rPr>
                <w:szCs w:val="24"/>
              </w:rPr>
              <w:t xml:space="preserve"> maddede yazılı olan hukukî sonuçları doğurur. </w:t>
            </w:r>
            <w:r w:rsidRPr="00A23740">
              <w:rPr>
                <w:rStyle w:val="KIRMIZIChar"/>
                <w:rFonts w:eastAsia="Calibri"/>
              </w:rPr>
              <w:t>Fakat, müflis yeni mal iktisap etmedikçe hakkında yeniden takip talebinde bulunulamaz. Müflis, bu yeni takip üzerine kendisine gönderilen ödeme emrine yeni mal iktisap etmediği yolunda itiraz ederse, ihtilaf icra mahkemesinde genel hükümler ve basit yargılama usulüne göre karara bağlanır. (Ek cümle: 17/7/2003-4949/58 md.) Müflise yeni mal iktisap etmediği itirazında bulunma imkânını sağlamak niyetiyle üçüncü kişinin hak sahibi kılındığı ama müflisin fiilen tasarruf ettiği mallar, üçüncü kişi bu durumu biliyor veya bilmesi gerekiyorsa, yeni mal sayılır.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 xml:space="preserve">Borç ödemeden aciz </w:t>
            </w:r>
            <w:r w:rsidRPr="00A23740">
              <w:rPr>
                <w:b/>
                <w:color w:val="0000FF"/>
                <w:szCs w:val="24"/>
              </w:rPr>
              <w:t>belgesi</w:t>
            </w:r>
          </w:p>
          <w:p w:rsidR="00AA5C8C" w:rsidRPr="00A23740" w:rsidRDefault="003A1467" w:rsidP="009431FF">
            <w:pPr>
              <w:tabs>
                <w:tab w:val="left" w:pos="567"/>
              </w:tabs>
              <w:rPr>
                <w:b/>
                <w:color w:val="0000FF"/>
                <w:szCs w:val="24"/>
              </w:rPr>
            </w:pPr>
            <w:r w:rsidRPr="00A23740">
              <w:rPr>
                <w:rStyle w:val="MaviChar"/>
                <w:lang w:val="tr-TR"/>
              </w:rPr>
              <w:t>MADDE 368</w:t>
            </w:r>
            <w:r w:rsidR="00AA5C8C" w:rsidRPr="00A23740">
              <w:rPr>
                <w:rStyle w:val="MaviChar"/>
                <w:lang w:val="tr-TR"/>
              </w:rPr>
              <w:t>-</w:t>
            </w:r>
            <w:r w:rsidR="00AA5C8C" w:rsidRPr="00A23740">
              <w:rPr>
                <w:rStyle w:val="MAVChar"/>
                <w:rFonts w:eastAsia="Calibri"/>
                <w:u w:val="none"/>
              </w:rPr>
              <w:t xml:space="preserve"> </w:t>
            </w:r>
            <w:r w:rsidR="00AA5C8C" w:rsidRPr="00A23740">
              <w:rPr>
                <w:b/>
                <w:color w:val="0000FF"/>
                <w:szCs w:val="24"/>
              </w:rPr>
              <w:t>(1) Paraların paylaştırılmasından sonra iflas idaresi,</w:t>
            </w:r>
            <w:r w:rsidR="00AA5C8C" w:rsidRPr="00A23740">
              <w:rPr>
                <w:szCs w:val="24"/>
              </w:rPr>
              <w:t xml:space="preserve"> alacağının tamamını alamamış olan her alacaklıya </w:t>
            </w:r>
            <w:r w:rsidR="00AA5C8C" w:rsidRPr="00A23740">
              <w:rPr>
                <w:b/>
                <w:color w:val="0000FF"/>
                <w:szCs w:val="24"/>
              </w:rPr>
              <w:t>ve müflise</w:t>
            </w:r>
            <w:r w:rsidR="00AA5C8C" w:rsidRPr="00A23740">
              <w:rPr>
                <w:color w:val="0000FF"/>
              </w:rPr>
              <w:t>,</w:t>
            </w:r>
            <w:r w:rsidR="00AA5C8C" w:rsidRPr="00A23740">
              <w:rPr>
                <w:szCs w:val="24"/>
              </w:rPr>
              <w:t xml:space="preserve"> ödenmemiş miktar için</w:t>
            </w:r>
            <w:r w:rsidR="00AA5C8C" w:rsidRPr="00A23740">
              <w:rPr>
                <w:rStyle w:val="MaviChar"/>
              </w:rPr>
              <w:t>,</w:t>
            </w:r>
            <w:r w:rsidR="00AA5C8C" w:rsidRPr="00A23740">
              <w:rPr>
                <w:szCs w:val="24"/>
              </w:rPr>
              <w:t xml:space="preserve"> </w:t>
            </w:r>
            <w:r w:rsidR="00AA5C8C" w:rsidRPr="00A23740">
              <w:rPr>
                <w:rStyle w:val="MaviChar"/>
              </w:rPr>
              <w:t>resen</w:t>
            </w:r>
            <w:r w:rsidR="00AA5C8C" w:rsidRPr="00A23740">
              <w:rPr>
                <w:szCs w:val="24"/>
              </w:rPr>
              <w:t xml:space="preserve"> aciz </w:t>
            </w:r>
            <w:r w:rsidR="00AA5C8C" w:rsidRPr="00A23740">
              <w:rPr>
                <w:b/>
                <w:color w:val="0000FF"/>
                <w:szCs w:val="24"/>
              </w:rPr>
              <w:t>belgesi</w:t>
            </w:r>
            <w:r w:rsidR="00AA5C8C" w:rsidRPr="00A23740">
              <w:rPr>
                <w:szCs w:val="24"/>
              </w:rPr>
              <w:t xml:space="preserve"> </w:t>
            </w:r>
            <w:r w:rsidR="00AA5C8C" w:rsidRPr="00A23740">
              <w:rPr>
                <w:b/>
                <w:color w:val="0000FF"/>
                <w:szCs w:val="24"/>
              </w:rPr>
              <w:t>düzenleyip tebliğ eder.</w:t>
            </w:r>
            <w:r w:rsidR="00AA5C8C" w:rsidRPr="00A23740">
              <w:rPr>
                <w:szCs w:val="24"/>
              </w:rPr>
              <w:t xml:space="preserve"> </w:t>
            </w:r>
            <w:r w:rsidR="00AA5C8C" w:rsidRPr="00A23740">
              <w:rPr>
                <w:b/>
                <w:color w:val="0000FF"/>
                <w:szCs w:val="24"/>
              </w:rPr>
              <w:t>Bu belgede</w:t>
            </w:r>
            <w:r w:rsidR="00AA5C8C" w:rsidRPr="00A23740">
              <w:rPr>
                <w:szCs w:val="24"/>
              </w:rPr>
              <w:t xml:space="preserve"> müflisin alacağı kabul veya reddettiği</w:t>
            </w:r>
            <w:r w:rsidR="00AA5C8C" w:rsidRPr="00A23740">
              <w:rPr>
                <w:rStyle w:val="KIRMIZIChar"/>
                <w:rFonts w:eastAsia="Calibri"/>
                <w:strike w:val="0"/>
              </w:rPr>
              <w:t xml:space="preserve"> </w:t>
            </w:r>
            <w:r w:rsidR="00AA5C8C" w:rsidRPr="00A23740">
              <w:rPr>
                <w:szCs w:val="24"/>
              </w:rPr>
              <w:t xml:space="preserve">yazılır. </w:t>
            </w:r>
            <w:r w:rsidR="00AA5C8C" w:rsidRPr="00A23740">
              <w:rPr>
                <w:rStyle w:val="Stil2Char"/>
                <w:rFonts w:eastAsia="Calibri"/>
                <w:u w:val="none"/>
              </w:rPr>
              <w:t>Borçlunun kabulü veya mahkemenin sıra cetveline itiraz davasında kabul kararı vermiş olması</w:t>
            </w:r>
            <w:r w:rsidR="00AA5C8C" w:rsidRPr="00A23740">
              <w:rPr>
                <w:szCs w:val="24"/>
              </w:rPr>
              <w:t xml:space="preserve"> h</w:t>
            </w:r>
            <w:r w:rsidR="009D574E" w:rsidRPr="00A23740">
              <w:rPr>
                <w:szCs w:val="24"/>
              </w:rPr>
              <w:t>â</w:t>
            </w:r>
            <w:r w:rsidR="00AA5C8C" w:rsidRPr="00A23740">
              <w:rPr>
                <w:szCs w:val="24"/>
              </w:rPr>
              <w:t xml:space="preserve">linde </w:t>
            </w:r>
            <w:r w:rsidR="00AA5C8C" w:rsidRPr="00A23740">
              <w:rPr>
                <w:b/>
                <w:color w:val="0000FF"/>
                <w:szCs w:val="24"/>
              </w:rPr>
              <w:t>belge, ilam niteliğinde belge sayılır.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b/>
                <w:szCs w:val="24"/>
              </w:rPr>
              <w:t xml:space="preserve"> </w:t>
            </w:r>
            <w:r w:rsidR="008E3B7E" w:rsidRPr="004219D4">
              <w:rPr>
                <w:rStyle w:val="MaviChar"/>
              </w:rPr>
              <w:t>İflasta borç ödemeden</w:t>
            </w:r>
            <w:r w:rsidR="008E3B7E" w:rsidRPr="00A23740">
              <w:rPr>
                <w:b/>
                <w:szCs w:val="24"/>
              </w:rPr>
              <w:t xml:space="preserve"> </w:t>
            </w:r>
            <w:r w:rsidR="008E3B7E" w:rsidRPr="00A23740">
              <w:rPr>
                <w:szCs w:val="24"/>
              </w:rPr>
              <w:t>a</w:t>
            </w:r>
            <w:r w:rsidRPr="00A23740">
              <w:rPr>
                <w:szCs w:val="24"/>
              </w:rPr>
              <w:t xml:space="preserve">ciz </w:t>
            </w:r>
            <w:r w:rsidRPr="00A23740">
              <w:rPr>
                <w:b/>
                <w:color w:val="0000FF"/>
                <w:szCs w:val="24"/>
              </w:rPr>
              <w:t>belgesi</w:t>
            </w:r>
            <w:r w:rsidRPr="00A23740">
              <w:rPr>
                <w:szCs w:val="24"/>
              </w:rPr>
              <w:t xml:space="preserve">, </w:t>
            </w:r>
            <w:r w:rsidRPr="00A23740">
              <w:rPr>
                <w:b/>
                <w:color w:val="0000FF"/>
                <w:szCs w:val="24"/>
              </w:rPr>
              <w:t>kesin aciz belgesine ilişkin</w:t>
            </w:r>
            <w:r w:rsidR="009B7842" w:rsidRPr="00A23740">
              <w:rPr>
                <w:b/>
                <w:color w:val="0000FF"/>
                <w:szCs w:val="24"/>
              </w:rPr>
              <w:t xml:space="preserve"> </w:t>
            </w:r>
            <w:r w:rsidR="009B7842" w:rsidRPr="004219D4">
              <w:rPr>
                <w:rStyle w:val="MaviChar"/>
              </w:rPr>
              <w:t>262 il</w:t>
            </w:r>
            <w:r w:rsidR="00F25FDB" w:rsidRPr="004219D4">
              <w:rPr>
                <w:rStyle w:val="MaviChar"/>
              </w:rPr>
              <w:t>a</w:t>
            </w:r>
            <w:r w:rsidR="009B7842" w:rsidRPr="004219D4">
              <w:rPr>
                <w:rStyle w:val="MaviChar"/>
              </w:rPr>
              <w:t xml:space="preserve"> 264 üncü</w:t>
            </w:r>
            <w:r w:rsidRPr="00A23740">
              <w:rPr>
                <w:szCs w:val="24"/>
              </w:rPr>
              <w:t xml:space="preserve"> madde</w:t>
            </w:r>
            <w:r w:rsidRPr="00A23740">
              <w:rPr>
                <w:b/>
                <w:color w:val="0000FF"/>
                <w:szCs w:val="24"/>
              </w:rPr>
              <w:t>ler</w:t>
            </w:r>
            <w:r w:rsidRPr="00A23740">
              <w:rPr>
                <w:szCs w:val="24"/>
              </w:rPr>
              <w:t>de yazılı olan hukuk</w:t>
            </w:r>
            <w:r w:rsidR="008E3B7E" w:rsidRPr="00A23740">
              <w:rPr>
                <w:szCs w:val="24"/>
              </w:rPr>
              <w:t>i</w:t>
            </w:r>
            <w:r w:rsidRPr="00A23740">
              <w:rPr>
                <w:szCs w:val="24"/>
              </w:rPr>
              <w:t xml:space="preserve"> sonuçları doğurur.</w:t>
            </w:r>
          </w:p>
          <w:p w:rsidR="00AA5C8C" w:rsidRPr="00A23740" w:rsidRDefault="00AA5C8C" w:rsidP="009431FF">
            <w:pPr>
              <w:tabs>
                <w:tab w:val="left" w:pos="567"/>
              </w:tabs>
              <w:rPr>
                <w:szCs w:val="24"/>
              </w:rPr>
            </w:pPr>
          </w:p>
          <w:p w:rsidR="00AA5C8C" w:rsidRPr="00A23740" w:rsidRDefault="00AA5C8C" w:rsidP="009431FF">
            <w:pPr>
              <w:pStyle w:val="YEL"/>
              <w:rPr>
                <w:rFonts w:eastAsia="Calibri"/>
                <w:color w:val="0000FF"/>
                <w:lang w:val="tr-TR"/>
              </w:rPr>
            </w:pPr>
            <w:r w:rsidRPr="00A23740">
              <w:rPr>
                <w:rFonts w:eastAsia="Calibri"/>
                <w:color w:val="0000FF"/>
                <w:lang w:val="tr-TR"/>
              </w:rPr>
              <w:t>(3) İflastaki aciz belgesinin</w:t>
            </w:r>
            <w:r w:rsidR="009B7842" w:rsidRPr="00A23740">
              <w:rPr>
                <w:rFonts w:eastAsia="Calibri"/>
                <w:color w:val="0000FF"/>
                <w:lang w:val="tr-TR"/>
              </w:rPr>
              <w:t xml:space="preserve"> </w:t>
            </w:r>
            <w:r w:rsidR="009B7842" w:rsidRPr="004219D4">
              <w:rPr>
                <w:rStyle w:val="MaviChar"/>
                <w:b/>
              </w:rPr>
              <w:t>198 inci</w:t>
            </w:r>
            <w:r w:rsidRPr="00A23740">
              <w:rPr>
                <w:rFonts w:eastAsia="Calibri"/>
                <w:b w:val="0"/>
                <w:color w:val="0000FF"/>
                <w:lang w:val="tr-TR"/>
              </w:rPr>
              <w:t xml:space="preserve"> </w:t>
            </w:r>
            <w:r w:rsidRPr="00A23740">
              <w:rPr>
                <w:rFonts w:eastAsia="Calibri"/>
                <w:color w:val="0000FF"/>
                <w:lang w:val="tr-TR"/>
              </w:rPr>
              <w:t>madde uyarınca hacze iştirak etme hakkı verebilmesi için iflas kararının, iştirak edilmek istenen haczin dayanağı olan takip veya dava tarihinden önce verilmiş olması gerekir.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FF0000"/>
                <w:szCs w:val="24"/>
              </w:rPr>
            </w:pPr>
          </w:p>
          <w:p w:rsidR="00AA5C8C" w:rsidRPr="00A23740" w:rsidRDefault="00AA5C8C" w:rsidP="009431FF">
            <w:pPr>
              <w:pStyle w:val="KIRMIZI"/>
              <w:rPr>
                <w:b w:val="0"/>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B4DF3" w:rsidRDefault="003B4DF3" w:rsidP="009431FF">
            <w:pPr>
              <w:tabs>
                <w:tab w:val="left" w:pos="567"/>
              </w:tabs>
              <w:ind w:firstLine="567"/>
              <w:rPr>
                <w:b/>
                <w:bCs/>
                <w:color w:val="000000"/>
                <w:szCs w:val="24"/>
                <w:lang w:eastAsia="x-none"/>
              </w:rPr>
            </w:pPr>
          </w:p>
          <w:p w:rsidR="0087513E" w:rsidRPr="00A23740" w:rsidRDefault="0087513E" w:rsidP="009431FF">
            <w:pPr>
              <w:tabs>
                <w:tab w:val="left" w:pos="567"/>
              </w:tabs>
              <w:ind w:firstLine="567"/>
              <w:rPr>
                <w:bCs/>
                <w:color w:val="000000"/>
                <w:szCs w:val="24"/>
                <w:lang w:eastAsia="x-none"/>
              </w:rPr>
            </w:pPr>
            <w:r w:rsidRPr="00A23740">
              <w:rPr>
                <w:b/>
                <w:bCs/>
                <w:color w:val="000000"/>
                <w:szCs w:val="24"/>
                <w:lang w:eastAsia="x-none"/>
              </w:rPr>
              <w:t>MADDE 3</w:t>
            </w:r>
            <w:r w:rsidR="003A1467" w:rsidRPr="00A23740">
              <w:rPr>
                <w:b/>
                <w:bCs/>
                <w:color w:val="000000"/>
                <w:szCs w:val="24"/>
                <w:lang w:eastAsia="x-none"/>
              </w:rPr>
              <w:t>68</w:t>
            </w:r>
            <w:r w:rsidRPr="00A23740">
              <w:rPr>
                <w:b/>
                <w:bCs/>
                <w:color w:val="000000"/>
                <w:szCs w:val="24"/>
                <w:lang w:eastAsia="x-none"/>
              </w:rPr>
              <w:t>-</w:t>
            </w:r>
            <w:r w:rsidR="008E3B7E" w:rsidRPr="00A23740">
              <w:rPr>
                <w:bCs/>
                <w:color w:val="000000"/>
                <w:szCs w:val="24"/>
                <w:lang w:eastAsia="x-none"/>
              </w:rPr>
              <w:t xml:space="preserve"> Maddeyle,</w:t>
            </w:r>
            <w:r w:rsidRPr="00A23740">
              <w:rPr>
                <w:bCs/>
                <w:color w:val="000000"/>
                <w:szCs w:val="24"/>
                <w:lang w:eastAsia="x-none"/>
              </w:rPr>
              <w:t xml:space="preserve"> </w:t>
            </w:r>
            <w:r w:rsidR="00773EFA" w:rsidRPr="00A23740">
              <w:rPr>
                <w:bCs/>
                <w:color w:val="000000"/>
                <w:szCs w:val="24"/>
                <w:lang w:eastAsia="x-none"/>
              </w:rPr>
              <w:t xml:space="preserve">iflasta </w:t>
            </w:r>
            <w:r w:rsidRPr="00A23740">
              <w:rPr>
                <w:bCs/>
                <w:color w:val="000000"/>
                <w:szCs w:val="24"/>
                <w:lang w:eastAsia="x-none"/>
              </w:rPr>
              <w:t>borç ödemeden aciz belgesi</w:t>
            </w:r>
            <w:r w:rsidR="008E3B7E" w:rsidRPr="004219D4">
              <w:t>ne</w:t>
            </w:r>
            <w:r w:rsidRPr="00A23740">
              <w:rPr>
                <w:bCs/>
                <w:color w:val="000000"/>
                <w:szCs w:val="24"/>
                <w:lang w:eastAsia="x-none"/>
              </w:rPr>
              <w:t xml:space="preserve"> ilişkin hususlar düzenlenmektedir. Hüküm, 2004 sayılı Kanunun 251 inci maddesine karşılık gelmektedir. </w:t>
            </w:r>
          </w:p>
          <w:p w:rsidR="0087513E" w:rsidRPr="00A23740" w:rsidRDefault="0087513E" w:rsidP="009431FF">
            <w:pPr>
              <w:tabs>
                <w:tab w:val="left" w:pos="567"/>
              </w:tabs>
              <w:ind w:firstLine="567"/>
              <w:rPr>
                <w:bCs/>
                <w:color w:val="000000"/>
                <w:szCs w:val="24"/>
                <w:lang w:eastAsia="x-none"/>
              </w:rPr>
            </w:pPr>
            <w:r w:rsidRPr="00A23740">
              <w:rPr>
                <w:bCs/>
                <w:color w:val="000000"/>
                <w:szCs w:val="24"/>
                <w:lang w:eastAsia="x-none"/>
              </w:rPr>
              <w:t>Birinci fıkrayla, paraların paylaştırılmasından sonra iflas idaresi</w:t>
            </w:r>
            <w:r w:rsidR="00773EFA" w:rsidRPr="00A23740">
              <w:rPr>
                <w:bCs/>
                <w:color w:val="000000"/>
                <w:szCs w:val="24"/>
                <w:lang w:eastAsia="x-none"/>
              </w:rPr>
              <w:t>nin</w:t>
            </w:r>
            <w:r w:rsidRPr="00A23740">
              <w:rPr>
                <w:bCs/>
                <w:color w:val="000000"/>
                <w:szCs w:val="24"/>
                <w:lang w:eastAsia="x-none"/>
              </w:rPr>
              <w:t xml:space="preserve">, alacağının tamamını alamamış olan her alacaklıya ve müflise, ödenmemiş miktar için, resen aciz belgesi düzenleyip tebliğ edeceği ve bu belgede müflisin alacağı kabul veya </w:t>
            </w:r>
            <w:r w:rsidR="00773EFA" w:rsidRPr="00A23740">
              <w:rPr>
                <w:bCs/>
                <w:color w:val="000000"/>
                <w:szCs w:val="24"/>
                <w:lang w:eastAsia="x-none"/>
              </w:rPr>
              <w:t xml:space="preserve">reddettiğinin </w:t>
            </w:r>
            <w:r w:rsidRPr="00A23740">
              <w:rPr>
                <w:bCs/>
                <w:color w:val="000000"/>
                <w:szCs w:val="24"/>
                <w:lang w:eastAsia="x-none"/>
              </w:rPr>
              <w:t>yazılacağı hüküm altına alınmaktadır. Ayrıca borçlunun kabulü veya mahkemenin sıra cetveline itiraz davasında kabul kararı vermiş olması h</w:t>
            </w:r>
            <w:r w:rsidR="009D574E" w:rsidRPr="00A23740">
              <w:rPr>
                <w:bCs/>
                <w:color w:val="000000"/>
                <w:szCs w:val="24"/>
                <w:lang w:eastAsia="x-none"/>
              </w:rPr>
              <w:t>â</w:t>
            </w:r>
            <w:r w:rsidRPr="00A23740">
              <w:rPr>
                <w:bCs/>
                <w:color w:val="000000"/>
                <w:szCs w:val="24"/>
                <w:lang w:eastAsia="x-none"/>
              </w:rPr>
              <w:t>linde belge, ilam niteliğinde belge sayılacaktır.</w:t>
            </w:r>
            <w:r w:rsidR="00F76819" w:rsidRPr="00A23740">
              <w:rPr>
                <w:bCs/>
                <w:color w:val="000000"/>
                <w:szCs w:val="24"/>
                <w:lang w:eastAsia="x-none"/>
              </w:rPr>
              <w:t xml:space="preserve"> Bu fıkranın son cümlesindeki</w:t>
            </w:r>
            <w:r w:rsidR="008E3B7E" w:rsidRPr="00A23740">
              <w:rPr>
                <w:rStyle w:val="YELChar"/>
              </w:rPr>
              <w:t>,</w:t>
            </w:r>
            <w:r w:rsidR="00F76819" w:rsidRPr="00A23740">
              <w:rPr>
                <w:bCs/>
                <w:color w:val="000000"/>
                <w:szCs w:val="24"/>
                <w:lang w:eastAsia="x-none"/>
              </w:rPr>
              <w:t xml:space="preserve"> aciz belgesinin 2004 sayılı Kanunun 68 inci maddesindeki belgelerden sayılacağına ilişkin düzenleme, itirazın kesin kaldırılmasına yer verilmediği için hükme alınmamıştır.</w:t>
            </w:r>
          </w:p>
          <w:p w:rsidR="00F76819" w:rsidRPr="00A23740" w:rsidRDefault="00F76819" w:rsidP="009431FF">
            <w:pPr>
              <w:tabs>
                <w:tab w:val="left" w:pos="567"/>
              </w:tabs>
              <w:ind w:firstLine="567"/>
              <w:rPr>
                <w:bCs/>
                <w:color w:val="000000"/>
                <w:szCs w:val="24"/>
                <w:lang w:eastAsia="x-none"/>
              </w:rPr>
            </w:pPr>
            <w:r w:rsidRPr="00A23740">
              <w:rPr>
                <w:bCs/>
                <w:color w:val="000000"/>
                <w:szCs w:val="24"/>
                <w:lang w:eastAsia="x-none"/>
              </w:rPr>
              <w:t xml:space="preserve">İkinci fıkraya göre </w:t>
            </w:r>
            <w:r w:rsidR="00F123C0" w:rsidRPr="004219D4">
              <w:t>iflasta borç ödemeden</w:t>
            </w:r>
            <w:r w:rsidR="00F123C0" w:rsidRPr="00A23740">
              <w:rPr>
                <w:bCs/>
                <w:color w:val="000000"/>
                <w:szCs w:val="24"/>
                <w:lang w:eastAsia="x-none"/>
              </w:rPr>
              <w:t xml:space="preserve"> </w:t>
            </w:r>
            <w:r w:rsidRPr="00A23740">
              <w:rPr>
                <w:bCs/>
                <w:color w:val="000000"/>
                <w:szCs w:val="24"/>
                <w:lang w:eastAsia="x-none"/>
              </w:rPr>
              <w:t xml:space="preserve">aciz belgesi, kesin aciz belgesine ilişkin </w:t>
            </w:r>
            <w:r w:rsidR="001076EE" w:rsidRPr="004219D4">
              <w:t>262 il</w:t>
            </w:r>
            <w:r w:rsidR="00F25FDB" w:rsidRPr="004219D4">
              <w:t>a</w:t>
            </w:r>
            <w:r w:rsidR="001076EE" w:rsidRPr="004219D4">
              <w:t xml:space="preserve"> 264 üncü</w:t>
            </w:r>
            <w:r w:rsidR="008E3B7E" w:rsidRPr="00A23740">
              <w:rPr>
                <w:bCs/>
                <w:color w:val="000000"/>
                <w:szCs w:val="24"/>
                <w:lang w:eastAsia="x-none"/>
              </w:rPr>
              <w:t xml:space="preserve"> maddelerde yazılı olan hukuki</w:t>
            </w:r>
            <w:r w:rsidRPr="00A23740">
              <w:rPr>
                <w:bCs/>
                <w:color w:val="000000"/>
                <w:szCs w:val="24"/>
                <w:lang w:eastAsia="x-none"/>
              </w:rPr>
              <w:t xml:space="preserve"> sonuçları doğurur.</w:t>
            </w:r>
          </w:p>
          <w:p w:rsidR="00FE0650" w:rsidRPr="00A23740" w:rsidRDefault="00FE0650" w:rsidP="009431FF">
            <w:pPr>
              <w:tabs>
                <w:tab w:val="left" w:pos="567"/>
              </w:tabs>
              <w:ind w:firstLine="567"/>
              <w:rPr>
                <w:color w:val="0000FF"/>
              </w:rPr>
            </w:pPr>
            <w:r w:rsidRPr="00A23740">
              <w:rPr>
                <w:bCs/>
                <w:color w:val="000000"/>
                <w:szCs w:val="24"/>
                <w:lang w:eastAsia="x-none"/>
              </w:rPr>
              <w:t>Üçüncü fıkrayla</w:t>
            </w:r>
            <w:r w:rsidR="00773EFA" w:rsidRPr="00A23740">
              <w:rPr>
                <w:bCs/>
                <w:color w:val="000000"/>
                <w:szCs w:val="24"/>
                <w:lang w:eastAsia="x-none"/>
              </w:rPr>
              <w:t>,</w:t>
            </w:r>
            <w:r w:rsidRPr="00A23740">
              <w:rPr>
                <w:bCs/>
                <w:color w:val="000000"/>
                <w:szCs w:val="24"/>
                <w:lang w:eastAsia="x-none"/>
              </w:rPr>
              <w:t xml:space="preserve"> iflastaki aciz belgesinin </w:t>
            </w:r>
            <w:r w:rsidR="001076EE" w:rsidRPr="004219D4">
              <w:t>198 inci</w:t>
            </w:r>
            <w:r w:rsidR="001076EE" w:rsidRPr="00A23740">
              <w:rPr>
                <w:color w:val="0000FF"/>
              </w:rPr>
              <w:t xml:space="preserve"> </w:t>
            </w:r>
            <w:r w:rsidRPr="00A23740">
              <w:rPr>
                <w:bCs/>
                <w:color w:val="000000"/>
                <w:szCs w:val="24"/>
                <w:lang w:eastAsia="x-none"/>
              </w:rPr>
              <w:t>madde uyarınca hacze iştirak etme hakkını verilebilmesi için iflas kararının, iştirak edilmek istenen haczin dayanağı olan takip veya dava tarihinden önce verilmiş olması</w:t>
            </w:r>
            <w:r w:rsidR="003B4DF3">
              <w:rPr>
                <w:bCs/>
                <w:color w:val="000000"/>
                <w:szCs w:val="24"/>
                <w:lang w:eastAsia="x-none"/>
              </w:rPr>
              <w:t xml:space="preserve"> </w:t>
            </w:r>
            <w:r w:rsidRPr="00A23740">
              <w:rPr>
                <w:bCs/>
                <w:color w:val="000000"/>
                <w:szCs w:val="24"/>
                <w:lang w:eastAsia="x-none"/>
              </w:rPr>
              <w:t xml:space="preserve">gerektiği hükme bağlanmaktadır. </w:t>
            </w:r>
            <w:r w:rsidR="00EA3C9B" w:rsidRPr="00A23740">
              <w:rPr>
                <w:color w:val="000000"/>
                <w:szCs w:val="24"/>
              </w:rPr>
              <w:t xml:space="preserve">Doktrinde </w:t>
            </w:r>
            <w:r w:rsidRPr="00A23740">
              <w:rPr>
                <w:color w:val="000000"/>
                <w:szCs w:val="24"/>
              </w:rPr>
              <w:t>kabul edildiği şekilde burada önceliğin ispati bakımından aciz belgesinin alınmasına sebep olan iflasın açılma anının dikkate alınacağı ve takip talebi/dava tarihi yerine iflas tarihinin esas alınacağı açıklığa kavuşturulmuştur.</w:t>
            </w:r>
          </w:p>
          <w:p w:rsidR="006A6763" w:rsidRPr="00A23740" w:rsidRDefault="006A6763"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pPr>
            <w:r w:rsidRPr="00A23740">
              <w:t>Borç ödemeden aciz vesikası :</w:t>
            </w:r>
          </w:p>
          <w:p w:rsidR="00AA5C8C" w:rsidRPr="00A23740" w:rsidRDefault="00AA5C8C" w:rsidP="009431FF">
            <w:pPr>
              <w:tabs>
                <w:tab w:val="left" w:pos="567"/>
              </w:tabs>
              <w:rPr>
                <w:rStyle w:val="KIRMIZIChar"/>
                <w:rFonts w:eastAsia="Calibri"/>
              </w:rPr>
            </w:pPr>
            <w:r w:rsidRPr="00A23740">
              <w:rPr>
                <w:rStyle w:val="KIRMIZIChar"/>
                <w:rFonts w:eastAsia="Calibri"/>
              </w:rPr>
              <w:t>Madde 251 – . . .</w:t>
            </w:r>
          </w:p>
          <w:p w:rsidR="00AA5C8C" w:rsidRPr="00A23740" w:rsidRDefault="00AA5C8C" w:rsidP="009431FF">
            <w:pPr>
              <w:tabs>
                <w:tab w:val="left" w:pos="567"/>
              </w:tabs>
              <w:rPr>
                <w:rStyle w:val="KIRMIZIChar"/>
                <w:rFonts w:eastAsia="Calibri"/>
              </w:rPr>
            </w:pPr>
            <w:r w:rsidRPr="00A23740">
              <w:rPr>
                <w:b/>
                <w:strike/>
                <w:color w:val="FF0000"/>
                <w:szCs w:val="24"/>
              </w:rPr>
              <w:t>(2) (Değişik birinci cümle: 17/7/2003-4949/58 md.)</w:t>
            </w:r>
            <w:r w:rsidRPr="00A23740">
              <w:rPr>
                <w:b/>
                <w:szCs w:val="24"/>
              </w:rPr>
              <w:t xml:space="preserve"> </w:t>
            </w:r>
            <w:r w:rsidRPr="00A23740">
              <w:rPr>
                <w:rStyle w:val="KIRMIZIChar"/>
                <w:rFonts w:eastAsia="Calibri"/>
              </w:rPr>
              <w:t>196 ncı madde hükmü saklı kalmak kaydıyla, aciz vesikası 143 üncü maddede yazılı olan hukukî sonuçları doğurur.</w:t>
            </w:r>
            <w:r w:rsidRPr="00A23740">
              <w:rPr>
                <w:szCs w:val="24"/>
              </w:rPr>
              <w:t xml:space="preserve"> </w:t>
            </w:r>
            <w:r w:rsidRPr="00A23740">
              <w:rPr>
                <w:b/>
                <w:strike/>
                <w:color w:val="FF0000"/>
                <w:szCs w:val="24"/>
              </w:rPr>
              <w:t>Fakat,</w:t>
            </w:r>
            <w:r w:rsidRPr="00A23740">
              <w:rPr>
                <w:szCs w:val="24"/>
              </w:rPr>
              <w:t xml:space="preserve"> müflis yeni mal iktisap etmedikçe hakkında yeniden takip </w:t>
            </w:r>
            <w:r w:rsidRPr="00A23740">
              <w:rPr>
                <w:rStyle w:val="KIRMIZIChar"/>
                <w:rFonts w:eastAsia="Calibri"/>
              </w:rPr>
              <w:t>talebinde bulunulamaz.</w:t>
            </w:r>
            <w:r w:rsidRPr="00A23740">
              <w:rPr>
                <w:szCs w:val="24"/>
              </w:rPr>
              <w:t xml:space="preserve"> </w:t>
            </w:r>
            <w:r w:rsidRPr="00A23740">
              <w:rPr>
                <w:rStyle w:val="KIRMIZIChar"/>
                <w:rFonts w:eastAsia="Calibri"/>
              </w:rPr>
              <w:t xml:space="preserve">Müflis, bu yeni takip üzerine kendisine gönderilen ödeme emrine yeni mal iktisap etmediği yolunda itiraz ederse, ihtilaf icra mahkemesinde </w:t>
            </w:r>
            <w:r w:rsidRPr="00A23740">
              <w:rPr>
                <w:szCs w:val="24"/>
              </w:rPr>
              <w:t>genel hükümler</w:t>
            </w:r>
            <w:r w:rsidRPr="00A23740">
              <w:rPr>
                <w:rStyle w:val="KIRMIZIChar"/>
                <w:rFonts w:eastAsia="Calibri"/>
              </w:rPr>
              <w:t xml:space="preserve"> ve basit yargılama usulüne göre karara bağlanır. (Ek cümle: 17/7/2003-4949/58 md.) Müflise yeni mal iktisap etmediği itirazında bulunma imkânını sağlamak niyetiyle üçüncü kişinin hak sahibi kılındığı ama müflisin fiilen tasarruf ettiği mallar, üçüncü kişi bu durumu biliyor veya bilmesi gerekiyorsa, yeni mal sayılır.</w:t>
            </w:r>
          </w:p>
          <w:p w:rsidR="00AA5C8C" w:rsidRPr="00A23740" w:rsidRDefault="00AA5C8C" w:rsidP="009431FF">
            <w:pPr>
              <w:tabs>
                <w:tab w:val="left" w:pos="567"/>
              </w:tabs>
              <w:rPr>
                <w:b/>
                <w:szCs w:val="24"/>
              </w:rPr>
            </w:pPr>
          </w:p>
          <w:p w:rsidR="00AA5C8C" w:rsidRPr="00A23740" w:rsidRDefault="00277039" w:rsidP="009431FF">
            <w:pPr>
              <w:tabs>
                <w:tab w:val="left" w:pos="567"/>
              </w:tabs>
              <w:rPr>
                <w:szCs w:val="24"/>
              </w:rPr>
            </w:pPr>
            <w:r>
              <w:rPr>
                <w:b/>
                <w:szCs w:val="24"/>
              </w:rPr>
              <w:t>F2.</w:t>
            </w:r>
            <w:r w:rsidR="00AA5C8C" w:rsidRPr="00A23740">
              <w:rPr>
                <w:b/>
                <w:szCs w:val="24"/>
              </w:rPr>
              <w:t>C4:</w:t>
            </w:r>
            <w:r w:rsidR="00AA5C8C" w:rsidRPr="00A23740">
              <w:rPr>
                <w:b/>
                <w:strike/>
                <w:color w:val="FF0000"/>
                <w:szCs w:val="24"/>
              </w:rPr>
              <w:t xml:space="preserve">(Ek cümle: 17/7/2003-4949/58 md.) </w:t>
            </w:r>
            <w:r w:rsidR="00AA5C8C" w:rsidRPr="00A23740">
              <w:rPr>
                <w:szCs w:val="24"/>
              </w:rPr>
              <w:t>Müflise yeni mal iktisap etmediği itirazında bulunma imkânını sağlamak niyetiyle üçüncü kişinin hak sahibi kılındığı ama müflisin fiilen tasarruf ettiği mallar, üçüncü kişi bu durumu biliyor veya bilmesi gerekiyorsa, yeni mal sayılır.</w:t>
            </w:r>
          </w:p>
          <w:p w:rsidR="00AA5C8C" w:rsidRPr="00A23740" w:rsidRDefault="00AA5C8C" w:rsidP="009431FF">
            <w:pPr>
              <w:tabs>
                <w:tab w:val="left" w:pos="567"/>
              </w:tabs>
              <w:rPr>
                <w:szCs w:val="24"/>
              </w:rPr>
            </w:pPr>
          </w:p>
        </w:tc>
        <w:tc>
          <w:tcPr>
            <w:tcW w:w="2500" w:type="pct"/>
          </w:tcPr>
          <w:p w:rsidR="00AA5C8C" w:rsidRPr="00A23740" w:rsidRDefault="00AA5C8C" w:rsidP="009431FF">
            <w:pPr>
              <w:pStyle w:val="Mavi"/>
            </w:pPr>
            <w:r w:rsidRPr="00A23740">
              <w:t>Müflisin yeni mal iktisabı</w:t>
            </w:r>
          </w:p>
          <w:p w:rsidR="00AA5C8C" w:rsidRPr="00A23740" w:rsidRDefault="003A1467" w:rsidP="009431FF">
            <w:pPr>
              <w:pStyle w:val="MAV"/>
            </w:pPr>
            <w:r w:rsidRPr="00A23740">
              <w:rPr>
                <w:u w:val="none"/>
                <w:lang w:val="tr-TR"/>
              </w:rPr>
              <w:t>MADDE 369</w:t>
            </w:r>
            <w:r w:rsidR="00AA5C8C" w:rsidRPr="00A23740">
              <w:rPr>
                <w:u w:val="none"/>
                <w:lang w:val="tr-TR"/>
              </w:rPr>
              <w:t xml:space="preserve">- </w:t>
            </w:r>
            <w:r w:rsidR="00AA5C8C" w:rsidRPr="00A23740">
              <w:rPr>
                <w:rStyle w:val="MaviChar"/>
                <w:b/>
                <w:u w:val="none"/>
              </w:rPr>
              <w:t xml:space="preserve">(1) </w:t>
            </w:r>
            <w:r w:rsidR="00AA5C8C" w:rsidRPr="00A23740">
              <w:rPr>
                <w:rFonts w:eastAsia="Calibri"/>
                <w:b w:val="0"/>
                <w:color w:val="auto"/>
                <w:u w:val="none"/>
                <w:lang w:val="tr-TR" w:eastAsia="en-US"/>
              </w:rPr>
              <w:t>Müflis</w:t>
            </w:r>
            <w:r w:rsidR="00AA5C8C" w:rsidRPr="00A23740">
              <w:rPr>
                <w:rStyle w:val="MaviChar"/>
                <w:b/>
                <w:u w:val="none"/>
              </w:rPr>
              <w:t>,</w:t>
            </w:r>
            <w:r w:rsidR="00AA5C8C" w:rsidRPr="00A23740">
              <w:rPr>
                <w:rFonts w:eastAsia="Calibri"/>
                <w:b w:val="0"/>
                <w:color w:val="auto"/>
                <w:u w:val="none"/>
                <w:lang w:val="tr-TR" w:eastAsia="en-US"/>
              </w:rPr>
              <w:t xml:space="preserve"> yeni mal iktisap etmedikçe</w:t>
            </w:r>
            <w:r w:rsidR="00AA5C8C" w:rsidRPr="00A23740">
              <w:rPr>
                <w:rStyle w:val="MaviChar"/>
                <w:b/>
                <w:u w:val="none"/>
              </w:rPr>
              <w:t>,</w:t>
            </w:r>
            <w:r w:rsidR="00AA5C8C" w:rsidRPr="00A23740">
              <w:rPr>
                <w:rFonts w:eastAsia="Calibri"/>
                <w:b w:val="0"/>
                <w:color w:val="auto"/>
                <w:u w:val="none"/>
                <w:lang w:val="tr-TR" w:eastAsia="en-US"/>
              </w:rPr>
              <w:t xml:space="preserve"> hakkında yeniden takip</w:t>
            </w:r>
            <w:r w:rsidR="00AA5C8C" w:rsidRPr="00A23740">
              <w:rPr>
                <w:rStyle w:val="MaviChar"/>
                <w:b/>
                <w:u w:val="none"/>
              </w:rPr>
              <w:t xml:space="preserve"> yapılamaz. Buna rağmen müflis hakkında yeni takip başlatılmışsa müflis, ödeme emrine karşı</w:t>
            </w:r>
            <w:r w:rsidR="004A5654" w:rsidRPr="00A23740">
              <w:rPr>
                <w:rStyle w:val="MaviChar"/>
                <w:b/>
                <w:u w:val="none"/>
                <w:lang w:val="tr-TR"/>
              </w:rPr>
              <w:t>,</w:t>
            </w:r>
            <w:r w:rsidR="00AA5C8C" w:rsidRPr="00A23740">
              <w:rPr>
                <w:rStyle w:val="MaviChar"/>
                <w:b/>
                <w:u w:val="none"/>
              </w:rPr>
              <w:t xml:space="preserve"> yeni mal iktisap etmediğini ileri sürerek</w:t>
            </w:r>
            <w:r w:rsidR="004A5654" w:rsidRPr="00A23740">
              <w:rPr>
                <w:rStyle w:val="MaviChar"/>
                <w:b/>
                <w:u w:val="none"/>
              </w:rPr>
              <w:t xml:space="preserve"> </w:t>
            </w:r>
            <w:r w:rsidR="004A5654" w:rsidRPr="004219D4">
              <w:rPr>
                <w:rStyle w:val="MaviChar"/>
                <w:rFonts w:eastAsia="ヒラギノ明朝 Pro W3"/>
                <w:b/>
                <w:u w:val="none"/>
              </w:rPr>
              <w:t>icra ve iflas dairesi nezdinde</w:t>
            </w:r>
            <w:r w:rsidR="004A5654" w:rsidRPr="00A23740">
              <w:rPr>
                <w:rStyle w:val="MaviChar"/>
                <w:b/>
                <w:u w:val="none"/>
              </w:rPr>
              <w:t xml:space="preserve"> </w:t>
            </w:r>
            <w:r w:rsidR="00AA5C8C" w:rsidRPr="00A23740">
              <w:rPr>
                <w:rStyle w:val="MaviChar"/>
                <w:b/>
                <w:u w:val="none"/>
              </w:rPr>
              <w:t xml:space="preserve">itiraz edebilir; bu takdirde takip durur. Alacaklı takibin devamına karar verilmesi için, takibin yapıldığı yerdeki iflas mahkemesine </w:t>
            </w:r>
            <w:r w:rsidR="00AA5C8C" w:rsidRPr="00A23740">
              <w:rPr>
                <w:rStyle w:val="MaviChar"/>
                <w:rFonts w:eastAsia="ヒラギノ明朝 Pro W3"/>
                <w:b/>
                <w:u w:val="none"/>
              </w:rPr>
              <w:t>başvurabilir</w:t>
            </w:r>
            <w:r w:rsidR="00AA5C8C" w:rsidRPr="00A23740">
              <w:rPr>
                <w:rStyle w:val="MaviChar"/>
                <w:b/>
                <w:u w:val="none"/>
              </w:rPr>
              <w:t>.</w:t>
            </w:r>
          </w:p>
          <w:p w:rsidR="00AA5C8C" w:rsidRPr="00A23740" w:rsidRDefault="00AA5C8C" w:rsidP="009431FF">
            <w:pPr>
              <w:pStyle w:val="MAV"/>
              <w:rPr>
                <w:u w:val="none"/>
                <w:lang w:val="tr-TR"/>
              </w:rPr>
            </w:pPr>
          </w:p>
          <w:p w:rsidR="00AA5C8C" w:rsidRPr="00A23740" w:rsidRDefault="00AA5C8C" w:rsidP="009431FF">
            <w:pPr>
              <w:pStyle w:val="MAV"/>
              <w:rPr>
                <w:u w:val="none"/>
                <w:lang w:val="tr-TR"/>
              </w:rPr>
            </w:pPr>
            <w:r w:rsidRPr="00A23740">
              <w:rPr>
                <w:u w:val="none"/>
                <w:lang w:val="tr-TR"/>
              </w:rPr>
              <w:t xml:space="preserve">(2) İflas mahkemesi tarafları dinledikten sonra </w:t>
            </w:r>
            <w:r w:rsidRPr="00A23740">
              <w:rPr>
                <w:rFonts w:eastAsia="Calibri"/>
                <w:b w:val="0"/>
                <w:bCs w:val="0"/>
                <w:color w:val="auto"/>
                <w:u w:val="none"/>
                <w:lang w:val="tr-TR" w:eastAsia="en-US"/>
              </w:rPr>
              <w:t xml:space="preserve">genel hükümlere </w:t>
            </w:r>
            <w:r w:rsidRPr="00A23740">
              <w:rPr>
                <w:rStyle w:val="MaviChar"/>
                <w:rFonts w:eastAsia="Calibri"/>
                <w:b/>
                <w:u w:val="none"/>
              </w:rPr>
              <w:t>göre</w:t>
            </w:r>
            <w:r w:rsidRPr="00A23740">
              <w:rPr>
                <w:u w:val="none"/>
                <w:lang w:val="tr-TR"/>
              </w:rPr>
              <w:t xml:space="preserve"> inceleme yaparak bir karar verir. Bu karara karşı istinaf kanun yoluna gidilebilir. Bölge adliye mahkemesinin kararı kesindir. </w:t>
            </w:r>
          </w:p>
          <w:p w:rsidR="00AA5C8C" w:rsidRPr="00A23740" w:rsidRDefault="00AA5C8C" w:rsidP="009431FF">
            <w:pPr>
              <w:pStyle w:val="MAV"/>
              <w:rPr>
                <w:u w:val="none"/>
                <w:lang w:val="tr-TR"/>
              </w:rPr>
            </w:pPr>
          </w:p>
          <w:p w:rsidR="002C79FC" w:rsidRPr="00A23740" w:rsidRDefault="002C79FC" w:rsidP="009431FF">
            <w:pPr>
              <w:tabs>
                <w:tab w:val="left" w:pos="567"/>
              </w:tabs>
              <w:rPr>
                <w:b/>
                <w:color w:val="0000FF"/>
                <w:szCs w:val="24"/>
              </w:rPr>
            </w:pPr>
          </w:p>
          <w:p w:rsidR="00AA5C8C" w:rsidRPr="00A23740" w:rsidRDefault="00AA5C8C" w:rsidP="009431FF">
            <w:pPr>
              <w:tabs>
                <w:tab w:val="left" w:pos="567"/>
              </w:tabs>
              <w:rPr>
                <w:szCs w:val="24"/>
              </w:rPr>
            </w:pPr>
            <w:r w:rsidRPr="00A23740">
              <w:rPr>
                <w:b/>
                <w:color w:val="0000FF"/>
                <w:szCs w:val="24"/>
              </w:rPr>
              <w:t>(3)</w:t>
            </w:r>
            <w:r w:rsidRPr="00A23740">
              <w:rPr>
                <w:b/>
                <w:szCs w:val="24"/>
              </w:rPr>
              <w:t xml:space="preserve"> </w:t>
            </w:r>
            <w:r w:rsidRPr="00A23740">
              <w:rPr>
                <w:szCs w:val="24"/>
              </w:rPr>
              <w:t>Müflise yeni mal iktisap etmediği itirazında bulunma imkânını sağlamak</w:t>
            </w:r>
            <w:r w:rsidR="004A5654" w:rsidRPr="00A23740">
              <w:rPr>
                <w:szCs w:val="24"/>
              </w:rPr>
              <w:t xml:space="preserve"> </w:t>
            </w:r>
            <w:r w:rsidR="004A5654" w:rsidRPr="004219D4">
              <w:rPr>
                <w:rStyle w:val="MaviChar"/>
              </w:rPr>
              <w:t>amacıyla</w:t>
            </w:r>
            <w:r w:rsidRPr="00A23740">
              <w:rPr>
                <w:szCs w:val="24"/>
              </w:rPr>
              <w:t xml:space="preserve"> üçüncü kişinin hak sahibi kılındığı ama müflisin fiilen tasarruf ettiği mallar, üçüncü kişi bu durumu biliyor veya bilmesi gerekiyorsa, yeni mal sayılır.</w:t>
            </w:r>
          </w:p>
          <w:p w:rsidR="00AA5C8C" w:rsidRPr="00A23740" w:rsidRDefault="00AA5C8C" w:rsidP="009431FF">
            <w:pPr>
              <w:tabs>
                <w:tab w:val="left" w:pos="567"/>
              </w:tabs>
              <w:rPr>
                <w:b/>
                <w:szCs w:val="24"/>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EA3C9B" w:rsidRPr="00A23740" w:rsidRDefault="00EA3C9B" w:rsidP="009431FF">
            <w:pPr>
              <w:pStyle w:val="MAV"/>
              <w:ind w:firstLine="709"/>
              <w:rPr>
                <w:u w:val="none"/>
                <w:lang w:val="tr-TR"/>
              </w:rPr>
            </w:pPr>
          </w:p>
          <w:p w:rsidR="00EA3C9B" w:rsidRPr="00A23740" w:rsidRDefault="003A1467" w:rsidP="009431FF">
            <w:pPr>
              <w:pStyle w:val="MAV"/>
              <w:ind w:firstLine="709"/>
              <w:rPr>
                <w:rFonts w:eastAsia="Calibri"/>
                <w:b w:val="0"/>
                <w:color w:val="auto"/>
                <w:u w:val="none"/>
                <w:lang w:val="tr-TR" w:eastAsia="en-US"/>
              </w:rPr>
            </w:pPr>
            <w:r w:rsidRPr="00A23740">
              <w:rPr>
                <w:color w:val="auto"/>
                <w:u w:val="none"/>
                <w:lang w:val="tr-TR"/>
              </w:rPr>
              <w:t>MADDE 369</w:t>
            </w:r>
            <w:r w:rsidR="00EA3C9B" w:rsidRPr="00A23740">
              <w:rPr>
                <w:color w:val="auto"/>
                <w:u w:val="none"/>
                <w:lang w:val="tr-TR"/>
              </w:rPr>
              <w:t>-</w:t>
            </w:r>
            <w:r w:rsidR="00EA3C9B" w:rsidRPr="00A23740">
              <w:rPr>
                <w:u w:val="none"/>
                <w:lang w:val="tr-TR"/>
              </w:rPr>
              <w:t xml:space="preserve"> </w:t>
            </w:r>
            <w:r w:rsidR="00EA3C9B" w:rsidRPr="00A23740">
              <w:rPr>
                <w:rFonts w:eastAsia="Calibri"/>
                <w:b w:val="0"/>
                <w:color w:val="auto"/>
                <w:u w:val="none"/>
                <w:lang w:val="tr-TR" w:eastAsia="en-US"/>
              </w:rPr>
              <w:t>Maddeyle, müflisin yeni mal iktisabına ilişkin hususlar düzenlenmektedir. Hüküm, 2004 sayılı Kanunun 251 inci maddesine karşılık gelmektedir.</w:t>
            </w:r>
          </w:p>
          <w:p w:rsidR="00EA3C9B" w:rsidRPr="00A23740" w:rsidRDefault="00EA3C9B" w:rsidP="009431FF">
            <w:pPr>
              <w:pStyle w:val="MAV"/>
              <w:ind w:firstLine="709"/>
              <w:rPr>
                <w:rFonts w:eastAsia="Calibri"/>
                <w:b w:val="0"/>
                <w:color w:val="auto"/>
                <w:u w:val="none"/>
                <w:lang w:val="tr-TR" w:eastAsia="en-US"/>
              </w:rPr>
            </w:pPr>
            <w:r w:rsidRPr="00A23740">
              <w:rPr>
                <w:rFonts w:eastAsia="Calibri"/>
                <w:b w:val="0"/>
                <w:color w:val="auto"/>
                <w:u w:val="none"/>
                <w:lang w:val="tr-TR" w:eastAsia="en-US"/>
              </w:rPr>
              <w:t>Birinci fıkrayla, müflisin yeni mal iktisap etmediği sürece hakkında yeniden takip yapılamayacağı hükme bağlanmaktadır. Buna göre müflis hakkında yeni takip başlatılmışsa, müflis, icra ve iflas dairesi nezdinde, bu yeni takip üzerine gönderilen ödeme emrine karşı yeni mal iktisap etmediğini ileri sürerek</w:t>
            </w:r>
            <w:r w:rsidR="00F123C0" w:rsidRPr="00A23740">
              <w:rPr>
                <w:rFonts w:eastAsia="Calibri"/>
                <w:b w:val="0"/>
                <w:color w:val="auto"/>
                <w:u w:val="none"/>
                <w:lang w:val="tr-TR" w:eastAsia="en-US"/>
              </w:rPr>
              <w:t xml:space="preserve"> </w:t>
            </w:r>
            <w:r w:rsidR="00F123C0" w:rsidRPr="004219D4">
              <w:rPr>
                <w:rFonts w:eastAsia="Calibri"/>
                <w:b w:val="0"/>
                <w:color w:val="auto"/>
                <w:u w:val="none"/>
                <w:lang w:val="tr-TR" w:eastAsia="en-US"/>
              </w:rPr>
              <w:t>icra ve iflas dairesi nezdinde</w:t>
            </w:r>
            <w:r w:rsidRPr="004219D4">
              <w:rPr>
                <w:rFonts w:eastAsia="Calibri"/>
                <w:b w:val="0"/>
                <w:color w:val="auto"/>
                <w:u w:val="none"/>
                <w:lang w:val="tr-TR" w:eastAsia="en-US"/>
              </w:rPr>
              <w:t xml:space="preserve"> itiraz</w:t>
            </w:r>
            <w:r w:rsidRPr="00A23740">
              <w:rPr>
                <w:rFonts w:eastAsia="Calibri"/>
                <w:b w:val="0"/>
                <w:color w:val="auto"/>
                <w:u w:val="none"/>
                <w:lang w:val="tr-TR" w:eastAsia="en-US"/>
              </w:rPr>
              <w:t xml:space="preserve"> edebilir; bu takdirde takip durur. Alacaklı takibin devamına karar verilmesi için, takibin yapıldığı yerdeki iflas mahkemesine başvurabilir.</w:t>
            </w:r>
          </w:p>
          <w:p w:rsidR="00EA3C9B" w:rsidRPr="00A23740" w:rsidRDefault="00EA3C9B" w:rsidP="009431FF">
            <w:pPr>
              <w:pStyle w:val="MAV"/>
              <w:ind w:firstLine="709"/>
              <w:rPr>
                <w:rFonts w:eastAsia="Calibri"/>
                <w:b w:val="0"/>
                <w:color w:val="auto"/>
                <w:u w:val="none"/>
                <w:lang w:val="tr-TR" w:eastAsia="en-US"/>
              </w:rPr>
            </w:pPr>
            <w:r w:rsidRPr="00A23740">
              <w:rPr>
                <w:rFonts w:eastAsia="Calibri"/>
                <w:b w:val="0"/>
                <w:color w:val="auto"/>
                <w:u w:val="none"/>
                <w:lang w:val="tr-TR" w:eastAsia="en-US"/>
              </w:rPr>
              <w:t xml:space="preserve">İkinci fıkrayla, iflas mahkemesinin tarafları dinlemesinden sonra genel hükümlere göre inceleme yaparak bir karar vereceği düzenlenmektedir. Hükme göre, bu karara karşı istinaf kanun yoluna gidilebilir ve bölge adliye mahkemesinin kararı kesindir. Bu hükmün, iflastan sonra doğan borçlar yönünden uygulanmayacağı hususunda tereddüt bulunmamaktadır. Ödeme veya icra emrine karşı icra </w:t>
            </w:r>
            <w:r w:rsidR="00B73523" w:rsidRPr="00A23740">
              <w:rPr>
                <w:color w:val="538135"/>
                <w:u w:val="none"/>
                <w:lang w:val="tr-TR"/>
              </w:rPr>
              <w:t>ve iflas</w:t>
            </w:r>
            <w:r w:rsidR="00B73523" w:rsidRPr="00A23740">
              <w:rPr>
                <w:b w:val="0"/>
                <w:bCs w:val="0"/>
              </w:rPr>
              <w:t xml:space="preserve"> </w:t>
            </w:r>
            <w:r w:rsidRPr="00A23740">
              <w:rPr>
                <w:rFonts w:eastAsia="Calibri"/>
                <w:b w:val="0"/>
                <w:color w:val="auto"/>
                <w:u w:val="none"/>
                <w:lang w:val="tr-TR" w:eastAsia="en-US"/>
              </w:rPr>
              <w:t>dairesine yapılan itirazda yeni mal iktisap edilmediği belirtileceğinden</w:t>
            </w:r>
            <w:r w:rsidR="00BF1CEE" w:rsidRPr="00A23740">
              <w:rPr>
                <w:rFonts w:eastAsia="Calibri"/>
                <w:b w:val="0"/>
                <w:color w:val="auto"/>
                <w:u w:val="none"/>
                <w:lang w:val="tr-TR" w:eastAsia="en-US"/>
              </w:rPr>
              <w:t>,</w:t>
            </w:r>
            <w:r w:rsidRPr="00A23740">
              <w:rPr>
                <w:rFonts w:eastAsia="Calibri"/>
                <w:b w:val="0"/>
                <w:color w:val="auto"/>
                <w:u w:val="none"/>
                <w:lang w:val="tr-TR" w:eastAsia="en-US"/>
              </w:rPr>
              <w:t xml:space="preserve"> açılacak dava itirazın giderilmesi davası olup, iflas mahkemesinde sadece yeni mal iktisabıyla sınırlı olarak incelenecektir.</w:t>
            </w:r>
          </w:p>
          <w:p w:rsidR="006A6763" w:rsidRPr="00A23740" w:rsidRDefault="006A6763"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b/>
                <w:strike/>
                <w:color w:val="FF0000"/>
                <w:szCs w:val="24"/>
              </w:rPr>
              <w:t>Muvakkat</w:t>
            </w:r>
            <w:r w:rsidRPr="00A23740">
              <w:rPr>
                <w:szCs w:val="24"/>
              </w:rPr>
              <w:t xml:space="preserve"> dağıtmalar</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252 – (1)</w:t>
            </w:r>
            <w:r w:rsidRPr="00A23740">
              <w:rPr>
                <w:b/>
                <w:szCs w:val="24"/>
              </w:rPr>
              <w:t xml:space="preserve"> </w:t>
            </w:r>
            <w:r w:rsidRPr="00A23740">
              <w:rPr>
                <w:szCs w:val="24"/>
              </w:rPr>
              <w:t xml:space="preserve">İtiraz </w:t>
            </w:r>
            <w:r w:rsidRPr="00A23740">
              <w:rPr>
                <w:b/>
                <w:strike/>
                <w:color w:val="FF0000"/>
                <w:szCs w:val="24"/>
              </w:rPr>
              <w:t>müddetinin</w:t>
            </w:r>
            <w:r w:rsidRPr="00A23740">
              <w:rPr>
                <w:szCs w:val="24"/>
              </w:rPr>
              <w:t xml:space="preserve"> bitmesinden sonra </w:t>
            </w:r>
            <w:r w:rsidRPr="00A23740">
              <w:rPr>
                <w:b/>
                <w:strike/>
                <w:color w:val="FF0000"/>
                <w:szCs w:val="24"/>
              </w:rPr>
              <w:t>muvakkat</w:t>
            </w:r>
            <w:r w:rsidRPr="00A23740">
              <w:rPr>
                <w:szCs w:val="24"/>
              </w:rPr>
              <w:t xml:space="preserve"> dağıtmalar yapılabilir.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szCs w:val="24"/>
              </w:rPr>
              <w:t xml:space="preserve"> İtiraz üzerine mahkemece henüz </w:t>
            </w:r>
            <w:r w:rsidRPr="00A23740">
              <w:rPr>
                <w:b/>
                <w:strike/>
                <w:color w:val="FF0000"/>
                <w:szCs w:val="24"/>
              </w:rPr>
              <w:t>intaç edilmemiş</w:t>
            </w:r>
            <w:r w:rsidRPr="00A23740">
              <w:rPr>
                <w:szCs w:val="24"/>
              </w:rPr>
              <w:t xml:space="preserve"> bulunan </w:t>
            </w:r>
            <w:r w:rsidRPr="00A23740">
              <w:rPr>
                <w:b/>
                <w:strike/>
                <w:color w:val="FF0000"/>
                <w:szCs w:val="24"/>
              </w:rPr>
              <w:t>ihtilaflı</w:t>
            </w:r>
            <w:r w:rsidRPr="00A23740">
              <w:rPr>
                <w:szCs w:val="24"/>
              </w:rPr>
              <w:t xml:space="preserve"> alacaklar için pay </w:t>
            </w:r>
            <w:r w:rsidRPr="00A23740">
              <w:rPr>
                <w:b/>
                <w:strike/>
                <w:color w:val="FF0000"/>
                <w:szCs w:val="24"/>
              </w:rPr>
              <w:t>ayrılıp</w:t>
            </w:r>
            <w:r w:rsidRPr="00A23740">
              <w:rPr>
                <w:szCs w:val="24"/>
              </w:rPr>
              <w:t xml:space="preserve"> </w:t>
            </w:r>
            <w:r w:rsidRPr="00A23740">
              <w:rPr>
                <w:rStyle w:val="KIRMIZIChar"/>
                <w:rFonts w:eastAsia="Calibri"/>
              </w:rPr>
              <w:t>250 nci</w:t>
            </w:r>
            <w:r w:rsidRPr="00A23740">
              <w:rPr>
                <w:szCs w:val="24"/>
              </w:rPr>
              <w:t xml:space="preserve"> madde hükmü </w:t>
            </w:r>
            <w:r w:rsidRPr="00A23740">
              <w:rPr>
                <w:b/>
                <w:strike/>
                <w:color w:val="FF0000"/>
                <w:szCs w:val="24"/>
              </w:rPr>
              <w:t>dairesinde</w:t>
            </w:r>
            <w:r w:rsidRPr="00A23740">
              <w:rPr>
                <w:szCs w:val="24"/>
              </w:rPr>
              <w:t xml:space="preserve"> muhafaza edilir.</w:t>
            </w:r>
          </w:p>
        </w:tc>
        <w:tc>
          <w:tcPr>
            <w:tcW w:w="2500" w:type="pct"/>
          </w:tcPr>
          <w:p w:rsidR="00AA5C8C" w:rsidRPr="00A23740" w:rsidRDefault="00AA5C8C" w:rsidP="009431FF">
            <w:pPr>
              <w:pStyle w:val="MAV"/>
              <w:rPr>
                <w:u w:val="none"/>
                <w:lang w:val="tr-TR"/>
              </w:rPr>
            </w:pPr>
            <w:r w:rsidRPr="00A23740">
              <w:rPr>
                <w:u w:val="none"/>
                <w:lang w:val="tr-TR"/>
              </w:rPr>
              <w:t>Geçici dağıtımlar</w:t>
            </w:r>
          </w:p>
          <w:p w:rsidR="00AA5C8C" w:rsidRPr="00A23740" w:rsidRDefault="003A1467" w:rsidP="009431FF">
            <w:pPr>
              <w:tabs>
                <w:tab w:val="left" w:pos="567"/>
              </w:tabs>
              <w:rPr>
                <w:rStyle w:val="MaviChar"/>
              </w:rPr>
            </w:pPr>
            <w:r w:rsidRPr="00A23740">
              <w:rPr>
                <w:rStyle w:val="MAVChar"/>
                <w:rFonts w:eastAsia="Calibri"/>
                <w:u w:val="none"/>
              </w:rPr>
              <w:t>MADDE 370</w:t>
            </w:r>
            <w:r w:rsidR="00AA5C8C" w:rsidRPr="00A23740">
              <w:rPr>
                <w:rStyle w:val="MAVChar"/>
                <w:rFonts w:eastAsia="Calibri"/>
                <w:u w:val="none"/>
              </w:rPr>
              <w:t>- (1)</w:t>
            </w:r>
            <w:r w:rsidR="00AA5C8C" w:rsidRPr="00A23740">
              <w:rPr>
                <w:b/>
                <w:szCs w:val="24"/>
              </w:rPr>
              <w:t xml:space="preserve"> </w:t>
            </w:r>
            <w:r w:rsidR="00AA5C8C" w:rsidRPr="00A23740">
              <w:rPr>
                <w:rStyle w:val="MAVChar"/>
                <w:rFonts w:eastAsia="Calibri"/>
                <w:u w:val="none"/>
              </w:rPr>
              <w:t>Sıra cetveline</w:t>
            </w:r>
            <w:r w:rsidR="00AA5C8C" w:rsidRPr="00A23740">
              <w:rPr>
                <w:b/>
                <w:szCs w:val="24"/>
              </w:rPr>
              <w:t xml:space="preserve"> </w:t>
            </w:r>
            <w:r w:rsidR="00AA5C8C" w:rsidRPr="00A23740">
              <w:rPr>
                <w:szCs w:val="24"/>
              </w:rPr>
              <w:t xml:space="preserve">itiraz </w:t>
            </w:r>
            <w:r w:rsidR="00AA5C8C" w:rsidRPr="00A23740">
              <w:rPr>
                <w:b/>
                <w:color w:val="0000FF"/>
                <w:szCs w:val="24"/>
              </w:rPr>
              <w:t>süresinin</w:t>
            </w:r>
            <w:r w:rsidR="00AA5C8C" w:rsidRPr="00A23740">
              <w:rPr>
                <w:szCs w:val="24"/>
              </w:rPr>
              <w:t xml:space="preserve"> bitmesinden sonra </w:t>
            </w:r>
            <w:r w:rsidR="00AA5C8C" w:rsidRPr="00A23740">
              <w:rPr>
                <w:b/>
                <w:color w:val="0000FF"/>
                <w:szCs w:val="24"/>
              </w:rPr>
              <w:t>geçici</w:t>
            </w:r>
            <w:r w:rsidR="00AA5C8C" w:rsidRPr="00A23740">
              <w:rPr>
                <w:szCs w:val="24"/>
              </w:rPr>
              <w:t xml:space="preserve"> </w:t>
            </w:r>
            <w:r w:rsidR="00AA5C8C" w:rsidRPr="00A23740">
              <w:rPr>
                <w:rStyle w:val="MAVChar"/>
                <w:rFonts w:eastAsia="Calibri"/>
                <w:u w:val="none"/>
              </w:rPr>
              <w:t>dağıtımlar</w:t>
            </w:r>
            <w:r w:rsidR="00AA5C8C" w:rsidRPr="00A23740">
              <w:rPr>
                <w:szCs w:val="24"/>
              </w:rPr>
              <w:t xml:space="preserve"> yapılabilir. </w:t>
            </w:r>
            <w:r w:rsidR="00AA5C8C" w:rsidRPr="00A23740">
              <w:rPr>
                <w:rStyle w:val="MaviChar"/>
              </w:rPr>
              <w:t>Geçici dağıtım kararını ikinci veya sonraki</w:t>
            </w:r>
            <w:r w:rsidR="00AA5C8C" w:rsidRPr="00A23740">
              <w:rPr>
                <w:rStyle w:val="MaviChar"/>
                <w:bCs w:val="0"/>
                <w:lang w:eastAsia="en-US"/>
              </w:rPr>
              <w:t xml:space="preserve"> </w:t>
            </w:r>
            <w:r w:rsidR="00AA5C8C" w:rsidRPr="00A23740">
              <w:rPr>
                <w:rStyle w:val="MaviChar"/>
                <w:bCs w:val="0"/>
                <w:lang w:val="tr-TR" w:eastAsia="en-US"/>
              </w:rPr>
              <w:t>alacaklılar toplantısı verir;</w:t>
            </w:r>
            <w:r w:rsidR="00AA5C8C" w:rsidRPr="00A23740">
              <w:rPr>
                <w:rStyle w:val="MaviChar"/>
                <w:bCs w:val="0"/>
                <w:lang w:eastAsia="en-US"/>
              </w:rPr>
              <w:t xml:space="preserve"> </w:t>
            </w:r>
            <w:r w:rsidR="00AA5C8C" w:rsidRPr="00A23740">
              <w:rPr>
                <w:rStyle w:val="MaviChar"/>
              </w:rPr>
              <w:t>ancak, gerekli görürse,</w:t>
            </w:r>
            <w:r w:rsidR="00AA5C8C" w:rsidRPr="00A23740">
              <w:rPr>
                <w:rStyle w:val="MaviChar"/>
                <w:bCs w:val="0"/>
                <w:lang w:val="tr-TR" w:eastAsia="en-US"/>
              </w:rPr>
              <w:t xml:space="preserve"> iflas idaresi de ikinci alacaklılar toplantısından önce geçici da</w:t>
            </w:r>
            <w:r w:rsidR="00AA5C8C" w:rsidRPr="00A23740">
              <w:rPr>
                <w:rStyle w:val="MaviChar"/>
              </w:rPr>
              <w:t>ğıtım yapılmasına karar verebilir.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(2)</w:t>
            </w:r>
            <w:r w:rsidRPr="00A23740">
              <w:rPr>
                <w:szCs w:val="24"/>
              </w:rPr>
              <w:t xml:space="preserve"> </w:t>
            </w:r>
            <w:r w:rsidRPr="00A23740">
              <w:rPr>
                <w:rStyle w:val="MAVChar"/>
                <w:rFonts w:eastAsia="Calibri"/>
                <w:u w:val="none"/>
              </w:rPr>
              <w:t>Sıra cetveline</w:t>
            </w:r>
            <w:r w:rsidRPr="00A23740">
              <w:rPr>
                <w:b/>
                <w:szCs w:val="24"/>
              </w:rPr>
              <w:t xml:space="preserve"> </w:t>
            </w:r>
            <w:r w:rsidRPr="00A23740">
              <w:rPr>
                <w:szCs w:val="24"/>
              </w:rPr>
              <w:t xml:space="preserve">itiraz üzerine mahkemece henüz </w:t>
            </w:r>
            <w:r w:rsidR="004A5654" w:rsidRPr="00A57CFE">
              <w:rPr>
                <w:rStyle w:val="MaviChar"/>
              </w:rPr>
              <w:t>karar verilmemiş</w:t>
            </w:r>
            <w:r w:rsidR="004A5654" w:rsidRPr="00A23740">
              <w:rPr>
                <w:b/>
                <w:color w:val="0000FF"/>
                <w:szCs w:val="24"/>
              </w:rPr>
              <w:t xml:space="preserve"> </w:t>
            </w:r>
            <w:r w:rsidRPr="00A23740">
              <w:rPr>
                <w:b/>
                <w:color w:val="0000FF"/>
                <w:szCs w:val="24"/>
              </w:rPr>
              <w:t>olan çekişmeli</w:t>
            </w:r>
            <w:r w:rsidRPr="00A23740">
              <w:rPr>
                <w:szCs w:val="24"/>
              </w:rPr>
              <w:t xml:space="preserve"> alacaklar için </w:t>
            </w:r>
            <w:r w:rsidRPr="00A23740">
              <w:rPr>
                <w:b/>
                <w:color w:val="0000FF"/>
                <w:szCs w:val="24"/>
              </w:rPr>
              <w:t>ayrılan</w:t>
            </w:r>
            <w:r w:rsidRPr="00A23740">
              <w:rPr>
                <w:szCs w:val="24"/>
              </w:rPr>
              <w:t xml:space="preserve"> pay</w:t>
            </w:r>
            <w:r w:rsidRPr="00A23740">
              <w:rPr>
                <w:b/>
                <w:color w:val="0000FF"/>
                <w:szCs w:val="24"/>
              </w:rPr>
              <w:t>lar</w:t>
            </w:r>
            <w:r w:rsidR="004A5654" w:rsidRPr="00A57CFE">
              <w:rPr>
                <w:rStyle w:val="MaviChar"/>
              </w:rPr>
              <w:t>,</w:t>
            </w:r>
            <w:r w:rsidRPr="00A23740">
              <w:rPr>
                <w:b/>
                <w:color w:val="0000FF"/>
                <w:szCs w:val="24"/>
              </w:rPr>
              <w:t xml:space="preserve"> paraların dağıtımına ilişkin</w:t>
            </w:r>
            <w:r w:rsidR="00BC2055" w:rsidRPr="00A23740">
              <w:rPr>
                <w:b/>
                <w:color w:val="0000FF"/>
                <w:szCs w:val="24"/>
              </w:rPr>
              <w:t xml:space="preserve"> </w:t>
            </w:r>
            <w:r w:rsidR="00BC2055" w:rsidRPr="00A57CFE">
              <w:rPr>
                <w:rStyle w:val="MaviChar"/>
              </w:rPr>
              <w:t>367 nci</w:t>
            </w:r>
            <w:r w:rsidRPr="00A23740">
              <w:rPr>
                <w:b/>
                <w:color w:val="0000FF"/>
                <w:szCs w:val="24"/>
              </w:rPr>
              <w:t xml:space="preserve"> </w:t>
            </w:r>
            <w:r w:rsidRPr="00A23740">
              <w:rPr>
                <w:rStyle w:val="MaviChar"/>
              </w:rPr>
              <w:t>madde</w:t>
            </w:r>
            <w:r w:rsidRPr="00A23740">
              <w:rPr>
                <w:szCs w:val="24"/>
              </w:rPr>
              <w:t xml:space="preserve"> hükmü</w:t>
            </w:r>
            <w:r w:rsidRPr="00A23740">
              <w:rPr>
                <w:b/>
                <w:color w:val="0000FF"/>
                <w:szCs w:val="24"/>
              </w:rPr>
              <w:t>ne göre</w:t>
            </w:r>
            <w:r w:rsidRPr="00A23740">
              <w:rPr>
                <w:szCs w:val="24"/>
              </w:rPr>
              <w:t xml:space="preserve"> muhafaza edilir.</w:t>
            </w:r>
          </w:p>
          <w:p w:rsidR="00AA5C8C" w:rsidRDefault="00AA5C8C" w:rsidP="009431FF">
            <w:pPr>
              <w:tabs>
                <w:tab w:val="left" w:pos="567"/>
              </w:tabs>
              <w:rPr>
                <w:b/>
                <w:color w:val="FF0000"/>
                <w:szCs w:val="24"/>
              </w:rPr>
            </w:pPr>
          </w:p>
          <w:p w:rsidR="009A013D" w:rsidRPr="00A23740" w:rsidRDefault="009A013D" w:rsidP="009431FF">
            <w:pPr>
              <w:tabs>
                <w:tab w:val="left" w:pos="567"/>
              </w:tabs>
              <w:rPr>
                <w:b/>
                <w:color w:val="FF0000"/>
                <w:szCs w:val="24"/>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B18CD" w:rsidRPr="00A23740" w:rsidRDefault="000B18CD" w:rsidP="009431FF">
            <w:pPr>
              <w:tabs>
                <w:tab w:val="left" w:pos="567"/>
              </w:tabs>
              <w:ind w:firstLine="567"/>
              <w:rPr>
                <w:rStyle w:val="MAVChar"/>
                <w:rFonts w:eastAsia="Calibri"/>
                <w:u w:val="none"/>
              </w:rPr>
            </w:pPr>
          </w:p>
          <w:p w:rsidR="000B18CD" w:rsidRPr="00A23740" w:rsidRDefault="003A1467" w:rsidP="009431FF">
            <w:pPr>
              <w:tabs>
                <w:tab w:val="left" w:pos="567"/>
              </w:tabs>
              <w:ind w:firstLine="567"/>
              <w:rPr>
                <w:szCs w:val="24"/>
              </w:rPr>
            </w:pPr>
            <w:r w:rsidRPr="00A23740">
              <w:rPr>
                <w:b/>
                <w:bCs/>
              </w:rPr>
              <w:t>MADDE 370</w:t>
            </w:r>
            <w:r w:rsidR="000B18CD" w:rsidRPr="00A23740">
              <w:rPr>
                <w:b/>
                <w:bCs/>
              </w:rPr>
              <w:t xml:space="preserve">- </w:t>
            </w:r>
            <w:r w:rsidR="000B18CD" w:rsidRPr="00A23740">
              <w:rPr>
                <w:szCs w:val="24"/>
              </w:rPr>
              <w:t>Maddeyle, geçici dağıtımlara ilişkin hususlar düzenlenmektedir. Hüküm, 2004 sayılı Kanunun 252 nci maddesine karşılık gelmektedir.</w:t>
            </w:r>
          </w:p>
          <w:p w:rsidR="000B18CD" w:rsidRPr="00A23740" w:rsidRDefault="000B18CD" w:rsidP="009431FF">
            <w:pPr>
              <w:tabs>
                <w:tab w:val="left" w:pos="567"/>
              </w:tabs>
              <w:ind w:firstLine="567"/>
              <w:rPr>
                <w:szCs w:val="24"/>
              </w:rPr>
            </w:pPr>
            <w:r w:rsidRPr="00A23740">
              <w:rPr>
                <w:szCs w:val="24"/>
              </w:rPr>
              <w:t>Birinci fıkrayla, sıra cetveline itiraz süresinin bitmesinden sonra geçici dağıtımlar yapılabileceği</w:t>
            </w:r>
            <w:r w:rsidR="007D12CC" w:rsidRPr="00A23740">
              <w:rPr>
                <w:szCs w:val="24"/>
              </w:rPr>
              <w:t xml:space="preserve"> </w:t>
            </w:r>
            <w:r w:rsidR="007D12CC" w:rsidRPr="00A57CFE">
              <w:t>açıklanmaktadır.</w:t>
            </w:r>
            <w:r w:rsidRPr="00A23740">
              <w:rPr>
                <w:szCs w:val="24"/>
              </w:rPr>
              <w:t xml:space="preserve"> Hükme göre, geçici dağıtım kararını ikinci veya sonraki alacaklılar toplantısı verir; ancak, gerekli görürse, iflas idaresi de ikinci alacaklılar toplantısından önce geçici dağıtım yapılmasına karar verebilir.</w:t>
            </w:r>
            <w:r w:rsidR="007D12CC" w:rsidRPr="00A23740">
              <w:rPr>
                <w:szCs w:val="24"/>
              </w:rPr>
              <w:t xml:space="preserve"> </w:t>
            </w:r>
            <w:r w:rsidR="007D12CC" w:rsidRPr="00A57CFE">
              <w:t>İkinci alacaklılar toplantısından sonra geçici dağıtım yapmaya sonraki alacaklılar toplantıları karar vereceğinden, iflas idaresinin geçici dağıtım yetkisinin ikinci alacaklılar toplantısından önceki dönemle sınırlandırılması uygun görülmüştür.</w:t>
            </w:r>
          </w:p>
          <w:p w:rsidR="007D12CC" w:rsidRPr="00A23740" w:rsidRDefault="000B18CD" w:rsidP="009431FF">
            <w:pPr>
              <w:tabs>
                <w:tab w:val="left" w:pos="567"/>
              </w:tabs>
              <w:ind w:firstLine="567"/>
              <w:rPr>
                <w:szCs w:val="24"/>
              </w:rPr>
            </w:pPr>
            <w:r w:rsidRPr="00A23740">
              <w:rPr>
                <w:szCs w:val="24"/>
              </w:rPr>
              <w:t xml:space="preserve">İkinci fıkraya göre, sıra cetveline itiraz üzerine mahkemece henüz </w:t>
            </w:r>
            <w:r w:rsidR="00F123C0" w:rsidRPr="00A57CFE">
              <w:t>karar verilmemiş</w:t>
            </w:r>
            <w:r w:rsidR="00F123C0" w:rsidRPr="00A23740">
              <w:rPr>
                <w:szCs w:val="24"/>
              </w:rPr>
              <w:t xml:space="preserve"> </w:t>
            </w:r>
            <w:r w:rsidRPr="00A23740">
              <w:rPr>
                <w:szCs w:val="24"/>
              </w:rPr>
              <w:t>olan çekişmeli alacaklar için ayrılan paylar</w:t>
            </w:r>
            <w:r w:rsidR="00BF1CEE" w:rsidRPr="00A23740">
              <w:rPr>
                <w:szCs w:val="24"/>
              </w:rPr>
              <w:t>,</w:t>
            </w:r>
            <w:r w:rsidRPr="00A23740">
              <w:rPr>
                <w:szCs w:val="24"/>
              </w:rPr>
              <w:t xml:space="preserve"> paraların dağıtımına ilişkin </w:t>
            </w:r>
            <w:r w:rsidR="00BC2055" w:rsidRPr="00A57CFE">
              <w:t>367 nci</w:t>
            </w:r>
            <w:r w:rsidR="00BC2055" w:rsidRPr="00A23740">
              <w:rPr>
                <w:b/>
                <w:color w:val="0000FF"/>
                <w:szCs w:val="24"/>
              </w:rPr>
              <w:t xml:space="preserve"> </w:t>
            </w:r>
            <w:r w:rsidRPr="00A23740">
              <w:rPr>
                <w:szCs w:val="24"/>
              </w:rPr>
              <w:t>madde hükmüne göre muhafaza edilir.</w:t>
            </w:r>
          </w:p>
          <w:p w:rsidR="006A6763" w:rsidRPr="00A23740" w:rsidRDefault="006A6763"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r w:rsidRPr="00A23740">
              <w:rPr>
                <w:szCs w:val="24"/>
              </w:rPr>
              <w:t xml:space="preserve">Kaydettirilmemiş alacaklar </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253 – (1) Evvelce</w:t>
            </w:r>
            <w:r w:rsidRPr="00A23740">
              <w:rPr>
                <w:b/>
                <w:strike/>
                <w:color w:val="FF0000"/>
                <w:szCs w:val="24"/>
              </w:rPr>
              <w:t xml:space="preserve"> kaydedilmemesinden dolayı</w:t>
            </w:r>
            <w:r w:rsidRPr="00A23740">
              <w:rPr>
                <w:szCs w:val="24"/>
              </w:rPr>
              <w:t xml:space="preserve"> tasfiyeye girmemiş olan alacaklar</w:t>
            </w:r>
            <w:r w:rsidRPr="00A23740">
              <w:rPr>
                <w:b/>
                <w:strike/>
                <w:color w:val="FF0000"/>
                <w:szCs w:val="24"/>
              </w:rPr>
              <w:t>a</w:t>
            </w:r>
            <w:r w:rsidRPr="00A23740">
              <w:rPr>
                <w:b/>
                <w:color w:val="FF0000"/>
                <w:szCs w:val="24"/>
              </w:rPr>
              <w:t xml:space="preserve"> </w:t>
            </w:r>
            <w:r w:rsidRPr="00A23740">
              <w:rPr>
                <w:szCs w:val="24"/>
              </w:rPr>
              <w:t xml:space="preserve">aciz </w:t>
            </w:r>
            <w:r w:rsidRPr="00A23740">
              <w:rPr>
                <w:b/>
                <w:strike/>
                <w:color w:val="FF0000"/>
                <w:szCs w:val="24"/>
              </w:rPr>
              <w:t>vesikası verilen</w:t>
            </w:r>
            <w:r w:rsidRPr="00A23740">
              <w:rPr>
                <w:szCs w:val="24"/>
              </w:rPr>
              <w:t xml:space="preserve"> alacaklar hakkında</w:t>
            </w:r>
            <w:r w:rsidRPr="00A23740">
              <w:rPr>
                <w:b/>
                <w:strike/>
                <w:color w:val="FF0000"/>
                <w:szCs w:val="24"/>
              </w:rPr>
              <w:t>ki hükümler tatbik olunur.</w:t>
            </w:r>
          </w:p>
        </w:tc>
        <w:tc>
          <w:tcPr>
            <w:tcW w:w="2500" w:type="pct"/>
          </w:tcPr>
          <w:p w:rsidR="00AA5C8C" w:rsidRPr="00A23740" w:rsidRDefault="00AA5C8C" w:rsidP="009431FF">
            <w:pPr>
              <w:tabs>
                <w:tab w:val="left" w:pos="567"/>
              </w:tabs>
              <w:rPr>
                <w:b/>
                <w:szCs w:val="24"/>
              </w:rPr>
            </w:pPr>
            <w:r w:rsidRPr="00A23740">
              <w:rPr>
                <w:b/>
                <w:szCs w:val="24"/>
              </w:rPr>
              <w:t xml:space="preserve">Kaydettirilmemiş alacaklar </w:t>
            </w:r>
          </w:p>
          <w:p w:rsidR="00AA5C8C" w:rsidRPr="00A23740" w:rsidRDefault="003A1467" w:rsidP="009431FF">
            <w:pPr>
              <w:tabs>
                <w:tab w:val="left" w:pos="567"/>
              </w:tabs>
              <w:rPr>
                <w:szCs w:val="24"/>
              </w:rPr>
            </w:pPr>
            <w:r w:rsidRPr="00A23740">
              <w:rPr>
                <w:rStyle w:val="MAVChar"/>
                <w:rFonts w:eastAsia="Calibri"/>
                <w:u w:val="none"/>
              </w:rPr>
              <w:t>MADDE 371</w:t>
            </w:r>
            <w:r w:rsidR="00AA5C8C" w:rsidRPr="00A23740">
              <w:rPr>
                <w:rStyle w:val="MAVChar"/>
                <w:rFonts w:eastAsia="Calibri"/>
                <w:u w:val="none"/>
              </w:rPr>
              <w:t>- (1)</w:t>
            </w:r>
            <w:r w:rsidR="00AA5C8C" w:rsidRPr="00A23740">
              <w:rPr>
                <w:b/>
                <w:color w:val="0000FF"/>
                <w:szCs w:val="24"/>
              </w:rPr>
              <w:t xml:space="preserve"> İflasın kapanmasına kadar masaya yazdırılmadığı için</w:t>
            </w:r>
            <w:r w:rsidR="00AA5C8C" w:rsidRPr="00A23740">
              <w:rPr>
                <w:szCs w:val="24"/>
              </w:rPr>
              <w:t xml:space="preserve"> tasfiyeye girmemiş olan alacaklar</w:t>
            </w:r>
            <w:r w:rsidR="00AA5C8C" w:rsidRPr="00FB5B54">
              <w:rPr>
                <w:b/>
                <w:color w:val="0000FF"/>
              </w:rPr>
              <w:t>,</w:t>
            </w:r>
            <w:r w:rsidR="00AA5C8C" w:rsidRPr="00A23740">
              <w:rPr>
                <w:b/>
                <w:color w:val="0000FF"/>
                <w:szCs w:val="24"/>
              </w:rPr>
              <w:t xml:space="preserve"> </w:t>
            </w:r>
            <w:r w:rsidR="00AA5C8C" w:rsidRPr="00A23740">
              <w:rPr>
                <w:szCs w:val="24"/>
              </w:rPr>
              <w:t xml:space="preserve">aciz </w:t>
            </w:r>
            <w:r w:rsidR="00AA5C8C" w:rsidRPr="00A23740">
              <w:rPr>
                <w:b/>
                <w:color w:val="0000FF"/>
                <w:szCs w:val="24"/>
              </w:rPr>
              <w:t>belgesi  verilmiş olan alacaklarla aynı sınırlamalara tabidir.</w:t>
            </w:r>
          </w:p>
          <w:p w:rsidR="00AA5C8C" w:rsidRPr="00A23740" w:rsidRDefault="00AA5C8C" w:rsidP="009431FF">
            <w:pPr>
              <w:pStyle w:val="KIRMIZI"/>
              <w:rPr>
                <w:b w:val="0"/>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E4407E" w:rsidRPr="00A23740" w:rsidRDefault="00E4407E" w:rsidP="009431FF">
            <w:pPr>
              <w:tabs>
                <w:tab w:val="left" w:pos="567"/>
              </w:tabs>
              <w:ind w:firstLine="567"/>
              <w:rPr>
                <w:rStyle w:val="MAVChar"/>
                <w:rFonts w:eastAsia="Calibri"/>
                <w:u w:val="none"/>
              </w:rPr>
            </w:pPr>
          </w:p>
          <w:p w:rsidR="00351F61" w:rsidRPr="00A23740" w:rsidRDefault="003A1467" w:rsidP="009431FF">
            <w:pPr>
              <w:tabs>
                <w:tab w:val="left" w:pos="567"/>
              </w:tabs>
              <w:ind w:firstLine="567"/>
              <w:rPr>
                <w:szCs w:val="24"/>
              </w:rPr>
            </w:pPr>
            <w:r w:rsidRPr="00A23740">
              <w:rPr>
                <w:b/>
                <w:bCs/>
              </w:rPr>
              <w:t>MADDE 371</w:t>
            </w:r>
            <w:r w:rsidR="00351F61" w:rsidRPr="00A23740">
              <w:rPr>
                <w:b/>
                <w:bCs/>
              </w:rPr>
              <w:t xml:space="preserve">- </w:t>
            </w:r>
            <w:r w:rsidR="00351F61" w:rsidRPr="00A23740">
              <w:rPr>
                <w:szCs w:val="24"/>
              </w:rPr>
              <w:t>Maddeyle, kaydettirilmemiş alacaklara ilişkin hususlar düzenlenmektedir. Hüküm 2004 sayılı Kanunun 253 üncü maddesine karşılık gelmektedir.</w:t>
            </w:r>
          </w:p>
          <w:p w:rsidR="00351F61" w:rsidRPr="00A23740" w:rsidRDefault="00E4407E" w:rsidP="009431FF">
            <w:pPr>
              <w:tabs>
                <w:tab w:val="left" w:pos="567"/>
              </w:tabs>
              <w:ind w:firstLine="567"/>
              <w:rPr>
                <w:szCs w:val="24"/>
              </w:rPr>
            </w:pPr>
            <w:r w:rsidRPr="00A23740">
              <w:rPr>
                <w:szCs w:val="24"/>
              </w:rPr>
              <w:t>Maddeyle</w:t>
            </w:r>
            <w:r w:rsidR="00351F61" w:rsidRPr="00A23740">
              <w:rPr>
                <w:szCs w:val="24"/>
              </w:rPr>
              <w:t>, iflasın kapanmasına kadar masaya yazdırılmadığı için tasfiyeye girmemiş olan alacaklar</w:t>
            </w:r>
            <w:r w:rsidRPr="00A23740">
              <w:rPr>
                <w:szCs w:val="24"/>
              </w:rPr>
              <w:t>ın</w:t>
            </w:r>
            <w:r w:rsidR="00351F61" w:rsidRPr="00A23740">
              <w:rPr>
                <w:szCs w:val="24"/>
              </w:rPr>
              <w:t>, aciz belgesi  verilmiş olan alacaklarla aynı sınırla</w:t>
            </w:r>
            <w:r w:rsidRPr="00A23740">
              <w:rPr>
                <w:szCs w:val="24"/>
              </w:rPr>
              <w:t>malara tabi olacağı hüküm altına alınmaktadı</w:t>
            </w:r>
            <w:r w:rsidRPr="00A57CFE">
              <w:t>r.</w:t>
            </w:r>
            <w:r w:rsidR="00983844" w:rsidRPr="00A57CFE">
              <w:t xml:space="preserve"> Uygulamada bazı yanlış anlaşılmalara neden olduğu için maddenin yazım şeklide düzeltilmiştir.</w:t>
            </w:r>
          </w:p>
          <w:p w:rsidR="006A6763" w:rsidRPr="00A23740" w:rsidRDefault="006A6763"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VII. İFLASIN KAPANMASl</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t xml:space="preserve">Nihai rapor ve kapanma kararı </w:t>
            </w:r>
            <w:r w:rsidRPr="00A23740">
              <w:rPr>
                <w:b/>
                <w:strike/>
                <w:color w:val="FF0000"/>
                <w:szCs w:val="24"/>
              </w:rPr>
              <w:t>:</w:t>
            </w:r>
          </w:p>
          <w:p w:rsidR="00AA5C8C" w:rsidRPr="00A23740" w:rsidRDefault="00AA5C8C" w:rsidP="009431FF">
            <w:pPr>
              <w:tabs>
                <w:tab w:val="left" w:pos="567"/>
              </w:tabs>
              <w:rPr>
                <w:szCs w:val="24"/>
              </w:rPr>
            </w:pPr>
            <w:r w:rsidRPr="00A23740">
              <w:rPr>
                <w:rStyle w:val="KIRMIZIChar"/>
                <w:rFonts w:eastAsia="Calibri"/>
              </w:rPr>
              <w:t>Madde 254 – (1)</w:t>
            </w:r>
            <w:r w:rsidRPr="00A23740">
              <w:rPr>
                <w:b/>
                <w:szCs w:val="24"/>
              </w:rPr>
              <w:t xml:space="preserve"> </w:t>
            </w:r>
            <w:r w:rsidRPr="00A23740">
              <w:rPr>
                <w:szCs w:val="24"/>
              </w:rPr>
              <w:t xml:space="preserve">Paralar dağıtıldıktan sonra </w:t>
            </w:r>
            <w:r w:rsidRPr="00A23740">
              <w:rPr>
                <w:rStyle w:val="KIRMIZIChar"/>
                <w:rFonts w:eastAsia="Calibri"/>
              </w:rPr>
              <w:t>idare</w:t>
            </w:r>
            <w:r w:rsidRPr="00A23740">
              <w:rPr>
                <w:szCs w:val="24"/>
              </w:rPr>
              <w:t xml:space="preserve"> iflasa </w:t>
            </w:r>
            <w:r w:rsidRPr="00A23740">
              <w:rPr>
                <w:rStyle w:val="KIRMIZIChar"/>
                <w:rFonts w:eastAsia="Calibri"/>
              </w:rPr>
              <w:t>hükmeden</w:t>
            </w:r>
            <w:r w:rsidRPr="00A23740">
              <w:rPr>
                <w:szCs w:val="24"/>
              </w:rPr>
              <w:t xml:space="preserve"> mahkemeye son bir rapor verir.</w:t>
            </w:r>
          </w:p>
          <w:p w:rsidR="00891AC5" w:rsidRPr="00A23740" w:rsidRDefault="00891AC5"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rStyle w:val="Stil1Char"/>
                <w:rFonts w:eastAsia="Calibri"/>
                <w:u w:val="none"/>
              </w:rPr>
            </w:pPr>
            <w:r w:rsidRPr="00A23740">
              <w:rPr>
                <w:rStyle w:val="KIRMIZIChar"/>
                <w:rFonts w:eastAsia="Calibri"/>
              </w:rPr>
              <w:t>(2)</w:t>
            </w:r>
            <w:r w:rsidRPr="00A23740">
              <w:rPr>
                <w:szCs w:val="24"/>
              </w:rPr>
              <w:t xml:space="preserve"> Mahkeme iflasın </w:t>
            </w:r>
            <w:r w:rsidRPr="00A23740">
              <w:rPr>
                <w:rStyle w:val="KIRMIZIChar"/>
                <w:rFonts w:eastAsia="Calibri"/>
              </w:rPr>
              <w:t>idaresinde</w:t>
            </w:r>
            <w:r w:rsidRPr="00A23740">
              <w:rPr>
                <w:szCs w:val="24"/>
              </w:rPr>
              <w:t xml:space="preserve"> hata ve </w:t>
            </w:r>
            <w:r w:rsidRPr="00A23740">
              <w:rPr>
                <w:rStyle w:val="KIRMIZIChar"/>
                <w:rFonts w:eastAsia="Calibri"/>
              </w:rPr>
              <w:t>noksan</w:t>
            </w:r>
            <w:r w:rsidRPr="00A23740">
              <w:rPr>
                <w:szCs w:val="24"/>
              </w:rPr>
              <w:t xml:space="preserve"> </w:t>
            </w:r>
            <w:r w:rsidRPr="00A23740">
              <w:rPr>
                <w:rStyle w:val="KIRMIZIChar"/>
                <w:rFonts w:eastAsia="Calibri"/>
              </w:rPr>
              <w:t>görürse</w:t>
            </w:r>
            <w:r w:rsidRPr="00A23740">
              <w:rPr>
                <w:szCs w:val="24"/>
              </w:rPr>
              <w:t xml:space="preserve"> </w:t>
            </w:r>
            <w:r w:rsidRPr="00A23740">
              <w:rPr>
                <w:rStyle w:val="KIRMIZIChar"/>
                <w:rFonts w:eastAsia="Calibri"/>
              </w:rPr>
              <w:t>icra mahkemesine bundan haber verir.</w:t>
            </w:r>
          </w:p>
          <w:p w:rsidR="00AA5C8C" w:rsidRPr="00A23740" w:rsidRDefault="00AA5C8C" w:rsidP="009431FF">
            <w:pPr>
              <w:tabs>
                <w:tab w:val="left" w:pos="567"/>
              </w:tabs>
              <w:rPr>
                <w:rStyle w:val="Stil1Char"/>
                <w:rFonts w:eastAsia="Calibri"/>
                <w:u w:val="none"/>
              </w:rPr>
            </w:pPr>
          </w:p>
          <w:p w:rsidR="00AA5C8C" w:rsidRPr="00A23740" w:rsidRDefault="00AA5C8C" w:rsidP="009431FF">
            <w:pPr>
              <w:tabs>
                <w:tab w:val="left" w:pos="567"/>
              </w:tabs>
              <w:rPr>
                <w:szCs w:val="24"/>
              </w:rPr>
            </w:pPr>
            <w:r w:rsidRPr="00A23740">
              <w:rPr>
                <w:rStyle w:val="KIRMIZIChar"/>
                <w:rFonts w:eastAsia="Calibri"/>
              </w:rPr>
              <w:t>(3)</w:t>
            </w:r>
            <w:r w:rsidRPr="00A23740">
              <w:rPr>
                <w:szCs w:val="24"/>
              </w:rPr>
              <w:t xml:space="preserve"> Mahkeme, tasfiyenin bittiğini </w:t>
            </w:r>
            <w:r w:rsidRPr="00A23740">
              <w:rPr>
                <w:rStyle w:val="KIRMIZIChar"/>
                <w:rFonts w:eastAsia="Calibri"/>
              </w:rPr>
              <w:t xml:space="preserve">anladıktan </w:t>
            </w:r>
            <w:r w:rsidRPr="00A23740">
              <w:rPr>
                <w:szCs w:val="24"/>
              </w:rPr>
              <w:t>sonra kapanma karar</w:t>
            </w:r>
            <w:r w:rsidRPr="00A23740">
              <w:rPr>
                <w:rStyle w:val="KIRMIZIChar"/>
                <w:rFonts w:eastAsia="Calibri"/>
              </w:rPr>
              <w:t>ı</w:t>
            </w:r>
            <w:r w:rsidRPr="00A23740">
              <w:rPr>
                <w:szCs w:val="24"/>
              </w:rPr>
              <w:t xml:space="preserve"> verir.</w:t>
            </w:r>
          </w:p>
          <w:p w:rsidR="00AA5C8C" w:rsidRPr="00A23740" w:rsidRDefault="00AA5C8C" w:rsidP="009431FF">
            <w:pPr>
              <w:tabs>
                <w:tab w:val="left" w:pos="567"/>
              </w:tabs>
              <w:rPr>
                <w:szCs w:val="24"/>
              </w:rPr>
            </w:pPr>
          </w:p>
          <w:p w:rsidR="00AA5C8C" w:rsidRPr="00A23740" w:rsidRDefault="00AA5C8C" w:rsidP="009431FF">
            <w:pPr>
              <w:pStyle w:val="KIRMIZI"/>
              <w:rPr>
                <w:lang w:val="tr-TR"/>
              </w:rPr>
            </w:pPr>
            <w:r w:rsidRPr="00A23740">
              <w:rPr>
                <w:lang w:val="tr-TR"/>
              </w:rPr>
              <w:t>(4) (Ek fıkra: 2/3/2005-5311/15 md.)</w:t>
            </w:r>
            <w:r w:rsidRPr="00A23740">
              <w:rPr>
                <w:rFonts w:eastAsia="Calibri"/>
                <w:b w:val="0"/>
                <w:bCs w:val="0"/>
                <w:strike w:val="0"/>
                <w:color w:val="auto"/>
                <w:lang w:val="tr-TR" w:eastAsia="en-US"/>
              </w:rPr>
              <w:t xml:space="preserve"> İflâsın kapanması </w:t>
            </w:r>
            <w:r w:rsidRPr="00A23740">
              <w:rPr>
                <w:lang w:val="tr-TR"/>
              </w:rPr>
              <w:t>hakkında verilen hükme karşı tebliğ tarihinden itibaren</w:t>
            </w:r>
            <w:r w:rsidRPr="00A23740">
              <w:rPr>
                <w:rFonts w:eastAsia="Calibri"/>
                <w:b w:val="0"/>
                <w:bCs w:val="0"/>
                <w:strike w:val="0"/>
                <w:color w:val="auto"/>
                <w:lang w:val="tr-TR" w:eastAsia="en-US"/>
              </w:rPr>
              <w:t xml:space="preserve"> </w:t>
            </w:r>
            <w:r w:rsidR="004A5DD5" w:rsidRPr="00A23740">
              <w:rPr>
                <w:rFonts w:eastAsia="Calibri"/>
                <w:b w:val="0"/>
                <w:bCs w:val="0"/>
                <w:strike w:val="0"/>
                <w:color w:val="auto"/>
                <w:lang w:val="tr-TR" w:eastAsia="en-US"/>
              </w:rPr>
              <w:t>iki hafta</w:t>
            </w:r>
            <w:r w:rsidRPr="00A23740">
              <w:rPr>
                <w:lang w:val="tr-TR"/>
              </w:rPr>
              <w:t xml:space="preserve"> içinde</w:t>
            </w:r>
            <w:r w:rsidRPr="00A23740">
              <w:rPr>
                <w:rFonts w:eastAsia="Calibri"/>
                <w:b w:val="0"/>
                <w:bCs w:val="0"/>
                <w:strike w:val="0"/>
                <w:color w:val="auto"/>
                <w:lang w:val="tr-TR" w:eastAsia="en-US"/>
              </w:rPr>
              <w:t xml:space="preserve"> istinaf yoluna </w:t>
            </w:r>
            <w:r w:rsidRPr="00A23740">
              <w:rPr>
                <w:lang w:val="tr-TR"/>
              </w:rPr>
              <w:t>başvurulabilir.</w:t>
            </w:r>
            <w:r w:rsidRPr="00A23740">
              <w:rPr>
                <w:rFonts w:eastAsia="Calibri"/>
                <w:b w:val="0"/>
                <w:bCs w:val="0"/>
                <w:strike w:val="0"/>
                <w:color w:val="auto"/>
                <w:lang w:val="tr-TR" w:eastAsia="en-US"/>
              </w:rPr>
              <w:t xml:space="preserve"> Bölge adliye mahkemesi kararı</w:t>
            </w:r>
            <w:r w:rsidRPr="00A23740">
              <w:rPr>
                <w:lang w:val="tr-TR"/>
              </w:rPr>
              <w:t xml:space="preserve">na karşı tebliğ tarihinden itibaren </w:t>
            </w:r>
            <w:r w:rsidR="004A5DD5" w:rsidRPr="00A23740">
              <w:rPr>
                <w:lang w:val="tr-TR"/>
              </w:rPr>
              <w:t>iki hafta</w:t>
            </w:r>
            <w:r w:rsidRPr="00A23740">
              <w:rPr>
                <w:lang w:val="tr-TR"/>
              </w:rPr>
              <w:t xml:space="preserve"> içinde temyiz yoluna başvurulabilir. İstinaf ve temyiz incelemeleri, Hukuk Usulü Muhakemeleri Kanunu hükümlerine göre yapılır.</w:t>
            </w:r>
          </w:p>
          <w:p w:rsidR="00AA5C8C" w:rsidRPr="00A23740" w:rsidRDefault="00AA5C8C" w:rsidP="009431FF">
            <w:pPr>
              <w:tabs>
                <w:tab w:val="left" w:pos="567"/>
              </w:tabs>
              <w:rPr>
                <w:szCs w:val="24"/>
              </w:rPr>
            </w:pPr>
          </w:p>
          <w:p w:rsidR="00AA5C8C" w:rsidRDefault="00AA5C8C" w:rsidP="009431FF">
            <w:pPr>
              <w:pStyle w:val="KIRMIZI"/>
            </w:pPr>
            <w:r w:rsidRPr="00A23740">
              <w:rPr>
                <w:rStyle w:val="KIRMIZIChar"/>
                <w:rFonts w:eastAsia="Calibri"/>
                <w:b/>
                <w:bCs/>
                <w:strike/>
              </w:rPr>
              <w:t>(5)</w:t>
            </w:r>
            <w:r w:rsidRPr="00A23740">
              <w:t xml:space="preserve"> İflas dairesi kapanmayı ilan eder.</w:t>
            </w:r>
          </w:p>
          <w:p w:rsidR="003B4DF3" w:rsidRPr="00A23740" w:rsidRDefault="003B4DF3" w:rsidP="009431FF">
            <w:pPr>
              <w:pStyle w:val="KIRMIZI"/>
            </w:pPr>
          </w:p>
        </w:tc>
        <w:tc>
          <w:tcPr>
            <w:tcW w:w="2500" w:type="pct"/>
          </w:tcPr>
          <w:p w:rsidR="00AA5C8C" w:rsidRPr="00A23740" w:rsidRDefault="00AA5C8C" w:rsidP="009431FF">
            <w:pPr>
              <w:pStyle w:val="MAV"/>
              <w:jc w:val="center"/>
              <w:rPr>
                <w:u w:val="none"/>
                <w:lang w:val="tr-TR"/>
              </w:rPr>
            </w:pPr>
            <w:r w:rsidRPr="00A23740">
              <w:rPr>
                <w:u w:val="none"/>
                <w:lang w:val="tr-TR"/>
              </w:rPr>
              <w:t>YEDİNCİ AYRIM</w:t>
            </w:r>
          </w:p>
          <w:p w:rsidR="00AA5C8C" w:rsidRPr="00A23740" w:rsidRDefault="00AA5C8C" w:rsidP="009431FF">
            <w:pPr>
              <w:pStyle w:val="MAV"/>
              <w:jc w:val="center"/>
              <w:rPr>
                <w:u w:val="none"/>
                <w:lang w:val="tr-TR"/>
              </w:rPr>
            </w:pPr>
            <w:r w:rsidRPr="00A23740">
              <w:rPr>
                <w:u w:val="none"/>
                <w:lang w:val="tr-TR"/>
              </w:rPr>
              <w:t>İflasın Kapanması</w:t>
            </w:r>
          </w:p>
          <w:p w:rsidR="00AA5C8C" w:rsidRPr="00A23740" w:rsidRDefault="00AA5C8C" w:rsidP="009431FF">
            <w:pPr>
              <w:pStyle w:val="MAV"/>
              <w:rPr>
                <w:u w:val="none"/>
                <w:lang w:val="tr-TR"/>
              </w:rPr>
            </w:pPr>
          </w:p>
          <w:p w:rsidR="00AA5C8C" w:rsidRPr="00A23740" w:rsidRDefault="00AA5C8C" w:rsidP="009431FF">
            <w:pPr>
              <w:tabs>
                <w:tab w:val="left" w:pos="567"/>
              </w:tabs>
              <w:rPr>
                <w:b/>
                <w:szCs w:val="24"/>
              </w:rPr>
            </w:pPr>
            <w:r w:rsidRPr="00A23740">
              <w:rPr>
                <w:rStyle w:val="MaviChar"/>
              </w:rPr>
              <w:t>Son</w:t>
            </w:r>
            <w:r w:rsidRPr="00A23740">
              <w:rPr>
                <w:b/>
                <w:szCs w:val="24"/>
              </w:rPr>
              <w:t xml:space="preserve"> rapor ve </w:t>
            </w:r>
            <w:r w:rsidRPr="00A23740">
              <w:rPr>
                <w:rStyle w:val="MaviChar"/>
              </w:rPr>
              <w:t>iflasın</w:t>
            </w:r>
            <w:r w:rsidRPr="00A23740">
              <w:rPr>
                <w:b/>
                <w:szCs w:val="24"/>
              </w:rPr>
              <w:t xml:space="preserve"> kapanma</w:t>
            </w:r>
            <w:r w:rsidRPr="00A23740">
              <w:rPr>
                <w:rStyle w:val="MaviChar"/>
              </w:rPr>
              <w:t>sı</w:t>
            </w:r>
            <w:r w:rsidRPr="00A23740">
              <w:rPr>
                <w:b/>
                <w:szCs w:val="24"/>
              </w:rPr>
              <w:t xml:space="preserve"> kararı </w:t>
            </w:r>
          </w:p>
          <w:p w:rsidR="00891AC5" w:rsidRPr="003B4DF3" w:rsidRDefault="003A1467" w:rsidP="009431FF">
            <w:pPr>
              <w:tabs>
                <w:tab w:val="left" w:pos="567"/>
              </w:tabs>
              <w:rPr>
                <w:szCs w:val="24"/>
              </w:rPr>
            </w:pPr>
            <w:r w:rsidRPr="00A23740">
              <w:rPr>
                <w:rStyle w:val="MAVChar"/>
                <w:rFonts w:eastAsia="Calibri"/>
                <w:u w:val="none"/>
              </w:rPr>
              <w:t>MADDE 372</w:t>
            </w:r>
            <w:r w:rsidR="00AA5C8C" w:rsidRPr="00A23740">
              <w:rPr>
                <w:rStyle w:val="MAVChar"/>
                <w:rFonts w:eastAsia="Calibri"/>
                <w:u w:val="none"/>
              </w:rPr>
              <w:t xml:space="preserve">- </w:t>
            </w:r>
            <w:r w:rsidR="00891AC5" w:rsidRPr="00A23740">
              <w:rPr>
                <w:b/>
                <w:color w:val="0000FF"/>
                <w:szCs w:val="24"/>
              </w:rPr>
              <w:t xml:space="preserve">(1) </w:t>
            </w:r>
            <w:r w:rsidR="00891AC5" w:rsidRPr="00A23740">
              <w:rPr>
                <w:szCs w:val="24"/>
              </w:rPr>
              <w:t>Paralar dağıtıldıktan sonra</w:t>
            </w:r>
            <w:r w:rsidR="00891AC5" w:rsidRPr="00A23740">
              <w:rPr>
                <w:b/>
                <w:color w:val="0000FF"/>
                <w:szCs w:val="24"/>
              </w:rPr>
              <w:t xml:space="preserve"> iflas idaresi, iflasa karar veren mahkemeye pay cetveli ve son hesap ile birlikte son raporu sunar ve iflasın kapanmasına karar verilmesini ister.</w:t>
            </w:r>
          </w:p>
          <w:p w:rsidR="00891AC5" w:rsidRPr="00A23740" w:rsidRDefault="00891AC5" w:rsidP="009431FF">
            <w:pPr>
              <w:tabs>
                <w:tab w:val="left" w:pos="567"/>
              </w:tabs>
              <w:rPr>
                <w:b/>
                <w:color w:val="0000FF"/>
                <w:szCs w:val="24"/>
              </w:rPr>
            </w:pPr>
          </w:p>
          <w:p w:rsidR="00AA5C8C" w:rsidRPr="00A23740" w:rsidRDefault="00AA5C8C" w:rsidP="009431FF">
            <w:pPr>
              <w:tabs>
                <w:tab w:val="left" w:pos="567"/>
              </w:tabs>
              <w:rPr>
                <w:szCs w:val="24"/>
              </w:rPr>
            </w:pPr>
            <w:r w:rsidRPr="00A23740">
              <w:rPr>
                <w:b/>
                <w:color w:val="0000FF"/>
                <w:szCs w:val="24"/>
              </w:rPr>
              <w:t>(2)</w:t>
            </w:r>
            <w:r w:rsidRPr="00A23740">
              <w:rPr>
                <w:rStyle w:val="Stil2Char"/>
                <w:rFonts w:eastAsia="Calibri"/>
                <w:u w:val="none"/>
              </w:rPr>
              <w:t xml:space="preserve"> İflasa </w:t>
            </w:r>
            <w:r w:rsidRPr="00A23740">
              <w:rPr>
                <w:rStyle w:val="MaviChar"/>
              </w:rPr>
              <w:t>karar veren</w:t>
            </w:r>
            <w:r w:rsidRPr="00A23740">
              <w:rPr>
                <w:szCs w:val="24"/>
              </w:rPr>
              <w:t xml:space="preserve"> mahkeme iflasın </w:t>
            </w:r>
            <w:r w:rsidRPr="00A23740">
              <w:rPr>
                <w:rStyle w:val="Stil2Char"/>
                <w:rFonts w:eastAsia="Calibri"/>
                <w:u w:val="none"/>
              </w:rPr>
              <w:t>tasfiyesinde</w:t>
            </w:r>
            <w:r w:rsidRPr="00A23740">
              <w:rPr>
                <w:szCs w:val="24"/>
              </w:rPr>
              <w:t xml:space="preserve"> hata ve</w:t>
            </w:r>
            <w:r w:rsidRPr="00A23740">
              <w:rPr>
                <w:rStyle w:val="MaviChar"/>
              </w:rPr>
              <w:t>ya</w:t>
            </w:r>
            <w:r w:rsidRPr="00A23740">
              <w:rPr>
                <w:szCs w:val="24"/>
              </w:rPr>
              <w:t xml:space="preserve"> </w:t>
            </w:r>
            <w:r w:rsidRPr="00A23740">
              <w:rPr>
                <w:rStyle w:val="MaviChar"/>
              </w:rPr>
              <w:t>eksik</w:t>
            </w:r>
            <w:r w:rsidRPr="00A23740">
              <w:rPr>
                <w:rStyle w:val="MaviChar"/>
                <w:lang w:val="tr-TR"/>
              </w:rPr>
              <w:t>lik</w:t>
            </w:r>
            <w:r w:rsidRPr="00A23740">
              <w:rPr>
                <w:szCs w:val="24"/>
              </w:rPr>
              <w:t xml:space="preserve"> </w:t>
            </w:r>
            <w:r w:rsidRPr="00A23740">
              <w:rPr>
                <w:rStyle w:val="MaviChar"/>
              </w:rPr>
              <w:t>tespit ederse</w:t>
            </w:r>
            <w:r w:rsidR="00891AC5" w:rsidRPr="003B4DF3">
              <w:rPr>
                <w:rStyle w:val="Balk1Char"/>
                <w:rFonts w:eastAsia="Calibri"/>
              </w:rPr>
              <w:t>,</w:t>
            </w:r>
            <w:r w:rsidRPr="00A23740">
              <w:rPr>
                <w:szCs w:val="24"/>
              </w:rPr>
              <w:t xml:space="preserve"> </w:t>
            </w:r>
            <w:r w:rsidRPr="00A23740">
              <w:rPr>
                <w:rStyle w:val="Stil2Char"/>
                <w:rFonts w:eastAsia="Calibri"/>
                <w:u w:val="none"/>
              </w:rPr>
              <w:t xml:space="preserve">iflas </w:t>
            </w:r>
            <w:r w:rsidR="00BF1CEE" w:rsidRPr="00A23740">
              <w:rPr>
                <w:rStyle w:val="Stil2Char"/>
                <w:rFonts w:eastAsia="Calibri"/>
                <w:u w:val="none"/>
                <w:lang w:val="tr-TR"/>
              </w:rPr>
              <w:t xml:space="preserve">idaresinden </w:t>
            </w:r>
            <w:r w:rsidRPr="00A23740">
              <w:rPr>
                <w:rStyle w:val="Stil2Char"/>
                <w:rFonts w:eastAsia="Calibri"/>
                <w:u w:val="none"/>
              </w:rPr>
              <w:t>bunların giderilmesini ister.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(3)</w:t>
            </w:r>
            <w:r w:rsidRPr="00A23740">
              <w:rPr>
                <w:rStyle w:val="Stil2Char"/>
                <w:rFonts w:eastAsia="Calibri"/>
                <w:u w:val="none"/>
              </w:rPr>
              <w:t xml:space="preserve"> İflasa </w:t>
            </w:r>
            <w:r w:rsidRPr="00A23740">
              <w:rPr>
                <w:rStyle w:val="MaviChar"/>
              </w:rPr>
              <w:t>karar veren</w:t>
            </w:r>
            <w:r w:rsidRPr="00A23740">
              <w:rPr>
                <w:rStyle w:val="Stil2Char"/>
                <w:rFonts w:eastAsia="Calibri"/>
                <w:u w:val="none"/>
                <w:lang w:val="tr-TR"/>
              </w:rPr>
              <w:t xml:space="preserve"> </w:t>
            </w:r>
            <w:r w:rsidRPr="00A23740">
              <w:rPr>
                <w:szCs w:val="24"/>
              </w:rPr>
              <w:t xml:space="preserve">mahkeme, tasfiyenin bittiğini </w:t>
            </w:r>
            <w:r w:rsidRPr="00A23740">
              <w:rPr>
                <w:rStyle w:val="MaviChar"/>
              </w:rPr>
              <w:t>tespit ettikten</w:t>
            </w:r>
            <w:r w:rsidRPr="00A23740">
              <w:rPr>
                <w:szCs w:val="24"/>
              </w:rPr>
              <w:t xml:space="preserve"> sonra </w:t>
            </w:r>
            <w:r w:rsidRPr="00A23740">
              <w:rPr>
                <w:rStyle w:val="MaviChar"/>
              </w:rPr>
              <w:t>iflasın</w:t>
            </w:r>
            <w:r w:rsidRPr="00A23740">
              <w:rPr>
                <w:szCs w:val="24"/>
              </w:rPr>
              <w:t xml:space="preserve"> kapanma</w:t>
            </w:r>
            <w:r w:rsidRPr="00A23740">
              <w:rPr>
                <w:rStyle w:val="MaviChar"/>
              </w:rPr>
              <w:t>sına</w:t>
            </w:r>
            <w:r w:rsidRPr="00A23740">
              <w:rPr>
                <w:szCs w:val="24"/>
              </w:rPr>
              <w:t xml:space="preserve"> karar verir.</w:t>
            </w:r>
          </w:p>
          <w:p w:rsidR="00AA5C8C" w:rsidRPr="00A23740" w:rsidRDefault="00AA5C8C" w:rsidP="009431FF">
            <w:pPr>
              <w:tabs>
                <w:tab w:val="left" w:pos="567"/>
              </w:tabs>
              <w:rPr>
                <w:szCs w:val="24"/>
              </w:rPr>
            </w:pPr>
          </w:p>
          <w:p w:rsidR="00AA5C8C" w:rsidRPr="00A23740" w:rsidRDefault="00AA5C8C" w:rsidP="009431FF">
            <w:pPr>
              <w:pStyle w:val="Stil2"/>
              <w:rPr>
                <w:color w:val="FF0000"/>
                <w:u w:val="none"/>
                <w:lang w:val="tr-TR"/>
              </w:rPr>
            </w:pPr>
            <w:r w:rsidRPr="00A23740">
              <w:rPr>
                <w:u w:val="none"/>
                <w:lang w:val="tr-TR"/>
              </w:rPr>
              <w:t>(4)</w:t>
            </w:r>
            <w:r w:rsidRPr="00A23740">
              <w:rPr>
                <w:u w:val="none"/>
                <w:lang w:val="tr-TR" w:eastAsia="en-US"/>
              </w:rPr>
              <w:t xml:space="preserve"> </w:t>
            </w:r>
            <w:r w:rsidRPr="00A23740">
              <w:rPr>
                <w:rFonts w:eastAsia="Calibri"/>
                <w:u w:val="none"/>
                <w:lang w:val="tr-TR"/>
              </w:rPr>
              <w:t xml:space="preserve">Kapanma </w:t>
            </w:r>
            <w:r w:rsidR="004D7CFB" w:rsidRPr="00A57CFE">
              <w:rPr>
                <w:rStyle w:val="MaviChar"/>
                <w:rFonts w:eastAsia="ヒラギノ明朝 Pro W3"/>
                <w:b/>
                <w:u w:val="none"/>
              </w:rPr>
              <w:t>kararının bir örneği</w:t>
            </w:r>
            <w:r w:rsidRPr="00A23740">
              <w:rPr>
                <w:rFonts w:eastAsia="Calibri"/>
                <w:u w:val="none"/>
                <w:lang w:val="tr-TR"/>
              </w:rPr>
              <w:t xml:space="preserve"> mahkeme tarafından </w:t>
            </w:r>
            <w:r w:rsidR="004D7CFB" w:rsidRPr="00A57CFE">
              <w:rPr>
                <w:rStyle w:val="MaviChar"/>
                <w:rFonts w:eastAsia="ヒラギノ明朝 Pro W3"/>
                <w:b/>
                <w:u w:val="none"/>
              </w:rPr>
              <w:t xml:space="preserve">iflas dairesine bildirilir ve </w:t>
            </w:r>
            <w:r w:rsidR="00891AC5" w:rsidRPr="00A57CFE">
              <w:rPr>
                <w:rStyle w:val="MaviChar"/>
                <w:rFonts w:eastAsia="ヒラギノ明朝 Pro W3"/>
                <w:b/>
                <w:u w:val="none"/>
              </w:rPr>
              <w:t xml:space="preserve">iflas </w:t>
            </w:r>
            <w:r w:rsidR="004D7CFB" w:rsidRPr="00A57CFE">
              <w:rPr>
                <w:rStyle w:val="MaviChar"/>
                <w:rFonts w:eastAsia="ヒラギノ明朝 Pro W3"/>
                <w:b/>
                <w:u w:val="none"/>
              </w:rPr>
              <w:t>daire</w:t>
            </w:r>
            <w:r w:rsidR="00891AC5" w:rsidRPr="00A57CFE">
              <w:rPr>
                <w:rStyle w:val="MaviChar"/>
                <w:rFonts w:eastAsia="ヒラギノ明朝 Pro W3"/>
                <w:b/>
                <w:u w:val="none"/>
              </w:rPr>
              <w:t>sin</w:t>
            </w:r>
            <w:r w:rsidR="004D7CFB" w:rsidRPr="00A57CFE">
              <w:rPr>
                <w:rStyle w:val="MaviChar"/>
                <w:rFonts w:eastAsia="ヒラギノ明朝 Pro W3"/>
                <w:b/>
                <w:u w:val="none"/>
              </w:rPr>
              <w:t>ce</w:t>
            </w:r>
            <w:r w:rsidR="004D7CFB" w:rsidRPr="00A57CFE">
              <w:rPr>
                <w:rStyle w:val="MaviChar"/>
                <w:rFonts w:eastAsia="Calibri"/>
                <w:b/>
                <w:u w:val="none"/>
              </w:rPr>
              <w:t xml:space="preserve"> </w:t>
            </w:r>
            <w:r w:rsidR="004D7CFB" w:rsidRPr="00A57CFE">
              <w:rPr>
                <w:rStyle w:val="MaviChar"/>
                <w:rFonts w:eastAsia="ヒラギノ明朝 Pro W3"/>
                <w:b/>
                <w:u w:val="none"/>
              </w:rPr>
              <w:t>283 üncü</w:t>
            </w:r>
            <w:r w:rsidR="004D7CFB" w:rsidRPr="00A23740">
              <w:rPr>
                <w:rStyle w:val="YELChar"/>
                <w:b/>
                <w:u w:val="none"/>
              </w:rPr>
              <w:t xml:space="preserve"> </w:t>
            </w:r>
            <w:r w:rsidR="004D7CFB" w:rsidRPr="00A57CFE">
              <w:rPr>
                <w:rStyle w:val="MaviChar"/>
                <w:rFonts w:eastAsia="ヒラギノ明朝 Pro W3"/>
                <w:b/>
                <w:u w:val="none"/>
              </w:rPr>
              <w:t>maddenin ikinci fıkrasındaki usule göre</w:t>
            </w:r>
            <w:r w:rsidR="004D7CFB" w:rsidRPr="00A23740">
              <w:rPr>
                <w:rFonts w:eastAsia="Calibri"/>
                <w:u w:val="none"/>
                <w:lang w:val="tr-TR"/>
              </w:rPr>
              <w:t xml:space="preserve"> </w:t>
            </w:r>
            <w:r w:rsidRPr="00A23740">
              <w:rPr>
                <w:u w:val="none"/>
                <w:lang w:val="tr-TR" w:eastAsia="en-US"/>
              </w:rPr>
              <w:t xml:space="preserve">ilan </w:t>
            </w:r>
            <w:r w:rsidRPr="00A23740">
              <w:rPr>
                <w:rFonts w:eastAsia="Calibri"/>
                <w:u w:val="none"/>
                <w:lang w:val="tr-TR"/>
              </w:rPr>
              <w:t>edilir</w:t>
            </w:r>
            <w:r w:rsidR="004D7CFB" w:rsidRPr="00A23740">
              <w:rPr>
                <w:rFonts w:eastAsia="Calibri"/>
                <w:u w:val="none"/>
                <w:lang w:val="tr-TR"/>
              </w:rPr>
              <w:t>.</w:t>
            </w:r>
            <w:r w:rsidRPr="00A23740">
              <w:rPr>
                <w:rStyle w:val="KIRMIZIChar"/>
                <w:strike w:val="0"/>
                <w:u w:val="none"/>
                <w:lang w:val="tr-TR"/>
              </w:rPr>
              <w:t xml:space="preserve"> </w:t>
            </w:r>
            <w:r w:rsidRPr="00A23740">
              <w:rPr>
                <w:rFonts w:eastAsia="Calibri"/>
                <w:b w:val="0"/>
                <w:color w:val="auto"/>
                <w:u w:val="none"/>
                <w:lang w:val="tr-TR" w:eastAsia="en-US"/>
              </w:rPr>
              <w:t>İflasın kapanması</w:t>
            </w:r>
            <w:r w:rsidRPr="00A23740">
              <w:rPr>
                <w:u w:val="none"/>
                <w:lang w:val="tr-TR"/>
              </w:rPr>
              <w:t xml:space="preserve"> kararının ilanından itibaren </w:t>
            </w:r>
            <w:r w:rsidR="004A5DD5" w:rsidRPr="00A23740">
              <w:rPr>
                <w:rFonts w:eastAsia="Calibri"/>
                <w:b w:val="0"/>
                <w:color w:val="auto"/>
                <w:u w:val="none"/>
                <w:lang w:val="tr-TR" w:eastAsia="en-US"/>
              </w:rPr>
              <w:t>iki hafta</w:t>
            </w:r>
            <w:r w:rsidRPr="00A23740">
              <w:rPr>
                <w:u w:val="none"/>
                <w:lang w:val="tr-TR"/>
              </w:rPr>
              <w:t xml:space="preserve"> içinde bu karara karşı </w:t>
            </w:r>
            <w:r w:rsidRPr="00A23740">
              <w:rPr>
                <w:rFonts w:eastAsia="Calibri"/>
                <w:b w:val="0"/>
                <w:color w:val="auto"/>
                <w:u w:val="none"/>
                <w:lang w:val="tr-TR" w:eastAsia="en-US"/>
              </w:rPr>
              <w:t xml:space="preserve">istinaf </w:t>
            </w:r>
            <w:r w:rsidRPr="00A23740">
              <w:rPr>
                <w:u w:val="none"/>
                <w:lang w:val="tr-TR"/>
              </w:rPr>
              <w:t xml:space="preserve">kanun </w:t>
            </w:r>
            <w:r w:rsidRPr="00A23740">
              <w:rPr>
                <w:rFonts w:eastAsia="Calibri"/>
                <w:b w:val="0"/>
                <w:color w:val="auto"/>
                <w:u w:val="none"/>
                <w:lang w:val="tr-TR" w:eastAsia="en-US"/>
              </w:rPr>
              <w:t>yoluna</w:t>
            </w:r>
            <w:r w:rsidRPr="00A23740">
              <w:rPr>
                <w:u w:val="none"/>
                <w:lang w:val="tr-TR"/>
              </w:rPr>
              <w:t xml:space="preserve"> gidilebilir. </w:t>
            </w:r>
            <w:r w:rsidRPr="00A23740">
              <w:rPr>
                <w:rFonts w:eastAsia="Calibri"/>
                <w:b w:val="0"/>
                <w:color w:val="auto"/>
                <w:u w:val="none"/>
                <w:lang w:val="tr-TR" w:eastAsia="en-US"/>
              </w:rPr>
              <w:t>Bölge adliye mahkemesi</w:t>
            </w:r>
            <w:r w:rsidRPr="00A23740">
              <w:rPr>
                <w:u w:val="none"/>
                <w:lang w:val="tr-TR"/>
              </w:rPr>
              <w:t xml:space="preserve">nin </w:t>
            </w:r>
            <w:r w:rsidRPr="00A23740">
              <w:rPr>
                <w:rStyle w:val="MaviChar"/>
                <w:rFonts w:eastAsia="ヒラギノ明朝 Pro W3"/>
                <w:b/>
                <w:u w:val="none"/>
              </w:rPr>
              <w:t>bu konudaki</w:t>
            </w:r>
            <w:r w:rsidRPr="00A23740">
              <w:rPr>
                <w:u w:val="none"/>
                <w:lang w:val="tr-TR"/>
              </w:rPr>
              <w:t xml:space="preserve"> </w:t>
            </w:r>
            <w:r w:rsidRPr="00A23740">
              <w:rPr>
                <w:rFonts w:eastAsia="Calibri"/>
                <w:b w:val="0"/>
                <w:color w:val="auto"/>
                <w:u w:val="none"/>
                <w:lang w:val="tr-TR" w:eastAsia="en-US"/>
              </w:rPr>
              <w:t xml:space="preserve">kararı </w:t>
            </w:r>
            <w:r w:rsidRPr="00A23740">
              <w:rPr>
                <w:u w:val="none"/>
                <w:lang w:val="tr-TR"/>
              </w:rPr>
              <w:t>kesindir.</w:t>
            </w:r>
          </w:p>
          <w:p w:rsidR="00AA5C8C" w:rsidRPr="00A23740" w:rsidRDefault="00AA5C8C" w:rsidP="009431FF">
            <w:pPr>
              <w:pStyle w:val="Stil2"/>
              <w:rPr>
                <w:color w:val="FF0000"/>
                <w:u w:val="none"/>
                <w:lang w:val="tr-TR"/>
              </w:rPr>
            </w:pPr>
          </w:p>
          <w:p w:rsidR="00AA5C8C" w:rsidRPr="00A23740" w:rsidRDefault="00AA5C8C" w:rsidP="009431FF">
            <w:pPr>
              <w:pStyle w:val="Stil2"/>
              <w:rPr>
                <w:b w:val="0"/>
                <w:color w:val="FF0000"/>
                <w:u w:val="none"/>
                <w:lang w:val="tr-TR"/>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E4407E" w:rsidRPr="00A23740" w:rsidRDefault="00E4407E" w:rsidP="009431FF">
            <w:pPr>
              <w:pStyle w:val="MAV"/>
              <w:ind w:firstLine="709"/>
              <w:rPr>
                <w:u w:val="none"/>
                <w:lang w:val="tr-TR"/>
              </w:rPr>
            </w:pPr>
          </w:p>
          <w:p w:rsidR="00E4407E" w:rsidRPr="00A23740" w:rsidRDefault="003A1467" w:rsidP="009431FF">
            <w:pPr>
              <w:tabs>
                <w:tab w:val="left" w:pos="567"/>
              </w:tabs>
              <w:ind w:firstLine="709"/>
            </w:pPr>
            <w:r w:rsidRPr="00A23740">
              <w:rPr>
                <w:b/>
                <w:bCs/>
              </w:rPr>
              <w:t>MADDE 372</w:t>
            </w:r>
            <w:r w:rsidR="00E4407E" w:rsidRPr="00A23740">
              <w:rPr>
                <w:b/>
                <w:bCs/>
              </w:rPr>
              <w:t xml:space="preserve">- </w:t>
            </w:r>
            <w:r w:rsidR="00E4407E" w:rsidRPr="00A23740">
              <w:t>Maddeyle, son rapor ve iflasın kapanması kararına ilişkin hususlar düzenlenmektedir. Hüküm, 2004 sayılı Kanunun 254 üncü maddesine karşılık gelmektedir.</w:t>
            </w:r>
          </w:p>
          <w:p w:rsidR="00E4407E" w:rsidRPr="00A23740" w:rsidRDefault="00E4407E" w:rsidP="009431FF">
            <w:pPr>
              <w:tabs>
                <w:tab w:val="left" w:pos="567"/>
              </w:tabs>
              <w:ind w:firstLine="709"/>
            </w:pPr>
            <w:r w:rsidRPr="00A23740">
              <w:t xml:space="preserve">Birinci fıkrayla, paralar dağıtıldıktan sonra iflas idaresinin, iflasa karar veren mahkemeye pay cetveli ve son hesap ile birlikte son raporunu sunacağı ve iflasın kapanmasına karar verilmesini </w:t>
            </w:r>
            <w:r w:rsidR="00BF1CEE" w:rsidRPr="00A23740">
              <w:t xml:space="preserve">ondan </w:t>
            </w:r>
            <w:r w:rsidRPr="00A23740">
              <w:t>isteyeceği hükme bağlanmaktadır.</w:t>
            </w:r>
          </w:p>
          <w:p w:rsidR="00E4407E" w:rsidRPr="00A23740" w:rsidRDefault="00E4407E" w:rsidP="009431FF">
            <w:pPr>
              <w:tabs>
                <w:tab w:val="left" w:pos="567"/>
              </w:tabs>
              <w:ind w:firstLine="709"/>
            </w:pPr>
            <w:r w:rsidRPr="00A23740">
              <w:t xml:space="preserve">İkinci fıkraya göre iflasa karar veren mahkeme, iflasın tasfiyesinde hata veya eksiklik tespit ederse iflas </w:t>
            </w:r>
            <w:r w:rsidR="00BF1CEE" w:rsidRPr="00A23740">
              <w:t xml:space="preserve">idaresinden </w:t>
            </w:r>
            <w:r w:rsidRPr="00A23740">
              <w:t>bunların giderilmesini ister.</w:t>
            </w:r>
            <w:r w:rsidR="004D7CFB" w:rsidRPr="00A23740">
              <w:t xml:space="preserve"> </w:t>
            </w:r>
            <w:r w:rsidR="004D7CFB" w:rsidRPr="00A57CFE">
              <w:t>Böyle bir eksikliğin olmadığı tespit edilirse</w:t>
            </w:r>
            <w:r w:rsidR="00BF1CEE" w:rsidRPr="00A57CFE">
              <w:t>,</w:t>
            </w:r>
            <w:r w:rsidR="004D7CFB" w:rsidRPr="00A57CFE">
              <w:t xml:space="preserve"> mahkemece iflasın kapanmasına karar verilir.</w:t>
            </w:r>
          </w:p>
          <w:p w:rsidR="00E4407E" w:rsidRPr="00A23740" w:rsidRDefault="00E4407E" w:rsidP="009431FF">
            <w:pPr>
              <w:tabs>
                <w:tab w:val="left" w:pos="567"/>
              </w:tabs>
              <w:ind w:firstLine="709"/>
            </w:pPr>
            <w:r w:rsidRPr="00A23740">
              <w:t>Dördüncü fıkrayla, kapanma kararının</w:t>
            </w:r>
            <w:r w:rsidR="00440A2E" w:rsidRPr="00A23740">
              <w:t xml:space="preserve"> </w:t>
            </w:r>
            <w:r w:rsidR="00440A2E" w:rsidRPr="00A57CFE">
              <w:t>bir örneğinin</w:t>
            </w:r>
            <w:r w:rsidRPr="00A57CFE">
              <w:t xml:space="preserve"> mahkeme tarafından </w:t>
            </w:r>
            <w:r w:rsidR="00440A2E" w:rsidRPr="00A57CFE">
              <w:t xml:space="preserve">iflas dairesine bildirilmesi ve iflas dairesince bu kararın Taslağın </w:t>
            </w:r>
            <w:r w:rsidR="00ED14B2" w:rsidRPr="00A57CFE">
              <w:t>283 üncü</w:t>
            </w:r>
            <w:r w:rsidR="00ED14B2" w:rsidRPr="00A23740">
              <w:rPr>
                <w:rStyle w:val="YELChar"/>
              </w:rPr>
              <w:t xml:space="preserve"> </w:t>
            </w:r>
            <w:r w:rsidR="00440A2E" w:rsidRPr="00A57CFE">
              <w:t xml:space="preserve">maddesinin ikinci fıkrasına uygun olarak </w:t>
            </w:r>
            <w:r w:rsidRPr="00A57CFE">
              <w:t>ilan</w:t>
            </w:r>
            <w:r w:rsidRPr="00A23740">
              <w:t xml:space="preserve"> </w:t>
            </w:r>
            <w:r w:rsidR="00BF1CEE" w:rsidRPr="00A23740">
              <w:t xml:space="preserve">edilmesi </w:t>
            </w:r>
            <w:r w:rsidRPr="00A23740">
              <w:t>hüküm altına alınmaktad</w:t>
            </w:r>
            <w:r w:rsidRPr="00A57CFE">
              <w:t xml:space="preserve">ır. </w:t>
            </w:r>
            <w:r w:rsidR="00440A2E" w:rsidRPr="00A57CFE">
              <w:t xml:space="preserve">Böylece iflas kararının ilanı ile iflasın kapanması kararının ilanı aynı usule tabi tutulmuş olmaktadır. </w:t>
            </w:r>
            <w:r w:rsidRPr="00A57CFE">
              <w:t xml:space="preserve">Hükme göre, </w:t>
            </w:r>
            <w:r w:rsidR="00440A2E" w:rsidRPr="00A57CFE">
              <w:t xml:space="preserve">ayrıca </w:t>
            </w:r>
            <w:r w:rsidRPr="00A57CFE">
              <w:t xml:space="preserve">iflasın </w:t>
            </w:r>
            <w:r w:rsidRPr="00A23740">
              <w:t xml:space="preserve">kapanması kararının ilanından itibaren iki hafta içinde istinaf kanun yoluna </w:t>
            </w:r>
            <w:r w:rsidR="00440A2E" w:rsidRPr="00A57CFE">
              <w:t>gidilebileceği</w:t>
            </w:r>
            <w:r w:rsidR="00440A2E" w:rsidRPr="00A23740">
              <w:t xml:space="preserve"> </w:t>
            </w:r>
            <w:r w:rsidRPr="00A23740">
              <w:t xml:space="preserve">ve </w:t>
            </w:r>
            <w:r w:rsidR="00440A2E" w:rsidRPr="00A23740">
              <w:t xml:space="preserve">bölge </w:t>
            </w:r>
            <w:r w:rsidRPr="00A23740">
              <w:t>adliye mahkemesinin bu konudaki kararı</w:t>
            </w:r>
            <w:r w:rsidR="00440A2E" w:rsidRPr="00A57CFE">
              <w:t>nın</w:t>
            </w:r>
            <w:r w:rsidRPr="00A23740">
              <w:t xml:space="preserve"> </w:t>
            </w:r>
            <w:r w:rsidR="00440A2E" w:rsidRPr="00A57CFE">
              <w:t>kesin olacağı düzenlenmektedir</w:t>
            </w:r>
            <w:r w:rsidRPr="00A57CFE">
              <w:t>.</w:t>
            </w:r>
            <w:r w:rsidRPr="00A23740">
              <w:t xml:space="preserve"> İflasın kapanması </w:t>
            </w:r>
            <w:r w:rsidRPr="00A57CFE">
              <w:t>talebi</w:t>
            </w:r>
            <w:r w:rsidR="00440A2E" w:rsidRPr="00A57CFE">
              <w:t>nin</w:t>
            </w:r>
            <w:r w:rsidRPr="00A57CFE">
              <w:t xml:space="preserve"> ilk</w:t>
            </w:r>
            <w:r w:rsidRPr="00A23740">
              <w:t xml:space="preserve"> derece mahkemesince </w:t>
            </w:r>
            <w:r w:rsidR="00440A2E" w:rsidRPr="00A57CFE">
              <w:t>reddedilmesi üzerine</w:t>
            </w:r>
            <w:r w:rsidR="00440A2E" w:rsidRPr="00A23740">
              <w:t xml:space="preserve"> </w:t>
            </w:r>
            <w:r w:rsidRPr="00A23740">
              <w:t>bu karara karşı kanun yolu</w:t>
            </w:r>
            <w:r w:rsidR="003B4DF3">
              <w:t xml:space="preserve"> </w:t>
            </w:r>
            <w:r w:rsidR="00440A2E" w:rsidRPr="00A57CFE">
              <w:t>açılmamıştır</w:t>
            </w:r>
            <w:r w:rsidRPr="00A23740">
              <w:t>. Zira iflas</w:t>
            </w:r>
            <w:r w:rsidR="003B4DF3">
              <w:t xml:space="preserve"> </w:t>
            </w:r>
            <w:r w:rsidR="00BF1CEE" w:rsidRPr="00A23740">
              <w:t xml:space="preserve">idaresi </w:t>
            </w:r>
            <w:r w:rsidRPr="00A23740">
              <w:t>ret kararındaki gerekçe doğrultusunda gerekli işlemleri yaparak tekrar kapanma talebinde bulunabilecektir.</w:t>
            </w:r>
          </w:p>
          <w:p w:rsidR="006A6763" w:rsidRPr="00A23740" w:rsidRDefault="006A6763"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widowControl w:val="0"/>
            </w:pPr>
            <w:r w:rsidRPr="00A23740">
              <w:t>İflas kapandıktan sonra :</w:t>
            </w:r>
          </w:p>
          <w:p w:rsidR="00AA5C8C" w:rsidRPr="00A23740" w:rsidRDefault="00AA5C8C" w:rsidP="009431FF">
            <w:pPr>
              <w:widowControl w:val="0"/>
              <w:tabs>
                <w:tab w:val="left" w:pos="567"/>
              </w:tabs>
              <w:rPr>
                <w:szCs w:val="24"/>
              </w:rPr>
            </w:pPr>
            <w:r w:rsidRPr="00A23740">
              <w:rPr>
                <w:rStyle w:val="KIRMIZIChar"/>
                <w:rFonts w:eastAsia="Calibri"/>
              </w:rPr>
              <w:t>Madde 255 – (1)</w:t>
            </w:r>
            <w:r w:rsidRPr="00A23740">
              <w:rPr>
                <w:b/>
                <w:szCs w:val="24"/>
              </w:rPr>
              <w:t xml:space="preserve"> </w:t>
            </w:r>
            <w:r w:rsidRPr="00A23740">
              <w:rPr>
                <w:szCs w:val="24"/>
              </w:rPr>
              <w:t>İflas kapandıktan sonra tasfiye</w:t>
            </w:r>
            <w:r w:rsidRPr="00A23740">
              <w:rPr>
                <w:rStyle w:val="KIRMIZIChar"/>
                <w:rFonts w:eastAsia="Calibri"/>
              </w:rPr>
              <w:t>den hariç</w:t>
            </w:r>
            <w:r w:rsidRPr="00A23740">
              <w:rPr>
                <w:szCs w:val="24"/>
              </w:rPr>
              <w:t xml:space="preserve"> kalmış bir mal bulunduğu </w:t>
            </w:r>
            <w:r w:rsidRPr="00A23740">
              <w:rPr>
                <w:rStyle w:val="KIRMIZIChar"/>
                <w:rFonts w:eastAsia="Calibri"/>
              </w:rPr>
              <w:t>haber alınırsa</w:t>
            </w:r>
            <w:r w:rsidRPr="00A23740">
              <w:rPr>
                <w:szCs w:val="24"/>
              </w:rPr>
              <w:t xml:space="preserve"> iflas dairesi o mala </w:t>
            </w:r>
            <w:r w:rsidRPr="00A23740">
              <w:rPr>
                <w:rStyle w:val="KIRMIZIChar"/>
                <w:rFonts w:eastAsia="Calibri"/>
              </w:rPr>
              <w:t>vaziyed edip</w:t>
            </w:r>
            <w:r w:rsidRPr="00A23740">
              <w:rPr>
                <w:szCs w:val="24"/>
              </w:rPr>
              <w:t xml:space="preserve"> sattıktan sonra başka bir merasime </w:t>
            </w:r>
            <w:r w:rsidRPr="00A23740">
              <w:rPr>
                <w:rStyle w:val="KIRMIZIChar"/>
                <w:rFonts w:eastAsia="Calibri"/>
              </w:rPr>
              <w:t>hacet</w:t>
            </w:r>
            <w:r w:rsidRPr="00A23740">
              <w:rPr>
                <w:szCs w:val="24"/>
              </w:rPr>
              <w:t xml:space="preserve"> kalmaksızın bedelini eksik alan alacaklılara sıralarına göre </w:t>
            </w:r>
            <w:r w:rsidRPr="00A23740">
              <w:rPr>
                <w:rStyle w:val="KIRMIZIChar"/>
                <w:rFonts w:eastAsia="Calibri"/>
              </w:rPr>
              <w:t>dağıtılır</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(2)</w:t>
            </w:r>
            <w:r w:rsidRPr="00A23740">
              <w:rPr>
                <w:szCs w:val="24"/>
              </w:rPr>
              <w:t xml:space="preserve"> Evvelce bankaya yatırılmış olup</w:t>
            </w:r>
            <w:r w:rsidRPr="00A23740">
              <w:rPr>
                <w:rStyle w:val="KIRMIZIChar"/>
                <w:rFonts w:eastAsia="Calibri"/>
              </w:rPr>
              <w:t>ta</w:t>
            </w:r>
            <w:r w:rsidRPr="00A23740">
              <w:rPr>
                <w:szCs w:val="24"/>
              </w:rPr>
              <w:t xml:space="preserve"> tasarruf</w:t>
            </w:r>
            <w:r w:rsidRPr="00A23740">
              <w:rPr>
                <w:rStyle w:val="KIRMIZIChar"/>
                <w:rFonts w:eastAsia="Calibri"/>
              </w:rPr>
              <w:t>u</w:t>
            </w:r>
            <w:r w:rsidRPr="00A23740">
              <w:rPr>
                <w:szCs w:val="24"/>
              </w:rPr>
              <w:t xml:space="preserve"> </w:t>
            </w:r>
            <w:r w:rsidRPr="00A23740">
              <w:rPr>
                <w:rStyle w:val="KIRMIZIChar"/>
                <w:rFonts w:eastAsia="Calibri"/>
              </w:rPr>
              <w:t>kabil bir</w:t>
            </w:r>
            <w:r w:rsidRPr="00A23740">
              <w:rPr>
                <w:szCs w:val="24"/>
              </w:rPr>
              <w:t xml:space="preserve"> hale gelen paralar hakkında da </w:t>
            </w:r>
            <w:r w:rsidRPr="00A23740">
              <w:rPr>
                <w:rStyle w:val="KIRMIZIChar"/>
                <w:rFonts w:eastAsia="Calibri"/>
              </w:rPr>
              <w:t>hüküm böyledir</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(3)</w:t>
            </w:r>
            <w:r w:rsidRPr="00A23740">
              <w:rPr>
                <w:szCs w:val="24"/>
              </w:rPr>
              <w:t xml:space="preserve"> Şüpheli bir hak </w:t>
            </w:r>
            <w:r w:rsidRPr="00A23740">
              <w:rPr>
                <w:rStyle w:val="KIRMIZIChar"/>
                <w:rFonts w:eastAsia="Calibri"/>
              </w:rPr>
              <w:t>mevzuubahis</w:t>
            </w:r>
            <w:r w:rsidRPr="00A23740">
              <w:rPr>
                <w:szCs w:val="24"/>
              </w:rPr>
              <w:t xml:space="preserve"> </w:t>
            </w:r>
            <w:r w:rsidRPr="00A23740">
              <w:rPr>
                <w:rStyle w:val="KIRMIZIChar"/>
                <w:rFonts w:eastAsia="Calibri"/>
              </w:rPr>
              <w:t>oldukta</w:t>
            </w:r>
            <w:r w:rsidRPr="00A23740">
              <w:rPr>
                <w:szCs w:val="24"/>
              </w:rPr>
              <w:t xml:space="preserve"> iflas dairesi alacaklılara keyfiyeti ilan eder yahut mektupla bildirir ve </w:t>
            </w:r>
            <w:r w:rsidRPr="00A23740">
              <w:rPr>
                <w:rStyle w:val="KIRMIZIChar"/>
                <w:rFonts w:eastAsia="Calibri"/>
              </w:rPr>
              <w:t>245 inci</w:t>
            </w:r>
            <w:r w:rsidRPr="00A23740">
              <w:rPr>
                <w:szCs w:val="24"/>
              </w:rPr>
              <w:t xml:space="preserve"> madde </w:t>
            </w:r>
            <w:r w:rsidRPr="00A23740">
              <w:rPr>
                <w:rStyle w:val="KIRMIZIChar"/>
                <w:rFonts w:eastAsia="Calibri"/>
              </w:rPr>
              <w:t>mucibince</w:t>
            </w:r>
            <w:r w:rsidRPr="00A23740">
              <w:rPr>
                <w:szCs w:val="24"/>
              </w:rPr>
              <w:t xml:space="preserve"> muamele yapılır.</w:t>
            </w:r>
          </w:p>
          <w:p w:rsidR="00AA5C8C" w:rsidRPr="00A23740" w:rsidRDefault="00AA5C8C" w:rsidP="009431FF">
            <w:pPr>
              <w:pStyle w:val="KIRMIZI"/>
              <w:widowControl w:val="0"/>
            </w:pPr>
          </w:p>
        </w:tc>
        <w:tc>
          <w:tcPr>
            <w:tcW w:w="2500" w:type="pct"/>
          </w:tcPr>
          <w:p w:rsidR="00AA5C8C" w:rsidRPr="00A23740" w:rsidRDefault="00AA5C8C" w:rsidP="009431FF">
            <w:pPr>
              <w:widowControl w:val="0"/>
              <w:tabs>
                <w:tab w:val="left" w:pos="567"/>
              </w:tabs>
              <w:rPr>
                <w:b/>
                <w:szCs w:val="24"/>
              </w:rPr>
            </w:pPr>
            <w:r w:rsidRPr="00A23740">
              <w:rPr>
                <w:rStyle w:val="MaviChar"/>
              </w:rPr>
              <w:t>Tasfiye dışında kalmış</w:t>
            </w:r>
            <w:r w:rsidRPr="00A23740">
              <w:rPr>
                <w:rStyle w:val="MAVChar"/>
                <w:rFonts w:eastAsia="Calibri"/>
                <w:u w:val="none"/>
              </w:rPr>
              <w:t xml:space="preserve"> mal </w:t>
            </w:r>
            <w:r w:rsidRPr="00A23740">
              <w:rPr>
                <w:rStyle w:val="MaviChar"/>
              </w:rPr>
              <w:t>veya hak</w:t>
            </w:r>
            <w:r w:rsidRPr="00A23740">
              <w:rPr>
                <w:rStyle w:val="MAVChar"/>
                <w:rFonts w:eastAsia="Calibri"/>
                <w:u w:val="none"/>
              </w:rPr>
              <w:t xml:space="preserve"> bulunması</w:t>
            </w:r>
          </w:p>
          <w:p w:rsidR="00AA5C8C" w:rsidRPr="00A23740" w:rsidRDefault="003A1467" w:rsidP="009431FF">
            <w:pPr>
              <w:widowControl w:val="0"/>
              <w:tabs>
                <w:tab w:val="left" w:pos="567"/>
              </w:tabs>
              <w:rPr>
                <w:szCs w:val="24"/>
              </w:rPr>
            </w:pPr>
            <w:r w:rsidRPr="00A23740">
              <w:rPr>
                <w:rStyle w:val="MaviChar"/>
              </w:rPr>
              <w:t>MADDE 373</w:t>
            </w:r>
            <w:r w:rsidR="00AA5C8C" w:rsidRPr="00A23740">
              <w:rPr>
                <w:rStyle w:val="MaviChar"/>
              </w:rPr>
              <w:t>-</w:t>
            </w:r>
            <w:r w:rsidR="00AA5C8C" w:rsidRPr="00A23740">
              <w:rPr>
                <w:rStyle w:val="MAVChar"/>
                <w:rFonts w:eastAsia="Calibri"/>
                <w:u w:val="none"/>
              </w:rPr>
              <w:t xml:space="preserve"> (</w:t>
            </w:r>
            <w:r w:rsidR="00AA5C8C" w:rsidRPr="00A23740">
              <w:rPr>
                <w:rStyle w:val="Stil2Char"/>
                <w:rFonts w:eastAsia="Calibri"/>
                <w:u w:val="none"/>
              </w:rPr>
              <w:t>1)</w:t>
            </w:r>
            <w:r w:rsidR="00AA5C8C" w:rsidRPr="00A23740">
              <w:rPr>
                <w:b/>
                <w:szCs w:val="24"/>
              </w:rPr>
              <w:t xml:space="preserve"> </w:t>
            </w:r>
            <w:r w:rsidR="00AA5C8C" w:rsidRPr="00A23740">
              <w:rPr>
                <w:szCs w:val="24"/>
              </w:rPr>
              <w:t>İflas kapandıktan sonra tasfiye</w:t>
            </w:r>
            <w:r w:rsidR="00AA5C8C" w:rsidRPr="00A23740">
              <w:rPr>
                <w:rStyle w:val="Stil1Char"/>
                <w:rFonts w:eastAsia="Calibri"/>
                <w:u w:val="none"/>
                <w:lang w:val="tr-TR"/>
              </w:rPr>
              <w:t xml:space="preserve"> </w:t>
            </w:r>
            <w:r w:rsidR="00AA5C8C" w:rsidRPr="00A23740">
              <w:rPr>
                <w:rStyle w:val="Stil2Char"/>
                <w:rFonts w:eastAsia="Calibri"/>
                <w:u w:val="none"/>
              </w:rPr>
              <w:t>dışında</w:t>
            </w:r>
            <w:r w:rsidR="00AA5C8C" w:rsidRPr="00A23740">
              <w:rPr>
                <w:b/>
              </w:rPr>
              <w:t xml:space="preserve"> </w:t>
            </w:r>
            <w:r w:rsidR="00AA5C8C" w:rsidRPr="00A23740">
              <w:rPr>
                <w:szCs w:val="24"/>
              </w:rPr>
              <w:t>kalmış bir ma</w:t>
            </w:r>
            <w:r w:rsidR="004837D3" w:rsidRPr="00A23740">
              <w:rPr>
                <w:szCs w:val="24"/>
              </w:rPr>
              <w:t>l bulunduğu</w:t>
            </w:r>
            <w:r w:rsidR="00AA5C8C" w:rsidRPr="00A23740">
              <w:rPr>
                <w:szCs w:val="24"/>
              </w:rPr>
              <w:t xml:space="preserve"> </w:t>
            </w:r>
            <w:r w:rsidR="00AA5C8C" w:rsidRPr="00A23740">
              <w:rPr>
                <w:rStyle w:val="MAVChar"/>
                <w:rFonts w:eastAsia="Calibri"/>
                <w:u w:val="none"/>
              </w:rPr>
              <w:t>tespit edilirse</w:t>
            </w:r>
            <w:r w:rsidR="00AA5C8C" w:rsidRPr="00A23740">
              <w:rPr>
                <w:szCs w:val="24"/>
              </w:rPr>
              <w:t xml:space="preserve"> iflas dairesi</w:t>
            </w:r>
            <w:r w:rsidR="004837D3" w:rsidRPr="003B4DF3">
              <w:rPr>
                <w:rStyle w:val="Balk1Char"/>
                <w:rFonts w:eastAsia="ヒラギノ明朝 Pro W3"/>
              </w:rPr>
              <w:t>,</w:t>
            </w:r>
            <w:r w:rsidR="00AA5C8C" w:rsidRPr="00A23740">
              <w:rPr>
                <w:szCs w:val="24"/>
              </w:rPr>
              <w:t xml:space="preserve"> o mala </w:t>
            </w:r>
            <w:r w:rsidR="00AA5C8C" w:rsidRPr="00A23740">
              <w:rPr>
                <w:rStyle w:val="Stil2Char"/>
                <w:rFonts w:eastAsia="Calibri"/>
                <w:u w:val="none"/>
              </w:rPr>
              <w:t>el koyup</w:t>
            </w:r>
            <w:r w:rsidR="00AA5C8C" w:rsidRPr="00A23740">
              <w:rPr>
                <w:szCs w:val="24"/>
              </w:rPr>
              <w:t xml:space="preserve"> sattıktan sonra başka bir merasime </w:t>
            </w:r>
            <w:r w:rsidR="00AA5C8C" w:rsidRPr="00A23740">
              <w:rPr>
                <w:rStyle w:val="Stil2Char"/>
                <w:rFonts w:eastAsia="Calibri"/>
                <w:u w:val="none"/>
              </w:rPr>
              <w:t>gerek</w:t>
            </w:r>
            <w:r w:rsidR="00AA5C8C" w:rsidRPr="00A23740">
              <w:rPr>
                <w:szCs w:val="24"/>
              </w:rPr>
              <w:t xml:space="preserve"> kalmaksızın bedelini</w:t>
            </w:r>
            <w:r w:rsidR="004837D3" w:rsidRPr="003B4DF3">
              <w:rPr>
                <w:rStyle w:val="Balk1Char"/>
                <w:rFonts w:eastAsia="ヒラギノ明朝 Pro W3"/>
              </w:rPr>
              <w:t>,</w:t>
            </w:r>
            <w:r w:rsidR="00AA5C8C" w:rsidRPr="00A23740">
              <w:rPr>
                <w:szCs w:val="24"/>
              </w:rPr>
              <w:t xml:space="preserve"> </w:t>
            </w:r>
            <w:r w:rsidR="00AA5C8C" w:rsidRPr="00A23740">
              <w:rPr>
                <w:rStyle w:val="MaviChar"/>
              </w:rPr>
              <w:t>alacaklarını</w:t>
            </w:r>
            <w:r w:rsidR="00AA5C8C" w:rsidRPr="00A23740">
              <w:rPr>
                <w:szCs w:val="24"/>
              </w:rPr>
              <w:t xml:space="preserve"> eksik </w:t>
            </w:r>
            <w:r w:rsidR="00AA5C8C" w:rsidRPr="00A23740">
              <w:rPr>
                <w:rStyle w:val="MaviChar"/>
              </w:rPr>
              <w:t>almış olan</w:t>
            </w:r>
            <w:r w:rsidR="00AA5C8C" w:rsidRPr="00A23740">
              <w:rPr>
                <w:szCs w:val="24"/>
              </w:rPr>
              <w:t xml:space="preserve"> alacaklılara sıralarına göre </w:t>
            </w:r>
            <w:r w:rsidR="00AA5C8C" w:rsidRPr="00A23740">
              <w:rPr>
                <w:rStyle w:val="MAVChar"/>
                <w:rFonts w:eastAsia="Calibri"/>
                <w:u w:val="none"/>
              </w:rPr>
              <w:t>dağıtır</w:t>
            </w:r>
            <w:r w:rsidR="00AA5C8C"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(2)</w:t>
            </w:r>
            <w:r w:rsidRPr="00A23740">
              <w:rPr>
                <w:szCs w:val="24"/>
              </w:rPr>
              <w:t xml:space="preserve"> Evvelce bankaya yatırılmış olup </w:t>
            </w:r>
            <w:r w:rsidRPr="00A23740">
              <w:rPr>
                <w:rStyle w:val="Stil2Char"/>
                <w:rFonts w:eastAsia="Calibri"/>
                <w:u w:val="none"/>
              </w:rPr>
              <w:t>da</w:t>
            </w:r>
            <w:r w:rsidRPr="00A23740">
              <w:rPr>
                <w:szCs w:val="24"/>
              </w:rPr>
              <w:t xml:space="preserve"> tasarruf</w:t>
            </w:r>
            <w:r w:rsidRPr="00A23740">
              <w:rPr>
                <w:b/>
              </w:rPr>
              <w:t xml:space="preserve"> </w:t>
            </w:r>
            <w:r w:rsidRPr="00A23740">
              <w:rPr>
                <w:rStyle w:val="MaviChar"/>
                <w:lang w:val="tr-TR"/>
              </w:rPr>
              <w:t>e</w:t>
            </w:r>
            <w:r w:rsidRPr="00A23740">
              <w:rPr>
                <w:rStyle w:val="Stil2Char"/>
                <w:rFonts w:eastAsia="Calibri"/>
                <w:u w:val="none"/>
              </w:rPr>
              <w:t>dilebilir</w:t>
            </w:r>
            <w:r w:rsidRPr="00A23740">
              <w:rPr>
                <w:szCs w:val="24"/>
              </w:rPr>
              <w:t xml:space="preserve"> h</w:t>
            </w:r>
            <w:r w:rsidR="00F95BC3" w:rsidRPr="00A23740">
              <w:rPr>
                <w:szCs w:val="24"/>
              </w:rPr>
              <w:t>â</w:t>
            </w:r>
            <w:r w:rsidRPr="00A23740">
              <w:rPr>
                <w:szCs w:val="24"/>
              </w:rPr>
              <w:t xml:space="preserve">le gelen paralar hakkında da </w:t>
            </w:r>
            <w:r w:rsidRPr="00A23740">
              <w:rPr>
                <w:rStyle w:val="MaviChar"/>
              </w:rPr>
              <w:t>birinci fıkra hükmü uygulanır</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color w:val="0000FF"/>
                <w:szCs w:val="24"/>
              </w:rPr>
              <w:t>(3)</w:t>
            </w:r>
            <w:r w:rsidRPr="00A23740">
              <w:rPr>
                <w:szCs w:val="24"/>
              </w:rPr>
              <w:t xml:space="preserve"> Şüpheli bir hak </w:t>
            </w:r>
            <w:r w:rsidRPr="00A23740">
              <w:rPr>
                <w:rStyle w:val="Stil2Char"/>
                <w:rFonts w:eastAsia="Calibri"/>
                <w:u w:val="none"/>
              </w:rPr>
              <w:t>söz konusu ise</w:t>
            </w:r>
            <w:r w:rsidRPr="00A23740">
              <w:rPr>
                <w:szCs w:val="24"/>
              </w:rPr>
              <w:t xml:space="preserve"> iflas dairesi alacaklılara </w:t>
            </w:r>
            <w:r w:rsidRPr="00A23740">
              <w:rPr>
                <w:rStyle w:val="Stil2Char"/>
                <w:rFonts w:eastAsia="Calibri"/>
                <w:u w:val="none"/>
              </w:rPr>
              <w:t>durumu</w:t>
            </w:r>
            <w:r w:rsidRPr="00A23740">
              <w:rPr>
                <w:szCs w:val="24"/>
              </w:rPr>
              <w:t xml:space="preserve"> </w:t>
            </w:r>
            <w:r w:rsidR="00ED14B2" w:rsidRPr="00A57CFE">
              <w:rPr>
                <w:rStyle w:val="MaviChar"/>
              </w:rPr>
              <w:t>283 üncü</w:t>
            </w:r>
            <w:r w:rsidR="00ED14B2" w:rsidRPr="00A23740">
              <w:rPr>
                <w:rStyle w:val="YELChar"/>
              </w:rPr>
              <w:t xml:space="preserve"> </w:t>
            </w:r>
            <w:r w:rsidR="00DD75D1" w:rsidRPr="00A57CFE">
              <w:rPr>
                <w:rStyle w:val="MaviChar"/>
              </w:rPr>
              <w:t>maddenin ikinci fıkrasındaki usulle</w:t>
            </w:r>
            <w:r w:rsidR="00DD75D1" w:rsidRPr="00A23740">
              <w:rPr>
                <w:szCs w:val="24"/>
              </w:rPr>
              <w:t xml:space="preserve"> </w:t>
            </w:r>
            <w:r w:rsidRPr="00A23740">
              <w:rPr>
                <w:szCs w:val="24"/>
              </w:rPr>
              <w:t xml:space="preserve">ilan eder ve </w:t>
            </w:r>
            <w:r w:rsidRPr="00A23740">
              <w:rPr>
                <w:rStyle w:val="MaviChar"/>
              </w:rPr>
              <w:t>çekişmeli hakları takip yetkisinin devri hakkındaki</w:t>
            </w:r>
            <w:r w:rsidR="00ED14B2" w:rsidRPr="00A23740">
              <w:rPr>
                <w:rStyle w:val="MaviChar"/>
                <w:lang w:val="tr-TR"/>
              </w:rPr>
              <w:t xml:space="preserve"> </w:t>
            </w:r>
            <w:r w:rsidR="00ED14B2" w:rsidRPr="00A57CFE">
              <w:rPr>
                <w:rStyle w:val="MaviChar"/>
              </w:rPr>
              <w:t>362 nci</w:t>
            </w:r>
            <w:r w:rsidRPr="00A23740">
              <w:rPr>
                <w:szCs w:val="24"/>
              </w:rPr>
              <w:t xml:space="preserve"> madde</w:t>
            </w:r>
            <w:r w:rsidR="00DD75D1" w:rsidRPr="00A57CFE">
              <w:rPr>
                <w:rStyle w:val="MaviChar"/>
              </w:rPr>
              <w:t>ye göre</w:t>
            </w:r>
            <w:r w:rsidRPr="00A57CFE">
              <w:rPr>
                <w:rStyle w:val="MaviChar"/>
              </w:rPr>
              <w:t xml:space="preserve"> </w:t>
            </w:r>
            <w:r w:rsidRPr="00A23740">
              <w:rPr>
                <w:rStyle w:val="Stil2Char"/>
                <w:rFonts w:eastAsia="Calibri"/>
                <w:u w:val="none"/>
              </w:rPr>
              <w:t>işlem</w:t>
            </w:r>
            <w:r w:rsidR="00DD75D1" w:rsidRPr="00A23740">
              <w:rPr>
                <w:rStyle w:val="Stil2Char"/>
                <w:rFonts w:eastAsia="Calibri"/>
                <w:u w:val="none"/>
                <w:lang w:val="tr-TR"/>
              </w:rPr>
              <w:t xml:space="preserve"> </w:t>
            </w:r>
            <w:r w:rsidR="00DD75D1" w:rsidRPr="00A57CFE">
              <w:rPr>
                <w:rStyle w:val="MaviChar"/>
              </w:rPr>
              <w:t>yapar.</w:t>
            </w:r>
            <w:r w:rsidRPr="00A23740">
              <w:rPr>
                <w:szCs w:val="24"/>
              </w:rPr>
              <w:t xml:space="preserve"> </w:t>
            </w:r>
            <w:r w:rsidR="00336BD5" w:rsidRPr="00A57CFE">
              <w:rPr>
                <w:rStyle w:val="MaviChar"/>
              </w:rPr>
              <w:t>340 ıncı</w:t>
            </w:r>
            <w:r w:rsidR="00DD75D1" w:rsidRPr="00A23740">
              <w:rPr>
                <w:rStyle w:val="KIRMIZIChar"/>
                <w:rFonts w:eastAsia="Calibri"/>
                <w:strike w:val="0"/>
              </w:rPr>
              <w:t xml:space="preserve"> </w:t>
            </w:r>
            <w:r w:rsidR="00DD75D1" w:rsidRPr="00A57CFE">
              <w:rPr>
                <w:rStyle w:val="MaviChar"/>
              </w:rPr>
              <w:t>maddenin üçüncü fıkrası hükmü saklıdır.</w:t>
            </w:r>
          </w:p>
          <w:p w:rsidR="00AA5C8C" w:rsidRPr="00A23740" w:rsidRDefault="00AA5C8C" w:rsidP="009431FF">
            <w:pPr>
              <w:widowControl w:val="0"/>
              <w:tabs>
                <w:tab w:val="left" w:pos="567"/>
              </w:tabs>
              <w:rPr>
                <w:b/>
                <w:color w:val="FF0000"/>
                <w:szCs w:val="24"/>
              </w:rPr>
            </w:pPr>
          </w:p>
        </w:tc>
      </w:tr>
      <w:tr w:rsidR="006A6763"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E676A1" w:rsidRPr="00A23740" w:rsidRDefault="00E676A1" w:rsidP="009431FF">
            <w:pPr>
              <w:tabs>
                <w:tab w:val="left" w:pos="567"/>
              </w:tabs>
              <w:ind w:firstLine="709"/>
              <w:rPr>
                <w:b/>
                <w:bCs/>
              </w:rPr>
            </w:pPr>
          </w:p>
          <w:p w:rsidR="00E4407E" w:rsidRPr="00A23740" w:rsidRDefault="003A1467" w:rsidP="009431FF">
            <w:pPr>
              <w:tabs>
                <w:tab w:val="left" w:pos="567"/>
              </w:tabs>
              <w:ind w:firstLine="709"/>
              <w:rPr>
                <w:szCs w:val="24"/>
              </w:rPr>
            </w:pPr>
            <w:r w:rsidRPr="00A23740">
              <w:rPr>
                <w:b/>
                <w:bCs/>
              </w:rPr>
              <w:t>MADDE 373</w:t>
            </w:r>
            <w:r w:rsidR="00E4407E" w:rsidRPr="00A23740">
              <w:rPr>
                <w:b/>
                <w:bCs/>
              </w:rPr>
              <w:t xml:space="preserve">- </w:t>
            </w:r>
            <w:r w:rsidR="00E4407E" w:rsidRPr="00A23740">
              <w:rPr>
                <w:szCs w:val="24"/>
              </w:rPr>
              <w:t xml:space="preserve">Maddeyle, </w:t>
            </w:r>
            <w:r w:rsidR="008F6E33" w:rsidRPr="00A23740">
              <w:rPr>
                <w:szCs w:val="24"/>
              </w:rPr>
              <w:t xml:space="preserve">iflas kapandıktan sonra </w:t>
            </w:r>
            <w:r w:rsidR="00E4407E" w:rsidRPr="00A23740">
              <w:rPr>
                <w:szCs w:val="24"/>
              </w:rPr>
              <w:t>tasfiye dışında kalmış mal veya hak bulunmasına ilişkin hususlar düzenlenmektedir. Hüküm, 2004 sayılı Kanunun 255 inci maddesine karşılık gelmektedir.</w:t>
            </w:r>
          </w:p>
          <w:p w:rsidR="00E4407E" w:rsidRPr="00A23740" w:rsidRDefault="00E4407E" w:rsidP="009431FF">
            <w:pPr>
              <w:tabs>
                <w:tab w:val="left" w:pos="567"/>
              </w:tabs>
              <w:ind w:firstLine="709"/>
              <w:rPr>
                <w:szCs w:val="24"/>
              </w:rPr>
            </w:pPr>
            <w:r w:rsidRPr="00A23740">
              <w:rPr>
                <w:szCs w:val="24"/>
              </w:rPr>
              <w:t xml:space="preserve">Birinci fıkrayla, iflasın kapanmasından sonra tasfiye dışında kalmış bir mal tespit </w:t>
            </w:r>
            <w:r w:rsidR="008F6E33" w:rsidRPr="00A23740">
              <w:rPr>
                <w:szCs w:val="24"/>
              </w:rPr>
              <w:t>edilirse</w:t>
            </w:r>
            <w:r w:rsidRPr="00A23740">
              <w:rPr>
                <w:szCs w:val="24"/>
              </w:rPr>
              <w:t>, iflas dairesinin o mala el koyup sattıktan sonra başka bir merasime gerek kalmaksızın bedelini alacaklarını eksik almış olan alacaklılara sıralarına göre dağıtacağı hükme bağlanmaktadır.</w:t>
            </w:r>
          </w:p>
          <w:p w:rsidR="00E4407E" w:rsidRPr="00A23740" w:rsidRDefault="00E4407E" w:rsidP="009431FF">
            <w:pPr>
              <w:tabs>
                <w:tab w:val="left" w:pos="567"/>
              </w:tabs>
              <w:ind w:firstLine="709"/>
              <w:rPr>
                <w:szCs w:val="24"/>
              </w:rPr>
            </w:pPr>
            <w:r w:rsidRPr="00A23740">
              <w:rPr>
                <w:szCs w:val="24"/>
              </w:rPr>
              <w:t>İkinci fıkrayla, evvelce bankaya yatırılmış olup da tasarruf edilebilir h</w:t>
            </w:r>
            <w:r w:rsidR="009D574E" w:rsidRPr="00A23740">
              <w:rPr>
                <w:szCs w:val="24"/>
              </w:rPr>
              <w:t>â</w:t>
            </w:r>
            <w:r w:rsidRPr="00A23740">
              <w:rPr>
                <w:szCs w:val="24"/>
              </w:rPr>
              <w:t xml:space="preserve">le gelen paralar hakkında da </w:t>
            </w:r>
            <w:r w:rsidR="00E676A1" w:rsidRPr="00A23740">
              <w:rPr>
                <w:szCs w:val="24"/>
              </w:rPr>
              <w:t>birinci fıkra hükmü uygulanacağı düzenlenmektedir.</w:t>
            </w:r>
          </w:p>
          <w:p w:rsidR="00E4407E" w:rsidRPr="00A23740" w:rsidRDefault="00E676A1" w:rsidP="009431FF">
            <w:pPr>
              <w:tabs>
                <w:tab w:val="left" w:pos="567"/>
              </w:tabs>
              <w:ind w:firstLine="709"/>
              <w:rPr>
                <w:szCs w:val="24"/>
              </w:rPr>
            </w:pPr>
            <w:r w:rsidRPr="00A23740">
              <w:rPr>
                <w:szCs w:val="24"/>
              </w:rPr>
              <w:t xml:space="preserve">Üçüncü fıkraya göre, şüpheli </w:t>
            </w:r>
            <w:r w:rsidR="00E4407E" w:rsidRPr="00A23740">
              <w:rPr>
                <w:szCs w:val="24"/>
              </w:rPr>
              <w:t xml:space="preserve">bir hak </w:t>
            </w:r>
            <w:r w:rsidR="00E4407E" w:rsidRPr="00A23740">
              <w:t>s</w:t>
            </w:r>
            <w:r w:rsidR="00E4407E" w:rsidRPr="00A23740">
              <w:rPr>
                <w:szCs w:val="24"/>
              </w:rPr>
              <w:t>öz konusu ise iflas dairesi</w:t>
            </w:r>
            <w:r w:rsidR="00DD75D1" w:rsidRPr="003B4DF3">
              <w:rPr>
                <w:rStyle w:val="YELChar"/>
                <w:b w:val="0"/>
                <w:color w:val="000000" w:themeColor="text1"/>
              </w:rPr>
              <w:t>,</w:t>
            </w:r>
            <w:r w:rsidR="00E4407E" w:rsidRPr="00A23740">
              <w:rPr>
                <w:szCs w:val="24"/>
              </w:rPr>
              <w:t xml:space="preserve"> alacaklılara durumu </w:t>
            </w:r>
            <w:r w:rsidR="00DD75D1" w:rsidRPr="00A57CFE">
              <w:t>metinde yazılı usulle</w:t>
            </w:r>
            <w:r w:rsidR="00DD75D1" w:rsidRPr="00A23740">
              <w:rPr>
                <w:szCs w:val="24"/>
              </w:rPr>
              <w:t xml:space="preserve"> </w:t>
            </w:r>
            <w:r w:rsidR="00E4407E" w:rsidRPr="00A23740">
              <w:rPr>
                <w:szCs w:val="24"/>
              </w:rPr>
              <w:t xml:space="preserve">ilan eder </w:t>
            </w:r>
            <w:r w:rsidR="00DD75D1" w:rsidRPr="00A57CFE">
              <w:t>ve talep üzerine</w:t>
            </w:r>
            <w:r w:rsidR="008F6E33" w:rsidRPr="00A57CFE">
              <w:t>,</w:t>
            </w:r>
            <w:r w:rsidR="003B4DF3">
              <w:rPr>
                <w:szCs w:val="24"/>
              </w:rPr>
              <w:t xml:space="preserve"> </w:t>
            </w:r>
            <w:r w:rsidR="00E4407E" w:rsidRPr="00A23740">
              <w:rPr>
                <w:szCs w:val="24"/>
              </w:rPr>
              <w:t xml:space="preserve">çekişmeli hakları takip yetkisinin devri hakkındaki </w:t>
            </w:r>
            <w:r w:rsidR="00336BD5" w:rsidRPr="00A57CFE">
              <w:t>362 nci</w:t>
            </w:r>
            <w:r w:rsidR="00336BD5" w:rsidRPr="00A23740">
              <w:rPr>
                <w:szCs w:val="24"/>
              </w:rPr>
              <w:t xml:space="preserve"> </w:t>
            </w:r>
            <w:r w:rsidR="00E4407E" w:rsidRPr="00A57CFE">
              <w:t>madde</w:t>
            </w:r>
            <w:r w:rsidR="00DD75D1" w:rsidRPr="00A57CFE">
              <w:t>ye göre</w:t>
            </w:r>
            <w:r w:rsidR="00E4407E" w:rsidRPr="00A23740">
              <w:rPr>
                <w:szCs w:val="24"/>
              </w:rPr>
              <w:t xml:space="preserve"> işlem</w:t>
            </w:r>
            <w:r w:rsidR="00DD75D1" w:rsidRPr="00A23740">
              <w:rPr>
                <w:szCs w:val="24"/>
              </w:rPr>
              <w:t xml:space="preserve"> </w:t>
            </w:r>
            <w:r w:rsidR="00DD75D1" w:rsidRPr="00A57CFE">
              <w:t>yapar.</w:t>
            </w:r>
            <w:r w:rsidR="003B4DF3">
              <w:rPr>
                <w:szCs w:val="24"/>
              </w:rPr>
              <w:t xml:space="preserve"> </w:t>
            </w:r>
            <w:r w:rsidR="00DD75D1" w:rsidRPr="00A57CFE">
              <w:t>Bu vesileyle kendisine tebligat yapılması hususunda önceden masraf yatırmış olan alacaklıların bu talebine uygun olarak</w:t>
            </w:r>
            <w:r w:rsidR="008F6E33" w:rsidRPr="00A57CFE">
              <w:t>,</w:t>
            </w:r>
            <w:r w:rsidR="00DD75D1" w:rsidRPr="00A57CFE">
              <w:t xml:space="preserve"> ilan dışında kendilerine ayrıca tebligat yapılacağı hususu da hükümde düzenlenmiştir.</w:t>
            </w:r>
          </w:p>
          <w:p w:rsidR="006A6763" w:rsidRPr="00A23740" w:rsidRDefault="006A6763" w:rsidP="009A013D">
            <w:pPr>
              <w:rPr>
                <w:bCs/>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İflasın tasfiyesi müddeti :</w:t>
            </w:r>
          </w:p>
          <w:p w:rsidR="00AA5C8C" w:rsidRPr="00A23740" w:rsidRDefault="00AA5C8C" w:rsidP="009431FF">
            <w:pPr>
              <w:tabs>
                <w:tab w:val="left" w:pos="567"/>
              </w:tabs>
              <w:rPr>
                <w:rStyle w:val="KIRMIZIChar"/>
                <w:rFonts w:eastAsia="Calibri"/>
              </w:rPr>
            </w:pPr>
            <w:r w:rsidRPr="00A23740">
              <w:rPr>
                <w:rStyle w:val="KIRMIZIChar"/>
                <w:rFonts w:eastAsia="Calibri"/>
              </w:rPr>
              <w:t>Madde 256 – (1) İflas açıldıktan altı ay içinde tasfiye edilmek lazımdır. Bu müddet içinde tasfiye muamelesi bitmediği takdirde alacaklılar toplanıp basit tasfiye usulünün tatbikına karar verebilir. Bu karar da ekseriyeti meblağiyenin husulü şarttır. Böyle bir karar verilmemişse icra mahkemesi icabına göre müddeti uzatır.</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szCs w:val="24"/>
              </w:rPr>
            </w:pPr>
          </w:p>
          <w:p w:rsidR="006A6763" w:rsidRPr="00A23740" w:rsidRDefault="006A6763" w:rsidP="009431FF">
            <w:pPr>
              <w:tabs>
                <w:tab w:val="left" w:pos="567"/>
              </w:tabs>
              <w:rPr>
                <w:b/>
                <w:color w:val="FF0000"/>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A5C8C" w:rsidRPr="00A23740" w:rsidRDefault="00AA5C8C" w:rsidP="009431FF">
            <w:pPr>
              <w:widowControl w:val="0"/>
              <w:rPr>
                <w:i/>
                <w:szCs w:val="24"/>
              </w:rPr>
            </w:pPr>
          </w:p>
          <w:p w:rsidR="00AA5C8C" w:rsidRPr="00A23740" w:rsidRDefault="00AA5C8C" w:rsidP="009431FF">
            <w:pPr>
              <w:widowControl w:val="0"/>
              <w:rPr>
                <w:i/>
                <w:szCs w:val="24"/>
              </w:rPr>
            </w:pPr>
          </w:p>
          <w:p w:rsidR="00AA5C8C" w:rsidRPr="00A23740" w:rsidRDefault="00AA5C8C" w:rsidP="009431FF">
            <w:pPr>
              <w:widowControl w:val="0"/>
              <w:rPr>
                <w:i/>
                <w:szCs w:val="24"/>
              </w:rPr>
            </w:pPr>
          </w:p>
          <w:p w:rsidR="00AA5C8C" w:rsidRPr="00A23740" w:rsidRDefault="00AA5C8C" w:rsidP="009431FF">
            <w:pPr>
              <w:widowControl w:val="0"/>
              <w:rPr>
                <w:i/>
                <w:szCs w:val="24"/>
              </w:rPr>
            </w:pPr>
          </w:p>
          <w:p w:rsidR="00AA5C8C" w:rsidRPr="00A23740" w:rsidRDefault="00AA5C8C" w:rsidP="009431FF">
            <w:pPr>
              <w:widowControl w:val="0"/>
              <w:rPr>
                <w:i/>
                <w:szCs w:val="24"/>
              </w:rPr>
            </w:pPr>
          </w:p>
          <w:p w:rsidR="00AA5C8C" w:rsidRPr="00A23740" w:rsidRDefault="00AA5C8C" w:rsidP="009431FF">
            <w:pPr>
              <w:widowControl w:val="0"/>
              <w:rPr>
                <w:i/>
                <w:szCs w:val="24"/>
              </w:rPr>
            </w:pPr>
          </w:p>
          <w:p w:rsidR="00AA5C8C" w:rsidRPr="00A23740" w:rsidRDefault="00AA5C8C" w:rsidP="009431FF">
            <w:pPr>
              <w:widowControl w:val="0"/>
              <w:rPr>
                <w:i/>
                <w:szCs w:val="24"/>
              </w:rPr>
            </w:pPr>
          </w:p>
          <w:p w:rsidR="00AA5C8C" w:rsidRPr="00A23740" w:rsidRDefault="00AA5C8C" w:rsidP="009431FF">
            <w:pPr>
              <w:widowControl w:val="0"/>
              <w:rPr>
                <w:i/>
                <w:szCs w:val="24"/>
              </w:rPr>
            </w:pPr>
          </w:p>
          <w:p w:rsidR="00AA5C8C" w:rsidRPr="00A23740" w:rsidRDefault="00AA5C8C" w:rsidP="009431FF">
            <w:pPr>
              <w:widowControl w:val="0"/>
              <w:rPr>
                <w:i/>
                <w:szCs w:val="24"/>
              </w:rPr>
            </w:pPr>
            <w:r w:rsidRPr="00A23740">
              <w:rPr>
                <w:i/>
                <w:szCs w:val="24"/>
              </w:rPr>
              <w:t>Konkordato talebi:</w:t>
            </w:r>
          </w:p>
          <w:p w:rsidR="00AA5C8C" w:rsidRPr="00A23740" w:rsidRDefault="00AA5C8C" w:rsidP="009431FF">
            <w:pPr>
              <w:widowControl w:val="0"/>
              <w:rPr>
                <w:b/>
                <w:szCs w:val="24"/>
              </w:rPr>
            </w:pPr>
            <w:r w:rsidRPr="00A23740">
              <w:rPr>
                <w:rStyle w:val="KIRMIZIChar"/>
                <w:rFonts w:eastAsia="Calibri"/>
              </w:rPr>
              <w:t>Madde 285 – (1) (Değişik: 28/2/2018-7101/13 md.)</w:t>
            </w:r>
            <w:r w:rsidRPr="00A23740">
              <w:rPr>
                <w:b/>
                <w:szCs w:val="24"/>
              </w:rPr>
              <w:t xml:space="preserve"> </w:t>
            </w:r>
          </w:p>
          <w:p w:rsidR="00AA5C8C" w:rsidRPr="00A23740" w:rsidRDefault="00AA5C8C" w:rsidP="009431FF">
            <w:pPr>
              <w:widowControl w:val="0"/>
              <w:rPr>
                <w:szCs w:val="24"/>
              </w:rPr>
            </w:pPr>
            <w:r w:rsidRPr="00A23740">
              <w:rPr>
                <w:szCs w:val="24"/>
              </w:rPr>
              <w:t>Borçlarını</w:t>
            </w:r>
            <w:r w:rsidRPr="00A23740">
              <w:rPr>
                <w:rStyle w:val="KIRMIZIChar"/>
                <w:rFonts w:eastAsia="Calibri"/>
              </w:rPr>
              <w:t>,</w:t>
            </w:r>
            <w:r w:rsidRPr="00A23740">
              <w:rPr>
                <w:szCs w:val="24"/>
              </w:rPr>
              <w:t xml:space="preserve"> vadesi geldiği hâlde ödeyemeyen veya vadesinde ödeyememe tehlikesi altında bulunan herhangi bir borçlu, vade verilmek veya tenzilat yapılmak suretiyle borçlarını ödeyebilmek veya muhtemel bir iflâstan kurtulmak için konkordato talep edebilir.</w:t>
            </w:r>
          </w:p>
          <w:p w:rsidR="007775C3" w:rsidRPr="00A23740" w:rsidRDefault="007775C3" w:rsidP="009431FF">
            <w:pPr>
              <w:widowControl w:val="0"/>
              <w:rPr>
                <w:szCs w:val="24"/>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İflâs talebinde bulunabilecek her alacaklı, </w:t>
            </w:r>
            <w:r w:rsidRPr="00A23740">
              <w:rPr>
                <w:rStyle w:val="AralkYokChar"/>
                <w:lang w:val="tr-TR"/>
              </w:rPr>
              <w:t>gerekçeli bir dilekçeyle,</w:t>
            </w:r>
            <w:r w:rsidRPr="00A23740">
              <w:rPr>
                <w:szCs w:val="24"/>
              </w:rPr>
              <w:t xml:space="preserve"> borçlu hakkında konkordato işlemlerinin başlatılmasını isteyebilir.</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5D3374" w:rsidRPr="00A23740" w:rsidRDefault="005D3374" w:rsidP="009431FF">
            <w:pPr>
              <w:widowControl w:val="0"/>
              <w:rPr>
                <w:szCs w:val="24"/>
              </w:rPr>
            </w:pPr>
          </w:p>
          <w:p w:rsidR="005D3374" w:rsidRPr="00A23740" w:rsidRDefault="005D3374" w:rsidP="009431FF">
            <w:pPr>
              <w:widowControl w:val="0"/>
              <w:rPr>
                <w:szCs w:val="24"/>
              </w:rPr>
            </w:pPr>
          </w:p>
          <w:p w:rsidR="005D3374" w:rsidRPr="00A23740" w:rsidRDefault="005D3374" w:rsidP="009431FF">
            <w:pPr>
              <w:widowControl w:val="0"/>
              <w:rPr>
                <w:szCs w:val="24"/>
              </w:rPr>
            </w:pPr>
          </w:p>
          <w:p w:rsidR="00D1187D" w:rsidRPr="00A23740" w:rsidRDefault="00D1187D" w:rsidP="009431FF">
            <w:pPr>
              <w:widowControl w:val="0"/>
              <w:rPr>
                <w:rStyle w:val="KIRMIZIChar"/>
                <w:rFonts w:eastAsia="Calibri"/>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Yetkili ve görevli mahkeme; </w:t>
            </w:r>
            <w:r w:rsidRPr="00A23740">
              <w:rPr>
                <w:b/>
                <w:strike/>
                <w:color w:val="FF0000"/>
                <w:szCs w:val="24"/>
              </w:rPr>
              <w:t>iflâsa tabi olan borçlu için 154 üncü maddenin birinci veya ikinci fıkralarında yazılı yerdeki, iflâsa tabi olmayan borçlu için</w:t>
            </w:r>
            <w:r w:rsidRPr="00A23740">
              <w:rPr>
                <w:szCs w:val="24"/>
              </w:rPr>
              <w:t xml:space="preserve"> yerleşim yerindeki </w:t>
            </w:r>
            <w:r w:rsidRPr="00A23740">
              <w:rPr>
                <w:rStyle w:val="KIRMIZIChar"/>
                <w:rFonts w:eastAsia="Calibri"/>
              </w:rPr>
              <w:t>asliye ticaret</w:t>
            </w:r>
            <w:r w:rsidRPr="00A23740">
              <w:rPr>
                <w:szCs w:val="24"/>
              </w:rPr>
              <w:t xml:space="preserve"> mahkemesidir.</w:t>
            </w:r>
          </w:p>
          <w:p w:rsidR="002A49D6" w:rsidRPr="00A23740" w:rsidRDefault="002A49D6" w:rsidP="009431FF">
            <w:pPr>
              <w:widowControl w:val="0"/>
              <w:rPr>
                <w:rStyle w:val="KIRMIZIChar"/>
                <w:rFonts w:eastAsia="Calibri"/>
              </w:rPr>
            </w:pPr>
          </w:p>
          <w:p w:rsidR="005D3374" w:rsidRPr="00A23740" w:rsidRDefault="005D3374" w:rsidP="009431FF">
            <w:pPr>
              <w:widowControl w:val="0"/>
              <w:rPr>
                <w:rStyle w:val="KIRMIZIChar"/>
                <w:rFonts w:eastAsia="Calibri"/>
              </w:rPr>
            </w:pPr>
          </w:p>
          <w:p w:rsidR="002A49D6" w:rsidRPr="00A23740" w:rsidRDefault="002A49D6" w:rsidP="009431FF">
            <w:pPr>
              <w:widowControl w:val="0"/>
              <w:rPr>
                <w:rStyle w:val="KIRMIZIChar"/>
                <w:rFonts w:eastAsia="Calibri"/>
              </w:rPr>
            </w:pPr>
          </w:p>
          <w:p w:rsidR="00AA5C8C" w:rsidRPr="00A23740" w:rsidRDefault="00AA5C8C" w:rsidP="009431FF">
            <w:pPr>
              <w:widowControl w:val="0"/>
              <w:rPr>
                <w:szCs w:val="24"/>
              </w:rPr>
            </w:pPr>
            <w:r w:rsidRPr="00A23740">
              <w:rPr>
                <w:rStyle w:val="KIRMIZIChar"/>
                <w:rFonts w:eastAsia="Calibri"/>
              </w:rPr>
              <w:t xml:space="preserve">(4) </w:t>
            </w:r>
            <w:r w:rsidRPr="00A23740">
              <w:rPr>
                <w:szCs w:val="24"/>
              </w:rPr>
              <w:t xml:space="preserve">Konkordato talebinde bulunan, </w:t>
            </w:r>
            <w:r w:rsidRPr="00A23740">
              <w:rPr>
                <w:rStyle w:val="KIRMIZIChar"/>
                <w:rFonts w:eastAsia="Calibri"/>
              </w:rPr>
              <w:t>Adalet Bakanlığı tarafından yürürlüğe konulan tarifede belirtilen</w:t>
            </w:r>
            <w:r w:rsidRPr="00A23740">
              <w:rPr>
                <w:rStyle w:val="KIRMIZIChar"/>
                <w:rFonts w:eastAsia="Calibri"/>
                <w:strike w:val="0"/>
              </w:rPr>
              <w:t xml:space="preserve"> </w:t>
            </w:r>
            <w:r w:rsidRPr="00A23740">
              <w:t>konkordato gider avansı</w:t>
            </w:r>
            <w:r w:rsidRPr="00A23740">
              <w:rPr>
                <w:rStyle w:val="KIRMIZIChar"/>
                <w:rFonts w:eastAsia="Calibri"/>
              </w:rPr>
              <w:t>nı</w:t>
            </w:r>
            <w:r w:rsidRPr="00A23740">
              <w:rPr>
                <w:szCs w:val="24"/>
              </w:rPr>
              <w:t xml:space="preserve"> yatırma</w:t>
            </w:r>
            <w:r w:rsidRPr="00A23740">
              <w:rPr>
                <w:rStyle w:val="KIRMIZIChar"/>
                <w:rFonts w:eastAsia="Calibri"/>
              </w:rPr>
              <w:t>ya mecburdur</w:t>
            </w:r>
            <w:r w:rsidRPr="00A23740">
              <w:rPr>
                <w:szCs w:val="24"/>
              </w:rPr>
              <w:t xml:space="preserve">. Bu durumda </w:t>
            </w:r>
            <w:r w:rsidRPr="00A23740">
              <w:rPr>
                <w:rStyle w:val="KIRMIZIChar"/>
                <w:rFonts w:eastAsia="Calibri"/>
              </w:rPr>
              <w:t>12/1/2011 tarihli ve</w:t>
            </w:r>
            <w:r w:rsidRPr="00A23740">
              <w:rPr>
                <w:szCs w:val="24"/>
              </w:rPr>
              <w:t xml:space="preserve"> 6100 sayılı Hukuk Muhakemeleri Kanununun 114 üncü ve 115 inci maddeleri kıyasen uygulanır.</w:t>
            </w:r>
          </w:p>
        </w:tc>
        <w:tc>
          <w:tcPr>
            <w:tcW w:w="2500" w:type="pct"/>
            <w:shd w:val="clear" w:color="auto" w:fill="auto"/>
          </w:tcPr>
          <w:p w:rsidR="00AA5C8C" w:rsidRPr="00A23740" w:rsidRDefault="00AA5C8C" w:rsidP="009431FF">
            <w:pPr>
              <w:pStyle w:val="Mavi"/>
              <w:widowControl w:val="0"/>
              <w:jc w:val="center"/>
              <w:rPr>
                <w:lang w:val="tr-TR"/>
              </w:rPr>
            </w:pPr>
            <w:r w:rsidRPr="00A23740">
              <w:rPr>
                <w:lang w:val="tr-TR"/>
              </w:rPr>
              <w:t>İKİNCİ KISIM</w:t>
            </w:r>
          </w:p>
          <w:p w:rsidR="00AA5C8C" w:rsidRPr="00A23740" w:rsidRDefault="00AA5C8C" w:rsidP="009431FF">
            <w:pPr>
              <w:pStyle w:val="Mavi"/>
              <w:widowControl w:val="0"/>
              <w:jc w:val="center"/>
              <w:rPr>
                <w:lang w:val="tr-TR"/>
              </w:rPr>
            </w:pPr>
            <w:r w:rsidRPr="00A23740">
              <w:rPr>
                <w:lang w:val="tr-TR"/>
              </w:rPr>
              <w:t>Konkordato</w:t>
            </w:r>
          </w:p>
          <w:p w:rsidR="00AA5C8C" w:rsidRPr="00A23740" w:rsidRDefault="00AA5C8C" w:rsidP="009431FF">
            <w:pPr>
              <w:pStyle w:val="Mavi"/>
              <w:widowControl w:val="0"/>
              <w:jc w:val="center"/>
              <w:rPr>
                <w:lang w:val="tr-TR"/>
              </w:rPr>
            </w:pPr>
          </w:p>
          <w:p w:rsidR="00AA5C8C" w:rsidRPr="00A23740" w:rsidRDefault="00AA5C8C" w:rsidP="009431FF">
            <w:pPr>
              <w:pStyle w:val="Mavi"/>
              <w:widowControl w:val="0"/>
              <w:jc w:val="center"/>
              <w:rPr>
                <w:lang w:val="tr-TR"/>
              </w:rPr>
            </w:pPr>
            <w:r w:rsidRPr="00A23740">
              <w:rPr>
                <w:lang w:val="tr-TR"/>
              </w:rPr>
              <w:t>BİRİNCİ BÖLÜM</w:t>
            </w:r>
          </w:p>
          <w:p w:rsidR="00AA5C8C" w:rsidRPr="00A23740" w:rsidRDefault="00AA5C8C" w:rsidP="009431FF">
            <w:pPr>
              <w:pStyle w:val="Mavi"/>
              <w:widowControl w:val="0"/>
              <w:jc w:val="center"/>
              <w:rPr>
                <w:lang w:val="tr-TR"/>
              </w:rPr>
            </w:pPr>
            <w:r w:rsidRPr="00A23740">
              <w:rPr>
                <w:lang w:val="tr-TR"/>
              </w:rPr>
              <w:t>Adi Konkordato</w:t>
            </w:r>
          </w:p>
          <w:p w:rsidR="00AA5C8C" w:rsidRPr="00A23740" w:rsidRDefault="00AA5C8C" w:rsidP="009431FF">
            <w:pPr>
              <w:pStyle w:val="Mavi"/>
              <w:widowControl w:val="0"/>
              <w:jc w:val="center"/>
              <w:rPr>
                <w:lang w:val="tr-TR"/>
              </w:rPr>
            </w:pPr>
          </w:p>
          <w:p w:rsidR="00AA5C8C" w:rsidRPr="00A23740" w:rsidRDefault="00AA5C8C" w:rsidP="009431FF">
            <w:pPr>
              <w:pStyle w:val="Mavi"/>
              <w:widowControl w:val="0"/>
              <w:jc w:val="center"/>
              <w:rPr>
                <w:lang w:val="tr-TR"/>
              </w:rPr>
            </w:pPr>
            <w:r w:rsidRPr="00A23740">
              <w:rPr>
                <w:lang w:val="tr-TR"/>
              </w:rPr>
              <w:t>BİRİNCİ AYRIM</w:t>
            </w:r>
          </w:p>
          <w:p w:rsidR="00AA5C8C" w:rsidRPr="00A23740" w:rsidRDefault="00AA5C8C" w:rsidP="009431FF">
            <w:pPr>
              <w:pStyle w:val="Mavi"/>
              <w:widowControl w:val="0"/>
              <w:jc w:val="center"/>
              <w:rPr>
                <w:lang w:val="tr-TR"/>
              </w:rPr>
            </w:pPr>
            <w:r w:rsidRPr="00A23740">
              <w:rPr>
                <w:lang w:val="tr-TR"/>
              </w:rPr>
              <w:t>Konkordato Talebi ve Geçici Mühlet</w:t>
            </w:r>
          </w:p>
          <w:p w:rsidR="00AA5C8C" w:rsidRPr="00A23740" w:rsidRDefault="00AA5C8C" w:rsidP="009431FF">
            <w:pPr>
              <w:pStyle w:val="Mavi"/>
              <w:widowControl w:val="0"/>
              <w:rPr>
                <w:lang w:val="tr-TR"/>
              </w:rPr>
            </w:pPr>
          </w:p>
          <w:p w:rsidR="00174029" w:rsidRPr="00A23740" w:rsidRDefault="00AA5C8C" w:rsidP="009431FF">
            <w:pPr>
              <w:widowControl w:val="0"/>
              <w:rPr>
                <w:b/>
                <w:szCs w:val="24"/>
              </w:rPr>
            </w:pPr>
            <w:r w:rsidRPr="00A23740">
              <w:rPr>
                <w:b/>
                <w:szCs w:val="24"/>
              </w:rPr>
              <w:t>Konkordato talebi</w:t>
            </w:r>
          </w:p>
          <w:p w:rsidR="00AA5C8C" w:rsidRPr="00A23740" w:rsidRDefault="003A1467" w:rsidP="009431FF">
            <w:pPr>
              <w:widowControl w:val="0"/>
              <w:rPr>
                <w:szCs w:val="24"/>
              </w:rPr>
            </w:pPr>
            <w:r w:rsidRPr="00A23740">
              <w:rPr>
                <w:rStyle w:val="Stil2Char"/>
                <w:rFonts w:eastAsia="Calibri"/>
                <w:bCs/>
                <w:u w:val="none"/>
              </w:rPr>
              <w:t>MADDE 374</w:t>
            </w:r>
            <w:r w:rsidR="00AA5C8C" w:rsidRPr="00A23740">
              <w:rPr>
                <w:rStyle w:val="Stil2Char"/>
                <w:rFonts w:eastAsia="Calibri"/>
                <w:bCs/>
                <w:u w:val="none"/>
              </w:rPr>
              <w:t>-</w:t>
            </w:r>
            <w:r w:rsidR="00AA5C8C" w:rsidRPr="00A23740">
              <w:rPr>
                <w:rStyle w:val="MaviChar"/>
                <w:lang w:val="tr-TR"/>
              </w:rPr>
              <w:t xml:space="preserve"> (1)</w:t>
            </w:r>
            <w:r w:rsidR="00AA5C8C" w:rsidRPr="00A23740">
              <w:rPr>
                <w:szCs w:val="24"/>
              </w:rPr>
              <w:t xml:space="preserve"> Borçlarını vadesi geldiği hâlde ödeyemeyen veya vadesinde ödeyememe tehlikesi altında bulunan herhangi bir borçlu, vade verilmek veya tenzilat yapılmak suretiyle borçlarını ödeyebilmek </w:t>
            </w:r>
            <w:r w:rsidR="00DD75D1" w:rsidRPr="00A57CFE">
              <w:rPr>
                <w:rStyle w:val="MaviChar"/>
              </w:rPr>
              <w:t>ya da</w:t>
            </w:r>
            <w:r w:rsidR="00DD75D1" w:rsidRPr="00A23740">
              <w:rPr>
                <w:szCs w:val="24"/>
              </w:rPr>
              <w:t xml:space="preserve"> </w:t>
            </w:r>
            <w:r w:rsidR="007775C3" w:rsidRPr="00A23740">
              <w:rPr>
                <w:szCs w:val="24"/>
              </w:rPr>
              <w:t>muhtemel bir ifla</w:t>
            </w:r>
            <w:r w:rsidR="00AA5C8C" w:rsidRPr="00A23740">
              <w:rPr>
                <w:szCs w:val="24"/>
              </w:rPr>
              <w:t>stan kurtulmak için konkordato talep edebilir.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lang w:val="tr-TR"/>
              </w:rPr>
              <w:t>(2)</w:t>
            </w:r>
            <w:r w:rsidR="007775C3" w:rsidRPr="00A23740">
              <w:rPr>
                <w:szCs w:val="24"/>
              </w:rPr>
              <w:t xml:space="preserve"> İfla</w:t>
            </w:r>
            <w:r w:rsidRPr="00A23740">
              <w:rPr>
                <w:szCs w:val="24"/>
              </w:rPr>
              <w:t>s talebinde bulunabilecek her alacaklı, borçlu hakkında konkordato işlemlerinin başlatılmasını isteyebilir.</w:t>
            </w:r>
          </w:p>
          <w:p w:rsidR="00AA5C8C" w:rsidRPr="00A23740" w:rsidRDefault="00AA5C8C" w:rsidP="009431FF">
            <w:pPr>
              <w:widowControl w:val="0"/>
              <w:rPr>
                <w:b/>
                <w:color w:val="FF0000"/>
                <w:szCs w:val="24"/>
              </w:rPr>
            </w:pPr>
          </w:p>
          <w:p w:rsidR="00D1187D" w:rsidRPr="00A23740" w:rsidRDefault="00D1187D" w:rsidP="009431FF">
            <w:pPr>
              <w:widowControl w:val="0"/>
              <w:rPr>
                <w:rStyle w:val="MaviChar"/>
                <w:lang w:val="tr-TR"/>
              </w:rPr>
            </w:pPr>
            <w:r w:rsidRPr="00A23740">
              <w:rPr>
                <w:rStyle w:val="MaviChar"/>
                <w:lang w:val="tr-TR"/>
              </w:rPr>
              <w:t>(3) Konkordato talebi mahkemece reddedildikten sonra, borcun ödenmesini sağlayacak olan kaynaklarda ön</w:t>
            </w:r>
            <w:r w:rsidR="00293AEC" w:rsidRPr="00A23740">
              <w:rPr>
                <w:rStyle w:val="MaviChar"/>
                <w:lang w:val="tr-TR"/>
              </w:rPr>
              <w:t>emli bir değişiklik gerçekleşmedikçe</w:t>
            </w:r>
            <w:r w:rsidRPr="00A23740">
              <w:rPr>
                <w:rStyle w:val="MaviChar"/>
                <w:lang w:val="tr-TR"/>
              </w:rPr>
              <w:t xml:space="preserve"> </w:t>
            </w:r>
            <w:r w:rsidR="00293AEC" w:rsidRPr="00A23740">
              <w:rPr>
                <w:rStyle w:val="MaviChar"/>
                <w:lang w:val="tr-TR"/>
              </w:rPr>
              <w:t>veya</w:t>
            </w:r>
            <w:r w:rsidRPr="00A23740">
              <w:rPr>
                <w:rStyle w:val="MaviChar"/>
                <w:lang w:val="tr-TR"/>
              </w:rPr>
              <w:t xml:space="preserve"> ileriye yönelik olarak</w:t>
            </w:r>
            <w:r w:rsidR="00293AEC" w:rsidRPr="00A23740">
              <w:rPr>
                <w:rStyle w:val="MaviChar"/>
                <w:lang w:val="tr-TR"/>
              </w:rPr>
              <w:t xml:space="preserve"> böyle bir</w:t>
            </w:r>
            <w:r w:rsidRPr="00A23740">
              <w:rPr>
                <w:rStyle w:val="MaviChar"/>
                <w:lang w:val="tr-TR"/>
              </w:rPr>
              <w:t xml:space="preserve"> </w:t>
            </w:r>
            <w:r w:rsidR="00293AEC" w:rsidRPr="00A23740">
              <w:rPr>
                <w:rStyle w:val="MaviChar"/>
                <w:lang w:val="tr-TR"/>
              </w:rPr>
              <w:t xml:space="preserve"> değişikliğin</w:t>
            </w:r>
            <w:r w:rsidRPr="00A23740">
              <w:rPr>
                <w:rStyle w:val="MaviChar"/>
                <w:lang w:val="tr-TR"/>
              </w:rPr>
              <w:t xml:space="preserve"> </w:t>
            </w:r>
            <w:r w:rsidR="00293AEC" w:rsidRPr="00A23740">
              <w:rPr>
                <w:rStyle w:val="MaviChar"/>
                <w:lang w:val="tr-TR"/>
              </w:rPr>
              <w:t>gerçekleşeceği somut olarak ortaya konmadıkça</w:t>
            </w:r>
            <w:r w:rsidR="007E2BA8" w:rsidRPr="00A23740">
              <w:rPr>
                <w:rStyle w:val="MaviChar"/>
                <w:lang w:val="tr-TR"/>
              </w:rPr>
              <w:t>,</w:t>
            </w:r>
            <w:r w:rsidRPr="00A23740">
              <w:rPr>
                <w:rStyle w:val="MaviChar"/>
                <w:lang w:val="tr-TR"/>
              </w:rPr>
              <w:t xml:space="preserve"> tekrar adi konkordato teklifinde bulunulamaz.</w:t>
            </w:r>
          </w:p>
          <w:p w:rsidR="005D3374" w:rsidRPr="00A23740" w:rsidRDefault="005D3374" w:rsidP="009431FF">
            <w:pPr>
              <w:widowControl w:val="0"/>
              <w:rPr>
                <w:b/>
                <w:color w:val="FF0000"/>
                <w:szCs w:val="24"/>
              </w:rPr>
            </w:pPr>
          </w:p>
          <w:p w:rsidR="002D32AD" w:rsidRPr="00A23740" w:rsidRDefault="00AA5C8C" w:rsidP="009431FF">
            <w:pPr>
              <w:widowControl w:val="0"/>
              <w:rPr>
                <w:rFonts w:eastAsia="Times New Roman"/>
                <w:b/>
                <w:color w:val="0000FF"/>
                <w:szCs w:val="24"/>
                <w:lang w:eastAsia="tr-TR"/>
              </w:rPr>
            </w:pPr>
            <w:r w:rsidRPr="00A23740">
              <w:rPr>
                <w:rStyle w:val="MaviChar"/>
                <w:lang w:val="tr-TR"/>
              </w:rPr>
              <w:t>(</w:t>
            </w:r>
            <w:r w:rsidR="005D3374" w:rsidRPr="00A23740">
              <w:rPr>
                <w:rStyle w:val="MaviChar"/>
                <w:lang w:val="tr-TR"/>
              </w:rPr>
              <w:t>4</w:t>
            </w:r>
            <w:r w:rsidRPr="00A23740">
              <w:rPr>
                <w:rStyle w:val="MaviChar"/>
                <w:lang w:val="tr-TR"/>
              </w:rPr>
              <w:t>)</w:t>
            </w:r>
            <w:r w:rsidRPr="00A23740">
              <w:rPr>
                <w:rFonts w:eastAsia="Times New Roman"/>
                <w:szCs w:val="24"/>
                <w:lang w:eastAsia="tr-TR"/>
              </w:rPr>
              <w:t xml:space="preserve"> Yetkili ve görevli mahkeme</w:t>
            </w:r>
            <w:r w:rsidRPr="00A23740">
              <w:rPr>
                <w:rStyle w:val="MaviChar"/>
              </w:rPr>
              <w:t>,</w:t>
            </w:r>
            <w:r w:rsidRPr="00A23740">
              <w:rPr>
                <w:rFonts w:eastAsia="Times New Roman"/>
                <w:szCs w:val="24"/>
                <w:lang w:eastAsia="tr-TR"/>
              </w:rPr>
              <w:t xml:space="preserve"> iflasa tabi borçlu için</w:t>
            </w:r>
            <w:r w:rsidR="00F35ED5" w:rsidRPr="00A23740">
              <w:rPr>
                <w:rFonts w:eastAsia="Times New Roman"/>
                <w:szCs w:val="24"/>
                <w:lang w:eastAsia="tr-TR"/>
              </w:rPr>
              <w:t xml:space="preserve"> </w:t>
            </w:r>
            <w:r w:rsidR="00F35ED5" w:rsidRPr="00A57CFE">
              <w:rPr>
                <w:rStyle w:val="MaviChar"/>
              </w:rPr>
              <w:t>269 uncu</w:t>
            </w:r>
            <w:r w:rsidRPr="00A23740">
              <w:rPr>
                <w:rFonts w:eastAsia="Times New Roman"/>
                <w:szCs w:val="24"/>
                <w:lang w:eastAsia="tr-TR"/>
              </w:rPr>
              <w:t xml:space="preserve"> </w:t>
            </w:r>
            <w:r w:rsidRPr="00A23740">
              <w:rPr>
                <w:rStyle w:val="MaviChar"/>
                <w:lang w:val="tr-TR"/>
              </w:rPr>
              <w:t>maddenin üçüncü ve dördüncü fıkralarında yazılı yerdeki</w:t>
            </w:r>
            <w:r w:rsidRPr="00A23740">
              <w:rPr>
                <w:rStyle w:val="MaviChar"/>
              </w:rPr>
              <w:t>;</w:t>
            </w:r>
            <w:r w:rsidR="00F25704" w:rsidRPr="00A23740">
              <w:rPr>
                <w:rFonts w:eastAsia="Times New Roman"/>
                <w:szCs w:val="24"/>
                <w:lang w:eastAsia="tr-TR"/>
              </w:rPr>
              <w:t xml:space="preserve"> ifla</w:t>
            </w:r>
            <w:r w:rsidRPr="00A23740">
              <w:rPr>
                <w:rFonts w:eastAsia="Times New Roman"/>
                <w:szCs w:val="24"/>
                <w:lang w:eastAsia="tr-TR"/>
              </w:rPr>
              <w:t xml:space="preserve">sa tabi olmayan borçlu için ise yerleşim yerindeki </w:t>
            </w:r>
            <w:r w:rsidRPr="00A23740">
              <w:rPr>
                <w:rStyle w:val="MaviChar"/>
              </w:rPr>
              <w:t>iflas</w:t>
            </w:r>
            <w:r w:rsidRPr="00A23740">
              <w:rPr>
                <w:rFonts w:eastAsia="Times New Roman"/>
                <w:szCs w:val="24"/>
                <w:lang w:eastAsia="tr-TR"/>
              </w:rPr>
              <w:t xml:space="preserve"> mahkemesidir. </w:t>
            </w:r>
            <w:r w:rsidRPr="00A23740">
              <w:rPr>
                <w:rFonts w:eastAsia="Times New Roman"/>
                <w:b/>
                <w:color w:val="0000FF"/>
                <w:szCs w:val="24"/>
                <w:lang w:eastAsia="tr-TR"/>
              </w:rPr>
              <w:t>Şu kadar ki</w:t>
            </w:r>
            <w:r w:rsidRPr="00A23740">
              <w:rPr>
                <w:rStyle w:val="MaviChar"/>
              </w:rPr>
              <w:t>,</w:t>
            </w:r>
            <w:r w:rsidRPr="00A23740">
              <w:rPr>
                <w:rFonts w:eastAsia="Times New Roman"/>
                <w:b/>
                <w:color w:val="0000FF"/>
                <w:szCs w:val="24"/>
                <w:lang w:eastAsia="tr-TR"/>
              </w:rPr>
              <w:t xml:space="preserve"> başvuru tarihinden geriye doğru altı ay içinde yapılan</w:t>
            </w:r>
            <w:r w:rsidR="002D32AD" w:rsidRPr="00A23740">
              <w:rPr>
                <w:rFonts w:eastAsia="Times New Roman"/>
                <w:b/>
                <w:color w:val="0000FF"/>
                <w:szCs w:val="24"/>
                <w:lang w:eastAsia="tr-TR"/>
              </w:rPr>
              <w:t xml:space="preserve"> </w:t>
            </w:r>
            <w:r w:rsidR="002A49D6" w:rsidRPr="00A57CFE">
              <w:rPr>
                <w:rStyle w:val="MaviChar"/>
              </w:rPr>
              <w:t>yer değişiklikleri</w:t>
            </w:r>
            <w:r w:rsidR="002D32AD" w:rsidRPr="00A23740">
              <w:rPr>
                <w:rFonts w:eastAsia="Times New Roman"/>
                <w:b/>
                <w:color w:val="0000FF"/>
                <w:szCs w:val="24"/>
                <w:lang w:eastAsia="tr-TR"/>
              </w:rPr>
              <w:t xml:space="preserve"> dikkate alınmaz.</w:t>
            </w:r>
          </w:p>
          <w:p w:rsidR="002A49D6" w:rsidRPr="00A23740" w:rsidRDefault="002A49D6" w:rsidP="009431FF">
            <w:pPr>
              <w:widowControl w:val="0"/>
              <w:rPr>
                <w:rFonts w:eastAsia="Times New Roman"/>
                <w:b/>
                <w:color w:val="0000FF"/>
                <w:szCs w:val="24"/>
                <w:lang w:eastAsia="tr-TR"/>
              </w:rPr>
            </w:pPr>
          </w:p>
          <w:p w:rsidR="00AA5C8C" w:rsidRPr="009A013D" w:rsidRDefault="002D32AD" w:rsidP="009431FF">
            <w:pPr>
              <w:widowControl w:val="0"/>
              <w:rPr>
                <w:szCs w:val="24"/>
              </w:rPr>
            </w:pPr>
            <w:r w:rsidRPr="00A23740">
              <w:rPr>
                <w:rStyle w:val="MaviChar"/>
                <w:lang w:val="tr-TR"/>
              </w:rPr>
              <w:t>(</w:t>
            </w:r>
            <w:r w:rsidR="005D3374" w:rsidRPr="00A23740">
              <w:rPr>
                <w:rStyle w:val="MaviChar"/>
                <w:lang w:val="tr-TR"/>
              </w:rPr>
              <w:t>5</w:t>
            </w:r>
            <w:r w:rsidRPr="00A23740">
              <w:rPr>
                <w:rStyle w:val="MaviChar"/>
                <w:lang w:val="tr-TR"/>
              </w:rPr>
              <w:t>)</w:t>
            </w:r>
            <w:r w:rsidRPr="00A23740">
              <w:rPr>
                <w:szCs w:val="24"/>
              </w:rPr>
              <w:t xml:space="preserve"> Konkordato talebinde bulunan</w:t>
            </w:r>
            <w:r w:rsidRPr="00A23740">
              <w:rPr>
                <w:rStyle w:val="MaviChar"/>
              </w:rPr>
              <w:t>lar</w:t>
            </w:r>
            <w:r w:rsidRPr="00A23740">
              <w:rPr>
                <w:szCs w:val="24"/>
              </w:rPr>
              <w:t xml:space="preserve">, </w:t>
            </w:r>
            <w:r w:rsidR="002A49D6" w:rsidRPr="00A23740">
              <w:rPr>
                <w:szCs w:val="24"/>
              </w:rPr>
              <w:t xml:space="preserve">Konkordato Gider Avansı </w:t>
            </w:r>
            <w:r w:rsidR="002A49D6" w:rsidRPr="00A23740">
              <w:rPr>
                <w:rStyle w:val="MaviChar"/>
              </w:rPr>
              <w:t xml:space="preserve">Tarifesinde </w:t>
            </w:r>
            <w:r w:rsidRPr="00A23740">
              <w:rPr>
                <w:rStyle w:val="MaviChar"/>
              </w:rPr>
              <w:t>belirlenecek olan tutarı, başvuruda bulunurken</w:t>
            </w:r>
            <w:r w:rsidRPr="00A23740">
              <w:rPr>
                <w:szCs w:val="24"/>
              </w:rPr>
              <w:t xml:space="preserve"> yatırma</w:t>
            </w:r>
            <w:r w:rsidRPr="00A23740">
              <w:rPr>
                <w:rStyle w:val="MaviChar"/>
              </w:rPr>
              <w:t>k zorundadır</w:t>
            </w:r>
            <w:r w:rsidRPr="00A23740">
              <w:rPr>
                <w:szCs w:val="24"/>
              </w:rPr>
              <w:t>. Bu durumda Hukuk Muhakemeleri Kanununun</w:t>
            </w:r>
            <w:r w:rsidR="002A49D6" w:rsidRPr="00A23740">
              <w:rPr>
                <w:szCs w:val="24"/>
              </w:rPr>
              <w:t xml:space="preserve"> </w:t>
            </w:r>
            <w:r w:rsidR="002A49D6" w:rsidRPr="00A57CFE">
              <w:rPr>
                <w:rStyle w:val="MaviChar"/>
              </w:rPr>
              <w:t>dava şartlarına ilişkin</w:t>
            </w:r>
            <w:r w:rsidRPr="00A23740">
              <w:rPr>
                <w:szCs w:val="24"/>
              </w:rPr>
              <w:t xml:space="preserve"> 114</w:t>
            </w:r>
            <w:r w:rsidR="002A49D6" w:rsidRPr="00A23740">
              <w:rPr>
                <w:szCs w:val="24"/>
              </w:rPr>
              <w:t xml:space="preserve"> </w:t>
            </w:r>
            <w:r w:rsidRPr="00A23740">
              <w:rPr>
                <w:szCs w:val="24"/>
              </w:rPr>
              <w:t>üncü ve</w:t>
            </w:r>
            <w:r w:rsidR="002A49D6" w:rsidRPr="00A23740">
              <w:rPr>
                <w:szCs w:val="24"/>
              </w:rPr>
              <w:t xml:space="preserve"> </w:t>
            </w:r>
            <w:r w:rsidR="002A49D6" w:rsidRPr="00A57CFE">
              <w:rPr>
                <w:rStyle w:val="MaviChar"/>
              </w:rPr>
              <w:t>dava şartlarının incelenmesine ilişkin</w:t>
            </w:r>
            <w:r w:rsidRPr="00A57CFE">
              <w:rPr>
                <w:rStyle w:val="MaviChar"/>
              </w:rPr>
              <w:t xml:space="preserve"> </w:t>
            </w:r>
            <w:r w:rsidRPr="00A23740">
              <w:rPr>
                <w:szCs w:val="24"/>
              </w:rPr>
              <w:t>115 inci maddeleri kıyasen uygulanır.</w:t>
            </w:r>
          </w:p>
        </w:tc>
      </w:tr>
      <w:tr w:rsidR="00E91409" w:rsidRPr="00A23740" w:rsidTr="009431FF">
        <w:tc>
          <w:tcPr>
            <w:tcW w:w="5000" w:type="pct"/>
            <w:gridSpan w:val="2"/>
            <w:shd w:val="clear" w:color="auto" w:fill="DEEAF6"/>
          </w:tcPr>
          <w:p w:rsidR="00E676A1" w:rsidRPr="00A23740" w:rsidRDefault="00E676A1" w:rsidP="009431FF">
            <w:pPr>
              <w:tabs>
                <w:tab w:val="left" w:pos="567"/>
              </w:tabs>
              <w:ind w:firstLine="709"/>
              <w:rPr>
                <w:b/>
                <w:bCs/>
                <w:szCs w:val="24"/>
                <w:lang w:eastAsia="x-none"/>
              </w:rPr>
            </w:pPr>
          </w:p>
          <w:p w:rsidR="00FD3716" w:rsidRPr="00A23740" w:rsidRDefault="00FD3716" w:rsidP="009431FF">
            <w:pPr>
              <w:tabs>
                <w:tab w:val="left" w:pos="567"/>
              </w:tabs>
              <w:ind w:firstLine="709"/>
              <w:rPr>
                <w:szCs w:val="24"/>
              </w:rPr>
            </w:pPr>
            <w:r w:rsidRPr="00A23740">
              <w:rPr>
                <w:b/>
                <w:szCs w:val="24"/>
              </w:rPr>
              <w:t>MADDE 374-</w:t>
            </w:r>
            <w:r w:rsidRPr="00A23740">
              <w:rPr>
                <w:szCs w:val="24"/>
              </w:rPr>
              <w:t xml:space="preserve">  Maddeyle, konkordatoya başvurmak isteyen gerçek veya tüzel kişinin buna ilişkin talebinin unsarları düzenlenmektedir.</w:t>
            </w:r>
          </w:p>
          <w:p w:rsidR="00FD3716" w:rsidRPr="00A23740" w:rsidRDefault="00FD3716" w:rsidP="009431FF">
            <w:pPr>
              <w:tabs>
                <w:tab w:val="left" w:pos="567"/>
              </w:tabs>
              <w:ind w:firstLine="709"/>
              <w:rPr>
                <w:szCs w:val="24"/>
              </w:rPr>
            </w:pPr>
            <w:r w:rsidRPr="00A23740">
              <w:rPr>
                <w:szCs w:val="24"/>
              </w:rPr>
              <w:t>Bu çerçevede 2004 sayılı Kanunun konkordatoya ilişkin  tanımı muhafaza edilmekte ve böylece konkordato, borçlarını vadesi geldiği hâlde ödeyemeyen veya vadesinde ödeyememe tehlikesi altında bulunan herhangi bir borçlunun, vade verilmek veya tenzilat yapılmak suretiyle borçlarını ödeyebilmek ya da muhtemel bir ifl</w:t>
            </w:r>
            <w:r w:rsidR="00656C77" w:rsidRPr="00A23740">
              <w:rPr>
                <w:szCs w:val="24"/>
              </w:rPr>
              <w:t>a</w:t>
            </w:r>
            <w:r w:rsidRPr="00A23740">
              <w:rPr>
                <w:szCs w:val="24"/>
              </w:rPr>
              <w:t>stan kurtulmak için başvurabileceği bir kurum olarak ele alınmak</w:t>
            </w:r>
            <w:r w:rsidR="00FB5B54">
              <w:rPr>
                <w:szCs w:val="24"/>
              </w:rPr>
              <w:t>tadır.</w:t>
            </w:r>
          </w:p>
          <w:p w:rsidR="00FD3716" w:rsidRPr="00A23740" w:rsidRDefault="00FD3716" w:rsidP="009431FF">
            <w:pPr>
              <w:tabs>
                <w:tab w:val="left" w:pos="567"/>
              </w:tabs>
              <w:ind w:firstLine="709"/>
              <w:rPr>
                <w:szCs w:val="24"/>
              </w:rPr>
            </w:pPr>
            <w:r w:rsidRPr="00A23740">
              <w:rPr>
                <w:szCs w:val="24"/>
              </w:rPr>
              <w:t>Keza, iflas talebinde</w:t>
            </w:r>
            <w:r w:rsidR="009F33EC" w:rsidRPr="00A23740">
              <w:rPr>
                <w:szCs w:val="24"/>
              </w:rPr>
              <w:t>a bulunabilecek her alacaklı da</w:t>
            </w:r>
            <w:r w:rsidRPr="00A23740">
              <w:rPr>
                <w:szCs w:val="24"/>
              </w:rPr>
              <w:t xml:space="preserve"> borçlu hakkında konkordato işlemlerinin başlamasını isteyebilecektir. </w:t>
            </w:r>
            <w:r w:rsidR="00F35ED5" w:rsidRPr="00A57CFE">
              <w:t>Maddenin</w:t>
            </w:r>
            <w:r w:rsidRPr="00A23740">
              <w:rPr>
                <w:szCs w:val="24"/>
              </w:rPr>
              <w:t xml:space="preserve"> ikinci fıkrasında sözü edilen “iflas talebinde bulunabilecek her alacaklı” ibaresi, alacaklı olduğunu iddia eden herhangi bir kişi şeklinde anlaşılmamalıdır; bu ibareyle iflas takibi kesinleşmiş veya doğrudan doğruya iflas h</w:t>
            </w:r>
            <w:r w:rsidR="009D574E" w:rsidRPr="00A23740">
              <w:rPr>
                <w:szCs w:val="24"/>
              </w:rPr>
              <w:t>â</w:t>
            </w:r>
            <w:r w:rsidRPr="00A23740">
              <w:rPr>
                <w:szCs w:val="24"/>
              </w:rPr>
              <w:t xml:space="preserve">llerinden birinden faydalanarak somut olayda iflas talep edebilecek alacaklılar kastedilmektedir. </w:t>
            </w:r>
          </w:p>
          <w:p w:rsidR="00FD3716" w:rsidRPr="00A23740" w:rsidRDefault="00FD3716" w:rsidP="009431FF">
            <w:pPr>
              <w:tabs>
                <w:tab w:val="left" w:pos="567"/>
              </w:tabs>
              <w:ind w:firstLine="709"/>
              <w:rPr>
                <w:szCs w:val="24"/>
              </w:rPr>
            </w:pPr>
            <w:r w:rsidRPr="00A23740">
              <w:rPr>
                <w:szCs w:val="24"/>
              </w:rPr>
              <w:t>İkinci fıkra metninden “gerekçeli bir dilekçeyle” ibaresi ka</w:t>
            </w:r>
            <w:r w:rsidR="001752F6" w:rsidRPr="00A23740">
              <w:rPr>
                <w:szCs w:val="24"/>
              </w:rPr>
              <w:t xml:space="preserve">ldırılmıştır. Bunun nedeni </w:t>
            </w:r>
            <w:r w:rsidR="008F6E33" w:rsidRPr="00A23740">
              <w:rPr>
                <w:szCs w:val="24"/>
              </w:rPr>
              <w:t xml:space="preserve">kaynak </w:t>
            </w:r>
            <w:r w:rsidR="001752F6" w:rsidRPr="00A23740">
              <w:rPr>
                <w:szCs w:val="24"/>
              </w:rPr>
              <w:t>İsvi</w:t>
            </w:r>
            <w:r w:rsidRPr="00A23740">
              <w:rPr>
                <w:szCs w:val="24"/>
              </w:rPr>
              <w:t>çre’nin Borç İçin Takip ve İflas Hakkındaki Federal Kanununda böyle bir böyle bir ibarenin bulunmamasıdır. İsviçre öğretisinde de konkordato talep edebilecek alacaklının sadece kendisine iflas isteme yetkisinin gelmiş olduğunu ispat etmekle yetineceği; ayrıca niçin konkordato talep ettiği konusunda bir açıklama yapmak zorunda olmadığı kabul edilmektedir. Bilim Komisyonu çalışmaları sırasında maddenin ikinci fıkrasının kald</w:t>
            </w:r>
            <w:r w:rsidR="00335C53" w:rsidRPr="00A23740">
              <w:rPr>
                <w:szCs w:val="24"/>
              </w:rPr>
              <w:t>ırılması da gündeme gelmişse de</w:t>
            </w:r>
            <w:r w:rsidRPr="00A23740">
              <w:rPr>
                <w:szCs w:val="24"/>
              </w:rPr>
              <w:t xml:space="preserve"> az da olsa rastlanabilen bu imk</w:t>
            </w:r>
            <w:r w:rsidR="00F25704" w:rsidRPr="00A23740">
              <w:rPr>
                <w:szCs w:val="24"/>
              </w:rPr>
              <w:t>â</w:t>
            </w:r>
            <w:r w:rsidRPr="00A23740">
              <w:rPr>
                <w:szCs w:val="24"/>
              </w:rPr>
              <w:t>nın muhafaza edilmesinin gerekli olduğu sonucuna varılmış ve ayrıca bu fıkra hükmünün İsviçre hukukundaki gibi anlaşılması gerektiği hususunda mutabık kalınmıştır.</w:t>
            </w:r>
          </w:p>
          <w:p w:rsidR="00FD3716" w:rsidRPr="00A23740" w:rsidRDefault="00FD3716" w:rsidP="009431FF">
            <w:pPr>
              <w:tabs>
                <w:tab w:val="left" w:pos="567"/>
              </w:tabs>
              <w:ind w:firstLine="709"/>
              <w:rPr>
                <w:szCs w:val="24"/>
              </w:rPr>
            </w:pPr>
            <w:r w:rsidRPr="00A23740">
              <w:rPr>
                <w:szCs w:val="24"/>
              </w:rPr>
              <w:t>İkinci fıkradaki imk</w:t>
            </w:r>
            <w:r w:rsidR="00BE53A8" w:rsidRPr="00A23740">
              <w:rPr>
                <w:szCs w:val="24"/>
              </w:rPr>
              <w:t>â</w:t>
            </w:r>
            <w:r w:rsidRPr="00A23740">
              <w:rPr>
                <w:szCs w:val="24"/>
              </w:rPr>
              <w:t>nla ilgili olarak şu hususa da işaret edilmesi gerekmektedir. Uygulamada borçlunun konkordato talebinde başarılı olamaması h</w:t>
            </w:r>
            <w:r w:rsidR="009D574E" w:rsidRPr="00A23740">
              <w:rPr>
                <w:szCs w:val="24"/>
              </w:rPr>
              <w:t>â</w:t>
            </w:r>
            <w:r w:rsidRPr="00A23740">
              <w:rPr>
                <w:szCs w:val="24"/>
              </w:rPr>
              <w:t>linde, bu kere alacaklının borçlu lehine konkordato yöntemine başvurduğu ve böylece borçluyu konkordato sürecinin  sağladığı avantajlardan faydalandırma cihet</w:t>
            </w:r>
            <w:r w:rsidR="003B4DF3">
              <w:rPr>
                <w:szCs w:val="24"/>
              </w:rPr>
              <w:t>ine gittiği görülmektedir. Alaca</w:t>
            </w:r>
            <w:r w:rsidRPr="00A23740">
              <w:rPr>
                <w:szCs w:val="24"/>
              </w:rPr>
              <w:t xml:space="preserve">klının bu tür kötüniyetli başvurularının hakkın suistimali hükümleri uyarınca mahkemece dikkate alınmayacağı açıktır. </w:t>
            </w:r>
          </w:p>
          <w:p w:rsidR="00FD3716" w:rsidRPr="00A23740" w:rsidRDefault="00FD3716" w:rsidP="009431FF">
            <w:pPr>
              <w:tabs>
                <w:tab w:val="left" w:pos="567"/>
              </w:tabs>
              <w:ind w:firstLine="709"/>
              <w:rPr>
                <w:b/>
                <w:szCs w:val="24"/>
              </w:rPr>
            </w:pPr>
            <w:r w:rsidRPr="00A23740">
              <w:rPr>
                <w:szCs w:val="24"/>
              </w:rPr>
              <w:t>Yeni eklenen üçüncü fıkra uygulamada görülen suistimalleri önlemek için sevk edilmiştir. Nitekim, uygulamada, konkordato talebi reddedilen borçlunun, red kararından sonra, şartlarda hiçbir değişiklik vuku bulmadığı h</w:t>
            </w:r>
            <w:r w:rsidR="009D574E" w:rsidRPr="00A23740">
              <w:rPr>
                <w:szCs w:val="24"/>
              </w:rPr>
              <w:t>â</w:t>
            </w:r>
            <w:r w:rsidRPr="00A23740">
              <w:rPr>
                <w:szCs w:val="24"/>
              </w:rPr>
              <w:t xml:space="preserve">lde, ödeme teklifinde değişiklik yaparak ve çok kere merkez değiştirerek tekrar adi konkordato teklifinde bulunduğu veya anlaştığı bir alacaklısını aracı kılarak konkordato işlemlerinin başlatılmasını sağladığı anlaşılmaktadır. Adi konkordato talebi reddedilen ve aktifi pasifinden fazla olan bir borçlunun  hiç kuşkusuz tekrar adi konkordato teklifinde bulunması yasaklanamaz. Ancak böyle bir teklifin başarılı olabilmesi için mutlaka </w:t>
            </w:r>
            <w:r w:rsidRPr="00A57CFE">
              <w:t>borcun ödenmesini sağlayacak olan kaynaklarda önemli bir değişikliğin gerçekleşmesi veya ileriye yönelik olarak böyle bir  değişikliğin gerçekleşeceğinin somut olarak ortaya konulması gerekmektedir. Böylece borçlunun adeta kapı kapı dolaşarak konkordatonun koruyucu hükümlerinden yararlanması engellenmek istenmiştir.</w:t>
            </w:r>
          </w:p>
          <w:p w:rsidR="00FD3716" w:rsidRPr="00A23740" w:rsidRDefault="00FD3716" w:rsidP="009431FF">
            <w:pPr>
              <w:tabs>
                <w:tab w:val="left" w:pos="567"/>
              </w:tabs>
              <w:ind w:firstLine="709"/>
              <w:rPr>
                <w:szCs w:val="24"/>
              </w:rPr>
            </w:pPr>
            <w:r w:rsidRPr="00A23740">
              <w:rPr>
                <w:szCs w:val="24"/>
              </w:rPr>
              <w:t xml:space="preserve">Maddenin dördüncü fıkrası yetkili ve görevli mahkemeyi düzenlemektedir. Buna göre, yetkili ve görevli mahkeme, iflasa tabi borçlu için </w:t>
            </w:r>
            <w:r w:rsidR="00F35ED5" w:rsidRPr="00A57CFE">
              <w:t>269 uncu</w:t>
            </w:r>
            <w:r w:rsidR="00F35ED5" w:rsidRPr="00A23740">
              <w:rPr>
                <w:rFonts w:eastAsia="Times New Roman"/>
                <w:szCs w:val="24"/>
                <w:lang w:eastAsia="tr-TR"/>
              </w:rPr>
              <w:t xml:space="preserve"> </w:t>
            </w:r>
            <w:r w:rsidRPr="00A23740">
              <w:rPr>
                <w:szCs w:val="24"/>
              </w:rPr>
              <w:t>maddenin üçüncü ve dördüncü fıkralarında yazılı yerdeki iflas mahkemesi; ifl</w:t>
            </w:r>
            <w:r w:rsidR="00656C77" w:rsidRPr="00A23740">
              <w:rPr>
                <w:szCs w:val="24"/>
              </w:rPr>
              <w:t>a</w:t>
            </w:r>
            <w:r w:rsidRPr="00A23740">
              <w:rPr>
                <w:szCs w:val="24"/>
              </w:rPr>
              <w:t>sa tabi olmayan borçlu için ise yerleşim yerindeki iflas mahkemesidir. Bu bağlamda, uygulamada son zamanlarda sık sı</w:t>
            </w:r>
            <w:r w:rsidR="00F25704" w:rsidRPr="00A23740">
              <w:rPr>
                <w:szCs w:val="24"/>
              </w:rPr>
              <w:t>k</w:t>
            </w:r>
            <w:r w:rsidRPr="00A23740">
              <w:rPr>
                <w:szCs w:val="24"/>
              </w:rPr>
              <w:t xml:space="preserve"> rastlanan ve dürüstlük kuralıyla  bağdaşmayan bazı konkor</w:t>
            </w:r>
            <w:r w:rsidR="00F25704" w:rsidRPr="00A23740">
              <w:rPr>
                <w:szCs w:val="24"/>
              </w:rPr>
              <w:t>dato talepleri, 2004 sayılı Kan</w:t>
            </w:r>
            <w:r w:rsidRPr="00A23740">
              <w:rPr>
                <w:szCs w:val="24"/>
              </w:rPr>
              <w:t>unda bulunmayan bir hükmün mülga iflas erteleme kurumundan esinlenerek Taslakta sevkedilmesine neden olmuş ve  başvuru tarihinden geriye doğru altı ay içinde yapılan yer değişikliği h</w:t>
            </w:r>
            <w:r w:rsidR="00F25704" w:rsidRPr="00A23740">
              <w:rPr>
                <w:szCs w:val="24"/>
              </w:rPr>
              <w:t>â</w:t>
            </w:r>
            <w:r w:rsidRPr="00A23740">
              <w:rPr>
                <w:szCs w:val="24"/>
              </w:rPr>
              <w:t xml:space="preserve">linde  konkordato talebinin dikkate alınmayarak reddedileceği kabul edilmiştir. Böylece, kötüniyetli zorlamalar engellenmek ve konkordato talebi bir mahkeme tarafından reddedilen borçlunun hemen yer değişikliği yaparak, şartlarda bir değişiklik bulunmamasına rağmen, bu kere başka bir yer mahkemesi nezdinde konkordato talebinde bulunmasının önüne geçilmek istenmiştir. </w:t>
            </w:r>
          </w:p>
          <w:p w:rsidR="00FD3716" w:rsidRPr="00A23740" w:rsidRDefault="00FD3716" w:rsidP="009431FF">
            <w:pPr>
              <w:tabs>
                <w:tab w:val="left" w:pos="567"/>
              </w:tabs>
              <w:ind w:firstLine="709"/>
              <w:rPr>
                <w:szCs w:val="24"/>
              </w:rPr>
            </w:pPr>
            <w:r w:rsidRPr="00A23740">
              <w:rPr>
                <w:szCs w:val="24"/>
              </w:rPr>
              <w:t xml:space="preserve">Beşinci fıkra konkordato gider avansının konkordato başvurusunda bulunurken yatırılmasına ilişkindir. </w:t>
            </w:r>
          </w:p>
          <w:p w:rsidR="00E91409" w:rsidRPr="00A23740" w:rsidRDefault="00E91409"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A5C8C" w:rsidRPr="00A23740" w:rsidRDefault="00AA5C8C" w:rsidP="009431FF">
            <w:pPr>
              <w:rPr>
                <w:i/>
                <w:szCs w:val="24"/>
                <w:vertAlign w:val="superscript"/>
              </w:rPr>
            </w:pPr>
            <w:r w:rsidRPr="00A23740">
              <w:rPr>
                <w:i/>
                <w:szCs w:val="24"/>
              </w:rPr>
              <w:t>Konkordato talebine eklenecek belgeler:</w:t>
            </w:r>
          </w:p>
          <w:p w:rsidR="00AA5C8C" w:rsidRPr="00A23740" w:rsidRDefault="00AA5C8C" w:rsidP="009431FF">
            <w:pPr>
              <w:rPr>
                <w:b/>
                <w:szCs w:val="24"/>
              </w:rPr>
            </w:pPr>
            <w:r w:rsidRPr="00A23740">
              <w:rPr>
                <w:rStyle w:val="KIRMIZIChar"/>
                <w:rFonts w:eastAsia="Calibri"/>
              </w:rPr>
              <w:t>Madde 286- (1) (Değişik: 28/2/2018-7101/14 md.)</w:t>
            </w:r>
            <w:r w:rsidRPr="00A23740">
              <w:rPr>
                <w:b/>
                <w:szCs w:val="24"/>
              </w:rPr>
              <w:t xml:space="preserve"> </w:t>
            </w:r>
          </w:p>
          <w:p w:rsidR="00AA5C8C" w:rsidRPr="00A23740" w:rsidRDefault="00AA5C8C" w:rsidP="009431FF">
            <w:pPr>
              <w:rPr>
                <w:szCs w:val="24"/>
              </w:rPr>
            </w:pPr>
            <w:r w:rsidRPr="00A23740">
              <w:rPr>
                <w:szCs w:val="24"/>
              </w:rPr>
              <w:t>Borçlu, konkordato talebine aşağıdaki belgeleri ekler.</w:t>
            </w:r>
          </w:p>
          <w:p w:rsidR="00AA5C8C" w:rsidRPr="00A23740" w:rsidRDefault="00AA5C8C" w:rsidP="009431FF">
            <w:pPr>
              <w:rPr>
                <w:szCs w:val="24"/>
              </w:rPr>
            </w:pPr>
            <w:r w:rsidRPr="00A23740">
              <w:rPr>
                <w:szCs w:val="24"/>
              </w:rPr>
              <w:t>a) Borçlunun borçlarını hangi oranda veya vadede ödeyeceğini, bu kapsamda alacaklıların alacaklarından hangi oranda vazgeçmiş olacaklarını, ödemelerin yapılması için borçlunun mevcut mallarını satıp satmayacağını, borçlunun faaliyetine devam edebilmesi ve alacaklılara ödemelerini yapabilmesi için gerekli malî kaynağın sermaye artırımı veya kredi temini yoluyla yahut başka bir yöntem kullanılarak sağlanacağını gösteren konkordato ön projesi.</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r w:rsidRPr="00A23740">
              <w:rPr>
                <w:szCs w:val="24"/>
              </w:rPr>
              <w:t xml:space="preserve">b) </w:t>
            </w:r>
            <w:r w:rsidRPr="00A23740">
              <w:rPr>
                <w:rStyle w:val="AralkYokChar"/>
                <w:lang w:val="tr-TR"/>
              </w:rPr>
              <w:t>Borçlunun</w:t>
            </w:r>
            <w:r w:rsidRPr="00A23740">
              <w:rPr>
                <w:szCs w:val="24"/>
              </w:rPr>
              <w:t xml:space="preserve"> malvarlığının durumunu gösterir belgeler; borçlu defter tutma</w:t>
            </w:r>
            <w:r w:rsidRPr="00A23740">
              <w:rPr>
                <w:rStyle w:val="KIRMIZIChar"/>
                <w:rFonts w:eastAsia="Calibri"/>
              </w:rPr>
              <w:t>ya</w:t>
            </w:r>
            <w:r w:rsidRPr="00A23740">
              <w:rPr>
                <w:szCs w:val="24"/>
              </w:rPr>
              <w:t xml:space="preserve"> </w:t>
            </w:r>
            <w:r w:rsidRPr="00A23740">
              <w:rPr>
                <w:rStyle w:val="KIRMIZIChar"/>
                <w:rFonts w:eastAsia="Calibri"/>
              </w:rPr>
              <w:t>mecbur</w:t>
            </w:r>
            <w:r w:rsidRPr="00A23740">
              <w:rPr>
                <w:szCs w:val="24"/>
              </w:rPr>
              <w:t xml:space="preserve"> kişilerden ise Türk Ticaret Kanununa göre hazırlanan son bilanço, gelir tablosu, nakit akım tablosu, hem işletmenin devamlılığı esasına göre hem de aktiflerin muhtemel satış fiyatları üzerinden hazırlanan ara bilançolar, ticari defterlerin açılış ve kapanış tasdikleri ile  elektronik ortamda oluşturulan defterlere ilişkin e-defter berat bilgileri, borçlunun malî durumunu açıklayıcı diğer bilgi ve belgeler, maddi ve maddi olmayan duran varlıklara ait olup defter değerlerini içeren listeler</w:t>
            </w:r>
            <w:r w:rsidRPr="00A23740">
              <w:rPr>
                <w:rStyle w:val="AralkYokChar"/>
                <w:lang w:val="tr-TR"/>
              </w:rPr>
              <w:t>,</w:t>
            </w:r>
            <w:r w:rsidRPr="00A23740">
              <w:rPr>
                <w:szCs w:val="24"/>
              </w:rPr>
              <w:t xml:space="preserve"> tüm alacak ve borçları vadeleri ile birlikte gösteren liste ve belgeler.</w:t>
            </w:r>
          </w:p>
          <w:p w:rsidR="00AA5C8C" w:rsidRPr="00A23740" w:rsidRDefault="00AA5C8C" w:rsidP="009431FF">
            <w:pPr>
              <w:rPr>
                <w:szCs w:val="24"/>
              </w:rPr>
            </w:pPr>
          </w:p>
          <w:p w:rsidR="00AA5C8C" w:rsidRPr="00A23740" w:rsidRDefault="00AA5C8C" w:rsidP="009431FF">
            <w:pPr>
              <w:rPr>
                <w:szCs w:val="24"/>
              </w:rPr>
            </w:pPr>
            <w:r w:rsidRPr="00A23740">
              <w:rPr>
                <w:szCs w:val="24"/>
              </w:rPr>
              <w:t xml:space="preserve">c) Alacaklıları, alacak miktarlarını ve alacaklıların imtiyaz durumunu gösteren liste. </w:t>
            </w:r>
          </w:p>
          <w:p w:rsidR="00AA5C8C" w:rsidRPr="00A23740" w:rsidRDefault="00AA5C8C" w:rsidP="009431FF">
            <w:pPr>
              <w:rPr>
                <w:szCs w:val="24"/>
              </w:rPr>
            </w:pPr>
          </w:p>
          <w:p w:rsidR="00AA5C8C" w:rsidRPr="00A23740" w:rsidRDefault="00AA5C8C" w:rsidP="009431FF">
            <w:pPr>
              <w:rPr>
                <w:szCs w:val="24"/>
              </w:rPr>
            </w:pPr>
            <w:r w:rsidRPr="00A23740">
              <w:rPr>
                <w:rStyle w:val="MaviChar"/>
                <w:strike/>
                <w:color w:val="FF0000"/>
                <w:lang w:val="tr-TR"/>
              </w:rPr>
              <w:t>d)</w:t>
            </w:r>
            <w:r w:rsidRPr="00A23740">
              <w:rPr>
                <w:szCs w:val="24"/>
              </w:rPr>
              <w:t xml:space="preserve"> Konkordato ön projesinde yer alan teklife göre alacaklıların eline geçmesi öngörülen miktar ile borçlunun ifl</w:t>
            </w:r>
            <w:r w:rsidRPr="00A23740">
              <w:rPr>
                <w:rStyle w:val="KIRMIZIChar"/>
                <w:rFonts w:eastAsia="Calibri"/>
              </w:rPr>
              <w:t>â</w:t>
            </w:r>
            <w:r w:rsidRPr="00A23740">
              <w:rPr>
                <w:szCs w:val="24"/>
              </w:rPr>
              <w:t>sı hâlinde alacaklıların eline geçebilecek muhtemel miktarı karşılaştırmalı olarak gösteren tablo.</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e)</w:t>
            </w:r>
            <w:r w:rsidRPr="00A23740">
              <w:rPr>
                <w:szCs w:val="24"/>
              </w:rPr>
              <w:t xml:space="preserve"> </w:t>
            </w:r>
            <w:r w:rsidRPr="00A23740">
              <w:rPr>
                <w:rStyle w:val="KIRMIZIChar"/>
                <w:rFonts w:eastAsia="Calibri"/>
              </w:rPr>
              <w:t>(Değişik:6/12/2018-7155/13 md.)</w:t>
            </w:r>
            <w:r w:rsidRPr="00A23740">
              <w:rPr>
                <w:szCs w:val="24"/>
              </w:rPr>
              <w:t xml:space="preserve"> Kamu Gözetimi, Muhasebe ve Denetim Standartları Kurumunca yetkilendirilen bağımsız denetim kuruluş</w:t>
            </w:r>
            <w:r w:rsidRPr="00A23740">
              <w:rPr>
                <w:rStyle w:val="KIRMIZIChar"/>
                <w:rFonts w:eastAsia="Calibri"/>
              </w:rPr>
              <w:t>u</w:t>
            </w:r>
            <w:r w:rsidRPr="00A23740">
              <w:rPr>
                <w:szCs w:val="24"/>
              </w:rPr>
              <w:t xml:space="preserve"> tarafından Türkiye Denetim Standartlarına göre yapılacak denetim kapsamında hazırlanan ve konkordato ön projesinde yer alan teklifin gerçekleşeceği hususunda makul güvence veren denetim raporu ile dayanakları.</w:t>
            </w:r>
          </w:p>
          <w:p w:rsidR="00AA5C8C" w:rsidRPr="00A23740" w:rsidRDefault="00AA5C8C" w:rsidP="009431FF">
            <w:pPr>
              <w:rPr>
                <w:szCs w:val="24"/>
              </w:rPr>
            </w:pPr>
          </w:p>
          <w:p w:rsidR="00AA5C8C" w:rsidRPr="00A23740" w:rsidRDefault="00AA5C8C" w:rsidP="009431FF">
            <w:pPr>
              <w:pStyle w:val="KIRMIZI"/>
              <w:rPr>
                <w:lang w:val="tr-TR"/>
              </w:rPr>
            </w:pPr>
            <w:r w:rsidRPr="00A23740">
              <w:rPr>
                <w:lang w:val="tr-TR"/>
              </w:rPr>
              <w:t>(2) (Mülga fıkra:6/12/2018-7155/13 md.)</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(3)</w:t>
            </w:r>
            <w:r w:rsidRPr="00A23740">
              <w:rPr>
                <w:szCs w:val="24"/>
              </w:rPr>
              <w:t xml:space="preserve"> Borçlu, konkordato sürecinde mahkeme veya komiser tarafından istenebilecek diğer belge ve kayıtları da ibraz etmek zorundadır.</w:t>
            </w:r>
          </w:p>
          <w:p w:rsidR="00AA5C8C" w:rsidRPr="00A23740" w:rsidRDefault="00AA5C8C" w:rsidP="009431FF">
            <w:pPr>
              <w:rPr>
                <w:szCs w:val="24"/>
              </w:rPr>
            </w:pPr>
          </w:p>
          <w:p w:rsidR="00AA5C8C" w:rsidRPr="00A23740" w:rsidRDefault="00AA5C8C" w:rsidP="009431FF">
            <w:pPr>
              <w:rPr>
                <w:szCs w:val="24"/>
              </w:rPr>
            </w:pPr>
            <w:r w:rsidRPr="00A23740">
              <w:rPr>
                <w:b/>
                <w:strike/>
                <w:color w:val="FF0000"/>
                <w:szCs w:val="24"/>
              </w:rPr>
              <w:t>(4) (Ek fıkra:6/12/2018-7155/13 md.)</w:t>
            </w:r>
            <w:r w:rsidRPr="00A23740">
              <w:rPr>
                <w:szCs w:val="24"/>
              </w:rPr>
              <w:t xml:space="preserve"> Birinci fıkranın (</w:t>
            </w:r>
            <w:r w:rsidRPr="009A013D">
              <w:rPr>
                <w:b/>
                <w:strike/>
                <w:color w:val="FF0000"/>
                <w:szCs w:val="24"/>
              </w:rPr>
              <w:t>e</w:t>
            </w:r>
            <w:r w:rsidRPr="00A23740">
              <w:rPr>
                <w:szCs w:val="24"/>
              </w:rPr>
              <w:t>) bendi kapsamında düzenlenecek raporlar ve bu raporlara dayanak olacak denetimlerde, denetim kuruluşlarının faaliyetleri, hak ve yükümlülükleri, raporların inceleme ve denetimleri, bu raporlar sebebiyle doğacak idari ve hukuki sorumluluk ile diğer hususlar hakkında 26/9/2011 tarihli ve 660 sayılı Kamu Gözetimi, Muhasebe ve Denetim Standartları Kurumunun Teşkilat ve Görevleri Hakkında Kanun Hükmünde Kararname hükümleri uygulanır.</w:t>
            </w:r>
          </w:p>
          <w:p w:rsidR="00AA5C8C" w:rsidRPr="00A23740" w:rsidRDefault="00AA5C8C" w:rsidP="009431FF">
            <w:pPr>
              <w:rPr>
                <w:szCs w:val="24"/>
              </w:rPr>
            </w:pPr>
          </w:p>
          <w:p w:rsidR="00AA5C8C" w:rsidRDefault="00AA5C8C" w:rsidP="009431FF">
            <w:pPr>
              <w:rPr>
                <w:szCs w:val="24"/>
              </w:rPr>
            </w:pPr>
            <w:r w:rsidRPr="00A23740">
              <w:rPr>
                <w:rStyle w:val="KIRMIZIChar"/>
                <w:rFonts w:eastAsia="Calibri"/>
              </w:rPr>
              <w:t>(5) (Ek fıkra:6/12/2018-7155/13 md.)</w:t>
            </w:r>
            <w:r w:rsidRPr="00A23740">
              <w:rPr>
                <w:szCs w:val="24"/>
              </w:rPr>
              <w:t xml:space="preserve"> Bu maddenin uygulanmasına ilişkin usul ve esaslar Adalet Bakanlığınca </w:t>
            </w:r>
            <w:r w:rsidRPr="00A23740">
              <w:rPr>
                <w:rStyle w:val="KIRMIZIChar"/>
                <w:rFonts w:eastAsia="Calibri"/>
              </w:rPr>
              <w:t>yürürlüğe konulan</w:t>
            </w:r>
            <w:r w:rsidRPr="00A23740">
              <w:rPr>
                <w:szCs w:val="24"/>
              </w:rPr>
              <w:t xml:space="preserve"> yönetmelikle belirlenir.</w:t>
            </w:r>
          </w:p>
          <w:p w:rsidR="00D74F7C" w:rsidRPr="00A23740" w:rsidRDefault="00D74F7C" w:rsidP="009431FF">
            <w:pPr>
              <w:rPr>
                <w:szCs w:val="24"/>
              </w:rPr>
            </w:pPr>
          </w:p>
          <w:p w:rsidR="00AA5C8C" w:rsidRPr="00A23740" w:rsidRDefault="00AA5C8C" w:rsidP="009431FF">
            <w:pPr>
              <w:rPr>
                <w:szCs w:val="24"/>
              </w:rPr>
            </w:pPr>
          </w:p>
        </w:tc>
        <w:tc>
          <w:tcPr>
            <w:tcW w:w="2500" w:type="pct"/>
            <w:shd w:val="clear" w:color="auto" w:fill="auto"/>
          </w:tcPr>
          <w:p w:rsidR="00AA5C8C" w:rsidRPr="00A23740" w:rsidRDefault="00AA5C8C" w:rsidP="009431FF">
            <w:pPr>
              <w:rPr>
                <w:b/>
                <w:szCs w:val="24"/>
                <w:vertAlign w:val="superscript"/>
              </w:rPr>
            </w:pPr>
            <w:r w:rsidRPr="00A23740">
              <w:rPr>
                <w:b/>
                <w:szCs w:val="24"/>
              </w:rPr>
              <w:t>Konkordato talebine eklenecek belgeler</w:t>
            </w:r>
          </w:p>
          <w:p w:rsidR="00AA5C8C" w:rsidRPr="00A23740" w:rsidRDefault="003A1467" w:rsidP="009431FF">
            <w:pPr>
              <w:rPr>
                <w:szCs w:val="24"/>
              </w:rPr>
            </w:pPr>
            <w:r w:rsidRPr="00A23740">
              <w:rPr>
                <w:rStyle w:val="MaviChar"/>
                <w:lang w:val="tr-TR"/>
              </w:rPr>
              <w:t>MADDE 375</w:t>
            </w:r>
            <w:r w:rsidR="00AA5C8C" w:rsidRPr="00A23740">
              <w:rPr>
                <w:rStyle w:val="MaviChar"/>
                <w:lang w:val="tr-TR"/>
              </w:rPr>
              <w:t>- (1)</w:t>
            </w:r>
            <w:r w:rsidR="00AA5C8C" w:rsidRPr="00A23740">
              <w:rPr>
                <w:szCs w:val="24"/>
              </w:rPr>
              <w:t xml:space="preserve"> Borçlu, konkordato talebine aşağıdaki belgeleri ekler</w:t>
            </w:r>
            <w:r w:rsidR="00AA5C8C" w:rsidRPr="00A23740">
              <w:rPr>
                <w:rStyle w:val="MaviChar"/>
              </w:rPr>
              <w:t>:</w:t>
            </w:r>
          </w:p>
          <w:p w:rsidR="00AA5C8C" w:rsidRPr="00A23740" w:rsidRDefault="00AA5C8C" w:rsidP="009431FF">
            <w:pPr>
              <w:rPr>
                <w:b/>
                <w:color w:val="FF0000"/>
                <w:szCs w:val="24"/>
              </w:rPr>
            </w:pPr>
            <w:r w:rsidRPr="00A23740">
              <w:rPr>
                <w:szCs w:val="24"/>
              </w:rPr>
              <w:t>a) Borçlunun borçlarını hangi oranda veya vadede ödeyeceğini, bu kapsamda alacaklıların alacaklarından hangi oranda vazgeçmiş olacaklarını, ödemelerin yapılması için borçlunun mevcut mallarını satıp satmayacağını, borçlunun faaliyetine devam edebilmesi ve alacaklılara ödemelerini yapabilmesi için gerekli mal</w:t>
            </w:r>
            <w:r w:rsidR="00237BE3" w:rsidRPr="00A23740">
              <w:rPr>
                <w:szCs w:val="24"/>
              </w:rPr>
              <w:t>i</w:t>
            </w:r>
            <w:r w:rsidRPr="00A23740">
              <w:rPr>
                <w:szCs w:val="24"/>
              </w:rPr>
              <w:t xml:space="preserve"> kaynağın sermaye artırımı veya kredi temini yoluyla yahut başka bir yöntem kullanılarak </w:t>
            </w:r>
            <w:r w:rsidRPr="00A23740">
              <w:rPr>
                <w:rStyle w:val="MaviChar"/>
              </w:rPr>
              <w:t>sağlanıp</w:t>
            </w:r>
            <w:r w:rsidRPr="00A23740">
              <w:rPr>
                <w:rStyle w:val="YELChar"/>
              </w:rPr>
              <w:t xml:space="preserve"> </w:t>
            </w:r>
            <w:r w:rsidRPr="00A23740">
              <w:rPr>
                <w:rStyle w:val="MaviChar"/>
              </w:rPr>
              <w:t>sağlanmayacağını</w:t>
            </w:r>
            <w:r w:rsidRPr="00A23740">
              <w:rPr>
                <w:rStyle w:val="MaviChar"/>
                <w:lang w:val="tr-TR"/>
              </w:rPr>
              <w:t xml:space="preserve">, konkordato projesinde yer alan teklif kısmen veya tamamen borçlu şirketin veya yeni kurulacak şirketin ortaklık paylarından ya da ortaklık haklarından oluşacaksa bunun </w:t>
            </w:r>
            <w:r w:rsidR="00913764" w:rsidRPr="00A57CFE">
              <w:rPr>
                <w:rStyle w:val="MaviChar"/>
              </w:rPr>
              <w:t>kapsam</w:t>
            </w:r>
            <w:r w:rsidRPr="00A23740">
              <w:rPr>
                <w:rStyle w:val="MaviChar"/>
                <w:lang w:val="tr-TR"/>
              </w:rPr>
              <w:t xml:space="preserve"> ve şartlarının neler olduğunu </w:t>
            </w:r>
            <w:r w:rsidRPr="00A23740">
              <w:rPr>
                <w:szCs w:val="24"/>
              </w:rPr>
              <w:t>gösteren konkordato ön projesi.</w:t>
            </w:r>
          </w:p>
          <w:p w:rsidR="00AA5C8C" w:rsidRPr="00A23740" w:rsidRDefault="00AA5C8C" w:rsidP="009431FF">
            <w:pPr>
              <w:rPr>
                <w:szCs w:val="24"/>
              </w:rPr>
            </w:pPr>
          </w:p>
          <w:p w:rsidR="00AA5C8C" w:rsidRPr="00A23740" w:rsidRDefault="00AA5C8C" w:rsidP="009431FF">
            <w:pPr>
              <w:rPr>
                <w:szCs w:val="24"/>
              </w:rPr>
            </w:pPr>
            <w:r w:rsidRPr="00A23740">
              <w:rPr>
                <w:szCs w:val="24"/>
              </w:rPr>
              <w:t xml:space="preserve">b) </w:t>
            </w:r>
            <w:r w:rsidRPr="00A23740">
              <w:rPr>
                <w:rStyle w:val="MaviChar"/>
                <w:lang w:val="tr-TR"/>
              </w:rPr>
              <w:t>Borçlu iflasa tabi olmayan kişilerden ise</w:t>
            </w:r>
            <w:r w:rsidR="00891AC5" w:rsidRPr="00A23740">
              <w:rPr>
                <w:rStyle w:val="MaviChar"/>
                <w:color w:val="538135"/>
                <w:lang w:val="tr-TR"/>
              </w:rPr>
              <w:t>,</w:t>
            </w:r>
            <w:r w:rsidRPr="00A23740">
              <w:rPr>
                <w:szCs w:val="24"/>
              </w:rPr>
              <w:t xml:space="preserve"> malvarlığının durumunu gösterir belgeler; borçlu defter tutma</w:t>
            </w:r>
            <w:r w:rsidRPr="00A23740">
              <w:rPr>
                <w:rStyle w:val="MaviChar"/>
              </w:rPr>
              <w:t>k zorunda olan</w:t>
            </w:r>
            <w:r w:rsidRPr="00A23740">
              <w:rPr>
                <w:szCs w:val="24"/>
              </w:rPr>
              <w:t xml:space="preserve"> kişilerden ise</w:t>
            </w:r>
            <w:r w:rsidR="00891AC5" w:rsidRPr="00A23740">
              <w:rPr>
                <w:b/>
                <w:color w:val="538135"/>
                <w:szCs w:val="24"/>
              </w:rPr>
              <w:t>,</w:t>
            </w:r>
            <w:r w:rsidRPr="00A23740">
              <w:rPr>
                <w:szCs w:val="24"/>
              </w:rPr>
              <w:t xml:space="preserve"> Türk Ticaret Kanununa göre hazırlanan son bilanço, gelir tablosu, nakit akım tablosu, hem işletmenin devamlılığı esasına göre hem de aktiflerin muhtemel satış fiyatları üzerinden hazırlanan ara bilançolar, ticari defterlerin açılış ve kapanış tasdikleri ile  elektronik ortamda oluşturulan defterlere ilişkin e-defter berat bilgileri, borçlunun mal</w:t>
            </w:r>
            <w:r w:rsidR="00ED6513" w:rsidRPr="00A23740">
              <w:rPr>
                <w:szCs w:val="24"/>
              </w:rPr>
              <w:t>i</w:t>
            </w:r>
            <w:r w:rsidRPr="00A23740">
              <w:rPr>
                <w:szCs w:val="24"/>
              </w:rPr>
              <w:t xml:space="preserve"> durumunu açıklayıcı diğer bilgi ve belgeler, maddi ve maddi olmayan duran varlıklara ait olup defter değerlerini içeren listeler</w:t>
            </w:r>
            <w:r w:rsidRPr="00A23740">
              <w:rPr>
                <w:rStyle w:val="MaviChar"/>
                <w:lang w:val="tr-TR"/>
              </w:rPr>
              <w:t>;</w:t>
            </w:r>
            <w:r w:rsidRPr="00A23740">
              <w:rPr>
                <w:szCs w:val="24"/>
              </w:rPr>
              <w:t xml:space="preserve"> tüm alacak ve borçları vadeleri ile birlikte gösteren liste ve belgeler.</w:t>
            </w:r>
          </w:p>
          <w:p w:rsidR="00AA5C8C" w:rsidRPr="00A23740" w:rsidRDefault="00AA5C8C" w:rsidP="009431FF">
            <w:pPr>
              <w:rPr>
                <w:szCs w:val="24"/>
              </w:rPr>
            </w:pPr>
          </w:p>
          <w:p w:rsidR="00AA5C8C" w:rsidRPr="00A23740" w:rsidRDefault="00AA5C8C" w:rsidP="009431FF">
            <w:pPr>
              <w:rPr>
                <w:szCs w:val="24"/>
              </w:rPr>
            </w:pPr>
            <w:r w:rsidRPr="00A23740">
              <w:rPr>
                <w:szCs w:val="24"/>
              </w:rPr>
              <w:t>c) Alacaklıları, alacak miktarlarını ve</w:t>
            </w:r>
            <w:r w:rsidR="00F63512" w:rsidRPr="00A23740">
              <w:rPr>
                <w:szCs w:val="24"/>
              </w:rPr>
              <w:t xml:space="preserve"> </w:t>
            </w:r>
            <w:r w:rsidRPr="00A23740">
              <w:rPr>
                <w:szCs w:val="24"/>
              </w:rPr>
              <w:t>alacaklıların</w:t>
            </w:r>
            <w:r w:rsidR="00F63512" w:rsidRPr="00A23740">
              <w:rPr>
                <w:szCs w:val="24"/>
              </w:rPr>
              <w:t xml:space="preserve"> </w:t>
            </w:r>
            <w:r w:rsidR="00F63512" w:rsidRPr="00A57CFE">
              <w:rPr>
                <w:rStyle w:val="MaviChar"/>
              </w:rPr>
              <w:t>varsa</w:t>
            </w:r>
            <w:r w:rsidRPr="00A23740">
              <w:rPr>
                <w:szCs w:val="24"/>
              </w:rPr>
              <w:t xml:space="preserve"> </w:t>
            </w:r>
            <w:r w:rsidRPr="00A23740">
              <w:rPr>
                <w:rStyle w:val="MaviChar"/>
              </w:rPr>
              <w:t>rüçhan ve</w:t>
            </w:r>
            <w:r w:rsidRPr="00A23740">
              <w:rPr>
                <w:szCs w:val="24"/>
              </w:rPr>
              <w:t xml:space="preserve"> imtiyaz durumunu gösteren liste.</w:t>
            </w:r>
          </w:p>
          <w:p w:rsidR="00AA5C8C" w:rsidRPr="00A23740" w:rsidRDefault="00AA5C8C" w:rsidP="009431FF">
            <w:pPr>
              <w:rPr>
                <w:szCs w:val="24"/>
              </w:rPr>
            </w:pPr>
          </w:p>
          <w:p w:rsidR="00AA5C8C" w:rsidRPr="00A23740" w:rsidRDefault="00AA5C8C" w:rsidP="009431FF">
            <w:pPr>
              <w:rPr>
                <w:szCs w:val="24"/>
              </w:rPr>
            </w:pPr>
            <w:r w:rsidRPr="00A23740">
              <w:rPr>
                <w:rStyle w:val="MaviChar"/>
                <w:lang w:val="tr-TR"/>
              </w:rPr>
              <w:t>ç)</w:t>
            </w:r>
            <w:r w:rsidRPr="00A23740">
              <w:rPr>
                <w:szCs w:val="24"/>
              </w:rPr>
              <w:t xml:space="preserve"> </w:t>
            </w:r>
            <w:r w:rsidRPr="00A23740">
              <w:rPr>
                <w:rStyle w:val="MaviChar"/>
                <w:lang w:val="tr-TR"/>
              </w:rPr>
              <w:t>İflasa tabi borçlular bakımından</w:t>
            </w:r>
            <w:r w:rsidRPr="00A23740">
              <w:rPr>
                <w:szCs w:val="24"/>
              </w:rPr>
              <w:t xml:space="preserve"> konkordato ön projesinde yer alan teklife göre alacaklıların eline geçmesi öngörülen miktar ile borçlunun ifl</w:t>
            </w:r>
            <w:r w:rsidR="00F63512" w:rsidRPr="00A23740">
              <w:rPr>
                <w:rStyle w:val="Balk1Char"/>
                <w:rFonts w:eastAsia="Calibri"/>
              </w:rPr>
              <w:t>a</w:t>
            </w:r>
            <w:r w:rsidRPr="00A23740">
              <w:rPr>
                <w:szCs w:val="24"/>
              </w:rPr>
              <w:t>sı hâlinde alacaklıların eline geçebilecek muhtemel miktarı karşılaştırmalı olarak gösteren tablo.</w:t>
            </w:r>
          </w:p>
          <w:p w:rsidR="00AA5C8C" w:rsidRPr="00A23740" w:rsidRDefault="00AA5C8C" w:rsidP="009431FF">
            <w:pPr>
              <w:rPr>
                <w:szCs w:val="24"/>
              </w:rPr>
            </w:pPr>
          </w:p>
          <w:p w:rsidR="00AA5C8C" w:rsidRPr="00A23740" w:rsidRDefault="00AA5C8C" w:rsidP="009431FF">
            <w:pPr>
              <w:rPr>
                <w:szCs w:val="24"/>
              </w:rPr>
            </w:pPr>
            <w:r w:rsidRPr="00A23740">
              <w:rPr>
                <w:rStyle w:val="MaviChar"/>
                <w:lang w:val="tr-TR"/>
              </w:rPr>
              <w:t>d)</w:t>
            </w:r>
            <w:r w:rsidRPr="00A23740">
              <w:rPr>
                <w:szCs w:val="24"/>
              </w:rPr>
              <w:t xml:space="preserve"> </w:t>
            </w:r>
            <w:r w:rsidRPr="00A23740">
              <w:rPr>
                <w:rStyle w:val="MaviChar"/>
              </w:rPr>
              <w:t>Kamu yararını ilgilendiren kuruluşları denetleyenler de dahil olmak üzere,</w:t>
            </w:r>
            <w:r w:rsidRPr="00A23740">
              <w:rPr>
                <w:rStyle w:val="YELChar"/>
              </w:rPr>
              <w:t xml:space="preserve"> </w:t>
            </w:r>
            <w:r w:rsidRPr="00A23740">
              <w:rPr>
                <w:szCs w:val="24"/>
              </w:rPr>
              <w:t>Kamu Gözetimi, Muhasebe ve Denetim Standartları Kurumunca yetkilendirilen bağımsız denetim kuruluş</w:t>
            </w:r>
            <w:r w:rsidRPr="00A23740">
              <w:rPr>
                <w:rStyle w:val="MaviChar"/>
              </w:rPr>
              <w:t>larından biri</w:t>
            </w:r>
            <w:r w:rsidRPr="00A23740">
              <w:rPr>
                <w:szCs w:val="24"/>
              </w:rPr>
              <w:t xml:space="preserve"> tarafından Türkiye Denetim Standartlarına göre yapılacak denetim kapsamında hazırlanan ve konkordato ön projesinde yer alan teklifin gerçekleşe</w:t>
            </w:r>
            <w:r w:rsidRPr="00A23740">
              <w:rPr>
                <w:rStyle w:val="MaviChar"/>
              </w:rPr>
              <w:t>bile</w:t>
            </w:r>
            <w:r w:rsidRPr="00A23740">
              <w:rPr>
                <w:szCs w:val="24"/>
              </w:rPr>
              <w:t>ceği hususunda makul güvence veren denetim raporu ile dayanakları.</w:t>
            </w:r>
          </w:p>
          <w:p w:rsidR="00AA5C8C" w:rsidRPr="00A23740" w:rsidRDefault="00AA5C8C" w:rsidP="009431FF">
            <w:pPr>
              <w:rPr>
                <w:b/>
                <w:bCs/>
                <w:color w:val="0000FF"/>
                <w:szCs w:val="24"/>
                <w:lang w:eastAsia="x-none"/>
              </w:rPr>
            </w:pPr>
          </w:p>
          <w:p w:rsidR="00AA5C8C" w:rsidRPr="00A23740" w:rsidRDefault="00AA5C8C" w:rsidP="009431FF">
            <w:pPr>
              <w:rPr>
                <w:b/>
                <w:bCs/>
                <w:color w:val="0000FF"/>
                <w:szCs w:val="24"/>
                <w:lang w:eastAsia="x-none"/>
              </w:rPr>
            </w:pPr>
          </w:p>
          <w:p w:rsidR="00AA5C8C" w:rsidRPr="00A23740" w:rsidRDefault="00AA5C8C" w:rsidP="009431FF">
            <w:pPr>
              <w:rPr>
                <w:szCs w:val="24"/>
              </w:rPr>
            </w:pPr>
            <w:r w:rsidRPr="00A23740">
              <w:rPr>
                <w:b/>
                <w:bCs/>
                <w:color w:val="0000FF"/>
                <w:szCs w:val="24"/>
                <w:lang w:eastAsia="x-none"/>
              </w:rPr>
              <w:t>(2)</w:t>
            </w:r>
            <w:r w:rsidRPr="00A23740">
              <w:rPr>
                <w:szCs w:val="24"/>
              </w:rPr>
              <w:t xml:space="preserve"> Borçlu, konkordato sürecinde mahkeme veya komiser tarafından istenebilecek diğer belge ve kayıtları da ibraz etmek zorundadır.</w:t>
            </w:r>
          </w:p>
          <w:p w:rsidR="00AA5C8C" w:rsidRPr="00A23740" w:rsidRDefault="00AA5C8C" w:rsidP="009431FF">
            <w:pPr>
              <w:rPr>
                <w:szCs w:val="24"/>
              </w:rPr>
            </w:pPr>
          </w:p>
          <w:p w:rsidR="00AA5C8C" w:rsidRPr="00A23740" w:rsidRDefault="00AA5C8C" w:rsidP="009431FF">
            <w:pPr>
              <w:rPr>
                <w:szCs w:val="24"/>
              </w:rPr>
            </w:pPr>
            <w:r w:rsidRPr="00A23740">
              <w:rPr>
                <w:rStyle w:val="MaviChar"/>
                <w:lang w:val="tr-TR"/>
              </w:rPr>
              <w:t>(3)</w:t>
            </w:r>
            <w:r w:rsidRPr="00A23740">
              <w:rPr>
                <w:szCs w:val="24"/>
              </w:rPr>
              <w:t xml:space="preserve"> Birinci fıkranın (</w:t>
            </w:r>
            <w:r w:rsidRPr="00A23740">
              <w:rPr>
                <w:rStyle w:val="MaviChar"/>
                <w:lang w:val="tr-TR"/>
              </w:rPr>
              <w:t>d</w:t>
            </w:r>
            <w:r w:rsidRPr="00A23740">
              <w:rPr>
                <w:szCs w:val="24"/>
              </w:rPr>
              <w:t>) bendi kapsamında düzenlenecek raporlar ve bu raporlara dayanak olacak denetimlerde, denetim kuruluşlarının faaliyetleri, hak ve yükümlülükleri, raporların inceleme ve denetimleri, bu raporlar sebebiyle doğacak idari ve hukuki sorumluluk ile diğer hususlar hakkında 26/9/2011 tarihli ve 660 sayılı Kamu Gözetimi, Muhasebe ve Denetim Standartları Kurumunun Teşkilat ve Görevleri Hakkında Kanun Hükmünde Kararname hükümleri uygulanır.</w:t>
            </w:r>
          </w:p>
          <w:p w:rsidR="00AA5C8C" w:rsidRPr="00A23740" w:rsidRDefault="00AA5C8C" w:rsidP="009431FF">
            <w:pPr>
              <w:rPr>
                <w:szCs w:val="24"/>
              </w:rPr>
            </w:pPr>
          </w:p>
          <w:p w:rsidR="00AA5C8C" w:rsidRPr="00A23740" w:rsidRDefault="00AA5C8C" w:rsidP="009431FF">
            <w:pPr>
              <w:rPr>
                <w:rStyle w:val="MaviChar"/>
                <w:lang w:val="tr-TR"/>
              </w:rPr>
            </w:pPr>
          </w:p>
          <w:p w:rsidR="00AA5C8C" w:rsidRPr="00A23740" w:rsidRDefault="00AA5C8C" w:rsidP="009431FF">
            <w:pPr>
              <w:rPr>
                <w:szCs w:val="24"/>
              </w:rPr>
            </w:pPr>
            <w:r w:rsidRPr="00A23740">
              <w:rPr>
                <w:rStyle w:val="MaviChar"/>
                <w:lang w:val="tr-TR"/>
              </w:rPr>
              <w:t>(4)</w:t>
            </w:r>
            <w:r w:rsidRPr="00A23740">
              <w:rPr>
                <w:szCs w:val="24"/>
              </w:rPr>
              <w:t xml:space="preserve"> Bu maddenin uygulanmasına ilişkin usul ve esaslar Adalet Bakanlığınca </w:t>
            </w:r>
            <w:r w:rsidRPr="00A23740">
              <w:rPr>
                <w:rStyle w:val="MaviChar"/>
              </w:rPr>
              <w:t xml:space="preserve">çıkarılacak </w:t>
            </w:r>
            <w:r w:rsidRPr="00A23740">
              <w:rPr>
                <w:szCs w:val="24"/>
              </w:rPr>
              <w:t>yönetmelikle belirlenir.</w:t>
            </w:r>
          </w:p>
          <w:p w:rsidR="00AA5C8C" w:rsidRPr="00A23740" w:rsidRDefault="00AA5C8C" w:rsidP="009431FF">
            <w:pPr>
              <w:pStyle w:val="KIRMIZI"/>
              <w:rPr>
                <w:i/>
              </w:rPr>
            </w:pPr>
          </w:p>
        </w:tc>
      </w:tr>
      <w:tr w:rsidR="005C3738" w:rsidRPr="00A23740" w:rsidTr="009431FF">
        <w:tc>
          <w:tcPr>
            <w:tcW w:w="5000" w:type="pct"/>
            <w:gridSpan w:val="2"/>
            <w:shd w:val="clear" w:color="auto" w:fill="DEEAF6"/>
          </w:tcPr>
          <w:p w:rsidR="00F06498" w:rsidRPr="00A23740" w:rsidRDefault="00F06498" w:rsidP="009431FF">
            <w:pPr>
              <w:tabs>
                <w:tab w:val="left" w:pos="567"/>
              </w:tabs>
              <w:ind w:firstLine="709"/>
              <w:rPr>
                <w:b/>
                <w:bCs/>
                <w:szCs w:val="24"/>
                <w:lang w:eastAsia="x-none"/>
              </w:rPr>
            </w:pPr>
          </w:p>
          <w:p w:rsidR="00A6097D" w:rsidRPr="00A23740" w:rsidRDefault="005C3738" w:rsidP="009431FF">
            <w:pPr>
              <w:tabs>
                <w:tab w:val="left" w:pos="567"/>
              </w:tabs>
              <w:ind w:firstLine="709"/>
              <w:rPr>
                <w:bCs/>
                <w:szCs w:val="24"/>
                <w:lang w:eastAsia="x-none"/>
              </w:rPr>
            </w:pPr>
            <w:r w:rsidRPr="00A23740">
              <w:rPr>
                <w:b/>
                <w:bCs/>
                <w:szCs w:val="24"/>
                <w:lang w:eastAsia="x-none"/>
              </w:rPr>
              <w:t xml:space="preserve">MADDE </w:t>
            </w:r>
            <w:r w:rsidR="003A1467" w:rsidRPr="00A23740">
              <w:rPr>
                <w:b/>
                <w:bCs/>
                <w:szCs w:val="24"/>
                <w:lang w:eastAsia="x-none"/>
              </w:rPr>
              <w:t>375</w:t>
            </w:r>
            <w:r w:rsidRPr="00A23740">
              <w:rPr>
                <w:b/>
                <w:bCs/>
                <w:szCs w:val="24"/>
                <w:lang w:eastAsia="x-none"/>
              </w:rPr>
              <w:t xml:space="preserve">- </w:t>
            </w:r>
            <w:r w:rsidR="00A6097D" w:rsidRPr="00A23740">
              <w:rPr>
                <w:bCs/>
                <w:szCs w:val="24"/>
                <w:lang w:eastAsia="x-none"/>
              </w:rPr>
              <w:t>Maddeyle,konkordato talebine eklenecek belgeler düzenlenmektedir. Bu bağlamda 2004 sayılı Kanunun 286 ıncı maddesindeki esaslar büyük ölçüde muhafaza edilmiş; daha ziyade detayla ilişkin değişiklikler yapılmıştır.</w:t>
            </w:r>
          </w:p>
          <w:p w:rsidR="00A6097D" w:rsidRPr="00A23740" w:rsidRDefault="00A6097D" w:rsidP="009431FF">
            <w:pPr>
              <w:tabs>
                <w:tab w:val="left" w:pos="567"/>
              </w:tabs>
              <w:ind w:firstLine="709"/>
              <w:rPr>
                <w:bCs/>
                <w:szCs w:val="24"/>
                <w:lang w:eastAsia="x-none"/>
              </w:rPr>
            </w:pPr>
            <w:r w:rsidRPr="00A23740">
              <w:rPr>
                <w:bCs/>
                <w:szCs w:val="24"/>
                <w:lang w:eastAsia="x-none"/>
              </w:rPr>
              <w:t>Ama, maddenin birinci fıkrasının (a) bendi önemli bir ilave içermekte ve konkordato talep eden borçlunun borçlarını ödemekte kullanacağı yöntemlere, İsviçre hukukundaki düzenlemeye (bkz.</w:t>
            </w:r>
            <w:r w:rsidR="00F35ED5" w:rsidRPr="00A23740">
              <w:rPr>
                <w:bCs/>
                <w:szCs w:val="24"/>
                <w:lang w:eastAsia="x-none"/>
              </w:rPr>
              <w:t xml:space="preserve"> </w:t>
            </w:r>
            <w:r w:rsidRPr="00A23740">
              <w:rPr>
                <w:bCs/>
                <w:szCs w:val="24"/>
                <w:lang w:eastAsia="x-none"/>
              </w:rPr>
              <w:t>İsviçre’nin Borç İçin Takip ve İflas Hakkındaki Federal Kanununun 314 üncü maddesinin ikinci fıkrası) paralel olarak yeni bir tanesini eklemektedir. Buna göre, borçlu, konkordato projesinde, alacaklılara kısmen veya tamamen borçlu şirketin veya yeni kurulacak şirketin ortaklık paylarından ya da ortaklık haklarından oluşacak şekilde ödeme yapabilecektir [bu yeni ödeme imk</w:t>
            </w:r>
            <w:r w:rsidR="00BE53A8" w:rsidRPr="00A23740">
              <w:rPr>
                <w:bCs/>
                <w:szCs w:val="24"/>
                <w:lang w:eastAsia="x-none"/>
              </w:rPr>
              <w:t>â</w:t>
            </w:r>
            <w:r w:rsidRPr="00A23740">
              <w:rPr>
                <w:bCs/>
                <w:szCs w:val="24"/>
                <w:lang w:eastAsia="x-none"/>
              </w:rPr>
              <w:t>nının neden kabul edildiği ve ne şekilde işleyeecği konusunda bkz. İsviçre Federal Konseyinin 8 Eylül 2010 tarihli “Message relatif à une modification de la loi fédérale sur la poursuite pour dettes et la faillite (droit de l’assainissement)” başlıklı belgesi; Feuille federale 2010.5871, özellikle 5906-5907]. Bu takdirde böyle bir teklifin kapsam ve şartlarının neler olduğu konkordato projesinde açıklanmalıdır. Bu yöntem borçlu işletmenin yeni bir varlığın içine dahil edilmesi ve böylece fiilen onun kurtarılması imk</w:t>
            </w:r>
            <w:r w:rsidR="00BE53A8" w:rsidRPr="00A23740">
              <w:rPr>
                <w:bCs/>
                <w:szCs w:val="24"/>
                <w:lang w:eastAsia="x-none"/>
              </w:rPr>
              <w:t>â</w:t>
            </w:r>
            <w:r w:rsidRPr="00A23740">
              <w:rPr>
                <w:bCs/>
                <w:szCs w:val="24"/>
                <w:lang w:eastAsia="x-none"/>
              </w:rPr>
              <w:t>nını sunmaktadır. Yalnız, bu teknik, konkordatoyu kabul etmemiş olan alacaklıların buna rağmen operasyondan etkilenerek devralan şirketin paylarında hak sahibi olmaları sonucunu doğurmaktadır. Bu alacaklıların menfaatlerini korumak için h</w:t>
            </w:r>
            <w:r w:rsidR="00407C95" w:rsidRPr="00A23740">
              <w:t>â</w:t>
            </w:r>
            <w:r w:rsidRPr="00A23740">
              <w:rPr>
                <w:bCs/>
                <w:szCs w:val="24"/>
                <w:lang w:eastAsia="x-none"/>
              </w:rPr>
              <w:t>kim, bu tip şartlar içeren bir konkordatoyu ancak böyle bir çözümün konkordatoyu tasvip etmemiş olan alacaklılar için de orantılı olduğu hususunda ikna olduğu takdirde tasdik etmelidir.</w:t>
            </w:r>
          </w:p>
          <w:p w:rsidR="00A6097D" w:rsidRPr="00A23740" w:rsidRDefault="00A6097D" w:rsidP="009431FF">
            <w:pPr>
              <w:tabs>
                <w:tab w:val="left" w:pos="567"/>
              </w:tabs>
              <w:ind w:firstLine="709"/>
              <w:rPr>
                <w:bCs/>
                <w:szCs w:val="24"/>
                <w:lang w:eastAsia="x-none"/>
              </w:rPr>
            </w:pPr>
            <w:r w:rsidRPr="00A23740">
              <w:rPr>
                <w:bCs/>
                <w:szCs w:val="24"/>
                <w:lang w:eastAsia="x-none"/>
              </w:rPr>
              <w:t xml:space="preserve">Birinci fıkranın (b) bendinde yapılan değişiklik, iflasa tabi olmayan bir borçlunun konkordato talep ederken ibraz edeceği belgeleri açıklığa kavuşturmaktadır. Böyle bir borçlu konkordato talep ederken sadece sahip olduğu taşınmazlar, banka hesapları, motorlu taşıtlar gibi malvarlığı unsurlarını açıklayacak ve bunları tevsik eden belgeleri gösterecektir. Buna mukabil, konkordato talep eden borçlu defter tutmak zorunda olan kişilerden ise, konkordato talebiyle birlikte mahkemeye ibraz edeceği belgelerin türü ve sayısı çok daha teknik ve değişiktir. </w:t>
            </w:r>
          </w:p>
          <w:p w:rsidR="00A6097D" w:rsidRPr="00A23740" w:rsidRDefault="00A6097D" w:rsidP="009431FF">
            <w:pPr>
              <w:tabs>
                <w:tab w:val="left" w:pos="567"/>
              </w:tabs>
              <w:ind w:firstLine="709"/>
              <w:rPr>
                <w:bCs/>
                <w:szCs w:val="24"/>
                <w:lang w:eastAsia="x-none"/>
              </w:rPr>
            </w:pPr>
            <w:r w:rsidRPr="00A23740">
              <w:rPr>
                <w:bCs/>
                <w:szCs w:val="24"/>
                <w:lang w:eastAsia="x-none"/>
              </w:rPr>
              <w:t>Birinci fıkranın (c) bendinde, alacaklıları ve alacak miktarlarını gösteren belgede, bir eksikliğe mahal vermemek için, alacakların sadece imtiyaz durumunun değil, “rüçhan” durumunun da gösterilmesi kabul edilmiştir.</w:t>
            </w:r>
          </w:p>
          <w:p w:rsidR="00A6097D" w:rsidRPr="00A23740" w:rsidRDefault="00A6097D" w:rsidP="009431FF">
            <w:pPr>
              <w:tabs>
                <w:tab w:val="left" w:pos="567"/>
              </w:tabs>
              <w:ind w:firstLine="709"/>
              <w:rPr>
                <w:bCs/>
                <w:szCs w:val="24"/>
                <w:lang w:eastAsia="x-none"/>
              </w:rPr>
            </w:pPr>
            <w:r w:rsidRPr="00A23740">
              <w:rPr>
                <w:bCs/>
                <w:szCs w:val="24"/>
                <w:lang w:eastAsia="x-none"/>
              </w:rPr>
              <w:t>Birinci fıkranın (ç) bendi iflasa tabi borçlular bakımından bir anlam ifade ettiği için, söz konusu bent bu yönde açıklığa kavuşturulmuştur.</w:t>
            </w:r>
          </w:p>
          <w:p w:rsidR="00A6097D" w:rsidRPr="00A23740" w:rsidRDefault="00A6097D" w:rsidP="009431FF">
            <w:pPr>
              <w:tabs>
                <w:tab w:val="left" w:pos="567"/>
              </w:tabs>
              <w:ind w:firstLine="709"/>
              <w:rPr>
                <w:bCs/>
                <w:szCs w:val="24"/>
                <w:lang w:eastAsia="x-none"/>
              </w:rPr>
            </w:pPr>
            <w:r w:rsidRPr="00A23740">
              <w:rPr>
                <w:bCs/>
                <w:szCs w:val="24"/>
                <w:lang w:eastAsia="x-none"/>
              </w:rPr>
              <w:t xml:space="preserve">Birinci fıkranın (d) bendinde, makul güvence veren denetim raporunun Kamu Gözetimi, Muhasebe ve Denetim Standartları Kurumunca yetkilendirilen bağımsız denetim kuruluşlarından biri tarafından Türkiye Denetim Standartlarına göre yapılacak denetim kapsamında hazırlanabileceği ifade edilmiştir. Yapılan değişiklikle, bu kuruluşların kapsamına kamu yararını ilgilendiren kuruluşları denetleyenlerin de dahil olduğu açıklığa kavuşturulmuştur.  </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A5C8C" w:rsidRPr="00A23740" w:rsidRDefault="00AA5C8C" w:rsidP="009431FF">
            <w:pPr>
              <w:widowControl w:val="0"/>
              <w:rPr>
                <w:rFonts w:eastAsia="Times New Roman"/>
                <w:i/>
                <w:szCs w:val="24"/>
                <w:lang w:eastAsia="tr-TR"/>
              </w:rPr>
            </w:pPr>
            <w:r w:rsidRPr="00A23740">
              <w:rPr>
                <w:rFonts w:eastAsia="Times New Roman"/>
                <w:i/>
                <w:szCs w:val="24"/>
                <w:lang w:eastAsia="tr-TR"/>
              </w:rPr>
              <w:t>Geçici mühlet</w:t>
            </w:r>
            <w:r w:rsidRPr="00A23740">
              <w:rPr>
                <w:rStyle w:val="KIRMIZIChar"/>
                <w:rFonts w:eastAsia="Calibri"/>
              </w:rPr>
              <w:t>:</w:t>
            </w:r>
          </w:p>
          <w:p w:rsidR="00AA5C8C" w:rsidRPr="00A23740" w:rsidRDefault="00AA5C8C" w:rsidP="009431FF">
            <w:pPr>
              <w:widowControl w:val="0"/>
              <w:rPr>
                <w:rStyle w:val="KIRMIZIChar"/>
                <w:rFonts w:eastAsia="Calibri"/>
              </w:rPr>
            </w:pPr>
            <w:r w:rsidRPr="00A23740">
              <w:rPr>
                <w:rStyle w:val="KIRMIZIChar"/>
                <w:rFonts w:eastAsia="Calibri"/>
              </w:rPr>
              <w:t>Madde 287- (1) (Değişik: 28/2/2018-7101/15 md.)</w:t>
            </w: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 xml:space="preserve">Konkordato talebi üzerine mahkeme, </w:t>
            </w:r>
            <w:r w:rsidRPr="00A23740">
              <w:rPr>
                <w:rStyle w:val="KIRMIZIChar"/>
                <w:rFonts w:eastAsia="Calibri"/>
              </w:rPr>
              <w:t>286 ncı</w:t>
            </w:r>
            <w:r w:rsidRPr="00A23740">
              <w:rPr>
                <w:rFonts w:eastAsia="Times New Roman"/>
                <w:szCs w:val="24"/>
                <w:lang w:eastAsia="tr-TR"/>
              </w:rPr>
              <w:t xml:space="preserve"> maddede belirtilen belgelerin eksiksiz olarak mevcut olduğunu tespit ettiğinde derhâl geçici mühlet kararı verir ve </w:t>
            </w:r>
            <w:r w:rsidRPr="00A23740">
              <w:rPr>
                <w:rStyle w:val="KIRMIZIChar"/>
                <w:rFonts w:eastAsia="Calibri"/>
              </w:rPr>
              <w:t>297 nci maddenin ikinci fıkrasındaki hâller de dahil olmak üzere,</w:t>
            </w:r>
            <w:r w:rsidRPr="00A23740">
              <w:rPr>
                <w:rFonts w:eastAsia="Times New Roman"/>
                <w:szCs w:val="24"/>
                <w:lang w:eastAsia="tr-TR"/>
              </w:rPr>
              <w:t xml:space="preserve"> borçlunun malvarlığının muhafazası için gerekli gördüğü bütün tedbirleri alır.</w:t>
            </w:r>
          </w:p>
          <w:p w:rsidR="00AA5C8C" w:rsidRPr="00A23740" w:rsidRDefault="00AA5C8C" w:rsidP="009431FF">
            <w:pPr>
              <w:widowControl w:val="0"/>
              <w:rPr>
                <w:rFonts w:eastAsia="Times New Roman"/>
                <w:i/>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Konkordato işlemlerinin başlatılması alacaklılardan biri tarafından talep edilmişse, borçlunun </w:t>
            </w:r>
            <w:r w:rsidRPr="00A23740">
              <w:rPr>
                <w:rStyle w:val="KIRMIZIChar"/>
                <w:rFonts w:eastAsia="Calibri"/>
              </w:rPr>
              <w:t>286 ncı</w:t>
            </w:r>
            <w:r w:rsidRPr="00A23740">
              <w:rPr>
                <w:rFonts w:eastAsia="Times New Roman"/>
                <w:szCs w:val="24"/>
                <w:lang w:eastAsia="tr-TR"/>
              </w:rPr>
              <w:t xml:space="preserve"> maddede belirtilen belgeleri ve kayıtları mahkemenin vereceği </w:t>
            </w:r>
            <w:r w:rsidRPr="00A23740">
              <w:rPr>
                <w:rStyle w:val="KIRMIZIChar"/>
                <w:rFonts w:eastAsia="Calibri"/>
              </w:rPr>
              <w:t>makul</w:t>
            </w:r>
            <w:r w:rsidRPr="00A23740">
              <w:rPr>
                <w:rFonts w:eastAsia="Times New Roman"/>
                <w:szCs w:val="24"/>
                <w:lang w:eastAsia="tr-TR"/>
              </w:rPr>
              <w:t xml:space="preserve"> süre içinde ve eksiksiz olarak sunması hâlinde geçici mühlet kararı verilir. Bu durumda anılan belge ve kayıtların hazırlanması için gerekli </w:t>
            </w:r>
            <w:r w:rsidRPr="00A23740">
              <w:rPr>
                <w:rStyle w:val="KIRMIZIChar"/>
                <w:rFonts w:eastAsia="Calibri"/>
              </w:rPr>
              <w:t>masraf</w:t>
            </w:r>
            <w:r w:rsidRPr="00A23740">
              <w:rPr>
                <w:rFonts w:eastAsia="Times New Roman"/>
                <w:szCs w:val="24"/>
                <w:lang w:eastAsia="tr-TR"/>
              </w:rPr>
              <w:t xml:space="preserve"> alacaklı tarafından karşılanır. Belge ve kayıtların süresinde ve eksiksiz olarak sunulmaması hâlinde geçici mühlet kararı verilmez ve alacaklının yaptığı konkordato talebinin de reddine karar verilir.</w:t>
            </w:r>
          </w:p>
          <w:p w:rsidR="00AA5C8C" w:rsidRPr="00A23740" w:rsidRDefault="00AA5C8C" w:rsidP="009431FF">
            <w:pPr>
              <w:widowControl w:val="0"/>
              <w:rPr>
                <w:rFonts w:eastAsia="Times New Roman"/>
                <w:szCs w:val="24"/>
                <w:lang w:eastAsia="tr-TR"/>
              </w:rPr>
            </w:pPr>
          </w:p>
          <w:p w:rsidR="00054B84" w:rsidRPr="00A23740" w:rsidRDefault="00AA5C8C" w:rsidP="009431FF">
            <w:pPr>
              <w:widowControl w:val="0"/>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Geçici mühlet </w:t>
            </w:r>
            <w:r w:rsidRPr="00A23740">
              <w:rPr>
                <w:rStyle w:val="AralkYokChar"/>
                <w:lang w:val="tr-TR"/>
              </w:rPr>
              <w:t>üç aydır</w:t>
            </w:r>
            <w:r w:rsidRPr="00A23740">
              <w:rPr>
                <w:rFonts w:eastAsia="Times New Roman"/>
                <w:szCs w:val="24"/>
                <w:lang w:eastAsia="tr-TR"/>
              </w:rPr>
              <w:t xml:space="preserve">. </w:t>
            </w:r>
            <w:r w:rsidRPr="00A23740">
              <w:rPr>
                <w:rFonts w:eastAsia="Times New Roman"/>
                <w:b/>
                <w:strike/>
                <w:color w:val="FF0000"/>
                <w:szCs w:val="24"/>
                <w:lang w:eastAsia="tr-TR"/>
              </w:rPr>
              <w:t>Mahkeme bu üç aylık süre dolmadan borçlunun veya geçici komiserin yapacağı talep üzerine geçici mühleti en fazla iki ay daha uzatabilir, uzatmayı borçlu talep etmişse geçici komiserin de görüşü alınır. Geçici mühletin toplam süresi beş ayı geçemez.</w:t>
            </w:r>
          </w:p>
          <w:p w:rsidR="00054B84" w:rsidRPr="00A23740" w:rsidRDefault="00054B84" w:rsidP="009431FF">
            <w:pPr>
              <w:widowControl w:val="0"/>
              <w:rPr>
                <w:rFonts w:eastAsia="Times New Roman"/>
                <w:szCs w:val="24"/>
                <w:lang w:eastAsia="tr-TR"/>
              </w:rPr>
            </w:pPr>
          </w:p>
          <w:p w:rsidR="00AA5C8C" w:rsidRPr="00A23740" w:rsidRDefault="00054B84" w:rsidP="009431FF">
            <w:pPr>
              <w:widowControl w:val="0"/>
              <w:rPr>
                <w:rFonts w:eastAsia="Times New Roman"/>
                <w:szCs w:val="24"/>
                <w:lang w:eastAsia="tr-TR"/>
              </w:rPr>
            </w:pPr>
            <w:r w:rsidRPr="00A23740">
              <w:rPr>
                <w:rStyle w:val="KIRMIZIChar"/>
                <w:rFonts w:eastAsia="Calibri"/>
                <w:lang w:eastAsia="tr-TR"/>
              </w:rPr>
              <w:t>(3)</w:t>
            </w:r>
            <w:r w:rsidRPr="00A23740">
              <w:rPr>
                <w:rFonts w:eastAsia="Times New Roman"/>
                <w:szCs w:val="24"/>
                <w:lang w:eastAsia="tr-TR"/>
              </w:rPr>
              <w:t xml:space="preserve"> Mahkeme, geçici mühlet kararıyla birlikte konkordatonun başarıya ulaşmasının mümkün olup olmadığının yakından incelenmesi amacıyla bir geçici konkordato komiseri görevlendirir. Alacaklı sayısı ve alacak miktarı dikkate alınarak gerektiğinde üç komiser de görevlendirilebilir. </w:t>
            </w:r>
            <w:r w:rsidRPr="00A23740">
              <w:rPr>
                <w:rStyle w:val="KIRMIZIChar"/>
                <w:rFonts w:eastAsia="Calibri"/>
                <w:lang w:eastAsia="tr-TR"/>
              </w:rPr>
              <w:t>(Ek cümle:6/12/2018-7155/14 md.)</w:t>
            </w:r>
            <w:r w:rsidRPr="00A23740">
              <w:rPr>
                <w:rFonts w:eastAsia="Times New Roman"/>
                <w:szCs w:val="24"/>
                <w:lang w:eastAsia="tr-TR"/>
              </w:rPr>
              <w:t xml:space="preserve"> </w:t>
            </w:r>
            <w:r w:rsidRPr="00A23740">
              <w:rPr>
                <w:rStyle w:val="KIRMIZIChar"/>
                <w:rFonts w:eastAsia="Calibri"/>
                <w:lang w:eastAsia="tr-TR"/>
              </w:rPr>
              <w:t>Üç komiser görevlendirilmesi durumunda komiserlerden biri, mahkemenin bulunduğu ilde faaliyet göstermek şartıyla Kamu Gözetimi, Muhasebe ve Denetim Standartları Kurumu tarafından yetkilendirilmiş bağımsız denetçiler arasından seçilir.</w:t>
            </w:r>
            <w:r w:rsidRPr="00A23740">
              <w:rPr>
                <w:rStyle w:val="KIRMIZIChar"/>
                <w:rFonts w:eastAsia="Calibri"/>
                <w:strike w:val="0"/>
                <w:lang w:eastAsia="tr-TR"/>
              </w:rPr>
              <w:t xml:space="preserve"> </w:t>
            </w:r>
            <w:r w:rsidRPr="00A23740">
              <w:rPr>
                <w:rStyle w:val="KIRMIZIChar"/>
                <w:rFonts w:eastAsia="Calibri"/>
              </w:rPr>
              <w:t>290 ıncı</w:t>
            </w:r>
            <w:r w:rsidRPr="00A23740">
              <w:rPr>
                <w:rFonts w:eastAsia="Times New Roman"/>
                <w:szCs w:val="24"/>
                <w:lang w:eastAsia="tr-TR"/>
              </w:rPr>
              <w:t xml:space="preserve"> madde bu konuda kıyasen uygulanır.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b/>
                <w:strike/>
                <w:color w:val="FF0000"/>
                <w:szCs w:val="24"/>
                <w:lang w:eastAsia="tr-TR"/>
              </w:rPr>
            </w:pPr>
            <w:r w:rsidRPr="00A23740">
              <w:rPr>
                <w:rFonts w:eastAsia="Times New Roman"/>
                <w:b/>
                <w:strike/>
                <w:color w:val="FF0000"/>
                <w:szCs w:val="24"/>
                <w:lang w:eastAsia="tr-TR"/>
              </w:rPr>
              <w:t>(5) 291 inci ve 292 nci maddeler, geçici mühlet hakkında kıyasen uygulanır.</w:t>
            </w:r>
          </w:p>
          <w:p w:rsidR="00AA5C8C" w:rsidRPr="00A23740" w:rsidRDefault="00AA5C8C" w:rsidP="009431FF">
            <w:pPr>
              <w:widowControl w:val="0"/>
              <w:rPr>
                <w:rFonts w:eastAsia="Times New Roman"/>
                <w:b/>
                <w:strike/>
                <w:color w:val="FF0000"/>
                <w:szCs w:val="24"/>
                <w:lang w:eastAsia="tr-TR"/>
              </w:rPr>
            </w:pPr>
          </w:p>
          <w:p w:rsidR="00AA5C8C" w:rsidRPr="00A23740" w:rsidRDefault="00AA5C8C" w:rsidP="009431FF">
            <w:pPr>
              <w:widowControl w:val="0"/>
              <w:rPr>
                <w:rFonts w:eastAsia="Times New Roman"/>
                <w:b/>
                <w:strike/>
                <w:color w:val="FF0000"/>
                <w:szCs w:val="24"/>
                <w:lang w:eastAsia="ar-SA"/>
              </w:rPr>
            </w:pPr>
            <w:r w:rsidRPr="00A23740">
              <w:rPr>
                <w:rFonts w:eastAsia="Times New Roman"/>
                <w:b/>
                <w:strike/>
                <w:color w:val="FF0000"/>
                <w:szCs w:val="24"/>
                <w:lang w:eastAsia="ar-SA"/>
              </w:rPr>
              <w:t>(6) Geçici mühlet talebinin kabulü, geçici komiser görevlendirilmesi, geçici mühletin uzatılması ve tedbirlere ilişkin kararlara karşı kanun yoluna başvurulamaz.</w:t>
            </w:r>
          </w:p>
          <w:p w:rsidR="00AA5C8C" w:rsidRPr="00A23740" w:rsidRDefault="00AA5C8C" w:rsidP="009431FF">
            <w:pPr>
              <w:widowControl w:val="0"/>
              <w:rPr>
                <w:szCs w:val="24"/>
              </w:rPr>
            </w:pPr>
          </w:p>
        </w:tc>
        <w:tc>
          <w:tcPr>
            <w:tcW w:w="2500" w:type="pct"/>
            <w:shd w:val="clear" w:color="auto" w:fill="auto"/>
          </w:tcPr>
          <w:p w:rsidR="00AA5C8C" w:rsidRPr="00A23740" w:rsidRDefault="00AA5C8C" w:rsidP="009431FF">
            <w:pPr>
              <w:widowControl w:val="0"/>
              <w:rPr>
                <w:b/>
                <w:szCs w:val="24"/>
              </w:rPr>
            </w:pPr>
            <w:r w:rsidRPr="00A23740">
              <w:rPr>
                <w:b/>
                <w:szCs w:val="24"/>
              </w:rPr>
              <w:t>Geçici mühlet</w:t>
            </w:r>
          </w:p>
          <w:p w:rsidR="00AA5C8C" w:rsidRPr="00A23740" w:rsidRDefault="003A1467" w:rsidP="009431FF">
            <w:pPr>
              <w:widowControl w:val="0"/>
              <w:rPr>
                <w:rFonts w:eastAsia="Times New Roman"/>
                <w:szCs w:val="24"/>
                <w:lang w:eastAsia="tr-TR"/>
              </w:rPr>
            </w:pPr>
            <w:r w:rsidRPr="00A23740">
              <w:rPr>
                <w:rStyle w:val="MaviChar"/>
                <w:lang w:val="tr-TR"/>
              </w:rPr>
              <w:t>MADDE 376</w:t>
            </w:r>
            <w:r w:rsidR="00AA5C8C" w:rsidRPr="00A23740">
              <w:rPr>
                <w:rStyle w:val="MaviChar"/>
                <w:lang w:val="tr-TR"/>
              </w:rPr>
              <w:t>- (1)</w:t>
            </w:r>
            <w:r w:rsidR="00AA5C8C" w:rsidRPr="00A23740">
              <w:rPr>
                <w:rFonts w:eastAsia="Times New Roman"/>
                <w:szCs w:val="24"/>
                <w:lang w:eastAsia="tr-TR"/>
              </w:rPr>
              <w:t xml:space="preserve"> Konkordato talebi üzerine mahkeme,</w:t>
            </w:r>
            <w:r w:rsidR="00B73244" w:rsidRPr="00A23740">
              <w:rPr>
                <w:rFonts w:eastAsia="Times New Roman"/>
                <w:szCs w:val="24"/>
                <w:lang w:eastAsia="tr-TR"/>
              </w:rPr>
              <w:t xml:space="preserve"> </w:t>
            </w:r>
            <w:r w:rsidR="00B73244" w:rsidRPr="00A57CFE">
              <w:rPr>
                <w:rStyle w:val="MaviChar"/>
              </w:rPr>
              <w:t>375 inci</w:t>
            </w:r>
            <w:r w:rsidR="003B4DF3">
              <w:rPr>
                <w:rFonts w:eastAsia="Times New Roman"/>
                <w:szCs w:val="24"/>
                <w:lang w:eastAsia="tr-TR"/>
              </w:rPr>
              <w:t xml:space="preserve"> </w:t>
            </w:r>
            <w:r w:rsidR="00AA5C8C" w:rsidRPr="00A23740">
              <w:rPr>
                <w:rFonts w:eastAsia="Times New Roman"/>
                <w:szCs w:val="24"/>
                <w:lang w:eastAsia="tr-TR"/>
              </w:rPr>
              <w:t>maddede belirtilen belgelerin eksiksiz olarak mevcut olduğunu tespit ettiğinde</w:t>
            </w:r>
            <w:r w:rsidR="00545B15" w:rsidRPr="00D74F7C">
              <w:rPr>
                <w:rStyle w:val="MaviChar"/>
              </w:rPr>
              <w:t>,</w:t>
            </w:r>
            <w:r w:rsidR="00AA5C8C" w:rsidRPr="00A23740">
              <w:rPr>
                <w:rFonts w:eastAsia="Times New Roman"/>
                <w:szCs w:val="24"/>
                <w:lang w:eastAsia="tr-TR"/>
              </w:rPr>
              <w:t xml:space="preserve"> derhâl geçici mühlet kararı verir ve </w:t>
            </w:r>
            <w:r w:rsidR="004850C7" w:rsidRPr="00A57CFE">
              <w:rPr>
                <w:rStyle w:val="MaviChar"/>
              </w:rPr>
              <w:t>ayrıca</w:t>
            </w:r>
            <w:r w:rsidR="004850C7" w:rsidRPr="00A23740">
              <w:rPr>
                <w:rFonts w:eastAsia="Times New Roman"/>
                <w:szCs w:val="24"/>
                <w:lang w:eastAsia="tr-TR"/>
              </w:rPr>
              <w:t xml:space="preserve"> </w:t>
            </w:r>
            <w:r w:rsidR="00AA5C8C" w:rsidRPr="00A23740">
              <w:rPr>
                <w:rFonts w:eastAsia="Times New Roman"/>
                <w:szCs w:val="24"/>
                <w:lang w:eastAsia="tr-TR"/>
              </w:rPr>
              <w:t xml:space="preserve">borçlunun malvarlığının muhafazası için gerekli gördüğü bütün tedbirleri </w:t>
            </w:r>
            <w:r w:rsidR="004850C7" w:rsidRPr="00A57CFE">
              <w:rPr>
                <w:rStyle w:val="MaviChar"/>
              </w:rPr>
              <w:t>talep üzerine veya resen, genel hükümlere göre</w:t>
            </w:r>
            <w:r w:rsidR="004850C7" w:rsidRPr="00A23740">
              <w:rPr>
                <w:rFonts w:eastAsia="Times New Roman"/>
                <w:szCs w:val="24"/>
                <w:lang w:eastAsia="tr-TR"/>
              </w:rPr>
              <w:t xml:space="preserve"> </w:t>
            </w:r>
            <w:r w:rsidR="00AA5C8C" w:rsidRPr="00A23740">
              <w:rPr>
                <w:rFonts w:eastAsia="Times New Roman"/>
                <w:szCs w:val="24"/>
                <w:lang w:eastAsia="tr-TR"/>
              </w:rPr>
              <w:t>alır.</w:t>
            </w:r>
          </w:p>
          <w:p w:rsidR="00AA5C8C" w:rsidRDefault="00AA5C8C" w:rsidP="009431FF">
            <w:pPr>
              <w:widowControl w:val="0"/>
              <w:rPr>
                <w:rFonts w:eastAsia="Times New Roman"/>
                <w:b/>
                <w:color w:val="FF0000"/>
                <w:szCs w:val="24"/>
                <w:lang w:eastAsia="ar-SA"/>
              </w:rPr>
            </w:pPr>
          </w:p>
          <w:p w:rsidR="003B4DF3" w:rsidRPr="00A23740" w:rsidRDefault="003B4DF3" w:rsidP="009431FF">
            <w:pPr>
              <w:widowControl w:val="0"/>
              <w:rPr>
                <w:rFonts w:eastAsia="Times New Roman"/>
                <w:b/>
                <w:color w:val="FF0000"/>
                <w:szCs w:val="24"/>
                <w:lang w:eastAsia="ar-SA"/>
              </w:rPr>
            </w:pPr>
          </w:p>
          <w:p w:rsidR="00AA5C8C" w:rsidRPr="00A23740" w:rsidRDefault="00AA5C8C" w:rsidP="009431FF">
            <w:pPr>
              <w:widowControl w:val="0"/>
              <w:rPr>
                <w:rFonts w:eastAsia="Times New Roman"/>
                <w:szCs w:val="24"/>
                <w:lang w:eastAsia="tr-TR"/>
              </w:rPr>
            </w:pPr>
            <w:r w:rsidRPr="00A23740">
              <w:rPr>
                <w:rStyle w:val="MaviChar"/>
                <w:lang w:val="tr-TR"/>
              </w:rPr>
              <w:t>(2)</w:t>
            </w:r>
            <w:r w:rsidRPr="00A23740">
              <w:rPr>
                <w:rFonts w:eastAsia="Times New Roman"/>
                <w:szCs w:val="24"/>
                <w:lang w:eastAsia="tr-TR"/>
              </w:rPr>
              <w:t xml:space="preserve"> Konkordato işlemlerinin başlatılması alacaklılardan biri tarafından talep edilmişse, borçlunun </w:t>
            </w:r>
            <w:r w:rsidR="00B73244" w:rsidRPr="00A57CFE">
              <w:rPr>
                <w:rStyle w:val="MaviChar"/>
              </w:rPr>
              <w:t>375 inci</w:t>
            </w:r>
            <w:r w:rsidR="00B73244" w:rsidRPr="00A23740">
              <w:rPr>
                <w:rFonts w:eastAsia="Times New Roman"/>
                <w:szCs w:val="24"/>
                <w:lang w:eastAsia="tr-TR"/>
              </w:rPr>
              <w:t xml:space="preserve"> </w:t>
            </w:r>
            <w:r w:rsidRPr="00A23740">
              <w:rPr>
                <w:rFonts w:eastAsia="Times New Roman"/>
                <w:szCs w:val="24"/>
                <w:lang w:eastAsia="tr-TR"/>
              </w:rPr>
              <w:t xml:space="preserve">maddede belirtilen belgeleri ve kayıtları mahkemenin vereceği </w:t>
            </w:r>
            <w:r w:rsidRPr="00A23740">
              <w:rPr>
                <w:rStyle w:val="MaviChar"/>
              </w:rPr>
              <w:t>kesin</w:t>
            </w:r>
            <w:r w:rsidRPr="00A23740">
              <w:rPr>
                <w:rFonts w:eastAsia="Times New Roman"/>
                <w:szCs w:val="24"/>
                <w:lang w:eastAsia="tr-TR"/>
              </w:rPr>
              <w:t xml:space="preserve"> süre içinde ve eksiksiz olarak sunması hâlinde geçici mühlet kararı verilir. Bu durumda anılan belge ve kayıtların hazırlanması için gerekli </w:t>
            </w:r>
            <w:r w:rsidRPr="00A23740">
              <w:rPr>
                <w:rStyle w:val="MaviChar"/>
              </w:rPr>
              <w:t>gider</w:t>
            </w:r>
            <w:r w:rsidR="00FC2E20" w:rsidRPr="00333897">
              <w:rPr>
                <w:rStyle w:val="Balk1Char"/>
                <w:rFonts w:eastAsia="Calibri"/>
              </w:rPr>
              <w:t>,</w:t>
            </w:r>
            <w:r w:rsidRPr="00A23740">
              <w:rPr>
                <w:rFonts w:eastAsia="Times New Roman"/>
                <w:szCs w:val="24"/>
                <w:lang w:eastAsia="tr-TR"/>
              </w:rPr>
              <w:t xml:space="preserve"> alacaklı tarafından karşılanır. Belge ve kayıtların süresinde ve eksiksiz olarak sunulmaması hâlinde</w:t>
            </w:r>
            <w:r w:rsidR="00545B15" w:rsidRPr="00333897">
              <w:rPr>
                <w:rStyle w:val="Balk1Char"/>
                <w:rFonts w:eastAsia="ヒラギノ明朝 Pro W3"/>
              </w:rPr>
              <w:t>,</w:t>
            </w:r>
            <w:r w:rsidRPr="00A23740">
              <w:rPr>
                <w:rFonts w:eastAsia="Times New Roman"/>
                <w:szCs w:val="24"/>
                <w:lang w:eastAsia="tr-TR"/>
              </w:rPr>
              <w:t xml:space="preserve"> geçici mühlet kararı verilmez ve alacaklının yaptığı konkordato talebinin de reddine karar verilir.</w:t>
            </w:r>
          </w:p>
          <w:p w:rsidR="00AA5C8C" w:rsidRPr="00A23740" w:rsidRDefault="00AA5C8C" w:rsidP="009431FF">
            <w:pPr>
              <w:widowControl w:val="0"/>
              <w:rPr>
                <w:rFonts w:eastAsia="Times New Roman"/>
                <w:szCs w:val="24"/>
                <w:lang w:eastAsia="tr-TR"/>
              </w:rPr>
            </w:pPr>
          </w:p>
          <w:p w:rsidR="00054B84" w:rsidRPr="00A23740" w:rsidRDefault="00054B84" w:rsidP="009431FF">
            <w:pPr>
              <w:widowControl w:val="0"/>
              <w:rPr>
                <w:rFonts w:eastAsia="Times New Roman"/>
                <w:b/>
                <w:strike/>
                <w:color w:val="FF0000"/>
                <w:szCs w:val="24"/>
                <w:lang w:eastAsia="tr-TR"/>
              </w:rPr>
            </w:pPr>
            <w:r w:rsidRPr="00A23740">
              <w:rPr>
                <w:rStyle w:val="MaviChar"/>
                <w:lang w:val="tr-TR"/>
              </w:rPr>
              <w:t>(3) Mahkeme dört aya kadar</w:t>
            </w:r>
            <w:r w:rsidRPr="00A23740">
              <w:rPr>
                <w:rFonts w:eastAsia="Times New Roman"/>
                <w:szCs w:val="24"/>
                <w:lang w:eastAsia="tr-TR"/>
              </w:rPr>
              <w:t xml:space="preserve"> geçici mühlet </w:t>
            </w:r>
            <w:r w:rsidRPr="00A23740">
              <w:rPr>
                <w:rStyle w:val="MaviChar"/>
                <w:lang w:val="tr-TR"/>
              </w:rPr>
              <w:t>kararı verebilir. Geçici mühletin dört aydan daha kısa olması h</w:t>
            </w:r>
            <w:r w:rsidR="00F25704" w:rsidRPr="00A23740">
              <w:rPr>
                <w:rStyle w:val="MaviChar"/>
                <w:lang w:val="tr-TR"/>
              </w:rPr>
              <w:t>â</w:t>
            </w:r>
            <w:r w:rsidRPr="00A23740">
              <w:rPr>
                <w:rStyle w:val="MaviChar"/>
                <w:lang w:val="tr-TR"/>
              </w:rPr>
              <w:t>linde talep üzerine toplamda dört ayı aşmayacak şekilde uzatılmasına karar verilebilir.</w:t>
            </w:r>
          </w:p>
          <w:p w:rsidR="00054B84" w:rsidRPr="00A23740" w:rsidRDefault="00054B84" w:rsidP="009431FF">
            <w:pPr>
              <w:widowControl w:val="0"/>
              <w:rPr>
                <w:rFonts w:eastAsia="Times New Roman"/>
                <w:szCs w:val="24"/>
                <w:lang w:eastAsia="tr-TR"/>
              </w:rPr>
            </w:pPr>
          </w:p>
          <w:p w:rsidR="002C79FC" w:rsidRPr="00A23740" w:rsidRDefault="002C79FC" w:rsidP="009431FF">
            <w:pPr>
              <w:widowControl w:val="0"/>
              <w:rPr>
                <w:rStyle w:val="MaviChar"/>
                <w:lang w:eastAsia="tr-TR"/>
              </w:rPr>
            </w:pPr>
          </w:p>
          <w:p w:rsidR="00AA5C8C" w:rsidRPr="00A23740" w:rsidRDefault="00AA5C8C" w:rsidP="009431FF">
            <w:pPr>
              <w:widowControl w:val="0"/>
              <w:rPr>
                <w:rFonts w:eastAsia="Times New Roman"/>
                <w:szCs w:val="24"/>
                <w:lang w:eastAsia="tr-TR"/>
              </w:rPr>
            </w:pPr>
            <w:r w:rsidRPr="00A23740">
              <w:rPr>
                <w:rStyle w:val="MaviChar"/>
                <w:lang w:eastAsia="tr-TR"/>
              </w:rPr>
              <w:t>(</w:t>
            </w:r>
            <w:r w:rsidR="00054B84" w:rsidRPr="00A23740">
              <w:rPr>
                <w:rStyle w:val="MaviChar"/>
                <w:lang w:val="tr-TR" w:eastAsia="tr-TR"/>
              </w:rPr>
              <w:t>4</w:t>
            </w:r>
            <w:r w:rsidRPr="00A23740">
              <w:rPr>
                <w:rStyle w:val="MaviChar"/>
                <w:lang w:eastAsia="tr-TR"/>
              </w:rPr>
              <w:t>)</w:t>
            </w:r>
            <w:r w:rsidRPr="00A23740">
              <w:rPr>
                <w:rFonts w:eastAsia="Times New Roman"/>
                <w:szCs w:val="24"/>
                <w:lang w:eastAsia="tr-TR"/>
              </w:rPr>
              <w:t xml:space="preserve"> Mahkeme, geçici mühlet kararıyla birlikte konkordatonun başarıya ulaşmasının mümkün olup olmadığını</w:t>
            </w:r>
            <w:r w:rsidR="003B4DF3">
              <w:rPr>
                <w:rFonts w:eastAsia="Times New Roman"/>
                <w:szCs w:val="24"/>
                <w:lang w:eastAsia="tr-TR"/>
              </w:rPr>
              <w:t xml:space="preserve">n yakından incelenmesi amacıyla </w:t>
            </w:r>
            <w:r w:rsidRPr="00A23740">
              <w:rPr>
                <w:rFonts w:eastAsia="Times New Roman"/>
                <w:szCs w:val="24"/>
                <w:lang w:eastAsia="tr-TR"/>
              </w:rPr>
              <w:t xml:space="preserve">geçici konkordato komiseri görevlendirir. </w:t>
            </w:r>
            <w:r w:rsidR="00945752" w:rsidRPr="00A57CFE">
              <w:rPr>
                <w:rStyle w:val="MaviChar"/>
              </w:rPr>
              <w:t xml:space="preserve">378, </w:t>
            </w:r>
            <w:r w:rsidR="00B73244" w:rsidRPr="00A57CFE">
              <w:rPr>
                <w:rStyle w:val="MaviChar"/>
              </w:rPr>
              <w:t xml:space="preserve">379 </w:t>
            </w:r>
            <w:r w:rsidR="009B3A82" w:rsidRPr="00A57CFE">
              <w:rPr>
                <w:rStyle w:val="MaviChar"/>
              </w:rPr>
              <w:t>ve 380</w:t>
            </w:r>
            <w:r w:rsidR="00445A3C" w:rsidRPr="00A57CFE">
              <w:rPr>
                <w:rStyle w:val="MaviChar"/>
              </w:rPr>
              <w:t xml:space="preserve"> inci</w:t>
            </w:r>
            <w:r w:rsidR="00B73244" w:rsidRPr="00A23740">
              <w:rPr>
                <w:rStyle w:val="KonuBalChar"/>
                <w:rFonts w:eastAsia="Calibri"/>
              </w:rPr>
              <w:t xml:space="preserve"> </w:t>
            </w:r>
            <w:r w:rsidRPr="00A23740">
              <w:rPr>
                <w:rStyle w:val="MaviChar"/>
                <w:color w:val="CC00CC"/>
                <w:lang w:val="tr-TR"/>
              </w:rPr>
              <w:t xml:space="preserve"> </w:t>
            </w:r>
            <w:r w:rsidRPr="00A23740">
              <w:rPr>
                <w:rFonts w:eastAsia="Times New Roman"/>
                <w:szCs w:val="24"/>
                <w:lang w:eastAsia="tr-TR"/>
              </w:rPr>
              <w:t>madde</w:t>
            </w:r>
            <w:r w:rsidR="00945752" w:rsidRPr="00A57CFE">
              <w:rPr>
                <w:rStyle w:val="MaviChar"/>
              </w:rPr>
              <w:t>ler</w:t>
            </w:r>
            <w:r w:rsidRPr="00A57CFE">
              <w:rPr>
                <w:rStyle w:val="MaviChar"/>
              </w:rPr>
              <w:t xml:space="preserve"> </w:t>
            </w:r>
            <w:r w:rsidRPr="00A23740">
              <w:rPr>
                <w:rStyle w:val="MaviChar"/>
              </w:rPr>
              <w:t>hükümleri</w:t>
            </w:r>
            <w:r w:rsidRPr="00A23740">
              <w:rPr>
                <w:rFonts w:eastAsia="Times New Roman"/>
                <w:szCs w:val="24"/>
                <w:lang w:eastAsia="tr-TR"/>
              </w:rPr>
              <w:t xml:space="preserve"> bu konuda kıyasen uygulanır.</w:t>
            </w:r>
          </w:p>
          <w:p w:rsidR="00AA5C8C" w:rsidRPr="00A23740" w:rsidRDefault="00AA5C8C" w:rsidP="009431FF">
            <w:pPr>
              <w:widowControl w:val="0"/>
              <w:rPr>
                <w:rFonts w:eastAsia="Times New Roman"/>
                <w:szCs w:val="24"/>
                <w:lang w:eastAsia="tr-TR"/>
              </w:rPr>
            </w:pPr>
          </w:p>
          <w:p w:rsidR="002C79FC" w:rsidRPr="00A23740" w:rsidRDefault="002C79FC" w:rsidP="009431FF">
            <w:pPr>
              <w:pStyle w:val="YEL"/>
              <w:widowControl w:val="0"/>
              <w:rPr>
                <w:lang w:val="tr-TR" w:eastAsia="tr-TR"/>
              </w:rPr>
            </w:pPr>
          </w:p>
          <w:p w:rsidR="002C79FC" w:rsidRDefault="002C79FC" w:rsidP="009431FF">
            <w:pPr>
              <w:pStyle w:val="YEL"/>
              <w:widowControl w:val="0"/>
              <w:rPr>
                <w:lang w:val="tr-TR" w:eastAsia="tr-TR"/>
              </w:rPr>
            </w:pPr>
          </w:p>
          <w:p w:rsidR="003B4DF3" w:rsidRDefault="003B4DF3" w:rsidP="009431FF">
            <w:pPr>
              <w:pStyle w:val="YEL"/>
              <w:widowControl w:val="0"/>
              <w:rPr>
                <w:lang w:val="tr-TR" w:eastAsia="tr-TR"/>
              </w:rPr>
            </w:pPr>
          </w:p>
          <w:p w:rsidR="003B4DF3" w:rsidRDefault="003B4DF3" w:rsidP="009431FF">
            <w:pPr>
              <w:pStyle w:val="YEL"/>
              <w:widowControl w:val="0"/>
              <w:rPr>
                <w:lang w:val="tr-TR" w:eastAsia="tr-TR"/>
              </w:rPr>
            </w:pPr>
          </w:p>
          <w:p w:rsidR="003B4DF3" w:rsidRPr="00A23740" w:rsidRDefault="003B4DF3" w:rsidP="009431FF">
            <w:pPr>
              <w:pStyle w:val="YEL"/>
              <w:widowControl w:val="0"/>
              <w:rPr>
                <w:lang w:val="tr-TR" w:eastAsia="tr-TR"/>
              </w:rPr>
            </w:pPr>
          </w:p>
          <w:p w:rsidR="002C79FC" w:rsidRPr="00A23740" w:rsidRDefault="002C79FC" w:rsidP="009431FF">
            <w:pPr>
              <w:pStyle w:val="YEL"/>
              <w:widowControl w:val="0"/>
              <w:rPr>
                <w:lang w:val="tr-TR" w:eastAsia="tr-TR"/>
              </w:rPr>
            </w:pPr>
          </w:p>
          <w:p w:rsidR="0059628F" w:rsidRPr="00A23740" w:rsidRDefault="00054B84" w:rsidP="009431FF">
            <w:pPr>
              <w:pStyle w:val="YEL"/>
              <w:widowControl w:val="0"/>
              <w:rPr>
                <w:lang w:val="tr-TR" w:eastAsia="tr-TR"/>
              </w:rPr>
            </w:pPr>
            <w:r w:rsidRPr="00A57CFE">
              <w:rPr>
                <w:rStyle w:val="MaviChar"/>
                <w:b/>
              </w:rPr>
              <w:t>(5) Geçici mühlet kararıyla birlikte atanan</w:t>
            </w:r>
            <w:r w:rsidR="007426B3" w:rsidRPr="00A57CFE">
              <w:rPr>
                <w:rStyle w:val="MaviChar"/>
                <w:b/>
              </w:rPr>
              <w:t xml:space="preserve"> geçici</w:t>
            </w:r>
            <w:r w:rsidRPr="00A57CFE">
              <w:rPr>
                <w:rStyle w:val="MaviChar"/>
                <w:b/>
              </w:rPr>
              <w:t xml:space="preserve"> komiser</w:t>
            </w:r>
            <w:r w:rsidR="00586EF3" w:rsidRPr="00A57CFE">
              <w:rPr>
                <w:rStyle w:val="MaviChar"/>
                <w:b/>
              </w:rPr>
              <w:t>, görevlendirilmesinden itibaren üç hafta içinde mahkemeye,</w:t>
            </w:r>
            <w:r w:rsidRPr="00A57CFE">
              <w:rPr>
                <w:rStyle w:val="MaviChar"/>
                <w:b/>
              </w:rPr>
              <w:t xml:space="preserve">  375 inci</w:t>
            </w:r>
            <w:r w:rsidR="00BC21A5" w:rsidRPr="00A23740">
              <w:rPr>
                <w:lang w:val="tr-TR" w:eastAsia="tr-TR"/>
              </w:rPr>
              <w:t xml:space="preserve"> </w:t>
            </w:r>
            <w:r w:rsidRPr="00A57CFE">
              <w:rPr>
                <w:rStyle w:val="MaviChar"/>
                <w:b/>
              </w:rPr>
              <w:t>maddenin birinci fıkrasın</w:t>
            </w:r>
            <w:r w:rsidR="006C5B6B" w:rsidRPr="00A57CFE">
              <w:rPr>
                <w:rStyle w:val="MaviChar"/>
                <w:b/>
              </w:rPr>
              <w:t>ın (d) bendi uyarınca sunulan makul güvence veren denetim raporunun dayanaklarının  mevcut olup olmadığı ve ilgili yönetmeli</w:t>
            </w:r>
            <w:r w:rsidR="00586EF3" w:rsidRPr="00A57CFE">
              <w:rPr>
                <w:rStyle w:val="MaviChar"/>
                <w:b/>
              </w:rPr>
              <w:t>k ile</w:t>
            </w:r>
            <w:r w:rsidR="007426B3" w:rsidRPr="00A57CFE">
              <w:rPr>
                <w:rStyle w:val="MaviChar"/>
                <w:b/>
              </w:rPr>
              <w:t xml:space="preserve"> yönetmelikte belirtilen standartlara</w:t>
            </w:r>
            <w:r w:rsidR="00586EF3" w:rsidRPr="00A57CFE">
              <w:rPr>
                <w:rStyle w:val="MaviChar"/>
                <w:b/>
              </w:rPr>
              <w:t xml:space="preserve"> uygun olup olmadığı</w:t>
            </w:r>
            <w:r w:rsidR="006C5B6B" w:rsidRPr="00A57CFE">
              <w:rPr>
                <w:rStyle w:val="MaviChar"/>
                <w:b/>
              </w:rPr>
              <w:t xml:space="preserve"> konusunda</w:t>
            </w:r>
            <w:r w:rsidR="007426B3" w:rsidRPr="00A57CFE">
              <w:rPr>
                <w:rStyle w:val="MaviChar"/>
                <w:b/>
              </w:rPr>
              <w:t xml:space="preserve"> </w:t>
            </w:r>
            <w:r w:rsidR="006C5B6B" w:rsidRPr="00A57CFE">
              <w:rPr>
                <w:rStyle w:val="MaviChar"/>
                <w:b/>
              </w:rPr>
              <w:t>bir ön rapor verir.</w:t>
            </w:r>
            <w:r w:rsidR="007426B3" w:rsidRPr="00A57CFE">
              <w:rPr>
                <w:rStyle w:val="MaviChar"/>
                <w:b/>
              </w:rPr>
              <w:t xml:space="preserve"> Söz konusu ön raporda 375 inci</w:t>
            </w:r>
            <w:r w:rsidR="00BC21A5" w:rsidRPr="00A23740">
              <w:rPr>
                <w:lang w:val="tr-TR" w:eastAsia="tr-TR"/>
              </w:rPr>
              <w:t xml:space="preserve"> </w:t>
            </w:r>
            <w:r w:rsidR="007426B3" w:rsidRPr="00A57CFE">
              <w:rPr>
                <w:rStyle w:val="MaviChar"/>
                <w:b/>
              </w:rPr>
              <w:t>maddede belirtilen diğer bilgi ve belgeler bakımından değerlendirmeler de</w:t>
            </w:r>
            <w:r w:rsidR="007F2E1A" w:rsidRPr="00A57CFE">
              <w:rPr>
                <w:rStyle w:val="MaviChar"/>
                <w:b/>
              </w:rPr>
              <w:t xml:space="preserve"> yer alır.</w:t>
            </w:r>
            <w:r w:rsidR="00F123C0" w:rsidRPr="00A57CFE">
              <w:rPr>
                <w:rStyle w:val="MaviChar"/>
                <w:b/>
              </w:rPr>
              <w:t xml:space="preserve"> Mahkeme,</w:t>
            </w:r>
            <w:r w:rsidR="00447B9B" w:rsidRPr="00A57CFE">
              <w:rPr>
                <w:rStyle w:val="MaviChar"/>
                <w:b/>
              </w:rPr>
              <w:t xml:space="preserve"> geçici mühletin kaldırılması</w:t>
            </w:r>
            <w:r w:rsidR="0059628F" w:rsidRPr="00A57CFE">
              <w:rPr>
                <w:rStyle w:val="MaviChar"/>
                <w:b/>
              </w:rPr>
              <w:t xml:space="preserve"> ile 375 inci</w:t>
            </w:r>
            <w:r w:rsidR="00BC21A5" w:rsidRPr="00A23740">
              <w:rPr>
                <w:lang w:val="tr-TR" w:eastAsia="tr-TR"/>
              </w:rPr>
              <w:t xml:space="preserve"> </w:t>
            </w:r>
            <w:r w:rsidR="0059628F" w:rsidRPr="00A57CFE">
              <w:rPr>
                <w:rStyle w:val="MaviChar"/>
                <w:b/>
              </w:rPr>
              <w:t>maddenin üçüncü fıkrası uyarınca Kamu Gözetimi, Muhasebe ve Denetim Standartları Kurumuna gerekli bildirimlerin yapılması</w:t>
            </w:r>
            <w:r w:rsidR="00447B9B" w:rsidRPr="00A57CFE">
              <w:rPr>
                <w:rStyle w:val="MaviChar"/>
                <w:b/>
              </w:rPr>
              <w:t xml:space="preserve"> da dahil olmak üzere</w:t>
            </w:r>
            <w:r w:rsidR="008C4F9E" w:rsidRPr="00A57CFE">
              <w:rPr>
                <w:rStyle w:val="MaviChar"/>
                <w:b/>
              </w:rPr>
              <w:t xml:space="preserve"> </w:t>
            </w:r>
            <w:r w:rsidR="00447B9B" w:rsidRPr="00A57CFE">
              <w:rPr>
                <w:rStyle w:val="MaviChar"/>
                <w:b/>
              </w:rPr>
              <w:t xml:space="preserve"> </w:t>
            </w:r>
            <w:r w:rsidR="008C4F9E" w:rsidRPr="00A57CFE">
              <w:rPr>
                <w:rStyle w:val="MaviChar"/>
                <w:b/>
              </w:rPr>
              <w:t xml:space="preserve">ön raporda belirtilen tespitlere bağlanacak </w:t>
            </w:r>
            <w:r w:rsidR="00447B9B" w:rsidRPr="00A57CFE">
              <w:rPr>
                <w:rStyle w:val="MaviChar"/>
                <w:b/>
              </w:rPr>
              <w:t>hukuki sonuçları takdir eder.</w:t>
            </w:r>
          </w:p>
          <w:p w:rsidR="00AA5C8C" w:rsidRPr="00A23740" w:rsidRDefault="00AA5C8C" w:rsidP="009431FF">
            <w:pPr>
              <w:pStyle w:val="YEL"/>
              <w:widowControl w:val="0"/>
              <w:rPr>
                <w:i/>
              </w:rPr>
            </w:pPr>
          </w:p>
        </w:tc>
      </w:tr>
      <w:tr w:rsidR="005C3738" w:rsidRPr="00A23740" w:rsidTr="009431FF">
        <w:tc>
          <w:tcPr>
            <w:tcW w:w="5000" w:type="pct"/>
            <w:gridSpan w:val="2"/>
            <w:shd w:val="clear" w:color="auto" w:fill="DEEAF6"/>
          </w:tcPr>
          <w:p w:rsidR="00F06498" w:rsidRPr="00A23740" w:rsidRDefault="00F06498" w:rsidP="009431FF">
            <w:pPr>
              <w:tabs>
                <w:tab w:val="left" w:pos="567"/>
              </w:tabs>
              <w:ind w:firstLine="709"/>
              <w:rPr>
                <w:b/>
                <w:bCs/>
                <w:szCs w:val="24"/>
                <w:lang w:eastAsia="x-none"/>
              </w:rPr>
            </w:pPr>
          </w:p>
          <w:p w:rsidR="00A6097D" w:rsidRPr="00A23740" w:rsidRDefault="00A6097D" w:rsidP="009431FF">
            <w:pPr>
              <w:tabs>
                <w:tab w:val="left" w:pos="567"/>
              </w:tabs>
              <w:ind w:firstLine="709"/>
              <w:rPr>
                <w:bCs/>
                <w:szCs w:val="24"/>
                <w:lang w:eastAsia="x-none"/>
              </w:rPr>
            </w:pPr>
            <w:r w:rsidRPr="00A23740">
              <w:rPr>
                <w:b/>
                <w:bCs/>
                <w:szCs w:val="24"/>
                <w:lang w:eastAsia="x-none"/>
              </w:rPr>
              <w:t xml:space="preserve">MADDE 376- </w:t>
            </w:r>
            <w:r w:rsidRPr="00A23740">
              <w:rPr>
                <w:bCs/>
                <w:szCs w:val="24"/>
                <w:lang w:eastAsia="x-none"/>
              </w:rPr>
              <w:t>Maddeyle geçici mühlet düzenlenmektedir.</w:t>
            </w:r>
          </w:p>
          <w:p w:rsidR="00A6097D" w:rsidRPr="00A23740" w:rsidRDefault="00A6097D" w:rsidP="009431FF">
            <w:pPr>
              <w:tabs>
                <w:tab w:val="left" w:pos="567"/>
              </w:tabs>
              <w:ind w:firstLine="709"/>
              <w:rPr>
                <w:bCs/>
                <w:szCs w:val="24"/>
                <w:lang w:eastAsia="x-none"/>
              </w:rPr>
            </w:pPr>
            <w:r w:rsidRPr="00A23740">
              <w:rPr>
                <w:bCs/>
                <w:szCs w:val="24"/>
                <w:lang w:eastAsia="x-none"/>
              </w:rPr>
              <w:t>Birinci fıkrada, “kesin mühletin borçlu bakımından sonuçları” ibaresi, kesin mühletin doğurduğu sonuçların geçici mühlette de geçerli olacağı zaten 377 inci</w:t>
            </w:r>
            <w:r w:rsidR="004D2415" w:rsidRPr="00A23740">
              <w:rPr>
                <w:bCs/>
                <w:szCs w:val="24"/>
                <w:lang w:eastAsia="x-none"/>
              </w:rPr>
              <w:t xml:space="preserve"> </w:t>
            </w:r>
            <w:r w:rsidRPr="00A23740">
              <w:rPr>
                <w:bCs/>
                <w:szCs w:val="24"/>
                <w:lang w:eastAsia="x-none"/>
              </w:rPr>
              <w:t>maddenin birinci fıkrasında açıkça belirtildiğinden fıkra metninden çıkartılmıştır. Birinci fıkra bağlamında vurgulanması gereken husus,  mahkemenin 375 inci</w:t>
            </w:r>
            <w:r w:rsidR="004D2415" w:rsidRPr="00A23740">
              <w:rPr>
                <w:bCs/>
                <w:szCs w:val="24"/>
                <w:lang w:eastAsia="x-none"/>
              </w:rPr>
              <w:t xml:space="preserve"> </w:t>
            </w:r>
            <w:r w:rsidRPr="00A23740">
              <w:rPr>
                <w:bCs/>
                <w:szCs w:val="24"/>
                <w:lang w:eastAsia="x-none"/>
              </w:rPr>
              <w:t xml:space="preserve">madde uyarınca kendisine sunulması zorunlu olan belgeler hakkında herhangi bir bilirkişi incelemesi yaptıramamasıdır. Bu bağlamda mahkemenin denetleyeceği yegane husus, </w:t>
            </w:r>
            <w:r w:rsidR="002570B6" w:rsidRPr="00A23740">
              <w:rPr>
                <w:bCs/>
                <w:szCs w:val="24"/>
                <w:lang w:eastAsia="x-none"/>
              </w:rPr>
              <w:t xml:space="preserve">tamamen şekli olup </w:t>
            </w:r>
            <w:r w:rsidRPr="00A23740">
              <w:rPr>
                <w:bCs/>
                <w:szCs w:val="24"/>
                <w:lang w:eastAsia="x-none"/>
              </w:rPr>
              <w:t>375 inci</w:t>
            </w:r>
            <w:r w:rsidR="003B4DF3" w:rsidRPr="003B4DF3">
              <w:rPr>
                <w:rStyle w:val="KIRMIZIChar"/>
                <w:rFonts w:eastAsia="Calibri"/>
                <w:strike w:val="0"/>
              </w:rPr>
              <w:t xml:space="preserve"> </w:t>
            </w:r>
            <w:r w:rsidRPr="00A23740">
              <w:rPr>
                <w:bCs/>
                <w:szCs w:val="24"/>
                <w:lang w:eastAsia="x-none"/>
              </w:rPr>
              <w:t xml:space="preserve">maddede sayılan belgelerin eksiksiz olarak teslim edilip edilmediğidir. </w:t>
            </w:r>
            <w:r w:rsidR="002570B6" w:rsidRPr="00A23740">
              <w:rPr>
                <w:bCs/>
                <w:szCs w:val="24"/>
                <w:lang w:eastAsia="x-none"/>
              </w:rPr>
              <w:t>Mahkemenin b</w:t>
            </w:r>
            <w:r w:rsidRPr="00A23740">
              <w:rPr>
                <w:bCs/>
                <w:szCs w:val="24"/>
                <w:lang w:eastAsia="x-none"/>
              </w:rPr>
              <w:t>elgelerin içeriği hakkında tereddü</w:t>
            </w:r>
            <w:r w:rsidR="002570B6" w:rsidRPr="00A23740">
              <w:rPr>
                <w:bCs/>
                <w:szCs w:val="24"/>
                <w:lang w:eastAsia="x-none"/>
              </w:rPr>
              <w:t>t</w:t>
            </w:r>
            <w:r w:rsidRPr="00A23740">
              <w:rPr>
                <w:bCs/>
                <w:szCs w:val="24"/>
                <w:lang w:eastAsia="x-none"/>
              </w:rPr>
              <w:t>ü varsa, bunu geçici komiserin daha sonraki görevi çerçevesinde mütalaa ederek bu konuda inceleme yapılmasını maddenin beşinci fıkrasında belirtilen esaslar dairesinde geçici komise</w:t>
            </w:r>
            <w:r w:rsidR="00F123C0" w:rsidRPr="00A23740">
              <w:rPr>
                <w:bCs/>
                <w:szCs w:val="24"/>
                <w:lang w:eastAsia="x-none"/>
              </w:rPr>
              <w:t>r</w:t>
            </w:r>
            <w:r w:rsidRPr="00A23740">
              <w:rPr>
                <w:bCs/>
                <w:szCs w:val="24"/>
                <w:lang w:eastAsia="x-none"/>
              </w:rPr>
              <w:t xml:space="preserve">den talep etmesi gerekir. Borçlu şirketin başlangıçta şekli bir incelemeyle hemen koruma altına alınması istenmiştir. </w:t>
            </w:r>
          </w:p>
          <w:p w:rsidR="00A6097D" w:rsidRPr="00A23740" w:rsidRDefault="00A6097D" w:rsidP="009431FF">
            <w:pPr>
              <w:tabs>
                <w:tab w:val="left" w:pos="567"/>
              </w:tabs>
              <w:ind w:firstLine="709"/>
              <w:rPr>
                <w:bCs/>
                <w:szCs w:val="24"/>
                <w:lang w:eastAsia="x-none"/>
              </w:rPr>
            </w:pPr>
            <w:r w:rsidRPr="00A23740">
              <w:rPr>
                <w:bCs/>
                <w:szCs w:val="24"/>
                <w:lang w:eastAsia="x-none"/>
              </w:rPr>
              <w:t>İkinci fıkrada, konkordato işlemlerinin başlatılmasının alacaklılardan biri tarafından talep edilmiş olması ihtimalinde borçlunun 375 inci maddede sayılan belgeleri mahkemenin vereceği süre içinde eksiksiz olarak sunması h</w:t>
            </w:r>
            <w:r w:rsidR="00F25704" w:rsidRPr="00A23740">
              <w:rPr>
                <w:bCs/>
                <w:szCs w:val="24"/>
                <w:lang w:eastAsia="x-none"/>
              </w:rPr>
              <w:t>â</w:t>
            </w:r>
            <w:r w:rsidRPr="00A23740">
              <w:rPr>
                <w:bCs/>
                <w:szCs w:val="24"/>
                <w:lang w:eastAsia="x-none"/>
              </w:rPr>
              <w:t>linde geçici mühlet kararı verileceğine; bulge ve kayıtların sunulması için borçlu şirkete verilen sürenin “kesin” olduğuna işaret edilmiş, böylece borçlunun süreci geciktirmesinin önüne geçilmek istenmiştir.</w:t>
            </w:r>
          </w:p>
          <w:p w:rsidR="00A6097D" w:rsidRPr="00A23740" w:rsidRDefault="00A6097D" w:rsidP="009431FF">
            <w:pPr>
              <w:tabs>
                <w:tab w:val="left" w:pos="567"/>
              </w:tabs>
              <w:ind w:firstLine="709"/>
              <w:rPr>
                <w:bCs/>
                <w:szCs w:val="24"/>
                <w:lang w:eastAsia="x-none"/>
              </w:rPr>
            </w:pPr>
            <w:r w:rsidRPr="00A23740">
              <w:rPr>
                <w:bCs/>
                <w:szCs w:val="24"/>
                <w:lang w:eastAsia="x-none"/>
              </w:rPr>
              <w:t>Üçüncü fıkrada, geçici mühlet süresi dört ay olarak belirlenmiş ve sürenin uzatılması imk</w:t>
            </w:r>
            <w:r w:rsidR="00BE53A8" w:rsidRPr="00A23740">
              <w:rPr>
                <w:bCs/>
                <w:szCs w:val="24"/>
                <w:lang w:eastAsia="x-none"/>
              </w:rPr>
              <w:t>â</w:t>
            </w:r>
            <w:r w:rsidRPr="00A23740">
              <w:rPr>
                <w:bCs/>
                <w:szCs w:val="24"/>
                <w:lang w:eastAsia="x-none"/>
              </w:rPr>
              <w:t>nı kaldırılmıştır. Şu h</w:t>
            </w:r>
            <w:r w:rsidR="00F25704" w:rsidRPr="00A23740">
              <w:rPr>
                <w:bCs/>
                <w:szCs w:val="24"/>
                <w:lang w:eastAsia="x-none"/>
              </w:rPr>
              <w:t>â</w:t>
            </w:r>
            <w:r w:rsidRPr="00A23740">
              <w:rPr>
                <w:bCs/>
                <w:szCs w:val="24"/>
                <w:lang w:eastAsia="x-none"/>
              </w:rPr>
              <w:t xml:space="preserve">lde artık geçici mühlette en fazla </w:t>
            </w:r>
            <w:r w:rsidR="004D2415" w:rsidRPr="00A57CFE">
              <w:t>dört</w:t>
            </w:r>
            <w:r w:rsidRPr="00A23740">
              <w:rPr>
                <w:bCs/>
                <w:szCs w:val="24"/>
                <w:lang w:eastAsia="x-none"/>
              </w:rPr>
              <w:t xml:space="preserve"> aylık tek bir süre söz konusu olacaktır. Mahkemenin durum ve şartlara göre dört aydan daha kısa bir süre vermesi mümkündür; ancak bu takdirde talep üzerine ve toplam süre dört ayı geçmemek  k</w:t>
            </w:r>
            <w:r w:rsidR="00FB5B54">
              <w:rPr>
                <w:bCs/>
                <w:szCs w:val="24"/>
                <w:lang w:eastAsia="x-none"/>
              </w:rPr>
              <w:t>aydıyla süre uzatılabilecektir.</w:t>
            </w:r>
          </w:p>
          <w:p w:rsidR="00A6097D" w:rsidRPr="00A23740" w:rsidRDefault="00A6097D" w:rsidP="009431FF">
            <w:pPr>
              <w:tabs>
                <w:tab w:val="left" w:pos="567"/>
              </w:tabs>
              <w:ind w:firstLine="709"/>
              <w:rPr>
                <w:bCs/>
                <w:szCs w:val="24"/>
                <w:lang w:eastAsia="x-none"/>
              </w:rPr>
            </w:pPr>
            <w:r w:rsidRPr="00A23740">
              <w:rPr>
                <w:bCs/>
                <w:szCs w:val="24"/>
                <w:lang w:eastAsia="x-none"/>
              </w:rPr>
              <w:t>Dördüncü fıkrada, geçici mühlet kararıyla birlikte görevlendirilen geçici komiser veya komiserlerin görevleri ile sorumlulukları ve seçim usulü hakkında Taslağın 379 ve 380 inci</w:t>
            </w:r>
            <w:r w:rsidR="004D2415" w:rsidRPr="00A23740">
              <w:rPr>
                <w:bCs/>
                <w:szCs w:val="24"/>
                <w:lang w:eastAsia="x-none"/>
              </w:rPr>
              <w:t xml:space="preserve"> </w:t>
            </w:r>
            <w:r w:rsidRPr="00A23740">
              <w:rPr>
                <w:bCs/>
                <w:szCs w:val="24"/>
                <w:lang w:eastAsia="x-none"/>
              </w:rPr>
              <w:t>maddelerinin uygulanac</w:t>
            </w:r>
            <w:r w:rsidR="004D2415" w:rsidRPr="00A23740">
              <w:rPr>
                <w:bCs/>
                <w:szCs w:val="24"/>
                <w:lang w:eastAsia="x-none"/>
              </w:rPr>
              <w:t>a</w:t>
            </w:r>
            <w:r w:rsidRPr="00A23740">
              <w:rPr>
                <w:bCs/>
                <w:szCs w:val="24"/>
                <w:lang w:eastAsia="x-none"/>
              </w:rPr>
              <w:t>ğı belirtilmiştir.</w:t>
            </w:r>
          </w:p>
          <w:p w:rsidR="00A6097D" w:rsidRPr="00A23740" w:rsidRDefault="00A6097D" w:rsidP="009431FF">
            <w:pPr>
              <w:tabs>
                <w:tab w:val="left" w:pos="567"/>
              </w:tabs>
              <w:ind w:firstLine="709"/>
              <w:rPr>
                <w:bCs/>
                <w:szCs w:val="24"/>
                <w:lang w:eastAsia="x-none"/>
              </w:rPr>
            </w:pPr>
            <w:r w:rsidRPr="00A23740">
              <w:rPr>
                <w:bCs/>
                <w:szCs w:val="24"/>
                <w:lang w:eastAsia="x-none"/>
              </w:rPr>
              <w:t>Taslağın 375 inci</w:t>
            </w:r>
            <w:r w:rsidR="004D2415" w:rsidRPr="00A23740">
              <w:rPr>
                <w:bCs/>
                <w:szCs w:val="24"/>
                <w:lang w:eastAsia="x-none"/>
              </w:rPr>
              <w:t xml:space="preserve"> </w:t>
            </w:r>
            <w:r w:rsidRPr="00A23740">
              <w:rPr>
                <w:bCs/>
                <w:szCs w:val="24"/>
                <w:lang w:eastAsia="x-none"/>
              </w:rPr>
              <w:t xml:space="preserve">maddesi uyarınca mahkemeye sunulacak olan belgelerin içeriğinin objektif esaslara uygun olup olmadığının denetlenmesi konusunda uygulamada büyük tereddütler söz konusu olmuş ve bu tereddütleri aşmak için uygulama bir yöntem geliştirmiştir. Bu yöntemin gerekli adaptasyonlar yapılarak hüküm altına alınmasının uygun olacağı düşünülmüş ve Taslağın bu maddesine beşinci fıkra olarak yeni bir fıkra eklenmiştir. Buna göre, geçici mühlet kararıyla birlikte atanan geçici komiser, görevlendirilmesinden itibaren üç hafta içinde mahkemeye, </w:t>
            </w:r>
            <w:r w:rsidR="004D2415" w:rsidRPr="00A23740">
              <w:rPr>
                <w:bCs/>
                <w:szCs w:val="24"/>
                <w:lang w:eastAsia="x-none"/>
              </w:rPr>
              <w:t xml:space="preserve">375 inci </w:t>
            </w:r>
            <w:r w:rsidRPr="00A23740">
              <w:rPr>
                <w:bCs/>
                <w:szCs w:val="24"/>
                <w:lang w:eastAsia="x-none"/>
              </w:rPr>
              <w:t xml:space="preserve">maddenin birinci fıkrasının (d) bendi uyarınca sunulan “makul güvence veren denetim raporu”nun dayanaklarının  mevcut olup olmadığı ve ilgili yönetmelik ile yönetmelikte belirtilen standartlara uygun olup olmadığı konusunda bir ön rapor verecektir. Bu ön raporda </w:t>
            </w:r>
            <w:r w:rsidR="004D2415" w:rsidRPr="00A23740">
              <w:rPr>
                <w:bCs/>
                <w:szCs w:val="24"/>
                <w:lang w:eastAsia="x-none"/>
              </w:rPr>
              <w:t xml:space="preserve">375 inci </w:t>
            </w:r>
            <w:r w:rsidRPr="00A23740">
              <w:rPr>
                <w:bCs/>
                <w:szCs w:val="24"/>
                <w:lang w:eastAsia="x-none"/>
              </w:rPr>
              <w:t>maddede belirtilen diğer bilgi ve belgeler bakımından değerlendirm</w:t>
            </w:r>
            <w:r w:rsidR="00F123C0" w:rsidRPr="00A23740">
              <w:rPr>
                <w:bCs/>
                <w:szCs w:val="24"/>
                <w:lang w:eastAsia="x-none"/>
              </w:rPr>
              <w:t>eler de yer alacaktır. Mahkeme,</w:t>
            </w:r>
            <w:r w:rsidRPr="00A23740">
              <w:rPr>
                <w:bCs/>
                <w:szCs w:val="24"/>
                <w:lang w:eastAsia="x-none"/>
              </w:rPr>
              <w:t xml:space="preserve"> geçici mühletin kaldırılması </w:t>
            </w:r>
            <w:r w:rsidR="002570B6" w:rsidRPr="00A23740">
              <w:rPr>
                <w:bCs/>
                <w:szCs w:val="24"/>
                <w:lang w:eastAsia="x-none"/>
              </w:rPr>
              <w:t xml:space="preserve">ve </w:t>
            </w:r>
            <w:r w:rsidR="004D2415" w:rsidRPr="00A23740">
              <w:rPr>
                <w:bCs/>
                <w:szCs w:val="24"/>
                <w:lang w:eastAsia="x-none"/>
              </w:rPr>
              <w:t xml:space="preserve">375 inci </w:t>
            </w:r>
            <w:r w:rsidRPr="00A23740">
              <w:rPr>
                <w:bCs/>
                <w:szCs w:val="24"/>
                <w:lang w:eastAsia="x-none"/>
              </w:rPr>
              <w:t>maddenin üçüncü fıkrası uyarınca Kamu Gözetimi, Muhasebe ve Denetim Standartları Kurumuna gerekli bildirimlerin yapılması da dahil olmak üzere  ön raporda belirtilen tespitlere bağlanacak hukuki sonuçları takdir edecektir. Dikkat edilirse, bu yeni hükümle, konkordato talebiyle birlikte mahkemeye sunulan belgelerin içerik (esas) yönünden inceleme yapılmak üzere bilirkişi incelemesine tabi tutulmasıntan ve bu incelemeden olumlu sonuç alınmasından sonra geçici mühlet kararı verilmesi yönündeki uygulama yasaklanmış olmaktadır.</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A5C8C" w:rsidRPr="00A23740" w:rsidRDefault="00AA5C8C" w:rsidP="009431FF">
            <w:pPr>
              <w:widowControl w:val="0"/>
              <w:rPr>
                <w:rFonts w:eastAsia="Times New Roman"/>
                <w:i/>
                <w:szCs w:val="24"/>
                <w:lang w:eastAsia="tr-TR"/>
              </w:rPr>
            </w:pPr>
            <w:r w:rsidRPr="00A23740">
              <w:rPr>
                <w:rFonts w:eastAsia="Times New Roman"/>
                <w:i/>
                <w:szCs w:val="24"/>
                <w:lang w:eastAsia="tr-TR"/>
              </w:rPr>
              <w:t>Geçici mühletin sonuçları, ilânı ve bildirimi</w:t>
            </w:r>
            <w:r w:rsidRPr="00A23740">
              <w:rPr>
                <w:rStyle w:val="KIRMIZIChar"/>
                <w:rFonts w:eastAsia="Calibri"/>
              </w:rPr>
              <w:t>:</w:t>
            </w:r>
          </w:p>
          <w:p w:rsidR="00AA5C8C" w:rsidRPr="00A23740" w:rsidRDefault="00AA5C8C" w:rsidP="009431FF">
            <w:pPr>
              <w:widowControl w:val="0"/>
              <w:rPr>
                <w:rFonts w:eastAsia="Times New Roman"/>
                <w:b/>
                <w:szCs w:val="24"/>
                <w:lang w:eastAsia="tr-TR"/>
              </w:rPr>
            </w:pPr>
            <w:r w:rsidRPr="00A23740">
              <w:rPr>
                <w:rStyle w:val="KIRMIZIChar"/>
                <w:rFonts w:eastAsia="Calibri"/>
              </w:rPr>
              <w:t>Madde 288- (1) (Değişik: 28/2/2018-7101/16 md.)</w:t>
            </w:r>
          </w:p>
          <w:p w:rsidR="00AA5C8C" w:rsidRPr="00A23740" w:rsidRDefault="00AA5C8C" w:rsidP="009431FF">
            <w:pPr>
              <w:widowControl w:val="0"/>
              <w:rPr>
                <w:b/>
                <w:strike/>
                <w:color w:val="FF0000"/>
                <w:szCs w:val="24"/>
              </w:rPr>
            </w:pPr>
            <w:r w:rsidRPr="00A23740">
              <w:rPr>
                <w:b/>
                <w:strike/>
                <w:color w:val="FF0000"/>
                <w:szCs w:val="24"/>
              </w:rPr>
              <w:t>Geçici mühlet, kesin mühletin sonuçlarını doğurur.</w:t>
            </w:r>
          </w:p>
          <w:p w:rsidR="00AA5C8C" w:rsidRPr="00A23740" w:rsidRDefault="00AA5C8C" w:rsidP="009431FF">
            <w:pPr>
              <w:widowControl w:val="0"/>
              <w:rPr>
                <w:b/>
                <w:strike/>
                <w:color w:val="FF0000"/>
                <w:szCs w:val="24"/>
              </w:rPr>
            </w:pPr>
          </w:p>
          <w:p w:rsidR="00AA5C8C" w:rsidRPr="00A23740" w:rsidRDefault="00AA5C8C" w:rsidP="009431FF">
            <w:pPr>
              <w:widowControl w:val="0"/>
              <w:rPr>
                <w:b/>
                <w:strike/>
                <w:color w:val="FF0000"/>
                <w:szCs w:val="24"/>
              </w:rPr>
            </w:pPr>
          </w:p>
          <w:p w:rsidR="00AA5C8C" w:rsidRPr="00A23740" w:rsidRDefault="00AA5C8C" w:rsidP="009431FF">
            <w:pPr>
              <w:widowControl w:val="0"/>
              <w:rPr>
                <w:b/>
                <w:strike/>
                <w:color w:val="FF0000"/>
                <w:szCs w:val="24"/>
              </w:rPr>
            </w:pPr>
          </w:p>
          <w:p w:rsidR="00AA5C8C" w:rsidRPr="00A23740" w:rsidRDefault="00AA5C8C" w:rsidP="009431FF">
            <w:pPr>
              <w:widowControl w:val="0"/>
              <w:rPr>
                <w:szCs w:val="24"/>
              </w:rPr>
            </w:pPr>
            <w:r w:rsidRPr="00A23740">
              <w:rPr>
                <w:b/>
                <w:strike/>
                <w:color w:val="FF0000"/>
                <w:szCs w:val="24"/>
              </w:rPr>
              <w:t>(2) Mahkemece</w:t>
            </w:r>
            <w:r w:rsidRPr="00A23740">
              <w:rPr>
                <w:szCs w:val="24"/>
              </w:rPr>
              <w:t xml:space="preserve"> geçici mühlet kararı, ticaret sicili gazetesinde ve Basın-İlan Kurumunun resmî ilân portalında ilân olunur ve derhâl tapu müdürlüğüne, ticaret sicili müdürlüğüne, vergi dairesine, gümrük ve posta idarelerine, Türkiye Bankalar Birliğine, Türkiye Katılım Bankaları Birliğine, mahallî ticaret odalarına, sanayi odalarına, taşınır kıymet borsalarına, Sermaye Piyasası Kuruluna ve diğer lazım gelen yerlere bildirilir. İlanda ayrıca alacaklıların, ilândan itibaren</w:t>
            </w:r>
            <w:r w:rsidRPr="00A23740">
              <w:rPr>
                <w:b/>
                <w:color w:val="FF0000"/>
                <w:szCs w:val="24"/>
              </w:rPr>
              <w:t xml:space="preserve"> </w:t>
            </w:r>
            <w:r w:rsidRPr="00A23740">
              <w:rPr>
                <w:rStyle w:val="AralkYokChar"/>
                <w:lang w:val="tr-TR"/>
              </w:rPr>
              <w:t>yedi günlük</w:t>
            </w:r>
            <w:r w:rsidRPr="00A23740">
              <w:rPr>
                <w:szCs w:val="24"/>
              </w:rPr>
              <w:t xml:space="preserve"> kesin süre içinde dilekçeyle itiraz ederek konkordato mühleti verilmesini gerektiren bir hâl bulunmadığını delilleriyle birlikte ileri sürebilecekleri ve bu çerçevede mahkemeden konkordato talebinin reddini isteyebilecekleri belirtilir.</w:t>
            </w:r>
          </w:p>
          <w:p w:rsidR="00AA5C8C" w:rsidRPr="00A23740" w:rsidRDefault="00AA5C8C" w:rsidP="009431FF">
            <w:pPr>
              <w:widowControl w:val="0"/>
              <w:rPr>
                <w:szCs w:val="24"/>
              </w:rPr>
            </w:pPr>
          </w:p>
          <w:p w:rsidR="00AA5C8C" w:rsidRPr="00A23740" w:rsidRDefault="00AA5C8C" w:rsidP="009431FF">
            <w:pPr>
              <w:widowControl w:val="0"/>
              <w:rPr>
                <w:szCs w:val="24"/>
              </w:rPr>
            </w:pPr>
          </w:p>
          <w:p w:rsidR="008C14D9" w:rsidRDefault="008C14D9" w:rsidP="009431FF">
            <w:pPr>
              <w:widowControl w:val="0"/>
              <w:rPr>
                <w:szCs w:val="24"/>
              </w:rPr>
            </w:pPr>
          </w:p>
          <w:p w:rsidR="003B4DF3" w:rsidRPr="00A23740" w:rsidRDefault="003B4DF3" w:rsidP="009431FF">
            <w:pPr>
              <w:widowControl w:val="0"/>
              <w:rPr>
                <w:szCs w:val="24"/>
              </w:rPr>
            </w:pPr>
          </w:p>
          <w:p w:rsidR="00174009" w:rsidRPr="00A23740" w:rsidRDefault="00AA5C8C" w:rsidP="009431FF">
            <w:pPr>
              <w:widowControl w:val="0"/>
              <w:rPr>
                <w:szCs w:val="24"/>
              </w:rPr>
            </w:pPr>
            <w:r w:rsidRPr="00A23740">
              <w:rPr>
                <w:szCs w:val="24"/>
              </w:rPr>
              <w:t xml:space="preserve">(3) </w:t>
            </w:r>
            <w:r w:rsidRPr="00A23740">
              <w:rPr>
                <w:bCs/>
              </w:rPr>
              <w:t>Geçici</w:t>
            </w:r>
            <w:r w:rsidRPr="00A23740">
              <w:rPr>
                <w:rStyle w:val="KIRMIZIChar"/>
                <w:rFonts w:eastAsia="Calibri"/>
                <w:strike w:val="0"/>
              </w:rPr>
              <w:t xml:space="preserve"> </w:t>
            </w:r>
            <w:r w:rsidRPr="00A23740">
              <w:rPr>
                <w:rStyle w:val="KIRMIZIChar"/>
                <w:rFonts w:eastAsia="Calibri"/>
              </w:rPr>
              <w:t>mühletin uzatılmasına ve geçici</w:t>
            </w:r>
            <w:r w:rsidRPr="00A23740">
              <w:rPr>
                <w:szCs w:val="24"/>
              </w:rPr>
              <w:t xml:space="preserve"> mühletin kaldırılarak konkordato talebinin reddine ilişkin kararlar da ikinci fıkra uyarınca ilân olunur ve ilgili yerlere bildirilir.</w:t>
            </w:r>
          </w:p>
        </w:tc>
        <w:tc>
          <w:tcPr>
            <w:tcW w:w="2500" w:type="pct"/>
            <w:shd w:val="clear" w:color="auto" w:fill="auto"/>
          </w:tcPr>
          <w:p w:rsidR="00AA5C8C" w:rsidRPr="00A23740" w:rsidRDefault="00AA5C8C" w:rsidP="009431FF">
            <w:pPr>
              <w:widowControl w:val="0"/>
              <w:rPr>
                <w:rFonts w:eastAsia="Times New Roman"/>
                <w:b/>
                <w:szCs w:val="24"/>
                <w:lang w:eastAsia="tr-TR"/>
              </w:rPr>
            </w:pPr>
            <w:r w:rsidRPr="00A23740">
              <w:rPr>
                <w:rFonts w:eastAsia="Times New Roman"/>
                <w:b/>
                <w:szCs w:val="24"/>
                <w:lang w:eastAsia="tr-TR"/>
              </w:rPr>
              <w:t>Geçici mühletin sonuçları, il</w:t>
            </w:r>
            <w:r w:rsidR="00930910" w:rsidRPr="00A23740">
              <w:rPr>
                <w:rFonts w:eastAsia="Times New Roman"/>
                <w:b/>
                <w:szCs w:val="24"/>
                <w:lang w:eastAsia="tr-TR"/>
              </w:rPr>
              <w:t>a</w:t>
            </w:r>
            <w:r w:rsidRPr="00A23740">
              <w:rPr>
                <w:rFonts w:eastAsia="Times New Roman"/>
                <w:b/>
                <w:szCs w:val="24"/>
                <w:lang w:eastAsia="tr-TR"/>
              </w:rPr>
              <w:t>nı ve bildirimi</w:t>
            </w:r>
          </w:p>
          <w:p w:rsidR="00AA5C8C" w:rsidRPr="00A23740" w:rsidRDefault="003A1467" w:rsidP="009431FF">
            <w:pPr>
              <w:widowControl w:val="0"/>
              <w:rPr>
                <w:rFonts w:eastAsia="Times New Roman"/>
                <w:b/>
                <w:color w:val="0000FF"/>
                <w:szCs w:val="24"/>
                <w:lang w:eastAsia="ar-SA"/>
              </w:rPr>
            </w:pPr>
            <w:r w:rsidRPr="00A23740">
              <w:rPr>
                <w:rStyle w:val="MaviChar"/>
                <w:lang w:val="tr-TR"/>
              </w:rPr>
              <w:t>MADDE 377</w:t>
            </w:r>
            <w:r w:rsidR="00AA5C8C" w:rsidRPr="00A23740">
              <w:rPr>
                <w:rStyle w:val="MaviChar"/>
                <w:lang w:val="tr-TR"/>
              </w:rPr>
              <w:t>- (1) Kesin</w:t>
            </w:r>
            <w:r w:rsidR="00AA5C8C" w:rsidRPr="00A23740">
              <w:rPr>
                <w:rFonts w:eastAsia="Times New Roman"/>
                <w:b/>
                <w:color w:val="0000FF"/>
                <w:szCs w:val="24"/>
                <w:lang w:eastAsia="ar-SA"/>
              </w:rPr>
              <w:t xml:space="preserve"> mühlete ilişkin hükümler geçici mühlete de uygulanır. Şu kadar ki</w:t>
            </w:r>
            <w:r w:rsidR="00AA5C8C" w:rsidRPr="00A23740">
              <w:rPr>
                <w:rStyle w:val="MaviChar"/>
              </w:rPr>
              <w:t>,</w:t>
            </w:r>
            <w:r w:rsidR="00AA5C8C" w:rsidRPr="00A23740">
              <w:rPr>
                <w:rFonts w:eastAsia="Times New Roman"/>
                <w:b/>
                <w:color w:val="0000FF"/>
                <w:szCs w:val="24"/>
                <w:lang w:eastAsia="ar-SA"/>
              </w:rPr>
              <w:t xml:space="preserve"> geçici mühlette </w:t>
            </w:r>
            <w:r w:rsidR="00AA5C8C" w:rsidRPr="00A23740">
              <w:rPr>
                <w:rStyle w:val="MaviChar"/>
              </w:rPr>
              <w:t>alacaklılar alacaklarını bildirmeye davet edilmez</w:t>
            </w:r>
            <w:r w:rsidR="00AA5C8C" w:rsidRPr="00A23740">
              <w:rPr>
                <w:rFonts w:eastAsia="Times New Roman"/>
                <w:b/>
                <w:color w:val="0000FF"/>
                <w:szCs w:val="24"/>
                <w:lang w:eastAsia="ar-SA"/>
              </w:rPr>
              <w:t xml:space="preserve"> ve alacaklılar toplantısı yapılmaz; alacaklılar kurulu oluşturulmaz. </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lang w:val="tr-TR"/>
              </w:rPr>
              <w:t>(2)</w:t>
            </w:r>
            <w:r w:rsidRPr="00A23740">
              <w:rPr>
                <w:szCs w:val="24"/>
              </w:rPr>
              <w:t xml:space="preserve"> </w:t>
            </w:r>
            <w:r w:rsidR="00174009" w:rsidRPr="00A57CFE">
              <w:rPr>
                <w:rStyle w:val="MaviChar"/>
              </w:rPr>
              <w:t>Mahkeme,</w:t>
            </w:r>
            <w:r w:rsidR="00174009" w:rsidRPr="00A23740">
              <w:rPr>
                <w:szCs w:val="24"/>
              </w:rPr>
              <w:t xml:space="preserve"> </w:t>
            </w:r>
            <w:r w:rsidRPr="00A23740">
              <w:rPr>
                <w:szCs w:val="24"/>
              </w:rPr>
              <w:t xml:space="preserve">geçici mühlet </w:t>
            </w:r>
            <w:r w:rsidR="00174009" w:rsidRPr="00A57CFE">
              <w:rPr>
                <w:rStyle w:val="MaviChar"/>
              </w:rPr>
              <w:t>kararını</w:t>
            </w:r>
            <w:r w:rsidRPr="00A23740">
              <w:rPr>
                <w:szCs w:val="24"/>
              </w:rPr>
              <w:t>, ticaret sicili gazetesinde ve Basın</w:t>
            </w:r>
            <w:r w:rsidR="00586558" w:rsidRPr="00A23740">
              <w:rPr>
                <w:szCs w:val="24"/>
              </w:rPr>
              <w:t xml:space="preserve"> </w:t>
            </w:r>
            <w:r w:rsidR="00FB6566" w:rsidRPr="00A23740">
              <w:rPr>
                <w:szCs w:val="24"/>
              </w:rPr>
              <w:t>-</w:t>
            </w:r>
            <w:r w:rsidR="00586558" w:rsidRPr="00A23740">
              <w:rPr>
                <w:szCs w:val="24"/>
              </w:rPr>
              <w:t xml:space="preserve"> </w:t>
            </w:r>
            <w:r w:rsidRPr="00A23740">
              <w:rPr>
                <w:szCs w:val="24"/>
              </w:rPr>
              <w:t>İlan Kurumunun resmî il</w:t>
            </w:r>
            <w:r w:rsidR="00930910" w:rsidRPr="00A23740">
              <w:rPr>
                <w:szCs w:val="24"/>
              </w:rPr>
              <w:t>a</w:t>
            </w:r>
            <w:r w:rsidRPr="00A23740">
              <w:rPr>
                <w:szCs w:val="24"/>
              </w:rPr>
              <w:t>n portalında il</w:t>
            </w:r>
            <w:r w:rsidR="00930910" w:rsidRPr="00A23740">
              <w:rPr>
                <w:szCs w:val="24"/>
              </w:rPr>
              <w:t>a</w:t>
            </w:r>
            <w:r w:rsidRPr="00A23740">
              <w:rPr>
                <w:szCs w:val="24"/>
              </w:rPr>
              <w:t xml:space="preserve">n </w:t>
            </w:r>
            <w:r w:rsidR="00174009" w:rsidRPr="00A57CFE">
              <w:rPr>
                <w:rStyle w:val="MaviChar"/>
              </w:rPr>
              <w:t>eder</w:t>
            </w:r>
            <w:r w:rsidR="00174009" w:rsidRPr="00A23740">
              <w:rPr>
                <w:szCs w:val="24"/>
              </w:rPr>
              <w:t xml:space="preserve"> </w:t>
            </w:r>
            <w:r w:rsidRPr="00A23740">
              <w:rPr>
                <w:szCs w:val="24"/>
              </w:rPr>
              <w:t xml:space="preserve">ve derhâl tapu müdürlüğüne, ticaret sicili müdürlüğüne, vergi dairesine, gümrük ve posta idarelerine, Türkiye Bankalar Birliğine, Türkiye Katılım Bankaları Birliğine, </w:t>
            </w:r>
            <w:r w:rsidRPr="00A23740">
              <w:rPr>
                <w:rFonts w:eastAsia="Times New Roman"/>
                <w:b/>
                <w:color w:val="0000FF"/>
                <w:szCs w:val="24"/>
                <w:lang w:eastAsia="ar-SA"/>
              </w:rPr>
              <w:t xml:space="preserve">Finansal Kiralama, Faktoring ve Finansman Şirketleri Birliğine, </w:t>
            </w:r>
            <w:r w:rsidRPr="00A23740">
              <w:rPr>
                <w:szCs w:val="24"/>
              </w:rPr>
              <w:t xml:space="preserve"> mahallî ticaret odalarına, sanayi odalarına, taşınır kıymet borsalarına, Sermaye Piyasası Kuruluna ve </w:t>
            </w:r>
            <w:r w:rsidR="00174009" w:rsidRPr="00A57CFE">
              <w:rPr>
                <w:rStyle w:val="MaviChar"/>
              </w:rPr>
              <w:t>gereken diğer</w:t>
            </w:r>
            <w:r w:rsidR="00174009" w:rsidRPr="00A23740">
              <w:rPr>
                <w:szCs w:val="24"/>
              </w:rPr>
              <w:t xml:space="preserve"> </w:t>
            </w:r>
            <w:r w:rsidRPr="00A23740">
              <w:rPr>
                <w:szCs w:val="24"/>
              </w:rPr>
              <w:t xml:space="preserve">yerlere </w:t>
            </w:r>
            <w:r w:rsidR="00174009" w:rsidRPr="00A57CFE">
              <w:rPr>
                <w:rStyle w:val="MaviChar"/>
              </w:rPr>
              <w:t>bildirir</w:t>
            </w:r>
            <w:r w:rsidRPr="00A23740">
              <w:rPr>
                <w:szCs w:val="24"/>
              </w:rPr>
              <w:t xml:space="preserve">. </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rPr>
              <w:t>(3) İkinci fıkra uyarınca yapılan</w:t>
            </w:r>
            <w:r w:rsidRPr="00A23740">
              <w:rPr>
                <w:szCs w:val="24"/>
              </w:rPr>
              <w:t xml:space="preserve"> ilanda ayrıca alacaklıların, il</w:t>
            </w:r>
            <w:r w:rsidR="00930910" w:rsidRPr="00A23740">
              <w:rPr>
                <w:szCs w:val="24"/>
              </w:rPr>
              <w:t>a</w:t>
            </w:r>
            <w:r w:rsidRPr="00A23740">
              <w:rPr>
                <w:szCs w:val="24"/>
              </w:rPr>
              <w:t xml:space="preserve">ndan itibaren </w:t>
            </w:r>
            <w:r w:rsidRPr="00A23740">
              <w:rPr>
                <w:rStyle w:val="MaviChar"/>
                <w:lang w:val="tr-TR"/>
              </w:rPr>
              <w:t>bir haftalık</w:t>
            </w:r>
            <w:r w:rsidRPr="00A23740">
              <w:rPr>
                <w:b/>
                <w:color w:val="FF0000"/>
                <w:szCs w:val="24"/>
              </w:rPr>
              <w:t xml:space="preserve"> </w:t>
            </w:r>
            <w:r w:rsidRPr="00A23740">
              <w:rPr>
                <w:szCs w:val="24"/>
              </w:rPr>
              <w:t>kesin süre içinde dilekçeyle itiraz ederek konkordato mühleti verilmesini gerektiren bir hâl bulunmadığını delilleriyle birlikte ileri sürebilecekleri ve mahkemeden konkordato talebinin reddini isteyebilecekleri belirtilir.</w:t>
            </w:r>
          </w:p>
          <w:p w:rsidR="00AA5C8C" w:rsidRPr="00A23740" w:rsidRDefault="00AA5C8C" w:rsidP="009431FF">
            <w:pPr>
              <w:widowControl w:val="0"/>
              <w:rPr>
                <w:b/>
                <w:color w:val="FF0000"/>
                <w:szCs w:val="24"/>
              </w:rPr>
            </w:pPr>
          </w:p>
          <w:p w:rsidR="00AA5C8C" w:rsidRPr="00A23740" w:rsidRDefault="00AA5C8C" w:rsidP="009431FF">
            <w:pPr>
              <w:widowControl w:val="0"/>
              <w:rPr>
                <w:szCs w:val="24"/>
              </w:rPr>
            </w:pPr>
            <w:r w:rsidRPr="00A23740">
              <w:rPr>
                <w:rStyle w:val="MaviChar"/>
              </w:rPr>
              <w:t>(4)</w:t>
            </w:r>
            <w:r w:rsidRPr="00A23740">
              <w:t xml:space="preserve"> </w:t>
            </w:r>
            <w:r w:rsidRPr="00A23740">
              <w:rPr>
                <w:szCs w:val="24"/>
              </w:rPr>
              <w:t xml:space="preserve">Geçici </w:t>
            </w:r>
            <w:r w:rsidR="008C14D9" w:rsidRPr="00A57CFE">
              <w:rPr>
                <w:rStyle w:val="MaviChar"/>
              </w:rPr>
              <w:t>mühlet</w:t>
            </w:r>
            <w:r w:rsidRPr="00A23740">
              <w:rPr>
                <w:szCs w:val="24"/>
              </w:rPr>
              <w:t xml:space="preserve"> kaldırılarak konkordato talebinin reddine ilişkin kararlar da ikinci fıkra uyarınca il</w:t>
            </w:r>
            <w:r w:rsidR="00930910" w:rsidRPr="00A23740">
              <w:rPr>
                <w:szCs w:val="24"/>
              </w:rPr>
              <w:t>a</w:t>
            </w:r>
            <w:r w:rsidRPr="00A23740">
              <w:rPr>
                <w:szCs w:val="24"/>
              </w:rPr>
              <w:t>n olunur ve ilgili yerlere bildirilir.</w:t>
            </w:r>
          </w:p>
          <w:p w:rsidR="00AA5C8C" w:rsidRPr="00A23740" w:rsidRDefault="00AA5C8C" w:rsidP="009431FF">
            <w:pPr>
              <w:widowControl w:val="0"/>
              <w:rPr>
                <w:i/>
                <w:szCs w:val="24"/>
              </w:rPr>
            </w:pPr>
          </w:p>
        </w:tc>
      </w:tr>
      <w:tr w:rsidR="005C3738" w:rsidRPr="00A23740" w:rsidTr="009431FF">
        <w:tc>
          <w:tcPr>
            <w:tcW w:w="5000" w:type="pct"/>
            <w:gridSpan w:val="2"/>
            <w:shd w:val="clear" w:color="auto" w:fill="DEEAF6"/>
          </w:tcPr>
          <w:p w:rsidR="00F06498" w:rsidRPr="00A23740" w:rsidRDefault="00F06498" w:rsidP="009431FF">
            <w:pPr>
              <w:tabs>
                <w:tab w:val="left" w:pos="567"/>
              </w:tabs>
              <w:ind w:firstLine="709"/>
              <w:rPr>
                <w:b/>
                <w:bCs/>
                <w:szCs w:val="24"/>
                <w:lang w:eastAsia="x-none"/>
              </w:rPr>
            </w:pPr>
          </w:p>
          <w:p w:rsidR="00A6097D" w:rsidRPr="00A23740" w:rsidRDefault="00A6097D" w:rsidP="009431FF">
            <w:pPr>
              <w:tabs>
                <w:tab w:val="left" w:pos="567"/>
              </w:tabs>
              <w:ind w:firstLine="709"/>
              <w:rPr>
                <w:bCs/>
                <w:szCs w:val="24"/>
                <w:lang w:eastAsia="x-none"/>
              </w:rPr>
            </w:pPr>
            <w:r w:rsidRPr="00A23740">
              <w:rPr>
                <w:b/>
                <w:bCs/>
                <w:szCs w:val="24"/>
                <w:lang w:eastAsia="x-none"/>
              </w:rPr>
              <w:t xml:space="preserve">MADDE 377- </w:t>
            </w:r>
            <w:r w:rsidRPr="00A23740">
              <w:rPr>
                <w:bCs/>
                <w:szCs w:val="24"/>
                <w:lang w:eastAsia="x-none"/>
              </w:rPr>
              <w:t>Maddeyle geçici mühlet düzenlenmektedir.</w:t>
            </w:r>
          </w:p>
          <w:p w:rsidR="00A6097D" w:rsidRPr="00A23740" w:rsidRDefault="00A6097D" w:rsidP="009431FF">
            <w:pPr>
              <w:tabs>
                <w:tab w:val="left" w:pos="567"/>
              </w:tabs>
              <w:ind w:firstLine="709"/>
              <w:rPr>
                <w:bCs/>
                <w:szCs w:val="24"/>
                <w:lang w:eastAsia="x-none"/>
              </w:rPr>
            </w:pPr>
            <w:r w:rsidRPr="00A23740">
              <w:rPr>
                <w:bCs/>
                <w:szCs w:val="24"/>
                <w:lang w:eastAsia="x-none"/>
              </w:rPr>
              <w:t xml:space="preserve">Uygulamada ortaya çıkan tereddütler nedeniyle kesin mühlette uygulanan bazı hükümlerin geçici mühlette uygulanması mümkün olmadığından bu hükümlerin neler olduğunun açıklığa kavuşturulmasına ve böylece kesin mühlet hükümlerinin geçici mühlette de uygulanacağına ilişkin kuralın kapsamının </w:t>
            </w:r>
            <w:r w:rsidR="002570B6" w:rsidRPr="00A23740">
              <w:rPr>
                <w:bCs/>
                <w:szCs w:val="24"/>
                <w:lang w:eastAsia="x-none"/>
              </w:rPr>
              <w:t>belirlenmesine</w:t>
            </w:r>
            <w:r w:rsidRPr="00A23740">
              <w:rPr>
                <w:bCs/>
                <w:szCs w:val="24"/>
                <w:lang w:eastAsia="x-none"/>
              </w:rPr>
              <w:t xml:space="preserve"> ihtiyaç duyulmuştur. Onun için maddenin birinci fıkrasında, geçici mühlette alacaklıların alacaklarını bildirmeye davet edilmeyecekleri ve alacaklılar toplantısının yapılamayacağı, alacaklılar kurulu ol</w:t>
            </w:r>
            <w:r w:rsidR="00D21103" w:rsidRPr="00A23740">
              <w:rPr>
                <w:bCs/>
                <w:szCs w:val="24"/>
                <w:lang w:eastAsia="x-none"/>
              </w:rPr>
              <w:t>uşturulamayacağı açıklanmıştır.</w:t>
            </w:r>
          </w:p>
          <w:p w:rsidR="00A6097D" w:rsidRPr="00A23740" w:rsidRDefault="00A6097D" w:rsidP="009431FF">
            <w:pPr>
              <w:tabs>
                <w:tab w:val="left" w:pos="567"/>
              </w:tabs>
              <w:ind w:firstLine="709"/>
              <w:rPr>
                <w:bCs/>
                <w:szCs w:val="24"/>
                <w:lang w:eastAsia="x-none"/>
              </w:rPr>
            </w:pPr>
            <w:r w:rsidRPr="00A23740">
              <w:rPr>
                <w:bCs/>
                <w:szCs w:val="24"/>
                <w:lang w:eastAsia="x-none"/>
              </w:rPr>
              <w:t>Maddenin ikinci fıkrasında geçici mühlet kararının mahkemece bildirileceği yerler sayılmıştır. Bu fıkranın ikinci cümlesi önemine binaen yeni bir fıkra (üçüncü fıkra) olarak kurgulanmıştır.</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rFonts w:eastAsia="Times New Roman"/>
                <w:i/>
                <w:szCs w:val="24"/>
                <w:lang w:eastAsia="tr-TR"/>
              </w:rPr>
            </w:pPr>
          </w:p>
          <w:p w:rsidR="00AA5C8C" w:rsidRPr="00A23740" w:rsidRDefault="00AA5C8C" w:rsidP="009431FF">
            <w:pPr>
              <w:rPr>
                <w:rFonts w:eastAsia="Times New Roman"/>
                <w:i/>
                <w:szCs w:val="24"/>
                <w:lang w:eastAsia="tr-TR"/>
              </w:rPr>
            </w:pPr>
          </w:p>
        </w:tc>
        <w:tc>
          <w:tcPr>
            <w:tcW w:w="2500" w:type="pct"/>
          </w:tcPr>
          <w:p w:rsidR="00AA5C8C" w:rsidRPr="00A23740" w:rsidRDefault="00AA5C8C" w:rsidP="009431FF">
            <w:pPr>
              <w:pStyle w:val="Balk4"/>
              <w:rPr>
                <w:lang w:val="tr-TR"/>
              </w:rPr>
            </w:pPr>
            <w:r w:rsidRPr="00A23740">
              <w:rPr>
                <w:rStyle w:val="YELChar"/>
                <w:b/>
                <w:color w:val="0000FF"/>
                <w:szCs w:val="28"/>
                <w:lang w:val="tr-TR"/>
              </w:rPr>
              <w:t>İKİNCİ</w:t>
            </w:r>
            <w:r w:rsidRPr="00A23740">
              <w:rPr>
                <w:lang w:val="tr-TR"/>
              </w:rPr>
              <w:t xml:space="preserve"> AYRIM</w:t>
            </w:r>
          </w:p>
          <w:p w:rsidR="00AA5C8C" w:rsidRPr="00A23740" w:rsidRDefault="00AA5C8C" w:rsidP="009431FF">
            <w:pPr>
              <w:pStyle w:val="Balk4"/>
              <w:rPr>
                <w:lang w:val="tr-TR"/>
              </w:rPr>
            </w:pPr>
            <w:r w:rsidRPr="00A23740">
              <w:rPr>
                <w:lang w:val="tr-TR"/>
              </w:rPr>
              <w:t xml:space="preserve">Konkordato </w:t>
            </w:r>
            <w:r w:rsidRPr="00A23740">
              <w:rPr>
                <w:rStyle w:val="YELChar"/>
                <w:b/>
                <w:color w:val="0000FF"/>
                <w:szCs w:val="28"/>
                <w:lang w:val="tr-TR"/>
              </w:rPr>
              <w:t>Komiseri</w:t>
            </w:r>
          </w:p>
          <w:p w:rsidR="00AA5C8C" w:rsidRPr="00A23740" w:rsidRDefault="00AA5C8C" w:rsidP="009431FF">
            <w:pPr>
              <w:rPr>
                <w:rStyle w:val="MaviChar"/>
                <w:lang w:val="tr-TR"/>
              </w:rPr>
            </w:pPr>
          </w:p>
          <w:p w:rsidR="00AA5C8C" w:rsidRPr="00A23740" w:rsidRDefault="00AA5C8C" w:rsidP="009431FF">
            <w:pPr>
              <w:rPr>
                <w:rStyle w:val="MaviChar"/>
                <w:lang w:val="tr-TR"/>
              </w:rPr>
            </w:pPr>
            <w:r w:rsidRPr="00A23740">
              <w:rPr>
                <w:rStyle w:val="MaviChar"/>
                <w:lang w:val="tr-TR"/>
              </w:rPr>
              <w:t>Konkordato komiserinin görevlendirilmesi</w:t>
            </w:r>
          </w:p>
          <w:p w:rsidR="00AA5C8C" w:rsidRPr="00A23740" w:rsidRDefault="003A1467" w:rsidP="009431FF">
            <w:pPr>
              <w:rPr>
                <w:lang w:eastAsia="tr-TR"/>
              </w:rPr>
            </w:pPr>
            <w:r w:rsidRPr="00A23740">
              <w:rPr>
                <w:rStyle w:val="MaviChar"/>
                <w:lang w:val="tr-TR"/>
              </w:rPr>
              <w:t>MADDE 378</w:t>
            </w:r>
            <w:r w:rsidR="00AA5C8C" w:rsidRPr="00A23740">
              <w:rPr>
                <w:rStyle w:val="MaviChar"/>
                <w:lang w:val="tr-TR"/>
              </w:rPr>
              <w:t>-</w:t>
            </w:r>
            <w:r w:rsidR="00AA5C8C" w:rsidRPr="00A23740">
              <w:rPr>
                <w:rStyle w:val="MaviChar"/>
              </w:rPr>
              <w:t xml:space="preserve"> (1) İflas mahkemesi, geçici</w:t>
            </w:r>
            <w:r w:rsidR="00AA5C8C" w:rsidRPr="00A23740">
              <w:rPr>
                <w:rStyle w:val="MaviChar"/>
                <w:lang w:val="tr-TR"/>
              </w:rPr>
              <w:t xml:space="preserve"> </w:t>
            </w:r>
            <w:r w:rsidR="00AA5C8C" w:rsidRPr="00A23740">
              <w:rPr>
                <w:rStyle w:val="MaviChar"/>
              </w:rPr>
              <w:t>mühlet ve</w:t>
            </w:r>
            <w:r w:rsidR="00AA5C8C" w:rsidRPr="00A23740">
              <w:rPr>
                <w:rStyle w:val="MaviChar"/>
                <w:lang w:val="tr-TR"/>
              </w:rPr>
              <w:t xml:space="preserve"> </w:t>
            </w:r>
            <w:r w:rsidR="00AA5C8C" w:rsidRPr="00A23740">
              <w:rPr>
                <w:rStyle w:val="MaviChar"/>
              </w:rPr>
              <w:t>kesin mühlet kararıyla</w:t>
            </w:r>
            <w:r w:rsidR="00FC2E20" w:rsidRPr="00A23740">
              <w:rPr>
                <w:rStyle w:val="MaviChar"/>
                <w:lang w:val="tr-TR"/>
              </w:rPr>
              <w:t xml:space="preserve"> </w:t>
            </w:r>
            <w:r w:rsidR="00FC2E20" w:rsidRPr="00A57CFE">
              <w:rPr>
                <w:rStyle w:val="MaviChar"/>
              </w:rPr>
              <w:t>bir</w:t>
            </w:r>
            <w:r w:rsidR="00AA5C8C" w:rsidRPr="00A57CFE">
              <w:rPr>
                <w:rStyle w:val="MaviChar"/>
              </w:rPr>
              <w:t xml:space="preserve"> konkordato komiseri görevlendirir. </w:t>
            </w:r>
            <w:r w:rsidR="00FC2E20" w:rsidRPr="00A57CFE">
              <w:rPr>
                <w:rStyle w:val="MaviChar"/>
              </w:rPr>
              <w:t>Alacaklı sayısı ve alacak miktarı dikkate alınarak gerektiğinde üç komiser de görevlendirilebilir.</w:t>
            </w:r>
          </w:p>
          <w:p w:rsidR="00AA5C8C" w:rsidRPr="00A23740" w:rsidRDefault="00AA5C8C" w:rsidP="009431FF">
            <w:pPr>
              <w:rPr>
                <w:lang w:eastAsia="tr-TR"/>
              </w:rPr>
            </w:pPr>
          </w:p>
          <w:p w:rsidR="00AA5C8C" w:rsidRPr="00A23740" w:rsidRDefault="00AA5C8C" w:rsidP="009431FF">
            <w:pPr>
              <w:rPr>
                <w:rFonts w:eastAsia="Times New Roman"/>
                <w:b/>
                <w:color w:val="0000FF"/>
                <w:szCs w:val="24"/>
                <w:lang w:eastAsia="ar-SA"/>
              </w:rPr>
            </w:pPr>
            <w:r w:rsidRPr="00A23740">
              <w:rPr>
                <w:rStyle w:val="MaviChar"/>
              </w:rPr>
              <w:t>(2) Komiser</w:t>
            </w:r>
            <w:r w:rsidRPr="00A23740">
              <w:rPr>
                <w:rFonts w:eastAsia="Times New Roman"/>
                <w:b/>
                <w:color w:val="0000FF"/>
                <w:szCs w:val="24"/>
                <w:lang w:eastAsia="ar-SA"/>
              </w:rPr>
              <w:t xml:space="preserve"> görevlendirilmesine ilişkin karar, komiserin mahkemece belirlenmiş görevleri ve temsil yetkisi ile bunların sınırları tescil edilmek üzere ticaret sicili müdürlüğüne bildirilir.</w:t>
            </w:r>
          </w:p>
          <w:p w:rsidR="00AA5C8C" w:rsidRPr="00A23740" w:rsidRDefault="00AA5C8C" w:rsidP="009431FF">
            <w:pPr>
              <w:rPr>
                <w:rFonts w:eastAsia="Times New Roman"/>
                <w:b/>
                <w:color w:val="0000FF"/>
                <w:szCs w:val="24"/>
                <w:lang w:eastAsia="ar-SA"/>
              </w:rPr>
            </w:pPr>
            <w:r w:rsidRPr="00A23740">
              <w:rPr>
                <w:rFonts w:eastAsia="Times New Roman"/>
                <w:b/>
                <w:color w:val="0000FF"/>
                <w:szCs w:val="24"/>
                <w:lang w:eastAsia="ar-SA"/>
              </w:rPr>
              <w:t xml:space="preserve"> </w:t>
            </w:r>
          </w:p>
        </w:tc>
      </w:tr>
      <w:tr w:rsidR="005C3738" w:rsidRPr="00A23740" w:rsidTr="009431FF">
        <w:tc>
          <w:tcPr>
            <w:tcW w:w="5000" w:type="pct"/>
            <w:gridSpan w:val="2"/>
            <w:shd w:val="clear" w:color="auto" w:fill="DEEAF6"/>
          </w:tcPr>
          <w:p w:rsidR="00F06498" w:rsidRPr="00A23740" w:rsidRDefault="00F06498" w:rsidP="009431FF">
            <w:pPr>
              <w:tabs>
                <w:tab w:val="left" w:pos="567"/>
              </w:tabs>
              <w:ind w:firstLine="709"/>
              <w:rPr>
                <w:b/>
                <w:bCs/>
                <w:szCs w:val="24"/>
                <w:lang w:eastAsia="x-none"/>
              </w:rPr>
            </w:pPr>
          </w:p>
          <w:p w:rsidR="00A6097D" w:rsidRPr="00A23740" w:rsidRDefault="00A6097D" w:rsidP="009431FF">
            <w:pPr>
              <w:tabs>
                <w:tab w:val="left" w:pos="567"/>
              </w:tabs>
              <w:ind w:firstLine="709"/>
              <w:rPr>
                <w:bCs/>
                <w:szCs w:val="24"/>
                <w:lang w:eastAsia="x-none"/>
              </w:rPr>
            </w:pPr>
            <w:r w:rsidRPr="00A23740">
              <w:rPr>
                <w:b/>
                <w:bCs/>
                <w:szCs w:val="24"/>
                <w:lang w:eastAsia="x-none"/>
              </w:rPr>
              <w:t xml:space="preserve">MADDE 378- </w:t>
            </w:r>
            <w:r w:rsidRPr="00A23740">
              <w:rPr>
                <w:bCs/>
                <w:szCs w:val="24"/>
                <w:lang w:eastAsia="x-none"/>
              </w:rPr>
              <w:t>Maddeyle konkordato komiserinin görevlendirilmesi düzenlenmektedir.</w:t>
            </w:r>
          </w:p>
          <w:p w:rsidR="00A6097D" w:rsidRPr="00A23740" w:rsidRDefault="00A6097D" w:rsidP="009431FF">
            <w:pPr>
              <w:tabs>
                <w:tab w:val="left" w:pos="567"/>
              </w:tabs>
              <w:ind w:firstLine="709"/>
              <w:rPr>
                <w:bCs/>
                <w:szCs w:val="24"/>
                <w:lang w:eastAsia="x-none"/>
              </w:rPr>
            </w:pPr>
            <w:r w:rsidRPr="00A23740">
              <w:rPr>
                <w:bCs/>
                <w:szCs w:val="24"/>
                <w:lang w:eastAsia="x-none"/>
              </w:rPr>
              <w:t>Birinci fık</w:t>
            </w:r>
            <w:r w:rsidRPr="00A57CFE">
              <w:t>raya göre, konkordato komiserini iflas mahkemesi, geçici mühlet ve kesin mühlet kararıyla birlikte görevlendirecektir.</w:t>
            </w:r>
            <w:r w:rsidR="00F123C0" w:rsidRPr="00A57CFE">
              <w:t xml:space="preserve"> Ancak iflas mahkemesi alacaklı sayısı ve alacak miktarı dikkate alınarak gerektiğinde üç komiser de görevlendirebilir.</w:t>
            </w:r>
          </w:p>
          <w:p w:rsidR="00A6097D" w:rsidRPr="00A23740" w:rsidRDefault="00A6097D" w:rsidP="009431FF">
            <w:pPr>
              <w:tabs>
                <w:tab w:val="left" w:pos="567"/>
              </w:tabs>
              <w:ind w:firstLine="709"/>
              <w:rPr>
                <w:bCs/>
                <w:szCs w:val="24"/>
                <w:lang w:eastAsia="x-none"/>
              </w:rPr>
            </w:pPr>
            <w:r w:rsidRPr="00A23740">
              <w:rPr>
                <w:bCs/>
                <w:szCs w:val="24"/>
                <w:lang w:eastAsia="x-none"/>
              </w:rPr>
              <w:t>İkinci fıkrada, komiser görevlendirilmesine ilişkin kararın, komiserin mahkemece belirlenmiş görevleri ve temsil yetkisi ile bunların sınırları tescil edilmek üzere mahkemece ticaret sicili müdürlüğüne bildirileceğine ilişkindir.</w:t>
            </w:r>
          </w:p>
          <w:p w:rsidR="00A6097D" w:rsidRPr="00A23740" w:rsidRDefault="00A6097D" w:rsidP="009431FF">
            <w:pPr>
              <w:tabs>
                <w:tab w:val="left" w:pos="567"/>
              </w:tabs>
              <w:ind w:firstLine="709"/>
              <w:rPr>
                <w:bCs/>
                <w:szCs w:val="24"/>
                <w:lang w:eastAsia="x-none"/>
              </w:rPr>
            </w:pPr>
            <w:r w:rsidRPr="00A23740">
              <w:rPr>
                <w:bCs/>
                <w:szCs w:val="24"/>
                <w:lang w:eastAsia="x-none"/>
              </w:rPr>
              <w:t>Her iki fıkra da dağınık hükümleri bir araya getirerek konkordato komiserinin görevlendirilmesine ilişkin usul ve esasları açıklığa kavuşturmaktadır.</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szCs w:val="24"/>
              </w:rPr>
            </w:pPr>
            <w:r w:rsidRPr="00A23740">
              <w:rPr>
                <w:b/>
                <w:szCs w:val="24"/>
              </w:rPr>
              <w:t>Konkordato komiseri ve</w:t>
            </w:r>
            <w:r w:rsidRPr="00A23740">
              <w:rPr>
                <w:szCs w:val="24"/>
              </w:rPr>
              <w:t xml:space="preserve"> </w:t>
            </w:r>
            <w:r w:rsidRPr="00A23740">
              <w:rPr>
                <w:rStyle w:val="KIRMIZIChar"/>
                <w:rFonts w:eastAsia="Calibri"/>
              </w:rPr>
              <w:t>alacaklılar kurulu ile bunların</w:t>
            </w:r>
            <w:r w:rsidRPr="00A23740">
              <w:rPr>
                <w:szCs w:val="24"/>
              </w:rPr>
              <w:t xml:space="preserve"> </w:t>
            </w:r>
            <w:r w:rsidRPr="00A23740">
              <w:rPr>
                <w:b/>
                <w:szCs w:val="24"/>
              </w:rPr>
              <w:t>görevleri</w:t>
            </w:r>
            <w:r w:rsidRPr="00A23740">
              <w:rPr>
                <w:rStyle w:val="KIRMIZIChar"/>
                <w:rFonts w:eastAsia="Calibri"/>
              </w:rPr>
              <w:t>:</w:t>
            </w:r>
          </w:p>
          <w:p w:rsidR="00AA5C8C" w:rsidRPr="00A23740" w:rsidRDefault="00AA5C8C" w:rsidP="009431FF">
            <w:pPr>
              <w:widowControl w:val="0"/>
              <w:rPr>
                <w:b/>
                <w:bCs/>
                <w:strike/>
                <w:color w:val="FF0000"/>
                <w:szCs w:val="24"/>
              </w:rPr>
            </w:pPr>
            <w:r w:rsidRPr="00A23740">
              <w:rPr>
                <w:rStyle w:val="KIRMIZIChar"/>
                <w:rFonts w:eastAsia="Calibri"/>
              </w:rPr>
              <w:t>Madde 290- (1) (Değişik: 28/2/2018-7101/18 md.)</w:t>
            </w:r>
            <w:r w:rsidRPr="00A23740">
              <w:rPr>
                <w:rStyle w:val="KIRMIZIChar"/>
                <w:rFonts w:eastAsia="Calibri"/>
                <w:strike w:val="0"/>
              </w:rPr>
              <w:t xml:space="preserve"> </w:t>
            </w:r>
            <w:r w:rsidRPr="00A23740">
              <w:rPr>
                <w:rStyle w:val="KIRMIZIChar"/>
                <w:rFonts w:eastAsia="Calibri"/>
              </w:rPr>
              <w:t>Dosyayı teslim alan komiser kesin mühlet içinde, konkordatonun tasdikine yönelik işlemleri tamamlayarak dosyayı raporuyla birlikte mahkemeye iade eder.</w:t>
            </w: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Komiserin görevleri şunlardır:</w:t>
            </w:r>
          </w:p>
          <w:p w:rsidR="00AA5C8C" w:rsidRPr="00A23740" w:rsidRDefault="00AA5C8C" w:rsidP="009431FF">
            <w:pPr>
              <w:widowControl w:val="0"/>
              <w:rPr>
                <w:szCs w:val="24"/>
              </w:rPr>
            </w:pPr>
            <w:r w:rsidRPr="00A23740">
              <w:rPr>
                <w:szCs w:val="24"/>
              </w:rPr>
              <w:t xml:space="preserve">a) Konkordato projesinin tamamlanmasına katkıda bulunmak. </w:t>
            </w:r>
          </w:p>
          <w:p w:rsidR="00AA5C8C" w:rsidRPr="00A23740" w:rsidRDefault="00AA5C8C" w:rsidP="009431FF">
            <w:pPr>
              <w:widowControl w:val="0"/>
              <w:rPr>
                <w:szCs w:val="24"/>
              </w:rPr>
            </w:pPr>
            <w:r w:rsidRPr="00A23740">
              <w:rPr>
                <w:szCs w:val="24"/>
              </w:rPr>
              <w:t xml:space="preserve">b) Borçlunun faaliyetlerine nezaret etmek. </w:t>
            </w:r>
          </w:p>
          <w:p w:rsidR="00AA5C8C" w:rsidRPr="00A23740" w:rsidRDefault="00AA5C8C" w:rsidP="009431FF">
            <w:pPr>
              <w:pStyle w:val="KIRMIZI"/>
              <w:widowControl w:val="0"/>
            </w:pPr>
            <w:r w:rsidRPr="00A23740">
              <w:t>c) Bu kanunda verilen görevleri yapmak.</w:t>
            </w:r>
          </w:p>
          <w:p w:rsidR="00AA5C8C" w:rsidRPr="00A23740" w:rsidRDefault="00AA5C8C" w:rsidP="009431FF">
            <w:pPr>
              <w:widowControl w:val="0"/>
              <w:rPr>
                <w:szCs w:val="24"/>
              </w:rPr>
            </w:pPr>
            <w:r w:rsidRPr="00A23740">
              <w:rPr>
                <w:rStyle w:val="KIRMIZIChar"/>
                <w:rFonts w:eastAsia="Calibri"/>
              </w:rPr>
              <w:t>d)</w:t>
            </w:r>
            <w:r w:rsidRPr="00A23740">
              <w:rPr>
                <w:szCs w:val="24"/>
              </w:rPr>
              <w:t xml:space="preserve"> Mahkemenin istediği konularda ve uygun göreceği sürelerde ara raporlar sunmak.</w:t>
            </w:r>
          </w:p>
          <w:p w:rsidR="00AA5C8C" w:rsidRPr="00A23740" w:rsidRDefault="00AA5C8C" w:rsidP="009431FF">
            <w:pPr>
              <w:widowControl w:val="0"/>
              <w:rPr>
                <w:szCs w:val="24"/>
              </w:rPr>
            </w:pPr>
            <w:r w:rsidRPr="00A23740">
              <w:rPr>
                <w:rStyle w:val="KIRMIZIChar"/>
                <w:rFonts w:eastAsia="Calibri"/>
              </w:rPr>
              <w:t>e)</w:t>
            </w:r>
            <w:r w:rsidRPr="00A23740">
              <w:rPr>
                <w:szCs w:val="24"/>
              </w:rPr>
              <w:t xml:space="preserve"> Alacaklılar kurulunu konkordatonun seyri hakkında düzenli aralıklarla bilgilendirmek.</w:t>
            </w:r>
          </w:p>
          <w:p w:rsidR="00AA5C8C" w:rsidRPr="00A23740" w:rsidRDefault="00AA5C8C" w:rsidP="009431FF">
            <w:pPr>
              <w:widowControl w:val="0"/>
              <w:rPr>
                <w:szCs w:val="24"/>
              </w:rPr>
            </w:pPr>
            <w:r w:rsidRPr="00A23740">
              <w:rPr>
                <w:rStyle w:val="KIRMIZIChar"/>
                <w:rFonts w:eastAsia="Calibri"/>
              </w:rPr>
              <w:t>f)</w:t>
            </w:r>
            <w:r w:rsidRPr="00A23740">
              <w:rPr>
                <w:szCs w:val="24"/>
              </w:rPr>
              <w:t xml:space="preserve"> Talepte bulunan diğer alacaklılara konkordatonun seyri ve borçlunun güncel malî durumu hakkında bilgi vermek. </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D21103" w:rsidRPr="00A23740" w:rsidRDefault="00D21103" w:rsidP="009431FF">
            <w:pPr>
              <w:widowControl w:val="0"/>
              <w:rPr>
                <w:rStyle w:val="AltKonuBalChar1"/>
                <w:rFonts w:eastAsia="Calibri"/>
              </w:rPr>
            </w:pPr>
          </w:p>
          <w:p w:rsidR="00E66D96" w:rsidRPr="00A23740" w:rsidRDefault="00E66D96" w:rsidP="009431FF">
            <w:pPr>
              <w:widowControl w:val="0"/>
              <w:rPr>
                <w:rStyle w:val="AltKonuBalChar1"/>
                <w:rFonts w:eastAsia="Calibri"/>
              </w:rPr>
            </w:pPr>
          </w:p>
          <w:p w:rsidR="00AA5C8C" w:rsidRPr="00A23740" w:rsidRDefault="00277039" w:rsidP="009431FF">
            <w:pPr>
              <w:widowControl w:val="0"/>
              <w:rPr>
                <w:szCs w:val="24"/>
              </w:rPr>
            </w:pPr>
            <w:r>
              <w:rPr>
                <w:rStyle w:val="AltKonuBalChar1"/>
                <w:rFonts w:eastAsia="Calibri"/>
              </w:rPr>
              <w:t>M.290/F1.</w:t>
            </w:r>
            <w:r w:rsidR="00AA5C8C" w:rsidRPr="00A23740">
              <w:rPr>
                <w:rStyle w:val="AltKonuBalChar1"/>
                <w:rFonts w:eastAsia="Calibri"/>
              </w:rPr>
              <w:t>C1:</w:t>
            </w:r>
            <w:r w:rsidR="00AA5C8C" w:rsidRPr="00A23740">
              <w:rPr>
                <w:szCs w:val="24"/>
              </w:rPr>
              <w:t xml:space="preserve"> </w:t>
            </w:r>
            <w:r w:rsidR="00AA5C8C" w:rsidRPr="00A23740">
              <w:rPr>
                <w:rStyle w:val="KIRMIZIChar"/>
                <w:rFonts w:eastAsia="Calibri"/>
              </w:rPr>
              <w:t>Dosyayı teslim alan komiser</w:t>
            </w:r>
            <w:r w:rsidR="00AA5C8C" w:rsidRPr="00A23740">
              <w:rPr>
                <w:szCs w:val="24"/>
              </w:rPr>
              <w:t xml:space="preserve"> kesin mühlet içinde, konkordatonun tasdikine yönelik işlemleri tamamlayarak dosyayı raporuyla birlikte mahkemeye iade </w:t>
            </w:r>
            <w:r w:rsidR="00AA5C8C" w:rsidRPr="00A23740">
              <w:rPr>
                <w:rStyle w:val="KIRMIZIChar"/>
                <w:rFonts w:eastAsia="Calibri"/>
              </w:rPr>
              <w:t>eder</w:t>
            </w:r>
            <w:r w:rsidR="00AA5C8C" w:rsidRPr="00A23740">
              <w:rPr>
                <w:szCs w:val="24"/>
              </w:rPr>
              <w:t>.</w:t>
            </w:r>
          </w:p>
          <w:p w:rsidR="00AA5C8C" w:rsidRPr="00A23740" w:rsidRDefault="00AA5C8C" w:rsidP="009431FF">
            <w:pPr>
              <w:widowControl w:val="0"/>
              <w:rPr>
                <w:szCs w:val="24"/>
              </w:rPr>
            </w:pPr>
            <w:r w:rsidRPr="00A23740">
              <w:rPr>
                <w:rStyle w:val="KIRMIZIChar"/>
                <w:rFonts w:eastAsia="Calibri"/>
              </w:rPr>
              <w:t>g)</w:t>
            </w:r>
            <w:r w:rsidRPr="00A23740">
              <w:rPr>
                <w:szCs w:val="24"/>
              </w:rPr>
              <w:t xml:space="preserve"> Mahkeme tarafından verilen diğer görevleri yerine getirmek.</w:t>
            </w:r>
          </w:p>
          <w:p w:rsidR="00AA5C8C" w:rsidRPr="00A23740" w:rsidRDefault="00277039" w:rsidP="009431FF">
            <w:pPr>
              <w:widowControl w:val="0"/>
              <w:rPr>
                <w:szCs w:val="24"/>
              </w:rPr>
            </w:pPr>
            <w:r>
              <w:rPr>
                <w:rStyle w:val="AltKonuBalChar1"/>
                <w:rFonts w:eastAsia="Calibri"/>
              </w:rPr>
              <w:t>M.290/</w:t>
            </w:r>
            <w:r w:rsidR="00AA5C8C" w:rsidRPr="00A23740">
              <w:rPr>
                <w:rStyle w:val="AltKonuBalChar1"/>
                <w:rFonts w:eastAsia="Calibri"/>
              </w:rPr>
              <w:t>F1.</w:t>
            </w:r>
            <w:r w:rsidR="00AA5C8C" w:rsidRPr="00A23740">
              <w:rPr>
                <w:rStyle w:val="AltKonuBalChar1"/>
                <w:rFonts w:eastAsia="Calibri"/>
                <w:lang w:val="tr-TR"/>
              </w:rPr>
              <w:t>C1:</w:t>
            </w:r>
            <w:r w:rsidR="00AA5C8C" w:rsidRPr="00A23740">
              <w:rPr>
                <w:szCs w:val="24"/>
              </w:rPr>
              <w:t xml:space="preserve"> c) Bu kanunda verilen görevleri yapmak.</w:t>
            </w:r>
          </w:p>
          <w:p w:rsidR="00BF0150" w:rsidRPr="00A23740" w:rsidRDefault="00BF0150" w:rsidP="009431FF">
            <w:pPr>
              <w:widowControl w:val="0"/>
              <w:rPr>
                <w:rStyle w:val="KIRMIZIChar"/>
                <w:rFonts w:eastAsia="Calibri"/>
              </w:rPr>
            </w:pPr>
          </w:p>
          <w:p w:rsidR="00AA5C8C" w:rsidRPr="00A23740" w:rsidRDefault="00AA5C8C" w:rsidP="009431FF">
            <w:pPr>
              <w:widowControl w:val="0"/>
              <w:rPr>
                <w:szCs w:val="24"/>
              </w:rPr>
            </w:pPr>
            <w:r w:rsidRPr="00A23740">
              <w:rPr>
                <w:rStyle w:val="KIRMIZIChar"/>
                <w:rFonts w:eastAsia="Calibri"/>
              </w:rPr>
              <w:t>(3)</w:t>
            </w:r>
            <w:r w:rsidRPr="00A23740">
              <w:rPr>
                <w:szCs w:val="24"/>
              </w:rPr>
              <w:t xml:space="preserve"> </w:t>
            </w:r>
            <w:r w:rsidRPr="00A23740">
              <w:rPr>
                <w:rStyle w:val="KIRMIZIChar"/>
                <w:rFonts w:eastAsia="Calibri"/>
              </w:rPr>
              <w:t>8 inci, 10 uncu, 11 inci, 16 ncı, 21 inci</w:t>
            </w:r>
            <w:r w:rsidRPr="00A23740">
              <w:rPr>
                <w:rStyle w:val="KIRMIZIChar"/>
                <w:rFonts w:eastAsia="Calibri"/>
                <w:strike w:val="0"/>
              </w:rPr>
              <w:t xml:space="preserve"> </w:t>
            </w:r>
            <w:r w:rsidRPr="00A23740">
              <w:rPr>
                <w:bCs/>
              </w:rPr>
              <w:t>ve</w:t>
            </w:r>
            <w:r w:rsidRPr="00A23740">
              <w:rPr>
                <w:rStyle w:val="KIRMIZIChar"/>
                <w:rFonts w:eastAsia="Calibri"/>
                <w:strike w:val="0"/>
              </w:rPr>
              <w:t xml:space="preserve"> </w:t>
            </w:r>
            <w:r w:rsidRPr="00A23740">
              <w:rPr>
                <w:rStyle w:val="KIRMIZIChar"/>
                <w:rFonts w:eastAsia="Calibri"/>
              </w:rPr>
              <w:t>359 uncu</w:t>
            </w:r>
            <w:r w:rsidRPr="00A23740">
              <w:rPr>
                <w:szCs w:val="24"/>
              </w:rPr>
              <w:t xml:space="preserve"> maddeler hükümleri kıyas yoluyla komiserler hakkında da uygulanır.</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DE4FE5" w:rsidRPr="00A23740" w:rsidRDefault="00DE4FE5" w:rsidP="009431FF">
            <w:pPr>
              <w:widowControl w:val="0"/>
              <w:rPr>
                <w:rStyle w:val="KIRMIZIChar"/>
                <w:rFonts w:eastAsia="Calibri"/>
              </w:rPr>
            </w:pPr>
          </w:p>
          <w:p w:rsidR="00DE4FE5" w:rsidRPr="00A23740" w:rsidRDefault="00DE4FE5" w:rsidP="009431FF">
            <w:pPr>
              <w:widowControl w:val="0"/>
              <w:rPr>
                <w:rStyle w:val="KIRMIZIChar"/>
                <w:rFonts w:eastAsia="Calibri"/>
              </w:rPr>
            </w:pPr>
          </w:p>
          <w:p w:rsidR="00AA5C8C" w:rsidRPr="00A23740" w:rsidRDefault="00AA5C8C" w:rsidP="009431FF">
            <w:pPr>
              <w:widowControl w:val="0"/>
              <w:rPr>
                <w:szCs w:val="24"/>
              </w:rPr>
            </w:pPr>
            <w:r w:rsidRPr="00A23740">
              <w:rPr>
                <w:rStyle w:val="KIRMIZIChar"/>
                <w:rFonts w:eastAsia="Calibri"/>
              </w:rPr>
              <w:t>(4)</w:t>
            </w:r>
            <w:r w:rsidRPr="00A23740">
              <w:rPr>
                <w:szCs w:val="24"/>
              </w:rPr>
              <w:t xml:space="preserve"> Komiserin konkordatoya ilişkin işlemleri ile ilgili şikayetler, </w:t>
            </w:r>
            <w:r w:rsidRPr="00A23740">
              <w:rPr>
                <w:rStyle w:val="KIRMIZIChar"/>
                <w:rFonts w:eastAsia="Calibri"/>
              </w:rPr>
              <w:t>asliye ticaret</w:t>
            </w:r>
            <w:r w:rsidRPr="00A23740">
              <w:rPr>
                <w:szCs w:val="24"/>
              </w:rPr>
              <w:t xml:space="preserve"> mahkemesi tarafından kesin olarak karara bağlanır.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(5) (Değişik fıkra:6/12/2018-7155/15 md.) Komiserler, bilirkişilik bölge kurulları tarafından oluşturulan komiser listesinden seçilir. Listeye kayıt için Adalet Bakanlığı tarafından izin verilen kurumlardan alınacak eğitimin tamamlanmış olması zorunludur. Ayrıca, Kamu Gözetimi, Muhasebe ve Denetim Standartları Kurumu, komiser olarak görevlendirilebilecek, yetkilendirilmiş bağımsız denetçileri liste hâlinde bilirkişilik bölge kurullarına bildirir. Listede görevlendirilecek komiser bulunmaması hâlinde liste dışından görevlendirme yapılır ve bu durum bölge kuruluna bildirilir. Bir kişi eş zamanlı olarak beşten fazla dosyada geçici komiser ve komiser olarak görev yapamaz.</w:t>
            </w:r>
            <w:r w:rsidRPr="00A23740">
              <w:rPr>
                <w:szCs w:val="24"/>
              </w:rPr>
              <w:t xml:space="preserve"> </w:t>
            </w:r>
          </w:p>
          <w:p w:rsidR="00AA5C8C" w:rsidRPr="00A23740" w:rsidRDefault="00AA5C8C" w:rsidP="009431FF">
            <w:pPr>
              <w:widowControl w:val="0"/>
              <w:rPr>
                <w:szCs w:val="24"/>
              </w:rPr>
            </w:pPr>
          </w:p>
          <w:p w:rsidR="00AA5C8C" w:rsidRPr="00A23740" w:rsidRDefault="00277039" w:rsidP="009431FF">
            <w:pPr>
              <w:widowControl w:val="0"/>
              <w:rPr>
                <w:szCs w:val="24"/>
              </w:rPr>
            </w:pPr>
            <w:r>
              <w:rPr>
                <w:rStyle w:val="KIRMIZIChar"/>
                <w:rFonts w:eastAsia="Calibri"/>
              </w:rPr>
              <w:t>(F5.</w:t>
            </w:r>
            <w:r w:rsidR="00AA5C8C" w:rsidRPr="00A23740">
              <w:rPr>
                <w:rStyle w:val="KIRMIZIChar"/>
                <w:rFonts w:eastAsia="Calibri"/>
              </w:rPr>
              <w:t>C6)</w:t>
            </w:r>
            <w:r w:rsidR="00AA5C8C" w:rsidRPr="00A23740">
              <w:rPr>
                <w:szCs w:val="24"/>
              </w:rPr>
              <w:t xml:space="preserve"> Komiserin sorumlulukları hakkında </w:t>
            </w:r>
            <w:r w:rsidR="00AA5C8C" w:rsidRPr="00A23740">
              <w:rPr>
                <w:rStyle w:val="KIRMIZIChar"/>
                <w:rFonts w:eastAsia="Calibri"/>
              </w:rPr>
              <w:t>227 nci</w:t>
            </w:r>
            <w:r w:rsidR="00AA5C8C" w:rsidRPr="00A23740">
              <w:rPr>
                <w:szCs w:val="24"/>
              </w:rPr>
              <w:t xml:space="preserve"> madde</w:t>
            </w:r>
            <w:r w:rsidR="00AA5C8C" w:rsidRPr="00A23740">
              <w:rPr>
                <w:rStyle w:val="KIRMIZIChar"/>
                <w:rFonts w:eastAsia="Calibri"/>
              </w:rPr>
              <w:t>nin dördüncü ve beşinci fıkrası hükümleri</w:t>
            </w:r>
            <w:r w:rsidR="00AA5C8C" w:rsidRPr="00A23740">
              <w:rPr>
                <w:szCs w:val="24"/>
              </w:rPr>
              <w:t xml:space="preserve"> uygulanır.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(6) (Değişik fıkra:6/12/2018-7155/15 md.) Konkordato komiserinin nitelikleri, eğitimi, eğitim verecek kurumlar ve eğitimden muaf tutulacaklar ile komiserliğe ilişkin diğer hususlar Adalet Bakanlığınca yürürlüğe konulan yönetmelikle belirlenir.</w:t>
            </w:r>
          </w:p>
          <w:p w:rsidR="00AA5C8C" w:rsidRPr="00A23740" w:rsidRDefault="00AA5C8C" w:rsidP="009431FF">
            <w:pPr>
              <w:widowControl w:val="0"/>
              <w:rPr>
                <w:szCs w:val="24"/>
              </w:rPr>
            </w:pPr>
          </w:p>
          <w:p w:rsidR="00AA5C8C" w:rsidRPr="00A23740" w:rsidRDefault="00AA5C8C" w:rsidP="009431FF">
            <w:pPr>
              <w:pStyle w:val="KIRMIZI"/>
              <w:widowControl w:val="0"/>
            </w:pPr>
            <w:r w:rsidRPr="00A23740">
              <w:rPr>
                <w:rStyle w:val="KIRMIZIChar"/>
                <w:rFonts w:eastAsia="Calibri"/>
                <w:b/>
                <w:bCs/>
                <w:strike/>
              </w:rPr>
              <w:t>(7)</w:t>
            </w:r>
            <w:r w:rsidRPr="00A23740">
              <w:t xml:space="preserve"> Alacaklılar kurulu, komiserin faaliyetlerine nezaret eder; komisere tavsiyelerde </w:t>
            </w:r>
            <w:r w:rsidRPr="00FB5B54">
              <w:t>bulunabilir ve kanunun öngördüğü</w:t>
            </w:r>
            <w:r w:rsidRPr="00A23740">
              <w:t xml:space="preserve"> hâllerde mahkemeye görüş bildirir</w:t>
            </w:r>
            <w:r w:rsidRPr="00A23740">
              <w:rPr>
                <w:rStyle w:val="AralkYokChar"/>
                <w:szCs w:val="24"/>
                <w:lang w:val="x-none" w:eastAsia="x-none"/>
              </w:rPr>
              <w:t>.</w:t>
            </w:r>
            <w:r w:rsidRPr="00A23740">
              <w:t xml:space="preserve"> Alacaklılar kurulu komiserin faaliyetlerini yeterli bulmazsa, mahkemeden komiserin değiştirilmesini gerekçeli bir raporla isteyebilir. Mahkeme bu talep hakkında borçluyu ve komiseri dinledikten sonra kesin olarak karar verir.</w:t>
            </w:r>
          </w:p>
          <w:p w:rsidR="00F123C0" w:rsidRPr="00A23740" w:rsidRDefault="00F123C0" w:rsidP="009431FF">
            <w:pPr>
              <w:pStyle w:val="KIRMIZI"/>
              <w:widowControl w:val="0"/>
            </w:pPr>
          </w:p>
        </w:tc>
        <w:tc>
          <w:tcPr>
            <w:tcW w:w="2500" w:type="pct"/>
          </w:tcPr>
          <w:p w:rsidR="00AA5C8C" w:rsidRPr="00A23740" w:rsidRDefault="00AA5C8C" w:rsidP="009431FF">
            <w:pPr>
              <w:widowControl w:val="0"/>
              <w:rPr>
                <w:rStyle w:val="MaviChar"/>
                <w:bCs w:val="0"/>
                <w:color w:val="auto"/>
                <w:lang w:val="tr-TR" w:eastAsia="en-US"/>
              </w:rPr>
            </w:pPr>
            <w:r w:rsidRPr="00A23740">
              <w:rPr>
                <w:b/>
                <w:szCs w:val="24"/>
              </w:rPr>
              <w:t>Konkordato komiseri</w:t>
            </w:r>
            <w:r w:rsidRPr="00A23740">
              <w:rPr>
                <w:rStyle w:val="MaviChar"/>
              </w:rPr>
              <w:t>nin</w:t>
            </w:r>
            <w:r w:rsidRPr="00A23740">
              <w:rPr>
                <w:b/>
                <w:szCs w:val="24"/>
              </w:rPr>
              <w:t xml:space="preserve"> görevleri ve </w:t>
            </w:r>
            <w:r w:rsidRPr="00A23740">
              <w:rPr>
                <w:rStyle w:val="MaviChar"/>
              </w:rPr>
              <w:t>sorumluluğu</w:t>
            </w:r>
          </w:p>
          <w:p w:rsidR="00AA5C8C" w:rsidRPr="00A23740" w:rsidRDefault="00AA5C8C" w:rsidP="009431FF">
            <w:pPr>
              <w:widowControl w:val="0"/>
              <w:rPr>
                <w:szCs w:val="24"/>
              </w:rPr>
            </w:pPr>
            <w:r w:rsidRPr="00A23740">
              <w:rPr>
                <w:rStyle w:val="MaviChar"/>
                <w:lang w:val="tr-TR"/>
              </w:rPr>
              <w:t xml:space="preserve">MADDE </w:t>
            </w:r>
            <w:r w:rsidR="003A1467" w:rsidRPr="00A23740">
              <w:rPr>
                <w:rStyle w:val="MaviChar"/>
              </w:rPr>
              <w:t>379</w:t>
            </w:r>
            <w:r w:rsidRPr="00A23740">
              <w:rPr>
                <w:rStyle w:val="MaviChar"/>
                <w:lang w:val="tr-TR"/>
              </w:rPr>
              <w:t xml:space="preserve">- (1) </w:t>
            </w:r>
            <w:r w:rsidRPr="00A23740">
              <w:rPr>
                <w:rStyle w:val="MaviChar"/>
              </w:rPr>
              <w:t>Konkordato</w:t>
            </w:r>
            <w:r w:rsidRPr="00A23740">
              <w:rPr>
                <w:rStyle w:val="MaviChar"/>
                <w:lang w:val="tr-TR"/>
              </w:rPr>
              <w:t xml:space="preserve"> </w:t>
            </w:r>
            <w:r w:rsidRPr="00A23740">
              <w:rPr>
                <w:szCs w:val="24"/>
              </w:rPr>
              <w:t>komiserinin görevleri şunlardır:</w:t>
            </w:r>
          </w:p>
          <w:p w:rsidR="00AA5C8C" w:rsidRPr="00A23740" w:rsidRDefault="00AA5C8C" w:rsidP="009431FF">
            <w:pPr>
              <w:widowControl w:val="0"/>
              <w:rPr>
                <w:lang w:val="x-none" w:eastAsia="x-none"/>
              </w:rPr>
            </w:pPr>
          </w:p>
          <w:p w:rsidR="004557EF" w:rsidRPr="00A23740" w:rsidRDefault="004557EF" w:rsidP="009431FF">
            <w:pPr>
              <w:widowControl w:val="0"/>
              <w:rPr>
                <w:lang w:val="x-none" w:eastAsia="x-none"/>
              </w:rPr>
            </w:pPr>
          </w:p>
          <w:p w:rsidR="004557EF" w:rsidRPr="00A23740" w:rsidRDefault="004557EF" w:rsidP="009431FF">
            <w:pPr>
              <w:widowControl w:val="0"/>
              <w:rPr>
                <w:lang w:val="x-none" w:eastAsia="x-none"/>
              </w:rPr>
            </w:pPr>
          </w:p>
          <w:p w:rsidR="00AA5C8C" w:rsidRPr="00A23740" w:rsidRDefault="00AA5C8C" w:rsidP="009431FF">
            <w:pPr>
              <w:widowControl w:val="0"/>
              <w:rPr>
                <w:lang w:val="x-none" w:eastAsia="x-none"/>
              </w:rPr>
            </w:pPr>
          </w:p>
          <w:p w:rsidR="00AA5C8C" w:rsidRPr="00A23740" w:rsidRDefault="00AA5C8C" w:rsidP="009431FF">
            <w:pPr>
              <w:widowControl w:val="0"/>
              <w:rPr>
                <w:szCs w:val="24"/>
              </w:rPr>
            </w:pPr>
            <w:r w:rsidRPr="00A23740">
              <w:rPr>
                <w:szCs w:val="24"/>
              </w:rPr>
              <w:t xml:space="preserve">a) Konkordato projesinin tamamlanmasına katkıda bulunmak. </w:t>
            </w:r>
          </w:p>
          <w:p w:rsidR="00AA5C8C" w:rsidRPr="00A23740" w:rsidRDefault="00AA5C8C" w:rsidP="009431FF">
            <w:pPr>
              <w:widowControl w:val="0"/>
              <w:rPr>
                <w:szCs w:val="24"/>
              </w:rPr>
            </w:pPr>
            <w:r w:rsidRPr="00A23740">
              <w:rPr>
                <w:szCs w:val="24"/>
              </w:rPr>
              <w:t>b) Borçlunun faaliyetlerine nezaret etmek.</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lang w:val="tr-TR"/>
              </w:rPr>
              <w:t>c)</w:t>
            </w:r>
            <w:r w:rsidRPr="00A23740">
              <w:rPr>
                <w:szCs w:val="24"/>
              </w:rPr>
              <w:t xml:space="preserve"> Mahkemenin istediği konularda ve uygun göreceği sürelerde ara raporlar sunmak.</w:t>
            </w:r>
          </w:p>
          <w:p w:rsidR="00AA5C8C" w:rsidRPr="00A23740" w:rsidRDefault="00AA5C8C" w:rsidP="009431FF">
            <w:pPr>
              <w:widowControl w:val="0"/>
              <w:rPr>
                <w:szCs w:val="24"/>
              </w:rPr>
            </w:pPr>
            <w:r w:rsidRPr="00A23740">
              <w:rPr>
                <w:rStyle w:val="MaviChar"/>
                <w:lang w:val="tr-TR"/>
              </w:rPr>
              <w:t>ç)</w:t>
            </w:r>
            <w:r w:rsidRPr="00A23740">
              <w:rPr>
                <w:szCs w:val="24"/>
              </w:rPr>
              <w:t xml:space="preserve"> Alacaklılar kurulunu konkordatonun seyri hakkında düzenli aralıklarla bilgilendirmek.</w:t>
            </w:r>
          </w:p>
          <w:p w:rsidR="00AA5C8C" w:rsidRPr="00A23740" w:rsidRDefault="00AA5C8C" w:rsidP="009431FF">
            <w:pPr>
              <w:widowControl w:val="0"/>
              <w:rPr>
                <w:szCs w:val="24"/>
              </w:rPr>
            </w:pPr>
            <w:r w:rsidRPr="00A23740">
              <w:rPr>
                <w:rStyle w:val="MaviChar"/>
                <w:lang w:val="tr-TR"/>
              </w:rPr>
              <w:t>d)</w:t>
            </w:r>
            <w:r w:rsidRPr="00A23740">
              <w:rPr>
                <w:szCs w:val="24"/>
              </w:rPr>
              <w:t xml:space="preserve"> Talepte bulunan diğer alacaklılara konkordato</w:t>
            </w:r>
            <w:r w:rsidR="00752AB8" w:rsidRPr="00A23740">
              <w:rPr>
                <w:szCs w:val="24"/>
              </w:rPr>
              <w:t>nun seyri ve borçlunun güncel mal</w:t>
            </w:r>
            <w:r w:rsidR="00B65310" w:rsidRPr="00A23740">
              <w:rPr>
                <w:szCs w:val="24"/>
              </w:rPr>
              <w:t>i</w:t>
            </w:r>
            <w:r w:rsidRPr="00A23740">
              <w:rPr>
                <w:szCs w:val="24"/>
              </w:rPr>
              <w:t xml:space="preserve"> durumu hakkında bilgi vermek. </w:t>
            </w:r>
          </w:p>
          <w:p w:rsidR="004557EF" w:rsidRPr="00A23740" w:rsidRDefault="004557EF" w:rsidP="009431FF">
            <w:pPr>
              <w:widowControl w:val="0"/>
              <w:rPr>
                <w:szCs w:val="24"/>
              </w:rPr>
            </w:pPr>
          </w:p>
          <w:p w:rsidR="00AA5C8C" w:rsidRPr="00A23740" w:rsidRDefault="00AA5C8C" w:rsidP="009431FF">
            <w:pPr>
              <w:widowControl w:val="0"/>
              <w:rPr>
                <w:szCs w:val="24"/>
              </w:rPr>
            </w:pPr>
            <w:r w:rsidRPr="00A23740">
              <w:rPr>
                <w:rStyle w:val="MaviChar"/>
                <w:lang w:val="tr-TR"/>
              </w:rPr>
              <w:t>e)</w:t>
            </w:r>
            <w:r w:rsidRPr="00A23740">
              <w:rPr>
                <w:szCs w:val="24"/>
              </w:rPr>
              <w:t xml:space="preserve"> </w:t>
            </w:r>
            <w:r w:rsidRPr="00A23740">
              <w:rPr>
                <w:rStyle w:val="MaviChar"/>
                <w:lang w:val="tr-TR"/>
              </w:rPr>
              <w:t>Borçlunun</w:t>
            </w:r>
            <w:r w:rsidR="00D21103" w:rsidRPr="00A23740">
              <w:rPr>
                <w:rStyle w:val="MaviChar"/>
                <w:lang w:val="tr-TR"/>
              </w:rPr>
              <w:t xml:space="preserve"> </w:t>
            </w:r>
            <w:r w:rsidR="00D21103" w:rsidRPr="005574E2">
              <w:rPr>
                <w:rStyle w:val="MaviChar"/>
              </w:rPr>
              <w:t>401 inci</w:t>
            </w:r>
            <w:r w:rsidRPr="00A23740">
              <w:rPr>
                <w:rStyle w:val="MaviChar"/>
                <w:lang w:val="tr-TR"/>
              </w:rPr>
              <w:t xml:space="preserve"> madde </w:t>
            </w:r>
            <w:r w:rsidR="00E66D96" w:rsidRPr="005574E2">
              <w:rPr>
                <w:rStyle w:val="MaviChar"/>
              </w:rPr>
              <w:t>çerçevesindeki</w:t>
            </w:r>
            <w:r w:rsidR="00E66D96" w:rsidRPr="00A23740">
              <w:rPr>
                <w:rStyle w:val="MaviChar"/>
                <w:lang w:val="tr-TR"/>
              </w:rPr>
              <w:t xml:space="preserve"> </w:t>
            </w:r>
            <w:r w:rsidRPr="00A23740">
              <w:rPr>
                <w:rStyle w:val="MaviChar"/>
                <w:lang w:val="tr-TR"/>
              </w:rPr>
              <w:t xml:space="preserve">erteleme talebine ilişkin olarak alacaklılar toplantısına borçlunun durumu hakkında </w:t>
            </w:r>
            <w:r w:rsidR="00DE4FE5" w:rsidRPr="005574E2">
              <w:rPr>
                <w:rStyle w:val="MaviChar"/>
              </w:rPr>
              <w:t>sunacağı</w:t>
            </w:r>
            <w:r w:rsidRPr="00A23740">
              <w:rPr>
                <w:rStyle w:val="MaviChar"/>
                <w:lang w:val="tr-TR"/>
              </w:rPr>
              <w:t xml:space="preserve"> raporda</w:t>
            </w:r>
            <w:r w:rsidR="00E66D96" w:rsidRPr="00A23740">
              <w:rPr>
                <w:rStyle w:val="MaviChar"/>
                <w:lang w:val="tr-TR"/>
              </w:rPr>
              <w:t xml:space="preserve"> </w:t>
            </w:r>
            <w:r w:rsidR="00E66D96" w:rsidRPr="005574E2">
              <w:rPr>
                <w:rStyle w:val="MaviChar"/>
              </w:rPr>
              <w:t>bu</w:t>
            </w:r>
            <w:r w:rsidR="00E66D96" w:rsidRPr="00A23740">
              <w:rPr>
                <w:rStyle w:val="YELChar"/>
              </w:rPr>
              <w:t xml:space="preserve"> </w:t>
            </w:r>
            <w:r w:rsidR="00ED7A24" w:rsidRPr="005574E2">
              <w:rPr>
                <w:rStyle w:val="MaviChar"/>
              </w:rPr>
              <w:t>talep hakkında</w:t>
            </w:r>
            <w:r w:rsidR="00ED7A24" w:rsidRPr="00A23740">
              <w:rPr>
                <w:rStyle w:val="MaviChar"/>
                <w:lang w:val="tr-TR"/>
              </w:rPr>
              <w:t xml:space="preserve"> </w:t>
            </w:r>
            <w:r w:rsidR="006335DC" w:rsidRPr="00A23740">
              <w:rPr>
                <w:rStyle w:val="MaviChar"/>
              </w:rPr>
              <w:t>bilgi vermek.</w:t>
            </w:r>
          </w:p>
          <w:p w:rsidR="00AA5C8C" w:rsidRPr="00A23740" w:rsidRDefault="00AA5C8C" w:rsidP="009431FF">
            <w:pPr>
              <w:widowControl w:val="0"/>
              <w:rPr>
                <w:szCs w:val="24"/>
              </w:rPr>
            </w:pPr>
          </w:p>
          <w:p w:rsidR="00AA5C8C" w:rsidRPr="00A23740" w:rsidRDefault="00AA5C8C" w:rsidP="009431FF">
            <w:pPr>
              <w:pStyle w:val="Mavi"/>
              <w:widowControl w:val="0"/>
            </w:pPr>
            <w:r w:rsidRPr="00A23740">
              <w:t xml:space="preserve">f) </w:t>
            </w:r>
            <w:r w:rsidRPr="00A23740">
              <w:rPr>
                <w:b w:val="0"/>
                <w:bCs w:val="0"/>
                <w:color w:val="auto"/>
                <w:lang w:val="tr-TR" w:eastAsia="en-US"/>
              </w:rPr>
              <w:t>Kesin mühlet içinde konkordatonun tasdikine yönelik işlemleri tamamlayarak dosyayı raporuyla birlikte mahkemeye iade</w:t>
            </w:r>
            <w:r w:rsidRPr="00A23740">
              <w:t xml:space="preserve"> etmek</w:t>
            </w:r>
            <w:r w:rsidRPr="00A23740">
              <w:rPr>
                <w:b w:val="0"/>
                <w:bCs w:val="0"/>
                <w:color w:val="auto"/>
                <w:lang w:val="tr-TR" w:eastAsia="en-US"/>
              </w:rPr>
              <w:t>.</w:t>
            </w:r>
          </w:p>
          <w:p w:rsidR="00AA5C8C" w:rsidRPr="00A23740" w:rsidRDefault="00AA5C8C" w:rsidP="009431FF">
            <w:pPr>
              <w:widowControl w:val="0"/>
              <w:rPr>
                <w:rStyle w:val="YELChar"/>
              </w:rPr>
            </w:pPr>
          </w:p>
          <w:p w:rsidR="00AA5C8C" w:rsidRPr="00A23740" w:rsidRDefault="00AA5C8C" w:rsidP="009431FF">
            <w:pPr>
              <w:widowControl w:val="0"/>
              <w:rPr>
                <w:szCs w:val="24"/>
              </w:rPr>
            </w:pPr>
            <w:r w:rsidRPr="00A23740">
              <w:rPr>
                <w:rStyle w:val="MaviChar"/>
              </w:rPr>
              <w:t>g)</w:t>
            </w:r>
            <w:r w:rsidRPr="00A23740">
              <w:t xml:space="preserve"> </w:t>
            </w:r>
            <w:r w:rsidRPr="00A23740">
              <w:rPr>
                <w:rStyle w:val="MaviChar"/>
              </w:rPr>
              <w:t>Bu Kanunla veya</w:t>
            </w:r>
            <w:r w:rsidRPr="00A23740">
              <w:t xml:space="preserve"> </w:t>
            </w:r>
            <w:r w:rsidRPr="00A23740">
              <w:rPr>
                <w:szCs w:val="24"/>
              </w:rPr>
              <w:t>mahkeme tarafından verilen diğer görevleri yerine getirmek.</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lang w:val="tr-TR"/>
              </w:rPr>
              <w:t>(2)</w:t>
            </w:r>
            <w:r w:rsidRPr="00A23740">
              <w:rPr>
                <w:szCs w:val="24"/>
              </w:rPr>
              <w:t xml:space="preserve"> </w:t>
            </w:r>
            <w:r w:rsidR="00BF0150" w:rsidRPr="005574E2">
              <w:rPr>
                <w:rStyle w:val="MaviChar"/>
              </w:rPr>
              <w:t>3 üncü</w:t>
            </w:r>
            <w:r w:rsidR="00D21103" w:rsidRPr="00A23740">
              <w:rPr>
                <w:rStyle w:val="YELChar"/>
              </w:rPr>
              <w:t xml:space="preserve"> </w:t>
            </w:r>
            <w:r w:rsidR="00BF0150" w:rsidRPr="005574E2">
              <w:rPr>
                <w:rStyle w:val="MaviChar"/>
              </w:rPr>
              <w:t>maddenin yazışmalara ilişkin üçüncü fıkrası</w:t>
            </w:r>
            <w:r w:rsidRPr="00A23740">
              <w:rPr>
                <w:rStyle w:val="MaviChar"/>
              </w:rPr>
              <w:t>,</w:t>
            </w:r>
            <w:r w:rsidR="00BF0150" w:rsidRPr="00A23740">
              <w:rPr>
                <w:rStyle w:val="MaviChar"/>
                <w:lang w:val="tr-TR"/>
              </w:rPr>
              <w:t xml:space="preserve"> </w:t>
            </w:r>
            <w:r w:rsidR="00BF0150" w:rsidRPr="005574E2">
              <w:rPr>
                <w:rStyle w:val="MaviChar"/>
              </w:rPr>
              <w:t>tutanaklara ilişkin</w:t>
            </w:r>
            <w:r w:rsidRPr="005574E2">
              <w:rPr>
                <w:rStyle w:val="MaviChar"/>
              </w:rPr>
              <w:t xml:space="preserve"> 9</w:t>
            </w:r>
            <w:r w:rsidR="00BF0150" w:rsidRPr="005574E2">
              <w:rPr>
                <w:rStyle w:val="MaviChar"/>
              </w:rPr>
              <w:t xml:space="preserve"> ve 10 uncu maddeler</w:t>
            </w:r>
            <w:r w:rsidRPr="005574E2">
              <w:rPr>
                <w:rStyle w:val="MaviChar"/>
              </w:rPr>
              <w:t xml:space="preserve">, </w:t>
            </w:r>
            <w:r w:rsidR="00BF0150" w:rsidRPr="005574E2">
              <w:rPr>
                <w:rStyle w:val="MaviChar"/>
              </w:rPr>
              <w:t xml:space="preserve">iş görmekten yasaklılığa ilişkin </w:t>
            </w:r>
            <w:r w:rsidRPr="005574E2">
              <w:rPr>
                <w:rStyle w:val="MaviChar"/>
              </w:rPr>
              <w:t>14</w:t>
            </w:r>
            <w:r w:rsidR="00BF0150" w:rsidRPr="005574E2">
              <w:rPr>
                <w:rStyle w:val="MaviChar"/>
              </w:rPr>
              <w:t xml:space="preserve"> üncü madde</w:t>
            </w:r>
            <w:r w:rsidRPr="00DA7AE5">
              <w:rPr>
                <w:rStyle w:val="Balk1Char"/>
                <w:rFonts w:eastAsia="Calibri"/>
              </w:rPr>
              <w:t>,</w:t>
            </w:r>
            <w:r w:rsidR="00BF0150" w:rsidRPr="00A23740">
              <w:rPr>
                <w:szCs w:val="24"/>
              </w:rPr>
              <w:t xml:space="preserve"> </w:t>
            </w:r>
            <w:r w:rsidR="00BF0150" w:rsidRPr="005574E2">
              <w:rPr>
                <w:rStyle w:val="MaviChar"/>
              </w:rPr>
              <w:t>yasak iş ve işlemlere ilişkin</w:t>
            </w:r>
            <w:r w:rsidRPr="00A23740">
              <w:rPr>
                <w:szCs w:val="24"/>
              </w:rPr>
              <w:t xml:space="preserve"> </w:t>
            </w:r>
            <w:r w:rsidRPr="00A23740">
              <w:rPr>
                <w:rStyle w:val="MaviChar"/>
              </w:rPr>
              <w:t xml:space="preserve">15 </w:t>
            </w:r>
            <w:r w:rsidRPr="00A23740">
              <w:rPr>
                <w:szCs w:val="24"/>
              </w:rPr>
              <w:t xml:space="preserve"> </w:t>
            </w:r>
            <w:r w:rsidRPr="005574E2">
              <w:rPr>
                <w:rStyle w:val="MaviChar"/>
              </w:rPr>
              <w:t>ve</w:t>
            </w:r>
            <w:r w:rsidR="00BF0150" w:rsidRPr="005574E2">
              <w:rPr>
                <w:rStyle w:val="MaviChar"/>
              </w:rPr>
              <w:t xml:space="preserve"> şikâyete ilişkin</w:t>
            </w:r>
            <w:r w:rsidRPr="00A23740">
              <w:rPr>
                <w:szCs w:val="24"/>
              </w:rPr>
              <w:t xml:space="preserve"> </w:t>
            </w:r>
            <w:r w:rsidRPr="00A23740">
              <w:rPr>
                <w:rStyle w:val="MaviChar"/>
              </w:rPr>
              <w:t>22</w:t>
            </w:r>
            <w:r w:rsidRPr="00A23740">
              <w:rPr>
                <w:rStyle w:val="MaviChar"/>
                <w:lang w:val="tr-TR"/>
              </w:rPr>
              <w:t xml:space="preserve"> nci</w:t>
            </w:r>
            <w:r w:rsidRPr="00A23740">
              <w:rPr>
                <w:rStyle w:val="MaviChar"/>
              </w:rPr>
              <w:t xml:space="preserve"> </w:t>
            </w:r>
            <w:r w:rsidRPr="00A23740">
              <w:rPr>
                <w:szCs w:val="24"/>
              </w:rPr>
              <w:t xml:space="preserve">madde hükümleri </w:t>
            </w:r>
            <w:r w:rsidR="007C4E36" w:rsidRPr="00997030">
              <w:rPr>
                <w:rStyle w:val="Balk1Char"/>
                <w:rFonts w:eastAsia="Calibri"/>
              </w:rPr>
              <w:t>kıyasen</w:t>
            </w:r>
            <w:r w:rsidRPr="00A23740">
              <w:rPr>
                <w:szCs w:val="24"/>
              </w:rPr>
              <w:t xml:space="preserve"> komiserler hakkında da uygulanır.</w:t>
            </w:r>
          </w:p>
          <w:p w:rsidR="00AA5C8C" w:rsidRPr="00A23740" w:rsidRDefault="00AA5C8C" w:rsidP="009431FF">
            <w:pPr>
              <w:widowControl w:val="0"/>
              <w:rPr>
                <w:szCs w:val="24"/>
              </w:rPr>
            </w:pPr>
          </w:p>
          <w:p w:rsidR="00AA5C8C" w:rsidRPr="00A23740" w:rsidRDefault="00AA5C8C" w:rsidP="009431FF">
            <w:pPr>
              <w:pStyle w:val="Mavi"/>
              <w:widowControl w:val="0"/>
            </w:pPr>
            <w:r w:rsidRPr="00A23740">
              <w:t xml:space="preserve">(3) Komiser tarafından yapılacak tebligatlar, Tebligat Kanunu hükümlerine göre yapılır. Komiser, </w:t>
            </w:r>
            <w:r w:rsidR="006B10D3" w:rsidRPr="005574E2">
              <w:t>yapacağı</w:t>
            </w:r>
            <w:r w:rsidRPr="00A23740">
              <w:t xml:space="preserve"> tebligat ve bildirimler için gönderici elektronik tebligat adresi ve gerektiğinde kayıtlı elektronik posta adresi alır.</w:t>
            </w:r>
          </w:p>
          <w:p w:rsidR="00F959A4" w:rsidRPr="00A23740" w:rsidRDefault="00F959A4" w:rsidP="009431FF">
            <w:pPr>
              <w:widowControl w:val="0"/>
              <w:rPr>
                <w:rStyle w:val="MaviChar"/>
                <w:lang w:val="tr-TR"/>
              </w:rPr>
            </w:pPr>
          </w:p>
          <w:p w:rsidR="00AA5C8C" w:rsidRPr="00A23740" w:rsidRDefault="00AA5C8C" w:rsidP="009431FF">
            <w:pPr>
              <w:widowControl w:val="0"/>
              <w:rPr>
                <w:szCs w:val="24"/>
              </w:rPr>
            </w:pPr>
            <w:r w:rsidRPr="00A23740">
              <w:rPr>
                <w:rStyle w:val="MaviChar"/>
                <w:lang w:val="tr-TR"/>
              </w:rPr>
              <w:t>(4)</w:t>
            </w:r>
            <w:r w:rsidRPr="00A23740">
              <w:rPr>
                <w:szCs w:val="24"/>
              </w:rPr>
              <w:t xml:space="preserve"> Komiserin konkordatoya ilişkin </w:t>
            </w:r>
            <w:r w:rsidR="00F959A4" w:rsidRPr="005574E2">
              <w:rPr>
                <w:rStyle w:val="MaviChar"/>
              </w:rPr>
              <w:t>işlemleriyle</w:t>
            </w:r>
            <w:r w:rsidRPr="00A23740">
              <w:rPr>
                <w:szCs w:val="24"/>
              </w:rPr>
              <w:t xml:space="preserve"> ilgili şik</w:t>
            </w:r>
            <w:r w:rsidR="00F959A4" w:rsidRPr="00A23740">
              <w:rPr>
                <w:szCs w:val="24"/>
              </w:rPr>
              <w:t>â</w:t>
            </w:r>
            <w:r w:rsidRPr="00A23740">
              <w:rPr>
                <w:szCs w:val="24"/>
              </w:rPr>
              <w:t xml:space="preserve">yetler, </w:t>
            </w:r>
            <w:r w:rsidRPr="00A23740">
              <w:rPr>
                <w:rStyle w:val="MaviChar"/>
              </w:rPr>
              <w:t>iflas</w:t>
            </w:r>
            <w:r w:rsidRPr="00A23740">
              <w:rPr>
                <w:szCs w:val="24"/>
              </w:rPr>
              <w:t xml:space="preserve"> mahkemesi tarafından kesin olarak karara bağlanır.</w:t>
            </w: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4557EF" w:rsidRPr="00A23740" w:rsidRDefault="004557EF" w:rsidP="009431FF">
            <w:pPr>
              <w:widowControl w:val="0"/>
              <w:rPr>
                <w:rStyle w:val="MaviChar"/>
                <w:lang w:val="tr-TR"/>
              </w:rPr>
            </w:pPr>
          </w:p>
          <w:p w:rsidR="00AA5C8C" w:rsidRPr="00A23740" w:rsidRDefault="00AA5C8C" w:rsidP="009431FF">
            <w:pPr>
              <w:widowControl w:val="0"/>
              <w:rPr>
                <w:szCs w:val="24"/>
              </w:rPr>
            </w:pPr>
            <w:r w:rsidRPr="00A23740">
              <w:rPr>
                <w:rStyle w:val="MaviChar"/>
                <w:lang w:val="tr-TR"/>
              </w:rPr>
              <w:t>(5)</w:t>
            </w:r>
            <w:r w:rsidRPr="00A23740">
              <w:rPr>
                <w:szCs w:val="24"/>
              </w:rPr>
              <w:t xml:space="preserve"> Komiser</w:t>
            </w:r>
            <w:r w:rsidRPr="00A23740">
              <w:rPr>
                <w:rStyle w:val="MaviChar"/>
              </w:rPr>
              <w:t>ler</w:t>
            </w:r>
            <w:r w:rsidRPr="00A23740">
              <w:rPr>
                <w:szCs w:val="24"/>
              </w:rPr>
              <w:t>in sorumlulukları hakkında</w:t>
            </w:r>
            <w:r w:rsidR="0057051F" w:rsidRPr="005574E2">
              <w:rPr>
                <w:rStyle w:val="MaviChar"/>
              </w:rPr>
              <w:t xml:space="preserve"> iflas idare memurlarının hukuki ve cezai sorumluluğuna ilişkin </w:t>
            </w:r>
            <w:r w:rsidR="0057051F" w:rsidRPr="00A23740">
              <w:rPr>
                <w:rStyle w:val="MaviChar"/>
                <w:lang w:val="tr-TR"/>
              </w:rPr>
              <w:t>342 nci</w:t>
            </w:r>
            <w:r w:rsidRPr="00A23740">
              <w:rPr>
                <w:szCs w:val="24"/>
              </w:rPr>
              <w:t xml:space="preserve"> madde uygulanır.</w:t>
            </w:r>
          </w:p>
          <w:p w:rsidR="00AA5C8C" w:rsidRPr="00A23740" w:rsidRDefault="00AA5C8C" w:rsidP="009431FF">
            <w:pPr>
              <w:pStyle w:val="KIRMIZI"/>
              <w:widowControl w:val="0"/>
              <w:rPr>
                <w:b w:val="0"/>
              </w:rPr>
            </w:pPr>
          </w:p>
        </w:tc>
      </w:tr>
      <w:tr w:rsidR="005C3738" w:rsidRPr="00A23740" w:rsidTr="009431FF">
        <w:tc>
          <w:tcPr>
            <w:tcW w:w="5000" w:type="pct"/>
            <w:gridSpan w:val="2"/>
            <w:shd w:val="clear" w:color="auto" w:fill="DEEAF6"/>
          </w:tcPr>
          <w:p w:rsidR="00F06498" w:rsidRPr="00A23740" w:rsidRDefault="00F06498" w:rsidP="009431FF">
            <w:pPr>
              <w:tabs>
                <w:tab w:val="left" w:pos="567"/>
              </w:tabs>
              <w:ind w:firstLine="709"/>
              <w:rPr>
                <w:b/>
                <w:bCs/>
                <w:szCs w:val="24"/>
                <w:lang w:eastAsia="x-none"/>
              </w:rPr>
            </w:pPr>
          </w:p>
          <w:p w:rsidR="00A6097D" w:rsidRPr="00A23740" w:rsidRDefault="00A6097D" w:rsidP="009431FF">
            <w:pPr>
              <w:tabs>
                <w:tab w:val="left" w:pos="567"/>
              </w:tabs>
              <w:ind w:firstLine="709"/>
              <w:rPr>
                <w:bCs/>
                <w:szCs w:val="24"/>
                <w:lang w:eastAsia="x-none"/>
              </w:rPr>
            </w:pPr>
            <w:r w:rsidRPr="00A23740">
              <w:rPr>
                <w:b/>
                <w:bCs/>
                <w:szCs w:val="24"/>
                <w:lang w:eastAsia="x-none"/>
              </w:rPr>
              <w:t xml:space="preserve">MADDE 379- </w:t>
            </w:r>
            <w:r w:rsidRPr="00A23740">
              <w:rPr>
                <w:bCs/>
                <w:szCs w:val="24"/>
                <w:lang w:eastAsia="x-none"/>
              </w:rPr>
              <w:t>Maddeyle, konkordato komiserinin görevleri ve sorumluluğu düzenlenmektedir.</w:t>
            </w:r>
          </w:p>
          <w:p w:rsidR="00A6097D" w:rsidRPr="00A23740" w:rsidRDefault="00A6097D" w:rsidP="009431FF">
            <w:pPr>
              <w:tabs>
                <w:tab w:val="left" w:pos="567"/>
              </w:tabs>
              <w:ind w:firstLine="709"/>
              <w:rPr>
                <w:bCs/>
                <w:szCs w:val="24"/>
                <w:lang w:eastAsia="x-none"/>
              </w:rPr>
            </w:pPr>
            <w:r w:rsidRPr="00A23740">
              <w:rPr>
                <w:bCs/>
                <w:szCs w:val="24"/>
                <w:lang w:eastAsia="x-none"/>
              </w:rPr>
              <w:t>2004 sayılı Kanunun 290 ıncı maddesinin birinci fıkrası Taslakta 379 uncu maddenin (f) bendi h</w:t>
            </w:r>
            <w:r w:rsidR="00F06498" w:rsidRPr="00A23740">
              <w:rPr>
                <w:bCs/>
                <w:szCs w:val="24"/>
                <w:lang w:eastAsia="x-none"/>
              </w:rPr>
              <w:t>â</w:t>
            </w:r>
            <w:r w:rsidRPr="00A23740">
              <w:rPr>
                <w:bCs/>
                <w:szCs w:val="24"/>
                <w:lang w:eastAsia="x-none"/>
              </w:rPr>
              <w:t xml:space="preserve">line getirilmiştir. </w:t>
            </w:r>
          </w:p>
          <w:p w:rsidR="00A6097D" w:rsidRPr="00A23740" w:rsidRDefault="00A6097D" w:rsidP="009431FF">
            <w:pPr>
              <w:tabs>
                <w:tab w:val="left" w:pos="567"/>
              </w:tabs>
              <w:ind w:firstLine="709"/>
              <w:rPr>
                <w:bCs/>
                <w:szCs w:val="24"/>
                <w:lang w:eastAsia="x-none"/>
              </w:rPr>
            </w:pPr>
            <w:r w:rsidRPr="00A23740">
              <w:rPr>
                <w:bCs/>
                <w:szCs w:val="24"/>
                <w:lang w:eastAsia="x-none"/>
              </w:rPr>
              <w:t xml:space="preserve">Maddenin (e) bendinde ise, borçlunun, Taslağın “Rehinli malların muhafaza ve satışı ile finansal kiralama konusu malların iadesinin ertelenmesi” hakkındaki </w:t>
            </w:r>
            <w:r w:rsidR="00A471C7" w:rsidRPr="005574E2">
              <w:t>401 inci</w:t>
            </w:r>
            <w:r w:rsidR="00A471C7" w:rsidRPr="00A23740">
              <w:rPr>
                <w:rStyle w:val="MaviChar"/>
                <w:lang w:val="tr-TR"/>
              </w:rPr>
              <w:t xml:space="preserve"> </w:t>
            </w:r>
            <w:r w:rsidRPr="00A23740">
              <w:rPr>
                <w:bCs/>
                <w:szCs w:val="24"/>
                <w:lang w:eastAsia="x-none"/>
              </w:rPr>
              <w:t xml:space="preserve">maddesi çerçevesinde yapacağı erteleme talebine ilişkin olarak komiserin alacaklılar toplantısına borçlunun durumu hakkında bir rapor sunarak bilgi vermesi düzenlenmektedir. Komiser bu konuda sadece bilgi sunarak alacaklılar toplantısına katılan alacaklıları durumdan haberdar edecektir. </w:t>
            </w:r>
            <w:r w:rsidR="00F06498" w:rsidRPr="00A23740">
              <w:rPr>
                <w:bCs/>
                <w:szCs w:val="24"/>
                <w:lang w:eastAsia="x-none"/>
              </w:rPr>
              <w:t>B</w:t>
            </w:r>
            <w:r w:rsidRPr="00A23740">
              <w:rPr>
                <w:bCs/>
                <w:szCs w:val="24"/>
                <w:lang w:eastAsia="x-none"/>
              </w:rPr>
              <w:t>u bilgilendirmenin alacaklılar tarafından ne şekilde algılanıp değerlendirileceği tamamen alacaklıların takdirine bağlıdır.</w:t>
            </w:r>
          </w:p>
          <w:p w:rsidR="00A6097D" w:rsidRPr="00A23740" w:rsidRDefault="00A6097D" w:rsidP="009431FF">
            <w:pPr>
              <w:tabs>
                <w:tab w:val="left" w:pos="567"/>
              </w:tabs>
              <w:ind w:firstLine="709"/>
              <w:rPr>
                <w:bCs/>
                <w:szCs w:val="24"/>
                <w:lang w:eastAsia="x-none"/>
              </w:rPr>
            </w:pPr>
            <w:r w:rsidRPr="00A23740">
              <w:rPr>
                <w:bCs/>
                <w:szCs w:val="24"/>
                <w:lang w:eastAsia="x-none"/>
              </w:rPr>
              <w:t xml:space="preserve">Maddenin birinci fıkrasının (g) bendine “Bu </w:t>
            </w:r>
            <w:r w:rsidR="00F06498" w:rsidRPr="00A23740">
              <w:rPr>
                <w:bCs/>
                <w:szCs w:val="24"/>
                <w:lang w:eastAsia="x-none"/>
              </w:rPr>
              <w:t>K</w:t>
            </w:r>
            <w:r w:rsidRPr="00A23740">
              <w:rPr>
                <w:bCs/>
                <w:szCs w:val="24"/>
                <w:lang w:eastAsia="x-none"/>
              </w:rPr>
              <w:t>anunla veya” ibaresi eklenmiştir. Böylece, konkordato talebiyle birlikte sunulması gereken belgeler ile makul güvence veren denetim raporunun konkordato komiseri tarafından Taslağın</w:t>
            </w:r>
            <w:r w:rsidR="00A471C7" w:rsidRPr="00A23740">
              <w:rPr>
                <w:bCs/>
                <w:szCs w:val="24"/>
                <w:lang w:eastAsia="x-none"/>
              </w:rPr>
              <w:t xml:space="preserve"> </w:t>
            </w:r>
            <w:r w:rsidRPr="00A23740">
              <w:rPr>
                <w:bCs/>
                <w:szCs w:val="24"/>
                <w:lang w:eastAsia="x-none"/>
              </w:rPr>
              <w:t>376 ncı</w:t>
            </w:r>
            <w:r w:rsidR="00A471C7" w:rsidRPr="00A23740">
              <w:rPr>
                <w:bCs/>
                <w:szCs w:val="24"/>
                <w:lang w:eastAsia="x-none"/>
              </w:rPr>
              <w:t xml:space="preserve"> </w:t>
            </w:r>
            <w:r w:rsidRPr="00A23740">
              <w:rPr>
                <w:bCs/>
                <w:szCs w:val="24"/>
                <w:lang w:eastAsia="x-none"/>
              </w:rPr>
              <w:t>maddesi uyarınca incelenmesine ilişkin olan görevin de bu hükmün kapsamına girmesi sağlanmış olmaktadır.</w:t>
            </w:r>
          </w:p>
          <w:p w:rsidR="00A6097D" w:rsidRPr="00A23740" w:rsidRDefault="00A6097D" w:rsidP="009431FF">
            <w:pPr>
              <w:tabs>
                <w:tab w:val="left" w:pos="567"/>
              </w:tabs>
              <w:ind w:firstLine="709"/>
              <w:rPr>
                <w:bCs/>
                <w:szCs w:val="24"/>
                <w:lang w:eastAsia="x-none"/>
              </w:rPr>
            </w:pPr>
            <w:r w:rsidRPr="00A23740">
              <w:rPr>
                <w:bCs/>
                <w:szCs w:val="24"/>
                <w:lang w:eastAsia="x-none"/>
              </w:rPr>
              <w:t>Maddenin üçüncü fıkrasında, komiserler tarafından yapılacak tebligatların Tebligat Kanunu hükümlerine göre yapılması hükme bağlanmıştır. Komiserler, yapacakları tebligat ve bildirimler için gönderici elektronik tebligat adresi ve gerektiğinde kayıtlı elektronik posta adresi de alabilirler. Böylece, iflas idaresi için yapilan düzenlemeye koşut olarak konkordato komiserlerine de Tebligat Kanunu uyarinca tebligat yapabilme imk</w:t>
            </w:r>
            <w:r w:rsidR="00BE53A8" w:rsidRPr="00A23740">
              <w:rPr>
                <w:bCs/>
                <w:szCs w:val="24"/>
                <w:lang w:eastAsia="x-none"/>
              </w:rPr>
              <w:t>â</w:t>
            </w:r>
            <w:r w:rsidRPr="00A23740">
              <w:rPr>
                <w:bCs/>
                <w:szCs w:val="24"/>
                <w:lang w:eastAsia="x-none"/>
              </w:rPr>
              <w:t>ni taninmiştir. Taslak metninde tebligat ve bildirim kelimeleri eş anlaml</w:t>
            </w:r>
            <w:r w:rsidR="00F06498" w:rsidRPr="00A23740">
              <w:rPr>
                <w:bCs/>
                <w:szCs w:val="24"/>
                <w:lang w:eastAsia="x-none"/>
              </w:rPr>
              <w:t>ı</w:t>
            </w:r>
            <w:r w:rsidRPr="00A23740">
              <w:rPr>
                <w:bCs/>
                <w:szCs w:val="24"/>
                <w:lang w:eastAsia="x-none"/>
              </w:rPr>
              <w:t xml:space="preserve"> olarak kullan</w:t>
            </w:r>
            <w:r w:rsidR="00F06498" w:rsidRPr="00A23740">
              <w:rPr>
                <w:bCs/>
                <w:szCs w:val="24"/>
                <w:lang w:eastAsia="x-none"/>
              </w:rPr>
              <w:t>ı</w:t>
            </w:r>
            <w:r w:rsidRPr="00A23740">
              <w:rPr>
                <w:bCs/>
                <w:szCs w:val="24"/>
                <w:lang w:eastAsia="x-none"/>
              </w:rPr>
              <w:t>lmamıştır. Tebligat usulü sadece tebliğden bahsolunan hükümler bakimindan uygulanacaktir.</w:t>
            </w:r>
          </w:p>
          <w:p w:rsidR="00A6097D" w:rsidRPr="00A23740" w:rsidRDefault="00A6097D" w:rsidP="009431FF">
            <w:pPr>
              <w:tabs>
                <w:tab w:val="left" w:pos="567"/>
              </w:tabs>
              <w:ind w:firstLine="709"/>
              <w:rPr>
                <w:bCs/>
                <w:szCs w:val="24"/>
                <w:lang w:eastAsia="x-none"/>
              </w:rPr>
            </w:pPr>
            <w:r w:rsidRPr="00A23740">
              <w:rPr>
                <w:bCs/>
                <w:szCs w:val="24"/>
                <w:lang w:eastAsia="x-none"/>
              </w:rPr>
              <w:t>Maddenin dördüncü fıkrası komiserin konkordatoya ilişkin işlemleriyle ilgili şikâyetlerin asliye ticaret mahkemesi tarafından değil, yeni kurulan iflas mahkemesi tarafından kesin olarak karara bağlanmasını öngörmektedir.</w:t>
            </w:r>
          </w:p>
          <w:p w:rsidR="00A6097D" w:rsidRPr="00A23740" w:rsidRDefault="00A6097D" w:rsidP="009431FF">
            <w:pPr>
              <w:tabs>
                <w:tab w:val="left" w:pos="567"/>
              </w:tabs>
              <w:ind w:firstLine="709"/>
              <w:rPr>
                <w:bCs/>
                <w:szCs w:val="24"/>
                <w:lang w:eastAsia="x-none"/>
              </w:rPr>
            </w:pPr>
            <w:r w:rsidRPr="00A23740">
              <w:rPr>
                <w:bCs/>
                <w:szCs w:val="24"/>
                <w:lang w:eastAsia="x-none"/>
              </w:rPr>
              <w:t>2004 sayılı Kanunun 290 ıncı maddesinin beşinci ve altıncı fıkraları hükümleri Taslağın “Konkordato komiserleri listesi” başlıklı 380 inci</w:t>
            </w:r>
            <w:r w:rsidR="00A471C7" w:rsidRPr="00A23740">
              <w:rPr>
                <w:bCs/>
                <w:szCs w:val="24"/>
                <w:lang w:eastAsia="x-none"/>
              </w:rPr>
              <w:t xml:space="preserve"> </w:t>
            </w:r>
            <w:r w:rsidRPr="00A23740">
              <w:rPr>
                <w:bCs/>
                <w:szCs w:val="24"/>
                <w:lang w:eastAsia="x-none"/>
              </w:rPr>
              <w:t>maddesine taşınmıştır.</w:t>
            </w:r>
          </w:p>
          <w:p w:rsidR="00A6097D" w:rsidRPr="00A23740" w:rsidRDefault="00A6097D" w:rsidP="009431FF">
            <w:pPr>
              <w:tabs>
                <w:tab w:val="left" w:pos="567"/>
              </w:tabs>
              <w:ind w:firstLine="709"/>
              <w:rPr>
                <w:bCs/>
                <w:szCs w:val="24"/>
                <w:lang w:eastAsia="x-none"/>
              </w:rPr>
            </w:pPr>
            <w:r w:rsidRPr="00A23740">
              <w:rPr>
                <w:bCs/>
                <w:szCs w:val="24"/>
                <w:lang w:eastAsia="x-none"/>
              </w:rPr>
              <w:t>2004 sayılı Kanunun yedinci fıkrası ise Taslağın “Alacaklılar Kurulu ve görevleri”ne ilişkin 383 üncü</w:t>
            </w:r>
            <w:r w:rsidR="00A471C7" w:rsidRPr="00A23740">
              <w:rPr>
                <w:bCs/>
                <w:szCs w:val="24"/>
                <w:lang w:eastAsia="x-none"/>
              </w:rPr>
              <w:t xml:space="preserve"> </w:t>
            </w:r>
            <w:r w:rsidRPr="00A23740">
              <w:rPr>
                <w:bCs/>
                <w:szCs w:val="24"/>
                <w:lang w:eastAsia="x-none"/>
              </w:rPr>
              <w:t>maddesine nakledilmiştir.</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szCs w:val="24"/>
              </w:rPr>
            </w:pPr>
            <w:r w:rsidRPr="00A23740">
              <w:rPr>
                <w:b/>
                <w:szCs w:val="24"/>
              </w:rPr>
              <w:t>Konkordato komiseri ve</w:t>
            </w:r>
            <w:r w:rsidRPr="00A23740">
              <w:rPr>
                <w:szCs w:val="24"/>
              </w:rPr>
              <w:t xml:space="preserve"> </w:t>
            </w:r>
            <w:r w:rsidRPr="00A23740">
              <w:rPr>
                <w:rStyle w:val="KIRMIZIChar"/>
                <w:rFonts w:eastAsia="Calibri"/>
              </w:rPr>
              <w:t>alacaklılar kurulu ile bunların</w:t>
            </w:r>
            <w:r w:rsidRPr="00A23740">
              <w:rPr>
                <w:szCs w:val="24"/>
              </w:rPr>
              <w:t xml:space="preserve"> </w:t>
            </w:r>
            <w:r w:rsidRPr="00A23740">
              <w:rPr>
                <w:b/>
                <w:szCs w:val="24"/>
              </w:rPr>
              <w:t>görevleri</w:t>
            </w:r>
            <w:r w:rsidRPr="00A23740">
              <w:rPr>
                <w:rStyle w:val="KIRMIZIChar"/>
                <w:rFonts w:eastAsia="Calibri"/>
              </w:rPr>
              <w:t>:</w:t>
            </w:r>
          </w:p>
          <w:p w:rsidR="00AA5C8C" w:rsidRPr="00A23740" w:rsidRDefault="00AA5C8C" w:rsidP="009431FF">
            <w:pPr>
              <w:widowControl w:val="0"/>
              <w:rPr>
                <w:rStyle w:val="MaviChar"/>
                <w:lang w:val="tr-TR"/>
              </w:rPr>
            </w:pPr>
            <w:r w:rsidRPr="00A23740">
              <w:rPr>
                <w:rStyle w:val="KIRMIZIChar"/>
                <w:rFonts w:eastAsia="Calibri"/>
              </w:rPr>
              <w:t xml:space="preserve">Madde 290- </w:t>
            </w:r>
            <w:r w:rsidRPr="00A23740">
              <w:rPr>
                <w:rStyle w:val="KIRMIZIChar"/>
                <w:rFonts w:eastAsia="Calibri"/>
                <w:strike w:val="0"/>
              </w:rPr>
              <w:t>…</w:t>
            </w:r>
          </w:p>
          <w:p w:rsidR="00AA5C8C" w:rsidRPr="00A23740" w:rsidRDefault="00AA5C8C" w:rsidP="009431FF">
            <w:pPr>
              <w:widowControl w:val="0"/>
              <w:rPr>
                <w:szCs w:val="24"/>
              </w:rPr>
            </w:pPr>
            <w:r w:rsidRPr="00A23740">
              <w:rPr>
                <w:rStyle w:val="MaviChar"/>
                <w:lang w:val="tr-TR"/>
              </w:rPr>
              <w:t>(5)</w:t>
            </w:r>
            <w:r w:rsidRPr="00A23740">
              <w:rPr>
                <w:szCs w:val="24"/>
              </w:rPr>
              <w:t xml:space="preserve"> Komiserler, bilirkişilik bölge kurulları tarafından oluşturulan </w:t>
            </w:r>
            <w:r w:rsidRPr="00A23740">
              <w:rPr>
                <w:rStyle w:val="KIRMIZIChar"/>
                <w:rFonts w:eastAsia="Calibri"/>
              </w:rPr>
              <w:t>komiser</w:t>
            </w:r>
            <w:r w:rsidRPr="00A23740">
              <w:rPr>
                <w:szCs w:val="24"/>
              </w:rPr>
              <w:t xml:space="preserve"> listesinden seçilir. </w:t>
            </w:r>
            <w:r w:rsidRPr="00A23740">
              <w:rPr>
                <w:rStyle w:val="KIRMIZIChar"/>
                <w:rFonts w:eastAsia="Calibri"/>
              </w:rPr>
              <w:t>Listeye kayıt için Adalet Bakanlığı tarafından izin verilen kurumlardan alınacak eğitimin tamamlanmış olması zorunludur. Ayrıca, Kamu Gözetimi, Muhasebe ve Denetim Standartları Kurumu, komiser olarak görevlendirilebilecek, yetkilendirilmiş bağımsız denetçileri liste hâlinde bilirkişilik bölge kurullarına bildirir. Listede görevlendirilecek komiser bulunmaması hâlinde liste dışından görevlendirme yapılır ve bu durum bölge kuruluna bildirilir. Bir kişi eş zamanlı olarak beşten fazla dosyada geçici komiser ve komiser olarak görev yapamaz.</w:t>
            </w:r>
          </w:p>
          <w:p w:rsidR="00AA5C8C" w:rsidRPr="00A23740" w:rsidRDefault="00AA5C8C" w:rsidP="009431FF">
            <w:pPr>
              <w:widowControl w:val="0"/>
              <w:rPr>
                <w:i/>
                <w:szCs w:val="24"/>
              </w:rPr>
            </w:pPr>
          </w:p>
          <w:p w:rsidR="00AA5C8C" w:rsidRPr="00A23740" w:rsidRDefault="00AA5C8C" w:rsidP="009431FF">
            <w:pPr>
              <w:pStyle w:val="KIRMIZI"/>
              <w:widowControl w:val="0"/>
            </w:pPr>
            <w:r w:rsidRPr="00A23740">
              <w:t>Geçici mühlet</w:t>
            </w:r>
            <w:r w:rsidRPr="00A23740">
              <w:rPr>
                <w:rStyle w:val="KIRMIZIChar"/>
                <w:rFonts w:eastAsia="Calibri"/>
              </w:rPr>
              <w:t>:</w:t>
            </w:r>
          </w:p>
          <w:p w:rsidR="00AA5C8C" w:rsidRPr="00A23740" w:rsidRDefault="00AA5C8C" w:rsidP="009431FF">
            <w:pPr>
              <w:widowControl w:val="0"/>
              <w:rPr>
                <w:rStyle w:val="KIRMIZIChar"/>
                <w:rFonts w:eastAsia="Calibri"/>
              </w:rPr>
            </w:pPr>
            <w:r w:rsidRPr="00A23740">
              <w:rPr>
                <w:rStyle w:val="KIRMIZIChar"/>
                <w:rFonts w:eastAsia="Calibri"/>
              </w:rPr>
              <w:t xml:space="preserve">Madde 287- </w:t>
            </w:r>
            <w:r w:rsidRPr="00A23740">
              <w:rPr>
                <w:rStyle w:val="KIRMIZIChar"/>
                <w:rFonts w:eastAsia="Calibri"/>
                <w:strike w:val="0"/>
              </w:rPr>
              <w:t>…</w:t>
            </w:r>
          </w:p>
          <w:p w:rsidR="00AA5C8C" w:rsidRPr="00A23740" w:rsidRDefault="00277039" w:rsidP="009431FF">
            <w:pPr>
              <w:widowControl w:val="0"/>
              <w:rPr>
                <w:rFonts w:eastAsia="Times New Roman"/>
                <w:szCs w:val="24"/>
                <w:lang w:eastAsia="tr-TR"/>
              </w:rPr>
            </w:pPr>
            <w:r>
              <w:rPr>
                <w:rStyle w:val="KIRMIZIChar"/>
                <w:rFonts w:eastAsia="Calibri"/>
                <w:strike w:val="0"/>
              </w:rPr>
              <w:t>F3.C</w:t>
            </w:r>
            <w:r w:rsidR="00AA5C8C" w:rsidRPr="00A23740">
              <w:rPr>
                <w:rStyle w:val="KIRMIZIChar"/>
                <w:rFonts w:eastAsia="Calibri"/>
                <w:strike w:val="0"/>
              </w:rPr>
              <w:t>3:</w:t>
            </w:r>
            <w:r w:rsidR="00AA5C8C" w:rsidRPr="00A23740">
              <w:rPr>
                <w:rFonts w:eastAsia="Times New Roman"/>
                <w:szCs w:val="24"/>
                <w:lang w:eastAsia="tr-TR"/>
              </w:rPr>
              <w:t xml:space="preserve"> </w:t>
            </w:r>
            <w:r w:rsidR="00AA5C8C" w:rsidRPr="00A23740">
              <w:t xml:space="preserve">Üç </w:t>
            </w:r>
            <w:r w:rsidR="00AA5C8C" w:rsidRPr="00A23740">
              <w:rPr>
                <w:rStyle w:val="KIRMIZIChar"/>
                <w:rFonts w:eastAsia="Calibri"/>
              </w:rPr>
              <w:t>komiser görevlendirilmesi durumunda</w:t>
            </w:r>
            <w:r w:rsidR="00AA5C8C" w:rsidRPr="00A23740">
              <w:t xml:space="preserve"> komiserlerden </w:t>
            </w:r>
            <w:r w:rsidR="00AA5C8C" w:rsidRPr="00A23740">
              <w:rPr>
                <w:rFonts w:eastAsia="Times New Roman"/>
                <w:szCs w:val="24"/>
                <w:lang w:eastAsia="tr-TR"/>
              </w:rPr>
              <w:t>biri</w:t>
            </w:r>
            <w:r w:rsidR="00AA5C8C" w:rsidRPr="00A23740">
              <w:rPr>
                <w:rStyle w:val="KIRMIZIChar"/>
                <w:rFonts w:eastAsia="Calibri"/>
              </w:rPr>
              <w:t>,</w:t>
            </w:r>
            <w:r w:rsidR="00AA5C8C" w:rsidRPr="00A23740">
              <w:rPr>
                <w:rFonts w:eastAsia="Times New Roman"/>
                <w:szCs w:val="24"/>
                <w:lang w:eastAsia="tr-TR"/>
              </w:rPr>
              <w:t xml:space="preserve"> mahkemenin bulunduğu ilde faaliyet göstermek şartıyla Kamu Gözetimi, Muhasebe ve Denetim Standartları Kurumu tarafından yetkilendirilmiş bağımsız</w:t>
            </w:r>
            <w:r w:rsidR="00AA5C8C" w:rsidRPr="00A23740">
              <w:rPr>
                <w:rFonts w:eastAsia="Times New Roman"/>
                <w:b/>
                <w:color w:val="FF0000"/>
                <w:szCs w:val="24"/>
                <w:lang w:eastAsia="tr-TR"/>
              </w:rPr>
              <w:t xml:space="preserve"> </w:t>
            </w:r>
            <w:r w:rsidR="00AA5C8C" w:rsidRPr="00A23740">
              <w:t>denetçi</w:t>
            </w:r>
            <w:r w:rsidR="00AA5C8C" w:rsidRPr="00A23740">
              <w:rPr>
                <w:rStyle w:val="KIRMIZIChar"/>
                <w:rFonts w:eastAsia="Calibri"/>
              </w:rPr>
              <w:t xml:space="preserve">ler arasından seçilir. </w:t>
            </w:r>
          </w:p>
          <w:p w:rsidR="00AA5C8C" w:rsidRPr="00A23740" w:rsidRDefault="00AA5C8C" w:rsidP="009431FF">
            <w:pPr>
              <w:widowControl w:val="0"/>
              <w:rPr>
                <w:rFonts w:eastAsia="Times New Roman"/>
                <w:i/>
                <w:szCs w:val="24"/>
                <w:lang w:eastAsia="tr-TR"/>
              </w:rPr>
            </w:pPr>
          </w:p>
          <w:p w:rsidR="00AA5C8C" w:rsidRPr="00A23740" w:rsidRDefault="00AA5C8C" w:rsidP="009431FF">
            <w:pPr>
              <w:widowControl w:val="0"/>
              <w:rPr>
                <w:szCs w:val="24"/>
              </w:rPr>
            </w:pPr>
            <w:r w:rsidRPr="00A23740">
              <w:rPr>
                <w:b/>
                <w:szCs w:val="24"/>
              </w:rPr>
              <w:t>Konkordato komiseri ve</w:t>
            </w:r>
            <w:r w:rsidRPr="00A23740">
              <w:rPr>
                <w:szCs w:val="24"/>
              </w:rPr>
              <w:t xml:space="preserve"> </w:t>
            </w:r>
            <w:r w:rsidRPr="00A23740">
              <w:rPr>
                <w:rStyle w:val="KIRMIZIChar"/>
                <w:rFonts w:eastAsia="Calibri"/>
              </w:rPr>
              <w:t>alacaklılar kurulu ile bunların</w:t>
            </w:r>
            <w:r w:rsidRPr="00A23740">
              <w:rPr>
                <w:szCs w:val="24"/>
              </w:rPr>
              <w:t xml:space="preserve"> </w:t>
            </w:r>
            <w:r w:rsidRPr="00A23740">
              <w:rPr>
                <w:b/>
                <w:szCs w:val="24"/>
              </w:rPr>
              <w:t>görevleri</w:t>
            </w:r>
            <w:r w:rsidRPr="00A23740">
              <w:rPr>
                <w:rStyle w:val="KIRMIZIChar"/>
                <w:rFonts w:eastAsia="Calibri"/>
              </w:rPr>
              <w:t>:</w:t>
            </w:r>
          </w:p>
          <w:p w:rsidR="00AA5C8C" w:rsidRPr="00A23740" w:rsidRDefault="00AA5C8C" w:rsidP="009431FF">
            <w:pPr>
              <w:widowControl w:val="0"/>
              <w:rPr>
                <w:rFonts w:eastAsia="Times New Roman"/>
                <w:i/>
                <w:szCs w:val="24"/>
                <w:lang w:eastAsia="tr-TR"/>
              </w:rPr>
            </w:pPr>
            <w:r w:rsidRPr="00A23740">
              <w:rPr>
                <w:rStyle w:val="KIRMIZIChar"/>
                <w:rFonts w:eastAsia="Calibri"/>
              </w:rPr>
              <w:t>Madde 290-</w:t>
            </w:r>
          </w:p>
          <w:p w:rsidR="00AA5C8C" w:rsidRPr="00A23740" w:rsidRDefault="00277039" w:rsidP="009431FF">
            <w:pPr>
              <w:widowControl w:val="0"/>
              <w:rPr>
                <w:szCs w:val="24"/>
              </w:rPr>
            </w:pPr>
            <w:r>
              <w:rPr>
                <w:b/>
                <w:color w:val="FF0000"/>
                <w:szCs w:val="24"/>
              </w:rPr>
              <w:t>M.290/F5.</w:t>
            </w:r>
            <w:r w:rsidR="00AA5C8C" w:rsidRPr="00A23740">
              <w:rPr>
                <w:b/>
                <w:color w:val="FF0000"/>
                <w:szCs w:val="24"/>
              </w:rPr>
              <w:t>C2:</w:t>
            </w:r>
            <w:r w:rsidR="00AA5C8C" w:rsidRPr="00A23740">
              <w:rPr>
                <w:szCs w:val="24"/>
              </w:rPr>
              <w:t xml:space="preserve"> Listeye kayıt için Adalet Bakanlığı tarafından izin verilen kurumlardan alınacak eğitimin tamamlanmış olması zorunludur. </w:t>
            </w:r>
          </w:p>
          <w:p w:rsidR="00AA5C8C" w:rsidRPr="00A23740" w:rsidRDefault="00AA5C8C" w:rsidP="009431FF">
            <w:pPr>
              <w:widowControl w:val="0"/>
              <w:rPr>
                <w:szCs w:val="24"/>
              </w:rPr>
            </w:pPr>
          </w:p>
          <w:p w:rsidR="00AA5C8C" w:rsidRPr="00A23740" w:rsidRDefault="00277039" w:rsidP="009431FF">
            <w:pPr>
              <w:widowControl w:val="0"/>
              <w:rPr>
                <w:szCs w:val="24"/>
              </w:rPr>
            </w:pPr>
            <w:r>
              <w:rPr>
                <w:b/>
                <w:color w:val="FF0000"/>
                <w:szCs w:val="24"/>
              </w:rPr>
              <w:t>M.290/F5.</w:t>
            </w:r>
            <w:r w:rsidR="00AA5C8C" w:rsidRPr="00A23740">
              <w:rPr>
                <w:b/>
                <w:color w:val="FF0000"/>
                <w:szCs w:val="24"/>
              </w:rPr>
              <w:t>C3:</w:t>
            </w:r>
            <w:r w:rsidR="00AA5C8C" w:rsidRPr="00A23740">
              <w:rPr>
                <w:szCs w:val="24"/>
              </w:rPr>
              <w:t xml:space="preserve"> </w:t>
            </w:r>
            <w:r w:rsidR="00AA5C8C" w:rsidRPr="00A23740">
              <w:rPr>
                <w:rStyle w:val="KIRMIZIChar"/>
                <w:rFonts w:eastAsia="Calibri"/>
              </w:rPr>
              <w:t>Ayrıca,</w:t>
            </w:r>
            <w:r w:rsidR="00AA5C8C" w:rsidRPr="00A23740">
              <w:rPr>
                <w:szCs w:val="24"/>
              </w:rPr>
              <w:t xml:space="preserve"> Kamu Gözetimi, Muhasebe ve Denetim Standartları Kurumu, komiser olarak görevlendirilebilecek, yetkilendirilmiş bağımsız denetçileri liste hâlinde bilirkişilik bölge kurullarına bildirir.</w:t>
            </w:r>
          </w:p>
          <w:p w:rsidR="00F06498" w:rsidRPr="00A23740" w:rsidRDefault="00F06498" w:rsidP="009431FF">
            <w:pPr>
              <w:widowControl w:val="0"/>
              <w:rPr>
                <w:szCs w:val="24"/>
              </w:rPr>
            </w:pPr>
          </w:p>
          <w:p w:rsidR="00AA5C8C" w:rsidRPr="00A23740" w:rsidRDefault="00277039" w:rsidP="009431FF">
            <w:pPr>
              <w:widowControl w:val="0"/>
              <w:rPr>
                <w:szCs w:val="24"/>
              </w:rPr>
            </w:pPr>
            <w:r>
              <w:rPr>
                <w:b/>
                <w:color w:val="FF0000"/>
                <w:szCs w:val="24"/>
              </w:rPr>
              <w:t>M.290/F5.</w:t>
            </w:r>
            <w:r w:rsidR="00AA5C8C" w:rsidRPr="00A23740">
              <w:rPr>
                <w:b/>
                <w:color w:val="FF0000"/>
                <w:szCs w:val="24"/>
              </w:rPr>
              <w:t>C4:</w:t>
            </w:r>
            <w:r w:rsidR="00AA5C8C" w:rsidRPr="00A23740">
              <w:rPr>
                <w:szCs w:val="24"/>
              </w:rPr>
              <w:t xml:space="preserve"> Listede görevlendirilecek komiser bulunmaması hâlinde liste dışından görevlendirme yapılır ve bu durum bölge kuruluna bildirilir. </w:t>
            </w:r>
          </w:p>
          <w:p w:rsidR="00AA5C8C" w:rsidRPr="00A23740" w:rsidRDefault="00AA5C8C" w:rsidP="009431FF">
            <w:pPr>
              <w:widowControl w:val="0"/>
              <w:rPr>
                <w:szCs w:val="24"/>
              </w:rPr>
            </w:pPr>
          </w:p>
          <w:p w:rsidR="00AA5C8C" w:rsidRPr="00A23740" w:rsidRDefault="00277039" w:rsidP="009431FF">
            <w:pPr>
              <w:widowControl w:val="0"/>
              <w:rPr>
                <w:rFonts w:eastAsia="Times New Roman"/>
                <w:i/>
                <w:szCs w:val="24"/>
                <w:lang w:eastAsia="tr-TR"/>
              </w:rPr>
            </w:pPr>
            <w:r>
              <w:rPr>
                <w:b/>
                <w:color w:val="FF0000"/>
                <w:szCs w:val="24"/>
              </w:rPr>
              <w:t>M.290/F5.</w:t>
            </w:r>
            <w:r w:rsidR="00AA5C8C" w:rsidRPr="00A23740">
              <w:rPr>
                <w:b/>
                <w:color w:val="FF0000"/>
                <w:szCs w:val="24"/>
              </w:rPr>
              <w:t>C5:</w:t>
            </w:r>
            <w:r w:rsidR="00AA5C8C" w:rsidRPr="00A23740">
              <w:rPr>
                <w:szCs w:val="24"/>
              </w:rPr>
              <w:t xml:space="preserve"> Bir kişi eş zamanlı olarak beşten fazla dosyada geçici komiser ve komiser olarak görev yapamaz.</w:t>
            </w:r>
          </w:p>
          <w:p w:rsidR="00AA5C8C" w:rsidRPr="00A23740" w:rsidRDefault="00AA5C8C" w:rsidP="009431FF">
            <w:pPr>
              <w:pStyle w:val="YEL"/>
              <w:widowControl w:val="0"/>
              <w:rPr>
                <w:lang w:val="tr-TR"/>
              </w:rPr>
            </w:pPr>
          </w:p>
          <w:p w:rsidR="00AA5C8C" w:rsidRPr="00A23740" w:rsidRDefault="00AA5C8C" w:rsidP="009431FF">
            <w:pPr>
              <w:widowControl w:val="0"/>
              <w:rPr>
                <w:szCs w:val="24"/>
              </w:rPr>
            </w:pPr>
            <w:r w:rsidRPr="00A23740">
              <w:rPr>
                <w:b/>
                <w:szCs w:val="24"/>
              </w:rPr>
              <w:t>Konkordato komiseri ve</w:t>
            </w:r>
            <w:r w:rsidRPr="00A23740">
              <w:rPr>
                <w:szCs w:val="24"/>
              </w:rPr>
              <w:t xml:space="preserve"> </w:t>
            </w:r>
            <w:r w:rsidRPr="00A23740">
              <w:rPr>
                <w:rStyle w:val="KIRMIZIChar"/>
                <w:rFonts w:eastAsia="Calibri"/>
              </w:rPr>
              <w:t>alacaklılar kurulu ile bunların</w:t>
            </w:r>
            <w:r w:rsidRPr="00A23740">
              <w:rPr>
                <w:szCs w:val="24"/>
              </w:rPr>
              <w:t xml:space="preserve"> </w:t>
            </w:r>
            <w:r w:rsidRPr="00A23740">
              <w:rPr>
                <w:b/>
                <w:szCs w:val="24"/>
              </w:rPr>
              <w:t>görevleri</w:t>
            </w:r>
            <w:r w:rsidRPr="00A23740">
              <w:rPr>
                <w:rStyle w:val="KIRMIZIChar"/>
                <w:rFonts w:eastAsia="Calibri"/>
              </w:rPr>
              <w:t>:</w:t>
            </w:r>
          </w:p>
          <w:p w:rsidR="00AA5C8C" w:rsidRPr="00A23740" w:rsidRDefault="00AA5C8C" w:rsidP="009431FF">
            <w:pPr>
              <w:widowControl w:val="0"/>
              <w:tabs>
                <w:tab w:val="left" w:pos="567"/>
              </w:tabs>
              <w:rPr>
                <w:rStyle w:val="YELChar"/>
              </w:rPr>
            </w:pPr>
            <w:r w:rsidRPr="00A23740">
              <w:rPr>
                <w:rStyle w:val="KIRMIZIChar"/>
                <w:rFonts w:eastAsia="Calibri"/>
              </w:rPr>
              <w:t xml:space="preserve">Madde 290- </w:t>
            </w:r>
            <w:r w:rsidRPr="00A23740">
              <w:rPr>
                <w:rStyle w:val="KIRMIZIChar"/>
                <w:rFonts w:eastAsia="Calibri"/>
                <w:strike w:val="0"/>
              </w:rPr>
              <w:t>…</w:t>
            </w:r>
          </w:p>
          <w:p w:rsidR="00AA5C8C" w:rsidRPr="00A23740" w:rsidRDefault="00AA5C8C" w:rsidP="009431FF">
            <w:pPr>
              <w:widowControl w:val="0"/>
              <w:rPr>
                <w:szCs w:val="24"/>
              </w:rPr>
            </w:pPr>
            <w:r w:rsidRPr="00997030">
              <w:rPr>
                <w:rStyle w:val="KIRMIZIChar"/>
                <w:rFonts w:eastAsia="Calibri"/>
              </w:rPr>
              <w:t>(6)</w:t>
            </w:r>
            <w:r w:rsidRPr="00A23740">
              <w:rPr>
                <w:szCs w:val="24"/>
              </w:rPr>
              <w:t xml:space="preserve"> Konkordato komiserinin nitelikleri, eğitimi, eğitim verecek kurumlar ve eğitimden muaf tutulacaklar ile komiserliğe ilişkin diğer hususlar Adalet Bakanlığınca </w:t>
            </w:r>
            <w:r w:rsidRPr="00A23740">
              <w:rPr>
                <w:rStyle w:val="KIRMIZIChar"/>
                <w:rFonts w:eastAsia="Calibri"/>
              </w:rPr>
              <w:t>yürürlüğe konulan</w:t>
            </w:r>
            <w:r w:rsidRPr="00A23740">
              <w:rPr>
                <w:szCs w:val="24"/>
              </w:rPr>
              <w:t xml:space="preserve"> yönetmelikle belirlenir.</w:t>
            </w:r>
          </w:p>
          <w:p w:rsidR="00AA5C8C" w:rsidRPr="00A23740" w:rsidRDefault="00AA5C8C" w:rsidP="009431FF">
            <w:pPr>
              <w:pStyle w:val="YEL"/>
              <w:widowControl w:val="0"/>
              <w:rPr>
                <w:lang w:val="tr-TR"/>
              </w:rPr>
            </w:pPr>
          </w:p>
        </w:tc>
        <w:tc>
          <w:tcPr>
            <w:tcW w:w="2500" w:type="pct"/>
          </w:tcPr>
          <w:p w:rsidR="00AA5C8C" w:rsidRPr="00A23740" w:rsidRDefault="00AA5C8C" w:rsidP="009431FF">
            <w:pPr>
              <w:pStyle w:val="Mavi"/>
              <w:widowControl w:val="0"/>
            </w:pPr>
            <w:r w:rsidRPr="00A23740">
              <w:t>Konkordato komiserleri</w:t>
            </w:r>
            <w:r w:rsidRPr="00A23740">
              <w:rPr>
                <w:lang w:val="tr-TR"/>
              </w:rPr>
              <w:t xml:space="preserve"> </w:t>
            </w:r>
            <w:r w:rsidRPr="00A23740">
              <w:t>listesi</w:t>
            </w:r>
          </w:p>
          <w:p w:rsidR="00AA5C8C" w:rsidRPr="00A23740" w:rsidRDefault="003A1467" w:rsidP="009431FF">
            <w:pPr>
              <w:widowControl w:val="0"/>
              <w:rPr>
                <w:szCs w:val="24"/>
              </w:rPr>
            </w:pPr>
            <w:r w:rsidRPr="00A23740">
              <w:rPr>
                <w:rStyle w:val="MaviChar"/>
                <w:lang w:val="tr-TR"/>
              </w:rPr>
              <w:t>MADDE 380</w:t>
            </w:r>
            <w:r w:rsidR="00AA5C8C" w:rsidRPr="00A23740">
              <w:rPr>
                <w:rStyle w:val="MaviChar"/>
                <w:lang w:val="tr-TR"/>
              </w:rPr>
              <w:t>- (1)</w:t>
            </w:r>
            <w:r w:rsidR="00AA5C8C" w:rsidRPr="00A23740">
              <w:rPr>
                <w:szCs w:val="24"/>
              </w:rPr>
              <w:t xml:space="preserve"> Komiserler, bilirkişilik bölge kurulları tarafından oluşturulan </w:t>
            </w:r>
            <w:r w:rsidR="00AA5C8C" w:rsidRPr="00A23740">
              <w:rPr>
                <w:rStyle w:val="MaviChar"/>
              </w:rPr>
              <w:t>konkordato komiserleri</w:t>
            </w:r>
            <w:r w:rsidR="00AA5C8C" w:rsidRPr="00A23740">
              <w:rPr>
                <w:rStyle w:val="MaviChar"/>
                <w:lang w:val="tr-TR"/>
              </w:rPr>
              <w:t xml:space="preserve"> </w:t>
            </w:r>
            <w:r w:rsidR="00AA5C8C" w:rsidRPr="00A23740">
              <w:rPr>
                <w:szCs w:val="24"/>
              </w:rPr>
              <w:t xml:space="preserve">listesinden seçilir. Bir kişi eş zamanlı olarak beşten fazla dosyada </w:t>
            </w:r>
            <w:r w:rsidR="0081218F" w:rsidRPr="005574E2">
              <w:rPr>
                <w:rStyle w:val="MaviChar"/>
              </w:rPr>
              <w:t>geçici konkordato</w:t>
            </w:r>
            <w:r w:rsidR="0081218F" w:rsidRPr="00A23740">
              <w:rPr>
                <w:rStyle w:val="YELChar"/>
              </w:rPr>
              <w:t xml:space="preserve"> </w:t>
            </w:r>
            <w:r w:rsidR="0081218F" w:rsidRPr="005574E2">
              <w:rPr>
                <w:rStyle w:val="MaviChar"/>
              </w:rPr>
              <w:t>komiseri</w:t>
            </w:r>
            <w:r w:rsidR="00AA5C8C" w:rsidRPr="00A23740">
              <w:rPr>
                <w:szCs w:val="24"/>
              </w:rPr>
              <w:t xml:space="preserve"> ve komiser olarak görev yapamaz.</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rFonts w:eastAsia="ヒラギノ明朝 Pro W3"/>
                <w:b/>
                <w:color w:val="339933"/>
                <w:szCs w:val="24"/>
              </w:rPr>
            </w:pPr>
            <w:r w:rsidRPr="00A23740">
              <w:rPr>
                <w:rStyle w:val="MaviChar"/>
              </w:rPr>
              <w:t>(2) Konkordato komiserlerinin</w:t>
            </w:r>
            <w:r w:rsidRPr="00A23740">
              <w:rPr>
                <w:rStyle w:val="YELChar"/>
              </w:rPr>
              <w:t xml:space="preserve"> </w:t>
            </w:r>
            <w:r w:rsidRPr="00A23740">
              <w:t>üç</w:t>
            </w:r>
            <w:r w:rsidRPr="00A23740">
              <w:rPr>
                <w:rStyle w:val="YELChar"/>
              </w:rPr>
              <w:t xml:space="preserve"> </w:t>
            </w:r>
            <w:r w:rsidRPr="00A23740">
              <w:rPr>
                <w:rStyle w:val="MaviChar"/>
              </w:rPr>
              <w:t>kişi olması h</w:t>
            </w:r>
            <w:r w:rsidR="0081218F" w:rsidRPr="00A23740">
              <w:rPr>
                <w:rStyle w:val="MaviChar"/>
                <w:lang w:val="tr-TR"/>
              </w:rPr>
              <w:t>â</w:t>
            </w:r>
            <w:r w:rsidRPr="00A23740">
              <w:rPr>
                <w:rStyle w:val="MaviChar"/>
              </w:rPr>
              <w:t>linde</w:t>
            </w:r>
            <w:r w:rsidRPr="00A23740">
              <w:rPr>
                <w:szCs w:val="24"/>
              </w:rPr>
              <w:t xml:space="preserve"> </w:t>
            </w:r>
            <w:r w:rsidRPr="00A23740">
              <w:t>komiserlerden biri</w:t>
            </w:r>
            <w:r w:rsidRPr="00A23740">
              <w:rPr>
                <w:rStyle w:val="MaviChar"/>
              </w:rPr>
              <w:t>nin</w:t>
            </w:r>
            <w:r w:rsidRPr="00A23740">
              <w:rPr>
                <w:rStyle w:val="YELChar"/>
              </w:rPr>
              <w:t xml:space="preserve"> </w:t>
            </w:r>
            <w:r w:rsidRPr="00A23740">
              <w:rPr>
                <w:rFonts w:eastAsia="Times New Roman"/>
                <w:szCs w:val="24"/>
                <w:lang w:eastAsia="tr-TR"/>
              </w:rPr>
              <w:t>mahkemenin bulunduğu ilde faaliyet göstermek şartıyla Kamu Gözetimi, Muhasebe ve Denetim Standartları Kurumu tarafından yetkilendirilmiş bağımsız</w:t>
            </w:r>
            <w:r w:rsidRPr="00A23740">
              <w:rPr>
                <w:rFonts w:eastAsia="Times New Roman"/>
                <w:b/>
                <w:color w:val="FF0000"/>
                <w:szCs w:val="24"/>
                <w:lang w:eastAsia="tr-TR"/>
              </w:rPr>
              <w:t xml:space="preserve"> </w:t>
            </w:r>
            <w:r w:rsidRPr="00A23740">
              <w:t>denetçi</w:t>
            </w:r>
            <w:r w:rsidRPr="00A23740">
              <w:rPr>
                <w:rStyle w:val="MaviChar"/>
              </w:rPr>
              <w:t>, birinin ise hukukçu olması zorunludur.</w:t>
            </w:r>
          </w:p>
          <w:p w:rsidR="00AA5C8C" w:rsidRPr="00A23740" w:rsidRDefault="00AA5C8C" w:rsidP="009431FF">
            <w:pPr>
              <w:widowControl w:val="0"/>
              <w:rPr>
                <w:szCs w:val="24"/>
              </w:rPr>
            </w:pPr>
          </w:p>
          <w:p w:rsidR="00F123C0" w:rsidRPr="00A23740" w:rsidRDefault="00F123C0" w:rsidP="009431FF">
            <w:pPr>
              <w:widowControl w:val="0"/>
              <w:rPr>
                <w:szCs w:val="24"/>
              </w:rPr>
            </w:pPr>
          </w:p>
          <w:p w:rsidR="00AA5C8C" w:rsidRPr="00A23740" w:rsidRDefault="00AA5C8C" w:rsidP="009431FF">
            <w:pPr>
              <w:widowControl w:val="0"/>
              <w:rPr>
                <w:szCs w:val="24"/>
              </w:rPr>
            </w:pPr>
            <w:r w:rsidRPr="00A23740">
              <w:rPr>
                <w:rStyle w:val="MaviChar"/>
              </w:rPr>
              <w:t>(3)</w:t>
            </w:r>
            <w:r w:rsidRPr="00A23740">
              <w:rPr>
                <w:szCs w:val="24"/>
              </w:rPr>
              <w:t xml:space="preserve"> Listeye kayıt için Adalet Bakanlığı tarafından izin verilen kurumlardan alınacak eğitimin</w:t>
            </w:r>
            <w:r w:rsidR="0081218F" w:rsidRPr="00A23740">
              <w:rPr>
                <w:szCs w:val="24"/>
              </w:rPr>
              <w:t xml:space="preserve"> tamamlanmış olması zorunludur.</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rPr>
              <w:t>(4)</w:t>
            </w:r>
            <w:r w:rsidRPr="00A23740">
              <w:rPr>
                <w:szCs w:val="24"/>
              </w:rPr>
              <w:t xml:space="preserve"> </w:t>
            </w:r>
            <w:r w:rsidR="0081218F" w:rsidRPr="00A23740">
              <w:rPr>
                <w:szCs w:val="24"/>
              </w:rPr>
              <w:t xml:space="preserve">Komiser </w:t>
            </w:r>
            <w:r w:rsidRPr="00A23740">
              <w:rPr>
                <w:szCs w:val="24"/>
              </w:rPr>
              <w:t xml:space="preserve">olarak </w:t>
            </w:r>
            <w:r w:rsidR="0081218F" w:rsidRPr="005574E2">
              <w:rPr>
                <w:rStyle w:val="MaviChar"/>
              </w:rPr>
              <w:t>görevlendirilmek üzere</w:t>
            </w:r>
            <w:r w:rsidRPr="00A23740">
              <w:rPr>
                <w:szCs w:val="24"/>
              </w:rPr>
              <w:t xml:space="preserve"> yetkilendirilmiş bağımsız </w:t>
            </w:r>
            <w:r w:rsidR="0081218F" w:rsidRPr="005574E2">
              <w:rPr>
                <w:rStyle w:val="MaviChar"/>
              </w:rPr>
              <w:t>denetçiler</w:t>
            </w:r>
            <w:r w:rsidRPr="00A23740">
              <w:rPr>
                <w:szCs w:val="24"/>
              </w:rPr>
              <w:t xml:space="preserve"> </w:t>
            </w:r>
            <w:r w:rsidR="0081218F" w:rsidRPr="005574E2">
              <w:rPr>
                <w:rStyle w:val="MaviChar"/>
              </w:rPr>
              <w:t>listesi Kamu Gözetimi, Muhasebe ve Denetim Standartları Kurumu</w:t>
            </w:r>
            <w:r w:rsidR="00997030">
              <w:rPr>
                <w:rStyle w:val="MaviChar"/>
                <w:lang w:val="tr-TR"/>
              </w:rPr>
              <w:t xml:space="preserve"> </w:t>
            </w:r>
            <w:r w:rsidR="0081218F" w:rsidRPr="005574E2">
              <w:rPr>
                <w:rStyle w:val="MaviChar"/>
              </w:rPr>
              <w:t>tarafından</w:t>
            </w:r>
            <w:r w:rsidRPr="00A23740">
              <w:rPr>
                <w:szCs w:val="24"/>
              </w:rPr>
              <w:t xml:space="preserve"> bilirkişilik bölge kurullarına </w:t>
            </w:r>
            <w:r w:rsidR="0081218F" w:rsidRPr="005574E2">
              <w:rPr>
                <w:rStyle w:val="MaviChar"/>
              </w:rPr>
              <w:t>bildirilir</w:t>
            </w:r>
            <w:r w:rsidRPr="00A23740">
              <w:rPr>
                <w:szCs w:val="24"/>
              </w:rPr>
              <w:t xml:space="preserve">. </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rPr>
              <w:t>(5)</w:t>
            </w:r>
            <w:r w:rsidRPr="00A23740">
              <w:rPr>
                <w:szCs w:val="24"/>
              </w:rPr>
              <w:t xml:space="preserve"> Listede</w:t>
            </w:r>
            <w:r w:rsidRPr="00A23740">
              <w:rPr>
                <w:rStyle w:val="MaviChar"/>
              </w:rPr>
              <w:t>,</w:t>
            </w:r>
            <w:r w:rsidRPr="00A23740">
              <w:rPr>
                <w:szCs w:val="24"/>
              </w:rPr>
              <w:t xml:space="preserve"> görevlendirilecek komiser bulunmaması hâlinde liste dışından görevlendirme yapılır ve bu durum </w:t>
            </w:r>
            <w:r w:rsidRPr="00A23740">
              <w:rPr>
                <w:rStyle w:val="MaviChar"/>
              </w:rPr>
              <w:t>bilirkişilik</w:t>
            </w:r>
            <w:r w:rsidRPr="00A23740">
              <w:rPr>
                <w:szCs w:val="24"/>
              </w:rPr>
              <w:t xml:space="preserve"> bölge kuruluna bildirilir. </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b/>
                <w:szCs w:val="24"/>
              </w:rPr>
            </w:pPr>
          </w:p>
          <w:p w:rsidR="004557EF" w:rsidRPr="00A23740" w:rsidRDefault="004557EF" w:rsidP="009431FF">
            <w:pPr>
              <w:widowControl w:val="0"/>
              <w:rPr>
                <w:b/>
                <w:szCs w:val="24"/>
              </w:rPr>
            </w:pPr>
          </w:p>
          <w:p w:rsidR="004557EF" w:rsidRPr="00A23740" w:rsidRDefault="004557EF" w:rsidP="009431FF">
            <w:pPr>
              <w:widowControl w:val="0"/>
              <w:rPr>
                <w:b/>
                <w:szCs w:val="24"/>
              </w:rPr>
            </w:pPr>
          </w:p>
          <w:p w:rsidR="004557EF" w:rsidRPr="00A23740" w:rsidRDefault="004557EF" w:rsidP="009431FF">
            <w:pPr>
              <w:widowControl w:val="0"/>
              <w:rPr>
                <w:b/>
                <w:szCs w:val="24"/>
              </w:rPr>
            </w:pPr>
          </w:p>
          <w:p w:rsidR="00AA5C8C" w:rsidRPr="00A23740" w:rsidRDefault="00AA5C8C" w:rsidP="009431FF">
            <w:pPr>
              <w:pStyle w:val="YEL"/>
              <w:widowControl w:val="0"/>
              <w:rPr>
                <w:lang w:val="tr-TR"/>
              </w:rPr>
            </w:pPr>
            <w:r w:rsidRPr="00A23740">
              <w:rPr>
                <w:rStyle w:val="MaviChar"/>
                <w:b/>
              </w:rPr>
              <w:t>(6)</w:t>
            </w:r>
            <w:r w:rsidRPr="00A23740">
              <w:rPr>
                <w:rFonts w:eastAsia="Calibri"/>
                <w:b w:val="0"/>
                <w:color w:val="auto"/>
                <w:lang w:val="tr-TR"/>
              </w:rPr>
              <w:t xml:space="preserve"> Konkordato komiserinin nitelikleri, </w:t>
            </w:r>
            <w:r w:rsidRPr="00A23740">
              <w:rPr>
                <w:rStyle w:val="MaviChar"/>
                <w:b/>
              </w:rPr>
              <w:t xml:space="preserve">yükümlülükleri, </w:t>
            </w:r>
            <w:r w:rsidRPr="00A23740">
              <w:rPr>
                <w:rStyle w:val="MaviChar"/>
                <w:b/>
                <w:lang w:val="tr-TR"/>
              </w:rPr>
              <w:t xml:space="preserve">denetimi, sorumlulukları, listeden çıkarılması, uyacağı </w:t>
            </w:r>
            <w:r w:rsidRPr="00A23740">
              <w:rPr>
                <w:rStyle w:val="MaviChar"/>
                <w:b/>
              </w:rPr>
              <w:t xml:space="preserve">temel ilkeler, </w:t>
            </w:r>
            <w:r w:rsidRPr="00A23740">
              <w:rPr>
                <w:rFonts w:eastAsia="Calibri"/>
                <w:b w:val="0"/>
                <w:color w:val="auto"/>
                <w:lang w:val="tr-TR"/>
              </w:rPr>
              <w:t>eğitimi, eğitim verecek kurumlar ve eğitimden muaf tutulacaklar</w:t>
            </w:r>
            <w:r w:rsidRPr="00A23740">
              <w:rPr>
                <w:lang w:val="tr-TR"/>
              </w:rPr>
              <w:t xml:space="preserve"> </w:t>
            </w:r>
            <w:r w:rsidRPr="00A23740">
              <w:rPr>
                <w:rFonts w:eastAsia="Calibri"/>
                <w:b w:val="0"/>
                <w:color w:val="auto"/>
                <w:lang w:val="tr-TR"/>
              </w:rPr>
              <w:t xml:space="preserve">ile </w:t>
            </w:r>
            <w:r w:rsidRPr="00A23740">
              <w:rPr>
                <w:rStyle w:val="MaviChar"/>
                <w:b/>
              </w:rPr>
              <w:t>konkordato komiserliğine</w:t>
            </w:r>
            <w:r w:rsidRPr="00A23740">
              <w:rPr>
                <w:lang w:val="tr-TR"/>
              </w:rPr>
              <w:t xml:space="preserve"> </w:t>
            </w:r>
            <w:r w:rsidRPr="00A23740">
              <w:rPr>
                <w:rFonts w:eastAsia="Calibri"/>
                <w:b w:val="0"/>
                <w:color w:val="auto"/>
                <w:lang w:val="tr-TR"/>
              </w:rPr>
              <w:t>ilişkin diğer hususlar</w:t>
            </w:r>
            <w:r w:rsidRPr="00A23740">
              <w:rPr>
                <w:lang w:val="tr-TR"/>
              </w:rPr>
              <w:t xml:space="preserve"> </w:t>
            </w:r>
            <w:r w:rsidRPr="00A23740">
              <w:rPr>
                <w:rFonts w:eastAsia="Calibri"/>
                <w:b w:val="0"/>
                <w:color w:val="auto"/>
                <w:lang w:val="tr-TR"/>
              </w:rPr>
              <w:t xml:space="preserve">Adalet Bakanlığınca </w:t>
            </w:r>
            <w:r w:rsidRPr="00A23740">
              <w:rPr>
                <w:rStyle w:val="MaviChar"/>
                <w:b/>
              </w:rPr>
              <w:t>çıkarılacak</w:t>
            </w:r>
            <w:r w:rsidRPr="00A23740">
              <w:rPr>
                <w:rFonts w:eastAsia="Calibri"/>
                <w:b w:val="0"/>
                <w:color w:val="auto"/>
                <w:lang w:val="tr-TR"/>
              </w:rPr>
              <w:t xml:space="preserve"> yönetmelikle </w:t>
            </w:r>
            <w:r w:rsidRPr="00A23740">
              <w:rPr>
                <w:rStyle w:val="MaviChar"/>
                <w:b/>
              </w:rPr>
              <w:t>düzenlenir</w:t>
            </w:r>
            <w:r w:rsidRPr="00A23740">
              <w:rPr>
                <w:rFonts w:eastAsia="Calibri"/>
                <w:b w:val="0"/>
                <w:color w:val="auto"/>
                <w:lang w:val="tr-TR"/>
              </w:rPr>
              <w:t>.</w:t>
            </w:r>
            <w:r w:rsidRPr="00A23740">
              <w:rPr>
                <w:rFonts w:eastAsia="Calibri"/>
                <w:color w:val="0000CC"/>
                <w:lang w:val="tr-TR"/>
              </w:rPr>
              <w:t xml:space="preserve"> </w:t>
            </w:r>
            <w:r w:rsidRPr="00A23740">
              <w:rPr>
                <w:rStyle w:val="MaviChar"/>
                <w:b/>
              </w:rPr>
              <w:t>Temel ilkeler ile yükümlülükler, konkordato komiserlerinin</w:t>
            </w:r>
            <w:r w:rsidR="00893E95" w:rsidRPr="00A23740">
              <w:rPr>
                <w:rStyle w:val="MaviChar"/>
                <w:b/>
              </w:rPr>
              <w:t xml:space="preserve"> </w:t>
            </w:r>
            <w:r w:rsidR="00893E95" w:rsidRPr="005574E2">
              <w:rPr>
                <w:rStyle w:val="MaviChar"/>
                <w:b/>
              </w:rPr>
              <w:t>bu Kanunda yer alan</w:t>
            </w:r>
            <w:r w:rsidRPr="00A23740">
              <w:rPr>
                <w:rStyle w:val="MaviChar"/>
                <w:b/>
              </w:rPr>
              <w:t xml:space="preserve"> görev ve yetkilerine ilişkin hükümler dikkate alınmak suretiyle belirlenir.</w:t>
            </w:r>
            <w:r w:rsidRPr="00A23740">
              <w:rPr>
                <w:lang w:val="tr-TR"/>
              </w:rPr>
              <w:t xml:space="preserve"> </w:t>
            </w:r>
          </w:p>
          <w:p w:rsidR="00AA5C8C" w:rsidRPr="00A23740" w:rsidRDefault="00AA5C8C" w:rsidP="009431FF">
            <w:pPr>
              <w:pStyle w:val="YEL"/>
              <w:widowControl w:val="0"/>
              <w:rPr>
                <w:b w:val="0"/>
                <w:lang w:val="tr-TR"/>
              </w:rPr>
            </w:pPr>
          </w:p>
        </w:tc>
      </w:tr>
      <w:tr w:rsidR="005C3738" w:rsidRPr="00A23740" w:rsidTr="009431FF">
        <w:tc>
          <w:tcPr>
            <w:tcW w:w="5000" w:type="pct"/>
            <w:gridSpan w:val="2"/>
            <w:shd w:val="clear" w:color="auto" w:fill="DEEAF6"/>
          </w:tcPr>
          <w:p w:rsidR="00F06498" w:rsidRPr="00A23740" w:rsidRDefault="00F06498" w:rsidP="009431FF">
            <w:pPr>
              <w:tabs>
                <w:tab w:val="left" w:pos="567"/>
              </w:tabs>
              <w:ind w:firstLine="709"/>
              <w:rPr>
                <w:b/>
                <w:bCs/>
                <w:szCs w:val="24"/>
                <w:lang w:eastAsia="x-none"/>
              </w:rPr>
            </w:pPr>
          </w:p>
          <w:p w:rsidR="00A6097D" w:rsidRPr="00A23740" w:rsidRDefault="00A6097D" w:rsidP="009431FF">
            <w:pPr>
              <w:tabs>
                <w:tab w:val="left" w:pos="567"/>
              </w:tabs>
              <w:ind w:firstLine="709"/>
              <w:rPr>
                <w:bCs/>
                <w:szCs w:val="24"/>
                <w:lang w:eastAsia="x-none"/>
              </w:rPr>
            </w:pPr>
            <w:r w:rsidRPr="00A23740">
              <w:rPr>
                <w:b/>
                <w:bCs/>
                <w:szCs w:val="24"/>
                <w:lang w:eastAsia="x-none"/>
              </w:rPr>
              <w:t xml:space="preserve">MADDE 380-  </w:t>
            </w:r>
            <w:r w:rsidRPr="00A23740">
              <w:rPr>
                <w:bCs/>
                <w:szCs w:val="24"/>
                <w:lang w:eastAsia="x-none"/>
              </w:rPr>
              <w:t>Maddeyle konkordato komiserleri listesi düzenlenmektedir.</w:t>
            </w:r>
          </w:p>
          <w:p w:rsidR="00A6097D" w:rsidRPr="00A23740" w:rsidRDefault="00A6097D" w:rsidP="009431FF">
            <w:pPr>
              <w:tabs>
                <w:tab w:val="left" w:pos="567"/>
              </w:tabs>
              <w:ind w:firstLine="709"/>
              <w:rPr>
                <w:bCs/>
                <w:szCs w:val="24"/>
                <w:lang w:eastAsia="x-none"/>
              </w:rPr>
            </w:pPr>
            <w:r w:rsidRPr="00A23740">
              <w:rPr>
                <w:bCs/>
                <w:szCs w:val="24"/>
                <w:lang w:eastAsia="x-none"/>
              </w:rPr>
              <w:t>Maddenin birinci fıkrasında komiserlerin, bilirkişilik bölge kurulları tarafından oluşturulan konkordato komiserleri listesinden seçileceğine ilişkin kural teyit edilmiş; bir kişi</w:t>
            </w:r>
            <w:r w:rsidR="0016700D" w:rsidRPr="00A23740">
              <w:rPr>
                <w:bCs/>
                <w:szCs w:val="24"/>
                <w:lang w:eastAsia="x-none"/>
              </w:rPr>
              <w:t>nin</w:t>
            </w:r>
            <w:r w:rsidRPr="00A23740">
              <w:rPr>
                <w:bCs/>
                <w:szCs w:val="24"/>
                <w:lang w:eastAsia="x-none"/>
              </w:rPr>
              <w:t xml:space="preserve"> eş zamanlı olarak beşten fazla dosyada geçici konkordato komiseri ve (kesin) konkordato komiseri olarak görev yapamayacağı açıklığa kavuşturulmuştur.</w:t>
            </w:r>
          </w:p>
          <w:p w:rsidR="00A6097D" w:rsidRPr="00A23740" w:rsidRDefault="00A6097D" w:rsidP="009431FF">
            <w:pPr>
              <w:tabs>
                <w:tab w:val="left" w:pos="567"/>
              </w:tabs>
              <w:ind w:firstLine="709"/>
              <w:rPr>
                <w:bCs/>
                <w:szCs w:val="24"/>
                <w:lang w:eastAsia="x-none"/>
              </w:rPr>
            </w:pPr>
            <w:r w:rsidRPr="00A23740">
              <w:rPr>
                <w:bCs/>
                <w:szCs w:val="24"/>
                <w:lang w:eastAsia="x-none"/>
              </w:rPr>
              <w:t>Maddenin ikinci fıkrası; konkordato komiserlerinin üç kişi olması hâlinde komiserlerden birinin mahkemenin bulunduğu ilde faaliyet göstermek şartıyla Kamu Gözetimi, Muhasebe ve Denetim Standartları Kurumu tarafından yetkilendirilmiş bağımsız denetçi, birinin ise hukukçu olmasını zorunlu kılmaktadır.</w:t>
            </w:r>
          </w:p>
          <w:p w:rsidR="00A6097D" w:rsidRPr="00A23740" w:rsidRDefault="00A6097D" w:rsidP="009431FF">
            <w:pPr>
              <w:tabs>
                <w:tab w:val="left" w:pos="567"/>
              </w:tabs>
              <w:ind w:firstLine="709"/>
              <w:rPr>
                <w:bCs/>
                <w:szCs w:val="24"/>
                <w:lang w:eastAsia="x-none"/>
              </w:rPr>
            </w:pPr>
            <w:r w:rsidRPr="00A23740">
              <w:rPr>
                <w:bCs/>
                <w:szCs w:val="24"/>
                <w:lang w:eastAsia="x-none"/>
              </w:rPr>
              <w:t>Maddenin üçüncü fıkrasına göre, listeye kayıt için Adalet Bakanlığı tarafından izin verilen kurumlardan alınacak eğitimin tamamlanmış olması gerekmektedir.</w:t>
            </w:r>
          </w:p>
          <w:p w:rsidR="00A6097D" w:rsidRPr="00A23740" w:rsidRDefault="00A6097D" w:rsidP="009431FF">
            <w:pPr>
              <w:tabs>
                <w:tab w:val="left" w:pos="567"/>
              </w:tabs>
              <w:ind w:firstLine="709"/>
              <w:rPr>
                <w:bCs/>
                <w:szCs w:val="24"/>
                <w:lang w:eastAsia="x-none"/>
              </w:rPr>
            </w:pPr>
            <w:r w:rsidRPr="00A23740">
              <w:rPr>
                <w:bCs/>
                <w:szCs w:val="24"/>
                <w:lang w:eastAsia="x-none"/>
              </w:rPr>
              <w:t xml:space="preserve">Maddenin dördüncü fıkrası, komiser olarak görevlendirilmek üzere yetkilendirilmiş bağımsız denetçiler listesinin Kamu Gözetimi, Muhasebe ve Denetim Standartları Kurumu tarafından bilirkişilik bölge kurullarına bildirilmesine ilişkindir. </w:t>
            </w:r>
          </w:p>
          <w:p w:rsidR="00A6097D" w:rsidRPr="00A23740" w:rsidRDefault="00A6097D" w:rsidP="009431FF">
            <w:pPr>
              <w:tabs>
                <w:tab w:val="left" w:pos="567"/>
              </w:tabs>
              <w:ind w:firstLine="709"/>
              <w:rPr>
                <w:b/>
                <w:bCs/>
                <w:szCs w:val="24"/>
                <w:lang w:eastAsia="x-none"/>
              </w:rPr>
            </w:pPr>
            <w:r w:rsidRPr="00A23740">
              <w:rPr>
                <w:bCs/>
                <w:szCs w:val="24"/>
                <w:lang w:eastAsia="x-none"/>
              </w:rPr>
              <w:t xml:space="preserve">Maddenin altıncı fıkrasında konkordato komiserlerine ilişkin hangi hususların Adalet Bakanlığınca </w:t>
            </w:r>
            <w:r w:rsidR="00AD426B" w:rsidRPr="00A23740">
              <w:rPr>
                <w:bCs/>
                <w:szCs w:val="24"/>
                <w:lang w:eastAsia="x-none"/>
              </w:rPr>
              <w:t>çıkarılacak yönetmelikle düzenl</w:t>
            </w:r>
            <w:r w:rsidRPr="00A23740">
              <w:rPr>
                <w:bCs/>
                <w:szCs w:val="24"/>
                <w:lang w:eastAsia="x-none"/>
              </w:rPr>
              <w:t>enec</w:t>
            </w:r>
            <w:r w:rsidR="00AD426B" w:rsidRPr="00A23740">
              <w:rPr>
                <w:bCs/>
                <w:szCs w:val="24"/>
                <w:lang w:eastAsia="x-none"/>
              </w:rPr>
              <w:t>e</w:t>
            </w:r>
            <w:r w:rsidRPr="00A23740">
              <w:rPr>
                <w:bCs/>
                <w:szCs w:val="24"/>
                <w:lang w:eastAsia="x-none"/>
              </w:rPr>
              <w:t>ği öngörülmektedir.</w:t>
            </w:r>
            <w:r w:rsidRPr="00A23740">
              <w:rPr>
                <w:b/>
                <w:bCs/>
                <w:szCs w:val="24"/>
                <w:lang w:eastAsia="x-none"/>
              </w:rPr>
              <w:t xml:space="preserve"> </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YEL"/>
              <w:rPr>
                <w:b w:val="0"/>
                <w:lang w:val="tr-TR"/>
              </w:rPr>
            </w:pPr>
          </w:p>
        </w:tc>
        <w:tc>
          <w:tcPr>
            <w:tcW w:w="2500" w:type="pct"/>
          </w:tcPr>
          <w:p w:rsidR="00AA5C8C" w:rsidRPr="00A23740" w:rsidRDefault="00AA5C8C" w:rsidP="009431FF">
            <w:pPr>
              <w:pStyle w:val="Mavi"/>
              <w:rPr>
                <w:rStyle w:val="YELChar"/>
                <w:rFonts w:eastAsia="Calibri"/>
                <w:b/>
                <w:color w:val="0000FF"/>
                <w:lang w:eastAsia="x-none"/>
              </w:rPr>
            </w:pPr>
            <w:r w:rsidRPr="00A23740">
              <w:rPr>
                <w:rStyle w:val="YELChar"/>
                <w:rFonts w:eastAsia="Calibri"/>
                <w:b/>
                <w:color w:val="0000FF"/>
                <w:lang w:eastAsia="x-none"/>
              </w:rPr>
              <w:t>Denetim, yaptırım ve diğer hususlar</w:t>
            </w:r>
          </w:p>
          <w:p w:rsidR="00AA5C8C" w:rsidRPr="00A23740" w:rsidRDefault="003A1467" w:rsidP="009431FF">
            <w:pPr>
              <w:pStyle w:val="Mavi"/>
            </w:pPr>
            <w:r w:rsidRPr="00A23740">
              <w:t>MADDE 381</w:t>
            </w:r>
            <w:r w:rsidR="00AA5C8C" w:rsidRPr="00A23740">
              <w:t xml:space="preserve">- (1) Konkordato komiserleri, görevlerinin mevzuata uygunluğu bakımından bilirkişilik bölge kurulu tarafından resen veya başvuru üzerine denetlenir. </w:t>
            </w:r>
          </w:p>
          <w:p w:rsidR="00AA5C8C" w:rsidRPr="00A23740" w:rsidRDefault="00AA5C8C" w:rsidP="009431FF">
            <w:pPr>
              <w:pStyle w:val="Mavi"/>
            </w:pPr>
          </w:p>
          <w:p w:rsidR="00AA5C8C" w:rsidRPr="00A23740" w:rsidRDefault="00AA5C8C" w:rsidP="009431FF">
            <w:pPr>
              <w:pStyle w:val="Mavi"/>
            </w:pPr>
            <w:r w:rsidRPr="00A23740">
              <w:t>(2) Bilirkişilik bölge kurulu, aşağıdaki h</w:t>
            </w:r>
            <w:r w:rsidR="00961B49" w:rsidRPr="00A23740">
              <w:rPr>
                <w:lang w:val="tr-TR"/>
              </w:rPr>
              <w:t>â</w:t>
            </w:r>
            <w:r w:rsidRPr="00A23740">
              <w:t>llerden birini tespit ederse ihlalin niteliğine göre uyarma, bir yıla kadar geçici süreyle listeden çıkarma veya tamamen listeden çıkarma yaptırımını uygular ve kesinleşen bu yaptırımı gereği yapılmak üzere konkordato komiserinin görev yaptığı diğer dosyaların ait olduğu mahkemelere</w:t>
            </w:r>
            <w:r w:rsidRPr="00A23740">
              <w:rPr>
                <w:lang w:val="tr-TR"/>
              </w:rPr>
              <w:t xml:space="preserve"> </w:t>
            </w:r>
            <w:r w:rsidRPr="00A23740">
              <w:rPr>
                <w:bCs w:val="0"/>
              </w:rPr>
              <w:t>bildirir:</w:t>
            </w:r>
          </w:p>
          <w:p w:rsidR="00AA5C8C" w:rsidRPr="00A23740" w:rsidRDefault="00AA5C8C" w:rsidP="009431FF">
            <w:pPr>
              <w:pStyle w:val="YEL"/>
              <w:rPr>
                <w:lang w:val="tr-TR"/>
              </w:rPr>
            </w:pPr>
          </w:p>
          <w:p w:rsidR="00AA5C8C" w:rsidRPr="00A23740" w:rsidRDefault="00AA5C8C" w:rsidP="009431FF">
            <w:pPr>
              <w:pStyle w:val="Mavi"/>
            </w:pPr>
            <w:r w:rsidRPr="00A23740">
              <w:t xml:space="preserve">a) Konkordato komiserliği görevinin gereklerine aykırı işlem ve davranışlarda bulunulması. </w:t>
            </w:r>
          </w:p>
          <w:p w:rsidR="00AA5C8C" w:rsidRPr="00A23740" w:rsidRDefault="00AA5C8C" w:rsidP="009431FF">
            <w:pPr>
              <w:pStyle w:val="Mavi"/>
            </w:pPr>
            <w:r w:rsidRPr="00A23740">
              <w:t xml:space="preserve">b) Konkordato komiserliğiyle ilgili yükümlülükler ve temel ilkelerle bağdaşmayan tutum ve </w:t>
            </w:r>
            <w:r w:rsidRPr="005574E2">
              <w:t>davranışlar</w:t>
            </w:r>
            <w:r w:rsidR="001A747C" w:rsidRPr="005574E2">
              <w:t>da bulunarak</w:t>
            </w:r>
            <w:r w:rsidR="001A747C" w:rsidRPr="00A23740">
              <w:rPr>
                <w:lang w:val="tr-TR"/>
              </w:rPr>
              <w:t xml:space="preserve"> </w:t>
            </w:r>
            <w:r w:rsidRPr="00A23740">
              <w:t>faaliyet</w:t>
            </w:r>
            <w:r w:rsidR="00997030">
              <w:rPr>
                <w:lang w:val="tr-TR"/>
              </w:rPr>
              <w:t xml:space="preserve"> </w:t>
            </w:r>
            <w:r w:rsidR="001A747C" w:rsidRPr="005574E2">
              <w:t>göstermesi</w:t>
            </w:r>
            <w:r w:rsidRPr="00A23740">
              <w:t xml:space="preserve">. </w:t>
            </w:r>
          </w:p>
          <w:p w:rsidR="00AA5C8C" w:rsidRPr="00A23740" w:rsidRDefault="00AA5C8C" w:rsidP="009431FF">
            <w:pPr>
              <w:pStyle w:val="Mavi"/>
            </w:pPr>
            <w:r w:rsidRPr="00A23740">
              <w:t xml:space="preserve">c) Konkordato komiserliği görevinin gerektirdiği güven duygusunu sarsıcı tutum ve davranışlarda bulunulması.  </w:t>
            </w:r>
          </w:p>
          <w:p w:rsidR="00AA5C8C" w:rsidRPr="00A23740" w:rsidRDefault="00AA5C8C" w:rsidP="009431FF">
            <w:pPr>
              <w:pStyle w:val="Mavi"/>
            </w:pPr>
            <w:r w:rsidRPr="00A23740">
              <w:t>ç) Geçerli bir mazeret olmaksızın konkordato komiserliği görevini yapmaktan kaçınılması.</w:t>
            </w:r>
          </w:p>
          <w:p w:rsidR="00AA5C8C" w:rsidRPr="00A23740" w:rsidRDefault="00AA5C8C" w:rsidP="009431FF">
            <w:pPr>
              <w:pStyle w:val="Mavi"/>
            </w:pPr>
          </w:p>
          <w:p w:rsidR="00AA5C8C" w:rsidRPr="00A23740" w:rsidRDefault="00AA5C8C" w:rsidP="009431FF">
            <w:pPr>
              <w:pStyle w:val="Mavi"/>
              <w:rPr>
                <w:lang w:val="tr-TR"/>
              </w:rPr>
            </w:pPr>
            <w:r w:rsidRPr="00A23740">
              <w:t>(3) Bilirkişilik bölge kurulu, konkordato komiserleri listesi dışından görevlendirilenlerin</w:t>
            </w:r>
            <w:r w:rsidR="001A747C" w:rsidRPr="00A23740">
              <w:rPr>
                <w:lang w:val="tr-TR"/>
              </w:rPr>
              <w:t xml:space="preserve"> </w:t>
            </w:r>
            <w:r w:rsidR="001A747C" w:rsidRPr="005574E2">
              <w:t>de</w:t>
            </w:r>
            <w:r w:rsidRPr="00A23740">
              <w:t xml:space="preserve"> ikinci fıkrada belirtilen h</w:t>
            </w:r>
            <w:r w:rsidR="002F3AF3" w:rsidRPr="00A23740">
              <w:rPr>
                <w:lang w:val="tr-TR"/>
              </w:rPr>
              <w:t>â</w:t>
            </w:r>
            <w:r w:rsidRPr="00A23740">
              <w:t>llerini tespit ederse, ihlalin niteliğine göre uyarma, bir yıla kadar geçici süreyle veya sürekli olarak konkordato komiserliği yapmaktan yasaklama yaptırımlarından birini uygular; kesinleşen yaptırım</w:t>
            </w:r>
            <w:r w:rsidRPr="00A23740">
              <w:rPr>
                <w:lang w:val="tr-TR"/>
              </w:rPr>
              <w:t>ı</w:t>
            </w:r>
            <w:r w:rsidRPr="00A23740">
              <w:t>, gereği yapılmak üzere konkordato komiserinin görev yaptığı diğer dosyaların ait olduğu mahkemelere bildirir.</w:t>
            </w:r>
          </w:p>
          <w:p w:rsidR="00AA5C8C" w:rsidRPr="00A23740" w:rsidRDefault="00AA5C8C" w:rsidP="009431FF">
            <w:pPr>
              <w:pStyle w:val="Mavi"/>
              <w:rPr>
                <w:rStyle w:val="YELChar"/>
                <w:b/>
              </w:rPr>
            </w:pPr>
          </w:p>
          <w:p w:rsidR="00AA5C8C" w:rsidRPr="00A23740" w:rsidRDefault="00AA5C8C" w:rsidP="009431FF">
            <w:pPr>
              <w:pStyle w:val="Mavi"/>
            </w:pPr>
            <w:r w:rsidRPr="00A23740">
              <w:t>(4) Denetim, inceleme ve yaptırımların uygulanma usulü ile bunlara ilişkin diğer hususlar hakkında Bilirkişilik Kanunu hükümleri kıyasen uygulanır.</w:t>
            </w:r>
          </w:p>
          <w:p w:rsidR="00AA5C8C" w:rsidRPr="00A23740" w:rsidRDefault="00AA5C8C" w:rsidP="009431FF">
            <w:pPr>
              <w:pStyle w:val="Mavi"/>
              <w:rPr>
                <w:rStyle w:val="YELChar"/>
              </w:rPr>
            </w:pPr>
          </w:p>
          <w:p w:rsidR="00AA5C8C" w:rsidRPr="009A013D" w:rsidRDefault="00AA5C8C" w:rsidP="009A013D">
            <w:pPr>
              <w:pStyle w:val="Mavi"/>
            </w:pPr>
            <w:r w:rsidRPr="00A23740">
              <w:t>(5) Konkordato komiserlerinin denetimi, listeden çıkarılması ile bu maddenin uygulanmasına ilişkin diğer hususlar Adalet Bakanlığınca çıkarılacak</w:t>
            </w:r>
            <w:r w:rsidRPr="00A23740">
              <w:rPr>
                <w:lang w:val="tr-TR"/>
              </w:rPr>
              <w:t xml:space="preserve"> </w:t>
            </w:r>
            <w:r w:rsidRPr="00A23740">
              <w:t>yönetmelikle belirlenir.</w:t>
            </w:r>
          </w:p>
        </w:tc>
      </w:tr>
      <w:tr w:rsidR="005C3738" w:rsidRPr="00A23740" w:rsidTr="009431FF">
        <w:tc>
          <w:tcPr>
            <w:tcW w:w="5000" w:type="pct"/>
            <w:gridSpan w:val="2"/>
            <w:shd w:val="clear" w:color="auto" w:fill="DEEAF6"/>
          </w:tcPr>
          <w:p w:rsidR="00F06498" w:rsidRPr="00A23740" w:rsidRDefault="00F06498" w:rsidP="009431FF">
            <w:pPr>
              <w:tabs>
                <w:tab w:val="left" w:pos="567"/>
              </w:tabs>
              <w:ind w:firstLine="709"/>
              <w:rPr>
                <w:b/>
                <w:bCs/>
                <w:szCs w:val="24"/>
                <w:lang w:eastAsia="x-none"/>
              </w:rPr>
            </w:pPr>
          </w:p>
          <w:p w:rsidR="00A6097D" w:rsidRPr="00A23740" w:rsidRDefault="00A6097D" w:rsidP="009431FF">
            <w:pPr>
              <w:tabs>
                <w:tab w:val="left" w:pos="567"/>
              </w:tabs>
              <w:ind w:firstLine="709"/>
              <w:rPr>
                <w:bCs/>
                <w:szCs w:val="24"/>
                <w:lang w:eastAsia="x-none"/>
              </w:rPr>
            </w:pPr>
            <w:r w:rsidRPr="00A23740">
              <w:rPr>
                <w:b/>
                <w:bCs/>
                <w:szCs w:val="24"/>
                <w:lang w:eastAsia="x-none"/>
              </w:rPr>
              <w:t xml:space="preserve">MADDE 381- </w:t>
            </w:r>
            <w:r w:rsidRPr="00A23740">
              <w:rPr>
                <w:bCs/>
                <w:szCs w:val="24"/>
                <w:lang w:eastAsia="x-none"/>
              </w:rPr>
              <w:t>Maddeyle, konkordato komiserlerinin denetimi, haklarında uygulanabilecek yaptırımlar ve diğer hususlar düzenlenmektedir.</w:t>
            </w:r>
          </w:p>
          <w:p w:rsidR="00A6097D" w:rsidRPr="00A23740" w:rsidRDefault="00A6097D" w:rsidP="009431FF">
            <w:pPr>
              <w:tabs>
                <w:tab w:val="left" w:pos="567"/>
              </w:tabs>
              <w:ind w:firstLine="709"/>
              <w:rPr>
                <w:bCs/>
                <w:szCs w:val="24"/>
                <w:lang w:eastAsia="x-none"/>
              </w:rPr>
            </w:pPr>
            <w:r w:rsidRPr="00A23740">
              <w:rPr>
                <w:bCs/>
                <w:szCs w:val="24"/>
                <w:lang w:eastAsia="x-none"/>
              </w:rPr>
              <w:t xml:space="preserve">Birçok yeni hüküm içeren bu maddenin birinci fıkrasında, konkordato komiserlerinin görevlerini yerine getirirken mevzuata uygun davranıp davranmadıkları bakımından bilirkişilik bölge kurulu tarafından resen veya başvuru üzerine </w:t>
            </w:r>
            <w:r w:rsidR="0016700D" w:rsidRPr="00A23740">
              <w:rPr>
                <w:bCs/>
                <w:szCs w:val="24"/>
                <w:lang w:eastAsia="x-none"/>
              </w:rPr>
              <w:t xml:space="preserve">denetlenmeleri </w:t>
            </w:r>
            <w:r w:rsidRPr="00A23740">
              <w:rPr>
                <w:bCs/>
                <w:szCs w:val="24"/>
                <w:lang w:eastAsia="x-none"/>
              </w:rPr>
              <w:t xml:space="preserve">öngörülmektedir. </w:t>
            </w:r>
          </w:p>
          <w:p w:rsidR="00A6097D" w:rsidRPr="00A23740" w:rsidRDefault="00A6097D" w:rsidP="009431FF">
            <w:pPr>
              <w:tabs>
                <w:tab w:val="left" w:pos="567"/>
              </w:tabs>
              <w:ind w:firstLine="709"/>
              <w:rPr>
                <w:bCs/>
                <w:szCs w:val="24"/>
                <w:lang w:eastAsia="x-none"/>
              </w:rPr>
            </w:pPr>
            <w:r w:rsidRPr="00A23740">
              <w:rPr>
                <w:bCs/>
                <w:szCs w:val="24"/>
                <w:lang w:eastAsia="x-none"/>
              </w:rPr>
              <w:t>İkinci fıkra, bilirkişilik bölge kurulunun, Taslakta sayılan hâllerden birini tespit ederse ihlalin niteliğine göre uyarma, bir yıla kadar geçici süreyle listeden çıkarma veya tamamen listeden çıkarma yaptırımını uygulayacağına ve kesinleşen bu yaptırımın gereği yapılmak üzere konkordato komiserinin görev yaptığı diğer dosyaların ait olduğu mahkemelere bildirileceğine ilişkindir. Önemin</w:t>
            </w:r>
            <w:r w:rsidR="00F25704" w:rsidRPr="00A23740">
              <w:rPr>
                <w:bCs/>
                <w:szCs w:val="24"/>
                <w:lang w:eastAsia="x-none"/>
              </w:rPr>
              <w:t>e binaen, listeden çikarma yaptı</w:t>
            </w:r>
            <w:r w:rsidRPr="00A23740">
              <w:rPr>
                <w:bCs/>
                <w:szCs w:val="24"/>
                <w:lang w:eastAsia="x-none"/>
              </w:rPr>
              <w:t>rımının  komiserin görev yaptiği diğer dosyalara bildirilmesi, çıkarma kararının kesinleşmesine bağlanmıştır. Yaptırım uygulanmasını gerektiren h</w:t>
            </w:r>
            <w:r w:rsidR="00F25704" w:rsidRPr="00A23740">
              <w:rPr>
                <w:bCs/>
                <w:szCs w:val="24"/>
                <w:lang w:eastAsia="x-none"/>
              </w:rPr>
              <w:t>â</w:t>
            </w:r>
            <w:r w:rsidRPr="00A23740">
              <w:rPr>
                <w:bCs/>
                <w:szCs w:val="24"/>
                <w:lang w:eastAsia="x-none"/>
              </w:rPr>
              <w:t xml:space="preserve">ller şöyledir: Konkordato komiserinin komiserlik görevinin gereklerine aykırı işlem ve davranışlarda bulunması; konkordato komiserliğiyle ilgili yükümlülükler ve temel ilkelerle bağdaşmayan tutum ve davranışlar </w:t>
            </w:r>
            <w:r w:rsidR="0016700D" w:rsidRPr="00A23740">
              <w:rPr>
                <w:bCs/>
                <w:szCs w:val="24"/>
                <w:lang w:eastAsia="x-none"/>
              </w:rPr>
              <w:t xml:space="preserve">göstererek </w:t>
            </w:r>
            <w:r w:rsidRPr="00A23740">
              <w:rPr>
                <w:bCs/>
                <w:szCs w:val="24"/>
                <w:lang w:eastAsia="x-none"/>
              </w:rPr>
              <w:t>faaliyette bulunması; konkordato komiserliği görevinin gerektirdiği güven duygusunu sarsıcı tutum ve davranışlar sergilemesi; geçerli bir mazeret olmaksızın konkordato komiserliği görevini yapmaktan kaçınması.</w:t>
            </w:r>
          </w:p>
          <w:p w:rsidR="00A6097D" w:rsidRPr="00A23740" w:rsidRDefault="00A6097D" w:rsidP="009431FF">
            <w:pPr>
              <w:tabs>
                <w:tab w:val="left" w:pos="567"/>
              </w:tabs>
              <w:ind w:firstLine="709"/>
              <w:rPr>
                <w:bCs/>
                <w:szCs w:val="24"/>
                <w:lang w:eastAsia="x-none"/>
              </w:rPr>
            </w:pPr>
            <w:r w:rsidRPr="00A23740">
              <w:rPr>
                <w:bCs/>
                <w:szCs w:val="24"/>
                <w:lang w:eastAsia="x-none"/>
              </w:rPr>
              <w:t>Üçüncü fıkraya göre, bilirkişilik bölge kurulu, konkordato komiserleri listesi dışından görevlendirilenlerin ikinci fıkrada belirtilen hâllerini tespit ederse, ihlalin niteliğine göre uyarma, bir yıla kadar geçici süreyle veya sürekli olarak konkordato komiserliği yapmaktan yasaklama yaptırımlarından birini uygular ve kesinleşen yaptırımı, gereği yapılmak üzere konkordato komiserinin görev yaptığı diğer dosyaların ait olduğu mahkemelere bildirir.</w:t>
            </w:r>
          </w:p>
          <w:p w:rsidR="00A6097D" w:rsidRPr="00A23740" w:rsidRDefault="00A6097D" w:rsidP="009431FF">
            <w:pPr>
              <w:tabs>
                <w:tab w:val="left" w:pos="567"/>
              </w:tabs>
              <w:ind w:firstLine="709"/>
              <w:rPr>
                <w:bCs/>
                <w:szCs w:val="24"/>
                <w:lang w:eastAsia="x-none"/>
              </w:rPr>
            </w:pPr>
            <w:r w:rsidRPr="00A23740">
              <w:rPr>
                <w:bCs/>
                <w:szCs w:val="24"/>
                <w:lang w:eastAsia="x-none"/>
              </w:rPr>
              <w:t>Dördüncü fıkra, denetim, inceleme ve yaptırımların uygulanma usulü ile bunlara ilişkin diğer hususlar hakkında Bilirkişilik Kanunu hükümlerinin kıyasen uygulanacağını açıklığa kavuşturmaktadır.</w:t>
            </w:r>
          </w:p>
          <w:p w:rsidR="00A6097D" w:rsidRPr="00A23740" w:rsidRDefault="00A6097D" w:rsidP="009431FF">
            <w:pPr>
              <w:tabs>
                <w:tab w:val="left" w:pos="567"/>
              </w:tabs>
              <w:ind w:firstLine="709"/>
              <w:rPr>
                <w:b/>
                <w:bCs/>
                <w:szCs w:val="24"/>
                <w:lang w:eastAsia="x-none"/>
              </w:rPr>
            </w:pPr>
            <w:r w:rsidRPr="00A23740">
              <w:rPr>
                <w:bCs/>
                <w:szCs w:val="24"/>
                <w:lang w:eastAsia="x-none"/>
              </w:rPr>
              <w:t>Nihayet beşinci fıkra, konkordato komiserlerinin denetimine, listeden çıkarılmasına ve bu maddenin uygulanmasına ilişkin diğer hususların Adalet Bakanlığınca çıkarılacak yönetmelikle belirlenmesini öngörerek, ciddi ve vahim sonuçları olabilecek bu maddenin uygulanma usul ve esaslarının açıklığa kavuşturulmasını sağlamak istemiştir.</w:t>
            </w:r>
          </w:p>
          <w:p w:rsidR="00F06498" w:rsidRPr="00A23740" w:rsidRDefault="00F0649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rFonts w:eastAsia="Times New Roman"/>
                <w:i/>
                <w:szCs w:val="24"/>
                <w:lang w:eastAsia="tr-TR"/>
              </w:rPr>
            </w:pPr>
          </w:p>
          <w:p w:rsidR="00AA5C8C" w:rsidRPr="00A23740" w:rsidRDefault="00AA5C8C" w:rsidP="009431FF">
            <w:pPr>
              <w:rPr>
                <w:rFonts w:eastAsia="Times New Roman"/>
                <w:i/>
                <w:szCs w:val="24"/>
                <w:lang w:eastAsia="tr-TR"/>
              </w:rPr>
            </w:pPr>
          </w:p>
          <w:p w:rsidR="00AA5C8C" w:rsidRPr="00A23740" w:rsidRDefault="00AA5C8C" w:rsidP="009431FF">
            <w:pPr>
              <w:rPr>
                <w:rFonts w:eastAsia="Times New Roman"/>
                <w:i/>
                <w:szCs w:val="24"/>
                <w:lang w:eastAsia="tr-TR"/>
              </w:rPr>
            </w:pPr>
          </w:p>
          <w:p w:rsidR="00AA5C8C" w:rsidRPr="00A23740" w:rsidRDefault="00AA5C8C" w:rsidP="009431FF">
            <w:pPr>
              <w:rPr>
                <w:rFonts w:eastAsia="Times New Roman"/>
                <w:i/>
                <w:szCs w:val="24"/>
                <w:lang w:eastAsia="tr-TR"/>
              </w:rPr>
            </w:pPr>
            <w:r w:rsidRPr="00A23740">
              <w:rPr>
                <w:rFonts w:eastAsia="Times New Roman"/>
                <w:i/>
                <w:szCs w:val="24"/>
                <w:lang w:eastAsia="tr-TR"/>
              </w:rPr>
              <w:t>Kesin mühlet</w:t>
            </w:r>
            <w:r w:rsidRPr="00A23740">
              <w:rPr>
                <w:rStyle w:val="KIRMIZIChar"/>
                <w:rFonts w:eastAsia="Calibri"/>
              </w:rPr>
              <w:t>:</w:t>
            </w:r>
          </w:p>
          <w:p w:rsidR="00AA5C8C" w:rsidRPr="00A23740" w:rsidRDefault="00AA5C8C" w:rsidP="009431FF">
            <w:pPr>
              <w:rPr>
                <w:b/>
                <w:bCs/>
                <w:strike/>
                <w:color w:val="FF0000"/>
                <w:szCs w:val="24"/>
              </w:rPr>
            </w:pPr>
            <w:r w:rsidRPr="00A23740">
              <w:rPr>
                <w:rStyle w:val="KIRMIZIChar"/>
                <w:rFonts w:eastAsia="Calibri"/>
              </w:rPr>
              <w:t>Madde 289- (1) (Değişik: 28/2/2018-7101/17 md.)</w:t>
            </w:r>
            <w:r w:rsidRPr="00A23740">
              <w:rPr>
                <w:rStyle w:val="KIRMIZIChar"/>
                <w:rFonts w:eastAsia="Calibri"/>
                <w:strike w:val="0"/>
              </w:rPr>
              <w:t xml:space="preserve"> </w:t>
            </w:r>
            <w:r w:rsidRPr="00A23740">
              <w:rPr>
                <w:rFonts w:eastAsia="Times New Roman"/>
                <w:szCs w:val="24"/>
                <w:lang w:eastAsia="tr-TR"/>
              </w:rPr>
              <w:t>Mahkeme, kesin mühlet hakkındaki kararını geçici mühlet içinde verir.</w:t>
            </w:r>
          </w:p>
          <w:p w:rsidR="00404327" w:rsidRPr="00A23740" w:rsidRDefault="00404327"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Kesin mühlet hakkında bir karar verilebilmesi için, mahkeme borçluyu ve varsa konkordato talep eden alacaklıyı duruşmaya davet eder. Geçici komiser, duruşmadan önce yazılı raporunu sunar ve mahkemece gerekli görülürse, beyanı alınmak üzere duruşmada hazır bulunur. Mahkeme yapacağı değerlendirmede, itiraz eden alacaklıların dilekçelerinde ileri sürdükleri itiraz sebeplerini de dikkate alır.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Konkordatonun başarıya ulaşmasının mümkün olduğunun anlaşılması hâlinde borçluya bir </w:t>
            </w:r>
            <w:r w:rsidRPr="00A23740">
              <w:rPr>
                <w:rStyle w:val="AralkYokChar"/>
                <w:lang w:val="tr-TR" w:eastAsia="tr-TR"/>
              </w:rPr>
              <w:t>yıllık</w:t>
            </w:r>
            <w:r w:rsidRPr="00A23740">
              <w:rPr>
                <w:rFonts w:eastAsia="Times New Roman"/>
                <w:szCs w:val="24"/>
                <w:lang w:eastAsia="tr-TR"/>
              </w:rPr>
              <w:t xml:space="preserve"> kesin mühlet verilir. Bu kararla birlikte mahkeme, yeni bir görevlendirme yapılmasını gerektiren bir durum olmadığı takdirde geçici komiser veya komiserlerin görevine devam etmesine karar verir ve dosyayı komisere tevdi eder.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w:t>
            </w:r>
            <w:r w:rsidRPr="00A23740">
              <w:rPr>
                <w:rStyle w:val="KIRMIZIChar"/>
                <w:rFonts w:eastAsia="Calibri"/>
              </w:rPr>
              <w:t>Mahkemece, kesin mühlet kararıyla beraber veya kesin mühlet içinde uygun görülecek bir zamanda yedi alacaklıyı geçmemek, herhangi bir ücret takdir edilmemek ve tek sayıda olmak kaydıyla ayrıca bir alacaklılar kurulu oluşturulabilir. Bu durumda alacakları, hukuki nitelik itibarıyla birbirinden farklı olan alacaklı sınıfları ve varsa rehinli alacaklılar, alacaklılar kurulunda hakkaniyete uygun şekilde temsil edilir. Alacaklılar kurulu oluşturulurken komiserin de görüşü alınır. Alacaklılar kurulu her ay en az bir kere toplanır ve hazır bulunanların oy çokluğuyla karar alır. Komiser bu toplantıda hazır bulunarak alınan kararları toplantıya katılanların imzasını almak suretiyle tutanağa bağlar. Alacaklı sayısı, alacak miktarı ve alacakların çeşitliliği dikkate alınarak alacaklılar kurulunun zorunlu olarak oluşturulacağı hâller ile alacaklılar kuruluna ilişkin diğer hususlar Adalet Bakanlığınca yürürlüğe konulan yönetmelikte gösterilir.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Fonts w:eastAsia="Times New Roman"/>
                <w:szCs w:val="24"/>
                <w:lang w:eastAsia="tr-TR"/>
              </w:rPr>
              <w:t xml:space="preserve">(5) Güçlük arz eden özel durumlarda kesin mühlet, komiserin bu durumu açıklayan gerekçeli raporu ve talebi üzerine mahkemece </w:t>
            </w:r>
            <w:r w:rsidRPr="00A23740">
              <w:rPr>
                <w:rStyle w:val="AralkYokChar"/>
                <w:lang w:val="tr-TR"/>
              </w:rPr>
              <w:t>altı</w:t>
            </w:r>
            <w:r w:rsidRPr="00A23740">
              <w:rPr>
                <w:rFonts w:eastAsia="Times New Roman"/>
                <w:szCs w:val="24"/>
                <w:lang w:eastAsia="tr-TR"/>
              </w:rPr>
              <w:t xml:space="preserve"> aya kadar uzatılabilir. Borçlu da bu fıkra uyarınca uzatma talebinde bulunabilir; bu takdirde komiserin de görüşü alınır. Her iki hâlde de uzatma talebi kesin mühletin </w:t>
            </w:r>
            <w:r w:rsidRPr="00A23740">
              <w:rPr>
                <w:rStyle w:val="AralkYokChar"/>
                <w:lang w:val="tr-TR"/>
              </w:rPr>
              <w:t>sonra</w:t>
            </w:r>
            <w:r w:rsidRPr="00A23740">
              <w:rPr>
                <w:rFonts w:eastAsia="Times New Roman"/>
                <w:szCs w:val="24"/>
                <w:lang w:eastAsia="tr-TR"/>
              </w:rPr>
              <w:t xml:space="preserve"> ermesinden önce yapılır ve uzatma kararı vermeden önce, varsa alacaklılar kurulunun da görüşü alınır.</w:t>
            </w:r>
          </w:p>
          <w:p w:rsidR="00D92932" w:rsidRPr="00A23740" w:rsidRDefault="00D92932" w:rsidP="009431FF">
            <w:pPr>
              <w:rPr>
                <w:rFonts w:eastAsia="Times New Roman"/>
                <w:szCs w:val="24"/>
                <w:lang w:eastAsia="tr-TR"/>
              </w:rPr>
            </w:pPr>
          </w:p>
          <w:p w:rsidR="00D92932" w:rsidRPr="00A23740" w:rsidRDefault="00D92932" w:rsidP="009431FF">
            <w:pPr>
              <w:rPr>
                <w:rFonts w:eastAsia="Times New Roman"/>
                <w:szCs w:val="24"/>
                <w:lang w:eastAsia="tr-TR"/>
              </w:rPr>
            </w:pPr>
          </w:p>
          <w:p w:rsidR="00AA5C8C" w:rsidRPr="00A23740" w:rsidRDefault="00AA5C8C" w:rsidP="009431FF">
            <w:pPr>
              <w:rPr>
                <w:rFonts w:eastAsia="Times New Roman"/>
                <w:b/>
                <w:szCs w:val="24"/>
                <w:lang w:eastAsia="tr-TR"/>
              </w:rPr>
            </w:pPr>
            <w:r w:rsidRPr="00A23740">
              <w:rPr>
                <w:rFonts w:eastAsia="Times New Roman"/>
                <w:szCs w:val="24"/>
                <w:lang w:eastAsia="tr-TR"/>
              </w:rPr>
              <w:t>(6) Kesin mühlet verilmesine, kesin mühletin uzatılmasına ve kesin mühletin kaldırılarak konkordato talebinin reddine ilişkin kararlar</w:t>
            </w:r>
            <w:r w:rsidRPr="00AD7E89">
              <w:rPr>
                <w:rStyle w:val="KIRMIZIChar"/>
                <w:rFonts w:eastAsia="Calibri"/>
              </w:rPr>
              <w:t>, 2</w:t>
            </w:r>
            <w:r w:rsidRPr="00A23740">
              <w:rPr>
                <w:rStyle w:val="KIRMIZIChar"/>
                <w:rFonts w:eastAsia="Calibri"/>
              </w:rPr>
              <w:t>88 inci</w:t>
            </w:r>
            <w:r w:rsidRPr="00A23740">
              <w:rPr>
                <w:rFonts w:eastAsia="Times New Roman"/>
                <w:szCs w:val="24"/>
                <w:lang w:eastAsia="tr-TR"/>
              </w:rPr>
              <w:t xml:space="preserve"> madde uyarınca ilân edilir ve ilgili yerlere bildirilir.</w:t>
            </w:r>
          </w:p>
        </w:tc>
        <w:tc>
          <w:tcPr>
            <w:tcW w:w="2500" w:type="pct"/>
          </w:tcPr>
          <w:p w:rsidR="00AA5C8C" w:rsidRPr="00A23740" w:rsidRDefault="00AA5C8C" w:rsidP="009431FF">
            <w:pPr>
              <w:pStyle w:val="Mavi"/>
              <w:jc w:val="center"/>
              <w:rPr>
                <w:lang w:val="tr-TR"/>
              </w:rPr>
            </w:pPr>
            <w:r w:rsidRPr="00A23740">
              <w:rPr>
                <w:lang w:val="tr-TR"/>
              </w:rPr>
              <w:t>ÜÇÜNCÜ AYRIM</w:t>
            </w:r>
          </w:p>
          <w:p w:rsidR="00AA5C8C" w:rsidRPr="00A23740" w:rsidRDefault="00AA5C8C" w:rsidP="009431FF">
            <w:pPr>
              <w:pStyle w:val="Mavi"/>
              <w:jc w:val="center"/>
              <w:rPr>
                <w:lang w:val="tr-TR"/>
              </w:rPr>
            </w:pPr>
            <w:r w:rsidRPr="00A23740">
              <w:rPr>
                <w:lang w:val="tr-TR"/>
              </w:rPr>
              <w:t>Kesin Mühlet ve Sonuçları</w:t>
            </w:r>
          </w:p>
          <w:p w:rsidR="00AA5C8C" w:rsidRPr="00A23740" w:rsidRDefault="00AA5C8C" w:rsidP="009431FF">
            <w:pPr>
              <w:pStyle w:val="Mavi"/>
              <w:rPr>
                <w:lang w:val="tr-TR"/>
              </w:rPr>
            </w:pPr>
          </w:p>
          <w:p w:rsidR="00AA5C8C" w:rsidRPr="00A23740" w:rsidRDefault="00AA5C8C" w:rsidP="009431FF">
            <w:pPr>
              <w:rPr>
                <w:rFonts w:eastAsia="Times New Roman"/>
                <w:i/>
                <w:szCs w:val="24"/>
                <w:lang w:eastAsia="tr-TR"/>
              </w:rPr>
            </w:pPr>
            <w:r w:rsidRPr="00A23740">
              <w:rPr>
                <w:rFonts w:eastAsia="Times New Roman"/>
                <w:szCs w:val="24"/>
                <w:lang w:eastAsia="tr-TR"/>
              </w:rPr>
              <w:t>Kesin mühlet</w:t>
            </w:r>
            <w:r w:rsidRPr="00A23740">
              <w:rPr>
                <w:rFonts w:eastAsia="Times New Roman"/>
                <w:i/>
                <w:szCs w:val="24"/>
                <w:lang w:eastAsia="tr-TR"/>
              </w:rPr>
              <w:t xml:space="preserve"> </w:t>
            </w:r>
            <w:r w:rsidRPr="00A23740">
              <w:rPr>
                <w:rStyle w:val="MaviChar"/>
                <w:lang w:val="tr-TR"/>
              </w:rPr>
              <w:t>kararı</w:t>
            </w:r>
          </w:p>
          <w:p w:rsidR="00404327" w:rsidRPr="00A23740" w:rsidRDefault="00AA5C8C" w:rsidP="009431FF">
            <w:pPr>
              <w:rPr>
                <w:rFonts w:eastAsia="Times New Roman"/>
                <w:szCs w:val="24"/>
                <w:lang w:eastAsia="tr-TR"/>
              </w:rPr>
            </w:pPr>
            <w:r w:rsidRPr="00A23740">
              <w:rPr>
                <w:rStyle w:val="MaviChar"/>
                <w:lang w:val="tr-TR"/>
              </w:rPr>
              <w:t xml:space="preserve">MADDE </w:t>
            </w:r>
            <w:r w:rsidR="003A1467" w:rsidRPr="00A23740">
              <w:rPr>
                <w:rStyle w:val="MaviChar"/>
              </w:rPr>
              <w:t>382</w:t>
            </w:r>
            <w:r w:rsidRPr="00A23740">
              <w:rPr>
                <w:rStyle w:val="MaviChar"/>
                <w:lang w:val="tr-TR"/>
              </w:rPr>
              <w:t xml:space="preserve">- </w:t>
            </w:r>
            <w:r w:rsidR="00404327" w:rsidRPr="005574E2">
              <w:rPr>
                <w:rStyle w:val="MaviChar"/>
              </w:rPr>
              <w:t>(1)</w:t>
            </w:r>
            <w:r w:rsidR="00404327" w:rsidRPr="00A23740">
              <w:rPr>
                <w:rFonts w:eastAsia="Times New Roman"/>
                <w:szCs w:val="24"/>
                <w:lang w:eastAsia="tr-TR"/>
              </w:rPr>
              <w:t xml:space="preserve"> Mahkeme, </w:t>
            </w:r>
            <w:r w:rsidR="00404327" w:rsidRPr="005574E2">
              <w:rPr>
                <w:rStyle w:val="MaviChar"/>
              </w:rPr>
              <w:t>borçluya</w:t>
            </w:r>
            <w:r w:rsidR="00404327" w:rsidRPr="00A23740">
              <w:rPr>
                <w:rFonts w:eastAsia="Times New Roman"/>
                <w:color w:val="538135"/>
                <w:szCs w:val="24"/>
                <w:lang w:eastAsia="tr-TR"/>
              </w:rPr>
              <w:t xml:space="preserve"> </w:t>
            </w:r>
            <w:r w:rsidR="00404327" w:rsidRPr="00A23740">
              <w:rPr>
                <w:rFonts w:eastAsia="Times New Roman"/>
                <w:szCs w:val="24"/>
                <w:lang w:eastAsia="tr-TR"/>
              </w:rPr>
              <w:t xml:space="preserve">kesin mühlet </w:t>
            </w:r>
            <w:r w:rsidR="00404327" w:rsidRPr="005574E2">
              <w:rPr>
                <w:rStyle w:val="MaviChar"/>
              </w:rPr>
              <w:t>verilip verilmeyeceğini</w:t>
            </w:r>
            <w:r w:rsidR="00404327" w:rsidRPr="00A23740">
              <w:rPr>
                <w:rFonts w:eastAsia="Times New Roman"/>
                <w:szCs w:val="24"/>
                <w:lang w:eastAsia="tr-TR"/>
              </w:rPr>
              <w:t xml:space="preserve"> geçici mühlet içinde </w:t>
            </w:r>
            <w:r w:rsidR="00404327" w:rsidRPr="005574E2">
              <w:rPr>
                <w:rStyle w:val="MaviChar"/>
              </w:rPr>
              <w:t>karara bağlamak zorundadır</w:t>
            </w:r>
            <w:r w:rsidR="00404327" w:rsidRPr="00A23740">
              <w:rPr>
                <w:rFonts w:eastAsia="Times New Roman"/>
                <w:szCs w:val="24"/>
                <w:lang w:eastAsia="tr-TR"/>
              </w:rPr>
              <w:t>.</w:t>
            </w:r>
          </w:p>
          <w:p w:rsidR="00404327" w:rsidRPr="00A23740" w:rsidRDefault="00404327"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MaviChar"/>
                <w:lang w:val="tr-TR"/>
              </w:rPr>
              <w:t>(2)</w:t>
            </w:r>
            <w:r w:rsidRPr="00A23740">
              <w:rPr>
                <w:rFonts w:eastAsia="Times New Roman"/>
                <w:szCs w:val="24"/>
                <w:lang w:eastAsia="tr-TR"/>
              </w:rPr>
              <w:t xml:space="preserve"> Kesin mühlet hakkında bir karar verilebilmesi için mahkeme borçluyu ve varsa konkordato talep eden alacaklıyı duruşmaya davet eder. Geçici komiser, duruşmadan önce yazılı raporunu sunar ve mahkemece gerekli görülürse, beyanı alınmak üzere duruşmada hazır bulunur. Mahkeme yapacağı değerlendirmede, itiraz eden alacaklıların dilekçelerinde ileri sürdükleri itiraz sebeplerini de dikkate alır.</w:t>
            </w:r>
          </w:p>
          <w:p w:rsidR="00AA5C8C" w:rsidRPr="00A23740" w:rsidRDefault="00AA5C8C" w:rsidP="009431FF">
            <w:pPr>
              <w:rPr>
                <w:rFonts w:eastAsia="Times New Roman"/>
                <w:szCs w:val="24"/>
                <w:lang w:eastAsia="tr-TR"/>
              </w:rPr>
            </w:pPr>
          </w:p>
          <w:p w:rsidR="00AA5C8C" w:rsidRPr="00A23740" w:rsidRDefault="00AA5C8C" w:rsidP="009431FF">
            <w:pPr>
              <w:pStyle w:val="Mavi"/>
            </w:pPr>
            <w:r w:rsidRPr="00A23740">
              <w:t xml:space="preserve">(3) </w:t>
            </w:r>
            <w:r w:rsidRPr="00A23740">
              <w:rPr>
                <w:rStyle w:val="MaviChar"/>
                <w:b/>
                <w:bCs/>
              </w:rPr>
              <w:t>Konkordatonun başarıya ulaşamayacağı açıkça anlaşılıyorsa mahkeme</w:t>
            </w:r>
            <w:r w:rsidRPr="00A23740">
              <w:t>,</w:t>
            </w:r>
            <w:r w:rsidRPr="00A23740">
              <w:rPr>
                <w:rStyle w:val="MaviChar"/>
                <w:b/>
                <w:bCs/>
              </w:rPr>
              <w:t xml:space="preserve"> konkordato talebinin reddine karar verir. Borçlunun, borca batık bir sermaye şirketi veya kooperatif olması h</w:t>
            </w:r>
            <w:r w:rsidR="00F25704" w:rsidRPr="00A23740">
              <w:rPr>
                <w:rStyle w:val="MaviChar"/>
                <w:b/>
                <w:bCs/>
                <w:lang w:val="tr-TR"/>
              </w:rPr>
              <w:t>â</w:t>
            </w:r>
            <w:r w:rsidRPr="00A23740">
              <w:rPr>
                <w:rStyle w:val="MaviChar"/>
                <w:b/>
                <w:bCs/>
              </w:rPr>
              <w:t>linde resen iflasına da karar verilir.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MaviChar"/>
                <w:lang w:val="tr-TR"/>
              </w:rPr>
              <w:t>(4)</w:t>
            </w:r>
            <w:r w:rsidRPr="00A23740">
              <w:rPr>
                <w:rFonts w:eastAsia="Times New Roman"/>
                <w:b/>
                <w:bCs/>
                <w:lang w:eastAsia="tr-TR"/>
              </w:rPr>
              <w:t xml:space="preserve"> </w:t>
            </w:r>
            <w:r w:rsidRPr="00A23740">
              <w:rPr>
                <w:rFonts w:eastAsia="Times New Roman"/>
                <w:szCs w:val="24"/>
                <w:lang w:eastAsia="tr-TR"/>
              </w:rPr>
              <w:t>Konkordatonun başarıya ulaşmasının mümkün olduğunun anlaşılması hâlinde</w:t>
            </w:r>
            <w:r w:rsidR="00404327" w:rsidRPr="00A23740">
              <w:rPr>
                <w:rFonts w:eastAsia="Times New Roman"/>
                <w:b/>
                <w:color w:val="538135"/>
                <w:szCs w:val="24"/>
                <w:lang w:eastAsia="tr-TR"/>
              </w:rPr>
              <w:t>,</w:t>
            </w:r>
            <w:r w:rsidRPr="00A23740">
              <w:rPr>
                <w:rFonts w:eastAsia="Times New Roman"/>
                <w:szCs w:val="24"/>
                <w:lang w:eastAsia="tr-TR"/>
              </w:rPr>
              <w:t xml:space="preserve"> borçluya </w:t>
            </w:r>
            <w:r w:rsidRPr="00A23740">
              <w:rPr>
                <w:rStyle w:val="MaviChar"/>
              </w:rPr>
              <w:t>altı aydan az olmamak üzere</w:t>
            </w:r>
            <w:r w:rsidRPr="00A23740">
              <w:rPr>
                <w:rFonts w:eastAsia="Times New Roman"/>
                <w:szCs w:val="24"/>
                <w:lang w:eastAsia="tr-TR"/>
              </w:rPr>
              <w:t xml:space="preserve"> bir </w:t>
            </w:r>
            <w:r w:rsidRPr="00A23740">
              <w:rPr>
                <w:rStyle w:val="MaviChar"/>
                <w:lang w:val="tr-TR" w:eastAsia="tr-TR"/>
              </w:rPr>
              <w:t>yıla kadar</w:t>
            </w:r>
            <w:r w:rsidRPr="00A23740">
              <w:rPr>
                <w:rFonts w:eastAsia="Times New Roman"/>
                <w:szCs w:val="24"/>
                <w:lang w:eastAsia="tr-TR"/>
              </w:rPr>
              <w:t xml:space="preserve"> kesin mühlet verilir.</w:t>
            </w:r>
            <w:r w:rsidRPr="00A23740">
              <w:rPr>
                <w:b/>
                <w:bCs/>
                <w:color w:val="0000FF"/>
                <w:szCs w:val="24"/>
                <w:lang w:eastAsia="x-none"/>
              </w:rPr>
              <w:t xml:space="preserve"> </w:t>
            </w:r>
            <w:r w:rsidRPr="00A23740">
              <w:rPr>
                <w:rFonts w:eastAsia="Times New Roman"/>
                <w:szCs w:val="24"/>
                <w:lang w:eastAsia="tr-TR"/>
              </w:rPr>
              <w:t>Bu kararla birlikte mahkeme, yeni bir görevlendirme yapılmasını gerektiren bir durum olmadığı takdirde geçici komiser</w:t>
            </w:r>
            <w:r w:rsidR="00404327" w:rsidRPr="005574E2">
              <w:rPr>
                <w:rStyle w:val="MaviChar"/>
              </w:rPr>
              <w:t>in</w:t>
            </w:r>
            <w:r w:rsidRPr="00A23740">
              <w:rPr>
                <w:rFonts w:eastAsia="Times New Roman"/>
                <w:szCs w:val="24"/>
                <w:lang w:eastAsia="tr-TR"/>
              </w:rPr>
              <w:t xml:space="preserve"> </w:t>
            </w:r>
            <w:r w:rsidR="00404327" w:rsidRPr="005574E2">
              <w:rPr>
                <w:rStyle w:val="MaviChar"/>
              </w:rPr>
              <w:t>kesin mühlet döneminde de</w:t>
            </w:r>
            <w:r w:rsidR="00404327" w:rsidRPr="00A23740">
              <w:rPr>
                <w:rFonts w:eastAsia="Times New Roman"/>
                <w:szCs w:val="24"/>
                <w:lang w:eastAsia="tr-TR"/>
              </w:rPr>
              <w:t xml:space="preserve"> </w:t>
            </w:r>
            <w:r w:rsidRPr="00A23740">
              <w:rPr>
                <w:rFonts w:eastAsia="Times New Roman"/>
                <w:szCs w:val="24"/>
                <w:lang w:eastAsia="tr-TR"/>
              </w:rPr>
              <w:t>görevine devam etmesine karar verir ve dosyayı komisere tevdi eder.</w:t>
            </w:r>
          </w:p>
          <w:p w:rsidR="00AA5C8C" w:rsidRPr="00A23740" w:rsidRDefault="00AA5C8C" w:rsidP="009431FF">
            <w:pPr>
              <w:rPr>
                <w:rStyle w:val="MaviChar"/>
                <w:lang w:val="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6097D" w:rsidRPr="00A23740" w:rsidRDefault="00A6097D" w:rsidP="009431FF">
            <w:pPr>
              <w:rPr>
                <w:rFonts w:eastAsia="Times New Roman"/>
                <w:szCs w:val="24"/>
                <w:lang w:eastAsia="tr-TR"/>
              </w:rPr>
            </w:pPr>
          </w:p>
          <w:p w:rsidR="00AA5C8C" w:rsidRPr="00A23740" w:rsidRDefault="00AA5C8C" w:rsidP="009431FF">
            <w:pPr>
              <w:rPr>
                <w:rFonts w:eastAsia="Times New Roman"/>
                <w:szCs w:val="24"/>
                <w:lang w:eastAsia="tr-TR"/>
              </w:rPr>
            </w:pPr>
          </w:p>
          <w:p w:rsidR="004557EF" w:rsidRPr="00A23740" w:rsidRDefault="004557EF" w:rsidP="009431FF">
            <w:pPr>
              <w:rPr>
                <w:rFonts w:eastAsia="Times New Roman"/>
                <w:szCs w:val="24"/>
                <w:lang w:eastAsia="tr-TR"/>
              </w:rPr>
            </w:pPr>
          </w:p>
          <w:p w:rsidR="004557EF" w:rsidRPr="00A23740" w:rsidRDefault="004557EF" w:rsidP="009431FF">
            <w:pPr>
              <w:rPr>
                <w:rFonts w:eastAsia="Times New Roman"/>
                <w:szCs w:val="24"/>
                <w:lang w:eastAsia="tr-TR"/>
              </w:rPr>
            </w:pPr>
          </w:p>
          <w:p w:rsidR="004557EF" w:rsidRPr="00A23740" w:rsidRDefault="004557EF"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Fonts w:eastAsia="Times New Roman"/>
                <w:szCs w:val="24"/>
                <w:lang w:eastAsia="tr-TR"/>
              </w:rPr>
              <w:t>(5) Güçlük arz eden özel durumlarda</w:t>
            </w:r>
            <w:r w:rsidR="00D92932" w:rsidRPr="00A23740">
              <w:rPr>
                <w:rFonts w:eastAsia="Times New Roman"/>
                <w:szCs w:val="24"/>
                <w:lang w:eastAsia="tr-TR"/>
              </w:rPr>
              <w:t xml:space="preserve"> </w:t>
            </w:r>
            <w:r w:rsidR="00D92932" w:rsidRPr="005574E2">
              <w:rPr>
                <w:rStyle w:val="MaviChar"/>
              </w:rPr>
              <w:t>bir önceki fıkraya göre verilen</w:t>
            </w:r>
            <w:r w:rsidRPr="00A23740">
              <w:rPr>
                <w:rFonts w:eastAsia="Times New Roman"/>
                <w:szCs w:val="24"/>
                <w:lang w:eastAsia="tr-TR"/>
              </w:rPr>
              <w:t xml:space="preserve"> kesin mühlet, komiserin bu durumu açıklayan gerekçeli raporu ve talebi üzerine mahkemece</w:t>
            </w:r>
            <w:r w:rsidR="00D92932" w:rsidRPr="00A23740">
              <w:rPr>
                <w:rFonts w:eastAsia="Times New Roman"/>
                <w:szCs w:val="24"/>
                <w:lang w:eastAsia="tr-TR"/>
              </w:rPr>
              <w:t xml:space="preserve"> </w:t>
            </w:r>
            <w:r w:rsidR="00D92932" w:rsidRPr="005574E2">
              <w:rPr>
                <w:rStyle w:val="MaviChar"/>
              </w:rPr>
              <w:t>bir defaya mahsus olmak üzere</w:t>
            </w:r>
            <w:r w:rsidRPr="00A23740">
              <w:rPr>
                <w:rFonts w:eastAsia="Times New Roman"/>
                <w:szCs w:val="24"/>
                <w:lang w:eastAsia="tr-TR"/>
              </w:rPr>
              <w:t xml:space="preserve"> </w:t>
            </w:r>
            <w:r w:rsidRPr="00A23740">
              <w:rPr>
                <w:rStyle w:val="MaviChar"/>
                <w:lang w:val="tr-TR"/>
              </w:rPr>
              <w:t>üç</w:t>
            </w:r>
            <w:r w:rsidRPr="00A23740">
              <w:rPr>
                <w:rFonts w:eastAsia="Times New Roman"/>
                <w:szCs w:val="24"/>
                <w:lang w:eastAsia="tr-TR"/>
              </w:rPr>
              <w:t xml:space="preserve"> aya kadar uzatılabilir. Borçlu da bu fıkra uyarınca uzatma talebinde bulunabilir; bu takdirde komiserin de görüşü alınır. Her iki hâlde de uzatma talebi kesin mühletin </w:t>
            </w:r>
            <w:r w:rsidRPr="00A23740">
              <w:rPr>
                <w:rStyle w:val="MaviChar"/>
                <w:lang w:val="tr-TR"/>
              </w:rPr>
              <w:t>sona</w:t>
            </w:r>
            <w:r w:rsidRPr="00A23740">
              <w:rPr>
                <w:rFonts w:eastAsia="Times New Roman"/>
                <w:szCs w:val="24"/>
                <w:lang w:eastAsia="tr-TR"/>
              </w:rPr>
              <w:t xml:space="preserve"> ermesinden önce yapılır ve uzatma kararı </w:t>
            </w:r>
            <w:r w:rsidR="0032465A" w:rsidRPr="005574E2">
              <w:rPr>
                <w:rStyle w:val="MaviChar"/>
              </w:rPr>
              <w:t>verilmeden</w:t>
            </w:r>
            <w:r w:rsidRPr="00A23740">
              <w:rPr>
                <w:rFonts w:eastAsia="Times New Roman"/>
                <w:szCs w:val="24"/>
                <w:lang w:eastAsia="tr-TR"/>
              </w:rPr>
              <w:t xml:space="preserve"> önce, varsa alacaklılar kurulunun da görüşü alınır.</w:t>
            </w:r>
          </w:p>
          <w:p w:rsidR="00AA5C8C" w:rsidRPr="00A23740" w:rsidRDefault="00AA5C8C" w:rsidP="009431FF">
            <w:pPr>
              <w:rPr>
                <w:rFonts w:eastAsia="Times New Roman"/>
                <w:szCs w:val="24"/>
                <w:lang w:eastAsia="tr-TR"/>
              </w:rPr>
            </w:pPr>
          </w:p>
          <w:p w:rsidR="002F3AF3" w:rsidRDefault="00AA5C8C" w:rsidP="009431FF">
            <w:pPr>
              <w:rPr>
                <w:rFonts w:eastAsia="Times New Roman"/>
                <w:szCs w:val="24"/>
                <w:lang w:eastAsia="tr-TR"/>
              </w:rPr>
            </w:pPr>
            <w:r w:rsidRPr="00A23740">
              <w:rPr>
                <w:rFonts w:eastAsia="Times New Roman"/>
                <w:szCs w:val="24"/>
                <w:lang w:eastAsia="tr-TR"/>
              </w:rPr>
              <w:t>(6) Kesin mühlet verilmesine, kesin mühletin uzatılmasına ve kesin mühletin kaldırılarak konkordato talebinin reddine ilişkin kararlar</w:t>
            </w:r>
            <w:r w:rsidR="00917687" w:rsidRPr="00A23740">
              <w:rPr>
                <w:rFonts w:eastAsia="Times New Roman"/>
                <w:szCs w:val="24"/>
                <w:lang w:eastAsia="tr-TR"/>
              </w:rPr>
              <w:t xml:space="preserve"> </w:t>
            </w:r>
            <w:r w:rsidR="00917687" w:rsidRPr="005574E2">
              <w:rPr>
                <w:rStyle w:val="MaviChar"/>
              </w:rPr>
              <w:t>377 nci</w:t>
            </w:r>
            <w:r w:rsidRPr="00A23740">
              <w:rPr>
                <w:rFonts w:eastAsia="Times New Roman"/>
                <w:szCs w:val="24"/>
                <w:lang w:eastAsia="tr-TR"/>
              </w:rPr>
              <w:t xml:space="preserve"> madde</w:t>
            </w:r>
            <w:r w:rsidRPr="00A23740">
              <w:rPr>
                <w:rStyle w:val="MaviChar"/>
              </w:rPr>
              <w:t>,</w:t>
            </w:r>
            <w:r w:rsidRPr="00A23740">
              <w:rPr>
                <w:rFonts w:eastAsia="Times New Roman"/>
                <w:szCs w:val="24"/>
                <w:lang w:eastAsia="tr-TR"/>
              </w:rPr>
              <w:t xml:space="preserve"> </w:t>
            </w:r>
            <w:r w:rsidRPr="00A23740">
              <w:rPr>
                <w:rStyle w:val="MaviChar"/>
                <w:lang w:val="tr-TR"/>
              </w:rPr>
              <w:t>iflas kararı ise iflas dairesince</w:t>
            </w:r>
            <w:r w:rsidR="00917687" w:rsidRPr="00A23740">
              <w:rPr>
                <w:rStyle w:val="MaviChar"/>
                <w:lang w:val="tr-TR"/>
              </w:rPr>
              <w:t xml:space="preserve"> </w:t>
            </w:r>
            <w:r w:rsidR="00917687" w:rsidRPr="005574E2">
              <w:rPr>
                <w:rStyle w:val="MaviChar"/>
              </w:rPr>
              <w:t>283 üncü</w:t>
            </w:r>
            <w:r w:rsidRPr="00A23740">
              <w:rPr>
                <w:rStyle w:val="MaviChar"/>
                <w:lang w:val="tr-TR"/>
              </w:rPr>
              <w:t xml:space="preserve"> madde</w:t>
            </w:r>
            <w:r w:rsidRPr="00A23740">
              <w:rPr>
                <w:rFonts w:eastAsia="Times New Roman"/>
                <w:szCs w:val="24"/>
                <w:lang w:eastAsia="tr-TR"/>
              </w:rPr>
              <w:t xml:space="preserve"> uyarınca il</w:t>
            </w:r>
            <w:r w:rsidR="00930910" w:rsidRPr="00A23740">
              <w:rPr>
                <w:rFonts w:eastAsia="Times New Roman"/>
                <w:szCs w:val="24"/>
                <w:lang w:eastAsia="tr-TR"/>
              </w:rPr>
              <w:t>a</w:t>
            </w:r>
            <w:r w:rsidRPr="00A23740">
              <w:rPr>
                <w:rFonts w:eastAsia="Times New Roman"/>
                <w:szCs w:val="24"/>
                <w:lang w:eastAsia="tr-TR"/>
              </w:rPr>
              <w:t>n edilir ve ilgili yerlere bildirilir.</w:t>
            </w:r>
          </w:p>
          <w:p w:rsidR="003A1A22" w:rsidRPr="00A23740" w:rsidRDefault="003A1A22" w:rsidP="009431FF">
            <w:pPr>
              <w:rPr>
                <w:rFonts w:eastAsia="Times New Roman"/>
                <w:szCs w:val="24"/>
                <w:lang w:eastAsia="tr-TR"/>
              </w:rPr>
            </w:pPr>
          </w:p>
        </w:tc>
      </w:tr>
      <w:tr w:rsidR="005C3738" w:rsidRPr="00A23740" w:rsidTr="009431FF">
        <w:tc>
          <w:tcPr>
            <w:tcW w:w="5000" w:type="pct"/>
            <w:gridSpan w:val="2"/>
            <w:shd w:val="clear" w:color="auto" w:fill="DEEAF6"/>
          </w:tcPr>
          <w:p w:rsidR="004302BD" w:rsidRPr="00A23740" w:rsidRDefault="004302BD" w:rsidP="009431FF">
            <w:pPr>
              <w:tabs>
                <w:tab w:val="left" w:pos="567"/>
              </w:tabs>
              <w:ind w:firstLine="567"/>
              <w:rPr>
                <w:b/>
                <w:bCs/>
                <w:color w:val="000000"/>
                <w:szCs w:val="24"/>
                <w:lang w:val="x-none" w:eastAsia="x-none"/>
              </w:rPr>
            </w:pPr>
          </w:p>
          <w:p w:rsidR="007F2779" w:rsidRPr="00A23740" w:rsidRDefault="003A1467" w:rsidP="009431FF">
            <w:pPr>
              <w:tabs>
                <w:tab w:val="left" w:pos="567"/>
              </w:tabs>
              <w:ind w:firstLine="567"/>
              <w:rPr>
                <w:bCs/>
                <w:color w:val="000000"/>
                <w:szCs w:val="24"/>
                <w:lang w:eastAsia="x-none"/>
              </w:rPr>
            </w:pPr>
            <w:r w:rsidRPr="00A23740">
              <w:rPr>
                <w:b/>
                <w:bCs/>
                <w:color w:val="000000"/>
                <w:szCs w:val="24"/>
                <w:lang w:val="x-none" w:eastAsia="x-none"/>
              </w:rPr>
              <w:t>MADDE 382</w:t>
            </w:r>
            <w:r w:rsidR="007F2779" w:rsidRPr="00A23740">
              <w:rPr>
                <w:b/>
                <w:bCs/>
                <w:color w:val="000000"/>
                <w:szCs w:val="24"/>
                <w:lang w:val="x-none" w:eastAsia="x-none"/>
              </w:rPr>
              <w:t>-</w:t>
            </w:r>
            <w:r w:rsidR="007F2779" w:rsidRPr="00A23740">
              <w:rPr>
                <w:bCs/>
                <w:color w:val="000000"/>
                <w:szCs w:val="24"/>
                <w:lang w:val="x-none" w:eastAsia="x-none"/>
              </w:rPr>
              <w:t xml:space="preserve"> </w:t>
            </w:r>
            <w:r w:rsidR="007F5EBB" w:rsidRPr="00A23740">
              <w:rPr>
                <w:bCs/>
                <w:color w:val="000000"/>
                <w:szCs w:val="24"/>
                <w:lang w:eastAsia="x-none"/>
              </w:rPr>
              <w:t xml:space="preserve">Maddeyle konkordato sürecinde kesin mühlet kararına ilişkin hususlar düzenlenmektedir. </w:t>
            </w:r>
            <w:r w:rsidR="007F2779" w:rsidRPr="00A23740">
              <w:rPr>
                <w:bCs/>
                <w:color w:val="000000"/>
                <w:szCs w:val="24"/>
                <w:lang w:eastAsia="x-none"/>
              </w:rPr>
              <w:t>Taslağın</w:t>
            </w:r>
            <w:r w:rsidR="00917687" w:rsidRPr="00A23740">
              <w:rPr>
                <w:bCs/>
                <w:color w:val="000000"/>
                <w:szCs w:val="24"/>
                <w:lang w:eastAsia="x-none"/>
              </w:rPr>
              <w:t xml:space="preserve"> </w:t>
            </w:r>
            <w:r w:rsidR="00917687" w:rsidRPr="005574E2">
              <w:t>382 nci</w:t>
            </w:r>
            <w:r w:rsidR="007F2779" w:rsidRPr="00A23740">
              <w:rPr>
                <w:bCs/>
                <w:color w:val="000000"/>
                <w:szCs w:val="24"/>
                <w:lang w:eastAsia="x-none"/>
              </w:rPr>
              <w:t xml:space="preserve"> maddesi “</w:t>
            </w:r>
            <w:r w:rsidR="007F2779" w:rsidRPr="00A23740">
              <w:rPr>
                <w:rFonts w:eastAsia="Times New Roman"/>
                <w:color w:val="000000"/>
                <w:szCs w:val="24"/>
              </w:rPr>
              <w:t>Kesin mühlet</w:t>
            </w:r>
            <w:r w:rsidR="007F2779" w:rsidRPr="00A23740">
              <w:rPr>
                <w:rFonts w:eastAsia="Times New Roman"/>
                <w:i/>
                <w:color w:val="000000"/>
                <w:szCs w:val="24"/>
              </w:rPr>
              <w:t xml:space="preserve"> </w:t>
            </w:r>
            <w:r w:rsidR="007F2779" w:rsidRPr="00A23740">
              <w:rPr>
                <w:bCs/>
                <w:color w:val="000000"/>
                <w:szCs w:val="24"/>
                <w:lang w:val="x-none" w:eastAsia="x-none"/>
              </w:rPr>
              <w:t>kararı</w:t>
            </w:r>
            <w:r w:rsidR="007F2779" w:rsidRPr="00A23740">
              <w:rPr>
                <w:bCs/>
                <w:color w:val="000000"/>
                <w:szCs w:val="24"/>
                <w:lang w:eastAsia="x-none"/>
              </w:rPr>
              <w:t xml:space="preserve">” başlığını taşımakta olup </w:t>
            </w:r>
            <w:r w:rsidR="007F5EBB" w:rsidRPr="00A23740">
              <w:rPr>
                <w:bCs/>
                <w:color w:val="000000"/>
                <w:szCs w:val="24"/>
                <w:lang w:eastAsia="x-none"/>
              </w:rPr>
              <w:t>2004 sayılı K</w:t>
            </w:r>
            <w:r w:rsidR="007F2779" w:rsidRPr="00A23740">
              <w:rPr>
                <w:bCs/>
                <w:color w:val="000000"/>
                <w:szCs w:val="24"/>
                <w:lang w:eastAsia="x-none"/>
              </w:rPr>
              <w:t>anunun 289 uncu maddesine karşılık gelmektedir.</w:t>
            </w:r>
          </w:p>
          <w:p w:rsidR="007F2779" w:rsidRPr="00A23740" w:rsidRDefault="007F2779" w:rsidP="009431FF">
            <w:pPr>
              <w:ind w:firstLine="567"/>
              <w:rPr>
                <w:bCs/>
                <w:color w:val="000000"/>
                <w:szCs w:val="24"/>
                <w:lang w:val="x-none" w:eastAsia="x-none"/>
              </w:rPr>
            </w:pPr>
            <w:r w:rsidRPr="00A23740">
              <w:rPr>
                <w:bCs/>
                <w:color w:val="000000"/>
                <w:szCs w:val="24"/>
                <w:lang w:eastAsia="x-none"/>
              </w:rPr>
              <w:t xml:space="preserve">Maddenin </w:t>
            </w:r>
            <w:r w:rsidR="004302BD" w:rsidRPr="00A23740">
              <w:rPr>
                <w:bCs/>
                <w:color w:val="000000"/>
                <w:szCs w:val="24"/>
                <w:lang w:eastAsia="x-none"/>
              </w:rPr>
              <w:t>birinci</w:t>
            </w:r>
            <w:r w:rsidRPr="00A23740">
              <w:rPr>
                <w:bCs/>
                <w:color w:val="000000"/>
                <w:szCs w:val="24"/>
                <w:lang w:eastAsia="x-none"/>
              </w:rPr>
              <w:t xml:space="preserve"> fıkrasında m</w:t>
            </w:r>
            <w:r w:rsidRPr="00A23740">
              <w:rPr>
                <w:rFonts w:eastAsia="Times New Roman"/>
                <w:color w:val="000000"/>
                <w:szCs w:val="24"/>
              </w:rPr>
              <w:t xml:space="preserve">ahkemenin, kesin mühlet hakkındaki kararını geçici mühlet içinde vereceği düzenlenmiştir. </w:t>
            </w:r>
          </w:p>
          <w:p w:rsidR="007F2779" w:rsidRPr="00A23740" w:rsidRDefault="007F2779" w:rsidP="009431FF">
            <w:pPr>
              <w:ind w:firstLine="567"/>
              <w:rPr>
                <w:rFonts w:eastAsia="Times New Roman"/>
                <w:color w:val="000000"/>
                <w:szCs w:val="24"/>
              </w:rPr>
            </w:pPr>
            <w:r w:rsidRPr="00A23740">
              <w:rPr>
                <w:bCs/>
                <w:color w:val="000000"/>
                <w:szCs w:val="24"/>
                <w:lang w:eastAsia="x-none"/>
              </w:rPr>
              <w:t xml:space="preserve">Maddenin </w:t>
            </w:r>
            <w:r w:rsidR="004302BD" w:rsidRPr="00A23740">
              <w:rPr>
                <w:bCs/>
                <w:color w:val="000000"/>
                <w:szCs w:val="24"/>
                <w:lang w:eastAsia="x-none"/>
              </w:rPr>
              <w:t>ikinci</w:t>
            </w:r>
            <w:r w:rsidRPr="00A23740">
              <w:rPr>
                <w:bCs/>
                <w:color w:val="000000"/>
                <w:szCs w:val="24"/>
                <w:lang w:eastAsia="x-none"/>
              </w:rPr>
              <w:t xml:space="preserve"> fıkrasında k</w:t>
            </w:r>
            <w:r w:rsidRPr="00A23740">
              <w:rPr>
                <w:rFonts w:eastAsia="Times New Roman"/>
                <w:color w:val="000000"/>
                <w:szCs w:val="24"/>
              </w:rPr>
              <w:t>esin mühlet hakkında bir karar verilebilmesi için</w:t>
            </w:r>
            <w:r w:rsidRPr="00A23740">
              <w:rPr>
                <w:bCs/>
                <w:color w:val="000000"/>
                <w:szCs w:val="24"/>
                <w:lang w:val="x-none" w:eastAsia="x-none"/>
              </w:rPr>
              <w:t>,</w:t>
            </w:r>
            <w:r w:rsidRPr="00A23740">
              <w:rPr>
                <w:rFonts w:eastAsia="Times New Roman"/>
                <w:color w:val="000000"/>
                <w:szCs w:val="24"/>
              </w:rPr>
              <w:t xml:space="preserve"> mahkemenin borçluyu ve varsa konkordato talep eden alacaklıyı duruşmaya dav</w:t>
            </w:r>
            <w:r w:rsidR="00335C53" w:rsidRPr="00A23740">
              <w:rPr>
                <w:rFonts w:eastAsia="Times New Roman"/>
                <w:color w:val="000000"/>
                <w:szCs w:val="24"/>
              </w:rPr>
              <w:t>et edeceği; geçici komiserin de</w:t>
            </w:r>
            <w:r w:rsidRPr="00A23740">
              <w:rPr>
                <w:rFonts w:eastAsia="Times New Roman"/>
                <w:color w:val="000000"/>
                <w:szCs w:val="24"/>
              </w:rPr>
              <w:t xml:space="preserve"> duruşmadan önce yazılı raporunu sunacağı ve mahkemece gerekli görülürse, beyanı alınmak üzere duruşmada haz</w:t>
            </w:r>
            <w:r w:rsidR="00F002E5" w:rsidRPr="00A23740">
              <w:rPr>
                <w:rFonts w:eastAsia="Times New Roman"/>
                <w:color w:val="000000"/>
                <w:szCs w:val="24"/>
              </w:rPr>
              <w:t>ır bulunacağı belirtilmektedir.</w:t>
            </w:r>
            <w:r w:rsidRPr="00A23740">
              <w:rPr>
                <w:rFonts w:eastAsia="Times New Roman"/>
                <w:color w:val="000000"/>
                <w:szCs w:val="24"/>
              </w:rPr>
              <w:t xml:space="preserve"> Aynı fıkranın son cümlesine göre mahkeme, yapacağı değerlendirmede, itiraz eden alacaklıların dilekçelerinde ileri sürdükleri itiraz sebeplerini de dikka</w:t>
            </w:r>
            <w:r w:rsidR="004302BD" w:rsidRPr="00A23740">
              <w:rPr>
                <w:rFonts w:eastAsia="Times New Roman"/>
                <w:color w:val="000000"/>
                <w:szCs w:val="24"/>
              </w:rPr>
              <w:t>te alacaktır.</w:t>
            </w:r>
          </w:p>
          <w:p w:rsidR="007F2779" w:rsidRPr="00A23740" w:rsidRDefault="007F2779" w:rsidP="009431FF">
            <w:pPr>
              <w:tabs>
                <w:tab w:val="left" w:pos="567"/>
              </w:tabs>
              <w:ind w:firstLine="567"/>
              <w:rPr>
                <w:bCs/>
                <w:color w:val="000000"/>
                <w:szCs w:val="24"/>
                <w:lang w:eastAsia="x-none"/>
              </w:rPr>
            </w:pPr>
            <w:r w:rsidRPr="00A23740">
              <w:rPr>
                <w:rFonts w:eastAsia="Times New Roman"/>
                <w:color w:val="000000"/>
                <w:szCs w:val="24"/>
              </w:rPr>
              <w:t xml:space="preserve">Maddenin </w:t>
            </w:r>
            <w:r w:rsidR="004302BD" w:rsidRPr="00A23740">
              <w:rPr>
                <w:rFonts w:eastAsia="Times New Roman"/>
                <w:color w:val="000000"/>
                <w:szCs w:val="24"/>
              </w:rPr>
              <w:t>üçüncü</w:t>
            </w:r>
            <w:r w:rsidRPr="00A23740">
              <w:rPr>
                <w:rFonts w:eastAsia="Times New Roman"/>
                <w:color w:val="000000"/>
                <w:szCs w:val="24"/>
              </w:rPr>
              <w:t xml:space="preserve"> fıkrasında </w:t>
            </w:r>
            <w:r w:rsidRPr="00A23740">
              <w:rPr>
                <w:bCs/>
                <w:color w:val="000000"/>
                <w:szCs w:val="24"/>
                <w:lang w:eastAsia="x-none"/>
              </w:rPr>
              <w:t>k</w:t>
            </w:r>
            <w:r w:rsidRPr="00A23740">
              <w:rPr>
                <w:bCs/>
                <w:color w:val="000000"/>
                <w:szCs w:val="24"/>
                <w:lang w:val="x-none" w:eastAsia="x-none"/>
              </w:rPr>
              <w:t>onkordatonun başarıya ulaşamayacağı</w:t>
            </w:r>
            <w:r w:rsidRPr="00A23740">
              <w:rPr>
                <w:bCs/>
                <w:color w:val="000000"/>
                <w:szCs w:val="24"/>
                <w:lang w:eastAsia="x-none"/>
              </w:rPr>
              <w:t>nın</w:t>
            </w:r>
            <w:r w:rsidRPr="00A23740">
              <w:rPr>
                <w:bCs/>
                <w:color w:val="000000"/>
                <w:szCs w:val="24"/>
                <w:lang w:val="x-none" w:eastAsia="x-none"/>
              </w:rPr>
              <w:t xml:space="preserve"> açıkça anlaşıl</w:t>
            </w:r>
            <w:r w:rsidRPr="00A23740">
              <w:rPr>
                <w:bCs/>
                <w:color w:val="000000"/>
                <w:szCs w:val="24"/>
                <w:lang w:eastAsia="x-none"/>
              </w:rPr>
              <w:t>dığı h</w:t>
            </w:r>
            <w:r w:rsidR="003B104B" w:rsidRPr="00A23740">
              <w:rPr>
                <w:bCs/>
                <w:color w:val="000000"/>
                <w:szCs w:val="24"/>
                <w:lang w:eastAsia="x-none"/>
              </w:rPr>
              <w:t>â</w:t>
            </w:r>
            <w:r w:rsidRPr="00A23740">
              <w:rPr>
                <w:bCs/>
                <w:color w:val="000000"/>
                <w:szCs w:val="24"/>
                <w:lang w:eastAsia="x-none"/>
              </w:rPr>
              <w:t xml:space="preserve">llerde </w:t>
            </w:r>
            <w:r w:rsidRPr="00A23740">
              <w:rPr>
                <w:bCs/>
                <w:color w:val="000000"/>
                <w:szCs w:val="24"/>
                <w:lang w:val="x-none" w:eastAsia="x-none"/>
              </w:rPr>
              <w:t>mahkeme</w:t>
            </w:r>
            <w:r w:rsidRPr="00A23740">
              <w:rPr>
                <w:bCs/>
                <w:color w:val="000000"/>
                <w:szCs w:val="24"/>
                <w:lang w:eastAsia="x-none"/>
              </w:rPr>
              <w:t>nin</w:t>
            </w:r>
            <w:r w:rsidRPr="00A23740">
              <w:rPr>
                <w:bCs/>
                <w:color w:val="000000"/>
                <w:szCs w:val="24"/>
                <w:lang w:val="x-none" w:eastAsia="x-none"/>
              </w:rPr>
              <w:t>, konkordato talebinin reddine karar ver</w:t>
            </w:r>
            <w:r w:rsidRPr="00A23740">
              <w:rPr>
                <w:bCs/>
                <w:color w:val="000000"/>
                <w:szCs w:val="24"/>
                <w:lang w:eastAsia="x-none"/>
              </w:rPr>
              <w:t>mesi gerektiği ve ayrıca, b</w:t>
            </w:r>
            <w:r w:rsidRPr="00A23740">
              <w:rPr>
                <w:bCs/>
                <w:color w:val="000000"/>
                <w:szCs w:val="24"/>
                <w:lang w:val="x-none" w:eastAsia="x-none"/>
              </w:rPr>
              <w:t>orçlunun, borca batık bir sermaye şirketi veya kooperatif olması h</w:t>
            </w:r>
            <w:r w:rsidR="00F25704" w:rsidRPr="00A23740">
              <w:rPr>
                <w:bCs/>
                <w:color w:val="000000"/>
                <w:szCs w:val="24"/>
                <w:lang w:eastAsia="x-none"/>
              </w:rPr>
              <w:t>â</w:t>
            </w:r>
            <w:r w:rsidRPr="00A23740">
              <w:rPr>
                <w:bCs/>
                <w:color w:val="000000"/>
                <w:szCs w:val="24"/>
                <w:lang w:val="x-none" w:eastAsia="x-none"/>
              </w:rPr>
              <w:t>linde</w:t>
            </w:r>
            <w:r w:rsidRPr="00A23740">
              <w:rPr>
                <w:bCs/>
                <w:color w:val="000000"/>
                <w:szCs w:val="24"/>
                <w:lang w:eastAsia="x-none"/>
              </w:rPr>
              <w:t>,</w:t>
            </w:r>
            <w:r w:rsidRPr="00A23740">
              <w:rPr>
                <w:bCs/>
                <w:color w:val="000000"/>
                <w:szCs w:val="24"/>
                <w:lang w:val="x-none" w:eastAsia="x-none"/>
              </w:rPr>
              <w:t xml:space="preserve"> resen iflasına da karar veril</w:t>
            </w:r>
            <w:r w:rsidR="004302BD" w:rsidRPr="00A23740">
              <w:rPr>
                <w:bCs/>
                <w:color w:val="000000"/>
                <w:szCs w:val="24"/>
                <w:lang w:eastAsia="x-none"/>
              </w:rPr>
              <w:t xml:space="preserve">eceği belirtilmiştir. </w:t>
            </w:r>
          </w:p>
          <w:p w:rsidR="007F2779" w:rsidRPr="00A23740" w:rsidRDefault="007F2779" w:rsidP="009431FF">
            <w:pPr>
              <w:ind w:firstLine="567"/>
              <w:rPr>
                <w:rFonts w:eastAsia="Times New Roman"/>
                <w:color w:val="000000"/>
                <w:szCs w:val="24"/>
              </w:rPr>
            </w:pPr>
            <w:r w:rsidRPr="00A23740">
              <w:rPr>
                <w:bCs/>
                <w:color w:val="000000"/>
                <w:szCs w:val="24"/>
                <w:lang w:eastAsia="x-none"/>
              </w:rPr>
              <w:t xml:space="preserve">Maddenin </w:t>
            </w:r>
            <w:r w:rsidR="004302BD" w:rsidRPr="00A23740">
              <w:rPr>
                <w:bCs/>
                <w:color w:val="000000"/>
                <w:szCs w:val="24"/>
                <w:lang w:eastAsia="x-none"/>
              </w:rPr>
              <w:t>dörd</w:t>
            </w:r>
            <w:r w:rsidRPr="00A23740">
              <w:rPr>
                <w:bCs/>
                <w:color w:val="000000"/>
                <w:szCs w:val="24"/>
                <w:lang w:eastAsia="x-none"/>
              </w:rPr>
              <w:t>üncü fıkrasında k</w:t>
            </w:r>
            <w:r w:rsidRPr="00A23740">
              <w:rPr>
                <w:rFonts w:eastAsia="Times New Roman"/>
                <w:color w:val="000000"/>
                <w:szCs w:val="24"/>
              </w:rPr>
              <w:t xml:space="preserve">onkordatonun başarıya ulaşmasının mümkün olduğunun anlaşılması hâlinde borçluya </w:t>
            </w:r>
            <w:r w:rsidRPr="00A23740">
              <w:rPr>
                <w:bCs/>
                <w:color w:val="000000"/>
                <w:szCs w:val="24"/>
                <w:lang w:val="x-none" w:eastAsia="x-none"/>
              </w:rPr>
              <w:t>altı aydan az olmamak üzere</w:t>
            </w:r>
            <w:r w:rsidRPr="00A23740">
              <w:rPr>
                <w:rFonts w:eastAsia="Times New Roman"/>
                <w:color w:val="000000"/>
                <w:szCs w:val="24"/>
              </w:rPr>
              <w:t xml:space="preserve"> bir </w:t>
            </w:r>
            <w:r w:rsidRPr="00A23740">
              <w:rPr>
                <w:bCs/>
                <w:color w:val="000000"/>
                <w:szCs w:val="24"/>
                <w:lang w:val="x-none"/>
              </w:rPr>
              <w:t>yıla kadar</w:t>
            </w:r>
            <w:r w:rsidRPr="00A23740">
              <w:rPr>
                <w:rFonts w:eastAsia="Times New Roman"/>
                <w:color w:val="000000"/>
                <w:szCs w:val="24"/>
              </w:rPr>
              <w:t xml:space="preserve"> kesin mühlet verileceği ve bu kararla birlikte, mahkemenin, yeni bir görevlendirme yapılmasını gerektiren bir durum olmadığı takdirde geçici komiser veya komiserlerin göreve devam etmesine karar vererek dosyayı</w:t>
            </w:r>
            <w:r w:rsidR="00404327" w:rsidRPr="00A23740">
              <w:rPr>
                <w:rFonts w:eastAsia="Times New Roman"/>
                <w:color w:val="000000"/>
                <w:szCs w:val="24"/>
              </w:rPr>
              <w:t xml:space="preserve"> </w:t>
            </w:r>
            <w:r w:rsidR="00404327" w:rsidRPr="005574E2">
              <w:t>görevi bu şekilde yenilenen komiser veya komiserlere</w:t>
            </w:r>
            <w:r w:rsidRPr="00A23740">
              <w:rPr>
                <w:rFonts w:eastAsia="Times New Roman"/>
                <w:color w:val="000000"/>
                <w:szCs w:val="24"/>
              </w:rPr>
              <w:t xml:space="preserve"> </w:t>
            </w:r>
            <w:r w:rsidR="004302BD" w:rsidRPr="00A23740">
              <w:rPr>
                <w:rFonts w:eastAsia="Times New Roman"/>
                <w:color w:val="000000"/>
                <w:szCs w:val="24"/>
              </w:rPr>
              <w:t>tevdi edeceği açıklanmıştır.</w:t>
            </w:r>
            <w:r w:rsidR="003B104B" w:rsidRPr="00A23740">
              <w:rPr>
                <w:rFonts w:eastAsia="Times New Roman"/>
                <w:color w:val="000000"/>
                <w:szCs w:val="24"/>
              </w:rPr>
              <w:t xml:space="preserve"> </w:t>
            </w:r>
            <w:r w:rsidR="003B104B" w:rsidRPr="005574E2">
              <w:t>Mahkemece bu konuda verilecek olan sürenin uzatılması ancak bir sonraki fıkra hükümleri uyarınca mümkündür.</w:t>
            </w:r>
          </w:p>
          <w:p w:rsidR="007F2779" w:rsidRPr="00A23740" w:rsidRDefault="007F2779" w:rsidP="009431FF">
            <w:pPr>
              <w:ind w:firstLine="567"/>
              <w:rPr>
                <w:rFonts w:eastAsia="Times New Roman"/>
                <w:color w:val="000000"/>
                <w:szCs w:val="24"/>
              </w:rPr>
            </w:pPr>
            <w:r w:rsidRPr="00A23740">
              <w:rPr>
                <w:bCs/>
                <w:color w:val="000000"/>
                <w:szCs w:val="24"/>
                <w:lang w:eastAsia="x-none"/>
              </w:rPr>
              <w:t xml:space="preserve">Maddenin </w:t>
            </w:r>
            <w:r w:rsidR="004302BD" w:rsidRPr="00A23740">
              <w:rPr>
                <w:bCs/>
                <w:color w:val="000000"/>
                <w:szCs w:val="24"/>
                <w:lang w:eastAsia="x-none"/>
              </w:rPr>
              <w:t>beş</w:t>
            </w:r>
            <w:r w:rsidRPr="00A23740">
              <w:rPr>
                <w:bCs/>
                <w:color w:val="000000"/>
                <w:szCs w:val="24"/>
                <w:lang w:eastAsia="x-none"/>
              </w:rPr>
              <w:t>inci fıkrasında</w:t>
            </w:r>
            <w:r w:rsidR="003B104B" w:rsidRPr="005574E2">
              <w:t>,</w:t>
            </w:r>
            <w:r w:rsidR="003E3AC9" w:rsidRPr="005574E2">
              <w:t xml:space="preserve"> dördüncü fıkraya göre verilen mühletin</w:t>
            </w:r>
            <w:r w:rsidRPr="005574E2">
              <w:t xml:space="preserve"> güçlük</w:t>
            </w:r>
            <w:r w:rsidRPr="00A23740">
              <w:rPr>
                <w:rFonts w:eastAsia="Times New Roman"/>
                <w:color w:val="000000"/>
                <w:szCs w:val="24"/>
              </w:rPr>
              <w:t xml:space="preserve"> arz eden özel durumlarda, komiserin bu durumu açıklayan gerekçeli raporu ve talebi üzerine mahkemece</w:t>
            </w:r>
            <w:r w:rsidR="003B104B" w:rsidRPr="00A23740">
              <w:rPr>
                <w:rFonts w:eastAsia="Times New Roman"/>
                <w:color w:val="000000"/>
                <w:szCs w:val="24"/>
              </w:rPr>
              <w:t xml:space="preserve"> </w:t>
            </w:r>
            <w:r w:rsidR="003B104B" w:rsidRPr="005574E2">
              <w:t>bir defaya mahsus olmak üzere</w:t>
            </w:r>
            <w:r w:rsidRPr="00A23740">
              <w:rPr>
                <w:rFonts w:eastAsia="Times New Roman"/>
                <w:color w:val="000000"/>
                <w:szCs w:val="24"/>
              </w:rPr>
              <w:t xml:space="preserve"> </w:t>
            </w:r>
            <w:r w:rsidRPr="00A23740">
              <w:rPr>
                <w:bCs/>
                <w:color w:val="000000"/>
                <w:szCs w:val="24"/>
                <w:lang w:val="x-none" w:eastAsia="x-none"/>
              </w:rPr>
              <w:t>üç</w:t>
            </w:r>
            <w:r w:rsidRPr="00A23740">
              <w:rPr>
                <w:rFonts w:eastAsia="Times New Roman"/>
                <w:color w:val="000000"/>
                <w:szCs w:val="24"/>
              </w:rPr>
              <w:t xml:space="preserve"> aya kadar uzatılabileceği öngörülmüş olup, borçlunun da bu fıkra uyarınca uzatma talebinde bulunabileceği ve bu takdirde komiserin görüşünün alınacağı; her iki hâlde de uzatma t</w:t>
            </w:r>
            <w:r w:rsidRPr="005574E2">
              <w:t>alebi</w:t>
            </w:r>
            <w:r w:rsidR="003B104B" w:rsidRPr="005574E2">
              <w:t>nin</w:t>
            </w:r>
            <w:r w:rsidRPr="00A23740">
              <w:rPr>
                <w:rFonts w:eastAsia="Times New Roman"/>
                <w:color w:val="000000"/>
                <w:szCs w:val="24"/>
              </w:rPr>
              <w:t xml:space="preserve"> kesin mühletin </w:t>
            </w:r>
            <w:r w:rsidRPr="00A23740">
              <w:rPr>
                <w:bCs/>
                <w:color w:val="000000"/>
                <w:szCs w:val="24"/>
                <w:lang w:val="x-none" w:eastAsia="x-none"/>
              </w:rPr>
              <w:t>sona</w:t>
            </w:r>
            <w:r w:rsidRPr="00A23740">
              <w:rPr>
                <w:rFonts w:eastAsia="Times New Roman"/>
                <w:color w:val="000000"/>
                <w:szCs w:val="24"/>
              </w:rPr>
              <w:t xml:space="preserve"> ermesinden önce yapılacağı,  uzatma kararı verilmeden önce, varsa alacaklılar kurulunun da görüşünün alınacağı ifade edi</w:t>
            </w:r>
            <w:r w:rsidR="004302BD" w:rsidRPr="00A23740">
              <w:rPr>
                <w:rFonts w:eastAsia="Times New Roman"/>
                <w:color w:val="000000"/>
                <w:szCs w:val="24"/>
              </w:rPr>
              <w:t>lmiştir.</w:t>
            </w:r>
          </w:p>
          <w:p w:rsidR="007F2779" w:rsidRPr="00A23740" w:rsidRDefault="007F2779" w:rsidP="009431FF">
            <w:pPr>
              <w:tabs>
                <w:tab w:val="left" w:pos="567"/>
              </w:tabs>
              <w:ind w:firstLine="567"/>
              <w:rPr>
                <w:rFonts w:eastAsia="Times New Roman"/>
                <w:bCs/>
                <w:color w:val="000000"/>
                <w:szCs w:val="24"/>
              </w:rPr>
            </w:pPr>
            <w:r w:rsidRPr="00A23740">
              <w:rPr>
                <w:color w:val="000000"/>
                <w:szCs w:val="24"/>
                <w:lang w:eastAsia="x-none"/>
              </w:rPr>
              <w:t xml:space="preserve">Maddenin </w:t>
            </w:r>
            <w:r w:rsidR="004302BD" w:rsidRPr="00A23740">
              <w:rPr>
                <w:color w:val="000000"/>
                <w:szCs w:val="24"/>
                <w:lang w:eastAsia="x-none"/>
              </w:rPr>
              <w:t>altıncı</w:t>
            </w:r>
            <w:r w:rsidRPr="00A23740">
              <w:rPr>
                <w:color w:val="000000"/>
                <w:szCs w:val="24"/>
                <w:lang w:eastAsia="x-none"/>
              </w:rPr>
              <w:t xml:space="preserve"> fıkrasınd</w:t>
            </w:r>
            <w:r w:rsidRPr="005574E2">
              <w:t>a</w:t>
            </w:r>
            <w:r w:rsidR="003B104B" w:rsidRPr="005574E2">
              <w:t>,</w:t>
            </w:r>
            <w:r w:rsidRPr="005574E2">
              <w:t xml:space="preserve"> kesin</w:t>
            </w:r>
            <w:r w:rsidRPr="00A23740">
              <w:rPr>
                <w:rFonts w:eastAsia="Times New Roman"/>
                <w:bCs/>
                <w:color w:val="000000"/>
                <w:szCs w:val="24"/>
                <w:lang w:val="x-none"/>
              </w:rPr>
              <w:t xml:space="preserve"> mühle</w:t>
            </w:r>
            <w:r w:rsidRPr="005574E2">
              <w:t>t</w:t>
            </w:r>
            <w:r w:rsidR="0032465A" w:rsidRPr="005574E2">
              <w:t>in</w:t>
            </w:r>
            <w:r w:rsidRPr="00A23740">
              <w:rPr>
                <w:rFonts w:eastAsia="Times New Roman"/>
                <w:bCs/>
                <w:color w:val="000000"/>
                <w:szCs w:val="24"/>
                <w:lang w:val="x-none"/>
              </w:rPr>
              <w:t xml:space="preserve"> verilmesine, kesin mühletin uzatılmasına ve kesin mühletin kaldırılarak konkordato talebinin reddine ilişkin kararlar</w:t>
            </w:r>
            <w:r w:rsidRPr="00A23740">
              <w:rPr>
                <w:rFonts w:eastAsia="Times New Roman"/>
                <w:bCs/>
                <w:color w:val="000000"/>
                <w:szCs w:val="24"/>
              </w:rPr>
              <w:t>ın</w:t>
            </w:r>
            <w:r w:rsidRPr="00A23740">
              <w:rPr>
                <w:rFonts w:eastAsia="Times New Roman"/>
                <w:bCs/>
                <w:color w:val="000000"/>
                <w:szCs w:val="24"/>
                <w:lang w:val="x-none"/>
              </w:rPr>
              <w:t xml:space="preserve"> </w:t>
            </w:r>
            <w:r w:rsidR="00917687" w:rsidRPr="005574E2">
              <w:t>377 nci</w:t>
            </w:r>
            <w:r w:rsidR="00917687" w:rsidRPr="00A23740">
              <w:rPr>
                <w:rFonts w:eastAsia="Times New Roman"/>
                <w:szCs w:val="24"/>
                <w:lang w:eastAsia="tr-TR"/>
              </w:rPr>
              <w:t xml:space="preserve"> </w:t>
            </w:r>
            <w:r w:rsidRPr="00A23740">
              <w:rPr>
                <w:rFonts w:eastAsia="Times New Roman"/>
                <w:bCs/>
                <w:color w:val="000000"/>
                <w:szCs w:val="24"/>
                <w:lang w:val="x-none"/>
              </w:rPr>
              <w:t>madde</w:t>
            </w:r>
            <w:r w:rsidRPr="00A23740">
              <w:rPr>
                <w:color w:val="000000"/>
                <w:szCs w:val="24"/>
                <w:lang w:val="x-none" w:eastAsia="x-none"/>
              </w:rPr>
              <w:t>,</w:t>
            </w:r>
            <w:r w:rsidRPr="00A23740">
              <w:rPr>
                <w:rFonts w:eastAsia="Times New Roman"/>
                <w:bCs/>
                <w:color w:val="000000"/>
                <w:szCs w:val="24"/>
                <w:lang w:val="x-none"/>
              </w:rPr>
              <w:t xml:space="preserve"> </w:t>
            </w:r>
            <w:r w:rsidRPr="00A23740">
              <w:rPr>
                <w:color w:val="000000"/>
                <w:szCs w:val="24"/>
                <w:lang w:val="x-none" w:eastAsia="x-none"/>
              </w:rPr>
              <w:t>iflas kararı</w:t>
            </w:r>
            <w:r w:rsidR="0016700D" w:rsidRPr="00A23740">
              <w:rPr>
                <w:color w:val="000000"/>
                <w:szCs w:val="24"/>
                <w:lang w:eastAsia="x-none"/>
              </w:rPr>
              <w:t>nın</w:t>
            </w:r>
            <w:r w:rsidRPr="00A23740">
              <w:rPr>
                <w:color w:val="000000"/>
                <w:szCs w:val="24"/>
                <w:lang w:val="x-none" w:eastAsia="x-none"/>
              </w:rPr>
              <w:t xml:space="preserve"> ise iflas dairesince </w:t>
            </w:r>
            <w:r w:rsidR="00917687" w:rsidRPr="005574E2">
              <w:t>283 üncü</w:t>
            </w:r>
            <w:r w:rsidR="00917687" w:rsidRPr="00A23740">
              <w:rPr>
                <w:rStyle w:val="MaviChar"/>
                <w:lang w:val="tr-TR"/>
              </w:rPr>
              <w:t xml:space="preserve"> </w:t>
            </w:r>
            <w:r w:rsidRPr="00A23740">
              <w:rPr>
                <w:color w:val="000000"/>
                <w:szCs w:val="24"/>
                <w:lang w:val="x-none" w:eastAsia="x-none"/>
              </w:rPr>
              <w:t>madde</w:t>
            </w:r>
            <w:r w:rsidRPr="00A23740">
              <w:rPr>
                <w:rFonts w:eastAsia="Times New Roman"/>
                <w:bCs/>
                <w:color w:val="000000"/>
                <w:szCs w:val="24"/>
                <w:lang w:val="x-none"/>
              </w:rPr>
              <w:t xml:space="preserve"> uyarınca il</w:t>
            </w:r>
            <w:r w:rsidR="00930910" w:rsidRPr="00A23740">
              <w:rPr>
                <w:rFonts w:eastAsia="Times New Roman"/>
                <w:bCs/>
                <w:color w:val="000000"/>
                <w:szCs w:val="24"/>
              </w:rPr>
              <w:t>a</w:t>
            </w:r>
            <w:r w:rsidRPr="00A23740">
              <w:rPr>
                <w:rFonts w:eastAsia="Times New Roman"/>
                <w:bCs/>
                <w:color w:val="000000"/>
                <w:szCs w:val="24"/>
                <w:lang w:val="x-none"/>
              </w:rPr>
              <w:t>n edil</w:t>
            </w:r>
            <w:r w:rsidRPr="00A23740">
              <w:rPr>
                <w:rFonts w:eastAsia="Times New Roman"/>
                <w:bCs/>
                <w:color w:val="000000"/>
                <w:szCs w:val="24"/>
              </w:rPr>
              <w:t xml:space="preserve">eceği </w:t>
            </w:r>
            <w:r w:rsidRPr="00A23740">
              <w:rPr>
                <w:rFonts w:eastAsia="Times New Roman"/>
                <w:bCs/>
                <w:color w:val="000000"/>
                <w:szCs w:val="24"/>
                <w:lang w:val="x-none"/>
              </w:rPr>
              <w:t>ve ilgili yerlere bildiril</w:t>
            </w:r>
            <w:r w:rsidRPr="00A23740">
              <w:rPr>
                <w:rFonts w:eastAsia="Times New Roman"/>
                <w:bCs/>
                <w:color w:val="000000"/>
                <w:szCs w:val="24"/>
              </w:rPr>
              <w:t>eceği düzenlenmişt</w:t>
            </w:r>
            <w:r w:rsidRPr="00A23740">
              <w:rPr>
                <w:rFonts w:eastAsia="Times New Roman"/>
                <w:bCs/>
                <w:color w:val="000000"/>
                <w:szCs w:val="24"/>
                <w:lang w:val="x-none"/>
              </w:rPr>
              <w:t>ir.</w:t>
            </w:r>
          </w:p>
          <w:p w:rsidR="00997030" w:rsidRPr="00A23740" w:rsidRDefault="00997030" w:rsidP="009A013D">
            <w:pPr>
              <w:tabs>
                <w:tab w:val="left" w:pos="567"/>
              </w:tabs>
              <w:rPr>
                <w:b/>
                <w:bCs/>
                <w:color w:val="000000"/>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rFonts w:eastAsia="Times New Roman"/>
                <w:i/>
                <w:szCs w:val="24"/>
                <w:lang w:eastAsia="tr-TR"/>
              </w:rPr>
            </w:pPr>
            <w:r w:rsidRPr="00A23740">
              <w:rPr>
                <w:rFonts w:eastAsia="Times New Roman"/>
                <w:i/>
                <w:szCs w:val="24"/>
                <w:lang w:eastAsia="tr-TR"/>
              </w:rPr>
              <w:t>Kesin mühlet</w:t>
            </w:r>
            <w:r w:rsidRPr="00A23740">
              <w:rPr>
                <w:rStyle w:val="KIRMIZIChar"/>
                <w:rFonts w:eastAsia="Calibri"/>
              </w:rPr>
              <w:t>:</w:t>
            </w:r>
          </w:p>
          <w:p w:rsidR="00AA5C8C" w:rsidRPr="00A23740" w:rsidRDefault="00AA5C8C" w:rsidP="009431FF">
            <w:pPr>
              <w:rPr>
                <w:rStyle w:val="KIRMIZIChar"/>
                <w:rFonts w:eastAsia="Calibri"/>
              </w:rPr>
            </w:pPr>
            <w:r w:rsidRPr="00A23740">
              <w:rPr>
                <w:rStyle w:val="KIRMIZIChar"/>
                <w:rFonts w:eastAsia="Calibri"/>
              </w:rPr>
              <w:t xml:space="preserve">Madde 289- </w:t>
            </w:r>
            <w:r w:rsidRPr="00A23740">
              <w:rPr>
                <w:rStyle w:val="KIRMIZIChar"/>
                <w:rFonts w:eastAsia="Calibri"/>
                <w:strike w:val="0"/>
              </w:rPr>
              <w:t>…</w:t>
            </w:r>
          </w:p>
          <w:p w:rsidR="00AA5C8C" w:rsidRPr="00A23740" w:rsidRDefault="00AA5C8C" w:rsidP="009431FF">
            <w:pPr>
              <w:rPr>
                <w:rStyle w:val="KIRMIZIChar"/>
                <w:rFonts w:eastAsia="Calibri"/>
                <w:b w:val="0"/>
                <w:strike w:val="0"/>
                <w:color w:val="auto"/>
              </w:rPr>
            </w:pPr>
            <w:r w:rsidRPr="00A23740">
              <w:rPr>
                <w:rStyle w:val="AltKonuBalChar1"/>
                <w:rFonts w:eastAsia="Calibri"/>
              </w:rPr>
              <w:t>(4)</w:t>
            </w:r>
            <w:r w:rsidRPr="00A23740">
              <w:rPr>
                <w:b/>
                <w:lang w:eastAsia="tr-TR"/>
              </w:rPr>
              <w:t xml:space="preserve"> </w:t>
            </w:r>
            <w:r w:rsidRPr="00A23740">
              <w:rPr>
                <w:rStyle w:val="KIRMIZIChar"/>
                <w:rFonts w:eastAsia="Calibri"/>
                <w:b w:val="0"/>
                <w:strike w:val="0"/>
                <w:color w:val="auto"/>
              </w:rPr>
              <w:t xml:space="preserve">Mahkemece, kesin mühlet kararıyla beraber veya kesin mühlet içinde uygun görülecek bir zamanda yedi alacaklıyı geçmemek, herhangi bir ücret takdir edilmemek ve tek sayıda olmak kaydıyla ayrıca bir alacaklılar kurulu oluşturulabilir. Bu durumda alacakları, hukuki nitelik itibarıyla birbirinden farklı olan alacaklı sınıfları ve varsa rehinli alacaklılar, alacaklılar kurulunda hakkaniyete uygun şekilde temsil edilir. Alacaklılar kurulu oluşturulurken komiserin de görüşü alınır. </w:t>
            </w:r>
            <w:r w:rsidRPr="00A23740">
              <w:rPr>
                <w:rStyle w:val="KIRMIZIChar"/>
                <w:rFonts w:eastAsia="Calibri"/>
              </w:rPr>
              <w:t>Alacaklılar kurulu her ay en az bir kere toplanır ve hazır bulunanların oy çokluğuyla karar alır. Komiser bu toplantıda hazır bulunarak alınan kararları toplantıya katılanların imzasını almak suretiyle tutanağa bağlar.</w:t>
            </w:r>
            <w:r w:rsidRPr="00A23740">
              <w:rPr>
                <w:rStyle w:val="KIRMIZIChar"/>
                <w:rFonts w:eastAsia="Calibri"/>
                <w:b w:val="0"/>
                <w:strike w:val="0"/>
                <w:color w:val="auto"/>
              </w:rPr>
              <w:t xml:space="preserve"> </w:t>
            </w:r>
            <w:r w:rsidRPr="00A23740">
              <w:rPr>
                <w:rStyle w:val="KIRMIZIChar"/>
                <w:rFonts w:eastAsia="Calibri"/>
              </w:rPr>
              <w:t>Alacaklı sayısı, alacak miktarı ve alacakların çeşitliliği dikkate alınarak alacaklılar kurulunun zorunlu olarak oluşturulacağı hâller ile alacaklılar kuruluna ilişkin diğer hususlar Adalet Bakanlığınca yürürlüğe konulan yönetmelikte gösterilir.</w:t>
            </w:r>
          </w:p>
          <w:p w:rsidR="00AA5C8C" w:rsidRPr="00A23740" w:rsidRDefault="00AA5C8C" w:rsidP="009431FF">
            <w:pPr>
              <w:rPr>
                <w:b/>
                <w:strike/>
                <w:lang w:eastAsia="tr-TR"/>
              </w:rPr>
            </w:pPr>
          </w:p>
          <w:p w:rsidR="00AA5C8C" w:rsidRPr="00A23740" w:rsidRDefault="00277039" w:rsidP="009431FF">
            <w:pPr>
              <w:rPr>
                <w:b/>
                <w:strike/>
                <w:lang w:eastAsia="tr-TR"/>
              </w:rPr>
            </w:pPr>
            <w:r>
              <w:rPr>
                <w:rStyle w:val="AltKonuBalChar1"/>
                <w:rFonts w:eastAsia="Calibri"/>
              </w:rPr>
              <w:t>M.289/F4.</w:t>
            </w:r>
            <w:r w:rsidR="00AA5C8C" w:rsidRPr="00A23740">
              <w:rPr>
                <w:rStyle w:val="AltKonuBalChar1"/>
                <w:rFonts w:eastAsia="Calibri"/>
              </w:rPr>
              <w:t>C.4-5:</w:t>
            </w:r>
            <w:r w:rsidR="00AA5C8C" w:rsidRPr="00A23740">
              <w:rPr>
                <w:rStyle w:val="KIRMIZIChar"/>
                <w:rFonts w:eastAsia="Calibri"/>
                <w:b w:val="0"/>
                <w:strike w:val="0"/>
                <w:color w:val="auto"/>
              </w:rPr>
              <w:t xml:space="preserve"> Alacaklılar kurulu her ay en az bir kere toplanır ve hazır bulunanların oy çokluğuyla karar alır. Komiser bu toplantıda hazır bulunarak alınan kararları toplantıya katılanların imzasını almak suretiyle tutanağa bağlar.</w:t>
            </w:r>
          </w:p>
          <w:p w:rsidR="00AA5C8C" w:rsidRPr="00A23740" w:rsidRDefault="00AA5C8C" w:rsidP="009431FF">
            <w:pPr>
              <w:rPr>
                <w:b/>
                <w:strike/>
                <w:lang w:eastAsia="tr-TR"/>
              </w:rPr>
            </w:pPr>
          </w:p>
          <w:p w:rsidR="00AA5C8C" w:rsidRPr="00A23740" w:rsidRDefault="00AA5C8C" w:rsidP="009431FF">
            <w:pPr>
              <w:pStyle w:val="KIRMIZI"/>
            </w:pPr>
            <w:r w:rsidRPr="00A23740">
              <w:t xml:space="preserve">Konkordato komiseri ve </w:t>
            </w:r>
            <w:r w:rsidRPr="00A23740">
              <w:rPr>
                <w:rStyle w:val="KIRMIZIChar"/>
                <w:b/>
                <w:bCs/>
                <w:strike/>
              </w:rPr>
              <w:t>alacaklılar kurulu ile bunların</w:t>
            </w:r>
            <w:r w:rsidRPr="00A23740">
              <w:t xml:space="preserve"> görevleri</w:t>
            </w:r>
            <w:r w:rsidRPr="00A23740">
              <w:rPr>
                <w:rStyle w:val="KIRMIZIChar"/>
                <w:b/>
                <w:bCs/>
                <w:strike/>
              </w:rPr>
              <w:t>:</w:t>
            </w:r>
          </w:p>
          <w:p w:rsidR="00AA5C8C" w:rsidRPr="00A23740" w:rsidRDefault="00AA5C8C" w:rsidP="009431FF">
            <w:pPr>
              <w:pStyle w:val="KIRMIZI"/>
              <w:rPr>
                <w:lang w:eastAsia="tr-TR"/>
              </w:rPr>
            </w:pPr>
            <w:r w:rsidRPr="00A23740">
              <w:rPr>
                <w:rStyle w:val="KIRMIZIChar"/>
                <w:rFonts w:eastAsia="Calibri"/>
                <w:b/>
                <w:bCs/>
                <w:strike/>
              </w:rPr>
              <w:t>Madde 290-</w:t>
            </w:r>
            <w:r w:rsidRPr="00A23740">
              <w:rPr>
                <w:rStyle w:val="KIRMIZIChar"/>
                <w:rFonts w:eastAsia="Calibri"/>
              </w:rPr>
              <w:t xml:space="preserve"> …</w:t>
            </w:r>
          </w:p>
          <w:p w:rsidR="00AA5C8C" w:rsidRPr="00A23740" w:rsidRDefault="00AA5C8C" w:rsidP="009431FF">
            <w:pPr>
              <w:rPr>
                <w:b/>
                <w:strike/>
                <w:lang w:eastAsia="tr-TR"/>
              </w:rPr>
            </w:pPr>
            <w:r w:rsidRPr="00A23740">
              <w:rPr>
                <w:rStyle w:val="KIRMIZIChar"/>
                <w:rFonts w:eastAsia="Calibri"/>
              </w:rPr>
              <w:t>(7)</w:t>
            </w:r>
            <w:r w:rsidRPr="00A23740">
              <w:rPr>
                <w:szCs w:val="24"/>
              </w:rPr>
              <w:t xml:space="preserve"> Alacaklılar kurulu, komiserin faaliyetlerine nezaret eder; komisere tavsiyelerde bulunabilir </w:t>
            </w:r>
            <w:r w:rsidRPr="00A23740">
              <w:rPr>
                <w:rStyle w:val="AralkYokChar"/>
                <w:lang w:val="tr-TR"/>
              </w:rPr>
              <w:t>ve kanunun öngördüğü</w:t>
            </w:r>
            <w:r w:rsidRPr="00A23740">
              <w:rPr>
                <w:szCs w:val="24"/>
              </w:rPr>
              <w:t xml:space="preserve"> hâllerde mahkemeye görüş bildirir</w:t>
            </w:r>
            <w:r w:rsidRPr="002A3902">
              <w:rPr>
                <w:rStyle w:val="AralkYokChar"/>
                <w:b w:val="0"/>
                <w:strike w:val="0"/>
                <w:color w:val="000000" w:themeColor="text1"/>
                <w:lang w:val="tr-TR"/>
              </w:rPr>
              <w:t>.</w:t>
            </w:r>
            <w:r w:rsidRPr="00A23740">
              <w:rPr>
                <w:szCs w:val="24"/>
              </w:rPr>
              <w:t xml:space="preserve"> Alacaklılar kurulu komiserin faaliyetlerini yeterli bulmazsa, mahkemeden komiserin değiştirilmesini gerekçeli bir raporla isteyebilir. Mahkeme bu talep hakkında borçluyu ve komiseri dinledikten sonra kesin olarak karar verir.</w:t>
            </w:r>
          </w:p>
          <w:p w:rsidR="00AA5C8C" w:rsidRPr="00A23740" w:rsidRDefault="00AA5C8C" w:rsidP="009431FF">
            <w:pPr>
              <w:rPr>
                <w:b/>
                <w:strike/>
                <w:lang w:eastAsia="tr-TR"/>
              </w:rPr>
            </w:pPr>
          </w:p>
          <w:p w:rsidR="00AA5C8C" w:rsidRDefault="00277039" w:rsidP="009431FF">
            <w:pPr>
              <w:pStyle w:val="AltKonuBal"/>
              <w:rPr>
                <w:rStyle w:val="KIRMIZIChar"/>
                <w:strike w:val="0"/>
                <w:color w:val="auto"/>
              </w:rPr>
            </w:pPr>
            <w:r>
              <w:t>M.289/F4</w:t>
            </w:r>
            <w:r>
              <w:rPr>
                <w:lang w:val="tr-TR"/>
              </w:rPr>
              <w:t>.</w:t>
            </w:r>
            <w:r w:rsidR="00AA5C8C" w:rsidRPr="00A23740">
              <w:t>C.6</w:t>
            </w:r>
            <w:r w:rsidR="00AA5C8C" w:rsidRPr="00A23740">
              <w:rPr>
                <w:lang w:val="tr-TR"/>
              </w:rPr>
              <w:t xml:space="preserve">: </w:t>
            </w:r>
            <w:r w:rsidR="00AA5C8C" w:rsidRPr="00A23740">
              <w:rPr>
                <w:rStyle w:val="KIRMIZIChar"/>
                <w:strike w:val="0"/>
                <w:color w:val="auto"/>
              </w:rPr>
              <w:t xml:space="preserve">Alacaklı sayısı, alacak miktarı ve alacakların çeşitliliği dikkate alınarak alacaklılar kurulunun zorunlu olarak oluşturulacağı hâller ile alacaklılar kuruluna ilişkin diğer hususlar Adalet Bakanlığınca </w:t>
            </w:r>
            <w:r w:rsidR="00AA5C8C" w:rsidRPr="00A23740">
              <w:rPr>
                <w:rStyle w:val="KIRMIZIChar"/>
                <w:b/>
              </w:rPr>
              <w:t>yürürlüğe konulan</w:t>
            </w:r>
            <w:r w:rsidR="00AA5C8C" w:rsidRPr="00A23740">
              <w:rPr>
                <w:rStyle w:val="KIRMIZIChar"/>
                <w:strike w:val="0"/>
                <w:color w:val="auto"/>
              </w:rPr>
              <w:t xml:space="preserve"> yönetmelik</w:t>
            </w:r>
            <w:r w:rsidR="00AA5C8C" w:rsidRPr="00A23740">
              <w:rPr>
                <w:rStyle w:val="KIRMIZIChar"/>
                <w:b/>
              </w:rPr>
              <w:t>te</w:t>
            </w:r>
            <w:r w:rsidR="00AA5C8C" w:rsidRPr="00A23740">
              <w:rPr>
                <w:rStyle w:val="KIRMIZIChar"/>
                <w:strike w:val="0"/>
                <w:color w:val="auto"/>
              </w:rPr>
              <w:t xml:space="preserve"> gösterilir.</w:t>
            </w:r>
          </w:p>
          <w:p w:rsidR="00D74F7C" w:rsidRPr="00D74F7C" w:rsidRDefault="00D74F7C" w:rsidP="009431FF">
            <w:pPr>
              <w:rPr>
                <w:lang w:val="x-none" w:eastAsia="x-none"/>
              </w:rPr>
            </w:pPr>
          </w:p>
        </w:tc>
        <w:tc>
          <w:tcPr>
            <w:tcW w:w="2500" w:type="pct"/>
          </w:tcPr>
          <w:p w:rsidR="00AA5C8C" w:rsidRPr="00A23740" w:rsidRDefault="00AA5C8C" w:rsidP="009431FF">
            <w:pPr>
              <w:pStyle w:val="Mavi"/>
              <w:rPr>
                <w:rStyle w:val="MaviChar"/>
                <w:b/>
                <w:bCs/>
              </w:rPr>
            </w:pPr>
            <w:r w:rsidRPr="00A23740">
              <w:rPr>
                <w:rStyle w:val="MaviChar"/>
                <w:b/>
                <w:bCs/>
              </w:rPr>
              <w:t>Alacaklılar kurulu ve görevleri</w:t>
            </w:r>
          </w:p>
          <w:p w:rsidR="00AA5C8C" w:rsidRPr="00A23740" w:rsidRDefault="003A1467" w:rsidP="009431FF">
            <w:r w:rsidRPr="00A23740">
              <w:rPr>
                <w:rStyle w:val="MaviChar"/>
              </w:rPr>
              <w:t>MADDE 383</w:t>
            </w:r>
            <w:r w:rsidR="00AA5C8C" w:rsidRPr="00A23740">
              <w:rPr>
                <w:rStyle w:val="MaviChar"/>
              </w:rPr>
              <w:t>- (1)</w:t>
            </w:r>
            <w:r w:rsidR="00AA5C8C" w:rsidRPr="00A23740">
              <w:rPr>
                <w:rStyle w:val="MaviChar"/>
                <w:b w:val="0"/>
                <w:bCs w:val="0"/>
                <w:color w:val="339933"/>
                <w:lang w:val="tr-TR" w:eastAsia="en-US"/>
              </w:rPr>
              <w:t xml:space="preserve"> </w:t>
            </w:r>
            <w:r w:rsidR="00AA5C8C" w:rsidRPr="00A23740">
              <w:t xml:space="preserve"> Mahkemece, kesin mühlet kararıyla beraber veya kesin mühlet içinde uygun görülecek bir zamanda yedi alacaklıyı geçmemek, herhangi bir ücret takdir edilmemek ve tek sayıda olmak kaydıyla ayrıca bir alacaklılar kurulu oluşturulabilir. Bu durumda alacakları, hukuki nitelik itibarıyla birbirinden farklı olan alacaklı sınıfları ve varsa rehinli alacaklılar, alacaklılar kurulunda hakkaniyete uygun şekilde temsil edilir. Alacaklılar kurulu oluşturulurken komiserin de görüşü alınır. </w:t>
            </w:r>
          </w:p>
          <w:p w:rsidR="00AA5C8C" w:rsidRPr="00A23740" w:rsidRDefault="00AA5C8C" w:rsidP="009431FF"/>
          <w:p w:rsidR="00AA5C8C" w:rsidRPr="00A23740" w:rsidRDefault="00AA5C8C" w:rsidP="009431FF"/>
          <w:p w:rsidR="00AA5C8C" w:rsidRPr="00A23740" w:rsidRDefault="00AA5C8C" w:rsidP="009431FF"/>
          <w:p w:rsidR="00AA5C8C" w:rsidRPr="00A23740" w:rsidRDefault="00AA5C8C" w:rsidP="009431FF"/>
          <w:p w:rsidR="00AA5C8C" w:rsidRPr="00A23740" w:rsidRDefault="00AA5C8C" w:rsidP="009431FF"/>
          <w:p w:rsidR="00AA5C8C" w:rsidRPr="00A23740" w:rsidRDefault="00AA5C8C" w:rsidP="009431FF"/>
          <w:p w:rsidR="00AA5C8C" w:rsidRPr="00A23740" w:rsidRDefault="00AA5C8C" w:rsidP="009431FF"/>
          <w:p w:rsidR="00AA5C8C" w:rsidRPr="00A23740" w:rsidRDefault="00AA5C8C" w:rsidP="009431FF"/>
          <w:p w:rsidR="00AA5C8C" w:rsidRPr="00A23740" w:rsidRDefault="00AA5C8C" w:rsidP="009431FF"/>
          <w:p w:rsidR="00AA5C8C" w:rsidRPr="00A23740" w:rsidRDefault="00AA5C8C" w:rsidP="009431FF">
            <w:r w:rsidRPr="00A23740">
              <w:rPr>
                <w:rStyle w:val="MaviChar"/>
              </w:rPr>
              <w:t>(2)</w:t>
            </w:r>
            <w:r w:rsidRPr="00A23740">
              <w:t xml:space="preserve"> Alacaklılar kurulu her ay en az bir kere toplanır ve hazır bulunanların oy çokluğuyla karar alır. Komiser bu toplantıda hazır bulunarak alınan kararları toplantıya katılanların imzasını almak suretiyle tutanağa bağlar. </w:t>
            </w:r>
          </w:p>
          <w:p w:rsidR="00AA5C8C" w:rsidRPr="00A23740" w:rsidRDefault="00AA5C8C" w:rsidP="009431FF">
            <w:pPr>
              <w:pStyle w:val="YEL"/>
              <w:rPr>
                <w:lang w:val="tr-TR"/>
              </w:rPr>
            </w:pPr>
          </w:p>
          <w:p w:rsidR="00AA5C8C" w:rsidRPr="00A23740" w:rsidRDefault="00AA5C8C" w:rsidP="009431FF">
            <w:pPr>
              <w:pStyle w:val="Mavi"/>
            </w:pPr>
            <w:r w:rsidRPr="00A23740">
              <w:t xml:space="preserve">(3) </w:t>
            </w:r>
            <w:r w:rsidRPr="00A23740">
              <w:rPr>
                <w:b w:val="0"/>
                <w:bCs w:val="0"/>
                <w:color w:val="auto"/>
                <w:szCs w:val="22"/>
                <w:lang w:val="tr-TR" w:eastAsia="en-US"/>
              </w:rPr>
              <w:t>Alacaklılar kurulu, komiserin faaliyetlerine nezaret eder;</w:t>
            </w:r>
            <w:r w:rsidRPr="00A23740">
              <w:t xml:space="preserve"> </w:t>
            </w:r>
            <w:r w:rsidRPr="00A23740">
              <w:rPr>
                <w:rStyle w:val="YELChar"/>
                <w:rFonts w:eastAsia="Calibri"/>
                <w:b/>
                <w:color w:val="0000FF"/>
                <w:lang w:eastAsia="x-none"/>
              </w:rPr>
              <w:t>komiserin işlemlerine karşı şik</w:t>
            </w:r>
            <w:r w:rsidR="009D3966" w:rsidRPr="00A23740">
              <w:rPr>
                <w:rStyle w:val="YELChar"/>
                <w:rFonts w:eastAsia="Calibri"/>
                <w:b/>
                <w:color w:val="0000FF"/>
                <w:lang w:val="tr-TR" w:eastAsia="x-none"/>
              </w:rPr>
              <w:t>â</w:t>
            </w:r>
            <w:r w:rsidRPr="00A23740">
              <w:rPr>
                <w:rStyle w:val="YELChar"/>
                <w:rFonts w:eastAsia="Calibri"/>
                <w:b/>
                <w:color w:val="0000FF"/>
                <w:lang w:eastAsia="x-none"/>
              </w:rPr>
              <w:t xml:space="preserve">yet yoluna başvurabilir; </w:t>
            </w:r>
            <w:r w:rsidRPr="00A23740">
              <w:rPr>
                <w:b w:val="0"/>
                <w:color w:val="auto"/>
              </w:rPr>
              <w:t>komisere tavsiyelerde bulunabilir</w:t>
            </w:r>
            <w:r w:rsidRPr="00A23740">
              <w:rPr>
                <w:rStyle w:val="MaviChar"/>
                <w:b/>
                <w:bCs/>
              </w:rPr>
              <w:t>,</w:t>
            </w:r>
            <w:r w:rsidRPr="00A23740">
              <w:t xml:space="preserve"> </w:t>
            </w:r>
            <w:r w:rsidRPr="00A23740">
              <w:rPr>
                <w:rStyle w:val="MaviChar"/>
                <w:b/>
                <w:bCs/>
              </w:rPr>
              <w:t>gereken</w:t>
            </w:r>
            <w:r w:rsidRPr="00A23740">
              <w:t xml:space="preserve"> </w:t>
            </w:r>
            <w:r w:rsidRPr="00A23740">
              <w:rPr>
                <w:b w:val="0"/>
                <w:bCs w:val="0"/>
                <w:color w:val="auto"/>
                <w:szCs w:val="22"/>
                <w:lang w:val="tr-TR" w:eastAsia="en-US"/>
              </w:rPr>
              <w:t xml:space="preserve">hâllerde mahkemeye görüş </w:t>
            </w:r>
            <w:r w:rsidRPr="00A23740">
              <w:rPr>
                <w:b w:val="0"/>
                <w:color w:val="auto"/>
              </w:rPr>
              <w:t>bildirir</w:t>
            </w:r>
            <w:r w:rsidR="009D3966" w:rsidRPr="002A3902">
              <w:rPr>
                <w:b w:val="0"/>
                <w:color w:val="000000" w:themeColor="text1"/>
                <w:lang w:val="tr-TR"/>
              </w:rPr>
              <w:t>.</w:t>
            </w:r>
            <w:r w:rsidRPr="00A23740">
              <w:rPr>
                <w:rStyle w:val="KIRMIZIChar"/>
                <w:rFonts w:eastAsia="Calibri"/>
                <w:strike w:val="0"/>
              </w:rPr>
              <w:t xml:space="preserve"> </w:t>
            </w:r>
            <w:r w:rsidRPr="00A23740">
              <w:rPr>
                <w:b w:val="0"/>
                <w:bCs w:val="0"/>
                <w:color w:val="auto"/>
                <w:szCs w:val="22"/>
                <w:lang w:val="tr-TR" w:eastAsia="en-US"/>
              </w:rPr>
              <w:t xml:space="preserve">Alacaklılar kurulu komiserin faaliyetlerini yeterli bulmazsa, mahkemeden komiserin değiştirilmesini gerekçeli bir raporla isteyebilir. Mahkeme bu talep hakkında borçluyu ve komiseri dinledikten sonra kesin olarak karar verir. </w:t>
            </w:r>
          </w:p>
          <w:p w:rsidR="00AA5C8C" w:rsidRDefault="00AA5C8C" w:rsidP="009431FF">
            <w:pPr>
              <w:pStyle w:val="YEL"/>
              <w:rPr>
                <w:lang w:val="tr-TR"/>
              </w:rPr>
            </w:pPr>
          </w:p>
          <w:p w:rsidR="002A3902" w:rsidRDefault="002A3902" w:rsidP="009431FF">
            <w:pPr>
              <w:pStyle w:val="YEL"/>
              <w:rPr>
                <w:lang w:val="tr-TR"/>
              </w:rPr>
            </w:pPr>
          </w:p>
          <w:p w:rsidR="009A013D" w:rsidRPr="00A23740" w:rsidRDefault="009A013D" w:rsidP="009431FF">
            <w:pPr>
              <w:pStyle w:val="YEL"/>
              <w:rPr>
                <w:lang w:val="tr-TR"/>
              </w:rPr>
            </w:pPr>
          </w:p>
          <w:p w:rsidR="00AA5C8C" w:rsidRPr="00A23740" w:rsidRDefault="00AA5C8C" w:rsidP="009431FF">
            <w:pPr>
              <w:pStyle w:val="YEL"/>
              <w:rPr>
                <w:b w:val="0"/>
              </w:rPr>
            </w:pPr>
            <w:r w:rsidRPr="00A23740">
              <w:rPr>
                <w:rStyle w:val="MaviChar"/>
                <w:b/>
              </w:rPr>
              <w:t>(4)</w:t>
            </w:r>
            <w:r w:rsidRPr="00A23740">
              <w:rPr>
                <w:lang w:val="tr-TR"/>
              </w:rPr>
              <w:t xml:space="preserve"> </w:t>
            </w:r>
            <w:r w:rsidRPr="00A23740">
              <w:rPr>
                <w:b w:val="0"/>
                <w:color w:val="auto"/>
                <w:lang w:val="tr-TR"/>
              </w:rPr>
              <w:t xml:space="preserve">Alacaklı sayısı, alacak miktarı ve alacakların çeşitliliği dikkate alınarak alacaklılar kurulunun zorunlu olarak oluşturulacağı hâller ile alacaklılar kuruluna ilişkin diğer hususlar Adalet Bakanlığınca </w:t>
            </w:r>
            <w:r w:rsidRPr="00A23740">
              <w:rPr>
                <w:rStyle w:val="MaviChar"/>
                <w:b/>
              </w:rPr>
              <w:t>çıkarılacak</w:t>
            </w:r>
            <w:r w:rsidRPr="00A23740">
              <w:rPr>
                <w:b w:val="0"/>
                <w:color w:val="auto"/>
                <w:lang w:val="tr-TR"/>
              </w:rPr>
              <w:t xml:space="preserve"> yönetmelik</w:t>
            </w:r>
            <w:r w:rsidRPr="00A23740">
              <w:rPr>
                <w:rStyle w:val="MaviChar"/>
                <w:b/>
              </w:rPr>
              <w:t>le</w:t>
            </w:r>
            <w:r w:rsidRPr="00A23740">
              <w:rPr>
                <w:b w:val="0"/>
                <w:color w:val="auto"/>
                <w:lang w:val="tr-TR"/>
              </w:rPr>
              <w:t xml:space="preserve"> gösterilir.</w:t>
            </w:r>
          </w:p>
        </w:tc>
      </w:tr>
      <w:tr w:rsidR="005C3738" w:rsidRPr="00A23740" w:rsidTr="009431FF">
        <w:tc>
          <w:tcPr>
            <w:tcW w:w="5000" w:type="pct"/>
            <w:gridSpan w:val="2"/>
            <w:shd w:val="clear" w:color="auto" w:fill="DEEAF6"/>
          </w:tcPr>
          <w:p w:rsidR="004302BD" w:rsidRPr="00A23740" w:rsidRDefault="004302BD" w:rsidP="009431FF">
            <w:pPr>
              <w:tabs>
                <w:tab w:val="left" w:pos="567"/>
              </w:tabs>
              <w:ind w:firstLine="567"/>
              <w:rPr>
                <w:b/>
                <w:color w:val="000000"/>
                <w:szCs w:val="24"/>
                <w:lang w:val="x-none" w:eastAsia="x-none"/>
              </w:rPr>
            </w:pPr>
          </w:p>
          <w:p w:rsidR="007F2779" w:rsidRPr="00A23740" w:rsidRDefault="003A1467" w:rsidP="009431FF">
            <w:pPr>
              <w:tabs>
                <w:tab w:val="left" w:pos="567"/>
              </w:tabs>
              <w:ind w:firstLine="567"/>
              <w:rPr>
                <w:b/>
                <w:bCs/>
                <w:color w:val="000000"/>
                <w:szCs w:val="24"/>
                <w:lang w:eastAsia="x-none"/>
              </w:rPr>
            </w:pPr>
            <w:r w:rsidRPr="00A23740">
              <w:rPr>
                <w:b/>
                <w:color w:val="000000"/>
                <w:szCs w:val="24"/>
                <w:lang w:val="x-none" w:eastAsia="x-none"/>
              </w:rPr>
              <w:t>MADDE 383</w:t>
            </w:r>
            <w:r w:rsidR="007F2779" w:rsidRPr="00A23740">
              <w:rPr>
                <w:b/>
                <w:color w:val="000000"/>
                <w:szCs w:val="24"/>
                <w:lang w:val="x-none" w:eastAsia="x-none"/>
              </w:rPr>
              <w:t>-</w:t>
            </w:r>
            <w:r w:rsidR="007F2779" w:rsidRPr="00A23740">
              <w:rPr>
                <w:color w:val="000000"/>
                <w:szCs w:val="24"/>
                <w:lang w:val="x-none" w:eastAsia="x-none"/>
              </w:rPr>
              <w:t xml:space="preserve"> </w:t>
            </w:r>
            <w:r w:rsidR="004302BD" w:rsidRPr="00A23740">
              <w:rPr>
                <w:color w:val="000000"/>
                <w:szCs w:val="24"/>
                <w:lang w:eastAsia="x-none"/>
              </w:rPr>
              <w:t xml:space="preserve">Maddeyle, alacaklılar kurulu ve görevlerine ilişkin hususlar düzenlenmektedir. </w:t>
            </w:r>
            <w:r w:rsidR="007F2779" w:rsidRPr="00A23740">
              <w:rPr>
                <w:color w:val="000000"/>
                <w:szCs w:val="24"/>
                <w:lang w:eastAsia="x-none"/>
              </w:rPr>
              <w:t>Taslağın</w:t>
            </w:r>
            <w:r w:rsidR="00C05E7E" w:rsidRPr="00A23740">
              <w:rPr>
                <w:color w:val="000000"/>
                <w:szCs w:val="24"/>
                <w:lang w:eastAsia="x-none"/>
              </w:rPr>
              <w:t xml:space="preserve"> </w:t>
            </w:r>
            <w:r w:rsidR="00C05E7E" w:rsidRPr="005574E2">
              <w:t>383 üncü</w:t>
            </w:r>
            <w:r w:rsidR="007F2779" w:rsidRPr="00A23740">
              <w:rPr>
                <w:color w:val="000000"/>
                <w:szCs w:val="24"/>
                <w:lang w:eastAsia="x-none"/>
              </w:rPr>
              <w:t xml:space="preserve"> maddesi “</w:t>
            </w:r>
            <w:r w:rsidR="007F2779" w:rsidRPr="00A23740">
              <w:rPr>
                <w:bCs/>
                <w:color w:val="000000"/>
                <w:szCs w:val="24"/>
                <w:lang w:val="x-none" w:eastAsia="x-none"/>
              </w:rPr>
              <w:t>Alacaklılar kurulu ve görevleri</w:t>
            </w:r>
            <w:r w:rsidR="007F2779" w:rsidRPr="00A23740">
              <w:rPr>
                <w:bCs/>
                <w:color w:val="000000"/>
                <w:szCs w:val="24"/>
                <w:lang w:eastAsia="x-none"/>
              </w:rPr>
              <w:t xml:space="preserve">” başlığını taşımakta olup </w:t>
            </w:r>
            <w:r w:rsidR="004302BD" w:rsidRPr="00A23740">
              <w:rPr>
                <w:bCs/>
                <w:color w:val="000000"/>
                <w:szCs w:val="24"/>
                <w:lang w:eastAsia="x-none"/>
              </w:rPr>
              <w:t>2004 sayılı K</w:t>
            </w:r>
            <w:r w:rsidR="007F2779" w:rsidRPr="00A23740">
              <w:rPr>
                <w:bCs/>
                <w:color w:val="000000"/>
                <w:szCs w:val="24"/>
                <w:lang w:eastAsia="x-none"/>
              </w:rPr>
              <w:t xml:space="preserve">anunun 290 ıncı maddesine karşılık gelmektedir. </w:t>
            </w:r>
            <w:r w:rsidR="004302BD" w:rsidRPr="00A23740">
              <w:rPr>
                <w:bCs/>
                <w:color w:val="000000"/>
                <w:szCs w:val="24"/>
                <w:lang w:eastAsia="x-none"/>
              </w:rPr>
              <w:t>2004 sayılı K</w:t>
            </w:r>
            <w:r w:rsidR="007F2779" w:rsidRPr="00A23740">
              <w:rPr>
                <w:bCs/>
                <w:color w:val="000000"/>
                <w:szCs w:val="24"/>
                <w:lang w:eastAsia="x-none"/>
              </w:rPr>
              <w:t xml:space="preserve">anunun 289 uncu maddesinin </w:t>
            </w:r>
            <w:r w:rsidR="004302BD" w:rsidRPr="00A23740">
              <w:rPr>
                <w:bCs/>
                <w:color w:val="000000"/>
                <w:szCs w:val="24"/>
                <w:lang w:eastAsia="x-none"/>
              </w:rPr>
              <w:t>dördüncü fıkrasının altı</w:t>
            </w:r>
            <w:r w:rsidR="007F2779" w:rsidRPr="00A23740">
              <w:rPr>
                <w:bCs/>
                <w:color w:val="000000"/>
                <w:szCs w:val="24"/>
                <w:lang w:eastAsia="x-none"/>
              </w:rPr>
              <w:t>ncı cümlesinin karşılığı da Taslağı</w:t>
            </w:r>
            <w:r w:rsidR="004302BD" w:rsidRPr="00A23740">
              <w:rPr>
                <w:bCs/>
                <w:color w:val="000000"/>
                <w:szCs w:val="24"/>
                <w:lang w:eastAsia="x-none"/>
              </w:rPr>
              <w:t xml:space="preserve">n </w:t>
            </w:r>
            <w:r w:rsidR="00C05E7E" w:rsidRPr="005574E2">
              <w:t>383 üncü</w:t>
            </w:r>
            <w:r w:rsidR="00C05E7E" w:rsidRPr="00A23740">
              <w:rPr>
                <w:color w:val="000000"/>
                <w:szCs w:val="24"/>
                <w:lang w:eastAsia="x-none"/>
              </w:rPr>
              <w:t xml:space="preserve"> </w:t>
            </w:r>
            <w:r w:rsidR="004302BD" w:rsidRPr="00A23740">
              <w:rPr>
                <w:bCs/>
                <w:color w:val="000000"/>
                <w:szCs w:val="24"/>
                <w:lang w:eastAsia="x-none"/>
              </w:rPr>
              <w:t>maddesine alınmıştır.</w:t>
            </w:r>
          </w:p>
          <w:p w:rsidR="007F2779" w:rsidRPr="00A23740" w:rsidRDefault="007F2779" w:rsidP="009431FF">
            <w:pPr>
              <w:ind w:firstLine="567"/>
              <w:rPr>
                <w:color w:val="000000"/>
                <w:szCs w:val="24"/>
              </w:rPr>
            </w:pPr>
            <w:r w:rsidRPr="00A23740">
              <w:rPr>
                <w:bCs/>
                <w:color w:val="000000"/>
                <w:szCs w:val="24"/>
                <w:lang w:eastAsia="x-none"/>
              </w:rPr>
              <w:t xml:space="preserve">Maddenin </w:t>
            </w:r>
            <w:r w:rsidR="004302BD" w:rsidRPr="00A23740">
              <w:rPr>
                <w:bCs/>
                <w:color w:val="000000"/>
                <w:szCs w:val="24"/>
                <w:lang w:eastAsia="x-none"/>
              </w:rPr>
              <w:t>bir</w:t>
            </w:r>
            <w:r w:rsidRPr="00A23740">
              <w:rPr>
                <w:bCs/>
                <w:color w:val="000000"/>
                <w:szCs w:val="24"/>
                <w:lang w:eastAsia="x-none"/>
              </w:rPr>
              <w:t xml:space="preserve">inci fıkrasında </w:t>
            </w:r>
            <w:r w:rsidRPr="00A23740">
              <w:rPr>
                <w:color w:val="000000"/>
                <w:szCs w:val="24"/>
              </w:rPr>
              <w:t>mahkemece, kesin mühlet kararıyla beraber veya kesin mühlet içinde uygun görülecek bir zamanda yedi alacaklıyı geçmemek, herhangi bir ücret takdir edilmemek ve tek sayıda olmak kaydıyla ayrıca bir alacaklılar kurulu oluşturulabileceği; bu durumda alacakları, hukuki nitelik itibarıyla birbirinden farklı olan alacaklı sınıfları ve varsa rehinli alacaklıların, alacaklılar kurulunda hakkaniyete uygun şekilde temsil edileceği ve alacaklılar kurulu oluşturulurken komiserin görüş</w:t>
            </w:r>
            <w:r w:rsidR="004302BD" w:rsidRPr="00A23740">
              <w:rPr>
                <w:color w:val="000000"/>
                <w:szCs w:val="24"/>
              </w:rPr>
              <w:t xml:space="preserve">ünün alınacağı düzenlenmiştir. </w:t>
            </w:r>
          </w:p>
          <w:p w:rsidR="007F2779" w:rsidRPr="00A23740" w:rsidRDefault="004302BD" w:rsidP="009431FF">
            <w:pPr>
              <w:ind w:firstLine="567"/>
              <w:rPr>
                <w:color w:val="000000"/>
                <w:szCs w:val="24"/>
              </w:rPr>
            </w:pPr>
            <w:r w:rsidRPr="00A23740">
              <w:rPr>
                <w:bCs/>
                <w:color w:val="000000"/>
                <w:szCs w:val="24"/>
                <w:lang w:eastAsia="x-none"/>
              </w:rPr>
              <w:t>Maddenin iki</w:t>
            </w:r>
            <w:r w:rsidR="007F2779" w:rsidRPr="00A23740">
              <w:rPr>
                <w:bCs/>
                <w:color w:val="000000"/>
                <w:szCs w:val="24"/>
                <w:lang w:eastAsia="x-none"/>
              </w:rPr>
              <w:t>nci fıkrasında a</w:t>
            </w:r>
            <w:r w:rsidR="007F2779" w:rsidRPr="00A23740">
              <w:rPr>
                <w:color w:val="000000"/>
                <w:szCs w:val="24"/>
              </w:rPr>
              <w:t>lacaklılar kurulunun her ay en az bir kere toplanacağı ve hazır bulunanların oy çokluğuyla karar alacağı; komiser</w:t>
            </w:r>
            <w:r w:rsidR="00D0065C" w:rsidRPr="00A23740">
              <w:rPr>
                <w:color w:val="000000"/>
                <w:szCs w:val="24"/>
              </w:rPr>
              <w:t>in</w:t>
            </w:r>
            <w:r w:rsidR="007F2779" w:rsidRPr="00A23740">
              <w:rPr>
                <w:color w:val="000000"/>
                <w:szCs w:val="24"/>
              </w:rPr>
              <w:t xml:space="preserve"> bu toplantıda hazır bulunarak alınan kararları toplantıya katılanların imzasını almak suretiyle tutan</w:t>
            </w:r>
            <w:r w:rsidRPr="00A23740">
              <w:rPr>
                <w:color w:val="000000"/>
                <w:szCs w:val="24"/>
              </w:rPr>
              <w:t xml:space="preserve">ağa bağlayacağı açıklanmıştır. </w:t>
            </w:r>
          </w:p>
          <w:p w:rsidR="007F2779" w:rsidRPr="00A23740" w:rsidRDefault="004302BD" w:rsidP="009431FF">
            <w:pPr>
              <w:tabs>
                <w:tab w:val="left" w:pos="566"/>
              </w:tabs>
              <w:ind w:firstLine="567"/>
              <w:rPr>
                <w:bCs/>
                <w:color w:val="000000"/>
                <w:szCs w:val="24"/>
                <w:lang w:val="x-none" w:eastAsia="x-none"/>
              </w:rPr>
            </w:pPr>
            <w:r w:rsidRPr="00A23740">
              <w:rPr>
                <w:bCs/>
                <w:color w:val="000000"/>
                <w:szCs w:val="24"/>
                <w:lang w:eastAsia="x-none"/>
              </w:rPr>
              <w:t>Maddenin üç</w:t>
            </w:r>
            <w:r w:rsidR="007F2779" w:rsidRPr="00A23740">
              <w:rPr>
                <w:bCs/>
                <w:color w:val="000000"/>
                <w:szCs w:val="24"/>
                <w:lang w:eastAsia="x-none"/>
              </w:rPr>
              <w:t xml:space="preserve">üncü fıkrasında </w:t>
            </w:r>
            <w:r w:rsidR="007F2779" w:rsidRPr="00A23740">
              <w:rPr>
                <w:color w:val="000000"/>
                <w:szCs w:val="24"/>
              </w:rPr>
              <w:t>alacaklılar kurulunun, komiserin faaliyetlerine nezaret edeceği;</w:t>
            </w:r>
            <w:r w:rsidR="007F2779" w:rsidRPr="00A23740">
              <w:rPr>
                <w:bCs/>
                <w:color w:val="000000"/>
                <w:szCs w:val="24"/>
                <w:lang w:val="x-none" w:eastAsia="x-none"/>
              </w:rPr>
              <w:t xml:space="preserve"> </w:t>
            </w:r>
            <w:r w:rsidR="007F2779" w:rsidRPr="00A23740">
              <w:rPr>
                <w:rFonts w:eastAsia="ヒラギノ明朝 Pro W3"/>
                <w:bCs/>
                <w:color w:val="000000"/>
                <w:szCs w:val="24"/>
                <w:lang w:val="x-none" w:eastAsia="x-none"/>
              </w:rPr>
              <w:t>komiserin işlemlerine karşı şik</w:t>
            </w:r>
            <w:r w:rsidR="007B61AA" w:rsidRPr="00A23740">
              <w:rPr>
                <w:rFonts w:eastAsia="ヒラギノ明朝 Pro W3"/>
                <w:bCs/>
                <w:color w:val="000000"/>
                <w:szCs w:val="24"/>
                <w:lang w:eastAsia="x-none"/>
              </w:rPr>
              <w:t>â</w:t>
            </w:r>
            <w:r w:rsidR="007F2779" w:rsidRPr="00A23740">
              <w:rPr>
                <w:rFonts w:eastAsia="ヒラギノ明朝 Pro W3"/>
                <w:bCs/>
                <w:color w:val="000000"/>
                <w:szCs w:val="24"/>
                <w:lang w:val="x-none" w:eastAsia="x-none"/>
              </w:rPr>
              <w:t>yet yoluna başvurabil</w:t>
            </w:r>
            <w:r w:rsidR="007F2779" w:rsidRPr="00A23740">
              <w:rPr>
                <w:rFonts w:eastAsia="ヒラギノ明朝 Pro W3"/>
                <w:bCs/>
                <w:color w:val="000000"/>
                <w:szCs w:val="24"/>
                <w:lang w:eastAsia="x-none"/>
              </w:rPr>
              <w:t>eceği</w:t>
            </w:r>
            <w:r w:rsidR="007F2779" w:rsidRPr="00A23740">
              <w:rPr>
                <w:rFonts w:eastAsia="ヒラギノ明朝 Pro W3"/>
                <w:bCs/>
                <w:color w:val="000000"/>
                <w:szCs w:val="24"/>
                <w:lang w:val="x-none" w:eastAsia="x-none"/>
              </w:rPr>
              <w:t xml:space="preserve">; </w:t>
            </w:r>
            <w:r w:rsidR="007F2779" w:rsidRPr="00A23740">
              <w:rPr>
                <w:bCs/>
                <w:color w:val="000000"/>
                <w:szCs w:val="24"/>
                <w:lang w:val="x-none" w:eastAsia="x-none"/>
              </w:rPr>
              <w:t>komisere tavsiyelerde bulunabil</w:t>
            </w:r>
            <w:r w:rsidR="007F2779" w:rsidRPr="00A23740">
              <w:rPr>
                <w:bCs/>
                <w:color w:val="000000"/>
                <w:szCs w:val="24"/>
                <w:lang w:eastAsia="x-none"/>
              </w:rPr>
              <w:t>eceği</w:t>
            </w:r>
            <w:r w:rsidR="007F2779" w:rsidRPr="00A23740">
              <w:rPr>
                <w:bCs/>
                <w:color w:val="000000"/>
                <w:szCs w:val="24"/>
                <w:lang w:val="x-none" w:eastAsia="x-none"/>
              </w:rPr>
              <w:t xml:space="preserve">, gereken </w:t>
            </w:r>
            <w:r w:rsidR="007F2779" w:rsidRPr="00A23740">
              <w:rPr>
                <w:color w:val="000000"/>
                <w:szCs w:val="24"/>
              </w:rPr>
              <w:t xml:space="preserve">hâllerde mahkemeye görüş </w:t>
            </w:r>
            <w:r w:rsidR="007B61AA" w:rsidRPr="005574E2">
              <w:t>bildireceği</w:t>
            </w:r>
            <w:r w:rsidR="00D0065C" w:rsidRPr="005574E2">
              <w:t>;</w:t>
            </w:r>
            <w:r w:rsidR="007F2779" w:rsidRPr="00A23740">
              <w:rPr>
                <w:bCs/>
                <w:color w:val="000000"/>
                <w:szCs w:val="24"/>
                <w:lang w:val="x-none" w:eastAsia="x-none"/>
              </w:rPr>
              <w:t xml:space="preserve"> </w:t>
            </w:r>
            <w:r w:rsidR="007F2779" w:rsidRPr="00A23740">
              <w:rPr>
                <w:color w:val="000000"/>
                <w:szCs w:val="24"/>
              </w:rPr>
              <w:t xml:space="preserve">komiserin faaliyetlerini yeterli bulmazsa, mahkemeden komiserin değiştirilmesini gerekçeli bir raporla isteyebileceği; mahkemenin bu talep hakkında borçluyu ve komiseri dinledikten sonra kesin olarak karar vereceği belirtilmiştir. </w:t>
            </w:r>
          </w:p>
          <w:p w:rsidR="007F2779" w:rsidRPr="00A23740" w:rsidRDefault="004302BD" w:rsidP="009431FF">
            <w:pPr>
              <w:tabs>
                <w:tab w:val="left" w:pos="566"/>
              </w:tabs>
              <w:ind w:firstLine="567"/>
              <w:rPr>
                <w:rFonts w:eastAsia="ヒラギノ明朝 Pro W3"/>
                <w:color w:val="000000"/>
                <w:szCs w:val="24"/>
              </w:rPr>
            </w:pPr>
            <w:r w:rsidRPr="00A23740">
              <w:rPr>
                <w:bCs/>
                <w:color w:val="000000"/>
                <w:szCs w:val="24"/>
                <w:lang w:eastAsia="x-none"/>
              </w:rPr>
              <w:t>Maddenin dörd</w:t>
            </w:r>
            <w:r w:rsidR="00D0065C" w:rsidRPr="00A23740">
              <w:rPr>
                <w:bCs/>
                <w:color w:val="000000"/>
                <w:szCs w:val="24"/>
                <w:lang w:eastAsia="x-none"/>
              </w:rPr>
              <w:t>üncü fıkrasında</w:t>
            </w:r>
            <w:r w:rsidR="007F2779" w:rsidRPr="00A23740">
              <w:rPr>
                <w:bCs/>
                <w:color w:val="000000"/>
                <w:szCs w:val="24"/>
                <w:lang w:eastAsia="x-none"/>
              </w:rPr>
              <w:t xml:space="preserve"> </w:t>
            </w:r>
            <w:r w:rsidR="007F2779" w:rsidRPr="00A23740">
              <w:rPr>
                <w:rFonts w:eastAsia="ヒラギノ明朝 Pro W3"/>
                <w:color w:val="000000"/>
                <w:szCs w:val="24"/>
              </w:rPr>
              <w:t>alacaklı sayısı, alacak miktarı ve alacakların çeşitliliği dikkate alınarak alacaklılar kurulunun zorunlu olarak oluşturulacağı hâller ile alacaklılar kuruluna ilişkin diğer hususlar</w:t>
            </w:r>
            <w:r w:rsidR="00E52A81" w:rsidRPr="00A23740">
              <w:rPr>
                <w:rFonts w:eastAsia="ヒラギノ明朝 Pro W3"/>
                <w:color w:val="000000"/>
                <w:szCs w:val="24"/>
              </w:rPr>
              <w:t>ın</w:t>
            </w:r>
            <w:r w:rsidR="007F2779" w:rsidRPr="00A23740">
              <w:rPr>
                <w:rFonts w:eastAsia="ヒラギノ明朝 Pro W3"/>
                <w:color w:val="000000"/>
                <w:szCs w:val="24"/>
              </w:rPr>
              <w:t xml:space="preserve"> Adalet Bakanlığınca </w:t>
            </w:r>
            <w:r w:rsidR="007F2779" w:rsidRPr="00A23740">
              <w:rPr>
                <w:bCs/>
                <w:color w:val="000000"/>
                <w:szCs w:val="24"/>
                <w:lang w:val="x-none" w:eastAsia="x-none"/>
              </w:rPr>
              <w:t>çıkarılacak</w:t>
            </w:r>
            <w:r w:rsidR="007F2779" w:rsidRPr="00A23740">
              <w:rPr>
                <w:rFonts w:eastAsia="ヒラギノ明朝 Pro W3"/>
                <w:color w:val="000000"/>
                <w:szCs w:val="24"/>
              </w:rPr>
              <w:t xml:space="preserve"> yönetmelik</w:t>
            </w:r>
            <w:r w:rsidR="007F2779" w:rsidRPr="00A23740">
              <w:rPr>
                <w:bCs/>
                <w:color w:val="000000"/>
                <w:szCs w:val="24"/>
                <w:lang w:val="x-none" w:eastAsia="x-none"/>
              </w:rPr>
              <w:t>le</w:t>
            </w:r>
            <w:r w:rsidR="007F2779" w:rsidRPr="00A23740">
              <w:rPr>
                <w:rFonts w:eastAsia="ヒラギノ明朝 Pro W3"/>
                <w:color w:val="000000"/>
                <w:szCs w:val="24"/>
              </w:rPr>
              <w:t xml:space="preserve"> gösterileceği ifade olunmuştur.</w:t>
            </w:r>
          </w:p>
          <w:p w:rsidR="005C3738" w:rsidRDefault="005C3738" w:rsidP="009A013D">
            <w:pPr>
              <w:tabs>
                <w:tab w:val="left" w:pos="567"/>
              </w:tabs>
              <w:rPr>
                <w:b/>
                <w:bCs/>
                <w:color w:val="000000"/>
                <w:szCs w:val="24"/>
                <w:lang w:eastAsia="x-none"/>
              </w:rPr>
            </w:pPr>
          </w:p>
          <w:p w:rsidR="009A013D" w:rsidRDefault="009A013D" w:rsidP="009A013D">
            <w:pPr>
              <w:tabs>
                <w:tab w:val="left" w:pos="567"/>
              </w:tabs>
              <w:rPr>
                <w:b/>
                <w:bCs/>
                <w:color w:val="000000"/>
                <w:szCs w:val="24"/>
                <w:lang w:eastAsia="x-none"/>
              </w:rPr>
            </w:pPr>
          </w:p>
          <w:p w:rsidR="009A013D" w:rsidRPr="00A23740" w:rsidRDefault="009A013D" w:rsidP="009A013D">
            <w:pPr>
              <w:tabs>
                <w:tab w:val="left" w:pos="567"/>
              </w:tabs>
              <w:rPr>
                <w:b/>
                <w:bCs/>
                <w:color w:val="000000"/>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i/>
                <w:szCs w:val="24"/>
              </w:rPr>
            </w:pPr>
            <w:r w:rsidRPr="00A23740">
              <w:rPr>
                <w:i/>
                <w:szCs w:val="24"/>
              </w:rPr>
              <w:t>Borçlunun malî durumunun düzelmesi nedeniyle kesin mühletin kaldırılması:</w:t>
            </w:r>
          </w:p>
          <w:p w:rsidR="00AA5C8C" w:rsidRPr="00A23740" w:rsidRDefault="00AA5C8C" w:rsidP="009431FF">
            <w:pPr>
              <w:widowControl w:val="0"/>
              <w:rPr>
                <w:rStyle w:val="KIRMIZIChar"/>
                <w:rFonts w:eastAsia="Calibri"/>
              </w:rPr>
            </w:pPr>
            <w:r w:rsidRPr="00A23740">
              <w:rPr>
                <w:rStyle w:val="KIRMIZIChar"/>
                <w:rFonts w:eastAsia="Calibri"/>
              </w:rPr>
              <w:t xml:space="preserve">Madde 291- (1) (Değişik: 28/2/2018-7101/19 md.) </w:t>
            </w:r>
          </w:p>
          <w:p w:rsidR="00AA5C8C" w:rsidRPr="00A23740" w:rsidRDefault="00AA5C8C" w:rsidP="009431FF">
            <w:pPr>
              <w:widowControl w:val="0"/>
              <w:rPr>
                <w:szCs w:val="24"/>
              </w:rPr>
            </w:pPr>
            <w:r w:rsidRPr="00A23740">
              <w:rPr>
                <w:szCs w:val="24"/>
              </w:rPr>
              <w:t xml:space="preserve">Konkordato talebi ile amaçlanan iyileşmenin, kesin mühletin sona ermesinden önce ger-çekleştiğinin komiserin yazılı raporuyla mahkemeye bildirilmesi üzerine mahkemece </w:t>
            </w:r>
            <w:r w:rsidRPr="00A23740">
              <w:rPr>
                <w:rStyle w:val="KIRMIZIChar"/>
                <w:rFonts w:eastAsia="Calibri"/>
              </w:rPr>
              <w:t>resen</w:t>
            </w:r>
            <w:r w:rsidRPr="00A23740">
              <w:rPr>
                <w:szCs w:val="24"/>
              </w:rPr>
              <w:t>, kesin mühlet</w:t>
            </w:r>
            <w:r w:rsidRPr="00A23740">
              <w:rPr>
                <w:rStyle w:val="AralkYokChar"/>
                <w:lang w:val="tr-TR"/>
              </w:rPr>
              <w:t>in</w:t>
            </w:r>
            <w:r w:rsidRPr="00A23740">
              <w:rPr>
                <w:szCs w:val="24"/>
              </w:rPr>
              <w:t xml:space="preserve"> kaldırılarak konkordato talebinin reddine karar verilir. Bu karar, </w:t>
            </w:r>
            <w:r w:rsidRPr="00A23740">
              <w:rPr>
                <w:rStyle w:val="KIRMIZIChar"/>
                <w:rFonts w:eastAsia="Calibri"/>
              </w:rPr>
              <w:t xml:space="preserve">288 inci </w:t>
            </w:r>
            <w:r w:rsidRPr="00A23740">
              <w:rPr>
                <w:szCs w:val="24"/>
              </w:rPr>
              <w:t>madde uyarınca ilân edilir ve ilgili yerlere bildirilir.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Mahkeme, </w:t>
            </w:r>
            <w:r w:rsidRPr="00A23740">
              <w:rPr>
                <w:rStyle w:val="KIRMIZIChar"/>
                <w:rFonts w:eastAsia="Calibri"/>
              </w:rPr>
              <w:t>bu madde kapsamında</w:t>
            </w:r>
            <w:r w:rsidRPr="00A23740">
              <w:rPr>
                <w:szCs w:val="24"/>
              </w:rPr>
              <w:t xml:space="preserve"> kesin mühletin kaldırılmasına karar vermeden önce borçlu </w:t>
            </w:r>
            <w:r w:rsidRPr="00A23740">
              <w:rPr>
                <w:rStyle w:val="KIRMIZIChar"/>
                <w:rFonts w:eastAsia="Calibri"/>
              </w:rPr>
              <w:t>ve varsa</w:t>
            </w:r>
            <w:r w:rsidRPr="00A23740">
              <w:rPr>
                <w:szCs w:val="24"/>
              </w:rPr>
              <w:t xml:space="preserve"> konkordato talep eden alacaklı ve alacaklılar kurulunu </w:t>
            </w:r>
            <w:r w:rsidRPr="00A23740">
              <w:rPr>
                <w:rStyle w:val="KIRMIZIChar"/>
                <w:rFonts w:eastAsia="Calibri"/>
              </w:rPr>
              <w:t>duruşmaya davet eder;</w:t>
            </w:r>
            <w:r w:rsidRPr="00A23740">
              <w:rPr>
                <w:szCs w:val="24"/>
              </w:rPr>
              <w:t xml:space="preserve"> diğer alacaklıları </w:t>
            </w:r>
            <w:r w:rsidRPr="002A3902">
              <w:rPr>
                <w:rStyle w:val="KIRMIZIChar"/>
                <w:rFonts w:eastAsia="Calibri"/>
              </w:rPr>
              <w:t>ise</w:t>
            </w:r>
            <w:r w:rsidRPr="00A23740">
              <w:rPr>
                <w:szCs w:val="24"/>
              </w:rPr>
              <w:t xml:space="preserve"> </w:t>
            </w:r>
            <w:r w:rsidRPr="002A3902">
              <w:rPr>
                <w:rStyle w:val="KIRMIZIChar"/>
                <w:rFonts w:eastAsia="Calibri"/>
              </w:rPr>
              <w:t>gerekli görürse</w:t>
            </w:r>
            <w:r w:rsidRPr="00A23740">
              <w:rPr>
                <w:szCs w:val="24"/>
              </w:rPr>
              <w:t xml:space="preserve"> davet eder</w:t>
            </w:r>
            <w:r w:rsidRPr="002A3902">
              <w:rPr>
                <w:rStyle w:val="KIRMIZIChar"/>
                <w:rFonts w:eastAsia="Calibri"/>
              </w:rPr>
              <w:t>.</w:t>
            </w:r>
          </w:p>
          <w:p w:rsidR="00AA5C8C" w:rsidRPr="00A23740" w:rsidRDefault="00AA5C8C" w:rsidP="009431FF">
            <w:pPr>
              <w:widowControl w:val="0"/>
              <w:rPr>
                <w:szCs w:val="24"/>
              </w:rPr>
            </w:pPr>
          </w:p>
        </w:tc>
        <w:tc>
          <w:tcPr>
            <w:tcW w:w="2500" w:type="pct"/>
          </w:tcPr>
          <w:p w:rsidR="00AA5C8C" w:rsidRPr="00A23740" w:rsidRDefault="00AA5C8C" w:rsidP="009431FF">
            <w:pPr>
              <w:widowControl w:val="0"/>
              <w:rPr>
                <w:b/>
                <w:szCs w:val="24"/>
              </w:rPr>
            </w:pPr>
            <w:r w:rsidRPr="00A23740">
              <w:rPr>
                <w:b/>
                <w:szCs w:val="24"/>
              </w:rPr>
              <w:t>Borçlunun mal</w:t>
            </w:r>
            <w:r w:rsidR="004479A2" w:rsidRPr="00A23740">
              <w:rPr>
                <w:b/>
                <w:szCs w:val="24"/>
              </w:rPr>
              <w:t>i</w:t>
            </w:r>
            <w:r w:rsidRPr="00A23740">
              <w:rPr>
                <w:b/>
                <w:szCs w:val="24"/>
              </w:rPr>
              <w:t xml:space="preserve"> durumunun </w:t>
            </w:r>
            <w:r w:rsidR="00AE37D5" w:rsidRPr="005574E2">
              <w:rPr>
                <w:rStyle w:val="MaviChar"/>
              </w:rPr>
              <w:t>iyileşmesi</w:t>
            </w:r>
            <w:r w:rsidRPr="00A23740">
              <w:rPr>
                <w:b/>
                <w:szCs w:val="24"/>
              </w:rPr>
              <w:t xml:space="preserve"> nedeniyle kesin mühletin kaldırılması</w:t>
            </w:r>
          </w:p>
          <w:p w:rsidR="00AA5C8C" w:rsidRPr="00A23740" w:rsidRDefault="003E49A5" w:rsidP="009431FF">
            <w:pPr>
              <w:widowControl w:val="0"/>
              <w:rPr>
                <w:szCs w:val="24"/>
              </w:rPr>
            </w:pPr>
            <w:r w:rsidRPr="00A23740">
              <w:rPr>
                <w:rStyle w:val="MaviChar"/>
                <w:lang w:val="tr-TR"/>
              </w:rPr>
              <w:t>MADDE 384</w:t>
            </w:r>
            <w:r w:rsidR="00AA5C8C" w:rsidRPr="00A23740">
              <w:rPr>
                <w:rStyle w:val="MaviChar"/>
                <w:lang w:val="tr-TR"/>
              </w:rPr>
              <w:t>- (1)</w:t>
            </w:r>
            <w:r w:rsidR="00AA5C8C" w:rsidRPr="00A23740">
              <w:rPr>
                <w:szCs w:val="24"/>
              </w:rPr>
              <w:t xml:space="preserve"> </w:t>
            </w:r>
            <w:r w:rsidR="00C5723E" w:rsidRPr="00A23740">
              <w:rPr>
                <w:szCs w:val="24"/>
              </w:rPr>
              <w:t xml:space="preserve">Kesin </w:t>
            </w:r>
            <w:r w:rsidR="00AA5C8C" w:rsidRPr="00A23740">
              <w:rPr>
                <w:szCs w:val="24"/>
              </w:rPr>
              <w:t>mühletin sona ermesinden</w:t>
            </w:r>
            <w:r w:rsidR="00C5723E" w:rsidRPr="00A23740">
              <w:rPr>
                <w:szCs w:val="24"/>
              </w:rPr>
              <w:t xml:space="preserve"> önce</w:t>
            </w:r>
            <w:r w:rsidR="00C5723E" w:rsidRPr="00A23740">
              <w:rPr>
                <w:rStyle w:val="YELChar"/>
              </w:rPr>
              <w:t xml:space="preserve"> </w:t>
            </w:r>
            <w:r w:rsidR="00C5723E" w:rsidRPr="005574E2">
              <w:rPr>
                <w:rStyle w:val="MaviChar"/>
              </w:rPr>
              <w:t>borçlunun mali durumun</w:t>
            </w:r>
            <w:r w:rsidR="000E41D3" w:rsidRPr="005574E2">
              <w:rPr>
                <w:rStyle w:val="MaviChar"/>
              </w:rPr>
              <w:t xml:space="preserve">un </w:t>
            </w:r>
            <w:r w:rsidR="00AE37D5" w:rsidRPr="005574E2">
              <w:rPr>
                <w:rStyle w:val="MaviChar"/>
              </w:rPr>
              <w:t>iyileştiğinin</w:t>
            </w:r>
            <w:r w:rsidR="00AA5C8C" w:rsidRPr="00A23740">
              <w:rPr>
                <w:rStyle w:val="YELChar"/>
              </w:rPr>
              <w:t xml:space="preserve"> </w:t>
            </w:r>
            <w:r w:rsidR="00AA5C8C" w:rsidRPr="00A23740">
              <w:rPr>
                <w:szCs w:val="24"/>
              </w:rPr>
              <w:t>komiserin yazılı raporuyla mahkemeye bildirilmesi üzerine mahkemece</w:t>
            </w:r>
            <w:r w:rsidR="00404327" w:rsidRPr="002A3902">
              <w:rPr>
                <w:rStyle w:val="Balk1Char"/>
                <w:rFonts w:eastAsia="Calibri"/>
              </w:rPr>
              <w:t>,</w:t>
            </w:r>
            <w:r w:rsidR="00AA5C8C" w:rsidRPr="00A23740">
              <w:rPr>
                <w:szCs w:val="24"/>
              </w:rPr>
              <w:t xml:space="preserve"> kesin mühlet kaldırılarak konkordato talebinin reddine karar verilir. Bu karar, </w:t>
            </w:r>
            <w:r w:rsidR="007F3CCE" w:rsidRPr="005574E2">
              <w:rPr>
                <w:rStyle w:val="MaviChar"/>
              </w:rPr>
              <w:t>377 nci</w:t>
            </w:r>
            <w:r w:rsidR="00AA5C8C" w:rsidRPr="00A23740">
              <w:rPr>
                <w:szCs w:val="24"/>
              </w:rPr>
              <w:t xml:space="preserve"> madde uyarınca il</w:t>
            </w:r>
            <w:r w:rsidR="00930910" w:rsidRPr="00A23740">
              <w:rPr>
                <w:szCs w:val="24"/>
              </w:rPr>
              <w:t>a</w:t>
            </w:r>
            <w:r w:rsidR="00AA5C8C" w:rsidRPr="00A23740">
              <w:rPr>
                <w:szCs w:val="24"/>
              </w:rPr>
              <w:t>n edilir ve ilgili yerlere bildirilir.</w:t>
            </w:r>
          </w:p>
          <w:p w:rsidR="00AA5C8C" w:rsidRDefault="00AA5C8C" w:rsidP="009431FF">
            <w:pPr>
              <w:widowControl w:val="0"/>
              <w:rPr>
                <w:szCs w:val="24"/>
              </w:rPr>
            </w:pPr>
          </w:p>
          <w:p w:rsidR="002A3902" w:rsidRPr="00A23740" w:rsidRDefault="002A3902" w:rsidP="009431FF">
            <w:pPr>
              <w:widowControl w:val="0"/>
              <w:rPr>
                <w:szCs w:val="24"/>
              </w:rPr>
            </w:pPr>
          </w:p>
          <w:p w:rsidR="00AA5C8C" w:rsidRPr="00A23740" w:rsidRDefault="00AA5C8C" w:rsidP="009431FF">
            <w:pPr>
              <w:widowControl w:val="0"/>
              <w:rPr>
                <w:szCs w:val="24"/>
              </w:rPr>
            </w:pPr>
            <w:r w:rsidRPr="00A23740">
              <w:rPr>
                <w:rStyle w:val="MaviChar"/>
                <w:lang w:val="tr-TR"/>
              </w:rPr>
              <w:t>(2)</w:t>
            </w:r>
            <w:r w:rsidRPr="00A23740">
              <w:rPr>
                <w:szCs w:val="24"/>
              </w:rPr>
              <w:t xml:space="preserve"> Mahkeme, kesin mühletin kaldırılmasına karar vermeden önce borçlu</w:t>
            </w:r>
            <w:r w:rsidRPr="00A23740">
              <w:rPr>
                <w:rStyle w:val="MaviChar"/>
              </w:rPr>
              <w:t xml:space="preserve">yu, </w:t>
            </w:r>
            <w:r w:rsidRPr="00A23740">
              <w:rPr>
                <w:szCs w:val="24"/>
              </w:rPr>
              <w:t xml:space="preserve">konkordato </w:t>
            </w:r>
            <w:r w:rsidRPr="00A23740">
              <w:rPr>
                <w:rStyle w:val="MaviChar"/>
              </w:rPr>
              <w:t>alacaklı tarafından talep edilmişse</w:t>
            </w:r>
            <w:r w:rsidRPr="00A23740">
              <w:rPr>
                <w:szCs w:val="24"/>
              </w:rPr>
              <w:t xml:space="preserve"> talep eden alacaklı</w:t>
            </w:r>
            <w:r w:rsidRPr="00A23740">
              <w:rPr>
                <w:rStyle w:val="MaviChar"/>
              </w:rPr>
              <w:t>yı</w:t>
            </w:r>
            <w:r w:rsidR="00587333" w:rsidRPr="005574E2">
              <w:rPr>
                <w:rStyle w:val="MaviChar"/>
              </w:rPr>
              <w:t>,</w:t>
            </w:r>
            <w:r w:rsidR="002A3902">
              <w:rPr>
                <w:szCs w:val="24"/>
              </w:rPr>
              <w:t xml:space="preserve"> </w:t>
            </w:r>
            <w:r w:rsidRPr="00A23740">
              <w:rPr>
                <w:rStyle w:val="MaviChar"/>
              </w:rPr>
              <w:t>varsa</w:t>
            </w:r>
            <w:r w:rsidRPr="00A23740">
              <w:rPr>
                <w:szCs w:val="24"/>
              </w:rPr>
              <w:t xml:space="preserve"> alacaklılar kurulunu</w:t>
            </w:r>
            <w:r w:rsidR="00D17F4D" w:rsidRPr="00A23740">
              <w:rPr>
                <w:rStyle w:val="YELChar"/>
              </w:rPr>
              <w:t xml:space="preserve"> </w:t>
            </w:r>
            <w:r w:rsidR="00D17F4D" w:rsidRPr="005574E2">
              <w:rPr>
                <w:rStyle w:val="MaviChar"/>
              </w:rPr>
              <w:t>ve gerekli görürse</w:t>
            </w:r>
            <w:r w:rsidRPr="005574E2">
              <w:rPr>
                <w:rStyle w:val="MaviChar"/>
              </w:rPr>
              <w:t xml:space="preserve"> </w:t>
            </w:r>
            <w:r w:rsidR="002A3902">
              <w:rPr>
                <w:szCs w:val="24"/>
              </w:rPr>
              <w:t xml:space="preserve">diğer alacaklıları </w:t>
            </w:r>
            <w:r w:rsidRPr="00A23740">
              <w:rPr>
                <w:rStyle w:val="MaviChar"/>
              </w:rPr>
              <w:t>duruşmaya</w:t>
            </w:r>
            <w:r w:rsidRPr="00A23740">
              <w:rPr>
                <w:szCs w:val="24"/>
              </w:rPr>
              <w:t xml:space="preserve"> davet eder</w:t>
            </w:r>
            <w:r w:rsidRPr="00A23740">
              <w:rPr>
                <w:rStyle w:val="MaviChar"/>
              </w:rPr>
              <w:t>ek dinler. Mahkeme</w:t>
            </w:r>
            <w:r w:rsidRPr="00A23740">
              <w:rPr>
                <w:rStyle w:val="MaviChar"/>
                <w:lang w:val="tr-TR"/>
              </w:rPr>
              <w:t>,</w:t>
            </w:r>
            <w:r w:rsidRPr="00A23740">
              <w:rPr>
                <w:rStyle w:val="MaviChar"/>
              </w:rPr>
              <w:t xml:space="preserve"> uygun gördüğü takdirde alacaklılar kurulundan sadece yazılı görüş alınmasına da karar verebilir. </w:t>
            </w:r>
          </w:p>
          <w:p w:rsidR="00AA5C8C" w:rsidRPr="00A23740" w:rsidRDefault="00AA5C8C" w:rsidP="009431FF">
            <w:pPr>
              <w:widowControl w:val="0"/>
              <w:rPr>
                <w:b/>
                <w:color w:val="FF0000"/>
                <w:szCs w:val="24"/>
              </w:rPr>
            </w:pPr>
          </w:p>
        </w:tc>
      </w:tr>
      <w:tr w:rsidR="005C3738" w:rsidRPr="00A23740" w:rsidTr="009431FF">
        <w:tc>
          <w:tcPr>
            <w:tcW w:w="5000" w:type="pct"/>
            <w:gridSpan w:val="2"/>
            <w:shd w:val="clear" w:color="auto" w:fill="DEEAF6"/>
          </w:tcPr>
          <w:p w:rsidR="004302BD" w:rsidRPr="00A23740" w:rsidRDefault="004302BD" w:rsidP="009431FF">
            <w:pPr>
              <w:ind w:firstLine="567"/>
              <w:rPr>
                <w:b/>
                <w:bCs/>
                <w:color w:val="000000"/>
                <w:szCs w:val="24"/>
                <w:lang w:eastAsia="x-none"/>
              </w:rPr>
            </w:pPr>
          </w:p>
          <w:p w:rsidR="007F2779" w:rsidRPr="00A23740" w:rsidRDefault="003E49A5" w:rsidP="009431FF">
            <w:pPr>
              <w:ind w:firstLine="567"/>
              <w:rPr>
                <w:color w:val="000000"/>
                <w:szCs w:val="24"/>
              </w:rPr>
            </w:pPr>
            <w:r w:rsidRPr="00A23740">
              <w:rPr>
                <w:b/>
                <w:bCs/>
                <w:color w:val="000000"/>
                <w:szCs w:val="24"/>
                <w:lang w:eastAsia="x-none"/>
              </w:rPr>
              <w:t>MADDE 384</w:t>
            </w:r>
            <w:r w:rsidR="007F2779" w:rsidRPr="00A23740">
              <w:rPr>
                <w:b/>
                <w:bCs/>
                <w:color w:val="000000"/>
                <w:szCs w:val="24"/>
                <w:lang w:eastAsia="x-none"/>
              </w:rPr>
              <w:t>-</w:t>
            </w:r>
            <w:r w:rsidR="007F2779" w:rsidRPr="00A23740">
              <w:rPr>
                <w:color w:val="000000"/>
                <w:szCs w:val="24"/>
              </w:rPr>
              <w:t xml:space="preserve"> </w:t>
            </w:r>
            <w:r w:rsidR="004302BD" w:rsidRPr="00A23740">
              <w:rPr>
                <w:color w:val="000000"/>
                <w:szCs w:val="24"/>
              </w:rPr>
              <w:t xml:space="preserve">Maddeyle, borçlunun mali durumunun </w:t>
            </w:r>
            <w:r w:rsidR="00C2173F" w:rsidRPr="005574E2">
              <w:t>iyileşmesi</w:t>
            </w:r>
            <w:r w:rsidR="004302BD" w:rsidRPr="00A23740">
              <w:rPr>
                <w:color w:val="000000"/>
                <w:szCs w:val="24"/>
              </w:rPr>
              <w:t xml:space="preserve"> nedeniyle kesin mühletin kaldırılmasına ilişkin hususlar düzenlenmektedir. </w:t>
            </w:r>
            <w:r w:rsidR="007F2779" w:rsidRPr="00A23740">
              <w:rPr>
                <w:color w:val="000000"/>
                <w:szCs w:val="24"/>
              </w:rPr>
              <w:t>Taslağın</w:t>
            </w:r>
            <w:r w:rsidR="007F3CCE" w:rsidRPr="00A23740">
              <w:rPr>
                <w:color w:val="000000"/>
                <w:szCs w:val="24"/>
              </w:rPr>
              <w:t xml:space="preserve"> </w:t>
            </w:r>
            <w:r w:rsidR="007F3CCE" w:rsidRPr="005574E2">
              <w:t>384 üncü</w:t>
            </w:r>
            <w:r w:rsidR="007F2779" w:rsidRPr="00A23740">
              <w:rPr>
                <w:color w:val="000000"/>
                <w:szCs w:val="24"/>
              </w:rPr>
              <w:t xml:space="preserve"> maddesi “Borçlunun mal</w:t>
            </w:r>
            <w:r w:rsidR="00C2173F" w:rsidRPr="00A23740">
              <w:rPr>
                <w:color w:val="000000"/>
                <w:szCs w:val="24"/>
              </w:rPr>
              <w:t>i</w:t>
            </w:r>
            <w:r w:rsidR="007F2779" w:rsidRPr="00A23740">
              <w:rPr>
                <w:color w:val="000000"/>
                <w:szCs w:val="24"/>
              </w:rPr>
              <w:t xml:space="preserve"> durumunun </w:t>
            </w:r>
            <w:r w:rsidR="00C2173F" w:rsidRPr="005574E2">
              <w:t>iyileşmesi</w:t>
            </w:r>
            <w:r w:rsidR="007F2779" w:rsidRPr="00A23740">
              <w:rPr>
                <w:color w:val="000000"/>
                <w:szCs w:val="24"/>
              </w:rPr>
              <w:t xml:space="preserve"> nedeniyle kesin mühletin kaldırılması” başlığını taşımakta olup </w:t>
            </w:r>
            <w:r w:rsidR="004302BD" w:rsidRPr="00A23740">
              <w:rPr>
                <w:color w:val="000000"/>
                <w:szCs w:val="24"/>
              </w:rPr>
              <w:t>2004 sayılı K</w:t>
            </w:r>
            <w:r w:rsidR="007F2779" w:rsidRPr="00A23740">
              <w:rPr>
                <w:color w:val="000000"/>
                <w:szCs w:val="24"/>
              </w:rPr>
              <w:t>anunun 291 inci m</w:t>
            </w:r>
            <w:r w:rsidR="004302BD" w:rsidRPr="00A23740">
              <w:rPr>
                <w:color w:val="000000"/>
                <w:szCs w:val="24"/>
              </w:rPr>
              <w:t xml:space="preserve">addesine karşılık gelmektedir. </w:t>
            </w:r>
          </w:p>
          <w:p w:rsidR="007F2779" w:rsidRPr="00A23740" w:rsidRDefault="007F2779" w:rsidP="009431FF">
            <w:pPr>
              <w:ind w:firstLine="567"/>
              <w:rPr>
                <w:color w:val="000000"/>
                <w:szCs w:val="24"/>
              </w:rPr>
            </w:pPr>
            <w:r w:rsidRPr="00A23740">
              <w:rPr>
                <w:bCs/>
                <w:color w:val="000000"/>
                <w:szCs w:val="24"/>
                <w:lang w:eastAsia="x-none"/>
              </w:rPr>
              <w:t xml:space="preserve">Maddenin </w:t>
            </w:r>
            <w:r w:rsidR="004302BD" w:rsidRPr="00A23740">
              <w:rPr>
                <w:bCs/>
                <w:color w:val="000000"/>
                <w:szCs w:val="24"/>
                <w:lang w:eastAsia="x-none"/>
              </w:rPr>
              <w:t>bir</w:t>
            </w:r>
            <w:r w:rsidRPr="00A23740">
              <w:rPr>
                <w:bCs/>
                <w:color w:val="000000"/>
                <w:szCs w:val="24"/>
                <w:lang w:eastAsia="x-none"/>
              </w:rPr>
              <w:t>inci fıkrasında</w:t>
            </w:r>
            <w:r w:rsidRPr="00A23740">
              <w:rPr>
                <w:color w:val="000000"/>
                <w:szCs w:val="24"/>
              </w:rPr>
              <w:t xml:space="preserve"> </w:t>
            </w:r>
            <w:r w:rsidR="00C2173F" w:rsidRPr="005574E2">
              <w:t>konkordato sürecinde gerçekleşen</w:t>
            </w:r>
            <w:r w:rsidRPr="00A23740">
              <w:rPr>
                <w:color w:val="000000"/>
                <w:szCs w:val="24"/>
              </w:rPr>
              <w:t xml:space="preserve"> iyileşmenin, kesin mühletin sona ermesinden önce </w:t>
            </w:r>
            <w:r w:rsidR="00C2173F" w:rsidRPr="005574E2">
              <w:t>vuku bulduğunun</w:t>
            </w:r>
            <w:r w:rsidRPr="00A23740">
              <w:rPr>
                <w:color w:val="000000"/>
                <w:szCs w:val="24"/>
              </w:rPr>
              <w:t xml:space="preserve"> komiserin yazılı raporuyla mahkemeye bildirilmesi üzerine mahkemece, kesin mühlet kaldırılarak konkordato talebinin reddine karar verileceği ve bu kararın, </w:t>
            </w:r>
            <w:r w:rsidR="007F3CCE" w:rsidRPr="005574E2">
              <w:t>377 nci</w:t>
            </w:r>
            <w:r w:rsidR="007F3CCE" w:rsidRPr="00A23740">
              <w:rPr>
                <w:rFonts w:eastAsia="Times New Roman"/>
                <w:szCs w:val="24"/>
                <w:lang w:eastAsia="tr-TR"/>
              </w:rPr>
              <w:t xml:space="preserve"> </w:t>
            </w:r>
            <w:r w:rsidRPr="00A23740">
              <w:rPr>
                <w:color w:val="000000"/>
                <w:szCs w:val="24"/>
              </w:rPr>
              <w:t>madde uyarınca il</w:t>
            </w:r>
            <w:r w:rsidR="00930910" w:rsidRPr="00A23740">
              <w:rPr>
                <w:color w:val="000000"/>
                <w:szCs w:val="24"/>
              </w:rPr>
              <w:t>a</w:t>
            </w:r>
            <w:r w:rsidRPr="00A23740">
              <w:rPr>
                <w:color w:val="000000"/>
                <w:szCs w:val="24"/>
              </w:rPr>
              <w:t>n edilip ilgili yerle</w:t>
            </w:r>
            <w:r w:rsidR="004302BD" w:rsidRPr="00A23740">
              <w:rPr>
                <w:color w:val="000000"/>
                <w:szCs w:val="24"/>
              </w:rPr>
              <w:t>re bildirileceği öngörülmüştür.</w:t>
            </w:r>
          </w:p>
          <w:p w:rsidR="007F2779" w:rsidRPr="00A23740" w:rsidRDefault="007F2779" w:rsidP="009431FF">
            <w:pPr>
              <w:tabs>
                <w:tab w:val="left" w:pos="567"/>
              </w:tabs>
              <w:ind w:firstLine="567"/>
              <w:rPr>
                <w:bCs/>
                <w:color w:val="000000"/>
                <w:szCs w:val="24"/>
                <w:lang w:eastAsia="x-none"/>
              </w:rPr>
            </w:pPr>
            <w:r w:rsidRPr="00A23740">
              <w:rPr>
                <w:bCs/>
                <w:color w:val="000000"/>
                <w:szCs w:val="24"/>
                <w:lang w:val="x-none" w:eastAsia="x-none"/>
              </w:rPr>
              <w:t xml:space="preserve">Maddenin </w:t>
            </w:r>
            <w:r w:rsidR="004302BD" w:rsidRPr="00A23740">
              <w:rPr>
                <w:bCs/>
                <w:color w:val="000000"/>
                <w:szCs w:val="24"/>
                <w:lang w:eastAsia="x-none"/>
              </w:rPr>
              <w:t>iki</w:t>
            </w:r>
            <w:r w:rsidRPr="00A23740">
              <w:rPr>
                <w:bCs/>
                <w:color w:val="000000"/>
                <w:szCs w:val="24"/>
                <w:lang w:val="x-none" w:eastAsia="x-none"/>
              </w:rPr>
              <w:t xml:space="preserve">nci fıkrasında </w:t>
            </w:r>
            <w:r w:rsidRPr="00A23740">
              <w:rPr>
                <w:color w:val="000000"/>
                <w:szCs w:val="24"/>
              </w:rPr>
              <w:t xml:space="preserve">mahkemenin, </w:t>
            </w:r>
            <w:r w:rsidR="00E52A81" w:rsidRPr="00A23740">
              <w:rPr>
                <w:color w:val="000000"/>
                <w:szCs w:val="24"/>
              </w:rPr>
              <w:t xml:space="preserve">mali durumun düzelmesi nedeniyle </w:t>
            </w:r>
            <w:r w:rsidRPr="00A23740">
              <w:rPr>
                <w:color w:val="000000"/>
                <w:szCs w:val="24"/>
              </w:rPr>
              <w:t>kesin mühletin kaldırılmasına karar vermeden önce borçlu</w:t>
            </w:r>
            <w:r w:rsidRPr="00A23740">
              <w:rPr>
                <w:bCs/>
                <w:color w:val="000000"/>
                <w:szCs w:val="24"/>
                <w:lang w:val="x-none" w:eastAsia="x-none"/>
              </w:rPr>
              <w:t xml:space="preserve">yu, </w:t>
            </w:r>
            <w:r w:rsidRPr="00A23740">
              <w:rPr>
                <w:color w:val="000000"/>
                <w:szCs w:val="24"/>
              </w:rPr>
              <w:t xml:space="preserve">konkordato </w:t>
            </w:r>
            <w:r w:rsidRPr="00A23740">
              <w:rPr>
                <w:bCs/>
                <w:color w:val="000000"/>
                <w:szCs w:val="24"/>
                <w:lang w:val="x-none" w:eastAsia="x-none"/>
              </w:rPr>
              <w:t>alacaklı tarafından talep edilmişse</w:t>
            </w:r>
            <w:r w:rsidRPr="00A23740">
              <w:rPr>
                <w:color w:val="000000"/>
                <w:szCs w:val="24"/>
              </w:rPr>
              <w:t xml:space="preserve"> talep eden alacaklı</w:t>
            </w:r>
            <w:r w:rsidRPr="00A23740">
              <w:rPr>
                <w:bCs/>
                <w:color w:val="000000"/>
                <w:szCs w:val="24"/>
                <w:lang w:val="x-none" w:eastAsia="x-none"/>
              </w:rPr>
              <w:t>yı</w:t>
            </w:r>
            <w:r w:rsidRPr="00A23740">
              <w:rPr>
                <w:color w:val="000000"/>
                <w:szCs w:val="24"/>
              </w:rPr>
              <w:t xml:space="preserve"> ve </w:t>
            </w:r>
            <w:r w:rsidRPr="00A23740">
              <w:rPr>
                <w:bCs/>
                <w:color w:val="000000"/>
                <w:szCs w:val="24"/>
                <w:lang w:val="x-none" w:eastAsia="x-none"/>
              </w:rPr>
              <w:t>varsa</w:t>
            </w:r>
            <w:r w:rsidRPr="00A23740">
              <w:rPr>
                <w:color w:val="000000"/>
                <w:szCs w:val="24"/>
              </w:rPr>
              <w:t xml:space="preserve"> alacaklılar kurulunu</w:t>
            </w:r>
            <w:r w:rsidRPr="00A23740">
              <w:rPr>
                <w:bCs/>
                <w:color w:val="000000"/>
                <w:szCs w:val="24"/>
                <w:lang w:val="x-none" w:eastAsia="x-none"/>
              </w:rPr>
              <w:t>;</w:t>
            </w:r>
            <w:r w:rsidRPr="00A23740">
              <w:rPr>
                <w:color w:val="000000"/>
                <w:szCs w:val="24"/>
              </w:rPr>
              <w:t xml:space="preserve"> diğer alacaklıları ise gerekli görürse </w:t>
            </w:r>
            <w:r w:rsidRPr="00A23740">
              <w:rPr>
                <w:bCs/>
                <w:color w:val="000000"/>
                <w:szCs w:val="24"/>
                <w:lang w:val="x-none" w:eastAsia="x-none"/>
              </w:rPr>
              <w:t>duruşmaya</w:t>
            </w:r>
            <w:r w:rsidRPr="00A23740">
              <w:rPr>
                <w:color w:val="000000"/>
                <w:szCs w:val="24"/>
              </w:rPr>
              <w:t xml:space="preserve"> davet eder</w:t>
            </w:r>
            <w:r w:rsidRPr="00A23740">
              <w:rPr>
                <w:bCs/>
                <w:color w:val="000000"/>
                <w:szCs w:val="24"/>
                <w:lang w:val="x-none" w:eastAsia="x-none"/>
              </w:rPr>
              <w:t>ek dinle</w:t>
            </w:r>
            <w:r w:rsidRPr="00A23740">
              <w:rPr>
                <w:bCs/>
                <w:color w:val="000000"/>
                <w:szCs w:val="24"/>
                <w:lang w:eastAsia="x-none"/>
              </w:rPr>
              <w:t xml:space="preserve">yeceği; </w:t>
            </w:r>
            <w:r w:rsidRPr="00A23740">
              <w:rPr>
                <w:bCs/>
                <w:color w:val="000000"/>
                <w:szCs w:val="24"/>
                <w:lang w:val="x-none" w:eastAsia="x-none"/>
              </w:rPr>
              <w:t>uygun gördüğü takdirde alacaklılar kurulundan sadece yazılı görüş alınmasına da karar verebil</w:t>
            </w:r>
            <w:r w:rsidRPr="00A23740">
              <w:rPr>
                <w:bCs/>
                <w:color w:val="000000"/>
                <w:szCs w:val="24"/>
                <w:lang w:eastAsia="x-none"/>
              </w:rPr>
              <w:t>eceği belirtilmişt</w:t>
            </w:r>
            <w:r w:rsidRPr="00A23740">
              <w:rPr>
                <w:bCs/>
                <w:color w:val="000000"/>
                <w:szCs w:val="24"/>
                <w:lang w:val="x-none" w:eastAsia="x-none"/>
              </w:rPr>
              <w:t>ir.</w:t>
            </w:r>
          </w:p>
          <w:p w:rsidR="005C3738" w:rsidRPr="00A23740" w:rsidRDefault="005C3738" w:rsidP="009A013D">
            <w:pPr>
              <w:tabs>
                <w:tab w:val="left" w:pos="567"/>
              </w:tabs>
              <w:rPr>
                <w:b/>
                <w:bCs/>
                <w:color w:val="000000"/>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i/>
                <w:szCs w:val="24"/>
              </w:rPr>
            </w:pPr>
            <w:r w:rsidRPr="00A23740">
              <w:rPr>
                <w:i/>
                <w:szCs w:val="24"/>
              </w:rPr>
              <w:t>Kesin mühlet içinde konkordato talebinin reddi ile iflâsın açılması</w:t>
            </w:r>
            <w:r w:rsidRPr="00A23740">
              <w:rPr>
                <w:rStyle w:val="KIRMIZIChar"/>
                <w:rFonts w:eastAsia="Calibri"/>
              </w:rPr>
              <w:t>:</w:t>
            </w:r>
          </w:p>
          <w:p w:rsidR="00AA5C8C" w:rsidRPr="00A23740" w:rsidRDefault="00AA5C8C" w:rsidP="009431FF">
            <w:pPr>
              <w:widowControl w:val="0"/>
              <w:rPr>
                <w:b/>
                <w:szCs w:val="24"/>
              </w:rPr>
            </w:pPr>
            <w:r w:rsidRPr="00A23740">
              <w:rPr>
                <w:rStyle w:val="KIRMIZIChar"/>
                <w:rFonts w:eastAsia="Calibri"/>
              </w:rPr>
              <w:t>Madde 292- (1) (Değişik: 28/2/2018-7101/20 md.)</w:t>
            </w:r>
          </w:p>
          <w:p w:rsidR="00AA5C8C" w:rsidRPr="00A23740" w:rsidRDefault="00AA5C8C" w:rsidP="009431FF">
            <w:pPr>
              <w:widowControl w:val="0"/>
              <w:rPr>
                <w:szCs w:val="24"/>
              </w:rPr>
            </w:pPr>
            <w:r w:rsidRPr="00A23740">
              <w:rPr>
                <w:szCs w:val="24"/>
              </w:rPr>
              <w:t>İflâsa tabi borçlu bakımından, kesin mühletin verilmesinden sonra aşağıdaki durumların gerçekleşmesi hâlinde komiserin yazılı raporu üzerine mahkeme kesin mühleti kaldırarak konkordato talebinin reddine ve borçlunun iflâsına resen karar verir: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szCs w:val="24"/>
              </w:rPr>
              <w:t>a) Borçlunun malvarlığının korunması için iflâsın açılması gerekiyorsa.</w:t>
            </w:r>
          </w:p>
          <w:p w:rsidR="00AA5C8C" w:rsidRPr="00A23740" w:rsidRDefault="00AA5C8C" w:rsidP="009431FF">
            <w:pPr>
              <w:widowControl w:val="0"/>
              <w:rPr>
                <w:b/>
                <w:strike/>
                <w:color w:val="FF0000"/>
                <w:szCs w:val="24"/>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b) Konkordatonun başarıya ulaşamayacağı anlaşılıyorsa.</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szCs w:val="24"/>
              </w:rPr>
            </w:pPr>
            <w:r w:rsidRPr="00A23740">
              <w:rPr>
                <w:szCs w:val="24"/>
              </w:rPr>
              <w:t>c) Borçlu</w:t>
            </w:r>
            <w:r w:rsidRPr="002A3902">
              <w:rPr>
                <w:rStyle w:val="KIRMIZIChar"/>
                <w:rFonts w:eastAsia="Calibri"/>
              </w:rPr>
              <w:t xml:space="preserve">, 297 </w:t>
            </w:r>
            <w:r w:rsidRPr="00A23740">
              <w:rPr>
                <w:rStyle w:val="KIRMIZIChar"/>
                <w:rFonts w:eastAsia="Calibri"/>
              </w:rPr>
              <w:t>nci</w:t>
            </w:r>
            <w:r w:rsidRPr="00A23740">
              <w:rPr>
                <w:szCs w:val="24"/>
              </w:rPr>
              <w:t xml:space="preserve"> maddeye aykırı </w:t>
            </w:r>
            <w:r w:rsidRPr="002A3902">
              <w:rPr>
                <w:rStyle w:val="KIRMIZIChar"/>
                <w:rFonts w:eastAsia="Calibri"/>
              </w:rPr>
              <w:t>davranır</w:t>
            </w:r>
            <w:r w:rsidRPr="00A23740">
              <w:rPr>
                <w:szCs w:val="24"/>
              </w:rPr>
              <w:t xml:space="preserve"> veya komiserin talimatlarına uymazsa ya da </w:t>
            </w:r>
            <w:r w:rsidRPr="002A3902">
              <w:rPr>
                <w:rStyle w:val="KIRMIZIChar"/>
                <w:rFonts w:eastAsia="Calibri"/>
              </w:rPr>
              <w:t>borçlunun</w:t>
            </w:r>
            <w:r w:rsidRPr="00A23740">
              <w:rPr>
                <w:szCs w:val="24"/>
              </w:rPr>
              <w:t xml:space="preserve"> alacaklıları zarara uğratma amacıyla hareket ettiği </w:t>
            </w:r>
            <w:r w:rsidRPr="002A3902">
              <w:rPr>
                <w:rStyle w:val="KIRMIZIChar"/>
                <w:rFonts w:eastAsia="Calibri"/>
              </w:rPr>
              <w:t>anlaşılıyorsa.</w:t>
            </w:r>
          </w:p>
          <w:p w:rsidR="00943D4A" w:rsidRPr="00A23740" w:rsidRDefault="00943D4A" w:rsidP="009431FF">
            <w:pPr>
              <w:widowControl w:val="0"/>
              <w:rPr>
                <w:rFonts w:eastAsia="Times New Roman"/>
                <w:b/>
                <w:strike/>
                <w:color w:val="FF0000"/>
                <w:szCs w:val="24"/>
                <w:lang w:eastAsia="tr-TR"/>
              </w:rPr>
            </w:pPr>
          </w:p>
          <w:p w:rsidR="00AA5C8C" w:rsidRPr="00A23740" w:rsidRDefault="00AA5C8C" w:rsidP="009431FF">
            <w:pPr>
              <w:widowControl w:val="0"/>
              <w:rPr>
                <w:szCs w:val="24"/>
              </w:rPr>
            </w:pPr>
            <w:r w:rsidRPr="00A23740">
              <w:rPr>
                <w:rFonts w:eastAsia="Times New Roman"/>
                <w:b/>
                <w:strike/>
                <w:color w:val="FF0000"/>
                <w:szCs w:val="24"/>
                <w:lang w:eastAsia="tr-TR"/>
              </w:rPr>
              <w:t>d)</w:t>
            </w:r>
            <w:r w:rsidRPr="00A23740">
              <w:rPr>
                <w:szCs w:val="24"/>
              </w:rPr>
              <w:t xml:space="preserve"> Borca batık olduğu anlaşılan bir sermaye şirketi veya kooperatif, konkordato talebinden feragat ederse.</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İflâsa tabi olmayan borçlu bakımından ise birinci fıkranın (b) ve (c) bentlerindeki </w:t>
            </w:r>
            <w:r w:rsidRPr="00522E41">
              <w:rPr>
                <w:rStyle w:val="KIRMIZIChar"/>
                <w:rFonts w:eastAsia="Calibri"/>
              </w:rPr>
              <w:t>hâllerin</w:t>
            </w:r>
            <w:r w:rsidRPr="00A23740">
              <w:rPr>
                <w:szCs w:val="24"/>
              </w:rPr>
              <w:t xml:space="preserve"> kesin mühletin verilmesinden sonra gerçekleşmesi durumunda, komiserin yazılı raporu üzerine mahkeme kesin mühleti kaldırarak konkordato talebinin reddine </w:t>
            </w:r>
            <w:r w:rsidRPr="00A23740">
              <w:rPr>
                <w:rStyle w:val="KIRMIZIChar"/>
                <w:rFonts w:eastAsia="Calibri"/>
              </w:rPr>
              <w:t>resen</w:t>
            </w:r>
            <w:r w:rsidRPr="00A23740">
              <w:rPr>
                <w:szCs w:val="24"/>
              </w:rPr>
              <w:t xml:space="preserve"> karar verir.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(3)</w:t>
            </w:r>
            <w:r w:rsidRPr="00A23740">
              <w:rPr>
                <w:szCs w:val="24"/>
              </w:rPr>
              <w:t xml:space="preserve"> Mahkeme, </w:t>
            </w:r>
            <w:r w:rsidRPr="00A23740">
              <w:rPr>
                <w:rStyle w:val="KIRMIZIChar"/>
                <w:rFonts w:eastAsia="Calibri"/>
              </w:rPr>
              <w:t>bu madde uyarınca</w:t>
            </w:r>
            <w:r w:rsidRPr="00A23740">
              <w:rPr>
                <w:szCs w:val="24"/>
              </w:rPr>
              <w:t xml:space="preserve"> karar vermeden önce borçlu </w:t>
            </w:r>
            <w:r w:rsidRPr="00A23740">
              <w:rPr>
                <w:rStyle w:val="KIRMIZIChar"/>
                <w:rFonts w:eastAsia="Calibri"/>
              </w:rPr>
              <w:t>ve varsa</w:t>
            </w:r>
            <w:r w:rsidRPr="00A23740">
              <w:rPr>
                <w:szCs w:val="24"/>
              </w:rPr>
              <w:t xml:space="preserve"> konkordato talep eden alacaklı </w:t>
            </w:r>
            <w:r w:rsidRPr="002A3902">
              <w:rPr>
                <w:rStyle w:val="KIRMIZIChar"/>
                <w:rFonts w:eastAsia="Calibri"/>
              </w:rPr>
              <w:t>ve</w:t>
            </w:r>
            <w:r w:rsidRPr="00A23740">
              <w:rPr>
                <w:szCs w:val="24"/>
              </w:rPr>
              <w:t xml:space="preserve"> alacaklılar kurulunu </w:t>
            </w:r>
            <w:r w:rsidRPr="00A23740">
              <w:rPr>
                <w:rStyle w:val="KIRMIZIChar"/>
                <w:rFonts w:eastAsia="Calibri"/>
              </w:rPr>
              <w:t>duruşmaya davet eder;</w:t>
            </w:r>
            <w:r w:rsidRPr="00A23740">
              <w:rPr>
                <w:szCs w:val="24"/>
              </w:rPr>
              <w:t xml:space="preserve"> diğer alacaklıları ise </w:t>
            </w:r>
            <w:r w:rsidRPr="002A3902">
              <w:rPr>
                <w:rStyle w:val="KIRMIZIChar"/>
                <w:rFonts w:eastAsia="Calibri"/>
              </w:rPr>
              <w:t>gerekli görürse</w:t>
            </w:r>
            <w:r w:rsidRPr="00A23740">
              <w:rPr>
                <w:szCs w:val="24"/>
              </w:rPr>
              <w:t xml:space="preserve"> davet eder</w:t>
            </w:r>
            <w:r w:rsidRPr="00A23740">
              <w:rPr>
                <w:rStyle w:val="KIRMIZIChar"/>
                <w:rFonts w:eastAsia="Calibri"/>
              </w:rPr>
              <w:t>.</w:t>
            </w:r>
            <w:r w:rsidRPr="00A23740">
              <w:rPr>
                <w:szCs w:val="24"/>
              </w:rPr>
              <w:t xml:space="preserve">  </w:t>
            </w:r>
          </w:p>
          <w:p w:rsidR="00AA5C8C" w:rsidRPr="00A23740" w:rsidRDefault="00AA5C8C" w:rsidP="009431FF">
            <w:pPr>
              <w:widowControl w:val="0"/>
              <w:rPr>
                <w:i/>
                <w:szCs w:val="24"/>
              </w:rPr>
            </w:pPr>
          </w:p>
        </w:tc>
        <w:tc>
          <w:tcPr>
            <w:tcW w:w="2500" w:type="pct"/>
          </w:tcPr>
          <w:p w:rsidR="00AA5C8C" w:rsidRPr="00A23740" w:rsidRDefault="00AA5C8C" w:rsidP="009431FF">
            <w:pPr>
              <w:widowControl w:val="0"/>
              <w:rPr>
                <w:b/>
                <w:szCs w:val="24"/>
              </w:rPr>
            </w:pPr>
            <w:r w:rsidRPr="00A23740">
              <w:rPr>
                <w:b/>
                <w:szCs w:val="24"/>
              </w:rPr>
              <w:t xml:space="preserve">Kesin mühlet içinde konkordato talebinin reddi </w:t>
            </w:r>
            <w:r w:rsidR="003D5E5E" w:rsidRPr="005574E2">
              <w:rPr>
                <w:rStyle w:val="MaviChar"/>
              </w:rPr>
              <w:t>ve</w:t>
            </w:r>
            <w:r w:rsidRPr="00A23740">
              <w:rPr>
                <w:b/>
                <w:szCs w:val="24"/>
              </w:rPr>
              <w:t xml:space="preserve"> ifl</w:t>
            </w:r>
            <w:r w:rsidR="00AD5BF6" w:rsidRPr="00A23740">
              <w:rPr>
                <w:b/>
                <w:szCs w:val="24"/>
              </w:rPr>
              <w:t>a</w:t>
            </w:r>
            <w:r w:rsidRPr="00A23740">
              <w:rPr>
                <w:b/>
                <w:szCs w:val="24"/>
              </w:rPr>
              <w:t>sın açılması</w:t>
            </w:r>
          </w:p>
          <w:p w:rsidR="00AA5C8C" w:rsidRPr="00A23740" w:rsidRDefault="003E49A5" w:rsidP="009431FF">
            <w:pPr>
              <w:widowControl w:val="0"/>
              <w:rPr>
                <w:szCs w:val="24"/>
              </w:rPr>
            </w:pPr>
            <w:r w:rsidRPr="00A23740">
              <w:rPr>
                <w:rStyle w:val="MaviChar"/>
                <w:lang w:val="tr-TR"/>
              </w:rPr>
              <w:t>MADDE 385</w:t>
            </w:r>
            <w:r w:rsidR="00AA5C8C" w:rsidRPr="00A23740">
              <w:rPr>
                <w:rStyle w:val="MaviChar"/>
                <w:lang w:val="tr-TR"/>
              </w:rPr>
              <w:t>- (1)</w:t>
            </w:r>
            <w:r w:rsidR="00AA5C8C" w:rsidRPr="00A23740">
              <w:rPr>
                <w:szCs w:val="24"/>
              </w:rPr>
              <w:t xml:space="preserve"> İfl</w:t>
            </w:r>
            <w:r w:rsidR="00AD5BF6" w:rsidRPr="00A23740">
              <w:rPr>
                <w:szCs w:val="24"/>
              </w:rPr>
              <w:t>a</w:t>
            </w:r>
            <w:r w:rsidR="00AA5C8C" w:rsidRPr="00A23740">
              <w:rPr>
                <w:szCs w:val="24"/>
              </w:rPr>
              <w:t>sa tabi borçlu bakımından, kesin mühletin verilmesinden sonra aşağıdaki durumların gerçekleşmesi hâlinde komiserin yazılı raporu üzerine mahkeme kesin mühleti kaldırarak konkordato talebinin reddine ve borçlunun ifl</w:t>
            </w:r>
            <w:r w:rsidR="00AD5BF6" w:rsidRPr="00A23740">
              <w:rPr>
                <w:szCs w:val="24"/>
              </w:rPr>
              <w:t>a</w:t>
            </w:r>
            <w:r w:rsidR="00AA5C8C" w:rsidRPr="00A23740">
              <w:rPr>
                <w:szCs w:val="24"/>
              </w:rPr>
              <w:t>sına resen karar verir:</w:t>
            </w:r>
          </w:p>
          <w:p w:rsidR="00AA5C8C" w:rsidRDefault="00AA5C8C" w:rsidP="009431FF">
            <w:pPr>
              <w:widowControl w:val="0"/>
              <w:rPr>
                <w:b/>
                <w:color w:val="FF0000"/>
                <w:szCs w:val="24"/>
              </w:rPr>
            </w:pPr>
          </w:p>
          <w:p w:rsidR="002A3902" w:rsidRPr="00A23740" w:rsidRDefault="002A3902" w:rsidP="009431FF">
            <w:pPr>
              <w:widowControl w:val="0"/>
              <w:rPr>
                <w:b/>
                <w:color w:val="FF0000"/>
                <w:szCs w:val="24"/>
              </w:rPr>
            </w:pPr>
          </w:p>
          <w:p w:rsidR="00AA5C8C" w:rsidRPr="00A23740" w:rsidRDefault="00AA5C8C" w:rsidP="009431FF">
            <w:pPr>
              <w:widowControl w:val="0"/>
              <w:rPr>
                <w:szCs w:val="24"/>
              </w:rPr>
            </w:pPr>
            <w:r w:rsidRPr="00A23740">
              <w:rPr>
                <w:szCs w:val="24"/>
              </w:rPr>
              <w:t>a) Borçlunun malvarlığının korunması için ifl</w:t>
            </w:r>
            <w:r w:rsidR="00AD5BF6" w:rsidRPr="00A23740">
              <w:rPr>
                <w:szCs w:val="24"/>
              </w:rPr>
              <w:t>a</w:t>
            </w:r>
            <w:r w:rsidRPr="00A23740">
              <w:rPr>
                <w:szCs w:val="24"/>
              </w:rPr>
              <w:t>sın açılması gerekiyorsa.</w:t>
            </w:r>
          </w:p>
          <w:p w:rsidR="00AA5C8C" w:rsidRPr="00A23740" w:rsidRDefault="00AA5C8C" w:rsidP="009431FF">
            <w:pPr>
              <w:widowControl w:val="0"/>
              <w:rPr>
                <w:b/>
                <w:color w:val="FF0000"/>
                <w:szCs w:val="24"/>
              </w:rPr>
            </w:pPr>
          </w:p>
          <w:p w:rsidR="00AA5C8C" w:rsidRPr="00A23740" w:rsidRDefault="00AA5C8C" w:rsidP="009431FF">
            <w:pPr>
              <w:widowControl w:val="0"/>
              <w:rPr>
                <w:b/>
                <w:color w:val="FF0000"/>
                <w:szCs w:val="24"/>
              </w:rPr>
            </w:pPr>
            <w:r w:rsidRPr="00A23740">
              <w:rPr>
                <w:rFonts w:eastAsia="Times New Roman"/>
                <w:szCs w:val="24"/>
                <w:lang w:eastAsia="tr-TR"/>
              </w:rPr>
              <w:t>b) Konkordatonun başarıya ulaşamayacağı anlaşılıyorsa.</w:t>
            </w:r>
          </w:p>
          <w:p w:rsidR="00AA5C8C" w:rsidRPr="00A23740" w:rsidRDefault="00AA5C8C" w:rsidP="009431FF">
            <w:pPr>
              <w:widowControl w:val="0"/>
              <w:rPr>
                <w:b/>
                <w:szCs w:val="24"/>
              </w:rPr>
            </w:pPr>
          </w:p>
          <w:p w:rsidR="00AA5C8C" w:rsidRPr="002A3902" w:rsidRDefault="00AA5C8C" w:rsidP="009431FF">
            <w:pPr>
              <w:widowControl w:val="0"/>
              <w:rPr>
                <w:szCs w:val="24"/>
              </w:rPr>
            </w:pPr>
            <w:r w:rsidRPr="00A23740">
              <w:rPr>
                <w:szCs w:val="24"/>
              </w:rPr>
              <w:t xml:space="preserve">c) </w:t>
            </w:r>
            <w:r w:rsidR="00943D4A" w:rsidRPr="002A3902">
              <w:rPr>
                <w:rStyle w:val="MaviChar"/>
                <w:b w:val="0"/>
                <w:color w:val="000000" w:themeColor="text1"/>
              </w:rPr>
              <w:t>Borçlu</w:t>
            </w:r>
            <w:r w:rsidR="00943D4A" w:rsidRPr="005574E2">
              <w:rPr>
                <w:rStyle w:val="MaviChar"/>
              </w:rPr>
              <w:t>nun</w:t>
            </w:r>
            <w:r w:rsidRPr="005574E2">
              <w:rPr>
                <w:rStyle w:val="MaviChar"/>
              </w:rPr>
              <w:t>,</w:t>
            </w:r>
            <w:r w:rsidR="00943D4A" w:rsidRPr="005574E2">
              <w:rPr>
                <w:rStyle w:val="MaviChar"/>
              </w:rPr>
              <w:t xml:space="preserve"> kesin mühletin borçlu bakımından sonuçları hakkındaki</w:t>
            </w:r>
            <w:r w:rsidRPr="005574E2">
              <w:rPr>
                <w:rStyle w:val="MaviChar"/>
              </w:rPr>
              <w:t xml:space="preserve"> </w:t>
            </w:r>
            <w:r w:rsidRPr="00A23740">
              <w:rPr>
                <w:rStyle w:val="MaviChar"/>
              </w:rPr>
              <w:t>38</w:t>
            </w:r>
            <w:r w:rsidR="00943D4A" w:rsidRPr="00A23740">
              <w:rPr>
                <w:rStyle w:val="MaviChar"/>
                <w:lang w:val="tr-TR"/>
              </w:rPr>
              <w:t>9</w:t>
            </w:r>
            <w:r w:rsidRPr="00A23740">
              <w:rPr>
                <w:rStyle w:val="MaviChar"/>
              </w:rPr>
              <w:t xml:space="preserve"> </w:t>
            </w:r>
            <w:r w:rsidR="00943D4A" w:rsidRPr="00A23740">
              <w:rPr>
                <w:rStyle w:val="MaviChar"/>
                <w:lang w:val="tr-TR"/>
              </w:rPr>
              <w:t>uncu</w:t>
            </w:r>
            <w:r w:rsidRPr="00A23740">
              <w:rPr>
                <w:rStyle w:val="MaviChar"/>
              </w:rPr>
              <w:t xml:space="preserve"> </w:t>
            </w:r>
            <w:r w:rsidRPr="00A23740">
              <w:rPr>
                <w:szCs w:val="24"/>
              </w:rPr>
              <w:t xml:space="preserve">maddeye aykırı </w:t>
            </w:r>
            <w:r w:rsidR="00943D4A" w:rsidRPr="005574E2">
              <w:rPr>
                <w:rStyle w:val="MaviChar"/>
              </w:rPr>
              <w:t>davrandığı</w:t>
            </w:r>
            <w:r w:rsidRPr="00A23740">
              <w:rPr>
                <w:szCs w:val="24"/>
              </w:rPr>
              <w:t xml:space="preserve"> veya komiserin talimatlarına </w:t>
            </w:r>
            <w:r w:rsidR="00943D4A" w:rsidRPr="005574E2">
              <w:rPr>
                <w:rStyle w:val="MaviChar"/>
              </w:rPr>
              <w:t>uymadığı</w:t>
            </w:r>
            <w:r w:rsidRPr="00A23740">
              <w:rPr>
                <w:szCs w:val="24"/>
              </w:rPr>
              <w:t xml:space="preserve"> ya da alacaklıları zarara uğratma amacıyla hareket ettiği </w:t>
            </w:r>
            <w:r w:rsidR="000A587C" w:rsidRPr="005574E2">
              <w:rPr>
                <w:rStyle w:val="MaviChar"/>
              </w:rPr>
              <w:t>anlaşılırsa</w:t>
            </w:r>
            <w:r w:rsidR="002A3902" w:rsidRPr="002A3902">
              <w:rPr>
                <w:rStyle w:val="Balk1Char"/>
                <w:rFonts w:eastAsia="Calibri"/>
              </w:rPr>
              <w:t>.</w:t>
            </w:r>
          </w:p>
          <w:p w:rsidR="00AA5C8C" w:rsidRPr="00A23740" w:rsidRDefault="00AA5C8C" w:rsidP="009431FF">
            <w:pPr>
              <w:widowControl w:val="0"/>
              <w:rPr>
                <w:szCs w:val="24"/>
              </w:rPr>
            </w:pPr>
            <w:r w:rsidRPr="00A23740">
              <w:rPr>
                <w:rStyle w:val="MaviChar"/>
                <w:lang w:val="tr-TR"/>
              </w:rPr>
              <w:t>ç)</w:t>
            </w:r>
            <w:r w:rsidRPr="00A23740">
              <w:rPr>
                <w:szCs w:val="24"/>
              </w:rPr>
              <w:t xml:space="preserve"> Borca batık olduğu anlaşılan bir sermaye şirketi veya kooperatif, konkordato talebinden feragat ederse. </w:t>
            </w:r>
          </w:p>
          <w:p w:rsidR="00AA5C8C" w:rsidRPr="00A23740" w:rsidRDefault="00AA5C8C" w:rsidP="009431FF">
            <w:pPr>
              <w:widowControl w:val="0"/>
              <w:rPr>
                <w:szCs w:val="24"/>
              </w:rPr>
            </w:pPr>
          </w:p>
          <w:p w:rsidR="00AA5C8C" w:rsidRPr="00A23740" w:rsidRDefault="00AA5C8C" w:rsidP="009431FF">
            <w:pPr>
              <w:pStyle w:val="AralkYok"/>
              <w:widowControl w:val="0"/>
              <w:ind w:firstLine="0"/>
              <w:rPr>
                <w:b w:val="0"/>
                <w:strike w:val="0"/>
                <w:color w:val="auto"/>
                <w:szCs w:val="24"/>
                <w:lang w:val="tr-TR"/>
              </w:rPr>
            </w:pPr>
            <w:r w:rsidRPr="00A23740">
              <w:rPr>
                <w:rStyle w:val="MaviChar"/>
                <w:b/>
                <w:strike w:val="0"/>
                <w:lang w:val="tr-TR"/>
              </w:rPr>
              <w:t>(2)</w:t>
            </w:r>
            <w:r w:rsidRPr="00A23740">
              <w:rPr>
                <w:strike w:val="0"/>
                <w:lang w:val="tr-TR"/>
              </w:rPr>
              <w:t xml:space="preserve"> </w:t>
            </w:r>
            <w:r w:rsidRPr="00A23740">
              <w:rPr>
                <w:b w:val="0"/>
                <w:strike w:val="0"/>
                <w:color w:val="auto"/>
                <w:szCs w:val="24"/>
                <w:lang w:val="tr-TR"/>
              </w:rPr>
              <w:t>İfl</w:t>
            </w:r>
            <w:r w:rsidR="00AD5BF6" w:rsidRPr="00A23740">
              <w:rPr>
                <w:b w:val="0"/>
                <w:strike w:val="0"/>
                <w:color w:val="auto"/>
                <w:szCs w:val="24"/>
                <w:lang w:val="tr-TR"/>
              </w:rPr>
              <w:t>a</w:t>
            </w:r>
            <w:r w:rsidRPr="00A23740">
              <w:rPr>
                <w:b w:val="0"/>
                <w:strike w:val="0"/>
                <w:color w:val="auto"/>
                <w:szCs w:val="24"/>
                <w:lang w:val="tr-TR"/>
              </w:rPr>
              <w:t xml:space="preserve">sa tabi olmayan borçlu bakımından ise birinci fıkranın (b) ve (c) bentlerindeki </w:t>
            </w:r>
            <w:r w:rsidR="00E963AE" w:rsidRPr="00522E41">
              <w:rPr>
                <w:rStyle w:val="Balk1Char"/>
                <w:rFonts w:eastAsia="Calibri"/>
                <w:b/>
                <w:strike w:val="0"/>
              </w:rPr>
              <w:t>sebeplerin</w:t>
            </w:r>
            <w:r w:rsidRPr="00A23740">
              <w:rPr>
                <w:b w:val="0"/>
                <w:strike w:val="0"/>
                <w:color w:val="auto"/>
                <w:szCs w:val="24"/>
                <w:lang w:val="tr-TR"/>
              </w:rPr>
              <w:t xml:space="preserve"> kesin mühletin verilmesinden sonra gerçekleşmesi durumunda, komiserin yazılı raporu üzerine mahkeme kesin mühleti kaldırarak konkordato talebinin reddine karar verir.</w:t>
            </w:r>
          </w:p>
          <w:p w:rsidR="004557EF" w:rsidRPr="00A23740" w:rsidRDefault="004557EF" w:rsidP="009431FF">
            <w:pPr>
              <w:widowControl w:val="0"/>
              <w:rPr>
                <w:rStyle w:val="MaviChar"/>
                <w:lang w:val="tr-TR"/>
              </w:rPr>
            </w:pPr>
          </w:p>
          <w:p w:rsidR="00AA5C8C" w:rsidRPr="00A23740" w:rsidRDefault="00AA5C8C" w:rsidP="009431FF">
            <w:pPr>
              <w:widowControl w:val="0"/>
              <w:rPr>
                <w:szCs w:val="24"/>
              </w:rPr>
            </w:pPr>
            <w:r w:rsidRPr="00A23740">
              <w:rPr>
                <w:rStyle w:val="MaviChar"/>
                <w:lang w:val="tr-TR"/>
              </w:rPr>
              <w:t>(3)</w:t>
            </w:r>
            <w:r w:rsidRPr="00A23740">
              <w:rPr>
                <w:szCs w:val="24"/>
              </w:rPr>
              <w:t xml:space="preserve"> </w:t>
            </w:r>
            <w:r w:rsidRPr="00A23740">
              <w:rPr>
                <w:bCs/>
              </w:rPr>
              <w:t>Mahkeme, karar vermeden önce borçlu</w:t>
            </w:r>
            <w:r w:rsidRPr="00A23740">
              <w:rPr>
                <w:rStyle w:val="MaviChar"/>
              </w:rPr>
              <w:t xml:space="preserve">yu, </w:t>
            </w:r>
            <w:r w:rsidRPr="00A23740">
              <w:rPr>
                <w:szCs w:val="24"/>
              </w:rPr>
              <w:t xml:space="preserve">konkordato </w:t>
            </w:r>
            <w:r w:rsidRPr="00A23740">
              <w:rPr>
                <w:rStyle w:val="MaviChar"/>
              </w:rPr>
              <w:t>alacaklı tarafından talep edilmişse</w:t>
            </w:r>
            <w:r w:rsidRPr="00A23740">
              <w:rPr>
                <w:szCs w:val="24"/>
              </w:rPr>
              <w:t xml:space="preserve"> talep eden alacaklı</w:t>
            </w:r>
            <w:r w:rsidRPr="00A23740">
              <w:rPr>
                <w:rStyle w:val="MaviChar"/>
              </w:rPr>
              <w:t>yı,</w:t>
            </w:r>
            <w:r w:rsidRPr="00A23740">
              <w:rPr>
                <w:szCs w:val="24"/>
              </w:rPr>
              <w:t xml:space="preserve"> </w:t>
            </w:r>
            <w:r w:rsidRPr="00A23740">
              <w:rPr>
                <w:rStyle w:val="MaviChar"/>
              </w:rPr>
              <w:t>varsa</w:t>
            </w:r>
            <w:r w:rsidRPr="00A23740">
              <w:rPr>
                <w:szCs w:val="24"/>
              </w:rPr>
              <w:t xml:space="preserve"> alacaklılar kurulunu </w:t>
            </w:r>
            <w:r w:rsidRPr="00A23740">
              <w:rPr>
                <w:rStyle w:val="MaviChar"/>
              </w:rPr>
              <w:t>ve gerekli görürse</w:t>
            </w:r>
            <w:r w:rsidRPr="00A23740">
              <w:rPr>
                <w:szCs w:val="24"/>
              </w:rPr>
              <w:t xml:space="preserve"> diğer alacaklıları </w:t>
            </w:r>
            <w:r w:rsidRPr="00A23740">
              <w:rPr>
                <w:rStyle w:val="MaviChar"/>
              </w:rPr>
              <w:t>duruşmaya</w:t>
            </w:r>
            <w:r w:rsidRPr="00A23740">
              <w:rPr>
                <w:szCs w:val="24"/>
              </w:rPr>
              <w:t xml:space="preserve"> davet eder</w:t>
            </w:r>
            <w:r w:rsidRPr="00A23740">
              <w:rPr>
                <w:rStyle w:val="MaviChar"/>
              </w:rPr>
              <w:t>ek</w:t>
            </w:r>
            <w:r w:rsidRPr="00A23740">
              <w:rPr>
                <w:rStyle w:val="YELChar"/>
              </w:rPr>
              <w:t xml:space="preserve"> </w:t>
            </w:r>
            <w:r w:rsidRPr="00A23740">
              <w:rPr>
                <w:rStyle w:val="MaviChar"/>
              </w:rPr>
              <w:t>dinler</w:t>
            </w:r>
            <w:r w:rsidR="00404327" w:rsidRPr="00A23740">
              <w:rPr>
                <w:rStyle w:val="MaviChar"/>
                <w:lang w:val="tr-TR"/>
              </w:rPr>
              <w:t xml:space="preserve"> </w:t>
            </w:r>
            <w:r w:rsidR="00404327" w:rsidRPr="005574E2">
              <w:rPr>
                <w:rStyle w:val="MaviChar"/>
              </w:rPr>
              <w:t>ve komiserden açıklama yapmasını isteyebilir</w:t>
            </w:r>
            <w:r w:rsidRPr="00A23740">
              <w:rPr>
                <w:rStyle w:val="MaviChar"/>
              </w:rPr>
              <w:t>. Mahkeme</w:t>
            </w:r>
            <w:r w:rsidRPr="00A23740">
              <w:rPr>
                <w:rStyle w:val="MaviChar"/>
                <w:lang w:val="tr-TR"/>
              </w:rPr>
              <w:t>,</w:t>
            </w:r>
            <w:r w:rsidRPr="00A23740">
              <w:rPr>
                <w:rStyle w:val="MaviChar"/>
              </w:rPr>
              <w:t xml:space="preserve"> uygun gördüğü takdirde alacaklılar kurulundan sadece yazılı görüş alınmasına da karar verebilir.</w:t>
            </w:r>
          </w:p>
          <w:p w:rsidR="00AA5C8C" w:rsidRPr="00A23740" w:rsidRDefault="00AA5C8C" w:rsidP="009431FF">
            <w:pPr>
              <w:widowControl w:val="0"/>
            </w:pPr>
          </w:p>
        </w:tc>
      </w:tr>
      <w:tr w:rsidR="005C3738" w:rsidRPr="00A23740" w:rsidTr="009431FF">
        <w:tc>
          <w:tcPr>
            <w:tcW w:w="5000" w:type="pct"/>
            <w:gridSpan w:val="2"/>
            <w:shd w:val="clear" w:color="auto" w:fill="DEEAF6"/>
          </w:tcPr>
          <w:p w:rsidR="004302BD" w:rsidRPr="00A23740" w:rsidRDefault="004302BD" w:rsidP="009431FF">
            <w:pPr>
              <w:ind w:firstLine="709"/>
              <w:rPr>
                <w:b/>
                <w:bCs/>
                <w:color w:val="000000"/>
                <w:szCs w:val="24"/>
                <w:lang w:eastAsia="x-none"/>
              </w:rPr>
            </w:pPr>
          </w:p>
          <w:p w:rsidR="007F2779" w:rsidRPr="00A23740" w:rsidRDefault="003E49A5" w:rsidP="009431FF">
            <w:pPr>
              <w:ind w:firstLine="709"/>
              <w:rPr>
                <w:color w:val="000000"/>
                <w:szCs w:val="24"/>
              </w:rPr>
            </w:pPr>
            <w:r w:rsidRPr="00A23740">
              <w:rPr>
                <w:b/>
                <w:bCs/>
                <w:color w:val="000000"/>
                <w:szCs w:val="24"/>
                <w:lang w:eastAsia="x-none"/>
              </w:rPr>
              <w:t>MADDE 385</w:t>
            </w:r>
            <w:r w:rsidR="007F2779" w:rsidRPr="00A23740">
              <w:rPr>
                <w:b/>
                <w:bCs/>
                <w:color w:val="000000"/>
                <w:szCs w:val="24"/>
                <w:lang w:eastAsia="x-none"/>
              </w:rPr>
              <w:t>-</w:t>
            </w:r>
            <w:r w:rsidR="007F2779" w:rsidRPr="00A23740">
              <w:rPr>
                <w:bCs/>
                <w:color w:val="000000"/>
                <w:szCs w:val="24"/>
                <w:lang w:eastAsia="x-none"/>
              </w:rPr>
              <w:t xml:space="preserve"> </w:t>
            </w:r>
            <w:r w:rsidR="004302BD" w:rsidRPr="00A23740">
              <w:rPr>
                <w:bCs/>
                <w:color w:val="000000"/>
                <w:szCs w:val="24"/>
                <w:lang w:eastAsia="x-none"/>
              </w:rPr>
              <w:t xml:space="preserve">Maddeyle, </w:t>
            </w:r>
            <w:r w:rsidR="004302BD" w:rsidRPr="00A23740">
              <w:rPr>
                <w:color w:val="000000"/>
                <w:szCs w:val="24"/>
              </w:rPr>
              <w:t>kesin mühlet içinde konkordato talebinin reddi ile ifl</w:t>
            </w:r>
            <w:r w:rsidR="00266EE3" w:rsidRPr="00A23740">
              <w:rPr>
                <w:color w:val="000000"/>
                <w:szCs w:val="24"/>
              </w:rPr>
              <w:t>a</w:t>
            </w:r>
            <w:r w:rsidR="004302BD" w:rsidRPr="00A23740">
              <w:rPr>
                <w:color w:val="000000"/>
                <w:szCs w:val="24"/>
              </w:rPr>
              <w:t>sın açılması</w:t>
            </w:r>
            <w:r w:rsidR="00A354BD" w:rsidRPr="00A23740">
              <w:rPr>
                <w:color w:val="000000"/>
                <w:szCs w:val="24"/>
              </w:rPr>
              <w:t>na ilişkin hususlar düzenlenmektedir.</w:t>
            </w:r>
            <w:r w:rsidR="004302BD" w:rsidRPr="00A23740">
              <w:rPr>
                <w:bCs/>
                <w:color w:val="000000"/>
                <w:szCs w:val="24"/>
                <w:lang w:eastAsia="x-none"/>
              </w:rPr>
              <w:t xml:space="preserve"> </w:t>
            </w:r>
            <w:r w:rsidR="007F2779" w:rsidRPr="00A23740">
              <w:rPr>
                <w:bCs/>
                <w:color w:val="000000"/>
                <w:szCs w:val="24"/>
                <w:lang w:eastAsia="x-none"/>
              </w:rPr>
              <w:t>Taslağın</w:t>
            </w:r>
            <w:r w:rsidR="007F3CCE" w:rsidRPr="00A23740">
              <w:rPr>
                <w:bCs/>
                <w:color w:val="000000"/>
                <w:szCs w:val="24"/>
                <w:lang w:eastAsia="x-none"/>
              </w:rPr>
              <w:t xml:space="preserve"> </w:t>
            </w:r>
            <w:r w:rsidR="007F3CCE" w:rsidRPr="005574E2">
              <w:t>385 inci</w:t>
            </w:r>
            <w:r w:rsidR="007F2779" w:rsidRPr="00A23740">
              <w:rPr>
                <w:bCs/>
                <w:color w:val="000000"/>
                <w:szCs w:val="24"/>
                <w:lang w:eastAsia="x-none"/>
              </w:rPr>
              <w:t xml:space="preserve"> maddesi “</w:t>
            </w:r>
            <w:r w:rsidR="007F2779" w:rsidRPr="00A23740">
              <w:rPr>
                <w:color w:val="000000"/>
                <w:szCs w:val="24"/>
              </w:rPr>
              <w:t xml:space="preserve">Kesin mühlet içinde konkordato talebinin reddi </w:t>
            </w:r>
            <w:r w:rsidR="00266EE3" w:rsidRPr="005574E2">
              <w:t>ve</w:t>
            </w:r>
            <w:r w:rsidR="007F2779" w:rsidRPr="00A23740">
              <w:rPr>
                <w:color w:val="000000"/>
                <w:szCs w:val="24"/>
              </w:rPr>
              <w:t xml:space="preserve"> ifl</w:t>
            </w:r>
            <w:r w:rsidR="00656C77" w:rsidRPr="00A23740">
              <w:rPr>
                <w:color w:val="000000"/>
                <w:szCs w:val="24"/>
              </w:rPr>
              <w:t>a</w:t>
            </w:r>
            <w:r w:rsidR="007F2779" w:rsidRPr="00A23740">
              <w:rPr>
                <w:color w:val="000000"/>
                <w:szCs w:val="24"/>
              </w:rPr>
              <w:t xml:space="preserve">sın açılması” başlığını taşımakta olup </w:t>
            </w:r>
            <w:r w:rsidR="00A354BD" w:rsidRPr="00A23740">
              <w:rPr>
                <w:color w:val="000000"/>
                <w:szCs w:val="24"/>
              </w:rPr>
              <w:t>2004 sayılı K</w:t>
            </w:r>
            <w:r w:rsidR="007F2779" w:rsidRPr="00A23740">
              <w:rPr>
                <w:color w:val="000000"/>
                <w:szCs w:val="24"/>
              </w:rPr>
              <w:t>anunun 292 nci maddesine karşılık gelmektedir.</w:t>
            </w:r>
          </w:p>
          <w:p w:rsidR="007F2779" w:rsidRPr="00A23740" w:rsidRDefault="007F2779" w:rsidP="009431FF">
            <w:pPr>
              <w:ind w:firstLine="709"/>
              <w:rPr>
                <w:color w:val="000000"/>
                <w:szCs w:val="24"/>
              </w:rPr>
            </w:pPr>
            <w:r w:rsidRPr="00A23740">
              <w:rPr>
                <w:bCs/>
                <w:color w:val="000000"/>
                <w:szCs w:val="24"/>
                <w:lang w:eastAsia="x-none"/>
              </w:rPr>
              <w:t xml:space="preserve">Maddenin </w:t>
            </w:r>
            <w:r w:rsidR="004302BD" w:rsidRPr="00A23740">
              <w:rPr>
                <w:bCs/>
                <w:color w:val="000000"/>
                <w:szCs w:val="24"/>
                <w:lang w:eastAsia="x-none"/>
              </w:rPr>
              <w:t>bir</w:t>
            </w:r>
            <w:r w:rsidRPr="00A23740">
              <w:rPr>
                <w:bCs/>
                <w:color w:val="000000"/>
                <w:szCs w:val="24"/>
                <w:lang w:eastAsia="x-none"/>
              </w:rPr>
              <w:t>inci fıkrasına göre b</w:t>
            </w:r>
            <w:r w:rsidRPr="00A23740">
              <w:rPr>
                <w:color w:val="000000"/>
                <w:szCs w:val="24"/>
              </w:rPr>
              <w:t>orçlunun malvarlığının korunması için ifl</w:t>
            </w:r>
            <w:r w:rsidR="00266EE3" w:rsidRPr="00A23740">
              <w:rPr>
                <w:color w:val="000000"/>
                <w:szCs w:val="24"/>
              </w:rPr>
              <w:t>a</w:t>
            </w:r>
            <w:r w:rsidRPr="00A23740">
              <w:rPr>
                <w:color w:val="000000"/>
                <w:szCs w:val="24"/>
              </w:rPr>
              <w:t>sın açılması gerekiyorsa, k</w:t>
            </w:r>
            <w:r w:rsidRPr="00A23740">
              <w:rPr>
                <w:rFonts w:eastAsia="Times New Roman"/>
                <w:color w:val="000000"/>
                <w:szCs w:val="24"/>
              </w:rPr>
              <w:t>onkordatonun başarıya ulaşamayacağı anlaşılıyorsa,</w:t>
            </w:r>
            <w:r w:rsidRPr="00A23740">
              <w:rPr>
                <w:color w:val="000000"/>
                <w:szCs w:val="24"/>
              </w:rPr>
              <w:t xml:space="preserve"> borçlu,</w:t>
            </w:r>
            <w:r w:rsidR="007F3CCE" w:rsidRPr="00A23740">
              <w:rPr>
                <w:rStyle w:val="MaviChar"/>
              </w:rPr>
              <w:t xml:space="preserve"> </w:t>
            </w:r>
            <w:r w:rsidR="007F3CCE" w:rsidRPr="002A3902">
              <w:rPr>
                <w:rStyle w:val="MaviChar"/>
                <w:b w:val="0"/>
                <w:color w:val="000000" w:themeColor="text1"/>
              </w:rPr>
              <w:t>38</w:t>
            </w:r>
            <w:r w:rsidR="007F3CCE" w:rsidRPr="002A3902">
              <w:rPr>
                <w:rStyle w:val="MaviChar"/>
                <w:b w:val="0"/>
                <w:color w:val="000000" w:themeColor="text1"/>
                <w:lang w:val="tr-TR"/>
              </w:rPr>
              <w:t>9</w:t>
            </w:r>
            <w:r w:rsidR="007F3CCE" w:rsidRPr="002A3902">
              <w:rPr>
                <w:rStyle w:val="MaviChar"/>
                <w:b w:val="0"/>
                <w:color w:val="000000" w:themeColor="text1"/>
              </w:rPr>
              <w:t xml:space="preserve"> </w:t>
            </w:r>
            <w:r w:rsidR="007F3CCE" w:rsidRPr="002A3902">
              <w:rPr>
                <w:rStyle w:val="MaviChar"/>
                <w:b w:val="0"/>
                <w:color w:val="000000" w:themeColor="text1"/>
                <w:lang w:val="tr-TR"/>
              </w:rPr>
              <w:t>uncu</w:t>
            </w:r>
            <w:r w:rsidR="007F3CCE" w:rsidRPr="00A23740">
              <w:rPr>
                <w:rStyle w:val="MaviChar"/>
              </w:rPr>
              <w:t xml:space="preserve"> </w:t>
            </w:r>
            <w:r w:rsidRPr="00A23740">
              <w:rPr>
                <w:color w:val="000000"/>
                <w:szCs w:val="24"/>
              </w:rPr>
              <w:t xml:space="preserve">maddeye aykırı davranır veya komiserin talimatlarına </w:t>
            </w:r>
            <w:r w:rsidR="00E52A81" w:rsidRPr="00A23740">
              <w:rPr>
                <w:color w:val="000000"/>
                <w:szCs w:val="24"/>
              </w:rPr>
              <w:t>uymazsa</w:t>
            </w:r>
            <w:r w:rsidRPr="00A23740">
              <w:rPr>
                <w:color w:val="000000"/>
                <w:szCs w:val="24"/>
              </w:rPr>
              <w:t xml:space="preserve"> ya da borçlu alacaklıları zarara uğratma amacıyla hareket </w:t>
            </w:r>
            <w:r w:rsidR="00E52A81" w:rsidRPr="00A23740">
              <w:rPr>
                <w:color w:val="000000"/>
                <w:szCs w:val="24"/>
              </w:rPr>
              <w:t xml:space="preserve">ederse </w:t>
            </w:r>
            <w:r w:rsidRPr="00A23740">
              <w:rPr>
                <w:color w:val="000000"/>
                <w:szCs w:val="24"/>
              </w:rPr>
              <w:t xml:space="preserve">veya borca batık olduğu anlaşılan bir sermaye şirketi veya kooperatif, konkordato talebinden feragat ederse, </w:t>
            </w:r>
            <w:r w:rsidRPr="00A23740">
              <w:rPr>
                <w:bCs/>
                <w:color w:val="000000"/>
                <w:szCs w:val="24"/>
                <w:lang w:eastAsia="x-none"/>
              </w:rPr>
              <w:t>i</w:t>
            </w:r>
            <w:r w:rsidRPr="00A23740">
              <w:rPr>
                <w:color w:val="000000"/>
                <w:szCs w:val="24"/>
              </w:rPr>
              <w:t>fl</w:t>
            </w:r>
            <w:r w:rsidR="00266EE3" w:rsidRPr="00A23740">
              <w:rPr>
                <w:color w:val="000000"/>
                <w:szCs w:val="24"/>
              </w:rPr>
              <w:t>a</w:t>
            </w:r>
            <w:r w:rsidRPr="00A23740">
              <w:rPr>
                <w:color w:val="000000"/>
                <w:szCs w:val="24"/>
              </w:rPr>
              <w:t>sa tabi borçlu bakımından, kesin mühletin verilmesinden sonra komiserin yazılı raporu üzerine mahkeme kesin mühleti kaldırarak konkordato talebinin reddine ve borçlunun</w:t>
            </w:r>
            <w:r w:rsidR="00266EE3" w:rsidRPr="00A23740">
              <w:rPr>
                <w:color w:val="000000"/>
                <w:szCs w:val="24"/>
              </w:rPr>
              <w:t xml:space="preserve"> </w:t>
            </w:r>
            <w:r w:rsidR="00266EE3" w:rsidRPr="005574E2">
              <w:t>borca batık olup olmadığına bakılm</w:t>
            </w:r>
            <w:r w:rsidR="0031047B" w:rsidRPr="005574E2">
              <w:t>a</w:t>
            </w:r>
            <w:r w:rsidR="00266EE3" w:rsidRPr="005574E2">
              <w:t>ksızın</w:t>
            </w:r>
            <w:r w:rsidRPr="00A23740">
              <w:rPr>
                <w:color w:val="000000"/>
                <w:szCs w:val="24"/>
              </w:rPr>
              <w:t xml:space="preserve"> ifl</w:t>
            </w:r>
            <w:r w:rsidR="00266EE3" w:rsidRPr="00A23740">
              <w:rPr>
                <w:color w:val="000000"/>
                <w:szCs w:val="24"/>
              </w:rPr>
              <w:t>a</w:t>
            </w:r>
            <w:r w:rsidRPr="00A23740">
              <w:rPr>
                <w:color w:val="000000"/>
                <w:szCs w:val="24"/>
              </w:rPr>
              <w:t>sı</w:t>
            </w:r>
            <w:r w:rsidR="004302BD" w:rsidRPr="00A23740">
              <w:rPr>
                <w:color w:val="000000"/>
                <w:szCs w:val="24"/>
              </w:rPr>
              <w:t xml:space="preserve">na resen karar </w:t>
            </w:r>
            <w:r w:rsidR="00266EE3" w:rsidRPr="005574E2">
              <w:t>verecektir</w:t>
            </w:r>
            <w:r w:rsidR="004302BD" w:rsidRPr="00A23740">
              <w:rPr>
                <w:color w:val="000000"/>
                <w:szCs w:val="24"/>
              </w:rPr>
              <w:t xml:space="preserve">. </w:t>
            </w:r>
          </w:p>
          <w:p w:rsidR="007F2779" w:rsidRPr="00A23740" w:rsidRDefault="007F2779" w:rsidP="009431FF">
            <w:pPr>
              <w:ind w:firstLine="709"/>
              <w:rPr>
                <w:color w:val="000000"/>
                <w:szCs w:val="24"/>
              </w:rPr>
            </w:pPr>
            <w:r w:rsidRPr="00A23740">
              <w:rPr>
                <w:bCs/>
                <w:color w:val="000000"/>
                <w:szCs w:val="24"/>
                <w:lang w:eastAsia="x-none"/>
              </w:rPr>
              <w:t xml:space="preserve">Maddenin </w:t>
            </w:r>
            <w:r w:rsidR="004302BD" w:rsidRPr="00A23740">
              <w:rPr>
                <w:bCs/>
                <w:color w:val="000000"/>
                <w:szCs w:val="24"/>
                <w:lang w:eastAsia="x-none"/>
              </w:rPr>
              <w:t>iki</w:t>
            </w:r>
            <w:r w:rsidRPr="00A23740">
              <w:rPr>
                <w:bCs/>
                <w:color w:val="000000"/>
                <w:szCs w:val="24"/>
                <w:lang w:eastAsia="x-none"/>
              </w:rPr>
              <w:t xml:space="preserve">nci fıkrasında </w:t>
            </w:r>
            <w:r w:rsidRPr="00A23740">
              <w:rPr>
                <w:color w:val="000000"/>
                <w:szCs w:val="24"/>
              </w:rPr>
              <w:t>ifl</w:t>
            </w:r>
            <w:r w:rsidR="00C73977" w:rsidRPr="00A23740">
              <w:rPr>
                <w:color w:val="000000"/>
                <w:szCs w:val="24"/>
              </w:rPr>
              <w:t>a</w:t>
            </w:r>
            <w:r w:rsidRPr="00A23740">
              <w:rPr>
                <w:color w:val="000000"/>
                <w:szCs w:val="24"/>
              </w:rPr>
              <w:t xml:space="preserve">sa tabi olmayan borçlu bakımından birinci fıkranın (b) ve (c) bentlerindeki hâllerin kesin mühletin verilmesinden sonra gerçekleşmesi durumunda, komiserin yazılı raporu üzerine </w:t>
            </w:r>
            <w:r w:rsidR="00C73977" w:rsidRPr="005574E2">
              <w:t>mahkemece</w:t>
            </w:r>
            <w:r w:rsidRPr="005574E2">
              <w:t xml:space="preserve"> </w:t>
            </w:r>
            <w:r w:rsidRPr="00A23740">
              <w:rPr>
                <w:color w:val="000000"/>
                <w:szCs w:val="24"/>
              </w:rPr>
              <w:t xml:space="preserve">kesin </w:t>
            </w:r>
            <w:r w:rsidR="00C73977" w:rsidRPr="005574E2">
              <w:t>mühlet</w:t>
            </w:r>
            <w:r w:rsidRPr="00A23740">
              <w:rPr>
                <w:color w:val="000000"/>
                <w:szCs w:val="24"/>
              </w:rPr>
              <w:t xml:space="preserve"> </w:t>
            </w:r>
            <w:r w:rsidR="00C73977" w:rsidRPr="005574E2">
              <w:t>kaldırılarak</w:t>
            </w:r>
            <w:r w:rsidRPr="00A23740">
              <w:rPr>
                <w:color w:val="000000"/>
                <w:szCs w:val="24"/>
              </w:rPr>
              <w:t xml:space="preserve"> konkordato talebinin reddine k</w:t>
            </w:r>
            <w:r w:rsidR="004302BD" w:rsidRPr="00A23740">
              <w:rPr>
                <w:color w:val="000000"/>
                <w:szCs w:val="24"/>
              </w:rPr>
              <w:t>arar verileceği düzenlenmiştir.</w:t>
            </w:r>
          </w:p>
          <w:p w:rsidR="007F2779" w:rsidRPr="00A23740" w:rsidRDefault="007F2779" w:rsidP="009431FF">
            <w:pPr>
              <w:ind w:firstLine="709"/>
              <w:rPr>
                <w:bCs/>
                <w:color w:val="000000"/>
                <w:szCs w:val="24"/>
                <w:lang w:eastAsia="x-none"/>
              </w:rPr>
            </w:pPr>
            <w:r w:rsidRPr="00A23740">
              <w:rPr>
                <w:color w:val="000000"/>
                <w:szCs w:val="24"/>
              </w:rPr>
              <w:t xml:space="preserve">Maddenin </w:t>
            </w:r>
            <w:r w:rsidR="004302BD" w:rsidRPr="00A23740">
              <w:rPr>
                <w:color w:val="000000"/>
                <w:szCs w:val="24"/>
              </w:rPr>
              <w:t>üç</w:t>
            </w:r>
            <w:r w:rsidRPr="00A23740">
              <w:rPr>
                <w:color w:val="000000"/>
                <w:szCs w:val="24"/>
              </w:rPr>
              <w:t>üncü fıkrasında m</w:t>
            </w:r>
            <w:r w:rsidRPr="00A23740">
              <w:rPr>
                <w:bCs/>
                <w:color w:val="000000"/>
                <w:szCs w:val="24"/>
              </w:rPr>
              <w:t>ahkemenin, karar vermeden önce borçlu</w:t>
            </w:r>
            <w:r w:rsidRPr="00A23740">
              <w:rPr>
                <w:bCs/>
                <w:color w:val="000000"/>
                <w:szCs w:val="24"/>
                <w:lang w:val="x-none" w:eastAsia="x-none"/>
              </w:rPr>
              <w:t xml:space="preserve">yu, </w:t>
            </w:r>
            <w:r w:rsidRPr="00A23740">
              <w:rPr>
                <w:color w:val="000000"/>
                <w:szCs w:val="24"/>
              </w:rPr>
              <w:t xml:space="preserve">konkordato </w:t>
            </w:r>
            <w:r w:rsidRPr="00A23740">
              <w:rPr>
                <w:bCs/>
                <w:color w:val="000000"/>
                <w:szCs w:val="24"/>
                <w:lang w:val="x-none" w:eastAsia="x-none"/>
              </w:rPr>
              <w:t>alacaklı tarafından talep edilmişse</w:t>
            </w:r>
            <w:r w:rsidRPr="00A23740">
              <w:rPr>
                <w:color w:val="000000"/>
                <w:szCs w:val="24"/>
              </w:rPr>
              <w:t xml:space="preserve"> talep eden alacaklı</w:t>
            </w:r>
            <w:r w:rsidRPr="00A23740">
              <w:rPr>
                <w:bCs/>
                <w:color w:val="000000"/>
                <w:szCs w:val="24"/>
                <w:lang w:val="x-none" w:eastAsia="x-none"/>
              </w:rPr>
              <w:t>yı,</w:t>
            </w:r>
            <w:r w:rsidRPr="00A23740">
              <w:rPr>
                <w:color w:val="000000"/>
                <w:szCs w:val="24"/>
              </w:rPr>
              <w:t xml:space="preserve"> </w:t>
            </w:r>
            <w:r w:rsidRPr="00A23740">
              <w:rPr>
                <w:bCs/>
                <w:color w:val="000000"/>
                <w:szCs w:val="24"/>
                <w:lang w:val="x-none" w:eastAsia="x-none"/>
              </w:rPr>
              <w:t>varsa</w:t>
            </w:r>
            <w:r w:rsidRPr="00A23740">
              <w:rPr>
                <w:color w:val="000000"/>
                <w:szCs w:val="24"/>
              </w:rPr>
              <w:t xml:space="preserve"> alacaklılar kurulunu </w:t>
            </w:r>
            <w:r w:rsidRPr="00A23740">
              <w:rPr>
                <w:bCs/>
                <w:color w:val="000000"/>
                <w:szCs w:val="24"/>
                <w:lang w:val="x-none" w:eastAsia="x-none"/>
              </w:rPr>
              <w:t>ve gerekli görürse</w:t>
            </w:r>
            <w:r w:rsidRPr="00A23740">
              <w:rPr>
                <w:color w:val="000000"/>
                <w:szCs w:val="24"/>
              </w:rPr>
              <w:t xml:space="preserve"> diğer alacaklıları </w:t>
            </w:r>
            <w:r w:rsidRPr="00A23740">
              <w:rPr>
                <w:bCs/>
                <w:color w:val="000000"/>
                <w:szCs w:val="24"/>
                <w:lang w:val="x-none" w:eastAsia="x-none"/>
              </w:rPr>
              <w:t>duruşmaya</w:t>
            </w:r>
            <w:r w:rsidRPr="00A23740">
              <w:rPr>
                <w:color w:val="000000"/>
                <w:szCs w:val="24"/>
              </w:rPr>
              <w:t xml:space="preserve"> davet eder</w:t>
            </w:r>
            <w:r w:rsidRPr="00A23740">
              <w:rPr>
                <w:bCs/>
                <w:color w:val="000000"/>
                <w:szCs w:val="24"/>
                <w:lang w:val="x-none" w:eastAsia="x-none"/>
              </w:rPr>
              <w:t>ek</w:t>
            </w:r>
            <w:r w:rsidRPr="00A23740">
              <w:rPr>
                <w:rFonts w:eastAsia="ヒラギノ明朝 Pro W3"/>
                <w:color w:val="000000"/>
                <w:szCs w:val="24"/>
              </w:rPr>
              <w:t xml:space="preserve"> </w:t>
            </w:r>
            <w:r w:rsidRPr="00A23740">
              <w:rPr>
                <w:bCs/>
                <w:color w:val="000000"/>
                <w:szCs w:val="24"/>
                <w:lang w:val="x-none" w:eastAsia="x-none"/>
              </w:rPr>
              <w:t>dinle</w:t>
            </w:r>
            <w:r w:rsidRPr="00A23740">
              <w:rPr>
                <w:bCs/>
                <w:color w:val="000000"/>
                <w:szCs w:val="24"/>
                <w:lang w:eastAsia="x-none"/>
              </w:rPr>
              <w:t xml:space="preserve">yeceği; </w:t>
            </w:r>
            <w:r w:rsidRPr="00A23740">
              <w:rPr>
                <w:bCs/>
                <w:color w:val="000000"/>
                <w:szCs w:val="24"/>
                <w:lang w:val="x-none" w:eastAsia="x-none"/>
              </w:rPr>
              <w:t>uygun gördüğü takdirde alacaklılar kurulundan sadece yazılı görüş alınmasına da karar verebil</w:t>
            </w:r>
            <w:r w:rsidRPr="00A23740">
              <w:rPr>
                <w:bCs/>
                <w:color w:val="000000"/>
                <w:szCs w:val="24"/>
                <w:lang w:eastAsia="x-none"/>
              </w:rPr>
              <w:t>ece</w:t>
            </w:r>
            <w:r w:rsidR="004302BD" w:rsidRPr="00A23740">
              <w:rPr>
                <w:bCs/>
                <w:color w:val="000000"/>
                <w:szCs w:val="24"/>
                <w:lang w:eastAsia="x-none"/>
              </w:rPr>
              <w:t>ği öngörülmüştür.</w:t>
            </w:r>
          </w:p>
          <w:p w:rsidR="007F2779" w:rsidRPr="00A23740" w:rsidRDefault="001437A5" w:rsidP="009431FF">
            <w:pPr>
              <w:ind w:firstLine="709"/>
              <w:rPr>
                <w:bCs/>
                <w:color w:val="000000"/>
                <w:szCs w:val="24"/>
                <w:lang w:eastAsia="x-none"/>
              </w:rPr>
            </w:pPr>
            <w:r w:rsidRPr="00A23740">
              <w:rPr>
                <w:bCs/>
                <w:color w:val="000000"/>
                <w:szCs w:val="24"/>
                <w:lang w:eastAsia="x-none"/>
              </w:rPr>
              <w:t xml:space="preserve">Konkordatonun  bu </w:t>
            </w:r>
            <w:r w:rsidR="007F2779" w:rsidRPr="00A23740">
              <w:rPr>
                <w:bCs/>
                <w:color w:val="000000"/>
                <w:szCs w:val="24"/>
                <w:lang w:eastAsia="x-none"/>
              </w:rPr>
              <w:t>madde</w:t>
            </w:r>
            <w:r w:rsidRPr="00A23740">
              <w:rPr>
                <w:rStyle w:val="YELChar"/>
              </w:rPr>
              <w:t xml:space="preserve"> </w:t>
            </w:r>
            <w:r w:rsidRPr="005574E2">
              <w:t>anlamında</w:t>
            </w:r>
            <w:r w:rsidR="007F2779" w:rsidRPr="00A23740">
              <w:rPr>
                <w:bCs/>
                <w:color w:val="000000"/>
                <w:szCs w:val="24"/>
                <w:lang w:eastAsia="x-none"/>
              </w:rPr>
              <w:t xml:space="preserve"> başarıya ulaşmayacağının anlaşılması, </w:t>
            </w:r>
            <w:r w:rsidR="00C73977" w:rsidRPr="00A23740">
              <w:rPr>
                <w:bCs/>
                <w:color w:val="000000"/>
                <w:szCs w:val="24"/>
                <w:lang w:eastAsia="x-none"/>
              </w:rPr>
              <w:t>borçlunun mali durumunu</w:t>
            </w:r>
            <w:r w:rsidRPr="00A23740">
              <w:rPr>
                <w:bCs/>
                <w:color w:val="000000"/>
                <w:szCs w:val="24"/>
                <w:lang w:eastAsia="x-none"/>
              </w:rPr>
              <w:t>n</w:t>
            </w:r>
            <w:r w:rsidR="007F2779" w:rsidRPr="00A23740">
              <w:rPr>
                <w:bCs/>
                <w:color w:val="000000"/>
                <w:szCs w:val="24"/>
                <w:lang w:eastAsia="x-none"/>
              </w:rPr>
              <w:t xml:space="preserve"> </w:t>
            </w:r>
            <w:r w:rsidR="00E52A81" w:rsidRPr="00A23740">
              <w:rPr>
                <w:bCs/>
                <w:color w:val="000000"/>
                <w:szCs w:val="24"/>
                <w:lang w:eastAsia="x-none"/>
              </w:rPr>
              <w:t xml:space="preserve">iyileşmeye </w:t>
            </w:r>
            <w:r w:rsidRPr="00A23740">
              <w:rPr>
                <w:bCs/>
                <w:color w:val="000000"/>
                <w:szCs w:val="24"/>
                <w:lang w:eastAsia="x-none"/>
              </w:rPr>
              <w:t xml:space="preserve">hiç </w:t>
            </w:r>
            <w:r w:rsidR="007F2779" w:rsidRPr="00A23740">
              <w:rPr>
                <w:bCs/>
                <w:color w:val="000000"/>
                <w:szCs w:val="24"/>
                <w:lang w:eastAsia="x-none"/>
              </w:rPr>
              <w:t>elverişli olmaması</w:t>
            </w:r>
            <w:r w:rsidR="00E52A81" w:rsidRPr="00A23740">
              <w:rPr>
                <w:bCs/>
                <w:color w:val="000000"/>
                <w:szCs w:val="24"/>
                <w:lang w:eastAsia="x-none"/>
              </w:rPr>
              <w:t xml:space="preserve"> veya </w:t>
            </w:r>
            <w:r w:rsidRPr="00A23740">
              <w:rPr>
                <w:bCs/>
                <w:color w:val="000000"/>
                <w:szCs w:val="24"/>
                <w:lang w:eastAsia="x-none"/>
              </w:rPr>
              <w:t xml:space="preserve">konkordatonun tasdikinin örneğin </w:t>
            </w:r>
            <w:r w:rsidR="007F2779" w:rsidRPr="00A23740">
              <w:rPr>
                <w:bCs/>
                <w:color w:val="000000"/>
                <w:szCs w:val="24"/>
                <w:lang w:eastAsia="x-none"/>
              </w:rPr>
              <w:t xml:space="preserve">alacaklılar </w:t>
            </w:r>
            <w:r w:rsidRPr="00A23740">
              <w:rPr>
                <w:bCs/>
                <w:color w:val="000000"/>
                <w:szCs w:val="24"/>
                <w:lang w:eastAsia="x-none"/>
              </w:rPr>
              <w:t xml:space="preserve">toplantısında </w:t>
            </w:r>
            <w:r w:rsidR="007F2779" w:rsidRPr="00A23740">
              <w:rPr>
                <w:bCs/>
                <w:color w:val="000000"/>
                <w:szCs w:val="24"/>
                <w:lang w:eastAsia="x-none"/>
              </w:rPr>
              <w:t xml:space="preserve">yeterli </w:t>
            </w:r>
            <w:r w:rsidRPr="00A23740">
              <w:rPr>
                <w:bCs/>
                <w:color w:val="000000"/>
                <w:szCs w:val="24"/>
                <w:lang w:eastAsia="x-none"/>
              </w:rPr>
              <w:t xml:space="preserve">çoğunluğun sağlanması </w:t>
            </w:r>
            <w:r w:rsidR="007F2779" w:rsidRPr="00A23740">
              <w:rPr>
                <w:bCs/>
                <w:color w:val="000000"/>
                <w:szCs w:val="24"/>
                <w:lang w:eastAsia="x-none"/>
              </w:rPr>
              <w:t xml:space="preserve">ihtimalinin </w:t>
            </w:r>
            <w:r w:rsidRPr="00A23740">
              <w:rPr>
                <w:bCs/>
                <w:color w:val="000000"/>
                <w:szCs w:val="24"/>
                <w:lang w:eastAsia="x-none"/>
              </w:rPr>
              <w:t xml:space="preserve">bulunmaması </w:t>
            </w:r>
            <w:r w:rsidR="00DE356D" w:rsidRPr="005574E2">
              <w:t xml:space="preserve">gibi </w:t>
            </w:r>
            <w:r w:rsidRPr="005574E2">
              <w:t xml:space="preserve">nedenlerle gerçekleştirilmesinin mümkün olmaması vb. </w:t>
            </w:r>
            <w:r w:rsidR="00DE356D" w:rsidRPr="005574E2">
              <w:t>h</w:t>
            </w:r>
            <w:r w:rsidR="009D574E" w:rsidRPr="005574E2">
              <w:t>â</w:t>
            </w:r>
            <w:r w:rsidR="00DE356D" w:rsidRPr="005574E2">
              <w:t>lleri</w:t>
            </w:r>
            <w:r w:rsidR="002A3902">
              <w:rPr>
                <w:bCs/>
                <w:color w:val="000000"/>
                <w:szCs w:val="24"/>
                <w:lang w:eastAsia="x-none"/>
              </w:rPr>
              <w:t xml:space="preserve"> kapsamaktadır.</w:t>
            </w:r>
          </w:p>
          <w:p w:rsidR="005C3738" w:rsidRPr="00A23740" w:rsidRDefault="005C3738" w:rsidP="009A013D">
            <w:pPr>
              <w:tabs>
                <w:tab w:val="left" w:pos="567"/>
              </w:tabs>
              <w:rPr>
                <w:b/>
                <w:bCs/>
                <w:color w:val="000000"/>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Borders>
              <w:bottom w:val="single" w:sz="4" w:space="0" w:color="auto"/>
              <w:right w:val="single" w:sz="4" w:space="0" w:color="auto"/>
            </w:tcBorders>
            <w:shd w:val="clear" w:color="auto" w:fill="auto"/>
          </w:tcPr>
          <w:p w:rsidR="00AA5C8C" w:rsidRPr="00A23740" w:rsidRDefault="00AA5C8C" w:rsidP="009431FF">
            <w:pPr>
              <w:widowControl w:val="0"/>
              <w:rPr>
                <w:i/>
                <w:szCs w:val="24"/>
              </w:rPr>
            </w:pPr>
            <w:r w:rsidRPr="00A23740">
              <w:rPr>
                <w:i/>
                <w:szCs w:val="24"/>
              </w:rPr>
              <w:t>Kesin mühletin alacaklılar bakımından sonuçları:</w:t>
            </w:r>
          </w:p>
          <w:p w:rsidR="00AA5C8C" w:rsidRPr="00A23740" w:rsidRDefault="00AA5C8C" w:rsidP="009431FF">
            <w:pPr>
              <w:widowControl w:val="0"/>
              <w:rPr>
                <w:b/>
                <w:szCs w:val="24"/>
              </w:rPr>
            </w:pPr>
            <w:r w:rsidRPr="00A23740">
              <w:rPr>
                <w:rStyle w:val="KIRMIZIChar"/>
                <w:rFonts w:eastAsia="Calibri"/>
              </w:rPr>
              <w:t>Madde 294- (1) (Değişik: 28/2/2018-7101/22 md.)</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pPr>
            <w:r w:rsidRPr="00A23740">
              <w:rPr>
                <w:rStyle w:val="KIRMIZIChar"/>
                <w:rFonts w:eastAsia="Calibri"/>
              </w:rPr>
              <w:t>(1) (Değişik: 28/2/2018-7101/22 md.)</w:t>
            </w:r>
            <w:r w:rsidRPr="00A23740">
              <w:rPr>
                <w:rStyle w:val="KIRMIZIChar"/>
                <w:rFonts w:eastAsia="Calibri"/>
                <w:strike w:val="0"/>
              </w:rPr>
              <w:t xml:space="preserve"> </w:t>
            </w:r>
            <w:r w:rsidRPr="00A23740">
              <w:rPr>
                <w:szCs w:val="24"/>
              </w:rPr>
              <w:t xml:space="preserve">Mühlet </w:t>
            </w:r>
            <w:r w:rsidRPr="00A23740">
              <w:rPr>
                <w:rStyle w:val="KIRMIZIChar"/>
                <w:rFonts w:eastAsia="Calibri"/>
              </w:rPr>
              <w:t>içinde</w:t>
            </w:r>
            <w:r w:rsidRPr="00A23740">
              <w:rPr>
                <w:szCs w:val="24"/>
              </w:rPr>
              <w:t xml:space="preserve"> borçlu aleyhine </w:t>
            </w:r>
            <w:r w:rsidRPr="00A23740">
              <w:rPr>
                <w:rStyle w:val="KIRMIZIChar"/>
                <w:rFonts w:eastAsia="Calibri"/>
              </w:rPr>
              <w:t>21/7/1953 tarihli ve 6183 sayılı Amme Alacaklarının Tahsil Usulü Hakkında Kanuna göre yapılan takipler de dahil olmak üzere</w:t>
            </w:r>
            <w:r w:rsidRPr="00A23740">
              <w:rPr>
                <w:rStyle w:val="KIRMIZIChar"/>
                <w:rFonts w:eastAsia="Calibri"/>
                <w:strike w:val="0"/>
              </w:rPr>
              <w:t xml:space="preserve"> </w:t>
            </w:r>
            <w:r w:rsidRPr="00A23740">
              <w:t>hiçbir takip yapılamaz ve evvelce başlamış takipler durur</w:t>
            </w:r>
            <w:r w:rsidRPr="002A3902">
              <w:rPr>
                <w:rStyle w:val="KIRMIZIChar"/>
                <w:rFonts w:eastAsia="Calibri"/>
              </w:rPr>
              <w:t>,</w:t>
            </w:r>
            <w:r w:rsidRPr="00A23740">
              <w:t xml:space="preserve"> ihtiyatî tedbir ve ihtiyatî haciz kararları uygulanmaz</w:t>
            </w:r>
            <w:r w:rsidRPr="002A3902">
              <w:rPr>
                <w:rStyle w:val="KIRMIZIChar"/>
                <w:rFonts w:eastAsia="Calibri"/>
              </w:rPr>
              <w:t>,</w:t>
            </w:r>
            <w:r w:rsidRPr="00A23740">
              <w:t xml:space="preserve"> bir takip </w:t>
            </w:r>
            <w:r w:rsidRPr="002A3902">
              <w:rPr>
                <w:rStyle w:val="KIRMIZIChar"/>
                <w:rFonts w:eastAsia="Calibri"/>
              </w:rPr>
              <w:t>muamelesi ile kesilebilen</w:t>
            </w:r>
            <w:r w:rsidRPr="00A23740">
              <w:t xml:space="preserve"> zamanaşımı ve hak </w:t>
            </w:r>
            <w:r w:rsidRPr="002A3902">
              <w:rPr>
                <w:rStyle w:val="KIRMIZIChar"/>
                <w:rFonts w:eastAsia="Calibri"/>
              </w:rPr>
              <w:t>düşüren müddetler</w:t>
            </w:r>
            <w:r w:rsidRPr="00A23740">
              <w:t xml:space="preserve"> işlemez.</w:t>
            </w:r>
          </w:p>
          <w:p w:rsidR="00AA5C8C" w:rsidRPr="00A23740" w:rsidRDefault="00AA5C8C" w:rsidP="009431FF">
            <w:pPr>
              <w:widowControl w:val="0"/>
              <w:rPr>
                <w:rStyle w:val="KIRMIZIChar"/>
                <w:rFonts w:eastAsia="Calibri"/>
              </w:rPr>
            </w:pPr>
            <w:r w:rsidRPr="00A23740">
              <w:rPr>
                <w:rStyle w:val="KIRMIZIChar"/>
                <w:rFonts w:eastAsia="Calibri"/>
              </w:rPr>
              <w:t>(2)</w:t>
            </w:r>
            <w:r w:rsidRPr="00A23740">
              <w:rPr>
                <w:szCs w:val="24"/>
              </w:rPr>
              <w:t xml:space="preserve"> </w:t>
            </w:r>
            <w:r w:rsidRPr="00A23740">
              <w:rPr>
                <w:rStyle w:val="KIRMIZIChar"/>
                <w:rFonts w:eastAsia="Calibri"/>
              </w:rPr>
              <w:t>206 ncı</w:t>
            </w:r>
            <w:r w:rsidRPr="00A23740">
              <w:rPr>
                <w:szCs w:val="24"/>
              </w:rPr>
              <w:t xml:space="preserve"> maddenin birinci sırasında yazılı imtiyazlı alacaklar </w:t>
            </w:r>
            <w:r w:rsidRPr="00A23740">
              <w:rPr>
                <w:bCs/>
              </w:rPr>
              <w:t>için haciz yoluyla takip yapılabilir.</w:t>
            </w:r>
          </w:p>
          <w:p w:rsidR="00AA5C8C" w:rsidRPr="00A23740" w:rsidRDefault="00AA5C8C" w:rsidP="009431FF">
            <w:pPr>
              <w:widowControl w:val="0"/>
              <w:rPr>
                <w:szCs w:val="24"/>
              </w:rPr>
            </w:pPr>
          </w:p>
          <w:p w:rsidR="00AA5C8C" w:rsidRPr="00A23740" w:rsidRDefault="00AA5C8C" w:rsidP="009431FF">
            <w:pPr>
              <w:widowControl w:val="0"/>
              <w:rPr>
                <w:b/>
                <w:strike/>
                <w:color w:val="FF0000"/>
                <w:szCs w:val="24"/>
              </w:rPr>
            </w:pPr>
            <w:r w:rsidRPr="00A23740">
              <w:rPr>
                <w:b/>
                <w:strike/>
                <w:color w:val="FF0000"/>
                <w:szCs w:val="24"/>
              </w:rPr>
              <w:t>(3</w:t>
            </w:r>
            <w:r w:rsidRPr="00A23740">
              <w:rPr>
                <w:rStyle w:val="KIRMIZIChar"/>
                <w:rFonts w:eastAsia="Calibri"/>
              </w:rPr>
              <w:t>) Tasdik edilen</w:t>
            </w:r>
            <w:r w:rsidRPr="00A23740">
              <w:t xml:space="preserve"> konkordato projesi aksine hüküm içermediği takdirde </w:t>
            </w:r>
            <w:r w:rsidRPr="00A23740">
              <w:rPr>
                <w:rStyle w:val="KIRMIZIChar"/>
                <w:rFonts w:eastAsia="Calibri"/>
              </w:rPr>
              <w:t>kesin mühlet tarihinden itibaren rehinle temin edilmemiş her türlü</w:t>
            </w:r>
            <w:r w:rsidRPr="00A23740">
              <w:t xml:space="preserve"> alacağa faiz işlemesi durur.</w:t>
            </w:r>
          </w:p>
          <w:p w:rsidR="00AA5C8C" w:rsidRPr="00A23740" w:rsidRDefault="00AA5C8C" w:rsidP="009431FF">
            <w:pPr>
              <w:widowControl w:val="0"/>
              <w:rPr>
                <w:b/>
                <w:strike/>
                <w:color w:val="FF0000"/>
                <w:szCs w:val="24"/>
              </w:rPr>
            </w:pPr>
          </w:p>
          <w:p w:rsidR="00AA5C8C" w:rsidRPr="00A23740" w:rsidRDefault="00AA5C8C" w:rsidP="009431FF">
            <w:pPr>
              <w:widowControl w:val="0"/>
              <w:rPr>
                <w:szCs w:val="24"/>
              </w:rPr>
            </w:pPr>
            <w:r w:rsidRPr="00A23740">
              <w:rPr>
                <w:rStyle w:val="KIRMIZIChar"/>
                <w:rFonts w:eastAsia="Calibri"/>
              </w:rPr>
              <w:t>(4)</w:t>
            </w:r>
            <w:r w:rsidRPr="00A23740">
              <w:rPr>
                <w:szCs w:val="24"/>
              </w:rPr>
              <w:t xml:space="preserve"> Takas bu Kanunun </w:t>
            </w:r>
            <w:r w:rsidRPr="00A23740">
              <w:rPr>
                <w:rStyle w:val="KIRMIZIChar"/>
                <w:rFonts w:eastAsia="Calibri"/>
              </w:rPr>
              <w:t>200</w:t>
            </w:r>
            <w:r w:rsidRPr="00A23740">
              <w:rPr>
                <w:szCs w:val="24"/>
              </w:rPr>
              <w:t xml:space="preserve"> ve </w:t>
            </w:r>
            <w:r w:rsidRPr="00A23740">
              <w:rPr>
                <w:rStyle w:val="KIRMIZIChar"/>
                <w:rFonts w:eastAsia="Calibri"/>
              </w:rPr>
              <w:t>201 inci</w:t>
            </w:r>
            <w:r w:rsidRPr="00A23740">
              <w:rPr>
                <w:szCs w:val="24"/>
              </w:rPr>
              <w:t xml:space="preserve"> maddelerine tâbidir. Bu maddelerin uygulanmasında geçici mühletin ilânı tarihi esas alınır.</w:t>
            </w:r>
          </w:p>
          <w:p w:rsidR="00AA5C8C" w:rsidRPr="00A23740" w:rsidRDefault="00AA5C8C" w:rsidP="009431FF">
            <w:pPr>
              <w:widowControl w:val="0"/>
              <w:rPr>
                <w:szCs w:val="24"/>
              </w:rPr>
            </w:pPr>
          </w:p>
          <w:p w:rsidR="00AA5C8C" w:rsidRPr="00A23740" w:rsidRDefault="00AA5C8C" w:rsidP="009431FF">
            <w:pPr>
              <w:widowControl w:val="0"/>
              <w:rPr>
                <w:rStyle w:val="KIRMIZIChar"/>
                <w:rFonts w:eastAsia="Calibri"/>
              </w:rPr>
            </w:pPr>
            <w:r w:rsidRPr="00A23740">
              <w:rPr>
                <w:rStyle w:val="KIRMIZIChar"/>
                <w:rFonts w:eastAsia="Calibri"/>
              </w:rPr>
              <w:t>(5)</w:t>
            </w:r>
            <w:r w:rsidRPr="00A23740">
              <w:rPr>
                <w:szCs w:val="24"/>
              </w:rPr>
              <w:t xml:space="preserve"> Hacizli </w:t>
            </w:r>
            <w:r w:rsidRPr="00A23740">
              <w:t xml:space="preserve">mallar hakkında niteliğine uygun düştüğü ölçüde </w:t>
            </w:r>
            <w:r w:rsidRPr="00A23740">
              <w:rPr>
                <w:rStyle w:val="KIRMIZIChar"/>
                <w:rFonts w:eastAsia="Calibri"/>
              </w:rPr>
              <w:t>186 ncı</w:t>
            </w:r>
            <w:r w:rsidRPr="00A23740">
              <w:t xml:space="preserve"> madde hükmü uygulanır.</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(6)</w:t>
            </w:r>
            <w:r w:rsidRPr="00A23740">
              <w:rPr>
                <w:szCs w:val="24"/>
              </w:rPr>
              <w:t xml:space="preserve"> </w:t>
            </w:r>
            <w:r w:rsidRPr="00A23740">
              <w:rPr>
                <w:rStyle w:val="KIRMIZIChar"/>
                <w:rFonts w:eastAsia="Calibri"/>
              </w:rPr>
              <w:t>Konkordato</w:t>
            </w:r>
            <w:r w:rsidRPr="00A23740">
              <w:rPr>
                <w:szCs w:val="24"/>
              </w:rPr>
              <w:t xml:space="preserve"> mühletin</w:t>
            </w:r>
            <w:r w:rsidRPr="00A23740">
              <w:rPr>
                <w:rStyle w:val="KIRMIZIChar"/>
                <w:rFonts w:eastAsia="Calibri"/>
              </w:rPr>
              <w:t>in</w:t>
            </w:r>
            <w:r w:rsidRPr="00A23740">
              <w:rPr>
                <w:szCs w:val="24"/>
              </w:rPr>
              <w:t xml:space="preserve"> verilmesinden önce</w:t>
            </w:r>
            <w:r w:rsidRPr="002A3902">
              <w:rPr>
                <w:rStyle w:val="KIRMIZIChar"/>
                <w:rFonts w:eastAsia="Calibri"/>
              </w:rPr>
              <w:t>,</w:t>
            </w:r>
            <w:r w:rsidRPr="00A23740">
              <w:rPr>
                <w:szCs w:val="24"/>
              </w:rPr>
              <w:t xml:space="preserve"> müstakbel bir alacağın devri sözleşmesi yapılmış ve devredilen alacak konkordato mühletinin verilmesinden sonra </w:t>
            </w:r>
            <w:r w:rsidRPr="002A3902">
              <w:rPr>
                <w:rStyle w:val="KIRMIZIChar"/>
                <w:rFonts w:eastAsia="Calibri"/>
              </w:rPr>
              <w:t>doğmuş ise,</w:t>
            </w:r>
            <w:r w:rsidRPr="00A23740">
              <w:rPr>
                <w:szCs w:val="24"/>
              </w:rPr>
              <w:t xml:space="preserve"> bu devir hükümsüzdür.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(7)</w:t>
            </w:r>
            <w:r w:rsidRPr="00A23740">
              <w:rPr>
                <w:szCs w:val="24"/>
              </w:rPr>
              <w:t xml:space="preserve"> Konusu para olmayan alacaklar, alacaklı tarafından, ona eşit kıymette para alacağına çevrilerek komisere bildirilir. Şu kadar ki borçlu, komiserin onayıyla taahhüdün aynen ifasını üstlenmekte serbesttir.</w:t>
            </w:r>
          </w:p>
          <w:p w:rsidR="00AA5C8C" w:rsidRPr="00A23740" w:rsidRDefault="00AA5C8C" w:rsidP="009431FF">
            <w:pPr>
              <w:widowControl w:val="0"/>
              <w:rPr>
                <w:szCs w:val="24"/>
              </w:rPr>
            </w:pPr>
          </w:p>
        </w:tc>
        <w:tc>
          <w:tcPr>
            <w:tcW w:w="2500" w:type="pct"/>
            <w:tcBorders>
              <w:left w:val="single" w:sz="4" w:space="0" w:color="auto"/>
            </w:tcBorders>
            <w:shd w:val="clear" w:color="auto" w:fill="auto"/>
          </w:tcPr>
          <w:p w:rsidR="00AA5C8C" w:rsidRPr="00A23740" w:rsidRDefault="00AA5C8C" w:rsidP="009431FF">
            <w:pPr>
              <w:pStyle w:val="KIRMIZI"/>
              <w:widowControl w:val="0"/>
              <w:rPr>
                <w:strike w:val="0"/>
                <w:color w:val="auto"/>
                <w:lang w:val="tr-TR"/>
              </w:rPr>
            </w:pPr>
            <w:r w:rsidRPr="00A23740">
              <w:rPr>
                <w:strike w:val="0"/>
                <w:color w:val="auto"/>
                <w:lang w:val="tr-TR"/>
              </w:rPr>
              <w:t>Kesin mühletin alacaklılar bakımından sonuçları</w:t>
            </w:r>
          </w:p>
          <w:p w:rsidR="00AA5C8C" w:rsidRPr="00A23740" w:rsidRDefault="003E49A5" w:rsidP="009431FF">
            <w:pPr>
              <w:pStyle w:val="KIRMIZI"/>
              <w:widowControl w:val="0"/>
              <w:rPr>
                <w:rStyle w:val="MaviChar"/>
                <w:rFonts w:eastAsia="Calibri"/>
                <w:b/>
                <w:strike w:val="0"/>
                <w:lang w:val="tr-TR"/>
              </w:rPr>
            </w:pPr>
            <w:r w:rsidRPr="00A23740">
              <w:rPr>
                <w:rStyle w:val="MaviChar"/>
                <w:rFonts w:eastAsia="Calibri"/>
                <w:b/>
                <w:strike w:val="0"/>
                <w:lang w:val="tr-TR"/>
              </w:rPr>
              <w:t>MADDE 386</w:t>
            </w:r>
            <w:r w:rsidR="00AA5C8C" w:rsidRPr="00A23740">
              <w:rPr>
                <w:rStyle w:val="MaviChar"/>
                <w:rFonts w:eastAsia="Calibri"/>
                <w:b/>
                <w:strike w:val="0"/>
                <w:lang w:val="tr-TR"/>
              </w:rPr>
              <w:t>-</w:t>
            </w:r>
            <w:r w:rsidR="00AA5C8C" w:rsidRPr="00A23740">
              <w:rPr>
                <w:rStyle w:val="MaviChar"/>
                <w:b/>
                <w:strike w:val="0"/>
                <w:lang w:val="tr-TR"/>
              </w:rPr>
              <w:t xml:space="preserve"> </w:t>
            </w:r>
            <w:r w:rsidR="00AA5C8C" w:rsidRPr="00A23740">
              <w:rPr>
                <w:rStyle w:val="MaviChar"/>
                <w:rFonts w:eastAsia="Calibri"/>
                <w:b/>
                <w:strike w:val="0"/>
                <w:lang w:val="tr-TR"/>
              </w:rPr>
              <w:t>(1)</w:t>
            </w:r>
            <w:r w:rsidR="00AA5C8C" w:rsidRPr="00A23740">
              <w:rPr>
                <w:rStyle w:val="MaviChar"/>
                <w:rFonts w:eastAsia="Calibri"/>
                <w:strike w:val="0"/>
                <w:lang w:val="tr-TR"/>
              </w:rPr>
              <w:t xml:space="preserve"> </w:t>
            </w:r>
            <w:r w:rsidR="00AA5C8C" w:rsidRPr="00A23740">
              <w:rPr>
                <w:rStyle w:val="MaviChar"/>
                <w:rFonts w:eastAsia="ヒラギノ明朝 Pro W3"/>
                <w:b/>
                <w:strike w:val="0"/>
              </w:rPr>
              <w:t>Kesin</w:t>
            </w:r>
            <w:r w:rsidR="00AA5C8C" w:rsidRPr="00A23740">
              <w:rPr>
                <w:rStyle w:val="MaviChar"/>
                <w:rFonts w:eastAsia="Calibri"/>
                <w:strike w:val="0"/>
                <w:lang w:val="tr-TR"/>
              </w:rPr>
              <w:t xml:space="preserve"> </w:t>
            </w:r>
            <w:r w:rsidR="00AA5C8C" w:rsidRPr="00A23740">
              <w:rPr>
                <w:b w:val="0"/>
                <w:bCs w:val="0"/>
                <w:strike w:val="0"/>
                <w:color w:val="auto"/>
                <w:lang w:val="tr-TR" w:eastAsia="en-US"/>
              </w:rPr>
              <w:t>mühlet</w:t>
            </w:r>
            <w:r w:rsidR="00AA5C8C" w:rsidRPr="00522E41">
              <w:rPr>
                <w:rStyle w:val="Balk1Char"/>
                <w:rFonts w:eastAsia="Calibri"/>
                <w:b/>
                <w:strike w:val="0"/>
              </w:rPr>
              <w:t>,</w:t>
            </w:r>
            <w:r w:rsidR="00274748" w:rsidRPr="00522E41">
              <w:rPr>
                <w:rStyle w:val="Balk1Char"/>
                <w:rFonts w:eastAsia="Calibri"/>
                <w:b/>
                <w:strike w:val="0"/>
              </w:rPr>
              <w:t xml:space="preserve"> 317 nci</w:t>
            </w:r>
            <w:r w:rsidR="00AA5C8C" w:rsidRPr="00A23740">
              <w:rPr>
                <w:rStyle w:val="MaviChar"/>
                <w:b/>
                <w:strike w:val="0"/>
              </w:rPr>
              <w:t xml:space="preserve"> maddenin birinci sırasında yazılı imtiyazlı alacaklar </w:t>
            </w:r>
            <w:r w:rsidR="00AA5C8C" w:rsidRPr="00A23740">
              <w:rPr>
                <w:rStyle w:val="MaviChar"/>
                <w:rFonts w:eastAsia="Calibri"/>
                <w:b/>
                <w:strike w:val="0"/>
              </w:rPr>
              <w:t>ve</w:t>
            </w:r>
            <w:r w:rsidR="00AA5C8C" w:rsidRPr="00A23740">
              <w:rPr>
                <w:rFonts w:eastAsia="Calibri"/>
                <w:strike w:val="0"/>
              </w:rPr>
              <w:t xml:space="preserve"> </w:t>
            </w:r>
            <w:r w:rsidR="00AA5C8C" w:rsidRPr="00A23740">
              <w:rPr>
                <w:rStyle w:val="MaviChar"/>
                <w:b/>
                <w:strike w:val="0"/>
              </w:rPr>
              <w:t xml:space="preserve">Amme Alacaklarının Tahsil Usulü Hakkında </w:t>
            </w:r>
            <w:r w:rsidR="00AA5C8C" w:rsidRPr="00A23740">
              <w:rPr>
                <w:rStyle w:val="MaviChar"/>
                <w:rFonts w:eastAsia="Calibri"/>
                <w:b/>
                <w:strike w:val="0"/>
              </w:rPr>
              <w:t>Kanun</w:t>
            </w:r>
            <w:r w:rsidR="00AA5C8C" w:rsidRPr="00A23740">
              <w:rPr>
                <w:rStyle w:val="MaviChar"/>
                <w:rFonts w:eastAsia="Calibri"/>
                <w:strike w:val="0"/>
                <w:lang w:val="tr-TR"/>
              </w:rPr>
              <w:t xml:space="preserve"> </w:t>
            </w:r>
            <w:r w:rsidR="00AA5C8C" w:rsidRPr="00A23740">
              <w:rPr>
                <w:rStyle w:val="MaviChar"/>
                <w:rFonts w:eastAsia="Calibri"/>
                <w:b/>
                <w:strike w:val="0"/>
                <w:lang w:val="tr-TR"/>
              </w:rPr>
              <w:t xml:space="preserve">kapsamındaki alacaklar </w:t>
            </w:r>
            <w:r w:rsidR="00AA5C8C" w:rsidRPr="00A23740">
              <w:rPr>
                <w:rStyle w:val="MaviChar"/>
                <w:rFonts w:eastAsia="ヒラギノ明朝 Pro W3"/>
                <w:b/>
                <w:strike w:val="0"/>
              </w:rPr>
              <w:t>hariç</w:t>
            </w:r>
            <w:r w:rsidR="00AA5C8C" w:rsidRPr="00A23740">
              <w:rPr>
                <w:rStyle w:val="MaviChar"/>
                <w:rFonts w:eastAsia="Calibri"/>
                <w:b/>
                <w:strike w:val="0"/>
                <w:lang w:val="tr-TR"/>
              </w:rPr>
              <w:t xml:space="preserve"> olmak üzere geçici mühlet kararından önce veya komiserin izni olmaksızın mühlet içinde doğan bütün alacaklar hakkında aşağıdaki sonuçları doğurur:</w:t>
            </w:r>
          </w:p>
          <w:p w:rsidR="00AA5C8C" w:rsidRPr="00A23740" w:rsidRDefault="00AA5C8C" w:rsidP="009431FF">
            <w:pPr>
              <w:widowControl w:val="0"/>
              <w:rPr>
                <w:b/>
                <w:color w:val="FF0000"/>
              </w:rPr>
            </w:pPr>
          </w:p>
          <w:p w:rsidR="00AA5C8C" w:rsidRPr="00A23740" w:rsidRDefault="00AA5C8C" w:rsidP="009431FF">
            <w:pPr>
              <w:widowControl w:val="0"/>
              <w:rPr>
                <w:bCs/>
              </w:rPr>
            </w:pPr>
            <w:r w:rsidRPr="00A23740">
              <w:rPr>
                <w:rStyle w:val="MaviChar"/>
                <w:lang w:val="tr-TR"/>
              </w:rPr>
              <w:t xml:space="preserve">a) Bu alacaklar için </w:t>
            </w:r>
            <w:r w:rsidRPr="00A23740">
              <w:rPr>
                <w:rStyle w:val="MaviChar"/>
              </w:rPr>
              <w:t>kesin</w:t>
            </w:r>
            <w:r w:rsidRPr="00A23740">
              <w:rPr>
                <w:rStyle w:val="MaviChar"/>
                <w:lang w:val="tr-TR"/>
              </w:rPr>
              <w:t xml:space="preserve"> </w:t>
            </w:r>
            <w:r w:rsidRPr="00A23740">
              <w:t>mühlet</w:t>
            </w:r>
            <w:r w:rsidRPr="00A23740">
              <w:rPr>
                <w:rStyle w:val="MaviChar"/>
                <w:lang w:val="tr-TR"/>
              </w:rPr>
              <w:t xml:space="preserve"> süresince </w:t>
            </w:r>
            <w:r w:rsidRPr="00A23740">
              <w:t xml:space="preserve">borçlu </w:t>
            </w:r>
            <w:r w:rsidRPr="002A3902">
              <w:rPr>
                <w:rStyle w:val="Balk1Char"/>
                <w:rFonts w:eastAsia="Calibri"/>
              </w:rPr>
              <w:t>aleyhine</w:t>
            </w:r>
            <w:r w:rsidRPr="00A23740">
              <w:t xml:space="preserve"> hiçbir takip yapılamaz ve evvelce başlamış takipler durur</w:t>
            </w:r>
            <w:r w:rsidRPr="00A23740">
              <w:rPr>
                <w:rStyle w:val="MaviChar"/>
              </w:rPr>
              <w:t>;</w:t>
            </w:r>
            <w:r w:rsidRPr="00A23740">
              <w:rPr>
                <w:rStyle w:val="YELChar"/>
              </w:rPr>
              <w:t xml:space="preserve"> </w:t>
            </w:r>
            <w:r w:rsidRPr="00A23740">
              <w:t>ihtiyatî tedbir ve ihtiyatî haciz kararları uygulanmaz</w:t>
            </w:r>
            <w:r w:rsidRPr="00A23740">
              <w:rPr>
                <w:rStyle w:val="MaviChar"/>
              </w:rPr>
              <w:t>;</w:t>
            </w:r>
            <w:r w:rsidRPr="00A23740">
              <w:t xml:space="preserve"> bir takip </w:t>
            </w:r>
            <w:r w:rsidRPr="00A23740">
              <w:rPr>
                <w:rStyle w:val="MaviChar"/>
              </w:rPr>
              <w:t xml:space="preserve">işlemiyle </w:t>
            </w:r>
            <w:r w:rsidRPr="002A3902">
              <w:rPr>
                <w:rStyle w:val="Balk1Char"/>
                <w:rFonts w:eastAsia="Calibri"/>
              </w:rPr>
              <w:t>kesilen</w:t>
            </w:r>
            <w:r w:rsidRPr="00A23740">
              <w:t xml:space="preserve"> zamanaşımı ve hak </w:t>
            </w:r>
            <w:r w:rsidRPr="00A23740">
              <w:rPr>
                <w:rStyle w:val="MaviChar"/>
              </w:rPr>
              <w:t xml:space="preserve">düşürücü süreler </w:t>
            </w:r>
            <w:r w:rsidRPr="00A23740">
              <w:t>işlemez.</w:t>
            </w:r>
            <w:r w:rsidRPr="00A23740">
              <w:rPr>
                <w:rStyle w:val="MaviChar"/>
                <w:lang w:val="tr-TR"/>
              </w:rPr>
              <w:t xml:space="preserve">  Amme Alacaklarının Tahsil Usulü Hakkında Kanuna göre yapılan takipler de bu fıkra hükmüne tabidir. </w:t>
            </w:r>
            <w:r w:rsidRPr="005574E2">
              <w:rPr>
                <w:rStyle w:val="MaviChar"/>
              </w:rPr>
              <w:t>Ancak</w:t>
            </w:r>
            <w:r w:rsidR="00DC7886" w:rsidRPr="005574E2">
              <w:rPr>
                <w:rStyle w:val="MaviChar"/>
              </w:rPr>
              <w:t xml:space="preserve"> alacakların sırasına ilişkin</w:t>
            </w:r>
            <w:r w:rsidRPr="00A23740">
              <w:rPr>
                <w:rStyle w:val="MaviChar"/>
                <w:lang w:val="tr-TR"/>
              </w:rPr>
              <w:t xml:space="preserve"> </w:t>
            </w:r>
            <w:r w:rsidR="00274748" w:rsidRPr="005574E2">
              <w:rPr>
                <w:rStyle w:val="MaviChar"/>
              </w:rPr>
              <w:t>317 nci</w:t>
            </w:r>
            <w:r w:rsidR="00274748" w:rsidRPr="00A23740">
              <w:rPr>
                <w:bCs/>
                <w:color w:val="00B0F0"/>
                <w:szCs w:val="52"/>
                <w:lang w:eastAsia="x-none"/>
              </w:rPr>
              <w:t xml:space="preserve"> </w:t>
            </w:r>
            <w:r w:rsidRPr="00A23740">
              <w:rPr>
                <w:bCs/>
              </w:rPr>
              <w:t xml:space="preserve">maddenin birinci sırasında yazılı imtiyazlı alacaklar için </w:t>
            </w:r>
            <w:r w:rsidRPr="00A23740">
              <w:rPr>
                <w:rStyle w:val="MaviChar"/>
              </w:rPr>
              <w:t>sadece</w:t>
            </w:r>
            <w:r w:rsidRPr="00A23740">
              <w:rPr>
                <w:bCs/>
              </w:rPr>
              <w:t xml:space="preserve"> haciz yoluyla takip yapılabilir.</w:t>
            </w:r>
          </w:p>
          <w:p w:rsidR="00AA5C8C" w:rsidRPr="00A23740" w:rsidRDefault="00AA5C8C" w:rsidP="009431FF">
            <w:pPr>
              <w:widowControl w:val="0"/>
              <w:rPr>
                <w:rStyle w:val="MaviChar"/>
                <w:lang w:val="tr-TR"/>
              </w:rPr>
            </w:pPr>
          </w:p>
          <w:p w:rsidR="00AA5C8C" w:rsidRPr="00A23740" w:rsidRDefault="00AA5C8C" w:rsidP="009431FF">
            <w:pPr>
              <w:widowControl w:val="0"/>
              <w:rPr>
                <w:bCs/>
              </w:rPr>
            </w:pPr>
            <w:r w:rsidRPr="00A23740">
              <w:rPr>
                <w:rStyle w:val="MaviChar"/>
                <w:lang w:val="tr-TR"/>
              </w:rPr>
              <w:t xml:space="preserve">b) </w:t>
            </w:r>
            <w:r w:rsidRPr="00A23740">
              <w:t>Konkordato projesi aksine hüküm içermediği takdirde alacağa faiz işlemesi durur.</w:t>
            </w:r>
          </w:p>
          <w:p w:rsidR="00AA5C8C" w:rsidRDefault="00AA5C8C" w:rsidP="009431FF">
            <w:pPr>
              <w:widowControl w:val="0"/>
              <w:rPr>
                <w:rStyle w:val="MaviChar"/>
                <w:lang w:val="tr-TR"/>
              </w:rPr>
            </w:pPr>
          </w:p>
          <w:p w:rsidR="002A3902" w:rsidRPr="00A23740" w:rsidRDefault="002A3902" w:rsidP="009431FF">
            <w:pPr>
              <w:widowControl w:val="0"/>
              <w:rPr>
                <w:rStyle w:val="MaviChar"/>
                <w:lang w:val="tr-TR"/>
              </w:rPr>
            </w:pPr>
          </w:p>
          <w:p w:rsidR="00AA5C8C" w:rsidRPr="00A23740" w:rsidRDefault="00AA5C8C" w:rsidP="009431FF">
            <w:pPr>
              <w:widowControl w:val="0"/>
            </w:pPr>
            <w:r w:rsidRPr="00A23740">
              <w:rPr>
                <w:rStyle w:val="MaviChar"/>
                <w:lang w:val="tr-TR"/>
              </w:rPr>
              <w:t xml:space="preserve">c) </w:t>
            </w:r>
            <w:r w:rsidRPr="00A23740">
              <w:t>Takas bu Kanunun</w:t>
            </w:r>
            <w:r w:rsidR="00274748" w:rsidRPr="005574E2">
              <w:rPr>
                <w:rStyle w:val="MaviChar"/>
              </w:rPr>
              <w:t xml:space="preserve"> 311 inci</w:t>
            </w:r>
            <w:r w:rsidRPr="005574E2">
              <w:rPr>
                <w:rStyle w:val="MaviChar"/>
              </w:rPr>
              <w:t xml:space="preserve"> </w:t>
            </w:r>
            <w:r w:rsidRPr="00A23740">
              <w:t>ve</w:t>
            </w:r>
            <w:r w:rsidR="00274748" w:rsidRPr="00A23740">
              <w:t xml:space="preserve"> </w:t>
            </w:r>
            <w:r w:rsidR="00274748" w:rsidRPr="005574E2">
              <w:rPr>
                <w:rStyle w:val="MaviChar"/>
              </w:rPr>
              <w:t>312 nci</w:t>
            </w:r>
            <w:r w:rsidRPr="00A23740">
              <w:t xml:space="preserve"> maddelerine t</w:t>
            </w:r>
            <w:r w:rsidR="00D81869" w:rsidRPr="00A23740">
              <w:t>a</w:t>
            </w:r>
            <w:r w:rsidRPr="00A23740">
              <w:t>bidir. Bu maddelerin uygulanmasında geçici mühletin il</w:t>
            </w:r>
            <w:r w:rsidR="00930910" w:rsidRPr="00A23740">
              <w:t>a</w:t>
            </w:r>
            <w:r w:rsidRPr="00A23740">
              <w:t>nı tarihi esas alınır.</w:t>
            </w:r>
          </w:p>
          <w:p w:rsidR="00AA5C8C" w:rsidRPr="00A23740" w:rsidRDefault="00AA5C8C" w:rsidP="009431FF">
            <w:pPr>
              <w:widowControl w:val="0"/>
              <w:rPr>
                <w:rStyle w:val="MaviChar"/>
                <w:lang w:val="tr-TR"/>
              </w:rPr>
            </w:pPr>
          </w:p>
          <w:p w:rsidR="00AA5C8C" w:rsidRPr="00A23740" w:rsidRDefault="00AA5C8C" w:rsidP="009431FF">
            <w:pPr>
              <w:widowControl w:val="0"/>
            </w:pPr>
            <w:r w:rsidRPr="00A23740">
              <w:rPr>
                <w:rStyle w:val="MaviChar"/>
              </w:rPr>
              <w:t>ç)</w:t>
            </w:r>
            <w:r w:rsidRPr="00A23740">
              <w:t xml:space="preserve"> Hacizli mallar hakkında niteliğine uygun düştüğü </w:t>
            </w:r>
            <w:r w:rsidRPr="002A3902">
              <w:rPr>
                <w:rStyle w:val="MaviChar"/>
                <w:b w:val="0"/>
                <w:color w:val="000000" w:themeColor="text1"/>
              </w:rPr>
              <w:t>ölçüde</w:t>
            </w:r>
            <w:r w:rsidR="00DC7886" w:rsidRPr="005574E2">
              <w:rPr>
                <w:rStyle w:val="MaviChar"/>
              </w:rPr>
              <w:t>, ihtiyaten veya kesin olarak haczedilen mal ve haklara ilişkin</w:t>
            </w:r>
            <w:r w:rsidRPr="00A23740">
              <w:t xml:space="preserve"> </w:t>
            </w:r>
            <w:r w:rsidR="00DC7886" w:rsidRPr="00A23740">
              <w:rPr>
                <w:rStyle w:val="MaviChar"/>
                <w:lang w:val="tr-TR"/>
              </w:rPr>
              <w:t>296 ncı</w:t>
            </w:r>
            <w:r w:rsidRPr="00A23740">
              <w:rPr>
                <w:rStyle w:val="MaviChar"/>
              </w:rPr>
              <w:t xml:space="preserve"> </w:t>
            </w:r>
            <w:r w:rsidRPr="00A23740">
              <w:t>madde hükmü uygulanır.</w:t>
            </w:r>
          </w:p>
          <w:p w:rsidR="00AA5C8C" w:rsidRPr="00A23740" w:rsidRDefault="00AA5C8C" w:rsidP="009431FF">
            <w:pPr>
              <w:widowControl w:val="0"/>
              <w:rPr>
                <w:rStyle w:val="MaviChar"/>
                <w:lang w:val="tr-TR"/>
              </w:rPr>
            </w:pPr>
          </w:p>
          <w:p w:rsidR="00AA5C8C" w:rsidRPr="00A23740" w:rsidRDefault="00AA5C8C" w:rsidP="009431FF">
            <w:pPr>
              <w:widowControl w:val="0"/>
              <w:rPr>
                <w:rStyle w:val="MaviChar"/>
                <w:b w:val="0"/>
                <w:color w:val="auto"/>
                <w:lang w:val="tr-TR"/>
              </w:rPr>
            </w:pPr>
            <w:r w:rsidRPr="00A23740">
              <w:rPr>
                <w:rStyle w:val="MaviChar"/>
                <w:lang w:val="tr-TR"/>
              </w:rPr>
              <w:t xml:space="preserve">d) </w:t>
            </w:r>
            <w:r w:rsidRPr="00A23740">
              <w:rPr>
                <w:rStyle w:val="MaviChar"/>
              </w:rPr>
              <w:t>Kesin</w:t>
            </w:r>
            <w:r w:rsidRPr="00A23740">
              <w:rPr>
                <w:bCs/>
              </w:rPr>
              <w:t xml:space="preserve"> mühletin verilmesinden önce</w:t>
            </w:r>
            <w:r w:rsidRPr="00A23740">
              <w:rPr>
                <w:rStyle w:val="MaviChar"/>
                <w:lang w:val="tr-TR"/>
              </w:rPr>
              <w:t xml:space="preserve"> </w:t>
            </w:r>
            <w:r w:rsidRPr="00A23740">
              <w:rPr>
                <w:rStyle w:val="MaviChar"/>
                <w:b w:val="0"/>
                <w:color w:val="auto"/>
                <w:lang w:val="tr-TR"/>
              </w:rPr>
              <w:t xml:space="preserve">müstakbel bir alacağın devri sözleşmesi yapılmış ve devredilen alacak konkordato mühletinin verilmesinden sonra </w:t>
            </w:r>
            <w:r w:rsidR="00DC7886" w:rsidRPr="005574E2">
              <w:rPr>
                <w:rStyle w:val="MaviChar"/>
              </w:rPr>
              <w:t>doğmuşsa,</w:t>
            </w:r>
            <w:r w:rsidRPr="00A23740">
              <w:rPr>
                <w:rStyle w:val="MaviChar"/>
                <w:b w:val="0"/>
                <w:color w:val="auto"/>
                <w:lang w:val="tr-TR"/>
              </w:rPr>
              <w:t xml:space="preserve"> bu devir hükümsüzdür.</w:t>
            </w:r>
          </w:p>
          <w:p w:rsidR="00AA5C8C" w:rsidRPr="00A23740" w:rsidRDefault="00AA5C8C" w:rsidP="009431FF">
            <w:pPr>
              <w:widowControl w:val="0"/>
              <w:rPr>
                <w:rStyle w:val="MaviChar"/>
                <w:b w:val="0"/>
                <w:color w:val="auto"/>
                <w:lang w:val="tr-TR"/>
              </w:rPr>
            </w:pPr>
          </w:p>
          <w:p w:rsidR="00AA5C8C" w:rsidRPr="00A23740" w:rsidRDefault="00AA5C8C" w:rsidP="009431FF">
            <w:pPr>
              <w:widowControl w:val="0"/>
            </w:pPr>
            <w:r w:rsidRPr="00A23740">
              <w:rPr>
                <w:rStyle w:val="MaviChar"/>
                <w:lang w:val="tr-TR"/>
              </w:rPr>
              <w:t xml:space="preserve">e) </w:t>
            </w:r>
            <w:r w:rsidRPr="00A23740">
              <w:rPr>
                <w:rStyle w:val="MaviChar"/>
                <w:b w:val="0"/>
                <w:color w:val="auto"/>
                <w:lang w:val="tr-TR"/>
              </w:rPr>
              <w:t>Konusu para olmayan alacaklar, alacaklı tarafından ona eşit kıymette para alacağına çevrilerek komisere bildirilir. Şu kadar ki borçlu, komiserin onayıyla taahhüdün aynen ifasını üstlenmekte serbesttir.</w:t>
            </w:r>
          </w:p>
        </w:tc>
      </w:tr>
      <w:tr w:rsidR="005C3738" w:rsidRPr="00A23740" w:rsidTr="009431FF">
        <w:tc>
          <w:tcPr>
            <w:tcW w:w="5000" w:type="pct"/>
            <w:gridSpan w:val="2"/>
            <w:shd w:val="clear" w:color="auto" w:fill="DEEAF6"/>
          </w:tcPr>
          <w:p w:rsidR="00A354BD" w:rsidRPr="00A23740" w:rsidRDefault="00A354BD" w:rsidP="009431FF">
            <w:pPr>
              <w:tabs>
                <w:tab w:val="left" w:pos="567"/>
              </w:tabs>
              <w:ind w:firstLine="567"/>
              <w:rPr>
                <w:b/>
                <w:color w:val="000000"/>
                <w:szCs w:val="24"/>
                <w:lang w:val="x-none" w:eastAsia="x-none"/>
              </w:rPr>
            </w:pPr>
          </w:p>
          <w:p w:rsidR="007F2779" w:rsidRPr="00A23740" w:rsidRDefault="003E49A5" w:rsidP="009431FF">
            <w:pPr>
              <w:tabs>
                <w:tab w:val="left" w:pos="567"/>
              </w:tabs>
              <w:ind w:firstLine="567"/>
              <w:rPr>
                <w:rFonts w:eastAsia="Times New Roman"/>
                <w:bCs/>
                <w:color w:val="000000"/>
                <w:szCs w:val="24"/>
                <w:lang w:eastAsia="x-none"/>
              </w:rPr>
            </w:pPr>
            <w:r w:rsidRPr="00A23740">
              <w:rPr>
                <w:b/>
                <w:color w:val="000000"/>
                <w:szCs w:val="24"/>
                <w:lang w:val="x-none" w:eastAsia="x-none"/>
              </w:rPr>
              <w:t>MADDE 386</w:t>
            </w:r>
            <w:r w:rsidR="007F2779" w:rsidRPr="00A23740">
              <w:rPr>
                <w:b/>
                <w:color w:val="000000"/>
                <w:szCs w:val="24"/>
                <w:lang w:val="x-none" w:eastAsia="x-none"/>
              </w:rPr>
              <w:t>-</w:t>
            </w:r>
            <w:r w:rsidR="007F2779" w:rsidRPr="00A23740">
              <w:rPr>
                <w:color w:val="000000"/>
                <w:szCs w:val="24"/>
                <w:lang w:eastAsia="x-none"/>
              </w:rPr>
              <w:t xml:space="preserve"> </w:t>
            </w:r>
            <w:r w:rsidR="00A354BD" w:rsidRPr="00A23740">
              <w:rPr>
                <w:color w:val="000000"/>
                <w:szCs w:val="24"/>
                <w:lang w:eastAsia="x-none"/>
              </w:rPr>
              <w:t xml:space="preserve">Maddeyle, kesin mühletin alacaklılar bakımından sonuçlarına ilişkin hususlar düzenlenmektedir. </w:t>
            </w:r>
            <w:r w:rsidR="007F2779" w:rsidRPr="00A23740">
              <w:rPr>
                <w:color w:val="000000"/>
                <w:szCs w:val="24"/>
                <w:lang w:eastAsia="x-none"/>
              </w:rPr>
              <w:t>Taslağın</w:t>
            </w:r>
            <w:r w:rsidR="008E5C91" w:rsidRPr="00A23740">
              <w:rPr>
                <w:color w:val="000000"/>
                <w:szCs w:val="24"/>
                <w:lang w:eastAsia="x-none"/>
              </w:rPr>
              <w:t xml:space="preserve"> </w:t>
            </w:r>
            <w:r w:rsidR="008E5C91" w:rsidRPr="005574E2">
              <w:t>386 ncı</w:t>
            </w:r>
            <w:r w:rsidR="007F2779" w:rsidRPr="00A23740">
              <w:rPr>
                <w:color w:val="000000"/>
                <w:szCs w:val="24"/>
                <w:lang w:eastAsia="x-none"/>
              </w:rPr>
              <w:t xml:space="preserve"> maddesi “</w:t>
            </w:r>
            <w:r w:rsidR="007F2779" w:rsidRPr="00A23740">
              <w:rPr>
                <w:rFonts w:eastAsia="Times New Roman"/>
                <w:bCs/>
                <w:color w:val="000000"/>
                <w:szCs w:val="24"/>
                <w:lang w:eastAsia="x-none"/>
              </w:rPr>
              <w:t xml:space="preserve">Kesin mühletin alacaklılar bakımından sonuçları” başlığını taşımakta olup </w:t>
            </w:r>
            <w:r w:rsidR="00A354BD" w:rsidRPr="00A23740">
              <w:rPr>
                <w:rFonts w:eastAsia="Times New Roman"/>
                <w:bCs/>
                <w:color w:val="000000"/>
                <w:szCs w:val="24"/>
                <w:lang w:eastAsia="x-none"/>
              </w:rPr>
              <w:t>2004 sayılı K</w:t>
            </w:r>
            <w:r w:rsidR="007F2779" w:rsidRPr="00A23740">
              <w:rPr>
                <w:rFonts w:eastAsia="Times New Roman"/>
                <w:bCs/>
                <w:color w:val="000000"/>
                <w:szCs w:val="24"/>
                <w:lang w:eastAsia="x-none"/>
              </w:rPr>
              <w:t xml:space="preserve">anunun 294 üncü maddesine karşılık gelmektedir. </w:t>
            </w:r>
          </w:p>
          <w:p w:rsidR="007F2779" w:rsidRPr="00A23740" w:rsidRDefault="007F2779" w:rsidP="009431FF">
            <w:pPr>
              <w:tabs>
                <w:tab w:val="left" w:pos="567"/>
              </w:tabs>
              <w:ind w:firstLine="567"/>
              <w:rPr>
                <w:color w:val="000000"/>
                <w:szCs w:val="24"/>
                <w:lang w:eastAsia="x-none"/>
              </w:rPr>
            </w:pPr>
            <w:r w:rsidRPr="00A23740">
              <w:rPr>
                <w:color w:val="000000"/>
                <w:szCs w:val="24"/>
                <w:lang w:eastAsia="x-none"/>
              </w:rPr>
              <w:t xml:space="preserve">Maddenin </w:t>
            </w:r>
            <w:r w:rsidR="00A354BD" w:rsidRPr="00A23740">
              <w:rPr>
                <w:color w:val="000000"/>
                <w:szCs w:val="24"/>
                <w:lang w:eastAsia="x-none"/>
              </w:rPr>
              <w:t>bir</w:t>
            </w:r>
            <w:r w:rsidRPr="00A23740">
              <w:rPr>
                <w:color w:val="000000"/>
                <w:szCs w:val="24"/>
                <w:lang w:eastAsia="x-none"/>
              </w:rPr>
              <w:t>inci fıkrasında k</w:t>
            </w:r>
            <w:r w:rsidRPr="00A23740">
              <w:rPr>
                <w:rFonts w:eastAsia="ヒラギノ明朝 Pro W3"/>
                <w:color w:val="000000"/>
                <w:szCs w:val="24"/>
                <w:lang w:val="x-none" w:eastAsia="x-none"/>
              </w:rPr>
              <w:t>esin</w:t>
            </w:r>
            <w:r w:rsidRPr="00A23740">
              <w:rPr>
                <w:color w:val="000000"/>
                <w:szCs w:val="24"/>
                <w:lang w:eastAsia="x-none"/>
              </w:rPr>
              <w:t xml:space="preserve"> </w:t>
            </w:r>
            <w:r w:rsidRPr="00A23740">
              <w:rPr>
                <w:rFonts w:eastAsia="Times New Roman"/>
                <w:color w:val="000000"/>
                <w:szCs w:val="24"/>
              </w:rPr>
              <w:t>mühlet</w:t>
            </w:r>
            <w:r w:rsidRPr="00A23740">
              <w:rPr>
                <w:color w:val="000000"/>
                <w:szCs w:val="24"/>
                <w:lang w:eastAsia="x-none"/>
              </w:rPr>
              <w:t xml:space="preserve">, </w:t>
            </w:r>
            <w:r w:rsidR="008E5C91" w:rsidRPr="005574E2">
              <w:t>317 nci</w:t>
            </w:r>
            <w:r w:rsidR="008E5C91" w:rsidRPr="00A23740">
              <w:rPr>
                <w:bCs/>
                <w:color w:val="00B0F0"/>
                <w:szCs w:val="52"/>
                <w:lang w:eastAsia="x-none"/>
              </w:rPr>
              <w:t xml:space="preserve"> </w:t>
            </w:r>
            <w:r w:rsidRPr="00A23740">
              <w:rPr>
                <w:color w:val="000000"/>
                <w:szCs w:val="24"/>
                <w:lang w:val="x-none" w:eastAsia="x-none"/>
              </w:rPr>
              <w:t>maddenin birinci sırasında yazılı imtiyazlı alacaklar ve</w:t>
            </w:r>
            <w:r w:rsidRPr="00A23740">
              <w:rPr>
                <w:bCs/>
                <w:color w:val="000000"/>
                <w:szCs w:val="24"/>
                <w:lang w:val="x-none" w:eastAsia="x-none"/>
              </w:rPr>
              <w:t xml:space="preserve"> </w:t>
            </w:r>
            <w:r w:rsidRPr="00A23740">
              <w:rPr>
                <w:color w:val="000000"/>
                <w:szCs w:val="24"/>
                <w:lang w:val="x-none" w:eastAsia="x-none"/>
              </w:rPr>
              <w:t>Amme Alacaklarının Tahsil Usulü Hakkında Kanun</w:t>
            </w:r>
            <w:r w:rsidRPr="00A23740">
              <w:rPr>
                <w:color w:val="000000"/>
                <w:szCs w:val="24"/>
                <w:lang w:eastAsia="x-none"/>
              </w:rPr>
              <w:t xml:space="preserve"> kapsamındaki alacaklar </w:t>
            </w:r>
            <w:r w:rsidRPr="00A23740">
              <w:rPr>
                <w:rFonts w:eastAsia="ヒラギノ明朝 Pro W3"/>
                <w:color w:val="000000"/>
                <w:szCs w:val="24"/>
                <w:lang w:val="x-none" w:eastAsia="x-none"/>
              </w:rPr>
              <w:t>hariç</w:t>
            </w:r>
            <w:r w:rsidRPr="00A23740">
              <w:rPr>
                <w:color w:val="000000"/>
                <w:szCs w:val="24"/>
                <w:lang w:eastAsia="x-none"/>
              </w:rPr>
              <w:t xml:space="preserve"> olmak üzere geçici mühlet kararından önce veya komiserin izni olmaksızın mühlet içinde doğan bütün alacaklar hakkında doğurduğu </w:t>
            </w:r>
            <w:r w:rsidR="00DC7886" w:rsidRPr="005574E2">
              <w:t>sonuçlara ilişkindir.</w:t>
            </w:r>
          </w:p>
          <w:p w:rsidR="007F2779" w:rsidRPr="00A23740" w:rsidRDefault="00A354BD" w:rsidP="009431FF">
            <w:pPr>
              <w:ind w:firstLine="567"/>
              <w:rPr>
                <w:color w:val="000000"/>
                <w:szCs w:val="24"/>
              </w:rPr>
            </w:pPr>
            <w:r w:rsidRPr="00A23740">
              <w:rPr>
                <w:bCs/>
                <w:color w:val="000000"/>
                <w:szCs w:val="24"/>
                <w:lang w:eastAsia="x-none"/>
              </w:rPr>
              <w:t>Bir</w:t>
            </w:r>
            <w:r w:rsidR="007F2779" w:rsidRPr="00A23740">
              <w:rPr>
                <w:bCs/>
                <w:color w:val="000000"/>
                <w:szCs w:val="24"/>
                <w:lang w:eastAsia="x-none"/>
              </w:rPr>
              <w:t xml:space="preserve">inci </w:t>
            </w:r>
            <w:r w:rsidRPr="00A23740">
              <w:rPr>
                <w:bCs/>
                <w:color w:val="000000"/>
                <w:szCs w:val="24"/>
                <w:lang w:eastAsia="x-none"/>
              </w:rPr>
              <w:t>fıkranın</w:t>
            </w:r>
            <w:r w:rsidR="007F2779" w:rsidRPr="00A23740">
              <w:rPr>
                <w:bCs/>
                <w:color w:val="000000"/>
                <w:szCs w:val="24"/>
                <w:lang w:eastAsia="x-none"/>
              </w:rPr>
              <w:t xml:space="preserve"> </w:t>
            </w:r>
            <w:r w:rsidR="00FB7384" w:rsidRPr="00A23740">
              <w:rPr>
                <w:bCs/>
                <w:color w:val="000000"/>
                <w:szCs w:val="24"/>
                <w:lang w:eastAsia="x-none"/>
              </w:rPr>
              <w:t>(</w:t>
            </w:r>
            <w:r w:rsidR="007F2779" w:rsidRPr="00A23740">
              <w:rPr>
                <w:bCs/>
                <w:color w:val="000000"/>
                <w:szCs w:val="24"/>
                <w:lang w:eastAsia="x-none"/>
              </w:rPr>
              <w:t>a</w:t>
            </w:r>
            <w:r w:rsidR="00FB7384" w:rsidRPr="00A23740">
              <w:rPr>
                <w:bCs/>
                <w:color w:val="000000"/>
                <w:szCs w:val="24"/>
                <w:lang w:eastAsia="x-none"/>
              </w:rPr>
              <w:t>)</w:t>
            </w:r>
            <w:r w:rsidR="007F2779" w:rsidRPr="00A23740">
              <w:rPr>
                <w:bCs/>
                <w:color w:val="000000"/>
                <w:szCs w:val="24"/>
                <w:lang w:eastAsia="x-none"/>
              </w:rPr>
              <w:t xml:space="preserve"> bendine göre b</w:t>
            </w:r>
            <w:r w:rsidR="007F2779" w:rsidRPr="00A23740">
              <w:rPr>
                <w:bCs/>
                <w:color w:val="000000"/>
                <w:szCs w:val="24"/>
                <w:lang w:val="x-none" w:eastAsia="x-none"/>
              </w:rPr>
              <w:t xml:space="preserve">u alacaklar için kesin </w:t>
            </w:r>
            <w:r w:rsidR="007F2779" w:rsidRPr="00A23740">
              <w:rPr>
                <w:color w:val="000000"/>
                <w:szCs w:val="24"/>
              </w:rPr>
              <w:t>mühlet</w:t>
            </w:r>
            <w:r w:rsidR="007F2779" w:rsidRPr="00A23740">
              <w:rPr>
                <w:bCs/>
                <w:color w:val="000000"/>
                <w:szCs w:val="24"/>
                <w:lang w:val="x-none" w:eastAsia="x-none"/>
              </w:rPr>
              <w:t xml:space="preserve"> süresince </w:t>
            </w:r>
            <w:r w:rsidR="007F2779" w:rsidRPr="00A23740">
              <w:rPr>
                <w:color w:val="000000"/>
                <w:szCs w:val="24"/>
              </w:rPr>
              <w:t xml:space="preserve">borçlu aleyhine hiçbir takip yapılamaz ve evvelce başlamış </w:t>
            </w:r>
            <w:r w:rsidR="001437A5" w:rsidRPr="00A23740">
              <w:rPr>
                <w:color w:val="000000"/>
                <w:szCs w:val="24"/>
              </w:rPr>
              <w:t xml:space="preserve">olan </w:t>
            </w:r>
            <w:r w:rsidR="007F2779" w:rsidRPr="00A23740">
              <w:rPr>
                <w:color w:val="000000"/>
                <w:szCs w:val="24"/>
              </w:rPr>
              <w:t>takipler durur</w:t>
            </w:r>
            <w:r w:rsidR="007F2779" w:rsidRPr="00A23740">
              <w:rPr>
                <w:bCs/>
                <w:color w:val="000000"/>
                <w:szCs w:val="24"/>
                <w:lang w:val="x-none" w:eastAsia="x-none"/>
              </w:rPr>
              <w:t>;</w:t>
            </w:r>
            <w:r w:rsidR="007F2779" w:rsidRPr="00A23740">
              <w:rPr>
                <w:rFonts w:eastAsia="ヒラギノ明朝 Pro W3"/>
                <w:color w:val="000000"/>
                <w:szCs w:val="24"/>
              </w:rPr>
              <w:t xml:space="preserve"> </w:t>
            </w:r>
            <w:r w:rsidR="007F2779" w:rsidRPr="00A23740">
              <w:rPr>
                <w:color w:val="000000"/>
                <w:szCs w:val="24"/>
              </w:rPr>
              <w:t>ihtiyatî tedbir ve ihtiyatî haciz kararları uygulanmaz</w:t>
            </w:r>
            <w:r w:rsidR="007F2779" w:rsidRPr="00A23740">
              <w:rPr>
                <w:bCs/>
                <w:color w:val="000000"/>
                <w:szCs w:val="24"/>
                <w:lang w:val="x-none" w:eastAsia="x-none"/>
              </w:rPr>
              <w:t>;</w:t>
            </w:r>
            <w:r w:rsidR="007F2779" w:rsidRPr="00A23740">
              <w:rPr>
                <w:color w:val="000000"/>
                <w:szCs w:val="24"/>
              </w:rPr>
              <w:t xml:space="preserve"> bir takip </w:t>
            </w:r>
            <w:r w:rsidR="007F2779" w:rsidRPr="00A23740">
              <w:rPr>
                <w:bCs/>
                <w:color w:val="000000"/>
                <w:szCs w:val="24"/>
                <w:lang w:val="x-none" w:eastAsia="x-none"/>
              </w:rPr>
              <w:t xml:space="preserve">işlemiyle </w:t>
            </w:r>
            <w:r w:rsidR="007F2779" w:rsidRPr="00A23740">
              <w:rPr>
                <w:color w:val="000000"/>
                <w:szCs w:val="24"/>
              </w:rPr>
              <w:t xml:space="preserve">kesilen zamanaşımı ve hak </w:t>
            </w:r>
            <w:r w:rsidR="007F2779" w:rsidRPr="00A23740">
              <w:rPr>
                <w:bCs/>
                <w:color w:val="000000"/>
                <w:szCs w:val="24"/>
                <w:lang w:val="x-none" w:eastAsia="x-none"/>
              </w:rPr>
              <w:t xml:space="preserve">düşürücü süreler </w:t>
            </w:r>
            <w:r w:rsidR="007F2779" w:rsidRPr="00A23740">
              <w:rPr>
                <w:color w:val="000000"/>
                <w:szCs w:val="24"/>
              </w:rPr>
              <w:t>işlemez;</w:t>
            </w:r>
            <w:r w:rsidR="007F2779" w:rsidRPr="00A23740">
              <w:rPr>
                <w:bCs/>
                <w:color w:val="000000"/>
                <w:szCs w:val="24"/>
                <w:lang w:val="x-none" w:eastAsia="x-none"/>
              </w:rPr>
              <w:t xml:space="preserve">  Amme Alacaklarının Tahsil Usulü Hakkında Kanuna göre yapılan takipler de bu fıkra hükmüne tabi</w:t>
            </w:r>
            <w:r w:rsidR="007F2779" w:rsidRPr="00A23740">
              <w:rPr>
                <w:bCs/>
                <w:color w:val="000000"/>
                <w:szCs w:val="24"/>
                <w:lang w:eastAsia="x-none"/>
              </w:rPr>
              <w:t xml:space="preserve"> olup ancak</w:t>
            </w:r>
            <w:r w:rsidR="007F2779" w:rsidRPr="00A23740">
              <w:rPr>
                <w:bCs/>
                <w:color w:val="000000"/>
                <w:szCs w:val="24"/>
                <w:lang w:val="x-none" w:eastAsia="x-none"/>
              </w:rPr>
              <w:t xml:space="preserve"> </w:t>
            </w:r>
            <w:r w:rsidR="008E5C91" w:rsidRPr="005574E2">
              <w:t>317 nci</w:t>
            </w:r>
            <w:r w:rsidR="008E5C91" w:rsidRPr="00A23740">
              <w:rPr>
                <w:bCs/>
                <w:color w:val="00B0F0"/>
                <w:szCs w:val="52"/>
                <w:lang w:eastAsia="x-none"/>
              </w:rPr>
              <w:t xml:space="preserve"> </w:t>
            </w:r>
            <w:r w:rsidR="007F2779" w:rsidRPr="00A23740">
              <w:rPr>
                <w:bCs/>
                <w:color w:val="000000"/>
                <w:szCs w:val="24"/>
              </w:rPr>
              <w:t xml:space="preserve">maddenin birinci sırasında yazılı imtiyazlı alacaklar için </w:t>
            </w:r>
            <w:r w:rsidR="007F2779" w:rsidRPr="00A23740">
              <w:rPr>
                <w:bCs/>
                <w:color w:val="000000"/>
                <w:szCs w:val="24"/>
                <w:lang w:val="x-none" w:eastAsia="x-none"/>
              </w:rPr>
              <w:t>sadece</w:t>
            </w:r>
            <w:r w:rsidR="007F2779" w:rsidRPr="00A23740">
              <w:rPr>
                <w:bCs/>
                <w:color w:val="000000"/>
                <w:szCs w:val="24"/>
              </w:rPr>
              <w:t xml:space="preserve"> haciz yoluyla takip yapılması mümkündür. Bu maddenin </w:t>
            </w:r>
            <w:r w:rsidRPr="00A23740">
              <w:rPr>
                <w:bCs/>
                <w:color w:val="000000"/>
                <w:szCs w:val="24"/>
              </w:rPr>
              <w:t>(</w:t>
            </w:r>
            <w:r w:rsidR="007F2779" w:rsidRPr="00A23740">
              <w:rPr>
                <w:bCs/>
                <w:color w:val="000000"/>
                <w:szCs w:val="24"/>
                <w:lang w:eastAsia="x-none"/>
              </w:rPr>
              <w:t>b</w:t>
            </w:r>
            <w:r w:rsidRPr="00A23740">
              <w:rPr>
                <w:bCs/>
                <w:color w:val="000000"/>
                <w:szCs w:val="24"/>
                <w:lang w:eastAsia="x-none"/>
              </w:rPr>
              <w:t>)</w:t>
            </w:r>
            <w:r w:rsidR="007F2779" w:rsidRPr="00A23740">
              <w:rPr>
                <w:bCs/>
                <w:color w:val="000000"/>
                <w:szCs w:val="24"/>
                <w:lang w:eastAsia="x-none"/>
              </w:rPr>
              <w:t xml:space="preserve"> bendine göre k</w:t>
            </w:r>
            <w:r w:rsidR="007F2779" w:rsidRPr="00A23740">
              <w:rPr>
                <w:color w:val="000000"/>
                <w:szCs w:val="24"/>
              </w:rPr>
              <w:t>onkordato projesi aksine hüküm içermediği takdirde alaca</w:t>
            </w:r>
            <w:r w:rsidR="00AD7E89">
              <w:rPr>
                <w:color w:val="000000"/>
                <w:szCs w:val="24"/>
              </w:rPr>
              <w:t>ğa faiz işlemesi durur.</w:t>
            </w:r>
            <w:r w:rsidR="007F2779" w:rsidRPr="00A23740">
              <w:rPr>
                <w:bCs/>
                <w:color w:val="000000"/>
                <w:szCs w:val="24"/>
                <w:lang w:eastAsia="x-none"/>
              </w:rPr>
              <w:t xml:space="preserve"> </w:t>
            </w:r>
            <w:r w:rsidR="001437A5" w:rsidRPr="00A23740">
              <w:rPr>
                <w:bCs/>
                <w:color w:val="000000"/>
                <w:szCs w:val="24"/>
                <w:lang w:eastAsia="x-none"/>
              </w:rPr>
              <w:t xml:space="preserve">Maddenin </w:t>
            </w:r>
            <w:r w:rsidRPr="00A23740">
              <w:rPr>
                <w:bCs/>
                <w:color w:val="000000"/>
                <w:szCs w:val="24"/>
                <w:lang w:eastAsia="x-none"/>
              </w:rPr>
              <w:t>(</w:t>
            </w:r>
            <w:r w:rsidR="007F2779" w:rsidRPr="00A23740">
              <w:rPr>
                <w:bCs/>
                <w:color w:val="000000"/>
                <w:szCs w:val="24"/>
                <w:lang w:eastAsia="x-none"/>
              </w:rPr>
              <w:t>c</w:t>
            </w:r>
            <w:r w:rsidRPr="00A23740">
              <w:rPr>
                <w:bCs/>
                <w:color w:val="000000"/>
                <w:szCs w:val="24"/>
                <w:lang w:eastAsia="x-none"/>
              </w:rPr>
              <w:t>) bendinde</w:t>
            </w:r>
            <w:r w:rsidR="007F2779" w:rsidRPr="00A23740">
              <w:rPr>
                <w:bCs/>
                <w:color w:val="000000"/>
                <w:szCs w:val="24"/>
                <w:lang w:val="x-none" w:eastAsia="x-none"/>
              </w:rPr>
              <w:t xml:space="preserve"> </w:t>
            </w:r>
            <w:r w:rsidR="007F2779" w:rsidRPr="00A23740">
              <w:rPr>
                <w:bCs/>
                <w:color w:val="000000"/>
                <w:szCs w:val="24"/>
                <w:lang w:eastAsia="x-none"/>
              </w:rPr>
              <w:t>ise t</w:t>
            </w:r>
            <w:r w:rsidR="007F2779" w:rsidRPr="00A23740">
              <w:rPr>
                <w:color w:val="000000"/>
                <w:szCs w:val="24"/>
              </w:rPr>
              <w:t xml:space="preserve">akasın </w:t>
            </w:r>
            <w:r w:rsidR="008E5C91" w:rsidRPr="005574E2">
              <w:t>311 inci</w:t>
            </w:r>
            <w:r w:rsidR="008E5C91" w:rsidRPr="00A23740">
              <w:t xml:space="preserve"> ve </w:t>
            </w:r>
            <w:r w:rsidR="008E5C91" w:rsidRPr="005574E2">
              <w:t>312 nci</w:t>
            </w:r>
            <w:r w:rsidR="008E5C91" w:rsidRPr="00A23740">
              <w:t xml:space="preserve"> </w:t>
            </w:r>
            <w:r w:rsidR="007F2779" w:rsidRPr="00A23740">
              <w:rPr>
                <w:color w:val="000000"/>
                <w:szCs w:val="24"/>
              </w:rPr>
              <w:t>maddelere t</w:t>
            </w:r>
            <w:r w:rsidR="00D81869" w:rsidRPr="00A23740">
              <w:rPr>
                <w:color w:val="000000"/>
                <w:szCs w:val="24"/>
              </w:rPr>
              <w:t>a</w:t>
            </w:r>
            <w:r w:rsidR="007F2779" w:rsidRPr="00A23740">
              <w:rPr>
                <w:color w:val="000000"/>
                <w:szCs w:val="24"/>
              </w:rPr>
              <w:t>bi olduğu ve bu maddelerin uygulanmasında geçici mühletin il</w:t>
            </w:r>
            <w:r w:rsidR="00930910" w:rsidRPr="00A23740">
              <w:rPr>
                <w:color w:val="000000"/>
                <w:szCs w:val="24"/>
              </w:rPr>
              <w:t>a</w:t>
            </w:r>
            <w:r w:rsidR="007F2779" w:rsidRPr="00A23740">
              <w:rPr>
                <w:color w:val="000000"/>
                <w:szCs w:val="24"/>
              </w:rPr>
              <w:t>nı tarihinin</w:t>
            </w:r>
            <w:r w:rsidRPr="00A23740">
              <w:rPr>
                <w:color w:val="000000"/>
                <w:szCs w:val="24"/>
              </w:rPr>
              <w:t xml:space="preserve"> esas alınacağı belirtilmiştir.</w:t>
            </w:r>
          </w:p>
          <w:p w:rsidR="007F2779" w:rsidRPr="00A23740" w:rsidRDefault="00A354BD" w:rsidP="009431FF">
            <w:pPr>
              <w:ind w:firstLine="567"/>
              <w:rPr>
                <w:bCs/>
                <w:color w:val="000000"/>
                <w:szCs w:val="24"/>
                <w:lang w:eastAsia="x-none"/>
              </w:rPr>
            </w:pPr>
            <w:r w:rsidRPr="00A23740">
              <w:rPr>
                <w:bCs/>
                <w:color w:val="000000"/>
                <w:szCs w:val="24"/>
                <w:lang w:eastAsia="x-none"/>
              </w:rPr>
              <w:t>Bir</w:t>
            </w:r>
            <w:r w:rsidR="007F2779" w:rsidRPr="00A23740">
              <w:rPr>
                <w:bCs/>
                <w:color w:val="000000"/>
                <w:szCs w:val="24"/>
                <w:lang w:eastAsia="x-none"/>
              </w:rPr>
              <w:t xml:space="preserve">inci fıkranın </w:t>
            </w:r>
            <w:r w:rsidRPr="00A23740">
              <w:rPr>
                <w:bCs/>
                <w:color w:val="000000"/>
                <w:szCs w:val="24"/>
                <w:lang w:eastAsia="x-none"/>
              </w:rPr>
              <w:t>(</w:t>
            </w:r>
            <w:r w:rsidR="007F2779" w:rsidRPr="00A23740">
              <w:rPr>
                <w:bCs/>
                <w:color w:val="000000"/>
                <w:szCs w:val="24"/>
                <w:lang w:eastAsia="x-none"/>
              </w:rPr>
              <w:t>ç</w:t>
            </w:r>
            <w:r w:rsidRPr="00A23740">
              <w:rPr>
                <w:bCs/>
                <w:color w:val="000000"/>
                <w:szCs w:val="24"/>
                <w:lang w:eastAsia="x-none"/>
              </w:rPr>
              <w:t>)</w:t>
            </w:r>
            <w:r w:rsidR="007F2779" w:rsidRPr="00A23740">
              <w:rPr>
                <w:bCs/>
                <w:color w:val="000000"/>
                <w:szCs w:val="24"/>
                <w:lang w:eastAsia="x-none"/>
              </w:rPr>
              <w:t xml:space="preserve"> bendinde h</w:t>
            </w:r>
            <w:r w:rsidR="007F2779" w:rsidRPr="00A23740">
              <w:rPr>
                <w:color w:val="000000"/>
                <w:szCs w:val="24"/>
              </w:rPr>
              <w:t>acizli mallar hakkında niteliğine uygun düştüğü ölçüde</w:t>
            </w:r>
            <w:r w:rsidR="00FB7384" w:rsidRPr="00A23740">
              <w:rPr>
                <w:color w:val="000000"/>
                <w:szCs w:val="24"/>
              </w:rPr>
              <w:t xml:space="preserve"> </w:t>
            </w:r>
            <w:r w:rsidR="00FB7384" w:rsidRPr="005574E2">
              <w:t>ihtiyaten veya kesin olarak haczedilen mal ve haklara ilişkin</w:t>
            </w:r>
            <w:r w:rsidR="007F2779" w:rsidRPr="00A23740">
              <w:rPr>
                <w:color w:val="385623"/>
                <w:szCs w:val="24"/>
              </w:rPr>
              <w:t xml:space="preserve"> </w:t>
            </w:r>
            <w:r w:rsidR="008E5C91" w:rsidRPr="005574E2">
              <w:t>296 ncı</w:t>
            </w:r>
            <w:r w:rsidR="008E5C91" w:rsidRPr="00A23740">
              <w:rPr>
                <w:rStyle w:val="MaviChar"/>
              </w:rPr>
              <w:t xml:space="preserve"> </w:t>
            </w:r>
            <w:r w:rsidR="00AD7E89">
              <w:rPr>
                <w:color w:val="000000"/>
                <w:szCs w:val="24"/>
              </w:rPr>
              <w:t>madde hükmünün uygulanacağı;</w:t>
            </w:r>
            <w:r w:rsidR="007F2779" w:rsidRPr="00A23740">
              <w:rPr>
                <w:bCs/>
                <w:color w:val="000000"/>
                <w:szCs w:val="24"/>
                <w:lang w:eastAsia="x-none"/>
              </w:rPr>
              <w:t xml:space="preserve"> </w:t>
            </w:r>
            <w:r w:rsidRPr="00A23740">
              <w:rPr>
                <w:bCs/>
                <w:color w:val="000000"/>
                <w:szCs w:val="24"/>
                <w:lang w:eastAsia="x-none"/>
              </w:rPr>
              <w:t>(</w:t>
            </w:r>
            <w:r w:rsidR="007F2779" w:rsidRPr="00A23740">
              <w:rPr>
                <w:bCs/>
                <w:color w:val="000000"/>
                <w:szCs w:val="24"/>
                <w:lang w:eastAsia="x-none"/>
              </w:rPr>
              <w:t>d</w:t>
            </w:r>
            <w:r w:rsidRPr="00A23740">
              <w:rPr>
                <w:bCs/>
                <w:color w:val="000000"/>
                <w:szCs w:val="24"/>
                <w:lang w:eastAsia="x-none"/>
              </w:rPr>
              <w:t>)</w:t>
            </w:r>
            <w:r w:rsidR="007F2779" w:rsidRPr="00A23740">
              <w:rPr>
                <w:bCs/>
                <w:color w:val="000000"/>
                <w:szCs w:val="24"/>
                <w:lang w:eastAsia="x-none"/>
              </w:rPr>
              <w:t xml:space="preserve"> bendinde k</w:t>
            </w:r>
            <w:r w:rsidR="007F2779" w:rsidRPr="00A23740">
              <w:rPr>
                <w:bCs/>
                <w:color w:val="000000"/>
                <w:szCs w:val="24"/>
                <w:lang w:val="x-none" w:eastAsia="x-none"/>
              </w:rPr>
              <w:t>esin</w:t>
            </w:r>
            <w:r w:rsidR="007F2779" w:rsidRPr="00A23740">
              <w:rPr>
                <w:bCs/>
                <w:color w:val="000000"/>
                <w:szCs w:val="24"/>
              </w:rPr>
              <w:t xml:space="preserve"> mühletin verilmesinden önce,</w:t>
            </w:r>
            <w:r w:rsidR="007F2779" w:rsidRPr="00A23740">
              <w:rPr>
                <w:bCs/>
                <w:color w:val="000000"/>
                <w:szCs w:val="24"/>
                <w:lang w:val="x-none" w:eastAsia="x-none"/>
              </w:rPr>
              <w:t xml:space="preserve"> müstakbel bir alacağın devri sözleşmesi yapılmış ve devredilen alacak konkordato mühletinin verilmesinden sonra </w:t>
            </w:r>
            <w:r w:rsidR="00185707" w:rsidRPr="005574E2">
              <w:t>doğmuşsa,</w:t>
            </w:r>
            <w:r w:rsidR="007F2779" w:rsidRPr="00A23740">
              <w:rPr>
                <w:bCs/>
                <w:color w:val="000000"/>
                <w:szCs w:val="24"/>
                <w:lang w:val="x-none" w:eastAsia="x-none"/>
              </w:rPr>
              <w:t xml:space="preserve"> bu dev</w:t>
            </w:r>
            <w:r w:rsidR="007F2779" w:rsidRPr="00A23740">
              <w:rPr>
                <w:bCs/>
                <w:color w:val="000000"/>
                <w:szCs w:val="24"/>
                <w:lang w:eastAsia="x-none"/>
              </w:rPr>
              <w:t xml:space="preserve">rin hükümsüz olacağı; </w:t>
            </w:r>
            <w:r w:rsidRPr="00A23740">
              <w:rPr>
                <w:bCs/>
                <w:color w:val="000000"/>
                <w:szCs w:val="24"/>
                <w:lang w:eastAsia="x-none"/>
              </w:rPr>
              <w:t>(</w:t>
            </w:r>
            <w:r w:rsidR="007F2779" w:rsidRPr="00A23740">
              <w:rPr>
                <w:bCs/>
                <w:color w:val="000000"/>
                <w:szCs w:val="24"/>
                <w:lang w:eastAsia="x-none"/>
              </w:rPr>
              <w:t>e</w:t>
            </w:r>
            <w:r w:rsidRPr="00A23740">
              <w:rPr>
                <w:bCs/>
                <w:color w:val="000000"/>
                <w:szCs w:val="24"/>
                <w:lang w:eastAsia="x-none"/>
              </w:rPr>
              <w:t>)</w:t>
            </w:r>
            <w:r w:rsidR="007F2779" w:rsidRPr="00A23740">
              <w:rPr>
                <w:bCs/>
                <w:color w:val="000000"/>
                <w:szCs w:val="24"/>
                <w:lang w:eastAsia="x-none"/>
              </w:rPr>
              <w:t xml:space="preserve"> bendi ise k</w:t>
            </w:r>
            <w:r w:rsidR="007F2779" w:rsidRPr="00A23740">
              <w:rPr>
                <w:bCs/>
                <w:color w:val="000000"/>
                <w:szCs w:val="24"/>
                <w:lang w:val="x-none" w:eastAsia="x-none"/>
              </w:rPr>
              <w:t>onusu para olmayan alacaklar</w:t>
            </w:r>
            <w:r w:rsidR="007F2779" w:rsidRPr="00A23740">
              <w:rPr>
                <w:bCs/>
                <w:color w:val="000000"/>
                <w:szCs w:val="24"/>
                <w:lang w:eastAsia="x-none"/>
              </w:rPr>
              <w:t>ın</w:t>
            </w:r>
            <w:r w:rsidR="007F2779" w:rsidRPr="00A23740">
              <w:rPr>
                <w:bCs/>
                <w:color w:val="000000"/>
                <w:szCs w:val="24"/>
                <w:lang w:val="x-none" w:eastAsia="x-none"/>
              </w:rPr>
              <w:t>, alacaklı tarafından, ona eşit kıymette para alacağına çevrilerek komisere bildiril</w:t>
            </w:r>
            <w:r w:rsidR="007F2779" w:rsidRPr="00A23740">
              <w:rPr>
                <w:bCs/>
                <w:color w:val="000000"/>
                <w:szCs w:val="24"/>
                <w:lang w:eastAsia="x-none"/>
              </w:rPr>
              <w:t xml:space="preserve">eceği, ancak </w:t>
            </w:r>
            <w:r w:rsidR="007F2779" w:rsidRPr="00A23740">
              <w:rPr>
                <w:bCs/>
                <w:color w:val="000000"/>
                <w:szCs w:val="24"/>
                <w:lang w:val="x-none" w:eastAsia="x-none"/>
              </w:rPr>
              <w:t>borçlu</w:t>
            </w:r>
            <w:r w:rsidR="007F2779" w:rsidRPr="00A23740">
              <w:rPr>
                <w:bCs/>
                <w:color w:val="000000"/>
                <w:szCs w:val="24"/>
                <w:lang w:eastAsia="x-none"/>
              </w:rPr>
              <w:t>nun</w:t>
            </w:r>
            <w:r w:rsidR="007F2779" w:rsidRPr="00A23740">
              <w:rPr>
                <w:bCs/>
                <w:color w:val="000000"/>
                <w:szCs w:val="24"/>
                <w:lang w:val="x-none" w:eastAsia="x-none"/>
              </w:rPr>
              <w:t>, komiserin onayıyla taahhüdün aynen ifasını üstlenmekte serbest</w:t>
            </w:r>
            <w:r w:rsidR="005574E2">
              <w:rPr>
                <w:bCs/>
                <w:color w:val="000000"/>
                <w:szCs w:val="24"/>
                <w:lang w:eastAsia="x-none"/>
              </w:rPr>
              <w:t xml:space="preserve"> olduğu düzenlenmektedir.</w:t>
            </w:r>
          </w:p>
          <w:p w:rsidR="007F2779" w:rsidRPr="00A23740" w:rsidRDefault="007F2779" w:rsidP="009431FF">
            <w:pPr>
              <w:ind w:firstLine="567"/>
              <w:rPr>
                <w:rFonts w:eastAsia="ヒラギノ明朝 Pro W3"/>
                <w:color w:val="000000"/>
                <w:szCs w:val="24"/>
              </w:rPr>
            </w:pPr>
            <w:r w:rsidRPr="00A23740">
              <w:rPr>
                <w:rFonts w:eastAsia="ヒラギノ明朝 Pro W3"/>
                <w:color w:val="000000"/>
                <w:szCs w:val="24"/>
              </w:rPr>
              <w:t xml:space="preserve">Açıklığı sağlamak için belirtilmelidir ki 6183 sayılı Amme Alacaklarının Tahsil Usulü Hakkında Kanun kapsamındaki alacaklar konkordatoya tabi değildir. Bununla birlikte mühlet içinde bu </w:t>
            </w:r>
            <w:r w:rsidR="00185707" w:rsidRPr="00A23740">
              <w:rPr>
                <w:rFonts w:eastAsia="ヒラギノ明朝 Pro W3"/>
                <w:color w:val="000000"/>
                <w:szCs w:val="24"/>
              </w:rPr>
              <w:t xml:space="preserve">Kanun </w:t>
            </w:r>
            <w:r w:rsidRPr="00A23740">
              <w:rPr>
                <w:rFonts w:eastAsia="ヒラギノ明朝 Pro W3"/>
                <w:color w:val="000000"/>
                <w:szCs w:val="24"/>
              </w:rPr>
              <w:t>kapsamındaki alacaklar için de konkordato borçlusu aleyhine takip</w:t>
            </w:r>
            <w:r w:rsidR="00185707" w:rsidRPr="00A23740">
              <w:rPr>
                <w:rFonts w:eastAsia="ヒラギノ明朝 Pro W3"/>
                <w:color w:val="000000"/>
                <w:szCs w:val="24"/>
              </w:rPr>
              <w:t xml:space="preserve"> yapma yasağı kabul edilmiştir.</w:t>
            </w:r>
          </w:p>
          <w:p w:rsidR="005C3738" w:rsidRPr="00A23740" w:rsidRDefault="005C3738" w:rsidP="009A013D">
            <w:pPr>
              <w:tabs>
                <w:tab w:val="left" w:pos="567"/>
              </w:tabs>
              <w:rPr>
                <w:b/>
                <w:bCs/>
                <w:color w:val="000000"/>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Mavi"/>
              <w:rPr>
                <w:rFonts w:eastAsia="Times New Roman"/>
                <w:b w:val="0"/>
                <w:bCs w:val="0"/>
                <w:i/>
                <w:color w:val="auto"/>
                <w:lang w:val="tr-TR" w:eastAsia="tr-TR"/>
              </w:rPr>
            </w:pPr>
            <w:r w:rsidRPr="00A23740">
              <w:rPr>
                <w:rFonts w:eastAsia="Times New Roman"/>
                <w:b w:val="0"/>
                <w:bCs w:val="0"/>
                <w:i/>
                <w:color w:val="auto"/>
                <w:lang w:val="tr-TR" w:eastAsia="tr-TR"/>
              </w:rPr>
              <w:t>Kesin mühletin rehinli alacaklılar bakımından sonuçları</w:t>
            </w:r>
            <w:r w:rsidRPr="00A23740">
              <w:rPr>
                <w:rStyle w:val="KIRMIZIChar"/>
                <w:rFonts w:eastAsia="Calibri"/>
                <w:lang w:val="tr-TR" w:eastAsia="tr-TR"/>
              </w:rPr>
              <w:t>:</w:t>
            </w:r>
          </w:p>
          <w:p w:rsidR="00AA5C8C" w:rsidRPr="00A23740" w:rsidRDefault="00AA5C8C" w:rsidP="009431FF">
            <w:pPr>
              <w:pStyle w:val="KIRMIZI"/>
              <w:rPr>
                <w:lang w:val="tr-TR"/>
              </w:rPr>
            </w:pPr>
            <w:r w:rsidRPr="00A23740">
              <w:rPr>
                <w:lang w:val="tr-TR"/>
              </w:rPr>
              <w:t>Madde 295-</w:t>
            </w:r>
            <w:r w:rsidRPr="00A23740">
              <w:rPr>
                <w:strike w:val="0"/>
                <w:lang w:val="tr-TR"/>
              </w:rPr>
              <w:t xml:space="preserve"> (1)</w:t>
            </w:r>
            <w:r w:rsidRPr="00A23740">
              <w:rPr>
                <w:strike w:val="0"/>
                <w:color w:val="auto"/>
                <w:lang w:val="tr-TR"/>
              </w:rPr>
              <w:t xml:space="preserve"> </w:t>
            </w:r>
            <w:r w:rsidRPr="00A23740">
              <w:rPr>
                <w:lang w:val="tr-TR"/>
              </w:rPr>
              <w:t>(Değişik: 28/2/2018-7101/23 md.)</w:t>
            </w:r>
            <w:r w:rsidRPr="00A23740">
              <w:rPr>
                <w:strike w:val="0"/>
                <w:color w:val="auto"/>
                <w:lang w:val="tr-TR"/>
              </w:rPr>
              <w:t xml:space="preserve"> </w:t>
            </w:r>
            <w:r w:rsidRPr="00A23740">
              <w:rPr>
                <w:b w:val="0"/>
                <w:bCs w:val="0"/>
                <w:strike w:val="0"/>
                <w:color w:val="auto"/>
                <w:lang w:val="tr-TR" w:eastAsia="tr-TR"/>
              </w:rPr>
              <w:t>Mühlet sırasında rehinle temin edilmiş alacaklar nedeniyle rehnin paraya çevrilmesi yoluyla takip başlatılabilir veya başlamış olan takiplere devam edilebilir ancak bu takip nedeniyle muhafaza tedbirleri alınamaz ve rehinli malın satışı gerçekleştirilemez.</w:t>
            </w:r>
          </w:p>
          <w:p w:rsidR="00AA5C8C" w:rsidRPr="00A23740" w:rsidRDefault="00AA5C8C" w:rsidP="009431FF">
            <w:pPr>
              <w:pStyle w:val="Mavi"/>
              <w:rPr>
                <w:rFonts w:eastAsia="Times New Roman"/>
                <w:b w:val="0"/>
                <w:bCs w:val="0"/>
                <w:color w:val="auto"/>
                <w:lang w:val="tr-TR" w:eastAsia="tr-TR"/>
              </w:rPr>
            </w:pPr>
          </w:p>
          <w:p w:rsidR="00AA5C8C" w:rsidRPr="00A23740" w:rsidRDefault="00AA5C8C" w:rsidP="009431FF">
            <w:pPr>
              <w:pStyle w:val="Mavi"/>
              <w:rPr>
                <w:rFonts w:eastAsia="Times New Roman"/>
                <w:b w:val="0"/>
                <w:bCs w:val="0"/>
                <w:color w:val="auto"/>
                <w:lang w:val="tr-TR" w:eastAsia="tr-TR"/>
              </w:rPr>
            </w:pPr>
            <w:r w:rsidRPr="00A23740">
              <w:rPr>
                <w:rStyle w:val="KIRMIZIChar"/>
                <w:rFonts w:eastAsia="Calibri"/>
                <w:b/>
                <w:strike w:val="0"/>
                <w:lang w:val="tr-TR" w:eastAsia="tr-TR"/>
              </w:rPr>
              <w:t xml:space="preserve">(2) </w:t>
            </w:r>
            <w:r w:rsidRPr="00A23740">
              <w:rPr>
                <w:rStyle w:val="KIRMIZIChar"/>
                <w:rFonts w:eastAsia="Calibri"/>
                <w:b/>
                <w:lang w:val="tr-TR" w:eastAsia="tr-TR"/>
              </w:rPr>
              <w:t>(Ek fıkra:9/6/2021-7327/3 md.)</w:t>
            </w:r>
            <w:r w:rsidRPr="00A23740">
              <w:rPr>
                <w:rFonts w:eastAsia="Times New Roman"/>
                <w:b w:val="0"/>
                <w:bCs w:val="0"/>
                <w:color w:val="auto"/>
                <w:lang w:val="tr-TR" w:eastAsia="tr-TR"/>
              </w:rPr>
              <w:t xml:space="preserve"> Şu kadar ki, rehinli malın konkordato projesine göre işletme tarafından kullanılması öngörülmüyor veya kıymeti düşecek ya da muhafazası masraflı olacak ise </w:t>
            </w:r>
            <w:r w:rsidRPr="00A23740">
              <w:rPr>
                <w:rStyle w:val="KIRMIZIChar"/>
                <w:rFonts w:eastAsia="Calibri"/>
                <w:b/>
              </w:rPr>
              <w:t>297 nci</w:t>
            </w:r>
            <w:r w:rsidRPr="00A23740">
              <w:rPr>
                <w:rFonts w:eastAsia="Times New Roman"/>
                <w:b w:val="0"/>
                <w:bCs w:val="0"/>
                <w:color w:val="auto"/>
                <w:lang w:val="tr-TR" w:eastAsia="tr-TR"/>
              </w:rPr>
              <w:t xml:space="preserve"> maddenin ikinci fıkrasındaki usule göre satışına izin verilebilir. Satış gelirinden rehinli alacaklıya rehin bedeli kadar ödeme yapılır.</w:t>
            </w:r>
          </w:p>
          <w:p w:rsidR="00AA5C8C" w:rsidRPr="00A23740" w:rsidRDefault="00AA5C8C" w:rsidP="009431FF">
            <w:pPr>
              <w:rPr>
                <w:rFonts w:eastAsia="Times New Roman"/>
                <w:i/>
                <w:szCs w:val="24"/>
                <w:lang w:eastAsia="tr-TR"/>
              </w:rPr>
            </w:pPr>
          </w:p>
        </w:tc>
        <w:tc>
          <w:tcPr>
            <w:tcW w:w="2500" w:type="pct"/>
          </w:tcPr>
          <w:p w:rsidR="00AA5C8C" w:rsidRPr="00A23740" w:rsidRDefault="00AA5C8C" w:rsidP="009431FF">
            <w:pPr>
              <w:rPr>
                <w:rFonts w:eastAsia="Times New Roman"/>
                <w:b/>
                <w:szCs w:val="24"/>
                <w:lang w:eastAsia="tr-TR"/>
              </w:rPr>
            </w:pPr>
            <w:r w:rsidRPr="00A23740">
              <w:rPr>
                <w:rFonts w:eastAsia="Times New Roman"/>
                <w:b/>
                <w:szCs w:val="24"/>
                <w:lang w:eastAsia="tr-TR"/>
              </w:rPr>
              <w:t>Kesin mühletin rehinli alacaklılar bakımından sonuçları</w:t>
            </w:r>
          </w:p>
          <w:p w:rsidR="00AA5C8C" w:rsidRPr="00A23740" w:rsidRDefault="003E49A5" w:rsidP="009431FF">
            <w:pPr>
              <w:pStyle w:val="Mavi"/>
              <w:rPr>
                <w:rFonts w:eastAsia="Times New Roman"/>
                <w:b w:val="0"/>
                <w:bCs w:val="0"/>
                <w:color w:val="auto"/>
                <w:lang w:val="tr-TR" w:eastAsia="tr-TR"/>
              </w:rPr>
            </w:pPr>
            <w:r w:rsidRPr="00A23740">
              <w:rPr>
                <w:lang w:val="tr-TR"/>
              </w:rPr>
              <w:t>MADDE 387</w:t>
            </w:r>
            <w:r w:rsidR="00AA5C8C" w:rsidRPr="00A23740">
              <w:rPr>
                <w:lang w:val="tr-TR"/>
              </w:rPr>
              <w:t>- (1</w:t>
            </w:r>
            <w:r w:rsidR="00AA5C8C" w:rsidRPr="00A23740">
              <w:rPr>
                <w:rStyle w:val="MaviChar"/>
                <w:lang w:val="tr-TR"/>
              </w:rPr>
              <w:t>)</w:t>
            </w:r>
            <w:r w:rsidR="00AA5C8C" w:rsidRPr="00A23740">
              <w:rPr>
                <w:rFonts w:eastAsia="Times New Roman"/>
                <w:lang w:val="tr-TR" w:eastAsia="tr-TR"/>
              </w:rPr>
              <w:t xml:space="preserve"> </w:t>
            </w:r>
            <w:r w:rsidR="00AA5C8C" w:rsidRPr="00A23740">
              <w:rPr>
                <w:rFonts w:eastAsia="Times New Roman"/>
                <w:b w:val="0"/>
                <w:bCs w:val="0"/>
                <w:color w:val="auto"/>
                <w:lang w:val="tr-TR" w:eastAsia="tr-TR"/>
              </w:rPr>
              <w:t xml:space="preserve">Mühlet </w:t>
            </w:r>
            <w:r w:rsidR="00C37179" w:rsidRPr="005574E2">
              <w:t>içinde,</w:t>
            </w:r>
            <w:r w:rsidR="00AA5C8C" w:rsidRPr="00A23740">
              <w:rPr>
                <w:rFonts w:eastAsia="Times New Roman"/>
                <w:b w:val="0"/>
                <w:bCs w:val="0"/>
                <w:color w:val="auto"/>
                <w:lang w:val="tr-TR" w:eastAsia="tr-TR"/>
              </w:rPr>
              <w:t xml:space="preserve"> rehinle temin edilmiş alacaklar </w:t>
            </w:r>
            <w:r w:rsidR="00AA5C8C" w:rsidRPr="00A23740">
              <w:t>hakkında</w:t>
            </w:r>
            <w:r w:rsidR="00AA5C8C" w:rsidRPr="00A23740">
              <w:rPr>
                <w:rFonts w:eastAsia="Times New Roman"/>
                <w:b w:val="0"/>
                <w:bCs w:val="0"/>
                <w:color w:val="auto"/>
                <w:lang w:val="tr-TR" w:eastAsia="tr-TR"/>
              </w:rPr>
              <w:t xml:space="preserve"> rehnin paraya çevrilmesi yoluyla takip başlatılabilir veya başlamış olan takiplere devam edilebilir</w:t>
            </w:r>
            <w:r w:rsidR="00AA5C8C" w:rsidRPr="00A23740">
              <w:t>. Ancak</w:t>
            </w:r>
            <w:r w:rsidR="00AA5C8C" w:rsidRPr="00A23740">
              <w:rPr>
                <w:lang w:val="tr-TR"/>
              </w:rPr>
              <w:t xml:space="preserve"> rehinli malın borçluya ait olması h</w:t>
            </w:r>
            <w:r w:rsidR="00C37179" w:rsidRPr="00A23740">
              <w:rPr>
                <w:lang w:val="tr-TR"/>
              </w:rPr>
              <w:t>â</w:t>
            </w:r>
            <w:r w:rsidR="00AA5C8C" w:rsidRPr="00A23740">
              <w:rPr>
                <w:lang w:val="tr-TR"/>
              </w:rPr>
              <w:t xml:space="preserve">linde </w:t>
            </w:r>
            <w:r w:rsidR="00AA5C8C" w:rsidRPr="00A23740">
              <w:rPr>
                <w:rFonts w:eastAsia="Times New Roman"/>
                <w:b w:val="0"/>
                <w:bCs w:val="0"/>
                <w:color w:val="auto"/>
                <w:lang w:val="tr-TR" w:eastAsia="tr-TR"/>
              </w:rPr>
              <w:t xml:space="preserve">bu takip nedeniyle muhafaza tedbirleri alınamaz ve rehinli malın satışı gerçekleştirilemez. </w:t>
            </w:r>
          </w:p>
          <w:p w:rsidR="00AA5C8C" w:rsidRPr="00A23740" w:rsidRDefault="00AA5C8C" w:rsidP="009431FF">
            <w:pPr>
              <w:pStyle w:val="Mavi"/>
              <w:rPr>
                <w:rFonts w:eastAsia="Times New Roman"/>
                <w:b w:val="0"/>
                <w:bCs w:val="0"/>
                <w:color w:val="auto"/>
                <w:lang w:val="tr-TR" w:eastAsia="tr-TR"/>
              </w:rPr>
            </w:pPr>
          </w:p>
          <w:p w:rsidR="00AA5C8C" w:rsidRPr="00A23740" w:rsidRDefault="00AA5C8C" w:rsidP="009431FF">
            <w:pPr>
              <w:pStyle w:val="Mavi"/>
              <w:rPr>
                <w:rFonts w:eastAsia="Times New Roman"/>
                <w:b w:val="0"/>
                <w:bCs w:val="0"/>
                <w:color w:val="auto"/>
                <w:lang w:val="tr-TR" w:eastAsia="tr-TR"/>
              </w:rPr>
            </w:pPr>
            <w:r w:rsidRPr="00A23740">
              <w:t>(2)</w:t>
            </w:r>
            <w:r w:rsidRPr="00A23740">
              <w:rPr>
                <w:lang w:val="tr-TR"/>
              </w:rPr>
              <w:t xml:space="preserve"> </w:t>
            </w:r>
            <w:r w:rsidRPr="00A23740">
              <w:rPr>
                <w:rFonts w:eastAsia="Times New Roman"/>
                <w:b w:val="0"/>
                <w:bCs w:val="0"/>
                <w:color w:val="auto"/>
                <w:lang w:val="tr-TR" w:eastAsia="tr-TR"/>
              </w:rPr>
              <w:t xml:space="preserve">Şu kadar ki, rehinli malın konkordato projesine göre işletme tarafından kullanılması </w:t>
            </w:r>
            <w:r w:rsidR="00C37179" w:rsidRPr="005574E2">
              <w:t>öngörülmüyorsa</w:t>
            </w:r>
            <w:r w:rsidR="00C37179" w:rsidRPr="00A23740">
              <w:rPr>
                <w:rFonts w:eastAsia="Times New Roman"/>
                <w:b w:val="0"/>
                <w:bCs w:val="0"/>
                <w:color w:val="auto"/>
                <w:lang w:val="tr-TR" w:eastAsia="tr-TR"/>
              </w:rPr>
              <w:t xml:space="preserve"> </w:t>
            </w:r>
            <w:r w:rsidRPr="00A23740">
              <w:rPr>
                <w:rFonts w:eastAsia="Times New Roman"/>
                <w:b w:val="0"/>
                <w:bCs w:val="0"/>
                <w:color w:val="auto"/>
                <w:lang w:val="tr-TR" w:eastAsia="tr-TR"/>
              </w:rPr>
              <w:t xml:space="preserve">veya kıymeti düşecek ya da muhafazası masraflı </w:t>
            </w:r>
            <w:r w:rsidRPr="00A23740">
              <w:t>olacaksa</w:t>
            </w:r>
            <w:r w:rsidR="00C37179" w:rsidRPr="005574E2">
              <w:t>,</w:t>
            </w:r>
            <w:r w:rsidRPr="00A23740">
              <w:rPr>
                <w:rFonts w:eastAsia="Times New Roman"/>
                <w:b w:val="0"/>
                <w:bCs w:val="0"/>
                <w:color w:val="auto"/>
                <w:lang w:val="tr-TR" w:eastAsia="tr-TR"/>
              </w:rPr>
              <w:t xml:space="preserve"> </w:t>
            </w:r>
            <w:r w:rsidRPr="00A23740">
              <w:t>rehinli alacaklının talebi üzerine</w:t>
            </w:r>
            <w:r w:rsidR="004644B9" w:rsidRPr="00A23740">
              <w:rPr>
                <w:lang w:val="tr-TR"/>
              </w:rPr>
              <w:t xml:space="preserve"> </w:t>
            </w:r>
            <w:r w:rsidR="004644B9" w:rsidRPr="005574E2">
              <w:t>389 uncu</w:t>
            </w:r>
            <w:r w:rsidRPr="00A23740">
              <w:rPr>
                <w:lang w:val="tr-TR"/>
              </w:rPr>
              <w:t xml:space="preserve"> </w:t>
            </w:r>
            <w:r w:rsidRPr="00A23740">
              <w:rPr>
                <w:rFonts w:eastAsia="Times New Roman"/>
                <w:b w:val="0"/>
                <w:bCs w:val="0"/>
                <w:color w:val="auto"/>
                <w:lang w:val="tr-TR" w:eastAsia="tr-TR"/>
              </w:rPr>
              <w:t>maddenin ikinci fıkrasındaki usule göre satışına izin verilebilir. Satış gelirinden rehinli alacaklıya rehin bedeli kadar ödeme yapılır.</w:t>
            </w:r>
          </w:p>
          <w:p w:rsidR="00AA5C8C" w:rsidRPr="00A23740" w:rsidRDefault="00AA5C8C" w:rsidP="009431FF">
            <w:pPr>
              <w:pStyle w:val="Mavi"/>
              <w:rPr>
                <w:rFonts w:eastAsia="Times New Roman"/>
                <w:b w:val="0"/>
                <w:bCs w:val="0"/>
                <w:color w:val="auto"/>
                <w:lang w:val="tr-TR" w:eastAsia="tr-TR"/>
              </w:rPr>
            </w:pPr>
          </w:p>
          <w:p w:rsidR="00AA5C8C" w:rsidRPr="00A23740" w:rsidRDefault="00AA5C8C" w:rsidP="009431FF">
            <w:pPr>
              <w:pStyle w:val="Mavi"/>
            </w:pPr>
            <w:r w:rsidRPr="00A23740">
              <w:t>(3)</w:t>
            </w:r>
            <w:r w:rsidRPr="00A23740">
              <w:rPr>
                <w:rFonts w:eastAsia="Times New Roman"/>
                <w:b w:val="0"/>
                <w:bCs w:val="0"/>
                <w:color w:val="auto"/>
                <w:lang w:val="tr-TR" w:eastAsia="tr-TR"/>
              </w:rPr>
              <w:t xml:space="preserve"> </w:t>
            </w:r>
            <w:r w:rsidRPr="00A23740">
              <w:t>Mühlet kararı rehinli alacaklar için faiz işlemesini durdurmaz.</w:t>
            </w:r>
          </w:p>
          <w:p w:rsidR="00AA5C8C" w:rsidRPr="00A23740" w:rsidRDefault="00AA5C8C" w:rsidP="009431FF">
            <w:pPr>
              <w:pStyle w:val="Mavi"/>
              <w:rPr>
                <w:rFonts w:eastAsia="Times New Roman"/>
                <w:lang w:val="tr-TR" w:eastAsia="tr-TR"/>
              </w:rPr>
            </w:pPr>
          </w:p>
        </w:tc>
      </w:tr>
      <w:tr w:rsidR="005C3738" w:rsidRPr="00A23740" w:rsidTr="009431FF">
        <w:tc>
          <w:tcPr>
            <w:tcW w:w="5000" w:type="pct"/>
            <w:gridSpan w:val="2"/>
            <w:shd w:val="clear" w:color="auto" w:fill="DEEAF6"/>
          </w:tcPr>
          <w:p w:rsidR="00A354BD" w:rsidRPr="00A23740" w:rsidRDefault="00A354BD" w:rsidP="009431FF">
            <w:pPr>
              <w:ind w:firstLine="567"/>
              <w:rPr>
                <w:b/>
                <w:color w:val="000000"/>
                <w:szCs w:val="24"/>
              </w:rPr>
            </w:pPr>
          </w:p>
          <w:p w:rsidR="007F2779" w:rsidRPr="00A23740" w:rsidRDefault="003E49A5" w:rsidP="009431FF">
            <w:pPr>
              <w:ind w:firstLine="567"/>
              <w:rPr>
                <w:color w:val="000000"/>
                <w:szCs w:val="24"/>
              </w:rPr>
            </w:pPr>
            <w:r w:rsidRPr="00A23740">
              <w:rPr>
                <w:b/>
                <w:color w:val="000000"/>
                <w:szCs w:val="24"/>
              </w:rPr>
              <w:t>MADDE 387</w:t>
            </w:r>
            <w:r w:rsidR="007F2779" w:rsidRPr="00A23740">
              <w:rPr>
                <w:b/>
                <w:color w:val="000000"/>
                <w:szCs w:val="24"/>
              </w:rPr>
              <w:t>-</w:t>
            </w:r>
            <w:r w:rsidR="007F2779" w:rsidRPr="00A23740">
              <w:rPr>
                <w:color w:val="000000"/>
                <w:szCs w:val="24"/>
              </w:rPr>
              <w:t xml:space="preserve"> </w:t>
            </w:r>
            <w:r w:rsidR="00A354BD" w:rsidRPr="00A23740">
              <w:rPr>
                <w:color w:val="000000"/>
                <w:szCs w:val="24"/>
              </w:rPr>
              <w:t xml:space="preserve">Maddeyle, kesin mühletin rehinli alacaklılar bakımından </w:t>
            </w:r>
            <w:r w:rsidR="00127E42" w:rsidRPr="005574E2">
              <w:t>sonuçları</w:t>
            </w:r>
            <w:r w:rsidR="00A354BD" w:rsidRPr="00A23740">
              <w:rPr>
                <w:color w:val="000000"/>
                <w:szCs w:val="24"/>
              </w:rPr>
              <w:t xml:space="preserve"> düzenlenmektedir. </w:t>
            </w:r>
            <w:r w:rsidR="007F2779" w:rsidRPr="00A23740">
              <w:rPr>
                <w:color w:val="000000"/>
                <w:szCs w:val="24"/>
              </w:rPr>
              <w:t>Taslağın</w:t>
            </w:r>
            <w:r w:rsidR="004644B9" w:rsidRPr="00A23740">
              <w:rPr>
                <w:color w:val="000000"/>
                <w:szCs w:val="24"/>
              </w:rPr>
              <w:t xml:space="preserve"> </w:t>
            </w:r>
            <w:r w:rsidR="004644B9" w:rsidRPr="005574E2">
              <w:t>387 nci</w:t>
            </w:r>
            <w:r w:rsidR="007F2779" w:rsidRPr="00A23740">
              <w:rPr>
                <w:color w:val="000000"/>
                <w:szCs w:val="24"/>
              </w:rPr>
              <w:t xml:space="preserve"> maddesi “Kesin mühletin rehinli alacaklılar bakımından sonuçları” başlığını taşımakta olup </w:t>
            </w:r>
            <w:r w:rsidR="00A354BD" w:rsidRPr="00A23740">
              <w:rPr>
                <w:color w:val="000000"/>
                <w:szCs w:val="24"/>
              </w:rPr>
              <w:t>2004 sayılı Kanunun</w:t>
            </w:r>
            <w:r w:rsidR="007F2779" w:rsidRPr="00A23740">
              <w:rPr>
                <w:color w:val="000000"/>
                <w:szCs w:val="24"/>
              </w:rPr>
              <w:t xml:space="preserve"> 295 inci m</w:t>
            </w:r>
            <w:r w:rsidR="00A354BD" w:rsidRPr="00A23740">
              <w:rPr>
                <w:color w:val="000000"/>
                <w:szCs w:val="24"/>
              </w:rPr>
              <w:t>addesine karşılık gelmektedir.</w:t>
            </w:r>
          </w:p>
          <w:p w:rsidR="007F2779" w:rsidRPr="00A23740" w:rsidRDefault="007F2779" w:rsidP="009431FF">
            <w:pPr>
              <w:tabs>
                <w:tab w:val="left" w:pos="567"/>
              </w:tabs>
              <w:ind w:firstLine="567"/>
              <w:rPr>
                <w:color w:val="000000"/>
                <w:szCs w:val="24"/>
              </w:rPr>
            </w:pPr>
            <w:r w:rsidRPr="00A23740">
              <w:rPr>
                <w:color w:val="000000"/>
                <w:szCs w:val="24"/>
              </w:rPr>
              <w:t xml:space="preserve">Maddenin </w:t>
            </w:r>
            <w:r w:rsidR="00A354BD" w:rsidRPr="00A23740">
              <w:rPr>
                <w:color w:val="000000"/>
                <w:szCs w:val="24"/>
              </w:rPr>
              <w:t>bir</w:t>
            </w:r>
            <w:r w:rsidRPr="00A23740">
              <w:rPr>
                <w:color w:val="000000"/>
                <w:szCs w:val="24"/>
              </w:rPr>
              <w:t>inci fıkrasında</w:t>
            </w:r>
            <w:r w:rsidR="001437A5" w:rsidRPr="00A23740">
              <w:rPr>
                <w:color w:val="000000"/>
                <w:szCs w:val="24"/>
              </w:rPr>
              <w:t>,</w:t>
            </w:r>
            <w:r w:rsidRPr="00A23740">
              <w:rPr>
                <w:color w:val="000000"/>
                <w:szCs w:val="24"/>
              </w:rPr>
              <w:t xml:space="preserve"> rehinle temin edilmiş alacaklar hakkında </w:t>
            </w:r>
            <w:r w:rsidR="001437A5" w:rsidRPr="00A23740">
              <w:rPr>
                <w:color w:val="000000"/>
                <w:szCs w:val="24"/>
              </w:rPr>
              <w:t xml:space="preserve">mühlet sırasında </w:t>
            </w:r>
            <w:r w:rsidRPr="00A23740">
              <w:rPr>
                <w:color w:val="000000"/>
                <w:szCs w:val="24"/>
              </w:rPr>
              <w:t>rehnin paraya çevrilmesi yoluyla takip başlatılabileceği veya başlamış olan takiplere devam edilebileceği, ancak rehinli malın borçluya ait olması h</w:t>
            </w:r>
            <w:r w:rsidR="00127E42" w:rsidRPr="00A23740">
              <w:rPr>
                <w:color w:val="000000"/>
                <w:szCs w:val="24"/>
              </w:rPr>
              <w:t>â</w:t>
            </w:r>
            <w:r w:rsidRPr="00A23740">
              <w:rPr>
                <w:color w:val="000000"/>
                <w:szCs w:val="24"/>
              </w:rPr>
              <w:t xml:space="preserve">linde bu takip nedeniyle muhafaza </w:t>
            </w:r>
            <w:r w:rsidR="00127E42" w:rsidRPr="005574E2">
              <w:t>tedbirlerinin</w:t>
            </w:r>
            <w:r w:rsidRPr="005574E2">
              <w:t xml:space="preserve"> </w:t>
            </w:r>
            <w:r w:rsidRPr="00A23740">
              <w:rPr>
                <w:color w:val="000000"/>
                <w:szCs w:val="24"/>
              </w:rPr>
              <w:t xml:space="preserve">alınamayacağı ve rehinli malın </w:t>
            </w:r>
            <w:r w:rsidR="00127E42" w:rsidRPr="005574E2">
              <w:t>satışının</w:t>
            </w:r>
            <w:r w:rsidRPr="00A23740">
              <w:rPr>
                <w:color w:val="000000"/>
                <w:szCs w:val="24"/>
              </w:rPr>
              <w:t xml:space="preserve"> gerçekleşti</w:t>
            </w:r>
            <w:r w:rsidR="00A354BD" w:rsidRPr="00A23740">
              <w:rPr>
                <w:color w:val="000000"/>
                <w:szCs w:val="24"/>
              </w:rPr>
              <w:t xml:space="preserve">rilemeyeceği düzenlenmektedir. </w:t>
            </w:r>
          </w:p>
          <w:p w:rsidR="007F2779" w:rsidRPr="00A23740" w:rsidRDefault="00A354BD" w:rsidP="009431FF">
            <w:pPr>
              <w:tabs>
                <w:tab w:val="left" w:pos="567"/>
              </w:tabs>
              <w:ind w:firstLine="567"/>
              <w:rPr>
                <w:color w:val="000000"/>
                <w:szCs w:val="24"/>
              </w:rPr>
            </w:pPr>
            <w:r w:rsidRPr="00A23740">
              <w:rPr>
                <w:color w:val="000000"/>
                <w:szCs w:val="24"/>
              </w:rPr>
              <w:t>Maddenin iki</w:t>
            </w:r>
            <w:r w:rsidR="007F2779" w:rsidRPr="00A23740">
              <w:rPr>
                <w:color w:val="000000"/>
                <w:szCs w:val="24"/>
              </w:rPr>
              <w:t>nci fıkrasında ise</w:t>
            </w:r>
            <w:r w:rsidRPr="00A23740">
              <w:rPr>
                <w:color w:val="000000"/>
                <w:szCs w:val="24"/>
              </w:rPr>
              <w:t xml:space="preserve"> </w:t>
            </w:r>
            <w:r w:rsidR="00127E42" w:rsidRPr="005574E2">
              <w:t>birinci</w:t>
            </w:r>
            <w:r w:rsidR="00127E42" w:rsidRPr="00A23740">
              <w:rPr>
                <w:color w:val="000000"/>
                <w:szCs w:val="24"/>
              </w:rPr>
              <w:t xml:space="preserve"> </w:t>
            </w:r>
            <w:r w:rsidR="007F2779" w:rsidRPr="00A23740">
              <w:rPr>
                <w:color w:val="000000"/>
                <w:szCs w:val="24"/>
              </w:rPr>
              <w:t>fıkranın istisnası olmak üzere, rehinli malın konkordato projesine göre işletme tarafından kullanılmasının öngörülmediği veya kıymetinin düşecek ya da muhafazasının masraflı olacağı h</w:t>
            </w:r>
            <w:r w:rsidR="00127E42" w:rsidRPr="00A23740">
              <w:rPr>
                <w:color w:val="000000"/>
                <w:szCs w:val="24"/>
              </w:rPr>
              <w:t>â</w:t>
            </w:r>
            <w:r w:rsidR="007F2779" w:rsidRPr="00A23740">
              <w:rPr>
                <w:color w:val="000000"/>
                <w:szCs w:val="24"/>
              </w:rPr>
              <w:t xml:space="preserve">llerde, rehinli alacaklının talebi üzerine, rehinli malın </w:t>
            </w:r>
            <w:r w:rsidR="004644B9" w:rsidRPr="005574E2">
              <w:t>389 uncu</w:t>
            </w:r>
            <w:r w:rsidR="004644B9" w:rsidRPr="00A23740">
              <w:t xml:space="preserve"> </w:t>
            </w:r>
            <w:r w:rsidR="007F2779" w:rsidRPr="00A23740">
              <w:rPr>
                <w:color w:val="000000"/>
                <w:szCs w:val="24"/>
              </w:rPr>
              <w:t>maddenin ikinci fıkrasındaki usule göre</w:t>
            </w:r>
            <w:r w:rsidR="00EB0272" w:rsidRPr="00A23740">
              <w:rPr>
                <w:color w:val="000000"/>
                <w:szCs w:val="24"/>
              </w:rPr>
              <w:t xml:space="preserve"> </w:t>
            </w:r>
            <w:r w:rsidR="00EB0272" w:rsidRPr="005574E2">
              <w:t>cebren açık artırmayla</w:t>
            </w:r>
            <w:r w:rsidR="007F2779" w:rsidRPr="00A23740">
              <w:rPr>
                <w:color w:val="000000"/>
                <w:szCs w:val="24"/>
              </w:rPr>
              <w:t xml:space="preserve"> satışına izin verilebileceği ve satış gelirinden rehinli alacaklıya rehin bedeli kadar ödeme yapılacağı belirtilmiştir. Bu fıkranın </w:t>
            </w:r>
            <w:r w:rsidR="00EB0272" w:rsidRPr="005574E2">
              <w:t>2004 sayılı Kanunun</w:t>
            </w:r>
            <w:r w:rsidR="00EB0272" w:rsidRPr="00A23740">
              <w:rPr>
                <w:color w:val="000000"/>
                <w:szCs w:val="24"/>
              </w:rPr>
              <w:t xml:space="preserve"> </w:t>
            </w:r>
            <w:r w:rsidR="007F2779" w:rsidRPr="00A23740">
              <w:rPr>
                <w:color w:val="000000"/>
                <w:szCs w:val="24"/>
              </w:rPr>
              <w:t>295 inci madde</w:t>
            </w:r>
            <w:r w:rsidR="008852ED" w:rsidRPr="00A23740">
              <w:rPr>
                <w:color w:val="000000"/>
                <w:szCs w:val="24"/>
              </w:rPr>
              <w:t>si</w:t>
            </w:r>
            <w:r w:rsidR="007F2779" w:rsidRPr="00A23740">
              <w:rPr>
                <w:color w:val="000000"/>
                <w:szCs w:val="24"/>
              </w:rPr>
              <w:t xml:space="preserve">nin </w:t>
            </w:r>
            <w:r w:rsidRPr="00A23740">
              <w:rPr>
                <w:color w:val="000000"/>
                <w:szCs w:val="24"/>
              </w:rPr>
              <w:t>iki</w:t>
            </w:r>
            <w:r w:rsidR="007F2779" w:rsidRPr="00A23740">
              <w:rPr>
                <w:color w:val="000000"/>
                <w:szCs w:val="24"/>
              </w:rPr>
              <w:t>nci fıkrasından farklı yönü</w:t>
            </w:r>
            <w:r w:rsidR="008852ED" w:rsidRPr="00A23740">
              <w:rPr>
                <w:color w:val="000000"/>
                <w:szCs w:val="24"/>
              </w:rPr>
              <w:t>,</w:t>
            </w:r>
            <w:r w:rsidR="007F2779" w:rsidRPr="00A23740">
              <w:rPr>
                <w:color w:val="000000"/>
                <w:szCs w:val="24"/>
              </w:rPr>
              <w:t xml:space="preserve"> rehinli malın satışını isteyebilecek olanın rehinli alacaklı olduğunun açıklığa kavuşturulmuş olmasıdır. Her h</w:t>
            </w:r>
            <w:r w:rsidR="00EB0272" w:rsidRPr="00A23740">
              <w:rPr>
                <w:color w:val="000000"/>
                <w:szCs w:val="24"/>
              </w:rPr>
              <w:t>â</w:t>
            </w:r>
            <w:r w:rsidR="007F2779" w:rsidRPr="00A23740">
              <w:rPr>
                <w:color w:val="000000"/>
                <w:szCs w:val="24"/>
              </w:rPr>
              <w:t>lde rehinli malın</w:t>
            </w:r>
            <w:r w:rsidR="00EB0272" w:rsidRPr="00A23740">
              <w:rPr>
                <w:color w:val="000000"/>
                <w:szCs w:val="24"/>
              </w:rPr>
              <w:t xml:space="preserve"> </w:t>
            </w:r>
            <w:r w:rsidR="00EB0272" w:rsidRPr="005574E2">
              <w:t>cebren açık artırmayla</w:t>
            </w:r>
            <w:r w:rsidR="007F2779" w:rsidRPr="00A23740">
              <w:rPr>
                <w:color w:val="000000"/>
                <w:szCs w:val="24"/>
              </w:rPr>
              <w:t xml:space="preserve"> satışı için</w:t>
            </w:r>
            <w:r w:rsidR="008F2519" w:rsidRPr="00A23740">
              <w:rPr>
                <w:color w:val="000000"/>
                <w:szCs w:val="24"/>
              </w:rPr>
              <w:t xml:space="preserve"> </w:t>
            </w:r>
            <w:r w:rsidR="008F2519" w:rsidRPr="005574E2">
              <w:t>2004 sayılı Kanunun</w:t>
            </w:r>
            <w:r w:rsidR="007F2779" w:rsidRPr="00A23740">
              <w:rPr>
                <w:color w:val="000000"/>
                <w:szCs w:val="24"/>
              </w:rPr>
              <w:t xml:space="preserve"> 297 nci madde uyarınca mahkemenin iznini almak gerekecektir.</w:t>
            </w:r>
            <w:r w:rsidRPr="00A23740">
              <w:rPr>
                <w:color w:val="000000"/>
                <w:szCs w:val="24"/>
              </w:rPr>
              <w:t xml:space="preserve">  </w:t>
            </w:r>
          </w:p>
          <w:p w:rsidR="007F2779" w:rsidRPr="00A23740" w:rsidRDefault="00A354BD" w:rsidP="009431FF">
            <w:pPr>
              <w:tabs>
                <w:tab w:val="left" w:pos="567"/>
              </w:tabs>
              <w:ind w:firstLine="567"/>
              <w:rPr>
                <w:color w:val="000000"/>
                <w:szCs w:val="24"/>
              </w:rPr>
            </w:pPr>
            <w:r w:rsidRPr="00A23740">
              <w:rPr>
                <w:color w:val="000000"/>
                <w:szCs w:val="24"/>
              </w:rPr>
              <w:t>Maddenin üç</w:t>
            </w:r>
            <w:r w:rsidR="007F2779" w:rsidRPr="00A23740">
              <w:rPr>
                <w:color w:val="000000"/>
                <w:szCs w:val="24"/>
              </w:rPr>
              <w:t>üncü fıkrasında mühlet kararının rehinli alacaklar için faiz işlemesini durdurmayacağı tasrih edilmektedir.</w:t>
            </w:r>
          </w:p>
          <w:p w:rsidR="005C3738" w:rsidRPr="00A23740" w:rsidRDefault="005C3738" w:rsidP="009A013D">
            <w:pPr>
              <w:tabs>
                <w:tab w:val="left" w:pos="567"/>
              </w:tabs>
              <w:rPr>
                <w:color w:val="000000"/>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rFonts w:eastAsia="Times New Roman"/>
                <w:szCs w:val="24"/>
                <w:lang w:eastAsia="tr-TR"/>
              </w:rPr>
            </w:pPr>
            <w:r w:rsidRPr="00A23740">
              <w:rPr>
                <w:rFonts w:eastAsia="Times New Roman"/>
                <w:i/>
                <w:iCs/>
                <w:szCs w:val="24"/>
                <w:lang w:eastAsia="tr-TR"/>
              </w:rPr>
              <w:t>Kesin mühletin sözleşmeler bakımından sonuçları</w:t>
            </w:r>
          </w:p>
          <w:p w:rsidR="00AA5C8C" w:rsidRPr="00A23740" w:rsidRDefault="00AA5C8C" w:rsidP="009431FF">
            <w:pPr>
              <w:pStyle w:val="KIRMIZI"/>
              <w:rPr>
                <w:lang w:val="tr-TR"/>
              </w:rPr>
            </w:pPr>
            <w:r w:rsidRPr="00A23740">
              <w:rPr>
                <w:lang w:val="tr-TR"/>
              </w:rPr>
              <w:t>Madde 296- (Değişik: 28/2/2018-7101/24 md.)</w:t>
            </w:r>
          </w:p>
          <w:p w:rsidR="00AA5C8C" w:rsidRPr="00A23740" w:rsidRDefault="00AA5C8C" w:rsidP="009431FF">
            <w:pPr>
              <w:rPr>
                <w:rFonts w:eastAsia="Times New Roman"/>
                <w:szCs w:val="24"/>
                <w:vertAlign w:val="superscript"/>
                <w:lang w:eastAsia="tr-TR"/>
              </w:rPr>
            </w:pPr>
            <w:r w:rsidRPr="00A23740">
              <w:rPr>
                <w:rStyle w:val="KIRMIZIChar"/>
                <w:rFonts w:eastAsia="Calibri"/>
              </w:rPr>
              <w:t>(1)</w:t>
            </w:r>
            <w:r w:rsidRPr="00A23740">
              <w:rPr>
                <w:rFonts w:eastAsia="Times New Roman"/>
                <w:szCs w:val="24"/>
                <w:lang w:eastAsia="tr-TR"/>
              </w:rPr>
              <w:t xml:space="preserve"> Sözleşmenin karşı tarafının konkordato </w:t>
            </w:r>
            <w:r w:rsidRPr="00A23740">
              <w:rPr>
                <w:rStyle w:val="KIRMIZIChar"/>
                <w:rFonts w:eastAsia="Calibri"/>
              </w:rPr>
              <w:t>projesinden etkilenip etkilenmediğine</w:t>
            </w:r>
            <w:r w:rsidRPr="00A23740">
              <w:rPr>
                <w:rFonts w:eastAsia="Times New Roman"/>
                <w:szCs w:val="24"/>
                <w:lang w:eastAsia="tr-TR"/>
              </w:rPr>
              <w:t xml:space="preserve"> bakılmaksızın, borçlunun taraf olduğu ve işletmesinin faaliyetinin devamı için önem arz eden sözleşmelerin devamı esastır. Bu sözleşmelerde yer alıp da borçlunun konkordato talebinde bulunmasının sözleşmeye aykırılık teşkil edeceğine, haklı fesih sebebi sayılacağına yahut borcu muaccel hâle getireceğine ilişkin hükümler, borçlunun konkordato yoluna başvurması durumunda uygulanmaz. Sözleşmede bu yönde bir hüküm bulunmasa dahi sözleşme, borçlunun konkordatoya başvurduğu gerekçesiyle sona erdirilemez.</w:t>
            </w:r>
            <w:r w:rsidRPr="00AD7E89">
              <w:rPr>
                <w:rStyle w:val="KIRMIZIChar"/>
                <w:rFonts w:eastAsia="Calibri"/>
                <w:strike w:val="0"/>
                <w:lang w:eastAsia="tr-TR"/>
              </w:rPr>
              <w:t> </w:t>
            </w:r>
            <w:r w:rsidRPr="00A23740">
              <w:rPr>
                <w:rStyle w:val="KIRMIZIChar"/>
                <w:rFonts w:eastAsia="Calibri"/>
                <w:lang w:eastAsia="tr-TR"/>
              </w:rPr>
              <w:t>(Ek cümle:9/6/2021-7327/4 md.)</w:t>
            </w:r>
            <w:r w:rsidRPr="00A23740">
              <w:rPr>
                <w:rFonts w:eastAsia="Times New Roman"/>
                <w:b/>
                <w:bCs/>
                <w:szCs w:val="24"/>
                <w:lang w:eastAsia="tr-TR"/>
              </w:rPr>
              <w:t> </w:t>
            </w:r>
            <w:r w:rsidRPr="00A23740">
              <w:rPr>
                <w:rFonts w:eastAsia="Times New Roman"/>
                <w:szCs w:val="24"/>
                <w:lang w:eastAsia="tr-TR"/>
              </w:rPr>
              <w:t>Bu fıkra kapsamında geçici ve kesin mühlet süresince devam eden sözleşmeler nedeniyle borçlanılan edimler karşılıklı olarak ifa edilir.</w:t>
            </w:r>
            <w:r w:rsidRPr="00A23740">
              <w:rPr>
                <w:rFonts w:eastAsia="Times New Roman"/>
                <w:szCs w:val="24"/>
                <w:vertAlign w:val="superscript"/>
                <w:lang w:eastAsia="tr-TR"/>
              </w:rPr>
              <w:t> </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Borçlu, tarafı olduğu ve konkordatonun amacına ulaşmasını engelleyen aşırı külfetli sürekli borç ilişkilerini, komiserin uygun görüşü ve mahkemenin izniyle herhangi bir zamanda sona erecek şekilde </w:t>
            </w:r>
            <w:r w:rsidRPr="00A23740">
              <w:rPr>
                <w:rStyle w:val="KIRMIZIChar"/>
                <w:rFonts w:eastAsia="Calibri"/>
              </w:rPr>
              <w:t>feshedebilir.</w:t>
            </w:r>
            <w:r w:rsidRPr="00A23740">
              <w:rPr>
                <w:rFonts w:eastAsia="Times New Roman"/>
                <w:szCs w:val="24"/>
                <w:lang w:eastAsia="tr-TR"/>
              </w:rPr>
              <w:t xml:space="preserve"> </w:t>
            </w:r>
            <w:r w:rsidRPr="004A4973">
              <w:rPr>
                <w:rStyle w:val="KIRMIZIChar"/>
                <w:rFonts w:eastAsia="Calibri"/>
              </w:rPr>
              <w:t>Bu çerçevede</w:t>
            </w:r>
            <w:r w:rsidRPr="00A23740">
              <w:rPr>
                <w:rFonts w:eastAsia="Times New Roman"/>
                <w:szCs w:val="24"/>
                <w:lang w:eastAsia="tr-TR"/>
              </w:rPr>
              <w:t xml:space="preserve"> ödenmesi gereken tazminat, konkordato projesine tabi olur. Hizmet sözleşmelerinin feshine ilişkin özel hükümler saklıdır.</w:t>
            </w:r>
          </w:p>
          <w:p w:rsidR="00AA5C8C" w:rsidRPr="00A23740" w:rsidRDefault="00AA5C8C" w:rsidP="009431FF">
            <w:pPr>
              <w:rPr>
                <w:rFonts w:eastAsia="Times New Roman"/>
                <w:i/>
                <w:szCs w:val="24"/>
                <w:lang w:eastAsia="tr-TR"/>
              </w:rPr>
            </w:pPr>
          </w:p>
        </w:tc>
        <w:tc>
          <w:tcPr>
            <w:tcW w:w="2500" w:type="pct"/>
          </w:tcPr>
          <w:p w:rsidR="00AA5C8C" w:rsidRPr="00A23740" w:rsidRDefault="00AA5C8C" w:rsidP="009431FF">
            <w:pPr>
              <w:rPr>
                <w:rFonts w:eastAsia="Times New Roman"/>
                <w:b/>
                <w:szCs w:val="24"/>
                <w:lang w:eastAsia="tr-TR"/>
              </w:rPr>
            </w:pPr>
            <w:r w:rsidRPr="00A23740">
              <w:rPr>
                <w:rFonts w:eastAsia="Times New Roman"/>
                <w:b/>
                <w:szCs w:val="24"/>
                <w:lang w:eastAsia="tr-TR"/>
              </w:rPr>
              <w:t>Kesin mühletin sözleşmeler bakımından sonuçları</w:t>
            </w:r>
          </w:p>
          <w:p w:rsidR="00AA5C8C" w:rsidRPr="00A23740" w:rsidRDefault="003E49A5" w:rsidP="009431FF">
            <w:pPr>
              <w:rPr>
                <w:rFonts w:eastAsia="Times New Roman"/>
                <w:szCs w:val="24"/>
                <w:lang w:eastAsia="tr-TR"/>
              </w:rPr>
            </w:pPr>
            <w:r w:rsidRPr="00A23740">
              <w:rPr>
                <w:rStyle w:val="MaviChar"/>
                <w:lang w:val="tr-TR"/>
              </w:rPr>
              <w:t>MADDE 388</w:t>
            </w:r>
            <w:r w:rsidR="00AA5C8C" w:rsidRPr="00A23740">
              <w:rPr>
                <w:rStyle w:val="MaviChar"/>
                <w:lang w:val="tr-TR"/>
              </w:rPr>
              <w:t>- (1)</w:t>
            </w:r>
            <w:r w:rsidR="00AA5C8C" w:rsidRPr="00A23740">
              <w:rPr>
                <w:rFonts w:eastAsia="Times New Roman"/>
                <w:szCs w:val="24"/>
                <w:lang w:eastAsia="tr-TR"/>
              </w:rPr>
              <w:t xml:space="preserve"> Sözleşmenin karşı </w:t>
            </w:r>
            <w:r w:rsidR="00AA5C8C" w:rsidRPr="00A23740">
              <w:t>tarafının</w:t>
            </w:r>
            <w:r w:rsidR="00AA5C8C" w:rsidRPr="00A23740">
              <w:rPr>
                <w:rStyle w:val="MaviChar"/>
                <w:lang w:val="tr-TR"/>
              </w:rPr>
              <w:t xml:space="preserve"> </w:t>
            </w:r>
            <w:r w:rsidR="00AA5C8C" w:rsidRPr="00A23740">
              <w:t>konkordato</w:t>
            </w:r>
            <w:r w:rsidR="00AA5C8C" w:rsidRPr="00A23740">
              <w:rPr>
                <w:rStyle w:val="MaviChar"/>
              </w:rPr>
              <w:t>ya tabi</w:t>
            </w:r>
            <w:r w:rsidR="00AA5C8C" w:rsidRPr="00A23740">
              <w:rPr>
                <w:rStyle w:val="MaviChar"/>
                <w:lang w:val="tr-TR"/>
              </w:rPr>
              <w:t xml:space="preserve"> olup olmadığına </w:t>
            </w:r>
            <w:r w:rsidR="00AA5C8C" w:rsidRPr="00A23740">
              <w:t>bakılmaksızın</w:t>
            </w:r>
            <w:r w:rsidR="00AA5C8C" w:rsidRPr="00A23740">
              <w:rPr>
                <w:rFonts w:eastAsia="Times New Roman"/>
                <w:szCs w:val="24"/>
                <w:lang w:eastAsia="tr-TR"/>
              </w:rPr>
              <w:t>, borçlunun taraf olduğu ve işletmesinin faaliyetinin devamı için önem arz eden sözleşmelerin devamı esastır. Bu sözleşmelerde yer alıp da borçlunun konkordato talebinde bulunmasının sözleşmeye aykırılık teşkil edeceğine, haklı fesih sebebi sayılacağına yahut borcu muaccel hâle getireceğine ilişkin hükümler, borçlunun konkordato yoluna başvurması durumunda uygulanmaz. Sözleşmede bu yönde bir hüküm bulunmasa dahi sözleşme, borçlunun konkordatoya başvurduğu gerekçesiyle sona erdirilemez. Bu fıkra kapsamında geçici ve kesin mühlet süresince devam eden sözleşmeler nedeniyle borçlanılan edimler karşılıklı olarak ifa edilir.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0E3300" w:rsidRPr="00A23740" w:rsidRDefault="000E3300" w:rsidP="009431FF">
            <w:pPr>
              <w:rPr>
                <w:rStyle w:val="MaviChar"/>
              </w:rPr>
            </w:pPr>
          </w:p>
          <w:p w:rsidR="00AA5C8C" w:rsidRPr="00A23740" w:rsidRDefault="00AA5C8C" w:rsidP="009431FF">
            <w:pPr>
              <w:rPr>
                <w:rFonts w:eastAsia="Times New Roman"/>
                <w:szCs w:val="24"/>
                <w:lang w:eastAsia="tr-TR"/>
              </w:rPr>
            </w:pPr>
            <w:r w:rsidRPr="00A23740">
              <w:rPr>
                <w:rStyle w:val="MaviChar"/>
              </w:rPr>
              <w:t>(2)</w:t>
            </w:r>
            <w:r w:rsidRPr="00A23740">
              <w:rPr>
                <w:rFonts w:eastAsia="Times New Roman"/>
                <w:szCs w:val="24"/>
                <w:lang w:eastAsia="tr-TR"/>
              </w:rPr>
              <w:t xml:space="preserve"> Borçlu, tarafı olduğu ve konkordatonun amacına ulaşmasını engelleyen aşırı külfetli sürekli borç ilişkilerini, komiserin uygun görüşü ve </w:t>
            </w:r>
            <w:r w:rsidRPr="00A23740">
              <w:rPr>
                <w:rStyle w:val="MaviChar"/>
              </w:rPr>
              <w:t>iflas</w:t>
            </w:r>
            <w:r w:rsidRPr="00A23740">
              <w:rPr>
                <w:rFonts w:eastAsia="Times New Roman"/>
                <w:szCs w:val="24"/>
                <w:lang w:eastAsia="tr-TR"/>
              </w:rPr>
              <w:t xml:space="preserve"> mahkeme</w:t>
            </w:r>
            <w:r w:rsidRPr="00A23740">
              <w:rPr>
                <w:rStyle w:val="MaviChar"/>
              </w:rPr>
              <w:t>si</w:t>
            </w:r>
            <w:r w:rsidRPr="00A23740">
              <w:rPr>
                <w:rFonts w:eastAsia="Times New Roman"/>
                <w:szCs w:val="24"/>
                <w:lang w:eastAsia="tr-TR"/>
              </w:rPr>
              <w:t xml:space="preserve">nin izniyle herhangi bir zamanda sona erecek şekilde </w:t>
            </w:r>
            <w:r w:rsidRPr="00A23740">
              <w:rPr>
                <w:rStyle w:val="MaviChar"/>
              </w:rPr>
              <w:t xml:space="preserve">feshedebileceği gibi; iflas mahkemesinden, Türk Borçlar Kanununun 138 inci </w:t>
            </w:r>
            <w:r w:rsidR="000E3300" w:rsidRPr="007711FB">
              <w:t>maddesine</w:t>
            </w:r>
            <w:r w:rsidRPr="00A23740">
              <w:rPr>
                <w:rStyle w:val="MaviChar"/>
              </w:rPr>
              <w:t xml:space="preserve"> göre sözleşmenin yeni koşullara uyarlanmasını da isteyebilir. Mahkeme</w:t>
            </w:r>
            <w:r w:rsidRPr="00A23740">
              <w:rPr>
                <w:rStyle w:val="MaviChar"/>
                <w:lang w:val="tr-TR"/>
              </w:rPr>
              <w:t>,</w:t>
            </w:r>
            <w:r w:rsidRPr="00A23740">
              <w:rPr>
                <w:rStyle w:val="MaviChar"/>
              </w:rPr>
              <w:t xml:space="preserve"> bu hususta</w:t>
            </w:r>
            <w:r w:rsidRPr="00A23740">
              <w:rPr>
                <w:rStyle w:val="MaviChar"/>
                <w:lang w:val="tr-TR"/>
              </w:rPr>
              <w:t xml:space="preserve"> </w:t>
            </w:r>
            <w:r w:rsidRPr="00A23740">
              <w:rPr>
                <w:rStyle w:val="MaviChar"/>
              </w:rPr>
              <w:t>gerektiğinde duruşma açmak suretiyle yapacağı incelemede</w:t>
            </w:r>
            <w:r w:rsidRPr="00A23740">
              <w:rPr>
                <w:rStyle w:val="MaviChar"/>
                <w:lang w:val="tr-TR"/>
              </w:rPr>
              <w:t xml:space="preserve"> </w:t>
            </w:r>
            <w:r w:rsidRPr="00A23740">
              <w:rPr>
                <w:rStyle w:val="MaviChar"/>
              </w:rPr>
              <w:t>komiserin</w:t>
            </w:r>
            <w:r w:rsidR="00AE7727" w:rsidRPr="00A23740">
              <w:rPr>
                <w:rStyle w:val="MaviChar"/>
                <w:lang w:val="tr-TR"/>
              </w:rPr>
              <w:t xml:space="preserve"> </w:t>
            </w:r>
            <w:r w:rsidR="00AE7727" w:rsidRPr="007711FB">
              <w:rPr>
                <w:rStyle w:val="MaviChar"/>
              </w:rPr>
              <w:t>de</w:t>
            </w:r>
            <w:r w:rsidRPr="00A23740">
              <w:rPr>
                <w:rStyle w:val="MaviChar"/>
              </w:rPr>
              <w:t xml:space="preserve"> görüşünü alır. Fesih</w:t>
            </w:r>
            <w:r w:rsidRPr="00A23740">
              <w:rPr>
                <w:rFonts w:eastAsia="Times New Roman"/>
                <w:szCs w:val="24"/>
                <w:lang w:eastAsia="tr-TR"/>
              </w:rPr>
              <w:t xml:space="preserve"> </w:t>
            </w:r>
            <w:r w:rsidRPr="004A4973">
              <w:rPr>
                <w:rStyle w:val="Balk1Char"/>
                <w:rFonts w:eastAsia="Calibri"/>
              </w:rPr>
              <w:t>çerçevesinde</w:t>
            </w:r>
            <w:r w:rsidRPr="00A23740">
              <w:rPr>
                <w:rFonts w:eastAsia="Times New Roman"/>
                <w:szCs w:val="24"/>
                <w:lang w:eastAsia="tr-TR"/>
              </w:rPr>
              <w:t xml:space="preserve"> ödenmesi gereken tazminat, konkordato projesine tabi olur. Hizmet sözleşmelerinin feshine ilişkin özel hükümler saklıdır.</w:t>
            </w:r>
          </w:p>
          <w:p w:rsidR="00AA5C8C" w:rsidRPr="00A23740" w:rsidRDefault="00AA5C8C" w:rsidP="009431FF">
            <w:pPr>
              <w:rPr>
                <w:rFonts w:eastAsia="Times New Roman"/>
                <w:szCs w:val="24"/>
                <w:lang w:eastAsia="tr-TR"/>
              </w:rPr>
            </w:pPr>
          </w:p>
          <w:p w:rsidR="00AA5C8C" w:rsidRPr="00A23740" w:rsidRDefault="00AA5C8C" w:rsidP="009431FF">
            <w:pPr>
              <w:pStyle w:val="Mavi"/>
            </w:pPr>
            <w:r w:rsidRPr="00A23740">
              <w:t xml:space="preserve">(3) Borçlu, ikinci fıkra kapsamına giren borç ilişkilerini, komiserin uygun görüşü ve </w:t>
            </w:r>
            <w:r w:rsidRPr="00A23740">
              <w:rPr>
                <w:rStyle w:val="YELChar"/>
                <w:rFonts w:eastAsia="Calibri"/>
                <w:b/>
                <w:color w:val="0000FF"/>
                <w:lang w:eastAsia="x-none"/>
              </w:rPr>
              <w:t>iflas</w:t>
            </w:r>
            <w:r w:rsidRPr="00A23740">
              <w:t xml:space="preserve"> mahkemesinin izniyle Türk Borçlar Kanununun 205 inci maddesi hükmü çerçevesinde üçüncü kişiye de devredebilir.</w:t>
            </w:r>
          </w:p>
          <w:p w:rsidR="00AA5C8C" w:rsidRPr="00A23740" w:rsidRDefault="00AA5C8C" w:rsidP="009431FF">
            <w:pPr>
              <w:pStyle w:val="YEL"/>
              <w:rPr>
                <w:color w:val="FF0000"/>
                <w:lang w:val="tr-TR"/>
              </w:rPr>
            </w:pPr>
          </w:p>
          <w:p w:rsidR="00AA5C8C" w:rsidRPr="00A23740" w:rsidRDefault="00AA5C8C" w:rsidP="009431FF">
            <w:pPr>
              <w:pStyle w:val="Mavi"/>
            </w:pPr>
            <w:r w:rsidRPr="00A23740">
              <w:t>(4) Konkordato talebinde bulunulması, borçlu lehine verilen</w:t>
            </w:r>
            <w:r w:rsidRPr="00A23740">
              <w:rPr>
                <w:lang w:val="tr-TR"/>
              </w:rPr>
              <w:t xml:space="preserve"> </w:t>
            </w:r>
            <w:r w:rsidRPr="00A23740">
              <w:t>teminat mektubunun paraya çevrilmesi</w:t>
            </w:r>
            <w:r w:rsidRPr="00A23740">
              <w:rPr>
                <w:lang w:val="tr-TR"/>
              </w:rPr>
              <w:t xml:space="preserve"> </w:t>
            </w:r>
            <w:r w:rsidRPr="00A23740">
              <w:t>için haklı sebep teşkil etmez. Şu kadar ki, bu</w:t>
            </w:r>
            <w:r w:rsidRPr="00A23740">
              <w:rPr>
                <w:lang w:val="tr-TR"/>
              </w:rPr>
              <w:t xml:space="preserve"> </w:t>
            </w:r>
            <w:r w:rsidRPr="00A23740">
              <w:t>teminat mektupları, muhatabın veya lehtarın talebi üzerine ve komiserin görüşünü aldıktan sonra iflas mahkemesinin vereceği kararla tazmin edilebilir. Bu hüküm kefalet sigortası kapsamında düzenlenen kefalet senetleri hakkında da uygulanır.</w:t>
            </w:r>
          </w:p>
          <w:p w:rsidR="00AA5C8C" w:rsidRPr="00A23740" w:rsidRDefault="00AA5C8C" w:rsidP="009431FF">
            <w:pPr>
              <w:pStyle w:val="KIRMIZI"/>
              <w:rPr>
                <w:b w:val="0"/>
                <w:lang w:eastAsia="tr-TR"/>
              </w:rPr>
            </w:pPr>
          </w:p>
        </w:tc>
      </w:tr>
      <w:tr w:rsidR="005C3738" w:rsidRPr="00A23740" w:rsidTr="009431FF">
        <w:tc>
          <w:tcPr>
            <w:tcW w:w="5000" w:type="pct"/>
            <w:gridSpan w:val="2"/>
            <w:shd w:val="clear" w:color="auto" w:fill="DEEAF6"/>
          </w:tcPr>
          <w:p w:rsidR="004F52EE" w:rsidRPr="00A23740" w:rsidRDefault="004F52EE" w:rsidP="009431FF">
            <w:pPr>
              <w:ind w:firstLine="567"/>
              <w:rPr>
                <w:b/>
                <w:bCs/>
                <w:color w:val="000000"/>
                <w:szCs w:val="24"/>
                <w:lang w:eastAsia="x-none"/>
              </w:rPr>
            </w:pPr>
          </w:p>
          <w:p w:rsidR="007F2779" w:rsidRPr="00A23740" w:rsidRDefault="003E49A5" w:rsidP="009431FF">
            <w:pPr>
              <w:ind w:firstLine="567"/>
              <w:rPr>
                <w:rFonts w:eastAsia="Times New Roman"/>
                <w:color w:val="000000"/>
                <w:szCs w:val="24"/>
              </w:rPr>
            </w:pPr>
            <w:r w:rsidRPr="00A23740">
              <w:rPr>
                <w:b/>
                <w:bCs/>
                <w:color w:val="000000"/>
                <w:szCs w:val="24"/>
                <w:lang w:eastAsia="x-none"/>
              </w:rPr>
              <w:t>MADDE 388</w:t>
            </w:r>
            <w:r w:rsidR="007F2779" w:rsidRPr="00A23740">
              <w:rPr>
                <w:b/>
                <w:bCs/>
                <w:color w:val="000000"/>
                <w:szCs w:val="24"/>
                <w:lang w:eastAsia="x-none"/>
              </w:rPr>
              <w:t>-</w:t>
            </w:r>
            <w:r w:rsidR="007F2779" w:rsidRPr="00A23740">
              <w:rPr>
                <w:bCs/>
                <w:color w:val="000000"/>
                <w:szCs w:val="24"/>
                <w:lang w:eastAsia="x-none"/>
              </w:rPr>
              <w:t xml:space="preserve">  </w:t>
            </w:r>
            <w:r w:rsidR="00A354BD" w:rsidRPr="00A23740">
              <w:rPr>
                <w:bCs/>
                <w:color w:val="000000"/>
                <w:szCs w:val="24"/>
                <w:lang w:eastAsia="x-none"/>
              </w:rPr>
              <w:t>Maddeyle, kesin mühletin sözleşmeler bakımından sonuçları düzenlenmektedir. Taslağın</w:t>
            </w:r>
            <w:r w:rsidR="008F2519" w:rsidRPr="00A23740">
              <w:rPr>
                <w:bCs/>
                <w:color w:val="000000"/>
                <w:szCs w:val="24"/>
                <w:lang w:eastAsia="x-none"/>
              </w:rPr>
              <w:t xml:space="preserve"> </w:t>
            </w:r>
            <w:r w:rsidR="008F2519" w:rsidRPr="007711FB">
              <w:t>388 inci</w:t>
            </w:r>
            <w:r w:rsidR="00A354BD" w:rsidRPr="00A23740">
              <w:rPr>
                <w:bCs/>
                <w:color w:val="000000"/>
                <w:szCs w:val="24"/>
                <w:lang w:eastAsia="x-none"/>
              </w:rPr>
              <w:t xml:space="preserve"> </w:t>
            </w:r>
            <w:r w:rsidR="007F2779" w:rsidRPr="00A23740">
              <w:rPr>
                <w:bCs/>
                <w:color w:val="000000"/>
                <w:szCs w:val="24"/>
                <w:lang w:eastAsia="x-none"/>
              </w:rPr>
              <w:t>maddesi “</w:t>
            </w:r>
            <w:r w:rsidR="007F2779" w:rsidRPr="00A23740">
              <w:rPr>
                <w:rFonts w:eastAsia="Times New Roman"/>
                <w:color w:val="000000"/>
                <w:szCs w:val="24"/>
              </w:rPr>
              <w:t xml:space="preserve">Kesin mühletin sözleşmeler bakımından sonuçları” başlığını taşımakta olup </w:t>
            </w:r>
            <w:r w:rsidR="00A6533F" w:rsidRPr="00A23740">
              <w:rPr>
                <w:rFonts w:eastAsia="Times New Roman"/>
                <w:color w:val="000000"/>
                <w:szCs w:val="24"/>
              </w:rPr>
              <w:t>2004 sayılı K</w:t>
            </w:r>
            <w:r w:rsidR="007F2779" w:rsidRPr="00A23740">
              <w:rPr>
                <w:rFonts w:eastAsia="Times New Roman"/>
                <w:color w:val="000000"/>
                <w:szCs w:val="24"/>
              </w:rPr>
              <w:t>anunun 296 ncı m</w:t>
            </w:r>
            <w:r w:rsidR="00A354BD" w:rsidRPr="00A23740">
              <w:rPr>
                <w:rFonts w:eastAsia="Times New Roman"/>
                <w:color w:val="000000"/>
                <w:szCs w:val="24"/>
              </w:rPr>
              <w:t xml:space="preserve">addesine karşılık gelmektedir. </w:t>
            </w:r>
          </w:p>
          <w:p w:rsidR="007F2779" w:rsidRPr="00A23740" w:rsidRDefault="00A354BD" w:rsidP="009431FF">
            <w:pPr>
              <w:ind w:firstLine="567"/>
              <w:rPr>
                <w:rFonts w:eastAsia="Times New Roman"/>
                <w:color w:val="000000"/>
                <w:szCs w:val="24"/>
              </w:rPr>
            </w:pPr>
            <w:r w:rsidRPr="00A23740">
              <w:rPr>
                <w:bCs/>
                <w:color w:val="000000"/>
                <w:szCs w:val="24"/>
                <w:lang w:eastAsia="x-none"/>
              </w:rPr>
              <w:t>Maddenin bir</w:t>
            </w:r>
            <w:r w:rsidR="007F2779" w:rsidRPr="00A23740">
              <w:rPr>
                <w:bCs/>
                <w:color w:val="000000"/>
                <w:szCs w:val="24"/>
                <w:lang w:eastAsia="x-none"/>
              </w:rPr>
              <w:t>inci fıkrasında s</w:t>
            </w:r>
            <w:r w:rsidR="007F2779" w:rsidRPr="00A23740">
              <w:rPr>
                <w:rFonts w:eastAsia="Times New Roman"/>
                <w:color w:val="000000"/>
                <w:szCs w:val="24"/>
              </w:rPr>
              <w:t xml:space="preserve">özleşmenin karşı </w:t>
            </w:r>
            <w:r w:rsidR="007F2779" w:rsidRPr="00A23740">
              <w:rPr>
                <w:color w:val="000000"/>
                <w:szCs w:val="24"/>
              </w:rPr>
              <w:t>tarafının</w:t>
            </w:r>
            <w:r w:rsidR="007F2779" w:rsidRPr="00A23740">
              <w:rPr>
                <w:bCs/>
                <w:color w:val="000000"/>
                <w:szCs w:val="24"/>
                <w:lang w:val="x-none" w:eastAsia="x-none"/>
              </w:rPr>
              <w:t xml:space="preserve"> </w:t>
            </w:r>
            <w:r w:rsidR="007F2779" w:rsidRPr="00A23740">
              <w:rPr>
                <w:color w:val="000000"/>
                <w:szCs w:val="24"/>
              </w:rPr>
              <w:t>konkordato</w:t>
            </w:r>
            <w:r w:rsidR="007F2779" w:rsidRPr="00A23740">
              <w:rPr>
                <w:bCs/>
                <w:color w:val="000000"/>
                <w:szCs w:val="24"/>
                <w:lang w:val="x-none" w:eastAsia="x-none"/>
              </w:rPr>
              <w:t xml:space="preserve">ya tabi olup olmadığına </w:t>
            </w:r>
            <w:r w:rsidR="007F2779" w:rsidRPr="00A23740">
              <w:rPr>
                <w:color w:val="000000"/>
                <w:szCs w:val="24"/>
              </w:rPr>
              <w:t>bakılmaksızın</w:t>
            </w:r>
            <w:r w:rsidR="007F2779" w:rsidRPr="00A23740">
              <w:rPr>
                <w:rFonts w:eastAsia="Times New Roman"/>
                <w:color w:val="000000"/>
                <w:szCs w:val="24"/>
              </w:rPr>
              <w:t xml:space="preserve">, borçlunun taraf olduğu ve işletmesinin faaliyetinin devamı için önem arz eden sözleşmelerin devamının esas olduğu; bu sözleşmelerde yer alıp da borçlunun konkordato talebinde bulunmasının sözleşmeye aykırılık teşkil edeceğine, haklı fesih sebebi sayılacağına yahut borcu muaccel hâle getireceğine ilişkin hükümlerin, borçlunun konkordato yoluna başvurması durumunda uygulanmayacağı; sözleşmede bu yönde bir hüküm bulunmasa dahi sözleşmenin, borçlunun konkordatoya başvurduğu gerekçesiyle sona erdirilemeyeceği; bu fıkra kapsamında geçici ve kesin mühlet süresince devam eden sözleşmeler nedeniyle borçlanılan edimlerin karşılıklı olarak </w:t>
            </w:r>
            <w:r w:rsidRPr="00A23740">
              <w:rPr>
                <w:rFonts w:eastAsia="Times New Roman"/>
                <w:color w:val="000000"/>
                <w:szCs w:val="24"/>
              </w:rPr>
              <w:t>ifa edileceği düzenlenmektedir.</w:t>
            </w:r>
          </w:p>
          <w:p w:rsidR="007F2779" w:rsidRPr="00A23740" w:rsidRDefault="00A354BD" w:rsidP="009431FF">
            <w:pPr>
              <w:ind w:firstLine="567"/>
              <w:rPr>
                <w:rFonts w:eastAsia="Times New Roman"/>
                <w:color w:val="000000"/>
                <w:szCs w:val="24"/>
              </w:rPr>
            </w:pPr>
            <w:r w:rsidRPr="00A23740">
              <w:rPr>
                <w:rFonts w:eastAsia="Times New Roman"/>
                <w:color w:val="000000"/>
                <w:szCs w:val="24"/>
              </w:rPr>
              <w:t>Maddenin iki</w:t>
            </w:r>
            <w:r w:rsidR="007F2779" w:rsidRPr="00A23740">
              <w:rPr>
                <w:rFonts w:eastAsia="Times New Roman"/>
                <w:color w:val="000000"/>
                <w:szCs w:val="24"/>
              </w:rPr>
              <w:t xml:space="preserve">nci fıkrasında borçlunun, tarafı olduğu ve konkordatonun amacına ulaşmasını engelleyen aşırı külfetli sürekli borç ilişkilerinin, komiserin uygun görüşü ve </w:t>
            </w:r>
            <w:r w:rsidR="007F2779" w:rsidRPr="00A23740">
              <w:rPr>
                <w:bCs/>
                <w:color w:val="000000"/>
                <w:szCs w:val="24"/>
                <w:lang w:val="x-none" w:eastAsia="x-none"/>
              </w:rPr>
              <w:t>iflas</w:t>
            </w:r>
            <w:r w:rsidR="007F2779" w:rsidRPr="00A23740">
              <w:rPr>
                <w:rFonts w:eastAsia="Times New Roman"/>
                <w:color w:val="000000"/>
                <w:szCs w:val="24"/>
              </w:rPr>
              <w:t xml:space="preserve"> mahkeme</w:t>
            </w:r>
            <w:r w:rsidR="007F2779" w:rsidRPr="00A23740">
              <w:rPr>
                <w:bCs/>
                <w:color w:val="000000"/>
                <w:szCs w:val="24"/>
                <w:lang w:val="x-none" w:eastAsia="x-none"/>
              </w:rPr>
              <w:t>si</w:t>
            </w:r>
            <w:r w:rsidR="007F2779" w:rsidRPr="00A23740">
              <w:rPr>
                <w:rFonts w:eastAsia="Times New Roman"/>
                <w:color w:val="000000"/>
                <w:szCs w:val="24"/>
              </w:rPr>
              <w:t xml:space="preserve">nin izniyle herhangi bir zamanda sona erecek şekilde </w:t>
            </w:r>
            <w:r w:rsidR="007F2779" w:rsidRPr="00A23740">
              <w:rPr>
                <w:bCs/>
                <w:color w:val="000000"/>
                <w:szCs w:val="24"/>
                <w:lang w:val="x-none" w:eastAsia="x-none"/>
              </w:rPr>
              <w:t xml:space="preserve">feshedebileceği gibi; iflas mahkemesinden, </w:t>
            </w:r>
            <w:r w:rsidR="00CB4D3D" w:rsidRPr="00366FF5">
              <w:t>6098 sayılı Kanunun</w:t>
            </w:r>
            <w:r w:rsidR="007F2779" w:rsidRPr="00A23740">
              <w:rPr>
                <w:bCs/>
                <w:color w:val="000000"/>
                <w:szCs w:val="24"/>
                <w:lang w:val="x-none" w:eastAsia="x-none"/>
              </w:rPr>
              <w:t xml:space="preserve"> 138 inci madde</w:t>
            </w:r>
            <w:r w:rsidR="00EE57E0" w:rsidRPr="00366FF5">
              <w:t>si</w:t>
            </w:r>
            <w:r w:rsidR="007F2779" w:rsidRPr="00A23740">
              <w:rPr>
                <w:bCs/>
                <w:color w:val="000000"/>
                <w:szCs w:val="24"/>
                <w:lang w:val="x-none" w:eastAsia="x-none"/>
              </w:rPr>
              <w:t xml:space="preserve"> hükmüne göre sözleşmenin yeni koşullara uyarlanmasını</w:t>
            </w:r>
            <w:r w:rsidR="007F2779" w:rsidRPr="00A23740">
              <w:rPr>
                <w:bCs/>
                <w:color w:val="000000"/>
                <w:szCs w:val="24"/>
                <w:lang w:eastAsia="x-none"/>
              </w:rPr>
              <w:t>n</w:t>
            </w:r>
            <w:r w:rsidR="007F2779" w:rsidRPr="00A23740">
              <w:rPr>
                <w:bCs/>
                <w:color w:val="000000"/>
                <w:szCs w:val="24"/>
                <w:lang w:val="x-none" w:eastAsia="x-none"/>
              </w:rPr>
              <w:t xml:space="preserve"> da </w:t>
            </w:r>
            <w:r w:rsidR="00AE7727" w:rsidRPr="00366FF5">
              <w:t>istenebileceği</w:t>
            </w:r>
            <w:r w:rsidR="007F2779" w:rsidRPr="00A23740">
              <w:rPr>
                <w:bCs/>
                <w:color w:val="000000"/>
                <w:szCs w:val="24"/>
                <w:lang w:eastAsia="x-none"/>
              </w:rPr>
              <w:t>; m</w:t>
            </w:r>
            <w:r w:rsidR="007F2779" w:rsidRPr="00A23740">
              <w:rPr>
                <w:bCs/>
                <w:color w:val="000000"/>
                <w:szCs w:val="24"/>
                <w:lang w:val="x-none" w:eastAsia="x-none"/>
              </w:rPr>
              <w:t>ahkeme</w:t>
            </w:r>
            <w:r w:rsidR="007F2779" w:rsidRPr="00A23740">
              <w:rPr>
                <w:bCs/>
                <w:color w:val="000000"/>
                <w:szCs w:val="24"/>
                <w:lang w:eastAsia="x-none"/>
              </w:rPr>
              <w:t>nin</w:t>
            </w:r>
            <w:r w:rsidR="007F2779" w:rsidRPr="00A23740">
              <w:rPr>
                <w:bCs/>
                <w:color w:val="000000"/>
                <w:szCs w:val="24"/>
                <w:lang w:val="x-none" w:eastAsia="x-none"/>
              </w:rPr>
              <w:t>, bu hususta gerektiğinde duruşma açmak suretiyle yapacağı incelemede komiserin görüşünü de al</w:t>
            </w:r>
            <w:r w:rsidR="007F2779" w:rsidRPr="00A23740">
              <w:rPr>
                <w:bCs/>
                <w:color w:val="000000"/>
                <w:szCs w:val="24"/>
                <w:lang w:eastAsia="x-none"/>
              </w:rPr>
              <w:t>acağı; f</w:t>
            </w:r>
            <w:r w:rsidR="007F2779" w:rsidRPr="00A23740">
              <w:rPr>
                <w:bCs/>
                <w:color w:val="000000"/>
                <w:szCs w:val="24"/>
                <w:lang w:val="x-none" w:eastAsia="x-none"/>
              </w:rPr>
              <w:t>esih</w:t>
            </w:r>
            <w:r w:rsidR="007F2779" w:rsidRPr="00A23740">
              <w:rPr>
                <w:rFonts w:eastAsia="Times New Roman"/>
                <w:color w:val="000000"/>
                <w:szCs w:val="24"/>
              </w:rPr>
              <w:t xml:space="preserve"> çerçeve</w:t>
            </w:r>
            <w:r w:rsidR="007F2779" w:rsidRPr="00A23740">
              <w:rPr>
                <w:bCs/>
                <w:color w:val="000000"/>
                <w:szCs w:val="24"/>
                <w:lang w:val="x-none" w:eastAsia="x-none"/>
              </w:rPr>
              <w:t>sin</w:t>
            </w:r>
            <w:r w:rsidR="007F2779" w:rsidRPr="00A23740">
              <w:rPr>
                <w:rFonts w:eastAsia="Times New Roman"/>
                <w:color w:val="000000"/>
                <w:szCs w:val="24"/>
              </w:rPr>
              <w:t>de ödenmesi gereken tazminatın, konkordato projesine tabi olacağı belirtilmiş</w:t>
            </w:r>
            <w:r w:rsidR="008852ED" w:rsidRPr="00A23740">
              <w:rPr>
                <w:rFonts w:eastAsia="Times New Roman"/>
                <w:color w:val="000000"/>
                <w:szCs w:val="24"/>
              </w:rPr>
              <w:t>,</w:t>
            </w:r>
            <w:r w:rsidR="007F2779" w:rsidRPr="00A23740">
              <w:rPr>
                <w:rFonts w:eastAsia="Times New Roman"/>
                <w:color w:val="000000"/>
                <w:szCs w:val="24"/>
              </w:rPr>
              <w:t xml:space="preserve"> hizmet sözleşmelerinin feshine ilişkin özel hükümler saklı tutulmuştur. </w:t>
            </w:r>
            <w:r w:rsidR="00A6533F" w:rsidRPr="00A23740">
              <w:rPr>
                <w:rFonts w:eastAsia="Times New Roman"/>
                <w:color w:val="000000"/>
                <w:szCs w:val="24"/>
              </w:rPr>
              <w:t>2004 sayılı K</w:t>
            </w:r>
            <w:r w:rsidRPr="00A23740">
              <w:rPr>
                <w:rFonts w:eastAsia="Times New Roman"/>
                <w:color w:val="000000"/>
                <w:szCs w:val="24"/>
              </w:rPr>
              <w:t>anunun 296 ncı maddesinin bir</w:t>
            </w:r>
            <w:r w:rsidR="007F2779" w:rsidRPr="00A23740">
              <w:rPr>
                <w:rFonts w:eastAsia="Times New Roman"/>
                <w:color w:val="000000"/>
                <w:szCs w:val="24"/>
              </w:rPr>
              <w:t>inci fıkrasının karşılığı olan bu hükümde yapılmış olan yenilik</w:t>
            </w:r>
            <w:r w:rsidR="00AE7727" w:rsidRPr="004A4973">
              <w:rPr>
                <w:rStyle w:val="YELChar"/>
                <w:b w:val="0"/>
                <w:color w:val="000000" w:themeColor="text1"/>
              </w:rPr>
              <w:t>,</w:t>
            </w:r>
            <w:r w:rsidR="007F2779" w:rsidRPr="00A23740">
              <w:rPr>
                <w:rFonts w:eastAsia="Times New Roman"/>
                <w:color w:val="000000"/>
                <w:szCs w:val="24"/>
              </w:rPr>
              <w:t xml:space="preserve"> borçlunun sözleşmenin feshi yerine </w:t>
            </w:r>
            <w:r w:rsidR="00CB4D3D" w:rsidRPr="00366FF5">
              <w:t>6098 sayılı Kanunun</w:t>
            </w:r>
            <w:r w:rsidR="00A6533F" w:rsidRPr="00A23740">
              <w:rPr>
                <w:rFonts w:eastAsia="Times New Roman"/>
                <w:color w:val="000000"/>
                <w:szCs w:val="24"/>
              </w:rPr>
              <w:t xml:space="preserve"> </w:t>
            </w:r>
            <w:r w:rsidR="007F2779" w:rsidRPr="00A23740">
              <w:rPr>
                <w:rFonts w:eastAsia="Times New Roman"/>
                <w:color w:val="000000"/>
                <w:szCs w:val="24"/>
              </w:rPr>
              <w:t xml:space="preserve">138 </w:t>
            </w:r>
            <w:r w:rsidR="00A6533F" w:rsidRPr="00A23740">
              <w:rPr>
                <w:rFonts w:eastAsia="Times New Roman"/>
                <w:color w:val="000000"/>
                <w:szCs w:val="24"/>
              </w:rPr>
              <w:t xml:space="preserve">inci maddesine </w:t>
            </w:r>
            <w:r w:rsidR="007F2779" w:rsidRPr="00A23740">
              <w:rPr>
                <w:rFonts w:eastAsia="Times New Roman"/>
                <w:color w:val="000000"/>
                <w:szCs w:val="24"/>
              </w:rPr>
              <w:t>göre uyarlama davası da açabileceğinin tasrih edilmiş olmasıdır.</w:t>
            </w:r>
          </w:p>
          <w:p w:rsidR="007F2779" w:rsidRPr="00A23740" w:rsidRDefault="007F2779" w:rsidP="009431FF">
            <w:pPr>
              <w:ind w:firstLine="567"/>
              <w:rPr>
                <w:rFonts w:eastAsia="Times New Roman"/>
                <w:color w:val="000000"/>
                <w:szCs w:val="24"/>
              </w:rPr>
            </w:pPr>
            <w:r w:rsidRPr="00A23740">
              <w:rPr>
                <w:rFonts w:eastAsia="ヒラギノ明朝 Pro W3"/>
                <w:color w:val="000000"/>
                <w:szCs w:val="24"/>
              </w:rPr>
              <w:t>Bu fıkra kapsamında yapılacak incelemede h</w:t>
            </w:r>
            <w:r w:rsidR="00407C95" w:rsidRPr="00A23740">
              <w:t>â</w:t>
            </w:r>
            <w:r w:rsidRPr="00A23740">
              <w:rPr>
                <w:rFonts w:eastAsia="ヒラギノ明朝 Pro W3"/>
                <w:color w:val="000000"/>
                <w:szCs w:val="24"/>
              </w:rPr>
              <w:t xml:space="preserve">kimin iki tarafı da dinlemesinin gerekli olabileceği dikkate alınarak,  söz konusu incelemenin duruşmalı olarak da </w:t>
            </w:r>
            <w:r w:rsidR="008852ED" w:rsidRPr="00A23740">
              <w:rPr>
                <w:rFonts w:eastAsia="ヒラギノ明朝 Pro W3"/>
                <w:color w:val="000000"/>
                <w:szCs w:val="24"/>
              </w:rPr>
              <w:t xml:space="preserve">yapılabilmesi </w:t>
            </w:r>
            <w:r w:rsidRPr="00A23740">
              <w:rPr>
                <w:rFonts w:eastAsia="ヒラギノ明朝 Pro W3"/>
                <w:color w:val="000000"/>
                <w:szCs w:val="24"/>
              </w:rPr>
              <w:t>kabul edilmiştir. Ancak somut olayın özelliğine göre h</w:t>
            </w:r>
            <w:r w:rsidR="00407C95" w:rsidRPr="00A23740">
              <w:t>â</w:t>
            </w:r>
            <w:r w:rsidRPr="00A23740">
              <w:rPr>
                <w:rFonts w:eastAsia="ヒラギノ明朝 Pro W3"/>
                <w:color w:val="000000"/>
                <w:szCs w:val="24"/>
              </w:rPr>
              <w:t xml:space="preserve">kimin duruşma açmadan tarafların bu konudaki yazılı beyanlarını almak suretiyle dosya üzerinden yapacağı inceleme sonucunda karar vermesine de bir engel bulunmamaktadır.  </w:t>
            </w:r>
          </w:p>
          <w:p w:rsidR="007F2779" w:rsidRPr="00A23740" w:rsidRDefault="00A354BD" w:rsidP="009431FF">
            <w:pPr>
              <w:tabs>
                <w:tab w:val="left" w:pos="567"/>
              </w:tabs>
              <w:ind w:firstLine="567"/>
              <w:rPr>
                <w:bCs/>
                <w:color w:val="000000"/>
                <w:szCs w:val="24"/>
                <w:lang w:eastAsia="x-none"/>
              </w:rPr>
            </w:pPr>
            <w:r w:rsidRPr="00A23740">
              <w:rPr>
                <w:bCs/>
                <w:color w:val="000000"/>
                <w:szCs w:val="24"/>
                <w:lang w:eastAsia="x-none"/>
              </w:rPr>
              <w:t>Maddenin üç</w:t>
            </w:r>
            <w:r w:rsidR="007F2779" w:rsidRPr="00A23740">
              <w:rPr>
                <w:bCs/>
                <w:color w:val="000000"/>
                <w:szCs w:val="24"/>
                <w:lang w:eastAsia="x-none"/>
              </w:rPr>
              <w:t>üncü fıkrasında öğretideki öneriler (</w:t>
            </w:r>
            <w:r w:rsidR="007F2779" w:rsidRPr="00A23740">
              <w:rPr>
                <w:rFonts w:eastAsia="ヒラギノ明朝 Pro W3"/>
                <w:color w:val="000000"/>
                <w:szCs w:val="24"/>
              </w:rPr>
              <w:t xml:space="preserve">Bünyamin Kartal, Konkordato Mühleti Verilmesinin Sürekli Borç İlişkilerine Etkisi Ankara 2022) </w:t>
            </w:r>
            <w:r w:rsidR="007F2779" w:rsidRPr="00A23740">
              <w:rPr>
                <w:bCs/>
                <w:color w:val="000000"/>
                <w:szCs w:val="24"/>
                <w:lang w:eastAsia="x-none"/>
              </w:rPr>
              <w:t xml:space="preserve"> dikkate alınarak, b</w:t>
            </w:r>
            <w:r w:rsidR="007F2779" w:rsidRPr="00A23740">
              <w:rPr>
                <w:bCs/>
                <w:color w:val="000000"/>
                <w:szCs w:val="24"/>
                <w:lang w:val="x-none" w:eastAsia="x-none"/>
              </w:rPr>
              <w:t>orçlu</w:t>
            </w:r>
            <w:r w:rsidR="007F2779" w:rsidRPr="00A23740">
              <w:rPr>
                <w:bCs/>
                <w:color w:val="000000"/>
                <w:szCs w:val="24"/>
                <w:lang w:eastAsia="x-none"/>
              </w:rPr>
              <w:t>nun</w:t>
            </w:r>
            <w:r w:rsidR="007F2779" w:rsidRPr="00A23740">
              <w:rPr>
                <w:bCs/>
                <w:color w:val="000000"/>
                <w:szCs w:val="24"/>
                <w:lang w:val="x-none" w:eastAsia="x-none"/>
              </w:rPr>
              <w:t xml:space="preserve">, ikinci fıkra kapsamına giren borç ilişkilerini, komiserin uygun görüşü ve </w:t>
            </w:r>
            <w:r w:rsidR="007F2779" w:rsidRPr="00A23740">
              <w:rPr>
                <w:rFonts w:eastAsia="ヒラギノ明朝 Pro W3"/>
                <w:bCs/>
                <w:color w:val="000000"/>
                <w:szCs w:val="24"/>
                <w:lang w:val="x-none" w:eastAsia="x-none"/>
              </w:rPr>
              <w:t>iflas</w:t>
            </w:r>
            <w:r w:rsidR="007F2779" w:rsidRPr="00A23740">
              <w:rPr>
                <w:bCs/>
                <w:color w:val="000000"/>
                <w:szCs w:val="24"/>
                <w:lang w:val="x-none" w:eastAsia="x-none"/>
              </w:rPr>
              <w:t xml:space="preserve"> mahkemesinin izniyle </w:t>
            </w:r>
            <w:r w:rsidR="00CB4D3D" w:rsidRPr="00366FF5">
              <w:t>6098 sayılı Kanunun</w:t>
            </w:r>
            <w:r w:rsidR="007F2779" w:rsidRPr="00A23740">
              <w:rPr>
                <w:bCs/>
                <w:color w:val="000000"/>
                <w:szCs w:val="24"/>
                <w:lang w:val="x-none" w:eastAsia="x-none"/>
              </w:rPr>
              <w:t xml:space="preserve"> 205 inci maddesi hükmü çerçevesinde üçüncü kişiye de devredebil</w:t>
            </w:r>
            <w:r w:rsidRPr="00A23740">
              <w:rPr>
                <w:bCs/>
                <w:color w:val="000000"/>
                <w:szCs w:val="24"/>
                <w:lang w:eastAsia="x-none"/>
              </w:rPr>
              <w:t xml:space="preserve">eceği öngörülmüştür. </w:t>
            </w:r>
          </w:p>
          <w:p w:rsidR="007F2779" w:rsidRPr="00A23740" w:rsidRDefault="007F2779" w:rsidP="009431FF">
            <w:pPr>
              <w:tabs>
                <w:tab w:val="left" w:pos="566"/>
              </w:tabs>
              <w:ind w:firstLine="567"/>
              <w:rPr>
                <w:bCs/>
                <w:color w:val="000000"/>
                <w:szCs w:val="24"/>
                <w:lang w:eastAsia="x-none"/>
              </w:rPr>
            </w:pPr>
            <w:r w:rsidRPr="00A23740">
              <w:rPr>
                <w:bCs/>
                <w:color w:val="000000"/>
                <w:szCs w:val="24"/>
                <w:lang w:eastAsia="x-none"/>
              </w:rPr>
              <w:t xml:space="preserve">Maddenin </w:t>
            </w:r>
            <w:r w:rsidR="00A6533F" w:rsidRPr="00A23740">
              <w:rPr>
                <w:bCs/>
                <w:color w:val="000000"/>
                <w:szCs w:val="24"/>
                <w:lang w:eastAsia="x-none"/>
              </w:rPr>
              <w:t>dörd</w:t>
            </w:r>
            <w:r w:rsidRPr="00A23740">
              <w:rPr>
                <w:bCs/>
                <w:color w:val="000000"/>
                <w:szCs w:val="24"/>
                <w:lang w:eastAsia="x-none"/>
              </w:rPr>
              <w:t>üncü fıkrasında ise k</w:t>
            </w:r>
            <w:r w:rsidRPr="00A23740">
              <w:rPr>
                <w:bCs/>
                <w:color w:val="000000"/>
                <w:szCs w:val="24"/>
                <w:lang w:val="x-none" w:eastAsia="x-none"/>
              </w:rPr>
              <w:t>onkordato talebinde bulunulması</w:t>
            </w:r>
            <w:r w:rsidRPr="00A23740">
              <w:rPr>
                <w:bCs/>
                <w:color w:val="000000"/>
                <w:szCs w:val="24"/>
                <w:lang w:eastAsia="x-none"/>
              </w:rPr>
              <w:t>nın</w:t>
            </w:r>
            <w:r w:rsidRPr="00A23740">
              <w:rPr>
                <w:bCs/>
                <w:color w:val="000000"/>
                <w:szCs w:val="24"/>
                <w:lang w:val="x-none" w:eastAsia="x-none"/>
              </w:rPr>
              <w:t>, borçlu lehine verilen</w:t>
            </w:r>
            <w:r w:rsidRPr="00A23740">
              <w:rPr>
                <w:bCs/>
                <w:color w:val="000000"/>
                <w:szCs w:val="24"/>
                <w:lang w:eastAsia="x-none"/>
              </w:rPr>
              <w:t xml:space="preserve"> </w:t>
            </w:r>
            <w:r w:rsidRPr="00A23740">
              <w:rPr>
                <w:bCs/>
                <w:color w:val="000000"/>
                <w:szCs w:val="24"/>
                <w:lang w:val="x-none" w:eastAsia="x-none"/>
              </w:rPr>
              <w:t>teminat mektubunun paraya çevrilmesi</w:t>
            </w:r>
            <w:r w:rsidRPr="00A23740">
              <w:rPr>
                <w:bCs/>
                <w:color w:val="000000"/>
                <w:szCs w:val="24"/>
                <w:lang w:eastAsia="x-none"/>
              </w:rPr>
              <w:t xml:space="preserve"> </w:t>
            </w:r>
            <w:r w:rsidRPr="00A23740">
              <w:rPr>
                <w:bCs/>
                <w:color w:val="000000"/>
                <w:szCs w:val="24"/>
                <w:lang w:val="x-none" w:eastAsia="x-none"/>
              </w:rPr>
              <w:t>için haklı sebep teşkil etme</w:t>
            </w:r>
            <w:r w:rsidRPr="00A23740">
              <w:rPr>
                <w:bCs/>
                <w:color w:val="000000"/>
                <w:szCs w:val="24"/>
                <w:lang w:eastAsia="x-none"/>
              </w:rPr>
              <w:t xml:space="preserve">yeceği, ancak </w:t>
            </w:r>
            <w:r w:rsidRPr="00A23740">
              <w:rPr>
                <w:bCs/>
                <w:color w:val="000000"/>
                <w:szCs w:val="24"/>
                <w:lang w:val="x-none" w:eastAsia="x-none"/>
              </w:rPr>
              <w:t>bu</w:t>
            </w:r>
            <w:r w:rsidRPr="00A23740">
              <w:rPr>
                <w:bCs/>
                <w:color w:val="000000"/>
                <w:szCs w:val="24"/>
                <w:lang w:eastAsia="x-none"/>
              </w:rPr>
              <w:t xml:space="preserve"> </w:t>
            </w:r>
            <w:r w:rsidRPr="00A23740">
              <w:rPr>
                <w:bCs/>
                <w:color w:val="000000"/>
                <w:szCs w:val="24"/>
                <w:lang w:val="x-none" w:eastAsia="x-none"/>
              </w:rPr>
              <w:t>teminat mektupları</w:t>
            </w:r>
            <w:r w:rsidRPr="00A23740">
              <w:rPr>
                <w:bCs/>
                <w:color w:val="000000"/>
                <w:szCs w:val="24"/>
                <w:lang w:eastAsia="x-none"/>
              </w:rPr>
              <w:t>nın</w:t>
            </w:r>
            <w:r w:rsidRPr="00A23740">
              <w:rPr>
                <w:bCs/>
                <w:color w:val="000000"/>
                <w:szCs w:val="24"/>
                <w:lang w:val="x-none" w:eastAsia="x-none"/>
              </w:rPr>
              <w:t xml:space="preserve"> muhatabın veya lehtarın talebi üzerine ve komiserin görüşünü aldıktan sonra iflas mahkemesinin vereceği kararla tazmin edilebil</w:t>
            </w:r>
            <w:r w:rsidRPr="00A23740">
              <w:rPr>
                <w:bCs/>
                <w:color w:val="000000"/>
                <w:szCs w:val="24"/>
                <w:lang w:eastAsia="x-none"/>
              </w:rPr>
              <w:t>eceği, b</w:t>
            </w:r>
            <w:r w:rsidRPr="00A23740">
              <w:rPr>
                <w:bCs/>
                <w:color w:val="000000"/>
                <w:szCs w:val="24"/>
                <w:lang w:val="x-none" w:eastAsia="x-none"/>
              </w:rPr>
              <w:t xml:space="preserve">u </w:t>
            </w:r>
            <w:r w:rsidR="00AE7727" w:rsidRPr="00366FF5">
              <w:t>hükmün</w:t>
            </w:r>
            <w:r w:rsidRPr="00A23740">
              <w:rPr>
                <w:bCs/>
                <w:color w:val="000000"/>
                <w:szCs w:val="24"/>
                <w:lang w:val="x-none" w:eastAsia="x-none"/>
              </w:rPr>
              <w:t xml:space="preserve"> kefalet sigortası kapsamında düzenlenen kefalet senetleri hakkında da uygulan</w:t>
            </w:r>
            <w:r w:rsidR="00A354BD" w:rsidRPr="00A23740">
              <w:rPr>
                <w:bCs/>
                <w:color w:val="000000"/>
                <w:szCs w:val="24"/>
                <w:lang w:eastAsia="x-none"/>
              </w:rPr>
              <w:t xml:space="preserve">acağı düzenlenmiştir. </w:t>
            </w:r>
          </w:p>
          <w:p w:rsidR="007F2779" w:rsidRPr="00A23740" w:rsidRDefault="007F2779" w:rsidP="009431FF">
            <w:pPr>
              <w:tabs>
                <w:tab w:val="left" w:pos="567"/>
              </w:tabs>
              <w:ind w:firstLine="567"/>
              <w:rPr>
                <w:rFonts w:eastAsia="ヒラギノ明朝 Pro W3"/>
                <w:color w:val="000000"/>
                <w:szCs w:val="24"/>
              </w:rPr>
            </w:pPr>
            <w:r w:rsidRPr="00A23740">
              <w:rPr>
                <w:rFonts w:eastAsia="ヒラギノ明朝 Pro W3"/>
                <w:color w:val="000000"/>
                <w:szCs w:val="24"/>
              </w:rPr>
              <w:t xml:space="preserve">Bu fıkra teminat mektuplarının tazmini taleplerinin konkordato </w:t>
            </w:r>
            <w:r w:rsidR="00AE7727" w:rsidRPr="00366FF5">
              <w:t>sürecinde</w:t>
            </w:r>
            <w:r w:rsidRPr="00A23740">
              <w:rPr>
                <w:rFonts w:eastAsia="ヒラギノ明朝 Pro W3"/>
                <w:color w:val="000000"/>
                <w:szCs w:val="24"/>
              </w:rPr>
              <w:t xml:space="preserve"> tedbir yoluyla durdurulup durdurulamayacağı konusunda uygulamada ortaya çıkan tereddütleri gidermek için maddeye ilave edilmiştir. Son cümlede zikredilen kefalet sigortası kapsamında düzenlenen kefalet senetleri</w:t>
            </w:r>
            <w:r w:rsidR="008852ED" w:rsidRPr="00A23740">
              <w:rPr>
                <w:rFonts w:eastAsia="ヒラギノ明朝 Pro W3"/>
                <w:color w:val="000000"/>
                <w:szCs w:val="24"/>
              </w:rPr>
              <w:t>yle</w:t>
            </w:r>
            <w:r w:rsidRPr="00A23740">
              <w:rPr>
                <w:rFonts w:eastAsia="ヒラギノ明朝 Pro W3"/>
                <w:color w:val="000000"/>
                <w:szCs w:val="24"/>
              </w:rPr>
              <w:t xml:space="preserve"> kastedilen, </w:t>
            </w:r>
            <w:r w:rsidR="008B716D" w:rsidRPr="00366FF5">
              <w:t>Hazine ve Maliye Bakanlığı</w:t>
            </w:r>
            <w:r w:rsidRPr="00A23740">
              <w:rPr>
                <w:rFonts w:eastAsia="ヒラギノ明朝 Pro W3"/>
                <w:color w:val="000000"/>
                <w:szCs w:val="24"/>
              </w:rPr>
              <w:t xml:space="preserve"> tarafından yayımlanan kefalet sigortası genel şartlarına göre düzenlenen ve borç ilişkilerinden doğan yükümlülüğü alacaklıya karşı teminat altına alan sigorta poliçeleridir.</w:t>
            </w:r>
            <w:r w:rsidR="00A354BD" w:rsidRPr="00A23740">
              <w:rPr>
                <w:rFonts w:eastAsia="ヒラギノ明朝 Pro W3"/>
                <w:color w:val="000000"/>
                <w:szCs w:val="24"/>
              </w:rPr>
              <w:t xml:space="preserve"> </w:t>
            </w:r>
          </w:p>
          <w:p w:rsidR="005C3738" w:rsidRPr="00A23740" w:rsidRDefault="007F2779" w:rsidP="009431FF">
            <w:pPr>
              <w:tabs>
                <w:tab w:val="left" w:pos="567"/>
              </w:tabs>
              <w:ind w:firstLine="567"/>
              <w:rPr>
                <w:b/>
                <w:bCs/>
                <w:color w:val="000000"/>
                <w:szCs w:val="24"/>
                <w:lang w:eastAsia="x-none"/>
              </w:rPr>
            </w:pPr>
            <w:r w:rsidRPr="00A23740">
              <w:rPr>
                <w:rFonts w:eastAsia="Times New Roman"/>
                <w:color w:val="000000"/>
                <w:szCs w:val="24"/>
                <w:lang w:eastAsia="x-none"/>
              </w:rPr>
              <w:t>Ayrıca h</w:t>
            </w:r>
            <w:r w:rsidRPr="00A23740">
              <w:rPr>
                <w:rFonts w:eastAsia="Times New Roman"/>
                <w:color w:val="000000"/>
                <w:szCs w:val="24"/>
                <w:lang w:val="x-none" w:eastAsia="x-none"/>
              </w:rPr>
              <w:t xml:space="preserve">er ne kadar </w:t>
            </w:r>
            <w:r w:rsidRPr="00A23740">
              <w:rPr>
                <w:rFonts w:eastAsia="Times New Roman"/>
                <w:color w:val="000000"/>
                <w:szCs w:val="24"/>
                <w:lang w:eastAsia="x-none"/>
              </w:rPr>
              <w:t xml:space="preserve">mahkeme </w:t>
            </w:r>
            <w:r w:rsidR="003E7FF9" w:rsidRPr="00366FF5">
              <w:t>6100 sayılı Kanunun</w:t>
            </w:r>
            <w:r w:rsidR="005D38D0" w:rsidRPr="00A23740">
              <w:rPr>
                <w:rFonts w:eastAsia="Times New Roman"/>
                <w:color w:val="000000"/>
                <w:szCs w:val="24"/>
                <w:lang w:eastAsia="x-none"/>
              </w:rPr>
              <w:t xml:space="preserve"> </w:t>
            </w:r>
            <w:r w:rsidRPr="00A23740">
              <w:rPr>
                <w:rFonts w:eastAsia="Times New Roman"/>
                <w:color w:val="000000"/>
                <w:szCs w:val="24"/>
                <w:lang w:val="x-none" w:eastAsia="x-none"/>
              </w:rPr>
              <w:t xml:space="preserve">genel hükümleri ve </w:t>
            </w:r>
            <w:r w:rsidR="005D38D0" w:rsidRPr="00A23740">
              <w:rPr>
                <w:rFonts w:eastAsia="Times New Roman"/>
                <w:color w:val="000000"/>
                <w:szCs w:val="24"/>
                <w:lang w:eastAsia="x-none"/>
              </w:rPr>
              <w:t xml:space="preserve">2004 sayılı Kanunun </w:t>
            </w:r>
            <w:r w:rsidRPr="00A23740">
              <w:rPr>
                <w:rFonts w:eastAsia="Times New Roman"/>
                <w:color w:val="000000"/>
                <w:szCs w:val="24"/>
                <w:lang w:val="x-none" w:eastAsia="x-none"/>
              </w:rPr>
              <w:t>287</w:t>
            </w:r>
            <w:r w:rsidR="005D38D0" w:rsidRPr="00A23740">
              <w:rPr>
                <w:rFonts w:eastAsia="Times New Roman"/>
                <w:color w:val="000000"/>
                <w:szCs w:val="24"/>
                <w:lang w:eastAsia="x-none"/>
              </w:rPr>
              <w:t xml:space="preserve"> nci maddesinin birinci fıkrası</w:t>
            </w:r>
            <w:r w:rsidRPr="00A23740">
              <w:rPr>
                <w:rFonts w:eastAsia="Times New Roman"/>
                <w:color w:val="000000"/>
                <w:szCs w:val="24"/>
                <w:lang w:val="x-none" w:eastAsia="x-none"/>
              </w:rPr>
              <w:t xml:space="preserve"> uyar</w:t>
            </w:r>
            <w:r w:rsidRPr="00A23740">
              <w:rPr>
                <w:rFonts w:eastAsia="Times New Roman"/>
                <w:color w:val="000000"/>
                <w:szCs w:val="24"/>
                <w:lang w:eastAsia="x-none"/>
              </w:rPr>
              <w:t>ı</w:t>
            </w:r>
            <w:r w:rsidRPr="00A23740">
              <w:rPr>
                <w:rFonts w:eastAsia="Times New Roman"/>
                <w:color w:val="000000"/>
                <w:szCs w:val="24"/>
                <w:lang w:val="x-none" w:eastAsia="x-none"/>
              </w:rPr>
              <w:t xml:space="preserve">nca </w:t>
            </w:r>
            <w:r w:rsidRPr="00A23740">
              <w:rPr>
                <w:rFonts w:eastAsia="Times New Roman"/>
                <w:color w:val="000000"/>
                <w:szCs w:val="24"/>
                <w:lang w:eastAsia="x-none"/>
              </w:rPr>
              <w:t xml:space="preserve">teminat mektuplarının ödenmesini durdurmak </w:t>
            </w:r>
            <w:r w:rsidR="00AE7727" w:rsidRPr="00366FF5">
              <w:t>yetkisini</w:t>
            </w:r>
            <w:r w:rsidRPr="00A23740">
              <w:rPr>
                <w:rFonts w:eastAsia="Times New Roman"/>
                <w:color w:val="000000"/>
                <w:szCs w:val="24"/>
                <w:lang w:eastAsia="x-none"/>
              </w:rPr>
              <w:t xml:space="preserve"> haiz ise de</w:t>
            </w:r>
            <w:r w:rsidR="008852ED" w:rsidRPr="00A23740">
              <w:rPr>
                <w:rFonts w:eastAsia="Times New Roman"/>
                <w:color w:val="000000"/>
                <w:szCs w:val="24"/>
                <w:lang w:eastAsia="x-none"/>
              </w:rPr>
              <w:t>,</w:t>
            </w:r>
            <w:r w:rsidRPr="00A23740">
              <w:rPr>
                <w:rFonts w:eastAsia="Times New Roman"/>
                <w:color w:val="000000"/>
                <w:szCs w:val="24"/>
                <w:lang w:eastAsia="x-none"/>
              </w:rPr>
              <w:t xml:space="preserve"> bu hususun </w:t>
            </w:r>
            <w:r w:rsidR="00AE7727" w:rsidRPr="00366FF5">
              <w:t>Taslakta</w:t>
            </w:r>
            <w:r w:rsidRPr="00A23740">
              <w:rPr>
                <w:rFonts w:eastAsia="Times New Roman"/>
                <w:color w:val="000000"/>
                <w:szCs w:val="24"/>
                <w:lang w:eastAsia="x-none"/>
              </w:rPr>
              <w:t xml:space="preserve"> açıkça hükme bağlanması yararlı görülmüştür. T</w:t>
            </w:r>
            <w:r w:rsidRPr="00A23740">
              <w:rPr>
                <w:rFonts w:eastAsia="ヒラギノ明朝 Pro W3"/>
                <w:color w:val="000000"/>
                <w:szCs w:val="24"/>
              </w:rPr>
              <w:t xml:space="preserve">eminat mektupları hakkında getirilen düzenleme sadece süresiz ve </w:t>
            </w:r>
            <w:r w:rsidR="008B716D" w:rsidRPr="00366FF5">
              <w:t>kesin</w:t>
            </w:r>
            <w:r w:rsidR="008B716D" w:rsidRPr="00A23740">
              <w:rPr>
                <w:rFonts w:eastAsia="ヒラギノ明朝 Pro W3"/>
                <w:color w:val="000000"/>
                <w:szCs w:val="24"/>
              </w:rPr>
              <w:t xml:space="preserve"> </w:t>
            </w:r>
            <w:r w:rsidRPr="00A23740">
              <w:rPr>
                <w:rFonts w:eastAsia="ヒラギノ明朝 Pro W3"/>
                <w:color w:val="000000"/>
                <w:szCs w:val="24"/>
              </w:rPr>
              <w:t xml:space="preserve">teminat mektuplarıyla sınırlı olmayıp süreli teminat mektupları için de geçerlidir. Bu kapsamda mühletin sürelere olan etkisi bakımından </w:t>
            </w:r>
            <w:r w:rsidR="00AE7727" w:rsidRPr="00366FF5">
              <w:t>Taslağın</w:t>
            </w:r>
            <w:r w:rsidR="008F2519" w:rsidRPr="00A23740">
              <w:rPr>
                <w:rStyle w:val="YELChar"/>
              </w:rPr>
              <w:t xml:space="preserve"> </w:t>
            </w:r>
            <w:r w:rsidR="00CB357F" w:rsidRPr="00A23740">
              <w:rPr>
                <w:bCs/>
                <w:color w:val="000000"/>
              </w:rPr>
              <w:t xml:space="preserve">386 ıncı </w:t>
            </w:r>
            <w:r w:rsidRPr="00A23740">
              <w:rPr>
                <w:rFonts w:eastAsia="ヒラギノ明朝 Pro W3"/>
                <w:color w:val="000000"/>
                <w:szCs w:val="24"/>
              </w:rPr>
              <w:t>maddesinin birinci fıkrasının (a) bendinde geçerli olan düzenleme bu h</w:t>
            </w:r>
            <w:r w:rsidR="009D574E" w:rsidRPr="00A23740">
              <w:rPr>
                <w:rFonts w:eastAsia="ヒラギノ明朝 Pro W3"/>
                <w:color w:val="000000"/>
                <w:szCs w:val="24"/>
              </w:rPr>
              <w:t>â</w:t>
            </w:r>
            <w:r w:rsidRPr="00A23740">
              <w:rPr>
                <w:rFonts w:eastAsia="ヒラギノ明朝 Pro W3"/>
                <w:color w:val="000000"/>
                <w:szCs w:val="24"/>
              </w:rPr>
              <w:t>lde de uygulanacak ve mahkemenin kararına kadar teminat mektubundaki başvuru (ibraz) süresinin uzadığı kabul edilecektir. Bu h</w:t>
            </w:r>
            <w:r w:rsidR="009D574E" w:rsidRPr="00A23740">
              <w:rPr>
                <w:rFonts w:eastAsia="ヒラギノ明朝 Pro W3"/>
                <w:color w:val="000000"/>
                <w:szCs w:val="24"/>
              </w:rPr>
              <w:t>â</w:t>
            </w:r>
            <w:r w:rsidRPr="00A23740">
              <w:rPr>
                <w:rFonts w:eastAsia="ヒラギノ明朝 Pro W3"/>
                <w:color w:val="000000"/>
                <w:szCs w:val="24"/>
              </w:rPr>
              <w:t>liyle muhatabın süreli teminat mektuplarında söz konusu hüküm nedeniyle zarara uğramasının da önüne geçilmiş olacaktır.</w:t>
            </w:r>
          </w:p>
          <w:p w:rsidR="005C3738" w:rsidRPr="00A23740" w:rsidRDefault="005C3738" w:rsidP="009A013D">
            <w:pPr>
              <w:tabs>
                <w:tab w:val="left" w:pos="567"/>
              </w:tabs>
              <w:rPr>
                <w:b/>
                <w:bCs/>
                <w:color w:val="000000"/>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rFonts w:eastAsia="Times New Roman"/>
                <w:i/>
                <w:szCs w:val="24"/>
                <w:lang w:eastAsia="tr-TR"/>
              </w:rPr>
            </w:pPr>
            <w:r w:rsidRPr="00A23740">
              <w:rPr>
                <w:rFonts w:eastAsia="Times New Roman"/>
                <w:i/>
                <w:szCs w:val="24"/>
                <w:lang w:eastAsia="tr-TR"/>
              </w:rPr>
              <w:t>Kesin mühletin borçlu bakımından sonuçları:</w:t>
            </w:r>
          </w:p>
          <w:p w:rsidR="00AA5C8C" w:rsidRPr="00A23740" w:rsidRDefault="00AA5C8C" w:rsidP="009431FF">
            <w:pPr>
              <w:widowControl w:val="0"/>
              <w:rPr>
                <w:b/>
                <w:szCs w:val="24"/>
              </w:rPr>
            </w:pPr>
            <w:r w:rsidRPr="00A23740">
              <w:rPr>
                <w:rStyle w:val="KIRMIZIChar"/>
                <w:rFonts w:eastAsia="Calibri"/>
              </w:rPr>
              <w:t>Madde 297- (1) (Değişik: 28/2/2018-7101/25 md.)</w:t>
            </w:r>
            <w:r w:rsidRPr="00A23740">
              <w:rPr>
                <w:b/>
                <w:szCs w:val="24"/>
              </w:rPr>
              <w:t xml:space="preserve"> </w:t>
            </w:r>
            <w:r w:rsidRPr="00A23740">
              <w:rPr>
                <w:szCs w:val="24"/>
              </w:rPr>
              <w:t xml:space="preserve">Borçlu, komiserin nezareti altında işlerine devam edebilir. </w:t>
            </w:r>
            <w:r w:rsidRPr="00A23740">
              <w:rPr>
                <w:rStyle w:val="KIRMIZIChar"/>
                <w:rFonts w:eastAsia="Calibri"/>
              </w:rPr>
              <w:t>Şu kadar ki</w:t>
            </w:r>
            <w:r w:rsidRPr="00A23740">
              <w:rPr>
                <w:szCs w:val="24"/>
              </w:rPr>
              <w:t xml:space="preserve">, mühlet kararı verirken veya mühlet içinde </w:t>
            </w:r>
            <w:r w:rsidRPr="00A23740">
              <w:rPr>
                <w:rStyle w:val="KIRMIZIChar"/>
                <w:rFonts w:eastAsia="Calibri"/>
              </w:rPr>
              <w:t>mahkeme,</w:t>
            </w:r>
            <w:r w:rsidRPr="00A23740">
              <w:rPr>
                <w:szCs w:val="24"/>
              </w:rPr>
              <w:t xml:space="preserve"> bazı işlemlerin geçerli olarak ancak komiserin izni ile yapılmasına veya borçlunun yerine komiserin işletmenin faaliyetini devam ettirmesine karar verebilir.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w:t>
            </w:r>
            <w:r w:rsidRPr="00A23740">
              <w:rPr>
                <w:rStyle w:val="KIRMIZIChar"/>
                <w:rFonts w:eastAsia="Calibri"/>
              </w:rPr>
              <w:t>(Değişik ikinci fıkra:9/6/2021-7327/5 md.)</w:t>
            </w:r>
            <w:r w:rsidRPr="00A23740">
              <w:rPr>
                <w:b/>
                <w:bCs/>
                <w:szCs w:val="24"/>
              </w:rPr>
              <w:t> </w:t>
            </w:r>
            <w:r w:rsidRPr="00A23740">
              <w:rPr>
                <w:szCs w:val="24"/>
              </w:rPr>
              <w:t>Borçlu, mahkemenin izni dışında mühlet kararından itibaren rehin tesis edemez, kefil olamaz ve ivazsız tasarruflarda bulunamaz</w:t>
            </w:r>
            <w:r w:rsidRPr="004A4973">
              <w:rPr>
                <w:rStyle w:val="KIRMIZIChar"/>
                <w:rFonts w:eastAsia="Calibri"/>
                <w:b w:val="0"/>
                <w:strike w:val="0"/>
                <w:color w:val="000000" w:themeColor="text1"/>
              </w:rPr>
              <w:t>;</w:t>
            </w:r>
            <w:r w:rsidRPr="00A23740">
              <w:rPr>
                <w:szCs w:val="24"/>
              </w:rPr>
              <w:t xml:space="preserve"> </w:t>
            </w:r>
            <w:r w:rsidRPr="004A4973">
              <w:rPr>
                <w:rStyle w:val="KIRMIZIChar"/>
                <w:rFonts w:eastAsia="Calibri"/>
              </w:rPr>
              <w:t>taşınmazını</w:t>
            </w:r>
            <w:r w:rsidRPr="00A23740">
              <w:rPr>
                <w:rStyle w:val="KIRMIZIChar"/>
                <w:rFonts w:eastAsia="Calibri"/>
              </w:rPr>
              <w:t>,</w:t>
            </w:r>
            <w:r w:rsidRPr="00A23740">
              <w:rPr>
                <w:szCs w:val="24"/>
              </w:rPr>
              <w:t xml:space="preserve"> işletmenin </w:t>
            </w:r>
            <w:r w:rsidRPr="00A23740">
              <w:rPr>
                <w:rStyle w:val="KIRMIZIChar"/>
                <w:rFonts w:eastAsia="Calibri"/>
              </w:rPr>
              <w:t>faaliyetinin devamı için önem arz eden taşınırını</w:t>
            </w:r>
            <w:r w:rsidRPr="00A23740">
              <w:rPr>
                <w:szCs w:val="24"/>
              </w:rPr>
              <w:t xml:space="preserve"> ve işletmenin devamlı tesisatını devredemez ve takyit edemez. Aksi hâlde yapılan işlemler hükümsüzdür. Mahkeme </w:t>
            </w:r>
            <w:r w:rsidRPr="00A23740">
              <w:rPr>
                <w:rStyle w:val="KIRMIZIChar"/>
                <w:rFonts w:eastAsia="Calibri"/>
              </w:rPr>
              <w:t>bu işlemler hakkında karar</w:t>
            </w:r>
            <w:r w:rsidRPr="00A23740">
              <w:rPr>
                <w:szCs w:val="24"/>
              </w:rPr>
              <w:t xml:space="preserve"> vermeden önce komiserin görüşü </w:t>
            </w:r>
            <w:r w:rsidRPr="00A23740">
              <w:rPr>
                <w:rStyle w:val="KIRMIZIChar"/>
                <w:rFonts w:eastAsia="Calibri"/>
              </w:rPr>
              <w:t>ile alacaklılar kurulunun muvafakatini almak zorundadır.</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B612C0" w:rsidRPr="00A23740" w:rsidRDefault="00B612C0" w:rsidP="009431FF">
            <w:pPr>
              <w:widowControl w:val="0"/>
              <w:rPr>
                <w:rStyle w:val="KIRMIZIChar"/>
                <w:rFonts w:eastAsia="Calibri"/>
              </w:rPr>
            </w:pPr>
          </w:p>
          <w:p w:rsidR="00B612C0" w:rsidRPr="00A23740" w:rsidRDefault="00B612C0" w:rsidP="009431FF">
            <w:pPr>
              <w:widowControl w:val="0"/>
              <w:rPr>
                <w:rStyle w:val="KIRMIZIChar"/>
                <w:rFonts w:eastAsia="Calibri"/>
              </w:rPr>
            </w:pPr>
          </w:p>
          <w:p w:rsidR="00AA5C8C" w:rsidRPr="00A23740" w:rsidRDefault="00AA5C8C" w:rsidP="009431FF">
            <w:pPr>
              <w:widowControl w:val="0"/>
              <w:rPr>
                <w:szCs w:val="24"/>
              </w:rPr>
            </w:pPr>
            <w:r w:rsidRPr="00A23740">
              <w:rPr>
                <w:rStyle w:val="KIRMIZIChar"/>
                <w:rFonts w:eastAsia="Calibri"/>
              </w:rPr>
              <w:t>(3)</w:t>
            </w:r>
            <w:r w:rsidRPr="00A23740">
              <w:rPr>
                <w:szCs w:val="24"/>
              </w:rPr>
              <w:t xml:space="preserve"> Borçlu </w:t>
            </w:r>
            <w:r w:rsidRPr="004A4973">
              <w:rPr>
                <w:rStyle w:val="KIRMIZIChar"/>
                <w:rFonts w:eastAsia="Calibri"/>
              </w:rPr>
              <w:t>bu hükme yahut</w:t>
            </w:r>
            <w:r w:rsidRPr="00A23740">
              <w:rPr>
                <w:szCs w:val="24"/>
              </w:rPr>
              <w:t xml:space="preserve"> komiserin ihtarlarına aykırı davranırsa mahkeme, borçlunun malları üzerindeki tasarruf yetkisini kaldırabilir </w:t>
            </w:r>
            <w:r w:rsidRPr="004A4973">
              <w:rPr>
                <w:rStyle w:val="KIRMIZIChar"/>
                <w:rFonts w:eastAsia="Calibri"/>
              </w:rPr>
              <w:t>veya 2</w:t>
            </w:r>
            <w:r w:rsidRPr="00A23740">
              <w:rPr>
                <w:rStyle w:val="KIRMIZIChar"/>
                <w:rFonts w:eastAsia="Calibri"/>
              </w:rPr>
              <w:t>92 nci</w:t>
            </w:r>
            <w:r w:rsidRPr="00A23740">
              <w:rPr>
                <w:szCs w:val="24"/>
              </w:rPr>
              <w:t xml:space="preserve"> madde çerçevesinde karar verir.</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i/>
                <w:szCs w:val="24"/>
              </w:rPr>
            </w:pPr>
            <w:r w:rsidRPr="00A23740">
              <w:rPr>
                <w:rStyle w:val="KIRMIZIChar"/>
                <w:rFonts w:eastAsia="Calibri"/>
              </w:rPr>
              <w:t>(4)</w:t>
            </w:r>
            <w:r w:rsidRPr="00A23740">
              <w:rPr>
                <w:szCs w:val="24"/>
              </w:rPr>
              <w:t xml:space="preserve"> Birinci ve </w:t>
            </w:r>
            <w:r w:rsidRPr="00A23740">
              <w:rPr>
                <w:rStyle w:val="KIRMIZIChar"/>
                <w:rFonts w:eastAsia="Calibri"/>
              </w:rPr>
              <w:t>üçüncü</w:t>
            </w:r>
            <w:r w:rsidRPr="00A23740">
              <w:rPr>
                <w:szCs w:val="24"/>
              </w:rPr>
              <w:t xml:space="preserve"> fıkra kapsamında alınan kararlar </w:t>
            </w:r>
            <w:r w:rsidRPr="00A23740">
              <w:rPr>
                <w:rStyle w:val="KIRMIZIChar"/>
                <w:rFonts w:eastAsia="Calibri"/>
              </w:rPr>
              <w:t>288 inci</w:t>
            </w:r>
            <w:r w:rsidRPr="00A23740">
              <w:rPr>
                <w:szCs w:val="24"/>
              </w:rPr>
              <w:t xml:space="preserve"> madde uyarınca ilân edilir ve ilgili yerlere bildirilir.  </w:t>
            </w:r>
          </w:p>
          <w:p w:rsidR="00AA5C8C" w:rsidRPr="00A23740" w:rsidRDefault="00AA5C8C" w:rsidP="009431FF">
            <w:pPr>
              <w:widowControl w:val="0"/>
              <w:rPr>
                <w:rFonts w:eastAsia="Times New Roman"/>
                <w:i/>
                <w:szCs w:val="24"/>
                <w:lang w:eastAsia="tr-TR"/>
              </w:rPr>
            </w:pPr>
          </w:p>
          <w:p w:rsidR="00AA5C8C" w:rsidRPr="00A23740" w:rsidRDefault="00AA5C8C" w:rsidP="009431FF">
            <w:pPr>
              <w:widowControl w:val="0"/>
              <w:rPr>
                <w:rFonts w:eastAsia="Times New Roman"/>
                <w:i/>
                <w:szCs w:val="24"/>
                <w:lang w:eastAsia="tr-TR"/>
              </w:rPr>
            </w:pPr>
          </w:p>
          <w:p w:rsidR="00AA5C8C" w:rsidRPr="00A23740" w:rsidRDefault="00AA5C8C" w:rsidP="009431FF">
            <w:pPr>
              <w:widowControl w:val="0"/>
              <w:rPr>
                <w:rFonts w:eastAsia="Times New Roman"/>
                <w:i/>
                <w:szCs w:val="24"/>
                <w:lang w:eastAsia="tr-TR"/>
              </w:rPr>
            </w:pPr>
          </w:p>
          <w:p w:rsidR="00AA5C8C" w:rsidRPr="00A23740" w:rsidRDefault="00AA5C8C" w:rsidP="009431FF">
            <w:pPr>
              <w:widowControl w:val="0"/>
              <w:rPr>
                <w:rFonts w:eastAsia="Times New Roman"/>
                <w:i/>
                <w:szCs w:val="24"/>
                <w:lang w:eastAsia="tr-TR"/>
              </w:rPr>
            </w:pPr>
          </w:p>
        </w:tc>
        <w:tc>
          <w:tcPr>
            <w:tcW w:w="2500" w:type="pct"/>
          </w:tcPr>
          <w:p w:rsidR="00AA5C8C" w:rsidRPr="00A23740" w:rsidRDefault="00AA5C8C" w:rsidP="009431FF">
            <w:pPr>
              <w:widowControl w:val="0"/>
              <w:rPr>
                <w:rFonts w:eastAsia="Times New Roman"/>
                <w:b/>
                <w:szCs w:val="24"/>
                <w:lang w:eastAsia="tr-TR"/>
              </w:rPr>
            </w:pPr>
            <w:r w:rsidRPr="00A23740">
              <w:rPr>
                <w:rFonts w:eastAsia="Times New Roman"/>
                <w:b/>
                <w:szCs w:val="24"/>
                <w:lang w:eastAsia="tr-TR"/>
              </w:rPr>
              <w:t>Kesin mühletin borçlu bakımından sonuçları</w:t>
            </w:r>
          </w:p>
          <w:p w:rsidR="00AA5C8C" w:rsidRPr="00A23740" w:rsidRDefault="003E49A5" w:rsidP="009431FF">
            <w:pPr>
              <w:widowControl w:val="0"/>
              <w:rPr>
                <w:szCs w:val="24"/>
              </w:rPr>
            </w:pPr>
            <w:r w:rsidRPr="00A23740">
              <w:rPr>
                <w:rStyle w:val="MAVChar"/>
                <w:rFonts w:eastAsia="Calibri"/>
                <w:u w:val="none"/>
              </w:rPr>
              <w:t>MADDE 389</w:t>
            </w:r>
            <w:r w:rsidR="00AA5C8C" w:rsidRPr="00A23740">
              <w:rPr>
                <w:rStyle w:val="MAVChar"/>
                <w:rFonts w:eastAsia="Calibri"/>
                <w:u w:val="none"/>
              </w:rPr>
              <w:t>- (1</w:t>
            </w:r>
            <w:r w:rsidR="00AA5C8C" w:rsidRPr="00A23740">
              <w:rPr>
                <w:rStyle w:val="MaviChar"/>
                <w:lang w:val="tr-TR"/>
              </w:rPr>
              <w:t>)</w:t>
            </w:r>
            <w:r w:rsidR="00AA5C8C" w:rsidRPr="00A23740">
              <w:rPr>
                <w:szCs w:val="24"/>
              </w:rPr>
              <w:t xml:space="preserve"> Borçlu, komiserin nezareti altında işlerine devam edebilir. </w:t>
            </w:r>
            <w:r w:rsidR="00AA5C8C" w:rsidRPr="00A23740">
              <w:rPr>
                <w:rStyle w:val="MaviChar"/>
              </w:rPr>
              <w:t>Mahkeme</w:t>
            </w:r>
            <w:r w:rsidR="00AA5C8C" w:rsidRPr="00A23740">
              <w:rPr>
                <w:szCs w:val="24"/>
              </w:rPr>
              <w:t xml:space="preserve">, mühlet kararı verirken veya mühlet içinde bazı işlemlerin geçerli olarak ancak komiserin </w:t>
            </w:r>
            <w:r w:rsidR="00C5710D" w:rsidRPr="00366FF5">
              <w:rPr>
                <w:rStyle w:val="MaviChar"/>
              </w:rPr>
              <w:t>izniyle</w:t>
            </w:r>
            <w:r w:rsidR="00C5710D" w:rsidRPr="00A23740">
              <w:rPr>
                <w:szCs w:val="24"/>
              </w:rPr>
              <w:t xml:space="preserve"> </w:t>
            </w:r>
            <w:r w:rsidR="00AA5C8C" w:rsidRPr="00A23740">
              <w:rPr>
                <w:szCs w:val="24"/>
              </w:rPr>
              <w:t>yapılmasına veya borçlunun yerine komiserin işletmenin faaliyetini devam ettirmesine karar verebilir.</w:t>
            </w:r>
          </w:p>
          <w:p w:rsidR="00AA5C8C" w:rsidRPr="00A23740" w:rsidRDefault="00AA5C8C" w:rsidP="009431FF">
            <w:pPr>
              <w:widowControl w:val="0"/>
              <w:rPr>
                <w:b/>
                <w:color w:val="FF0000"/>
                <w:szCs w:val="24"/>
              </w:rPr>
            </w:pPr>
          </w:p>
          <w:p w:rsidR="00AA5C8C" w:rsidRPr="00A23740" w:rsidRDefault="00AA5C8C" w:rsidP="009431FF">
            <w:pPr>
              <w:pStyle w:val="Mavi"/>
              <w:widowControl w:val="0"/>
              <w:rPr>
                <w:rStyle w:val="KIRMIZIChar"/>
                <w:rFonts w:eastAsia="Calibri"/>
                <w:b/>
              </w:rPr>
            </w:pPr>
            <w:r w:rsidRPr="00A23740">
              <w:rPr>
                <w:lang w:val="tr-TR"/>
              </w:rPr>
              <w:t xml:space="preserve">(2) </w:t>
            </w:r>
            <w:r w:rsidRPr="00A23740">
              <w:rPr>
                <w:b w:val="0"/>
                <w:bCs w:val="0"/>
                <w:color w:val="auto"/>
                <w:lang w:val="tr-TR" w:eastAsia="en-US"/>
              </w:rPr>
              <w:t xml:space="preserve">Borçlu, mahkemenin izni dışında mühlet kararından itibaren rehin tesis edemez, kefil olamaz ve ivazsız tasarruflarda bulunamaz; </w:t>
            </w:r>
            <w:r w:rsidRPr="004A4973">
              <w:rPr>
                <w:rStyle w:val="Balk1Char"/>
                <w:rFonts w:eastAsia="Calibri"/>
                <w:b/>
              </w:rPr>
              <w:t>taşınmaz</w:t>
            </w:r>
            <w:r w:rsidRPr="00A23740">
              <w:rPr>
                <w:b w:val="0"/>
                <w:bCs w:val="0"/>
                <w:color w:val="auto"/>
                <w:lang w:val="tr-TR" w:eastAsia="en-US"/>
              </w:rPr>
              <w:t xml:space="preserve"> </w:t>
            </w:r>
            <w:r w:rsidRPr="00A23740">
              <w:t>ve</w:t>
            </w:r>
            <w:r w:rsidRPr="00A23740">
              <w:rPr>
                <w:b w:val="0"/>
                <w:bCs w:val="0"/>
                <w:color w:val="auto"/>
                <w:lang w:val="tr-TR" w:eastAsia="en-US"/>
              </w:rPr>
              <w:t xml:space="preserve"> işletmenin devamlı tesisatını </w:t>
            </w:r>
            <w:r w:rsidRPr="00A23740">
              <w:t>kısmen dahi olsa</w:t>
            </w:r>
            <w:r w:rsidRPr="00A23740">
              <w:rPr>
                <w:b w:val="0"/>
                <w:bCs w:val="0"/>
                <w:color w:val="auto"/>
                <w:lang w:val="tr-TR" w:eastAsia="en-US"/>
              </w:rPr>
              <w:t xml:space="preserve"> devredemez ve takyit edemez. Aksi hâlde yapılan işlemler hükümsüzdür. Mahkeme</w:t>
            </w:r>
            <w:r w:rsidRPr="00A23740">
              <w:t>,</w:t>
            </w:r>
            <w:r w:rsidRPr="00A23740">
              <w:rPr>
                <w:b w:val="0"/>
                <w:bCs w:val="0"/>
                <w:color w:val="auto"/>
                <w:lang w:val="tr-TR" w:eastAsia="en-US"/>
              </w:rPr>
              <w:t xml:space="preserve"> </w:t>
            </w:r>
            <w:r w:rsidRPr="00A23740">
              <w:rPr>
                <w:lang w:val="tr-TR" w:eastAsia="en-US"/>
              </w:rPr>
              <w:t>izin</w:t>
            </w:r>
            <w:r w:rsidRPr="00A23740">
              <w:rPr>
                <w:b w:val="0"/>
                <w:bCs w:val="0"/>
                <w:color w:val="auto"/>
                <w:lang w:val="tr-TR" w:eastAsia="en-US"/>
              </w:rPr>
              <w:t xml:space="preserve"> vermeden önce komiserin</w:t>
            </w:r>
            <w:r w:rsidR="00C5710D" w:rsidRPr="00A23740">
              <w:rPr>
                <w:b w:val="0"/>
                <w:bCs w:val="0"/>
                <w:color w:val="auto"/>
                <w:lang w:val="tr-TR" w:eastAsia="en-US"/>
              </w:rPr>
              <w:t xml:space="preserve"> </w:t>
            </w:r>
            <w:r w:rsidR="00C5710D" w:rsidRPr="00366FF5">
              <w:t>ve varsa alacaklar kurulunun</w:t>
            </w:r>
            <w:r w:rsidRPr="00A23740">
              <w:rPr>
                <w:b w:val="0"/>
                <w:bCs w:val="0"/>
                <w:color w:val="auto"/>
                <w:lang w:val="tr-TR" w:eastAsia="en-US"/>
              </w:rPr>
              <w:t xml:space="preserve"> görüşü</w:t>
            </w:r>
            <w:r w:rsidRPr="00A23740">
              <w:rPr>
                <w:lang w:val="tr-TR" w:eastAsia="en-US"/>
              </w:rPr>
              <w:t xml:space="preserve">nü </w:t>
            </w:r>
            <w:r w:rsidRPr="00A23740">
              <w:t>alır.</w:t>
            </w:r>
          </w:p>
          <w:p w:rsidR="00AA5C8C" w:rsidRDefault="00AA5C8C" w:rsidP="009431FF">
            <w:pPr>
              <w:pStyle w:val="Mavi"/>
              <w:widowControl w:val="0"/>
              <w:rPr>
                <w:lang w:val="tr-TR"/>
              </w:rPr>
            </w:pPr>
          </w:p>
          <w:p w:rsidR="00C5710D" w:rsidRPr="00A23740" w:rsidRDefault="00C5710D" w:rsidP="009431FF">
            <w:pPr>
              <w:pStyle w:val="Mavi"/>
              <w:widowControl w:val="0"/>
            </w:pPr>
          </w:p>
          <w:p w:rsidR="00C5710D" w:rsidRPr="00A23740" w:rsidRDefault="00C5710D" w:rsidP="009431FF">
            <w:pPr>
              <w:pStyle w:val="Mavi"/>
              <w:widowControl w:val="0"/>
            </w:pPr>
            <w:r w:rsidRPr="00366FF5">
              <w:t>(3) Mahkeme, komiserin ve varsa alacaklılar kurulunun</w:t>
            </w:r>
            <w:r w:rsidRPr="00A23740">
              <w:rPr>
                <w:rStyle w:val="YELChar"/>
                <w:b/>
              </w:rPr>
              <w:t xml:space="preserve"> </w:t>
            </w:r>
            <w:r w:rsidRPr="00A23740">
              <w:rPr>
                <w:b w:val="0"/>
              </w:rPr>
              <w:t xml:space="preserve"> </w:t>
            </w:r>
            <w:r w:rsidRPr="00A23740">
              <w:t>görüşünü alarak</w:t>
            </w:r>
            <w:r w:rsidRPr="00A23740">
              <w:rPr>
                <w:rStyle w:val="YELChar"/>
                <w:rFonts w:eastAsia="Calibri"/>
                <w:b/>
                <w:color w:val="0000FF"/>
                <w:lang w:eastAsia="x-none"/>
              </w:rPr>
              <w:t xml:space="preserve">, </w:t>
            </w:r>
            <w:r w:rsidRPr="00A23740">
              <w:t xml:space="preserve">konkordato </w:t>
            </w:r>
            <w:r w:rsidRPr="00A23740">
              <w:rPr>
                <w:lang w:val="tr-TR"/>
              </w:rPr>
              <w:t>talebiyle birlikte</w:t>
            </w:r>
            <w:r w:rsidRPr="00A23740">
              <w:t xml:space="preserve"> mahkemeye </w:t>
            </w:r>
            <w:r w:rsidRPr="00A23740">
              <w:rPr>
                <w:rStyle w:val="YELChar"/>
                <w:rFonts w:eastAsia="Calibri"/>
                <w:b/>
                <w:color w:val="0000FF"/>
                <w:lang w:eastAsia="x-none"/>
              </w:rPr>
              <w:t>sunulan</w:t>
            </w:r>
            <w:r w:rsidRPr="00A23740">
              <w:t xml:space="preserve"> alacak listesinde yer </w:t>
            </w:r>
            <w:r w:rsidRPr="00366FF5">
              <w:t>alıp</w:t>
            </w:r>
            <w:r w:rsidRPr="00A23740">
              <w:t xml:space="preserve"> borçlunun faaliyetine göre küçük sayılabilecek tutardaki borçların ödenmesine talep üzerine karar verebilir.</w:t>
            </w:r>
          </w:p>
          <w:p w:rsidR="00C5710D" w:rsidRPr="00A23740" w:rsidRDefault="00C5710D" w:rsidP="009431FF">
            <w:pPr>
              <w:widowControl w:val="0"/>
              <w:rPr>
                <w:b/>
                <w:color w:val="FF0000"/>
                <w:szCs w:val="24"/>
              </w:rPr>
            </w:pPr>
          </w:p>
          <w:p w:rsidR="00AA5C8C" w:rsidRPr="00A23740" w:rsidRDefault="00AA5C8C" w:rsidP="009431FF">
            <w:pPr>
              <w:widowControl w:val="0"/>
              <w:rPr>
                <w:szCs w:val="24"/>
              </w:rPr>
            </w:pPr>
            <w:r w:rsidRPr="00A23740">
              <w:rPr>
                <w:b/>
                <w:bCs/>
                <w:color w:val="0000FF"/>
                <w:szCs w:val="24"/>
                <w:lang w:eastAsia="x-none"/>
              </w:rPr>
              <w:t>(4)</w:t>
            </w:r>
            <w:r w:rsidRPr="00A23740">
              <w:rPr>
                <w:szCs w:val="24"/>
              </w:rPr>
              <w:t xml:space="preserve"> Borçlu</w:t>
            </w:r>
            <w:r w:rsidR="00E33738" w:rsidRPr="00A23740">
              <w:rPr>
                <w:szCs w:val="24"/>
              </w:rPr>
              <w:t xml:space="preserve"> </w:t>
            </w:r>
            <w:r w:rsidR="00E33738" w:rsidRPr="00366FF5">
              <w:rPr>
                <w:rStyle w:val="MaviChar"/>
              </w:rPr>
              <w:t>ikinci fıkradaki yasağa</w:t>
            </w:r>
            <w:r w:rsidRPr="00A23740">
              <w:rPr>
                <w:szCs w:val="24"/>
              </w:rPr>
              <w:t xml:space="preserve"> </w:t>
            </w:r>
            <w:r w:rsidRPr="00A23740">
              <w:rPr>
                <w:rStyle w:val="MaviChar"/>
              </w:rPr>
              <w:t>veya</w:t>
            </w:r>
            <w:r w:rsidRPr="00A23740">
              <w:rPr>
                <w:szCs w:val="24"/>
              </w:rPr>
              <w:t xml:space="preserve"> komiserin ihtarlarına aykırı davranırsa mahkeme, borçlunun malları üzerindeki tasarruf yetkisini kaldırabilir </w:t>
            </w:r>
            <w:r w:rsidRPr="00A23740">
              <w:rPr>
                <w:rStyle w:val="MaviChar"/>
              </w:rPr>
              <w:t>ya da</w:t>
            </w:r>
            <w:r w:rsidR="00115CF5" w:rsidRPr="00A23740">
              <w:rPr>
                <w:rStyle w:val="MaviChar"/>
                <w:lang w:val="tr-TR"/>
              </w:rPr>
              <w:t xml:space="preserve"> </w:t>
            </w:r>
            <w:r w:rsidR="00115CF5" w:rsidRPr="00366FF5">
              <w:rPr>
                <w:rStyle w:val="MaviChar"/>
              </w:rPr>
              <w:t>mühletin kaldırılmasına ve iflasın açılmasına ilişkin</w:t>
            </w:r>
            <w:r w:rsidR="00A355DD" w:rsidRPr="00366FF5">
              <w:rPr>
                <w:rStyle w:val="MaviChar"/>
              </w:rPr>
              <w:t xml:space="preserve"> 385 inci</w:t>
            </w:r>
            <w:r w:rsidR="00115CF5" w:rsidRPr="00A23740">
              <w:rPr>
                <w:rStyle w:val="MaviChar"/>
                <w:lang w:val="tr-TR"/>
              </w:rPr>
              <w:t xml:space="preserve"> </w:t>
            </w:r>
            <w:r w:rsidR="00115CF5" w:rsidRPr="00366FF5">
              <w:rPr>
                <w:rStyle w:val="MaviChar"/>
              </w:rPr>
              <w:t>maddeye göre</w:t>
            </w:r>
            <w:r w:rsidRPr="00A23740">
              <w:rPr>
                <w:szCs w:val="24"/>
              </w:rPr>
              <w:t xml:space="preserve"> karar verir.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b/>
                <w:bCs/>
                <w:color w:val="0000FF"/>
                <w:szCs w:val="24"/>
                <w:lang w:eastAsia="x-none"/>
              </w:rPr>
              <w:t>(5)</w:t>
            </w:r>
            <w:r w:rsidRPr="00A23740">
              <w:rPr>
                <w:szCs w:val="24"/>
              </w:rPr>
              <w:t xml:space="preserve"> Birinci ve </w:t>
            </w:r>
            <w:r w:rsidRPr="00A23740">
              <w:rPr>
                <w:rStyle w:val="MaviChar"/>
              </w:rPr>
              <w:t>dördüncü</w:t>
            </w:r>
            <w:r w:rsidRPr="00A23740">
              <w:rPr>
                <w:szCs w:val="24"/>
              </w:rPr>
              <w:t xml:space="preserve"> fıkra kapsamında alınan kararlar</w:t>
            </w:r>
            <w:r w:rsidR="00A355DD" w:rsidRPr="00A23740">
              <w:rPr>
                <w:szCs w:val="24"/>
              </w:rPr>
              <w:t xml:space="preserve"> </w:t>
            </w:r>
            <w:r w:rsidR="00A355DD" w:rsidRPr="00366FF5">
              <w:rPr>
                <w:rStyle w:val="MaviChar"/>
              </w:rPr>
              <w:t>377 nci</w:t>
            </w:r>
            <w:r w:rsidRPr="00A23740">
              <w:rPr>
                <w:szCs w:val="24"/>
              </w:rPr>
              <w:t xml:space="preserve"> madde uyarınca il</w:t>
            </w:r>
            <w:r w:rsidR="00930910" w:rsidRPr="00A23740">
              <w:rPr>
                <w:szCs w:val="24"/>
              </w:rPr>
              <w:t>a</w:t>
            </w:r>
            <w:r w:rsidRPr="00A23740">
              <w:rPr>
                <w:szCs w:val="24"/>
              </w:rPr>
              <w:t>n edilir ve ilgili yerlere bildirilir.</w:t>
            </w:r>
          </w:p>
          <w:p w:rsidR="00AA5C8C" w:rsidRPr="00A23740" w:rsidRDefault="00AA5C8C" w:rsidP="009431FF">
            <w:pPr>
              <w:pStyle w:val="Mavi"/>
              <w:widowControl w:val="0"/>
              <w:rPr>
                <w:lang w:val="tr-TR"/>
              </w:rPr>
            </w:pPr>
          </w:p>
          <w:p w:rsidR="00C5710D" w:rsidRPr="00A23740" w:rsidRDefault="00AA5C8C" w:rsidP="009431FF">
            <w:pPr>
              <w:pStyle w:val="Mavi"/>
              <w:widowControl w:val="0"/>
              <w:rPr>
                <w:b w:val="0"/>
                <w:lang w:val="tr-TR"/>
              </w:rPr>
            </w:pPr>
            <w:r w:rsidRPr="00A23740">
              <w:rPr>
                <w:lang w:val="tr-TR"/>
              </w:rPr>
              <w:t>(6) Bu madde kapsamında mahkemece verilen kararlar</w:t>
            </w:r>
            <w:r w:rsidR="00E33738" w:rsidRPr="00366FF5">
              <w:t>,</w:t>
            </w:r>
            <w:r w:rsidRPr="00366FF5">
              <w:t xml:space="preserve"> </w:t>
            </w:r>
            <w:r w:rsidR="00A355DD" w:rsidRPr="00366FF5">
              <w:t>385 inci</w:t>
            </w:r>
            <w:r w:rsidR="00A355DD" w:rsidRPr="00A23740">
              <w:rPr>
                <w:rStyle w:val="MaviChar"/>
                <w:b/>
                <w:lang w:val="tr-TR"/>
              </w:rPr>
              <w:t xml:space="preserve"> </w:t>
            </w:r>
            <w:r w:rsidRPr="00A23740">
              <w:rPr>
                <w:lang w:val="tr-TR"/>
              </w:rPr>
              <w:t>maddeye göre ver</w:t>
            </w:r>
            <w:r w:rsidR="004A4973">
              <w:rPr>
                <w:lang w:val="tr-TR"/>
              </w:rPr>
              <w:t>ilen kararlar dışında kesindir.</w:t>
            </w:r>
          </w:p>
        </w:tc>
      </w:tr>
      <w:tr w:rsidR="005C3738" w:rsidRPr="00A23740" w:rsidTr="009431FF">
        <w:tc>
          <w:tcPr>
            <w:tcW w:w="5000" w:type="pct"/>
            <w:gridSpan w:val="2"/>
            <w:shd w:val="clear" w:color="auto" w:fill="DEEAF6"/>
          </w:tcPr>
          <w:p w:rsidR="007F2779" w:rsidRPr="00A23740" w:rsidRDefault="007F2779" w:rsidP="009431FF">
            <w:pPr>
              <w:tabs>
                <w:tab w:val="left" w:pos="567"/>
              </w:tabs>
              <w:ind w:firstLine="567"/>
              <w:rPr>
                <w:rFonts w:eastAsia="ヒラギノ明朝 Pro W3"/>
                <w:color w:val="000000"/>
                <w:szCs w:val="24"/>
              </w:rPr>
            </w:pPr>
          </w:p>
          <w:p w:rsidR="007F2779" w:rsidRPr="00A23740" w:rsidRDefault="007F2779" w:rsidP="009431FF">
            <w:pPr>
              <w:ind w:firstLine="567"/>
              <w:rPr>
                <w:rFonts w:eastAsia="ヒラギノ明朝 Pro W3"/>
                <w:color w:val="000000"/>
                <w:szCs w:val="24"/>
              </w:rPr>
            </w:pPr>
            <w:r w:rsidRPr="00A23740">
              <w:rPr>
                <w:rFonts w:eastAsia="ヒラギノ明朝 Pro W3"/>
                <w:b/>
                <w:color w:val="000000"/>
                <w:szCs w:val="24"/>
              </w:rPr>
              <w:t>MADDE</w:t>
            </w:r>
            <w:r w:rsidR="005D38D0" w:rsidRPr="00A23740">
              <w:rPr>
                <w:rFonts w:eastAsia="ヒラギノ明朝 Pro W3"/>
                <w:b/>
                <w:color w:val="000000"/>
                <w:szCs w:val="24"/>
              </w:rPr>
              <w:t xml:space="preserve"> </w:t>
            </w:r>
            <w:r w:rsidR="003E49A5" w:rsidRPr="00A23740">
              <w:rPr>
                <w:rFonts w:eastAsia="ヒラギノ明朝 Pro W3"/>
                <w:b/>
                <w:color w:val="000000"/>
                <w:szCs w:val="24"/>
              </w:rPr>
              <w:t>389</w:t>
            </w:r>
            <w:r w:rsidRPr="00A23740">
              <w:rPr>
                <w:rFonts w:eastAsia="ヒラギノ明朝 Pro W3"/>
                <w:b/>
                <w:color w:val="000000"/>
                <w:szCs w:val="24"/>
              </w:rPr>
              <w:t>-</w:t>
            </w:r>
            <w:r w:rsidRPr="00A23740">
              <w:rPr>
                <w:rFonts w:eastAsia="ヒラギノ明朝 Pro W3"/>
                <w:color w:val="000000"/>
                <w:szCs w:val="24"/>
              </w:rPr>
              <w:t xml:space="preserve"> </w:t>
            </w:r>
            <w:r w:rsidR="005D38D0" w:rsidRPr="00A23740">
              <w:rPr>
                <w:rFonts w:eastAsia="ヒラギノ明朝 Pro W3"/>
                <w:color w:val="000000"/>
                <w:szCs w:val="24"/>
              </w:rPr>
              <w:t>Maddeyle,</w:t>
            </w:r>
            <w:r w:rsidR="001058DA" w:rsidRPr="00A23740">
              <w:rPr>
                <w:rFonts w:eastAsia="ヒラギノ明朝 Pro W3"/>
                <w:color w:val="000000"/>
                <w:szCs w:val="24"/>
              </w:rPr>
              <w:t xml:space="preserve"> </w:t>
            </w:r>
            <w:r w:rsidR="005D38D0" w:rsidRPr="00A23740">
              <w:rPr>
                <w:rFonts w:eastAsia="ヒラギノ明朝 Pro W3"/>
                <w:color w:val="000000"/>
                <w:szCs w:val="24"/>
              </w:rPr>
              <w:t xml:space="preserve">kesin mühletin borçlu bakımından sonuçları düzenlenmektedir. </w:t>
            </w:r>
            <w:r w:rsidRPr="00A23740">
              <w:rPr>
                <w:rFonts w:eastAsia="ヒラギノ明朝 Pro W3"/>
                <w:color w:val="000000"/>
                <w:szCs w:val="24"/>
              </w:rPr>
              <w:t>Taslağın</w:t>
            </w:r>
            <w:r w:rsidR="00A355DD" w:rsidRPr="00A23740">
              <w:rPr>
                <w:rFonts w:eastAsia="ヒラギノ明朝 Pro W3"/>
                <w:color w:val="000000"/>
                <w:szCs w:val="24"/>
              </w:rPr>
              <w:t xml:space="preserve"> </w:t>
            </w:r>
            <w:r w:rsidR="00A355DD" w:rsidRPr="00366FF5">
              <w:t>389 uncu</w:t>
            </w:r>
            <w:r w:rsidRPr="00A23740">
              <w:rPr>
                <w:rFonts w:eastAsia="ヒラギノ明朝 Pro W3"/>
                <w:color w:val="000000"/>
                <w:szCs w:val="24"/>
              </w:rPr>
              <w:t xml:space="preserve"> maddesi “Kesin mühletin borçlu bakımından sonuçları” başlığını taşımakta olup</w:t>
            </w:r>
            <w:r w:rsidR="00CB357F" w:rsidRPr="00A23740">
              <w:rPr>
                <w:rFonts w:eastAsia="ヒラギノ明朝 Pro W3"/>
                <w:color w:val="000000"/>
                <w:szCs w:val="24"/>
              </w:rPr>
              <w:t>,</w:t>
            </w:r>
            <w:r w:rsidRPr="00A23740">
              <w:rPr>
                <w:rFonts w:eastAsia="ヒラギノ明朝 Pro W3"/>
                <w:color w:val="000000"/>
                <w:szCs w:val="24"/>
              </w:rPr>
              <w:t xml:space="preserve"> </w:t>
            </w:r>
            <w:r w:rsidR="005D38D0" w:rsidRPr="00A23740">
              <w:rPr>
                <w:rFonts w:eastAsia="ヒラギノ明朝 Pro W3"/>
                <w:color w:val="000000"/>
                <w:szCs w:val="24"/>
              </w:rPr>
              <w:t>2004 sayılı K</w:t>
            </w:r>
            <w:r w:rsidRPr="00A23740">
              <w:rPr>
                <w:rFonts w:eastAsia="ヒラギノ明朝 Pro W3"/>
                <w:color w:val="000000"/>
                <w:szCs w:val="24"/>
              </w:rPr>
              <w:t>anunun 297 nci m</w:t>
            </w:r>
            <w:r w:rsidR="005D38D0" w:rsidRPr="00A23740">
              <w:rPr>
                <w:rFonts w:eastAsia="ヒラギノ明朝 Pro W3"/>
                <w:color w:val="000000"/>
                <w:szCs w:val="24"/>
              </w:rPr>
              <w:t xml:space="preserve">addesine karşılık gelmektedir. </w:t>
            </w:r>
          </w:p>
          <w:p w:rsidR="007F2779" w:rsidRPr="00A23740" w:rsidRDefault="005D38D0" w:rsidP="009431FF">
            <w:pPr>
              <w:ind w:firstLine="567"/>
              <w:rPr>
                <w:rFonts w:eastAsia="ヒラギノ明朝 Pro W3"/>
                <w:color w:val="000000"/>
                <w:szCs w:val="24"/>
              </w:rPr>
            </w:pPr>
            <w:r w:rsidRPr="00A23740">
              <w:rPr>
                <w:rFonts w:eastAsia="ヒラギノ明朝 Pro W3"/>
                <w:color w:val="000000"/>
                <w:szCs w:val="24"/>
              </w:rPr>
              <w:t>Maddenin bir</w:t>
            </w:r>
            <w:r w:rsidR="007F2779" w:rsidRPr="00A23740">
              <w:rPr>
                <w:rFonts w:eastAsia="ヒラギノ明朝 Pro W3"/>
                <w:color w:val="000000"/>
                <w:szCs w:val="24"/>
              </w:rPr>
              <w:t>inci fıkrasında borçlunun, komiserin nezareti altında işlerine devam edebileceği, fakat mahkemenin, mühlet kararı verirken veya mühlet içinde bazı işlemlerin geçerli olarak ancak komiserin izni</w:t>
            </w:r>
            <w:r w:rsidR="00CB357F" w:rsidRPr="00A23740">
              <w:rPr>
                <w:rFonts w:eastAsia="ヒラギノ明朝 Pro W3"/>
                <w:color w:val="000000"/>
                <w:szCs w:val="24"/>
              </w:rPr>
              <w:t>yle</w:t>
            </w:r>
            <w:r w:rsidR="007F2779" w:rsidRPr="00A23740">
              <w:rPr>
                <w:rFonts w:eastAsia="ヒラギノ明朝 Pro W3"/>
                <w:color w:val="000000"/>
                <w:szCs w:val="24"/>
              </w:rPr>
              <w:t xml:space="preserve"> yapılmasına veya borçlunun yerine komiserin işletmenin faaliyetini devam ettirmesine de karar</w:t>
            </w:r>
            <w:r w:rsidRPr="00A23740">
              <w:rPr>
                <w:rFonts w:eastAsia="ヒラギノ明朝 Pro W3"/>
                <w:color w:val="000000"/>
                <w:szCs w:val="24"/>
              </w:rPr>
              <w:t xml:space="preserve"> verebileceği belirtilmektedir.</w:t>
            </w:r>
          </w:p>
          <w:p w:rsidR="007F2779" w:rsidRPr="00A23740" w:rsidRDefault="005D38D0" w:rsidP="009431FF">
            <w:pPr>
              <w:tabs>
                <w:tab w:val="left" w:pos="567"/>
              </w:tabs>
              <w:ind w:firstLine="567"/>
              <w:rPr>
                <w:rFonts w:eastAsia="ヒラギノ明朝 Pro W3"/>
                <w:color w:val="000000"/>
                <w:szCs w:val="24"/>
              </w:rPr>
            </w:pPr>
            <w:r w:rsidRPr="00A23740">
              <w:rPr>
                <w:rFonts w:eastAsia="ヒラギノ明朝 Pro W3"/>
                <w:color w:val="000000"/>
                <w:szCs w:val="24"/>
              </w:rPr>
              <w:t>Maddenin iki</w:t>
            </w:r>
            <w:r w:rsidR="007F2779" w:rsidRPr="00A23740">
              <w:rPr>
                <w:rFonts w:eastAsia="ヒラギノ明朝 Pro W3"/>
                <w:color w:val="000000"/>
                <w:szCs w:val="24"/>
              </w:rPr>
              <w:t>nci fıkrasında borçlunun, mahkemenin izni dışında mühlet kararından itibaren rehin tesis edemeyeceği, kefil olamayacağı ve ivazsız tasarruflarda bulunamayacağı; taşınmaz ve işletmenin devamlı tesisatını kısmen dahi olsa devredemeyeceği ve takyit edemeyeceği; aksi hâlde yapılan işlemlerin hükümsüz olduğu; mahkemenin, izin vermeden önce komiserin</w:t>
            </w:r>
            <w:r w:rsidR="00115CF5" w:rsidRPr="00A23740">
              <w:rPr>
                <w:rFonts w:eastAsia="ヒラギノ明朝 Pro W3"/>
                <w:color w:val="000000"/>
                <w:szCs w:val="24"/>
              </w:rPr>
              <w:t xml:space="preserve"> </w:t>
            </w:r>
            <w:r w:rsidR="00115CF5" w:rsidRPr="00366FF5">
              <w:t>ve varsa alacaklılar kurulunun</w:t>
            </w:r>
            <w:r w:rsidR="007F2779" w:rsidRPr="00A23740">
              <w:rPr>
                <w:rFonts w:eastAsia="ヒラギノ明朝 Pro W3"/>
                <w:color w:val="000000"/>
                <w:szCs w:val="24"/>
              </w:rPr>
              <w:t xml:space="preserve"> görüşünü alacağı </w:t>
            </w:r>
            <w:r w:rsidRPr="00A23740">
              <w:rPr>
                <w:rFonts w:eastAsia="ヒラギノ明朝 Pro W3"/>
                <w:color w:val="000000"/>
                <w:szCs w:val="24"/>
              </w:rPr>
              <w:t>düzenlenmiştir.</w:t>
            </w:r>
          </w:p>
          <w:p w:rsidR="007F2779" w:rsidRPr="00A23740" w:rsidRDefault="005D38D0" w:rsidP="009431FF">
            <w:pPr>
              <w:tabs>
                <w:tab w:val="left" w:pos="567"/>
              </w:tabs>
              <w:ind w:firstLine="567"/>
              <w:rPr>
                <w:rFonts w:eastAsia="ヒラギノ明朝 Pro W3"/>
                <w:color w:val="000000"/>
                <w:szCs w:val="24"/>
              </w:rPr>
            </w:pPr>
            <w:r w:rsidRPr="00A23740">
              <w:rPr>
                <w:rFonts w:eastAsia="ヒラギノ明朝 Pro W3"/>
                <w:color w:val="000000"/>
                <w:szCs w:val="24"/>
              </w:rPr>
              <w:t>Maddenin üç</w:t>
            </w:r>
            <w:r w:rsidR="007F2779" w:rsidRPr="00A23740">
              <w:rPr>
                <w:rFonts w:eastAsia="ヒラギノ明朝 Pro W3"/>
                <w:color w:val="000000"/>
                <w:szCs w:val="24"/>
              </w:rPr>
              <w:t>üncü fıkrasında</w:t>
            </w:r>
            <w:r w:rsidR="00115CF5" w:rsidRPr="00A23740">
              <w:rPr>
                <w:rFonts w:eastAsia="ヒラギノ明朝 Pro W3"/>
                <w:color w:val="000000"/>
                <w:szCs w:val="24"/>
              </w:rPr>
              <w:t xml:space="preserve"> </w:t>
            </w:r>
            <w:r w:rsidR="00115CF5" w:rsidRPr="00366FF5">
              <w:t>mahkemenin</w:t>
            </w:r>
            <w:r w:rsidR="007F2779" w:rsidRPr="00A23740">
              <w:rPr>
                <w:rFonts w:eastAsia="ヒラギノ明朝 Pro W3"/>
                <w:color w:val="000000"/>
                <w:szCs w:val="24"/>
              </w:rPr>
              <w:t>, komiserin</w:t>
            </w:r>
            <w:r w:rsidR="00115CF5" w:rsidRPr="00A23740">
              <w:rPr>
                <w:rFonts w:eastAsia="ヒラギノ明朝 Pro W3"/>
                <w:color w:val="000000"/>
                <w:szCs w:val="24"/>
              </w:rPr>
              <w:t xml:space="preserve"> </w:t>
            </w:r>
            <w:r w:rsidR="00115CF5" w:rsidRPr="00366FF5">
              <w:t>ve varsa alacaklılar kurulunun</w:t>
            </w:r>
            <w:r w:rsidR="007F2779" w:rsidRPr="00A23740">
              <w:rPr>
                <w:rFonts w:eastAsia="ヒラギノ明朝 Pro W3"/>
                <w:color w:val="000000"/>
                <w:szCs w:val="24"/>
              </w:rPr>
              <w:t xml:space="preserve"> görüşünü alarak, konkordato talebinde mahkemeye sunulan alacak listesinde yer alan ve borçlunun faaliyetine göre küçük sayılabilecek tutardaki borçların ödenmesine talep üzerine karar verebileceği</w:t>
            </w:r>
            <w:r w:rsidR="004A4973">
              <w:rPr>
                <w:rFonts w:eastAsia="ヒラギノ明朝 Pro W3"/>
                <w:color w:val="000000"/>
                <w:szCs w:val="24"/>
              </w:rPr>
              <w:t xml:space="preserve"> </w:t>
            </w:r>
            <w:r w:rsidR="007F2779" w:rsidRPr="00A23740">
              <w:rPr>
                <w:rFonts w:eastAsia="ヒラギノ明朝 Pro W3"/>
                <w:color w:val="000000"/>
                <w:szCs w:val="24"/>
              </w:rPr>
              <w:t xml:space="preserve">düzenlenmiştir. </w:t>
            </w:r>
          </w:p>
          <w:p w:rsidR="007F2779" w:rsidRPr="00A23740" w:rsidRDefault="007F2779" w:rsidP="009431FF">
            <w:pPr>
              <w:ind w:firstLine="567"/>
              <w:rPr>
                <w:rFonts w:eastAsia="ヒラギノ明朝 Pro W3"/>
                <w:color w:val="000000"/>
                <w:szCs w:val="24"/>
              </w:rPr>
            </w:pPr>
            <w:r w:rsidRPr="00A23740">
              <w:rPr>
                <w:rFonts w:eastAsia="ヒラギノ明朝 Pro W3"/>
                <w:color w:val="000000"/>
                <w:szCs w:val="24"/>
              </w:rPr>
              <w:t>Uygulamada çok sayıda küçük tutarlı borcu olan konkordato borçlularının işlemleri basitleştirmek ve hızlandırmak için bu küçük borçları ödeyerek prosedüre devam etmek yönünde talepleri olmaktadır. Konuya açıklık getirmek için madde metnine üçüncü fıkra ilave edilmiştir. Bu karar</w:t>
            </w:r>
            <w:r w:rsidR="00115CF5" w:rsidRPr="004A4973">
              <w:rPr>
                <w:rStyle w:val="YELChar"/>
                <w:b w:val="0"/>
                <w:color w:val="000000" w:themeColor="text1"/>
              </w:rPr>
              <w:t>,</w:t>
            </w:r>
            <w:r w:rsidRPr="00A23740">
              <w:rPr>
                <w:rFonts w:eastAsia="ヒラギノ明朝 Pro W3"/>
                <w:color w:val="000000"/>
                <w:szCs w:val="24"/>
              </w:rPr>
              <w:t xml:space="preserve"> borçlu veya </w:t>
            </w:r>
            <w:r w:rsidR="00115CF5" w:rsidRPr="00366FF5">
              <w:t>alacaklıların talebi</w:t>
            </w:r>
            <w:r w:rsidR="005D38D0" w:rsidRPr="00A23740">
              <w:rPr>
                <w:rFonts w:eastAsia="ヒラギノ明朝 Pro W3"/>
                <w:color w:val="000000"/>
                <w:szCs w:val="24"/>
              </w:rPr>
              <w:t xml:space="preserve"> üzerine verilebilecektir.</w:t>
            </w:r>
            <w:r w:rsidR="00115CF5" w:rsidRPr="00A23740">
              <w:rPr>
                <w:rFonts w:eastAsia="ヒラギノ明朝 Pro W3"/>
                <w:color w:val="000000"/>
                <w:szCs w:val="24"/>
              </w:rPr>
              <w:t xml:space="preserve"> İsviçre Federal Mahkemesinin içtihadı da bu yöndedir</w:t>
            </w:r>
            <w:r w:rsidR="00115CF5" w:rsidRPr="00A23740">
              <w:rPr>
                <w:rStyle w:val="YELChar"/>
              </w:rPr>
              <w:t>.</w:t>
            </w:r>
            <w:r w:rsidRPr="00A23740">
              <w:rPr>
                <w:rFonts w:eastAsia="ヒラギノ明朝 Pro W3"/>
                <w:color w:val="000000"/>
                <w:szCs w:val="24"/>
              </w:rPr>
              <w:t xml:space="preserve"> Karara konu olayda</w:t>
            </w:r>
            <w:r w:rsidR="00115CF5" w:rsidRPr="00A23740">
              <w:rPr>
                <w:rFonts w:eastAsia="ヒラギノ明朝 Pro W3"/>
                <w:color w:val="000000"/>
                <w:szCs w:val="24"/>
              </w:rPr>
              <w:t xml:space="preserve"> (BGE III, 111,  86, 87)</w:t>
            </w:r>
            <w:r w:rsidRPr="00A23740">
              <w:rPr>
                <w:rFonts w:eastAsia="ヒラギノ明朝 Pro W3"/>
                <w:color w:val="000000"/>
                <w:szCs w:val="24"/>
              </w:rPr>
              <w:t>, 1326 konkordato alacaklısı arasında</w:t>
            </w:r>
            <w:r w:rsidR="0066126D" w:rsidRPr="00A23740">
              <w:rPr>
                <w:rFonts w:eastAsia="ヒラギノ明朝 Pro W3"/>
                <w:color w:val="000000"/>
                <w:szCs w:val="24"/>
              </w:rPr>
              <w:t xml:space="preserve">n, alacağı 10.000 İsviçre frangını </w:t>
            </w:r>
            <w:r w:rsidRPr="00A23740">
              <w:rPr>
                <w:rFonts w:eastAsia="ヒラギノ明朝 Pro W3"/>
                <w:color w:val="000000"/>
                <w:szCs w:val="24"/>
              </w:rPr>
              <w:t xml:space="preserve">geçmeyen 962 kişinin alacakları toplam alacağın %11,5’ne tekabül etmekteydi. Federal Mahkeme “operasyonun hafifleştirilmesi ve basitleştirilmesini sağlamak için” kararda 10.000 </w:t>
            </w:r>
            <w:r w:rsidR="0066126D" w:rsidRPr="00A23740">
              <w:rPr>
                <w:rFonts w:eastAsia="ヒラギノ明朝 Pro W3"/>
                <w:color w:val="000000"/>
                <w:szCs w:val="24"/>
              </w:rPr>
              <w:t xml:space="preserve">franga </w:t>
            </w:r>
            <w:r w:rsidRPr="00A23740">
              <w:rPr>
                <w:rFonts w:eastAsia="ヒラギノ明朝 Pro W3"/>
                <w:color w:val="000000"/>
                <w:szCs w:val="24"/>
              </w:rPr>
              <w:t xml:space="preserve">kadar alacağı olan 962 alacaklının alacağının </w:t>
            </w:r>
            <w:r w:rsidR="00DF22A1" w:rsidRPr="00A23740">
              <w:rPr>
                <w:szCs w:val="24"/>
              </w:rPr>
              <w:t xml:space="preserve">derhâl </w:t>
            </w:r>
            <w:r w:rsidR="0066126D" w:rsidRPr="00A23740">
              <w:rPr>
                <w:rFonts w:eastAsia="ヒラギノ明朝 Pro W3"/>
                <w:color w:val="000000"/>
                <w:szCs w:val="24"/>
              </w:rPr>
              <w:t>ödenmesi</w:t>
            </w:r>
            <w:r w:rsidR="0077298C" w:rsidRPr="00A23740">
              <w:rPr>
                <w:rFonts w:eastAsia="ヒラギノ明朝 Pro W3"/>
                <w:color w:val="000000"/>
                <w:szCs w:val="24"/>
              </w:rPr>
              <w:t>ni</w:t>
            </w:r>
            <w:r w:rsidR="0066126D" w:rsidRPr="00A23740">
              <w:rPr>
                <w:rFonts w:eastAsia="ヒラギノ明朝 Pro W3"/>
                <w:color w:val="000000"/>
                <w:szCs w:val="24"/>
              </w:rPr>
              <w:t xml:space="preserve"> hukuka uygun bulmuş;</w:t>
            </w:r>
            <w:r w:rsidRPr="00A23740">
              <w:rPr>
                <w:rFonts w:eastAsia="ヒラギノ明朝 Pro W3"/>
                <w:color w:val="000000"/>
                <w:szCs w:val="24"/>
              </w:rPr>
              <w:t xml:space="preserve"> ne ödeme karar</w:t>
            </w:r>
            <w:r w:rsidR="0066126D" w:rsidRPr="00A23740">
              <w:rPr>
                <w:rFonts w:eastAsia="ヒラギノ明朝 Pro W3"/>
                <w:color w:val="000000"/>
                <w:szCs w:val="24"/>
              </w:rPr>
              <w:t>ını</w:t>
            </w:r>
            <w:r w:rsidRPr="00A23740">
              <w:rPr>
                <w:rFonts w:eastAsia="ヒラギノ明朝 Pro W3"/>
                <w:color w:val="000000"/>
                <w:szCs w:val="24"/>
              </w:rPr>
              <w:t xml:space="preserve"> ne</w:t>
            </w:r>
            <w:r w:rsidR="0066126D" w:rsidRPr="00A23740">
              <w:rPr>
                <w:rFonts w:eastAsia="ヒラギノ明朝 Pro W3"/>
                <w:color w:val="000000"/>
                <w:szCs w:val="24"/>
              </w:rPr>
              <w:t xml:space="preserve"> </w:t>
            </w:r>
            <w:r w:rsidRPr="00A23740">
              <w:rPr>
                <w:rFonts w:eastAsia="ヒラギノ明朝 Pro W3"/>
                <w:color w:val="000000"/>
                <w:szCs w:val="24"/>
              </w:rPr>
              <w:t xml:space="preserve">de sınırın 10.000 </w:t>
            </w:r>
            <w:r w:rsidR="0066126D" w:rsidRPr="00A23740">
              <w:rPr>
                <w:rFonts w:eastAsia="ヒラギノ明朝 Pro W3"/>
                <w:color w:val="000000"/>
                <w:szCs w:val="24"/>
              </w:rPr>
              <w:t xml:space="preserve">frank </w:t>
            </w:r>
            <w:r w:rsidRPr="00A23740">
              <w:rPr>
                <w:rFonts w:eastAsia="ヒラギノ明朝 Pro W3"/>
                <w:color w:val="000000"/>
                <w:szCs w:val="24"/>
              </w:rPr>
              <w:t>o</w:t>
            </w:r>
            <w:r w:rsidR="0066126D" w:rsidRPr="00A23740">
              <w:rPr>
                <w:rFonts w:eastAsia="ヒラギノ明朝 Pro W3"/>
                <w:color w:val="000000"/>
                <w:szCs w:val="24"/>
              </w:rPr>
              <w:t>larak tayinini hatalı görmüştür</w:t>
            </w:r>
            <w:r w:rsidRPr="00A23740">
              <w:rPr>
                <w:rFonts w:eastAsia="ヒラギノ明朝 Pro W3"/>
                <w:color w:val="000000"/>
                <w:szCs w:val="24"/>
              </w:rPr>
              <w:t xml:space="preserve">. </w:t>
            </w:r>
          </w:p>
          <w:p w:rsidR="007F2779" w:rsidRPr="00A23740" w:rsidRDefault="005D38D0" w:rsidP="009431FF">
            <w:pPr>
              <w:ind w:firstLine="567"/>
              <w:rPr>
                <w:rFonts w:eastAsia="ヒラギノ明朝 Pro W3"/>
                <w:color w:val="000000"/>
                <w:szCs w:val="24"/>
              </w:rPr>
            </w:pPr>
            <w:r w:rsidRPr="00A23740">
              <w:rPr>
                <w:rFonts w:eastAsia="ヒラギノ明朝 Pro W3"/>
                <w:color w:val="000000"/>
                <w:szCs w:val="24"/>
              </w:rPr>
              <w:t>Maddenin dörd</w:t>
            </w:r>
            <w:r w:rsidR="007F2779" w:rsidRPr="00A23740">
              <w:rPr>
                <w:rFonts w:eastAsia="ヒラギノ明朝 Pro W3"/>
                <w:color w:val="000000"/>
                <w:szCs w:val="24"/>
              </w:rPr>
              <w:t>üncü fıkrasında borçlunun bu hükme veya komiserin ihtarlarına aykırı davranması h</w:t>
            </w:r>
            <w:r w:rsidR="00D271B8" w:rsidRPr="00A23740">
              <w:rPr>
                <w:rFonts w:eastAsia="ヒラギノ明朝 Pro W3"/>
                <w:color w:val="000000"/>
                <w:szCs w:val="24"/>
              </w:rPr>
              <w:t>â</w:t>
            </w:r>
            <w:r w:rsidR="007F2779" w:rsidRPr="00A23740">
              <w:rPr>
                <w:rFonts w:eastAsia="ヒラギノ明朝 Pro W3"/>
                <w:color w:val="000000"/>
                <w:szCs w:val="24"/>
              </w:rPr>
              <w:t xml:space="preserve">linde mahkemenin, borçlunun malları üzerindeki tasarruf yetkisini kaldırabileceği ya da </w:t>
            </w:r>
            <w:r w:rsidR="00A355DD" w:rsidRPr="00366FF5">
              <w:t>385 inci</w:t>
            </w:r>
            <w:r w:rsidR="00A355DD" w:rsidRPr="00A23740">
              <w:rPr>
                <w:rStyle w:val="MaviChar"/>
                <w:lang w:val="tr-TR"/>
              </w:rPr>
              <w:t xml:space="preserve"> </w:t>
            </w:r>
            <w:r w:rsidR="007F2779" w:rsidRPr="00A23740">
              <w:rPr>
                <w:rFonts w:eastAsia="ヒラギノ明朝 Pro W3"/>
                <w:color w:val="000000"/>
                <w:szCs w:val="24"/>
              </w:rPr>
              <w:t>madde çerçevesind</w:t>
            </w:r>
            <w:r w:rsidRPr="00A23740">
              <w:rPr>
                <w:rFonts w:eastAsia="ヒラギノ明朝 Pro W3"/>
                <w:color w:val="000000"/>
                <w:szCs w:val="24"/>
              </w:rPr>
              <w:t>e karar vereceği öngörülmüştür.</w:t>
            </w:r>
          </w:p>
          <w:p w:rsidR="007F2779" w:rsidRPr="00A23740" w:rsidRDefault="005D38D0" w:rsidP="009431FF">
            <w:pPr>
              <w:ind w:firstLine="567"/>
              <w:rPr>
                <w:rFonts w:eastAsia="ヒラギノ明朝 Pro W3"/>
                <w:color w:val="000000"/>
                <w:szCs w:val="24"/>
              </w:rPr>
            </w:pPr>
            <w:r w:rsidRPr="00A23740">
              <w:rPr>
                <w:rFonts w:eastAsia="ヒラギノ明朝 Pro W3"/>
                <w:color w:val="000000"/>
                <w:szCs w:val="24"/>
              </w:rPr>
              <w:t>Maddenin beş</w:t>
            </w:r>
            <w:r w:rsidR="007F2779" w:rsidRPr="00A23740">
              <w:rPr>
                <w:rFonts w:eastAsia="ヒラギノ明朝 Pro W3"/>
                <w:color w:val="000000"/>
                <w:szCs w:val="24"/>
              </w:rPr>
              <w:t xml:space="preserve">inci fıkrasında </w:t>
            </w:r>
            <w:r w:rsidRPr="00A23740">
              <w:rPr>
                <w:rFonts w:eastAsia="ヒラギノ明朝 Pro W3"/>
                <w:color w:val="000000"/>
                <w:szCs w:val="24"/>
              </w:rPr>
              <w:t>birinci ve dörd</w:t>
            </w:r>
            <w:r w:rsidR="007F2779" w:rsidRPr="00A23740">
              <w:rPr>
                <w:rFonts w:eastAsia="ヒラギノ明朝 Pro W3"/>
                <w:color w:val="000000"/>
                <w:szCs w:val="24"/>
              </w:rPr>
              <w:t xml:space="preserve">üncü fıkra kapsamında alınan kararların </w:t>
            </w:r>
            <w:r w:rsidR="00A355DD" w:rsidRPr="00366FF5">
              <w:t>377 nci</w:t>
            </w:r>
            <w:r w:rsidR="00A355DD" w:rsidRPr="00A23740">
              <w:rPr>
                <w:szCs w:val="24"/>
              </w:rPr>
              <w:t xml:space="preserve"> </w:t>
            </w:r>
            <w:r w:rsidR="007F2779" w:rsidRPr="00A23740">
              <w:rPr>
                <w:rFonts w:eastAsia="ヒラギノ明朝 Pro W3"/>
                <w:color w:val="000000"/>
                <w:szCs w:val="24"/>
              </w:rPr>
              <w:t>madde uyarınca il</w:t>
            </w:r>
            <w:r w:rsidR="00930910" w:rsidRPr="00A23740">
              <w:rPr>
                <w:rFonts w:eastAsia="ヒラギノ明朝 Pro W3"/>
                <w:color w:val="000000"/>
                <w:szCs w:val="24"/>
              </w:rPr>
              <w:t>a</w:t>
            </w:r>
            <w:r w:rsidR="007F2779" w:rsidRPr="00A23740">
              <w:rPr>
                <w:rFonts w:eastAsia="ヒラギノ明朝 Pro W3"/>
                <w:color w:val="000000"/>
                <w:szCs w:val="24"/>
              </w:rPr>
              <w:t>n edileceği ve ilgili yerler</w:t>
            </w:r>
            <w:r w:rsidRPr="00A23740">
              <w:rPr>
                <w:rFonts w:eastAsia="ヒラギノ明朝 Pro W3"/>
                <w:color w:val="000000"/>
                <w:szCs w:val="24"/>
              </w:rPr>
              <w:t>e bildirileceği belirtilmiştir.</w:t>
            </w:r>
          </w:p>
          <w:p w:rsidR="007F2779" w:rsidRPr="00A23740" w:rsidRDefault="005D38D0" w:rsidP="009431FF">
            <w:pPr>
              <w:tabs>
                <w:tab w:val="left" w:pos="566"/>
              </w:tabs>
              <w:ind w:firstLine="567"/>
              <w:rPr>
                <w:rFonts w:eastAsia="ヒラギノ明朝 Pro W3"/>
                <w:color w:val="000000"/>
                <w:szCs w:val="24"/>
              </w:rPr>
            </w:pPr>
            <w:r w:rsidRPr="00A23740">
              <w:rPr>
                <w:rFonts w:eastAsia="ヒラギノ明朝 Pro W3"/>
                <w:color w:val="000000"/>
                <w:szCs w:val="24"/>
              </w:rPr>
              <w:t>Maddenin alt</w:t>
            </w:r>
            <w:r w:rsidR="007F2779" w:rsidRPr="00A23740">
              <w:rPr>
                <w:rFonts w:eastAsia="ヒラギノ明朝 Pro W3"/>
                <w:color w:val="000000"/>
                <w:szCs w:val="24"/>
              </w:rPr>
              <w:t>ıncı fıkra</w:t>
            </w:r>
            <w:r w:rsidRPr="00A23740">
              <w:rPr>
                <w:rFonts w:eastAsia="ヒラギノ明朝 Pro W3"/>
                <w:color w:val="000000"/>
                <w:szCs w:val="24"/>
              </w:rPr>
              <w:t>sı</w:t>
            </w:r>
            <w:r w:rsidR="007F2779" w:rsidRPr="00A23740">
              <w:rPr>
                <w:rFonts w:eastAsia="ヒラギノ明朝 Pro W3"/>
                <w:color w:val="000000"/>
                <w:szCs w:val="24"/>
              </w:rPr>
              <w:t xml:space="preserve">nda ise bu madde kapsamında mahkemece verilen kararların </w:t>
            </w:r>
            <w:r w:rsidR="00A355DD" w:rsidRPr="00366FF5">
              <w:t>385 inci</w:t>
            </w:r>
            <w:r w:rsidR="00A355DD" w:rsidRPr="00A23740">
              <w:rPr>
                <w:rStyle w:val="MaviChar"/>
                <w:lang w:val="tr-TR"/>
              </w:rPr>
              <w:t xml:space="preserve"> </w:t>
            </w:r>
            <w:r w:rsidR="007F2779" w:rsidRPr="00A23740">
              <w:rPr>
                <w:rFonts w:eastAsia="ヒラギノ明朝 Pro W3"/>
                <w:color w:val="000000"/>
                <w:szCs w:val="24"/>
              </w:rPr>
              <w:t>maddeye göre verilen</w:t>
            </w:r>
            <w:r w:rsidR="00CB357F" w:rsidRPr="00A23740">
              <w:rPr>
                <w:rFonts w:eastAsia="ヒラギノ明朝 Pro W3"/>
                <w:color w:val="000000"/>
                <w:szCs w:val="24"/>
              </w:rPr>
              <w:t>ler</w:t>
            </w:r>
            <w:r w:rsidR="007F2779" w:rsidRPr="00A23740">
              <w:rPr>
                <w:rFonts w:eastAsia="ヒラギノ明朝 Pro W3"/>
                <w:color w:val="000000"/>
                <w:szCs w:val="24"/>
              </w:rPr>
              <w:t xml:space="preserve"> dışında kesin </w:t>
            </w:r>
            <w:r w:rsidRPr="00A23740">
              <w:rPr>
                <w:rFonts w:eastAsia="ヒラギノ明朝 Pro W3"/>
                <w:color w:val="000000"/>
                <w:szCs w:val="24"/>
              </w:rPr>
              <w:t>olduğu</w:t>
            </w:r>
            <w:r w:rsidR="004A4973">
              <w:rPr>
                <w:rFonts w:eastAsia="ヒラギノ明朝 Pro W3"/>
                <w:color w:val="000000"/>
                <w:szCs w:val="24"/>
              </w:rPr>
              <w:t xml:space="preserve"> </w:t>
            </w:r>
            <w:r w:rsidR="007F2779" w:rsidRPr="00A23740">
              <w:rPr>
                <w:rFonts w:eastAsia="ヒラギノ明朝 Pro W3"/>
                <w:color w:val="000000"/>
                <w:szCs w:val="24"/>
              </w:rPr>
              <w:t xml:space="preserve">belirtilmiştir. </w:t>
            </w:r>
          </w:p>
          <w:p w:rsidR="005C3738" w:rsidRPr="00A23740" w:rsidRDefault="005C3738" w:rsidP="009A013D">
            <w:pPr>
              <w:tabs>
                <w:tab w:val="left" w:pos="567"/>
              </w:tabs>
              <w:rPr>
                <w:rFonts w:eastAsia="ヒラギノ明朝 Pro W3"/>
                <w:color w:val="000000"/>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rFonts w:eastAsia="Times New Roman"/>
                <w:i/>
                <w:szCs w:val="24"/>
                <w:lang w:eastAsia="tr-TR"/>
              </w:rPr>
            </w:pPr>
            <w:r w:rsidRPr="00A23740">
              <w:rPr>
                <w:rFonts w:eastAsia="Times New Roman"/>
                <w:i/>
                <w:szCs w:val="24"/>
                <w:lang w:eastAsia="tr-TR"/>
              </w:rPr>
              <w:t>Defter tutulması ve rehinli malların kıymetinin takdiri:</w:t>
            </w:r>
          </w:p>
          <w:p w:rsidR="00AA5C8C" w:rsidRPr="00A23740" w:rsidRDefault="00AA5C8C" w:rsidP="009431FF">
            <w:pPr>
              <w:widowControl w:val="0"/>
              <w:rPr>
                <w:rFonts w:eastAsia="Times New Roman"/>
                <w:b/>
                <w:szCs w:val="24"/>
                <w:lang w:eastAsia="tr-TR"/>
              </w:rPr>
            </w:pPr>
            <w:r w:rsidRPr="00A23740">
              <w:rPr>
                <w:rStyle w:val="KIRMIZIChar"/>
                <w:rFonts w:eastAsia="Calibri"/>
              </w:rPr>
              <w:t>Madde 298- (1) (Değişik: 28/2/2018-7101/26 md.)</w:t>
            </w: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Komiser, görevlendirilmesini müteakip borçlunun mevcudunun bir defterini yapar ve malların kıymetlerini takdir eder. Borçlunun başka yerlerde malları varsa bu muamele o yer icra dairesi marifetiyle yaptırılabilir.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Komiser rehinli malların kıymetinin takdirine ilişkin kararını alacaklıların incelemesine hazır bulundurur</w:t>
            </w:r>
            <w:r w:rsidRPr="00A23740">
              <w:rPr>
                <w:rStyle w:val="KIRMIZIChar"/>
                <w:rFonts w:eastAsia="Calibri"/>
              </w:rPr>
              <w:t>;</w:t>
            </w:r>
            <w:r w:rsidRPr="00A23740">
              <w:rPr>
                <w:rFonts w:eastAsia="Times New Roman"/>
                <w:szCs w:val="24"/>
                <w:lang w:eastAsia="tr-TR"/>
              </w:rPr>
              <w:t xml:space="preserve"> </w:t>
            </w:r>
            <w:r w:rsidRPr="00A23740">
              <w:rPr>
                <w:rStyle w:val="KIRMIZIChar"/>
                <w:rFonts w:eastAsia="Calibri"/>
              </w:rPr>
              <w:t>kıymet takdiri kararı</w:t>
            </w:r>
            <w:r w:rsidRPr="00A23740">
              <w:rPr>
                <w:rFonts w:eastAsia="Times New Roman"/>
                <w:szCs w:val="24"/>
                <w:lang w:eastAsia="tr-TR"/>
              </w:rPr>
              <w:t xml:space="preserve"> alacaklılar toplantısından önce </w:t>
            </w:r>
            <w:r w:rsidRPr="00A23740">
              <w:rPr>
                <w:rStyle w:val="KIRMIZIChar"/>
                <w:rFonts w:eastAsia="Calibri"/>
              </w:rPr>
              <w:t>yazılı olarak</w:t>
            </w:r>
            <w:r w:rsidRPr="00A23740">
              <w:rPr>
                <w:rFonts w:eastAsia="Times New Roman"/>
                <w:szCs w:val="24"/>
                <w:lang w:eastAsia="tr-TR"/>
              </w:rPr>
              <w:t xml:space="preserve"> rehinli alacaklılara ve borçluya </w:t>
            </w:r>
            <w:r w:rsidRPr="00A23740">
              <w:rPr>
                <w:rStyle w:val="KIRMIZIChar"/>
                <w:rFonts w:eastAsia="Calibri"/>
              </w:rPr>
              <w:t>bildirilir</w:t>
            </w:r>
            <w:r w:rsidRPr="00A23740">
              <w:rPr>
                <w:rFonts w:eastAsia="Times New Roman"/>
                <w:szCs w:val="24"/>
                <w:lang w:eastAsia="tr-TR"/>
              </w:rPr>
              <w:t xml:space="preserve">. </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İlgililer, </w:t>
            </w:r>
            <w:r w:rsidRPr="00A23740">
              <w:rPr>
                <w:rStyle w:val="KIRMIZIChar"/>
                <w:rFonts w:eastAsia="Calibri"/>
              </w:rPr>
              <w:t>yedi gün</w:t>
            </w:r>
            <w:r w:rsidRPr="00A23740">
              <w:rPr>
                <w:rFonts w:eastAsia="Times New Roman"/>
                <w:szCs w:val="24"/>
                <w:lang w:eastAsia="tr-TR"/>
              </w:rPr>
              <w:t xml:space="preserve"> içinde ve </w:t>
            </w:r>
            <w:r w:rsidRPr="00A23740">
              <w:rPr>
                <w:rStyle w:val="KIRMIZIChar"/>
                <w:rFonts w:eastAsia="Calibri"/>
              </w:rPr>
              <w:t>masrafını</w:t>
            </w:r>
            <w:r w:rsidRPr="00A23740">
              <w:rPr>
                <w:rFonts w:eastAsia="Times New Roman"/>
                <w:szCs w:val="24"/>
                <w:lang w:eastAsia="tr-TR"/>
              </w:rPr>
              <w:t xml:space="preserve"> önceden vermek kaydıyla, mahkemeden rehinli malların kıymetini yeniden takdir etmesini isteyebilirler. Eğer yeni kıymet takdiri bir alacaklı tarafından istenmiş ve takdir edilen kıymet, </w:t>
            </w:r>
            <w:r w:rsidRPr="00A23740">
              <w:rPr>
                <w:rFonts w:eastAsia="Times New Roman"/>
                <w:b/>
                <w:strike/>
                <w:color w:val="FF0000"/>
                <w:szCs w:val="24"/>
                <w:lang w:eastAsia="tr-TR"/>
              </w:rPr>
              <w:t>kayda değer bir şekilde</w:t>
            </w:r>
            <w:r w:rsidRPr="00A23740">
              <w:rPr>
                <w:rFonts w:eastAsia="Times New Roman"/>
                <w:szCs w:val="24"/>
                <w:lang w:eastAsia="tr-TR"/>
              </w:rPr>
              <w:t xml:space="preserve"> değişmişse alacaklı borçludan masraflarının ödenmesini talep edebilir.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p>
          <w:p w:rsidR="000B3F1E" w:rsidRPr="000B3F1E" w:rsidRDefault="00AA5C8C" w:rsidP="009431FF">
            <w:pPr>
              <w:widowControl w:val="0"/>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Rehinli taşınmaz malların bu madde kapsamındaki kıymet takdiri, </w:t>
            </w:r>
            <w:r w:rsidRPr="00A23740">
              <w:rPr>
                <w:rStyle w:val="KIRMIZIChar"/>
                <w:rFonts w:eastAsia="Calibri"/>
              </w:rPr>
              <w:t>6/12/2012 tarihli ve 6362 sayılı</w:t>
            </w:r>
            <w:r w:rsidRPr="00A23740">
              <w:rPr>
                <w:rFonts w:eastAsia="Times New Roman"/>
                <w:szCs w:val="24"/>
                <w:lang w:eastAsia="tr-TR"/>
              </w:rPr>
              <w:t xml:space="preserve"> Sermaye Piyasası Kanunu uyarınca gayrimenkul değerleme uzmanlığı lisansı ile yetkilendirilen kişilere </w:t>
            </w:r>
            <w:r w:rsidRPr="004A4973">
              <w:rPr>
                <w:rStyle w:val="KIRMIZIChar"/>
                <w:rFonts w:eastAsia="Calibri"/>
              </w:rPr>
              <w:t>yaptırılabilir</w:t>
            </w:r>
            <w:r w:rsidRPr="00A23740">
              <w:rPr>
                <w:rFonts w:eastAsia="Times New Roman"/>
                <w:i/>
                <w:szCs w:val="24"/>
                <w:lang w:eastAsia="tr-TR"/>
              </w:rPr>
              <w:t>.</w:t>
            </w:r>
          </w:p>
        </w:tc>
        <w:tc>
          <w:tcPr>
            <w:tcW w:w="2500" w:type="pct"/>
          </w:tcPr>
          <w:p w:rsidR="00AA5C8C" w:rsidRPr="00A23740" w:rsidRDefault="00AA5C8C" w:rsidP="009431FF">
            <w:pPr>
              <w:widowControl w:val="0"/>
              <w:rPr>
                <w:rFonts w:eastAsia="Times New Roman"/>
                <w:b/>
                <w:szCs w:val="24"/>
                <w:lang w:eastAsia="tr-TR"/>
              </w:rPr>
            </w:pPr>
            <w:r w:rsidRPr="00A23740">
              <w:rPr>
                <w:rFonts w:eastAsia="Times New Roman"/>
                <w:b/>
                <w:szCs w:val="24"/>
                <w:lang w:eastAsia="tr-TR"/>
              </w:rPr>
              <w:t>Defter tutulması ve rehinli malların kıymetinin takdiri</w:t>
            </w:r>
          </w:p>
          <w:p w:rsidR="00AA5C8C" w:rsidRPr="00A23740" w:rsidRDefault="00906824" w:rsidP="009431FF">
            <w:pPr>
              <w:widowControl w:val="0"/>
              <w:rPr>
                <w:rFonts w:eastAsia="Times New Roman"/>
                <w:szCs w:val="24"/>
                <w:lang w:eastAsia="tr-TR"/>
              </w:rPr>
            </w:pPr>
            <w:r w:rsidRPr="00A23740">
              <w:rPr>
                <w:rStyle w:val="MaviChar"/>
                <w:lang w:val="tr-TR"/>
              </w:rPr>
              <w:t>MADDE 390</w:t>
            </w:r>
            <w:r w:rsidR="00AA5C8C" w:rsidRPr="00A23740">
              <w:rPr>
                <w:rStyle w:val="MaviChar"/>
                <w:lang w:val="tr-TR"/>
              </w:rPr>
              <w:t>- (1)</w:t>
            </w:r>
            <w:r w:rsidR="00AA5C8C" w:rsidRPr="00A23740">
              <w:rPr>
                <w:rFonts w:eastAsia="Times New Roman"/>
                <w:szCs w:val="24"/>
                <w:lang w:eastAsia="tr-TR"/>
              </w:rPr>
              <w:t xml:space="preserve"> Komiser, görevlendirilmesini</w:t>
            </w:r>
            <w:r w:rsidR="00B65310" w:rsidRPr="000B3F1E">
              <w:rPr>
                <w:rStyle w:val="MaviChar"/>
              </w:rPr>
              <w:t>n ardından</w:t>
            </w:r>
            <w:r w:rsidR="00AA5C8C" w:rsidRPr="00A23740">
              <w:rPr>
                <w:rFonts w:eastAsia="Times New Roman"/>
                <w:szCs w:val="24"/>
                <w:lang w:eastAsia="tr-TR"/>
              </w:rPr>
              <w:t xml:space="preserve"> borçlunun mevcudunun bir defterini yapar ve malların kıymetlerini takdir eder. Borçlunun başka yerlerde malları varsa</w:t>
            </w:r>
            <w:r w:rsidR="00E84A42" w:rsidRPr="004A4973">
              <w:rPr>
                <w:rStyle w:val="Balk1Char"/>
                <w:rFonts w:eastAsia="ヒラギノ明朝 Pro W3"/>
              </w:rPr>
              <w:t>,</w:t>
            </w:r>
            <w:r w:rsidR="00AA5C8C" w:rsidRPr="00A23740">
              <w:rPr>
                <w:rFonts w:eastAsia="Times New Roman"/>
                <w:szCs w:val="24"/>
                <w:lang w:eastAsia="tr-TR"/>
              </w:rPr>
              <w:t xml:space="preserve"> bu </w:t>
            </w:r>
            <w:r w:rsidR="00E84A42" w:rsidRPr="000B3F1E">
              <w:rPr>
                <w:rStyle w:val="MaviChar"/>
              </w:rPr>
              <w:t>işlem</w:t>
            </w:r>
            <w:r w:rsidR="00AA5C8C" w:rsidRPr="00A23740">
              <w:rPr>
                <w:rFonts w:eastAsia="Times New Roman"/>
                <w:szCs w:val="24"/>
                <w:lang w:eastAsia="tr-TR"/>
              </w:rPr>
              <w:t xml:space="preserve"> o yer icra </w:t>
            </w:r>
            <w:r w:rsidR="00B73523" w:rsidRPr="000B3F1E">
              <w:rPr>
                <w:rStyle w:val="MaviChar"/>
              </w:rPr>
              <w:t>ve iflas</w:t>
            </w:r>
            <w:r w:rsidR="00B73523" w:rsidRPr="00A23740">
              <w:rPr>
                <w:b/>
                <w:bCs/>
                <w:color w:val="0000FF"/>
                <w:szCs w:val="24"/>
                <w:lang w:val="x-none" w:eastAsia="x-none"/>
              </w:rPr>
              <w:t xml:space="preserve"> </w:t>
            </w:r>
            <w:r w:rsidR="00AA5C8C" w:rsidRPr="00A23740">
              <w:rPr>
                <w:rFonts w:eastAsia="Times New Roman"/>
                <w:szCs w:val="24"/>
                <w:lang w:eastAsia="tr-TR"/>
              </w:rPr>
              <w:t>dairesi marifetiyle yaptırılabilir.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rFonts w:eastAsia="Times New Roman"/>
                <w:lang w:val="tr-TR"/>
              </w:rPr>
              <w:t>(2)</w:t>
            </w:r>
            <w:r w:rsidRPr="00A23740">
              <w:rPr>
                <w:rStyle w:val="MaviChar"/>
                <w:b w:val="0"/>
                <w:lang w:val="tr-TR"/>
              </w:rPr>
              <w:t xml:space="preserve"> </w:t>
            </w:r>
            <w:r w:rsidRPr="00A23740">
              <w:rPr>
                <w:rFonts w:eastAsia="Times New Roman"/>
                <w:szCs w:val="24"/>
                <w:lang w:eastAsia="tr-TR"/>
              </w:rPr>
              <w:t>Komiser</w:t>
            </w:r>
            <w:r w:rsidRPr="00A23740">
              <w:rPr>
                <w:rStyle w:val="MaviChar"/>
              </w:rPr>
              <w:t>,</w:t>
            </w:r>
            <w:r w:rsidRPr="00A23740">
              <w:rPr>
                <w:rFonts w:eastAsia="Times New Roman"/>
                <w:szCs w:val="24"/>
                <w:lang w:eastAsia="tr-TR"/>
              </w:rPr>
              <w:t xml:space="preserve"> rehinli malların kıymetinin takdirine ilişkin kararını alacaklıların incelemesine hazır bulundurur </w:t>
            </w:r>
            <w:r w:rsidRPr="00A23740">
              <w:rPr>
                <w:rStyle w:val="MaviChar"/>
              </w:rPr>
              <w:t>ve</w:t>
            </w:r>
            <w:r w:rsidRPr="00A23740">
              <w:rPr>
                <w:rFonts w:eastAsia="Times New Roman"/>
                <w:szCs w:val="24"/>
                <w:lang w:eastAsia="tr-TR"/>
              </w:rPr>
              <w:t xml:space="preserve"> alacaklılar toplantısından önce rehinli alacaklılara ve borçluya </w:t>
            </w:r>
            <w:r w:rsidRPr="00A23740">
              <w:rPr>
                <w:rStyle w:val="MaviChar"/>
              </w:rPr>
              <w:t>tebliğ eder</w:t>
            </w:r>
            <w:r w:rsidRPr="00A23740">
              <w:rPr>
                <w:rFonts w:eastAsia="Times New Roman"/>
                <w:szCs w:val="24"/>
                <w:lang w:eastAsia="tr-TR"/>
              </w:rPr>
              <w:t>.</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b/>
                <w:bCs/>
                <w:color w:val="0000FF"/>
                <w:szCs w:val="24"/>
                <w:lang w:eastAsia="x-none"/>
              </w:rPr>
              <w:t>(3)</w:t>
            </w:r>
            <w:r w:rsidRPr="00A23740">
              <w:rPr>
                <w:bCs/>
                <w:color w:val="0000FF"/>
                <w:szCs w:val="24"/>
                <w:lang w:eastAsia="x-none"/>
              </w:rPr>
              <w:t xml:space="preserve"> </w:t>
            </w:r>
            <w:r w:rsidRPr="00A23740">
              <w:rPr>
                <w:rFonts w:eastAsia="Times New Roman"/>
                <w:szCs w:val="24"/>
                <w:lang w:eastAsia="tr-TR"/>
              </w:rPr>
              <w:t xml:space="preserve">İlgililer, </w:t>
            </w:r>
            <w:r w:rsidRPr="00A23740">
              <w:rPr>
                <w:rStyle w:val="MaviChar"/>
              </w:rPr>
              <w:t>kıymet takdirine ilişkin kararın</w:t>
            </w:r>
            <w:r w:rsidRPr="00A23740">
              <w:rPr>
                <w:rFonts w:eastAsia="Times New Roman"/>
                <w:szCs w:val="24"/>
                <w:lang w:eastAsia="tr-TR"/>
              </w:rPr>
              <w:t xml:space="preserve"> </w:t>
            </w:r>
            <w:r w:rsidRPr="00A23740">
              <w:rPr>
                <w:rStyle w:val="MaviChar"/>
              </w:rPr>
              <w:t>tebliğ</w:t>
            </w:r>
            <w:r w:rsidRPr="00A23740">
              <w:rPr>
                <w:rStyle w:val="MaviChar"/>
                <w:lang w:val="tr-TR"/>
              </w:rPr>
              <w:t>in</w:t>
            </w:r>
            <w:r w:rsidRPr="00A23740">
              <w:rPr>
                <w:rStyle w:val="MaviChar"/>
              </w:rPr>
              <w:t>den itibaren</w:t>
            </w:r>
            <w:r w:rsidRPr="00A23740">
              <w:rPr>
                <w:rFonts w:eastAsia="Times New Roman"/>
                <w:szCs w:val="24"/>
                <w:lang w:eastAsia="tr-TR"/>
              </w:rPr>
              <w:t xml:space="preserve"> </w:t>
            </w:r>
            <w:r w:rsidRPr="00A23740">
              <w:rPr>
                <w:rStyle w:val="MaviChar"/>
                <w:lang w:val="tr-TR"/>
              </w:rPr>
              <w:t>bir hafta</w:t>
            </w:r>
            <w:r w:rsidRPr="00A23740">
              <w:rPr>
                <w:rFonts w:eastAsia="Times New Roman"/>
                <w:szCs w:val="24"/>
                <w:lang w:eastAsia="tr-TR"/>
              </w:rPr>
              <w:t xml:space="preserve"> içinde ve </w:t>
            </w:r>
            <w:r w:rsidRPr="00A23740">
              <w:rPr>
                <w:rStyle w:val="MaviChar"/>
              </w:rPr>
              <w:t>giderini</w:t>
            </w:r>
            <w:r w:rsidRPr="00A23740">
              <w:rPr>
                <w:rFonts w:eastAsia="Times New Roman"/>
                <w:szCs w:val="24"/>
                <w:lang w:eastAsia="tr-TR"/>
              </w:rPr>
              <w:t xml:space="preserve"> önceden vermek kaydıyla, mahkemeden rehinli malların kıymetini yeniden takdir etmesini isteyebilirler. </w:t>
            </w:r>
            <w:r w:rsidRPr="00A23740">
              <w:rPr>
                <w:rStyle w:val="MaviChar"/>
              </w:rPr>
              <w:t>Yeni</w:t>
            </w:r>
            <w:r w:rsidRPr="00A23740">
              <w:rPr>
                <w:rFonts w:eastAsia="Times New Roman"/>
                <w:szCs w:val="24"/>
                <w:lang w:eastAsia="tr-TR"/>
              </w:rPr>
              <w:t xml:space="preserve"> kıymet takdiri bir alacaklı tarafından istenmiş ve takdir edilen kıymet </w:t>
            </w:r>
            <w:r w:rsidRPr="00A23740">
              <w:rPr>
                <w:rStyle w:val="MaviChar"/>
                <w:lang w:val="tr-TR"/>
              </w:rPr>
              <w:t>önemli ölçüde</w:t>
            </w:r>
            <w:r w:rsidRPr="00A23740">
              <w:rPr>
                <w:rFonts w:eastAsia="Times New Roman"/>
                <w:szCs w:val="24"/>
                <w:lang w:eastAsia="tr-TR"/>
              </w:rPr>
              <w:t xml:space="preserve"> değişmişse</w:t>
            </w:r>
            <w:r w:rsidRPr="00A23740">
              <w:rPr>
                <w:rStyle w:val="MaviChar"/>
              </w:rPr>
              <w:t>,</w:t>
            </w:r>
            <w:r w:rsidRPr="00A23740">
              <w:rPr>
                <w:rFonts w:eastAsia="Times New Roman"/>
                <w:szCs w:val="24"/>
                <w:lang w:eastAsia="tr-TR"/>
              </w:rPr>
              <w:t xml:space="preserve"> alacaklı borçludan </w:t>
            </w:r>
            <w:r w:rsidRPr="00A23740">
              <w:rPr>
                <w:rStyle w:val="MaviChar"/>
              </w:rPr>
              <w:t>giderlerinin</w:t>
            </w:r>
            <w:r w:rsidRPr="00A23740">
              <w:rPr>
                <w:rFonts w:eastAsia="Times New Roman"/>
                <w:szCs w:val="24"/>
                <w:lang w:eastAsia="tr-TR"/>
              </w:rPr>
              <w:t xml:space="preserve"> ödenmesini talep edebilir.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b/>
                <w:bCs/>
                <w:color w:val="0000FF"/>
                <w:szCs w:val="24"/>
                <w:lang w:eastAsia="x-none"/>
              </w:rPr>
              <w:t>(4)</w:t>
            </w:r>
            <w:r w:rsidRPr="00A23740">
              <w:rPr>
                <w:bCs/>
                <w:color w:val="0000FF"/>
                <w:szCs w:val="24"/>
                <w:lang w:eastAsia="x-none"/>
              </w:rPr>
              <w:t xml:space="preserve"> </w:t>
            </w:r>
            <w:r w:rsidRPr="00A23740">
              <w:rPr>
                <w:rFonts w:eastAsia="Times New Roman"/>
                <w:szCs w:val="24"/>
                <w:lang w:eastAsia="tr-TR"/>
              </w:rPr>
              <w:t xml:space="preserve">Rehinli taşınmaz malların bu madde kapsamındaki kıymet takdiri, Sermaye Piyasası Kanunu uyarınca gayrimenkul değerleme uzmanlığı lisansı ile yetkilendirilen kişilere </w:t>
            </w:r>
            <w:r w:rsidRPr="004A4973">
              <w:rPr>
                <w:rStyle w:val="Balk1Char"/>
                <w:rFonts w:eastAsia="Calibri"/>
              </w:rPr>
              <w:t>yaptırılır</w:t>
            </w:r>
            <w:r w:rsidRPr="00A23740">
              <w:rPr>
                <w:rFonts w:eastAsia="Times New Roman"/>
                <w:i/>
                <w:szCs w:val="24"/>
                <w:lang w:eastAsia="tr-TR"/>
              </w:rPr>
              <w:t>.</w:t>
            </w:r>
          </w:p>
          <w:p w:rsidR="00AA5C8C" w:rsidRPr="00A23740" w:rsidRDefault="00AA5C8C" w:rsidP="009431FF">
            <w:pPr>
              <w:widowControl w:val="0"/>
              <w:rPr>
                <w:rFonts w:eastAsia="Times New Roman"/>
                <w:szCs w:val="24"/>
                <w:lang w:eastAsia="tr-TR"/>
              </w:rPr>
            </w:pPr>
          </w:p>
          <w:p w:rsidR="00AA5C8C" w:rsidRPr="00A23740" w:rsidRDefault="00AA5C8C" w:rsidP="009431FF">
            <w:pPr>
              <w:pStyle w:val="KIRMIZI"/>
              <w:widowControl w:val="0"/>
              <w:rPr>
                <w:lang w:eastAsia="tr-TR"/>
              </w:rPr>
            </w:pPr>
          </w:p>
        </w:tc>
      </w:tr>
      <w:tr w:rsidR="005C3738" w:rsidRPr="00A23740" w:rsidTr="009431FF">
        <w:tc>
          <w:tcPr>
            <w:tcW w:w="5000" w:type="pct"/>
            <w:gridSpan w:val="2"/>
            <w:shd w:val="clear" w:color="auto" w:fill="DEEAF6"/>
          </w:tcPr>
          <w:p w:rsidR="005D38D0" w:rsidRPr="00A23740" w:rsidRDefault="005D38D0" w:rsidP="009431FF">
            <w:pPr>
              <w:ind w:firstLine="709"/>
              <w:rPr>
                <w:rFonts w:eastAsia="Times New Roman"/>
                <w:b/>
                <w:iCs/>
                <w:szCs w:val="24"/>
                <w:lang w:eastAsia="tr-TR"/>
              </w:rPr>
            </w:pPr>
          </w:p>
          <w:p w:rsidR="00CB357F" w:rsidRPr="00A23740" w:rsidRDefault="000A3157" w:rsidP="009431FF">
            <w:pPr>
              <w:ind w:firstLine="709"/>
              <w:rPr>
                <w:rFonts w:eastAsia="Times New Roman"/>
                <w:b/>
                <w:szCs w:val="24"/>
                <w:lang w:eastAsia="tr-TR"/>
              </w:rPr>
            </w:pPr>
            <w:r w:rsidRPr="00A23740">
              <w:rPr>
                <w:rFonts w:eastAsia="Times New Roman"/>
                <w:b/>
                <w:iCs/>
                <w:szCs w:val="24"/>
                <w:lang w:eastAsia="tr-TR"/>
              </w:rPr>
              <w:t>MADDE 39</w:t>
            </w:r>
            <w:r w:rsidR="003E49A5" w:rsidRPr="00A23740">
              <w:rPr>
                <w:rFonts w:eastAsia="Times New Roman"/>
                <w:b/>
                <w:iCs/>
                <w:szCs w:val="24"/>
                <w:lang w:eastAsia="tr-TR"/>
              </w:rPr>
              <w:t>0</w:t>
            </w:r>
            <w:r w:rsidR="005D38D0" w:rsidRPr="00A23740">
              <w:rPr>
                <w:rFonts w:eastAsia="Times New Roman"/>
                <w:b/>
                <w:iCs/>
                <w:szCs w:val="24"/>
                <w:lang w:eastAsia="tr-TR"/>
              </w:rPr>
              <w:t>-</w:t>
            </w:r>
            <w:r w:rsidR="005D38D0" w:rsidRPr="00A23740">
              <w:rPr>
                <w:rFonts w:eastAsia="Times New Roman"/>
                <w:iCs/>
                <w:szCs w:val="24"/>
                <w:lang w:eastAsia="tr-TR"/>
              </w:rPr>
              <w:t xml:space="preserve"> </w:t>
            </w:r>
            <w:r w:rsidR="00272678" w:rsidRPr="00A23740">
              <w:rPr>
                <w:rFonts w:eastAsia="Times New Roman"/>
                <w:iCs/>
                <w:szCs w:val="24"/>
                <w:lang w:eastAsia="tr-TR"/>
              </w:rPr>
              <w:t xml:space="preserve">Maddeyle, </w:t>
            </w:r>
            <w:r w:rsidR="00272678" w:rsidRPr="00A23740">
              <w:rPr>
                <w:rFonts w:eastAsia="Times New Roman"/>
                <w:szCs w:val="24"/>
                <w:lang w:eastAsia="tr-TR"/>
              </w:rPr>
              <w:t>defter tutulması ve rehinli malların kıymetinin takdirine ilişkin hususlar düzenlenmektedir. Madde</w:t>
            </w:r>
            <w:r w:rsidR="005938B7" w:rsidRPr="00A23740">
              <w:rPr>
                <w:rFonts w:eastAsia="Times New Roman"/>
                <w:szCs w:val="24"/>
                <w:lang w:eastAsia="tr-TR"/>
              </w:rPr>
              <w:t>,</w:t>
            </w:r>
            <w:r w:rsidR="00272678" w:rsidRPr="00A23740">
              <w:rPr>
                <w:rFonts w:eastAsia="Times New Roman"/>
                <w:szCs w:val="24"/>
                <w:lang w:eastAsia="tr-TR"/>
              </w:rPr>
              <w:t xml:space="preserve"> 2004 sayılı Kanunun 298 inci maddesine karşılık gelmektedir.</w:t>
            </w:r>
            <w:r w:rsidR="00272678" w:rsidRPr="00A23740">
              <w:rPr>
                <w:rFonts w:eastAsia="Times New Roman"/>
                <w:b/>
                <w:szCs w:val="24"/>
                <w:lang w:eastAsia="tr-TR"/>
              </w:rPr>
              <w:t xml:space="preserve"> </w:t>
            </w:r>
          </w:p>
          <w:p w:rsidR="00561705" w:rsidRPr="00A23740" w:rsidRDefault="00561705" w:rsidP="009431FF">
            <w:pPr>
              <w:ind w:firstLine="709"/>
              <w:rPr>
                <w:rFonts w:eastAsia="Times New Roman"/>
                <w:b/>
                <w:szCs w:val="24"/>
                <w:lang w:eastAsia="tr-TR"/>
              </w:rPr>
            </w:pPr>
            <w:r w:rsidRPr="00A23740">
              <w:rPr>
                <w:rFonts w:eastAsia="Times New Roman"/>
                <w:iCs/>
                <w:szCs w:val="24"/>
                <w:lang w:eastAsia="tr-TR"/>
              </w:rPr>
              <w:t>Konkordatonun tasdiki yargılamasından o</w:t>
            </w:r>
            <w:r w:rsidR="005D38D0" w:rsidRPr="00A23740">
              <w:rPr>
                <w:rFonts w:eastAsia="Times New Roman"/>
                <w:iCs/>
                <w:szCs w:val="24"/>
                <w:lang w:eastAsia="tr-TR"/>
              </w:rPr>
              <w:t>̈nce komiserce yapılacak ön ha</w:t>
            </w:r>
            <w:r w:rsidRPr="00A23740">
              <w:rPr>
                <w:rFonts w:eastAsia="Times New Roman"/>
                <w:iCs/>
                <w:szCs w:val="24"/>
                <w:lang w:eastAsia="tr-TR"/>
              </w:rPr>
              <w:t>zırlıklar bulunmaktadır. Bu hazırlıkların en önemlisi, borçlunun mallarının deftere kaydedilmesi ve bu malların kıymetlerinin belirlenmesidir. Konkordato komiseri, görevlendirilir görevlendirilm</w:t>
            </w:r>
            <w:r w:rsidR="005D38D0" w:rsidRPr="00A23740">
              <w:rPr>
                <w:rFonts w:eastAsia="Times New Roman"/>
                <w:iCs/>
                <w:szCs w:val="24"/>
                <w:lang w:eastAsia="tr-TR"/>
              </w:rPr>
              <w:t>ez</w:t>
            </w:r>
            <w:r w:rsidR="00CB357F" w:rsidRPr="00A23740">
              <w:rPr>
                <w:rFonts w:eastAsia="Times New Roman"/>
                <w:iCs/>
                <w:szCs w:val="24"/>
                <w:lang w:eastAsia="tr-TR"/>
              </w:rPr>
              <w:t>,</w:t>
            </w:r>
            <w:r w:rsidR="005D38D0" w:rsidRPr="00A23740">
              <w:rPr>
                <w:rFonts w:eastAsia="Times New Roman"/>
                <w:iCs/>
                <w:szCs w:val="24"/>
                <w:lang w:eastAsia="tr-TR"/>
              </w:rPr>
              <w:t xml:space="preserve"> borçlunun mallarının defte</w:t>
            </w:r>
            <w:r w:rsidRPr="00A23740">
              <w:rPr>
                <w:rFonts w:eastAsia="Times New Roman"/>
                <w:iCs/>
                <w:szCs w:val="24"/>
                <w:lang w:eastAsia="tr-TR"/>
              </w:rPr>
              <w:t xml:space="preserve">rini tutarak bütün bu malların </w:t>
            </w:r>
            <w:r w:rsidR="00E84A42" w:rsidRPr="000B3F1E">
              <w:t>kıymetlerini takdir edecektir</w:t>
            </w:r>
            <w:r w:rsidRPr="000B3F1E">
              <w:t>.</w:t>
            </w:r>
            <w:r w:rsidR="00E84A42" w:rsidRPr="000B3F1E">
              <w:t xml:space="preserve"> İhtiyaç h</w:t>
            </w:r>
            <w:r w:rsidR="00D271B8" w:rsidRPr="000B3F1E">
              <w:t>â</w:t>
            </w:r>
            <w:r w:rsidR="00E84A42" w:rsidRPr="000B3F1E">
              <w:t>linde</w:t>
            </w:r>
            <w:r w:rsidR="00450300" w:rsidRPr="000B3F1E">
              <w:t xml:space="preserve"> </w:t>
            </w:r>
            <w:r w:rsidR="00E84A42" w:rsidRPr="000B3F1E">
              <w:t>bu kıymet takdirinin</w:t>
            </w:r>
            <w:r w:rsidR="00450300" w:rsidRPr="000B3F1E">
              <w:t xml:space="preserve"> komiser tarafından atanacak bilirkişi marifetiyle de yapılabileceğinde şüphe yoktur.</w:t>
            </w:r>
            <w:r w:rsidRPr="00A23740">
              <w:rPr>
                <w:rFonts w:eastAsia="Times New Roman"/>
                <w:iCs/>
                <w:szCs w:val="24"/>
                <w:lang w:eastAsia="tr-TR"/>
              </w:rPr>
              <w:t xml:space="preserve"> Şayet borçlunun malları başka bir yerde ise bu değerleme mall</w:t>
            </w:r>
            <w:r w:rsidR="005D38D0" w:rsidRPr="00A23740">
              <w:rPr>
                <w:rFonts w:eastAsia="Times New Roman"/>
                <w:iCs/>
                <w:szCs w:val="24"/>
                <w:lang w:eastAsia="tr-TR"/>
              </w:rPr>
              <w:t>arın bulunduğu yer icra</w:t>
            </w:r>
            <w:r w:rsidR="00B73523" w:rsidRPr="00A23740">
              <w:rPr>
                <w:b/>
                <w:color w:val="538135"/>
              </w:rPr>
              <w:t xml:space="preserve"> </w:t>
            </w:r>
            <w:r w:rsidR="00B73523" w:rsidRPr="000B3F1E">
              <w:t>ve iflas</w:t>
            </w:r>
            <w:r w:rsidR="005D38D0" w:rsidRPr="00A23740">
              <w:rPr>
                <w:rFonts w:eastAsia="Times New Roman"/>
                <w:iCs/>
                <w:szCs w:val="24"/>
                <w:lang w:eastAsia="tr-TR"/>
              </w:rPr>
              <w:t xml:space="preserve"> daire</w:t>
            </w:r>
            <w:r w:rsidRPr="00A23740">
              <w:rPr>
                <w:rFonts w:eastAsia="Times New Roman"/>
                <w:iCs/>
                <w:szCs w:val="24"/>
                <w:lang w:eastAsia="tr-TR"/>
              </w:rPr>
              <w:t xml:space="preserve">since yapılabilecektir. </w:t>
            </w:r>
          </w:p>
          <w:p w:rsidR="00561705" w:rsidRPr="00A23740" w:rsidRDefault="00561705" w:rsidP="009431FF">
            <w:pPr>
              <w:ind w:firstLine="709"/>
              <w:rPr>
                <w:rFonts w:eastAsia="Times New Roman"/>
                <w:iCs/>
                <w:szCs w:val="24"/>
                <w:lang w:eastAsia="tr-TR"/>
              </w:rPr>
            </w:pPr>
            <w:r w:rsidRPr="00A23740">
              <w:rPr>
                <w:rFonts w:eastAsia="Times New Roman"/>
                <w:iCs/>
                <w:szCs w:val="24"/>
                <w:lang w:eastAsia="tr-TR"/>
              </w:rPr>
              <w:t xml:space="preserve">Komiserin yapacağı kıymet takdirinde, rehinli mallar ayrı bir önem arz eder. Maddenin ikinci fıkrası gereğince, komiser rehinli malların da kıymetini takdir eder ve bu </w:t>
            </w:r>
            <w:r w:rsidR="00E93FA3" w:rsidRPr="000B3F1E">
              <w:t>kararı</w:t>
            </w:r>
            <w:r w:rsidR="00E93FA3" w:rsidRPr="00A23740">
              <w:rPr>
                <w:rFonts w:eastAsia="Times New Roman"/>
                <w:iCs/>
                <w:szCs w:val="24"/>
                <w:lang w:eastAsia="tr-TR"/>
              </w:rPr>
              <w:t xml:space="preserve"> </w:t>
            </w:r>
            <w:r w:rsidRPr="00A23740">
              <w:rPr>
                <w:rFonts w:eastAsia="Times New Roman"/>
                <w:iCs/>
                <w:szCs w:val="24"/>
                <w:lang w:eastAsia="tr-TR"/>
              </w:rPr>
              <w:t>alacaklılar toplantısından önce rehinli alacaklılara ve borçluya tebliğ eder.</w:t>
            </w:r>
            <w:r w:rsidR="005D38D0" w:rsidRPr="00A23740">
              <w:rPr>
                <w:rFonts w:eastAsia="Times New Roman"/>
                <w:szCs w:val="24"/>
                <w:lang w:eastAsia="tr-TR"/>
              </w:rPr>
              <w:t xml:space="preserve"> 2004 sayılı Kanun</w:t>
            </w:r>
            <w:r w:rsidRPr="00A23740">
              <w:rPr>
                <w:rFonts w:eastAsia="Times New Roman"/>
                <w:szCs w:val="24"/>
                <w:lang w:eastAsia="tr-TR"/>
              </w:rPr>
              <w:t xml:space="preserve">un 298 inci maddesinde yer alan </w:t>
            </w:r>
            <w:r w:rsidR="006F73B3" w:rsidRPr="00A23740">
              <w:rPr>
                <w:rFonts w:eastAsia="Times New Roman"/>
                <w:szCs w:val="24"/>
                <w:lang w:eastAsia="tr-TR"/>
              </w:rPr>
              <w:t>“</w:t>
            </w:r>
            <w:r w:rsidRPr="00A23740">
              <w:rPr>
                <w:rFonts w:eastAsia="Times New Roman"/>
                <w:szCs w:val="24"/>
                <w:lang w:eastAsia="tr-TR"/>
              </w:rPr>
              <w:t>bildirilir</w:t>
            </w:r>
            <w:r w:rsidR="006F73B3" w:rsidRPr="00A23740">
              <w:rPr>
                <w:rFonts w:eastAsia="Times New Roman"/>
                <w:szCs w:val="24"/>
                <w:lang w:eastAsia="tr-TR"/>
              </w:rPr>
              <w:t>”</w:t>
            </w:r>
            <w:r w:rsidRPr="00A23740">
              <w:rPr>
                <w:rFonts w:eastAsia="Times New Roman"/>
                <w:szCs w:val="24"/>
                <w:lang w:eastAsia="tr-TR"/>
              </w:rPr>
              <w:t xml:space="preserve"> ibaresi </w:t>
            </w:r>
            <w:r w:rsidR="006F73B3" w:rsidRPr="00A23740">
              <w:rPr>
                <w:rFonts w:eastAsia="Times New Roman"/>
                <w:szCs w:val="24"/>
                <w:lang w:eastAsia="tr-TR"/>
              </w:rPr>
              <w:t>“</w:t>
            </w:r>
            <w:r w:rsidRPr="00A23740">
              <w:rPr>
                <w:rFonts w:eastAsia="Times New Roman"/>
                <w:szCs w:val="24"/>
                <w:lang w:eastAsia="tr-TR"/>
              </w:rPr>
              <w:t>tebliğ eder</w:t>
            </w:r>
            <w:r w:rsidR="006F73B3" w:rsidRPr="00A23740">
              <w:rPr>
                <w:rFonts w:eastAsia="Times New Roman"/>
                <w:szCs w:val="24"/>
                <w:lang w:eastAsia="tr-TR"/>
              </w:rPr>
              <w:t>”</w:t>
            </w:r>
            <w:r w:rsidRPr="00A23740">
              <w:rPr>
                <w:rFonts w:eastAsia="Times New Roman"/>
                <w:szCs w:val="24"/>
                <w:lang w:eastAsia="tr-TR"/>
              </w:rPr>
              <w:t xml:space="preserve"> şeklinde değiştirilmiştir. </w:t>
            </w:r>
            <w:r w:rsidR="005D38D0" w:rsidRPr="00A23740">
              <w:rPr>
                <w:rFonts w:eastAsia="Times New Roman"/>
                <w:szCs w:val="24"/>
                <w:lang w:eastAsia="tr-TR"/>
              </w:rPr>
              <w:t>T</w:t>
            </w:r>
            <w:r w:rsidRPr="00A23740">
              <w:rPr>
                <w:rFonts w:eastAsia="Times New Roman"/>
                <w:szCs w:val="24"/>
                <w:lang w:eastAsia="tr-TR"/>
              </w:rPr>
              <w:t>aslağın konkordato komiserinin görevlerinin düzenlendiği</w:t>
            </w:r>
            <w:r w:rsidR="005E2F01" w:rsidRPr="00A23740">
              <w:rPr>
                <w:rFonts w:eastAsia="Times New Roman"/>
                <w:szCs w:val="24"/>
                <w:lang w:eastAsia="tr-TR"/>
              </w:rPr>
              <w:t xml:space="preserve"> </w:t>
            </w:r>
            <w:r w:rsidR="005E2F01" w:rsidRPr="000B3F1E">
              <w:t>379 uncu</w:t>
            </w:r>
            <w:r w:rsidRPr="00A23740">
              <w:rPr>
                <w:rFonts w:eastAsia="Times New Roman"/>
                <w:szCs w:val="24"/>
                <w:lang w:eastAsia="tr-TR"/>
              </w:rPr>
              <w:t xml:space="preserve"> maddesinde komisere tebligat çıkarma yetkisi de verilerek komiserin tebligat çıkarma </w:t>
            </w:r>
            <w:r w:rsidR="006F73B3" w:rsidRPr="00A23740">
              <w:rPr>
                <w:rFonts w:eastAsia="Times New Roman"/>
                <w:szCs w:val="24"/>
                <w:lang w:eastAsia="tr-TR"/>
              </w:rPr>
              <w:t>yet</w:t>
            </w:r>
            <w:r w:rsidRPr="00A23740">
              <w:rPr>
                <w:rFonts w:eastAsia="Times New Roman"/>
                <w:szCs w:val="24"/>
                <w:lang w:eastAsia="tr-TR"/>
              </w:rPr>
              <w:t>ki</w:t>
            </w:r>
            <w:r w:rsidR="006F73B3" w:rsidRPr="00A23740">
              <w:rPr>
                <w:rFonts w:eastAsia="Times New Roman"/>
                <w:szCs w:val="24"/>
                <w:lang w:eastAsia="tr-TR"/>
              </w:rPr>
              <w:t>si</w:t>
            </w:r>
            <w:r w:rsidRPr="00A23740">
              <w:rPr>
                <w:rFonts w:eastAsia="Times New Roman"/>
                <w:szCs w:val="24"/>
                <w:lang w:eastAsia="tr-TR"/>
              </w:rPr>
              <w:t>ne ili</w:t>
            </w:r>
            <w:r w:rsidR="006F73B3" w:rsidRPr="00A23740">
              <w:rPr>
                <w:rFonts w:eastAsia="Times New Roman"/>
                <w:szCs w:val="24"/>
                <w:lang w:eastAsia="tr-TR"/>
              </w:rPr>
              <w:t>ş</w:t>
            </w:r>
            <w:r w:rsidRPr="00A23740">
              <w:rPr>
                <w:rFonts w:eastAsia="Times New Roman"/>
                <w:szCs w:val="24"/>
                <w:lang w:eastAsia="tr-TR"/>
              </w:rPr>
              <w:t xml:space="preserve">kin tereddütler ortadan kaldırılmıştır. Ayrıca dördüncü </w:t>
            </w:r>
            <w:r w:rsidR="006F73B3" w:rsidRPr="00A23740">
              <w:rPr>
                <w:rFonts w:eastAsia="Times New Roman"/>
                <w:szCs w:val="24"/>
                <w:lang w:eastAsia="tr-TR"/>
              </w:rPr>
              <w:t xml:space="preserve">fıkra </w:t>
            </w:r>
            <w:r w:rsidRPr="00A23740">
              <w:rPr>
                <w:rFonts w:eastAsia="Times New Roman"/>
                <w:szCs w:val="24"/>
                <w:lang w:eastAsia="tr-TR"/>
              </w:rPr>
              <w:t>uyarınca rehinli taşınmaz malların bu madde kapsamındaki kıymet takdiri, Sermaye Piyasası Kanunu uyarınca gayrimenkul değerleme uzmanlığı lisansı ile yetkilendirilen kişilere yaptırı</w:t>
            </w:r>
            <w:r w:rsidRPr="00A23740">
              <w:rPr>
                <w:rFonts w:eastAsia="Times New Roman"/>
                <w:bCs/>
                <w:szCs w:val="24"/>
                <w:lang w:eastAsia="tr-TR"/>
              </w:rPr>
              <w:t>l</w:t>
            </w:r>
            <w:r w:rsidRPr="00A23740">
              <w:rPr>
                <w:bCs/>
                <w:szCs w:val="24"/>
                <w:lang w:val="x-none" w:eastAsia="x-none"/>
              </w:rPr>
              <w:t>ır.</w:t>
            </w:r>
            <w:r w:rsidRPr="00A23740">
              <w:rPr>
                <w:b/>
                <w:bCs/>
                <w:szCs w:val="24"/>
                <w:lang w:val="x-none" w:eastAsia="x-none"/>
              </w:rPr>
              <w:t xml:space="preserve"> </w:t>
            </w:r>
            <w:r w:rsidRPr="00A23740">
              <w:rPr>
                <w:rFonts w:eastAsia="Times New Roman"/>
                <w:szCs w:val="24"/>
                <w:lang w:eastAsia="tr-TR"/>
              </w:rPr>
              <w:t xml:space="preserve">Fıkranın son kelimesi olan </w:t>
            </w:r>
            <w:r w:rsidR="006F73B3" w:rsidRPr="00A23740">
              <w:rPr>
                <w:rFonts w:eastAsia="Times New Roman"/>
                <w:szCs w:val="24"/>
                <w:lang w:eastAsia="tr-TR"/>
              </w:rPr>
              <w:t>“</w:t>
            </w:r>
            <w:r w:rsidRPr="00A23740">
              <w:rPr>
                <w:rFonts w:eastAsia="Times New Roman"/>
                <w:szCs w:val="24"/>
                <w:lang w:eastAsia="tr-TR"/>
              </w:rPr>
              <w:t>yaptırılabilir</w:t>
            </w:r>
            <w:r w:rsidR="006F73B3" w:rsidRPr="00A23740">
              <w:rPr>
                <w:rFonts w:eastAsia="Times New Roman"/>
                <w:szCs w:val="24"/>
                <w:lang w:eastAsia="tr-TR"/>
              </w:rPr>
              <w:t>”</w:t>
            </w:r>
            <w:r w:rsidRPr="00A23740">
              <w:rPr>
                <w:rFonts w:eastAsia="Times New Roman"/>
                <w:szCs w:val="24"/>
                <w:lang w:eastAsia="tr-TR"/>
              </w:rPr>
              <w:t xml:space="preserve"> </w:t>
            </w:r>
            <w:r w:rsidR="006F73B3" w:rsidRPr="000B3F1E">
              <w:t>ifadesi</w:t>
            </w:r>
            <w:r w:rsidRPr="00A23740">
              <w:rPr>
                <w:rFonts w:eastAsia="Times New Roman"/>
                <w:szCs w:val="24"/>
                <w:lang w:eastAsia="tr-TR"/>
              </w:rPr>
              <w:t xml:space="preserve"> mecburiyeti ifade edebileceği gibi bir imk</w:t>
            </w:r>
            <w:r w:rsidR="00BE53A8" w:rsidRPr="00A23740">
              <w:rPr>
                <w:rFonts w:eastAsia="Times New Roman"/>
                <w:szCs w:val="24"/>
                <w:lang w:eastAsia="tr-TR"/>
              </w:rPr>
              <w:t>â</w:t>
            </w:r>
            <w:r w:rsidRPr="00A23740">
              <w:rPr>
                <w:rFonts w:eastAsia="Times New Roman"/>
                <w:szCs w:val="24"/>
                <w:lang w:eastAsia="tr-TR"/>
              </w:rPr>
              <w:t>nı da ifade edebilecek bir kelime olduğundan</w:t>
            </w:r>
            <w:r w:rsidR="00CB357F" w:rsidRPr="00A23740">
              <w:rPr>
                <w:rFonts w:eastAsia="Times New Roman"/>
                <w:szCs w:val="24"/>
                <w:lang w:eastAsia="tr-TR"/>
              </w:rPr>
              <w:t>,</w:t>
            </w:r>
            <w:r w:rsidRPr="00A23740">
              <w:rPr>
                <w:rFonts w:eastAsia="Times New Roman"/>
                <w:szCs w:val="24"/>
                <w:lang w:eastAsia="tr-TR"/>
              </w:rPr>
              <w:t xml:space="preserve"> maddenin amacına da uygun olarak bu </w:t>
            </w:r>
            <w:r w:rsidR="006F73B3" w:rsidRPr="000B3F1E">
              <w:t>ibare</w:t>
            </w:r>
            <w:r w:rsidR="006F73B3" w:rsidRPr="00A23740">
              <w:rPr>
                <w:rStyle w:val="YELChar"/>
              </w:rPr>
              <w:t xml:space="preserve"> </w:t>
            </w:r>
            <w:r w:rsidRPr="00A23740">
              <w:rPr>
                <w:rFonts w:eastAsia="Times New Roman"/>
                <w:szCs w:val="24"/>
                <w:lang w:eastAsia="tr-TR"/>
              </w:rPr>
              <w:t>“yaptırılır” şeklinde değiştirilmek suretiyle tereddütler giderilmiştir.</w:t>
            </w:r>
          </w:p>
          <w:p w:rsidR="00561705" w:rsidRPr="00A23740" w:rsidRDefault="00561705" w:rsidP="009431FF">
            <w:pPr>
              <w:ind w:firstLine="709"/>
              <w:rPr>
                <w:rFonts w:eastAsia="Times New Roman"/>
                <w:szCs w:val="24"/>
                <w:lang w:eastAsia="tr-TR"/>
              </w:rPr>
            </w:pPr>
            <w:r w:rsidRPr="00A23740">
              <w:rPr>
                <w:rFonts w:eastAsia="Times New Roman"/>
                <w:iCs/>
                <w:szCs w:val="24"/>
                <w:lang w:eastAsia="tr-TR"/>
              </w:rPr>
              <w:t xml:space="preserve"> Her ilgili, (şayet bu ilgililer rehinli alacaklı veya borçlu ise komiserin kıymet takdirini</w:t>
            </w:r>
            <w:r w:rsidR="00CB357F" w:rsidRPr="00A23740">
              <w:rPr>
                <w:rFonts w:eastAsia="Times New Roman"/>
                <w:iCs/>
                <w:szCs w:val="24"/>
                <w:lang w:eastAsia="tr-TR"/>
              </w:rPr>
              <w:t>n</w:t>
            </w:r>
            <w:r w:rsidRPr="00A23740">
              <w:rPr>
                <w:rFonts w:eastAsia="Times New Roman"/>
                <w:iCs/>
                <w:szCs w:val="24"/>
                <w:lang w:eastAsia="tr-TR"/>
              </w:rPr>
              <w:t xml:space="preserve"> kendilerine</w:t>
            </w:r>
            <w:r w:rsidR="006F73B3" w:rsidRPr="00A23740">
              <w:rPr>
                <w:rFonts w:eastAsia="Times New Roman"/>
                <w:iCs/>
                <w:szCs w:val="24"/>
                <w:lang w:eastAsia="tr-TR"/>
              </w:rPr>
              <w:t xml:space="preserve"> </w:t>
            </w:r>
            <w:r w:rsidR="006F73B3" w:rsidRPr="000B3F1E">
              <w:t>tebliğinden</w:t>
            </w:r>
            <w:r w:rsidRPr="00A23740">
              <w:rPr>
                <w:rFonts w:eastAsia="Times New Roman"/>
                <w:iCs/>
                <w:szCs w:val="24"/>
                <w:lang w:eastAsia="tr-TR"/>
              </w:rPr>
              <w:t xml:space="preserve"> itibaren, diğer ilgililer ise öğrenme tarihinden itibaren) yedi gün içinde ve masrafları önceden karşılamak kaydıyla, </w:t>
            </w:r>
            <w:r w:rsidR="006F73B3" w:rsidRPr="000B3F1E">
              <w:t>iflas</w:t>
            </w:r>
            <w:r w:rsidRPr="00A23740">
              <w:rPr>
                <w:rFonts w:eastAsia="Times New Roman"/>
                <w:iCs/>
                <w:szCs w:val="24"/>
                <w:lang w:eastAsia="tr-TR"/>
              </w:rPr>
              <w:t xml:space="preserve"> mahkemesinden rehinli malların kıymetinin yeniden takdir edilmesini talep edebilir. Eğer yeni kıymet takdiri bir alacaklı tarafından istenmiş ve takdir edilen kıymet, kayda değer bir şekilde değişmişs</w:t>
            </w:r>
            <w:r w:rsidRPr="000B3F1E">
              <w:t>e</w:t>
            </w:r>
            <w:r w:rsidR="006F73B3" w:rsidRPr="000B3F1E">
              <w:t>,</w:t>
            </w:r>
            <w:r w:rsidRPr="00A23740">
              <w:rPr>
                <w:rFonts w:eastAsia="Times New Roman"/>
                <w:iCs/>
                <w:szCs w:val="24"/>
                <w:lang w:eastAsia="tr-TR"/>
              </w:rPr>
              <w:t xml:space="preserve"> alacaklı borçludan masraflarının o</w:t>
            </w:r>
            <w:r w:rsidR="00277039">
              <w:rPr>
                <w:rFonts w:eastAsia="Times New Roman"/>
                <w:iCs/>
                <w:szCs w:val="24"/>
                <w:lang w:eastAsia="tr-TR"/>
              </w:rPr>
              <w:t>̈denmesini talep edebilecektir.</w:t>
            </w:r>
          </w:p>
          <w:p w:rsidR="00182060" w:rsidRPr="00A23740" w:rsidRDefault="00182060" w:rsidP="009A013D">
            <w:pPr>
              <w:tabs>
                <w:tab w:val="left" w:pos="567"/>
              </w:tabs>
              <w:rPr>
                <w:b/>
                <w:bCs/>
                <w:color w:val="C00000"/>
                <w:sz w:val="28"/>
                <w:szCs w:val="28"/>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i/>
                <w:szCs w:val="24"/>
                <w:vertAlign w:val="superscript"/>
              </w:rPr>
            </w:pPr>
            <w:r w:rsidRPr="00A23740">
              <w:rPr>
                <w:i/>
                <w:szCs w:val="24"/>
              </w:rPr>
              <w:t>Alacaklıları alacaklarını bildirmeye davet</w:t>
            </w:r>
            <w:r w:rsidRPr="00A23740">
              <w:rPr>
                <w:rStyle w:val="KIRMIZIChar"/>
                <w:rFonts w:eastAsia="Calibri"/>
              </w:rPr>
              <w:t>:</w:t>
            </w:r>
          </w:p>
          <w:p w:rsidR="00AA5C8C" w:rsidRPr="00A23740" w:rsidRDefault="00AA5C8C" w:rsidP="009431FF">
            <w:pPr>
              <w:rPr>
                <w:b/>
                <w:szCs w:val="24"/>
              </w:rPr>
            </w:pPr>
            <w:r w:rsidRPr="00A23740">
              <w:rPr>
                <w:rStyle w:val="KIRMIZIChar"/>
                <w:rFonts w:eastAsia="Calibri"/>
              </w:rPr>
              <w:t>Madde 299- (1) (Değişik: 28/2/2018-7101/27 md.)</w:t>
            </w:r>
            <w:r w:rsidRPr="00A23740">
              <w:rPr>
                <w:b/>
                <w:szCs w:val="24"/>
              </w:rPr>
              <w:t xml:space="preserve"> </w:t>
            </w:r>
          </w:p>
          <w:p w:rsidR="00AA5C8C" w:rsidRPr="00A23740" w:rsidRDefault="00AA5C8C" w:rsidP="009431FF">
            <w:pPr>
              <w:rPr>
                <w:szCs w:val="24"/>
              </w:rPr>
            </w:pPr>
            <w:r w:rsidRPr="00A23740">
              <w:rPr>
                <w:szCs w:val="24"/>
              </w:rPr>
              <w:t xml:space="preserve">Alacaklılar, komiser tarafından </w:t>
            </w:r>
            <w:r w:rsidRPr="00A23740">
              <w:rPr>
                <w:rStyle w:val="KIRMIZIChar"/>
                <w:rFonts w:eastAsia="Calibri"/>
              </w:rPr>
              <w:t>288 inci</w:t>
            </w:r>
            <w:r w:rsidRPr="00A23740">
              <w:rPr>
                <w:szCs w:val="24"/>
              </w:rPr>
              <w:t xml:space="preserve"> madde uyarınca yapılacak ilânla, ilân tarihinden itibaren </w:t>
            </w:r>
            <w:r w:rsidRPr="00A23740">
              <w:rPr>
                <w:rStyle w:val="KIRMIZIChar"/>
                <w:rFonts w:eastAsia="Calibri"/>
              </w:rPr>
              <w:t>onbeş gün</w:t>
            </w:r>
            <w:r w:rsidRPr="00A23740">
              <w:rPr>
                <w:szCs w:val="24"/>
              </w:rPr>
              <w:t xml:space="preserve"> içinde alacaklarını bildirmeye davet olunur. Ayrıca, ilânın birer sureti adresi belli olan alacaklılara posta ile gönderilir. İlânda, alacaklarını bildirmeyen alacaklıların </w:t>
            </w:r>
            <w:r w:rsidRPr="00A23740">
              <w:rPr>
                <w:rStyle w:val="KIRMIZIChar"/>
                <w:rFonts w:eastAsia="Calibri"/>
              </w:rPr>
              <w:t>bilançoda</w:t>
            </w:r>
            <w:r w:rsidRPr="00A23740">
              <w:rPr>
                <w:szCs w:val="24"/>
              </w:rPr>
              <w:t xml:space="preserve"> kayıtlı olmadıkça konkordato projesinin müzakerelerine kabul edilmeyecekleri ihtarı da yazılır.</w:t>
            </w:r>
          </w:p>
          <w:p w:rsidR="00AA5C8C" w:rsidRPr="00A23740" w:rsidRDefault="00AA5C8C" w:rsidP="009431FF">
            <w:pPr>
              <w:rPr>
                <w:rFonts w:eastAsia="Times New Roman"/>
                <w:i/>
                <w:szCs w:val="24"/>
                <w:lang w:eastAsia="tr-TR"/>
              </w:rPr>
            </w:pPr>
          </w:p>
        </w:tc>
        <w:tc>
          <w:tcPr>
            <w:tcW w:w="2500" w:type="pct"/>
          </w:tcPr>
          <w:p w:rsidR="00AA5C8C" w:rsidRPr="00A23740" w:rsidRDefault="00AA5C8C" w:rsidP="009431FF">
            <w:pPr>
              <w:rPr>
                <w:b/>
                <w:szCs w:val="24"/>
                <w:vertAlign w:val="superscript"/>
              </w:rPr>
            </w:pPr>
            <w:r w:rsidRPr="00A23740">
              <w:rPr>
                <w:b/>
                <w:szCs w:val="24"/>
              </w:rPr>
              <w:t>Alacaklıları alacaklarını bildirmeye davet</w:t>
            </w:r>
          </w:p>
          <w:p w:rsidR="00AA5C8C" w:rsidRPr="00A23740" w:rsidRDefault="006F73B3" w:rsidP="009431FF">
            <w:pPr>
              <w:rPr>
                <w:rStyle w:val="KIRMIZIChar"/>
                <w:rFonts w:eastAsia="Calibri"/>
              </w:rPr>
            </w:pPr>
            <w:r w:rsidRPr="00A23740">
              <w:rPr>
                <w:rStyle w:val="MaviChar"/>
                <w:lang w:val="tr-TR"/>
              </w:rPr>
              <w:t>MADDE 391</w:t>
            </w:r>
            <w:r w:rsidR="00AA5C8C" w:rsidRPr="00A23740">
              <w:rPr>
                <w:rStyle w:val="MaviChar"/>
                <w:lang w:val="tr-TR"/>
              </w:rPr>
              <w:t>- (1)</w:t>
            </w:r>
            <w:r w:rsidR="00AA5C8C" w:rsidRPr="00A23740">
              <w:rPr>
                <w:szCs w:val="24"/>
              </w:rPr>
              <w:t xml:space="preserve"> Alacaklılar, komiser tarafından </w:t>
            </w:r>
            <w:r w:rsidR="00AA5C8C" w:rsidRPr="00A23740">
              <w:rPr>
                <w:rStyle w:val="MaviChar"/>
              </w:rPr>
              <w:t>37</w:t>
            </w:r>
            <w:r w:rsidR="00F42A3C" w:rsidRPr="00A23740">
              <w:rPr>
                <w:rStyle w:val="MaviChar"/>
                <w:lang w:val="tr-TR"/>
              </w:rPr>
              <w:t>7</w:t>
            </w:r>
            <w:r w:rsidR="00AA5C8C" w:rsidRPr="00A23740">
              <w:rPr>
                <w:rStyle w:val="MaviChar"/>
              </w:rPr>
              <w:t xml:space="preserve"> nci</w:t>
            </w:r>
            <w:r w:rsidR="000F5B88" w:rsidRPr="00A23740">
              <w:rPr>
                <w:rStyle w:val="MaviChar"/>
                <w:lang w:val="tr-TR"/>
              </w:rPr>
              <w:t xml:space="preserve"> </w:t>
            </w:r>
            <w:r w:rsidR="00AA5C8C" w:rsidRPr="00A23740">
              <w:rPr>
                <w:rStyle w:val="MaviChar"/>
              </w:rPr>
              <w:t xml:space="preserve">maddenin geçici mühletin ilanına ilişkin hükmü </w:t>
            </w:r>
            <w:r w:rsidR="00AA5C8C" w:rsidRPr="00A23740">
              <w:rPr>
                <w:szCs w:val="24"/>
              </w:rPr>
              <w:t xml:space="preserve"> uyarınca yapılacak il</w:t>
            </w:r>
            <w:r w:rsidR="00930910" w:rsidRPr="00A23740">
              <w:rPr>
                <w:szCs w:val="24"/>
              </w:rPr>
              <w:t>a</w:t>
            </w:r>
            <w:r w:rsidR="00AA5C8C" w:rsidRPr="00A23740">
              <w:rPr>
                <w:szCs w:val="24"/>
              </w:rPr>
              <w:t xml:space="preserve">nla, </w:t>
            </w:r>
            <w:r w:rsidR="00AA5C8C" w:rsidRPr="00A23740">
              <w:rPr>
                <w:rStyle w:val="MaviChar"/>
              </w:rPr>
              <w:t>bu</w:t>
            </w:r>
            <w:r w:rsidR="00AA5C8C" w:rsidRPr="00A23740">
              <w:rPr>
                <w:szCs w:val="24"/>
              </w:rPr>
              <w:t xml:space="preserve"> il</w:t>
            </w:r>
            <w:r w:rsidR="00930910" w:rsidRPr="00A23740">
              <w:rPr>
                <w:szCs w:val="24"/>
              </w:rPr>
              <w:t>a</w:t>
            </w:r>
            <w:r w:rsidR="00AA5C8C" w:rsidRPr="00A23740">
              <w:rPr>
                <w:szCs w:val="24"/>
              </w:rPr>
              <w:t xml:space="preserve">n tarihinden itibaren </w:t>
            </w:r>
            <w:r w:rsidR="00AA5C8C" w:rsidRPr="00A23740">
              <w:rPr>
                <w:rStyle w:val="MaviChar"/>
                <w:lang w:val="tr-TR"/>
              </w:rPr>
              <w:t>iki hafta</w:t>
            </w:r>
            <w:r w:rsidR="00AA5C8C" w:rsidRPr="00A23740">
              <w:rPr>
                <w:szCs w:val="24"/>
              </w:rPr>
              <w:t xml:space="preserve"> içinde alacaklarını bildirmeye davet olunur. İl</w:t>
            </w:r>
            <w:r w:rsidR="00930910" w:rsidRPr="00A23740">
              <w:rPr>
                <w:szCs w:val="24"/>
              </w:rPr>
              <w:t>a</w:t>
            </w:r>
            <w:r w:rsidR="00AA5C8C" w:rsidRPr="00A23740">
              <w:rPr>
                <w:szCs w:val="24"/>
              </w:rPr>
              <w:t xml:space="preserve">nda, alacaklarını bildirmeyen alacaklıların </w:t>
            </w:r>
            <w:r w:rsidR="00AA5C8C" w:rsidRPr="00A23740">
              <w:rPr>
                <w:rStyle w:val="MaviChar"/>
              </w:rPr>
              <w:t>konkordato talebine eklenecek belgeler hakkındaki</w:t>
            </w:r>
            <w:r w:rsidR="000F5B88" w:rsidRPr="00A23740">
              <w:rPr>
                <w:rStyle w:val="MaviChar"/>
                <w:lang w:val="tr-TR"/>
              </w:rPr>
              <w:t xml:space="preserve"> </w:t>
            </w:r>
            <w:r w:rsidR="000F5B88" w:rsidRPr="000B3F1E">
              <w:rPr>
                <w:rStyle w:val="MaviChar"/>
              </w:rPr>
              <w:t>375 inci</w:t>
            </w:r>
            <w:r w:rsidR="00AA5C8C" w:rsidRPr="00A23740">
              <w:rPr>
                <w:szCs w:val="24"/>
              </w:rPr>
              <w:t xml:space="preserve"> </w:t>
            </w:r>
            <w:r w:rsidR="00AA5C8C" w:rsidRPr="00A23740">
              <w:rPr>
                <w:rStyle w:val="MaviChar"/>
              </w:rPr>
              <w:t xml:space="preserve">maddenin birinci fıkrasında sayılan belgelerde </w:t>
            </w:r>
            <w:r w:rsidR="00AA5C8C" w:rsidRPr="00A23740">
              <w:rPr>
                <w:szCs w:val="24"/>
              </w:rPr>
              <w:t>kayıtlı olmadıkça konkordato projesinin müzakerelerine kabul edilmeyecekleri ihtarı da yazılır.</w:t>
            </w:r>
            <w:r w:rsidR="00F42A3C" w:rsidRPr="00A23740">
              <w:rPr>
                <w:szCs w:val="24"/>
              </w:rPr>
              <w:t xml:space="preserve"> </w:t>
            </w:r>
            <w:r w:rsidR="00884B74" w:rsidRPr="000B3F1E">
              <w:rPr>
                <w:rStyle w:val="MaviChar"/>
              </w:rPr>
              <w:t>Öte yandan</w:t>
            </w:r>
            <w:r w:rsidR="00F42A3C" w:rsidRPr="000B3F1E">
              <w:rPr>
                <w:rStyle w:val="MaviChar"/>
              </w:rPr>
              <w:t>, ilanın birer örneği adresi belli olan alacaklılara posta ile gönderilir.</w:t>
            </w:r>
          </w:p>
          <w:p w:rsidR="00AA5C8C" w:rsidRPr="00A23740" w:rsidRDefault="00AA5C8C" w:rsidP="009431FF">
            <w:pPr>
              <w:rPr>
                <w:b/>
                <w:szCs w:val="24"/>
              </w:rPr>
            </w:pPr>
          </w:p>
          <w:p w:rsidR="00AA5C8C" w:rsidRPr="00A23740" w:rsidRDefault="00AA5C8C" w:rsidP="009431FF">
            <w:pPr>
              <w:pStyle w:val="Mavi"/>
              <w:rPr>
                <w:lang w:val="tr-TR"/>
              </w:rPr>
            </w:pPr>
            <w:r w:rsidRPr="00A23740">
              <w:rPr>
                <w:lang w:val="tr-TR"/>
              </w:rPr>
              <w:t>(2) İlanda ayrıca yabancı para alacaklarının geçici mühlet kararının verildiği tarih itibar</w:t>
            </w:r>
            <w:r w:rsidR="00884B74" w:rsidRPr="00A23740">
              <w:rPr>
                <w:lang w:val="tr-TR"/>
              </w:rPr>
              <w:t>ı</w:t>
            </w:r>
            <w:r w:rsidRPr="00A23740">
              <w:rPr>
                <w:lang w:val="tr-TR"/>
              </w:rPr>
              <w:t>yl</w:t>
            </w:r>
            <w:r w:rsidR="00884B74" w:rsidRPr="00A23740">
              <w:rPr>
                <w:lang w:val="tr-TR"/>
              </w:rPr>
              <w:t>a</w:t>
            </w:r>
            <w:r w:rsidRPr="00A23740">
              <w:rPr>
                <w:lang w:val="tr-TR"/>
              </w:rPr>
              <w:t xml:space="preserve"> </w:t>
            </w:r>
            <w:r w:rsidRPr="00A23740">
              <w:t xml:space="preserve">Türkiye Cumhuriyet Merkez Bankası efektif satış kuru </w:t>
            </w:r>
            <w:r w:rsidRPr="00A23740">
              <w:rPr>
                <w:lang w:val="tr-TR"/>
              </w:rPr>
              <w:t>üzerinden Türk lirasına dönüştürüleceği hususu yer alır.</w:t>
            </w:r>
          </w:p>
          <w:p w:rsidR="00AA5C8C" w:rsidRPr="00A23740" w:rsidRDefault="00AA5C8C" w:rsidP="009431FF">
            <w:pPr>
              <w:pStyle w:val="YEL"/>
              <w:rPr>
                <w:lang w:val="tr-TR"/>
              </w:rPr>
            </w:pPr>
          </w:p>
        </w:tc>
      </w:tr>
      <w:tr w:rsidR="005C3738" w:rsidRPr="00A23740" w:rsidTr="009431FF">
        <w:tc>
          <w:tcPr>
            <w:tcW w:w="5000" w:type="pct"/>
            <w:gridSpan w:val="2"/>
            <w:shd w:val="clear" w:color="auto" w:fill="DEEAF6"/>
          </w:tcPr>
          <w:p w:rsidR="00E15985" w:rsidRPr="00A23740" w:rsidRDefault="00E15985" w:rsidP="009431FF">
            <w:pPr>
              <w:ind w:firstLine="709"/>
              <w:rPr>
                <w:rFonts w:eastAsia="Times New Roman"/>
                <w:b/>
                <w:iCs/>
                <w:szCs w:val="24"/>
                <w:lang w:eastAsia="tr-TR"/>
              </w:rPr>
            </w:pPr>
          </w:p>
          <w:p w:rsidR="00561705" w:rsidRPr="00A23740" w:rsidRDefault="007A5245" w:rsidP="009431FF">
            <w:pPr>
              <w:ind w:firstLine="709"/>
              <w:rPr>
                <w:bCs/>
                <w:szCs w:val="24"/>
              </w:rPr>
            </w:pPr>
            <w:r w:rsidRPr="00A23740">
              <w:rPr>
                <w:rFonts w:eastAsia="Times New Roman"/>
                <w:b/>
                <w:iCs/>
                <w:szCs w:val="24"/>
                <w:lang w:eastAsia="tr-TR"/>
              </w:rPr>
              <w:t>MADDE 391</w:t>
            </w:r>
            <w:r w:rsidR="00E15985" w:rsidRPr="00A23740">
              <w:rPr>
                <w:rFonts w:eastAsia="Times New Roman"/>
                <w:b/>
                <w:iCs/>
                <w:szCs w:val="24"/>
                <w:lang w:eastAsia="tr-TR"/>
              </w:rPr>
              <w:t>-</w:t>
            </w:r>
            <w:r w:rsidR="00E15985" w:rsidRPr="00A23740">
              <w:rPr>
                <w:rFonts w:eastAsia="Times New Roman"/>
                <w:iCs/>
                <w:szCs w:val="24"/>
                <w:lang w:eastAsia="tr-TR"/>
              </w:rPr>
              <w:t xml:space="preserve"> Maddeyle, konkordatoda alacaklıların alacaklarını bildirmeye davet edilmesine ilişkin hususlar düzenlenmektedir. </w:t>
            </w:r>
            <w:r w:rsidR="00561705" w:rsidRPr="00A23740">
              <w:rPr>
                <w:bCs/>
                <w:szCs w:val="24"/>
              </w:rPr>
              <w:t xml:space="preserve">Alacaklıların alacaklarını bildirmeye davet edilecekleri ilanın usulü ve </w:t>
            </w:r>
            <w:r w:rsidR="00CB357F" w:rsidRPr="00A23740">
              <w:rPr>
                <w:bCs/>
                <w:szCs w:val="24"/>
              </w:rPr>
              <w:t xml:space="preserve">içeriğinin </w:t>
            </w:r>
            <w:r w:rsidR="00561705" w:rsidRPr="00A23740">
              <w:rPr>
                <w:bCs/>
                <w:szCs w:val="24"/>
              </w:rPr>
              <w:t>düzenle</w:t>
            </w:r>
            <w:r w:rsidR="00E15985" w:rsidRPr="00A23740">
              <w:rPr>
                <w:bCs/>
                <w:szCs w:val="24"/>
              </w:rPr>
              <w:t>ndiği maddede 2004 sayılı Kanun</w:t>
            </w:r>
            <w:r w:rsidR="00561705" w:rsidRPr="00A23740">
              <w:rPr>
                <w:bCs/>
                <w:szCs w:val="24"/>
              </w:rPr>
              <w:t>un 299 uncu maddesinden farklı olarak</w:t>
            </w:r>
            <w:r w:rsidRPr="009A013D">
              <w:rPr>
                <w:rStyle w:val="YELChar"/>
                <w:b w:val="0"/>
                <w:color w:val="000000" w:themeColor="text1"/>
              </w:rPr>
              <w:t>,</w:t>
            </w:r>
            <w:r w:rsidR="00561705" w:rsidRPr="00A23740">
              <w:rPr>
                <w:bCs/>
                <w:szCs w:val="24"/>
              </w:rPr>
              <w:t xml:space="preserve"> alacağını bildirmeyen alacaklıların sadece bilançodan değil </w:t>
            </w:r>
            <w:r w:rsidR="000F5B88" w:rsidRPr="000B3F1E">
              <w:t>375 inci</w:t>
            </w:r>
            <w:r w:rsidR="000F5B88" w:rsidRPr="00A23740">
              <w:rPr>
                <w:szCs w:val="24"/>
              </w:rPr>
              <w:t xml:space="preserve"> </w:t>
            </w:r>
            <w:r w:rsidR="00561705" w:rsidRPr="00A23740">
              <w:rPr>
                <w:bCs/>
                <w:szCs w:val="24"/>
              </w:rPr>
              <w:t xml:space="preserve">maddenin birinci fıkrasında sayılan belgelerden anlaşılmadığı takdirde konkordato projesinin müzakeresine kabul edilmeyecekleri ihtar olunacaktır. Hükümdeki bu genişletme, uygulamada ortaya çıkan sorunlara çözüm getirmek amacıyla kaleme alınmıştır. Zira konkordato komiserlerinin birçok olayda ilan üzerine bildirimi </w:t>
            </w:r>
            <w:r w:rsidRPr="000B3F1E">
              <w:t>yapılmayan</w:t>
            </w:r>
            <w:r w:rsidRPr="00A23740">
              <w:rPr>
                <w:rStyle w:val="KIRMIZIChar"/>
                <w:rFonts w:eastAsia="Calibri"/>
                <w:strike w:val="0"/>
              </w:rPr>
              <w:t xml:space="preserve"> </w:t>
            </w:r>
            <w:r w:rsidR="00561705" w:rsidRPr="00A23740">
              <w:rPr>
                <w:bCs/>
                <w:szCs w:val="24"/>
              </w:rPr>
              <w:t>alacağı, borçlunun</w:t>
            </w:r>
            <w:r w:rsidRPr="00A23740">
              <w:rPr>
                <w:bCs/>
                <w:szCs w:val="24"/>
              </w:rPr>
              <w:t xml:space="preserve"> </w:t>
            </w:r>
            <w:r w:rsidRPr="000B3F1E">
              <w:t>bilançosunun dayanağını oluşturan belge ve kayıtlarda sabit olmak</w:t>
            </w:r>
            <w:r w:rsidR="00D731BB" w:rsidRPr="000B3F1E">
              <w:t xml:space="preserve"> şartıyla,</w:t>
            </w:r>
            <w:r w:rsidRPr="00A23740">
              <w:rPr>
                <w:rStyle w:val="YELChar"/>
              </w:rPr>
              <w:t xml:space="preserve"> </w:t>
            </w:r>
            <w:r w:rsidR="00561705" w:rsidRPr="00A23740">
              <w:rPr>
                <w:bCs/>
                <w:szCs w:val="24"/>
              </w:rPr>
              <w:t xml:space="preserve">nisaba dahil ettikleri görülmüştür. Esasen hakkaniyete uygun çözüm tarzının da bu yönde olduğu sonucuna varılmıştır. </w:t>
            </w:r>
          </w:p>
          <w:p w:rsidR="00561705" w:rsidRPr="00A23740" w:rsidRDefault="00561705" w:rsidP="009431FF">
            <w:pPr>
              <w:pStyle w:val="Mavi"/>
              <w:ind w:firstLine="709"/>
              <w:rPr>
                <w:b w:val="0"/>
                <w:bCs w:val="0"/>
                <w:color w:val="auto"/>
                <w:lang w:val="tr-TR"/>
              </w:rPr>
            </w:pPr>
            <w:r w:rsidRPr="00A23740">
              <w:rPr>
                <w:b w:val="0"/>
                <w:bCs w:val="0"/>
                <w:color w:val="auto"/>
                <w:lang w:val="tr-TR"/>
              </w:rPr>
              <w:t>Maddenin ikinci fıkrası uyarınca, ilanda, yabancı para alacaklarının geçici mühlet k</w:t>
            </w:r>
            <w:r w:rsidR="007A5245" w:rsidRPr="00A23740">
              <w:rPr>
                <w:b w:val="0"/>
                <w:bCs w:val="0"/>
                <w:color w:val="auto"/>
                <w:lang w:val="tr-TR"/>
              </w:rPr>
              <w:t>ararının verildiği tarih itibarıyla</w:t>
            </w:r>
            <w:r w:rsidRPr="00A23740">
              <w:rPr>
                <w:b w:val="0"/>
                <w:bCs w:val="0"/>
                <w:color w:val="auto"/>
                <w:lang w:val="tr-TR"/>
              </w:rPr>
              <w:t xml:space="preserve"> </w:t>
            </w:r>
            <w:r w:rsidRPr="00A23740">
              <w:rPr>
                <w:b w:val="0"/>
                <w:bCs w:val="0"/>
                <w:color w:val="auto"/>
              </w:rPr>
              <w:t xml:space="preserve">Türkiye Cumhuriyet Merkez Bankası efektif satış kuru </w:t>
            </w:r>
            <w:r w:rsidR="00E15985" w:rsidRPr="00A23740">
              <w:rPr>
                <w:b w:val="0"/>
                <w:bCs w:val="0"/>
                <w:color w:val="auto"/>
                <w:lang w:val="tr-TR"/>
              </w:rPr>
              <w:t>üzerinden Türk l</w:t>
            </w:r>
            <w:r w:rsidRPr="00A23740">
              <w:rPr>
                <w:b w:val="0"/>
                <w:bCs w:val="0"/>
                <w:color w:val="auto"/>
                <w:lang w:val="tr-TR"/>
              </w:rPr>
              <w:t>irasına dönüştürüleceği hususu yer alacaktır. Bu düzenleme</w:t>
            </w:r>
            <w:r w:rsidR="007A5245" w:rsidRPr="00A23740">
              <w:rPr>
                <w:b w:val="0"/>
                <w:bCs w:val="0"/>
                <w:color w:val="auto"/>
                <w:lang w:val="tr-TR"/>
              </w:rPr>
              <w:t>yle</w:t>
            </w:r>
            <w:r w:rsidRPr="00A23740">
              <w:rPr>
                <w:b w:val="0"/>
                <w:bCs w:val="0"/>
                <w:color w:val="auto"/>
                <w:lang w:val="tr-TR"/>
              </w:rPr>
              <w:t xml:space="preserve"> konkordato uygulamasında h</w:t>
            </w:r>
            <w:r w:rsidR="00880534" w:rsidRPr="00A23740">
              <w:rPr>
                <w:b w:val="0"/>
                <w:bCs w:val="0"/>
                <w:color w:val="auto"/>
                <w:lang w:val="tr-TR"/>
              </w:rPr>
              <w:t>â</w:t>
            </w:r>
            <w:r w:rsidRPr="00A23740">
              <w:rPr>
                <w:b w:val="0"/>
                <w:bCs w:val="0"/>
                <w:color w:val="auto"/>
                <w:lang w:val="tr-TR"/>
              </w:rPr>
              <w:t>l</w:t>
            </w:r>
            <w:r w:rsidR="007A5245" w:rsidRPr="00A23740">
              <w:rPr>
                <w:b w:val="0"/>
                <w:bCs w:val="0"/>
                <w:color w:val="auto"/>
                <w:lang w:val="tr-TR"/>
              </w:rPr>
              <w:t>â</w:t>
            </w:r>
            <w:r w:rsidRPr="00A23740">
              <w:rPr>
                <w:b w:val="0"/>
                <w:bCs w:val="0"/>
                <w:color w:val="auto"/>
                <w:lang w:val="tr-TR"/>
              </w:rPr>
              <w:t xml:space="preserve"> tartışmalı olan ve uyuşmazlıklara yol açan bir belirsizliğin giderilmesi amaçlanmıştır. </w:t>
            </w:r>
          </w:p>
          <w:p w:rsidR="00561705" w:rsidRPr="00A23740" w:rsidRDefault="00561705" w:rsidP="009431FF">
            <w:pPr>
              <w:pStyle w:val="NormalWeb"/>
              <w:spacing w:before="0" w:beforeAutospacing="0" w:after="0"/>
              <w:ind w:firstLine="709"/>
            </w:pPr>
            <w:r w:rsidRPr="00A23740">
              <w:t>Bilindiği üzere alacak kaydının bazı istisnalar</w:t>
            </w:r>
            <w:r w:rsidRPr="00A23740">
              <w:rPr>
                <w:position w:val="8"/>
              </w:rPr>
              <w:t xml:space="preserve"> </w:t>
            </w:r>
            <w:r w:rsidRPr="00A23740">
              <w:t xml:space="preserve">haricinde Türk </w:t>
            </w:r>
            <w:r w:rsidR="00E15985" w:rsidRPr="00A23740">
              <w:rPr>
                <w:lang w:val="tr-TR"/>
              </w:rPr>
              <w:t>l</w:t>
            </w:r>
            <w:r w:rsidRPr="00A23740">
              <w:t>irası olarak yapılması zorunludur. Bununla  bi</w:t>
            </w:r>
            <w:r w:rsidR="00E15985" w:rsidRPr="00A23740">
              <w:t>rlikte, yabancı</w:t>
            </w:r>
            <w:r w:rsidR="009B4FD3" w:rsidRPr="00A23740">
              <w:rPr>
                <w:lang w:val="tr-TR"/>
              </w:rPr>
              <w:t xml:space="preserve"> </w:t>
            </w:r>
            <w:r w:rsidR="009B4FD3" w:rsidRPr="000B3F1E">
              <w:rPr>
                <w:rFonts w:eastAsia="ヒラギノ明朝 Pro W3"/>
              </w:rPr>
              <w:t>para</w:t>
            </w:r>
            <w:r w:rsidR="009B4FD3" w:rsidRPr="00A23740">
              <w:rPr>
                <w:lang w:val="tr-TR"/>
              </w:rPr>
              <w:t xml:space="preserve"> </w:t>
            </w:r>
            <w:r w:rsidR="00E15985" w:rsidRPr="00A23740">
              <w:t>alacağın</w:t>
            </w:r>
            <w:r w:rsidR="009B4FD3" w:rsidRPr="00A23740">
              <w:rPr>
                <w:lang w:val="tr-TR"/>
              </w:rPr>
              <w:t>ın</w:t>
            </w:r>
            <w:r w:rsidR="00E15985" w:rsidRPr="00A23740">
              <w:t xml:space="preserve"> Türk l</w:t>
            </w:r>
            <w:r w:rsidRPr="00A23740">
              <w:t>irasına hangi tarihteki kur üzerinden çevrileceği hakkında doktrin ve içtihatta süregelen tartışmalar mevcuttur. Bu konuda ileri sürülen bir görüş, alacağı dövize bağlanmış olan alacaklılara konkordatoda ayrıcalık tanınmasını gerektiren yasal bir dayanak bulunmadığını, konkor</w:t>
            </w:r>
            <w:r w:rsidR="00E15985" w:rsidRPr="00A23740">
              <w:t>dato</w:t>
            </w:r>
            <w:r w:rsidRPr="00A23740">
              <w:t>da alacaklılar arasınd</w:t>
            </w:r>
            <w:r w:rsidR="00E15985" w:rsidRPr="00A23740">
              <w:t xml:space="preserve">a eşitlik ilkesi gereğince </w:t>
            </w:r>
            <w:r w:rsidR="00CB4D3D" w:rsidRPr="000B3F1E">
              <w:rPr>
                <w:rFonts w:eastAsia="Calibri"/>
              </w:rPr>
              <w:t>6098 sayılı Kanunun</w:t>
            </w:r>
            <w:r w:rsidR="00CB4D3D" w:rsidRPr="00A23740">
              <w:rPr>
                <w:lang w:val="tr-TR"/>
              </w:rPr>
              <w:t xml:space="preserve"> </w:t>
            </w:r>
            <w:r w:rsidR="00E15985" w:rsidRPr="00A23740">
              <w:rPr>
                <w:lang w:val="tr-TR"/>
              </w:rPr>
              <w:t xml:space="preserve">99 uncu maddesinin </w:t>
            </w:r>
            <w:r w:rsidRPr="00A23740">
              <w:t>konkordatoda uygulanmasının mümkün olmadığını, yabancı para alacağının konkordatoya kayıt tarihinde</w:t>
            </w:r>
            <w:r w:rsidR="00E15985" w:rsidRPr="00A23740">
              <w:t>ki karşılığı üzerinden Türk l</w:t>
            </w:r>
            <w:r w:rsidRPr="00A23740">
              <w:t xml:space="preserve">irasına çevirilmesinin gerektiğini kabul etmektedir. Bu konuda ileri sürülen diğer bir görüş ise konkordatonun tasdiki tarihinin çeviri zamanı olarak esas alınması </w:t>
            </w:r>
            <w:r w:rsidR="009B4FD3" w:rsidRPr="000B3F1E">
              <w:rPr>
                <w:rFonts w:eastAsia="ヒラギノ明朝 Pro W3"/>
              </w:rPr>
              <w:t>gerektiğidir</w:t>
            </w:r>
            <w:r w:rsidRPr="00A23740">
              <w:t xml:space="preserve">. Bir diğer görüş ise yabancı para alacağının </w:t>
            </w:r>
            <w:r w:rsidR="00D731BB" w:rsidRPr="00A23740">
              <w:rPr>
                <w:lang w:val="tr-TR"/>
              </w:rPr>
              <w:t xml:space="preserve">geçici </w:t>
            </w:r>
            <w:r w:rsidRPr="00A23740">
              <w:t>konkordato mühletinin verildiği tarihteki döviz kuru üzerinden Türk lirasına çeviri yapılarak konkordatoya yazdırılması gerektiği</w:t>
            </w:r>
            <w:r w:rsidR="009B4FD3" w:rsidRPr="00A23740">
              <w:rPr>
                <w:lang w:val="tr-TR"/>
              </w:rPr>
              <w:t>dir</w:t>
            </w:r>
            <w:r w:rsidRPr="00A23740">
              <w:t>. Konkordatoda çoğunluğun tespiti</w:t>
            </w:r>
            <w:r w:rsidR="009B4FD3" w:rsidRPr="004A4973">
              <w:rPr>
                <w:rStyle w:val="YELChar"/>
                <w:b w:val="0"/>
                <w:color w:val="000000" w:themeColor="text1"/>
              </w:rPr>
              <w:t>,</w:t>
            </w:r>
            <w:r w:rsidRPr="00A23740">
              <w:t xml:space="preserve"> yabancı para a</w:t>
            </w:r>
            <w:r w:rsidR="00E15985" w:rsidRPr="00A23740">
              <w:t>lacaklarının bir</w:t>
            </w:r>
            <w:r w:rsidR="009B4FD3" w:rsidRPr="00A23740">
              <w:rPr>
                <w:lang w:val="tr-TR"/>
              </w:rPr>
              <w:t xml:space="preserve"> </w:t>
            </w:r>
            <w:r w:rsidR="00E15985" w:rsidRPr="00A23740">
              <w:t>an önce Türk l</w:t>
            </w:r>
            <w:r w:rsidRPr="00A23740">
              <w:t>irasına çevrilmesini, yani alacakların miktarının tespitinde eşit para biriminin kabulünü gerektirdiğini iler</w:t>
            </w:r>
            <w:r w:rsidR="009B4FD3" w:rsidRPr="00A23740">
              <w:rPr>
                <w:lang w:val="tr-TR"/>
              </w:rPr>
              <w:t>i</w:t>
            </w:r>
            <w:r w:rsidRPr="00A23740">
              <w:t xml:space="preserve"> süren bir diğer görüş uyarınca kayıt tarihlerindeki farklılıklardan doğacak eşitsizlikleri önlemek için, yabancı para alacaklarının tüm alacaklılar</w:t>
            </w:r>
            <w:r w:rsidR="00E15985" w:rsidRPr="00A23740">
              <w:t xml:space="preserve"> için ortak bir tarihte Türk l</w:t>
            </w:r>
            <w:r w:rsidRPr="00A23740">
              <w:t>ir</w:t>
            </w:r>
            <w:r w:rsidR="00E15985" w:rsidRPr="00A23740">
              <w:t>asına çevrilmesi uygun olacak,</w:t>
            </w:r>
            <w:r w:rsidRPr="00A23740">
              <w:t xml:space="preserve"> ortak tarih olarak da alacak kayıt süresinin son günü esas alınabilecektir. Bu konuda ileri sürülmüş bir diğer görüş de konkordatoda yabancı para alacağının ülke parasına çevrilmesinde konkordatonun tasdiki tarihindeki kurun esas alınmasının yabancı para alacaklısı ile diğer alac</w:t>
            </w:r>
            <w:r w:rsidR="009B4FD3" w:rsidRPr="00A23740">
              <w:rPr>
                <w:lang w:val="tr-TR"/>
              </w:rPr>
              <w:t>a</w:t>
            </w:r>
            <w:r w:rsidRPr="00A23740">
              <w:t>klı grupları arasındaki menfaatleri bağdaştıran en uygun çözüm olduğunu</w:t>
            </w:r>
            <w:r w:rsidR="00D731BB" w:rsidRPr="00A23740">
              <w:rPr>
                <w:lang w:val="tr-TR"/>
              </w:rPr>
              <w:t>,</w:t>
            </w:r>
            <w:r w:rsidRPr="00A23740">
              <w:t xml:space="preserve"> ancak  konkordato komiserinin alacaklılar toplantısının sonucuyla ilgili olarak mahkemeye sunacağı raporda yabancı para alacaklarını toplantının yapıldığı </w:t>
            </w:r>
            <w:r w:rsidR="00E15985" w:rsidRPr="00A23740">
              <w:t>tarihteki kur üzerinden Türk l</w:t>
            </w:r>
            <w:r w:rsidRPr="00A23740">
              <w:t>irasına çevirmesi gerektiğini, aksi h</w:t>
            </w:r>
            <w:r w:rsidR="00D271B8" w:rsidRPr="00A23740">
              <w:rPr>
                <w:lang w:val="tr-TR"/>
              </w:rPr>
              <w:t>â</w:t>
            </w:r>
            <w:r w:rsidRPr="00A23740">
              <w:t>lde alacaklılar toplantısında hangi alacaklının ne miktar alacak için oy hakkına sahip olduğunun belirlenemeyeceğini; mahkemenin ise konkordatonun tasdikine karar verip vermeyeceğini tasdik tarihindeki kuru dikkate alarak belirlemesi</w:t>
            </w:r>
            <w:r w:rsidR="00E15985" w:rsidRPr="00A23740">
              <w:t xml:space="preserve"> gerektiğini kabul etmektedir.</w:t>
            </w:r>
            <w:r w:rsidRPr="00A23740">
              <w:t xml:space="preserve"> Tüm bu tartışmalar ve görüşler değerlendirilmek suretiyle konkordatoda yabancı para alacaklarının geçici mühlet kararının verildiği tarih itibar</w:t>
            </w:r>
            <w:r w:rsidR="009B4FD3" w:rsidRPr="00A23740">
              <w:rPr>
                <w:lang w:val="tr-TR"/>
              </w:rPr>
              <w:t>ı</w:t>
            </w:r>
            <w:r w:rsidRPr="00A23740">
              <w:t>yl</w:t>
            </w:r>
            <w:r w:rsidR="009B4FD3" w:rsidRPr="00A23740">
              <w:rPr>
                <w:lang w:val="tr-TR"/>
              </w:rPr>
              <w:t>a</w:t>
            </w:r>
            <w:r w:rsidRPr="00A23740">
              <w:t xml:space="preserve"> Türk lirasına dönüştürülmesi yönündeki görüşün, alacaklılar arasındaki eşitlik ve geçici mühletin, konkordato mühletinin etkilerinin ortaya çıkması bakımından bir “milat” olarak kabul edilmesi hususları da dikkate alındığında en uygun çözüm tarzı olduğu benimsenmiştir.</w:t>
            </w:r>
            <w:r w:rsidR="009B4FD3" w:rsidRPr="00A23740">
              <w:rPr>
                <w:lang w:val="tr-TR"/>
              </w:rPr>
              <w:t xml:space="preserve"> </w:t>
            </w:r>
            <w:r w:rsidR="009B4FD3" w:rsidRPr="000B3F1E">
              <w:rPr>
                <w:rFonts w:eastAsia="ヒラギノ明朝 Pro W3"/>
              </w:rPr>
              <w:t>Türk lirasına</w:t>
            </w:r>
            <w:r w:rsidRPr="00A23740">
              <w:t xml:space="preserve"> </w:t>
            </w:r>
            <w:r w:rsidR="009B4FD3" w:rsidRPr="00A23740">
              <w:t xml:space="preserve">çevirinin </w:t>
            </w:r>
            <w:r w:rsidRPr="00A23740">
              <w:t>de geçici mühlet tarihindeki Türkiye Cumhuriyet Merkez Bankası efektif satış kuru üzerinden yapılacağı açıkça hüküm altı</w:t>
            </w:r>
            <w:r w:rsidR="000B3F1E">
              <w:t>na alınmıştır.</w:t>
            </w:r>
          </w:p>
          <w:p w:rsidR="005C3738" w:rsidRPr="00A23740" w:rsidRDefault="005C3738" w:rsidP="009A013D">
            <w:pPr>
              <w:tabs>
                <w:tab w:val="left" w:pos="567"/>
              </w:tabs>
              <w:ind w:firstLine="709"/>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rFonts w:eastAsia="Times New Roman"/>
                <w:i/>
                <w:szCs w:val="24"/>
                <w:lang w:eastAsia="tr-TR"/>
              </w:rPr>
            </w:pPr>
            <w:r w:rsidRPr="00A23740">
              <w:rPr>
                <w:rFonts w:eastAsia="Times New Roman"/>
                <w:i/>
                <w:szCs w:val="24"/>
                <w:lang w:eastAsia="tr-TR"/>
              </w:rPr>
              <w:t xml:space="preserve">Alacaklar hakkında borçlunun </w:t>
            </w:r>
            <w:r w:rsidRPr="00A23740">
              <w:rPr>
                <w:rStyle w:val="KIRMIZIChar"/>
                <w:rFonts w:eastAsia="Calibri"/>
              </w:rPr>
              <w:t>beyana</w:t>
            </w:r>
            <w:r w:rsidRPr="00A23740">
              <w:rPr>
                <w:rFonts w:eastAsia="Times New Roman"/>
                <w:i/>
                <w:szCs w:val="24"/>
                <w:lang w:eastAsia="tr-TR"/>
              </w:rPr>
              <w:t xml:space="preserve"> </w:t>
            </w:r>
            <w:r w:rsidRPr="00A23740">
              <w:rPr>
                <w:rStyle w:val="KIRMIZIChar"/>
                <w:rFonts w:eastAsia="Calibri"/>
              </w:rPr>
              <w:t>daveti:</w:t>
            </w:r>
          </w:p>
          <w:p w:rsidR="00AA5C8C" w:rsidRPr="00A23740" w:rsidRDefault="00AA5C8C" w:rsidP="009431FF">
            <w:pPr>
              <w:rPr>
                <w:rFonts w:eastAsia="Times New Roman"/>
                <w:b/>
                <w:szCs w:val="24"/>
                <w:lang w:eastAsia="tr-TR"/>
              </w:rPr>
            </w:pPr>
            <w:r w:rsidRPr="00A23740">
              <w:rPr>
                <w:rStyle w:val="KIRMIZIChar"/>
                <w:rFonts w:eastAsia="Calibri"/>
              </w:rPr>
              <w:t>Madde 300- (1) (Değişik: 28/2/2018-7101/28 md.)</w:t>
            </w:r>
          </w:p>
          <w:p w:rsidR="00AA5C8C" w:rsidRPr="00A23740" w:rsidRDefault="00AA5C8C" w:rsidP="009431FF">
            <w:pPr>
              <w:rPr>
                <w:rFonts w:eastAsia="Times New Roman"/>
                <w:szCs w:val="24"/>
                <w:lang w:eastAsia="tr-TR"/>
              </w:rPr>
            </w:pPr>
            <w:r w:rsidRPr="00A23740">
              <w:rPr>
                <w:rFonts w:eastAsia="Times New Roman"/>
                <w:szCs w:val="24"/>
                <w:lang w:eastAsia="tr-TR"/>
              </w:rPr>
              <w:t xml:space="preserve">Komiser, borçluyu iddia olunan alacaklar hakkında açıklamada bulunmaya davet eder. Komiser, alacakların varit olup olmadığı hakkında borçlunun defterleri ve belgeleri üzerinde gerekli incelemelerde bulunarak bunların neticesini </w:t>
            </w:r>
            <w:r w:rsidRPr="00A23740">
              <w:rPr>
                <w:rStyle w:val="KIRMIZIChar"/>
                <w:rFonts w:eastAsia="Calibri"/>
              </w:rPr>
              <w:t>302 nci</w:t>
            </w:r>
            <w:r w:rsidRPr="00A23740">
              <w:rPr>
                <w:rFonts w:eastAsia="Times New Roman"/>
                <w:szCs w:val="24"/>
                <w:lang w:eastAsia="tr-TR"/>
              </w:rPr>
              <w:t xml:space="preserve"> madde gereğince vereceği raporda belirtir. </w:t>
            </w:r>
          </w:p>
          <w:p w:rsidR="00AA5C8C" w:rsidRPr="00A23740" w:rsidRDefault="00AA5C8C" w:rsidP="009431FF">
            <w:pPr>
              <w:rPr>
                <w:rFonts w:eastAsia="Times New Roman"/>
                <w:b/>
                <w:szCs w:val="24"/>
                <w:lang w:eastAsia="tr-TR"/>
              </w:rPr>
            </w:pPr>
          </w:p>
          <w:p w:rsidR="00AA5C8C" w:rsidRPr="00A23740" w:rsidRDefault="00AA5C8C" w:rsidP="009431FF">
            <w:pPr>
              <w:rPr>
                <w:rFonts w:eastAsia="Times New Roman"/>
                <w:b/>
                <w:szCs w:val="24"/>
                <w:lang w:eastAsia="tr-TR"/>
              </w:rPr>
            </w:pPr>
          </w:p>
        </w:tc>
        <w:tc>
          <w:tcPr>
            <w:tcW w:w="2500" w:type="pct"/>
          </w:tcPr>
          <w:p w:rsidR="00AA5C8C" w:rsidRPr="00A23740" w:rsidRDefault="00AA5C8C" w:rsidP="009431FF">
            <w:pPr>
              <w:rPr>
                <w:rFonts w:eastAsia="Times New Roman"/>
                <w:b/>
                <w:szCs w:val="24"/>
                <w:lang w:eastAsia="tr-TR"/>
              </w:rPr>
            </w:pPr>
            <w:r w:rsidRPr="00A23740">
              <w:rPr>
                <w:rFonts w:eastAsia="Times New Roman"/>
                <w:b/>
                <w:szCs w:val="24"/>
                <w:lang w:eastAsia="tr-TR"/>
              </w:rPr>
              <w:t xml:space="preserve">Alacaklar hakkında borçlunun </w:t>
            </w:r>
            <w:r w:rsidRPr="00A23740">
              <w:rPr>
                <w:rStyle w:val="MaviChar"/>
              </w:rPr>
              <w:t>beyanı ve çekişmeli</w:t>
            </w:r>
            <w:r w:rsidRPr="00A23740">
              <w:rPr>
                <w:rFonts w:eastAsia="Times New Roman"/>
                <w:b/>
                <w:szCs w:val="24"/>
                <w:lang w:eastAsia="tr-TR"/>
              </w:rPr>
              <w:t xml:space="preserve"> </w:t>
            </w:r>
            <w:r w:rsidRPr="00A23740">
              <w:rPr>
                <w:rStyle w:val="MaviChar"/>
              </w:rPr>
              <w:t>alacaklar</w:t>
            </w:r>
            <w:r w:rsidRPr="00A23740">
              <w:rPr>
                <w:rFonts w:eastAsia="Times New Roman"/>
                <w:b/>
                <w:szCs w:val="24"/>
                <w:lang w:eastAsia="tr-TR"/>
              </w:rPr>
              <w:t xml:space="preserve"> </w:t>
            </w:r>
          </w:p>
          <w:p w:rsidR="00AA5C8C" w:rsidRPr="00A23740" w:rsidRDefault="006A0F6B" w:rsidP="009431FF">
            <w:pPr>
              <w:rPr>
                <w:szCs w:val="24"/>
              </w:rPr>
            </w:pPr>
            <w:r w:rsidRPr="00A23740">
              <w:rPr>
                <w:rStyle w:val="MaviChar"/>
                <w:lang w:val="tr-TR"/>
              </w:rPr>
              <w:t>MADDE 39</w:t>
            </w:r>
            <w:r w:rsidR="003E49A5" w:rsidRPr="00A23740">
              <w:rPr>
                <w:rStyle w:val="MaviChar"/>
                <w:lang w:val="tr-TR"/>
              </w:rPr>
              <w:t>2</w:t>
            </w:r>
            <w:r w:rsidR="00AA5C8C" w:rsidRPr="00A23740">
              <w:rPr>
                <w:rStyle w:val="MaviChar"/>
                <w:lang w:val="tr-TR"/>
              </w:rPr>
              <w:t>- (</w:t>
            </w:r>
            <w:r w:rsidR="00AA5C8C" w:rsidRPr="00A23740">
              <w:rPr>
                <w:rFonts w:eastAsia="Times New Roman"/>
                <w:b/>
                <w:color w:val="0000FF"/>
                <w:szCs w:val="24"/>
                <w:lang w:eastAsia="ar-SA"/>
              </w:rPr>
              <w:t>1)</w:t>
            </w:r>
            <w:r w:rsidR="00AA5C8C" w:rsidRPr="00A23740">
              <w:rPr>
                <w:szCs w:val="24"/>
              </w:rPr>
              <w:t xml:space="preserve"> Komiser, borçluyu </w:t>
            </w:r>
            <w:r w:rsidRPr="000B3F1E">
              <w:rPr>
                <w:rStyle w:val="MaviChar"/>
              </w:rPr>
              <w:t>bildirilen</w:t>
            </w:r>
            <w:r w:rsidR="00AA5C8C" w:rsidRPr="00A23740">
              <w:rPr>
                <w:szCs w:val="24"/>
              </w:rPr>
              <w:t xml:space="preserve"> alacaklar hakkında açıklamada bulunmaya davet eder. Komiser, </w:t>
            </w:r>
            <w:r w:rsidR="00AA5C8C" w:rsidRPr="00A23740">
              <w:rPr>
                <w:rFonts w:eastAsia="Times New Roman"/>
                <w:b/>
                <w:color w:val="0000FF"/>
                <w:szCs w:val="24"/>
                <w:lang w:eastAsia="ar-SA"/>
              </w:rPr>
              <w:t>ayrıca,</w:t>
            </w:r>
            <w:r w:rsidR="00AA5C8C" w:rsidRPr="00A23740">
              <w:rPr>
                <w:szCs w:val="24"/>
              </w:rPr>
              <w:t xml:space="preserve"> alacakların </w:t>
            </w:r>
            <w:r w:rsidRPr="000B3F1E">
              <w:rPr>
                <w:rStyle w:val="MaviChar"/>
              </w:rPr>
              <w:t>mevcudiyeti</w:t>
            </w:r>
            <w:r w:rsidRPr="00A23740">
              <w:rPr>
                <w:szCs w:val="24"/>
              </w:rPr>
              <w:t xml:space="preserve"> </w:t>
            </w:r>
            <w:r w:rsidR="00AA5C8C" w:rsidRPr="00A23740">
              <w:rPr>
                <w:szCs w:val="24"/>
              </w:rPr>
              <w:t>hakkında borçlunun defterleri ve belgeleri üzerinde gerekli incelemelerde bulunarak</w:t>
            </w:r>
            <w:r w:rsidRPr="000B3F1E">
              <w:rPr>
                <w:rStyle w:val="MaviChar"/>
              </w:rPr>
              <w:t>,</w:t>
            </w:r>
            <w:r w:rsidR="00AA5C8C" w:rsidRPr="00A23740">
              <w:rPr>
                <w:szCs w:val="24"/>
              </w:rPr>
              <w:t xml:space="preserve"> bunların </w:t>
            </w:r>
            <w:r w:rsidRPr="000B3F1E">
              <w:rPr>
                <w:rStyle w:val="MaviChar"/>
              </w:rPr>
              <w:t>sonucunu</w:t>
            </w:r>
            <w:r w:rsidR="00AA5C8C" w:rsidRPr="00A23740">
              <w:rPr>
                <w:szCs w:val="24"/>
              </w:rPr>
              <w:t xml:space="preserve"> </w:t>
            </w:r>
            <w:r w:rsidR="00AA5C8C" w:rsidRPr="00A23740">
              <w:rPr>
                <w:rStyle w:val="MaviChar"/>
              </w:rPr>
              <w:t>alacaklılar toplantısına ilişkin</w:t>
            </w:r>
            <w:r w:rsidR="00454B2B" w:rsidRPr="00A23740">
              <w:rPr>
                <w:rStyle w:val="MaviChar"/>
                <w:lang w:val="tr-TR"/>
              </w:rPr>
              <w:t xml:space="preserve"> </w:t>
            </w:r>
            <w:r w:rsidR="00454B2B" w:rsidRPr="000B3F1E">
              <w:rPr>
                <w:rStyle w:val="MaviChar"/>
              </w:rPr>
              <w:t>394 üncü</w:t>
            </w:r>
            <w:r w:rsidR="00AA5C8C" w:rsidRPr="000B3F1E">
              <w:rPr>
                <w:rStyle w:val="MaviChar"/>
              </w:rPr>
              <w:t xml:space="preserve"> </w:t>
            </w:r>
            <w:r w:rsidR="00AA5C8C" w:rsidRPr="00A23740">
              <w:rPr>
                <w:szCs w:val="24"/>
              </w:rPr>
              <w:t>madde gereğince vereceği raporda belirtir.</w:t>
            </w:r>
          </w:p>
          <w:p w:rsidR="00AA5C8C" w:rsidRPr="00A23740" w:rsidRDefault="00AA5C8C" w:rsidP="009431FF">
            <w:pPr>
              <w:rPr>
                <w:szCs w:val="24"/>
              </w:rPr>
            </w:pPr>
          </w:p>
          <w:p w:rsidR="00AA5C8C" w:rsidRPr="00A23740" w:rsidRDefault="00AA5C8C" w:rsidP="009431FF">
            <w:pPr>
              <w:pStyle w:val="Mavi"/>
              <w:rPr>
                <w:rFonts w:eastAsia="Times New Roman"/>
                <w:b w:val="0"/>
                <w:lang w:eastAsia="ar-SA"/>
              </w:rPr>
            </w:pPr>
            <w:r w:rsidRPr="00A23740">
              <w:t>(2)</w:t>
            </w:r>
            <w:r w:rsidRPr="00A23740">
              <w:rPr>
                <w:rStyle w:val="KIRMIZIChar"/>
                <w:rFonts w:eastAsia="Calibri"/>
                <w:b/>
                <w:bCs/>
                <w:strike w:val="0"/>
                <w:color w:val="0000FF"/>
              </w:rPr>
              <w:t xml:space="preserve"> </w:t>
            </w:r>
            <w:r w:rsidRPr="00A23740">
              <w:rPr>
                <w:rStyle w:val="MaviChar"/>
                <w:b/>
                <w:bCs/>
              </w:rPr>
              <w:t>A</w:t>
            </w:r>
            <w:r w:rsidRPr="00A23740">
              <w:t xml:space="preserve">lacaklı, çekişmeli </w:t>
            </w:r>
            <w:r w:rsidRPr="00A23740">
              <w:rPr>
                <w:rStyle w:val="MaviChar"/>
                <w:b/>
                <w:bCs/>
              </w:rPr>
              <w:t>alacağı</w:t>
            </w:r>
            <w:r w:rsidRPr="00A23740">
              <w:t xml:space="preserve"> hakkında </w:t>
            </w:r>
            <w:r w:rsidRPr="00A23740">
              <w:rPr>
                <w:rStyle w:val="MaviChar"/>
                <w:b/>
                <w:bCs/>
              </w:rPr>
              <w:t>mahkemenin</w:t>
            </w:r>
            <w:r w:rsidR="00454B2B" w:rsidRPr="00A23740">
              <w:rPr>
                <w:rStyle w:val="MaviChar"/>
                <w:b/>
                <w:bCs/>
                <w:lang w:val="tr-TR"/>
              </w:rPr>
              <w:t xml:space="preserve"> </w:t>
            </w:r>
            <w:r w:rsidR="00454B2B" w:rsidRPr="000B3F1E">
              <w:t>395 inci</w:t>
            </w:r>
            <w:r w:rsidRPr="00A23740">
              <w:t xml:space="preserve"> maddenin çekişmeli alacaklara ilişkin</w:t>
            </w:r>
            <w:r w:rsidRPr="00A23740">
              <w:rPr>
                <w:lang w:val="tr-TR"/>
              </w:rPr>
              <w:t xml:space="preserve"> beşinci</w:t>
            </w:r>
            <w:r w:rsidRPr="00A23740">
              <w:t xml:space="preserve"> fıkrası uyarınca </w:t>
            </w:r>
            <w:r w:rsidRPr="00A23740">
              <w:rPr>
                <w:rStyle w:val="YELChar"/>
                <w:rFonts w:eastAsia="Calibri"/>
                <w:b/>
                <w:color w:val="0000FF"/>
                <w:lang w:eastAsia="x-none"/>
              </w:rPr>
              <w:t>verdiği</w:t>
            </w:r>
            <w:r w:rsidRPr="00A23740">
              <w:t xml:space="preserve"> karar</w:t>
            </w:r>
            <w:r w:rsidRPr="00A23740">
              <w:rPr>
                <w:rStyle w:val="YELChar"/>
                <w:rFonts w:eastAsia="Calibri"/>
                <w:b/>
                <w:color w:val="0000FF"/>
                <w:lang w:eastAsia="x-none"/>
              </w:rPr>
              <w:t>ı</w:t>
            </w:r>
            <w:r w:rsidRPr="00A23740">
              <w:t xml:space="preserve"> en geç </w:t>
            </w:r>
            <w:r w:rsidRPr="00A23740">
              <w:rPr>
                <w:rStyle w:val="YELChar"/>
                <w:rFonts w:eastAsia="Calibri"/>
                <w:b/>
                <w:color w:val="0000FF"/>
                <w:lang w:eastAsia="x-none"/>
              </w:rPr>
              <w:t>alacaklılar toplantısına</w:t>
            </w:r>
            <w:r w:rsidRPr="00A23740">
              <w:t xml:space="preserve"> kadar </w:t>
            </w:r>
            <w:r w:rsidRPr="00A23740">
              <w:rPr>
                <w:rStyle w:val="YELChar"/>
                <w:rFonts w:eastAsia="Calibri"/>
                <w:b/>
                <w:color w:val="0000FF"/>
                <w:lang w:eastAsia="x-none"/>
              </w:rPr>
              <w:t>getirmezse</w:t>
            </w:r>
            <w:r w:rsidR="006A0F6B" w:rsidRPr="004A4973">
              <w:rPr>
                <w:rStyle w:val="Balk1Char"/>
                <w:rFonts w:eastAsia="ヒラギノ明朝 Pro W3"/>
                <w:b/>
              </w:rPr>
              <w:t>,</w:t>
            </w:r>
            <w:r w:rsidRPr="00A23740">
              <w:t xml:space="preserve"> bu alacak konkordato </w:t>
            </w:r>
            <w:r w:rsidR="00E33738" w:rsidRPr="000B3F1E">
              <w:t>yeter sayısında</w:t>
            </w:r>
            <w:r w:rsidRPr="00A23740">
              <w:t xml:space="preserve"> dikkate alınmaz.</w:t>
            </w:r>
          </w:p>
          <w:p w:rsidR="00AA5C8C" w:rsidRPr="00A23740" w:rsidRDefault="00AA5C8C" w:rsidP="009431FF">
            <w:pPr>
              <w:pStyle w:val="KIRMIZI"/>
              <w:rPr>
                <w:b w:val="0"/>
              </w:rPr>
            </w:pPr>
          </w:p>
        </w:tc>
      </w:tr>
      <w:tr w:rsidR="005C3738" w:rsidRPr="00A23740" w:rsidTr="009431FF">
        <w:tc>
          <w:tcPr>
            <w:tcW w:w="5000" w:type="pct"/>
            <w:gridSpan w:val="2"/>
            <w:shd w:val="clear" w:color="auto" w:fill="DEEAF6"/>
          </w:tcPr>
          <w:p w:rsidR="00E15985" w:rsidRPr="00A23740" w:rsidRDefault="00E15985" w:rsidP="009431FF">
            <w:pPr>
              <w:ind w:firstLine="709"/>
              <w:rPr>
                <w:szCs w:val="24"/>
                <w:lang w:eastAsia="ar-SA"/>
              </w:rPr>
            </w:pPr>
          </w:p>
          <w:p w:rsidR="00561705" w:rsidRPr="00A23740" w:rsidRDefault="005A707C" w:rsidP="009431FF">
            <w:pPr>
              <w:ind w:firstLine="709"/>
              <w:rPr>
                <w:rFonts w:eastAsia="Times New Roman"/>
                <w:b/>
                <w:szCs w:val="24"/>
                <w:lang w:eastAsia="tr-TR"/>
              </w:rPr>
            </w:pPr>
            <w:r w:rsidRPr="00A23740">
              <w:rPr>
                <w:b/>
                <w:szCs w:val="24"/>
                <w:lang w:eastAsia="ar-SA"/>
              </w:rPr>
              <w:t>MADDE 392</w:t>
            </w:r>
            <w:r w:rsidR="00E15985" w:rsidRPr="00A23740">
              <w:rPr>
                <w:b/>
                <w:szCs w:val="24"/>
                <w:lang w:eastAsia="ar-SA"/>
              </w:rPr>
              <w:t>-</w:t>
            </w:r>
            <w:r w:rsidR="00E15985" w:rsidRPr="00A23740">
              <w:rPr>
                <w:szCs w:val="24"/>
                <w:lang w:eastAsia="ar-SA"/>
              </w:rPr>
              <w:t xml:space="preserve"> Maddeyle, alacaklar hakkında borçlunun beyanı ve çekişmeli alacaklara ilişkin hususlar düzenlenmektedir. Madde başlığı 2004 sayılı Kanun</w:t>
            </w:r>
            <w:r w:rsidR="00561705" w:rsidRPr="00A23740">
              <w:rPr>
                <w:szCs w:val="24"/>
                <w:lang w:eastAsia="ar-SA"/>
              </w:rPr>
              <w:t>un 300 üncü maddesinden farklı olarak “Alacaklar hakkında borçlunun beyanı ve çekişmeli alacaklar</w:t>
            </w:r>
            <w:r w:rsidR="00561705" w:rsidRPr="00A23740">
              <w:rPr>
                <w:szCs w:val="24"/>
                <w:lang w:val="x-none" w:eastAsia="x-none"/>
              </w:rPr>
              <w:t xml:space="preserve">” olarak düzenlenmiştir. </w:t>
            </w:r>
          </w:p>
          <w:p w:rsidR="00561705" w:rsidRPr="00A23740" w:rsidRDefault="00561705" w:rsidP="009431FF">
            <w:pPr>
              <w:ind w:firstLine="709"/>
              <w:rPr>
                <w:szCs w:val="24"/>
              </w:rPr>
            </w:pPr>
            <w:r w:rsidRPr="00A23740">
              <w:rPr>
                <w:szCs w:val="24"/>
              </w:rPr>
              <w:t>İflas idaresinden farklı olarak</w:t>
            </w:r>
            <w:r w:rsidR="00D731BB" w:rsidRPr="00A23740">
              <w:rPr>
                <w:szCs w:val="24"/>
              </w:rPr>
              <w:t>,</w:t>
            </w:r>
            <w:r w:rsidRPr="00A23740">
              <w:rPr>
                <w:szCs w:val="24"/>
              </w:rPr>
              <w:t xml:space="preserve"> konkordatoya kaydedilmesi için başvurulan bir alacak hakkında komiserin kabul veya ret yetkisi bulunmamaktadır. Şu hâlde komiser kendisine bildirilen alacakları sadece kaydetmekle yetinip, bu alacakların</w:t>
            </w:r>
            <w:r w:rsidR="00E15985" w:rsidRPr="00A23740">
              <w:rPr>
                <w:szCs w:val="24"/>
              </w:rPr>
              <w:t xml:space="preserve"> gerçek olup olmadığını incel</w:t>
            </w:r>
            <w:r w:rsidRPr="00A23740">
              <w:rPr>
                <w:szCs w:val="24"/>
              </w:rPr>
              <w:t xml:space="preserve">eyerek geçerli bir dayanağı olmayanları </w:t>
            </w:r>
            <w:r w:rsidR="00564022" w:rsidRPr="00A23740">
              <w:rPr>
                <w:szCs w:val="24"/>
              </w:rPr>
              <w:t>reddetme yetkisiyle donatılmamış</w:t>
            </w:r>
            <w:r w:rsidRPr="00A23740">
              <w:rPr>
                <w:szCs w:val="24"/>
              </w:rPr>
              <w:t>tır. Komiser, süresi içinde olmak kaydıyla bildirilen tüm alacakları kaydedecek ve borçlunun bu alacaklar hakkındaki beyanını alacaktır. İşte borçlu bu beyanında, kaydedilmiş olan alacağın tamamına veya bir kısmına itiraz etmek suretiyle alacağı çekişmeli h</w:t>
            </w:r>
            <w:r w:rsidR="00D271B8" w:rsidRPr="00A23740">
              <w:rPr>
                <w:szCs w:val="24"/>
              </w:rPr>
              <w:t>â</w:t>
            </w:r>
            <w:r w:rsidRPr="00A23740">
              <w:rPr>
                <w:szCs w:val="24"/>
              </w:rPr>
              <w:t>le getirebilecektir. Burada konkordato mühletinin ilânı üzerine bildirilen alacakları çekişmeli h</w:t>
            </w:r>
            <w:r w:rsidR="00D271B8" w:rsidRPr="00A23740">
              <w:rPr>
                <w:szCs w:val="24"/>
              </w:rPr>
              <w:t>â</w:t>
            </w:r>
            <w:r w:rsidRPr="00A23740">
              <w:rPr>
                <w:szCs w:val="24"/>
              </w:rPr>
              <w:t>le getirme yetkisi, ifl</w:t>
            </w:r>
            <w:r w:rsidR="005A707C" w:rsidRPr="00A23740">
              <w:rPr>
                <w:szCs w:val="24"/>
              </w:rPr>
              <w:t>a</w:t>
            </w:r>
            <w:r w:rsidRPr="00A23740">
              <w:rPr>
                <w:szCs w:val="24"/>
              </w:rPr>
              <w:t xml:space="preserve">s tasfiyesinden farklı olarak, borçluya verilmiştir. </w:t>
            </w:r>
          </w:p>
          <w:p w:rsidR="00561705" w:rsidRPr="00A23740" w:rsidRDefault="005A707C" w:rsidP="009431FF">
            <w:pPr>
              <w:ind w:firstLine="709"/>
              <w:rPr>
                <w:szCs w:val="24"/>
              </w:rPr>
            </w:pPr>
            <w:r w:rsidRPr="00A23740">
              <w:rPr>
                <w:rFonts w:eastAsia="Times New Roman"/>
                <w:szCs w:val="24"/>
                <w:lang w:eastAsia="tr-TR"/>
              </w:rPr>
              <w:t>Maddenin ikinci fıkrasıyla</w:t>
            </w:r>
            <w:r w:rsidR="00561705" w:rsidRPr="00A23740">
              <w:rPr>
                <w:rFonts w:eastAsia="Times New Roman"/>
                <w:szCs w:val="24"/>
                <w:lang w:eastAsia="tr-TR"/>
              </w:rPr>
              <w:t xml:space="preserve"> a</w:t>
            </w:r>
            <w:r w:rsidR="00561705" w:rsidRPr="00A23740">
              <w:rPr>
                <w:szCs w:val="24"/>
              </w:rPr>
              <w:t>lac</w:t>
            </w:r>
            <w:r w:rsidRPr="00A23740">
              <w:rPr>
                <w:szCs w:val="24"/>
              </w:rPr>
              <w:t>ağı çekişmeli olan alacaklının</w:t>
            </w:r>
            <w:r w:rsidR="00561705" w:rsidRPr="00A23740">
              <w:rPr>
                <w:szCs w:val="24"/>
              </w:rPr>
              <w:t xml:space="preserve">, </w:t>
            </w:r>
            <w:r w:rsidR="00561705" w:rsidRPr="00A23740">
              <w:rPr>
                <w:szCs w:val="24"/>
                <w:lang w:val="x-none" w:eastAsia="x-none"/>
              </w:rPr>
              <w:t>alacağı</w:t>
            </w:r>
            <w:r w:rsidR="00561705" w:rsidRPr="00A23740">
              <w:rPr>
                <w:szCs w:val="24"/>
              </w:rPr>
              <w:t xml:space="preserve"> hakkında </w:t>
            </w:r>
            <w:r w:rsidR="00561705" w:rsidRPr="00A23740">
              <w:rPr>
                <w:szCs w:val="24"/>
                <w:lang w:val="x-none" w:eastAsia="x-none"/>
              </w:rPr>
              <w:t>mahkemenin</w:t>
            </w:r>
            <w:r w:rsidR="00561705" w:rsidRPr="00A23740">
              <w:rPr>
                <w:szCs w:val="24"/>
              </w:rPr>
              <w:t xml:space="preserve"> </w:t>
            </w:r>
            <w:r w:rsidR="00454B2B" w:rsidRPr="000B3F1E">
              <w:t>395 inci</w:t>
            </w:r>
            <w:r w:rsidR="00454B2B" w:rsidRPr="00A23740">
              <w:t xml:space="preserve"> </w:t>
            </w:r>
            <w:r w:rsidR="00561705" w:rsidRPr="00A23740">
              <w:rPr>
                <w:szCs w:val="24"/>
              </w:rPr>
              <w:t xml:space="preserve">maddenin çekişmeli alacaklara ilişkin beşinci fıkrası uyarınca </w:t>
            </w:r>
            <w:r w:rsidR="00561705" w:rsidRPr="00A23740">
              <w:rPr>
                <w:rFonts w:eastAsia="ヒラギノ明朝 Pro W3"/>
                <w:bCs/>
                <w:szCs w:val="24"/>
              </w:rPr>
              <w:t>verdiği</w:t>
            </w:r>
            <w:r w:rsidR="00561705" w:rsidRPr="00A23740">
              <w:rPr>
                <w:b/>
                <w:bCs/>
                <w:szCs w:val="24"/>
              </w:rPr>
              <w:t xml:space="preserve"> </w:t>
            </w:r>
            <w:r w:rsidR="00561705" w:rsidRPr="00A23740">
              <w:rPr>
                <w:szCs w:val="24"/>
              </w:rPr>
              <w:t>karar</w:t>
            </w:r>
            <w:r w:rsidR="00561705" w:rsidRPr="00A23740">
              <w:rPr>
                <w:rFonts w:eastAsia="ヒラギノ明朝 Pro W3"/>
                <w:bCs/>
                <w:szCs w:val="24"/>
              </w:rPr>
              <w:t>ı</w:t>
            </w:r>
            <w:r w:rsidR="00561705" w:rsidRPr="00A23740">
              <w:rPr>
                <w:szCs w:val="24"/>
              </w:rPr>
              <w:t xml:space="preserve"> en geç </w:t>
            </w:r>
            <w:r w:rsidR="00561705" w:rsidRPr="00A23740">
              <w:rPr>
                <w:rFonts w:eastAsia="ヒラギノ明朝 Pro W3"/>
                <w:bCs/>
                <w:szCs w:val="24"/>
              </w:rPr>
              <w:t>alacaklılar toplantısına</w:t>
            </w:r>
            <w:r w:rsidR="00561705" w:rsidRPr="00A23740">
              <w:rPr>
                <w:szCs w:val="24"/>
              </w:rPr>
              <w:t xml:space="preserve"> kadar </w:t>
            </w:r>
            <w:r w:rsidR="00561705" w:rsidRPr="00A23740">
              <w:rPr>
                <w:rFonts w:eastAsia="ヒラギノ明朝 Pro W3"/>
                <w:bCs/>
                <w:szCs w:val="24"/>
              </w:rPr>
              <w:t>getirmezse</w:t>
            </w:r>
            <w:r w:rsidRPr="000B3F1E">
              <w:t>,</w:t>
            </w:r>
            <w:r w:rsidR="00561705" w:rsidRPr="000B3F1E">
              <w:t xml:space="preserve"> </w:t>
            </w:r>
            <w:r w:rsidR="00561705" w:rsidRPr="00A23740">
              <w:rPr>
                <w:szCs w:val="24"/>
              </w:rPr>
              <w:t xml:space="preserve">bu alacağın konkordato </w:t>
            </w:r>
            <w:r w:rsidR="00564022" w:rsidRPr="000B3F1E">
              <w:t>yeter sayısında</w:t>
            </w:r>
            <w:r w:rsidR="00564022" w:rsidRPr="00A23740">
              <w:rPr>
                <w:color w:val="385623"/>
                <w:szCs w:val="24"/>
              </w:rPr>
              <w:t xml:space="preserve"> </w:t>
            </w:r>
            <w:r w:rsidR="00561705" w:rsidRPr="00A23740">
              <w:rPr>
                <w:szCs w:val="24"/>
              </w:rPr>
              <w:t>dikkate alı</w:t>
            </w:r>
            <w:r w:rsidR="00E15985" w:rsidRPr="00A23740">
              <w:rPr>
                <w:szCs w:val="24"/>
              </w:rPr>
              <w:t>nmayacağı esası benimsenmiştir.</w:t>
            </w:r>
          </w:p>
          <w:p w:rsidR="00561705" w:rsidRPr="00A23740" w:rsidRDefault="00E15985" w:rsidP="009431FF">
            <w:pPr>
              <w:ind w:firstLine="709"/>
              <w:rPr>
                <w:rFonts w:eastAsia="Times New Roman"/>
                <w:b/>
                <w:szCs w:val="24"/>
                <w:lang w:eastAsia="tr-TR"/>
              </w:rPr>
            </w:pPr>
            <w:r w:rsidRPr="00A23740">
              <w:rPr>
                <w:szCs w:val="24"/>
              </w:rPr>
              <w:t>2004 sayılı Kanun</w:t>
            </w:r>
            <w:r w:rsidR="00561705" w:rsidRPr="00A23740">
              <w:rPr>
                <w:szCs w:val="24"/>
              </w:rPr>
              <w:t>da mahkemenin, borçlunun reddettiği alacağın hesaba katılıp katılmayacağına ve ne oranda katılacağına karar verebilmesi için bu alacağın mahkeme önüne hangi prosedüre göre ve hangi süre içinde taşınacağına ilişkin bir açıklık bulunmamakta</w:t>
            </w:r>
            <w:r w:rsidR="005A707C" w:rsidRPr="00A23740">
              <w:rPr>
                <w:szCs w:val="24"/>
              </w:rPr>
              <w:t>ydı</w:t>
            </w:r>
            <w:r w:rsidR="00561705" w:rsidRPr="00A23740">
              <w:rPr>
                <w:szCs w:val="24"/>
              </w:rPr>
              <w:t xml:space="preserve">. </w:t>
            </w:r>
            <w:r w:rsidR="00561705" w:rsidRPr="00A23740">
              <w:rPr>
                <w:szCs w:val="24"/>
                <w:lang w:eastAsia="tr-TR"/>
              </w:rPr>
              <w:t>Bu sebeple söz konusu alacaklıların tasdik hakkında karar verilecek duruşmada dahi mahkemeye başvurması mümkün olabilmekte</w:t>
            </w:r>
            <w:r w:rsidR="00D731BB" w:rsidRPr="00A23740">
              <w:rPr>
                <w:szCs w:val="24"/>
                <w:lang w:eastAsia="tr-TR"/>
              </w:rPr>
              <w:t>ydi</w:t>
            </w:r>
            <w:r w:rsidR="00561705" w:rsidRPr="00A23740">
              <w:rPr>
                <w:szCs w:val="24"/>
                <w:lang w:eastAsia="tr-TR"/>
              </w:rPr>
              <w:t>. Bu durum tasdik hakkındaki kararın gecikmesine ve belirsizliğe yol açmakta</w:t>
            </w:r>
            <w:r w:rsidR="005A707C" w:rsidRPr="00A23740">
              <w:rPr>
                <w:szCs w:val="24"/>
                <w:lang w:eastAsia="tr-TR"/>
              </w:rPr>
              <w:t>ydı</w:t>
            </w:r>
            <w:r w:rsidR="00561705" w:rsidRPr="00A23740">
              <w:rPr>
                <w:szCs w:val="24"/>
                <w:lang w:eastAsia="tr-TR"/>
              </w:rPr>
              <w:t>. Bu sebeple mahkemeler önceleri, alacağı borçlu tarafından reddedilen alacaklar hakkında alacaklının başvurusunu beklemek ve bu başvurudan sonra söz konusu alacak hakkında bilirkişi incelemesi yaptırarak bir karar vermek cihetine giderken,  sonradan, söz konusu sakıncaları önlemek için, borçlunun beyanı</w:t>
            </w:r>
            <w:r w:rsidR="00D731BB" w:rsidRPr="00A23740">
              <w:rPr>
                <w:szCs w:val="24"/>
                <w:lang w:eastAsia="tr-TR"/>
              </w:rPr>
              <w:t>yla</w:t>
            </w:r>
            <w:r w:rsidR="00561705" w:rsidRPr="00A23740">
              <w:rPr>
                <w:szCs w:val="24"/>
                <w:lang w:eastAsia="tr-TR"/>
              </w:rPr>
              <w:t xml:space="preserve"> kısmen yahut tamamen reddedilen alacaklar hakkında, alacaklıların herhangi bir başvurusu vukubulmasa dahi</w:t>
            </w:r>
            <w:r w:rsidR="00D731BB" w:rsidRPr="00A23740">
              <w:rPr>
                <w:szCs w:val="24"/>
                <w:lang w:eastAsia="tr-TR"/>
              </w:rPr>
              <w:t>,</w:t>
            </w:r>
            <w:r w:rsidR="00561705" w:rsidRPr="00A23740">
              <w:rPr>
                <w:szCs w:val="24"/>
                <w:lang w:eastAsia="tr-TR"/>
              </w:rPr>
              <w:t xml:space="preserve"> komiser heyetinden inceleme yaparak bir rapor sunmasını istemişlerdir. Böylece çekişmeli alacaklar hakkında alacaklılar toplantısından önceki bir zamanda karar verebilmek mümkün olmuştur. Ancak alacağı borçlu tarafından reddedilen alacaklının bu alacağından vazgeçmesi yahut </w:t>
            </w:r>
            <w:r w:rsidR="00561705" w:rsidRPr="00A23740">
              <w:rPr>
                <w:szCs w:val="24"/>
              </w:rPr>
              <w:t>borçlunun kısmi reddi söz konusu ise alacaklının bu oranda</w:t>
            </w:r>
            <w:r w:rsidR="000C038B" w:rsidRPr="00A23740">
              <w:rPr>
                <w:szCs w:val="24"/>
              </w:rPr>
              <w:t xml:space="preserve"> </w:t>
            </w:r>
            <w:r w:rsidR="000C038B" w:rsidRPr="000B3F1E">
              <w:t>yeter sayısına</w:t>
            </w:r>
            <w:r w:rsidR="00561705" w:rsidRPr="00A23740">
              <w:rPr>
                <w:color w:val="385623"/>
                <w:szCs w:val="24"/>
              </w:rPr>
              <w:t xml:space="preserve"> </w:t>
            </w:r>
            <w:r w:rsidR="00561705" w:rsidRPr="00A23740">
              <w:rPr>
                <w:szCs w:val="24"/>
              </w:rPr>
              <w:t>dahil olmayı kabul etmesi ihtimal dahilinde olduğundan</w:t>
            </w:r>
            <w:r w:rsidR="00D731BB" w:rsidRPr="00A23740">
              <w:rPr>
                <w:szCs w:val="24"/>
              </w:rPr>
              <w:t>,</w:t>
            </w:r>
            <w:r w:rsidR="00561705" w:rsidRPr="00A23740">
              <w:rPr>
                <w:szCs w:val="24"/>
              </w:rPr>
              <w:t xml:space="preserve"> bu usul tasarruf ilkesiyle çelişebilmekte</w:t>
            </w:r>
            <w:r w:rsidR="005A707C" w:rsidRPr="00A23740">
              <w:rPr>
                <w:szCs w:val="24"/>
              </w:rPr>
              <w:t>ydi</w:t>
            </w:r>
            <w:r w:rsidR="00561705" w:rsidRPr="00A23740">
              <w:rPr>
                <w:szCs w:val="24"/>
              </w:rPr>
              <w:t>. Mahkemenin bu konuda karar vermesi için alacağı kısmen ya da tamamen reddedilen alacaklının mahkemeye başvurması usulü tasarruf ilkesi bakımdan daha elverişli görülmüştür. İşte uygulamada gerek süre gerekse usul bakımından belirsizlik arz eden bu h</w:t>
            </w:r>
            <w:r w:rsidR="005A707C" w:rsidRPr="00A23740">
              <w:rPr>
                <w:szCs w:val="24"/>
              </w:rPr>
              <w:t>â</w:t>
            </w:r>
            <w:r w:rsidR="00561705" w:rsidRPr="00A23740">
              <w:rPr>
                <w:szCs w:val="24"/>
              </w:rPr>
              <w:t>l, tasarruf ilkesi</w:t>
            </w:r>
            <w:r w:rsidR="005A707C" w:rsidRPr="00A23740">
              <w:rPr>
                <w:szCs w:val="24"/>
              </w:rPr>
              <w:t>yle</w:t>
            </w:r>
            <w:r w:rsidR="00561705" w:rsidRPr="00A23740">
              <w:rPr>
                <w:szCs w:val="24"/>
              </w:rPr>
              <w:t xml:space="preserve"> de bağdaşan bir çözüm tarzı benimsenmek suretiyle açıklığa kavuşturulmuştur. İkinci fıkra uyarınca, alacağı çekişmeli h</w:t>
            </w:r>
            <w:r w:rsidR="005A707C" w:rsidRPr="00A23740">
              <w:rPr>
                <w:szCs w:val="24"/>
              </w:rPr>
              <w:t>â</w:t>
            </w:r>
            <w:r w:rsidR="00561705" w:rsidRPr="00A23740">
              <w:rPr>
                <w:szCs w:val="24"/>
              </w:rPr>
              <w:t>le gelen alacaklı bu alacak hakkında harekete geçmek ve mahkemeden alacağının konkordato nisabında hangi oranda hesaba katılacağı</w:t>
            </w:r>
            <w:r w:rsidR="00561705" w:rsidRPr="00A23740">
              <w:rPr>
                <w:rFonts w:ascii="ArnoPro" w:hAnsi="ArnoPro"/>
                <w:sz w:val="26"/>
                <w:szCs w:val="26"/>
              </w:rPr>
              <w:t xml:space="preserve"> </w:t>
            </w:r>
            <w:r w:rsidR="00561705" w:rsidRPr="00A23740">
              <w:rPr>
                <w:szCs w:val="24"/>
              </w:rPr>
              <w:t>hususunda bir karar getirmek zorundadır</w:t>
            </w:r>
            <w:r w:rsidR="005A707C" w:rsidRPr="00A23740">
              <w:rPr>
                <w:rFonts w:ascii="ArnoPro" w:hAnsi="ArnoPro"/>
                <w:sz w:val="26"/>
                <w:szCs w:val="26"/>
              </w:rPr>
              <w:t>;</w:t>
            </w:r>
            <w:r w:rsidR="00561705" w:rsidRPr="00A23740">
              <w:rPr>
                <w:rFonts w:ascii="ArnoPro" w:hAnsi="ArnoPro"/>
                <w:sz w:val="26"/>
                <w:szCs w:val="26"/>
              </w:rPr>
              <w:t xml:space="preserve"> </w:t>
            </w:r>
            <w:r w:rsidR="005A707C" w:rsidRPr="00A23740">
              <w:rPr>
                <w:szCs w:val="24"/>
              </w:rPr>
              <w:t>bu</w:t>
            </w:r>
            <w:r w:rsidR="005A707C" w:rsidRPr="00A23740">
              <w:rPr>
                <w:rFonts w:ascii="ArnoPro" w:hAnsi="ArnoPro"/>
                <w:sz w:val="26"/>
                <w:szCs w:val="26"/>
              </w:rPr>
              <w:t xml:space="preserve"> </w:t>
            </w:r>
            <w:r w:rsidR="00561705" w:rsidRPr="00A23740">
              <w:rPr>
                <w:szCs w:val="24"/>
              </w:rPr>
              <w:t>kararı en geç alacaklılar toplantısına kadar getirmemesi h</w:t>
            </w:r>
            <w:r w:rsidR="005A707C" w:rsidRPr="00A23740">
              <w:rPr>
                <w:szCs w:val="24"/>
              </w:rPr>
              <w:t>â</w:t>
            </w:r>
            <w:r w:rsidR="00561705" w:rsidRPr="00A23740">
              <w:rPr>
                <w:szCs w:val="24"/>
              </w:rPr>
              <w:t xml:space="preserve">linde </w:t>
            </w:r>
            <w:r w:rsidR="000C038B" w:rsidRPr="000B3F1E">
              <w:t>yeter sayı</w:t>
            </w:r>
            <w:r w:rsidR="000C038B" w:rsidRPr="00A23740">
              <w:rPr>
                <w:szCs w:val="24"/>
              </w:rPr>
              <w:t xml:space="preserve"> </w:t>
            </w:r>
            <w:r w:rsidR="00D731BB" w:rsidRPr="00A23740">
              <w:rPr>
                <w:szCs w:val="24"/>
              </w:rPr>
              <w:t xml:space="preserve">hesaplamasına </w:t>
            </w:r>
            <w:r w:rsidR="00561705" w:rsidRPr="00A23740">
              <w:rPr>
                <w:szCs w:val="24"/>
              </w:rPr>
              <w:t>dahil edilmeyecektir. Sürenin alacaklılar toplantısı</w:t>
            </w:r>
            <w:r w:rsidR="00D731BB" w:rsidRPr="00A23740">
              <w:rPr>
                <w:szCs w:val="24"/>
              </w:rPr>
              <w:t>yla</w:t>
            </w:r>
            <w:r w:rsidR="00561705" w:rsidRPr="00A23740">
              <w:rPr>
                <w:szCs w:val="24"/>
              </w:rPr>
              <w:t xml:space="preserve"> sınırlandırılması</w:t>
            </w:r>
            <w:r w:rsidR="00585867" w:rsidRPr="00A23740">
              <w:rPr>
                <w:szCs w:val="24"/>
              </w:rPr>
              <w:t>yla,</w:t>
            </w:r>
            <w:r w:rsidR="00561705" w:rsidRPr="00A23740">
              <w:rPr>
                <w:szCs w:val="24"/>
              </w:rPr>
              <w:t xml:space="preserve"> alacaklılar toplantısında borçlunun mali durumu</w:t>
            </w:r>
            <w:r w:rsidR="00D731BB" w:rsidRPr="00A23740">
              <w:rPr>
                <w:szCs w:val="24"/>
              </w:rPr>
              <w:t>yla</w:t>
            </w:r>
            <w:r w:rsidR="00561705" w:rsidRPr="00A23740">
              <w:rPr>
                <w:szCs w:val="24"/>
              </w:rPr>
              <w:t xml:space="preserve"> ilgili net bir</w:t>
            </w:r>
            <w:r w:rsidR="005A707C" w:rsidRPr="00A23740">
              <w:rPr>
                <w:szCs w:val="24"/>
              </w:rPr>
              <w:t xml:space="preserve"> tablonun ortaya konulabilmesi</w:t>
            </w:r>
            <w:r w:rsidR="00561705" w:rsidRPr="00A23740">
              <w:rPr>
                <w:szCs w:val="24"/>
              </w:rPr>
              <w:t xml:space="preserve"> amaçlanmıştır. </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i/>
                <w:szCs w:val="24"/>
                <w:vertAlign w:val="superscript"/>
              </w:rPr>
            </w:pPr>
            <w:r w:rsidRPr="00A23740">
              <w:rPr>
                <w:i/>
                <w:szCs w:val="24"/>
              </w:rPr>
              <w:t>Alacaklılar toplantısına davet</w:t>
            </w:r>
          </w:p>
          <w:p w:rsidR="00AA5C8C" w:rsidRPr="00A23740" w:rsidRDefault="00AA5C8C" w:rsidP="009431FF">
            <w:pPr>
              <w:pStyle w:val="Nor"/>
              <w:tabs>
                <w:tab w:val="clear" w:pos="567"/>
              </w:tabs>
              <w:rPr>
                <w:rFonts w:ascii="Times New Roman" w:hAnsi="Times New Roman"/>
                <w:b/>
                <w:sz w:val="24"/>
                <w:szCs w:val="24"/>
                <w:lang w:val="tr-TR"/>
              </w:rPr>
            </w:pPr>
            <w:r w:rsidRPr="00A23740">
              <w:rPr>
                <w:rStyle w:val="KIRMIZIChar"/>
                <w:lang w:val="tr-TR"/>
              </w:rPr>
              <w:t>Madde 301- (1) (Değişik: 28/2/2018-7101/29 md.)</w:t>
            </w:r>
            <w:r w:rsidRPr="00A23740">
              <w:rPr>
                <w:rFonts w:ascii="Times New Roman" w:hAnsi="Times New Roman"/>
                <w:b/>
                <w:sz w:val="24"/>
                <w:szCs w:val="24"/>
                <w:lang w:val="tr-TR"/>
              </w:rPr>
              <w:t xml:space="preserve"> </w:t>
            </w:r>
          </w:p>
          <w:p w:rsidR="00AA5C8C" w:rsidRPr="00A23740" w:rsidRDefault="00AA5C8C" w:rsidP="009431FF">
            <w:pPr>
              <w:rPr>
                <w:szCs w:val="24"/>
              </w:rPr>
            </w:pPr>
            <w:r w:rsidRPr="00A23740">
              <w:rPr>
                <w:szCs w:val="24"/>
              </w:rPr>
              <w:t xml:space="preserve">Konkordato projesinin hazırlanması, alacakların bildirilmesi ve tahkiki tamamlandıktan sonra komiser, </w:t>
            </w:r>
            <w:r w:rsidRPr="00A23740">
              <w:rPr>
                <w:rStyle w:val="KIRMIZIChar"/>
                <w:rFonts w:eastAsia="Calibri"/>
              </w:rPr>
              <w:t>288 inci</w:t>
            </w:r>
            <w:r w:rsidRPr="00A23740">
              <w:rPr>
                <w:szCs w:val="24"/>
              </w:rPr>
              <w:t xml:space="preserve"> madde uyarınca yapacağı yeni bir ilânla alacaklıları, konkordato projesini müzakere etmek üzere toplanmaya davet eder. </w:t>
            </w:r>
            <w:r w:rsidRPr="00A23740">
              <w:rPr>
                <w:rStyle w:val="KIRMIZIChar"/>
                <w:rFonts w:eastAsia="Calibri"/>
              </w:rPr>
              <w:t>Toplantı günü ilândan en az on beş gün sonra olmak zorundadır. İlanda alacaklıların, toplantıdan önceki yedi gün içinde belgeleri inceleyebilecekleri de bildirilir. Ayrıca, ilânın birer sureti adresi belli olan alacaklılara posta ile gönderilir.</w:t>
            </w:r>
            <w:r w:rsidRPr="00A23740">
              <w:rPr>
                <w:szCs w:val="24"/>
              </w:rPr>
              <w:t xml:space="preserve"> </w:t>
            </w:r>
          </w:p>
          <w:p w:rsidR="00E33738" w:rsidRPr="00A23740" w:rsidRDefault="00E33738" w:rsidP="009431FF">
            <w:pPr>
              <w:rPr>
                <w:rFonts w:eastAsia="Times New Roman"/>
                <w:i/>
                <w:szCs w:val="24"/>
                <w:lang w:eastAsia="tr-TR"/>
              </w:rPr>
            </w:pPr>
          </w:p>
          <w:p w:rsidR="00AA5C8C" w:rsidRPr="00A23740" w:rsidRDefault="00277039" w:rsidP="009431FF">
            <w:pPr>
              <w:rPr>
                <w:szCs w:val="24"/>
              </w:rPr>
            </w:pPr>
            <w:r>
              <w:rPr>
                <w:b/>
                <w:color w:val="FF0000"/>
                <w:szCs w:val="24"/>
              </w:rPr>
              <w:t>M.301/F</w:t>
            </w:r>
            <w:r w:rsidR="00AA5C8C" w:rsidRPr="00A23740">
              <w:rPr>
                <w:b/>
                <w:color w:val="FF0000"/>
                <w:szCs w:val="24"/>
              </w:rPr>
              <w:t>1</w:t>
            </w:r>
            <w:r>
              <w:rPr>
                <w:b/>
                <w:color w:val="FF0000"/>
                <w:szCs w:val="24"/>
              </w:rPr>
              <w:t>.</w:t>
            </w:r>
            <w:r w:rsidR="00AA5C8C" w:rsidRPr="00A23740">
              <w:rPr>
                <w:b/>
                <w:color w:val="FF0000"/>
                <w:szCs w:val="24"/>
              </w:rPr>
              <w:t>C2:</w:t>
            </w:r>
            <w:r w:rsidR="00AA5C8C" w:rsidRPr="00A23740">
              <w:rPr>
                <w:szCs w:val="24"/>
              </w:rPr>
              <w:t xml:space="preserve"> Toplantı günü ilândan en az </w:t>
            </w:r>
            <w:r w:rsidR="00AA5C8C" w:rsidRPr="00A23740">
              <w:rPr>
                <w:rStyle w:val="KIRMIZIChar"/>
                <w:rFonts w:eastAsia="Calibri"/>
              </w:rPr>
              <w:t>on beş gün</w:t>
            </w:r>
            <w:r w:rsidR="00AA5C8C" w:rsidRPr="00A23740">
              <w:rPr>
                <w:szCs w:val="24"/>
              </w:rPr>
              <w:t xml:space="preserve"> sonra olmak </w:t>
            </w:r>
            <w:r w:rsidR="00AA5C8C" w:rsidRPr="00A23740">
              <w:rPr>
                <w:rStyle w:val="KIRMIZIChar"/>
                <w:rFonts w:eastAsia="Calibri"/>
              </w:rPr>
              <w:t>zorundadır</w:t>
            </w:r>
            <w:r w:rsidR="00AA5C8C" w:rsidRPr="00A23740">
              <w:rPr>
                <w:szCs w:val="24"/>
              </w:rPr>
              <w:t>.</w:t>
            </w:r>
          </w:p>
          <w:p w:rsidR="00AA5C8C" w:rsidRPr="00A23740" w:rsidRDefault="00AA5C8C" w:rsidP="009431FF">
            <w:pPr>
              <w:rPr>
                <w:szCs w:val="24"/>
              </w:rPr>
            </w:pPr>
            <w:r w:rsidRPr="00A23740">
              <w:rPr>
                <w:b/>
                <w:color w:val="FF0000"/>
                <w:szCs w:val="24"/>
              </w:rPr>
              <w:t>M.301/</w:t>
            </w:r>
            <w:r w:rsidR="00277039">
              <w:rPr>
                <w:b/>
                <w:color w:val="FF0000"/>
                <w:szCs w:val="24"/>
              </w:rPr>
              <w:t>F</w:t>
            </w:r>
            <w:r w:rsidRPr="00A23740">
              <w:rPr>
                <w:b/>
                <w:color w:val="FF0000"/>
                <w:szCs w:val="24"/>
              </w:rPr>
              <w:t>1</w:t>
            </w:r>
            <w:r w:rsidR="00277039">
              <w:rPr>
                <w:b/>
                <w:color w:val="FF0000"/>
                <w:szCs w:val="24"/>
              </w:rPr>
              <w:t>.</w:t>
            </w:r>
            <w:r w:rsidRPr="00A23740">
              <w:rPr>
                <w:b/>
                <w:color w:val="FF0000"/>
                <w:szCs w:val="24"/>
              </w:rPr>
              <w:t xml:space="preserve">C3: </w:t>
            </w:r>
            <w:r w:rsidRPr="00A23740">
              <w:rPr>
                <w:szCs w:val="24"/>
              </w:rPr>
              <w:t xml:space="preserve">İlanda alacaklıların, toplantıdan önceki </w:t>
            </w:r>
            <w:r w:rsidRPr="00A23740">
              <w:rPr>
                <w:rStyle w:val="KIRMIZIChar"/>
                <w:rFonts w:eastAsia="Calibri"/>
              </w:rPr>
              <w:t>yedi gün</w:t>
            </w:r>
            <w:r w:rsidRPr="00A23740">
              <w:rPr>
                <w:szCs w:val="24"/>
              </w:rPr>
              <w:t xml:space="preserve"> içinde belgeleri inceleyebilecekleri </w:t>
            </w:r>
            <w:r w:rsidRPr="00A23740">
              <w:rPr>
                <w:rStyle w:val="KIRMIZIChar"/>
                <w:rFonts w:eastAsia="Calibri"/>
              </w:rPr>
              <w:t>de</w:t>
            </w:r>
            <w:r w:rsidRPr="00A23740">
              <w:rPr>
                <w:szCs w:val="24"/>
              </w:rPr>
              <w:t xml:space="preserve"> bildirilir. </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Default="00AA5C8C" w:rsidP="009431FF">
            <w:pPr>
              <w:rPr>
                <w:szCs w:val="24"/>
              </w:rPr>
            </w:pPr>
          </w:p>
          <w:p w:rsidR="004A4973" w:rsidRPr="00A23740" w:rsidRDefault="004A4973" w:rsidP="009431FF">
            <w:pPr>
              <w:rPr>
                <w:szCs w:val="24"/>
              </w:rPr>
            </w:pPr>
          </w:p>
          <w:p w:rsidR="00AA5C8C" w:rsidRPr="00A23740" w:rsidRDefault="00AA5C8C" w:rsidP="009431FF">
            <w:pPr>
              <w:rPr>
                <w:szCs w:val="24"/>
              </w:rPr>
            </w:pPr>
            <w:r w:rsidRPr="00A23740">
              <w:rPr>
                <w:b/>
                <w:color w:val="FF0000"/>
                <w:szCs w:val="24"/>
              </w:rPr>
              <w:t>M.301/</w:t>
            </w:r>
            <w:r w:rsidR="00277039">
              <w:rPr>
                <w:b/>
                <w:color w:val="FF0000"/>
                <w:szCs w:val="24"/>
              </w:rPr>
              <w:t>F</w:t>
            </w:r>
            <w:r w:rsidRPr="00A23740">
              <w:rPr>
                <w:b/>
                <w:color w:val="FF0000"/>
                <w:szCs w:val="24"/>
              </w:rPr>
              <w:t>1</w:t>
            </w:r>
            <w:r w:rsidR="00277039">
              <w:rPr>
                <w:b/>
                <w:color w:val="FF0000"/>
                <w:szCs w:val="24"/>
              </w:rPr>
              <w:t>.</w:t>
            </w:r>
            <w:r w:rsidRPr="00A23740">
              <w:rPr>
                <w:b/>
                <w:color w:val="FF0000"/>
                <w:szCs w:val="24"/>
              </w:rPr>
              <w:t xml:space="preserve">C4: </w:t>
            </w:r>
            <w:r w:rsidRPr="00A23740">
              <w:rPr>
                <w:rStyle w:val="KIRMIZIChar"/>
                <w:rFonts w:eastAsia="Calibri"/>
              </w:rPr>
              <w:t>Ayrıca,</w:t>
            </w:r>
            <w:r w:rsidRPr="00A23740">
              <w:rPr>
                <w:szCs w:val="24"/>
              </w:rPr>
              <w:t xml:space="preserve"> ilânın birer sureti adresi belli olan alacaklılara posta ile gönderilir. </w:t>
            </w:r>
          </w:p>
          <w:p w:rsidR="00AA5C8C" w:rsidRPr="00A23740" w:rsidRDefault="00AA5C8C" w:rsidP="009431FF">
            <w:pPr>
              <w:rPr>
                <w:rFonts w:eastAsia="Times New Roman"/>
                <w:i/>
                <w:szCs w:val="24"/>
                <w:lang w:eastAsia="tr-TR"/>
              </w:rPr>
            </w:pPr>
          </w:p>
        </w:tc>
        <w:tc>
          <w:tcPr>
            <w:tcW w:w="2500" w:type="pct"/>
          </w:tcPr>
          <w:p w:rsidR="00AA5C8C" w:rsidRPr="00A23740" w:rsidRDefault="00AA5C8C" w:rsidP="009431FF">
            <w:pPr>
              <w:rPr>
                <w:b/>
                <w:szCs w:val="24"/>
                <w:vertAlign w:val="superscript"/>
              </w:rPr>
            </w:pPr>
            <w:r w:rsidRPr="00A23740">
              <w:rPr>
                <w:b/>
                <w:szCs w:val="24"/>
              </w:rPr>
              <w:t>Alacaklılar toplantısına davet</w:t>
            </w:r>
          </w:p>
          <w:p w:rsidR="00AA5C8C" w:rsidRPr="00A23740" w:rsidRDefault="005A707C" w:rsidP="009431FF">
            <w:pPr>
              <w:pStyle w:val="Nor"/>
              <w:tabs>
                <w:tab w:val="clear" w:pos="567"/>
              </w:tabs>
              <w:rPr>
                <w:rFonts w:ascii="Times New Roman" w:hAnsi="Times New Roman"/>
                <w:sz w:val="24"/>
                <w:szCs w:val="24"/>
                <w:lang w:val="tr-TR"/>
              </w:rPr>
            </w:pPr>
            <w:r w:rsidRPr="00A23740">
              <w:rPr>
                <w:rStyle w:val="MaviChar"/>
                <w:lang w:val="tr-TR"/>
              </w:rPr>
              <w:t>MADDE 39</w:t>
            </w:r>
            <w:r w:rsidR="003E49A5" w:rsidRPr="00A23740">
              <w:rPr>
                <w:rStyle w:val="MaviChar"/>
                <w:lang w:val="tr-TR"/>
              </w:rPr>
              <w:t>3</w:t>
            </w:r>
            <w:r w:rsidR="00AA5C8C" w:rsidRPr="00A23740">
              <w:rPr>
                <w:rStyle w:val="MaviChar"/>
                <w:lang w:val="tr-TR"/>
              </w:rPr>
              <w:t>- (1)</w:t>
            </w:r>
            <w:r w:rsidR="00AA5C8C" w:rsidRPr="00A23740">
              <w:rPr>
                <w:rFonts w:ascii="Times New Roman" w:hAnsi="Times New Roman"/>
                <w:sz w:val="24"/>
                <w:szCs w:val="24"/>
                <w:lang w:val="tr-TR"/>
              </w:rPr>
              <w:t xml:space="preserve"> Konkordato projesinin hazırlanması, alacakların bildirilmesi ve tahkiki tamamlandıktan sonra komiser,</w:t>
            </w:r>
            <w:r w:rsidR="00C737B8" w:rsidRPr="00A23740">
              <w:rPr>
                <w:rFonts w:ascii="Times New Roman" w:hAnsi="Times New Roman"/>
                <w:sz w:val="24"/>
                <w:szCs w:val="24"/>
                <w:lang w:val="tr-TR"/>
              </w:rPr>
              <w:t xml:space="preserve"> </w:t>
            </w:r>
            <w:r w:rsidR="00C737B8" w:rsidRPr="000B3F1E">
              <w:rPr>
                <w:rStyle w:val="MaviChar"/>
              </w:rPr>
              <w:t>377 nci</w:t>
            </w:r>
            <w:r w:rsidR="00AA5C8C" w:rsidRPr="00A23740">
              <w:rPr>
                <w:rFonts w:ascii="Times New Roman" w:hAnsi="Times New Roman"/>
                <w:sz w:val="24"/>
                <w:szCs w:val="24"/>
                <w:lang w:val="tr-TR"/>
              </w:rPr>
              <w:t xml:space="preserve"> </w:t>
            </w:r>
            <w:r w:rsidR="00AA5C8C" w:rsidRPr="00A23740">
              <w:rPr>
                <w:rStyle w:val="MaviChar"/>
                <w:rFonts w:eastAsia="ヒラギノ明朝 Pro W3"/>
              </w:rPr>
              <w:t>maddenin geçici mühletin ilanına ilişkin hükmü</w:t>
            </w:r>
            <w:r w:rsidR="00AA5C8C" w:rsidRPr="00A23740">
              <w:rPr>
                <w:rStyle w:val="YELChar"/>
                <w:lang w:val="tr-TR"/>
              </w:rPr>
              <w:t xml:space="preserve"> </w:t>
            </w:r>
            <w:r w:rsidR="00AA5C8C" w:rsidRPr="00A23740">
              <w:rPr>
                <w:rFonts w:ascii="Times New Roman" w:hAnsi="Times New Roman"/>
                <w:sz w:val="24"/>
                <w:szCs w:val="24"/>
                <w:lang w:val="tr-TR"/>
              </w:rPr>
              <w:t xml:space="preserve"> uyarınca yapacağı yeni bir il</w:t>
            </w:r>
            <w:r w:rsidR="00930910" w:rsidRPr="00A23740">
              <w:rPr>
                <w:rFonts w:ascii="Times New Roman" w:hAnsi="Times New Roman"/>
                <w:sz w:val="24"/>
                <w:szCs w:val="24"/>
                <w:lang w:val="tr-TR"/>
              </w:rPr>
              <w:t>a</w:t>
            </w:r>
            <w:r w:rsidR="00AA5C8C" w:rsidRPr="00A23740">
              <w:rPr>
                <w:rFonts w:ascii="Times New Roman" w:hAnsi="Times New Roman"/>
                <w:sz w:val="24"/>
                <w:szCs w:val="24"/>
                <w:lang w:val="tr-TR"/>
              </w:rPr>
              <w:t>nla alacaklıları, konkordato projesini müzakere etmek üzere toplanmaya davet eder.</w:t>
            </w:r>
          </w:p>
          <w:p w:rsidR="00AA5C8C" w:rsidRPr="00A23740" w:rsidRDefault="00AA5C8C" w:rsidP="009431FF">
            <w:pPr>
              <w:rPr>
                <w:lang w:eastAsia="x-none"/>
              </w:rPr>
            </w:pPr>
          </w:p>
          <w:p w:rsidR="00AA5C8C" w:rsidRPr="00A23740" w:rsidRDefault="00AA5C8C" w:rsidP="009431FF">
            <w:pPr>
              <w:rPr>
                <w:lang w:eastAsia="x-none"/>
              </w:rPr>
            </w:pPr>
          </w:p>
          <w:p w:rsidR="00AA5C8C" w:rsidRPr="00A23740" w:rsidRDefault="00AA5C8C" w:rsidP="009431FF">
            <w:pPr>
              <w:rPr>
                <w:lang w:eastAsia="x-none"/>
              </w:rPr>
            </w:pPr>
          </w:p>
          <w:p w:rsidR="00D74F7C" w:rsidRPr="00D74F7C" w:rsidRDefault="00D74F7C" w:rsidP="009431FF">
            <w:pPr>
              <w:rPr>
                <w:lang w:val="x-none" w:eastAsia="x-none"/>
              </w:rPr>
            </w:pPr>
          </w:p>
          <w:p w:rsidR="00AA5C8C" w:rsidRPr="00A23740" w:rsidRDefault="00AA5C8C" w:rsidP="009431FF">
            <w:pPr>
              <w:pStyle w:val="Nor"/>
              <w:tabs>
                <w:tab w:val="clear" w:pos="567"/>
              </w:tabs>
              <w:rPr>
                <w:rFonts w:ascii="Times New Roman" w:hAnsi="Times New Roman"/>
                <w:sz w:val="24"/>
                <w:szCs w:val="24"/>
                <w:lang w:val="tr-TR"/>
              </w:rPr>
            </w:pPr>
            <w:r w:rsidRPr="00A23740">
              <w:rPr>
                <w:rStyle w:val="MaviChar"/>
                <w:rFonts w:eastAsia="ヒラギノ明朝 Pro W3"/>
              </w:rPr>
              <w:t>(2)</w:t>
            </w:r>
            <w:r w:rsidRPr="00A23740">
              <w:rPr>
                <w:rFonts w:ascii="Times New Roman" w:hAnsi="Times New Roman"/>
                <w:sz w:val="24"/>
                <w:szCs w:val="24"/>
                <w:lang w:val="tr-TR"/>
              </w:rPr>
              <w:t xml:space="preserve"> Toplantı günü</w:t>
            </w:r>
            <w:r w:rsidR="00E33738" w:rsidRPr="004A4973">
              <w:rPr>
                <w:rStyle w:val="Balk1Char"/>
              </w:rPr>
              <w:t>,</w:t>
            </w:r>
            <w:r w:rsidRPr="00A23740">
              <w:rPr>
                <w:rFonts w:ascii="Times New Roman" w:hAnsi="Times New Roman"/>
                <w:sz w:val="24"/>
                <w:szCs w:val="24"/>
                <w:lang w:val="tr-TR"/>
              </w:rPr>
              <w:t xml:space="preserve"> il</w:t>
            </w:r>
            <w:r w:rsidR="00930910" w:rsidRPr="00A23740">
              <w:rPr>
                <w:rFonts w:ascii="Times New Roman" w:hAnsi="Times New Roman"/>
                <w:sz w:val="24"/>
                <w:szCs w:val="24"/>
                <w:lang w:val="tr-TR"/>
              </w:rPr>
              <w:t>a</w:t>
            </w:r>
            <w:r w:rsidRPr="00A23740">
              <w:rPr>
                <w:rFonts w:ascii="Times New Roman" w:hAnsi="Times New Roman"/>
                <w:sz w:val="24"/>
                <w:szCs w:val="24"/>
                <w:lang w:val="tr-TR"/>
              </w:rPr>
              <w:t xml:space="preserve">ndan en az </w:t>
            </w:r>
            <w:r w:rsidRPr="00A23740">
              <w:rPr>
                <w:rStyle w:val="MaviChar"/>
                <w:lang w:val="tr-TR"/>
              </w:rPr>
              <w:t>üç hafta</w:t>
            </w:r>
            <w:r w:rsidRPr="00A23740">
              <w:rPr>
                <w:rFonts w:ascii="Times New Roman" w:hAnsi="Times New Roman"/>
                <w:sz w:val="24"/>
                <w:szCs w:val="24"/>
                <w:lang w:val="tr-TR"/>
              </w:rPr>
              <w:t xml:space="preserve"> sonra olmak </w:t>
            </w:r>
            <w:r w:rsidRPr="00A23740">
              <w:rPr>
                <w:rStyle w:val="MaviChar"/>
                <w:rFonts w:eastAsia="ヒラギノ明朝 Pro W3"/>
              </w:rPr>
              <w:t>üzere</w:t>
            </w:r>
            <w:r w:rsidRPr="00A23740">
              <w:rPr>
                <w:rStyle w:val="YELChar"/>
              </w:rPr>
              <w:t xml:space="preserve"> </w:t>
            </w:r>
            <w:r w:rsidRPr="00A23740">
              <w:rPr>
                <w:rStyle w:val="MaviChar"/>
                <w:rFonts w:eastAsia="ヒラギノ明朝 Pro W3"/>
              </w:rPr>
              <w:t>beli</w:t>
            </w:r>
            <w:r w:rsidRPr="00A23740">
              <w:rPr>
                <w:rStyle w:val="MaviChar"/>
                <w:rFonts w:eastAsia="ヒラギノ明朝 Pro W3"/>
                <w:lang w:val="tr-TR"/>
              </w:rPr>
              <w:t>r</w:t>
            </w:r>
            <w:r w:rsidRPr="00A23740">
              <w:rPr>
                <w:rStyle w:val="MaviChar"/>
                <w:rFonts w:eastAsia="ヒラギノ明朝 Pro W3"/>
              </w:rPr>
              <w:t>lenir</w:t>
            </w:r>
            <w:r w:rsidRPr="00A23740">
              <w:rPr>
                <w:rFonts w:ascii="Times New Roman" w:hAnsi="Times New Roman"/>
                <w:sz w:val="24"/>
                <w:szCs w:val="24"/>
                <w:lang w:val="tr-TR"/>
              </w:rPr>
              <w:t xml:space="preserve">. </w:t>
            </w:r>
          </w:p>
          <w:p w:rsidR="00AA5C8C" w:rsidRDefault="00AA5C8C" w:rsidP="009431FF">
            <w:pPr>
              <w:rPr>
                <w:lang w:eastAsia="x-none"/>
              </w:rPr>
            </w:pPr>
          </w:p>
          <w:p w:rsidR="00AA5C8C" w:rsidRPr="00A23740" w:rsidRDefault="00AA5C8C" w:rsidP="009431FF">
            <w:pPr>
              <w:pStyle w:val="Nor"/>
              <w:tabs>
                <w:tab w:val="clear" w:pos="567"/>
              </w:tabs>
              <w:rPr>
                <w:rFonts w:ascii="Times New Roman" w:hAnsi="Times New Roman"/>
                <w:sz w:val="24"/>
                <w:szCs w:val="24"/>
                <w:lang w:val="tr-TR"/>
              </w:rPr>
            </w:pPr>
            <w:r w:rsidRPr="00A23740">
              <w:rPr>
                <w:rStyle w:val="MaviChar"/>
                <w:rFonts w:eastAsia="ヒラギノ明朝 Pro W3"/>
              </w:rPr>
              <w:t>(3)</w:t>
            </w:r>
            <w:r w:rsidRPr="00A23740">
              <w:rPr>
                <w:rFonts w:ascii="Times New Roman" w:hAnsi="Times New Roman"/>
                <w:sz w:val="24"/>
                <w:szCs w:val="24"/>
                <w:lang w:val="tr-TR"/>
              </w:rPr>
              <w:t xml:space="preserve"> İlanda alacaklıların, toplantıdan önceki </w:t>
            </w:r>
            <w:r w:rsidRPr="00A23740">
              <w:rPr>
                <w:rStyle w:val="MaviChar"/>
                <w:lang w:val="tr-TR"/>
              </w:rPr>
              <w:t>iki hafta</w:t>
            </w:r>
            <w:r w:rsidRPr="00A23740">
              <w:rPr>
                <w:rFonts w:ascii="Times New Roman" w:hAnsi="Times New Roman"/>
                <w:sz w:val="24"/>
                <w:szCs w:val="24"/>
                <w:lang w:val="tr-TR"/>
              </w:rPr>
              <w:t xml:space="preserve"> içinde belgeleri inceleyebilecekleri </w:t>
            </w:r>
            <w:r w:rsidRPr="00A23740">
              <w:rPr>
                <w:rStyle w:val="MaviChar"/>
                <w:lang w:val="tr-TR"/>
              </w:rPr>
              <w:t xml:space="preserve">ve alacağı borçlu tarafından itiraza uğrayan alacaklıların </w:t>
            </w:r>
            <w:r w:rsidRPr="00A23740">
              <w:rPr>
                <w:rStyle w:val="MaviChar"/>
              </w:rPr>
              <w:t>mahkemeye başvurarak</w:t>
            </w:r>
            <w:r w:rsidRPr="00A23740">
              <w:rPr>
                <w:rFonts w:ascii="Times New Roman" w:hAnsi="Times New Roman"/>
                <w:b/>
                <w:color w:val="0000FF"/>
                <w:sz w:val="24"/>
                <w:szCs w:val="24"/>
                <w:lang w:val="tr-TR" w:eastAsia="ar-SA"/>
              </w:rPr>
              <w:t xml:space="preserve"> </w:t>
            </w:r>
            <w:r w:rsidR="00C737B8" w:rsidRPr="000B3F1E">
              <w:rPr>
                <w:rStyle w:val="MaviChar"/>
              </w:rPr>
              <w:t>395 inci</w:t>
            </w:r>
            <w:r w:rsidR="00C737B8" w:rsidRPr="00A23740">
              <w:rPr>
                <w:lang w:val="tr-TR"/>
              </w:rPr>
              <w:t xml:space="preserve"> </w:t>
            </w:r>
            <w:r w:rsidRPr="00A23740">
              <w:rPr>
                <w:rStyle w:val="MaviChar"/>
                <w:rFonts w:eastAsia="ヒラギノ明朝 Pro W3"/>
              </w:rPr>
              <w:t>maddenin çekişmeli alacaklara ilişkin</w:t>
            </w:r>
            <w:r w:rsidRPr="00A23740">
              <w:rPr>
                <w:lang w:val="tr-TR"/>
              </w:rPr>
              <w:t xml:space="preserve"> </w:t>
            </w:r>
            <w:r w:rsidRPr="00A23740">
              <w:rPr>
                <w:rStyle w:val="MaviChar"/>
                <w:rFonts w:eastAsia="ヒラギノ明朝 Pro W3"/>
                <w:lang w:val="tr-TR"/>
              </w:rPr>
              <w:t>beşinci</w:t>
            </w:r>
            <w:r w:rsidRPr="00A23740">
              <w:rPr>
                <w:rStyle w:val="MaviChar"/>
                <w:rFonts w:eastAsia="ヒラギノ明朝 Pro W3"/>
              </w:rPr>
              <w:t xml:space="preserve"> fıkrası uyarınca verilecek kararı en geç alacaklılar toplantısına kadar </w:t>
            </w:r>
            <w:r w:rsidRPr="00A23740">
              <w:rPr>
                <w:rFonts w:ascii="Times New Roman" w:hAnsi="Times New Roman"/>
                <w:b/>
                <w:color w:val="0000FF"/>
                <w:sz w:val="24"/>
                <w:szCs w:val="24"/>
                <w:lang w:val="tr-TR" w:eastAsia="ar-SA"/>
              </w:rPr>
              <w:t xml:space="preserve">getirmedikleri takdirde konkordato </w:t>
            </w:r>
            <w:r w:rsidR="00E33738" w:rsidRPr="000B3F1E">
              <w:rPr>
                <w:rStyle w:val="MaviChar"/>
              </w:rPr>
              <w:t>yeter sayısında</w:t>
            </w:r>
            <w:r w:rsidRPr="00A23740">
              <w:rPr>
                <w:rFonts w:ascii="Times New Roman" w:hAnsi="Times New Roman"/>
                <w:b/>
                <w:color w:val="0000FF"/>
                <w:sz w:val="24"/>
                <w:szCs w:val="24"/>
                <w:lang w:val="tr-TR" w:eastAsia="ar-SA"/>
              </w:rPr>
              <w:t xml:space="preserve"> dikkate alınmayacakları da </w:t>
            </w:r>
            <w:r w:rsidRPr="00A23740">
              <w:rPr>
                <w:rFonts w:ascii="Times New Roman" w:hAnsi="Times New Roman"/>
                <w:sz w:val="24"/>
                <w:szCs w:val="24"/>
                <w:lang w:val="tr-TR"/>
              </w:rPr>
              <w:t>bildirilir.</w:t>
            </w:r>
          </w:p>
          <w:p w:rsidR="00AA5C8C" w:rsidRPr="00A23740" w:rsidRDefault="00AA5C8C" w:rsidP="009431FF">
            <w:pPr>
              <w:pStyle w:val="Nor"/>
              <w:tabs>
                <w:tab w:val="clear" w:pos="567"/>
              </w:tabs>
              <w:rPr>
                <w:rFonts w:ascii="Times New Roman" w:hAnsi="Times New Roman"/>
                <w:sz w:val="24"/>
                <w:szCs w:val="24"/>
                <w:lang w:val="tr-TR"/>
              </w:rPr>
            </w:pPr>
          </w:p>
          <w:p w:rsidR="00AA5C8C" w:rsidRPr="00A23740" w:rsidRDefault="00AA5C8C" w:rsidP="009431FF">
            <w:pPr>
              <w:pStyle w:val="Nor"/>
              <w:tabs>
                <w:tab w:val="clear" w:pos="567"/>
              </w:tabs>
            </w:pPr>
            <w:r w:rsidRPr="00A23740">
              <w:rPr>
                <w:rStyle w:val="MaviChar"/>
                <w:rFonts w:eastAsia="ヒラギノ明朝 Pro W3"/>
              </w:rPr>
              <w:t>(4) İ</w:t>
            </w:r>
            <w:r w:rsidRPr="00A23740">
              <w:rPr>
                <w:rFonts w:ascii="Times New Roman" w:hAnsi="Times New Roman"/>
                <w:sz w:val="24"/>
                <w:szCs w:val="24"/>
                <w:lang w:val="tr-TR"/>
              </w:rPr>
              <w:t>l</w:t>
            </w:r>
            <w:r w:rsidR="00B7090C" w:rsidRPr="00A23740">
              <w:rPr>
                <w:rFonts w:ascii="Times New Roman" w:hAnsi="Times New Roman"/>
                <w:sz w:val="24"/>
                <w:szCs w:val="24"/>
                <w:lang w:val="tr-TR"/>
              </w:rPr>
              <w:t>a</w:t>
            </w:r>
            <w:r w:rsidRPr="00A23740">
              <w:rPr>
                <w:rFonts w:ascii="Times New Roman" w:hAnsi="Times New Roman"/>
                <w:sz w:val="24"/>
                <w:szCs w:val="24"/>
                <w:lang w:val="tr-TR"/>
              </w:rPr>
              <w:t xml:space="preserve">nın birer </w:t>
            </w:r>
            <w:r w:rsidR="001A19B3" w:rsidRPr="000B3F1E">
              <w:rPr>
                <w:rStyle w:val="MaviChar"/>
                <w:rFonts w:eastAsia="ヒラギノ明朝 Pro W3"/>
              </w:rPr>
              <w:t>örneği</w:t>
            </w:r>
            <w:r w:rsidR="001A19B3" w:rsidRPr="00A23740">
              <w:rPr>
                <w:rFonts w:ascii="Times New Roman" w:hAnsi="Times New Roman"/>
                <w:sz w:val="24"/>
                <w:szCs w:val="24"/>
                <w:lang w:val="tr-TR"/>
              </w:rPr>
              <w:t xml:space="preserve"> </w:t>
            </w:r>
            <w:r w:rsidRPr="00A23740">
              <w:rPr>
                <w:rFonts w:ascii="Times New Roman" w:hAnsi="Times New Roman"/>
                <w:sz w:val="24"/>
                <w:szCs w:val="24"/>
                <w:lang w:val="tr-TR"/>
              </w:rPr>
              <w:t xml:space="preserve">adresi belli olan alacaklılara </w:t>
            </w:r>
            <w:r w:rsidR="001A19B3" w:rsidRPr="000B3F1E">
              <w:rPr>
                <w:rStyle w:val="MaviChar"/>
                <w:rFonts w:eastAsia="ヒラギノ明朝 Pro W3"/>
              </w:rPr>
              <w:t>postayla</w:t>
            </w:r>
            <w:r w:rsidR="001A19B3" w:rsidRPr="00A23740">
              <w:rPr>
                <w:rFonts w:ascii="Times New Roman" w:hAnsi="Times New Roman"/>
                <w:sz w:val="24"/>
                <w:szCs w:val="24"/>
                <w:lang w:val="tr-TR"/>
              </w:rPr>
              <w:t xml:space="preserve"> </w:t>
            </w:r>
            <w:r w:rsidRPr="00A23740">
              <w:rPr>
                <w:rFonts w:ascii="Times New Roman" w:hAnsi="Times New Roman"/>
                <w:sz w:val="24"/>
                <w:szCs w:val="24"/>
                <w:lang w:val="tr-TR"/>
              </w:rPr>
              <w:t>gönderilir.</w:t>
            </w:r>
          </w:p>
          <w:p w:rsidR="00AA5C8C" w:rsidRPr="00A23740" w:rsidRDefault="00AA5C8C" w:rsidP="009431FF">
            <w:pPr>
              <w:pStyle w:val="KIRMIZI"/>
              <w:rPr>
                <w:i/>
                <w:lang w:eastAsia="tr-TR"/>
              </w:rPr>
            </w:pPr>
          </w:p>
        </w:tc>
      </w:tr>
      <w:tr w:rsidR="005C3738" w:rsidRPr="00A23740" w:rsidTr="009431FF">
        <w:tc>
          <w:tcPr>
            <w:tcW w:w="5000" w:type="pct"/>
            <w:gridSpan w:val="2"/>
            <w:shd w:val="clear" w:color="auto" w:fill="DEEAF6"/>
          </w:tcPr>
          <w:p w:rsidR="00D00290" w:rsidRPr="00A23740" w:rsidRDefault="00D00290" w:rsidP="009431FF">
            <w:pPr>
              <w:ind w:firstLine="709"/>
              <w:rPr>
                <w:rFonts w:eastAsia="Times New Roman"/>
                <w:szCs w:val="24"/>
                <w:lang w:eastAsia="x-none"/>
              </w:rPr>
            </w:pPr>
          </w:p>
          <w:p w:rsidR="00561705" w:rsidRPr="00A23740" w:rsidRDefault="001400A7" w:rsidP="009431FF">
            <w:pPr>
              <w:ind w:firstLine="709"/>
              <w:rPr>
                <w:rFonts w:eastAsia="ヒラギノ明朝 Pro W3"/>
                <w:szCs w:val="24"/>
                <w:lang w:eastAsia="x-none"/>
              </w:rPr>
            </w:pPr>
            <w:r w:rsidRPr="00A23740">
              <w:rPr>
                <w:rFonts w:eastAsia="Times New Roman"/>
                <w:b/>
                <w:szCs w:val="24"/>
                <w:lang w:eastAsia="x-none"/>
              </w:rPr>
              <w:t>MADDE 39</w:t>
            </w:r>
            <w:r w:rsidR="003E49A5" w:rsidRPr="00A23740">
              <w:rPr>
                <w:rFonts w:eastAsia="Times New Roman"/>
                <w:b/>
                <w:szCs w:val="24"/>
                <w:lang w:eastAsia="x-none"/>
              </w:rPr>
              <w:t>3</w:t>
            </w:r>
            <w:r w:rsidR="00D00290" w:rsidRPr="00A23740">
              <w:rPr>
                <w:rFonts w:eastAsia="Times New Roman"/>
                <w:b/>
                <w:szCs w:val="24"/>
                <w:lang w:eastAsia="x-none"/>
              </w:rPr>
              <w:t>-</w:t>
            </w:r>
            <w:r w:rsidR="00D00290" w:rsidRPr="00A23740">
              <w:rPr>
                <w:rFonts w:eastAsia="Times New Roman"/>
                <w:szCs w:val="24"/>
                <w:lang w:eastAsia="x-none"/>
              </w:rPr>
              <w:t xml:space="preserve"> Maddeyle, </w:t>
            </w:r>
            <w:r w:rsidR="00561705" w:rsidRPr="00A23740">
              <w:rPr>
                <w:rFonts w:eastAsia="Times New Roman"/>
                <w:szCs w:val="24"/>
                <w:lang w:eastAsia="x-none"/>
              </w:rPr>
              <w:t>alacaklılar toplantısına davet dü</w:t>
            </w:r>
            <w:r w:rsidR="00851E16" w:rsidRPr="00A23740">
              <w:rPr>
                <w:rFonts w:eastAsia="Times New Roman"/>
                <w:szCs w:val="24"/>
                <w:lang w:eastAsia="x-none"/>
              </w:rPr>
              <w:t>zenlenmiştir. 2004 sayılı Kanunda t</w:t>
            </w:r>
            <w:r w:rsidR="00561705" w:rsidRPr="00A23740">
              <w:rPr>
                <w:rFonts w:eastAsia="Times New Roman"/>
                <w:szCs w:val="24"/>
                <w:lang w:eastAsia="x-none"/>
              </w:rPr>
              <w:t>oplantı günü il</w:t>
            </w:r>
            <w:r w:rsidR="00930910" w:rsidRPr="00A23740">
              <w:rPr>
                <w:rFonts w:eastAsia="Times New Roman"/>
                <w:szCs w:val="24"/>
                <w:lang w:eastAsia="x-none"/>
              </w:rPr>
              <w:t>a</w:t>
            </w:r>
            <w:r w:rsidR="00561705" w:rsidRPr="00A23740">
              <w:rPr>
                <w:rFonts w:eastAsia="Times New Roman"/>
                <w:szCs w:val="24"/>
                <w:lang w:eastAsia="x-none"/>
              </w:rPr>
              <w:t>ndan en az iki hafta önce belirlenebilmekteydi. Hükme göre artık bu sür</w:t>
            </w:r>
            <w:r w:rsidR="00851E16" w:rsidRPr="00A23740">
              <w:rPr>
                <w:rFonts w:eastAsia="Times New Roman"/>
                <w:szCs w:val="24"/>
                <w:lang w:eastAsia="x-none"/>
              </w:rPr>
              <w:t>e</w:t>
            </w:r>
            <w:r w:rsidR="00561705" w:rsidRPr="00A23740">
              <w:rPr>
                <w:rFonts w:eastAsia="Times New Roman"/>
                <w:szCs w:val="24"/>
                <w:lang w:eastAsia="x-none"/>
              </w:rPr>
              <w:t xml:space="preserve"> </w:t>
            </w:r>
            <w:r w:rsidR="00561705" w:rsidRPr="00A23740">
              <w:rPr>
                <w:szCs w:val="24"/>
                <w:lang w:eastAsia="x-none"/>
              </w:rPr>
              <w:t>üç hafta</w:t>
            </w:r>
            <w:r w:rsidR="00561705" w:rsidRPr="00A23740">
              <w:rPr>
                <w:rFonts w:eastAsia="Times New Roman"/>
                <w:szCs w:val="24"/>
                <w:lang w:eastAsia="x-none"/>
              </w:rPr>
              <w:t xml:space="preserve"> sonra olmak </w:t>
            </w:r>
            <w:r w:rsidR="00561705" w:rsidRPr="00A23740">
              <w:rPr>
                <w:rFonts w:eastAsia="ヒラギノ明朝 Pro W3"/>
                <w:szCs w:val="24"/>
                <w:lang w:val="x-none" w:eastAsia="x-none"/>
              </w:rPr>
              <w:t>üzere</w:t>
            </w:r>
            <w:r w:rsidR="00561705" w:rsidRPr="00A23740">
              <w:rPr>
                <w:rFonts w:eastAsia="ヒラギノ明朝 Pro W3"/>
                <w:bCs/>
                <w:szCs w:val="24"/>
                <w:lang w:eastAsia="x-none"/>
              </w:rPr>
              <w:t xml:space="preserve"> </w:t>
            </w:r>
            <w:r w:rsidR="00561705" w:rsidRPr="00A23740">
              <w:rPr>
                <w:rFonts w:eastAsia="ヒラギノ明朝 Pro W3"/>
                <w:szCs w:val="24"/>
                <w:lang w:val="x-none" w:eastAsia="x-none"/>
              </w:rPr>
              <w:t>beli</w:t>
            </w:r>
            <w:r w:rsidR="00561705" w:rsidRPr="00A23740">
              <w:rPr>
                <w:rFonts w:eastAsia="ヒラギノ明朝 Pro W3"/>
                <w:szCs w:val="24"/>
                <w:lang w:eastAsia="x-none"/>
              </w:rPr>
              <w:t>r</w:t>
            </w:r>
            <w:r w:rsidR="00561705" w:rsidRPr="00A23740">
              <w:rPr>
                <w:rFonts w:eastAsia="ヒラギノ明朝 Pro W3"/>
                <w:szCs w:val="24"/>
                <w:lang w:val="x-none" w:eastAsia="x-none"/>
              </w:rPr>
              <w:t>le</w:t>
            </w:r>
            <w:r w:rsidR="00561705" w:rsidRPr="00A23740">
              <w:rPr>
                <w:rFonts w:eastAsia="ヒラギノ明朝 Pro W3"/>
                <w:szCs w:val="24"/>
                <w:lang w:eastAsia="x-none"/>
              </w:rPr>
              <w:t>nebilecektir.</w:t>
            </w:r>
          </w:p>
          <w:p w:rsidR="00561705" w:rsidRPr="00A23740" w:rsidRDefault="00561705" w:rsidP="009431FF">
            <w:pPr>
              <w:ind w:firstLine="709"/>
              <w:rPr>
                <w:rFonts w:eastAsia="Times New Roman"/>
                <w:szCs w:val="24"/>
                <w:lang w:eastAsia="x-none"/>
              </w:rPr>
            </w:pPr>
            <w:r w:rsidRPr="00A23740">
              <w:rPr>
                <w:rFonts w:eastAsia="Times New Roman"/>
                <w:szCs w:val="24"/>
                <w:lang w:eastAsia="x-none"/>
              </w:rPr>
              <w:t xml:space="preserve">İlanda alacaklıların, toplantıdan önceki </w:t>
            </w:r>
            <w:r w:rsidRPr="00A23740">
              <w:rPr>
                <w:szCs w:val="24"/>
                <w:lang w:eastAsia="x-none"/>
              </w:rPr>
              <w:t>iki hafta</w:t>
            </w:r>
            <w:r w:rsidRPr="00A23740">
              <w:rPr>
                <w:rFonts w:eastAsia="Times New Roman"/>
                <w:b/>
                <w:bCs/>
                <w:szCs w:val="24"/>
                <w:lang w:eastAsia="x-none"/>
              </w:rPr>
              <w:t xml:space="preserve"> </w:t>
            </w:r>
            <w:r w:rsidRPr="00A23740">
              <w:rPr>
                <w:rFonts w:eastAsia="Times New Roman"/>
                <w:szCs w:val="24"/>
                <w:lang w:eastAsia="x-none"/>
              </w:rPr>
              <w:t>içinde belgeleri inceleyebilecekleri</w:t>
            </w:r>
            <w:r w:rsidRPr="00A23740">
              <w:rPr>
                <w:rFonts w:eastAsia="Times New Roman"/>
                <w:b/>
                <w:bCs/>
                <w:szCs w:val="24"/>
                <w:lang w:eastAsia="x-none"/>
              </w:rPr>
              <w:t xml:space="preserve"> </w:t>
            </w:r>
            <w:r w:rsidRPr="00A23740">
              <w:rPr>
                <w:szCs w:val="24"/>
                <w:lang w:eastAsia="x-none"/>
              </w:rPr>
              <w:t xml:space="preserve">ve </w:t>
            </w:r>
            <w:r w:rsidR="00A73973" w:rsidRPr="00A23740">
              <w:rPr>
                <w:szCs w:val="24"/>
                <w:lang w:eastAsia="x-none"/>
              </w:rPr>
              <w:t xml:space="preserve">alacakları </w:t>
            </w:r>
            <w:r w:rsidRPr="00A23740">
              <w:rPr>
                <w:szCs w:val="24"/>
                <w:lang w:eastAsia="x-none"/>
              </w:rPr>
              <w:t xml:space="preserve">borçlu tarafından itiraza uğrayan alacaklıların </w:t>
            </w:r>
            <w:r w:rsidRPr="00A23740">
              <w:rPr>
                <w:szCs w:val="24"/>
                <w:lang w:val="x-none" w:eastAsia="x-none"/>
              </w:rPr>
              <w:t>mahkemeye başvurarak</w:t>
            </w:r>
            <w:r w:rsidRPr="00A23740">
              <w:rPr>
                <w:rFonts w:eastAsia="Times New Roman"/>
                <w:b/>
                <w:bCs/>
                <w:szCs w:val="24"/>
                <w:lang w:eastAsia="ar-SA"/>
              </w:rPr>
              <w:t xml:space="preserve"> </w:t>
            </w:r>
            <w:r w:rsidR="00C737B8" w:rsidRPr="000B3F1E">
              <w:t>395 inci</w:t>
            </w:r>
            <w:r w:rsidR="00C737B8" w:rsidRPr="00A23740">
              <w:t xml:space="preserve"> </w:t>
            </w:r>
            <w:r w:rsidRPr="00A23740">
              <w:rPr>
                <w:rFonts w:eastAsia="ヒラギノ明朝 Pro W3"/>
                <w:szCs w:val="24"/>
                <w:lang w:val="x-none" w:eastAsia="x-none"/>
              </w:rPr>
              <w:t>maddenin çekişmeli alacaklara ilişkin</w:t>
            </w:r>
            <w:r w:rsidRPr="00A23740">
              <w:rPr>
                <w:rFonts w:eastAsia="Times New Roman"/>
                <w:b/>
                <w:bCs/>
                <w:szCs w:val="24"/>
                <w:lang w:eastAsia="x-none"/>
              </w:rPr>
              <w:t xml:space="preserve"> </w:t>
            </w:r>
            <w:r w:rsidRPr="00A23740">
              <w:rPr>
                <w:rFonts w:eastAsia="ヒラギノ明朝 Pro W3"/>
                <w:szCs w:val="24"/>
                <w:lang w:eastAsia="x-none"/>
              </w:rPr>
              <w:t>beşinci</w:t>
            </w:r>
            <w:r w:rsidRPr="00A23740">
              <w:rPr>
                <w:rFonts w:eastAsia="ヒラギノ明朝 Pro W3"/>
                <w:szCs w:val="24"/>
                <w:lang w:val="x-none" w:eastAsia="x-none"/>
              </w:rPr>
              <w:t xml:space="preserve"> fıkrası uyarınca verilecek kararı en geç alacaklılar toplantısına kadar</w:t>
            </w:r>
            <w:r w:rsidRPr="00A23740">
              <w:rPr>
                <w:rFonts w:eastAsia="ヒラギノ明朝 Pro W3"/>
                <w:b/>
                <w:bCs/>
                <w:szCs w:val="24"/>
                <w:lang w:val="x-none" w:eastAsia="x-none"/>
              </w:rPr>
              <w:t xml:space="preserve"> </w:t>
            </w:r>
            <w:r w:rsidRPr="00A23740">
              <w:rPr>
                <w:rFonts w:eastAsia="Times New Roman"/>
                <w:szCs w:val="24"/>
                <w:lang w:eastAsia="ar-SA"/>
              </w:rPr>
              <w:t>getirmedikleri takdirde konkordato</w:t>
            </w:r>
            <w:r w:rsidR="000C038B" w:rsidRPr="00A23740">
              <w:rPr>
                <w:rFonts w:eastAsia="Times New Roman"/>
                <w:szCs w:val="24"/>
                <w:lang w:eastAsia="ar-SA"/>
              </w:rPr>
              <w:t xml:space="preserve"> </w:t>
            </w:r>
            <w:r w:rsidR="000C038B" w:rsidRPr="000B3F1E">
              <w:t>yeter sayısında</w:t>
            </w:r>
            <w:r w:rsidRPr="00A23740">
              <w:rPr>
                <w:rFonts w:eastAsia="Times New Roman"/>
                <w:color w:val="385623"/>
                <w:szCs w:val="24"/>
                <w:lang w:eastAsia="ar-SA"/>
              </w:rPr>
              <w:t xml:space="preserve"> </w:t>
            </w:r>
            <w:r w:rsidRPr="00A23740">
              <w:rPr>
                <w:rFonts w:eastAsia="Times New Roman"/>
                <w:szCs w:val="24"/>
                <w:lang w:eastAsia="ar-SA"/>
              </w:rPr>
              <w:t xml:space="preserve">dikkate alınmayacakları da </w:t>
            </w:r>
            <w:r w:rsidRPr="00A23740">
              <w:rPr>
                <w:rFonts w:eastAsia="Times New Roman"/>
                <w:szCs w:val="24"/>
                <w:lang w:eastAsia="x-none"/>
              </w:rPr>
              <w:t>bildirilir.</w:t>
            </w:r>
          </w:p>
          <w:p w:rsidR="00561705" w:rsidRPr="00A23740" w:rsidRDefault="00561705" w:rsidP="009431FF">
            <w:pPr>
              <w:ind w:firstLine="709"/>
              <w:rPr>
                <w:rFonts w:eastAsia="Times New Roman"/>
                <w:szCs w:val="24"/>
                <w:lang w:eastAsia="tr-TR"/>
              </w:rPr>
            </w:pPr>
            <w:r w:rsidRPr="00A23740">
              <w:rPr>
                <w:rFonts w:eastAsia="Times New Roman"/>
                <w:szCs w:val="24"/>
                <w:lang w:eastAsia="tr-TR"/>
              </w:rPr>
              <w:t>Burada sözü edilen ve alacaklıların inceleyebilecekleri bildirilen</w:t>
            </w:r>
            <w:r w:rsidRPr="00A23740">
              <w:rPr>
                <w:rFonts w:eastAsia="Times New Roman"/>
                <w:position w:val="2"/>
                <w:szCs w:val="24"/>
                <w:lang w:eastAsia="tr-TR"/>
              </w:rPr>
              <w:t xml:space="preserve"> </w:t>
            </w:r>
            <w:r w:rsidRPr="00A23740">
              <w:rPr>
                <w:rFonts w:eastAsia="Times New Roman"/>
                <w:szCs w:val="24"/>
                <w:lang w:eastAsia="tr-TR"/>
              </w:rPr>
              <w:t>“</w:t>
            </w:r>
            <w:r w:rsidRPr="00A23740">
              <w:rPr>
                <w:rFonts w:eastAsia="Times New Roman"/>
                <w:i/>
                <w:iCs/>
                <w:szCs w:val="24"/>
                <w:lang w:eastAsia="tr-TR"/>
              </w:rPr>
              <w:t>belgeler</w:t>
            </w:r>
            <w:r w:rsidRPr="00A23740">
              <w:rPr>
                <w:rFonts w:eastAsia="Times New Roman"/>
                <w:szCs w:val="24"/>
                <w:lang w:eastAsia="tr-TR"/>
              </w:rPr>
              <w:t>”, onların konkordato projesi hakkında tam bilgi sahibi olarak karar vermelerini sağlayacak bütün belgelerdir.</w:t>
            </w:r>
          </w:p>
          <w:p w:rsidR="00561705" w:rsidRPr="00A23740" w:rsidRDefault="00561705" w:rsidP="009431FF">
            <w:pPr>
              <w:ind w:firstLine="709"/>
              <w:rPr>
                <w:szCs w:val="24"/>
                <w:lang w:eastAsia="x-none"/>
              </w:rPr>
            </w:pPr>
            <w:r w:rsidRPr="00A23740">
              <w:rPr>
                <w:szCs w:val="24"/>
              </w:rPr>
              <w:t>Çekişmeli alacaklar ile ilgili mahkeme kararının hangi tarihe kadar alınması gerektiği hakkında</w:t>
            </w:r>
            <w:r w:rsidR="00C737B8" w:rsidRPr="00A23740">
              <w:rPr>
                <w:szCs w:val="24"/>
              </w:rPr>
              <w:t xml:space="preserve"> </w:t>
            </w:r>
            <w:r w:rsidR="00A73973" w:rsidRPr="00A23740">
              <w:rPr>
                <w:szCs w:val="24"/>
              </w:rPr>
              <w:t xml:space="preserve">393 üncü </w:t>
            </w:r>
            <w:r w:rsidRPr="00A23740">
              <w:rPr>
                <w:szCs w:val="24"/>
              </w:rPr>
              <w:t>maddede yapılan değişikliğe uygun olacak şekilde bu madde metninde de değişiklik yapılmıştır. Ayrıca diğer maddelerde yapılan değişikliklere uygun olarak</w:t>
            </w:r>
            <w:r w:rsidR="00A73973" w:rsidRPr="00A23740">
              <w:rPr>
                <w:szCs w:val="24"/>
              </w:rPr>
              <w:t>,</w:t>
            </w:r>
            <w:r w:rsidRPr="00A23740">
              <w:rPr>
                <w:szCs w:val="24"/>
              </w:rPr>
              <w:t xml:space="preserve"> ilan </w:t>
            </w:r>
            <w:r w:rsidR="006D61D8" w:rsidRPr="000B3F1E">
              <w:t>örneğinin</w:t>
            </w:r>
            <w:r w:rsidRPr="00A23740">
              <w:rPr>
                <w:szCs w:val="24"/>
              </w:rPr>
              <w:t xml:space="preserve"> alacaklılara iadeli taahhütlü mektupla gönderilmesi yerine postayla gönderilmesi öngörülmüştür.</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i/>
                <w:szCs w:val="24"/>
              </w:rPr>
            </w:pPr>
          </w:p>
          <w:p w:rsidR="00AA5C8C" w:rsidRPr="00A23740" w:rsidRDefault="00AA5C8C" w:rsidP="009431FF">
            <w:pPr>
              <w:rPr>
                <w:i/>
                <w:szCs w:val="24"/>
              </w:rPr>
            </w:pPr>
          </w:p>
          <w:p w:rsidR="00AA5C8C" w:rsidRPr="00A23740" w:rsidRDefault="00AA5C8C" w:rsidP="009431FF">
            <w:pPr>
              <w:rPr>
                <w:i/>
                <w:szCs w:val="24"/>
              </w:rPr>
            </w:pPr>
          </w:p>
          <w:p w:rsidR="00AA5C8C" w:rsidRPr="00A23740" w:rsidRDefault="00AA5C8C" w:rsidP="009431FF">
            <w:pPr>
              <w:rPr>
                <w:i/>
                <w:szCs w:val="24"/>
              </w:rPr>
            </w:pPr>
          </w:p>
          <w:p w:rsidR="00AA5C8C" w:rsidRPr="00A23740" w:rsidRDefault="00AA5C8C" w:rsidP="009431FF">
            <w:pPr>
              <w:rPr>
                <w:i/>
                <w:szCs w:val="24"/>
                <w:vertAlign w:val="superscript"/>
              </w:rPr>
            </w:pPr>
            <w:r w:rsidRPr="00A23740">
              <w:rPr>
                <w:i/>
                <w:szCs w:val="24"/>
              </w:rPr>
              <w:t xml:space="preserve">Alacaklılar toplantısı </w:t>
            </w:r>
            <w:r w:rsidRPr="00A23740">
              <w:rPr>
                <w:rStyle w:val="KIRMIZIChar"/>
                <w:rFonts w:eastAsia="Calibri"/>
              </w:rPr>
              <w:t>ve projenin kabulü için gerekli çoğunluk:</w:t>
            </w:r>
            <w:r w:rsidRPr="00A23740">
              <w:rPr>
                <w:i/>
                <w:szCs w:val="24"/>
                <w:vertAlign w:val="superscript"/>
              </w:rPr>
              <w:t xml:space="preserve"> </w:t>
            </w:r>
          </w:p>
          <w:p w:rsidR="00AA5C8C" w:rsidRPr="00A23740" w:rsidRDefault="00AA5C8C" w:rsidP="009431FF">
            <w:pPr>
              <w:rPr>
                <w:szCs w:val="24"/>
              </w:rPr>
            </w:pPr>
            <w:r w:rsidRPr="00A23740">
              <w:rPr>
                <w:rStyle w:val="KIRMIZIChar"/>
                <w:rFonts w:eastAsia="Calibri"/>
              </w:rPr>
              <w:t>Madde 302- (1) (Değişik: 28/2/2018-7101/30 md.)</w:t>
            </w:r>
            <w:r w:rsidRPr="00A23740">
              <w:rPr>
                <w:b/>
                <w:szCs w:val="24"/>
              </w:rPr>
              <w:t xml:space="preserve"> </w:t>
            </w:r>
            <w:r w:rsidRPr="00A23740">
              <w:rPr>
                <w:szCs w:val="24"/>
              </w:rPr>
              <w:t>Komiser alacaklılar toplantısına başkanlık eder ve borçlunun durumu hakkında bir rapor verir.</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(2)</w:t>
            </w:r>
            <w:r w:rsidRPr="00A23740">
              <w:rPr>
                <w:szCs w:val="24"/>
              </w:rPr>
              <w:t xml:space="preserve"> Borçlu gerekli açıklamaları yapmak üzere toplantıda hazır bulunma</w:t>
            </w:r>
            <w:r w:rsidRPr="00A23740">
              <w:rPr>
                <w:rStyle w:val="KIRMIZIChar"/>
                <w:rFonts w:eastAsia="Calibri"/>
              </w:rPr>
              <w:t>ya mecburdur</w:t>
            </w:r>
            <w:r w:rsidRPr="00A23740">
              <w:rPr>
                <w:szCs w:val="24"/>
              </w:rPr>
              <w:t>.</w:t>
            </w:r>
          </w:p>
          <w:p w:rsidR="00AA5C8C" w:rsidRPr="00A23740" w:rsidRDefault="00AA5C8C" w:rsidP="009431FF">
            <w:pPr>
              <w:pStyle w:val="KIRMIZI"/>
            </w:pPr>
          </w:p>
          <w:p w:rsidR="00AA5C8C" w:rsidRPr="00A23740" w:rsidRDefault="00AA5C8C" w:rsidP="009431FF">
            <w:pPr>
              <w:pStyle w:val="KIRMIZI"/>
            </w:pPr>
            <w:r w:rsidRPr="00A23740">
              <w:rPr>
                <w:rStyle w:val="KIRMIZIChar"/>
                <w:rFonts w:eastAsia="Calibri"/>
                <w:b/>
                <w:bCs/>
                <w:strike/>
              </w:rPr>
              <w:t>(3)</w:t>
            </w:r>
            <w:r w:rsidRPr="00A23740">
              <w:t xml:space="preserve"> Konkordato projesi;</w:t>
            </w:r>
          </w:p>
          <w:p w:rsidR="00AA5C8C" w:rsidRPr="00A23740" w:rsidRDefault="00AA5C8C" w:rsidP="009431FF">
            <w:pPr>
              <w:pStyle w:val="KIRMIZI"/>
            </w:pPr>
            <w:r w:rsidRPr="00A23740">
              <w:t>a) Kaydedilmiş olan alacaklıların ve alacakların yarısını veya</w:t>
            </w:r>
          </w:p>
          <w:p w:rsidR="00AA5C8C" w:rsidRPr="00A23740" w:rsidRDefault="00AA5C8C" w:rsidP="009431FF">
            <w:pPr>
              <w:pStyle w:val="KIRMIZI"/>
            </w:pPr>
            <w:r w:rsidRPr="00A23740">
              <w:t>b) Kaydedilmiş olan alacaklıların dörtte birini ve alacakların üçte ikisini,</w:t>
            </w:r>
          </w:p>
          <w:p w:rsidR="00AA5C8C" w:rsidRPr="00A23740" w:rsidRDefault="00AA5C8C" w:rsidP="009431FF">
            <w:pPr>
              <w:pStyle w:val="KIRMIZI"/>
            </w:pPr>
            <w:r w:rsidRPr="00A23740">
              <w:t>aşan bir çoğunluk tarafından imza edilmiş ise kabul edilmiş sayılır.</w:t>
            </w:r>
          </w:p>
          <w:p w:rsidR="00AA5C8C" w:rsidRPr="00A23740" w:rsidRDefault="00AA5C8C" w:rsidP="009431FF">
            <w:pPr>
              <w:rPr>
                <w:szCs w:val="24"/>
              </w:rPr>
            </w:pPr>
          </w:p>
          <w:p w:rsidR="00AA5C8C" w:rsidRPr="00A23740" w:rsidRDefault="00AA5C8C" w:rsidP="009431FF">
            <w:pPr>
              <w:pStyle w:val="KIRMIZI"/>
            </w:pPr>
            <w:r w:rsidRPr="00A23740">
              <w:rPr>
                <w:rFonts w:eastAsia="Calibri"/>
              </w:rPr>
              <w:t>(7)</w:t>
            </w:r>
            <w:r w:rsidRPr="00A23740">
              <w:t xml:space="preserve"> Konkordato projesinin müzakereleri sonucunda oluşturulan konkordato tutanağı, kabul ve ret oylarını içerecek şekilde derhâl imza olunur. Toplantının bitimini takip eden yedi gün içinde gerçekleşen iltihaklar da kabul olunur.</w:t>
            </w:r>
          </w:p>
          <w:p w:rsidR="00AA5C8C" w:rsidRPr="00A23740" w:rsidRDefault="00AA5C8C" w:rsidP="009431FF">
            <w:pPr>
              <w:rPr>
                <w:szCs w:val="24"/>
              </w:rPr>
            </w:pPr>
          </w:p>
          <w:p w:rsidR="00AA5C8C" w:rsidRPr="00A23740" w:rsidRDefault="00277039" w:rsidP="009431FF">
            <w:pPr>
              <w:rPr>
                <w:szCs w:val="24"/>
              </w:rPr>
            </w:pPr>
            <w:r>
              <w:rPr>
                <w:b/>
                <w:color w:val="FF0000"/>
              </w:rPr>
              <w:t>M.302/F7.</w:t>
            </w:r>
            <w:r w:rsidR="00AA5C8C" w:rsidRPr="00A23740">
              <w:rPr>
                <w:b/>
                <w:color w:val="FF0000"/>
              </w:rPr>
              <w:t>C2:</w:t>
            </w:r>
            <w:r w:rsidR="00AA5C8C" w:rsidRPr="00A23740">
              <w:t xml:space="preserve"> Toplantının bitimini takip eden </w:t>
            </w:r>
            <w:r w:rsidR="00AA5C8C" w:rsidRPr="00A23740">
              <w:rPr>
                <w:rStyle w:val="KIRMIZIChar"/>
                <w:rFonts w:eastAsia="Calibri"/>
              </w:rPr>
              <w:t>yedi gün</w:t>
            </w:r>
            <w:r w:rsidR="00AA5C8C" w:rsidRPr="00A23740">
              <w:t xml:space="preserve"> içinde gerçekleşen iltihaklar da kabul olunur.</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(8)</w:t>
            </w:r>
            <w:r w:rsidRPr="00A23740">
              <w:rPr>
                <w:szCs w:val="24"/>
              </w:rPr>
              <w:t xml:space="preserve"> Komiser, iltihak süresinin bitmesinden itibaren en geç </w:t>
            </w:r>
            <w:r w:rsidRPr="00A23740">
              <w:rPr>
                <w:rStyle w:val="KIRMIZIChar"/>
                <w:rFonts w:eastAsia="Calibri"/>
              </w:rPr>
              <w:t>yedi gün</w:t>
            </w:r>
            <w:r w:rsidRPr="00A23740">
              <w:rPr>
                <w:szCs w:val="24"/>
              </w:rPr>
              <w:t xml:space="preserve"> içinde konkordatoya ilişkin bütün belgeler</w:t>
            </w:r>
            <w:r w:rsidRPr="004A4973">
              <w:rPr>
                <w:rStyle w:val="KIRMIZIChar"/>
                <w:rFonts w:eastAsia="Calibri"/>
              </w:rPr>
              <w:t>i,</w:t>
            </w:r>
            <w:r w:rsidRPr="00A23740">
              <w:rPr>
                <w:szCs w:val="24"/>
              </w:rPr>
              <w:t xml:space="preserve"> konkordato projesinin kabul edilip edilmediğine ve tasdikinin uygun olup olmadığına </w:t>
            </w:r>
            <w:r w:rsidRPr="00A23740">
              <w:rPr>
                <w:rStyle w:val="KIRMIZIChar"/>
                <w:rFonts w:eastAsia="Calibri"/>
              </w:rPr>
              <w:t>dair</w:t>
            </w:r>
            <w:r w:rsidRPr="00A23740">
              <w:rPr>
                <w:szCs w:val="24"/>
              </w:rPr>
              <w:t xml:space="preserve"> gerekçeli raporunu mahkemeye tevdi eder.</w:t>
            </w:r>
          </w:p>
          <w:p w:rsidR="00AA5C8C" w:rsidRPr="00A23740" w:rsidRDefault="00AA5C8C" w:rsidP="009431FF">
            <w:pPr>
              <w:rPr>
                <w:szCs w:val="24"/>
              </w:rPr>
            </w:pPr>
          </w:p>
          <w:p w:rsidR="00AA5C8C" w:rsidRPr="00A23740" w:rsidRDefault="00AA5C8C" w:rsidP="009431FF">
            <w:pPr>
              <w:pStyle w:val="KIRMIZI"/>
            </w:pPr>
            <w:r w:rsidRPr="00A23740">
              <w:rPr>
                <w:rStyle w:val="KIRMIZIChar"/>
                <w:rFonts w:eastAsia="Calibri"/>
                <w:b/>
                <w:bCs/>
                <w:strike/>
              </w:rPr>
              <w:t>(4)</w:t>
            </w:r>
            <w:r w:rsidRPr="00A23740">
              <w:t xml:space="preserve"> Oylamada sadece konkordato projesinden etkilenen alacaklılar oy kullanabilir. 206 ncı maddenin birinci sırasında yazılı imtiyazlı alacakların alacaklıları ve borçlunun eşi ve çocuğu ile kendisinin ve evlilik bağı ortadan kalkmış olsa dahi eşinin anası, babası ve kardeşi alacak ve alacaklı çoğunluğunun hesabında dikkate alınmaz.</w:t>
            </w:r>
          </w:p>
          <w:p w:rsidR="00AA5C8C" w:rsidRPr="00A23740" w:rsidRDefault="00AA5C8C" w:rsidP="009431FF">
            <w:pPr>
              <w:pStyle w:val="KIRMIZI"/>
            </w:pPr>
          </w:p>
          <w:p w:rsidR="00AA5C8C" w:rsidRPr="00A23740" w:rsidRDefault="00AA5C8C" w:rsidP="009431FF">
            <w:pPr>
              <w:pStyle w:val="KIRMIZI"/>
            </w:pPr>
            <w:r w:rsidRPr="00A23740">
              <w:rPr>
                <w:rStyle w:val="KIRMIZIChar"/>
                <w:rFonts w:eastAsia="Calibri"/>
                <w:b/>
                <w:bCs/>
                <w:strike/>
              </w:rPr>
              <w:t>(5)</w:t>
            </w:r>
            <w:r w:rsidRPr="00A23740">
              <w:t xml:space="preserve"> Rehinle temin edilmiş olan alacaklar, 298 inci madde uyarınca takdir edilen kıymet sonucunda teminatsız kaldıkları kısım için hesaba katılırlar.</w:t>
            </w:r>
          </w:p>
          <w:p w:rsidR="009A013D" w:rsidRDefault="009A013D" w:rsidP="009431FF">
            <w:pPr>
              <w:pStyle w:val="KIRMIZI"/>
            </w:pPr>
          </w:p>
          <w:p w:rsidR="00AA5C8C" w:rsidRPr="00A23740" w:rsidRDefault="00AA5C8C" w:rsidP="009431FF">
            <w:pPr>
              <w:pStyle w:val="KIRMIZI"/>
            </w:pPr>
            <w:r w:rsidRPr="00A23740">
              <w:rPr>
                <w:rStyle w:val="KIRMIZIChar"/>
                <w:rFonts w:eastAsia="Calibri"/>
                <w:b/>
                <w:bCs/>
                <w:strike/>
              </w:rPr>
              <w:t>(6)</w:t>
            </w:r>
            <w:r w:rsidRPr="00A23740">
              <w:t xml:space="preserve"> Çekişmeli veya geciktirici koşula bağlı yahut belirli olmayan bir vadeye tabi alacakların hesaba katılıp katılmamasına ve ne oranda katılacağına mahkeme karar verir. Şu kadar ki bu iddialar hakkında ileride mahkemece verilecek hükümler saklıdır.</w:t>
            </w:r>
          </w:p>
          <w:p w:rsidR="00AA5C8C" w:rsidRPr="00A23740" w:rsidRDefault="00AA5C8C" w:rsidP="009431FF">
            <w:pPr>
              <w:rPr>
                <w:i/>
                <w:szCs w:val="24"/>
              </w:rPr>
            </w:pPr>
          </w:p>
        </w:tc>
        <w:tc>
          <w:tcPr>
            <w:tcW w:w="2500" w:type="pct"/>
          </w:tcPr>
          <w:p w:rsidR="00AA5C8C" w:rsidRPr="00A23740" w:rsidRDefault="00AA5C8C" w:rsidP="009431FF">
            <w:pPr>
              <w:pStyle w:val="Mavi"/>
              <w:jc w:val="center"/>
              <w:rPr>
                <w:lang w:val="tr-TR"/>
              </w:rPr>
            </w:pPr>
            <w:r w:rsidRPr="00A23740">
              <w:rPr>
                <w:lang w:val="tr-TR"/>
              </w:rPr>
              <w:t>DÖRDÜNCÜ AYRIM</w:t>
            </w:r>
          </w:p>
          <w:p w:rsidR="00AA5C8C" w:rsidRPr="00A23740" w:rsidRDefault="00AA5C8C" w:rsidP="009431FF">
            <w:pPr>
              <w:pStyle w:val="Mavi"/>
              <w:jc w:val="center"/>
              <w:rPr>
                <w:lang w:val="tr-TR"/>
              </w:rPr>
            </w:pPr>
            <w:r w:rsidRPr="00A23740">
              <w:rPr>
                <w:lang w:val="tr-TR"/>
              </w:rPr>
              <w:t>Alacaklılar Toplantısı ve Konkordatonun</w:t>
            </w:r>
          </w:p>
          <w:p w:rsidR="00AA5C8C" w:rsidRPr="00A23740" w:rsidRDefault="00AA5C8C" w:rsidP="009431FF">
            <w:pPr>
              <w:pStyle w:val="Mavi"/>
              <w:jc w:val="center"/>
              <w:rPr>
                <w:lang w:val="tr-TR"/>
              </w:rPr>
            </w:pPr>
            <w:r w:rsidRPr="00A23740">
              <w:rPr>
                <w:lang w:val="tr-TR"/>
              </w:rPr>
              <w:t>Mahkemede İncelenmesi</w:t>
            </w:r>
          </w:p>
          <w:p w:rsidR="00AA5C8C" w:rsidRPr="00A23740" w:rsidRDefault="00AA5C8C" w:rsidP="009431FF">
            <w:pPr>
              <w:rPr>
                <w:i/>
                <w:szCs w:val="24"/>
              </w:rPr>
            </w:pPr>
          </w:p>
          <w:p w:rsidR="00AA5C8C" w:rsidRPr="00A23740" w:rsidRDefault="00AA5C8C" w:rsidP="009431FF">
            <w:pPr>
              <w:rPr>
                <w:b/>
                <w:szCs w:val="24"/>
                <w:vertAlign w:val="superscript"/>
              </w:rPr>
            </w:pPr>
            <w:r w:rsidRPr="00A23740">
              <w:rPr>
                <w:b/>
                <w:szCs w:val="24"/>
              </w:rPr>
              <w:t>Alacaklılar toplantısı</w:t>
            </w:r>
          </w:p>
          <w:p w:rsidR="00AA5C8C" w:rsidRPr="00A23740" w:rsidRDefault="001400A7" w:rsidP="009431FF">
            <w:pPr>
              <w:rPr>
                <w:szCs w:val="24"/>
              </w:rPr>
            </w:pPr>
            <w:r w:rsidRPr="00A23740">
              <w:rPr>
                <w:rStyle w:val="MaviChar"/>
                <w:lang w:val="tr-TR"/>
              </w:rPr>
              <w:t>MADDE 39</w:t>
            </w:r>
            <w:r w:rsidR="003E49A5" w:rsidRPr="00A23740">
              <w:rPr>
                <w:rStyle w:val="MaviChar"/>
                <w:lang w:val="tr-TR"/>
              </w:rPr>
              <w:t>4</w:t>
            </w:r>
            <w:r w:rsidR="00AA5C8C" w:rsidRPr="00A23740">
              <w:rPr>
                <w:rStyle w:val="MaviChar"/>
                <w:lang w:val="tr-TR"/>
              </w:rPr>
              <w:t>- (1)</w:t>
            </w:r>
            <w:r w:rsidR="00AA5C8C" w:rsidRPr="00A23740">
              <w:rPr>
                <w:szCs w:val="24"/>
              </w:rPr>
              <w:t xml:space="preserve"> Komiser</w:t>
            </w:r>
            <w:r w:rsidR="00AA5C8C" w:rsidRPr="00A23740">
              <w:rPr>
                <w:rStyle w:val="MaviChar"/>
              </w:rPr>
              <w:t>,</w:t>
            </w:r>
            <w:r w:rsidR="00AA5C8C" w:rsidRPr="00A23740">
              <w:rPr>
                <w:szCs w:val="24"/>
              </w:rPr>
              <w:t xml:space="preserve"> alacaklılar toplantısına başkanlık eder ve borçlunun durumu hakkında bir rapor verir.</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r w:rsidRPr="00A23740">
              <w:rPr>
                <w:rStyle w:val="MaviChar"/>
                <w:lang w:val="tr-TR"/>
              </w:rPr>
              <w:t>(2)</w:t>
            </w:r>
            <w:r w:rsidRPr="00A23740">
              <w:rPr>
                <w:szCs w:val="24"/>
              </w:rPr>
              <w:t xml:space="preserve"> Borçlu</w:t>
            </w:r>
            <w:r w:rsidRPr="00A23740">
              <w:rPr>
                <w:rStyle w:val="MaviChar"/>
              </w:rPr>
              <w:t>,</w:t>
            </w:r>
            <w:r w:rsidRPr="00A23740">
              <w:rPr>
                <w:szCs w:val="24"/>
              </w:rPr>
              <w:t xml:space="preserve"> gerekli açıklamaları yapmak üzere toplantıda hazır bulunma</w:t>
            </w:r>
            <w:r w:rsidRPr="00A23740">
              <w:rPr>
                <w:rStyle w:val="MaviChar"/>
              </w:rPr>
              <w:t>k zorundadır</w:t>
            </w:r>
            <w:r w:rsidRPr="00A23740">
              <w:rPr>
                <w:szCs w:val="24"/>
              </w:rPr>
              <w:t>.</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4557EF" w:rsidRPr="00A23740" w:rsidRDefault="004557EF" w:rsidP="009431FF">
            <w:pPr>
              <w:rPr>
                <w:szCs w:val="24"/>
              </w:rPr>
            </w:pPr>
          </w:p>
          <w:p w:rsidR="004557EF" w:rsidRPr="00A23740" w:rsidRDefault="004557EF" w:rsidP="009431FF">
            <w:pPr>
              <w:rPr>
                <w:szCs w:val="24"/>
              </w:rPr>
            </w:pPr>
          </w:p>
          <w:p w:rsidR="004557EF" w:rsidRPr="00A23740" w:rsidRDefault="004557EF" w:rsidP="009431FF">
            <w:pPr>
              <w:rPr>
                <w:szCs w:val="24"/>
              </w:rPr>
            </w:pPr>
          </w:p>
          <w:p w:rsidR="00AA5C8C" w:rsidRPr="00A23740" w:rsidRDefault="00AA5C8C" w:rsidP="009431FF">
            <w:pPr>
              <w:pStyle w:val="Mavi"/>
            </w:pPr>
            <w:r w:rsidRPr="00A23740">
              <w:t>(3) Komiser, toplantı sırasında yapılan müzakere ile kabul ve ret oylarını katılanların imzasını almak suretiyle tutanağa bağlar. Bu tutanak komiser ve varsa toplantıda hazır bulunan alacaklılar kurulu tarafından imzalanır.</w:t>
            </w:r>
          </w:p>
          <w:p w:rsidR="00AA5C8C" w:rsidRPr="00A23740" w:rsidRDefault="00AA5C8C" w:rsidP="009431FF">
            <w:pPr>
              <w:pStyle w:val="YEL"/>
              <w:rPr>
                <w:lang w:val="tr-TR"/>
              </w:rPr>
            </w:pPr>
          </w:p>
          <w:p w:rsidR="00AA5C8C" w:rsidRPr="00A23740" w:rsidRDefault="00AA5C8C" w:rsidP="009431FF">
            <w:pPr>
              <w:pStyle w:val="Mavi"/>
            </w:pPr>
            <w:r w:rsidRPr="00A23740">
              <w:t xml:space="preserve">(4) </w:t>
            </w:r>
            <w:r w:rsidRPr="00A23740">
              <w:rPr>
                <w:b w:val="0"/>
                <w:bCs w:val="0"/>
                <w:color w:val="auto"/>
                <w:szCs w:val="22"/>
                <w:lang w:val="tr-TR" w:eastAsia="en-US"/>
              </w:rPr>
              <w:t xml:space="preserve">Toplantının bitimini takip eden </w:t>
            </w:r>
            <w:r w:rsidRPr="00A23740">
              <w:rPr>
                <w:lang w:val="tr-TR" w:eastAsia="en-US"/>
              </w:rPr>
              <w:t>bir hafta</w:t>
            </w:r>
            <w:r w:rsidRPr="00A23740">
              <w:rPr>
                <w:b w:val="0"/>
                <w:bCs w:val="0"/>
                <w:color w:val="auto"/>
                <w:szCs w:val="22"/>
                <w:lang w:val="tr-TR" w:eastAsia="en-US"/>
              </w:rPr>
              <w:t xml:space="preserve"> içinde gerçekleşen iltihaklar da kabul olunur.</w:t>
            </w:r>
          </w:p>
          <w:p w:rsidR="00AA5C8C" w:rsidRPr="00A23740" w:rsidRDefault="00AA5C8C" w:rsidP="009431FF">
            <w:pPr>
              <w:rPr>
                <w:rFonts w:eastAsia="Times New Roman"/>
                <w:b/>
                <w:color w:val="FF0000"/>
                <w:szCs w:val="24"/>
                <w:lang w:eastAsia="tr-TR"/>
              </w:rPr>
            </w:pPr>
          </w:p>
          <w:p w:rsidR="00AA5C8C" w:rsidRPr="00A23740" w:rsidRDefault="00AA5C8C" w:rsidP="009431FF">
            <w:pPr>
              <w:pStyle w:val="Nor"/>
              <w:tabs>
                <w:tab w:val="clear" w:pos="567"/>
              </w:tabs>
              <w:rPr>
                <w:rFonts w:ascii="Times New Roman" w:hAnsi="Times New Roman"/>
                <w:sz w:val="24"/>
                <w:szCs w:val="24"/>
                <w:lang w:val="tr-TR"/>
              </w:rPr>
            </w:pPr>
            <w:r w:rsidRPr="00A23740">
              <w:rPr>
                <w:rStyle w:val="MaviChar"/>
                <w:rFonts w:eastAsia="ヒラギノ明朝 Pro W3"/>
              </w:rPr>
              <w:t>(5)</w:t>
            </w:r>
            <w:r w:rsidRPr="00A23740">
              <w:rPr>
                <w:rFonts w:ascii="Times New Roman" w:hAnsi="Times New Roman"/>
                <w:sz w:val="24"/>
                <w:szCs w:val="24"/>
                <w:lang w:val="tr-TR"/>
              </w:rPr>
              <w:t xml:space="preserve"> Komiser, iltihak süresinin bitmesinden itibaren en geç </w:t>
            </w:r>
            <w:r w:rsidRPr="00A23740">
              <w:rPr>
                <w:rStyle w:val="MaviChar"/>
                <w:rFonts w:eastAsia="ヒラギノ明朝 Pro W3"/>
              </w:rPr>
              <w:t>iki</w:t>
            </w:r>
            <w:r w:rsidRPr="00A23740">
              <w:rPr>
                <w:rStyle w:val="MaviChar"/>
                <w:lang w:val="tr-TR"/>
              </w:rPr>
              <w:t xml:space="preserve"> hafta</w:t>
            </w:r>
            <w:r w:rsidRPr="00A23740">
              <w:rPr>
                <w:rFonts w:ascii="Times New Roman" w:hAnsi="Times New Roman"/>
                <w:sz w:val="24"/>
                <w:szCs w:val="24"/>
                <w:lang w:val="tr-TR"/>
              </w:rPr>
              <w:t xml:space="preserve"> içinde konkordatoya ilişkin bütün belgeler</w:t>
            </w:r>
            <w:r w:rsidR="00E33738" w:rsidRPr="00A23740">
              <w:rPr>
                <w:rStyle w:val="KIRMIZIChar"/>
                <w:strike w:val="0"/>
                <w:color w:val="538135"/>
                <w:lang w:val="tr-TR"/>
              </w:rPr>
              <w:t xml:space="preserve"> </w:t>
            </w:r>
            <w:r w:rsidR="00E33738" w:rsidRPr="000B3F1E">
              <w:rPr>
                <w:rStyle w:val="MaviChar"/>
              </w:rPr>
              <w:t>ile</w:t>
            </w:r>
            <w:r w:rsidRPr="00A23740">
              <w:rPr>
                <w:rFonts w:ascii="Times New Roman" w:hAnsi="Times New Roman"/>
                <w:sz w:val="24"/>
                <w:szCs w:val="24"/>
                <w:lang w:val="tr-TR"/>
              </w:rPr>
              <w:t xml:space="preserve"> konkordato projesinin kabul edilip edilmediğine ve tasdikinin uygun olup olmadığına </w:t>
            </w:r>
            <w:r w:rsidRPr="00A23740">
              <w:rPr>
                <w:rStyle w:val="MaviChar"/>
                <w:rFonts w:eastAsia="ヒラギノ明朝 Pro W3"/>
              </w:rPr>
              <w:t>ilişkin</w:t>
            </w:r>
            <w:r w:rsidRPr="00A23740">
              <w:rPr>
                <w:rFonts w:ascii="Times New Roman" w:hAnsi="Times New Roman"/>
                <w:sz w:val="24"/>
                <w:szCs w:val="24"/>
                <w:lang w:val="tr-TR"/>
              </w:rPr>
              <w:t xml:space="preserve"> gerekçeli raporunu mahkemeye tevdi eder.</w:t>
            </w:r>
          </w:p>
          <w:p w:rsidR="00AA5C8C" w:rsidRPr="00A23740" w:rsidRDefault="00AA5C8C" w:rsidP="009431FF">
            <w:pPr>
              <w:rPr>
                <w:rFonts w:eastAsia="Times New Roman"/>
                <w:i/>
                <w:szCs w:val="24"/>
                <w:lang w:eastAsia="tr-TR"/>
              </w:rPr>
            </w:pPr>
          </w:p>
          <w:p w:rsidR="00AA5C8C" w:rsidRPr="00A23740" w:rsidRDefault="00AA5C8C" w:rsidP="009431FF">
            <w:pPr>
              <w:rPr>
                <w:rFonts w:eastAsia="Times New Roman"/>
                <w:b/>
                <w:color w:val="FF0000"/>
                <w:szCs w:val="24"/>
                <w:lang w:eastAsia="tr-TR"/>
              </w:rPr>
            </w:pPr>
          </w:p>
          <w:p w:rsidR="00AA5C8C" w:rsidRPr="00A23740" w:rsidRDefault="00AA5C8C" w:rsidP="009431FF">
            <w:pPr>
              <w:pStyle w:val="KIRMIZI"/>
            </w:pPr>
          </w:p>
        </w:tc>
      </w:tr>
      <w:tr w:rsidR="005C3738" w:rsidRPr="00A23740" w:rsidTr="009431FF">
        <w:tc>
          <w:tcPr>
            <w:tcW w:w="5000" w:type="pct"/>
            <w:gridSpan w:val="2"/>
            <w:shd w:val="clear" w:color="auto" w:fill="DEEAF6"/>
          </w:tcPr>
          <w:p w:rsidR="00851E16" w:rsidRPr="00A23740" w:rsidRDefault="00851E16" w:rsidP="009431FF">
            <w:pPr>
              <w:ind w:firstLine="709"/>
            </w:pPr>
          </w:p>
          <w:p w:rsidR="00561705" w:rsidRPr="00A23740" w:rsidRDefault="001400A7" w:rsidP="009431FF">
            <w:pPr>
              <w:ind w:firstLine="709"/>
              <w:rPr>
                <w:szCs w:val="24"/>
                <w:lang w:eastAsia="x-none"/>
              </w:rPr>
            </w:pPr>
            <w:r w:rsidRPr="00A23740">
              <w:rPr>
                <w:b/>
              </w:rPr>
              <w:t>MADDE 39</w:t>
            </w:r>
            <w:r w:rsidR="003E49A5" w:rsidRPr="00A23740">
              <w:rPr>
                <w:b/>
              </w:rPr>
              <w:t>4</w:t>
            </w:r>
            <w:r w:rsidR="00851E16" w:rsidRPr="00A23740">
              <w:rPr>
                <w:b/>
              </w:rPr>
              <w:t>-</w:t>
            </w:r>
            <w:r w:rsidR="00851E16" w:rsidRPr="00A23740">
              <w:t xml:space="preserve"> Maddeyle, alacaklılar toplantısına ilişkin hususlar düzenlenmektedir. 2004 sayılı Kanun</w:t>
            </w:r>
            <w:r w:rsidR="00561705" w:rsidRPr="00A23740">
              <w:t>un 302 inci maddesinde “</w:t>
            </w:r>
            <w:r w:rsidR="00561705" w:rsidRPr="00A23740">
              <w:rPr>
                <w:iCs/>
                <w:szCs w:val="24"/>
              </w:rPr>
              <w:t>Alacaklılar toplantısı</w:t>
            </w:r>
            <w:r w:rsidR="00561705" w:rsidRPr="00A23740">
              <w:rPr>
                <w:i/>
                <w:szCs w:val="24"/>
              </w:rPr>
              <w:t xml:space="preserve"> </w:t>
            </w:r>
            <w:r w:rsidR="00561705" w:rsidRPr="00A23740">
              <w:rPr>
                <w:lang w:val="x-none" w:eastAsia="x-none"/>
              </w:rPr>
              <w:t>ve projenin kabulü için gerekli çoğunluk”</w:t>
            </w:r>
            <w:r w:rsidR="00851E16" w:rsidRPr="00A23740">
              <w:rPr>
                <w:lang w:val="x-none" w:eastAsia="x-none"/>
              </w:rPr>
              <w:t xml:space="preserve"> aynı maddede düzenlenmiş iken</w:t>
            </w:r>
            <w:r w:rsidR="00A73973" w:rsidRPr="00A23740">
              <w:rPr>
                <w:lang w:eastAsia="x-none"/>
              </w:rPr>
              <w:t>,</w:t>
            </w:r>
            <w:r w:rsidR="00851E16" w:rsidRPr="00A23740">
              <w:rPr>
                <w:lang w:val="x-none" w:eastAsia="x-none"/>
              </w:rPr>
              <w:t xml:space="preserve"> </w:t>
            </w:r>
            <w:r w:rsidR="00EC5DBB" w:rsidRPr="000B3F1E">
              <w:t>bu madde</w:t>
            </w:r>
            <w:r w:rsidR="00561705" w:rsidRPr="00A23740">
              <w:rPr>
                <w:lang w:val="x-none" w:eastAsia="x-none"/>
              </w:rPr>
              <w:t xml:space="preserve"> “Alacaklılar Toplantısı” başlığını taşımaktadır. “Projenin kabulü için gerekli çoğunluk”</w:t>
            </w:r>
            <w:r w:rsidR="00EC5DBB" w:rsidRPr="00A23740">
              <w:rPr>
                <w:lang w:eastAsia="x-none"/>
              </w:rPr>
              <w:t xml:space="preserve"> </w:t>
            </w:r>
            <w:r w:rsidR="00EC5DBB" w:rsidRPr="000B3F1E">
              <w:t>395 inci</w:t>
            </w:r>
            <w:r w:rsidR="00851E16" w:rsidRPr="00A23740">
              <w:rPr>
                <w:lang w:eastAsia="x-none"/>
              </w:rPr>
              <w:t xml:space="preserve"> </w:t>
            </w:r>
            <w:r w:rsidR="00561705" w:rsidRPr="00A23740">
              <w:rPr>
                <w:lang w:val="x-none" w:eastAsia="x-none"/>
              </w:rPr>
              <w:t xml:space="preserve">maddede düzenlenmiştir. </w:t>
            </w:r>
          </w:p>
          <w:p w:rsidR="009D2501" w:rsidRPr="00A23740" w:rsidRDefault="00561705" w:rsidP="009431FF">
            <w:pPr>
              <w:tabs>
                <w:tab w:val="left" w:pos="567"/>
              </w:tabs>
              <w:ind w:firstLine="709"/>
              <w:rPr>
                <w:szCs w:val="24"/>
                <w:lang w:eastAsia="x-none"/>
              </w:rPr>
            </w:pPr>
            <w:r w:rsidRPr="00A23740">
              <w:rPr>
                <w:szCs w:val="24"/>
                <w:lang w:eastAsia="x-none"/>
              </w:rPr>
              <w:t xml:space="preserve">Maddenin üçüncü fıkrasında </w:t>
            </w:r>
            <w:r w:rsidR="00851E16" w:rsidRPr="00A23740">
              <w:rPr>
                <w:szCs w:val="24"/>
                <w:lang w:val="x-none" w:eastAsia="x-none"/>
              </w:rPr>
              <w:t>alacak</w:t>
            </w:r>
            <w:r w:rsidR="004E11C8" w:rsidRPr="00A23740">
              <w:rPr>
                <w:szCs w:val="24"/>
                <w:lang w:eastAsia="x-none"/>
              </w:rPr>
              <w:t>lı</w:t>
            </w:r>
            <w:r w:rsidR="00851E16" w:rsidRPr="00A23740">
              <w:rPr>
                <w:szCs w:val="24"/>
                <w:lang w:val="x-none" w:eastAsia="x-none"/>
              </w:rPr>
              <w:t>lar toplantısını</w:t>
            </w:r>
            <w:r w:rsidRPr="00A23740">
              <w:rPr>
                <w:szCs w:val="24"/>
                <w:lang w:val="x-none" w:eastAsia="x-none"/>
              </w:rPr>
              <w:t xml:space="preserve">n </w:t>
            </w:r>
            <w:r w:rsidR="00851E16" w:rsidRPr="00A23740">
              <w:rPr>
                <w:szCs w:val="24"/>
                <w:lang w:eastAsia="x-none"/>
              </w:rPr>
              <w:t xml:space="preserve">yapılması </w:t>
            </w:r>
            <w:r w:rsidRPr="00A23740">
              <w:rPr>
                <w:szCs w:val="24"/>
                <w:lang w:val="x-none" w:eastAsia="x-none"/>
              </w:rPr>
              <w:t>usulüne i</w:t>
            </w:r>
            <w:r w:rsidR="00851E16" w:rsidRPr="00A23740">
              <w:rPr>
                <w:szCs w:val="24"/>
                <w:lang w:val="x-none" w:eastAsia="x-none"/>
              </w:rPr>
              <w:t xml:space="preserve">lişkin olarak komiserin toplantı sonunda </w:t>
            </w:r>
            <w:r w:rsidR="00A73973" w:rsidRPr="00A23740">
              <w:rPr>
                <w:szCs w:val="24"/>
                <w:lang w:eastAsia="x-none"/>
              </w:rPr>
              <w:t xml:space="preserve"> hazırlayacağı </w:t>
            </w:r>
            <w:r w:rsidR="00851E16" w:rsidRPr="00A23740">
              <w:rPr>
                <w:szCs w:val="24"/>
                <w:lang w:val="x-none" w:eastAsia="x-none"/>
              </w:rPr>
              <w:t>tutanağı</w:t>
            </w:r>
            <w:r w:rsidRPr="00A23740">
              <w:rPr>
                <w:szCs w:val="24"/>
                <w:lang w:val="x-none" w:eastAsia="x-none"/>
              </w:rPr>
              <w:t xml:space="preserve">n içeriği </w:t>
            </w:r>
            <w:r w:rsidR="00851E16" w:rsidRPr="00A23740">
              <w:rPr>
                <w:szCs w:val="24"/>
                <w:lang w:eastAsia="x-none"/>
              </w:rPr>
              <w:t>açıklığa</w:t>
            </w:r>
            <w:r w:rsidRPr="00A23740">
              <w:rPr>
                <w:szCs w:val="24"/>
                <w:lang w:val="x-none" w:eastAsia="x-none"/>
              </w:rPr>
              <w:t xml:space="preserve"> kavuşturulmak suretiyle düzenleme </w:t>
            </w:r>
            <w:r w:rsidR="00851E16" w:rsidRPr="00A23740">
              <w:rPr>
                <w:szCs w:val="24"/>
                <w:lang w:eastAsia="x-none"/>
              </w:rPr>
              <w:t>yapılmış</w:t>
            </w:r>
            <w:r w:rsidRPr="00A23740">
              <w:rPr>
                <w:szCs w:val="24"/>
                <w:lang w:val="x-none" w:eastAsia="x-none"/>
              </w:rPr>
              <w:t xml:space="preserve"> ve burada komiserin müzakere süreci de dahil olmak üzere </w:t>
            </w:r>
            <w:r w:rsidR="00851E16" w:rsidRPr="00A23740">
              <w:rPr>
                <w:szCs w:val="24"/>
                <w:lang w:eastAsia="x-none"/>
              </w:rPr>
              <w:t xml:space="preserve">toplantı hakkında </w:t>
            </w:r>
            <w:r w:rsidRPr="00A23740">
              <w:rPr>
                <w:szCs w:val="24"/>
                <w:lang w:val="x-none" w:eastAsia="x-none"/>
              </w:rPr>
              <w:t xml:space="preserve">bilgi vermesi </w:t>
            </w:r>
            <w:r w:rsidRPr="00A23740">
              <w:rPr>
                <w:szCs w:val="24"/>
                <w:lang w:eastAsia="x-none"/>
              </w:rPr>
              <w:t xml:space="preserve">ve alacaklılar kurulunun </w:t>
            </w:r>
            <w:r w:rsidR="00851E16" w:rsidRPr="00A23740">
              <w:rPr>
                <w:szCs w:val="24"/>
                <w:lang w:eastAsia="x-none"/>
              </w:rPr>
              <w:t>imzasını</w:t>
            </w:r>
            <w:r w:rsidRPr="00A23740">
              <w:rPr>
                <w:szCs w:val="24"/>
                <w:lang w:val="x-none" w:eastAsia="x-none"/>
              </w:rPr>
              <w:t xml:space="preserve"> da tutanak </w:t>
            </w:r>
            <w:r w:rsidR="00851E16" w:rsidRPr="00A23740">
              <w:rPr>
                <w:szCs w:val="24"/>
                <w:lang w:eastAsia="x-none"/>
              </w:rPr>
              <w:t xml:space="preserve">altına </w:t>
            </w:r>
            <w:r w:rsidR="00851E16" w:rsidRPr="00A23740">
              <w:rPr>
                <w:szCs w:val="24"/>
                <w:lang w:val="x-none" w:eastAsia="x-none"/>
              </w:rPr>
              <w:t xml:space="preserve">alması hususu </w:t>
            </w:r>
            <w:r w:rsidR="00851E16" w:rsidRPr="00A23740">
              <w:rPr>
                <w:szCs w:val="24"/>
                <w:lang w:eastAsia="x-none"/>
              </w:rPr>
              <w:t>açıklanmıştır</w:t>
            </w:r>
            <w:r w:rsidR="009D2501" w:rsidRPr="00A23740">
              <w:rPr>
                <w:szCs w:val="24"/>
                <w:lang w:eastAsia="x-none"/>
              </w:rPr>
              <w:t>.</w:t>
            </w:r>
          </w:p>
          <w:p w:rsidR="00561705" w:rsidRPr="00A23740" w:rsidRDefault="009D2501" w:rsidP="009431FF">
            <w:pPr>
              <w:tabs>
                <w:tab w:val="left" w:pos="567"/>
              </w:tabs>
              <w:ind w:firstLine="709"/>
              <w:rPr>
                <w:szCs w:val="24"/>
                <w:lang w:val="x-none" w:eastAsia="x-none"/>
              </w:rPr>
            </w:pPr>
            <w:r w:rsidRPr="00A23740">
              <w:rPr>
                <w:szCs w:val="24"/>
                <w:lang w:eastAsia="x-none"/>
              </w:rPr>
              <w:t>“İltihak” sözcüğü, artık yerleşmiş teknik bir terim niteliğine büründüğünden maddede muhafaza edilmiştir.</w:t>
            </w:r>
            <w:r w:rsidR="00851E16" w:rsidRPr="00A23740">
              <w:rPr>
                <w:szCs w:val="24"/>
                <w:lang w:val="x-none" w:eastAsia="x-none"/>
              </w:rPr>
              <w:t xml:space="preserve"> </w:t>
            </w:r>
          </w:p>
          <w:p w:rsidR="00561705" w:rsidRPr="00A23740" w:rsidRDefault="00561705" w:rsidP="009431FF">
            <w:pPr>
              <w:tabs>
                <w:tab w:val="left" w:pos="567"/>
              </w:tabs>
              <w:ind w:firstLine="709"/>
              <w:rPr>
                <w:szCs w:val="24"/>
                <w:lang w:eastAsia="x-none"/>
              </w:rPr>
            </w:pPr>
            <w:r w:rsidRPr="00A23740">
              <w:rPr>
                <w:szCs w:val="24"/>
                <w:lang w:val="x-none" w:eastAsia="x-none"/>
              </w:rPr>
              <w:t xml:space="preserve">Maddenin </w:t>
            </w:r>
            <w:r w:rsidRPr="00A23740">
              <w:rPr>
                <w:szCs w:val="24"/>
                <w:lang w:eastAsia="x-none"/>
              </w:rPr>
              <w:t>beşinci</w:t>
            </w:r>
            <w:r w:rsidR="00851E16" w:rsidRPr="00A23740">
              <w:rPr>
                <w:szCs w:val="24"/>
                <w:lang w:eastAsia="x-none"/>
              </w:rPr>
              <w:t xml:space="preserve"> fıkrasıyla, 2004 sayılı Kanun</w:t>
            </w:r>
            <w:r w:rsidRPr="00A23740">
              <w:rPr>
                <w:szCs w:val="24"/>
                <w:lang w:eastAsia="x-none"/>
              </w:rPr>
              <w:t xml:space="preserve">da </w:t>
            </w:r>
            <w:r w:rsidRPr="00A23740">
              <w:rPr>
                <w:szCs w:val="24"/>
                <w:lang w:val="x-none" w:eastAsia="tr-TR"/>
              </w:rPr>
              <w:t>bir hafta</w:t>
            </w:r>
            <w:r w:rsidRPr="00A23740">
              <w:rPr>
                <w:szCs w:val="24"/>
                <w:lang w:eastAsia="tr-TR"/>
              </w:rPr>
              <w:t xml:space="preserve"> olarak düzenlenmiş olan </w:t>
            </w:r>
            <w:r w:rsidRPr="00A23740">
              <w:rPr>
                <w:szCs w:val="24"/>
                <w:lang w:val="x-none" w:eastAsia="tr-TR"/>
              </w:rPr>
              <w:t xml:space="preserve">süre </w:t>
            </w:r>
            <w:r w:rsidRPr="00A23740">
              <w:rPr>
                <w:szCs w:val="24"/>
                <w:lang w:eastAsia="tr-TR"/>
              </w:rPr>
              <w:t>bazı h</w:t>
            </w:r>
            <w:r w:rsidR="00D271B8" w:rsidRPr="00A23740">
              <w:rPr>
                <w:szCs w:val="24"/>
                <w:lang w:eastAsia="tr-TR"/>
              </w:rPr>
              <w:t>â</w:t>
            </w:r>
            <w:r w:rsidRPr="00A23740">
              <w:rPr>
                <w:szCs w:val="24"/>
                <w:lang w:eastAsia="tr-TR"/>
              </w:rPr>
              <w:t xml:space="preserve">llerde </w:t>
            </w:r>
            <w:r w:rsidR="00851E16" w:rsidRPr="00A23740">
              <w:rPr>
                <w:szCs w:val="24"/>
                <w:lang w:eastAsia="tr-TR"/>
              </w:rPr>
              <w:t>sağlıklı</w:t>
            </w:r>
            <w:r w:rsidR="00851E16" w:rsidRPr="00A23740">
              <w:rPr>
                <w:szCs w:val="24"/>
                <w:lang w:val="x-none" w:eastAsia="tr-TR"/>
              </w:rPr>
              <w:t xml:space="preserve"> bir komiser raporu yazılabilmesi için yeterli olmadığından iki haftaya çıkarılmıştı</w:t>
            </w:r>
            <w:r w:rsidRPr="00A23740">
              <w:rPr>
                <w:szCs w:val="24"/>
                <w:lang w:val="x-none" w:eastAsia="tr-TR"/>
              </w:rPr>
              <w:t>r.</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i/>
                <w:szCs w:val="24"/>
                <w:vertAlign w:val="superscript"/>
              </w:rPr>
            </w:pPr>
            <w:r w:rsidRPr="00A23740">
              <w:rPr>
                <w:rStyle w:val="KIRMIZIChar"/>
                <w:rFonts w:eastAsia="Calibri"/>
              </w:rPr>
              <w:t>Alacaklılar toplantısı ve</w:t>
            </w:r>
            <w:r w:rsidRPr="00A23740">
              <w:rPr>
                <w:i/>
                <w:szCs w:val="24"/>
              </w:rPr>
              <w:t xml:space="preserve"> projenin kabulü için gerekli çoğunluk</w:t>
            </w:r>
            <w:r w:rsidRPr="00A23740">
              <w:rPr>
                <w:rStyle w:val="KIRMIZIChar"/>
                <w:rFonts w:eastAsia="Calibri"/>
              </w:rPr>
              <w:t xml:space="preserve">: </w:t>
            </w:r>
          </w:p>
          <w:p w:rsidR="00AA5C8C" w:rsidRPr="00A23740" w:rsidRDefault="00AA5C8C" w:rsidP="009431FF">
            <w:pPr>
              <w:widowControl w:val="0"/>
              <w:rPr>
                <w:rStyle w:val="KIRMIZIChar"/>
                <w:rFonts w:eastAsia="Calibri"/>
              </w:rPr>
            </w:pPr>
            <w:r w:rsidRPr="00A23740">
              <w:rPr>
                <w:rStyle w:val="KIRMIZIChar"/>
                <w:rFonts w:eastAsia="Calibri"/>
              </w:rPr>
              <w:t xml:space="preserve">Madde 302- . . . </w:t>
            </w:r>
          </w:p>
          <w:p w:rsidR="00AA5C8C" w:rsidRPr="00A23740" w:rsidRDefault="00AA5C8C" w:rsidP="009431FF">
            <w:pPr>
              <w:widowControl w:val="0"/>
              <w:rPr>
                <w:szCs w:val="24"/>
              </w:rPr>
            </w:pPr>
            <w:r w:rsidRPr="00A23740">
              <w:rPr>
                <w:rStyle w:val="KIRMIZIChar"/>
                <w:rFonts w:eastAsia="Calibri"/>
              </w:rPr>
              <w:t>(3)</w:t>
            </w:r>
            <w:r w:rsidRPr="00A23740">
              <w:rPr>
                <w:szCs w:val="24"/>
              </w:rPr>
              <w:t xml:space="preserve"> Konkordato projesi;</w:t>
            </w:r>
          </w:p>
          <w:p w:rsidR="00AA5C8C" w:rsidRPr="00A23740" w:rsidRDefault="00AA5C8C" w:rsidP="009431FF">
            <w:pPr>
              <w:widowControl w:val="0"/>
              <w:rPr>
                <w:szCs w:val="24"/>
              </w:rPr>
            </w:pPr>
            <w:r w:rsidRPr="00A23740">
              <w:rPr>
                <w:szCs w:val="24"/>
              </w:rPr>
              <w:t>a) Kaydedilmiş olan alacaklıların ve alacakların yarısını veya</w:t>
            </w:r>
          </w:p>
          <w:p w:rsidR="00AA5C8C" w:rsidRPr="00A23740" w:rsidRDefault="00AA5C8C" w:rsidP="009431FF">
            <w:pPr>
              <w:widowControl w:val="0"/>
              <w:rPr>
                <w:szCs w:val="24"/>
              </w:rPr>
            </w:pPr>
            <w:r w:rsidRPr="00A23740">
              <w:rPr>
                <w:szCs w:val="24"/>
              </w:rPr>
              <w:t>b) Kaydedilmiş olan alacaklıların dörtte birini ve alacakların üçte ikisini, aşan bir çoğunluk tarafından imza edilmiş ise kabul edilmiş sayılır.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(4)</w:t>
            </w:r>
            <w:r w:rsidRPr="00A23740">
              <w:rPr>
                <w:szCs w:val="24"/>
              </w:rPr>
              <w:t xml:space="preserve"> Oylamada sadece konkordato projesin</w:t>
            </w:r>
            <w:r w:rsidRPr="00A23740">
              <w:rPr>
                <w:rStyle w:val="KIRMIZIChar"/>
                <w:rFonts w:eastAsia="Calibri"/>
              </w:rPr>
              <w:t>den</w:t>
            </w:r>
            <w:r w:rsidRPr="00A23740">
              <w:rPr>
                <w:szCs w:val="24"/>
              </w:rPr>
              <w:t xml:space="preserve"> </w:t>
            </w:r>
            <w:r w:rsidRPr="00A23740">
              <w:rPr>
                <w:rStyle w:val="KIRMIZIChar"/>
                <w:rFonts w:eastAsia="Calibri"/>
              </w:rPr>
              <w:t>etkilenen</w:t>
            </w:r>
            <w:r w:rsidRPr="00A23740">
              <w:rPr>
                <w:szCs w:val="24"/>
              </w:rPr>
              <w:t xml:space="preserve"> alacaklılar oy kullanabilir. </w:t>
            </w:r>
            <w:r w:rsidRPr="00A23740">
              <w:rPr>
                <w:rStyle w:val="KIRMIZIChar"/>
                <w:rFonts w:eastAsia="Calibri"/>
              </w:rPr>
              <w:t>206 ncı maddenin birinci sırasında yazılı imtiyazlı alacakların alacaklıları ve borçlunun eşi ve çocuğu ile kendisinin ve evlilik bağı ortadan kalkmış olsa dahi eşinin anası, babası ve kardeşi alacak ve alacaklı çoğunluğunun hesabında dikkate alınmaz.</w:t>
            </w:r>
          </w:p>
          <w:p w:rsidR="00AA5C8C" w:rsidRPr="00A23740" w:rsidRDefault="00AA5C8C" w:rsidP="009431FF">
            <w:pPr>
              <w:widowControl w:val="0"/>
              <w:rPr>
                <w:szCs w:val="24"/>
              </w:rPr>
            </w:pPr>
          </w:p>
          <w:p w:rsidR="00AA5C8C" w:rsidRPr="00A23740" w:rsidRDefault="00277039" w:rsidP="009431FF">
            <w:pPr>
              <w:widowControl w:val="0"/>
              <w:rPr>
                <w:szCs w:val="24"/>
              </w:rPr>
            </w:pPr>
            <w:r>
              <w:rPr>
                <w:b/>
                <w:color w:val="FF0000"/>
                <w:szCs w:val="24"/>
              </w:rPr>
              <w:t>M.302/F4.</w:t>
            </w:r>
            <w:r w:rsidR="00AA5C8C" w:rsidRPr="00A23740">
              <w:rPr>
                <w:b/>
                <w:color w:val="FF0000"/>
                <w:szCs w:val="24"/>
              </w:rPr>
              <w:t>C.2:</w:t>
            </w:r>
            <w:r w:rsidR="00AA5C8C" w:rsidRPr="00A23740">
              <w:rPr>
                <w:szCs w:val="24"/>
              </w:rPr>
              <w:t xml:space="preserve"> </w:t>
            </w:r>
            <w:r w:rsidR="00AA5C8C" w:rsidRPr="00A23740">
              <w:rPr>
                <w:rStyle w:val="KIRMIZIChar"/>
                <w:rFonts w:eastAsia="Calibri"/>
              </w:rPr>
              <w:t>206 ncı</w:t>
            </w:r>
            <w:r w:rsidR="00AA5C8C" w:rsidRPr="00A23740">
              <w:rPr>
                <w:szCs w:val="24"/>
              </w:rPr>
              <w:t xml:space="preserve"> maddenin birinci sırasında yazılı </w:t>
            </w:r>
            <w:r w:rsidR="00AA5C8C" w:rsidRPr="00A23740">
              <w:rPr>
                <w:rStyle w:val="KIRMIZIChar"/>
                <w:rFonts w:eastAsia="Calibri"/>
              </w:rPr>
              <w:t>imtiyazlı</w:t>
            </w:r>
            <w:r w:rsidR="00AA5C8C" w:rsidRPr="00A23740">
              <w:rPr>
                <w:szCs w:val="24"/>
              </w:rPr>
              <w:t xml:space="preserve"> alacaklar</w:t>
            </w:r>
            <w:r w:rsidR="00AA5C8C" w:rsidRPr="00A23740">
              <w:rPr>
                <w:rStyle w:val="KIRMIZIChar"/>
                <w:rFonts w:eastAsia="Calibri"/>
              </w:rPr>
              <w:t>ın</w:t>
            </w:r>
            <w:r w:rsidR="00AA5C8C" w:rsidRPr="00A23740">
              <w:rPr>
                <w:szCs w:val="24"/>
              </w:rPr>
              <w:t xml:space="preserve"> </w:t>
            </w:r>
            <w:r w:rsidR="00AA5C8C" w:rsidRPr="00A23740">
              <w:rPr>
                <w:rStyle w:val="KIRMIZIChar"/>
                <w:rFonts w:eastAsia="Calibri"/>
              </w:rPr>
              <w:t>alacaklıları</w:t>
            </w:r>
            <w:r w:rsidR="00AA5C8C" w:rsidRPr="00A23740">
              <w:rPr>
                <w:szCs w:val="24"/>
              </w:rPr>
              <w:t xml:space="preserve"> ve borçlunun eşi ve çocuğu ile kendisinin ve evlilik bağı ortadan kalkmış olsa dahi eşinin anası, babası ve kardeşi alacak ve alacaklı çoğunluğunun hesabında dikkate alınmaz.</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(5)</w:t>
            </w:r>
            <w:r w:rsidRPr="00A23740">
              <w:rPr>
                <w:szCs w:val="24"/>
              </w:rPr>
              <w:t xml:space="preserve"> Rehinle temin edilmiş olan alacaklar, </w:t>
            </w:r>
            <w:r w:rsidRPr="00A23740">
              <w:rPr>
                <w:rStyle w:val="KIRMIZIChar"/>
                <w:rFonts w:eastAsia="Calibri"/>
              </w:rPr>
              <w:t>298 inci</w:t>
            </w:r>
            <w:r w:rsidRPr="00A23740">
              <w:rPr>
                <w:szCs w:val="24"/>
              </w:rPr>
              <w:t xml:space="preserve"> madde uyarınca takdir edilen kıymet sonucunda teminatsız kaldıkları kısım için hesaba katılırlar.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(6)</w:t>
            </w:r>
            <w:r w:rsidRPr="00A23740">
              <w:rPr>
                <w:szCs w:val="24"/>
              </w:rPr>
              <w:t xml:space="preserve"> Çekişmeli veya geciktirici koşula bağlı yahut belirli olmayan bir vadeye tabi alacakların hesaba katılıp katılmamasına ve ne oranda katılacağına </w:t>
            </w:r>
            <w:r w:rsidRPr="00A23740">
              <w:rPr>
                <w:rStyle w:val="KIRMIZIChar"/>
                <w:rFonts w:eastAsia="Calibri"/>
              </w:rPr>
              <w:t>mahkeme</w:t>
            </w:r>
            <w:r w:rsidRPr="00A23740">
              <w:rPr>
                <w:szCs w:val="24"/>
              </w:rPr>
              <w:t xml:space="preserve"> karar verir. Şu kadar ki bu iddialar hakkında ileride mahkemece verilecek hükümler saklıdır.</w:t>
            </w:r>
          </w:p>
          <w:p w:rsidR="00AA5C8C" w:rsidRPr="00A23740" w:rsidRDefault="00AA5C8C" w:rsidP="009431FF">
            <w:pPr>
              <w:pStyle w:val="Nor"/>
              <w:widowControl w:val="0"/>
              <w:tabs>
                <w:tab w:val="clear" w:pos="567"/>
              </w:tabs>
              <w:rPr>
                <w:i/>
                <w:szCs w:val="24"/>
                <w:lang w:val="tr-TR"/>
              </w:rPr>
            </w:pPr>
          </w:p>
        </w:tc>
        <w:tc>
          <w:tcPr>
            <w:tcW w:w="2500" w:type="pct"/>
          </w:tcPr>
          <w:p w:rsidR="00AA5C8C" w:rsidRPr="00A23740" w:rsidRDefault="00AA5C8C" w:rsidP="009431FF">
            <w:pPr>
              <w:widowControl w:val="0"/>
              <w:rPr>
                <w:b/>
                <w:szCs w:val="24"/>
              </w:rPr>
            </w:pPr>
            <w:r w:rsidRPr="00A23740">
              <w:rPr>
                <w:b/>
                <w:szCs w:val="24"/>
              </w:rPr>
              <w:t>Projenin kabulü için gerekli çoğunluk</w:t>
            </w:r>
          </w:p>
          <w:p w:rsidR="00AA5C8C" w:rsidRPr="00A23740" w:rsidRDefault="001400A7" w:rsidP="009431FF">
            <w:pPr>
              <w:pStyle w:val="YEL"/>
              <w:widowControl w:val="0"/>
              <w:rPr>
                <w:rFonts w:eastAsia="Calibri"/>
                <w:b w:val="0"/>
                <w:color w:val="auto"/>
                <w:lang w:val="tr-TR"/>
              </w:rPr>
            </w:pPr>
            <w:r w:rsidRPr="00A23740">
              <w:rPr>
                <w:rStyle w:val="MaviChar"/>
                <w:b/>
              </w:rPr>
              <w:t>MADDE 395</w:t>
            </w:r>
            <w:r w:rsidR="00AA5C8C" w:rsidRPr="00A23740">
              <w:rPr>
                <w:rStyle w:val="MaviChar"/>
                <w:b/>
              </w:rPr>
              <w:t>-  (1)</w:t>
            </w:r>
            <w:r w:rsidR="00AA5C8C" w:rsidRPr="00A23740">
              <w:rPr>
                <w:lang w:val="tr-TR"/>
              </w:rPr>
              <w:t xml:space="preserve"> </w:t>
            </w:r>
            <w:r w:rsidR="00AA5C8C" w:rsidRPr="00A23740">
              <w:rPr>
                <w:rFonts w:eastAsia="Calibri"/>
                <w:b w:val="0"/>
                <w:color w:val="auto"/>
                <w:lang w:val="tr-TR"/>
              </w:rPr>
              <w:t>Konkordato projesi;</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szCs w:val="24"/>
              </w:rPr>
              <w:t>a) Kaydedilmiş olan alacaklıların ve alacakların yarısını veya</w:t>
            </w:r>
          </w:p>
          <w:p w:rsidR="00AA5C8C" w:rsidRPr="00A23740" w:rsidRDefault="00AA5C8C" w:rsidP="009431FF">
            <w:pPr>
              <w:widowControl w:val="0"/>
              <w:rPr>
                <w:szCs w:val="24"/>
              </w:rPr>
            </w:pPr>
            <w:r w:rsidRPr="00A23740">
              <w:rPr>
                <w:szCs w:val="24"/>
              </w:rPr>
              <w:t>b) Kaydedilmiş olan alacaklıların dörtte birini ve alacakların üçte ikisini,</w:t>
            </w:r>
          </w:p>
          <w:p w:rsidR="00AA5C8C" w:rsidRPr="00A23740" w:rsidRDefault="00AA5C8C" w:rsidP="009431FF">
            <w:pPr>
              <w:widowControl w:val="0"/>
              <w:rPr>
                <w:szCs w:val="24"/>
              </w:rPr>
            </w:pPr>
            <w:r w:rsidRPr="00A23740">
              <w:rPr>
                <w:szCs w:val="24"/>
              </w:rPr>
              <w:t>aşan bir çoğunluk tarafından imza edilmiş ise kabul edilmiş sayılır.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rPr>
              <w:t>(2)</w:t>
            </w:r>
            <w:r w:rsidRPr="00A23740">
              <w:rPr>
                <w:szCs w:val="24"/>
              </w:rPr>
              <w:t xml:space="preserve"> Oylamada sadece konkordato </w:t>
            </w:r>
            <w:r w:rsidRPr="00A23740">
              <w:rPr>
                <w:rStyle w:val="MaviChar"/>
              </w:rPr>
              <w:t>projesine tabi olan</w:t>
            </w:r>
            <w:r w:rsidRPr="00A23740">
              <w:rPr>
                <w:szCs w:val="24"/>
              </w:rPr>
              <w:t xml:space="preserve"> alaca</w:t>
            </w:r>
            <w:r w:rsidR="004A4973">
              <w:rPr>
                <w:szCs w:val="24"/>
              </w:rPr>
              <w:t xml:space="preserve">klılar oy </w:t>
            </w:r>
            <w:r w:rsidR="007D00E7" w:rsidRPr="000B3F1E">
              <w:rPr>
                <w:rStyle w:val="MaviChar"/>
              </w:rPr>
              <w:t>kullanabilirler</w:t>
            </w:r>
            <w:r w:rsidRPr="00A23740">
              <w:rPr>
                <w:szCs w:val="24"/>
              </w:rPr>
              <w:t>.</w:t>
            </w:r>
          </w:p>
          <w:p w:rsidR="00AA5C8C" w:rsidRPr="00A23740" w:rsidRDefault="00AA5C8C" w:rsidP="009431FF">
            <w:pPr>
              <w:widowControl w:val="0"/>
              <w:rPr>
                <w:szCs w:val="24"/>
              </w:rPr>
            </w:pPr>
          </w:p>
          <w:p w:rsidR="00AA5C8C" w:rsidRPr="00A23740" w:rsidRDefault="00AA5C8C" w:rsidP="009431FF">
            <w:pPr>
              <w:pStyle w:val="Stil5"/>
              <w:widowControl w:val="0"/>
              <w:rPr>
                <w:lang w:val="tr-TR"/>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13306B" w:rsidRPr="00A23740" w:rsidRDefault="0013306B" w:rsidP="009431FF">
            <w:pPr>
              <w:widowControl w:val="0"/>
              <w:rPr>
                <w:szCs w:val="24"/>
              </w:rPr>
            </w:pPr>
          </w:p>
          <w:p w:rsidR="00AA5C8C" w:rsidRPr="00A23740" w:rsidRDefault="00AA5C8C" w:rsidP="009431FF">
            <w:pPr>
              <w:widowControl w:val="0"/>
              <w:rPr>
                <w:rStyle w:val="MaviChar"/>
              </w:rPr>
            </w:pPr>
            <w:r w:rsidRPr="00A23740">
              <w:rPr>
                <w:rStyle w:val="MaviChar"/>
              </w:rPr>
              <w:t xml:space="preserve">(3) </w:t>
            </w:r>
            <w:r w:rsidR="007D00E7" w:rsidRPr="00A23740">
              <w:rPr>
                <w:rStyle w:val="MaviChar"/>
              </w:rPr>
              <w:t xml:space="preserve">Alacakların </w:t>
            </w:r>
            <w:r w:rsidRPr="00A23740">
              <w:rPr>
                <w:rStyle w:val="MaviChar"/>
              </w:rPr>
              <w:t>sırası hakkındaki</w:t>
            </w:r>
            <w:r w:rsidR="00631586" w:rsidRPr="00A23740">
              <w:rPr>
                <w:rStyle w:val="MaviChar"/>
                <w:lang w:val="tr-TR"/>
              </w:rPr>
              <w:t xml:space="preserve"> </w:t>
            </w:r>
            <w:r w:rsidR="00631586" w:rsidRPr="000B3F1E">
              <w:rPr>
                <w:rStyle w:val="MaviChar"/>
              </w:rPr>
              <w:t>317 nci</w:t>
            </w:r>
            <w:r w:rsidRPr="00A23740">
              <w:rPr>
                <w:szCs w:val="24"/>
              </w:rPr>
              <w:t xml:space="preserve"> maddenin </w:t>
            </w:r>
            <w:r w:rsidRPr="00A23740">
              <w:rPr>
                <w:rStyle w:val="MaviChar"/>
              </w:rPr>
              <w:t>ikinci fıkras</w:t>
            </w:r>
            <w:r w:rsidRPr="00A23740">
              <w:rPr>
                <w:rStyle w:val="MaviChar"/>
                <w:lang w:val="tr-TR"/>
              </w:rPr>
              <w:t xml:space="preserve">ının </w:t>
            </w:r>
            <w:r w:rsidRPr="00A23740">
              <w:rPr>
                <w:szCs w:val="24"/>
              </w:rPr>
              <w:t xml:space="preserve">birinci </w:t>
            </w:r>
            <w:r w:rsidRPr="00A23740">
              <w:rPr>
                <w:rStyle w:val="MaviChar"/>
              </w:rPr>
              <w:t>ve üçüncü</w:t>
            </w:r>
            <w:r w:rsidRPr="00A23740">
              <w:rPr>
                <w:rStyle w:val="AralkYokChar"/>
                <w:strike w:val="0"/>
                <w:lang w:val="tr-TR"/>
              </w:rPr>
              <w:t xml:space="preserve"> </w:t>
            </w:r>
            <w:r w:rsidRPr="00A23740">
              <w:rPr>
                <w:szCs w:val="24"/>
              </w:rPr>
              <w:t>sırasında</w:t>
            </w:r>
            <w:r w:rsidRPr="00A23740">
              <w:rPr>
                <w:b/>
              </w:rPr>
              <w:t xml:space="preserve"> </w:t>
            </w:r>
            <w:r w:rsidRPr="00A23740">
              <w:rPr>
                <w:szCs w:val="24"/>
              </w:rPr>
              <w:t>yazılı alacaklar</w:t>
            </w:r>
            <w:r w:rsidRPr="00A23740">
              <w:rPr>
                <w:rStyle w:val="MaviChar"/>
              </w:rPr>
              <w:t xml:space="preserve">dan Amme Alacaklarının Tahsil Usulü Hakkında Kanuna tabi olanlar, </w:t>
            </w:r>
            <w:r w:rsidRPr="00A23740">
              <w:rPr>
                <w:bCs/>
              </w:rPr>
              <w:t>borçlunun</w:t>
            </w:r>
            <w:r w:rsidRPr="00A23740">
              <w:rPr>
                <w:rStyle w:val="MaviChar"/>
              </w:rPr>
              <w:t xml:space="preserve"> evlilik bağı ortadan kalkmış olsa dahi </w:t>
            </w:r>
            <w:r w:rsidRPr="00A23740">
              <w:rPr>
                <w:bCs/>
              </w:rPr>
              <w:t>eşi ve çocuğu ile kendisinin ve evlilik bağı ortadan kalkmış olsa dahi eşinin anası, babası ve kardeşi</w:t>
            </w:r>
            <w:r w:rsidR="007D00E7" w:rsidRPr="00A23740">
              <w:rPr>
                <w:rStyle w:val="YELChar"/>
              </w:rPr>
              <w:t>,</w:t>
            </w:r>
            <w:r w:rsidRPr="00A23740">
              <w:rPr>
                <w:bCs/>
              </w:rPr>
              <w:t xml:space="preserve"> alacak ve alacaklı çoğunluğunun hesabında dikkate alınmaz.</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MaviChar"/>
              </w:rPr>
              <w:t>(4)</w:t>
            </w:r>
            <w:r w:rsidRPr="00A23740">
              <w:rPr>
                <w:szCs w:val="24"/>
              </w:rPr>
              <w:t xml:space="preserve"> Rehinle temin edilmiş olan alacaklar, </w:t>
            </w:r>
            <w:r w:rsidRPr="00A23740">
              <w:rPr>
                <w:rStyle w:val="MaviChar"/>
              </w:rPr>
              <w:t>rehinli malların kıymetinin takdiri hakkındaki</w:t>
            </w:r>
            <w:r w:rsidR="00631586" w:rsidRPr="00A23740">
              <w:rPr>
                <w:rStyle w:val="MaviChar"/>
                <w:lang w:val="tr-TR"/>
              </w:rPr>
              <w:t xml:space="preserve"> </w:t>
            </w:r>
            <w:r w:rsidR="00631586" w:rsidRPr="000B3F1E">
              <w:rPr>
                <w:rStyle w:val="MaviChar"/>
              </w:rPr>
              <w:t>390 ıncı</w:t>
            </w:r>
            <w:r w:rsidRPr="00A23740">
              <w:rPr>
                <w:szCs w:val="24"/>
              </w:rPr>
              <w:t xml:space="preserve"> madde uyarınca </w:t>
            </w:r>
            <w:r w:rsidRPr="00A23740">
              <w:rPr>
                <w:rStyle w:val="MaviChar"/>
              </w:rPr>
              <w:t>tespit</w:t>
            </w:r>
            <w:r w:rsidRPr="00A23740">
              <w:rPr>
                <w:szCs w:val="24"/>
              </w:rPr>
              <w:t xml:space="preserve"> edilen kıymet sonucunda teminatsız kaldıkları kısım için hesaba katılırlar.</w:t>
            </w:r>
          </w:p>
          <w:p w:rsidR="00AA5C8C" w:rsidRPr="00A23740" w:rsidRDefault="00AA5C8C" w:rsidP="009431FF">
            <w:pPr>
              <w:widowControl w:val="0"/>
              <w:rPr>
                <w:szCs w:val="24"/>
              </w:rPr>
            </w:pPr>
          </w:p>
          <w:p w:rsidR="00E77EDD" w:rsidRPr="00A23740" w:rsidRDefault="00AA5C8C" w:rsidP="009431FF">
            <w:pPr>
              <w:widowControl w:val="0"/>
              <w:rPr>
                <w:szCs w:val="24"/>
              </w:rPr>
            </w:pPr>
            <w:r w:rsidRPr="00A23740">
              <w:rPr>
                <w:rStyle w:val="MaviChar"/>
              </w:rPr>
              <w:t>(5)</w:t>
            </w:r>
            <w:r w:rsidRPr="00A23740">
              <w:rPr>
                <w:szCs w:val="24"/>
              </w:rPr>
              <w:t xml:space="preserve"> </w:t>
            </w:r>
            <w:r w:rsidRPr="00A23740">
              <w:rPr>
                <w:rStyle w:val="MaviChar"/>
              </w:rPr>
              <w:t>İflas</w:t>
            </w:r>
            <w:r w:rsidRPr="00A23740">
              <w:rPr>
                <w:szCs w:val="24"/>
              </w:rPr>
              <w:t xml:space="preserve"> </w:t>
            </w:r>
            <w:r w:rsidRPr="00A23740">
              <w:rPr>
                <w:rStyle w:val="MaviChar"/>
              </w:rPr>
              <w:t>mahkemesi</w:t>
            </w:r>
            <w:r w:rsidR="00856016" w:rsidRPr="000B3F1E">
              <w:rPr>
                <w:rStyle w:val="MaviChar"/>
              </w:rPr>
              <w:t>,</w:t>
            </w:r>
            <w:r w:rsidR="00E77EDD" w:rsidRPr="000B3F1E">
              <w:rPr>
                <w:rStyle w:val="MaviChar"/>
              </w:rPr>
              <w:t xml:space="preserve"> alacaklının talebi üzerine,</w:t>
            </w:r>
            <w:r w:rsidRPr="000B3F1E">
              <w:rPr>
                <w:rStyle w:val="MaviChar"/>
              </w:rPr>
              <w:t xml:space="preserve"> </w:t>
            </w:r>
            <w:r w:rsidRPr="00A23740">
              <w:rPr>
                <w:szCs w:val="24"/>
              </w:rPr>
              <w:t xml:space="preserve">çekişmeli veya geciktirici koşula bağlı yahut belirli olmayan bir vadeye tabi alacakların hesaba katılıp </w:t>
            </w:r>
            <w:r w:rsidRPr="00A23740">
              <w:rPr>
                <w:rStyle w:val="MaviChar"/>
              </w:rPr>
              <w:t>katılmayacağına</w:t>
            </w:r>
            <w:r w:rsidRPr="00A23740">
              <w:rPr>
                <w:szCs w:val="24"/>
              </w:rPr>
              <w:t xml:space="preserve"> ve ne oranda katılacağına </w:t>
            </w:r>
            <w:r w:rsidRPr="00A23740">
              <w:rPr>
                <w:rStyle w:val="MaviChar"/>
              </w:rPr>
              <w:t>yaklaşık ispat ölçüsüyle</w:t>
            </w:r>
            <w:r w:rsidR="00E77EDD" w:rsidRPr="00A23740">
              <w:rPr>
                <w:rStyle w:val="MaviChar"/>
                <w:lang w:val="tr-TR"/>
              </w:rPr>
              <w:t xml:space="preserve"> </w:t>
            </w:r>
            <w:r w:rsidRPr="00A23740">
              <w:rPr>
                <w:szCs w:val="24"/>
              </w:rPr>
              <w:t>karar verir. Şu kadar ki</w:t>
            </w:r>
            <w:r w:rsidRPr="00A23740">
              <w:rPr>
                <w:rStyle w:val="MaviChar"/>
              </w:rPr>
              <w:t>,</w:t>
            </w:r>
            <w:r w:rsidRPr="00A23740">
              <w:rPr>
                <w:szCs w:val="24"/>
              </w:rPr>
              <w:t xml:space="preserve"> bu iddialar hakkında ileride </w:t>
            </w:r>
            <w:r w:rsidRPr="00A23740">
              <w:rPr>
                <w:rStyle w:val="MaviChar"/>
              </w:rPr>
              <w:t>genel</w:t>
            </w:r>
            <w:r w:rsidRPr="00A23740">
              <w:rPr>
                <w:szCs w:val="24"/>
              </w:rPr>
              <w:t xml:space="preserve"> mahkemece verilecek hükümler saklıdır.</w:t>
            </w:r>
          </w:p>
          <w:p w:rsidR="00AA5C8C" w:rsidRPr="00A23740" w:rsidRDefault="00AA5C8C" w:rsidP="009431FF">
            <w:pPr>
              <w:pStyle w:val="KIRMIZI"/>
              <w:widowControl w:val="0"/>
              <w:rPr>
                <w:lang w:val="tr-TR"/>
              </w:rPr>
            </w:pPr>
          </w:p>
        </w:tc>
      </w:tr>
      <w:tr w:rsidR="005C3738" w:rsidRPr="00A23740" w:rsidTr="009431FF">
        <w:tc>
          <w:tcPr>
            <w:tcW w:w="5000" w:type="pct"/>
            <w:gridSpan w:val="2"/>
            <w:shd w:val="clear" w:color="auto" w:fill="DEEAF6"/>
          </w:tcPr>
          <w:p w:rsidR="0013306B" w:rsidRPr="00A23740" w:rsidRDefault="0013306B" w:rsidP="009431FF">
            <w:pPr>
              <w:ind w:firstLine="709"/>
              <w:rPr>
                <w:b/>
              </w:rPr>
            </w:pPr>
          </w:p>
          <w:p w:rsidR="00561705" w:rsidRPr="00A23740" w:rsidRDefault="00164036" w:rsidP="009431FF">
            <w:pPr>
              <w:ind w:firstLine="709"/>
              <w:rPr>
                <w:lang w:val="x-none" w:eastAsia="x-none"/>
              </w:rPr>
            </w:pPr>
            <w:r w:rsidRPr="00A23740">
              <w:rPr>
                <w:b/>
              </w:rPr>
              <w:t>MADDE 39</w:t>
            </w:r>
            <w:r w:rsidR="003E49A5" w:rsidRPr="00A23740">
              <w:rPr>
                <w:b/>
              </w:rPr>
              <w:t>5</w:t>
            </w:r>
            <w:r w:rsidR="0013306B" w:rsidRPr="00A23740">
              <w:rPr>
                <w:b/>
              </w:rPr>
              <w:t>-</w:t>
            </w:r>
            <w:r w:rsidR="0013306B" w:rsidRPr="00A23740">
              <w:t xml:space="preserve"> Maddeyle, konkordato projesinin kabulü için gerekli çoğunluğa ilişkin esaslar düzenlenmektedir. 2004 sayılı Kanunun 302 </w:t>
            </w:r>
            <w:r w:rsidR="00561705" w:rsidRPr="00A23740">
              <w:t>nci maddesinde “</w:t>
            </w:r>
            <w:r w:rsidR="00561705" w:rsidRPr="00A23740">
              <w:rPr>
                <w:iCs/>
                <w:szCs w:val="24"/>
              </w:rPr>
              <w:t>Alacaklılar toplantısı</w:t>
            </w:r>
            <w:r w:rsidR="00561705" w:rsidRPr="00A23740">
              <w:rPr>
                <w:i/>
                <w:szCs w:val="24"/>
              </w:rPr>
              <w:t xml:space="preserve"> </w:t>
            </w:r>
            <w:r w:rsidR="00561705" w:rsidRPr="00A23740">
              <w:rPr>
                <w:lang w:val="x-none" w:eastAsia="x-none"/>
              </w:rPr>
              <w:t>ve projenin kabulü için gerekli çoğunluk”</w:t>
            </w:r>
            <w:r w:rsidR="0013306B" w:rsidRPr="00A23740">
              <w:rPr>
                <w:lang w:val="x-none" w:eastAsia="x-none"/>
              </w:rPr>
              <w:t xml:space="preserve"> aynı maddede düzenlenmişken</w:t>
            </w:r>
            <w:r w:rsidR="00A73973" w:rsidRPr="00A23740">
              <w:rPr>
                <w:lang w:eastAsia="x-none"/>
              </w:rPr>
              <w:t>,</w:t>
            </w:r>
            <w:r w:rsidR="0013306B" w:rsidRPr="00A23740">
              <w:rPr>
                <w:lang w:val="x-none" w:eastAsia="x-none"/>
              </w:rPr>
              <w:t xml:space="preserve"> </w:t>
            </w:r>
            <w:r w:rsidR="0013306B" w:rsidRPr="00A23740">
              <w:rPr>
                <w:lang w:eastAsia="x-none"/>
              </w:rPr>
              <w:t>Taslağın</w:t>
            </w:r>
            <w:r w:rsidR="00631586" w:rsidRPr="00A23740">
              <w:rPr>
                <w:lang w:eastAsia="x-none"/>
              </w:rPr>
              <w:t xml:space="preserve"> </w:t>
            </w:r>
            <w:r w:rsidR="00631586" w:rsidRPr="000B3F1E">
              <w:t>bu</w:t>
            </w:r>
            <w:r w:rsidR="0013306B" w:rsidRPr="00A23740">
              <w:rPr>
                <w:lang w:eastAsia="x-none"/>
              </w:rPr>
              <w:t xml:space="preserve"> </w:t>
            </w:r>
            <w:r w:rsidR="00561705" w:rsidRPr="00A23740">
              <w:rPr>
                <w:lang w:val="x-none" w:eastAsia="x-none"/>
              </w:rPr>
              <w:t>maddesi “Projenin kabulü için gerekli çoğunluk” başlığını taşımaktadır</w:t>
            </w:r>
            <w:r w:rsidR="0013306B" w:rsidRPr="00A23740">
              <w:rPr>
                <w:lang w:val="x-none" w:eastAsia="x-none"/>
              </w:rPr>
              <w:t>. “Alacaklılar toplantısı”</w:t>
            </w:r>
            <w:r w:rsidR="00631586" w:rsidRPr="00A23740">
              <w:rPr>
                <w:lang w:eastAsia="x-none"/>
              </w:rPr>
              <w:t xml:space="preserve"> </w:t>
            </w:r>
            <w:r w:rsidR="00631586" w:rsidRPr="000B3F1E">
              <w:t>394 üncü</w:t>
            </w:r>
            <w:r w:rsidR="0013306B" w:rsidRPr="00A23740">
              <w:rPr>
                <w:lang w:val="x-none" w:eastAsia="x-none"/>
              </w:rPr>
              <w:t xml:space="preserve"> </w:t>
            </w:r>
            <w:r w:rsidR="00561705" w:rsidRPr="00A23740">
              <w:rPr>
                <w:lang w:val="x-none" w:eastAsia="x-none"/>
              </w:rPr>
              <w:t xml:space="preserve"> maddede düzenlenmiştir. </w:t>
            </w:r>
          </w:p>
          <w:p w:rsidR="00561705" w:rsidRPr="00A23740" w:rsidRDefault="00561705" w:rsidP="009431FF">
            <w:pPr>
              <w:ind w:firstLine="709"/>
              <w:rPr>
                <w:lang w:val="x-none" w:eastAsia="x-none"/>
              </w:rPr>
            </w:pPr>
            <w:r w:rsidRPr="00A23740">
              <w:rPr>
                <w:lang w:val="x-none" w:eastAsia="x-none"/>
              </w:rPr>
              <w:t>Çoğunluk hesa</w:t>
            </w:r>
            <w:r w:rsidR="0013306B" w:rsidRPr="00A23740">
              <w:rPr>
                <w:lang w:val="x-none" w:eastAsia="x-none"/>
              </w:rPr>
              <w:t>bı bakımından 2004 sayılı Kanun</w:t>
            </w:r>
            <w:r w:rsidRPr="00A23740">
              <w:rPr>
                <w:lang w:val="x-none" w:eastAsia="x-none"/>
              </w:rPr>
              <w:t>daki mevcut alternatifli çoğu</w:t>
            </w:r>
            <w:r w:rsidR="0013306B" w:rsidRPr="00A23740">
              <w:rPr>
                <w:lang w:val="x-none" w:eastAsia="x-none"/>
              </w:rPr>
              <w:t xml:space="preserve">nluk hesabı korunmuştur. </w:t>
            </w:r>
          </w:p>
          <w:p w:rsidR="00561705" w:rsidRPr="00A23740" w:rsidRDefault="00561705" w:rsidP="009431FF">
            <w:pPr>
              <w:ind w:firstLine="709"/>
              <w:rPr>
                <w:lang w:val="x-none" w:eastAsia="x-none"/>
              </w:rPr>
            </w:pPr>
            <w:r w:rsidRPr="00A23740">
              <w:rPr>
                <w:lang w:val="x-none" w:eastAsia="x-none"/>
              </w:rPr>
              <w:t>İkinci fıkrada daha geniş kapsamlı bir ifade olan “konkordato projesinden etkilenen alacak” terimi yerine konkordato projesine göre ödenecek alacağı ifade edecek şekilde “konkordato projesine tabi alacak” terimi tercih edilmiştir</w:t>
            </w:r>
            <w:r w:rsidR="0013306B" w:rsidRPr="00A23740">
              <w:rPr>
                <w:lang w:val="x-none" w:eastAsia="x-none"/>
              </w:rPr>
              <w:t xml:space="preserve">. </w:t>
            </w:r>
          </w:p>
          <w:p w:rsidR="00561705" w:rsidRPr="00A23740" w:rsidRDefault="00561705" w:rsidP="009431FF">
            <w:pPr>
              <w:tabs>
                <w:tab w:val="left" w:pos="567"/>
              </w:tabs>
              <w:ind w:firstLine="709"/>
              <w:rPr>
                <w:szCs w:val="24"/>
                <w:lang w:val="x-none" w:eastAsia="x-none"/>
              </w:rPr>
            </w:pPr>
            <w:r w:rsidRPr="00A23740">
              <w:rPr>
                <w:szCs w:val="24"/>
                <w:lang w:val="x-none" w:eastAsia="x-none"/>
              </w:rPr>
              <w:t>Beşinci fıkrada iflas mahkemesinin</w:t>
            </w:r>
            <w:r w:rsidR="000326A2" w:rsidRPr="00A23740">
              <w:rPr>
                <w:b/>
                <w:color w:val="385623"/>
                <w:szCs w:val="24"/>
                <w:lang w:eastAsia="x-none"/>
              </w:rPr>
              <w:t xml:space="preserve">, </w:t>
            </w:r>
            <w:r w:rsidR="000326A2" w:rsidRPr="000B3F1E">
              <w:t>alacaklının talebi üzerine</w:t>
            </w:r>
            <w:r w:rsidRPr="00A23740">
              <w:rPr>
                <w:color w:val="385623"/>
                <w:szCs w:val="24"/>
                <w:lang w:val="x-none" w:eastAsia="x-none"/>
              </w:rPr>
              <w:t xml:space="preserve"> </w:t>
            </w:r>
            <w:r w:rsidRPr="00A23740">
              <w:rPr>
                <w:szCs w:val="24"/>
                <w:lang w:val="x-none" w:eastAsia="x-none"/>
              </w:rPr>
              <w:t xml:space="preserve">çekişmeli veya geciktirici koşula bağlı yahut belirli olmayan bir vadeye tabi alacakların hesaba katılıp katılmayacağına ve ne oranda katılacağına </w:t>
            </w:r>
            <w:r w:rsidR="00B11E70" w:rsidRPr="00A23740">
              <w:rPr>
                <w:szCs w:val="24"/>
                <w:lang w:eastAsia="x-none"/>
              </w:rPr>
              <w:t>“</w:t>
            </w:r>
            <w:r w:rsidRPr="00A23740">
              <w:rPr>
                <w:szCs w:val="24"/>
                <w:lang w:val="x-none" w:eastAsia="x-none"/>
              </w:rPr>
              <w:t>yaklaşık ispat ölçüsü</w:t>
            </w:r>
            <w:r w:rsidR="00B11E70" w:rsidRPr="00A23740">
              <w:rPr>
                <w:szCs w:val="24"/>
                <w:lang w:eastAsia="x-none"/>
              </w:rPr>
              <w:t>”</w:t>
            </w:r>
            <w:r w:rsidRPr="00A23740">
              <w:rPr>
                <w:szCs w:val="24"/>
                <w:lang w:val="x-none" w:eastAsia="x-none"/>
              </w:rPr>
              <w:t xml:space="preserve">yle karar vereceği tasrih edilmiştir. </w:t>
            </w:r>
            <w:r w:rsidR="00EC2685" w:rsidRPr="000B3F1E">
              <w:t>Alacaklının ancak talep etmesi üzerine</w:t>
            </w:r>
            <w:r w:rsidR="00EC2685" w:rsidRPr="00A23740">
              <w:rPr>
                <w:szCs w:val="24"/>
                <w:lang w:val="x-none" w:eastAsia="x-none"/>
              </w:rPr>
              <w:t xml:space="preserve"> </w:t>
            </w:r>
            <w:r w:rsidRPr="00A23740">
              <w:rPr>
                <w:szCs w:val="24"/>
                <w:lang w:val="x-none" w:eastAsia="x-none"/>
              </w:rPr>
              <w:t>yapılacak</w:t>
            </w:r>
            <w:r w:rsidR="00EC2685" w:rsidRPr="00A23740">
              <w:rPr>
                <w:szCs w:val="24"/>
                <w:lang w:eastAsia="x-none"/>
              </w:rPr>
              <w:t xml:space="preserve"> </w:t>
            </w:r>
            <w:r w:rsidR="00EC2685" w:rsidRPr="000B3F1E">
              <w:t>bu</w:t>
            </w:r>
            <w:r w:rsidRPr="00A23740">
              <w:rPr>
                <w:szCs w:val="24"/>
                <w:lang w:val="x-none" w:eastAsia="x-none"/>
              </w:rPr>
              <w:t xml:space="preserve"> inceleme</w:t>
            </w:r>
            <w:r w:rsidR="00872996" w:rsidRPr="00A23740">
              <w:rPr>
                <w:szCs w:val="24"/>
                <w:lang w:eastAsia="x-none"/>
              </w:rPr>
              <w:t>,</w:t>
            </w:r>
            <w:r w:rsidRPr="00A23740">
              <w:rPr>
                <w:szCs w:val="24"/>
                <w:lang w:val="x-none" w:eastAsia="x-none"/>
              </w:rPr>
              <w:t xml:space="preserve"> alacağın maddi hukuk anlamındaki mevcudiyetine ilişkin değil</w:t>
            </w:r>
            <w:r w:rsidR="00B11E70" w:rsidRPr="000B3F1E">
              <w:t>,</w:t>
            </w:r>
            <w:r w:rsidRPr="00A23740">
              <w:rPr>
                <w:szCs w:val="24"/>
                <w:lang w:val="x-none" w:eastAsia="x-none"/>
              </w:rPr>
              <w:t xml:space="preserve"> alacağın konkordato </w:t>
            </w:r>
            <w:r w:rsidR="000326A2" w:rsidRPr="000B3F1E">
              <w:t>yeter sayısında</w:t>
            </w:r>
            <w:r w:rsidR="000326A2" w:rsidRPr="00A23740">
              <w:rPr>
                <w:szCs w:val="24"/>
                <w:lang w:eastAsia="x-none"/>
              </w:rPr>
              <w:t xml:space="preserve"> </w:t>
            </w:r>
            <w:r w:rsidRPr="00A23740">
              <w:rPr>
                <w:szCs w:val="24"/>
                <w:lang w:val="x-none" w:eastAsia="x-none"/>
              </w:rPr>
              <w:t xml:space="preserve">dikkate alınıp alınmayacağına ilişkindir. </w:t>
            </w:r>
            <w:r w:rsidR="00EC2685" w:rsidRPr="000B3F1E">
              <w:t>Bu bağlamda öncelikle</w:t>
            </w:r>
            <w:r w:rsidR="00872996" w:rsidRPr="000B3F1E">
              <w:t>,</w:t>
            </w:r>
            <w:r w:rsidR="00EC2685" w:rsidRPr="000B3F1E">
              <w:t xml:space="preserve"> yapılan alacak kaydı üzerine borçlunun alınan beyanı karşısında, alacaklının yerine geçilerek </w:t>
            </w:r>
            <w:r w:rsidR="008D1615" w:rsidRPr="000B3F1E">
              <w:t>örneğin komiserlerce durumun re</w:t>
            </w:r>
            <w:r w:rsidR="00EC2685" w:rsidRPr="000B3F1E">
              <w:t>sen mahkemeye intikali, ne gerekli ne de yerinde görülmüştür. Zira borçlunun beyanı karşısında, alacaklının bu beyanla yetinip yetinmeyeceğinin; yeterli ve doğru bulmayacaksa, mahkemeye yapacağı başvuruda ne miktar üzerinden oylamaya katılmak isteyeceğinin peşinen bilinmesi, mümkün olmadığı gibi bu sırada alacaklının yerine geçilerek hareket edilmesi de konkordato kurumu nazarında gerekmez. Önceki metinlerde bu konuda olmayan açıklık, metne ilave edilen “alacaklının talebi üzerine” ibaresiyle sağlanmaya çalışılmıştır. Öte yandan</w:t>
            </w:r>
            <w:r w:rsidR="00EC2685" w:rsidRPr="00A23740">
              <w:rPr>
                <w:b/>
                <w:color w:val="0070C0"/>
                <w:szCs w:val="24"/>
                <w:lang w:eastAsia="x-none"/>
              </w:rPr>
              <w:t xml:space="preserve"> </w:t>
            </w:r>
            <w:r w:rsidRPr="00A23740">
              <w:rPr>
                <w:szCs w:val="24"/>
                <w:lang w:val="x-none" w:eastAsia="x-none"/>
              </w:rPr>
              <w:t>hükme göre bu iddialar hakkında ileride genel mahkemece verilecek hükümler saklıdır.  İşte bu sebeplerle bu hüküm çerçevesinde yaklaşık ispat ölçüsü uygulanarak sonuca varılması gerektiği</w:t>
            </w:r>
            <w:r w:rsidR="003A01CB" w:rsidRPr="00A23740">
              <w:rPr>
                <w:szCs w:val="24"/>
                <w:lang w:eastAsia="x-none"/>
              </w:rPr>
              <w:t xml:space="preserve"> </w:t>
            </w:r>
            <w:r w:rsidR="003A01CB" w:rsidRPr="000B3F1E">
              <w:t>hususu</w:t>
            </w:r>
            <w:r w:rsidRPr="00A23740">
              <w:rPr>
                <w:szCs w:val="24"/>
                <w:lang w:val="x-none" w:eastAsia="x-none"/>
              </w:rPr>
              <w:t xml:space="preserve"> süratle inceleme yapılmasının önemli bir unsuru olarak </w:t>
            </w:r>
            <w:r w:rsidR="00872996" w:rsidRPr="00A23740">
              <w:rPr>
                <w:szCs w:val="24"/>
                <w:lang w:eastAsia="x-none"/>
              </w:rPr>
              <w:t xml:space="preserve">maddeye </w:t>
            </w:r>
            <w:r w:rsidRPr="00A23740">
              <w:rPr>
                <w:szCs w:val="24"/>
                <w:lang w:val="x-none" w:eastAsia="x-none"/>
              </w:rPr>
              <w:t>ilave edilmiştir. Bununla birlikte</w:t>
            </w:r>
            <w:r w:rsidR="00F352F0" w:rsidRPr="00A23740">
              <w:rPr>
                <w:szCs w:val="24"/>
                <w:lang w:eastAsia="x-none"/>
              </w:rPr>
              <w:t xml:space="preserve"> </w:t>
            </w:r>
            <w:r w:rsidR="00F352F0" w:rsidRPr="000B3F1E">
              <w:t>392 nci</w:t>
            </w:r>
            <w:r w:rsidRPr="00A23740">
              <w:rPr>
                <w:szCs w:val="24"/>
                <w:lang w:val="x-none" w:eastAsia="x-none"/>
              </w:rPr>
              <w:t xml:space="preserve"> </w:t>
            </w:r>
            <w:r w:rsidRPr="00A23740">
              <w:rPr>
                <w:szCs w:val="24"/>
                <w:lang w:eastAsia="x-none"/>
              </w:rPr>
              <w:t>maddenin ikinci fıkrası uyarınca, a</w:t>
            </w:r>
            <w:r w:rsidRPr="00A23740">
              <w:rPr>
                <w:szCs w:val="24"/>
                <w:lang w:val="x-none" w:eastAsia="x-none"/>
              </w:rPr>
              <w:t xml:space="preserve">lacaklının, iflas mahkemesinin </w:t>
            </w:r>
            <w:r w:rsidRPr="00A23740">
              <w:rPr>
                <w:szCs w:val="24"/>
                <w:lang w:eastAsia="x-none"/>
              </w:rPr>
              <w:t xml:space="preserve">bu fıkra </w:t>
            </w:r>
            <w:r w:rsidRPr="00A23740">
              <w:rPr>
                <w:szCs w:val="24"/>
                <w:lang w:val="x-none" w:eastAsia="x-none"/>
              </w:rPr>
              <w:t xml:space="preserve">uyarınca </w:t>
            </w:r>
            <w:r w:rsidRPr="00A23740">
              <w:rPr>
                <w:szCs w:val="24"/>
                <w:lang w:eastAsia="x-none"/>
              </w:rPr>
              <w:t>v</w:t>
            </w:r>
            <w:r w:rsidRPr="00A23740">
              <w:rPr>
                <w:szCs w:val="24"/>
                <w:lang w:val="x-none" w:eastAsia="x-none"/>
              </w:rPr>
              <w:t>ereceği karar</w:t>
            </w:r>
            <w:r w:rsidRPr="00A23740">
              <w:rPr>
                <w:szCs w:val="24"/>
                <w:lang w:eastAsia="x-none"/>
              </w:rPr>
              <w:t xml:space="preserve">ı </w:t>
            </w:r>
            <w:r w:rsidRPr="00A23740">
              <w:rPr>
                <w:szCs w:val="24"/>
                <w:lang w:val="x-none" w:eastAsia="x-none"/>
              </w:rPr>
              <w:t xml:space="preserve">en geç </w:t>
            </w:r>
            <w:r w:rsidRPr="00A23740">
              <w:rPr>
                <w:rFonts w:eastAsia="ヒラギノ明朝 Pro W3"/>
                <w:szCs w:val="24"/>
                <w:lang w:val="x-none" w:eastAsia="x-none"/>
              </w:rPr>
              <w:t>alacaklılar toplantısına</w:t>
            </w:r>
            <w:r w:rsidRPr="00A23740">
              <w:rPr>
                <w:szCs w:val="24"/>
                <w:lang w:val="x-none" w:eastAsia="x-none"/>
              </w:rPr>
              <w:t xml:space="preserve"> kadar </w:t>
            </w:r>
            <w:r w:rsidRPr="00A23740">
              <w:rPr>
                <w:szCs w:val="24"/>
                <w:lang w:eastAsia="x-none"/>
              </w:rPr>
              <w:t>komiser</w:t>
            </w:r>
            <w:r w:rsidR="0072039B" w:rsidRPr="00A23740">
              <w:rPr>
                <w:szCs w:val="24"/>
                <w:lang w:eastAsia="x-none"/>
              </w:rPr>
              <w:t>e</w:t>
            </w:r>
            <w:r w:rsidRPr="00A23740">
              <w:rPr>
                <w:szCs w:val="24"/>
                <w:lang w:eastAsia="x-none"/>
              </w:rPr>
              <w:t xml:space="preserve"> </w:t>
            </w:r>
            <w:r w:rsidRPr="00A23740">
              <w:rPr>
                <w:szCs w:val="24"/>
                <w:lang w:val="x-none" w:eastAsia="x-none"/>
              </w:rPr>
              <w:t xml:space="preserve">getirmesi gerekmektedir. </w:t>
            </w:r>
            <w:r w:rsidRPr="00A23740">
              <w:rPr>
                <w:szCs w:val="24"/>
                <w:lang w:eastAsia="x-none"/>
              </w:rPr>
              <w:t>Aksi h</w:t>
            </w:r>
            <w:r w:rsidR="00D271B8" w:rsidRPr="00A23740">
              <w:rPr>
                <w:szCs w:val="24"/>
                <w:lang w:eastAsia="x-none"/>
              </w:rPr>
              <w:t>â</w:t>
            </w:r>
            <w:r w:rsidRPr="00A23740">
              <w:rPr>
                <w:szCs w:val="24"/>
                <w:lang w:eastAsia="x-none"/>
              </w:rPr>
              <w:t>lde b</w:t>
            </w:r>
            <w:r w:rsidRPr="00A23740">
              <w:rPr>
                <w:szCs w:val="24"/>
                <w:lang w:val="x-none" w:eastAsia="x-none"/>
              </w:rPr>
              <w:t>u alacak konkordato</w:t>
            </w:r>
            <w:r w:rsidRPr="00A23740">
              <w:rPr>
                <w:b/>
                <w:color w:val="385623"/>
                <w:szCs w:val="24"/>
                <w:lang w:val="x-none" w:eastAsia="x-none"/>
              </w:rPr>
              <w:t xml:space="preserve"> </w:t>
            </w:r>
            <w:r w:rsidR="000326A2" w:rsidRPr="000B3F1E">
              <w:t>yeter sayısında</w:t>
            </w:r>
            <w:r w:rsidR="000326A2" w:rsidRPr="00A23740">
              <w:rPr>
                <w:color w:val="385623"/>
                <w:szCs w:val="24"/>
                <w:lang w:eastAsia="x-none"/>
              </w:rPr>
              <w:t xml:space="preserve"> </w:t>
            </w:r>
            <w:r w:rsidRPr="00A23740">
              <w:rPr>
                <w:szCs w:val="24"/>
                <w:lang w:val="x-none" w:eastAsia="x-none"/>
              </w:rPr>
              <w:t>dikkate alınm</w:t>
            </w:r>
            <w:r w:rsidR="003A01CB" w:rsidRPr="00A23740">
              <w:rPr>
                <w:szCs w:val="24"/>
                <w:lang w:eastAsia="x-none"/>
              </w:rPr>
              <w:t>ayacak</w:t>
            </w:r>
            <w:r w:rsidR="003A01CB" w:rsidRPr="00A23740">
              <w:rPr>
                <w:bCs/>
                <w:lang w:eastAsia="x-none"/>
              </w:rPr>
              <w:t>tır</w:t>
            </w:r>
            <w:r w:rsidR="00B22F5D" w:rsidRPr="00A23740">
              <w:rPr>
                <w:bCs/>
                <w:lang w:eastAsia="x-none"/>
              </w:rPr>
              <w:t>.</w:t>
            </w:r>
            <w:r w:rsidRPr="00A23740">
              <w:rPr>
                <w:szCs w:val="24"/>
                <w:lang w:eastAsia="x-none"/>
              </w:rPr>
              <w:t xml:space="preserve"> </w:t>
            </w:r>
            <w:r w:rsidR="00B22F5D" w:rsidRPr="00A23740">
              <w:rPr>
                <w:szCs w:val="24"/>
                <w:lang w:eastAsia="x-none"/>
              </w:rPr>
              <w:t xml:space="preserve">Söz </w:t>
            </w:r>
            <w:r w:rsidRPr="00A23740">
              <w:rPr>
                <w:szCs w:val="24"/>
                <w:lang w:eastAsia="x-none"/>
              </w:rPr>
              <w:t>konusu kararın en geç alacaklılar toplantısından önce verilmesi gerekmektedir. Kararın süresi içinde alınarak komiser</w:t>
            </w:r>
            <w:r w:rsidR="0072039B" w:rsidRPr="00A23740">
              <w:rPr>
                <w:szCs w:val="24"/>
                <w:lang w:eastAsia="x-none"/>
              </w:rPr>
              <w:t>e</w:t>
            </w:r>
            <w:r w:rsidRPr="00A23740">
              <w:rPr>
                <w:szCs w:val="24"/>
                <w:lang w:eastAsia="x-none"/>
              </w:rPr>
              <w:t xml:space="preserve"> sunulması alacaklının sorumluluğundadır. </w:t>
            </w:r>
            <w:r w:rsidRPr="00A23740">
              <w:rPr>
                <w:szCs w:val="24"/>
                <w:lang w:val="x-none" w:eastAsia="x-none"/>
              </w:rPr>
              <w:t>İflas mahkemesi belirli olma</w:t>
            </w:r>
            <w:r w:rsidR="0013306B" w:rsidRPr="00A23740">
              <w:rPr>
                <w:szCs w:val="24"/>
                <w:lang w:val="x-none" w:eastAsia="x-none"/>
              </w:rPr>
              <w:t xml:space="preserve">yan vadeye tabi veya </w:t>
            </w:r>
            <w:r w:rsidR="0072039B" w:rsidRPr="000B3F1E">
              <w:t xml:space="preserve">geciktirici koşula </w:t>
            </w:r>
            <w:r w:rsidR="0013306B" w:rsidRPr="00A23740">
              <w:rPr>
                <w:szCs w:val="24"/>
                <w:lang w:val="x-none" w:eastAsia="x-none"/>
              </w:rPr>
              <w:t>bağlı</w:t>
            </w:r>
            <w:r w:rsidRPr="00A23740">
              <w:rPr>
                <w:szCs w:val="24"/>
                <w:lang w:val="x-none" w:eastAsia="x-none"/>
              </w:rPr>
              <w:t xml:space="preserve"> alacaklar için de bu fıkra uyarınca bir karar verecektir. Ancak bu alacaklar</w:t>
            </w:r>
            <w:r w:rsidR="003A01CB" w:rsidRPr="00A23740">
              <w:rPr>
                <w:szCs w:val="24"/>
                <w:lang w:eastAsia="x-none"/>
              </w:rPr>
              <w:t>ın</w:t>
            </w:r>
            <w:r w:rsidR="00F352F0" w:rsidRPr="00A23740">
              <w:rPr>
                <w:szCs w:val="24"/>
                <w:lang w:eastAsia="x-none"/>
              </w:rPr>
              <w:t xml:space="preserve"> </w:t>
            </w:r>
            <w:r w:rsidR="00F352F0" w:rsidRPr="000B3F1E">
              <w:t>403 üncü</w:t>
            </w:r>
            <w:r w:rsidRPr="00A23740">
              <w:rPr>
                <w:szCs w:val="24"/>
                <w:lang w:val="x-none" w:eastAsia="x-none"/>
              </w:rPr>
              <w:t xml:space="preserve"> madde hükmüne tabi olmadığı açıktır. </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MaddeBasl"/>
              <w:widowControl w:val="0"/>
              <w:tabs>
                <w:tab w:val="clear" w:pos="567"/>
              </w:tabs>
              <w:spacing w:before="0"/>
              <w:rPr>
                <w:rFonts w:ascii="Times New Roman" w:hAnsi="Times New Roman"/>
                <w:sz w:val="24"/>
                <w:szCs w:val="24"/>
                <w:vertAlign w:val="superscript"/>
                <w:lang w:val="tr-TR"/>
              </w:rPr>
            </w:pPr>
            <w:r w:rsidRPr="00A23740">
              <w:rPr>
                <w:rFonts w:ascii="Times New Roman" w:hAnsi="Times New Roman"/>
                <w:sz w:val="24"/>
                <w:szCs w:val="24"/>
                <w:lang w:val="tr-TR"/>
              </w:rPr>
              <w:t>Borçtan birlikte sorumlu olanlara karşı haklar</w:t>
            </w:r>
            <w:r w:rsidRPr="00A23740">
              <w:rPr>
                <w:rStyle w:val="KIRMIZIChar"/>
                <w:lang w:val="tr-TR"/>
              </w:rPr>
              <w:t>:</w:t>
            </w:r>
            <w:r w:rsidRPr="00A23740">
              <w:rPr>
                <w:rFonts w:ascii="Times New Roman" w:hAnsi="Times New Roman"/>
                <w:sz w:val="24"/>
                <w:szCs w:val="24"/>
                <w:vertAlign w:val="superscript"/>
                <w:lang w:val="tr-TR"/>
              </w:rPr>
              <w:t xml:space="preserve"> </w:t>
            </w:r>
          </w:p>
          <w:p w:rsidR="00AA5C8C" w:rsidRPr="00A23740" w:rsidRDefault="00AA5C8C" w:rsidP="009431FF">
            <w:pPr>
              <w:widowControl w:val="0"/>
              <w:rPr>
                <w:rStyle w:val="KIRMIZIChar"/>
                <w:rFonts w:eastAsia="Calibri"/>
              </w:rPr>
            </w:pPr>
            <w:r w:rsidRPr="00A23740">
              <w:rPr>
                <w:rStyle w:val="KIRMIZIChar"/>
                <w:rFonts w:eastAsia="Calibri"/>
              </w:rPr>
              <w:t xml:space="preserve">Madde 303- </w:t>
            </w:r>
          </w:p>
          <w:p w:rsidR="00AA5C8C" w:rsidRPr="00A23740" w:rsidRDefault="00AA5C8C" w:rsidP="009431FF">
            <w:pPr>
              <w:widowControl w:val="0"/>
              <w:rPr>
                <w:rStyle w:val="KIRMIZIChar"/>
                <w:rFonts w:eastAsia="Calibri"/>
              </w:rPr>
            </w:pPr>
          </w:p>
          <w:p w:rsidR="00AA5C8C" w:rsidRPr="00A23740" w:rsidRDefault="00AA5C8C" w:rsidP="009431FF">
            <w:pPr>
              <w:widowControl w:val="0"/>
              <w:rPr>
                <w:rStyle w:val="KIRMIZIChar"/>
                <w:rFonts w:eastAsia="Calibri"/>
              </w:rPr>
            </w:pPr>
          </w:p>
          <w:p w:rsidR="00AA5C8C" w:rsidRPr="00A23740" w:rsidRDefault="00AA5C8C" w:rsidP="009431FF">
            <w:pPr>
              <w:widowControl w:val="0"/>
              <w:rPr>
                <w:rStyle w:val="KIRMIZIChar"/>
                <w:rFonts w:eastAsia="Calibri"/>
              </w:rPr>
            </w:pPr>
          </w:p>
          <w:p w:rsidR="00AA5C8C" w:rsidRPr="00A23740" w:rsidRDefault="00AA5C8C" w:rsidP="009431FF">
            <w:pPr>
              <w:widowControl w:val="0"/>
              <w:rPr>
                <w:rStyle w:val="KIRMIZIChar"/>
                <w:rFonts w:eastAsia="Calibri"/>
              </w:rPr>
            </w:pPr>
          </w:p>
          <w:p w:rsidR="00AA5C8C" w:rsidRPr="00A23740" w:rsidRDefault="00AA5C8C" w:rsidP="009431FF">
            <w:pPr>
              <w:widowControl w:val="0"/>
              <w:rPr>
                <w:rStyle w:val="KIRMIZIChar"/>
                <w:rFonts w:eastAsia="Calibri"/>
              </w:rPr>
            </w:pPr>
          </w:p>
          <w:p w:rsidR="00AA5C8C" w:rsidRPr="00A23740" w:rsidRDefault="00AA5C8C" w:rsidP="009431FF">
            <w:pPr>
              <w:widowControl w:val="0"/>
              <w:rPr>
                <w:szCs w:val="24"/>
              </w:rPr>
            </w:pPr>
            <w:r w:rsidRPr="00A23740">
              <w:rPr>
                <w:rStyle w:val="KIRMIZIChar"/>
                <w:rFonts w:eastAsia="Calibri"/>
              </w:rPr>
              <w:t>(1) (Değişik: 28/2/2018-7101/31 md.)</w:t>
            </w:r>
            <w:r w:rsidRPr="00A23740">
              <w:rPr>
                <w:b/>
                <w:szCs w:val="24"/>
              </w:rPr>
              <w:t xml:space="preserve"> </w:t>
            </w:r>
            <w:r w:rsidRPr="00A23740">
              <w:rPr>
                <w:szCs w:val="24"/>
              </w:rPr>
              <w:t>Konkordatoya muvafakat etmeyen alacaklı borçtan birlikte sorumlu olanlara karşı bütün haklarını muhafaza eder.</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Konkordatoya muvafakat eden alacaklı da kendi haklarını, borçtan birlikte sorumlu olan kişilere ödeme </w:t>
            </w:r>
            <w:r w:rsidRPr="00A23740">
              <w:rPr>
                <w:rStyle w:val="KIRMIZIChar"/>
                <w:rFonts w:eastAsia="Calibri"/>
              </w:rPr>
              <w:t>mukabilinde</w:t>
            </w:r>
            <w:r w:rsidRPr="00A23740">
              <w:rPr>
                <w:szCs w:val="24"/>
              </w:rPr>
              <w:t xml:space="preserve"> devir teklif etmek ve onlara toplantı</w:t>
            </w:r>
            <w:r w:rsidRPr="00A23740">
              <w:rPr>
                <w:rStyle w:val="KIRMIZIChar"/>
                <w:rFonts w:eastAsia="Calibri"/>
              </w:rPr>
              <w:t>ların</w:t>
            </w:r>
            <w:r w:rsidRPr="00A23740">
              <w:rPr>
                <w:szCs w:val="24"/>
              </w:rPr>
              <w:t xml:space="preserve"> günü ile yerini en az </w:t>
            </w:r>
            <w:r w:rsidRPr="00A23740">
              <w:rPr>
                <w:rStyle w:val="KIRMIZIChar"/>
                <w:rFonts w:eastAsia="Calibri"/>
              </w:rPr>
              <w:t>on gün</w:t>
            </w:r>
            <w:r w:rsidRPr="00A23740">
              <w:rPr>
                <w:szCs w:val="24"/>
              </w:rPr>
              <w:t xml:space="preserve"> önce haber vermek şartıyla bu hükümden yararlanır.</w:t>
            </w:r>
          </w:p>
          <w:p w:rsidR="00AA5C8C" w:rsidRPr="00A23740" w:rsidRDefault="00AA5C8C" w:rsidP="009431FF">
            <w:pPr>
              <w:widowControl w:val="0"/>
              <w:rPr>
                <w:szCs w:val="24"/>
              </w:rPr>
            </w:pPr>
          </w:p>
          <w:p w:rsidR="00AA5C8C" w:rsidRPr="00A23740" w:rsidRDefault="00AA5C8C" w:rsidP="009431FF">
            <w:pPr>
              <w:pStyle w:val="Nor"/>
              <w:widowControl w:val="0"/>
              <w:tabs>
                <w:tab w:val="clear" w:pos="567"/>
              </w:tabs>
            </w:pPr>
            <w:r w:rsidRPr="00A23740">
              <w:rPr>
                <w:rStyle w:val="KIRMIZIChar"/>
                <w:lang w:val="tr-TR"/>
              </w:rPr>
              <w:t>(3)</w:t>
            </w:r>
            <w:r w:rsidRPr="00A23740">
              <w:rPr>
                <w:rFonts w:ascii="Times New Roman" w:hAnsi="Times New Roman"/>
                <w:sz w:val="24"/>
                <w:szCs w:val="24"/>
                <w:lang w:val="tr-TR"/>
              </w:rPr>
              <w:t xml:space="preserve"> Alacaklı müracaat hakkına </w:t>
            </w:r>
            <w:r w:rsidRPr="00A23740">
              <w:rPr>
                <w:rStyle w:val="KIRMIZIChar"/>
                <w:lang w:val="tr-TR"/>
              </w:rPr>
              <w:t>halel</w:t>
            </w:r>
            <w:r w:rsidRPr="00A23740">
              <w:rPr>
                <w:rFonts w:ascii="Times New Roman" w:hAnsi="Times New Roman"/>
                <w:sz w:val="24"/>
                <w:szCs w:val="24"/>
                <w:lang w:val="tr-TR"/>
              </w:rPr>
              <w:t xml:space="preserve"> gelmeksizin borçtan birlikte sorumlu olan kişilere konkordato müzakerelerine katılma yetkisini verebilir ve onların kararını kabul taahhüdünde bulunabilir.</w:t>
            </w:r>
          </w:p>
          <w:p w:rsidR="00AA5C8C" w:rsidRPr="00A23740" w:rsidRDefault="00AA5C8C" w:rsidP="009431FF">
            <w:pPr>
              <w:widowControl w:val="0"/>
              <w:rPr>
                <w:lang w:eastAsia="x-none"/>
              </w:rPr>
            </w:pPr>
          </w:p>
          <w:p w:rsidR="00AA5C8C" w:rsidRPr="00A23740" w:rsidRDefault="00AA5C8C" w:rsidP="009431FF">
            <w:pPr>
              <w:widowControl w:val="0"/>
              <w:rPr>
                <w:lang w:eastAsia="x-none"/>
              </w:rPr>
            </w:pPr>
          </w:p>
        </w:tc>
        <w:tc>
          <w:tcPr>
            <w:tcW w:w="2500" w:type="pct"/>
          </w:tcPr>
          <w:p w:rsidR="00AA5C8C" w:rsidRPr="00A23740" w:rsidRDefault="00AA5C8C" w:rsidP="009431FF">
            <w:pPr>
              <w:pStyle w:val="MaddeBasl"/>
              <w:widowControl w:val="0"/>
              <w:tabs>
                <w:tab w:val="clear" w:pos="567"/>
              </w:tabs>
              <w:spacing w:before="0"/>
              <w:rPr>
                <w:rFonts w:ascii="Times New Roman" w:hAnsi="Times New Roman"/>
                <w:b/>
                <w:i w:val="0"/>
                <w:sz w:val="24"/>
                <w:szCs w:val="24"/>
                <w:vertAlign w:val="superscript"/>
                <w:lang w:val="tr-TR"/>
              </w:rPr>
            </w:pPr>
            <w:r w:rsidRPr="00A23740">
              <w:rPr>
                <w:rFonts w:ascii="Times New Roman" w:hAnsi="Times New Roman"/>
                <w:b/>
                <w:i w:val="0"/>
                <w:sz w:val="24"/>
                <w:szCs w:val="24"/>
                <w:lang w:val="tr-TR"/>
              </w:rPr>
              <w:t>Borçtan birlikte sorumlu olanlara karşı haklar</w:t>
            </w:r>
          </w:p>
          <w:p w:rsidR="00AA5C8C" w:rsidRPr="00A23740" w:rsidRDefault="00164036" w:rsidP="009431FF">
            <w:pPr>
              <w:widowControl w:val="0"/>
            </w:pPr>
            <w:r w:rsidRPr="00A23740">
              <w:rPr>
                <w:rStyle w:val="MaviChar"/>
                <w:lang w:val="tr-TR"/>
              </w:rPr>
              <w:t>MADDE 396</w:t>
            </w:r>
            <w:r w:rsidR="00AA5C8C" w:rsidRPr="00A23740">
              <w:rPr>
                <w:rStyle w:val="MaviChar"/>
                <w:lang w:val="tr-TR"/>
              </w:rPr>
              <w:t xml:space="preserve">- </w:t>
            </w:r>
            <w:r w:rsidR="00AA5C8C" w:rsidRPr="00A23740">
              <w:rPr>
                <w:rStyle w:val="MaviChar"/>
              </w:rPr>
              <w:t xml:space="preserve">(1) Asıl borçlu konkordato istemişse alacaklı, alacağını kaydettirmek ve haklarının korunması için </w:t>
            </w:r>
            <w:r w:rsidR="00A44DFC" w:rsidRPr="000B3F1E">
              <w:rPr>
                <w:rStyle w:val="MaviChar"/>
              </w:rPr>
              <w:t>gerekli işlemleri</w:t>
            </w:r>
            <w:r w:rsidR="00A44DFC" w:rsidRPr="00A23740">
              <w:rPr>
                <w:rStyle w:val="MaviChar"/>
                <w:lang w:val="tr-TR"/>
              </w:rPr>
              <w:t xml:space="preserve"> </w:t>
            </w:r>
            <w:r w:rsidR="00AA5C8C" w:rsidRPr="00A23740">
              <w:rPr>
                <w:rStyle w:val="MaviChar"/>
              </w:rPr>
              <w:t>yapmak zorundadır</w:t>
            </w:r>
            <w:r w:rsidR="00B5327C" w:rsidRPr="00A23740">
              <w:rPr>
                <w:rStyle w:val="MaviChar"/>
              </w:rPr>
              <w:t>; meğer</w:t>
            </w:r>
            <w:r w:rsidR="00AA5C8C" w:rsidRPr="00A23740">
              <w:rPr>
                <w:rStyle w:val="MaviChar"/>
              </w:rPr>
              <w:t>ki alacaklının alacağı konkordato talebine eklenecek belgeler hakkındaki</w:t>
            </w:r>
            <w:r w:rsidR="005A69CD" w:rsidRPr="00A23740">
              <w:rPr>
                <w:rStyle w:val="MaviChar"/>
                <w:lang w:val="tr-TR"/>
              </w:rPr>
              <w:t xml:space="preserve"> </w:t>
            </w:r>
            <w:r w:rsidR="005A69CD" w:rsidRPr="000B3F1E">
              <w:rPr>
                <w:rStyle w:val="MaviChar"/>
              </w:rPr>
              <w:t>375 inci</w:t>
            </w:r>
            <w:r w:rsidR="005A69CD" w:rsidRPr="00A23740">
              <w:rPr>
                <w:rStyle w:val="MaviChar"/>
                <w:lang w:val="tr-TR"/>
              </w:rPr>
              <w:t xml:space="preserve"> </w:t>
            </w:r>
            <w:r w:rsidR="00AA5C8C" w:rsidRPr="00A23740">
              <w:rPr>
                <w:rStyle w:val="MaviChar"/>
              </w:rPr>
              <w:t>maddenin birinci fıkrasında sayılan belgelerden anlaşılsın.</w:t>
            </w:r>
          </w:p>
          <w:p w:rsidR="00AA5C8C" w:rsidRPr="00A23740" w:rsidRDefault="00AA5C8C" w:rsidP="009431FF">
            <w:pPr>
              <w:widowControl w:val="0"/>
              <w:rPr>
                <w:rStyle w:val="MaviChar"/>
                <w:lang w:val="tr-TR"/>
              </w:rPr>
            </w:pPr>
          </w:p>
          <w:p w:rsidR="00AA5C8C" w:rsidRPr="00A23740" w:rsidRDefault="00AA5C8C" w:rsidP="009431FF">
            <w:pPr>
              <w:widowControl w:val="0"/>
              <w:rPr>
                <w:szCs w:val="24"/>
              </w:rPr>
            </w:pPr>
            <w:r w:rsidRPr="00A23740">
              <w:rPr>
                <w:rStyle w:val="MaviChar"/>
                <w:lang w:val="tr-TR"/>
              </w:rPr>
              <w:t>(2)</w:t>
            </w:r>
            <w:r w:rsidRPr="00A23740">
              <w:rPr>
                <w:szCs w:val="24"/>
              </w:rPr>
              <w:t xml:space="preserve"> Konkordatoya muvafakat etmeyen alacaklı</w:t>
            </w:r>
            <w:r w:rsidR="00A44DFC" w:rsidRPr="00A23740">
              <w:rPr>
                <w:rStyle w:val="YELChar"/>
              </w:rPr>
              <w:t>,</w:t>
            </w:r>
            <w:r w:rsidRPr="00A23740">
              <w:rPr>
                <w:szCs w:val="24"/>
              </w:rPr>
              <w:t xml:space="preserve"> borçtan birlikte sorumlu olanlara karşı bütün haklarını muhafaza eder.</w:t>
            </w:r>
          </w:p>
          <w:p w:rsidR="00AA5C8C" w:rsidRPr="00A23740" w:rsidRDefault="00AA5C8C" w:rsidP="009431FF">
            <w:pPr>
              <w:widowControl w:val="0"/>
              <w:rPr>
                <w:szCs w:val="24"/>
              </w:rPr>
            </w:pPr>
          </w:p>
          <w:p w:rsidR="004557EF" w:rsidRPr="00A23740" w:rsidRDefault="004557EF" w:rsidP="009431FF">
            <w:pPr>
              <w:widowControl w:val="0"/>
              <w:rPr>
                <w:szCs w:val="24"/>
              </w:rPr>
            </w:pPr>
          </w:p>
          <w:p w:rsidR="00AA5C8C" w:rsidRPr="00A23740" w:rsidRDefault="00AA5C8C" w:rsidP="009431FF">
            <w:pPr>
              <w:widowControl w:val="0"/>
              <w:rPr>
                <w:szCs w:val="24"/>
              </w:rPr>
            </w:pPr>
            <w:r w:rsidRPr="00A23740">
              <w:rPr>
                <w:rStyle w:val="MaviChar"/>
                <w:lang w:val="tr-TR"/>
              </w:rPr>
              <w:t>(3)</w:t>
            </w:r>
            <w:r w:rsidRPr="00A23740">
              <w:rPr>
                <w:szCs w:val="24"/>
              </w:rPr>
              <w:t xml:space="preserve"> Konkordatoya muvafakat eden alacaklı da kendi haklarını</w:t>
            </w:r>
            <w:r w:rsidRPr="00A23740">
              <w:rPr>
                <w:rStyle w:val="MaviChar"/>
              </w:rPr>
              <w:t>n</w:t>
            </w:r>
            <w:r w:rsidRPr="00A23740">
              <w:rPr>
                <w:szCs w:val="24"/>
              </w:rPr>
              <w:t xml:space="preserve">, borçtan birlikte sorumlu olan kişilere ödeme </w:t>
            </w:r>
            <w:r w:rsidRPr="00A23740">
              <w:rPr>
                <w:rStyle w:val="MaviChar"/>
              </w:rPr>
              <w:t>karşılığında devrini</w:t>
            </w:r>
            <w:r w:rsidRPr="00A23740">
              <w:rPr>
                <w:szCs w:val="24"/>
              </w:rPr>
              <w:t xml:space="preserve"> teklif etmek ve onlara toplantı günü ile yerini en az </w:t>
            </w:r>
            <w:r w:rsidRPr="00A23740">
              <w:rPr>
                <w:rStyle w:val="MaviChar"/>
                <w:lang w:val="tr-TR"/>
              </w:rPr>
              <w:t xml:space="preserve">bir hafta </w:t>
            </w:r>
            <w:r w:rsidRPr="00A23740">
              <w:rPr>
                <w:szCs w:val="24"/>
              </w:rPr>
              <w:t>önce haber vermek şartıyla bu hükümden yararlanır.</w:t>
            </w:r>
          </w:p>
          <w:p w:rsidR="00AA5C8C" w:rsidRPr="00A23740" w:rsidRDefault="00AA5C8C" w:rsidP="009431FF">
            <w:pPr>
              <w:widowControl w:val="0"/>
              <w:rPr>
                <w:szCs w:val="24"/>
              </w:rPr>
            </w:pPr>
          </w:p>
          <w:p w:rsidR="0013306B" w:rsidRPr="00A23740" w:rsidRDefault="00AA5C8C" w:rsidP="009431FF">
            <w:pPr>
              <w:widowControl w:val="0"/>
            </w:pPr>
            <w:r w:rsidRPr="00A23740">
              <w:rPr>
                <w:rStyle w:val="MaviChar"/>
                <w:lang w:val="tr-TR"/>
              </w:rPr>
              <w:t>(4)</w:t>
            </w:r>
            <w:r w:rsidRPr="00A23740">
              <w:rPr>
                <w:szCs w:val="24"/>
              </w:rPr>
              <w:t xml:space="preserve"> Alacaklı</w:t>
            </w:r>
            <w:r w:rsidRPr="00A23740">
              <w:rPr>
                <w:rStyle w:val="MaviChar"/>
              </w:rPr>
              <w:t>, borçluya başvuru hakkına zarar gelmemek kaydıyla,</w:t>
            </w:r>
            <w:r w:rsidRPr="00A23740">
              <w:rPr>
                <w:szCs w:val="24"/>
              </w:rPr>
              <w:t xml:space="preserve"> borçtan birlikte sorumlu olan kişilere </w:t>
            </w:r>
            <w:r w:rsidR="00C529E4" w:rsidRPr="000B3F1E">
              <w:rPr>
                <w:rStyle w:val="MaviChar"/>
              </w:rPr>
              <w:t>alacaklılar</w:t>
            </w:r>
            <w:r w:rsidRPr="00A23740">
              <w:rPr>
                <w:szCs w:val="24"/>
              </w:rPr>
              <w:t xml:space="preserve"> </w:t>
            </w:r>
            <w:r w:rsidRPr="00A23740">
              <w:rPr>
                <w:rStyle w:val="MaviChar"/>
              </w:rPr>
              <w:t>toplantısına ve</w:t>
            </w:r>
            <w:r w:rsidRPr="00A23740">
              <w:rPr>
                <w:szCs w:val="24"/>
              </w:rPr>
              <w:t xml:space="preserve"> müzakerelerine katılma yetkisini verebilir ve onların kararını kabul taahhüdünde bulunabilir.</w:t>
            </w:r>
          </w:p>
        </w:tc>
      </w:tr>
      <w:tr w:rsidR="005C3738" w:rsidRPr="00A23740" w:rsidTr="009431FF">
        <w:tc>
          <w:tcPr>
            <w:tcW w:w="5000" w:type="pct"/>
            <w:gridSpan w:val="2"/>
            <w:shd w:val="clear" w:color="auto" w:fill="DEEAF6"/>
          </w:tcPr>
          <w:p w:rsidR="0013306B" w:rsidRPr="00A23740" w:rsidRDefault="0013306B" w:rsidP="009431FF">
            <w:pPr>
              <w:ind w:firstLine="709"/>
              <w:rPr>
                <w:lang w:eastAsia="tr-TR"/>
              </w:rPr>
            </w:pPr>
          </w:p>
          <w:p w:rsidR="00561705" w:rsidRPr="00A23740" w:rsidRDefault="00164036" w:rsidP="009431FF">
            <w:pPr>
              <w:ind w:firstLine="709"/>
              <w:rPr>
                <w:lang w:eastAsia="tr-TR"/>
              </w:rPr>
            </w:pPr>
            <w:r w:rsidRPr="00A23740">
              <w:rPr>
                <w:b/>
                <w:lang w:eastAsia="tr-TR"/>
              </w:rPr>
              <w:t>MADDE 396</w:t>
            </w:r>
            <w:r w:rsidR="0013306B" w:rsidRPr="00A23740">
              <w:rPr>
                <w:b/>
                <w:lang w:eastAsia="tr-TR"/>
              </w:rPr>
              <w:t>-</w:t>
            </w:r>
            <w:r w:rsidR="0013306B" w:rsidRPr="00A23740">
              <w:rPr>
                <w:lang w:eastAsia="tr-TR"/>
              </w:rPr>
              <w:t xml:space="preserve"> Maddeyle, borçtan birlikte sorumlu olanlara karşı</w:t>
            </w:r>
            <w:r w:rsidR="000C3207" w:rsidRPr="00A23740">
              <w:rPr>
                <w:lang w:eastAsia="tr-TR"/>
              </w:rPr>
              <w:t xml:space="preserve"> </w:t>
            </w:r>
            <w:r w:rsidR="000C3207" w:rsidRPr="000B3F1E">
              <w:t>alacaklının sahip olduğu</w:t>
            </w:r>
            <w:r w:rsidR="0013306B" w:rsidRPr="00A23740">
              <w:rPr>
                <w:lang w:eastAsia="tr-TR"/>
              </w:rPr>
              <w:t xml:space="preserve"> haklar düzenlenmektedir. Madde, 2004 sayılı Kanun</w:t>
            </w:r>
            <w:r w:rsidR="00561705" w:rsidRPr="00A23740">
              <w:rPr>
                <w:lang w:eastAsia="tr-TR"/>
              </w:rPr>
              <w:t>un 303 üncü maddesine göre daha açık ve</w:t>
            </w:r>
            <w:r w:rsidR="0013306B" w:rsidRPr="00A23740">
              <w:rPr>
                <w:lang w:eastAsia="tr-TR"/>
              </w:rPr>
              <w:t xml:space="preserve"> an</w:t>
            </w:r>
            <w:r w:rsidR="00561705" w:rsidRPr="00A23740">
              <w:rPr>
                <w:lang w:eastAsia="tr-TR"/>
              </w:rPr>
              <w:t>laşıl</w:t>
            </w:r>
            <w:r w:rsidR="0013306B" w:rsidRPr="00A23740">
              <w:rPr>
                <w:lang w:eastAsia="tr-TR"/>
              </w:rPr>
              <w:t>ır bir dille kaleme alınmıştır.</w:t>
            </w:r>
          </w:p>
          <w:p w:rsidR="00561705" w:rsidRPr="00A23740" w:rsidRDefault="00E7077A" w:rsidP="009431FF">
            <w:pPr>
              <w:ind w:firstLine="709"/>
              <w:rPr>
                <w:lang w:val="x-none" w:eastAsia="x-none"/>
              </w:rPr>
            </w:pPr>
            <w:r w:rsidRPr="00A23740">
              <w:rPr>
                <w:lang w:eastAsia="tr-TR"/>
              </w:rPr>
              <w:t xml:space="preserve">Birinci </w:t>
            </w:r>
            <w:r w:rsidR="00561705" w:rsidRPr="00A23740">
              <w:rPr>
                <w:lang w:eastAsia="tr-TR"/>
              </w:rPr>
              <w:t>fıkraya göre, asıl borçlunun konkordato istemesi h</w:t>
            </w:r>
            <w:r w:rsidRPr="00A23740">
              <w:rPr>
                <w:lang w:eastAsia="tr-TR"/>
              </w:rPr>
              <w:t>â</w:t>
            </w:r>
            <w:r w:rsidR="00561705" w:rsidRPr="00A23740">
              <w:rPr>
                <w:lang w:eastAsia="tr-TR"/>
              </w:rPr>
              <w:t xml:space="preserve">linde alacaklı, alacağını kaydettirmek ve haklarını </w:t>
            </w:r>
            <w:r w:rsidR="00872996" w:rsidRPr="00A23740">
              <w:rPr>
                <w:lang w:eastAsia="tr-TR"/>
              </w:rPr>
              <w:t xml:space="preserve">korumak </w:t>
            </w:r>
            <w:r w:rsidR="00561705" w:rsidRPr="00A23740">
              <w:rPr>
                <w:lang w:eastAsia="tr-TR"/>
              </w:rPr>
              <w:t xml:space="preserve">için </w:t>
            </w:r>
            <w:r w:rsidR="005F124B" w:rsidRPr="000B3F1E">
              <w:t>gerekli işlemleri</w:t>
            </w:r>
            <w:r w:rsidR="00561705" w:rsidRPr="00A23740">
              <w:rPr>
                <w:lang w:eastAsia="tr-TR"/>
              </w:rPr>
              <w:t xml:space="preserve"> yapmak</w:t>
            </w:r>
            <w:r w:rsidR="00561705" w:rsidRPr="00A23740">
              <w:rPr>
                <w:lang w:val="x-none" w:eastAsia="x-none"/>
              </w:rPr>
              <w:t> </w:t>
            </w:r>
            <w:r w:rsidR="00561705" w:rsidRPr="000B3F1E">
              <w:t>zorundadır</w:t>
            </w:r>
            <w:r w:rsidRPr="000B3F1E">
              <w:t>;</w:t>
            </w:r>
            <w:r w:rsidR="00561705" w:rsidRPr="000B3F1E">
              <w:t xml:space="preserve"> meğerki</w:t>
            </w:r>
            <w:r w:rsidR="00561705" w:rsidRPr="00A23740">
              <w:rPr>
                <w:lang w:val="x-none" w:eastAsia="x-none"/>
              </w:rPr>
              <w:t xml:space="preserve"> alacaklının alacağı konkordato talebine eklenecek belgeler hakkındaki </w:t>
            </w:r>
            <w:r w:rsidR="0065510D" w:rsidRPr="000B3F1E">
              <w:t>375 inci</w:t>
            </w:r>
            <w:r w:rsidR="0065510D" w:rsidRPr="00A23740">
              <w:rPr>
                <w:rStyle w:val="MaviChar"/>
                <w:lang w:val="tr-TR"/>
              </w:rPr>
              <w:t xml:space="preserve"> </w:t>
            </w:r>
            <w:r w:rsidR="00561705" w:rsidRPr="00A23740">
              <w:rPr>
                <w:lang w:val="x-none" w:eastAsia="x-none"/>
              </w:rPr>
              <w:t>maddenin birinci fıkrasında sayılan belgelerden anlaşılsın.</w:t>
            </w:r>
            <w:r w:rsidRPr="00A23740">
              <w:rPr>
                <w:lang w:eastAsia="x-none"/>
              </w:rPr>
              <w:t xml:space="preserve"> </w:t>
            </w:r>
            <w:r w:rsidRPr="000B3F1E">
              <w:t xml:space="preserve">Bir başka ifadeyle alacaklı, asıl borçlunun </w:t>
            </w:r>
            <w:r w:rsidR="00872996" w:rsidRPr="000B3F1E">
              <w:t xml:space="preserve">sunduğu ve </w:t>
            </w:r>
            <w:r w:rsidR="0065510D" w:rsidRPr="000B3F1E">
              <w:t>375 inci</w:t>
            </w:r>
            <w:r w:rsidRPr="00A23740">
              <w:rPr>
                <w:rStyle w:val="YELChar"/>
              </w:rPr>
              <w:t xml:space="preserve"> </w:t>
            </w:r>
            <w:r w:rsidRPr="000B3F1E">
              <w:t>maddenin birinci fıkrasında sayılan belgelerden anlaşılmadıkça</w:t>
            </w:r>
            <w:r w:rsidR="00872996" w:rsidRPr="000B3F1E">
              <w:t>,</w:t>
            </w:r>
            <w:r w:rsidRPr="000B3F1E">
              <w:t xml:space="preserve"> alacağını kaydettirmek ve haklarının korunması için </w:t>
            </w:r>
            <w:r w:rsidR="005F124B" w:rsidRPr="000B3F1E">
              <w:t>gerekli işlemleri</w:t>
            </w:r>
            <w:r w:rsidRPr="000B3F1E">
              <w:t xml:space="preserve"> yapmak zorundadır. </w:t>
            </w:r>
            <w:r w:rsidR="00561705" w:rsidRPr="00A23740">
              <w:rPr>
                <w:lang w:val="x-none" w:eastAsia="x-none"/>
              </w:rPr>
              <w:t xml:space="preserve">Bu hüküm </w:t>
            </w:r>
            <w:r w:rsidR="00CB4D3D" w:rsidRPr="000B3F1E">
              <w:t>6098 sayılı Kanunun</w:t>
            </w:r>
            <w:r w:rsidR="0013306B" w:rsidRPr="00A23740">
              <w:rPr>
                <w:lang w:eastAsia="x-none"/>
              </w:rPr>
              <w:t xml:space="preserve"> 594 üncü maddesinin</w:t>
            </w:r>
            <w:r w:rsidR="00561705" w:rsidRPr="00A23740">
              <w:rPr>
                <w:lang w:val="x-none" w:eastAsia="x-none"/>
              </w:rPr>
              <w:t xml:space="preserve"> ikinci fıkrasının yansımasıdır.</w:t>
            </w:r>
          </w:p>
          <w:p w:rsidR="00561705" w:rsidRPr="00A23740" w:rsidRDefault="00561705" w:rsidP="009431FF">
            <w:pPr>
              <w:ind w:firstLine="709"/>
              <w:rPr>
                <w:lang w:eastAsia="tr-TR"/>
              </w:rPr>
            </w:pPr>
            <w:r w:rsidRPr="00A23740">
              <w:t xml:space="preserve">Öğretide, </w:t>
            </w:r>
            <w:r w:rsidR="00CB4D3D" w:rsidRPr="000B3F1E">
              <w:t>6098 sayılı Kanunun</w:t>
            </w:r>
            <w:r w:rsidRPr="00A23740">
              <w:t xml:space="preserve"> 594 üncü maddesinin ikinci fıkrasının hükme d</w:t>
            </w:r>
            <w:r w:rsidR="005F124B" w:rsidRPr="00A23740">
              <w:t>â</w:t>
            </w:r>
            <w:r w:rsidRPr="00A23740">
              <w:t>hil edilmemesi h</w:t>
            </w:r>
            <w:r w:rsidR="00D271B8" w:rsidRPr="00A23740">
              <w:t>â</w:t>
            </w:r>
            <w:r w:rsidRPr="00A23740">
              <w:t xml:space="preserve">linde konkordatoda uygulanamaması gibi bir riskin ortaya çıktığı hususu ve bunun da çeşitli tartışmalara neden olduğu dikkate alınarak 594 üncü maddeyi ve diğer özel kanunlardaki hükümleri saklı tutan bir fıkra ilave edilmesinin yerinde olacağı </w:t>
            </w:r>
            <w:r w:rsidR="005F124B" w:rsidRPr="000B3F1E">
              <w:t>düşünülmüştür. Ancak,</w:t>
            </w:r>
            <w:r w:rsidRPr="00A23740">
              <w:t xml:space="preserve"> bir taraftan </w:t>
            </w:r>
            <w:r w:rsidR="0013306B" w:rsidRPr="00A23740">
              <w:t>Taslak</w:t>
            </w:r>
            <w:r w:rsidRPr="00A23740">
              <w:t xml:space="preserve"> hükümleri özel nitelik arzettiğinden ve </w:t>
            </w:r>
            <w:r w:rsidR="00CB4D3D" w:rsidRPr="000B3F1E">
              <w:t>6098 sayılı Kanunun</w:t>
            </w:r>
            <w:r w:rsidR="0013306B" w:rsidRPr="000B3F1E">
              <w:t xml:space="preserve"> 594</w:t>
            </w:r>
            <w:r w:rsidR="0013306B" w:rsidRPr="00A23740">
              <w:t xml:space="preserve"> üncü maddesine</w:t>
            </w:r>
            <w:r w:rsidRPr="00A23740">
              <w:t xml:space="preserve"> oranla daha özel ve daha kapsamlı hükümler getirdiğinden ve</w:t>
            </w:r>
            <w:r w:rsidR="00375ECE" w:rsidRPr="00A23740">
              <w:t xml:space="preserve"> </w:t>
            </w:r>
            <w:r w:rsidR="00375ECE" w:rsidRPr="000B3F1E">
              <w:t>diğer taraftan</w:t>
            </w:r>
            <w:r w:rsidRPr="00A23740">
              <w:t xml:space="preserve"> </w:t>
            </w:r>
            <w:r w:rsidR="00CB4D3D" w:rsidRPr="000B3F1E">
              <w:t>6098 sayılı Kanunun</w:t>
            </w:r>
            <w:r w:rsidR="0013306B" w:rsidRPr="00A23740">
              <w:t xml:space="preserve"> </w:t>
            </w:r>
            <w:r w:rsidRPr="00A23740">
              <w:t>594 ün</w:t>
            </w:r>
            <w:r w:rsidR="0013306B" w:rsidRPr="00A23740">
              <w:t>cü maddesinin</w:t>
            </w:r>
            <w:r w:rsidRPr="00A23740">
              <w:t xml:space="preserve"> ikinci fıkrasının birinci cümlesi </w:t>
            </w:r>
            <w:r w:rsidR="005F124B" w:rsidRPr="000B3F1E">
              <w:t>Taslağa</w:t>
            </w:r>
            <w:r w:rsidR="005F124B" w:rsidRPr="00A23740">
              <w:t xml:space="preserve"> </w:t>
            </w:r>
            <w:r w:rsidRPr="00A23740">
              <w:t xml:space="preserve">bu </w:t>
            </w:r>
            <w:r w:rsidR="00375ECE" w:rsidRPr="000B3F1E">
              <w:t>maddenin</w:t>
            </w:r>
            <w:r w:rsidRPr="00A23740">
              <w:t xml:space="preserve"> birinci fıkrası olarak </w:t>
            </w:r>
            <w:r w:rsidRPr="000B3F1E">
              <w:t>eklendiğinden</w:t>
            </w:r>
            <w:r w:rsidR="00CE5139" w:rsidRPr="000B3F1E">
              <w:t>,</w:t>
            </w:r>
            <w:r w:rsidRPr="000B3F1E">
              <w:t xml:space="preserve"> 594</w:t>
            </w:r>
            <w:r w:rsidRPr="00A23740">
              <w:t xml:space="preserve"> üncü maddeyi ve diğer özel kanunlardaki hükümleri saklı tutan bir fıkra ilave edilmemiştir. </w:t>
            </w:r>
          </w:p>
          <w:p w:rsidR="00561705" w:rsidRPr="00A23740" w:rsidRDefault="00561705" w:rsidP="009431FF">
            <w:pPr>
              <w:ind w:firstLine="709"/>
            </w:pPr>
            <w:r w:rsidRPr="00A23740">
              <w:t xml:space="preserve">Maddenin başlığındaki “birlikte sorumlu olanlar” ibaresinin özellikle ve sınırlı olmamak kaydıyla garanti vereni, müteselsil borçluları, kefilleri ve rehinli malın maliki üçüncü </w:t>
            </w:r>
            <w:r w:rsidR="00375ECE" w:rsidRPr="00A23740">
              <w:t>kişileri kapsadığı muhakkaktır.</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i/>
                <w:szCs w:val="24"/>
                <w:vertAlign w:val="superscript"/>
              </w:rPr>
            </w:pPr>
            <w:r w:rsidRPr="00A23740">
              <w:rPr>
                <w:i/>
                <w:szCs w:val="24"/>
              </w:rPr>
              <w:t>Konkordatonun mahkemede incelenmesi:</w:t>
            </w:r>
            <w:r w:rsidRPr="00A23740">
              <w:rPr>
                <w:i/>
                <w:szCs w:val="24"/>
                <w:vertAlign w:val="superscript"/>
              </w:rPr>
              <w:t xml:space="preserve"> </w:t>
            </w:r>
          </w:p>
          <w:p w:rsidR="00AA5C8C" w:rsidRPr="00A23740" w:rsidRDefault="00AA5C8C" w:rsidP="009431FF">
            <w:pPr>
              <w:rPr>
                <w:b/>
                <w:szCs w:val="24"/>
              </w:rPr>
            </w:pPr>
            <w:r w:rsidRPr="00A23740">
              <w:rPr>
                <w:rStyle w:val="KIRMIZIChar"/>
                <w:rFonts w:eastAsia="Calibri"/>
              </w:rPr>
              <w:t>Madde 304- (1) (Değişik: 28/2/2018-7101/32 md.)</w:t>
            </w:r>
            <w:r w:rsidRPr="00A23740">
              <w:rPr>
                <w:b/>
                <w:szCs w:val="24"/>
              </w:rPr>
              <w:t xml:space="preserve"> </w:t>
            </w:r>
          </w:p>
          <w:p w:rsidR="00AA5C8C" w:rsidRPr="00A23740" w:rsidRDefault="00AA5C8C" w:rsidP="009431FF">
            <w:pPr>
              <w:rPr>
                <w:szCs w:val="24"/>
              </w:rPr>
            </w:pPr>
            <w:r w:rsidRPr="00A23740">
              <w:rPr>
                <w:szCs w:val="24"/>
              </w:rPr>
              <w:t xml:space="preserve">Komiserin gerekçeli raporunu ve dosyayı tevdi alan mahkeme, konkordato hakkında karar vermek üzere yargılamaya başlar. Mahkeme, komiseri dinledikten sonra kısa bir zamanda ve her hâlde kesin mühlet içinde kararını vermek zorundadır. Karar vermek için tayin olunan duruşma günü, </w:t>
            </w:r>
            <w:r w:rsidRPr="00A23740">
              <w:rPr>
                <w:rStyle w:val="KIRMIZIChar"/>
                <w:rFonts w:eastAsia="Calibri"/>
              </w:rPr>
              <w:t>288 inci</w:t>
            </w:r>
            <w:r w:rsidRPr="00A23740">
              <w:rPr>
                <w:szCs w:val="24"/>
              </w:rPr>
              <w:t xml:space="preserve"> madde uyarınca ilân edilir. İtiraz edenlerin, itiraz sebeplerini duruşma gününden en az üç gün önce yazılı olarak bildirmek kaydıyla duruşmada hazır bulunabilecekleri de ilâna yazılır. </w:t>
            </w:r>
          </w:p>
          <w:p w:rsidR="00890E18" w:rsidRPr="00A23740" w:rsidRDefault="00890E18" w:rsidP="009431FF">
            <w:pPr>
              <w:rPr>
                <w:lang w:eastAsia="x-none"/>
              </w:rPr>
            </w:pPr>
          </w:p>
          <w:p w:rsidR="00AA5C8C" w:rsidRPr="00A23740" w:rsidRDefault="00AA5C8C" w:rsidP="009431FF">
            <w:pPr>
              <w:pStyle w:val="Nor"/>
              <w:tabs>
                <w:tab w:val="clear" w:pos="567"/>
              </w:tabs>
              <w:rPr>
                <w:rFonts w:ascii="Times New Roman" w:hAnsi="Times New Roman"/>
                <w:lang w:val="tr-TR"/>
              </w:rPr>
            </w:pPr>
            <w:r w:rsidRPr="00A23740">
              <w:rPr>
                <w:rStyle w:val="KIRMIZIChar"/>
                <w:lang w:val="tr-TR"/>
              </w:rPr>
              <w:t>(2)</w:t>
            </w:r>
            <w:r w:rsidRPr="00A23740">
              <w:rPr>
                <w:rFonts w:ascii="Times New Roman" w:hAnsi="Times New Roman"/>
                <w:sz w:val="24"/>
                <w:szCs w:val="24"/>
                <w:lang w:val="tr-TR"/>
              </w:rPr>
              <w:t xml:space="preserve"> Konkordato hakkında yapılan yargılamada kesin mühlet içinde bir karar verilemeyeceği anlaşılırsa</w:t>
            </w:r>
            <w:r w:rsidRPr="00A23740">
              <w:rPr>
                <w:rStyle w:val="KIRMIZIChar"/>
                <w:lang w:val="tr-TR"/>
              </w:rPr>
              <w:t>;</w:t>
            </w:r>
            <w:r w:rsidRPr="00A23740">
              <w:rPr>
                <w:rFonts w:ascii="Times New Roman" w:hAnsi="Times New Roman"/>
                <w:sz w:val="24"/>
                <w:szCs w:val="24"/>
                <w:lang w:val="tr-TR"/>
              </w:rPr>
              <w:t xml:space="preserve"> mahkeme, gerekli görürse komiserden gerekçeli bir rapor da alarak, karar verilinceye kadar mühlet hükümlerinin devamına karar verebilir. Bu süre altı aydan fazla olamaz.</w:t>
            </w:r>
          </w:p>
          <w:p w:rsidR="00AA5C8C" w:rsidRDefault="00AA5C8C" w:rsidP="009431FF">
            <w:pPr>
              <w:rPr>
                <w:i/>
                <w:szCs w:val="24"/>
              </w:rPr>
            </w:pPr>
          </w:p>
          <w:p w:rsidR="009A013D" w:rsidRPr="00A23740" w:rsidRDefault="009A013D" w:rsidP="009431FF">
            <w:pPr>
              <w:rPr>
                <w:i/>
                <w:szCs w:val="24"/>
              </w:rPr>
            </w:pPr>
          </w:p>
        </w:tc>
        <w:tc>
          <w:tcPr>
            <w:tcW w:w="2500" w:type="pct"/>
          </w:tcPr>
          <w:p w:rsidR="00AA5C8C" w:rsidRPr="00A23740" w:rsidRDefault="00AA5C8C" w:rsidP="009431FF">
            <w:pPr>
              <w:rPr>
                <w:b/>
                <w:szCs w:val="24"/>
                <w:vertAlign w:val="superscript"/>
              </w:rPr>
            </w:pPr>
            <w:r w:rsidRPr="00A23740">
              <w:rPr>
                <w:b/>
                <w:szCs w:val="24"/>
              </w:rPr>
              <w:t>Konkordatonun mahkemede incelenmesi</w:t>
            </w:r>
          </w:p>
          <w:p w:rsidR="00AA5C8C" w:rsidRPr="00A23740" w:rsidRDefault="00AA5C8C" w:rsidP="009431FF">
            <w:pPr>
              <w:rPr>
                <w:szCs w:val="24"/>
              </w:rPr>
            </w:pPr>
            <w:r w:rsidRPr="00A23740">
              <w:rPr>
                <w:rStyle w:val="MaviChar"/>
                <w:lang w:val="tr-TR"/>
              </w:rPr>
              <w:t>MADDE 39</w:t>
            </w:r>
            <w:r w:rsidR="00164036" w:rsidRPr="00A23740">
              <w:rPr>
                <w:rStyle w:val="MaviChar"/>
                <w:lang w:val="tr-TR"/>
              </w:rPr>
              <w:t>7</w:t>
            </w:r>
            <w:r w:rsidRPr="00A23740">
              <w:rPr>
                <w:rStyle w:val="MaviChar"/>
                <w:lang w:val="tr-TR"/>
              </w:rPr>
              <w:t>- (1)</w:t>
            </w:r>
            <w:r w:rsidRPr="00A23740">
              <w:rPr>
                <w:szCs w:val="24"/>
              </w:rPr>
              <w:t xml:space="preserve"> Komiserin gerekçeli raporunu ve dosyayı tevdi alan mahkeme, konkordato hakkında karar vermek üzere yargılamaya başlar. Mahkeme, komiseri dinledikten sonra kısa bir zamanda ve her hâlde kesin mühlet içinde kararını vermek zorundadır. Karar vermek için </w:t>
            </w:r>
            <w:r w:rsidR="00BD5E20" w:rsidRPr="000B3F1E">
              <w:rPr>
                <w:rStyle w:val="MaviChar"/>
              </w:rPr>
              <w:t>belirlenen</w:t>
            </w:r>
            <w:r w:rsidRPr="00A23740">
              <w:rPr>
                <w:szCs w:val="24"/>
              </w:rPr>
              <w:t xml:space="preserve"> duruşma günü, </w:t>
            </w:r>
            <w:r w:rsidRPr="00A23740">
              <w:rPr>
                <w:rStyle w:val="MaviChar"/>
              </w:rPr>
              <w:t>geçici mühletin ilanı hakkındaki</w:t>
            </w:r>
            <w:r w:rsidR="00C8158C" w:rsidRPr="00A23740">
              <w:rPr>
                <w:rStyle w:val="MaviChar"/>
                <w:lang w:val="tr-TR"/>
              </w:rPr>
              <w:t xml:space="preserve"> </w:t>
            </w:r>
            <w:r w:rsidR="00C8158C" w:rsidRPr="000B3F1E">
              <w:rPr>
                <w:rStyle w:val="MaviChar"/>
              </w:rPr>
              <w:t>377 nci</w:t>
            </w:r>
            <w:r w:rsidRPr="00A23740">
              <w:rPr>
                <w:szCs w:val="24"/>
              </w:rPr>
              <w:t xml:space="preserve"> </w:t>
            </w:r>
            <w:r w:rsidR="00E33738" w:rsidRPr="000B3F1E">
              <w:rPr>
                <w:rStyle w:val="MaviChar"/>
              </w:rPr>
              <w:t>maddedeki esaslar d</w:t>
            </w:r>
            <w:r w:rsidR="001023F8" w:rsidRPr="000B3F1E">
              <w:rPr>
                <w:rStyle w:val="MaviChar"/>
              </w:rPr>
              <w:t>â</w:t>
            </w:r>
            <w:r w:rsidR="00E33738" w:rsidRPr="000B3F1E">
              <w:rPr>
                <w:rStyle w:val="MaviChar"/>
              </w:rPr>
              <w:t>hilinde</w:t>
            </w:r>
            <w:r w:rsidR="00E33738" w:rsidRPr="00A23740">
              <w:rPr>
                <w:szCs w:val="24"/>
              </w:rPr>
              <w:t xml:space="preserve"> </w:t>
            </w:r>
            <w:r w:rsidRPr="00A23740">
              <w:rPr>
                <w:szCs w:val="24"/>
              </w:rPr>
              <w:t>il</w:t>
            </w:r>
            <w:r w:rsidR="00930910" w:rsidRPr="00A23740">
              <w:rPr>
                <w:szCs w:val="24"/>
              </w:rPr>
              <w:t>a</w:t>
            </w:r>
            <w:r w:rsidRPr="00A23740">
              <w:rPr>
                <w:szCs w:val="24"/>
              </w:rPr>
              <w:t>n edilir. İtiraz edenlerin, itiraz sebeplerini duruşma gününden en az üç gün önce yazılı olarak bildirmek kaydıyla duruşmada hazır bulunabilecekleri de il</w:t>
            </w:r>
            <w:r w:rsidR="00930910" w:rsidRPr="00A23740">
              <w:rPr>
                <w:szCs w:val="24"/>
              </w:rPr>
              <w:t>a</w:t>
            </w:r>
            <w:r w:rsidRPr="00A23740">
              <w:rPr>
                <w:szCs w:val="24"/>
              </w:rPr>
              <w:t>na yazılır.</w:t>
            </w:r>
            <w:r w:rsidR="00623DDB" w:rsidRPr="00A23740">
              <w:rPr>
                <w:szCs w:val="24"/>
              </w:rPr>
              <w:t xml:space="preserve"> </w:t>
            </w:r>
            <w:r w:rsidR="00623DDB" w:rsidRPr="00A23740">
              <w:rPr>
                <w:rStyle w:val="MaviChar"/>
              </w:rPr>
              <w:t>Borçlu her hâlde duruşmada hazır bulunmak zorundadır.</w:t>
            </w:r>
          </w:p>
          <w:p w:rsidR="00AA5C8C" w:rsidRPr="00A23740" w:rsidRDefault="00AA5C8C" w:rsidP="009431FF">
            <w:pPr>
              <w:rPr>
                <w:szCs w:val="24"/>
              </w:rPr>
            </w:pPr>
          </w:p>
          <w:p w:rsidR="00AA5C8C" w:rsidRPr="00A23740" w:rsidRDefault="00AA5C8C" w:rsidP="009431FF">
            <w:pPr>
              <w:pStyle w:val="Nor"/>
              <w:tabs>
                <w:tab w:val="clear" w:pos="567"/>
              </w:tabs>
              <w:rPr>
                <w:rFonts w:ascii="Times New Roman" w:hAnsi="Times New Roman"/>
                <w:lang w:val="tr-TR"/>
              </w:rPr>
            </w:pPr>
            <w:r w:rsidRPr="00A23740">
              <w:rPr>
                <w:rStyle w:val="MaviChar"/>
                <w:lang w:val="tr-TR"/>
              </w:rPr>
              <w:t>(2)</w:t>
            </w:r>
            <w:r w:rsidRPr="00A23740">
              <w:rPr>
                <w:rFonts w:ascii="Times New Roman" w:hAnsi="Times New Roman"/>
                <w:sz w:val="24"/>
                <w:szCs w:val="24"/>
                <w:lang w:val="tr-TR"/>
              </w:rPr>
              <w:t xml:space="preserve"> Konkordato hakkında yapılan yargılamada kesin mühlet içinde bir karar verilemeyeceği anlaşılırsa, mahkeme, gerekli görürse komiserden gerekçeli bir rapor da alarak, karar verilinceye kadar mühlet hükümlerinin devamına karar verebilir. Bu süre altı aydan fazla olamaz.</w:t>
            </w:r>
          </w:p>
          <w:p w:rsidR="00AA5C8C" w:rsidRPr="00A23740" w:rsidRDefault="00AA5C8C" w:rsidP="009431FF">
            <w:pPr>
              <w:rPr>
                <w:rFonts w:eastAsia="Times New Roman"/>
                <w:szCs w:val="24"/>
                <w:lang w:eastAsia="tr-TR"/>
              </w:rPr>
            </w:pPr>
          </w:p>
        </w:tc>
      </w:tr>
      <w:tr w:rsidR="005C3738" w:rsidRPr="00A23740" w:rsidTr="009431FF">
        <w:tc>
          <w:tcPr>
            <w:tcW w:w="5000" w:type="pct"/>
            <w:gridSpan w:val="2"/>
            <w:shd w:val="clear" w:color="auto" w:fill="DEEAF6"/>
          </w:tcPr>
          <w:p w:rsidR="006A08D3" w:rsidRPr="00A23740" w:rsidRDefault="006A08D3" w:rsidP="009431FF">
            <w:pPr>
              <w:pStyle w:val="NormalWeb"/>
              <w:spacing w:before="0" w:beforeAutospacing="0" w:after="0"/>
              <w:ind w:firstLine="709"/>
              <w:rPr>
                <w:bCs/>
              </w:rPr>
            </w:pPr>
          </w:p>
          <w:p w:rsidR="00561705" w:rsidRPr="00A23740" w:rsidRDefault="006A08D3" w:rsidP="009431FF">
            <w:pPr>
              <w:ind w:firstLine="709"/>
              <w:rPr>
                <w:szCs w:val="24"/>
                <w:vertAlign w:val="superscript"/>
              </w:rPr>
            </w:pPr>
            <w:r w:rsidRPr="00A23740">
              <w:rPr>
                <w:b/>
                <w:bCs/>
              </w:rPr>
              <w:t>MADDE 39</w:t>
            </w:r>
            <w:r w:rsidR="00164036" w:rsidRPr="00A23740">
              <w:rPr>
                <w:b/>
                <w:bCs/>
              </w:rPr>
              <w:t>7</w:t>
            </w:r>
            <w:r w:rsidRPr="00A23740">
              <w:rPr>
                <w:b/>
                <w:bCs/>
              </w:rPr>
              <w:t>-</w:t>
            </w:r>
            <w:r w:rsidRPr="00A23740">
              <w:rPr>
                <w:bCs/>
              </w:rPr>
              <w:t xml:space="preserve"> Maddeyle, </w:t>
            </w:r>
            <w:r w:rsidRPr="00A23740">
              <w:rPr>
                <w:szCs w:val="24"/>
              </w:rPr>
              <w:t xml:space="preserve">konkordatonun mahkemede incelenmesine ilişkin hususlar düzenlenmektedir. </w:t>
            </w:r>
            <w:r w:rsidRPr="00A23740">
              <w:rPr>
                <w:bCs/>
              </w:rPr>
              <w:t>2004 sayılı Kanun</w:t>
            </w:r>
            <w:r w:rsidR="00561705" w:rsidRPr="00A23740">
              <w:rPr>
                <w:bCs/>
              </w:rPr>
              <w:t>un 304 üncü maddesi hükmü, güncellenerek metne alınmıştı</w:t>
            </w:r>
            <w:r w:rsidRPr="00A23740">
              <w:rPr>
                <w:bCs/>
              </w:rPr>
              <w:t>r.</w:t>
            </w:r>
          </w:p>
          <w:p w:rsidR="00561705" w:rsidRPr="000B3F1E" w:rsidRDefault="00561705" w:rsidP="009431FF">
            <w:pPr>
              <w:pStyle w:val="NormalWeb"/>
              <w:spacing w:before="0" w:beforeAutospacing="0" w:after="0"/>
              <w:ind w:firstLine="709"/>
            </w:pPr>
            <w:r w:rsidRPr="00A23740">
              <w:t>Buna göre, mahkemenin komiseri dinledikten sonra kararını her h</w:t>
            </w:r>
            <w:r w:rsidR="00375AA2" w:rsidRPr="00A23740">
              <w:rPr>
                <w:lang w:val="tr-TR"/>
              </w:rPr>
              <w:t>â</w:t>
            </w:r>
            <w:r w:rsidRPr="00A23740">
              <w:t xml:space="preserve">lde kesin mühlet içinde vermesi gerekmektedir. Duruşma günü </w:t>
            </w:r>
            <w:r w:rsidR="00C8158C" w:rsidRPr="000B3F1E">
              <w:t xml:space="preserve">377 nci </w:t>
            </w:r>
            <w:r w:rsidRPr="00A23740">
              <w:t>madde uyarınca ilan edilecektir. İtiraz edenlerin duruşmada hazır bulunabilmeleri için itiraz sebeplerini, mahkemeye, duruşma gününden en az üç gün önce ve yazılı olarak bildirmiş olmaları gerekmektedir. Aksi h</w:t>
            </w:r>
            <w:r w:rsidR="00D271B8" w:rsidRPr="00A23740">
              <w:rPr>
                <w:lang w:val="tr-TR"/>
              </w:rPr>
              <w:t>â</w:t>
            </w:r>
            <w:r w:rsidRPr="00A23740">
              <w:t>lde</w:t>
            </w:r>
            <w:r w:rsidR="00375AA2" w:rsidRPr="00A23740">
              <w:rPr>
                <w:lang w:val="tr-TR"/>
              </w:rPr>
              <w:t xml:space="preserve"> </w:t>
            </w:r>
            <w:r w:rsidR="00375AA2" w:rsidRPr="000B3F1E">
              <w:rPr>
                <w:rFonts w:eastAsia="ヒラギノ明朝 Pro W3"/>
              </w:rPr>
              <w:t>bu kişiler</w:t>
            </w:r>
            <w:r w:rsidRPr="00A23740">
              <w:t xml:space="preserve"> duruşmada hazır bulunamayacaklardır. Böyle bir sınırlama getirilmesinin nedeni, her alacaklının duruşmada hazır bulunarak itirazlarını ileri sürmesinin yargılamayı sekteye uğratabilme ihtimalidir. </w:t>
            </w:r>
            <w:r w:rsidR="0062359E" w:rsidRPr="000B3F1E">
              <w:t>Madde</w:t>
            </w:r>
            <w:r w:rsidR="00872996" w:rsidRPr="000B3F1E">
              <w:t>yle</w:t>
            </w:r>
            <w:r w:rsidR="0062359E" w:rsidRPr="000B3F1E">
              <w:t xml:space="preserve"> ayrıca, bir yenilik olarak, borçlunun her hâlde duruşmada hazır bulunması zorunlu kılınmıştır. Konkordato talebinde bulunmuş olan ve bu imkândan yararlanmak isteyen bir borçlunun, konkordato sürecinin nihai ve belki de en önemli aşaması olan tasdik yargılamasında mahkeme</w:t>
            </w:r>
            <w:r w:rsidR="00872996" w:rsidRPr="000B3F1E">
              <w:t>de</w:t>
            </w:r>
            <w:r w:rsidR="0062359E" w:rsidRPr="000B3F1E">
              <w:t xml:space="preserve"> hazır bulunması, dürüstlük kuralının bir gereğidir. Nitekim öğretide de bu sorumluluğu yerine getirmeyen borçluya, mühletin sonuçlarından yararlanma ve alacaklılarına zarar verme yetkisi tanınmaması gerektiği; borçlunun geçerli bir özrü olmadan duruşmaya gelmemesi h</w:t>
            </w:r>
            <w:r w:rsidR="00D271B8" w:rsidRPr="000B3F1E">
              <w:t>â</w:t>
            </w:r>
            <w:r w:rsidR="0062359E" w:rsidRPr="000B3F1E">
              <w:t xml:space="preserve">linde mahkemenin, borçlunun yokluğunda tasdik talebinin reddine karar verebileceği ifade edilmiştir (Baki Kuru, İcra ve İflas Hukuku El Kitabı, İkinci Baskı, </w:t>
            </w:r>
            <w:r w:rsidR="00872996" w:rsidRPr="000B3F1E">
              <w:t xml:space="preserve">Ankara </w:t>
            </w:r>
            <w:r w:rsidR="0062359E" w:rsidRPr="000B3F1E">
              <w:t>2013, s. 1489). Fıkrada yer alan son cümle</w:t>
            </w:r>
            <w:r w:rsidR="00872996" w:rsidRPr="000B3F1E">
              <w:t>yle</w:t>
            </w:r>
            <w:r w:rsidR="0062359E" w:rsidRPr="000B3F1E">
              <w:t xml:space="preserve"> borçlu bakımından böyle bir zorunluluk bulunduğu hususu açıklığa kavuşturulmuştur.</w:t>
            </w:r>
          </w:p>
          <w:p w:rsidR="00561705" w:rsidRPr="00A23740" w:rsidRDefault="00561705" w:rsidP="009431FF">
            <w:pPr>
              <w:pStyle w:val="NormalWeb"/>
              <w:spacing w:before="0" w:beforeAutospacing="0" w:after="0"/>
              <w:ind w:firstLine="709"/>
              <w:rPr>
                <w:lang w:val="tr-TR"/>
              </w:rPr>
            </w:pPr>
            <w:r w:rsidRPr="00A23740">
              <w:t>Maddenin birinci fıkrasında mahkemeye,</w:t>
            </w:r>
            <w:r w:rsidR="006A08D3" w:rsidRPr="00A23740">
              <w:t xml:space="preserve"> kesin mühlet içinde konkorda</w:t>
            </w:r>
            <w:r w:rsidRPr="00A23740">
              <w:t>to hakkında bir karar vermek zorunluluğu yüklenmektedir. Bu sebeple, ikinci fıkrada da yargılamanın gidişatına göre</w:t>
            </w:r>
            <w:r w:rsidR="004A4973">
              <w:rPr>
                <w:lang w:val="tr-TR"/>
              </w:rPr>
              <w:t xml:space="preserve"> </w:t>
            </w:r>
            <w:r w:rsidRPr="00A23740">
              <w:t>kesin mühlet içinde kararın verilemeyeceğinin anlaşılması h</w:t>
            </w:r>
            <w:r w:rsidR="00375AA2" w:rsidRPr="00A23740">
              <w:rPr>
                <w:lang w:val="tr-TR"/>
              </w:rPr>
              <w:t>â</w:t>
            </w:r>
            <w:r w:rsidRPr="00A23740">
              <w:t>linde mahkemece konkordato kararının verilmesine kadar mühlet hükümlerinin devamına karar ver</w:t>
            </w:r>
            <w:r w:rsidR="00AF2E91" w:rsidRPr="00A23740">
              <w:rPr>
                <w:lang w:val="tr-TR"/>
              </w:rPr>
              <w:t>ile</w:t>
            </w:r>
            <w:r w:rsidRPr="00A23740">
              <w:t>bilecektir. Zira mühlet içinde karar verilemediğinde mühletin kalkması h</w:t>
            </w:r>
            <w:r w:rsidR="00375AA2" w:rsidRPr="00A23740">
              <w:rPr>
                <w:lang w:val="tr-TR"/>
              </w:rPr>
              <w:t>â</w:t>
            </w:r>
            <w:r w:rsidRPr="00A23740">
              <w:t>linde, takip yasağının kalkması gibi konkordatonun amacına ulaşmasını engelleyecek sonuçlar ortaya çıkabilecektir.</w:t>
            </w:r>
            <w:r w:rsidR="00AF2E91" w:rsidRPr="00A23740">
              <w:rPr>
                <w:lang w:val="tr-TR"/>
              </w:rPr>
              <w:t xml:space="preserve"> </w:t>
            </w:r>
            <w:r w:rsidR="00AF2E91" w:rsidRPr="000B3F1E">
              <w:rPr>
                <w:rFonts w:eastAsia="ヒラギノ明朝 Pro W3"/>
              </w:rPr>
              <w:t>Borçlunun,</w:t>
            </w:r>
            <w:r w:rsidRPr="00A23740">
              <w:t xml:space="preserve"> </w:t>
            </w:r>
            <w:r w:rsidR="00AF2E91" w:rsidRPr="00A23740">
              <w:t xml:space="preserve">kendisinden </w:t>
            </w:r>
            <w:r w:rsidRPr="00A23740">
              <w:t xml:space="preserve">sadır olmayan </w:t>
            </w:r>
            <w:r w:rsidR="00AF2E91" w:rsidRPr="000B3F1E">
              <w:rPr>
                <w:rFonts w:eastAsia="ヒラギノ明朝 Pro W3"/>
              </w:rPr>
              <w:t>sebeplerle</w:t>
            </w:r>
            <w:r w:rsidRPr="00A23740">
              <w:t xml:space="preserve"> mühletin kalkması sonucuyla karşı karşıya kalması da önlenmek istenmiştir. </w:t>
            </w:r>
          </w:p>
          <w:p w:rsidR="005C3738" w:rsidRPr="00A23740" w:rsidRDefault="005C3738" w:rsidP="009A013D">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i/>
                <w:szCs w:val="24"/>
              </w:rPr>
            </w:pPr>
            <w:r w:rsidRPr="00A23740">
              <w:rPr>
                <w:i/>
                <w:szCs w:val="24"/>
              </w:rPr>
              <w:t>Konkordatonun tasdiki şartları:</w:t>
            </w:r>
          </w:p>
          <w:p w:rsidR="00AA5C8C" w:rsidRPr="00A23740" w:rsidRDefault="00AA5C8C" w:rsidP="009431FF">
            <w:pPr>
              <w:pStyle w:val="KIRMIZI"/>
              <w:widowControl w:val="0"/>
            </w:pPr>
            <w:r w:rsidRPr="00A23740">
              <w:rPr>
                <w:lang w:val="tr-TR"/>
              </w:rPr>
              <w:t xml:space="preserve">Madde </w:t>
            </w:r>
            <w:r w:rsidRPr="00A23740">
              <w:rPr>
                <w:rStyle w:val="KIRMIZIChar"/>
                <w:rFonts w:eastAsia="Calibri"/>
                <w:b/>
                <w:bCs/>
                <w:strike/>
                <w:lang w:val="tr-TR"/>
              </w:rPr>
              <w:t>305</w:t>
            </w:r>
            <w:r w:rsidRPr="00A23740">
              <w:rPr>
                <w:lang w:val="tr-TR"/>
              </w:rPr>
              <w:t>- (1) (Değişik: 28/2/2018-7101/33 md.)</w:t>
            </w:r>
            <w:r w:rsidRPr="00A23740">
              <w:rPr>
                <w:rFonts w:eastAsia="Calibri"/>
                <w:b w:val="0"/>
                <w:bCs w:val="0"/>
                <w:strike w:val="0"/>
                <w:color w:val="auto"/>
                <w:lang w:val="tr-TR" w:eastAsia="en-US"/>
              </w:rPr>
              <w:t xml:space="preserve"> </w:t>
            </w:r>
            <w:r w:rsidRPr="00A23740">
              <w:rPr>
                <w:rFonts w:eastAsia="Calibri"/>
              </w:rPr>
              <w:t>302 nci</w:t>
            </w:r>
            <w:r w:rsidRPr="00A23740">
              <w:rPr>
                <w:rFonts w:eastAsia="Calibri"/>
                <w:b w:val="0"/>
                <w:bCs w:val="0"/>
                <w:strike w:val="0"/>
                <w:color w:val="auto"/>
                <w:lang w:val="tr-TR" w:eastAsia="en-US"/>
              </w:rPr>
              <w:t xml:space="preserve"> madde uyarınca yapılan toplantıda ve iltihak süresi içinde verilen oylarla kabul edilen konkordato projesinin tasdiki aşağıdaki şartların gerçekleşmesine bağlıdır:</w:t>
            </w:r>
          </w:p>
          <w:p w:rsidR="00AA5C8C" w:rsidRPr="00A23740" w:rsidRDefault="00AA5C8C" w:rsidP="009431FF">
            <w:pPr>
              <w:widowControl w:val="0"/>
              <w:rPr>
                <w:szCs w:val="24"/>
              </w:rPr>
            </w:pPr>
            <w:r w:rsidRPr="00A23740">
              <w:rPr>
                <w:szCs w:val="24"/>
              </w:rPr>
              <w:t>a) Adi konkordatoda teklif edilen tutarın, borçlunun iflâsı hâlinde alacaklıların eline geçebilecek muhtemel miktardan fazla olacağının anlaşılması; malvarlığının terki suretiyle konkordatoda paraya çevirme hâlinde elde edilen hasılat veya üçüncü kişi tarafından teklif edilen tutarın iflâs yoluyla tasfiye hâlinde elde edilebilecek bedelden fazla olacağının anlaşılması.</w:t>
            </w: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szCs w:val="24"/>
              </w:rPr>
              <w:t xml:space="preserve">b) Teklif edilen tutarın borçlunun </w:t>
            </w:r>
            <w:r w:rsidRPr="00A23740">
              <w:rPr>
                <w:rStyle w:val="KIRMIZIChar"/>
                <w:rFonts w:eastAsia="Calibri"/>
              </w:rPr>
              <w:t>kaynakları ile orantılı olması</w:t>
            </w:r>
            <w:r w:rsidRPr="00A23740">
              <w:rPr>
                <w:szCs w:val="24"/>
              </w:rPr>
              <w:t xml:space="preserve"> (bu </w:t>
            </w:r>
            <w:r w:rsidRPr="00A23740">
              <w:rPr>
                <w:rStyle w:val="KIRMIZIChar"/>
                <w:rFonts w:eastAsia="Calibri"/>
              </w:rPr>
              <w:t>kapsamda mahkeme, borçlunun beklenen haklarının</w:t>
            </w:r>
            <w:r w:rsidRPr="00A23740">
              <w:rPr>
                <w:szCs w:val="24"/>
              </w:rPr>
              <w:t xml:space="preserve"> dikkate alın</w:t>
            </w:r>
            <w:r w:rsidRPr="00A23740">
              <w:rPr>
                <w:rStyle w:val="KIRMIZIChar"/>
                <w:rFonts w:eastAsia="Calibri"/>
              </w:rPr>
              <w:t>ıp</w:t>
            </w:r>
            <w:r w:rsidRPr="00A23740">
              <w:rPr>
                <w:szCs w:val="24"/>
              </w:rPr>
              <w:t xml:space="preserve"> </w:t>
            </w:r>
            <w:r w:rsidRPr="00A23740">
              <w:rPr>
                <w:rStyle w:val="KIRMIZIChar"/>
                <w:rFonts w:eastAsia="Calibri"/>
              </w:rPr>
              <w:t>alınmayacağını ve alınacaksa ne oranda dikkate alınacağını da takdir eder)</w:t>
            </w:r>
            <w:r w:rsidRPr="00A23740">
              <w:rPr>
                <w:bCs/>
              </w:rPr>
              <w:t>.</w:t>
            </w:r>
          </w:p>
          <w:p w:rsidR="00AA5C8C" w:rsidRPr="00A23740" w:rsidRDefault="00AA5C8C" w:rsidP="009431FF">
            <w:pPr>
              <w:widowControl w:val="0"/>
              <w:rPr>
                <w:szCs w:val="24"/>
              </w:rPr>
            </w:pPr>
          </w:p>
          <w:p w:rsidR="00AA5C8C" w:rsidRPr="00A23740" w:rsidRDefault="00AA5C8C" w:rsidP="009431FF">
            <w:pPr>
              <w:widowControl w:val="0"/>
              <w:rPr>
                <w:szCs w:val="24"/>
              </w:rPr>
            </w:pPr>
          </w:p>
          <w:p w:rsidR="00124CDD" w:rsidRPr="00A23740" w:rsidRDefault="00124CDD"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rPr>
              <w:t>c)</w:t>
            </w:r>
            <w:r w:rsidRPr="00A23740">
              <w:rPr>
                <w:szCs w:val="24"/>
              </w:rPr>
              <w:t xml:space="preserve"> Konkordato projesinin </w:t>
            </w:r>
            <w:r w:rsidRPr="00A23740">
              <w:rPr>
                <w:rStyle w:val="KIRMIZIChar"/>
                <w:rFonts w:eastAsia="Calibri"/>
              </w:rPr>
              <w:t>302 nci</w:t>
            </w:r>
            <w:r w:rsidRPr="00A23740">
              <w:rPr>
                <w:szCs w:val="24"/>
              </w:rPr>
              <w:t xml:space="preserve"> maddede öngörülen çoğunlukla kabul edilmiş bulunması.</w:t>
            </w:r>
          </w:p>
          <w:p w:rsidR="00B612C0" w:rsidRPr="00A23740" w:rsidRDefault="00B612C0" w:rsidP="009431FF">
            <w:pPr>
              <w:widowControl w:val="0"/>
              <w:rPr>
                <w:szCs w:val="24"/>
              </w:rPr>
            </w:pPr>
          </w:p>
          <w:p w:rsidR="00AA5C8C" w:rsidRPr="00A23740" w:rsidRDefault="00AA5C8C" w:rsidP="009431FF">
            <w:pPr>
              <w:widowControl w:val="0"/>
              <w:rPr>
                <w:szCs w:val="24"/>
              </w:rPr>
            </w:pPr>
            <w:r w:rsidRPr="00A23740">
              <w:rPr>
                <w:szCs w:val="24"/>
              </w:rPr>
              <w:t xml:space="preserve">d) </w:t>
            </w:r>
            <w:r w:rsidRPr="00A23740">
              <w:rPr>
                <w:rStyle w:val="KIRMIZIChar"/>
                <w:rFonts w:eastAsia="Calibri"/>
              </w:rPr>
              <w:t>206 ncı</w:t>
            </w:r>
            <w:r w:rsidRPr="00A23740">
              <w:rPr>
                <w:szCs w:val="24"/>
              </w:rPr>
              <w:t xml:space="preserve"> maddenin birinci sırasındaki imtiyazlı alacaklıların alacaklarının tam olarak ödenmesinin ve mühlet içinde komiserin izniyle akdedilmiş borçların ifasının, alacaklı bundan açıkça vazgeçmedikçe yeterli teminata bağlanmış olması </w:t>
            </w:r>
            <w:r w:rsidRPr="00A23740">
              <w:rPr>
                <w:rStyle w:val="KIRMIZIChar"/>
                <w:rFonts w:eastAsia="Calibri"/>
              </w:rPr>
              <w:t>(302 nci maddenin altıncı fıkrası kıyasen uygulanır)</w:t>
            </w:r>
            <w:r w:rsidRPr="00A23740">
              <w:rPr>
                <w:szCs w:val="24"/>
              </w:rPr>
              <w:t>.</w:t>
            </w:r>
          </w:p>
          <w:p w:rsidR="00AA5C8C" w:rsidRPr="00A23740" w:rsidRDefault="00AA5C8C" w:rsidP="009431FF">
            <w:pPr>
              <w:widowControl w:val="0"/>
              <w:rPr>
                <w:szCs w:val="24"/>
              </w:rPr>
            </w:pPr>
          </w:p>
          <w:p w:rsidR="00AA5C8C" w:rsidRPr="00A23740" w:rsidRDefault="00AA5C8C" w:rsidP="009431FF">
            <w:pPr>
              <w:widowControl w:val="0"/>
              <w:rPr>
                <w:szCs w:val="24"/>
              </w:rPr>
            </w:pPr>
          </w:p>
          <w:p w:rsidR="004557EF" w:rsidRPr="00A23740" w:rsidRDefault="004557EF" w:rsidP="009431FF">
            <w:pPr>
              <w:widowControl w:val="0"/>
              <w:rPr>
                <w:szCs w:val="24"/>
              </w:rPr>
            </w:pPr>
          </w:p>
          <w:p w:rsidR="00B612C0" w:rsidRPr="00A23740" w:rsidRDefault="00AA5C8C" w:rsidP="009431FF">
            <w:pPr>
              <w:widowControl w:val="0"/>
              <w:rPr>
                <w:szCs w:val="24"/>
              </w:rPr>
            </w:pPr>
            <w:r w:rsidRPr="00A23740">
              <w:rPr>
                <w:szCs w:val="24"/>
              </w:rPr>
              <w:t>e)</w:t>
            </w:r>
            <w:r w:rsidRPr="00A23740">
              <w:rPr>
                <w:rStyle w:val="AralkYokChar"/>
                <w:strike w:val="0"/>
                <w:lang w:val="tr-TR"/>
              </w:rPr>
              <w:t xml:space="preserve"> </w:t>
            </w:r>
            <w:r w:rsidRPr="00A23740">
              <w:rPr>
                <w:szCs w:val="24"/>
              </w:rPr>
              <w:t>Konkordatonun tasdikinin gerektirdiği yargılama giderleri ile konkordatonun tasdiki durumunda alacaklılara ödenmesi kararlaştırılan para üzerinden alınması gereken harcın, tasdik kararından önce, borçlu tarafından mahkeme</w:t>
            </w:r>
            <w:r w:rsidR="007A2519">
              <w:rPr>
                <w:szCs w:val="24"/>
              </w:rPr>
              <w:t xml:space="preserve"> veznesine depo edilmiş olması.</w:t>
            </w:r>
          </w:p>
          <w:p w:rsidR="00B612C0" w:rsidRPr="00A23740" w:rsidRDefault="00B612C0" w:rsidP="009431FF">
            <w:pPr>
              <w:widowControl w:val="0"/>
              <w:rPr>
                <w:szCs w:val="24"/>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Mahkeme </w:t>
            </w:r>
            <w:r w:rsidRPr="00A23740">
              <w:rPr>
                <w:rStyle w:val="KIRMIZIChar"/>
                <w:rFonts w:eastAsia="Calibri"/>
              </w:rPr>
              <w:t>konkordato projesini yetersiz bulursa kendiliğinden veya talep üzerine gerekli gördüğü düzeltmenin yapılmasını isteyebilir.</w:t>
            </w:r>
            <w:r w:rsidRPr="00A23740">
              <w:rPr>
                <w:szCs w:val="24"/>
              </w:rPr>
              <w:t xml:space="preserve"> </w:t>
            </w:r>
          </w:p>
          <w:p w:rsidR="00AA5C8C" w:rsidRPr="00A23740" w:rsidRDefault="00AA5C8C" w:rsidP="009431FF">
            <w:pPr>
              <w:widowControl w:val="0"/>
              <w:rPr>
                <w:rFonts w:eastAsia="Times New Roman"/>
                <w:i/>
                <w:szCs w:val="24"/>
                <w:lang w:eastAsia="tr-TR"/>
              </w:rPr>
            </w:pPr>
          </w:p>
        </w:tc>
        <w:tc>
          <w:tcPr>
            <w:tcW w:w="2500" w:type="pct"/>
          </w:tcPr>
          <w:p w:rsidR="00AA5C8C" w:rsidRPr="00A23740" w:rsidRDefault="00AA5C8C" w:rsidP="009431FF">
            <w:pPr>
              <w:widowControl w:val="0"/>
              <w:rPr>
                <w:b/>
                <w:szCs w:val="24"/>
              </w:rPr>
            </w:pPr>
            <w:r w:rsidRPr="00A23740">
              <w:rPr>
                <w:b/>
                <w:szCs w:val="24"/>
              </w:rPr>
              <w:t>Konkordatonun tasdiki şartları</w:t>
            </w:r>
          </w:p>
          <w:p w:rsidR="00AA5C8C" w:rsidRPr="00A23740" w:rsidRDefault="00AA5C8C" w:rsidP="009431FF">
            <w:pPr>
              <w:widowControl w:val="0"/>
              <w:rPr>
                <w:szCs w:val="24"/>
              </w:rPr>
            </w:pPr>
            <w:r w:rsidRPr="00A23740">
              <w:rPr>
                <w:rStyle w:val="MaviChar"/>
                <w:lang w:val="tr-TR"/>
              </w:rPr>
              <w:t>MADDE 39</w:t>
            </w:r>
            <w:r w:rsidR="00164036" w:rsidRPr="00A23740">
              <w:rPr>
                <w:rStyle w:val="MaviChar"/>
                <w:lang w:val="tr-TR"/>
              </w:rPr>
              <w:t>8</w:t>
            </w:r>
            <w:r w:rsidRPr="00A23740">
              <w:rPr>
                <w:rStyle w:val="MaviChar"/>
                <w:lang w:val="tr-TR"/>
              </w:rPr>
              <w:t>- (1)</w:t>
            </w:r>
            <w:r w:rsidR="003631B8" w:rsidRPr="00A23740">
              <w:rPr>
                <w:rStyle w:val="MaviChar"/>
                <w:lang w:val="tr-TR"/>
              </w:rPr>
              <w:t xml:space="preserve"> </w:t>
            </w:r>
            <w:r w:rsidR="003631B8" w:rsidRPr="00AB0FD4">
              <w:rPr>
                <w:rStyle w:val="MaviChar"/>
              </w:rPr>
              <w:t>394 üncü</w:t>
            </w:r>
            <w:r w:rsidRPr="00A23740">
              <w:rPr>
                <w:szCs w:val="24"/>
              </w:rPr>
              <w:t xml:space="preserve"> madde uyarınca yapılan </w:t>
            </w:r>
            <w:r w:rsidRPr="00A23740">
              <w:rPr>
                <w:rStyle w:val="MaviChar"/>
              </w:rPr>
              <w:t>alacaklılar toplantısında</w:t>
            </w:r>
            <w:r w:rsidRPr="00A23740">
              <w:rPr>
                <w:szCs w:val="24"/>
              </w:rPr>
              <w:t xml:space="preserve"> ve iltihak süresi içinde verilen oylarla kabul edilen konkordato projesinin tasdiki aşağıdaki şartların gerçekleşmesine bağlıdır:</w:t>
            </w:r>
          </w:p>
          <w:p w:rsidR="00AA5C8C" w:rsidRPr="00A23740" w:rsidRDefault="00AA5C8C" w:rsidP="009431FF">
            <w:pPr>
              <w:widowControl w:val="0"/>
              <w:rPr>
                <w:szCs w:val="24"/>
              </w:rPr>
            </w:pPr>
            <w:r w:rsidRPr="00A23740">
              <w:rPr>
                <w:szCs w:val="24"/>
              </w:rPr>
              <w:t xml:space="preserve">a) </w:t>
            </w:r>
            <w:r w:rsidRPr="00A23740">
              <w:rPr>
                <w:rStyle w:val="MaviChar"/>
                <w:lang w:val="tr-TR"/>
              </w:rPr>
              <w:t>İflasa tabi borçlu bakımından</w:t>
            </w:r>
            <w:r w:rsidRPr="00A23740">
              <w:rPr>
                <w:szCs w:val="24"/>
              </w:rPr>
              <w:t xml:space="preserve"> adi konkordatoda</w:t>
            </w:r>
            <w:r w:rsidRPr="00A23740">
              <w:rPr>
                <w:rStyle w:val="MaviChar"/>
                <w:lang w:val="tr-TR"/>
              </w:rPr>
              <w:t xml:space="preserve">, </w:t>
            </w:r>
            <w:r w:rsidRPr="00A23740">
              <w:rPr>
                <w:szCs w:val="24"/>
              </w:rPr>
              <w:t>teklif edilen tutarın, borçlunun ifl</w:t>
            </w:r>
            <w:r w:rsidR="00D9734F" w:rsidRPr="00A23740">
              <w:rPr>
                <w:szCs w:val="24"/>
              </w:rPr>
              <w:t>a</w:t>
            </w:r>
            <w:r w:rsidRPr="00A23740">
              <w:rPr>
                <w:szCs w:val="24"/>
              </w:rPr>
              <w:t>sı hâlinde alacaklıların eline geçebilecek muhtemel miktardan fazla olacağının anlaşılması; malvarlığının terki suretiyle konkordatoda paraya çevirme hâlinde elde edilen hasılat veya üçüncü kişi tarafından teklif edilen tutarın</w:t>
            </w:r>
            <w:r w:rsidRPr="006C4AA3">
              <w:rPr>
                <w:rStyle w:val="Balk1Char"/>
                <w:rFonts w:eastAsia="ヒラギノ明朝 Pro W3"/>
              </w:rPr>
              <w:t>,</w:t>
            </w:r>
            <w:r w:rsidRPr="00A23740">
              <w:rPr>
                <w:szCs w:val="24"/>
              </w:rPr>
              <w:t xml:space="preserve"> ifl</w:t>
            </w:r>
            <w:r w:rsidR="00D9734F" w:rsidRPr="00A23740">
              <w:rPr>
                <w:szCs w:val="24"/>
              </w:rPr>
              <w:t>a</w:t>
            </w:r>
            <w:r w:rsidRPr="00A23740">
              <w:rPr>
                <w:szCs w:val="24"/>
              </w:rPr>
              <w:t>s yoluyla tasfiye hâlinde elde edilebilecek bedelden fazla olacağının anlaşılması.</w:t>
            </w:r>
          </w:p>
          <w:p w:rsidR="00AA5C8C" w:rsidRPr="00A23740" w:rsidRDefault="00AA5C8C" w:rsidP="009431FF">
            <w:pPr>
              <w:widowControl w:val="0"/>
              <w:rPr>
                <w:szCs w:val="24"/>
              </w:rPr>
            </w:pPr>
          </w:p>
          <w:p w:rsidR="00AA5C8C" w:rsidRPr="00A23740" w:rsidRDefault="00AA5C8C" w:rsidP="009431FF">
            <w:pPr>
              <w:pStyle w:val="YEL"/>
              <w:widowControl w:val="0"/>
              <w:rPr>
                <w:rFonts w:eastAsia="Calibri"/>
                <w:b w:val="0"/>
                <w:color w:val="auto"/>
                <w:lang w:val="tr-TR"/>
              </w:rPr>
            </w:pPr>
            <w:r w:rsidRPr="00A23740">
              <w:rPr>
                <w:rFonts w:eastAsia="Calibri"/>
                <w:b w:val="0"/>
                <w:color w:val="auto"/>
                <w:lang w:val="tr-TR"/>
              </w:rPr>
              <w:t>b) Teklif edilen</w:t>
            </w:r>
            <w:r w:rsidR="00124CDD" w:rsidRPr="00A23740">
              <w:rPr>
                <w:rFonts w:eastAsia="Calibri"/>
                <w:b w:val="0"/>
                <w:color w:val="auto"/>
                <w:lang w:val="tr-TR"/>
              </w:rPr>
              <w:t xml:space="preserve"> </w:t>
            </w:r>
            <w:r w:rsidR="00124CDD" w:rsidRPr="00AB0FD4">
              <w:rPr>
                <w:rStyle w:val="MaviChar"/>
                <w:b/>
              </w:rPr>
              <w:t>tutar ve faizin</w:t>
            </w:r>
            <w:r w:rsidRPr="00A23740">
              <w:rPr>
                <w:rFonts w:eastAsia="Calibri"/>
                <w:b w:val="0"/>
                <w:color w:val="auto"/>
                <w:lang w:val="tr-TR"/>
              </w:rPr>
              <w:t xml:space="preserve"> </w:t>
            </w:r>
            <w:r w:rsidR="00D9734F" w:rsidRPr="00AB0FD4">
              <w:rPr>
                <w:rStyle w:val="MaviChar"/>
                <w:b/>
              </w:rPr>
              <w:t>varsa borçlunun beklenen hakları da dâhil olmak üzere,</w:t>
            </w:r>
            <w:r w:rsidR="00D9734F" w:rsidRPr="00A23740">
              <w:rPr>
                <w:rStyle w:val="MaviChar"/>
                <w:b/>
                <w:lang w:val="tr-TR"/>
              </w:rPr>
              <w:t xml:space="preserve"> </w:t>
            </w:r>
            <w:r w:rsidRPr="00A23740">
              <w:rPr>
                <w:rStyle w:val="MaviChar"/>
                <w:b/>
              </w:rPr>
              <w:t>kaynaklarıyla orantılı olması</w:t>
            </w:r>
            <w:r w:rsidRPr="00A23740">
              <w:rPr>
                <w:rFonts w:eastAsia="Calibri"/>
                <w:b w:val="0"/>
                <w:color w:val="auto"/>
                <w:lang w:val="tr-TR"/>
              </w:rPr>
              <w:t>.</w:t>
            </w:r>
          </w:p>
          <w:p w:rsidR="002735E8" w:rsidRDefault="002735E8" w:rsidP="009431FF">
            <w:pPr>
              <w:pStyle w:val="YEL"/>
              <w:widowControl w:val="0"/>
              <w:rPr>
                <w:rFonts w:eastAsia="Calibri"/>
                <w:b w:val="0"/>
                <w:color w:val="auto"/>
                <w:lang w:val="tr-TR"/>
              </w:rPr>
            </w:pPr>
          </w:p>
          <w:p w:rsidR="004A4973" w:rsidRPr="00A23740" w:rsidRDefault="004A4973" w:rsidP="009431FF">
            <w:pPr>
              <w:pStyle w:val="YEL"/>
              <w:widowControl w:val="0"/>
              <w:rPr>
                <w:rFonts w:eastAsia="Calibri"/>
                <w:b w:val="0"/>
                <w:color w:val="auto"/>
                <w:lang w:val="tr-TR"/>
              </w:rPr>
            </w:pPr>
          </w:p>
          <w:p w:rsidR="002735E8" w:rsidRPr="00A23740" w:rsidRDefault="00124CDD" w:rsidP="009431FF">
            <w:pPr>
              <w:pStyle w:val="Mavi"/>
              <w:widowControl w:val="0"/>
            </w:pPr>
            <w:r w:rsidRPr="00A23740">
              <w:t>c) Teklifte vade veya ödemesiz süre öngörülmüş olan hâllerde bu vade veya sürenin makul olması ve açıkça gerekçelendirilmiş bulunması.</w:t>
            </w:r>
          </w:p>
          <w:p w:rsidR="000B4426" w:rsidRPr="00A23740" w:rsidRDefault="000B4426" w:rsidP="009431FF">
            <w:pPr>
              <w:pStyle w:val="YEL"/>
              <w:widowControl w:val="0"/>
              <w:rPr>
                <w:rFonts w:eastAsia="Calibri"/>
                <w:b w:val="0"/>
                <w:color w:val="auto"/>
                <w:lang w:val="tr-TR"/>
              </w:rPr>
            </w:pPr>
          </w:p>
          <w:p w:rsidR="00AA5C8C" w:rsidRPr="00A23740" w:rsidRDefault="00062E81" w:rsidP="009431FF">
            <w:pPr>
              <w:widowControl w:val="0"/>
              <w:rPr>
                <w:szCs w:val="24"/>
              </w:rPr>
            </w:pPr>
            <w:r w:rsidRPr="00A23740">
              <w:rPr>
                <w:rStyle w:val="MaviChar"/>
              </w:rPr>
              <w:t>ç</w:t>
            </w:r>
            <w:r w:rsidR="00AA5C8C" w:rsidRPr="00A23740">
              <w:rPr>
                <w:rStyle w:val="MaviChar"/>
              </w:rPr>
              <w:t>)</w:t>
            </w:r>
            <w:r w:rsidR="00AA5C8C" w:rsidRPr="00A23740">
              <w:rPr>
                <w:szCs w:val="24"/>
              </w:rPr>
              <w:t xml:space="preserve"> Konkordato projesinin</w:t>
            </w:r>
            <w:r w:rsidR="003631B8" w:rsidRPr="00A23740">
              <w:rPr>
                <w:szCs w:val="24"/>
              </w:rPr>
              <w:t xml:space="preserve"> </w:t>
            </w:r>
            <w:r w:rsidR="003631B8" w:rsidRPr="00AB0FD4">
              <w:rPr>
                <w:rStyle w:val="MaviChar"/>
              </w:rPr>
              <w:t>395 inci</w:t>
            </w:r>
            <w:r w:rsidR="00AA5C8C" w:rsidRPr="00A23740">
              <w:rPr>
                <w:szCs w:val="24"/>
              </w:rPr>
              <w:t xml:space="preserve"> maddede öngörülen çoğunlukla kabul edilmiş bulunması.</w:t>
            </w:r>
          </w:p>
          <w:p w:rsidR="00B612C0" w:rsidRPr="00A23740" w:rsidRDefault="00B612C0" w:rsidP="009431FF">
            <w:pPr>
              <w:widowControl w:val="0"/>
              <w:rPr>
                <w:szCs w:val="24"/>
              </w:rPr>
            </w:pPr>
          </w:p>
          <w:p w:rsidR="00AA5C8C" w:rsidRPr="004A4973" w:rsidRDefault="00062E81" w:rsidP="009431FF">
            <w:pPr>
              <w:widowControl w:val="0"/>
              <w:rPr>
                <w:b/>
                <w:bCs/>
                <w:strike/>
                <w:color w:val="FF0000"/>
                <w:szCs w:val="24"/>
              </w:rPr>
            </w:pPr>
            <w:r w:rsidRPr="00A23740">
              <w:rPr>
                <w:szCs w:val="24"/>
              </w:rPr>
              <w:t>d</w:t>
            </w:r>
            <w:r w:rsidR="00AA5C8C" w:rsidRPr="00A23740">
              <w:rPr>
                <w:szCs w:val="24"/>
              </w:rPr>
              <w:t xml:space="preserve">) </w:t>
            </w:r>
            <w:r w:rsidR="00AA5C8C" w:rsidRPr="00A23740">
              <w:rPr>
                <w:rStyle w:val="MaviChar"/>
              </w:rPr>
              <w:t>Alacakların sırası hakkındaki</w:t>
            </w:r>
            <w:r w:rsidR="003631B8" w:rsidRPr="00A23740">
              <w:rPr>
                <w:rStyle w:val="MaviChar"/>
                <w:lang w:val="tr-TR"/>
              </w:rPr>
              <w:t xml:space="preserve"> </w:t>
            </w:r>
            <w:r w:rsidR="003631B8" w:rsidRPr="00AB0FD4">
              <w:rPr>
                <w:rStyle w:val="MaviChar"/>
              </w:rPr>
              <w:t>317 nci</w:t>
            </w:r>
            <w:r w:rsidR="00AA5C8C" w:rsidRPr="00A23740">
              <w:rPr>
                <w:szCs w:val="24"/>
              </w:rPr>
              <w:t xml:space="preserve"> maddenin </w:t>
            </w:r>
            <w:r w:rsidR="00AA5C8C" w:rsidRPr="00A23740">
              <w:rPr>
                <w:rStyle w:val="MaviChar"/>
                <w:lang w:val="tr-TR"/>
              </w:rPr>
              <w:t>dördüncü</w:t>
            </w:r>
            <w:r w:rsidR="00AA5C8C" w:rsidRPr="00A23740">
              <w:rPr>
                <w:rStyle w:val="MaviChar"/>
              </w:rPr>
              <w:t xml:space="preserve"> fıkrasının</w:t>
            </w:r>
            <w:r w:rsidR="00AA5C8C" w:rsidRPr="00A23740">
              <w:rPr>
                <w:szCs w:val="24"/>
              </w:rPr>
              <w:t xml:space="preserve"> birinci sırasındaki imtiyazlı alacaklıların alacaklarının tam olarak ödenmesinin ve mühlet içinde komiserin izniyle akdedilmiş borçların ifasının, alacaklı bundan açıkça vazgeçmedikçe </w:t>
            </w:r>
            <w:r w:rsidR="00AA5C8C" w:rsidRPr="00A23740">
              <w:rPr>
                <w:rStyle w:val="MaviChar"/>
              </w:rPr>
              <w:t>ve ayrıca gerektiğinde</w:t>
            </w:r>
            <w:r w:rsidR="003631B8" w:rsidRPr="00A23740">
              <w:rPr>
                <w:rStyle w:val="MaviChar"/>
                <w:lang w:val="tr-TR"/>
              </w:rPr>
              <w:t xml:space="preserve"> </w:t>
            </w:r>
            <w:r w:rsidR="003631B8" w:rsidRPr="00AB0FD4">
              <w:rPr>
                <w:rStyle w:val="MaviChar"/>
              </w:rPr>
              <w:t>395 inci</w:t>
            </w:r>
            <w:r w:rsidR="00AA5C8C" w:rsidRPr="00A23740">
              <w:rPr>
                <w:rStyle w:val="MaviChar"/>
                <w:lang w:val="tr-TR"/>
              </w:rPr>
              <w:t xml:space="preserve"> </w:t>
            </w:r>
            <w:r w:rsidR="00AA5C8C" w:rsidRPr="00A23740">
              <w:rPr>
                <w:rStyle w:val="MaviChar"/>
              </w:rPr>
              <w:t xml:space="preserve">maddenin çekişmeli alacaklara ilişkin </w:t>
            </w:r>
            <w:r w:rsidR="00AA5C8C" w:rsidRPr="00A23740">
              <w:rPr>
                <w:rStyle w:val="MaviChar"/>
                <w:lang w:val="tr-TR"/>
              </w:rPr>
              <w:t>beşinci</w:t>
            </w:r>
            <w:r w:rsidR="00AA5C8C" w:rsidRPr="00A23740">
              <w:rPr>
                <w:rStyle w:val="MaviChar"/>
              </w:rPr>
              <w:t xml:space="preserve"> fıkrası kıyasen uygulanmak kaydıyla</w:t>
            </w:r>
            <w:r w:rsidR="00AA5C8C" w:rsidRPr="00A23740">
              <w:rPr>
                <w:szCs w:val="24"/>
              </w:rPr>
              <w:t xml:space="preserve"> yeterli teminata bağlanmış olması.</w:t>
            </w:r>
          </w:p>
          <w:p w:rsidR="00AA5C8C" w:rsidRPr="00A23740" w:rsidRDefault="00AA5C8C" w:rsidP="009431FF">
            <w:pPr>
              <w:widowControl w:val="0"/>
              <w:rPr>
                <w:szCs w:val="24"/>
              </w:rPr>
            </w:pPr>
          </w:p>
          <w:p w:rsidR="00AA5C8C" w:rsidRPr="00A23740" w:rsidRDefault="00062E81" w:rsidP="009431FF">
            <w:pPr>
              <w:widowControl w:val="0"/>
              <w:rPr>
                <w:szCs w:val="24"/>
              </w:rPr>
            </w:pPr>
            <w:r w:rsidRPr="00A23740">
              <w:rPr>
                <w:szCs w:val="24"/>
              </w:rPr>
              <w:t>e</w:t>
            </w:r>
            <w:r w:rsidR="00AA5C8C" w:rsidRPr="00A23740">
              <w:rPr>
                <w:szCs w:val="24"/>
              </w:rPr>
              <w:t>) Konkordatonun tasdikinin gerektirdiği yargılama giderleri ile konkordatonun tasdiki durumunda alacaklılara ödenmesi kararlaştırılan para üzerinden alınması gereken harcın, tasdik kararından önce, borçlu tarafından mahkeme veznesine depo edilmiş olması.</w:t>
            </w:r>
          </w:p>
          <w:p w:rsidR="00A26098" w:rsidRPr="00A23740" w:rsidRDefault="00A26098" w:rsidP="009431FF">
            <w:pPr>
              <w:widowControl w:val="0"/>
              <w:rPr>
                <w:rFonts w:eastAsia="Times New Roman"/>
                <w:b/>
                <w:szCs w:val="24"/>
                <w:lang w:eastAsia="tr-TR"/>
              </w:rPr>
            </w:pPr>
          </w:p>
          <w:p w:rsidR="00A26098" w:rsidRPr="00A23740" w:rsidRDefault="00A26098" w:rsidP="009431FF">
            <w:pPr>
              <w:widowControl w:val="0"/>
              <w:rPr>
                <w:b/>
                <w:lang w:eastAsia="tr-TR"/>
              </w:rPr>
            </w:pPr>
            <w:r w:rsidRPr="00A23740">
              <w:rPr>
                <w:rStyle w:val="MaviChar"/>
                <w:lang w:val="tr-TR"/>
              </w:rPr>
              <w:t>(2)</w:t>
            </w:r>
            <w:r w:rsidRPr="00A23740">
              <w:rPr>
                <w:szCs w:val="24"/>
              </w:rPr>
              <w:t xml:space="preserve"> Mahkeme</w:t>
            </w:r>
            <w:r w:rsidRPr="00AB0FD4">
              <w:rPr>
                <w:rStyle w:val="MaviChar"/>
              </w:rPr>
              <w:t>, özellikle ret oyu veren alacaklıların menfaatlerini korumak bakımından yetersiz gördüğü konkordato projesini tamamlayabilir.</w:t>
            </w:r>
            <w:r w:rsidRPr="00A23740">
              <w:rPr>
                <w:rStyle w:val="YELChar"/>
              </w:rPr>
              <w:t xml:space="preserve"> </w:t>
            </w:r>
          </w:p>
        </w:tc>
      </w:tr>
      <w:tr w:rsidR="005C3738" w:rsidRPr="00A23740" w:rsidTr="009431FF">
        <w:tc>
          <w:tcPr>
            <w:tcW w:w="5000" w:type="pct"/>
            <w:gridSpan w:val="2"/>
            <w:shd w:val="clear" w:color="auto" w:fill="DEEAF6"/>
          </w:tcPr>
          <w:p w:rsidR="00B612C0" w:rsidRPr="00A23740" w:rsidRDefault="00B612C0" w:rsidP="009431FF">
            <w:pPr>
              <w:tabs>
                <w:tab w:val="left" w:pos="567"/>
              </w:tabs>
              <w:rPr>
                <w:b/>
                <w:bCs/>
                <w:szCs w:val="24"/>
                <w:lang w:eastAsia="x-none"/>
              </w:rPr>
            </w:pPr>
          </w:p>
          <w:p w:rsidR="00B612C0" w:rsidRPr="00A23740" w:rsidRDefault="00B612C0" w:rsidP="009431FF">
            <w:pPr>
              <w:ind w:firstLine="709"/>
              <w:rPr>
                <w:szCs w:val="24"/>
              </w:rPr>
            </w:pPr>
            <w:r w:rsidRPr="00A23740">
              <w:rPr>
                <w:b/>
                <w:szCs w:val="24"/>
              </w:rPr>
              <w:t>MADDE 398-</w:t>
            </w:r>
            <w:r w:rsidRPr="00A23740">
              <w:rPr>
                <w:szCs w:val="24"/>
              </w:rPr>
              <w:t xml:space="preserve"> Maddeyle, konkordatonun tasdiki şartları düzenlenmektedir. Konkordatonun mahkemece tasdik edilebilme şartlarını düzenleyen maddenin birinci fıkrasının (a) bendi uyarınca ilk şart, iflasa tabi borçlu bakımından adi konkordatoda, teklif edilen tutarın, borçlunun iflası hâlinde alacaklıların eline geçebilecek muhtemel miktardan fazla olacağının anlaşılması; malvarlığının terki suretiyle konkordatoda ise paraya çevirme hâlinde elde edilen hasılat veya üçüncü kişi tarafından teklif edilen tutarın, iflas yoluyla tasfiye hâlinde elde edilebilecek bedelden fazla olacağının anlaşılmasıdır. İflasa tabi olmayan borçlular bakımından iflas h</w:t>
            </w:r>
            <w:r w:rsidR="00D271B8" w:rsidRPr="00A23740">
              <w:rPr>
                <w:szCs w:val="24"/>
              </w:rPr>
              <w:t>â</w:t>
            </w:r>
            <w:r w:rsidRPr="00A23740">
              <w:rPr>
                <w:szCs w:val="24"/>
              </w:rPr>
              <w:t xml:space="preserve">liyle kıyaslanacak başka bir ölçütün mevcut olmadığı sonucuna ulaşılarak hükme “iflasa tabi borçlu bakımından” ibaresi eklenmek suretiyle (a) bendindeki bu ölçütün iflasa tabi olmayan borçlular hakkında uygulanmayacağı, bu borçlular bakımından diğer şartların yerine gelip gelmediğine bakılacağı kabul edilmiştir. </w:t>
            </w:r>
          </w:p>
          <w:p w:rsidR="00B612C0" w:rsidRPr="00A23740" w:rsidRDefault="00B612C0" w:rsidP="009431FF">
            <w:pPr>
              <w:ind w:firstLine="709"/>
              <w:rPr>
                <w:szCs w:val="24"/>
              </w:rPr>
            </w:pPr>
            <w:r w:rsidRPr="00A23740">
              <w:rPr>
                <w:szCs w:val="24"/>
              </w:rPr>
              <w:t xml:space="preserve">Fıkranın (b) bendine göre, teklif edilen </w:t>
            </w:r>
            <w:r w:rsidR="00D83ABC" w:rsidRPr="00AB0FD4">
              <w:t>tutar ve faizin,</w:t>
            </w:r>
            <w:r w:rsidR="00D83ABC" w:rsidRPr="00A23740">
              <w:rPr>
                <w:color w:val="385623"/>
                <w:szCs w:val="24"/>
              </w:rPr>
              <w:t xml:space="preserve"> </w:t>
            </w:r>
            <w:r w:rsidRPr="00A23740">
              <w:rPr>
                <w:szCs w:val="24"/>
              </w:rPr>
              <w:t xml:space="preserve">varsa borçlunun beklenen haklarının da mahkemece dikkate alınması suretiyle, kaynaklarıyla orantılı olması gerekmektedir. Bu hüküm sadeleştirilerek güncellenmiştir. Bu kapsamda mahkemenin borçlunun beklenen haklarını dikkate </w:t>
            </w:r>
            <w:r w:rsidRPr="00AB0FD4">
              <w:t>alıp almayacağını</w:t>
            </w:r>
            <w:r w:rsidRPr="00A23740">
              <w:rPr>
                <w:szCs w:val="24"/>
              </w:rPr>
              <w:t xml:space="preserve"> ve </w:t>
            </w:r>
            <w:r w:rsidRPr="00AB0FD4">
              <w:t>alacaksa</w:t>
            </w:r>
            <w:r w:rsidRPr="00A23740">
              <w:rPr>
                <w:szCs w:val="24"/>
              </w:rPr>
              <w:t xml:space="preserve"> ne oranda dikkate </w:t>
            </w:r>
            <w:r w:rsidRPr="00AB0FD4">
              <w:t>alacağını</w:t>
            </w:r>
            <w:r w:rsidRPr="00A23740">
              <w:rPr>
                <w:szCs w:val="24"/>
              </w:rPr>
              <w:t xml:space="preserve"> takdir etme yetkisinin bulunduğu açıktır.</w:t>
            </w:r>
          </w:p>
          <w:p w:rsidR="00C50DC9" w:rsidRPr="00A23740" w:rsidRDefault="00C50DC9" w:rsidP="009431FF">
            <w:pPr>
              <w:rPr>
                <w:lang w:eastAsia="tr-TR"/>
              </w:rPr>
            </w:pPr>
            <w:r w:rsidRPr="00A23740">
              <w:rPr>
                <w:lang w:eastAsia="tr-TR"/>
              </w:rPr>
              <w:tab/>
              <w:t xml:space="preserve">Fıkranın (c) bendine göre alacaklar toplantısında ve iltihak süresi içinde verilen oylarla kabul edilen </w:t>
            </w:r>
            <w:r w:rsidR="00CA2C3B" w:rsidRPr="00A23740">
              <w:rPr>
                <w:lang w:eastAsia="tr-TR"/>
              </w:rPr>
              <w:t xml:space="preserve">bir </w:t>
            </w:r>
            <w:r w:rsidRPr="00A23740">
              <w:rPr>
                <w:lang w:eastAsia="tr-TR"/>
              </w:rPr>
              <w:t xml:space="preserve">konkordato projesinin tasdiki, teklifte vade veya ödemesiz süre öngörülmüş olan hâllerde bu vade veya sürenin makul olması ve açıkça gerekçelendirilmiş </w:t>
            </w:r>
            <w:r w:rsidR="00D83ABC" w:rsidRPr="00A23740">
              <w:rPr>
                <w:lang w:eastAsia="tr-TR"/>
              </w:rPr>
              <w:t>olmasına bağlıdır.</w:t>
            </w:r>
          </w:p>
          <w:p w:rsidR="00AB0FD4" w:rsidRDefault="00B612C0" w:rsidP="009431FF">
            <w:pPr>
              <w:ind w:firstLine="709"/>
              <w:rPr>
                <w:szCs w:val="24"/>
              </w:rPr>
            </w:pPr>
            <w:r w:rsidRPr="00A23740">
              <w:rPr>
                <w:szCs w:val="24"/>
              </w:rPr>
              <w:t xml:space="preserve">Fıkranın (ç) bendinde, alacakların sırası hakkındaki </w:t>
            </w:r>
            <w:r w:rsidR="003631B8" w:rsidRPr="00AB0FD4">
              <w:t>317 nci</w:t>
            </w:r>
            <w:r w:rsidR="003631B8" w:rsidRPr="00A23740">
              <w:rPr>
                <w:szCs w:val="24"/>
              </w:rPr>
              <w:t xml:space="preserve"> </w:t>
            </w:r>
            <w:r w:rsidRPr="00A23740">
              <w:rPr>
                <w:szCs w:val="24"/>
              </w:rPr>
              <w:t xml:space="preserve">maddenin dördüncü fıkrasının birinci sırasındaki imtiyazlı alacaklıların alacaklarının tam olarak ödenmesinin ve mühlet içinde komiserin izniyle akdedilmiş borçların ifasının, alacaklı bundan açıkça vazgeçmedikçe ve ayrıca gerektiğinde </w:t>
            </w:r>
            <w:r w:rsidR="003631B8" w:rsidRPr="00AB0FD4">
              <w:t>395 inci</w:t>
            </w:r>
            <w:r w:rsidR="003631B8" w:rsidRPr="00A23740">
              <w:rPr>
                <w:rStyle w:val="MaviChar"/>
                <w:lang w:val="tr-TR"/>
              </w:rPr>
              <w:t xml:space="preserve"> </w:t>
            </w:r>
            <w:r w:rsidRPr="00A23740">
              <w:rPr>
                <w:szCs w:val="24"/>
              </w:rPr>
              <w:t xml:space="preserve">maddenin çekişmeli alacaklara ilişkin beşinci fıkrası kıyasen uygulanmak kaydıyla yeterli teminata bağlanmış olması da bir tasdik şartıdır. Hükümdeki “gerektiğinde </w:t>
            </w:r>
            <w:r w:rsidR="003631B8" w:rsidRPr="00AB0FD4">
              <w:t>395 inci</w:t>
            </w:r>
            <w:r w:rsidR="003631B8" w:rsidRPr="00A23740">
              <w:rPr>
                <w:rStyle w:val="MaviChar"/>
                <w:lang w:val="tr-TR"/>
              </w:rPr>
              <w:t xml:space="preserve"> </w:t>
            </w:r>
            <w:r w:rsidRPr="00A23740">
              <w:rPr>
                <w:szCs w:val="24"/>
              </w:rPr>
              <w:t xml:space="preserve">maddenin çekişmeli alacaklara ilişkin beşinci fıkrası kıyasen uygulanmak kaydıyla” ibaresinden anlaşılması gereken, alacakların sırası, imtiyazlı olup olmadıkları, mühlet içinde komiserin izniyle akdedilmiş olup olmadıkları, miktarları ve teminatın tam olarak ödemeyi sağlayıp sağlamayacağı ile bu alacaklardan alacaklının açıkça vazgeçip geçmediğine ilişkin </w:t>
            </w:r>
            <w:r w:rsidR="00CA2C3B" w:rsidRPr="00A23740">
              <w:rPr>
                <w:szCs w:val="24"/>
              </w:rPr>
              <w:t xml:space="preserve"> uyuşmazlıkların </w:t>
            </w:r>
            <w:r w:rsidRPr="00A23740">
              <w:rPr>
                <w:szCs w:val="24"/>
              </w:rPr>
              <w:t>konkordato bakımından iflas mahkemesince yaklaşık ispat ölçüsüne göre tespit edileceğidir. Pek tabii bu iddialar hakkında ileride genel mahkemece verilecek hükümler saklıdır.</w:t>
            </w:r>
            <w:r w:rsidR="00AB0FD4">
              <w:rPr>
                <w:szCs w:val="24"/>
              </w:rPr>
              <w:t xml:space="preserve"> </w:t>
            </w:r>
          </w:p>
          <w:p w:rsidR="00B612C0" w:rsidRPr="00A23740" w:rsidRDefault="00B612C0" w:rsidP="009431FF">
            <w:pPr>
              <w:ind w:firstLine="709"/>
              <w:rPr>
                <w:rStyle w:val="YELChar"/>
              </w:rPr>
            </w:pPr>
            <w:r w:rsidRPr="00A23740">
              <w:t>Maddenin ikinci fıkrası, İsviçre’nin Borç İçin Takip ve İflas Hakkındaki Federal Kanununun 306 ncı maddesinin ikinci</w:t>
            </w:r>
            <w:r w:rsidR="00D83ABC" w:rsidRPr="00A23740">
              <w:t xml:space="preserve"> fıkrasıyla uyum</w:t>
            </w:r>
            <w:r w:rsidRPr="00A23740">
              <w:t xml:space="preserve"> sağlamak amacıyla değiştirilmiştir. Böylece Türk uygulamasında rastlanan yanlış anlaşılmaların da önüne geçilmek istenmiştir.</w:t>
            </w:r>
            <w:r w:rsidR="00CA2C3B" w:rsidRPr="00A23740">
              <w:t xml:space="preserve"> Mahkemeye verilen bu yetki esas itibarıyla azınlıkta kalan alacaklıları korumak içindir. Elverişsiz bir konkordato teklifini serbest iradeleriyle ve oylarıyla kabul etmiş olan çoğunluk alacaklıların mahkeme tarafından kornması ihtiyacı bulunmamak gerekir.</w:t>
            </w:r>
          </w:p>
          <w:p w:rsidR="00B612C0" w:rsidRPr="00A23740" w:rsidRDefault="00B612C0"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i/>
                <w:szCs w:val="24"/>
              </w:rPr>
            </w:pPr>
          </w:p>
        </w:tc>
        <w:tc>
          <w:tcPr>
            <w:tcW w:w="2500" w:type="pct"/>
          </w:tcPr>
          <w:p w:rsidR="00AA5C8C" w:rsidRPr="00A23740" w:rsidRDefault="00AA5C8C" w:rsidP="009431FF">
            <w:pPr>
              <w:pStyle w:val="Mavi"/>
              <w:rPr>
                <w:rStyle w:val="MaviChar"/>
                <w:b/>
                <w:lang w:val="tr-TR"/>
              </w:rPr>
            </w:pPr>
            <w:r w:rsidRPr="00A23740">
              <w:rPr>
                <w:rStyle w:val="MaviChar"/>
                <w:b/>
                <w:lang w:val="tr-TR"/>
              </w:rPr>
              <w:t>Konkordatonun tasdikinde katkı payı</w:t>
            </w:r>
          </w:p>
          <w:p w:rsidR="00AA5C8C" w:rsidRPr="00A23740" w:rsidRDefault="00AA5C8C" w:rsidP="009431FF">
            <w:pPr>
              <w:pStyle w:val="Mavi"/>
              <w:rPr>
                <w:lang w:val="tr-TR"/>
              </w:rPr>
            </w:pPr>
            <w:r w:rsidRPr="00A23740">
              <w:rPr>
                <w:rStyle w:val="MaviChar"/>
                <w:b/>
                <w:lang w:val="tr-TR"/>
              </w:rPr>
              <w:t>MADDE 39</w:t>
            </w:r>
            <w:r w:rsidR="00164036" w:rsidRPr="00A23740">
              <w:rPr>
                <w:rStyle w:val="MaviChar"/>
                <w:b/>
                <w:lang w:val="tr-TR"/>
              </w:rPr>
              <w:t>9</w:t>
            </w:r>
            <w:r w:rsidRPr="00A23740">
              <w:rPr>
                <w:rStyle w:val="MaviChar"/>
                <w:b/>
                <w:lang w:val="tr-TR"/>
              </w:rPr>
              <w:t>- (</w:t>
            </w:r>
            <w:r w:rsidRPr="00A23740">
              <w:rPr>
                <w:bCs w:val="0"/>
                <w:lang w:val="tr-TR"/>
              </w:rPr>
              <w:t>1)</w:t>
            </w:r>
            <w:r w:rsidRPr="00A23740">
              <w:rPr>
                <w:lang w:val="tr-TR"/>
              </w:rPr>
              <w:t xml:space="preserve"> Mahkeme, alacaklılardan beklenen fedakarlık ve şirketin durumunu dikkate alarak konkordatonun tasdikini, pay sahiplerinin borçlu şirketin iyileşmesine tahsis edilecek hakkaniyete uygun bir katkı payı ödemeleri şartına bağlayabilir. </w:t>
            </w:r>
          </w:p>
          <w:p w:rsidR="00AA5C8C" w:rsidRPr="00A23740" w:rsidRDefault="00AA5C8C" w:rsidP="009431FF">
            <w:pPr>
              <w:pStyle w:val="Mavi"/>
              <w:rPr>
                <w:lang w:val="tr-TR"/>
              </w:rPr>
            </w:pPr>
          </w:p>
          <w:p w:rsidR="00AA5C8C" w:rsidRPr="00A23740" w:rsidRDefault="00AA5C8C" w:rsidP="009431FF">
            <w:pPr>
              <w:pStyle w:val="Mavi"/>
              <w:rPr>
                <w:lang w:val="tr-TR"/>
              </w:rPr>
            </w:pPr>
            <w:r w:rsidRPr="00A23740">
              <w:rPr>
                <w:lang w:val="tr-TR"/>
              </w:rPr>
              <w:t>(2) Mahkeme bu katkı payının, tasdik kararından önce ödenmesine karar verebileceği gibi</w:t>
            </w:r>
            <w:r w:rsidR="00F61315" w:rsidRPr="00AD7E89">
              <w:rPr>
                <w:rStyle w:val="Balk1Char"/>
                <w:rFonts w:eastAsia="ヒラギノ明朝 Pro W3"/>
                <w:b/>
              </w:rPr>
              <w:t>,</w:t>
            </w:r>
            <w:r w:rsidRPr="00A23740">
              <w:rPr>
                <w:lang w:val="tr-TR"/>
              </w:rPr>
              <w:t xml:space="preserve"> belirleyeceği takvim çerçevesinde tasdik kararından sonra ödenmesine de karar verebilir. Katkı payının tasdik kararından önce ödenmesine karar verilmiş ve gerekli ödeme yapılmamışsa, mahkeme konkordatonun tasdiki talebini reddedebilir. </w:t>
            </w:r>
          </w:p>
          <w:p w:rsidR="00AA5C8C" w:rsidRPr="00A23740" w:rsidRDefault="00AA5C8C" w:rsidP="009431FF">
            <w:pPr>
              <w:pStyle w:val="Mavi"/>
              <w:rPr>
                <w:lang w:val="tr-TR"/>
              </w:rPr>
            </w:pPr>
          </w:p>
          <w:p w:rsidR="00AA5C8C" w:rsidRPr="00A23740" w:rsidRDefault="00AA5C8C" w:rsidP="009431FF">
            <w:pPr>
              <w:pStyle w:val="Mavi"/>
              <w:rPr>
                <w:rFonts w:eastAsia="Times New Roman"/>
                <w:i/>
                <w:lang w:eastAsia="tr-TR"/>
              </w:rPr>
            </w:pPr>
            <w:r w:rsidRPr="00A23740">
              <w:rPr>
                <w:lang w:val="tr-TR"/>
              </w:rPr>
              <w:t xml:space="preserve">(3) Katkı payının belirlenen takvim çerçevesinde ödenmesine karar verilmiş ve ödemede aksama </w:t>
            </w:r>
            <w:r w:rsidR="00F61315" w:rsidRPr="00A23740">
              <w:rPr>
                <w:lang w:val="tr-TR"/>
              </w:rPr>
              <w:t>olmuşsa</w:t>
            </w:r>
            <w:r w:rsidR="00F61315" w:rsidRPr="00AD7E89">
              <w:rPr>
                <w:rStyle w:val="Balk1Char"/>
                <w:rFonts w:eastAsia="ヒラギノ明朝 Pro W3"/>
                <w:b/>
              </w:rPr>
              <w:t>,</w:t>
            </w:r>
            <w:r w:rsidR="00F61315" w:rsidRPr="00A23740">
              <w:rPr>
                <w:lang w:val="tr-TR"/>
              </w:rPr>
              <w:t xml:space="preserve"> </w:t>
            </w:r>
            <w:r w:rsidRPr="00A23740">
              <w:rPr>
                <w:lang w:val="tr-TR"/>
              </w:rPr>
              <w:t>konkordato tamamen feshedilebilir.</w:t>
            </w:r>
          </w:p>
          <w:p w:rsidR="00AA5C8C" w:rsidRPr="00A23740" w:rsidRDefault="00AA5C8C" w:rsidP="009431FF">
            <w:pPr>
              <w:pStyle w:val="YEL"/>
              <w:rPr>
                <w:b w:val="0"/>
              </w:rPr>
            </w:pPr>
          </w:p>
        </w:tc>
      </w:tr>
      <w:tr w:rsidR="005C3738" w:rsidRPr="00A23740" w:rsidTr="009431FF">
        <w:tc>
          <w:tcPr>
            <w:tcW w:w="5000" w:type="pct"/>
            <w:gridSpan w:val="2"/>
            <w:shd w:val="clear" w:color="auto" w:fill="DEEAF6"/>
          </w:tcPr>
          <w:p w:rsidR="00F67D9A" w:rsidRPr="00A23740" w:rsidRDefault="00F67D9A" w:rsidP="009431FF">
            <w:pPr>
              <w:tabs>
                <w:tab w:val="left" w:pos="567"/>
              </w:tabs>
              <w:ind w:firstLine="567"/>
              <w:rPr>
                <w:b/>
                <w:color w:val="0000FF"/>
                <w:szCs w:val="24"/>
                <w:lang w:eastAsia="x-none"/>
              </w:rPr>
            </w:pPr>
          </w:p>
          <w:p w:rsidR="00561705" w:rsidRPr="00A23740" w:rsidRDefault="00F67D9A" w:rsidP="009431FF">
            <w:pPr>
              <w:tabs>
                <w:tab w:val="left" w:pos="567"/>
              </w:tabs>
              <w:ind w:firstLine="567"/>
              <w:rPr>
                <w:rStyle w:val="YELChar"/>
              </w:rPr>
            </w:pPr>
            <w:r w:rsidRPr="00A23740">
              <w:rPr>
                <w:b/>
                <w:color w:val="000000"/>
                <w:szCs w:val="24"/>
                <w:lang w:eastAsia="x-none"/>
              </w:rPr>
              <w:t>MADDE 39</w:t>
            </w:r>
            <w:r w:rsidR="00164036" w:rsidRPr="00A23740">
              <w:rPr>
                <w:b/>
                <w:color w:val="000000"/>
                <w:szCs w:val="24"/>
                <w:lang w:eastAsia="x-none"/>
              </w:rPr>
              <w:t>9</w:t>
            </w:r>
            <w:r w:rsidRPr="00A23740">
              <w:rPr>
                <w:b/>
                <w:color w:val="000000"/>
                <w:szCs w:val="24"/>
                <w:lang w:eastAsia="x-none"/>
              </w:rPr>
              <w:t>-</w:t>
            </w:r>
            <w:r w:rsidRPr="00A23740">
              <w:rPr>
                <w:color w:val="000000"/>
                <w:szCs w:val="24"/>
                <w:lang w:eastAsia="x-none"/>
              </w:rPr>
              <w:t xml:space="preserve"> Maddeyle, konkordatonun tasdikinde katkı payına ilişkin hususlar düzenlenmektedir. </w:t>
            </w:r>
            <w:r w:rsidR="00561705" w:rsidRPr="00A23740">
              <w:rPr>
                <w:color w:val="000000"/>
                <w:szCs w:val="24"/>
                <w:lang w:eastAsia="x-none"/>
              </w:rPr>
              <w:t>Madde</w:t>
            </w:r>
            <w:r w:rsidR="00D733E5" w:rsidRPr="00A23740">
              <w:rPr>
                <w:color w:val="000000"/>
                <w:szCs w:val="24"/>
                <w:lang w:eastAsia="x-none"/>
              </w:rPr>
              <w:t>yl</w:t>
            </w:r>
            <w:r w:rsidR="00561705" w:rsidRPr="00A23740">
              <w:rPr>
                <w:color w:val="000000"/>
                <w:szCs w:val="24"/>
                <w:lang w:eastAsia="x-none"/>
              </w:rPr>
              <w:t>e yeni bir kurum ihdas edilmektedir. Buna göre, mahkeme, alacaklılardan beklenen fedakarlık ve şirketin durumunu dikkate alarak konkordatonun tasdikini, pay sahiplerinin borçlu şirketin iyileşmesine tahsis edilecek hakkaniyete uygun bir katkı payı ödemeleri şartına bağlayabilecektir</w:t>
            </w:r>
            <w:r w:rsidR="00561705" w:rsidRPr="00AB0FD4">
              <w:t>.</w:t>
            </w:r>
            <w:r w:rsidR="00D733E5" w:rsidRPr="00AB0FD4">
              <w:t xml:space="preserve"> Hiç kuşkusuz,</w:t>
            </w:r>
            <w:r w:rsidR="00CA2C3B" w:rsidRPr="00AB0FD4">
              <w:t xml:space="preserve"> borçlu </w:t>
            </w:r>
            <w:r w:rsidR="00D733E5" w:rsidRPr="00AB0FD4">
              <w:t xml:space="preserve"> </w:t>
            </w:r>
            <w:r w:rsidR="00CA2C3B" w:rsidRPr="00AB0FD4">
              <w:t xml:space="preserve">şirket veya </w:t>
            </w:r>
            <w:r w:rsidR="00D733E5" w:rsidRPr="00AB0FD4">
              <w:t>pay sahipleri de resen, mahkemenin müdahalesine gerek kalmaksızın, bu yönde teklifte bulunabileceklerdir.</w:t>
            </w:r>
          </w:p>
          <w:p w:rsidR="00561705" w:rsidRPr="00A23740" w:rsidRDefault="00561705" w:rsidP="009431FF">
            <w:pPr>
              <w:tabs>
                <w:tab w:val="left" w:pos="567"/>
              </w:tabs>
              <w:ind w:firstLine="567"/>
              <w:rPr>
                <w:color w:val="000000"/>
                <w:szCs w:val="24"/>
                <w:lang w:eastAsia="x-none"/>
              </w:rPr>
            </w:pPr>
            <w:r w:rsidRPr="00A23740">
              <w:rPr>
                <w:color w:val="000000"/>
                <w:szCs w:val="24"/>
                <w:lang w:eastAsia="x-none"/>
              </w:rPr>
              <w:t>İsviçre</w:t>
            </w:r>
            <w:r w:rsidR="004B1D4A" w:rsidRPr="00A23740">
              <w:rPr>
                <w:color w:val="000000"/>
                <w:szCs w:val="24"/>
                <w:lang w:eastAsia="x-none"/>
              </w:rPr>
              <w:t xml:space="preserve">’nin </w:t>
            </w:r>
            <w:r w:rsidR="004B1D4A" w:rsidRPr="00AB0FD4">
              <w:t>Borç İçin Takip ve İflas Hakkında Federal Kanununun</w:t>
            </w:r>
            <w:r w:rsidRPr="00A23740">
              <w:rPr>
                <w:color w:val="000000"/>
                <w:szCs w:val="24"/>
                <w:lang w:eastAsia="x-none"/>
              </w:rPr>
              <w:t xml:space="preserve"> konkordatonun tas</w:t>
            </w:r>
            <w:r w:rsidR="00F67D9A" w:rsidRPr="00A23740">
              <w:rPr>
                <w:color w:val="000000"/>
                <w:szCs w:val="24"/>
                <w:lang w:eastAsia="x-none"/>
              </w:rPr>
              <w:t xml:space="preserve">diki şartlarını düzenleyen 306 </w:t>
            </w:r>
            <w:r w:rsidRPr="00A23740">
              <w:rPr>
                <w:color w:val="000000"/>
                <w:szCs w:val="24"/>
                <w:lang w:eastAsia="x-none"/>
              </w:rPr>
              <w:t>ncı maddesinin birinci fıkrasının üçüncü bendi uyarınca mahkeme hissedarların uygun bir katkı payı ödemeleri</w:t>
            </w:r>
            <w:r w:rsidR="004B1D4A" w:rsidRPr="00AB0FD4">
              <w:t>ni</w:t>
            </w:r>
            <w:r w:rsidRPr="00A23740">
              <w:rPr>
                <w:color w:val="000000"/>
                <w:szCs w:val="24"/>
                <w:lang w:eastAsia="x-none"/>
              </w:rPr>
              <w:t xml:space="preserve">, konkordatonun tasdiki şartı olarak </w:t>
            </w:r>
            <w:r w:rsidR="004B1D4A" w:rsidRPr="00AB0FD4">
              <w:t>öngörebilir</w:t>
            </w:r>
            <w:r w:rsidRPr="00A23740">
              <w:rPr>
                <w:color w:val="000000"/>
                <w:szCs w:val="24"/>
                <w:lang w:eastAsia="x-none"/>
              </w:rPr>
              <w:t>. Belirtilmelidir ki bu hüküm</w:t>
            </w:r>
            <w:r w:rsidR="004B1D4A" w:rsidRPr="00AB0FD4">
              <w:t>,</w:t>
            </w:r>
            <w:r w:rsidRPr="00AB0FD4">
              <w:t xml:space="preserve"> </w:t>
            </w:r>
            <w:r w:rsidR="00565D49" w:rsidRPr="00A23740">
              <w:rPr>
                <w:color w:val="000000"/>
                <w:szCs w:val="24"/>
                <w:lang w:eastAsia="x-none"/>
              </w:rPr>
              <w:t>İsviçre</w:t>
            </w:r>
            <w:r w:rsidR="004B1D4A" w:rsidRPr="00A23740">
              <w:rPr>
                <w:color w:val="000000"/>
                <w:szCs w:val="24"/>
                <w:lang w:eastAsia="x-none"/>
              </w:rPr>
              <w:t xml:space="preserve">’de ancak adi konkordatoya </w:t>
            </w:r>
            <w:r w:rsidR="004B1D4A" w:rsidRPr="00AB0FD4">
              <w:t>ve tüzel kişi borçlulara özgü olup</w:t>
            </w:r>
            <w:r w:rsidRPr="00A23740">
              <w:rPr>
                <w:color w:val="000000"/>
                <w:szCs w:val="24"/>
                <w:lang w:eastAsia="x-none"/>
              </w:rPr>
              <w:t xml:space="preserve"> </w:t>
            </w:r>
            <w:r w:rsidR="004B1D4A" w:rsidRPr="00A23740">
              <w:rPr>
                <w:color w:val="000000"/>
                <w:szCs w:val="24"/>
                <w:lang w:eastAsia="x-none"/>
              </w:rPr>
              <w:t xml:space="preserve">malvarlığının </w:t>
            </w:r>
            <w:r w:rsidRPr="00A23740">
              <w:rPr>
                <w:color w:val="000000"/>
                <w:szCs w:val="24"/>
                <w:lang w:eastAsia="x-none"/>
              </w:rPr>
              <w:t xml:space="preserve">terki suretiyle konkordatoda </w:t>
            </w:r>
            <w:r w:rsidRPr="00AB0FD4">
              <w:t>uygulanma</w:t>
            </w:r>
            <w:r w:rsidR="004B1D4A" w:rsidRPr="00AB0FD4">
              <w:t>z.</w:t>
            </w:r>
            <w:r w:rsidRPr="00A23740">
              <w:rPr>
                <w:color w:val="000000"/>
                <w:szCs w:val="24"/>
                <w:lang w:eastAsia="x-none"/>
              </w:rPr>
              <w:t xml:space="preserve"> </w:t>
            </w:r>
            <w:r w:rsidR="004B1D4A" w:rsidRPr="00AB0FD4">
              <w:t>Bu değişiklikle adi konkordatonun sadece alacaklıların değil, borçlu şirketin hissedarlarının da fedakârlık yapması suretiyle işleyen bir kurum olduğu vurgulanmış olmaktadır.</w:t>
            </w:r>
            <w:r w:rsidR="004B1D4A" w:rsidRPr="00A23740">
              <w:rPr>
                <w:rStyle w:val="YELChar"/>
              </w:rPr>
              <w:t xml:space="preserve"> </w:t>
            </w:r>
            <w:r w:rsidR="004B1D4A" w:rsidRPr="00A23740">
              <w:rPr>
                <w:color w:val="000000"/>
                <w:szCs w:val="24"/>
                <w:lang w:eastAsia="x-none"/>
              </w:rPr>
              <w:t>Bu hüküm</w:t>
            </w:r>
            <w:r w:rsidRPr="00A23740">
              <w:rPr>
                <w:color w:val="000000"/>
                <w:szCs w:val="24"/>
                <w:lang w:eastAsia="x-none"/>
              </w:rPr>
              <w:t xml:space="preserve"> alacaklı ile borçlunun hissedarları bakımından bir nevi “fedak</w:t>
            </w:r>
            <w:r w:rsidR="004B1D4A" w:rsidRPr="00A23740">
              <w:rPr>
                <w:color w:val="000000"/>
                <w:szCs w:val="24"/>
                <w:lang w:eastAsia="x-none"/>
              </w:rPr>
              <w:t>â</w:t>
            </w:r>
            <w:r w:rsidRPr="00A23740">
              <w:rPr>
                <w:color w:val="000000"/>
                <w:szCs w:val="24"/>
                <w:lang w:eastAsia="x-none"/>
              </w:rPr>
              <w:t>rlığın denkleştirilmesi” esa</w:t>
            </w:r>
            <w:r w:rsidR="00565D49" w:rsidRPr="00A23740">
              <w:rPr>
                <w:color w:val="000000"/>
                <w:szCs w:val="24"/>
                <w:lang w:eastAsia="x-none"/>
              </w:rPr>
              <w:t>sına dayanmaktadır. İsviçre</w:t>
            </w:r>
            <w:r w:rsidR="004B1D4A" w:rsidRPr="00A23740">
              <w:rPr>
                <w:color w:val="000000"/>
                <w:szCs w:val="24"/>
                <w:lang w:eastAsia="x-none"/>
              </w:rPr>
              <w:t>’</w:t>
            </w:r>
            <w:r w:rsidRPr="00A23740">
              <w:rPr>
                <w:color w:val="000000"/>
                <w:szCs w:val="24"/>
                <w:lang w:eastAsia="x-none"/>
              </w:rPr>
              <w:t>de böyle bir esasın benimsenmediği önceki konkordato uygulamasında hissedarlar</w:t>
            </w:r>
            <w:r w:rsidR="00495593" w:rsidRPr="00A23740">
              <w:rPr>
                <w:rStyle w:val="YELChar"/>
              </w:rPr>
              <w:t>,</w:t>
            </w:r>
            <w:r w:rsidRPr="00A23740">
              <w:rPr>
                <w:color w:val="000000"/>
                <w:szCs w:val="24"/>
                <w:lang w:eastAsia="x-none"/>
              </w:rPr>
              <w:t xml:space="preserve"> bazen “ceremesini” alacaklıların çektiği konkordatodan yararlanabiliyor ve bu da alacaklılar bakımından istenme</w:t>
            </w:r>
            <w:r w:rsidR="00F67D9A" w:rsidRPr="00A23740">
              <w:rPr>
                <w:color w:val="000000"/>
                <w:szCs w:val="24"/>
                <w:lang w:eastAsia="x-none"/>
              </w:rPr>
              <w:t>yen sonuçlara yol açabiliyordu.</w:t>
            </w:r>
            <w:r w:rsidR="004B1D4A" w:rsidRPr="00A23740">
              <w:rPr>
                <w:color w:val="000000"/>
                <w:szCs w:val="24"/>
                <w:lang w:eastAsia="x-none"/>
              </w:rPr>
              <w:t xml:space="preserve"> </w:t>
            </w:r>
            <w:r w:rsidRPr="00A23740">
              <w:rPr>
                <w:color w:val="000000"/>
                <w:szCs w:val="24"/>
                <w:lang w:eastAsia="x-none"/>
              </w:rPr>
              <w:t>Bilindiği gibi k</w:t>
            </w:r>
            <w:r w:rsidRPr="00A23740">
              <w:rPr>
                <w:color w:val="000000"/>
                <w:szCs w:val="24"/>
                <w:lang w:val="x-none" w:eastAsia="x-none"/>
              </w:rPr>
              <w:t>onkordato</w:t>
            </w:r>
            <w:r w:rsidRPr="00A23740">
              <w:rPr>
                <w:color w:val="000000"/>
                <w:szCs w:val="24"/>
                <w:lang w:eastAsia="x-none"/>
              </w:rPr>
              <w:t xml:space="preserve"> hükümlerimiz uyarınca, tüzel kişilik ve buna bağlı sonuçlar çerçevesinde, şirket ortaklarının nisaba dahil edilmemesi yönünde bir </w:t>
            </w:r>
            <w:r w:rsidR="004B1D4A" w:rsidRPr="00AB0FD4">
              <w:t>düzenleme</w:t>
            </w:r>
            <w:r w:rsidR="004B1D4A" w:rsidRPr="00A23740">
              <w:rPr>
                <w:color w:val="000000"/>
                <w:szCs w:val="24"/>
                <w:lang w:eastAsia="x-none"/>
              </w:rPr>
              <w:t xml:space="preserve"> </w:t>
            </w:r>
            <w:r w:rsidRPr="00A23740">
              <w:rPr>
                <w:color w:val="000000"/>
                <w:szCs w:val="24"/>
                <w:lang w:eastAsia="x-none"/>
              </w:rPr>
              <w:t>bulunmamaktadır. Ancak uygulamada çok zaman bu durumun alacaklılar aleyhine sonuçlara yol açtığı</w:t>
            </w:r>
            <w:r w:rsidR="00F60D8C" w:rsidRPr="00A23740">
              <w:rPr>
                <w:color w:val="000000"/>
                <w:szCs w:val="24"/>
                <w:lang w:eastAsia="x-none"/>
              </w:rPr>
              <w:t>,</w:t>
            </w:r>
            <w:r w:rsidRPr="00A23740">
              <w:rPr>
                <w:color w:val="000000"/>
                <w:szCs w:val="24"/>
                <w:lang w:eastAsia="x-none"/>
              </w:rPr>
              <w:t xml:space="preserve"> hatta şirket ortaklarının alacak miktarlarının fazla olması sebebiyle nisabın bu yönde şekillendiği ve “asıl alacaklıların” muhalefetine rağmen konkordato projesinin kabulü sonucunun</w:t>
            </w:r>
            <w:r w:rsidR="004B1D4A" w:rsidRPr="00A23740">
              <w:rPr>
                <w:color w:val="000000"/>
                <w:szCs w:val="24"/>
                <w:lang w:eastAsia="x-none"/>
              </w:rPr>
              <w:t xml:space="preserve"> ortaya çıktığı görülmüştür. </w:t>
            </w:r>
            <w:r w:rsidRPr="00A23740">
              <w:rPr>
                <w:color w:val="000000"/>
                <w:szCs w:val="24"/>
                <w:lang w:eastAsia="x-none"/>
              </w:rPr>
              <w:t>İ</w:t>
            </w:r>
            <w:r w:rsidRPr="00A23740">
              <w:rPr>
                <w:color w:val="000000"/>
                <w:szCs w:val="24"/>
                <w:lang w:val="x-none" w:eastAsia="x-none"/>
              </w:rPr>
              <w:t>sviçre</w:t>
            </w:r>
            <w:r w:rsidR="004B1D4A" w:rsidRPr="00A23740">
              <w:rPr>
                <w:color w:val="000000"/>
                <w:szCs w:val="24"/>
                <w:lang w:eastAsia="x-none"/>
              </w:rPr>
              <w:t>’</w:t>
            </w:r>
            <w:r w:rsidRPr="00A23740">
              <w:rPr>
                <w:color w:val="000000"/>
                <w:szCs w:val="24"/>
                <w:lang w:val="x-none" w:eastAsia="x-none"/>
              </w:rPr>
              <w:t xml:space="preserve">de konkordatonun tasdikinde </w:t>
            </w:r>
            <w:r w:rsidRPr="00A23740">
              <w:rPr>
                <w:color w:val="000000"/>
                <w:szCs w:val="24"/>
                <w:lang w:eastAsia="x-none"/>
              </w:rPr>
              <w:t xml:space="preserve">zorunlu olarak düzenlenen bu kurum </w:t>
            </w:r>
            <w:r w:rsidR="004B1D4A" w:rsidRPr="00AB0FD4">
              <w:t>Taslakta</w:t>
            </w:r>
            <w:r w:rsidRPr="00A23740">
              <w:rPr>
                <w:color w:val="000000"/>
                <w:szCs w:val="24"/>
                <w:lang w:eastAsia="x-none"/>
              </w:rPr>
              <w:t xml:space="preserve"> mahkemenin takdirine </w:t>
            </w:r>
            <w:r w:rsidR="00565D49" w:rsidRPr="00A23740">
              <w:rPr>
                <w:color w:val="000000"/>
                <w:szCs w:val="24"/>
                <w:lang w:eastAsia="x-none"/>
              </w:rPr>
              <w:t>t</w:t>
            </w:r>
            <w:r w:rsidRPr="00A23740">
              <w:rPr>
                <w:color w:val="000000"/>
                <w:szCs w:val="24"/>
                <w:lang w:eastAsia="x-none"/>
              </w:rPr>
              <w:t>abi bi</w:t>
            </w:r>
            <w:r w:rsidR="00F67D9A" w:rsidRPr="00A23740">
              <w:rPr>
                <w:color w:val="000000"/>
                <w:szCs w:val="24"/>
                <w:lang w:eastAsia="x-none"/>
              </w:rPr>
              <w:t xml:space="preserve">r hüküm olarak </w:t>
            </w:r>
            <w:r w:rsidR="004B1D4A" w:rsidRPr="00AB0FD4">
              <w:t>öngörülmüştür</w:t>
            </w:r>
            <w:r w:rsidR="00F67D9A" w:rsidRPr="00AB0FD4">
              <w:t>.</w:t>
            </w:r>
            <w:r w:rsidR="00737CB4" w:rsidRPr="00AB0FD4">
              <w:t xml:space="preserve"> İflas mahkemesi,</w:t>
            </w:r>
            <w:r w:rsidR="00F67D9A" w:rsidRPr="00A23740">
              <w:rPr>
                <w:color w:val="000000"/>
                <w:szCs w:val="24"/>
                <w:lang w:eastAsia="x-none"/>
              </w:rPr>
              <w:t xml:space="preserve"> </w:t>
            </w:r>
            <w:r w:rsidR="00737CB4" w:rsidRPr="00A23740">
              <w:rPr>
                <w:color w:val="000000"/>
                <w:szCs w:val="24"/>
                <w:lang w:eastAsia="x-none"/>
              </w:rPr>
              <w:t xml:space="preserve">katkı </w:t>
            </w:r>
            <w:r w:rsidRPr="00A23740">
              <w:rPr>
                <w:color w:val="000000"/>
                <w:szCs w:val="24"/>
                <w:lang w:eastAsia="x-none"/>
              </w:rPr>
              <w:t xml:space="preserve">payının çeşidine ve kapsamına, somut olayın şartlarına göre hükmedecektir. Katkı payı, sermaye artırımı şeklinde olabileceği gibi hissedarların alacaklarından feragatleri yahut sırada sonra geçme gibi </w:t>
            </w:r>
            <w:r w:rsidR="00737CB4" w:rsidRPr="00A23740">
              <w:rPr>
                <w:color w:val="000000"/>
                <w:szCs w:val="24"/>
                <w:lang w:eastAsia="x-none"/>
              </w:rPr>
              <w:t xml:space="preserve">şekillerde olabilecektir yahut </w:t>
            </w:r>
            <w:r w:rsidRPr="00A23740">
              <w:rPr>
                <w:color w:val="000000"/>
                <w:szCs w:val="24"/>
                <w:lang w:eastAsia="x-none"/>
              </w:rPr>
              <w:t xml:space="preserve">şirkete yeni kredi sağlamayı taahhüt </w:t>
            </w:r>
            <w:r w:rsidR="00F60D8C" w:rsidRPr="00A23740">
              <w:rPr>
                <w:color w:val="000000"/>
                <w:szCs w:val="24"/>
                <w:lang w:eastAsia="x-none"/>
              </w:rPr>
              <w:t>biçiminde ortaya çıkabilecektir</w:t>
            </w:r>
            <w:r w:rsidRPr="00A23740">
              <w:rPr>
                <w:color w:val="000000"/>
                <w:szCs w:val="24"/>
                <w:lang w:eastAsia="x-none"/>
              </w:rPr>
              <w:t>. Aynı zaman</w:t>
            </w:r>
            <w:r w:rsidR="00565D49" w:rsidRPr="00A23740">
              <w:rPr>
                <w:color w:val="000000"/>
                <w:szCs w:val="24"/>
                <w:lang w:eastAsia="x-none"/>
              </w:rPr>
              <w:t>d</w:t>
            </w:r>
            <w:r w:rsidRPr="00A23740">
              <w:rPr>
                <w:color w:val="000000"/>
                <w:szCs w:val="24"/>
                <w:lang w:eastAsia="x-none"/>
              </w:rPr>
              <w:t xml:space="preserve">a şirketin yönetiminde yer alan hissedarların huzur hakkı </w:t>
            </w:r>
            <w:r w:rsidR="00737CB4" w:rsidRPr="00AB0FD4">
              <w:t>veya</w:t>
            </w:r>
            <w:r w:rsidRPr="00A23740">
              <w:rPr>
                <w:color w:val="000000"/>
                <w:szCs w:val="24"/>
                <w:lang w:eastAsia="x-none"/>
              </w:rPr>
              <w:t xml:space="preserve"> maaştan feragatleri de bu </w:t>
            </w:r>
            <w:r w:rsidR="00F67D9A" w:rsidRPr="00A23740">
              <w:rPr>
                <w:color w:val="000000"/>
                <w:szCs w:val="24"/>
                <w:lang w:eastAsia="x-none"/>
              </w:rPr>
              <w:t>kapsamda sayılabilecektir.</w:t>
            </w:r>
          </w:p>
          <w:p w:rsidR="00561705" w:rsidRPr="00A23740" w:rsidRDefault="00495593" w:rsidP="009431FF">
            <w:pPr>
              <w:tabs>
                <w:tab w:val="left" w:pos="567"/>
              </w:tabs>
              <w:ind w:firstLine="567"/>
              <w:rPr>
                <w:color w:val="000000"/>
                <w:szCs w:val="24"/>
                <w:lang w:eastAsia="x-none"/>
              </w:rPr>
            </w:pPr>
            <w:r w:rsidRPr="00AB0FD4">
              <w:t>Mevcut</w:t>
            </w:r>
            <w:r w:rsidR="00561705" w:rsidRPr="00A23740">
              <w:rPr>
                <w:color w:val="000000"/>
                <w:szCs w:val="24"/>
                <w:lang w:val="x-none" w:eastAsia="x-none"/>
              </w:rPr>
              <w:t xml:space="preserve"> </w:t>
            </w:r>
            <w:r w:rsidR="00561705" w:rsidRPr="00A23740">
              <w:rPr>
                <w:color w:val="000000"/>
                <w:szCs w:val="24"/>
                <w:lang w:eastAsia="x-none"/>
              </w:rPr>
              <w:t>konkordato uygulamamızda kimi zaman şirketin konkordatoya tabi alacaklarının mühlet içinde ödenemiyor olması sebebiyle şirketin faaliyetlerinin devamı için ödemenin zorunlu olduğu h</w:t>
            </w:r>
            <w:r w:rsidR="00D271B8" w:rsidRPr="00A23740">
              <w:rPr>
                <w:color w:val="000000"/>
                <w:szCs w:val="24"/>
                <w:lang w:eastAsia="x-none"/>
              </w:rPr>
              <w:t>â</w:t>
            </w:r>
            <w:r w:rsidR="00561705" w:rsidRPr="00A23740">
              <w:rPr>
                <w:color w:val="000000"/>
                <w:szCs w:val="24"/>
                <w:lang w:eastAsia="x-none"/>
              </w:rPr>
              <w:t>llerde hissedarlar t</w:t>
            </w:r>
            <w:r w:rsidR="00737CB4" w:rsidRPr="00A23740">
              <w:rPr>
                <w:color w:val="000000"/>
                <w:szCs w:val="24"/>
                <w:lang w:eastAsia="x-none"/>
              </w:rPr>
              <w:t>arafından söz konusu alacaklar</w:t>
            </w:r>
            <w:r w:rsidR="00561705" w:rsidRPr="00A23740">
              <w:rPr>
                <w:color w:val="000000"/>
                <w:szCs w:val="24"/>
                <w:lang w:eastAsia="x-none"/>
              </w:rPr>
              <w:t xml:space="preserve"> </w:t>
            </w:r>
            <w:r w:rsidR="00737CB4" w:rsidRPr="00AB0FD4">
              <w:t>ödenebilmekteydi</w:t>
            </w:r>
            <w:r w:rsidR="00561705" w:rsidRPr="00A23740">
              <w:rPr>
                <w:color w:val="000000"/>
                <w:szCs w:val="24"/>
                <w:lang w:eastAsia="x-none"/>
              </w:rPr>
              <w:t>. Komiser tarafından bu borçların hissedarlar</w:t>
            </w:r>
            <w:r w:rsidR="00F60D8C" w:rsidRPr="00A23740">
              <w:rPr>
                <w:color w:val="000000"/>
                <w:szCs w:val="24"/>
                <w:lang w:eastAsia="x-none"/>
              </w:rPr>
              <w:t>ca</w:t>
            </w:r>
            <w:r w:rsidR="00561705" w:rsidRPr="00A23740">
              <w:rPr>
                <w:color w:val="000000"/>
                <w:szCs w:val="24"/>
                <w:lang w:eastAsia="x-none"/>
              </w:rPr>
              <w:t xml:space="preserve"> ödenmesi, nisaba alacaklı olarak kaydedilme hakkından feraga</w:t>
            </w:r>
            <w:r w:rsidR="00737CB4" w:rsidRPr="00A23740">
              <w:rPr>
                <w:color w:val="000000"/>
                <w:szCs w:val="24"/>
                <w:lang w:eastAsia="x-none"/>
              </w:rPr>
              <w:t>t etmelerine bağlanabilmekteydi</w:t>
            </w:r>
            <w:r w:rsidR="00561705" w:rsidRPr="00A23740">
              <w:rPr>
                <w:color w:val="000000"/>
                <w:szCs w:val="24"/>
                <w:lang w:eastAsia="x-none"/>
              </w:rPr>
              <w:t>. İşte bu uygulama örneği de katkı payı kapsamınd</w:t>
            </w:r>
            <w:r w:rsidR="00737CB4" w:rsidRPr="00A23740">
              <w:rPr>
                <w:color w:val="000000"/>
                <w:szCs w:val="24"/>
                <w:lang w:eastAsia="x-none"/>
              </w:rPr>
              <w:t>a kabul edilebilecektir.</w:t>
            </w:r>
          </w:p>
          <w:p w:rsidR="00561705" w:rsidRPr="00A23740" w:rsidRDefault="00561705" w:rsidP="009431FF">
            <w:pPr>
              <w:tabs>
                <w:tab w:val="left" w:pos="567"/>
              </w:tabs>
              <w:ind w:firstLine="567"/>
              <w:rPr>
                <w:b/>
                <w:color w:val="0000FF"/>
                <w:szCs w:val="24"/>
                <w:lang w:eastAsia="x-none"/>
              </w:rPr>
            </w:pPr>
            <w:r w:rsidRPr="00A23740">
              <w:rPr>
                <w:color w:val="000000"/>
                <w:szCs w:val="24"/>
                <w:lang w:eastAsia="x-none"/>
              </w:rPr>
              <w:t>İkinci fıkra uyarınca k</w:t>
            </w:r>
            <w:r w:rsidRPr="00A23740">
              <w:rPr>
                <w:color w:val="000000"/>
                <w:szCs w:val="24"/>
                <w:lang w:val="x-none" w:eastAsia="x-none"/>
              </w:rPr>
              <w:t>atkı payını</w:t>
            </w:r>
            <w:r w:rsidRPr="00A23740">
              <w:rPr>
                <w:color w:val="000000"/>
                <w:szCs w:val="24"/>
                <w:lang w:eastAsia="x-none"/>
              </w:rPr>
              <w:t>n ödenme zamanı da mahkeme tarafından belirlenecektir. B</w:t>
            </w:r>
            <w:r w:rsidRPr="00A23740">
              <w:rPr>
                <w:bCs/>
                <w:color w:val="000000"/>
                <w:szCs w:val="24"/>
                <w:lang w:eastAsia="x-none"/>
              </w:rPr>
              <w:t>u kaps</w:t>
            </w:r>
            <w:r w:rsidR="00495593" w:rsidRPr="00A23740">
              <w:rPr>
                <w:bCs/>
                <w:color w:val="000000"/>
                <w:szCs w:val="24"/>
                <w:lang w:eastAsia="x-none"/>
              </w:rPr>
              <w:t>a</w:t>
            </w:r>
            <w:r w:rsidRPr="00A23740">
              <w:rPr>
                <w:bCs/>
                <w:color w:val="000000"/>
                <w:szCs w:val="24"/>
                <w:lang w:eastAsia="x-none"/>
              </w:rPr>
              <w:t>mda mahkeme bu katkı payının, tasdik kararından önce ödenmesine karar verebileceği gibi y</w:t>
            </w:r>
            <w:r w:rsidRPr="00A23740">
              <w:rPr>
                <w:bCs/>
                <w:color w:val="000000"/>
                <w:szCs w:val="24"/>
                <w:lang w:val="x-none" w:eastAsia="x-none"/>
              </w:rPr>
              <w:t>ine kendi belirleye</w:t>
            </w:r>
            <w:r w:rsidRPr="00A23740">
              <w:rPr>
                <w:bCs/>
                <w:color w:val="000000"/>
                <w:szCs w:val="24"/>
                <w:lang w:eastAsia="x-none"/>
              </w:rPr>
              <w:t xml:space="preserve">ceği takvim çerçevesinde olmak kaydıyla tasdik kararından sonra ödenmesine de karar verebilecektir. Katkı payının tasdik kararından önce ödenmesine karar verilmiş ve gerekli ödeme </w:t>
            </w:r>
            <w:r w:rsidRPr="00AB0FD4">
              <w:t>yapılmamışsa</w:t>
            </w:r>
            <w:r w:rsidR="00495593" w:rsidRPr="00AB0FD4">
              <w:t>,</w:t>
            </w:r>
            <w:r w:rsidRPr="00AB0FD4">
              <w:t xml:space="preserve"> bu </w:t>
            </w:r>
            <w:r w:rsidR="00495593" w:rsidRPr="00AB0FD4">
              <w:t>durum</w:t>
            </w:r>
            <w:r w:rsidR="00495593" w:rsidRPr="00A23740">
              <w:rPr>
                <w:bCs/>
                <w:color w:val="000000"/>
                <w:szCs w:val="24"/>
                <w:lang w:eastAsia="x-none"/>
              </w:rPr>
              <w:t xml:space="preserve"> </w:t>
            </w:r>
            <w:r w:rsidRPr="00A23740">
              <w:rPr>
                <w:bCs/>
                <w:color w:val="000000"/>
                <w:szCs w:val="24"/>
                <w:lang w:eastAsia="x-none"/>
              </w:rPr>
              <w:t>mahkemece konkordatonun tasdiki talebi</w:t>
            </w:r>
            <w:r w:rsidR="00F67D9A" w:rsidRPr="00A23740">
              <w:rPr>
                <w:bCs/>
                <w:color w:val="000000"/>
                <w:szCs w:val="24"/>
                <w:lang w:eastAsia="x-none"/>
              </w:rPr>
              <w:t>nin reddi sebebi olabilecektir.</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rPr>
                <w:i/>
                <w:szCs w:val="24"/>
                <w:vertAlign w:val="superscript"/>
              </w:rPr>
            </w:pPr>
            <w:r w:rsidRPr="00A23740">
              <w:rPr>
                <w:i/>
                <w:szCs w:val="24"/>
              </w:rPr>
              <w:t>Konkordatonun tasdiki kararı, kapsamı ve ilânı:</w:t>
            </w:r>
            <w:r w:rsidRPr="00A23740">
              <w:rPr>
                <w:i/>
                <w:szCs w:val="24"/>
                <w:vertAlign w:val="superscript"/>
              </w:rPr>
              <w:t xml:space="preserve"> </w:t>
            </w:r>
          </w:p>
          <w:p w:rsidR="00AA5C8C" w:rsidRPr="00A23740" w:rsidRDefault="00AA5C8C" w:rsidP="009431FF">
            <w:pPr>
              <w:rPr>
                <w:b/>
                <w:szCs w:val="24"/>
              </w:rPr>
            </w:pPr>
            <w:r w:rsidRPr="00A23740">
              <w:rPr>
                <w:rStyle w:val="KIRMIZIChar"/>
                <w:rFonts w:eastAsia="Calibri"/>
              </w:rPr>
              <w:t>Madde 306- (1) (Değişik: 28/2/2018-7101/34 md.)</w:t>
            </w:r>
          </w:p>
          <w:p w:rsidR="00AA5C8C" w:rsidRPr="00A23740" w:rsidRDefault="00AA5C8C" w:rsidP="009431FF">
            <w:pPr>
              <w:rPr>
                <w:szCs w:val="24"/>
              </w:rPr>
            </w:pPr>
            <w:r w:rsidRPr="00A23740">
              <w:rPr>
                <w:szCs w:val="24"/>
              </w:rPr>
              <w:t>Konkordatonun tasdiki kararında alacaklıların hangi ölçüde alacaklarından vazgeçtiği ve borçlunun borçlarını hangi takvim çerçevesinde ödeyeceği belirtilir.</w:t>
            </w:r>
          </w:p>
          <w:p w:rsidR="00AA5C8C" w:rsidRPr="00A23740" w:rsidRDefault="00AA5C8C" w:rsidP="009431FF">
            <w:pPr>
              <w:pStyle w:val="Nor"/>
              <w:tabs>
                <w:tab w:val="clear" w:pos="567"/>
              </w:tabs>
              <w:rPr>
                <w:rFonts w:ascii="Times New Roman" w:hAnsi="Times New Roman"/>
                <w:lang w:val="tr-TR"/>
              </w:rPr>
            </w:pPr>
            <w:r w:rsidRPr="00A23740">
              <w:rPr>
                <w:rStyle w:val="KIRMIZIChar"/>
                <w:lang w:val="tr-TR"/>
              </w:rPr>
              <w:t>(3)</w:t>
            </w:r>
            <w:r w:rsidRPr="00A23740">
              <w:rPr>
                <w:rFonts w:ascii="Times New Roman" w:hAnsi="Times New Roman"/>
                <w:sz w:val="24"/>
                <w:szCs w:val="24"/>
                <w:lang w:val="tr-TR"/>
              </w:rPr>
              <w:t xml:space="preserve"> Tasdik kararı mahkemece, </w:t>
            </w:r>
            <w:r w:rsidRPr="00A23740">
              <w:rPr>
                <w:rStyle w:val="KIRMIZIChar"/>
                <w:lang w:val="tr-TR"/>
              </w:rPr>
              <w:t>288 inci</w:t>
            </w:r>
            <w:r w:rsidRPr="00A23740">
              <w:rPr>
                <w:rFonts w:ascii="Times New Roman" w:hAnsi="Times New Roman"/>
                <w:sz w:val="24"/>
                <w:szCs w:val="24"/>
                <w:lang w:val="tr-TR"/>
              </w:rPr>
              <w:t xml:space="preserve"> madde uyarınca ilân olunur ve ilgili yerlere bildirilir.</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(2)</w:t>
            </w:r>
            <w:r w:rsidRPr="00A23740">
              <w:rPr>
                <w:szCs w:val="24"/>
              </w:rPr>
              <w:t xml:space="preserve"> Kararda, tasdik edilen konkordatonun yerine getirilmesini sağlamak </w:t>
            </w:r>
            <w:r w:rsidRPr="00A23740">
              <w:rPr>
                <w:rStyle w:val="KIRMIZIChar"/>
                <w:rFonts w:eastAsia="Calibri"/>
              </w:rPr>
              <w:t>için</w:t>
            </w:r>
            <w:r w:rsidRPr="00A23740">
              <w:rPr>
                <w:szCs w:val="24"/>
              </w:rPr>
              <w:t xml:space="preserve"> gerekli gözetim, yönetim ve tasfiye tedbirlerini almakla görevli bir kayyım tayin edilebilir. Bu takdirde kayyım, borçlunun işletmesinin durumu ve proje uyarınca borçlarını ödeme kabiliyetini muhafaza edip etmediği konusunda iki ayda bir tasdik kararını veren mahkemeye rapor verir; alacaklılar bu raporu inceleyebilirler.</w:t>
            </w:r>
          </w:p>
          <w:p w:rsidR="00AA5C8C" w:rsidRPr="00A23740" w:rsidRDefault="00AA5C8C" w:rsidP="009431FF">
            <w:pPr>
              <w:rPr>
                <w:lang w:eastAsia="tr-TR"/>
              </w:rPr>
            </w:pPr>
          </w:p>
          <w:p w:rsidR="00AA5C8C" w:rsidRPr="00A23740" w:rsidRDefault="00AA5C8C" w:rsidP="009431FF">
            <w:pPr>
              <w:rPr>
                <w:lang w:eastAsia="tr-TR"/>
              </w:rPr>
            </w:pPr>
          </w:p>
          <w:p w:rsidR="00AA5C8C" w:rsidRPr="00A23740" w:rsidRDefault="00AA5C8C" w:rsidP="009431FF">
            <w:pPr>
              <w:rPr>
                <w:lang w:eastAsia="tr-TR"/>
              </w:rPr>
            </w:pPr>
          </w:p>
          <w:p w:rsidR="00AA5C8C" w:rsidRPr="00A23740" w:rsidRDefault="00AA5C8C" w:rsidP="009431FF">
            <w:pPr>
              <w:pStyle w:val="Nor"/>
              <w:tabs>
                <w:tab w:val="clear" w:pos="567"/>
              </w:tabs>
              <w:rPr>
                <w:lang w:val="tr-TR" w:eastAsia="tr-TR"/>
              </w:rPr>
            </w:pPr>
          </w:p>
        </w:tc>
        <w:tc>
          <w:tcPr>
            <w:tcW w:w="2500" w:type="pct"/>
          </w:tcPr>
          <w:p w:rsidR="00AA5C8C" w:rsidRPr="00A23740" w:rsidRDefault="00AA5C8C" w:rsidP="009431FF">
            <w:pPr>
              <w:rPr>
                <w:b/>
                <w:szCs w:val="24"/>
                <w:vertAlign w:val="superscript"/>
              </w:rPr>
            </w:pPr>
            <w:r w:rsidRPr="00A23740">
              <w:rPr>
                <w:b/>
                <w:szCs w:val="24"/>
              </w:rPr>
              <w:t>Konkordatonun tasdiki kararı, kapsamı ve il</w:t>
            </w:r>
            <w:r w:rsidR="00930910" w:rsidRPr="00A23740">
              <w:rPr>
                <w:b/>
                <w:szCs w:val="24"/>
              </w:rPr>
              <w:t>a</w:t>
            </w:r>
            <w:r w:rsidRPr="00A23740">
              <w:rPr>
                <w:b/>
                <w:szCs w:val="24"/>
              </w:rPr>
              <w:t>nı</w:t>
            </w:r>
          </w:p>
          <w:p w:rsidR="00AA5C8C" w:rsidRPr="00A23740" w:rsidRDefault="00164036" w:rsidP="009431FF">
            <w:pPr>
              <w:pStyle w:val="Nor"/>
              <w:tabs>
                <w:tab w:val="clear" w:pos="567"/>
              </w:tabs>
              <w:rPr>
                <w:szCs w:val="24"/>
                <w:lang w:val="tr-TR"/>
              </w:rPr>
            </w:pPr>
            <w:r w:rsidRPr="00A23740">
              <w:rPr>
                <w:rStyle w:val="MaviChar"/>
                <w:lang w:val="tr-TR"/>
              </w:rPr>
              <w:t>MADDE 400</w:t>
            </w:r>
            <w:r w:rsidR="00AA5C8C" w:rsidRPr="00A23740">
              <w:rPr>
                <w:rStyle w:val="MaviChar"/>
                <w:lang w:val="tr-TR"/>
              </w:rPr>
              <w:t>- (1)</w:t>
            </w:r>
            <w:r w:rsidR="00AA5C8C" w:rsidRPr="00A23740">
              <w:rPr>
                <w:szCs w:val="24"/>
                <w:lang w:val="tr-TR"/>
              </w:rPr>
              <w:t xml:space="preserve"> </w:t>
            </w:r>
            <w:r w:rsidR="00AA5C8C" w:rsidRPr="00A23740">
              <w:rPr>
                <w:rFonts w:ascii="Times New Roman" w:hAnsi="Times New Roman"/>
                <w:sz w:val="24"/>
                <w:szCs w:val="24"/>
                <w:lang w:val="tr-TR"/>
              </w:rPr>
              <w:t>Konkordatonun tasdiki kararında</w:t>
            </w:r>
            <w:r w:rsidR="00A53707" w:rsidRPr="00A23740">
              <w:rPr>
                <w:rStyle w:val="YELChar"/>
                <w:lang w:val="tr-TR"/>
              </w:rPr>
              <w:t>,</w:t>
            </w:r>
            <w:r w:rsidR="00AA5C8C" w:rsidRPr="00A23740">
              <w:rPr>
                <w:rFonts w:ascii="Times New Roman" w:hAnsi="Times New Roman"/>
                <w:sz w:val="24"/>
                <w:szCs w:val="24"/>
                <w:lang w:val="tr-TR"/>
              </w:rPr>
              <w:t xml:space="preserve"> alacaklıların hangi ölçüde alacaklarından vazgeçtiği ve borçlunun borçlarını hangi takvim çerçevesinde ödeyeceği belirtilir.</w:t>
            </w:r>
            <w:r w:rsidR="00AA5C8C" w:rsidRPr="00A23740">
              <w:rPr>
                <w:szCs w:val="24"/>
                <w:lang w:val="tr-TR"/>
              </w:rPr>
              <w:t xml:space="preserve"> </w:t>
            </w:r>
          </w:p>
          <w:p w:rsidR="00A23F35" w:rsidRPr="00A23740" w:rsidRDefault="00A23F35" w:rsidP="009431FF">
            <w:pPr>
              <w:rPr>
                <w:lang w:eastAsia="x-none"/>
              </w:rPr>
            </w:pPr>
          </w:p>
          <w:p w:rsidR="00AA5C8C" w:rsidRPr="00A23740" w:rsidRDefault="00AA5C8C" w:rsidP="009431FF">
            <w:pPr>
              <w:pStyle w:val="Nor"/>
              <w:tabs>
                <w:tab w:val="clear" w:pos="567"/>
              </w:tabs>
              <w:rPr>
                <w:rFonts w:ascii="Times New Roman" w:hAnsi="Times New Roman"/>
                <w:lang w:val="tr-TR"/>
              </w:rPr>
            </w:pPr>
            <w:r w:rsidRPr="00A23740">
              <w:rPr>
                <w:rStyle w:val="MaviChar"/>
                <w:lang w:val="tr-TR"/>
              </w:rPr>
              <w:t>(2)</w:t>
            </w:r>
            <w:r w:rsidRPr="00A23740">
              <w:rPr>
                <w:rFonts w:ascii="Times New Roman" w:hAnsi="Times New Roman"/>
                <w:sz w:val="24"/>
                <w:szCs w:val="24"/>
                <w:lang w:val="tr-TR"/>
              </w:rPr>
              <w:t xml:space="preserve"> Tasdik kararı mahkemece,</w:t>
            </w:r>
            <w:r w:rsidR="00BB1BCB" w:rsidRPr="00A23740">
              <w:rPr>
                <w:rFonts w:ascii="Times New Roman" w:hAnsi="Times New Roman"/>
                <w:sz w:val="24"/>
                <w:szCs w:val="24"/>
                <w:lang w:val="tr-TR"/>
              </w:rPr>
              <w:t xml:space="preserve"> </w:t>
            </w:r>
            <w:r w:rsidR="00BB1BCB" w:rsidRPr="00AB0FD4">
              <w:rPr>
                <w:rStyle w:val="MaviChar"/>
              </w:rPr>
              <w:t>377 nci</w:t>
            </w:r>
            <w:r w:rsidRPr="00A23740">
              <w:rPr>
                <w:rFonts w:ascii="Times New Roman" w:hAnsi="Times New Roman"/>
                <w:sz w:val="24"/>
                <w:szCs w:val="24"/>
                <w:lang w:val="tr-TR"/>
              </w:rPr>
              <w:t xml:space="preserve"> madde uyarınca il</w:t>
            </w:r>
            <w:r w:rsidR="00930910" w:rsidRPr="00A23740">
              <w:rPr>
                <w:rFonts w:ascii="Times New Roman" w:hAnsi="Times New Roman"/>
                <w:sz w:val="24"/>
                <w:szCs w:val="24"/>
                <w:lang w:val="tr-TR"/>
              </w:rPr>
              <w:t>a</w:t>
            </w:r>
            <w:r w:rsidRPr="00A23740">
              <w:rPr>
                <w:rFonts w:ascii="Times New Roman" w:hAnsi="Times New Roman"/>
                <w:sz w:val="24"/>
                <w:szCs w:val="24"/>
                <w:lang w:val="tr-TR"/>
              </w:rPr>
              <w:t>n olunur ve ilgili yerlere bildirilir.</w:t>
            </w:r>
          </w:p>
          <w:p w:rsidR="00AA5C8C" w:rsidRPr="00A23740" w:rsidRDefault="00AA5C8C" w:rsidP="009431FF">
            <w:pPr>
              <w:rPr>
                <w:szCs w:val="24"/>
              </w:rPr>
            </w:pPr>
          </w:p>
          <w:p w:rsidR="00AA5C8C" w:rsidRPr="00A23740" w:rsidRDefault="00AA5C8C" w:rsidP="009431FF">
            <w:pPr>
              <w:rPr>
                <w:color w:val="FF0000"/>
                <w:szCs w:val="24"/>
              </w:rPr>
            </w:pPr>
            <w:r w:rsidRPr="00A23740">
              <w:rPr>
                <w:rStyle w:val="MaviChar"/>
                <w:lang w:val="tr-TR"/>
              </w:rPr>
              <w:t>(3)</w:t>
            </w:r>
            <w:r w:rsidRPr="00A23740">
              <w:rPr>
                <w:szCs w:val="24"/>
              </w:rPr>
              <w:t xml:space="preserve"> Kararda, tasdik edilen konkordatonun yerine getirilmesini sağlamak </w:t>
            </w:r>
            <w:r w:rsidRPr="00A23740">
              <w:rPr>
                <w:rStyle w:val="MaviChar"/>
              </w:rPr>
              <w:t>üzere ve kapsamı mahkemece tayin edilmek kaydıyla,</w:t>
            </w:r>
            <w:r w:rsidRPr="00A23740">
              <w:rPr>
                <w:szCs w:val="24"/>
              </w:rPr>
              <w:t xml:space="preserve"> gerekli gözetim, yönetim ve tasfiye tedbirlerini almakla görevli bir </w:t>
            </w:r>
            <w:r w:rsidRPr="00A23740">
              <w:rPr>
                <w:rStyle w:val="MaviChar"/>
                <w:lang w:val="tr-TR"/>
              </w:rPr>
              <w:t>proje denetçisi</w:t>
            </w:r>
            <w:r w:rsidRPr="00A23740">
              <w:rPr>
                <w:szCs w:val="24"/>
              </w:rPr>
              <w:t xml:space="preserve"> tayin edilebilir. Bu takdirde </w:t>
            </w:r>
            <w:r w:rsidRPr="00A23740">
              <w:rPr>
                <w:rStyle w:val="MaviChar"/>
                <w:lang w:val="tr-TR"/>
              </w:rPr>
              <w:t>proje denetçisi</w:t>
            </w:r>
            <w:r w:rsidRPr="00A23740">
              <w:rPr>
                <w:szCs w:val="24"/>
              </w:rPr>
              <w:t>, borçlunun işletmesinin durumu ve proje uyarınca borçlarını ödeme kabiliyetini muhafaza edip etmediği konusunda iki ayda bir tasdik kararını veren mahkemeye rapor verir; alacaklılar bu raporu inceleyebilirler.</w:t>
            </w:r>
            <w:r w:rsidR="000F7C59" w:rsidRPr="00A23740">
              <w:rPr>
                <w:szCs w:val="24"/>
              </w:rPr>
              <w:t xml:space="preserve"> </w:t>
            </w:r>
            <w:r w:rsidR="00417F5F" w:rsidRPr="00A23740">
              <w:rPr>
                <w:rStyle w:val="MaviChar"/>
                <w:lang w:val="tr-TR"/>
              </w:rPr>
              <w:t xml:space="preserve">Ödemelerin tasdik edilen proje kapsamında tamamlandığının ve </w:t>
            </w:r>
            <w:r w:rsidR="000F7C59" w:rsidRPr="00A23740">
              <w:rPr>
                <w:rStyle w:val="MaviChar"/>
                <w:lang w:val="tr-TR"/>
              </w:rPr>
              <w:t xml:space="preserve">konkordatonun yerine getirildiğinin rapor edilmesi üzerine mahkeme, proje denetçisinin görevini sonlandırır ve kararını </w:t>
            </w:r>
            <w:r w:rsidR="00BB1BCB" w:rsidRPr="00AB0FD4">
              <w:rPr>
                <w:rStyle w:val="MaviChar"/>
              </w:rPr>
              <w:t>377 nci</w:t>
            </w:r>
            <w:r w:rsidR="00BB1BCB" w:rsidRPr="00A23740">
              <w:rPr>
                <w:szCs w:val="24"/>
              </w:rPr>
              <w:t xml:space="preserve"> </w:t>
            </w:r>
            <w:r w:rsidR="000F7C59" w:rsidRPr="00A23740">
              <w:rPr>
                <w:rStyle w:val="MaviChar"/>
                <w:lang w:val="tr-TR"/>
              </w:rPr>
              <w:t>madde uyarınca ilan ederek ilgili yerlere bildirir.</w:t>
            </w:r>
          </w:p>
          <w:p w:rsidR="00621A60" w:rsidRPr="00A23740" w:rsidRDefault="00621A60" w:rsidP="009431FF">
            <w:pPr>
              <w:rPr>
                <w:color w:val="FF0000"/>
                <w:szCs w:val="24"/>
              </w:rPr>
            </w:pPr>
          </w:p>
          <w:p w:rsidR="00AA5C8C" w:rsidRPr="00A23740" w:rsidRDefault="00AA5C8C" w:rsidP="009431FF">
            <w:pPr>
              <w:pStyle w:val="Mavi"/>
              <w:rPr>
                <w:lang w:eastAsia="tr-TR"/>
              </w:rPr>
            </w:pPr>
            <w:r w:rsidRPr="00A23740">
              <w:rPr>
                <w:lang w:eastAsia="tr-TR"/>
              </w:rPr>
              <w:t xml:space="preserve">(4) Proje denetçisinin seçilmesi, denetimi, nitelikleri ve yükümlülükleri ile denetçiye uygulanacak yaptırımlar hakkında konkordato komiserliğine ilişkin hükümler kıyasen uygulanır. Bir kişi eş zamanlı olarak beşten fazla dosyada proje denetçisi ve konkordato komiseri olarak görev yapamaz. </w:t>
            </w:r>
          </w:p>
          <w:p w:rsidR="00AA5C8C" w:rsidRPr="00A23740" w:rsidRDefault="00AA5C8C" w:rsidP="009431FF">
            <w:pPr>
              <w:pStyle w:val="Mavi"/>
              <w:rPr>
                <w:lang w:eastAsia="tr-TR"/>
              </w:rPr>
            </w:pPr>
          </w:p>
          <w:p w:rsidR="00AA5C8C" w:rsidRPr="00A23740" w:rsidRDefault="00AA5C8C" w:rsidP="009431FF">
            <w:pPr>
              <w:pStyle w:val="YEL"/>
              <w:rPr>
                <w:lang w:eastAsia="tr-TR"/>
              </w:rPr>
            </w:pPr>
            <w:r w:rsidRPr="00A23740">
              <w:rPr>
                <w:rStyle w:val="MaviChar"/>
                <w:b/>
              </w:rPr>
              <w:t>(5)</w:t>
            </w:r>
            <w:r w:rsidRPr="00A23740">
              <w:rPr>
                <w:rFonts w:eastAsia="Calibri"/>
                <w:b w:val="0"/>
                <w:color w:val="auto"/>
                <w:lang w:val="tr-TR"/>
              </w:rPr>
              <w:t xml:space="preserve"> </w:t>
            </w:r>
            <w:r w:rsidRPr="00A67742">
              <w:rPr>
                <w:rStyle w:val="MaviChar"/>
                <w:b/>
              </w:rPr>
              <w:t>Proje denetçisinin nitelikleri, yükümlülükleri, denetimi, sorumlulukları, listeden çıkarılması, uyacağı temel ilkeler, eğitimi, eğitim verecek kurumlar ve eğitimden muaf tutulacaklar ile proje denetçiliğine ilişkin diğer hususlar Adalet Bakanlığınca çıkarılacak yönetmelikle düzenlenir.</w:t>
            </w:r>
          </w:p>
          <w:p w:rsidR="00621A60" w:rsidRPr="00A23740" w:rsidRDefault="00621A60" w:rsidP="009431FF">
            <w:pPr>
              <w:rPr>
                <w:lang w:val="en-US" w:eastAsia="tr-TR"/>
              </w:rPr>
            </w:pPr>
          </w:p>
        </w:tc>
      </w:tr>
      <w:tr w:rsidR="005C3738" w:rsidRPr="00A23740" w:rsidTr="009431FF">
        <w:tc>
          <w:tcPr>
            <w:tcW w:w="5000" w:type="pct"/>
            <w:gridSpan w:val="2"/>
            <w:shd w:val="clear" w:color="auto" w:fill="DEEAF6"/>
          </w:tcPr>
          <w:p w:rsidR="00565D49" w:rsidRPr="00A23740" w:rsidRDefault="00565D49" w:rsidP="009431FF">
            <w:pPr>
              <w:ind w:firstLine="709"/>
              <w:rPr>
                <w:b/>
                <w:szCs w:val="24"/>
              </w:rPr>
            </w:pPr>
          </w:p>
          <w:p w:rsidR="00561705" w:rsidRPr="00A23740" w:rsidRDefault="00164036" w:rsidP="009431FF">
            <w:pPr>
              <w:ind w:firstLine="709"/>
              <w:rPr>
                <w:b/>
                <w:szCs w:val="24"/>
                <w:vertAlign w:val="superscript"/>
              </w:rPr>
            </w:pPr>
            <w:r w:rsidRPr="00A23740">
              <w:rPr>
                <w:b/>
                <w:szCs w:val="24"/>
              </w:rPr>
              <w:t>MADDE 400</w:t>
            </w:r>
            <w:r w:rsidR="00565D49" w:rsidRPr="00A23740">
              <w:rPr>
                <w:b/>
                <w:szCs w:val="24"/>
              </w:rPr>
              <w:t xml:space="preserve">- </w:t>
            </w:r>
            <w:r w:rsidR="00565D49" w:rsidRPr="00A23740">
              <w:rPr>
                <w:szCs w:val="24"/>
              </w:rPr>
              <w:t>Maddeyle,</w:t>
            </w:r>
            <w:r w:rsidR="00565D49" w:rsidRPr="00A23740">
              <w:rPr>
                <w:b/>
                <w:szCs w:val="24"/>
              </w:rPr>
              <w:t xml:space="preserve"> </w:t>
            </w:r>
            <w:r w:rsidR="00565D49" w:rsidRPr="00A23740">
              <w:rPr>
                <w:szCs w:val="24"/>
              </w:rPr>
              <w:t xml:space="preserve">konkordatonun tasdiki </w:t>
            </w:r>
            <w:r w:rsidR="00565D49" w:rsidRPr="00AB0FD4">
              <w:t>kararı</w:t>
            </w:r>
            <w:r w:rsidR="00A53707" w:rsidRPr="00AB0FD4">
              <w:t>na</w:t>
            </w:r>
            <w:r w:rsidR="00565D49" w:rsidRPr="00AB0FD4">
              <w:t>,</w:t>
            </w:r>
            <w:r w:rsidR="00A53707" w:rsidRPr="00AB0FD4">
              <w:t xml:space="preserve"> kararın</w:t>
            </w:r>
            <w:r w:rsidR="00565D49" w:rsidRPr="00A23740">
              <w:rPr>
                <w:szCs w:val="24"/>
              </w:rPr>
              <w:t xml:space="preserve"> kapsam</w:t>
            </w:r>
            <w:r w:rsidR="00565D49" w:rsidRPr="00AB0FD4">
              <w:t>ı</w:t>
            </w:r>
            <w:r w:rsidR="00A53707" w:rsidRPr="00AB0FD4">
              <w:t>na</w:t>
            </w:r>
            <w:r w:rsidR="00565D49" w:rsidRPr="00A23740">
              <w:rPr>
                <w:szCs w:val="24"/>
              </w:rPr>
              <w:t xml:space="preserve"> ve</w:t>
            </w:r>
            <w:r w:rsidR="00A53707" w:rsidRPr="00A23740">
              <w:rPr>
                <w:szCs w:val="24"/>
              </w:rPr>
              <w:t xml:space="preserve"> </w:t>
            </w:r>
            <w:r w:rsidR="00565D49" w:rsidRPr="00A23740">
              <w:rPr>
                <w:szCs w:val="24"/>
              </w:rPr>
              <w:t>il</w:t>
            </w:r>
            <w:r w:rsidR="00930910" w:rsidRPr="00A23740">
              <w:rPr>
                <w:szCs w:val="24"/>
              </w:rPr>
              <w:t>a</w:t>
            </w:r>
            <w:r w:rsidR="00565D49" w:rsidRPr="00A23740">
              <w:rPr>
                <w:szCs w:val="24"/>
              </w:rPr>
              <w:t>nına ilişkin hususlar düzenlenmektedir.</w:t>
            </w:r>
            <w:r w:rsidR="00565D49" w:rsidRPr="00A23740">
              <w:rPr>
                <w:b/>
                <w:szCs w:val="24"/>
              </w:rPr>
              <w:t xml:space="preserve"> </w:t>
            </w:r>
            <w:r w:rsidR="00561705" w:rsidRPr="00A23740">
              <w:rPr>
                <w:rFonts w:eastAsia="Times New Roman"/>
                <w:szCs w:val="24"/>
                <w:lang w:eastAsia="tr-TR"/>
              </w:rPr>
              <w:t>Tasdik kararında mahkemenin</w:t>
            </w:r>
            <w:r w:rsidR="00F60D8C" w:rsidRPr="00A23740">
              <w:rPr>
                <w:rFonts w:eastAsia="Times New Roman"/>
                <w:szCs w:val="24"/>
                <w:lang w:eastAsia="tr-TR"/>
              </w:rPr>
              <w:t>,</w:t>
            </w:r>
            <w:r w:rsidR="00561705" w:rsidRPr="00A23740">
              <w:rPr>
                <w:rFonts w:eastAsia="Times New Roman"/>
                <w:szCs w:val="24"/>
                <w:lang w:eastAsia="tr-TR"/>
              </w:rPr>
              <w:t xml:space="preserve"> alacaklıların hangi ölçüde alacaklarından</w:t>
            </w:r>
            <w:r w:rsidR="00561705" w:rsidRPr="00A23740">
              <w:rPr>
                <w:rFonts w:eastAsia="Times New Roman"/>
                <w:position w:val="2"/>
                <w:szCs w:val="24"/>
                <w:lang w:eastAsia="tr-TR"/>
              </w:rPr>
              <w:t xml:space="preserve"> </w:t>
            </w:r>
            <w:r w:rsidR="00F60D8C" w:rsidRPr="00A23740">
              <w:rPr>
                <w:rFonts w:eastAsia="Times New Roman"/>
                <w:szCs w:val="24"/>
                <w:lang w:eastAsia="tr-TR"/>
              </w:rPr>
              <w:t xml:space="preserve">vazgeçtiklerini </w:t>
            </w:r>
            <w:r w:rsidR="00561705" w:rsidRPr="00A23740">
              <w:rPr>
                <w:rFonts w:eastAsia="Times New Roman"/>
                <w:szCs w:val="24"/>
                <w:lang w:eastAsia="tr-TR"/>
              </w:rPr>
              <w:t>i ve ödemelerin hangi vadede gerçekleşeceğini göstermesi gerekmektedir. Konkordato projesinin “alacaklılara ödeme” bölümünün mahkeme kararına aynen alınması bu gereği yerine getirmek için yeterlidir. Mahkeme tarafından konkordato projesi revize edilmişse</w:t>
            </w:r>
            <w:r w:rsidR="00F60D8C" w:rsidRPr="00A23740">
              <w:rPr>
                <w:rFonts w:eastAsia="Times New Roman"/>
                <w:szCs w:val="24"/>
                <w:lang w:eastAsia="tr-TR"/>
              </w:rPr>
              <w:t>,</w:t>
            </w:r>
            <w:r w:rsidR="00561705" w:rsidRPr="00A23740">
              <w:rPr>
                <w:rFonts w:eastAsia="Times New Roman"/>
                <w:szCs w:val="24"/>
                <w:lang w:eastAsia="tr-TR"/>
              </w:rPr>
              <w:t xml:space="preserve">  projenin revize edilmiş h</w:t>
            </w:r>
            <w:r w:rsidR="00A53707" w:rsidRPr="00A23740">
              <w:rPr>
                <w:rFonts w:eastAsia="Times New Roman"/>
                <w:szCs w:val="24"/>
                <w:lang w:eastAsia="tr-TR"/>
              </w:rPr>
              <w:t>â</w:t>
            </w:r>
            <w:r w:rsidR="00561705" w:rsidRPr="00A23740">
              <w:rPr>
                <w:rFonts w:eastAsia="Times New Roman"/>
                <w:szCs w:val="24"/>
                <w:lang w:eastAsia="tr-TR"/>
              </w:rPr>
              <w:t xml:space="preserve">li karara dercedilecektir. </w:t>
            </w:r>
          </w:p>
          <w:p w:rsidR="00561705" w:rsidRPr="00A23740" w:rsidRDefault="00561705" w:rsidP="009431FF">
            <w:pPr>
              <w:ind w:firstLine="709"/>
              <w:rPr>
                <w:szCs w:val="24"/>
              </w:rPr>
            </w:pPr>
            <w:r w:rsidRPr="00A23740">
              <w:rPr>
                <w:szCs w:val="24"/>
              </w:rPr>
              <w:t xml:space="preserve">İkinci fıkraya göre, kararda, tasdik edilen konkordatonun yerine getirilmesini sağlamak </w:t>
            </w:r>
            <w:r w:rsidR="001F2D38" w:rsidRPr="00A23740">
              <w:rPr>
                <w:bCs/>
                <w:szCs w:val="24"/>
                <w:lang w:val="x-none" w:eastAsia="x-none"/>
              </w:rPr>
              <w:t>üzere</w:t>
            </w:r>
            <w:r w:rsidRPr="00A23740">
              <w:rPr>
                <w:bCs/>
                <w:szCs w:val="24"/>
                <w:lang w:val="x-none" w:eastAsia="x-none"/>
              </w:rPr>
              <w:t xml:space="preserve"> ve kapsamı mahkemece tayin edilmek kaydıyla,</w:t>
            </w:r>
            <w:r w:rsidRPr="00A23740">
              <w:rPr>
                <w:szCs w:val="24"/>
              </w:rPr>
              <w:t xml:space="preserve"> gerekli gözetim, yönetim ve tasfiye tedbirlerini almakla görevli bir </w:t>
            </w:r>
            <w:r w:rsidRPr="00A23740">
              <w:rPr>
                <w:bCs/>
                <w:szCs w:val="24"/>
                <w:lang w:val="x-none" w:eastAsia="x-none"/>
              </w:rPr>
              <w:t>proje denetçisi</w:t>
            </w:r>
            <w:r w:rsidRPr="00A23740">
              <w:rPr>
                <w:szCs w:val="24"/>
              </w:rPr>
              <w:t xml:space="preserve"> tayin edilebilecektir. Bu takdirde </w:t>
            </w:r>
            <w:r w:rsidRPr="00A23740">
              <w:rPr>
                <w:bCs/>
                <w:szCs w:val="24"/>
                <w:lang w:val="x-none" w:eastAsia="x-none"/>
              </w:rPr>
              <w:t>proje denetçisi</w:t>
            </w:r>
            <w:r w:rsidRPr="00A23740">
              <w:rPr>
                <w:szCs w:val="24"/>
              </w:rPr>
              <w:t>, borçlunun işletmesinin durumu ve proje uyarınca borçlarını ödeme kabiliyetini muhafaza edip etmediği konusunda iki ayda bir</w:t>
            </w:r>
            <w:r w:rsidR="00A53707" w:rsidRPr="00A23740">
              <w:rPr>
                <w:rStyle w:val="YELChar"/>
              </w:rPr>
              <w:t>,</w:t>
            </w:r>
            <w:r w:rsidRPr="00A23740">
              <w:rPr>
                <w:szCs w:val="24"/>
              </w:rPr>
              <w:t xml:space="preserve"> tasdik kararını veren mahkemeye rapor verecek ve alacaklıla</w:t>
            </w:r>
            <w:r w:rsidR="00565D49" w:rsidRPr="00A23740">
              <w:rPr>
                <w:szCs w:val="24"/>
              </w:rPr>
              <w:t>r bu raporu inceleyebilecektir.</w:t>
            </w:r>
          </w:p>
          <w:p w:rsidR="00561705" w:rsidRPr="00A23740" w:rsidRDefault="00561705" w:rsidP="009431FF">
            <w:pPr>
              <w:ind w:firstLine="709"/>
              <w:rPr>
                <w:szCs w:val="24"/>
              </w:rPr>
            </w:pPr>
            <w:r w:rsidRPr="00A23740">
              <w:t xml:space="preserve">Görüldüğü gibi hükümle yeni bir kavram ihdas </w:t>
            </w:r>
            <w:r w:rsidR="00565D49" w:rsidRPr="00A23740">
              <w:t>edilmektedir. Proje denetçisi, İ</w:t>
            </w:r>
            <w:r w:rsidRPr="00A23740">
              <w:t>sviçre öğretisindeki deyimle “atipik bir cebr</w:t>
            </w:r>
            <w:r w:rsidR="00436506" w:rsidRPr="00A23740">
              <w:t>î</w:t>
            </w:r>
            <w:r w:rsidRPr="00A23740">
              <w:t xml:space="preserve"> icra</w:t>
            </w:r>
            <w:r w:rsidR="00A53707" w:rsidRPr="00A23740">
              <w:t xml:space="preserve"> organı”</w:t>
            </w:r>
            <w:r w:rsidR="00565D49" w:rsidRPr="00A23740">
              <w:t>dır. 2004 sayılı Kanun</w:t>
            </w:r>
            <w:r w:rsidRPr="00A23740">
              <w:t xml:space="preserve">da bu görevi yerine getirmek üzere kayyım atanması hükmü yer almaktaydı. Maddede “kayyım” terimi yerine “proje denetçisi” terimi kullanılmak suretiyle özellikle </w:t>
            </w:r>
            <w:r w:rsidR="0000314C" w:rsidRPr="00AB0FD4">
              <w:t>4721 sayılı Kanun</w:t>
            </w:r>
            <w:r w:rsidR="0000314C" w:rsidRPr="00A23740">
              <w:t xml:space="preserve"> </w:t>
            </w:r>
            <w:r w:rsidRPr="00A23740">
              <w:t>anlamındaki kayyım kavramından farklı bir organın söz konusu olduğunun tasrih edilmesi amaçlanmıştır. Metinde “gözetim, yönetim ve tasfiye” gibi çok genel ve geniş terimler kullanılmış olduğu için, bu yetkilerin çer</w:t>
            </w:r>
            <w:r w:rsidR="00A53707" w:rsidRPr="00A23740">
              <w:t>çeve</w:t>
            </w:r>
            <w:r w:rsidRPr="00A23740">
              <w:t>sinin belirlenmesi mahkemeye bırakılmıştır. Proje denetçisine mahkemece dar veya geniş kapsamlı olarak yönetim görevi verildiği takdirde, ticaret siciline bu hususun kaydedilmesi gündeme gelecektir.</w:t>
            </w:r>
            <w:r w:rsidR="00A87670" w:rsidRPr="00A23740">
              <w:t xml:space="preserve"> </w:t>
            </w:r>
            <w:r w:rsidR="00A87670" w:rsidRPr="00AB0FD4">
              <w:t>Aynı hükümle bir yenilik olarak tasdik kararıyla birlikte atanan proje denetçisinin görevinin sona ermesi üzerine bu durumun da usulünce il</w:t>
            </w:r>
            <w:r w:rsidR="00F25FDB" w:rsidRPr="00AB0FD4">
              <w:t>a</w:t>
            </w:r>
            <w:r w:rsidR="00A87670" w:rsidRPr="00AB0FD4">
              <w:t>n edilmesi ve ilgili yerlere bildirilmesi düzenlenmiştir. Proje denetçileri tarafından projenin işleyişi hakkında düzenli aralıklarla verilen raporların sonuncusunun, olağan şartlar altında projenin yerine getirildiği ve böylece borçların ödendiği hakkında olması beklenir. Bu hâlde artık proje deneticisinin de görevi sona ermelidir. Proje denetçisinin göreve başladığının duyurulması hakkında takip edilen usulün, borçların ödenip projenin tamamlanması üzerine proje denetçisinin görevinin sona erdiğinin duyurulması sırasında geçerli olması, uygun bulmuştur.</w:t>
            </w:r>
          </w:p>
          <w:p w:rsidR="00561705" w:rsidRPr="00A23740" w:rsidRDefault="00561705" w:rsidP="009431FF">
            <w:pPr>
              <w:tabs>
                <w:tab w:val="left" w:pos="567"/>
              </w:tabs>
              <w:ind w:firstLine="709"/>
              <w:rPr>
                <w:szCs w:val="24"/>
                <w:lang w:eastAsia="x-none"/>
              </w:rPr>
            </w:pPr>
            <w:r w:rsidRPr="00A23740">
              <w:rPr>
                <w:szCs w:val="24"/>
                <w:lang w:val="x-none" w:eastAsia="tr-TR"/>
              </w:rPr>
              <w:t>Proje denetçisinin seçilmesi, denetimi, nitelikleri ve yükümlülükleri ile denetçiye uygulanacak yaptırımlar hakkında konkordato komiser</w:t>
            </w:r>
            <w:r w:rsidR="006F22CD" w:rsidRPr="00A23740">
              <w:rPr>
                <w:szCs w:val="24"/>
                <w:lang w:eastAsia="tr-TR"/>
              </w:rPr>
              <w:t>ine</w:t>
            </w:r>
            <w:r w:rsidRPr="00A23740">
              <w:rPr>
                <w:szCs w:val="24"/>
                <w:lang w:val="x-none" w:eastAsia="tr-TR"/>
              </w:rPr>
              <w:t xml:space="preserve"> ilişkin hükümler</w:t>
            </w:r>
            <w:r w:rsidR="006F22CD" w:rsidRPr="00A23740">
              <w:rPr>
                <w:szCs w:val="24"/>
                <w:lang w:eastAsia="tr-TR"/>
              </w:rPr>
              <w:t>in</w:t>
            </w:r>
            <w:r w:rsidRPr="00A23740">
              <w:rPr>
                <w:szCs w:val="24"/>
                <w:lang w:val="x-none" w:eastAsia="tr-TR"/>
              </w:rPr>
              <w:t xml:space="preserve"> kıyasen uygulan</w:t>
            </w:r>
            <w:r w:rsidRPr="00A23740">
              <w:rPr>
                <w:szCs w:val="24"/>
                <w:lang w:eastAsia="tr-TR"/>
              </w:rPr>
              <w:t xml:space="preserve">acağı öngörülmüştür. Bu bağlamda bir kişinin </w:t>
            </w:r>
            <w:r w:rsidRPr="00A23740">
              <w:rPr>
                <w:szCs w:val="24"/>
                <w:lang w:val="x-none" w:eastAsia="x-none"/>
              </w:rPr>
              <w:t xml:space="preserve">proje denetçisi olarak </w:t>
            </w:r>
            <w:r w:rsidR="001F2D38" w:rsidRPr="00A23740">
              <w:rPr>
                <w:szCs w:val="24"/>
                <w:lang w:eastAsia="x-none"/>
              </w:rPr>
              <w:t>en fazla</w:t>
            </w:r>
            <w:r w:rsidRPr="00A23740">
              <w:rPr>
                <w:szCs w:val="24"/>
                <w:lang w:val="x-none" w:eastAsia="x-none"/>
              </w:rPr>
              <w:t xml:space="preserve"> beş görev mi, yoksa komiser</w:t>
            </w:r>
            <w:r w:rsidRPr="00A23740">
              <w:rPr>
                <w:szCs w:val="24"/>
                <w:lang w:eastAsia="x-none"/>
              </w:rPr>
              <w:t>lik</w:t>
            </w:r>
            <w:r w:rsidRPr="00A23740">
              <w:rPr>
                <w:szCs w:val="24"/>
                <w:lang w:val="x-none" w:eastAsia="x-none"/>
              </w:rPr>
              <w:t xml:space="preserve"> ve proje denetçi</w:t>
            </w:r>
            <w:r w:rsidR="001F2D38" w:rsidRPr="00A23740">
              <w:rPr>
                <w:szCs w:val="24"/>
                <w:lang w:eastAsia="x-none"/>
              </w:rPr>
              <w:t>liği olarak toplam</w:t>
            </w:r>
            <w:r w:rsidRPr="00A23740">
              <w:rPr>
                <w:szCs w:val="24"/>
                <w:lang w:eastAsia="x-none"/>
              </w:rPr>
              <w:t xml:space="preserve"> </w:t>
            </w:r>
            <w:r w:rsidRPr="00A23740">
              <w:rPr>
                <w:szCs w:val="24"/>
                <w:lang w:val="x-none" w:eastAsia="x-none"/>
              </w:rPr>
              <w:t xml:space="preserve">en fazla beş görev mi </w:t>
            </w:r>
            <w:r w:rsidRPr="00A23740">
              <w:rPr>
                <w:szCs w:val="24"/>
                <w:lang w:eastAsia="x-none"/>
              </w:rPr>
              <w:t xml:space="preserve">alabileceği hususu </w:t>
            </w:r>
            <w:r w:rsidR="001F2D38" w:rsidRPr="00A23740">
              <w:rPr>
                <w:szCs w:val="24"/>
                <w:lang w:eastAsia="x-none"/>
              </w:rPr>
              <w:t xml:space="preserve">Bilim </w:t>
            </w:r>
            <w:r w:rsidRPr="00A23740">
              <w:rPr>
                <w:szCs w:val="24"/>
                <w:lang w:eastAsia="x-none"/>
              </w:rPr>
              <w:t>Komisyon</w:t>
            </w:r>
            <w:r w:rsidR="001F2D38" w:rsidRPr="00A23740">
              <w:rPr>
                <w:szCs w:val="24"/>
                <w:lang w:eastAsia="x-none"/>
              </w:rPr>
              <w:t>unda tartışılmış, neticede</w:t>
            </w:r>
            <w:r w:rsidRPr="00A23740">
              <w:rPr>
                <w:szCs w:val="24"/>
                <w:lang w:val="x-none" w:eastAsia="x-none"/>
              </w:rPr>
              <w:t xml:space="preserve"> b</w:t>
            </w:r>
            <w:r w:rsidRPr="00A23740">
              <w:rPr>
                <w:szCs w:val="24"/>
                <w:lang w:val="x-none" w:eastAsia="tr-TR"/>
              </w:rPr>
              <w:t>ir kişi</w:t>
            </w:r>
            <w:r w:rsidRPr="00A23740">
              <w:rPr>
                <w:szCs w:val="24"/>
                <w:lang w:eastAsia="tr-TR"/>
              </w:rPr>
              <w:t>nin</w:t>
            </w:r>
            <w:r w:rsidRPr="00A23740">
              <w:rPr>
                <w:szCs w:val="24"/>
                <w:lang w:val="x-none" w:eastAsia="tr-TR"/>
              </w:rPr>
              <w:t xml:space="preserve"> eş zamanlı olarak beşten fazla dosyada proje denetçisi ve</w:t>
            </w:r>
            <w:r w:rsidR="006F22CD" w:rsidRPr="00A23740">
              <w:rPr>
                <w:szCs w:val="24"/>
                <w:lang w:eastAsia="tr-TR"/>
              </w:rPr>
              <w:t xml:space="preserve"> </w:t>
            </w:r>
            <w:r w:rsidR="006F22CD" w:rsidRPr="00AB0FD4">
              <w:t>geçici veya kesin</w:t>
            </w:r>
            <w:r w:rsidRPr="00A23740">
              <w:rPr>
                <w:szCs w:val="24"/>
                <w:lang w:val="x-none" w:eastAsia="tr-TR"/>
              </w:rPr>
              <w:t xml:space="preserve"> konkordato komiseri olarak görev yapama</w:t>
            </w:r>
            <w:r w:rsidRPr="00A23740">
              <w:rPr>
                <w:szCs w:val="24"/>
                <w:lang w:eastAsia="tr-TR"/>
              </w:rPr>
              <w:t>yacağı kabul edilmiştir</w:t>
            </w:r>
            <w:r w:rsidRPr="00A23740">
              <w:rPr>
                <w:szCs w:val="24"/>
                <w:lang w:val="x-none" w:eastAsia="tr-TR"/>
              </w:rPr>
              <w:t xml:space="preserve">. </w:t>
            </w:r>
          </w:p>
          <w:p w:rsidR="00561705" w:rsidRPr="00A23740" w:rsidRDefault="00561705" w:rsidP="009431FF">
            <w:pPr>
              <w:ind w:firstLine="709"/>
              <w:rPr>
                <w:lang w:val="x-none" w:eastAsia="x-none"/>
              </w:rPr>
            </w:pPr>
            <w:r w:rsidRPr="00A23740">
              <w:rPr>
                <w:lang w:val="x-none" w:eastAsia="x-none"/>
              </w:rPr>
              <w:t>Proje denetçisinin nitelikleri,</w:t>
            </w:r>
            <w:r w:rsidRPr="00A23740">
              <w:rPr>
                <w:b/>
                <w:bCs/>
              </w:rPr>
              <w:t xml:space="preserve"> </w:t>
            </w:r>
            <w:r w:rsidRPr="00A23740">
              <w:rPr>
                <w:lang w:val="x-none" w:eastAsia="x-none"/>
              </w:rPr>
              <w:t>yükümlülükleri, denetimi, sorumlulukları, listeden çıkarılması, uyacağı temel ilkeler,</w:t>
            </w:r>
            <w:r w:rsidRPr="00A23740">
              <w:rPr>
                <w:b/>
                <w:bCs/>
              </w:rPr>
              <w:t xml:space="preserve"> </w:t>
            </w:r>
            <w:r w:rsidRPr="00A23740">
              <w:t>eğitimi, eğitim verecek kurumlar ve eğitimden muaf tutulacaklar ile</w:t>
            </w:r>
            <w:r w:rsidRPr="00A23740">
              <w:rPr>
                <w:b/>
                <w:bCs/>
              </w:rPr>
              <w:t xml:space="preserve"> </w:t>
            </w:r>
            <w:r w:rsidRPr="00A23740">
              <w:rPr>
                <w:lang w:val="x-none" w:eastAsia="x-none"/>
              </w:rPr>
              <w:t>proje denetçiliğine ilişkin</w:t>
            </w:r>
            <w:r w:rsidRPr="00A23740">
              <w:rPr>
                <w:b/>
                <w:bCs/>
              </w:rPr>
              <w:t xml:space="preserve"> </w:t>
            </w:r>
            <w:r w:rsidRPr="00A23740">
              <w:t>diğer hususlar Adalet Bakanlığınca</w:t>
            </w:r>
            <w:r w:rsidRPr="00A23740">
              <w:rPr>
                <w:b/>
                <w:bCs/>
              </w:rPr>
              <w:t xml:space="preserve"> </w:t>
            </w:r>
            <w:r w:rsidRPr="00A23740">
              <w:rPr>
                <w:lang w:val="x-none" w:eastAsia="x-none"/>
              </w:rPr>
              <w:t>çıkarılacak</w:t>
            </w:r>
            <w:r w:rsidRPr="00A23740">
              <w:rPr>
                <w:b/>
                <w:bCs/>
              </w:rPr>
              <w:t xml:space="preserve"> </w:t>
            </w:r>
            <w:r w:rsidRPr="00A23740">
              <w:t>yönetmelik</w:t>
            </w:r>
            <w:r w:rsidRPr="00A23740">
              <w:rPr>
                <w:bCs/>
                <w:lang w:val="x-none" w:eastAsia="x-none"/>
              </w:rPr>
              <w:t>l</w:t>
            </w:r>
            <w:r w:rsidRPr="00A23740">
              <w:t>e</w:t>
            </w:r>
            <w:r w:rsidRPr="00A23740">
              <w:rPr>
                <w:b/>
                <w:bCs/>
              </w:rPr>
              <w:t xml:space="preserve"> </w:t>
            </w:r>
            <w:r w:rsidRPr="00A23740">
              <w:rPr>
                <w:lang w:val="x-none" w:eastAsia="x-none"/>
              </w:rPr>
              <w:t>düzenlenecektir.</w:t>
            </w:r>
          </w:p>
          <w:p w:rsidR="00561705" w:rsidRPr="00A23740" w:rsidRDefault="00561705" w:rsidP="009431FF">
            <w:pPr>
              <w:ind w:firstLine="709"/>
              <w:rPr>
                <w:rFonts w:eastAsia="Times New Roman"/>
                <w:szCs w:val="24"/>
                <w:lang w:eastAsia="tr-TR"/>
              </w:rPr>
            </w:pPr>
            <w:r w:rsidRPr="00A23740">
              <w:rPr>
                <w:rFonts w:eastAsia="Times New Roman"/>
                <w:szCs w:val="24"/>
                <w:lang w:eastAsia="tr-TR"/>
              </w:rPr>
              <w:t>Konkordatonun tasdiki kararı, T</w:t>
            </w:r>
            <w:r w:rsidR="00565D49" w:rsidRPr="00A23740">
              <w:rPr>
                <w:rFonts w:eastAsia="Times New Roman"/>
                <w:szCs w:val="24"/>
                <w:lang w:eastAsia="tr-TR"/>
              </w:rPr>
              <w:t>ürkiye Ticaret Sicili Gazetesi</w:t>
            </w:r>
            <w:r w:rsidRPr="00A23740">
              <w:rPr>
                <w:rFonts w:eastAsia="Times New Roman"/>
                <w:szCs w:val="24"/>
                <w:lang w:eastAsia="tr-TR"/>
              </w:rPr>
              <w:t xml:space="preserve">nde ve Basın-İlan Kurumunun resmî ilan portalında ilan olunur ve </w:t>
            </w:r>
            <w:r w:rsidR="00DF22A1" w:rsidRPr="00A23740">
              <w:rPr>
                <w:szCs w:val="24"/>
              </w:rPr>
              <w:t xml:space="preserve">derhâl </w:t>
            </w:r>
            <w:r w:rsidRPr="00A23740">
              <w:rPr>
                <w:rFonts w:eastAsia="Times New Roman"/>
                <w:szCs w:val="24"/>
                <w:lang w:eastAsia="tr-TR"/>
              </w:rPr>
              <w:t xml:space="preserve">tapu müdürlüğüne, ticaret sicili müdürlüğüne, vergi dairesine, gümrük ve posta idarelerine, Türkiye Bankalar Birliğine, Türkiye Katılım Bankaları Birliğine, mahallî ticaret odalarına, sanayi odalarına, taşınır kıymet borsalarına, Sermaye Piyasası Kuruluna ve diğer lazım gelen yerlere bildirilir. Konkordatonun tasdiki kararının ilan edilebilmesi ve ilgili yerlere duyurulabilmesi için tasdik kararının kesinleşmesine gerek bulunmamaktadır. </w:t>
            </w:r>
          </w:p>
          <w:p w:rsidR="00A87670" w:rsidRPr="00A23740" w:rsidRDefault="00A87670"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rPr>
                <w:rFonts w:eastAsia="Times New Roman"/>
                <w:i/>
                <w:szCs w:val="24"/>
                <w:vertAlign w:val="superscript"/>
                <w:lang w:eastAsia="tr-TR"/>
              </w:rPr>
            </w:pPr>
            <w:r w:rsidRPr="00A23740">
              <w:rPr>
                <w:rFonts w:eastAsia="Times New Roman"/>
                <w:i/>
                <w:szCs w:val="24"/>
                <w:lang w:eastAsia="tr-TR"/>
              </w:rPr>
              <w:t>Rehinli malların muhafaza ve satışı ile finansal kiralama konusu malların iadesinin ertelenmesi</w:t>
            </w:r>
            <w:r w:rsidRPr="00A23740">
              <w:rPr>
                <w:rStyle w:val="KIRMIZIChar"/>
                <w:rFonts w:eastAsia="Calibri"/>
              </w:rPr>
              <w:t>:</w:t>
            </w:r>
          </w:p>
          <w:p w:rsidR="00AA5C8C" w:rsidRPr="00A23740" w:rsidRDefault="00AA5C8C" w:rsidP="009431FF">
            <w:pPr>
              <w:widowControl w:val="0"/>
              <w:rPr>
                <w:rStyle w:val="KIRMIZIChar"/>
                <w:rFonts w:eastAsia="Calibri"/>
              </w:rPr>
            </w:pPr>
            <w:r w:rsidRPr="00A23740">
              <w:rPr>
                <w:rStyle w:val="KIRMIZIChar"/>
                <w:rFonts w:eastAsia="Calibri"/>
              </w:rPr>
              <w:t xml:space="preserve">Madde 307- (1) (Değişik: 28/2/2018-7101/35 md.) </w:t>
            </w:r>
          </w:p>
          <w:p w:rsidR="006358B4" w:rsidRPr="00A23740" w:rsidRDefault="006358B4" w:rsidP="009431FF">
            <w:pPr>
              <w:widowControl w:val="0"/>
              <w:rPr>
                <w:rStyle w:val="KIRMIZIChar"/>
                <w:rFonts w:eastAsia="Calibri"/>
              </w:rPr>
            </w:pPr>
          </w:p>
          <w:p w:rsidR="006358B4" w:rsidRPr="00A23740" w:rsidRDefault="006358B4" w:rsidP="009431FF">
            <w:pPr>
              <w:widowControl w:val="0"/>
              <w:rPr>
                <w:rStyle w:val="KIRMIZIChar"/>
                <w:rFonts w:eastAsia="Calibri"/>
              </w:rPr>
            </w:pPr>
          </w:p>
          <w:p w:rsidR="00AA5C8C" w:rsidRPr="00A23740" w:rsidRDefault="00AA5C8C" w:rsidP="009431FF">
            <w:pPr>
              <w:widowControl w:val="0"/>
              <w:rPr>
                <w:rFonts w:eastAsia="Times New Roman"/>
                <w:szCs w:val="24"/>
                <w:lang w:eastAsia="tr-TR"/>
              </w:rPr>
            </w:pPr>
            <w:r w:rsidRPr="00A23740">
              <w:rPr>
                <w:rStyle w:val="KIRMIZIChar"/>
                <w:rFonts w:eastAsia="Calibri"/>
              </w:rPr>
              <w:t>Borçlunun talebi üzerine, tasdik kararında</w:t>
            </w:r>
            <w:r w:rsidRPr="00A23740">
              <w:rPr>
                <w:rFonts w:eastAsia="Times New Roman"/>
                <w:szCs w:val="24"/>
                <w:lang w:eastAsia="tr-TR"/>
              </w:rPr>
              <w:t xml:space="preserve"> rehinli malın muhafaza altına alınması ve satışı, karardan itibaren bir yılı geçmemek üzere aşağıdaki şartlarla ertelenebilir</w:t>
            </w:r>
            <w:r w:rsidRPr="00A23740">
              <w:rPr>
                <w:rStyle w:val="KIRMIZIChar"/>
                <w:rFonts w:eastAsia="Calibri"/>
              </w:rPr>
              <w:t>.</w:t>
            </w:r>
          </w:p>
          <w:p w:rsidR="00B612C0" w:rsidRPr="00A23740" w:rsidRDefault="00B612C0"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a) Rehinle temin edilen alacak konkordato talebinden önce doğmuş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b) Rehinle temin edilen alacağın konkordato talep tarihine kadar ödenmemiş faizi bulunmamalıdır.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c) Borçlu rehinli malın, işletmenin faaliyeti için zorunlu olduğunu ve paraya çevrilmesi durumunda ekonomik varlığının tehlikeye düşeceğini yaklaşık olarak ispat etmiş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Rehinli malın muhafazası ve paraya çevrilmesinin ertelenmesi hâlinde satış isteme süresi işlemez.</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w:t>
            </w:r>
            <w:r w:rsidRPr="00A23740">
              <w:rPr>
                <w:rStyle w:val="KIRMIZIChar"/>
                <w:rFonts w:eastAsia="Calibri"/>
              </w:rPr>
              <w:t>Borçlunun talebi üzerine, tasdik kararında</w:t>
            </w:r>
            <w:r w:rsidRPr="00A23740">
              <w:rPr>
                <w:rFonts w:eastAsia="Times New Roman"/>
                <w:szCs w:val="24"/>
                <w:lang w:eastAsia="tr-TR"/>
              </w:rPr>
              <w:t xml:space="preserve"> finansal kiralama konusu malların iadesi, karardan itibaren bir yılı geçmemek üzere aşağıdaki şartlarla ertelenebilir</w:t>
            </w:r>
            <w:r w:rsidRPr="00A23740">
              <w:rPr>
                <w:rStyle w:val="KIRMIZIChar"/>
                <w:rFonts w:eastAsia="Calibri"/>
              </w:rPr>
              <w:t>.</w:t>
            </w:r>
          </w:p>
          <w:p w:rsidR="00AA5C8C" w:rsidRDefault="00AA5C8C" w:rsidP="009431FF">
            <w:pPr>
              <w:widowControl w:val="0"/>
              <w:rPr>
                <w:rFonts w:eastAsia="Times New Roman"/>
                <w:szCs w:val="24"/>
                <w:lang w:eastAsia="tr-TR"/>
              </w:rPr>
            </w:pPr>
          </w:p>
          <w:p w:rsidR="007A2519" w:rsidRDefault="007A2519" w:rsidP="009431FF">
            <w:pPr>
              <w:widowControl w:val="0"/>
              <w:rPr>
                <w:rFonts w:eastAsia="Times New Roman"/>
                <w:szCs w:val="24"/>
                <w:lang w:eastAsia="tr-TR"/>
              </w:rPr>
            </w:pPr>
          </w:p>
          <w:p w:rsidR="007A2519" w:rsidRPr="00A23740" w:rsidRDefault="007A2519"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 xml:space="preserve">a) Borçlu finansal kiralama sözleşmesinin aynen ifasını </w:t>
            </w:r>
            <w:r w:rsidRPr="00A23740">
              <w:rPr>
                <w:rStyle w:val="KIRMIZIChar"/>
                <w:rFonts w:eastAsia="Calibri"/>
              </w:rPr>
              <w:t>294 üncü</w:t>
            </w:r>
            <w:r w:rsidRPr="00A23740">
              <w:rPr>
                <w:rFonts w:eastAsia="Times New Roman"/>
                <w:szCs w:val="24"/>
                <w:lang w:eastAsia="tr-TR"/>
              </w:rPr>
              <w:t xml:space="preserve"> </w:t>
            </w:r>
            <w:r w:rsidRPr="00A23740">
              <w:rPr>
                <w:rStyle w:val="KIRMIZIChar"/>
                <w:rFonts w:eastAsia="Calibri"/>
              </w:rPr>
              <w:t>maddenin yedinci fıkrası</w:t>
            </w:r>
            <w:r w:rsidRPr="00A23740">
              <w:rPr>
                <w:rFonts w:eastAsia="Times New Roman"/>
                <w:szCs w:val="24"/>
                <w:lang w:eastAsia="tr-TR"/>
              </w:rPr>
              <w:t xml:space="preserve"> uyarınca üstlenmiş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b) Finansal kiralamadan doğan kira alacağı konkordato talebinden önce doğmuş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c) Ödenmemiş kira borcu, üç aylık tutarı aşmamalıdır.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AralkYokChar"/>
                <w:lang w:val="tr-TR"/>
              </w:rPr>
              <w:t>d)</w:t>
            </w:r>
            <w:r w:rsidRPr="00A23740">
              <w:rPr>
                <w:rFonts w:eastAsia="Times New Roman"/>
                <w:szCs w:val="24"/>
                <w:lang w:eastAsia="tr-TR"/>
              </w:rPr>
              <w:t xml:space="preserve"> Bu erteleme nedeniyle finansal kiralama konusu malın değer kaybından kaynaklanabilecek zarar, teminat altına alınmış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AralkYokChar"/>
                <w:lang w:val="tr-TR"/>
              </w:rPr>
              <w:t>e)</w:t>
            </w:r>
            <w:r w:rsidRPr="00A23740">
              <w:rPr>
                <w:rFonts w:eastAsia="Times New Roman"/>
                <w:szCs w:val="24"/>
                <w:lang w:eastAsia="tr-TR"/>
              </w:rPr>
              <w:t xml:space="preserve"> Borçlu finansal kiralama konusu malın işletmenin faaliyeti için zorunlu olduğunu ve iade edilmesi durumunda ekonomik varlığının tehlikeye düşeceğini yaklaşık olarak ispat etmiş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Birinci ve üçüncü fıkrada belirtilen alacaklılar yazılı görüşlerini konkordatonun tasdikine ilişkin duruşmadan önce sunmaya davet edilirler; bu alacaklılar ayrıca tasdik duruşmasına çağ</w:t>
            </w:r>
            <w:r w:rsidRPr="00A23740">
              <w:rPr>
                <w:rStyle w:val="KIRMIZIChar"/>
                <w:rFonts w:eastAsia="Calibri"/>
              </w:rPr>
              <w:t>ı</w:t>
            </w:r>
            <w:r w:rsidRPr="00A23740">
              <w:rPr>
                <w:rFonts w:eastAsia="Times New Roman"/>
                <w:szCs w:val="24"/>
                <w:lang w:eastAsia="tr-TR"/>
              </w:rPr>
              <w:t>rılırlar.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(5)</w:t>
            </w:r>
            <w:r w:rsidRPr="00A23740">
              <w:rPr>
                <w:rFonts w:eastAsia="Times New Roman"/>
                <w:szCs w:val="24"/>
                <w:lang w:eastAsia="tr-TR"/>
              </w:rPr>
              <w:t xml:space="preserve"> Borçlu, rehinli veya finansal kiralama konusu malı rızasıyla devreder, iflâs eder veya ölürse, erteleme kendiliğinden hükümsüz hâle gelir.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KIRMIZIChar"/>
                <w:rFonts w:eastAsia="Calibri"/>
              </w:rPr>
              <w:t>(6)</w:t>
            </w:r>
            <w:r w:rsidRPr="00A23740">
              <w:rPr>
                <w:rFonts w:eastAsia="Times New Roman"/>
                <w:szCs w:val="24"/>
                <w:lang w:eastAsia="tr-TR"/>
              </w:rPr>
              <w:t xml:space="preserve"> Konkordatoyu tasdik eden mahkeme, ilgili alacaklının talebi üzerine ve borçluyu da davet ederek aşağıdaki hâllerden birinin varlığının yaklaşık olarak ispat edilmesi kaydıyla erteleme kararını kaldırır</w:t>
            </w:r>
            <w:r w:rsidRPr="00A23740">
              <w:rPr>
                <w:rStyle w:val="KIRMIZIChar"/>
                <w:rFonts w:eastAsia="Calibri"/>
              </w:rPr>
              <w:t>.</w:t>
            </w: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a) Borçlu ertelemeyi yanlış bilgiler vermek suretiyle elde etmişse.</w:t>
            </w: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b) Borçlunun serveti ve gelirleri artmış ve borçlu, ekonomik varlığını tehlikeye sokmadan borcu ödeyebilecek hâle gelmişse.</w:t>
            </w: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 xml:space="preserve">c) Rehinli malın paraya çevrilmesi veya finansal kiralama konusu malın iadesi, borçlunun ekonomik varlığını artık tehlikeye sokmayacaksa. </w:t>
            </w:r>
          </w:p>
          <w:p w:rsidR="00AA5C8C" w:rsidRPr="00A23740" w:rsidRDefault="00AA5C8C" w:rsidP="009431FF">
            <w:pPr>
              <w:widowControl w:val="0"/>
              <w:rPr>
                <w:rFonts w:eastAsia="Times New Roman"/>
                <w:iCs/>
                <w:szCs w:val="24"/>
                <w:lang w:eastAsia="tr-TR"/>
              </w:rPr>
            </w:pPr>
          </w:p>
        </w:tc>
        <w:tc>
          <w:tcPr>
            <w:tcW w:w="2500" w:type="pct"/>
          </w:tcPr>
          <w:p w:rsidR="00AA5C8C" w:rsidRPr="00A23740" w:rsidRDefault="00AA5C8C" w:rsidP="009431FF">
            <w:pPr>
              <w:widowControl w:val="0"/>
              <w:rPr>
                <w:rFonts w:eastAsia="Times New Roman"/>
                <w:b/>
                <w:szCs w:val="24"/>
                <w:vertAlign w:val="superscript"/>
                <w:lang w:eastAsia="tr-TR"/>
              </w:rPr>
            </w:pPr>
            <w:r w:rsidRPr="00A23740">
              <w:rPr>
                <w:rFonts w:eastAsia="Times New Roman"/>
                <w:b/>
                <w:szCs w:val="24"/>
                <w:lang w:eastAsia="tr-TR"/>
              </w:rPr>
              <w:t>Rehinli malların muhafaza ve satışı ile finansal kiralama konusu malların iadesinin ertelenmesi</w:t>
            </w:r>
          </w:p>
          <w:p w:rsidR="006358B4" w:rsidRPr="007A2519" w:rsidRDefault="00164036" w:rsidP="009431FF">
            <w:pPr>
              <w:widowControl w:val="0"/>
              <w:rPr>
                <w:b/>
                <w:bCs/>
                <w:strike/>
                <w:color w:val="FF0000"/>
                <w:szCs w:val="24"/>
              </w:rPr>
            </w:pPr>
            <w:r w:rsidRPr="00A23740">
              <w:rPr>
                <w:rStyle w:val="MaviChar"/>
                <w:lang w:val="tr-TR"/>
              </w:rPr>
              <w:t>MADDE 401</w:t>
            </w:r>
            <w:r w:rsidR="00AA5C8C" w:rsidRPr="00A23740">
              <w:rPr>
                <w:rStyle w:val="MaviChar"/>
                <w:lang w:val="tr-TR"/>
              </w:rPr>
              <w:t xml:space="preserve">- </w:t>
            </w:r>
            <w:r w:rsidR="006358B4" w:rsidRPr="00A23740">
              <w:rPr>
                <w:rStyle w:val="MaviChar"/>
                <w:lang w:val="tr-TR" w:eastAsia="tr-TR"/>
              </w:rPr>
              <w:t>(1)</w:t>
            </w:r>
            <w:r w:rsidR="006358B4" w:rsidRPr="00A23740">
              <w:rPr>
                <w:rFonts w:eastAsia="Times New Roman"/>
                <w:b/>
                <w:lang w:eastAsia="tr-TR"/>
              </w:rPr>
              <w:t xml:space="preserve"> </w:t>
            </w:r>
            <w:r w:rsidR="006358B4" w:rsidRPr="00A23740">
              <w:rPr>
                <w:rFonts w:eastAsia="Times New Roman"/>
                <w:szCs w:val="24"/>
                <w:lang w:eastAsia="tr-TR"/>
              </w:rPr>
              <w:t xml:space="preserve">Rehinli malın muhafaza altına alınması ve satışı, </w:t>
            </w:r>
            <w:r w:rsidR="006358B4" w:rsidRPr="00A23740">
              <w:rPr>
                <w:rStyle w:val="MaviChar"/>
                <w:lang w:eastAsia="tr-TR"/>
              </w:rPr>
              <w:t xml:space="preserve">alacaklılar toplantısına sunulmuş olan projede </w:t>
            </w:r>
            <w:r w:rsidR="006358B4" w:rsidRPr="00AB0FD4">
              <w:rPr>
                <w:rStyle w:val="MaviChar"/>
              </w:rPr>
              <w:t>borçlu tarafından</w:t>
            </w:r>
            <w:r w:rsidR="006358B4" w:rsidRPr="00A23740">
              <w:rPr>
                <w:rStyle w:val="MaviChar"/>
                <w:lang w:val="tr-TR" w:eastAsia="tr-TR"/>
              </w:rPr>
              <w:t xml:space="preserve"> </w:t>
            </w:r>
            <w:r w:rsidR="006358B4" w:rsidRPr="00A23740">
              <w:rPr>
                <w:rStyle w:val="MaviChar"/>
                <w:lang w:eastAsia="tr-TR"/>
              </w:rPr>
              <w:t xml:space="preserve">mahkemeden bu yönde talepte bulunulacağı hakkında bilgi verilmek </w:t>
            </w:r>
            <w:r w:rsidR="006358B4" w:rsidRPr="00AB0FD4">
              <w:rPr>
                <w:rStyle w:val="MaviChar"/>
              </w:rPr>
              <w:t>ve</w:t>
            </w:r>
            <w:r w:rsidR="006358B4" w:rsidRPr="00A23740">
              <w:rPr>
                <w:rFonts w:eastAsia="Times New Roman"/>
                <w:szCs w:val="24"/>
                <w:lang w:eastAsia="tr-TR"/>
              </w:rPr>
              <w:t xml:space="preserve"> </w:t>
            </w:r>
            <w:r w:rsidR="006358B4" w:rsidRPr="00A23740">
              <w:rPr>
                <w:rStyle w:val="MaviChar"/>
                <w:lang w:eastAsia="tr-TR"/>
              </w:rPr>
              <w:t>mahkemenin tasdik kararı</w:t>
            </w:r>
            <w:r w:rsidR="006358B4" w:rsidRPr="00A23740">
              <w:rPr>
                <w:rStyle w:val="MaviChar"/>
                <w:lang w:val="tr-TR" w:eastAsia="tr-TR"/>
              </w:rPr>
              <w:t xml:space="preserve">nda </w:t>
            </w:r>
            <w:r w:rsidR="006358B4" w:rsidRPr="00AB0FD4">
              <w:rPr>
                <w:rStyle w:val="MaviChar"/>
              </w:rPr>
              <w:t>gösterilmek kaydıyla</w:t>
            </w:r>
            <w:r w:rsidR="006358B4" w:rsidRPr="00A23740">
              <w:rPr>
                <w:rStyle w:val="MaviChar"/>
                <w:lang w:eastAsia="tr-TR"/>
              </w:rPr>
              <w:t xml:space="preserve"> </w:t>
            </w:r>
            <w:r w:rsidR="006358B4" w:rsidRPr="00A23740">
              <w:rPr>
                <w:rFonts w:eastAsia="Times New Roman"/>
                <w:szCs w:val="24"/>
                <w:lang w:eastAsia="tr-TR"/>
              </w:rPr>
              <w:t>karardan itibaren bir yılı geçmemek üzere aşağıdaki şartlarla ertelenebilir</w:t>
            </w:r>
            <w:r w:rsidR="006358B4" w:rsidRPr="00A23740">
              <w:rPr>
                <w:rStyle w:val="MaviChar"/>
              </w:rPr>
              <w:t>:</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a) Rehinle temin edilen alacak konkordato talebinden önce doğmuş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b) Rehinle temin edilen alacağın konkordato talep tarihine kadar ödenmemiş faizi bulunmamalıdır.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c) Borçlu rehinli malın, işletmenin faaliyeti için zorunlu olduğunu ve paraya çevrilmesi durumunda ekonomik varlığının tehlikeye düşeceğini yaklaşık olarak ispat etmiş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lang w:val="tr-TR"/>
              </w:rPr>
              <w:t>(2)</w:t>
            </w:r>
            <w:r w:rsidRPr="00A23740">
              <w:rPr>
                <w:szCs w:val="24"/>
              </w:rPr>
              <w:t xml:space="preserve"> </w:t>
            </w:r>
            <w:r w:rsidRPr="00A23740">
              <w:rPr>
                <w:rFonts w:eastAsia="Times New Roman"/>
                <w:szCs w:val="24"/>
                <w:lang w:eastAsia="tr-TR"/>
              </w:rPr>
              <w:t>Rehinli malın muhafazası ve paraya çevrilmesinin ertelenmesi hâlinde satış isteme süresi işlemez.</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rPr>
              <w:t>(3)</w:t>
            </w:r>
            <w:r w:rsidRPr="00A23740">
              <w:rPr>
                <w:rFonts w:eastAsia="Times New Roman"/>
                <w:szCs w:val="24"/>
                <w:lang w:eastAsia="tr-TR"/>
              </w:rPr>
              <w:t xml:space="preserve"> Finansal kiralama konusu malların iadesi, </w:t>
            </w:r>
            <w:r w:rsidRPr="00A23740">
              <w:rPr>
                <w:rStyle w:val="MaviChar"/>
                <w:lang w:eastAsia="tr-TR"/>
              </w:rPr>
              <w:t xml:space="preserve">alacaklılar toplantısına sunulmuş olan projede </w:t>
            </w:r>
            <w:r w:rsidRPr="00AB0FD4">
              <w:rPr>
                <w:rStyle w:val="MaviChar"/>
              </w:rPr>
              <w:t>borçlu tarafından</w:t>
            </w:r>
            <w:r w:rsidRPr="00A23740">
              <w:rPr>
                <w:rStyle w:val="MaviChar"/>
                <w:lang w:val="tr-TR" w:eastAsia="tr-TR"/>
              </w:rPr>
              <w:t xml:space="preserve"> </w:t>
            </w:r>
            <w:r w:rsidRPr="00A23740">
              <w:rPr>
                <w:rStyle w:val="MaviChar"/>
                <w:lang w:eastAsia="tr-TR"/>
              </w:rPr>
              <w:t>mahkemeden bu yönde talepte bulunulacağı hakkında bilgi verilmek kaydıyla, mahkemenin tasdik kararı</w:t>
            </w:r>
            <w:r w:rsidRPr="00A23740">
              <w:rPr>
                <w:rStyle w:val="MaviChar"/>
                <w:lang w:val="tr-TR" w:eastAsia="tr-TR"/>
              </w:rPr>
              <w:t>nda</w:t>
            </w:r>
            <w:r w:rsidRPr="00A23740">
              <w:rPr>
                <w:rFonts w:eastAsia="Times New Roman"/>
                <w:szCs w:val="24"/>
                <w:lang w:eastAsia="tr-TR"/>
              </w:rPr>
              <w:t xml:space="preserve"> karardan itibaren bir yılı geçmemek üzere aşağıdaki şartlarla ertelenebilir</w:t>
            </w:r>
            <w:r w:rsidRPr="00A23740">
              <w:rPr>
                <w:rStyle w:val="MaviChar"/>
              </w:rPr>
              <w:t>:</w:t>
            </w:r>
          </w:p>
          <w:p w:rsidR="00AA5C8C"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 xml:space="preserve">a) Borçlu finansal kiralama sözleşmesinin aynen ifasını </w:t>
            </w:r>
            <w:r w:rsidRPr="00AB0FD4">
              <w:rPr>
                <w:rStyle w:val="MaviChar"/>
              </w:rPr>
              <w:t>kesin mühletin sonuçlarına ilişkin</w:t>
            </w:r>
            <w:r w:rsidR="00642106" w:rsidRPr="00AB0FD4">
              <w:rPr>
                <w:rStyle w:val="MaviChar"/>
              </w:rPr>
              <w:t xml:space="preserve"> 386 ncı</w:t>
            </w:r>
            <w:r w:rsidRPr="00A23740">
              <w:rPr>
                <w:rStyle w:val="MaviChar"/>
              </w:rPr>
              <w:t xml:space="preserve"> maddenin birinci fıkrasının (e) bendi </w:t>
            </w:r>
            <w:r w:rsidRPr="00A23740">
              <w:rPr>
                <w:rFonts w:eastAsia="Times New Roman"/>
                <w:szCs w:val="24"/>
                <w:lang w:eastAsia="tr-TR"/>
              </w:rPr>
              <w:t xml:space="preserve"> uyarınca üstlenmiş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 xml:space="preserve">b) Finansal kiralama </w:t>
            </w:r>
            <w:r w:rsidRPr="00AB0FD4">
              <w:rPr>
                <w:rStyle w:val="MaviChar"/>
              </w:rPr>
              <w:t>sözleşmesinden</w:t>
            </w:r>
            <w:r w:rsidRPr="00A23740">
              <w:rPr>
                <w:rFonts w:eastAsia="Times New Roman"/>
                <w:szCs w:val="24"/>
                <w:lang w:eastAsia="tr-TR"/>
              </w:rPr>
              <w:t xml:space="preserve"> doğan kira alacağı konkordato talebinden önce doğmuş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c) Ödenmemiş kira borcu, üç aylık tutarı aşmamalıdır.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lang w:val="tr-TR"/>
              </w:rPr>
              <w:t>ç)</w:t>
            </w:r>
            <w:r w:rsidRPr="00A23740">
              <w:rPr>
                <w:rFonts w:eastAsia="Times New Roman"/>
                <w:szCs w:val="24"/>
                <w:lang w:eastAsia="tr-TR"/>
              </w:rPr>
              <w:t xml:space="preserve"> Bu erteleme nedeniyle finansal kiralama konusu malın değer kaybından kaynaklanabilecek zarar, teminat altına alınmış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lang w:val="tr-TR"/>
              </w:rPr>
              <w:t>d)</w:t>
            </w:r>
            <w:r w:rsidRPr="00A23740">
              <w:rPr>
                <w:rFonts w:eastAsia="Times New Roman"/>
                <w:szCs w:val="24"/>
                <w:lang w:eastAsia="tr-TR"/>
              </w:rPr>
              <w:t xml:space="preserve"> Borçlu finansal kiralama konusu malın işletmenin faaliyeti için zorunlu olduğunu ve iade edilmesi durumunda ekonomik varlığının tehlikeye düşeceğini yaklaşık olarak ispat etmiş olmalıdır.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lang w:val="tr-TR"/>
              </w:rPr>
              <w:t>(4)</w:t>
            </w:r>
            <w:r w:rsidRPr="00A23740">
              <w:rPr>
                <w:szCs w:val="24"/>
              </w:rPr>
              <w:t xml:space="preserve"> </w:t>
            </w:r>
            <w:r w:rsidRPr="00A23740">
              <w:rPr>
                <w:rFonts w:eastAsia="Times New Roman"/>
                <w:szCs w:val="24"/>
                <w:lang w:eastAsia="tr-TR"/>
              </w:rPr>
              <w:t xml:space="preserve">Birinci ve üçüncü fıkrada belirtilen alacaklılar yazılı görüşlerini konkordatonun tasdikine ilişkin duruşmadan önce sunmaya davet edilirler; bu alacaklılar ayrıca </w:t>
            </w:r>
            <w:r w:rsidRPr="00A23740">
              <w:rPr>
                <w:rStyle w:val="MaviChar"/>
              </w:rPr>
              <w:t>alacaklılar toplantısına ve</w:t>
            </w:r>
            <w:r w:rsidRPr="00A23740">
              <w:rPr>
                <w:rFonts w:eastAsia="Times New Roman"/>
                <w:szCs w:val="24"/>
                <w:lang w:eastAsia="tr-TR"/>
              </w:rPr>
              <w:t xml:space="preserve"> tasdik duruşmasına çağrılırlar.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lang w:val="tr-TR"/>
              </w:rPr>
              <w:t>(5)</w:t>
            </w:r>
            <w:r w:rsidRPr="00A23740">
              <w:rPr>
                <w:szCs w:val="24"/>
              </w:rPr>
              <w:t xml:space="preserve"> </w:t>
            </w:r>
            <w:r w:rsidRPr="00A23740">
              <w:rPr>
                <w:rFonts w:eastAsia="Times New Roman"/>
                <w:szCs w:val="24"/>
                <w:lang w:eastAsia="tr-TR"/>
              </w:rPr>
              <w:t>Borçlu, rehinli veya finansal kiralama konusu malı rızasıyla devreder, ifl</w:t>
            </w:r>
            <w:r w:rsidR="006358B4" w:rsidRPr="00A23740">
              <w:rPr>
                <w:rFonts w:eastAsia="Times New Roman"/>
                <w:szCs w:val="24"/>
                <w:lang w:eastAsia="tr-TR"/>
              </w:rPr>
              <w:t>a</w:t>
            </w:r>
            <w:r w:rsidRPr="00A23740">
              <w:rPr>
                <w:rFonts w:eastAsia="Times New Roman"/>
                <w:szCs w:val="24"/>
                <w:lang w:eastAsia="tr-TR"/>
              </w:rPr>
              <w:t>s eder veya ölürse, erteleme kendiliğinden hükümsüz hâle gelir.</w:t>
            </w:r>
          </w:p>
          <w:p w:rsidR="00AA5C8C" w:rsidRPr="00A23740" w:rsidRDefault="00AA5C8C" w:rsidP="009431FF">
            <w:pPr>
              <w:widowControl w:val="0"/>
              <w:rPr>
                <w:rFonts w:eastAsia="Times New Roman"/>
                <w:szCs w:val="24"/>
                <w:lang w:eastAsia="tr-TR"/>
              </w:rPr>
            </w:pPr>
          </w:p>
          <w:p w:rsidR="00AA5C8C" w:rsidRPr="00A23740" w:rsidRDefault="00AA5C8C" w:rsidP="009431FF">
            <w:pPr>
              <w:widowControl w:val="0"/>
              <w:rPr>
                <w:rFonts w:eastAsia="Times New Roman"/>
                <w:szCs w:val="24"/>
                <w:lang w:eastAsia="tr-TR"/>
              </w:rPr>
            </w:pPr>
            <w:r w:rsidRPr="00A23740">
              <w:rPr>
                <w:rStyle w:val="MaviChar"/>
                <w:lang w:val="tr-TR"/>
              </w:rPr>
              <w:t>(6)</w:t>
            </w:r>
            <w:r w:rsidRPr="00A23740">
              <w:rPr>
                <w:szCs w:val="24"/>
              </w:rPr>
              <w:t xml:space="preserve"> </w:t>
            </w:r>
            <w:r w:rsidRPr="00A23740">
              <w:rPr>
                <w:rFonts w:eastAsia="Times New Roman"/>
                <w:szCs w:val="24"/>
                <w:lang w:eastAsia="tr-TR"/>
              </w:rPr>
              <w:t>Konkordatoyu tasdik eden mahkeme, ilgili alacaklının talebi üzerine ve borçluyu da davet ederek aşağıdaki hâllerden birinin varlığının yaklaşık olarak ispat edilmesi kaydıyla erteleme kararını kaldırır</w:t>
            </w:r>
            <w:r w:rsidRPr="00A23740">
              <w:rPr>
                <w:rStyle w:val="MaviChar"/>
              </w:rPr>
              <w:t>:</w:t>
            </w: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a) Borçlu ertelemeyi yanlış bilgiler vermek suretiyle elde etmişse.</w:t>
            </w:r>
          </w:p>
          <w:p w:rsidR="00AA5C8C" w:rsidRPr="00A23740" w:rsidRDefault="00AA5C8C" w:rsidP="009431FF">
            <w:pPr>
              <w:widowControl w:val="0"/>
              <w:rPr>
                <w:rFonts w:eastAsia="Times New Roman"/>
                <w:szCs w:val="24"/>
                <w:lang w:eastAsia="tr-TR"/>
              </w:rPr>
            </w:pPr>
            <w:r w:rsidRPr="00A23740">
              <w:rPr>
                <w:rFonts w:eastAsia="Times New Roman"/>
                <w:szCs w:val="24"/>
                <w:lang w:eastAsia="tr-TR"/>
              </w:rPr>
              <w:t>b) Borçlunun serveti ve gelirleri artmış ve borçlu, ekonomik varlığını tehlikeye sokmadan borcu ödeyebilecek hâle gelmişse.</w:t>
            </w:r>
          </w:p>
          <w:p w:rsidR="00AA5C8C" w:rsidRPr="00A23740" w:rsidRDefault="00AA5C8C" w:rsidP="009431FF">
            <w:pPr>
              <w:widowControl w:val="0"/>
              <w:rPr>
                <w:rFonts w:eastAsia="Times New Roman"/>
                <w:iCs/>
                <w:szCs w:val="24"/>
                <w:lang w:eastAsia="tr-TR"/>
              </w:rPr>
            </w:pPr>
            <w:r w:rsidRPr="00A23740">
              <w:rPr>
                <w:rFonts w:eastAsia="Times New Roman"/>
                <w:szCs w:val="24"/>
                <w:lang w:eastAsia="tr-TR"/>
              </w:rPr>
              <w:t>c) Rehinli malın paraya çevrilmesi veya finansal kiralama konusu malın iadesi, borçlunun ekonomik varlığını artık tehlikeye sokmayacaksa.</w:t>
            </w:r>
          </w:p>
          <w:p w:rsidR="00AA5C8C" w:rsidRPr="00A23740" w:rsidRDefault="00AA5C8C" w:rsidP="009431FF">
            <w:pPr>
              <w:widowControl w:val="0"/>
              <w:rPr>
                <w:rFonts w:eastAsia="Times New Roman"/>
                <w:i/>
                <w:szCs w:val="24"/>
                <w:lang w:eastAsia="tr-TR"/>
              </w:rPr>
            </w:pPr>
          </w:p>
        </w:tc>
      </w:tr>
      <w:tr w:rsidR="005C3738" w:rsidRPr="00A23740" w:rsidTr="009431FF">
        <w:tc>
          <w:tcPr>
            <w:tcW w:w="5000" w:type="pct"/>
            <w:gridSpan w:val="2"/>
            <w:shd w:val="clear" w:color="auto" w:fill="DEEAF6"/>
          </w:tcPr>
          <w:p w:rsidR="00F951E3" w:rsidRPr="00A23740" w:rsidRDefault="00F951E3" w:rsidP="009431FF">
            <w:pPr>
              <w:ind w:firstLine="709"/>
              <w:rPr>
                <w:rFonts w:eastAsia="Times New Roman"/>
                <w:szCs w:val="24"/>
                <w:lang w:eastAsia="tr-TR"/>
              </w:rPr>
            </w:pPr>
          </w:p>
          <w:p w:rsidR="006358B4" w:rsidRPr="00A23740" w:rsidRDefault="00164036" w:rsidP="009431FF">
            <w:pPr>
              <w:ind w:firstLine="709"/>
              <w:rPr>
                <w:rFonts w:eastAsia="Times New Roman"/>
                <w:szCs w:val="24"/>
                <w:lang w:eastAsia="tr-TR"/>
              </w:rPr>
            </w:pPr>
            <w:r w:rsidRPr="00A23740">
              <w:rPr>
                <w:rFonts w:eastAsia="Times New Roman"/>
                <w:b/>
                <w:szCs w:val="24"/>
                <w:lang w:eastAsia="tr-TR"/>
              </w:rPr>
              <w:t>MADDE 401</w:t>
            </w:r>
            <w:r w:rsidR="00F951E3" w:rsidRPr="00A23740">
              <w:rPr>
                <w:rFonts w:eastAsia="Times New Roman"/>
                <w:b/>
                <w:szCs w:val="24"/>
                <w:lang w:eastAsia="tr-TR"/>
              </w:rPr>
              <w:t>-</w:t>
            </w:r>
            <w:r w:rsidR="00F951E3" w:rsidRPr="00A23740">
              <w:rPr>
                <w:rFonts w:eastAsia="Times New Roman"/>
                <w:szCs w:val="24"/>
                <w:lang w:eastAsia="tr-TR"/>
              </w:rPr>
              <w:t xml:space="preserve"> </w:t>
            </w:r>
            <w:r w:rsidR="001F2D38" w:rsidRPr="00A23740">
              <w:rPr>
                <w:rFonts w:eastAsia="Times New Roman"/>
                <w:szCs w:val="24"/>
                <w:lang w:eastAsia="tr-TR"/>
              </w:rPr>
              <w:t xml:space="preserve">Maddeyle, rehinli malların muhafaza ve satışı ile finansal kiralama konusu malların iadesinin ertelenmesine ilişkin hususlar düzenlenmektedir. </w:t>
            </w:r>
          </w:p>
          <w:p w:rsidR="006358B4" w:rsidRPr="00A23740" w:rsidRDefault="006358B4" w:rsidP="009431FF">
            <w:pPr>
              <w:ind w:firstLine="709"/>
              <w:rPr>
                <w:rFonts w:eastAsia="Times New Roman"/>
                <w:i/>
                <w:szCs w:val="24"/>
                <w:lang w:eastAsia="tr-TR"/>
              </w:rPr>
            </w:pPr>
            <w:r w:rsidRPr="00A23740">
              <w:rPr>
                <w:rFonts w:eastAsia="Times New Roman"/>
                <w:szCs w:val="24"/>
                <w:lang w:eastAsia="tr-TR"/>
              </w:rPr>
              <w:t>Maddenin birinci fıkrasıyla</w:t>
            </w:r>
            <w:r w:rsidR="00561705" w:rsidRPr="00A23740">
              <w:rPr>
                <w:rFonts w:eastAsia="Times New Roman"/>
                <w:szCs w:val="24"/>
                <w:lang w:eastAsia="tr-TR"/>
              </w:rPr>
              <w:t xml:space="preserve">, rehinli malın muhafaza altına alınması ve satışının, </w:t>
            </w:r>
            <w:r w:rsidR="00561705" w:rsidRPr="00A23740">
              <w:rPr>
                <w:lang w:val="x-none" w:eastAsia="tr-TR"/>
              </w:rPr>
              <w:t xml:space="preserve">alacaklılar toplantısına sunulmuş olan projede </w:t>
            </w:r>
            <w:r w:rsidR="00196FF7" w:rsidRPr="00AB0FD4">
              <w:t>borçlu</w:t>
            </w:r>
            <w:r w:rsidR="00196FF7" w:rsidRPr="00A23740">
              <w:rPr>
                <w:b/>
                <w:color w:val="385623"/>
                <w:lang w:eastAsia="tr-TR"/>
              </w:rPr>
              <w:t xml:space="preserve"> </w:t>
            </w:r>
            <w:r w:rsidR="00196FF7" w:rsidRPr="00AB0FD4">
              <w:t xml:space="preserve">tarafından </w:t>
            </w:r>
            <w:r w:rsidR="00561705" w:rsidRPr="00AB0FD4">
              <w:t>mahkemeden bu yönde talepte bulunulacağı hakkında bilgi verilmek kaydıyla, borçlunun talebi üzerine, mahkemenin tasdik kararında</w:t>
            </w:r>
            <w:r w:rsidR="00B23488" w:rsidRPr="00AB0FD4">
              <w:t xml:space="preserve"> gösterilmek suretiyle</w:t>
            </w:r>
            <w:r w:rsidR="00561705" w:rsidRPr="00AB0FD4">
              <w:t xml:space="preserve"> karardan</w:t>
            </w:r>
            <w:r w:rsidR="00561705" w:rsidRPr="00A23740">
              <w:rPr>
                <w:rFonts w:eastAsia="Times New Roman"/>
                <w:szCs w:val="24"/>
                <w:lang w:eastAsia="tr-TR"/>
              </w:rPr>
              <w:t xml:space="preserve"> itibaren bir yılı geçmemek üzere ertelenebileceği kabul edilmiştir. Böylelikle konkordato kapsamında rehinli malın satışının ertelenmesi, ancak projede bu hususta mahkemeye başvurulacağının bildirilmiş olması kaydıyla mümkün olabilecektir. Talebin borçlu tarafından yapılacağı ve tasdik kararından itibaren bir yılı geçmemek üzere erteleme istenebileceği hususları da açıkça ifade edilmişti. </w:t>
            </w:r>
          </w:p>
          <w:p w:rsidR="00561705" w:rsidRPr="00A23740" w:rsidRDefault="00561705" w:rsidP="009431FF">
            <w:pPr>
              <w:ind w:firstLine="709"/>
              <w:rPr>
                <w:rFonts w:eastAsia="Times New Roman"/>
                <w:szCs w:val="24"/>
                <w:lang w:eastAsia="tr-TR"/>
              </w:rPr>
            </w:pPr>
            <w:r w:rsidRPr="00A23740">
              <w:rPr>
                <w:rFonts w:eastAsia="Times New Roman"/>
                <w:szCs w:val="24"/>
                <w:lang w:eastAsia="tr-TR"/>
              </w:rPr>
              <w:t>Burada dikkat edilmesi gereken bir husus da</w:t>
            </w:r>
            <w:r w:rsidR="003F731C" w:rsidRPr="00A23740">
              <w:rPr>
                <w:rFonts w:eastAsia="Times New Roman"/>
                <w:szCs w:val="24"/>
                <w:lang w:eastAsia="tr-TR"/>
              </w:rPr>
              <w:t>,</w:t>
            </w:r>
            <w:r w:rsidRPr="00A23740">
              <w:rPr>
                <w:rFonts w:eastAsia="Times New Roman"/>
                <w:szCs w:val="24"/>
                <w:lang w:eastAsia="tr-TR"/>
              </w:rPr>
              <w:t xml:space="preserve"> daha önce</w:t>
            </w:r>
            <w:r w:rsidR="00642106" w:rsidRPr="00A23740">
              <w:rPr>
                <w:rFonts w:eastAsia="Times New Roman"/>
                <w:szCs w:val="24"/>
                <w:lang w:eastAsia="tr-TR"/>
              </w:rPr>
              <w:t xml:space="preserve"> </w:t>
            </w:r>
            <w:r w:rsidR="00642106" w:rsidRPr="00AB0FD4">
              <w:t>387 nci</w:t>
            </w:r>
            <w:r w:rsidRPr="00A23740">
              <w:rPr>
                <w:rFonts w:eastAsia="Times New Roman"/>
                <w:szCs w:val="24"/>
                <w:lang w:eastAsia="tr-TR"/>
              </w:rPr>
              <w:t xml:space="preserve"> </w:t>
            </w:r>
            <w:r w:rsidR="001F2D38" w:rsidRPr="00A23740">
              <w:rPr>
                <w:rFonts w:eastAsia="Times New Roman"/>
                <w:szCs w:val="24"/>
                <w:lang w:eastAsia="tr-TR"/>
              </w:rPr>
              <w:t xml:space="preserve">maddenin ikinci fıkrası </w:t>
            </w:r>
            <w:r w:rsidRPr="00A23740">
              <w:rPr>
                <w:rFonts w:eastAsia="Times New Roman"/>
                <w:szCs w:val="24"/>
                <w:lang w:eastAsia="tr-TR"/>
              </w:rPr>
              <w:t>uyarınca rehinli malın satılmamış olması kaydıyla bu talebin ileri sürülebilece</w:t>
            </w:r>
            <w:r w:rsidR="001F2D38" w:rsidRPr="00A23740">
              <w:rPr>
                <w:rFonts w:eastAsia="Times New Roman"/>
                <w:szCs w:val="24"/>
                <w:lang w:eastAsia="tr-TR"/>
              </w:rPr>
              <w:t>ğidir.</w:t>
            </w:r>
          </w:p>
          <w:p w:rsidR="00561705" w:rsidRPr="00A23740" w:rsidRDefault="00561705" w:rsidP="009431FF">
            <w:pPr>
              <w:ind w:firstLine="709"/>
              <w:rPr>
                <w:rFonts w:eastAsia="Times New Roman"/>
                <w:szCs w:val="24"/>
                <w:lang w:eastAsia="tr-TR"/>
              </w:rPr>
            </w:pPr>
            <w:r w:rsidRPr="00A23740">
              <w:rPr>
                <w:rFonts w:eastAsia="Times New Roman"/>
                <w:szCs w:val="24"/>
                <w:lang w:eastAsia="tr-TR"/>
              </w:rPr>
              <w:t>Üçüncü fıkra uyarınca da aynı şartların mevcut olması h</w:t>
            </w:r>
            <w:r w:rsidR="00B23488" w:rsidRPr="00A23740">
              <w:rPr>
                <w:rFonts w:eastAsia="Times New Roman"/>
                <w:szCs w:val="24"/>
                <w:lang w:eastAsia="tr-TR"/>
              </w:rPr>
              <w:t>â</w:t>
            </w:r>
            <w:r w:rsidRPr="00A23740">
              <w:rPr>
                <w:rFonts w:eastAsia="Times New Roman"/>
                <w:szCs w:val="24"/>
                <w:lang w:eastAsia="tr-TR"/>
              </w:rPr>
              <w:t xml:space="preserve">linde finansal kiralama </w:t>
            </w:r>
            <w:r w:rsidR="00196FF7" w:rsidRPr="00AB0FD4">
              <w:t>sözleşmesinin</w:t>
            </w:r>
            <w:r w:rsidR="00196FF7" w:rsidRPr="00A23740">
              <w:rPr>
                <w:rFonts w:eastAsia="Times New Roman"/>
                <w:b/>
                <w:color w:val="385623"/>
                <w:szCs w:val="24"/>
                <w:lang w:eastAsia="tr-TR"/>
              </w:rPr>
              <w:t xml:space="preserve"> </w:t>
            </w:r>
            <w:r w:rsidRPr="00A23740">
              <w:rPr>
                <w:rFonts w:eastAsia="Times New Roman"/>
                <w:szCs w:val="24"/>
                <w:lang w:eastAsia="tr-TR"/>
              </w:rPr>
              <w:t xml:space="preserve">konusu malların iadesinin ertelenmesi talep edilebilecektir. Buna göre finansal kiralama </w:t>
            </w:r>
            <w:r w:rsidR="00196FF7" w:rsidRPr="00AB0FD4">
              <w:t>sözleşmesinin</w:t>
            </w:r>
            <w:r w:rsidR="00196FF7" w:rsidRPr="00A23740">
              <w:rPr>
                <w:rFonts w:eastAsia="Times New Roman"/>
                <w:szCs w:val="24"/>
                <w:lang w:eastAsia="tr-TR"/>
              </w:rPr>
              <w:t xml:space="preserve"> </w:t>
            </w:r>
            <w:r w:rsidRPr="00A23740">
              <w:rPr>
                <w:rFonts w:eastAsia="Times New Roman"/>
                <w:szCs w:val="24"/>
                <w:lang w:eastAsia="tr-TR"/>
              </w:rPr>
              <w:t>konusu</w:t>
            </w:r>
            <w:r w:rsidR="003F731C" w:rsidRPr="00A23740">
              <w:rPr>
                <w:rFonts w:eastAsia="Times New Roman"/>
                <w:szCs w:val="24"/>
                <w:lang w:eastAsia="tr-TR"/>
              </w:rPr>
              <w:t xml:space="preserve"> olan</w:t>
            </w:r>
            <w:r w:rsidRPr="00A23740">
              <w:rPr>
                <w:rFonts w:eastAsia="Times New Roman"/>
                <w:szCs w:val="24"/>
                <w:lang w:eastAsia="tr-TR"/>
              </w:rPr>
              <w:t xml:space="preserve"> malların iadesinin ertelenmesi, ancak projede bu hususta mahkemeye başvurulacağının bildirilmiş olması kaydıyla mümkün olabilecektir. Talebin borçlu tarafından yapılacağı ve tasdik kararından itibaren bir yılı geçmemek üzere erteleme istenebileceği hususla</w:t>
            </w:r>
            <w:r w:rsidR="001F2D38" w:rsidRPr="00A23740">
              <w:rPr>
                <w:rFonts w:eastAsia="Times New Roman"/>
                <w:szCs w:val="24"/>
                <w:lang w:eastAsia="tr-TR"/>
              </w:rPr>
              <w:t>rı da açıkça ifade edilmiştir.</w:t>
            </w:r>
          </w:p>
          <w:p w:rsidR="00561705" w:rsidRPr="00A23740" w:rsidRDefault="00561705" w:rsidP="009431FF">
            <w:pPr>
              <w:tabs>
                <w:tab w:val="left" w:pos="566"/>
              </w:tabs>
              <w:ind w:firstLine="709"/>
              <w:rPr>
                <w:rFonts w:eastAsia="ヒラギノ明朝 Pro W3"/>
                <w:bCs/>
                <w:szCs w:val="24"/>
                <w:lang w:eastAsia="tr-TR"/>
              </w:rPr>
            </w:pPr>
            <w:r w:rsidRPr="00A23740">
              <w:rPr>
                <w:rFonts w:eastAsia="Times New Roman"/>
                <w:bCs/>
                <w:szCs w:val="24"/>
                <w:lang w:eastAsia="tr-TR"/>
              </w:rPr>
              <w:t>Dördüncü fıkraya göre, konkordato anlamında rehinli alacaklı ve finansal kiralayan, yazılı görüşlerini konkordatonun tasdikine ilişkin duruşmadan önce sunmaya davet edilirler</w:t>
            </w:r>
            <w:r w:rsidR="00D47D1E" w:rsidRPr="00A23740">
              <w:rPr>
                <w:rFonts w:eastAsia="Times New Roman"/>
                <w:bCs/>
                <w:szCs w:val="24"/>
                <w:lang w:eastAsia="tr-TR"/>
              </w:rPr>
              <w:t>.</w:t>
            </w:r>
            <w:r w:rsidRPr="00A23740">
              <w:rPr>
                <w:rFonts w:eastAsia="Times New Roman"/>
                <w:bCs/>
                <w:szCs w:val="24"/>
                <w:lang w:eastAsia="tr-TR"/>
              </w:rPr>
              <w:t xml:space="preserve"> </w:t>
            </w:r>
            <w:r w:rsidR="00D47D1E" w:rsidRPr="00A23740">
              <w:rPr>
                <w:rFonts w:eastAsia="Times New Roman"/>
                <w:bCs/>
                <w:szCs w:val="24"/>
                <w:lang w:eastAsia="tr-TR"/>
              </w:rPr>
              <w:t xml:space="preserve">Bu </w:t>
            </w:r>
            <w:r w:rsidRPr="00A23740">
              <w:rPr>
                <w:rFonts w:eastAsia="Times New Roman"/>
                <w:bCs/>
                <w:szCs w:val="24"/>
                <w:lang w:eastAsia="tr-TR"/>
              </w:rPr>
              <w:t xml:space="preserve">alacaklılar ayrıca </w:t>
            </w:r>
            <w:r w:rsidRPr="00A23740">
              <w:rPr>
                <w:szCs w:val="24"/>
                <w:lang w:val="x-none" w:eastAsia="x-none"/>
              </w:rPr>
              <w:t>alacaklılar toplantısına ve</w:t>
            </w:r>
            <w:r w:rsidRPr="00A23740">
              <w:rPr>
                <w:rFonts w:eastAsia="Times New Roman"/>
                <w:bCs/>
                <w:szCs w:val="24"/>
                <w:lang w:eastAsia="tr-TR"/>
              </w:rPr>
              <w:t xml:space="preserve"> tasdik duruşmasına çağırılırlar. </w:t>
            </w:r>
            <w:r w:rsidRPr="00A23740">
              <w:rPr>
                <w:rFonts w:eastAsia="ヒラギノ明朝 Pro W3"/>
                <w:bCs/>
                <w:szCs w:val="24"/>
                <w:lang w:eastAsia="tr-TR"/>
              </w:rPr>
              <w:t>Burada birinci fıkradaki yeni kurgu</w:t>
            </w:r>
            <w:r w:rsidR="003F731C" w:rsidRPr="00A23740">
              <w:rPr>
                <w:rFonts w:eastAsia="ヒラギノ明朝 Pro W3"/>
                <w:bCs/>
                <w:szCs w:val="24"/>
                <w:lang w:eastAsia="tr-TR"/>
              </w:rPr>
              <w:t>yla</w:t>
            </w:r>
            <w:r w:rsidRPr="00A23740">
              <w:rPr>
                <w:rFonts w:eastAsia="ヒラギノ明朝 Pro W3"/>
                <w:bCs/>
                <w:szCs w:val="24"/>
                <w:lang w:eastAsia="tr-TR"/>
              </w:rPr>
              <w:t xml:space="preserve"> uyumu sağlamak üzere rehinli malı erteleme talebine konu olan rehinli alacaklıların alacaklılar toplantısına katılması, rehinli alacaklıları</w:t>
            </w:r>
            <w:r w:rsidRPr="00AB0FD4">
              <w:t>n</w:t>
            </w:r>
            <w:r w:rsidR="00B23488" w:rsidRPr="00AB0FD4">
              <w:t>,</w:t>
            </w:r>
            <w:r w:rsidRPr="00A23740">
              <w:rPr>
                <w:rFonts w:eastAsia="ヒラギノ明朝 Pro W3"/>
                <w:bCs/>
                <w:szCs w:val="24"/>
                <w:lang w:eastAsia="tr-TR"/>
              </w:rPr>
              <w:t xml:space="preserve"> adi alacaklıların yapacakları toplantıya katılmalarının adi alacaklılar arasındaki oy dağılımının değişmesine neden olmak gibi olumsuz bir sonucu olabileceği ve bu nedenle toplantıya katılmalarının yerinde olmadığı yönünde tezahür eden bir görüşe rağmen,</w:t>
            </w:r>
            <w:r w:rsidR="00B23488" w:rsidRPr="00A23740">
              <w:rPr>
                <w:rFonts w:eastAsia="ヒラギノ明朝 Pro W3"/>
                <w:bCs/>
                <w:szCs w:val="24"/>
                <w:lang w:eastAsia="tr-TR"/>
              </w:rPr>
              <w:t xml:space="preserve"> </w:t>
            </w:r>
            <w:r w:rsidR="00B23488" w:rsidRPr="00AB0FD4">
              <w:t>Bilim</w:t>
            </w:r>
            <w:r w:rsidRPr="00A23740">
              <w:rPr>
                <w:rFonts w:eastAsia="ヒラギノ明朝 Pro W3"/>
                <w:bCs/>
                <w:szCs w:val="24"/>
                <w:lang w:eastAsia="tr-TR"/>
              </w:rPr>
              <w:t xml:space="preserve"> </w:t>
            </w:r>
            <w:r w:rsidR="00B23488" w:rsidRPr="00A23740">
              <w:rPr>
                <w:rFonts w:eastAsia="ヒラギノ明朝 Pro W3"/>
                <w:bCs/>
                <w:szCs w:val="24"/>
                <w:lang w:eastAsia="tr-TR"/>
              </w:rPr>
              <w:t>Komisyonunda</w:t>
            </w:r>
            <w:r w:rsidR="00B23488" w:rsidRPr="00A23740">
              <w:rPr>
                <w:rStyle w:val="KIRMIZIChar"/>
                <w:rFonts w:eastAsia="ヒラギノ明朝 Pro W3"/>
                <w:strike w:val="0"/>
              </w:rPr>
              <w:t xml:space="preserve"> </w:t>
            </w:r>
            <w:r w:rsidR="00B23488" w:rsidRPr="00AB0FD4">
              <w:t>kabul edilmiştir</w:t>
            </w:r>
            <w:r w:rsidRPr="00A23740">
              <w:rPr>
                <w:rFonts w:eastAsia="ヒラギノ明朝 Pro W3"/>
                <w:bCs/>
                <w:szCs w:val="24"/>
                <w:lang w:eastAsia="tr-TR"/>
              </w:rPr>
              <w:t xml:space="preserve">. </w:t>
            </w:r>
          </w:p>
          <w:p w:rsidR="00561705" w:rsidRPr="00A23740" w:rsidRDefault="00561705" w:rsidP="009431FF">
            <w:pPr>
              <w:ind w:firstLine="709"/>
              <w:rPr>
                <w:rFonts w:eastAsia="Times New Roman"/>
                <w:bCs/>
                <w:szCs w:val="24"/>
                <w:lang w:eastAsia="tr-TR"/>
              </w:rPr>
            </w:pPr>
            <w:r w:rsidRPr="00A23740">
              <w:rPr>
                <w:bCs/>
                <w:lang w:eastAsia="tr-TR"/>
              </w:rPr>
              <w:t>Ancak bu hüküm rehinli alacaklıların toplantıda oy kullanabilece</w:t>
            </w:r>
            <w:r w:rsidR="001F2D38" w:rsidRPr="00A23740">
              <w:rPr>
                <w:bCs/>
                <w:lang w:eastAsia="tr-TR"/>
              </w:rPr>
              <w:t xml:space="preserve">kleri </w:t>
            </w:r>
            <w:r w:rsidR="003F731C" w:rsidRPr="00A23740">
              <w:rPr>
                <w:bCs/>
                <w:lang w:eastAsia="tr-TR"/>
              </w:rPr>
              <w:t xml:space="preserve">şeklinde </w:t>
            </w:r>
            <w:r w:rsidR="001F2D38" w:rsidRPr="00A23740">
              <w:rPr>
                <w:bCs/>
                <w:lang w:eastAsia="tr-TR"/>
              </w:rPr>
              <w:t>anlaşılmamalıdır.</w:t>
            </w:r>
            <w:r w:rsidRPr="00A23740">
              <w:rPr>
                <w:bCs/>
                <w:lang w:eastAsia="tr-TR"/>
              </w:rPr>
              <w:t xml:space="preserve"> Toplantıya katılacak olan rehinli alacaklılar</w:t>
            </w:r>
            <w:r w:rsidR="00B23488" w:rsidRPr="00A23740">
              <w:rPr>
                <w:bCs/>
                <w:lang w:eastAsia="tr-TR"/>
              </w:rPr>
              <w:t>ın</w:t>
            </w:r>
            <w:r w:rsidRPr="00A23740">
              <w:rPr>
                <w:bCs/>
                <w:lang w:eastAsia="tr-TR"/>
              </w:rPr>
              <w:t xml:space="preserve"> oy kullanmayacakları ve </w:t>
            </w:r>
            <w:r w:rsidR="00196FF7" w:rsidRPr="00AB0FD4">
              <w:t xml:space="preserve">yeter sayıda </w:t>
            </w:r>
            <w:r w:rsidRPr="00AB0FD4">
              <w:t>da</w:t>
            </w:r>
            <w:r w:rsidRPr="00A23740">
              <w:rPr>
                <w:bCs/>
                <w:lang w:eastAsia="tr-TR"/>
              </w:rPr>
              <w:t xml:space="preserve"> dikkate alınmayacakları hususu açıktır.</w:t>
            </w:r>
          </w:p>
          <w:p w:rsidR="005C3738" w:rsidRDefault="005C3738" w:rsidP="006C4AA3">
            <w:pPr>
              <w:tabs>
                <w:tab w:val="left" w:pos="567"/>
              </w:tabs>
              <w:rPr>
                <w:b/>
                <w:bCs/>
                <w:szCs w:val="24"/>
                <w:lang w:eastAsia="x-none"/>
              </w:rPr>
            </w:pPr>
          </w:p>
          <w:p w:rsidR="006C4AA3" w:rsidRPr="00A23740" w:rsidRDefault="006C4AA3"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pStyle w:val="MaddeBasl"/>
              <w:widowControl w:val="0"/>
              <w:tabs>
                <w:tab w:val="clear" w:pos="567"/>
              </w:tabs>
              <w:spacing w:before="0"/>
              <w:rPr>
                <w:rFonts w:ascii="Times New Roman" w:hAnsi="Times New Roman"/>
                <w:sz w:val="24"/>
                <w:szCs w:val="24"/>
                <w:lang w:val="tr-TR"/>
              </w:rPr>
            </w:pPr>
            <w:r w:rsidRPr="00A23740">
              <w:rPr>
                <w:rFonts w:ascii="Times New Roman" w:hAnsi="Times New Roman"/>
                <w:sz w:val="24"/>
                <w:szCs w:val="24"/>
                <w:lang w:val="tr-TR"/>
              </w:rPr>
              <w:t xml:space="preserve">Konkordatonun tasdik edilmemesi ve borçlunun iflâsı: </w:t>
            </w:r>
          </w:p>
          <w:p w:rsidR="00AA5C8C" w:rsidRPr="00A23740" w:rsidRDefault="00AA5C8C" w:rsidP="009431FF">
            <w:pPr>
              <w:pStyle w:val="Nor"/>
              <w:widowControl w:val="0"/>
              <w:tabs>
                <w:tab w:val="clear" w:pos="567"/>
              </w:tabs>
              <w:rPr>
                <w:rFonts w:ascii="Times New Roman" w:hAnsi="Times New Roman"/>
                <w:sz w:val="24"/>
                <w:szCs w:val="24"/>
                <w:lang w:val="tr-TR"/>
              </w:rPr>
            </w:pPr>
            <w:r w:rsidRPr="00A23740">
              <w:rPr>
                <w:rStyle w:val="KIRMIZIChar"/>
                <w:lang w:val="tr-TR"/>
              </w:rPr>
              <w:t>Madde 308- (1) (Değişik: 28/2/2018-7101/36 md.)</w:t>
            </w:r>
          </w:p>
          <w:p w:rsidR="00AA5C8C" w:rsidRPr="00A23740" w:rsidRDefault="00AA5C8C" w:rsidP="009431FF">
            <w:pPr>
              <w:pStyle w:val="Nor"/>
              <w:widowControl w:val="0"/>
              <w:tabs>
                <w:tab w:val="clear" w:pos="567"/>
              </w:tabs>
              <w:rPr>
                <w:rFonts w:ascii="Times New Roman" w:hAnsi="Times New Roman"/>
                <w:sz w:val="24"/>
                <w:szCs w:val="24"/>
                <w:lang w:val="tr-TR"/>
              </w:rPr>
            </w:pPr>
            <w:r w:rsidRPr="00A23740">
              <w:rPr>
                <w:rFonts w:ascii="Times New Roman" w:hAnsi="Times New Roman"/>
                <w:sz w:val="24"/>
                <w:szCs w:val="24"/>
                <w:lang w:val="tr-TR"/>
              </w:rPr>
              <w:t xml:space="preserve">Konkordato tasdik edilmezse mahkeme konkordato talebinin reddine karar verir ve bu karar </w:t>
            </w:r>
            <w:r w:rsidRPr="00A23740">
              <w:rPr>
                <w:rStyle w:val="KIRMIZIChar"/>
                <w:lang w:val="tr-TR"/>
              </w:rPr>
              <w:t>288 inci</w:t>
            </w:r>
            <w:r w:rsidRPr="00A23740">
              <w:rPr>
                <w:rFonts w:ascii="Times New Roman" w:hAnsi="Times New Roman"/>
                <w:sz w:val="24"/>
                <w:szCs w:val="24"/>
                <w:lang w:val="tr-TR"/>
              </w:rPr>
              <w:t xml:space="preserve"> madde uyarınca ilân edilerek ilgili yerlere bildirilir. Borçlunun iflâsa tabi şahıslardan olması </w:t>
            </w:r>
            <w:r w:rsidRPr="00A23740">
              <w:rPr>
                <w:rFonts w:ascii="Times New Roman" w:hAnsi="Times New Roman"/>
                <w:b/>
                <w:strike/>
                <w:color w:val="FF0000"/>
                <w:sz w:val="24"/>
                <w:szCs w:val="24"/>
                <w:lang w:val="tr-TR"/>
              </w:rPr>
              <w:t>ve doğrudan doğruya iflâs sebeplerinden birinin mevcut olması</w:t>
            </w:r>
            <w:r w:rsidRPr="00A23740">
              <w:rPr>
                <w:rFonts w:ascii="Times New Roman" w:hAnsi="Times New Roman"/>
                <w:sz w:val="24"/>
                <w:szCs w:val="24"/>
                <w:lang w:val="tr-TR"/>
              </w:rPr>
              <w:t xml:space="preserve"> hâlinde mahkeme, borçlunun iflâsına resen karar verir.</w:t>
            </w:r>
          </w:p>
          <w:p w:rsidR="00AA5C8C" w:rsidRPr="00A23740" w:rsidRDefault="00AA5C8C" w:rsidP="009431FF">
            <w:pPr>
              <w:widowControl w:val="0"/>
              <w:rPr>
                <w:lang w:eastAsia="tr-TR"/>
              </w:rPr>
            </w:pPr>
          </w:p>
          <w:p w:rsidR="00AA5C8C" w:rsidRDefault="00AA5C8C" w:rsidP="009431FF">
            <w:pPr>
              <w:widowControl w:val="0"/>
              <w:rPr>
                <w:lang w:eastAsia="tr-TR"/>
              </w:rPr>
            </w:pPr>
            <w:r w:rsidRPr="00A23740">
              <w:rPr>
                <w:rStyle w:val="KIRMIZIChar"/>
                <w:rFonts w:eastAsia="Calibri"/>
                <w:lang w:eastAsia="tr-TR"/>
              </w:rPr>
              <w:t>(2) (Ek fıkra:9/6/2021-7327/6 md.)</w:t>
            </w:r>
            <w:r w:rsidRPr="00A23740">
              <w:rPr>
                <w:b/>
                <w:bCs/>
                <w:lang w:eastAsia="tr-TR"/>
              </w:rPr>
              <w:t> </w:t>
            </w:r>
            <w:r w:rsidRPr="00A23740">
              <w:rPr>
                <w:lang w:eastAsia="tr-TR"/>
              </w:rPr>
              <w:t>Konkordato süreci iflâsla sonuçlandığı takdirde, iflâs kararını veren mahkeme tasfiyenin basit veya adi tasfiye usulüne göre yapılmasına ve gerektiğinde adi tasfiyenin komiserler tarafından yerine getirilmesine karar verir. Bu hâlde iflâs idaresine ait görev ve yetkiler komiserler tarafından kullanılır.</w:t>
            </w:r>
          </w:p>
          <w:p w:rsidR="00277039" w:rsidRPr="00A23740" w:rsidRDefault="00277039" w:rsidP="009431FF">
            <w:pPr>
              <w:widowControl w:val="0"/>
              <w:rPr>
                <w:lang w:eastAsia="tr-TR"/>
              </w:rPr>
            </w:pPr>
          </w:p>
        </w:tc>
        <w:tc>
          <w:tcPr>
            <w:tcW w:w="2500" w:type="pct"/>
            <w:shd w:val="clear" w:color="auto" w:fill="FFFFFF"/>
          </w:tcPr>
          <w:p w:rsidR="00AA5C8C" w:rsidRPr="00A23740" w:rsidRDefault="00AA5C8C" w:rsidP="009431FF">
            <w:pPr>
              <w:pStyle w:val="MaddeBasl"/>
              <w:widowControl w:val="0"/>
              <w:tabs>
                <w:tab w:val="clear" w:pos="567"/>
              </w:tabs>
              <w:spacing w:before="0"/>
              <w:rPr>
                <w:rFonts w:ascii="Times New Roman" w:hAnsi="Times New Roman"/>
                <w:b/>
                <w:i w:val="0"/>
                <w:sz w:val="24"/>
                <w:szCs w:val="24"/>
                <w:lang w:val="tr-TR"/>
              </w:rPr>
            </w:pPr>
            <w:r w:rsidRPr="00A23740">
              <w:rPr>
                <w:rFonts w:ascii="Times New Roman" w:hAnsi="Times New Roman"/>
                <w:b/>
                <w:i w:val="0"/>
                <w:sz w:val="24"/>
                <w:szCs w:val="24"/>
                <w:lang w:val="tr-TR"/>
              </w:rPr>
              <w:t>Konkordatonun tasdik edilmemesi ve borçlunun ifl</w:t>
            </w:r>
            <w:r w:rsidR="00D47D1E" w:rsidRPr="00A23740">
              <w:rPr>
                <w:rFonts w:ascii="Times New Roman" w:hAnsi="Times New Roman"/>
                <w:b/>
                <w:i w:val="0"/>
                <w:sz w:val="24"/>
                <w:szCs w:val="24"/>
                <w:lang w:val="tr-TR"/>
              </w:rPr>
              <w:t>a</w:t>
            </w:r>
            <w:r w:rsidRPr="00A23740">
              <w:rPr>
                <w:rFonts w:ascii="Times New Roman" w:hAnsi="Times New Roman"/>
                <w:b/>
                <w:i w:val="0"/>
                <w:sz w:val="24"/>
                <w:szCs w:val="24"/>
                <w:lang w:val="tr-TR"/>
              </w:rPr>
              <w:t>sı</w:t>
            </w:r>
          </w:p>
          <w:p w:rsidR="00AA5C8C" w:rsidRPr="00A23740" w:rsidRDefault="00164036" w:rsidP="009431FF">
            <w:pPr>
              <w:widowControl w:val="0"/>
              <w:rPr>
                <w:szCs w:val="24"/>
              </w:rPr>
            </w:pPr>
            <w:r w:rsidRPr="00A23740">
              <w:rPr>
                <w:rStyle w:val="MaviChar"/>
                <w:lang w:val="tr-TR"/>
              </w:rPr>
              <w:t>MADDE 402</w:t>
            </w:r>
            <w:r w:rsidR="00AA5C8C" w:rsidRPr="00A23740">
              <w:rPr>
                <w:rStyle w:val="MaviChar"/>
                <w:lang w:val="tr-TR"/>
              </w:rPr>
              <w:t>- (1)</w:t>
            </w:r>
            <w:r w:rsidR="00AA5C8C" w:rsidRPr="00A23740">
              <w:rPr>
                <w:szCs w:val="24"/>
              </w:rPr>
              <w:t xml:space="preserve"> Konkordato tasdik edilmezse mahkeme konkordato talebinin reddine karar verir ve bu karar</w:t>
            </w:r>
            <w:r w:rsidR="00642106" w:rsidRPr="00A23740">
              <w:rPr>
                <w:szCs w:val="24"/>
              </w:rPr>
              <w:t xml:space="preserve"> </w:t>
            </w:r>
            <w:r w:rsidR="00642106" w:rsidRPr="00AB0FD4">
              <w:rPr>
                <w:rStyle w:val="MaviChar"/>
              </w:rPr>
              <w:t>377 nci</w:t>
            </w:r>
            <w:r w:rsidR="00AA5C8C" w:rsidRPr="00A23740">
              <w:rPr>
                <w:szCs w:val="24"/>
              </w:rPr>
              <w:t xml:space="preserve"> madde uyarınca il</w:t>
            </w:r>
            <w:r w:rsidR="00930910" w:rsidRPr="00A23740">
              <w:rPr>
                <w:szCs w:val="24"/>
              </w:rPr>
              <w:t>a</w:t>
            </w:r>
            <w:r w:rsidR="00AA5C8C" w:rsidRPr="00A23740">
              <w:rPr>
                <w:szCs w:val="24"/>
              </w:rPr>
              <w:t>n edilerek ilgili yerlere bildirilir. Borçlu</w:t>
            </w:r>
            <w:r w:rsidR="007A2519" w:rsidRPr="007A2519">
              <w:rPr>
                <w:rStyle w:val="KIRMIZIChar"/>
                <w:rFonts w:eastAsia="Calibri"/>
                <w:strike w:val="0"/>
              </w:rPr>
              <w:t xml:space="preserve"> </w:t>
            </w:r>
            <w:r w:rsidR="00AA5C8C" w:rsidRPr="00A23740">
              <w:rPr>
                <w:szCs w:val="24"/>
              </w:rPr>
              <w:t>ifl</w:t>
            </w:r>
            <w:r w:rsidR="00D47D1E" w:rsidRPr="00A23740">
              <w:rPr>
                <w:szCs w:val="24"/>
              </w:rPr>
              <w:t>a</w:t>
            </w:r>
            <w:r w:rsidR="00AA5C8C" w:rsidRPr="00A23740">
              <w:rPr>
                <w:szCs w:val="24"/>
              </w:rPr>
              <w:t xml:space="preserve">sa tabi şahıslardan </w:t>
            </w:r>
            <w:r w:rsidR="00AA5C8C" w:rsidRPr="00AB0FD4">
              <w:rPr>
                <w:rStyle w:val="MaviChar"/>
              </w:rPr>
              <w:t>ise</w:t>
            </w:r>
            <w:r w:rsidR="001023F8" w:rsidRPr="00AB0FD4">
              <w:rPr>
                <w:rStyle w:val="MaviChar"/>
              </w:rPr>
              <w:t>,</w:t>
            </w:r>
            <w:r w:rsidR="00AA5C8C" w:rsidRPr="00A23740">
              <w:rPr>
                <w:szCs w:val="24"/>
              </w:rPr>
              <w:t xml:space="preserve"> </w:t>
            </w:r>
            <w:r w:rsidR="00AA5C8C" w:rsidRPr="00A23740">
              <w:rPr>
                <w:rStyle w:val="MaviChar"/>
                <w:bCs w:val="0"/>
                <w:lang w:val="tr-TR"/>
              </w:rPr>
              <w:t>borca batık</w:t>
            </w:r>
            <w:r w:rsidR="00AA5C8C" w:rsidRPr="00A23740">
              <w:rPr>
                <w:bCs/>
              </w:rPr>
              <w:t xml:space="preserve"> </w:t>
            </w:r>
            <w:r w:rsidR="00AA5C8C" w:rsidRPr="00A23740">
              <w:rPr>
                <w:rStyle w:val="MaviChar"/>
                <w:bCs w:val="0"/>
                <w:lang w:val="tr-TR"/>
              </w:rPr>
              <w:t>bulunması</w:t>
            </w:r>
            <w:r w:rsidR="00AA5C8C" w:rsidRPr="00A23740">
              <w:rPr>
                <w:bCs/>
              </w:rPr>
              <w:t xml:space="preserve"> </w:t>
            </w:r>
            <w:r w:rsidR="00AA5C8C" w:rsidRPr="00A23740">
              <w:rPr>
                <w:rStyle w:val="MaviChar"/>
                <w:lang w:val="tr-TR"/>
              </w:rPr>
              <w:t xml:space="preserve">veya malvarlığının korunması için gerekli </w:t>
            </w:r>
            <w:r w:rsidR="00AA5C8C" w:rsidRPr="00AB0FD4">
              <w:rPr>
                <w:bCs/>
              </w:rPr>
              <w:t>olması</w:t>
            </w:r>
            <w:r w:rsidR="00AA5C8C" w:rsidRPr="00AB0FD4">
              <w:rPr>
                <w:szCs w:val="24"/>
              </w:rPr>
              <w:t xml:space="preserve"> </w:t>
            </w:r>
            <w:r w:rsidR="00AA5C8C" w:rsidRPr="00AB0FD4">
              <w:rPr>
                <w:bCs/>
              </w:rPr>
              <w:t>h</w:t>
            </w:r>
            <w:r w:rsidR="00D47D1E" w:rsidRPr="00AB0FD4">
              <w:rPr>
                <w:bCs/>
              </w:rPr>
              <w:t>â</w:t>
            </w:r>
            <w:r w:rsidR="00AA5C8C" w:rsidRPr="00AB0FD4">
              <w:rPr>
                <w:bCs/>
              </w:rPr>
              <w:t>linde</w:t>
            </w:r>
            <w:r w:rsidR="00AA5C8C" w:rsidRPr="00A23740">
              <w:rPr>
                <w:rStyle w:val="MaviChar"/>
                <w:lang w:val="tr-TR"/>
              </w:rPr>
              <w:t xml:space="preserve"> </w:t>
            </w:r>
            <w:r w:rsidR="00AA5C8C" w:rsidRPr="00A23740">
              <w:rPr>
                <w:szCs w:val="24"/>
              </w:rPr>
              <w:t xml:space="preserve">mahkeme, resen </w:t>
            </w:r>
            <w:r w:rsidR="00D47D1E" w:rsidRPr="00AB0FD4">
              <w:rPr>
                <w:rStyle w:val="MaviChar"/>
              </w:rPr>
              <w:t>iflasa</w:t>
            </w:r>
            <w:r w:rsidR="00AA5C8C" w:rsidRPr="00A23740">
              <w:rPr>
                <w:rStyle w:val="YeniYeilChar"/>
                <w:rFonts w:eastAsia="Calibri"/>
              </w:rPr>
              <w:t xml:space="preserve"> </w:t>
            </w:r>
            <w:r w:rsidR="00D47D1E" w:rsidRPr="00A23740">
              <w:rPr>
                <w:szCs w:val="24"/>
              </w:rPr>
              <w:t>karar</w:t>
            </w:r>
            <w:r w:rsidR="00AA5C8C" w:rsidRPr="00A23740">
              <w:rPr>
                <w:szCs w:val="24"/>
              </w:rPr>
              <w:t xml:space="preserve"> verir.</w:t>
            </w:r>
          </w:p>
          <w:p w:rsidR="00AA5C8C" w:rsidRDefault="00AA5C8C" w:rsidP="009431FF">
            <w:pPr>
              <w:widowControl w:val="0"/>
              <w:rPr>
                <w:lang w:eastAsia="tr-TR"/>
              </w:rPr>
            </w:pPr>
          </w:p>
          <w:p w:rsidR="007A2519" w:rsidRPr="00A23740" w:rsidRDefault="007A2519" w:rsidP="009431FF">
            <w:pPr>
              <w:widowControl w:val="0"/>
              <w:rPr>
                <w:lang w:eastAsia="tr-TR"/>
              </w:rPr>
            </w:pPr>
          </w:p>
          <w:p w:rsidR="00AA5C8C" w:rsidRPr="00A23740" w:rsidRDefault="00AA5C8C" w:rsidP="009431FF">
            <w:pPr>
              <w:widowControl w:val="0"/>
              <w:rPr>
                <w:lang w:eastAsia="tr-TR"/>
              </w:rPr>
            </w:pPr>
            <w:r w:rsidRPr="00A23740">
              <w:rPr>
                <w:rStyle w:val="MaviChar"/>
                <w:lang w:val="tr-TR"/>
              </w:rPr>
              <w:t>(2)</w:t>
            </w:r>
            <w:r w:rsidRPr="00A23740">
              <w:rPr>
                <w:lang w:eastAsia="tr-TR"/>
              </w:rPr>
              <w:t xml:space="preserve"> Konkordato süreci ifl</w:t>
            </w:r>
            <w:r w:rsidR="00D47D1E" w:rsidRPr="00A23740">
              <w:rPr>
                <w:lang w:eastAsia="tr-TR"/>
              </w:rPr>
              <w:t>a</w:t>
            </w:r>
            <w:r w:rsidRPr="00A23740">
              <w:rPr>
                <w:lang w:eastAsia="tr-TR"/>
              </w:rPr>
              <w:t>sla sonuçlandığı takdirde, ifl</w:t>
            </w:r>
            <w:r w:rsidR="00D47D1E" w:rsidRPr="00A23740">
              <w:rPr>
                <w:lang w:eastAsia="tr-TR"/>
              </w:rPr>
              <w:t>a</w:t>
            </w:r>
            <w:r w:rsidRPr="00A23740">
              <w:rPr>
                <w:lang w:eastAsia="tr-TR"/>
              </w:rPr>
              <w:t xml:space="preserve">s kararını veren mahkeme tasfiyenin basit veya </w:t>
            </w:r>
            <w:r w:rsidR="00446EDA" w:rsidRPr="00AB0FD4">
              <w:rPr>
                <w:rStyle w:val="MaviChar"/>
              </w:rPr>
              <w:t>olağan</w:t>
            </w:r>
            <w:r w:rsidR="00446EDA" w:rsidRPr="00A23740">
              <w:rPr>
                <w:lang w:eastAsia="tr-TR"/>
              </w:rPr>
              <w:t xml:space="preserve"> </w:t>
            </w:r>
            <w:r w:rsidRPr="00A23740">
              <w:rPr>
                <w:lang w:eastAsia="tr-TR"/>
              </w:rPr>
              <w:t xml:space="preserve">tasfiye usulüne göre yapılmasına ve gerektiğinde </w:t>
            </w:r>
            <w:r w:rsidR="00446EDA" w:rsidRPr="00AB0FD4">
              <w:rPr>
                <w:rStyle w:val="MaviChar"/>
              </w:rPr>
              <w:t>olağan</w:t>
            </w:r>
            <w:r w:rsidR="00446EDA" w:rsidRPr="00A23740">
              <w:rPr>
                <w:lang w:eastAsia="tr-TR"/>
              </w:rPr>
              <w:t xml:space="preserve"> </w:t>
            </w:r>
            <w:r w:rsidRPr="00A23740">
              <w:rPr>
                <w:lang w:eastAsia="tr-TR"/>
              </w:rPr>
              <w:t xml:space="preserve">tasfiyenin </w:t>
            </w:r>
            <w:r w:rsidR="0051064F" w:rsidRPr="00AB0FD4">
              <w:rPr>
                <w:rStyle w:val="MaviChar"/>
              </w:rPr>
              <w:t>komiser</w:t>
            </w:r>
            <w:r w:rsidRPr="00A23740">
              <w:rPr>
                <w:lang w:eastAsia="tr-TR"/>
              </w:rPr>
              <w:t xml:space="preserve"> tarafından </w:t>
            </w:r>
            <w:r w:rsidR="0051064F" w:rsidRPr="00AB0FD4">
              <w:rPr>
                <w:rStyle w:val="MaviChar"/>
              </w:rPr>
              <w:t>gerçekleştirilmesine</w:t>
            </w:r>
            <w:r w:rsidRPr="00A23740">
              <w:rPr>
                <w:lang w:eastAsia="tr-TR"/>
              </w:rPr>
              <w:t xml:space="preserve"> karar verir. Bu </w:t>
            </w:r>
            <w:r w:rsidR="001023F8" w:rsidRPr="00AB0FD4">
              <w:rPr>
                <w:rStyle w:val="MaviChar"/>
              </w:rPr>
              <w:t>durumda</w:t>
            </w:r>
            <w:r w:rsidR="001023F8" w:rsidRPr="00A23740">
              <w:rPr>
                <w:lang w:eastAsia="tr-TR"/>
              </w:rPr>
              <w:t xml:space="preserve"> </w:t>
            </w:r>
            <w:r w:rsidRPr="00A23740">
              <w:rPr>
                <w:lang w:eastAsia="tr-TR"/>
              </w:rPr>
              <w:t>ifl</w:t>
            </w:r>
            <w:r w:rsidR="00D47D1E" w:rsidRPr="00A23740">
              <w:rPr>
                <w:lang w:eastAsia="tr-TR"/>
              </w:rPr>
              <w:t>a</w:t>
            </w:r>
            <w:r w:rsidRPr="00A23740">
              <w:rPr>
                <w:lang w:eastAsia="tr-TR"/>
              </w:rPr>
              <w:t xml:space="preserve">s idaresine ait görev ve yetkiler </w:t>
            </w:r>
            <w:r w:rsidR="0051064F" w:rsidRPr="00AB0FD4">
              <w:rPr>
                <w:rStyle w:val="MaviChar"/>
              </w:rPr>
              <w:t>komiser</w:t>
            </w:r>
            <w:r w:rsidR="0051064F" w:rsidRPr="00A23740">
              <w:rPr>
                <w:lang w:eastAsia="tr-TR"/>
              </w:rPr>
              <w:t xml:space="preserve"> </w:t>
            </w:r>
            <w:r w:rsidRPr="00A23740">
              <w:rPr>
                <w:lang w:eastAsia="tr-TR"/>
              </w:rPr>
              <w:t>tarafından kullanılır.</w:t>
            </w:r>
          </w:p>
          <w:p w:rsidR="00AA5C8C" w:rsidRPr="00A23740" w:rsidRDefault="00AA5C8C" w:rsidP="009431FF">
            <w:pPr>
              <w:widowControl w:val="0"/>
              <w:rPr>
                <w:lang w:eastAsia="tr-TR"/>
              </w:rPr>
            </w:pPr>
          </w:p>
        </w:tc>
      </w:tr>
      <w:tr w:rsidR="005C3738" w:rsidRPr="00A23740" w:rsidTr="009431FF">
        <w:tc>
          <w:tcPr>
            <w:tcW w:w="5000" w:type="pct"/>
            <w:gridSpan w:val="2"/>
            <w:shd w:val="clear" w:color="auto" w:fill="DEEAF6"/>
          </w:tcPr>
          <w:p w:rsidR="00B2553B" w:rsidRPr="00A23740" w:rsidRDefault="00B2553B" w:rsidP="009431FF">
            <w:pPr>
              <w:ind w:firstLine="709"/>
              <w:rPr>
                <w:b/>
                <w:bCs/>
                <w:szCs w:val="24"/>
                <w:lang w:eastAsia="x-none"/>
              </w:rPr>
            </w:pPr>
          </w:p>
          <w:p w:rsidR="00827F0F" w:rsidRPr="00A23740" w:rsidRDefault="00164036" w:rsidP="009431FF">
            <w:pPr>
              <w:ind w:firstLine="709"/>
            </w:pPr>
            <w:r w:rsidRPr="00A23740">
              <w:rPr>
                <w:b/>
              </w:rPr>
              <w:t>MADDE 402</w:t>
            </w:r>
            <w:r w:rsidR="005C3738" w:rsidRPr="00A23740">
              <w:rPr>
                <w:b/>
              </w:rPr>
              <w:t>-</w:t>
            </w:r>
            <w:r w:rsidR="005C3738" w:rsidRPr="00A23740">
              <w:t xml:space="preserve"> </w:t>
            </w:r>
            <w:r w:rsidR="001F2D38" w:rsidRPr="00A23740">
              <w:t>Maddeyle, konkordatonun tasdik edilmemesi ve borçlunun ifl</w:t>
            </w:r>
            <w:r w:rsidR="00827F0F" w:rsidRPr="00A23740">
              <w:t>a</w:t>
            </w:r>
            <w:r w:rsidR="001F2D38" w:rsidRPr="00A23740">
              <w:t xml:space="preserve">sına ilişkin hususlar düzenlenmektedir. </w:t>
            </w:r>
          </w:p>
          <w:p w:rsidR="00827F0F" w:rsidRPr="00A23740" w:rsidRDefault="00CE0DAF" w:rsidP="009431FF">
            <w:pPr>
              <w:ind w:firstLine="709"/>
            </w:pPr>
            <w:r w:rsidRPr="00A23740">
              <w:t>Konkordato</w:t>
            </w:r>
            <w:r w:rsidR="003F731C" w:rsidRPr="00A23740">
              <w:t>nun</w:t>
            </w:r>
            <w:r w:rsidRPr="00A23740">
              <w:t xml:space="preserve"> tasdik</w:t>
            </w:r>
            <w:r w:rsidR="003F731C" w:rsidRPr="00A23740">
              <w:t>i</w:t>
            </w:r>
            <w:r w:rsidRPr="00A23740">
              <w:t xml:space="preserve"> talebinin reddedilmesi h</w:t>
            </w:r>
            <w:r w:rsidR="00D271B8" w:rsidRPr="00A23740">
              <w:t>â</w:t>
            </w:r>
            <w:r w:rsidRPr="00A23740">
              <w:t>linde mahkeme bu durumu ilan edecek ve gerekli yerlere bil</w:t>
            </w:r>
            <w:r w:rsidR="00483DE4" w:rsidRPr="00A23740">
              <w:t>direcektir. İlan ve bildirim</w:t>
            </w:r>
            <w:r w:rsidRPr="00A23740">
              <w:t xml:space="preserve"> </w:t>
            </w:r>
            <w:r w:rsidR="001F2D38" w:rsidRPr="00A23740">
              <w:t>Taslağın</w:t>
            </w:r>
            <w:r w:rsidRPr="00A23740">
              <w:t xml:space="preserve"> </w:t>
            </w:r>
            <w:r w:rsidR="00642106" w:rsidRPr="00AB0FD4">
              <w:t>377 nci</w:t>
            </w:r>
            <w:r w:rsidR="00642106" w:rsidRPr="00A23740">
              <w:rPr>
                <w:szCs w:val="24"/>
              </w:rPr>
              <w:t xml:space="preserve"> </w:t>
            </w:r>
            <w:r w:rsidRPr="00A23740">
              <w:t>maddesi çerçevesinde yapılacaktır.</w:t>
            </w:r>
          </w:p>
          <w:p w:rsidR="00CE0DAF" w:rsidRPr="00A23740" w:rsidRDefault="00CE0DAF" w:rsidP="009431FF">
            <w:pPr>
              <w:ind w:firstLine="709"/>
            </w:pPr>
            <w:r w:rsidRPr="00A23740">
              <w:t>Konkordatonun tasdiki talebinin reddi mehaz Kanundan farklı olarak her durumda borçlunun iflası</w:t>
            </w:r>
            <w:r w:rsidR="003F731C" w:rsidRPr="00A23740">
              <w:t>nı</w:t>
            </w:r>
            <w:r w:rsidRPr="00A23740">
              <w:t xml:space="preserve"> da beraberinde getirmeyecektir. Maddenin ilk fıkrası gereğince borca batık bir </w:t>
            </w:r>
            <w:r w:rsidR="0051064F" w:rsidRPr="00AB0FD4">
              <w:t>borçlunun</w:t>
            </w:r>
            <w:r w:rsidRPr="00A23740">
              <w:t xml:space="preserve"> tasdik talebinin reddi</w:t>
            </w:r>
            <w:r w:rsidR="0051064F" w:rsidRPr="00AB0FD4">
              <w:t>, onun</w:t>
            </w:r>
            <w:r w:rsidRPr="00A23740">
              <w:t xml:space="preserve"> </w:t>
            </w:r>
            <w:r w:rsidR="0051064F" w:rsidRPr="00AB0FD4">
              <w:t>iflasını</w:t>
            </w:r>
            <w:r w:rsidRPr="00A23740">
              <w:t xml:space="preserve"> gerektiren ilk h</w:t>
            </w:r>
            <w:r w:rsidR="00D271B8" w:rsidRPr="00A23740">
              <w:t>â</w:t>
            </w:r>
            <w:r w:rsidRPr="00A23740">
              <w:t xml:space="preserve">ldir. Tasdik talebinin reddiyle birlikte </w:t>
            </w:r>
            <w:r w:rsidR="0051064F" w:rsidRPr="00AB0FD4">
              <w:t>borçlunun</w:t>
            </w:r>
            <w:r w:rsidRPr="00A23740">
              <w:t xml:space="preserve"> iflasını gerektiren diğer h</w:t>
            </w:r>
            <w:r w:rsidR="00C219C2" w:rsidRPr="00A23740">
              <w:t>â</w:t>
            </w:r>
            <w:r w:rsidRPr="00A23740">
              <w:t>l ise borçlunun malvarlığının korunması</w:t>
            </w:r>
            <w:r w:rsidR="0051064F" w:rsidRPr="00A23740">
              <w:t>nı</w:t>
            </w:r>
            <w:r w:rsidRPr="00A23740">
              <w:t xml:space="preserve"> gerektiren h</w:t>
            </w:r>
            <w:r w:rsidR="0051064F" w:rsidRPr="00A23740">
              <w:t>â</w:t>
            </w:r>
            <w:r w:rsidRPr="00A23740">
              <w:t>llerin varlığıdır. Bu h</w:t>
            </w:r>
            <w:r w:rsidR="0051064F" w:rsidRPr="00A23740">
              <w:t>â</w:t>
            </w:r>
            <w:r w:rsidRPr="00A23740">
              <w:t xml:space="preserve">lde mahkemeye geniş </w:t>
            </w:r>
            <w:r w:rsidR="007A2519">
              <w:t>bir takdir yetkisi tanınmıştır.</w:t>
            </w:r>
          </w:p>
          <w:p w:rsidR="00CE0DAF" w:rsidRPr="00A23740" w:rsidRDefault="00CE0DAF" w:rsidP="009431FF">
            <w:pPr>
              <w:ind w:firstLine="709"/>
            </w:pPr>
            <w:r w:rsidRPr="00A23740">
              <w:t xml:space="preserve">Maddenin ikinci fıkrası </w:t>
            </w:r>
            <w:r w:rsidR="00483DE4" w:rsidRPr="00A23740">
              <w:t xml:space="preserve">2004 sayılı Kanunun </w:t>
            </w:r>
            <w:r w:rsidRPr="00A23740">
              <w:t>ilgili hükmünün aynısıdır. Buna göre iflasa karar veren mahkeme tasfiyenin türünü de belirlemek zorundadır. Bu konuda mahkemenin bir takdir yetkisi bulunmamaktadır. Mahkeme borçlunun malvarlığı değerlerinin tasfiye masraflarını karşılayabileceğini tespit ederse tasfiyenin olağan usulde yapılmasına karar verecektir. Aksi h</w:t>
            </w:r>
            <w:r w:rsidR="0051064F" w:rsidRPr="00A23740">
              <w:t>â</w:t>
            </w:r>
            <w:r w:rsidRPr="00A23740">
              <w:t>lde tasfiye basit usulde cereyan edecek ve mahkeme</w:t>
            </w:r>
            <w:r w:rsidR="0051064F" w:rsidRPr="00A23740">
              <w:t xml:space="preserve"> </w:t>
            </w:r>
            <w:r w:rsidRPr="00A23740">
              <w:t xml:space="preserve">de kararına bu hususu ekleyecektir. İflasa karar veren mahkeme her ne kadar tasfiyenin türünü belirlemek zorunda </w:t>
            </w:r>
            <w:r w:rsidR="0051064F" w:rsidRPr="00A23740">
              <w:t xml:space="preserve">ise de konkordato </w:t>
            </w:r>
            <w:r w:rsidR="0051064F" w:rsidRPr="00AB0FD4">
              <w:t>komiseri tasfiyenin</w:t>
            </w:r>
            <w:r w:rsidRPr="00A23740">
              <w:t xml:space="preserve"> yerine getirilmesi konusunda bir karar vermeyebilir. Konkordato komiserinin iflas tasfiyesini yürütüp yürütemeyeceği hususunda takdir yetkisi mahkemededir. Mahkeme somut olayın özelliklerine göre tasfiyenin komiserce yürütülmesine karar verebilir. Şayet bu şekilde bir karar tesis edilmişse, iflas idaresine ait görev ve yetkiler komiserce yerine getirilir. Dikkat edilmelidir ki bu durumda komiser iflas idare mem</w:t>
            </w:r>
            <w:r w:rsidRPr="00AB0FD4">
              <w:t>ur</w:t>
            </w:r>
            <w:r w:rsidR="0051064F" w:rsidRPr="00AB0FD4">
              <w:t>u</w:t>
            </w:r>
            <w:r w:rsidRPr="00AB0FD4">
              <w:t xml:space="preserve"> </w:t>
            </w:r>
            <w:r w:rsidRPr="00A23740">
              <w:t xml:space="preserve">olarak kabul edilemez. İflas idaresinin oluşumu, görev ve yetkileri nispeten tasfiyeyi yürütecek komiserden farklıdır. Bu durumda mahkemece görevlendirilen komiserin iflas idaresinin görevden alınmasına ilişkin hükümler uygulanarak </w:t>
            </w:r>
            <w:r w:rsidR="003F731C" w:rsidRPr="00A23740">
              <w:t xml:space="preserve">görevine </w:t>
            </w:r>
            <w:r w:rsidRPr="00A23740">
              <w:t>son verilmesi mümkün olmayacaktır. Mahkemece tasfiyeyi yapmak için görevlendirilen komiserin görevine yine mahkem</w:t>
            </w:r>
            <w:r w:rsidRPr="00AB0FD4">
              <w:t>e</w:t>
            </w:r>
            <w:r w:rsidR="0051064F" w:rsidRPr="00AB0FD4">
              <w:t>ce</w:t>
            </w:r>
            <w:r w:rsidRPr="00A23740">
              <w:t xml:space="preserve"> son verebilecektir. </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i/>
                <w:szCs w:val="24"/>
              </w:rPr>
            </w:pPr>
            <w:r w:rsidRPr="00A23740">
              <w:rPr>
                <w:i/>
                <w:szCs w:val="24"/>
              </w:rPr>
              <w:t>Çekişmeli alacaklar hakkında dava</w:t>
            </w:r>
            <w:r w:rsidRPr="00A23740">
              <w:rPr>
                <w:rStyle w:val="KIRMIZIChar"/>
                <w:rFonts w:eastAsia="Calibri"/>
              </w:rPr>
              <w:t>:</w:t>
            </w:r>
          </w:p>
          <w:p w:rsidR="00AA5C8C" w:rsidRPr="00A23740" w:rsidRDefault="00AA5C8C" w:rsidP="009431FF">
            <w:pPr>
              <w:rPr>
                <w:b/>
                <w:szCs w:val="24"/>
              </w:rPr>
            </w:pPr>
            <w:r w:rsidRPr="00A23740">
              <w:rPr>
                <w:rStyle w:val="KIRMIZIChar"/>
                <w:rFonts w:eastAsia="Calibri"/>
              </w:rPr>
              <w:t>Madde 308/b- (1) (Ek: 28/2/2018-7101/37 md.)</w:t>
            </w:r>
            <w:r w:rsidRPr="00A23740">
              <w:rPr>
                <w:b/>
                <w:szCs w:val="24"/>
              </w:rPr>
              <w:t xml:space="preserve"> </w:t>
            </w:r>
          </w:p>
          <w:p w:rsidR="00B91678" w:rsidRPr="00A23740" w:rsidRDefault="00B91678" w:rsidP="009431FF">
            <w:pPr>
              <w:rPr>
                <w:szCs w:val="24"/>
              </w:rPr>
            </w:pPr>
          </w:p>
          <w:p w:rsidR="00AA5C8C" w:rsidRPr="00A23740" w:rsidRDefault="00AA5C8C" w:rsidP="009431FF">
            <w:pPr>
              <w:rPr>
                <w:rStyle w:val="KIRMIZIChar"/>
                <w:rFonts w:eastAsia="Calibri"/>
              </w:rPr>
            </w:pPr>
            <w:r w:rsidRPr="007A2519">
              <w:rPr>
                <w:rStyle w:val="KIRMIZIChar"/>
                <w:rFonts w:eastAsia="Calibri"/>
              </w:rPr>
              <w:t>Alacakları</w:t>
            </w:r>
            <w:r w:rsidRPr="00A23740">
              <w:rPr>
                <w:szCs w:val="24"/>
              </w:rPr>
              <w:t xml:space="preserve"> itiraza uğramış olan </w:t>
            </w:r>
            <w:r w:rsidRPr="007A2519">
              <w:rPr>
                <w:rStyle w:val="KIRMIZIChar"/>
                <w:rFonts w:eastAsia="Calibri"/>
              </w:rPr>
              <w:t>alacaklılar, tasdik</w:t>
            </w:r>
            <w:r w:rsidRPr="00A23740">
              <w:rPr>
                <w:szCs w:val="24"/>
              </w:rPr>
              <w:t xml:space="preserve"> </w:t>
            </w:r>
            <w:r w:rsidRPr="00A23740">
              <w:rPr>
                <w:rStyle w:val="KIRMIZIChar"/>
                <w:rFonts w:eastAsia="Calibri"/>
              </w:rPr>
              <w:t>kararının ilânı tarihinden itibaren bir ay içinde dava açabilirler.</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(2)</w:t>
            </w:r>
            <w:r w:rsidRPr="00A23740">
              <w:rPr>
                <w:szCs w:val="24"/>
              </w:rPr>
              <w:t xml:space="preserve"> Tasdik kararını veren mahkeme, konkordato projesi </w:t>
            </w:r>
            <w:r w:rsidRPr="007A2519">
              <w:rPr>
                <w:rStyle w:val="KIRMIZIChar"/>
                <w:rFonts w:eastAsia="Calibri"/>
              </w:rPr>
              <w:t>uyarınca çekişmeli alacaklara</w:t>
            </w:r>
            <w:r w:rsidRPr="00A23740">
              <w:rPr>
                <w:szCs w:val="24"/>
              </w:rPr>
              <w:t xml:space="preserve"> isabet eden payın, </w:t>
            </w:r>
            <w:r w:rsidRPr="007A2519">
              <w:rPr>
                <w:rStyle w:val="KIRMIZIChar"/>
                <w:rFonts w:eastAsia="Calibri"/>
              </w:rPr>
              <w:t>kararın kesinleşmesine kadar</w:t>
            </w:r>
            <w:r w:rsidRPr="00A23740">
              <w:rPr>
                <w:szCs w:val="24"/>
              </w:rPr>
              <w:t xml:space="preserve"> borçlu tarafından, </w:t>
            </w:r>
            <w:r w:rsidRPr="007A2519">
              <w:rPr>
                <w:rStyle w:val="KIRMIZIChar"/>
                <w:rFonts w:eastAsia="Calibri"/>
              </w:rPr>
              <w:t>mahkemece belirlenen bir</w:t>
            </w:r>
            <w:r w:rsidRPr="00A23740">
              <w:rPr>
                <w:szCs w:val="24"/>
              </w:rPr>
              <w:t xml:space="preserve"> bankaya yatırılmasına karar verebilir. </w:t>
            </w:r>
            <w:r w:rsidRPr="007A2519">
              <w:rPr>
                <w:rStyle w:val="KIRMIZIChar"/>
                <w:rFonts w:eastAsia="Calibri"/>
              </w:rPr>
              <w:t>Süresi</w:t>
            </w:r>
            <w:r w:rsidRPr="007A2519">
              <w:rPr>
                <w:rStyle w:val="KIRMIZIChar"/>
                <w:rFonts w:eastAsia="Calibri"/>
                <w:strike w:val="0"/>
              </w:rPr>
              <w:t xml:space="preserve"> </w:t>
            </w:r>
            <w:r w:rsidRPr="007A2519">
              <w:rPr>
                <w:rStyle w:val="KIRMIZIChar"/>
                <w:rFonts w:eastAsia="Calibri"/>
                <w:b w:val="0"/>
                <w:strike w:val="0"/>
                <w:color w:val="000000" w:themeColor="text1"/>
              </w:rPr>
              <w:t>içinde</w:t>
            </w:r>
            <w:r w:rsidRPr="007A2519">
              <w:rPr>
                <w:color w:val="000000" w:themeColor="text1"/>
                <w:szCs w:val="24"/>
              </w:rPr>
              <w:t xml:space="preserve"> </w:t>
            </w:r>
            <w:r w:rsidRPr="00A23740">
              <w:rPr>
                <w:szCs w:val="24"/>
              </w:rPr>
              <w:t>dava açmamış olan alacaklılar, bu paydan ödeme yapılmasını talep edemezler; bu durumda yatırılan pay borçluya iade edilir.</w:t>
            </w:r>
          </w:p>
          <w:p w:rsidR="00AA5C8C" w:rsidRPr="00A23740" w:rsidRDefault="00AA5C8C" w:rsidP="009431FF">
            <w:pPr>
              <w:rPr>
                <w:rFonts w:eastAsia="Times New Roman"/>
                <w:i/>
                <w:szCs w:val="24"/>
                <w:lang w:eastAsia="tr-TR"/>
              </w:rPr>
            </w:pPr>
          </w:p>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rPr>
                <w:b/>
                <w:szCs w:val="24"/>
              </w:rPr>
            </w:pPr>
            <w:r w:rsidRPr="00A23740">
              <w:rPr>
                <w:b/>
                <w:szCs w:val="24"/>
              </w:rPr>
              <w:t>Çekişmeli alacaklar hakkında dava</w:t>
            </w:r>
          </w:p>
          <w:p w:rsidR="00AA5C8C" w:rsidRDefault="00AA5C8C" w:rsidP="009431FF">
            <w:pPr>
              <w:pStyle w:val="KIRMIZI"/>
            </w:pPr>
            <w:r w:rsidRPr="00A23740">
              <w:rPr>
                <w:rStyle w:val="MaviChar"/>
                <w:b/>
                <w:strike w:val="0"/>
                <w:lang w:val="tr-TR"/>
              </w:rPr>
              <w:t>MADDE</w:t>
            </w:r>
            <w:r w:rsidR="00164036" w:rsidRPr="00A23740">
              <w:rPr>
                <w:rStyle w:val="MaviChar"/>
                <w:b/>
                <w:strike w:val="0"/>
                <w:lang w:val="tr-TR"/>
              </w:rPr>
              <w:t xml:space="preserve"> 403</w:t>
            </w:r>
            <w:r w:rsidRPr="00A23740">
              <w:rPr>
                <w:rStyle w:val="MaviChar"/>
                <w:b/>
                <w:strike w:val="0"/>
                <w:lang w:val="tr-TR"/>
              </w:rPr>
              <w:t xml:space="preserve">- </w:t>
            </w:r>
          </w:p>
          <w:p w:rsidR="00B91678" w:rsidRPr="00A23740" w:rsidRDefault="00B91678" w:rsidP="009431FF">
            <w:pPr>
              <w:pStyle w:val="KIRMIZI"/>
              <w:rPr>
                <w:rStyle w:val="MaviChar"/>
                <w:b/>
                <w:strike w:val="0"/>
                <w:lang w:val="tr-TR"/>
              </w:rPr>
            </w:pPr>
          </w:p>
          <w:p w:rsidR="00B91678" w:rsidRPr="00A23740" w:rsidRDefault="00B91678" w:rsidP="009431FF">
            <w:pPr>
              <w:pStyle w:val="KIRMIZI"/>
              <w:rPr>
                <w:strike w:val="0"/>
                <w:lang w:val="tr-TR"/>
              </w:rPr>
            </w:pPr>
            <w:r w:rsidRPr="00A23740">
              <w:rPr>
                <w:rStyle w:val="MaviChar"/>
                <w:b/>
                <w:strike w:val="0"/>
                <w:lang w:val="tr-TR"/>
              </w:rPr>
              <w:t>(1)</w:t>
            </w:r>
            <w:r w:rsidRPr="00A23740">
              <w:rPr>
                <w:strike w:val="0"/>
                <w:lang w:val="tr-TR"/>
              </w:rPr>
              <w:t xml:space="preserve"> </w:t>
            </w:r>
            <w:r w:rsidRPr="00AB0FD4">
              <w:rPr>
                <w:rStyle w:val="MaviChar"/>
                <w:rFonts w:eastAsia="ヒラギノ明朝 Pro W3"/>
                <w:b/>
                <w:strike w:val="0"/>
              </w:rPr>
              <w:t>Alacağı</w:t>
            </w:r>
            <w:r w:rsidRPr="00A23740">
              <w:rPr>
                <w:b w:val="0"/>
                <w:strike w:val="0"/>
                <w:color w:val="auto"/>
                <w:lang w:val="tr-TR"/>
              </w:rPr>
              <w:t xml:space="preserve"> itiraza uğramış olan</w:t>
            </w:r>
            <w:r w:rsidRPr="00A23740">
              <w:rPr>
                <w:strike w:val="0"/>
                <w:lang w:val="tr-TR"/>
              </w:rPr>
              <w:t xml:space="preserve"> </w:t>
            </w:r>
            <w:r w:rsidRPr="00AB0FD4">
              <w:rPr>
                <w:rStyle w:val="MaviChar"/>
                <w:rFonts w:eastAsia="ヒラギノ明朝 Pro W3"/>
                <w:b/>
                <w:strike w:val="0"/>
              </w:rPr>
              <w:t>alacaklının</w:t>
            </w:r>
            <w:r w:rsidRPr="00A23740">
              <w:rPr>
                <w:rStyle w:val="MaviChar"/>
                <w:b/>
                <w:strike w:val="0"/>
                <w:lang w:val="tr-TR"/>
              </w:rPr>
              <w:t xml:space="preserve"> çekişmeli </w:t>
            </w:r>
            <w:r w:rsidRPr="00AB0FD4">
              <w:rPr>
                <w:rStyle w:val="MaviChar"/>
                <w:rFonts w:eastAsia="ヒラギノ明朝 Pro W3"/>
                <w:b/>
                <w:strike w:val="0"/>
              </w:rPr>
              <w:t>bu</w:t>
            </w:r>
            <w:r w:rsidRPr="00A23740">
              <w:rPr>
                <w:rStyle w:val="MaviChar"/>
                <w:b/>
                <w:strike w:val="0"/>
                <w:lang w:val="tr-TR"/>
              </w:rPr>
              <w:t xml:space="preserve"> alacak hakkında genel hükümler çerçevesinde dava açma hakkı saklıdır.</w:t>
            </w:r>
          </w:p>
          <w:p w:rsidR="00B91678" w:rsidRPr="00A23740" w:rsidRDefault="00B91678" w:rsidP="009431FF">
            <w:pPr>
              <w:rPr>
                <w:szCs w:val="24"/>
              </w:rPr>
            </w:pPr>
          </w:p>
          <w:p w:rsidR="00AA5C8C" w:rsidRPr="00A23740" w:rsidRDefault="00AA5C8C" w:rsidP="009431FF">
            <w:pPr>
              <w:rPr>
                <w:rFonts w:eastAsia="Times New Roman"/>
                <w:szCs w:val="24"/>
                <w:lang w:eastAsia="tr-TR"/>
              </w:rPr>
            </w:pPr>
            <w:r w:rsidRPr="00A23740">
              <w:rPr>
                <w:rStyle w:val="MaviChar"/>
                <w:lang w:val="tr-TR"/>
              </w:rPr>
              <w:t>(2)</w:t>
            </w:r>
            <w:r w:rsidRPr="00A23740">
              <w:rPr>
                <w:szCs w:val="24"/>
              </w:rPr>
              <w:t xml:space="preserve"> Tasdik kararını veren mahkeme, </w:t>
            </w:r>
            <w:r w:rsidRPr="00A23740">
              <w:rPr>
                <w:rStyle w:val="MaviChar"/>
                <w:lang w:val="tr-TR"/>
              </w:rPr>
              <w:t xml:space="preserve">alacağı itiraza uğramış olan alacaklının alacağının itiraza uğrayan </w:t>
            </w:r>
            <w:r w:rsidR="00B87272" w:rsidRPr="00AB0FD4">
              <w:rPr>
                <w:rStyle w:val="MaviChar"/>
                <w:lang w:val="tr-TR"/>
              </w:rPr>
              <w:t>kısmına</w:t>
            </w:r>
            <w:r w:rsidRPr="00A23740">
              <w:rPr>
                <w:rStyle w:val="MaviChar"/>
                <w:lang w:val="tr-TR"/>
              </w:rPr>
              <w:t xml:space="preserve"> </w:t>
            </w:r>
            <w:r w:rsidRPr="007A2519">
              <w:rPr>
                <w:rStyle w:val="MaviChar"/>
                <w:b w:val="0"/>
                <w:color w:val="000000" w:themeColor="text1"/>
                <w:lang w:val="tr-TR"/>
              </w:rPr>
              <w:t>konkordato projesi</w:t>
            </w:r>
            <w:r w:rsidRPr="007A2519">
              <w:rPr>
                <w:rStyle w:val="Balk1Char"/>
                <w:rFonts w:eastAsia="Calibri"/>
              </w:rPr>
              <w:t>ne</w:t>
            </w:r>
            <w:r w:rsidRPr="007A2519">
              <w:rPr>
                <w:rStyle w:val="MaviChar"/>
                <w:color w:val="000000" w:themeColor="text1"/>
                <w:lang w:val="tr-TR"/>
              </w:rPr>
              <w:t xml:space="preserve"> </w:t>
            </w:r>
            <w:r w:rsidRPr="00A23740">
              <w:rPr>
                <w:rStyle w:val="MaviChar"/>
                <w:lang w:val="tr-TR"/>
              </w:rPr>
              <w:t xml:space="preserve">göre </w:t>
            </w:r>
            <w:r w:rsidRPr="007A2519">
              <w:rPr>
                <w:rStyle w:val="MaviChar"/>
                <w:b w:val="0"/>
                <w:color w:val="000000" w:themeColor="text1"/>
                <w:lang w:val="tr-TR"/>
              </w:rPr>
              <w:t>isabet</w:t>
            </w:r>
            <w:r w:rsidRPr="007A2519">
              <w:rPr>
                <w:rStyle w:val="MaviChar"/>
                <w:color w:val="000000" w:themeColor="text1"/>
                <w:lang w:val="tr-TR"/>
              </w:rPr>
              <w:t xml:space="preserve"> </w:t>
            </w:r>
            <w:r w:rsidRPr="007A2519">
              <w:rPr>
                <w:rStyle w:val="MaviChar"/>
                <w:b w:val="0"/>
                <w:color w:val="000000" w:themeColor="text1"/>
                <w:lang w:val="tr-TR"/>
              </w:rPr>
              <w:t>eden</w:t>
            </w:r>
            <w:r w:rsidRPr="007A2519">
              <w:rPr>
                <w:rStyle w:val="MaviChar"/>
                <w:color w:val="000000" w:themeColor="text1"/>
                <w:lang w:val="tr-TR"/>
              </w:rPr>
              <w:t xml:space="preserve"> </w:t>
            </w:r>
            <w:r w:rsidRPr="00A23740">
              <w:rPr>
                <w:rStyle w:val="MaviChar"/>
                <w:lang w:val="tr-TR"/>
              </w:rPr>
              <w:t>miktarının</w:t>
            </w:r>
            <w:r w:rsidRPr="00AB0FD4">
              <w:rPr>
                <w:rStyle w:val="MaviChar"/>
              </w:rPr>
              <w:t>,</w:t>
            </w:r>
            <w:r w:rsidRPr="00A23740">
              <w:rPr>
                <w:rStyle w:val="MaviChar"/>
                <w:lang w:val="tr-TR"/>
              </w:rPr>
              <w:t xml:space="preserve"> </w:t>
            </w:r>
            <w:r w:rsidRPr="00A23740">
              <w:rPr>
                <w:szCs w:val="24"/>
              </w:rPr>
              <w:t xml:space="preserve">borçlu tarafından bankaya yatırılmasına karar </w:t>
            </w:r>
            <w:r w:rsidRPr="00A23740">
              <w:rPr>
                <w:rStyle w:val="MaviChar"/>
                <w:lang w:val="tr-TR"/>
              </w:rPr>
              <w:t>verebilir</w:t>
            </w:r>
            <w:r w:rsidRPr="00A23740">
              <w:rPr>
                <w:szCs w:val="24"/>
              </w:rPr>
              <w:t xml:space="preserve">. </w:t>
            </w:r>
            <w:r w:rsidRPr="00A23740">
              <w:rPr>
                <w:rStyle w:val="MaviChar"/>
                <w:lang w:val="tr-TR"/>
              </w:rPr>
              <w:t xml:space="preserve">Tasdik kararının ilanından itibaren bir ay </w:t>
            </w:r>
            <w:r w:rsidRPr="007A2519">
              <w:rPr>
                <w:rStyle w:val="MaviChar"/>
                <w:b w:val="0"/>
                <w:color w:val="000000" w:themeColor="text1"/>
                <w:lang w:val="tr-TR"/>
              </w:rPr>
              <w:t>içinde</w:t>
            </w:r>
            <w:r w:rsidRPr="007A2519">
              <w:rPr>
                <w:rStyle w:val="MaviChar"/>
                <w:color w:val="000000" w:themeColor="text1"/>
                <w:lang w:val="tr-TR"/>
              </w:rPr>
              <w:t xml:space="preserve"> </w:t>
            </w:r>
            <w:r w:rsidRPr="00A23740">
              <w:rPr>
                <w:rStyle w:val="MaviChar"/>
                <w:lang w:val="tr-TR"/>
              </w:rPr>
              <w:t>birinci fıkraya göre</w:t>
            </w:r>
            <w:r w:rsidRPr="00A23740">
              <w:rPr>
                <w:szCs w:val="24"/>
              </w:rPr>
              <w:t xml:space="preserve"> dava açmamış olan alacaklılar, bu paydan ödeme yapılmasını talep edemezler; bu durumda yatırılan pay borçluya iade edilir. </w:t>
            </w:r>
          </w:p>
        </w:tc>
      </w:tr>
      <w:tr w:rsidR="005C3738" w:rsidRPr="00A23740" w:rsidTr="009431FF">
        <w:tc>
          <w:tcPr>
            <w:tcW w:w="5000" w:type="pct"/>
            <w:gridSpan w:val="2"/>
            <w:shd w:val="clear" w:color="auto" w:fill="DEEAF6"/>
          </w:tcPr>
          <w:p w:rsidR="00F951E3" w:rsidRPr="00A23740" w:rsidRDefault="00F951E3" w:rsidP="009431FF">
            <w:pPr>
              <w:ind w:firstLine="567"/>
              <w:rPr>
                <w:b/>
                <w:bCs/>
                <w:szCs w:val="24"/>
                <w:lang w:eastAsia="x-none"/>
              </w:rPr>
            </w:pPr>
          </w:p>
          <w:p w:rsidR="0034205E" w:rsidRPr="00A23740" w:rsidRDefault="00164036" w:rsidP="009431FF">
            <w:pPr>
              <w:ind w:firstLine="709"/>
            </w:pPr>
            <w:r w:rsidRPr="00A23740">
              <w:rPr>
                <w:b/>
                <w:bCs/>
                <w:szCs w:val="24"/>
                <w:lang w:eastAsia="x-none"/>
              </w:rPr>
              <w:t>MADDE 403</w:t>
            </w:r>
            <w:r w:rsidR="005C3738" w:rsidRPr="00A23740">
              <w:rPr>
                <w:b/>
                <w:bCs/>
                <w:szCs w:val="24"/>
                <w:lang w:eastAsia="x-none"/>
              </w:rPr>
              <w:t xml:space="preserve">- </w:t>
            </w:r>
            <w:r w:rsidR="00483DE4" w:rsidRPr="00A23740">
              <w:rPr>
                <w:bCs/>
                <w:szCs w:val="24"/>
                <w:lang w:eastAsia="x-none"/>
              </w:rPr>
              <w:t xml:space="preserve">Maddeyle, </w:t>
            </w:r>
            <w:r w:rsidR="00483DE4" w:rsidRPr="00A23740">
              <w:rPr>
                <w:szCs w:val="24"/>
              </w:rPr>
              <w:t xml:space="preserve">çekişmeli </w:t>
            </w:r>
            <w:r w:rsidR="00483DE4" w:rsidRPr="00AB0FD4">
              <w:t>alacaklar</w:t>
            </w:r>
            <w:r w:rsidR="00B87272" w:rsidRPr="00AB0FD4">
              <w:t>a ilişkin davalar</w:t>
            </w:r>
            <w:r w:rsidR="00483DE4" w:rsidRPr="00A23740">
              <w:rPr>
                <w:szCs w:val="24"/>
              </w:rPr>
              <w:t xml:space="preserve"> düzenlenmektedir.</w:t>
            </w:r>
            <w:r w:rsidR="00483DE4" w:rsidRPr="00A23740">
              <w:rPr>
                <w:b/>
                <w:szCs w:val="24"/>
              </w:rPr>
              <w:t xml:space="preserve"> </w:t>
            </w:r>
            <w:r w:rsidR="00483DE4" w:rsidRPr="00A23740">
              <w:t>2004 sayılı</w:t>
            </w:r>
            <w:r w:rsidR="00CE0DAF" w:rsidRPr="00A23740">
              <w:t xml:space="preserve"> Kanunun sorunlara sebebiyet veren ilgili hükmü madde</w:t>
            </w:r>
            <w:r w:rsidR="00B87272" w:rsidRPr="00A23740">
              <w:t>yle</w:t>
            </w:r>
            <w:r w:rsidR="00CE0DAF" w:rsidRPr="00A23740">
              <w:t xml:space="preserve"> açıklığa kavuşturulmuştur. </w:t>
            </w:r>
          </w:p>
          <w:p w:rsidR="00CE0DAF" w:rsidRPr="00A23740" w:rsidRDefault="00CE0DAF" w:rsidP="009431FF">
            <w:pPr>
              <w:ind w:firstLine="709"/>
              <w:rPr>
                <w:b/>
                <w:szCs w:val="24"/>
              </w:rPr>
            </w:pPr>
            <w:r w:rsidRPr="00A23740">
              <w:t xml:space="preserve">Konkordatoda çekişmeli </w:t>
            </w:r>
            <w:r w:rsidRPr="00AB0FD4">
              <w:t>alacak</w:t>
            </w:r>
            <w:r w:rsidR="004526E3" w:rsidRPr="00AB0FD4">
              <w:t>lar</w:t>
            </w:r>
            <w:r w:rsidRPr="00AB0FD4">
              <w:t>,</w:t>
            </w:r>
            <w:r w:rsidRPr="00A23740">
              <w:t xml:space="preserve"> borçlu tarafından kabul edilmeyen alacaklardır. İşte bu </w:t>
            </w:r>
            <w:r w:rsidR="00130D30" w:rsidRPr="00A23740">
              <w:t xml:space="preserve">tür </w:t>
            </w:r>
            <w:r w:rsidRPr="00A23740">
              <w:t xml:space="preserve">alacaklarda alacaklının genel hükümler çerçevesinde dava açma hakkına sahip </w:t>
            </w:r>
            <w:r w:rsidR="00130D30" w:rsidRPr="00A23740">
              <w:t xml:space="preserve">olması hali </w:t>
            </w:r>
            <w:r w:rsidRPr="00A23740">
              <w:t>ilk fıkranın konusu olmuştur. Alacağın konkordato sürecinde çekişmeli h</w:t>
            </w:r>
            <w:r w:rsidR="004526E3" w:rsidRPr="00A23740">
              <w:t>â</w:t>
            </w:r>
            <w:r w:rsidRPr="00A23740">
              <w:t>le gelmesi bu alacağa ilişkin yargılama koşullarında bir değişikliğe sebebiyet vermeyecektir. Başka bir ifadeyle, çekişmeli alacağa ilişkin dava konkordato mahkemesinden bağımsız olarak işin esası</w:t>
            </w:r>
            <w:r w:rsidR="00130D30" w:rsidRPr="00A23740">
              <w:t xml:space="preserve"> hakkında</w:t>
            </w:r>
            <w:r w:rsidRPr="00A23740">
              <w:t xml:space="preserve"> görevli ve yetkili mahkemede açılacaktır. Aksi h</w:t>
            </w:r>
            <w:r w:rsidR="004526E3" w:rsidRPr="00A23740">
              <w:t>â</w:t>
            </w:r>
            <w:r w:rsidRPr="00A23740">
              <w:t>lde çekişmeli alacak iş ilişkisinden kaynaklanan bir alacak ise</w:t>
            </w:r>
            <w:r w:rsidR="00130D30" w:rsidRPr="00A23740">
              <w:t>,</w:t>
            </w:r>
            <w:r w:rsidRPr="00A23740">
              <w:t xml:space="preserve"> bu alacağın iflas mahkemesinde görülmesi gibi bir sonuç ortaya çıkacaktır. Yine benzer şekilde alacağın esasına ilişkin uyuşmazlık dava şartı arabuluculuk koşuluna tabi ise</w:t>
            </w:r>
            <w:r w:rsidR="004526E3" w:rsidRPr="006C4AA3">
              <w:rPr>
                <w:rStyle w:val="YELChar"/>
                <w:b w:val="0"/>
                <w:color w:val="000000" w:themeColor="text1"/>
              </w:rPr>
              <w:t>,</w:t>
            </w:r>
            <w:r w:rsidRPr="00A23740">
              <w:t xml:space="preserve"> elbette dava açılmadan önce alacaklının arabuluculuk koşu</w:t>
            </w:r>
            <w:r w:rsidR="00F951E3" w:rsidRPr="00A23740">
              <w:t xml:space="preserve">lunu yerine getirmesi gerekir. </w:t>
            </w:r>
          </w:p>
          <w:p w:rsidR="00CE0DAF" w:rsidRPr="00A23740" w:rsidRDefault="00CE0DAF" w:rsidP="009431FF">
            <w:pPr>
              <w:ind w:firstLine="567"/>
              <w:rPr>
                <w:rStyle w:val="MaviChar"/>
                <w:b w:val="0"/>
                <w:bCs w:val="0"/>
                <w:color w:val="auto"/>
                <w:lang w:val="tr-TR"/>
              </w:rPr>
            </w:pPr>
            <w:r w:rsidRPr="00A23740">
              <w:t>Maddenin ikinci fıkrası çekişmeli alacaklarda alacaklının hakkının korunması amacıyla kaleme alınmıştır. Çekişmeli alacaklıyla benzer durumdaki alacaklılar konkordato projesi çerçevesinde alacaklarını tahsil edebilirlerken</w:t>
            </w:r>
            <w:r w:rsidRPr="00AB0FD4">
              <w:t>,</w:t>
            </w:r>
            <w:r w:rsidR="004526E3" w:rsidRPr="00AB0FD4">
              <w:t xml:space="preserve"> alacağı</w:t>
            </w:r>
            <w:r w:rsidRPr="00AB0FD4">
              <w:t xml:space="preserve"> çekişmeli</w:t>
            </w:r>
            <w:r w:rsidR="004526E3" w:rsidRPr="00A23740">
              <w:t xml:space="preserve"> </w:t>
            </w:r>
            <w:r w:rsidR="004526E3" w:rsidRPr="00AB0FD4">
              <w:t>olan</w:t>
            </w:r>
            <w:r w:rsidRPr="00A23740">
              <w:t xml:space="preserve"> alacaklının borçlunun itirazı sebebiyle alacağına kavuşabilmesi mümkün olmamıştır. İleride açacağı davada alacaklı olduğu mahkemenin</w:t>
            </w:r>
            <w:r w:rsidR="004526E3" w:rsidRPr="00A23740">
              <w:t xml:space="preserve"> </w:t>
            </w:r>
            <w:r w:rsidR="004526E3" w:rsidRPr="00AB0FD4">
              <w:t>kararıyla</w:t>
            </w:r>
            <w:r w:rsidRPr="00A23740">
              <w:t xml:space="preserve"> kabul</w:t>
            </w:r>
            <w:r w:rsidR="004526E3" w:rsidRPr="00A23740">
              <w:t xml:space="preserve"> edilen</w:t>
            </w:r>
            <w:r w:rsidRPr="00A23740">
              <w:t xml:space="preserve"> alacaklının daha fazla zarara uğramasına mani olmak amacıyla</w:t>
            </w:r>
            <w:r w:rsidR="004526E3" w:rsidRPr="007A2519">
              <w:rPr>
                <w:rStyle w:val="YELChar"/>
                <w:b w:val="0"/>
                <w:color w:val="000000" w:themeColor="text1"/>
              </w:rPr>
              <w:t>,</w:t>
            </w:r>
            <w:r w:rsidRPr="00A23740">
              <w:t xml:space="preserve"> konkordatonun tasdikine karar veren mahkemenin </w:t>
            </w:r>
            <w:r w:rsidRPr="00A23740">
              <w:rPr>
                <w:rStyle w:val="MaviChar"/>
                <w:b w:val="0"/>
                <w:color w:val="auto"/>
              </w:rPr>
              <w:t>alacağı itiraza uğramış olan alacaklının ala</w:t>
            </w:r>
            <w:r w:rsidR="004526E3" w:rsidRPr="00A23740">
              <w:rPr>
                <w:rStyle w:val="MaviChar"/>
                <w:b w:val="0"/>
                <w:color w:val="auto"/>
              </w:rPr>
              <w:t>cağının itiraza uğrayan kısmına</w:t>
            </w:r>
            <w:r w:rsidRPr="00A23740">
              <w:rPr>
                <w:rStyle w:val="MaviChar"/>
                <w:b w:val="0"/>
                <w:color w:val="auto"/>
              </w:rPr>
              <w:t xml:space="preserve"> konkordato projesine göre isabet eden miktarın</w:t>
            </w:r>
            <w:r w:rsidRPr="00A23740">
              <w:rPr>
                <w:rStyle w:val="YELChar"/>
                <w:b w:val="0"/>
                <w:bCs/>
                <w:color w:val="000000"/>
              </w:rPr>
              <w:t>,</w:t>
            </w:r>
            <w:r w:rsidRPr="00A23740">
              <w:rPr>
                <w:rStyle w:val="MaviChar"/>
                <w:b w:val="0"/>
                <w:color w:val="auto"/>
              </w:rPr>
              <w:t xml:space="preserve"> </w:t>
            </w:r>
            <w:r w:rsidRPr="00A23740">
              <w:rPr>
                <w:szCs w:val="24"/>
              </w:rPr>
              <w:t>borçlu tarafından bankaya yatırılmasına karar</w:t>
            </w:r>
            <w:r w:rsidRPr="00A23740">
              <w:rPr>
                <w:b/>
                <w:bCs/>
                <w:szCs w:val="24"/>
              </w:rPr>
              <w:t xml:space="preserve"> </w:t>
            </w:r>
            <w:r w:rsidRPr="00A23740">
              <w:rPr>
                <w:rStyle w:val="MaviChar"/>
                <w:b w:val="0"/>
                <w:color w:val="auto"/>
              </w:rPr>
              <w:t>verebil</w:t>
            </w:r>
            <w:r w:rsidRPr="00A23740">
              <w:rPr>
                <w:rStyle w:val="MaviChar"/>
                <w:b w:val="0"/>
                <w:color w:val="auto"/>
                <w:lang w:val="tr-TR"/>
              </w:rPr>
              <w:t xml:space="preserve">eceği </w:t>
            </w:r>
            <w:r w:rsidR="00130D30" w:rsidRPr="00A23740">
              <w:rPr>
                <w:rStyle w:val="MaviChar"/>
                <w:b w:val="0"/>
                <w:color w:val="auto"/>
                <w:lang w:val="tr-TR"/>
              </w:rPr>
              <w:t xml:space="preserve">hususu </w:t>
            </w:r>
            <w:r w:rsidRPr="00A23740">
              <w:rPr>
                <w:rStyle w:val="MaviChar"/>
                <w:b w:val="0"/>
                <w:color w:val="auto"/>
                <w:lang w:val="tr-TR"/>
              </w:rPr>
              <w:t>ikinci fıkranın konusu olmuştur. Mahkemenin bu şekilde karar vermesi h</w:t>
            </w:r>
            <w:r w:rsidR="004526E3" w:rsidRPr="00A23740">
              <w:rPr>
                <w:rStyle w:val="MaviChar"/>
                <w:b w:val="0"/>
                <w:color w:val="auto"/>
                <w:lang w:val="tr-TR"/>
              </w:rPr>
              <w:t>â</w:t>
            </w:r>
            <w:r w:rsidRPr="00A23740">
              <w:rPr>
                <w:rStyle w:val="MaviChar"/>
                <w:b w:val="0"/>
                <w:color w:val="auto"/>
                <w:lang w:val="tr-TR"/>
              </w:rPr>
              <w:t>linde borçlunun bankaya yatıracağı para</w:t>
            </w:r>
            <w:r w:rsidR="00130D30" w:rsidRPr="00A23740">
              <w:rPr>
                <w:rStyle w:val="MaviChar"/>
                <w:b w:val="0"/>
                <w:color w:val="auto"/>
                <w:lang w:val="tr-TR"/>
              </w:rPr>
              <w:t>,</w:t>
            </w:r>
            <w:r w:rsidRPr="00A23740">
              <w:rPr>
                <w:rStyle w:val="MaviChar"/>
                <w:b w:val="0"/>
                <w:color w:val="auto"/>
                <w:lang w:val="tr-TR"/>
              </w:rPr>
              <w:t xml:space="preserve"> konkordato projesine göre belirlenecektir. Elbette bu durumda alacağın tamamının bankaya yatırılması beklenemez. Alacaklının payına düşecek miktarın borçlu tarafından bankaya yatırılabilmesi için</w:t>
            </w:r>
            <w:r w:rsidR="00130D30" w:rsidRPr="00A23740">
              <w:rPr>
                <w:rStyle w:val="MaviChar"/>
                <w:b w:val="0"/>
                <w:color w:val="auto"/>
                <w:lang w:val="tr-TR"/>
              </w:rPr>
              <w:t>,</w:t>
            </w:r>
            <w:r w:rsidRPr="00A23740">
              <w:rPr>
                <w:rStyle w:val="MaviChar"/>
                <w:b w:val="0"/>
                <w:color w:val="auto"/>
                <w:lang w:val="tr-TR"/>
              </w:rPr>
              <w:t xml:space="preserve"> alacaklının tasdik kararının ilanından itibaren bir ay içinde genel mahkemede davasını açması gerekir. Bu süre içinde dava açılmazsa yatırılan pay borçluya iade edilecektir.</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i/>
                <w:szCs w:val="24"/>
              </w:rPr>
            </w:pPr>
          </w:p>
          <w:p w:rsidR="00AA5C8C" w:rsidRPr="00A23740" w:rsidRDefault="00AA5C8C" w:rsidP="009431FF">
            <w:pPr>
              <w:rPr>
                <w:i/>
                <w:szCs w:val="24"/>
              </w:rPr>
            </w:pPr>
          </w:p>
          <w:p w:rsidR="00AA5C8C" w:rsidRPr="00A23740" w:rsidRDefault="00AA5C8C" w:rsidP="009431FF">
            <w:pPr>
              <w:rPr>
                <w:i/>
                <w:szCs w:val="24"/>
              </w:rPr>
            </w:pPr>
          </w:p>
          <w:p w:rsidR="00AA5C8C" w:rsidRPr="00A23740" w:rsidRDefault="00AA5C8C" w:rsidP="009431FF">
            <w:pPr>
              <w:rPr>
                <w:i/>
                <w:szCs w:val="24"/>
              </w:rPr>
            </w:pPr>
          </w:p>
          <w:p w:rsidR="00AA5C8C" w:rsidRPr="00A23740" w:rsidRDefault="00AA5C8C" w:rsidP="009431FF">
            <w:pPr>
              <w:rPr>
                <w:b/>
                <w:szCs w:val="24"/>
              </w:rPr>
            </w:pPr>
            <w:r w:rsidRPr="00A23740">
              <w:rPr>
                <w:i/>
                <w:szCs w:val="24"/>
              </w:rPr>
              <w:t>Konkordatonun hükümleri:</w:t>
            </w:r>
          </w:p>
          <w:p w:rsidR="00AA5C8C" w:rsidRPr="00A23740" w:rsidRDefault="00AA5C8C" w:rsidP="009431FF">
            <w:pPr>
              <w:rPr>
                <w:szCs w:val="24"/>
              </w:rPr>
            </w:pPr>
            <w:r w:rsidRPr="00A23740">
              <w:rPr>
                <w:rStyle w:val="KIRMIZIChar"/>
                <w:rFonts w:eastAsia="Calibri"/>
              </w:rPr>
              <w:t>Madde 308/c- (1) (Ek: 28/2/2018-7101/37 md.)</w:t>
            </w:r>
          </w:p>
          <w:p w:rsidR="00AA5C8C" w:rsidRPr="00A23740" w:rsidRDefault="00AA5C8C" w:rsidP="009431FF">
            <w:pPr>
              <w:rPr>
                <w:szCs w:val="24"/>
              </w:rPr>
            </w:pPr>
            <w:r w:rsidRPr="00A23740">
              <w:rPr>
                <w:szCs w:val="24"/>
              </w:rPr>
              <w:t>Konkordato, tasdik kararıyla bağlayıcı hâle gelir. Tasdik edilen konkordato projesinde konkordatonun, tasdik kararının kesinleşmesiyle bağlayıcı hâle geleceği de kararlaştırılabilir; bu takdirde mühletin etkileri, kanunda öngörülen istisnalar saklı kalmak kaydıyla konkordatonun bağlayıcı hâle geldiği tarihe kadar devam eder.</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9A45F7" w:rsidRPr="00A23740" w:rsidRDefault="009A45F7" w:rsidP="009431FF">
            <w:pPr>
              <w:rPr>
                <w:szCs w:val="24"/>
              </w:rPr>
            </w:pPr>
          </w:p>
          <w:p w:rsidR="00AA5C8C" w:rsidRPr="00A23740" w:rsidRDefault="00AA5C8C" w:rsidP="009431FF">
            <w:pPr>
              <w:rPr>
                <w:szCs w:val="24"/>
              </w:rPr>
            </w:pPr>
            <w:r w:rsidRPr="00A23740">
              <w:rPr>
                <w:rStyle w:val="KIRMIZIChar"/>
                <w:rFonts w:eastAsia="Calibri"/>
              </w:rPr>
              <w:t>(2)</w:t>
            </w:r>
            <w:r w:rsidRPr="00A23740">
              <w:rPr>
                <w:szCs w:val="24"/>
              </w:rPr>
              <w:t xml:space="preserve"> Bağlayıcı hâle gelen konkordato, konkordato talebinden önce veya komiserin izni olmaksızın mühlet içinde doğan bütün alacaklar için </w:t>
            </w:r>
            <w:r w:rsidRPr="00A23740">
              <w:rPr>
                <w:rStyle w:val="KIRMIZIChar"/>
                <w:rFonts w:eastAsia="Calibri"/>
              </w:rPr>
              <w:t>mecburidir</w:t>
            </w:r>
            <w:r w:rsidRPr="00A23740">
              <w:rPr>
                <w:szCs w:val="24"/>
              </w:rPr>
              <w:t>.</w:t>
            </w:r>
          </w:p>
          <w:p w:rsidR="00AA5C8C" w:rsidRPr="00A23740" w:rsidRDefault="00AA5C8C" w:rsidP="009431FF">
            <w:pPr>
              <w:rPr>
                <w:szCs w:val="24"/>
              </w:rPr>
            </w:pPr>
          </w:p>
          <w:p w:rsidR="00AA5C8C" w:rsidRPr="00A23740" w:rsidRDefault="00AA5C8C" w:rsidP="009431FF">
            <w:pPr>
              <w:rPr>
                <w:szCs w:val="24"/>
              </w:rPr>
            </w:pPr>
          </w:p>
          <w:p w:rsidR="0052664E" w:rsidRPr="00A23740" w:rsidRDefault="0052664E" w:rsidP="009431FF">
            <w:pPr>
              <w:rPr>
                <w:rStyle w:val="KIRMIZIChar"/>
                <w:rFonts w:eastAsia="Calibri"/>
              </w:rPr>
            </w:pPr>
          </w:p>
          <w:p w:rsidR="00AA5C8C" w:rsidRPr="00A23740" w:rsidRDefault="00AA5C8C" w:rsidP="009431FF">
            <w:pPr>
              <w:rPr>
                <w:szCs w:val="24"/>
              </w:rPr>
            </w:pPr>
            <w:r w:rsidRPr="00A23740">
              <w:rPr>
                <w:rStyle w:val="KIRMIZIChar"/>
                <w:rFonts w:eastAsia="Calibri"/>
              </w:rPr>
              <w:t>(3)</w:t>
            </w:r>
            <w:r w:rsidRPr="00A23740">
              <w:rPr>
                <w:szCs w:val="24"/>
              </w:rPr>
              <w:t xml:space="preserve"> </w:t>
            </w:r>
            <w:r w:rsidRPr="00A23740">
              <w:rPr>
                <w:rStyle w:val="KIRMIZIChar"/>
                <w:rFonts w:eastAsia="Calibri"/>
              </w:rPr>
              <w:t>206 ncı</w:t>
            </w:r>
            <w:r w:rsidRPr="00A23740">
              <w:rPr>
                <w:szCs w:val="24"/>
              </w:rPr>
              <w:t xml:space="preserve"> maddenin birinci sırasında yazılı imtiyazlı alacaklar, rehinli alacaklıların rehnin kıymetini karşılayan miktardaki alacakları ve </w:t>
            </w:r>
            <w:r w:rsidRPr="00A23740">
              <w:rPr>
                <w:rStyle w:val="KIRMIZIChar"/>
                <w:rFonts w:eastAsia="Calibri"/>
              </w:rPr>
              <w:t>6183 sayılı</w:t>
            </w:r>
            <w:r w:rsidRPr="00A23740">
              <w:rPr>
                <w:szCs w:val="24"/>
              </w:rPr>
              <w:t xml:space="preserve"> Kanun kapsamındaki amme alacakları hakkında bu maddenin </w:t>
            </w:r>
            <w:r w:rsidRPr="00A23740">
              <w:rPr>
                <w:rStyle w:val="KIRMIZIChar"/>
                <w:rFonts w:eastAsia="Calibri"/>
              </w:rPr>
              <w:t>ikinci</w:t>
            </w:r>
            <w:r w:rsidRPr="00A23740">
              <w:rPr>
                <w:szCs w:val="24"/>
              </w:rPr>
              <w:t xml:space="preserve"> fıkrası hükmü uygulanmaz.</w:t>
            </w:r>
          </w:p>
          <w:p w:rsidR="00AA5C8C" w:rsidRPr="00A23740" w:rsidRDefault="00AA5C8C" w:rsidP="009431FF">
            <w:pPr>
              <w:rPr>
                <w:szCs w:val="24"/>
              </w:rPr>
            </w:pPr>
          </w:p>
          <w:p w:rsidR="00277039" w:rsidRPr="00A23740" w:rsidRDefault="00277039" w:rsidP="009431FF">
            <w:pPr>
              <w:rPr>
                <w:szCs w:val="24"/>
              </w:rPr>
            </w:pPr>
          </w:p>
          <w:p w:rsidR="00AA5C8C" w:rsidRPr="00A23740" w:rsidRDefault="00AA5C8C" w:rsidP="009431FF">
            <w:pPr>
              <w:rPr>
                <w:szCs w:val="24"/>
              </w:rPr>
            </w:pPr>
            <w:r w:rsidRPr="00A23740">
              <w:rPr>
                <w:rStyle w:val="KIRMIZIChar"/>
                <w:rFonts w:eastAsia="Calibri"/>
              </w:rPr>
              <w:t>(4)</w:t>
            </w:r>
            <w:r w:rsidRPr="00A23740">
              <w:rPr>
                <w:szCs w:val="24"/>
              </w:rPr>
              <w:t xml:space="preserve"> </w:t>
            </w:r>
            <w:r w:rsidRPr="00A23740">
              <w:rPr>
                <w:rStyle w:val="KIRMIZIChar"/>
                <w:rFonts w:eastAsia="Calibri"/>
              </w:rPr>
              <w:t>(Değişik birinci cümle:9/6/2021-7327/7 md.)</w:t>
            </w:r>
            <w:r w:rsidRPr="00A23740">
              <w:rPr>
                <w:b/>
                <w:bCs/>
                <w:szCs w:val="24"/>
              </w:rPr>
              <w:t> </w:t>
            </w:r>
            <w:r w:rsidRPr="00A23740">
              <w:rPr>
                <w:szCs w:val="24"/>
              </w:rPr>
              <w:t xml:space="preserve">Kredi kurumları tarafından verilen krediler de dâhil olmak üzere geçici mühlet kararından sonra komiserin izniyle akdedilmiş borçlar, adi konkordatoda konkordato şartlarına tabi değildir, temerrüt hâlinde mühlet sırasında dahi icra takibine konu edilebilir ve </w:t>
            </w:r>
            <w:r w:rsidRPr="00A23740">
              <w:rPr>
                <w:rStyle w:val="KIRMIZIChar"/>
                <w:rFonts w:eastAsia="Calibri"/>
              </w:rPr>
              <w:t>206 ncı</w:t>
            </w:r>
            <w:r w:rsidRPr="00A23740">
              <w:rPr>
                <w:szCs w:val="24"/>
              </w:rPr>
              <w:t xml:space="preserve"> madde kapsamında rehinli alacaklardan hemen sonra, diğer bütün alacaklardan önce ödenir; malvarlığının terki suretiyle konkordatoda yahut sonraki bir iflâsta </w:t>
            </w:r>
            <w:r w:rsidRPr="00A23740">
              <w:rPr>
                <w:rStyle w:val="KIRMIZIChar"/>
                <w:rFonts w:eastAsia="Calibri"/>
              </w:rPr>
              <w:t>248 inci</w:t>
            </w:r>
            <w:r w:rsidRPr="00A23740">
              <w:rPr>
                <w:szCs w:val="24"/>
              </w:rPr>
              <w:t xml:space="preserve"> madde kapsamında masa borcu sayılır. Aynı kural karşı edimin ifasını komiserin izniyle kabul eden borçlunun taraf olduğu sürekli borç ilişkilerindeki karşı edimler için de geçerlidir.</w:t>
            </w:r>
          </w:p>
          <w:p w:rsidR="00AA5C8C" w:rsidRPr="00A23740" w:rsidRDefault="00AA5C8C" w:rsidP="009431FF">
            <w:pPr>
              <w:rPr>
                <w:szCs w:val="24"/>
              </w:rPr>
            </w:pPr>
          </w:p>
          <w:p w:rsidR="00AA5C8C" w:rsidRPr="00A23740" w:rsidRDefault="00AA5C8C" w:rsidP="009431FF">
            <w:pPr>
              <w:rPr>
                <w:i/>
                <w:szCs w:val="24"/>
              </w:rPr>
            </w:pPr>
          </w:p>
        </w:tc>
        <w:tc>
          <w:tcPr>
            <w:tcW w:w="2500" w:type="pct"/>
            <w:shd w:val="clear" w:color="auto" w:fill="FFFFFF"/>
          </w:tcPr>
          <w:p w:rsidR="00AA5C8C" w:rsidRPr="00A23740" w:rsidRDefault="00AA5C8C" w:rsidP="009431FF">
            <w:pPr>
              <w:pStyle w:val="Nor"/>
              <w:tabs>
                <w:tab w:val="clear" w:pos="567"/>
              </w:tabs>
              <w:jc w:val="center"/>
              <w:rPr>
                <w:rStyle w:val="MaviChar"/>
                <w:lang w:val="tr-TR"/>
              </w:rPr>
            </w:pPr>
            <w:r w:rsidRPr="00A23740">
              <w:rPr>
                <w:rStyle w:val="MaviChar"/>
                <w:lang w:val="tr-TR"/>
              </w:rPr>
              <w:t>BEŞİNCİ AYRIM</w:t>
            </w:r>
          </w:p>
          <w:p w:rsidR="00AA5C8C" w:rsidRPr="00A23740" w:rsidRDefault="00AA5C8C" w:rsidP="009431FF">
            <w:pPr>
              <w:pStyle w:val="Nor"/>
              <w:tabs>
                <w:tab w:val="clear" w:pos="567"/>
              </w:tabs>
              <w:jc w:val="center"/>
              <w:rPr>
                <w:rStyle w:val="MaviChar"/>
                <w:lang w:val="tr-TR"/>
              </w:rPr>
            </w:pPr>
            <w:r w:rsidRPr="00A23740">
              <w:rPr>
                <w:rStyle w:val="MaviChar"/>
                <w:lang w:val="tr-TR"/>
              </w:rPr>
              <w:t>Konkordatonun Hüküm ve Sonuçları</w:t>
            </w:r>
          </w:p>
          <w:p w:rsidR="00AA5C8C" w:rsidRPr="00A23740" w:rsidRDefault="00AA5C8C" w:rsidP="009431FF">
            <w:pPr>
              <w:rPr>
                <w:i/>
                <w:szCs w:val="24"/>
              </w:rPr>
            </w:pPr>
          </w:p>
          <w:p w:rsidR="00AA5C8C" w:rsidRPr="00A23740" w:rsidRDefault="00AA5C8C" w:rsidP="009431FF">
            <w:pPr>
              <w:rPr>
                <w:b/>
                <w:szCs w:val="24"/>
              </w:rPr>
            </w:pPr>
            <w:r w:rsidRPr="00A23740">
              <w:rPr>
                <w:b/>
                <w:szCs w:val="24"/>
              </w:rPr>
              <w:t>Konkordatonun hükümleri</w:t>
            </w:r>
          </w:p>
          <w:p w:rsidR="00AA5C8C" w:rsidRPr="00A23740" w:rsidRDefault="00AA5C8C" w:rsidP="009431FF">
            <w:pPr>
              <w:rPr>
                <w:szCs w:val="24"/>
              </w:rPr>
            </w:pPr>
            <w:r w:rsidRPr="00A23740">
              <w:rPr>
                <w:rStyle w:val="MaviChar"/>
                <w:lang w:val="tr-TR"/>
              </w:rPr>
              <w:t xml:space="preserve">MADDE </w:t>
            </w:r>
            <w:r w:rsidR="00164036" w:rsidRPr="00A23740">
              <w:rPr>
                <w:rStyle w:val="MaviChar"/>
                <w:rFonts w:eastAsia="Times New Roman"/>
                <w:lang w:val="tr-TR"/>
              </w:rPr>
              <w:t>404</w:t>
            </w:r>
            <w:r w:rsidRPr="00A23740">
              <w:rPr>
                <w:rStyle w:val="MaviChar"/>
                <w:rFonts w:eastAsia="Times New Roman"/>
                <w:lang w:val="tr-TR"/>
              </w:rPr>
              <w:t>- (</w:t>
            </w:r>
            <w:r w:rsidRPr="00A23740">
              <w:rPr>
                <w:rStyle w:val="MaviChar"/>
                <w:lang w:val="tr-TR"/>
              </w:rPr>
              <w:t>1)</w:t>
            </w:r>
            <w:r w:rsidRPr="00A23740">
              <w:rPr>
                <w:szCs w:val="24"/>
              </w:rPr>
              <w:t xml:space="preserve"> Konkordato, tasdik kararıyla bağlayıcı hâle gelir. </w:t>
            </w:r>
          </w:p>
          <w:p w:rsidR="00AA5C8C" w:rsidRPr="00A23740" w:rsidRDefault="00AA5C8C" w:rsidP="009431FF">
            <w:pPr>
              <w:rPr>
                <w:szCs w:val="24"/>
              </w:rPr>
            </w:pPr>
          </w:p>
          <w:p w:rsidR="009A45F7" w:rsidRPr="00A23740" w:rsidRDefault="00AA5C8C" w:rsidP="009431FF">
            <w:pPr>
              <w:rPr>
                <w:rStyle w:val="MaviChar"/>
                <w:rFonts w:eastAsia="Times New Roman"/>
                <w:lang w:val="tr-TR"/>
              </w:rPr>
            </w:pPr>
            <w:r w:rsidRPr="00A23740">
              <w:rPr>
                <w:rStyle w:val="MaviChar"/>
                <w:rFonts w:eastAsia="Times New Roman"/>
                <w:lang w:val="tr-TR"/>
              </w:rPr>
              <w:t>(2)</w:t>
            </w:r>
            <w:r w:rsidRPr="00A23740">
              <w:rPr>
                <w:szCs w:val="24"/>
              </w:rPr>
              <w:t xml:space="preserve"> </w:t>
            </w:r>
            <w:r w:rsidR="009A45F7" w:rsidRPr="00AB0FD4">
              <w:rPr>
                <w:rStyle w:val="MaviChar"/>
              </w:rPr>
              <w:t>İlk derece mahkemesince tasdik edilen konkordato projesinde konkordatonun, tasdik kararı hakkındaki istinaf talebinin bölge adliye mahkemesi tarafından esastan reddedilmesi üzerine bağlayıcı hâle gelebileceği de kararlaştırılabilir.</w:t>
            </w:r>
            <w:r w:rsidR="009A45F7" w:rsidRPr="00A23740">
              <w:rPr>
                <w:rStyle w:val="MaviChar"/>
                <w:rFonts w:eastAsia="Times New Roman"/>
                <w:lang w:val="tr-TR"/>
              </w:rPr>
              <w:t xml:space="preserve"> </w:t>
            </w:r>
            <w:r w:rsidR="009A45F7" w:rsidRPr="00A23740">
              <w:rPr>
                <w:rStyle w:val="Balk1Char"/>
                <w:rFonts w:eastAsia="Calibri"/>
                <w:b w:val="0"/>
                <w:color w:val="000000"/>
              </w:rPr>
              <w:t xml:space="preserve">Bu takdirde mühletin etkileri, konkordatonun </w:t>
            </w:r>
            <w:r w:rsidR="000B4426" w:rsidRPr="00AB0FD4">
              <w:rPr>
                <w:rStyle w:val="MaviChar"/>
              </w:rPr>
              <w:t>bağlayıcı hâle geleceği</w:t>
            </w:r>
            <w:r w:rsidR="000B4426" w:rsidRPr="00A23740">
              <w:rPr>
                <w:rStyle w:val="Balk1Char"/>
                <w:rFonts w:eastAsia="Calibri"/>
                <w:b w:val="0"/>
                <w:color w:val="000000"/>
              </w:rPr>
              <w:t xml:space="preserve"> </w:t>
            </w:r>
            <w:r w:rsidR="009A45F7" w:rsidRPr="00A23740">
              <w:rPr>
                <w:rStyle w:val="Balk1Char"/>
                <w:rFonts w:eastAsia="Calibri"/>
                <w:b w:val="0"/>
                <w:color w:val="000000"/>
              </w:rPr>
              <w:t>tarihe kadar devam eder.</w:t>
            </w:r>
            <w:r w:rsidR="009A45F7" w:rsidRPr="00A23740">
              <w:rPr>
                <w:szCs w:val="24"/>
              </w:rPr>
              <w:t xml:space="preserve"> </w:t>
            </w:r>
            <w:r w:rsidRPr="00A23740">
              <w:rPr>
                <w:rStyle w:val="MaviChar"/>
                <w:rFonts w:eastAsia="Times New Roman"/>
                <w:lang w:val="tr-TR"/>
              </w:rPr>
              <w:t>Şu kadar ki</w:t>
            </w:r>
            <w:r w:rsidR="00642106" w:rsidRPr="00A23740">
              <w:rPr>
                <w:rStyle w:val="MaviChar"/>
                <w:rFonts w:eastAsia="Times New Roman"/>
                <w:lang w:val="tr-TR"/>
              </w:rPr>
              <w:t xml:space="preserve">, </w:t>
            </w:r>
            <w:r w:rsidR="00642106" w:rsidRPr="00AB0FD4">
              <w:rPr>
                <w:rStyle w:val="MaviChar"/>
              </w:rPr>
              <w:t>401 inci</w:t>
            </w:r>
            <w:r w:rsidRPr="00A23740">
              <w:rPr>
                <w:rStyle w:val="MaviChar"/>
                <w:rFonts w:eastAsia="Times New Roman"/>
                <w:lang w:val="tr-TR"/>
              </w:rPr>
              <w:t xml:space="preserve"> madde hükmü saklı kalmak kaydıyla</w:t>
            </w:r>
            <w:r w:rsidR="00931B94" w:rsidRPr="00A23740">
              <w:rPr>
                <w:rStyle w:val="MaviChar"/>
                <w:rFonts w:eastAsia="Times New Roman"/>
                <w:lang w:val="tr-TR"/>
              </w:rPr>
              <w:t xml:space="preserve"> </w:t>
            </w:r>
            <w:r w:rsidR="00931B94" w:rsidRPr="00AB0FD4">
              <w:rPr>
                <w:rStyle w:val="MaviChar"/>
              </w:rPr>
              <w:t>mühletin</w:t>
            </w:r>
            <w:r w:rsidRPr="00A23740">
              <w:rPr>
                <w:rStyle w:val="MaviChar"/>
                <w:rFonts w:eastAsia="Times New Roman"/>
                <w:lang w:val="tr-TR"/>
              </w:rPr>
              <w:t xml:space="preserve"> rehinli alacaklılar için etkileri tasdik kararıyla kalkar.</w:t>
            </w:r>
          </w:p>
          <w:p w:rsidR="000B4426" w:rsidRPr="00A23740" w:rsidRDefault="000B4426" w:rsidP="009431FF">
            <w:pPr>
              <w:rPr>
                <w:szCs w:val="24"/>
              </w:rPr>
            </w:pPr>
          </w:p>
          <w:p w:rsidR="00AA5C8C" w:rsidRPr="00A23740" w:rsidRDefault="00AA5C8C" w:rsidP="009431FF">
            <w:pPr>
              <w:rPr>
                <w:b/>
                <w:color w:val="FF0000"/>
                <w:szCs w:val="24"/>
              </w:rPr>
            </w:pPr>
            <w:r w:rsidRPr="00A23740">
              <w:rPr>
                <w:rStyle w:val="MaviChar"/>
                <w:lang w:val="tr-TR"/>
              </w:rPr>
              <w:t>(3)</w:t>
            </w:r>
            <w:r w:rsidRPr="00A23740">
              <w:rPr>
                <w:szCs w:val="24"/>
              </w:rPr>
              <w:t xml:space="preserve"> Bağlayıcı hâle gelen konkordato, </w:t>
            </w:r>
            <w:r w:rsidRPr="00A23740">
              <w:rPr>
                <w:rStyle w:val="MaviChar"/>
                <w:lang w:val="tr-TR"/>
              </w:rPr>
              <w:t>geçici mühlet kararından</w:t>
            </w:r>
            <w:r w:rsidRPr="00A23740">
              <w:rPr>
                <w:rStyle w:val="AralkYokChar"/>
                <w:strike w:val="0"/>
                <w:lang w:val="tr-TR"/>
              </w:rPr>
              <w:t xml:space="preserve"> </w:t>
            </w:r>
            <w:r w:rsidRPr="00A23740">
              <w:rPr>
                <w:szCs w:val="24"/>
              </w:rPr>
              <w:t xml:space="preserve"> önce veya komiserin izni olmaksızın mühlet içinde doğan bütün alacaklar için </w:t>
            </w:r>
            <w:r w:rsidRPr="00A23740">
              <w:rPr>
                <w:rStyle w:val="MaviChar"/>
              </w:rPr>
              <w:t>zorunludur</w:t>
            </w:r>
            <w:r w:rsidRPr="00AB0FD4">
              <w:rPr>
                <w:rStyle w:val="MaviChar"/>
              </w:rPr>
              <w:t xml:space="preserve">. Borçlunun, olağan günlük iş ve işlemleri için komiserin verdiği izin kapsamında doğan borçlar bu hükmün dışındadır. </w:t>
            </w:r>
          </w:p>
          <w:p w:rsidR="00AA5C8C" w:rsidRPr="00A23740" w:rsidRDefault="00AA5C8C" w:rsidP="009431FF">
            <w:pPr>
              <w:rPr>
                <w:szCs w:val="24"/>
              </w:rPr>
            </w:pPr>
          </w:p>
          <w:p w:rsidR="00AA5C8C" w:rsidRPr="00A23740" w:rsidRDefault="00AA5C8C" w:rsidP="009431FF">
            <w:pPr>
              <w:rPr>
                <w:szCs w:val="24"/>
              </w:rPr>
            </w:pPr>
            <w:r w:rsidRPr="00A23740">
              <w:rPr>
                <w:rStyle w:val="MaviChar"/>
              </w:rPr>
              <w:t>(4)</w:t>
            </w:r>
            <w:r w:rsidRPr="00A23740">
              <w:rPr>
                <w:szCs w:val="24"/>
              </w:rPr>
              <w:t xml:space="preserve"> </w:t>
            </w:r>
            <w:r w:rsidRPr="00AB0FD4">
              <w:rPr>
                <w:rStyle w:val="MaviChar"/>
              </w:rPr>
              <w:t>Alacakların sırasına ilişkin</w:t>
            </w:r>
            <w:r w:rsidR="00642106" w:rsidRPr="00A23740">
              <w:rPr>
                <w:rStyle w:val="YELChar"/>
              </w:rPr>
              <w:t xml:space="preserve"> </w:t>
            </w:r>
            <w:r w:rsidR="00642106" w:rsidRPr="00AB0FD4">
              <w:rPr>
                <w:rStyle w:val="MaviChar"/>
              </w:rPr>
              <w:t>317 nci</w:t>
            </w:r>
            <w:r w:rsidRPr="00A23740">
              <w:rPr>
                <w:szCs w:val="24"/>
              </w:rPr>
              <w:t xml:space="preserve"> maddenin birinci sırasında yazılı imtiyazlı alacaklar, rehinli alacaklıların rehnin kıymetini karşılayan miktardaki alacakları ve </w:t>
            </w:r>
            <w:r w:rsidRPr="00A23740">
              <w:rPr>
                <w:rStyle w:val="MaviChar"/>
              </w:rPr>
              <w:t xml:space="preserve">Amme Alacaklarının Tahsil Usulü Hakkında </w:t>
            </w:r>
            <w:r w:rsidRPr="00A23740">
              <w:rPr>
                <w:szCs w:val="24"/>
              </w:rPr>
              <w:t xml:space="preserve">Kanun kapsamındaki </w:t>
            </w:r>
            <w:r w:rsidR="00931B94" w:rsidRPr="00AB0FD4">
              <w:rPr>
                <w:rStyle w:val="MaviChar"/>
              </w:rPr>
              <w:t xml:space="preserve">alacaklar </w:t>
            </w:r>
            <w:r w:rsidRPr="00AB0FD4">
              <w:rPr>
                <w:rStyle w:val="MaviChar"/>
              </w:rPr>
              <w:t>bakımından</w:t>
            </w:r>
            <w:r w:rsidRPr="00A23740">
              <w:rPr>
                <w:szCs w:val="24"/>
              </w:rPr>
              <w:t xml:space="preserve"> bu maddenin </w:t>
            </w:r>
            <w:r w:rsidRPr="00A23740">
              <w:rPr>
                <w:rStyle w:val="MaviChar"/>
              </w:rPr>
              <w:t>üçüncü</w:t>
            </w:r>
            <w:r w:rsidRPr="00A23740">
              <w:rPr>
                <w:szCs w:val="24"/>
              </w:rPr>
              <w:t xml:space="preserve"> fıkrası hükmü uygulanmaz.</w:t>
            </w:r>
          </w:p>
          <w:p w:rsidR="00AA5C8C" w:rsidRPr="00A23740" w:rsidRDefault="00AA5C8C" w:rsidP="009431FF">
            <w:pPr>
              <w:rPr>
                <w:szCs w:val="24"/>
              </w:rPr>
            </w:pPr>
            <w:r w:rsidRPr="00A23740">
              <w:rPr>
                <w:szCs w:val="24"/>
              </w:rPr>
              <w:t xml:space="preserve"> </w:t>
            </w:r>
          </w:p>
          <w:p w:rsidR="00AA5C8C" w:rsidRPr="00A23740" w:rsidRDefault="00AA5C8C" w:rsidP="009431FF">
            <w:pPr>
              <w:rPr>
                <w:szCs w:val="24"/>
              </w:rPr>
            </w:pPr>
            <w:r w:rsidRPr="00A23740">
              <w:rPr>
                <w:rStyle w:val="MaviChar"/>
              </w:rPr>
              <w:t>(5)</w:t>
            </w:r>
            <w:r w:rsidRPr="00A23740">
              <w:rPr>
                <w:szCs w:val="24"/>
              </w:rPr>
              <w:t xml:space="preserve"> Kredi kurumları tarafından verilen krediler de dâhil olmak üzere geçici mühlet kararından sonra komiserin izniyle akdedilmiş borçlar, konkordato şartlarına tabi değildir, temerrüt hâlinde mühlet sırasında dahi icra takibine konu edilebilir ve </w:t>
            </w:r>
            <w:r w:rsidRPr="00AB0FD4">
              <w:rPr>
                <w:rStyle w:val="MaviChar"/>
              </w:rPr>
              <w:t xml:space="preserve">alacakların sırasına ilişkin </w:t>
            </w:r>
            <w:r w:rsidR="00642106" w:rsidRPr="00AB0FD4">
              <w:rPr>
                <w:rStyle w:val="MaviChar"/>
              </w:rPr>
              <w:t xml:space="preserve">317 nci </w:t>
            </w:r>
            <w:r w:rsidRPr="00A23740">
              <w:rPr>
                <w:szCs w:val="24"/>
              </w:rPr>
              <w:t>madde kapsamında rehinli alacaklardan hemen sonra, diğer bütün alacaklardan önce ödenir; malvarlığının terki suretiyle konkordatoda yahut sonraki bir ifl</w:t>
            </w:r>
            <w:r w:rsidR="00931B94" w:rsidRPr="00A23740">
              <w:rPr>
                <w:szCs w:val="24"/>
              </w:rPr>
              <w:t>a</w:t>
            </w:r>
            <w:r w:rsidRPr="00A23740">
              <w:rPr>
                <w:szCs w:val="24"/>
              </w:rPr>
              <w:t>sta</w:t>
            </w:r>
            <w:r w:rsidR="00C71EF0" w:rsidRPr="00A23740">
              <w:rPr>
                <w:szCs w:val="24"/>
              </w:rPr>
              <w:t xml:space="preserve"> </w:t>
            </w:r>
            <w:r w:rsidR="00C71EF0" w:rsidRPr="00AB0FD4">
              <w:rPr>
                <w:rStyle w:val="MaviChar"/>
              </w:rPr>
              <w:t>bu borçlar</w:t>
            </w:r>
            <w:r w:rsidR="00642106" w:rsidRPr="00AB0FD4">
              <w:rPr>
                <w:rStyle w:val="MaviChar"/>
              </w:rPr>
              <w:t xml:space="preserve"> 365 inci</w:t>
            </w:r>
            <w:r w:rsidRPr="00A23740">
              <w:rPr>
                <w:szCs w:val="24"/>
              </w:rPr>
              <w:t xml:space="preserve"> madde kapsamında masa borcu sayılır. Aynı kural karşı edimin ifasını komiserin izniyle kabul eden borçlunun taraf olduğu sürekli borç ilişkilerindeki karşı edimler için de geçerlidir.</w:t>
            </w:r>
          </w:p>
          <w:p w:rsidR="00D01146" w:rsidRPr="00A23740" w:rsidRDefault="00D01146" w:rsidP="009431FF">
            <w:pPr>
              <w:pStyle w:val="KIRMIZI"/>
              <w:rPr>
                <w:strike w:val="0"/>
                <w:lang w:val="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BE5F1"/>
          </w:tcPr>
          <w:p w:rsidR="00B612C0" w:rsidRPr="00A23740" w:rsidRDefault="00B612C0" w:rsidP="009431FF">
            <w:pPr>
              <w:tabs>
                <w:tab w:val="left" w:pos="567"/>
              </w:tabs>
              <w:rPr>
                <w:b/>
                <w:bCs/>
                <w:szCs w:val="24"/>
                <w:lang w:eastAsia="x-none"/>
              </w:rPr>
            </w:pPr>
          </w:p>
          <w:p w:rsidR="00B612C0" w:rsidRPr="00A23740" w:rsidRDefault="00B612C0" w:rsidP="009431FF">
            <w:pPr>
              <w:ind w:firstLine="709"/>
              <w:rPr>
                <w:szCs w:val="24"/>
              </w:rPr>
            </w:pPr>
            <w:r w:rsidRPr="00A23740">
              <w:rPr>
                <w:b/>
                <w:szCs w:val="24"/>
              </w:rPr>
              <w:t>MADDE 404-</w:t>
            </w:r>
            <w:r w:rsidRPr="00A23740">
              <w:rPr>
                <w:szCs w:val="24"/>
              </w:rPr>
              <w:t xml:space="preserve"> Maddeyle tasdik edilen konkordatonun hükümleri düzenlenmektedir.</w:t>
            </w:r>
          </w:p>
          <w:p w:rsidR="00B612C0" w:rsidRPr="00A23740" w:rsidRDefault="00B612C0" w:rsidP="009431FF">
            <w:pPr>
              <w:ind w:firstLine="709"/>
              <w:rPr>
                <w:szCs w:val="24"/>
              </w:rPr>
            </w:pPr>
            <w:r w:rsidRPr="00A23740">
              <w:rPr>
                <w:szCs w:val="24"/>
              </w:rPr>
              <w:t xml:space="preserve">Taslağın </w:t>
            </w:r>
            <w:r w:rsidR="009B409F" w:rsidRPr="00F3536B">
              <w:t xml:space="preserve">bu </w:t>
            </w:r>
            <w:r w:rsidRPr="00A23740">
              <w:rPr>
                <w:szCs w:val="24"/>
              </w:rPr>
              <w:t>maddesi hükmü, 2004 sayılı Kanunun 308/c maddesine karşılık gelmekte olup beş fıkra hâlinde, tasdik edilen konkordatonun ve bilhassa ödeme projesinin hüküm ve sonuçlarını ele almaktadır. Tasdik edilen konkordatonun adeta çekirdeğini teşkil eden ödeme projesinin kimler için; ne zamandan itibaren geçerlilik kazanacağı ve bu iki soru yönünden istisnaların olup olmadığı, hükmün çözüme kavuşturduğu meselelerdendir. Bu vesileyle Taslak hükmünün gerek fıkra düzeni ve gerekse söz konusu fıkraların içeriği yönünden önceki kanun hükmüyle genelde örtüştüğü söylenebilir. Taslağın önceki kanun metninden ayrıştığı yerler ise temelde şu şekilde olmuştur:</w:t>
            </w:r>
          </w:p>
          <w:p w:rsidR="00B612C0" w:rsidRPr="00A23740" w:rsidRDefault="00B612C0" w:rsidP="009431FF">
            <w:pPr>
              <w:ind w:firstLine="709"/>
              <w:rPr>
                <w:szCs w:val="24"/>
              </w:rPr>
            </w:pPr>
            <w:r w:rsidRPr="00A23740">
              <w:rPr>
                <w:szCs w:val="24"/>
              </w:rPr>
              <w:t xml:space="preserve">Hükmün birinci fıkrası, ana kural olarak, konkordato projesinin, tasdik kararının kanun yollarından geçip kesinleşmesi beklenmeksizin derhâl yürürlük kazanacağı ve alacaklılar nezdinde uygulanacağı ilkesini getirmektedir. Böylelikle tasdik kararıyla birlikte tüm adi konkordato alacaklılarını bağlayan konkordato projesi, derhâl yürürlük kazanacak ve hayata geçecektir. Bu hâlde tasdikle birlikte hasıl olan bağlayıcılık, derhâl icra edilebilirlik anlamına da gelmektedir. </w:t>
            </w:r>
          </w:p>
          <w:p w:rsidR="00B612C0" w:rsidRPr="00A23740" w:rsidRDefault="00B612C0" w:rsidP="009431FF">
            <w:pPr>
              <w:ind w:firstLine="709"/>
              <w:rPr>
                <w:szCs w:val="24"/>
              </w:rPr>
            </w:pPr>
            <w:r w:rsidRPr="00A23740">
              <w:rPr>
                <w:szCs w:val="24"/>
              </w:rPr>
              <w:t>Anılan bu ilke, istisnasız değildir. İkinci fıkrayla birlikte, tasdik edilen konkordato projesinin içeriğinde de geçmek kaydıyla bu ana kuraldan sapılmasına</w:t>
            </w:r>
            <w:r w:rsidR="00130D30" w:rsidRPr="00A23740">
              <w:rPr>
                <w:szCs w:val="24"/>
              </w:rPr>
              <w:t>,</w:t>
            </w:r>
            <w:r w:rsidRPr="00A23740">
              <w:rPr>
                <w:szCs w:val="24"/>
              </w:rPr>
              <w:t xml:space="preserve"> yani  </w:t>
            </w:r>
            <w:r w:rsidRPr="00F3536B">
              <w:t>konkordato</w:t>
            </w:r>
            <w:r w:rsidRPr="00A23740">
              <w:rPr>
                <w:szCs w:val="24"/>
              </w:rPr>
              <w:t xml:space="preserve"> projesinin icrasının, tasdik kararının </w:t>
            </w:r>
            <w:r w:rsidR="001D198D" w:rsidRPr="00A23740">
              <w:rPr>
                <w:szCs w:val="24"/>
              </w:rPr>
              <w:t xml:space="preserve">istinaf denetiminden geçerek bölge adliye mahkemesince de (esastan red kararı verilmek suretiyle) uygun bulunmasına kadar </w:t>
            </w:r>
            <w:r w:rsidRPr="00A23740">
              <w:rPr>
                <w:szCs w:val="24"/>
              </w:rPr>
              <w:t>ertelenmesine cevaz verilmiş; bunda bir sakınca görülmemiştir. Zira böyle bir proje şartının hayata geçebilmesi, her hâlükârda alacaklıların kabulüne bağlı olacağından; kanunda aranan çoğunluk</w:t>
            </w:r>
            <w:r w:rsidR="001D198D" w:rsidRPr="00A23740">
              <w:rPr>
                <w:szCs w:val="24"/>
              </w:rPr>
              <w:t xml:space="preserve"> tarafından</w:t>
            </w:r>
            <w:r w:rsidRPr="00A23740">
              <w:rPr>
                <w:szCs w:val="24"/>
              </w:rPr>
              <w:t xml:space="preserve"> benimsenmiş böyle bir şartın</w:t>
            </w:r>
            <w:r w:rsidR="001D198D" w:rsidRPr="00A23740">
              <w:rPr>
                <w:szCs w:val="24"/>
              </w:rPr>
              <w:t>kabulü</w:t>
            </w:r>
            <w:r w:rsidRPr="00A23740">
              <w:rPr>
                <w:szCs w:val="24"/>
              </w:rPr>
              <w:t>, ana ilkeye nazaran üstün ve tercihkâr bulunmuştur. Tasdik kararı</w:t>
            </w:r>
            <w:r w:rsidR="00E17470" w:rsidRPr="00A23740">
              <w:rPr>
                <w:szCs w:val="24"/>
              </w:rPr>
              <w:t>nın</w:t>
            </w:r>
            <w:r w:rsidR="007A2519">
              <w:rPr>
                <w:szCs w:val="24"/>
              </w:rPr>
              <w:t xml:space="preserve"> </w:t>
            </w:r>
            <w:r w:rsidRPr="00A23740">
              <w:rPr>
                <w:szCs w:val="24"/>
              </w:rPr>
              <w:t>yani konkordato projes</w:t>
            </w:r>
            <w:r w:rsidRPr="00F3536B">
              <w:t xml:space="preserve">inin </w:t>
            </w:r>
            <w:r w:rsidRPr="00A23740">
              <w:rPr>
                <w:szCs w:val="24"/>
              </w:rPr>
              <w:t xml:space="preserve">işlerlik </w:t>
            </w:r>
            <w:r w:rsidRPr="00F3536B">
              <w:t>kazanmasına</w:t>
            </w:r>
            <w:r w:rsidRPr="00A23740">
              <w:rPr>
                <w:szCs w:val="24"/>
              </w:rPr>
              <w:t xml:space="preserve"> kadar geçecek bu ara dönemde, esasen sona ermiş olan mühletin </w:t>
            </w:r>
            <w:r w:rsidRPr="00F3536B">
              <w:t>etkilerinin devam etmesine</w:t>
            </w:r>
            <w:r w:rsidR="00AD7E89">
              <w:rPr>
                <w:szCs w:val="24"/>
              </w:rPr>
              <w:t xml:space="preserve"> ihtiyaç duyulacağı</w:t>
            </w:r>
            <w:r w:rsidRPr="00A23740">
              <w:rPr>
                <w:szCs w:val="24"/>
              </w:rPr>
              <w:t xml:space="preserve"> açıktır. Ne var ki, bu duruma özel olarak</w:t>
            </w:r>
            <w:r w:rsidR="00E17470" w:rsidRPr="00A23740">
              <w:rPr>
                <w:szCs w:val="24"/>
              </w:rPr>
              <w:t>,</w:t>
            </w:r>
            <w:r w:rsidRPr="00A23740">
              <w:rPr>
                <w:szCs w:val="24"/>
              </w:rPr>
              <w:t xml:space="preserve"> mühletin etkilerinin rehinli alacaklılar yönünden de tasdik kararının öncesinde olduğu gibi düzenlenip düzenlenmediğine açıklık getirmek gerekmiştir. Taslak, böylelikle 394 üncü maddeye açık bir gönderme yapmak suretiyle rehinli alacaklılar yönünden bir istisna getirmiştir. Tasdik kararının ertesinde, istisnai nitelikteki proje şartı nedeniyle mühletin etkileri, kararın </w:t>
            </w:r>
            <w:r w:rsidRPr="00F3536B">
              <w:t>istinaf denetiminden geçmesine</w:t>
            </w:r>
            <w:r w:rsidRPr="00A23740">
              <w:rPr>
                <w:szCs w:val="24"/>
              </w:rPr>
              <w:t xml:space="preserve"> kadar niteliğine uygun düştüğü ölçüde aynen geçerliyse de</w:t>
            </w:r>
            <w:r w:rsidR="00E17470" w:rsidRPr="00A23740">
              <w:rPr>
                <w:szCs w:val="24"/>
              </w:rPr>
              <w:t>,</w:t>
            </w:r>
            <w:r w:rsidRPr="00A23740">
              <w:rPr>
                <w:szCs w:val="24"/>
              </w:rPr>
              <w:t xml:space="preserve"> rehinli alacaklılar yönünden artık esas olan, Taslağın </w:t>
            </w:r>
            <w:r w:rsidR="009B409F" w:rsidRPr="00F3536B">
              <w:t>387 nci</w:t>
            </w:r>
            <w:r w:rsidR="009B409F" w:rsidRPr="00A23740">
              <w:rPr>
                <w:szCs w:val="24"/>
              </w:rPr>
              <w:t xml:space="preserve"> </w:t>
            </w:r>
            <w:r w:rsidRPr="00A23740">
              <w:rPr>
                <w:szCs w:val="24"/>
              </w:rPr>
              <w:t xml:space="preserve">maddesi hükmü değil; </w:t>
            </w:r>
            <w:r w:rsidR="00E17470" w:rsidRPr="00A23740">
              <w:rPr>
                <w:szCs w:val="24"/>
              </w:rPr>
              <w:t xml:space="preserve">Taslağın </w:t>
            </w:r>
            <w:r w:rsidRPr="00A23740">
              <w:rPr>
                <w:szCs w:val="24"/>
              </w:rPr>
              <w:t xml:space="preserve">tasdik kararının ertesinde yine rehinli alacaklılar yönünden özel olarak düzenlenmiş bulunan bu kez </w:t>
            </w:r>
            <w:r w:rsidR="009B409F" w:rsidRPr="00F3536B">
              <w:t>401 inci</w:t>
            </w:r>
            <w:r w:rsidR="009B409F" w:rsidRPr="00A23740">
              <w:rPr>
                <w:rStyle w:val="MaviChar"/>
                <w:rFonts w:eastAsia="Times New Roman"/>
                <w:lang w:val="tr-TR"/>
              </w:rPr>
              <w:t xml:space="preserve"> </w:t>
            </w:r>
            <w:r w:rsidRPr="00A23740">
              <w:rPr>
                <w:szCs w:val="24"/>
              </w:rPr>
              <w:t>maddesi hükmüdür. Zira sınırlı ayn</w:t>
            </w:r>
            <w:r w:rsidR="00AC45AD" w:rsidRPr="00A23740">
              <w:rPr>
                <w:szCs w:val="24"/>
              </w:rPr>
              <w:t>i</w:t>
            </w:r>
            <w:r w:rsidRPr="00A23740">
              <w:rPr>
                <w:szCs w:val="24"/>
              </w:rPr>
              <w:t xml:space="preserve"> hak sahibi rehinli alacaklının “rüçhanlılık” sıfatı üzerinden tabi tutulduğu rejim, tasdik kararının ertesinde, Taslağın </w:t>
            </w:r>
            <w:r w:rsidR="009B409F" w:rsidRPr="00F3536B">
              <w:t>401 inci</w:t>
            </w:r>
            <w:r w:rsidRPr="00A23740">
              <w:rPr>
                <w:szCs w:val="24"/>
              </w:rPr>
              <w:t xml:space="preserve"> maddesinde özel olarak ele alındığı hâlde, aynı rüçhanlı alacaklının bu kez konkordatoya tabi “adi” alacaklıların çoğunluğu tarafından kabul edilen bir proje hükmü üzerinden bu hakkından mahrum bırakılması doğru görülmemiştir. Alacaklılar</w:t>
            </w:r>
            <w:r w:rsidR="00E17470" w:rsidRPr="00A23740">
              <w:rPr>
                <w:szCs w:val="24"/>
              </w:rPr>
              <w:t xml:space="preserve"> tarafından </w:t>
            </w:r>
            <w:r w:rsidRPr="00A23740">
              <w:rPr>
                <w:szCs w:val="24"/>
              </w:rPr>
              <w:t xml:space="preserve"> da kabul edildiği üzere tasdik edilen konkordatonun etkilerini, artık</w:t>
            </w:r>
            <w:r w:rsidR="00E17470" w:rsidRPr="00A23740">
              <w:rPr>
                <w:szCs w:val="24"/>
              </w:rPr>
              <w:t>,</w:t>
            </w:r>
            <w:r w:rsidRPr="00A23740">
              <w:rPr>
                <w:szCs w:val="24"/>
              </w:rPr>
              <w:t xml:space="preserve"> </w:t>
            </w:r>
            <w:r w:rsidRPr="00F3536B">
              <w:t>istinaf incelemesinin olumlu olmasıyla</w:t>
            </w:r>
            <w:r w:rsidRPr="00A23740">
              <w:rPr>
                <w:szCs w:val="24"/>
              </w:rPr>
              <w:t xml:space="preserve"> birlikte gösterecek olması şeklindeki sonuç, ancak bu düzenlemeyi oylayarak kabul etmiş olan konkordato “adi” alacaklıları için bağlayıcı olup</w:t>
            </w:r>
            <w:r w:rsidR="00E17470" w:rsidRPr="00A23740">
              <w:rPr>
                <w:szCs w:val="24"/>
              </w:rPr>
              <w:t>,</w:t>
            </w:r>
            <w:r w:rsidRPr="00A23740">
              <w:rPr>
                <w:szCs w:val="24"/>
              </w:rPr>
              <w:t xml:space="preserve"> yapılan bu oylamanın hesabına ve nisabına dahil olmayan “rüçhanlı” alacaklılar yönünden de geçerli değildir. </w:t>
            </w:r>
          </w:p>
          <w:p w:rsidR="00B612C0" w:rsidRPr="00A23740" w:rsidRDefault="00B612C0" w:rsidP="009431FF">
            <w:pPr>
              <w:ind w:firstLine="709"/>
              <w:rPr>
                <w:szCs w:val="24"/>
              </w:rPr>
            </w:pPr>
            <w:r w:rsidRPr="00A23740">
              <w:rPr>
                <w:szCs w:val="24"/>
              </w:rPr>
              <w:t>Hükmün üçüncü fıkrası, tasdik edilen konkordatonun ne zaman yürürlüğe girerse girsin bu kez “kimler” yönünden</w:t>
            </w:r>
            <w:r w:rsidR="00E17470" w:rsidRPr="00A23740">
              <w:rPr>
                <w:szCs w:val="24"/>
              </w:rPr>
              <w:t>,</w:t>
            </w:r>
            <w:r w:rsidRPr="00A23740">
              <w:rPr>
                <w:szCs w:val="24"/>
              </w:rPr>
              <w:t xml:space="preserve"> yani hangi alacaklılar için bağlayıcı olduğunu, hüküm altına almaktadır. Bu hâlde düzenlemede iki grup alacaklıdan söz edilmektedir: </w:t>
            </w:r>
          </w:p>
          <w:p w:rsidR="00B612C0" w:rsidRPr="00A23740" w:rsidRDefault="00B612C0" w:rsidP="009431FF">
            <w:pPr>
              <w:ind w:firstLine="709"/>
              <w:rPr>
                <w:szCs w:val="24"/>
              </w:rPr>
            </w:pPr>
            <w:r w:rsidRPr="00A23740">
              <w:rPr>
                <w:szCs w:val="24"/>
              </w:rPr>
              <w:t xml:space="preserve">Birinci gruba dahil olanlar, Taslağa göre “geçici mühlet kararından” önce doğan alacaklılardır. Bu zaman aralığı, kanun metninde “konkordato talep tarihinden öncesi” olarak belirlenmiştir. Ne var ki, uygulama ve hatta öğreti, açık kanun hükmüne rağmen “geçici mühlet karar anını” esas almayı sürdürmüştür. Derhâl verilmesi beklenen geçici mühlet kararına rağmen konkordato talebiyle geçici mühlet kararı arasında geçen zamanın uzamasının, beraberinde çözümü gereken başkaca sorunlara yol açtığı da tartışmasızıdır. Bütün bu nedenlerle madem ki, kesin mühletin sonuçları, kural olarak geçici mühlet -ve dolayısıyla geçici mühlet kararı- için de geçerli olmaktadır, o hâlde konkordatoya -dolayısıyla mühletin etkilerine- tabi tutulacak olan alacaklıların tespitinde de bundan böyle aynı anın esas alınması, uygulamada beliren alışkanlık bir yana kendi içinde de bir paralellik temin edecektir. Bu şekilde İsviçre’nin Borç </w:t>
            </w:r>
            <w:r w:rsidR="00887B3A" w:rsidRPr="00A23740">
              <w:rPr>
                <w:szCs w:val="24"/>
              </w:rPr>
              <w:t xml:space="preserve">İçin </w:t>
            </w:r>
            <w:r w:rsidRPr="00A23740">
              <w:rPr>
                <w:szCs w:val="24"/>
              </w:rPr>
              <w:t xml:space="preserve">Takip ve İflas Hakkındaki Federal Kanununun 301, f. 1 maddesi hükmüyle de uyum sağlanmıştır. </w:t>
            </w:r>
          </w:p>
          <w:p w:rsidR="00B612C0" w:rsidRPr="00A23740" w:rsidRDefault="00B612C0" w:rsidP="009431FF">
            <w:pPr>
              <w:ind w:firstLine="709"/>
              <w:rPr>
                <w:szCs w:val="24"/>
              </w:rPr>
            </w:pPr>
            <w:r w:rsidRPr="00A23740">
              <w:rPr>
                <w:szCs w:val="24"/>
              </w:rPr>
              <w:t>İkinci gruba dahil olanlar ise tıpkı kanun hükmünde de düzenlendiği gibi bu kez mühlet içinde ve fakat komiserin izni olmaksızın borçlunun girişmiş olduğu işlerden doğan alacakların alacaklılarıdır. Bu hâlde söz konusu “izin”, hiç şüphesiz ki, komiserlik emir ve talimatlarını da içermektedir ki, aksi düşüncenin kabulü, kanunun uygulamasını çok sınırlayacağı gibi komiserlik emir ve talimatlarıyla çatışan işlemleri de neredeyse müeyyidesiz bırakacaktır. Komiserlik “izni” veya bir başka ifadeyle “katılımı”, mahkeme kararını gerektirdiği gibi</w:t>
            </w:r>
            <w:r w:rsidR="00E17470" w:rsidRPr="00A23740">
              <w:rPr>
                <w:szCs w:val="24"/>
              </w:rPr>
              <w:t>,</w:t>
            </w:r>
            <w:r w:rsidRPr="00A23740">
              <w:rPr>
                <w:szCs w:val="24"/>
              </w:rPr>
              <w:t xml:space="preserve"> </w:t>
            </w:r>
            <w:r w:rsidR="00642459" w:rsidRPr="00A23740">
              <w:rPr>
                <w:szCs w:val="24"/>
              </w:rPr>
              <w:t xml:space="preserve">bu katılımın </w:t>
            </w:r>
            <w:r w:rsidRPr="00A23740">
              <w:rPr>
                <w:szCs w:val="24"/>
              </w:rPr>
              <w:t xml:space="preserve">eksikliği de söz konusu işlemi, geçersiz kılmaktadır. Uygulamamız ise mühlet içinde dar anlamıyla komiserlik “iznini”, nadiren aramaktadır. Türk konkordato ve komiserlik uygulamasının ekseriyetle “işinin başında bırakılan borçlunun komiserlik emir ve talimatları altında çalışmaya devam etmesi” şeklinde olduğu dikkate alındığında; komiserlik emir ve talimatlarıyla çatışılması neticesinde doğan alacakların da adeta bir yaptırım olarak konkordatoya (ödeme projesine) tabi tutulması gerektiği, sonucuna ulaşılmıştır. Aynı anlayıştaki kanun hükmü, Taslakta da benimsenmiş ve korunmuştur. Bu hâlde fıkranın son cümlesi, bir hususu vuzuha kavuşturmak üzere özel olarak yazılmıştır. Borçlunun zaten komiserlik izni de almış olması beklenen “olağan; günlük, rutin iş ve işlemlerinden doğan borçları” için az önceki müeyyide geçerli olmayıp bunlar için </w:t>
            </w:r>
            <w:r w:rsidR="00642459" w:rsidRPr="00A23740">
              <w:rPr>
                <w:szCs w:val="24"/>
              </w:rPr>
              <w:t xml:space="preserve">özellikle </w:t>
            </w:r>
            <w:r w:rsidRPr="00A23740">
              <w:rPr>
                <w:szCs w:val="24"/>
              </w:rPr>
              <w:t xml:space="preserve">beşinci fıkraya bakılması gerekir. Bu sırada şüphesiz ki, “izin” </w:t>
            </w:r>
            <w:r w:rsidR="00642459" w:rsidRPr="00A23740">
              <w:rPr>
                <w:szCs w:val="24"/>
              </w:rPr>
              <w:t xml:space="preserve">teriminin </w:t>
            </w:r>
            <w:r w:rsidRPr="00A23740">
              <w:rPr>
                <w:szCs w:val="24"/>
              </w:rPr>
              <w:t>yorumu önemlidir. Söz konusu “izin”, a) öncelikle kesin (ve hatta geçici) mühletin başında ve belki de ilk/genel komiserlik talimatı içinde peşinen tasrih edilebileceği gibi</w:t>
            </w:r>
            <w:r w:rsidR="00642459" w:rsidRPr="00A23740">
              <w:rPr>
                <w:szCs w:val="24"/>
              </w:rPr>
              <w:t>,</w:t>
            </w:r>
            <w:r w:rsidRPr="00A23740">
              <w:rPr>
                <w:szCs w:val="24"/>
              </w:rPr>
              <w:t xml:space="preserve"> b) pek de arzu edilmemekle birlikte yapıla gelen, olağan, sıradan, işletmenin idaresinde tabiî karşılanan işler bakımından mühlet içinde karşı çıkılmamak, komiserlerce adeta tasvip görmüş; benimsenmiş olmak şeklinde de gerçekleşebilir. Hatta</w:t>
            </w:r>
            <w:r w:rsidR="00642459" w:rsidRPr="00A23740">
              <w:rPr>
                <w:szCs w:val="24"/>
              </w:rPr>
              <w:t>,</w:t>
            </w:r>
            <w:r w:rsidRPr="00A23740">
              <w:rPr>
                <w:szCs w:val="24"/>
              </w:rPr>
              <w:t xml:space="preserve"> c) işin akışı veya işin içindeki sürat gereği ve fakat nadiren olması beklendiği şekliyle bu iznin bu kez bir “icazet” olarak karşımıza çıkması da mümkündür. Komiserliğin önceden ve baştan yapacağı nezaret neticesinde izin veya emir yahut talimat vermesi asıl olup</w:t>
            </w:r>
            <w:r w:rsidR="00642459" w:rsidRPr="00A23740">
              <w:rPr>
                <w:szCs w:val="24"/>
              </w:rPr>
              <w:t>,</w:t>
            </w:r>
            <w:r w:rsidRPr="00A23740">
              <w:rPr>
                <w:szCs w:val="24"/>
              </w:rPr>
              <w:t xml:space="preserve"> yazılı bu son iki durum -b ve c’de-, ancak somut olayın özellikleri gereği bir anlam ifade edebilir. </w:t>
            </w:r>
          </w:p>
          <w:p w:rsidR="00B612C0" w:rsidRPr="00A23740" w:rsidRDefault="00B612C0" w:rsidP="009431FF">
            <w:pPr>
              <w:ind w:firstLine="709"/>
              <w:rPr>
                <w:szCs w:val="24"/>
              </w:rPr>
            </w:pPr>
            <w:r w:rsidRPr="00F3536B">
              <w:t>Taslağın</w:t>
            </w:r>
            <w:r w:rsidRPr="00A23740">
              <w:rPr>
                <w:szCs w:val="24"/>
              </w:rPr>
              <w:t xml:space="preserve"> dördüncü fıkrası, üçüncü fıkrasının doğal bir uzantısı olarak bu kez kimlerin konkordatoya ve özellikle ödeme projesine tabi olmadığını saymaktadır. Üç kategoride ele alınan alacaklı gruplarının tasdik edilen konkordato projesine tabi olmadığının açıklıkla düzenlenmesi ve kanun hükmünün böylelikle korunması, yine uygun bulunmuştur.</w:t>
            </w:r>
          </w:p>
          <w:p w:rsidR="00B612C0" w:rsidRPr="00A23740" w:rsidRDefault="00B612C0" w:rsidP="009431FF">
            <w:pPr>
              <w:ind w:firstLine="709"/>
              <w:rPr>
                <w:szCs w:val="24"/>
              </w:rPr>
            </w:pPr>
            <w:r w:rsidRPr="00F3536B">
              <w:t>Taslağın</w:t>
            </w:r>
            <w:r w:rsidRPr="00A23740">
              <w:rPr>
                <w:szCs w:val="24"/>
              </w:rPr>
              <w:t xml:space="preserve"> beşinci fıkrası, esasen “mühlet” içinde doğan, fakat üçüncü fıkra hükmüne de tabi olmayan borçlar hakkında geçerli rejimi ve kimi özellikli sonuçlarını düzenlemektedir. Bu sırada </w:t>
            </w:r>
            <w:r w:rsidRPr="00F3536B">
              <w:t>Taslak</w:t>
            </w:r>
            <w:r w:rsidRPr="00A23740">
              <w:rPr>
                <w:szCs w:val="24"/>
              </w:rPr>
              <w:t xml:space="preserve">, 2004 sayılı Kanun döneminde, 7327 sayılı Kanunla yapılan değişikliği aynen benimsemiş ve hükmün esas aldığı zaman aralığını, “geçici mühlet kararı” şeklinde yoruma ihtiyaç bırakmadan belirginleştirmiştir. Böylece bu fıkra ile yukarıdaki üçüncü fıkra arasında, esas alınan zaman aralığı bakımından da uyum sağlanmıştır. Komiserlik iznini almayan; hatta </w:t>
            </w:r>
            <w:r w:rsidR="00642459" w:rsidRPr="00A23740">
              <w:rPr>
                <w:szCs w:val="24"/>
              </w:rPr>
              <w:t xml:space="preserve">komiserlerin </w:t>
            </w:r>
            <w:r w:rsidRPr="00A23740">
              <w:rPr>
                <w:szCs w:val="24"/>
              </w:rPr>
              <w:t>emir ve talimatlarıyla çatışan işlemden doğan alacaklar, üçüncü fıkra hükmüne tabi tutulurken</w:t>
            </w:r>
            <w:r w:rsidR="00642459" w:rsidRPr="00A23740">
              <w:rPr>
                <w:szCs w:val="24"/>
              </w:rPr>
              <w:t>,</w:t>
            </w:r>
            <w:r w:rsidRPr="00A23740">
              <w:rPr>
                <w:szCs w:val="24"/>
              </w:rPr>
              <w:t xml:space="preserve"> aksi hâlde yani komiserlik iznini veya tasvibini yahut onamını almış</w:t>
            </w:r>
            <w:r w:rsidR="00642459" w:rsidRPr="00A23740">
              <w:rPr>
                <w:szCs w:val="24"/>
              </w:rPr>
              <w:t>,</w:t>
            </w:r>
            <w:r w:rsidRPr="00A23740">
              <w:rPr>
                <w:szCs w:val="24"/>
              </w:rPr>
              <w:t xml:space="preserve"> yani komiserlik emir ve talimatlarıyla hiçbir şekilde çatışmayan işlemlerden doğan alacakların alacaklılarının bu kez deyim yerinde ise ne şekilde ödüllendirileceği, Taslağın beşinci fıkrasında, düzenlenmiştir. Tıpkı mehaz ülke hukukunda düzenlendiği gibi (m. 310, f. 2, c. 2)</w:t>
            </w:r>
            <w:r w:rsidR="00642459" w:rsidRPr="00A23740">
              <w:rPr>
                <w:szCs w:val="24"/>
              </w:rPr>
              <w:t>,</w:t>
            </w:r>
            <w:r w:rsidRPr="00A23740">
              <w:rPr>
                <w:szCs w:val="24"/>
              </w:rPr>
              <w:t xml:space="preserve"> sürekli borç ilişkilerden kaynaklanan ve karşı edimin ifasının komiserlikçe uygun görülmesiyle borçlu tarafından kabul edilen alacaklar da dahil olmak üzere bu türden alacaklar, mühlet içinde borçluya ve dolayısıyla projesine en zor gününde verdikleri destek sebebiyle konkordatoya tabi alacaklardan farklı muamele görmeyi ve özel bir rejime tabi tutulmayı hakketmişlerdir. Aynı alacaklıların, konkordatosunun ne şekilde tecelli edeceği bilinmeyen borçluyla mühlet içinde iş yaparak varsa konkordatoya tabi kendi alacakları yanında, kayda değer “yeni” riskler aldığı gözden uzak tutulmamalıdır. Dolayısıyla diğer tüm konkordato alacaklılarından farklı olarak</w:t>
            </w:r>
            <w:r w:rsidR="00642459" w:rsidRPr="00A23740">
              <w:rPr>
                <w:szCs w:val="24"/>
              </w:rPr>
              <w:t>,</w:t>
            </w:r>
            <w:r w:rsidRPr="00A23740">
              <w:rPr>
                <w:szCs w:val="24"/>
              </w:rPr>
              <w:t xml:space="preserve"> verilen katkının ve alınan riskin bir karşılığının olması beklenir. Tıpkı önceki kanun hükmünde olduğu gibi Taslakta da</w:t>
            </w:r>
            <w:r w:rsidR="00642459" w:rsidRPr="00A23740">
              <w:rPr>
                <w:szCs w:val="24"/>
              </w:rPr>
              <w:t>,</w:t>
            </w:r>
            <w:r w:rsidRPr="00A23740">
              <w:rPr>
                <w:szCs w:val="24"/>
              </w:rPr>
              <w:t xml:space="preserve"> “kredi kurumları tarafından verilen krediler de dahil olmak üzere” ibaresi korunmuş; yazılmasaydı dahi pek rahatlıkla bu türden alacaklılar için geçerli görülecek sonuç bakımından kendilerinden bir kez daha </w:t>
            </w:r>
            <w:r w:rsidR="00642459" w:rsidRPr="00A23740">
              <w:rPr>
                <w:szCs w:val="24"/>
              </w:rPr>
              <w:t xml:space="preserve">açıkça </w:t>
            </w:r>
            <w:r w:rsidRPr="00A23740">
              <w:rPr>
                <w:szCs w:val="24"/>
              </w:rPr>
              <w:t xml:space="preserve">söz edilmesi tercih edilmiştir. Mühlet içinde borçlunun ihtiyaç duyacağı finansman desteğinin sağlanabilmesi için bu türden bir borçluya kredi verecek olanların, diğer alacaklılardan olumlu yönde ayrışarak farklı muamele görmesi, adil bulunduğu gibi ödül veya ayrıcalık mahiyetindeki düzenlemelerle de cesaretlendirilmesine çalışılmıştır. </w:t>
            </w:r>
          </w:p>
          <w:p w:rsidR="00B612C0" w:rsidRPr="00A23740" w:rsidRDefault="00B612C0" w:rsidP="009431FF">
            <w:pPr>
              <w:ind w:firstLine="709"/>
              <w:rPr>
                <w:szCs w:val="24"/>
              </w:rPr>
            </w:pPr>
            <w:r w:rsidRPr="00A23740">
              <w:rPr>
                <w:szCs w:val="24"/>
              </w:rPr>
              <w:t>Şu hâlde anılan özellikleri gösteren alacaklılar, konkordatoya -dolayısıyla ödeme projesine- tabi olmadıklarından, mühletin etkileriyle de bağlı değildirler. Yani bu alacaklılar, borçluya karşı gereğinde icra takibi de yapıp sürdürebilirler. Bu sonucun esasen konkordatoya ve dolayısıyla mühletin etkilerine tabi olmamanın doğal bir uzantısı olarak görülmesi mümkün ise de</w:t>
            </w:r>
            <w:r w:rsidR="00642459" w:rsidRPr="00A23740">
              <w:rPr>
                <w:szCs w:val="24"/>
              </w:rPr>
              <w:t>,</w:t>
            </w:r>
            <w:r w:rsidRPr="00A23740">
              <w:rPr>
                <w:szCs w:val="24"/>
              </w:rPr>
              <w:t xml:space="preserve"> uygulamada yaşanan belirsizliğin ve fikir ayrılığının giderilmesi için 2004 sayılı Kanunda, 7327 sayılı Kanunla yapılan değişiklik aynen benimsenmiş ve Taslakta da korunmuştur. Yine bu türden alacaklar, tasdik edilen konkordatonun malvarlığının terkine ilişkin bir projeyi içermesi veya konkordatonun başarısızlıkla neticelenip bu kez iflasla sonuçlanması hâlinde, mühlet içinde verilen katkı ve dolayısıyla alınan risk karşılığında bundan böyle “masa borcu” olarak değerlendirileceklerdir. Kanun hükmünde, 7327 sayılı Kanunla yapılan değişiklik, esasen külli icrada, “masa borcu” sayılma şeklindeki sonucu, bu kez cüzi icraya taşımış; mühlet içinde de yapılabilen takipler bakımından söz konusu alacaklıların sair bütün alacaklılardan ve dolayısıyla sıralardan evvel alacağını tahsil edebilmesi, mümkün kılınmıştır. Külli icrada “masa borcu” sayılmak şeklindeki özelliğin, mühlet içinde mümkün görülen icra takiplerinde de bir karşılığı olmalıydı ve anılan kanun değişikliği, bu sonucu açıklığa kavuşturmuştu. Söz konusu değişiklik, Taslakta da aynen benimsenmiş ve korunmuştur.</w:t>
            </w:r>
          </w:p>
          <w:p w:rsidR="00B612C0" w:rsidRPr="00A23740" w:rsidRDefault="00B612C0" w:rsidP="009431FF">
            <w:pPr>
              <w:tabs>
                <w:tab w:val="left" w:pos="567"/>
              </w:tabs>
              <w:ind w:firstLine="709"/>
              <w:rPr>
                <w:b/>
                <w:bCs/>
                <w:szCs w:val="24"/>
                <w:lang w:eastAsia="x-none"/>
              </w:rPr>
            </w:pPr>
            <w:r w:rsidRPr="00F3536B">
              <w:t>Genel bir yaklaşımla denebilir ki, Taslağın</w:t>
            </w:r>
            <w:r w:rsidRPr="00A23740">
              <w:rPr>
                <w:rFonts w:eastAsia="ヒラギノ明朝 Pro W3"/>
                <w:b/>
                <w:color w:val="339933"/>
                <w:szCs w:val="24"/>
              </w:rPr>
              <w:t xml:space="preserve"> </w:t>
            </w:r>
            <w:r w:rsidR="009B409F" w:rsidRPr="00A23740">
              <w:t xml:space="preserve">376 ncı </w:t>
            </w:r>
            <w:r w:rsidRPr="00F3536B">
              <w:t>maddesinin birinci fıkrası uyarınca</w:t>
            </w:r>
            <w:r w:rsidRPr="00A23740">
              <w:rPr>
                <w:rFonts w:eastAsia="ヒラギノ明朝 Pro W3"/>
                <w:b/>
                <w:color w:val="339933"/>
                <w:szCs w:val="24"/>
              </w:rPr>
              <w:t xml:space="preserve"> </w:t>
            </w:r>
            <w:r w:rsidR="003E7FF9" w:rsidRPr="00F3536B">
              <w:t>6100 sayılı Kanun</w:t>
            </w:r>
            <w:r w:rsidRPr="00F3536B">
              <w:t xml:space="preserve"> </w:t>
            </w:r>
            <w:r w:rsidR="0006319A" w:rsidRPr="00F3536B">
              <w:t xml:space="preserve">bağlamında </w:t>
            </w:r>
            <w:r w:rsidRPr="00F3536B">
              <w:t>verilen tedbirler,</w:t>
            </w:r>
            <w:r w:rsidRPr="00A23740">
              <w:rPr>
                <w:rFonts w:eastAsia="ヒラギノ明朝 Pro W3"/>
                <w:b/>
                <w:color w:val="339933"/>
                <w:szCs w:val="24"/>
              </w:rPr>
              <w:t xml:space="preserve"> </w:t>
            </w:r>
            <w:r w:rsidR="003E7FF9" w:rsidRPr="00F3536B">
              <w:t>6100 sayılı Kanunun</w:t>
            </w:r>
            <w:r w:rsidRPr="00F3536B">
              <w:t xml:space="preserve"> 397 nci maddesinin ikinci fıkrasındaki rejime tabi olacak ve tasdik kararında aksi belirtilmediği takdirde nihai kararın kesinleşmesine kadar devam edecektir.</w:t>
            </w:r>
          </w:p>
          <w:p w:rsidR="005A78F4" w:rsidRPr="006C4AA3" w:rsidRDefault="005A78F4" w:rsidP="006C4AA3">
            <w:pPr>
              <w:contextualSpacing/>
              <w:rPr>
                <w:rStyle w:val="MaviChar"/>
                <w:b w:val="0"/>
                <w:lang w:val="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i/>
                <w:szCs w:val="24"/>
              </w:rPr>
            </w:pPr>
            <w:r w:rsidRPr="00A23740">
              <w:rPr>
                <w:i/>
                <w:szCs w:val="24"/>
              </w:rPr>
              <w:t>Konkordatonun sonuçlanmayan takiplere etkisi:</w:t>
            </w:r>
          </w:p>
          <w:p w:rsidR="00AA5C8C" w:rsidRPr="00A23740" w:rsidRDefault="00AA5C8C" w:rsidP="009431FF">
            <w:pPr>
              <w:rPr>
                <w:b/>
                <w:szCs w:val="24"/>
              </w:rPr>
            </w:pPr>
            <w:r w:rsidRPr="00A23740">
              <w:rPr>
                <w:rStyle w:val="KIRMIZIChar"/>
                <w:rFonts w:eastAsia="Calibri"/>
              </w:rPr>
              <w:t>Madde 308/ç- (1) (Ek: 28/2/2018-7101/37 md.)</w:t>
            </w:r>
            <w:r w:rsidRPr="00A23740">
              <w:rPr>
                <w:b/>
                <w:szCs w:val="24"/>
              </w:rPr>
              <w:t xml:space="preserve"> </w:t>
            </w:r>
          </w:p>
          <w:p w:rsidR="00AA5C8C" w:rsidRPr="00A23740" w:rsidRDefault="00AA5C8C" w:rsidP="009431FF">
            <w:pPr>
              <w:rPr>
                <w:szCs w:val="24"/>
              </w:rPr>
            </w:pPr>
            <w:r w:rsidRPr="00A23740">
              <w:rPr>
                <w:szCs w:val="24"/>
              </w:rPr>
              <w:t xml:space="preserve">Konkordatonun taraflar için bağlayıcı hâle gelmesi, geçici mühlet kararından önce başlatılmış takiplerde konulan ve henüz paraya çevrilmemiş olan hacizleri hükümden </w:t>
            </w:r>
            <w:r w:rsidRPr="00A23740">
              <w:rPr>
                <w:rStyle w:val="KIRMIZIChar"/>
                <w:rFonts w:eastAsia="Calibri"/>
              </w:rPr>
              <w:t>düşürür</w:t>
            </w:r>
            <w:r w:rsidRPr="00A23740">
              <w:rPr>
                <w:szCs w:val="24"/>
              </w:rPr>
              <w:t>.</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(2)</w:t>
            </w:r>
            <w:r w:rsidRPr="00A23740">
              <w:rPr>
                <w:szCs w:val="24"/>
              </w:rPr>
              <w:t xml:space="preserve"> Birinci fıkra hükmü, </w:t>
            </w:r>
            <w:r w:rsidRPr="00A23740">
              <w:rPr>
                <w:rStyle w:val="KIRMIZIChar"/>
                <w:rFonts w:eastAsia="Calibri"/>
              </w:rPr>
              <w:t>308/c</w:t>
            </w:r>
            <w:r w:rsidRPr="00A23740">
              <w:rPr>
                <w:szCs w:val="24"/>
              </w:rPr>
              <w:t xml:space="preserve"> madde</w:t>
            </w:r>
            <w:r w:rsidRPr="00A23740">
              <w:rPr>
                <w:rStyle w:val="KIRMIZIChar"/>
                <w:rFonts w:eastAsia="Calibri"/>
              </w:rPr>
              <w:t>si</w:t>
            </w:r>
            <w:r w:rsidRPr="00A23740">
              <w:rPr>
                <w:szCs w:val="24"/>
              </w:rPr>
              <w:t xml:space="preserve">nin </w:t>
            </w:r>
            <w:r w:rsidRPr="00A23740">
              <w:rPr>
                <w:rStyle w:val="KIRMIZIChar"/>
                <w:rFonts w:eastAsia="Calibri"/>
              </w:rPr>
              <w:t>üçüncü</w:t>
            </w:r>
            <w:r w:rsidRPr="00A23740">
              <w:rPr>
                <w:szCs w:val="24"/>
              </w:rPr>
              <w:t xml:space="preserve"> </w:t>
            </w:r>
            <w:r w:rsidRPr="00A23740">
              <w:rPr>
                <w:rStyle w:val="KIRMIZIChar"/>
                <w:rFonts w:eastAsia="Calibri"/>
              </w:rPr>
              <w:t>fıkrası</w:t>
            </w:r>
            <w:r w:rsidRPr="00A23740">
              <w:rPr>
                <w:szCs w:val="24"/>
              </w:rPr>
              <w:t xml:space="preserve"> kapsamındaki alacaklar için konulan hacizler hakkında uygulanmaz.</w:t>
            </w:r>
          </w:p>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rPr>
                <w:b/>
                <w:szCs w:val="24"/>
              </w:rPr>
            </w:pPr>
            <w:r w:rsidRPr="00A23740">
              <w:rPr>
                <w:b/>
                <w:szCs w:val="24"/>
              </w:rPr>
              <w:t>Konkordatonun sonuçlanmayan takiplere etkisi</w:t>
            </w:r>
          </w:p>
          <w:p w:rsidR="00AA5C8C" w:rsidRPr="00A23740" w:rsidRDefault="00164036" w:rsidP="009431FF">
            <w:pPr>
              <w:pStyle w:val="YEL"/>
              <w:rPr>
                <w:lang w:val="tr-TR"/>
              </w:rPr>
            </w:pPr>
            <w:r w:rsidRPr="00A23740">
              <w:rPr>
                <w:rStyle w:val="MaviChar"/>
                <w:b/>
              </w:rPr>
              <w:t>MADDE 405</w:t>
            </w:r>
            <w:r w:rsidR="00AA5C8C" w:rsidRPr="00A23740">
              <w:rPr>
                <w:rStyle w:val="MaviChar"/>
                <w:b/>
              </w:rPr>
              <w:t>- (1)</w:t>
            </w:r>
            <w:r w:rsidR="00AA5C8C" w:rsidRPr="00A23740">
              <w:rPr>
                <w:lang w:val="tr-TR"/>
              </w:rPr>
              <w:t xml:space="preserve"> </w:t>
            </w:r>
            <w:r w:rsidR="00AA5C8C" w:rsidRPr="00A23740">
              <w:rPr>
                <w:rFonts w:eastAsia="Calibri"/>
                <w:b w:val="0"/>
                <w:color w:val="auto"/>
                <w:lang w:val="tr-TR"/>
              </w:rPr>
              <w:t>Konkordatonun</w:t>
            </w:r>
            <w:r w:rsidR="00AA5C8C" w:rsidRPr="00A23740">
              <w:rPr>
                <w:lang w:val="tr-TR"/>
              </w:rPr>
              <w:t xml:space="preserve"> </w:t>
            </w:r>
            <w:r w:rsidR="00AA5C8C" w:rsidRPr="00A23740">
              <w:rPr>
                <w:rStyle w:val="MaviChar"/>
                <w:b/>
              </w:rPr>
              <w:t>tasdiki kararının kesinleşmesiyle</w:t>
            </w:r>
            <w:r w:rsidR="00AA5C8C" w:rsidRPr="006C4AA3">
              <w:rPr>
                <w:rStyle w:val="Balk1Char"/>
                <w:rFonts w:eastAsia="ヒラギノ明朝 Pro W3"/>
                <w:b/>
              </w:rPr>
              <w:t>,</w:t>
            </w:r>
            <w:r w:rsidR="00AA5C8C" w:rsidRPr="00A23740">
              <w:rPr>
                <w:lang w:val="tr-TR"/>
              </w:rPr>
              <w:t xml:space="preserve"> </w:t>
            </w:r>
            <w:r w:rsidR="00AA5C8C" w:rsidRPr="00A23740">
              <w:rPr>
                <w:rFonts w:eastAsia="Calibri"/>
                <w:b w:val="0"/>
                <w:color w:val="auto"/>
                <w:lang w:val="tr-TR"/>
              </w:rPr>
              <w:t xml:space="preserve">geçici mühlet kararından önce başlatılmış </w:t>
            </w:r>
            <w:r w:rsidR="00AA5C8C" w:rsidRPr="00A23740">
              <w:rPr>
                <w:rStyle w:val="MaviChar"/>
                <w:b/>
              </w:rPr>
              <w:t>olan</w:t>
            </w:r>
            <w:r w:rsidR="00AA5C8C" w:rsidRPr="00A23740">
              <w:rPr>
                <w:rFonts w:eastAsia="Calibri"/>
                <w:b w:val="0"/>
                <w:color w:val="auto"/>
                <w:lang w:val="tr-TR"/>
              </w:rPr>
              <w:t xml:space="preserve"> takiplerde konulan ve henüz paraya çevrilmemiş olan hacizler hükümden</w:t>
            </w:r>
            <w:r w:rsidR="00AA5C8C" w:rsidRPr="00A23740">
              <w:rPr>
                <w:lang w:val="tr-TR"/>
              </w:rPr>
              <w:t xml:space="preserve"> </w:t>
            </w:r>
            <w:r w:rsidR="00AA5C8C" w:rsidRPr="00A23740">
              <w:rPr>
                <w:rStyle w:val="MaviChar"/>
                <w:b/>
              </w:rPr>
              <w:t>düşer</w:t>
            </w:r>
            <w:r w:rsidR="00AA5C8C" w:rsidRPr="006C4AA3">
              <w:rPr>
                <w:rFonts w:eastAsia="Calibri"/>
                <w:b w:val="0"/>
                <w:bCs/>
                <w:color w:val="auto"/>
                <w:lang w:val="tr-TR"/>
              </w:rPr>
              <w:t>.</w:t>
            </w:r>
          </w:p>
          <w:p w:rsidR="00AA5C8C" w:rsidRPr="00A23740" w:rsidRDefault="00AA5C8C" w:rsidP="009431FF">
            <w:pPr>
              <w:pStyle w:val="YEL"/>
              <w:rPr>
                <w:lang w:val="tr-TR"/>
              </w:rPr>
            </w:pPr>
          </w:p>
          <w:p w:rsidR="005A78F4" w:rsidRPr="00A23740" w:rsidRDefault="005A78F4" w:rsidP="009431FF">
            <w:pPr>
              <w:pStyle w:val="YEL"/>
              <w:rPr>
                <w:color w:val="FF0000"/>
                <w:lang w:val="tr-TR"/>
              </w:rPr>
            </w:pPr>
          </w:p>
          <w:p w:rsidR="00AA5C8C" w:rsidRPr="00A23740" w:rsidRDefault="00AA5C8C" w:rsidP="009431FF">
            <w:pPr>
              <w:rPr>
                <w:szCs w:val="24"/>
              </w:rPr>
            </w:pPr>
            <w:r w:rsidRPr="00A23740">
              <w:rPr>
                <w:rStyle w:val="MaviChar"/>
                <w:lang w:val="tr-TR"/>
              </w:rPr>
              <w:t>(2)</w:t>
            </w:r>
            <w:r w:rsidRPr="00A23740">
              <w:rPr>
                <w:szCs w:val="24"/>
              </w:rPr>
              <w:t xml:space="preserve"> Birinci fıkra hükmü, </w:t>
            </w:r>
            <w:r w:rsidRPr="00C6389B">
              <w:rPr>
                <w:rStyle w:val="MaviChar"/>
              </w:rPr>
              <w:t>alacakların sırasına ilişkin</w:t>
            </w:r>
            <w:r w:rsidR="00397B37" w:rsidRPr="00C6389B">
              <w:rPr>
                <w:rStyle w:val="MaviChar"/>
              </w:rPr>
              <w:t xml:space="preserve"> 317 nci</w:t>
            </w:r>
            <w:r w:rsidRPr="00A23740">
              <w:rPr>
                <w:szCs w:val="24"/>
              </w:rPr>
              <w:t xml:space="preserve"> maddenin</w:t>
            </w:r>
            <w:r w:rsidRPr="00A23740">
              <w:rPr>
                <w:rStyle w:val="MaviChar"/>
              </w:rPr>
              <w:t xml:space="preserve"> </w:t>
            </w:r>
            <w:r w:rsidRPr="00A23740">
              <w:rPr>
                <w:rStyle w:val="MaviChar"/>
                <w:lang w:val="tr-TR"/>
              </w:rPr>
              <w:t xml:space="preserve">dördüncü fıkrasının (a) </w:t>
            </w:r>
            <w:r w:rsidR="00D567B2" w:rsidRPr="00C6389B">
              <w:rPr>
                <w:rStyle w:val="MaviChar"/>
              </w:rPr>
              <w:t>bendinin</w:t>
            </w:r>
            <w:r w:rsidR="00D567B2" w:rsidRPr="00A23740">
              <w:rPr>
                <w:rStyle w:val="MaviChar"/>
                <w:lang w:val="tr-TR"/>
              </w:rPr>
              <w:t xml:space="preserve"> </w:t>
            </w:r>
            <w:r w:rsidRPr="00A23740">
              <w:rPr>
                <w:rStyle w:val="MaviChar"/>
              </w:rPr>
              <w:t xml:space="preserve">birinci sırasında yazılı imtiyazlı alacaklar, rehinli alacaklıların rehnin kıymetini karşılayan miktardaki alacakları ve Amme Alacaklarının Tahsil Usulü Hakkında Kanun </w:t>
            </w:r>
            <w:r w:rsidRPr="00A23740">
              <w:rPr>
                <w:szCs w:val="24"/>
              </w:rPr>
              <w:t>kapsamındaki</w:t>
            </w:r>
            <w:r w:rsidRPr="00A23740">
              <w:rPr>
                <w:rStyle w:val="MaviChar"/>
              </w:rPr>
              <w:t xml:space="preserve"> </w:t>
            </w:r>
            <w:r w:rsidRPr="00A23740">
              <w:rPr>
                <w:szCs w:val="24"/>
              </w:rPr>
              <w:t>alacaklar için konulan</w:t>
            </w:r>
            <w:r w:rsidRPr="00A23740">
              <w:rPr>
                <w:b/>
                <w:bCs/>
              </w:rPr>
              <w:t xml:space="preserve"> </w:t>
            </w:r>
            <w:r w:rsidRPr="00A23740">
              <w:rPr>
                <w:szCs w:val="24"/>
              </w:rPr>
              <w:t>hacizler</w:t>
            </w:r>
            <w:r w:rsidRPr="00A23740">
              <w:rPr>
                <w:rStyle w:val="YELChar"/>
              </w:rPr>
              <w:t xml:space="preserve"> </w:t>
            </w:r>
            <w:r w:rsidRPr="00A23740">
              <w:rPr>
                <w:szCs w:val="24"/>
              </w:rPr>
              <w:t>hakkında uygulanmaz.</w:t>
            </w:r>
          </w:p>
          <w:p w:rsidR="00AA5C8C" w:rsidRPr="00A23740" w:rsidRDefault="00AA5C8C" w:rsidP="009431FF">
            <w:pPr>
              <w:rPr>
                <w:rFonts w:eastAsia="Times New Roman"/>
                <w:i/>
                <w:szCs w:val="24"/>
                <w:lang w:eastAsia="tr-TR"/>
              </w:rPr>
            </w:pPr>
          </w:p>
        </w:tc>
      </w:tr>
      <w:tr w:rsidR="005C3738" w:rsidRPr="00A23740" w:rsidTr="009431FF">
        <w:tc>
          <w:tcPr>
            <w:tcW w:w="5000" w:type="pct"/>
            <w:gridSpan w:val="2"/>
            <w:shd w:val="clear" w:color="auto" w:fill="DEEAF6"/>
          </w:tcPr>
          <w:p w:rsidR="00665DAB" w:rsidRPr="00A23740" w:rsidRDefault="00665DAB" w:rsidP="009431FF">
            <w:pPr>
              <w:ind w:firstLine="567"/>
              <w:rPr>
                <w:b/>
                <w:bCs/>
                <w:szCs w:val="24"/>
                <w:lang w:eastAsia="x-none"/>
              </w:rPr>
            </w:pPr>
          </w:p>
          <w:p w:rsidR="000935A6" w:rsidRPr="00A23740" w:rsidRDefault="005C3738" w:rsidP="009431FF">
            <w:pPr>
              <w:ind w:firstLine="567"/>
              <w:rPr>
                <w:szCs w:val="24"/>
              </w:rPr>
            </w:pPr>
            <w:r w:rsidRPr="00A23740">
              <w:rPr>
                <w:b/>
                <w:bCs/>
                <w:szCs w:val="24"/>
                <w:lang w:eastAsia="x-none"/>
              </w:rPr>
              <w:t xml:space="preserve">MADDE </w:t>
            </w:r>
            <w:r w:rsidR="00164036" w:rsidRPr="00A23740">
              <w:rPr>
                <w:b/>
                <w:bCs/>
                <w:szCs w:val="24"/>
                <w:lang w:eastAsia="x-none"/>
              </w:rPr>
              <w:t>405</w:t>
            </w:r>
            <w:r w:rsidR="00665DAB" w:rsidRPr="00A23740">
              <w:rPr>
                <w:b/>
                <w:bCs/>
                <w:szCs w:val="24"/>
                <w:lang w:eastAsia="x-none"/>
              </w:rPr>
              <w:t xml:space="preserve">- </w:t>
            </w:r>
            <w:r w:rsidR="00665DAB" w:rsidRPr="00A23740">
              <w:rPr>
                <w:bCs/>
                <w:szCs w:val="24"/>
                <w:lang w:eastAsia="x-none"/>
              </w:rPr>
              <w:t>Maddeyle,</w:t>
            </w:r>
            <w:r w:rsidR="00665DAB" w:rsidRPr="00A23740">
              <w:rPr>
                <w:b/>
                <w:bCs/>
                <w:szCs w:val="24"/>
                <w:lang w:eastAsia="x-none"/>
              </w:rPr>
              <w:t xml:space="preserve"> </w:t>
            </w:r>
            <w:r w:rsidR="00665DAB" w:rsidRPr="00A23740">
              <w:rPr>
                <w:szCs w:val="24"/>
              </w:rPr>
              <w:t>konkordatonun sonuçlanmayan takiplere etkisine ilişkin hükümler düzenlenmektedir.</w:t>
            </w:r>
          </w:p>
          <w:p w:rsidR="000935A6" w:rsidRPr="00A23740" w:rsidRDefault="00CE0DAF" w:rsidP="009431FF">
            <w:pPr>
              <w:ind w:firstLine="567"/>
            </w:pPr>
            <w:r w:rsidRPr="00A23740">
              <w:t>Geçici mühlet kararından önce borçluya karşı başlatılmış takiplerin akıbeti maddenin konusunu oluşturmaktadır. Aslında maddenin konusu takipler değil</w:t>
            </w:r>
            <w:r w:rsidR="0006319A" w:rsidRPr="00A23740">
              <w:t>,</w:t>
            </w:r>
            <w:r w:rsidRPr="00A23740">
              <w:t xml:space="preserve"> hacizlerdir. </w:t>
            </w:r>
          </w:p>
          <w:p w:rsidR="00CE0DAF" w:rsidRPr="00A23740" w:rsidRDefault="00CE0DAF" w:rsidP="009431FF">
            <w:pPr>
              <w:ind w:firstLine="567"/>
              <w:rPr>
                <w:b/>
                <w:bCs/>
              </w:rPr>
            </w:pPr>
            <w:r w:rsidRPr="00A23740">
              <w:t>Maddenin ilk fıkrasınd</w:t>
            </w:r>
            <w:r w:rsidRPr="00C6389B">
              <w:t>a</w:t>
            </w:r>
            <w:r w:rsidR="000935A6" w:rsidRPr="00C6389B">
              <w:t>,</w:t>
            </w:r>
            <w:r w:rsidRPr="00A23740">
              <w:t xml:space="preserve"> geçici mühlet kararından önce başlatılan ve bu takiplerde borçlunun malvarlığı üzerine konulan hacizlerin konkordatonun tasdiki kararının kesinleşmesi</w:t>
            </w:r>
            <w:r w:rsidR="000935A6" w:rsidRPr="00A23740">
              <w:t>yle</w:t>
            </w:r>
            <w:r w:rsidRPr="00A23740">
              <w:t xml:space="preserve"> hükümden düşeceği açıklığa kavuşturulmuştur. </w:t>
            </w:r>
            <w:r w:rsidR="00AD43FB" w:rsidRPr="00A23740">
              <w:t>2004 sayılı</w:t>
            </w:r>
            <w:r w:rsidRPr="00A23740">
              <w:t xml:space="preserve"> Kanunun ilgili maddesinden farklı olarak </w:t>
            </w:r>
            <w:r w:rsidR="0006319A" w:rsidRPr="00A23740">
              <w:t xml:space="preserve">hacizler </w:t>
            </w:r>
            <w:r w:rsidRPr="00A23740">
              <w:t>tasdik kararı</w:t>
            </w:r>
            <w:r w:rsidR="000935A6" w:rsidRPr="00A23740">
              <w:t>yla</w:t>
            </w:r>
            <w:r w:rsidRPr="00A23740">
              <w:t xml:space="preserve"> değil</w:t>
            </w:r>
            <w:r w:rsidR="0006319A" w:rsidRPr="00A23740">
              <w:t>,</w:t>
            </w:r>
            <w:r w:rsidRPr="00A23740">
              <w:t xml:space="preserve"> tasdik kararının kesinleşmesi</w:t>
            </w:r>
            <w:r w:rsidR="000935A6" w:rsidRPr="00A23740">
              <w:t>yle</w:t>
            </w:r>
            <w:r w:rsidRPr="00A23740">
              <w:t xml:space="preserve"> düşecektir. Maddenin bu h</w:t>
            </w:r>
            <w:r w:rsidR="000935A6" w:rsidRPr="00A23740">
              <w:t>â</w:t>
            </w:r>
            <w:r w:rsidRPr="00A23740">
              <w:t xml:space="preserve">li haciz alacaklısının haklarının korunması bakımından daha elverişlidir. Zira ilk derece mahkemesinin tasdik kararının üst </w:t>
            </w:r>
            <w:r w:rsidR="000935A6" w:rsidRPr="00C6389B">
              <w:t>mahkemeler</w:t>
            </w:r>
            <w:r w:rsidRPr="00A23740">
              <w:t xml:space="preserve"> tarafından hükümden düşürülmesi her zaman olasılık dahilindedir. Bu h</w:t>
            </w:r>
            <w:r w:rsidR="000935A6" w:rsidRPr="00A23740">
              <w:t>â</w:t>
            </w:r>
            <w:r w:rsidRPr="00A23740">
              <w:t>lde tasdik kararı</w:t>
            </w:r>
            <w:r w:rsidR="00563A67" w:rsidRPr="00A23740">
              <w:t>nın</w:t>
            </w:r>
            <w:r w:rsidRPr="00A23740">
              <w:t xml:space="preserve"> ortadan kalkmasına rağmen hacizlerin de kalkması gibi bir sonuç ortaya çıkabilecektir. İşte bu gibi olumsuz sonuçların önüne geçmek amacıyla</w:t>
            </w:r>
            <w:r w:rsidR="00563A67" w:rsidRPr="00A23740">
              <w:t>,</w:t>
            </w:r>
            <w:r w:rsidRPr="00A23740">
              <w:t xml:space="preserve"> konkordatonun tasdiki </w:t>
            </w:r>
            <w:r w:rsidR="000935A6" w:rsidRPr="00C6389B">
              <w:t>kararının kesinleşmesiyle</w:t>
            </w:r>
            <w:r w:rsidRPr="00A23740">
              <w:t xml:space="preserve"> hacizlerin düşeceği</w:t>
            </w:r>
            <w:r w:rsidR="000935A6" w:rsidRPr="00A23740">
              <w:t xml:space="preserve"> </w:t>
            </w:r>
            <w:r w:rsidR="000935A6" w:rsidRPr="00C6389B">
              <w:t>hususu</w:t>
            </w:r>
            <w:r w:rsidRPr="00A23740">
              <w:t xml:space="preserve"> madde</w:t>
            </w:r>
            <w:r w:rsidR="000935A6" w:rsidRPr="00A23740">
              <w:t>yle</w:t>
            </w:r>
            <w:r w:rsidRPr="00A23740">
              <w:t xml:space="preserve"> açıklığa kavuşturulmuştur. Fıkra kapsamında son olarak belirtilmesi gereken husu</w:t>
            </w:r>
            <w:r w:rsidRPr="00C6389B">
              <w:t>s</w:t>
            </w:r>
            <w:r w:rsidR="000935A6" w:rsidRPr="00C6389B">
              <w:t>,</w:t>
            </w:r>
            <w:r w:rsidRPr="00A23740">
              <w:t xml:space="preserve"> düşen hacizler</w:t>
            </w:r>
            <w:r w:rsidR="000935A6" w:rsidRPr="00C6389B">
              <w:t>in</w:t>
            </w:r>
            <w:r w:rsidRPr="00A23740">
              <w:t xml:space="preserve">, henüz </w:t>
            </w:r>
            <w:r w:rsidR="00AD43FB" w:rsidRPr="00A23740">
              <w:t>paraya çevrilmeyen hacizler</w:t>
            </w:r>
            <w:r w:rsidR="000935A6" w:rsidRPr="00A23740">
              <w:rPr>
                <w:rStyle w:val="YELChar"/>
              </w:rPr>
              <w:t xml:space="preserve"> </w:t>
            </w:r>
            <w:r w:rsidR="000935A6" w:rsidRPr="00C6389B">
              <w:t>olduğudur</w:t>
            </w:r>
            <w:r w:rsidR="00AD43FB" w:rsidRPr="00A23740">
              <w:t>.</w:t>
            </w:r>
            <w:r w:rsidRPr="00A23740">
              <w:t xml:space="preserve"> Zira haciz sonrasında paraya çevirme işlemi de gerçekleşmişse</w:t>
            </w:r>
            <w:r w:rsidR="00563A67" w:rsidRPr="00A23740">
              <w:t>,</w:t>
            </w:r>
            <w:r w:rsidRPr="00A23740">
              <w:t xml:space="preserve"> konkordatonun tasdiki bu noktadan sonra bir anlam ifade etmeyecek ve paraya çevirme sonucunda elde edilen satış bedeli takip alacaklısına ödenecektir. </w:t>
            </w:r>
          </w:p>
          <w:p w:rsidR="00CE0DAF" w:rsidRPr="00A23740" w:rsidRDefault="00CE0DAF" w:rsidP="009431FF">
            <w:pPr>
              <w:ind w:firstLine="567"/>
            </w:pPr>
            <w:r w:rsidRPr="00A23740">
              <w:t>Maddenin ikinci fıkrasında ise konkordatonun tasdiki kararının kesinleşmesine rağmen geçici mühlet kararından önce başlatılmış bazı takiplerdeki hacizlerin hükümden düşmeyeceği belirtilmiştir. Bu</w:t>
            </w:r>
            <w:r w:rsidR="00665DAB" w:rsidRPr="00A23740">
              <w:t xml:space="preserve">na göre </w:t>
            </w:r>
            <w:r w:rsidR="000935A6" w:rsidRPr="00C6389B">
              <w:t>Taslağın</w:t>
            </w:r>
            <w:r w:rsidR="00D94699" w:rsidRPr="00C6389B">
              <w:t xml:space="preserve"> alacakların sırasına ilişkin </w:t>
            </w:r>
            <w:r w:rsidR="00665DAB" w:rsidRPr="00C6389B">
              <w:t xml:space="preserve"> </w:t>
            </w:r>
            <w:r w:rsidR="00397B37" w:rsidRPr="00C6389B">
              <w:t>317 nci</w:t>
            </w:r>
            <w:r w:rsidRPr="00A23740">
              <w:t xml:space="preserve"> maddesinin dördüncü fıkrasının </w:t>
            </w:r>
            <w:r w:rsidR="00665DAB" w:rsidRPr="00A23740">
              <w:t>(</w:t>
            </w:r>
            <w:r w:rsidRPr="00A23740">
              <w:t>a</w:t>
            </w:r>
            <w:r w:rsidR="00665DAB" w:rsidRPr="00A23740">
              <w:t>)</w:t>
            </w:r>
            <w:r w:rsidRPr="00A23740">
              <w:t xml:space="preserve"> bendinde belirtilen birinci sıradaki imtiyazlı alacaklılar için konulan hacizl</w:t>
            </w:r>
            <w:r w:rsidR="000935A6" w:rsidRPr="00A23740">
              <w:t>er</w:t>
            </w:r>
            <w:r w:rsidR="00563A67" w:rsidRPr="00A23740">
              <w:t xml:space="preserve"> i</w:t>
            </w:r>
            <w:r w:rsidR="000935A6" w:rsidRPr="00A23740">
              <w:t>le Amme Alacaklarının Tahsil</w:t>
            </w:r>
            <w:r w:rsidRPr="00A23740">
              <w:t xml:space="preserve"> Usulü Hakkında Kanun kapsamındaki alacaklar için konulan hacizler</w:t>
            </w:r>
            <w:r w:rsidR="00563A67" w:rsidRPr="00A23740">
              <w:t>,</w:t>
            </w:r>
            <w:r w:rsidRPr="00A23740">
              <w:t xml:space="preserve"> konkordatonun tasdikine rağmen düşmeyecektir. </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i/>
                <w:szCs w:val="24"/>
              </w:rPr>
            </w:pPr>
            <w:r w:rsidRPr="00A23740">
              <w:rPr>
                <w:i/>
                <w:szCs w:val="24"/>
              </w:rPr>
              <w:t>Konkordato haricinde yapılan vaatler:</w:t>
            </w:r>
          </w:p>
          <w:p w:rsidR="00AA5C8C" w:rsidRPr="00A23740" w:rsidRDefault="00AA5C8C" w:rsidP="009431FF">
            <w:pPr>
              <w:rPr>
                <w:b/>
                <w:szCs w:val="24"/>
              </w:rPr>
            </w:pPr>
            <w:r w:rsidRPr="00A23740">
              <w:rPr>
                <w:rStyle w:val="KIRMIZIChar"/>
                <w:rFonts w:eastAsia="Calibri"/>
              </w:rPr>
              <w:t>Madde 308/d- (1) (Ek: 28/2/2018-7101/37 md.)</w:t>
            </w:r>
            <w:r w:rsidRPr="00A23740">
              <w:rPr>
                <w:b/>
                <w:szCs w:val="24"/>
              </w:rPr>
              <w:t xml:space="preserve"> </w:t>
            </w:r>
          </w:p>
          <w:p w:rsidR="00AA5C8C" w:rsidRPr="00A23740" w:rsidRDefault="00AA5C8C" w:rsidP="009431FF">
            <w:pPr>
              <w:rPr>
                <w:szCs w:val="24"/>
              </w:rPr>
            </w:pPr>
            <w:r w:rsidRPr="00A23740">
              <w:rPr>
                <w:szCs w:val="24"/>
              </w:rPr>
              <w:t>Borçlu tarafından alacaklılardan birine konkordato projesinde öngörülenden fazla olarak yapılan vaatler hükümsüzdür.</w:t>
            </w:r>
          </w:p>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rPr>
                <w:b/>
                <w:szCs w:val="24"/>
              </w:rPr>
            </w:pPr>
            <w:r w:rsidRPr="00A23740">
              <w:rPr>
                <w:b/>
                <w:szCs w:val="24"/>
              </w:rPr>
              <w:t>Konkordato haricinde yapılan vaatler</w:t>
            </w:r>
          </w:p>
          <w:p w:rsidR="00AA5C8C" w:rsidRPr="00A23740" w:rsidRDefault="00164036" w:rsidP="009431FF">
            <w:pPr>
              <w:rPr>
                <w:szCs w:val="24"/>
              </w:rPr>
            </w:pPr>
            <w:r w:rsidRPr="00A23740">
              <w:rPr>
                <w:rStyle w:val="MaviChar"/>
                <w:lang w:val="tr-TR"/>
              </w:rPr>
              <w:t>MADDE 406</w:t>
            </w:r>
            <w:r w:rsidR="00AA5C8C" w:rsidRPr="00A23740">
              <w:rPr>
                <w:rStyle w:val="MaviChar"/>
                <w:lang w:val="tr-TR"/>
              </w:rPr>
              <w:t>- (1)</w:t>
            </w:r>
            <w:r w:rsidR="00AA5C8C" w:rsidRPr="00A23740">
              <w:rPr>
                <w:szCs w:val="24"/>
              </w:rPr>
              <w:t xml:space="preserve"> Borçlu tarafından alacaklılardan birine konkordato projesinde öngörülenden fazla olarak yapılan vaatler hükümsüzdür.</w:t>
            </w:r>
          </w:p>
          <w:p w:rsidR="00AA5C8C" w:rsidRPr="00A23740" w:rsidRDefault="00AA5C8C" w:rsidP="009431FF">
            <w:pPr>
              <w:rPr>
                <w:szCs w:val="24"/>
              </w:rPr>
            </w:pPr>
          </w:p>
          <w:p w:rsidR="00AA5C8C" w:rsidRPr="00A23740" w:rsidRDefault="00AA5C8C" w:rsidP="009431FF">
            <w:pPr>
              <w:pStyle w:val="KIRMIZI"/>
              <w:rPr>
                <w:i/>
                <w:lang w:eastAsia="tr-TR"/>
              </w:rPr>
            </w:pPr>
          </w:p>
        </w:tc>
      </w:tr>
      <w:tr w:rsidR="005C3738" w:rsidRPr="00A23740" w:rsidTr="009431FF">
        <w:tc>
          <w:tcPr>
            <w:tcW w:w="5000" w:type="pct"/>
            <w:gridSpan w:val="2"/>
            <w:shd w:val="clear" w:color="auto" w:fill="DEEAF6"/>
          </w:tcPr>
          <w:p w:rsidR="00AD43FB" w:rsidRPr="00A23740" w:rsidRDefault="00AD43FB" w:rsidP="009431FF">
            <w:pPr>
              <w:ind w:firstLine="567"/>
              <w:rPr>
                <w:b/>
                <w:bCs/>
                <w:szCs w:val="24"/>
                <w:lang w:eastAsia="x-none"/>
              </w:rPr>
            </w:pPr>
          </w:p>
          <w:p w:rsidR="00CE0DAF" w:rsidRPr="00A23740" w:rsidRDefault="00164036" w:rsidP="009431FF">
            <w:pPr>
              <w:ind w:firstLine="567"/>
              <w:rPr>
                <w:b/>
                <w:szCs w:val="24"/>
              </w:rPr>
            </w:pPr>
            <w:r w:rsidRPr="00A23740">
              <w:rPr>
                <w:b/>
                <w:bCs/>
                <w:szCs w:val="24"/>
                <w:lang w:eastAsia="x-none"/>
              </w:rPr>
              <w:t>MADDE 406</w:t>
            </w:r>
            <w:r w:rsidR="005C3738" w:rsidRPr="00A23740">
              <w:rPr>
                <w:b/>
                <w:bCs/>
                <w:szCs w:val="24"/>
                <w:lang w:eastAsia="x-none"/>
              </w:rPr>
              <w:t xml:space="preserve">- </w:t>
            </w:r>
            <w:r w:rsidR="00AD43FB" w:rsidRPr="00A23740">
              <w:rPr>
                <w:bCs/>
                <w:szCs w:val="24"/>
                <w:lang w:eastAsia="x-none"/>
              </w:rPr>
              <w:t xml:space="preserve">Maddeyle, </w:t>
            </w:r>
            <w:r w:rsidR="00AD43FB" w:rsidRPr="00A23740">
              <w:rPr>
                <w:szCs w:val="24"/>
              </w:rPr>
              <w:t>konkordato haricinde yapılan vaatlere ilişkin hususlar düzenlenmektedir.</w:t>
            </w:r>
            <w:r w:rsidR="00AD43FB" w:rsidRPr="00A23740">
              <w:rPr>
                <w:b/>
                <w:szCs w:val="24"/>
              </w:rPr>
              <w:t xml:space="preserve"> </w:t>
            </w:r>
            <w:r w:rsidR="00CE0DAF" w:rsidRPr="00A23740">
              <w:t>Konkordatoda, konkordatoya tabi alacaklılar arasında eşitlik ilkesi önemli bir ilkedir</w:t>
            </w:r>
            <w:r w:rsidR="00563A67" w:rsidRPr="00A23740">
              <w:t>;</w:t>
            </w:r>
            <w:r w:rsidR="00CE0DAF" w:rsidRPr="00A23740">
              <w:t xml:space="preserve"> bu ilke tüm konkordato hukukuna egemen </w:t>
            </w:r>
            <w:r w:rsidR="00563A67" w:rsidRPr="00A23740">
              <w:t>bir ilkedir</w:t>
            </w:r>
            <w:r w:rsidR="00CE0DAF" w:rsidRPr="00A23740">
              <w:t>. Alacaklılar arasındaki eşitlik ilkesi konkordatoya tabi alacaklıların ödenmesinde de kendisini kuvvetli bir şekilde göstermektedir. Madde</w:t>
            </w:r>
            <w:r w:rsidR="008779B2" w:rsidRPr="00A23740">
              <w:t>yle</w:t>
            </w:r>
            <w:r w:rsidR="00CE0DAF" w:rsidRPr="00A23740">
              <w:t xml:space="preserve"> bu eşitlik ilkesi bir kez daha vurgulanmış ve borçlu tarafından alacaklılardan birine konkordato projesinde öngörülenden fazla olarak yapılan vaatlerin hükümsüz olduğu belirtilmiştir. Borçlunun alacaklılar arasında </w:t>
            </w:r>
            <w:r w:rsidR="008779B2" w:rsidRPr="00C6389B">
              <w:t>eşitliği</w:t>
            </w:r>
            <w:r w:rsidR="00CE0DAF" w:rsidRPr="00A23740">
              <w:t xml:space="preserve"> bozan bu neviden eylemleri </w:t>
            </w:r>
            <w:r w:rsidR="00AD43FB" w:rsidRPr="00A23740">
              <w:t>Taslağın</w:t>
            </w:r>
            <w:r w:rsidR="00397B37" w:rsidRPr="00A23740">
              <w:t xml:space="preserve"> </w:t>
            </w:r>
            <w:r w:rsidR="00397B37" w:rsidRPr="00C6389B">
              <w:t>527 nci</w:t>
            </w:r>
            <w:r w:rsidR="00CE0DAF" w:rsidRPr="00A23740">
              <w:t xml:space="preserve"> maddesinin de konusu olmuştur. İlgili maddeye göre bir alacaklının oyunu almak için menfaat sağlayan kişinin eylemi icra iflas suçlarından birisidir. </w:t>
            </w:r>
          </w:p>
          <w:p w:rsidR="005C3738" w:rsidRPr="00A23740" w:rsidRDefault="005C3738" w:rsidP="00AD7E89">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i/>
                <w:szCs w:val="24"/>
                <w:lang w:eastAsia="tr-TR"/>
              </w:rPr>
            </w:pPr>
            <w:r w:rsidRPr="00A23740">
              <w:rPr>
                <w:rFonts w:eastAsia="Times New Roman"/>
                <w:i/>
                <w:szCs w:val="24"/>
                <w:lang w:eastAsia="tr-TR"/>
              </w:rPr>
              <w:t xml:space="preserve">Konkordatonun kısmen </w:t>
            </w:r>
            <w:r w:rsidRPr="00A23740">
              <w:rPr>
                <w:rStyle w:val="KIRMIZIChar"/>
                <w:rFonts w:eastAsia="Calibri"/>
              </w:rPr>
              <w:t>feshi</w:t>
            </w:r>
            <w:r w:rsidRPr="00A23740">
              <w:rPr>
                <w:rFonts w:eastAsia="Times New Roman"/>
                <w:i/>
                <w:szCs w:val="24"/>
                <w:lang w:eastAsia="tr-TR"/>
              </w:rPr>
              <w:t>:</w:t>
            </w:r>
          </w:p>
          <w:p w:rsidR="00AA5C8C" w:rsidRPr="00A23740" w:rsidRDefault="00AA5C8C" w:rsidP="009431FF">
            <w:pPr>
              <w:rPr>
                <w:rFonts w:eastAsia="Times New Roman"/>
                <w:b/>
                <w:szCs w:val="24"/>
                <w:lang w:eastAsia="tr-TR"/>
              </w:rPr>
            </w:pPr>
            <w:r w:rsidRPr="00A23740">
              <w:rPr>
                <w:rStyle w:val="KIRMIZIChar"/>
                <w:rFonts w:eastAsia="Calibri"/>
              </w:rPr>
              <w:t>Madde 308/e- (1) (Ek: 28/2/2018-7101/37 md.)</w:t>
            </w:r>
            <w:r w:rsidRPr="00A23740">
              <w:rPr>
                <w:rFonts w:eastAsia="Times New Roman"/>
                <w:b/>
                <w:szCs w:val="24"/>
                <w:lang w:eastAsia="tr-TR"/>
              </w:rPr>
              <w:t xml:space="preserve"> </w:t>
            </w:r>
          </w:p>
          <w:p w:rsidR="00AA5C8C" w:rsidRPr="00A23740" w:rsidRDefault="00AA5C8C" w:rsidP="009431FF">
            <w:pPr>
              <w:rPr>
                <w:rFonts w:eastAsia="Times New Roman"/>
                <w:szCs w:val="24"/>
                <w:lang w:eastAsia="tr-TR"/>
              </w:rPr>
            </w:pPr>
            <w:r w:rsidRPr="00A23740">
              <w:rPr>
                <w:rStyle w:val="KIRMIZIChar"/>
                <w:rFonts w:eastAsia="Calibri"/>
              </w:rPr>
              <w:t>Kendisine karşı konkordato projesi uyarınca ifada bulunulmayan her alacaklı konkordato uyarınca kazanmış olduğu yeni hakları muhafaza etmekle birlikte konkordatoyu tasdik eden</w:t>
            </w:r>
            <w:r w:rsidRPr="00A23740">
              <w:rPr>
                <w:rFonts w:eastAsia="Times New Roman"/>
                <w:szCs w:val="24"/>
                <w:lang w:eastAsia="tr-TR"/>
              </w:rPr>
              <w:t xml:space="preserve"> mahkemeye başvurarak kendisi hakkında konkordato</w:t>
            </w:r>
            <w:r w:rsidRPr="00A23740">
              <w:rPr>
                <w:rStyle w:val="KIRMIZIChar"/>
                <w:rFonts w:eastAsia="Calibri"/>
              </w:rPr>
              <w:t>yu feshettirebilir</w:t>
            </w:r>
            <w:r w:rsidRPr="00A23740">
              <w:rPr>
                <w:rFonts w:eastAsia="Times New Roman"/>
                <w:szCs w:val="24"/>
                <w:lang w:eastAsia="tr-TR"/>
              </w:rPr>
              <w:t>.</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b/>
                <w:strike/>
                <w:color w:val="FF0000"/>
                <w:szCs w:val="24"/>
                <w:lang w:eastAsia="tr-TR"/>
              </w:rPr>
            </w:pPr>
            <w:r w:rsidRPr="00A23740">
              <w:rPr>
                <w:rFonts w:eastAsia="Times New Roman"/>
                <w:b/>
                <w:strike/>
                <w:color w:val="FF0000"/>
                <w:szCs w:val="24"/>
                <w:lang w:eastAsia="tr-TR"/>
              </w:rPr>
              <w:t xml:space="preserve">(2) Fesih talebi üzerine verilecek hükmün tebliğinden itibaren </w:t>
            </w:r>
            <w:r w:rsidR="00616853" w:rsidRPr="00A23740">
              <w:rPr>
                <w:rFonts w:eastAsia="Times New Roman"/>
                <w:b/>
                <w:strike/>
                <w:color w:val="FF0000"/>
                <w:szCs w:val="24"/>
                <w:lang w:eastAsia="tr-TR"/>
              </w:rPr>
              <w:t>iki hafta</w:t>
            </w:r>
            <w:r w:rsidRPr="00A23740">
              <w:rPr>
                <w:rFonts w:eastAsia="Times New Roman"/>
                <w:b/>
                <w:strike/>
                <w:color w:val="FF0000"/>
                <w:szCs w:val="24"/>
                <w:lang w:eastAsia="tr-TR"/>
              </w:rPr>
              <w:t xml:space="preserve"> içinde istinaf yoluna başvurulabilir. Bölge adliye mahkemesi kararına karşı tebliğ tarihinden itibaren </w:t>
            </w:r>
            <w:r w:rsidR="00616853" w:rsidRPr="00A23740">
              <w:rPr>
                <w:rFonts w:eastAsia="Times New Roman"/>
                <w:b/>
                <w:strike/>
                <w:color w:val="FF0000"/>
                <w:szCs w:val="24"/>
                <w:lang w:eastAsia="tr-TR"/>
              </w:rPr>
              <w:t>iki hafta</w:t>
            </w:r>
            <w:r w:rsidRPr="00A23740">
              <w:rPr>
                <w:rFonts w:eastAsia="Times New Roman"/>
                <w:b/>
                <w:strike/>
                <w:color w:val="FF0000"/>
                <w:szCs w:val="24"/>
                <w:lang w:eastAsia="tr-TR"/>
              </w:rPr>
              <w:t xml:space="preserve"> içinde temyiz yoluna başvurulabilir.</w:t>
            </w:r>
          </w:p>
          <w:p w:rsidR="00AA5C8C" w:rsidRPr="00A23740" w:rsidRDefault="00AA5C8C" w:rsidP="009431FF">
            <w:pPr>
              <w:rPr>
                <w:b/>
                <w:color w:val="FF0000"/>
                <w:szCs w:val="24"/>
              </w:rPr>
            </w:pPr>
          </w:p>
        </w:tc>
        <w:tc>
          <w:tcPr>
            <w:tcW w:w="2500" w:type="pct"/>
            <w:shd w:val="clear" w:color="auto" w:fill="FFFFFF"/>
          </w:tcPr>
          <w:p w:rsidR="00AA5C8C" w:rsidRPr="00A23740" w:rsidRDefault="00AA5C8C" w:rsidP="009431FF">
            <w:pPr>
              <w:rPr>
                <w:rFonts w:eastAsia="Times New Roman"/>
                <w:b/>
                <w:szCs w:val="24"/>
                <w:lang w:eastAsia="tr-TR"/>
              </w:rPr>
            </w:pPr>
            <w:r w:rsidRPr="00A23740">
              <w:rPr>
                <w:rFonts w:eastAsia="Times New Roman"/>
                <w:b/>
                <w:szCs w:val="24"/>
                <w:lang w:eastAsia="tr-TR"/>
              </w:rPr>
              <w:t xml:space="preserve">Konkordatonun kısmen </w:t>
            </w:r>
            <w:r w:rsidRPr="00A23740">
              <w:rPr>
                <w:rStyle w:val="MaviChar"/>
                <w:lang w:val="tr-TR"/>
              </w:rPr>
              <w:t>iptali</w:t>
            </w:r>
            <w:r w:rsidRPr="00A23740">
              <w:rPr>
                <w:rStyle w:val="MaviChar"/>
                <w:b w:val="0"/>
                <w:lang w:val="tr-TR"/>
              </w:rPr>
              <w:t xml:space="preserve"> </w:t>
            </w:r>
          </w:p>
          <w:p w:rsidR="00AA5C8C" w:rsidRPr="00A23740" w:rsidRDefault="00AA5C8C" w:rsidP="009431FF">
            <w:pPr>
              <w:rPr>
                <w:b/>
                <w:color w:val="FF0000"/>
                <w:szCs w:val="24"/>
              </w:rPr>
            </w:pPr>
            <w:r w:rsidRPr="00A23740">
              <w:rPr>
                <w:rStyle w:val="MaviChar"/>
                <w:lang w:val="tr-TR"/>
              </w:rPr>
              <w:t>MADDE 40</w:t>
            </w:r>
            <w:r w:rsidR="00164036" w:rsidRPr="00A23740">
              <w:rPr>
                <w:rStyle w:val="MaviChar"/>
                <w:lang w:val="tr-TR"/>
              </w:rPr>
              <w:t>7</w:t>
            </w:r>
            <w:r w:rsidRPr="00A23740">
              <w:rPr>
                <w:rStyle w:val="MaviChar"/>
                <w:lang w:val="tr-TR"/>
              </w:rPr>
              <w:t xml:space="preserve">- (1) </w:t>
            </w:r>
            <w:r w:rsidRPr="00A23740">
              <w:rPr>
                <w:rStyle w:val="MaviChar"/>
              </w:rPr>
              <w:t>Konkordatoya tabi alacaklılardan her biri</w:t>
            </w:r>
            <w:r w:rsidR="00C71EF0" w:rsidRPr="00AD7E89">
              <w:rPr>
                <w:rStyle w:val="Balk1Char"/>
                <w:rFonts w:eastAsia="Calibri"/>
              </w:rPr>
              <w:t>,</w:t>
            </w:r>
            <w:r w:rsidRPr="00A23740">
              <w:rPr>
                <w:rStyle w:val="MaviChar"/>
              </w:rPr>
              <w:t xml:space="preserve"> kendisine tasdik edilen konkordato projesi uyarınca ifada bulunulmaması h</w:t>
            </w:r>
            <w:r w:rsidR="005D6974" w:rsidRPr="00A23740">
              <w:rPr>
                <w:rStyle w:val="MaviChar"/>
                <w:lang w:val="tr-TR"/>
              </w:rPr>
              <w:t>â</w:t>
            </w:r>
            <w:r w:rsidRPr="00A23740">
              <w:rPr>
                <w:rStyle w:val="MaviChar"/>
              </w:rPr>
              <w:t xml:space="preserve">linde, projeyle kazanmış olduğu </w:t>
            </w:r>
            <w:r w:rsidR="005D6974" w:rsidRPr="00C6389B">
              <w:rPr>
                <w:rStyle w:val="MaviChar"/>
              </w:rPr>
              <w:t>haklar</w:t>
            </w:r>
            <w:r w:rsidRPr="00A23740">
              <w:rPr>
                <w:rStyle w:val="MaviChar"/>
              </w:rPr>
              <w:t xml:space="preserve"> saklı kalmak kaydıyla tasdik kararını vermiş olan</w:t>
            </w:r>
            <w:r w:rsidRPr="00A23740">
              <w:rPr>
                <w:rFonts w:eastAsia="Times New Roman"/>
                <w:szCs w:val="24"/>
                <w:lang w:eastAsia="tr-TR"/>
              </w:rPr>
              <w:t xml:space="preserve"> mahkemeye başvurarak </w:t>
            </w:r>
            <w:r w:rsidRPr="00C6389B">
              <w:rPr>
                <w:rStyle w:val="MaviChar"/>
              </w:rPr>
              <w:t>konkordatonun</w:t>
            </w:r>
            <w:r w:rsidRPr="00A23740">
              <w:rPr>
                <w:rFonts w:eastAsia="Times New Roman"/>
                <w:szCs w:val="24"/>
                <w:lang w:eastAsia="tr-TR"/>
              </w:rPr>
              <w:t xml:space="preserve"> kendisi </w:t>
            </w:r>
            <w:r w:rsidRPr="00C6389B">
              <w:rPr>
                <w:rStyle w:val="MaviChar"/>
              </w:rPr>
              <w:t>bakımından</w:t>
            </w:r>
            <w:r w:rsidRPr="00A23740">
              <w:rPr>
                <w:rFonts w:eastAsia="Times New Roman"/>
                <w:szCs w:val="24"/>
                <w:lang w:eastAsia="tr-TR"/>
              </w:rPr>
              <w:t xml:space="preserve"> </w:t>
            </w:r>
            <w:r w:rsidRPr="00A23740">
              <w:rPr>
                <w:rStyle w:val="MaviChar"/>
                <w:lang w:val="tr-TR"/>
              </w:rPr>
              <w:t>iptalini</w:t>
            </w:r>
            <w:r w:rsidRPr="00A23740">
              <w:rPr>
                <w:rStyle w:val="KIRMIZIChar"/>
                <w:rFonts w:eastAsia="Calibri"/>
                <w:strike w:val="0"/>
              </w:rPr>
              <w:t xml:space="preserve"> </w:t>
            </w:r>
            <w:r w:rsidRPr="00A23740">
              <w:rPr>
                <w:rStyle w:val="MaviChar"/>
              </w:rPr>
              <w:t>talep edebilir</w:t>
            </w:r>
            <w:r w:rsidRPr="00A23740">
              <w:rPr>
                <w:rFonts w:eastAsia="Times New Roman"/>
                <w:szCs w:val="24"/>
                <w:lang w:eastAsia="tr-TR"/>
              </w:rPr>
              <w:t>.</w:t>
            </w:r>
          </w:p>
          <w:p w:rsidR="00AA5C8C" w:rsidRPr="00A23740" w:rsidRDefault="00AA5C8C" w:rsidP="009431FF">
            <w:pPr>
              <w:rPr>
                <w:b/>
                <w:color w:val="FF0000"/>
                <w:szCs w:val="24"/>
              </w:rPr>
            </w:pPr>
          </w:p>
          <w:p w:rsidR="00AA5C8C" w:rsidRPr="00A23740" w:rsidRDefault="00AA5C8C" w:rsidP="009431FF">
            <w:pPr>
              <w:pStyle w:val="KIRMIZI"/>
              <w:rPr>
                <w:b w:val="0"/>
              </w:rPr>
            </w:pPr>
          </w:p>
        </w:tc>
      </w:tr>
      <w:tr w:rsidR="005C3738" w:rsidRPr="00A23740" w:rsidTr="009431FF">
        <w:tc>
          <w:tcPr>
            <w:tcW w:w="5000" w:type="pct"/>
            <w:gridSpan w:val="2"/>
            <w:shd w:val="clear" w:color="auto" w:fill="DEEAF6"/>
          </w:tcPr>
          <w:p w:rsidR="00AD43FB" w:rsidRPr="00A23740" w:rsidRDefault="00AD43FB" w:rsidP="009431FF">
            <w:pPr>
              <w:ind w:firstLine="567"/>
              <w:rPr>
                <w:b/>
                <w:bCs/>
                <w:szCs w:val="24"/>
                <w:lang w:eastAsia="x-none"/>
              </w:rPr>
            </w:pPr>
          </w:p>
          <w:p w:rsidR="00D13608" w:rsidRPr="00A23740" w:rsidRDefault="00AD43FB" w:rsidP="009431FF">
            <w:pPr>
              <w:ind w:firstLine="567"/>
              <w:rPr>
                <w:rStyle w:val="MaviChar"/>
                <w:b w:val="0"/>
                <w:color w:val="000000"/>
                <w:lang w:val="tr-TR"/>
              </w:rPr>
            </w:pPr>
            <w:r w:rsidRPr="00A23740">
              <w:rPr>
                <w:b/>
                <w:bCs/>
                <w:szCs w:val="24"/>
                <w:lang w:eastAsia="x-none"/>
              </w:rPr>
              <w:t>MADDE 40</w:t>
            </w:r>
            <w:r w:rsidR="00164036" w:rsidRPr="00A23740">
              <w:rPr>
                <w:b/>
                <w:bCs/>
                <w:szCs w:val="24"/>
                <w:lang w:eastAsia="x-none"/>
              </w:rPr>
              <w:t>7</w:t>
            </w:r>
            <w:r w:rsidR="005C3738" w:rsidRPr="00A23740">
              <w:rPr>
                <w:b/>
                <w:bCs/>
                <w:szCs w:val="24"/>
                <w:lang w:eastAsia="x-none"/>
              </w:rPr>
              <w:t xml:space="preserve">- </w:t>
            </w:r>
            <w:r w:rsidRPr="00A23740">
              <w:rPr>
                <w:color w:val="000000"/>
              </w:rPr>
              <w:t xml:space="preserve">Maddeyle, </w:t>
            </w:r>
            <w:r w:rsidRPr="00A23740">
              <w:rPr>
                <w:rFonts w:eastAsia="Times New Roman"/>
                <w:color w:val="000000"/>
                <w:szCs w:val="24"/>
                <w:lang w:eastAsia="tr-TR"/>
              </w:rPr>
              <w:t xml:space="preserve">konkordatonun kısmen </w:t>
            </w:r>
            <w:r w:rsidRPr="00A23740">
              <w:rPr>
                <w:rStyle w:val="MaviChar"/>
                <w:b w:val="0"/>
                <w:color w:val="000000"/>
                <w:lang w:val="tr-TR"/>
              </w:rPr>
              <w:t xml:space="preserve">iptaline ilişkin hükümler düzenlenmektedir. </w:t>
            </w:r>
          </w:p>
          <w:p w:rsidR="00CE0DAF" w:rsidRPr="00A23740" w:rsidRDefault="00CE0DAF" w:rsidP="009431FF">
            <w:pPr>
              <w:ind w:firstLine="567"/>
            </w:pPr>
            <w:r w:rsidRPr="00A23740">
              <w:t>Tasdik edilen konkordato projesi gereğince kendisine ödenmesi gereken tutar ödenmeyen alacaklı</w:t>
            </w:r>
            <w:r w:rsidR="00563A67" w:rsidRPr="00A23740">
              <w:t>,</w:t>
            </w:r>
            <w:r w:rsidRPr="00A23740">
              <w:t xml:space="preserve"> konkordatonun kendisi bakımından iptalini isteyebilir. Bu h</w:t>
            </w:r>
            <w:r w:rsidR="00D13608" w:rsidRPr="00A23740">
              <w:t>â</w:t>
            </w:r>
            <w:r w:rsidRPr="00A23740">
              <w:t>lde konkordatonun kısmen</w:t>
            </w:r>
            <w:r w:rsidR="00563A67" w:rsidRPr="00A23740">
              <w:t>,</w:t>
            </w:r>
            <w:r w:rsidRPr="00A23740">
              <w:t xml:space="preserve"> yani bir bakıma sadece talepte bulunan alacaklı bakımından iptali söz konusu olacaktır. Madde </w:t>
            </w:r>
            <w:r w:rsidR="00AD43FB" w:rsidRPr="00A23740">
              <w:t>2004 sayılı</w:t>
            </w:r>
            <w:r w:rsidRPr="00A23740">
              <w:t xml:space="preserve"> Kanunun ilgili maddesinden farklı olarak konkordatonun feshinden deği</w:t>
            </w:r>
            <w:r w:rsidRPr="00C6389B">
              <w:t>l</w:t>
            </w:r>
            <w:r w:rsidR="00D13608" w:rsidRPr="00C6389B">
              <w:t>,</w:t>
            </w:r>
            <w:r w:rsidRPr="00A23740">
              <w:t xml:space="preserve"> iptalinden bahsetmektedir. Bu şekilde doktrinde aslında fesih kavramı yerine iptal kavramının kullanılmasının daha doğru olacağı şekli</w:t>
            </w:r>
            <w:r w:rsidRPr="00C6389B">
              <w:t>ndeki görüşler</w:t>
            </w:r>
            <w:r w:rsidR="00C01BED" w:rsidRPr="00C6389B">
              <w:t xml:space="preserve"> ile İsviçre’nin Borç İçin Takip ve İflas Hakkındaki Federal Kanun hükümleri</w:t>
            </w:r>
            <w:r w:rsidR="00C01BED" w:rsidRPr="00A23740">
              <w:t xml:space="preserve">, yeni </w:t>
            </w:r>
            <w:r w:rsidRPr="00A23740">
              <w:t xml:space="preserve">düzenlemede </w:t>
            </w:r>
            <w:r w:rsidR="00C01BED" w:rsidRPr="00C6389B">
              <w:t>etkili olmuştur</w:t>
            </w:r>
            <w:r w:rsidRPr="00A23740">
              <w:t>. Madde gereğince, konkordato projesi</w:t>
            </w:r>
            <w:r w:rsidR="00D13608" w:rsidRPr="00A23740">
              <w:t xml:space="preserve"> </w:t>
            </w:r>
            <w:r w:rsidR="00D13608" w:rsidRPr="00C6389B">
              <w:t>uyarınca</w:t>
            </w:r>
            <w:r w:rsidRPr="00A23740">
              <w:t xml:space="preserve"> alacağını almak durumunda olan bir alacaklı alacağının sadece bir taksitini dahi alamamış olması h</w:t>
            </w:r>
            <w:r w:rsidR="00D13608" w:rsidRPr="00A23740">
              <w:t>â</w:t>
            </w:r>
            <w:r w:rsidRPr="00A23740">
              <w:t>linde</w:t>
            </w:r>
            <w:r w:rsidR="00563A67" w:rsidRPr="00A23740">
              <w:t>,</w:t>
            </w:r>
            <w:r w:rsidRPr="00A23740">
              <w:t xml:space="preserve"> konkordatonun tasdikine karar vermiş olan mahkemeden konkordatonun sadece kendisi için iptalini talep edebilecektir. Burada dikkat edilmesi gereken husus, mahkemece konkordatonun kısmen iptaline karar verilmiş olması, bu iptalin tüm konkordato alacaklıları bakımından sonuç doğurmayacak </w:t>
            </w:r>
            <w:r w:rsidR="00563A67" w:rsidRPr="00A23740">
              <w:t>bulun</w:t>
            </w:r>
            <w:r w:rsidRPr="00A23740">
              <w:t>masıdır. Kısmen iptal sadece bunu talep eden alacaklı bakımından hüküm ve sonuçlar doğuracaktır. Maddede vurgulana</w:t>
            </w:r>
            <w:r w:rsidR="00AD43FB" w:rsidRPr="00A23740">
              <w:t>n bir başka husus</w:t>
            </w:r>
            <w:r w:rsidRPr="00A23740">
              <w:t xml:space="preserve"> ise konkordato</w:t>
            </w:r>
            <w:r w:rsidR="00563A67" w:rsidRPr="00A23740">
              <w:t>nun</w:t>
            </w:r>
            <w:r w:rsidRPr="00A23740">
              <w:t xml:space="preserve"> kısmen iptal</w:t>
            </w:r>
            <w:r w:rsidR="00563A67" w:rsidRPr="00A23740">
              <w:t>inin</w:t>
            </w:r>
            <w:r w:rsidRPr="00A23740">
              <w:t>, iptali isteyen alacaklının konkordato gereğince kazanmış olduğu hakla</w:t>
            </w:r>
            <w:r w:rsidR="00AD43FB" w:rsidRPr="00A23740">
              <w:t xml:space="preserve">ra halel </w:t>
            </w:r>
            <w:r w:rsidR="00563A67" w:rsidRPr="00A23740">
              <w:t xml:space="preserve">getirmeyecek </w:t>
            </w:r>
            <w:r w:rsidR="00AD43FB" w:rsidRPr="00A23740">
              <w:t xml:space="preserve">olmasıdır. </w:t>
            </w:r>
            <w:r w:rsidRPr="00A23740">
              <w:t>Buna göre konkordatonun kısmen iptalini isteyen alacaklının alacağını teminat altına almak için borçlu bir teminat göstermişse</w:t>
            </w:r>
            <w:r w:rsidR="00C01BED" w:rsidRPr="006C4AA3">
              <w:rPr>
                <w:rStyle w:val="YELChar"/>
                <w:b w:val="0"/>
                <w:color w:val="000000" w:themeColor="text1"/>
              </w:rPr>
              <w:t>,</w:t>
            </w:r>
            <w:r w:rsidRPr="00A23740">
              <w:t xml:space="preserve"> bu teminat konkordato kısmen iptal </w:t>
            </w:r>
            <w:r w:rsidR="00C6389B">
              <w:t>edilse dahi geçerli olacaktır.</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i/>
                <w:szCs w:val="24"/>
              </w:rPr>
            </w:pPr>
            <w:r w:rsidRPr="00A23740">
              <w:rPr>
                <w:i/>
                <w:szCs w:val="24"/>
              </w:rPr>
              <w:t xml:space="preserve">Konkordatonun </w:t>
            </w:r>
            <w:r w:rsidRPr="00A23740">
              <w:rPr>
                <w:rStyle w:val="KIRMIZIChar"/>
                <w:rFonts w:eastAsia="Calibri"/>
              </w:rPr>
              <w:t>tamamen feshi</w:t>
            </w:r>
            <w:r w:rsidRPr="00A23740">
              <w:rPr>
                <w:i/>
                <w:szCs w:val="24"/>
              </w:rPr>
              <w:t>:</w:t>
            </w:r>
          </w:p>
          <w:p w:rsidR="00AA5C8C" w:rsidRPr="00A23740" w:rsidRDefault="00AA5C8C" w:rsidP="009431FF">
            <w:pPr>
              <w:rPr>
                <w:b/>
                <w:szCs w:val="24"/>
              </w:rPr>
            </w:pPr>
            <w:r w:rsidRPr="00A23740">
              <w:rPr>
                <w:rStyle w:val="KIRMIZIChar"/>
                <w:rFonts w:eastAsia="Calibri"/>
              </w:rPr>
              <w:t>Madde 308/f- (1) (Ek: 28/2/2018-7101/37 md.)</w:t>
            </w:r>
            <w:r w:rsidRPr="00A23740">
              <w:rPr>
                <w:b/>
                <w:szCs w:val="24"/>
              </w:rPr>
              <w:t xml:space="preserve"> </w:t>
            </w:r>
          </w:p>
          <w:p w:rsidR="00AA5C8C" w:rsidRPr="00A23740" w:rsidRDefault="00AA5C8C" w:rsidP="009431FF">
            <w:pPr>
              <w:rPr>
                <w:szCs w:val="24"/>
              </w:rPr>
            </w:pPr>
            <w:r w:rsidRPr="00A23740">
              <w:rPr>
                <w:rStyle w:val="KIRMIZIChar"/>
                <w:rFonts w:eastAsia="Calibri"/>
              </w:rPr>
              <w:t>Her alacaklı,</w:t>
            </w:r>
            <w:r w:rsidRPr="00A23740">
              <w:rPr>
                <w:szCs w:val="24"/>
              </w:rPr>
              <w:t xml:space="preserve"> </w:t>
            </w:r>
            <w:r w:rsidRPr="00A23740">
              <w:rPr>
                <w:rStyle w:val="KIRMIZIChar"/>
                <w:rFonts w:eastAsia="Calibri"/>
              </w:rPr>
              <w:t>kötü niyetle sakatlanmış</w:t>
            </w:r>
            <w:r w:rsidRPr="00A23740">
              <w:rPr>
                <w:szCs w:val="24"/>
              </w:rPr>
              <w:t xml:space="preserve"> konkordatonun </w:t>
            </w:r>
            <w:r w:rsidRPr="00A23740">
              <w:rPr>
                <w:rStyle w:val="KIRMIZIChar"/>
                <w:rFonts w:eastAsia="Calibri"/>
              </w:rPr>
              <w:t>feshini</w:t>
            </w:r>
            <w:r w:rsidRPr="00A23740">
              <w:rPr>
                <w:szCs w:val="24"/>
              </w:rPr>
              <w:t xml:space="preserve"> tasdik kararını vermiş olan mahkemeden isteyebilir. </w:t>
            </w:r>
          </w:p>
          <w:p w:rsidR="00AA5C8C" w:rsidRPr="00A23740" w:rsidRDefault="00AA5C8C" w:rsidP="009431FF">
            <w:pPr>
              <w:rPr>
                <w:szCs w:val="24"/>
              </w:rPr>
            </w:pPr>
          </w:p>
          <w:p w:rsidR="00F27D20" w:rsidRPr="00A23740" w:rsidRDefault="00F27D20" w:rsidP="009431FF">
            <w:pPr>
              <w:rPr>
                <w:rStyle w:val="KIRMIZIChar"/>
                <w:rFonts w:eastAsia="Calibri"/>
              </w:rPr>
            </w:pPr>
          </w:p>
          <w:p w:rsidR="00AA5C8C" w:rsidRPr="00A23740" w:rsidRDefault="00AA5C8C" w:rsidP="009431FF">
            <w:pPr>
              <w:rPr>
                <w:szCs w:val="24"/>
              </w:rPr>
            </w:pPr>
            <w:r w:rsidRPr="00A23740">
              <w:rPr>
                <w:rStyle w:val="KIRMIZIChar"/>
                <w:rFonts w:eastAsia="Calibri"/>
              </w:rPr>
              <w:t>(2)</w:t>
            </w:r>
            <w:r w:rsidRPr="00A23740">
              <w:rPr>
                <w:szCs w:val="24"/>
              </w:rPr>
              <w:t xml:space="preserve"> Konkordatonun </w:t>
            </w:r>
            <w:r w:rsidRPr="00A23740">
              <w:rPr>
                <w:rStyle w:val="KIRMIZIChar"/>
                <w:rFonts w:eastAsia="Calibri"/>
              </w:rPr>
              <w:t>tamamen feshi</w:t>
            </w:r>
            <w:r w:rsidRPr="00A23740">
              <w:rPr>
                <w:szCs w:val="24"/>
              </w:rPr>
              <w:t xml:space="preserve"> kararı </w:t>
            </w:r>
            <w:r w:rsidRPr="00A23740">
              <w:rPr>
                <w:rStyle w:val="AralkYokChar"/>
                <w:lang w:val="tr-TR"/>
              </w:rPr>
              <w:t>kesinleştiğinde durum</w:t>
            </w:r>
            <w:r w:rsidRPr="00A23740">
              <w:rPr>
                <w:szCs w:val="24"/>
              </w:rPr>
              <w:t xml:space="preserve"> </w:t>
            </w:r>
            <w:r w:rsidRPr="00A23740">
              <w:rPr>
                <w:rStyle w:val="KIRMIZIChar"/>
                <w:rFonts w:eastAsia="Calibri"/>
              </w:rPr>
              <w:t>288 inci</w:t>
            </w:r>
            <w:r w:rsidRPr="00A23740">
              <w:rPr>
                <w:szCs w:val="24"/>
              </w:rPr>
              <w:t xml:space="preserve"> madde uyarınca ilân edilir ve ilgili yerlere bildirilir.</w:t>
            </w:r>
          </w:p>
          <w:p w:rsidR="00AA5C8C" w:rsidRPr="00A23740" w:rsidRDefault="00AA5C8C" w:rsidP="009431FF">
            <w:pPr>
              <w:rPr>
                <w:szCs w:val="24"/>
              </w:rPr>
            </w:pPr>
          </w:p>
          <w:p w:rsidR="00AA5C8C" w:rsidRPr="00A23740" w:rsidRDefault="00AA5C8C" w:rsidP="009431FF">
            <w:pPr>
              <w:pStyle w:val="AralkYok"/>
              <w:ind w:firstLine="0"/>
              <w:rPr>
                <w:lang w:val="tr-TR"/>
              </w:rPr>
            </w:pPr>
            <w:r w:rsidRPr="00A23740">
              <w:rPr>
                <w:lang w:val="tr-TR"/>
              </w:rPr>
              <w:t>(3) 308 inci madde hükmü bu hâlde de uygulanır.</w:t>
            </w:r>
          </w:p>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rPr>
                <w:b/>
                <w:szCs w:val="24"/>
              </w:rPr>
            </w:pPr>
            <w:r w:rsidRPr="00A23740">
              <w:rPr>
                <w:b/>
                <w:szCs w:val="24"/>
              </w:rPr>
              <w:t xml:space="preserve">Konkordatonun </w:t>
            </w:r>
            <w:r w:rsidRPr="00C6389B">
              <w:rPr>
                <w:rStyle w:val="MaviChar"/>
              </w:rPr>
              <w:t>tamamen</w:t>
            </w:r>
            <w:r w:rsidRPr="00A23740">
              <w:rPr>
                <w:b/>
                <w:szCs w:val="24"/>
              </w:rPr>
              <w:t xml:space="preserve"> </w:t>
            </w:r>
            <w:r w:rsidRPr="00A23740">
              <w:rPr>
                <w:rStyle w:val="MaviChar"/>
                <w:lang w:val="tr-TR"/>
              </w:rPr>
              <w:t>iptali</w:t>
            </w:r>
          </w:p>
          <w:p w:rsidR="00AA5C8C" w:rsidRPr="00A23740" w:rsidRDefault="00AA5C8C" w:rsidP="009431FF">
            <w:pPr>
              <w:rPr>
                <w:szCs w:val="24"/>
              </w:rPr>
            </w:pPr>
            <w:r w:rsidRPr="00A23740">
              <w:rPr>
                <w:rStyle w:val="MaviChar"/>
                <w:lang w:val="tr-TR"/>
              </w:rPr>
              <w:t>MADDE 40</w:t>
            </w:r>
            <w:r w:rsidR="00164036" w:rsidRPr="00A23740">
              <w:rPr>
                <w:rStyle w:val="MaviChar"/>
                <w:lang w:val="tr-TR"/>
              </w:rPr>
              <w:t>8</w:t>
            </w:r>
            <w:r w:rsidRPr="00A23740">
              <w:rPr>
                <w:rStyle w:val="MaviChar"/>
                <w:lang w:val="tr-TR"/>
              </w:rPr>
              <w:t>- (1)</w:t>
            </w:r>
            <w:r w:rsidRPr="00A23740">
              <w:rPr>
                <w:szCs w:val="24"/>
              </w:rPr>
              <w:t xml:space="preserve"> </w:t>
            </w:r>
            <w:r w:rsidRPr="00A23740">
              <w:rPr>
                <w:rStyle w:val="MaviChar"/>
                <w:lang w:val="tr-TR"/>
              </w:rPr>
              <w:t>Konkordatoya tabi alacaklılardan her biri,</w:t>
            </w:r>
            <w:r w:rsidRPr="00A23740">
              <w:rPr>
                <w:szCs w:val="24"/>
              </w:rPr>
              <w:t xml:space="preserve"> </w:t>
            </w:r>
            <w:r w:rsidRPr="00A23740">
              <w:rPr>
                <w:rStyle w:val="MaviChar"/>
                <w:lang w:val="tr-TR"/>
              </w:rPr>
              <w:t>dürüstlük kuralına aykırı şekilde gerçekleşmiş olan</w:t>
            </w:r>
            <w:r w:rsidRPr="00A23740">
              <w:rPr>
                <w:rStyle w:val="KIRMIZIChar"/>
                <w:rFonts w:eastAsia="Calibri"/>
                <w:strike w:val="0"/>
              </w:rPr>
              <w:t xml:space="preserve"> </w:t>
            </w:r>
            <w:r w:rsidRPr="00A23740">
              <w:rPr>
                <w:szCs w:val="24"/>
              </w:rPr>
              <w:t xml:space="preserve">konkordatonun </w:t>
            </w:r>
            <w:r w:rsidRPr="00C6389B">
              <w:rPr>
                <w:rStyle w:val="MaviChar"/>
              </w:rPr>
              <w:t>bütün alacaklılar bakımından</w:t>
            </w:r>
            <w:r w:rsidRPr="00A23740">
              <w:rPr>
                <w:szCs w:val="24"/>
              </w:rPr>
              <w:t xml:space="preserve"> </w:t>
            </w:r>
            <w:r w:rsidRPr="00A23740">
              <w:rPr>
                <w:rStyle w:val="MaviChar"/>
                <w:lang w:val="tr-TR"/>
              </w:rPr>
              <w:t>iptalini</w:t>
            </w:r>
            <w:r w:rsidRPr="00A23740">
              <w:rPr>
                <w:szCs w:val="24"/>
              </w:rPr>
              <w:t xml:space="preserve"> tasdik kararını vermiş olan mahkemeden isteyebilir. </w:t>
            </w:r>
          </w:p>
          <w:p w:rsidR="00AA5C8C" w:rsidRPr="00A23740" w:rsidRDefault="00AA5C8C" w:rsidP="009431FF">
            <w:pPr>
              <w:rPr>
                <w:szCs w:val="24"/>
              </w:rPr>
            </w:pPr>
          </w:p>
          <w:p w:rsidR="00AA5C8C" w:rsidRPr="00A23740" w:rsidRDefault="00AA5C8C" w:rsidP="009431FF">
            <w:pPr>
              <w:rPr>
                <w:szCs w:val="24"/>
              </w:rPr>
            </w:pPr>
            <w:r w:rsidRPr="00A23740">
              <w:rPr>
                <w:rStyle w:val="MaviChar"/>
                <w:lang w:val="tr-TR"/>
              </w:rPr>
              <w:t>(2)</w:t>
            </w:r>
            <w:r w:rsidRPr="00A23740">
              <w:rPr>
                <w:szCs w:val="24"/>
              </w:rPr>
              <w:t xml:space="preserve"> Konkordatonun </w:t>
            </w:r>
            <w:r w:rsidRPr="00A23740">
              <w:rPr>
                <w:rStyle w:val="MaviChar"/>
                <w:lang w:val="tr-TR"/>
              </w:rPr>
              <w:t xml:space="preserve">bütün alacaklılar </w:t>
            </w:r>
            <w:r w:rsidRPr="00C6389B">
              <w:rPr>
                <w:rStyle w:val="MaviChar"/>
              </w:rPr>
              <w:t>bakımından</w:t>
            </w:r>
            <w:r w:rsidRPr="00A23740">
              <w:rPr>
                <w:rStyle w:val="MaviChar"/>
                <w:lang w:val="tr-TR"/>
              </w:rPr>
              <w:t xml:space="preserve"> iptali</w:t>
            </w:r>
            <w:r w:rsidRPr="00A23740">
              <w:rPr>
                <w:rStyle w:val="YELChar"/>
              </w:rPr>
              <w:t xml:space="preserve"> </w:t>
            </w:r>
            <w:r w:rsidRPr="00A23740">
              <w:rPr>
                <w:szCs w:val="24"/>
              </w:rPr>
              <w:t>kararı</w:t>
            </w:r>
            <w:r w:rsidRPr="00C6389B">
              <w:rPr>
                <w:rStyle w:val="MaviChar"/>
              </w:rPr>
              <w:t>,</w:t>
            </w:r>
            <w:r w:rsidRPr="00A23740">
              <w:rPr>
                <w:szCs w:val="24"/>
              </w:rPr>
              <w:t xml:space="preserve"> </w:t>
            </w:r>
            <w:r w:rsidR="00C71EF0" w:rsidRPr="00C6389B">
              <w:rPr>
                <w:rStyle w:val="MaviChar"/>
              </w:rPr>
              <w:t>geçici mühlete ilişkin</w:t>
            </w:r>
            <w:r w:rsidR="00C71EF0" w:rsidRPr="00A23740">
              <w:rPr>
                <w:rStyle w:val="YELChar"/>
              </w:rPr>
              <w:t xml:space="preserve"> </w:t>
            </w:r>
            <w:r w:rsidR="00526EFB" w:rsidRPr="00C6389B">
              <w:rPr>
                <w:rStyle w:val="MaviChar"/>
              </w:rPr>
              <w:t>277 nci</w:t>
            </w:r>
            <w:r w:rsidRPr="00A23740">
              <w:rPr>
                <w:szCs w:val="24"/>
              </w:rPr>
              <w:t xml:space="preserve"> madde</w:t>
            </w:r>
            <w:r w:rsidR="00C71EF0" w:rsidRPr="00C6389B">
              <w:rPr>
                <w:rStyle w:val="MaviChar"/>
              </w:rPr>
              <w:t>deki</w:t>
            </w:r>
            <w:r w:rsidR="00C71EF0" w:rsidRPr="00A23740">
              <w:rPr>
                <w:b/>
                <w:color w:val="538135"/>
                <w:szCs w:val="24"/>
              </w:rPr>
              <w:t xml:space="preserve"> </w:t>
            </w:r>
            <w:r w:rsidR="00C71EF0" w:rsidRPr="00C6389B">
              <w:rPr>
                <w:rStyle w:val="MaviChar"/>
              </w:rPr>
              <w:t>usule göre</w:t>
            </w:r>
            <w:r w:rsidRPr="00A23740">
              <w:rPr>
                <w:szCs w:val="24"/>
              </w:rPr>
              <w:t xml:space="preserve"> il</w:t>
            </w:r>
            <w:r w:rsidR="00930910" w:rsidRPr="00A23740">
              <w:rPr>
                <w:szCs w:val="24"/>
              </w:rPr>
              <w:t>a</w:t>
            </w:r>
            <w:r w:rsidRPr="00A23740">
              <w:rPr>
                <w:szCs w:val="24"/>
              </w:rPr>
              <w:t>n edilir ve ilgili yerlere bildirilir.</w:t>
            </w:r>
          </w:p>
          <w:p w:rsidR="00AA5C8C" w:rsidRPr="00A23740" w:rsidRDefault="00AA5C8C" w:rsidP="009431FF">
            <w:pPr>
              <w:rPr>
                <w:szCs w:val="24"/>
              </w:rPr>
            </w:pPr>
          </w:p>
          <w:p w:rsidR="00AA5C8C" w:rsidRPr="00A23740" w:rsidRDefault="00AA5C8C" w:rsidP="009431FF">
            <w:pPr>
              <w:rPr>
                <w:szCs w:val="24"/>
              </w:rPr>
            </w:pPr>
            <w:r w:rsidRPr="00A23740">
              <w:rPr>
                <w:rStyle w:val="MaviChar"/>
              </w:rPr>
              <w:t>(3)</w:t>
            </w:r>
            <w:r w:rsidRPr="00A23740">
              <w:rPr>
                <w:szCs w:val="24"/>
              </w:rPr>
              <w:t xml:space="preserve"> </w:t>
            </w:r>
            <w:r w:rsidRPr="00A23740">
              <w:rPr>
                <w:rStyle w:val="MaviChar"/>
                <w:lang w:val="tr-TR"/>
              </w:rPr>
              <w:t>İptal kararını veren mahkeme</w:t>
            </w:r>
            <w:r w:rsidRPr="00C6389B">
              <w:rPr>
                <w:rStyle w:val="MaviChar"/>
              </w:rPr>
              <w:t>, iflasa</w:t>
            </w:r>
            <w:r w:rsidRPr="00A23740">
              <w:rPr>
                <w:rStyle w:val="MaviChar"/>
                <w:lang w:val="tr-TR"/>
              </w:rPr>
              <w:t xml:space="preserve"> tabi olan borçlunun başkaca bir şart aranmaksızın iflasına da resen hükmeder. İflas kararı, iflas dairesince </w:t>
            </w:r>
            <w:r w:rsidRPr="00C6389B">
              <w:rPr>
                <w:rStyle w:val="MaviChar"/>
              </w:rPr>
              <w:t>iflas kararının ilanı hakkındaki</w:t>
            </w:r>
            <w:r w:rsidR="00526EFB" w:rsidRPr="00A23740">
              <w:rPr>
                <w:rStyle w:val="YELChar"/>
              </w:rPr>
              <w:t xml:space="preserve"> </w:t>
            </w:r>
            <w:r w:rsidR="00526EFB" w:rsidRPr="00C6389B">
              <w:rPr>
                <w:rStyle w:val="MaviChar"/>
              </w:rPr>
              <w:t>283 üncü</w:t>
            </w:r>
            <w:r w:rsidR="00214CB5">
              <w:rPr>
                <w:rStyle w:val="KIRMIZIChar"/>
                <w:rFonts w:eastAsia="Calibri"/>
              </w:rPr>
              <w:t xml:space="preserve"> </w:t>
            </w:r>
            <w:r w:rsidRPr="00A23740">
              <w:rPr>
                <w:rStyle w:val="MaviChar"/>
                <w:lang w:val="tr-TR"/>
              </w:rPr>
              <w:t>maddedeki usule göre ilan edilir ve ilgili yerlere bildirilir.</w:t>
            </w:r>
          </w:p>
          <w:p w:rsidR="00AA5C8C" w:rsidRPr="00A23740" w:rsidRDefault="00AA5C8C" w:rsidP="009431FF">
            <w:pPr>
              <w:pStyle w:val="KIRMIZI"/>
              <w:rPr>
                <w:i/>
                <w:lang w:eastAsia="tr-TR"/>
              </w:rPr>
            </w:pPr>
          </w:p>
        </w:tc>
      </w:tr>
      <w:tr w:rsidR="005C3738" w:rsidRPr="00A23740" w:rsidTr="009431FF">
        <w:tc>
          <w:tcPr>
            <w:tcW w:w="5000" w:type="pct"/>
            <w:gridSpan w:val="2"/>
            <w:shd w:val="clear" w:color="auto" w:fill="DEEAF6"/>
          </w:tcPr>
          <w:p w:rsidR="00E513C2" w:rsidRPr="00A23740" w:rsidRDefault="00E513C2" w:rsidP="009431FF">
            <w:pPr>
              <w:ind w:firstLine="709"/>
              <w:rPr>
                <w:b/>
                <w:bCs/>
                <w:szCs w:val="24"/>
                <w:lang w:eastAsia="x-none"/>
              </w:rPr>
            </w:pPr>
          </w:p>
          <w:p w:rsidR="00F27D20" w:rsidRPr="00A23740" w:rsidRDefault="00E513C2" w:rsidP="009431FF">
            <w:pPr>
              <w:ind w:firstLine="709"/>
              <w:rPr>
                <w:rStyle w:val="MaviChar"/>
                <w:b w:val="0"/>
                <w:color w:val="000000"/>
                <w:lang w:val="tr-TR"/>
              </w:rPr>
            </w:pPr>
            <w:r w:rsidRPr="00A23740">
              <w:rPr>
                <w:b/>
                <w:bCs/>
                <w:szCs w:val="24"/>
                <w:lang w:eastAsia="x-none"/>
              </w:rPr>
              <w:t>MADDE 40</w:t>
            </w:r>
            <w:r w:rsidR="00164036" w:rsidRPr="00A23740">
              <w:rPr>
                <w:b/>
                <w:bCs/>
                <w:szCs w:val="24"/>
                <w:lang w:eastAsia="x-none"/>
              </w:rPr>
              <w:t>8</w:t>
            </w:r>
            <w:r w:rsidR="005C3738" w:rsidRPr="00A23740">
              <w:rPr>
                <w:b/>
                <w:bCs/>
                <w:szCs w:val="24"/>
                <w:lang w:eastAsia="x-none"/>
              </w:rPr>
              <w:t xml:space="preserve">- </w:t>
            </w:r>
            <w:r w:rsidRPr="00A23740">
              <w:rPr>
                <w:bCs/>
                <w:color w:val="000000"/>
                <w:szCs w:val="24"/>
                <w:lang w:eastAsia="x-none"/>
              </w:rPr>
              <w:t xml:space="preserve">Maddeyle, </w:t>
            </w:r>
            <w:r w:rsidRPr="00A23740">
              <w:rPr>
                <w:color w:val="000000"/>
                <w:szCs w:val="24"/>
              </w:rPr>
              <w:t xml:space="preserve">konkordatonun </w:t>
            </w:r>
            <w:r w:rsidRPr="00A23740">
              <w:rPr>
                <w:rStyle w:val="YELChar"/>
                <w:b w:val="0"/>
                <w:color w:val="000000"/>
              </w:rPr>
              <w:t>tamamen</w:t>
            </w:r>
            <w:r w:rsidRPr="00A23740">
              <w:rPr>
                <w:b/>
                <w:color w:val="000000"/>
                <w:szCs w:val="24"/>
              </w:rPr>
              <w:t xml:space="preserve"> </w:t>
            </w:r>
            <w:r w:rsidRPr="00A23740">
              <w:rPr>
                <w:rStyle w:val="MaviChar"/>
                <w:b w:val="0"/>
                <w:color w:val="000000"/>
                <w:lang w:val="tr-TR"/>
              </w:rPr>
              <w:t>iptaline ilişkin hususlar düzenlenmektedir.</w:t>
            </w:r>
          </w:p>
          <w:p w:rsidR="00F27D20" w:rsidRPr="00A23740" w:rsidRDefault="00CE0DAF" w:rsidP="009431FF">
            <w:pPr>
              <w:ind w:firstLine="709"/>
              <w:rPr>
                <w:rStyle w:val="KIRMIZIChar"/>
                <w:rFonts w:eastAsia="Calibri"/>
              </w:rPr>
            </w:pPr>
            <w:r w:rsidRPr="00A23740">
              <w:t xml:space="preserve">Konkordatonun kısmen iptalinde olduğu gibi tamamen iptalinde de </w:t>
            </w:r>
            <w:r w:rsidR="002D4C1F" w:rsidRPr="00A23740">
              <w:t>2004 sayılı</w:t>
            </w:r>
            <w:r w:rsidRPr="00A23740">
              <w:t xml:space="preserve"> Kanunun i</w:t>
            </w:r>
            <w:r w:rsidRPr="00C6389B">
              <w:t>lgi</w:t>
            </w:r>
            <w:r w:rsidR="00F27D20" w:rsidRPr="00C6389B">
              <w:t>li</w:t>
            </w:r>
            <w:r w:rsidRPr="00A23740">
              <w:t xml:space="preserve"> maddesinden farklı olarak “fesih” terimi yerine “iptal” terimi tercih edilmiştir. Bu tercih doktrind</w:t>
            </w:r>
            <w:r w:rsidR="00F27D20" w:rsidRPr="00A23740">
              <w:t xml:space="preserve">eki açıklamalara, mehaz </w:t>
            </w:r>
            <w:r w:rsidR="00F27D20" w:rsidRPr="00C6389B">
              <w:t>Kanuna ve maddenin amacına daha</w:t>
            </w:r>
            <w:r w:rsidR="00F27D20" w:rsidRPr="00A23740">
              <w:rPr>
                <w:rStyle w:val="YELChar"/>
              </w:rPr>
              <w:t xml:space="preserve"> </w:t>
            </w:r>
            <w:r w:rsidRPr="00A23740">
              <w:t>uygundur</w:t>
            </w:r>
            <w:r w:rsidR="00214CB5">
              <w:t>.</w:t>
            </w:r>
          </w:p>
          <w:p w:rsidR="00CE0DAF" w:rsidRPr="00A23740" w:rsidRDefault="00F27D20" w:rsidP="009431FF">
            <w:pPr>
              <w:ind w:firstLine="709"/>
              <w:rPr>
                <w:b/>
                <w:szCs w:val="24"/>
              </w:rPr>
            </w:pPr>
            <w:r w:rsidRPr="00A23740">
              <w:t>İlk fı</w:t>
            </w:r>
            <w:r w:rsidR="00CE0DAF" w:rsidRPr="00A23740">
              <w:t>k</w:t>
            </w:r>
            <w:r w:rsidRPr="00A23740">
              <w:t>r</w:t>
            </w:r>
            <w:r w:rsidR="00CE0DAF" w:rsidRPr="00A23740">
              <w:t>ada</w:t>
            </w:r>
            <w:r w:rsidR="00563A67" w:rsidRPr="00A23740">
              <w:t>,</w:t>
            </w:r>
            <w:r w:rsidR="00CE0DAF" w:rsidRPr="00A23740">
              <w:t xml:space="preserve"> yine </w:t>
            </w:r>
            <w:r w:rsidR="002D4C1F" w:rsidRPr="00A23740">
              <w:t>2004 sayılı</w:t>
            </w:r>
            <w:r w:rsidR="00CE0DAF" w:rsidRPr="00A23740">
              <w:t xml:space="preserve"> Kanunun ilgili maddesinden farklı olarak</w:t>
            </w:r>
            <w:r w:rsidR="00563A67" w:rsidRPr="00A23740">
              <w:t>,</w:t>
            </w:r>
            <w:r w:rsidR="00CE0DAF" w:rsidRPr="00A23740">
              <w:t xml:space="preserve"> “dürüstlük kuralına aykırılıktan” söz edilmiştir. Oysa </w:t>
            </w:r>
            <w:r w:rsidR="002D4C1F" w:rsidRPr="00A23740">
              <w:t>2004 sayılı</w:t>
            </w:r>
            <w:r w:rsidR="00CE0DAF" w:rsidRPr="00A23740">
              <w:t xml:space="preserve"> Kanunda tercih edilen </w:t>
            </w:r>
            <w:r w:rsidR="00BD572E" w:rsidRPr="00A23740">
              <w:t xml:space="preserve">ibare, </w:t>
            </w:r>
            <w:r w:rsidR="00CE0DAF" w:rsidRPr="00A23740">
              <w:t>“kötü niyetle sakatlanmış olmaktır” ibare</w:t>
            </w:r>
            <w:r w:rsidR="00BD572E" w:rsidRPr="00A23740">
              <w:t>sidir</w:t>
            </w:r>
            <w:r w:rsidR="00CE0DAF" w:rsidRPr="00A23740">
              <w:t>. Bu tercihin sebebi, konkordatonun tamamen iptalinde önemli olanın bir hukuki engeli bilmek veya bilebilecek durumda olmak değil (ki</w:t>
            </w:r>
            <w:r w:rsidR="00BD572E" w:rsidRPr="00A23740">
              <w:t>,</w:t>
            </w:r>
            <w:r w:rsidR="00CE0DAF" w:rsidRPr="00A23740">
              <w:t xml:space="preserve"> bu kötü niyettir)</w:t>
            </w:r>
            <w:r w:rsidR="00BD572E" w:rsidRPr="00A23740">
              <w:t>,</w:t>
            </w:r>
            <w:r w:rsidR="00CE0DAF" w:rsidRPr="00A23740">
              <w:t xml:space="preserve"> dürüstlük kuralına aykırılıktır. Maddenin yeni h</w:t>
            </w:r>
            <w:r w:rsidR="00D271B8" w:rsidRPr="00A23740">
              <w:t>â</w:t>
            </w:r>
            <w:r w:rsidR="00CE0DAF" w:rsidRPr="00A23740">
              <w:t>linde dürüstlük kuralı ibareleri kullanılmışsa da</w:t>
            </w:r>
            <w:r w:rsidR="00BD572E" w:rsidRPr="00A23740">
              <w:t>,</w:t>
            </w:r>
            <w:r w:rsidR="00CE0DAF" w:rsidRPr="00A23740">
              <w:t xml:space="preserve"> geçici mühlet kararı verilirken dürüstlük kuralının aranacağı gibi </w:t>
            </w:r>
            <w:r w:rsidR="00BD572E" w:rsidRPr="00A23740">
              <w:t xml:space="preserve">bir </w:t>
            </w:r>
            <w:r w:rsidR="00CE0DAF" w:rsidRPr="00A23740">
              <w:t>sonucun</w:t>
            </w:r>
            <w:r w:rsidR="00C91FD1" w:rsidRPr="00A23740">
              <w:t xml:space="preserve"> </w:t>
            </w:r>
            <w:r w:rsidR="00CE0DAF" w:rsidRPr="00A23740">
              <w:t>da bu değişiklikten çıkarılmaması gerektiğidir.</w:t>
            </w:r>
            <w:r w:rsidR="00C91FD1" w:rsidRPr="00A23740">
              <w:t xml:space="preserve"> </w:t>
            </w:r>
            <w:r w:rsidR="00CE0DAF" w:rsidRPr="00A23740">
              <w:t>Modern yeniden yapılandırma kanunlarında</w:t>
            </w:r>
            <w:r w:rsidR="00C91FD1" w:rsidRPr="00A23740">
              <w:t xml:space="preserve"> </w:t>
            </w:r>
            <w:r w:rsidR="00C91FD1" w:rsidRPr="00C6389B">
              <w:t>genel eğilim</w:t>
            </w:r>
            <w:r w:rsidR="00BD572E" w:rsidRPr="00C6389B">
              <w:t>,</w:t>
            </w:r>
            <w:r w:rsidR="00CE0DAF" w:rsidRPr="00A23740">
              <w:t xml:space="preserve"> dürüstlük kuralı</w:t>
            </w:r>
            <w:r w:rsidR="00C91FD1" w:rsidRPr="00A23740">
              <w:t>nın sürecinin başlangıcında aranmaması yönündedir</w:t>
            </w:r>
            <w:r w:rsidR="00214CB5">
              <w:t>.</w:t>
            </w:r>
            <w:r w:rsidR="00CE0DAF" w:rsidRPr="00A23740">
              <w:t xml:space="preserve"> Her ne kadar modern yeniden yapılandırma kanunlarında genel eğilim bu şekilde olsa da borçlu tarafından teklif edilen konkordato projesinin dürüstlük </w:t>
            </w:r>
            <w:r w:rsidR="000511F5" w:rsidRPr="00C6389B">
              <w:t>kuralına uygun olarak hazırlanmış ve alacaklılar tarafından tasdik edilmiş olması</w:t>
            </w:r>
            <w:r w:rsidR="00CE0DAF" w:rsidRPr="00C6389B">
              <w:t xml:space="preserve"> </w:t>
            </w:r>
            <w:r w:rsidR="000511F5" w:rsidRPr="00C6389B">
              <w:t>önemli</w:t>
            </w:r>
            <w:r w:rsidR="000511F5" w:rsidRPr="00A23740">
              <w:t xml:space="preserve"> </w:t>
            </w:r>
            <w:r w:rsidR="00CE0DAF" w:rsidRPr="00A23740">
              <w:t>bir ilkedir. Aksi h</w:t>
            </w:r>
            <w:r w:rsidR="00D271B8" w:rsidRPr="00A23740">
              <w:t>â</w:t>
            </w:r>
            <w:r w:rsidR="00CE0DAF" w:rsidRPr="00A23740">
              <w:t>lde</w:t>
            </w:r>
            <w:r w:rsidR="00BD572E" w:rsidRPr="00A23740">
              <w:t>,</w:t>
            </w:r>
            <w:r w:rsidR="00CE0DAF" w:rsidRPr="00A23740">
              <w:t xml:space="preserve"> yani borçlunun dürüstlük kuralına aykırı davranışları konkordatonun tasdik edilmesine </w:t>
            </w:r>
            <w:r w:rsidR="000511F5" w:rsidRPr="00C6389B">
              <w:t>neden olmuşsa</w:t>
            </w:r>
            <w:r w:rsidR="00CE0DAF" w:rsidRPr="00C6389B">
              <w:t>,</w:t>
            </w:r>
            <w:r w:rsidR="00CE0DAF" w:rsidRPr="00A23740">
              <w:t xml:space="preserve"> tasdik edilen bu konkordato tasdik kararı veren mahkemeye başvurularak tüm alacaklılar bakımından tamamen iptal ettirilebilir. Bu noktada</w:t>
            </w:r>
            <w:r w:rsidR="00A30935" w:rsidRPr="00A23740">
              <w:t xml:space="preserve"> </w:t>
            </w:r>
            <w:r w:rsidR="00A30935" w:rsidRPr="00C6389B">
              <w:t>İsviçre’nin Borç İçin Takip ve İflas Hakkındaki Federal</w:t>
            </w:r>
            <w:r w:rsidR="00CE0DAF" w:rsidRPr="00A23740">
              <w:t xml:space="preserve"> Kanunun 313 üncü maddesine de değinmek gerekir. </w:t>
            </w:r>
            <w:r w:rsidR="00A30935" w:rsidRPr="00A23740">
              <w:t xml:space="preserve">İlgili </w:t>
            </w:r>
            <w:r w:rsidR="00A30935" w:rsidRPr="00C6389B">
              <w:t>hükümde</w:t>
            </w:r>
            <w:r w:rsidR="00CE0DAF" w:rsidRPr="00A23740">
              <w:t xml:space="preserve"> İsviçre Borçlar Kanunun</w:t>
            </w:r>
            <w:r w:rsidR="00BD572E" w:rsidRPr="00A23740">
              <w:t>un</w:t>
            </w:r>
            <w:r w:rsidR="00CE0DAF" w:rsidRPr="00A23740">
              <w:t xml:space="preserve"> irade bozukluğu h</w:t>
            </w:r>
            <w:r w:rsidR="00D271B8" w:rsidRPr="00A23740">
              <w:t>â</w:t>
            </w:r>
            <w:r w:rsidR="00CE0DAF" w:rsidRPr="00A23740">
              <w:t>llerine atıf yapılmıştır. Buna göre iradeyi bozan sebepler konkordatonun tasdikine etkili olmuş ve uygun nedensellik bağı da kurulmuşsa</w:t>
            </w:r>
            <w:r w:rsidR="00BD572E" w:rsidRPr="00A23740">
              <w:t>,</w:t>
            </w:r>
            <w:r w:rsidR="00CE0DAF" w:rsidRPr="00A23740">
              <w:t xml:space="preserve"> tasdik edilen konkordato dürüstlük kuralına aykırılık sebebiyle tamamen feshedilecektir. Neticede konkordato tamamen iptal edilmişse</w:t>
            </w:r>
            <w:r w:rsidR="00BD572E" w:rsidRPr="00A23740">
              <w:t>,</w:t>
            </w:r>
            <w:r w:rsidR="00CE0DAF" w:rsidRPr="00A23740">
              <w:t xml:space="preserve"> tüm alacaklılar bakımından sonuç doğuracaktır.</w:t>
            </w:r>
          </w:p>
          <w:p w:rsidR="00CE0DAF" w:rsidRPr="00A23740" w:rsidRDefault="00CE0DAF" w:rsidP="009431FF">
            <w:pPr>
              <w:ind w:firstLine="709"/>
            </w:pPr>
            <w:r w:rsidRPr="00A23740">
              <w:t>Konkordato</w:t>
            </w:r>
            <w:r w:rsidR="00BD572E" w:rsidRPr="00A23740">
              <w:t xml:space="preserve">nun bütün </w:t>
            </w:r>
            <w:r w:rsidRPr="00A23740">
              <w:t>alacaklılar bakımından iptal</w:t>
            </w:r>
            <w:r w:rsidR="00BD572E" w:rsidRPr="00A23740">
              <w:t xml:space="preserve">i halinde </w:t>
            </w:r>
            <w:r w:rsidRPr="00A23740">
              <w:t xml:space="preserve">ortaya çıkan bu önemli sonuçtan tüm muhatapların haberdar edilmesi gerekir.  İşte bu sebeple maddenin ikinci fıkrası gereğince konkordatonun tamamen </w:t>
            </w:r>
            <w:r w:rsidR="00C91FD1" w:rsidRPr="00C6389B">
              <w:t>iptal edildiği</w:t>
            </w:r>
            <w:r w:rsidRPr="00A23740">
              <w:t xml:space="preserve"> </w:t>
            </w:r>
            <w:r w:rsidR="00BD572E" w:rsidRPr="00A23740">
              <w:t xml:space="preserve">hususu </w:t>
            </w:r>
            <w:r w:rsidR="00C91FD1" w:rsidRPr="00C6389B">
              <w:t>Taslağın</w:t>
            </w:r>
            <w:r w:rsidR="00D94699" w:rsidRPr="00C6389B">
              <w:t xml:space="preserve"> geçici mühlete ilişkin</w:t>
            </w:r>
            <w:r w:rsidRPr="00C6389B">
              <w:t xml:space="preserve"> </w:t>
            </w:r>
            <w:r w:rsidR="00214CB5">
              <w:t>277 nci</w:t>
            </w:r>
            <w:r w:rsidRPr="00A23740">
              <w:t xml:space="preserve"> maddesi gereğince ilan edilip ilgili yer</w:t>
            </w:r>
            <w:r w:rsidR="00E513C2" w:rsidRPr="00A23740">
              <w:t>lere mahkemece bildirilecektir.</w:t>
            </w:r>
          </w:p>
          <w:p w:rsidR="005C3738" w:rsidRPr="00A23740" w:rsidRDefault="00CE0DAF" w:rsidP="009431FF">
            <w:pPr>
              <w:ind w:firstLine="709"/>
            </w:pPr>
            <w:r w:rsidRPr="00A23740">
              <w:t>Konkordatonun tamamen iptal edilmesi h</w:t>
            </w:r>
            <w:r w:rsidR="00C91FD1" w:rsidRPr="00A23740">
              <w:t>â</w:t>
            </w:r>
            <w:r w:rsidRPr="00A23740">
              <w:t xml:space="preserve">linde </w:t>
            </w:r>
            <w:r w:rsidR="00C91FD1" w:rsidRPr="00C6389B">
              <w:t>Taslak, 2004 sayılı</w:t>
            </w:r>
            <w:r w:rsidR="00C91FD1" w:rsidRPr="00A23740">
              <w:rPr>
                <w:rStyle w:val="YELChar"/>
              </w:rPr>
              <w:t xml:space="preserve"> </w:t>
            </w:r>
            <w:r w:rsidRPr="00A23740">
              <w:t>Kanundan farklı bir tercihte bulunmuş ve iflasa tabi olan borçlunun başkaca bir koşul aranmadan iflasına karar verilmesi gerektiğini hükme bağlamıştır. Bu sebeple konkordato</w:t>
            </w:r>
            <w:r w:rsidR="00BD572E" w:rsidRPr="00A23740">
              <w:t xml:space="preserve"> teklifi </w:t>
            </w:r>
            <w:r w:rsidRPr="00A23740">
              <w:t xml:space="preserve"> tasdik </w:t>
            </w:r>
            <w:r w:rsidR="00BD572E" w:rsidRPr="00A23740">
              <w:t xml:space="preserve">edilmekle birlikte, </w:t>
            </w:r>
            <w:r w:rsidRPr="00A23740">
              <w:t xml:space="preserve">bir alacaklının başvurusu üzerine tamamen </w:t>
            </w:r>
            <w:r w:rsidR="00A30935" w:rsidRPr="00C6389B">
              <w:t>iptal edilen</w:t>
            </w:r>
            <w:r w:rsidRPr="00A23740">
              <w:t xml:space="preserve"> </w:t>
            </w:r>
            <w:r w:rsidR="00A30935" w:rsidRPr="00C6389B">
              <w:t>borçlu</w:t>
            </w:r>
            <w:r w:rsidRPr="00A23740">
              <w:t xml:space="preserve"> doğrudan doğruya iflas sebepleri olmasa da iflas edecektir. </w:t>
            </w:r>
            <w:r w:rsidR="00BD572E" w:rsidRPr="00A23740">
              <w:t xml:space="preserve">Kanun </w:t>
            </w:r>
            <w:r w:rsidRPr="00A23740">
              <w:t xml:space="preserve">koyucunun buradaki iradesi nettir, konkordato tamamen </w:t>
            </w:r>
            <w:r w:rsidR="00A30935" w:rsidRPr="00C6389B">
              <w:t>iptal edilir</w:t>
            </w:r>
            <w:r w:rsidRPr="00A23740">
              <w:t xml:space="preserve"> ve</w:t>
            </w:r>
            <w:r w:rsidR="00A30935" w:rsidRPr="00A23740">
              <w:t xml:space="preserve"> borçlu da </w:t>
            </w:r>
            <w:r w:rsidR="00A30935" w:rsidRPr="00C6389B">
              <w:t>iflasa tabi</w:t>
            </w:r>
            <w:r w:rsidR="00BD572E" w:rsidRPr="00C6389B">
              <w:t xml:space="preserve"> ise</w:t>
            </w:r>
            <w:r w:rsidR="00A30935" w:rsidRPr="00C6389B">
              <w:t xml:space="preserve"> mahkemece</w:t>
            </w:r>
            <w:r w:rsidR="00A30935" w:rsidRPr="00A23740">
              <w:t xml:space="preserve"> re</w:t>
            </w:r>
            <w:r w:rsidRPr="00A23740">
              <w:t xml:space="preserve">sen </w:t>
            </w:r>
            <w:r w:rsidR="00BD572E" w:rsidRPr="00A23740">
              <w:t xml:space="preserve">bu </w:t>
            </w:r>
            <w:r w:rsidRPr="00A23740">
              <w:t xml:space="preserve">borçlunun iflasına karar </w:t>
            </w:r>
            <w:r w:rsidR="00BD572E" w:rsidRPr="00A23740">
              <w:t>verilir</w:t>
            </w:r>
            <w:r w:rsidRPr="00A23740">
              <w:t xml:space="preserve">. Mahkemenin burada takdir yetkisi bulunmamaktadır. Borçlunun iflasına karar verilmişse bu iflas kararı mahkemece iflas dairesine bildirilecek, iflas dairesi de </w:t>
            </w:r>
            <w:r w:rsidR="00BD572E" w:rsidRPr="00A23740">
              <w:t xml:space="preserve">iflas keyfiyetini </w:t>
            </w:r>
            <w:r w:rsidR="00C91FD1" w:rsidRPr="00C6389B">
              <w:t>Taslağın</w:t>
            </w:r>
            <w:r w:rsidR="00D94699" w:rsidRPr="00C6389B">
              <w:t xml:space="preserve"> iflas kararının ilamı hakkındaki</w:t>
            </w:r>
            <w:r w:rsidRPr="00C6389B">
              <w:t xml:space="preserve"> </w:t>
            </w:r>
            <w:r w:rsidR="00526EFB" w:rsidRPr="00C6389B">
              <w:t xml:space="preserve">283 üncü </w:t>
            </w:r>
            <w:r w:rsidRPr="00A23740">
              <w:t>maddesi gereğince ilgili yerlere bildirecek ve ilan edecektir. Görüldüğü gibi iflas kararıyla birlikte mahkemenin yetkileri</w:t>
            </w:r>
            <w:r w:rsidR="00A30935" w:rsidRPr="00A23740">
              <w:t xml:space="preserve"> </w:t>
            </w:r>
            <w:r w:rsidR="00A30935" w:rsidRPr="00C6389B">
              <w:t>kural olarak</w:t>
            </w:r>
            <w:r w:rsidRPr="00A23740">
              <w:t xml:space="preserve"> sona ermekte ve </w:t>
            </w:r>
            <w:r w:rsidR="00214CB5">
              <w:t xml:space="preserve">bu noktadan sonra iflas dairesi </w:t>
            </w:r>
            <w:r w:rsidR="00C91FD1" w:rsidRPr="00C6389B">
              <w:t>görev yapmaya</w:t>
            </w:r>
            <w:r w:rsidRPr="00A23740">
              <w:t xml:space="preserve"> başlamaktadır.</w:t>
            </w:r>
            <w:r w:rsidR="00E513C2" w:rsidRPr="00A23740">
              <w:t xml:space="preserve"> </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i/>
                <w:szCs w:val="24"/>
              </w:rPr>
            </w:pPr>
            <w:r w:rsidRPr="00A23740">
              <w:rPr>
                <w:i/>
                <w:szCs w:val="24"/>
              </w:rPr>
              <w:t>Konkordatoda harç, vergi istisnaları ve teşvik belgeleri:</w:t>
            </w:r>
          </w:p>
          <w:p w:rsidR="00AA5C8C" w:rsidRPr="00A23740" w:rsidRDefault="00AA5C8C" w:rsidP="009431FF">
            <w:pPr>
              <w:pStyle w:val="KIRMIZI"/>
              <w:rPr>
                <w:lang w:val="tr-TR"/>
              </w:rPr>
            </w:pPr>
            <w:r w:rsidRPr="00A23740">
              <w:t xml:space="preserve">Madde </w:t>
            </w:r>
            <w:r w:rsidRPr="00A23740">
              <w:rPr>
                <w:rFonts w:eastAsia="Calibri"/>
              </w:rPr>
              <w:t>308/g</w:t>
            </w:r>
            <w:r w:rsidRPr="00A23740">
              <w:t>- (</w:t>
            </w:r>
            <w:r w:rsidRPr="00A23740">
              <w:rPr>
                <w:lang w:val="tr-TR"/>
              </w:rPr>
              <w:t xml:space="preserve">1) (Ek: 28/2/2018-7101/37 md.) </w:t>
            </w:r>
          </w:p>
          <w:p w:rsidR="00AA5C8C" w:rsidRPr="00A23740" w:rsidRDefault="00AA5C8C" w:rsidP="009431FF">
            <w:pPr>
              <w:rPr>
                <w:szCs w:val="24"/>
              </w:rPr>
            </w:pPr>
            <w:r w:rsidRPr="00A23740">
              <w:rPr>
                <w:szCs w:val="24"/>
              </w:rPr>
              <w:t>Tasdik edilen konkordato projesi kapsamında;</w:t>
            </w:r>
          </w:p>
          <w:p w:rsidR="00AA5C8C" w:rsidRPr="00A23740" w:rsidRDefault="00AA5C8C" w:rsidP="009431FF">
            <w:pPr>
              <w:rPr>
                <w:szCs w:val="24"/>
              </w:rPr>
            </w:pPr>
            <w:r w:rsidRPr="00A23740">
              <w:rPr>
                <w:szCs w:val="24"/>
              </w:rPr>
              <w:t>a) Yapılacak işlemler, 492 sayılı Harçlar Kanununa tabi harçlardan; bu işlemler nedeniyle düzenlenecek kâğıtlar, damga vergisinden,</w:t>
            </w:r>
          </w:p>
          <w:p w:rsidR="00AA5C8C" w:rsidRPr="00A23740" w:rsidRDefault="00AA5C8C" w:rsidP="009431FF">
            <w:pPr>
              <w:rPr>
                <w:szCs w:val="24"/>
              </w:rPr>
            </w:pPr>
            <w:r w:rsidRPr="00A23740">
              <w:rPr>
                <w:szCs w:val="24"/>
              </w:rPr>
              <w:t xml:space="preserve">b) Alacaklılar tarafından her ne nam altında olursa olsun tahsil edilecek tutarlar, 6802 sayılı Gider Vergileri Kanunu gereği ödenecek banka ve sigorta muameleleri vergisinden, </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c)</w:t>
            </w:r>
            <w:r w:rsidRPr="00A23740">
              <w:rPr>
                <w:szCs w:val="24"/>
              </w:rPr>
              <w:t xml:space="preserve"> Borçluya kullandırılacak krediler, Kaynak Kullanımı Destekleme Fonundan,</w:t>
            </w:r>
          </w:p>
          <w:p w:rsidR="00AA5C8C" w:rsidRPr="00A23740" w:rsidRDefault="00AA5C8C" w:rsidP="009431FF">
            <w:pPr>
              <w:rPr>
                <w:szCs w:val="24"/>
              </w:rPr>
            </w:pPr>
          </w:p>
          <w:p w:rsidR="00AA5C8C" w:rsidRPr="00A23740" w:rsidRDefault="00AA5C8C" w:rsidP="009431FF">
            <w:pPr>
              <w:rPr>
                <w:szCs w:val="24"/>
              </w:rPr>
            </w:pPr>
            <w:r w:rsidRPr="00A23740">
              <w:rPr>
                <w:szCs w:val="24"/>
              </w:rPr>
              <w:t xml:space="preserve">istisna edilmiştir. </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(2)</w:t>
            </w:r>
            <w:r w:rsidRPr="00A23740">
              <w:rPr>
                <w:szCs w:val="24"/>
              </w:rPr>
              <w:t xml:space="preserve"> Bu istisna hükümleri konkordato projesinde belirtilen işlemler bakımından borçlu ile proje kapsamındaki alacaklılara özgü olarak uygulanır. Üçüncü kişiler bu istisna hükümlerinden yararlanamaz.  </w:t>
            </w:r>
          </w:p>
          <w:p w:rsidR="00AA5C8C" w:rsidRPr="00A23740" w:rsidRDefault="00AA5C8C" w:rsidP="009431FF">
            <w:pPr>
              <w:pStyle w:val="MaddeBasl"/>
              <w:tabs>
                <w:tab w:val="clear" w:pos="567"/>
              </w:tabs>
              <w:spacing w:before="0"/>
              <w:rPr>
                <w:rFonts w:ascii="Times New Roman" w:hAnsi="Times New Roman"/>
                <w:i w:val="0"/>
                <w:sz w:val="24"/>
                <w:szCs w:val="24"/>
                <w:lang w:val="tr-TR"/>
              </w:rPr>
            </w:pPr>
          </w:p>
          <w:p w:rsidR="00AA5C8C" w:rsidRPr="00A23740" w:rsidRDefault="00AA5C8C" w:rsidP="009431FF">
            <w:pPr>
              <w:pStyle w:val="MaddeBasl"/>
              <w:tabs>
                <w:tab w:val="clear" w:pos="567"/>
              </w:tabs>
              <w:spacing w:before="0"/>
              <w:rPr>
                <w:rFonts w:ascii="Times New Roman" w:hAnsi="Times New Roman"/>
                <w:i w:val="0"/>
                <w:sz w:val="24"/>
                <w:szCs w:val="24"/>
                <w:lang w:val="tr-TR"/>
              </w:rPr>
            </w:pPr>
            <w:r w:rsidRPr="00A23740">
              <w:rPr>
                <w:rStyle w:val="KIRMIZIChar"/>
                <w:i w:val="0"/>
                <w:lang w:val="tr-TR"/>
              </w:rPr>
              <w:t>(3)</w:t>
            </w:r>
            <w:r w:rsidRPr="00A23740">
              <w:rPr>
                <w:rFonts w:ascii="Times New Roman" w:hAnsi="Times New Roman"/>
                <w:i w:val="0"/>
                <w:sz w:val="24"/>
                <w:szCs w:val="24"/>
                <w:lang w:val="tr-TR"/>
              </w:rPr>
              <w:t xml:space="preserve"> Konkordato projesine göre borçları yeni bir itfa plânına bağlanan borçlulara ait olan teşvik belgelerinin süreleri ile ihracat taahhüt süreleri, geçici mühlet kararının verildiği tarihten konkordatonun bağlayıcı hâle geldiği tarihe kadar işlemez.</w:t>
            </w:r>
            <w:r w:rsidRPr="00A23740">
              <w:rPr>
                <w:rFonts w:ascii="Times New Roman" w:hAnsi="Times New Roman"/>
                <w:i w:val="0"/>
                <w:sz w:val="24"/>
                <w:szCs w:val="24"/>
                <w:lang w:val="tr-TR"/>
              </w:rPr>
              <w:tab/>
            </w:r>
          </w:p>
          <w:p w:rsidR="00AA5C8C" w:rsidRPr="00A23740" w:rsidRDefault="00AA5C8C" w:rsidP="009431FF">
            <w:pPr>
              <w:rPr>
                <w:i/>
                <w:szCs w:val="24"/>
              </w:rPr>
            </w:pPr>
          </w:p>
        </w:tc>
        <w:tc>
          <w:tcPr>
            <w:tcW w:w="2500" w:type="pct"/>
            <w:shd w:val="clear" w:color="auto" w:fill="FFFFFF"/>
          </w:tcPr>
          <w:p w:rsidR="00AA5C8C" w:rsidRPr="00A23740" w:rsidRDefault="00AA5C8C" w:rsidP="009431FF">
            <w:pPr>
              <w:rPr>
                <w:b/>
                <w:szCs w:val="24"/>
              </w:rPr>
            </w:pPr>
            <w:r w:rsidRPr="00A23740">
              <w:rPr>
                <w:b/>
                <w:szCs w:val="24"/>
              </w:rPr>
              <w:t>Konkordatoda harç, vergi istisnaları ve teşvik belgeleri</w:t>
            </w:r>
          </w:p>
          <w:p w:rsidR="00AA5C8C" w:rsidRPr="00A23740" w:rsidRDefault="00AA5C8C" w:rsidP="009431FF">
            <w:pPr>
              <w:rPr>
                <w:szCs w:val="24"/>
              </w:rPr>
            </w:pPr>
            <w:r w:rsidRPr="00A23740">
              <w:rPr>
                <w:rStyle w:val="MAVChar"/>
                <w:rFonts w:eastAsia="Calibri"/>
                <w:u w:val="none"/>
              </w:rPr>
              <w:t>MADDE 40</w:t>
            </w:r>
            <w:r w:rsidR="00164036" w:rsidRPr="00A23740">
              <w:rPr>
                <w:rStyle w:val="MAVChar"/>
                <w:rFonts w:eastAsia="Calibri"/>
                <w:u w:val="none"/>
              </w:rPr>
              <w:t>9</w:t>
            </w:r>
            <w:r w:rsidRPr="00A23740">
              <w:rPr>
                <w:rStyle w:val="MAVChar"/>
                <w:rFonts w:eastAsia="Calibri"/>
                <w:u w:val="none"/>
              </w:rPr>
              <w:t>- (1</w:t>
            </w:r>
            <w:r w:rsidRPr="00A23740">
              <w:rPr>
                <w:rStyle w:val="MaviChar"/>
                <w:lang w:val="tr-TR"/>
              </w:rPr>
              <w:t>)</w:t>
            </w:r>
            <w:r w:rsidRPr="00A23740">
              <w:rPr>
                <w:szCs w:val="24"/>
              </w:rPr>
              <w:t xml:space="preserve"> Tasdik edilen konkordato projesi kapsamında;</w:t>
            </w:r>
          </w:p>
          <w:p w:rsidR="00AA5C8C" w:rsidRPr="00A23740" w:rsidRDefault="00AA5C8C" w:rsidP="009431FF">
            <w:pPr>
              <w:rPr>
                <w:szCs w:val="24"/>
              </w:rPr>
            </w:pPr>
            <w:r w:rsidRPr="00A23740">
              <w:rPr>
                <w:rStyle w:val="MAVChar"/>
                <w:rFonts w:eastAsia="Calibri"/>
                <w:u w:val="none"/>
              </w:rPr>
              <w:t>a)</w:t>
            </w:r>
            <w:r w:rsidRPr="00A23740">
              <w:rPr>
                <w:szCs w:val="24"/>
              </w:rPr>
              <w:t xml:space="preserve"> Yapılacak işlemler, 492 sayılı Harçlar Kanununa tabi harçlardan; bu işlemler nedeniyle düzenlenecek kâğıtlar, damga vergisinden,</w:t>
            </w:r>
          </w:p>
          <w:p w:rsidR="00AA5C8C" w:rsidRPr="00A23740" w:rsidRDefault="00AA5C8C" w:rsidP="009431FF">
            <w:pPr>
              <w:rPr>
                <w:szCs w:val="24"/>
              </w:rPr>
            </w:pPr>
          </w:p>
          <w:p w:rsidR="00AA5C8C" w:rsidRPr="00A23740" w:rsidRDefault="00AA5C8C" w:rsidP="009431FF">
            <w:pPr>
              <w:rPr>
                <w:szCs w:val="24"/>
              </w:rPr>
            </w:pPr>
            <w:r w:rsidRPr="00A23740">
              <w:rPr>
                <w:rStyle w:val="MAVChar"/>
                <w:rFonts w:eastAsia="Calibri"/>
                <w:u w:val="none"/>
              </w:rPr>
              <w:t>b)</w:t>
            </w:r>
            <w:r w:rsidRPr="00A23740">
              <w:rPr>
                <w:szCs w:val="24"/>
              </w:rPr>
              <w:t xml:space="preserve"> Alacaklılar tarafından her ne nam altında olursa olsun tahsil edilecek tutarlar, 6802 sayılı Gider Vergileri Kanunu gereği ödenecek banka ve sigorta muameleleri vergisinden,</w:t>
            </w:r>
          </w:p>
          <w:p w:rsidR="00AA5C8C" w:rsidRPr="00A23740" w:rsidRDefault="00AA5C8C" w:rsidP="009431FF">
            <w:pPr>
              <w:rPr>
                <w:szCs w:val="24"/>
              </w:rPr>
            </w:pPr>
          </w:p>
          <w:p w:rsidR="00AA5C8C" w:rsidRPr="00A23740" w:rsidRDefault="00AA5C8C" w:rsidP="009431FF">
            <w:pPr>
              <w:rPr>
                <w:color w:val="0070C0"/>
                <w:szCs w:val="24"/>
              </w:rPr>
            </w:pPr>
            <w:r w:rsidRPr="00A23740">
              <w:rPr>
                <w:rStyle w:val="MAVChar"/>
                <w:rFonts w:eastAsia="Calibri"/>
                <w:u w:val="none"/>
              </w:rPr>
              <w:t>c)</w:t>
            </w:r>
            <w:r w:rsidRPr="00A23740">
              <w:rPr>
                <w:szCs w:val="24"/>
              </w:rPr>
              <w:t xml:space="preserve"> Alacaklılar tarafından her ne nam altında olursa olsun tahsil edilecek tutarlar, 6802 sayılı Gider Vergileri Kanunu gereği ödenecek banka ve sigorta muameleleri</w:t>
            </w:r>
            <w:r w:rsidRPr="00A23740">
              <w:rPr>
                <w:b/>
                <w:bCs/>
                <w:color w:val="0070C0"/>
                <w:szCs w:val="24"/>
              </w:rPr>
              <w:t xml:space="preserve"> </w:t>
            </w:r>
            <w:r w:rsidR="00236697" w:rsidRPr="00C6389B">
              <w:rPr>
                <w:rStyle w:val="MaviChar"/>
              </w:rPr>
              <w:t>vergisi ile</w:t>
            </w:r>
            <w:r w:rsidRPr="00A23740">
              <w:rPr>
                <w:rStyle w:val="MaviChar"/>
                <w:lang w:val="tr-TR"/>
              </w:rPr>
              <w:t xml:space="preserve"> 3065 sayılı Katma Değer Vergisi Kanunu gereği ödenecek katma değer vergisinden,</w:t>
            </w:r>
          </w:p>
          <w:p w:rsidR="00AA5C8C" w:rsidRPr="00A23740" w:rsidRDefault="00AA5C8C" w:rsidP="009431FF">
            <w:pPr>
              <w:rPr>
                <w:szCs w:val="24"/>
              </w:rPr>
            </w:pPr>
          </w:p>
          <w:p w:rsidR="00AA5C8C" w:rsidRPr="00A23740" w:rsidRDefault="00526EFB" w:rsidP="009431FF">
            <w:pPr>
              <w:rPr>
                <w:szCs w:val="24"/>
              </w:rPr>
            </w:pPr>
            <w:r w:rsidRPr="00C6389B">
              <w:rPr>
                <w:rStyle w:val="MaviChar"/>
              </w:rPr>
              <w:t>ç</w:t>
            </w:r>
            <w:r w:rsidR="00AA5C8C" w:rsidRPr="00C6389B">
              <w:rPr>
                <w:rStyle w:val="MaviChar"/>
              </w:rPr>
              <w:t>)</w:t>
            </w:r>
            <w:r w:rsidR="00AA5C8C" w:rsidRPr="00A23740">
              <w:rPr>
                <w:szCs w:val="24"/>
              </w:rPr>
              <w:t xml:space="preserve"> Borçluya kullandırılacak krediler, Kaynak Kullanımı Destekleme Fonundan,</w:t>
            </w:r>
          </w:p>
          <w:p w:rsidR="00AA5C8C" w:rsidRPr="00A23740" w:rsidRDefault="00AA5C8C" w:rsidP="009431FF">
            <w:pPr>
              <w:rPr>
                <w:szCs w:val="24"/>
              </w:rPr>
            </w:pPr>
          </w:p>
          <w:p w:rsidR="00AA5C8C" w:rsidRPr="00A23740" w:rsidRDefault="00AA5C8C" w:rsidP="009431FF">
            <w:pPr>
              <w:rPr>
                <w:szCs w:val="24"/>
              </w:rPr>
            </w:pPr>
            <w:r w:rsidRPr="00A23740">
              <w:rPr>
                <w:szCs w:val="24"/>
              </w:rPr>
              <w:t xml:space="preserve">istisna edilmiştir. </w:t>
            </w:r>
          </w:p>
          <w:p w:rsidR="00AA5C8C" w:rsidRPr="00A23740" w:rsidRDefault="00AA5C8C" w:rsidP="009431FF">
            <w:pPr>
              <w:rPr>
                <w:szCs w:val="24"/>
              </w:rPr>
            </w:pPr>
          </w:p>
          <w:p w:rsidR="00AA5C8C" w:rsidRPr="00A23740" w:rsidRDefault="00AA5C8C" w:rsidP="009431FF">
            <w:pPr>
              <w:rPr>
                <w:szCs w:val="24"/>
              </w:rPr>
            </w:pPr>
            <w:r w:rsidRPr="00A23740">
              <w:rPr>
                <w:rStyle w:val="MaviChar"/>
                <w:lang w:val="tr-TR"/>
              </w:rPr>
              <w:t>(2)</w:t>
            </w:r>
            <w:r w:rsidRPr="00A23740">
              <w:rPr>
                <w:szCs w:val="24"/>
              </w:rPr>
              <w:t xml:space="preserve"> Bu istisna hükümleri konkordato projesinde belirtilen işlemler bakımından borçlu ile proje kapsamındaki alacaklılara özgü olarak uygulanır. Üçüncü kişiler bu istisna hükümlerinden yararlanamaz.  </w:t>
            </w:r>
          </w:p>
          <w:p w:rsidR="00AA5C8C" w:rsidRPr="00A23740" w:rsidRDefault="00AA5C8C" w:rsidP="009431FF">
            <w:pPr>
              <w:rPr>
                <w:i/>
                <w:szCs w:val="24"/>
              </w:rPr>
            </w:pPr>
          </w:p>
          <w:p w:rsidR="00A55987" w:rsidRPr="00A23740" w:rsidRDefault="00AA5C8C" w:rsidP="009431FF">
            <w:pPr>
              <w:pStyle w:val="MaddeBasl"/>
              <w:tabs>
                <w:tab w:val="clear" w:pos="567"/>
              </w:tabs>
              <w:spacing w:before="0"/>
            </w:pPr>
            <w:r w:rsidRPr="00A23740">
              <w:rPr>
                <w:rStyle w:val="MaviChar"/>
                <w:i w:val="0"/>
                <w:lang w:val="tr-TR"/>
              </w:rPr>
              <w:t>(3)</w:t>
            </w:r>
            <w:r w:rsidRPr="00A23740">
              <w:rPr>
                <w:rFonts w:ascii="Times New Roman" w:hAnsi="Times New Roman"/>
                <w:sz w:val="24"/>
                <w:szCs w:val="24"/>
                <w:lang w:val="tr-TR"/>
              </w:rPr>
              <w:t xml:space="preserve"> </w:t>
            </w:r>
            <w:r w:rsidRPr="00A23740">
              <w:rPr>
                <w:rFonts w:ascii="Times New Roman" w:hAnsi="Times New Roman"/>
                <w:i w:val="0"/>
                <w:sz w:val="24"/>
                <w:szCs w:val="24"/>
                <w:lang w:val="tr-TR"/>
              </w:rPr>
              <w:t>Konkordato projesine göre borçları yeni bir itfa pl</w:t>
            </w:r>
            <w:r w:rsidR="007A06C3" w:rsidRPr="00A23740">
              <w:rPr>
                <w:rFonts w:ascii="Times New Roman" w:hAnsi="Times New Roman"/>
                <w:i w:val="0"/>
                <w:sz w:val="24"/>
                <w:szCs w:val="24"/>
                <w:lang w:val="tr-TR"/>
              </w:rPr>
              <w:t>a</w:t>
            </w:r>
            <w:r w:rsidRPr="00A23740">
              <w:rPr>
                <w:rFonts w:ascii="Times New Roman" w:hAnsi="Times New Roman"/>
                <w:i w:val="0"/>
                <w:sz w:val="24"/>
                <w:szCs w:val="24"/>
                <w:lang w:val="tr-TR"/>
              </w:rPr>
              <w:t>nına bağlanan borçlulara ait olan teşvik belgelerinin süreleri ile ihracat taahhüt süreleri, geçici mühlet kararının verildiği tarihten konkordatonun bağlayıcı hâle geldiği tarihe kadar işlemez.</w:t>
            </w:r>
          </w:p>
          <w:p w:rsidR="00AA5C8C" w:rsidRPr="00A23740" w:rsidRDefault="00AA5C8C" w:rsidP="009431FF">
            <w:pPr>
              <w:rPr>
                <w:i/>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A5C8C" w:rsidRPr="00A23740" w:rsidRDefault="00AA5C8C" w:rsidP="009431FF">
            <w:pPr>
              <w:pStyle w:val="MaddeBasl"/>
              <w:tabs>
                <w:tab w:val="clear" w:pos="567"/>
              </w:tabs>
              <w:spacing w:before="0"/>
              <w:ind w:firstLine="709"/>
              <w:rPr>
                <w:rFonts w:ascii="Times New Roman" w:hAnsi="Times New Roman"/>
                <w:i w:val="0"/>
                <w:sz w:val="24"/>
                <w:szCs w:val="24"/>
                <w:lang w:val="tr-TR"/>
              </w:rPr>
            </w:pPr>
          </w:p>
          <w:p w:rsidR="00AA5C8C" w:rsidRPr="00A23740" w:rsidRDefault="002D4C1F" w:rsidP="009431FF">
            <w:pPr>
              <w:ind w:firstLine="709"/>
              <w:rPr>
                <w:b/>
                <w:szCs w:val="24"/>
              </w:rPr>
            </w:pPr>
            <w:r w:rsidRPr="00A23740">
              <w:rPr>
                <w:b/>
                <w:szCs w:val="24"/>
              </w:rPr>
              <w:t>MADDE 40</w:t>
            </w:r>
            <w:r w:rsidR="00164036" w:rsidRPr="00A23740">
              <w:rPr>
                <w:b/>
                <w:szCs w:val="24"/>
              </w:rPr>
              <w:t>9</w:t>
            </w:r>
            <w:r w:rsidRPr="00A23740">
              <w:rPr>
                <w:b/>
                <w:szCs w:val="24"/>
              </w:rPr>
              <w:t>-</w:t>
            </w:r>
            <w:r w:rsidRPr="00A23740">
              <w:rPr>
                <w:szCs w:val="24"/>
              </w:rPr>
              <w:t xml:space="preserve"> Maddeyle, konkordatoda harç, vergi istisnaları ve teşvik belgelerine ilişkin hususlar düzenlenmektedir.</w:t>
            </w:r>
            <w:r w:rsidRPr="00A23740">
              <w:rPr>
                <w:b/>
                <w:szCs w:val="24"/>
              </w:rPr>
              <w:t xml:space="preserve"> </w:t>
            </w:r>
            <w:r w:rsidRPr="00A23740">
              <w:rPr>
                <w:szCs w:val="24"/>
              </w:rPr>
              <w:t>H</w:t>
            </w:r>
            <w:r w:rsidR="00D271B8" w:rsidRPr="00A23740">
              <w:rPr>
                <w:szCs w:val="24"/>
              </w:rPr>
              <w:t>â</w:t>
            </w:r>
            <w:r w:rsidR="00AA5C8C" w:rsidRPr="00A23740">
              <w:rPr>
                <w:szCs w:val="24"/>
              </w:rPr>
              <w:t>lihazırdaki düzenleme ile tasdik edilen konkordato projesinin “faizli” ödemeyi içermesi durumunda, konkordato alacaklısı finans kurumlarının konkordato projesi kapsamında yapacakları “faiz” tahsilatlarından tahakkuk ettirilmesi gereken BSMV istisna edildiği hâlde yine aynı koşullar altında, konkordato borçlusunun bu kez KDV sorumlusu olduğu diğer konkordato alacaklılarına yapacağı faizli proje ödemelerinde (alınan mal ve hizmetlerin bedeli konkordato projesine göre ödenirken ve önceden zaten faturalandırılıp KDV’ye konu edildiği hâlde bu kez söz konusu bedeli faizli olarak itfa edileceğinden söz konusu faiz de matraha dahil olup ayrıca KDV tahakkuk ettir</w:t>
            </w:r>
            <w:r w:rsidRPr="00A23740">
              <w:rPr>
                <w:szCs w:val="24"/>
              </w:rPr>
              <w:t>ilmelidir), 3065 sayılı</w:t>
            </w:r>
            <w:r w:rsidR="00AA5C8C" w:rsidRPr="00A23740">
              <w:rPr>
                <w:szCs w:val="24"/>
              </w:rPr>
              <w:t xml:space="preserve"> K</w:t>
            </w:r>
            <w:r w:rsidRPr="00A23740">
              <w:rPr>
                <w:szCs w:val="24"/>
              </w:rPr>
              <w:t>anunun 24 üncü maddesinin (</w:t>
            </w:r>
            <w:r w:rsidR="00AA5C8C" w:rsidRPr="00A23740">
              <w:rPr>
                <w:szCs w:val="24"/>
              </w:rPr>
              <w:t>c</w:t>
            </w:r>
            <w:r w:rsidRPr="00A23740">
              <w:rPr>
                <w:szCs w:val="24"/>
              </w:rPr>
              <w:t>)</w:t>
            </w:r>
            <w:r w:rsidR="00AA5C8C" w:rsidRPr="00A23740">
              <w:rPr>
                <w:szCs w:val="24"/>
              </w:rPr>
              <w:t xml:space="preserve"> bendi gereğince ödenecek faiz miktarınca ayrıca KDV ödemek yükümlülüğü altında bırakılması, eşitlik ilkesine uygun düşmemektedir. Zira bu hâlde aynı miktardaki faizin değişen alacaklısına göre tahakkuk ettirilmesi gereken verginin sadece türü/adı (Gider Vergisi türü olarak BSMV, mal ve hizmet temini sırasında KDV) değişmekte ama mahiyeti değişmemektedir. Şu hâlde aynı mahiyetteki verginin, bir tür alacaklı (banka ve finans kurumları) için istisna edilirken; diğer bir tür alacaklı (sair KDV sorumlusu alacaklılar) için muhafaza edilmesi, eşitlik ilkesini zedelemektedir. Esasen bu yolla konkordato projesinin yükü de artmakta; yapılacak ödemelerin KDV’sinin de olabileceği gözetilerek bunun da önceden hesap edilmesi gerekmektedir. Oysa bu düşünce, mer’i hükmün ve hatta ilgili bent hükmünün amacıyla da örtüşememektedir. Yüzlerce alacaklısı olan borçluların, her taksit döneminde, şayet faiz de öde</w:t>
            </w:r>
            <w:r w:rsidR="00BE3AE7" w:rsidRPr="00A23740">
              <w:rPr>
                <w:szCs w:val="24"/>
              </w:rPr>
              <w:t>n</w:t>
            </w:r>
            <w:r w:rsidR="00AA5C8C" w:rsidRPr="00A23740">
              <w:rPr>
                <w:szCs w:val="24"/>
              </w:rPr>
              <w:t>ecekse ödenecek faiz miktarınca KDV de ödeme ve bunu faturalandırma külfeti altında tutulması, projenin işlerliği ve uygulanması bakımından ciddi sorunlar içermektedir. Kanun koyucunun finans kurumları için zaten tanımış olduğu bu istisnanın bu kez diğer konkordato alacaklıları için</w:t>
            </w:r>
            <w:r w:rsidR="00A55987" w:rsidRPr="00A23740">
              <w:rPr>
                <w:szCs w:val="24"/>
              </w:rPr>
              <w:t xml:space="preserve"> </w:t>
            </w:r>
            <w:r w:rsidR="00AA5C8C" w:rsidRPr="00A23740">
              <w:rPr>
                <w:szCs w:val="24"/>
              </w:rPr>
              <w:t>de tanıması, esasen içeriği yönünden eksik bırakılmış normun ikmali ve göz ardı edilmiş eşitlik ilkesinin yeninden tesisi anlamını taşımaktadır.</w:t>
            </w:r>
          </w:p>
          <w:p w:rsidR="00AA5C8C" w:rsidRPr="00A23740" w:rsidRDefault="00AA5C8C" w:rsidP="006C4AA3">
            <w:pPr>
              <w:rPr>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jc w:val="center"/>
              <w:rPr>
                <w:b/>
                <w:bCs/>
                <w:color w:val="0000FF"/>
                <w:szCs w:val="24"/>
                <w:lang w:eastAsia="x-none"/>
              </w:rPr>
            </w:pPr>
            <w:r w:rsidRPr="00A23740">
              <w:rPr>
                <w:b/>
                <w:bCs/>
                <w:color w:val="0000FF"/>
                <w:szCs w:val="24"/>
                <w:lang w:eastAsia="x-none"/>
              </w:rPr>
              <w:t>ALTINCI AYRIM</w:t>
            </w:r>
          </w:p>
          <w:p w:rsidR="00AA5C8C" w:rsidRPr="00A23740" w:rsidRDefault="00AA5C8C" w:rsidP="009431FF">
            <w:pPr>
              <w:jc w:val="center"/>
              <w:rPr>
                <w:lang w:eastAsia="x-none"/>
              </w:rPr>
            </w:pPr>
            <w:r w:rsidRPr="00A23740">
              <w:rPr>
                <w:b/>
                <w:bCs/>
                <w:color w:val="0000FF"/>
                <w:szCs w:val="24"/>
                <w:lang w:eastAsia="x-none"/>
              </w:rPr>
              <w:t>Konkordatoda Kanun Yolları</w:t>
            </w:r>
          </w:p>
          <w:p w:rsidR="00AA5C8C" w:rsidRPr="00A23740" w:rsidRDefault="00AA5C8C" w:rsidP="009431FF">
            <w:pPr>
              <w:rPr>
                <w:b/>
                <w:bCs/>
                <w:color w:val="0000FF"/>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pStyle w:val="KIRMIZI"/>
              <w:rPr>
                <w:lang w:val="tr-TR"/>
              </w:rPr>
            </w:pPr>
            <w:r w:rsidRPr="00A23740">
              <w:rPr>
                <w:lang w:val="tr-TR"/>
              </w:rPr>
              <w:t>Geçici mühlet:</w:t>
            </w:r>
          </w:p>
          <w:p w:rsidR="00AA5C8C" w:rsidRPr="00A23740" w:rsidRDefault="00AA5C8C" w:rsidP="009431FF">
            <w:pPr>
              <w:pStyle w:val="KIRMIZI"/>
              <w:rPr>
                <w:b w:val="0"/>
                <w:lang w:val="tr-TR"/>
              </w:rPr>
            </w:pPr>
            <w:r w:rsidRPr="00A23740">
              <w:rPr>
                <w:lang w:val="tr-TR"/>
              </w:rPr>
              <w:t>Madde</w:t>
            </w:r>
            <w:r w:rsidRPr="00A23740">
              <w:rPr>
                <w:b w:val="0"/>
                <w:lang w:val="tr-TR"/>
              </w:rPr>
              <w:t xml:space="preserve"> </w:t>
            </w:r>
            <w:r w:rsidRPr="00A23740">
              <w:rPr>
                <w:rStyle w:val="KIRMIZIChar"/>
                <w:b/>
                <w:strike/>
                <w:lang w:val="tr-TR"/>
              </w:rPr>
              <w:t>287- (Değişik: 28/2/2018-7101/15 md.)</w:t>
            </w:r>
          </w:p>
          <w:p w:rsidR="00AA5C8C" w:rsidRPr="00A23740" w:rsidRDefault="00AA5C8C" w:rsidP="009431FF">
            <w:pPr>
              <w:rPr>
                <w:rFonts w:eastAsia="Times New Roman"/>
                <w:szCs w:val="24"/>
                <w:lang w:eastAsia="tr-TR"/>
              </w:rPr>
            </w:pPr>
            <w:r w:rsidRPr="00A23740">
              <w:rPr>
                <w:rFonts w:eastAsia="Times New Roman"/>
                <w:b/>
                <w:szCs w:val="24"/>
                <w:lang w:eastAsia="tr-TR"/>
              </w:rPr>
              <w:t>(6)</w:t>
            </w:r>
            <w:r w:rsidRPr="00A23740">
              <w:rPr>
                <w:rFonts w:eastAsia="Times New Roman"/>
                <w:szCs w:val="24"/>
                <w:lang w:eastAsia="tr-TR"/>
              </w:rPr>
              <w:t xml:space="preserve"> Geçici mühlet talebinin </w:t>
            </w:r>
            <w:r w:rsidRPr="00A23740">
              <w:rPr>
                <w:rStyle w:val="KIRMIZIChar"/>
                <w:rFonts w:eastAsia="Calibri"/>
              </w:rPr>
              <w:t>kabulü</w:t>
            </w:r>
            <w:r w:rsidRPr="00A23740">
              <w:rPr>
                <w:rFonts w:eastAsia="Times New Roman"/>
                <w:szCs w:val="24"/>
                <w:lang w:eastAsia="tr-TR"/>
              </w:rPr>
              <w:t xml:space="preserve">, geçici komiser görevlendirilmesi, </w:t>
            </w:r>
            <w:r w:rsidRPr="00A23740">
              <w:rPr>
                <w:rFonts w:eastAsia="Times New Roman"/>
                <w:b/>
                <w:bCs/>
                <w:strike/>
                <w:color w:val="FF0000"/>
                <w:szCs w:val="24"/>
                <w:lang w:eastAsia="tr-TR"/>
              </w:rPr>
              <w:t>geçici mühletin uzatılması ve tedbirlere ilişkin kararlara karşı kanun yoluna başvurulamaz.</w:t>
            </w:r>
          </w:p>
          <w:p w:rsidR="00AA5C8C" w:rsidRPr="00A23740" w:rsidRDefault="00AA5C8C" w:rsidP="009431FF">
            <w:pPr>
              <w:tabs>
                <w:tab w:val="left" w:pos="5233"/>
              </w:tabs>
              <w:rPr>
                <w:szCs w:val="24"/>
              </w:rPr>
            </w:pPr>
          </w:p>
          <w:p w:rsidR="00AA5C8C" w:rsidRPr="00A23740" w:rsidRDefault="00AA5C8C" w:rsidP="009431FF">
            <w:pPr>
              <w:pStyle w:val="KIRMIZI"/>
              <w:rPr>
                <w:vertAlign w:val="superscript"/>
                <w:lang w:val="tr-TR"/>
              </w:rPr>
            </w:pPr>
            <w:r w:rsidRPr="00A23740">
              <w:rPr>
                <w:lang w:val="tr-TR"/>
              </w:rPr>
              <w:t>Kanun yolları:</w:t>
            </w:r>
          </w:p>
          <w:p w:rsidR="00AA5C8C" w:rsidRPr="00A23740" w:rsidRDefault="00AA5C8C" w:rsidP="009431FF">
            <w:pPr>
              <w:pStyle w:val="KIRMIZI"/>
              <w:rPr>
                <w:strike w:val="0"/>
                <w:lang w:val="tr-TR"/>
              </w:rPr>
            </w:pPr>
            <w:r w:rsidRPr="00A23740">
              <w:rPr>
                <w:lang w:val="tr-TR"/>
              </w:rPr>
              <w:t xml:space="preserve">Madde </w:t>
            </w:r>
            <w:r w:rsidRPr="00A23740">
              <w:rPr>
                <w:rStyle w:val="KIRMIZIChar"/>
                <w:b/>
                <w:strike/>
                <w:lang w:val="tr-TR"/>
              </w:rPr>
              <w:t>293- (1) (Değişik: 28/2/2018-7101/21 md.)</w:t>
            </w:r>
            <w:r w:rsidRPr="00A23740">
              <w:rPr>
                <w:rStyle w:val="KIRMIZIChar"/>
                <w:strike/>
                <w:lang w:val="tr-TR"/>
              </w:rPr>
              <w:t xml:space="preserve"> </w:t>
            </w:r>
          </w:p>
          <w:p w:rsidR="00AA5C8C" w:rsidRPr="00A23740" w:rsidRDefault="00AA5C8C" w:rsidP="009431FF">
            <w:pPr>
              <w:rPr>
                <w:szCs w:val="24"/>
              </w:rPr>
            </w:pPr>
            <w:r w:rsidRPr="00A23740">
              <w:rPr>
                <w:szCs w:val="24"/>
              </w:rPr>
              <w:t xml:space="preserve">Kesin mühlet </w:t>
            </w:r>
            <w:r w:rsidRPr="00A23740">
              <w:rPr>
                <w:rStyle w:val="KIRMIZIChar"/>
                <w:rFonts w:eastAsia="Calibri"/>
              </w:rPr>
              <w:t>talebinin kabulü</w:t>
            </w:r>
            <w:r w:rsidRPr="00A23740">
              <w:rPr>
                <w:szCs w:val="24"/>
              </w:rPr>
              <w:t xml:space="preserve"> ile mühletin kaldırılması talebinin reddi</w:t>
            </w:r>
            <w:r w:rsidRPr="00A23740">
              <w:rPr>
                <w:rFonts w:eastAsia="Times New Roman"/>
                <w:b/>
                <w:bCs/>
                <w:strike/>
                <w:color w:val="FF0000"/>
                <w:szCs w:val="24"/>
                <w:lang w:eastAsia="tr-TR"/>
              </w:rPr>
              <w:t>ne ilişkin kararlara karşı kanun yoluna başvurulamaz.</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pStyle w:val="KIRMIZI"/>
            </w:pPr>
            <w:r w:rsidRPr="00A23740">
              <w:t>(2) Kesin mühlet talebinin</w:t>
            </w:r>
            <w:r w:rsidRPr="00A23740">
              <w:rPr>
                <w:lang w:eastAsia="tr-TR"/>
              </w:rPr>
              <w:t xml:space="preserve"> değerlendirilmesi sonucunda,</w:t>
            </w:r>
            <w:r w:rsidRPr="00A23740">
              <w:t xml:space="preserve"> hakkında iflâs kararı verilmeyen borçlu</w:t>
            </w:r>
            <w:r w:rsidRPr="00A23740">
              <w:rPr>
                <w:lang w:eastAsia="tr-TR"/>
              </w:rPr>
              <w:t>nun</w:t>
            </w:r>
            <w:r w:rsidRPr="00A23740">
              <w:t xml:space="preserve"> konkordato talebinin reddine karar verilirse, borçlu veya varsa konkordato talep eden alacaklı bu kararın tebliğinden itibaren </w:t>
            </w:r>
            <w:r w:rsidR="004A5DD5" w:rsidRPr="00A23740">
              <w:rPr>
                <w:lang w:val="tr-TR"/>
              </w:rPr>
              <w:t>iki hafta</w:t>
            </w:r>
            <w:r w:rsidRPr="00A23740">
              <w:t xml:space="preserve"> içinde istinaf yoluna başvurabilir. Bölge adliye mahkemesinin kararı kesindir. Bölge adliye mahkemesi tarafından ilk derece mahkemesi kararı kaldırılarak mühlet kararı verildiği hâllerde dosya, komiserin görevlendirilmesi de dahil olmak üzere müteakip işlemlerin yürütülmesi için ilk derece mahkemesine gönderilir.</w:t>
            </w:r>
          </w:p>
          <w:p w:rsidR="00AA5C8C" w:rsidRPr="00A23740" w:rsidRDefault="00AA5C8C" w:rsidP="009431FF">
            <w:pPr>
              <w:rPr>
                <w:szCs w:val="24"/>
              </w:rPr>
            </w:pPr>
          </w:p>
          <w:p w:rsidR="00AA5C8C" w:rsidRPr="00A23740" w:rsidRDefault="00AA5C8C" w:rsidP="009431FF">
            <w:pPr>
              <w:pStyle w:val="KIRMIZI"/>
            </w:pPr>
            <w:r w:rsidRPr="00A23740">
              <w:t>(3) Mahkemenin veya bölge adliye mahkemesinin konkordato talebinin reddiyle birlikte borçlunun iflâsına da karar verdiği hâllerde 164 üncü madde hükmü uygulanır.</w:t>
            </w:r>
          </w:p>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pStyle w:val="Mavi"/>
            </w:pPr>
            <w:r w:rsidRPr="00A23740">
              <w:t xml:space="preserve">İstinaf edilemeyen kararlar </w:t>
            </w:r>
          </w:p>
          <w:p w:rsidR="00AA5C8C" w:rsidRPr="00A23740" w:rsidRDefault="00164036" w:rsidP="009431FF">
            <w:pPr>
              <w:tabs>
                <w:tab w:val="left" w:pos="567"/>
              </w:tabs>
              <w:rPr>
                <w:rFonts w:eastAsia="Times New Roman"/>
                <w:b/>
                <w:bCs/>
                <w:color w:val="0000FF"/>
                <w:szCs w:val="24"/>
                <w:lang w:eastAsia="tr-TR"/>
              </w:rPr>
            </w:pPr>
            <w:r w:rsidRPr="00A23740">
              <w:rPr>
                <w:b/>
                <w:bCs/>
                <w:color w:val="0000FF"/>
                <w:szCs w:val="24"/>
                <w:lang w:eastAsia="x-none"/>
              </w:rPr>
              <w:t>MADDE 410</w:t>
            </w:r>
            <w:r w:rsidR="00AA5C8C" w:rsidRPr="00A23740">
              <w:rPr>
                <w:b/>
                <w:bCs/>
                <w:color w:val="0000FF"/>
                <w:szCs w:val="24"/>
                <w:lang w:eastAsia="x-none"/>
              </w:rPr>
              <w:t xml:space="preserve">- </w:t>
            </w:r>
            <w:r w:rsidR="00AA5C8C" w:rsidRPr="00A23740">
              <w:rPr>
                <w:rFonts w:eastAsia="Times New Roman"/>
                <w:b/>
                <w:bCs/>
                <w:color w:val="0000FF"/>
                <w:szCs w:val="24"/>
                <w:lang w:eastAsia="tr-TR"/>
              </w:rPr>
              <w:t xml:space="preserve">(1) </w:t>
            </w:r>
            <w:r w:rsidR="00AA5C8C" w:rsidRPr="00A23740">
              <w:rPr>
                <w:rFonts w:eastAsia="Times New Roman"/>
                <w:szCs w:val="24"/>
                <w:lang w:eastAsia="tr-TR"/>
              </w:rPr>
              <w:t xml:space="preserve">Geçici </w:t>
            </w:r>
            <w:r w:rsidR="00EF1D82" w:rsidRPr="00C6389B">
              <w:rPr>
                <w:rStyle w:val="MaviChar"/>
              </w:rPr>
              <w:t>mühletin verilmesi</w:t>
            </w:r>
            <w:r w:rsidR="00AA5C8C" w:rsidRPr="00A23740">
              <w:rPr>
                <w:rFonts w:eastAsia="Times New Roman"/>
                <w:szCs w:val="24"/>
                <w:lang w:eastAsia="tr-TR"/>
              </w:rPr>
              <w:t xml:space="preserve">, </w:t>
            </w:r>
            <w:r w:rsidR="00AA5C8C" w:rsidRPr="00A23740">
              <w:rPr>
                <w:rStyle w:val="MaviChar"/>
              </w:rPr>
              <w:t>geçici mühletin uzatılması,</w:t>
            </w:r>
            <w:r w:rsidR="00AA5C8C" w:rsidRPr="00A23740">
              <w:rPr>
                <w:rFonts w:eastAsia="Times New Roman"/>
                <w:szCs w:val="24"/>
                <w:lang w:eastAsia="tr-TR"/>
              </w:rPr>
              <w:t xml:space="preserve"> geçici </w:t>
            </w:r>
            <w:r w:rsidR="00AA5C8C" w:rsidRPr="00A23740">
              <w:rPr>
                <w:rStyle w:val="MaviChar"/>
              </w:rPr>
              <w:t>mühlette</w:t>
            </w:r>
            <w:r w:rsidR="00AA5C8C" w:rsidRPr="00A23740">
              <w:rPr>
                <w:rFonts w:eastAsia="Times New Roman"/>
                <w:szCs w:val="24"/>
                <w:lang w:eastAsia="tr-TR"/>
              </w:rPr>
              <w:t xml:space="preserve"> komiserin görevlendirilmesi ve</w:t>
            </w:r>
            <w:r w:rsidR="00AA5C8C" w:rsidRPr="00A23740">
              <w:rPr>
                <w:rFonts w:eastAsia="Times New Roman"/>
                <w:b/>
                <w:bCs/>
                <w:color w:val="0000FF"/>
                <w:szCs w:val="24"/>
                <w:lang w:eastAsia="tr-TR"/>
              </w:rPr>
              <w:t xml:space="preserve"> görevden alınması kararları ile geçici mühletin kaldırılması tale</w:t>
            </w:r>
            <w:r w:rsidR="00C6389B">
              <w:rPr>
                <w:rFonts w:eastAsia="Times New Roman"/>
                <w:b/>
                <w:bCs/>
                <w:color w:val="0000FF"/>
                <w:szCs w:val="24"/>
                <w:lang w:eastAsia="tr-TR"/>
              </w:rPr>
              <w:t>binin reddi kararları kesindir.</w:t>
            </w:r>
          </w:p>
          <w:p w:rsidR="00AA5C8C" w:rsidRPr="00A23740" w:rsidRDefault="00AA5C8C" w:rsidP="009431FF">
            <w:pPr>
              <w:rPr>
                <w:rFonts w:eastAsia="Times New Roman"/>
                <w:color w:val="FF0000"/>
                <w:szCs w:val="24"/>
                <w:lang w:eastAsia="tr-TR"/>
              </w:rPr>
            </w:pPr>
          </w:p>
          <w:p w:rsidR="00AA5C8C" w:rsidRPr="00A23740" w:rsidRDefault="00AA5C8C" w:rsidP="009431FF">
            <w:pPr>
              <w:rPr>
                <w:rFonts w:eastAsia="Times New Roman"/>
                <w:color w:val="FF0000"/>
                <w:szCs w:val="24"/>
                <w:lang w:eastAsia="tr-TR"/>
              </w:rPr>
            </w:pPr>
          </w:p>
          <w:p w:rsidR="00AA5C8C" w:rsidRPr="00A23740" w:rsidRDefault="00AA5C8C" w:rsidP="009431FF">
            <w:pPr>
              <w:rPr>
                <w:rFonts w:eastAsia="Times New Roman"/>
                <w:color w:val="FF0000"/>
                <w:szCs w:val="24"/>
                <w:lang w:eastAsia="tr-TR"/>
              </w:rPr>
            </w:pPr>
          </w:p>
          <w:p w:rsidR="00AA5C8C" w:rsidRPr="00A23740" w:rsidRDefault="00AA5C8C" w:rsidP="009431FF">
            <w:pPr>
              <w:tabs>
                <w:tab w:val="left" w:pos="567"/>
              </w:tabs>
              <w:rPr>
                <w:b/>
                <w:bCs/>
                <w:color w:val="FF0000"/>
                <w:szCs w:val="24"/>
                <w:lang w:eastAsia="x-none"/>
              </w:rPr>
            </w:pPr>
            <w:r w:rsidRPr="00A23740">
              <w:rPr>
                <w:b/>
                <w:bCs/>
                <w:color w:val="0000FF"/>
                <w:szCs w:val="24"/>
                <w:lang w:eastAsia="x-none"/>
              </w:rPr>
              <w:t xml:space="preserve">(2) </w:t>
            </w:r>
            <w:r w:rsidRPr="00A23740">
              <w:rPr>
                <w:szCs w:val="24"/>
              </w:rPr>
              <w:t xml:space="preserve">Kesin </w:t>
            </w:r>
            <w:r w:rsidR="00EF1D82" w:rsidRPr="00C6389B">
              <w:rPr>
                <w:rStyle w:val="MaviChar"/>
              </w:rPr>
              <w:t>mühletin verilmesi</w:t>
            </w:r>
            <w:r w:rsidRPr="00A23740">
              <w:rPr>
                <w:szCs w:val="24"/>
              </w:rPr>
              <w:t xml:space="preserve">, </w:t>
            </w:r>
            <w:r w:rsidRPr="00A23740">
              <w:rPr>
                <w:rStyle w:val="MaviChar"/>
              </w:rPr>
              <w:t>kesin mühletin uzatılması,</w:t>
            </w:r>
            <w:r w:rsidRPr="00A23740">
              <w:rPr>
                <w:szCs w:val="24"/>
              </w:rPr>
              <w:t xml:space="preserve"> </w:t>
            </w:r>
            <w:r w:rsidRPr="00A23740">
              <w:rPr>
                <w:b/>
                <w:bCs/>
                <w:color w:val="0000FF"/>
                <w:szCs w:val="24"/>
                <w:lang w:eastAsia="x-none"/>
              </w:rPr>
              <w:t xml:space="preserve">kesin mühlette komiserin görevlendirilmesi ve görevden alınması kararları </w:t>
            </w:r>
            <w:r w:rsidRPr="00A23740">
              <w:t>ile</w:t>
            </w:r>
            <w:r w:rsidRPr="00A23740">
              <w:rPr>
                <w:b/>
                <w:bCs/>
                <w:color w:val="0000FF"/>
                <w:szCs w:val="24"/>
                <w:lang w:eastAsia="x-none"/>
              </w:rPr>
              <w:t xml:space="preserve"> kesin </w:t>
            </w:r>
            <w:r w:rsidRPr="00A23740">
              <w:rPr>
                <w:szCs w:val="24"/>
              </w:rPr>
              <w:t>mühletin kaldırılması talebinin</w:t>
            </w:r>
            <w:r w:rsidRPr="00A23740">
              <w:rPr>
                <w:b/>
                <w:bCs/>
                <w:color w:val="0000FF"/>
                <w:szCs w:val="24"/>
                <w:lang w:eastAsia="x-none"/>
              </w:rPr>
              <w:t xml:space="preserve"> </w:t>
            </w:r>
            <w:r w:rsidRPr="00A23740">
              <w:rPr>
                <w:szCs w:val="24"/>
              </w:rPr>
              <w:t>reddi</w:t>
            </w:r>
            <w:r w:rsidRPr="00A23740">
              <w:rPr>
                <w:b/>
                <w:bCs/>
                <w:color w:val="0000FF"/>
                <w:szCs w:val="24"/>
                <w:lang w:eastAsia="x-none"/>
              </w:rPr>
              <w:t xml:space="preserve"> </w:t>
            </w:r>
            <w:r w:rsidRPr="00A23740">
              <w:rPr>
                <w:b/>
                <w:color w:val="0000FF"/>
                <w:szCs w:val="24"/>
                <w:lang w:eastAsia="x-none"/>
              </w:rPr>
              <w:t>kararları kesindir.</w:t>
            </w:r>
            <w:r w:rsidRPr="00A23740">
              <w:rPr>
                <w:b/>
                <w:bCs/>
                <w:color w:val="0000FF"/>
                <w:szCs w:val="24"/>
                <w:lang w:eastAsia="x-none"/>
              </w:rPr>
              <w:t xml:space="preserve"> </w:t>
            </w:r>
          </w:p>
          <w:p w:rsidR="00AA5C8C" w:rsidRPr="00A23740" w:rsidRDefault="00AA5C8C" w:rsidP="009431FF"/>
          <w:p w:rsidR="00AA5C8C" w:rsidRPr="00A23740" w:rsidRDefault="00AA5C8C" w:rsidP="009431FF"/>
          <w:p w:rsidR="00AA5C8C" w:rsidRPr="00A23740" w:rsidRDefault="00AA5C8C" w:rsidP="009431FF">
            <w:pPr>
              <w:pStyle w:val="KIRMIZI"/>
            </w:pPr>
          </w:p>
        </w:tc>
      </w:tr>
      <w:tr w:rsidR="005C3738" w:rsidRPr="00A23740" w:rsidTr="009431FF">
        <w:tc>
          <w:tcPr>
            <w:tcW w:w="5000" w:type="pct"/>
            <w:gridSpan w:val="2"/>
            <w:shd w:val="clear" w:color="auto" w:fill="DEEAF6"/>
          </w:tcPr>
          <w:p w:rsidR="00285F60" w:rsidRPr="00A23740" w:rsidRDefault="00285F60" w:rsidP="009431FF">
            <w:pPr>
              <w:tabs>
                <w:tab w:val="left" w:pos="567"/>
              </w:tabs>
              <w:rPr>
                <w:b/>
                <w:bCs/>
                <w:szCs w:val="24"/>
                <w:lang w:eastAsia="x-none"/>
              </w:rPr>
            </w:pPr>
          </w:p>
          <w:p w:rsidR="00285F60" w:rsidRPr="00A23740" w:rsidRDefault="00164036" w:rsidP="009431FF">
            <w:pPr>
              <w:tabs>
                <w:tab w:val="left" w:pos="567"/>
              </w:tabs>
              <w:ind w:firstLine="709"/>
              <w:rPr>
                <w:bCs/>
                <w:szCs w:val="24"/>
                <w:lang w:eastAsia="x-none"/>
              </w:rPr>
            </w:pPr>
            <w:r w:rsidRPr="00A23740">
              <w:rPr>
                <w:rStyle w:val="YELChar"/>
                <w:color w:val="auto"/>
              </w:rPr>
              <w:t>MADDE 410</w:t>
            </w:r>
            <w:r w:rsidR="00285F60" w:rsidRPr="00A23740">
              <w:rPr>
                <w:rStyle w:val="YELChar"/>
                <w:color w:val="auto"/>
              </w:rPr>
              <w:t>-</w:t>
            </w:r>
            <w:r w:rsidR="00285F60" w:rsidRPr="00A23740">
              <w:rPr>
                <w:bCs/>
                <w:szCs w:val="24"/>
                <w:lang w:eastAsia="x-none"/>
              </w:rPr>
              <w:t xml:space="preserve"> Maddeyle, istinaf edilemeyen kararlara ilişkin hususlar düzenlenmektedir. </w:t>
            </w:r>
          </w:p>
          <w:p w:rsidR="00285F60" w:rsidRPr="00A23740" w:rsidRDefault="00285F60" w:rsidP="009431FF">
            <w:pPr>
              <w:tabs>
                <w:tab w:val="left" w:pos="567"/>
              </w:tabs>
              <w:ind w:firstLine="709"/>
              <w:rPr>
                <w:bCs/>
                <w:szCs w:val="24"/>
                <w:lang w:eastAsia="x-none"/>
              </w:rPr>
            </w:pPr>
            <w:r w:rsidRPr="00A23740">
              <w:rPr>
                <w:bCs/>
                <w:szCs w:val="24"/>
                <w:lang w:eastAsia="x-none"/>
              </w:rPr>
              <w:t>Konkordatoda kanun yollarının her bir karar türüne özel olarak ve fakat bu kez bir arada düzenlenmesi tercih edilmiş; böylelikle yeni bir alt ayrımın ihdası uygun bulunmuştur. Bütün kurum için geçerli olacak şekilde, olası her türdeki karar, istinaf edilemeyen</w:t>
            </w:r>
            <w:r w:rsidR="00BE3AE7" w:rsidRPr="00A23740">
              <w:rPr>
                <w:bCs/>
                <w:szCs w:val="24"/>
                <w:lang w:eastAsia="x-none"/>
              </w:rPr>
              <w:t>,</w:t>
            </w:r>
            <w:r w:rsidRPr="00A23740">
              <w:rPr>
                <w:bCs/>
                <w:szCs w:val="24"/>
                <w:lang w:eastAsia="x-none"/>
              </w:rPr>
              <w:t xml:space="preserve"> dolayısıyla verildiği anda kesin olan; istinafa konu edilebilen ve nihayetinde temyiz edilebilen kararlar şeklinde üç ayrı başlık altında sınıflandırılmış; farklı türdeki kararların kanun yolları temelinde bir arada düzenlenmesi suretiyle kullanıcı kolaylığının temin edilmesine çalışılmıştır. </w:t>
            </w:r>
          </w:p>
          <w:p w:rsidR="00285F60" w:rsidRPr="00A23740" w:rsidRDefault="00285F60" w:rsidP="009431FF">
            <w:pPr>
              <w:tabs>
                <w:tab w:val="left" w:pos="567"/>
              </w:tabs>
              <w:ind w:firstLine="709"/>
              <w:rPr>
                <w:bCs/>
                <w:szCs w:val="24"/>
                <w:lang w:eastAsia="x-none"/>
              </w:rPr>
            </w:pPr>
            <w:r w:rsidRPr="00A23740">
              <w:rPr>
                <w:bCs/>
                <w:szCs w:val="24"/>
                <w:lang w:eastAsia="x-none"/>
              </w:rPr>
              <w:t>Taslağın bu hükmü, iki fıkra h</w:t>
            </w:r>
            <w:r w:rsidR="00246D6D" w:rsidRPr="00A23740">
              <w:rPr>
                <w:bCs/>
                <w:szCs w:val="24"/>
                <w:lang w:eastAsia="x-none"/>
              </w:rPr>
              <w:t>â</w:t>
            </w:r>
            <w:r w:rsidRPr="00A23740">
              <w:rPr>
                <w:bCs/>
                <w:szCs w:val="24"/>
                <w:lang w:eastAsia="x-none"/>
              </w:rPr>
              <w:t>linde, istinaf edilmeyen kararları düzenlemektedir. İlk fıkra, geçici mühletle alâkalı olup ikinci fıkra, kesin mühlet kararı ve akabinde onun kaldırılması hakkındadır.</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Birinci fıkra hükmü, yakın bir zaman önce konkordatoyla ilgili olarak 7101 sayılı Kanunla yapılan değişikliklerin benimsediği menfaatler dengesini, büyük ölçüde korumuş; bu arada uygulamada görülen eksiklikleri de gözeterek yeri geldiğince </w:t>
            </w:r>
            <w:r w:rsidR="00BE3AE7" w:rsidRPr="00A23740">
              <w:rPr>
                <w:bCs/>
                <w:szCs w:val="24"/>
                <w:lang w:eastAsia="x-none"/>
              </w:rPr>
              <w:t xml:space="preserve">bunları </w:t>
            </w:r>
            <w:r w:rsidRPr="00A23740">
              <w:rPr>
                <w:bCs/>
                <w:szCs w:val="24"/>
                <w:lang w:eastAsia="x-none"/>
              </w:rPr>
              <w:t>giderme yolunu tercih etmiştir. Örneğin konkordato talebi üzerine verilen geçici mühlet ve ardından geçilebilirse kesin mühlet dönemi içinde alacaklıların kanun yoluna başvuru imk</w:t>
            </w:r>
            <w:r w:rsidR="00BE53A8" w:rsidRPr="00A23740">
              <w:rPr>
                <w:bCs/>
                <w:szCs w:val="24"/>
                <w:lang w:eastAsia="x-none"/>
              </w:rPr>
              <w:t>â</w:t>
            </w:r>
            <w:r w:rsidRPr="00A23740">
              <w:rPr>
                <w:bCs/>
                <w:szCs w:val="24"/>
                <w:lang w:eastAsia="x-none"/>
              </w:rPr>
              <w:t xml:space="preserve">nının tasdike kadar olan evrede kısıtlanması yönündeki tercih, muhafaza edilmiştir.    </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Birinci ve ikinci fıkrada düzenlenen kararlar, Taslağın sonraki hükmünün aksine istisnai mahiyette olup alacaklıları menfi yönde alâkadar etmekle birlikte bu türden kararların alacaklılar tarafından istinaf denetimine konu edilmesinin önü kapatılmıştır. Böyle bir tercihten dönülmesine gerek de duyulmamıştır. Zira alacaklıların hak ve menfaatlerinin </w:t>
            </w:r>
            <w:r w:rsidR="00BE3AE7" w:rsidRPr="00A23740">
              <w:rPr>
                <w:bCs/>
                <w:szCs w:val="24"/>
                <w:lang w:eastAsia="x-none"/>
              </w:rPr>
              <w:t xml:space="preserve">özellikle </w:t>
            </w:r>
            <w:r w:rsidR="00246D6D" w:rsidRPr="00A23740">
              <w:rPr>
                <w:bCs/>
                <w:szCs w:val="24"/>
                <w:lang w:eastAsia="x-none"/>
              </w:rPr>
              <w:t>kesin mühlet içinde, komiser</w:t>
            </w:r>
            <w:r w:rsidRPr="00A23740">
              <w:rPr>
                <w:bCs/>
                <w:szCs w:val="24"/>
                <w:lang w:eastAsia="x-none"/>
              </w:rPr>
              <w:t xml:space="preserve"> veya kurulması h</w:t>
            </w:r>
            <w:r w:rsidR="00246D6D" w:rsidRPr="00A23740">
              <w:rPr>
                <w:bCs/>
                <w:szCs w:val="24"/>
                <w:lang w:eastAsia="x-none"/>
              </w:rPr>
              <w:t>â</w:t>
            </w:r>
            <w:r w:rsidRPr="00A23740">
              <w:rPr>
                <w:bCs/>
                <w:szCs w:val="24"/>
                <w:lang w:eastAsia="x-none"/>
              </w:rPr>
              <w:t>linde alacaklılar kurulu tarafından gözetilmesi mümkündür. Borçlu nezdinde kanunen getirilen kısıtlar ve komiser</w:t>
            </w:r>
            <w:r w:rsidR="00246D6D" w:rsidRPr="00A23740">
              <w:rPr>
                <w:bCs/>
                <w:szCs w:val="24"/>
                <w:lang w:eastAsia="x-none"/>
              </w:rPr>
              <w:t>in</w:t>
            </w:r>
            <w:r w:rsidRPr="00A23740">
              <w:rPr>
                <w:bCs/>
                <w:szCs w:val="24"/>
                <w:lang w:eastAsia="x-none"/>
              </w:rPr>
              <w:t xml:space="preserve"> işlemlerine karşı açık olan şikâyet yolu, Taslakta da</w:t>
            </w:r>
            <w:r w:rsidR="00BE3AE7" w:rsidRPr="00A23740">
              <w:rPr>
                <w:bCs/>
                <w:szCs w:val="24"/>
                <w:lang w:eastAsia="x-none"/>
              </w:rPr>
              <w:t>muhafaza edilmiştir</w:t>
            </w:r>
            <w:r w:rsidRPr="00A23740">
              <w:rPr>
                <w:bCs/>
                <w:szCs w:val="24"/>
                <w:lang w:eastAsia="x-none"/>
              </w:rPr>
              <w:t>. Nihayetinde k</w:t>
            </w:r>
            <w:r w:rsidR="00246D6D" w:rsidRPr="00A23740">
              <w:rPr>
                <w:bCs/>
                <w:szCs w:val="24"/>
                <w:lang w:eastAsia="x-none"/>
              </w:rPr>
              <w:t xml:space="preserve">omiser ile </w:t>
            </w:r>
            <w:r w:rsidRPr="00A23740">
              <w:rPr>
                <w:bCs/>
                <w:szCs w:val="24"/>
                <w:lang w:eastAsia="x-none"/>
              </w:rPr>
              <w:t xml:space="preserve">alacaklılar kurulu arasında kurulan kanuni ilişkinin içeriği ve zaten hızlıca toplanması beklenen alacaklılar toplantısının kendisi, tasdike kadar artık çok da uzun sürmeyecek kesin mühlet içerisinde, alacaklıların hak ve menfaatlerinin kanun yolu denetimiyle korunmasına gerek ve yer bırakmamaktadır. Aynı şekilde geçici mühlet döneminin arızi ve süresinin artık daha kısa olduğu dikkate alındığında; bu dönemin de başlı başına bir </w:t>
            </w:r>
            <w:r w:rsidR="00BE3AE7" w:rsidRPr="00A23740">
              <w:rPr>
                <w:bCs/>
                <w:szCs w:val="24"/>
                <w:lang w:eastAsia="x-none"/>
              </w:rPr>
              <w:t xml:space="preserve">uyuşmazlık </w:t>
            </w:r>
            <w:r w:rsidRPr="00A23740">
              <w:rPr>
                <w:bCs/>
                <w:szCs w:val="24"/>
                <w:lang w:eastAsia="x-none"/>
              </w:rPr>
              <w:t xml:space="preserve">konusu olması istenmemiştir. Alacaklıların hak ve menfaatlerin </w:t>
            </w:r>
            <w:r w:rsidR="00BE3AE7" w:rsidRPr="00A23740">
              <w:rPr>
                <w:bCs/>
                <w:szCs w:val="24"/>
                <w:lang w:eastAsia="x-none"/>
              </w:rPr>
              <w:t xml:space="preserve">özellikle </w:t>
            </w:r>
            <w:r w:rsidRPr="00A23740">
              <w:rPr>
                <w:bCs/>
                <w:szCs w:val="24"/>
                <w:lang w:eastAsia="x-none"/>
              </w:rPr>
              <w:t>kesin mühlet içinde kanun yollarından başkaca hukuki çareler ve imk</w:t>
            </w:r>
            <w:r w:rsidR="00BE53A8" w:rsidRPr="00A23740">
              <w:rPr>
                <w:bCs/>
                <w:szCs w:val="24"/>
                <w:lang w:eastAsia="x-none"/>
              </w:rPr>
              <w:t>â</w:t>
            </w:r>
            <w:r w:rsidRPr="00A23740">
              <w:rPr>
                <w:bCs/>
                <w:szCs w:val="24"/>
                <w:lang w:eastAsia="x-none"/>
              </w:rPr>
              <w:t>nlar</w:t>
            </w:r>
            <w:r w:rsidR="00246D6D" w:rsidRPr="00A23740">
              <w:rPr>
                <w:bCs/>
                <w:szCs w:val="24"/>
                <w:lang w:eastAsia="x-none"/>
              </w:rPr>
              <w:t>l</w:t>
            </w:r>
            <w:r w:rsidRPr="00A23740">
              <w:rPr>
                <w:bCs/>
                <w:szCs w:val="24"/>
                <w:lang w:eastAsia="x-none"/>
              </w:rPr>
              <w:t>a gözetilmesine, az önce de özetlendiği gibi azami özen gösterilmiştir. Öte taraftan tasdike kadar olan sürede borçlunun, zaten alacaklıların tasvibine sunacak olduğu projesini, yine az önce anılan kanuni kısıt ve sair denetim yolları dışında, olabildiğince rahat ve kesintisiz bir ortamda hazırlayabilmesinde, teminine çalış</w:t>
            </w:r>
            <w:r w:rsidR="00246D6D" w:rsidRPr="00A23740">
              <w:rPr>
                <w:bCs/>
                <w:szCs w:val="24"/>
                <w:lang w:eastAsia="x-none"/>
              </w:rPr>
              <w:t>ıl</w:t>
            </w:r>
            <w:r w:rsidRPr="00A23740">
              <w:rPr>
                <w:bCs/>
                <w:szCs w:val="24"/>
                <w:lang w:eastAsia="x-none"/>
              </w:rPr>
              <w:t xml:space="preserve">an alacaklı çoğunluğunun da menfaati vardır.  </w:t>
            </w:r>
          </w:p>
          <w:p w:rsidR="00FD133C" w:rsidRPr="00A23740" w:rsidRDefault="00FD133C" w:rsidP="006C4AA3">
            <w:pPr>
              <w:tabs>
                <w:tab w:val="left" w:pos="567"/>
              </w:tabs>
              <w:rPr>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pStyle w:val="KIRMIZI"/>
              <w:widowControl w:val="0"/>
              <w:rPr>
                <w:vertAlign w:val="superscript"/>
                <w:lang w:val="tr-TR"/>
              </w:rPr>
            </w:pPr>
            <w:r w:rsidRPr="00A23740">
              <w:rPr>
                <w:lang w:val="tr-TR"/>
              </w:rPr>
              <w:t>Kanun yolları:</w:t>
            </w:r>
          </w:p>
          <w:p w:rsidR="00AA5C8C" w:rsidRPr="00A23740" w:rsidRDefault="00AA5C8C" w:rsidP="009431FF">
            <w:pPr>
              <w:pStyle w:val="KIRMIZI"/>
              <w:widowControl w:val="0"/>
            </w:pPr>
            <w:r w:rsidRPr="00A23740">
              <w:rPr>
                <w:lang w:val="tr-TR"/>
              </w:rPr>
              <w:t xml:space="preserve">Madde </w:t>
            </w:r>
            <w:r w:rsidRPr="00A23740">
              <w:rPr>
                <w:rStyle w:val="KIRMIZIChar"/>
                <w:b/>
                <w:strike/>
                <w:lang w:val="tr-TR"/>
              </w:rPr>
              <w:t>293- (1) …</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szCs w:val="24"/>
              </w:rPr>
              <w:t>(2) Kesin mühlet talebinin</w:t>
            </w:r>
            <w:r w:rsidRPr="00A23740">
              <w:rPr>
                <w:rFonts w:eastAsia="Times New Roman"/>
                <w:b/>
                <w:bCs/>
                <w:color w:val="FF0000"/>
                <w:szCs w:val="24"/>
                <w:lang w:eastAsia="tr-TR"/>
              </w:rPr>
              <w:t xml:space="preserve"> </w:t>
            </w:r>
            <w:r w:rsidRPr="00A23740">
              <w:rPr>
                <w:rFonts w:eastAsia="Times New Roman"/>
                <w:b/>
                <w:bCs/>
                <w:strike/>
                <w:color w:val="FF0000"/>
                <w:szCs w:val="24"/>
                <w:lang w:eastAsia="tr-TR"/>
              </w:rPr>
              <w:t>değerlendirilmesi sonucunda,</w:t>
            </w:r>
            <w:r w:rsidRPr="00A23740">
              <w:rPr>
                <w:szCs w:val="24"/>
              </w:rPr>
              <w:t xml:space="preserve"> hakkında iflâs kararı verilmeyen borçlu</w:t>
            </w:r>
            <w:r w:rsidRPr="00A23740">
              <w:rPr>
                <w:rFonts w:eastAsia="Times New Roman"/>
                <w:b/>
                <w:bCs/>
                <w:strike/>
                <w:color w:val="FF0000"/>
                <w:szCs w:val="24"/>
                <w:lang w:eastAsia="tr-TR"/>
              </w:rPr>
              <w:t>nun</w:t>
            </w:r>
            <w:r w:rsidRPr="00A23740">
              <w:rPr>
                <w:szCs w:val="24"/>
              </w:rPr>
              <w:t xml:space="preserve"> konkordato talebinin reddine karar verilirse, borçlu ve</w:t>
            </w:r>
            <w:r w:rsidRPr="00A23740">
              <w:rPr>
                <w:b/>
                <w:strike/>
                <w:color w:val="FF0000"/>
                <w:szCs w:val="24"/>
              </w:rPr>
              <w:t>ya</w:t>
            </w:r>
            <w:r w:rsidRPr="00A23740">
              <w:rPr>
                <w:b/>
                <w:color w:val="FF0000"/>
                <w:szCs w:val="24"/>
              </w:rPr>
              <w:t xml:space="preserve"> </w:t>
            </w:r>
            <w:r w:rsidRPr="00A23740">
              <w:rPr>
                <w:szCs w:val="24"/>
              </w:rPr>
              <w:t>varsa konkordato talep eden alacaklı bu kararın tebliğ</w:t>
            </w:r>
            <w:r w:rsidRPr="00A23740">
              <w:rPr>
                <w:rStyle w:val="KIRMIZIChar"/>
                <w:rFonts w:eastAsia="Calibri"/>
              </w:rPr>
              <w:t>inden</w:t>
            </w:r>
            <w:r w:rsidRPr="00A23740">
              <w:rPr>
                <w:szCs w:val="24"/>
              </w:rPr>
              <w:t xml:space="preserve"> itibaren </w:t>
            </w:r>
            <w:r w:rsidR="004A5DD5" w:rsidRPr="00A23740">
              <w:rPr>
                <w:szCs w:val="24"/>
              </w:rPr>
              <w:t>iki</w:t>
            </w:r>
            <w:r w:rsidR="004A5DD5" w:rsidRPr="00A23740">
              <w:rPr>
                <w:b/>
                <w:bCs/>
              </w:rPr>
              <w:t xml:space="preserve"> </w:t>
            </w:r>
            <w:r w:rsidR="004A5DD5" w:rsidRPr="00A23740">
              <w:rPr>
                <w:szCs w:val="24"/>
              </w:rPr>
              <w:t>hafta</w:t>
            </w:r>
            <w:r w:rsidRPr="00A23740">
              <w:rPr>
                <w:szCs w:val="24"/>
              </w:rPr>
              <w:t xml:space="preserve"> içinde istinaf yoluna başvurabilir. Bölge adliye mahkemesinin kararı kesindir. </w:t>
            </w:r>
            <w:r w:rsidRPr="00A23740">
              <w:rPr>
                <w:rStyle w:val="KIRMIZIChar"/>
                <w:rFonts w:eastAsia="Calibri"/>
              </w:rPr>
              <w:t>Bölge adliye mahkemesi tarafından ilk derece mahkemesi kararı kaldırılarak mühlet kararı verildiği hâllerde dosya, komiserin görevlendirilmesi de dahil olmak üzere müteakip işlemlerin yürütülmesi için ilk derece mahkemesine gönderilir.</w:t>
            </w:r>
          </w:p>
          <w:p w:rsidR="00AA5C8C" w:rsidRPr="00A23740" w:rsidRDefault="00AA5C8C" w:rsidP="009431FF">
            <w:pPr>
              <w:widowControl w:val="0"/>
              <w:rPr>
                <w:szCs w:val="24"/>
              </w:rPr>
            </w:pPr>
          </w:p>
          <w:p w:rsidR="00AA5C8C" w:rsidRPr="00A23740" w:rsidRDefault="00277039" w:rsidP="009431FF">
            <w:pPr>
              <w:widowControl w:val="0"/>
              <w:rPr>
                <w:szCs w:val="24"/>
              </w:rPr>
            </w:pPr>
            <w:r>
              <w:rPr>
                <w:rStyle w:val="KIRMIZIChar"/>
                <w:rFonts w:eastAsia="Calibri"/>
                <w:strike w:val="0"/>
              </w:rPr>
              <w:t>M.293/F2.C</w:t>
            </w:r>
            <w:r w:rsidR="00AA5C8C" w:rsidRPr="00A23740">
              <w:rPr>
                <w:rStyle w:val="KIRMIZIChar"/>
                <w:rFonts w:eastAsia="Calibri"/>
                <w:strike w:val="0"/>
              </w:rPr>
              <w:t>3:</w:t>
            </w:r>
            <w:r w:rsidR="00AA5C8C" w:rsidRPr="00A23740">
              <w:rPr>
                <w:bCs/>
              </w:rPr>
              <w:t xml:space="preserve"> Bölge adliye mahkemesi tarafından ilk derece mahkemesi kararı kaldırılarak mühlet kararı verildiği hâllerde dosya, komiserin görevlendirilmesi de dahil olmak üzere müteakip işlemlerin yürütülmesi için ilk derece mahkemesine gönderilir.</w:t>
            </w: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p>
          <w:p w:rsidR="00AA5C8C" w:rsidRPr="00A23740" w:rsidRDefault="00AA5C8C" w:rsidP="009431FF">
            <w:pPr>
              <w:widowControl w:val="0"/>
              <w:rPr>
                <w:szCs w:val="24"/>
              </w:rPr>
            </w:pPr>
            <w:r w:rsidRPr="00A23740">
              <w:rPr>
                <w:rStyle w:val="KIRMIZIChar"/>
                <w:rFonts w:eastAsia="Calibri"/>
                <w:strike w:val="0"/>
              </w:rPr>
              <w:t>(3)</w:t>
            </w:r>
            <w:r w:rsidRPr="00A23740">
              <w:rPr>
                <w:szCs w:val="24"/>
              </w:rPr>
              <w:t xml:space="preserve"> Mahkemenin veya bölge adliye mahkemesinin </w:t>
            </w:r>
            <w:r w:rsidRPr="00A23740">
              <w:rPr>
                <w:rStyle w:val="KIRMIZIChar"/>
                <w:rFonts w:eastAsia="Calibri"/>
              </w:rPr>
              <w:t>konkordato talebinin reddiyle</w:t>
            </w:r>
            <w:r w:rsidRPr="00A23740">
              <w:rPr>
                <w:szCs w:val="24"/>
              </w:rPr>
              <w:t xml:space="preserve"> birlikte borçlunun iflâsına da karar verdiği hâllerde </w:t>
            </w:r>
            <w:r w:rsidRPr="00A23740">
              <w:rPr>
                <w:rStyle w:val="KIRMIZIChar"/>
                <w:rFonts w:eastAsia="Calibri"/>
              </w:rPr>
              <w:t>164 üncü</w:t>
            </w:r>
            <w:r w:rsidRPr="00A23740">
              <w:rPr>
                <w:szCs w:val="24"/>
              </w:rPr>
              <w:t xml:space="preserve"> madde hükmü uygulanır.</w:t>
            </w:r>
          </w:p>
          <w:p w:rsidR="00AA5C8C" w:rsidRPr="00A23740" w:rsidRDefault="00AA5C8C" w:rsidP="009431FF">
            <w:pPr>
              <w:widowControl w:val="0"/>
              <w:rPr>
                <w:rFonts w:eastAsia="Times New Roman"/>
                <w:i/>
                <w:szCs w:val="24"/>
                <w:lang w:eastAsia="tr-TR"/>
              </w:rPr>
            </w:pPr>
          </w:p>
          <w:p w:rsidR="00AA5C8C" w:rsidRPr="00A23740" w:rsidRDefault="00AA5C8C" w:rsidP="009431FF">
            <w:pPr>
              <w:widowControl w:val="0"/>
              <w:rPr>
                <w:rFonts w:eastAsia="Times New Roman"/>
                <w:i/>
                <w:szCs w:val="24"/>
                <w:lang w:eastAsia="tr-TR"/>
              </w:rPr>
            </w:pPr>
          </w:p>
          <w:p w:rsidR="00AA5C8C" w:rsidRPr="00A23740" w:rsidRDefault="00AA5C8C" w:rsidP="009431FF">
            <w:pPr>
              <w:widowControl w:val="0"/>
              <w:rPr>
                <w:rStyle w:val="KIRMIZIChar"/>
                <w:rFonts w:eastAsia="Calibri"/>
                <w:bCs w:val="0"/>
              </w:rPr>
            </w:pPr>
            <w:r w:rsidRPr="00A23740">
              <w:rPr>
                <w:rStyle w:val="KIRMIZIChar"/>
                <w:rFonts w:eastAsia="Calibri"/>
                <w:bCs w:val="0"/>
              </w:rPr>
              <w:t>Kanun yolları:</w:t>
            </w:r>
          </w:p>
          <w:p w:rsidR="00AA5C8C" w:rsidRPr="00A23740" w:rsidRDefault="00AA5C8C" w:rsidP="009431FF">
            <w:pPr>
              <w:widowControl w:val="0"/>
              <w:rPr>
                <w:szCs w:val="24"/>
              </w:rPr>
            </w:pPr>
            <w:r w:rsidRPr="00A23740">
              <w:rPr>
                <w:rStyle w:val="KIRMIZIChar"/>
                <w:rFonts w:eastAsia="Calibri"/>
                <w:bCs w:val="0"/>
              </w:rPr>
              <w:t>Madde 308/a-</w:t>
            </w:r>
            <w:r w:rsidRPr="00A23740">
              <w:rPr>
                <w:b/>
                <w:bCs/>
                <w:szCs w:val="24"/>
              </w:rPr>
              <w:t xml:space="preserve"> </w:t>
            </w:r>
            <w:r w:rsidRPr="00A23740">
              <w:rPr>
                <w:rStyle w:val="KIRMIZIChar"/>
                <w:rFonts w:eastAsia="Calibri"/>
              </w:rPr>
              <w:t>(1)</w:t>
            </w:r>
            <w:r w:rsidRPr="00A23740">
              <w:rPr>
                <w:b/>
                <w:bCs/>
                <w:szCs w:val="24"/>
              </w:rPr>
              <w:t xml:space="preserve"> (Ek: 28/2/2018-7101/37 md.) </w:t>
            </w:r>
            <w:r w:rsidRPr="00A23740">
              <w:rPr>
                <w:szCs w:val="24"/>
              </w:rPr>
              <w:t>Konkordato hakkında verilen karara karşı borçlu veya konkordato talep eden alacaklı, kararın tebliğ</w:t>
            </w:r>
            <w:r w:rsidRPr="00A23740">
              <w:rPr>
                <w:rStyle w:val="KIRMIZIChar"/>
                <w:rFonts w:eastAsia="Calibri"/>
              </w:rPr>
              <w:t>inden;</w:t>
            </w:r>
            <w:r w:rsidRPr="00A23740">
              <w:rPr>
                <w:szCs w:val="24"/>
              </w:rPr>
              <w:t xml:space="preserve"> itiraz eden diğer alacaklılar ise tasdik kararının ilânından itibaren </w:t>
            </w:r>
            <w:r w:rsidR="004A5DD5" w:rsidRPr="00A23740">
              <w:rPr>
                <w:szCs w:val="24"/>
              </w:rPr>
              <w:t>iki hafta</w:t>
            </w:r>
            <w:r w:rsidRPr="00A23740">
              <w:rPr>
                <w:szCs w:val="24"/>
              </w:rPr>
              <w:t xml:space="preserve"> içinde istinaf yoluna başvurabilir. </w:t>
            </w:r>
            <w:r w:rsidRPr="00A23740">
              <w:rPr>
                <w:rStyle w:val="KIRMIZIChar"/>
                <w:rFonts w:eastAsia="Calibri"/>
              </w:rPr>
              <w:t xml:space="preserve">Bölge adliye mahkemesi kararına karşı </w:t>
            </w:r>
            <w:r w:rsidR="004A5DD5" w:rsidRPr="00A23740">
              <w:rPr>
                <w:rStyle w:val="KIRMIZIChar"/>
                <w:rFonts w:eastAsia="Calibri"/>
              </w:rPr>
              <w:t>iki hafta</w:t>
            </w:r>
            <w:r w:rsidRPr="00A23740">
              <w:rPr>
                <w:rStyle w:val="KIRMIZIChar"/>
                <w:rFonts w:eastAsia="Calibri"/>
              </w:rPr>
              <w:t xml:space="preserve"> içinde temyiz yoluna başvurulabilir.</w:t>
            </w:r>
            <w:r w:rsidRPr="00A23740">
              <w:rPr>
                <w:szCs w:val="24"/>
              </w:rPr>
              <w:t xml:space="preserve"> </w:t>
            </w:r>
            <w:r w:rsidRPr="00A23740">
              <w:rPr>
                <w:rStyle w:val="KIRMIZIChar"/>
                <w:rFonts w:eastAsia="Calibri"/>
              </w:rPr>
              <w:t>İstinaf ve temyiz incelemeleri, Hukuk Muhakemeleri Kanunu hükümlerine göre yapılır.</w:t>
            </w:r>
            <w:r w:rsidRPr="00A23740">
              <w:rPr>
                <w:szCs w:val="24"/>
              </w:rPr>
              <w:t xml:space="preserve"> </w:t>
            </w:r>
          </w:p>
          <w:p w:rsidR="00AA5C8C" w:rsidRPr="00A23740" w:rsidRDefault="00AA5C8C" w:rsidP="009431FF">
            <w:pPr>
              <w:widowControl w:val="0"/>
              <w:rPr>
                <w:b/>
                <w:bCs/>
                <w:szCs w:val="24"/>
              </w:rPr>
            </w:pPr>
          </w:p>
          <w:p w:rsidR="00AA5C8C" w:rsidRPr="00A23740" w:rsidRDefault="00AA5C8C" w:rsidP="009431FF">
            <w:pPr>
              <w:widowControl w:val="0"/>
              <w:rPr>
                <w:b/>
                <w:bCs/>
                <w:szCs w:val="24"/>
              </w:rPr>
            </w:pPr>
          </w:p>
          <w:p w:rsidR="00AA5C8C" w:rsidRPr="00A23740" w:rsidRDefault="00AA5C8C" w:rsidP="009431FF">
            <w:pPr>
              <w:widowControl w:val="0"/>
              <w:rPr>
                <w:b/>
                <w:bCs/>
                <w:szCs w:val="24"/>
              </w:rPr>
            </w:pPr>
          </w:p>
          <w:p w:rsidR="00AA5C8C" w:rsidRPr="00A23740" w:rsidRDefault="00AA5C8C" w:rsidP="009431FF">
            <w:pPr>
              <w:widowControl w:val="0"/>
              <w:rPr>
                <w:b/>
                <w:bCs/>
                <w:szCs w:val="24"/>
              </w:rPr>
            </w:pPr>
          </w:p>
          <w:p w:rsidR="00AA5C8C" w:rsidRPr="00A23740" w:rsidRDefault="00AA5C8C" w:rsidP="009431FF">
            <w:pPr>
              <w:widowControl w:val="0"/>
              <w:rPr>
                <w:b/>
                <w:bCs/>
                <w:szCs w:val="24"/>
              </w:rPr>
            </w:pPr>
          </w:p>
          <w:p w:rsidR="00384063" w:rsidRPr="00A23740" w:rsidRDefault="00384063" w:rsidP="009431FF">
            <w:pPr>
              <w:pStyle w:val="KIRMIZI"/>
              <w:widowControl w:val="0"/>
            </w:pPr>
          </w:p>
          <w:p w:rsidR="00384063" w:rsidRPr="00A23740" w:rsidRDefault="00384063" w:rsidP="009431FF">
            <w:pPr>
              <w:pStyle w:val="KIRMIZI"/>
              <w:widowControl w:val="0"/>
            </w:pPr>
          </w:p>
          <w:p w:rsidR="00AA5C8C" w:rsidRPr="00A23740" w:rsidRDefault="00AA5C8C" w:rsidP="009431FF">
            <w:pPr>
              <w:pStyle w:val="KIRMIZI"/>
              <w:widowControl w:val="0"/>
            </w:pPr>
            <w:r w:rsidRPr="00A23740">
              <w:t>Konkordatonun kısmen feshi:</w:t>
            </w:r>
          </w:p>
          <w:p w:rsidR="00AA5C8C" w:rsidRPr="00A23740" w:rsidRDefault="00AA5C8C" w:rsidP="009431FF">
            <w:pPr>
              <w:pStyle w:val="KIRMIZI"/>
              <w:widowControl w:val="0"/>
            </w:pPr>
            <w:r w:rsidRPr="00A23740">
              <w:t xml:space="preserve">Madde 308/e- (1) … </w:t>
            </w:r>
          </w:p>
          <w:p w:rsidR="00AA5C8C" w:rsidRPr="00A23740" w:rsidRDefault="00AA5C8C" w:rsidP="009431FF">
            <w:pPr>
              <w:widowControl w:val="0"/>
              <w:rPr>
                <w:szCs w:val="24"/>
              </w:rPr>
            </w:pPr>
            <w:r w:rsidRPr="00A23740">
              <w:rPr>
                <w:rStyle w:val="KIRMIZIChar"/>
                <w:rFonts w:eastAsia="Calibri"/>
              </w:rPr>
              <w:t>(2)</w:t>
            </w:r>
            <w:r w:rsidRPr="00A23740">
              <w:rPr>
                <w:b/>
                <w:szCs w:val="24"/>
              </w:rPr>
              <w:t xml:space="preserve"> </w:t>
            </w:r>
            <w:r w:rsidRPr="00A23740">
              <w:rPr>
                <w:rStyle w:val="KIRMIZIChar"/>
                <w:rFonts w:eastAsia="Calibri"/>
              </w:rPr>
              <w:t>Fesih</w:t>
            </w:r>
            <w:r w:rsidRPr="00A23740">
              <w:rPr>
                <w:szCs w:val="24"/>
              </w:rPr>
              <w:t xml:space="preserve"> talebi üzerine verilecek hükmün tebliğ</w:t>
            </w:r>
            <w:r w:rsidRPr="00A23740">
              <w:rPr>
                <w:rStyle w:val="KIRMIZIChar"/>
                <w:rFonts w:eastAsia="Calibri"/>
              </w:rPr>
              <w:t>inden</w:t>
            </w:r>
            <w:r w:rsidRPr="00A23740">
              <w:rPr>
                <w:szCs w:val="24"/>
              </w:rPr>
              <w:t xml:space="preserve"> itibaren </w:t>
            </w:r>
            <w:r w:rsidR="00616853" w:rsidRPr="00A23740">
              <w:rPr>
                <w:szCs w:val="24"/>
              </w:rPr>
              <w:t>iki hafta</w:t>
            </w:r>
            <w:r w:rsidRPr="00A23740">
              <w:rPr>
                <w:szCs w:val="24"/>
              </w:rPr>
              <w:t xml:space="preserve"> içinde istinaf yoluna başvurulabilir.</w:t>
            </w:r>
            <w:r w:rsidRPr="00A23740">
              <w:rPr>
                <w:b/>
                <w:szCs w:val="24"/>
              </w:rPr>
              <w:t xml:space="preserve"> </w:t>
            </w:r>
            <w:r w:rsidRPr="00A23740">
              <w:rPr>
                <w:rStyle w:val="KIRMIZIChar"/>
                <w:rFonts w:eastAsia="Calibri"/>
              </w:rPr>
              <w:t>Bölge adliye mahkemesi kararına karşı tebliğ tarihinden itibaren</w:t>
            </w:r>
            <w:r w:rsidRPr="00A23740">
              <w:rPr>
                <w:rStyle w:val="KIRMIZIChar"/>
                <w:rFonts w:eastAsia="Calibri"/>
                <w:strike w:val="0"/>
              </w:rPr>
              <w:t xml:space="preserve"> </w:t>
            </w:r>
            <w:r w:rsidR="00616853" w:rsidRPr="00A23740">
              <w:rPr>
                <w:szCs w:val="24"/>
              </w:rPr>
              <w:t>iki hafta</w:t>
            </w:r>
            <w:r w:rsidRPr="00A23740">
              <w:rPr>
                <w:rStyle w:val="KIRMIZIChar"/>
                <w:rFonts w:eastAsia="Calibri"/>
              </w:rPr>
              <w:t xml:space="preserve"> içinde temyiz yoluna başvurulabilir.</w:t>
            </w:r>
          </w:p>
          <w:p w:rsidR="00AA5C8C" w:rsidRPr="00A23740" w:rsidRDefault="00AA5C8C" w:rsidP="009431FF">
            <w:pPr>
              <w:widowControl w:val="0"/>
              <w:rPr>
                <w:rFonts w:eastAsia="Times New Roman"/>
                <w:i/>
                <w:szCs w:val="24"/>
                <w:lang w:eastAsia="tr-TR"/>
              </w:rPr>
            </w:pPr>
          </w:p>
        </w:tc>
        <w:tc>
          <w:tcPr>
            <w:tcW w:w="2500" w:type="pct"/>
            <w:shd w:val="clear" w:color="auto" w:fill="FFFFFF"/>
          </w:tcPr>
          <w:p w:rsidR="00AA5C8C" w:rsidRPr="00A23740" w:rsidRDefault="00AA5C8C" w:rsidP="009431FF">
            <w:pPr>
              <w:pStyle w:val="Mavi"/>
              <w:widowControl w:val="0"/>
            </w:pPr>
            <w:r w:rsidRPr="00A23740">
              <w:t xml:space="preserve">İstinaf edilebilen kararlar </w:t>
            </w:r>
          </w:p>
          <w:p w:rsidR="00AA5C8C" w:rsidRPr="00A23740" w:rsidRDefault="00164036" w:rsidP="009431FF">
            <w:pPr>
              <w:widowControl w:val="0"/>
              <w:tabs>
                <w:tab w:val="left" w:pos="567"/>
              </w:tabs>
              <w:rPr>
                <w:rFonts w:eastAsia="Times New Roman"/>
                <w:b/>
                <w:bCs/>
                <w:color w:val="0000FF"/>
                <w:szCs w:val="24"/>
                <w:lang w:eastAsia="tr-TR"/>
              </w:rPr>
            </w:pPr>
            <w:r w:rsidRPr="00A23740">
              <w:rPr>
                <w:b/>
                <w:bCs/>
                <w:color w:val="0000FF"/>
                <w:szCs w:val="24"/>
                <w:lang w:eastAsia="x-none"/>
              </w:rPr>
              <w:t>MADDE 411</w:t>
            </w:r>
            <w:r w:rsidR="004318F8" w:rsidRPr="00A23740">
              <w:rPr>
                <w:b/>
                <w:bCs/>
                <w:color w:val="0000FF"/>
                <w:szCs w:val="24"/>
                <w:lang w:eastAsia="x-none"/>
              </w:rPr>
              <w:t>-</w:t>
            </w:r>
            <w:r w:rsidR="00AA5C8C" w:rsidRPr="00A23740">
              <w:rPr>
                <w:b/>
                <w:bCs/>
                <w:color w:val="0000FF"/>
                <w:szCs w:val="24"/>
                <w:lang w:eastAsia="x-none"/>
              </w:rPr>
              <w:t xml:space="preserve"> </w:t>
            </w:r>
            <w:r w:rsidR="00AA5C8C" w:rsidRPr="00A23740">
              <w:rPr>
                <w:rFonts w:eastAsia="Times New Roman"/>
                <w:b/>
                <w:bCs/>
                <w:color w:val="0000FF"/>
                <w:szCs w:val="24"/>
                <w:lang w:eastAsia="tr-TR"/>
              </w:rPr>
              <w:t xml:space="preserve">(1) Geçici mühlet talebinin reddine ve geçici mühletin kaldırılması talebinin kabulüne ilişkin kararlara karşı, </w:t>
            </w:r>
            <w:r w:rsidR="00AA5C8C" w:rsidRPr="00A23740">
              <w:rPr>
                <w:b/>
                <w:bCs/>
                <w:color w:val="0000FF"/>
                <w:szCs w:val="24"/>
                <w:lang w:eastAsia="x-none"/>
              </w:rPr>
              <w:t>bu kararlarla birlikte hakkında ifl</w:t>
            </w:r>
            <w:r w:rsidR="00B63791" w:rsidRPr="00A23740">
              <w:rPr>
                <w:b/>
                <w:bCs/>
                <w:color w:val="0000FF"/>
                <w:szCs w:val="24"/>
                <w:lang w:eastAsia="x-none"/>
              </w:rPr>
              <w:t>a</w:t>
            </w:r>
            <w:r w:rsidR="00AA5C8C" w:rsidRPr="00A23740">
              <w:rPr>
                <w:b/>
                <w:bCs/>
                <w:color w:val="0000FF"/>
                <w:szCs w:val="24"/>
                <w:lang w:eastAsia="x-none"/>
              </w:rPr>
              <w:t>s kararı verilmeyen borçlu ve varsa konkordato talep eden alacaklı</w:t>
            </w:r>
            <w:r w:rsidR="00221C60" w:rsidRPr="006C4AA3">
              <w:rPr>
                <w:rStyle w:val="Balk1Char"/>
                <w:rFonts w:eastAsia="ヒラギノ明朝 Pro W3"/>
              </w:rPr>
              <w:t>,</w:t>
            </w:r>
            <w:r w:rsidR="00AA5C8C" w:rsidRPr="00A23740">
              <w:rPr>
                <w:rFonts w:eastAsia="Times New Roman"/>
                <w:b/>
                <w:bCs/>
                <w:color w:val="0000FF"/>
                <w:szCs w:val="24"/>
                <w:lang w:eastAsia="tr-TR"/>
              </w:rPr>
              <w:t xml:space="preserve"> </w:t>
            </w:r>
            <w:r w:rsidR="00AA5C8C" w:rsidRPr="00A23740">
              <w:rPr>
                <w:b/>
                <w:bCs/>
                <w:color w:val="0000FF"/>
                <w:szCs w:val="24"/>
                <w:lang w:eastAsia="x-none"/>
              </w:rPr>
              <w:t>bu kararların tebliğ</w:t>
            </w:r>
            <w:r w:rsidR="00AA5C8C" w:rsidRPr="006C4AA3">
              <w:rPr>
                <w:rStyle w:val="Balk1Char"/>
                <w:rFonts w:eastAsia="ヒラギノ明朝 Pro W3"/>
              </w:rPr>
              <w:t>i</w:t>
            </w:r>
            <w:r w:rsidR="00AA5C8C" w:rsidRPr="00A23740">
              <w:rPr>
                <w:b/>
                <w:bCs/>
                <w:color w:val="0000FF"/>
                <w:szCs w:val="24"/>
                <w:lang w:eastAsia="x-none"/>
              </w:rPr>
              <w:t xml:space="preserve"> tarihinden itibaren iki hafta içinde </w:t>
            </w:r>
            <w:r w:rsidR="00AA5C8C" w:rsidRPr="00A23740">
              <w:rPr>
                <w:rFonts w:eastAsia="Times New Roman"/>
                <w:b/>
                <w:bCs/>
                <w:color w:val="0000FF"/>
                <w:szCs w:val="24"/>
                <w:lang w:eastAsia="tr-TR"/>
              </w:rPr>
              <w:t>istinaf yoluna başvurabilir. Bölge adliye mahkemesinin kararı kesindir.</w:t>
            </w:r>
          </w:p>
          <w:p w:rsidR="00AA5C8C" w:rsidRPr="00A23740" w:rsidRDefault="00AA5C8C" w:rsidP="009431FF">
            <w:pPr>
              <w:widowControl w:val="0"/>
              <w:tabs>
                <w:tab w:val="left" w:pos="566"/>
              </w:tabs>
              <w:rPr>
                <w:rFonts w:eastAsia="ヒラギノ明朝 Pro W3"/>
                <w:b/>
                <w:color w:val="339933"/>
                <w:szCs w:val="24"/>
                <w:lang w:eastAsia="tr-TR"/>
              </w:rPr>
            </w:pPr>
          </w:p>
          <w:p w:rsidR="00AA5C8C" w:rsidRPr="00A23740" w:rsidRDefault="00AA5C8C" w:rsidP="009431FF">
            <w:pPr>
              <w:widowControl w:val="0"/>
              <w:tabs>
                <w:tab w:val="left" w:pos="567"/>
              </w:tabs>
              <w:rPr>
                <w:b/>
                <w:bCs/>
                <w:color w:val="FF0000"/>
                <w:szCs w:val="24"/>
                <w:lang w:eastAsia="x-none"/>
              </w:rPr>
            </w:pPr>
            <w:r w:rsidRPr="00A23740">
              <w:rPr>
                <w:b/>
                <w:bCs/>
                <w:color w:val="0000FF"/>
                <w:szCs w:val="24"/>
                <w:lang w:eastAsia="x-none"/>
              </w:rPr>
              <w:t xml:space="preserve">(2) </w:t>
            </w:r>
            <w:r w:rsidRPr="00A23740">
              <w:rPr>
                <w:szCs w:val="24"/>
              </w:rPr>
              <w:t>Kesin mühlet talebinin</w:t>
            </w:r>
            <w:r w:rsidRPr="00A23740">
              <w:rPr>
                <w:b/>
                <w:color w:val="0000FF"/>
                <w:szCs w:val="24"/>
                <w:lang w:eastAsia="x-none"/>
              </w:rPr>
              <w:t xml:space="preserve"> </w:t>
            </w:r>
            <w:r w:rsidRPr="00A23740">
              <w:rPr>
                <w:b/>
                <w:bCs/>
                <w:color w:val="0000FF"/>
                <w:szCs w:val="24"/>
                <w:lang w:eastAsia="x-none"/>
              </w:rPr>
              <w:t>reddine</w:t>
            </w:r>
            <w:r w:rsidRPr="00A23740">
              <w:rPr>
                <w:b/>
                <w:color w:val="0000FF"/>
                <w:szCs w:val="24"/>
                <w:lang w:eastAsia="x-none"/>
              </w:rPr>
              <w:t xml:space="preserve"> ve kesin mühletin kaldırılması talebinin kabulüne </w:t>
            </w:r>
            <w:r w:rsidRPr="00A23740">
              <w:rPr>
                <w:b/>
                <w:bCs/>
                <w:color w:val="0000FF"/>
                <w:szCs w:val="24"/>
                <w:lang w:eastAsia="x-none"/>
              </w:rPr>
              <w:t xml:space="preserve">ilişkin kararlara karşı, bu kararlarla birlikte </w:t>
            </w:r>
            <w:r w:rsidRPr="00A23740">
              <w:rPr>
                <w:szCs w:val="24"/>
              </w:rPr>
              <w:t>hakkında ifl</w:t>
            </w:r>
            <w:r w:rsidR="00221C60" w:rsidRPr="00A23740">
              <w:rPr>
                <w:szCs w:val="24"/>
              </w:rPr>
              <w:t>a</w:t>
            </w:r>
            <w:r w:rsidRPr="00A23740">
              <w:rPr>
                <w:szCs w:val="24"/>
              </w:rPr>
              <w:t>s kararı verilmeyen borçlu</w:t>
            </w:r>
            <w:r w:rsidRPr="00A23740">
              <w:rPr>
                <w:b/>
                <w:bCs/>
                <w:color w:val="0000FF"/>
                <w:szCs w:val="24"/>
                <w:lang w:eastAsia="x-none"/>
              </w:rPr>
              <w:t xml:space="preserve"> </w:t>
            </w:r>
            <w:r w:rsidRPr="00A23740">
              <w:rPr>
                <w:szCs w:val="24"/>
              </w:rPr>
              <w:t>ve varsa konkordato talep eden alacaklı</w:t>
            </w:r>
            <w:r w:rsidR="00221C60" w:rsidRPr="00214CB5">
              <w:rPr>
                <w:rStyle w:val="Balk1Char"/>
                <w:rFonts w:eastAsia="ヒラギノ明朝 Pro W3"/>
              </w:rPr>
              <w:t>,</w:t>
            </w:r>
            <w:r w:rsidRPr="00A23740">
              <w:rPr>
                <w:szCs w:val="24"/>
              </w:rPr>
              <w:t xml:space="preserve"> bu kararların tebliğ</w:t>
            </w:r>
            <w:r w:rsidRPr="00A23740">
              <w:rPr>
                <w:rStyle w:val="MaviChar"/>
              </w:rPr>
              <w:t>i</w:t>
            </w:r>
            <w:r w:rsidRPr="00A23740">
              <w:rPr>
                <w:szCs w:val="24"/>
              </w:rPr>
              <w:t xml:space="preserve"> </w:t>
            </w:r>
            <w:r w:rsidRPr="00A23740">
              <w:rPr>
                <w:rStyle w:val="MaviChar"/>
              </w:rPr>
              <w:t xml:space="preserve">tarihinden </w:t>
            </w:r>
            <w:r w:rsidRPr="00A23740">
              <w:t>itibaren</w:t>
            </w:r>
            <w:r w:rsidRPr="00A23740">
              <w:rPr>
                <w:szCs w:val="24"/>
              </w:rPr>
              <w:t xml:space="preserve"> iki hafta içinde istinaf yoluna başvurabilir. Bölge adliye mahkemesinin kararı kesindir.</w:t>
            </w:r>
          </w:p>
          <w:p w:rsidR="00AA5C8C" w:rsidRPr="00A23740" w:rsidRDefault="00AA5C8C" w:rsidP="009431FF">
            <w:pPr>
              <w:widowControl w:val="0"/>
              <w:tabs>
                <w:tab w:val="left" w:pos="567"/>
              </w:tabs>
              <w:rPr>
                <w:b/>
                <w:bCs/>
                <w:color w:val="0000FF"/>
                <w:szCs w:val="24"/>
                <w:lang w:eastAsia="x-none"/>
              </w:rPr>
            </w:pPr>
          </w:p>
          <w:p w:rsidR="00AA5C8C" w:rsidRPr="00A23740" w:rsidRDefault="00AA5C8C" w:rsidP="009431FF">
            <w:pPr>
              <w:widowControl w:val="0"/>
              <w:tabs>
                <w:tab w:val="left" w:pos="567"/>
              </w:tabs>
              <w:rPr>
                <w:b/>
                <w:bCs/>
                <w:color w:val="0000FF"/>
                <w:szCs w:val="24"/>
                <w:lang w:eastAsia="x-none"/>
              </w:rPr>
            </w:pPr>
          </w:p>
          <w:p w:rsidR="00AA5C8C" w:rsidRPr="00A23740" w:rsidRDefault="00AA5C8C" w:rsidP="009431FF">
            <w:pPr>
              <w:widowControl w:val="0"/>
              <w:tabs>
                <w:tab w:val="left" w:pos="567"/>
              </w:tabs>
              <w:rPr>
                <w:b/>
                <w:bCs/>
                <w:color w:val="0000FF"/>
                <w:szCs w:val="24"/>
                <w:lang w:eastAsia="x-none"/>
              </w:rPr>
            </w:pPr>
          </w:p>
          <w:p w:rsidR="00AA5C8C" w:rsidRPr="00A23740" w:rsidRDefault="00AA5C8C" w:rsidP="009431FF">
            <w:pPr>
              <w:widowControl w:val="0"/>
              <w:tabs>
                <w:tab w:val="left" w:pos="567"/>
              </w:tabs>
              <w:rPr>
                <w:b/>
                <w:bCs/>
                <w:color w:val="0000FF"/>
                <w:szCs w:val="24"/>
                <w:lang w:eastAsia="x-none"/>
              </w:rPr>
            </w:pPr>
          </w:p>
          <w:p w:rsidR="00AA5C8C" w:rsidRPr="00A23740" w:rsidRDefault="00AA5C8C" w:rsidP="009431FF">
            <w:pPr>
              <w:widowControl w:val="0"/>
              <w:tabs>
                <w:tab w:val="left" w:pos="567"/>
              </w:tabs>
              <w:rPr>
                <w:b/>
                <w:bCs/>
                <w:color w:val="0000FF"/>
                <w:szCs w:val="24"/>
                <w:lang w:eastAsia="x-none"/>
              </w:rPr>
            </w:pPr>
          </w:p>
          <w:p w:rsidR="00AA5C8C" w:rsidRPr="00A23740" w:rsidRDefault="00AA5C8C" w:rsidP="009431FF">
            <w:pPr>
              <w:widowControl w:val="0"/>
              <w:tabs>
                <w:tab w:val="left" w:pos="567"/>
              </w:tabs>
              <w:rPr>
                <w:b/>
                <w:bCs/>
                <w:color w:val="0000FF"/>
                <w:szCs w:val="24"/>
                <w:lang w:eastAsia="x-none"/>
              </w:rPr>
            </w:pPr>
            <w:r w:rsidRPr="00A23740">
              <w:rPr>
                <w:b/>
                <w:bCs/>
                <w:color w:val="0000FF"/>
                <w:szCs w:val="24"/>
                <w:lang w:eastAsia="x-none"/>
              </w:rPr>
              <w:t xml:space="preserve">(3) </w:t>
            </w:r>
            <w:r w:rsidRPr="00A23740">
              <w:rPr>
                <w:bCs/>
              </w:rPr>
              <w:t>Bölge adliye mahkemesi tarafından ilk derece mahkemesi kararı kaldırılarak mühlet kararı verildiği h</w:t>
            </w:r>
            <w:r w:rsidR="00221C60" w:rsidRPr="00A23740">
              <w:rPr>
                <w:bCs/>
              </w:rPr>
              <w:t>â</w:t>
            </w:r>
            <w:r w:rsidRPr="00A23740">
              <w:rPr>
                <w:bCs/>
              </w:rPr>
              <w:t xml:space="preserve">llerde dosya, komiserin görevlendirilmesi de dahil olmak üzere </w:t>
            </w:r>
            <w:r w:rsidR="00B65310" w:rsidRPr="00C6389B">
              <w:rPr>
                <w:rStyle w:val="MaviChar"/>
              </w:rPr>
              <w:t>takip eden</w:t>
            </w:r>
            <w:r w:rsidR="00B65310" w:rsidRPr="00A23740">
              <w:rPr>
                <w:bCs/>
              </w:rPr>
              <w:t xml:space="preserve"> </w:t>
            </w:r>
            <w:r w:rsidRPr="00A23740">
              <w:rPr>
                <w:bCs/>
              </w:rPr>
              <w:t xml:space="preserve">işlemlerin yürütülmesi için </w:t>
            </w:r>
            <w:r w:rsidR="00DF22A1" w:rsidRPr="00A23740">
              <w:rPr>
                <w:szCs w:val="24"/>
              </w:rPr>
              <w:t xml:space="preserve">derhâl </w:t>
            </w:r>
            <w:r w:rsidRPr="00A23740">
              <w:rPr>
                <w:bCs/>
              </w:rPr>
              <w:t>ilk derece mahkemesine gönderilir.</w:t>
            </w:r>
            <w:r w:rsidRPr="00A23740">
              <w:rPr>
                <w:b/>
                <w:bCs/>
                <w:color w:val="0000FF"/>
                <w:szCs w:val="24"/>
                <w:lang w:eastAsia="x-none"/>
              </w:rPr>
              <w:t xml:space="preserve"> Bu durumda konkordato mühleti ve etkileri bölge adliye mahkemesinin konkordato mühleti kararı vermesiyle başlar. </w:t>
            </w:r>
          </w:p>
          <w:p w:rsidR="005A78F4" w:rsidRPr="00A23740" w:rsidRDefault="005A78F4" w:rsidP="009431FF">
            <w:pPr>
              <w:widowControl w:val="0"/>
              <w:tabs>
                <w:tab w:val="left" w:pos="567"/>
              </w:tabs>
              <w:rPr>
                <w:b/>
                <w:bCs/>
                <w:color w:val="0000FF"/>
                <w:szCs w:val="24"/>
                <w:lang w:eastAsia="x-none"/>
              </w:rPr>
            </w:pPr>
          </w:p>
          <w:p w:rsidR="00AA5C8C" w:rsidRPr="00A23740" w:rsidRDefault="00AA5C8C" w:rsidP="009431FF">
            <w:pPr>
              <w:widowControl w:val="0"/>
              <w:tabs>
                <w:tab w:val="left" w:pos="567"/>
              </w:tabs>
              <w:rPr>
                <w:b/>
                <w:bCs/>
                <w:color w:val="0000FF"/>
                <w:szCs w:val="24"/>
                <w:lang w:eastAsia="x-none"/>
              </w:rPr>
            </w:pPr>
            <w:r w:rsidRPr="00A23740">
              <w:rPr>
                <w:b/>
                <w:bCs/>
                <w:color w:val="0000FF"/>
                <w:szCs w:val="24"/>
                <w:lang w:eastAsia="x-none"/>
              </w:rPr>
              <w:t xml:space="preserve">(4) </w:t>
            </w:r>
            <w:r w:rsidRPr="00A23740">
              <w:rPr>
                <w:szCs w:val="24"/>
              </w:rPr>
              <w:t>Mahkemenin veya bölge adliye mahkemesinin</w:t>
            </w:r>
            <w:r w:rsidR="00221C60" w:rsidRPr="00C6389B">
              <w:rPr>
                <w:rStyle w:val="MaviChar"/>
              </w:rPr>
              <w:t>,</w:t>
            </w:r>
            <w:r w:rsidRPr="00C6389B">
              <w:rPr>
                <w:rStyle w:val="MaviChar"/>
              </w:rPr>
              <w:t xml:space="preserve"> </w:t>
            </w:r>
            <w:r w:rsidRPr="00A23740">
              <w:rPr>
                <w:b/>
                <w:bCs/>
                <w:color w:val="0000FF"/>
                <w:szCs w:val="24"/>
                <w:lang w:eastAsia="x-none"/>
              </w:rPr>
              <w:t xml:space="preserve">geçici konkordato mühleti veya kesin konkordato mühleti talebinin reddi ya da kaldırılmasıyla </w:t>
            </w:r>
            <w:r w:rsidRPr="00A23740">
              <w:rPr>
                <w:szCs w:val="24"/>
              </w:rPr>
              <w:t>birlikte borçlunun ifl</w:t>
            </w:r>
            <w:r w:rsidR="00221C60" w:rsidRPr="00A23740">
              <w:rPr>
                <w:szCs w:val="24"/>
              </w:rPr>
              <w:t>a</w:t>
            </w:r>
            <w:r w:rsidRPr="00A23740">
              <w:rPr>
                <w:szCs w:val="24"/>
              </w:rPr>
              <w:t>sına da karar verdiği h</w:t>
            </w:r>
            <w:r w:rsidR="00221C60" w:rsidRPr="00A23740">
              <w:rPr>
                <w:szCs w:val="24"/>
              </w:rPr>
              <w:t>â</w:t>
            </w:r>
            <w:r w:rsidRPr="00A23740">
              <w:rPr>
                <w:szCs w:val="24"/>
              </w:rPr>
              <w:t>llerde</w:t>
            </w:r>
            <w:r w:rsidRPr="00A23740">
              <w:rPr>
                <w:rStyle w:val="Balk1Char"/>
                <w:rFonts w:eastAsia="Calibri"/>
              </w:rPr>
              <w:t xml:space="preserve"> </w:t>
            </w:r>
            <w:r w:rsidRPr="00A23740">
              <w:rPr>
                <w:rStyle w:val="Balk1Char"/>
                <w:rFonts w:eastAsia="ヒラギノ明朝 Pro W3"/>
              </w:rPr>
              <w:t>iflas kararına karşı kanun yollarına başvuru hakındaki</w:t>
            </w:r>
            <w:r w:rsidR="00526EFB" w:rsidRPr="00A23740">
              <w:rPr>
                <w:rStyle w:val="Balk1Char"/>
                <w:rFonts w:eastAsia="ヒラギノ明朝 Pro W3"/>
              </w:rPr>
              <w:t xml:space="preserve"> </w:t>
            </w:r>
            <w:r w:rsidR="00526EFB" w:rsidRPr="00C6389B">
              <w:rPr>
                <w:rStyle w:val="MaviChar"/>
              </w:rPr>
              <w:t>284 üncü</w:t>
            </w:r>
            <w:r w:rsidRPr="00A23740">
              <w:rPr>
                <w:szCs w:val="24"/>
              </w:rPr>
              <w:t xml:space="preserve"> madde hükmü uygulanır.</w:t>
            </w:r>
          </w:p>
          <w:p w:rsidR="00AA5C8C" w:rsidRPr="00A23740" w:rsidRDefault="00AA5C8C" w:rsidP="009431FF">
            <w:pPr>
              <w:widowControl w:val="0"/>
              <w:tabs>
                <w:tab w:val="left" w:pos="567"/>
              </w:tabs>
              <w:rPr>
                <w:b/>
                <w:bCs/>
                <w:color w:val="0000FF"/>
                <w:szCs w:val="24"/>
                <w:lang w:eastAsia="x-none"/>
              </w:rPr>
            </w:pPr>
          </w:p>
          <w:p w:rsidR="00AA5C8C" w:rsidRPr="00C6389B" w:rsidRDefault="00AA5C8C" w:rsidP="009431FF">
            <w:pPr>
              <w:widowControl w:val="0"/>
              <w:tabs>
                <w:tab w:val="left" w:pos="567"/>
              </w:tabs>
              <w:rPr>
                <w:rStyle w:val="MaviChar"/>
              </w:rPr>
            </w:pPr>
            <w:r w:rsidRPr="00A23740">
              <w:rPr>
                <w:b/>
                <w:bCs/>
                <w:color w:val="0000FF"/>
                <w:szCs w:val="24"/>
                <w:lang w:eastAsia="x-none"/>
              </w:rPr>
              <w:t xml:space="preserve">(5) </w:t>
            </w:r>
            <w:r w:rsidRPr="00A23740">
              <w:rPr>
                <w:szCs w:val="24"/>
              </w:rPr>
              <w:t>Konkordato</w:t>
            </w:r>
            <w:r w:rsidRPr="00A23740">
              <w:rPr>
                <w:b/>
                <w:bCs/>
                <w:color w:val="0000FF"/>
                <w:szCs w:val="24"/>
                <w:lang w:eastAsia="x-none"/>
              </w:rPr>
              <w:t xml:space="preserve">nun </w:t>
            </w:r>
            <w:r w:rsidR="00221C60" w:rsidRPr="00C6389B">
              <w:rPr>
                <w:rStyle w:val="MaviChar"/>
              </w:rPr>
              <w:t>tasdikine veya reddine ilişkin</w:t>
            </w:r>
            <w:r w:rsidRPr="00A23740">
              <w:rPr>
                <w:b/>
                <w:bCs/>
                <w:color w:val="0000FF"/>
                <w:szCs w:val="24"/>
                <w:lang w:eastAsia="x-none"/>
              </w:rPr>
              <w:t xml:space="preserve"> </w:t>
            </w:r>
            <w:r w:rsidRPr="00A23740">
              <w:rPr>
                <w:szCs w:val="24"/>
              </w:rPr>
              <w:t>karara karşı borçlu veya konkordato talep eden alacaklı, kararın tebliğ</w:t>
            </w:r>
            <w:r w:rsidRPr="00A23740">
              <w:rPr>
                <w:rStyle w:val="Balk1Char"/>
                <w:rFonts w:eastAsia="ヒラギノ明朝 Pro W3"/>
              </w:rPr>
              <w:t>i</w:t>
            </w:r>
            <w:r w:rsidRPr="00A23740">
              <w:rPr>
                <w:szCs w:val="24"/>
              </w:rPr>
              <w:t xml:space="preserve"> </w:t>
            </w:r>
            <w:r w:rsidRPr="00A23740">
              <w:rPr>
                <w:rStyle w:val="MaviChar"/>
              </w:rPr>
              <w:t>tarihinden</w:t>
            </w:r>
            <w:r w:rsidRPr="00A23740">
              <w:rPr>
                <w:rStyle w:val="Balk1Char"/>
                <w:rFonts w:eastAsia="ヒラギノ明朝 Pro W3"/>
              </w:rPr>
              <w:t>;</w:t>
            </w:r>
            <w:r w:rsidRPr="00A23740">
              <w:rPr>
                <w:rStyle w:val="Balk1Char"/>
                <w:rFonts w:eastAsia="Calibri"/>
              </w:rPr>
              <w:t xml:space="preserve"> </w:t>
            </w:r>
            <w:r w:rsidRPr="00A23740">
              <w:rPr>
                <w:rStyle w:val="Balk1Char"/>
                <w:rFonts w:eastAsia="ヒラギノ明朝 Pro W3"/>
              </w:rPr>
              <w:t>konkordatonun mahkemede incelenmesine ilişkin</w:t>
            </w:r>
            <w:r w:rsidR="00526EFB" w:rsidRPr="00A23740">
              <w:rPr>
                <w:rStyle w:val="Balk1Char"/>
                <w:rFonts w:eastAsia="ヒラギノ明朝 Pro W3"/>
              </w:rPr>
              <w:t xml:space="preserve"> </w:t>
            </w:r>
            <w:r w:rsidR="00526EFB" w:rsidRPr="00C6389B">
              <w:rPr>
                <w:rStyle w:val="MaviChar"/>
              </w:rPr>
              <w:t>397 nci</w:t>
            </w:r>
            <w:r w:rsidRPr="00A23740">
              <w:rPr>
                <w:b/>
                <w:bCs/>
                <w:color w:val="0000FF"/>
                <w:szCs w:val="24"/>
                <w:lang w:eastAsia="x-none"/>
              </w:rPr>
              <w:t xml:space="preserve"> maddenin birinci fıkrasına göre </w:t>
            </w:r>
            <w:r w:rsidRPr="00A23740">
              <w:rPr>
                <w:szCs w:val="24"/>
              </w:rPr>
              <w:t xml:space="preserve">itiraz </w:t>
            </w:r>
            <w:r w:rsidRPr="00A23740">
              <w:rPr>
                <w:b/>
                <w:bCs/>
                <w:color w:val="0000FF"/>
                <w:szCs w:val="24"/>
                <w:lang w:eastAsia="x-none"/>
              </w:rPr>
              <w:t>ederek duruşmaya katılan</w:t>
            </w:r>
            <w:r w:rsidRPr="00A23740">
              <w:rPr>
                <w:szCs w:val="24"/>
              </w:rPr>
              <w:t xml:space="preserve"> diğer alacaklılar ise tasdik kararının il</w:t>
            </w:r>
            <w:r w:rsidR="00930910" w:rsidRPr="00A23740">
              <w:rPr>
                <w:szCs w:val="24"/>
              </w:rPr>
              <w:t>a</w:t>
            </w:r>
            <w:r w:rsidRPr="00A23740">
              <w:rPr>
                <w:szCs w:val="24"/>
              </w:rPr>
              <w:t>nından itibaren iki hafta içinde istinaf yoluna başvurabilir.</w:t>
            </w:r>
            <w:r w:rsidR="009E4BCD" w:rsidRPr="00A23740">
              <w:rPr>
                <w:rStyle w:val="YELChar"/>
              </w:rPr>
              <w:t xml:space="preserve"> </w:t>
            </w:r>
            <w:r w:rsidR="009E4BCD" w:rsidRPr="00C6389B">
              <w:rPr>
                <w:rStyle w:val="MaviChar"/>
              </w:rPr>
              <w:t>Konkordatonun tasdiki talebinin reddiyle birlikte borçlunun iflasına da karar verilmiş olması hâlinde dördüncü fıkra hükmü uygulanır.</w:t>
            </w:r>
          </w:p>
          <w:p w:rsidR="00AA5C8C" w:rsidRPr="00A23740" w:rsidRDefault="00AA5C8C" w:rsidP="009431FF">
            <w:pPr>
              <w:widowControl w:val="0"/>
              <w:tabs>
                <w:tab w:val="left" w:pos="567"/>
              </w:tabs>
              <w:rPr>
                <w:b/>
                <w:color w:val="FF0000"/>
                <w:szCs w:val="24"/>
              </w:rPr>
            </w:pPr>
          </w:p>
          <w:p w:rsidR="00AA5C8C" w:rsidRPr="00A23740" w:rsidRDefault="00AA5C8C" w:rsidP="009431FF">
            <w:pPr>
              <w:pStyle w:val="Mavi"/>
              <w:widowControl w:val="0"/>
            </w:pPr>
            <w:r w:rsidRPr="00A23740">
              <w:t>(6) Konkordato talebi üzerine veya konkordato mühleti içinde ihtiyati tedbir taleplerinin mahkemece kabulü veya reddi kararlarına karşı kararın tebl</w:t>
            </w:r>
            <w:r w:rsidRPr="00C6389B">
              <w:t xml:space="preserve">iği </w:t>
            </w:r>
            <w:r w:rsidRPr="00A23740">
              <w:rPr>
                <w:lang w:val="tr-TR"/>
              </w:rPr>
              <w:t>tarih</w:t>
            </w:r>
            <w:r w:rsidRPr="00A23740">
              <w:t xml:space="preserve">inden itibaren iki hafta içinde istinaf yoluna başvurulabilir. Bölge </w:t>
            </w:r>
            <w:r w:rsidR="004318F8" w:rsidRPr="00A23740">
              <w:t>a</w:t>
            </w:r>
            <w:r w:rsidRPr="00A23740">
              <w:t xml:space="preserve">dliye </w:t>
            </w:r>
            <w:r w:rsidR="004318F8" w:rsidRPr="00A23740">
              <w:t>m</w:t>
            </w:r>
            <w:r w:rsidRPr="00A23740">
              <w:t>ahkemesinin kararı kesindir.</w:t>
            </w:r>
          </w:p>
          <w:p w:rsidR="00AA5C8C" w:rsidRPr="00A23740" w:rsidRDefault="00AA5C8C" w:rsidP="009431FF">
            <w:pPr>
              <w:widowControl w:val="0"/>
              <w:rPr>
                <w:rFonts w:eastAsia="Times New Roman"/>
                <w:color w:val="FF0000"/>
                <w:szCs w:val="24"/>
                <w:lang w:eastAsia="ar-SA"/>
              </w:rPr>
            </w:pPr>
          </w:p>
          <w:p w:rsidR="00AA5C8C" w:rsidRPr="00C6389B" w:rsidRDefault="00AA5C8C" w:rsidP="009431FF">
            <w:pPr>
              <w:widowControl w:val="0"/>
              <w:tabs>
                <w:tab w:val="left" w:pos="567"/>
              </w:tabs>
              <w:rPr>
                <w:rStyle w:val="MaviChar"/>
              </w:rPr>
            </w:pPr>
            <w:r w:rsidRPr="00A23740">
              <w:rPr>
                <w:b/>
                <w:bCs/>
                <w:color w:val="0000FF"/>
                <w:szCs w:val="24"/>
                <w:lang w:eastAsia="x-none"/>
              </w:rPr>
              <w:t xml:space="preserve">(7) Konkordatonun tamamen veya kısmen </w:t>
            </w:r>
            <w:r w:rsidRPr="00A23740">
              <w:rPr>
                <w:rStyle w:val="MaviChar"/>
              </w:rPr>
              <w:t>iptali</w:t>
            </w:r>
            <w:r w:rsidRPr="00A23740">
              <w:rPr>
                <w:b/>
                <w:bCs/>
                <w:color w:val="0000FF"/>
                <w:szCs w:val="24"/>
                <w:lang w:eastAsia="x-none"/>
              </w:rPr>
              <w:t xml:space="preserve"> </w:t>
            </w:r>
            <w:r w:rsidRPr="00A23740">
              <w:rPr>
                <w:szCs w:val="24"/>
              </w:rPr>
              <w:t xml:space="preserve">talebi üzerine verilecek hükümlere karşı tebliğ </w:t>
            </w:r>
            <w:r w:rsidRPr="00A23740">
              <w:rPr>
                <w:rStyle w:val="MaviChar"/>
              </w:rPr>
              <w:t>tarihinden</w:t>
            </w:r>
            <w:r w:rsidRPr="00A23740">
              <w:rPr>
                <w:szCs w:val="24"/>
              </w:rPr>
              <w:t xml:space="preserve"> itibaren iki hafta içinde istinaf yoluna başvurulabilir.</w:t>
            </w:r>
            <w:r w:rsidR="00783A75" w:rsidRPr="00A23740">
              <w:rPr>
                <w:szCs w:val="24"/>
              </w:rPr>
              <w:t xml:space="preserve"> </w:t>
            </w:r>
            <w:r w:rsidR="00783A75" w:rsidRPr="00C6389B">
              <w:rPr>
                <w:rStyle w:val="MaviChar"/>
              </w:rPr>
              <w:t>Konkordatonun tamamen iptali ile birlikte borçlunun iflasına da karar verilmiş olması hâlinde dördüncü fıkra hükmü uygulanır.</w:t>
            </w:r>
          </w:p>
          <w:p w:rsidR="00AA5C8C" w:rsidRPr="00A23740" w:rsidRDefault="00AA5C8C" w:rsidP="009431FF">
            <w:pPr>
              <w:pStyle w:val="KIRMIZI"/>
              <w:widowControl w:val="0"/>
              <w:rPr>
                <w:strike w:val="0"/>
              </w:rPr>
            </w:pPr>
          </w:p>
        </w:tc>
      </w:tr>
      <w:tr w:rsidR="005C3738" w:rsidRPr="00A23740" w:rsidTr="009431FF">
        <w:tc>
          <w:tcPr>
            <w:tcW w:w="5000" w:type="pct"/>
            <w:gridSpan w:val="2"/>
            <w:shd w:val="clear" w:color="auto" w:fill="DEEAF6"/>
          </w:tcPr>
          <w:p w:rsidR="00285F60" w:rsidRPr="00A23740" w:rsidRDefault="00285F60" w:rsidP="009431FF">
            <w:pPr>
              <w:tabs>
                <w:tab w:val="left" w:pos="567"/>
              </w:tabs>
              <w:rPr>
                <w:b/>
                <w:bCs/>
                <w:szCs w:val="24"/>
                <w:lang w:eastAsia="x-none"/>
              </w:rPr>
            </w:pPr>
          </w:p>
          <w:p w:rsidR="00285F60" w:rsidRPr="00A23740" w:rsidRDefault="00164036" w:rsidP="009431FF">
            <w:pPr>
              <w:tabs>
                <w:tab w:val="left" w:pos="567"/>
              </w:tabs>
              <w:ind w:firstLine="709"/>
              <w:rPr>
                <w:bCs/>
                <w:szCs w:val="24"/>
                <w:lang w:eastAsia="x-none"/>
              </w:rPr>
            </w:pPr>
            <w:r w:rsidRPr="00A23740">
              <w:rPr>
                <w:rStyle w:val="YELChar"/>
                <w:color w:val="auto"/>
              </w:rPr>
              <w:t>MADDE 411</w:t>
            </w:r>
            <w:r w:rsidR="00285F60" w:rsidRPr="00A23740">
              <w:rPr>
                <w:rStyle w:val="YELChar"/>
                <w:color w:val="auto"/>
              </w:rPr>
              <w:t>-</w:t>
            </w:r>
            <w:r w:rsidR="00285F60" w:rsidRPr="00A23740">
              <w:rPr>
                <w:b/>
                <w:bCs/>
                <w:szCs w:val="24"/>
                <w:lang w:eastAsia="x-none"/>
              </w:rPr>
              <w:t xml:space="preserve"> </w:t>
            </w:r>
            <w:r w:rsidR="00285F60" w:rsidRPr="00A23740">
              <w:rPr>
                <w:bCs/>
                <w:szCs w:val="24"/>
                <w:lang w:eastAsia="x-none"/>
              </w:rPr>
              <w:t>Maddeyle, istinaf edilebilen kararlara ilişkin</w:t>
            </w:r>
            <w:r w:rsidR="00285F60" w:rsidRPr="00A23740">
              <w:rPr>
                <w:b/>
                <w:bCs/>
                <w:szCs w:val="24"/>
                <w:lang w:eastAsia="x-none"/>
              </w:rPr>
              <w:t xml:space="preserve"> </w:t>
            </w:r>
            <w:r w:rsidR="00285F60" w:rsidRPr="00A23740">
              <w:rPr>
                <w:bCs/>
                <w:szCs w:val="24"/>
                <w:lang w:eastAsia="x-none"/>
              </w:rPr>
              <w:t>hususlar düzenlenmektedir.</w:t>
            </w:r>
          </w:p>
          <w:p w:rsidR="00285F60" w:rsidRPr="00A23740" w:rsidRDefault="00285F60" w:rsidP="009431FF">
            <w:pPr>
              <w:tabs>
                <w:tab w:val="left" w:pos="567"/>
              </w:tabs>
              <w:ind w:firstLine="709"/>
              <w:rPr>
                <w:b/>
                <w:bCs/>
                <w:szCs w:val="24"/>
                <w:lang w:eastAsia="x-none"/>
              </w:rPr>
            </w:pPr>
            <w:r w:rsidRPr="00A23740">
              <w:rPr>
                <w:bCs/>
                <w:szCs w:val="24"/>
                <w:lang w:eastAsia="x-none"/>
              </w:rPr>
              <w:t>Konkordatonun aşamaları dikkate alındığında; geçici mühletle; kesin mühletle; konkordatonun tasdikiyle ve nihayetinde konkordatonun kısmen veya tamamen iptaliyle ilgili kararlar, ayrı fıkralar hâlinde gruplandırılmış ve ne şekilde istinafa konu edilebileceklerine dair özel hükümler sevk edilmiştir. Bu arada açıklığa kavuşturulması gereken sair hususlara da ilgili fıkr</w:t>
            </w:r>
            <w:r w:rsidR="00384063" w:rsidRPr="00A23740">
              <w:rPr>
                <w:bCs/>
                <w:szCs w:val="24"/>
                <w:lang w:eastAsia="x-none"/>
              </w:rPr>
              <w:t>alarda ayrıca yer verilmiştir.</w:t>
            </w:r>
          </w:p>
          <w:p w:rsidR="00285F60" w:rsidRPr="00A23740" w:rsidRDefault="00285F60" w:rsidP="009431FF">
            <w:pPr>
              <w:tabs>
                <w:tab w:val="left" w:pos="567"/>
              </w:tabs>
              <w:ind w:firstLine="709"/>
              <w:rPr>
                <w:bCs/>
                <w:szCs w:val="24"/>
                <w:lang w:eastAsia="x-none"/>
              </w:rPr>
            </w:pPr>
            <w:r w:rsidRPr="00A23740">
              <w:rPr>
                <w:bCs/>
                <w:szCs w:val="24"/>
                <w:lang w:eastAsia="x-none"/>
              </w:rPr>
              <w:t>Birinci fıkra hükmü, Taslağın bir önceki hükmünde düzenlenenin aksine, bu kez daha ziyade borçlu ve konkordato talep eden alacaklıyla</w:t>
            </w:r>
            <w:r w:rsidR="00BE3AE7" w:rsidRPr="00A23740">
              <w:rPr>
                <w:bCs/>
                <w:szCs w:val="24"/>
                <w:lang w:eastAsia="x-none"/>
              </w:rPr>
              <w:t xml:space="preserve"> ilgilidir</w:t>
            </w:r>
            <w:r w:rsidRPr="00A23740">
              <w:rPr>
                <w:bCs/>
                <w:szCs w:val="24"/>
                <w:lang w:eastAsia="x-none"/>
              </w:rPr>
              <w:t>. Geçici mühlet talebinin reddine veya kaldırılmasına, dolayısıyla da aslında “</w:t>
            </w:r>
            <w:r w:rsidRPr="00A23740">
              <w:rPr>
                <w:bCs/>
                <w:i/>
                <w:iCs/>
                <w:szCs w:val="24"/>
                <w:lang w:eastAsia="x-none"/>
              </w:rPr>
              <w:t>konkordato talebinin reddine</w:t>
            </w:r>
            <w:r w:rsidRPr="00A23740">
              <w:rPr>
                <w:bCs/>
                <w:szCs w:val="24"/>
                <w:lang w:eastAsia="x-none"/>
              </w:rPr>
              <w:t xml:space="preserve">” ilişkin kararlara karşı kararın tebliğinden itibaren iki hafta içinde istinaf kanun yoluna başvurulması mümkündür. Bu hâlde, </w:t>
            </w:r>
            <w:r w:rsidR="004743BC" w:rsidRPr="00A23740">
              <w:rPr>
                <w:bCs/>
                <w:szCs w:val="24"/>
                <w:lang w:eastAsia="x-none"/>
              </w:rPr>
              <w:t>bölge adliye mahkemesince</w:t>
            </w:r>
            <w:r w:rsidRPr="00A23740">
              <w:rPr>
                <w:bCs/>
                <w:szCs w:val="24"/>
                <w:lang w:eastAsia="x-none"/>
              </w:rPr>
              <w:t xml:space="preserve"> verilen karar kesin olup temyiz yolu kapalıdır. Bu türden kararlar hakkında ayrıca temyiz kanun yolunun açılması gerekli görülmemiş; zira borçlunun yahut ısrarcı ise aynı alacaklının veya bir başka alacaklının bir kez d</w:t>
            </w:r>
            <w:r w:rsidR="00384063" w:rsidRPr="00A23740">
              <w:rPr>
                <w:bCs/>
                <w:szCs w:val="24"/>
                <w:lang w:eastAsia="x-none"/>
              </w:rPr>
              <w:t>aha konkordato talep</w:t>
            </w:r>
            <w:r w:rsidRPr="00A23740">
              <w:rPr>
                <w:bCs/>
                <w:szCs w:val="24"/>
                <w:lang w:eastAsia="x-none"/>
              </w:rPr>
              <w:t xml:space="preserve"> etmesi, şartların da karşılanması kaydıyla pekâlâ mümkün bulunmuştur. </w:t>
            </w:r>
          </w:p>
          <w:p w:rsidR="00285F60" w:rsidRPr="00A23740" w:rsidRDefault="00285F60" w:rsidP="009431FF">
            <w:pPr>
              <w:tabs>
                <w:tab w:val="left" w:pos="567"/>
              </w:tabs>
              <w:ind w:firstLine="709"/>
              <w:rPr>
                <w:bCs/>
                <w:szCs w:val="24"/>
                <w:lang w:eastAsia="x-none"/>
              </w:rPr>
            </w:pPr>
            <w:r w:rsidRPr="00A23740">
              <w:rPr>
                <w:bCs/>
                <w:szCs w:val="24"/>
                <w:lang w:eastAsia="x-none"/>
              </w:rPr>
              <w:t>Düzenlemenin ikinci fıkrası, geçici mühlet içinde verilecek “</w:t>
            </w:r>
            <w:r w:rsidRPr="00A23740">
              <w:rPr>
                <w:bCs/>
                <w:i/>
                <w:iCs/>
                <w:szCs w:val="24"/>
                <w:lang w:eastAsia="x-none"/>
              </w:rPr>
              <w:t>kesin mühlet talebinin reddi</w:t>
            </w:r>
            <w:r w:rsidRPr="00A23740">
              <w:rPr>
                <w:bCs/>
                <w:szCs w:val="24"/>
                <w:lang w:eastAsia="x-none"/>
              </w:rPr>
              <w:t>” veya bu kez kesin mühlet dönemi içinde bu “</w:t>
            </w:r>
            <w:r w:rsidRPr="00A23740">
              <w:rPr>
                <w:bCs/>
                <w:i/>
                <w:iCs/>
                <w:szCs w:val="24"/>
                <w:lang w:eastAsia="x-none"/>
              </w:rPr>
              <w:t>kararın kaldırılması ve konkordato talebinin reddi</w:t>
            </w:r>
            <w:r w:rsidRPr="00A23740">
              <w:rPr>
                <w:bCs/>
                <w:szCs w:val="24"/>
                <w:lang w:eastAsia="x-none"/>
              </w:rPr>
              <w:t xml:space="preserve">” kararlarıyla alâkalıdır. Bu durumda da borçlu veya konkordato talep eden alacaklı, kararın tebliğinden itibaren iki hafta içinde istinaf kanun yoluna başvurabilir. </w:t>
            </w:r>
            <w:r w:rsidR="004743BC" w:rsidRPr="00A23740">
              <w:rPr>
                <w:bCs/>
                <w:szCs w:val="24"/>
                <w:lang w:eastAsia="x-none"/>
              </w:rPr>
              <w:t>Bölge adliye mahkemesince</w:t>
            </w:r>
            <w:r w:rsidRPr="00A23740">
              <w:rPr>
                <w:bCs/>
                <w:szCs w:val="24"/>
                <w:lang w:eastAsia="x-none"/>
              </w:rPr>
              <w:t xml:space="preserve"> verilecek karar kesin olup</w:t>
            </w:r>
            <w:r w:rsidR="00BE3AE7" w:rsidRPr="00A23740">
              <w:rPr>
                <w:bCs/>
                <w:szCs w:val="24"/>
                <w:lang w:eastAsia="x-none"/>
              </w:rPr>
              <w:t>,</w:t>
            </w:r>
            <w:r w:rsidRPr="00A23740">
              <w:rPr>
                <w:bCs/>
                <w:szCs w:val="24"/>
                <w:lang w:eastAsia="x-none"/>
              </w:rPr>
              <w:t xml:space="preserve"> temyiz yolu kapalıdır. Bir önceki fıkrada, temyiz kanun yolunun kapatılması sırasında gözetilen menfaat, bu hâlde de geçerlidir.      </w:t>
            </w:r>
          </w:p>
          <w:p w:rsidR="00285F60" w:rsidRPr="00A23740" w:rsidRDefault="00285F60" w:rsidP="009431FF">
            <w:pPr>
              <w:tabs>
                <w:tab w:val="left" w:pos="567"/>
              </w:tabs>
              <w:ind w:firstLine="709"/>
              <w:rPr>
                <w:bCs/>
                <w:szCs w:val="24"/>
                <w:lang w:eastAsia="x-none"/>
              </w:rPr>
            </w:pPr>
            <w:r w:rsidRPr="00A23740">
              <w:rPr>
                <w:bCs/>
                <w:szCs w:val="24"/>
                <w:lang w:eastAsia="x-none"/>
              </w:rPr>
              <w:t>İlk iki fıkra özelinde, metinlere de yansımış bir ortak özellik bulunmaktadır. Buna göre borçlu hakkında anılan durumların yaşanmasıyla bu kez ayrıca bir ifl</w:t>
            </w:r>
            <w:r w:rsidR="007D290E" w:rsidRPr="00A23740">
              <w:rPr>
                <w:bCs/>
                <w:szCs w:val="24"/>
                <w:lang w:eastAsia="x-none"/>
              </w:rPr>
              <w:t>a</w:t>
            </w:r>
            <w:r w:rsidRPr="00A23740">
              <w:rPr>
                <w:bCs/>
                <w:szCs w:val="24"/>
                <w:lang w:eastAsia="x-none"/>
              </w:rPr>
              <w:t>s kararının da verilmesi gerekiyorsa artık söz konusu ifl</w:t>
            </w:r>
            <w:r w:rsidR="007D290E" w:rsidRPr="00A23740">
              <w:rPr>
                <w:bCs/>
                <w:szCs w:val="24"/>
                <w:lang w:eastAsia="x-none"/>
              </w:rPr>
              <w:t>a</w:t>
            </w:r>
            <w:r w:rsidRPr="00A23740">
              <w:rPr>
                <w:bCs/>
                <w:szCs w:val="24"/>
                <w:lang w:eastAsia="x-none"/>
              </w:rPr>
              <w:t>s kararının kanun yoluna konu edilmesi gerektiğinden; ifl</w:t>
            </w:r>
            <w:r w:rsidR="007D290E" w:rsidRPr="00A23740">
              <w:rPr>
                <w:bCs/>
                <w:szCs w:val="24"/>
                <w:lang w:eastAsia="x-none"/>
              </w:rPr>
              <w:t>a</w:t>
            </w:r>
            <w:r w:rsidRPr="00A23740">
              <w:rPr>
                <w:bCs/>
                <w:szCs w:val="24"/>
                <w:lang w:eastAsia="x-none"/>
              </w:rPr>
              <w:t xml:space="preserve">s kararları hakkında geçerli kanun yolu rejimi her ne ise ona uygun olarak hareket etmek gerekecektir. Bu husus, açıklığa kavuşturulmak üzere dördüncü fıkrada bir kez daha ele alınmıştır. </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Düzenlemenin üçüncü fıkrası, yapılan istinaf denetimi sırasında bu kez </w:t>
            </w:r>
            <w:r w:rsidR="004743BC" w:rsidRPr="00A23740">
              <w:rPr>
                <w:bCs/>
                <w:szCs w:val="24"/>
                <w:lang w:eastAsia="x-none"/>
              </w:rPr>
              <w:t>bölge adliye mahkemesince</w:t>
            </w:r>
            <w:r w:rsidRPr="00A23740">
              <w:rPr>
                <w:bCs/>
                <w:szCs w:val="24"/>
                <w:lang w:eastAsia="x-none"/>
              </w:rPr>
              <w:t xml:space="preserve"> kesin mühlet kararının verilmesi durumuna özgü olarak 7101 sayılı Kanun döneminde benimsen</w:t>
            </w:r>
            <w:r w:rsidR="007D290E" w:rsidRPr="00A23740">
              <w:rPr>
                <w:bCs/>
                <w:szCs w:val="24"/>
                <w:lang w:eastAsia="x-none"/>
              </w:rPr>
              <w:t>en</w:t>
            </w:r>
            <w:r w:rsidRPr="00A23740">
              <w:rPr>
                <w:bCs/>
                <w:szCs w:val="24"/>
                <w:lang w:eastAsia="x-none"/>
              </w:rPr>
              <w:t xml:space="preserve"> usulü aynen korumuş; kesin mühlet kararı dışında karara bağlanması gereken örneğin komiser tayini gibi sair meseleler için dosyanın ilk derece mahkemesine gönderilmesi gerektiğini, dolayısıyla bunların da Bölge Adliye Mahkemesince yapılmayacağını düzenlemiştir. Bu kısım, yeni değildir. Düzenlemenin içerdiği yenilik, fıkranın ikinci cümlesindedir. Böylece istinaf denetimi sırasında verilecek kesin mühletin süreyle sınırlı etkilerinin ne zamandan itibaren başlamış olacağına ilişkin </w:t>
            </w:r>
            <w:r w:rsidR="006A430D" w:rsidRPr="00A23740">
              <w:rPr>
                <w:bCs/>
                <w:szCs w:val="24"/>
                <w:lang w:eastAsia="x-none"/>
              </w:rPr>
              <w:t xml:space="preserve">olarak </w:t>
            </w:r>
            <w:r w:rsidRPr="00A23740">
              <w:rPr>
                <w:bCs/>
                <w:szCs w:val="24"/>
                <w:lang w:eastAsia="x-none"/>
              </w:rPr>
              <w:t xml:space="preserve">uygulamada beliren tereddütlere açıklık kazandırılmıştır. Kesin mühlet süresi ve mühletin etkileri, </w:t>
            </w:r>
            <w:r w:rsidR="004743BC" w:rsidRPr="00A23740">
              <w:rPr>
                <w:bCs/>
                <w:szCs w:val="24"/>
                <w:lang w:eastAsia="x-none"/>
              </w:rPr>
              <w:t>bölge adliye mahkemesince</w:t>
            </w:r>
            <w:r w:rsidRPr="00A23740">
              <w:rPr>
                <w:bCs/>
                <w:szCs w:val="24"/>
                <w:lang w:eastAsia="x-none"/>
              </w:rPr>
              <w:t xml:space="preserve"> kesin mühlete karar verildiği tarihten itibaren başlayacak; geçmişe etkili bir yürürlük söz konusu olmayacaktır.</w:t>
            </w:r>
          </w:p>
          <w:p w:rsidR="00285F60" w:rsidRPr="00A23740" w:rsidRDefault="00285F60" w:rsidP="009431FF">
            <w:pPr>
              <w:tabs>
                <w:tab w:val="left" w:pos="567"/>
              </w:tabs>
              <w:ind w:firstLine="709"/>
              <w:rPr>
                <w:bCs/>
                <w:szCs w:val="24"/>
                <w:lang w:eastAsia="x-none"/>
              </w:rPr>
            </w:pPr>
            <w:r w:rsidRPr="00A23740">
              <w:rPr>
                <w:bCs/>
                <w:szCs w:val="24"/>
                <w:lang w:eastAsia="x-none"/>
              </w:rPr>
              <w:t>Konkordatonun tasdikine yönelik karar, bu ana kadar bilhassa alacaklılar nezdinde ertelenmiş en temel denetim konusudur. Esasen tasdik “</w:t>
            </w:r>
            <w:r w:rsidRPr="00A23740">
              <w:rPr>
                <w:bCs/>
                <w:i/>
                <w:szCs w:val="24"/>
                <w:lang w:eastAsia="x-none"/>
              </w:rPr>
              <w:t>hakkındaki</w:t>
            </w:r>
            <w:r w:rsidRPr="00A23740">
              <w:rPr>
                <w:bCs/>
                <w:szCs w:val="24"/>
                <w:lang w:eastAsia="x-none"/>
              </w:rPr>
              <w:t xml:space="preserve">” karar, somut olarak konkordatonun tasdikine ilişkin olabileceği gibi reddine </w:t>
            </w:r>
            <w:r w:rsidR="007D290E" w:rsidRPr="00A23740">
              <w:rPr>
                <w:bCs/>
                <w:szCs w:val="24"/>
                <w:lang w:eastAsia="x-none"/>
              </w:rPr>
              <w:t xml:space="preserve">yönelik </w:t>
            </w:r>
            <w:r w:rsidRPr="00A23740">
              <w:rPr>
                <w:bCs/>
                <w:szCs w:val="24"/>
                <w:lang w:eastAsia="x-none"/>
              </w:rPr>
              <w:t>de olabilir. Şayet bu hâlde zaten bir ifl</w:t>
            </w:r>
            <w:r w:rsidR="007D290E" w:rsidRPr="00A23740">
              <w:rPr>
                <w:bCs/>
                <w:szCs w:val="24"/>
                <w:lang w:eastAsia="x-none"/>
              </w:rPr>
              <w:t>a</w:t>
            </w:r>
            <w:r w:rsidRPr="00A23740">
              <w:rPr>
                <w:bCs/>
                <w:szCs w:val="24"/>
                <w:lang w:eastAsia="x-none"/>
              </w:rPr>
              <w:t>s kararı verilecekse denetim, ifl</w:t>
            </w:r>
            <w:r w:rsidR="007D290E" w:rsidRPr="00A23740">
              <w:rPr>
                <w:bCs/>
                <w:szCs w:val="24"/>
                <w:lang w:eastAsia="x-none"/>
              </w:rPr>
              <w:t>a</w:t>
            </w:r>
            <w:r w:rsidRPr="00A23740">
              <w:rPr>
                <w:bCs/>
                <w:szCs w:val="24"/>
                <w:lang w:eastAsia="x-none"/>
              </w:rPr>
              <w:t xml:space="preserve">s kararının tabi olduğu kanun yolu rejimine göre olacaktır. Tasdikle alâkalı karara karşı kimlerce istinaf yoluna başvurulabileceği hakkında, </w:t>
            </w:r>
            <w:r w:rsidR="006A430D" w:rsidRPr="00A23740">
              <w:rPr>
                <w:bCs/>
                <w:szCs w:val="24"/>
                <w:lang w:eastAsia="x-none"/>
              </w:rPr>
              <w:t xml:space="preserve"> önemli </w:t>
            </w:r>
            <w:r w:rsidRPr="00A23740">
              <w:rPr>
                <w:bCs/>
                <w:szCs w:val="24"/>
                <w:lang w:eastAsia="x-none"/>
              </w:rPr>
              <w:t xml:space="preserve">bir sayım geçerlidir. Buna göre borçlu veya konkordato talep eden alacaklı için kanun yoluna başvuru süresi, tasdik talebinin reddine ilişkin kararın tebliğinden itibaren </w:t>
            </w:r>
            <w:r w:rsidR="006A430D" w:rsidRPr="00A23740">
              <w:rPr>
                <w:bCs/>
                <w:szCs w:val="24"/>
                <w:lang w:eastAsia="x-none"/>
              </w:rPr>
              <w:t xml:space="preserve">işlemeye </w:t>
            </w:r>
            <w:r w:rsidRPr="00A23740">
              <w:rPr>
                <w:bCs/>
                <w:szCs w:val="24"/>
                <w:lang w:eastAsia="x-none"/>
              </w:rPr>
              <w:t xml:space="preserve">başlayacaktır. Bu kimseler dışında ve çoğu kez konkordatonun tasdikine karşı ancak hangi alacaklılarca istinaf kanun yoluna başvurulabileceği hakkında, Taslağın </w:t>
            </w:r>
            <w:r w:rsidR="00526EFB" w:rsidRPr="00071245">
              <w:t>397 nci</w:t>
            </w:r>
            <w:r w:rsidR="00526EFB" w:rsidRPr="00A23740">
              <w:rPr>
                <w:b/>
                <w:bCs/>
                <w:color w:val="0000FF"/>
                <w:szCs w:val="24"/>
                <w:lang w:eastAsia="x-none"/>
              </w:rPr>
              <w:t xml:space="preserve"> </w:t>
            </w:r>
            <w:r w:rsidRPr="00A23740">
              <w:rPr>
                <w:bCs/>
                <w:szCs w:val="24"/>
                <w:lang w:eastAsia="x-none"/>
              </w:rPr>
              <w:t>maddesinin birinci fıkrasına da açıkça gönderme yapılmak suretiyle özel bir kısıt getirilmiştir. Anılan hükme uygun olarak usulünce itiraz eden ve aynı zamanda duruşmaya da katılmış olan alacaklı, tasdik kararının ilanından itibaren iki hafta içinde istinaf yoluna başvurabilecektir. Tüm muterizler yönünden sürenin eş zamanlı işlemeye başlayabilmesi için ilan usulü, aynen korunmuştur. Şu hâlde özellikle konkordatonun tasdiki kararına karşı alacaklılar yönünden getirilen kısıt, iki unsurludur. İstinafa müracaat edecek alacaklının, itirazlarını her h</w:t>
            </w:r>
            <w:r w:rsidR="00C2196C" w:rsidRPr="00A23740">
              <w:rPr>
                <w:bCs/>
                <w:szCs w:val="24"/>
                <w:lang w:eastAsia="x-none"/>
              </w:rPr>
              <w:t>â</w:t>
            </w:r>
            <w:r w:rsidRPr="00A23740">
              <w:rPr>
                <w:bCs/>
                <w:szCs w:val="24"/>
                <w:lang w:eastAsia="x-none"/>
              </w:rPr>
              <w:t xml:space="preserve">lükârda Taslağın </w:t>
            </w:r>
            <w:r w:rsidR="00526EFB" w:rsidRPr="00071245">
              <w:t>397 nci</w:t>
            </w:r>
            <w:r w:rsidR="00526EFB" w:rsidRPr="00A23740">
              <w:rPr>
                <w:b/>
                <w:bCs/>
                <w:color w:val="0000FF"/>
                <w:szCs w:val="24"/>
                <w:lang w:eastAsia="x-none"/>
              </w:rPr>
              <w:t xml:space="preserve"> </w:t>
            </w:r>
            <w:r w:rsidRPr="00A23740">
              <w:rPr>
                <w:bCs/>
                <w:szCs w:val="24"/>
                <w:lang w:eastAsia="x-none"/>
              </w:rPr>
              <w:t xml:space="preserve">maddesinin birinci fıkrasında yazılı sürede ve usule uygun olarak mahkemeye bildirmesi gerektiği gibi ayrıca duruşmada da hazır bulunması zorunludur. Ancak bu şartları karşılayan alacaklı tarafından yapılan istinaf başvurusu incelenebilecektir ki, yakın bir süre önce ilgili kanun metninin yorumu </w:t>
            </w:r>
            <w:r w:rsidR="004743BC" w:rsidRPr="00A23740">
              <w:rPr>
                <w:bCs/>
                <w:szCs w:val="24"/>
                <w:lang w:eastAsia="x-none"/>
              </w:rPr>
              <w:t xml:space="preserve">sırasında </w:t>
            </w:r>
            <w:r w:rsidR="004743BC" w:rsidRPr="00071245">
              <w:t>yargısal</w:t>
            </w:r>
            <w:r w:rsidR="004743BC" w:rsidRPr="00A23740">
              <w:rPr>
                <w:bCs/>
                <w:szCs w:val="24"/>
                <w:lang w:eastAsia="x-none"/>
              </w:rPr>
              <w:t xml:space="preserve"> içtihatta belir</w:t>
            </w:r>
            <w:r w:rsidRPr="00A23740">
              <w:rPr>
                <w:bCs/>
                <w:szCs w:val="24"/>
                <w:lang w:eastAsia="x-none"/>
              </w:rPr>
              <w:t xml:space="preserve">en farklı yöndeki yorumların da bu surette açıklığa kavuşturulmasına çalışılmıştır. </w:t>
            </w:r>
          </w:p>
          <w:p w:rsidR="00285F60" w:rsidRPr="00071245" w:rsidRDefault="00285F60" w:rsidP="009431FF">
            <w:pPr>
              <w:tabs>
                <w:tab w:val="left" w:pos="567"/>
              </w:tabs>
              <w:ind w:firstLine="709"/>
            </w:pPr>
            <w:r w:rsidRPr="00A23740">
              <w:rPr>
                <w:bCs/>
                <w:szCs w:val="24"/>
                <w:lang w:eastAsia="x-none"/>
              </w:rPr>
              <w:t>Konkordatonun tasdikinin ertesinde, konkordatonun bu kez kısmen veya tamamen iptali için açılacak davalar bakımından verilecek hükümler de yine zaten bir ifl</w:t>
            </w:r>
            <w:r w:rsidR="004743BC" w:rsidRPr="00A23740">
              <w:rPr>
                <w:bCs/>
                <w:szCs w:val="24"/>
                <w:lang w:eastAsia="x-none"/>
              </w:rPr>
              <w:t>a</w:t>
            </w:r>
            <w:r w:rsidRPr="00A23740">
              <w:rPr>
                <w:bCs/>
                <w:szCs w:val="24"/>
                <w:lang w:eastAsia="x-none"/>
              </w:rPr>
              <w:t>s kararı verilmemişse istinaf kanun yoluna tabi olup süresi, kararın tebliğinden itibaren iki hafta olarak düzenlenmiştir. Bu hâlde hasıl olabilecek bir ifl</w:t>
            </w:r>
            <w:r w:rsidR="004743BC" w:rsidRPr="00A23740">
              <w:rPr>
                <w:bCs/>
                <w:szCs w:val="24"/>
                <w:lang w:eastAsia="x-none"/>
              </w:rPr>
              <w:t>a</w:t>
            </w:r>
            <w:r w:rsidRPr="00A23740">
              <w:rPr>
                <w:bCs/>
                <w:szCs w:val="24"/>
                <w:lang w:eastAsia="x-none"/>
              </w:rPr>
              <w:t xml:space="preserve">s kararı için de yukarıda yazılı esaslar aynen geçerlidir. </w:t>
            </w:r>
            <w:r w:rsidR="00D94699" w:rsidRPr="00071245">
              <w:t>Konkordatonun tasdiki talebinin reddiyle birlikte borçlunun iflasına da karar verilmiş olması hâlinde</w:t>
            </w:r>
            <w:r w:rsidR="006A430D" w:rsidRPr="00071245">
              <w:t>,</w:t>
            </w:r>
            <w:r w:rsidR="00D94699" w:rsidRPr="00071245">
              <w:t xml:space="preserve"> dördüncü fıkra hükmü uygulanır.</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Düzenlemenin altıncı fıkrası, 7101 sayılı Kanun döneminde, </w:t>
            </w:r>
            <w:r w:rsidR="004743BC" w:rsidRPr="00071245">
              <w:t>yargısal</w:t>
            </w:r>
            <w:r w:rsidRPr="00A23740">
              <w:rPr>
                <w:bCs/>
                <w:szCs w:val="24"/>
                <w:lang w:eastAsia="x-none"/>
              </w:rPr>
              <w:t xml:space="preserve"> içtihadı ziyadesiyle meşgul eden bir meseleye açıklık getirmek amacındadır. Buna göre gerek geçici mühlet gerekse kesin mühlet döneminde, mühletin kanunda düzenlenen sonuçları dışında, mahkemelerce ayrıca karara bağlanmış olan ihtiyati tedbir talepleri bakımından, bunların reddi veya kabulüne ilişkin kararlara karşı tebliğlerinden itibaren iki haftalık süre </w:t>
            </w:r>
            <w:r w:rsidR="006A430D" w:rsidRPr="00A23740">
              <w:rPr>
                <w:bCs/>
                <w:szCs w:val="24"/>
                <w:lang w:eastAsia="x-none"/>
              </w:rPr>
              <w:t xml:space="preserve">içinde </w:t>
            </w:r>
            <w:r w:rsidRPr="00A23740">
              <w:rPr>
                <w:bCs/>
                <w:szCs w:val="24"/>
                <w:lang w:eastAsia="x-none"/>
              </w:rPr>
              <w:t xml:space="preserve">istinafa gidilebilecektir. Bu türden ihtiyati tedbirlerin gerek borçlu gerekse muhatapları nezdinde hayati neticeleri beraberinde getirmesi, söz konusu kararların da denetimsiz bırakılmalarına mâni olmuştur. Bu sırada borçlu veya alacaklı arasında bir kez daha ayrım yapmanın gerekli ve yerinde olmadığı sonucuna ulaşılmıştır. Tasdik kararından ve kesin mühletin doğrudan etkilerinden bağımsız olan bu ihtiyati tedbir kararlarının yol açtığı sonuçlar dikkate alındığında; </w:t>
            </w:r>
            <w:r w:rsidR="006A430D" w:rsidRPr="00A23740">
              <w:rPr>
                <w:bCs/>
                <w:szCs w:val="24"/>
                <w:lang w:eastAsia="x-none"/>
              </w:rPr>
              <w:t xml:space="preserve">özellikle </w:t>
            </w:r>
            <w:r w:rsidRPr="00A23740">
              <w:rPr>
                <w:bCs/>
                <w:szCs w:val="24"/>
                <w:lang w:eastAsia="x-none"/>
              </w:rPr>
              <w:t>alacaklılar yönünden bir kez daha denetim kısıtlamasına gidilmesinin ölçüsüz bir müdahale olacağı sonucuna ulaşılmıştır. Ne var ki</w:t>
            </w:r>
            <w:r w:rsidR="004743BC" w:rsidRPr="00A23740">
              <w:rPr>
                <w:bCs/>
                <w:szCs w:val="24"/>
                <w:lang w:eastAsia="x-none"/>
              </w:rPr>
              <w:t>, bölge adliye mahkemesince</w:t>
            </w:r>
            <w:r w:rsidRPr="00A23740">
              <w:rPr>
                <w:bCs/>
                <w:szCs w:val="24"/>
                <w:lang w:eastAsia="x-none"/>
              </w:rPr>
              <w:t xml:space="preserve"> verilen kararlar, artık kesindir.</w:t>
            </w:r>
            <w:r w:rsidRPr="00071245">
              <w:t xml:space="preserve"> </w:t>
            </w:r>
            <w:r w:rsidR="00D94699" w:rsidRPr="00071245">
              <w:t>Konkordatonun tamamen iptali ile birlikte borçlunun iflasına da karar verilmiş olması hâlinde dördüncü fıkra hükmü uygulanır.</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Style w:val="KIRMIZIChar"/>
                <w:rFonts w:eastAsia="Calibri"/>
                <w:bCs w:val="0"/>
              </w:rPr>
            </w:pPr>
            <w:r w:rsidRPr="00A23740">
              <w:rPr>
                <w:rStyle w:val="KIRMIZIChar"/>
                <w:rFonts w:eastAsia="Calibri"/>
                <w:bCs w:val="0"/>
              </w:rPr>
              <w:t>Kanun yolları:</w:t>
            </w:r>
          </w:p>
          <w:p w:rsidR="00AA5C8C" w:rsidRPr="00A23740" w:rsidRDefault="00AA5C8C" w:rsidP="009431FF">
            <w:pPr>
              <w:tabs>
                <w:tab w:val="left" w:pos="567"/>
              </w:tabs>
              <w:rPr>
                <w:szCs w:val="24"/>
              </w:rPr>
            </w:pPr>
            <w:r w:rsidRPr="00A23740">
              <w:rPr>
                <w:rStyle w:val="KIRMIZIChar"/>
                <w:rFonts w:eastAsia="Calibri"/>
                <w:bCs w:val="0"/>
              </w:rPr>
              <w:t>Madde 308/a-</w:t>
            </w:r>
            <w:r w:rsidRPr="00A23740">
              <w:rPr>
                <w:b/>
                <w:bCs/>
                <w:szCs w:val="24"/>
              </w:rPr>
              <w:t xml:space="preserve"> </w:t>
            </w:r>
            <w:r w:rsidRPr="00A23740">
              <w:rPr>
                <w:rStyle w:val="KIRMIZIChar"/>
                <w:rFonts w:eastAsia="Calibri"/>
              </w:rPr>
              <w:t>(1) (Ek: 28/2/2018-7101/37 md.)</w:t>
            </w:r>
            <w:r w:rsidRPr="00A23740">
              <w:rPr>
                <w:b/>
                <w:bCs/>
                <w:szCs w:val="24"/>
              </w:rPr>
              <w:t xml:space="preserve"> </w:t>
            </w:r>
            <w:r w:rsidRPr="00A23740">
              <w:rPr>
                <w:bCs/>
              </w:rPr>
              <w:t>Konkordato hakkında verilen karar</w:t>
            </w:r>
            <w:r w:rsidRPr="00A23740">
              <w:rPr>
                <w:rStyle w:val="KIRMIZIChar"/>
                <w:rFonts w:eastAsia="Calibri"/>
              </w:rPr>
              <w:t>a</w:t>
            </w:r>
            <w:r w:rsidRPr="00A23740">
              <w:rPr>
                <w:bCs/>
              </w:rPr>
              <w:t xml:space="preserve"> </w:t>
            </w:r>
            <w:r w:rsidRPr="00A23740">
              <w:t xml:space="preserve">karşı </w:t>
            </w:r>
            <w:r w:rsidRPr="00A23740">
              <w:rPr>
                <w:rStyle w:val="KIRMIZIChar"/>
                <w:rFonts w:eastAsia="Calibri"/>
              </w:rPr>
              <w:t xml:space="preserve">borçlu veya konkordato talep eden alacaklı, kararın tebliğinden; itiraz eden diğer alacaklılar ise tasdik kararının ilânından itibaren </w:t>
            </w:r>
            <w:r w:rsidR="00616853" w:rsidRPr="00A23740">
              <w:rPr>
                <w:rStyle w:val="KIRMIZIChar"/>
                <w:rFonts w:eastAsia="Calibri"/>
              </w:rPr>
              <w:t>iki hafta</w:t>
            </w:r>
            <w:r w:rsidRPr="00A23740">
              <w:rPr>
                <w:rStyle w:val="KIRMIZIChar"/>
                <w:rFonts w:eastAsia="Calibri"/>
              </w:rPr>
              <w:t xml:space="preserve"> içinde istinaf yoluna başvurabilir. Bölge adliye mahkemesi kararına karşı</w:t>
            </w:r>
            <w:r w:rsidRPr="00A23740">
              <w:rPr>
                <w:b/>
                <w:bCs/>
                <w:strike/>
              </w:rPr>
              <w:t xml:space="preserve"> </w:t>
            </w:r>
            <w:r w:rsidR="00616853" w:rsidRPr="00A23740">
              <w:rPr>
                <w:szCs w:val="24"/>
              </w:rPr>
              <w:t>iki hafta</w:t>
            </w:r>
            <w:r w:rsidRPr="00A23740">
              <w:rPr>
                <w:rStyle w:val="KIRMIZIChar"/>
                <w:rFonts w:eastAsia="Calibri"/>
              </w:rPr>
              <w:t xml:space="preserve"> </w:t>
            </w:r>
            <w:r w:rsidRPr="00A23740">
              <w:rPr>
                <w:bCs/>
              </w:rPr>
              <w:t>içinde temyiz yoluna başvurulabilir.</w:t>
            </w:r>
            <w:r w:rsidRPr="00A23740">
              <w:rPr>
                <w:szCs w:val="24"/>
              </w:rPr>
              <w:t xml:space="preserve"> </w:t>
            </w:r>
            <w:r w:rsidRPr="00A23740">
              <w:rPr>
                <w:rStyle w:val="KIRMIZIChar"/>
                <w:rFonts w:eastAsia="Calibri"/>
              </w:rPr>
              <w:t>İstinaf ve temyiz incelemeleri, Hukuk Muhakemeleri Kanunu hükümlerine göre yapılır.</w:t>
            </w:r>
            <w:r w:rsidRPr="00A23740">
              <w:rPr>
                <w:szCs w:val="24"/>
              </w:rPr>
              <w:t xml:space="preserve"> </w:t>
            </w:r>
          </w:p>
          <w:p w:rsidR="00AA5C8C" w:rsidRPr="00A23740" w:rsidRDefault="00AA5C8C" w:rsidP="009431FF">
            <w:pPr>
              <w:rPr>
                <w:rFonts w:eastAsia="Times New Roman"/>
                <w:i/>
                <w:szCs w:val="24"/>
                <w:lang w:eastAsia="tr-TR"/>
              </w:rPr>
            </w:pPr>
          </w:p>
          <w:p w:rsidR="00AA5C8C" w:rsidRPr="00A23740" w:rsidRDefault="00AA5C8C" w:rsidP="009431FF">
            <w:pPr>
              <w:pStyle w:val="KIRMIZI"/>
            </w:pPr>
            <w:r w:rsidRPr="00A23740">
              <w:t>Konkordatonun kısmen feshi:</w:t>
            </w:r>
          </w:p>
          <w:p w:rsidR="00AA5C8C" w:rsidRPr="00A23740" w:rsidRDefault="00AA5C8C" w:rsidP="009431FF">
            <w:pPr>
              <w:pStyle w:val="KIRMIZI"/>
            </w:pPr>
            <w:r w:rsidRPr="00A23740">
              <w:t xml:space="preserve">Madde 308/e- (1) … </w:t>
            </w:r>
          </w:p>
          <w:p w:rsidR="00AA5C8C" w:rsidRPr="00A23740" w:rsidRDefault="00AA5C8C" w:rsidP="009431FF">
            <w:pPr>
              <w:tabs>
                <w:tab w:val="left" w:pos="567"/>
              </w:tabs>
              <w:rPr>
                <w:szCs w:val="24"/>
              </w:rPr>
            </w:pPr>
            <w:r w:rsidRPr="00A23740">
              <w:rPr>
                <w:rStyle w:val="KIRMIZIChar"/>
                <w:rFonts w:eastAsia="Calibri"/>
              </w:rPr>
              <w:t>(2)</w:t>
            </w:r>
            <w:r w:rsidRPr="00A23740">
              <w:rPr>
                <w:b/>
                <w:szCs w:val="24"/>
              </w:rPr>
              <w:t xml:space="preserve"> </w:t>
            </w:r>
            <w:r w:rsidRPr="00A23740">
              <w:rPr>
                <w:rStyle w:val="KIRMIZIChar"/>
                <w:rFonts w:eastAsia="Calibri"/>
              </w:rPr>
              <w:t>Fesih</w:t>
            </w:r>
            <w:r w:rsidRPr="00A23740">
              <w:rPr>
                <w:szCs w:val="24"/>
              </w:rPr>
              <w:t xml:space="preserve"> talebi üzerine </w:t>
            </w:r>
            <w:r w:rsidRPr="00A23740">
              <w:rPr>
                <w:rStyle w:val="KIRMIZIChar"/>
                <w:rFonts w:eastAsia="Calibri"/>
              </w:rPr>
              <w:t>verilecek</w:t>
            </w:r>
            <w:r w:rsidRPr="00A23740">
              <w:rPr>
                <w:szCs w:val="24"/>
              </w:rPr>
              <w:t xml:space="preserve"> </w:t>
            </w:r>
            <w:r w:rsidRPr="00A23740">
              <w:rPr>
                <w:rStyle w:val="KIRMIZIChar"/>
                <w:rFonts w:eastAsia="Calibri"/>
              </w:rPr>
              <w:t xml:space="preserve">hükmün tebliğinden itibaren </w:t>
            </w:r>
            <w:r w:rsidR="00616853" w:rsidRPr="00A23740">
              <w:rPr>
                <w:rStyle w:val="KIRMIZIChar"/>
                <w:rFonts w:eastAsia="Calibri"/>
              </w:rPr>
              <w:t>iki hafta</w:t>
            </w:r>
            <w:r w:rsidRPr="00A23740">
              <w:rPr>
                <w:rStyle w:val="KIRMIZIChar"/>
                <w:rFonts w:eastAsia="Calibri"/>
              </w:rPr>
              <w:t xml:space="preserve"> içinde istinaf yoluna başvurulabilir.</w:t>
            </w:r>
            <w:r w:rsidRPr="00A23740">
              <w:rPr>
                <w:b/>
                <w:szCs w:val="24"/>
              </w:rPr>
              <w:t xml:space="preserve"> </w:t>
            </w:r>
            <w:r w:rsidRPr="00A23740">
              <w:rPr>
                <w:rStyle w:val="KIRMIZIChar"/>
                <w:rFonts w:eastAsia="Calibri"/>
              </w:rPr>
              <w:t xml:space="preserve">Bölge adliye mahkemesi </w:t>
            </w:r>
            <w:r w:rsidRPr="00A23740">
              <w:rPr>
                <w:bCs/>
              </w:rPr>
              <w:t xml:space="preserve">kararına karşı tebliğ tarihinden itibaren </w:t>
            </w:r>
            <w:r w:rsidR="00616853" w:rsidRPr="00A23740">
              <w:rPr>
                <w:szCs w:val="24"/>
              </w:rPr>
              <w:t>iki hafta</w:t>
            </w:r>
            <w:r w:rsidRPr="00A23740">
              <w:rPr>
                <w:bCs/>
              </w:rPr>
              <w:t xml:space="preserve"> içinde temyiz yoluna başvurulabilir.</w:t>
            </w:r>
          </w:p>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pStyle w:val="Mavi"/>
            </w:pPr>
            <w:r w:rsidRPr="00A23740">
              <w:t xml:space="preserve">Temyiz edilebilen kararlar </w:t>
            </w:r>
          </w:p>
          <w:p w:rsidR="00AA5C8C" w:rsidRPr="00A23740" w:rsidRDefault="00164036" w:rsidP="009431FF">
            <w:pPr>
              <w:tabs>
                <w:tab w:val="left" w:pos="567"/>
              </w:tabs>
              <w:rPr>
                <w:szCs w:val="24"/>
              </w:rPr>
            </w:pPr>
            <w:r w:rsidRPr="00A23740">
              <w:rPr>
                <w:b/>
                <w:bCs/>
                <w:color w:val="0000FF"/>
                <w:szCs w:val="24"/>
                <w:lang w:eastAsia="x-none"/>
              </w:rPr>
              <w:t>MADDE 412</w:t>
            </w:r>
            <w:r w:rsidR="00AA5C8C" w:rsidRPr="00A23740">
              <w:rPr>
                <w:b/>
                <w:bCs/>
                <w:color w:val="0000FF"/>
                <w:szCs w:val="24"/>
                <w:lang w:eastAsia="x-none"/>
              </w:rPr>
              <w:t xml:space="preserve">-  (1) Bölge adliye mahkemesinin </w:t>
            </w:r>
            <w:r w:rsidR="00AA5C8C" w:rsidRPr="00A23740">
              <w:rPr>
                <w:szCs w:val="24"/>
              </w:rPr>
              <w:t>konkordato</w:t>
            </w:r>
            <w:r w:rsidR="00AA5C8C" w:rsidRPr="00A23740">
              <w:rPr>
                <w:b/>
                <w:bCs/>
                <w:color w:val="0000FF"/>
                <w:szCs w:val="24"/>
                <w:lang w:eastAsia="x-none"/>
              </w:rPr>
              <w:t>nun tasdiki</w:t>
            </w:r>
            <w:r w:rsidR="00AD24F0" w:rsidRPr="00A23740">
              <w:rPr>
                <w:b/>
                <w:bCs/>
                <w:color w:val="0000FF"/>
                <w:szCs w:val="24"/>
                <w:lang w:eastAsia="x-none"/>
              </w:rPr>
              <w:t xml:space="preserve"> </w:t>
            </w:r>
            <w:r w:rsidR="00AA5C8C" w:rsidRPr="00A23740">
              <w:rPr>
                <w:szCs w:val="24"/>
              </w:rPr>
              <w:t xml:space="preserve">hakkında </w:t>
            </w:r>
            <w:r w:rsidR="00AD24F0" w:rsidRPr="00071245">
              <w:rPr>
                <w:rStyle w:val="MaviChar"/>
              </w:rPr>
              <w:t>verdiği</w:t>
            </w:r>
            <w:r w:rsidR="00AA5C8C" w:rsidRPr="00A23740">
              <w:rPr>
                <w:szCs w:val="24"/>
              </w:rPr>
              <w:t xml:space="preserve"> </w:t>
            </w:r>
            <w:r w:rsidR="00AA5C8C" w:rsidRPr="00A23740">
              <w:rPr>
                <w:b/>
                <w:bCs/>
                <w:color w:val="0000FF"/>
                <w:lang w:eastAsia="x-none"/>
              </w:rPr>
              <w:t>kabul veya ret</w:t>
            </w:r>
            <w:r w:rsidR="00AA5C8C" w:rsidRPr="00A23740">
              <w:rPr>
                <w:szCs w:val="24"/>
              </w:rPr>
              <w:t xml:space="preserve"> karar</w:t>
            </w:r>
            <w:r w:rsidR="00AA5C8C" w:rsidRPr="00A23740">
              <w:rPr>
                <w:b/>
                <w:bCs/>
                <w:color w:val="0000FF"/>
                <w:lang w:eastAsia="x-none"/>
              </w:rPr>
              <w:t>lar</w:t>
            </w:r>
            <w:r w:rsidR="00AA5C8C" w:rsidRPr="00A23740">
              <w:rPr>
                <w:rStyle w:val="MaviChar"/>
              </w:rPr>
              <w:t>ına</w:t>
            </w:r>
            <w:r w:rsidR="00AA5C8C" w:rsidRPr="00A23740">
              <w:rPr>
                <w:szCs w:val="24"/>
              </w:rPr>
              <w:t xml:space="preserve"> karşı</w:t>
            </w:r>
            <w:r w:rsidR="004318F8" w:rsidRPr="00071245">
              <w:rPr>
                <w:rStyle w:val="MaviChar"/>
              </w:rPr>
              <w:t>,</w:t>
            </w:r>
            <w:r w:rsidR="00AA5C8C" w:rsidRPr="00A23740">
              <w:rPr>
                <w:rStyle w:val="KonuBalChar"/>
                <w:rFonts w:eastAsia="Calibri"/>
              </w:rPr>
              <w:t xml:space="preserve"> </w:t>
            </w:r>
            <w:r w:rsidR="004318F8" w:rsidRPr="00071245">
              <w:rPr>
                <w:rStyle w:val="MaviChar"/>
              </w:rPr>
              <w:t xml:space="preserve">kararın </w:t>
            </w:r>
            <w:r w:rsidR="00AA5C8C" w:rsidRPr="00071245">
              <w:rPr>
                <w:rStyle w:val="MaviChar"/>
              </w:rPr>
              <w:t>tebliğ</w:t>
            </w:r>
            <w:r w:rsidR="004318F8" w:rsidRPr="00071245">
              <w:rPr>
                <w:rStyle w:val="MaviChar"/>
              </w:rPr>
              <w:t>i</w:t>
            </w:r>
            <w:r w:rsidR="00AA5C8C" w:rsidRPr="00A23740">
              <w:rPr>
                <w:rStyle w:val="MaviChar"/>
                <w:lang w:val="tr-TR"/>
              </w:rPr>
              <w:t xml:space="preserve"> tarih</w:t>
            </w:r>
            <w:r w:rsidR="00AA5C8C" w:rsidRPr="00A23740">
              <w:rPr>
                <w:rStyle w:val="MaviChar"/>
              </w:rPr>
              <w:t>inden itibaren</w:t>
            </w:r>
            <w:r w:rsidR="00AA5C8C" w:rsidRPr="00A23740">
              <w:rPr>
                <w:szCs w:val="24"/>
              </w:rPr>
              <w:t xml:space="preserve"> iki hafta içinde temyiz yoluna başvurulabilir.</w:t>
            </w:r>
          </w:p>
          <w:p w:rsidR="00AA5C8C" w:rsidRPr="00A23740" w:rsidRDefault="00AA5C8C" w:rsidP="009431FF">
            <w:pPr>
              <w:tabs>
                <w:tab w:val="left" w:pos="567"/>
              </w:tabs>
              <w:rPr>
                <w:szCs w:val="24"/>
              </w:rPr>
            </w:pPr>
          </w:p>
          <w:p w:rsidR="00AA5C8C" w:rsidRPr="00A23740" w:rsidRDefault="00AA5C8C" w:rsidP="009431FF">
            <w:pPr>
              <w:pStyle w:val="KIRMIZI"/>
              <w:rPr>
                <w:color w:val="0000FF"/>
              </w:rPr>
            </w:pPr>
          </w:p>
          <w:p w:rsidR="00AA5C8C" w:rsidRPr="00A23740" w:rsidRDefault="00AA5C8C" w:rsidP="009431FF">
            <w:pPr>
              <w:tabs>
                <w:tab w:val="left" w:pos="567"/>
              </w:tabs>
              <w:rPr>
                <w:b/>
                <w:bCs/>
                <w:color w:val="0000FF"/>
                <w:szCs w:val="24"/>
                <w:lang w:eastAsia="x-none"/>
              </w:rPr>
            </w:pPr>
          </w:p>
          <w:p w:rsidR="005A78F4" w:rsidRPr="00A23740" w:rsidRDefault="005A78F4" w:rsidP="009431FF">
            <w:pPr>
              <w:tabs>
                <w:tab w:val="left" w:pos="567"/>
              </w:tabs>
              <w:rPr>
                <w:b/>
                <w:bCs/>
                <w:color w:val="0000FF"/>
                <w:szCs w:val="24"/>
                <w:lang w:eastAsia="x-none"/>
              </w:rPr>
            </w:pPr>
          </w:p>
          <w:p w:rsidR="005A78F4" w:rsidRPr="00A23740" w:rsidRDefault="005A78F4" w:rsidP="009431FF">
            <w:pPr>
              <w:tabs>
                <w:tab w:val="left" w:pos="567"/>
              </w:tabs>
              <w:rPr>
                <w:b/>
                <w:bCs/>
                <w:color w:val="0000FF"/>
                <w:szCs w:val="24"/>
                <w:lang w:eastAsia="x-none"/>
              </w:rPr>
            </w:pPr>
          </w:p>
          <w:p w:rsidR="005A78F4" w:rsidRPr="00A23740" w:rsidRDefault="005A78F4" w:rsidP="009431FF">
            <w:pPr>
              <w:tabs>
                <w:tab w:val="left" w:pos="567"/>
              </w:tabs>
              <w:rPr>
                <w:b/>
                <w:bCs/>
                <w:color w:val="0000FF"/>
                <w:szCs w:val="24"/>
                <w:lang w:eastAsia="x-none"/>
              </w:rPr>
            </w:pPr>
          </w:p>
          <w:p w:rsidR="00AA5C8C" w:rsidRPr="00A23740" w:rsidRDefault="00AA5C8C" w:rsidP="009431FF">
            <w:pPr>
              <w:tabs>
                <w:tab w:val="left" w:pos="567"/>
              </w:tabs>
              <w:rPr>
                <w:szCs w:val="24"/>
              </w:rPr>
            </w:pPr>
            <w:r w:rsidRPr="00A23740">
              <w:rPr>
                <w:b/>
                <w:bCs/>
                <w:color w:val="0000FF"/>
                <w:szCs w:val="24"/>
                <w:lang w:eastAsia="x-none"/>
              </w:rPr>
              <w:t xml:space="preserve">(2) Bölge adliye mahkemesinin konkordatonun tamamen veya kısmen </w:t>
            </w:r>
            <w:r w:rsidRPr="00A23740">
              <w:rPr>
                <w:rStyle w:val="MaviChar"/>
              </w:rPr>
              <w:t>iptali</w:t>
            </w:r>
            <w:r w:rsidRPr="00A23740">
              <w:rPr>
                <w:b/>
                <w:bCs/>
                <w:color w:val="0000FF"/>
                <w:szCs w:val="24"/>
                <w:lang w:eastAsia="x-none"/>
              </w:rPr>
              <w:t xml:space="preserve"> </w:t>
            </w:r>
            <w:r w:rsidRPr="00A23740">
              <w:rPr>
                <w:szCs w:val="24"/>
              </w:rPr>
              <w:t xml:space="preserve">talebi üzerine </w:t>
            </w:r>
            <w:r w:rsidR="008C0DFC" w:rsidRPr="00071245">
              <w:rPr>
                <w:rStyle w:val="MaviChar"/>
              </w:rPr>
              <w:t>verdiği karara</w:t>
            </w:r>
            <w:r w:rsidRPr="00A23740">
              <w:rPr>
                <w:szCs w:val="24"/>
              </w:rPr>
              <w:t xml:space="preserve"> karşı tebliğ tarihinden itibaren iki hafta içinde temyiz yoluna başvurulabilir.</w:t>
            </w:r>
          </w:p>
          <w:p w:rsidR="00AA5C8C" w:rsidRPr="00A23740" w:rsidRDefault="00AA5C8C" w:rsidP="009431FF">
            <w:pPr>
              <w:rPr>
                <w:b/>
                <w:bCs/>
                <w:color w:val="0000FF"/>
                <w:szCs w:val="24"/>
                <w:lang w:eastAsia="x-none"/>
              </w:rPr>
            </w:pPr>
          </w:p>
        </w:tc>
      </w:tr>
      <w:tr w:rsidR="005C3738" w:rsidRPr="00A23740" w:rsidTr="009431FF">
        <w:tc>
          <w:tcPr>
            <w:tcW w:w="5000" w:type="pct"/>
            <w:gridSpan w:val="2"/>
            <w:shd w:val="clear" w:color="auto" w:fill="DEEAF6"/>
          </w:tcPr>
          <w:p w:rsidR="00214CB5" w:rsidRDefault="00214CB5" w:rsidP="009431FF">
            <w:pPr>
              <w:tabs>
                <w:tab w:val="left" w:pos="567"/>
              </w:tabs>
              <w:ind w:firstLine="709"/>
              <w:rPr>
                <w:bCs/>
                <w:lang w:eastAsia="x-none"/>
              </w:rPr>
            </w:pPr>
          </w:p>
          <w:p w:rsidR="00285F60" w:rsidRPr="00A23740" w:rsidRDefault="00164036" w:rsidP="009431FF">
            <w:pPr>
              <w:tabs>
                <w:tab w:val="left" w:pos="567"/>
              </w:tabs>
              <w:ind w:firstLine="709"/>
              <w:rPr>
                <w:bCs/>
                <w:szCs w:val="24"/>
                <w:lang w:eastAsia="x-none"/>
              </w:rPr>
            </w:pPr>
            <w:r w:rsidRPr="00A23740">
              <w:rPr>
                <w:rStyle w:val="YELChar"/>
                <w:color w:val="auto"/>
              </w:rPr>
              <w:t>MADDE 412</w:t>
            </w:r>
            <w:r w:rsidR="00285F60" w:rsidRPr="00A23740">
              <w:rPr>
                <w:rStyle w:val="YELChar"/>
                <w:color w:val="auto"/>
              </w:rPr>
              <w:t>-</w:t>
            </w:r>
            <w:r w:rsidR="00285F60" w:rsidRPr="00A23740">
              <w:rPr>
                <w:b/>
                <w:bCs/>
                <w:szCs w:val="24"/>
                <w:lang w:eastAsia="x-none"/>
              </w:rPr>
              <w:t xml:space="preserve"> </w:t>
            </w:r>
            <w:r w:rsidR="00285F60" w:rsidRPr="00A23740">
              <w:rPr>
                <w:bCs/>
                <w:szCs w:val="24"/>
                <w:lang w:eastAsia="x-none"/>
              </w:rPr>
              <w:t>Maddeyle, temyiz edilebilen kararlara ilişkin hususlar düzenlenmektedir.</w:t>
            </w:r>
          </w:p>
          <w:p w:rsidR="00285F60" w:rsidRPr="00A23740" w:rsidRDefault="00285F60" w:rsidP="009431FF">
            <w:pPr>
              <w:tabs>
                <w:tab w:val="left" w:pos="567"/>
              </w:tabs>
              <w:ind w:firstLine="709"/>
              <w:rPr>
                <w:b/>
                <w:bCs/>
                <w:szCs w:val="24"/>
                <w:lang w:eastAsia="x-none"/>
              </w:rPr>
            </w:pPr>
            <w:r w:rsidRPr="00A23740">
              <w:rPr>
                <w:bCs/>
                <w:szCs w:val="24"/>
                <w:lang w:eastAsia="x-none"/>
              </w:rPr>
              <w:t>Konkordatonun tasdikiyle ilgili olarak ilk derece mahkemesince verilecek kararlar bakımından istinaf kanun yolu açık olduğu gibi</w:t>
            </w:r>
            <w:r w:rsidR="006A430D" w:rsidRPr="00A23740">
              <w:rPr>
                <w:bCs/>
                <w:szCs w:val="24"/>
                <w:lang w:eastAsia="x-none"/>
              </w:rPr>
              <w:t>,</w:t>
            </w:r>
            <w:r w:rsidRPr="00A23740">
              <w:rPr>
                <w:bCs/>
                <w:szCs w:val="24"/>
                <w:lang w:eastAsia="x-none"/>
              </w:rPr>
              <w:t xml:space="preserve"> </w:t>
            </w:r>
            <w:r w:rsidR="008C0DFC" w:rsidRPr="00A23740">
              <w:rPr>
                <w:bCs/>
                <w:szCs w:val="24"/>
                <w:lang w:eastAsia="x-none"/>
              </w:rPr>
              <w:t>bölge adliye mahkemesince</w:t>
            </w:r>
            <w:r w:rsidRPr="00A23740">
              <w:rPr>
                <w:bCs/>
                <w:szCs w:val="24"/>
                <w:lang w:eastAsia="x-none"/>
              </w:rPr>
              <w:t xml:space="preserve"> istinaf denetimi üzerine verilecek kararlar da temyizi kabildir. Bu sahada ülke çapında uygulama birliğinin sağlanabilmesi için</w:t>
            </w:r>
            <w:r w:rsidR="006A430D" w:rsidRPr="00A23740">
              <w:rPr>
                <w:bCs/>
                <w:szCs w:val="24"/>
                <w:lang w:eastAsia="x-none"/>
              </w:rPr>
              <w:t>,</w:t>
            </w:r>
            <w:r w:rsidRPr="00A23740">
              <w:rPr>
                <w:bCs/>
                <w:szCs w:val="24"/>
                <w:lang w:eastAsia="x-none"/>
              </w:rPr>
              <w:t xml:space="preserve"> </w:t>
            </w:r>
            <w:r w:rsidR="008C0DFC" w:rsidRPr="00A23740">
              <w:rPr>
                <w:bCs/>
                <w:szCs w:val="24"/>
                <w:lang w:eastAsia="x-none"/>
              </w:rPr>
              <w:t>Yargıtay</w:t>
            </w:r>
            <w:r w:rsidRPr="00A23740">
              <w:rPr>
                <w:bCs/>
                <w:szCs w:val="24"/>
                <w:lang w:eastAsia="x-none"/>
              </w:rPr>
              <w:t>ın içtihatlarına duyulan ihtiyaç büyüktür. Bir önceki maddede, “</w:t>
            </w:r>
            <w:r w:rsidRPr="00A23740">
              <w:rPr>
                <w:bCs/>
                <w:i/>
                <w:iCs/>
                <w:szCs w:val="24"/>
                <w:lang w:eastAsia="x-none"/>
              </w:rPr>
              <w:t>konkordatonun tasdiki hakkındaki karar</w:t>
            </w:r>
            <w:r w:rsidRPr="00A23740">
              <w:rPr>
                <w:bCs/>
                <w:szCs w:val="24"/>
                <w:lang w:eastAsia="x-none"/>
              </w:rPr>
              <w:t xml:space="preserve">” ile hem olumlu içerikteki tasdik hem de olumsuz içeriğiyle tasdik talebinin reddine yönelik kararlar anlatılmak istenmişti. Aynı durum, </w:t>
            </w:r>
            <w:r w:rsidR="008C0DFC" w:rsidRPr="00A23740">
              <w:rPr>
                <w:bCs/>
                <w:szCs w:val="24"/>
                <w:lang w:eastAsia="x-none"/>
              </w:rPr>
              <w:t>bölge adliye mahkemesinin</w:t>
            </w:r>
            <w:r w:rsidRPr="00A23740">
              <w:rPr>
                <w:bCs/>
                <w:szCs w:val="24"/>
                <w:lang w:eastAsia="x-none"/>
              </w:rPr>
              <w:t xml:space="preserve"> istinaf denetimi neticesinde verecek olduğu kararlar için de geçerlidir. Bölge </w:t>
            </w:r>
            <w:r w:rsidR="008C0DFC" w:rsidRPr="00A23740">
              <w:rPr>
                <w:bCs/>
                <w:szCs w:val="24"/>
                <w:lang w:eastAsia="x-none"/>
              </w:rPr>
              <w:t xml:space="preserve">adliye mahkemesinin </w:t>
            </w:r>
            <w:r w:rsidRPr="00A23740">
              <w:rPr>
                <w:bCs/>
                <w:szCs w:val="24"/>
                <w:lang w:eastAsia="x-none"/>
              </w:rPr>
              <w:t>ilk derece mahkemesi kararının kaldırılmasıyla tasdike veya bu kez konkordatonun tasdiki talebinin reddine ilişkin kararları yanında pek tabiî olarak istinaf talebinin reddine yönelik kararlarına karşı da temyiz yoluna müracaat edilebilecektir. Bu sırada gerektiğinde ayrıca bir ifl</w:t>
            </w:r>
            <w:r w:rsidR="008C0DFC" w:rsidRPr="00A23740">
              <w:rPr>
                <w:bCs/>
                <w:szCs w:val="24"/>
                <w:lang w:eastAsia="x-none"/>
              </w:rPr>
              <w:t>a</w:t>
            </w:r>
            <w:r w:rsidRPr="00A23740">
              <w:rPr>
                <w:bCs/>
                <w:szCs w:val="24"/>
                <w:lang w:eastAsia="x-none"/>
              </w:rPr>
              <w:t>s kararı verilmişse</w:t>
            </w:r>
            <w:r w:rsidR="006A430D" w:rsidRPr="00A23740">
              <w:rPr>
                <w:bCs/>
                <w:szCs w:val="24"/>
                <w:lang w:eastAsia="x-none"/>
              </w:rPr>
              <w:t>,</w:t>
            </w:r>
            <w:r w:rsidRPr="00A23740">
              <w:rPr>
                <w:bCs/>
                <w:szCs w:val="24"/>
                <w:lang w:eastAsia="x-none"/>
              </w:rPr>
              <w:t xml:space="preserve"> ifl</w:t>
            </w:r>
            <w:r w:rsidR="008C0DFC" w:rsidRPr="00A23740">
              <w:rPr>
                <w:bCs/>
                <w:szCs w:val="24"/>
                <w:lang w:eastAsia="x-none"/>
              </w:rPr>
              <w:t>a</w:t>
            </w:r>
            <w:r w:rsidRPr="00A23740">
              <w:rPr>
                <w:bCs/>
                <w:szCs w:val="24"/>
                <w:lang w:eastAsia="x-none"/>
              </w:rPr>
              <w:t>s kararlarının tabi olduğu kanun yolu rejimi, her h</w:t>
            </w:r>
            <w:r w:rsidR="00C2196C" w:rsidRPr="00A23740">
              <w:rPr>
                <w:bCs/>
                <w:szCs w:val="24"/>
                <w:lang w:eastAsia="x-none"/>
              </w:rPr>
              <w:t>â</w:t>
            </w:r>
            <w:r w:rsidRPr="00A23740">
              <w:rPr>
                <w:bCs/>
                <w:szCs w:val="24"/>
                <w:lang w:eastAsia="x-none"/>
              </w:rPr>
              <w:t xml:space="preserve">lükârda geçerlilik kazanacaktır. </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Birinci fıkrada yazılı hususlar, bu kez ikinci fıkrada yazılı ve konkordatonun kısmen veya tamamen iptaline ilişkin kararlar hakkında da geçerli olup süreler, tüm bu hâllerde tebliğden itibaren işlemek üzere iki haftadır. </w:t>
            </w:r>
          </w:p>
          <w:p w:rsidR="005C3738" w:rsidRPr="00A23740" w:rsidRDefault="005C373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pStyle w:val="AralkYok"/>
              <w:ind w:firstLine="0"/>
              <w:rPr>
                <w:lang w:val="tr-TR" w:eastAsia="tr-TR"/>
              </w:rPr>
            </w:pPr>
            <w:r w:rsidRPr="00A23740">
              <w:rPr>
                <w:rStyle w:val="AralkYokChar"/>
                <w:lang w:val="tr-TR"/>
              </w:rPr>
              <w:t>II.</w:t>
            </w:r>
            <w:r w:rsidRPr="00A23740">
              <w:rPr>
                <w:lang w:val="tr-TR" w:eastAsia="tr-TR"/>
              </w:rPr>
              <w:t xml:space="preserve"> REHİNLİ ALACAKLILARLA MÜZAKERE VE BORÇLARIN YAPILANDIRILMASI</w:t>
            </w:r>
          </w:p>
          <w:p w:rsidR="00AA5C8C" w:rsidRPr="00A23740" w:rsidRDefault="00AA5C8C" w:rsidP="009431FF">
            <w:pPr>
              <w:pStyle w:val="AralkYok"/>
              <w:ind w:firstLine="0"/>
              <w:rPr>
                <w:vertAlign w:val="superscript"/>
                <w:lang w:val="tr-TR" w:eastAsia="tr-TR"/>
              </w:rPr>
            </w:pPr>
          </w:p>
          <w:p w:rsidR="00AA5C8C" w:rsidRPr="00A23740" w:rsidRDefault="00AA5C8C" w:rsidP="009431FF">
            <w:pPr>
              <w:rPr>
                <w:rFonts w:eastAsia="Times New Roman"/>
                <w:i/>
                <w:szCs w:val="24"/>
                <w:lang w:eastAsia="tr-TR"/>
              </w:rPr>
            </w:pPr>
            <w:r w:rsidRPr="00A23740">
              <w:rPr>
                <w:rFonts w:eastAsia="Times New Roman"/>
                <w:i/>
                <w:szCs w:val="24"/>
                <w:lang w:eastAsia="tr-TR"/>
              </w:rPr>
              <w:t xml:space="preserve">Rehinli alacaklılarla müzakere </w:t>
            </w:r>
            <w:r w:rsidRPr="00A23740">
              <w:rPr>
                <w:rStyle w:val="KIRMIZIChar"/>
                <w:rFonts w:eastAsia="Calibri"/>
              </w:rPr>
              <w:t>şartları ve yapılandırmanın hükümleri:</w:t>
            </w:r>
          </w:p>
          <w:p w:rsidR="00AA5C8C" w:rsidRPr="00A23740" w:rsidRDefault="00AA5C8C" w:rsidP="009431FF">
            <w:pPr>
              <w:rPr>
                <w:rFonts w:eastAsia="Times New Roman"/>
                <w:b/>
                <w:szCs w:val="24"/>
                <w:lang w:eastAsia="tr-TR"/>
              </w:rPr>
            </w:pPr>
            <w:r w:rsidRPr="00A23740">
              <w:rPr>
                <w:rStyle w:val="KIRMIZIChar"/>
                <w:rFonts w:eastAsia="Calibri"/>
              </w:rPr>
              <w:t>Madde 308/h- (1) (Ek: 28/2/2018-7101/38 md.)</w:t>
            </w:r>
            <w:r w:rsidRPr="00A23740">
              <w:rPr>
                <w:rFonts w:eastAsia="Times New Roman"/>
                <w:b/>
                <w:szCs w:val="24"/>
                <w:lang w:eastAsia="tr-TR"/>
              </w:rPr>
              <w:t xml:space="preserve"> </w:t>
            </w:r>
          </w:p>
          <w:p w:rsidR="00AA5C8C" w:rsidRPr="00A23740" w:rsidRDefault="00AA5C8C" w:rsidP="009431FF">
            <w:pPr>
              <w:rPr>
                <w:rFonts w:eastAsia="Times New Roman"/>
                <w:szCs w:val="24"/>
                <w:lang w:eastAsia="tr-TR"/>
              </w:rPr>
            </w:pPr>
            <w:r w:rsidRPr="00A23740">
              <w:rPr>
                <w:rFonts w:eastAsia="Times New Roman"/>
                <w:szCs w:val="24"/>
                <w:lang w:eastAsia="tr-TR"/>
              </w:rPr>
              <w:t xml:space="preserve">Adi konkordatoda borçlu, </w:t>
            </w:r>
            <w:r w:rsidRPr="00A23740">
              <w:rPr>
                <w:rStyle w:val="KIRMIZIChar"/>
                <w:rFonts w:eastAsia="Calibri"/>
              </w:rPr>
              <w:t>ön</w:t>
            </w:r>
            <w:r w:rsidRPr="00A23740">
              <w:rPr>
                <w:rFonts w:eastAsia="Times New Roman"/>
                <w:szCs w:val="24"/>
                <w:lang w:eastAsia="tr-TR"/>
              </w:rPr>
              <w:t xml:space="preserve"> projede belirtmek </w:t>
            </w:r>
            <w:r w:rsidRPr="00A23740">
              <w:rPr>
                <w:rStyle w:val="KIRMIZIChar"/>
                <w:rFonts w:eastAsia="Calibri"/>
              </w:rPr>
              <w:t>suretiyle</w:t>
            </w:r>
            <w:r w:rsidRPr="00A23740">
              <w:rPr>
                <w:rFonts w:eastAsia="Times New Roman"/>
                <w:szCs w:val="24"/>
                <w:lang w:eastAsia="tr-TR"/>
              </w:rPr>
              <w:t xml:space="preserve">, alacaklı lehine rehin tesis edilmiş borçlarının yapılandırılmasını bu </w:t>
            </w:r>
            <w:r w:rsidRPr="00A23740">
              <w:rPr>
                <w:rStyle w:val="KIRMIZIChar"/>
                <w:rFonts w:eastAsia="Calibri"/>
              </w:rPr>
              <w:t>madde</w:t>
            </w:r>
            <w:r w:rsidRPr="00A23740">
              <w:rPr>
                <w:rFonts w:eastAsia="Times New Roman"/>
                <w:szCs w:val="24"/>
                <w:lang w:eastAsia="tr-TR"/>
              </w:rPr>
              <w:t xml:space="preserve"> uyarınca talep eder.</w:t>
            </w:r>
          </w:p>
          <w:p w:rsidR="00AA5C8C" w:rsidRPr="00A23740" w:rsidRDefault="00AA5C8C" w:rsidP="009431FF">
            <w:pPr>
              <w:rPr>
                <w:rFonts w:eastAsia="Times New Roman"/>
                <w:szCs w:val="24"/>
                <w:lang w:eastAsia="tr-TR"/>
              </w:rPr>
            </w:pPr>
            <w:r w:rsidRPr="00A23740">
              <w:rPr>
                <w:rStyle w:val="KIRMIZIChar"/>
                <w:rFonts w:eastAsia="Calibri"/>
              </w:rPr>
              <w:t>(9)</w:t>
            </w:r>
            <w:r w:rsidRPr="00A23740">
              <w:rPr>
                <w:rFonts w:eastAsia="Times New Roman"/>
                <w:szCs w:val="24"/>
                <w:lang w:eastAsia="tr-TR"/>
              </w:rPr>
              <w:t xml:space="preserve"> Bu </w:t>
            </w:r>
            <w:r w:rsidRPr="00A23740">
              <w:rPr>
                <w:rStyle w:val="KIRMIZIChar"/>
                <w:rFonts w:eastAsia="Calibri"/>
              </w:rPr>
              <w:t>madde</w:t>
            </w:r>
            <w:r w:rsidRPr="00A23740">
              <w:rPr>
                <w:rFonts w:eastAsia="Times New Roman"/>
                <w:szCs w:val="24"/>
                <w:lang w:eastAsia="tr-TR"/>
              </w:rPr>
              <w:t xml:space="preserve"> münhasıran adi konkordatoda borçlunun, alacaklı lehine rehin tesis edilmiş borçlarının yapılandırılması teklifinde bulunması hâlinde uygulanır. </w:t>
            </w:r>
            <w:r w:rsidRPr="00A23740">
              <w:rPr>
                <w:rStyle w:val="KIRMIZIChar"/>
                <w:rFonts w:eastAsia="Calibri"/>
              </w:rPr>
              <w:t>285 ilâ 309/l</w:t>
            </w:r>
            <w:r w:rsidRPr="00A23740">
              <w:rPr>
                <w:rStyle w:val="KIRMIZIChar"/>
                <w:rFonts w:eastAsia="Calibri"/>
                <w:strike w:val="0"/>
              </w:rPr>
              <w:t xml:space="preserve"> </w:t>
            </w:r>
            <w:r w:rsidRPr="00A23740">
              <w:rPr>
                <w:bCs/>
                <w:lang w:eastAsia="tr-TR"/>
              </w:rPr>
              <w:t>maddeler</w:t>
            </w:r>
            <w:r w:rsidRPr="00A23740">
              <w:rPr>
                <w:rStyle w:val="KIRMIZIChar"/>
                <w:rFonts w:eastAsia="Calibri"/>
              </w:rPr>
              <w:t>i</w:t>
            </w:r>
            <w:r w:rsidRPr="00A23740">
              <w:rPr>
                <w:rFonts w:eastAsia="Times New Roman"/>
                <w:szCs w:val="24"/>
                <w:lang w:eastAsia="tr-TR"/>
              </w:rPr>
              <w:t>, açıkça belirtilmedikçe rehinli alacaklılar hakkında uygulanmaz.</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Komiser, kesin mühlet içinde uygun göreceği zamanda bütün rehinli alacaklıları borçlunun anapara indirimi, faiz indirimi, vadelendirme veya diğer ödeme tekliflerini müzakere etmek üzere tebligat çıkartarak davet eder. </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(3)</w:t>
            </w:r>
            <w:r w:rsidRPr="00A23740">
              <w:rPr>
                <w:rFonts w:eastAsia="Times New Roman"/>
                <w:szCs w:val="24"/>
                <w:lang w:eastAsia="tr-TR"/>
              </w:rPr>
              <w:t xml:space="preserve"> Müzakerede ve müzakereyi takip eden </w:t>
            </w:r>
            <w:r w:rsidRPr="00A23740">
              <w:rPr>
                <w:rStyle w:val="KIRMIZIChar"/>
                <w:rFonts w:eastAsia="Calibri"/>
              </w:rPr>
              <w:t>yedi günlük</w:t>
            </w:r>
            <w:r w:rsidRPr="00A23740">
              <w:rPr>
                <w:rFonts w:eastAsia="Times New Roman"/>
                <w:szCs w:val="24"/>
                <w:lang w:eastAsia="tr-TR"/>
              </w:rPr>
              <w:t xml:space="preserve"> iltihak süresi içinde rehinli alacaklıların, alacak miktarı itibarıyla </w:t>
            </w:r>
            <w:r w:rsidRPr="00A23740">
              <w:rPr>
                <w:rStyle w:val="KIRMIZIChar"/>
                <w:rFonts w:eastAsia="Calibri"/>
              </w:rPr>
              <w:t>üçte ikiyi</w:t>
            </w:r>
            <w:r w:rsidRPr="00A23740">
              <w:rPr>
                <w:rFonts w:eastAsia="Times New Roman"/>
                <w:szCs w:val="24"/>
                <w:lang w:eastAsia="tr-TR"/>
              </w:rPr>
              <w:t xml:space="preserve"> aşan çoğunluğu ile bir anlaşma hasıl olursa, komiser, imzalanan anlaşmaları tutanağa bağlar ve rehinli alacaklılarla anlaşma yapıldığını </w:t>
            </w:r>
            <w:r w:rsidRPr="00A23740">
              <w:rPr>
                <w:rStyle w:val="KIRMIZIChar"/>
                <w:rFonts w:eastAsia="Calibri"/>
              </w:rPr>
              <w:t>302 nci</w:t>
            </w:r>
            <w:r w:rsidRPr="00A23740">
              <w:rPr>
                <w:rFonts w:eastAsia="Times New Roman"/>
                <w:szCs w:val="24"/>
                <w:lang w:eastAsia="tr-TR"/>
              </w:rPr>
              <w:t xml:space="preserve"> madde uyarınca mahkemeye tevdi edeceği gerekçeli raporuna ayrı ve bağımsız bir başlık altında işler. </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(5)</w:t>
            </w:r>
            <w:r w:rsidRPr="00A23740">
              <w:rPr>
                <w:rFonts w:eastAsia="Times New Roman"/>
                <w:szCs w:val="24"/>
                <w:lang w:eastAsia="tr-TR"/>
              </w:rPr>
              <w:t xml:space="preserve"> Rehinli alacaklılarla bir anlaşmaya varılamamışsa, bu husus da komiserin gerekçeli raporuna işlenir.</w:t>
            </w:r>
          </w:p>
          <w:p w:rsidR="00AA5C8C" w:rsidRPr="00A23740" w:rsidRDefault="00AA5C8C" w:rsidP="009431FF">
            <w:pPr>
              <w:rPr>
                <w:b/>
                <w:color w:val="FF0000"/>
                <w:szCs w:val="24"/>
              </w:rPr>
            </w:pPr>
          </w:p>
        </w:tc>
        <w:tc>
          <w:tcPr>
            <w:tcW w:w="2500" w:type="pct"/>
            <w:shd w:val="clear" w:color="auto" w:fill="FFFFFF"/>
          </w:tcPr>
          <w:p w:rsidR="00AA5C8C" w:rsidRPr="00A23740" w:rsidRDefault="00AA5C8C" w:rsidP="009431FF">
            <w:pPr>
              <w:pStyle w:val="Mavi"/>
              <w:jc w:val="center"/>
              <w:rPr>
                <w:lang w:val="tr-TR"/>
              </w:rPr>
            </w:pPr>
            <w:r w:rsidRPr="00A23740">
              <w:rPr>
                <w:lang w:val="tr-TR"/>
              </w:rPr>
              <w:t>İKİNCİ BÖLÜM</w:t>
            </w:r>
          </w:p>
          <w:p w:rsidR="00AA5C8C" w:rsidRPr="00A23740" w:rsidRDefault="00AA5C8C" w:rsidP="009431FF">
            <w:pPr>
              <w:pStyle w:val="Mavi"/>
              <w:jc w:val="center"/>
              <w:rPr>
                <w:lang w:val="tr-TR"/>
              </w:rPr>
            </w:pPr>
            <w:r w:rsidRPr="00A23740">
              <w:rPr>
                <w:lang w:val="tr-TR"/>
              </w:rPr>
              <w:t>Rehinli Alacaklılarla Müzakere ve Borçların Yapılandırılması</w:t>
            </w:r>
          </w:p>
          <w:p w:rsidR="00AA5C8C" w:rsidRPr="00A23740" w:rsidRDefault="00AA5C8C" w:rsidP="009431FF">
            <w:pPr>
              <w:rPr>
                <w:rFonts w:eastAsia="Times New Roman"/>
                <w:i/>
                <w:szCs w:val="24"/>
                <w:lang w:eastAsia="tr-TR"/>
              </w:rPr>
            </w:pPr>
          </w:p>
          <w:p w:rsidR="00AA5C8C" w:rsidRPr="00A23740" w:rsidRDefault="00AA5C8C" w:rsidP="009431FF">
            <w:pPr>
              <w:rPr>
                <w:rStyle w:val="KIRMIZIChar"/>
                <w:rFonts w:eastAsia="Calibri"/>
              </w:rPr>
            </w:pPr>
            <w:r w:rsidRPr="00A23740">
              <w:rPr>
                <w:rFonts w:eastAsia="Times New Roman"/>
                <w:b/>
                <w:szCs w:val="24"/>
                <w:lang w:eastAsia="tr-TR"/>
              </w:rPr>
              <w:t>Rehinli alacaklılarla müzakere</w:t>
            </w:r>
          </w:p>
          <w:p w:rsidR="00AA5C8C" w:rsidRPr="00A23740" w:rsidRDefault="00AA5C8C" w:rsidP="009431FF">
            <w:pPr>
              <w:rPr>
                <w:rFonts w:eastAsia="Times New Roman"/>
                <w:szCs w:val="24"/>
                <w:lang w:eastAsia="tr-TR"/>
              </w:rPr>
            </w:pPr>
            <w:r w:rsidRPr="00A23740">
              <w:rPr>
                <w:rStyle w:val="MaviChar"/>
                <w:lang w:val="tr-TR"/>
              </w:rPr>
              <w:t>MADDE 4</w:t>
            </w:r>
            <w:r w:rsidR="00164036" w:rsidRPr="00A23740">
              <w:rPr>
                <w:rStyle w:val="MaviChar"/>
                <w:lang w:val="tr-TR"/>
              </w:rPr>
              <w:t>13</w:t>
            </w:r>
            <w:r w:rsidRPr="00A23740">
              <w:rPr>
                <w:rStyle w:val="MaviChar"/>
                <w:lang w:val="tr-TR"/>
              </w:rPr>
              <w:t>- (1)</w:t>
            </w:r>
            <w:r w:rsidRPr="00A23740">
              <w:rPr>
                <w:szCs w:val="24"/>
              </w:rPr>
              <w:t xml:space="preserve"> </w:t>
            </w:r>
            <w:r w:rsidRPr="00A23740">
              <w:rPr>
                <w:rFonts w:eastAsia="Times New Roman"/>
                <w:szCs w:val="24"/>
                <w:lang w:eastAsia="tr-TR"/>
              </w:rPr>
              <w:t xml:space="preserve">Adi konkordatoda borçlu, </w:t>
            </w:r>
            <w:r w:rsidRPr="00A23740">
              <w:rPr>
                <w:rStyle w:val="Balk1Char"/>
                <w:rFonts w:eastAsia="ヒラギノ明朝 Pro W3"/>
              </w:rPr>
              <w:t>alacaklılar toplantısına sunulacak olan</w:t>
            </w:r>
            <w:r w:rsidRPr="00A23740">
              <w:rPr>
                <w:rFonts w:eastAsia="Times New Roman"/>
                <w:szCs w:val="24"/>
                <w:lang w:eastAsia="tr-TR"/>
              </w:rPr>
              <w:t xml:space="preserve"> projede belirtmek </w:t>
            </w:r>
            <w:r w:rsidRPr="00A23740">
              <w:rPr>
                <w:rStyle w:val="Balk1Char"/>
                <w:rFonts w:eastAsia="ヒラギノ明朝 Pro W3"/>
              </w:rPr>
              <w:t>şartıyla</w:t>
            </w:r>
            <w:r w:rsidRPr="00A23740">
              <w:rPr>
                <w:rFonts w:eastAsia="Times New Roman"/>
                <w:szCs w:val="24"/>
                <w:lang w:eastAsia="tr-TR"/>
              </w:rPr>
              <w:t xml:space="preserve">, alacaklı lehine rehin tesis edilmiş borçlarının yapılandırılmasını bu </w:t>
            </w:r>
            <w:r w:rsidRPr="00A23740">
              <w:rPr>
                <w:rStyle w:val="MaviChar"/>
              </w:rPr>
              <w:t>bölüm hükümleri</w:t>
            </w:r>
            <w:r w:rsidRPr="00A23740">
              <w:rPr>
                <w:rFonts w:eastAsia="Times New Roman"/>
                <w:szCs w:val="24"/>
                <w:lang w:eastAsia="tr-TR"/>
              </w:rPr>
              <w:t xml:space="preserve"> uyarınca talep eder.</w:t>
            </w:r>
            <w:r w:rsidRPr="00A23740">
              <w:rPr>
                <w:szCs w:val="24"/>
              </w:rPr>
              <w:t xml:space="preserve"> </w:t>
            </w:r>
            <w:r w:rsidRPr="00A23740">
              <w:rPr>
                <w:rFonts w:eastAsia="Times New Roman"/>
                <w:szCs w:val="24"/>
                <w:lang w:eastAsia="tr-TR"/>
              </w:rPr>
              <w:t xml:space="preserve">Bu </w:t>
            </w:r>
            <w:r w:rsidRPr="00A23740">
              <w:rPr>
                <w:rStyle w:val="MaviChar"/>
              </w:rPr>
              <w:t>bölüm</w:t>
            </w:r>
            <w:r w:rsidRPr="00A23740">
              <w:rPr>
                <w:rFonts w:eastAsia="Times New Roman"/>
                <w:szCs w:val="24"/>
                <w:lang w:eastAsia="tr-TR"/>
              </w:rPr>
              <w:t xml:space="preserve"> münhasıran adi konkordatoda borçlunun, alacaklı lehine rehin tesis edilmiş borçlarının yapılandırılması teklifinde bulunması hâlinde uygulanır. </w:t>
            </w:r>
            <w:r w:rsidRPr="00A23740">
              <w:rPr>
                <w:rStyle w:val="Balk1Char"/>
                <w:rFonts w:eastAsia="ヒラギノ明朝 Pro W3"/>
              </w:rPr>
              <w:t>Konkordato hakkındaki</w:t>
            </w:r>
            <w:r w:rsidR="00CE798E" w:rsidRPr="00A23740">
              <w:rPr>
                <w:rStyle w:val="Balk1Char"/>
                <w:rFonts w:eastAsia="ヒラギノ明朝 Pro W3"/>
              </w:rPr>
              <w:t xml:space="preserve"> </w:t>
            </w:r>
            <w:r w:rsidR="00CE798E" w:rsidRPr="00071245">
              <w:rPr>
                <w:rStyle w:val="MaviChar"/>
              </w:rPr>
              <w:t>374 il</w:t>
            </w:r>
            <w:r w:rsidR="00F25FDB" w:rsidRPr="00071245">
              <w:rPr>
                <w:rStyle w:val="MaviChar"/>
              </w:rPr>
              <w:t>a</w:t>
            </w:r>
            <w:r w:rsidR="00CE798E" w:rsidRPr="00071245">
              <w:rPr>
                <w:rStyle w:val="MaviChar"/>
              </w:rPr>
              <w:t xml:space="preserve"> 432 inci</w:t>
            </w:r>
            <w:r w:rsidRPr="00A23740">
              <w:rPr>
                <w:rFonts w:eastAsia="Times New Roman"/>
                <w:szCs w:val="24"/>
                <w:lang w:eastAsia="tr-TR"/>
              </w:rPr>
              <w:t xml:space="preserve"> </w:t>
            </w:r>
            <w:r w:rsidRPr="00A23740">
              <w:rPr>
                <w:rFonts w:eastAsia="Times New Roman"/>
                <w:bCs/>
                <w:lang w:eastAsia="tr-TR"/>
              </w:rPr>
              <w:t>maddeler</w:t>
            </w:r>
            <w:r w:rsidRPr="00A23740">
              <w:rPr>
                <w:rFonts w:eastAsia="Times New Roman"/>
                <w:szCs w:val="24"/>
                <w:lang w:eastAsia="tr-TR"/>
              </w:rPr>
              <w:t>, açıkça belirtilmedikçe rehinli alacaklılar hakkında uygulanmaz.</w:t>
            </w:r>
          </w:p>
          <w:p w:rsidR="00AA5C8C" w:rsidRPr="00A23740" w:rsidRDefault="00AA5C8C" w:rsidP="009431FF">
            <w:pPr>
              <w:rPr>
                <w:rStyle w:val="MaviChar"/>
                <w:lang w:val="tr-TR"/>
              </w:rPr>
            </w:pPr>
          </w:p>
          <w:p w:rsidR="00AA5C8C" w:rsidRPr="00A23740" w:rsidRDefault="00AA5C8C" w:rsidP="009431FF">
            <w:pPr>
              <w:rPr>
                <w:rFonts w:eastAsia="Times New Roman"/>
                <w:szCs w:val="24"/>
                <w:lang w:eastAsia="tr-TR"/>
              </w:rPr>
            </w:pPr>
            <w:r w:rsidRPr="00A23740">
              <w:rPr>
                <w:rStyle w:val="MaviChar"/>
                <w:lang w:val="tr-TR"/>
              </w:rPr>
              <w:t>(2)</w:t>
            </w:r>
            <w:r w:rsidRPr="00A23740">
              <w:rPr>
                <w:szCs w:val="24"/>
              </w:rPr>
              <w:t xml:space="preserve"> </w:t>
            </w:r>
            <w:r w:rsidRPr="00A23740">
              <w:rPr>
                <w:rFonts w:eastAsia="Times New Roman"/>
                <w:szCs w:val="24"/>
                <w:lang w:eastAsia="tr-TR"/>
              </w:rPr>
              <w:t>Komiser, kesin mühlet içinde uygun göreceği zamanda bütün rehinli alacaklıları borçlunun anapara indirimi, faiz indirimi, vadelendirme veya diğer ödeme tekliflerini müzakere etmek üzere tebligat çıkartarak davet eder.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MaviChar"/>
                <w:lang w:val="tr-TR"/>
              </w:rPr>
              <w:t>(3)</w:t>
            </w:r>
            <w:r w:rsidRPr="00A23740">
              <w:rPr>
                <w:szCs w:val="24"/>
              </w:rPr>
              <w:t xml:space="preserve"> </w:t>
            </w:r>
            <w:r w:rsidRPr="00A23740">
              <w:rPr>
                <w:rFonts w:eastAsia="Times New Roman"/>
                <w:szCs w:val="24"/>
                <w:lang w:eastAsia="tr-TR"/>
              </w:rPr>
              <w:t xml:space="preserve">Müzakerede ve müzakereyi takip eden </w:t>
            </w:r>
            <w:r w:rsidRPr="00A23740">
              <w:rPr>
                <w:rStyle w:val="MaviChar"/>
              </w:rPr>
              <w:t>bir haftalık</w:t>
            </w:r>
            <w:r w:rsidRPr="00A23740">
              <w:rPr>
                <w:rFonts w:eastAsia="Times New Roman"/>
                <w:szCs w:val="24"/>
                <w:lang w:eastAsia="tr-TR"/>
              </w:rPr>
              <w:t xml:space="preserve"> iltihak süresi içinde rehinli alacaklıların, alacak miktarı itibarıyla </w:t>
            </w:r>
            <w:r w:rsidRPr="00A23740">
              <w:rPr>
                <w:rStyle w:val="MaviChar"/>
              </w:rPr>
              <w:t>yarısını</w:t>
            </w:r>
            <w:r w:rsidRPr="00A23740">
              <w:rPr>
                <w:rFonts w:eastAsia="Times New Roman"/>
                <w:szCs w:val="24"/>
                <w:lang w:eastAsia="tr-TR"/>
              </w:rPr>
              <w:t xml:space="preserve"> aşan çoğunluğu ile bir anlaşma hasıl olursa, komiser, imzalanan anlaşmaları tutanağa bağlar ve rehinli alacaklılarla anlaşma yapıldığını </w:t>
            </w:r>
            <w:r w:rsidRPr="00A23740">
              <w:rPr>
                <w:rStyle w:val="Balk1Char"/>
                <w:rFonts w:eastAsia="ヒラギノ明朝 Pro W3"/>
              </w:rPr>
              <w:t>alacaklılar toplantısı hakkındaki</w:t>
            </w:r>
            <w:r w:rsidR="008F3CDA" w:rsidRPr="00A23740">
              <w:rPr>
                <w:rStyle w:val="Balk1Char"/>
                <w:rFonts w:eastAsia="ヒラギノ明朝 Pro W3"/>
              </w:rPr>
              <w:t xml:space="preserve"> </w:t>
            </w:r>
            <w:r w:rsidR="008F3CDA" w:rsidRPr="00071245">
              <w:rPr>
                <w:rStyle w:val="MaviChar"/>
              </w:rPr>
              <w:t>394 üncü</w:t>
            </w:r>
            <w:r w:rsidRPr="00A23740">
              <w:rPr>
                <w:rFonts w:eastAsia="Times New Roman"/>
                <w:szCs w:val="24"/>
                <w:lang w:eastAsia="tr-TR"/>
              </w:rPr>
              <w:t xml:space="preserve"> madde uyarınca mahkemeye tevdi edeceği gerekçeli raporuna ayrı ve bağımsız bir başlık altında işler.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MaviChar"/>
                <w:lang w:val="tr-TR"/>
              </w:rPr>
              <w:t>(4)</w:t>
            </w:r>
            <w:r w:rsidRPr="00A23740">
              <w:rPr>
                <w:szCs w:val="24"/>
              </w:rPr>
              <w:t xml:space="preserve"> </w:t>
            </w:r>
            <w:r w:rsidRPr="00A23740">
              <w:rPr>
                <w:rFonts w:eastAsia="Times New Roman"/>
                <w:szCs w:val="24"/>
                <w:lang w:eastAsia="tr-TR"/>
              </w:rPr>
              <w:t>Rehinli alacaklılarla bir anlaşmaya varılamamışsa, bu husus da komiserin gerekçeli raporuna işlenir.</w:t>
            </w:r>
          </w:p>
          <w:p w:rsidR="00AA5C8C" w:rsidRPr="00A23740" w:rsidRDefault="00AA5C8C" w:rsidP="009431FF">
            <w:pPr>
              <w:pStyle w:val="KIRMIZI"/>
              <w:rPr>
                <w:b w:val="0"/>
              </w:rPr>
            </w:pPr>
          </w:p>
        </w:tc>
      </w:tr>
      <w:tr w:rsidR="005C3738" w:rsidRPr="00A23740" w:rsidTr="009431FF">
        <w:tc>
          <w:tcPr>
            <w:tcW w:w="5000" w:type="pct"/>
            <w:gridSpan w:val="2"/>
            <w:shd w:val="clear" w:color="auto" w:fill="DEEAF6"/>
          </w:tcPr>
          <w:p w:rsidR="00285F60" w:rsidRPr="00A23740" w:rsidRDefault="00285F60" w:rsidP="009431FF">
            <w:pPr>
              <w:tabs>
                <w:tab w:val="left" w:pos="567"/>
              </w:tabs>
              <w:rPr>
                <w:b/>
                <w:bCs/>
                <w:szCs w:val="24"/>
                <w:lang w:eastAsia="x-none"/>
              </w:rPr>
            </w:pPr>
          </w:p>
          <w:p w:rsidR="00285F60" w:rsidRPr="00A23740" w:rsidRDefault="00164036" w:rsidP="009431FF">
            <w:pPr>
              <w:tabs>
                <w:tab w:val="left" w:pos="567"/>
              </w:tabs>
              <w:ind w:firstLine="709"/>
              <w:rPr>
                <w:bCs/>
                <w:szCs w:val="24"/>
                <w:lang w:eastAsia="x-none"/>
              </w:rPr>
            </w:pPr>
            <w:r w:rsidRPr="00A23740">
              <w:rPr>
                <w:rStyle w:val="YELChar"/>
                <w:color w:val="auto"/>
              </w:rPr>
              <w:t>MADDE 413</w:t>
            </w:r>
            <w:r w:rsidR="00285F60" w:rsidRPr="00A23740">
              <w:rPr>
                <w:rStyle w:val="YELChar"/>
                <w:color w:val="auto"/>
              </w:rPr>
              <w:t>-</w:t>
            </w:r>
            <w:r w:rsidR="00285F60" w:rsidRPr="00A23740">
              <w:rPr>
                <w:bCs/>
                <w:szCs w:val="24"/>
                <w:lang w:eastAsia="x-none"/>
              </w:rPr>
              <w:t xml:space="preserve"> Maddeyle, rehinli alacaklılarla müzakere ve rehinli borçların yapılandırılmasına ilişkin hususlar düzenlenmektedir. </w:t>
            </w:r>
          </w:p>
          <w:p w:rsidR="00285F60" w:rsidRPr="00A23740" w:rsidRDefault="00285F60" w:rsidP="009431FF">
            <w:pPr>
              <w:tabs>
                <w:tab w:val="left" w:pos="567"/>
              </w:tabs>
              <w:ind w:firstLine="709"/>
              <w:rPr>
                <w:bCs/>
                <w:szCs w:val="24"/>
                <w:lang w:eastAsia="x-none"/>
              </w:rPr>
            </w:pPr>
            <w:r w:rsidRPr="00A23740">
              <w:rPr>
                <w:bCs/>
                <w:szCs w:val="24"/>
                <w:lang w:eastAsia="x-none"/>
              </w:rPr>
              <w:t>Rüçhanlı alacak tutarı ve dolayısıyla rüçhaniyet kurumu, adi alacaklılar için tasdiki talep edilen konkordato projesi üzerinde önemli bir yük olduğu kadar projenin tasdiki sırasında dikkatle gözetilmesi gereken bir durumdur. Konkordatoya dair 7101 sayılı Kanunla yapılan değişiklikler neticesinde borçlunun</w:t>
            </w:r>
            <w:r w:rsidR="006A430D" w:rsidRPr="00A23740">
              <w:rPr>
                <w:bCs/>
                <w:szCs w:val="24"/>
                <w:lang w:eastAsia="x-none"/>
              </w:rPr>
              <w:t>,</w:t>
            </w:r>
            <w:r w:rsidRPr="00A23740">
              <w:rPr>
                <w:bCs/>
                <w:szCs w:val="24"/>
                <w:lang w:eastAsia="x-none"/>
              </w:rPr>
              <w:t xml:space="preserve"> rehinli alacakları</w:t>
            </w:r>
            <w:r w:rsidR="006A430D" w:rsidRPr="00A23740">
              <w:rPr>
                <w:bCs/>
                <w:szCs w:val="24"/>
                <w:lang w:eastAsia="x-none"/>
              </w:rPr>
              <w:t xml:space="preserve"> </w:t>
            </w:r>
            <w:r w:rsidRPr="00A23740">
              <w:rPr>
                <w:bCs/>
                <w:szCs w:val="24"/>
                <w:lang w:eastAsia="x-none"/>
              </w:rPr>
              <w:t xml:space="preserve"> </w:t>
            </w:r>
            <w:r w:rsidR="006A430D" w:rsidRPr="00A23740">
              <w:rPr>
                <w:bCs/>
                <w:szCs w:val="24"/>
                <w:lang w:eastAsia="x-none"/>
              </w:rPr>
              <w:t xml:space="preserve">ile </w:t>
            </w:r>
            <w:r w:rsidRPr="00A23740">
              <w:rPr>
                <w:bCs/>
                <w:szCs w:val="24"/>
                <w:lang w:eastAsia="x-none"/>
              </w:rPr>
              <w:t xml:space="preserve">rüçhaniyet kespeden alacakları için </w:t>
            </w:r>
            <w:r w:rsidR="006A430D" w:rsidRPr="00A23740">
              <w:rPr>
                <w:bCs/>
                <w:szCs w:val="24"/>
                <w:lang w:eastAsia="x-none"/>
              </w:rPr>
              <w:t xml:space="preserve">alacaklılarla </w:t>
            </w:r>
            <w:r w:rsidRPr="00A23740">
              <w:rPr>
                <w:bCs/>
                <w:szCs w:val="24"/>
                <w:lang w:eastAsia="x-none"/>
              </w:rPr>
              <w:t>resmen müzakere edip bir uzlaşıya varabilmesi imkânı, açıklıkla düzenlenmiş ve buna ait önemli düzen hükümleri getirilmişti. Yakın bir zaman öncesinde kabul edilen bu sistem, Taslağın adi konkordatoya ilişkin hükümlerinin dışında bu kez ayrı bir bölümde, üç madde h</w:t>
            </w:r>
            <w:r w:rsidR="00ED3B91" w:rsidRPr="00A23740">
              <w:rPr>
                <w:bCs/>
                <w:szCs w:val="24"/>
                <w:lang w:eastAsia="x-none"/>
              </w:rPr>
              <w:t>â</w:t>
            </w:r>
            <w:r w:rsidRPr="00A23740">
              <w:rPr>
                <w:bCs/>
                <w:szCs w:val="24"/>
                <w:lang w:eastAsia="x-none"/>
              </w:rPr>
              <w:t xml:space="preserve">linde düzenlenmek suretiyle müzakere; rüçhanlı borçların yapılandırılması ve varılan anlaşmaların iptali şeklinde üç aşamaya bölünerek yeniden kaleme alınmıştır. Getirilen prensipler, büyük ölçüde korunmuş; az sayıdaki değişiklik, sistemin şeffaflığının ve etkinliğinin artırılması amacıyla yapılmıştır. </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Bu vesileyle düzenlemelerde her ne kadar rehinli alacaklılardan ve alacaklardan söz edilmekte ise de adi konkordatonun yanında ve çoğu kez ona paralel </w:t>
            </w:r>
            <w:r w:rsidR="00621CD1" w:rsidRPr="00A23740">
              <w:rPr>
                <w:bCs/>
                <w:szCs w:val="24"/>
                <w:lang w:eastAsia="x-none"/>
              </w:rPr>
              <w:t xml:space="preserve">olarak </w:t>
            </w:r>
            <w:r w:rsidRPr="00A23740">
              <w:rPr>
                <w:bCs/>
                <w:szCs w:val="24"/>
                <w:lang w:eastAsia="x-none"/>
              </w:rPr>
              <w:t xml:space="preserve">yürütülecek bu özel usulün, rehinli alacaklıların ancak rüçhaniyet </w:t>
            </w:r>
            <w:r w:rsidR="00621CD1" w:rsidRPr="00A23740">
              <w:rPr>
                <w:bCs/>
                <w:szCs w:val="24"/>
                <w:lang w:eastAsia="x-none"/>
              </w:rPr>
              <w:t xml:space="preserve">kazanan </w:t>
            </w:r>
            <w:r w:rsidRPr="00A23740">
              <w:rPr>
                <w:bCs/>
                <w:szCs w:val="24"/>
                <w:lang w:eastAsia="x-none"/>
              </w:rPr>
              <w:t>alacak tutarları için geçerli olabileceğini kabul etmek gerekir. Rehinli alacaklının rüçhaniyet sınırının dışında kalan alacağı, bu kez bir “</w:t>
            </w:r>
            <w:r w:rsidRPr="00A23740">
              <w:rPr>
                <w:bCs/>
                <w:i/>
                <w:szCs w:val="24"/>
                <w:lang w:eastAsia="x-none"/>
              </w:rPr>
              <w:t>adi alacak</w:t>
            </w:r>
            <w:r w:rsidRPr="00A23740">
              <w:rPr>
                <w:bCs/>
                <w:szCs w:val="24"/>
                <w:lang w:eastAsia="x-none"/>
              </w:rPr>
              <w:t>” olarak zaten tasdikine çalışılan adi konkordato projesine tabidir. Dolayısıyla</w:t>
            </w:r>
            <w:r w:rsidR="00621CD1" w:rsidRPr="00A23740">
              <w:rPr>
                <w:bCs/>
                <w:szCs w:val="24"/>
                <w:lang w:eastAsia="x-none"/>
              </w:rPr>
              <w:t>,</w:t>
            </w:r>
            <w:r w:rsidRPr="00A23740">
              <w:rPr>
                <w:bCs/>
                <w:szCs w:val="24"/>
                <w:lang w:eastAsia="x-none"/>
              </w:rPr>
              <w:t xml:space="preserve"> burada takip edilecek usulle, esasen Taslağın</w:t>
            </w:r>
            <w:r w:rsidR="000D02FB" w:rsidRPr="00A23740">
              <w:rPr>
                <w:bCs/>
                <w:szCs w:val="24"/>
                <w:lang w:eastAsia="x-none"/>
              </w:rPr>
              <w:t xml:space="preserve"> </w:t>
            </w:r>
            <w:r w:rsidR="000D02FB" w:rsidRPr="00071245">
              <w:t>404 üncü</w:t>
            </w:r>
            <w:r w:rsidR="0023636C" w:rsidRPr="00A23740">
              <w:rPr>
                <w:bCs/>
                <w:szCs w:val="24"/>
                <w:lang w:eastAsia="x-none"/>
              </w:rPr>
              <w:t xml:space="preserve"> </w:t>
            </w:r>
            <w:r w:rsidRPr="00A23740">
              <w:rPr>
                <w:bCs/>
                <w:szCs w:val="24"/>
                <w:lang w:eastAsia="x-none"/>
              </w:rPr>
              <w:t>maddesinin dördüncü fıkrasında düzenlendiği üzere</w:t>
            </w:r>
            <w:r w:rsidR="000D02FB" w:rsidRPr="00A23740">
              <w:rPr>
                <w:bCs/>
                <w:szCs w:val="24"/>
                <w:lang w:eastAsia="x-none"/>
              </w:rPr>
              <w:t>,</w:t>
            </w:r>
            <w:r w:rsidRPr="00A23740">
              <w:rPr>
                <w:bCs/>
                <w:szCs w:val="24"/>
                <w:lang w:eastAsia="x-none"/>
              </w:rPr>
              <w:t xml:space="preserve"> konkordatoya tabi olmayan rüçhanlı alacak tutarının yapılandırılmasına çalışılmaktadır ki, rüçhanlı alacaklı yönünden konkordatoya dair hükümlerin özel hükümler saklı kalmak üzere uygulanmayacağı, hükmün birinci fıkrasının son cümlesinde, bir kez daha vurgulanmıştır. </w:t>
            </w:r>
          </w:p>
          <w:p w:rsidR="00285F60" w:rsidRPr="00A23740" w:rsidRDefault="00285F60" w:rsidP="009431FF">
            <w:pPr>
              <w:tabs>
                <w:tab w:val="left" w:pos="567"/>
              </w:tabs>
              <w:ind w:firstLine="709"/>
              <w:rPr>
                <w:bCs/>
                <w:szCs w:val="24"/>
                <w:lang w:eastAsia="x-none"/>
              </w:rPr>
            </w:pPr>
            <w:r w:rsidRPr="00A23740">
              <w:rPr>
                <w:bCs/>
                <w:szCs w:val="24"/>
                <w:lang w:eastAsia="x-none"/>
              </w:rPr>
              <w:t>Birinci fıkra bakımından getirilen yenilik, adi alacaklıların böyle bir usule de müracaat edileceğinden (veya gerektiğinde müracaat edildiğinden ve sonuçlarından) haber</w:t>
            </w:r>
            <w:r w:rsidR="002D56F1" w:rsidRPr="00A23740">
              <w:rPr>
                <w:bCs/>
                <w:szCs w:val="24"/>
                <w:lang w:eastAsia="x-none"/>
              </w:rPr>
              <w:t>dar</w:t>
            </w:r>
            <w:r w:rsidRPr="00A23740">
              <w:rPr>
                <w:bCs/>
                <w:szCs w:val="24"/>
                <w:lang w:eastAsia="x-none"/>
              </w:rPr>
              <w:t xml:space="preserve"> edilmesi ve bunun alacaklılar toplantısında adi alacaklıların tasvibine sunulacak projede ayrıca belirtilmiş olmasıdır. Böyle bir isteğin daha ön projede yazılmış olması mümkündür, lâkin böyle bir kayıt ne gereklidir ne yeterlidir. Zira ancak kesin mühlet içinde açıklığa kavuşacağı üzere kaç rehinli alacaklıyla ne miktardaki rüçhanlı alacak tutarı için müzakere edileceğine dair bilgilerin en geç alacaklılar toplantısında sunulan projede resmen verilmiş olması gerekir. Söz konusu somut bilgiler ve hatta kendi toplantılarından çok kısa bir süre sonra yapılması beklenen veya önceden yapılmış müzakereden hasıl olan gerek </w:t>
            </w:r>
            <w:r w:rsidR="00621CD1" w:rsidRPr="00A23740">
              <w:rPr>
                <w:bCs/>
                <w:szCs w:val="24"/>
                <w:lang w:eastAsia="x-none"/>
              </w:rPr>
              <w:t xml:space="preserve">olumlu </w:t>
            </w:r>
            <w:r w:rsidRPr="00A23740">
              <w:rPr>
                <w:bCs/>
                <w:szCs w:val="24"/>
                <w:lang w:eastAsia="x-none"/>
              </w:rPr>
              <w:t xml:space="preserve">gerekse </w:t>
            </w:r>
            <w:r w:rsidR="00621CD1" w:rsidRPr="00A23740">
              <w:rPr>
                <w:bCs/>
                <w:szCs w:val="24"/>
                <w:lang w:eastAsia="x-none"/>
              </w:rPr>
              <w:t xml:space="preserve"> olumsuz </w:t>
            </w:r>
            <w:r w:rsidRPr="00A23740">
              <w:rPr>
                <w:bCs/>
                <w:szCs w:val="24"/>
                <w:lang w:eastAsia="x-none"/>
              </w:rPr>
              <w:t xml:space="preserve">sonuçlar, adi alacaklıların onayına sunulmuş proje için verecekleri oyu, yakından etkileyecektir. </w:t>
            </w:r>
          </w:p>
          <w:p w:rsidR="00285F60" w:rsidRPr="00A23740" w:rsidRDefault="00ED3B91" w:rsidP="009431FF">
            <w:pPr>
              <w:tabs>
                <w:tab w:val="left" w:pos="567"/>
              </w:tabs>
              <w:ind w:firstLine="709"/>
              <w:rPr>
                <w:bCs/>
                <w:szCs w:val="24"/>
                <w:lang w:eastAsia="x-none"/>
              </w:rPr>
            </w:pPr>
            <w:r w:rsidRPr="00A23740">
              <w:rPr>
                <w:bCs/>
                <w:szCs w:val="24"/>
                <w:lang w:eastAsia="x-none"/>
              </w:rPr>
              <w:t>Kesin mühlet içinde komiser</w:t>
            </w:r>
            <w:r w:rsidR="00285F60" w:rsidRPr="00A23740">
              <w:rPr>
                <w:bCs/>
                <w:szCs w:val="24"/>
                <w:lang w:eastAsia="x-none"/>
              </w:rPr>
              <w:t xml:space="preserve"> nezaretinde gerçekleştirilecek bu müzakere, tıpkı alacaklılar toplantısı gibi</w:t>
            </w:r>
            <w:r w:rsidR="00621CD1" w:rsidRPr="00A23740">
              <w:rPr>
                <w:bCs/>
                <w:szCs w:val="24"/>
                <w:lang w:eastAsia="x-none"/>
              </w:rPr>
              <w:t>,</w:t>
            </w:r>
            <w:r w:rsidR="00285F60" w:rsidRPr="00A23740">
              <w:rPr>
                <w:bCs/>
                <w:szCs w:val="24"/>
                <w:lang w:eastAsia="x-none"/>
              </w:rPr>
              <w:t xml:space="preserve"> sürecin resm</w:t>
            </w:r>
            <w:r w:rsidR="00BA7244" w:rsidRPr="00A23740">
              <w:rPr>
                <w:bCs/>
                <w:szCs w:val="24"/>
                <w:lang w:eastAsia="x-none"/>
              </w:rPr>
              <w:t>î</w:t>
            </w:r>
            <w:r w:rsidR="00285F60" w:rsidRPr="00A23740">
              <w:rPr>
                <w:bCs/>
                <w:szCs w:val="24"/>
                <w:lang w:eastAsia="x-none"/>
              </w:rPr>
              <w:t xml:space="preserve"> olduğunu ortaya koymaktadır. Ne var ki, bu hâlde yapılacak çağrı, konkordato alacaklılarına nazaran az sayıda olması beklenen rüçhanlı alacaklılar nezdinde çıkartılacak tebligatla olacaktır. </w:t>
            </w:r>
          </w:p>
          <w:p w:rsidR="00285F60" w:rsidRPr="00A23740" w:rsidRDefault="00285F60" w:rsidP="009431FF">
            <w:pPr>
              <w:tabs>
                <w:tab w:val="left" w:pos="567"/>
              </w:tabs>
              <w:ind w:firstLine="709"/>
              <w:rPr>
                <w:bCs/>
                <w:szCs w:val="24"/>
                <w:lang w:eastAsia="x-none"/>
              </w:rPr>
            </w:pPr>
            <w:r w:rsidRPr="00A23740">
              <w:rPr>
                <w:bCs/>
                <w:szCs w:val="24"/>
                <w:lang w:eastAsia="x-none"/>
              </w:rPr>
              <w:t>Resm</w:t>
            </w:r>
            <w:r w:rsidR="00BA7244" w:rsidRPr="00A23740">
              <w:rPr>
                <w:bCs/>
                <w:szCs w:val="24"/>
                <w:lang w:eastAsia="x-none"/>
              </w:rPr>
              <w:t>î</w:t>
            </w:r>
            <w:r w:rsidRPr="00A23740">
              <w:rPr>
                <w:bCs/>
                <w:szCs w:val="24"/>
                <w:lang w:eastAsia="x-none"/>
              </w:rPr>
              <w:t xml:space="preserve"> müzakere ortamı içinde, şüphesiz ki, borçlunun her bir rehinli alacaklıyla rüçhanlı alacak tutarları hakkında, alacaklılar toplantısının aksine aynı ödeme projesini akdetmesi gerekmez ve hatta beklenmez. Zira rüçhanlı alacaklılar arasında, adi konkordato alacaklılarına nazaran bir eşitlik yoktur ve aranmaz. Öte taraftan komiser nezaretindeki müzakereyle muhtemeldir ki, kesin mühlet içinde her bir rehinli alacaklıyla evvelce başlatılmış görüşmelerin neticesinde varılmış olan sonuçların artık bir resm</w:t>
            </w:r>
            <w:r w:rsidR="00AC45AD" w:rsidRPr="00A23740">
              <w:rPr>
                <w:bCs/>
                <w:szCs w:val="24"/>
                <w:lang w:eastAsia="x-none"/>
              </w:rPr>
              <w:t>î</w:t>
            </w:r>
            <w:r w:rsidRPr="00A23740">
              <w:rPr>
                <w:bCs/>
                <w:szCs w:val="24"/>
                <w:lang w:eastAsia="x-none"/>
              </w:rPr>
              <w:t xml:space="preserve">yet ve aleniyet kazanması da şarttır. Bu hâlde aynı müzakere tutanağı, kimlerle ne miktardaki rüçhanlı alacak tutarı hakkında anlaşmaya varılamadığına ilişkin sonucu da içerecektir. Bu müzakerenin kesin mühlet içinde ne zaman icra edileceği hakkında kesin bir tarih verilemez. Gelgelelim, tertiplenen müzakerenin </w:t>
            </w:r>
            <w:r w:rsidR="00621CD1" w:rsidRPr="00A23740">
              <w:rPr>
                <w:bCs/>
                <w:szCs w:val="24"/>
                <w:lang w:eastAsia="x-none"/>
              </w:rPr>
              <w:t xml:space="preserve"> özellikle </w:t>
            </w:r>
            <w:r w:rsidRPr="00A23740">
              <w:rPr>
                <w:bCs/>
                <w:szCs w:val="24"/>
                <w:lang w:eastAsia="x-none"/>
              </w:rPr>
              <w:t>kanuni sonuçları ve yine burada da geçerli iltihak imkânı, nihayetinde tüm bunların alacaklılar toplantısının ertesinde kaleme alınacak komiser raporunda ayrı bir başlık altında ele alınacak olması, adi alacaklılar toplantısıyla rehinli alacaklılar arasındaki resm</w:t>
            </w:r>
            <w:r w:rsidR="00BA7244" w:rsidRPr="00A23740">
              <w:rPr>
                <w:bCs/>
                <w:szCs w:val="24"/>
                <w:lang w:eastAsia="x-none"/>
              </w:rPr>
              <w:t>î</w:t>
            </w:r>
            <w:r w:rsidRPr="00A23740">
              <w:rPr>
                <w:bCs/>
                <w:szCs w:val="24"/>
                <w:lang w:eastAsia="x-none"/>
              </w:rPr>
              <w:t xml:space="preserve"> müzakerenin birbirine yakın vakitlerde, </w:t>
            </w:r>
            <w:r w:rsidR="00621CD1" w:rsidRPr="00A23740">
              <w:rPr>
                <w:bCs/>
                <w:szCs w:val="24"/>
                <w:lang w:eastAsia="x-none"/>
              </w:rPr>
              <w:t xml:space="preserve">birbiri </w:t>
            </w:r>
            <w:r w:rsidRPr="00A23740">
              <w:rPr>
                <w:bCs/>
                <w:szCs w:val="24"/>
                <w:lang w:eastAsia="x-none"/>
              </w:rPr>
              <w:t>peşi sıra veya belki de aynı gün ama her hâlükârda koordineli bir biçimde yürütülmesini gerektirmektedir. Böylece somut olayın özelliğine göre alacaklılar toplantısına sunulacak bilgi, çok kısa bir süre sonra yapılacak müzakerenin kapsamı yanında bu kez sadece tarihini içerebileceği gibi</w:t>
            </w:r>
            <w:r w:rsidR="00621CD1" w:rsidRPr="00A23740">
              <w:rPr>
                <w:bCs/>
                <w:szCs w:val="24"/>
                <w:lang w:eastAsia="x-none"/>
              </w:rPr>
              <w:t>,</w:t>
            </w:r>
            <w:r w:rsidRPr="00A23740">
              <w:rPr>
                <w:bCs/>
                <w:szCs w:val="24"/>
                <w:lang w:eastAsia="x-none"/>
              </w:rPr>
              <w:t xml:space="preserve"> bir süre önce yapılmış müzakerenin belki de </w:t>
            </w:r>
            <w:r w:rsidR="00621CD1" w:rsidRPr="00A23740">
              <w:rPr>
                <w:bCs/>
                <w:szCs w:val="24"/>
                <w:lang w:eastAsia="x-none"/>
              </w:rPr>
              <w:t xml:space="preserve">olumlu </w:t>
            </w:r>
            <w:r w:rsidRPr="00A23740">
              <w:rPr>
                <w:bCs/>
                <w:szCs w:val="24"/>
                <w:lang w:eastAsia="x-none"/>
              </w:rPr>
              <w:t xml:space="preserve">sonuçları hakkında olabilecektir. </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Taslakla birlikte bu konuda getirilen en çarpıcı değişiklik, üçüncü fıkrada düzenlendiği şekliyle rehinli alacaklılarla toplam rüçhanlı alacak miktarının (alacaklı sayısının değil) artık </w:t>
            </w:r>
            <w:r w:rsidRPr="00A23740">
              <w:rPr>
                <w:bCs/>
                <w:i/>
                <w:szCs w:val="24"/>
                <w:lang w:eastAsia="x-none"/>
              </w:rPr>
              <w:t>yarısını aşan</w:t>
            </w:r>
            <w:r w:rsidRPr="00A23740">
              <w:rPr>
                <w:bCs/>
                <w:szCs w:val="24"/>
                <w:lang w:eastAsia="x-none"/>
              </w:rPr>
              <w:t xml:space="preserve"> bir çoğunlukla uzlaşıya varılmış olmasının yeterli görülmesi, hakkındadır. 7101 sayılı Kanunla getirilen düzenlemede bu oran, </w:t>
            </w:r>
            <w:r w:rsidR="000D5F8F" w:rsidRPr="00071245">
              <w:t>üçte iki</w:t>
            </w:r>
            <w:r w:rsidRPr="00A23740">
              <w:rPr>
                <w:bCs/>
                <w:szCs w:val="24"/>
                <w:lang w:eastAsia="x-none"/>
              </w:rPr>
              <w:t xml:space="preserve"> şeklindeydi. Tasdik edilen konkordato projesinin muhalifler de dahil olmak üzere tüm adi alacaklıları bağlaması gibi burada da anlaşmaya yanaşmamış rehinli alacaklılar yönünden </w:t>
            </w:r>
            <w:r w:rsidRPr="00A23740">
              <w:rPr>
                <w:bCs/>
                <w:i/>
                <w:szCs w:val="24"/>
                <w:lang w:eastAsia="x-none"/>
              </w:rPr>
              <w:t>adeta</w:t>
            </w:r>
            <w:r w:rsidRPr="00A23740">
              <w:rPr>
                <w:bCs/>
                <w:szCs w:val="24"/>
                <w:lang w:eastAsia="x-none"/>
              </w:rPr>
              <w:t xml:space="preserve"> bir müeyyide getirilmekte ve belli kurallar d</w:t>
            </w:r>
            <w:r w:rsidR="00BA7244" w:rsidRPr="00A23740">
              <w:rPr>
                <w:bCs/>
                <w:szCs w:val="24"/>
                <w:lang w:eastAsia="x-none"/>
              </w:rPr>
              <w:t>a</w:t>
            </w:r>
            <w:r w:rsidRPr="00A23740">
              <w:rPr>
                <w:bCs/>
                <w:szCs w:val="24"/>
                <w:lang w:eastAsia="x-none"/>
              </w:rPr>
              <w:t>hilinde onların rüçhanlı alacaklarının da “</w:t>
            </w:r>
            <w:r w:rsidRPr="00A23740">
              <w:rPr>
                <w:bCs/>
                <w:i/>
                <w:iCs/>
                <w:szCs w:val="24"/>
                <w:lang w:eastAsia="x-none"/>
              </w:rPr>
              <w:t>yapılandırılmış sayılması</w:t>
            </w:r>
            <w:r w:rsidRPr="006C4AA3">
              <w:rPr>
                <w:bCs/>
                <w:iCs/>
                <w:szCs w:val="24"/>
                <w:lang w:eastAsia="x-none"/>
              </w:rPr>
              <w:t>”</w:t>
            </w:r>
            <w:r w:rsidRPr="00A23740">
              <w:rPr>
                <w:bCs/>
                <w:szCs w:val="24"/>
                <w:lang w:eastAsia="x-none"/>
              </w:rPr>
              <w:t xml:space="preserve"> sonucuna yol açılmaktadır. Esasen bu oran, çok daha fazla miktardaki rüçhanlı alacak tutarının rızaen; muhalefete düşülmeksizin yapılandırılmasına vesile olacaktır. Şüphesiz ki, buradaki bağlayıcılık, adi konkordato projesinin tekliğinden hareketle muhalif rehinli alacaklılar için de tek tip bir projenin dayatılması anlamına gelmemektedir. Öyle olmasına da imkân bulunmamaktadır. Zira her bir rehinli alacaklıyla varılan uzlaşının koşulları farklı farklı olabilecektir. Lâkin artık muhalif rehinli alacaklıların rüçhaniyet kespeden alacaklarının da tasdikin ertesinde hemen veya Taslağın</w:t>
            </w:r>
            <w:r w:rsidR="000D5F8F" w:rsidRPr="00A23740">
              <w:rPr>
                <w:bCs/>
                <w:szCs w:val="24"/>
                <w:lang w:eastAsia="x-none"/>
              </w:rPr>
              <w:t xml:space="preserve"> </w:t>
            </w:r>
            <w:r w:rsidR="000D5F8F" w:rsidRPr="00071245">
              <w:t>401 inci</w:t>
            </w:r>
            <w:r w:rsidRPr="00A23740">
              <w:rPr>
                <w:bCs/>
                <w:szCs w:val="24"/>
                <w:lang w:eastAsia="x-none"/>
              </w:rPr>
              <w:t xml:space="preserve"> maddesinde düzenlediği üzere en geç bir yıl içinde rızaen ya da cebren ödenmesi gerekmeyecek, aşağıdaki maddede düzenlendiği gibi taksitler h</w:t>
            </w:r>
            <w:r w:rsidR="00BA7244" w:rsidRPr="00A23740">
              <w:rPr>
                <w:bCs/>
                <w:szCs w:val="24"/>
                <w:lang w:eastAsia="x-none"/>
              </w:rPr>
              <w:t>â</w:t>
            </w:r>
            <w:r w:rsidRPr="00A23740">
              <w:rPr>
                <w:bCs/>
                <w:szCs w:val="24"/>
                <w:lang w:eastAsia="x-none"/>
              </w:rPr>
              <w:t>linde tediyesi m</w:t>
            </w:r>
            <w:r w:rsidR="00BA7244" w:rsidRPr="00A23740">
              <w:rPr>
                <w:bCs/>
                <w:szCs w:val="24"/>
                <w:lang w:eastAsia="x-none"/>
              </w:rPr>
              <w:t>ümkün olacaktır.</w:t>
            </w:r>
          </w:p>
          <w:p w:rsidR="00285F60" w:rsidRPr="00A23740" w:rsidRDefault="00285F60" w:rsidP="009431FF">
            <w:pPr>
              <w:tabs>
                <w:tab w:val="left" w:pos="567"/>
              </w:tabs>
              <w:ind w:firstLine="709"/>
              <w:rPr>
                <w:bCs/>
                <w:szCs w:val="24"/>
                <w:lang w:eastAsia="x-none"/>
              </w:rPr>
            </w:pPr>
            <w:r w:rsidRPr="00A23740">
              <w:rPr>
                <w:bCs/>
                <w:szCs w:val="24"/>
                <w:lang w:eastAsia="x-none"/>
              </w:rPr>
              <w:t>Komiser, hasıl olan anlaşmaları, içeriklerini ve bunların tutarını; rüçhanlı alacaklara ait genel nisap içindeki yerlerini ve böylelikle varsa muhalif her bir rüçhanlı alacaklı nezdinde kanunen geçerlilik kazanacak sonuçları, tasdik yargılamasına esas olmak üzere mahkemeye sunacağı nihai raporunda, ayrı bir başlık a</w:t>
            </w:r>
            <w:r w:rsidR="00884659" w:rsidRPr="00A23740">
              <w:rPr>
                <w:bCs/>
                <w:szCs w:val="24"/>
                <w:lang w:eastAsia="x-none"/>
              </w:rPr>
              <w:t>ltında etraflıca ele alacaktır.</w:t>
            </w:r>
          </w:p>
          <w:p w:rsidR="005C3738" w:rsidRPr="00A23740" w:rsidRDefault="005C3738" w:rsidP="006C4AA3">
            <w:pPr>
              <w:tabs>
                <w:tab w:val="left" w:pos="567"/>
              </w:tabs>
              <w:rPr>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i/>
                <w:szCs w:val="24"/>
                <w:lang w:eastAsia="tr-TR"/>
              </w:rPr>
            </w:pPr>
            <w:r w:rsidRPr="00A23740">
              <w:rPr>
                <w:rFonts w:eastAsia="Times New Roman"/>
                <w:i/>
                <w:szCs w:val="24"/>
                <w:lang w:eastAsia="tr-TR"/>
              </w:rPr>
              <w:t xml:space="preserve">Rehinli alacaklılarla müzakere </w:t>
            </w:r>
            <w:r w:rsidRPr="00A23740">
              <w:rPr>
                <w:rStyle w:val="KIRMIZIChar"/>
                <w:rFonts w:eastAsia="Calibri"/>
              </w:rPr>
              <w:t>şartları ve yapılandırmanın hükümleri:</w:t>
            </w:r>
          </w:p>
          <w:p w:rsidR="00AA5C8C" w:rsidRPr="00A23740" w:rsidRDefault="00AA5C8C" w:rsidP="009431FF">
            <w:pPr>
              <w:rPr>
                <w:rFonts w:eastAsia="Times New Roman"/>
                <w:b/>
                <w:szCs w:val="24"/>
                <w:lang w:eastAsia="tr-TR"/>
              </w:rPr>
            </w:pPr>
            <w:r w:rsidRPr="00A23740">
              <w:rPr>
                <w:rStyle w:val="KIRMIZIChar"/>
                <w:rFonts w:eastAsia="Calibri"/>
              </w:rPr>
              <w:t>Madde 308/h- …</w:t>
            </w:r>
          </w:p>
          <w:p w:rsidR="00AA5C8C" w:rsidRPr="00A23740" w:rsidRDefault="00AA5C8C" w:rsidP="009431FF">
            <w:pPr>
              <w:rPr>
                <w:rFonts w:eastAsia="Times New Roman"/>
                <w:szCs w:val="24"/>
                <w:lang w:eastAsia="tr-TR"/>
              </w:rPr>
            </w:pPr>
            <w:r w:rsidRPr="00A23740">
              <w:rPr>
                <w:rStyle w:val="KIRMIZIChar"/>
                <w:rFonts w:eastAsia="Calibri"/>
              </w:rPr>
              <w:t>(4)</w:t>
            </w:r>
            <w:r w:rsidRPr="00A23740">
              <w:rPr>
                <w:rFonts w:eastAsia="Times New Roman"/>
                <w:szCs w:val="24"/>
                <w:lang w:eastAsia="tr-TR"/>
              </w:rPr>
              <w:t xml:space="preserve"> Borçlunun tekliflerinin alacak miktarı itibarıyla üçte ikiyi aşan çoğunlukla kabul edilmesi hâlinde, borçlu ile anlaşamayan rehinli alacaklı, </w:t>
            </w:r>
            <w:r w:rsidRPr="00A23740">
              <w:rPr>
                <w:rStyle w:val="AralkYokChar"/>
                <w:lang w:val="tr-TR"/>
              </w:rPr>
              <w:t>konkordato talep</w:t>
            </w:r>
            <w:r w:rsidRPr="00A23740">
              <w:rPr>
                <w:rFonts w:eastAsia="Times New Roman"/>
                <w:szCs w:val="24"/>
                <w:lang w:eastAsia="tr-TR"/>
              </w:rPr>
              <w:t xml:space="preserve"> tarihinden itibaren, taraflar arasındaki sözleşmede kararlaştırılan temerrüt öncesi faiz oranı uygulanmak suretiyle, diğer rehinli alacaklılarla yapılan anlaşmalardan en uzun vadelisine tabi olur. Bu husus ve anlaşmaya varılamayan rehinli alacaklılara borçlu tarafından yapılacak ödemelere ilişkin plan komiser tarafından tutanağa geçirilir ve komiserin 302 nci madde uyarınca mahkemeye tevdi edeceği gerekçeli rapora da işlenir.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(6)</w:t>
            </w:r>
            <w:r w:rsidRPr="00A23740">
              <w:rPr>
                <w:rFonts w:eastAsia="Times New Roman"/>
                <w:szCs w:val="24"/>
                <w:lang w:eastAsia="tr-TR"/>
              </w:rPr>
              <w:t xml:space="preserve"> Mahkeme, rehinli alacaklılarla yapılan anlaşmaları üçte iki oranına ulaşılıp ulaşılmadığı ve anlaşmaya varılamayan rehinli alacaklılar varsa bunlara uygulanacak ödeme planının bu maddede öngörülen şartlara uyup uymadığı bakımından kontrol ettikten sonra anlaşmaları ve ödeme planını, 305 inci ve 306 ncı maddeler uyarınca vereceği karara dahil eder.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KIRMIZIChar"/>
                <w:rFonts w:eastAsia="Calibri"/>
              </w:rPr>
              <w:t>(7)</w:t>
            </w:r>
            <w:r w:rsidRPr="00A23740">
              <w:rPr>
                <w:rFonts w:eastAsia="Times New Roman"/>
                <w:szCs w:val="24"/>
                <w:lang w:eastAsia="tr-TR"/>
              </w:rPr>
              <w:t xml:space="preserve"> 302 nci madde uyarınca yapılacak alacaklılar toplantısı borçlunun konkordato projesini kabul </w:t>
            </w:r>
            <w:r w:rsidRPr="00A23740">
              <w:rPr>
                <w:rStyle w:val="KIRMIZIChar"/>
                <w:rFonts w:eastAsia="Calibri"/>
              </w:rPr>
              <w:t>etmezse</w:t>
            </w:r>
            <w:r w:rsidRPr="00A23740">
              <w:rPr>
                <w:rFonts w:eastAsia="Times New Roman"/>
                <w:szCs w:val="24"/>
                <w:lang w:eastAsia="tr-TR"/>
              </w:rPr>
              <w:t>, bu madde uyarınca anlaşma yapmış olan rehinli alacaklıların borçluyla akdetmiş bulundukları anlaşmalar ve anlaşma yapmamış olan rehinli alacaklılar için hazırlanmış olan ödeme planı geçerli hâle gelmez.</w:t>
            </w:r>
          </w:p>
          <w:p w:rsidR="00AA5C8C" w:rsidRPr="00A23740" w:rsidRDefault="00AA5C8C" w:rsidP="009431FF">
            <w:pPr>
              <w:rPr>
                <w:rStyle w:val="AralkYokChar"/>
                <w:b w:val="0"/>
                <w:strike w:val="0"/>
                <w:lang w:val="tr-TR"/>
              </w:rPr>
            </w:pPr>
          </w:p>
        </w:tc>
        <w:tc>
          <w:tcPr>
            <w:tcW w:w="2500" w:type="pct"/>
            <w:shd w:val="clear" w:color="auto" w:fill="FFFFFF"/>
          </w:tcPr>
          <w:p w:rsidR="00AA5C8C" w:rsidRPr="00A23740" w:rsidRDefault="00AA5C8C" w:rsidP="009431FF">
            <w:pPr>
              <w:pStyle w:val="Mavi"/>
            </w:pPr>
            <w:r w:rsidRPr="00A23740">
              <w:t>Rehinli alacakların yapılandırılması</w:t>
            </w:r>
          </w:p>
          <w:p w:rsidR="00AA5C8C" w:rsidRPr="00A23740" w:rsidRDefault="00164036" w:rsidP="009431FF">
            <w:pPr>
              <w:rPr>
                <w:rFonts w:eastAsia="Times New Roman"/>
                <w:szCs w:val="24"/>
                <w:lang w:eastAsia="tr-TR"/>
              </w:rPr>
            </w:pPr>
            <w:r w:rsidRPr="00A23740">
              <w:rPr>
                <w:rStyle w:val="MaviChar"/>
                <w:lang w:val="tr-TR"/>
              </w:rPr>
              <w:t>MADDE 414</w:t>
            </w:r>
            <w:r w:rsidR="00AA5C8C" w:rsidRPr="00A23740">
              <w:rPr>
                <w:rStyle w:val="MaviChar"/>
                <w:lang w:val="tr-TR"/>
              </w:rPr>
              <w:t>- (1)</w:t>
            </w:r>
            <w:r w:rsidR="00AA5C8C" w:rsidRPr="00A23740">
              <w:rPr>
                <w:szCs w:val="24"/>
              </w:rPr>
              <w:t xml:space="preserve"> </w:t>
            </w:r>
            <w:r w:rsidR="00AA5C8C" w:rsidRPr="00A23740">
              <w:rPr>
                <w:rFonts w:eastAsia="Times New Roman"/>
                <w:szCs w:val="24"/>
                <w:lang w:eastAsia="tr-TR"/>
              </w:rPr>
              <w:t xml:space="preserve">Borçlunun tekliflerinin alacak miktarı </w:t>
            </w:r>
            <w:r w:rsidR="00AA5C8C" w:rsidRPr="00071245">
              <w:rPr>
                <w:rStyle w:val="MaviChar"/>
              </w:rPr>
              <w:t>itibariyle</w:t>
            </w:r>
            <w:r w:rsidR="00AA5C8C" w:rsidRPr="00A23740">
              <w:rPr>
                <w:rFonts w:eastAsia="Times New Roman"/>
                <w:szCs w:val="24"/>
                <w:lang w:eastAsia="tr-TR"/>
              </w:rPr>
              <w:t xml:space="preserve"> </w:t>
            </w:r>
            <w:r w:rsidR="00AA5C8C" w:rsidRPr="00071245">
              <w:rPr>
                <w:rStyle w:val="MaviChar"/>
              </w:rPr>
              <w:t>yarısını aşan</w:t>
            </w:r>
            <w:r w:rsidR="00AA5C8C" w:rsidRPr="00A23740">
              <w:rPr>
                <w:rFonts w:eastAsia="Times New Roman"/>
                <w:szCs w:val="24"/>
                <w:lang w:eastAsia="tr-TR"/>
              </w:rPr>
              <w:t xml:space="preserve"> çoğunlukla kabul edilmesi hâlinde, borçlu ile anlaşamayan rehinli alacaklı, </w:t>
            </w:r>
            <w:r w:rsidR="00AA5C8C" w:rsidRPr="00A23740">
              <w:rPr>
                <w:rStyle w:val="MaviChar"/>
                <w:lang w:val="tr-TR"/>
              </w:rPr>
              <w:t>geçici mühlet kararı</w:t>
            </w:r>
            <w:r w:rsidR="00AA5C8C" w:rsidRPr="00A23740">
              <w:rPr>
                <w:rFonts w:eastAsia="Times New Roman"/>
                <w:szCs w:val="24"/>
                <w:lang w:eastAsia="tr-TR"/>
              </w:rPr>
              <w:t xml:space="preserve"> tarihinden itibaren, taraflar arasındaki sözleşmede kararlaştırılan temerrüt öncesi faiz oranı uygulanmak suretiyle, diğer rehinli alacaklılarla yapılan anlaşmalardan en uzun vadelisine tabi olur. Bu husus ve anlaşmaya varılamayan rehinli alacaklılara borçlu tarafından yapılacak ödemelere ilişkin plan komiser tarafından tutanağa geçirilir ve komiserin</w:t>
            </w:r>
            <w:r w:rsidR="000D5F8F" w:rsidRPr="00A23740">
              <w:rPr>
                <w:rFonts w:eastAsia="Times New Roman"/>
                <w:szCs w:val="24"/>
                <w:lang w:eastAsia="tr-TR"/>
              </w:rPr>
              <w:t xml:space="preserve"> </w:t>
            </w:r>
            <w:r w:rsidR="000D5F8F" w:rsidRPr="00071245">
              <w:rPr>
                <w:rStyle w:val="MaviChar"/>
              </w:rPr>
              <w:t>394 üncü</w:t>
            </w:r>
            <w:r w:rsidR="00AA5C8C" w:rsidRPr="00A23740">
              <w:rPr>
                <w:rFonts w:eastAsia="Times New Roman"/>
                <w:szCs w:val="24"/>
                <w:lang w:eastAsia="tr-TR"/>
              </w:rPr>
              <w:t xml:space="preserve"> </w:t>
            </w:r>
            <w:r w:rsidR="00AA5C8C" w:rsidRPr="00071245">
              <w:rPr>
                <w:rStyle w:val="MaviChar"/>
              </w:rPr>
              <w:t>madde</w:t>
            </w:r>
            <w:r w:rsidR="00AA5C8C" w:rsidRPr="00A23740">
              <w:rPr>
                <w:rStyle w:val="MaviChar"/>
                <w:lang w:val="tr-TR"/>
              </w:rPr>
              <w:t xml:space="preserve"> </w:t>
            </w:r>
            <w:r w:rsidR="00AA5C8C" w:rsidRPr="00A23740">
              <w:rPr>
                <w:rFonts w:eastAsia="Times New Roman"/>
                <w:szCs w:val="24"/>
                <w:lang w:eastAsia="tr-TR"/>
              </w:rPr>
              <w:t>uyarınca mahkemeye tevdi edeceği gerekçeli rapora da işlenir.</w:t>
            </w:r>
          </w:p>
          <w:p w:rsidR="00AA5C8C" w:rsidRPr="00A23740" w:rsidRDefault="00AA5C8C" w:rsidP="009431FF">
            <w:pPr>
              <w:rPr>
                <w:rStyle w:val="MaviChar"/>
                <w:strike/>
                <w:color w:val="FF0000"/>
              </w:rPr>
            </w:pPr>
          </w:p>
          <w:p w:rsidR="00AA5C8C" w:rsidRDefault="00AA5C8C" w:rsidP="009431FF">
            <w:pPr>
              <w:rPr>
                <w:rFonts w:eastAsia="Times New Roman"/>
                <w:szCs w:val="24"/>
                <w:lang w:eastAsia="tr-TR"/>
              </w:rPr>
            </w:pPr>
          </w:p>
          <w:p w:rsidR="00AF7B35" w:rsidRPr="00A23740" w:rsidRDefault="00AF7B35"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MaviChar"/>
                <w:lang w:val="tr-TR"/>
              </w:rPr>
              <w:t>(2)</w:t>
            </w:r>
            <w:r w:rsidRPr="00A23740">
              <w:rPr>
                <w:szCs w:val="24"/>
              </w:rPr>
              <w:t xml:space="preserve"> </w:t>
            </w:r>
            <w:r w:rsidRPr="00A23740">
              <w:rPr>
                <w:rFonts w:eastAsia="Times New Roman"/>
                <w:szCs w:val="24"/>
                <w:lang w:eastAsia="tr-TR"/>
              </w:rPr>
              <w:t>Mahkeme, rehinli alacaklılarla yapılan anlaşmaları</w:t>
            </w:r>
            <w:r w:rsidR="00236697" w:rsidRPr="00071245">
              <w:rPr>
                <w:rStyle w:val="MaviChar"/>
              </w:rPr>
              <w:t>,</w:t>
            </w:r>
            <w:r w:rsidRPr="00071245">
              <w:rPr>
                <w:rStyle w:val="MaviChar"/>
              </w:rPr>
              <w:t xml:space="preserve"> alacak miktarı itibariyle</w:t>
            </w:r>
            <w:r w:rsidR="00236697" w:rsidRPr="00071245">
              <w:rPr>
                <w:rStyle w:val="MaviChar"/>
              </w:rPr>
              <w:t xml:space="preserve"> toplam alacak miktarının</w:t>
            </w:r>
            <w:r w:rsidRPr="00071245">
              <w:rPr>
                <w:rStyle w:val="MaviChar"/>
              </w:rPr>
              <w:t xml:space="preserve"> yarısını aşan çoğunluğa</w:t>
            </w:r>
            <w:r w:rsidRPr="00A23740">
              <w:rPr>
                <w:rFonts w:eastAsia="Times New Roman"/>
                <w:szCs w:val="24"/>
                <w:lang w:eastAsia="tr-TR"/>
              </w:rPr>
              <w:t xml:space="preserve"> ulaşılıp ulaşılmadığı ve anlaşmaya varılamayan rehinli alacaklılar varsa bunlara uygulanacak ödeme planının bu maddede öngörülen şartlara uyup uymadığı bakımından kontrol ettikten sonra anlaşmaları ve ödeme planını, </w:t>
            </w:r>
            <w:r w:rsidRPr="00071245">
              <w:rPr>
                <w:rStyle w:val="MaviChar"/>
              </w:rPr>
              <w:t>konkordatonun tasdikine ilişkin</w:t>
            </w:r>
            <w:r w:rsidR="000D5F8F" w:rsidRPr="00071245">
              <w:rPr>
                <w:rStyle w:val="MaviChar"/>
              </w:rPr>
              <w:t xml:space="preserve"> 398 il</w:t>
            </w:r>
            <w:r w:rsidR="00F25FDB" w:rsidRPr="00071245">
              <w:rPr>
                <w:rStyle w:val="MaviChar"/>
              </w:rPr>
              <w:t>a</w:t>
            </w:r>
            <w:r w:rsidR="000D5F8F" w:rsidRPr="00071245">
              <w:rPr>
                <w:rStyle w:val="MaviChar"/>
              </w:rPr>
              <w:t xml:space="preserve"> 400 üncü</w:t>
            </w:r>
            <w:r w:rsidRPr="00A23740">
              <w:rPr>
                <w:rFonts w:eastAsia="Times New Roman"/>
                <w:szCs w:val="24"/>
                <w:lang w:eastAsia="tr-TR"/>
              </w:rPr>
              <w:t xml:space="preserve"> maddeler uyarınca vereceği karara dahil eder.</w:t>
            </w:r>
          </w:p>
          <w:p w:rsidR="00AA5C8C" w:rsidRPr="00A23740" w:rsidRDefault="00AA5C8C" w:rsidP="009431FF">
            <w:pPr>
              <w:rPr>
                <w:rFonts w:eastAsia="Times New Roman"/>
                <w:szCs w:val="24"/>
                <w:lang w:eastAsia="tr-TR"/>
              </w:rPr>
            </w:pPr>
          </w:p>
          <w:p w:rsidR="00AA5C8C" w:rsidRPr="00A23740" w:rsidRDefault="00AA5C8C" w:rsidP="009431FF">
            <w:pPr>
              <w:rPr>
                <w:rFonts w:eastAsia="Times New Roman"/>
                <w:szCs w:val="24"/>
                <w:lang w:eastAsia="tr-TR"/>
              </w:rPr>
            </w:pPr>
            <w:r w:rsidRPr="00A23740">
              <w:rPr>
                <w:rStyle w:val="MaviChar"/>
                <w:lang w:val="tr-TR"/>
              </w:rPr>
              <w:t>(3)</w:t>
            </w:r>
            <w:r w:rsidRPr="00A23740">
              <w:rPr>
                <w:szCs w:val="24"/>
              </w:rPr>
              <w:t xml:space="preserve"> </w:t>
            </w:r>
            <w:r w:rsidR="000D5F8F" w:rsidRPr="00071245">
              <w:rPr>
                <w:rStyle w:val="MaviChar"/>
              </w:rPr>
              <w:t>394 üncü</w:t>
            </w:r>
            <w:r w:rsidR="000D5F8F" w:rsidRPr="00A23740">
              <w:rPr>
                <w:rFonts w:eastAsia="Times New Roman"/>
                <w:szCs w:val="24"/>
                <w:lang w:eastAsia="tr-TR"/>
              </w:rPr>
              <w:t xml:space="preserve"> </w:t>
            </w:r>
            <w:r w:rsidRPr="00071245">
              <w:rPr>
                <w:rStyle w:val="MaviChar"/>
              </w:rPr>
              <w:t>madde</w:t>
            </w:r>
            <w:r w:rsidRPr="00A23740">
              <w:rPr>
                <w:rFonts w:eastAsia="Times New Roman"/>
                <w:szCs w:val="24"/>
                <w:lang w:eastAsia="tr-TR"/>
              </w:rPr>
              <w:t xml:space="preserve"> uyarınca yapılacak alacaklılar toplantısı</w:t>
            </w:r>
            <w:r w:rsidR="00236697" w:rsidRPr="00071245">
              <w:rPr>
                <w:rStyle w:val="MaviChar"/>
              </w:rPr>
              <w:t>nda</w:t>
            </w:r>
            <w:r w:rsidRPr="00A23740">
              <w:rPr>
                <w:rFonts w:eastAsia="Times New Roman"/>
                <w:szCs w:val="24"/>
                <w:lang w:eastAsia="tr-TR"/>
              </w:rPr>
              <w:t xml:space="preserve"> borçlunun konkordato projesi</w:t>
            </w:r>
            <w:r w:rsidR="00AF7B35">
              <w:rPr>
                <w:rFonts w:eastAsia="Times New Roman"/>
                <w:szCs w:val="24"/>
                <w:lang w:eastAsia="tr-TR"/>
              </w:rPr>
              <w:t xml:space="preserve"> </w:t>
            </w:r>
            <w:r w:rsidRPr="00A23740">
              <w:rPr>
                <w:rFonts w:eastAsia="Times New Roman"/>
                <w:szCs w:val="24"/>
                <w:lang w:eastAsia="tr-TR"/>
              </w:rPr>
              <w:t xml:space="preserve">kabul </w:t>
            </w:r>
            <w:r w:rsidR="00236697" w:rsidRPr="00071245">
              <w:rPr>
                <w:rStyle w:val="MaviChar"/>
              </w:rPr>
              <w:t>edilmezse</w:t>
            </w:r>
            <w:r w:rsidRPr="00A23740">
              <w:rPr>
                <w:rFonts w:eastAsia="Times New Roman"/>
                <w:szCs w:val="24"/>
                <w:lang w:eastAsia="tr-TR"/>
              </w:rPr>
              <w:t>, bu madde uyarınca anlaşma yapmış olan rehinli alacaklıların borçluyla akdetmiş bulundukları anlaşmalar ve anlaşma yapmamış olan rehinli alacaklılar için hazırlanmış olan ödeme planı geçerli hâle gelmez.</w:t>
            </w:r>
          </w:p>
          <w:p w:rsidR="00AA5C8C" w:rsidRPr="00A23740" w:rsidRDefault="00AA5C8C" w:rsidP="009431FF">
            <w:pPr>
              <w:pStyle w:val="Mavi"/>
              <w:jc w:val="center"/>
              <w:rPr>
                <w:lang w:val="tr-TR"/>
              </w:rPr>
            </w:pPr>
          </w:p>
        </w:tc>
      </w:tr>
      <w:tr w:rsidR="005C3738" w:rsidRPr="00A23740" w:rsidTr="009431FF">
        <w:tc>
          <w:tcPr>
            <w:tcW w:w="5000" w:type="pct"/>
            <w:gridSpan w:val="2"/>
            <w:shd w:val="clear" w:color="auto" w:fill="DEEAF6"/>
          </w:tcPr>
          <w:p w:rsidR="00285F60" w:rsidRPr="00A23740" w:rsidRDefault="00285F60" w:rsidP="009431FF">
            <w:pPr>
              <w:tabs>
                <w:tab w:val="left" w:pos="567"/>
              </w:tabs>
              <w:rPr>
                <w:b/>
                <w:bCs/>
                <w:szCs w:val="24"/>
                <w:lang w:eastAsia="x-none"/>
              </w:rPr>
            </w:pPr>
          </w:p>
          <w:p w:rsidR="00285F60" w:rsidRPr="00A23740" w:rsidRDefault="00164036" w:rsidP="009431FF">
            <w:pPr>
              <w:tabs>
                <w:tab w:val="left" w:pos="567"/>
              </w:tabs>
              <w:ind w:firstLine="709"/>
              <w:rPr>
                <w:bCs/>
                <w:szCs w:val="24"/>
                <w:lang w:eastAsia="x-none"/>
              </w:rPr>
            </w:pPr>
            <w:r w:rsidRPr="00A23740">
              <w:rPr>
                <w:rStyle w:val="YELChar"/>
                <w:color w:val="auto"/>
              </w:rPr>
              <w:t>MADDE 414</w:t>
            </w:r>
            <w:r w:rsidR="00285F60" w:rsidRPr="00A23740">
              <w:rPr>
                <w:rStyle w:val="YELChar"/>
                <w:color w:val="auto"/>
              </w:rPr>
              <w:t>-</w:t>
            </w:r>
            <w:r w:rsidR="00285F60" w:rsidRPr="00A23740">
              <w:rPr>
                <w:bCs/>
                <w:szCs w:val="24"/>
                <w:lang w:eastAsia="x-none"/>
              </w:rPr>
              <w:t xml:space="preserve"> Maddeyle rehinli alacakların yapılandırılmasına ilişkin hususlar düzenlenmektedir. </w:t>
            </w:r>
          </w:p>
          <w:p w:rsidR="00285F60" w:rsidRPr="00A23740" w:rsidRDefault="00285F60" w:rsidP="009431FF">
            <w:pPr>
              <w:tabs>
                <w:tab w:val="left" w:pos="567"/>
              </w:tabs>
              <w:ind w:firstLine="709"/>
              <w:rPr>
                <w:bCs/>
                <w:szCs w:val="24"/>
                <w:lang w:eastAsia="x-none"/>
              </w:rPr>
            </w:pPr>
            <w:r w:rsidRPr="00A23740">
              <w:rPr>
                <w:bCs/>
                <w:szCs w:val="24"/>
                <w:lang w:eastAsia="x-none"/>
              </w:rPr>
              <w:t>Rehinli alacaklılarla varılan uzlaşı neticesinde, yapılandırılan rüçhanlı alacak tutarının toplam rüçhanlı alacak tutarının yarısını aşması h</w:t>
            </w:r>
            <w:r w:rsidR="00165ED8" w:rsidRPr="00A23740">
              <w:rPr>
                <w:bCs/>
                <w:szCs w:val="24"/>
                <w:lang w:eastAsia="x-none"/>
              </w:rPr>
              <w:t>â</w:t>
            </w:r>
            <w:r w:rsidRPr="00A23740">
              <w:rPr>
                <w:bCs/>
                <w:szCs w:val="24"/>
                <w:lang w:eastAsia="x-none"/>
              </w:rPr>
              <w:t xml:space="preserve">linde, üzerinde anlaşılamamış rüçhanlı alacak tutarının ne şekilde tediye edileceği hakkındaki birinci fıkra hükmü, esasen 7101 sayılı Kanunla getirilen ilkeyi büyük ölçüde muhafaza etmiştir. Bu hâlde rüçhanlı alacak tutarı, önceki düzenlemeden farklı olarak </w:t>
            </w:r>
            <w:r w:rsidRPr="00A23740">
              <w:rPr>
                <w:bCs/>
                <w:i/>
                <w:szCs w:val="24"/>
                <w:lang w:eastAsia="x-none"/>
              </w:rPr>
              <w:t>artık geçici mühlet karar tarihinden itibaren işlemek üzere</w:t>
            </w:r>
            <w:r w:rsidRPr="00A23740">
              <w:rPr>
                <w:bCs/>
                <w:szCs w:val="24"/>
                <w:lang w:eastAsia="x-none"/>
              </w:rPr>
              <w:t xml:space="preserve"> </w:t>
            </w:r>
            <w:r w:rsidRPr="00A23740">
              <w:rPr>
                <w:rFonts w:eastAsia="Times New Roman"/>
                <w:szCs w:val="24"/>
                <w:lang w:eastAsia="tr-TR"/>
              </w:rPr>
              <w:t>tarafların kendi aralarındaki sözleşmelerinde kararlaştırılan temerrüt öncesi faiz oranı her ne ise o oran uygulanmak suretiyle ve fakat bu kez diğer rehinli alacaklılarla yapılan anlaşmalardan en uzun vadelisi hangisi ise o vade süresine ve düzenine uymak suretiyle tediye edilecektir. Bu vesileyle 7101 sayılı Kanunla kabul edilen “</w:t>
            </w:r>
            <w:r w:rsidRPr="00A23740">
              <w:rPr>
                <w:rFonts w:eastAsia="Times New Roman"/>
                <w:i/>
                <w:szCs w:val="24"/>
                <w:lang w:eastAsia="tr-TR"/>
              </w:rPr>
              <w:t>konkordato talep tarihine</w:t>
            </w:r>
            <w:r w:rsidRPr="006C4AA3">
              <w:rPr>
                <w:rFonts w:eastAsia="Times New Roman"/>
                <w:szCs w:val="24"/>
                <w:lang w:eastAsia="tr-TR"/>
              </w:rPr>
              <w:t>”</w:t>
            </w:r>
            <w:r w:rsidRPr="00A23740">
              <w:rPr>
                <w:rFonts w:eastAsia="Times New Roman"/>
                <w:i/>
                <w:szCs w:val="24"/>
                <w:lang w:eastAsia="tr-TR"/>
              </w:rPr>
              <w:t xml:space="preserve"> </w:t>
            </w:r>
            <w:r w:rsidRPr="00A23740">
              <w:rPr>
                <w:rFonts w:eastAsia="Times New Roman"/>
                <w:szCs w:val="24"/>
                <w:lang w:eastAsia="tr-TR"/>
              </w:rPr>
              <w:t>ilişkin kriter, adi konkordatoya ait hükümlerde yaşanan değişikliğe uygun olarak “</w:t>
            </w:r>
            <w:r w:rsidRPr="00A23740">
              <w:rPr>
                <w:rFonts w:eastAsia="Times New Roman"/>
                <w:i/>
                <w:szCs w:val="24"/>
                <w:lang w:eastAsia="tr-TR"/>
              </w:rPr>
              <w:t>geçici mühlet karar tarihi</w:t>
            </w:r>
            <w:r w:rsidRPr="00A23740">
              <w:rPr>
                <w:rFonts w:eastAsia="Times New Roman"/>
                <w:szCs w:val="24"/>
                <w:lang w:eastAsia="tr-TR"/>
              </w:rPr>
              <w:t>” şeklinde tashih edilerek yeniden düzenlenmiştir. Esasen peşinen bilinen bu kanuni sonucun ilgili rüçhanlı alacaklının aleyhine olması ihtimalinde, söz konusu rehinli alacaklının borçlusuyla daha lehte koşullarla anlaşmaya varması beklenir. Aksi hâlde</w:t>
            </w:r>
            <w:r w:rsidR="005403A6" w:rsidRPr="00A23740">
              <w:rPr>
                <w:rFonts w:eastAsia="Times New Roman"/>
                <w:szCs w:val="24"/>
                <w:lang w:eastAsia="tr-TR"/>
              </w:rPr>
              <w:t>,</w:t>
            </w:r>
            <w:r w:rsidRPr="00A23740">
              <w:rPr>
                <w:rFonts w:eastAsia="Times New Roman"/>
                <w:szCs w:val="24"/>
                <w:lang w:eastAsia="tr-TR"/>
              </w:rPr>
              <w:t xml:space="preserve"> yani ancak resm</w:t>
            </w:r>
            <w:r w:rsidR="00B10E85" w:rsidRPr="00A23740">
              <w:rPr>
                <w:rFonts w:eastAsia="Times New Roman"/>
                <w:szCs w:val="24"/>
                <w:lang w:eastAsia="tr-TR"/>
              </w:rPr>
              <w:t>î</w:t>
            </w:r>
            <w:r w:rsidRPr="00A23740">
              <w:rPr>
                <w:rFonts w:eastAsia="Times New Roman"/>
                <w:szCs w:val="24"/>
                <w:lang w:eastAsia="tr-TR"/>
              </w:rPr>
              <w:t xml:space="preserve"> müzakere ortamında açığa çıkacağı ve artık düşürülen oran neticesinde daha kolay gerçekleşebileceği üzere azınlıkta kalınması durumunda, muhalif rüçhanlı alacaklı, kanunda yazıldığı gibi bir tediye şekline mecbur bırakılmaktadır. Söz konusu müzakerenin ertesinde de bir iltihak döneminin getirilmiş olması, </w:t>
            </w:r>
            <w:r w:rsidR="005403A6" w:rsidRPr="00A23740">
              <w:rPr>
                <w:rFonts w:eastAsia="Times New Roman"/>
                <w:szCs w:val="24"/>
                <w:lang w:eastAsia="tr-TR"/>
              </w:rPr>
              <w:t xml:space="preserve">özellikle </w:t>
            </w:r>
            <w:r w:rsidRPr="00A23740">
              <w:rPr>
                <w:rFonts w:eastAsia="Times New Roman"/>
                <w:szCs w:val="24"/>
                <w:lang w:eastAsia="tr-TR"/>
              </w:rPr>
              <w:t xml:space="preserve">meselenin bu yönü için önem kazanmaktadır. Varılan anlaşmalar yanında muhalif </w:t>
            </w:r>
            <w:r w:rsidR="005403A6" w:rsidRPr="00A23740">
              <w:rPr>
                <w:rFonts w:eastAsia="Times New Roman"/>
                <w:szCs w:val="24"/>
                <w:lang w:eastAsia="tr-TR"/>
              </w:rPr>
              <w:t xml:space="preserve">kalan </w:t>
            </w:r>
            <w:r w:rsidRPr="00A23740">
              <w:rPr>
                <w:rFonts w:eastAsia="Times New Roman"/>
                <w:szCs w:val="24"/>
                <w:lang w:eastAsia="tr-TR"/>
              </w:rPr>
              <w:t>kim</w:t>
            </w:r>
            <w:r w:rsidR="00B10E85" w:rsidRPr="00A23740">
              <w:rPr>
                <w:rFonts w:eastAsia="Times New Roman"/>
                <w:szCs w:val="24"/>
                <w:lang w:eastAsia="tr-TR"/>
              </w:rPr>
              <w:t>se</w:t>
            </w:r>
            <w:r w:rsidRPr="00A23740">
              <w:rPr>
                <w:rFonts w:eastAsia="Times New Roman"/>
                <w:szCs w:val="24"/>
                <w:lang w:eastAsia="tr-TR"/>
              </w:rPr>
              <w:t xml:space="preserve">ler yönünden nasıl bir tediyenin kanunen gerçekleşeceğinin de müzakere tutanağına ve </w:t>
            </w:r>
            <w:r w:rsidR="00B10E85" w:rsidRPr="00075A70">
              <w:t>komiserin</w:t>
            </w:r>
            <w:r w:rsidRPr="00A23740">
              <w:rPr>
                <w:rStyle w:val="YELChar"/>
              </w:rPr>
              <w:t xml:space="preserve"> </w:t>
            </w:r>
            <w:r w:rsidRPr="00A23740">
              <w:rPr>
                <w:rFonts w:eastAsia="Times New Roman"/>
                <w:szCs w:val="24"/>
                <w:lang w:eastAsia="tr-TR"/>
              </w:rPr>
              <w:t xml:space="preserve">nihai raporuna, mahkemenin olası tasdik kararına esas olmak üzere geçirilmesi gerekir. </w:t>
            </w:r>
          </w:p>
          <w:p w:rsidR="00285F60" w:rsidRPr="00A23740" w:rsidRDefault="00285F60" w:rsidP="009431FF">
            <w:pPr>
              <w:tabs>
                <w:tab w:val="left" w:pos="567"/>
              </w:tabs>
              <w:ind w:firstLine="709"/>
              <w:rPr>
                <w:bCs/>
                <w:szCs w:val="24"/>
                <w:lang w:eastAsia="x-none"/>
              </w:rPr>
            </w:pPr>
            <w:r w:rsidRPr="00A23740">
              <w:rPr>
                <w:rFonts w:eastAsia="Times New Roman"/>
                <w:szCs w:val="24"/>
                <w:lang w:eastAsia="tr-TR"/>
              </w:rPr>
              <w:t>Söz konusu mecburiyetin rüçhanlı alacaklılar bakımından ayn</w:t>
            </w:r>
            <w:r w:rsidR="00AC45AD" w:rsidRPr="00A23740">
              <w:rPr>
                <w:rFonts w:eastAsia="Times New Roman"/>
                <w:szCs w:val="24"/>
                <w:lang w:eastAsia="tr-TR"/>
              </w:rPr>
              <w:t>i</w:t>
            </w:r>
            <w:r w:rsidRPr="00A23740">
              <w:rPr>
                <w:rFonts w:eastAsia="Times New Roman"/>
                <w:szCs w:val="24"/>
                <w:lang w:eastAsia="tr-TR"/>
              </w:rPr>
              <w:t xml:space="preserve"> haklarına haksız ve ölçüsüz bir müdahale dolayısıyla Anayasa</w:t>
            </w:r>
            <w:r w:rsidR="00B10E85" w:rsidRPr="00A23740">
              <w:rPr>
                <w:rFonts w:eastAsia="Times New Roman"/>
                <w:szCs w:val="24"/>
                <w:lang w:eastAsia="tr-TR"/>
              </w:rPr>
              <w:t>ya</w:t>
            </w:r>
            <w:r w:rsidRPr="00A23740">
              <w:rPr>
                <w:rFonts w:eastAsia="Times New Roman"/>
                <w:szCs w:val="24"/>
                <w:lang w:eastAsia="tr-TR"/>
              </w:rPr>
              <w:t xml:space="preserve"> aykırılık teşkil edebileceği yönünde, hiçbir tereddüt duyulmamıştır. Zira elde öncelikle alacak</w:t>
            </w:r>
            <w:r w:rsidR="005403A6" w:rsidRPr="00A23740">
              <w:rPr>
                <w:rFonts w:eastAsia="Times New Roman"/>
                <w:szCs w:val="24"/>
                <w:lang w:eastAsia="tr-TR"/>
              </w:rPr>
              <w:t>lı</w:t>
            </w:r>
            <w:r w:rsidRPr="00A23740">
              <w:rPr>
                <w:rFonts w:eastAsia="Times New Roman"/>
                <w:szCs w:val="24"/>
                <w:lang w:eastAsia="tr-TR"/>
              </w:rPr>
              <w:t>ların çoğunluğunu ilgilendiren bir uzlaşı bulunmaktadır. Bu sırada alacaklı çoğunluğunun her zaman alacak çoğunluğuna delalet etmeyebileceği gerçeğinden hareketle</w:t>
            </w:r>
            <w:r w:rsidR="005403A6" w:rsidRPr="00A23740">
              <w:rPr>
                <w:rFonts w:eastAsia="Times New Roman"/>
                <w:szCs w:val="24"/>
                <w:lang w:eastAsia="tr-TR"/>
              </w:rPr>
              <w:t>,</w:t>
            </w:r>
            <w:r w:rsidRPr="00A23740">
              <w:rPr>
                <w:rFonts w:eastAsia="Times New Roman"/>
                <w:szCs w:val="24"/>
                <w:lang w:eastAsia="tr-TR"/>
              </w:rPr>
              <w:t xml:space="preserve"> alacak çoğunluğunun esas alınmasında, özel bir menfaat görülmüştür. Öte taraftan hasıl olan mecburiyet, adi alacaklılar için geçerli olduğu gibi de değildir. Zira rüçhanlı alacak tutarında, alacaklının rızası hil</w:t>
            </w:r>
            <w:r w:rsidR="00F25FDB" w:rsidRPr="00A23740">
              <w:rPr>
                <w:rFonts w:eastAsia="Times New Roman"/>
                <w:szCs w:val="24"/>
                <w:lang w:eastAsia="tr-TR"/>
              </w:rPr>
              <w:t>a</w:t>
            </w:r>
            <w:r w:rsidRPr="00A23740">
              <w:rPr>
                <w:rFonts w:eastAsia="Times New Roman"/>
                <w:szCs w:val="24"/>
                <w:lang w:eastAsia="tr-TR"/>
              </w:rPr>
              <w:t xml:space="preserve">fına bir tenkis gerçekleşemez. Rüçhanlı alacak, her hâlde tam olarak ödenmektedir. Öte yandan vadeli </w:t>
            </w:r>
            <w:r w:rsidR="005403A6" w:rsidRPr="00A23740">
              <w:rPr>
                <w:rFonts w:eastAsia="Times New Roman"/>
                <w:szCs w:val="24"/>
                <w:lang w:eastAsia="tr-TR"/>
              </w:rPr>
              <w:t xml:space="preserve">olarak </w:t>
            </w:r>
            <w:r w:rsidRPr="00A23740">
              <w:rPr>
                <w:rFonts w:eastAsia="Times New Roman"/>
                <w:szCs w:val="24"/>
                <w:lang w:eastAsia="tr-TR"/>
              </w:rPr>
              <w:t>gerçekleşecek ödeme bakımından ise bizzat muhalif alacaklının borçluyla arasında geçerli olan temerrüt öncesi akdi faiz esas alınmakta, eş deyişle alacaklının rüçhanlı alacağının kendi koşullarıyla ödenmesine gayret edilmektedir. Bu sırada vadenin bir başka rüçhanlı alacaklıya nazaran belirlenmesi ise</w:t>
            </w:r>
            <w:r w:rsidR="005403A6" w:rsidRPr="00A23740">
              <w:rPr>
                <w:rFonts w:eastAsia="Times New Roman"/>
                <w:szCs w:val="24"/>
                <w:lang w:eastAsia="tr-TR"/>
              </w:rPr>
              <w:t>,</w:t>
            </w:r>
            <w:r w:rsidRPr="00A23740">
              <w:rPr>
                <w:rFonts w:eastAsia="Times New Roman"/>
                <w:szCs w:val="24"/>
                <w:lang w:eastAsia="tr-TR"/>
              </w:rPr>
              <w:t xml:space="preserve"> takınılan muhalif tutumun bir yaptırımıdır ki</w:t>
            </w:r>
            <w:r w:rsidR="005403A6" w:rsidRPr="00A23740">
              <w:rPr>
                <w:rFonts w:eastAsia="Times New Roman"/>
                <w:szCs w:val="24"/>
                <w:lang w:eastAsia="tr-TR"/>
              </w:rPr>
              <w:t>,</w:t>
            </w:r>
            <w:r w:rsidRPr="00A23740">
              <w:rPr>
                <w:rFonts w:eastAsia="Times New Roman"/>
                <w:szCs w:val="24"/>
                <w:lang w:eastAsia="tr-TR"/>
              </w:rPr>
              <w:t xml:space="preserve">, böyle olmazsa anlaşma zemininin </w:t>
            </w:r>
            <w:r w:rsidR="005403A6" w:rsidRPr="00A23740">
              <w:rPr>
                <w:rFonts w:eastAsia="Times New Roman"/>
                <w:szCs w:val="24"/>
                <w:lang w:eastAsia="tr-TR"/>
              </w:rPr>
              <w:t xml:space="preserve">sağlanması da </w:t>
            </w:r>
            <w:r w:rsidRPr="00A23740">
              <w:rPr>
                <w:rFonts w:eastAsia="Times New Roman"/>
                <w:szCs w:val="24"/>
                <w:lang w:eastAsia="tr-TR"/>
              </w:rPr>
              <w:t>mümkün olmazdı. Kaldı ki, rüçhanlı alacaklı için temel menfaat, alacağın ödenmesi olup bu vesileyle onun gerçekleşmesine çalışılmaktadır. Rüçhanlı alacaklının rehin konusunun cebren satışını isteme imk</w:t>
            </w:r>
            <w:r w:rsidR="00BE53A8" w:rsidRPr="00A23740">
              <w:rPr>
                <w:rFonts w:eastAsia="Times New Roman"/>
                <w:szCs w:val="24"/>
                <w:lang w:eastAsia="tr-TR"/>
              </w:rPr>
              <w:t>â</w:t>
            </w:r>
            <w:r w:rsidRPr="00A23740">
              <w:rPr>
                <w:rFonts w:eastAsia="Times New Roman"/>
                <w:szCs w:val="24"/>
                <w:lang w:eastAsia="tr-TR"/>
              </w:rPr>
              <w:t>nının -</w:t>
            </w:r>
            <w:r w:rsidRPr="00A23740">
              <w:rPr>
                <w:rFonts w:eastAsia="Times New Roman"/>
                <w:i/>
                <w:szCs w:val="24"/>
                <w:lang w:eastAsia="tr-TR"/>
              </w:rPr>
              <w:t>alacağının da kendisine vadeli olarak ödenmesi karşılığında</w:t>
            </w:r>
            <w:r w:rsidRPr="00A23740">
              <w:rPr>
                <w:rFonts w:eastAsia="Times New Roman"/>
                <w:szCs w:val="24"/>
                <w:lang w:eastAsia="tr-TR"/>
              </w:rPr>
              <w:t>- elinde</w:t>
            </w:r>
            <w:r w:rsidR="00B10E85" w:rsidRPr="00A23740">
              <w:rPr>
                <w:rFonts w:eastAsia="Times New Roman"/>
                <w:szCs w:val="24"/>
                <w:lang w:eastAsia="tr-TR"/>
              </w:rPr>
              <w:t>n</w:t>
            </w:r>
            <w:r w:rsidRPr="00A23740">
              <w:rPr>
                <w:rFonts w:eastAsia="Times New Roman"/>
                <w:szCs w:val="24"/>
                <w:lang w:eastAsia="tr-TR"/>
              </w:rPr>
              <w:t xml:space="preserve"> alınması ise çoğunluktaki adi alacaklıların ve hatta çoğunluktaki rüçhanlı </w:t>
            </w:r>
            <w:r w:rsidR="005403A6" w:rsidRPr="00A23740">
              <w:rPr>
                <w:rFonts w:eastAsia="Times New Roman"/>
                <w:szCs w:val="24"/>
                <w:lang w:eastAsia="tr-TR"/>
              </w:rPr>
              <w:t xml:space="preserve">alacaklının </w:t>
            </w:r>
            <w:r w:rsidRPr="00A23740">
              <w:rPr>
                <w:rFonts w:eastAsia="Times New Roman"/>
                <w:szCs w:val="24"/>
                <w:lang w:eastAsia="tr-TR"/>
              </w:rPr>
              <w:t>alî menfaatinin temini adına menfaatler dengesi yönünden ne ölçüsüz bir müdahale ne de dolayısıyla</w:t>
            </w:r>
            <w:r w:rsidR="005403A6" w:rsidRPr="00A23740">
              <w:rPr>
                <w:rFonts w:eastAsia="Times New Roman"/>
                <w:szCs w:val="24"/>
                <w:lang w:eastAsia="tr-TR"/>
              </w:rPr>
              <w:t>,</w:t>
            </w:r>
            <w:r w:rsidRPr="00A23740">
              <w:rPr>
                <w:rFonts w:eastAsia="Times New Roman"/>
                <w:szCs w:val="24"/>
                <w:lang w:eastAsia="tr-TR"/>
              </w:rPr>
              <w:t xml:space="preserve"> Anayasa aykırılık teşkil eder. Esasen borç ödeninceye kadar rüçhan hakkının </w:t>
            </w:r>
            <w:r w:rsidR="005403A6" w:rsidRPr="00A23740">
              <w:rPr>
                <w:rFonts w:eastAsia="Times New Roman"/>
                <w:szCs w:val="24"/>
                <w:lang w:eastAsia="tr-TR"/>
              </w:rPr>
              <w:t xml:space="preserve"> saklı </w:t>
            </w:r>
            <w:r w:rsidRPr="00A23740">
              <w:rPr>
                <w:rFonts w:eastAsia="Times New Roman"/>
                <w:szCs w:val="24"/>
                <w:lang w:eastAsia="tr-TR"/>
              </w:rPr>
              <w:t>tutulduğu; söz konusu anlaşmanın da gereğinde iptalinin istenebildiği bir hâlde</w:t>
            </w:r>
            <w:r w:rsidR="005403A6" w:rsidRPr="00A23740">
              <w:rPr>
                <w:rFonts w:eastAsia="Times New Roman"/>
                <w:szCs w:val="24"/>
                <w:lang w:eastAsia="tr-TR"/>
              </w:rPr>
              <w:t>,</w:t>
            </w:r>
            <w:r w:rsidRPr="00A23740">
              <w:rPr>
                <w:rFonts w:eastAsia="Times New Roman"/>
                <w:szCs w:val="24"/>
                <w:lang w:eastAsia="tr-TR"/>
              </w:rPr>
              <w:t xml:space="preserve"> temel haklara kanun eliyle yapılmış bu müdahalenin hakkın özüne tecavüz ettiği de iddia edilemez. Özetle muhalif rüçhanlı alacaklının mecbur edildiği taksitlendirmenin arkasında çoğunluğu teşkil eden miktar üzerinde varılan uzlaşı ve muhalif alacaklının hâlâ kendi faiz oranı vardı</w:t>
            </w:r>
            <w:r w:rsidR="00B10E85" w:rsidRPr="00A23740">
              <w:rPr>
                <w:rFonts w:eastAsia="Times New Roman"/>
                <w:szCs w:val="24"/>
                <w:lang w:eastAsia="tr-TR"/>
              </w:rPr>
              <w:t>r</w:t>
            </w:r>
            <w:r w:rsidRPr="00A23740">
              <w:rPr>
                <w:rFonts w:eastAsia="Times New Roman"/>
                <w:szCs w:val="24"/>
                <w:lang w:eastAsia="tr-TR"/>
              </w:rPr>
              <w:t xml:space="preserve"> ki, uzatılan vadenin borç ödeninceye kadar </w:t>
            </w:r>
            <w:r w:rsidR="005403A6" w:rsidRPr="00A23740">
              <w:rPr>
                <w:rFonts w:eastAsia="Times New Roman"/>
                <w:szCs w:val="24"/>
                <w:lang w:eastAsia="tr-TR"/>
              </w:rPr>
              <w:t xml:space="preserve">saklı </w:t>
            </w:r>
            <w:r w:rsidRPr="00A23740">
              <w:rPr>
                <w:rFonts w:eastAsia="Times New Roman"/>
                <w:szCs w:val="24"/>
                <w:lang w:eastAsia="tr-TR"/>
              </w:rPr>
              <w:t>kalan rehin karşısında bir Anayasaya aykırılık sorununa yol açması beklenmemelidir</w:t>
            </w:r>
            <w:r w:rsidR="001A2FE4" w:rsidRPr="00A23740">
              <w:rPr>
                <w:rFonts w:eastAsia="Times New Roman"/>
                <w:szCs w:val="24"/>
                <w:lang w:eastAsia="tr-TR"/>
              </w:rPr>
              <w:t>.</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İkinci fıkra hükmü, </w:t>
            </w:r>
            <w:r w:rsidR="00B10E85" w:rsidRPr="00075A70">
              <w:t>komiserin</w:t>
            </w:r>
            <w:r w:rsidRPr="00A23740">
              <w:rPr>
                <w:bCs/>
                <w:szCs w:val="24"/>
                <w:lang w:eastAsia="x-none"/>
              </w:rPr>
              <w:t xml:space="preserve"> nihai raporuna da geçen </w:t>
            </w:r>
            <w:r w:rsidR="005403A6" w:rsidRPr="00A23740">
              <w:rPr>
                <w:bCs/>
                <w:szCs w:val="24"/>
                <w:lang w:eastAsia="x-none"/>
              </w:rPr>
              <w:t xml:space="preserve">özellikle </w:t>
            </w:r>
            <w:r w:rsidRPr="00A23740">
              <w:rPr>
                <w:bCs/>
                <w:szCs w:val="24"/>
                <w:lang w:eastAsia="x-none"/>
              </w:rPr>
              <w:t xml:space="preserve">yazılı kanuni sonuçların bu kez tasdik yargılaması sırasında, mahkemesince denetimine ilişkindir. Tasdik kararında da aynen </w:t>
            </w:r>
            <w:r w:rsidR="005403A6" w:rsidRPr="00A23740">
              <w:rPr>
                <w:bCs/>
                <w:szCs w:val="24"/>
                <w:lang w:eastAsia="x-none"/>
              </w:rPr>
              <w:t xml:space="preserve">komiserin </w:t>
            </w:r>
            <w:r w:rsidRPr="00A23740">
              <w:rPr>
                <w:bCs/>
                <w:szCs w:val="24"/>
                <w:lang w:eastAsia="x-none"/>
              </w:rPr>
              <w:t>birinci fıkrada düzenlenen nihai raporunda olduğu gibi</w:t>
            </w:r>
            <w:r w:rsidR="005403A6" w:rsidRPr="00A23740">
              <w:rPr>
                <w:bCs/>
                <w:szCs w:val="24"/>
                <w:lang w:eastAsia="x-none"/>
              </w:rPr>
              <w:t>,</w:t>
            </w:r>
            <w:r w:rsidRPr="00A23740">
              <w:rPr>
                <w:bCs/>
                <w:szCs w:val="24"/>
                <w:lang w:eastAsia="x-none"/>
              </w:rPr>
              <w:t xml:space="preserve"> yapılan anlaşmalara veya kanunen hasıl </w:t>
            </w:r>
            <w:r w:rsidR="005403A6" w:rsidRPr="00A23740">
              <w:rPr>
                <w:bCs/>
                <w:szCs w:val="24"/>
                <w:lang w:eastAsia="x-none"/>
              </w:rPr>
              <w:t xml:space="preserve">olan </w:t>
            </w:r>
            <w:r w:rsidRPr="00A23740">
              <w:rPr>
                <w:bCs/>
                <w:szCs w:val="24"/>
                <w:lang w:eastAsia="x-none"/>
              </w:rPr>
              <w:t xml:space="preserve">sonuçlara yer verilmesi gerektiği, </w:t>
            </w:r>
            <w:r w:rsidR="005403A6" w:rsidRPr="00A23740">
              <w:rPr>
                <w:bCs/>
                <w:szCs w:val="24"/>
                <w:lang w:eastAsia="x-none"/>
              </w:rPr>
              <w:t xml:space="preserve">hususu ikinci fıkrada </w:t>
            </w:r>
            <w:r w:rsidRPr="00A23740">
              <w:rPr>
                <w:bCs/>
                <w:szCs w:val="24"/>
                <w:lang w:eastAsia="x-none"/>
              </w:rPr>
              <w:t xml:space="preserve">düzenlemektedir. Kararın bu kısmı, her bir rüçhanlı alacaklı yönünden rüçhanlı alacağı için yeni, ek bir ödeme projesidir ve borçlu, bu </w:t>
            </w:r>
            <w:r w:rsidR="005403A6" w:rsidRPr="00A23740">
              <w:rPr>
                <w:bCs/>
                <w:szCs w:val="24"/>
                <w:lang w:eastAsia="x-none"/>
              </w:rPr>
              <w:t xml:space="preserve">suretle </w:t>
            </w:r>
            <w:r w:rsidRPr="00A23740">
              <w:rPr>
                <w:bCs/>
                <w:szCs w:val="24"/>
                <w:lang w:eastAsia="x-none"/>
              </w:rPr>
              <w:t>rüçhanlı borcundan kurtulmakta; rüçhanlı alacaklı da rüçhanlı alacağının tahsili için bundan böyle rehin konusunun satışını isteyememektedir. Konkordato projesi gibi her bir rüçhanlı alacaklıyla varılan anlaşmanın ve bu vesileyle şartları ol</w:t>
            </w:r>
            <w:r w:rsidR="00B10E85" w:rsidRPr="00A23740">
              <w:rPr>
                <w:bCs/>
                <w:szCs w:val="24"/>
                <w:lang w:eastAsia="x-none"/>
              </w:rPr>
              <w:t>uş</w:t>
            </w:r>
            <w:r w:rsidRPr="00A23740">
              <w:rPr>
                <w:bCs/>
                <w:szCs w:val="24"/>
                <w:lang w:eastAsia="x-none"/>
              </w:rPr>
              <w:t xml:space="preserve">muşsa hasıl olan kanuni neticenin </w:t>
            </w:r>
            <w:r w:rsidRPr="00A23740">
              <w:rPr>
                <w:bCs/>
                <w:i/>
                <w:szCs w:val="24"/>
                <w:lang w:eastAsia="x-none"/>
              </w:rPr>
              <w:t>kimler</w:t>
            </w:r>
            <w:r w:rsidRPr="00A23740">
              <w:rPr>
                <w:bCs/>
                <w:szCs w:val="24"/>
                <w:lang w:eastAsia="x-none"/>
              </w:rPr>
              <w:t xml:space="preserve"> için </w:t>
            </w:r>
            <w:r w:rsidRPr="00A23740">
              <w:rPr>
                <w:bCs/>
                <w:i/>
                <w:szCs w:val="24"/>
                <w:lang w:eastAsia="x-none"/>
              </w:rPr>
              <w:t>ne şekilde</w:t>
            </w:r>
            <w:r w:rsidRPr="00A23740">
              <w:rPr>
                <w:bCs/>
                <w:szCs w:val="24"/>
                <w:lang w:eastAsia="x-none"/>
              </w:rPr>
              <w:t xml:space="preserve"> geçerli olduğunun da bilinmesi gerekir ki, bunlara aykırılık, bir sonraki hükümde düzenlendiği gibi söz konusu yapılandırma anlaşmalarının iptalini gerektirecektir. Gereğinde ip</w:t>
            </w:r>
            <w:r w:rsidR="00B10E85" w:rsidRPr="00A23740">
              <w:rPr>
                <w:bCs/>
                <w:szCs w:val="24"/>
                <w:lang w:eastAsia="x-none"/>
              </w:rPr>
              <w:t>tali istenebilecek anlaşmaların</w:t>
            </w:r>
            <w:r w:rsidRPr="00A23740">
              <w:rPr>
                <w:bCs/>
                <w:szCs w:val="24"/>
                <w:lang w:eastAsia="x-none"/>
              </w:rPr>
              <w:t xml:space="preserve"> içeriğinin tereddüttün uzak, açık ve aleni olması beklenir.</w:t>
            </w:r>
          </w:p>
          <w:p w:rsidR="00285F60" w:rsidRPr="00A23740" w:rsidRDefault="00285F60" w:rsidP="009431FF">
            <w:pPr>
              <w:tabs>
                <w:tab w:val="left" w:pos="567"/>
              </w:tabs>
              <w:ind w:firstLine="709"/>
              <w:rPr>
                <w:bCs/>
                <w:szCs w:val="24"/>
                <w:lang w:eastAsia="x-none"/>
              </w:rPr>
            </w:pPr>
            <w:r w:rsidRPr="00A23740">
              <w:rPr>
                <w:bCs/>
                <w:szCs w:val="24"/>
                <w:lang w:eastAsia="x-none"/>
              </w:rPr>
              <w:t xml:space="preserve">Adi konkordato, adi alacaklılar için geçerli bir kurumdur. Asıl olan adi konkordato alacaklıları yönünden adi konkordato projesinin kabulü ve tasdikidir. Düzenlemenin üçüncü fıkrası, evvelce kabul edilen ilkeyi korumuş ve alacaklılar toplantısında, adi konkordato projesinin kabul edilmemesi ve nihayetinde konkordatonun da tasdik edilmemesi hâlinde, artık rüçhanlı alacaklılar nezdinde gerçekleşen müzakere neticesinde yapılan anlaşmalar ile hasıl olan kanuni sonuçların da geçerlilik taşımayacağını düzenlemiştir. Rüçhanlı alacaklılarla varılan uzlaşı, adi konkordato projesinin tasdiki için ne kadar </w:t>
            </w:r>
            <w:r w:rsidR="00B10E85" w:rsidRPr="00075A70">
              <w:t>önemli ise</w:t>
            </w:r>
            <w:r w:rsidR="00B10E85" w:rsidRPr="00A23740">
              <w:rPr>
                <w:rStyle w:val="KIRMIZIChar"/>
                <w:rFonts w:eastAsia="Calibri"/>
                <w:strike w:val="0"/>
              </w:rPr>
              <w:t xml:space="preserve"> </w:t>
            </w:r>
            <w:r w:rsidRPr="00A23740">
              <w:rPr>
                <w:bCs/>
                <w:szCs w:val="24"/>
                <w:lang w:eastAsia="x-none"/>
              </w:rPr>
              <w:t xml:space="preserve">de aksi, yani adi konkordato projesinin çoğunluğu teşkil eden alacaklılarca kabulü ve projenin mahkemesince tasdiki, rüçhanlı alacakların yapılandırılması bakımından varılan uzlaşı ve gereğinde hasıl olacak kanuni sonuçlar için </w:t>
            </w:r>
            <w:r w:rsidRPr="00A23740">
              <w:rPr>
                <w:bCs/>
                <w:i/>
                <w:szCs w:val="24"/>
                <w:lang w:eastAsia="x-none"/>
              </w:rPr>
              <w:t>olmazsa olmaz</w:t>
            </w:r>
            <w:r w:rsidRPr="00A23740">
              <w:rPr>
                <w:bCs/>
                <w:szCs w:val="24"/>
                <w:lang w:eastAsia="x-none"/>
              </w:rPr>
              <w:t xml:space="preserve"> bir koşuldur. </w:t>
            </w:r>
          </w:p>
          <w:p w:rsidR="00BC69DE" w:rsidRPr="00A23740" w:rsidRDefault="00BC69DE" w:rsidP="006C4AA3">
            <w:pPr>
              <w:tabs>
                <w:tab w:val="left" w:pos="567"/>
              </w:tabs>
              <w:rPr>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i/>
                <w:szCs w:val="24"/>
                <w:lang w:eastAsia="tr-TR"/>
              </w:rPr>
            </w:pPr>
            <w:r w:rsidRPr="00A23740">
              <w:rPr>
                <w:rFonts w:eastAsia="Times New Roman"/>
                <w:i/>
                <w:szCs w:val="24"/>
                <w:lang w:eastAsia="tr-TR"/>
              </w:rPr>
              <w:t xml:space="preserve">Rehinli alacaklılarla müzakere </w:t>
            </w:r>
            <w:r w:rsidRPr="00A23740">
              <w:rPr>
                <w:rStyle w:val="KIRMIZIChar"/>
                <w:rFonts w:eastAsia="Calibri"/>
              </w:rPr>
              <w:t>şartları ve yapılandırmanın hükümleri:</w:t>
            </w:r>
          </w:p>
          <w:p w:rsidR="00AA5C8C" w:rsidRPr="00A23740" w:rsidRDefault="00AA5C8C" w:rsidP="009431FF">
            <w:pPr>
              <w:rPr>
                <w:rStyle w:val="KIRMIZIChar"/>
                <w:rFonts w:eastAsia="Calibri"/>
              </w:rPr>
            </w:pPr>
            <w:r w:rsidRPr="00A23740">
              <w:rPr>
                <w:rStyle w:val="KIRMIZIChar"/>
                <w:rFonts w:eastAsia="Calibri"/>
              </w:rPr>
              <w:t>Madde 308/h- …</w:t>
            </w:r>
          </w:p>
          <w:p w:rsidR="00AA5C8C" w:rsidRPr="00A23740" w:rsidRDefault="00AA5C8C" w:rsidP="009431FF">
            <w:pPr>
              <w:rPr>
                <w:rFonts w:eastAsia="Times New Roman"/>
                <w:szCs w:val="24"/>
                <w:lang w:eastAsia="tr-TR"/>
              </w:rPr>
            </w:pPr>
            <w:r w:rsidRPr="00A23740">
              <w:rPr>
                <w:rStyle w:val="KIRMIZIChar"/>
                <w:rFonts w:eastAsia="Calibri"/>
              </w:rPr>
              <w:t>(8)</w:t>
            </w:r>
            <w:r w:rsidRPr="00A23740">
              <w:rPr>
                <w:rFonts w:eastAsia="Times New Roman"/>
                <w:szCs w:val="24"/>
                <w:lang w:eastAsia="tr-TR"/>
              </w:rPr>
              <w:t xml:space="preserve"> Yapılan anlaşmaya uygun olarak kendisine karşı ifada bulunulmayan her rehinli alacaklı tasdik kararını veren mahkemeye başvurarak o rehinli alacağa ilişkin anlaşmayı </w:t>
            </w:r>
            <w:r w:rsidRPr="00A23740">
              <w:rPr>
                <w:rStyle w:val="KIRMIZIChar"/>
                <w:rFonts w:eastAsia="Calibri"/>
              </w:rPr>
              <w:t>feshettirebilir.</w:t>
            </w:r>
            <w:r w:rsidRPr="00A23740">
              <w:rPr>
                <w:rFonts w:eastAsia="Times New Roman"/>
                <w:szCs w:val="24"/>
                <w:lang w:eastAsia="tr-TR"/>
              </w:rPr>
              <w:t xml:space="preserve"> </w:t>
            </w:r>
            <w:r w:rsidRPr="00A23740">
              <w:rPr>
                <w:rStyle w:val="KIRMIZIChar"/>
                <w:rFonts w:eastAsia="Calibri"/>
              </w:rPr>
              <w:t>Ancak b</w:t>
            </w:r>
            <w:r w:rsidRPr="00A23740">
              <w:rPr>
                <w:rFonts w:eastAsia="Times New Roman"/>
                <w:szCs w:val="24"/>
                <w:lang w:eastAsia="tr-TR"/>
              </w:rPr>
              <w:t xml:space="preserve">u </w:t>
            </w:r>
            <w:r w:rsidRPr="00A23740">
              <w:rPr>
                <w:rStyle w:val="KIRMIZIChar"/>
                <w:rFonts w:eastAsia="Calibri"/>
              </w:rPr>
              <w:t>fesih</w:t>
            </w:r>
            <w:r w:rsidRPr="00A23740">
              <w:rPr>
                <w:rFonts w:eastAsia="Times New Roman"/>
                <w:szCs w:val="24"/>
                <w:lang w:eastAsia="tr-TR"/>
              </w:rPr>
              <w:t xml:space="preserve"> sonucunda </w:t>
            </w:r>
            <w:r w:rsidRPr="00A23740">
              <w:rPr>
                <w:rStyle w:val="KIRMIZIChar"/>
                <w:rFonts w:eastAsia="Calibri"/>
              </w:rPr>
              <w:t>üçüncü fıkrada</w:t>
            </w:r>
            <w:r w:rsidRPr="00A23740">
              <w:rPr>
                <w:rFonts w:eastAsia="Times New Roman"/>
                <w:szCs w:val="24"/>
                <w:lang w:eastAsia="tr-TR"/>
              </w:rPr>
              <w:t xml:space="preserve"> belirtilen </w:t>
            </w:r>
            <w:r w:rsidRPr="00A23740">
              <w:rPr>
                <w:rStyle w:val="KIRMIZIChar"/>
                <w:rFonts w:eastAsia="Calibri"/>
              </w:rPr>
              <w:t>üçte iki</w:t>
            </w:r>
            <w:r w:rsidRPr="00A23740">
              <w:rPr>
                <w:rFonts w:eastAsia="Times New Roman"/>
                <w:szCs w:val="24"/>
                <w:lang w:eastAsia="tr-TR"/>
              </w:rPr>
              <w:t xml:space="preserve"> oranın</w:t>
            </w:r>
            <w:r w:rsidRPr="00A23740">
              <w:rPr>
                <w:rStyle w:val="KIRMIZIChar"/>
                <w:rFonts w:eastAsia="Calibri"/>
              </w:rPr>
              <w:t>ın</w:t>
            </w:r>
            <w:r w:rsidRPr="00A23740">
              <w:rPr>
                <w:rFonts w:eastAsia="Times New Roman"/>
                <w:szCs w:val="24"/>
                <w:lang w:eastAsia="tr-TR"/>
              </w:rPr>
              <w:t xml:space="preserve"> altına düşüldüğü takdirde, borçlunun teklifini kabul etmeyip ödeme planına tabi tutulan rehinli alacaklılar bu planla bağlı olmaktan çıkar, borçlu ile anlaşmış olan rehinli alacaklılar ise anlaşmayı sona </w:t>
            </w:r>
            <w:r w:rsidRPr="00AF7B35">
              <w:rPr>
                <w:rStyle w:val="KIRMIZIChar"/>
                <w:rFonts w:eastAsia="Calibri"/>
              </w:rPr>
              <w:t>erdirebilir.</w:t>
            </w:r>
          </w:p>
          <w:p w:rsidR="00AA5C8C" w:rsidRPr="00A23740" w:rsidRDefault="00AA5C8C" w:rsidP="009431FF">
            <w:pPr>
              <w:pStyle w:val="AralkYok"/>
              <w:ind w:firstLine="0"/>
              <w:rPr>
                <w:rStyle w:val="AralkYokChar"/>
                <w:lang w:val="tr-TR"/>
              </w:rPr>
            </w:pPr>
          </w:p>
        </w:tc>
        <w:tc>
          <w:tcPr>
            <w:tcW w:w="2500" w:type="pct"/>
            <w:shd w:val="clear" w:color="auto" w:fill="FFFFFF"/>
          </w:tcPr>
          <w:p w:rsidR="00AA5C8C" w:rsidRPr="00A23740" w:rsidRDefault="00AA5C8C" w:rsidP="009431FF">
            <w:pPr>
              <w:pStyle w:val="Mavi"/>
            </w:pPr>
            <w:r w:rsidRPr="00A23740">
              <w:t xml:space="preserve">Rehinli alacakların yapılandırılması anlaşmasının </w:t>
            </w:r>
            <w:r w:rsidRPr="00A23740">
              <w:rPr>
                <w:rStyle w:val="Balk1Char"/>
                <w:rFonts w:eastAsia="ヒラギノ明朝 Pro W3"/>
                <w:b/>
              </w:rPr>
              <w:t>iptali</w:t>
            </w:r>
            <w:r w:rsidRPr="00A23740">
              <w:rPr>
                <w:rStyle w:val="YELChar"/>
                <w:b/>
              </w:rPr>
              <w:t xml:space="preserve"> </w:t>
            </w:r>
          </w:p>
          <w:p w:rsidR="00AA5C8C" w:rsidRPr="00A23740" w:rsidRDefault="00AA5C8C" w:rsidP="009431FF">
            <w:pPr>
              <w:rPr>
                <w:rFonts w:eastAsia="Times New Roman"/>
                <w:szCs w:val="24"/>
                <w:lang w:eastAsia="tr-TR"/>
              </w:rPr>
            </w:pPr>
            <w:r w:rsidRPr="00A23740">
              <w:rPr>
                <w:rStyle w:val="MaviChar"/>
                <w:lang w:val="tr-TR"/>
              </w:rPr>
              <w:t>MADDE 4</w:t>
            </w:r>
            <w:r w:rsidR="00164036" w:rsidRPr="00A23740">
              <w:rPr>
                <w:rStyle w:val="MaviChar"/>
                <w:lang w:val="tr-TR"/>
              </w:rPr>
              <w:t>15</w:t>
            </w:r>
            <w:r w:rsidRPr="00A23740">
              <w:rPr>
                <w:rStyle w:val="MaviChar"/>
                <w:lang w:val="tr-TR"/>
              </w:rPr>
              <w:t>- (1)</w:t>
            </w:r>
            <w:r w:rsidRPr="00A23740">
              <w:rPr>
                <w:szCs w:val="24"/>
              </w:rPr>
              <w:t xml:space="preserve"> </w:t>
            </w:r>
            <w:r w:rsidRPr="00A23740">
              <w:rPr>
                <w:rFonts w:eastAsia="Times New Roman"/>
                <w:szCs w:val="24"/>
                <w:lang w:eastAsia="tr-TR"/>
              </w:rPr>
              <w:t xml:space="preserve">Yapılan anlaşmaya uygun olarak kendisine karşı ifada bulunulmayan her rehinli alacaklı tasdik kararını veren mahkemeye başvurarak o rehinli alacağa ilişkin anlaşmayı </w:t>
            </w:r>
            <w:r w:rsidRPr="00A23740">
              <w:rPr>
                <w:rStyle w:val="Balk1Char"/>
                <w:rFonts w:eastAsia="ヒラギノ明朝 Pro W3"/>
              </w:rPr>
              <w:t>iptal ettirebilir.</w:t>
            </w:r>
          </w:p>
          <w:p w:rsidR="00AA5C8C" w:rsidRPr="00A23740" w:rsidRDefault="00AA5C8C" w:rsidP="009431FF">
            <w:pPr>
              <w:rPr>
                <w:rFonts w:eastAsia="Times New Roman"/>
                <w:szCs w:val="24"/>
                <w:lang w:eastAsia="tr-TR"/>
              </w:rPr>
            </w:pPr>
          </w:p>
          <w:p w:rsidR="00AA5C8C" w:rsidRPr="00A23740" w:rsidRDefault="00AA5C8C" w:rsidP="009431FF">
            <w:r w:rsidRPr="00A23740">
              <w:rPr>
                <w:rStyle w:val="MaviChar"/>
              </w:rPr>
              <w:t>(2)</w:t>
            </w:r>
            <w:r w:rsidRPr="00A23740">
              <w:rPr>
                <w:rFonts w:eastAsia="Times New Roman"/>
                <w:szCs w:val="24"/>
                <w:lang w:eastAsia="tr-TR"/>
              </w:rPr>
              <w:t xml:space="preserve"> </w:t>
            </w:r>
            <w:r w:rsidRPr="00A23740">
              <w:rPr>
                <w:rStyle w:val="MaviChar"/>
              </w:rPr>
              <w:t>B</w:t>
            </w:r>
            <w:r w:rsidRPr="00A23740">
              <w:rPr>
                <w:rFonts w:eastAsia="Times New Roman"/>
                <w:szCs w:val="24"/>
                <w:lang w:eastAsia="tr-TR"/>
              </w:rPr>
              <w:t xml:space="preserve">u </w:t>
            </w:r>
            <w:r w:rsidRPr="00A23740">
              <w:rPr>
                <w:rStyle w:val="Balk1Char"/>
                <w:rFonts w:eastAsia="ヒラギノ明朝 Pro W3"/>
              </w:rPr>
              <w:t>iptal</w:t>
            </w:r>
            <w:r w:rsidRPr="00A23740">
              <w:rPr>
                <w:rStyle w:val="Balk1Char"/>
                <w:rFonts w:eastAsia="Calibri"/>
              </w:rPr>
              <w:t xml:space="preserve"> </w:t>
            </w:r>
            <w:r w:rsidRPr="00A23740">
              <w:rPr>
                <w:rFonts w:eastAsia="Times New Roman"/>
                <w:szCs w:val="24"/>
                <w:lang w:eastAsia="tr-TR"/>
              </w:rPr>
              <w:t>sonucunda</w:t>
            </w:r>
            <w:r w:rsidR="001A2FE4" w:rsidRPr="00A23740">
              <w:rPr>
                <w:rFonts w:eastAsia="Times New Roman"/>
                <w:szCs w:val="24"/>
                <w:lang w:eastAsia="tr-TR"/>
              </w:rPr>
              <w:t xml:space="preserve"> </w:t>
            </w:r>
            <w:r w:rsidR="001A2FE4" w:rsidRPr="00075A70">
              <w:rPr>
                <w:rStyle w:val="MaviChar"/>
              </w:rPr>
              <w:t>414 üncü</w:t>
            </w:r>
            <w:r w:rsidRPr="00A23740">
              <w:rPr>
                <w:rFonts w:eastAsia="Times New Roman"/>
                <w:szCs w:val="24"/>
                <w:lang w:eastAsia="tr-TR"/>
              </w:rPr>
              <w:t xml:space="preserve"> </w:t>
            </w:r>
            <w:r w:rsidRPr="00A23740">
              <w:rPr>
                <w:rStyle w:val="Balk1Char"/>
                <w:rFonts w:eastAsia="ヒラギノ明朝 Pro W3"/>
              </w:rPr>
              <w:t>maddede</w:t>
            </w:r>
            <w:r w:rsidRPr="00A23740">
              <w:rPr>
                <w:rFonts w:eastAsia="Times New Roman"/>
                <w:szCs w:val="24"/>
                <w:lang w:eastAsia="tr-TR"/>
              </w:rPr>
              <w:t xml:space="preserve"> belirtilen oranın altına düşüldüğü takdirde, borçlunun teklifini kabul etmeyip ödeme planına tabi tutulan rehinli alacaklılar bu planla bağlı olmaktan çıkar</w:t>
            </w:r>
            <w:r w:rsidR="004B173A" w:rsidRPr="00075A70">
              <w:rPr>
                <w:rStyle w:val="MaviChar"/>
              </w:rPr>
              <w:t>;</w:t>
            </w:r>
            <w:r w:rsidRPr="00A23740">
              <w:rPr>
                <w:rFonts w:eastAsia="Times New Roman"/>
                <w:szCs w:val="24"/>
                <w:lang w:eastAsia="tr-TR"/>
              </w:rPr>
              <w:t xml:space="preserve"> borçlu ile anlaşmış olan rehinli alacaklılar ise anlaşmayı sona </w:t>
            </w:r>
            <w:r w:rsidR="00141305" w:rsidRPr="00075A70">
              <w:rPr>
                <w:rStyle w:val="MaviChar"/>
              </w:rPr>
              <w:t>erdirebilirler</w:t>
            </w:r>
            <w:r w:rsidR="00141305" w:rsidRPr="00A23740">
              <w:rPr>
                <w:rFonts w:eastAsia="Times New Roman"/>
                <w:szCs w:val="24"/>
                <w:lang w:eastAsia="tr-TR"/>
              </w:rPr>
              <w:t>.</w:t>
            </w:r>
          </w:p>
          <w:p w:rsidR="00AA5C8C" w:rsidRPr="00A23740" w:rsidRDefault="00AA5C8C" w:rsidP="009431FF">
            <w:pPr>
              <w:rPr>
                <w:lang w:eastAsia="x-none"/>
              </w:rPr>
            </w:pPr>
          </w:p>
        </w:tc>
      </w:tr>
      <w:tr w:rsidR="005C3738" w:rsidRPr="00A23740" w:rsidTr="009431FF">
        <w:tc>
          <w:tcPr>
            <w:tcW w:w="5000" w:type="pct"/>
            <w:gridSpan w:val="2"/>
            <w:shd w:val="clear" w:color="auto" w:fill="DEEAF6"/>
          </w:tcPr>
          <w:p w:rsidR="00285F60" w:rsidRPr="00A23740" w:rsidRDefault="00285F60" w:rsidP="006C4AA3">
            <w:pPr>
              <w:rPr>
                <w:b/>
                <w:bCs/>
                <w:szCs w:val="24"/>
                <w:lang w:eastAsia="x-none"/>
              </w:rPr>
            </w:pPr>
          </w:p>
          <w:p w:rsidR="00285F60" w:rsidRPr="00A23740" w:rsidRDefault="00285F60" w:rsidP="009431FF">
            <w:pPr>
              <w:pStyle w:val="Mavi"/>
              <w:tabs>
                <w:tab w:val="clear" w:pos="567"/>
              </w:tabs>
              <w:ind w:firstLine="709"/>
              <w:rPr>
                <w:b w:val="0"/>
                <w:color w:val="auto"/>
                <w:lang w:val="tr-TR"/>
              </w:rPr>
            </w:pPr>
            <w:r w:rsidRPr="00A23740">
              <w:rPr>
                <w:rStyle w:val="YELChar"/>
                <w:b/>
                <w:color w:val="auto"/>
              </w:rPr>
              <w:t>MADDE 4</w:t>
            </w:r>
            <w:r w:rsidR="00164036" w:rsidRPr="00A23740">
              <w:rPr>
                <w:rStyle w:val="YELChar"/>
                <w:b/>
                <w:color w:val="auto"/>
                <w:lang w:val="tr-TR"/>
              </w:rPr>
              <w:t>15</w:t>
            </w:r>
            <w:r w:rsidRPr="00A23740">
              <w:rPr>
                <w:rStyle w:val="YELChar"/>
                <w:b/>
                <w:color w:val="auto"/>
              </w:rPr>
              <w:t>-</w:t>
            </w:r>
            <w:r w:rsidRPr="00A23740">
              <w:rPr>
                <w:rStyle w:val="YELChar"/>
              </w:rPr>
              <w:t xml:space="preserve"> </w:t>
            </w:r>
            <w:r w:rsidRPr="00A23740">
              <w:rPr>
                <w:b w:val="0"/>
                <w:color w:val="auto"/>
                <w:lang w:val="tr-TR"/>
              </w:rPr>
              <w:t xml:space="preserve">Maddeyle, rehinli alacakların yapılandırılması anlaşmasının iptaline ilişkin hususlar düzenlenmektedir. </w:t>
            </w:r>
          </w:p>
          <w:p w:rsidR="00285F60" w:rsidRPr="00A23740" w:rsidRDefault="00285F60" w:rsidP="009431FF">
            <w:pPr>
              <w:pStyle w:val="Mavi"/>
              <w:tabs>
                <w:tab w:val="clear" w:pos="567"/>
              </w:tabs>
              <w:ind w:firstLine="709"/>
              <w:rPr>
                <w:b w:val="0"/>
                <w:color w:val="auto"/>
                <w:lang w:val="tr-TR"/>
              </w:rPr>
            </w:pPr>
            <w:r w:rsidRPr="00A23740">
              <w:rPr>
                <w:b w:val="0"/>
                <w:color w:val="auto"/>
                <w:lang w:val="tr-TR"/>
              </w:rPr>
              <w:t>Tasdik edilen adi konkordatoda, projenin gereklerinin borçlu tarafından yerine getirilmemesi nedeniyle Taslağın</w:t>
            </w:r>
            <w:r w:rsidR="004E0F0C" w:rsidRPr="00A23740">
              <w:rPr>
                <w:b w:val="0"/>
                <w:color w:val="auto"/>
                <w:lang w:val="tr-TR"/>
              </w:rPr>
              <w:t xml:space="preserve"> </w:t>
            </w:r>
            <w:r w:rsidR="004E0F0C" w:rsidRPr="00AF7B35">
              <w:rPr>
                <w:b w:val="0"/>
                <w:color w:val="000000" w:themeColor="text1"/>
              </w:rPr>
              <w:t>407 nci</w:t>
            </w:r>
            <w:r w:rsidRPr="00AF7B35">
              <w:rPr>
                <w:b w:val="0"/>
                <w:color w:val="000000" w:themeColor="text1"/>
                <w:lang w:val="tr-TR"/>
              </w:rPr>
              <w:t xml:space="preserve"> </w:t>
            </w:r>
            <w:r w:rsidRPr="00A23740">
              <w:rPr>
                <w:b w:val="0"/>
                <w:color w:val="auto"/>
                <w:lang w:val="tr-TR"/>
              </w:rPr>
              <w:t xml:space="preserve">maddesinde düzenlenen konkordatonun kısmen iptaline benzer şekilde, her rehinli alacaklı da anlaşma gereğince kendisine ifada bulunulmaması nedeniyle rüçhanlı alacağıyla ilgili anlaşmayı iptal ettirebilecektir. Bu vesileyle iptal, sadece yapılan anlaşmalar için değil; kanunen geçerlilik kazanan mecburiyet neticesinde muhalif alacaklılara ifa edilecek ödeme planları için de hiç şüphesiz ki, mümkün ve geçerli bir yoldur. </w:t>
            </w:r>
          </w:p>
          <w:p w:rsidR="00285F60" w:rsidRPr="00A23740" w:rsidRDefault="00285F60" w:rsidP="009431FF">
            <w:pPr>
              <w:pStyle w:val="Mavi"/>
              <w:tabs>
                <w:tab w:val="clear" w:pos="567"/>
              </w:tabs>
              <w:ind w:firstLine="709"/>
              <w:rPr>
                <w:b w:val="0"/>
                <w:color w:val="auto"/>
                <w:lang w:val="tr-TR"/>
              </w:rPr>
            </w:pPr>
            <w:r w:rsidRPr="00A23740">
              <w:rPr>
                <w:b w:val="0"/>
                <w:color w:val="auto"/>
                <w:lang w:val="tr-TR"/>
              </w:rPr>
              <w:t>Bu hâlde “iptal” şeklindeki terminolojik tercih, adi konkordatoya ilişkin hükümlerle uyumu sağlamak amacını taşımaktadır.</w:t>
            </w:r>
          </w:p>
          <w:p w:rsidR="00285F60" w:rsidRPr="00A23740" w:rsidRDefault="00285F60" w:rsidP="009431FF">
            <w:pPr>
              <w:ind w:firstLine="709"/>
              <w:rPr>
                <w:bCs/>
                <w:szCs w:val="24"/>
                <w:lang w:eastAsia="x-none"/>
              </w:rPr>
            </w:pPr>
            <w:r w:rsidRPr="00A23740">
              <w:rPr>
                <w:bCs/>
                <w:szCs w:val="24"/>
                <w:lang w:eastAsia="x-none"/>
              </w:rPr>
              <w:t xml:space="preserve">Düzenlemenin ikinci fıkrası, bu kez adi konkordatonun kısmen iptalinde olmayan; ondan çok farklı bir sonucu rüçhanlı alacaklılar özelinde kabul etmiş; evvelce kabul edilen ilkeyi aynen benimsemiştir. Ödeme planının ihlâli üzerine hasıl olan bu kanuni sonuç, ağırdır; rüçhanlılara özeldir ve rüçhaniyet karşısında borçlu lehine tanınmış olan imkân bakımından bu kez de alacaklılar yönünden menfaatlerin dengelenmesi amacını taşımaktadır. Buna göre yaşanan kısmen iptalin veya iptallerin ardından; geriye kalan ve hâlâ geçerliliğini muhafaza eden anlaşmalara konu toplam rüçhanlı alacak tutarı Taslağın </w:t>
            </w:r>
            <w:r w:rsidR="006913DE" w:rsidRPr="00075A70">
              <w:t>414 üncü</w:t>
            </w:r>
            <w:r w:rsidR="006913DE" w:rsidRPr="00A23740">
              <w:rPr>
                <w:rFonts w:eastAsia="Times New Roman"/>
                <w:szCs w:val="24"/>
                <w:lang w:eastAsia="tr-TR"/>
              </w:rPr>
              <w:t xml:space="preserve"> </w:t>
            </w:r>
            <w:r w:rsidRPr="00A23740">
              <w:rPr>
                <w:bCs/>
                <w:szCs w:val="24"/>
                <w:lang w:eastAsia="x-none"/>
              </w:rPr>
              <w:t>maddesinin birinci fıkrasında düzenlenen oran olan tüm rüçhanlı alacakların yarısının altına düşmüşse</w:t>
            </w:r>
            <w:r w:rsidR="006F6A26" w:rsidRPr="00A23740">
              <w:rPr>
                <w:bCs/>
                <w:szCs w:val="24"/>
                <w:lang w:eastAsia="x-none"/>
              </w:rPr>
              <w:t>,</w:t>
            </w:r>
            <w:r w:rsidRPr="00A23740">
              <w:rPr>
                <w:bCs/>
                <w:szCs w:val="24"/>
                <w:lang w:eastAsia="x-none"/>
              </w:rPr>
              <w:t xml:space="preserve"> artık evvelce bu oranın aşılması sebebiyle gerçekleşen kanuni sonuç, kendiliğinden ve ayrıca hükme hacet kalmaksızın etkisini yitirecek; yani borçlunun teklifini kabul etmeyip adeta kanuni ödeme planına mecbur edilen muhalif rehinli alacaklılar, bu planla bağlı olmaktan otomatikman çıkacak; bu arada borçlu</w:t>
            </w:r>
            <w:r w:rsidR="006F6A26" w:rsidRPr="00A23740">
              <w:rPr>
                <w:bCs/>
                <w:szCs w:val="24"/>
                <w:lang w:eastAsia="x-none"/>
              </w:rPr>
              <w:t>yla</w:t>
            </w:r>
            <w:r w:rsidRPr="00A23740">
              <w:rPr>
                <w:bCs/>
                <w:szCs w:val="24"/>
                <w:lang w:eastAsia="x-none"/>
              </w:rPr>
              <w:t xml:space="preserve"> ayrıca anlaşmış olan rehinli alacaklılar ise</w:t>
            </w:r>
            <w:r w:rsidR="006F6A26" w:rsidRPr="00A23740">
              <w:rPr>
                <w:bCs/>
                <w:szCs w:val="24"/>
                <w:lang w:eastAsia="x-none"/>
              </w:rPr>
              <w:t>,</w:t>
            </w:r>
            <w:r w:rsidRPr="00A23740">
              <w:rPr>
                <w:bCs/>
                <w:szCs w:val="24"/>
                <w:lang w:eastAsia="x-none"/>
              </w:rPr>
              <w:t xml:space="preserve"> kendi anlaşmalarını dilerlerse yine ayrıca hükme hacet kalmaksızın sona erdirebileceklerdir. </w:t>
            </w:r>
          </w:p>
          <w:p w:rsidR="005C3738" w:rsidRPr="00A23740" w:rsidRDefault="005C3738" w:rsidP="006C4AA3">
            <w:pPr>
              <w:rPr>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pStyle w:val="AralkYok"/>
              <w:widowControl w:val="0"/>
              <w:ind w:firstLine="0"/>
              <w:rPr>
                <w:szCs w:val="24"/>
                <w:lang w:val="tr-TR"/>
              </w:rPr>
            </w:pPr>
            <w:r w:rsidRPr="00A23740">
              <w:rPr>
                <w:szCs w:val="24"/>
                <w:lang w:val="tr-TR"/>
              </w:rPr>
              <w:t>III. İFLÂSTAN SONRA KONKORDATO</w:t>
            </w:r>
          </w:p>
          <w:p w:rsidR="00AA5C8C" w:rsidRPr="00A23740" w:rsidRDefault="00AA5C8C" w:rsidP="009431FF">
            <w:pPr>
              <w:pStyle w:val="AralkYok"/>
              <w:widowControl w:val="0"/>
              <w:ind w:firstLine="0"/>
              <w:rPr>
                <w:szCs w:val="24"/>
                <w:lang w:val="tr-TR"/>
              </w:rPr>
            </w:pPr>
          </w:p>
          <w:p w:rsidR="00AA5C8C" w:rsidRPr="00AF7B35" w:rsidRDefault="00AA5C8C" w:rsidP="009431FF">
            <w:pPr>
              <w:pStyle w:val="MaddeBasl"/>
              <w:widowControl w:val="0"/>
              <w:tabs>
                <w:tab w:val="clear" w:pos="567"/>
              </w:tabs>
              <w:spacing w:before="0"/>
              <w:rPr>
                <w:rStyle w:val="KIRMIZIChar"/>
              </w:rPr>
            </w:pPr>
            <w:r w:rsidRPr="00A23740">
              <w:rPr>
                <w:rFonts w:ascii="Times New Roman" w:hAnsi="Times New Roman"/>
                <w:sz w:val="24"/>
                <w:szCs w:val="24"/>
                <w:lang w:val="tr-TR"/>
              </w:rPr>
              <w:t xml:space="preserve">Şartları </w:t>
            </w:r>
            <w:r w:rsidRPr="00AF7B35">
              <w:rPr>
                <w:rStyle w:val="KIRMIZIChar"/>
              </w:rPr>
              <w:t>ve hükümleri:</w:t>
            </w:r>
          </w:p>
          <w:p w:rsidR="00AA5C8C" w:rsidRPr="00A23740" w:rsidRDefault="00AA5C8C" w:rsidP="009431FF">
            <w:pPr>
              <w:pStyle w:val="Nor"/>
              <w:widowControl w:val="0"/>
              <w:tabs>
                <w:tab w:val="clear" w:pos="567"/>
              </w:tabs>
              <w:rPr>
                <w:rFonts w:ascii="Times New Roman" w:hAnsi="Times New Roman"/>
                <w:b/>
                <w:sz w:val="24"/>
                <w:szCs w:val="24"/>
                <w:lang w:val="tr-TR"/>
              </w:rPr>
            </w:pPr>
            <w:r w:rsidRPr="00A23740">
              <w:rPr>
                <w:rStyle w:val="KIRMIZIChar"/>
                <w:lang w:val="tr-TR"/>
              </w:rPr>
              <w:t>Madde 309 – (1) (Değişik: 28/2/2018-7101/39 md.)</w:t>
            </w:r>
            <w:r w:rsidRPr="00A23740">
              <w:rPr>
                <w:rFonts w:ascii="Times New Roman" w:hAnsi="Times New Roman"/>
                <w:b/>
                <w:sz w:val="24"/>
                <w:szCs w:val="24"/>
                <w:lang w:val="tr-TR"/>
              </w:rPr>
              <w:t xml:space="preserve"> </w:t>
            </w:r>
          </w:p>
          <w:p w:rsidR="00AA5C8C" w:rsidRPr="00A23740" w:rsidRDefault="00AA5C8C" w:rsidP="009431FF">
            <w:pPr>
              <w:widowControl w:val="0"/>
              <w:rPr>
                <w:szCs w:val="24"/>
              </w:rPr>
            </w:pPr>
            <w:r w:rsidRPr="00A23740">
              <w:rPr>
                <w:szCs w:val="24"/>
              </w:rPr>
              <w:t xml:space="preserve">İflâsına hükmedilmiş olan bir borçlu konkordato talep ederse veya bu borçlunun alacaklılarından biri konkordato işlemlerinin başlatılmasını isterse, iflâs idaresi, görüşüyle beraber ikinci alacaklılar </w:t>
            </w:r>
            <w:r w:rsidRPr="00A23740">
              <w:rPr>
                <w:rStyle w:val="KIRMIZIChar"/>
                <w:rFonts w:eastAsia="Calibri"/>
              </w:rPr>
              <w:t>toplanmasında</w:t>
            </w:r>
            <w:r w:rsidRPr="00A23740">
              <w:rPr>
                <w:szCs w:val="24"/>
              </w:rPr>
              <w:t xml:space="preserve"> veya daha sonra müzakere edilmek üzere alacaklılara bu talebi bildirir. </w:t>
            </w:r>
          </w:p>
          <w:p w:rsidR="001C7F0B" w:rsidRPr="00A23740" w:rsidRDefault="001C7F0B" w:rsidP="009431FF">
            <w:pPr>
              <w:widowControl w:val="0"/>
              <w:rPr>
                <w:rStyle w:val="KIRMIZIChar"/>
                <w:rFonts w:eastAsia="Calibri"/>
              </w:rPr>
            </w:pPr>
          </w:p>
          <w:p w:rsidR="00AA5C8C" w:rsidRPr="00A23740" w:rsidRDefault="00AA5C8C" w:rsidP="009431FF">
            <w:pPr>
              <w:widowControl w:val="0"/>
              <w:rPr>
                <w:szCs w:val="24"/>
              </w:rPr>
            </w:pPr>
            <w:r w:rsidRPr="00A23740">
              <w:rPr>
                <w:rStyle w:val="KIRMIZIChar"/>
                <w:rFonts w:eastAsia="Calibri"/>
              </w:rPr>
              <w:t>(2)</w:t>
            </w:r>
            <w:r w:rsidRPr="00A23740">
              <w:rPr>
                <w:szCs w:val="24"/>
              </w:rPr>
              <w:t xml:space="preserve"> </w:t>
            </w:r>
            <w:r w:rsidRPr="00A23740">
              <w:rPr>
                <w:rStyle w:val="KIRMIZIChar"/>
                <w:rFonts w:eastAsia="Calibri"/>
              </w:rPr>
              <w:t>302 ilâ 307 nci maddeler ile 308/a ilâ 308/g</w:t>
            </w:r>
            <w:r w:rsidRPr="00A23740">
              <w:rPr>
                <w:szCs w:val="24"/>
              </w:rPr>
              <w:t xml:space="preserve"> maddeleri burada da uygulanır. Komisere ait görevler iflâs idaresi tarafından yapılır.</w:t>
            </w:r>
          </w:p>
          <w:p w:rsidR="00AA5C8C" w:rsidRPr="00A23740" w:rsidRDefault="00AA5C8C" w:rsidP="009431FF">
            <w:pPr>
              <w:widowControl w:val="0"/>
              <w:rPr>
                <w:szCs w:val="24"/>
              </w:rPr>
            </w:pPr>
          </w:p>
          <w:p w:rsidR="00465860" w:rsidRPr="00A23740" w:rsidRDefault="00465860" w:rsidP="009431FF">
            <w:pPr>
              <w:widowControl w:val="0"/>
              <w:rPr>
                <w:szCs w:val="24"/>
              </w:rPr>
            </w:pPr>
          </w:p>
          <w:p w:rsidR="00AA5C8C" w:rsidRPr="00A23740" w:rsidRDefault="00AA5C8C" w:rsidP="009431FF">
            <w:pPr>
              <w:pStyle w:val="Nor"/>
              <w:widowControl w:val="0"/>
              <w:tabs>
                <w:tab w:val="clear" w:pos="567"/>
              </w:tabs>
              <w:rPr>
                <w:rFonts w:ascii="Times New Roman" w:hAnsi="Times New Roman"/>
                <w:sz w:val="24"/>
                <w:szCs w:val="24"/>
                <w:lang w:val="tr-TR"/>
              </w:rPr>
            </w:pPr>
            <w:r w:rsidRPr="00A23740">
              <w:rPr>
                <w:rStyle w:val="KIRMIZIChar"/>
                <w:lang w:val="tr-TR"/>
              </w:rPr>
              <w:t>(6)</w:t>
            </w:r>
            <w:r w:rsidRPr="00A23740">
              <w:rPr>
                <w:rFonts w:ascii="Times New Roman" w:hAnsi="Times New Roman"/>
                <w:sz w:val="24"/>
                <w:szCs w:val="24"/>
                <w:lang w:val="tr-TR"/>
              </w:rPr>
              <w:t xml:space="preserve"> İflâstan sonra konkordato iflâs tasfiyesi içinde ancak bir defa istenebilir.</w:t>
            </w:r>
          </w:p>
          <w:p w:rsidR="00AA5C8C" w:rsidRPr="00A23740" w:rsidRDefault="00AA5C8C" w:rsidP="009431FF">
            <w:pPr>
              <w:widowControl w:val="0"/>
              <w:rPr>
                <w:rFonts w:eastAsia="Times New Roman"/>
                <w:i/>
                <w:szCs w:val="24"/>
                <w:lang w:eastAsia="tr-TR"/>
              </w:rPr>
            </w:pPr>
          </w:p>
        </w:tc>
        <w:tc>
          <w:tcPr>
            <w:tcW w:w="2500" w:type="pct"/>
            <w:shd w:val="clear" w:color="auto" w:fill="FFFFFF"/>
          </w:tcPr>
          <w:p w:rsidR="00AA5C8C" w:rsidRPr="00A23740" w:rsidRDefault="00AA5C8C" w:rsidP="009431FF">
            <w:pPr>
              <w:pStyle w:val="Mavi"/>
              <w:widowControl w:val="0"/>
              <w:jc w:val="center"/>
              <w:rPr>
                <w:lang w:val="tr-TR"/>
              </w:rPr>
            </w:pPr>
            <w:r w:rsidRPr="00A23740">
              <w:rPr>
                <w:lang w:val="tr-TR"/>
              </w:rPr>
              <w:t>ÜÇÜNCÜ BÖLÜM</w:t>
            </w:r>
          </w:p>
          <w:p w:rsidR="00AA5C8C" w:rsidRPr="00A23740" w:rsidRDefault="004318F8" w:rsidP="009431FF">
            <w:pPr>
              <w:pStyle w:val="Mavi"/>
              <w:widowControl w:val="0"/>
              <w:jc w:val="center"/>
              <w:rPr>
                <w:lang w:val="tr-TR"/>
              </w:rPr>
            </w:pPr>
            <w:r w:rsidRPr="00A23740">
              <w:rPr>
                <w:lang w:val="tr-TR"/>
              </w:rPr>
              <w:t>İfla</w:t>
            </w:r>
            <w:r w:rsidR="00AA5C8C" w:rsidRPr="00A23740">
              <w:rPr>
                <w:lang w:val="tr-TR"/>
              </w:rPr>
              <w:t>stan Sonra Konkordato</w:t>
            </w:r>
          </w:p>
          <w:p w:rsidR="00AA5C8C" w:rsidRPr="00A23740" w:rsidRDefault="00AA5C8C" w:rsidP="009431FF">
            <w:pPr>
              <w:pStyle w:val="MaddeBasl"/>
              <w:widowControl w:val="0"/>
              <w:tabs>
                <w:tab w:val="clear" w:pos="567"/>
              </w:tabs>
              <w:spacing w:before="0"/>
              <w:rPr>
                <w:rFonts w:ascii="Times New Roman" w:hAnsi="Times New Roman"/>
                <w:sz w:val="24"/>
                <w:szCs w:val="24"/>
                <w:lang w:val="tr-TR"/>
              </w:rPr>
            </w:pPr>
          </w:p>
          <w:p w:rsidR="00AA5C8C" w:rsidRPr="00A23740" w:rsidRDefault="00AA5C8C" w:rsidP="009431FF">
            <w:pPr>
              <w:pStyle w:val="MaddeBasl"/>
              <w:widowControl w:val="0"/>
              <w:tabs>
                <w:tab w:val="clear" w:pos="567"/>
              </w:tabs>
              <w:spacing w:before="0"/>
              <w:rPr>
                <w:rFonts w:ascii="Times New Roman" w:hAnsi="Times New Roman"/>
                <w:b/>
                <w:i w:val="0"/>
                <w:sz w:val="24"/>
                <w:szCs w:val="24"/>
                <w:lang w:val="tr-TR"/>
              </w:rPr>
            </w:pPr>
            <w:r w:rsidRPr="00A23740">
              <w:rPr>
                <w:rStyle w:val="MaviChar"/>
                <w:rFonts w:eastAsia="ヒラギノ明朝 Pro W3"/>
                <w:i w:val="0"/>
              </w:rPr>
              <w:t>İflastan sonra konkordatonun</w:t>
            </w:r>
            <w:r w:rsidRPr="00A23740">
              <w:rPr>
                <w:rFonts w:ascii="Times New Roman" w:hAnsi="Times New Roman"/>
                <w:b/>
                <w:i w:val="0"/>
                <w:sz w:val="24"/>
                <w:szCs w:val="24"/>
                <w:lang w:val="tr-TR"/>
              </w:rPr>
              <w:t xml:space="preserve"> şartları </w:t>
            </w:r>
          </w:p>
          <w:p w:rsidR="00AA5C8C" w:rsidRPr="00A23740" w:rsidRDefault="00AA5C8C" w:rsidP="009431FF">
            <w:pPr>
              <w:pStyle w:val="Nor"/>
              <w:widowControl w:val="0"/>
              <w:tabs>
                <w:tab w:val="clear" w:pos="567"/>
              </w:tabs>
              <w:rPr>
                <w:rFonts w:ascii="Times New Roman" w:hAnsi="Times New Roman"/>
                <w:sz w:val="24"/>
                <w:szCs w:val="24"/>
                <w:lang w:val="tr-TR"/>
              </w:rPr>
            </w:pPr>
            <w:r w:rsidRPr="00A23740">
              <w:rPr>
                <w:rStyle w:val="MaviChar"/>
                <w:lang w:val="tr-TR"/>
              </w:rPr>
              <w:t>MADDE 4</w:t>
            </w:r>
            <w:r w:rsidR="00164036" w:rsidRPr="00A23740">
              <w:rPr>
                <w:rStyle w:val="MaviChar"/>
                <w:lang w:val="tr-TR"/>
              </w:rPr>
              <w:t>16</w:t>
            </w:r>
            <w:r w:rsidRPr="00A23740">
              <w:rPr>
                <w:rStyle w:val="MaviChar"/>
                <w:lang w:val="tr-TR"/>
              </w:rPr>
              <w:t>- (</w:t>
            </w:r>
            <w:r w:rsidRPr="00A23740">
              <w:rPr>
                <w:rFonts w:ascii="Times New Roman" w:hAnsi="Times New Roman"/>
                <w:b/>
                <w:color w:val="0000FF"/>
                <w:sz w:val="24"/>
                <w:szCs w:val="24"/>
                <w:lang w:val="tr-TR"/>
              </w:rPr>
              <w:t>1)</w:t>
            </w:r>
            <w:r w:rsidRPr="00A23740">
              <w:rPr>
                <w:rFonts w:ascii="Times New Roman" w:hAnsi="Times New Roman"/>
                <w:b/>
                <w:bCs/>
                <w:sz w:val="24"/>
                <w:szCs w:val="24"/>
                <w:lang w:val="tr-TR"/>
              </w:rPr>
              <w:t xml:space="preserve"> </w:t>
            </w:r>
            <w:r w:rsidRPr="00A23740">
              <w:rPr>
                <w:rFonts w:ascii="Times New Roman" w:hAnsi="Times New Roman"/>
                <w:sz w:val="24"/>
                <w:szCs w:val="24"/>
                <w:lang w:val="tr-TR"/>
              </w:rPr>
              <w:t>İfl</w:t>
            </w:r>
            <w:r w:rsidR="001C7F0B" w:rsidRPr="00A23740">
              <w:rPr>
                <w:rFonts w:ascii="Times New Roman" w:hAnsi="Times New Roman"/>
                <w:sz w:val="24"/>
                <w:szCs w:val="24"/>
                <w:lang w:val="tr-TR"/>
              </w:rPr>
              <w:t>a</w:t>
            </w:r>
            <w:r w:rsidRPr="00A23740">
              <w:rPr>
                <w:rFonts w:ascii="Times New Roman" w:hAnsi="Times New Roman"/>
                <w:sz w:val="24"/>
                <w:szCs w:val="24"/>
                <w:lang w:val="tr-TR"/>
              </w:rPr>
              <w:t>sına hükmedilmiş olan bir borçlu konkordato talep ederse veya bu borçlunun alacaklılarından biri konkordato işlemlerinin başlatılmasını isterse, ifl</w:t>
            </w:r>
            <w:r w:rsidR="001C7F0B" w:rsidRPr="00A23740">
              <w:rPr>
                <w:rFonts w:ascii="Times New Roman" w:hAnsi="Times New Roman"/>
                <w:sz w:val="24"/>
                <w:szCs w:val="24"/>
                <w:lang w:val="tr-TR"/>
              </w:rPr>
              <w:t>a</w:t>
            </w:r>
            <w:r w:rsidRPr="00A23740">
              <w:rPr>
                <w:rFonts w:ascii="Times New Roman" w:hAnsi="Times New Roman"/>
                <w:sz w:val="24"/>
                <w:szCs w:val="24"/>
                <w:lang w:val="tr-TR"/>
              </w:rPr>
              <w:t>s idaresi</w:t>
            </w:r>
            <w:r w:rsidR="001C7F0B" w:rsidRPr="00A23740">
              <w:rPr>
                <w:rFonts w:ascii="Times New Roman" w:hAnsi="Times New Roman"/>
                <w:sz w:val="24"/>
                <w:szCs w:val="24"/>
                <w:lang w:val="tr-TR"/>
              </w:rPr>
              <w:t xml:space="preserve"> </w:t>
            </w:r>
            <w:r w:rsidR="001C7F0B" w:rsidRPr="00075A70">
              <w:rPr>
                <w:rStyle w:val="MaviChar"/>
                <w:rFonts w:eastAsia="ヒラギノ明朝 Pro W3"/>
              </w:rPr>
              <w:t>bu talebi,</w:t>
            </w:r>
            <w:r w:rsidRPr="00A23740">
              <w:rPr>
                <w:rFonts w:ascii="Times New Roman" w:hAnsi="Times New Roman"/>
                <w:sz w:val="24"/>
                <w:szCs w:val="24"/>
                <w:lang w:val="tr-TR"/>
              </w:rPr>
              <w:t xml:space="preserve"> görüşüyle beraber</w:t>
            </w:r>
            <w:r w:rsidR="001C7F0B" w:rsidRPr="00075A70">
              <w:rPr>
                <w:rStyle w:val="MaviChar"/>
                <w:rFonts w:eastAsia="ヒラギノ明朝 Pro W3"/>
              </w:rPr>
              <w:t>,</w:t>
            </w:r>
            <w:r w:rsidRPr="00A23740">
              <w:rPr>
                <w:rFonts w:ascii="Times New Roman" w:hAnsi="Times New Roman"/>
                <w:sz w:val="24"/>
                <w:szCs w:val="24"/>
                <w:lang w:val="tr-TR"/>
              </w:rPr>
              <w:t xml:space="preserve"> ikinci alacaklılar </w:t>
            </w:r>
            <w:r w:rsidRPr="00A23740">
              <w:rPr>
                <w:rStyle w:val="MaviChar"/>
                <w:rFonts w:eastAsia="ヒラギノ明朝 Pro W3"/>
              </w:rPr>
              <w:t>toplantısına</w:t>
            </w:r>
            <w:r w:rsidR="00236697" w:rsidRPr="00A23740">
              <w:rPr>
                <w:rStyle w:val="MaviChar"/>
                <w:rFonts w:eastAsia="ヒラギノ明朝 Pro W3"/>
                <w:lang w:val="tr-TR"/>
              </w:rPr>
              <w:t xml:space="preserve"> </w:t>
            </w:r>
            <w:r w:rsidR="00236697" w:rsidRPr="00075A70">
              <w:rPr>
                <w:rStyle w:val="MaviChar"/>
                <w:rFonts w:eastAsia="ヒラギノ明朝 Pro W3"/>
              </w:rPr>
              <w:t>sunar</w:t>
            </w:r>
            <w:r w:rsidRPr="00A23740">
              <w:rPr>
                <w:rFonts w:ascii="Times New Roman" w:hAnsi="Times New Roman"/>
                <w:sz w:val="24"/>
                <w:szCs w:val="24"/>
                <w:lang w:val="tr-TR"/>
              </w:rPr>
              <w:t xml:space="preserve"> veya daha sonra</w:t>
            </w:r>
            <w:r w:rsidR="00236697" w:rsidRPr="00075A70">
              <w:rPr>
                <w:rStyle w:val="MaviChar"/>
              </w:rPr>
              <w:t>ki</w:t>
            </w:r>
            <w:r w:rsidR="00236697" w:rsidRPr="00A23740">
              <w:rPr>
                <w:rFonts w:ascii="Times New Roman" w:hAnsi="Times New Roman"/>
                <w:b/>
                <w:color w:val="538135"/>
                <w:sz w:val="24"/>
                <w:szCs w:val="24"/>
                <w:lang w:val="tr-TR"/>
              </w:rPr>
              <w:t xml:space="preserve"> </w:t>
            </w:r>
            <w:r w:rsidR="00236697" w:rsidRPr="00075A70">
              <w:rPr>
                <w:rStyle w:val="MaviChar"/>
              </w:rPr>
              <w:t>toplantılarda</w:t>
            </w:r>
            <w:r w:rsidRPr="00A23740">
              <w:rPr>
                <w:rFonts w:ascii="Times New Roman" w:hAnsi="Times New Roman"/>
                <w:sz w:val="24"/>
                <w:szCs w:val="24"/>
                <w:lang w:val="tr-TR"/>
              </w:rPr>
              <w:t xml:space="preserve"> müzakere edilmek üzere alacaklılara bildirir.</w:t>
            </w:r>
          </w:p>
          <w:p w:rsidR="00AA5C8C" w:rsidRPr="00A23740" w:rsidRDefault="00AA5C8C" w:rsidP="009431FF">
            <w:pPr>
              <w:widowControl w:val="0"/>
              <w:rPr>
                <w:szCs w:val="24"/>
              </w:rPr>
            </w:pPr>
          </w:p>
          <w:p w:rsidR="00AA5C8C" w:rsidRPr="00A23740" w:rsidRDefault="00AA5C8C" w:rsidP="009431FF">
            <w:pPr>
              <w:widowControl w:val="0"/>
              <w:rPr>
                <w:szCs w:val="24"/>
              </w:rPr>
            </w:pPr>
            <w:r w:rsidRPr="00075A70">
              <w:rPr>
                <w:rStyle w:val="MaviChar"/>
              </w:rPr>
              <w:t xml:space="preserve">(2) </w:t>
            </w:r>
            <w:r w:rsidR="001C7F0B" w:rsidRPr="00075A70">
              <w:rPr>
                <w:rStyle w:val="MaviChar"/>
              </w:rPr>
              <w:t>Bu Kanunun</w:t>
            </w:r>
            <w:r w:rsidR="00465860" w:rsidRPr="00075A70">
              <w:rPr>
                <w:rStyle w:val="MaviChar"/>
              </w:rPr>
              <w:t xml:space="preserve"> 394 il</w:t>
            </w:r>
            <w:r w:rsidR="00F25FDB" w:rsidRPr="00075A70">
              <w:rPr>
                <w:rStyle w:val="MaviChar"/>
              </w:rPr>
              <w:t>a</w:t>
            </w:r>
            <w:r w:rsidR="00465860" w:rsidRPr="00075A70">
              <w:rPr>
                <w:rStyle w:val="MaviChar"/>
              </w:rPr>
              <w:t xml:space="preserve"> 401</w:t>
            </w:r>
            <w:r w:rsidRPr="00A23740">
              <w:rPr>
                <w:rStyle w:val="YELChar"/>
                <w:color w:val="00CC00"/>
              </w:rPr>
              <w:t xml:space="preserve"> </w:t>
            </w:r>
            <w:r w:rsidRPr="00075A70">
              <w:rPr>
                <w:rStyle w:val="MaviChar"/>
              </w:rPr>
              <w:t>ve</w:t>
            </w:r>
            <w:r w:rsidR="00465860" w:rsidRPr="00075A70">
              <w:rPr>
                <w:rStyle w:val="MaviChar"/>
              </w:rPr>
              <w:t xml:space="preserve"> 403 il</w:t>
            </w:r>
            <w:r w:rsidR="00F25FDB" w:rsidRPr="00075A70">
              <w:rPr>
                <w:rStyle w:val="MaviChar"/>
              </w:rPr>
              <w:t>a</w:t>
            </w:r>
            <w:r w:rsidR="00465860" w:rsidRPr="00075A70">
              <w:rPr>
                <w:rStyle w:val="MaviChar"/>
              </w:rPr>
              <w:t xml:space="preserve"> 409 ve 411 ile 412 nci</w:t>
            </w:r>
            <w:r w:rsidR="00465860" w:rsidRPr="00A23740">
              <w:rPr>
                <w:rStyle w:val="YELChar"/>
                <w:color w:val="00CC00"/>
              </w:rPr>
              <w:t xml:space="preserve"> </w:t>
            </w:r>
            <w:r w:rsidRPr="00A23740">
              <w:rPr>
                <w:szCs w:val="24"/>
              </w:rPr>
              <w:t>maddeler</w:t>
            </w:r>
            <w:r w:rsidR="00236697" w:rsidRPr="00AF7B35">
              <w:rPr>
                <w:rStyle w:val="Balk1Char"/>
                <w:rFonts w:eastAsia="Calibri"/>
              </w:rPr>
              <w:t>i</w:t>
            </w:r>
            <w:r w:rsidRPr="00A23740">
              <w:rPr>
                <w:szCs w:val="24"/>
              </w:rPr>
              <w:t xml:space="preserve"> burada da uygulanır. </w:t>
            </w:r>
            <w:r w:rsidRPr="00A23740">
              <w:rPr>
                <w:rFonts w:eastAsia="Times New Roman"/>
                <w:bCs/>
              </w:rPr>
              <w:t>Komisere ait görevler ifl</w:t>
            </w:r>
            <w:r w:rsidR="001C7F0B" w:rsidRPr="00A23740">
              <w:rPr>
                <w:rFonts w:eastAsia="Times New Roman"/>
                <w:bCs/>
              </w:rPr>
              <w:t>a</w:t>
            </w:r>
            <w:r w:rsidRPr="00A23740">
              <w:rPr>
                <w:rFonts w:eastAsia="Times New Roman"/>
                <w:bCs/>
              </w:rPr>
              <w:t xml:space="preserve">s idaresi tarafından </w:t>
            </w:r>
            <w:r w:rsidR="001C7F0B" w:rsidRPr="00075A70">
              <w:rPr>
                <w:rStyle w:val="MaviChar"/>
              </w:rPr>
              <w:t>yerine getirilir</w:t>
            </w:r>
            <w:r w:rsidRPr="00A23740">
              <w:rPr>
                <w:rFonts w:eastAsia="Times New Roman"/>
                <w:bCs/>
              </w:rPr>
              <w:t>.</w:t>
            </w:r>
          </w:p>
          <w:p w:rsidR="00AA5C8C" w:rsidRPr="00A23740" w:rsidRDefault="00AA5C8C" w:rsidP="009431FF">
            <w:pPr>
              <w:widowControl w:val="0"/>
              <w:rPr>
                <w:szCs w:val="24"/>
              </w:rPr>
            </w:pPr>
          </w:p>
          <w:p w:rsidR="00AA5C8C" w:rsidRPr="00A23740" w:rsidRDefault="00AA5C8C" w:rsidP="009431FF">
            <w:pPr>
              <w:pStyle w:val="Nor"/>
              <w:widowControl w:val="0"/>
              <w:tabs>
                <w:tab w:val="clear" w:pos="567"/>
              </w:tabs>
              <w:rPr>
                <w:lang w:val="tr-TR" w:eastAsia="tr-TR"/>
              </w:rPr>
            </w:pPr>
            <w:r w:rsidRPr="00A23740">
              <w:rPr>
                <w:rFonts w:ascii="Times New Roman" w:eastAsia="Calibri" w:hAnsi="Times New Roman"/>
                <w:b/>
                <w:color w:val="0000FF"/>
                <w:sz w:val="24"/>
                <w:szCs w:val="24"/>
                <w:lang w:val="tr-TR"/>
              </w:rPr>
              <w:t>(3)</w:t>
            </w:r>
            <w:r w:rsidRPr="00A23740">
              <w:rPr>
                <w:bCs/>
                <w:lang w:val="tr-TR"/>
              </w:rPr>
              <w:t xml:space="preserve"> </w:t>
            </w:r>
            <w:r w:rsidRPr="00A23740">
              <w:rPr>
                <w:rFonts w:ascii="Times New Roman" w:hAnsi="Times New Roman"/>
                <w:sz w:val="24"/>
                <w:szCs w:val="24"/>
                <w:lang w:val="tr-TR"/>
              </w:rPr>
              <w:t>İfl</w:t>
            </w:r>
            <w:r w:rsidR="001C7F0B" w:rsidRPr="00A23740">
              <w:rPr>
                <w:rFonts w:ascii="Times New Roman" w:hAnsi="Times New Roman"/>
                <w:sz w:val="24"/>
                <w:szCs w:val="24"/>
                <w:lang w:val="tr-TR"/>
              </w:rPr>
              <w:t>a</w:t>
            </w:r>
            <w:r w:rsidRPr="00A23740">
              <w:rPr>
                <w:rFonts w:ascii="Times New Roman" w:hAnsi="Times New Roman"/>
                <w:sz w:val="24"/>
                <w:szCs w:val="24"/>
                <w:lang w:val="tr-TR"/>
              </w:rPr>
              <w:t>stan sonra konkordato, ifl</w:t>
            </w:r>
            <w:r w:rsidR="001C7F0B" w:rsidRPr="00A23740">
              <w:rPr>
                <w:rFonts w:ascii="Times New Roman" w:hAnsi="Times New Roman"/>
                <w:sz w:val="24"/>
                <w:szCs w:val="24"/>
                <w:lang w:val="tr-TR"/>
              </w:rPr>
              <w:t>a</w:t>
            </w:r>
            <w:r w:rsidRPr="00A23740">
              <w:rPr>
                <w:rFonts w:ascii="Times New Roman" w:hAnsi="Times New Roman"/>
                <w:sz w:val="24"/>
                <w:szCs w:val="24"/>
                <w:lang w:val="tr-TR"/>
              </w:rPr>
              <w:t>s tasfiyesi içinde ancak bir defa istenebilir.</w:t>
            </w:r>
          </w:p>
          <w:p w:rsidR="00AA5C8C" w:rsidRPr="00A23740" w:rsidRDefault="00AA5C8C" w:rsidP="009431FF">
            <w:pPr>
              <w:pStyle w:val="KIRMIZI"/>
              <w:widowControl w:val="0"/>
              <w:rPr>
                <w:lang w:val="tr-TR" w:eastAsia="tr-TR"/>
              </w:rPr>
            </w:pPr>
          </w:p>
        </w:tc>
      </w:tr>
      <w:tr w:rsidR="005C3738" w:rsidRPr="00A23740" w:rsidTr="009431FF">
        <w:tc>
          <w:tcPr>
            <w:tcW w:w="5000" w:type="pct"/>
            <w:gridSpan w:val="2"/>
            <w:shd w:val="clear" w:color="auto" w:fill="DEEAF6"/>
          </w:tcPr>
          <w:p w:rsidR="00887D70" w:rsidRPr="00A23740" w:rsidRDefault="00887D70" w:rsidP="009431FF">
            <w:pPr>
              <w:tabs>
                <w:tab w:val="left" w:pos="567"/>
              </w:tabs>
              <w:ind w:firstLine="567"/>
              <w:rPr>
                <w:b/>
                <w:bCs/>
                <w:szCs w:val="24"/>
                <w:lang w:eastAsia="x-none"/>
              </w:rPr>
            </w:pPr>
          </w:p>
          <w:p w:rsidR="00983E04" w:rsidRPr="00A23740" w:rsidRDefault="0014192C" w:rsidP="009431FF">
            <w:pPr>
              <w:tabs>
                <w:tab w:val="left" w:pos="567"/>
              </w:tabs>
              <w:ind w:firstLine="567"/>
              <w:rPr>
                <w:bCs/>
                <w:szCs w:val="24"/>
                <w:lang w:eastAsia="x-none"/>
              </w:rPr>
            </w:pPr>
            <w:r w:rsidRPr="00A23740">
              <w:rPr>
                <w:b/>
                <w:bCs/>
                <w:szCs w:val="24"/>
                <w:lang w:eastAsia="x-none"/>
              </w:rPr>
              <w:t>MADDE 4</w:t>
            </w:r>
            <w:r w:rsidR="00164036" w:rsidRPr="00A23740">
              <w:rPr>
                <w:b/>
                <w:bCs/>
                <w:szCs w:val="24"/>
                <w:lang w:eastAsia="x-none"/>
              </w:rPr>
              <w:t>16</w:t>
            </w:r>
            <w:r w:rsidR="005C3738" w:rsidRPr="00A23740">
              <w:rPr>
                <w:b/>
                <w:bCs/>
                <w:szCs w:val="24"/>
                <w:lang w:eastAsia="x-none"/>
              </w:rPr>
              <w:t>-</w:t>
            </w:r>
            <w:r w:rsidR="006E7F43" w:rsidRPr="00A23740">
              <w:rPr>
                <w:b/>
                <w:bCs/>
                <w:szCs w:val="24"/>
                <w:lang w:eastAsia="x-none"/>
              </w:rPr>
              <w:t xml:space="preserve"> </w:t>
            </w:r>
            <w:r w:rsidR="006E7F43" w:rsidRPr="00A23740">
              <w:rPr>
                <w:bCs/>
                <w:szCs w:val="24"/>
                <w:lang w:eastAsia="x-none"/>
              </w:rPr>
              <w:t>Maddeyle, iflastan sonra konkordatoya ilişkin hususlar düzenlenmektedir.</w:t>
            </w:r>
            <w:r w:rsidR="005C3738" w:rsidRPr="00A23740">
              <w:rPr>
                <w:bCs/>
                <w:szCs w:val="24"/>
                <w:lang w:eastAsia="x-none"/>
              </w:rPr>
              <w:t xml:space="preserve"> </w:t>
            </w:r>
            <w:r w:rsidR="006E7F43" w:rsidRPr="00A23740">
              <w:rPr>
                <w:bCs/>
                <w:color w:val="000000"/>
              </w:rPr>
              <w:t>2004 sayılı Kanun</w:t>
            </w:r>
            <w:r w:rsidR="00983E04" w:rsidRPr="00A23740">
              <w:rPr>
                <w:bCs/>
                <w:color w:val="000000"/>
              </w:rPr>
              <w:t>un 209 uncu maddesinde yer alan hükümler iki madde h</w:t>
            </w:r>
            <w:r w:rsidR="001C7F0B" w:rsidRPr="00A23740">
              <w:rPr>
                <w:bCs/>
                <w:color w:val="000000"/>
              </w:rPr>
              <w:t>â</w:t>
            </w:r>
            <w:r w:rsidR="00983E04" w:rsidRPr="00A23740">
              <w:rPr>
                <w:bCs/>
                <w:color w:val="000000"/>
              </w:rPr>
              <w:t>linde düzenlenmiştir. Madde iflastan sonra konkordatonu</w:t>
            </w:r>
            <w:r w:rsidR="00B10431" w:rsidRPr="00A23740">
              <w:rPr>
                <w:bCs/>
                <w:color w:val="000000"/>
              </w:rPr>
              <w:t>n</w:t>
            </w:r>
            <w:r w:rsidR="00983E04" w:rsidRPr="00A23740">
              <w:rPr>
                <w:bCs/>
                <w:color w:val="000000"/>
              </w:rPr>
              <w:t xml:space="preserve"> şartlarına ilişkindir.</w:t>
            </w:r>
          </w:p>
          <w:p w:rsidR="005C3738" w:rsidRPr="00A23740" w:rsidRDefault="00983E04" w:rsidP="009431FF">
            <w:pPr>
              <w:tabs>
                <w:tab w:val="left" w:pos="567"/>
              </w:tabs>
              <w:ind w:firstLine="567"/>
              <w:rPr>
                <w:color w:val="000000"/>
              </w:rPr>
            </w:pPr>
            <w:r w:rsidRPr="00A23740">
              <w:rPr>
                <w:color w:val="000000"/>
              </w:rPr>
              <w:t>Birinci fıkrada “alacaklılar to</w:t>
            </w:r>
            <w:r w:rsidR="006E7F43" w:rsidRPr="00A23740">
              <w:rPr>
                <w:color w:val="000000"/>
              </w:rPr>
              <w:t>planması” ibaresi yerine, Kanun</w:t>
            </w:r>
            <w:r w:rsidRPr="00A23740">
              <w:rPr>
                <w:color w:val="000000"/>
              </w:rPr>
              <w:t>un iflas hükümleri ile uyumlu olacak şekilde “alacaklılar toplantısı” ibaresi tercih edilmiştir. Burada</w:t>
            </w:r>
            <w:r w:rsidR="00B10431" w:rsidRPr="00D22FBA">
              <w:rPr>
                <w:color w:val="000000"/>
              </w:rPr>
              <w:t>,</w:t>
            </w:r>
            <w:r w:rsidRPr="00A23740">
              <w:rPr>
                <w:color w:val="000000"/>
              </w:rPr>
              <w:t xml:space="preserve"> konkordatoya ilişkin hükümlere, karışıklığa mahal vermeyecek şekilde tek tek sayılm</w:t>
            </w:r>
            <w:r w:rsidR="00B10431" w:rsidRPr="00A23740">
              <w:rPr>
                <w:color w:val="000000"/>
              </w:rPr>
              <w:t>ak suretiyle atıf yapılmıştır.</w:t>
            </w:r>
          </w:p>
          <w:p w:rsidR="00FD0F58" w:rsidRPr="00A23740" w:rsidRDefault="00FD0F58" w:rsidP="006C4AA3">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pStyle w:val="KIRMIZI"/>
            </w:pPr>
            <w:r w:rsidRPr="00A23740">
              <w:t>Şartları ve hükümleri:</w:t>
            </w:r>
          </w:p>
          <w:p w:rsidR="00AA5C8C" w:rsidRPr="00A23740" w:rsidRDefault="00AA5C8C" w:rsidP="009431FF">
            <w:pPr>
              <w:pStyle w:val="Nor"/>
              <w:tabs>
                <w:tab w:val="clear" w:pos="567"/>
              </w:tabs>
              <w:rPr>
                <w:szCs w:val="24"/>
                <w:lang w:val="tr-TR"/>
              </w:rPr>
            </w:pPr>
            <w:r w:rsidRPr="00A23740">
              <w:rPr>
                <w:rStyle w:val="KIRMIZIChar"/>
                <w:lang w:val="tr-TR"/>
              </w:rPr>
              <w:t>Madde 309 – ...</w:t>
            </w:r>
          </w:p>
          <w:p w:rsidR="00AA5C8C" w:rsidRPr="00A23740" w:rsidRDefault="00AA5C8C" w:rsidP="009431FF">
            <w:pPr>
              <w:rPr>
                <w:szCs w:val="24"/>
              </w:rPr>
            </w:pPr>
            <w:r w:rsidRPr="00A23740">
              <w:rPr>
                <w:rStyle w:val="KIRMIZIChar"/>
                <w:rFonts w:eastAsia="Calibri"/>
              </w:rPr>
              <w:t>(3)</w:t>
            </w:r>
            <w:r w:rsidRPr="00A23740">
              <w:rPr>
                <w:szCs w:val="24"/>
              </w:rPr>
              <w:t xml:space="preserve"> Konkordato talebinin alacaklılar tarafından kabul edildiği toplantının yapıldığı tarihten, konkordatonun mahkemece tasdik edildiği tarihe kadar geçen sürede müflisin mallarının paraya çevrilmesi durur. Bu süre altı ayı geçemez.</w:t>
            </w: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(4)</w:t>
            </w:r>
            <w:r w:rsidRPr="00A23740">
              <w:rPr>
                <w:szCs w:val="24"/>
              </w:rPr>
              <w:t xml:space="preserve"> Konkordato hakkında verilen karar iflâs idaresine bildirilir.</w:t>
            </w:r>
          </w:p>
          <w:p w:rsidR="00AA5C8C" w:rsidRPr="00A23740" w:rsidRDefault="00AA5C8C" w:rsidP="009431FF">
            <w:pPr>
              <w:rPr>
                <w:szCs w:val="24"/>
              </w:rPr>
            </w:pPr>
          </w:p>
          <w:p w:rsidR="00AA5C8C" w:rsidRPr="00A23740" w:rsidRDefault="00AA5C8C" w:rsidP="009431FF">
            <w:pPr>
              <w:rPr>
                <w:szCs w:val="24"/>
              </w:rPr>
            </w:pPr>
          </w:p>
          <w:p w:rsidR="00AA5C8C" w:rsidRPr="00A23740" w:rsidRDefault="00AA5C8C" w:rsidP="009431FF">
            <w:pPr>
              <w:rPr>
                <w:szCs w:val="24"/>
              </w:rPr>
            </w:pPr>
            <w:r w:rsidRPr="00A23740">
              <w:rPr>
                <w:rStyle w:val="KIRMIZIChar"/>
                <w:rFonts w:eastAsia="Calibri"/>
              </w:rPr>
              <w:t>(5)</w:t>
            </w:r>
            <w:r w:rsidRPr="00A23740">
              <w:rPr>
                <w:szCs w:val="24"/>
              </w:rPr>
              <w:t xml:space="preserve"> Konkordatonun tasdiki kararının kesinleşmesi üzerine iflâs idaresi iflâsa hükmeden mahkemeden iflâsın kaldırılmasını ister.</w:t>
            </w:r>
          </w:p>
          <w:p w:rsidR="00AA5C8C" w:rsidRPr="00A23740" w:rsidRDefault="00AA5C8C" w:rsidP="009431FF">
            <w:pPr>
              <w:rPr>
                <w:rFonts w:eastAsia="Times New Roman"/>
                <w:i/>
                <w:szCs w:val="24"/>
                <w:lang w:eastAsia="tr-TR"/>
              </w:rPr>
            </w:pPr>
          </w:p>
        </w:tc>
        <w:tc>
          <w:tcPr>
            <w:tcW w:w="2500" w:type="pct"/>
            <w:shd w:val="clear" w:color="auto" w:fill="FFFFFF"/>
          </w:tcPr>
          <w:p w:rsidR="00AA5C8C" w:rsidRPr="00A23740" w:rsidRDefault="00AA5C8C" w:rsidP="009431FF">
            <w:pPr>
              <w:pStyle w:val="Mavi"/>
            </w:pPr>
            <w:r w:rsidRPr="00A23740">
              <w:t>İflastan sonra konkordatonun hüküm ve sonuçları</w:t>
            </w:r>
          </w:p>
          <w:p w:rsidR="00AA5C8C" w:rsidRPr="00A23740" w:rsidRDefault="00AA5C8C" w:rsidP="009431FF">
            <w:pPr>
              <w:rPr>
                <w:szCs w:val="24"/>
              </w:rPr>
            </w:pPr>
            <w:r w:rsidRPr="00A23740">
              <w:rPr>
                <w:b/>
                <w:color w:val="0000FF"/>
                <w:szCs w:val="24"/>
                <w:lang w:eastAsia="x-none"/>
              </w:rPr>
              <w:t>MADDE 41</w:t>
            </w:r>
            <w:r w:rsidR="00164036" w:rsidRPr="00A23740">
              <w:rPr>
                <w:b/>
                <w:color w:val="0000FF"/>
                <w:szCs w:val="24"/>
                <w:lang w:eastAsia="x-none"/>
              </w:rPr>
              <w:t>7</w:t>
            </w:r>
            <w:r w:rsidRPr="00A23740">
              <w:rPr>
                <w:b/>
                <w:color w:val="0000FF"/>
                <w:szCs w:val="24"/>
                <w:lang w:eastAsia="x-none"/>
              </w:rPr>
              <w:t>- (1)</w:t>
            </w:r>
            <w:r w:rsidR="00182807" w:rsidRPr="00A23740">
              <w:rPr>
                <w:b/>
                <w:color w:val="0000FF"/>
                <w:szCs w:val="24"/>
                <w:lang w:eastAsia="x-none"/>
              </w:rPr>
              <w:t xml:space="preserve"> </w:t>
            </w:r>
            <w:r w:rsidR="00182807" w:rsidRPr="00075A70">
              <w:rPr>
                <w:rStyle w:val="MaviChar"/>
              </w:rPr>
              <w:t>İflastan sonra</w:t>
            </w:r>
            <w:r w:rsidRPr="00A23740">
              <w:rPr>
                <w:b/>
                <w:bCs/>
                <w:szCs w:val="24"/>
              </w:rPr>
              <w:t xml:space="preserve"> </w:t>
            </w:r>
            <w:r w:rsidR="00182807" w:rsidRPr="00A23740">
              <w:rPr>
                <w:szCs w:val="24"/>
              </w:rPr>
              <w:t xml:space="preserve">konkordato </w:t>
            </w:r>
            <w:r w:rsidRPr="00A23740">
              <w:rPr>
                <w:szCs w:val="24"/>
              </w:rPr>
              <w:t>talebinin alacaklılar tarafından kabul edildiği toplantının yapıldığı tarihten, konkordatonun mahkemece tasdik</w:t>
            </w:r>
            <w:r w:rsidRPr="00A23740">
              <w:rPr>
                <w:rStyle w:val="MaviChar"/>
              </w:rPr>
              <w:t xml:space="preserve">inin kesinleştiği </w:t>
            </w:r>
            <w:r w:rsidRPr="00A23740">
              <w:rPr>
                <w:szCs w:val="24"/>
              </w:rPr>
              <w:t xml:space="preserve">tarihe kadar geçen sürede müflisin mallarının paraya çevrilmesi durur. </w:t>
            </w:r>
          </w:p>
          <w:p w:rsidR="00AA5C8C" w:rsidRPr="00A23740" w:rsidRDefault="00AA5C8C" w:rsidP="009431FF">
            <w:pPr>
              <w:rPr>
                <w:szCs w:val="24"/>
              </w:rPr>
            </w:pPr>
          </w:p>
          <w:p w:rsidR="009A7483" w:rsidRPr="00A23740" w:rsidRDefault="009A7483" w:rsidP="009431FF">
            <w:pPr>
              <w:rPr>
                <w:b/>
                <w:color w:val="0000FF"/>
                <w:szCs w:val="24"/>
                <w:lang w:eastAsia="x-none"/>
              </w:rPr>
            </w:pPr>
          </w:p>
          <w:p w:rsidR="00AA5C8C" w:rsidRPr="00A23740" w:rsidRDefault="00AA5C8C" w:rsidP="009431FF">
            <w:pPr>
              <w:rPr>
                <w:szCs w:val="24"/>
              </w:rPr>
            </w:pPr>
            <w:r w:rsidRPr="00A23740">
              <w:rPr>
                <w:b/>
                <w:color w:val="0000FF"/>
                <w:szCs w:val="24"/>
                <w:lang w:eastAsia="x-none"/>
              </w:rPr>
              <w:t>(2)</w:t>
            </w:r>
            <w:r w:rsidRPr="00A23740">
              <w:rPr>
                <w:b/>
                <w:bCs/>
                <w:szCs w:val="24"/>
              </w:rPr>
              <w:t xml:space="preserve"> </w:t>
            </w:r>
            <w:r w:rsidR="00136FEF" w:rsidRPr="00075A70">
              <w:rPr>
                <w:rStyle w:val="MaviChar"/>
              </w:rPr>
              <w:t>İflastan sonra</w:t>
            </w:r>
            <w:r w:rsidR="00136FEF" w:rsidRPr="00A23740">
              <w:rPr>
                <w:b/>
                <w:bCs/>
                <w:szCs w:val="24"/>
              </w:rPr>
              <w:t xml:space="preserve"> </w:t>
            </w:r>
            <w:r w:rsidR="00136FEF" w:rsidRPr="00A23740">
              <w:rPr>
                <w:szCs w:val="24"/>
              </w:rPr>
              <w:t>konkordato</w:t>
            </w:r>
            <w:r w:rsidR="00136FEF" w:rsidRPr="00A23740">
              <w:rPr>
                <w:rStyle w:val="MaviChar"/>
                <w:lang w:val="tr-TR"/>
              </w:rPr>
              <w:t xml:space="preserve">nun </w:t>
            </w:r>
            <w:r w:rsidRPr="00A23740">
              <w:rPr>
                <w:rStyle w:val="MaviChar"/>
                <w:lang w:val="tr-TR"/>
              </w:rPr>
              <w:t>tasdiki</w:t>
            </w:r>
            <w:r w:rsidRPr="00A23740">
              <w:rPr>
                <w:szCs w:val="24"/>
              </w:rPr>
              <w:t xml:space="preserve"> </w:t>
            </w:r>
            <w:r w:rsidRPr="00A23740">
              <w:rPr>
                <w:rStyle w:val="MaviChar"/>
                <w:lang w:val="tr-TR"/>
              </w:rPr>
              <w:t xml:space="preserve">talebi </w:t>
            </w:r>
            <w:r w:rsidRPr="00A23740">
              <w:rPr>
                <w:szCs w:val="24"/>
              </w:rPr>
              <w:t xml:space="preserve">hakkında </w:t>
            </w:r>
            <w:r w:rsidRPr="00A23740">
              <w:rPr>
                <w:rStyle w:val="MaviChar"/>
                <w:lang w:val="tr-TR"/>
              </w:rPr>
              <w:t>mahkemece</w:t>
            </w:r>
            <w:r w:rsidRPr="00A23740">
              <w:rPr>
                <w:szCs w:val="24"/>
              </w:rPr>
              <w:t xml:space="preserve"> verilen karar ifl</w:t>
            </w:r>
            <w:r w:rsidR="00656C77" w:rsidRPr="00A23740">
              <w:rPr>
                <w:szCs w:val="24"/>
              </w:rPr>
              <w:t>a</w:t>
            </w:r>
            <w:r w:rsidRPr="00A23740">
              <w:rPr>
                <w:szCs w:val="24"/>
              </w:rPr>
              <w:t>s idaresine bildirilir.</w:t>
            </w:r>
          </w:p>
          <w:p w:rsidR="00AA5C8C" w:rsidRPr="00A23740" w:rsidRDefault="00AA5C8C" w:rsidP="009431FF">
            <w:pPr>
              <w:rPr>
                <w:szCs w:val="24"/>
              </w:rPr>
            </w:pPr>
          </w:p>
          <w:p w:rsidR="00AA5C8C" w:rsidRPr="006C4AA3" w:rsidRDefault="00AA5C8C" w:rsidP="006C4AA3">
            <w:pPr>
              <w:rPr>
                <w:szCs w:val="24"/>
              </w:rPr>
            </w:pPr>
            <w:r w:rsidRPr="00A23740">
              <w:rPr>
                <w:b/>
                <w:color w:val="0000FF"/>
                <w:szCs w:val="24"/>
                <w:lang w:eastAsia="x-none"/>
              </w:rPr>
              <w:t>(3)</w:t>
            </w:r>
            <w:r w:rsidRPr="00A23740">
              <w:rPr>
                <w:b/>
                <w:bCs/>
                <w:szCs w:val="24"/>
              </w:rPr>
              <w:t xml:space="preserve"> </w:t>
            </w:r>
            <w:r w:rsidR="00136FEF" w:rsidRPr="00075A70">
              <w:rPr>
                <w:rStyle w:val="MaviChar"/>
              </w:rPr>
              <w:t>İflastan sonra</w:t>
            </w:r>
            <w:r w:rsidR="00136FEF" w:rsidRPr="00A23740">
              <w:rPr>
                <w:b/>
                <w:bCs/>
                <w:szCs w:val="24"/>
              </w:rPr>
              <w:t xml:space="preserve"> </w:t>
            </w:r>
            <w:r w:rsidR="00136FEF" w:rsidRPr="00A23740">
              <w:rPr>
                <w:szCs w:val="24"/>
              </w:rPr>
              <w:t xml:space="preserve">konkordatonun </w:t>
            </w:r>
            <w:r w:rsidRPr="00A23740">
              <w:rPr>
                <w:szCs w:val="24"/>
              </w:rPr>
              <w:t>tasdiki kararının kesinleşmesi üzerine ifl</w:t>
            </w:r>
            <w:r w:rsidR="00136FEF" w:rsidRPr="00A23740">
              <w:rPr>
                <w:szCs w:val="24"/>
              </w:rPr>
              <w:t>a</w:t>
            </w:r>
            <w:r w:rsidRPr="00A23740">
              <w:rPr>
                <w:szCs w:val="24"/>
              </w:rPr>
              <w:t>s idaresi ifl</w:t>
            </w:r>
            <w:r w:rsidR="00136FEF" w:rsidRPr="00A23740">
              <w:rPr>
                <w:szCs w:val="24"/>
              </w:rPr>
              <w:t>a</w:t>
            </w:r>
            <w:r w:rsidRPr="00A23740">
              <w:rPr>
                <w:szCs w:val="24"/>
              </w:rPr>
              <w:t>sa hükmeden mahkemeden ifl</w:t>
            </w:r>
            <w:r w:rsidR="00656C77" w:rsidRPr="00A23740">
              <w:rPr>
                <w:szCs w:val="24"/>
              </w:rPr>
              <w:t>a</w:t>
            </w:r>
            <w:r w:rsidRPr="00A23740">
              <w:rPr>
                <w:szCs w:val="24"/>
              </w:rPr>
              <w:t>sın kaldırılmasını ister.</w:t>
            </w:r>
          </w:p>
        </w:tc>
      </w:tr>
      <w:tr w:rsidR="005C3738" w:rsidRPr="00A23740" w:rsidTr="009431FF">
        <w:tc>
          <w:tcPr>
            <w:tcW w:w="5000" w:type="pct"/>
            <w:gridSpan w:val="2"/>
            <w:shd w:val="clear" w:color="auto" w:fill="DEEAF6"/>
          </w:tcPr>
          <w:p w:rsidR="0014192C" w:rsidRPr="00A23740" w:rsidRDefault="0014192C" w:rsidP="009431FF">
            <w:pPr>
              <w:tabs>
                <w:tab w:val="left" w:pos="567"/>
              </w:tabs>
              <w:ind w:firstLine="709"/>
              <w:rPr>
                <w:b/>
                <w:bCs/>
                <w:szCs w:val="24"/>
                <w:lang w:eastAsia="x-none"/>
              </w:rPr>
            </w:pPr>
          </w:p>
          <w:p w:rsidR="0014192C" w:rsidRPr="00A23740" w:rsidRDefault="0014192C" w:rsidP="009431FF">
            <w:pPr>
              <w:pStyle w:val="Mavi"/>
              <w:ind w:firstLine="567"/>
              <w:rPr>
                <w:lang w:val="tr-TR"/>
              </w:rPr>
            </w:pPr>
            <w:r w:rsidRPr="00A23740">
              <w:rPr>
                <w:bCs w:val="0"/>
                <w:color w:val="000000"/>
              </w:rPr>
              <w:t>MADDE 41</w:t>
            </w:r>
            <w:r w:rsidR="00164036" w:rsidRPr="00A23740">
              <w:rPr>
                <w:bCs w:val="0"/>
                <w:color w:val="000000"/>
                <w:lang w:val="tr-TR"/>
              </w:rPr>
              <w:t>7</w:t>
            </w:r>
            <w:r w:rsidR="005C3738" w:rsidRPr="00A23740">
              <w:rPr>
                <w:b w:val="0"/>
                <w:bCs w:val="0"/>
                <w:color w:val="000000"/>
              </w:rPr>
              <w:t>-</w:t>
            </w:r>
            <w:r w:rsidR="005C3738" w:rsidRPr="00A23740">
              <w:rPr>
                <w:b w:val="0"/>
                <w:bCs w:val="0"/>
              </w:rPr>
              <w:t xml:space="preserve"> </w:t>
            </w:r>
            <w:r w:rsidRPr="00A23740">
              <w:rPr>
                <w:b w:val="0"/>
                <w:bCs w:val="0"/>
                <w:color w:val="000000"/>
              </w:rPr>
              <w:t xml:space="preserve">Maddeyle, </w:t>
            </w:r>
            <w:r w:rsidRPr="00A23740">
              <w:rPr>
                <w:b w:val="0"/>
                <w:color w:val="000000"/>
              </w:rPr>
              <w:t>iflastan sonra konkordatonun hüküm ve sonuçları</w:t>
            </w:r>
            <w:r w:rsidRPr="00A23740">
              <w:rPr>
                <w:b w:val="0"/>
                <w:color w:val="000000"/>
                <w:lang w:val="tr-TR"/>
              </w:rPr>
              <w:t xml:space="preserve">na ilişkin hususlar düzenlenmektedir. </w:t>
            </w:r>
            <w:r w:rsidRPr="00A23740">
              <w:rPr>
                <w:b w:val="0"/>
                <w:bCs w:val="0"/>
                <w:color w:val="000000"/>
              </w:rPr>
              <w:t>2004 sayılı Kanun</w:t>
            </w:r>
            <w:r w:rsidR="00983E04" w:rsidRPr="00A23740">
              <w:rPr>
                <w:b w:val="0"/>
                <w:bCs w:val="0"/>
                <w:color w:val="000000"/>
                <w:lang w:val="tr-TR"/>
              </w:rPr>
              <w:t>un 209 uncu maddesinde yer alan hükümler iki madde h</w:t>
            </w:r>
            <w:r w:rsidR="00136FEF" w:rsidRPr="00A23740">
              <w:rPr>
                <w:b w:val="0"/>
                <w:bCs w:val="0"/>
                <w:color w:val="000000"/>
                <w:lang w:val="tr-TR"/>
              </w:rPr>
              <w:t>â</w:t>
            </w:r>
            <w:r w:rsidR="00983E04" w:rsidRPr="00A23740">
              <w:rPr>
                <w:b w:val="0"/>
                <w:bCs w:val="0"/>
                <w:color w:val="000000"/>
                <w:lang w:val="tr-TR"/>
              </w:rPr>
              <w:t xml:space="preserve">linde düzenlenmiştir. </w:t>
            </w:r>
          </w:p>
          <w:p w:rsidR="00317CA1" w:rsidRPr="00A23740" w:rsidRDefault="00983E04" w:rsidP="009431FF">
            <w:pPr>
              <w:tabs>
                <w:tab w:val="left" w:pos="567"/>
              </w:tabs>
              <w:ind w:firstLine="709"/>
              <w:rPr>
                <w:color w:val="000000"/>
                <w:szCs w:val="24"/>
              </w:rPr>
            </w:pPr>
            <w:r w:rsidRPr="00A23740">
              <w:rPr>
                <w:color w:val="000000"/>
                <w:szCs w:val="24"/>
              </w:rPr>
              <w:t xml:space="preserve">Birinci fıkra uyarınca </w:t>
            </w:r>
            <w:r w:rsidR="00A94AC4" w:rsidRPr="00075A70">
              <w:t>iflastan sonra</w:t>
            </w:r>
            <w:r w:rsidR="00A94AC4" w:rsidRPr="00A23740">
              <w:rPr>
                <w:color w:val="385623"/>
                <w:szCs w:val="24"/>
              </w:rPr>
              <w:t xml:space="preserve"> </w:t>
            </w:r>
            <w:r w:rsidRPr="00A23740">
              <w:rPr>
                <w:color w:val="000000"/>
                <w:szCs w:val="24"/>
              </w:rPr>
              <w:t>konkordato talebinin alacaklılar tarafından kabul edildiği toplantının yapıldığı tarihten, konkordatonun mahkemece tasdik</w:t>
            </w:r>
            <w:r w:rsidRPr="00A23740">
              <w:rPr>
                <w:rStyle w:val="MaviChar"/>
                <w:b w:val="0"/>
                <w:color w:val="000000"/>
              </w:rPr>
              <w:t xml:space="preserve">inin kesinleştiği </w:t>
            </w:r>
            <w:r w:rsidRPr="00A23740">
              <w:rPr>
                <w:color w:val="000000"/>
                <w:szCs w:val="24"/>
              </w:rPr>
              <w:t>tarihe kadar geçen sürede müflisin mallarının paraya çevrilmesi duracaktır. 2004 sayılı Kan</w:t>
            </w:r>
            <w:r w:rsidR="0014192C" w:rsidRPr="00A23740">
              <w:rPr>
                <w:color w:val="000000"/>
                <w:szCs w:val="24"/>
              </w:rPr>
              <w:t>un</w:t>
            </w:r>
            <w:r w:rsidRPr="00A23740">
              <w:rPr>
                <w:color w:val="000000"/>
                <w:szCs w:val="24"/>
              </w:rPr>
              <w:t>un 309 uncu maddesinden farklı olarak, paraya çevirmenin, konkordatonun tasdiki kararının kesinleşmesi tarihine kadar duracağı hususu açıklığa kavuşturulmuştur. Zira paraya çevirmenin tasdik kararına kadar durması ifadesi, tasdik kararından kesinleşmeye kadar geçecek süre zarfında paraya çevirmeye devam edilebileceği gibi bir yanlış anlamaya mahal verebilmekte</w:t>
            </w:r>
            <w:r w:rsidR="00136FEF" w:rsidRPr="00A23740">
              <w:rPr>
                <w:color w:val="000000"/>
                <w:szCs w:val="24"/>
              </w:rPr>
              <w:t>ydi</w:t>
            </w:r>
            <w:r w:rsidR="0014192C" w:rsidRPr="00A23740">
              <w:rPr>
                <w:color w:val="000000"/>
                <w:szCs w:val="24"/>
              </w:rPr>
              <w:t>. Ayrıca, 2004 sayılı Kanun</w:t>
            </w:r>
            <w:r w:rsidRPr="00A23740">
              <w:rPr>
                <w:color w:val="000000"/>
                <w:szCs w:val="24"/>
              </w:rPr>
              <w:t>da yer alan “Bu süre altı ayı geçemez.” cümlesi hükümden çıkarılmıştır. Zira bu cümle</w:t>
            </w:r>
            <w:r w:rsidR="006F6A26" w:rsidRPr="00A23740">
              <w:rPr>
                <w:color w:val="000000"/>
                <w:szCs w:val="24"/>
              </w:rPr>
              <w:t>nedeniyle</w:t>
            </w:r>
            <w:r w:rsidRPr="00A23740">
              <w:rPr>
                <w:color w:val="000000"/>
                <w:szCs w:val="24"/>
              </w:rPr>
              <w:t>, konkordatonun tasdikine karar verildiği h</w:t>
            </w:r>
            <w:r w:rsidR="00136FEF" w:rsidRPr="00A23740">
              <w:rPr>
                <w:color w:val="000000"/>
                <w:szCs w:val="24"/>
              </w:rPr>
              <w:t>â</w:t>
            </w:r>
            <w:r w:rsidRPr="00A23740">
              <w:rPr>
                <w:color w:val="000000"/>
                <w:szCs w:val="24"/>
              </w:rPr>
              <w:t xml:space="preserve">lde </w:t>
            </w:r>
            <w:r w:rsidR="006F6A26" w:rsidRPr="00A23740">
              <w:rPr>
                <w:color w:val="000000"/>
                <w:szCs w:val="24"/>
              </w:rPr>
              <w:t xml:space="preserve"> buna ilişkin </w:t>
            </w:r>
            <w:r w:rsidRPr="00A23740">
              <w:rPr>
                <w:color w:val="000000"/>
                <w:szCs w:val="24"/>
              </w:rPr>
              <w:t>üst derece</w:t>
            </w:r>
            <w:r w:rsidR="00136FEF" w:rsidRPr="00A23740">
              <w:rPr>
                <w:color w:val="000000"/>
                <w:szCs w:val="24"/>
              </w:rPr>
              <w:t xml:space="preserve"> </w:t>
            </w:r>
            <w:r w:rsidR="00136FEF" w:rsidRPr="00075A70">
              <w:t>mahkemesi</w:t>
            </w:r>
            <w:r w:rsidRPr="00A23740">
              <w:rPr>
                <w:color w:val="000000"/>
                <w:szCs w:val="24"/>
              </w:rPr>
              <w:t xml:space="preserve"> </w:t>
            </w:r>
            <w:r w:rsidR="00136FEF" w:rsidRPr="00075A70">
              <w:t>karar</w:t>
            </w:r>
            <w:r w:rsidR="006F6A26" w:rsidRPr="00075A70">
              <w:t>ının</w:t>
            </w:r>
            <w:r w:rsidR="00136FEF" w:rsidRPr="00075A70">
              <w:t xml:space="preserve"> ver</w:t>
            </w:r>
            <w:r w:rsidR="006F6A26" w:rsidRPr="00075A70">
              <w:t>il</w:t>
            </w:r>
            <w:r w:rsidR="00136FEF" w:rsidRPr="00075A70">
              <w:t>mesinin</w:t>
            </w:r>
            <w:r w:rsidRPr="00A23740">
              <w:rPr>
                <w:color w:val="000000"/>
                <w:szCs w:val="24"/>
              </w:rPr>
              <w:t xml:space="preserve"> altı aydan daha uzun sürmesi h</w:t>
            </w:r>
            <w:r w:rsidR="00136FEF" w:rsidRPr="00A23740">
              <w:rPr>
                <w:color w:val="000000"/>
                <w:szCs w:val="24"/>
              </w:rPr>
              <w:t>â</w:t>
            </w:r>
            <w:r w:rsidRPr="00A23740">
              <w:rPr>
                <w:color w:val="000000"/>
                <w:szCs w:val="24"/>
              </w:rPr>
              <w:t>linde</w:t>
            </w:r>
            <w:r w:rsidR="00136FEF" w:rsidRPr="00D22FBA">
              <w:rPr>
                <w:rStyle w:val="YELChar"/>
                <w:b w:val="0"/>
                <w:color w:val="auto"/>
              </w:rPr>
              <w:t>,</w:t>
            </w:r>
            <w:r w:rsidRPr="00A23740">
              <w:rPr>
                <w:color w:val="000000"/>
                <w:szCs w:val="24"/>
              </w:rPr>
              <w:t xml:space="preserve"> müflisin malların</w:t>
            </w:r>
            <w:r w:rsidR="00136FEF" w:rsidRPr="00A23740">
              <w:rPr>
                <w:color w:val="000000"/>
                <w:szCs w:val="24"/>
              </w:rPr>
              <w:t>ın</w:t>
            </w:r>
            <w:r w:rsidRPr="00A23740">
              <w:rPr>
                <w:color w:val="000000"/>
                <w:szCs w:val="24"/>
              </w:rPr>
              <w:t xml:space="preserve"> paraya çevrilmesine devam edilmesi gibi konkordatonun amacını ortadan kaldıran</w:t>
            </w:r>
            <w:r w:rsidR="006F6A26" w:rsidRPr="00A23740">
              <w:rPr>
                <w:color w:val="000000"/>
                <w:szCs w:val="24"/>
              </w:rPr>
              <w:t xml:space="preserve"> ve ayrıca </w:t>
            </w:r>
            <w:r w:rsidRPr="00A23740">
              <w:rPr>
                <w:color w:val="000000"/>
                <w:szCs w:val="24"/>
              </w:rPr>
              <w:t xml:space="preserve"> çelişki yaratan bir durum ortaya çıkabilmekteydi. Şu h</w:t>
            </w:r>
            <w:r w:rsidR="00136FEF" w:rsidRPr="00A23740">
              <w:rPr>
                <w:color w:val="000000"/>
                <w:szCs w:val="24"/>
              </w:rPr>
              <w:t>â</w:t>
            </w:r>
            <w:r w:rsidRPr="00A23740">
              <w:rPr>
                <w:color w:val="000000"/>
                <w:szCs w:val="24"/>
              </w:rPr>
              <w:t>lde konkordatonun tasdiki kararının kesinleşmesine kadar geçecek olan süre boyunca, bu süre altı aydan uzun da olsa, müflisin mallarını</w:t>
            </w:r>
            <w:r w:rsidR="00317CA1" w:rsidRPr="00A23740">
              <w:rPr>
                <w:color w:val="000000"/>
                <w:szCs w:val="24"/>
              </w:rPr>
              <w:t>n paraya çevrilmesi duracaktır.</w:t>
            </w:r>
          </w:p>
          <w:p w:rsidR="00983E04" w:rsidRPr="00A23740" w:rsidRDefault="00983E04" w:rsidP="009431FF">
            <w:pPr>
              <w:tabs>
                <w:tab w:val="left" w:pos="567"/>
              </w:tabs>
              <w:ind w:firstLine="709"/>
              <w:rPr>
                <w:color w:val="000000"/>
                <w:szCs w:val="24"/>
              </w:rPr>
            </w:pPr>
            <w:r w:rsidRPr="00A23740">
              <w:rPr>
                <w:color w:val="000000"/>
                <w:szCs w:val="24"/>
              </w:rPr>
              <w:t>Bu bağlamda</w:t>
            </w:r>
            <w:r w:rsidR="00317CA1" w:rsidRPr="00A23740">
              <w:rPr>
                <w:color w:val="000000"/>
                <w:szCs w:val="24"/>
              </w:rPr>
              <w:t xml:space="preserve"> </w:t>
            </w:r>
            <w:r w:rsidR="00317CA1" w:rsidRPr="00075A70">
              <w:t>ikinci fıkraya göre</w:t>
            </w:r>
            <w:r w:rsidRPr="00075A70">
              <w:t xml:space="preserve"> </w:t>
            </w:r>
            <w:r w:rsidR="00A94AC4" w:rsidRPr="00075A70">
              <w:t>iflastan sonra</w:t>
            </w:r>
            <w:r w:rsidR="00A94AC4" w:rsidRPr="00A23740">
              <w:rPr>
                <w:color w:val="000000"/>
                <w:szCs w:val="24"/>
              </w:rPr>
              <w:t xml:space="preserve"> </w:t>
            </w:r>
            <w:r w:rsidRPr="00A23740">
              <w:rPr>
                <w:color w:val="000000"/>
                <w:szCs w:val="24"/>
              </w:rPr>
              <w:t>konkordatonun tasdikine karar veren mahkemenin üçüncü fıkra uyarınca durumu hemen ifl</w:t>
            </w:r>
            <w:r w:rsidR="00136FEF" w:rsidRPr="00A23740">
              <w:rPr>
                <w:color w:val="000000"/>
                <w:szCs w:val="24"/>
              </w:rPr>
              <w:t>a</w:t>
            </w:r>
            <w:r w:rsidRPr="00A23740">
              <w:rPr>
                <w:color w:val="000000"/>
                <w:szCs w:val="24"/>
              </w:rPr>
              <w:t>s idaresine bildirmesi; ifl</w:t>
            </w:r>
            <w:r w:rsidR="00136FEF" w:rsidRPr="00A23740">
              <w:rPr>
                <w:color w:val="000000"/>
                <w:szCs w:val="24"/>
              </w:rPr>
              <w:t>a</w:t>
            </w:r>
            <w:r w:rsidRPr="00A23740">
              <w:rPr>
                <w:color w:val="000000"/>
                <w:szCs w:val="24"/>
              </w:rPr>
              <w:t xml:space="preserve">s idaresinin de tasdik kararının kesinleşmesine kadar işleyecek olan süre boyunca </w:t>
            </w:r>
            <w:r w:rsidR="00136FEF" w:rsidRPr="00A23740">
              <w:rPr>
                <w:color w:val="000000"/>
                <w:szCs w:val="24"/>
              </w:rPr>
              <w:t>iflas</w:t>
            </w:r>
            <w:r w:rsidRPr="00A23740">
              <w:rPr>
                <w:color w:val="000000"/>
                <w:szCs w:val="24"/>
              </w:rPr>
              <w:t xml:space="preserve"> </w:t>
            </w:r>
            <w:r w:rsidR="00136FEF" w:rsidRPr="00A23740">
              <w:rPr>
                <w:color w:val="000000"/>
                <w:szCs w:val="24"/>
              </w:rPr>
              <w:t>tasfiyesiyle</w:t>
            </w:r>
            <w:r w:rsidRPr="00A23740">
              <w:rPr>
                <w:color w:val="000000"/>
                <w:szCs w:val="24"/>
              </w:rPr>
              <w:t xml:space="preserve"> ilgili işlemleri durdurması öngörülmüştür</w:t>
            </w:r>
            <w:r w:rsidR="0014192C" w:rsidRPr="00A23740">
              <w:rPr>
                <w:color w:val="000000"/>
                <w:szCs w:val="24"/>
              </w:rPr>
              <w:t>.</w:t>
            </w:r>
          </w:p>
          <w:p w:rsidR="005C3738" w:rsidRPr="00A23740" w:rsidRDefault="00983E04" w:rsidP="009431FF">
            <w:pPr>
              <w:tabs>
                <w:tab w:val="left" w:pos="567"/>
              </w:tabs>
              <w:ind w:firstLine="709"/>
              <w:rPr>
                <w:rFonts w:eastAsia="Helvetica"/>
                <w:color w:val="000000"/>
              </w:rPr>
            </w:pPr>
            <w:r w:rsidRPr="00A23740">
              <w:rPr>
                <w:color w:val="000000"/>
                <w:szCs w:val="24"/>
              </w:rPr>
              <w:t>Üçüncü fıkra uyarınca da konkordatonun</w:t>
            </w:r>
            <w:r w:rsidRPr="00A23740">
              <w:rPr>
                <w:rFonts w:eastAsia="Helvetica"/>
                <w:color w:val="000000"/>
              </w:rPr>
              <w:t xml:space="preserve"> tasdiki kararının kesinleşmesi üzerine</w:t>
            </w:r>
            <w:r w:rsidR="006F6A26" w:rsidRPr="00A23740">
              <w:rPr>
                <w:rFonts w:eastAsia="Helvetica"/>
                <w:color w:val="000000"/>
              </w:rPr>
              <w:t>,</w:t>
            </w:r>
            <w:r w:rsidRPr="00A23740">
              <w:rPr>
                <w:rFonts w:eastAsia="Helvetica"/>
                <w:color w:val="000000"/>
              </w:rPr>
              <w:t xml:space="preserve"> iflas idaresinin iflas mahkemesinden iflasın kaldırılmasını istemesi gerekir.</w:t>
            </w:r>
          </w:p>
          <w:p w:rsidR="00317CA1" w:rsidRPr="00A23740" w:rsidRDefault="00317CA1" w:rsidP="00AD7E89">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widowControl w:val="0"/>
              <w:rPr>
                <w:rFonts w:eastAsia="Times New Roman"/>
                <w:i/>
                <w:iCs/>
                <w:color w:val="000000"/>
                <w:szCs w:val="24"/>
                <w:lang w:eastAsia="tr-TR"/>
              </w:rPr>
            </w:pPr>
          </w:p>
          <w:p w:rsidR="00AA5C8C" w:rsidRPr="00A23740" w:rsidRDefault="00AA5C8C" w:rsidP="009431FF">
            <w:pPr>
              <w:widowControl w:val="0"/>
              <w:rPr>
                <w:rFonts w:eastAsia="Times New Roman"/>
                <w:i/>
                <w:iCs/>
                <w:color w:val="000000"/>
                <w:szCs w:val="24"/>
                <w:lang w:eastAsia="tr-TR"/>
              </w:rPr>
            </w:pPr>
          </w:p>
          <w:p w:rsidR="00AA5C8C" w:rsidRPr="00A23740" w:rsidRDefault="00AA5C8C" w:rsidP="009431FF">
            <w:pPr>
              <w:widowControl w:val="0"/>
              <w:rPr>
                <w:rFonts w:eastAsia="Times New Roman"/>
                <w:i/>
                <w:iCs/>
                <w:color w:val="000000"/>
                <w:szCs w:val="24"/>
                <w:lang w:eastAsia="tr-TR"/>
              </w:rPr>
            </w:pPr>
          </w:p>
          <w:p w:rsidR="00AA5C8C" w:rsidRPr="00A23740" w:rsidRDefault="00AA5C8C" w:rsidP="009431FF">
            <w:pPr>
              <w:pStyle w:val="AralkYok"/>
              <w:widowControl w:val="0"/>
              <w:ind w:firstLine="0"/>
              <w:rPr>
                <w:lang w:val="tr-TR" w:eastAsia="tr-TR"/>
              </w:rPr>
            </w:pPr>
            <w:r w:rsidRPr="00A23740">
              <w:rPr>
                <w:lang w:val="tr-TR" w:eastAsia="tr-TR"/>
              </w:rPr>
              <w:t>IV. MALVARLIĞININ TERKİ SURETİYLE KONKORDATO</w:t>
            </w:r>
          </w:p>
          <w:p w:rsidR="00AA5C8C" w:rsidRPr="00A23740" w:rsidRDefault="00AA5C8C" w:rsidP="009431FF">
            <w:pPr>
              <w:widowControl w:val="0"/>
              <w:rPr>
                <w:rFonts w:eastAsia="Times New Roman"/>
                <w:color w:val="000000"/>
                <w:szCs w:val="24"/>
                <w:lang w:eastAsia="tr-TR"/>
              </w:rPr>
            </w:pPr>
            <w:r w:rsidRPr="00A23740">
              <w:rPr>
                <w:rFonts w:eastAsia="Times New Roman"/>
                <w:i/>
                <w:iCs/>
                <w:color w:val="000000"/>
                <w:szCs w:val="24"/>
                <w:lang w:eastAsia="tr-TR"/>
              </w:rPr>
              <w:t>Genel olarak:</w:t>
            </w:r>
          </w:p>
          <w:p w:rsidR="00AA5C8C" w:rsidRPr="00A23740" w:rsidRDefault="00AA5C8C" w:rsidP="009431FF">
            <w:pPr>
              <w:widowControl w:val="0"/>
              <w:rPr>
                <w:rFonts w:eastAsia="Times New Roman"/>
                <w:color w:val="000000"/>
                <w:szCs w:val="24"/>
                <w:lang w:eastAsia="tr-TR"/>
              </w:rPr>
            </w:pPr>
            <w:r w:rsidRPr="00A23740">
              <w:rPr>
                <w:rFonts w:eastAsia="Times New Roman"/>
                <w:b/>
                <w:bCs/>
                <w:color w:val="000000"/>
                <w:szCs w:val="24"/>
                <w:lang w:eastAsia="tr-TR"/>
              </w:rPr>
              <w:t xml:space="preserve">Madde </w:t>
            </w:r>
            <w:r w:rsidRPr="00A23740">
              <w:rPr>
                <w:rStyle w:val="KIRMIZIChar"/>
                <w:rFonts w:eastAsia="Calibri"/>
              </w:rPr>
              <w:t>309/a- (1) (Ek: 17/7/2003-4949/84 md.)</w:t>
            </w:r>
          </w:p>
          <w:p w:rsidR="00AA5C8C" w:rsidRPr="00A23740" w:rsidRDefault="00AA5C8C" w:rsidP="009431FF">
            <w:pPr>
              <w:widowControl w:val="0"/>
              <w:rPr>
                <w:rFonts w:eastAsia="Times New Roman"/>
                <w:color w:val="000000"/>
                <w:szCs w:val="24"/>
                <w:lang w:eastAsia="tr-TR"/>
              </w:rPr>
            </w:pPr>
            <w:r w:rsidRPr="00A23740">
              <w:rPr>
                <w:rFonts w:eastAsia="Times New Roman"/>
                <w:color w:val="000000"/>
                <w:szCs w:val="24"/>
                <w:lang w:eastAsia="tr-TR"/>
              </w:rPr>
              <w:t>Malvarlığının terki suretiyle konkordato ile alacaklılara, borçlunun malvarlığı üzerinde tasarruf etmek veya bu malların tamamını ya da bir kısmını üçüncü kişiye devretmek yetkisi verilir.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Alacaklılar haklarını konkordato tasfiye memurları ve alacaklılar kurulu aracılığıyla kullanırlar. Konkordato tasfiye memurları ve alacaklılar kurulu konkordato talebi hakkında karar veren alacaklılar tarafından seçilir. Konkordato tasfiye memuru asliye ticaret mahkemesinin seçime ilişkin kararı onaylamasından sonra göreve başlar. Konkordato komiseri de tasfiye memuru olabilir.</w:t>
            </w:r>
          </w:p>
          <w:p w:rsidR="00AA5C8C" w:rsidRPr="00A23740" w:rsidRDefault="00AA5C8C" w:rsidP="009431FF">
            <w:pPr>
              <w:pStyle w:val="MaddeBasl"/>
              <w:widowControl w:val="0"/>
              <w:tabs>
                <w:tab w:val="clear" w:pos="567"/>
              </w:tabs>
              <w:spacing w:before="0"/>
              <w:rPr>
                <w:rFonts w:ascii="Times New Roman" w:hAnsi="Times New Roman"/>
                <w:sz w:val="24"/>
                <w:szCs w:val="24"/>
                <w:lang w:val="tr-TR"/>
              </w:rPr>
            </w:pPr>
          </w:p>
        </w:tc>
        <w:tc>
          <w:tcPr>
            <w:tcW w:w="2500" w:type="pct"/>
            <w:shd w:val="clear" w:color="auto" w:fill="FFFFFF"/>
          </w:tcPr>
          <w:p w:rsidR="00AA5C8C" w:rsidRPr="00A23740" w:rsidRDefault="00AA5C8C" w:rsidP="009431FF">
            <w:pPr>
              <w:pStyle w:val="Mavi"/>
              <w:widowControl w:val="0"/>
              <w:jc w:val="center"/>
              <w:rPr>
                <w:lang w:val="tr-TR"/>
              </w:rPr>
            </w:pPr>
            <w:r w:rsidRPr="00A23740">
              <w:rPr>
                <w:lang w:val="tr-TR"/>
              </w:rPr>
              <w:t>DÖRDÜNCÜ BÖLÜM</w:t>
            </w:r>
          </w:p>
          <w:p w:rsidR="00AA5C8C" w:rsidRPr="00A23740" w:rsidRDefault="00AA5C8C" w:rsidP="009431FF">
            <w:pPr>
              <w:pStyle w:val="Mavi"/>
              <w:widowControl w:val="0"/>
              <w:jc w:val="center"/>
              <w:rPr>
                <w:lang w:val="tr-TR"/>
              </w:rPr>
            </w:pPr>
            <w:r w:rsidRPr="00A23740">
              <w:rPr>
                <w:lang w:val="tr-TR"/>
              </w:rPr>
              <w:t>Malvarlığının Terki Suretiyle Konkordato</w:t>
            </w:r>
          </w:p>
          <w:p w:rsidR="00AA5C8C" w:rsidRPr="00A23740" w:rsidRDefault="00AA5C8C" w:rsidP="009431FF">
            <w:pPr>
              <w:pStyle w:val="Mavi"/>
              <w:widowControl w:val="0"/>
              <w:rPr>
                <w:lang w:val="tr-TR"/>
              </w:rPr>
            </w:pPr>
          </w:p>
          <w:p w:rsidR="00AA5C8C" w:rsidRPr="00A23740" w:rsidRDefault="00AA5C8C" w:rsidP="009431FF">
            <w:pPr>
              <w:pStyle w:val="Mavi"/>
              <w:widowControl w:val="0"/>
              <w:rPr>
                <w:lang w:val="tr-TR"/>
              </w:rPr>
            </w:pPr>
          </w:p>
          <w:p w:rsidR="00AA5C8C" w:rsidRPr="00A23740" w:rsidRDefault="00AA5C8C" w:rsidP="009431FF">
            <w:pPr>
              <w:widowControl w:val="0"/>
              <w:rPr>
                <w:rFonts w:eastAsia="Times New Roman"/>
                <w:b/>
                <w:color w:val="000000"/>
                <w:szCs w:val="24"/>
                <w:lang w:eastAsia="tr-TR"/>
              </w:rPr>
            </w:pPr>
            <w:r w:rsidRPr="00A23740">
              <w:rPr>
                <w:rFonts w:eastAsia="Times New Roman"/>
                <w:b/>
                <w:iCs/>
                <w:color w:val="000000"/>
                <w:szCs w:val="24"/>
                <w:lang w:eastAsia="tr-TR"/>
              </w:rPr>
              <w:t>Genel olarak</w:t>
            </w:r>
          </w:p>
          <w:p w:rsidR="00AA5C8C" w:rsidRPr="00A23740" w:rsidRDefault="00AA5C8C" w:rsidP="009431FF">
            <w:pPr>
              <w:widowControl w:val="0"/>
              <w:rPr>
                <w:rFonts w:eastAsia="Times New Roman"/>
                <w:color w:val="000000"/>
                <w:szCs w:val="24"/>
                <w:lang w:eastAsia="tr-TR"/>
              </w:rPr>
            </w:pPr>
            <w:r w:rsidRPr="00A23740">
              <w:rPr>
                <w:rStyle w:val="MaviChar"/>
                <w:lang w:val="tr-TR"/>
              </w:rPr>
              <w:t>MADDE 41</w:t>
            </w:r>
            <w:r w:rsidR="00164036" w:rsidRPr="00A23740">
              <w:rPr>
                <w:rStyle w:val="MaviChar"/>
                <w:lang w:val="tr-TR"/>
              </w:rPr>
              <w:t>8</w:t>
            </w:r>
            <w:r w:rsidRPr="00A23740">
              <w:rPr>
                <w:rStyle w:val="MaviChar"/>
                <w:lang w:val="tr-TR"/>
              </w:rPr>
              <w:t>- (1)</w:t>
            </w:r>
            <w:r w:rsidRPr="00A23740">
              <w:rPr>
                <w:rFonts w:eastAsia="Times New Roman"/>
                <w:color w:val="000000"/>
                <w:szCs w:val="24"/>
                <w:lang w:eastAsia="tr-TR"/>
              </w:rPr>
              <w:t xml:space="preserve"> Malvarlığının terki suretiyle konkordato ile alacaklılara, borçlunun malvarlığı üzerinde tasarruf etmek veya bu malların tamamını ya da bir kısmını üçüncü kişiye devretmek yetkisi verilir.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Alacaklılar haklarını konkordato tasfiye memurları ve alacaklılar kurulu aracılığıyla kullanırlar. Konkordato tasfiye memurları ve alacaklılar kurulu konkordato talebi hakkında karar veren alacaklılar tarafından seçilir. Konkordato tasfiye memuru </w:t>
            </w:r>
            <w:r w:rsidRPr="00075A70">
              <w:rPr>
                <w:rStyle w:val="MaviChar"/>
              </w:rPr>
              <w:t>iflas</w:t>
            </w:r>
            <w:r w:rsidR="00AF7B35">
              <w:rPr>
                <w:rFonts w:eastAsia="Times New Roman"/>
                <w:color w:val="000000"/>
                <w:szCs w:val="24"/>
                <w:lang w:eastAsia="tr-TR"/>
              </w:rPr>
              <w:t xml:space="preserve"> </w:t>
            </w:r>
            <w:r w:rsidRPr="00A23740">
              <w:rPr>
                <w:rFonts w:eastAsia="Times New Roman"/>
                <w:color w:val="000000"/>
                <w:szCs w:val="24"/>
                <w:lang w:eastAsia="tr-TR"/>
              </w:rPr>
              <w:t>mahkemesinin seçime ilişkin kararı onaylamasından sonra göreve başlar. Konkordato komiseri de tasfiye memuru olabilir.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pStyle w:val="Mavi"/>
              <w:widowControl w:val="0"/>
              <w:rPr>
                <w:rFonts w:eastAsia="Times New Roman"/>
                <w:b w:val="0"/>
                <w:color w:val="00CC00"/>
                <w:lang w:eastAsia="tr-TR"/>
              </w:rPr>
            </w:pPr>
            <w:r w:rsidRPr="00A23740">
              <w:t xml:space="preserve">(3) Konkordato komiserleri hakkındaki </w:t>
            </w:r>
            <w:r w:rsidR="00BA6431" w:rsidRPr="00075A70">
              <w:t>379 uncu</w:t>
            </w:r>
            <w:r w:rsidR="00BA6431" w:rsidRPr="00A23740">
              <w:rPr>
                <w:lang w:val="tr-TR"/>
              </w:rPr>
              <w:t xml:space="preserve"> </w:t>
            </w:r>
            <w:r w:rsidRPr="00A23740">
              <w:t>maddenin beşinci fıkrası ile</w:t>
            </w:r>
            <w:r w:rsidR="00BA6431" w:rsidRPr="00A23740">
              <w:rPr>
                <w:lang w:val="tr-TR"/>
              </w:rPr>
              <w:t xml:space="preserve"> </w:t>
            </w:r>
            <w:r w:rsidR="00BA6431" w:rsidRPr="00075A70">
              <w:t>380 ve 381 inci</w:t>
            </w:r>
            <w:r w:rsidR="00BA6431" w:rsidRPr="00A23740">
              <w:rPr>
                <w:lang w:val="tr-TR"/>
              </w:rPr>
              <w:t xml:space="preserve"> </w:t>
            </w:r>
            <w:r w:rsidRPr="00A23740">
              <w:t>madde</w:t>
            </w:r>
            <w:r w:rsidR="00236697" w:rsidRPr="00075A70">
              <w:t>leri</w:t>
            </w:r>
            <w:r w:rsidRPr="00075A70">
              <w:t xml:space="preserve"> </w:t>
            </w:r>
            <w:r w:rsidRPr="00A23740">
              <w:t>tasfiye me</w:t>
            </w:r>
            <w:r w:rsidR="009A7483" w:rsidRPr="00A23740">
              <w:t xml:space="preserve">murları hakkında da uygulanır. </w:t>
            </w:r>
          </w:p>
          <w:p w:rsidR="00AA5C8C" w:rsidRPr="00A23740" w:rsidRDefault="00AA5C8C" w:rsidP="009431FF">
            <w:pPr>
              <w:pStyle w:val="KIRMIZI"/>
              <w:widowControl w:val="0"/>
              <w:rPr>
                <w:lang w:val="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C33C03" w:rsidRPr="00A23740" w:rsidRDefault="00C33C03" w:rsidP="009431FF">
            <w:pPr>
              <w:ind w:firstLine="709"/>
              <w:rPr>
                <w:rFonts w:eastAsia="Times New Roman"/>
                <w:b/>
                <w:iCs/>
                <w:color w:val="000000"/>
                <w:szCs w:val="24"/>
                <w:lang w:eastAsia="tr-TR"/>
              </w:rPr>
            </w:pPr>
          </w:p>
          <w:p w:rsidR="005A3987" w:rsidRPr="00A23740" w:rsidRDefault="00C33C03" w:rsidP="009431FF">
            <w:pPr>
              <w:ind w:firstLine="709"/>
              <w:rPr>
                <w:rFonts w:eastAsia="Times New Roman"/>
                <w:bCs/>
                <w:iCs/>
                <w:color w:val="000000"/>
                <w:szCs w:val="24"/>
                <w:lang w:eastAsia="tr-TR"/>
              </w:rPr>
            </w:pPr>
            <w:r w:rsidRPr="00A23740">
              <w:rPr>
                <w:rFonts w:eastAsia="Times New Roman"/>
                <w:b/>
                <w:iCs/>
                <w:color w:val="000000"/>
                <w:szCs w:val="24"/>
                <w:lang w:eastAsia="tr-TR"/>
              </w:rPr>
              <w:t>MADDE</w:t>
            </w:r>
            <w:r w:rsidR="00AA5C8C" w:rsidRPr="00A23740">
              <w:rPr>
                <w:rFonts w:eastAsia="Times New Roman"/>
                <w:b/>
                <w:iCs/>
                <w:color w:val="000000"/>
                <w:szCs w:val="24"/>
                <w:lang w:eastAsia="tr-TR"/>
              </w:rPr>
              <w:t xml:space="preserve"> 41</w:t>
            </w:r>
            <w:r w:rsidR="00164036" w:rsidRPr="00A23740">
              <w:rPr>
                <w:rFonts w:eastAsia="Times New Roman"/>
                <w:b/>
                <w:iCs/>
                <w:color w:val="000000"/>
                <w:szCs w:val="24"/>
                <w:lang w:eastAsia="tr-TR"/>
              </w:rPr>
              <w:t>8</w:t>
            </w:r>
            <w:r w:rsidR="00AA5C8C" w:rsidRPr="00A23740">
              <w:rPr>
                <w:rFonts w:eastAsia="Times New Roman"/>
                <w:b/>
                <w:iCs/>
                <w:color w:val="000000"/>
                <w:szCs w:val="24"/>
                <w:lang w:eastAsia="tr-TR"/>
              </w:rPr>
              <w:t xml:space="preserve">- </w:t>
            </w:r>
            <w:r w:rsidR="00BF4119" w:rsidRPr="00A23740">
              <w:rPr>
                <w:rFonts w:eastAsia="Times New Roman"/>
                <w:iCs/>
                <w:color w:val="000000"/>
                <w:szCs w:val="24"/>
                <w:lang w:eastAsia="tr-TR"/>
              </w:rPr>
              <w:t>Maddeyle,</w:t>
            </w:r>
            <w:r w:rsidR="00BF4119"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Kanunun Dördüncü Bölümü malvarlığının</w:t>
            </w:r>
            <w:r w:rsidR="00AA5C8C"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terki suretiyle konkordatoya ayrılmıştır.</w:t>
            </w:r>
            <w:r w:rsidR="005A3987" w:rsidRPr="00A23740">
              <w:rPr>
                <w:rFonts w:eastAsia="Times New Roman"/>
                <w:bCs/>
                <w:iCs/>
                <w:color w:val="000000"/>
                <w:szCs w:val="24"/>
                <w:lang w:eastAsia="tr-TR"/>
              </w:rPr>
              <w:t xml:space="preserve"> </w:t>
            </w:r>
            <w:r w:rsidR="005A3987" w:rsidRPr="00075A70">
              <w:t>Madde, 2004 sayılı Kanunun 7101 sayılı Kanunla değişik 309/a maddesine karşılık gelmektedir.</w:t>
            </w:r>
            <w:r w:rsidR="005A3987" w:rsidRPr="00A23740">
              <w:rPr>
                <w:rFonts w:eastAsia="Times New Roman"/>
                <w:bCs/>
                <w:iCs/>
                <w:color w:val="000000"/>
                <w:szCs w:val="24"/>
                <w:lang w:eastAsia="tr-TR"/>
              </w:rPr>
              <w:t xml:space="preserve"> </w:t>
            </w:r>
          </w:p>
          <w:p w:rsidR="004E179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 xml:space="preserve"> Malvarlığının terki suretiyle konkordato, hukukumuzda ayrı bir konkordat</w:t>
            </w:r>
            <w:r w:rsidR="00BF4119" w:rsidRPr="00A23740">
              <w:rPr>
                <w:rFonts w:eastAsia="Times New Roman"/>
                <w:bCs/>
                <w:iCs/>
                <w:color w:val="000000"/>
                <w:szCs w:val="24"/>
                <w:lang w:eastAsia="tr-TR"/>
              </w:rPr>
              <w:t xml:space="preserve">o çeşidi olarak ilk defa 4949 sayılı Kanunla </w:t>
            </w:r>
            <w:r w:rsidRPr="00A23740">
              <w:rPr>
                <w:rFonts w:eastAsia="Times New Roman"/>
                <w:bCs/>
                <w:iCs/>
                <w:color w:val="000000"/>
                <w:szCs w:val="24"/>
                <w:lang w:eastAsia="tr-TR"/>
              </w:rPr>
              <w:t>düzenlenmiştir. Kaynak İsviçre'de de 1949 yılına kadar malvarlığının terki suretiyle konkordato kanunda yer almamaktaydı. Doktrin ve içtihatlar, konkordato ve ifl</w:t>
            </w:r>
            <w:r w:rsidR="00656C77" w:rsidRPr="00A23740">
              <w:rPr>
                <w:rFonts w:eastAsia="Times New Roman"/>
                <w:bCs/>
                <w:iCs/>
                <w:color w:val="000000"/>
                <w:szCs w:val="24"/>
                <w:lang w:eastAsia="tr-TR"/>
              </w:rPr>
              <w:t>a</w:t>
            </w:r>
            <w:r w:rsidRPr="00A23740">
              <w:rPr>
                <w:rFonts w:eastAsia="Times New Roman"/>
                <w:bCs/>
                <w:iCs/>
                <w:color w:val="000000"/>
                <w:szCs w:val="24"/>
                <w:lang w:eastAsia="tr-TR"/>
              </w:rPr>
              <w:t>s hakkındaki kanun hükümlerini kıyasen uygulayarak, malvarlığının terki suretiyle konkordatonun caiz olduğ</w:t>
            </w:r>
            <w:r w:rsidR="004E179C" w:rsidRPr="00A23740">
              <w:rPr>
                <w:rFonts w:eastAsia="Times New Roman"/>
                <w:bCs/>
                <w:iCs/>
                <w:color w:val="000000"/>
                <w:szCs w:val="24"/>
                <w:lang w:eastAsia="tr-TR"/>
              </w:rPr>
              <w:t>u sonucuna varmıştı. Nihayet 28/9/</w:t>
            </w:r>
            <w:r w:rsidRPr="00A23740">
              <w:rPr>
                <w:rFonts w:eastAsia="Times New Roman"/>
                <w:bCs/>
                <w:iCs/>
                <w:color w:val="000000"/>
                <w:szCs w:val="24"/>
                <w:lang w:eastAsia="tr-TR"/>
              </w:rPr>
              <w:t xml:space="preserve">1949 tarihli Kanunla, </w:t>
            </w:r>
            <w:r w:rsidR="00887B3A" w:rsidRPr="00075A70">
              <w:t>İsviçre’nin Borç İçin Takip ve İflas Hakkında Federal Kanununa</w:t>
            </w:r>
            <w:r w:rsidRPr="00A23740">
              <w:rPr>
                <w:rFonts w:eastAsia="Times New Roman"/>
                <w:bCs/>
                <w:iCs/>
                <w:color w:val="000000"/>
                <w:szCs w:val="24"/>
                <w:lang w:eastAsia="tr-TR"/>
              </w:rPr>
              <w:t xml:space="preserve"> bu konuda açık h</w:t>
            </w:r>
            <w:r w:rsidR="004E179C" w:rsidRPr="00A23740">
              <w:rPr>
                <w:rFonts w:eastAsia="Times New Roman"/>
                <w:bCs/>
                <w:iCs/>
                <w:color w:val="000000"/>
                <w:szCs w:val="24"/>
                <w:lang w:eastAsia="tr-TR"/>
              </w:rPr>
              <w:t>ükümler konulmuş; bu hükümler 1/1/</w:t>
            </w:r>
            <w:r w:rsidRPr="00A23740">
              <w:rPr>
                <w:rFonts w:eastAsia="Times New Roman"/>
                <w:bCs/>
                <w:iCs/>
                <w:color w:val="000000"/>
                <w:szCs w:val="24"/>
                <w:lang w:eastAsia="tr-TR"/>
              </w:rPr>
              <w:t xml:space="preserve">1997 tarihinde yürürlüğe giren bir kanunla kısmen tadil edilerek geliştirilmiştir. Malvarlığının terki suretiyle konkordatoda, borçlu, konkordato talebi ile alacaklılarına bir miktar para ödemeyi teklif etmez; bilakis malvarlığını alacaklılarına terkederek bu malvarlığının alacaklılar tarafından tasfiye edilmesini veya malvarlığının kısmen veya tamamen üçüncü kişilere devrini teklif eder. Konkordato teklifi alacaklılarca kabul edilip konkordato mahkemece tasdik edilince, borçlunun malvarlığı üzerindeki tasarruf yetkisi sona erer. Bundan sonra, borçlunun malvarlığı üzerinde tasarrufta bulunmak yetkisi alacaklılara geçer. Alacaklılar, bu tasarruf yetkisini seçecekleri tasfiye memurları vasıtası ile kullanırlar. Tasfiye memurları, borçlunun mallarını </w:t>
            </w:r>
            <w:r w:rsidR="00656C77" w:rsidRPr="00A23740">
              <w:rPr>
                <w:rFonts w:eastAsia="Times New Roman"/>
                <w:bCs/>
                <w:iCs/>
                <w:color w:val="000000"/>
                <w:szCs w:val="24"/>
                <w:lang w:eastAsia="tr-TR"/>
              </w:rPr>
              <w:t xml:space="preserve">iflas </w:t>
            </w:r>
            <w:r w:rsidRPr="00A23740">
              <w:rPr>
                <w:rFonts w:eastAsia="Times New Roman"/>
                <w:bCs/>
                <w:iCs/>
                <w:color w:val="000000"/>
                <w:szCs w:val="24"/>
                <w:lang w:eastAsia="tr-TR"/>
              </w:rPr>
              <w:t>tasfiyesine benzer bir şekilde tasfiye eder ve elde edilen parayı alacaklılara dağıtır. Malvarlığının terki suretiyle konkordatonun bir diğer şekli de borçlunun malvarlığının tamamını veya bir kısmını, alacaklılara genellikle belli bir vadeye yayılan taksitler h</w:t>
            </w:r>
            <w:r w:rsidR="00C2196C" w:rsidRPr="00A23740">
              <w:rPr>
                <w:rFonts w:eastAsia="Times New Roman"/>
                <w:bCs/>
                <w:iCs/>
                <w:color w:val="000000"/>
                <w:szCs w:val="24"/>
                <w:lang w:eastAsia="tr-TR"/>
              </w:rPr>
              <w:t>â</w:t>
            </w:r>
            <w:r w:rsidRPr="00A23740">
              <w:rPr>
                <w:rFonts w:eastAsia="Times New Roman"/>
                <w:bCs/>
                <w:iCs/>
                <w:color w:val="000000"/>
                <w:szCs w:val="24"/>
                <w:lang w:eastAsia="tr-TR"/>
              </w:rPr>
              <w:t xml:space="preserve">linde ödeme yapılması mukabilinde bir üçüncü kişiye devretmesidir. Fakat, malvarlığının alacaklılara terki ile üçüncü kişiye devri arasında, durumun özelliklerine göre yürürlüğe sokulabilecek çeşitli seçenekler mevcuttur; örneğin borçlunun malvarlığının kurulacak bir şirkete devredilerek alacaklılara bu şirketin hisselerinin verilmesi gibi. İflâsın ağır işleyen prosedüründen alacaklıları kurtardığı için malvarlığının terki suretiyle konkordato alacaklıların lehinedir. Bu tasfiye yöntemi borçluyu </w:t>
            </w:r>
            <w:r w:rsidR="00656C77" w:rsidRPr="00A23740">
              <w:rPr>
                <w:rFonts w:eastAsia="Times New Roman"/>
                <w:bCs/>
                <w:iCs/>
                <w:color w:val="000000"/>
                <w:szCs w:val="24"/>
                <w:lang w:eastAsia="tr-TR"/>
              </w:rPr>
              <w:t xml:space="preserve">iflas </w:t>
            </w:r>
            <w:r w:rsidRPr="00A23740">
              <w:rPr>
                <w:rFonts w:eastAsia="Times New Roman"/>
                <w:bCs/>
                <w:iCs/>
                <w:color w:val="000000"/>
                <w:szCs w:val="24"/>
                <w:lang w:eastAsia="tr-TR"/>
              </w:rPr>
              <w:t xml:space="preserve">etmekten ve dolayısıyla müflis olmaktan kurtardığı için borçlunun da lehinedir. </w:t>
            </w:r>
          </w:p>
          <w:p w:rsidR="004E179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 xml:space="preserve">Ancak, </w:t>
            </w:r>
            <w:r w:rsidR="00656C77" w:rsidRPr="00A23740">
              <w:rPr>
                <w:rFonts w:eastAsia="Times New Roman"/>
                <w:bCs/>
                <w:iCs/>
                <w:color w:val="000000"/>
                <w:szCs w:val="24"/>
                <w:lang w:eastAsia="tr-TR"/>
              </w:rPr>
              <w:t xml:space="preserve">iflas </w:t>
            </w:r>
            <w:r w:rsidRPr="00A23740">
              <w:rPr>
                <w:rFonts w:eastAsia="Times New Roman"/>
                <w:bCs/>
                <w:iCs/>
                <w:color w:val="000000"/>
                <w:szCs w:val="24"/>
                <w:lang w:eastAsia="tr-TR"/>
              </w:rPr>
              <w:t xml:space="preserve">mahkemesinin, borçlunun gerçekten himayeye layık olup olmadığını esaslı bir şekilde inceleyerek bu tasfiye yönteminin </w:t>
            </w:r>
            <w:r w:rsidR="00656C77" w:rsidRPr="00A23740">
              <w:rPr>
                <w:rFonts w:eastAsia="Times New Roman"/>
                <w:bCs/>
                <w:iCs/>
                <w:color w:val="000000"/>
                <w:szCs w:val="24"/>
                <w:lang w:eastAsia="tr-TR"/>
              </w:rPr>
              <w:t xml:space="preserve">iflasa </w:t>
            </w:r>
            <w:r w:rsidRPr="00A23740">
              <w:rPr>
                <w:rFonts w:eastAsia="Times New Roman"/>
                <w:bCs/>
                <w:iCs/>
                <w:color w:val="000000"/>
                <w:szCs w:val="24"/>
                <w:lang w:eastAsia="tr-TR"/>
              </w:rPr>
              <w:t>t</w:t>
            </w:r>
            <w:r w:rsidR="00D81869" w:rsidRPr="00A23740">
              <w:rPr>
                <w:rFonts w:eastAsia="Times New Roman"/>
                <w:bCs/>
                <w:iCs/>
                <w:color w:val="000000"/>
                <w:szCs w:val="24"/>
                <w:lang w:eastAsia="tr-TR"/>
              </w:rPr>
              <w:t>a</w:t>
            </w:r>
            <w:r w:rsidRPr="00A23740">
              <w:rPr>
                <w:rFonts w:eastAsia="Times New Roman"/>
                <w:bCs/>
                <w:iCs/>
                <w:color w:val="000000"/>
                <w:szCs w:val="24"/>
                <w:lang w:eastAsia="tr-TR"/>
              </w:rPr>
              <w:t xml:space="preserve">bi bir borçlu için </w:t>
            </w:r>
            <w:r w:rsidR="00656C77" w:rsidRPr="00A23740">
              <w:rPr>
                <w:rFonts w:eastAsia="Times New Roman"/>
                <w:bCs/>
                <w:iCs/>
                <w:color w:val="000000"/>
                <w:szCs w:val="24"/>
                <w:lang w:eastAsia="tr-TR"/>
              </w:rPr>
              <w:t>iflas</w:t>
            </w:r>
            <w:r w:rsidRPr="00A23740">
              <w:rPr>
                <w:rFonts w:eastAsia="Times New Roman"/>
                <w:bCs/>
                <w:iCs/>
                <w:color w:val="000000"/>
                <w:szCs w:val="24"/>
                <w:lang w:eastAsia="tr-TR"/>
              </w:rPr>
              <w:t>ı önleyici bir araç h</w:t>
            </w:r>
            <w:r w:rsidR="00C2196C" w:rsidRPr="00A23740">
              <w:rPr>
                <w:rFonts w:eastAsia="Times New Roman"/>
                <w:bCs/>
                <w:iCs/>
                <w:color w:val="000000"/>
                <w:szCs w:val="24"/>
                <w:lang w:eastAsia="tr-TR"/>
              </w:rPr>
              <w:t>â</w:t>
            </w:r>
            <w:r w:rsidRPr="00A23740">
              <w:rPr>
                <w:rFonts w:eastAsia="Times New Roman"/>
                <w:bCs/>
                <w:iCs/>
                <w:color w:val="000000"/>
                <w:szCs w:val="24"/>
                <w:lang w:eastAsia="tr-TR"/>
              </w:rPr>
              <w:t>line gelmemesine dikkat etmesi gerekir. Malvarlığının terki suretiyle konkordato, borçlu, özellikle, tasfiyesi uzun zaman isteyen ve paraya çevrilmesi zor olan mallara sahip ise tercih edilecek bir tasfiye şeklidir. Malvarlığının terki suretiyle konkordatoda tasfiye tamamen alacaklılara ve onların seçeceği ehil konkordato tasfiye memurlarına bırakılmış olacağından, alacaklılar borçlunun malvarlığını en uygun şartlarla paraya çevirip alacaklarını mümkün olduğu kadar yüksek bir oranda tahsil edebilmek için gayret göstereceklerdir. Oysa, bilindiği üzere,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sın tasfiyesinde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 alacaklıları tasfiyeye yabancılaşmakta, onun için müflisin malları çok kere düşük fiyatla satılmakta ve bundan hem alacaklılar hem de müflis zarar görmektedir. İşte bu nedenlerle ve İsviçre'de genellikle olumlu sonuçlar verdiği düşünülen uygulaması da gözönüne alınarak, malvarlığının terki suretiyle konkordatonun İcra ve İflâs Kanununa alınması kabul edilmiştir. Buna ilişkin hükümler esas itibarıyla tasfiye</w:t>
            </w:r>
            <w:r w:rsidR="00F65038" w:rsidRPr="00A23740">
              <w:rPr>
                <w:rFonts w:eastAsia="Times New Roman"/>
                <w:bCs/>
                <w:iCs/>
                <w:color w:val="000000"/>
                <w:szCs w:val="24"/>
                <w:lang w:eastAsia="tr-TR"/>
              </w:rPr>
              <w:t>yle</w:t>
            </w:r>
            <w:r w:rsidRPr="00A23740">
              <w:rPr>
                <w:rFonts w:eastAsia="Times New Roman"/>
                <w:bCs/>
                <w:iCs/>
                <w:color w:val="000000"/>
                <w:szCs w:val="24"/>
                <w:lang w:eastAsia="tr-TR"/>
              </w:rPr>
              <w:t xml:space="preserve"> ilgili hükümler olup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staki hükümlerle paralellik arz etmektedir. Konkordato talebinden konkordatonun tasdikine kadarki safhada, kural olarak ve malvarlığının terki suretiyle konkordatoya ilişkin hükümlerle ve bu kurumun temelindeki düşünce</w:t>
            </w:r>
            <w:r w:rsidR="00F65038" w:rsidRPr="00A23740">
              <w:rPr>
                <w:rFonts w:eastAsia="Times New Roman"/>
                <w:bCs/>
                <w:iCs/>
                <w:color w:val="000000"/>
                <w:szCs w:val="24"/>
                <w:lang w:eastAsia="tr-TR"/>
              </w:rPr>
              <w:t>yle</w:t>
            </w:r>
            <w:r w:rsidRPr="00A23740">
              <w:rPr>
                <w:rFonts w:eastAsia="Times New Roman"/>
                <w:bCs/>
                <w:iCs/>
                <w:color w:val="000000"/>
                <w:szCs w:val="24"/>
                <w:lang w:eastAsia="tr-TR"/>
              </w:rPr>
              <w:t xml:space="preserve"> çelişmediği ölçüde, adi konkordato hakkındaki hükümler uygulanır. Fakat, belirtmek gerekir ki, malvarlığının terki suretiyle konkordatonun özellikle söz edilen ilk türü, ismine rağmen, adi konkordatodan ziyade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sa yaklaşmaktadır. Çünkü kurumun temelindeki düşünce, borçlunun mali durumunu düzeltmek değil, onun malvarlığını en avantajlı şekilde paraya çevirerek alacaklıların alacaklarına kavuşmalarını sağlamaktır. Buna karşılık alacaklılar veya üçüncü bir kişi tarafından borçlunun malvarlığının aktiflerinin kurulacak bir şirkete devredilmesi ve alacaklıların para</w:t>
            </w:r>
            <w:r w:rsidR="00F65038" w:rsidRPr="00A23740">
              <w:rPr>
                <w:rFonts w:eastAsia="Times New Roman"/>
                <w:bCs/>
                <w:iCs/>
                <w:color w:val="000000"/>
                <w:szCs w:val="24"/>
                <w:lang w:eastAsia="tr-TR"/>
              </w:rPr>
              <w:t>yla</w:t>
            </w:r>
            <w:r w:rsidRPr="00A23740">
              <w:rPr>
                <w:rFonts w:eastAsia="Times New Roman"/>
                <w:bCs/>
                <w:iCs/>
                <w:color w:val="000000"/>
                <w:szCs w:val="24"/>
                <w:lang w:eastAsia="tr-TR"/>
              </w:rPr>
              <w:t xml:space="preserve"> değil</w:t>
            </w:r>
            <w:r w:rsidR="00F65038" w:rsidRPr="00A23740">
              <w:rPr>
                <w:rFonts w:eastAsia="Times New Roman"/>
                <w:bCs/>
                <w:iCs/>
                <w:color w:val="000000"/>
                <w:szCs w:val="24"/>
                <w:lang w:eastAsia="tr-TR"/>
              </w:rPr>
              <w:t>,</w:t>
            </w:r>
            <w:r w:rsidRPr="00A23740">
              <w:rPr>
                <w:rFonts w:eastAsia="Times New Roman"/>
                <w:bCs/>
                <w:iCs/>
                <w:color w:val="000000"/>
                <w:szCs w:val="24"/>
                <w:lang w:eastAsia="tr-TR"/>
              </w:rPr>
              <w:t xml:space="preserve"> hisse senedi</w:t>
            </w:r>
            <w:r w:rsidR="00F65038" w:rsidRPr="00A23740">
              <w:rPr>
                <w:rFonts w:eastAsia="Times New Roman"/>
                <w:bCs/>
                <w:iCs/>
                <w:color w:val="000000"/>
                <w:szCs w:val="24"/>
                <w:lang w:eastAsia="tr-TR"/>
              </w:rPr>
              <w:t>yle</w:t>
            </w:r>
            <w:r w:rsidRPr="00A23740">
              <w:rPr>
                <w:rFonts w:eastAsia="Times New Roman"/>
                <w:bCs/>
                <w:iCs/>
                <w:color w:val="000000"/>
                <w:szCs w:val="24"/>
                <w:lang w:eastAsia="tr-TR"/>
              </w:rPr>
              <w:t xml:space="preserve"> tatmin edilmesi h</w:t>
            </w:r>
            <w:r w:rsidR="00C2196C" w:rsidRPr="00A23740">
              <w:rPr>
                <w:rFonts w:eastAsia="Times New Roman"/>
                <w:bCs/>
                <w:iCs/>
                <w:color w:val="000000"/>
                <w:szCs w:val="24"/>
                <w:lang w:eastAsia="tr-TR"/>
              </w:rPr>
              <w:t>â</w:t>
            </w:r>
            <w:r w:rsidRPr="00A23740">
              <w:rPr>
                <w:rFonts w:eastAsia="Times New Roman"/>
                <w:bCs/>
                <w:iCs/>
                <w:color w:val="000000"/>
                <w:szCs w:val="24"/>
                <w:lang w:eastAsia="tr-TR"/>
              </w:rPr>
              <w:t>linde ne bir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 ne de tipik bir adi konkordato vardır. Hatta burada takip hukukunda borçlunun para</w:t>
            </w:r>
            <w:r w:rsidR="00F65038" w:rsidRPr="00A23740">
              <w:rPr>
                <w:rFonts w:eastAsia="Times New Roman"/>
                <w:bCs/>
                <w:iCs/>
                <w:color w:val="000000"/>
                <w:szCs w:val="24"/>
                <w:lang w:eastAsia="tr-TR"/>
              </w:rPr>
              <w:t>yla</w:t>
            </w:r>
            <w:r w:rsidRPr="00A23740">
              <w:rPr>
                <w:rFonts w:eastAsia="Times New Roman"/>
                <w:bCs/>
                <w:iCs/>
                <w:color w:val="000000"/>
                <w:szCs w:val="24"/>
                <w:lang w:eastAsia="tr-TR"/>
              </w:rPr>
              <w:t xml:space="preserve"> tatmin edilmesi kuralının bir istisnasının ortaya çıktığı görülür. Çünkü alacaklılar para ile değil</w:t>
            </w:r>
            <w:r w:rsidR="00F65038" w:rsidRPr="00A23740">
              <w:rPr>
                <w:rFonts w:eastAsia="Times New Roman"/>
                <w:bCs/>
                <w:iCs/>
                <w:color w:val="000000"/>
                <w:szCs w:val="24"/>
                <w:lang w:eastAsia="tr-TR"/>
              </w:rPr>
              <w:t>,</w:t>
            </w:r>
            <w:r w:rsidRPr="00A23740">
              <w:rPr>
                <w:rFonts w:eastAsia="Times New Roman"/>
                <w:bCs/>
                <w:iCs/>
                <w:color w:val="000000"/>
                <w:szCs w:val="24"/>
                <w:lang w:eastAsia="tr-TR"/>
              </w:rPr>
              <w:t xml:space="preserve"> hisse senedi veya ortaklık hakları</w:t>
            </w:r>
            <w:r w:rsidR="00F65038" w:rsidRPr="00A23740">
              <w:rPr>
                <w:rFonts w:eastAsia="Times New Roman"/>
                <w:bCs/>
                <w:iCs/>
                <w:color w:val="000000"/>
                <w:szCs w:val="24"/>
                <w:lang w:eastAsia="tr-TR"/>
              </w:rPr>
              <w:t>yla</w:t>
            </w:r>
            <w:r w:rsidRPr="00A23740">
              <w:rPr>
                <w:rFonts w:eastAsia="Times New Roman"/>
                <w:bCs/>
                <w:iCs/>
                <w:color w:val="000000"/>
                <w:szCs w:val="24"/>
                <w:lang w:eastAsia="tr-TR"/>
              </w:rPr>
              <w:t xml:space="preserve"> tatmin edilirler.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Öte yandan malvarlığının terki suretiyle konkordato ile adi konkordatonun bir araya gelmesi de mümkündür. Özellikle borçlunun belli bir asgari ödeme yapmayı teklif edip aynı zamanda malvarlığının bir kısmını alacaklılarına terk etmesinde durum böyledir. Malvarlığının terki suretiyle konkordato bazı bakımlardan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sa benzemekle birlikte, iki temel noktada ondan ayrılmaktadır. Bir kere, malvarlığının terki suretiyle konkordato prosedürü, içerdiği özel ve akdi unsur nedeniyle,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 xml:space="preserve">s prosedürüne göre daha esnektir ve alacaklıların iradesi büyük ölçüde belirleyicidir. Çünkü borçlunun teklif ettiği projenin alacaklılar </w:t>
            </w:r>
            <w:r w:rsidR="00F65038" w:rsidRPr="00A23740">
              <w:rPr>
                <w:rFonts w:eastAsia="Times New Roman"/>
                <w:bCs/>
                <w:iCs/>
                <w:color w:val="000000"/>
                <w:szCs w:val="24"/>
                <w:lang w:eastAsia="tr-TR"/>
              </w:rPr>
              <w:t xml:space="preserve">tarafından </w:t>
            </w:r>
            <w:r w:rsidRPr="00A23740">
              <w:rPr>
                <w:rFonts w:eastAsia="Times New Roman"/>
                <w:bCs/>
                <w:iCs/>
                <w:color w:val="000000"/>
                <w:szCs w:val="24"/>
                <w:lang w:eastAsia="tr-TR"/>
              </w:rPr>
              <w:t>kabul edilmesi gerekir. Aksi h</w:t>
            </w:r>
            <w:r w:rsidR="00C2196C" w:rsidRPr="00A23740">
              <w:rPr>
                <w:rFonts w:eastAsia="Times New Roman"/>
                <w:bCs/>
                <w:iCs/>
                <w:color w:val="000000"/>
                <w:szCs w:val="24"/>
                <w:lang w:eastAsia="tr-TR"/>
              </w:rPr>
              <w:t>â</w:t>
            </w:r>
            <w:r w:rsidRPr="00A23740">
              <w:rPr>
                <w:rFonts w:eastAsia="Times New Roman"/>
                <w:bCs/>
                <w:iCs/>
                <w:color w:val="000000"/>
                <w:szCs w:val="24"/>
                <w:lang w:eastAsia="tr-TR"/>
              </w:rPr>
              <w:t>lde mahkeme, konkordatoyu tasdik edemez. Buna karşılık Kanunda belirtilen şartların gerçekleşmesi üzerine mahkeme, alacaklıların iradesinden bağımsız olarak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 kararı verir. Sonra, malvarlığını alacaklılarına terk eden borçlu, malvarlığı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 prosedürü çerçevesinde tasfiye edilen borçlunun aksine, kural olarak borçlarından kurtulmaktadır.</w:t>
            </w:r>
          </w:p>
          <w:p w:rsidR="00AA5C8C" w:rsidRPr="00A23740" w:rsidRDefault="00AA5C8C" w:rsidP="006C4AA3">
            <w:pPr>
              <w:rPr>
                <w:rFonts w:eastAsia="Times New Roman"/>
                <w:bCs/>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widowControl w:val="0"/>
              <w:rPr>
                <w:rFonts w:eastAsia="Times New Roman"/>
                <w:color w:val="000000"/>
                <w:szCs w:val="24"/>
                <w:lang w:eastAsia="tr-TR"/>
              </w:rPr>
            </w:pPr>
            <w:r w:rsidRPr="00A23740">
              <w:rPr>
                <w:rFonts w:eastAsia="Times New Roman"/>
                <w:i/>
                <w:iCs/>
                <w:color w:val="000000"/>
                <w:szCs w:val="24"/>
                <w:lang w:eastAsia="tr-TR"/>
              </w:rPr>
              <w:t>Zorunlu içeriği:</w:t>
            </w:r>
          </w:p>
          <w:p w:rsidR="00AA5C8C" w:rsidRPr="00A23740" w:rsidRDefault="00AA5C8C" w:rsidP="009431FF">
            <w:pPr>
              <w:widowControl w:val="0"/>
              <w:rPr>
                <w:rStyle w:val="KIRMIZIChar"/>
                <w:rFonts w:eastAsia="Calibri"/>
              </w:rPr>
            </w:pPr>
            <w:r w:rsidRPr="00A23740">
              <w:rPr>
                <w:rFonts w:eastAsia="Times New Roman"/>
                <w:b/>
                <w:bCs/>
                <w:color w:val="000000"/>
                <w:szCs w:val="24"/>
                <w:lang w:eastAsia="tr-TR"/>
              </w:rPr>
              <w:t xml:space="preserve">Madde </w:t>
            </w:r>
            <w:r w:rsidRPr="00A23740">
              <w:rPr>
                <w:rStyle w:val="KIRMIZIChar"/>
                <w:rFonts w:eastAsia="Calibri"/>
              </w:rPr>
              <w:t>309/b-  (1) (Ek: 17/7/2003-4949/84 md.)</w:t>
            </w:r>
          </w:p>
          <w:p w:rsidR="00AA5C8C" w:rsidRPr="00A23740" w:rsidRDefault="00AA5C8C" w:rsidP="009431FF">
            <w:pPr>
              <w:widowControl w:val="0"/>
              <w:rPr>
                <w:rFonts w:eastAsia="Times New Roman"/>
                <w:color w:val="000000"/>
                <w:szCs w:val="24"/>
                <w:lang w:eastAsia="tr-TR"/>
              </w:rPr>
            </w:pPr>
            <w:r w:rsidRPr="00A23740">
              <w:rPr>
                <w:rFonts w:eastAsia="Times New Roman"/>
                <w:color w:val="000000"/>
                <w:szCs w:val="24"/>
                <w:lang w:eastAsia="tr-TR"/>
              </w:rPr>
              <w:t>Malvarlığının terki suretiyle konkordato aşağıdaki hususları içerir:</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1-</w:t>
            </w:r>
            <w:r w:rsidRPr="00A23740">
              <w:rPr>
                <w:rFonts w:eastAsia="Times New Roman"/>
                <w:color w:val="000000"/>
                <w:szCs w:val="24"/>
                <w:lang w:eastAsia="tr-TR"/>
              </w:rPr>
              <w:t xml:space="preserve"> Alacaklıların malların tasfiyesi ya da üçüncü kişiye devri suretiyle karşılanamayan alacaklarından feragat edip etmedikleri, feragat etmiyorlarsa borçlunun sorumluluğunun ne olduğu.</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Konkordato tasfiye memurları ile alacaklılar kurulu üyelerinin belirlenmesi ve bunların yetkileri.</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3-</w:t>
            </w:r>
            <w:r w:rsidRPr="00A23740">
              <w:rPr>
                <w:rFonts w:eastAsia="Times New Roman"/>
                <w:color w:val="000000"/>
                <w:szCs w:val="24"/>
                <w:lang w:eastAsia="tr-TR"/>
              </w:rPr>
              <w:t xml:space="preserve"> Kanun tarafından belirlenmemişse, malların tasfiye usulü ve eğer mallar üçüncü kişiye devredilecekse, bu devrin şekli ve teminatlandırılması.</w:t>
            </w:r>
          </w:p>
          <w:p w:rsidR="00A906CE" w:rsidRPr="00A23740" w:rsidRDefault="00A906CE" w:rsidP="009431FF">
            <w:pPr>
              <w:widowControl w:val="0"/>
              <w:rPr>
                <w:rStyle w:val="KIRMIZIChar"/>
                <w:rFonts w:eastAsia="Calibri"/>
              </w:rPr>
            </w:pPr>
          </w:p>
          <w:p w:rsidR="00AA5C8C" w:rsidRPr="00A23740" w:rsidRDefault="00AA5C8C" w:rsidP="009431FF">
            <w:pPr>
              <w:widowControl w:val="0"/>
              <w:rPr>
                <w:rStyle w:val="KIRMIZIChar"/>
                <w:rFonts w:eastAsia="Calibri"/>
              </w:rPr>
            </w:pPr>
            <w:r w:rsidRPr="00A23740">
              <w:rPr>
                <w:rStyle w:val="KIRMIZIChar"/>
                <w:rFonts w:eastAsia="Calibri"/>
              </w:rPr>
              <w:t>4-</w:t>
            </w:r>
            <w:r w:rsidRPr="00A23740">
              <w:rPr>
                <w:rFonts w:eastAsia="Times New Roman"/>
                <w:color w:val="000000"/>
                <w:szCs w:val="24"/>
                <w:lang w:eastAsia="tr-TR"/>
              </w:rPr>
              <w:t> </w:t>
            </w:r>
            <w:r w:rsidRPr="00A23740">
              <w:rPr>
                <w:rStyle w:val="KIRMIZIChar"/>
                <w:rFonts w:eastAsia="Calibri"/>
              </w:rPr>
              <w:t>(Değişik: 28/2/2018-7101/41 md.) Alacaklılara yönelik ilânların ve ilgili yerlere bildirimlerin 288 inci madde uyarınca yapılacağı.</w:t>
            </w:r>
          </w:p>
          <w:p w:rsidR="00AA5C8C" w:rsidRDefault="00AA5C8C" w:rsidP="009431FF">
            <w:pPr>
              <w:widowControl w:val="0"/>
              <w:rPr>
                <w:rFonts w:eastAsia="Times New Roman"/>
                <w:color w:val="000000"/>
                <w:szCs w:val="24"/>
                <w:lang w:eastAsia="tr-TR"/>
              </w:rPr>
            </w:pPr>
          </w:p>
          <w:p w:rsidR="00AF7B35" w:rsidRPr="00A23740" w:rsidRDefault="00AF7B35"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Konkordato kapsamı dışında kalan mallar varsa bunlar açıkça belirtilir.</w:t>
            </w:r>
          </w:p>
          <w:p w:rsidR="00AA5C8C" w:rsidRPr="00A23740" w:rsidRDefault="00AA5C8C" w:rsidP="009431FF">
            <w:pPr>
              <w:widowControl w:val="0"/>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widowControl w:val="0"/>
              <w:rPr>
                <w:rFonts w:eastAsia="Times New Roman"/>
                <w:b/>
                <w:color w:val="000000"/>
                <w:szCs w:val="24"/>
                <w:lang w:eastAsia="tr-TR"/>
              </w:rPr>
            </w:pPr>
            <w:r w:rsidRPr="00A23740">
              <w:rPr>
                <w:rFonts w:eastAsia="Times New Roman"/>
                <w:b/>
                <w:iCs/>
                <w:color w:val="000000"/>
                <w:szCs w:val="24"/>
                <w:lang w:eastAsia="tr-TR"/>
              </w:rPr>
              <w:t>Zorunlu içeriği</w:t>
            </w:r>
          </w:p>
          <w:p w:rsidR="00AA5C8C" w:rsidRPr="00A23740" w:rsidRDefault="00AA5C8C" w:rsidP="009431FF">
            <w:pPr>
              <w:widowControl w:val="0"/>
              <w:rPr>
                <w:rFonts w:eastAsia="Times New Roman"/>
                <w:color w:val="000000"/>
                <w:szCs w:val="24"/>
                <w:lang w:eastAsia="tr-TR"/>
              </w:rPr>
            </w:pPr>
            <w:r w:rsidRPr="00A23740">
              <w:rPr>
                <w:rStyle w:val="MaviChar"/>
                <w:lang w:val="tr-TR"/>
              </w:rPr>
              <w:t>MADDE 41</w:t>
            </w:r>
            <w:r w:rsidR="00164036" w:rsidRPr="00A23740">
              <w:rPr>
                <w:rStyle w:val="MaviChar"/>
                <w:lang w:val="tr-TR"/>
              </w:rPr>
              <w:t>9</w:t>
            </w:r>
            <w:r w:rsidRPr="00A23740">
              <w:rPr>
                <w:rStyle w:val="MaviChar"/>
                <w:lang w:val="tr-TR"/>
              </w:rPr>
              <w:t>- (1)</w:t>
            </w:r>
            <w:r w:rsidRPr="00A23740">
              <w:rPr>
                <w:rFonts w:eastAsia="Times New Roman"/>
                <w:color w:val="000000"/>
                <w:szCs w:val="24"/>
                <w:lang w:eastAsia="tr-TR"/>
              </w:rPr>
              <w:t xml:space="preserve"> Malvarlığının terki suretiyle konkordato aşağıdaki hususları içerir:</w:t>
            </w:r>
          </w:p>
          <w:p w:rsidR="00AA5C8C" w:rsidRPr="00A23740" w:rsidRDefault="00AA5C8C" w:rsidP="009431FF">
            <w:pPr>
              <w:widowControl w:val="0"/>
              <w:rPr>
                <w:rFonts w:eastAsia="Times New Roman"/>
                <w:color w:val="000000"/>
                <w:szCs w:val="24"/>
                <w:lang w:eastAsia="tr-TR"/>
              </w:rPr>
            </w:pPr>
            <w:r w:rsidRPr="00A23740">
              <w:rPr>
                <w:rStyle w:val="MaviChar"/>
                <w:lang w:val="tr-TR"/>
              </w:rPr>
              <w:t>a)</w:t>
            </w:r>
            <w:r w:rsidRPr="00A23740">
              <w:rPr>
                <w:rFonts w:eastAsia="Times New Roman"/>
                <w:color w:val="000000"/>
                <w:szCs w:val="24"/>
                <w:lang w:eastAsia="tr-TR"/>
              </w:rPr>
              <w:t xml:space="preserve"> Alacaklıların malların tasfiyesi ya da üçüncü kişiye devri suretiyle karşılanamayan alacaklarından feragat edip etmedikleri, feragat etmiyorlarsa borçlunun sorumluluğunun ne olduğu.</w:t>
            </w:r>
          </w:p>
          <w:p w:rsidR="00AA5C8C" w:rsidRPr="00A23740" w:rsidRDefault="00AA5C8C" w:rsidP="009431FF">
            <w:pPr>
              <w:widowControl w:val="0"/>
              <w:rPr>
                <w:rFonts w:eastAsia="Times New Roman"/>
                <w:color w:val="000000"/>
                <w:szCs w:val="24"/>
                <w:lang w:eastAsia="tr-TR"/>
              </w:rPr>
            </w:pPr>
            <w:r w:rsidRPr="00A23740">
              <w:rPr>
                <w:rStyle w:val="MaviChar"/>
                <w:lang w:val="tr-TR"/>
              </w:rPr>
              <w:t>b)</w:t>
            </w:r>
            <w:r w:rsidRPr="00A23740">
              <w:rPr>
                <w:rFonts w:eastAsia="Times New Roman"/>
                <w:color w:val="000000"/>
                <w:szCs w:val="24"/>
                <w:lang w:eastAsia="tr-TR"/>
              </w:rPr>
              <w:t xml:space="preserve"> Konkordato tasfiye memurları ile alacaklılar kurulu üyelerinin belirlenmesi ve bunların yetkileri.</w:t>
            </w:r>
          </w:p>
          <w:p w:rsidR="00AA5C8C" w:rsidRPr="00A23740" w:rsidRDefault="00AA5C8C" w:rsidP="009431FF">
            <w:pPr>
              <w:widowControl w:val="0"/>
              <w:rPr>
                <w:rFonts w:eastAsia="Times New Roman"/>
                <w:color w:val="000000"/>
                <w:szCs w:val="24"/>
                <w:lang w:eastAsia="tr-TR"/>
              </w:rPr>
            </w:pPr>
            <w:r w:rsidRPr="00A23740">
              <w:rPr>
                <w:rStyle w:val="MaviChar"/>
                <w:lang w:val="tr-TR"/>
              </w:rPr>
              <w:t>c)</w:t>
            </w:r>
            <w:r w:rsidRPr="00A23740">
              <w:rPr>
                <w:rFonts w:eastAsia="Times New Roman"/>
                <w:color w:val="000000"/>
                <w:szCs w:val="24"/>
                <w:lang w:eastAsia="tr-TR"/>
              </w:rPr>
              <w:t xml:space="preserve"> Kanun tarafından belirlenmemişse, malların tasfiye usulü ve eğer mallar üçüncü kişiye devredilecekse, bu devrin şekli ve teminatlandırılması.</w:t>
            </w:r>
          </w:p>
          <w:p w:rsidR="00A906CE" w:rsidRPr="00A23740" w:rsidRDefault="00A906CE" w:rsidP="009431FF">
            <w:pPr>
              <w:pStyle w:val="Mavi"/>
              <w:widowControl w:val="0"/>
              <w:rPr>
                <w:lang w:val="tr-TR"/>
              </w:rPr>
            </w:pPr>
          </w:p>
          <w:p w:rsidR="00AA5C8C" w:rsidRPr="00A23740" w:rsidRDefault="00AA5C8C" w:rsidP="009431FF">
            <w:pPr>
              <w:pStyle w:val="Mavi"/>
              <w:widowControl w:val="0"/>
              <w:rPr>
                <w:lang w:val="tr-TR"/>
              </w:rPr>
            </w:pPr>
            <w:r w:rsidRPr="00A23740">
              <w:rPr>
                <w:lang w:val="tr-TR"/>
              </w:rPr>
              <w:t xml:space="preserve">(2) Konkordato payı, kısmen veya tamamen, borçlu şirketin veya yeni kurulacak şirketin ortaklık payı ya da ortaklık haklarından oluşabilir. </w:t>
            </w:r>
          </w:p>
          <w:p w:rsidR="00A906CE" w:rsidRPr="00A23740" w:rsidRDefault="00A906CE" w:rsidP="009431FF">
            <w:pPr>
              <w:widowControl w:val="0"/>
              <w:rPr>
                <w:rStyle w:val="MaviChar"/>
                <w:lang w:val="tr-TR"/>
              </w:rPr>
            </w:pPr>
          </w:p>
          <w:p w:rsidR="00AA5C8C" w:rsidRPr="00A23740" w:rsidRDefault="00AA5C8C" w:rsidP="009431FF">
            <w:pPr>
              <w:widowControl w:val="0"/>
            </w:pPr>
            <w:r w:rsidRPr="00A23740">
              <w:rPr>
                <w:rStyle w:val="MaviChar"/>
                <w:lang w:val="tr-TR"/>
              </w:rPr>
              <w:t>(3)</w:t>
            </w:r>
            <w:r w:rsidRPr="00A23740">
              <w:rPr>
                <w:rFonts w:eastAsia="Times New Roman"/>
                <w:color w:val="000000"/>
                <w:szCs w:val="24"/>
                <w:lang w:eastAsia="tr-TR"/>
              </w:rPr>
              <w:t xml:space="preserve"> Konkordato kapsamı dışında kalan mallar varsa bunlar açıkça belirtilir.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E179C" w:rsidRPr="00A23740" w:rsidRDefault="004E179C" w:rsidP="009431FF">
            <w:pPr>
              <w:ind w:firstLine="709"/>
              <w:rPr>
                <w:rFonts w:eastAsia="Times New Roman"/>
                <w:bCs/>
                <w:iCs/>
                <w:color w:val="000000"/>
                <w:szCs w:val="24"/>
                <w:lang w:eastAsia="tr-TR"/>
              </w:rPr>
            </w:pPr>
          </w:p>
          <w:p w:rsidR="00AA5C8C" w:rsidRPr="00A23740" w:rsidRDefault="004E179C" w:rsidP="009431FF">
            <w:pPr>
              <w:ind w:firstLine="709"/>
              <w:rPr>
                <w:rFonts w:eastAsia="Times New Roman"/>
                <w:bCs/>
                <w:iCs/>
                <w:color w:val="000000"/>
                <w:szCs w:val="24"/>
                <w:lang w:eastAsia="tr-TR"/>
              </w:rPr>
            </w:pPr>
            <w:r w:rsidRPr="00A23740">
              <w:rPr>
                <w:rFonts w:eastAsia="Times New Roman"/>
                <w:b/>
                <w:bCs/>
                <w:iCs/>
                <w:color w:val="000000"/>
                <w:szCs w:val="24"/>
                <w:lang w:eastAsia="tr-TR"/>
              </w:rPr>
              <w:t>MADDE</w:t>
            </w:r>
            <w:r w:rsidR="00AA5C8C" w:rsidRPr="00A23740">
              <w:rPr>
                <w:rFonts w:eastAsia="Times New Roman"/>
                <w:b/>
                <w:bCs/>
                <w:iCs/>
                <w:color w:val="000000"/>
                <w:szCs w:val="24"/>
                <w:lang w:eastAsia="tr-TR"/>
              </w:rPr>
              <w:t xml:space="preserve"> 41</w:t>
            </w:r>
            <w:r w:rsidR="00164036" w:rsidRPr="00A23740">
              <w:rPr>
                <w:rFonts w:eastAsia="Times New Roman"/>
                <w:b/>
                <w:bCs/>
                <w:iCs/>
                <w:color w:val="000000"/>
                <w:szCs w:val="24"/>
                <w:lang w:eastAsia="tr-TR"/>
              </w:rPr>
              <w:t>9</w:t>
            </w:r>
            <w:r w:rsidR="00AA5C8C" w:rsidRPr="00A23740">
              <w:rPr>
                <w:rFonts w:eastAsia="Times New Roman"/>
                <w:b/>
                <w:bCs/>
                <w:iCs/>
                <w:color w:val="000000"/>
                <w:szCs w:val="24"/>
                <w:lang w:eastAsia="tr-TR"/>
              </w:rPr>
              <w:t>-</w:t>
            </w:r>
            <w:r w:rsidR="00AA5C8C" w:rsidRPr="00A23740">
              <w:rPr>
                <w:rFonts w:eastAsia="Times New Roman"/>
                <w:bCs/>
                <w:iCs/>
                <w:color w:val="000000"/>
                <w:szCs w:val="24"/>
                <w:lang w:eastAsia="tr-TR"/>
              </w:rPr>
              <w:t xml:space="preserve"> </w:t>
            </w:r>
            <w:r w:rsidRPr="00A23740">
              <w:rPr>
                <w:rFonts w:eastAsia="Times New Roman"/>
                <w:bCs/>
                <w:iCs/>
                <w:color w:val="000000"/>
                <w:szCs w:val="24"/>
                <w:lang w:eastAsia="tr-TR"/>
              </w:rPr>
              <w:t xml:space="preserve">Maddeyle, </w:t>
            </w:r>
            <w:r w:rsidR="00AA5C8C" w:rsidRPr="00A23740">
              <w:rPr>
                <w:rFonts w:eastAsia="Times New Roman"/>
                <w:bCs/>
                <w:iCs/>
                <w:color w:val="000000"/>
                <w:szCs w:val="24"/>
                <w:lang w:eastAsia="tr-TR"/>
              </w:rPr>
              <w:t>malvarlığının terki suretiyle konkordatonun zorunlu içeriği düzenlenmekte</w:t>
            </w:r>
            <w:r w:rsidRPr="00A23740">
              <w:rPr>
                <w:rFonts w:eastAsia="Times New Roman"/>
                <w:bCs/>
                <w:iCs/>
                <w:color w:val="000000"/>
                <w:szCs w:val="24"/>
                <w:lang w:eastAsia="tr-TR"/>
              </w:rPr>
              <w:t>dir. 2004 sayılı Kanunun 7101 sayılı</w:t>
            </w:r>
            <w:r w:rsidR="00AA5C8C" w:rsidRPr="00A23740">
              <w:rPr>
                <w:rFonts w:eastAsia="Times New Roman"/>
                <w:bCs/>
                <w:iCs/>
                <w:color w:val="000000"/>
                <w:szCs w:val="24"/>
                <w:lang w:eastAsia="tr-TR"/>
              </w:rPr>
              <w:t xml:space="preserve"> K</w:t>
            </w:r>
            <w:r w:rsidRPr="00A23740">
              <w:rPr>
                <w:rFonts w:eastAsia="Times New Roman"/>
                <w:bCs/>
                <w:iCs/>
                <w:color w:val="000000"/>
                <w:szCs w:val="24"/>
                <w:lang w:eastAsia="tr-TR"/>
              </w:rPr>
              <w:t xml:space="preserve">anunla </w:t>
            </w:r>
            <w:r w:rsidR="00AA5C8C" w:rsidRPr="00A23740">
              <w:rPr>
                <w:rFonts w:eastAsia="Times New Roman"/>
                <w:bCs/>
                <w:iCs/>
                <w:color w:val="000000"/>
                <w:szCs w:val="24"/>
                <w:lang w:eastAsia="tr-TR"/>
              </w:rPr>
              <w:t>değişik 309/b maddesine karşılık gelen bu maddede malvarlığının terki suretiyle konkordatonun içermesi gereken hususlar bentler h</w:t>
            </w:r>
            <w:r w:rsidR="00C2196C" w:rsidRPr="00A23740">
              <w:rPr>
                <w:rFonts w:eastAsia="Times New Roman"/>
                <w:bCs/>
                <w:iCs/>
                <w:color w:val="000000"/>
                <w:szCs w:val="24"/>
                <w:lang w:eastAsia="tr-TR"/>
              </w:rPr>
              <w:t>â</w:t>
            </w:r>
            <w:r w:rsidR="00AA5C8C" w:rsidRPr="00A23740">
              <w:rPr>
                <w:rFonts w:eastAsia="Times New Roman"/>
                <w:bCs/>
                <w:iCs/>
                <w:color w:val="000000"/>
                <w:szCs w:val="24"/>
                <w:lang w:eastAsia="tr-TR"/>
              </w:rPr>
              <w:t>linde sayılmaktadır. Burada belirtilen unsurlar, malvarlığının terki suretiyle konkordatonun asgari içeriğidir. Bu çerçeve içinde kalmak kaydıyla borçlu ile alacaklılar diledikleri şekilde anlaşabilirler. Bu hususları içermeyen bir konkordato tasdik edilmez; ancak, mahkeme yetersiz bir düzenlemeyi resen tamamlayabilir. Alacaklıların borçlunun malvarlığının tasfiyesi veya üçüncü kişiye devri sonucunda ödenemeyen alacak kesimini ileride istemekten feragat etmemiş olmaları h</w:t>
            </w:r>
            <w:r w:rsidR="00C2196C" w:rsidRPr="00A23740">
              <w:rPr>
                <w:rFonts w:eastAsia="Times New Roman"/>
                <w:bCs/>
                <w:iCs/>
                <w:color w:val="000000"/>
                <w:szCs w:val="24"/>
                <w:lang w:eastAsia="tr-TR"/>
              </w:rPr>
              <w:t>â</w:t>
            </w:r>
            <w:r w:rsidR="00AA5C8C" w:rsidRPr="00A23740">
              <w:rPr>
                <w:rFonts w:eastAsia="Times New Roman"/>
                <w:bCs/>
                <w:iCs/>
                <w:color w:val="000000"/>
                <w:szCs w:val="24"/>
                <w:lang w:eastAsia="tr-TR"/>
              </w:rPr>
              <w:t xml:space="preserve">linde, konkordatoda bu alacak kesimi hakkında saklı tutulan hakların kapsam ve niteliğinin açık bir şekilde gösterilmiş olması gerekir.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2004 sayılı Kanunun 7101 s</w:t>
            </w:r>
            <w:r w:rsidR="004E179C" w:rsidRPr="00A23740">
              <w:rPr>
                <w:rFonts w:eastAsia="Times New Roman"/>
                <w:bCs/>
                <w:iCs/>
                <w:color w:val="000000"/>
                <w:szCs w:val="24"/>
                <w:lang w:eastAsia="tr-TR"/>
              </w:rPr>
              <w:t xml:space="preserve">ayılı Kanunla </w:t>
            </w:r>
            <w:r w:rsidRPr="00A23740">
              <w:rPr>
                <w:rFonts w:eastAsia="Times New Roman"/>
                <w:bCs/>
                <w:iCs/>
                <w:color w:val="000000"/>
                <w:szCs w:val="24"/>
                <w:lang w:eastAsia="tr-TR"/>
              </w:rPr>
              <w:t>değişik 309/b maddesinde yer alan dördüncü bent, malvarlığının terki suretiyle konkordatonun içeriğiyle doğrudan ilgili olmayıp adi konkordatonun kıyasen uygulanan hükümlerine yapılan atıf</w:t>
            </w:r>
            <w:r w:rsidR="00BA6431" w:rsidRPr="00A23740">
              <w:rPr>
                <w:rFonts w:eastAsia="Times New Roman"/>
                <w:bCs/>
                <w:iCs/>
                <w:color w:val="000000"/>
                <w:szCs w:val="24"/>
                <w:lang w:eastAsia="tr-TR"/>
              </w:rPr>
              <w:t xml:space="preserve"> </w:t>
            </w:r>
            <w:r w:rsidR="00BA6431" w:rsidRPr="00075A70">
              <w:t>(Taslağın 432 nci maddesi)</w:t>
            </w:r>
            <w:r w:rsidRPr="00A23740">
              <w:rPr>
                <w:rFonts w:eastAsia="Times New Roman"/>
                <w:bCs/>
                <w:iCs/>
                <w:color w:val="000000"/>
                <w:szCs w:val="24"/>
                <w:lang w:eastAsia="tr-TR"/>
              </w:rPr>
              <w:t xml:space="preserve"> içinde olduğu için buradan çıkarılmıştır.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Maddenin ikinci fıkrası yenidir. Buna göre, konkordato payı, kısmen veya tamamen, borçlu şirketin veya yeni kurulacak şirketin ortaklık payı veya hissesinden ya da ortaklık haklarından oluşabilir. Malvarlığının terki suretiyle konkordato, aynı zamanda bir yeniden yapılandırma aracı olarak da kullanılmaktadır. Bu anlam</w:t>
            </w:r>
            <w:r w:rsidR="004E179C" w:rsidRPr="00A23740">
              <w:rPr>
                <w:rFonts w:eastAsia="Times New Roman"/>
                <w:bCs/>
                <w:iCs/>
                <w:color w:val="000000"/>
                <w:szCs w:val="24"/>
                <w:lang w:eastAsia="tr-TR"/>
              </w:rPr>
              <w:t xml:space="preserve">da </w:t>
            </w:r>
            <w:r w:rsidR="00887B3A" w:rsidRPr="00075A70">
              <w:t xml:space="preserve">İsviçre’nin Borç İçin Takip ve İflas Hakkında Federal Kanununa </w:t>
            </w:r>
            <w:r w:rsidRPr="00075A70">
              <w:t>318</w:t>
            </w:r>
            <w:r w:rsidRPr="00A23740">
              <w:rPr>
                <w:rFonts w:eastAsia="Times New Roman"/>
                <w:bCs/>
                <w:iCs/>
                <w:color w:val="000000"/>
                <w:szCs w:val="24"/>
                <w:lang w:eastAsia="tr-TR"/>
              </w:rPr>
              <w:t xml:space="preserve">, 1 bis olarak 2013 yılında eklenmiş olan fıkranın Kanuna alınması uygun görülmüştür. İsviçre doktrinde de önemli bir ihtiyacı karşıladığı ifade edilen bu düzenleme, bir yeniliktir. “Yeni kurulacak şirket” ibaresi </w:t>
            </w:r>
            <w:r w:rsidR="00887B3A" w:rsidRPr="00075A70">
              <w:t xml:space="preserve">İsviçre’nin Borç İçin Takip ve İflas Hakkında Federal Kanunu </w:t>
            </w:r>
            <w:r w:rsidRPr="00075A70">
              <w:t>m</w:t>
            </w:r>
            <w:r w:rsidRPr="00A23740">
              <w:rPr>
                <w:rFonts w:eastAsia="Times New Roman"/>
                <w:bCs/>
                <w:iCs/>
                <w:color w:val="000000"/>
                <w:szCs w:val="24"/>
                <w:lang w:eastAsia="tr-TR"/>
              </w:rPr>
              <w:t>. 318, 1</w:t>
            </w:r>
            <w:r w:rsidR="00AF7B35">
              <w:rPr>
                <w:rFonts w:eastAsia="Times New Roman"/>
                <w:bCs/>
                <w:iCs/>
                <w:color w:val="000000"/>
                <w:szCs w:val="24"/>
                <w:lang w:eastAsia="tr-TR"/>
              </w:rPr>
              <w:t xml:space="preserve"> </w:t>
            </w:r>
            <w:r w:rsidRPr="00A23740">
              <w:rPr>
                <w:rFonts w:eastAsia="Times New Roman"/>
                <w:bCs/>
                <w:iCs/>
                <w:color w:val="000000"/>
                <w:szCs w:val="24"/>
                <w:lang w:eastAsia="tr-TR"/>
              </w:rPr>
              <w:t>bis’in Almanca metninde “Auffanggesellschaft”; Fransızca metninde ise “société reprenante” olarak ifade edilmiştir. Söz konusu kavramın Türkçe</w:t>
            </w:r>
            <w:r w:rsidR="00BA6431" w:rsidRPr="00A23740">
              <w:rPr>
                <w:rFonts w:eastAsia="Times New Roman"/>
                <w:bCs/>
                <w:iCs/>
                <w:color w:val="000000"/>
                <w:szCs w:val="24"/>
                <w:lang w:eastAsia="tr-TR"/>
              </w:rPr>
              <w:t>’</w:t>
            </w:r>
            <w:r w:rsidRPr="00A23740">
              <w:rPr>
                <w:rFonts w:eastAsia="Times New Roman"/>
                <w:bCs/>
                <w:iCs/>
                <w:color w:val="000000"/>
                <w:szCs w:val="24"/>
                <w:lang w:eastAsia="tr-TR"/>
              </w:rPr>
              <w:t>de “kurtarma şirketi, devralma şirketi, transfer şirketi” gibi terimlerle karşılandığı görülmektedir. Yazım komisyonu Fransızca metindeki “devralan şirket” ibaresinin konuyu daha iyi ifade ettiği düşüncesiyle “yeni kurulacak şirket” kavramını benimsemiştir. Malvarlığının terki suretiyle konkordatonun, adi konkordatodan ve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sa yaklaşan tasfiyeye yönelik türünden farklı olarak bu seçenekte, borçlu işletmenin başka ellerde yaşaması veya faaliyetine devam etmesi mümkün olabilir. Böylece hem birikmiş deneyim hem borçlunun piyasa gücü hem de işyerinin korunması suretiyle genel ekonominin de daha az zarar görmesi sağlanmış olur. Öte yandan alacaklılar burada,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sta veya adi konkordatoda olduğu gibi para</w:t>
            </w:r>
            <w:r w:rsidR="00F65038" w:rsidRPr="00A23740">
              <w:rPr>
                <w:rFonts w:eastAsia="Times New Roman"/>
                <w:bCs/>
                <w:iCs/>
                <w:color w:val="000000"/>
                <w:szCs w:val="24"/>
                <w:lang w:eastAsia="tr-TR"/>
              </w:rPr>
              <w:t>yla</w:t>
            </w:r>
            <w:r w:rsidRPr="00A23740">
              <w:rPr>
                <w:rFonts w:eastAsia="Times New Roman"/>
                <w:bCs/>
                <w:iCs/>
                <w:color w:val="000000"/>
                <w:szCs w:val="24"/>
                <w:lang w:eastAsia="tr-TR"/>
              </w:rPr>
              <w:t xml:space="preserve"> tatmin edilmediği için konkordato payı veya teklifi, yeni kurulacak şirketin ortaklık hakları veya hisselerinden oluşabilecektir. İşte bu tür bir konkordatonun teklif edilmesi veya tasarlanması h</w:t>
            </w:r>
            <w:r w:rsidR="00C2196C" w:rsidRPr="00A23740">
              <w:rPr>
                <w:rFonts w:eastAsia="Times New Roman"/>
                <w:bCs/>
                <w:iCs/>
                <w:color w:val="000000"/>
                <w:szCs w:val="24"/>
                <w:lang w:eastAsia="tr-TR"/>
              </w:rPr>
              <w:t>â</w:t>
            </w:r>
            <w:r w:rsidRPr="00A23740">
              <w:rPr>
                <w:rFonts w:eastAsia="Times New Roman"/>
                <w:bCs/>
                <w:iCs/>
                <w:color w:val="000000"/>
                <w:szCs w:val="24"/>
                <w:lang w:eastAsia="tr-TR"/>
              </w:rPr>
              <w:t xml:space="preserve">linde, konkordatonun zorunlu içeriğinde bu hususların da yer alması gerekir.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Malvarlığının terki suretiyle konkordatoda borçlunun bütün malvarlığının tasfiyesi söz konusu olmayabileceği için</w:t>
            </w:r>
            <w:r w:rsidR="00F65038" w:rsidRPr="00A23740">
              <w:rPr>
                <w:rFonts w:eastAsia="Times New Roman"/>
                <w:bCs/>
                <w:iCs/>
                <w:color w:val="000000"/>
                <w:szCs w:val="24"/>
                <w:lang w:eastAsia="tr-TR"/>
              </w:rPr>
              <w:t>,</w:t>
            </w:r>
            <w:r w:rsidRPr="00A23740">
              <w:rPr>
                <w:rFonts w:eastAsia="Times New Roman"/>
                <w:bCs/>
                <w:iCs/>
                <w:color w:val="000000"/>
                <w:szCs w:val="24"/>
                <w:lang w:eastAsia="tr-TR"/>
              </w:rPr>
              <w:t xml:space="preserve"> konkordato kapsamı dışında kalan mallar varsa bunların da  açıkça belirtilmesi gerektiği üçüncü fıkrada hükme bağlanmaktadır. </w:t>
            </w:r>
          </w:p>
          <w:p w:rsidR="005C3738" w:rsidRPr="00A23740" w:rsidRDefault="005C3738" w:rsidP="006C4AA3">
            <w:pPr>
              <w:rPr>
                <w:rFonts w:eastAsia="Times New Roman"/>
                <w:bCs/>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Tasdikin sonuçları:</w:t>
            </w:r>
          </w:p>
          <w:p w:rsidR="00AA5C8C" w:rsidRPr="00A23740" w:rsidRDefault="00AA5C8C" w:rsidP="009431FF">
            <w:pPr>
              <w:rPr>
                <w:rFonts w:eastAsia="Times New Roman"/>
                <w:color w:val="000000"/>
                <w:szCs w:val="24"/>
                <w:lang w:eastAsia="tr-TR"/>
              </w:rPr>
            </w:pPr>
            <w:r w:rsidRPr="00A23740">
              <w:rPr>
                <w:rFonts w:eastAsia="Times New Roman"/>
                <w:b/>
                <w:bCs/>
                <w:color w:val="000000"/>
                <w:szCs w:val="24"/>
                <w:lang w:eastAsia="tr-TR"/>
              </w:rPr>
              <w:t xml:space="preserve">Madde </w:t>
            </w:r>
            <w:r w:rsidRPr="00A23740">
              <w:rPr>
                <w:rStyle w:val="KIRMIZIChar"/>
                <w:rFonts w:eastAsia="Calibri"/>
              </w:rPr>
              <w:t>309/c-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 xml:space="preserve">Malvarlığının terki suretiyle konkordatonun </w:t>
            </w:r>
            <w:r w:rsidRPr="00A23740">
              <w:rPr>
                <w:rStyle w:val="KIRMIZIChar"/>
                <w:rFonts w:eastAsia="Calibri"/>
              </w:rPr>
              <w:t>tasdikine ilişkin kararın kesinleşmesinden</w:t>
            </w:r>
            <w:r w:rsidRPr="00A23740">
              <w:rPr>
                <w:rFonts w:eastAsia="Times New Roman"/>
                <w:color w:val="000000"/>
                <w:szCs w:val="24"/>
                <w:lang w:eastAsia="tr-TR"/>
              </w:rPr>
              <w:t xml:space="preserve"> itibaren, borçlu malları üzerinde tasarruf edemez ve bu mallar hakkında tasarruf yetkisine sahip kişilerin imza yetkisi sona erer.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Borçlu ticaret siciline kayıtlı ise ticaret unvanına "konkordato tasfiyesi hâlinde" </w:t>
            </w:r>
            <w:r w:rsidRPr="00A23740">
              <w:rPr>
                <w:rStyle w:val="KIRMIZIChar"/>
                <w:rFonts w:eastAsia="Calibri"/>
              </w:rPr>
              <w:t>sözcükleri</w:t>
            </w:r>
            <w:r w:rsidRPr="00A23740">
              <w:rPr>
                <w:rFonts w:eastAsia="Times New Roman"/>
                <w:color w:val="000000"/>
                <w:szCs w:val="24"/>
                <w:lang w:eastAsia="tr-TR"/>
              </w:rPr>
              <w:t xml:space="preserve"> eklenir. Konkordato masası, konkordato kapsamına girmeyen borçlardan dolayı bu unvan altında takip edilir.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(3)</w:t>
            </w:r>
            <w:r w:rsidRPr="00A23740">
              <w:rPr>
                <w:rFonts w:eastAsia="Times New Roman"/>
                <w:color w:val="000000"/>
                <w:szCs w:val="24"/>
                <w:lang w:eastAsia="tr-TR"/>
              </w:rPr>
              <w:t xml:space="preserve"> Konkordato tasfiye memurları konkordato masasının muhafazası ve paraya çevrilmesi veya lüzumu hâlinde malların devri için gerekli bütün işlemleri yerine getirir.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(4)</w:t>
            </w:r>
            <w:r w:rsidRPr="00A23740">
              <w:rPr>
                <w:rFonts w:eastAsia="Times New Roman"/>
                <w:color w:val="000000"/>
                <w:szCs w:val="24"/>
                <w:lang w:eastAsia="tr-TR"/>
              </w:rPr>
              <w:t xml:space="preserve"> Konkordato tasfiye memurları mahkemelerde konkordato masasını temsil eder. 228 inci madde kıyas yoluyla uygulanır.</w:t>
            </w:r>
          </w:p>
          <w:p w:rsidR="00AA5C8C" w:rsidRPr="00A23740" w:rsidRDefault="00AA5C8C" w:rsidP="009431FF">
            <w:pPr>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Tasdikin sonuçları</w:t>
            </w:r>
          </w:p>
          <w:p w:rsidR="00AA5C8C" w:rsidRPr="00A23740" w:rsidRDefault="00AA5C8C" w:rsidP="009431FF">
            <w:pPr>
              <w:rPr>
                <w:rFonts w:eastAsia="Times New Roman"/>
                <w:color w:val="000000"/>
                <w:szCs w:val="24"/>
                <w:lang w:eastAsia="tr-TR"/>
              </w:rPr>
            </w:pPr>
            <w:r w:rsidRPr="00A23740">
              <w:rPr>
                <w:rStyle w:val="MaviChar"/>
                <w:lang w:val="tr-TR"/>
              </w:rPr>
              <w:t>MADDE 4</w:t>
            </w:r>
            <w:r w:rsidR="00164036" w:rsidRPr="00A23740">
              <w:rPr>
                <w:rStyle w:val="MaviChar"/>
                <w:lang w:val="tr-TR"/>
              </w:rPr>
              <w:t>20</w:t>
            </w:r>
            <w:r w:rsidRPr="00A23740">
              <w:rPr>
                <w:rStyle w:val="MaviChar"/>
                <w:lang w:val="tr-TR"/>
              </w:rPr>
              <w:t>- (1)</w:t>
            </w:r>
            <w:r w:rsidRPr="00A23740">
              <w:rPr>
                <w:rFonts w:eastAsia="Times New Roman"/>
                <w:color w:val="000000"/>
                <w:szCs w:val="24"/>
                <w:lang w:eastAsia="tr-TR"/>
              </w:rPr>
              <w:t xml:space="preserve"> Malvarlığının terki suretiyle konkordatonun </w:t>
            </w:r>
            <w:r w:rsidRPr="00A23740">
              <w:rPr>
                <w:rStyle w:val="MaviChar"/>
                <w:lang w:val="tr-TR"/>
              </w:rPr>
              <w:t>bağlayıcı h</w:t>
            </w:r>
            <w:r w:rsidR="00C2196C" w:rsidRPr="00A23740">
              <w:rPr>
                <w:rStyle w:val="MaviChar"/>
                <w:lang w:val="tr-TR"/>
              </w:rPr>
              <w:t>â</w:t>
            </w:r>
            <w:r w:rsidRPr="00A23740">
              <w:rPr>
                <w:rStyle w:val="MaviChar"/>
                <w:lang w:val="tr-TR"/>
              </w:rPr>
              <w:t>le gelmesinden</w:t>
            </w:r>
            <w:r w:rsidRPr="00A23740">
              <w:rPr>
                <w:rFonts w:eastAsia="Times New Roman"/>
                <w:color w:val="000000"/>
                <w:szCs w:val="24"/>
                <w:lang w:eastAsia="tr-TR"/>
              </w:rPr>
              <w:t xml:space="preserve"> itibaren borçlu</w:t>
            </w:r>
            <w:r w:rsidRPr="00D22FBA">
              <w:rPr>
                <w:rFonts w:eastAsia="Times New Roman"/>
                <w:b/>
                <w:color w:val="0000FF"/>
                <w:szCs w:val="24"/>
                <w:lang w:eastAsia="tr-TR"/>
              </w:rPr>
              <w:t>,</w:t>
            </w:r>
            <w:r w:rsidRPr="00A23740">
              <w:rPr>
                <w:rFonts w:eastAsia="Times New Roman"/>
                <w:color w:val="000000"/>
                <w:szCs w:val="24"/>
                <w:lang w:eastAsia="tr-TR"/>
              </w:rPr>
              <w:t xml:space="preserve"> malları üzerinde tasarruf edemez ve bu mallar hakkında tasarruf yetkisine sahip kişilerin imza yetkisi sona erer.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Borçlu ticaret siciline kayıtlı ise ticaret </w:t>
            </w:r>
            <w:r w:rsidR="00330FCE" w:rsidRPr="00A23740">
              <w:rPr>
                <w:bCs/>
                <w:color w:val="000000"/>
                <w:lang w:eastAsia="tr-TR"/>
              </w:rPr>
              <w:t>ü</w:t>
            </w:r>
            <w:r w:rsidRPr="00A23740">
              <w:rPr>
                <w:rFonts w:eastAsia="Times New Roman"/>
                <w:color w:val="000000"/>
                <w:szCs w:val="24"/>
                <w:lang w:eastAsia="tr-TR"/>
              </w:rPr>
              <w:t xml:space="preserve">nvanına "konkordato tasfiyesi hâlinde" </w:t>
            </w:r>
            <w:r w:rsidRPr="00A23740">
              <w:rPr>
                <w:rStyle w:val="MaviChar"/>
                <w:lang w:val="tr-TR"/>
              </w:rPr>
              <w:t>ibaresi</w:t>
            </w:r>
            <w:r w:rsidRPr="00A23740">
              <w:rPr>
                <w:rFonts w:eastAsia="Times New Roman"/>
                <w:color w:val="000000"/>
                <w:szCs w:val="24"/>
                <w:lang w:eastAsia="tr-TR"/>
              </w:rPr>
              <w:t xml:space="preserve"> eklenir. Konkordato masası, konkordato kapsamına</w:t>
            </w:r>
            <w:r w:rsidR="00330FCE" w:rsidRPr="00A23740">
              <w:rPr>
                <w:rFonts w:eastAsia="Times New Roman"/>
                <w:color w:val="000000"/>
                <w:szCs w:val="24"/>
                <w:lang w:eastAsia="tr-TR"/>
              </w:rPr>
              <w:t xml:space="preserve"> girmeyen borçlardan dolayı bu ü</w:t>
            </w:r>
            <w:r w:rsidRPr="00A23740">
              <w:rPr>
                <w:rFonts w:eastAsia="Times New Roman"/>
                <w:color w:val="000000"/>
                <w:szCs w:val="24"/>
                <w:lang w:eastAsia="tr-TR"/>
              </w:rPr>
              <w:t>nvan altında takip edilir.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(3)</w:t>
            </w:r>
            <w:r w:rsidRPr="00A23740">
              <w:rPr>
                <w:rFonts w:eastAsia="Times New Roman"/>
                <w:color w:val="000000"/>
                <w:szCs w:val="24"/>
                <w:lang w:eastAsia="tr-TR"/>
              </w:rPr>
              <w:t xml:space="preserve"> Konkordato tasfiye memurları</w:t>
            </w:r>
            <w:r w:rsidRPr="00A23740">
              <w:rPr>
                <w:rStyle w:val="Balk1Char"/>
                <w:rFonts w:eastAsia="Calibri"/>
              </w:rPr>
              <w:t>,</w:t>
            </w:r>
            <w:r w:rsidRPr="00A23740">
              <w:rPr>
                <w:rFonts w:eastAsia="Times New Roman"/>
                <w:b/>
                <w:color w:val="000000"/>
                <w:szCs w:val="24"/>
                <w:lang w:eastAsia="tr-TR"/>
              </w:rPr>
              <w:t xml:space="preserve"> </w:t>
            </w:r>
            <w:r w:rsidRPr="00A23740">
              <w:rPr>
                <w:rFonts w:eastAsia="Times New Roman"/>
                <w:color w:val="000000"/>
                <w:szCs w:val="24"/>
                <w:lang w:eastAsia="tr-TR"/>
              </w:rPr>
              <w:t>konkordato masasının muhafazası ve paraya çevrilmesi veya lüzumu hâlinde malların devri için gerekli bütün işlemleri yerine getirir.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(4)</w:t>
            </w:r>
            <w:r w:rsidRPr="00A23740">
              <w:rPr>
                <w:rFonts w:eastAsia="Times New Roman"/>
                <w:color w:val="000000"/>
                <w:szCs w:val="24"/>
                <w:lang w:eastAsia="tr-TR"/>
              </w:rPr>
              <w:t xml:space="preserve"> Konkordato tasfiye memurları</w:t>
            </w:r>
            <w:r w:rsidRPr="00A23740">
              <w:rPr>
                <w:rStyle w:val="Balk1Char"/>
                <w:rFonts w:eastAsia="Calibri"/>
              </w:rPr>
              <w:t>,</w:t>
            </w:r>
            <w:r w:rsidRPr="00A23740">
              <w:rPr>
                <w:rFonts w:eastAsia="Times New Roman"/>
                <w:color w:val="000000"/>
                <w:szCs w:val="24"/>
                <w:lang w:eastAsia="tr-TR"/>
              </w:rPr>
              <w:t xml:space="preserve"> mahkemelerde konkordato masasını temsil eder. </w:t>
            </w:r>
            <w:r w:rsidRPr="00A23740">
              <w:rPr>
                <w:rStyle w:val="Balk1Char"/>
                <w:rFonts w:eastAsia="Calibri"/>
              </w:rPr>
              <w:t>Üçüncü kişilerin istihkak iddiları hakkındaki</w:t>
            </w:r>
            <w:r w:rsidR="00BA6431" w:rsidRPr="00A23740">
              <w:rPr>
                <w:rStyle w:val="Balk1Char"/>
                <w:rFonts w:eastAsia="Calibri"/>
              </w:rPr>
              <w:t xml:space="preserve"> </w:t>
            </w:r>
            <w:r w:rsidR="00BA6431" w:rsidRPr="00075A70">
              <w:rPr>
                <w:rStyle w:val="MaviChar"/>
              </w:rPr>
              <w:t>440 ıncı</w:t>
            </w:r>
            <w:r w:rsidR="00BA6431" w:rsidRPr="00A23740">
              <w:rPr>
                <w:rStyle w:val="Balk1Char"/>
                <w:rFonts w:eastAsia="Calibri"/>
              </w:rPr>
              <w:t xml:space="preserve"> </w:t>
            </w:r>
            <w:r w:rsidRPr="00A23740">
              <w:rPr>
                <w:rFonts w:eastAsia="Times New Roman"/>
                <w:color w:val="000000"/>
                <w:szCs w:val="24"/>
                <w:lang w:eastAsia="tr-TR"/>
              </w:rPr>
              <w:t xml:space="preserve">madde </w:t>
            </w:r>
            <w:r w:rsidR="007C4E36" w:rsidRPr="00075A70">
              <w:rPr>
                <w:rStyle w:val="MaviChar"/>
              </w:rPr>
              <w:t>kıyasen</w:t>
            </w:r>
            <w:r w:rsidRPr="00A23740">
              <w:rPr>
                <w:rFonts w:eastAsia="Times New Roman"/>
                <w:color w:val="000000"/>
                <w:szCs w:val="24"/>
                <w:lang w:eastAsia="tr-TR"/>
              </w:rPr>
              <w:t xml:space="preserve"> uygulanır.</w:t>
            </w:r>
          </w:p>
          <w:p w:rsidR="00AA5C8C" w:rsidRPr="00A23740" w:rsidRDefault="00AA5C8C" w:rsidP="009431FF">
            <w:pPr>
              <w:rPr>
                <w:rFonts w:eastAsia="Times New Roman"/>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4E179C" w:rsidRPr="00A23740" w:rsidRDefault="004E179C" w:rsidP="009431FF">
            <w:pPr>
              <w:ind w:firstLine="709"/>
              <w:rPr>
                <w:rFonts w:eastAsia="Times New Roman"/>
                <w:b/>
                <w:iCs/>
                <w:color w:val="000000"/>
                <w:szCs w:val="24"/>
                <w:lang w:eastAsia="tr-TR"/>
              </w:rPr>
            </w:pPr>
          </w:p>
          <w:p w:rsidR="00AA5C8C" w:rsidRPr="00A23740" w:rsidRDefault="004E179C" w:rsidP="009431FF">
            <w:pPr>
              <w:ind w:firstLine="709"/>
              <w:rPr>
                <w:rFonts w:eastAsia="Times New Roman"/>
                <w:bCs/>
                <w:iCs/>
                <w:color w:val="000000"/>
                <w:szCs w:val="24"/>
                <w:lang w:eastAsia="tr-TR"/>
              </w:rPr>
            </w:pPr>
            <w:r w:rsidRPr="00A23740">
              <w:rPr>
                <w:rFonts w:eastAsia="Times New Roman"/>
                <w:b/>
                <w:iCs/>
                <w:color w:val="000000"/>
                <w:szCs w:val="24"/>
                <w:lang w:eastAsia="tr-TR"/>
              </w:rPr>
              <w:t>MADDE</w:t>
            </w:r>
            <w:r w:rsidR="00AA5C8C" w:rsidRPr="00A23740">
              <w:rPr>
                <w:rFonts w:eastAsia="Times New Roman"/>
                <w:b/>
                <w:iCs/>
                <w:color w:val="000000"/>
                <w:szCs w:val="24"/>
                <w:lang w:eastAsia="tr-TR"/>
              </w:rPr>
              <w:t xml:space="preserve"> 4</w:t>
            </w:r>
            <w:r w:rsidR="00164036" w:rsidRPr="00A23740">
              <w:rPr>
                <w:rFonts w:eastAsia="Times New Roman"/>
                <w:b/>
                <w:iCs/>
                <w:color w:val="000000"/>
                <w:szCs w:val="24"/>
                <w:lang w:eastAsia="tr-TR"/>
              </w:rPr>
              <w:t>20</w:t>
            </w:r>
            <w:r w:rsidR="00AA5C8C" w:rsidRPr="00A23740">
              <w:rPr>
                <w:rFonts w:eastAsia="Times New Roman"/>
                <w:b/>
                <w:iCs/>
                <w:color w:val="000000"/>
                <w:szCs w:val="24"/>
                <w:lang w:eastAsia="tr-TR"/>
              </w:rPr>
              <w:t xml:space="preserve">- </w:t>
            </w:r>
            <w:r w:rsidRPr="00A23740">
              <w:rPr>
                <w:rFonts w:eastAsia="Times New Roman"/>
                <w:iCs/>
                <w:color w:val="000000"/>
                <w:szCs w:val="24"/>
                <w:lang w:eastAsia="tr-TR"/>
              </w:rPr>
              <w:t>Maddeyle, malvarlığının terki suretiyle konkordatonun tasdik edilmesine ilişkin sonuçlara yönelik hususlar düzenlenmektedir.</w:t>
            </w:r>
            <w:r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2004 sayılı Kanunun 309/c maddesinde düzenlenen tasdikin sonuçları, adi konkordato hükümlerinde yapılan değişikliklere paralel olarak kı</w:t>
            </w:r>
            <w:r w:rsidRPr="00A23740">
              <w:rPr>
                <w:rFonts w:eastAsia="Times New Roman"/>
                <w:bCs/>
                <w:iCs/>
                <w:color w:val="000000"/>
                <w:szCs w:val="24"/>
                <w:lang w:eastAsia="tr-TR"/>
              </w:rPr>
              <w:t>smen değiştirilmiş; esas itibarıyla</w:t>
            </w:r>
            <w:r w:rsidR="00AA5C8C" w:rsidRPr="00A23740">
              <w:rPr>
                <w:rFonts w:eastAsia="Times New Roman"/>
                <w:bCs/>
                <w:iCs/>
                <w:color w:val="000000"/>
                <w:szCs w:val="24"/>
                <w:lang w:eastAsia="tr-TR"/>
              </w:rPr>
              <w:t xml:space="preserve"> metnin önceki şekli korunmuştur. </w:t>
            </w:r>
          </w:p>
          <w:p w:rsidR="00AA5C8C" w:rsidRPr="00A23740" w:rsidRDefault="00AA5C8C" w:rsidP="009431FF">
            <w:pPr>
              <w:ind w:firstLine="709"/>
              <w:rPr>
                <w:rFonts w:eastAsia="Times New Roman"/>
                <w:color w:val="000000"/>
                <w:szCs w:val="24"/>
                <w:lang w:eastAsia="tr-TR"/>
              </w:rPr>
            </w:pPr>
            <w:r w:rsidRPr="00A23740">
              <w:rPr>
                <w:rFonts w:eastAsia="Times New Roman"/>
                <w:bCs/>
                <w:iCs/>
                <w:color w:val="000000"/>
                <w:szCs w:val="24"/>
                <w:lang w:eastAsia="tr-TR"/>
              </w:rPr>
              <w:t xml:space="preserve">Borçlunun malvarlığı üzerindeki tasarruf yetkisinin konkordatonun tasdiki kararının kesinleşmesiyle sona ereceğini öngören 2004 sayılı Kanunun 309/c </w:t>
            </w:r>
            <w:r w:rsidRPr="00A23740">
              <w:rPr>
                <w:rFonts w:eastAsia="Times New Roman"/>
                <w:color w:val="000000"/>
                <w:szCs w:val="24"/>
                <w:lang w:eastAsia="tr-TR"/>
              </w:rPr>
              <w:t>maddesinin</w:t>
            </w:r>
            <w:r w:rsidR="004E179C" w:rsidRPr="00A23740">
              <w:rPr>
                <w:rFonts w:eastAsia="Times New Roman"/>
                <w:bCs/>
                <w:iCs/>
                <w:color w:val="000000"/>
                <w:szCs w:val="24"/>
                <w:lang w:eastAsia="tr-TR"/>
              </w:rPr>
              <w:t xml:space="preserve"> aksine,</w:t>
            </w:r>
            <w:r w:rsidR="00BA6431" w:rsidRPr="00A23740">
              <w:rPr>
                <w:rFonts w:eastAsia="Times New Roman"/>
                <w:bCs/>
                <w:iCs/>
                <w:color w:val="000000"/>
                <w:szCs w:val="24"/>
                <w:lang w:eastAsia="tr-TR"/>
              </w:rPr>
              <w:t xml:space="preserve"> </w:t>
            </w:r>
            <w:r w:rsidR="00604892" w:rsidRPr="00075A70">
              <w:t>Taslağın 420 nci</w:t>
            </w:r>
            <w:r w:rsidR="00604892" w:rsidRPr="00A23740">
              <w:rPr>
                <w:rStyle w:val="KonuBalChar"/>
                <w:rFonts w:eastAsia="Calibri"/>
                <w:lang w:val="tr-TR"/>
              </w:rPr>
              <w:t xml:space="preserve"> </w:t>
            </w:r>
            <w:r w:rsidR="00604892" w:rsidRPr="00075A70">
              <w:t>maddesinin</w:t>
            </w:r>
            <w:r w:rsidR="004E179C" w:rsidRPr="00A23740">
              <w:rPr>
                <w:rFonts w:eastAsia="Times New Roman"/>
                <w:bCs/>
                <w:iCs/>
                <w:color w:val="000000"/>
                <w:szCs w:val="24"/>
                <w:lang w:eastAsia="tr-TR"/>
              </w:rPr>
              <w:t xml:space="preserve"> </w:t>
            </w:r>
            <w:r w:rsidRPr="00A23740">
              <w:rPr>
                <w:rFonts w:eastAsia="Times New Roman"/>
                <w:bCs/>
                <w:iCs/>
                <w:color w:val="000000"/>
                <w:szCs w:val="24"/>
                <w:lang w:eastAsia="tr-TR"/>
              </w:rPr>
              <w:t>birinci fıkrasında m</w:t>
            </w:r>
            <w:r w:rsidRPr="00A23740">
              <w:rPr>
                <w:rFonts w:eastAsia="Times New Roman"/>
                <w:color w:val="000000"/>
                <w:szCs w:val="24"/>
                <w:lang w:eastAsia="tr-TR"/>
              </w:rPr>
              <w:t xml:space="preserve">alvarlığının terki suretiyle konkordatonun </w:t>
            </w:r>
            <w:r w:rsidRPr="00A23740">
              <w:rPr>
                <w:rStyle w:val="MaviChar"/>
                <w:b w:val="0"/>
                <w:color w:val="000000"/>
              </w:rPr>
              <w:t>bağlayıcı h</w:t>
            </w:r>
            <w:r w:rsidR="00C2196C" w:rsidRPr="00A23740">
              <w:rPr>
                <w:rStyle w:val="MaviChar"/>
                <w:b w:val="0"/>
                <w:color w:val="000000"/>
                <w:lang w:val="tr-TR"/>
              </w:rPr>
              <w:t>â</w:t>
            </w:r>
            <w:r w:rsidRPr="00A23740">
              <w:rPr>
                <w:rStyle w:val="MaviChar"/>
                <w:b w:val="0"/>
                <w:color w:val="000000"/>
              </w:rPr>
              <w:t>le gelmesinden</w:t>
            </w:r>
            <w:r w:rsidRPr="00A23740">
              <w:rPr>
                <w:rFonts w:eastAsia="Times New Roman"/>
                <w:b/>
                <w:bCs/>
                <w:color w:val="000000"/>
                <w:szCs w:val="24"/>
                <w:lang w:eastAsia="tr-TR"/>
              </w:rPr>
              <w:t xml:space="preserve"> </w:t>
            </w:r>
            <w:r w:rsidRPr="00A23740">
              <w:rPr>
                <w:rFonts w:eastAsia="Times New Roman"/>
                <w:color w:val="000000"/>
                <w:szCs w:val="24"/>
                <w:lang w:eastAsia="tr-TR"/>
              </w:rPr>
              <w:t xml:space="preserve">itibaren, borçlunun malları üzerinde tasarruf edemeyeceği ve bu mallar hakkında tasarruf yetkisine sahip kişilerin imza yetkisinin sona ereceği kabul edilmiştir. Adi konkordato bakımından da kural olarak </w:t>
            </w:r>
            <w:r w:rsidR="00F65038" w:rsidRPr="00A23740">
              <w:rPr>
                <w:rFonts w:eastAsia="Times New Roman"/>
                <w:color w:val="000000"/>
                <w:szCs w:val="24"/>
                <w:lang w:eastAsia="tr-TR"/>
              </w:rPr>
              <w:t xml:space="preserve">konkordato </w:t>
            </w:r>
            <w:r w:rsidRPr="00A23740">
              <w:rPr>
                <w:rFonts w:eastAsia="Times New Roman"/>
                <w:color w:val="000000"/>
                <w:szCs w:val="24"/>
                <w:lang w:eastAsia="tr-TR"/>
              </w:rPr>
              <w:t>tasdik kararı</w:t>
            </w:r>
            <w:r w:rsidR="00F65038" w:rsidRPr="00A23740">
              <w:rPr>
                <w:rFonts w:eastAsia="Times New Roman"/>
                <w:color w:val="000000"/>
                <w:szCs w:val="24"/>
                <w:lang w:eastAsia="tr-TR"/>
              </w:rPr>
              <w:t>yla</w:t>
            </w:r>
            <w:r w:rsidRPr="00A23740">
              <w:rPr>
                <w:rFonts w:eastAsia="Times New Roman"/>
                <w:color w:val="000000"/>
                <w:szCs w:val="24"/>
                <w:lang w:eastAsia="tr-TR"/>
              </w:rPr>
              <w:t xml:space="preserve"> bağlayıcı h</w:t>
            </w:r>
            <w:r w:rsidR="00C2196C" w:rsidRPr="00A23740">
              <w:rPr>
                <w:rFonts w:eastAsia="Times New Roman"/>
                <w:color w:val="000000"/>
                <w:szCs w:val="24"/>
                <w:lang w:eastAsia="tr-TR"/>
              </w:rPr>
              <w:t>â</w:t>
            </w:r>
            <w:r w:rsidRPr="00A23740">
              <w:rPr>
                <w:rFonts w:eastAsia="Times New Roman"/>
                <w:color w:val="000000"/>
                <w:szCs w:val="24"/>
                <w:lang w:eastAsia="tr-TR"/>
              </w:rPr>
              <w:t>le gelmekle birlikte, bunun konkordatonun tasdik kararının kesinleşmesine kadar ertelenmesi de mümkündür. İşte malvarlığının terki suretiyle konkordatoda da aynı kural benimsenmiş ve konkordato ne zaman (tasdik kararı veya istisnaen tasdik kararının kesinleşmesi tarihi) bağlayıcı olursa borçlunun malvarlığı üzerindeki tasarruf yetkisi de o zaman sona ermiş sayılacaktır. Bundan sonra, borçlunun malvarlığı üzerindeki tasarruf yetkisi alacaklılara geçer ve alacaklılar da bu yetkiyi konkordato tasfiye memurları vasıtasıyla kullanırlar. Konkordatonun bağlayıcı olması</w:t>
            </w:r>
            <w:r w:rsidR="00F65038" w:rsidRPr="00A23740">
              <w:rPr>
                <w:rFonts w:eastAsia="Times New Roman"/>
                <w:color w:val="000000"/>
                <w:szCs w:val="24"/>
                <w:lang w:eastAsia="tr-TR"/>
              </w:rPr>
              <w:t>yla</w:t>
            </w:r>
            <w:r w:rsidRPr="00A23740">
              <w:rPr>
                <w:rFonts w:eastAsia="Times New Roman"/>
                <w:color w:val="000000"/>
                <w:szCs w:val="24"/>
                <w:lang w:eastAsia="tr-TR"/>
              </w:rPr>
              <w:t xml:space="preserve"> borçlunun malvarlığı (mülkiyet) alacaklılara geçmez. Konkordatonun bağlayıcı h</w:t>
            </w:r>
            <w:r w:rsidR="00C2196C" w:rsidRPr="00A23740">
              <w:rPr>
                <w:rFonts w:eastAsia="Times New Roman"/>
                <w:color w:val="000000"/>
                <w:szCs w:val="24"/>
                <w:lang w:eastAsia="tr-TR"/>
              </w:rPr>
              <w:t>â</w:t>
            </w:r>
            <w:r w:rsidRPr="00A23740">
              <w:rPr>
                <w:rFonts w:eastAsia="Times New Roman"/>
                <w:color w:val="000000"/>
                <w:szCs w:val="24"/>
                <w:lang w:eastAsia="tr-TR"/>
              </w:rPr>
              <w:t xml:space="preserve">le gelmesi, sadece, bu konkordatonun türüne göre, borçlunun malvarlığı üzerindeki tasarruf yetkisinin alacaklılara geçmesine veya her malın niteliğine uygun işlemin yapılmasından sonra, borçlunun mallarının tamamının veya bir kısmının mülkiyetinin üçüncü kişiye (devralana) intikal etmesine yol açar. </w:t>
            </w:r>
          </w:p>
          <w:p w:rsidR="00AA5C8C" w:rsidRPr="00A23740" w:rsidRDefault="00AA5C8C" w:rsidP="009431FF">
            <w:pPr>
              <w:ind w:firstLine="709"/>
              <w:rPr>
                <w:rFonts w:eastAsia="Times New Roman"/>
                <w:color w:val="000000"/>
                <w:szCs w:val="24"/>
                <w:lang w:eastAsia="tr-TR"/>
              </w:rPr>
            </w:pPr>
            <w:r w:rsidRPr="00A23740">
              <w:rPr>
                <w:rFonts w:eastAsia="Times New Roman"/>
                <w:color w:val="000000"/>
                <w:szCs w:val="24"/>
                <w:lang w:eastAsia="tr-TR"/>
              </w:rPr>
              <w:t xml:space="preserve">Malvarlığının terki suretiyle konkordato sürecine giren bir borçlunun, mevcut malvarlığı ve bunun akıbeti yönünden durumu müflisin durumuna çok benzediğinden onunla işlem yapacak üçüncü kişileri </w:t>
            </w:r>
            <w:r w:rsidR="00330FCE" w:rsidRPr="00A23740">
              <w:rPr>
                <w:rFonts w:eastAsia="Times New Roman"/>
                <w:color w:val="000000"/>
                <w:szCs w:val="24"/>
                <w:lang w:eastAsia="tr-TR"/>
              </w:rPr>
              <w:t>korumak için borçlunun ticaret ü</w:t>
            </w:r>
            <w:r w:rsidRPr="00A23740">
              <w:rPr>
                <w:rFonts w:eastAsia="Times New Roman"/>
                <w:color w:val="000000"/>
                <w:szCs w:val="24"/>
                <w:lang w:eastAsia="tr-TR"/>
              </w:rPr>
              <w:t>nvanına ‘konkordato tasfiyesi h</w:t>
            </w:r>
            <w:r w:rsidR="00C2196C" w:rsidRPr="00A23740">
              <w:rPr>
                <w:rFonts w:eastAsia="Times New Roman"/>
                <w:color w:val="000000"/>
                <w:szCs w:val="24"/>
                <w:lang w:eastAsia="tr-TR"/>
              </w:rPr>
              <w:t>â</w:t>
            </w:r>
            <w:r w:rsidRPr="00A23740">
              <w:rPr>
                <w:rFonts w:eastAsia="Times New Roman"/>
                <w:color w:val="000000"/>
                <w:szCs w:val="24"/>
                <w:lang w:eastAsia="tr-TR"/>
              </w:rPr>
              <w:t xml:space="preserve">linde’ ibaresinin konulması şart kılınmıştır. Bu husus maddenin ikinci fıkrasında düzenlenmiştir. </w:t>
            </w:r>
          </w:p>
          <w:p w:rsidR="00AA5C8C" w:rsidRPr="00A23740" w:rsidRDefault="00AA5C8C" w:rsidP="009431FF">
            <w:pPr>
              <w:ind w:firstLine="709"/>
              <w:rPr>
                <w:rFonts w:eastAsia="Times New Roman"/>
                <w:color w:val="000000"/>
                <w:szCs w:val="24"/>
                <w:lang w:eastAsia="tr-TR"/>
              </w:rPr>
            </w:pPr>
            <w:r w:rsidRPr="00A23740">
              <w:rPr>
                <w:rFonts w:eastAsia="Times New Roman"/>
                <w:color w:val="000000"/>
                <w:szCs w:val="24"/>
                <w:lang w:eastAsia="tr-TR"/>
              </w:rPr>
              <w:t xml:space="preserve">Maddenin üçüncü ve dördüncü fıkralarında, bu konkordatonun asli organı olan konkordato tasfiye memurlarının konkordato masasının muhafazası ve paraya çevrilmesi veya tasdik edilen konkordatonun gerektirdiği </w:t>
            </w:r>
            <w:r w:rsidR="00E64A42" w:rsidRPr="00A23740">
              <w:rPr>
                <w:rFonts w:eastAsia="Times New Roman"/>
                <w:color w:val="000000"/>
                <w:szCs w:val="24"/>
                <w:lang w:eastAsia="tr-TR"/>
              </w:rPr>
              <w:t xml:space="preserve">devrin yapılması </w:t>
            </w:r>
            <w:r w:rsidRPr="00A23740">
              <w:rPr>
                <w:rFonts w:eastAsia="Times New Roman"/>
                <w:color w:val="000000"/>
                <w:szCs w:val="24"/>
                <w:lang w:eastAsia="tr-TR"/>
              </w:rPr>
              <w:t>ya da şirket</w:t>
            </w:r>
            <w:r w:rsidR="00E64A42" w:rsidRPr="00A23740">
              <w:rPr>
                <w:rFonts w:eastAsia="Times New Roman"/>
                <w:color w:val="000000"/>
                <w:szCs w:val="24"/>
                <w:lang w:eastAsia="tr-TR"/>
              </w:rPr>
              <w:t>in</w:t>
            </w:r>
            <w:r w:rsidRPr="00A23740">
              <w:rPr>
                <w:rFonts w:eastAsia="Times New Roman"/>
                <w:color w:val="000000"/>
                <w:szCs w:val="24"/>
                <w:lang w:eastAsia="tr-TR"/>
              </w:rPr>
              <w:t xml:space="preserve"> kurulması ve bunun için </w:t>
            </w:r>
            <w:r w:rsidR="00E64A42" w:rsidRPr="00A23740">
              <w:rPr>
                <w:rFonts w:eastAsia="Times New Roman"/>
                <w:color w:val="000000"/>
                <w:szCs w:val="24"/>
                <w:lang w:eastAsia="tr-TR"/>
              </w:rPr>
              <w:t xml:space="preserve">yerine getirilmesi </w:t>
            </w:r>
            <w:r w:rsidRPr="00A23740">
              <w:rPr>
                <w:rFonts w:eastAsia="Times New Roman"/>
                <w:color w:val="000000"/>
                <w:szCs w:val="24"/>
                <w:lang w:eastAsia="tr-TR"/>
              </w:rPr>
              <w:t>gereken bütün işlemleri yerine getireceği ifade edilmektedir. Öte yandan konkordato tasfiye memurlarının malvarlığının terkine konu olan malvarlığı bakımından dava takip yetkisine sahip olduğu, mahkemelerde konkordato masasını temsil edeceği ifl</w:t>
            </w:r>
            <w:r w:rsidR="005A3987" w:rsidRPr="00A23740">
              <w:rPr>
                <w:rFonts w:eastAsia="Times New Roman"/>
                <w:color w:val="000000"/>
                <w:szCs w:val="24"/>
                <w:lang w:eastAsia="tr-TR"/>
              </w:rPr>
              <w:t>a</w:t>
            </w:r>
            <w:r w:rsidRPr="00A23740">
              <w:rPr>
                <w:rFonts w:eastAsia="Times New Roman"/>
                <w:color w:val="000000"/>
                <w:szCs w:val="24"/>
                <w:lang w:eastAsia="tr-TR"/>
              </w:rPr>
              <w:t>s idaresinin görev ve yetkilerine ilişkin hükmün kıyasen uygulanacağı şeklinde belirtilmiştir. Yine burada kullanılan “konkordato masası” ifadesi, konkordato tasfiye memurlarının bu yetkisinin borçlunun tüm malvarlığı bakımından değil</w:t>
            </w:r>
            <w:r w:rsidR="00E64A42" w:rsidRPr="00A23740">
              <w:rPr>
                <w:rFonts w:eastAsia="Times New Roman"/>
                <w:color w:val="000000"/>
                <w:szCs w:val="24"/>
                <w:lang w:eastAsia="tr-TR"/>
              </w:rPr>
              <w:t>,</w:t>
            </w:r>
            <w:r w:rsidRPr="00A23740">
              <w:rPr>
                <w:rFonts w:eastAsia="Times New Roman"/>
                <w:color w:val="000000"/>
                <w:szCs w:val="24"/>
                <w:lang w:eastAsia="tr-TR"/>
              </w:rPr>
              <w:t xml:space="preserve"> yalnızca projeye t</w:t>
            </w:r>
            <w:r w:rsidR="00D81869" w:rsidRPr="00A23740">
              <w:rPr>
                <w:rFonts w:eastAsia="Times New Roman"/>
                <w:color w:val="000000"/>
                <w:szCs w:val="24"/>
                <w:lang w:eastAsia="tr-TR"/>
              </w:rPr>
              <w:t>a</w:t>
            </w:r>
            <w:r w:rsidRPr="00A23740">
              <w:rPr>
                <w:rFonts w:eastAsia="Times New Roman"/>
                <w:color w:val="000000"/>
                <w:szCs w:val="24"/>
                <w:lang w:eastAsia="tr-TR"/>
              </w:rPr>
              <w:t xml:space="preserve">bi olan mallar veya haklar bakımından olduğunu anlatmaktadır.  </w:t>
            </w:r>
          </w:p>
          <w:p w:rsidR="00AA5C8C" w:rsidRPr="00A23740" w:rsidRDefault="00AA5C8C" w:rsidP="006C4AA3">
            <w:pPr>
              <w:rPr>
                <w:rFonts w:eastAsia="Times New Roman"/>
                <w:bCs/>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Konkordato tasfiye memurlarının hukukî durumu:</w:t>
            </w:r>
          </w:p>
          <w:p w:rsidR="00AA5C8C" w:rsidRPr="00A23740" w:rsidRDefault="00AA5C8C" w:rsidP="009431FF">
            <w:pPr>
              <w:rPr>
                <w:rStyle w:val="KIRMIZIChar"/>
                <w:rFonts w:eastAsia="Calibri"/>
              </w:rPr>
            </w:pPr>
            <w:r w:rsidRPr="00A23740">
              <w:rPr>
                <w:rStyle w:val="KIRMIZIChar"/>
                <w:rFonts w:eastAsia="Calibri"/>
              </w:rPr>
              <w:t>Madde 309/ç-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Konkordato tasfiye memurları alacaklılar kurulunun nezaret ve denetimine tâbidir. Konkordato tasfiye memurlarının malvarlığının paraya çevrilmesine ilişkin kararlarına karşı öğrenilmesinden itibaren yedi gün içinde alacaklılar kurulu nezdinde itiraz edilebilir ve bu kurulun kararlarına karşı da şikâyet yoluna başvurulabilir.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w:t>
            </w:r>
            <w:r w:rsidRPr="00AF7B35">
              <w:rPr>
                <w:rStyle w:val="KIRMIZIChar"/>
                <w:rFonts w:eastAsia="Calibri"/>
              </w:rPr>
              <w:t>8,</w:t>
            </w:r>
            <w:r w:rsidRPr="00A23740">
              <w:rPr>
                <w:rFonts w:eastAsia="Times New Roman"/>
                <w:color w:val="000000"/>
                <w:szCs w:val="24"/>
                <w:lang w:eastAsia="tr-TR"/>
              </w:rPr>
              <w:t xml:space="preserve"> 9, 10, 11</w:t>
            </w:r>
            <w:r w:rsidRPr="00AF7B35">
              <w:rPr>
                <w:rStyle w:val="KIRMIZIChar"/>
                <w:rFonts w:eastAsia="Calibri"/>
                <w:b w:val="0"/>
                <w:strike w:val="0"/>
                <w:color w:val="000000" w:themeColor="text1"/>
              </w:rPr>
              <w:t>,</w:t>
            </w:r>
            <w:r w:rsidRPr="00AF7B35">
              <w:rPr>
                <w:rStyle w:val="KIRMIZIChar"/>
                <w:rFonts w:eastAsia="Calibri"/>
                <w:strike w:val="0"/>
              </w:rPr>
              <w:t xml:space="preserve"> </w:t>
            </w:r>
            <w:r w:rsidRPr="00AF7B35">
              <w:rPr>
                <w:rStyle w:val="KIRMIZIChar"/>
                <w:rFonts w:eastAsia="Calibri"/>
                <w:b w:val="0"/>
                <w:strike w:val="0"/>
                <w:color w:val="000000" w:themeColor="text1"/>
              </w:rPr>
              <w:t xml:space="preserve">21 </w:t>
            </w:r>
            <w:r w:rsidRPr="00AF7B35">
              <w:rPr>
                <w:rStyle w:val="KIRMIZIChar"/>
                <w:rFonts w:eastAsia="Calibri"/>
              </w:rPr>
              <w:t>ve 359 uncu</w:t>
            </w:r>
            <w:r w:rsidRPr="00A23740">
              <w:rPr>
                <w:rFonts w:eastAsia="Times New Roman"/>
                <w:color w:val="000000"/>
                <w:szCs w:val="24"/>
                <w:lang w:eastAsia="tr-TR"/>
              </w:rPr>
              <w:t xml:space="preserve"> maddeler konkordato tasfiye memurlarının işlemlerinde de kıyas yoluyla uygulanır.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Konkordato tasfiye memurlarının hukuk</w:t>
            </w:r>
            <w:r w:rsidR="008342EF" w:rsidRPr="00A23740">
              <w:rPr>
                <w:rFonts w:eastAsia="Times New Roman"/>
                <w:b/>
                <w:iCs/>
                <w:color w:val="000000"/>
                <w:szCs w:val="24"/>
                <w:lang w:eastAsia="tr-TR"/>
              </w:rPr>
              <w:t>i</w:t>
            </w:r>
            <w:r w:rsidRPr="00A23740">
              <w:rPr>
                <w:rFonts w:eastAsia="Times New Roman"/>
                <w:b/>
                <w:iCs/>
                <w:color w:val="000000"/>
                <w:szCs w:val="24"/>
                <w:lang w:eastAsia="tr-TR"/>
              </w:rPr>
              <w:t xml:space="preserve"> durumu</w:t>
            </w:r>
          </w:p>
          <w:p w:rsidR="00AA5C8C" w:rsidRPr="00A23740" w:rsidRDefault="00AA5C8C" w:rsidP="009431FF">
            <w:pPr>
              <w:rPr>
                <w:rFonts w:eastAsia="Times New Roman"/>
                <w:color w:val="000000"/>
                <w:szCs w:val="24"/>
                <w:lang w:eastAsia="tr-TR"/>
              </w:rPr>
            </w:pPr>
            <w:r w:rsidRPr="00A23740">
              <w:rPr>
                <w:rStyle w:val="MaviChar"/>
                <w:lang w:val="tr-TR"/>
              </w:rPr>
              <w:t>MADDE 4</w:t>
            </w:r>
            <w:r w:rsidR="00164036" w:rsidRPr="00A23740">
              <w:rPr>
                <w:rStyle w:val="MaviChar"/>
                <w:lang w:val="tr-TR"/>
              </w:rPr>
              <w:t>21</w:t>
            </w:r>
            <w:r w:rsidRPr="00A23740">
              <w:rPr>
                <w:rStyle w:val="MaviChar"/>
                <w:lang w:val="tr-TR"/>
              </w:rPr>
              <w:t>- (1)</w:t>
            </w:r>
            <w:r w:rsidRPr="00A23740">
              <w:rPr>
                <w:rFonts w:eastAsia="Times New Roman"/>
                <w:color w:val="000000"/>
                <w:szCs w:val="24"/>
                <w:lang w:eastAsia="tr-TR"/>
              </w:rPr>
              <w:t xml:space="preserve"> Konkordato tasfiye memurları</w:t>
            </w:r>
            <w:r w:rsidRPr="00A23740">
              <w:rPr>
                <w:rStyle w:val="Balk1Char"/>
                <w:rFonts w:eastAsia="Calibri"/>
              </w:rPr>
              <w:t>,</w:t>
            </w:r>
            <w:r w:rsidRPr="00A23740">
              <w:rPr>
                <w:rFonts w:eastAsia="Times New Roman"/>
                <w:color w:val="000000"/>
                <w:szCs w:val="24"/>
                <w:lang w:eastAsia="tr-TR"/>
              </w:rPr>
              <w:t xml:space="preserve"> alacaklılar kurulunun </w:t>
            </w:r>
            <w:r w:rsidRPr="00A23740">
              <w:rPr>
                <w:rStyle w:val="Balk1Char"/>
                <w:rFonts w:eastAsia="Calibri"/>
              </w:rPr>
              <w:t>gözetim</w:t>
            </w:r>
            <w:r w:rsidRPr="00A23740">
              <w:rPr>
                <w:rFonts w:eastAsia="Times New Roman"/>
                <w:color w:val="000000"/>
                <w:szCs w:val="24"/>
                <w:lang w:eastAsia="tr-TR"/>
              </w:rPr>
              <w:t xml:space="preserve"> ve denetimine t</w:t>
            </w:r>
            <w:r w:rsidR="00D81869" w:rsidRPr="00A23740">
              <w:rPr>
                <w:rFonts w:eastAsia="Times New Roman"/>
                <w:color w:val="000000"/>
                <w:szCs w:val="24"/>
                <w:lang w:eastAsia="tr-TR"/>
              </w:rPr>
              <w:t>a</w:t>
            </w:r>
            <w:r w:rsidRPr="00A23740">
              <w:rPr>
                <w:rFonts w:eastAsia="Times New Roman"/>
                <w:color w:val="000000"/>
                <w:szCs w:val="24"/>
                <w:lang w:eastAsia="tr-TR"/>
              </w:rPr>
              <w:t>bidir. Konkordato tasfiye memurlarının malvarlığının paraya çevrilmesine ilişkin kararlarına karşı</w:t>
            </w:r>
            <w:r w:rsidRPr="00A23740">
              <w:rPr>
                <w:rStyle w:val="Balk1Char"/>
                <w:rFonts w:eastAsia="Calibri"/>
              </w:rPr>
              <w:t>, kararın</w:t>
            </w:r>
            <w:r w:rsidRPr="00A23740">
              <w:rPr>
                <w:rFonts w:eastAsia="Times New Roman"/>
                <w:color w:val="000000"/>
                <w:szCs w:val="24"/>
                <w:lang w:eastAsia="tr-TR"/>
              </w:rPr>
              <w:t xml:space="preserve"> öğrenilmesinden itibaren </w:t>
            </w:r>
            <w:r w:rsidRPr="00A23740">
              <w:rPr>
                <w:rStyle w:val="MaviChar"/>
                <w:lang w:val="tr-TR"/>
              </w:rPr>
              <w:t>bir hafta</w:t>
            </w:r>
            <w:r w:rsidRPr="00A23740">
              <w:rPr>
                <w:rFonts w:eastAsia="Times New Roman"/>
                <w:color w:val="000000"/>
                <w:szCs w:val="24"/>
                <w:lang w:eastAsia="tr-TR"/>
              </w:rPr>
              <w:t xml:space="preserve"> içinde alacaklılar kurulu nezdinde itiraz edilebilir ve bu kurulun kararlarına karşı da şikâyet yoluna başvurulabilir.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(2)</w:t>
            </w:r>
            <w:r w:rsidR="00604892" w:rsidRPr="00A23740">
              <w:rPr>
                <w:rStyle w:val="MaviChar"/>
                <w:lang w:val="tr-TR"/>
              </w:rPr>
              <w:t xml:space="preserve"> </w:t>
            </w:r>
            <w:r w:rsidR="00604892" w:rsidRPr="00075A70">
              <w:rPr>
                <w:rStyle w:val="MaviChar"/>
              </w:rPr>
              <w:t>3</w:t>
            </w:r>
            <w:r w:rsidRPr="00A23740">
              <w:rPr>
                <w:rStyle w:val="MaviChar"/>
              </w:rPr>
              <w:t>,</w:t>
            </w:r>
            <w:r w:rsidR="00604892" w:rsidRPr="00A23740">
              <w:rPr>
                <w:rStyle w:val="MaviChar"/>
                <w:lang w:val="tr-TR"/>
              </w:rPr>
              <w:t xml:space="preserve"> </w:t>
            </w:r>
            <w:r w:rsidRPr="00A23740">
              <w:rPr>
                <w:rStyle w:val="Balk1Char"/>
                <w:rFonts w:eastAsia="Calibri"/>
                <w:b w:val="0"/>
                <w:color w:val="000000"/>
              </w:rPr>
              <w:t>9</w:t>
            </w:r>
            <w:r w:rsidRPr="00A23740">
              <w:rPr>
                <w:rStyle w:val="Balk1Char"/>
                <w:rFonts w:eastAsia="Calibri"/>
              </w:rPr>
              <w:t>,</w:t>
            </w:r>
            <w:r w:rsidR="00604892" w:rsidRPr="00A23740">
              <w:rPr>
                <w:rStyle w:val="Balk1Char"/>
                <w:rFonts w:eastAsia="Calibri"/>
              </w:rPr>
              <w:t xml:space="preserve"> </w:t>
            </w:r>
            <w:r w:rsidRPr="00A23740">
              <w:rPr>
                <w:rStyle w:val="AralkYokChar"/>
                <w:strike w:val="0"/>
                <w:lang w:val="tr-TR"/>
              </w:rPr>
              <w:t xml:space="preserve"> </w:t>
            </w:r>
            <w:r w:rsidR="00604892" w:rsidRPr="00AF7B35">
              <w:rPr>
                <w:rStyle w:val="MaviChar"/>
                <w:b w:val="0"/>
                <w:color w:val="000000" w:themeColor="text1"/>
              </w:rPr>
              <w:t>10</w:t>
            </w:r>
            <w:r w:rsidR="00604892" w:rsidRPr="00AF7B35">
              <w:rPr>
                <w:rStyle w:val="Balk1Char"/>
                <w:rFonts w:eastAsia="Calibri"/>
                <w:b w:val="0"/>
                <w:color w:val="000000" w:themeColor="text1"/>
              </w:rPr>
              <w:t>,</w:t>
            </w:r>
            <w:r w:rsidR="00604892" w:rsidRPr="00A23740">
              <w:rPr>
                <w:rStyle w:val="AralkYokChar"/>
                <w:strike w:val="0"/>
                <w:lang w:val="tr-TR"/>
              </w:rPr>
              <w:t xml:space="preserve"> </w:t>
            </w:r>
            <w:r w:rsidRPr="00A23740">
              <w:rPr>
                <w:rStyle w:val="AralkYokChar"/>
                <w:b w:val="0"/>
                <w:strike w:val="0"/>
                <w:color w:val="000000"/>
                <w:lang w:val="tr-TR"/>
              </w:rPr>
              <w:t>11</w:t>
            </w:r>
            <w:r w:rsidRPr="00AF7B35">
              <w:rPr>
                <w:rStyle w:val="Balk1Char"/>
                <w:rFonts w:eastAsia="Calibri"/>
                <w:b w:val="0"/>
                <w:color w:val="000000" w:themeColor="text1"/>
              </w:rPr>
              <w:t>,</w:t>
            </w:r>
            <w:r w:rsidRPr="00A23740">
              <w:rPr>
                <w:rStyle w:val="AralkYokChar"/>
                <w:strike w:val="0"/>
                <w:lang w:val="tr-TR"/>
              </w:rPr>
              <w:t xml:space="preserve">  </w:t>
            </w:r>
            <w:r w:rsidRPr="00A23740">
              <w:rPr>
                <w:rStyle w:val="Balk1Char"/>
                <w:rFonts w:eastAsia="Calibri"/>
              </w:rPr>
              <w:t>14</w:t>
            </w:r>
            <w:r w:rsidR="00604892" w:rsidRPr="00A23740">
              <w:rPr>
                <w:rStyle w:val="Balk1Char"/>
                <w:rFonts w:eastAsia="Calibri"/>
              </w:rPr>
              <w:t>,</w:t>
            </w:r>
            <w:r w:rsidR="00AF7B35">
              <w:rPr>
                <w:rStyle w:val="AralkYokChar"/>
                <w:strike w:val="0"/>
                <w:lang w:val="tr-TR"/>
              </w:rPr>
              <w:t xml:space="preserve"> </w:t>
            </w:r>
            <w:r w:rsidRPr="00A23740">
              <w:rPr>
                <w:rStyle w:val="Balk1Char"/>
                <w:rFonts w:eastAsia="Calibri"/>
              </w:rPr>
              <w:t>15</w:t>
            </w:r>
            <w:r w:rsidRPr="00A23740">
              <w:rPr>
                <w:rStyle w:val="AralkYokChar"/>
                <w:strike w:val="0"/>
                <w:lang w:val="tr-TR"/>
              </w:rPr>
              <w:t xml:space="preserve"> </w:t>
            </w:r>
            <w:r w:rsidR="00604892" w:rsidRPr="00075A70">
              <w:rPr>
                <w:rStyle w:val="MaviChar"/>
              </w:rPr>
              <w:t xml:space="preserve">ve </w:t>
            </w:r>
            <w:r w:rsidR="00604892" w:rsidRPr="00AF7B35">
              <w:rPr>
                <w:rStyle w:val="MaviChar"/>
                <w:b w:val="0"/>
                <w:color w:val="000000" w:themeColor="text1"/>
              </w:rPr>
              <w:t xml:space="preserve">21 </w:t>
            </w:r>
            <w:r w:rsidR="00604892" w:rsidRPr="00075A70">
              <w:rPr>
                <w:rStyle w:val="MaviChar"/>
              </w:rPr>
              <w:t>inci</w:t>
            </w:r>
            <w:r w:rsidR="00604892" w:rsidRPr="00A23740">
              <w:rPr>
                <w:rStyle w:val="MaviChar"/>
                <w:rFonts w:eastAsia="Times New Roman"/>
                <w:color w:val="CC00CC"/>
                <w:lang w:val="tr-TR"/>
              </w:rPr>
              <w:t xml:space="preserve"> </w:t>
            </w:r>
            <w:r w:rsidRPr="00A23740">
              <w:rPr>
                <w:rFonts w:eastAsia="Times New Roman"/>
                <w:color w:val="000000"/>
                <w:szCs w:val="24"/>
                <w:lang w:eastAsia="tr-TR"/>
              </w:rPr>
              <w:t xml:space="preserve">maddeler konkordato tasfiye memurlarının işlemlerinde de </w:t>
            </w:r>
            <w:r w:rsidR="007C4E36" w:rsidRPr="00075A70">
              <w:rPr>
                <w:rStyle w:val="MaviChar"/>
              </w:rPr>
              <w:t>kıyasen</w:t>
            </w:r>
            <w:r w:rsidRPr="00A23740">
              <w:rPr>
                <w:rFonts w:eastAsia="Times New Roman"/>
                <w:color w:val="000000"/>
                <w:szCs w:val="24"/>
                <w:lang w:eastAsia="tr-TR"/>
              </w:rPr>
              <w:t xml:space="preserve"> uygulanır.</w:t>
            </w:r>
          </w:p>
          <w:p w:rsidR="00AA5C8C" w:rsidRPr="00A23740" w:rsidRDefault="00AA5C8C" w:rsidP="009431FF">
            <w:pPr>
              <w:rPr>
                <w:rFonts w:eastAsia="Times New Roman"/>
                <w:iCs/>
                <w:color w:val="000000"/>
                <w:szCs w:val="24"/>
                <w:lang w:eastAsia="tr-TR"/>
              </w:rPr>
            </w:pPr>
          </w:p>
          <w:p w:rsidR="00AA5C8C" w:rsidRPr="00A23740" w:rsidRDefault="00AA5C8C" w:rsidP="00AD7E89">
            <w:r w:rsidRPr="00A23740">
              <w:rPr>
                <w:rStyle w:val="MaviChar"/>
                <w:lang w:val="tr-TR"/>
              </w:rPr>
              <w:t xml:space="preserve">(3) Konkordato tasfiye memurları tarafından yapılacak tebligatlar, Tebligat Kanunu hükümlerine </w:t>
            </w:r>
            <w:r w:rsidRPr="00A23740">
              <w:rPr>
                <w:rStyle w:val="Balk1Char"/>
                <w:rFonts w:eastAsia="Calibri"/>
              </w:rPr>
              <w:t>tabidir.</w:t>
            </w:r>
            <w:r w:rsidRPr="00A23740">
              <w:rPr>
                <w:rStyle w:val="MaviChar"/>
                <w:lang w:val="tr-TR"/>
              </w:rPr>
              <w:t xml:space="preserve"> Konkordato tasfiye memurları, yapacakları tebligat ve bildirimler için gönderici elektronik tebligat adresi ve gerektiğinde kayıtlı elektronik posta adresi alır.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A5C8C" w:rsidRPr="00A23740" w:rsidRDefault="00AA5C8C" w:rsidP="009431FF">
            <w:pPr>
              <w:ind w:firstLine="709"/>
              <w:rPr>
                <w:rFonts w:eastAsia="Times New Roman"/>
                <w:b/>
                <w:iCs/>
                <w:color w:val="000000"/>
                <w:szCs w:val="24"/>
                <w:lang w:eastAsia="tr-TR"/>
              </w:rPr>
            </w:pPr>
          </w:p>
          <w:p w:rsidR="00AA5C8C" w:rsidRPr="00A23740" w:rsidRDefault="001134DD" w:rsidP="009431FF">
            <w:pPr>
              <w:ind w:firstLine="709"/>
              <w:rPr>
                <w:rFonts w:eastAsia="Times New Roman"/>
                <w:b/>
                <w:color w:val="000000"/>
                <w:szCs w:val="24"/>
                <w:lang w:eastAsia="tr-TR"/>
              </w:rPr>
            </w:pPr>
            <w:r w:rsidRPr="00A23740">
              <w:rPr>
                <w:rFonts w:eastAsia="Times New Roman"/>
                <w:b/>
                <w:iCs/>
                <w:color w:val="000000"/>
                <w:szCs w:val="24"/>
                <w:lang w:eastAsia="tr-TR"/>
              </w:rPr>
              <w:t xml:space="preserve">MADDE </w:t>
            </w:r>
            <w:r w:rsidR="00164036" w:rsidRPr="00A23740">
              <w:rPr>
                <w:rFonts w:eastAsia="Times New Roman"/>
                <w:b/>
                <w:iCs/>
                <w:color w:val="000000"/>
                <w:szCs w:val="24"/>
                <w:lang w:eastAsia="tr-TR"/>
              </w:rPr>
              <w:t>421</w:t>
            </w:r>
            <w:r w:rsidR="00AA5C8C" w:rsidRPr="00A23740">
              <w:rPr>
                <w:rFonts w:eastAsia="Times New Roman"/>
                <w:b/>
                <w:iCs/>
                <w:color w:val="000000"/>
                <w:szCs w:val="24"/>
                <w:lang w:eastAsia="tr-TR"/>
              </w:rPr>
              <w:t xml:space="preserve">- </w:t>
            </w:r>
            <w:r w:rsidRPr="00A23740">
              <w:rPr>
                <w:rFonts w:eastAsia="Times New Roman"/>
                <w:iCs/>
                <w:color w:val="000000"/>
                <w:szCs w:val="24"/>
                <w:lang w:eastAsia="tr-TR"/>
              </w:rPr>
              <w:t>Maddeyle,</w:t>
            </w:r>
            <w:r w:rsidRPr="00A23740">
              <w:rPr>
                <w:rFonts w:eastAsia="Times New Roman"/>
                <w:b/>
                <w:iCs/>
                <w:color w:val="000000"/>
                <w:szCs w:val="24"/>
                <w:lang w:eastAsia="tr-TR"/>
              </w:rPr>
              <w:t xml:space="preserve"> </w:t>
            </w:r>
            <w:r w:rsidRPr="00A23740">
              <w:rPr>
                <w:rFonts w:eastAsia="Times New Roman"/>
                <w:iCs/>
                <w:color w:val="000000"/>
                <w:szCs w:val="24"/>
                <w:lang w:eastAsia="tr-TR"/>
              </w:rPr>
              <w:t>konkordato tasfiye memurlarının hukukî durumu</w:t>
            </w:r>
            <w:r w:rsidRPr="00A23740">
              <w:rPr>
                <w:rFonts w:eastAsia="Times New Roman"/>
                <w:color w:val="000000"/>
                <w:szCs w:val="24"/>
                <w:lang w:eastAsia="tr-TR"/>
              </w:rPr>
              <w:t>na ilişkin hususlar düzenlenmektedir.</w:t>
            </w:r>
            <w:r w:rsidRPr="00A23740">
              <w:rPr>
                <w:rFonts w:eastAsia="Times New Roman"/>
                <w:b/>
                <w:color w:val="000000"/>
                <w:szCs w:val="24"/>
                <w:lang w:eastAsia="tr-TR"/>
              </w:rPr>
              <w:t xml:space="preserve"> </w:t>
            </w:r>
            <w:r w:rsidR="00AA5C8C" w:rsidRPr="00A23740">
              <w:rPr>
                <w:rFonts w:eastAsia="Times New Roman"/>
                <w:bCs/>
                <w:iCs/>
                <w:color w:val="000000"/>
                <w:szCs w:val="24"/>
                <w:lang w:eastAsia="tr-TR"/>
              </w:rPr>
              <w:t>2004 sayılı Kanunun 309/ç maddesinde düzenlenen k</w:t>
            </w:r>
            <w:r w:rsidR="00AA5C8C" w:rsidRPr="00A23740">
              <w:rPr>
                <w:rFonts w:eastAsia="Times New Roman"/>
                <w:color w:val="000000"/>
                <w:szCs w:val="24"/>
                <w:lang w:eastAsia="tr-TR"/>
              </w:rPr>
              <w:t>onkordato tasfiye memurlarının hukuki durumu</w:t>
            </w:r>
            <w:r w:rsidR="00E70375" w:rsidRPr="00A23740">
              <w:rPr>
                <w:rFonts w:eastAsia="Times New Roman"/>
                <w:bCs/>
                <w:iCs/>
                <w:color w:val="000000"/>
                <w:szCs w:val="24"/>
                <w:lang w:eastAsia="tr-TR"/>
              </w:rPr>
              <w:t xml:space="preserve"> esas itibarıyla</w:t>
            </w:r>
            <w:r w:rsidR="00AA5C8C" w:rsidRPr="00A23740">
              <w:rPr>
                <w:rFonts w:eastAsia="Times New Roman"/>
                <w:bCs/>
                <w:iCs/>
                <w:color w:val="000000"/>
                <w:szCs w:val="24"/>
                <w:lang w:eastAsia="tr-TR"/>
              </w:rPr>
              <w:t xml:space="preserve"> bu Kanuna da alınmıştır.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Konkordato tasfiye memurlarının durumu, büyük ölçüde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 idaresinin durumuna benzer. Konkordato tasfiye memurları, masanın yasal temsilcisi olup, masaya dahil mal ve hakların muhafazası ve konkordato şartlarına göre paraya çevrilerek elde edilen paranın alacaklılara dağıtılması için gerekli bütün işlemleri yaparlar. Alacaklıların, masaya giren mallar üzerinde haiz oldukları tasarruf yetkisi onlar adına konkordato tasfiye memurları aracılığıyla kullanılır. Konkordato tasfiye memurları, alacaklılar kurulunun nezaret ve denetimi altında görev yaparlar. Konkordato tasfiye memurlarının masa mevcudunun paraya çevrilmesine (ve paraların paylaştırılmasına) ilişkin işlemlerine karşı, işlemin öğrenildiği tarihten itibaren bir hafta içinde alacaklılar kurulu nezdinde itirazda bulunulabilir; alacaklılar kurulunun itiraz hakkındaki kararına karşı da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 xml:space="preserve">s mahkemesi nezdinde şikâyet yoluna başvurulabilir.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Maddenin ikinci fıkrası</w:t>
            </w:r>
            <w:r w:rsidR="00E64A42" w:rsidRPr="00A23740">
              <w:rPr>
                <w:rFonts w:eastAsia="Times New Roman"/>
                <w:bCs/>
                <w:iCs/>
                <w:color w:val="000000"/>
                <w:szCs w:val="24"/>
                <w:lang w:eastAsia="tr-TR"/>
              </w:rPr>
              <w:t>yla</w:t>
            </w:r>
            <w:r w:rsidRPr="00A23740">
              <w:rPr>
                <w:rFonts w:eastAsia="Times New Roman"/>
                <w:bCs/>
                <w:iCs/>
                <w:color w:val="000000"/>
                <w:szCs w:val="24"/>
                <w:lang w:eastAsia="tr-TR"/>
              </w:rPr>
              <w:t xml:space="preserve"> 2004 sayılı Kanunun 309/ç maddesindeki düzenlemede </w:t>
            </w:r>
            <w:r w:rsidR="00E64A42" w:rsidRPr="00A23740">
              <w:rPr>
                <w:rFonts w:eastAsia="Times New Roman"/>
                <w:bCs/>
                <w:iCs/>
                <w:color w:val="000000"/>
                <w:szCs w:val="24"/>
                <w:lang w:eastAsia="tr-TR"/>
              </w:rPr>
              <w:t xml:space="preserve">kısmi bir </w:t>
            </w:r>
            <w:r w:rsidRPr="00A23740">
              <w:rPr>
                <w:rFonts w:eastAsia="Times New Roman"/>
                <w:bCs/>
                <w:iCs/>
                <w:color w:val="000000"/>
                <w:szCs w:val="24"/>
                <w:lang w:eastAsia="tr-TR"/>
              </w:rPr>
              <w:t xml:space="preserve">değişiklik yapılmıştır. </w:t>
            </w:r>
            <w:r w:rsidR="00E64A42" w:rsidRPr="00A23740">
              <w:rPr>
                <w:rFonts w:eastAsia="Times New Roman"/>
                <w:bCs/>
                <w:iCs/>
                <w:color w:val="000000"/>
                <w:szCs w:val="24"/>
                <w:lang w:eastAsia="tr-TR"/>
              </w:rPr>
              <w:t>Bu çerçevede, k</w:t>
            </w:r>
            <w:r w:rsidRPr="00A23740">
              <w:rPr>
                <w:rFonts w:eastAsia="Times New Roman"/>
                <w:bCs/>
                <w:iCs/>
                <w:color w:val="000000"/>
                <w:szCs w:val="24"/>
                <w:lang w:eastAsia="tr-TR"/>
              </w:rPr>
              <w:t>onkordato tasfiye memurlarının</w:t>
            </w:r>
            <w:r w:rsidR="00E64A42" w:rsidRPr="00A23740">
              <w:rPr>
                <w:rFonts w:eastAsia="Times New Roman"/>
                <w:bCs/>
                <w:iCs/>
                <w:color w:val="000000"/>
                <w:szCs w:val="24"/>
                <w:lang w:eastAsia="tr-TR"/>
              </w:rPr>
              <w:t>,</w:t>
            </w:r>
            <w:r w:rsidRPr="00A23740">
              <w:rPr>
                <w:rFonts w:eastAsia="Times New Roman"/>
                <w:bCs/>
                <w:iCs/>
                <w:color w:val="000000"/>
                <w:szCs w:val="24"/>
                <w:lang w:eastAsia="tr-TR"/>
              </w:rPr>
              <w:t xml:space="preserve"> sahip </w:t>
            </w:r>
            <w:r w:rsidR="00E64A42" w:rsidRPr="00A23740">
              <w:rPr>
                <w:rFonts w:eastAsia="Times New Roman"/>
                <w:bCs/>
                <w:iCs/>
                <w:color w:val="000000"/>
                <w:szCs w:val="24"/>
                <w:lang w:eastAsia="tr-TR"/>
              </w:rPr>
              <w:t xml:space="preserve"> oldukları </w:t>
            </w:r>
            <w:r w:rsidRPr="00A23740">
              <w:rPr>
                <w:rFonts w:eastAsia="Times New Roman"/>
                <w:bCs/>
                <w:iCs/>
                <w:color w:val="000000"/>
                <w:szCs w:val="24"/>
                <w:lang w:eastAsia="tr-TR"/>
              </w:rPr>
              <w:t xml:space="preserve">yetkiler dikkate alınarak işlemlerinde </w:t>
            </w:r>
            <w:r w:rsidR="000A3332" w:rsidRPr="00075A70">
              <w:t>Taslağın</w:t>
            </w:r>
            <w:r w:rsidRPr="00A23740">
              <w:rPr>
                <w:rFonts w:eastAsia="Times New Roman"/>
                <w:bCs/>
                <w:iCs/>
                <w:color w:val="000000"/>
                <w:szCs w:val="24"/>
                <w:lang w:eastAsia="tr-TR"/>
              </w:rPr>
              <w:t xml:space="preserve"> icra ve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 dairelerine ilişkin bazı hükümlerinin kıyasen uygulanacağı kabul edilmiştir. Buna göre konkordato tasfiye memurlarının görevleri dolayısıyla özel kurum veya kamu kurum ve kuruluşlarıyla doğrudan</w:t>
            </w:r>
            <w:r w:rsidR="00E64A42" w:rsidRPr="00A23740">
              <w:rPr>
                <w:rFonts w:eastAsia="Times New Roman"/>
                <w:bCs/>
                <w:iCs/>
                <w:color w:val="000000"/>
                <w:szCs w:val="24"/>
                <w:lang w:eastAsia="tr-TR"/>
              </w:rPr>
              <w:t>yazışabilmeleri</w:t>
            </w:r>
            <w:r w:rsidRPr="00A23740">
              <w:rPr>
                <w:rFonts w:eastAsia="Times New Roman"/>
                <w:bCs/>
                <w:iCs/>
                <w:color w:val="000000"/>
                <w:szCs w:val="24"/>
                <w:lang w:eastAsia="tr-TR"/>
              </w:rPr>
              <w:t>; her türlü işlemleri dolayısıyla tutanak tutmak zorunda olmaları; kendilerine nakdi ödeme yapılması ve her türlü ödemenin banka hesabına yapılması; iş görmekten yasaklılık kuralları ile yasak işlemler hakkındaki kurallara tasfiye memurlarının da t</w:t>
            </w:r>
            <w:r w:rsidR="00D81869" w:rsidRPr="00A23740">
              <w:rPr>
                <w:rFonts w:eastAsia="Times New Roman"/>
                <w:bCs/>
                <w:iCs/>
                <w:color w:val="000000"/>
                <w:szCs w:val="24"/>
                <w:lang w:eastAsia="tr-TR"/>
              </w:rPr>
              <w:t>a</w:t>
            </w:r>
            <w:r w:rsidRPr="00A23740">
              <w:rPr>
                <w:rFonts w:eastAsia="Times New Roman"/>
                <w:bCs/>
                <w:iCs/>
                <w:color w:val="000000"/>
                <w:szCs w:val="24"/>
                <w:lang w:eastAsia="tr-TR"/>
              </w:rPr>
              <w:t xml:space="preserve">bi </w:t>
            </w:r>
            <w:r w:rsidR="00E64A42" w:rsidRPr="00A23740">
              <w:rPr>
                <w:rFonts w:eastAsia="Times New Roman"/>
                <w:bCs/>
                <w:iCs/>
                <w:color w:val="000000"/>
                <w:szCs w:val="24"/>
                <w:lang w:eastAsia="tr-TR"/>
              </w:rPr>
              <w:t xml:space="preserve">olmaları </w:t>
            </w:r>
            <w:r w:rsidRPr="00A23740">
              <w:rPr>
                <w:rFonts w:eastAsia="Times New Roman"/>
                <w:bCs/>
                <w:iCs/>
                <w:color w:val="000000"/>
                <w:szCs w:val="24"/>
                <w:lang w:eastAsia="tr-TR"/>
              </w:rPr>
              <w:t>bakımında</w:t>
            </w:r>
            <w:r w:rsidR="001134DD" w:rsidRPr="00A23740">
              <w:rPr>
                <w:rFonts w:eastAsia="Times New Roman"/>
                <w:bCs/>
                <w:iCs/>
                <w:color w:val="000000"/>
                <w:szCs w:val="24"/>
                <w:lang w:eastAsia="tr-TR"/>
              </w:rPr>
              <w:t xml:space="preserve">n </w:t>
            </w:r>
            <w:r w:rsidR="000A3332" w:rsidRPr="00AF7B35">
              <w:rPr>
                <w:rFonts w:eastAsia="Times New Roman"/>
                <w:bCs/>
                <w:iCs/>
                <w:color w:val="000000"/>
                <w:szCs w:val="24"/>
                <w:lang w:eastAsia="tr-TR"/>
              </w:rPr>
              <w:t>Taslağın</w:t>
            </w:r>
            <w:r w:rsidR="000A3332" w:rsidRPr="00A23740">
              <w:rPr>
                <w:rFonts w:eastAsia="Times New Roman"/>
                <w:bCs/>
                <w:iCs/>
                <w:color w:val="000000"/>
                <w:szCs w:val="24"/>
                <w:lang w:eastAsia="tr-TR"/>
              </w:rPr>
              <w:t xml:space="preserve"> </w:t>
            </w:r>
            <w:r w:rsidR="006C4AA3">
              <w:rPr>
                <w:rFonts w:eastAsia="Times New Roman"/>
                <w:bCs/>
                <w:iCs/>
                <w:color w:val="000000"/>
                <w:szCs w:val="24"/>
                <w:lang w:eastAsia="tr-TR"/>
              </w:rPr>
              <w:t>3, 9,  10, 11,</w:t>
            </w:r>
            <w:r w:rsidR="000A3332" w:rsidRPr="00AF7B35">
              <w:rPr>
                <w:rFonts w:eastAsia="Times New Roman"/>
                <w:bCs/>
                <w:iCs/>
                <w:color w:val="000000"/>
                <w:szCs w:val="24"/>
                <w:lang w:eastAsia="tr-TR"/>
              </w:rPr>
              <w:t xml:space="preserve"> 14, 15 ve 21 inci </w:t>
            </w:r>
            <w:r w:rsidRPr="00A23740">
              <w:rPr>
                <w:rFonts w:eastAsia="Times New Roman"/>
                <w:bCs/>
                <w:iCs/>
                <w:color w:val="000000"/>
                <w:szCs w:val="24"/>
                <w:lang w:eastAsia="tr-TR"/>
              </w:rPr>
              <w:t xml:space="preserve">maddelerine atıf yapılmıştır. Buna karşılık </w:t>
            </w:r>
            <w:r w:rsidR="00E64A42" w:rsidRPr="00A23740">
              <w:rPr>
                <w:rFonts w:eastAsia="Times New Roman"/>
                <w:bCs/>
                <w:iCs/>
                <w:color w:val="000000"/>
                <w:szCs w:val="24"/>
                <w:lang w:eastAsia="tr-TR"/>
              </w:rPr>
              <w:t xml:space="preserve">2004 sayılı Kanununun </w:t>
            </w:r>
            <w:r w:rsidRPr="00A23740">
              <w:rPr>
                <w:rFonts w:eastAsia="Times New Roman"/>
                <w:bCs/>
                <w:iCs/>
                <w:color w:val="000000"/>
                <w:szCs w:val="24"/>
                <w:lang w:eastAsia="tr-TR"/>
              </w:rPr>
              <w:t xml:space="preserve">konkordato tasfiye memurlarının tebligat </w:t>
            </w:r>
            <w:r w:rsidR="00E64A42" w:rsidRPr="00A23740">
              <w:rPr>
                <w:rFonts w:eastAsia="Times New Roman"/>
                <w:bCs/>
                <w:iCs/>
                <w:color w:val="000000"/>
                <w:szCs w:val="24"/>
                <w:lang w:eastAsia="tr-TR"/>
              </w:rPr>
              <w:t xml:space="preserve">yapabilmelerine  </w:t>
            </w:r>
            <w:r w:rsidRPr="00A23740">
              <w:rPr>
                <w:rFonts w:eastAsia="Times New Roman"/>
                <w:bCs/>
                <w:iCs/>
                <w:color w:val="000000"/>
                <w:szCs w:val="24"/>
                <w:lang w:eastAsia="tr-TR"/>
              </w:rPr>
              <w:t>ilişkin 309/ç maddesindeki atıf buraya alınmamış; bu maddenin üçüncü fıkrasında tebligat hususu yeniden düzenlenmiştir.</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Maddenin üçüncü fıkrasında adi konkordato hükümlerine paralellik sağlamak amacıyla tebligatla ilgili düzenleme yapılmıştır. Buna göre, k</w:t>
            </w:r>
            <w:r w:rsidRPr="00A23740">
              <w:rPr>
                <w:rFonts w:eastAsia="Times New Roman"/>
                <w:iCs/>
                <w:color w:val="000000"/>
                <w:lang w:eastAsia="tr-TR"/>
              </w:rPr>
              <w:t>onkordato tasfiye memurları tarafından yapılacak tebligatlar, Tebligat Kanunu hükümlerine göre</w:t>
            </w:r>
            <w:r w:rsidR="00E64A42" w:rsidRPr="00A23740">
              <w:rPr>
                <w:rFonts w:eastAsia="Times New Roman"/>
                <w:iCs/>
                <w:color w:val="000000"/>
                <w:lang w:eastAsia="tr-TR"/>
              </w:rPr>
              <w:t>olacaktır</w:t>
            </w:r>
            <w:r w:rsidRPr="00A23740">
              <w:rPr>
                <w:rFonts w:eastAsia="Times New Roman"/>
                <w:iCs/>
                <w:color w:val="000000"/>
                <w:lang w:eastAsia="tr-TR"/>
              </w:rPr>
              <w:t>. Konkordato tasfiye memurları, yapacakları tebligat ve bildirimler için gönderici elektronik tebligat adresi ve gerektiğinde kayıtlı elektronik posta adresi alır</w:t>
            </w:r>
            <w:r w:rsidR="00E64A42" w:rsidRPr="00A23740">
              <w:rPr>
                <w:rFonts w:eastAsia="Times New Roman"/>
                <w:iCs/>
                <w:color w:val="000000"/>
                <w:lang w:eastAsia="tr-TR"/>
              </w:rPr>
              <w:t>lar</w:t>
            </w:r>
            <w:r w:rsidRPr="00A23740">
              <w:rPr>
                <w:rFonts w:eastAsia="Times New Roman"/>
                <w:iCs/>
                <w:color w:val="000000"/>
                <w:lang w:eastAsia="tr-TR"/>
              </w:rPr>
              <w:t xml:space="preserve">. Böylece 7201 sayılı </w:t>
            </w:r>
            <w:r w:rsidR="001134DD" w:rsidRPr="00A23740">
              <w:rPr>
                <w:rFonts w:eastAsia="Times New Roman"/>
                <w:iCs/>
                <w:color w:val="000000"/>
                <w:lang w:eastAsia="tr-TR"/>
              </w:rPr>
              <w:t>Kanunda yer almayan</w:t>
            </w:r>
            <w:r w:rsidRPr="00A23740">
              <w:rPr>
                <w:rFonts w:eastAsia="Times New Roman"/>
                <w:iCs/>
                <w:color w:val="000000"/>
                <w:lang w:eastAsia="tr-TR"/>
              </w:rPr>
              <w:t xml:space="preserve"> </w:t>
            </w:r>
            <w:r w:rsidR="00E64A42" w:rsidRPr="00A23740">
              <w:rPr>
                <w:rFonts w:eastAsia="Times New Roman"/>
                <w:iCs/>
                <w:color w:val="000000"/>
                <w:lang w:eastAsia="tr-TR"/>
              </w:rPr>
              <w:t xml:space="preserve">bir husus, yani </w:t>
            </w:r>
            <w:r w:rsidRPr="00A23740">
              <w:rPr>
                <w:rFonts w:eastAsia="Times New Roman"/>
                <w:iCs/>
                <w:color w:val="000000"/>
                <w:lang w:eastAsia="tr-TR"/>
              </w:rPr>
              <w:t>konkordato tasfiye memurlarının gönderici/tebligat çıkaran merci olarak elektronik tebligat adresi alabilme</w:t>
            </w:r>
            <w:r w:rsidR="00E64A42" w:rsidRPr="00A23740">
              <w:rPr>
                <w:rFonts w:eastAsia="Times New Roman"/>
                <w:iCs/>
                <w:color w:val="000000"/>
                <w:lang w:eastAsia="tr-TR"/>
              </w:rPr>
              <w:t>ler</w:t>
            </w:r>
            <w:r w:rsidRPr="00A23740">
              <w:rPr>
                <w:rFonts w:eastAsia="Times New Roman"/>
                <w:iCs/>
                <w:color w:val="000000"/>
                <w:lang w:eastAsia="tr-TR"/>
              </w:rPr>
              <w:t>i mümkün h</w:t>
            </w:r>
            <w:r w:rsidR="00C2196C" w:rsidRPr="00A23740">
              <w:rPr>
                <w:rFonts w:eastAsia="Times New Roman"/>
                <w:iCs/>
                <w:color w:val="000000"/>
                <w:lang w:eastAsia="tr-TR"/>
              </w:rPr>
              <w:t>â</w:t>
            </w:r>
            <w:r w:rsidRPr="00A23740">
              <w:rPr>
                <w:rFonts w:eastAsia="Times New Roman"/>
                <w:iCs/>
                <w:color w:val="000000"/>
                <w:lang w:eastAsia="tr-TR"/>
              </w:rPr>
              <w:t>le gelmiş; tebligatın hızla</w:t>
            </w:r>
            <w:r w:rsidR="00122196" w:rsidRPr="00A23740">
              <w:rPr>
                <w:rFonts w:eastAsia="Times New Roman"/>
                <w:iCs/>
                <w:color w:val="000000"/>
                <w:lang w:eastAsia="tr-TR"/>
              </w:rPr>
              <w:t>ndırılması sağlanmış olacaktır.</w:t>
            </w:r>
          </w:p>
          <w:p w:rsidR="00AA5C8C" w:rsidRPr="00A23740" w:rsidRDefault="00AA5C8C" w:rsidP="006C4AA3">
            <w:pPr>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widowControl w:val="0"/>
              <w:rPr>
                <w:rFonts w:eastAsia="Times New Roman"/>
                <w:color w:val="000000"/>
                <w:szCs w:val="24"/>
                <w:lang w:eastAsia="tr-TR"/>
              </w:rPr>
            </w:pPr>
            <w:r w:rsidRPr="00A23740">
              <w:rPr>
                <w:rFonts w:eastAsia="Times New Roman"/>
                <w:i/>
                <w:iCs/>
                <w:color w:val="000000"/>
                <w:szCs w:val="24"/>
                <w:lang w:eastAsia="tr-TR"/>
              </w:rPr>
              <w:t>Paylaştırmaya katılacak alacaklıların belirlenmesi:</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Madde 309/d-  (1) (Ek: 17/7/2003-4949/84 md.)</w:t>
            </w:r>
          </w:p>
          <w:p w:rsidR="00AA5C8C" w:rsidRPr="00A23740" w:rsidRDefault="00AA5C8C" w:rsidP="009431FF">
            <w:pPr>
              <w:widowControl w:val="0"/>
              <w:rPr>
                <w:rFonts w:eastAsia="Times New Roman"/>
                <w:color w:val="000000"/>
                <w:szCs w:val="24"/>
                <w:lang w:eastAsia="tr-TR"/>
              </w:rPr>
            </w:pPr>
            <w:r w:rsidRPr="00A23740">
              <w:rPr>
                <w:rFonts w:eastAsia="Times New Roman"/>
                <w:color w:val="000000"/>
                <w:szCs w:val="24"/>
                <w:lang w:eastAsia="tr-TR"/>
              </w:rPr>
              <w:t>Tasfiyeden elde edilen hasılatın paylaşımına katılacak olan alacaklıları ve sıralarını belirlemek üzere konkordato tasfiye memurları, alacaklılara yeni bir davet yapmaya gerek kalmaksızın, sadece ticarî defterlere ve yapılan alacak kayıtlarına dayanarak bir sıra cetveli hazırlar ve bu sıra cetvelini alacaklıların incelemesine hazır tutar.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(2</w:t>
            </w:r>
            <w:r w:rsidRPr="00AF7B35">
              <w:rPr>
                <w:rStyle w:val="KIRMIZIChar"/>
                <w:rFonts w:eastAsia="Calibri"/>
              </w:rPr>
              <w:t>) 230 ilâ 236 ncı maddeler</w:t>
            </w:r>
            <w:r w:rsidRPr="00A23740">
              <w:rPr>
                <w:rFonts w:eastAsia="Times New Roman"/>
                <w:color w:val="000000"/>
                <w:szCs w:val="24"/>
                <w:lang w:eastAsia="tr-TR"/>
              </w:rPr>
              <w:t xml:space="preserve"> kıyas </w:t>
            </w:r>
            <w:r w:rsidRPr="00AF7B35">
              <w:rPr>
                <w:rStyle w:val="KIRMIZIChar"/>
                <w:rFonts w:eastAsia="Calibri"/>
              </w:rPr>
              <w:t>yoluyla</w:t>
            </w:r>
            <w:r w:rsidRPr="00A23740">
              <w:rPr>
                <w:rFonts w:eastAsia="Times New Roman"/>
                <w:color w:val="000000"/>
                <w:szCs w:val="24"/>
                <w:lang w:eastAsia="tr-TR"/>
              </w:rPr>
              <w:t xml:space="preserve"> uygulanır.</w:t>
            </w:r>
          </w:p>
          <w:p w:rsidR="00AA5C8C" w:rsidRPr="00A23740" w:rsidRDefault="00AA5C8C" w:rsidP="009431FF">
            <w:pPr>
              <w:widowControl w:val="0"/>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widowControl w:val="0"/>
              <w:rPr>
                <w:rFonts w:eastAsia="Times New Roman"/>
                <w:b/>
                <w:color w:val="000000"/>
                <w:szCs w:val="24"/>
                <w:lang w:eastAsia="tr-TR"/>
              </w:rPr>
            </w:pPr>
            <w:r w:rsidRPr="00A23740">
              <w:rPr>
                <w:rFonts w:eastAsia="Times New Roman"/>
                <w:b/>
                <w:iCs/>
                <w:color w:val="000000"/>
                <w:szCs w:val="24"/>
                <w:lang w:eastAsia="tr-TR"/>
              </w:rPr>
              <w:t>Paylaştırmaya katılacak alacaklıların belirlenmesi</w:t>
            </w:r>
          </w:p>
          <w:p w:rsidR="00AA5C8C" w:rsidRPr="00A23740" w:rsidRDefault="00AA5C8C" w:rsidP="009431FF">
            <w:pPr>
              <w:widowControl w:val="0"/>
              <w:rPr>
                <w:rFonts w:eastAsia="Times New Roman"/>
                <w:color w:val="000000"/>
                <w:szCs w:val="24"/>
                <w:lang w:eastAsia="tr-TR"/>
              </w:rPr>
            </w:pPr>
            <w:r w:rsidRPr="00A23740">
              <w:rPr>
                <w:rStyle w:val="MaviChar"/>
                <w:lang w:val="tr-TR"/>
              </w:rPr>
              <w:t>MADDE 4</w:t>
            </w:r>
            <w:r w:rsidR="00164036" w:rsidRPr="00A23740">
              <w:rPr>
                <w:rStyle w:val="MaviChar"/>
                <w:lang w:val="tr-TR"/>
              </w:rPr>
              <w:t>22</w:t>
            </w:r>
            <w:r w:rsidRPr="00A23740">
              <w:rPr>
                <w:rStyle w:val="MaviChar"/>
                <w:lang w:val="tr-TR"/>
              </w:rPr>
              <w:t>- (1)</w:t>
            </w:r>
            <w:r w:rsidRPr="00A23740">
              <w:rPr>
                <w:rFonts w:eastAsia="Times New Roman"/>
                <w:color w:val="000000"/>
                <w:szCs w:val="24"/>
                <w:lang w:eastAsia="tr-TR"/>
              </w:rPr>
              <w:t xml:space="preserve"> Tasfiyeden elde edilen hasılatın paylaşımına katılacak olan alacaklıları ve sıralarını belirlemek üzere konkordato tasfiye memurları, alacaklılara yeni bir davet yapmaya gerek kalmaksızın, sadece ticarî defterlere ve yapılan alacak kayıtlarına dayanarak bir sıra cetveli hazırlar ve bu sıra cetvelini alacaklıların incelemesine hazır tutar.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w:t>
            </w:r>
            <w:r w:rsidRPr="00A23740">
              <w:rPr>
                <w:rFonts w:eastAsia="Times New Roman"/>
                <w:b/>
                <w:color w:val="0000FF"/>
                <w:szCs w:val="24"/>
                <w:lang w:eastAsia="tr-TR"/>
              </w:rPr>
              <w:t>Alacakların araştırılması ve sıraların tayini hakkındaki</w:t>
            </w:r>
            <w:r w:rsidR="000A3332" w:rsidRPr="00A23740">
              <w:rPr>
                <w:rFonts w:eastAsia="Times New Roman"/>
                <w:b/>
                <w:color w:val="0000FF"/>
                <w:szCs w:val="24"/>
                <w:lang w:eastAsia="tr-TR"/>
              </w:rPr>
              <w:t xml:space="preserve"> </w:t>
            </w:r>
            <w:r w:rsidR="000A3332" w:rsidRPr="00075A70">
              <w:rPr>
                <w:rStyle w:val="MaviChar"/>
              </w:rPr>
              <w:t>345 il</w:t>
            </w:r>
            <w:r w:rsidR="00F25FDB" w:rsidRPr="00075A70">
              <w:rPr>
                <w:rStyle w:val="MaviChar"/>
              </w:rPr>
              <w:t>a</w:t>
            </w:r>
            <w:r w:rsidR="000A3332" w:rsidRPr="00A23740">
              <w:rPr>
                <w:rStyle w:val="KonuBalChar"/>
                <w:rFonts w:eastAsia="Calibri"/>
              </w:rPr>
              <w:t xml:space="preserve"> </w:t>
            </w:r>
            <w:r w:rsidR="000A3332" w:rsidRPr="00075A70">
              <w:rPr>
                <w:rStyle w:val="MaviChar"/>
              </w:rPr>
              <w:t>351 inci</w:t>
            </w:r>
            <w:r w:rsidRPr="00A23740">
              <w:rPr>
                <w:rFonts w:eastAsia="Times New Roman"/>
                <w:color w:val="000000"/>
                <w:szCs w:val="24"/>
                <w:lang w:eastAsia="tr-TR"/>
              </w:rPr>
              <w:t xml:space="preserve"> </w:t>
            </w:r>
            <w:r w:rsidR="007C4E36" w:rsidRPr="00AF7B35">
              <w:rPr>
                <w:rStyle w:val="MaviChar"/>
                <w:b w:val="0"/>
                <w:color w:val="000000" w:themeColor="text1"/>
              </w:rPr>
              <w:t>kıyas</w:t>
            </w:r>
            <w:r w:rsidR="007C4E36" w:rsidRPr="00075A70">
              <w:rPr>
                <w:rStyle w:val="MaviChar"/>
              </w:rPr>
              <w:t>en</w:t>
            </w:r>
            <w:r w:rsidRPr="00A23740">
              <w:rPr>
                <w:rFonts w:eastAsia="Times New Roman"/>
                <w:color w:val="000000"/>
                <w:szCs w:val="24"/>
                <w:lang w:eastAsia="tr-TR"/>
              </w:rPr>
              <w:t xml:space="preserve"> uygulanır.</w:t>
            </w:r>
          </w:p>
          <w:p w:rsidR="00AA5C8C" w:rsidRPr="00A23740" w:rsidRDefault="00AA5C8C" w:rsidP="009431FF">
            <w:pPr>
              <w:widowControl w:val="0"/>
              <w:rPr>
                <w:rFonts w:eastAsia="Times New Roman"/>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34A6F" w:rsidRPr="00A23740" w:rsidRDefault="00A34A6F" w:rsidP="009431FF">
            <w:pPr>
              <w:ind w:firstLine="709"/>
              <w:rPr>
                <w:rFonts w:eastAsia="Times New Roman"/>
                <w:iCs/>
                <w:color w:val="000000"/>
                <w:szCs w:val="24"/>
                <w:lang w:eastAsia="tr-TR"/>
              </w:rPr>
            </w:pPr>
          </w:p>
          <w:p w:rsidR="00AA5C8C" w:rsidRPr="00A23740" w:rsidRDefault="00A34A6F" w:rsidP="009431FF">
            <w:pPr>
              <w:ind w:firstLine="709"/>
              <w:rPr>
                <w:rFonts w:eastAsia="Times New Roman"/>
                <w:iCs/>
                <w:color w:val="000000"/>
                <w:szCs w:val="24"/>
                <w:lang w:eastAsia="tr-TR"/>
              </w:rPr>
            </w:pPr>
            <w:r w:rsidRPr="00A23740">
              <w:rPr>
                <w:rFonts w:eastAsia="Times New Roman"/>
                <w:b/>
                <w:iCs/>
                <w:color w:val="000000"/>
                <w:szCs w:val="24"/>
                <w:lang w:eastAsia="tr-TR"/>
              </w:rPr>
              <w:t xml:space="preserve">MADDE </w:t>
            </w:r>
            <w:r w:rsidR="00164036" w:rsidRPr="00A23740">
              <w:rPr>
                <w:rFonts w:eastAsia="Times New Roman"/>
                <w:b/>
                <w:iCs/>
                <w:color w:val="000000"/>
                <w:szCs w:val="24"/>
                <w:lang w:eastAsia="tr-TR"/>
              </w:rPr>
              <w:t>422</w:t>
            </w:r>
            <w:r w:rsidRPr="00A23740">
              <w:rPr>
                <w:rFonts w:eastAsia="Times New Roman"/>
                <w:b/>
                <w:iCs/>
                <w:color w:val="000000"/>
                <w:szCs w:val="24"/>
                <w:lang w:eastAsia="tr-TR"/>
              </w:rPr>
              <w:t>-</w:t>
            </w:r>
            <w:r w:rsidR="00BD43BD" w:rsidRPr="00A23740">
              <w:rPr>
                <w:rFonts w:eastAsia="Times New Roman"/>
                <w:b/>
                <w:iCs/>
                <w:color w:val="000000"/>
                <w:szCs w:val="24"/>
                <w:lang w:eastAsia="tr-TR"/>
              </w:rPr>
              <w:t xml:space="preserve"> </w:t>
            </w:r>
            <w:r w:rsidR="00BD43BD" w:rsidRPr="00A23740">
              <w:rPr>
                <w:rFonts w:eastAsia="Times New Roman"/>
                <w:iCs/>
                <w:color w:val="000000"/>
                <w:szCs w:val="24"/>
                <w:lang w:eastAsia="tr-TR"/>
              </w:rPr>
              <w:t>Maddeyle, paylaştırmaya katılan alacaklıların belirlenmesine ilişkin hususlar düzenlenmektedir.</w:t>
            </w:r>
            <w:r w:rsidR="00AA5C8C" w:rsidRPr="00A23740">
              <w:rPr>
                <w:rFonts w:eastAsia="Times New Roman"/>
                <w:iCs/>
                <w:color w:val="000000"/>
                <w:szCs w:val="24"/>
                <w:lang w:eastAsia="tr-TR"/>
              </w:rPr>
              <w:t xml:space="preserve"> 2004 sayılı Kanunun 309/d maddesi aynen alınmıştır.</w:t>
            </w:r>
          </w:p>
          <w:p w:rsidR="006C4AA3" w:rsidRDefault="00AA5C8C" w:rsidP="006C4AA3">
            <w:pPr>
              <w:shd w:val="clear" w:color="auto" w:fill="DEEAF6"/>
              <w:ind w:firstLine="709"/>
              <w:rPr>
                <w:rFonts w:eastAsia="Times New Roman"/>
                <w:iCs/>
                <w:color w:val="000000"/>
                <w:szCs w:val="24"/>
                <w:lang w:eastAsia="tr-TR"/>
              </w:rPr>
            </w:pPr>
            <w:r w:rsidRPr="00A23740">
              <w:rPr>
                <w:rFonts w:eastAsia="Times New Roman"/>
                <w:iCs/>
                <w:color w:val="000000"/>
                <w:szCs w:val="24"/>
                <w:lang w:eastAsia="tr-TR"/>
              </w:rPr>
              <w:t>Maddede, tasfiye sonunda elde edilen hasılatın dağıtımına katılma hakkı olan alacaklıların, konkordato tasfiye memurları tarafından düzenlenen sıra cetvelinde belirtileceği hususuna yer verilmiştir. Konkordato tasfiye memurları, sıra cetvelini borçlunun ticari defterlerine ve konkordato prosedürünün başlangıcında alacaklılara alacaklarını bildirmek için yapılan davet üzerine alacaklılar tarafından ibraz edilen belgelere dayanarak düzenlerler; alacaklılara başka davet yapılmaz. Maddede</w:t>
            </w:r>
            <w:r w:rsidR="000A3332" w:rsidRPr="00A23740">
              <w:rPr>
                <w:rFonts w:eastAsia="Times New Roman"/>
                <w:iCs/>
                <w:color w:val="000000"/>
                <w:szCs w:val="24"/>
                <w:lang w:eastAsia="tr-TR"/>
              </w:rPr>
              <w:t xml:space="preserve"> </w:t>
            </w:r>
            <w:r w:rsidR="000A3332" w:rsidRPr="00075A70">
              <w:t>Taslağın</w:t>
            </w:r>
            <w:r w:rsidRPr="00A23740">
              <w:rPr>
                <w:rFonts w:eastAsia="Times New Roman"/>
                <w:iCs/>
                <w:color w:val="000000"/>
                <w:szCs w:val="24"/>
                <w:lang w:eastAsia="tr-TR"/>
              </w:rPr>
              <w:t xml:space="preserve"> </w:t>
            </w:r>
            <w:r w:rsidR="000A3332" w:rsidRPr="00075A70">
              <w:t>345 il</w:t>
            </w:r>
            <w:r w:rsidR="00F25FDB" w:rsidRPr="00075A70">
              <w:t>a</w:t>
            </w:r>
            <w:r w:rsidR="000A3332" w:rsidRPr="00075A70">
              <w:t xml:space="preserve"> 351 inci</w:t>
            </w:r>
            <w:r w:rsidR="000A3332" w:rsidRPr="00A23740">
              <w:rPr>
                <w:rFonts w:eastAsia="Times New Roman"/>
                <w:color w:val="000000"/>
                <w:szCs w:val="24"/>
                <w:lang w:eastAsia="tr-TR"/>
              </w:rPr>
              <w:t xml:space="preserve"> </w:t>
            </w:r>
            <w:r w:rsidRPr="00A23740">
              <w:rPr>
                <w:rFonts w:eastAsia="Times New Roman"/>
                <w:iCs/>
                <w:color w:val="000000"/>
                <w:szCs w:val="24"/>
                <w:lang w:eastAsia="tr-TR"/>
              </w:rPr>
              <w:t>maddelerine atıf yapılmak suretiyle sıra cetveli, itiraz davasına ve şikâyete t</w:t>
            </w:r>
            <w:r w:rsidR="00D81869" w:rsidRPr="00A23740">
              <w:rPr>
                <w:rFonts w:eastAsia="Times New Roman"/>
                <w:iCs/>
                <w:color w:val="000000"/>
                <w:szCs w:val="24"/>
                <w:lang w:eastAsia="tr-TR"/>
              </w:rPr>
              <w:t>a</w:t>
            </w:r>
            <w:r w:rsidR="00A34A6F" w:rsidRPr="00A23740">
              <w:rPr>
                <w:rFonts w:eastAsia="Times New Roman"/>
                <w:iCs/>
                <w:color w:val="000000"/>
                <w:szCs w:val="24"/>
                <w:lang w:eastAsia="tr-TR"/>
              </w:rPr>
              <w:t>bi kılınmış olmaktadır.</w:t>
            </w:r>
          </w:p>
          <w:p w:rsidR="00AF7B35" w:rsidRPr="00A23740" w:rsidRDefault="00AF7B35" w:rsidP="006C4AA3">
            <w:pPr>
              <w:shd w:val="clear" w:color="auto" w:fill="DEEAF6"/>
              <w:ind w:firstLine="709"/>
              <w:rPr>
                <w:rFonts w:eastAsia="Times New Roman"/>
                <w:iCs/>
                <w:color w:val="000000"/>
                <w:szCs w:val="24"/>
                <w:lang w:eastAsia="tr-TR"/>
              </w:rPr>
            </w:pPr>
            <w:r>
              <w:rPr>
                <w:rFonts w:eastAsia="Times New Roman"/>
                <w:iCs/>
                <w:color w:val="000000"/>
                <w:szCs w:val="24"/>
                <w:lang w:eastAsia="tr-TR"/>
              </w:rPr>
              <w:tab/>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Paraya çevirme:</w:t>
            </w:r>
          </w:p>
          <w:p w:rsidR="00AA5C8C" w:rsidRPr="00A23740" w:rsidRDefault="00AA5C8C" w:rsidP="009431FF">
            <w:pPr>
              <w:rPr>
                <w:rFonts w:eastAsia="Times New Roman"/>
                <w:color w:val="000000"/>
                <w:szCs w:val="24"/>
                <w:lang w:eastAsia="tr-TR"/>
              </w:rPr>
            </w:pPr>
            <w:r w:rsidRPr="00A23740">
              <w:rPr>
                <w:rStyle w:val="KIRMIZIChar"/>
                <w:rFonts w:eastAsia="Calibri"/>
              </w:rPr>
              <w:t>Madde 309/e-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Konkordato masasını oluşturan malvarlığı ayrı ayrı veya bir bütün hâlinde paraya çevrilir. Paraya çevirme, eğer bir alacak söz konusu ise bu alacağın tahsili veya talep hakkının satılması, diğer mallar için pazarlık veya açık artırma yoluyla gerçekleştirilir.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Paraya çevirmenin usulü ve zamanı konkordato tasfiye memurlarının teklifi üzerine alacaklılar kurulunca kararlaştırılır.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Paraya çevirme</w:t>
            </w:r>
          </w:p>
          <w:p w:rsidR="00AA5C8C" w:rsidRPr="00A23740" w:rsidRDefault="00AA5C8C" w:rsidP="009431FF">
            <w:pPr>
              <w:rPr>
                <w:rFonts w:eastAsia="Times New Roman"/>
                <w:color w:val="000000"/>
                <w:szCs w:val="24"/>
                <w:lang w:eastAsia="tr-TR"/>
              </w:rPr>
            </w:pPr>
            <w:r w:rsidRPr="00A23740">
              <w:rPr>
                <w:rStyle w:val="MaviChar"/>
                <w:lang w:val="tr-TR"/>
              </w:rPr>
              <w:t>MADDE 4</w:t>
            </w:r>
            <w:r w:rsidR="00164036" w:rsidRPr="00A23740">
              <w:rPr>
                <w:rStyle w:val="MaviChar"/>
                <w:lang w:val="tr-TR"/>
              </w:rPr>
              <w:t>23</w:t>
            </w:r>
            <w:r w:rsidRPr="00A23740">
              <w:rPr>
                <w:rStyle w:val="MaviChar"/>
                <w:lang w:val="tr-TR"/>
              </w:rPr>
              <w:t>- (1)</w:t>
            </w:r>
            <w:r w:rsidRPr="00A23740">
              <w:rPr>
                <w:rFonts w:eastAsia="Times New Roman"/>
                <w:color w:val="000000"/>
                <w:szCs w:val="24"/>
                <w:lang w:eastAsia="tr-TR"/>
              </w:rPr>
              <w:t xml:space="preserve"> Konkordato masasını oluşturan malvarlığı ayrı ayrı veya bir bütün hâlinde paraya çevrilir. Paraya çevirme, eğer bir alacak söz konusu ise bu alacağın tahsili veya talep hakkının satılması, diğer mallar için pazarlık veya açık artırma yoluyla gerçekleştirilir.</w:t>
            </w:r>
          </w:p>
          <w:p w:rsidR="00AA5C8C" w:rsidRDefault="00AA5C8C" w:rsidP="009431FF">
            <w:pPr>
              <w:rPr>
                <w:rFonts w:eastAsia="Times New Roman"/>
                <w:color w:val="000000"/>
                <w:szCs w:val="24"/>
                <w:lang w:eastAsia="tr-TR"/>
              </w:rPr>
            </w:pPr>
          </w:p>
          <w:p w:rsidR="00AF2602" w:rsidRPr="00A23740" w:rsidRDefault="00AF2602"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Konkordato tasfiye memurlarının  teklifi üzerine paraya çevirmenin usulü ve zamanı alacaklılar kurulunca kararlaştırılır.</w:t>
            </w:r>
          </w:p>
          <w:p w:rsidR="00AA5C8C" w:rsidRPr="00A23740" w:rsidRDefault="00AA5C8C" w:rsidP="009431FF">
            <w:pPr>
              <w:ind w:firstLine="567"/>
              <w:rPr>
                <w:rFonts w:eastAsia="Times New Roman"/>
                <w:i/>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E7FBD" w:rsidRPr="00A23740" w:rsidRDefault="006E7FBD" w:rsidP="009431FF">
            <w:pPr>
              <w:ind w:firstLine="709"/>
              <w:rPr>
                <w:rFonts w:eastAsia="Times New Roman"/>
                <w:iCs/>
                <w:color w:val="000000"/>
                <w:szCs w:val="24"/>
                <w:lang w:eastAsia="tr-TR"/>
              </w:rPr>
            </w:pPr>
          </w:p>
          <w:p w:rsidR="00AA5C8C" w:rsidRPr="00A23740" w:rsidRDefault="006E7FBD" w:rsidP="009431FF">
            <w:pPr>
              <w:ind w:firstLine="709"/>
              <w:rPr>
                <w:rFonts w:eastAsia="Times New Roman"/>
                <w:iCs/>
                <w:color w:val="000000"/>
                <w:szCs w:val="24"/>
                <w:lang w:eastAsia="tr-TR"/>
              </w:rPr>
            </w:pPr>
            <w:r w:rsidRPr="00A23740">
              <w:rPr>
                <w:rFonts w:eastAsia="Times New Roman"/>
                <w:b/>
                <w:iCs/>
                <w:color w:val="000000"/>
                <w:szCs w:val="24"/>
                <w:lang w:eastAsia="tr-TR"/>
              </w:rPr>
              <w:t xml:space="preserve">MADDE </w:t>
            </w:r>
            <w:r w:rsidR="00AA5C8C" w:rsidRPr="00A23740">
              <w:rPr>
                <w:rFonts w:eastAsia="Times New Roman"/>
                <w:b/>
                <w:iCs/>
                <w:color w:val="000000"/>
                <w:szCs w:val="24"/>
                <w:lang w:eastAsia="tr-TR"/>
              </w:rPr>
              <w:t>4</w:t>
            </w:r>
            <w:r w:rsidR="00164036" w:rsidRPr="00A23740">
              <w:rPr>
                <w:rFonts w:eastAsia="Times New Roman"/>
                <w:b/>
                <w:iCs/>
                <w:color w:val="000000"/>
                <w:szCs w:val="24"/>
                <w:lang w:eastAsia="tr-TR"/>
              </w:rPr>
              <w:t>23</w:t>
            </w:r>
            <w:r w:rsidR="00AA5C8C" w:rsidRPr="00A23740">
              <w:rPr>
                <w:rFonts w:eastAsia="Times New Roman"/>
                <w:b/>
                <w:iCs/>
                <w:color w:val="000000"/>
                <w:szCs w:val="24"/>
                <w:lang w:eastAsia="tr-TR"/>
              </w:rPr>
              <w:t>-</w:t>
            </w:r>
            <w:r w:rsidR="00AA5C8C" w:rsidRPr="00A23740">
              <w:rPr>
                <w:rFonts w:eastAsia="Times New Roman"/>
                <w:iCs/>
                <w:color w:val="000000"/>
                <w:szCs w:val="24"/>
                <w:lang w:eastAsia="tr-TR"/>
              </w:rPr>
              <w:t xml:space="preserve"> </w:t>
            </w:r>
            <w:r w:rsidRPr="00A23740">
              <w:rPr>
                <w:rFonts w:eastAsia="Times New Roman"/>
                <w:iCs/>
                <w:color w:val="000000"/>
                <w:szCs w:val="24"/>
                <w:lang w:eastAsia="tr-TR"/>
              </w:rPr>
              <w:t xml:space="preserve">Maddeyle, paraya </w:t>
            </w:r>
            <w:r w:rsidR="00BF0F09" w:rsidRPr="00A23740">
              <w:rPr>
                <w:rFonts w:eastAsia="Times New Roman"/>
                <w:iCs/>
                <w:color w:val="000000"/>
                <w:szCs w:val="24"/>
                <w:lang w:eastAsia="tr-TR"/>
              </w:rPr>
              <w:t xml:space="preserve">çevirmeye </w:t>
            </w:r>
            <w:r w:rsidRPr="00A23740">
              <w:rPr>
                <w:rFonts w:eastAsia="Times New Roman"/>
                <w:iCs/>
                <w:color w:val="000000"/>
                <w:szCs w:val="24"/>
                <w:lang w:eastAsia="tr-TR"/>
              </w:rPr>
              <w:t xml:space="preserve">ilişkin hususlar düzenlenmektedir. </w:t>
            </w:r>
            <w:r w:rsidR="00AA5C8C" w:rsidRPr="00A23740">
              <w:rPr>
                <w:rFonts w:eastAsia="Times New Roman"/>
                <w:iCs/>
                <w:color w:val="000000"/>
                <w:szCs w:val="24"/>
                <w:lang w:eastAsia="tr-TR"/>
              </w:rPr>
              <w:t xml:space="preserve">2004 sayılı Kanunun 309/e maddesi </w:t>
            </w:r>
            <w:r w:rsidR="00BF0F09" w:rsidRPr="00A23740">
              <w:rPr>
                <w:rFonts w:eastAsia="Times New Roman"/>
                <w:iCs/>
                <w:color w:val="000000"/>
                <w:szCs w:val="24"/>
                <w:lang w:eastAsia="tr-TR"/>
              </w:rPr>
              <w:t xml:space="preserve">Taslağa </w:t>
            </w:r>
            <w:r w:rsidR="00AA5C8C" w:rsidRPr="00A23740">
              <w:rPr>
                <w:rFonts w:eastAsia="Times New Roman"/>
                <w:iCs/>
                <w:color w:val="000000"/>
                <w:szCs w:val="24"/>
                <w:lang w:eastAsia="tr-TR"/>
              </w:rPr>
              <w:t>aynen alınmıştır. Maddede, konkordato masasını oluşturan malvarlığının ne şekilde paraya çevrileceğine ilişkin hükümlere yer verilmiştir. Borçlunun malvarlığı konkordato tasfiye memurları tarafından paraya çevrilir. Paraya çevirme bakımından büyük bir esneklik kabul edilmiş; bu konuda yetkinin esasen alacaklılar kurulunda olduğu ifade edilmiştir. Paraya çevirmenin usulü ve zamanı konkordato tasfiye memurlarının teklifi üzerine alacaklılar kurulunca belirlenir. Alacaklılar kurulu, kendilerine en uygun görünen paraya çevirme usulünü seçmekte serbesttir. Burada, paraya çevirme ifl</w:t>
            </w:r>
            <w:r w:rsidR="005A3987" w:rsidRPr="00A23740">
              <w:rPr>
                <w:rFonts w:eastAsia="Times New Roman"/>
                <w:iCs/>
                <w:color w:val="000000"/>
                <w:szCs w:val="24"/>
                <w:lang w:eastAsia="tr-TR"/>
              </w:rPr>
              <w:t>a</w:t>
            </w:r>
            <w:r w:rsidR="00AA5C8C" w:rsidRPr="00A23740">
              <w:rPr>
                <w:rFonts w:eastAsia="Times New Roman"/>
                <w:iCs/>
                <w:color w:val="000000"/>
                <w:szCs w:val="24"/>
                <w:lang w:eastAsia="tr-TR"/>
              </w:rPr>
              <w:t>staki gibi sıkı kurallara t</w:t>
            </w:r>
            <w:r w:rsidR="00D81869" w:rsidRPr="00A23740">
              <w:rPr>
                <w:rFonts w:eastAsia="Times New Roman"/>
                <w:iCs/>
                <w:color w:val="000000"/>
                <w:szCs w:val="24"/>
                <w:lang w:eastAsia="tr-TR"/>
              </w:rPr>
              <w:t>a</w:t>
            </w:r>
            <w:r w:rsidR="00AA5C8C" w:rsidRPr="00A23740">
              <w:rPr>
                <w:rFonts w:eastAsia="Times New Roman"/>
                <w:iCs/>
                <w:color w:val="000000"/>
                <w:szCs w:val="24"/>
                <w:lang w:eastAsia="tr-TR"/>
              </w:rPr>
              <w:t>bi tutulmamıştır. Alacaklılar bakımından, malvarlığının terki suretiyle konkordatonun ifl</w:t>
            </w:r>
            <w:r w:rsidR="005A3987" w:rsidRPr="00A23740">
              <w:rPr>
                <w:rFonts w:eastAsia="Times New Roman"/>
                <w:iCs/>
                <w:color w:val="000000"/>
                <w:szCs w:val="24"/>
                <w:lang w:eastAsia="tr-TR"/>
              </w:rPr>
              <w:t>a</w:t>
            </w:r>
            <w:r w:rsidR="00AA5C8C" w:rsidRPr="00A23740">
              <w:rPr>
                <w:rFonts w:eastAsia="Times New Roman"/>
                <w:iCs/>
                <w:color w:val="000000"/>
                <w:szCs w:val="24"/>
                <w:lang w:eastAsia="tr-TR"/>
              </w:rPr>
              <w:t>sın tasfiyesine göre üstünlüğü veya avantajı da özellikle bu bakımdandır.</w:t>
            </w:r>
          </w:p>
          <w:p w:rsidR="00AA5C8C" w:rsidRDefault="00AA5C8C" w:rsidP="006C4AA3">
            <w:pPr>
              <w:rPr>
                <w:rFonts w:eastAsia="Times New Roman"/>
                <w:iCs/>
                <w:color w:val="000000"/>
                <w:szCs w:val="24"/>
                <w:lang w:eastAsia="tr-TR"/>
              </w:rPr>
            </w:pPr>
          </w:p>
          <w:p w:rsidR="00AD7E89" w:rsidRPr="00A23740" w:rsidRDefault="00AD7E89" w:rsidP="006C4AA3">
            <w:pPr>
              <w:rPr>
                <w:rFonts w:eastAsia="Times New Roman"/>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Rehinli taşınmazlar:</w:t>
            </w:r>
          </w:p>
          <w:p w:rsidR="00AA5C8C" w:rsidRPr="00A23740" w:rsidRDefault="00AA5C8C" w:rsidP="009431FF">
            <w:pPr>
              <w:rPr>
                <w:rFonts w:eastAsia="Times New Roman"/>
                <w:color w:val="000000"/>
                <w:szCs w:val="24"/>
                <w:lang w:eastAsia="tr-TR"/>
              </w:rPr>
            </w:pPr>
            <w:r w:rsidRPr="00A23740">
              <w:rPr>
                <w:rStyle w:val="KIRMIZIChar"/>
                <w:rFonts w:eastAsia="Calibri"/>
              </w:rPr>
              <w:t>Madde 309/f-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Malların üçüncü kişiye devredildiği hâller dışında, rehinli taşınmazların konkordato tasfiye memurları tarafından pazarlık suretiyle satışı ancak, rehinli taşınmazın satış bedelinden alacağını tahsil edemeyen rehinli alacaklıların muvafakatıyla mümkündür. Aksi takdirde, söz konusu taşınmazlar ancak açık artırma yoluyla paraya çevrilebilir. Taşınmaz üzerindeki irtifaklar, taşınmaz yükleri, ipotekler ve şerh edilmiş kişisel hakların varlığı ve sırası, sıra cetveline göre belirlenir.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Rehinli taşınmazlar</w:t>
            </w:r>
          </w:p>
          <w:p w:rsidR="00AA5C8C" w:rsidRPr="00A23740" w:rsidRDefault="00AA5C8C" w:rsidP="009431FF">
            <w:pPr>
              <w:rPr>
                <w:rFonts w:eastAsia="Times New Roman"/>
                <w:color w:val="000000"/>
                <w:szCs w:val="24"/>
                <w:lang w:eastAsia="tr-TR"/>
              </w:rPr>
            </w:pPr>
            <w:r w:rsidRPr="00A23740">
              <w:rPr>
                <w:rStyle w:val="MaviChar"/>
                <w:lang w:val="tr-TR"/>
              </w:rPr>
              <w:t>MADDE 4</w:t>
            </w:r>
            <w:r w:rsidR="00164036" w:rsidRPr="00A23740">
              <w:rPr>
                <w:rStyle w:val="MaviChar"/>
                <w:lang w:val="tr-TR"/>
              </w:rPr>
              <w:t>24</w:t>
            </w:r>
            <w:r w:rsidRPr="00A23740">
              <w:rPr>
                <w:rStyle w:val="MaviChar"/>
                <w:lang w:val="tr-TR"/>
              </w:rPr>
              <w:t>- (1)</w:t>
            </w:r>
            <w:r w:rsidRPr="00A23740">
              <w:rPr>
                <w:rFonts w:eastAsia="Times New Roman"/>
                <w:color w:val="000000"/>
                <w:szCs w:val="24"/>
                <w:lang w:eastAsia="tr-TR"/>
              </w:rPr>
              <w:t xml:space="preserve"> Malların üçüncü kişiye devredildiği hâller dışında, rehinli taşınmazların konkordato tasfiye memurları tarafından pazarlık suretiyle satışı</w:t>
            </w:r>
            <w:r w:rsidRPr="00A23740">
              <w:rPr>
                <w:rFonts w:eastAsia="Times New Roman"/>
                <w:b/>
                <w:color w:val="0000FF"/>
                <w:szCs w:val="24"/>
                <w:lang w:eastAsia="tr-TR"/>
              </w:rPr>
              <w:t>,</w:t>
            </w:r>
            <w:r w:rsidRPr="00A23740">
              <w:rPr>
                <w:rFonts w:eastAsia="Times New Roman"/>
                <w:color w:val="000000"/>
                <w:szCs w:val="24"/>
                <w:lang w:eastAsia="tr-TR"/>
              </w:rPr>
              <w:t xml:space="preserve"> ancak rehinli taşınmazın satış bedelinden alacağını tahsil edemeyen rehinli alacaklıların muvafakatıyla mümkündür. Aksi takdirde, söz konusu taşınmazlar ancak açık artırma yoluyla paraya çevrilebilir.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Fonts w:eastAsia="Times New Roman"/>
                <w:b/>
                <w:color w:val="0000FF"/>
                <w:szCs w:val="24"/>
                <w:lang w:eastAsia="tr-TR"/>
              </w:rPr>
              <w:t>(2)</w:t>
            </w:r>
            <w:r w:rsidRPr="00A23740">
              <w:rPr>
                <w:rFonts w:eastAsia="Times New Roman"/>
                <w:color w:val="000000"/>
                <w:szCs w:val="24"/>
                <w:lang w:eastAsia="tr-TR"/>
              </w:rPr>
              <w:t xml:space="preserve"> Taşınmaz üzerindeki irtifaklar, taşınmaz yükleri, ipotekler ve şerh edilmiş kişisel hakların varlığı ve sırası, sıra cetveline göre belirlenir.</w:t>
            </w:r>
          </w:p>
          <w:p w:rsidR="00AA5C8C" w:rsidRPr="00A23740" w:rsidRDefault="00AA5C8C" w:rsidP="009431FF">
            <w:pPr>
              <w:ind w:firstLine="567"/>
              <w:rPr>
                <w:rFonts w:eastAsia="Times New Roman"/>
                <w:i/>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6E7FBD" w:rsidRPr="00A23740" w:rsidRDefault="006E7FBD" w:rsidP="009431FF">
            <w:pPr>
              <w:ind w:firstLine="709"/>
              <w:rPr>
                <w:rFonts w:eastAsia="Times New Roman"/>
                <w:b/>
                <w:iCs/>
                <w:color w:val="000000"/>
                <w:szCs w:val="24"/>
                <w:lang w:eastAsia="tr-TR"/>
              </w:rPr>
            </w:pPr>
          </w:p>
          <w:p w:rsidR="00AA5C8C" w:rsidRPr="00A23740" w:rsidRDefault="006E7FBD" w:rsidP="009431FF">
            <w:pPr>
              <w:ind w:firstLine="709"/>
              <w:rPr>
                <w:rFonts w:eastAsia="Times New Roman"/>
                <w:bCs/>
                <w:iCs/>
                <w:color w:val="000000"/>
                <w:szCs w:val="24"/>
                <w:lang w:eastAsia="tr-TR"/>
              </w:rPr>
            </w:pPr>
            <w:r w:rsidRPr="00A23740">
              <w:rPr>
                <w:rFonts w:eastAsia="Times New Roman"/>
                <w:b/>
                <w:iCs/>
                <w:color w:val="000000"/>
                <w:szCs w:val="24"/>
                <w:lang w:eastAsia="tr-TR"/>
              </w:rPr>
              <w:t>MADDE 4</w:t>
            </w:r>
            <w:r w:rsidR="00164036" w:rsidRPr="00A23740">
              <w:rPr>
                <w:rFonts w:eastAsia="Times New Roman"/>
                <w:b/>
                <w:iCs/>
                <w:color w:val="000000"/>
                <w:szCs w:val="24"/>
                <w:lang w:eastAsia="tr-TR"/>
              </w:rPr>
              <w:t>24</w:t>
            </w:r>
            <w:r w:rsidRPr="00A23740">
              <w:rPr>
                <w:rFonts w:eastAsia="Times New Roman"/>
                <w:b/>
                <w:iCs/>
                <w:color w:val="000000"/>
                <w:szCs w:val="24"/>
                <w:lang w:eastAsia="tr-TR"/>
              </w:rPr>
              <w:t>-</w:t>
            </w:r>
            <w:r w:rsidR="00AA5C8C" w:rsidRPr="00A23740">
              <w:rPr>
                <w:rFonts w:eastAsia="Times New Roman"/>
                <w:b/>
                <w:iCs/>
                <w:color w:val="000000"/>
                <w:szCs w:val="24"/>
                <w:lang w:eastAsia="tr-TR"/>
              </w:rPr>
              <w:t xml:space="preserve"> </w:t>
            </w:r>
            <w:r w:rsidRPr="00A23740">
              <w:rPr>
                <w:rFonts w:eastAsia="Times New Roman"/>
                <w:iCs/>
                <w:color w:val="000000"/>
                <w:szCs w:val="24"/>
                <w:lang w:eastAsia="tr-TR"/>
              </w:rPr>
              <w:t>Maddeyle, rehinli taşınmazlar</w:t>
            </w:r>
            <w:r w:rsidR="003D0CAB" w:rsidRPr="00A23740">
              <w:rPr>
                <w:rFonts w:eastAsia="Times New Roman"/>
                <w:iCs/>
                <w:color w:val="000000"/>
                <w:szCs w:val="24"/>
                <w:lang w:eastAsia="tr-TR"/>
              </w:rPr>
              <w:t>ın paraya çevrilmesine</w:t>
            </w:r>
            <w:r w:rsidRPr="00A23740">
              <w:rPr>
                <w:rFonts w:eastAsia="Times New Roman"/>
                <w:iCs/>
                <w:color w:val="000000"/>
                <w:szCs w:val="24"/>
                <w:lang w:eastAsia="tr-TR"/>
              </w:rPr>
              <w:t xml:space="preserve"> ilişkin hususlar düzenlenmektedir.</w:t>
            </w:r>
            <w:r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2004 sayılı Kanunun 309/f maddesi aynen alınmıştır. Maddede, rehinli taşınmazların hangi h</w:t>
            </w:r>
            <w:r w:rsidR="00C2196C" w:rsidRPr="00A23740">
              <w:rPr>
                <w:rFonts w:eastAsia="Times New Roman"/>
                <w:bCs/>
                <w:iCs/>
                <w:color w:val="000000"/>
                <w:szCs w:val="24"/>
                <w:lang w:eastAsia="tr-TR"/>
              </w:rPr>
              <w:t>â</w:t>
            </w:r>
            <w:r w:rsidR="00AA5C8C" w:rsidRPr="00A23740">
              <w:rPr>
                <w:rFonts w:eastAsia="Times New Roman"/>
                <w:bCs/>
                <w:iCs/>
                <w:color w:val="000000"/>
                <w:szCs w:val="24"/>
                <w:lang w:eastAsia="tr-TR"/>
              </w:rPr>
              <w:t>llerde pazarlık suretiyle, hangi h</w:t>
            </w:r>
            <w:r w:rsidR="00C2196C" w:rsidRPr="00A23740">
              <w:rPr>
                <w:rFonts w:eastAsia="Times New Roman"/>
                <w:bCs/>
                <w:iCs/>
                <w:color w:val="000000"/>
                <w:szCs w:val="24"/>
                <w:lang w:eastAsia="tr-TR"/>
              </w:rPr>
              <w:t>â</w:t>
            </w:r>
            <w:r w:rsidR="00AA5C8C" w:rsidRPr="00A23740">
              <w:rPr>
                <w:rFonts w:eastAsia="Times New Roman"/>
                <w:bCs/>
                <w:iCs/>
                <w:color w:val="000000"/>
                <w:szCs w:val="24"/>
                <w:lang w:eastAsia="tr-TR"/>
              </w:rPr>
              <w:t>llerde açık artırma yoluyla paraya çevrilebileceği düzenlenmiştir. Bu bağlamda, rehinli taşınmazın pazarlık suretiyle satışının ancak satış bedelinden alacaklarını tahsil edemeyecek olan rehinli alacaklıların muvafakatıyla gerçekleştirilebileceği kabul edilmiş ve böylece, sıra itibarıyla sonra gelen rehinli alacaklıların zararına olabilecek satışlara engel olunması amaçlanmıştır</w:t>
            </w:r>
            <w:r w:rsidRPr="00A23740">
              <w:rPr>
                <w:rFonts w:eastAsia="Times New Roman"/>
                <w:bCs/>
                <w:iCs/>
                <w:color w:val="000000"/>
                <w:szCs w:val="24"/>
                <w:lang w:eastAsia="tr-TR"/>
              </w:rPr>
              <w:t>.</w:t>
            </w:r>
          </w:p>
          <w:p w:rsidR="00AA5C8C" w:rsidRPr="00A23740" w:rsidRDefault="00AA5C8C" w:rsidP="006C4AA3">
            <w:pPr>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Taşınır rehinleri:</w:t>
            </w:r>
          </w:p>
          <w:p w:rsidR="00AA5C8C" w:rsidRPr="00A23740" w:rsidRDefault="00AA5C8C" w:rsidP="009431FF">
            <w:pPr>
              <w:rPr>
                <w:rFonts w:eastAsia="Times New Roman"/>
                <w:color w:val="000000"/>
                <w:szCs w:val="24"/>
                <w:lang w:eastAsia="tr-TR"/>
              </w:rPr>
            </w:pPr>
            <w:r w:rsidRPr="00A23740">
              <w:rPr>
                <w:rStyle w:val="KIRMIZIChar"/>
                <w:rFonts w:eastAsia="Calibri"/>
              </w:rPr>
              <w:t>Madde 309/g-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Alacağı taşınır rehniyle temin edilmiş olan alacaklılar rehinli taşınırları konkordato tasfiye memurlarına tevdi etmek zorunda değildirler. Konkordatoda başka bir süre öngörülmedikçe, rehinli alacaklılar rehinli taşınırı uygun gördükleri zamanda, rehnin paraya çevrilmesi yoluyla veya rehin sözleşmesinde yetki verilmişse pazarlık yoluyla ya da borsada satmak suretiyle paraya çevirebilirler.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Ancak, rehnin paraya çevrilmesi konkordato masasının yararına ise, konkordato tasfiye memurları rehinli alacaklıya rehinli malı altı ay içinde paraya çevirmesi için yetki verebilir. Konkordato tasfiye memurları rehinli alacaklıya, aynı zamanda </w:t>
            </w:r>
            <w:r w:rsidRPr="006C4AA3">
              <w:rPr>
                <w:rStyle w:val="KIRMIZIChar"/>
                <w:rFonts w:eastAsia="Calibri"/>
              </w:rPr>
              <w:t>26/9/2004 tarihli ve 5237</w:t>
            </w:r>
            <w:r w:rsidRPr="00A23740">
              <w:rPr>
                <w:rStyle w:val="KIRMIZIChar"/>
                <w:rFonts w:eastAsia="Calibri"/>
              </w:rPr>
              <w:t xml:space="preserve"> sayılı</w:t>
            </w:r>
            <w:r w:rsidRPr="00A23740">
              <w:rPr>
                <w:rFonts w:eastAsia="Times New Roman"/>
                <w:color w:val="000000"/>
                <w:szCs w:val="24"/>
                <w:lang w:eastAsia="tr-TR"/>
              </w:rPr>
              <w:t xml:space="preserve"> Türk Ceza Kanununun 289 uncu maddesinde öngörülen cezayı da hatırlatarak, bu süre içinde paraya çevirme işlemini gerçekleştirmediği takdirde rehinli malı kendilerine teslim etmesini, haklı bir sebep olmaksızın teslim etmezse rüçhan hakkından mahrum kalacağını ihtar eder.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Taşınır rehinleri</w:t>
            </w:r>
          </w:p>
          <w:p w:rsidR="00AA5C8C" w:rsidRPr="00A23740" w:rsidRDefault="00AA5C8C" w:rsidP="009431FF">
            <w:pPr>
              <w:rPr>
                <w:rFonts w:eastAsia="Times New Roman"/>
                <w:color w:val="000000"/>
                <w:szCs w:val="24"/>
                <w:lang w:eastAsia="tr-TR"/>
              </w:rPr>
            </w:pPr>
            <w:r w:rsidRPr="00A23740">
              <w:rPr>
                <w:rStyle w:val="MaviChar"/>
                <w:lang w:val="tr-TR"/>
              </w:rPr>
              <w:t>MADDE 4</w:t>
            </w:r>
            <w:r w:rsidR="00164036" w:rsidRPr="00A23740">
              <w:rPr>
                <w:rStyle w:val="MaviChar"/>
                <w:lang w:val="tr-TR"/>
              </w:rPr>
              <w:t>25</w:t>
            </w:r>
            <w:r w:rsidRPr="00A23740">
              <w:rPr>
                <w:rStyle w:val="MaviChar"/>
                <w:lang w:val="tr-TR"/>
              </w:rPr>
              <w:t>- (1)</w:t>
            </w:r>
            <w:r w:rsidRPr="00A23740">
              <w:rPr>
                <w:rFonts w:eastAsia="Times New Roman"/>
                <w:color w:val="000000"/>
                <w:szCs w:val="24"/>
                <w:lang w:eastAsia="tr-TR"/>
              </w:rPr>
              <w:t xml:space="preserve"> Alacağı taşınır rehniyle temin edilmiş olan alacaklılar</w:t>
            </w:r>
            <w:r w:rsidRPr="00A23740">
              <w:rPr>
                <w:rStyle w:val="YELChar"/>
                <w:color w:val="0000FF"/>
              </w:rPr>
              <w:t>,</w:t>
            </w:r>
            <w:r w:rsidRPr="00A23740">
              <w:rPr>
                <w:rFonts w:eastAsia="Times New Roman"/>
                <w:color w:val="000000"/>
                <w:szCs w:val="24"/>
                <w:lang w:eastAsia="tr-TR"/>
              </w:rPr>
              <w:t xml:space="preserve"> rehinli taşınırları konkordato tasfiye memurlarına tevdi etmek zorunda değildirler. Konkordatoda başka bir süre öngörülmedikçe, rehinli alacaklılar rehinli taşınırı uygun gördükleri zamanda, rehnin paraya çevrilmesi yoluyla veya rehin sözleşmesinde yetki verilmişse pazarlık yoluyla ya da borsada satmak suretiyle paraya çevirebilirler.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i/>
                <w:iCs/>
                <w:color w:val="000000"/>
                <w:szCs w:val="24"/>
                <w:lang w:eastAsia="tr-TR"/>
              </w:rPr>
            </w:pPr>
            <w:r w:rsidRPr="00A23740">
              <w:rPr>
                <w:rStyle w:val="MaviChar"/>
                <w:lang w:val="tr-TR"/>
              </w:rPr>
              <w:t>(2)</w:t>
            </w:r>
            <w:r w:rsidRPr="00A23740">
              <w:rPr>
                <w:rFonts w:eastAsia="Times New Roman"/>
                <w:color w:val="000000"/>
                <w:szCs w:val="24"/>
                <w:lang w:eastAsia="tr-TR"/>
              </w:rPr>
              <w:t xml:space="preserve"> Ancak, rehnin paraya çevrilmesi konkordato masasının yararına ise, konkordato tasfiye memurları rehinli alacaklıya rehinli malı altı ay içinde paraya çevirmesi için yetki verebilir. Konkordato tasfiye memurları rehinli alacaklıya, aynı zamanda Türk Ceza Kanununun 289 uncu maddesinde öngörülen cezayı da hatırlatarak, bu süre içinde paraya çevirme işlemini gerçekleştirmediği takdirde rehinli malı kendilerine teslim etmesini, haklı bir sebep olmaksızın teslim etmezse rüçhan hakkından mahrum kalacağını ihtar eder.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3D0CAB" w:rsidRPr="00A23740" w:rsidRDefault="003D0CAB" w:rsidP="009431FF">
            <w:pPr>
              <w:ind w:firstLine="709"/>
              <w:rPr>
                <w:rFonts w:eastAsia="Times New Roman"/>
                <w:b/>
                <w:iCs/>
                <w:color w:val="000000"/>
                <w:szCs w:val="24"/>
                <w:lang w:eastAsia="tr-TR"/>
              </w:rPr>
            </w:pPr>
          </w:p>
          <w:p w:rsidR="00AA5C8C" w:rsidRPr="00A23740" w:rsidRDefault="003D0CAB" w:rsidP="009431FF">
            <w:pPr>
              <w:ind w:firstLine="709"/>
              <w:rPr>
                <w:color w:val="000000"/>
                <w:szCs w:val="24"/>
              </w:rPr>
            </w:pPr>
            <w:r w:rsidRPr="00A23740">
              <w:rPr>
                <w:rFonts w:eastAsia="Times New Roman"/>
                <w:b/>
                <w:iCs/>
                <w:color w:val="000000"/>
                <w:szCs w:val="24"/>
                <w:lang w:eastAsia="tr-TR"/>
              </w:rPr>
              <w:t xml:space="preserve">MADDE </w:t>
            </w:r>
            <w:r w:rsidR="00AA5C8C" w:rsidRPr="00A23740">
              <w:rPr>
                <w:rFonts w:eastAsia="Times New Roman"/>
                <w:b/>
                <w:iCs/>
                <w:color w:val="000000"/>
                <w:szCs w:val="24"/>
                <w:lang w:eastAsia="tr-TR"/>
              </w:rPr>
              <w:t>4</w:t>
            </w:r>
            <w:r w:rsidR="00164036" w:rsidRPr="00A23740">
              <w:rPr>
                <w:rFonts w:eastAsia="Times New Roman"/>
                <w:b/>
                <w:iCs/>
                <w:color w:val="000000"/>
                <w:szCs w:val="24"/>
                <w:lang w:eastAsia="tr-TR"/>
              </w:rPr>
              <w:t>25</w:t>
            </w:r>
            <w:r w:rsidR="00AA5C8C"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2004 sayılı Kanunun 7101 s</w:t>
            </w:r>
            <w:r w:rsidR="002068F1" w:rsidRPr="00A23740">
              <w:rPr>
                <w:rFonts w:eastAsia="Times New Roman"/>
                <w:bCs/>
                <w:iCs/>
                <w:color w:val="000000"/>
                <w:szCs w:val="24"/>
                <w:lang w:eastAsia="tr-TR"/>
              </w:rPr>
              <w:t>ayılı</w:t>
            </w:r>
            <w:r w:rsidR="00AA5C8C" w:rsidRPr="00A23740">
              <w:rPr>
                <w:rFonts w:eastAsia="Times New Roman"/>
                <w:bCs/>
                <w:iCs/>
                <w:color w:val="000000"/>
                <w:szCs w:val="24"/>
                <w:lang w:eastAsia="tr-TR"/>
              </w:rPr>
              <w:t xml:space="preserve"> K</w:t>
            </w:r>
            <w:r w:rsidR="002068F1" w:rsidRPr="00A23740">
              <w:rPr>
                <w:rFonts w:eastAsia="Times New Roman"/>
                <w:bCs/>
                <w:iCs/>
                <w:color w:val="000000"/>
                <w:szCs w:val="24"/>
                <w:lang w:eastAsia="tr-TR"/>
              </w:rPr>
              <w:t>anun</w:t>
            </w:r>
            <w:r w:rsidR="00BF0F09" w:rsidRPr="00A23740">
              <w:rPr>
                <w:rFonts w:eastAsia="Times New Roman"/>
                <w:bCs/>
                <w:iCs/>
                <w:color w:val="000000"/>
                <w:szCs w:val="24"/>
                <w:lang w:eastAsia="tr-TR"/>
              </w:rPr>
              <w:t>la</w:t>
            </w:r>
            <w:r w:rsidR="00AA5C8C" w:rsidRPr="00A23740">
              <w:rPr>
                <w:rFonts w:eastAsia="Times New Roman"/>
                <w:bCs/>
                <w:iCs/>
                <w:color w:val="000000"/>
                <w:szCs w:val="24"/>
                <w:lang w:eastAsia="tr-TR"/>
              </w:rPr>
              <w:t xml:space="preserve"> değişik 309/g maddesine karşılık gelen bu maddede taşınır rehinleri düzenlenmiştir. Buna göre, </w:t>
            </w:r>
            <w:r w:rsidR="00AA5C8C" w:rsidRPr="00A23740">
              <w:rPr>
                <w:color w:val="000000"/>
                <w:szCs w:val="24"/>
              </w:rPr>
              <w:t>rehinli taşınırların bizzat rehinli alacaklılar tarafından, rehnin paraya çevrilmesi yoluyla veya rehin sözleşmesinde hüküm bulunduğu takdirde pazarlık suretiyle paraya çevrilebilmesine imkân verilmiştir. Bununla birlikte konkordato tasfiye memurları, masanın menfaatine ise rehinli alacaklıya paraya çevirmeyi gerçekleştirmesi için altı aylık bir süre verebilir. Rehinli alacaklı bu süre içinde paraya çevirme işlemini gerçekleştirmez ve rehinli malı konkordato tasfiye memurlarına teslim etmezse, belli şartların yerine gelmesi h</w:t>
            </w:r>
            <w:r w:rsidR="00C2196C" w:rsidRPr="00A23740">
              <w:rPr>
                <w:color w:val="000000"/>
                <w:szCs w:val="24"/>
              </w:rPr>
              <w:t>â</w:t>
            </w:r>
            <w:r w:rsidR="00AA5C8C" w:rsidRPr="00A23740">
              <w:rPr>
                <w:color w:val="000000"/>
                <w:szCs w:val="24"/>
              </w:rPr>
              <w:t xml:space="preserve">linde </w:t>
            </w:r>
            <w:r w:rsidR="006C4AA3">
              <w:rPr>
                <w:color w:val="000000"/>
                <w:szCs w:val="24"/>
              </w:rPr>
              <w:t>5237 sayılı Kanunun</w:t>
            </w:r>
            <w:r w:rsidR="00BF0F09" w:rsidRPr="00A23740">
              <w:rPr>
                <w:color w:val="000000"/>
                <w:szCs w:val="24"/>
              </w:rPr>
              <w:t xml:space="preserve"> </w:t>
            </w:r>
            <w:r w:rsidR="00AA5C8C" w:rsidRPr="00A23740">
              <w:rPr>
                <w:color w:val="000000"/>
                <w:szCs w:val="24"/>
              </w:rPr>
              <w:t>“</w:t>
            </w:r>
            <w:r w:rsidR="00AA5C8C" w:rsidRPr="00A23740">
              <w:rPr>
                <w:rFonts w:eastAsia="Times New Roman"/>
                <w:color w:val="000000"/>
                <w:szCs w:val="24"/>
                <w:lang w:eastAsia="tr-TR"/>
              </w:rPr>
              <w:t>Muhafaza görevini kötüye kullanma” kenar başlıklı 289</w:t>
            </w:r>
            <w:r w:rsidR="002068F1" w:rsidRPr="00A23740">
              <w:rPr>
                <w:rFonts w:eastAsia="Times New Roman"/>
                <w:color w:val="000000"/>
                <w:szCs w:val="24"/>
                <w:lang w:eastAsia="tr-TR"/>
              </w:rPr>
              <w:t xml:space="preserve"> uncu</w:t>
            </w:r>
            <w:r w:rsidR="00AA5C8C" w:rsidRPr="00A23740">
              <w:rPr>
                <w:rFonts w:eastAsia="Times New Roman"/>
                <w:color w:val="000000"/>
                <w:szCs w:val="24"/>
                <w:lang w:eastAsia="tr-TR"/>
              </w:rPr>
              <w:t xml:space="preserve"> </w:t>
            </w:r>
            <w:r w:rsidR="00AA5C8C" w:rsidRPr="00A23740">
              <w:rPr>
                <w:color w:val="000000"/>
                <w:szCs w:val="24"/>
              </w:rPr>
              <w:t>maddesinde öngörülen cezai yaptırıma maruz kalacağı gibi</w:t>
            </w:r>
            <w:r w:rsidR="00BF0F09" w:rsidRPr="00A23740">
              <w:rPr>
                <w:color w:val="000000"/>
                <w:szCs w:val="24"/>
              </w:rPr>
              <w:t>,</w:t>
            </w:r>
            <w:r w:rsidR="00AA5C8C" w:rsidRPr="00A23740">
              <w:rPr>
                <w:color w:val="000000"/>
                <w:szCs w:val="24"/>
              </w:rPr>
              <w:t xml:space="preserve"> rüçhan hakkından da mahrum olacaktır. Ayrıca, konkordato tasfiye memurları rehinli taşınırı teslim etmeyen rehinli alacaklıya karşı genel mahkemelerde teslim davası açabilirler. </w:t>
            </w:r>
          </w:p>
          <w:p w:rsidR="00AA5C8C" w:rsidRPr="00A23740" w:rsidRDefault="00AA5C8C" w:rsidP="006C4AA3">
            <w:pPr>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Tahsili güç ve ihtilaflı hakların alacaklılara devri:</w:t>
            </w:r>
          </w:p>
          <w:p w:rsidR="00AA5C8C" w:rsidRPr="00A23740" w:rsidRDefault="00AA5C8C" w:rsidP="009431FF">
            <w:pPr>
              <w:rPr>
                <w:rFonts w:eastAsia="Times New Roman"/>
                <w:color w:val="000000"/>
                <w:szCs w:val="24"/>
                <w:lang w:eastAsia="tr-TR"/>
              </w:rPr>
            </w:pPr>
            <w:r w:rsidRPr="00A23740">
              <w:rPr>
                <w:rStyle w:val="KIRMIZIChar"/>
                <w:rFonts w:eastAsia="Calibri"/>
              </w:rPr>
              <w:t>Madde 309/ğ-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Alacaklılar kurulu, konkordato tasfiye memurlarının teklifi üzerine ihtilaflı veya tahsili güç bir alacaktan, özellikle bir iptal davasından, borçlunun organlarına veya çalışanlarına karşı sorumluluk davasından vazgeçerse, alacaklıları yazıyla veya ilân yoluyla haberdar eder ve 245 inci maddeye uygun olarak  bu iddiaların takibi hakkını devretmeyi teklif eder.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 xml:space="preserve">Tahsili güç ve </w:t>
            </w:r>
            <w:r w:rsidRPr="00A23740">
              <w:rPr>
                <w:rFonts w:eastAsia="Times New Roman"/>
                <w:b/>
                <w:iCs/>
                <w:color w:val="0000FF"/>
                <w:szCs w:val="24"/>
                <w:lang w:eastAsia="tr-TR"/>
              </w:rPr>
              <w:t>çekişmeli</w:t>
            </w:r>
            <w:r w:rsidRPr="00A23740">
              <w:rPr>
                <w:rFonts w:eastAsia="Times New Roman"/>
                <w:b/>
                <w:iCs/>
                <w:color w:val="000000"/>
                <w:szCs w:val="24"/>
                <w:lang w:eastAsia="tr-TR"/>
              </w:rPr>
              <w:t xml:space="preserve"> hakların alacaklılara devri</w:t>
            </w:r>
          </w:p>
          <w:p w:rsidR="00AA5C8C" w:rsidRPr="00A23740" w:rsidRDefault="00164036" w:rsidP="009431FF">
            <w:pPr>
              <w:rPr>
                <w:rFonts w:eastAsia="Times New Roman"/>
                <w:color w:val="000000"/>
                <w:szCs w:val="24"/>
                <w:lang w:eastAsia="tr-TR"/>
              </w:rPr>
            </w:pPr>
            <w:r w:rsidRPr="00A23740">
              <w:rPr>
                <w:rStyle w:val="MaviChar"/>
                <w:lang w:val="tr-TR"/>
              </w:rPr>
              <w:t>MADDE 426</w:t>
            </w:r>
            <w:r w:rsidR="00AA5C8C" w:rsidRPr="00A23740">
              <w:rPr>
                <w:rStyle w:val="MaviChar"/>
                <w:lang w:val="tr-TR"/>
              </w:rPr>
              <w:t>- (1)</w:t>
            </w:r>
            <w:r w:rsidR="00AA5C8C" w:rsidRPr="00A23740">
              <w:rPr>
                <w:rFonts w:eastAsia="Times New Roman"/>
                <w:color w:val="000000"/>
                <w:szCs w:val="24"/>
                <w:lang w:eastAsia="tr-TR"/>
              </w:rPr>
              <w:t xml:space="preserve"> Alacaklılar kurulu, konkordato tasfiye memurlarının teklifi üzerine ihtilaflı veya tahsili güç bir alacaktan, özellikle bir iptal davasından, borçlunun organlarına veya çalışanlarına karşı sorumluluk davasından vazgeçerse, alacaklıları yazıyla veya il</w:t>
            </w:r>
            <w:r w:rsidR="00930910" w:rsidRPr="00A23740">
              <w:rPr>
                <w:rFonts w:eastAsia="Times New Roman"/>
                <w:color w:val="000000"/>
                <w:szCs w:val="24"/>
                <w:lang w:eastAsia="tr-TR"/>
              </w:rPr>
              <w:t>a</w:t>
            </w:r>
            <w:r w:rsidR="00AA5C8C" w:rsidRPr="00A23740">
              <w:rPr>
                <w:rFonts w:eastAsia="Times New Roman"/>
                <w:color w:val="000000"/>
                <w:szCs w:val="24"/>
                <w:lang w:eastAsia="tr-TR"/>
              </w:rPr>
              <w:t xml:space="preserve">n yoluyla haberdar eder ve </w:t>
            </w:r>
            <w:r w:rsidR="00AA5C8C" w:rsidRPr="00A23740">
              <w:rPr>
                <w:rFonts w:eastAsia="Times New Roman"/>
                <w:b/>
                <w:color w:val="0000FF"/>
                <w:szCs w:val="24"/>
                <w:lang w:eastAsia="tr-TR"/>
              </w:rPr>
              <w:t>çekişmeli</w:t>
            </w:r>
            <w:r w:rsidR="00AA5C8C" w:rsidRPr="00A23740">
              <w:rPr>
                <w:rFonts w:eastAsia="Times New Roman"/>
                <w:b/>
                <w:color w:val="00CC00"/>
                <w:szCs w:val="24"/>
                <w:lang w:eastAsia="tr-TR"/>
              </w:rPr>
              <w:t xml:space="preserve"> </w:t>
            </w:r>
            <w:r w:rsidR="00AA5C8C" w:rsidRPr="00A23740">
              <w:rPr>
                <w:rFonts w:eastAsia="Times New Roman"/>
                <w:b/>
                <w:color w:val="0000FF"/>
                <w:szCs w:val="24"/>
                <w:lang w:eastAsia="tr-TR"/>
              </w:rPr>
              <w:t>hakları</w:t>
            </w:r>
            <w:r w:rsidR="00AA5C8C" w:rsidRPr="00A23740">
              <w:rPr>
                <w:rFonts w:eastAsia="Times New Roman"/>
                <w:b/>
                <w:color w:val="00CC00"/>
                <w:szCs w:val="24"/>
                <w:lang w:eastAsia="tr-TR"/>
              </w:rPr>
              <w:t xml:space="preserve"> </w:t>
            </w:r>
            <w:r w:rsidR="00AA5C8C" w:rsidRPr="00A23740">
              <w:rPr>
                <w:rFonts w:eastAsia="Times New Roman"/>
                <w:b/>
                <w:color w:val="0000FF"/>
                <w:szCs w:val="24"/>
                <w:lang w:eastAsia="tr-TR"/>
              </w:rPr>
              <w:t>takip</w:t>
            </w:r>
            <w:r w:rsidR="00AA5C8C" w:rsidRPr="00A23740">
              <w:rPr>
                <w:rFonts w:eastAsia="Times New Roman"/>
                <w:b/>
                <w:color w:val="00CC00"/>
                <w:szCs w:val="24"/>
                <w:lang w:eastAsia="tr-TR"/>
              </w:rPr>
              <w:t xml:space="preserve"> </w:t>
            </w:r>
            <w:r w:rsidR="00AA5C8C" w:rsidRPr="00A23740">
              <w:rPr>
                <w:rFonts w:eastAsia="Times New Roman"/>
                <w:b/>
                <w:color w:val="0000FF"/>
                <w:szCs w:val="24"/>
                <w:lang w:eastAsia="tr-TR"/>
              </w:rPr>
              <w:t>yetkisinin</w:t>
            </w:r>
            <w:r w:rsidR="00AA5C8C" w:rsidRPr="00A23740">
              <w:rPr>
                <w:rFonts w:eastAsia="Times New Roman"/>
                <w:b/>
                <w:color w:val="00CC00"/>
                <w:szCs w:val="24"/>
                <w:lang w:eastAsia="tr-TR"/>
              </w:rPr>
              <w:t xml:space="preserve"> </w:t>
            </w:r>
            <w:r w:rsidR="00AA5C8C" w:rsidRPr="00A23740">
              <w:rPr>
                <w:rFonts w:eastAsia="Times New Roman"/>
                <w:b/>
                <w:color w:val="0000FF"/>
                <w:szCs w:val="24"/>
                <w:lang w:eastAsia="tr-TR"/>
              </w:rPr>
              <w:t>devrine</w:t>
            </w:r>
            <w:r w:rsidR="00AA5C8C" w:rsidRPr="00A23740">
              <w:rPr>
                <w:rFonts w:eastAsia="Times New Roman"/>
                <w:b/>
                <w:color w:val="00CC00"/>
                <w:szCs w:val="24"/>
                <w:lang w:eastAsia="tr-TR"/>
              </w:rPr>
              <w:t xml:space="preserve"> </w:t>
            </w:r>
            <w:r w:rsidR="00AA5C8C" w:rsidRPr="00A23740">
              <w:rPr>
                <w:rFonts w:eastAsia="Times New Roman"/>
                <w:b/>
                <w:color w:val="0000FF"/>
                <w:szCs w:val="24"/>
                <w:lang w:eastAsia="tr-TR"/>
              </w:rPr>
              <w:t>ilişkin</w:t>
            </w:r>
            <w:r w:rsidR="000A3332" w:rsidRPr="00A23740">
              <w:rPr>
                <w:rFonts w:eastAsia="Times New Roman"/>
                <w:b/>
                <w:color w:val="0000FF"/>
                <w:szCs w:val="24"/>
                <w:lang w:eastAsia="tr-TR"/>
              </w:rPr>
              <w:t xml:space="preserve"> </w:t>
            </w:r>
            <w:r w:rsidR="000A3332" w:rsidRPr="00075A70">
              <w:rPr>
                <w:rStyle w:val="MaviChar"/>
              </w:rPr>
              <w:t>362 nci</w:t>
            </w:r>
            <w:r w:rsidR="00AA5C8C" w:rsidRPr="00A23740">
              <w:rPr>
                <w:rFonts w:eastAsia="Times New Roman"/>
                <w:color w:val="000000"/>
                <w:szCs w:val="24"/>
                <w:lang w:eastAsia="tr-TR"/>
              </w:rPr>
              <w:t xml:space="preserve"> maddeye uygun olarak  bu iddiaların takibi hakkını devretmeyi teklif eder.</w:t>
            </w:r>
          </w:p>
          <w:p w:rsidR="00AA5C8C" w:rsidRPr="00A23740" w:rsidRDefault="00AA5C8C" w:rsidP="009431FF">
            <w:pPr>
              <w:ind w:firstLine="567"/>
              <w:rPr>
                <w:rFonts w:eastAsia="Times New Roman"/>
                <w:i/>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A1205" w:rsidRPr="00A23740" w:rsidRDefault="000A1205" w:rsidP="009431FF">
            <w:pPr>
              <w:ind w:firstLine="709"/>
              <w:rPr>
                <w:rFonts w:eastAsia="Times New Roman"/>
                <w:b/>
                <w:iCs/>
                <w:color w:val="000000"/>
                <w:szCs w:val="24"/>
                <w:lang w:eastAsia="tr-TR"/>
              </w:rPr>
            </w:pPr>
          </w:p>
          <w:p w:rsidR="00AA5C8C" w:rsidRDefault="000A1205" w:rsidP="006C4AA3">
            <w:pPr>
              <w:ind w:firstLine="709"/>
              <w:rPr>
                <w:rFonts w:eastAsia="Times New Roman"/>
                <w:iCs/>
                <w:color w:val="000000"/>
                <w:szCs w:val="24"/>
                <w:lang w:eastAsia="tr-TR"/>
              </w:rPr>
            </w:pPr>
            <w:r w:rsidRPr="00A23740">
              <w:rPr>
                <w:rFonts w:eastAsia="Times New Roman"/>
                <w:b/>
                <w:iCs/>
                <w:color w:val="000000"/>
                <w:szCs w:val="24"/>
                <w:lang w:eastAsia="tr-TR"/>
              </w:rPr>
              <w:t xml:space="preserve">MADDE </w:t>
            </w:r>
            <w:r w:rsidR="00164036" w:rsidRPr="00A23740">
              <w:rPr>
                <w:rFonts w:eastAsia="Times New Roman"/>
                <w:b/>
                <w:iCs/>
                <w:color w:val="000000"/>
                <w:szCs w:val="24"/>
                <w:lang w:eastAsia="tr-TR"/>
              </w:rPr>
              <w:t>426</w:t>
            </w:r>
            <w:r w:rsidR="00AA5C8C" w:rsidRPr="00A23740">
              <w:rPr>
                <w:rFonts w:eastAsia="Times New Roman"/>
                <w:b/>
                <w:iCs/>
                <w:color w:val="000000"/>
                <w:szCs w:val="24"/>
                <w:lang w:eastAsia="tr-TR"/>
              </w:rPr>
              <w:t xml:space="preserve">- </w:t>
            </w:r>
            <w:r w:rsidRPr="00A23740">
              <w:rPr>
                <w:rFonts w:eastAsia="Times New Roman"/>
                <w:iCs/>
                <w:color w:val="000000"/>
                <w:szCs w:val="24"/>
                <w:lang w:eastAsia="tr-TR"/>
              </w:rPr>
              <w:t xml:space="preserve">Maddeyle, tahsili güç ve çekişmeli hakların alacaklılara devrine ilişkin hususlar düzenlenmektedir. </w:t>
            </w:r>
            <w:r w:rsidR="00AA5C8C" w:rsidRPr="00A23740">
              <w:rPr>
                <w:rFonts w:eastAsia="Times New Roman"/>
                <w:iCs/>
                <w:color w:val="000000"/>
                <w:szCs w:val="24"/>
                <w:lang w:eastAsia="tr-TR"/>
              </w:rPr>
              <w:t>2004 sayılı Kanunun 309/ğ maddesi aynen alınmıştır. Maddede, alacaklılar kurulunun, konkordato tasfiye memurlarının teklifi üzerine ihtilaflı veya tahsili güç bir alacaktan veya bir iptal davasından ya da borçlunun organlarına veya çalışanlarına karşı sorumluluk davasından vazgeçmesi h</w:t>
            </w:r>
            <w:r w:rsidR="00192E69" w:rsidRPr="00A23740">
              <w:rPr>
                <w:rFonts w:eastAsia="Times New Roman"/>
                <w:iCs/>
                <w:color w:val="000000"/>
                <w:szCs w:val="24"/>
                <w:lang w:eastAsia="tr-TR"/>
              </w:rPr>
              <w:t>â</w:t>
            </w:r>
            <w:r w:rsidR="00AA5C8C" w:rsidRPr="00A23740">
              <w:rPr>
                <w:rFonts w:eastAsia="Times New Roman"/>
                <w:iCs/>
                <w:color w:val="000000"/>
                <w:szCs w:val="24"/>
                <w:lang w:eastAsia="tr-TR"/>
              </w:rPr>
              <w:t xml:space="preserve">linde, alacaklıları bundan haberdar etmesi ve </w:t>
            </w:r>
            <w:r w:rsidR="00192E69" w:rsidRPr="00075A70">
              <w:t xml:space="preserve">Taslağın </w:t>
            </w:r>
            <w:r w:rsidR="000A3332" w:rsidRPr="00075A70">
              <w:t>362 nci</w:t>
            </w:r>
            <w:r w:rsidR="00192E69" w:rsidRPr="00A23740">
              <w:rPr>
                <w:rStyle w:val="KonuBalChar"/>
                <w:rFonts w:eastAsia="Calibri"/>
                <w:lang w:val="tr-TR"/>
              </w:rPr>
              <w:t xml:space="preserve"> </w:t>
            </w:r>
            <w:r w:rsidR="00192E69" w:rsidRPr="00075A70">
              <w:t>maddesine</w:t>
            </w:r>
            <w:r w:rsidR="00192E69" w:rsidRPr="00A23740">
              <w:rPr>
                <w:rFonts w:eastAsia="Times New Roman"/>
                <w:iCs/>
                <w:color w:val="000000"/>
                <w:szCs w:val="24"/>
                <w:lang w:eastAsia="tr-TR"/>
              </w:rPr>
              <w:t xml:space="preserve"> </w:t>
            </w:r>
            <w:r w:rsidR="00AA5C8C" w:rsidRPr="00A23740">
              <w:rPr>
                <w:rFonts w:eastAsia="Times New Roman"/>
                <w:iCs/>
                <w:color w:val="000000"/>
                <w:szCs w:val="24"/>
                <w:lang w:eastAsia="tr-TR"/>
              </w:rPr>
              <w:t>uygun olarak bu iddiaların takibi hakkını onlara devretmeyi</w:t>
            </w:r>
            <w:r w:rsidR="000A3332" w:rsidRPr="00A23740">
              <w:rPr>
                <w:rFonts w:eastAsia="Times New Roman"/>
                <w:iCs/>
                <w:color w:val="000000"/>
                <w:szCs w:val="24"/>
                <w:lang w:eastAsia="tr-TR"/>
              </w:rPr>
              <w:t xml:space="preserve"> teklif etmesi düzenlenmiştir.</w:t>
            </w:r>
          </w:p>
          <w:p w:rsidR="00AD7E89" w:rsidRDefault="00AD7E89" w:rsidP="006C4AA3">
            <w:pPr>
              <w:ind w:firstLine="709"/>
              <w:rPr>
                <w:rFonts w:eastAsia="Times New Roman"/>
                <w:iCs/>
                <w:color w:val="000000"/>
                <w:szCs w:val="24"/>
                <w:lang w:eastAsia="tr-TR"/>
              </w:rPr>
            </w:pPr>
          </w:p>
          <w:p w:rsidR="00AD7E89" w:rsidRDefault="00AD7E89" w:rsidP="006C4AA3">
            <w:pPr>
              <w:ind w:firstLine="709"/>
              <w:rPr>
                <w:rFonts w:eastAsia="Times New Roman"/>
                <w:iCs/>
                <w:color w:val="000000"/>
                <w:szCs w:val="24"/>
                <w:lang w:eastAsia="tr-TR"/>
              </w:rPr>
            </w:pPr>
          </w:p>
          <w:p w:rsidR="00AD7E89" w:rsidRPr="00A23740" w:rsidRDefault="00AD7E89" w:rsidP="006C4AA3">
            <w:pPr>
              <w:ind w:firstLine="709"/>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Paraların paylaştırılması:</w:t>
            </w:r>
          </w:p>
          <w:p w:rsidR="00AA5C8C" w:rsidRPr="00A23740" w:rsidRDefault="00AA5C8C" w:rsidP="009431FF">
            <w:pPr>
              <w:rPr>
                <w:rFonts w:eastAsia="Times New Roman"/>
                <w:color w:val="000000"/>
                <w:szCs w:val="24"/>
                <w:lang w:eastAsia="tr-TR"/>
              </w:rPr>
            </w:pPr>
            <w:r w:rsidRPr="00A23740">
              <w:rPr>
                <w:rStyle w:val="KIRMIZIChar"/>
                <w:rFonts w:eastAsia="Calibri"/>
              </w:rPr>
              <w:t>Madde 309/h-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 xml:space="preserve">Konkordato tasfiye memurları, geçici de olsa her dağıtımdan önce, bir pay cetveli düzenler ve payının  miktarını her alacaklıya bildirir; konkordato tasfiye memurları pay cetvelini </w:t>
            </w:r>
            <w:r w:rsidRPr="00A23740">
              <w:rPr>
                <w:rStyle w:val="KIRMIZIChar"/>
                <w:rFonts w:eastAsia="Calibri"/>
              </w:rPr>
              <w:t>on gün</w:t>
            </w:r>
            <w:r w:rsidRPr="00A23740">
              <w:rPr>
                <w:rFonts w:eastAsia="Times New Roman"/>
                <w:color w:val="000000"/>
                <w:szCs w:val="24"/>
                <w:lang w:eastAsia="tr-TR"/>
              </w:rPr>
              <w:t xml:space="preserve"> süreyle  iflâs dairesinde alacaklıların incelemesine hazır tutar. Pay cetveline karşı şikâyet yoluna başvurulabilir.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Konkordato tasfiye memurları, pay cetveli ile birlikte </w:t>
            </w:r>
            <w:r w:rsidRPr="00A23740">
              <w:rPr>
                <w:rStyle w:val="KIRMIZIChar"/>
                <w:rFonts w:eastAsia="Calibri"/>
              </w:rPr>
              <w:t>masrafları</w:t>
            </w:r>
            <w:r w:rsidRPr="00A23740">
              <w:rPr>
                <w:rFonts w:eastAsia="Times New Roman"/>
                <w:color w:val="000000"/>
                <w:szCs w:val="24"/>
                <w:lang w:eastAsia="tr-TR"/>
              </w:rPr>
              <w:t xml:space="preserve"> </w:t>
            </w:r>
            <w:r w:rsidRPr="00A23740">
              <w:rPr>
                <w:rStyle w:val="KIRMIZIChar"/>
                <w:rFonts w:eastAsia="Calibri"/>
              </w:rPr>
              <w:t>da</w:t>
            </w:r>
            <w:r w:rsidRPr="00A23740">
              <w:rPr>
                <w:rFonts w:eastAsia="Times New Roman"/>
                <w:color w:val="000000"/>
                <w:szCs w:val="24"/>
                <w:lang w:eastAsia="tr-TR"/>
              </w:rPr>
              <w:t xml:space="preserve"> içeren son hesabı iflâs dairesine tevdi ederler.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Paraların paylaştırılması</w:t>
            </w:r>
          </w:p>
          <w:p w:rsidR="00AA5C8C" w:rsidRPr="00A23740" w:rsidRDefault="00AA5C8C" w:rsidP="009431FF">
            <w:pPr>
              <w:rPr>
                <w:rFonts w:eastAsia="Times New Roman"/>
                <w:color w:val="000000"/>
                <w:szCs w:val="24"/>
                <w:lang w:eastAsia="tr-TR"/>
              </w:rPr>
            </w:pPr>
            <w:r w:rsidRPr="00A23740">
              <w:rPr>
                <w:rStyle w:val="MaviChar"/>
                <w:lang w:val="tr-TR"/>
              </w:rPr>
              <w:t>MADDE 42</w:t>
            </w:r>
            <w:r w:rsidR="00164036" w:rsidRPr="00A23740">
              <w:rPr>
                <w:rStyle w:val="MaviChar"/>
                <w:lang w:val="tr-TR"/>
              </w:rPr>
              <w:t>7</w:t>
            </w:r>
            <w:r w:rsidRPr="00A23740">
              <w:rPr>
                <w:rStyle w:val="MaviChar"/>
                <w:lang w:val="tr-TR"/>
              </w:rPr>
              <w:t>- (1)</w:t>
            </w:r>
            <w:r w:rsidRPr="00A23740">
              <w:rPr>
                <w:rFonts w:eastAsia="Times New Roman"/>
                <w:color w:val="000000"/>
                <w:szCs w:val="24"/>
                <w:lang w:eastAsia="tr-TR"/>
              </w:rPr>
              <w:t xml:space="preserve"> Konkordato tasfiye memurları, geçici de olsa her dağıtımdan önce bir pay cetveli düzenler ve payının  miktarını her alacaklıya bildirir; konkordato tasfiye memurları pay cetvelini </w:t>
            </w:r>
            <w:r w:rsidRPr="00A23740">
              <w:rPr>
                <w:rStyle w:val="MaviChar"/>
                <w:lang w:val="tr-TR"/>
              </w:rPr>
              <w:t>bir hafta</w:t>
            </w:r>
            <w:r w:rsidR="00192E69" w:rsidRPr="00A23740">
              <w:rPr>
                <w:rFonts w:eastAsia="Times New Roman"/>
                <w:color w:val="000000"/>
                <w:szCs w:val="24"/>
                <w:lang w:eastAsia="tr-TR"/>
              </w:rPr>
              <w:t xml:space="preserve"> süreyle  ifla</w:t>
            </w:r>
            <w:r w:rsidRPr="00A23740">
              <w:rPr>
                <w:rFonts w:eastAsia="Times New Roman"/>
                <w:color w:val="000000"/>
                <w:szCs w:val="24"/>
                <w:lang w:eastAsia="tr-TR"/>
              </w:rPr>
              <w:t>s dairesinde alacaklıların incelemesine hazır tutar. Pay cetveline karşı şikâyet yoluna başvurulabilir.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Konkordato tasfiye memurları, pay cetveli ile birlikte </w:t>
            </w:r>
            <w:r w:rsidRPr="00A23740">
              <w:rPr>
                <w:rStyle w:val="MaviChar"/>
              </w:rPr>
              <w:t>giderleri de</w:t>
            </w:r>
            <w:r w:rsidRPr="00A23740">
              <w:rPr>
                <w:rFonts w:eastAsia="Times New Roman"/>
                <w:color w:val="000000"/>
                <w:szCs w:val="24"/>
                <w:lang w:eastAsia="tr-TR"/>
              </w:rPr>
              <w:t xml:space="preserve"> içeren son hesabı ifl</w:t>
            </w:r>
            <w:r w:rsidR="005A3987" w:rsidRPr="00A23740">
              <w:rPr>
                <w:rFonts w:eastAsia="Times New Roman"/>
                <w:color w:val="000000"/>
                <w:szCs w:val="24"/>
                <w:lang w:eastAsia="tr-TR"/>
              </w:rPr>
              <w:t>a</w:t>
            </w:r>
            <w:r w:rsidRPr="00A23740">
              <w:rPr>
                <w:rFonts w:eastAsia="Times New Roman"/>
                <w:color w:val="000000"/>
                <w:szCs w:val="24"/>
                <w:lang w:eastAsia="tr-TR"/>
              </w:rPr>
              <w:t>s dairesine tevdi ederler.</w:t>
            </w:r>
          </w:p>
          <w:p w:rsidR="00AA5C8C" w:rsidRPr="00A23740" w:rsidRDefault="00AA5C8C" w:rsidP="009431FF">
            <w:pPr>
              <w:ind w:firstLine="567"/>
              <w:rPr>
                <w:rFonts w:eastAsia="Times New Roman"/>
                <w:i/>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A1205" w:rsidRPr="00A23740" w:rsidRDefault="000A1205" w:rsidP="009431FF">
            <w:pPr>
              <w:shd w:val="clear" w:color="auto" w:fill="DEEAF6"/>
              <w:ind w:firstLine="709"/>
              <w:rPr>
                <w:rFonts w:eastAsia="Times New Roman"/>
                <w:b/>
                <w:iCs/>
                <w:color w:val="000000"/>
                <w:szCs w:val="24"/>
                <w:lang w:eastAsia="tr-TR"/>
              </w:rPr>
            </w:pPr>
          </w:p>
          <w:p w:rsidR="006C4AA3" w:rsidRDefault="000A1205" w:rsidP="006C4AA3">
            <w:pPr>
              <w:shd w:val="clear" w:color="auto" w:fill="DEEAF6"/>
              <w:ind w:firstLine="709"/>
              <w:rPr>
                <w:color w:val="000000"/>
                <w:szCs w:val="24"/>
              </w:rPr>
            </w:pPr>
            <w:r w:rsidRPr="00A23740">
              <w:rPr>
                <w:rFonts w:eastAsia="Times New Roman"/>
                <w:b/>
                <w:iCs/>
                <w:color w:val="000000"/>
                <w:szCs w:val="24"/>
                <w:lang w:eastAsia="tr-TR"/>
              </w:rPr>
              <w:t xml:space="preserve">MADDE </w:t>
            </w:r>
            <w:r w:rsidR="00164036" w:rsidRPr="00A23740">
              <w:rPr>
                <w:rFonts w:eastAsia="Times New Roman"/>
                <w:b/>
                <w:iCs/>
                <w:color w:val="000000"/>
                <w:szCs w:val="24"/>
                <w:lang w:eastAsia="tr-TR"/>
              </w:rPr>
              <w:t>427</w:t>
            </w:r>
            <w:r w:rsidR="00AA5C8C"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 xml:space="preserve">2004 sayılı Kanunun 309/h maddesi aynen alınmıştır. </w:t>
            </w:r>
            <w:r w:rsidR="00AA5C8C" w:rsidRPr="00A23740">
              <w:rPr>
                <w:color w:val="000000"/>
                <w:szCs w:val="24"/>
              </w:rPr>
              <w:t>Maddede borçlunun malvarlığının tasfiyesi sonunda elde edilen paranın alacaklılar arasında payl</w:t>
            </w:r>
            <w:r w:rsidR="006C4AA3">
              <w:rPr>
                <w:color w:val="000000"/>
                <w:szCs w:val="24"/>
              </w:rPr>
              <w:t>aştırılması düzenlenmiştir.</w:t>
            </w:r>
          </w:p>
          <w:p w:rsidR="006C4AA3" w:rsidRDefault="00AA5C8C" w:rsidP="006C4AA3">
            <w:pPr>
              <w:shd w:val="clear" w:color="auto" w:fill="DEEAF6"/>
              <w:ind w:firstLine="709"/>
              <w:rPr>
                <w:color w:val="000000"/>
                <w:szCs w:val="24"/>
              </w:rPr>
            </w:pPr>
            <w:r w:rsidRPr="00A23740">
              <w:rPr>
                <w:color w:val="000000"/>
                <w:szCs w:val="24"/>
              </w:rPr>
              <w:t>Borçlunun bütün malvarlığının paraya çevrilmesi uzunca bir zaman</w:t>
            </w:r>
            <w:r w:rsidR="006C4AA3">
              <w:rPr>
                <w:color w:val="000000"/>
                <w:szCs w:val="24"/>
              </w:rPr>
              <w:t xml:space="preserve"> </w:t>
            </w:r>
            <w:r w:rsidR="00191441" w:rsidRPr="00A23740">
              <w:rPr>
                <w:color w:val="000000"/>
                <w:szCs w:val="24"/>
              </w:rPr>
              <w:t>alabilir</w:t>
            </w:r>
            <w:r w:rsidRPr="00A23740">
              <w:rPr>
                <w:color w:val="000000"/>
                <w:szCs w:val="24"/>
              </w:rPr>
              <w:t>. Bu sebeple, paraların paylaştırılması için tasfiyenin sonuna kadar beklemek doğru olmaz. Onun için, konkordato tasfiye memurlarına masa malları tasfiye edildikçe geçici dağıtım yapma yetkisi tanınmıştır. Bütün masa malları tasfiye edilince de kesin dağıtım yapılır. Konkordato tasfiye memurları her geçici dağıtımdan önce geçici bir pay cetveli düzenlemek, bunu alacaklılara bildirmek ve alacaklıların görmesi için bunu bir hafta boyunca ifl</w:t>
            </w:r>
            <w:r w:rsidR="005A3987" w:rsidRPr="00A23740">
              <w:rPr>
                <w:color w:val="000000"/>
                <w:szCs w:val="24"/>
              </w:rPr>
              <w:t>a</w:t>
            </w:r>
            <w:r w:rsidRPr="00A23740">
              <w:rPr>
                <w:color w:val="000000"/>
                <w:szCs w:val="24"/>
              </w:rPr>
              <w:t>s dairesinde incelemeye hazır bulundurmakla yükümlüdürler. Bu süre içinde alacaklılar pay cetveline karşı ifl</w:t>
            </w:r>
            <w:r w:rsidR="005A3987" w:rsidRPr="00A23740">
              <w:rPr>
                <w:color w:val="000000"/>
                <w:szCs w:val="24"/>
              </w:rPr>
              <w:t>a</w:t>
            </w:r>
            <w:r w:rsidRPr="00A23740">
              <w:rPr>
                <w:color w:val="000000"/>
                <w:szCs w:val="24"/>
              </w:rPr>
              <w:t xml:space="preserve">s mahkemesine şikâyette bulunabilirler. Paylaştırma için pay cetvelinin kesinleşmesi gerekir. </w:t>
            </w:r>
          </w:p>
          <w:p w:rsidR="00AA5C8C" w:rsidRPr="006C4AA3" w:rsidRDefault="00AA5C8C" w:rsidP="006C4AA3">
            <w:pPr>
              <w:shd w:val="clear" w:color="auto" w:fill="DEEAF6"/>
              <w:ind w:firstLine="709"/>
              <w:rPr>
                <w:color w:val="000000"/>
                <w:szCs w:val="24"/>
              </w:rPr>
            </w:pPr>
            <w:r w:rsidRPr="00A23740">
              <w:rPr>
                <w:rFonts w:eastAsia="Times New Roman"/>
                <w:color w:val="000000"/>
                <w:szCs w:val="24"/>
                <w:lang w:eastAsia="tr-TR"/>
              </w:rPr>
              <w:t>Konkordato tasfiye memurlarının pay cetveli ile birlikte giderleri de içeren son hesabı ifl</w:t>
            </w:r>
            <w:r w:rsidR="005A3987" w:rsidRPr="00A23740">
              <w:rPr>
                <w:rFonts w:eastAsia="Times New Roman"/>
                <w:color w:val="000000"/>
                <w:szCs w:val="24"/>
                <w:lang w:eastAsia="tr-TR"/>
              </w:rPr>
              <w:t>a</w:t>
            </w:r>
            <w:r w:rsidRPr="00A23740">
              <w:rPr>
                <w:rFonts w:eastAsia="Times New Roman"/>
                <w:color w:val="000000"/>
                <w:szCs w:val="24"/>
                <w:lang w:eastAsia="tr-TR"/>
              </w:rPr>
              <w:t>s dairesine tevdi etmesi gerektiği de maddenin ik</w:t>
            </w:r>
            <w:r w:rsidR="000A1205" w:rsidRPr="00A23740">
              <w:rPr>
                <w:rFonts w:eastAsia="Times New Roman"/>
                <w:color w:val="000000"/>
                <w:szCs w:val="24"/>
                <w:lang w:eastAsia="tr-TR"/>
              </w:rPr>
              <w:t>inci fıkrasında düzenlenmiştir.</w:t>
            </w:r>
          </w:p>
          <w:p w:rsidR="00AA5C8C" w:rsidRPr="00A23740" w:rsidRDefault="00AA5C8C" w:rsidP="006C4AA3">
            <w:pPr>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widowControl w:val="0"/>
              <w:rPr>
                <w:rFonts w:eastAsia="Times New Roman"/>
                <w:color w:val="000000"/>
                <w:szCs w:val="24"/>
                <w:lang w:eastAsia="tr-TR"/>
              </w:rPr>
            </w:pPr>
            <w:r w:rsidRPr="00A23740">
              <w:rPr>
                <w:rFonts w:eastAsia="Times New Roman"/>
                <w:i/>
                <w:iCs/>
                <w:color w:val="000000"/>
                <w:szCs w:val="24"/>
                <w:lang w:eastAsia="tr-TR"/>
              </w:rPr>
              <w:t>Rehin açığı:</w:t>
            </w: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Madde 309/ı-  (1) (Ek: 17/7/2003-4949/84 md.)</w:t>
            </w:r>
          </w:p>
          <w:p w:rsidR="00AA5C8C" w:rsidRPr="00A23740" w:rsidRDefault="00AA5C8C" w:rsidP="009431FF">
            <w:pPr>
              <w:widowControl w:val="0"/>
              <w:rPr>
                <w:rFonts w:eastAsia="Times New Roman"/>
                <w:color w:val="000000"/>
                <w:szCs w:val="24"/>
                <w:lang w:eastAsia="tr-TR"/>
              </w:rPr>
            </w:pPr>
            <w:r w:rsidRPr="00A23740">
              <w:rPr>
                <w:rFonts w:eastAsia="Times New Roman"/>
                <w:color w:val="000000"/>
                <w:szCs w:val="24"/>
                <w:lang w:eastAsia="tr-TR"/>
              </w:rPr>
              <w:t>Geçici pay cetvelinin tevdii sırasında rehni paraya çevrilmiş bulunan rehinli alacaklılar, alacaklarının açık kalan kısmı için geçici dağıtıma katılırlar. Açık kalan kısım konkordato tasfiye memurları tarafından belirlenir ve bu karara karşı şikâyet yoluna gidilebilir.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Geçici pay cetvelinin tevdii sırasında rehin paraya çevrilmemişse, rehinli alacaklı komiser tarafından açık kalacağı öngörülmüş olan miktar için dağıtıma katılır. Rehnin paraya çevrilmesinden elde edilen bedelin öngörülen miktarın altında kaldığını ispatlayan rehinli alacaklı, buna  tekabül eden ödemelere hak kazanır.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i/>
                <w:iCs/>
                <w:color w:val="000000"/>
                <w:szCs w:val="24"/>
                <w:lang w:eastAsia="tr-TR"/>
              </w:rPr>
            </w:pPr>
            <w:r w:rsidRPr="00A23740">
              <w:rPr>
                <w:rStyle w:val="KIRMIZIChar"/>
                <w:rFonts w:eastAsia="Calibri"/>
              </w:rPr>
              <w:t>(3)</w:t>
            </w:r>
            <w:r w:rsidRPr="00A23740">
              <w:rPr>
                <w:rFonts w:eastAsia="Times New Roman"/>
                <w:color w:val="000000"/>
                <w:szCs w:val="24"/>
                <w:lang w:eastAsia="tr-TR"/>
              </w:rPr>
              <w:t xml:space="preserve"> Rehnin paraya çevrilmesinden elde edilen bedel ile o zamana kadar yapılan geçici ödemeler toplamı alacak tutarını aşarsa, rehinli alacaklı fazlayı iade etmek zorundadır.</w:t>
            </w:r>
          </w:p>
        </w:tc>
        <w:tc>
          <w:tcPr>
            <w:tcW w:w="2500" w:type="pct"/>
            <w:shd w:val="clear" w:color="auto" w:fill="FFFFFF"/>
          </w:tcPr>
          <w:p w:rsidR="00AA5C8C" w:rsidRPr="00A23740" w:rsidRDefault="00AA5C8C" w:rsidP="009431FF">
            <w:pPr>
              <w:widowControl w:val="0"/>
              <w:rPr>
                <w:rFonts w:eastAsia="Times New Roman"/>
                <w:b/>
                <w:color w:val="000000"/>
                <w:szCs w:val="24"/>
                <w:lang w:eastAsia="tr-TR"/>
              </w:rPr>
            </w:pPr>
            <w:r w:rsidRPr="00A23740">
              <w:rPr>
                <w:rFonts w:eastAsia="Times New Roman"/>
                <w:b/>
                <w:iCs/>
                <w:color w:val="000000"/>
                <w:szCs w:val="24"/>
                <w:lang w:eastAsia="tr-TR"/>
              </w:rPr>
              <w:t>Rehin açığı</w:t>
            </w:r>
          </w:p>
          <w:p w:rsidR="00AA5C8C" w:rsidRPr="00A23740" w:rsidRDefault="00AA5C8C" w:rsidP="009431FF">
            <w:pPr>
              <w:widowControl w:val="0"/>
              <w:rPr>
                <w:rFonts w:eastAsia="Times New Roman"/>
                <w:color w:val="000000"/>
                <w:szCs w:val="24"/>
                <w:lang w:eastAsia="tr-TR"/>
              </w:rPr>
            </w:pPr>
            <w:r w:rsidRPr="00A23740">
              <w:rPr>
                <w:rStyle w:val="MaviChar"/>
                <w:lang w:val="tr-TR"/>
              </w:rPr>
              <w:t>MADDE 42</w:t>
            </w:r>
            <w:r w:rsidR="00164036" w:rsidRPr="00A23740">
              <w:rPr>
                <w:rStyle w:val="MaviChar"/>
                <w:lang w:val="tr-TR"/>
              </w:rPr>
              <w:t>8</w:t>
            </w:r>
            <w:r w:rsidRPr="00A23740">
              <w:rPr>
                <w:rStyle w:val="MaviChar"/>
                <w:lang w:val="tr-TR"/>
              </w:rPr>
              <w:t>- (1)</w:t>
            </w:r>
            <w:r w:rsidRPr="00A23740">
              <w:rPr>
                <w:rFonts w:eastAsia="Times New Roman"/>
                <w:color w:val="000000"/>
                <w:szCs w:val="24"/>
                <w:lang w:eastAsia="tr-TR"/>
              </w:rPr>
              <w:t xml:space="preserve"> Geçici pay cetvelinin tevdii sırasında rehni paraya çevrilmiş bulunan rehinli alacaklılar, alacaklarının açık kalan kısmı için geçici dağıtıma katılırlar. Açık kalan kısım konkordato tasfiye memurları tarafından belirlenir ve bu karara karşı şikâyet yoluna gidilebilir.</w:t>
            </w:r>
          </w:p>
          <w:p w:rsidR="00AA5C8C" w:rsidRPr="00A23740" w:rsidRDefault="00AA5C8C" w:rsidP="009431FF">
            <w:pPr>
              <w:widowControl w:val="0"/>
              <w:rPr>
                <w:rFonts w:eastAsia="Times New Roman"/>
                <w:color w:val="000000"/>
                <w:szCs w:val="24"/>
                <w:lang w:eastAsia="tr-TR"/>
              </w:rPr>
            </w:pPr>
          </w:p>
          <w:p w:rsidR="00AA5C8C" w:rsidRPr="00A23740" w:rsidRDefault="00AA5C8C" w:rsidP="009431FF">
            <w:pPr>
              <w:widowControl w:val="0"/>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Geçici pay cetvelinin tevdii sırasında rehin paraya çevrilmemişse rehinli alacaklı</w:t>
            </w:r>
            <w:r w:rsidRPr="00A23740">
              <w:rPr>
                <w:rFonts w:eastAsia="Times New Roman"/>
                <w:b/>
                <w:color w:val="0000FF"/>
                <w:szCs w:val="24"/>
                <w:lang w:eastAsia="tr-TR"/>
              </w:rPr>
              <w:t>,</w:t>
            </w:r>
            <w:r w:rsidRPr="00A23740">
              <w:rPr>
                <w:rFonts w:eastAsia="Times New Roman"/>
                <w:color w:val="000000"/>
                <w:szCs w:val="24"/>
                <w:lang w:eastAsia="tr-TR"/>
              </w:rPr>
              <w:t xml:space="preserve"> komiser tarafından açık kalacağı öngörülmüş olan miktar için dağıtıma katılır. Rehnin paraya çevrilmesinden elde edilen bedelin öngörülen miktarın altında kaldığını ispatlayan rehinli alacaklı, buna  tekabül eden ödemelere hak kazanır.</w:t>
            </w:r>
          </w:p>
          <w:p w:rsidR="00AA5C8C" w:rsidRPr="00A23740" w:rsidRDefault="00AA5C8C" w:rsidP="009431FF">
            <w:pPr>
              <w:widowControl w:val="0"/>
              <w:rPr>
                <w:rFonts w:eastAsia="Times New Roman"/>
                <w:color w:val="000000"/>
                <w:szCs w:val="24"/>
                <w:lang w:eastAsia="tr-TR"/>
              </w:rPr>
            </w:pPr>
          </w:p>
          <w:p w:rsidR="00B612C0" w:rsidRDefault="00AA5C8C" w:rsidP="009431FF">
            <w:pPr>
              <w:widowControl w:val="0"/>
              <w:rPr>
                <w:rFonts w:eastAsia="Times New Roman"/>
                <w:color w:val="000000"/>
                <w:szCs w:val="24"/>
                <w:lang w:eastAsia="tr-TR"/>
              </w:rPr>
            </w:pPr>
            <w:r w:rsidRPr="00A23740">
              <w:rPr>
                <w:rStyle w:val="MaviChar"/>
                <w:lang w:val="tr-TR"/>
              </w:rPr>
              <w:t>(3)</w:t>
            </w:r>
            <w:r w:rsidRPr="00A23740">
              <w:rPr>
                <w:rFonts w:eastAsia="Times New Roman"/>
                <w:color w:val="000000"/>
                <w:szCs w:val="24"/>
                <w:lang w:eastAsia="tr-TR"/>
              </w:rPr>
              <w:t xml:space="preserve"> Rehnin paraya çevrilmesinden elde edilen bedel ile o zamana kadar yapılan geçici ödemeler toplamı alacak tutarını aşarsa, rehinli alacaklı fazlayı iade etmek zorundadır.</w:t>
            </w:r>
          </w:p>
          <w:p w:rsidR="00E36534" w:rsidRPr="00A23740" w:rsidRDefault="00E36534" w:rsidP="009431FF">
            <w:pPr>
              <w:widowControl w:val="0"/>
              <w:rPr>
                <w:rFonts w:eastAsia="Times New Roman"/>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A1205" w:rsidRPr="00A23740" w:rsidRDefault="000A1205" w:rsidP="009431FF">
            <w:pPr>
              <w:ind w:firstLine="709"/>
              <w:rPr>
                <w:rFonts w:eastAsia="Times New Roman"/>
                <w:b/>
                <w:iCs/>
                <w:color w:val="000000"/>
                <w:szCs w:val="24"/>
                <w:lang w:eastAsia="tr-TR"/>
              </w:rPr>
            </w:pPr>
          </w:p>
          <w:p w:rsidR="00AA5C8C" w:rsidRPr="00A23740" w:rsidRDefault="000A1205" w:rsidP="009431FF">
            <w:pPr>
              <w:ind w:firstLine="709"/>
              <w:rPr>
                <w:rFonts w:eastAsia="Times New Roman"/>
                <w:bCs/>
                <w:iCs/>
                <w:color w:val="000000"/>
                <w:szCs w:val="24"/>
                <w:lang w:eastAsia="tr-TR"/>
              </w:rPr>
            </w:pPr>
            <w:r w:rsidRPr="00A23740">
              <w:rPr>
                <w:rFonts w:eastAsia="Times New Roman"/>
                <w:b/>
                <w:iCs/>
                <w:color w:val="000000"/>
                <w:szCs w:val="24"/>
                <w:lang w:eastAsia="tr-TR"/>
              </w:rPr>
              <w:t xml:space="preserve">MADDE </w:t>
            </w:r>
            <w:r w:rsidR="00AA5C8C" w:rsidRPr="00A23740">
              <w:rPr>
                <w:rFonts w:eastAsia="Times New Roman"/>
                <w:b/>
                <w:iCs/>
                <w:color w:val="000000"/>
                <w:szCs w:val="24"/>
                <w:lang w:eastAsia="tr-TR"/>
              </w:rPr>
              <w:t>42</w:t>
            </w:r>
            <w:r w:rsidR="00164036" w:rsidRPr="00A23740">
              <w:rPr>
                <w:rFonts w:eastAsia="Times New Roman"/>
                <w:b/>
                <w:iCs/>
                <w:color w:val="000000"/>
                <w:szCs w:val="24"/>
                <w:lang w:eastAsia="tr-TR"/>
              </w:rPr>
              <w:t>8</w:t>
            </w:r>
            <w:r w:rsidR="00AA5C8C"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 xml:space="preserve">2004 sayılı Kanunun rehin açığını düzenleyen 309/ı maddesi aynen alınmıştır.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Geçici pay cetvelinin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 xml:space="preserve">s dairesine tevdii sırasında rehinleri paraya çevrilmiş bulunan rehinli alacaklılar, alacaklarının rehinle karşılanamayan kısmı için geçici dağıtıma katılırlar. Alacağın rehinle karşılanamayan kısmı konkordato tasfiye memurları tarafından tespit ve tayin olunur; buna karşı şikâyet yoluna gidilebilir. </w:t>
            </w:r>
          </w:p>
          <w:p w:rsidR="00AA5C8C" w:rsidRPr="00A23740" w:rsidRDefault="00AA5C8C" w:rsidP="009431FF">
            <w:pPr>
              <w:ind w:firstLine="709"/>
              <w:rPr>
                <w:rFonts w:eastAsia="Times New Roman"/>
                <w:bCs/>
                <w:iCs/>
                <w:color w:val="000000"/>
                <w:szCs w:val="24"/>
                <w:lang w:eastAsia="tr-TR"/>
              </w:rPr>
            </w:pPr>
            <w:r w:rsidRPr="00A23740">
              <w:rPr>
                <w:rFonts w:eastAsia="Times New Roman"/>
                <w:bCs/>
                <w:iCs/>
                <w:color w:val="000000"/>
                <w:szCs w:val="24"/>
                <w:lang w:eastAsia="tr-TR"/>
              </w:rPr>
              <w:t>Geçici pay cetvelinin ifl</w:t>
            </w:r>
            <w:r w:rsidR="005A3987" w:rsidRPr="00A23740">
              <w:rPr>
                <w:rFonts w:eastAsia="Times New Roman"/>
                <w:bCs/>
                <w:iCs/>
                <w:color w:val="000000"/>
                <w:szCs w:val="24"/>
                <w:lang w:eastAsia="tr-TR"/>
              </w:rPr>
              <w:t>a</w:t>
            </w:r>
            <w:r w:rsidRPr="00A23740">
              <w:rPr>
                <w:rFonts w:eastAsia="Times New Roman"/>
                <w:bCs/>
                <w:iCs/>
                <w:color w:val="000000"/>
                <w:szCs w:val="24"/>
                <w:lang w:eastAsia="tr-TR"/>
              </w:rPr>
              <w:t>s dairesine verilmesi anında rehin henüz paraya çevrilmemiş</w:t>
            </w:r>
            <w:r w:rsidR="00191441" w:rsidRPr="00A23740">
              <w:rPr>
                <w:rFonts w:eastAsia="Times New Roman"/>
                <w:bCs/>
                <w:iCs/>
                <w:color w:val="000000"/>
                <w:szCs w:val="24"/>
                <w:lang w:eastAsia="tr-TR"/>
              </w:rPr>
              <w:t>se</w:t>
            </w:r>
            <w:r w:rsidRPr="00A23740">
              <w:rPr>
                <w:rFonts w:eastAsia="Times New Roman"/>
                <w:bCs/>
                <w:iCs/>
                <w:color w:val="000000"/>
                <w:szCs w:val="24"/>
                <w:lang w:eastAsia="tr-TR"/>
              </w:rPr>
              <w:t>, rehin alacaklısı konkordato komiseri tarafından tahmin edilmiş olan rehin açığı oranında geçici pay cetveline dahil edilir. Rehin alacaklısı, rehnin satılmasından elde edilen paranın tahmin edilenden daha az olduğunu ispat ederse, açık kalan kısım bakımından dağıtımda dikkate alınır. Rehin alacaklısı, rehnin satış bedelinden ve dağıtımlardan aldığı para alacağından fazla ise, bu fazlayı masaya iade etmek zorundadır.</w:t>
            </w:r>
          </w:p>
          <w:p w:rsidR="00AA5C8C" w:rsidRPr="00A23740" w:rsidRDefault="00AA5C8C" w:rsidP="006C4AA3">
            <w:pPr>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Tevdi:</w:t>
            </w:r>
          </w:p>
          <w:p w:rsidR="00AA5C8C" w:rsidRPr="00A23740" w:rsidRDefault="00AA5C8C" w:rsidP="009431FF">
            <w:pPr>
              <w:rPr>
                <w:rFonts w:eastAsia="Times New Roman"/>
                <w:color w:val="000000"/>
                <w:szCs w:val="24"/>
                <w:lang w:eastAsia="tr-TR"/>
              </w:rPr>
            </w:pPr>
            <w:r w:rsidRPr="00A23740">
              <w:rPr>
                <w:rStyle w:val="KIRMIZIChar"/>
                <w:rFonts w:eastAsia="Calibri"/>
              </w:rPr>
              <w:t>Madde 309/i-  (1)</w:t>
            </w:r>
            <w:r w:rsidRPr="00A23740">
              <w:rPr>
                <w:rStyle w:val="KIRMIZIChar"/>
                <w:rFonts w:eastAsia="Calibri"/>
                <w:bCs w:val="0"/>
              </w:rPr>
              <w:t xml:space="preserve">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Konkordato tasfiye memurları tarafından belirlenen sürede hak sahipleri tarafından tahsil edilmeyen paylar 9 uncu madde hükümlerine göre bankaya yatırılır.</w:t>
            </w:r>
          </w:p>
          <w:p w:rsidR="00AA5C8C" w:rsidRPr="00A23740" w:rsidRDefault="00AA5C8C" w:rsidP="009431FF">
            <w:pPr>
              <w:ind w:firstLine="567"/>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Fonts w:eastAsia="Times New Roman"/>
                <w:color w:val="000000"/>
                <w:szCs w:val="24"/>
                <w:lang w:eastAsia="tr-TR"/>
              </w:rPr>
              <w:t xml:space="preserve"> Beş yıl içinde hak sahipleri tarafından tahsil edilmeyen paylar iflâs dairesi tarafından dağıtılır; 255 inci madde kıyas yoluyla uygulanır.</w:t>
            </w: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Tevdi</w:t>
            </w:r>
          </w:p>
          <w:p w:rsidR="00AA5C8C" w:rsidRPr="00A23740" w:rsidRDefault="00AA5C8C" w:rsidP="009431FF">
            <w:pPr>
              <w:rPr>
                <w:rFonts w:eastAsia="Times New Roman"/>
                <w:color w:val="000000"/>
                <w:szCs w:val="24"/>
                <w:lang w:eastAsia="tr-TR"/>
              </w:rPr>
            </w:pPr>
            <w:r w:rsidRPr="00A23740">
              <w:rPr>
                <w:rStyle w:val="MaviChar"/>
                <w:lang w:val="tr-TR"/>
              </w:rPr>
              <w:t>MADDE 42</w:t>
            </w:r>
            <w:r w:rsidR="00164036" w:rsidRPr="00A23740">
              <w:rPr>
                <w:rStyle w:val="MaviChar"/>
                <w:lang w:val="tr-TR"/>
              </w:rPr>
              <w:t>9</w:t>
            </w:r>
            <w:r w:rsidRPr="00A23740">
              <w:rPr>
                <w:rStyle w:val="MaviChar"/>
                <w:lang w:val="tr-TR"/>
              </w:rPr>
              <w:t>- (1)</w:t>
            </w:r>
            <w:r w:rsidRPr="00A23740">
              <w:rPr>
                <w:rFonts w:eastAsia="Times New Roman"/>
                <w:color w:val="000000"/>
                <w:szCs w:val="24"/>
                <w:lang w:eastAsia="tr-TR"/>
              </w:rPr>
              <w:t xml:space="preserve"> Konkordato tasfiye memurları tarafından belirlenen sürede hak sahipleri tarafından tahsil edilmeyen paylar</w:t>
            </w:r>
            <w:r w:rsidRPr="00A23740">
              <w:rPr>
                <w:rFonts w:eastAsia="Times New Roman"/>
                <w:b/>
                <w:color w:val="0000FF"/>
                <w:szCs w:val="24"/>
                <w:lang w:eastAsia="tr-TR"/>
              </w:rPr>
              <w:t>, paranın ödenmesine ilişkin</w:t>
            </w:r>
            <w:r w:rsidRPr="00A23740">
              <w:rPr>
                <w:rFonts w:eastAsia="Times New Roman"/>
                <w:color w:val="000000"/>
                <w:szCs w:val="24"/>
                <w:lang w:eastAsia="tr-TR"/>
              </w:rPr>
              <w:t xml:space="preserve"> </w:t>
            </w:r>
            <w:r w:rsidRPr="00A23740">
              <w:rPr>
                <w:rStyle w:val="MaviChar"/>
              </w:rPr>
              <w:t xml:space="preserve">11 inci </w:t>
            </w:r>
            <w:r w:rsidRPr="00A23740">
              <w:rPr>
                <w:rFonts w:eastAsia="Times New Roman"/>
                <w:color w:val="000000"/>
                <w:szCs w:val="24"/>
                <w:lang w:eastAsia="tr-TR"/>
              </w:rPr>
              <w:t>madde hükümlerine göre bankaya yatırılır.</w:t>
            </w:r>
          </w:p>
          <w:p w:rsidR="00AA5C8C" w:rsidRPr="00A23740" w:rsidRDefault="00AA5C8C" w:rsidP="009431FF">
            <w:pPr>
              <w:rPr>
                <w:rFonts w:eastAsia="Times New Roman"/>
                <w:color w:val="000000"/>
                <w:szCs w:val="24"/>
                <w:lang w:eastAsia="tr-TR"/>
              </w:rPr>
            </w:pPr>
          </w:p>
          <w:p w:rsidR="00E36534" w:rsidRDefault="00E36534" w:rsidP="009431FF">
            <w:pPr>
              <w:rPr>
                <w:rStyle w:val="MaviChar"/>
                <w:lang w:val="tr-TR"/>
              </w:rPr>
            </w:pPr>
          </w:p>
          <w:p w:rsidR="00AA5C8C" w:rsidRPr="00A23740" w:rsidRDefault="00AA5C8C" w:rsidP="009431FF">
            <w:pPr>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Beş yıl içinde hak sahipleri tarafından tahsil edilmeyen paylar</w:t>
            </w:r>
            <w:r w:rsidRPr="00A23740">
              <w:rPr>
                <w:rFonts w:eastAsia="Times New Roman"/>
                <w:b/>
                <w:color w:val="0000FF"/>
                <w:szCs w:val="24"/>
                <w:lang w:eastAsia="tr-TR"/>
              </w:rPr>
              <w:t>,</w:t>
            </w:r>
            <w:r w:rsidR="00192E69" w:rsidRPr="00A23740">
              <w:rPr>
                <w:rFonts w:eastAsia="Times New Roman"/>
                <w:b/>
                <w:color w:val="0000FF"/>
                <w:szCs w:val="24"/>
                <w:lang w:eastAsia="tr-TR"/>
              </w:rPr>
              <w:t xml:space="preserve"> </w:t>
            </w:r>
            <w:r w:rsidR="00192E69" w:rsidRPr="00075A70">
              <w:rPr>
                <w:rStyle w:val="MaviChar"/>
              </w:rPr>
              <w:t>373 üncü</w:t>
            </w:r>
            <w:r w:rsidRPr="00A23740">
              <w:rPr>
                <w:rFonts w:eastAsia="Times New Roman"/>
                <w:color w:val="0000FF"/>
                <w:szCs w:val="24"/>
                <w:lang w:eastAsia="tr-TR"/>
              </w:rPr>
              <w:t xml:space="preserve"> </w:t>
            </w:r>
            <w:r w:rsidRPr="00A23740">
              <w:rPr>
                <w:rFonts w:eastAsia="Times New Roman"/>
                <w:b/>
                <w:color w:val="0000FF"/>
                <w:szCs w:val="24"/>
                <w:lang w:eastAsia="tr-TR"/>
              </w:rPr>
              <w:t>maddedeki esaslar dahilinde</w:t>
            </w:r>
            <w:r w:rsidRPr="00A23740">
              <w:rPr>
                <w:rFonts w:eastAsia="Times New Roman"/>
                <w:color w:val="000000"/>
                <w:szCs w:val="24"/>
                <w:lang w:eastAsia="tr-TR"/>
              </w:rPr>
              <w:t xml:space="preserve"> </w:t>
            </w:r>
            <w:r w:rsidR="00192E69" w:rsidRPr="00A23740">
              <w:rPr>
                <w:rFonts w:eastAsia="Times New Roman"/>
                <w:color w:val="000000"/>
                <w:szCs w:val="24"/>
                <w:lang w:eastAsia="tr-TR"/>
              </w:rPr>
              <w:t>ifla</w:t>
            </w:r>
            <w:r w:rsidRPr="00A23740">
              <w:rPr>
                <w:rFonts w:eastAsia="Times New Roman"/>
                <w:color w:val="000000"/>
                <w:szCs w:val="24"/>
                <w:lang w:eastAsia="tr-TR"/>
              </w:rPr>
              <w:t>s dairesi tarafından dağıtılır</w:t>
            </w:r>
            <w:r w:rsidR="00E36534">
              <w:rPr>
                <w:rFonts w:eastAsia="Times New Roman"/>
                <w:color w:val="000000"/>
                <w:szCs w:val="24"/>
                <w:lang w:eastAsia="tr-TR"/>
              </w:rPr>
              <w:t>.</w:t>
            </w:r>
          </w:p>
          <w:p w:rsidR="00AA5C8C" w:rsidRPr="00A23740" w:rsidRDefault="00AA5C8C" w:rsidP="009431FF">
            <w:pPr>
              <w:pStyle w:val="KIRMIZI"/>
              <w:rPr>
                <w:color w:val="000000"/>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A1205" w:rsidRPr="00A23740" w:rsidRDefault="000A1205" w:rsidP="009431FF">
            <w:pPr>
              <w:ind w:firstLine="709"/>
              <w:rPr>
                <w:rFonts w:eastAsia="Times New Roman"/>
                <w:b/>
                <w:iCs/>
                <w:color w:val="000000"/>
                <w:szCs w:val="24"/>
                <w:lang w:eastAsia="tr-TR"/>
              </w:rPr>
            </w:pPr>
          </w:p>
          <w:p w:rsidR="00AA5C8C" w:rsidRPr="00A23740" w:rsidRDefault="000A1205" w:rsidP="009431FF">
            <w:pPr>
              <w:ind w:firstLine="709"/>
              <w:rPr>
                <w:color w:val="333333"/>
              </w:rPr>
            </w:pPr>
            <w:r w:rsidRPr="00A23740">
              <w:rPr>
                <w:rFonts w:eastAsia="Times New Roman"/>
                <w:b/>
                <w:iCs/>
                <w:color w:val="000000"/>
                <w:szCs w:val="24"/>
                <w:lang w:eastAsia="tr-TR"/>
              </w:rPr>
              <w:t xml:space="preserve">MADDE </w:t>
            </w:r>
            <w:r w:rsidR="00AA5C8C" w:rsidRPr="00A23740">
              <w:rPr>
                <w:rFonts w:eastAsia="Times New Roman"/>
                <w:b/>
                <w:iCs/>
                <w:color w:val="000000"/>
                <w:szCs w:val="24"/>
                <w:lang w:eastAsia="tr-TR"/>
              </w:rPr>
              <w:t>42</w:t>
            </w:r>
            <w:r w:rsidR="00164036" w:rsidRPr="00A23740">
              <w:rPr>
                <w:rFonts w:eastAsia="Times New Roman"/>
                <w:b/>
                <w:iCs/>
                <w:color w:val="000000"/>
                <w:szCs w:val="24"/>
                <w:lang w:eastAsia="tr-TR"/>
              </w:rPr>
              <w:t>9</w:t>
            </w:r>
            <w:r w:rsidR="00AA5C8C" w:rsidRPr="00A23740">
              <w:rPr>
                <w:rFonts w:eastAsia="Times New Roman"/>
                <w:b/>
                <w:iCs/>
                <w:color w:val="000000"/>
                <w:szCs w:val="24"/>
                <w:lang w:eastAsia="tr-TR"/>
              </w:rPr>
              <w:t>-</w:t>
            </w:r>
            <w:r w:rsidRPr="00A23740">
              <w:rPr>
                <w:rFonts w:eastAsia="Times New Roman"/>
                <w:b/>
                <w:iCs/>
                <w:color w:val="000000"/>
                <w:szCs w:val="24"/>
                <w:lang w:eastAsia="tr-TR"/>
              </w:rPr>
              <w:t xml:space="preserve"> </w:t>
            </w:r>
            <w:r w:rsidR="00AA5C8C" w:rsidRPr="00A23740">
              <w:rPr>
                <w:rFonts w:eastAsia="Times New Roman"/>
                <w:color w:val="000000"/>
                <w:szCs w:val="24"/>
                <w:lang w:eastAsia="tr-TR"/>
              </w:rPr>
              <w:t xml:space="preserve">2004 sayılı Kanunun “tevdi” başlıklı 309/i maddesi aynen alınmıştır. Maddede, pay cetvelinin kesinleşmesinden sonra konkordato tasfiye memurlarının paraları ne şekilde paylaştıracakları düzenlenmiştir. Konkordato tasfiye memurları bu amaçla alacaklılara belirli bir süre verip bu süre içinde paranın hak sahipleri tarafından alınmasını </w:t>
            </w:r>
            <w:r w:rsidR="00191441" w:rsidRPr="00A23740">
              <w:rPr>
                <w:rFonts w:eastAsia="Times New Roman"/>
                <w:color w:val="000000"/>
                <w:szCs w:val="24"/>
                <w:lang w:eastAsia="tr-TR"/>
              </w:rPr>
              <w:t xml:space="preserve">onlara </w:t>
            </w:r>
            <w:r w:rsidR="00AA5C8C" w:rsidRPr="00A23740">
              <w:rPr>
                <w:rFonts w:eastAsia="Times New Roman"/>
                <w:color w:val="000000"/>
                <w:szCs w:val="24"/>
                <w:lang w:eastAsia="tr-TR"/>
              </w:rPr>
              <w:t>bildirir. Bu süre içinde alınmayan paralar 11</w:t>
            </w:r>
            <w:r w:rsidRPr="00A23740">
              <w:rPr>
                <w:rFonts w:eastAsia="Times New Roman"/>
                <w:color w:val="000000"/>
                <w:szCs w:val="24"/>
                <w:lang w:eastAsia="tr-TR"/>
              </w:rPr>
              <w:t xml:space="preserve"> inci</w:t>
            </w:r>
            <w:r w:rsidR="00AA5C8C" w:rsidRPr="00A23740">
              <w:rPr>
                <w:rFonts w:eastAsia="Times New Roman"/>
                <w:color w:val="000000"/>
                <w:szCs w:val="24"/>
                <w:lang w:eastAsia="tr-TR"/>
              </w:rPr>
              <w:t xml:space="preserve"> maddeye göre bankaya yatırılır. Bu tarihten itibaren beş yıl içinde alacaklısı tarafından alınmak üzere başvurulmayan paralar serbest kalır. </w:t>
            </w:r>
            <w:r w:rsidR="00191441" w:rsidRPr="00A23740">
              <w:rPr>
                <w:rFonts w:eastAsia="Times New Roman"/>
                <w:color w:val="000000"/>
                <w:szCs w:val="24"/>
                <w:lang w:eastAsia="tr-TR"/>
              </w:rPr>
              <w:t xml:space="preserve">Bu </w:t>
            </w:r>
            <w:r w:rsidR="00AA5C8C" w:rsidRPr="00A23740">
              <w:rPr>
                <w:rFonts w:eastAsia="Times New Roman"/>
                <w:color w:val="000000"/>
                <w:szCs w:val="24"/>
                <w:lang w:eastAsia="tr-TR"/>
              </w:rPr>
              <w:t>şekilde ser</w:t>
            </w:r>
            <w:r w:rsidR="00192E69" w:rsidRPr="00A23740">
              <w:rPr>
                <w:rFonts w:eastAsia="Times New Roman"/>
                <w:color w:val="000000"/>
                <w:szCs w:val="24"/>
                <w:lang w:eastAsia="tr-TR"/>
              </w:rPr>
              <w:t>best kalan paylar (paralar) ifla</w:t>
            </w:r>
            <w:r w:rsidR="00AA5C8C" w:rsidRPr="00A23740">
              <w:rPr>
                <w:rFonts w:eastAsia="Times New Roman"/>
                <w:color w:val="000000"/>
                <w:szCs w:val="24"/>
                <w:lang w:eastAsia="tr-TR"/>
              </w:rPr>
              <w:t>s dairesi</w:t>
            </w:r>
            <w:r w:rsidRPr="00A23740">
              <w:rPr>
                <w:rFonts w:eastAsia="Times New Roman"/>
                <w:color w:val="000000"/>
                <w:szCs w:val="24"/>
                <w:lang w:eastAsia="tr-TR"/>
              </w:rPr>
              <w:t xml:space="preserve"> tarafından </w:t>
            </w:r>
            <w:r w:rsidR="00192E69" w:rsidRPr="00075A70">
              <w:t>Taslağın 373 üncü</w:t>
            </w:r>
            <w:r w:rsidR="00192E69" w:rsidRPr="00A23740">
              <w:rPr>
                <w:rFonts w:eastAsia="Times New Roman"/>
                <w:color w:val="0000FF"/>
                <w:szCs w:val="24"/>
                <w:lang w:eastAsia="tr-TR"/>
              </w:rPr>
              <w:t xml:space="preserve"> </w:t>
            </w:r>
            <w:r w:rsidR="00192E69" w:rsidRPr="00075A70">
              <w:t>maddesine</w:t>
            </w:r>
            <w:r w:rsidR="00192E69" w:rsidRPr="00A23740">
              <w:rPr>
                <w:rFonts w:eastAsia="Times New Roman"/>
                <w:color w:val="000000"/>
                <w:szCs w:val="24"/>
                <w:lang w:eastAsia="tr-TR"/>
              </w:rPr>
              <w:t xml:space="preserve"> </w:t>
            </w:r>
            <w:r w:rsidR="00AA5C8C" w:rsidRPr="00A23740">
              <w:rPr>
                <w:rFonts w:eastAsia="Times New Roman"/>
                <w:color w:val="000000"/>
                <w:szCs w:val="24"/>
                <w:lang w:eastAsia="tr-TR"/>
              </w:rPr>
              <w:t>göre, alacağını eksik alan diğer alacaklılar arasında dağıtılır.</w:t>
            </w:r>
            <w:r w:rsidR="00AA5C8C" w:rsidRPr="00A23740">
              <w:rPr>
                <w:color w:val="333333"/>
              </w:rPr>
              <w:t xml:space="preserve"> </w:t>
            </w:r>
          </w:p>
          <w:p w:rsidR="00AA5C8C" w:rsidRPr="00A23740" w:rsidRDefault="00AA5C8C" w:rsidP="006C4AA3">
            <w:pPr>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Faaliyet raporu:</w:t>
            </w:r>
          </w:p>
          <w:p w:rsidR="00AA5C8C" w:rsidRPr="00A23740" w:rsidRDefault="00AA5C8C" w:rsidP="009431FF">
            <w:pPr>
              <w:rPr>
                <w:rStyle w:val="KIRMIZIChar"/>
                <w:rFonts w:eastAsia="Calibri"/>
              </w:rPr>
            </w:pPr>
            <w:r w:rsidRPr="00A23740">
              <w:rPr>
                <w:rFonts w:eastAsia="Times New Roman"/>
                <w:b/>
                <w:bCs/>
                <w:color w:val="000000"/>
                <w:szCs w:val="24"/>
                <w:lang w:eastAsia="tr-TR"/>
              </w:rPr>
              <w:t xml:space="preserve">Madde </w:t>
            </w:r>
            <w:r w:rsidRPr="00A23740">
              <w:rPr>
                <w:rStyle w:val="KIRMIZIChar"/>
                <w:rFonts w:eastAsia="Calibri"/>
              </w:rPr>
              <w:t>309/j-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Tasfiye sona erince konkordato tasfiye memurları bir nihaî rapor düzenler. Bu nihaî rapor alacaklılar kurulunun onayına sunulur. Kurul onayladığı nihaî raporu tasdik makamı olan ticaret mahkemesine gönderir ve tasdik makamı da alacaklıların incelemesine hazır tutar.</w:t>
            </w:r>
          </w:p>
          <w:p w:rsidR="00A67742" w:rsidRPr="00A23740" w:rsidRDefault="00A67742"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w:t>
            </w:r>
            <w:r w:rsidRPr="00A23740">
              <w:rPr>
                <w:rStyle w:val="KIRMIZIChar"/>
                <w:rFonts w:eastAsia="Calibri"/>
                <w:strike w:val="0"/>
              </w:rPr>
              <w:t xml:space="preserve"> </w:t>
            </w:r>
            <w:r w:rsidRPr="00A23740">
              <w:rPr>
                <w:rFonts w:eastAsia="Times New Roman"/>
                <w:color w:val="000000"/>
                <w:szCs w:val="24"/>
                <w:lang w:eastAsia="tr-TR"/>
              </w:rPr>
              <w:t>Tasfiyenin bir yıldan uzun sürmesi hâlinde konkordato tasfiye memurları, her yıl en geç Aralık ayı sonuna kadar, tasfiye edilen malvarlığının ve henüz paraya çevrilmemiş malların durumunu belirten bir cetvel ve faaliyetleri hakkında bir rapor düzenleyip alacaklılar kuruluna tevdi eder. Bu cetvel ve rapor, takip eden yılın Şubat ayı sonuna kadar alacaklıların incelemesine hazır bulundurulmak üzere alacaklılar kurulu aracılığıyla tasdik makamına sunulur.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Faaliyet raporu</w:t>
            </w:r>
          </w:p>
          <w:p w:rsidR="00AA5C8C" w:rsidRPr="00A23740" w:rsidRDefault="00164036" w:rsidP="009431FF">
            <w:pPr>
              <w:rPr>
                <w:rFonts w:eastAsia="Times New Roman"/>
                <w:color w:val="000000"/>
                <w:szCs w:val="24"/>
                <w:lang w:eastAsia="tr-TR"/>
              </w:rPr>
            </w:pPr>
            <w:r w:rsidRPr="00A23740">
              <w:rPr>
                <w:rStyle w:val="MaviChar"/>
                <w:lang w:val="tr-TR"/>
              </w:rPr>
              <w:t>MADDE 430</w:t>
            </w:r>
            <w:r w:rsidR="00AA5C8C" w:rsidRPr="00A23740">
              <w:rPr>
                <w:rStyle w:val="MaviChar"/>
                <w:lang w:val="tr-TR"/>
              </w:rPr>
              <w:t>- (1)</w:t>
            </w:r>
            <w:r w:rsidR="00AA5C8C" w:rsidRPr="00A23740">
              <w:rPr>
                <w:rFonts w:eastAsia="Times New Roman"/>
                <w:color w:val="000000"/>
                <w:szCs w:val="24"/>
                <w:lang w:eastAsia="tr-TR"/>
              </w:rPr>
              <w:t xml:space="preserve"> Tasfiye sona erince konkordato tasfiye memurları bir nihaî rapor düzenler. Bu nihaî rapor alacaklılar kurulunun onayına sunulur. Kurul onayladığı nihaî raporu tasdik makamı olan </w:t>
            </w:r>
            <w:r w:rsidR="00AA5C8C" w:rsidRPr="00A23740">
              <w:rPr>
                <w:rFonts w:eastAsia="Times New Roman"/>
                <w:b/>
                <w:color w:val="0000FF"/>
                <w:szCs w:val="24"/>
                <w:lang w:eastAsia="tr-TR"/>
              </w:rPr>
              <w:t>iflas</w:t>
            </w:r>
            <w:r w:rsidR="00AA5C8C" w:rsidRPr="00A23740">
              <w:rPr>
                <w:rFonts w:eastAsia="Times New Roman"/>
                <w:color w:val="000000"/>
                <w:szCs w:val="24"/>
                <w:lang w:eastAsia="tr-TR"/>
              </w:rPr>
              <w:t xml:space="preserve"> mahkemesine gönderir ve tasdik makamı da alacaklıların incelemesine hazır tutar.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(2)</w:t>
            </w:r>
            <w:r w:rsidRPr="00A23740">
              <w:rPr>
                <w:rFonts w:eastAsia="Times New Roman"/>
                <w:color w:val="000000"/>
                <w:szCs w:val="24"/>
                <w:lang w:eastAsia="tr-TR"/>
              </w:rPr>
              <w:t xml:space="preserve"> Tasfiyenin bir yıldan uzun sürmesi hâlinde konkordato tasfiye memurları, her yıl en geç Aralık ayı sonuna kadar, tasfiye edilen malvarlığının ve henüz paraya çevrilmemiş malların durumunu belirten bir cetvel ve faaliyetleri hakkında bir rapor düzenleyip alacaklılar kuruluna tevdi eder. Bu cetvel ve rapor, takip eden yılın Şubat ayı sonuna kadar alacaklıların incelemesine hazır bulundurulmak üzere alacaklılar kurulu aracılığıyla tasdik makamına sunulur.</w:t>
            </w:r>
          </w:p>
          <w:p w:rsidR="00AA5C8C" w:rsidRPr="00A23740" w:rsidRDefault="00AA5C8C" w:rsidP="009431FF">
            <w:pPr>
              <w:ind w:firstLine="567"/>
              <w:rPr>
                <w:rFonts w:eastAsia="Times New Roman"/>
                <w:i/>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A1205" w:rsidRPr="00A23740" w:rsidRDefault="000A1205" w:rsidP="009431FF">
            <w:pPr>
              <w:ind w:firstLine="709"/>
              <w:rPr>
                <w:rFonts w:eastAsia="Times New Roman"/>
                <w:b/>
                <w:iCs/>
                <w:color w:val="000000"/>
                <w:szCs w:val="24"/>
                <w:lang w:eastAsia="tr-TR"/>
              </w:rPr>
            </w:pPr>
          </w:p>
          <w:p w:rsidR="00AA5C8C" w:rsidRPr="00A23740" w:rsidRDefault="000A1205" w:rsidP="009431FF">
            <w:pPr>
              <w:ind w:firstLine="709"/>
              <w:rPr>
                <w:rFonts w:eastAsia="Times New Roman"/>
                <w:color w:val="000000"/>
                <w:szCs w:val="24"/>
                <w:lang w:eastAsia="tr-TR"/>
              </w:rPr>
            </w:pPr>
            <w:r w:rsidRPr="00A23740">
              <w:rPr>
                <w:rFonts w:eastAsia="Times New Roman"/>
                <w:b/>
                <w:iCs/>
                <w:color w:val="000000"/>
                <w:szCs w:val="24"/>
                <w:lang w:eastAsia="tr-TR"/>
              </w:rPr>
              <w:t xml:space="preserve">MADDE </w:t>
            </w:r>
            <w:r w:rsidR="00AA5C8C" w:rsidRPr="00A23740">
              <w:rPr>
                <w:rFonts w:eastAsia="Times New Roman"/>
                <w:b/>
                <w:iCs/>
                <w:color w:val="000000"/>
                <w:szCs w:val="24"/>
                <w:lang w:eastAsia="tr-TR"/>
              </w:rPr>
              <w:t>4</w:t>
            </w:r>
            <w:r w:rsidR="00164036" w:rsidRPr="00A23740">
              <w:rPr>
                <w:rFonts w:eastAsia="Times New Roman"/>
                <w:b/>
                <w:iCs/>
                <w:color w:val="000000"/>
                <w:szCs w:val="24"/>
                <w:lang w:eastAsia="tr-TR"/>
              </w:rPr>
              <w:t>30</w:t>
            </w:r>
            <w:r w:rsidR="00AA5C8C" w:rsidRPr="00A23740">
              <w:rPr>
                <w:rFonts w:eastAsia="Times New Roman"/>
                <w:b/>
                <w:iCs/>
                <w:color w:val="000000"/>
                <w:szCs w:val="24"/>
                <w:lang w:eastAsia="tr-TR"/>
              </w:rPr>
              <w:t xml:space="preserve">- </w:t>
            </w:r>
            <w:r w:rsidR="00AA5C8C" w:rsidRPr="00A23740">
              <w:rPr>
                <w:rFonts w:eastAsia="Times New Roman"/>
                <w:color w:val="000000"/>
                <w:szCs w:val="24"/>
                <w:lang w:eastAsia="tr-TR"/>
              </w:rPr>
              <w:t>2004 sayılı Kanunun “faaliyet raporu” başlıklı 309/j maddesi aynen alınmıştır. Maddeye göre, tasfiyenin sona ermesi</w:t>
            </w:r>
            <w:r w:rsidR="00191441" w:rsidRPr="00A23740">
              <w:rPr>
                <w:rFonts w:eastAsia="Times New Roman"/>
                <w:color w:val="000000"/>
                <w:szCs w:val="24"/>
                <w:lang w:eastAsia="tr-TR"/>
              </w:rPr>
              <w:t>yle</w:t>
            </w:r>
            <w:r w:rsidR="00AA5C8C" w:rsidRPr="00A23740">
              <w:rPr>
                <w:rFonts w:eastAsia="Times New Roman"/>
                <w:color w:val="000000"/>
                <w:szCs w:val="24"/>
                <w:lang w:eastAsia="tr-TR"/>
              </w:rPr>
              <w:t xml:space="preserve"> birlikte konkordato tasfiye memurları nihai rapor düzenler ve bunu alacaklılar kurulunun onayına sunarlar. Alacaklılar kurulu onayladığı nihai raporu tasdik makamına gönderir ve tasdik makamı da raporu alacaklıların incelemesine hazır tutar.</w:t>
            </w:r>
          </w:p>
          <w:p w:rsidR="00AA5C8C" w:rsidRPr="00A23740" w:rsidRDefault="00AA5C8C" w:rsidP="009431FF">
            <w:pPr>
              <w:ind w:firstLine="709"/>
              <w:rPr>
                <w:rFonts w:eastAsia="Times New Roman"/>
                <w:color w:val="000000"/>
                <w:szCs w:val="24"/>
                <w:lang w:eastAsia="tr-TR"/>
              </w:rPr>
            </w:pPr>
            <w:r w:rsidRPr="00A23740">
              <w:rPr>
                <w:rFonts w:eastAsia="Times New Roman"/>
                <w:color w:val="000000"/>
                <w:szCs w:val="24"/>
                <w:lang w:eastAsia="tr-TR"/>
              </w:rPr>
              <w:t>Maddenin ikinci fıkrasında, tasfiyenin bir yıldan fazla sürmesi h</w:t>
            </w:r>
            <w:r w:rsidR="00192E69" w:rsidRPr="00A23740">
              <w:rPr>
                <w:rFonts w:eastAsia="Times New Roman"/>
                <w:color w:val="000000"/>
                <w:szCs w:val="24"/>
                <w:lang w:eastAsia="tr-TR"/>
              </w:rPr>
              <w:t>â</w:t>
            </w:r>
            <w:r w:rsidRPr="00A23740">
              <w:rPr>
                <w:rFonts w:eastAsia="Times New Roman"/>
                <w:color w:val="000000"/>
                <w:szCs w:val="24"/>
                <w:lang w:eastAsia="tr-TR"/>
              </w:rPr>
              <w:t xml:space="preserve">linde konkordato tasfiye memurlarınca düzenlenmesi gereken belgelere yer verilmiştir. Bu belgeler esas itibariyle alacaklıların bilgilendirilmelerine ve icabında yapılan işlemlere karşı itiraz haklarını kullanabilmelerine yöneliktir. </w:t>
            </w:r>
          </w:p>
          <w:p w:rsidR="00AA5C8C" w:rsidRPr="00A23740" w:rsidRDefault="00AA5C8C" w:rsidP="006C4AA3">
            <w:pPr>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Hukukî işlemlerin iptali:</w:t>
            </w:r>
          </w:p>
          <w:p w:rsidR="00AA5C8C" w:rsidRPr="00A23740" w:rsidRDefault="00AA5C8C" w:rsidP="009431FF">
            <w:pPr>
              <w:rPr>
                <w:rFonts w:eastAsia="Times New Roman"/>
                <w:color w:val="000000"/>
                <w:szCs w:val="24"/>
                <w:lang w:eastAsia="tr-TR"/>
              </w:rPr>
            </w:pPr>
            <w:r w:rsidRPr="00A23740">
              <w:rPr>
                <w:rFonts w:eastAsia="Times New Roman"/>
                <w:b/>
                <w:bCs/>
                <w:color w:val="000000"/>
                <w:szCs w:val="24"/>
                <w:lang w:eastAsia="tr-TR"/>
              </w:rPr>
              <w:t xml:space="preserve">Madde </w:t>
            </w:r>
            <w:r w:rsidRPr="00A23740">
              <w:rPr>
                <w:rStyle w:val="KIRMIZIChar"/>
                <w:rFonts w:eastAsia="Calibri"/>
              </w:rPr>
              <w:t>309/k</w:t>
            </w:r>
            <w:r w:rsidRPr="00A23740">
              <w:rPr>
                <w:rFonts w:eastAsia="Times New Roman"/>
                <w:b/>
                <w:bCs/>
                <w:strike/>
                <w:color w:val="FF0000"/>
                <w:szCs w:val="24"/>
                <w:lang w:eastAsia="tr-TR"/>
              </w:rPr>
              <w:t>- </w:t>
            </w:r>
            <w:r w:rsidRPr="00A23740">
              <w:rPr>
                <w:rStyle w:val="KIRMIZIChar"/>
                <w:rFonts w:eastAsia="Calibri"/>
              </w:rPr>
              <w:t>(1)</w:t>
            </w:r>
            <w:r w:rsidRPr="00A23740">
              <w:rPr>
                <w:rFonts w:eastAsia="Times New Roman"/>
                <w:b/>
                <w:bCs/>
                <w:strike/>
                <w:color w:val="FF0000"/>
                <w:szCs w:val="24"/>
                <w:lang w:eastAsia="tr-TR"/>
              </w:rPr>
              <w:t xml:space="preserve">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Borçlu tarafından konkordatonun tasdikinden önce yapılmış hukukî işlemler 277 ilâ 284 üncü maddelere göre iptale tâbidir.</w:t>
            </w:r>
          </w:p>
          <w:p w:rsidR="00192E69" w:rsidRPr="00A23740" w:rsidRDefault="00192E69"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(2) (Değişik ikinci fıkra: 28/2/2018-7101/43 md.)</w:t>
            </w:r>
            <w:r w:rsidRPr="00A23740">
              <w:rPr>
                <w:rFonts w:eastAsia="Times New Roman"/>
                <w:b/>
                <w:bCs/>
                <w:color w:val="000000"/>
                <w:szCs w:val="24"/>
                <w:lang w:eastAsia="tr-TR"/>
              </w:rPr>
              <w:t> </w:t>
            </w:r>
            <w:r w:rsidRPr="00A23740">
              <w:rPr>
                <w:rFonts w:eastAsia="Times New Roman"/>
                <w:color w:val="000000"/>
                <w:szCs w:val="24"/>
                <w:lang w:eastAsia="tr-TR"/>
              </w:rPr>
              <w:t>Geçici konkordato mühletinin verildiği tarih, iptal davası açma sürelerinin hesaplanmasında haczin veya iflâsın açılmasının yerini tutar.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KIRMIZIChar"/>
                <w:rFonts w:eastAsia="Calibri"/>
              </w:rPr>
              <w:t>(3)</w:t>
            </w:r>
            <w:r w:rsidRPr="00A23740">
              <w:rPr>
                <w:rFonts w:eastAsia="Times New Roman"/>
                <w:color w:val="000000"/>
                <w:szCs w:val="24"/>
                <w:lang w:eastAsia="tr-TR"/>
              </w:rPr>
              <w:t xml:space="preserve"> Konkordato masasına yöneltilen taleplerin tasarrufun iptali yoluyla kısmen veya tamamen reddini sağlamak mümkün ise konkordato tasfiye memurları, def'î yoluyla iptal talebinde bulunmaya yetkili ve yükümlüdürler.</w:t>
            </w:r>
          </w:p>
          <w:p w:rsidR="00AA5C8C" w:rsidRPr="00A23740" w:rsidRDefault="00AA5C8C" w:rsidP="009431FF">
            <w:pPr>
              <w:ind w:firstLine="567"/>
              <w:rPr>
                <w:rFonts w:eastAsia="Times New Roman"/>
                <w:i/>
                <w:iCs/>
                <w:color w:val="000000"/>
                <w:szCs w:val="24"/>
                <w:lang w:eastAsia="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Hukuk</w:t>
            </w:r>
            <w:r w:rsidR="006A70BE" w:rsidRPr="00A23740">
              <w:rPr>
                <w:rFonts w:eastAsia="Times New Roman"/>
                <w:b/>
                <w:iCs/>
                <w:color w:val="000000"/>
                <w:szCs w:val="24"/>
                <w:lang w:eastAsia="tr-TR"/>
              </w:rPr>
              <w:t>i</w:t>
            </w:r>
            <w:r w:rsidRPr="00A23740">
              <w:rPr>
                <w:rFonts w:eastAsia="Times New Roman"/>
                <w:b/>
                <w:iCs/>
                <w:color w:val="000000"/>
                <w:szCs w:val="24"/>
                <w:lang w:eastAsia="tr-TR"/>
              </w:rPr>
              <w:t xml:space="preserve"> işlemlerin iptali</w:t>
            </w:r>
          </w:p>
          <w:p w:rsidR="00AA5C8C" w:rsidRPr="00A23740" w:rsidRDefault="00164036" w:rsidP="009431FF">
            <w:pPr>
              <w:rPr>
                <w:rFonts w:eastAsia="Times New Roman"/>
                <w:color w:val="000000"/>
                <w:szCs w:val="24"/>
                <w:lang w:eastAsia="tr-TR"/>
              </w:rPr>
            </w:pPr>
            <w:r w:rsidRPr="00A23740">
              <w:rPr>
                <w:rStyle w:val="MaviChar"/>
                <w:lang w:val="tr-TR"/>
              </w:rPr>
              <w:t>MADDE 431</w:t>
            </w:r>
            <w:r w:rsidR="00AA5C8C" w:rsidRPr="00A23740">
              <w:rPr>
                <w:rStyle w:val="MaviChar"/>
                <w:lang w:val="tr-TR"/>
              </w:rPr>
              <w:t>- (1)</w:t>
            </w:r>
            <w:r w:rsidR="00AA5C8C" w:rsidRPr="00A23740">
              <w:rPr>
                <w:rFonts w:eastAsia="Times New Roman"/>
                <w:color w:val="000000"/>
                <w:szCs w:val="24"/>
                <w:lang w:eastAsia="tr-TR"/>
              </w:rPr>
              <w:t xml:space="preserve"> Borçlu tarafından konkordatonun tasdikinden önce yapılmış hukuk</w:t>
            </w:r>
            <w:r w:rsidR="006A70BE" w:rsidRPr="00A23740">
              <w:rPr>
                <w:rFonts w:eastAsia="Times New Roman"/>
                <w:color w:val="000000"/>
                <w:szCs w:val="24"/>
                <w:lang w:eastAsia="tr-TR"/>
              </w:rPr>
              <w:t>i</w:t>
            </w:r>
            <w:r w:rsidR="00AA5C8C" w:rsidRPr="00A23740">
              <w:rPr>
                <w:rFonts w:eastAsia="Times New Roman"/>
                <w:color w:val="000000"/>
                <w:szCs w:val="24"/>
                <w:lang w:eastAsia="tr-TR"/>
              </w:rPr>
              <w:t xml:space="preserve"> işlemler  </w:t>
            </w:r>
            <w:r w:rsidR="00AA5C8C" w:rsidRPr="00A23740">
              <w:rPr>
                <w:rFonts w:eastAsia="Times New Roman"/>
                <w:b/>
                <w:color w:val="0000FF"/>
                <w:szCs w:val="24"/>
                <w:lang w:eastAsia="tr-TR"/>
              </w:rPr>
              <w:t>tasarrufun iptali davasına ilişkin</w:t>
            </w:r>
            <w:r w:rsidR="00192E69" w:rsidRPr="00A23740">
              <w:rPr>
                <w:rFonts w:eastAsia="Times New Roman"/>
                <w:b/>
                <w:color w:val="0000FF"/>
                <w:szCs w:val="24"/>
                <w:lang w:eastAsia="tr-TR"/>
              </w:rPr>
              <w:t xml:space="preserve"> </w:t>
            </w:r>
            <w:r w:rsidR="00192E69" w:rsidRPr="00075A70">
              <w:rPr>
                <w:rStyle w:val="MaviChar"/>
              </w:rPr>
              <w:t>442 il</w:t>
            </w:r>
            <w:r w:rsidR="00F25FDB" w:rsidRPr="00075A70">
              <w:rPr>
                <w:rStyle w:val="MaviChar"/>
              </w:rPr>
              <w:t>a</w:t>
            </w:r>
            <w:r w:rsidR="00192E69" w:rsidRPr="00075A70">
              <w:rPr>
                <w:rStyle w:val="MaviChar"/>
              </w:rPr>
              <w:t xml:space="preserve"> 452 nci</w:t>
            </w:r>
            <w:r w:rsidR="00AA5C8C" w:rsidRPr="00075A70">
              <w:rPr>
                <w:rStyle w:val="MaviChar"/>
              </w:rPr>
              <w:t xml:space="preserve"> </w:t>
            </w:r>
            <w:r w:rsidR="00AA5C8C" w:rsidRPr="00A23740">
              <w:rPr>
                <w:rFonts w:eastAsia="Times New Roman"/>
                <w:color w:val="000000"/>
                <w:szCs w:val="24"/>
                <w:lang w:eastAsia="tr-TR"/>
              </w:rPr>
              <w:t>maddelere göre iptale t</w:t>
            </w:r>
            <w:r w:rsidR="00D81869" w:rsidRPr="00A23740">
              <w:rPr>
                <w:rFonts w:eastAsia="Times New Roman"/>
                <w:color w:val="000000"/>
                <w:szCs w:val="24"/>
                <w:lang w:eastAsia="tr-TR"/>
              </w:rPr>
              <w:t>a</w:t>
            </w:r>
            <w:r w:rsidR="00AA5C8C" w:rsidRPr="00A23740">
              <w:rPr>
                <w:rFonts w:eastAsia="Times New Roman"/>
                <w:color w:val="000000"/>
                <w:szCs w:val="24"/>
                <w:lang w:eastAsia="tr-TR"/>
              </w:rPr>
              <w:t>bidir.</w:t>
            </w:r>
          </w:p>
          <w:p w:rsidR="00E36534" w:rsidRPr="00A23740" w:rsidRDefault="00E36534" w:rsidP="009431FF">
            <w:pPr>
              <w:rPr>
                <w:rFonts w:eastAsia="Times New Roman"/>
                <w:color w:val="000000"/>
                <w:szCs w:val="24"/>
                <w:lang w:eastAsia="tr-TR"/>
              </w:rPr>
            </w:pPr>
          </w:p>
          <w:p w:rsidR="00AA5C8C" w:rsidRPr="00A23740" w:rsidRDefault="00AA5C8C" w:rsidP="009431FF">
            <w:pPr>
              <w:rPr>
                <w:rFonts w:eastAsia="Times New Roman"/>
                <w:color w:val="000000"/>
                <w:szCs w:val="24"/>
                <w:lang w:eastAsia="tr-TR"/>
              </w:rPr>
            </w:pPr>
            <w:r w:rsidRPr="00A23740">
              <w:rPr>
                <w:rStyle w:val="MaviChar"/>
                <w:lang w:val="tr-TR"/>
              </w:rPr>
              <w:t>(2)</w:t>
            </w:r>
            <w:r w:rsidRPr="00A23740">
              <w:rPr>
                <w:rFonts w:eastAsia="Times New Roman"/>
                <w:b/>
                <w:bCs/>
                <w:color w:val="000000"/>
                <w:szCs w:val="24"/>
                <w:lang w:eastAsia="tr-TR"/>
              </w:rPr>
              <w:t xml:space="preserve"> </w:t>
            </w:r>
            <w:r w:rsidRPr="00A23740">
              <w:rPr>
                <w:rFonts w:eastAsia="Times New Roman"/>
                <w:color w:val="000000"/>
                <w:szCs w:val="24"/>
                <w:lang w:eastAsia="tr-TR"/>
              </w:rPr>
              <w:t>Geçici konkordato mühletinin verildiği tarih, iptal davası açma sürelerinin hesaplanmasında haczin veya ifl</w:t>
            </w:r>
            <w:r w:rsidR="006A70BE" w:rsidRPr="00A23740">
              <w:rPr>
                <w:rFonts w:eastAsia="Times New Roman"/>
                <w:color w:val="000000"/>
                <w:szCs w:val="24"/>
                <w:lang w:eastAsia="tr-TR"/>
              </w:rPr>
              <w:t>a</w:t>
            </w:r>
            <w:r w:rsidRPr="00A23740">
              <w:rPr>
                <w:rFonts w:eastAsia="Times New Roman"/>
                <w:color w:val="000000"/>
                <w:szCs w:val="24"/>
                <w:lang w:eastAsia="tr-TR"/>
              </w:rPr>
              <w:t>sın açılmasının yerini tutar.</w:t>
            </w:r>
          </w:p>
          <w:p w:rsidR="00E36534" w:rsidRPr="00A23740" w:rsidRDefault="00E36534" w:rsidP="009431FF">
            <w:pPr>
              <w:pStyle w:val="YeniYeil"/>
              <w:rPr>
                <w:color w:val="000000"/>
                <w:lang w:val="tr-TR" w:eastAsia="tr-TR"/>
              </w:rPr>
            </w:pPr>
          </w:p>
          <w:p w:rsidR="00AA5C8C" w:rsidRPr="00A23740" w:rsidRDefault="00AA5C8C" w:rsidP="009431FF">
            <w:pPr>
              <w:rPr>
                <w:rFonts w:eastAsia="Times New Roman"/>
                <w:color w:val="000000"/>
                <w:szCs w:val="24"/>
                <w:lang w:eastAsia="tr-TR"/>
              </w:rPr>
            </w:pPr>
            <w:r w:rsidRPr="00A23740">
              <w:rPr>
                <w:rStyle w:val="MaviChar"/>
                <w:lang w:val="tr-TR"/>
              </w:rPr>
              <w:t>(3)</w:t>
            </w:r>
            <w:r w:rsidRPr="00A23740">
              <w:rPr>
                <w:rFonts w:eastAsia="Times New Roman"/>
                <w:color w:val="000000"/>
                <w:szCs w:val="24"/>
                <w:lang w:eastAsia="tr-TR"/>
              </w:rPr>
              <w:t xml:space="preserve"> Konkordato masası </w:t>
            </w:r>
            <w:r w:rsidRPr="00A23740">
              <w:rPr>
                <w:rFonts w:eastAsia="Times New Roman"/>
                <w:b/>
                <w:color w:val="0000FF"/>
                <w:szCs w:val="24"/>
                <w:lang w:eastAsia="tr-TR"/>
              </w:rPr>
              <w:t>aleyhine</w:t>
            </w:r>
            <w:r w:rsidRPr="00A23740">
              <w:rPr>
                <w:rFonts w:eastAsia="Times New Roman"/>
                <w:color w:val="000000"/>
                <w:szCs w:val="24"/>
                <w:lang w:eastAsia="tr-TR"/>
              </w:rPr>
              <w:t xml:space="preserve"> yöneltilen taleplerin tasarrufun iptali yoluyla kısmen veya tamamen reddini sağlamak mümkün ise konkordato tasfiye memurları </w:t>
            </w:r>
            <w:r w:rsidRPr="00A23740">
              <w:rPr>
                <w:rFonts w:eastAsia="Times New Roman"/>
                <w:b/>
                <w:color w:val="0000FF"/>
                <w:szCs w:val="24"/>
                <w:lang w:eastAsia="tr-TR"/>
              </w:rPr>
              <w:t>bu</w:t>
            </w:r>
            <w:r w:rsidRPr="00A23740">
              <w:rPr>
                <w:rFonts w:eastAsia="Times New Roman"/>
                <w:b/>
                <w:color w:val="00CC00"/>
                <w:szCs w:val="24"/>
                <w:lang w:eastAsia="tr-TR"/>
              </w:rPr>
              <w:t xml:space="preserve"> </w:t>
            </w:r>
            <w:r w:rsidRPr="00A23740">
              <w:rPr>
                <w:rFonts w:eastAsia="Times New Roman"/>
                <w:b/>
                <w:color w:val="0000FF"/>
                <w:szCs w:val="24"/>
                <w:lang w:eastAsia="tr-TR"/>
              </w:rPr>
              <w:t>savunmayı</w:t>
            </w:r>
            <w:r w:rsidRPr="00A23740">
              <w:rPr>
                <w:rFonts w:eastAsia="Times New Roman"/>
                <w:color w:val="000000"/>
                <w:szCs w:val="24"/>
                <w:lang w:eastAsia="tr-TR"/>
              </w:rPr>
              <w:t xml:space="preserve"> def'î yoluyla </w:t>
            </w:r>
            <w:r w:rsidRPr="00A23740">
              <w:rPr>
                <w:rFonts w:eastAsia="Times New Roman"/>
                <w:b/>
                <w:color w:val="0000FF"/>
                <w:szCs w:val="24"/>
                <w:lang w:eastAsia="tr-TR"/>
              </w:rPr>
              <w:t>ileri</w:t>
            </w:r>
            <w:r w:rsidRPr="00A23740">
              <w:rPr>
                <w:rFonts w:eastAsia="Times New Roman"/>
                <w:b/>
                <w:color w:val="00CC00"/>
                <w:szCs w:val="24"/>
                <w:lang w:eastAsia="tr-TR"/>
              </w:rPr>
              <w:t xml:space="preserve"> </w:t>
            </w:r>
            <w:r w:rsidRPr="00A23740">
              <w:rPr>
                <w:rFonts w:eastAsia="Times New Roman"/>
                <w:b/>
                <w:color w:val="0000FF"/>
                <w:szCs w:val="24"/>
                <w:lang w:eastAsia="tr-TR"/>
              </w:rPr>
              <w:t>sürmeye</w:t>
            </w:r>
            <w:r w:rsidRPr="00A23740">
              <w:rPr>
                <w:rFonts w:eastAsia="Times New Roman"/>
                <w:color w:val="000000"/>
                <w:szCs w:val="24"/>
                <w:lang w:eastAsia="tr-TR"/>
              </w:rPr>
              <w:t xml:space="preserve"> yetkili ve yükümlüdürler.</w:t>
            </w:r>
          </w:p>
          <w:p w:rsidR="00AA5C8C" w:rsidRPr="00A23740" w:rsidRDefault="00AA5C8C" w:rsidP="009431FF">
            <w:pPr>
              <w:ind w:firstLine="567"/>
              <w:rPr>
                <w:rFonts w:eastAsia="Times New Roman"/>
                <w:i/>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A1205" w:rsidRPr="00A23740" w:rsidRDefault="000A1205" w:rsidP="009431FF">
            <w:pPr>
              <w:ind w:firstLine="709"/>
              <w:rPr>
                <w:rFonts w:eastAsia="Times New Roman"/>
                <w:b/>
                <w:iCs/>
                <w:color w:val="000000"/>
                <w:szCs w:val="24"/>
                <w:lang w:eastAsia="tr-TR"/>
              </w:rPr>
            </w:pPr>
          </w:p>
          <w:p w:rsidR="00AA5C8C" w:rsidRPr="00A23740" w:rsidRDefault="000A1205" w:rsidP="009431FF">
            <w:pPr>
              <w:ind w:firstLine="709"/>
              <w:rPr>
                <w:rFonts w:eastAsia="Times New Roman"/>
                <w:color w:val="000000"/>
                <w:szCs w:val="24"/>
                <w:lang w:eastAsia="tr-TR"/>
              </w:rPr>
            </w:pPr>
            <w:r w:rsidRPr="00A23740">
              <w:rPr>
                <w:rFonts w:eastAsia="Times New Roman"/>
                <w:b/>
                <w:iCs/>
                <w:color w:val="000000"/>
                <w:szCs w:val="24"/>
                <w:lang w:eastAsia="tr-TR"/>
              </w:rPr>
              <w:t xml:space="preserve">MADDE </w:t>
            </w:r>
            <w:r w:rsidR="00164036" w:rsidRPr="00A23740">
              <w:rPr>
                <w:rFonts w:eastAsia="Times New Roman"/>
                <w:b/>
                <w:iCs/>
                <w:color w:val="000000"/>
                <w:szCs w:val="24"/>
                <w:lang w:eastAsia="tr-TR"/>
              </w:rPr>
              <w:t>431</w:t>
            </w:r>
            <w:r w:rsidRPr="00A23740">
              <w:rPr>
                <w:rFonts w:eastAsia="Times New Roman"/>
                <w:b/>
                <w:iCs/>
                <w:color w:val="000000"/>
                <w:szCs w:val="24"/>
                <w:lang w:eastAsia="tr-TR"/>
              </w:rPr>
              <w:t xml:space="preserve">- </w:t>
            </w:r>
            <w:r w:rsidR="00AA5C8C" w:rsidRPr="00A23740">
              <w:rPr>
                <w:rFonts w:eastAsia="Times New Roman"/>
                <w:color w:val="000000"/>
                <w:szCs w:val="24"/>
                <w:lang w:eastAsia="tr-TR"/>
              </w:rPr>
              <w:t xml:space="preserve">2004 sayılı Kanunun </w:t>
            </w:r>
            <w:r w:rsidRPr="00A23740">
              <w:rPr>
                <w:rFonts w:eastAsia="Times New Roman"/>
                <w:color w:val="000000"/>
                <w:szCs w:val="24"/>
                <w:lang w:eastAsia="tr-TR"/>
              </w:rPr>
              <w:t>7101 sayılı</w:t>
            </w:r>
            <w:r w:rsidR="00AA5C8C" w:rsidRPr="00A23740">
              <w:rPr>
                <w:rFonts w:eastAsia="Times New Roman"/>
                <w:color w:val="000000"/>
                <w:szCs w:val="24"/>
                <w:lang w:eastAsia="tr-TR"/>
              </w:rPr>
              <w:t xml:space="preserve"> K</w:t>
            </w:r>
            <w:r w:rsidRPr="00A23740">
              <w:rPr>
                <w:rFonts w:eastAsia="Times New Roman"/>
                <w:color w:val="000000"/>
                <w:szCs w:val="24"/>
                <w:lang w:eastAsia="tr-TR"/>
              </w:rPr>
              <w:t>anun</w:t>
            </w:r>
            <w:r w:rsidR="00AA5C8C" w:rsidRPr="00A23740">
              <w:rPr>
                <w:rFonts w:eastAsia="Times New Roman"/>
                <w:color w:val="000000"/>
                <w:szCs w:val="24"/>
                <w:lang w:eastAsia="tr-TR"/>
              </w:rPr>
              <w:t xml:space="preserve"> ile değişik “hukuki işlemlerin iptali” başlıklı 309/k maddesi aynen alınmıştır. </w:t>
            </w:r>
          </w:p>
          <w:p w:rsidR="00AA5C8C" w:rsidRPr="00A23740" w:rsidRDefault="00AA5C8C" w:rsidP="009431FF">
            <w:pPr>
              <w:ind w:firstLine="709"/>
              <w:rPr>
                <w:rFonts w:eastAsia="Times New Roman"/>
                <w:color w:val="000000"/>
                <w:szCs w:val="24"/>
                <w:lang w:eastAsia="tr-TR"/>
              </w:rPr>
            </w:pPr>
            <w:r w:rsidRPr="00A23740">
              <w:rPr>
                <w:rFonts w:eastAsia="Times New Roman"/>
                <w:color w:val="000000"/>
                <w:szCs w:val="24"/>
                <w:lang w:eastAsia="tr-TR"/>
              </w:rPr>
              <w:t>Maddeyle, malvarlığının terki suretiyle konkordatoda, borçlu tarafından konkordatonun tasdikinden önce yapılmış hukuki işlemlerin</w:t>
            </w:r>
            <w:r w:rsidR="00192E69" w:rsidRPr="00A23740">
              <w:rPr>
                <w:rFonts w:eastAsia="Times New Roman"/>
                <w:color w:val="000000"/>
                <w:szCs w:val="24"/>
                <w:lang w:eastAsia="tr-TR"/>
              </w:rPr>
              <w:t xml:space="preserve"> </w:t>
            </w:r>
            <w:r w:rsidR="00192E69" w:rsidRPr="00075A70">
              <w:t>Taslağın</w:t>
            </w:r>
            <w:r w:rsidRPr="00075A70">
              <w:t xml:space="preserve"> </w:t>
            </w:r>
            <w:r w:rsidR="00192E69" w:rsidRPr="00075A70">
              <w:t>442 il</w:t>
            </w:r>
            <w:r w:rsidR="00F25FDB" w:rsidRPr="00075A70">
              <w:t>a</w:t>
            </w:r>
            <w:r w:rsidR="00192E69" w:rsidRPr="00075A70">
              <w:t xml:space="preserve"> 452 nci</w:t>
            </w:r>
            <w:r w:rsidR="00192E69" w:rsidRPr="00A23740">
              <w:rPr>
                <w:rFonts w:eastAsia="Times New Roman"/>
                <w:color w:val="000000"/>
                <w:szCs w:val="24"/>
                <w:lang w:eastAsia="tr-TR"/>
              </w:rPr>
              <w:t xml:space="preserve"> </w:t>
            </w:r>
            <w:r w:rsidR="00192E69" w:rsidRPr="00075A70">
              <w:t>maddelerinde</w:t>
            </w:r>
            <w:r w:rsidR="00192E69" w:rsidRPr="00A23740">
              <w:rPr>
                <w:rFonts w:eastAsia="Times New Roman"/>
                <w:color w:val="000000"/>
                <w:szCs w:val="24"/>
                <w:lang w:eastAsia="tr-TR"/>
              </w:rPr>
              <w:t xml:space="preserve"> </w:t>
            </w:r>
            <w:r w:rsidRPr="00A23740">
              <w:rPr>
                <w:rFonts w:eastAsia="Times New Roman"/>
                <w:color w:val="000000"/>
                <w:szCs w:val="24"/>
                <w:lang w:eastAsia="tr-TR"/>
              </w:rPr>
              <w:t xml:space="preserve">öngörülen hükümlere göre iptal edilebilmesine imkân verilmiştir. </w:t>
            </w:r>
          </w:p>
          <w:p w:rsidR="00AA5C8C" w:rsidRPr="00A23740" w:rsidRDefault="00AA5C8C" w:rsidP="009431FF">
            <w:pPr>
              <w:ind w:firstLine="709"/>
              <w:rPr>
                <w:rFonts w:eastAsia="Times New Roman"/>
                <w:color w:val="000000"/>
                <w:szCs w:val="24"/>
                <w:lang w:eastAsia="tr-TR"/>
              </w:rPr>
            </w:pPr>
            <w:r w:rsidRPr="00A23740">
              <w:rPr>
                <w:rFonts w:eastAsia="Times New Roman"/>
                <w:color w:val="000000"/>
                <w:szCs w:val="24"/>
                <w:lang w:eastAsia="tr-TR"/>
              </w:rPr>
              <w:t>Geçici konkordato mühletinin verilmesi tarihi, iptal davası açma sürelerinin hesaplanma</w:t>
            </w:r>
            <w:r w:rsidR="00192E69" w:rsidRPr="00A23740">
              <w:rPr>
                <w:rFonts w:eastAsia="Times New Roman"/>
                <w:color w:val="000000"/>
                <w:szCs w:val="24"/>
                <w:lang w:eastAsia="tr-TR"/>
              </w:rPr>
              <w:t>sında haczin yapıldığı veya ifla</w:t>
            </w:r>
            <w:r w:rsidRPr="00A23740">
              <w:rPr>
                <w:rFonts w:eastAsia="Times New Roman"/>
                <w:color w:val="000000"/>
                <w:szCs w:val="24"/>
                <w:lang w:eastAsia="tr-TR"/>
              </w:rPr>
              <w:t xml:space="preserve">sın açıldığı tarihlerin yerini tutar. </w:t>
            </w:r>
          </w:p>
          <w:p w:rsidR="00AA5C8C" w:rsidRPr="00A23740" w:rsidRDefault="00AA5C8C" w:rsidP="009431FF">
            <w:pPr>
              <w:ind w:firstLine="709"/>
              <w:rPr>
                <w:rFonts w:eastAsia="Times New Roman"/>
                <w:bCs/>
                <w:iCs/>
                <w:color w:val="000000"/>
                <w:szCs w:val="24"/>
                <w:lang w:eastAsia="tr-TR"/>
              </w:rPr>
            </w:pPr>
            <w:r w:rsidRPr="00A23740">
              <w:rPr>
                <w:rFonts w:eastAsia="Times New Roman"/>
                <w:color w:val="000000"/>
                <w:szCs w:val="24"/>
                <w:lang w:eastAsia="tr-TR"/>
              </w:rPr>
              <w:t>Maddenin son fıkrasında belirtilen h</w:t>
            </w:r>
            <w:r w:rsidR="00192E69" w:rsidRPr="00A23740">
              <w:rPr>
                <w:rFonts w:eastAsia="Times New Roman"/>
                <w:color w:val="000000"/>
                <w:szCs w:val="24"/>
                <w:lang w:eastAsia="tr-TR"/>
              </w:rPr>
              <w:t>â</w:t>
            </w:r>
            <w:r w:rsidRPr="00A23740">
              <w:rPr>
                <w:rFonts w:eastAsia="Times New Roman"/>
                <w:color w:val="000000"/>
                <w:szCs w:val="24"/>
                <w:lang w:eastAsia="tr-TR"/>
              </w:rPr>
              <w:t>llerde, konkordato tasfiye memurlarının def'i yoluyla iptal talebinde bulunma yetkisini haiz oldukları belirtilmiştir</w:t>
            </w:r>
            <w:r w:rsidRPr="00A23740">
              <w:rPr>
                <w:rFonts w:eastAsia="Times New Roman"/>
                <w:color w:val="333333"/>
                <w:szCs w:val="24"/>
                <w:lang w:eastAsia="tr-TR"/>
              </w:rPr>
              <w:t>.</w:t>
            </w:r>
          </w:p>
          <w:p w:rsidR="00AA5C8C" w:rsidRPr="00A23740" w:rsidRDefault="00AA5C8C" w:rsidP="00F76168">
            <w:pPr>
              <w:ind w:firstLine="709"/>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rPr>
                <w:rFonts w:eastAsia="Times New Roman"/>
                <w:color w:val="000000"/>
                <w:szCs w:val="24"/>
                <w:lang w:eastAsia="tr-TR"/>
              </w:rPr>
            </w:pPr>
            <w:r w:rsidRPr="00A23740">
              <w:rPr>
                <w:rFonts w:eastAsia="Times New Roman"/>
                <w:i/>
                <w:iCs/>
                <w:color w:val="000000"/>
                <w:szCs w:val="24"/>
                <w:lang w:eastAsia="tr-TR"/>
              </w:rPr>
              <w:t xml:space="preserve">Uygulanacak </w:t>
            </w:r>
            <w:r w:rsidRPr="00A23740">
              <w:rPr>
                <w:rStyle w:val="KIRMIZIChar"/>
                <w:rFonts w:eastAsia="Calibri"/>
              </w:rPr>
              <w:t>ortak</w:t>
            </w:r>
            <w:r w:rsidRPr="00A23740">
              <w:rPr>
                <w:rFonts w:eastAsia="Times New Roman"/>
                <w:i/>
                <w:iCs/>
                <w:color w:val="000000"/>
                <w:szCs w:val="24"/>
                <w:lang w:eastAsia="tr-TR"/>
              </w:rPr>
              <w:t xml:space="preserve"> hükümler</w:t>
            </w:r>
            <w:r w:rsidRPr="00A23740">
              <w:rPr>
                <w:rStyle w:val="KIRMIZIChar"/>
                <w:rFonts w:eastAsia="Calibri"/>
              </w:rPr>
              <w:t>:</w:t>
            </w:r>
          </w:p>
          <w:p w:rsidR="00AA5C8C" w:rsidRPr="00A23740" w:rsidRDefault="00AA5C8C" w:rsidP="009431FF">
            <w:pPr>
              <w:rPr>
                <w:rFonts w:eastAsia="Times New Roman"/>
                <w:color w:val="000000"/>
                <w:szCs w:val="24"/>
                <w:lang w:eastAsia="tr-TR"/>
              </w:rPr>
            </w:pPr>
            <w:r w:rsidRPr="00A23740">
              <w:rPr>
                <w:rStyle w:val="KIRMIZIChar"/>
                <w:rFonts w:eastAsia="Calibri"/>
              </w:rPr>
              <w:t>Madde 309/l- (1) (Ek: 17/7/2003-4949/84 md.)</w:t>
            </w:r>
          </w:p>
          <w:p w:rsidR="00AA5C8C" w:rsidRPr="00A23740" w:rsidRDefault="00AA5C8C" w:rsidP="009431FF">
            <w:pPr>
              <w:rPr>
                <w:rFonts w:eastAsia="Times New Roman"/>
                <w:color w:val="000000"/>
                <w:szCs w:val="24"/>
                <w:lang w:eastAsia="tr-TR"/>
              </w:rPr>
            </w:pPr>
            <w:r w:rsidRPr="00A23740">
              <w:rPr>
                <w:rFonts w:eastAsia="Times New Roman"/>
                <w:color w:val="000000"/>
                <w:szCs w:val="24"/>
                <w:lang w:eastAsia="tr-TR"/>
              </w:rPr>
              <w:t>Niteliğine aykırı düşmedikçe 285 ilâ 308/g maddeleri malvarlığının terki suretiyle konkordatoda da uygulanır.</w:t>
            </w:r>
          </w:p>
          <w:p w:rsidR="00AA5C8C" w:rsidRPr="00A23740" w:rsidRDefault="00AA5C8C" w:rsidP="009431FF">
            <w:pPr>
              <w:pStyle w:val="MaddeBasl"/>
              <w:tabs>
                <w:tab w:val="clear" w:pos="567"/>
              </w:tabs>
              <w:spacing w:before="0"/>
              <w:rPr>
                <w:rFonts w:ascii="Times New Roman" w:hAnsi="Times New Roman"/>
                <w:sz w:val="24"/>
                <w:szCs w:val="24"/>
                <w:lang w:val="tr-TR"/>
              </w:rPr>
            </w:pPr>
          </w:p>
        </w:tc>
        <w:tc>
          <w:tcPr>
            <w:tcW w:w="2500" w:type="pct"/>
            <w:shd w:val="clear" w:color="auto" w:fill="FFFFFF"/>
          </w:tcPr>
          <w:p w:rsidR="00AA5C8C" w:rsidRPr="00A23740" w:rsidRDefault="00AA5C8C" w:rsidP="009431FF">
            <w:pPr>
              <w:rPr>
                <w:rFonts w:eastAsia="Times New Roman"/>
                <w:b/>
                <w:color w:val="000000"/>
                <w:szCs w:val="24"/>
                <w:lang w:eastAsia="tr-TR"/>
              </w:rPr>
            </w:pPr>
            <w:r w:rsidRPr="00A23740">
              <w:rPr>
                <w:rFonts w:eastAsia="Times New Roman"/>
                <w:b/>
                <w:iCs/>
                <w:color w:val="000000"/>
                <w:szCs w:val="24"/>
                <w:lang w:eastAsia="tr-TR"/>
              </w:rPr>
              <w:t xml:space="preserve">Uygulanacak </w:t>
            </w:r>
            <w:r w:rsidR="00392450" w:rsidRPr="00075A70">
              <w:rPr>
                <w:rStyle w:val="MaviChar"/>
              </w:rPr>
              <w:t>müşterek</w:t>
            </w:r>
            <w:r w:rsidR="00392450" w:rsidRPr="00A23740">
              <w:rPr>
                <w:rFonts w:eastAsia="Times New Roman"/>
                <w:b/>
                <w:iCs/>
                <w:color w:val="000000"/>
                <w:szCs w:val="24"/>
                <w:lang w:eastAsia="tr-TR"/>
              </w:rPr>
              <w:t xml:space="preserve"> </w:t>
            </w:r>
            <w:r w:rsidRPr="00A23740">
              <w:rPr>
                <w:rFonts w:eastAsia="Times New Roman"/>
                <w:b/>
                <w:iCs/>
                <w:color w:val="000000"/>
                <w:szCs w:val="24"/>
                <w:lang w:eastAsia="tr-TR"/>
              </w:rPr>
              <w:t>hükümler</w:t>
            </w:r>
          </w:p>
          <w:p w:rsidR="00AA5C8C" w:rsidRPr="00A23740" w:rsidRDefault="00164036" w:rsidP="009431FF">
            <w:pPr>
              <w:rPr>
                <w:rFonts w:eastAsia="Times New Roman"/>
                <w:color w:val="000000"/>
                <w:szCs w:val="24"/>
                <w:lang w:eastAsia="tr-TR"/>
              </w:rPr>
            </w:pPr>
            <w:r w:rsidRPr="00A23740">
              <w:rPr>
                <w:rStyle w:val="MaviChar"/>
                <w:lang w:val="tr-TR"/>
              </w:rPr>
              <w:t>MADDE 432</w:t>
            </w:r>
            <w:r w:rsidR="00AA5C8C" w:rsidRPr="00A23740">
              <w:rPr>
                <w:rStyle w:val="MaviChar"/>
                <w:lang w:val="tr-TR"/>
              </w:rPr>
              <w:t>- (1)</w:t>
            </w:r>
            <w:r w:rsidR="00AA5C8C" w:rsidRPr="00A23740">
              <w:rPr>
                <w:rFonts w:eastAsia="Times New Roman"/>
                <w:color w:val="000000"/>
                <w:szCs w:val="24"/>
                <w:lang w:eastAsia="tr-TR"/>
              </w:rPr>
              <w:t xml:space="preserve"> Niteliğine aykırı düşmedikçe </w:t>
            </w:r>
            <w:r w:rsidR="00AA5C8C" w:rsidRPr="00A23740">
              <w:rPr>
                <w:rFonts w:eastAsia="Times New Roman"/>
                <w:b/>
                <w:color w:val="0000FF"/>
                <w:szCs w:val="24"/>
                <w:lang w:eastAsia="tr-TR"/>
              </w:rPr>
              <w:t>adi konkordato hakkındaki</w:t>
            </w:r>
            <w:r w:rsidR="00192E69" w:rsidRPr="00A23740">
              <w:rPr>
                <w:rFonts w:eastAsia="Times New Roman"/>
                <w:b/>
                <w:color w:val="0000FF"/>
                <w:szCs w:val="24"/>
                <w:lang w:eastAsia="tr-TR"/>
              </w:rPr>
              <w:t xml:space="preserve"> </w:t>
            </w:r>
            <w:r w:rsidR="00192E69" w:rsidRPr="00075A70">
              <w:rPr>
                <w:rStyle w:val="MaviChar"/>
              </w:rPr>
              <w:t>374 il</w:t>
            </w:r>
            <w:r w:rsidR="00F25FDB" w:rsidRPr="00075A70">
              <w:rPr>
                <w:rStyle w:val="MaviChar"/>
              </w:rPr>
              <w:t>a</w:t>
            </w:r>
            <w:r w:rsidR="00192E69" w:rsidRPr="00075A70">
              <w:rPr>
                <w:rStyle w:val="MaviChar"/>
              </w:rPr>
              <w:t xml:space="preserve"> 412 nci</w:t>
            </w:r>
            <w:r w:rsidR="00AA5C8C" w:rsidRPr="00A23740">
              <w:rPr>
                <w:rFonts w:eastAsia="Times New Roman"/>
                <w:color w:val="000000"/>
                <w:szCs w:val="24"/>
                <w:lang w:eastAsia="tr-TR"/>
              </w:rPr>
              <w:t xml:space="preserve"> maddeler malvarlığının terki suretiyle konkordatoda da uygulanır.</w:t>
            </w:r>
          </w:p>
          <w:p w:rsidR="00AA5C8C" w:rsidRPr="00A23740" w:rsidRDefault="00AA5C8C" w:rsidP="009431FF">
            <w:pPr>
              <w:pStyle w:val="Mavi"/>
              <w:rPr>
                <w:lang w:val="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0A1205" w:rsidRPr="00A23740" w:rsidRDefault="000A1205" w:rsidP="009431FF">
            <w:pPr>
              <w:ind w:firstLine="709"/>
              <w:rPr>
                <w:rFonts w:eastAsia="Times New Roman"/>
                <w:b/>
                <w:iCs/>
                <w:color w:val="000000"/>
                <w:szCs w:val="24"/>
                <w:lang w:eastAsia="tr-TR"/>
              </w:rPr>
            </w:pPr>
          </w:p>
          <w:p w:rsidR="005C3738" w:rsidRPr="00A23740" w:rsidRDefault="000A1205" w:rsidP="009431FF">
            <w:pPr>
              <w:ind w:firstLine="709"/>
              <w:rPr>
                <w:rFonts w:eastAsia="Times New Roman"/>
                <w:color w:val="000000"/>
                <w:szCs w:val="24"/>
                <w:lang w:eastAsia="tr-TR"/>
              </w:rPr>
            </w:pPr>
            <w:r w:rsidRPr="00A23740">
              <w:rPr>
                <w:rFonts w:eastAsia="Times New Roman"/>
                <w:b/>
                <w:iCs/>
                <w:color w:val="000000"/>
                <w:szCs w:val="24"/>
                <w:lang w:eastAsia="tr-TR"/>
              </w:rPr>
              <w:t xml:space="preserve">MADDE </w:t>
            </w:r>
            <w:r w:rsidR="00164036" w:rsidRPr="00A23740">
              <w:rPr>
                <w:rFonts w:eastAsia="Times New Roman"/>
                <w:b/>
                <w:iCs/>
                <w:color w:val="000000"/>
                <w:szCs w:val="24"/>
                <w:lang w:eastAsia="tr-TR"/>
              </w:rPr>
              <w:t>432</w:t>
            </w:r>
            <w:r w:rsidR="00AA5C8C" w:rsidRPr="00A23740">
              <w:rPr>
                <w:rFonts w:eastAsia="Times New Roman"/>
                <w:b/>
                <w:iCs/>
                <w:color w:val="000000"/>
                <w:szCs w:val="24"/>
                <w:lang w:eastAsia="tr-TR"/>
              </w:rPr>
              <w:t xml:space="preserve">- </w:t>
            </w:r>
            <w:r w:rsidR="00AA5C8C" w:rsidRPr="00A23740">
              <w:rPr>
                <w:rFonts w:eastAsia="Times New Roman"/>
                <w:bCs/>
                <w:iCs/>
                <w:color w:val="000000"/>
                <w:szCs w:val="24"/>
                <w:lang w:eastAsia="tr-TR"/>
              </w:rPr>
              <w:t>2004 sayılı Kanunun 7101 s</w:t>
            </w:r>
            <w:r w:rsidRPr="00A23740">
              <w:rPr>
                <w:rFonts w:eastAsia="Times New Roman"/>
                <w:bCs/>
                <w:iCs/>
                <w:color w:val="000000"/>
                <w:szCs w:val="24"/>
                <w:lang w:eastAsia="tr-TR"/>
              </w:rPr>
              <w:t>ayılı Kanun</w:t>
            </w:r>
            <w:r w:rsidR="00191441" w:rsidRPr="00A23740">
              <w:rPr>
                <w:rFonts w:eastAsia="Times New Roman"/>
                <w:bCs/>
                <w:iCs/>
                <w:color w:val="000000"/>
                <w:szCs w:val="24"/>
                <w:lang w:eastAsia="tr-TR"/>
              </w:rPr>
              <w:t>la</w:t>
            </w:r>
            <w:r w:rsidR="00AA5C8C" w:rsidRPr="00A23740">
              <w:rPr>
                <w:rFonts w:eastAsia="Times New Roman"/>
                <w:bCs/>
                <w:iCs/>
                <w:color w:val="000000"/>
                <w:szCs w:val="24"/>
                <w:lang w:eastAsia="tr-TR"/>
              </w:rPr>
              <w:t xml:space="preserve"> değişik 309/l maddesi aynen alınmıştır.</w:t>
            </w:r>
            <w:r w:rsidR="00BF5C6C" w:rsidRPr="00A23740">
              <w:rPr>
                <w:rFonts w:eastAsia="Times New Roman"/>
                <w:bCs/>
                <w:iCs/>
                <w:color w:val="000000"/>
                <w:szCs w:val="24"/>
                <w:lang w:eastAsia="tr-TR"/>
              </w:rPr>
              <w:t xml:space="preserve"> </w:t>
            </w:r>
            <w:r w:rsidR="00BF5C6C" w:rsidRPr="00075A70">
              <w:t>Taslakta</w:t>
            </w:r>
            <w:r w:rsidR="00AA5C8C" w:rsidRPr="00A23740">
              <w:rPr>
                <w:rFonts w:eastAsia="Times New Roman"/>
                <w:bCs/>
                <w:iCs/>
                <w:color w:val="000000"/>
                <w:szCs w:val="24"/>
                <w:lang w:eastAsia="tr-TR"/>
              </w:rPr>
              <w:t xml:space="preserve"> ayrıntılı ve asıl düzenleme, adi konkordato hakkında olup; </w:t>
            </w:r>
            <w:r w:rsidR="00AA5C8C" w:rsidRPr="00A23740">
              <w:rPr>
                <w:rFonts w:eastAsia="Times New Roman"/>
                <w:color w:val="000000"/>
                <w:szCs w:val="24"/>
                <w:lang w:eastAsia="tr-TR"/>
              </w:rPr>
              <w:t xml:space="preserve">adi konkordatoya ilişkin hükümlerin, özellikle malvarlığının terki suretiyle konkordato talebinin yapılmasından tasdikine kadar ve bu tasfiye şeklinin niteliğine aykırı düşmediği ölçüde, malvarlığının terki suretiyle konkordatoda da </w:t>
            </w:r>
            <w:r w:rsidR="00191441" w:rsidRPr="00A23740">
              <w:rPr>
                <w:rFonts w:eastAsia="Times New Roman"/>
                <w:color w:val="000000"/>
                <w:szCs w:val="24"/>
                <w:lang w:eastAsia="tr-TR"/>
              </w:rPr>
              <w:t xml:space="preserve">uygulanması </w:t>
            </w:r>
            <w:r w:rsidR="00AA5C8C" w:rsidRPr="00A23740">
              <w:rPr>
                <w:rFonts w:eastAsia="Times New Roman"/>
                <w:color w:val="000000"/>
                <w:szCs w:val="24"/>
                <w:lang w:eastAsia="tr-TR"/>
              </w:rPr>
              <w:t xml:space="preserve">öngörülmüştür. </w:t>
            </w:r>
          </w:p>
          <w:p w:rsidR="005038A0" w:rsidRPr="00A23740" w:rsidRDefault="005038A0" w:rsidP="00F76168">
            <w:pPr>
              <w:ind w:firstLine="709"/>
              <w:rPr>
                <w:rFonts w:eastAsia="Times New Roman"/>
                <w:b/>
                <w:iCs/>
                <w:color w:val="000000"/>
                <w:szCs w:val="24"/>
                <w:lang w:eastAsia="tr-TR"/>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Borders>
              <w:bottom w:val="single" w:sz="4" w:space="0" w:color="000000"/>
            </w:tcBorders>
          </w:tcPr>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İstihkak iddiasına itiraz :</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A - Borçlunun zilyedliği:</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1 – Hazırlık safhası:</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 xml:space="preserve">Madde 96 –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b/>
                <w:strike/>
                <w:color w:val="FF0000"/>
                <w:szCs w:val="24"/>
              </w:rPr>
              <w:t>(Değişik: 18/2/1965 - 538/53 md.)</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Borçlu, elinde bulunan bir malı başkasının mülkü veya rehni olarak gösterdiği yahut üçüncü bir şahıs tarafından o mal üzerinde mülkiyet veya rehin hakkı iddia edildiği takdirde, icra dairesi bunu haciz ve icra tutanaklarına geçirir ve keyfiyeti iki tarafa bildirir.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b/>
                <w:strike/>
                <w:color w:val="FF0000"/>
                <w:szCs w:val="24"/>
              </w:rPr>
              <w:t>İcra dairesi aynı zamanda istihkak iddiasına karşı itirazları olup olmadığını bildirmek üzere alacaklı ve borçluya üç günlük mühlet verir. Sükütları halinde istihkak iddiasını kabul etmiş sayılırlar.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(3)</w:t>
            </w:r>
            <w:r w:rsidRPr="00A23740">
              <w:rPr>
                <w:rFonts w:eastAsia="Times New Roman"/>
                <w:color w:val="000000"/>
                <w:szCs w:val="24"/>
                <w:lang w:eastAsia="tr-TR"/>
              </w:rPr>
              <w:t xml:space="preserve"> </w:t>
            </w:r>
            <w:r w:rsidRPr="00A23740">
              <w:rPr>
                <w:rFonts w:eastAsia="Times New Roman"/>
                <w:b/>
                <w:strike/>
                <w:color w:val="FF0000"/>
                <w:szCs w:val="24"/>
              </w:rPr>
              <w:t>Malın haczine muttali olan borçlu veya üçüncü şahıs, ıttıla tarihinden itibaren yedi gün içinde istihkak iddiasında bulunmadığı takdirde, aynı takipte bu iddiayı ileri sürmek hakkını kaybeder. İstihkak iddiasının yapıldığı veya istihkak davasının açıldığı tarihte istihkak müddeisi ile birlikte oturan kimseler yahut bu şahısların iş ortakları, iddianın yapıldığı tarihte veya istihkak davası 97 nci maddenin 9 uncu fıkrası gereğince açılmışsa davanın açıldığı tarihte malın haczine ıttıla kesbetmiş sayılırlar.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pStyle w:val="KIRMIZI"/>
              <w:rPr>
                <w:b w:val="0"/>
                <w:strike w:val="0"/>
                <w:lang w:val="tr-TR"/>
              </w:rPr>
            </w:pPr>
          </w:p>
        </w:tc>
        <w:tc>
          <w:tcPr>
            <w:tcW w:w="2500" w:type="pct"/>
            <w:tcBorders>
              <w:bottom w:val="single" w:sz="4" w:space="0" w:color="000000"/>
            </w:tcBorders>
          </w:tcPr>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ÜÇÜNCÜ KİTAP</w:t>
            </w:r>
          </w:p>
          <w:p w:rsidR="00AA5C8C" w:rsidRPr="00A23740" w:rsidRDefault="00AA5C8C" w:rsidP="009431FF">
            <w:pPr>
              <w:jc w:val="center"/>
              <w:rPr>
                <w:rFonts w:eastAsia="Times New Roman"/>
                <w:b/>
                <w:bCs/>
                <w:color w:val="0000FF"/>
                <w:szCs w:val="24"/>
                <w:lang w:eastAsia="tr-TR"/>
              </w:rPr>
            </w:pPr>
            <w:r w:rsidRPr="00A23740">
              <w:rPr>
                <w:rFonts w:eastAsia="Times New Roman"/>
                <w:b/>
                <w:bCs/>
                <w:color w:val="0000FF"/>
                <w:szCs w:val="24"/>
                <w:lang w:eastAsia="tr-TR"/>
              </w:rPr>
              <w:t>ÇEŞİTLİ HÜKÜMLER</w:t>
            </w:r>
          </w:p>
          <w:p w:rsidR="00AA5C8C" w:rsidRPr="00A23740" w:rsidRDefault="00AA5C8C" w:rsidP="009431FF">
            <w:pPr>
              <w:jc w:val="center"/>
              <w:rPr>
                <w:rFonts w:eastAsia="Times New Roman"/>
                <w:b/>
                <w:bCs/>
                <w:color w:val="FF0000"/>
                <w:szCs w:val="24"/>
                <w:lang w:eastAsia="tr-TR"/>
              </w:rPr>
            </w:pPr>
          </w:p>
          <w:p w:rsidR="00AA5C8C" w:rsidRPr="00A23740" w:rsidRDefault="00AA5C8C" w:rsidP="009431FF">
            <w:pPr>
              <w:pStyle w:val="MAV"/>
              <w:jc w:val="center"/>
              <w:rPr>
                <w:u w:val="none"/>
                <w:lang w:val="tr-TR"/>
              </w:rPr>
            </w:pPr>
            <w:r w:rsidRPr="00A23740">
              <w:rPr>
                <w:u w:val="none"/>
                <w:lang w:val="tr-TR"/>
              </w:rPr>
              <w:t>BİRİNCİ KISIM</w:t>
            </w:r>
          </w:p>
          <w:p w:rsidR="00AA5C8C" w:rsidRPr="00A23740" w:rsidRDefault="00AA5C8C" w:rsidP="009431FF">
            <w:pPr>
              <w:pStyle w:val="MAV"/>
              <w:jc w:val="center"/>
              <w:rPr>
                <w:u w:val="none"/>
                <w:lang w:val="tr-TR"/>
              </w:rPr>
            </w:pPr>
            <w:r w:rsidRPr="00A23740">
              <w:rPr>
                <w:u w:val="none"/>
                <w:lang w:val="tr-TR"/>
              </w:rPr>
              <w:t>İstihkak Davası</w:t>
            </w:r>
          </w:p>
          <w:p w:rsidR="00AA5C8C" w:rsidRPr="00A23740" w:rsidRDefault="00AA5C8C" w:rsidP="009431FF">
            <w:pPr>
              <w:pStyle w:val="MAV"/>
              <w:rPr>
                <w:u w:val="none"/>
                <w:lang w:val="tr-TR"/>
              </w:rPr>
            </w:pPr>
          </w:p>
          <w:p w:rsidR="00AA5C8C" w:rsidRPr="00A23740" w:rsidRDefault="00AA5C8C" w:rsidP="009431FF">
            <w:pPr>
              <w:pStyle w:val="MAV"/>
              <w:jc w:val="center"/>
              <w:rPr>
                <w:u w:val="none"/>
                <w:lang w:val="tr-TR"/>
              </w:rPr>
            </w:pPr>
            <w:r w:rsidRPr="00A23740">
              <w:rPr>
                <w:u w:val="none"/>
                <w:lang w:val="tr-TR"/>
              </w:rPr>
              <w:t>BİRİNCİ BÖLÜM</w:t>
            </w:r>
          </w:p>
          <w:p w:rsidR="00AA5C8C" w:rsidRPr="00A23740" w:rsidRDefault="00AA5C8C" w:rsidP="009431FF">
            <w:pPr>
              <w:pStyle w:val="MAV"/>
              <w:jc w:val="center"/>
              <w:rPr>
                <w:u w:val="none"/>
                <w:lang w:val="tr-TR"/>
              </w:rPr>
            </w:pPr>
            <w:r w:rsidRPr="00A23740">
              <w:rPr>
                <w:u w:val="none"/>
                <w:lang w:val="tr-TR"/>
              </w:rPr>
              <w:t>Hacizde İstihkak Davası</w:t>
            </w:r>
          </w:p>
          <w:p w:rsidR="00AA5C8C" w:rsidRPr="00A23740" w:rsidRDefault="00AA5C8C" w:rsidP="009431FF">
            <w:pPr>
              <w:pStyle w:val="MAV"/>
              <w:rPr>
                <w:u w:val="none"/>
                <w:lang w:val="tr-TR"/>
              </w:rPr>
            </w:pPr>
          </w:p>
          <w:p w:rsidR="00AA5C8C" w:rsidRPr="00A23740" w:rsidRDefault="00AA5C8C" w:rsidP="009431FF">
            <w:pPr>
              <w:pStyle w:val="MAV"/>
              <w:jc w:val="center"/>
              <w:rPr>
                <w:u w:val="none"/>
                <w:lang w:val="tr-TR"/>
              </w:rPr>
            </w:pPr>
            <w:r w:rsidRPr="00A23740">
              <w:rPr>
                <w:u w:val="none"/>
                <w:lang w:val="tr-TR"/>
              </w:rPr>
              <w:t>BİRİNCİ AYRIM</w:t>
            </w:r>
          </w:p>
          <w:p w:rsidR="00AA5C8C" w:rsidRPr="00A23740" w:rsidRDefault="00AA5C8C" w:rsidP="009431FF">
            <w:pPr>
              <w:tabs>
                <w:tab w:val="left" w:pos="567"/>
              </w:tabs>
              <w:jc w:val="center"/>
              <w:rPr>
                <w:rFonts w:eastAsia="Times New Roman"/>
                <w:b/>
                <w:color w:val="0000FF"/>
                <w:szCs w:val="24"/>
              </w:rPr>
            </w:pPr>
            <w:r w:rsidRPr="00A23740">
              <w:rPr>
                <w:rFonts w:eastAsia="Times New Roman"/>
                <w:b/>
                <w:color w:val="0000FF"/>
                <w:szCs w:val="24"/>
              </w:rPr>
              <w:t>Haczedilenin Borçlu Elinde Bulunması</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İstihkak iddiası</w:t>
            </w:r>
          </w:p>
          <w:p w:rsidR="00AA5C8C" w:rsidRPr="00A23740" w:rsidRDefault="00AA5C8C" w:rsidP="009431FF">
            <w:pPr>
              <w:pStyle w:val="Mavi"/>
              <w:rPr>
                <w:rFonts w:eastAsia="Times New Roman"/>
                <w:b w:val="0"/>
              </w:rPr>
            </w:pPr>
            <w:r w:rsidRPr="00A23740">
              <w:rPr>
                <w:rStyle w:val="MAVChar"/>
                <w:rFonts w:eastAsia="Calibri"/>
                <w:b/>
                <w:bCs/>
                <w:u w:val="none"/>
              </w:rPr>
              <w:t xml:space="preserve">MADDE </w:t>
            </w:r>
            <w:r w:rsidR="005038A0" w:rsidRPr="00A23740">
              <w:rPr>
                <w:rStyle w:val="MaviChar"/>
                <w:b/>
                <w:bCs/>
              </w:rPr>
              <w:t>433</w:t>
            </w:r>
            <w:r w:rsidRPr="00A23740">
              <w:rPr>
                <w:rStyle w:val="MaviChar"/>
                <w:b/>
                <w:bCs/>
              </w:rPr>
              <w:t xml:space="preserve">-  </w:t>
            </w:r>
            <w:r w:rsidRPr="00A23740">
              <w:t>(1) Haczedilen üzerinde üçüncü kişiye ait mülkiyet, sınırlı ayni hak veya</w:t>
            </w:r>
            <w:r w:rsidRPr="00A23740">
              <w:rPr>
                <w:lang w:val="tr-TR"/>
              </w:rPr>
              <w:t xml:space="preserve"> </w:t>
            </w:r>
            <w:r w:rsidRPr="00A23740">
              <w:t>kuvvetlendirilmiş kişisel hak gibi bir hakkın bulunduğu iddiası, istihkak iddiası yoluyla ileri sürülür. Haczedilen alacağın kendisine ait olduğunu ileri süren üçüncü kişi de istihkak iddiasında bulunabilir.</w:t>
            </w:r>
          </w:p>
          <w:p w:rsidR="00965829" w:rsidRPr="00A23740" w:rsidRDefault="00965829" w:rsidP="009431FF">
            <w:pPr>
              <w:tabs>
                <w:tab w:val="left" w:pos="567"/>
              </w:tabs>
              <w:rPr>
                <w:rFonts w:eastAsia="Times New Roman"/>
                <w:b/>
                <w:color w:val="0000FF"/>
                <w:szCs w:val="24"/>
              </w:rPr>
            </w:pPr>
          </w:p>
          <w:p w:rsidR="00965829" w:rsidRPr="00A23740" w:rsidRDefault="00965829" w:rsidP="009431FF">
            <w:pPr>
              <w:tabs>
                <w:tab w:val="left" w:pos="567"/>
              </w:tabs>
              <w:rPr>
                <w:rFonts w:eastAsia="Times New Roman"/>
                <w:b/>
                <w:color w:val="0000FF"/>
                <w:szCs w:val="24"/>
              </w:rPr>
            </w:pPr>
          </w:p>
          <w:p w:rsidR="00965829" w:rsidRPr="00A23740" w:rsidRDefault="00965829" w:rsidP="009431FF">
            <w:pPr>
              <w:tabs>
                <w:tab w:val="left" w:pos="567"/>
              </w:tabs>
              <w:rPr>
                <w:rFonts w:eastAsia="Times New Roman"/>
                <w:b/>
                <w:color w:val="0000FF"/>
                <w:szCs w:val="24"/>
              </w:rPr>
            </w:pPr>
          </w:p>
          <w:p w:rsidR="00965829" w:rsidRPr="00A23740" w:rsidRDefault="00965829" w:rsidP="009431FF">
            <w:pPr>
              <w:tabs>
                <w:tab w:val="left" w:pos="567"/>
              </w:tabs>
              <w:rPr>
                <w:rFonts w:eastAsia="Times New Roman"/>
                <w:b/>
                <w:color w:val="0000FF"/>
                <w:szCs w:val="24"/>
              </w:rPr>
            </w:pPr>
          </w:p>
          <w:p w:rsidR="00965829" w:rsidRPr="00A23740" w:rsidRDefault="00965829"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(2) İstihkak iddiasında bulunabilecek </w:t>
            </w:r>
            <w:r w:rsidRPr="00A23740">
              <w:rPr>
                <w:rStyle w:val="MaviChar"/>
              </w:rPr>
              <w:t>olanlar; üçüncü kişi, takip borçlusu ve bunları temsile yetkili olan kişilerdir. İstihkak iddiasının takip borçlusu, onu temsile yetkili olan veya onunla birlikte oturan kişiler tarafından ileri sürüldüğü h</w:t>
            </w:r>
            <w:r w:rsidR="00C2196C" w:rsidRPr="00A23740">
              <w:rPr>
                <w:rStyle w:val="MaviChar"/>
                <w:lang w:val="tr-TR"/>
              </w:rPr>
              <w:t>â</w:t>
            </w:r>
            <w:r w:rsidRPr="00A23740">
              <w:rPr>
                <w:rStyle w:val="MaviChar"/>
              </w:rPr>
              <w:t>llerde, istihkak iddiasını içeren haciz tutanağı üçüncü kişiye tebliğ edilir. Borçlu veya üçüncü kişi haciz sırasında hazır bulunmuyorlarsa, haczin yapıldığını haciz tutanağının kendilerine tebliği tarihinde öğrenmiş sayılırlar. Şu kadar ki</w:t>
            </w:r>
            <w:r w:rsidR="00085484" w:rsidRPr="003A5935">
              <w:rPr>
                <w:rStyle w:val="Balk1Char"/>
                <w:rFonts w:eastAsia="ヒラギノ明朝 Pro W3"/>
              </w:rPr>
              <w:t>,</w:t>
            </w:r>
            <w:r w:rsidRPr="00A23740">
              <w:rPr>
                <w:rStyle w:val="MaviChar"/>
              </w:rPr>
              <w:t xml:space="preserve"> haczin yapıldığı sırada borçluyu veya üçüncü kişiyi temsile yetkili olan ya da borçlu veya üçüncü kişi ile birlikte oturan veya haciz tutanağının kendisine tebliğ edilebileceği kişilerin</w:t>
            </w:r>
            <w:r w:rsidRPr="00A23740">
              <w:rPr>
                <w:rStyle w:val="MaviChar"/>
                <w:b w:val="0"/>
              </w:rPr>
              <w:t xml:space="preserve"> </w:t>
            </w:r>
            <w:r w:rsidRPr="00A23740">
              <w:rPr>
                <w:rStyle w:val="MaviChar"/>
              </w:rPr>
              <w:t>hazır bulunması h</w:t>
            </w:r>
            <w:r w:rsidR="001B054D" w:rsidRPr="00A23740">
              <w:rPr>
                <w:rStyle w:val="MaviChar"/>
                <w:lang w:val="tr-TR"/>
              </w:rPr>
              <w:t>â</w:t>
            </w:r>
            <w:r w:rsidRPr="00A23740">
              <w:rPr>
                <w:rStyle w:val="MaviChar"/>
              </w:rPr>
              <w:t>linde, borçlu veya üçüncü kişi aynı tarihte haczi öğrenmiş sayılır.</w:t>
            </w:r>
          </w:p>
        </w:tc>
      </w:tr>
      <w:tr w:rsidR="005C3738" w:rsidRPr="00A23740" w:rsidTr="009431FF">
        <w:tc>
          <w:tcPr>
            <w:tcW w:w="5000" w:type="pct"/>
            <w:gridSpan w:val="2"/>
            <w:shd w:val="clear" w:color="auto" w:fill="DEEAF6"/>
          </w:tcPr>
          <w:p w:rsidR="005E6AC1" w:rsidRPr="00A23740" w:rsidRDefault="005E6AC1" w:rsidP="009431FF">
            <w:pPr>
              <w:ind w:firstLine="709"/>
              <w:rPr>
                <w:b/>
                <w:bCs/>
                <w:szCs w:val="24"/>
                <w:lang w:eastAsia="x-none"/>
              </w:rPr>
            </w:pPr>
          </w:p>
          <w:p w:rsidR="009917DB" w:rsidRPr="00A23740" w:rsidRDefault="005038A0" w:rsidP="009431FF">
            <w:pPr>
              <w:ind w:firstLine="709"/>
              <w:rPr>
                <w:szCs w:val="24"/>
              </w:rPr>
            </w:pPr>
            <w:r w:rsidRPr="00A23740">
              <w:rPr>
                <w:b/>
                <w:szCs w:val="24"/>
              </w:rPr>
              <w:t>MADDE 433</w:t>
            </w:r>
            <w:r w:rsidR="009917DB" w:rsidRPr="00A23740">
              <w:rPr>
                <w:b/>
                <w:szCs w:val="24"/>
              </w:rPr>
              <w:t>-</w:t>
            </w:r>
            <w:r w:rsidR="009917DB" w:rsidRPr="00A23740">
              <w:rPr>
                <w:szCs w:val="24"/>
              </w:rPr>
              <w:t xml:space="preserve"> 2004 sayılı Kanundan farklı olarak, hacizde istihkak davası, Kanunun “Çeşitli Hükümler” başlığını taşıyan Üçüncü Kitabında, iptal davası ve ihtiyati haciz kurumları</w:t>
            </w:r>
            <w:r w:rsidR="00191441" w:rsidRPr="00A23740">
              <w:rPr>
                <w:szCs w:val="24"/>
              </w:rPr>
              <w:t>yla</w:t>
            </w:r>
            <w:r w:rsidR="009917DB" w:rsidRPr="00A23740">
              <w:rPr>
                <w:szCs w:val="24"/>
              </w:rPr>
              <w:t xml:space="preserve"> birlikte düzenlenmiştir. İstihkak Davası başlığını taşıyan birinci kısmın birinci bölümünde hacizde istihkak davasına, ikinci bölümünde ise iflasta istihkak davasına yer verilmiştir. Hacizde istihkak davasına ilişkin hükümlerde, haczedilenin borçlu elinde bulunması ile</w:t>
            </w:r>
            <w:r w:rsidR="00085484" w:rsidRPr="00A23740">
              <w:rPr>
                <w:rStyle w:val="YELChar"/>
              </w:rPr>
              <w:t>,</w:t>
            </w:r>
            <w:r w:rsidR="009917DB" w:rsidRPr="00A23740">
              <w:rPr>
                <w:szCs w:val="24"/>
              </w:rPr>
              <w:t xml:space="preserve"> üçüncü kişi elinde bulunmasına ilişkin temel ayrım korunmuş ve düzenlemeler bu ayrım esas alınarak yapılmı</w:t>
            </w:r>
            <w:r w:rsidR="005E6AC1" w:rsidRPr="00A23740">
              <w:rPr>
                <w:szCs w:val="24"/>
              </w:rPr>
              <w:t>ştır.</w:t>
            </w:r>
          </w:p>
          <w:p w:rsidR="009917DB" w:rsidRPr="00A23740" w:rsidRDefault="009917DB" w:rsidP="009431FF">
            <w:pPr>
              <w:ind w:firstLine="709"/>
              <w:rPr>
                <w:szCs w:val="24"/>
              </w:rPr>
            </w:pPr>
            <w:r w:rsidRPr="00A23740">
              <w:rPr>
                <w:szCs w:val="24"/>
              </w:rPr>
              <w:t xml:space="preserve">İstihkak iddiası başlığını taşıyan maddenin birinci fıkrasında hangi hakların istihkak iddiasına (dolayısıyla istihkak davasına) konu olabileceği, diğer bir ifadeyle, hangi hakların istihkak iddiası yoluyla ileri sürülebileceği hususu düzenlenmiştir. Bu hüküm, 2004 sayılı Kanunun 96 ncı maddesinin birinci fıkrasındaki düzenlemeyi kısmen karşılamaktadır. Çünkü </w:t>
            </w:r>
            <w:r w:rsidR="005E6AC1" w:rsidRPr="00A23740">
              <w:rPr>
                <w:szCs w:val="24"/>
              </w:rPr>
              <w:t>2004 sayılı</w:t>
            </w:r>
            <w:r w:rsidRPr="00A23740">
              <w:rPr>
                <w:szCs w:val="24"/>
              </w:rPr>
              <w:t xml:space="preserve"> Kanunda sadece mülkiyet ve rehin hakkından söz edilmesine rağmen, yeni hükümde, mülkiyet, sınırlı ayni hak ve kuvvetlendirilmiş kişisel hakların istihkak iddiasına konu olabileceği açıkça ifade edilmiştir. 2004 sayılı Kanunun 96 ncı maddesinde sadece rehin hakkından söz edilmesine rağmen, yeni hükümde, sınırlı ayni hak kavramı kullanılarak, bütün sınırlı ayni hakların istihkak iddiasına konu olabileceği açıklığa kavuşturulmuştur. Diğer taraftan madde metnindeki “kuvvetlendirilmiş kişisel hak” ifadesinden de anlaşılacağı üzere, salt kişisel (nispi) haklaristihkak iddiasına konu olamayacaktır. Bunun yanında, haczedilen alacağın kendisine ait olduğunu ileri süren üçüncü kişinin de istihkak iddiasında bulunabileceği açıkça düzenlenerek, bu konuda yaşanabilecek tereddütlerin giderilmesi amaçlanmıştır. 2004 sayılı Kanunun 96 ncı maddesinin birinci fıkrasının, istihkak iddiasına konu olabilecek hakların sınırlı olarak düzenlendiği düşüncesine yol açabilecek ifadesi, yeni hükümde “gibi” sözcüğü kullanılmak suretiyle, bertaraf edilmeye çalışılmıştır. Dolayısıyla yeni hükümden açıkça anlaşılacağı üzere, istihkak iddiasına konu olabilecek haklar, maddede “sınırlı” (tahdidi) olarak düzenlenmemiştir. O h</w:t>
            </w:r>
            <w:r w:rsidR="00C2196C" w:rsidRPr="00A23740">
              <w:rPr>
                <w:szCs w:val="24"/>
              </w:rPr>
              <w:t>â</w:t>
            </w:r>
            <w:r w:rsidRPr="00A23740">
              <w:rPr>
                <w:szCs w:val="24"/>
              </w:rPr>
              <w:t>lde maddede açıkça belirtilenler haricinde, haczedilen üzerinde takip alacaklısının hakkına nazaran üstün bir nitelik taşıyan, hacizle çatışan, icra takibinin ilerleyen safhalarında dikkate alınması gereken veya haczedilenin cebr</w:t>
            </w:r>
            <w:r w:rsidR="00436506" w:rsidRPr="00A23740">
              <w:rPr>
                <w:szCs w:val="24"/>
              </w:rPr>
              <w:t>î</w:t>
            </w:r>
            <w:r w:rsidRPr="00A23740">
              <w:rPr>
                <w:szCs w:val="24"/>
              </w:rPr>
              <w:t xml:space="preserve"> icra yoluyla satışına engel olacak nitelikteki hak iddiaları da istihkak davasına konu olabilecektir.</w:t>
            </w:r>
            <w:r w:rsidR="008E6976" w:rsidRPr="00A23740">
              <w:rPr>
                <w:szCs w:val="24"/>
              </w:rPr>
              <w:t xml:space="preserve"> </w:t>
            </w:r>
          </w:p>
          <w:p w:rsidR="009917DB" w:rsidRPr="00A23740" w:rsidRDefault="009917DB" w:rsidP="009431FF">
            <w:pPr>
              <w:ind w:firstLine="709"/>
              <w:rPr>
                <w:szCs w:val="24"/>
              </w:rPr>
            </w:pPr>
            <w:r w:rsidRPr="00A23740">
              <w:rPr>
                <w:szCs w:val="24"/>
              </w:rPr>
              <w:t xml:space="preserve">Maddenin ikinci fıkrasında istihkak iddiasını ileri sürebilecek </w:t>
            </w:r>
            <w:r w:rsidRPr="00075A70">
              <w:t>kişiler</w:t>
            </w:r>
            <w:r w:rsidR="00085484" w:rsidRPr="00075A70">
              <w:t>in kimler olduğu ve</w:t>
            </w:r>
            <w:r w:rsidRPr="00A23740">
              <w:rPr>
                <w:szCs w:val="24"/>
              </w:rPr>
              <w:t xml:space="preserve"> bunların haczi hangi tarihte öğrenmiş sayılacakları hususu düzenlenmiştir. 2004 sayılı Kanunun 96 ncı maddesinden sadece borçlunun üçüncü kişi lehine ve üçüncü kişinin kendi lehine istihkak iddiasında bulunabileceği anlaşılmaktaydı. Getirilen yeni düzenlemeyle, Yargıtay kararlarına da uygun olarak, sadece borçlu ve üçüncü kişinin değil, bunları temsile yetkili olan kişilerin de istihkak iddiasında bulunabilecekleri hüküm a</w:t>
            </w:r>
            <w:r w:rsidR="00085484" w:rsidRPr="00A23740">
              <w:rPr>
                <w:szCs w:val="24"/>
              </w:rPr>
              <w:t>ltına alınmaktadır. Böylece her</w:t>
            </w:r>
            <w:r w:rsidRPr="00A23740">
              <w:rPr>
                <w:szCs w:val="24"/>
              </w:rPr>
              <w:t xml:space="preserve">hangi bir üçüncü kişinin değil, ancak borçlu veya üçüncü kişiyi temsile yetkili olan bir kişinin istihkak iddiasında bulunabileceği açıkça ifade edilmiştir. </w:t>
            </w:r>
          </w:p>
          <w:p w:rsidR="005C3738" w:rsidRPr="00A23740" w:rsidRDefault="009917DB" w:rsidP="009431FF">
            <w:pPr>
              <w:ind w:firstLine="709"/>
              <w:rPr>
                <w:bCs/>
                <w:szCs w:val="24"/>
              </w:rPr>
            </w:pPr>
            <w:r w:rsidRPr="00A23740">
              <w:rPr>
                <w:szCs w:val="24"/>
              </w:rPr>
              <w:t>İkinci fıkrada ayrıca istihkak iddiasında bulunabilecek olan kişilerin, haczi hangi anda öğrenmiş sayılacakları hususu da düzenlemiştir. Buna göre istihkak iddiasının takip borçlusu, onu temsile yetkili olan veya borçluyla birlikte oturan kişiler tarafından üçüncü kişi lehine ileri sürüldüğü h</w:t>
            </w:r>
            <w:r w:rsidR="00C2196C" w:rsidRPr="00A23740">
              <w:rPr>
                <w:szCs w:val="24"/>
              </w:rPr>
              <w:t>â</w:t>
            </w:r>
            <w:r w:rsidRPr="00A23740">
              <w:rPr>
                <w:szCs w:val="24"/>
              </w:rPr>
              <w:t xml:space="preserve">llerde, istihkak iddiasını içeren haciz tutanağı üçüncü kişiye tebliğ edilecektir. Özellikle haczin işyerlerinde yapılabilmesi ihtimali dikkate alınarak fıkra metnine “haciz tutanağının kendisine tebliğ edilebileceği” ibaresinin eklenmesinin açıklığı sağlamak bakımından yararlı olacağı düşünülmüştür. Burada </w:t>
            </w:r>
            <w:r w:rsidR="005E6AC1" w:rsidRPr="00A23740">
              <w:rPr>
                <w:szCs w:val="24"/>
              </w:rPr>
              <w:t>2004 sayılı Kanunun 96 ncı maddesinin bir</w:t>
            </w:r>
            <w:r w:rsidRPr="00A23740">
              <w:rPr>
                <w:szCs w:val="24"/>
              </w:rPr>
              <w:t xml:space="preserve">inci </w:t>
            </w:r>
            <w:r w:rsidR="005E6AC1" w:rsidRPr="00A23740">
              <w:rPr>
                <w:szCs w:val="24"/>
              </w:rPr>
              <w:t xml:space="preserve">fıkrasında </w:t>
            </w:r>
            <w:r w:rsidRPr="00A23740">
              <w:rPr>
                <w:szCs w:val="24"/>
              </w:rPr>
              <w:t>olduğu gibi</w:t>
            </w:r>
            <w:r w:rsidR="00191441" w:rsidRPr="00A23740">
              <w:rPr>
                <w:szCs w:val="24"/>
              </w:rPr>
              <w:t>,</w:t>
            </w:r>
            <w:r w:rsidRPr="00A23740">
              <w:rPr>
                <w:szCs w:val="24"/>
              </w:rPr>
              <w:t xml:space="preserve"> istihkak iddiasının bildirilmesine dair haber kâğıdı kullanılmayacak, bizatihi haciz tutanağı tebliğ edilecektir. Böylece, üçüncü kişi, lehine yapılan istihkak iddiasını, haciz tutanağının tebliği tarihinde öğrenmiş sayılacaktır. Öte yandan gerek borçlu gerekse üçüncü kişi, haciz sırasında hazır bulunmuyorsa, yani haciz yokluklarında yapılmışsa, haczi, ancak haciz tutanağının kendilerine tebliğ edildiği tarihte öğrenmiş sayılacaklardır. Bununla birlikte haciz, borçlu veya üçüncü kişinin yokluğunda yapılsa bile, </w:t>
            </w:r>
            <w:r w:rsidRPr="00A23740">
              <w:rPr>
                <w:bCs/>
                <w:szCs w:val="24"/>
                <w:lang w:val="x-none"/>
              </w:rPr>
              <w:t xml:space="preserve">haczin yapıldığı sırada borçluyu veya üçüncü kişiyi temsile yetkili olan ya da borçlu veya üçüncü kişi ile birlikte oturan veya haciz tutanağı kendilerine tebliğ edilebilecek kişilerin </w:t>
            </w:r>
            <w:r w:rsidRPr="00A23740">
              <w:rPr>
                <w:bCs/>
                <w:szCs w:val="24"/>
              </w:rPr>
              <w:t xml:space="preserve">haciz esnasında </w:t>
            </w:r>
            <w:r w:rsidRPr="00A23740">
              <w:rPr>
                <w:bCs/>
                <w:szCs w:val="24"/>
                <w:lang w:val="x-none"/>
              </w:rPr>
              <w:t>hazır bulunması h</w:t>
            </w:r>
            <w:r w:rsidR="00C2196C" w:rsidRPr="00A23740">
              <w:rPr>
                <w:bCs/>
                <w:szCs w:val="24"/>
              </w:rPr>
              <w:t>â</w:t>
            </w:r>
            <w:r w:rsidRPr="00A23740">
              <w:rPr>
                <w:bCs/>
                <w:szCs w:val="24"/>
                <w:lang w:val="x-none"/>
              </w:rPr>
              <w:t xml:space="preserve">linde, borçlu veya üçüncü kişi </w:t>
            </w:r>
            <w:r w:rsidRPr="00A23740">
              <w:rPr>
                <w:bCs/>
                <w:szCs w:val="24"/>
              </w:rPr>
              <w:t>de haczi bu kişilerin öğrendiği</w:t>
            </w:r>
            <w:r w:rsidRPr="00A23740">
              <w:rPr>
                <w:bCs/>
                <w:szCs w:val="24"/>
                <w:lang w:val="x-none"/>
              </w:rPr>
              <w:t xml:space="preserve"> </w:t>
            </w:r>
            <w:r w:rsidRPr="00A23740">
              <w:rPr>
                <w:bCs/>
                <w:szCs w:val="24"/>
              </w:rPr>
              <w:t>tarihte</w:t>
            </w:r>
            <w:r w:rsidRPr="00A23740">
              <w:rPr>
                <w:bCs/>
                <w:szCs w:val="24"/>
                <w:lang w:val="x-none"/>
              </w:rPr>
              <w:t xml:space="preserve"> </w:t>
            </w:r>
            <w:r w:rsidRPr="00A23740">
              <w:rPr>
                <w:bCs/>
                <w:szCs w:val="24"/>
              </w:rPr>
              <w:t xml:space="preserve">(yani haczin yapıldığı tarihte) </w:t>
            </w:r>
            <w:r w:rsidRPr="00A23740">
              <w:rPr>
                <w:bCs/>
                <w:szCs w:val="24"/>
                <w:lang w:val="x-none"/>
              </w:rPr>
              <w:t>öğrenmiş sayılacak</w:t>
            </w:r>
            <w:r w:rsidRPr="00A23740">
              <w:rPr>
                <w:bCs/>
                <w:szCs w:val="24"/>
              </w:rPr>
              <w:t>;</w:t>
            </w:r>
            <w:r w:rsidRPr="00A23740">
              <w:rPr>
                <w:bCs/>
                <w:szCs w:val="24"/>
                <w:lang w:val="x-none"/>
              </w:rPr>
              <w:t xml:space="preserve"> bu h</w:t>
            </w:r>
            <w:r w:rsidR="00C2196C" w:rsidRPr="00A23740">
              <w:rPr>
                <w:bCs/>
                <w:szCs w:val="24"/>
              </w:rPr>
              <w:t>â</w:t>
            </w:r>
            <w:r w:rsidRPr="00A23740">
              <w:rPr>
                <w:bCs/>
                <w:szCs w:val="24"/>
                <w:lang w:val="x-none"/>
              </w:rPr>
              <w:t xml:space="preserve">lde </w:t>
            </w:r>
            <w:r w:rsidRPr="00A23740">
              <w:rPr>
                <w:bCs/>
                <w:szCs w:val="24"/>
              </w:rPr>
              <w:t>kendilerine ayrıca tebligat yapılması söz konusu olmayacaktır. Ayrıca fıkra metninde geçen “</w:t>
            </w:r>
            <w:r w:rsidRPr="00A23740">
              <w:rPr>
                <w:bCs/>
                <w:szCs w:val="24"/>
                <w:lang w:val="x-none"/>
              </w:rPr>
              <w:t>haciz tutanağının kendisine tebliğ edilebileceği kişilerin</w:t>
            </w:r>
            <w:r w:rsidRPr="00A23740">
              <w:rPr>
                <w:bCs/>
                <w:szCs w:val="24"/>
              </w:rPr>
              <w:t>” ifadesini, kendilerine Tebligat Kanunu hükümlerine göre tebligat yapılabilecek kişi</w:t>
            </w:r>
            <w:r w:rsidR="005E6AC1" w:rsidRPr="00A23740">
              <w:rPr>
                <w:bCs/>
                <w:szCs w:val="24"/>
              </w:rPr>
              <w:t>ler olarak anlaşılması gerekir.</w:t>
            </w:r>
          </w:p>
          <w:p w:rsidR="008A0337" w:rsidRPr="00A23740" w:rsidRDefault="008A0337" w:rsidP="00F76168">
            <w:pPr>
              <w:tabs>
                <w:tab w:val="left" w:pos="567"/>
              </w:tabs>
              <w:ind w:firstLine="709"/>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Borders>
              <w:bottom w:val="single" w:sz="4" w:space="0" w:color="000000"/>
            </w:tcBorders>
          </w:tcPr>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2 – Üçüncü şahsın istihkak iddiası :</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 xml:space="preserve">Madde 97 –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b/>
                <w:strike/>
                <w:color w:val="FF0000"/>
                <w:szCs w:val="24"/>
              </w:rPr>
              <w:t>(Değişik: 18/2/1965 - 538/54 md.)</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İstihkak iddiasına karşı alacaklı veya borçlu tarafından itiraz edilirse, icra memuru dosyayı hemen icra mahkemesine verir. İcra Mahkemesi, dosya üzerinde veya lüzum görürse ilgilileri davet ederek mürafaa ile yapacağı inceleme neticesinde varacağı kanaate göre takibin devamına veya talikıne karar verir.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b/>
                <w:strike/>
                <w:color w:val="FF0000"/>
                <w:szCs w:val="24"/>
              </w:rPr>
              <w:t>İstihkak davasının sırf satışı geri bırakmak gayesiyle kötüye kullanıldığını kabul etmek için ciddi sebepler bulunduğu takdirde icra mahkemesi takibin talikı talebini reddeder.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(3) Takibin talikıne karar verilirse, haksız çıktığı takdirde alacaklının muhtemel zararına karşı davacıdan 36 ncı maddede gösterilen teminat alınır.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(4) Teminatın cins ve miktarı mevcut delillerin mahiyetine göre takdir olunur.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(5)</w:t>
            </w:r>
            <w:r w:rsidRPr="00A23740">
              <w:rPr>
                <w:rFonts w:eastAsia="Times New Roman"/>
                <w:color w:val="000000"/>
                <w:szCs w:val="24"/>
                <w:lang w:eastAsia="tr-TR"/>
              </w:rPr>
              <w:t xml:space="preserve"> </w:t>
            </w:r>
            <w:r w:rsidRPr="00A23740">
              <w:rPr>
                <w:rFonts w:eastAsia="Times New Roman"/>
                <w:b/>
                <w:strike/>
                <w:color w:val="FF0000"/>
                <w:szCs w:val="24"/>
              </w:rPr>
              <w:t>(Değişik beşinci fıkra: 2/3/2005</w:t>
            </w:r>
            <w:r w:rsidRPr="00A23740">
              <w:rPr>
                <w:rStyle w:val="KIRMIZIChar"/>
                <w:rFonts w:eastAsia="Calibri"/>
              </w:rPr>
              <w:t>-5311/9 md.) Takibin devamına dair verilen icra mahkemesi kararı kesindir.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(6)</w:t>
            </w:r>
            <w:r w:rsidRPr="00A23740">
              <w:rPr>
                <w:rFonts w:eastAsia="Times New Roman"/>
                <w:color w:val="000000"/>
                <w:szCs w:val="24"/>
                <w:lang w:eastAsia="tr-TR"/>
              </w:rPr>
              <w:t xml:space="preserve"> </w:t>
            </w:r>
            <w:r w:rsidRPr="00A23740">
              <w:rPr>
                <w:rFonts w:eastAsia="Times New Roman"/>
                <w:b/>
                <w:strike/>
                <w:color w:val="FF0000"/>
                <w:szCs w:val="24"/>
              </w:rPr>
              <w:t>Üçüncü şahıs, icra mahkemesi kararının tefhim veya tebliğinden itibaren yedi gün içinde icra mahkemesinde istihkak davası açmaya mecburdur. Bu müddet zarfında dava edilmediği takdirde üçüncü şahıs alacaklıya karşı iddiasından vazgeçmiş sayılır.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(7)</w:t>
            </w:r>
            <w:r w:rsidRPr="00A23740">
              <w:rPr>
                <w:rFonts w:eastAsia="Times New Roman"/>
                <w:color w:val="000000"/>
                <w:szCs w:val="24"/>
                <w:lang w:eastAsia="tr-TR"/>
              </w:rPr>
              <w:t xml:space="preserve"> </w:t>
            </w:r>
            <w:r w:rsidRPr="00A23740">
              <w:rPr>
                <w:rFonts w:eastAsia="Times New Roman"/>
                <w:b/>
                <w:strike/>
                <w:color w:val="FF0000"/>
                <w:szCs w:val="24"/>
              </w:rPr>
              <w:t xml:space="preserve">Kiralanan taşınmaz veya gemilerdeki hapis hakkına tabi eşya ile ilgili istihkak davaları Borçlar Kanununun 268 inci maddesinin 1 inci fıkrasında yazılı hükümlere uygun olmadıkça talik emri verilemez. </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(8)</w:t>
            </w:r>
            <w:r w:rsidRPr="00A23740">
              <w:rPr>
                <w:rFonts w:eastAsia="Times New Roman"/>
                <w:color w:val="000000"/>
                <w:szCs w:val="24"/>
                <w:lang w:eastAsia="tr-TR"/>
              </w:rPr>
              <w:t xml:space="preserve"> </w:t>
            </w:r>
            <w:r w:rsidRPr="00A23740">
              <w:rPr>
                <w:rFonts w:eastAsia="Times New Roman"/>
                <w:b/>
                <w:strike/>
                <w:color w:val="FF0000"/>
                <w:szCs w:val="24"/>
              </w:rPr>
              <w:t>Dava esnasında 106 ncı maddedeki müddetler cereyan etmez.</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(9)</w:t>
            </w:r>
            <w:r w:rsidRPr="00A23740">
              <w:rPr>
                <w:rFonts w:eastAsia="Times New Roman"/>
                <w:color w:val="000000"/>
                <w:szCs w:val="24"/>
                <w:lang w:eastAsia="tr-TR"/>
              </w:rPr>
              <w:t xml:space="preserve"> </w:t>
            </w:r>
            <w:r w:rsidRPr="00A23740">
              <w:rPr>
                <w:rFonts w:eastAsia="Times New Roman"/>
                <w:b/>
                <w:strike/>
                <w:color w:val="FF0000"/>
                <w:szCs w:val="24"/>
              </w:rPr>
              <w:t>Yukardaki hükümler dairesinde kendisine istihkak talebinde bulunmak imkanı verilmemiş olan üçüncü şahıs, haczedilen şey hakkında veya satılıp da bedeli henüz alacaklıya verilmemişse bedeli hakkında, hacze ıttıla tarihinden itibaren yedi gün içinde, icra mahkemesinde istihkak davası açabilir. Aksi takdirde aynı takipte bu iddiayı ileri sürmek hakkını kaybeder. Bu halde davacının talebi üzerine icra hakimi takibin talik edilip edilmemesi hakkında yukardaki hükümler dairesinde acele karar vermeye mecburdur. Bu karar diğer taraf dinlenmeksizin de verilebilir.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(10)</w:t>
            </w:r>
            <w:r w:rsidRPr="00A23740">
              <w:rPr>
                <w:rFonts w:eastAsia="Times New Roman"/>
                <w:color w:val="000000"/>
                <w:szCs w:val="24"/>
                <w:lang w:eastAsia="tr-TR"/>
              </w:rPr>
              <w:t xml:space="preserve"> </w:t>
            </w:r>
            <w:r w:rsidRPr="00A23740">
              <w:rPr>
                <w:rFonts w:eastAsia="Times New Roman"/>
                <w:b/>
                <w:strike/>
                <w:color w:val="FF0000"/>
                <w:szCs w:val="24"/>
              </w:rPr>
              <w:t>İstihkak davası neticelenmeden mahcuz mal paraya çevrilmiş bulunursa icra hakimi işbu bedelin yargılama neticesine kadar ödenmemesi veya teminat karşılığında veya halin icabına göre teminatsız derhal alacaklıya verilmesi hususunda ayrıca karar verir.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(11)</w:t>
            </w:r>
            <w:r w:rsidRPr="00A23740">
              <w:rPr>
                <w:rFonts w:eastAsia="Times New Roman"/>
                <w:color w:val="000000"/>
                <w:szCs w:val="24"/>
                <w:lang w:eastAsia="tr-TR"/>
              </w:rPr>
              <w:t xml:space="preserve"> </w:t>
            </w:r>
            <w:r w:rsidRPr="00A23740">
              <w:rPr>
                <w:rFonts w:eastAsia="Times New Roman"/>
                <w:b/>
                <w:strike/>
                <w:color w:val="FF0000"/>
                <w:szCs w:val="24"/>
              </w:rPr>
              <w:t xml:space="preserve">İstihkak </w:t>
            </w:r>
            <w:r w:rsidRPr="00A23740">
              <w:rPr>
                <w:rStyle w:val="KIRMIZIChar"/>
                <w:rFonts w:eastAsia="Calibri"/>
              </w:rPr>
              <w:t>davasına umumi hükümler dairesinde ve basit yargılama usulüne göre bakılır.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(12)</w:t>
            </w:r>
            <w:r w:rsidRPr="00A23740">
              <w:rPr>
                <w:rFonts w:eastAsia="Times New Roman"/>
                <w:color w:val="000000"/>
                <w:szCs w:val="24"/>
                <w:lang w:eastAsia="tr-TR"/>
              </w:rPr>
              <w:t xml:space="preserve"> </w:t>
            </w:r>
            <w:r w:rsidRPr="00A23740">
              <w:rPr>
                <w:rFonts w:eastAsia="Times New Roman"/>
                <w:b/>
                <w:strike/>
                <w:color w:val="FF0000"/>
                <w:szCs w:val="24"/>
              </w:rPr>
              <w:t>Mahcuz eşya ile ilgili olarak icra memuruna dermeyan edilen iddiada üçüncü şahıs ve borçlunun birleşmeleri alacaklıya müessir değildir. Üçüncü şahsın bu iddiasını ispat etmesi lazımdır. Ancak üçüncü şahsın mahcuz eşyanın kendisinin mülkü veya kendisine merhun olduğu hakkındaki iddiasının borçlu tarafından kabulü kendi aleyhine delil teşkil eder ve ileride bu ikrara aykırı hiçbir iddiada bulunamaz.</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(12)</w:t>
            </w:r>
            <w:r w:rsidRPr="00A23740">
              <w:rPr>
                <w:rFonts w:eastAsia="Times New Roman"/>
                <w:color w:val="000000"/>
                <w:szCs w:val="24"/>
                <w:lang w:eastAsia="tr-TR"/>
              </w:rPr>
              <w:t xml:space="preserve"> </w:t>
            </w:r>
            <w:r w:rsidRPr="00A23740">
              <w:rPr>
                <w:rFonts w:eastAsia="Times New Roman"/>
                <w:b/>
                <w:strike/>
                <w:color w:val="FF0000"/>
                <w:szCs w:val="24"/>
              </w:rPr>
              <w:t xml:space="preserve">(Değişik: 9/11/1988 - 3494/11 md.) İstihkak davası üzerine takibin talikine karar verilip de neticede dava reddolunursa alacaklının alacağından bu dava dolayısıyla istifası geciken miktarın yüzde yirmisinden aşağı olmamak üzere davacıdan tazminat alınmasına hükmolunur. </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(13)</w:t>
            </w:r>
            <w:r w:rsidRPr="00A23740">
              <w:rPr>
                <w:rFonts w:eastAsia="Times New Roman"/>
                <w:color w:val="000000"/>
                <w:szCs w:val="24"/>
                <w:lang w:eastAsia="tr-TR"/>
              </w:rPr>
              <w:t xml:space="preserve"> </w:t>
            </w:r>
            <w:r w:rsidRPr="00A23740">
              <w:rPr>
                <w:rFonts w:eastAsia="Times New Roman"/>
                <w:b/>
                <w:strike/>
                <w:color w:val="FF0000"/>
                <w:szCs w:val="24"/>
              </w:rPr>
              <w:t>(Değişik ondördüncü fıkra: 2/3/2005-5311/9 md.)Davanın reddi hakkındaki karara karşı istinaf veya temyiz yoluna başvuran istihkak davacısı icra dairesinden 36 ncı maddeye göre mühlet isteyebilir.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(14)</w:t>
            </w:r>
            <w:r w:rsidRPr="00A23740">
              <w:rPr>
                <w:rFonts w:eastAsia="Times New Roman"/>
                <w:color w:val="000000"/>
                <w:szCs w:val="24"/>
                <w:lang w:eastAsia="tr-TR"/>
              </w:rPr>
              <w:t xml:space="preserve"> </w:t>
            </w:r>
            <w:r w:rsidRPr="00A23740">
              <w:rPr>
                <w:rFonts w:eastAsia="Times New Roman"/>
                <w:b/>
                <w:strike/>
                <w:color w:val="FF0000"/>
                <w:szCs w:val="24"/>
              </w:rPr>
              <w:t>İstihkak davası sabit olur ve birinci fıkra gereğince istihkak iddiasına karşı itiraz eden alacaklı veya borçlunun kötü niyeti tahakkuk ederse haczolunan malın değerinin yüzde onbeşinden aşağı olmamak üzere itiraz edenden tazminat alınmasına asıl dava ile birlikte hükmolunur.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(15)</w:t>
            </w:r>
            <w:r w:rsidRPr="00A23740">
              <w:rPr>
                <w:rFonts w:eastAsia="Times New Roman"/>
                <w:color w:val="000000"/>
                <w:szCs w:val="24"/>
                <w:lang w:eastAsia="tr-TR"/>
              </w:rPr>
              <w:t xml:space="preserve"> </w:t>
            </w:r>
            <w:r w:rsidRPr="00A23740">
              <w:rPr>
                <w:rFonts w:eastAsia="Times New Roman"/>
                <w:b/>
                <w:strike/>
                <w:color w:val="FF0000"/>
                <w:szCs w:val="24"/>
              </w:rPr>
              <w:t>Koca aleyhine yapılmış bir hacizde karı şahsi malları üzerindeki haklarını Medeni Kanunun 160 ıncı maddesi hükmüne tabi olmaksızın kendisi takip edebilir.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(16)</w:t>
            </w:r>
            <w:r w:rsidRPr="00A23740">
              <w:rPr>
                <w:rFonts w:eastAsia="Times New Roman"/>
                <w:color w:val="000000"/>
                <w:szCs w:val="24"/>
                <w:lang w:eastAsia="tr-TR"/>
              </w:rPr>
              <w:t xml:space="preserve"> </w:t>
            </w:r>
            <w:r w:rsidRPr="00A23740">
              <w:rPr>
                <w:rFonts w:eastAsia="Times New Roman"/>
                <w:b/>
                <w:strike/>
                <w:color w:val="FF0000"/>
                <w:szCs w:val="24"/>
              </w:rPr>
              <w:t>İstihkak davasına karşı haczi yaptıran alacaklı bu kanunun 11 inci babı hükümlerine dayanarak ve muvakkat veya kati aciz belgesi ibrazına mecbur olmaksızın mütekabilen iptal davası açabilir. Dava ve mütekabil davada tarafların gösterecekleri bütün delilleri hakim serbestce takdir eder.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Style w:val="KIRMIZIChar"/>
                <w:rFonts w:eastAsia="Calibri"/>
              </w:rPr>
            </w:pPr>
            <w:r w:rsidRPr="00A23740">
              <w:rPr>
                <w:rStyle w:val="KIRMIZIChar"/>
                <w:rFonts w:eastAsia="Calibri"/>
              </w:rPr>
              <w:t>(17)</w:t>
            </w:r>
            <w:r w:rsidRPr="00A23740">
              <w:rPr>
                <w:rFonts w:eastAsia="Times New Roman"/>
                <w:color w:val="000000"/>
                <w:szCs w:val="24"/>
                <w:lang w:eastAsia="tr-TR"/>
              </w:rPr>
              <w:t xml:space="preserve"> </w:t>
            </w:r>
            <w:r w:rsidRPr="00A23740">
              <w:rPr>
                <w:rFonts w:eastAsia="Times New Roman"/>
                <w:b/>
                <w:strike/>
                <w:color w:val="FF0000"/>
                <w:szCs w:val="24"/>
              </w:rPr>
              <w:t xml:space="preserve">İstihkak </w:t>
            </w:r>
            <w:r w:rsidRPr="00A23740">
              <w:rPr>
                <w:rStyle w:val="KIRMIZIChar"/>
                <w:rFonts w:eastAsia="Calibri"/>
              </w:rPr>
              <w:t>davaları süratle ve diğer davalardan önce görülerek karara bağlanır.</w:t>
            </w:r>
          </w:p>
          <w:p w:rsidR="00965829" w:rsidRPr="00A23740" w:rsidRDefault="00965829" w:rsidP="009431FF">
            <w:pPr>
              <w:tabs>
                <w:tab w:val="left" w:pos="567"/>
              </w:tabs>
              <w:rPr>
                <w:rFonts w:eastAsia="Times New Roman"/>
                <w:szCs w:val="24"/>
              </w:rPr>
            </w:pPr>
          </w:p>
        </w:tc>
        <w:tc>
          <w:tcPr>
            <w:tcW w:w="2500" w:type="pct"/>
            <w:tcBorders>
              <w:bottom w:val="single" w:sz="4" w:space="0" w:color="000000"/>
            </w:tcBorders>
          </w:tcPr>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İstihkak davasının açılma süresi ve yetkili mahkeme</w:t>
            </w:r>
          </w:p>
          <w:p w:rsidR="00AA5C8C" w:rsidRPr="00A23740" w:rsidRDefault="005038A0" w:rsidP="009431FF">
            <w:pPr>
              <w:tabs>
                <w:tab w:val="left" w:pos="567"/>
              </w:tabs>
              <w:rPr>
                <w:rFonts w:eastAsia="Times New Roman"/>
                <w:b/>
                <w:color w:val="0000FF"/>
                <w:szCs w:val="24"/>
              </w:rPr>
            </w:pPr>
            <w:r w:rsidRPr="00A23740">
              <w:rPr>
                <w:rFonts w:eastAsia="Times New Roman"/>
                <w:b/>
                <w:color w:val="0000FF"/>
                <w:szCs w:val="24"/>
              </w:rPr>
              <w:t>MADDE 434</w:t>
            </w:r>
            <w:r w:rsidR="00AA5C8C" w:rsidRPr="00A23740">
              <w:rPr>
                <w:rFonts w:eastAsia="Times New Roman"/>
                <w:b/>
                <w:color w:val="0000FF"/>
                <w:szCs w:val="24"/>
              </w:rPr>
              <w:t xml:space="preserve">- (1) </w:t>
            </w:r>
            <w:r w:rsidR="00AA5C8C" w:rsidRPr="00A23740">
              <w:rPr>
                <w:rStyle w:val="MAVChar"/>
                <w:rFonts w:eastAsia="Calibri"/>
                <w:u w:val="none"/>
              </w:rPr>
              <w:t>İstihkak davası; üçüncü kişi huzurunda yapılan hacizlerde haciz tarihinde</w:t>
            </w:r>
            <w:r w:rsidR="00AA5C8C" w:rsidRPr="00075A70">
              <w:rPr>
                <w:rStyle w:val="MaviChar"/>
              </w:rPr>
              <w:t>n</w:t>
            </w:r>
            <w:r w:rsidR="006F67AE" w:rsidRPr="00075A70">
              <w:rPr>
                <w:rStyle w:val="MaviChar"/>
              </w:rPr>
              <w:t>;</w:t>
            </w:r>
            <w:r w:rsidR="00AA5C8C" w:rsidRPr="00A23740">
              <w:rPr>
                <w:rStyle w:val="MAVChar"/>
                <w:rFonts w:eastAsia="Calibri"/>
                <w:u w:val="none"/>
              </w:rPr>
              <w:t xml:space="preserve"> üçüncü kişinin yokluğunda yapılan hacizlerde lehine yapılan istihkak iddiasının üçüncü kişiye tebliği, böyle bir iddianın bulunmadığı h</w:t>
            </w:r>
            <w:r w:rsidR="00C2196C" w:rsidRPr="00A23740">
              <w:rPr>
                <w:rStyle w:val="MAVChar"/>
                <w:rFonts w:eastAsia="Calibri"/>
                <w:u w:val="none"/>
              </w:rPr>
              <w:t>â</w:t>
            </w:r>
            <w:r w:rsidR="00AA5C8C" w:rsidRPr="00A23740">
              <w:rPr>
                <w:rStyle w:val="MAVChar"/>
                <w:rFonts w:eastAsia="Calibri"/>
                <w:u w:val="none"/>
              </w:rPr>
              <w:t>llerde ise üçüncü kişinin</w:t>
            </w:r>
            <w:r w:rsidR="00AA5C8C" w:rsidRPr="00A23740">
              <w:rPr>
                <w:rFonts w:eastAsia="Times New Roman"/>
                <w:b/>
                <w:color w:val="0000FF"/>
                <w:szCs w:val="24"/>
              </w:rPr>
              <w:t xml:space="preserve"> haczi öğrendiği veya öğrenmiş sayıldığı tarihten itibaren iki hafta içinde açılır.</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(2) </w:t>
            </w:r>
            <w:r w:rsidR="00CF33C8" w:rsidRPr="00075A70">
              <w:rPr>
                <w:rStyle w:val="MaviChar"/>
              </w:rPr>
              <w:t>Haczedilenin satılmış olması hâlinde</w:t>
            </w:r>
            <w:r w:rsidRPr="00A23740">
              <w:rPr>
                <w:rStyle w:val="MaviChar"/>
                <w:lang w:val="tr-TR"/>
              </w:rPr>
              <w:t xml:space="preserve">, </w:t>
            </w:r>
            <w:r w:rsidRPr="00A23740">
              <w:rPr>
                <w:rStyle w:val="MaviChar"/>
              </w:rPr>
              <w:t>bedeli alacaklıya ödeninceye kadar</w:t>
            </w:r>
            <w:r w:rsidRPr="00A23740">
              <w:rPr>
                <w:rStyle w:val="MaviChar"/>
                <w:lang w:val="tr-TR"/>
              </w:rPr>
              <w:t xml:space="preserve"> </w:t>
            </w:r>
            <w:r w:rsidRPr="00A23740">
              <w:rPr>
                <w:rFonts w:eastAsia="Times New Roman"/>
                <w:b/>
                <w:color w:val="0000FF"/>
                <w:szCs w:val="24"/>
              </w:rPr>
              <w:t>istihkak davası açılabilir.</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(3) Üçüncü kişi, süresi içinde istihkak davası açmadığı takdirde, aynı takipte o haciz bakımından haciz koyduran alacaklıya karşı istihkak iddiasından vazgeçmiş sayılır.</w:t>
            </w:r>
          </w:p>
          <w:p w:rsidR="00AA5C8C" w:rsidRDefault="00AA5C8C" w:rsidP="009431FF">
            <w:pPr>
              <w:tabs>
                <w:tab w:val="left" w:pos="567"/>
              </w:tabs>
              <w:rPr>
                <w:rFonts w:eastAsia="Times New Roman"/>
                <w:b/>
                <w:color w:val="0000FF"/>
                <w:szCs w:val="24"/>
              </w:rPr>
            </w:pPr>
          </w:p>
          <w:p w:rsidR="00E36534" w:rsidRPr="00A23740" w:rsidRDefault="00E36534"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(4) İstihkak davası, davalının yerleşim yeri veya takibin yapıldığı</w:t>
            </w:r>
            <w:r w:rsidRPr="00A23740">
              <w:rPr>
                <w:rFonts w:eastAsia="Times New Roman"/>
                <w:b/>
                <w:color w:val="FF0000"/>
                <w:szCs w:val="24"/>
              </w:rPr>
              <w:t xml:space="preserve"> </w:t>
            </w:r>
            <w:r w:rsidRPr="00A23740">
              <w:rPr>
                <w:rFonts w:eastAsia="Times New Roman"/>
                <w:b/>
                <w:color w:val="0000FF"/>
                <w:szCs w:val="24"/>
              </w:rPr>
              <w:t>yer icra</w:t>
            </w:r>
            <w:r w:rsidR="003F4D1D" w:rsidRPr="00A23740">
              <w:rPr>
                <w:rFonts w:eastAsia="Times New Roman"/>
                <w:b/>
                <w:color w:val="0000FF"/>
                <w:szCs w:val="24"/>
              </w:rPr>
              <w:t xml:space="preserve"> hukuk</w:t>
            </w:r>
            <w:r w:rsidRPr="00A23740">
              <w:rPr>
                <w:rFonts w:eastAsia="Times New Roman"/>
                <w:b/>
                <w:color w:val="0000FF"/>
                <w:szCs w:val="24"/>
              </w:rPr>
              <w:t xml:space="preserve"> mahkemesinde açılabilir.</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cs="Calibri"/>
              </w:rPr>
            </w:pPr>
          </w:p>
        </w:tc>
      </w:tr>
      <w:tr w:rsidR="005C3738" w:rsidRPr="00A23740" w:rsidTr="009431FF">
        <w:tc>
          <w:tcPr>
            <w:tcW w:w="5000" w:type="pct"/>
            <w:gridSpan w:val="2"/>
            <w:shd w:val="clear" w:color="auto" w:fill="DEEAF6"/>
          </w:tcPr>
          <w:p w:rsidR="005E6AC1" w:rsidRPr="00A23740" w:rsidRDefault="005E6AC1" w:rsidP="009431FF">
            <w:pPr>
              <w:ind w:firstLine="709"/>
              <w:rPr>
                <w:b/>
                <w:bCs/>
                <w:szCs w:val="24"/>
                <w:lang w:eastAsia="x-none"/>
              </w:rPr>
            </w:pPr>
          </w:p>
          <w:p w:rsidR="009917DB" w:rsidRPr="00A23740" w:rsidRDefault="005038A0" w:rsidP="009431FF">
            <w:pPr>
              <w:ind w:firstLine="709"/>
              <w:rPr>
                <w:szCs w:val="24"/>
              </w:rPr>
            </w:pPr>
            <w:r w:rsidRPr="00A23740">
              <w:rPr>
                <w:b/>
                <w:szCs w:val="24"/>
              </w:rPr>
              <w:t>MADDE 434</w:t>
            </w:r>
            <w:r w:rsidR="009917DB" w:rsidRPr="00A23740">
              <w:rPr>
                <w:b/>
                <w:szCs w:val="24"/>
              </w:rPr>
              <w:t xml:space="preserve">- </w:t>
            </w:r>
            <w:r w:rsidR="009917DB" w:rsidRPr="00A23740">
              <w:rPr>
                <w:szCs w:val="24"/>
              </w:rPr>
              <w:t xml:space="preserve">Maddede istihkak davasının açılma süresi, davanın süresinde açılmamasının sonuçları ve davada yetkili mahkeme düzenlenmektedir. </w:t>
            </w:r>
          </w:p>
          <w:p w:rsidR="009917DB" w:rsidRPr="00A23740" w:rsidRDefault="009917DB" w:rsidP="009431FF">
            <w:pPr>
              <w:ind w:firstLine="709"/>
              <w:rPr>
                <w:szCs w:val="24"/>
              </w:rPr>
            </w:pPr>
            <w:r w:rsidRPr="00A23740">
              <w:rPr>
                <w:szCs w:val="24"/>
              </w:rPr>
              <w:t>Maddenin birinci fıkrasında istihkak davasının açılma süresi</w:t>
            </w:r>
            <w:r w:rsidR="0012005A" w:rsidRPr="00A23740">
              <w:rPr>
                <w:szCs w:val="24"/>
              </w:rPr>
              <w:t xml:space="preserve"> </w:t>
            </w:r>
            <w:r w:rsidR="0012005A" w:rsidRPr="00075A70">
              <w:t>hükme bağlanmıştır.</w:t>
            </w:r>
            <w:r w:rsidRPr="00A23740">
              <w:rPr>
                <w:szCs w:val="24"/>
              </w:rPr>
              <w:t xml:space="preserve"> Davanın açılma süresine ilişkin bu hüküm yeni olup, bu konuda 2004 sayılı Kanunun 97 nci maddesinde benimsenen esas terk edilmiş, davanın açılma süresi ve özellikle bu sürenin hangi anda başlayacağı </w:t>
            </w:r>
            <w:r w:rsidR="005D321C" w:rsidRPr="00A23740">
              <w:rPr>
                <w:szCs w:val="24"/>
              </w:rPr>
              <w:t xml:space="preserve">konusunda </w:t>
            </w:r>
            <w:r w:rsidRPr="00A23740">
              <w:rPr>
                <w:szCs w:val="24"/>
              </w:rPr>
              <w:t>önemli değişiklikler yapılmıştır. Bilineceği üzere 2004 sayılı Kanunun özellikle</w:t>
            </w:r>
            <w:r w:rsidR="005E6AC1" w:rsidRPr="00A23740">
              <w:rPr>
                <w:szCs w:val="24"/>
              </w:rPr>
              <w:t xml:space="preserve"> 96 ncı maddesinin birinci, ikinci ve üçüncü fıkraları ile 97 nci maddesinin birinci ve altıncı fıkraları</w:t>
            </w:r>
            <w:r w:rsidR="005D321C" w:rsidRPr="00A23740">
              <w:rPr>
                <w:szCs w:val="24"/>
              </w:rPr>
              <w:t>na</w:t>
            </w:r>
            <w:r w:rsidRPr="00A23740">
              <w:rPr>
                <w:szCs w:val="24"/>
              </w:rPr>
              <w:t xml:space="preserve"> göre, istihkak davası aşamasından önce </w:t>
            </w:r>
            <w:r w:rsidRPr="00075A70">
              <w:t>icra</w:t>
            </w:r>
            <w:r w:rsidR="00B73523" w:rsidRPr="00075A70">
              <w:t xml:space="preserve"> ve iflas</w:t>
            </w:r>
            <w:r w:rsidRPr="00A23740">
              <w:rPr>
                <w:szCs w:val="24"/>
              </w:rPr>
              <w:t xml:space="preserve"> dairesi nezdinde yürütülen bir istihkak iddiası aşaması bulunmakta ve istihkak iddiasına ilişkin bu prosedürün belirli süre ve usullere uyularak işletilmesi h</w:t>
            </w:r>
            <w:r w:rsidR="00C2196C" w:rsidRPr="00A23740">
              <w:rPr>
                <w:szCs w:val="24"/>
              </w:rPr>
              <w:t>â</w:t>
            </w:r>
            <w:r w:rsidRPr="00A23740">
              <w:rPr>
                <w:szCs w:val="24"/>
              </w:rPr>
              <w:t xml:space="preserve">linde, istihkak davası aşamasına geçilebilmekteydi. Ancak hem 2004 sayılı Kanunda düzenlenen bu prosedürden beklenen faydanın yeterince sağlanamamış olması hem istihkak davasına ilişkin karmaşık sayılabilecek hükümlerin sadeleştirilmesi hem de hak iddiasında bulunmanın esas yolunun dava açılması olduğu düşüncesinden hareketle, </w:t>
            </w:r>
            <w:r w:rsidR="00157472" w:rsidRPr="00A23740">
              <w:rPr>
                <w:szCs w:val="24"/>
              </w:rPr>
              <w:t>2004 sayılı</w:t>
            </w:r>
            <w:r w:rsidRPr="00A23740">
              <w:rPr>
                <w:szCs w:val="24"/>
              </w:rPr>
              <w:t xml:space="preserve"> </w:t>
            </w:r>
            <w:r w:rsidR="00157472" w:rsidRPr="00A23740">
              <w:rPr>
                <w:szCs w:val="24"/>
              </w:rPr>
              <w:t xml:space="preserve">Kanunda </w:t>
            </w:r>
            <w:r w:rsidRPr="00A23740">
              <w:rPr>
                <w:szCs w:val="24"/>
              </w:rPr>
              <w:t>benimsenmiş olan ayrıntılı prosedürün terk edilmesinin yararlı olacağı düşünülmüştür. Her ne kadar istihkak davası açılmasından önce istihkak iddiasında bulunulması ve istihkak iddiasına itiraz edilmesi h</w:t>
            </w:r>
            <w:r w:rsidR="00C2196C" w:rsidRPr="00A23740">
              <w:rPr>
                <w:szCs w:val="24"/>
              </w:rPr>
              <w:t>â</w:t>
            </w:r>
            <w:r w:rsidRPr="00A23740">
              <w:rPr>
                <w:szCs w:val="24"/>
              </w:rPr>
              <w:t>linde istihkak davası aşamasına geçilmesi hususunda 2004 sayılı Kanun hükümlerine benzer düzenlemeler mehaz İsviçre hukukunda (SchKG Art. 106-109) varlığını korumakta ise de</w:t>
            </w:r>
            <w:r w:rsidR="005D321C" w:rsidRPr="00A23740">
              <w:rPr>
                <w:szCs w:val="24"/>
              </w:rPr>
              <w:t>,</w:t>
            </w:r>
            <w:r w:rsidRPr="00A23740">
              <w:rPr>
                <w:szCs w:val="24"/>
              </w:rPr>
              <w:t xml:space="preserve"> özellikle Alman hukukunda, getirilen yeni düzenlemeye benzer hükümler yer almaktadır. Nitekim Alman Medeni Usul Kanunu’nun 771 </w:t>
            </w:r>
            <w:r w:rsidR="00157472" w:rsidRPr="00A23740">
              <w:rPr>
                <w:szCs w:val="24"/>
              </w:rPr>
              <w:t>i</w:t>
            </w:r>
            <w:r w:rsidRPr="00A23740">
              <w:rPr>
                <w:szCs w:val="24"/>
              </w:rPr>
              <w:t xml:space="preserve">nci paragrafında, istihkak iddiası şeklinde bir prosedüre yer verilmemiş, mahcuz mal üzerindeki belirli nitelikleri taşıyan hak iddialarının doğrudan istihkak davası açılması suretiyle ileri sürülmesi esası benimsenmiştir. Bu arada, istihkak davasının açılabilmesi için 2004 sayılı Kanunun biraz önce belirtilen hükümlerinde öngörülen prosedürün işletilmesinin zorunlu olmadığını, 2004 sayılı Kanuna göre de bu prosedür hiç işletilmeden doğrudan doğruya istihkak davası açılmasının zaten mümkün olduğunu belirtmek gerekir. Nitekim doğrudan doğruya istihkak davası açılabilmesine ilişkin </w:t>
            </w:r>
            <w:r w:rsidR="00157472" w:rsidRPr="00A23740">
              <w:rPr>
                <w:szCs w:val="24"/>
              </w:rPr>
              <w:t>2004 sayılı</w:t>
            </w:r>
            <w:r w:rsidRPr="00A23740">
              <w:rPr>
                <w:szCs w:val="24"/>
              </w:rPr>
              <w:t xml:space="preserve"> Kanunun</w:t>
            </w:r>
            <w:r w:rsidR="00157472" w:rsidRPr="00A23740">
              <w:rPr>
                <w:szCs w:val="24"/>
              </w:rPr>
              <w:t xml:space="preserve"> 97 nci maddesinin dokuzuncu fıkrasında</w:t>
            </w:r>
            <w:r w:rsidRPr="00A23740">
              <w:rPr>
                <w:szCs w:val="24"/>
              </w:rPr>
              <w:t xml:space="preserve"> d</w:t>
            </w:r>
            <w:r w:rsidR="00157472" w:rsidRPr="00A23740">
              <w:rPr>
                <w:szCs w:val="24"/>
              </w:rPr>
              <w:t>a</w:t>
            </w:r>
            <w:r w:rsidRPr="00A23740">
              <w:rPr>
                <w:szCs w:val="24"/>
              </w:rPr>
              <w:t xml:space="preserve"> ayrıca bir düzenleme yer almaktaydı. Dolayısıyla, istihkak iddiasına ilişkin prosedür hiç işletilmeden, mahcuz üzerindeki hak iddialarının, doğrudan doğruya istihkak davası açılması suretiyle ileri sürülmesi, 2004 sayılı Kanun hükümlerine göre de zaten mümkündü. İstihkak davası hakkında yapılan esaslı sayılabilecek bu sistem değişikliği, doğal olarak Kanunun istihkak davasına ilişkin hükümlerinin bu esasa göre düzenlenmesi zorunluluğunu doğurmuştur. </w:t>
            </w:r>
          </w:p>
          <w:p w:rsidR="009917DB" w:rsidRPr="00A23740" w:rsidRDefault="009917DB" w:rsidP="009431FF">
            <w:pPr>
              <w:ind w:firstLine="709"/>
              <w:rPr>
                <w:szCs w:val="24"/>
              </w:rPr>
            </w:pPr>
            <w:r w:rsidRPr="00A23740">
              <w:rPr>
                <w:szCs w:val="24"/>
              </w:rPr>
              <w:t>Bu bağlamda getirilen yeni düzenlemeye göre, mahcuzun borçlu elinde haczedilmesi h</w:t>
            </w:r>
            <w:r w:rsidR="00C2196C" w:rsidRPr="00A23740">
              <w:rPr>
                <w:szCs w:val="24"/>
              </w:rPr>
              <w:t>â</w:t>
            </w:r>
            <w:r w:rsidRPr="00A23740">
              <w:rPr>
                <w:szCs w:val="24"/>
              </w:rPr>
              <w:t>linde, üçüncü kişi, mahcuz üzerinde</w:t>
            </w:r>
            <w:r w:rsidR="001B054D" w:rsidRPr="00A23740">
              <w:rPr>
                <w:szCs w:val="24"/>
              </w:rPr>
              <w:t xml:space="preserve"> </w:t>
            </w:r>
            <w:r w:rsidR="001B054D" w:rsidRPr="00075A70">
              <w:t>433 üncü</w:t>
            </w:r>
            <w:r w:rsidRPr="00A23740">
              <w:rPr>
                <w:szCs w:val="24"/>
              </w:rPr>
              <w:t xml:space="preserve"> maddenin </w:t>
            </w:r>
            <w:r w:rsidR="00157472" w:rsidRPr="00A23740">
              <w:rPr>
                <w:szCs w:val="24"/>
              </w:rPr>
              <w:t>biri</w:t>
            </w:r>
            <w:r w:rsidRPr="00A23740">
              <w:rPr>
                <w:szCs w:val="24"/>
              </w:rPr>
              <w:t>nci fıkrasında ifade edilen nitelikte bir hakka sahip olduğu iddiasını, artık doğrudan istihkak davası açmak suretiyle ileri sürebilecektir. Ancak benimsenen sistem değişikliği nedeniyle, istihkak davası açma süresi artık 2004 sayılı  Kanunun</w:t>
            </w:r>
            <w:r w:rsidR="00157472" w:rsidRPr="00A23740">
              <w:rPr>
                <w:szCs w:val="24"/>
              </w:rPr>
              <w:t xml:space="preserve"> 97 inci maddesinin altıncı fıkrasında</w:t>
            </w:r>
            <w:r w:rsidRPr="00A23740">
              <w:rPr>
                <w:szCs w:val="24"/>
              </w:rPr>
              <w:t xml:space="preserve"> ifade edilen tarihten itibaren </w:t>
            </w:r>
            <w:r w:rsidR="005D321C" w:rsidRPr="00A23740">
              <w:rPr>
                <w:szCs w:val="24"/>
              </w:rPr>
              <w:t xml:space="preserve">işlemeye </w:t>
            </w:r>
            <w:r w:rsidRPr="00A23740">
              <w:rPr>
                <w:szCs w:val="24"/>
              </w:rPr>
              <w:t xml:space="preserve">başlamayacak, aksine haczi öğrenme tarihinden itibaren </w:t>
            </w:r>
            <w:r w:rsidR="005D321C" w:rsidRPr="00A23740">
              <w:rPr>
                <w:szCs w:val="24"/>
              </w:rPr>
              <w:t xml:space="preserve">işlemeye </w:t>
            </w:r>
            <w:r w:rsidRPr="00A23740">
              <w:rPr>
                <w:szCs w:val="24"/>
              </w:rPr>
              <w:t xml:space="preserve">başlayacaktır. Getirilen yeni düzenlemeye göre, istihkak davasının açılma tarihi bakımından haczin öğrenilme tarihinin özel bir öneme sahip olduğunu belirtmek gerekir. Dolayısıyla haczin öğrenilme tarihi </w:t>
            </w:r>
            <w:r w:rsidRPr="00075A70">
              <w:t>hususunda</w:t>
            </w:r>
            <w:r w:rsidR="00157472" w:rsidRPr="00075A70">
              <w:t xml:space="preserve"> </w:t>
            </w:r>
            <w:r w:rsidR="001B054D" w:rsidRPr="00075A70">
              <w:t>433 üncü</w:t>
            </w:r>
            <w:r w:rsidR="00157472" w:rsidRPr="00A23740">
              <w:rPr>
                <w:szCs w:val="24"/>
              </w:rPr>
              <w:t xml:space="preserve"> maddesinin ikinci fıkrası </w:t>
            </w:r>
            <w:r w:rsidRPr="00A23740">
              <w:rPr>
                <w:szCs w:val="24"/>
              </w:rPr>
              <w:t>hükmü ile</w:t>
            </w:r>
            <w:r w:rsidR="00157472" w:rsidRPr="00A23740">
              <w:rPr>
                <w:szCs w:val="24"/>
              </w:rPr>
              <w:t xml:space="preserve"> </w:t>
            </w:r>
            <w:r w:rsidR="001B054D" w:rsidRPr="00075A70">
              <w:t>434 üncü</w:t>
            </w:r>
            <w:r w:rsidR="00157472" w:rsidRPr="00A23740">
              <w:rPr>
                <w:szCs w:val="24"/>
              </w:rPr>
              <w:t xml:space="preserve"> maddesinin birinci fıkrası </w:t>
            </w:r>
            <w:r w:rsidRPr="00A23740">
              <w:rPr>
                <w:szCs w:val="24"/>
              </w:rPr>
              <w:t xml:space="preserve">hükmünün birlikte değerlendirilmesi gerekir. </w:t>
            </w:r>
          </w:p>
          <w:p w:rsidR="009917DB" w:rsidRPr="00A23740" w:rsidRDefault="009917DB" w:rsidP="009431FF">
            <w:pPr>
              <w:ind w:firstLine="709"/>
              <w:rPr>
                <w:szCs w:val="24"/>
              </w:rPr>
            </w:pPr>
            <w:r w:rsidRPr="00A23740">
              <w:rPr>
                <w:szCs w:val="24"/>
              </w:rPr>
              <w:t>Buna göre</w:t>
            </w:r>
            <w:r w:rsidR="005D321C" w:rsidRPr="00A23740">
              <w:rPr>
                <w:szCs w:val="24"/>
              </w:rPr>
              <w:t>,</w:t>
            </w:r>
            <w:r w:rsidRPr="00A23740">
              <w:rPr>
                <w:szCs w:val="24"/>
              </w:rPr>
              <w:t xml:space="preserve"> haciz üçüncü kişinin huzurunda yapılmışsa, bu h</w:t>
            </w:r>
            <w:r w:rsidR="00C2196C" w:rsidRPr="00A23740">
              <w:rPr>
                <w:szCs w:val="24"/>
              </w:rPr>
              <w:t>â</w:t>
            </w:r>
            <w:r w:rsidRPr="00A23740">
              <w:rPr>
                <w:szCs w:val="24"/>
              </w:rPr>
              <w:t xml:space="preserve">lde </w:t>
            </w:r>
            <w:r w:rsidR="00157472" w:rsidRPr="00A23740">
              <w:rPr>
                <w:szCs w:val="24"/>
              </w:rPr>
              <w:t>2004 sayılı</w:t>
            </w:r>
            <w:r w:rsidRPr="00A23740">
              <w:rPr>
                <w:szCs w:val="24"/>
              </w:rPr>
              <w:t xml:space="preserve"> Kanunun 96 ve 97 nci maddelerinde olduğu gibi ayrıca bir istihkak iddiası prosedürünün işletilmesi söz konusu olmayacaktır. Aksine, haciz huzurunda yapılan üçüncü kişinin, haciz tarihinden itibaren iki hafta içinde istihkak davasını açması gerekir. Haciz üçüncü kişinin yokluğunda yapılmışsa, o zaman</w:t>
            </w:r>
            <w:r w:rsidR="00157472" w:rsidRPr="00A23740">
              <w:rPr>
                <w:szCs w:val="24"/>
              </w:rPr>
              <w:t xml:space="preserve"> </w:t>
            </w:r>
            <w:r w:rsidR="001B054D" w:rsidRPr="00075A70">
              <w:t>433 üncü</w:t>
            </w:r>
            <w:r w:rsidR="00157472" w:rsidRPr="00A23740">
              <w:rPr>
                <w:szCs w:val="24"/>
              </w:rPr>
              <w:t xml:space="preserve"> maddenin ikinci fıkrası</w:t>
            </w:r>
            <w:r w:rsidRPr="00A23740">
              <w:rPr>
                <w:szCs w:val="24"/>
              </w:rPr>
              <w:t xml:space="preserve"> hükmüne göre üçüncü kişi lehine bir istihkak iddiasının ileri sürülüp sürülmediğine bakılmalıdır. Eğer haciz esnasında</w:t>
            </w:r>
            <w:r w:rsidR="00157472" w:rsidRPr="00A23740">
              <w:rPr>
                <w:szCs w:val="24"/>
              </w:rPr>
              <w:t xml:space="preserve"> </w:t>
            </w:r>
            <w:r w:rsidR="001B054D" w:rsidRPr="00075A70">
              <w:t>433 üncü</w:t>
            </w:r>
            <w:r w:rsidR="00157472" w:rsidRPr="00A23740">
              <w:rPr>
                <w:szCs w:val="24"/>
              </w:rPr>
              <w:t xml:space="preserve"> maddenin ikinci fıkrası </w:t>
            </w:r>
            <w:r w:rsidRPr="00A23740">
              <w:rPr>
                <w:szCs w:val="24"/>
              </w:rPr>
              <w:t xml:space="preserve">hükmüne göre üçüncü kişi lehine bir istihkak iddiasında bulunulmuşsa, bu iddia üçüncü kişiye tebliğ edilecek ve üçüncü kişi bakımından istihkak davası açma süresi tebliğ tarihinden itibaren </w:t>
            </w:r>
            <w:r w:rsidR="005D321C" w:rsidRPr="00A23740">
              <w:rPr>
                <w:szCs w:val="24"/>
              </w:rPr>
              <w:t xml:space="preserve">işlemeye </w:t>
            </w:r>
            <w:r w:rsidRPr="00A23740">
              <w:rPr>
                <w:szCs w:val="24"/>
              </w:rPr>
              <w:t>başlayacaktır. Üçüncü kişi lehine bir istihkak iddiasında bulunulmayan h</w:t>
            </w:r>
            <w:r w:rsidR="00C2196C" w:rsidRPr="00A23740">
              <w:rPr>
                <w:szCs w:val="24"/>
              </w:rPr>
              <w:t>â</w:t>
            </w:r>
            <w:r w:rsidRPr="00A23740">
              <w:rPr>
                <w:szCs w:val="24"/>
              </w:rPr>
              <w:t xml:space="preserve">llerde ise iki haftalık dava açma süresi, </w:t>
            </w:r>
            <w:r w:rsidRPr="00A23740">
              <w:rPr>
                <w:bCs/>
                <w:szCs w:val="24"/>
              </w:rPr>
              <w:t>üçüncü kişinin</w:t>
            </w:r>
            <w:r w:rsidRPr="00A23740">
              <w:rPr>
                <w:szCs w:val="24"/>
              </w:rPr>
              <w:t xml:space="preserve"> haczi öğrendiği veya öğrenmiş sayıldığı tarihten itibaren </w:t>
            </w:r>
            <w:r w:rsidR="005D321C" w:rsidRPr="00A23740">
              <w:rPr>
                <w:szCs w:val="24"/>
              </w:rPr>
              <w:t xml:space="preserve">işlemeye </w:t>
            </w:r>
            <w:r w:rsidRPr="00A23740">
              <w:rPr>
                <w:szCs w:val="24"/>
              </w:rPr>
              <w:t xml:space="preserve">başlayacaktır. Üçüncü kişinin haczi öğrendiği veya öğrenmiş sayıldığı tarihin belirlenmesinde, </w:t>
            </w:r>
            <w:r w:rsidR="001B054D" w:rsidRPr="00075A70">
              <w:t>433 üncü</w:t>
            </w:r>
            <w:r w:rsidRPr="00A23740">
              <w:rPr>
                <w:szCs w:val="24"/>
              </w:rPr>
              <w:t xml:space="preserve"> maddenin </w:t>
            </w:r>
            <w:r w:rsidR="00157472" w:rsidRPr="00A23740">
              <w:rPr>
                <w:szCs w:val="24"/>
              </w:rPr>
              <w:t>iki</w:t>
            </w:r>
            <w:r w:rsidRPr="00A23740">
              <w:rPr>
                <w:szCs w:val="24"/>
              </w:rPr>
              <w:t xml:space="preserve">nci fıkrası dikkate alınacaktır. Ayrıca birinci fıkrada geçen “üçüncü kişi” </w:t>
            </w:r>
            <w:r w:rsidR="005D321C" w:rsidRPr="00A23740">
              <w:rPr>
                <w:szCs w:val="24"/>
              </w:rPr>
              <w:t xml:space="preserve">terimiyle </w:t>
            </w:r>
            <w:r w:rsidRPr="00A23740">
              <w:rPr>
                <w:szCs w:val="24"/>
              </w:rPr>
              <w:t xml:space="preserve">kastedilenin, bizatihi (kendisi) istihkak iddiasında buluna üçüncü kişi ya da lehine istihkak iddiasında bulunulan üçüncü kişi olduğunu belirtmek gerekir. Nihayet hak iddiasının artık doğrudan dava açılması suretiyle ileri sürülecek olması nedeniyle, mevcut metindeki 7 günlük dava açma süresinin yetersiz olduğu kanaatine varılmış, bu nedenle dava açma süresinin iki haftaya çıkartılmasına karar verilmiştir. </w:t>
            </w:r>
          </w:p>
          <w:p w:rsidR="009917DB" w:rsidRPr="00A23740" w:rsidRDefault="009917DB" w:rsidP="009431FF">
            <w:pPr>
              <w:ind w:firstLine="709"/>
              <w:rPr>
                <w:szCs w:val="24"/>
              </w:rPr>
            </w:pPr>
            <w:r w:rsidRPr="00A23740">
              <w:rPr>
                <w:szCs w:val="24"/>
              </w:rPr>
              <w:t xml:space="preserve">Burada belirtilmesi gereken diğer bir husus ise, istihkak davasının süresine ilişkin </w:t>
            </w:r>
            <w:r w:rsidRPr="00075A70">
              <w:t>olarak</w:t>
            </w:r>
            <w:r w:rsidR="001B054D" w:rsidRPr="00075A70">
              <w:t xml:space="preserve"> 19</w:t>
            </w:r>
            <w:r w:rsidR="00E43CB3" w:rsidRPr="00075A70">
              <w:t>5 inci</w:t>
            </w:r>
            <w:r w:rsidRPr="00A23740">
              <w:rPr>
                <w:szCs w:val="24"/>
              </w:rPr>
              <w:t xml:space="preserve"> maddenin </w:t>
            </w:r>
            <w:r w:rsidR="00157472" w:rsidRPr="00A23740">
              <w:rPr>
                <w:szCs w:val="24"/>
              </w:rPr>
              <w:t>üç</w:t>
            </w:r>
            <w:r w:rsidRPr="00A23740">
              <w:rPr>
                <w:szCs w:val="24"/>
              </w:rPr>
              <w:t>üncü fıkrası</w:t>
            </w:r>
            <w:r w:rsidR="00157472" w:rsidRPr="00A23740">
              <w:rPr>
                <w:szCs w:val="24"/>
              </w:rPr>
              <w:t>nda</w:t>
            </w:r>
            <w:r w:rsidRPr="00A23740">
              <w:rPr>
                <w:szCs w:val="24"/>
              </w:rPr>
              <w:t xml:space="preserve"> yer alan düzenlemenin göz ardı edilmemesi gerektiğidir. Söz konusu hükme göre icra </w:t>
            </w:r>
            <w:r w:rsidR="00B73523" w:rsidRPr="00075A70">
              <w:t xml:space="preserve">ve iflas </w:t>
            </w:r>
            <w:r w:rsidRPr="00075A70">
              <w:t>dairesinin</w:t>
            </w:r>
            <w:r w:rsidRPr="00A23740">
              <w:rPr>
                <w:szCs w:val="24"/>
              </w:rPr>
              <w:t xml:space="preserve"> malın kimin elinde haczedilmiş sayıldığına ilişkin kararına karşı şikâyet yoluna başvurulması h</w:t>
            </w:r>
            <w:r w:rsidR="00C2196C" w:rsidRPr="00A23740">
              <w:rPr>
                <w:szCs w:val="24"/>
              </w:rPr>
              <w:t>â</w:t>
            </w:r>
            <w:r w:rsidRPr="00A23740">
              <w:rPr>
                <w:szCs w:val="24"/>
              </w:rPr>
              <w:t xml:space="preserve">linde, şikâyet sonuçlanıncaya kadar (ki icra hukuk mahkemesinin bu husustaki şikâyet hakkında vereceği kararın kesin olduğunu da belirtmek gerekir) istihkak davası açma süresi işlemeyecektir. </w:t>
            </w:r>
          </w:p>
          <w:p w:rsidR="009917DB" w:rsidRPr="00A23740" w:rsidRDefault="009917DB" w:rsidP="009431FF">
            <w:pPr>
              <w:ind w:firstLine="709"/>
              <w:rPr>
                <w:szCs w:val="24"/>
              </w:rPr>
            </w:pPr>
            <w:r w:rsidRPr="00A23740">
              <w:rPr>
                <w:szCs w:val="24"/>
              </w:rPr>
              <w:t>İkinci fıkrada, istihkak davasının hangi ana kadar açılabileceği düzenlenmiştir. Fıkra</w:t>
            </w:r>
            <w:r w:rsidR="00157472" w:rsidRPr="00A23740">
              <w:rPr>
                <w:szCs w:val="24"/>
              </w:rPr>
              <w:t>,</w:t>
            </w:r>
            <w:r w:rsidRPr="00A23740">
              <w:rPr>
                <w:szCs w:val="24"/>
              </w:rPr>
              <w:t xml:space="preserve"> 2004 sayılı Kanunun</w:t>
            </w:r>
            <w:r w:rsidR="00157472" w:rsidRPr="00A23740">
              <w:rPr>
                <w:szCs w:val="24"/>
              </w:rPr>
              <w:t xml:space="preserve"> 97 inci maddesinin dokuzuncu fıkrası </w:t>
            </w:r>
            <w:r w:rsidRPr="00A23740">
              <w:rPr>
                <w:szCs w:val="24"/>
              </w:rPr>
              <w:t>hükmünü</w:t>
            </w:r>
            <w:r w:rsidR="00157472" w:rsidRPr="00A23740">
              <w:rPr>
                <w:szCs w:val="24"/>
              </w:rPr>
              <w:t>n</w:t>
            </w:r>
            <w:r w:rsidRPr="00A23740">
              <w:rPr>
                <w:szCs w:val="24"/>
              </w:rPr>
              <w:t xml:space="preserve"> kısmen karşılığıdır. Nitekim </w:t>
            </w:r>
            <w:r w:rsidR="00157472" w:rsidRPr="00A23740">
              <w:rPr>
                <w:szCs w:val="24"/>
              </w:rPr>
              <w:t>2004 sayılı</w:t>
            </w:r>
            <w:r w:rsidRPr="00A23740">
              <w:rPr>
                <w:szCs w:val="24"/>
              </w:rPr>
              <w:t xml:space="preserve"> Kanunun</w:t>
            </w:r>
            <w:r w:rsidR="00157472" w:rsidRPr="00A23740">
              <w:rPr>
                <w:szCs w:val="24"/>
              </w:rPr>
              <w:t xml:space="preserve"> 97 inci maddesinin dokuzuncu fıkrası</w:t>
            </w:r>
            <w:r w:rsidR="005D321C" w:rsidRPr="00A23740">
              <w:rPr>
                <w:szCs w:val="24"/>
              </w:rPr>
              <w:t>nda da</w:t>
            </w:r>
            <w:r w:rsidRPr="00A23740">
              <w:rPr>
                <w:szCs w:val="24"/>
              </w:rPr>
              <w:t xml:space="preserve"> benzer düzenleme yer almaktadır. Mahcuz henüz satılmamış ise zaten bir sorun bulunmayacağından ve bizatihi mahcuz hakkında dava açılabileceğinden, bu hususa fıkra metninde ayrıca yer verilmesine gerek görülmemiştir. Ancak mahcuz satılmış</w:t>
            </w:r>
            <w:r w:rsidR="005D321C" w:rsidRPr="00A23740">
              <w:rPr>
                <w:szCs w:val="24"/>
              </w:rPr>
              <w:t>sa</w:t>
            </w:r>
            <w:r w:rsidRPr="00A23740">
              <w:rPr>
                <w:szCs w:val="24"/>
              </w:rPr>
              <w:t xml:space="preserve"> dava en geç mahcuzun satış bedelinin alacaklıya ödenmesine kadar açılabilecektir. Mahcuzun satış bedelinin birden fazla alacaklı arasında paylaştırılması gereken h</w:t>
            </w:r>
            <w:r w:rsidR="00C2196C" w:rsidRPr="00A23740">
              <w:rPr>
                <w:szCs w:val="24"/>
              </w:rPr>
              <w:t>â</w:t>
            </w:r>
            <w:r w:rsidRPr="00A23740">
              <w:rPr>
                <w:szCs w:val="24"/>
              </w:rPr>
              <w:t>llerde, istihkak davasının, mahcuzun bedelinin paylaştırılmasına kadar açı</w:t>
            </w:r>
            <w:r w:rsidR="0012005A" w:rsidRPr="00A23740">
              <w:rPr>
                <w:szCs w:val="24"/>
              </w:rPr>
              <w:t>labileceğini belirtmek gerekir.</w:t>
            </w:r>
            <w:r w:rsidRPr="00A23740">
              <w:rPr>
                <w:szCs w:val="24"/>
              </w:rPr>
              <w:t xml:space="preserve"> Nitekim İsviçre hukukunda da (</w:t>
            </w:r>
            <w:r w:rsidR="005D321C" w:rsidRPr="00A23740">
              <w:rPr>
                <w:szCs w:val="24"/>
              </w:rPr>
              <w:t xml:space="preserve">İsv.İİK </w:t>
            </w:r>
            <w:r w:rsidRPr="00A23740">
              <w:rPr>
                <w:szCs w:val="24"/>
              </w:rPr>
              <w:t>m. 106/2) istihkak davasının, davaya konu mahcuz malın bedelinin paylaştırılmasına kadar açılabileceği açıkça ifade edilmiştir. Dolayısıyla, mahcuzun satış bedelinin alacaklıya ödenmesinden sonra artık hacizde istihkak davası açılması mümkün olmayacaktır. Çünkü mahcuz malın bedelinin alacaklıya verilmesiyle, icra takibi hiç değilse söz konusu mahcuz bakımından sona ermiş olacağından, artık hacizde istihkak davası açma olanağı da ortadan kalkmış olacaktır. Öte yandan ikinci fıkrada, haczedilenin satılmasından söz edildiği için, bu satışın açık artırma ya da pazarlık suretiyle yapılmasının bir önemi bulunmayacaktır. Ayrıca borçluya satış yetkisi verilen h</w:t>
            </w:r>
            <w:r w:rsidR="001B054D" w:rsidRPr="00A23740">
              <w:rPr>
                <w:szCs w:val="24"/>
              </w:rPr>
              <w:t>â</w:t>
            </w:r>
            <w:r w:rsidRPr="00A23740">
              <w:rPr>
                <w:szCs w:val="24"/>
              </w:rPr>
              <w:t>llerde de satış bedelinin alacaklıya ödenmesine kadar, satılan malın bedeli hakkında istihkak davası açılabileceğinde tereddüt etmemek gerekir. Belirtmek gerekir ki, açılmış bir istihkak davasında, hüküm verilmeden önce mahcuzun satılması h</w:t>
            </w:r>
            <w:r w:rsidR="001B054D" w:rsidRPr="00A23740">
              <w:rPr>
                <w:szCs w:val="24"/>
              </w:rPr>
              <w:t>â</w:t>
            </w:r>
            <w:r w:rsidRPr="00A23740">
              <w:rPr>
                <w:szCs w:val="24"/>
              </w:rPr>
              <w:t>linde, davaya satış bedeli üzerinden devam edileceği hususu zaten</w:t>
            </w:r>
            <w:r w:rsidR="001B054D" w:rsidRPr="00A23740">
              <w:rPr>
                <w:szCs w:val="24"/>
              </w:rPr>
              <w:t xml:space="preserve"> </w:t>
            </w:r>
            <w:r w:rsidR="001B054D" w:rsidRPr="00075A70">
              <w:t>437 nci</w:t>
            </w:r>
            <w:r w:rsidRPr="00A23740">
              <w:rPr>
                <w:szCs w:val="24"/>
              </w:rPr>
              <w:t xml:space="preserve"> maddenin </w:t>
            </w:r>
            <w:r w:rsidR="00157472" w:rsidRPr="00A23740">
              <w:rPr>
                <w:szCs w:val="24"/>
              </w:rPr>
              <w:t>iki</w:t>
            </w:r>
            <w:r w:rsidRPr="00A23740">
              <w:rPr>
                <w:szCs w:val="24"/>
              </w:rPr>
              <w:t xml:space="preserve">nci fıkrasında ayrıca düzenlenmiş bulunmaktadır </w:t>
            </w:r>
          </w:p>
          <w:p w:rsidR="009917DB" w:rsidRPr="00A23740" w:rsidRDefault="009917DB" w:rsidP="009431FF">
            <w:pPr>
              <w:ind w:firstLine="709"/>
              <w:rPr>
                <w:szCs w:val="24"/>
              </w:rPr>
            </w:pPr>
            <w:r w:rsidRPr="00A23740">
              <w:rPr>
                <w:szCs w:val="24"/>
              </w:rPr>
              <w:t>Üçüncü fıkrada süresinde istihkak davası açılmamasının sonucu düzenlemiştir. Fıkra, 2004 sayılı Kanunun</w:t>
            </w:r>
            <w:r w:rsidR="00157472" w:rsidRPr="00A23740">
              <w:rPr>
                <w:szCs w:val="24"/>
              </w:rPr>
              <w:t xml:space="preserve"> 97 nci maddesinin dokuzuncu fıkrası</w:t>
            </w:r>
            <w:r w:rsidR="003F4D1D" w:rsidRPr="00A23740">
              <w:rPr>
                <w:szCs w:val="24"/>
              </w:rPr>
              <w:t>nın</w:t>
            </w:r>
            <w:r w:rsidRPr="00A23740">
              <w:rPr>
                <w:szCs w:val="24"/>
              </w:rPr>
              <w:t xml:space="preserve"> ikinci cümlesinin karşılığı olmakla birlikte, içerik açısından söz konusu hükümden oldukça farklı bir sonucu içermektedir. Şöyle ki </w:t>
            </w:r>
            <w:r w:rsidR="003F4D1D" w:rsidRPr="00A23740">
              <w:rPr>
                <w:szCs w:val="24"/>
              </w:rPr>
              <w:t>2004 sayılı Kanunudaki</w:t>
            </w:r>
            <w:r w:rsidRPr="00A23740">
              <w:rPr>
                <w:szCs w:val="24"/>
              </w:rPr>
              <w:t xml:space="preserve"> hükme göre davanın süresi içinde açılmaması h</w:t>
            </w:r>
            <w:r w:rsidR="001B054D" w:rsidRPr="00A23740">
              <w:rPr>
                <w:szCs w:val="24"/>
              </w:rPr>
              <w:t>â</w:t>
            </w:r>
            <w:r w:rsidRPr="00A23740">
              <w:rPr>
                <w:szCs w:val="24"/>
              </w:rPr>
              <w:t>linde, üçüncü kişi aynı takipte istihkak iddiasını bir daha ileri sürme hakkını kaybetmektedir. Diğer bir deyişle</w:t>
            </w:r>
            <w:r w:rsidR="00640073" w:rsidRPr="00A23740">
              <w:rPr>
                <w:szCs w:val="24"/>
              </w:rPr>
              <w:t>,</w:t>
            </w:r>
            <w:r w:rsidRPr="00A23740">
              <w:rPr>
                <w:szCs w:val="24"/>
              </w:rPr>
              <w:t xml:space="preserve"> aynı takipte mal üzerine yeniden haciz konulmuş olsa bile üçüncü kişi söz konusu istihkak iddiasını aynı takip içinde bir daha ileri süremeyecektir. Bunun üçüncü kişi bakımından ağır bir sonuç olacağı düşünülmüştür. Esasen hacizde istihkak davası, belli bir mal ya da hak üzerine haciz konulması olgusundan kaynaklanmakta ve dava</w:t>
            </w:r>
            <w:r w:rsidR="00640073" w:rsidRPr="00A23740">
              <w:rPr>
                <w:szCs w:val="24"/>
              </w:rPr>
              <w:t>yla</w:t>
            </w:r>
            <w:r w:rsidRPr="00A23740">
              <w:rPr>
                <w:szCs w:val="24"/>
              </w:rPr>
              <w:t xml:space="preserve"> bu somut haciz işlemine karşı çıkılmaktadır. Yargıtay kararlarında da kabul edildiği üzere istihkak davasının açılabilmesi için geçerli bir haciz konulmuş olması yeterlidir. Bu nedenle istihkak davasının açılması bakımından her bir haczin ayrı ayrı dikkate alınmasının daha doğru ve adil olacağı değerlendirilmiştir. Dolayısıyla getirilen yeni hükme göre, istihkak davası süresi içinde açılmazsa, üçüncü kişi aynı takipte istihkak iddiasını ileri sürme hakkını tamamen kaybetmeyecek, sadece o haciz bakımından ve sadece haciz koyduran alacaklıya karşı istihkak iddiasından vazgeçmiş sayılacaktır. Üçüncü kişi süresinde istihkak davası açmamakla, diğer alacaklılara ya da borçluya karşı sahip olacağı hak ve iddialardan vazgeçmiş olmayacaktır. İstihkak davası açma süresinin kaçırılması nedeniyle istihkak iddiasında bulunamayan üçüncü kişi, aynı mal ya da hak üzerine aynı takipte yeniden haciz konulması h</w:t>
            </w:r>
            <w:r w:rsidR="00C2196C" w:rsidRPr="00A23740">
              <w:rPr>
                <w:szCs w:val="24"/>
              </w:rPr>
              <w:t>â</w:t>
            </w:r>
            <w:r w:rsidRPr="00A23740">
              <w:rPr>
                <w:szCs w:val="24"/>
              </w:rPr>
              <w:t xml:space="preserve">linde, bu hacze karşı istihkak iddiasında bulunma ve dolayısıyla istihkak davası açma hakkını haiz olacaktır. </w:t>
            </w:r>
          </w:p>
          <w:p w:rsidR="009917DB" w:rsidRPr="00A23740" w:rsidRDefault="009917DB" w:rsidP="009431FF">
            <w:pPr>
              <w:ind w:firstLine="709"/>
              <w:rPr>
                <w:szCs w:val="24"/>
              </w:rPr>
            </w:pPr>
            <w:r w:rsidRPr="00A23740">
              <w:rPr>
                <w:szCs w:val="24"/>
              </w:rPr>
              <w:t>Dördüncü fıkrada istihkak davasında yetkili mahkemeleri düzenlemektedir. Aynı zamanda davanın icra hukuk mahkemesinde açılacağı belirtilmek suretiyle görevli mahkeme</w:t>
            </w:r>
            <w:r w:rsidR="00640073" w:rsidRPr="00A23740">
              <w:rPr>
                <w:szCs w:val="24"/>
              </w:rPr>
              <w:t xml:space="preserve"> </w:t>
            </w:r>
            <w:r w:rsidRPr="00A23740">
              <w:rPr>
                <w:szCs w:val="24"/>
              </w:rPr>
              <w:t xml:space="preserve">de belirlenmiş olmaktadır. Buna göre istihkak davası, davalının yerleşim yeri veya takibin yapıldığı yer icra hukuk mahkemesinde açılabilecektir. İstihkak davasında yetkili mahkeme hususunda mülga 1086 </w:t>
            </w:r>
            <w:r w:rsidR="003F4D1D" w:rsidRPr="00A23740">
              <w:rPr>
                <w:szCs w:val="24"/>
              </w:rPr>
              <w:t>sayılı Hukuk</w:t>
            </w:r>
            <w:r w:rsidR="003E7FF9" w:rsidRPr="00075A70">
              <w:t xml:space="preserve"> Usulü</w:t>
            </w:r>
            <w:r w:rsidR="003F4D1D" w:rsidRPr="00A23740">
              <w:rPr>
                <w:szCs w:val="24"/>
              </w:rPr>
              <w:t xml:space="preserve"> Muhakemeleri Kanununun 512 nci maddesi </w:t>
            </w:r>
            <w:r w:rsidRPr="00A23740">
              <w:rPr>
                <w:szCs w:val="24"/>
              </w:rPr>
              <w:t xml:space="preserve">hükmündeki gibi bir düzenlemeye 6100 </w:t>
            </w:r>
            <w:r w:rsidR="003F4D1D" w:rsidRPr="00A23740">
              <w:rPr>
                <w:szCs w:val="24"/>
              </w:rPr>
              <w:t xml:space="preserve">sayılı Kanunda </w:t>
            </w:r>
            <w:r w:rsidRPr="00A23740">
              <w:rPr>
                <w:szCs w:val="24"/>
              </w:rPr>
              <w:t xml:space="preserve">yer verilmemiştir. Davanın hangi yerdeki mahkemelerde açılabileceği hususunda 2004 sayılı Kanunun istihkak davasına ilişkin hükümlerinde de özel bir düzenleme bulunmamaktaydı. 6100 sayılı </w:t>
            </w:r>
            <w:r w:rsidR="003F4D1D" w:rsidRPr="00A23740">
              <w:rPr>
                <w:szCs w:val="24"/>
              </w:rPr>
              <w:t>Kanunun</w:t>
            </w:r>
            <w:r w:rsidRPr="00A23740">
              <w:rPr>
                <w:szCs w:val="24"/>
              </w:rPr>
              <w:t xml:space="preserve"> yürürlüğe girmesinden sonra Yargıtay, istihkak davasının, davalının yerleşim yeri veya icra takibinin yapıldığı yer icra mahkemesinde açılabileceğine yönünde kararlar vermiştir. Mülga 1086 sayılı </w:t>
            </w:r>
            <w:r w:rsidR="003F4D1D" w:rsidRPr="00A23740">
              <w:rPr>
                <w:szCs w:val="24"/>
              </w:rPr>
              <w:t xml:space="preserve">Kanun </w:t>
            </w:r>
            <w:r w:rsidRPr="00A23740">
              <w:rPr>
                <w:szCs w:val="24"/>
              </w:rPr>
              <w:t xml:space="preserve">ve 2004 Sayılı </w:t>
            </w:r>
            <w:r w:rsidR="003F4D1D" w:rsidRPr="00A23740">
              <w:rPr>
                <w:szCs w:val="24"/>
              </w:rPr>
              <w:t>Kanun</w:t>
            </w:r>
            <w:r w:rsidRPr="00A23740">
              <w:rPr>
                <w:szCs w:val="24"/>
              </w:rPr>
              <w:t xml:space="preserve"> döneminde, istihkak davalarının, davalının yerleşim yeri, takibin yapıldığı yer, mahcuz malın bulunduğu yer veya haczin konulduğu yer icra mahkemelerinden herhangi birinde açılabileceği doktrinde ve Yargıtay kararlarında kabul edilmekteydi. Ancak, bu şekilde dört ayrı yetki kuralı bulunmasının, özellikle yetkili mahkemenin belirlenmesi hususunda uygulamada birtakım sorunlar yaratab</w:t>
            </w:r>
            <w:r w:rsidR="001B054D" w:rsidRPr="00A23740">
              <w:rPr>
                <w:szCs w:val="24"/>
              </w:rPr>
              <w:t>ileceği endişesiyle ve Yargıtay</w:t>
            </w:r>
            <w:r w:rsidRPr="00A23740">
              <w:rPr>
                <w:szCs w:val="24"/>
              </w:rPr>
              <w:t>ın yeni kararlarına da uygun olarak</w:t>
            </w:r>
            <w:r w:rsidR="00640073" w:rsidRPr="00A23740">
              <w:rPr>
                <w:szCs w:val="24"/>
              </w:rPr>
              <w:t>,</w:t>
            </w:r>
            <w:r w:rsidRPr="00A23740">
              <w:rPr>
                <w:szCs w:val="24"/>
              </w:rPr>
              <w:t xml:space="preserve"> istihkak davasının, davalının yerleşim yeri veya icra takibinin yapıldığı yer mahkemesinde açılabilmesinin daha uygun olacağı düşünülmüştür. Ancak istihkak davaları bakımından getirilen bu yetki kuralının, kamu düzenine ilişkin ve kesin bir yetki kuralı olmadığını da belirtmek gerekir. </w:t>
            </w:r>
          </w:p>
          <w:p w:rsidR="005C3738" w:rsidRPr="00A23740" w:rsidRDefault="005C373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Borders>
              <w:bottom w:val="single" w:sz="4" w:space="0" w:color="000000"/>
            </w:tcBorders>
          </w:tcPr>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2 – Üçüncü şahsın istihkak iddiası :</w:t>
            </w:r>
          </w:p>
          <w:p w:rsidR="00AA5C8C" w:rsidRPr="00A23740" w:rsidRDefault="00AA5C8C" w:rsidP="009431FF">
            <w:pPr>
              <w:tabs>
                <w:tab w:val="left" w:pos="567"/>
              </w:tabs>
              <w:rPr>
                <w:rFonts w:eastAsia="Times New Roman"/>
                <w:szCs w:val="24"/>
              </w:rPr>
            </w:pPr>
            <w:r w:rsidRPr="00A23740">
              <w:rPr>
                <w:rFonts w:eastAsia="Times New Roman"/>
                <w:b/>
                <w:strike/>
                <w:color w:val="FF0000"/>
                <w:szCs w:val="24"/>
              </w:rPr>
              <w:t xml:space="preserve">Madde 97 – </w:t>
            </w:r>
            <w:r w:rsidRPr="00A23740">
              <w:rPr>
                <w:rStyle w:val="KIRMIZIChar"/>
                <w:rFonts w:eastAsia="Calibri"/>
              </w:rPr>
              <w:t>(5)</w:t>
            </w:r>
            <w:r w:rsidRPr="00A23740">
              <w:rPr>
                <w:rFonts w:eastAsia="Times New Roman"/>
                <w:color w:val="000000"/>
                <w:szCs w:val="24"/>
                <w:lang w:eastAsia="tr-TR"/>
              </w:rPr>
              <w:t xml:space="preserve"> </w:t>
            </w:r>
            <w:r w:rsidRPr="00A23740">
              <w:rPr>
                <w:rFonts w:eastAsia="Times New Roman"/>
                <w:b/>
                <w:strike/>
                <w:color w:val="FF0000"/>
                <w:szCs w:val="24"/>
              </w:rPr>
              <w:t>(Değişik beşinci fıkra: 2/3/2005-</w:t>
            </w:r>
            <w:r w:rsidRPr="00A23740">
              <w:rPr>
                <w:rStyle w:val="KIRMIZIChar"/>
                <w:rFonts w:eastAsia="Calibri"/>
              </w:rPr>
              <w:t>5311/9 md.) Takibin devamına dair verilen icra mahkemesi kararı kesindir.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b/>
                <w:strike/>
                <w:color w:val="FF0000"/>
                <w:szCs w:val="24"/>
              </w:rPr>
              <w:t>İstihkak davasının sırf satışı geri bırakmak gayesiyle kötüye kullanıldığını kabul etmek için ciddi sebepler bulunduğu takdirde icra mahkemesi takibin talikı talebini reddeder.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(3)</w:t>
            </w:r>
            <w:r w:rsidRPr="00A23740">
              <w:rPr>
                <w:rFonts w:eastAsia="Times New Roman"/>
                <w:b/>
                <w:strike/>
                <w:color w:val="FF0000"/>
                <w:szCs w:val="24"/>
                <w:lang w:eastAsia="tr-TR"/>
              </w:rPr>
              <w:t xml:space="preserve"> </w:t>
            </w:r>
            <w:r w:rsidRPr="00A23740">
              <w:rPr>
                <w:rFonts w:eastAsia="Times New Roman"/>
                <w:b/>
                <w:strike/>
                <w:color w:val="FF0000"/>
                <w:szCs w:val="24"/>
              </w:rPr>
              <w:t>Takibin talikıne karar verilirse, haksız çıktığı takdirde alacaklının muhtemel zararına karşı davacıdan 36 ncı maddede gösterilen teminat alınır.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(4)</w:t>
            </w:r>
            <w:r w:rsidRPr="00A23740">
              <w:rPr>
                <w:rFonts w:eastAsia="Times New Roman"/>
                <w:color w:val="000000"/>
                <w:szCs w:val="24"/>
                <w:lang w:eastAsia="tr-TR"/>
              </w:rPr>
              <w:t xml:space="preserve"> </w:t>
            </w:r>
            <w:r w:rsidRPr="00A23740">
              <w:rPr>
                <w:rFonts w:eastAsia="Times New Roman"/>
                <w:b/>
                <w:strike/>
                <w:color w:val="FF0000"/>
                <w:szCs w:val="24"/>
              </w:rPr>
              <w:t>Teminatın cins ve miktarı mevcut delillerin mahiyetine göre takdir olunur.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(6)</w:t>
            </w:r>
            <w:r w:rsidRPr="00A23740">
              <w:rPr>
                <w:rFonts w:eastAsia="Times New Roman"/>
                <w:color w:val="000000"/>
                <w:szCs w:val="24"/>
                <w:lang w:eastAsia="tr-TR"/>
              </w:rPr>
              <w:t xml:space="preserve"> </w:t>
            </w:r>
            <w:r w:rsidRPr="00A23740">
              <w:rPr>
                <w:rFonts w:eastAsia="Times New Roman"/>
                <w:b/>
                <w:strike/>
                <w:color w:val="FF0000"/>
                <w:szCs w:val="24"/>
              </w:rPr>
              <w:t>Üçüncü şahıs, icra mahkemesi kararının tefhim veya tebliğinden itibaren yedi gün içinde icra mahkemesinde istihkak davası açmaya mecburdur. Bu müddet zarfında dava edilmediği takdirde üçüncü şahıs alacaklıya karşı iddiasından vazgeçmiş sayılır.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(7)</w:t>
            </w:r>
            <w:r w:rsidRPr="00A23740">
              <w:rPr>
                <w:rFonts w:eastAsia="Times New Roman"/>
                <w:color w:val="000000"/>
                <w:szCs w:val="24"/>
                <w:lang w:eastAsia="tr-TR"/>
              </w:rPr>
              <w:t xml:space="preserve"> </w:t>
            </w:r>
            <w:r w:rsidRPr="00A23740">
              <w:rPr>
                <w:rFonts w:eastAsia="Times New Roman"/>
                <w:szCs w:val="24"/>
              </w:rPr>
              <w:t xml:space="preserve">Kiralanan taşınmaz veya gemilerdeki hapis hakkına tabi eşya ile ilgili istihkak davaları Borçlar Kanununun </w:t>
            </w:r>
            <w:r w:rsidRPr="00A23740">
              <w:rPr>
                <w:rFonts w:eastAsia="Times New Roman"/>
                <w:b/>
                <w:strike/>
                <w:color w:val="FF0000"/>
                <w:szCs w:val="24"/>
              </w:rPr>
              <w:t>268</w:t>
            </w:r>
            <w:r w:rsidRPr="00A23740">
              <w:rPr>
                <w:rFonts w:eastAsia="Times New Roman"/>
                <w:szCs w:val="24"/>
              </w:rPr>
              <w:t xml:space="preserve"> inci maddesinin </w:t>
            </w:r>
            <w:r w:rsidRPr="00A23740">
              <w:rPr>
                <w:rStyle w:val="KIRMIZIChar"/>
                <w:rFonts w:eastAsia="Calibri"/>
              </w:rPr>
              <w:t>1 inci</w:t>
            </w:r>
            <w:r w:rsidRPr="00A23740">
              <w:rPr>
                <w:rFonts w:eastAsia="Times New Roman"/>
                <w:szCs w:val="24"/>
              </w:rPr>
              <w:t xml:space="preserve"> fıkrasında yazılı hükümlere uygun olmadıkça </w:t>
            </w:r>
            <w:r w:rsidRPr="00A23740">
              <w:rPr>
                <w:rFonts w:eastAsia="Times New Roman"/>
                <w:b/>
                <w:strike/>
                <w:color w:val="FF0000"/>
                <w:szCs w:val="24"/>
              </w:rPr>
              <w:t>talik</w:t>
            </w:r>
            <w:r w:rsidRPr="00A23740">
              <w:rPr>
                <w:rFonts w:eastAsia="Times New Roman"/>
                <w:szCs w:val="24"/>
              </w:rPr>
              <w:t xml:space="preserve"> emri verilemez. </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(8)</w:t>
            </w:r>
            <w:r w:rsidRPr="00A23740">
              <w:rPr>
                <w:rFonts w:eastAsia="Times New Roman"/>
                <w:color w:val="000000"/>
                <w:szCs w:val="24"/>
                <w:lang w:eastAsia="tr-TR"/>
              </w:rPr>
              <w:t xml:space="preserve"> </w:t>
            </w:r>
            <w:r w:rsidRPr="00A23740">
              <w:rPr>
                <w:rFonts w:eastAsia="Times New Roman"/>
                <w:b/>
                <w:strike/>
                <w:color w:val="FF0000"/>
                <w:szCs w:val="24"/>
              </w:rPr>
              <w:t>Dava esnasında 106 ncı maddedeki müddetler cereyan etmez.</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(9)</w:t>
            </w:r>
            <w:r w:rsidRPr="00A23740">
              <w:rPr>
                <w:rFonts w:eastAsia="Times New Roman"/>
                <w:color w:val="000000"/>
                <w:szCs w:val="24"/>
                <w:lang w:eastAsia="tr-TR"/>
              </w:rPr>
              <w:t xml:space="preserve"> </w:t>
            </w:r>
            <w:r w:rsidRPr="00A23740">
              <w:rPr>
                <w:rFonts w:eastAsia="Times New Roman"/>
                <w:b/>
                <w:strike/>
                <w:color w:val="FF0000"/>
                <w:szCs w:val="24"/>
              </w:rPr>
              <w:t>Yukardaki hükümler dairesinde kendisine istihkak talebinde bulunmak imkanı verilmemiş olan üçüncü şahıs, haczedilen şey hakkında veya satılıp da bedeli henüz alacaklıya verilmemişse bedeli hakkında, hacze ıttıla tarihinden itibaren yedi gün içinde, icra mahkemesinde istihkak davası açabilir. Aksi takdirde aynı takipte bu iddiayı ileri sürmek hakkını kaybeder. Bu halde davacının talebi üzerine icra hakimi takibin talik edilip edilmemesi hakkında yukardaki hükümler dairesinde acele karar vermeye mecburdur. Bu karar diğer taraf dinlenmeksizin de verilebilir.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(10)</w:t>
            </w:r>
            <w:r w:rsidRPr="00A23740">
              <w:rPr>
                <w:rFonts w:eastAsia="Times New Roman"/>
                <w:color w:val="000000"/>
                <w:szCs w:val="24"/>
                <w:lang w:eastAsia="tr-TR"/>
              </w:rPr>
              <w:t xml:space="preserve"> </w:t>
            </w:r>
            <w:r w:rsidRPr="00A23740">
              <w:rPr>
                <w:rFonts w:eastAsia="Times New Roman"/>
                <w:b/>
                <w:strike/>
                <w:color w:val="FF0000"/>
                <w:szCs w:val="24"/>
              </w:rPr>
              <w:t>İstihkak davası neticelenmeden mahcuz mal paraya çevrilmiş bulunursa icra hakimi işbu bedelin yargılama neticesine kadar ödenmemesi veya teminat karşılığında veya halin icabına göre teminatsız derhal alacaklıya verilmesi hususunda ayrıca karar verir.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(11) İstihkak davasına umumi hükümler dairesinde ve basit yargılama usulüne göre bakılır.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(12)</w:t>
            </w:r>
            <w:r w:rsidRPr="00A23740">
              <w:rPr>
                <w:rFonts w:eastAsia="Times New Roman"/>
                <w:color w:val="000000"/>
                <w:szCs w:val="24"/>
                <w:lang w:eastAsia="tr-TR"/>
              </w:rPr>
              <w:t xml:space="preserve"> </w:t>
            </w:r>
            <w:r w:rsidRPr="00A23740">
              <w:rPr>
                <w:rFonts w:eastAsia="Times New Roman"/>
                <w:b/>
                <w:strike/>
                <w:color w:val="FF0000"/>
                <w:szCs w:val="24"/>
              </w:rPr>
              <w:t>Mahcuz eşya ile ilgili olarak icra memuruna dermeyan edilen iddiada üçüncü şahıs ve borçlunun birleşmeleri alacaklıya müessir değildir. Üçüncü şahsın bu iddiasını ispat etmesi lazımdır. Ancak üçüncü şahsın mahcuz eşyanın kendisinin mülkü veya kendisine merhun olduğu hakkındaki iddiasının borçlu tarafından kabulü kendi aleyhine delil teşkil eder ve ileride bu ikrara aykırı hiçbir iddiada bulunamaz.</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(13)</w:t>
            </w:r>
            <w:r w:rsidRPr="00A23740">
              <w:rPr>
                <w:rFonts w:eastAsia="Times New Roman"/>
                <w:color w:val="000000"/>
                <w:szCs w:val="24"/>
                <w:lang w:eastAsia="tr-TR"/>
              </w:rPr>
              <w:t xml:space="preserve"> </w:t>
            </w:r>
            <w:r w:rsidRPr="00A23740">
              <w:rPr>
                <w:rFonts w:eastAsia="Times New Roman"/>
                <w:b/>
                <w:strike/>
                <w:color w:val="FF0000"/>
                <w:szCs w:val="24"/>
              </w:rPr>
              <w:t xml:space="preserve">(Değişik: 9/11/1988 - 3494/11 md.) İstihkak davası üzerine takibin talikine karar verilip de neticede dava reddolunursa alacaklının alacağından bu dava dolayısıyla istifası geciken miktarın yüzde yirmisinden aşağı olmamak üzere davacıdan tazminat alınmasına hükmolunur. </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(14)</w:t>
            </w:r>
            <w:r w:rsidRPr="00A23740">
              <w:rPr>
                <w:rFonts w:eastAsia="Times New Roman"/>
                <w:color w:val="000000"/>
                <w:szCs w:val="24"/>
                <w:lang w:eastAsia="tr-TR"/>
              </w:rPr>
              <w:t xml:space="preserve"> </w:t>
            </w:r>
            <w:r w:rsidRPr="00A23740">
              <w:rPr>
                <w:rFonts w:eastAsia="Times New Roman"/>
                <w:b/>
                <w:strike/>
                <w:color w:val="FF0000"/>
                <w:szCs w:val="24"/>
              </w:rPr>
              <w:t>(Değişik ondördüncü fıkra: 2/3/2005-5311/9 md.)Davanın reddi hakkındaki karara karşı istinaf veya temyiz yoluna başvuran istihkak davacısı icra dairesinden 36 ncı maddeye göre mühlet isteyebilir.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(15)</w:t>
            </w:r>
            <w:r w:rsidRPr="00A23740">
              <w:rPr>
                <w:rFonts w:eastAsia="Times New Roman"/>
                <w:color w:val="000000"/>
                <w:szCs w:val="24"/>
                <w:lang w:eastAsia="tr-TR"/>
              </w:rPr>
              <w:t xml:space="preserve"> </w:t>
            </w:r>
            <w:r w:rsidRPr="00A23740">
              <w:rPr>
                <w:rFonts w:eastAsia="Times New Roman"/>
                <w:b/>
                <w:strike/>
                <w:color w:val="FF0000"/>
                <w:szCs w:val="24"/>
              </w:rPr>
              <w:t>İstihkak davası sabit olur ve birinci fıkra gereğince istihkak iddiasına karşı itiraz eden alacaklı veya borçlunun kötü niyeti tahakkuk ederse haczolunan malın değerinin yüzde onbeşinden aşağı olmamak üzere itiraz edenden tazminat alınmasına asıl dava ile birlikte hükmolunur.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(16)</w:t>
            </w:r>
            <w:r w:rsidRPr="00A23740">
              <w:rPr>
                <w:rFonts w:eastAsia="Times New Roman"/>
                <w:color w:val="000000"/>
                <w:szCs w:val="24"/>
                <w:lang w:eastAsia="tr-TR"/>
              </w:rPr>
              <w:t xml:space="preserve"> </w:t>
            </w:r>
            <w:r w:rsidRPr="00A23740">
              <w:rPr>
                <w:rFonts w:eastAsia="Times New Roman"/>
                <w:b/>
                <w:strike/>
                <w:color w:val="FF0000"/>
                <w:szCs w:val="24"/>
              </w:rPr>
              <w:t>Koca aleyhine yapılmış bir hacizde karı şahsi malları üzerindeki haklarını Medeni Kanunun 160 ıncı maddesi hükmüne tabi olmaksızın kendisi takip edebilir.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(17) İstihkak davasına karşı haczi yaptıran alacaklı bu kanunun 11 inci babı hükümlerine dayanarak ve muvakkat veya kati aciz belgesi ibrazına mecbur olmaksızın mütekabilen iptal davası açabilir. Dava ve mütekabil davada tarafların gösterecekleri bütün delilleri hakim serbestce takdir eder.</w:t>
            </w: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(18)</w:t>
            </w:r>
            <w:r w:rsidRPr="00A23740">
              <w:rPr>
                <w:rFonts w:eastAsia="Times New Roman"/>
                <w:color w:val="000000"/>
                <w:szCs w:val="24"/>
                <w:lang w:eastAsia="tr-TR"/>
              </w:rPr>
              <w:t xml:space="preserve"> </w:t>
            </w:r>
            <w:r w:rsidRPr="00A23740">
              <w:rPr>
                <w:rStyle w:val="KIRMIZIChar"/>
                <w:rFonts w:eastAsia="Calibri"/>
              </w:rPr>
              <w:t>İstihkak davaları süratle ve diğer davalardan önce görülerek karara bağlanır.</w:t>
            </w:r>
          </w:p>
          <w:p w:rsidR="00AA5C8C" w:rsidRPr="00A23740" w:rsidRDefault="00AA5C8C" w:rsidP="009431FF">
            <w:pPr>
              <w:tabs>
                <w:tab w:val="left" w:pos="567"/>
              </w:tabs>
              <w:rPr>
                <w:rFonts w:eastAsia="Times New Roman"/>
                <w:szCs w:val="24"/>
              </w:rPr>
            </w:pPr>
          </w:p>
        </w:tc>
        <w:tc>
          <w:tcPr>
            <w:tcW w:w="2500" w:type="pct"/>
            <w:tcBorders>
              <w:bottom w:val="single" w:sz="4" w:space="0" w:color="000000"/>
            </w:tcBorders>
          </w:tcPr>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Takibin devamına veya ertelenmesine karar verilmesi </w:t>
            </w:r>
          </w:p>
          <w:p w:rsidR="00AA5C8C" w:rsidRPr="00A23740" w:rsidRDefault="005038A0" w:rsidP="009431FF">
            <w:pPr>
              <w:tabs>
                <w:tab w:val="left" w:pos="567"/>
              </w:tabs>
              <w:rPr>
                <w:rStyle w:val="MaviChar"/>
              </w:rPr>
            </w:pPr>
            <w:r w:rsidRPr="00A23740">
              <w:rPr>
                <w:rFonts w:eastAsia="Times New Roman"/>
                <w:b/>
                <w:color w:val="0000FF"/>
                <w:szCs w:val="24"/>
              </w:rPr>
              <w:t>MADDE 435</w:t>
            </w:r>
            <w:r w:rsidR="00AA5C8C" w:rsidRPr="00A23740">
              <w:rPr>
                <w:rFonts w:eastAsia="Times New Roman"/>
                <w:b/>
                <w:color w:val="0000FF"/>
                <w:szCs w:val="24"/>
              </w:rPr>
              <w:t>- (1) İstihkak davasında h</w:t>
            </w:r>
            <w:r w:rsidR="001B054D" w:rsidRPr="00A23740">
              <w:rPr>
                <w:rFonts w:eastAsia="Times New Roman"/>
                <w:b/>
                <w:color w:val="0000FF"/>
                <w:szCs w:val="24"/>
              </w:rPr>
              <w:t>â</w:t>
            </w:r>
            <w:r w:rsidR="00AA5C8C" w:rsidRPr="00A23740">
              <w:rPr>
                <w:rFonts w:eastAsia="Times New Roman"/>
                <w:b/>
                <w:color w:val="0000FF"/>
                <w:szCs w:val="24"/>
              </w:rPr>
              <w:t>kim, öncelikle dosya üzerinden veya</w:t>
            </w:r>
            <w:r w:rsidR="00E61F0C" w:rsidRPr="00A23740">
              <w:rPr>
                <w:rFonts w:eastAsia="Times New Roman"/>
                <w:b/>
                <w:color w:val="0000FF"/>
                <w:szCs w:val="24"/>
              </w:rPr>
              <w:t xml:space="preserve"> </w:t>
            </w:r>
            <w:r w:rsidR="00E61F0C" w:rsidRPr="00075A70">
              <w:rPr>
                <w:rStyle w:val="MaviChar"/>
              </w:rPr>
              <w:t>ihtiyaç h</w:t>
            </w:r>
            <w:r w:rsidR="001B054D" w:rsidRPr="00075A70">
              <w:rPr>
                <w:rStyle w:val="MaviChar"/>
              </w:rPr>
              <w:t>â</w:t>
            </w:r>
            <w:r w:rsidR="00E61F0C" w:rsidRPr="00075A70">
              <w:rPr>
                <w:rStyle w:val="MaviChar"/>
              </w:rPr>
              <w:t>linde</w:t>
            </w:r>
            <w:r w:rsidR="00AA5C8C" w:rsidRPr="00A23740">
              <w:rPr>
                <w:rFonts w:eastAsia="Times New Roman"/>
                <w:b/>
                <w:color w:val="0000FF"/>
                <w:szCs w:val="24"/>
              </w:rPr>
              <w:t xml:space="preserve"> </w:t>
            </w:r>
            <w:r w:rsidR="00AA5C8C" w:rsidRPr="00A23740">
              <w:rPr>
                <w:rStyle w:val="MaviChar"/>
              </w:rPr>
              <w:t>ilgilileri davet edip duruşmalı olarak yapacağı inceleme sonucunda, haczedilen hakkında talep h</w:t>
            </w:r>
            <w:r w:rsidR="001B054D" w:rsidRPr="00A23740">
              <w:rPr>
                <w:rStyle w:val="MaviChar"/>
                <w:lang w:val="tr-TR"/>
              </w:rPr>
              <w:t>â</w:t>
            </w:r>
            <w:r w:rsidR="00AA5C8C" w:rsidRPr="00A23740">
              <w:rPr>
                <w:rStyle w:val="MaviChar"/>
              </w:rPr>
              <w:t>linde ve gerektiğinde</w:t>
            </w:r>
            <w:r w:rsidR="00AA5C8C" w:rsidRPr="00A23740">
              <w:rPr>
                <w:rStyle w:val="MaviChar"/>
                <w:lang w:val="tr-TR"/>
              </w:rPr>
              <w:t xml:space="preserve"> </w:t>
            </w:r>
            <w:r w:rsidR="00AA5C8C" w:rsidRPr="00A23740">
              <w:rPr>
                <w:rStyle w:val="MaviChar"/>
              </w:rPr>
              <w:t>davacıdan 55 inci</w:t>
            </w:r>
            <w:r w:rsidR="00AA5C8C" w:rsidRPr="00A23740">
              <w:rPr>
                <w:rStyle w:val="AralkYokChar"/>
                <w:strike w:val="0"/>
                <w:lang w:val="tr-TR"/>
              </w:rPr>
              <w:t xml:space="preserve"> </w:t>
            </w:r>
            <w:r w:rsidR="00AA5C8C" w:rsidRPr="00A23740">
              <w:rPr>
                <w:rStyle w:val="MaviChar"/>
              </w:rPr>
              <w:t>maddede gösterilen türde alınacak teminat karşılığında takibin ertelenmesine tedbiren karar verebilir.</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pStyle w:val="AltKonuBal"/>
              <w:rPr>
                <w:color w:val="0000CC"/>
              </w:rPr>
            </w:pPr>
          </w:p>
          <w:p w:rsidR="00AA5C8C" w:rsidRPr="00A23740" w:rsidRDefault="00AA5C8C" w:rsidP="009431FF">
            <w:pPr>
              <w:tabs>
                <w:tab w:val="left" w:pos="567"/>
              </w:tabs>
              <w:rPr>
                <w:rFonts w:eastAsia="Times New Roman"/>
                <w:b/>
                <w:color w:val="0000CC"/>
                <w:szCs w:val="24"/>
              </w:rPr>
            </w:pPr>
          </w:p>
          <w:p w:rsidR="00965829" w:rsidRPr="00A23740" w:rsidRDefault="00965829" w:rsidP="009431FF">
            <w:pPr>
              <w:tabs>
                <w:tab w:val="left" w:pos="567"/>
              </w:tabs>
              <w:rPr>
                <w:rStyle w:val="MaviChar"/>
              </w:rPr>
            </w:pPr>
          </w:p>
          <w:p w:rsidR="00965829" w:rsidRPr="00A23740" w:rsidRDefault="00965829" w:rsidP="009431FF">
            <w:pPr>
              <w:tabs>
                <w:tab w:val="left" w:pos="567"/>
              </w:tabs>
              <w:rPr>
                <w:rStyle w:val="MaviChar"/>
              </w:rPr>
            </w:pPr>
          </w:p>
          <w:p w:rsidR="00965829" w:rsidRPr="00A23740" w:rsidRDefault="00965829" w:rsidP="009431FF">
            <w:pPr>
              <w:tabs>
                <w:tab w:val="left" w:pos="567"/>
              </w:tabs>
              <w:rPr>
                <w:rStyle w:val="MaviChar"/>
              </w:rPr>
            </w:pPr>
          </w:p>
          <w:p w:rsidR="00965829" w:rsidRPr="00A23740" w:rsidRDefault="00965829" w:rsidP="009431FF">
            <w:pPr>
              <w:tabs>
                <w:tab w:val="left" w:pos="567"/>
              </w:tabs>
              <w:rPr>
                <w:rStyle w:val="MaviChar"/>
              </w:rPr>
            </w:pPr>
          </w:p>
          <w:p w:rsidR="00965829" w:rsidRPr="00A23740" w:rsidRDefault="00965829" w:rsidP="009431FF">
            <w:pPr>
              <w:tabs>
                <w:tab w:val="left" w:pos="567"/>
              </w:tabs>
              <w:rPr>
                <w:rStyle w:val="MaviChar"/>
              </w:rPr>
            </w:pPr>
          </w:p>
          <w:p w:rsidR="00965829" w:rsidRPr="00A23740" w:rsidRDefault="00965829" w:rsidP="009431FF">
            <w:pPr>
              <w:tabs>
                <w:tab w:val="left" w:pos="567"/>
              </w:tabs>
              <w:rPr>
                <w:rStyle w:val="MaviChar"/>
              </w:rPr>
            </w:pPr>
          </w:p>
          <w:p w:rsidR="00965829" w:rsidRPr="00A23740" w:rsidRDefault="00965829" w:rsidP="009431FF">
            <w:pPr>
              <w:tabs>
                <w:tab w:val="left" w:pos="567"/>
              </w:tabs>
              <w:rPr>
                <w:rStyle w:val="MaviChar"/>
              </w:rPr>
            </w:pPr>
          </w:p>
          <w:p w:rsidR="00965829" w:rsidRDefault="00965829" w:rsidP="009431FF">
            <w:pPr>
              <w:tabs>
                <w:tab w:val="left" w:pos="567"/>
              </w:tabs>
              <w:rPr>
                <w:rStyle w:val="MaviChar"/>
              </w:rPr>
            </w:pPr>
          </w:p>
          <w:p w:rsidR="00E36534" w:rsidRDefault="00E36534" w:rsidP="009431FF">
            <w:pPr>
              <w:tabs>
                <w:tab w:val="left" w:pos="567"/>
              </w:tabs>
              <w:rPr>
                <w:rStyle w:val="MaviChar"/>
              </w:rPr>
            </w:pPr>
          </w:p>
          <w:p w:rsidR="00AF2602" w:rsidRDefault="00AF2602" w:rsidP="009431FF">
            <w:pPr>
              <w:tabs>
                <w:tab w:val="left" w:pos="567"/>
              </w:tabs>
              <w:rPr>
                <w:rStyle w:val="MaviChar"/>
              </w:rPr>
            </w:pPr>
          </w:p>
          <w:p w:rsidR="00AF2602" w:rsidRDefault="00AF2602" w:rsidP="009431FF">
            <w:pPr>
              <w:tabs>
                <w:tab w:val="left" w:pos="567"/>
              </w:tabs>
              <w:rPr>
                <w:rStyle w:val="MaviChar"/>
              </w:rPr>
            </w:pPr>
          </w:p>
          <w:p w:rsidR="00965829" w:rsidRPr="00A23740" w:rsidRDefault="00965829" w:rsidP="009431FF">
            <w:pPr>
              <w:tabs>
                <w:tab w:val="left" w:pos="567"/>
              </w:tabs>
              <w:rPr>
                <w:rStyle w:val="MaviChar"/>
              </w:rPr>
            </w:pPr>
          </w:p>
          <w:p w:rsidR="00AA5C8C" w:rsidRPr="00A23740" w:rsidRDefault="00AA5C8C" w:rsidP="009431FF">
            <w:pPr>
              <w:tabs>
                <w:tab w:val="left" w:pos="567"/>
              </w:tabs>
              <w:rPr>
                <w:rStyle w:val="MaviChar"/>
                <w:lang w:val="tr-TR"/>
              </w:rPr>
            </w:pPr>
            <w:r w:rsidRPr="00A23740">
              <w:rPr>
                <w:rStyle w:val="MaviChar"/>
              </w:rPr>
              <w:t>(2)</w:t>
            </w:r>
            <w:r w:rsidRPr="00A23740">
              <w:rPr>
                <w:rFonts w:eastAsia="Times New Roman"/>
                <w:color w:val="0000CC"/>
                <w:szCs w:val="24"/>
              </w:rPr>
              <w:t xml:space="preserve"> </w:t>
            </w:r>
            <w:r w:rsidRPr="00A23740">
              <w:rPr>
                <w:rFonts w:eastAsia="Times New Roman"/>
                <w:szCs w:val="24"/>
              </w:rPr>
              <w:t>Kiralanan taşınmazdaki hapis hakkına tabi eşya ile ilgili istihkak davaları</w:t>
            </w:r>
            <w:r w:rsidRPr="00A23740">
              <w:rPr>
                <w:rStyle w:val="MaviChar"/>
                <w:lang w:val="tr-TR"/>
              </w:rPr>
              <w:t>nda,</w:t>
            </w:r>
            <w:r w:rsidRPr="00A23740">
              <w:rPr>
                <w:rFonts w:eastAsia="Times New Roman"/>
                <w:color w:val="0000CC"/>
                <w:szCs w:val="24"/>
              </w:rPr>
              <w:t xml:space="preserve"> </w:t>
            </w:r>
            <w:r w:rsidRPr="00F76168">
              <w:rPr>
                <w:rStyle w:val="Balk1Char"/>
                <w:rFonts w:eastAsia="Calibri"/>
              </w:rPr>
              <w:t>Türk</w:t>
            </w:r>
            <w:r w:rsidRPr="00A23740">
              <w:rPr>
                <w:rFonts w:eastAsia="Times New Roman"/>
                <w:szCs w:val="24"/>
              </w:rPr>
              <w:t xml:space="preserve"> Borçlar Kanununun</w:t>
            </w:r>
            <w:r w:rsidRPr="00A23740">
              <w:rPr>
                <w:rFonts w:eastAsia="Times New Roman"/>
                <w:color w:val="0000CC"/>
                <w:szCs w:val="24"/>
              </w:rPr>
              <w:t xml:space="preserve"> </w:t>
            </w:r>
            <w:r w:rsidRPr="00A23740">
              <w:rPr>
                <w:rStyle w:val="MaviChar"/>
              </w:rPr>
              <w:t>337 nci</w:t>
            </w:r>
            <w:r w:rsidRPr="00A23740">
              <w:rPr>
                <w:rFonts w:eastAsia="Times New Roman"/>
                <w:szCs w:val="24"/>
              </w:rPr>
              <w:t xml:space="preserve"> maddesinin </w:t>
            </w:r>
            <w:r w:rsidRPr="00A23740">
              <w:rPr>
                <w:rFonts w:eastAsia="Times New Roman"/>
                <w:b/>
                <w:color w:val="0000FF"/>
                <w:szCs w:val="24"/>
              </w:rPr>
              <w:t>birinci</w:t>
            </w:r>
            <w:r w:rsidRPr="00A23740">
              <w:rPr>
                <w:rFonts w:eastAsia="Times New Roman"/>
                <w:szCs w:val="24"/>
              </w:rPr>
              <w:t xml:space="preserve"> fıkrasında yazılı hükümlere uygun olmadıkça </w:t>
            </w:r>
            <w:r w:rsidRPr="00A23740">
              <w:rPr>
                <w:rFonts w:eastAsia="Times New Roman"/>
                <w:b/>
                <w:color w:val="0000FF"/>
                <w:szCs w:val="24"/>
              </w:rPr>
              <w:t>erteleme</w:t>
            </w:r>
            <w:r w:rsidRPr="00A23740">
              <w:rPr>
                <w:rFonts w:eastAsia="Times New Roman"/>
                <w:szCs w:val="24"/>
              </w:rPr>
              <w:t xml:space="preserve"> kararı verilemez. </w:t>
            </w:r>
            <w:r w:rsidRPr="00A23740">
              <w:rPr>
                <w:rStyle w:val="MaviChar"/>
                <w:lang w:val="tr-TR"/>
              </w:rPr>
              <w:t>Bu hüküm, Türk Ticaret Kanununun dördüncü ve beşinci kitabı hük</w:t>
            </w:r>
            <w:r w:rsidR="001B054D" w:rsidRPr="00A23740">
              <w:rPr>
                <w:rStyle w:val="MaviChar"/>
                <w:lang w:val="tr-TR"/>
              </w:rPr>
              <w:t>ümleri uyarınca hapis hakkına ta</w:t>
            </w:r>
            <w:r w:rsidRPr="00A23740">
              <w:rPr>
                <w:rStyle w:val="MaviChar"/>
                <w:lang w:val="tr-TR"/>
              </w:rPr>
              <w:t>bi eşya hakkında niteliğine uygun düştüğü ölçüde uygulanır.</w:t>
            </w:r>
          </w:p>
          <w:p w:rsidR="00AA5C8C" w:rsidRPr="00A23740" w:rsidRDefault="00AA5C8C" w:rsidP="009431FF">
            <w:pPr>
              <w:tabs>
                <w:tab w:val="left" w:pos="567"/>
              </w:tabs>
              <w:rPr>
                <w:rFonts w:eastAsia="Times New Roman"/>
                <w:b/>
                <w:color w:val="FF0000"/>
                <w:szCs w:val="24"/>
              </w:rPr>
            </w:pPr>
          </w:p>
          <w:p w:rsidR="00AA5C8C" w:rsidRPr="00A23740" w:rsidRDefault="00AA5C8C" w:rsidP="009431FF">
            <w:pPr>
              <w:tabs>
                <w:tab w:val="left" w:pos="567"/>
              </w:tabs>
              <w:rPr>
                <w:rFonts w:eastAsia="Times New Roman"/>
                <w:b/>
                <w:color w:val="FF0000"/>
                <w:szCs w:val="24"/>
              </w:rPr>
            </w:pPr>
          </w:p>
          <w:p w:rsidR="00AA5C8C" w:rsidRPr="00A23740" w:rsidRDefault="00AA5C8C" w:rsidP="009431FF">
            <w:pPr>
              <w:tabs>
                <w:tab w:val="left" w:pos="567"/>
              </w:tabs>
              <w:rPr>
                <w:rFonts w:eastAsia="Times New Roman" w:cs="Calibri"/>
              </w:rPr>
            </w:pPr>
          </w:p>
          <w:p w:rsidR="00AA5C8C" w:rsidRPr="00A23740" w:rsidRDefault="00AA5C8C" w:rsidP="009431FF">
            <w:pPr>
              <w:tabs>
                <w:tab w:val="left" w:pos="567"/>
              </w:tabs>
              <w:rPr>
                <w:rFonts w:eastAsia="Times New Roman" w:cs="Calibri"/>
              </w:rPr>
            </w:pPr>
          </w:p>
          <w:p w:rsidR="00AA5C8C" w:rsidRPr="00A23740" w:rsidRDefault="00AA5C8C" w:rsidP="009431FF">
            <w:pPr>
              <w:tabs>
                <w:tab w:val="left" w:pos="567"/>
              </w:tabs>
              <w:rPr>
                <w:rFonts w:eastAsia="Times New Roman" w:cs="Calibri"/>
              </w:rPr>
            </w:pPr>
          </w:p>
          <w:p w:rsidR="00AA5C8C" w:rsidRPr="00A23740" w:rsidRDefault="00AA5C8C" w:rsidP="009431FF">
            <w:pPr>
              <w:tabs>
                <w:tab w:val="left" w:pos="567"/>
              </w:tabs>
              <w:rPr>
                <w:rFonts w:eastAsia="Times New Roman" w:cs="Calibri"/>
              </w:rPr>
            </w:pPr>
          </w:p>
          <w:p w:rsidR="00AA5C8C" w:rsidRPr="00A23740" w:rsidRDefault="00AA5C8C" w:rsidP="009431FF">
            <w:pPr>
              <w:pStyle w:val="AltKonuBal"/>
              <w:rPr>
                <w:color w:val="0000FF"/>
                <w:lang w:val="tr-TR"/>
              </w:rPr>
            </w:pPr>
          </w:p>
        </w:tc>
      </w:tr>
      <w:tr w:rsidR="005C3738" w:rsidRPr="00A23740" w:rsidTr="009431FF">
        <w:tc>
          <w:tcPr>
            <w:tcW w:w="5000" w:type="pct"/>
            <w:gridSpan w:val="2"/>
            <w:shd w:val="clear" w:color="auto" w:fill="DEEAF6"/>
          </w:tcPr>
          <w:p w:rsidR="00003743" w:rsidRPr="00A23740" w:rsidRDefault="00003743" w:rsidP="009431FF">
            <w:pPr>
              <w:ind w:firstLine="709"/>
              <w:rPr>
                <w:b/>
                <w:bCs/>
                <w:szCs w:val="24"/>
                <w:lang w:eastAsia="x-none"/>
              </w:rPr>
            </w:pPr>
          </w:p>
          <w:p w:rsidR="00DB6CE2" w:rsidRPr="00A23740" w:rsidRDefault="00DA5124" w:rsidP="009431FF">
            <w:pPr>
              <w:ind w:firstLine="709"/>
              <w:rPr>
                <w:szCs w:val="24"/>
              </w:rPr>
            </w:pPr>
            <w:r w:rsidRPr="00A23740">
              <w:rPr>
                <w:b/>
                <w:szCs w:val="24"/>
              </w:rPr>
              <w:t>MADDE</w:t>
            </w:r>
            <w:r w:rsidR="005038A0" w:rsidRPr="00A23740">
              <w:rPr>
                <w:b/>
                <w:szCs w:val="24"/>
              </w:rPr>
              <w:t xml:space="preserve"> 435</w:t>
            </w:r>
            <w:r w:rsidRPr="00A23740">
              <w:rPr>
                <w:b/>
                <w:szCs w:val="24"/>
              </w:rPr>
              <w:t>-</w:t>
            </w:r>
            <w:r w:rsidR="009917DB" w:rsidRPr="00A23740">
              <w:rPr>
                <w:szCs w:val="24"/>
              </w:rPr>
              <w:t xml:space="preserve"> </w:t>
            </w:r>
            <w:r w:rsidR="00DB6CE2" w:rsidRPr="00A23740">
              <w:rPr>
                <w:szCs w:val="24"/>
              </w:rPr>
              <w:t xml:space="preserve">Maddeyle, takibin devamına veya ertelenmesine karar verilmesine  ilişkin hususlar düzenlenmektedir. Madde 2004 sayılı Kanunun 97 nci maddesine karşılık gelmektedir. </w:t>
            </w:r>
          </w:p>
          <w:p w:rsidR="009917DB" w:rsidRPr="00A23740" w:rsidRDefault="009917DB" w:rsidP="009431FF">
            <w:pPr>
              <w:ind w:firstLine="709"/>
              <w:rPr>
                <w:szCs w:val="24"/>
              </w:rPr>
            </w:pPr>
            <w:r w:rsidRPr="00A23740">
              <w:rPr>
                <w:szCs w:val="24"/>
              </w:rPr>
              <w:t xml:space="preserve">Maddenin birinci fıkrası, 2004 sayılı </w:t>
            </w:r>
            <w:r w:rsidR="00DA5124" w:rsidRPr="00A23740">
              <w:rPr>
                <w:szCs w:val="24"/>
              </w:rPr>
              <w:t>Kanunun 97 n</w:t>
            </w:r>
            <w:r w:rsidR="00003743" w:rsidRPr="00A23740">
              <w:rPr>
                <w:szCs w:val="24"/>
              </w:rPr>
              <w:t>ci maddesinin bir, iki, üç, dört ve beşinci</w:t>
            </w:r>
            <w:r w:rsidR="00001156" w:rsidRPr="00A23740">
              <w:rPr>
                <w:szCs w:val="24"/>
              </w:rPr>
              <w:t xml:space="preserve"> fıkralarını</w:t>
            </w:r>
            <w:r w:rsidRPr="00A23740">
              <w:rPr>
                <w:szCs w:val="24"/>
              </w:rPr>
              <w:t xml:space="preserve"> karşılamakla birlikte, bazı değişiklikler içermektedir. </w:t>
            </w:r>
            <w:r w:rsidR="00AE2D1C" w:rsidRPr="00A23740">
              <w:rPr>
                <w:szCs w:val="24"/>
              </w:rPr>
              <w:t xml:space="preserve">2004 sayılı Kanundaki </w:t>
            </w:r>
            <w:r w:rsidRPr="00A23740">
              <w:rPr>
                <w:szCs w:val="24"/>
              </w:rPr>
              <w:t xml:space="preserve">düzenlemede istihkak iddiasına itiraz üzerine, hemen icra </w:t>
            </w:r>
            <w:r w:rsidR="00B73523" w:rsidRPr="00D22FBA">
              <w:rPr>
                <w:szCs w:val="24"/>
              </w:rPr>
              <w:t xml:space="preserve">ve iflas </w:t>
            </w:r>
            <w:r w:rsidRPr="00A23740">
              <w:rPr>
                <w:szCs w:val="24"/>
              </w:rPr>
              <w:t xml:space="preserve">dairesi tarafından dosya kendisine gönderilen icra mahkemesinin takibin devamına veya ertelenmesine karar vereceği hükmü yer almaktadır. Yeni düzenlemede mahkemenin sadece takibin ertelenmesine karar verebilmesine yönelik bir düzenleme yapılmış, takibin devamına karar verilebilmesine yönelik bir düzenleme yapılmamıştır. Esasen takibin devamına yönelik bir düzenleme yapılmasına gerek </w:t>
            </w:r>
            <w:r w:rsidR="00AE2D1C" w:rsidRPr="00A23740">
              <w:rPr>
                <w:szCs w:val="24"/>
              </w:rPr>
              <w:t xml:space="preserve">de </w:t>
            </w:r>
            <w:r w:rsidRPr="00A23740">
              <w:rPr>
                <w:szCs w:val="24"/>
              </w:rPr>
              <w:t>yoktur; çünkü haczedilen bir mal veya hak üzerinde salt istihkak iddiasında bulunulmuş olması zaten haczedilene yönelik icra takibinin durdurulması sonucunu doğurmaz. Kaldı ki mahkemenin takibin ertelenmesi talebini reddetmesi de zaten takibe devam edileceği anlamına gelecek, erteleme talebi kabul edilirse zaten takibe devam edilemeyecektir. Ayrıca, yeni düzenlemede istihkak davası açılması h</w:t>
            </w:r>
            <w:r w:rsidR="00C2196C" w:rsidRPr="00A23740">
              <w:rPr>
                <w:szCs w:val="24"/>
              </w:rPr>
              <w:t>â</w:t>
            </w:r>
            <w:r w:rsidRPr="00A23740">
              <w:rPr>
                <w:szCs w:val="24"/>
              </w:rPr>
              <w:t>linde mahkemenin öncelikle takibin ertelenmesine ilişkin talebi karara bağlaması gerektiği açıkça ifade edilmiştir. Mahkeme takibin ertelenmesine ilişkin talebi dosya üzerinden karara bağlayabileceği gibi</w:t>
            </w:r>
            <w:r w:rsidR="00AE2D1C" w:rsidRPr="00A23740">
              <w:rPr>
                <w:szCs w:val="24"/>
              </w:rPr>
              <w:t>,</w:t>
            </w:r>
            <w:r w:rsidRPr="00A23740">
              <w:rPr>
                <w:szCs w:val="24"/>
              </w:rPr>
              <w:t xml:space="preserve"> gerekli görürse ilgilileri davet ederek yapacağı duruşmalı inceleme sonucunda da karara bağlayabilecektir. 2004 sayılı Kanun hükümlerinden farklı olarak, yeni düzenlemeye göre, mahkemenin takibin ertelenmesine karar verebilmesi ancak talep edilmesi h</w:t>
            </w:r>
            <w:r w:rsidR="00C2196C" w:rsidRPr="00A23740">
              <w:rPr>
                <w:szCs w:val="24"/>
              </w:rPr>
              <w:t>â</w:t>
            </w:r>
            <w:r w:rsidRPr="00A23740">
              <w:rPr>
                <w:szCs w:val="24"/>
              </w:rPr>
              <w:t>linde mümkün olabilecek, mahkeme resen takibin ertelenmesine karar veremeyecektir. Mevcut düzenlemeye göre farklıl</w:t>
            </w:r>
            <w:r w:rsidR="00335C53" w:rsidRPr="00A23740">
              <w:rPr>
                <w:szCs w:val="24"/>
              </w:rPr>
              <w:t>ık gösteren hususlardan biri de</w:t>
            </w:r>
            <w:r w:rsidR="00AE2D1C" w:rsidRPr="00A23740">
              <w:rPr>
                <w:szCs w:val="24"/>
              </w:rPr>
              <w:t>,</w:t>
            </w:r>
            <w:r w:rsidRPr="00A23740">
              <w:rPr>
                <w:szCs w:val="24"/>
              </w:rPr>
              <w:t xml:space="preserve"> takibin ertelenmesine karar verilebilmesi için mutlaka teminat gösterilmesinin şart olmamasıdır. Mahkeme takibin ertelenmesine teminat gösterilmeden karar verebileceği gibi</w:t>
            </w:r>
            <w:r w:rsidR="00AE2D1C" w:rsidRPr="00A23740">
              <w:rPr>
                <w:szCs w:val="24"/>
              </w:rPr>
              <w:t>,</w:t>
            </w:r>
            <w:r w:rsidRPr="00A23740">
              <w:rPr>
                <w:szCs w:val="24"/>
              </w:rPr>
              <w:t xml:space="preserve"> gerektiğinde teminat alınmasına da karar verebilecektir. Dolayısıyla, bu konuda mahkemeye takdir hakkı tanınmıştır. Takibin ertelenmesine teminat alınarak karar verilecek h</w:t>
            </w:r>
            <w:r w:rsidR="00C2196C" w:rsidRPr="00A23740">
              <w:rPr>
                <w:szCs w:val="24"/>
              </w:rPr>
              <w:t>â</w:t>
            </w:r>
            <w:r w:rsidRPr="00A23740">
              <w:rPr>
                <w:szCs w:val="24"/>
              </w:rPr>
              <w:t xml:space="preserve">llerde, mahkeme davacıdan ancak 55 </w:t>
            </w:r>
            <w:r w:rsidR="00001156" w:rsidRPr="00A23740">
              <w:rPr>
                <w:szCs w:val="24"/>
              </w:rPr>
              <w:t>i</w:t>
            </w:r>
            <w:r w:rsidRPr="00A23740">
              <w:rPr>
                <w:szCs w:val="24"/>
              </w:rPr>
              <w:t>nci maddede gösterilen türde bir teminat alınmasına karar verebilir. Davacı</w:t>
            </w:r>
            <w:r w:rsidR="00AE2D1C" w:rsidRPr="00A23740">
              <w:rPr>
                <w:szCs w:val="24"/>
              </w:rPr>
              <w:t>,</w:t>
            </w:r>
            <w:r w:rsidRPr="00A23740">
              <w:rPr>
                <w:szCs w:val="24"/>
              </w:rPr>
              <w:t xml:space="preserve"> mahkemenin 55 </w:t>
            </w:r>
            <w:r w:rsidR="00001156" w:rsidRPr="00A23740">
              <w:rPr>
                <w:szCs w:val="24"/>
              </w:rPr>
              <w:t>i</w:t>
            </w:r>
            <w:r w:rsidRPr="00A23740">
              <w:rPr>
                <w:szCs w:val="24"/>
              </w:rPr>
              <w:t>nci</w:t>
            </w:r>
            <w:r w:rsidR="001B054D" w:rsidRPr="00A23740">
              <w:rPr>
                <w:szCs w:val="24"/>
              </w:rPr>
              <w:t xml:space="preserve"> </w:t>
            </w:r>
            <w:r w:rsidRPr="00A23740">
              <w:rPr>
                <w:szCs w:val="24"/>
              </w:rPr>
              <w:t xml:space="preserve">maddeye göre belirleyeceği teminatı göstermezse, takibin ertelenmesine karar verilemeyecektir. Öte yandan mahkemece verilen takibin ertelenmesi kararına karşı istinaf yoluna başvurulup başvurulamayacağı hususunda tereddüt yaşanmaması için fıkra metninde, söz konusu “erteleme kararının bir ihtiyati tedbir” olduğunu ifade etmek üzere “tedbiren” kavramına yer verilmiştir. Mahkemece verilen takibin ertelenmesi kararı, kesin nitelikte bir karar olmayacaktır. Böylece bu karara karşı kanun yoluna başvuru hususunda genel hükümler geçerli olacak; yani icra mahkemesinin kararına karşı istinaf yoluna başvurulabilecek; fakat burada bir ihtiyati tedbir kararı söz konusu olduğundan </w:t>
            </w:r>
            <w:r w:rsidR="00F4535F" w:rsidRPr="00A23740">
              <w:rPr>
                <w:szCs w:val="24"/>
              </w:rPr>
              <w:t xml:space="preserve">bölge adliye mahkemeleri </w:t>
            </w:r>
            <w:r w:rsidRPr="00A23740">
              <w:rPr>
                <w:szCs w:val="24"/>
              </w:rPr>
              <w:t xml:space="preserve">tarafından verilen karara karşı temyiz yolu açık olmayacaktır. </w:t>
            </w:r>
          </w:p>
          <w:p w:rsidR="005C3738" w:rsidRPr="00A23740" w:rsidRDefault="009917DB" w:rsidP="009431FF">
            <w:pPr>
              <w:ind w:firstLine="709"/>
              <w:rPr>
                <w:szCs w:val="24"/>
              </w:rPr>
            </w:pPr>
            <w:r w:rsidRPr="00A23740">
              <w:rPr>
                <w:szCs w:val="24"/>
              </w:rPr>
              <w:t>İkinci fıkranın birinci cümlesi mevcut hükmün karşılığını teşkil etmekte olup</w:t>
            </w:r>
            <w:r w:rsidR="00AE2D1C" w:rsidRPr="00A23740">
              <w:rPr>
                <w:szCs w:val="24"/>
              </w:rPr>
              <w:t>,</w:t>
            </w:r>
            <w:r w:rsidRPr="00A23740">
              <w:rPr>
                <w:szCs w:val="24"/>
              </w:rPr>
              <w:t xml:space="preserve"> esasa ilişkin bir değişiklik yapılmamıştır. İkinci cümle hükmü ise yenidir. </w:t>
            </w:r>
            <w:r w:rsidR="00AE2D1C" w:rsidRPr="00A23740">
              <w:rPr>
                <w:szCs w:val="24"/>
              </w:rPr>
              <w:t>Bu hüküm uyarınca</w:t>
            </w:r>
            <w:r w:rsidRPr="00A23740">
              <w:rPr>
                <w:szCs w:val="24"/>
              </w:rPr>
              <w:t>, gerek</w:t>
            </w:r>
            <w:r w:rsidR="00001156" w:rsidRPr="00A23740">
              <w:rPr>
                <w:szCs w:val="24"/>
              </w:rPr>
              <w:t xml:space="preserve"> 6102 sayılı</w:t>
            </w:r>
            <w:r w:rsidRPr="00A23740">
              <w:rPr>
                <w:szCs w:val="24"/>
              </w:rPr>
              <w:t xml:space="preserve"> </w:t>
            </w:r>
            <w:r w:rsidR="00DA5124" w:rsidRPr="00A23740">
              <w:rPr>
                <w:szCs w:val="24"/>
              </w:rPr>
              <w:t>Kanunun</w:t>
            </w:r>
            <w:r w:rsidR="00001156" w:rsidRPr="00A23740">
              <w:rPr>
                <w:szCs w:val="24"/>
              </w:rPr>
              <w:t xml:space="preserve"> Beşinci Kitabına </w:t>
            </w:r>
            <w:r w:rsidRPr="00A23740">
              <w:rPr>
                <w:szCs w:val="24"/>
              </w:rPr>
              <w:t xml:space="preserve">göre gemilerdeki hapis hakkına tabi eşya gerekse </w:t>
            </w:r>
            <w:r w:rsidR="00001156" w:rsidRPr="00A23740">
              <w:rPr>
                <w:szCs w:val="24"/>
              </w:rPr>
              <w:t>6102 sayılı Kanunun</w:t>
            </w:r>
            <w:r w:rsidRPr="00A23740">
              <w:rPr>
                <w:szCs w:val="24"/>
              </w:rPr>
              <w:t xml:space="preserve"> </w:t>
            </w:r>
            <w:r w:rsidR="00001156" w:rsidRPr="00A23740">
              <w:rPr>
                <w:szCs w:val="24"/>
              </w:rPr>
              <w:t xml:space="preserve">Dördüncü Kitabına </w:t>
            </w:r>
            <w:r w:rsidRPr="00A23740">
              <w:rPr>
                <w:szCs w:val="24"/>
              </w:rPr>
              <w:t>göre taşıma işlerinden kaynaklanan hapis hakkına tabi eşya hakkında açılacak istihkak davalarında birinci cümle hükmü, niteliğine uygun</w:t>
            </w:r>
            <w:r w:rsidR="00001156" w:rsidRPr="00A23740">
              <w:rPr>
                <w:szCs w:val="24"/>
              </w:rPr>
              <w:t xml:space="preserve"> düştüğü ölçüde uygulanacaktır.</w:t>
            </w:r>
          </w:p>
          <w:p w:rsidR="005C3738" w:rsidRPr="00A23740" w:rsidRDefault="005C373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Borders>
              <w:bottom w:val="single" w:sz="4" w:space="0" w:color="000000"/>
            </w:tcBorders>
          </w:tcPr>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2 – Üçüncü şahsın istihkak iddiası :</w:t>
            </w:r>
          </w:p>
          <w:p w:rsidR="00AA5C8C" w:rsidRPr="00A23740" w:rsidRDefault="00AA5C8C" w:rsidP="009431FF">
            <w:pPr>
              <w:tabs>
                <w:tab w:val="left" w:pos="567"/>
              </w:tabs>
              <w:rPr>
                <w:rFonts w:eastAsia="Times New Roman"/>
                <w:szCs w:val="24"/>
              </w:rPr>
            </w:pPr>
            <w:r w:rsidRPr="00A23740">
              <w:rPr>
                <w:rFonts w:eastAsia="Times New Roman"/>
                <w:b/>
                <w:strike/>
                <w:color w:val="FF0000"/>
                <w:szCs w:val="24"/>
              </w:rPr>
              <w:t xml:space="preserve">Madde 97 – </w:t>
            </w:r>
            <w:r w:rsidRPr="00A23740">
              <w:rPr>
                <w:rStyle w:val="KIRMIZIChar"/>
                <w:rFonts w:eastAsia="Calibri"/>
              </w:rPr>
              <w:t>(11) İstihkak davasına umumi hükümler dairesinde ve basit yargılama usulüne göre bakılır.</w:t>
            </w:r>
          </w:p>
          <w:p w:rsidR="00AA5C8C" w:rsidRPr="00A23740" w:rsidRDefault="00AA5C8C" w:rsidP="009431FF">
            <w:pPr>
              <w:tabs>
                <w:tab w:val="left" w:pos="567"/>
              </w:tabs>
              <w:rPr>
                <w:rFonts w:eastAsia="Times New Roman"/>
                <w:i/>
                <w:szCs w:val="24"/>
              </w:rPr>
            </w:pPr>
            <w:r w:rsidRPr="00A23740">
              <w:rPr>
                <w:rStyle w:val="KIRMIZIChar"/>
                <w:rFonts w:eastAsia="Calibri"/>
              </w:rPr>
              <w:t>M.97/a.F2:</w:t>
            </w:r>
            <w:r w:rsidRPr="00A23740">
              <w:rPr>
                <w:rFonts w:eastAsia="Times New Roman"/>
                <w:color w:val="000000"/>
                <w:szCs w:val="24"/>
                <w:lang w:eastAsia="tr-TR"/>
              </w:rPr>
              <w:t xml:space="preserve"> </w:t>
            </w:r>
            <w:r w:rsidRPr="00A23740">
              <w:rPr>
                <w:rFonts w:eastAsia="Times New Roman"/>
                <w:b/>
                <w:strike/>
                <w:color w:val="FF0000"/>
                <w:szCs w:val="24"/>
              </w:rPr>
              <w:t>İstihkak davacısı malı ne suretle iktisap ettiğini ve borçlunun elinde bulunmasını gerektiren hukuki ve fiili sebep ve hadiseleri göstermek ve bunları ispat etmekle mükelleftir.</w:t>
            </w:r>
          </w:p>
          <w:p w:rsidR="00AA5C8C" w:rsidRDefault="00AA5C8C" w:rsidP="009431FF">
            <w:pPr>
              <w:tabs>
                <w:tab w:val="left" w:pos="567"/>
              </w:tabs>
              <w:rPr>
                <w:rFonts w:eastAsia="Times New Roman"/>
                <w:i/>
                <w:szCs w:val="24"/>
              </w:rPr>
            </w:pPr>
          </w:p>
          <w:p w:rsidR="00277039" w:rsidRPr="00A23740" w:rsidRDefault="00277039" w:rsidP="009431FF">
            <w:pPr>
              <w:tabs>
                <w:tab w:val="left" w:pos="567"/>
              </w:tabs>
              <w:rPr>
                <w:rFonts w:eastAsia="Times New Roman"/>
                <w:i/>
                <w:szCs w:val="24"/>
              </w:rPr>
            </w:pP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İstihkak davalarında mülkiyet karinesi:</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Madde 97/a – …</w:t>
            </w:r>
          </w:p>
          <w:p w:rsidR="00AA5C8C" w:rsidRPr="00A23740" w:rsidRDefault="00AA5C8C" w:rsidP="009431FF">
            <w:pPr>
              <w:rPr>
                <w:rStyle w:val="KIRMIZIChar"/>
                <w:rFonts w:eastAsia="Calibri"/>
                <w:b w:val="0"/>
                <w:bCs w:val="0"/>
                <w:strike w:val="0"/>
                <w:color w:val="auto"/>
              </w:rPr>
            </w:pP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szCs w:val="24"/>
              </w:rPr>
              <w:t xml:space="preserve">Bir taşınır malı elinde bulunduran kimse onun maliki sayılır. Borçlu ile üçüncü </w:t>
            </w:r>
            <w:r w:rsidRPr="00A23740">
              <w:rPr>
                <w:rStyle w:val="KIRMIZIChar"/>
                <w:rFonts w:eastAsia="Calibri"/>
              </w:rPr>
              <w:t>şahısların</w:t>
            </w:r>
            <w:r w:rsidRPr="00A23740">
              <w:rPr>
                <w:rFonts w:eastAsia="Times New Roman"/>
                <w:szCs w:val="24"/>
              </w:rPr>
              <w:t xml:space="preserve"> taşınır malı birlikte ellerinde bulundurmaları halinde dahi mal borçlu elinde </w:t>
            </w:r>
            <w:r w:rsidRPr="00A23740">
              <w:rPr>
                <w:rFonts w:eastAsia="Times New Roman"/>
                <w:b/>
                <w:strike/>
                <w:color w:val="FF0000"/>
                <w:szCs w:val="24"/>
              </w:rPr>
              <w:t>addolunur.</w:t>
            </w:r>
            <w:r w:rsidRPr="00A23740">
              <w:rPr>
                <w:rFonts w:eastAsia="Times New Roman"/>
                <w:szCs w:val="24"/>
              </w:rPr>
              <w:t xml:space="preserve"> </w:t>
            </w:r>
            <w:r w:rsidRPr="00A23740">
              <w:rPr>
                <w:rStyle w:val="KIRMIZIChar"/>
                <w:rFonts w:eastAsia="Calibri"/>
              </w:rPr>
              <w:t>(Ek üçüncü ve dördüncü cümle:24/11/2021-7343/8 md.)</w:t>
            </w:r>
            <w:r w:rsidRPr="00A23740">
              <w:rPr>
                <w:szCs w:val="24"/>
              </w:rPr>
              <w:t xml:space="preserve"> </w:t>
            </w:r>
            <w:r w:rsidRPr="00A23740">
              <w:rPr>
                <w:rStyle w:val="KIRMIZIChar"/>
                <w:rFonts w:eastAsia="Calibri"/>
              </w:rPr>
              <w:t>Bu halde üçüncü şahıs yedieminliği kabul ettiği takdirde bu mal muhafaza altına alınmaz. Ancak 97 nci maddenin birinci fıkrası uyarınca takibin devamına karar verilmesi halinde mal muhafaza altına alınabilir.</w:t>
            </w:r>
            <w:r w:rsidRPr="00A23740">
              <w:rPr>
                <w:rFonts w:ascii="Calibri" w:eastAsia="Times New Roman" w:hAnsi="Calibri"/>
                <w:color w:val="0000FF"/>
                <w:sz w:val="22"/>
                <w:lang w:eastAsia="tr-TR"/>
              </w:rPr>
              <w:t xml:space="preserve"> </w:t>
            </w:r>
            <w:r w:rsidRPr="00A23740">
              <w:rPr>
                <w:rStyle w:val="KIRMIZIChar"/>
                <w:rFonts w:eastAsia="Calibri"/>
              </w:rPr>
              <w:t>Birlikte oturulan yerlerdeki mallardan mahiyetleri itibariyle kadın, erkek ve çocuklara aidiyetleri açıkça anlaşılanlar veya örf ve adet, sanat, meslek veya meşgale icabı olanlar bunların farz olunur. Bu karinenin aksini ispat külfeti iddia eden kişiye düşer.</w:t>
            </w:r>
          </w:p>
          <w:p w:rsidR="00AA5C8C" w:rsidRPr="00A23740" w:rsidRDefault="00AA5C8C" w:rsidP="009431FF">
            <w:pPr>
              <w:tabs>
                <w:tab w:val="left" w:pos="567"/>
              </w:tabs>
              <w:rPr>
                <w:rFonts w:eastAsia="Times New Roman"/>
                <w:szCs w:val="24"/>
              </w:rPr>
            </w:pPr>
          </w:p>
          <w:p w:rsidR="00AA5C8C" w:rsidRPr="00A23740" w:rsidRDefault="00AA5C8C" w:rsidP="009431FF">
            <w:pPr>
              <w:rPr>
                <w:szCs w:val="24"/>
              </w:rPr>
            </w:pPr>
            <w:r w:rsidRPr="00A23740">
              <w:rPr>
                <w:b/>
                <w:color w:val="FF0000"/>
                <w:szCs w:val="24"/>
              </w:rPr>
              <w:t>M.97/a.F1.C2:</w:t>
            </w:r>
            <w:r w:rsidRPr="00A23740">
              <w:rPr>
                <w:szCs w:val="24"/>
              </w:rPr>
              <w:t xml:space="preserve"> </w:t>
            </w:r>
            <w:r w:rsidRPr="00A23740">
              <w:rPr>
                <w:rStyle w:val="KIRMIZIChar"/>
                <w:rFonts w:eastAsia="Calibri"/>
              </w:rPr>
              <w:t>(Ek üçüncü ve dördüncü cümle:24/11/2021-7343/8 md.)</w:t>
            </w:r>
            <w:r w:rsidRPr="00A23740">
              <w:rPr>
                <w:szCs w:val="24"/>
              </w:rPr>
              <w:t xml:space="preserve"> </w:t>
            </w:r>
            <w:r w:rsidRPr="00A23740">
              <w:rPr>
                <w:rStyle w:val="KIRMIZIChar"/>
                <w:rFonts w:eastAsia="Calibri"/>
              </w:rPr>
              <w:t>Bu</w:t>
            </w:r>
            <w:r w:rsidRPr="00A23740">
              <w:rPr>
                <w:rFonts w:eastAsia="Times New Roman"/>
                <w:b/>
                <w:color w:val="0000FF"/>
                <w:szCs w:val="24"/>
                <w:lang w:eastAsia="tr-TR"/>
              </w:rPr>
              <w:t xml:space="preserve"> </w:t>
            </w:r>
            <w:r w:rsidRPr="00A23740">
              <w:t>halde üçüncü</w:t>
            </w:r>
            <w:r w:rsidRPr="00A23740">
              <w:rPr>
                <w:rFonts w:eastAsia="Times New Roman"/>
                <w:b/>
                <w:color w:val="0000FF"/>
                <w:szCs w:val="24"/>
                <w:lang w:eastAsia="tr-TR"/>
              </w:rPr>
              <w:t xml:space="preserve"> </w:t>
            </w:r>
            <w:r w:rsidRPr="00A23740">
              <w:rPr>
                <w:rStyle w:val="KIRMIZIChar"/>
                <w:rFonts w:eastAsia="Calibri"/>
              </w:rPr>
              <w:t>şahıs</w:t>
            </w:r>
            <w:r w:rsidRPr="00A23740">
              <w:rPr>
                <w:rFonts w:eastAsia="Times New Roman"/>
                <w:b/>
                <w:color w:val="0000FF"/>
                <w:szCs w:val="24"/>
                <w:lang w:eastAsia="tr-TR"/>
              </w:rPr>
              <w:t xml:space="preserve"> </w:t>
            </w:r>
            <w:r w:rsidRPr="00A23740">
              <w:t>yedieminliği kabul ettiği takdirde</w:t>
            </w:r>
            <w:r w:rsidRPr="00A23740">
              <w:rPr>
                <w:rFonts w:eastAsia="Times New Roman"/>
                <w:b/>
                <w:color w:val="0000FF"/>
                <w:szCs w:val="24"/>
                <w:lang w:eastAsia="tr-TR"/>
              </w:rPr>
              <w:t xml:space="preserve"> </w:t>
            </w:r>
            <w:r w:rsidRPr="00A23740">
              <w:rPr>
                <w:rStyle w:val="KIRMIZIChar"/>
                <w:rFonts w:eastAsia="Calibri"/>
              </w:rPr>
              <w:t>bu mal muhafaza altına alınmaz. Ancak 97 nci maddenin birinci fıkrası uyarınca takibin devamına karar verilmesi halinde mal muhafaza altına alınabilir.</w:t>
            </w:r>
            <w:r w:rsidRPr="00A23740">
              <w:rPr>
                <w:rFonts w:ascii="Calibri" w:eastAsia="Times New Roman" w:hAnsi="Calibri"/>
                <w:color w:val="0000FF"/>
                <w:sz w:val="22"/>
                <w:lang w:eastAsia="tr-TR"/>
              </w:rPr>
              <w:t xml:space="preserve"> </w:t>
            </w:r>
          </w:p>
          <w:p w:rsidR="00AA5C8C" w:rsidRPr="00A23740" w:rsidRDefault="00AA5C8C" w:rsidP="009431FF">
            <w:pPr>
              <w:tabs>
                <w:tab w:val="left" w:pos="567"/>
              </w:tabs>
              <w:rPr>
                <w:rFonts w:eastAsia="Times New Roman"/>
                <w:szCs w:val="24"/>
              </w:rPr>
            </w:pPr>
          </w:p>
          <w:p w:rsidR="00AA5C8C" w:rsidRDefault="00AA5C8C" w:rsidP="009431FF">
            <w:pPr>
              <w:tabs>
                <w:tab w:val="left" w:pos="567"/>
              </w:tabs>
              <w:rPr>
                <w:rFonts w:eastAsia="Times New Roman"/>
                <w:i/>
                <w:szCs w:val="24"/>
              </w:rPr>
            </w:pPr>
          </w:p>
          <w:p w:rsidR="00F76168" w:rsidRPr="00A23740" w:rsidRDefault="00F76168" w:rsidP="009431FF">
            <w:pPr>
              <w:tabs>
                <w:tab w:val="left" w:pos="567"/>
              </w:tabs>
              <w:rPr>
                <w:rFonts w:eastAsia="Times New Roman"/>
                <w:i/>
                <w:szCs w:val="24"/>
              </w:rPr>
            </w:pPr>
          </w:p>
          <w:p w:rsidR="00AA5C8C" w:rsidRPr="00A23740" w:rsidRDefault="00277039" w:rsidP="009431FF">
            <w:pPr>
              <w:tabs>
                <w:tab w:val="left" w:pos="567"/>
              </w:tabs>
              <w:rPr>
                <w:rFonts w:eastAsia="Times New Roman"/>
                <w:szCs w:val="24"/>
              </w:rPr>
            </w:pPr>
            <w:r>
              <w:rPr>
                <w:rStyle w:val="KIRMIZIChar"/>
                <w:rFonts w:eastAsia="Calibri"/>
                <w:strike w:val="0"/>
              </w:rPr>
              <w:t>M.97/a/F1.</w:t>
            </w:r>
            <w:r w:rsidR="00AA5C8C" w:rsidRPr="00A23740">
              <w:rPr>
                <w:rStyle w:val="KIRMIZIChar"/>
                <w:rFonts w:eastAsia="Calibri"/>
                <w:strike w:val="0"/>
              </w:rPr>
              <w:t>C5-6:</w:t>
            </w:r>
            <w:r w:rsidR="00AA5C8C" w:rsidRPr="00A23740">
              <w:rPr>
                <w:rFonts w:eastAsia="Times New Roman"/>
                <w:i/>
                <w:szCs w:val="24"/>
              </w:rPr>
              <w:t xml:space="preserve"> </w:t>
            </w:r>
            <w:r w:rsidR="00AA5C8C" w:rsidRPr="00A23740">
              <w:rPr>
                <w:rFonts w:eastAsia="Times New Roman"/>
                <w:szCs w:val="24"/>
              </w:rPr>
              <w:t xml:space="preserve">Birlikte oturulan yerlerdeki mallardan </w:t>
            </w:r>
            <w:r w:rsidR="00AA5C8C" w:rsidRPr="00A23740">
              <w:rPr>
                <w:rStyle w:val="KIRMIZIChar"/>
                <w:rFonts w:eastAsia="Calibri"/>
              </w:rPr>
              <w:t>mahiyetleri</w:t>
            </w:r>
            <w:r w:rsidR="00AA5C8C" w:rsidRPr="00A23740">
              <w:rPr>
                <w:rFonts w:eastAsia="Times New Roman"/>
                <w:szCs w:val="24"/>
              </w:rPr>
              <w:t xml:space="preserve"> itibariyle kadın, erkek ve çocuklara aidiyetleri açıkça anlaşılanlar veya örf ve adet, sanat, meslek veya </w:t>
            </w:r>
            <w:r w:rsidR="00AA5C8C" w:rsidRPr="00A23740">
              <w:rPr>
                <w:rStyle w:val="KIRMIZIChar"/>
                <w:rFonts w:eastAsia="Calibri"/>
              </w:rPr>
              <w:t>meşgale icabı</w:t>
            </w:r>
            <w:r w:rsidR="00AA5C8C" w:rsidRPr="00A23740">
              <w:rPr>
                <w:rFonts w:eastAsia="Times New Roman"/>
                <w:szCs w:val="24"/>
              </w:rPr>
              <w:t xml:space="preserve"> olanlar bunların farz olunur. Bu karinenin aksini ispat </w:t>
            </w:r>
            <w:r w:rsidR="00AA5C8C" w:rsidRPr="00A23740">
              <w:rPr>
                <w:rStyle w:val="KIRMIZIChar"/>
                <w:rFonts w:eastAsia="Calibri"/>
              </w:rPr>
              <w:t>külfeti</w:t>
            </w:r>
            <w:r w:rsidR="00AA5C8C" w:rsidRPr="00A23740">
              <w:rPr>
                <w:rFonts w:eastAsia="Times New Roman"/>
                <w:szCs w:val="24"/>
              </w:rPr>
              <w:t xml:space="preserve"> iddia eden kişiye düşer.</w:t>
            </w:r>
          </w:p>
          <w:p w:rsidR="00AA5C8C" w:rsidRPr="00A23740" w:rsidRDefault="00AA5C8C" w:rsidP="009431FF">
            <w:pPr>
              <w:tabs>
                <w:tab w:val="left" w:pos="567"/>
              </w:tabs>
              <w:rPr>
                <w:rFonts w:eastAsia="Times New Roman"/>
                <w:i/>
                <w:szCs w:val="24"/>
              </w:rPr>
            </w:pP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2 – Üçüncü şahsın istihkak iddiası :</w:t>
            </w:r>
          </w:p>
          <w:p w:rsidR="00AA5C8C" w:rsidRPr="00A23740" w:rsidRDefault="00AA5C8C" w:rsidP="009431FF">
            <w:pPr>
              <w:tabs>
                <w:tab w:val="left" w:pos="567"/>
              </w:tabs>
              <w:rPr>
                <w:rStyle w:val="KIRMIZIChar"/>
                <w:rFonts w:eastAsia="Calibri"/>
              </w:rPr>
            </w:pPr>
            <w:r w:rsidRPr="00A23740">
              <w:rPr>
                <w:rFonts w:eastAsia="Times New Roman"/>
                <w:b/>
                <w:strike/>
                <w:color w:val="FF0000"/>
                <w:szCs w:val="24"/>
              </w:rPr>
              <w:t>Madde 97 – …</w:t>
            </w: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(17)</w:t>
            </w:r>
            <w:r w:rsidRPr="00A23740">
              <w:rPr>
                <w:rFonts w:eastAsia="Times New Roman"/>
                <w:color w:val="000000"/>
                <w:szCs w:val="24"/>
                <w:lang w:eastAsia="tr-TR"/>
              </w:rPr>
              <w:t xml:space="preserve"> </w:t>
            </w:r>
            <w:r w:rsidRPr="00A23740">
              <w:rPr>
                <w:rFonts w:eastAsia="Times New Roman"/>
                <w:szCs w:val="24"/>
              </w:rPr>
              <w:t xml:space="preserve">İstihkak davasına karşı haczi yaptıran alacaklı </w:t>
            </w:r>
            <w:r w:rsidRPr="00A23740">
              <w:rPr>
                <w:rStyle w:val="KIRMIZIChar"/>
                <w:rFonts w:eastAsia="Calibri"/>
              </w:rPr>
              <w:t>bu kanunun 11 inci babı hükümlerine dayanarak ve m</w:t>
            </w:r>
            <w:r w:rsidRPr="00A23740">
              <w:rPr>
                <w:rFonts w:eastAsia="Times New Roman"/>
                <w:b/>
                <w:strike/>
                <w:color w:val="FF0000"/>
                <w:szCs w:val="24"/>
              </w:rPr>
              <w:t>uvakkat</w:t>
            </w:r>
            <w:r w:rsidRPr="00A23740">
              <w:rPr>
                <w:rFonts w:eastAsia="Times New Roman"/>
                <w:szCs w:val="24"/>
              </w:rPr>
              <w:t xml:space="preserve"> veya </w:t>
            </w:r>
            <w:r w:rsidRPr="00A23740">
              <w:rPr>
                <w:rFonts w:eastAsia="Times New Roman"/>
                <w:b/>
                <w:strike/>
                <w:color w:val="FF0000"/>
                <w:szCs w:val="24"/>
              </w:rPr>
              <w:t>kati</w:t>
            </w:r>
            <w:r w:rsidRPr="00A23740">
              <w:rPr>
                <w:rFonts w:eastAsia="Times New Roman"/>
                <w:szCs w:val="24"/>
              </w:rPr>
              <w:t xml:space="preserve"> aciz belgesi ibrazı</w:t>
            </w:r>
            <w:r w:rsidRPr="00A23740">
              <w:rPr>
                <w:rStyle w:val="KIRMIZIChar"/>
                <w:rFonts w:eastAsia="Calibri"/>
              </w:rPr>
              <w:t>na mecbur</w:t>
            </w:r>
            <w:r w:rsidRPr="00A23740">
              <w:rPr>
                <w:rFonts w:eastAsia="Times New Roman"/>
                <w:szCs w:val="24"/>
              </w:rPr>
              <w:t xml:space="preserve"> olmaksızın </w:t>
            </w:r>
            <w:r w:rsidRPr="00A23740">
              <w:rPr>
                <w:rFonts w:eastAsia="Times New Roman"/>
                <w:b/>
                <w:strike/>
                <w:color w:val="FF0000"/>
                <w:szCs w:val="24"/>
              </w:rPr>
              <w:t>mütekabilen</w:t>
            </w:r>
            <w:r w:rsidRPr="00A23740">
              <w:rPr>
                <w:rFonts w:eastAsia="Times New Roman"/>
                <w:szCs w:val="24"/>
              </w:rPr>
              <w:t xml:space="preserve"> </w:t>
            </w:r>
            <w:r w:rsidRPr="00A23740">
              <w:rPr>
                <w:rStyle w:val="KIRMIZIChar"/>
                <w:rFonts w:eastAsia="Calibri"/>
              </w:rPr>
              <w:t>iptal</w:t>
            </w:r>
            <w:r w:rsidRPr="00A23740">
              <w:rPr>
                <w:rFonts w:eastAsia="Times New Roman"/>
                <w:szCs w:val="24"/>
              </w:rPr>
              <w:t xml:space="preserve"> </w:t>
            </w:r>
            <w:r w:rsidRPr="00A23740">
              <w:rPr>
                <w:rFonts w:eastAsia="Times New Roman"/>
                <w:b/>
                <w:strike/>
                <w:color w:val="FF0000"/>
                <w:szCs w:val="24"/>
              </w:rPr>
              <w:t>davası açabilir</w:t>
            </w:r>
            <w:r w:rsidRPr="00A23740">
              <w:rPr>
                <w:rFonts w:eastAsia="Times New Roman"/>
                <w:szCs w:val="24"/>
              </w:rPr>
              <w:t>. Dava ve</w:t>
            </w:r>
            <w:r w:rsidRPr="00A23740">
              <w:rPr>
                <w:rFonts w:eastAsia="Times New Roman"/>
                <w:b/>
                <w:strike/>
                <w:color w:val="FF0000"/>
                <w:szCs w:val="24"/>
              </w:rPr>
              <w:t xml:space="preserve"> mütekabil</w:t>
            </w:r>
            <w:r w:rsidRPr="00A23740">
              <w:rPr>
                <w:rFonts w:eastAsia="Times New Roman"/>
                <w:szCs w:val="24"/>
              </w:rPr>
              <w:t xml:space="preserve"> davada tarafların gösterecekleri bütün delilleri hakim serbestce </w:t>
            </w:r>
            <w:r w:rsidRPr="00A23740">
              <w:rPr>
                <w:rStyle w:val="KIRMIZIChar"/>
                <w:rFonts w:eastAsia="Calibri"/>
              </w:rPr>
              <w:t>takdir eder</w:t>
            </w:r>
            <w:r w:rsidRPr="00A23740">
              <w:rPr>
                <w:rFonts w:eastAsia="Times New Roman"/>
                <w:szCs w:val="24"/>
              </w:rPr>
              <w:t>.</w:t>
            </w:r>
          </w:p>
          <w:p w:rsidR="00AA5C8C" w:rsidRPr="00A23740" w:rsidRDefault="00AA5C8C" w:rsidP="009431FF">
            <w:pPr>
              <w:tabs>
                <w:tab w:val="left" w:pos="567"/>
              </w:tabs>
              <w:rPr>
                <w:rFonts w:eastAsia="Times New Roman"/>
                <w:i/>
                <w:szCs w:val="24"/>
              </w:rPr>
            </w:pP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3 – Çalınmış ve zayi olmuş şeyler:</w:t>
            </w:r>
          </w:p>
          <w:p w:rsidR="00AA5C8C" w:rsidRPr="00A23740" w:rsidRDefault="00AA5C8C" w:rsidP="009431FF">
            <w:pPr>
              <w:tabs>
                <w:tab w:val="left" w:pos="567"/>
              </w:tabs>
              <w:rPr>
                <w:rFonts w:eastAsia="Times New Roman"/>
                <w:szCs w:val="24"/>
              </w:rPr>
            </w:pPr>
            <w:r w:rsidRPr="00A23740">
              <w:rPr>
                <w:rFonts w:eastAsia="Times New Roman"/>
                <w:b/>
                <w:strike/>
                <w:color w:val="FF0000"/>
                <w:szCs w:val="24"/>
              </w:rPr>
              <w:t>Madde 98 –</w:t>
            </w:r>
            <w:r w:rsidRPr="00A23740">
              <w:rPr>
                <w:rFonts w:eastAsia="Times New Roman"/>
                <w:b/>
                <w:szCs w:val="24"/>
              </w:rPr>
              <w:t xml:space="preserve">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szCs w:val="24"/>
              </w:rPr>
              <w:t>Çalın</w:t>
            </w:r>
            <w:r w:rsidRPr="00A23740">
              <w:rPr>
                <w:rFonts w:eastAsia="Times New Roman"/>
                <w:b/>
                <w:strike/>
                <w:color w:val="FF0000"/>
                <w:szCs w:val="24"/>
              </w:rPr>
              <w:t>mış ve zayi edilmiş</w:t>
            </w:r>
            <w:r w:rsidRPr="00A23740">
              <w:rPr>
                <w:rFonts w:eastAsia="Times New Roman"/>
                <w:b/>
                <w:color w:val="FF0000"/>
                <w:szCs w:val="24"/>
              </w:rPr>
              <w:t xml:space="preserve"> </w:t>
            </w:r>
            <w:r w:rsidRPr="00A23740">
              <w:rPr>
                <w:rFonts w:eastAsia="Times New Roman"/>
                <w:szCs w:val="24"/>
              </w:rPr>
              <w:t xml:space="preserve">şeyler hakkında </w:t>
            </w:r>
            <w:r w:rsidRPr="00A23740">
              <w:rPr>
                <w:rFonts w:eastAsia="Times New Roman"/>
                <w:b/>
                <w:strike/>
                <w:color w:val="FF0000"/>
                <w:szCs w:val="24"/>
              </w:rPr>
              <w:t>Kanunu Medeninin 902,903 ve 904 üncü</w:t>
            </w:r>
            <w:r w:rsidRPr="00A23740">
              <w:rPr>
                <w:rFonts w:eastAsia="Times New Roman"/>
                <w:szCs w:val="24"/>
              </w:rPr>
              <w:t xml:space="preserve"> maddeleri hükmü </w:t>
            </w:r>
            <w:r w:rsidRPr="00A23740">
              <w:rPr>
                <w:rStyle w:val="KIRMIZIChar"/>
                <w:rFonts w:eastAsia="Calibri"/>
              </w:rPr>
              <w:t>mahfuzdur.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Style w:val="KIRMIZIChar"/>
                <w:rFonts w:eastAsia="Calibri"/>
              </w:rPr>
            </w:pPr>
          </w:p>
          <w:p w:rsidR="00AA5C8C" w:rsidRPr="00A23740" w:rsidRDefault="00AA5C8C" w:rsidP="009431FF">
            <w:pPr>
              <w:tabs>
                <w:tab w:val="left" w:pos="567"/>
              </w:tabs>
              <w:rPr>
                <w:rFonts w:eastAsia="Times New Roman"/>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szCs w:val="24"/>
              </w:rPr>
              <w:t xml:space="preserve">İcra dairesi tarafından pazarlık suretiyle yapılan satış </w:t>
            </w:r>
            <w:r w:rsidRPr="00A23740">
              <w:rPr>
                <w:rFonts w:eastAsia="Times New Roman"/>
                <w:b/>
                <w:strike/>
                <w:color w:val="FF0000"/>
                <w:szCs w:val="24"/>
              </w:rPr>
              <w:t>Kanunu Medeninin 902 nci maddesinde mezk</w:t>
            </w:r>
            <w:r w:rsidRPr="00A23740">
              <w:rPr>
                <w:rStyle w:val="KIRMIZIChar"/>
                <w:rFonts w:eastAsia="Calibri"/>
              </w:rPr>
              <w:t>ür</w:t>
            </w:r>
            <w:r w:rsidRPr="00A23740">
              <w:rPr>
                <w:rFonts w:eastAsia="Times New Roman"/>
                <w:szCs w:val="24"/>
              </w:rPr>
              <w:t xml:space="preserve"> resmi artırma hükmündedir.</w:t>
            </w:r>
          </w:p>
          <w:p w:rsidR="00AA5C8C" w:rsidRPr="00A23740" w:rsidRDefault="00AA5C8C" w:rsidP="009431FF">
            <w:pPr>
              <w:tabs>
                <w:tab w:val="left" w:pos="567"/>
              </w:tabs>
              <w:rPr>
                <w:rFonts w:eastAsia="Times New Roman"/>
                <w:szCs w:val="24"/>
              </w:rPr>
            </w:pPr>
          </w:p>
        </w:tc>
        <w:tc>
          <w:tcPr>
            <w:tcW w:w="2500" w:type="pct"/>
            <w:tcBorders>
              <w:bottom w:val="single" w:sz="4" w:space="0" w:color="000000"/>
            </w:tcBorders>
          </w:tcPr>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İstihkak davasında yargılama ve ispat</w:t>
            </w:r>
          </w:p>
          <w:p w:rsidR="00AA5C8C" w:rsidRPr="00A23740" w:rsidRDefault="005038A0" w:rsidP="009431FF">
            <w:pPr>
              <w:tabs>
                <w:tab w:val="left" w:pos="567"/>
              </w:tabs>
              <w:rPr>
                <w:rStyle w:val="MAVChar"/>
                <w:rFonts w:eastAsia="Calibri"/>
                <w:b w:val="0"/>
                <w:bCs w:val="0"/>
                <w:color w:val="0000CC"/>
                <w:u w:val="none"/>
              </w:rPr>
            </w:pPr>
            <w:r w:rsidRPr="00A23740">
              <w:rPr>
                <w:rFonts w:eastAsia="Times New Roman"/>
                <w:b/>
                <w:color w:val="0000FF"/>
                <w:szCs w:val="24"/>
              </w:rPr>
              <w:t>MADDE 436</w:t>
            </w:r>
            <w:r w:rsidR="00AA5C8C" w:rsidRPr="00A23740">
              <w:rPr>
                <w:rFonts w:eastAsia="Times New Roman"/>
                <w:b/>
                <w:color w:val="0000FF"/>
                <w:szCs w:val="24"/>
              </w:rPr>
              <w:t xml:space="preserve">- </w:t>
            </w:r>
            <w:r w:rsidR="00AA5C8C" w:rsidRPr="00A23740">
              <w:rPr>
                <w:rStyle w:val="MaviChar"/>
              </w:rPr>
              <w:t>(1)</w:t>
            </w:r>
            <w:r w:rsidR="00AA5C8C" w:rsidRPr="00A23740">
              <w:rPr>
                <w:rFonts w:eastAsia="Times New Roman"/>
                <w:b/>
                <w:color w:val="0000FF"/>
                <w:szCs w:val="24"/>
              </w:rPr>
              <w:t xml:space="preserve"> Üçüncü kişi, haczedilenin üzerindeki hakkı nasıl kazandığını </w:t>
            </w:r>
            <w:r w:rsidR="00AA5C8C" w:rsidRPr="00A23740">
              <w:rPr>
                <w:rStyle w:val="MAVChar"/>
                <w:rFonts w:eastAsia="Calibri"/>
                <w:u w:val="none"/>
              </w:rPr>
              <w:t>ve</w:t>
            </w:r>
            <w:r w:rsidR="00AA5C8C" w:rsidRPr="00A23740">
              <w:rPr>
                <w:rFonts w:eastAsia="Times New Roman"/>
                <w:b/>
                <w:color w:val="0000FF"/>
                <w:szCs w:val="24"/>
              </w:rPr>
              <w:t xml:space="preserve"> haczedilenin borçlunun elinde bulunmasını gerektiren hukuki ve fiili sebep ile vakıaları </w:t>
            </w:r>
            <w:r w:rsidR="00AA5C8C" w:rsidRPr="00A23740">
              <w:rPr>
                <w:rStyle w:val="MAVChar"/>
                <w:rFonts w:eastAsia="Calibri"/>
                <w:u w:val="none"/>
              </w:rPr>
              <w:t>göstermeli ve bunları ispat etmelidir.</w:t>
            </w:r>
          </w:p>
          <w:p w:rsidR="00AA5C8C" w:rsidRPr="00A23740" w:rsidRDefault="00AA5C8C" w:rsidP="009431FF">
            <w:pPr>
              <w:tabs>
                <w:tab w:val="left" w:pos="567"/>
              </w:tabs>
              <w:rPr>
                <w:rStyle w:val="MAVChar"/>
                <w:rFonts w:eastAsia="Calibri"/>
                <w:u w:val="none"/>
              </w:rPr>
            </w:pPr>
          </w:p>
          <w:p w:rsidR="00AA5C8C" w:rsidRPr="00A23740" w:rsidRDefault="00AA5C8C" w:rsidP="009431FF">
            <w:pPr>
              <w:tabs>
                <w:tab w:val="left" w:pos="567"/>
              </w:tabs>
              <w:rPr>
                <w:rFonts w:eastAsia="Times New Roman"/>
                <w:b/>
                <w:color w:val="0000FF"/>
                <w:szCs w:val="24"/>
              </w:rPr>
            </w:pPr>
          </w:p>
          <w:p w:rsidR="00277039" w:rsidRDefault="00277039" w:rsidP="009431FF">
            <w:pPr>
              <w:tabs>
                <w:tab w:val="left" w:pos="567"/>
              </w:tabs>
              <w:rPr>
                <w:rFonts w:eastAsia="Times New Roman"/>
                <w:b/>
                <w:color w:val="0000FF"/>
                <w:szCs w:val="24"/>
              </w:rPr>
            </w:pPr>
          </w:p>
          <w:p w:rsidR="00277039" w:rsidRDefault="00277039" w:rsidP="009431FF">
            <w:pPr>
              <w:tabs>
                <w:tab w:val="left" w:pos="567"/>
              </w:tabs>
              <w:rPr>
                <w:rFonts w:eastAsia="Times New Roman"/>
                <w:b/>
                <w:color w:val="0000FF"/>
                <w:szCs w:val="24"/>
              </w:rPr>
            </w:pPr>
          </w:p>
          <w:p w:rsidR="004D6E43" w:rsidRDefault="004D6E43" w:rsidP="009431FF">
            <w:pPr>
              <w:tabs>
                <w:tab w:val="left" w:pos="567"/>
              </w:tabs>
              <w:rPr>
                <w:rFonts w:eastAsia="Times New Roman"/>
                <w:b/>
                <w:color w:val="0000FF"/>
                <w:szCs w:val="24"/>
              </w:rPr>
            </w:pPr>
          </w:p>
          <w:p w:rsidR="00AA5C8C" w:rsidRPr="00A23740" w:rsidRDefault="00AA5C8C" w:rsidP="009431FF">
            <w:pPr>
              <w:tabs>
                <w:tab w:val="left" w:pos="567"/>
              </w:tabs>
              <w:rPr>
                <w:rStyle w:val="MaviChar"/>
                <w:lang w:val="tr-TR"/>
              </w:rPr>
            </w:pPr>
            <w:r w:rsidRPr="00A23740">
              <w:rPr>
                <w:rFonts w:eastAsia="Times New Roman"/>
                <w:b/>
                <w:color w:val="0000FF"/>
                <w:szCs w:val="24"/>
              </w:rPr>
              <w:t>(2)</w:t>
            </w:r>
            <w:r w:rsidRPr="00A23740">
              <w:rPr>
                <w:rFonts w:eastAsia="Times New Roman"/>
                <w:szCs w:val="24"/>
              </w:rPr>
              <w:t xml:space="preserve">  Bir taşınır malı elinde bulunduran kimse onun maliki sayılır. Borçlu ile üçüncü </w:t>
            </w:r>
            <w:r w:rsidRPr="00A23740">
              <w:rPr>
                <w:rStyle w:val="MAVChar"/>
                <w:rFonts w:eastAsia="Calibri"/>
                <w:u w:val="none"/>
              </w:rPr>
              <w:t>kişilerin</w:t>
            </w:r>
            <w:r w:rsidRPr="00A23740">
              <w:rPr>
                <w:rFonts w:eastAsia="Times New Roman"/>
                <w:szCs w:val="24"/>
              </w:rPr>
              <w:t xml:space="preserve"> taşınır malı birlikte </w:t>
            </w:r>
            <w:r w:rsidRPr="00A23740">
              <w:rPr>
                <w:rStyle w:val="MAVChar"/>
                <w:rFonts w:eastAsia="Calibri"/>
                <w:u w:val="none"/>
              </w:rPr>
              <w:t>elde</w:t>
            </w:r>
            <w:r w:rsidRPr="00A23740">
              <w:rPr>
                <w:rFonts w:eastAsia="Times New Roman"/>
                <w:szCs w:val="24"/>
              </w:rPr>
              <w:t xml:space="preserve"> bulundurmaları h</w:t>
            </w:r>
            <w:r w:rsidR="00792830" w:rsidRPr="00A23740">
              <w:rPr>
                <w:rFonts w:eastAsia="Times New Roman"/>
                <w:szCs w:val="24"/>
              </w:rPr>
              <w:t>â</w:t>
            </w:r>
            <w:r w:rsidRPr="00A23740">
              <w:rPr>
                <w:rFonts w:eastAsia="Times New Roman"/>
                <w:szCs w:val="24"/>
              </w:rPr>
              <w:t>linde dahi mal borçlu</w:t>
            </w:r>
            <w:r w:rsidRPr="00A23740">
              <w:rPr>
                <w:rFonts w:eastAsia="Times New Roman"/>
                <w:b/>
                <w:color w:val="0000FF"/>
                <w:szCs w:val="24"/>
              </w:rPr>
              <w:t xml:space="preserve"> </w:t>
            </w:r>
            <w:r w:rsidRPr="00A23740">
              <w:t>elinde</w:t>
            </w:r>
            <w:r w:rsidRPr="00A23740">
              <w:rPr>
                <w:rFonts w:eastAsia="Times New Roman"/>
                <w:b/>
                <w:color w:val="0000FF"/>
                <w:szCs w:val="24"/>
              </w:rPr>
              <w:t xml:space="preserve"> sayılır</w:t>
            </w:r>
            <w:r w:rsidRPr="00A23740">
              <w:rPr>
                <w:rStyle w:val="MaviChar"/>
                <w:lang w:val="tr-TR"/>
              </w:rPr>
              <w:t>.</w:t>
            </w:r>
          </w:p>
          <w:p w:rsidR="00AA5C8C" w:rsidRPr="00A23740" w:rsidRDefault="00AA5C8C" w:rsidP="009431FF">
            <w:pPr>
              <w:tabs>
                <w:tab w:val="left" w:pos="567"/>
              </w:tabs>
              <w:rPr>
                <w:rStyle w:val="MaviChar"/>
                <w:lang w:val="tr-TR"/>
              </w:rPr>
            </w:pPr>
          </w:p>
          <w:p w:rsidR="00AA5C8C" w:rsidRPr="00A23740" w:rsidRDefault="00AA5C8C" w:rsidP="009431FF">
            <w:pPr>
              <w:tabs>
                <w:tab w:val="left" w:pos="567"/>
              </w:tabs>
              <w:rPr>
                <w:rStyle w:val="MaviChar"/>
                <w:strike/>
                <w:color w:val="FF0000"/>
                <w:lang w:val="tr-TR"/>
              </w:rPr>
            </w:pPr>
          </w:p>
          <w:p w:rsidR="00AA5C8C" w:rsidRPr="00A23740" w:rsidRDefault="00AA5C8C" w:rsidP="009431FF">
            <w:pPr>
              <w:tabs>
                <w:tab w:val="left" w:pos="567"/>
              </w:tabs>
              <w:rPr>
                <w:rStyle w:val="MaviChar"/>
                <w:strike/>
                <w:color w:val="FF0000"/>
                <w:lang w:val="tr-TR"/>
              </w:rPr>
            </w:pPr>
          </w:p>
          <w:p w:rsidR="00AA5C8C" w:rsidRPr="00A23740" w:rsidRDefault="00AA5C8C" w:rsidP="009431FF">
            <w:pPr>
              <w:tabs>
                <w:tab w:val="left" w:pos="567"/>
              </w:tabs>
              <w:rPr>
                <w:rStyle w:val="MaviChar"/>
                <w:strike/>
                <w:color w:val="FF0000"/>
                <w:lang w:val="tr-TR"/>
              </w:rPr>
            </w:pPr>
          </w:p>
          <w:p w:rsidR="00AA5C8C" w:rsidRPr="00A23740" w:rsidRDefault="00AA5C8C" w:rsidP="009431FF">
            <w:pPr>
              <w:tabs>
                <w:tab w:val="left" w:pos="567"/>
              </w:tabs>
              <w:rPr>
                <w:rStyle w:val="MaviChar"/>
                <w:strike/>
                <w:color w:val="FF0000"/>
                <w:lang w:val="tr-TR"/>
              </w:rPr>
            </w:pPr>
          </w:p>
          <w:p w:rsidR="00AA5C8C" w:rsidRPr="00A23740" w:rsidRDefault="00AA5C8C" w:rsidP="009431FF">
            <w:pPr>
              <w:tabs>
                <w:tab w:val="left" w:pos="567"/>
              </w:tabs>
              <w:rPr>
                <w:rStyle w:val="MaviChar"/>
                <w:lang w:val="tr-TR"/>
              </w:rPr>
            </w:pPr>
          </w:p>
          <w:p w:rsidR="00AA5C8C" w:rsidRPr="00A23740" w:rsidRDefault="00AA5C8C" w:rsidP="009431FF">
            <w:pPr>
              <w:tabs>
                <w:tab w:val="left" w:pos="567"/>
              </w:tabs>
              <w:rPr>
                <w:rStyle w:val="MaviChar"/>
                <w:lang w:val="tr-TR"/>
              </w:rPr>
            </w:pPr>
          </w:p>
          <w:p w:rsidR="00AA5C8C" w:rsidRDefault="00AA5C8C" w:rsidP="009431FF">
            <w:pPr>
              <w:tabs>
                <w:tab w:val="left" w:pos="567"/>
              </w:tabs>
              <w:rPr>
                <w:rStyle w:val="MaviChar"/>
                <w:lang w:val="tr-TR"/>
              </w:rPr>
            </w:pPr>
          </w:p>
          <w:p w:rsidR="004D6E43" w:rsidRPr="00A23740" w:rsidRDefault="004D6E43" w:rsidP="009431FF">
            <w:pPr>
              <w:tabs>
                <w:tab w:val="left" w:pos="567"/>
              </w:tabs>
              <w:rPr>
                <w:rStyle w:val="MaviChar"/>
                <w:lang w:val="tr-TR"/>
              </w:rPr>
            </w:pPr>
          </w:p>
          <w:p w:rsidR="00AA5C8C" w:rsidRPr="00A23740" w:rsidRDefault="00AA5C8C" w:rsidP="009431FF">
            <w:pPr>
              <w:tabs>
                <w:tab w:val="left" w:pos="567"/>
              </w:tabs>
              <w:rPr>
                <w:rStyle w:val="MaviChar"/>
                <w:lang w:val="tr-TR"/>
              </w:rPr>
            </w:pPr>
          </w:p>
          <w:p w:rsidR="00AA5C8C" w:rsidRPr="00A23740" w:rsidRDefault="00AA5C8C" w:rsidP="009431FF">
            <w:pPr>
              <w:tabs>
                <w:tab w:val="left" w:pos="567"/>
              </w:tabs>
              <w:rPr>
                <w:rStyle w:val="MaviChar"/>
                <w:lang w:val="tr-TR"/>
              </w:rPr>
            </w:pPr>
            <w:r w:rsidRPr="00A23740">
              <w:rPr>
                <w:rStyle w:val="MaviChar"/>
                <w:lang w:val="tr-TR"/>
              </w:rPr>
              <w:t xml:space="preserve">(3) </w:t>
            </w:r>
            <w:r w:rsidR="00F4535F" w:rsidRPr="00075A70">
              <w:rPr>
                <w:rStyle w:val="MaviChar"/>
              </w:rPr>
              <w:t>Bir taşınır malı borçlu ile birlikte elinde bulunduran</w:t>
            </w:r>
            <w:r w:rsidR="00F4535F" w:rsidRPr="00A23740">
              <w:rPr>
                <w:rStyle w:val="MaviChar"/>
                <w:lang w:val="tr-TR"/>
              </w:rPr>
              <w:t xml:space="preserve"> </w:t>
            </w:r>
            <w:r w:rsidRPr="00A23740">
              <w:t>üçüncü</w:t>
            </w:r>
            <w:r w:rsidRPr="00A23740">
              <w:rPr>
                <w:rStyle w:val="MaviChar"/>
              </w:rPr>
              <w:t xml:space="preserve"> kiş</w:t>
            </w:r>
            <w:r w:rsidRPr="00075A70">
              <w:rPr>
                <w:rStyle w:val="MaviChar"/>
              </w:rPr>
              <w:t>i</w:t>
            </w:r>
            <w:r w:rsidR="00F4535F" w:rsidRPr="00075A70">
              <w:rPr>
                <w:rStyle w:val="MaviChar"/>
              </w:rPr>
              <w:t>,</w:t>
            </w:r>
            <w:r w:rsidRPr="00A23740">
              <w:rPr>
                <w:rStyle w:val="MaviChar"/>
              </w:rPr>
              <w:t xml:space="preserve"> haciz sırasında </w:t>
            </w:r>
            <w:r w:rsidRPr="00A23740">
              <w:t>yedieminliği kabul ettiği takdirde</w:t>
            </w:r>
            <w:r w:rsidRPr="00A23740">
              <w:rPr>
                <w:rStyle w:val="MaviChar"/>
              </w:rPr>
              <w:t xml:space="preserve"> haczedilen mal icra ve iflas</w:t>
            </w:r>
            <w:r w:rsidRPr="00A23740">
              <w:rPr>
                <w:rStyle w:val="MaviChar"/>
                <w:lang w:val="tr-TR"/>
              </w:rPr>
              <w:t xml:space="preserve"> </w:t>
            </w:r>
            <w:r w:rsidRPr="00A23740">
              <w:rPr>
                <w:rStyle w:val="MaviChar"/>
              </w:rPr>
              <w:t>dairesince üçüncü kişinin elinde bırakılır. İstihkak davası açılması h</w:t>
            </w:r>
            <w:r w:rsidR="00C2196C" w:rsidRPr="00A23740">
              <w:rPr>
                <w:rStyle w:val="MaviChar"/>
                <w:lang w:val="tr-TR"/>
              </w:rPr>
              <w:t>â</w:t>
            </w:r>
            <w:r w:rsidRPr="00A23740">
              <w:rPr>
                <w:rStyle w:val="MaviChar"/>
              </w:rPr>
              <w:t>linde h</w:t>
            </w:r>
            <w:r w:rsidR="00407C95" w:rsidRPr="00A23740">
              <w:rPr>
                <w:rStyle w:val="MaviChar"/>
                <w:lang w:val="tr-TR"/>
              </w:rPr>
              <w:t>â</w:t>
            </w:r>
            <w:r w:rsidRPr="00A23740">
              <w:rPr>
                <w:rStyle w:val="MaviChar"/>
              </w:rPr>
              <w:t>kim öncelikle takibin ertelenip ertelenmeyeceğine kendiliğinden karar verir. Takibin devamına karar verilmesi durumunda haczedilen mal muhafaza altına alınır.</w:t>
            </w:r>
          </w:p>
          <w:p w:rsidR="00AA5C8C"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szCs w:val="24"/>
              </w:rPr>
            </w:pPr>
            <w:r w:rsidRPr="00A23740">
              <w:rPr>
                <w:rStyle w:val="MAVChar"/>
                <w:rFonts w:eastAsia="Calibri"/>
                <w:u w:val="none"/>
              </w:rPr>
              <w:t>(4)</w:t>
            </w:r>
            <w:r w:rsidRPr="00A23740">
              <w:rPr>
                <w:rFonts w:eastAsia="Times New Roman"/>
                <w:szCs w:val="24"/>
              </w:rPr>
              <w:t xml:space="preserve"> Birlikte oturulan yerlerdeki mallardan </w:t>
            </w:r>
            <w:r w:rsidRPr="00A23740">
              <w:rPr>
                <w:rStyle w:val="MAVChar"/>
                <w:rFonts w:eastAsia="Calibri"/>
                <w:u w:val="none"/>
              </w:rPr>
              <w:t>nitelikleri</w:t>
            </w:r>
            <w:r w:rsidR="00F4535F" w:rsidRPr="00A23740">
              <w:rPr>
                <w:rStyle w:val="MAVChar"/>
                <w:rFonts w:eastAsia="Calibri"/>
                <w:u w:val="none"/>
              </w:rPr>
              <w:t xml:space="preserve"> </w:t>
            </w:r>
            <w:r w:rsidR="00F4535F" w:rsidRPr="00075A70">
              <w:rPr>
                <w:rStyle w:val="MaviChar"/>
              </w:rPr>
              <w:t>itibarıyla</w:t>
            </w:r>
            <w:r w:rsidRPr="00A23740">
              <w:rPr>
                <w:rFonts w:eastAsia="Times New Roman"/>
                <w:szCs w:val="24"/>
              </w:rPr>
              <w:t xml:space="preserve"> kadın, erkek ve çocuklara aidiyetleri açıkça anlaşılanlar veya örf ve adet, sanat, meslek veya </w:t>
            </w:r>
            <w:r w:rsidRPr="00A23740">
              <w:rPr>
                <w:rStyle w:val="MaviChar"/>
              </w:rPr>
              <w:t>uğraşı gereği</w:t>
            </w:r>
            <w:r w:rsidRPr="00A23740">
              <w:rPr>
                <w:rFonts w:eastAsia="Times New Roman"/>
                <w:szCs w:val="24"/>
              </w:rPr>
              <w:t xml:space="preserve"> olanlar </w:t>
            </w:r>
            <w:r w:rsidRPr="00A23740">
              <w:rPr>
                <w:rStyle w:val="MAVChar"/>
                <w:rFonts w:eastAsia="Calibri"/>
                <w:u w:val="none"/>
              </w:rPr>
              <w:t>bu kişilere ait</w:t>
            </w:r>
            <w:r w:rsidRPr="00A23740">
              <w:rPr>
                <w:rFonts w:eastAsia="Times New Roman"/>
                <w:b/>
                <w:color w:val="CC00CC"/>
                <w:szCs w:val="24"/>
              </w:rPr>
              <w:t xml:space="preserve"> </w:t>
            </w:r>
            <w:r w:rsidRPr="00A23740">
              <w:rPr>
                <w:rFonts w:eastAsia="Times New Roman"/>
                <w:szCs w:val="24"/>
              </w:rPr>
              <w:t>sayılır. Bu karine</w:t>
            </w:r>
            <w:r w:rsidRPr="00A23740">
              <w:rPr>
                <w:rStyle w:val="MAVChar"/>
                <w:rFonts w:eastAsia="Calibri"/>
                <w:u w:val="none"/>
              </w:rPr>
              <w:t>lerin</w:t>
            </w:r>
            <w:r w:rsidRPr="00A23740">
              <w:rPr>
                <w:rFonts w:eastAsia="Times New Roman"/>
                <w:szCs w:val="24"/>
              </w:rPr>
              <w:t xml:space="preserve"> aksini ispat </w:t>
            </w:r>
            <w:r w:rsidRPr="00A23740">
              <w:rPr>
                <w:rStyle w:val="MaviChar"/>
              </w:rPr>
              <w:t xml:space="preserve">yükü, </w:t>
            </w:r>
            <w:r w:rsidRPr="00A23740">
              <w:rPr>
                <w:rFonts w:eastAsia="Times New Roman"/>
                <w:szCs w:val="24"/>
              </w:rPr>
              <w:t>iddia eden kişiye düşer.</w:t>
            </w:r>
          </w:p>
          <w:p w:rsidR="00AA5C8C" w:rsidRPr="00A23740" w:rsidRDefault="00AA5C8C" w:rsidP="009431FF">
            <w:pPr>
              <w:tabs>
                <w:tab w:val="left" w:pos="567"/>
              </w:tabs>
              <w:rPr>
                <w:rFonts w:eastAsia="Times New Roman"/>
                <w:color w:val="0000CC"/>
                <w:szCs w:val="24"/>
              </w:rPr>
            </w:pPr>
          </w:p>
          <w:p w:rsidR="00AA5C8C" w:rsidRPr="00A23740" w:rsidRDefault="00AA5C8C" w:rsidP="009431FF">
            <w:pPr>
              <w:tabs>
                <w:tab w:val="left" w:pos="567"/>
              </w:tabs>
              <w:rPr>
                <w:rFonts w:eastAsia="Times New Roman"/>
                <w:color w:val="0000CC"/>
                <w:szCs w:val="24"/>
              </w:rPr>
            </w:pPr>
          </w:p>
          <w:p w:rsidR="00AA5C8C" w:rsidRPr="00A23740" w:rsidRDefault="00AA5C8C" w:rsidP="009431FF">
            <w:pPr>
              <w:tabs>
                <w:tab w:val="left" w:pos="567"/>
              </w:tabs>
              <w:rPr>
                <w:rFonts w:eastAsia="Times New Roman"/>
                <w:color w:val="0000CC"/>
                <w:szCs w:val="24"/>
              </w:rPr>
            </w:pPr>
          </w:p>
          <w:p w:rsidR="00AA5C8C" w:rsidRPr="00A23740" w:rsidRDefault="00AA5C8C" w:rsidP="009431FF">
            <w:pPr>
              <w:tabs>
                <w:tab w:val="left" w:pos="567"/>
              </w:tabs>
              <w:rPr>
                <w:rStyle w:val="KIRMIZIChar"/>
                <w:rFonts w:eastAsia="Calibri"/>
                <w:strike w:val="0"/>
              </w:rPr>
            </w:pPr>
            <w:r w:rsidRPr="00A23740">
              <w:rPr>
                <w:rFonts w:eastAsia="Times New Roman"/>
                <w:b/>
                <w:color w:val="0000FF"/>
                <w:szCs w:val="24"/>
              </w:rPr>
              <w:t xml:space="preserve">(5) </w:t>
            </w:r>
            <w:r w:rsidR="00CF33C8" w:rsidRPr="00075A70">
              <w:rPr>
                <w:rStyle w:val="MaviChar"/>
              </w:rPr>
              <w:t>Haczi yaptıran alacaklı</w:t>
            </w:r>
            <w:r w:rsidR="00CF33C8" w:rsidRPr="00A23740">
              <w:rPr>
                <w:rFonts w:eastAsia="Times New Roman"/>
                <w:szCs w:val="24"/>
              </w:rPr>
              <w:t xml:space="preserve"> istihkak </w:t>
            </w:r>
            <w:r w:rsidRPr="00A23740">
              <w:rPr>
                <w:rFonts w:eastAsia="Times New Roman"/>
                <w:szCs w:val="24"/>
              </w:rPr>
              <w:t>davasına karşı</w:t>
            </w:r>
            <w:r w:rsidRPr="00A23740">
              <w:rPr>
                <w:rStyle w:val="MaviChar"/>
              </w:rPr>
              <w:t>,</w:t>
            </w:r>
            <w:r w:rsidRPr="00A23740">
              <w:rPr>
                <w:rFonts w:eastAsia="Times New Roman"/>
                <w:szCs w:val="24"/>
              </w:rPr>
              <w:t xml:space="preserve"> </w:t>
            </w:r>
            <w:r w:rsidRPr="00A23740">
              <w:rPr>
                <w:rStyle w:val="MaviChar"/>
              </w:rPr>
              <w:t>haczedilene ilişkin tasarrufun iptali talebini defi olarak ileri sürebileceği gibi,</w:t>
            </w:r>
            <w:r w:rsidRPr="00A23740">
              <w:rPr>
                <w:rFonts w:eastAsia="Times New Roman"/>
                <w:szCs w:val="24"/>
              </w:rPr>
              <w:t xml:space="preserve"> </w:t>
            </w:r>
            <w:r w:rsidRPr="00A23740">
              <w:rPr>
                <w:rFonts w:eastAsia="Times New Roman"/>
                <w:b/>
                <w:color w:val="0000FF"/>
                <w:szCs w:val="24"/>
              </w:rPr>
              <w:t>geçici</w:t>
            </w:r>
            <w:r w:rsidRPr="00A23740">
              <w:rPr>
                <w:rFonts w:eastAsia="Times New Roman"/>
                <w:szCs w:val="24"/>
              </w:rPr>
              <w:t xml:space="preserve"> veya </w:t>
            </w:r>
            <w:r w:rsidRPr="00A23740">
              <w:rPr>
                <w:rFonts w:eastAsia="Times New Roman"/>
                <w:b/>
                <w:color w:val="0000FF"/>
                <w:szCs w:val="24"/>
              </w:rPr>
              <w:t xml:space="preserve">kesin </w:t>
            </w:r>
            <w:r w:rsidRPr="00A23740">
              <w:rPr>
                <w:rFonts w:eastAsia="Times New Roman"/>
                <w:szCs w:val="24"/>
              </w:rPr>
              <w:t xml:space="preserve">aciz belgesi ibrazı </w:t>
            </w:r>
            <w:r w:rsidRPr="00A23740">
              <w:rPr>
                <w:rStyle w:val="MaviChar"/>
              </w:rPr>
              <w:t>zorunluluğu</w:t>
            </w:r>
            <w:r w:rsidRPr="00A23740">
              <w:rPr>
                <w:rFonts w:eastAsia="Times New Roman"/>
                <w:szCs w:val="24"/>
              </w:rPr>
              <w:t xml:space="preserve"> olmaksızın </w:t>
            </w:r>
            <w:r w:rsidRPr="00A23740">
              <w:rPr>
                <w:rFonts w:eastAsia="Times New Roman"/>
                <w:b/>
                <w:color w:val="0000FF"/>
                <w:szCs w:val="24"/>
              </w:rPr>
              <w:t xml:space="preserve">karşı dava açarak </w:t>
            </w:r>
            <w:r w:rsidRPr="00A23740">
              <w:rPr>
                <w:rStyle w:val="MaviChar"/>
              </w:rPr>
              <w:t>da</w:t>
            </w:r>
            <w:r w:rsidRPr="00A23740">
              <w:rPr>
                <w:rFonts w:eastAsia="Times New Roman"/>
                <w:b/>
                <w:color w:val="0000FF"/>
                <w:szCs w:val="24"/>
              </w:rPr>
              <w:t xml:space="preserve"> ileri sürebilir. </w:t>
            </w:r>
            <w:r w:rsidRPr="00A23740">
              <w:rPr>
                <w:rStyle w:val="MaviChar"/>
              </w:rPr>
              <w:t>Bu davalarda</w:t>
            </w:r>
            <w:r w:rsidRPr="00A23740">
              <w:rPr>
                <w:rFonts w:eastAsia="Times New Roman"/>
                <w:szCs w:val="24"/>
              </w:rPr>
              <w:t xml:space="preserve"> tarafların gösterecekleri bütün delilleri hâkim serbestçe </w:t>
            </w:r>
            <w:r w:rsidRPr="00A23740">
              <w:rPr>
                <w:rStyle w:val="MaviChar"/>
              </w:rPr>
              <w:t>değerlendirir</w:t>
            </w:r>
            <w:r w:rsidRPr="00A23740">
              <w:t>.</w:t>
            </w:r>
          </w:p>
          <w:p w:rsidR="00AA5C8C" w:rsidRDefault="00AA5C8C" w:rsidP="009431FF">
            <w:pPr>
              <w:tabs>
                <w:tab w:val="left" w:pos="567"/>
              </w:tabs>
              <w:rPr>
                <w:rFonts w:eastAsia="Times New Roman"/>
                <w:color w:val="0000CC"/>
                <w:szCs w:val="24"/>
              </w:rPr>
            </w:pPr>
          </w:p>
          <w:p w:rsidR="00E36534" w:rsidRPr="00A23740" w:rsidRDefault="00E36534" w:rsidP="009431FF">
            <w:pPr>
              <w:tabs>
                <w:tab w:val="left" w:pos="567"/>
              </w:tabs>
              <w:rPr>
                <w:rFonts w:eastAsia="Times New Roman"/>
                <w:color w:val="0000CC"/>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(6) </w:t>
            </w:r>
            <w:r w:rsidRPr="00A23740">
              <w:t>Çalın</w:t>
            </w:r>
            <w:r w:rsidRPr="00A23740">
              <w:rPr>
                <w:rFonts w:eastAsia="Times New Roman"/>
                <w:b/>
                <w:color w:val="0000FF"/>
                <w:szCs w:val="24"/>
              </w:rPr>
              <w:t xml:space="preserve">an, kaybolan ya da irade dışında elden çıkan </w:t>
            </w:r>
            <w:r w:rsidRPr="00A23740">
              <w:t>şeyler hakkında</w:t>
            </w:r>
            <w:r w:rsidRPr="00A23740">
              <w:rPr>
                <w:rFonts w:eastAsia="Times New Roman"/>
                <w:b/>
                <w:color w:val="0000FF"/>
                <w:szCs w:val="24"/>
              </w:rPr>
              <w:t xml:space="preserve"> Türk Medeni Kanununun 989, 990 ve 991 inci </w:t>
            </w:r>
            <w:r w:rsidRPr="00A23740">
              <w:t xml:space="preserve">maddeleri </w:t>
            </w:r>
            <w:r w:rsidR="00F4535F" w:rsidRPr="00075A70">
              <w:rPr>
                <w:rStyle w:val="MaviChar"/>
              </w:rPr>
              <w:t>hükümleri</w:t>
            </w:r>
            <w:r w:rsidR="00F4535F" w:rsidRPr="00A23740">
              <w:rPr>
                <w:rFonts w:eastAsia="Times New Roman"/>
                <w:b/>
                <w:color w:val="0000FF"/>
                <w:szCs w:val="24"/>
              </w:rPr>
              <w:t xml:space="preserve"> </w:t>
            </w:r>
            <w:r w:rsidRPr="00A23740">
              <w:rPr>
                <w:rFonts w:eastAsia="Times New Roman"/>
                <w:b/>
                <w:color w:val="0000FF"/>
                <w:szCs w:val="24"/>
              </w:rPr>
              <w:t>saklıdır.</w:t>
            </w:r>
          </w:p>
          <w:p w:rsidR="00AA5C8C" w:rsidRPr="00A23740" w:rsidRDefault="00AA5C8C" w:rsidP="009431FF">
            <w:pPr>
              <w:tabs>
                <w:tab w:val="left" w:pos="567"/>
              </w:tabs>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(7)</w:t>
            </w:r>
            <w:r w:rsidRPr="00A23740">
              <w:t xml:space="preserve"> İcra </w:t>
            </w:r>
            <w:r w:rsidRPr="00A23740">
              <w:rPr>
                <w:rFonts w:eastAsia="Times New Roman"/>
                <w:b/>
                <w:color w:val="0000FF"/>
              </w:rPr>
              <w:t>ve iflas</w:t>
            </w:r>
            <w:r w:rsidRPr="00A23740">
              <w:t xml:space="preserve"> dairesi tarafından pazarlık suretiyle yapılan satış </w:t>
            </w:r>
            <w:r w:rsidRPr="00A23740">
              <w:rPr>
                <w:rFonts w:eastAsia="Times New Roman"/>
                <w:b/>
                <w:color w:val="0000FF"/>
                <w:szCs w:val="24"/>
              </w:rPr>
              <w:t xml:space="preserve">Türk Medeni Kanununun 989 uncu maddesinin ikinci fıkrası anlamında </w:t>
            </w:r>
            <w:r w:rsidR="00F4535F" w:rsidRPr="00A23740">
              <w:t>resmî</w:t>
            </w:r>
            <w:r w:rsidRPr="00A23740">
              <w:t xml:space="preserve"> artırma hükmündedir.</w:t>
            </w:r>
          </w:p>
        </w:tc>
      </w:tr>
      <w:tr w:rsidR="005C3738" w:rsidRPr="00A23740" w:rsidTr="009431FF">
        <w:tc>
          <w:tcPr>
            <w:tcW w:w="5000" w:type="pct"/>
            <w:gridSpan w:val="2"/>
            <w:shd w:val="clear" w:color="auto" w:fill="DEEAF6"/>
          </w:tcPr>
          <w:p w:rsidR="00001156" w:rsidRPr="00A23740" w:rsidRDefault="00001156" w:rsidP="009431FF">
            <w:pPr>
              <w:ind w:firstLine="709"/>
              <w:rPr>
                <w:b/>
                <w:szCs w:val="24"/>
              </w:rPr>
            </w:pPr>
          </w:p>
          <w:p w:rsidR="0023602D" w:rsidRPr="00A23740" w:rsidRDefault="005038A0" w:rsidP="009431FF">
            <w:pPr>
              <w:tabs>
                <w:tab w:val="left" w:pos="567"/>
              </w:tabs>
              <w:ind w:firstLine="709"/>
              <w:rPr>
                <w:rFonts w:eastAsia="Times New Roman"/>
                <w:b/>
                <w:color w:val="0000FF"/>
                <w:szCs w:val="24"/>
              </w:rPr>
            </w:pPr>
            <w:r w:rsidRPr="00A23740">
              <w:rPr>
                <w:b/>
                <w:szCs w:val="24"/>
              </w:rPr>
              <w:t>MADDE 436</w:t>
            </w:r>
            <w:r w:rsidR="009917DB" w:rsidRPr="00A23740">
              <w:rPr>
                <w:b/>
                <w:szCs w:val="24"/>
              </w:rPr>
              <w:t xml:space="preserve">- </w:t>
            </w:r>
            <w:r w:rsidR="0023602D" w:rsidRPr="00A23740">
              <w:rPr>
                <w:szCs w:val="24"/>
              </w:rPr>
              <w:t>Maddeyle, istihkak davasında yargılama ve ispata ilişkin hususlar düzenlenmektedir. Hüküm, 2004 sayılı Kanunun 97 nci maddesine karşılık gelmektedir.</w:t>
            </w:r>
            <w:r w:rsidR="0023602D" w:rsidRPr="00A23740">
              <w:rPr>
                <w:rFonts w:eastAsia="Times New Roman"/>
                <w:b/>
                <w:color w:val="0000FF"/>
                <w:szCs w:val="24"/>
              </w:rPr>
              <w:t xml:space="preserve"> </w:t>
            </w:r>
          </w:p>
          <w:p w:rsidR="009917DB" w:rsidRPr="00A23740" w:rsidRDefault="009917DB" w:rsidP="009431FF">
            <w:pPr>
              <w:ind w:firstLine="709"/>
              <w:rPr>
                <w:szCs w:val="24"/>
              </w:rPr>
            </w:pPr>
            <w:r w:rsidRPr="00A23740">
              <w:rPr>
                <w:szCs w:val="24"/>
              </w:rPr>
              <w:t xml:space="preserve">İstihkak davasında yargılama ve ispat başlığını taşıyan bu maddede, istihkak davasında yargılamaya ve ispata ilişkin olarak 2004 sayılı Kanunda dağınık bir biçimde yer alan bazı hususların bir madde altında topluca düzenlenmesinin uygun olacağı düşünülmüştür. Öncelikle belirtmek gerekir ki, </w:t>
            </w:r>
            <w:r w:rsidR="00E50B0B" w:rsidRPr="00A23740">
              <w:rPr>
                <w:szCs w:val="24"/>
              </w:rPr>
              <w:t>Taslağın</w:t>
            </w:r>
            <w:r w:rsidR="00001156" w:rsidRPr="00A23740">
              <w:rPr>
                <w:szCs w:val="24"/>
              </w:rPr>
              <w:t xml:space="preserve"> </w:t>
            </w:r>
            <w:r w:rsidRPr="00A23740">
              <w:rPr>
                <w:szCs w:val="24"/>
              </w:rPr>
              <w:t>icra hukuk mahkemelerinde uygulanan usul hakkındaki hükümleri konuyu düzenlediği için, tekrardan kaçınmak düşüncesiyle 2004 sayılı Kanunun 97 nci maddesinin onbirinci fıkrasında yer alan “</w:t>
            </w:r>
            <w:r w:rsidRPr="00A23740">
              <w:rPr>
                <w:bCs/>
                <w:szCs w:val="24"/>
              </w:rPr>
              <w:t>İstihkak davasına umumi hükümler dairesinde ve basit yargılama usulüne göre bakılır” şeklindeki düzenleme</w:t>
            </w:r>
            <w:r w:rsidRPr="00A23740">
              <w:rPr>
                <w:szCs w:val="24"/>
              </w:rPr>
              <w:t xml:space="preserve">, hükme alınmamıştır. </w:t>
            </w:r>
          </w:p>
          <w:p w:rsidR="009917DB" w:rsidRPr="00A23740" w:rsidRDefault="009917DB" w:rsidP="009431FF">
            <w:pPr>
              <w:ind w:firstLine="709"/>
              <w:rPr>
                <w:bCs/>
                <w:szCs w:val="24"/>
              </w:rPr>
            </w:pPr>
            <w:r w:rsidRPr="00A23740">
              <w:rPr>
                <w:szCs w:val="24"/>
              </w:rPr>
              <w:t xml:space="preserve">Maddenin birinci fıkrası 2004 sayılı Kanunun 97/a maddesinin ikinci fıkrasına karşılık gelmektedir. </w:t>
            </w:r>
            <w:r w:rsidRPr="00A23740">
              <w:rPr>
                <w:bCs/>
                <w:szCs w:val="24"/>
              </w:rPr>
              <w:t xml:space="preserve">Fıkrada esasa ilişkin bir değişiklik yapılmamış, sadece içerik daha açık ve anlaşılır ifadelerle yeniden kaleme alınmıştır. </w:t>
            </w:r>
          </w:p>
          <w:p w:rsidR="009917DB" w:rsidRPr="00A23740" w:rsidRDefault="009917DB" w:rsidP="009431FF">
            <w:pPr>
              <w:ind w:firstLine="709"/>
              <w:rPr>
                <w:bCs/>
                <w:szCs w:val="24"/>
              </w:rPr>
            </w:pPr>
            <w:r w:rsidRPr="00A23740">
              <w:rPr>
                <w:bCs/>
                <w:szCs w:val="24"/>
              </w:rPr>
              <w:t xml:space="preserve">İkinci fıkra 2004 sayılı Kanunun 97/a maddesinin birinci ve ikinci cümlesinin karşılığı olup, hükümde esasa müessir bir değişiklik yapılmamıştır. </w:t>
            </w:r>
          </w:p>
          <w:p w:rsidR="009917DB" w:rsidRPr="00A23740" w:rsidRDefault="009917DB" w:rsidP="009431FF">
            <w:pPr>
              <w:ind w:firstLine="709"/>
              <w:rPr>
                <w:bCs/>
                <w:szCs w:val="24"/>
              </w:rPr>
            </w:pPr>
            <w:r w:rsidRPr="00A23740">
              <w:rPr>
                <w:bCs/>
                <w:szCs w:val="24"/>
              </w:rPr>
              <w:t>Yeni ihdas edilen üçüncü fıkra, 2004 sayılı Kanunun 97/a maddesinin birinci fıkrasının üçüncü ve dördüncü cümlesinin karşılığını oluşturmakla birlikte, içerik olarak istihkak davasına ilişkin hükümlerde yapılan bazı değişiklikler nedeniyle, 2004 sayılı Kanunun 97/a maddesinin birinci fıkrasında yer alan düzenlemeden farklılaşmaktadır. Haczedilen malı borçlu ile üçüncü kişinin birlikte elde bulundurması h</w:t>
            </w:r>
            <w:r w:rsidR="00C2196C" w:rsidRPr="00A23740">
              <w:rPr>
                <w:bCs/>
                <w:szCs w:val="24"/>
              </w:rPr>
              <w:t>â</w:t>
            </w:r>
            <w:r w:rsidRPr="00A23740">
              <w:rPr>
                <w:bCs/>
                <w:szCs w:val="24"/>
              </w:rPr>
              <w:t>linde, mal borçlunun elinde haczedilmiş sayılacaktır. Dolayısıyla</w:t>
            </w:r>
            <w:r w:rsidR="00AE2D1C" w:rsidRPr="00A23740">
              <w:rPr>
                <w:bCs/>
                <w:szCs w:val="24"/>
              </w:rPr>
              <w:t>,</w:t>
            </w:r>
            <w:r w:rsidRPr="00A23740">
              <w:rPr>
                <w:bCs/>
                <w:szCs w:val="24"/>
              </w:rPr>
              <w:t xml:space="preserve"> mal borçlu elinde haczedilmiş sayılacağına göre, bu h</w:t>
            </w:r>
            <w:r w:rsidR="00C2196C" w:rsidRPr="00A23740">
              <w:rPr>
                <w:bCs/>
                <w:szCs w:val="24"/>
              </w:rPr>
              <w:t>â</w:t>
            </w:r>
            <w:r w:rsidRPr="00A23740">
              <w:rPr>
                <w:bCs/>
                <w:szCs w:val="24"/>
              </w:rPr>
              <w:t>lde de borçlu elinde haczedilen malların muhafaza altına alınmasına ilişkin hükümlerin geçerli olması gerektiği ileri sürülebilir. Bu düşüncede haklılık payı olsa bile, malı aynı zamanda borçlu ile birlikte üçüncü kişinin de elde bulundurduğunu göz ardı etmemek gerekir. Diğer bir ifadeyle, her ne kadar bu ihtimalde mal borçlu elinde sayılsa bile</w:t>
            </w:r>
            <w:r w:rsidR="00AE2D1C" w:rsidRPr="00A23740">
              <w:rPr>
                <w:bCs/>
                <w:szCs w:val="24"/>
              </w:rPr>
              <w:t>,</w:t>
            </w:r>
            <w:r w:rsidRPr="00A23740">
              <w:rPr>
                <w:bCs/>
                <w:szCs w:val="24"/>
              </w:rPr>
              <w:t xml:space="preserve"> yine de haczedilen malı üçüncü kişi de elde bulundurmakta ve üstelik haczedilen hakkında, hak iddiasında (istihkak iddiasında) bulunmaktadır. Burada </w:t>
            </w:r>
            <w:r w:rsidR="00AE2D1C" w:rsidRPr="00A23740">
              <w:rPr>
                <w:bCs/>
                <w:szCs w:val="24"/>
              </w:rPr>
              <w:t xml:space="preserve">malın </w:t>
            </w:r>
            <w:r w:rsidRPr="00A23740">
              <w:rPr>
                <w:bCs/>
                <w:szCs w:val="24"/>
              </w:rPr>
              <w:t>münhasıran borçlu elinde bulunması ihtimali değil, birlikte elde bulundurulan ve istihkak iddia edilen bir malın muhafaza altına alınması hususu düzenlenmektedir. Hükme göre</w:t>
            </w:r>
            <w:r w:rsidR="00AE2D1C" w:rsidRPr="00A23740">
              <w:rPr>
                <w:bCs/>
                <w:szCs w:val="24"/>
              </w:rPr>
              <w:t>,</w:t>
            </w:r>
            <w:r w:rsidRPr="00A23740">
              <w:rPr>
                <w:bCs/>
                <w:szCs w:val="24"/>
              </w:rPr>
              <w:t xml:space="preserve"> birlikte elde bulundurulan mal haciz esnasında üçüncü kişi yedieminliği kabul ettiği takdirde üçüncü kişi elinde bırakılacak, yani o esnada muhafaza altına alınamayacaktır. Üçüncü kişi yedieminliği kabul etmediği takdirde, mal adeta borçlu elinde haczedilmiş gibi muhafaza altına alınabilecektir. Birlikte elde bulundurulan ve muhafaza altına alınmayıp üçüncü kişiye yediemin olarak bırakılan mal hakkında </w:t>
            </w:r>
            <w:r w:rsidRPr="00A23740">
              <w:rPr>
                <w:bCs/>
                <w:szCs w:val="24"/>
                <w:lang w:val="x-none"/>
              </w:rPr>
              <w:t>istihkak davası açılması h</w:t>
            </w:r>
            <w:r w:rsidR="00C2196C" w:rsidRPr="00A23740">
              <w:rPr>
                <w:bCs/>
                <w:szCs w:val="24"/>
              </w:rPr>
              <w:t>â</w:t>
            </w:r>
            <w:r w:rsidRPr="00A23740">
              <w:rPr>
                <w:bCs/>
                <w:szCs w:val="24"/>
                <w:lang w:val="x-none"/>
              </w:rPr>
              <w:t>linde</w:t>
            </w:r>
            <w:r w:rsidR="00AE2D1C" w:rsidRPr="00A23740">
              <w:rPr>
                <w:bCs/>
                <w:szCs w:val="24"/>
              </w:rPr>
              <w:t>,</w:t>
            </w:r>
            <w:r w:rsidRPr="00A23740">
              <w:rPr>
                <w:bCs/>
                <w:szCs w:val="24"/>
                <w:lang w:val="x-none"/>
              </w:rPr>
              <w:t xml:space="preserve"> hâkim öncelikle takibin ertelenip ertelenmeyeceğine kendiliğinden karar verecektir. </w:t>
            </w:r>
            <w:r w:rsidRPr="00A23740">
              <w:rPr>
                <w:bCs/>
                <w:szCs w:val="24"/>
              </w:rPr>
              <w:t>Burada istihkak davasına konu olan mal hakkındaki takibin ertelenip ertelenmeyeceğine mahkemece kendiliğinden karar verileceğini, bu konuda ayrıca talepte bulunulmasına gerek olmadığını vurgulamak gerekir. Çünkü takibin akıbeti hakkında verilecek karara göre malın muhafaza altına alınıp alınmayacağı belli olacaktır. Takibin ertelenmesine karar verildiği takdirde, bir ölçüde üçüncü kişinin haklı olma ihtimali de ortaya çıkmış olacağından, haczedilen mal muhafaza altına alınamayacaktır. Ancak</w:t>
            </w:r>
            <w:r w:rsidRPr="00A23740">
              <w:rPr>
                <w:bCs/>
                <w:szCs w:val="24"/>
                <w:lang w:val="x-none"/>
              </w:rPr>
              <w:t xml:space="preserve"> takibin devamına karar verilmesi durumunda haczedilen mal muhafaza altına alınacaktır. </w:t>
            </w:r>
            <w:r w:rsidRPr="00A23740">
              <w:rPr>
                <w:bCs/>
                <w:szCs w:val="24"/>
              </w:rPr>
              <w:t>Takibin devamına karar verilmesi h</w:t>
            </w:r>
            <w:r w:rsidR="00C2196C" w:rsidRPr="00A23740">
              <w:rPr>
                <w:bCs/>
                <w:szCs w:val="24"/>
              </w:rPr>
              <w:t>â</w:t>
            </w:r>
            <w:r w:rsidRPr="00A23740">
              <w:rPr>
                <w:bCs/>
                <w:szCs w:val="24"/>
              </w:rPr>
              <w:t>linde, malın muhafaza altına alınması hususunda icra ve iflas dairesinin bir takdir hakkı olmadığını, bu h</w:t>
            </w:r>
            <w:r w:rsidR="00C2196C" w:rsidRPr="00A23740">
              <w:rPr>
                <w:bCs/>
                <w:szCs w:val="24"/>
              </w:rPr>
              <w:t>â</w:t>
            </w:r>
            <w:r w:rsidRPr="00A23740">
              <w:rPr>
                <w:bCs/>
                <w:szCs w:val="24"/>
              </w:rPr>
              <w:t>lde malın muhafaza a</w:t>
            </w:r>
            <w:r w:rsidR="00870ACC" w:rsidRPr="00A23740">
              <w:rPr>
                <w:bCs/>
                <w:szCs w:val="24"/>
              </w:rPr>
              <w:t>l</w:t>
            </w:r>
            <w:r w:rsidRPr="00A23740">
              <w:rPr>
                <w:bCs/>
                <w:szCs w:val="24"/>
              </w:rPr>
              <w:t>tına alınmak zorunda olduğunu belirtmekte yarar vardır. Böylece, hiç değilse (en azından) takibin devamına karar verilmesi h</w:t>
            </w:r>
            <w:r w:rsidR="00C2196C" w:rsidRPr="00A23740">
              <w:rPr>
                <w:bCs/>
                <w:szCs w:val="24"/>
              </w:rPr>
              <w:t>â</w:t>
            </w:r>
            <w:r w:rsidRPr="00A23740">
              <w:rPr>
                <w:bCs/>
                <w:szCs w:val="24"/>
              </w:rPr>
              <w:t xml:space="preserve">linde malın muhafaza altına alınması hususu kabul edilerek, alacaklı, borçlu ve üçüncü kişi arasındaki menfaatin telif edilmesi ve bu nitelikteki bir mahcuzun </w:t>
            </w:r>
            <w:r w:rsidR="00DF22A1" w:rsidRPr="00A23740">
              <w:rPr>
                <w:szCs w:val="24"/>
              </w:rPr>
              <w:t xml:space="preserve">derhâl </w:t>
            </w:r>
            <w:r w:rsidRPr="00A23740">
              <w:rPr>
                <w:bCs/>
                <w:szCs w:val="24"/>
              </w:rPr>
              <w:t xml:space="preserve">muhafaza altına alınmasından kaynaklanan mağduriyetlerin de önüne geçilmesi amaçlanmaktadır. </w:t>
            </w:r>
          </w:p>
          <w:p w:rsidR="009917DB" w:rsidRPr="00A23740" w:rsidRDefault="009917DB" w:rsidP="009431FF">
            <w:pPr>
              <w:ind w:firstLine="709"/>
              <w:rPr>
                <w:bCs/>
                <w:szCs w:val="24"/>
              </w:rPr>
            </w:pPr>
            <w:r w:rsidRPr="00A23740">
              <w:rPr>
                <w:bCs/>
                <w:szCs w:val="24"/>
              </w:rPr>
              <w:t>Dördüncü fıkra, 2004 sayılı Kanunun</w:t>
            </w:r>
            <w:r w:rsidR="00E50B0B" w:rsidRPr="00A23740">
              <w:rPr>
                <w:bCs/>
                <w:szCs w:val="24"/>
              </w:rPr>
              <w:t xml:space="preserve"> 97/a maddesinin birinci fıkrasının</w:t>
            </w:r>
            <w:r w:rsidRPr="00A23740">
              <w:rPr>
                <w:bCs/>
                <w:szCs w:val="24"/>
              </w:rPr>
              <w:t xml:space="preserve"> dördüncü ve beşinci cümlesinin karşılığı olup, esasa ilişkin bir değişiklik yapılmamıştır. </w:t>
            </w:r>
          </w:p>
          <w:p w:rsidR="009917DB" w:rsidRPr="00A23740" w:rsidRDefault="009917DB" w:rsidP="009431FF">
            <w:pPr>
              <w:ind w:firstLine="709"/>
              <w:rPr>
                <w:bCs/>
                <w:szCs w:val="24"/>
              </w:rPr>
            </w:pPr>
            <w:r w:rsidRPr="00A23740">
              <w:rPr>
                <w:bCs/>
                <w:szCs w:val="24"/>
              </w:rPr>
              <w:t>Beşinci fıkra</w:t>
            </w:r>
            <w:r w:rsidR="00E50B0B" w:rsidRPr="00A23740">
              <w:rPr>
                <w:bCs/>
                <w:szCs w:val="24"/>
              </w:rPr>
              <w:t>,</w:t>
            </w:r>
            <w:r w:rsidRPr="00A23740">
              <w:rPr>
                <w:bCs/>
                <w:szCs w:val="24"/>
              </w:rPr>
              <w:t xml:space="preserve"> 2004 sayılı Kanunun 97 nci maddesinin </w:t>
            </w:r>
            <w:r w:rsidR="00E50B0B" w:rsidRPr="00A23740">
              <w:rPr>
                <w:bCs/>
                <w:szCs w:val="24"/>
              </w:rPr>
              <w:t>onyedi</w:t>
            </w:r>
            <w:r w:rsidRPr="00A23740">
              <w:rPr>
                <w:bCs/>
                <w:szCs w:val="24"/>
              </w:rPr>
              <w:t>nci fıkrasının karşılığını teşkil etmektedir. Eski düzenleme esas</w:t>
            </w:r>
            <w:r w:rsidR="00870ACC" w:rsidRPr="00A23740">
              <w:rPr>
                <w:bCs/>
                <w:szCs w:val="24"/>
              </w:rPr>
              <w:t xml:space="preserve"> </w:t>
            </w:r>
            <w:r w:rsidR="00870ACC" w:rsidRPr="00075A70">
              <w:t>itibarıyla</w:t>
            </w:r>
            <w:r w:rsidRPr="00A23740">
              <w:rPr>
                <w:bCs/>
                <w:szCs w:val="24"/>
              </w:rPr>
              <w:t xml:space="preserve"> korunmakla birlikte, yenilik olarak, doktrindeki görüşlere ve Yargıtay içtihatlarına uygun olarak, tasarrufun iptali talebinin defi olarak da ileri sürülebileceği açıkça hüküm altına alınmıştır. Esasen alacaklının iptal talebini defi olarak ileri sürmesine de bir engel </w:t>
            </w:r>
            <w:r w:rsidR="00AE2D1C" w:rsidRPr="00A23740">
              <w:rPr>
                <w:bCs/>
                <w:szCs w:val="24"/>
              </w:rPr>
              <w:t>bulun</w:t>
            </w:r>
            <w:r w:rsidRPr="00A23740">
              <w:rPr>
                <w:bCs/>
                <w:szCs w:val="24"/>
              </w:rPr>
              <w:t>mamak gerekir. Zira gerek karşı dava yoluyla tasarrufun iptalinin sağlanması gerekse istihka</w:t>
            </w:r>
            <w:r w:rsidR="00E50B0B" w:rsidRPr="00A23740">
              <w:rPr>
                <w:bCs/>
                <w:szCs w:val="24"/>
              </w:rPr>
              <w:t>k davasında iptal talebinin def</w:t>
            </w:r>
            <w:r w:rsidRPr="00A23740">
              <w:rPr>
                <w:bCs/>
                <w:szCs w:val="24"/>
              </w:rPr>
              <w:t>i olarak ileri sürülmesi ve neticesinde istihkak davasının reddinin sağlanması h</w:t>
            </w:r>
            <w:r w:rsidR="00C2196C" w:rsidRPr="00A23740">
              <w:rPr>
                <w:bCs/>
                <w:szCs w:val="24"/>
              </w:rPr>
              <w:t>â</w:t>
            </w:r>
            <w:r w:rsidRPr="00A23740">
              <w:rPr>
                <w:bCs/>
                <w:szCs w:val="24"/>
              </w:rPr>
              <w:t>linde, alacaklı ekonomik bakımdan aynı amacı elde etmiş olacaktır. Dolayısıyla</w:t>
            </w:r>
            <w:r w:rsidR="00AE2D1C" w:rsidRPr="00A23740">
              <w:rPr>
                <w:bCs/>
                <w:szCs w:val="24"/>
              </w:rPr>
              <w:t>,</w:t>
            </w:r>
            <w:r w:rsidRPr="00A23740">
              <w:rPr>
                <w:bCs/>
                <w:szCs w:val="24"/>
              </w:rPr>
              <w:t xml:space="preserve"> haczi yaptıran alacaklı tasarrufun iptali talebini, karşı dava açarak ileri sürebilec</w:t>
            </w:r>
            <w:r w:rsidR="00E50B0B" w:rsidRPr="00A23740">
              <w:rPr>
                <w:bCs/>
                <w:szCs w:val="24"/>
              </w:rPr>
              <w:t>eği gibi istihkak davasında def</w:t>
            </w:r>
            <w:r w:rsidRPr="00A23740">
              <w:rPr>
                <w:bCs/>
                <w:szCs w:val="24"/>
              </w:rPr>
              <w:t>i olarak da ileri sürebilecek, yani bu hususta bir seçim hakkına sahip olacaktır. Alacaklının iptal talebini karşı dava açarak ileri sürmesi h</w:t>
            </w:r>
            <w:r w:rsidR="00C2196C" w:rsidRPr="00A23740">
              <w:rPr>
                <w:bCs/>
                <w:szCs w:val="24"/>
              </w:rPr>
              <w:t>â</w:t>
            </w:r>
            <w:r w:rsidRPr="00A23740">
              <w:rPr>
                <w:bCs/>
                <w:szCs w:val="24"/>
              </w:rPr>
              <w:t xml:space="preserve">linde, söz konusu karşı dava (özellikle açılma süresi vb. gibi hususlarda) </w:t>
            </w:r>
            <w:r w:rsidR="00E50B0B" w:rsidRPr="00A23740">
              <w:rPr>
                <w:bCs/>
                <w:szCs w:val="24"/>
              </w:rPr>
              <w:t>6100 sayılı Kanun hükümlerine tabi olacaktır.</w:t>
            </w:r>
          </w:p>
          <w:p w:rsidR="009917DB" w:rsidRPr="00A23740" w:rsidRDefault="009917DB" w:rsidP="009431FF">
            <w:pPr>
              <w:ind w:firstLine="709"/>
              <w:rPr>
                <w:bCs/>
                <w:szCs w:val="24"/>
              </w:rPr>
            </w:pPr>
            <w:r w:rsidRPr="00A23740">
              <w:rPr>
                <w:bCs/>
                <w:szCs w:val="24"/>
              </w:rPr>
              <w:t>Altıncı fıkra</w:t>
            </w:r>
            <w:r w:rsidR="00E50B0B" w:rsidRPr="00A23740">
              <w:rPr>
                <w:bCs/>
                <w:szCs w:val="24"/>
              </w:rPr>
              <w:t>,</w:t>
            </w:r>
            <w:r w:rsidRPr="00A23740">
              <w:rPr>
                <w:bCs/>
                <w:szCs w:val="24"/>
              </w:rPr>
              <w:t xml:space="preserve"> 2004 sayılı Kanunun 98 inci maddesinin birinci fıkrasının karşılığı olup, hükümde esaslı bir değişiklik yapılmamış, sadece fıkraya “irade dışında elden çıkan” şeyler de ilave edilmiş ve mülga </w:t>
            </w:r>
            <w:r w:rsidR="00E50B0B" w:rsidRPr="00A23740">
              <w:rPr>
                <w:bCs/>
                <w:szCs w:val="24"/>
              </w:rPr>
              <w:t xml:space="preserve">743 sayılı </w:t>
            </w:r>
            <w:r w:rsidR="00EE57E0" w:rsidRPr="00075A70">
              <w:t>Kanunun</w:t>
            </w:r>
            <w:r w:rsidR="00EE57E0" w:rsidRPr="00A23740">
              <w:rPr>
                <w:bCs/>
                <w:szCs w:val="24"/>
              </w:rPr>
              <w:t xml:space="preserve"> </w:t>
            </w:r>
            <w:r w:rsidR="00E50B0B" w:rsidRPr="00A23740">
              <w:rPr>
                <w:bCs/>
                <w:szCs w:val="24"/>
              </w:rPr>
              <w:t>fıkrada geçen hükümleri, mer</w:t>
            </w:r>
            <w:r w:rsidRPr="00A23740">
              <w:rPr>
                <w:bCs/>
                <w:szCs w:val="24"/>
              </w:rPr>
              <w:t xml:space="preserve">i 4721 sayılı </w:t>
            </w:r>
            <w:r w:rsidR="00E50B0B" w:rsidRPr="00A23740">
              <w:rPr>
                <w:bCs/>
                <w:szCs w:val="24"/>
              </w:rPr>
              <w:t>Kanunun</w:t>
            </w:r>
            <w:r w:rsidRPr="00A23740">
              <w:rPr>
                <w:bCs/>
                <w:szCs w:val="24"/>
              </w:rPr>
              <w:t xml:space="preserve"> karşılık gelen</w:t>
            </w:r>
            <w:r w:rsidR="00E50B0B" w:rsidRPr="00A23740">
              <w:rPr>
                <w:bCs/>
                <w:szCs w:val="24"/>
              </w:rPr>
              <w:t xml:space="preserve"> hükümleri ile güncellenmiştir.</w:t>
            </w:r>
          </w:p>
          <w:p w:rsidR="009917DB" w:rsidRPr="00A23740" w:rsidRDefault="009917DB" w:rsidP="009431FF">
            <w:pPr>
              <w:ind w:firstLine="709"/>
              <w:rPr>
                <w:bCs/>
                <w:szCs w:val="24"/>
              </w:rPr>
            </w:pPr>
            <w:r w:rsidRPr="00A23740">
              <w:rPr>
                <w:bCs/>
                <w:szCs w:val="24"/>
              </w:rPr>
              <w:t>Yedinci fıkra</w:t>
            </w:r>
            <w:r w:rsidR="00E50B0B" w:rsidRPr="00A23740">
              <w:rPr>
                <w:bCs/>
                <w:szCs w:val="24"/>
              </w:rPr>
              <w:t>,</w:t>
            </w:r>
            <w:r w:rsidRPr="00A23740">
              <w:rPr>
                <w:bCs/>
                <w:szCs w:val="24"/>
              </w:rPr>
              <w:t xml:space="preserve"> 2004 sayılı Kanunun 98 inci maddesinin ikinci fıkrasının karşılığını teşkil etmekte olup, fıkrada herhangi bir değişiklik yapılmamış, sadece mülga </w:t>
            </w:r>
            <w:r w:rsidR="00E50B0B" w:rsidRPr="00A23740">
              <w:rPr>
                <w:bCs/>
                <w:szCs w:val="24"/>
              </w:rPr>
              <w:t>743 sayılı</w:t>
            </w:r>
            <w:r w:rsidR="00EE57E0" w:rsidRPr="00A23740">
              <w:rPr>
                <w:bCs/>
                <w:szCs w:val="24"/>
              </w:rPr>
              <w:t xml:space="preserve"> </w:t>
            </w:r>
            <w:r w:rsidR="00EE57E0" w:rsidRPr="00075A70">
              <w:t>Kanunun</w:t>
            </w:r>
            <w:r w:rsidR="00E50B0B" w:rsidRPr="00A23740">
              <w:rPr>
                <w:bCs/>
                <w:szCs w:val="24"/>
              </w:rPr>
              <w:t xml:space="preserve"> </w:t>
            </w:r>
            <w:r w:rsidRPr="00A23740">
              <w:rPr>
                <w:bCs/>
                <w:szCs w:val="24"/>
              </w:rPr>
              <w:t>fık</w:t>
            </w:r>
            <w:r w:rsidR="00E50B0B" w:rsidRPr="00A23740">
              <w:rPr>
                <w:bCs/>
                <w:szCs w:val="24"/>
              </w:rPr>
              <w:t>rada geçen 902 nci maddesi, mer</w:t>
            </w:r>
            <w:r w:rsidRPr="00A23740">
              <w:rPr>
                <w:bCs/>
                <w:szCs w:val="24"/>
              </w:rPr>
              <w:t xml:space="preserve">i 4721 sayılı </w:t>
            </w:r>
            <w:r w:rsidR="00E50B0B" w:rsidRPr="00A23740">
              <w:rPr>
                <w:bCs/>
                <w:szCs w:val="24"/>
              </w:rPr>
              <w:t>Ka</w:t>
            </w:r>
            <w:r w:rsidRPr="00A23740">
              <w:rPr>
                <w:bCs/>
                <w:szCs w:val="24"/>
              </w:rPr>
              <w:t>nunda karşılığını teşkil eden 989 uncu maddesi yazı</w:t>
            </w:r>
            <w:r w:rsidR="00EE57E0" w:rsidRPr="00A23740">
              <w:rPr>
                <w:bCs/>
                <w:szCs w:val="24"/>
              </w:rPr>
              <w:t>lmak suretiyle güncellenmiştir.</w:t>
            </w:r>
          </w:p>
          <w:p w:rsidR="005C3738" w:rsidRPr="00A23740" w:rsidRDefault="005C373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Borders>
              <w:bottom w:val="single" w:sz="4" w:space="0" w:color="000000"/>
            </w:tcBorders>
          </w:tcPr>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2 – Üçüncü şahsın istihkak iddiası :</w:t>
            </w:r>
          </w:p>
          <w:p w:rsidR="00AA5C8C" w:rsidRPr="00A23740" w:rsidRDefault="00AA5C8C" w:rsidP="009431FF">
            <w:pPr>
              <w:pStyle w:val="KIRMIZI"/>
              <w:rPr>
                <w:lang w:val="tr-TR"/>
              </w:rPr>
            </w:pPr>
            <w:r w:rsidRPr="00A23740">
              <w:rPr>
                <w:lang w:val="tr-TR"/>
              </w:rPr>
              <w:t xml:space="preserve">Madde 97- </w:t>
            </w:r>
          </w:p>
          <w:p w:rsidR="00AA5C8C" w:rsidRPr="00A23740" w:rsidRDefault="00AA5C8C" w:rsidP="009431FF">
            <w:pPr>
              <w:rPr>
                <w:rFonts w:eastAsia="Times New Roman"/>
                <w:color w:val="000000"/>
                <w:szCs w:val="24"/>
                <w:lang w:eastAsia="tr-TR"/>
              </w:rPr>
            </w:pPr>
            <w:r w:rsidRPr="00A23740">
              <w:rPr>
                <w:rFonts w:eastAsia="Times New Roman"/>
                <w:b/>
                <w:color w:val="FF0000"/>
                <w:szCs w:val="24"/>
                <w:lang w:eastAsia="tr-TR"/>
              </w:rPr>
              <w:t>(15)</w:t>
            </w:r>
            <w:r w:rsidRPr="00A23740">
              <w:rPr>
                <w:rFonts w:eastAsia="Times New Roman"/>
                <w:color w:val="000000"/>
                <w:szCs w:val="24"/>
                <w:lang w:eastAsia="tr-TR"/>
              </w:rPr>
              <w:t xml:space="preserve"> İstihkak davası </w:t>
            </w:r>
            <w:r w:rsidRPr="00A23740">
              <w:rPr>
                <w:rStyle w:val="KIRMIZIChar"/>
                <w:rFonts w:eastAsia="Calibri"/>
                <w:lang w:eastAsia="tr-TR"/>
              </w:rPr>
              <w:t>sabit olur ve birinci fıkra gereğince istihkak iddiasına karşı itiraz eden alacaklı veya borçlunun kötü niyeti tahakkuk ederse haczolunan malın değerinin yüzde onbeşinden aşağı olmamak üzere itiraz edenden tazminat alınmasına asıl dava ile birlikte hükmolunur.</w:t>
            </w:r>
          </w:p>
          <w:p w:rsidR="00AA5C8C" w:rsidRPr="00A23740" w:rsidRDefault="00AA5C8C" w:rsidP="009431FF">
            <w:pPr>
              <w:tabs>
                <w:tab w:val="left" w:pos="567"/>
              </w:tabs>
              <w:rPr>
                <w:rFonts w:eastAsia="Times New Roman"/>
                <w:szCs w:val="24"/>
              </w:rPr>
            </w:pPr>
          </w:p>
          <w:p w:rsidR="00AA5C8C" w:rsidRDefault="00AA5C8C" w:rsidP="009431FF">
            <w:pPr>
              <w:tabs>
                <w:tab w:val="left" w:pos="567"/>
              </w:tabs>
              <w:rPr>
                <w:rFonts w:eastAsia="Times New Roman"/>
                <w:szCs w:val="24"/>
              </w:rPr>
            </w:pPr>
          </w:p>
          <w:p w:rsidR="00AA5C8C" w:rsidRDefault="00AA5C8C" w:rsidP="009431FF">
            <w:pPr>
              <w:tabs>
                <w:tab w:val="left" w:pos="567"/>
              </w:tabs>
              <w:rPr>
                <w:rFonts w:eastAsia="Times New Roman"/>
                <w:szCs w:val="24"/>
              </w:rPr>
            </w:pPr>
          </w:p>
          <w:p w:rsidR="00F76168" w:rsidRDefault="00F76168" w:rsidP="009431FF">
            <w:pPr>
              <w:tabs>
                <w:tab w:val="left" w:pos="567"/>
              </w:tabs>
              <w:rPr>
                <w:rFonts w:eastAsia="Times New Roman"/>
                <w:szCs w:val="24"/>
              </w:rPr>
            </w:pPr>
          </w:p>
          <w:p w:rsidR="00F76168" w:rsidRDefault="00F76168" w:rsidP="009431FF">
            <w:pPr>
              <w:tabs>
                <w:tab w:val="left" w:pos="567"/>
              </w:tabs>
              <w:rPr>
                <w:rFonts w:eastAsia="Times New Roman"/>
                <w:szCs w:val="24"/>
              </w:rPr>
            </w:pPr>
          </w:p>
          <w:p w:rsidR="00F76168" w:rsidRDefault="00F76168" w:rsidP="009431FF">
            <w:pPr>
              <w:tabs>
                <w:tab w:val="left" w:pos="567"/>
              </w:tabs>
              <w:rPr>
                <w:rFonts w:eastAsia="Times New Roman"/>
                <w:szCs w:val="24"/>
              </w:rPr>
            </w:pPr>
          </w:p>
          <w:p w:rsidR="00F76168" w:rsidRPr="00A23740" w:rsidRDefault="00F76168" w:rsidP="009431FF">
            <w:pPr>
              <w:tabs>
                <w:tab w:val="left" w:pos="567"/>
              </w:tabs>
              <w:rPr>
                <w:rFonts w:eastAsia="Times New Roman"/>
                <w:szCs w:val="24"/>
              </w:rPr>
            </w:pPr>
          </w:p>
          <w:p w:rsidR="00AA5C8C" w:rsidRPr="00A23740" w:rsidRDefault="00AA5C8C" w:rsidP="009431FF">
            <w:pPr>
              <w:rPr>
                <w:rStyle w:val="KIRMIZIChar"/>
                <w:rFonts w:eastAsia="Calibri"/>
              </w:rPr>
            </w:pPr>
            <w:r w:rsidRPr="00A23740">
              <w:rPr>
                <w:rFonts w:eastAsia="Times New Roman"/>
                <w:b/>
                <w:bCs/>
                <w:color w:val="FF0000"/>
                <w:szCs w:val="24"/>
                <w:lang w:eastAsia="tr-TR"/>
              </w:rPr>
              <w:t>(13)</w:t>
            </w:r>
            <w:r w:rsidRPr="00A23740">
              <w:rPr>
                <w:rFonts w:eastAsia="Times New Roman"/>
                <w:b/>
                <w:bCs/>
                <w:color w:val="000000"/>
                <w:szCs w:val="24"/>
                <w:lang w:eastAsia="tr-TR"/>
              </w:rPr>
              <w:t xml:space="preserve"> </w:t>
            </w:r>
            <w:r w:rsidRPr="00A23740">
              <w:rPr>
                <w:rStyle w:val="KIRMIZIChar"/>
                <w:rFonts w:eastAsia="Calibri"/>
                <w:lang w:eastAsia="tr-TR"/>
              </w:rPr>
              <w:t>(Değişik: 9/11/1988-3494/11 md.)</w:t>
            </w:r>
            <w:r w:rsidRPr="00A23740">
              <w:rPr>
                <w:rFonts w:eastAsia="Times New Roman"/>
                <w:color w:val="000000"/>
                <w:szCs w:val="24"/>
                <w:lang w:eastAsia="tr-TR"/>
              </w:rPr>
              <w:t xml:space="preserve"> İstihkak davası </w:t>
            </w:r>
            <w:r w:rsidRPr="00A23740">
              <w:rPr>
                <w:lang w:eastAsia="tr-TR"/>
              </w:rPr>
              <w:t>üzerine takibin</w:t>
            </w:r>
            <w:r w:rsidRPr="00A23740">
              <w:rPr>
                <w:rStyle w:val="KIRMIZIChar"/>
                <w:rFonts w:eastAsia="Calibri"/>
                <w:lang w:eastAsia="tr-TR"/>
              </w:rPr>
              <w:t xml:space="preserve"> talikine</w:t>
            </w:r>
            <w:r w:rsidRPr="00A23740">
              <w:rPr>
                <w:rStyle w:val="KIRMIZIChar"/>
                <w:rFonts w:eastAsia="Calibri"/>
                <w:strike w:val="0"/>
                <w:lang w:eastAsia="tr-TR"/>
              </w:rPr>
              <w:t xml:space="preserve"> </w:t>
            </w:r>
            <w:r w:rsidRPr="00A23740">
              <w:rPr>
                <w:lang w:eastAsia="tr-TR"/>
              </w:rPr>
              <w:t>karar verilip de</w:t>
            </w:r>
            <w:r w:rsidRPr="00A23740">
              <w:rPr>
                <w:rStyle w:val="KIRMIZIChar"/>
                <w:rFonts w:eastAsia="Calibri"/>
                <w:strike w:val="0"/>
                <w:lang w:eastAsia="tr-TR"/>
              </w:rPr>
              <w:t xml:space="preserve"> </w:t>
            </w:r>
            <w:r w:rsidRPr="00A23740">
              <w:rPr>
                <w:rStyle w:val="KIRMIZIChar"/>
                <w:rFonts w:eastAsia="Calibri"/>
                <w:lang w:eastAsia="tr-TR"/>
              </w:rPr>
              <w:t>neticede</w:t>
            </w:r>
            <w:r w:rsidRPr="00A23740">
              <w:rPr>
                <w:rStyle w:val="KIRMIZIChar"/>
                <w:rFonts w:eastAsia="Calibri"/>
                <w:strike w:val="0"/>
                <w:lang w:eastAsia="tr-TR"/>
              </w:rPr>
              <w:t xml:space="preserve"> </w:t>
            </w:r>
            <w:r w:rsidRPr="00A23740">
              <w:rPr>
                <w:lang w:eastAsia="tr-TR"/>
              </w:rPr>
              <w:t>dava</w:t>
            </w:r>
            <w:r w:rsidRPr="00A23740">
              <w:rPr>
                <w:rStyle w:val="KIRMIZIChar"/>
                <w:rFonts w:eastAsia="Calibri"/>
                <w:strike w:val="0"/>
                <w:lang w:eastAsia="tr-TR"/>
              </w:rPr>
              <w:t xml:space="preserve"> </w:t>
            </w:r>
            <w:r w:rsidRPr="00A23740">
              <w:rPr>
                <w:rStyle w:val="KIRMIZIChar"/>
                <w:rFonts w:eastAsia="Calibri"/>
                <w:lang w:eastAsia="tr-TR"/>
              </w:rPr>
              <w:t>reddolunursa alacaklının alacağından bu dava dolayısıyla istifası geciken miktarın</w:t>
            </w:r>
            <w:r w:rsidRPr="00A23740">
              <w:rPr>
                <w:rFonts w:eastAsia="Times New Roman"/>
                <w:color w:val="000000"/>
                <w:szCs w:val="24"/>
                <w:lang w:eastAsia="tr-TR"/>
              </w:rPr>
              <w:t xml:space="preserve"> yüzde yirmisinden aşağı olmamak üzere </w:t>
            </w:r>
            <w:r w:rsidRPr="00A23740">
              <w:rPr>
                <w:rStyle w:val="KIRMIZIChar"/>
                <w:rFonts w:eastAsia="Calibri"/>
                <w:lang w:eastAsia="tr-TR"/>
              </w:rPr>
              <w:t>davacıdan</w:t>
            </w:r>
            <w:r w:rsidRPr="00A23740">
              <w:rPr>
                <w:rFonts w:eastAsia="Times New Roman"/>
                <w:color w:val="000000"/>
                <w:szCs w:val="24"/>
                <w:lang w:eastAsia="tr-TR"/>
              </w:rPr>
              <w:t xml:space="preserve"> tazminat </w:t>
            </w:r>
            <w:r w:rsidRPr="00A23740">
              <w:rPr>
                <w:rStyle w:val="KIRMIZIChar"/>
                <w:rFonts w:eastAsia="Calibri"/>
              </w:rPr>
              <w:t>alınmasına hükmolunur.</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szCs w:val="24"/>
              </w:rPr>
            </w:pPr>
            <w:r w:rsidRPr="00A23740">
              <w:rPr>
                <w:rFonts w:eastAsia="Times New Roman"/>
                <w:b/>
                <w:bCs/>
                <w:color w:val="FF0000"/>
                <w:szCs w:val="24"/>
                <w:lang w:eastAsia="tr-TR"/>
              </w:rPr>
              <w:t>(14)</w:t>
            </w:r>
            <w:r w:rsidRPr="00A23740">
              <w:rPr>
                <w:rFonts w:eastAsia="Times New Roman"/>
                <w:b/>
                <w:bCs/>
                <w:color w:val="000000"/>
                <w:szCs w:val="24"/>
                <w:lang w:eastAsia="tr-TR"/>
              </w:rPr>
              <w:t xml:space="preserve"> </w:t>
            </w:r>
            <w:r w:rsidRPr="00A23740">
              <w:rPr>
                <w:rStyle w:val="KIRMIZIChar"/>
                <w:rFonts w:eastAsia="Calibri"/>
                <w:lang w:eastAsia="tr-TR"/>
              </w:rPr>
              <w:t>(Değişik ondördüncü fıkra: 2/3/2005-5311/9 md.)</w:t>
            </w:r>
            <w:r w:rsidRPr="00A23740">
              <w:rPr>
                <w:rStyle w:val="KIRMIZIChar"/>
                <w:rFonts w:eastAsia="Calibri"/>
              </w:rPr>
              <w:t xml:space="preserve"> </w:t>
            </w:r>
            <w:r w:rsidRPr="00A23740">
              <w:rPr>
                <w:rStyle w:val="KIRMIZIChar"/>
                <w:rFonts w:eastAsia="Calibri"/>
                <w:lang w:eastAsia="tr-TR"/>
              </w:rPr>
              <w:t>Davanın reddi hakkındaki karara karşı istinaf veya temyiz yoluna başvuran istihkak davacısı icra dairesinden</w:t>
            </w:r>
            <w:r w:rsidRPr="00A23740">
              <w:rPr>
                <w:rFonts w:eastAsia="Times New Roman"/>
                <w:color w:val="000000"/>
                <w:szCs w:val="24"/>
                <w:lang w:eastAsia="tr-TR"/>
              </w:rPr>
              <w:t xml:space="preserve"> 36 ncı madde</w:t>
            </w:r>
            <w:r w:rsidRPr="00A23740">
              <w:rPr>
                <w:rStyle w:val="KIRMIZIChar"/>
                <w:rFonts w:eastAsia="Calibri"/>
                <w:lang w:eastAsia="tr-TR"/>
              </w:rPr>
              <w:t>ye</w:t>
            </w:r>
            <w:r w:rsidRPr="00A23740">
              <w:rPr>
                <w:rFonts w:eastAsia="Times New Roman"/>
                <w:color w:val="000000"/>
                <w:szCs w:val="24"/>
                <w:lang w:eastAsia="tr-TR"/>
              </w:rPr>
              <w:t xml:space="preserve"> </w:t>
            </w:r>
            <w:r w:rsidRPr="00A23740">
              <w:rPr>
                <w:rStyle w:val="KIRMIZIChar"/>
                <w:rFonts w:eastAsia="Calibri"/>
                <w:lang w:eastAsia="tr-TR"/>
              </w:rPr>
              <w:t>göre mühlet isteyebilir.</w:t>
            </w:r>
          </w:p>
        </w:tc>
        <w:tc>
          <w:tcPr>
            <w:tcW w:w="2500" w:type="pct"/>
            <w:tcBorders>
              <w:bottom w:val="single" w:sz="4" w:space="0" w:color="000000"/>
            </w:tcBorders>
          </w:tcPr>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İstihkak davasının hüküm ve sonuçları</w:t>
            </w:r>
          </w:p>
          <w:p w:rsidR="00AA5C8C" w:rsidRPr="00A23740" w:rsidRDefault="005038A0" w:rsidP="009431FF">
            <w:pPr>
              <w:tabs>
                <w:tab w:val="left" w:pos="567"/>
              </w:tabs>
              <w:rPr>
                <w:rFonts w:eastAsia="Times New Roman"/>
                <w:b/>
                <w:color w:val="0000FF"/>
                <w:szCs w:val="24"/>
              </w:rPr>
            </w:pPr>
            <w:r w:rsidRPr="00A23740">
              <w:rPr>
                <w:rFonts w:eastAsia="Times New Roman"/>
                <w:b/>
                <w:color w:val="0000FF"/>
                <w:szCs w:val="24"/>
              </w:rPr>
              <w:t>MADDE 437</w:t>
            </w:r>
            <w:r w:rsidR="00AA5C8C" w:rsidRPr="00A23740">
              <w:rPr>
                <w:rFonts w:eastAsia="Times New Roman"/>
                <w:b/>
                <w:color w:val="0000FF"/>
                <w:szCs w:val="24"/>
              </w:rPr>
              <w:t>- (1)  İstihkak davasın</w:t>
            </w:r>
            <w:r w:rsidR="00AA5C8C" w:rsidRPr="00A23740">
              <w:rPr>
                <w:rStyle w:val="MaviChar"/>
              </w:rPr>
              <w:t xml:space="preserve">da dava konusu haczedilen mal hakkında takibin ertelenmesine karar verilirse, karar tarihinden itibaren satış isteme süresi </w:t>
            </w:r>
            <w:r w:rsidR="00AA5C8C" w:rsidRPr="00A23740">
              <w:rPr>
                <w:rFonts w:eastAsia="Times New Roman"/>
                <w:b/>
                <w:color w:val="0000FF"/>
                <w:szCs w:val="24"/>
              </w:rPr>
              <w:t>işlemez.</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(2) </w:t>
            </w:r>
            <w:r w:rsidRPr="00A23740">
              <w:t>İstihkak</w:t>
            </w:r>
            <w:r w:rsidRPr="00A23740">
              <w:rPr>
                <w:rFonts w:eastAsia="Times New Roman"/>
                <w:b/>
                <w:color w:val="0000FF"/>
                <w:szCs w:val="24"/>
              </w:rPr>
              <w:t xml:space="preserve"> </w:t>
            </w:r>
            <w:r w:rsidRPr="00A23740">
              <w:t>davası</w:t>
            </w:r>
            <w:r w:rsidRPr="00A23740">
              <w:rPr>
                <w:rFonts w:eastAsia="Times New Roman"/>
                <w:b/>
                <w:color w:val="0000FF"/>
                <w:szCs w:val="24"/>
              </w:rPr>
              <w:t xml:space="preserve">nda hüküm verilmeden önce </w:t>
            </w:r>
            <w:r w:rsidRPr="00A23740">
              <w:rPr>
                <w:rStyle w:val="MaviChar"/>
              </w:rPr>
              <w:t>haczedilen şey paraya çevrilmiş bulunursa, davaya haczedilen şeyin bedeli üzerinden devam edilir. Hâkim</w:t>
            </w:r>
            <w:r w:rsidRPr="00A23740">
              <w:rPr>
                <w:rStyle w:val="MaviChar"/>
                <w:lang w:val="tr-TR"/>
              </w:rPr>
              <w:t>,</w:t>
            </w:r>
            <w:r w:rsidRPr="00A23740">
              <w:rPr>
                <w:rStyle w:val="MaviChar"/>
              </w:rPr>
              <w:t xml:space="preserve"> bu bedelin hükmün kesinleşmesine kadar ödenmemesi veya teminat karşılığında ya da durumun</w:t>
            </w:r>
            <w:r w:rsidRPr="00A23740">
              <w:rPr>
                <w:rFonts w:eastAsia="Times New Roman"/>
                <w:b/>
                <w:color w:val="0000FF"/>
                <w:szCs w:val="24"/>
              </w:rPr>
              <w:t xml:space="preserve"> gereğine göre teminatsız olarak derh</w:t>
            </w:r>
            <w:r w:rsidR="00DF22A1" w:rsidRPr="00A23740">
              <w:rPr>
                <w:rFonts w:eastAsia="Times New Roman"/>
                <w:b/>
                <w:color w:val="0000FF"/>
                <w:szCs w:val="24"/>
              </w:rPr>
              <w:t>â</w:t>
            </w:r>
            <w:r w:rsidRPr="00A23740">
              <w:rPr>
                <w:rFonts w:eastAsia="Times New Roman"/>
                <w:b/>
                <w:color w:val="0000FF"/>
                <w:szCs w:val="24"/>
              </w:rPr>
              <w:t>l alacaklıya verilmesi hususunda ayrıca karar verir.</w:t>
            </w:r>
          </w:p>
          <w:p w:rsidR="00AA5C8C" w:rsidRPr="00A23740" w:rsidRDefault="00AA5C8C" w:rsidP="009431FF">
            <w:pPr>
              <w:tabs>
                <w:tab w:val="left" w:pos="567"/>
              </w:tabs>
              <w:rPr>
                <w:rFonts w:eastAsia="Times New Roman"/>
                <w:color w:val="0000CC"/>
                <w:szCs w:val="24"/>
              </w:rPr>
            </w:pPr>
            <w:r w:rsidRPr="00A23740">
              <w:rPr>
                <w:rFonts w:eastAsia="Times New Roman"/>
                <w:b/>
                <w:color w:val="0000FF"/>
                <w:szCs w:val="24"/>
              </w:rPr>
              <w:t xml:space="preserve">(3) </w:t>
            </w:r>
            <w:r w:rsidRPr="00A23740">
              <w:rPr>
                <w:rStyle w:val="MaviChar"/>
              </w:rPr>
              <w:t>İstihkak davası kabul ed</w:t>
            </w:r>
            <w:r w:rsidR="00870ACC" w:rsidRPr="00A23740">
              <w:rPr>
                <w:rStyle w:val="MaviChar"/>
              </w:rPr>
              <w:t>ilirse, davanın açılmasına kötü</w:t>
            </w:r>
            <w:r w:rsidRPr="00A23740">
              <w:rPr>
                <w:rStyle w:val="MaviChar"/>
              </w:rPr>
              <w:t>niyetle sebebiyet veren alacaklı, talep h</w:t>
            </w:r>
            <w:r w:rsidR="004E0BBE" w:rsidRPr="00A23740">
              <w:rPr>
                <w:rStyle w:val="MaviChar"/>
                <w:lang w:val="tr-TR"/>
              </w:rPr>
              <w:t>â</w:t>
            </w:r>
            <w:r w:rsidRPr="00A23740">
              <w:rPr>
                <w:rStyle w:val="MaviChar"/>
              </w:rPr>
              <w:t>linde haczedilenin değerinin yüzde yirmisinden aşağı olmamak üzere tazminata mahk</w:t>
            </w:r>
            <w:r w:rsidR="00506C64" w:rsidRPr="00A23740">
              <w:rPr>
                <w:rStyle w:val="MaviChar"/>
                <w:lang w:val="tr-TR"/>
              </w:rPr>
              <w:t>û</w:t>
            </w:r>
            <w:r w:rsidRPr="00A23740">
              <w:rPr>
                <w:rStyle w:val="MaviChar"/>
              </w:rPr>
              <w:t>m edilir.</w:t>
            </w:r>
          </w:p>
          <w:p w:rsidR="00AA5C8C" w:rsidRPr="00A23740" w:rsidRDefault="00AA5C8C" w:rsidP="009431FF">
            <w:pPr>
              <w:tabs>
                <w:tab w:val="left" w:pos="567"/>
              </w:tabs>
              <w:rPr>
                <w:rFonts w:eastAsia="Times New Roman"/>
                <w:color w:val="0000CC"/>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(4) </w:t>
            </w:r>
            <w:r w:rsidRPr="00A23740">
              <w:t>İstihkak davası üzerine takibin</w:t>
            </w:r>
            <w:r w:rsidRPr="00A23740">
              <w:rPr>
                <w:rFonts w:eastAsia="Times New Roman"/>
                <w:b/>
                <w:color w:val="0000FF"/>
                <w:szCs w:val="24"/>
              </w:rPr>
              <w:t xml:space="preserve"> ertelenmesine </w:t>
            </w:r>
            <w:r w:rsidRPr="00A23740">
              <w:t>karar verilip de</w:t>
            </w:r>
            <w:r w:rsidRPr="00A23740">
              <w:rPr>
                <w:rFonts w:eastAsia="Times New Roman"/>
                <w:b/>
                <w:color w:val="0000FF"/>
                <w:szCs w:val="24"/>
              </w:rPr>
              <w:t xml:space="preserve"> sonuçta </w:t>
            </w:r>
            <w:r w:rsidRPr="00A23740">
              <w:t>dava</w:t>
            </w:r>
            <w:r w:rsidRPr="00A23740">
              <w:rPr>
                <w:rFonts w:eastAsia="Times New Roman"/>
                <w:b/>
                <w:color w:val="0000FF"/>
                <w:szCs w:val="24"/>
              </w:rPr>
              <w:t xml:space="preserve"> </w:t>
            </w:r>
            <w:r w:rsidRPr="00A23740">
              <w:rPr>
                <w:rStyle w:val="MaviChar"/>
              </w:rPr>
              <w:t>reddedilirse davacı, talep</w:t>
            </w:r>
            <w:r w:rsidRPr="00A23740">
              <w:rPr>
                <w:rFonts w:eastAsia="Times New Roman"/>
                <w:b/>
                <w:color w:val="0000FF"/>
                <w:szCs w:val="24"/>
              </w:rPr>
              <w:t xml:space="preserve"> h</w:t>
            </w:r>
            <w:r w:rsidR="004E0BBE" w:rsidRPr="00A23740">
              <w:rPr>
                <w:rFonts w:eastAsia="Times New Roman"/>
                <w:b/>
                <w:color w:val="0000FF"/>
                <w:szCs w:val="24"/>
              </w:rPr>
              <w:t>â</w:t>
            </w:r>
            <w:r w:rsidRPr="00A23740">
              <w:rPr>
                <w:rFonts w:eastAsia="Times New Roman"/>
                <w:b/>
                <w:color w:val="0000FF"/>
                <w:szCs w:val="24"/>
              </w:rPr>
              <w:t xml:space="preserve">linde takip konusu alacak miktarı ile dava konusu haczedilenin değerinden hangisi az ise onun üzerinden </w:t>
            </w:r>
            <w:r w:rsidRPr="00A23740">
              <w:rPr>
                <w:rStyle w:val="MaviChar"/>
              </w:rPr>
              <w:t xml:space="preserve">ve </w:t>
            </w:r>
            <w:r w:rsidRPr="00A23740">
              <w:t>yüzde yirmiden aşağı olmamak üzere tazminat</w:t>
            </w:r>
            <w:r w:rsidRPr="00A23740">
              <w:rPr>
                <w:rStyle w:val="MaviChar"/>
              </w:rPr>
              <w:t>a mahk</w:t>
            </w:r>
            <w:r w:rsidR="00506C64" w:rsidRPr="00A23740">
              <w:rPr>
                <w:rStyle w:val="MaviChar"/>
                <w:lang w:val="tr-TR"/>
              </w:rPr>
              <w:t>û</w:t>
            </w:r>
            <w:r w:rsidRPr="00A23740">
              <w:rPr>
                <w:rStyle w:val="MaviChar"/>
              </w:rPr>
              <w:t>m edilir.</w:t>
            </w:r>
            <w:r w:rsidRPr="00A23740">
              <w:rPr>
                <w:rFonts w:eastAsia="Times New Roman"/>
                <w:b/>
                <w:color w:val="0000FF"/>
                <w:szCs w:val="24"/>
              </w:rPr>
              <w:t xml:space="preserve"> </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pPr>
            <w:r w:rsidRPr="00A23740">
              <w:rPr>
                <w:rFonts w:eastAsia="Times New Roman"/>
                <w:b/>
                <w:color w:val="0000FF"/>
                <w:szCs w:val="24"/>
              </w:rPr>
              <w:t>(5) Kanun</w:t>
            </w:r>
            <w:r w:rsidRPr="00A23740">
              <w:rPr>
                <w:rStyle w:val="Balk3Char"/>
                <w:rFonts w:eastAsia="Calibri"/>
              </w:rPr>
              <w:t xml:space="preserve"> yoluna başvuran</w:t>
            </w:r>
            <w:r w:rsidRPr="00A23740">
              <w:rPr>
                <w:rFonts w:eastAsia="Times New Roman"/>
                <w:b/>
                <w:color w:val="0000FF"/>
                <w:szCs w:val="24"/>
              </w:rPr>
              <w:t xml:space="preserve"> davacı üçüncü </w:t>
            </w:r>
            <w:r w:rsidRPr="00A23740">
              <w:rPr>
                <w:rStyle w:val="MaviChar"/>
              </w:rPr>
              <w:t>kişi, daha</w:t>
            </w:r>
            <w:r w:rsidRPr="00A23740">
              <w:rPr>
                <w:rFonts w:eastAsia="Times New Roman"/>
                <w:b/>
                <w:color w:val="0000FF"/>
                <w:szCs w:val="24"/>
              </w:rPr>
              <w:t xml:space="preserve"> önce takibin ertelenmesine karar </w:t>
            </w:r>
            <w:r w:rsidRPr="00A23740">
              <w:rPr>
                <w:rStyle w:val="MaviChar"/>
              </w:rPr>
              <w:t>verilmemişse takip konusu alacak miktarı ile dava konusu haczedilenin değerinden hangisi az ise onun üzerinden alınacak teminat karşılığında</w:t>
            </w:r>
            <w:r w:rsidRPr="00A23740">
              <w:rPr>
                <w:rStyle w:val="MaviChar"/>
                <w:lang w:val="tr-TR"/>
              </w:rPr>
              <w:t xml:space="preserve"> </w:t>
            </w:r>
            <w:r w:rsidRPr="00A23740">
              <w:rPr>
                <w:rStyle w:val="MaviChar"/>
              </w:rPr>
              <w:t xml:space="preserve">icranın ertelenmesine ilişkin 55 inci </w:t>
            </w:r>
            <w:r w:rsidRPr="00A23740">
              <w:t>madde</w:t>
            </w:r>
            <w:r w:rsidRPr="00A23740">
              <w:rPr>
                <w:rStyle w:val="MaviChar"/>
              </w:rPr>
              <w:t xml:space="preserve"> uyarınca erteleme</w:t>
            </w:r>
            <w:r w:rsidRPr="00A23740">
              <w:rPr>
                <w:rStyle w:val="MaviChar"/>
                <w:lang w:val="tr-TR"/>
              </w:rPr>
              <w:t xml:space="preserve"> </w:t>
            </w:r>
            <w:r w:rsidRPr="00A23740">
              <w:rPr>
                <w:rStyle w:val="MaviChar"/>
              </w:rPr>
              <w:t>talep edebilir.</w:t>
            </w:r>
          </w:p>
          <w:p w:rsidR="00AA5C8C" w:rsidRPr="00A23740" w:rsidRDefault="00AA5C8C" w:rsidP="009431FF">
            <w:pPr>
              <w:tabs>
                <w:tab w:val="left" w:pos="567"/>
              </w:tabs>
              <w:rPr>
                <w:rFonts w:eastAsia="Times New Roman" w:cs="Calibri"/>
              </w:rPr>
            </w:pPr>
          </w:p>
        </w:tc>
      </w:tr>
      <w:tr w:rsidR="005C3738" w:rsidRPr="00A23740" w:rsidTr="009431FF">
        <w:tc>
          <w:tcPr>
            <w:tcW w:w="5000" w:type="pct"/>
            <w:gridSpan w:val="2"/>
            <w:shd w:val="clear" w:color="auto" w:fill="DEEAF6"/>
          </w:tcPr>
          <w:p w:rsidR="00E50B0B" w:rsidRPr="00A23740" w:rsidRDefault="00E50B0B" w:rsidP="009431FF">
            <w:pPr>
              <w:ind w:firstLine="709"/>
              <w:rPr>
                <w:b/>
                <w:bCs/>
                <w:szCs w:val="24"/>
                <w:lang w:eastAsia="x-none"/>
              </w:rPr>
            </w:pPr>
          </w:p>
          <w:p w:rsidR="009917DB" w:rsidRPr="00A23740" w:rsidRDefault="005038A0" w:rsidP="009431FF">
            <w:pPr>
              <w:ind w:firstLine="709"/>
              <w:rPr>
                <w:bCs/>
                <w:szCs w:val="24"/>
              </w:rPr>
            </w:pPr>
            <w:r w:rsidRPr="00A23740">
              <w:rPr>
                <w:b/>
                <w:bCs/>
                <w:szCs w:val="24"/>
              </w:rPr>
              <w:t>MADDE 437</w:t>
            </w:r>
            <w:r w:rsidR="00E50B0B" w:rsidRPr="00A23740">
              <w:rPr>
                <w:b/>
                <w:bCs/>
                <w:szCs w:val="24"/>
              </w:rPr>
              <w:t>-</w:t>
            </w:r>
            <w:r w:rsidR="009917DB" w:rsidRPr="00A23740">
              <w:rPr>
                <w:b/>
                <w:bCs/>
                <w:szCs w:val="24"/>
              </w:rPr>
              <w:t xml:space="preserve"> </w:t>
            </w:r>
            <w:r w:rsidR="009917DB" w:rsidRPr="00A23740">
              <w:rPr>
                <w:bCs/>
                <w:szCs w:val="24"/>
              </w:rPr>
              <w:t>Maddenin birinci fıkrası yeni olup istihkak davasının satış isteme süresine etkisini düzenlemektedir.</w:t>
            </w:r>
            <w:r w:rsidR="009917DB" w:rsidRPr="00A23740">
              <w:rPr>
                <w:b/>
                <w:bCs/>
                <w:szCs w:val="24"/>
              </w:rPr>
              <w:t xml:space="preserve"> </w:t>
            </w:r>
            <w:r w:rsidR="009917DB" w:rsidRPr="00A23740">
              <w:rPr>
                <w:bCs/>
                <w:szCs w:val="24"/>
              </w:rPr>
              <w:t xml:space="preserve">2004 sayılı Kanunun 97 nci maddesinin </w:t>
            </w:r>
            <w:r w:rsidR="00E50B0B" w:rsidRPr="00A23740">
              <w:rPr>
                <w:bCs/>
                <w:szCs w:val="24"/>
              </w:rPr>
              <w:t>sekiz</w:t>
            </w:r>
            <w:r w:rsidR="009917DB" w:rsidRPr="00A23740">
              <w:rPr>
                <w:bCs/>
                <w:szCs w:val="24"/>
              </w:rPr>
              <w:t xml:space="preserve">inci fıkrasında, dava esnasında satış isteme süresinin işlemeyeceğine dair düzenleme yer almaktaydı. Ancak bu düzenleme uygulamada icra </w:t>
            </w:r>
            <w:r w:rsidR="007D74DD" w:rsidRPr="00814E71">
              <w:t>ve iflas</w:t>
            </w:r>
            <w:r w:rsidR="007D74DD" w:rsidRPr="00A23740">
              <w:rPr>
                <w:b/>
                <w:color w:val="385623"/>
              </w:rPr>
              <w:t xml:space="preserve"> </w:t>
            </w:r>
            <w:r w:rsidR="009917DB" w:rsidRPr="00A23740">
              <w:rPr>
                <w:bCs/>
                <w:szCs w:val="24"/>
              </w:rPr>
              <w:t>müdürleri tarafından çok geniş olarak, yani istihkak davasının açılmış olduğu her h</w:t>
            </w:r>
            <w:r w:rsidR="00C2196C" w:rsidRPr="00A23740">
              <w:rPr>
                <w:bCs/>
                <w:szCs w:val="24"/>
              </w:rPr>
              <w:t>â</w:t>
            </w:r>
            <w:r w:rsidR="009917DB" w:rsidRPr="00A23740">
              <w:rPr>
                <w:bCs/>
                <w:szCs w:val="24"/>
              </w:rPr>
              <w:t>lde</w:t>
            </w:r>
            <w:r w:rsidR="00BB530C" w:rsidRPr="00A23740">
              <w:rPr>
                <w:bCs/>
                <w:szCs w:val="24"/>
              </w:rPr>
              <w:t>,</w:t>
            </w:r>
            <w:r w:rsidR="009917DB" w:rsidRPr="00A23740">
              <w:rPr>
                <w:bCs/>
                <w:szCs w:val="24"/>
              </w:rPr>
              <w:t xml:space="preserve"> takibin ertelenmesine karar verilmiş olup olmadığına bakılmaksızın, salt dava açılmış olmasının satış isteme süresini durduracağı şeklinde anlaşılmaktaydı. Hâlbuki haczedilen şey hakkında salt istihkak davası açılmış olması, tek başına dava konusu şey hakkında satış isteme süresini durdurmaz. Zira haczedilen hakkında salt istihkak davası açılmasının takibi durdurucu bir etkisi yoktur. İşte uygulamadaki, satış isteme süresinin işletilmemesi yönündeki doğru olmayan eğilimi bertaraf etmek için birinci fıkranın bu şekilde değiştirilmesi kabul edilmiştir. Kabul edilen bu yeni hükme göre, istihkak davasına bakan mahkemece ancak dava konusu mahcuz hakkındaki takibin durdurulmasına karar verilirse, bu karar tarihinden itibaren satış isteme süresi işlemeyecek, yani sürenin işlemesi dur</w:t>
            </w:r>
            <w:r w:rsidR="00E50B0B" w:rsidRPr="00A23740">
              <w:rPr>
                <w:bCs/>
                <w:szCs w:val="24"/>
              </w:rPr>
              <w:t>acaktır.</w:t>
            </w:r>
          </w:p>
          <w:p w:rsidR="009917DB" w:rsidRPr="00A23740" w:rsidRDefault="009917DB" w:rsidP="009431FF">
            <w:pPr>
              <w:ind w:firstLine="709"/>
              <w:rPr>
                <w:bCs/>
                <w:szCs w:val="24"/>
              </w:rPr>
            </w:pPr>
            <w:r w:rsidRPr="00A23740">
              <w:rPr>
                <w:bCs/>
                <w:szCs w:val="24"/>
              </w:rPr>
              <w:t xml:space="preserve">İkinci fıkra 2004 sayılı Kanunun 97 nci maddesinin </w:t>
            </w:r>
            <w:r w:rsidR="00E50B0B" w:rsidRPr="00A23740">
              <w:rPr>
                <w:bCs/>
                <w:szCs w:val="24"/>
              </w:rPr>
              <w:t>on</w:t>
            </w:r>
            <w:r w:rsidRPr="00A23740">
              <w:rPr>
                <w:bCs/>
                <w:szCs w:val="24"/>
              </w:rPr>
              <w:t>uncu fıkrasının karşılığını teşkil etmekle birlikte, hükmün içeriğinde bazı değişiklikler yapılmıştır. Öncelikle</w:t>
            </w:r>
            <w:r w:rsidR="00BB530C" w:rsidRPr="00A23740">
              <w:rPr>
                <w:bCs/>
                <w:szCs w:val="24"/>
              </w:rPr>
              <w:t>,</w:t>
            </w:r>
            <w:r w:rsidRPr="00A23740">
              <w:rPr>
                <w:bCs/>
                <w:szCs w:val="24"/>
              </w:rPr>
              <w:t xml:space="preserve"> mevcut metindeki “istihkak davası neticelenmeden” ibaresinin, hükmün verilmesinden önce mahcuzun paraya çevrilmesini ifade ettiği belirtilerek durum açıklığa kavuşturulmuştur. Ayrıca bu h</w:t>
            </w:r>
            <w:r w:rsidR="00C2196C" w:rsidRPr="00A23740">
              <w:rPr>
                <w:bCs/>
                <w:szCs w:val="24"/>
              </w:rPr>
              <w:t>â</w:t>
            </w:r>
            <w:r w:rsidRPr="00A23740">
              <w:rPr>
                <w:bCs/>
                <w:szCs w:val="24"/>
              </w:rPr>
              <w:t>lde</w:t>
            </w:r>
            <w:r w:rsidR="00BB530C" w:rsidRPr="00A23740">
              <w:rPr>
                <w:bCs/>
                <w:szCs w:val="24"/>
              </w:rPr>
              <w:t>,</w:t>
            </w:r>
            <w:r w:rsidRPr="00A23740">
              <w:rPr>
                <w:bCs/>
                <w:szCs w:val="24"/>
              </w:rPr>
              <w:t xml:space="preserve"> davanın konusuz kalmayacağı ve davaya haczedilen şeyin artık bedeli üzerinden devam edileceği açıkça ifade edilmiştir. Bu </w:t>
            </w:r>
            <w:r w:rsidR="00BB530C" w:rsidRPr="00A23740">
              <w:rPr>
                <w:bCs/>
                <w:szCs w:val="24"/>
              </w:rPr>
              <w:t xml:space="preserve">takdirde </w:t>
            </w:r>
            <w:r w:rsidRPr="00A23740">
              <w:rPr>
                <w:bCs/>
                <w:szCs w:val="24"/>
              </w:rPr>
              <w:t xml:space="preserve">davacının, davasını bedele dönüştürmesine gerek olmayıp, dava konusu kanundan dolayı kendiliğinden malın bedeline dönüşecektir. Öte yandan dava esnasında satılan malın bedelinin alacaklıya ödenmesine ilişkin olarak mevcut metinde geçen “yargılama neticesine kadar” ifadesine açıklık getirilmiş, bundan maksadın hükmün verilmesi değil, hükmün kesinleşmesi olduğu </w:t>
            </w:r>
            <w:r w:rsidR="00BB530C" w:rsidRPr="00A23740">
              <w:rPr>
                <w:bCs/>
                <w:szCs w:val="24"/>
              </w:rPr>
              <w:t>açıklanmıştır</w:t>
            </w:r>
            <w:r w:rsidRPr="00A23740">
              <w:rPr>
                <w:bCs/>
                <w:szCs w:val="24"/>
              </w:rPr>
              <w:t>. Getirilen yeni düzenlemeye göre hâkim, mahcuz malın satış bedelinin hükmün kesinleşmesine kadar alacaklıya ödenmemesine karar verebileceği gibi</w:t>
            </w:r>
            <w:r w:rsidR="00BB530C" w:rsidRPr="00A23740">
              <w:rPr>
                <w:bCs/>
                <w:szCs w:val="24"/>
              </w:rPr>
              <w:t>,</w:t>
            </w:r>
            <w:r w:rsidRPr="00A23740">
              <w:rPr>
                <w:bCs/>
                <w:szCs w:val="24"/>
              </w:rPr>
              <w:t xml:space="preserve"> teminat karşılığında ya da durumun gereğine göre teminatsız olarak </w:t>
            </w:r>
            <w:r w:rsidR="00DF22A1" w:rsidRPr="00A23740">
              <w:rPr>
                <w:szCs w:val="24"/>
              </w:rPr>
              <w:t xml:space="preserve">derhâl </w:t>
            </w:r>
            <w:r w:rsidRPr="00A23740">
              <w:rPr>
                <w:bCs/>
                <w:szCs w:val="24"/>
              </w:rPr>
              <w:t>alacaklıya verilmesine de karar verebilecektir. Böylece mevcut metinde olduğu gibi, hem satılan malın bedeli hakkında bu kararlardan hangisinin verileceği hususunda hem de bedelin alacaklıya ödenmesine karar verilen h</w:t>
            </w:r>
            <w:r w:rsidR="00C2196C" w:rsidRPr="00A23740">
              <w:rPr>
                <w:bCs/>
                <w:szCs w:val="24"/>
              </w:rPr>
              <w:t>â</w:t>
            </w:r>
            <w:r w:rsidRPr="00A23740">
              <w:rPr>
                <w:bCs/>
                <w:szCs w:val="24"/>
              </w:rPr>
              <w:t>llerde teminat alınıp alınmaması hususunda hâkime takdir hakkı tanınmıştır. Belirtmek gerekir ki, bunun için herhangi bir talebe gerek olmayıp, hâkim bu hususlarda kendiliğinde</w:t>
            </w:r>
            <w:r w:rsidR="00E50B0B" w:rsidRPr="00A23740">
              <w:rPr>
                <w:bCs/>
                <w:szCs w:val="24"/>
              </w:rPr>
              <w:t>n bir karar vermek zorundadır.</w:t>
            </w:r>
          </w:p>
          <w:p w:rsidR="009917DB" w:rsidRPr="00A23740" w:rsidRDefault="009917DB" w:rsidP="009431FF">
            <w:pPr>
              <w:ind w:firstLine="709"/>
              <w:rPr>
                <w:bCs/>
                <w:szCs w:val="24"/>
              </w:rPr>
            </w:pPr>
            <w:r w:rsidRPr="00A23740">
              <w:rPr>
                <w:bCs/>
                <w:szCs w:val="24"/>
              </w:rPr>
              <w:t xml:space="preserve">Üçüncü fıkra 2004 sayılı Kanunun 97 nci maddesinin </w:t>
            </w:r>
            <w:r w:rsidR="00E50B0B" w:rsidRPr="00A23740">
              <w:rPr>
                <w:bCs/>
                <w:szCs w:val="24"/>
              </w:rPr>
              <w:t>onbeşi</w:t>
            </w:r>
            <w:r w:rsidRPr="00A23740">
              <w:rPr>
                <w:bCs/>
                <w:szCs w:val="24"/>
              </w:rPr>
              <w:t>nci fıkrasının karşılığını teşkil etmekle birlikte, mevcut metinden içerik olarak bazı farklılıklar taşımaktadır. Öncelikle istihkak davasının sabit olması şeklindeki ifadeden maksadın, istihkak davasının kabul edilmesi olduğu ifade edilmiştir. Davanın kabulü h</w:t>
            </w:r>
            <w:r w:rsidR="00C2196C" w:rsidRPr="00A23740">
              <w:rPr>
                <w:bCs/>
                <w:szCs w:val="24"/>
              </w:rPr>
              <w:t>â</w:t>
            </w:r>
            <w:r w:rsidRPr="00A23740">
              <w:rPr>
                <w:bCs/>
                <w:szCs w:val="24"/>
              </w:rPr>
              <w:t>linde mevcut metne göre alacaklının tazminata mahkûm edilebilmesi için</w:t>
            </w:r>
            <w:r w:rsidR="00BB530C" w:rsidRPr="00A23740">
              <w:rPr>
                <w:bCs/>
                <w:szCs w:val="24"/>
              </w:rPr>
              <w:t>,</w:t>
            </w:r>
            <w:r w:rsidRPr="00A23740">
              <w:rPr>
                <w:bCs/>
                <w:szCs w:val="24"/>
              </w:rPr>
              <w:t xml:space="preserve"> istihkak iddiasına kötüniyetle itiraz etmiş olması gerekmektedir. Oysa artık istihkak davasına ilişkin hükümlerde istihkak iddiasına itiraz prosedürü kaldırılıp doğrudan dava açılması usulü kabul edildiği için, bunun sonucu olarak alacaklının kötüniyetli olarak dava açılmasına sebebiyet verip vermediğine bakılacaktır. Yine istihkak iddiasına itiraz prosedürünün kaldırılması nedeniyle, mevcut metindeki borçlunun da tazminata mahkûm edileceğine ilişkin düzenlemeye, yeni metinde yer verilmemiştir. Öte yandan alacaklının mahkûm edileceği tazminatın belirlenmesinde esas alınacak değer, mevcut metinde olduğu gibi mahcuz malın değeridir. Ancak alacaklının mahkûm edileceği tazminat oranında bir değişiklik yapılmıştır. </w:t>
            </w:r>
            <w:r w:rsidR="00BB530C" w:rsidRPr="00A23740">
              <w:rPr>
                <w:bCs/>
                <w:szCs w:val="24"/>
              </w:rPr>
              <w:t>2004 sayılı K</w:t>
            </w:r>
            <w:r w:rsidRPr="00A23740">
              <w:rPr>
                <w:bCs/>
                <w:szCs w:val="24"/>
              </w:rPr>
              <w:t xml:space="preserve">anunun tazminat öngören hükümlerinde tazminat oranı hep yüzde yirmiden aşağı olmamak üzere belirlenmiştir. Oysa alacaklının burada mahkûm edileceği oran </w:t>
            </w:r>
            <w:r w:rsidR="00BB530C" w:rsidRPr="00A23740">
              <w:rPr>
                <w:bCs/>
                <w:szCs w:val="24"/>
              </w:rPr>
              <w:t>“</w:t>
            </w:r>
            <w:r w:rsidRPr="00A23740">
              <w:rPr>
                <w:bCs/>
                <w:szCs w:val="24"/>
              </w:rPr>
              <w:t>yüzde on beşten aşağı olmamak üzere</w:t>
            </w:r>
            <w:r w:rsidR="00BB530C" w:rsidRPr="00A23740">
              <w:rPr>
                <w:bCs/>
                <w:szCs w:val="24"/>
              </w:rPr>
              <w:t>”</w:t>
            </w:r>
            <w:r w:rsidRPr="00A23740">
              <w:rPr>
                <w:bCs/>
                <w:szCs w:val="24"/>
              </w:rPr>
              <w:t xml:space="preserve"> şeklinde kalmıştır. Yeknesaklık ve eşitliği sağlamak için alacaklının mahkûm edileceği tazminat oranının da yüzde yirmiden aşağı olmayacak şekilde belirlenmesine karar verilmiştir. Son olarak belirtmek gerekir ki alacaklının tazminata mahkûm edilebilmesi için, davacı üçüncü kişinin bu konuda talepte bulunmuş olması şarttır. </w:t>
            </w:r>
          </w:p>
          <w:p w:rsidR="009917DB" w:rsidRPr="00A23740" w:rsidRDefault="009917DB" w:rsidP="009431FF">
            <w:pPr>
              <w:ind w:firstLine="709"/>
              <w:rPr>
                <w:bCs/>
                <w:szCs w:val="24"/>
              </w:rPr>
            </w:pPr>
            <w:r w:rsidRPr="00A23740">
              <w:rPr>
                <w:bCs/>
                <w:szCs w:val="24"/>
              </w:rPr>
              <w:t xml:space="preserve">Dördüncü fıkra 2004 sayılı Kanunun 97 nci maddesinin </w:t>
            </w:r>
            <w:r w:rsidR="00E50B0B" w:rsidRPr="00A23740">
              <w:rPr>
                <w:bCs/>
                <w:szCs w:val="24"/>
              </w:rPr>
              <w:t>onüç</w:t>
            </w:r>
            <w:r w:rsidRPr="00A23740">
              <w:rPr>
                <w:bCs/>
                <w:szCs w:val="24"/>
              </w:rPr>
              <w:t>üncü fıkrasının karşılığını teşkil etmektedir. Ancak fıkrada bazı hususlarda değişiklikler yapılarak mevcut metinde muğlak kalan bazı noktalarda doktrindeki görüşlere ve Yargıtay kararlarına uygun olarak açıklık getirilmiştir. Öncelikle davacı üçüncü kişinin tazminata mahkûm edilebilmesi için, dava konusu mahcuz hakkında takibin ertelenmesine karar verilmiş ve neticede de davanın reddedilmiş olması gerekir. İkinci olarak mevcut metinde yer alan “alacaklının alacağından bu dava dolayısıyla istifası geciken miktarın” şeklindeki ifadede yer alan miktardan ne anlaşılması gerektiği açıklığa kavuşturulmuştur. Bu konudaki doktrin görüşleri ve Yargıtay kararları esas alınarak getirilen yeni düzenlemeye göre, davacı takip konusu alacak miktarı ile dava konusu haczedilenin değerinden hangisi az ise onun üzerinden tazminata mahkûm edilecektir. Esasen davacının, takip konusu alacak miktarı kadar tazminata mahkûm edilmesi hakkaniyete aykırı sonuçlara sebebiy</w:t>
            </w:r>
            <w:r w:rsidR="004E0BBE" w:rsidRPr="00A23740">
              <w:rPr>
                <w:bCs/>
                <w:szCs w:val="24"/>
              </w:rPr>
              <w:t>et verecektir. Örneğin 100.000 l</w:t>
            </w:r>
            <w:r w:rsidRPr="00A23740">
              <w:rPr>
                <w:bCs/>
                <w:szCs w:val="24"/>
              </w:rPr>
              <w:t>iralık alacağın tahsili amacıyla yapılan bir takipte, istihkak davasına konu olan</w:t>
            </w:r>
            <w:r w:rsidR="004E0BBE" w:rsidRPr="00A23740">
              <w:rPr>
                <w:bCs/>
                <w:szCs w:val="24"/>
              </w:rPr>
              <w:t xml:space="preserve"> mahcuz malın değerinin 20.000 l</w:t>
            </w:r>
            <w:r w:rsidRPr="00A23740">
              <w:rPr>
                <w:bCs/>
                <w:szCs w:val="24"/>
              </w:rPr>
              <w:t>ira olması h</w:t>
            </w:r>
            <w:r w:rsidR="004E0BBE" w:rsidRPr="00A23740">
              <w:rPr>
                <w:bCs/>
                <w:szCs w:val="24"/>
              </w:rPr>
              <w:t>â</w:t>
            </w:r>
            <w:r w:rsidRPr="00A23740">
              <w:rPr>
                <w:bCs/>
                <w:szCs w:val="24"/>
              </w:rPr>
              <w:t>linde, davacının takip konusu alacak miktarı üzerinden tazminata mahkûm edilmesi söz konusu olamaz. Çünkü alacaklının bu takipte istihkak davası nedeniyle elde etmesi geciken alacak miktarı, ancak mahcuz malın değeri kadar</w:t>
            </w:r>
            <w:r w:rsidR="004E0BBE" w:rsidRPr="00A23740">
              <w:rPr>
                <w:bCs/>
                <w:szCs w:val="24"/>
              </w:rPr>
              <w:t>dır. Tersi durumda yani 20.000 l</w:t>
            </w:r>
            <w:r w:rsidRPr="00A23740">
              <w:rPr>
                <w:bCs/>
                <w:szCs w:val="24"/>
              </w:rPr>
              <w:t>iralık bir alacak için yapılan takipte istihkak davasına konu olan malın de</w:t>
            </w:r>
            <w:r w:rsidR="004E0BBE" w:rsidRPr="00A23740">
              <w:rPr>
                <w:bCs/>
                <w:szCs w:val="24"/>
              </w:rPr>
              <w:t>ğerinin 100.000 l</w:t>
            </w:r>
            <w:r w:rsidRPr="00A23740">
              <w:rPr>
                <w:bCs/>
                <w:szCs w:val="24"/>
              </w:rPr>
              <w:t>ira olması h</w:t>
            </w:r>
            <w:r w:rsidR="00C2196C" w:rsidRPr="00A23740">
              <w:rPr>
                <w:bCs/>
                <w:szCs w:val="24"/>
              </w:rPr>
              <w:t>â</w:t>
            </w:r>
            <w:r w:rsidRPr="00A23740">
              <w:rPr>
                <w:bCs/>
                <w:szCs w:val="24"/>
              </w:rPr>
              <w:t>linde ise</w:t>
            </w:r>
            <w:r w:rsidR="00BB530C" w:rsidRPr="00A23740">
              <w:rPr>
                <w:bCs/>
                <w:szCs w:val="24"/>
              </w:rPr>
              <w:t>,</w:t>
            </w:r>
            <w:r w:rsidRPr="00A23740">
              <w:rPr>
                <w:bCs/>
                <w:szCs w:val="24"/>
              </w:rPr>
              <w:t xml:space="preserve"> alacaklının bu kez dava konusu malın değeri üzerinden tazminata mahkûm edilmesi kabul edilemez. Çünkü dava konusu malın paraya çevrilmesi h</w:t>
            </w:r>
            <w:r w:rsidR="00C2196C" w:rsidRPr="00A23740">
              <w:rPr>
                <w:bCs/>
                <w:szCs w:val="24"/>
              </w:rPr>
              <w:t>â</w:t>
            </w:r>
            <w:r w:rsidRPr="00A23740">
              <w:rPr>
                <w:bCs/>
                <w:szCs w:val="24"/>
              </w:rPr>
              <w:t>linde, alacaklı malın satış bedelinden ancak takip konusu alacak miktarı kadarını alabilecektir. Öte yandan davacı üçüncü kişinin mahkûm edileceği tazminat miktarı, biraz önce ifade edilen şekilde tespit edilecek miktarın yüzde yirmisinden aşağı olamayacaktır. Nihayet yeni düzenlemede açıklığa kavuşturulan diğer bir husus ise, davacı üçüncü kişinin tazminata mahkûm edilebilmesi için bu konuda talepte bulunulmuş olmasının gerekip gerekmediği hususudur. Mevcut metinde talep şartına açıkça yer verilmemesi, doktrinde farklı görüşlerin ileri sürülmesine ve uygulamada da farklı kararların verilmesine sebebiyet vermiştir. Getirilen yeni düzenlemede açıkça talep şartına yer verilerek</w:t>
            </w:r>
            <w:r w:rsidR="00BB530C" w:rsidRPr="00A23740">
              <w:rPr>
                <w:bCs/>
                <w:szCs w:val="24"/>
              </w:rPr>
              <w:t>,</w:t>
            </w:r>
            <w:r w:rsidRPr="00A23740">
              <w:rPr>
                <w:bCs/>
                <w:szCs w:val="24"/>
              </w:rPr>
              <w:t xml:space="preserve"> bu konuya netlik kazandırılmıştır. Kaldı ki davacı üçüncü kişinin talep aranmadan tazminata mahkûm edilmesi, taleple bağlılık ilkesiyle de bağdaşmamaktadır. Ayrıca, alacaklının tazminata mahkûm edilebilmesi için talep şartı aranırken, üçüncü kişinin tazminata mahkûm edilebilmesi için bu şartın aranmamasının, haklı bir gerekçesi de bulunmamaktadır. </w:t>
            </w:r>
          </w:p>
          <w:p w:rsidR="005C3738" w:rsidRPr="00A23740" w:rsidRDefault="009917DB" w:rsidP="009431FF">
            <w:pPr>
              <w:ind w:firstLine="709"/>
              <w:rPr>
                <w:b/>
                <w:bCs/>
                <w:szCs w:val="24"/>
                <w:lang w:eastAsia="x-none"/>
              </w:rPr>
            </w:pPr>
            <w:r w:rsidRPr="00A23740">
              <w:rPr>
                <w:bCs/>
                <w:szCs w:val="24"/>
              </w:rPr>
              <w:t xml:space="preserve">Beşinci fıkra esas olarak 2004 sayılı Kanunun 97 nci maddesinin </w:t>
            </w:r>
            <w:r w:rsidR="00E50B0B" w:rsidRPr="00A23740">
              <w:rPr>
                <w:bCs/>
                <w:szCs w:val="24"/>
              </w:rPr>
              <w:t>ondörd</w:t>
            </w:r>
            <w:r w:rsidRPr="00A23740">
              <w:rPr>
                <w:bCs/>
                <w:szCs w:val="24"/>
              </w:rPr>
              <w:t>üncü fıkrasının karşılığını teşkil etmekle birlikte, davacı üçüncü kişinin göstermesi gereken teminat miktarının nasıl belirleneceği açıklığa kavuşturulmuştur. Buna göre istihkak davasının reddine karar verilmesi h</w:t>
            </w:r>
            <w:r w:rsidR="00C2196C" w:rsidRPr="00A23740">
              <w:rPr>
                <w:bCs/>
                <w:szCs w:val="24"/>
              </w:rPr>
              <w:t>â</w:t>
            </w:r>
            <w:r w:rsidRPr="00A23740">
              <w:rPr>
                <w:bCs/>
                <w:szCs w:val="24"/>
              </w:rPr>
              <w:t xml:space="preserve">linde ve daha önce takibin ertelenmesine de karar verilmemiş olması kaydıyla, davacı üçüncü kişi, </w:t>
            </w:r>
            <w:r w:rsidRPr="00A23740">
              <w:rPr>
                <w:bCs/>
                <w:szCs w:val="24"/>
                <w:lang w:val="x-none"/>
              </w:rPr>
              <w:t>takip konusu alacak miktarı ile dava konusu haczedilenin değerinden hangisi az ise onun üzerinden alınacak teminat karşılığında</w:t>
            </w:r>
            <w:r w:rsidRPr="00A23740">
              <w:rPr>
                <w:bCs/>
                <w:szCs w:val="24"/>
              </w:rPr>
              <w:t xml:space="preserve"> </w:t>
            </w:r>
            <w:r w:rsidRPr="00A23740">
              <w:rPr>
                <w:bCs/>
                <w:szCs w:val="24"/>
                <w:lang w:val="x-none"/>
              </w:rPr>
              <w:t>icranın ertelenmesine ilişkin 55 inci</w:t>
            </w:r>
            <w:r w:rsidRPr="00A23740">
              <w:rPr>
                <w:bCs/>
                <w:szCs w:val="24"/>
              </w:rPr>
              <w:t xml:space="preserve"> madde</w:t>
            </w:r>
            <w:r w:rsidRPr="00A23740">
              <w:rPr>
                <w:bCs/>
                <w:szCs w:val="24"/>
                <w:lang w:val="x-none"/>
              </w:rPr>
              <w:t xml:space="preserve"> uyarınca erteleme</w:t>
            </w:r>
            <w:r w:rsidRPr="00A23740">
              <w:rPr>
                <w:bCs/>
                <w:szCs w:val="24"/>
              </w:rPr>
              <w:t xml:space="preserve"> </w:t>
            </w:r>
            <w:r w:rsidRPr="00A23740">
              <w:rPr>
                <w:bCs/>
                <w:szCs w:val="24"/>
                <w:lang w:val="x-none"/>
              </w:rPr>
              <w:t xml:space="preserve">talep edebilecektir. </w:t>
            </w:r>
            <w:r w:rsidRPr="00A23740">
              <w:rPr>
                <w:bCs/>
                <w:szCs w:val="24"/>
              </w:rPr>
              <w:t xml:space="preserve">İstihkak davasının kabulü </w:t>
            </w:r>
            <w:r w:rsidRPr="00A23740">
              <w:rPr>
                <w:bCs/>
                <w:szCs w:val="24"/>
                <w:lang w:val="x-none"/>
              </w:rPr>
              <w:t>h</w:t>
            </w:r>
            <w:r w:rsidR="00C2196C" w:rsidRPr="00A23740">
              <w:rPr>
                <w:bCs/>
                <w:szCs w:val="24"/>
              </w:rPr>
              <w:t>â</w:t>
            </w:r>
            <w:r w:rsidRPr="00A23740">
              <w:rPr>
                <w:bCs/>
                <w:szCs w:val="24"/>
                <w:lang w:val="x-none"/>
              </w:rPr>
              <w:t>linde mal üzerindeki haciz ve muhafaza tedbiri kararın kesinleşmesiyle kalkacağından</w:t>
            </w:r>
            <w:r w:rsidRPr="00A23740">
              <w:rPr>
                <w:bCs/>
                <w:szCs w:val="24"/>
              </w:rPr>
              <w:t>,</w:t>
            </w:r>
            <w:r w:rsidRPr="00A23740">
              <w:rPr>
                <w:bCs/>
                <w:szCs w:val="24"/>
                <w:lang w:val="x-none"/>
              </w:rPr>
              <w:t xml:space="preserve"> ortada icranın ertelenmesini gerektiren bir durum </w:t>
            </w:r>
            <w:r w:rsidRPr="00A23740">
              <w:rPr>
                <w:bCs/>
                <w:szCs w:val="24"/>
              </w:rPr>
              <w:t xml:space="preserve">da </w:t>
            </w:r>
            <w:r w:rsidRPr="00A23740">
              <w:rPr>
                <w:bCs/>
                <w:szCs w:val="24"/>
                <w:lang w:val="x-none"/>
              </w:rPr>
              <w:t xml:space="preserve">bulunmayacaktır. </w:t>
            </w:r>
            <w:r w:rsidRPr="00A23740">
              <w:rPr>
                <w:bCs/>
                <w:szCs w:val="24"/>
              </w:rPr>
              <w:t>Dolayısıyla</w:t>
            </w:r>
            <w:r w:rsidR="00BB530C" w:rsidRPr="00A23740">
              <w:rPr>
                <w:bCs/>
                <w:szCs w:val="24"/>
              </w:rPr>
              <w:t>,</w:t>
            </w:r>
            <w:r w:rsidRPr="00A23740">
              <w:rPr>
                <w:bCs/>
                <w:szCs w:val="24"/>
              </w:rPr>
              <w:t xml:space="preserve"> dava konusu şey üzerindeki h</w:t>
            </w:r>
            <w:r w:rsidRPr="00A23740">
              <w:rPr>
                <w:bCs/>
                <w:szCs w:val="24"/>
                <w:lang w:val="x-none"/>
              </w:rPr>
              <w:t>aciz ve muh</w:t>
            </w:r>
            <w:r w:rsidRPr="00A23740">
              <w:rPr>
                <w:bCs/>
                <w:szCs w:val="24"/>
              </w:rPr>
              <w:t>a</w:t>
            </w:r>
            <w:r w:rsidRPr="00A23740">
              <w:rPr>
                <w:bCs/>
                <w:szCs w:val="24"/>
                <w:lang w:val="x-none"/>
              </w:rPr>
              <w:t xml:space="preserve">faza devam edeceğinden, kanun yoluna başvuran davalı alacaklının </w:t>
            </w:r>
            <w:r w:rsidRPr="00A23740">
              <w:rPr>
                <w:bCs/>
                <w:szCs w:val="24"/>
              </w:rPr>
              <w:t xml:space="preserve">icranın ertelenmesini talep etmesine ve amaçla </w:t>
            </w:r>
            <w:r w:rsidRPr="00A23740">
              <w:rPr>
                <w:bCs/>
                <w:szCs w:val="24"/>
                <w:lang w:val="x-none"/>
              </w:rPr>
              <w:t>teminat göstermesine de gerek olmayacaktır</w:t>
            </w:r>
            <w:r w:rsidRPr="00A23740">
              <w:rPr>
                <w:bCs/>
                <w:szCs w:val="24"/>
              </w:rPr>
              <w:t>.</w:t>
            </w:r>
          </w:p>
          <w:p w:rsidR="005C3738" w:rsidRPr="00A23740" w:rsidRDefault="005C3738" w:rsidP="00F76168">
            <w:pPr>
              <w:tabs>
                <w:tab w:val="left" w:pos="567"/>
              </w:tabs>
              <w:ind w:firstLine="709"/>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B – Üçüncü şahsın zilyetıği:</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 xml:space="preserve">Madde 99 –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b/>
                <w:strike/>
                <w:color w:val="FF0000"/>
                <w:szCs w:val="24"/>
              </w:rPr>
              <w:t>(Değişik: 2/7/2012-6352/20 md.)</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Haczedilen şey, borçlunun elinde olmayıp da üzerinde mülkiyet veya diğer bir ayni hak iddia eden üçüncü kişi nezdinde bulunursa, bu kişi yedieminliği kabul ettiği takdirde bu mal muhafaza altına alınmaz. İcra müdürü, üçüncü kişi aleyhine icra mahkemesinde istihkak davası açması için alacaklıya yedi gün süre verir. Bu süre içinde icra mahkemesine istihkak davası açılmaz ise üçüncü kişinin iddiası kabul edilmiş sayılır. Alacaklı tarafından süresinde açılan dava sonuçlanıncaya kadar, haczedilen malın satışı yapılamaz. Haczin, üçüncü kişinin yokluğunda yapılması ve üçüncü kişi lehine istihkak iddiasında bulunulması halinde de bu fıkra hükmü uygulanır.</w:t>
            </w:r>
          </w:p>
          <w:p w:rsidR="00AA5C8C" w:rsidRPr="00A23740" w:rsidRDefault="00AA5C8C" w:rsidP="009431FF">
            <w:pPr>
              <w:rPr>
                <w:rFonts w:eastAsia="Times New Roman"/>
                <w:szCs w:val="24"/>
              </w:rPr>
            </w:pPr>
          </w:p>
          <w:p w:rsidR="00AA5C8C" w:rsidRPr="00A23740" w:rsidRDefault="00AA5C8C" w:rsidP="009431FF">
            <w:pPr>
              <w:rPr>
                <w:rFonts w:eastAsia="Times New Roman"/>
                <w:szCs w:val="24"/>
              </w:rPr>
            </w:pPr>
          </w:p>
          <w:p w:rsidR="00AA5C8C" w:rsidRPr="00A23740" w:rsidRDefault="00AA5C8C" w:rsidP="009431FF">
            <w:pPr>
              <w:rPr>
                <w:rFonts w:eastAsia="Times New Roman"/>
                <w:szCs w:val="24"/>
              </w:rPr>
            </w:pPr>
          </w:p>
          <w:p w:rsidR="00AA5C8C" w:rsidRPr="00A23740" w:rsidRDefault="00AA5C8C" w:rsidP="009431FF">
            <w:pPr>
              <w:rPr>
                <w:rFonts w:eastAsia="Times New Roman"/>
                <w:szCs w:val="24"/>
              </w:rPr>
            </w:pPr>
          </w:p>
          <w:p w:rsidR="00AA5C8C" w:rsidRPr="00A23740" w:rsidRDefault="00AA5C8C" w:rsidP="009431FF">
            <w:pPr>
              <w:rPr>
                <w:rFonts w:eastAsia="Times New Roman"/>
                <w:szCs w:val="24"/>
              </w:rPr>
            </w:pPr>
          </w:p>
          <w:p w:rsidR="00AA5C8C" w:rsidRPr="00A23740" w:rsidRDefault="00AA5C8C" w:rsidP="009431FF">
            <w:pPr>
              <w:rPr>
                <w:rFonts w:eastAsia="Times New Roman"/>
                <w:szCs w:val="24"/>
              </w:rPr>
            </w:pPr>
          </w:p>
          <w:p w:rsidR="00AA5C8C" w:rsidRPr="00A23740" w:rsidRDefault="00AA5C8C" w:rsidP="009431FF">
            <w:pPr>
              <w:rPr>
                <w:rFonts w:eastAsia="Times New Roman"/>
                <w:szCs w:val="24"/>
              </w:rPr>
            </w:pPr>
          </w:p>
          <w:p w:rsidR="00AA5C8C" w:rsidRPr="00A23740" w:rsidRDefault="00AA5C8C" w:rsidP="009431FF">
            <w:pPr>
              <w:rPr>
                <w:rFonts w:eastAsia="Times New Roman"/>
                <w:szCs w:val="24"/>
              </w:rPr>
            </w:pPr>
          </w:p>
        </w:tc>
        <w:tc>
          <w:tcPr>
            <w:tcW w:w="2500" w:type="pct"/>
          </w:tcPr>
          <w:p w:rsidR="00AA5C8C" w:rsidRPr="00A23740" w:rsidRDefault="00AA5C8C" w:rsidP="009431FF">
            <w:pPr>
              <w:tabs>
                <w:tab w:val="left" w:pos="567"/>
              </w:tabs>
              <w:jc w:val="center"/>
              <w:rPr>
                <w:rFonts w:eastAsia="Times New Roman"/>
                <w:b/>
                <w:color w:val="0000FF"/>
                <w:szCs w:val="24"/>
              </w:rPr>
            </w:pPr>
            <w:r w:rsidRPr="00A23740">
              <w:rPr>
                <w:rFonts w:eastAsia="Times New Roman"/>
                <w:b/>
                <w:color w:val="0000FF"/>
                <w:szCs w:val="24"/>
              </w:rPr>
              <w:t>İKİNCİ AYRIM</w:t>
            </w:r>
          </w:p>
          <w:p w:rsidR="00AA5C8C" w:rsidRPr="00A23740" w:rsidRDefault="00AA5C8C" w:rsidP="009431FF">
            <w:pPr>
              <w:tabs>
                <w:tab w:val="left" w:pos="567"/>
              </w:tabs>
              <w:jc w:val="center"/>
              <w:rPr>
                <w:rFonts w:eastAsia="Times New Roman"/>
                <w:b/>
                <w:color w:val="0000FF"/>
                <w:szCs w:val="24"/>
              </w:rPr>
            </w:pPr>
            <w:r w:rsidRPr="00A23740">
              <w:rPr>
                <w:rFonts w:eastAsia="Times New Roman"/>
                <w:b/>
                <w:color w:val="0000FF"/>
                <w:szCs w:val="24"/>
              </w:rPr>
              <w:t>Haczedilenin Üçüncü Kişi Elinde Bulunması</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İstihkak iddiası</w:t>
            </w:r>
          </w:p>
          <w:p w:rsidR="00AA5C8C" w:rsidRPr="00A23740" w:rsidRDefault="005038A0" w:rsidP="009431FF">
            <w:pPr>
              <w:tabs>
                <w:tab w:val="left" w:pos="567"/>
              </w:tabs>
              <w:rPr>
                <w:rFonts w:eastAsia="Times New Roman"/>
                <w:b/>
                <w:color w:val="0000FF"/>
                <w:szCs w:val="24"/>
              </w:rPr>
            </w:pPr>
            <w:r w:rsidRPr="00A23740">
              <w:rPr>
                <w:rFonts w:eastAsia="Times New Roman"/>
                <w:b/>
                <w:color w:val="0000FF"/>
                <w:szCs w:val="24"/>
              </w:rPr>
              <w:t>MADDE 438</w:t>
            </w:r>
            <w:r w:rsidR="00AA5C8C" w:rsidRPr="00A23740">
              <w:rPr>
                <w:rFonts w:eastAsia="Times New Roman"/>
                <w:b/>
                <w:color w:val="0000FF"/>
                <w:szCs w:val="24"/>
              </w:rPr>
              <w:t>- (1) Haciz esnasında üçüncü kişi, yokluğu h</w:t>
            </w:r>
            <w:r w:rsidR="00C2196C" w:rsidRPr="00A23740">
              <w:rPr>
                <w:rFonts w:eastAsia="Times New Roman"/>
                <w:b/>
                <w:color w:val="0000FF"/>
                <w:szCs w:val="24"/>
              </w:rPr>
              <w:t>â</w:t>
            </w:r>
            <w:r w:rsidR="00AA5C8C" w:rsidRPr="00A23740">
              <w:rPr>
                <w:rFonts w:eastAsia="Times New Roman"/>
                <w:b/>
                <w:color w:val="0000FF"/>
                <w:szCs w:val="24"/>
              </w:rPr>
              <w:t>linde ise kendisini temsile yetkili olan veya onunla birlikte haczedileni elinde bulunduran kişiler tarafından istihkak iddiasında bulunulduğu takdirde, bu iddia haciz tutanağına yazılır. Haciz esnasında hazır bulunmayan üçüncü kişi de haczi öğrendiği tarihten itibaren bir hafta içinde istihkak iddiasında bulunabilir. Üçüncü kişi yedieminliği kabul ettiği takdirde haczedilen muhafaza altına alınamaz.</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(2) Üçüncü kişi, haciz tarihinde ya da haczi öğrendiği tarihten itibaren bir hafta içinde </w:t>
            </w:r>
            <w:r w:rsidRPr="00A23740">
              <w:rPr>
                <w:rStyle w:val="MaviChar"/>
              </w:rPr>
              <w:t xml:space="preserve">takibin yapıldığı icra </w:t>
            </w:r>
            <w:r w:rsidRPr="00A23740">
              <w:rPr>
                <w:rFonts w:eastAsia="Times New Roman"/>
                <w:b/>
                <w:color w:val="0000FF"/>
              </w:rPr>
              <w:t>ve iflas</w:t>
            </w:r>
            <w:r w:rsidRPr="00A23740">
              <w:rPr>
                <w:rStyle w:val="MaviChar"/>
                <w:lang w:val="tr-TR"/>
              </w:rPr>
              <w:t xml:space="preserve"> </w:t>
            </w:r>
            <w:r w:rsidRPr="00A23740">
              <w:rPr>
                <w:rStyle w:val="MaviChar"/>
              </w:rPr>
              <w:t>dairesi nezdinde</w:t>
            </w:r>
            <w:r w:rsidRPr="00A23740">
              <w:rPr>
                <w:rFonts w:eastAsia="Times New Roman"/>
                <w:b/>
                <w:color w:val="0000FF"/>
                <w:szCs w:val="24"/>
              </w:rPr>
              <w:t xml:space="preserve"> istihkak iddiasında bulunmazsa, aynı takipte o haciz bakımından alacaklıya karşı istihkak iddiasından vazgeçmiş sayılır.</w:t>
            </w:r>
          </w:p>
          <w:p w:rsidR="00AA5C8C" w:rsidRPr="00A23740" w:rsidRDefault="00AA5C8C" w:rsidP="009431FF">
            <w:pPr>
              <w:tabs>
                <w:tab w:val="left" w:pos="567"/>
              </w:tabs>
              <w:rPr>
                <w:rFonts w:eastAsia="Times New Roman"/>
                <w:b/>
                <w:color w:val="0000CC"/>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(3) Haczedileni elinde bulunduran üçüncü kişi, haczedilenin bir başka üçüncü kişiye ait olduğunu ileri sürerse</w:t>
            </w:r>
            <w:r w:rsidRPr="00A23740">
              <w:rPr>
                <w:rStyle w:val="MaviChar"/>
              </w:rPr>
              <w:t xml:space="preserve"> bu iddia haciz tutanağına yazılır ve durum lehine istihkak iddiasında bulunulan kişiye tebliğ edilir. Yapılacak tebligatla, bu kişiye tebliğ tarihinden itibaren bir hafta içinde takibin yapıldığı icra ve iflas</w:t>
            </w:r>
            <w:r w:rsidRPr="00A23740">
              <w:rPr>
                <w:rStyle w:val="MaviChar"/>
                <w:lang w:val="tr-TR"/>
              </w:rPr>
              <w:t xml:space="preserve"> </w:t>
            </w:r>
            <w:r w:rsidRPr="00A23740">
              <w:rPr>
                <w:rStyle w:val="MaviChar"/>
              </w:rPr>
              <w:t>dairesi nezdinde istihkak</w:t>
            </w:r>
            <w:r w:rsidRPr="00A23740">
              <w:rPr>
                <w:rFonts w:eastAsia="Times New Roman"/>
                <w:b/>
                <w:color w:val="0000FF"/>
                <w:szCs w:val="24"/>
              </w:rPr>
              <w:t xml:space="preserve"> iddiasında bulunmadığı takdirde, aynı takipte o haciz bakımından alacaklıya karşı istihkak iddiasından vazgeçmiş sayılacağı hususu ihtar olunur.</w:t>
            </w:r>
          </w:p>
          <w:p w:rsidR="00AA5C8C" w:rsidRPr="00A23740" w:rsidRDefault="00AA5C8C" w:rsidP="009431FF">
            <w:pPr>
              <w:tabs>
                <w:tab w:val="left" w:pos="567"/>
              </w:tabs>
              <w:rPr>
                <w:rFonts w:eastAsia="Times New Roman"/>
                <w:b/>
                <w:color w:val="0000FF"/>
                <w:szCs w:val="24"/>
              </w:rPr>
            </w:pPr>
          </w:p>
        </w:tc>
      </w:tr>
      <w:tr w:rsidR="005C3738" w:rsidRPr="00A23740" w:rsidTr="009431FF">
        <w:tc>
          <w:tcPr>
            <w:tcW w:w="5000" w:type="pct"/>
            <w:gridSpan w:val="2"/>
            <w:shd w:val="clear" w:color="auto" w:fill="DEEAF6"/>
          </w:tcPr>
          <w:p w:rsidR="005D4C9E" w:rsidRPr="00A23740" w:rsidRDefault="005D4C9E" w:rsidP="009431FF">
            <w:pPr>
              <w:ind w:firstLine="709"/>
              <w:rPr>
                <w:b/>
                <w:bCs/>
                <w:szCs w:val="24"/>
                <w:lang w:eastAsia="x-none"/>
              </w:rPr>
            </w:pPr>
          </w:p>
          <w:p w:rsidR="009917DB" w:rsidRPr="00A23740" w:rsidRDefault="005038A0" w:rsidP="009431FF">
            <w:pPr>
              <w:ind w:firstLine="709"/>
              <w:rPr>
                <w:bCs/>
                <w:szCs w:val="24"/>
              </w:rPr>
            </w:pPr>
            <w:r w:rsidRPr="00A23740">
              <w:rPr>
                <w:b/>
                <w:bCs/>
                <w:szCs w:val="24"/>
              </w:rPr>
              <w:t>MADDE 438</w:t>
            </w:r>
            <w:r w:rsidR="005D4C9E" w:rsidRPr="00A23740">
              <w:rPr>
                <w:b/>
                <w:bCs/>
                <w:szCs w:val="24"/>
              </w:rPr>
              <w:t>-</w:t>
            </w:r>
            <w:r w:rsidR="009917DB" w:rsidRPr="00A23740">
              <w:rPr>
                <w:b/>
                <w:bCs/>
                <w:szCs w:val="24"/>
              </w:rPr>
              <w:t xml:space="preserve"> </w:t>
            </w:r>
            <w:r w:rsidR="009917DB" w:rsidRPr="00A23740">
              <w:rPr>
                <w:bCs/>
                <w:szCs w:val="24"/>
              </w:rPr>
              <w:t>Madde, haczedilenin üçüncü kişi elinde bulunması h</w:t>
            </w:r>
            <w:r w:rsidR="00C2196C" w:rsidRPr="00A23740">
              <w:rPr>
                <w:bCs/>
                <w:szCs w:val="24"/>
              </w:rPr>
              <w:t>â</w:t>
            </w:r>
            <w:r w:rsidR="009917DB" w:rsidRPr="00A23740">
              <w:rPr>
                <w:bCs/>
                <w:szCs w:val="24"/>
              </w:rPr>
              <w:t xml:space="preserve">linde istihkak iddiasını düzenlemektedir. Madde, </w:t>
            </w:r>
            <w:r w:rsidR="005D4C9E" w:rsidRPr="00A23740">
              <w:rPr>
                <w:bCs/>
                <w:szCs w:val="24"/>
              </w:rPr>
              <w:t>2004 sayılı</w:t>
            </w:r>
            <w:r w:rsidR="009917DB" w:rsidRPr="00A23740">
              <w:rPr>
                <w:bCs/>
                <w:szCs w:val="24"/>
              </w:rPr>
              <w:t xml:space="preserve"> </w:t>
            </w:r>
            <w:r w:rsidR="005D4C9E" w:rsidRPr="00A23740">
              <w:rPr>
                <w:bCs/>
                <w:szCs w:val="24"/>
              </w:rPr>
              <w:t xml:space="preserve">Kanunun </w:t>
            </w:r>
            <w:r w:rsidR="009917DB" w:rsidRPr="00A23740">
              <w:rPr>
                <w:bCs/>
                <w:szCs w:val="24"/>
              </w:rPr>
              <w:t>99 uncu maddesinden oldukça farklı düzenlemeler içermektedir. Bunun nedeni, haczedilenin borçlu elinde bulunmasına ilişkin</w:t>
            </w:r>
            <w:r w:rsidR="004E0BBE" w:rsidRPr="00A23740">
              <w:rPr>
                <w:bCs/>
                <w:szCs w:val="24"/>
              </w:rPr>
              <w:t xml:space="preserve"> </w:t>
            </w:r>
            <w:r w:rsidR="004E0BBE" w:rsidRPr="00814E71">
              <w:t>433 üncü</w:t>
            </w:r>
            <w:r w:rsidR="005D4C9E" w:rsidRPr="00A23740">
              <w:rPr>
                <w:bCs/>
                <w:szCs w:val="24"/>
              </w:rPr>
              <w:t xml:space="preserve"> ve devamı maddeler</w:t>
            </w:r>
            <w:r w:rsidR="009917DB" w:rsidRPr="00A23740">
              <w:rPr>
                <w:bCs/>
                <w:szCs w:val="24"/>
              </w:rPr>
              <w:t xml:space="preserve"> hükümlerinin gerekçelerinde de zaman zaman ifade edildiği gibi</w:t>
            </w:r>
            <w:r w:rsidR="00BB530C" w:rsidRPr="00A23740">
              <w:rPr>
                <w:bCs/>
                <w:szCs w:val="24"/>
              </w:rPr>
              <w:t>,</w:t>
            </w:r>
            <w:r w:rsidR="009917DB" w:rsidRPr="00A23740">
              <w:rPr>
                <w:bCs/>
                <w:szCs w:val="24"/>
              </w:rPr>
              <w:t xml:space="preserve"> istihkak iddiası ve davasına ilişkin olarak yeni bir anlayışın kabul edilmiş olmasıdır. Ancak burada haczedilen borçlu elinde değil, üçüncü bir kişi elinde bulunmaktadır. Bu nedenle getirilen hükümler, bazı noktalarda malın borçlu elinde haczedilmesine ilişkin hükümlerden doğal olarak farklılık göstermektedir. Maddenin birinci fıkrasında özellikle kimlerin hangi süre içinde istihkak iddiasında bulunabileceği hususu düzenlenmiştir. Buna göre haciz esnasında, üçüncü kişi, onun yokluğu h</w:t>
            </w:r>
            <w:r w:rsidR="00C2196C" w:rsidRPr="00A23740">
              <w:rPr>
                <w:bCs/>
                <w:szCs w:val="24"/>
              </w:rPr>
              <w:t>â</w:t>
            </w:r>
            <w:r w:rsidR="009917DB" w:rsidRPr="00A23740">
              <w:rPr>
                <w:bCs/>
                <w:szCs w:val="24"/>
              </w:rPr>
              <w:t>linde ise kendisini temsile yetkili olan veya onunla birlikte haczedileni elinde bulunduran kişiler tarafından üçüncü kişi lehine istihkak iddiasında bulunulduğu takdirde, bu iddia haciz tutanağına yazılacaktır. Ayrıca haciz esnasında hazır bulunmayan, yani haciz yokluğunda yapılmış olan üçüncü kişi de haczi öğrendiği tarihten itibaren bir hafta içinde istihkak iddiasında bulunabilecektir. Diğer taraftan üçüncü kişi yedieminliği kabul ettiği takdirde, haczedilen muhafaza altına alınamayacak, üçüncü kişi elinde bırakılacaktır. Kuşkusuz üçüncü kişi yedieminliği kabul etmediği takdirde</w:t>
            </w:r>
            <w:r w:rsidR="0075585F" w:rsidRPr="00A23740">
              <w:rPr>
                <w:bCs/>
                <w:szCs w:val="24"/>
              </w:rPr>
              <w:t>,</w:t>
            </w:r>
            <w:r w:rsidR="009917DB" w:rsidRPr="00A23740">
              <w:rPr>
                <w:bCs/>
                <w:szCs w:val="24"/>
              </w:rPr>
              <w:t xml:space="preserve"> haczedilen m</w:t>
            </w:r>
            <w:r w:rsidR="005D4C9E" w:rsidRPr="00A23740">
              <w:rPr>
                <w:bCs/>
                <w:szCs w:val="24"/>
              </w:rPr>
              <w:t>uhafaza altına alınabilecektir.</w:t>
            </w:r>
          </w:p>
          <w:p w:rsidR="005D4C9E" w:rsidRPr="00A23740" w:rsidRDefault="009917DB" w:rsidP="009431FF">
            <w:pPr>
              <w:ind w:firstLine="709"/>
              <w:rPr>
                <w:bCs/>
                <w:szCs w:val="24"/>
              </w:rPr>
            </w:pPr>
            <w:r w:rsidRPr="00A23740">
              <w:rPr>
                <w:bCs/>
                <w:szCs w:val="24"/>
              </w:rPr>
              <w:t>İkinci fıkra, süresinde istihkak iddiasında bulunulmamasının sonucunu düzenlemektedir. Buna göre üçüncü kişi, huzurunda yapılan hacizlerde haciz tarihinde, yokluğunda yapılan hacizlerde ise haczi öğrendiği tarihten itibaren bir hafta içinde takibin yapıldığı icra ve iflas dairesi nezdinde istihkak iddiasında bulunmazsa, aynı takipte o haciz bakımından alacaklıya karşı istihkak iddiasından vazgeçmiş sayılacaktır. Belirtmek gerekir ki</w:t>
            </w:r>
            <w:r w:rsidR="0075585F" w:rsidRPr="00A23740">
              <w:rPr>
                <w:bCs/>
                <w:szCs w:val="24"/>
              </w:rPr>
              <w:t>,</w:t>
            </w:r>
            <w:r w:rsidR="004E0BBE" w:rsidRPr="00A23740">
              <w:rPr>
                <w:bCs/>
                <w:szCs w:val="24"/>
              </w:rPr>
              <w:t xml:space="preserve"> </w:t>
            </w:r>
            <w:r w:rsidR="004E0BBE" w:rsidRPr="00814E71">
              <w:t>434 üncü</w:t>
            </w:r>
            <w:r w:rsidRPr="00A23740">
              <w:rPr>
                <w:bCs/>
                <w:szCs w:val="24"/>
              </w:rPr>
              <w:t xml:space="preserve"> maddenin </w:t>
            </w:r>
            <w:r w:rsidR="005D4C9E" w:rsidRPr="00A23740">
              <w:rPr>
                <w:bCs/>
                <w:szCs w:val="24"/>
              </w:rPr>
              <w:t>üç</w:t>
            </w:r>
            <w:r w:rsidRPr="00A23740">
              <w:rPr>
                <w:bCs/>
                <w:szCs w:val="24"/>
              </w:rPr>
              <w:t>üncü fıkrasının gerekçesinde de ifade edildiği üzere, süresi içinde istihkak iddiasında bulunmayan üçüncü kişi sadece haciz koyduran alacaklıya karşı ve sadece o haciz bakımından istihkak iddiasından vazgeçmiş sayılacaktır. Üçüncü kişi başka bir alacaklıya karşı bu iddiasından vazgeçmiş sayılmayacağı gibi</w:t>
            </w:r>
            <w:r w:rsidR="0075585F" w:rsidRPr="00A23740">
              <w:rPr>
                <w:bCs/>
                <w:szCs w:val="24"/>
              </w:rPr>
              <w:t>,</w:t>
            </w:r>
            <w:r w:rsidRPr="00A23740">
              <w:rPr>
                <w:bCs/>
                <w:szCs w:val="24"/>
              </w:rPr>
              <w:t xml:space="preserve"> takip esnasında aynı malın aynı alacaklı tarafından daha sonra yeniden haczettirilmesi h</w:t>
            </w:r>
            <w:r w:rsidR="004E0BBE" w:rsidRPr="00A23740">
              <w:rPr>
                <w:bCs/>
                <w:szCs w:val="24"/>
              </w:rPr>
              <w:t>â</w:t>
            </w:r>
            <w:r w:rsidRPr="00A23740">
              <w:rPr>
                <w:bCs/>
                <w:szCs w:val="24"/>
              </w:rPr>
              <w:t>linde, bu hacze karşı da istihk</w:t>
            </w:r>
            <w:r w:rsidR="005D4C9E" w:rsidRPr="00A23740">
              <w:rPr>
                <w:bCs/>
                <w:szCs w:val="24"/>
              </w:rPr>
              <w:t>ak iddiasında bulunabilecektir.</w:t>
            </w:r>
          </w:p>
          <w:p w:rsidR="005C3738" w:rsidRPr="00A23740" w:rsidRDefault="009917DB" w:rsidP="009431FF">
            <w:pPr>
              <w:ind w:firstLine="709"/>
              <w:rPr>
                <w:bCs/>
                <w:szCs w:val="24"/>
              </w:rPr>
            </w:pPr>
            <w:r w:rsidRPr="00A23740">
              <w:rPr>
                <w:bCs/>
                <w:szCs w:val="24"/>
              </w:rPr>
              <w:t>Üçüncü fıkra hükmü yenidir. Bu fıkrada mahcuz malı elinde bulunduran üçüncü kişinin, kendi lehine değil de</w:t>
            </w:r>
            <w:r w:rsidR="0075585F" w:rsidRPr="00A23740">
              <w:rPr>
                <w:bCs/>
                <w:szCs w:val="24"/>
              </w:rPr>
              <w:t>,</w:t>
            </w:r>
            <w:r w:rsidRPr="00A23740">
              <w:rPr>
                <w:bCs/>
                <w:szCs w:val="24"/>
              </w:rPr>
              <w:t xml:space="preserve"> bir başka üçüncü kişi lehine istihkak iddiasında bulunması ihtimali düzenlenmektedir. Bu şekilde bir istihkak iddiasının mümkün olduğu, haklı olarak gerek doktrinde gerekse Yargıtay kararlarında kabul edilmektedir. Buna göre, haczedileni elinde bulunduran üçüncü kişi, haczedilenin bir başka üçüncü kişiye ait olduğunu ileri sürerse, bu iddia haciz tutanağına yazılacak ve durum</w:t>
            </w:r>
            <w:r w:rsidR="0075585F" w:rsidRPr="00A23740">
              <w:rPr>
                <w:bCs/>
                <w:szCs w:val="24"/>
              </w:rPr>
              <w:t>,</w:t>
            </w:r>
            <w:r w:rsidRPr="00A23740">
              <w:rPr>
                <w:bCs/>
                <w:szCs w:val="24"/>
              </w:rPr>
              <w:t xml:space="preserve"> lehine istihkak iddiasında bulunulan kişiye tebliğ edilecektir. Kendisine, süresinde istihkak iddiasında bulunmadığı takdirde hangi sonuçla karşılaşacağı ihtarını da içerecek şekilde tebligat yapılan üçüncü kişi, tebliğ tarihinden itibaren bir hafta içinde takibin yapıldığı icra ve iflas dairesi nezdinde istihkak iddiasında bulunmazsa, aynı takipte o haciz bakımından alacaklıya karşı istihkak iddiasından vazgeçmiş sayılacaktır. </w:t>
            </w:r>
          </w:p>
          <w:p w:rsidR="005C3738" w:rsidRPr="00A23740" w:rsidRDefault="005C373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B – Üçüncü şahsın zilyetıği:</w:t>
            </w:r>
          </w:p>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 xml:space="preserve">Madde 99 –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b/>
                <w:strike/>
                <w:color w:val="FF0000"/>
                <w:szCs w:val="24"/>
              </w:rPr>
              <w:t xml:space="preserve">(Değişik: 2/7/2012-6352/20 md.) </w:t>
            </w:r>
            <w:r w:rsidRPr="00A23740">
              <w:rPr>
                <w:rStyle w:val="KIRMIZIChar"/>
                <w:rFonts w:eastAsia="Calibri"/>
              </w:rPr>
              <w:t>Haczedilen şey, borçlunun elinde olmayıp da üzerinde mülkiyet veya diğer bir ayni hak iddia eden üçüncü kişi nezdinde bulunursa, bu kişi yedieminliği kabul ettiği takdirde bu mal muhafaza altına alınmaz. İcra müdürü, üçüncü kişi aleyhine icra mahkemesinde istihkak davası açması için alacaklıya yedi gün süre verir.</w:t>
            </w:r>
            <w:r w:rsidRPr="00A23740">
              <w:rPr>
                <w:color w:val="000000"/>
              </w:rPr>
              <w:t xml:space="preserve"> </w:t>
            </w:r>
            <w:r w:rsidRPr="00A23740">
              <w:rPr>
                <w:rStyle w:val="KIRMIZIChar"/>
                <w:rFonts w:eastAsia="Calibri"/>
              </w:rPr>
              <w:t>Bu süre içinde icra mahkemesine istihkak davası açılmaz ise üçüncü kişinin iddiası kabul edilmiş sayılır.</w:t>
            </w:r>
            <w:r w:rsidRPr="00A23740">
              <w:rPr>
                <w:color w:val="000000"/>
              </w:rPr>
              <w:t xml:space="preserve"> </w:t>
            </w:r>
            <w:r w:rsidRPr="00A23740">
              <w:t xml:space="preserve">Alacaklı tarafından </w:t>
            </w:r>
            <w:r w:rsidRPr="00A23740">
              <w:rPr>
                <w:rStyle w:val="KIRMIZIChar"/>
                <w:rFonts w:eastAsia="Calibri"/>
              </w:rPr>
              <w:t>süresinde</w:t>
            </w:r>
            <w:r w:rsidRPr="00A23740">
              <w:t xml:space="preserve"> açılan dava </w:t>
            </w:r>
            <w:r w:rsidRPr="00A23740">
              <w:rPr>
                <w:rStyle w:val="KIRMIZIChar"/>
                <w:rFonts w:eastAsia="Calibri"/>
              </w:rPr>
              <w:t>sonuçlanıncaya</w:t>
            </w:r>
            <w:r w:rsidRPr="00A23740">
              <w:t xml:space="preserve"> kadar, haczedilen </w:t>
            </w:r>
            <w:r w:rsidRPr="00A23740">
              <w:rPr>
                <w:rStyle w:val="KIRMIZIChar"/>
                <w:rFonts w:eastAsia="Calibri"/>
              </w:rPr>
              <w:t>malın</w:t>
            </w:r>
            <w:r w:rsidRPr="00A23740">
              <w:t xml:space="preserve"> satışı yapılamaz.</w:t>
            </w:r>
            <w:r w:rsidRPr="00A23740">
              <w:rPr>
                <w:color w:val="000000"/>
              </w:rPr>
              <w:t xml:space="preserve"> </w:t>
            </w:r>
            <w:r w:rsidRPr="00A23740">
              <w:rPr>
                <w:rStyle w:val="KIRMIZIChar"/>
                <w:rFonts w:eastAsia="Calibri"/>
              </w:rPr>
              <w:t>Haczin, üçüncü kişinin yokluğunda yapılması ve üçüncü kişi lehine istihkak iddiasında bulunulması halinde de bu fıkra hükmü uygulanır.</w:t>
            </w:r>
          </w:p>
          <w:p w:rsidR="00AA5C8C" w:rsidRPr="00A23740" w:rsidRDefault="00AA5C8C" w:rsidP="009431FF">
            <w:pPr>
              <w:rPr>
                <w:rFonts w:eastAsia="Times New Roman"/>
                <w:b/>
                <w:color w:val="0000FF"/>
                <w:szCs w:val="24"/>
              </w:rPr>
            </w:pPr>
          </w:p>
          <w:p w:rsidR="00AA5C8C" w:rsidRPr="00A23740" w:rsidRDefault="00AA5C8C" w:rsidP="009431FF">
            <w:pPr>
              <w:rPr>
                <w:rFonts w:eastAsia="Times New Roman"/>
                <w:b/>
                <w:color w:val="0000FF"/>
                <w:szCs w:val="24"/>
              </w:rPr>
            </w:pPr>
          </w:p>
          <w:p w:rsidR="00AA5C8C" w:rsidRPr="00A23740" w:rsidRDefault="00AA5C8C" w:rsidP="009431FF">
            <w:pPr>
              <w:rPr>
                <w:rFonts w:eastAsia="Times New Roman"/>
                <w:b/>
                <w:color w:val="0000FF"/>
                <w:szCs w:val="24"/>
              </w:rPr>
            </w:pPr>
          </w:p>
          <w:p w:rsidR="00AA5C8C" w:rsidRPr="00A23740" w:rsidRDefault="00AA5C8C" w:rsidP="009431FF">
            <w:pPr>
              <w:rPr>
                <w:rFonts w:eastAsia="Times New Roman"/>
                <w:b/>
                <w:color w:val="0000FF"/>
                <w:szCs w:val="24"/>
              </w:rPr>
            </w:pPr>
          </w:p>
          <w:p w:rsidR="00AA5C8C" w:rsidRPr="00A23740" w:rsidRDefault="00AA5C8C" w:rsidP="009431FF">
            <w:pPr>
              <w:rPr>
                <w:rFonts w:eastAsia="Times New Roman"/>
                <w:b/>
                <w:color w:val="0000FF"/>
                <w:szCs w:val="24"/>
              </w:rPr>
            </w:pPr>
          </w:p>
          <w:p w:rsidR="00AA5C8C" w:rsidRPr="00A23740" w:rsidRDefault="00AA5C8C" w:rsidP="009431FF">
            <w:pPr>
              <w:rPr>
                <w:rFonts w:eastAsia="Times New Roman"/>
                <w:b/>
                <w:color w:val="0000FF"/>
                <w:szCs w:val="24"/>
              </w:rPr>
            </w:pPr>
          </w:p>
          <w:p w:rsidR="00AA5C8C" w:rsidRPr="00A23740" w:rsidRDefault="00AA5C8C" w:rsidP="009431FF">
            <w:pPr>
              <w:rPr>
                <w:rFonts w:eastAsia="Times New Roman"/>
                <w:b/>
                <w:color w:val="0000FF"/>
                <w:szCs w:val="24"/>
              </w:rPr>
            </w:pPr>
          </w:p>
          <w:p w:rsidR="00AA5C8C" w:rsidRPr="00A23740" w:rsidRDefault="00AA5C8C" w:rsidP="009431FF">
            <w:pPr>
              <w:rPr>
                <w:rFonts w:eastAsia="Times New Roman"/>
                <w:b/>
                <w:color w:val="0000FF"/>
                <w:szCs w:val="24"/>
              </w:rPr>
            </w:pPr>
          </w:p>
          <w:p w:rsidR="00AA5C8C" w:rsidRPr="00A23740" w:rsidRDefault="00AA5C8C" w:rsidP="009431FF">
            <w:pPr>
              <w:tabs>
                <w:tab w:val="left" w:pos="567"/>
              </w:tabs>
              <w:rPr>
                <w:rFonts w:eastAsia="Times New Roman"/>
                <w:szCs w:val="24"/>
              </w:rPr>
            </w:pPr>
          </w:p>
        </w:tc>
        <w:tc>
          <w:tcPr>
            <w:tcW w:w="2500" w:type="pct"/>
          </w:tcPr>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İstihkak davası açılması ve sonuçları</w:t>
            </w:r>
          </w:p>
          <w:p w:rsidR="00AA5C8C" w:rsidRPr="00A23740" w:rsidRDefault="005038A0" w:rsidP="009431FF">
            <w:pPr>
              <w:tabs>
                <w:tab w:val="left" w:pos="567"/>
              </w:tabs>
              <w:rPr>
                <w:rFonts w:eastAsia="Times New Roman"/>
                <w:b/>
                <w:color w:val="0000FF"/>
                <w:szCs w:val="24"/>
              </w:rPr>
            </w:pPr>
            <w:r w:rsidRPr="00A23740">
              <w:rPr>
                <w:rFonts w:eastAsia="Times New Roman"/>
                <w:b/>
                <w:color w:val="0000FF"/>
                <w:szCs w:val="24"/>
              </w:rPr>
              <w:t>MADDE 439</w:t>
            </w:r>
            <w:r w:rsidR="00AA5C8C" w:rsidRPr="00A23740">
              <w:rPr>
                <w:rFonts w:eastAsia="Times New Roman"/>
                <w:b/>
                <w:color w:val="0000FF"/>
                <w:szCs w:val="24"/>
              </w:rPr>
              <w:t>- (1)  Üçüncü kişinin</w:t>
            </w:r>
            <w:r w:rsidR="00777A0D" w:rsidRPr="00A23740">
              <w:rPr>
                <w:rFonts w:eastAsia="Times New Roman"/>
                <w:b/>
                <w:color w:val="0000FF"/>
                <w:szCs w:val="24"/>
              </w:rPr>
              <w:t xml:space="preserve"> </w:t>
            </w:r>
            <w:r w:rsidR="00777A0D" w:rsidRPr="00814E71">
              <w:rPr>
                <w:rStyle w:val="MaviChar"/>
              </w:rPr>
              <w:t>ileri sürdüğü</w:t>
            </w:r>
            <w:r w:rsidR="00AA5C8C" w:rsidRPr="00A23740">
              <w:rPr>
                <w:rFonts w:eastAsia="Times New Roman"/>
                <w:b/>
                <w:color w:val="0000FF"/>
                <w:szCs w:val="24"/>
              </w:rPr>
              <w:t xml:space="preserve"> veya üçüncü kişi lehine</w:t>
            </w:r>
            <w:r w:rsidR="00777A0D" w:rsidRPr="00A23740">
              <w:rPr>
                <w:rFonts w:eastAsia="Times New Roman"/>
                <w:b/>
                <w:color w:val="0000FF"/>
                <w:szCs w:val="24"/>
              </w:rPr>
              <w:t xml:space="preserve"> </w:t>
            </w:r>
            <w:r w:rsidR="00777A0D" w:rsidRPr="00814E71">
              <w:rPr>
                <w:rStyle w:val="MaviChar"/>
              </w:rPr>
              <w:t>ileri sürülen</w:t>
            </w:r>
            <w:r w:rsidR="00AA5C8C" w:rsidRPr="00A23740">
              <w:rPr>
                <w:rFonts w:eastAsia="Times New Roman"/>
                <w:b/>
                <w:color w:val="0000FF"/>
                <w:szCs w:val="24"/>
              </w:rPr>
              <w:t xml:space="preserve"> istihkak iddiası icra </w:t>
            </w:r>
            <w:r w:rsidR="00AA5C8C" w:rsidRPr="00A23740">
              <w:rPr>
                <w:rStyle w:val="MaviChar"/>
              </w:rPr>
              <w:t>ve iflas dairesi tarafından haciz esnasında hazır bulunmayan alacaklıya tebliğ edilir. Alacaklı, hazır bulunduğu hacizlerde haciz tarihinden, yokluğunda yapılan hacizlerde ise tebliğ tarihinden itibaren iki hafta içinde yetkili icra hukuk</w:t>
            </w:r>
            <w:r w:rsidR="00AA5C8C" w:rsidRPr="00A23740">
              <w:rPr>
                <w:rStyle w:val="KIRMIZIChar"/>
                <w:rFonts w:eastAsia="Calibri"/>
                <w:strike w:val="0"/>
              </w:rPr>
              <w:t xml:space="preserve"> </w:t>
            </w:r>
            <w:r w:rsidR="00AA5C8C" w:rsidRPr="00A23740">
              <w:rPr>
                <w:rFonts w:eastAsia="Times New Roman"/>
                <w:b/>
                <w:color w:val="0000FF"/>
                <w:szCs w:val="24"/>
              </w:rPr>
              <w:t xml:space="preserve">mahkemesinde üçüncü kişiye karşı istihkak davası </w:t>
            </w:r>
            <w:r w:rsidR="00AA5C8C" w:rsidRPr="00A23740">
              <w:rPr>
                <w:rStyle w:val="MaviChar"/>
              </w:rPr>
              <w:t>açmazsa,</w:t>
            </w:r>
            <w:r w:rsidR="00AA5C8C" w:rsidRPr="00A23740">
              <w:rPr>
                <w:rStyle w:val="YELChar"/>
              </w:rPr>
              <w:t xml:space="preserve"> </w:t>
            </w:r>
            <w:r w:rsidR="00AA5C8C" w:rsidRPr="00A23740">
              <w:rPr>
                <w:rFonts w:eastAsia="Times New Roman"/>
                <w:b/>
                <w:color w:val="0000FF"/>
                <w:szCs w:val="24"/>
              </w:rPr>
              <w:t xml:space="preserve">aynı takipte o </w:t>
            </w:r>
            <w:r w:rsidR="00AA5C8C" w:rsidRPr="00A23740">
              <w:rPr>
                <w:rStyle w:val="MaviChar"/>
                <w:lang w:val="tr-TR"/>
              </w:rPr>
              <w:t>haciz bakımından</w:t>
            </w:r>
            <w:r w:rsidR="00AA5C8C" w:rsidRPr="00A23740">
              <w:rPr>
                <w:rStyle w:val="Balk3Char"/>
                <w:rFonts w:eastAsia="Calibri"/>
              </w:rPr>
              <w:t xml:space="preserve"> istihkak iddiasını kabul etmiş sayılır. </w:t>
            </w:r>
            <w:r w:rsidR="00AA5C8C" w:rsidRPr="00A23740">
              <w:t>Alacaklı tarafından açılan dava</w:t>
            </w:r>
            <w:r w:rsidR="00AA5C8C" w:rsidRPr="00A23740">
              <w:rPr>
                <w:rStyle w:val="MaviChar"/>
              </w:rPr>
              <w:t xml:space="preserve">da verilen karar kesinleşinceye </w:t>
            </w:r>
            <w:r w:rsidR="00AA5C8C" w:rsidRPr="00A23740">
              <w:t>kadar, haczedilen</w:t>
            </w:r>
            <w:r w:rsidR="00AA5C8C" w:rsidRPr="00A23740">
              <w:rPr>
                <w:rStyle w:val="MaviChar"/>
              </w:rPr>
              <w:t>in</w:t>
            </w:r>
            <w:r w:rsidR="00AA5C8C" w:rsidRPr="00A23740">
              <w:t xml:space="preserve"> satışı yapılamaz.</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(2) Talep edilmesi koşuluyla, davanın kabulü h</w:t>
            </w:r>
            <w:r w:rsidR="00C2196C" w:rsidRPr="00A23740">
              <w:rPr>
                <w:rFonts w:eastAsia="Times New Roman"/>
                <w:b/>
                <w:color w:val="0000FF"/>
                <w:szCs w:val="24"/>
              </w:rPr>
              <w:t>â</w:t>
            </w:r>
            <w:r w:rsidRPr="00A23740">
              <w:rPr>
                <w:rFonts w:eastAsia="Times New Roman"/>
                <w:b/>
                <w:color w:val="0000FF"/>
                <w:szCs w:val="24"/>
              </w:rPr>
              <w:t>linde üçüncü kişi</w:t>
            </w:r>
            <w:r w:rsidR="00777A0D" w:rsidRPr="00D22FBA">
              <w:rPr>
                <w:rStyle w:val="YELChar"/>
                <w:color w:val="0000FF"/>
              </w:rPr>
              <w:t>;</w:t>
            </w:r>
            <w:r w:rsidRPr="00A23740">
              <w:rPr>
                <w:rFonts w:eastAsia="Times New Roman"/>
                <w:b/>
                <w:color w:val="0000FF"/>
                <w:szCs w:val="24"/>
              </w:rPr>
              <w:t xml:space="preserve"> davanın reddi h</w:t>
            </w:r>
            <w:r w:rsidR="004E0BBE" w:rsidRPr="00A23740">
              <w:rPr>
                <w:rFonts w:eastAsia="Times New Roman"/>
                <w:b/>
                <w:color w:val="0000FF"/>
                <w:szCs w:val="24"/>
              </w:rPr>
              <w:t>â</w:t>
            </w:r>
            <w:r w:rsidRPr="00A23740">
              <w:rPr>
                <w:rFonts w:eastAsia="Times New Roman"/>
                <w:b/>
                <w:color w:val="0000FF"/>
                <w:szCs w:val="24"/>
              </w:rPr>
              <w:t xml:space="preserve">linde ise kötüniyeti sabit olan alacaklı, takip konusu alacak miktarı ile istihkak davasına konu haczedilenin değerinden hangisi az ise onun üzerinden yüzde yirmiden aşağı olmamak </w:t>
            </w:r>
            <w:r w:rsidR="00611DCB" w:rsidRPr="00814E71">
              <w:rPr>
                <w:rStyle w:val="MaviChar"/>
              </w:rPr>
              <w:t>kaydıyla</w:t>
            </w:r>
            <w:r w:rsidR="00611DCB" w:rsidRPr="00A23740">
              <w:rPr>
                <w:rFonts w:eastAsia="Times New Roman"/>
                <w:b/>
                <w:color w:val="0000FF"/>
                <w:szCs w:val="24"/>
              </w:rPr>
              <w:t xml:space="preserve"> </w:t>
            </w:r>
            <w:r w:rsidRPr="00A23740">
              <w:rPr>
                <w:rFonts w:eastAsia="Times New Roman"/>
                <w:b/>
                <w:color w:val="0000FF"/>
                <w:szCs w:val="24"/>
              </w:rPr>
              <w:t>tazminata mahk</w:t>
            </w:r>
            <w:r w:rsidR="00506C64" w:rsidRPr="00A23740">
              <w:rPr>
                <w:rFonts w:eastAsia="Times New Roman"/>
                <w:b/>
                <w:color w:val="0000FF"/>
                <w:szCs w:val="24"/>
              </w:rPr>
              <w:t>û</w:t>
            </w:r>
            <w:r w:rsidRPr="00A23740">
              <w:rPr>
                <w:rFonts w:eastAsia="Times New Roman"/>
                <w:b/>
                <w:color w:val="0000FF"/>
                <w:szCs w:val="24"/>
              </w:rPr>
              <w:t>m edilir.</w:t>
            </w:r>
          </w:p>
          <w:p w:rsidR="00AA5C8C" w:rsidRPr="00A23740" w:rsidRDefault="00AA5C8C" w:rsidP="009431FF">
            <w:pPr>
              <w:tabs>
                <w:tab w:val="left" w:pos="567"/>
              </w:tabs>
              <w:rPr>
                <w:rFonts w:eastAsia="Times New Roman"/>
                <w:b/>
                <w:color w:val="0000CC"/>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 xml:space="preserve">(3) </w:t>
            </w:r>
            <w:r w:rsidRPr="00A23740">
              <w:rPr>
                <w:rStyle w:val="MaviChar"/>
              </w:rPr>
              <w:t>Haczedilenin borçlunun elinde bulunmasına ilişkin</w:t>
            </w:r>
            <w:r w:rsidR="004E0BBE" w:rsidRPr="00A23740">
              <w:rPr>
                <w:rStyle w:val="MaviChar"/>
                <w:lang w:val="tr-TR"/>
              </w:rPr>
              <w:t xml:space="preserve"> </w:t>
            </w:r>
            <w:r w:rsidR="004E0BBE" w:rsidRPr="00814E71">
              <w:rPr>
                <w:rStyle w:val="MaviChar"/>
              </w:rPr>
              <w:t>433 il</w:t>
            </w:r>
            <w:r w:rsidR="00F25FDB" w:rsidRPr="00814E71">
              <w:rPr>
                <w:rStyle w:val="MaviChar"/>
              </w:rPr>
              <w:t>a</w:t>
            </w:r>
            <w:r w:rsidR="004E0BBE" w:rsidRPr="00814E71">
              <w:rPr>
                <w:rStyle w:val="MaviChar"/>
              </w:rPr>
              <w:t xml:space="preserve"> 437 nci</w:t>
            </w:r>
            <w:r w:rsidRPr="00A23740">
              <w:rPr>
                <w:rFonts w:eastAsia="Times New Roman"/>
                <w:b/>
                <w:color w:val="0000FF"/>
                <w:szCs w:val="24"/>
              </w:rPr>
              <w:t xml:space="preserve"> </w:t>
            </w:r>
            <w:r w:rsidRPr="00814E71">
              <w:rPr>
                <w:rStyle w:val="MaviChar"/>
              </w:rPr>
              <w:t>madde</w:t>
            </w:r>
            <w:r w:rsidR="00777A0D" w:rsidRPr="00814E71">
              <w:rPr>
                <w:rStyle w:val="MaviChar"/>
              </w:rPr>
              <w:t>ler</w:t>
            </w:r>
            <w:r w:rsidRPr="00A23740">
              <w:rPr>
                <w:rFonts w:eastAsia="Times New Roman"/>
                <w:b/>
                <w:color w:val="0000FF"/>
                <w:szCs w:val="24"/>
              </w:rPr>
              <w:t xml:space="preserve"> hükümleri</w:t>
            </w:r>
            <w:r w:rsidR="00777A0D" w:rsidRPr="00F76168">
              <w:rPr>
                <w:rStyle w:val="Balk1Char"/>
                <w:rFonts w:eastAsia="ヒラギノ明朝 Pro W3"/>
              </w:rPr>
              <w:t>,</w:t>
            </w:r>
            <w:r w:rsidRPr="00A23740">
              <w:rPr>
                <w:rFonts w:eastAsia="Times New Roman"/>
                <w:b/>
                <w:color w:val="0000FF"/>
                <w:szCs w:val="24"/>
              </w:rPr>
              <w:t xml:space="preserve"> niteliğine uygun düştüğü ölçüde haczedilenin üçüncü kişi elinde bulunması h</w:t>
            </w:r>
            <w:r w:rsidR="004E0BBE" w:rsidRPr="00A23740">
              <w:rPr>
                <w:rFonts w:eastAsia="Times New Roman"/>
                <w:b/>
                <w:color w:val="0000FF"/>
                <w:szCs w:val="24"/>
              </w:rPr>
              <w:t>â</w:t>
            </w:r>
            <w:r w:rsidRPr="00A23740">
              <w:rPr>
                <w:rFonts w:eastAsia="Times New Roman"/>
                <w:b/>
                <w:color w:val="0000FF"/>
                <w:szCs w:val="24"/>
              </w:rPr>
              <w:t xml:space="preserve">linde açılan istihkak </w:t>
            </w:r>
            <w:r w:rsidRPr="00A23740">
              <w:rPr>
                <w:rStyle w:val="MaviChar"/>
              </w:rPr>
              <w:t>davasında</w:t>
            </w:r>
            <w:r w:rsidRPr="00A23740">
              <w:rPr>
                <w:rFonts w:eastAsia="Times New Roman"/>
                <w:b/>
                <w:color w:val="0000FF"/>
                <w:szCs w:val="24"/>
              </w:rPr>
              <w:t xml:space="preserve"> da uygulanır.</w:t>
            </w:r>
          </w:p>
          <w:p w:rsidR="00AA5C8C" w:rsidRPr="00A23740" w:rsidRDefault="00AA5C8C" w:rsidP="009431FF">
            <w:pPr>
              <w:tabs>
                <w:tab w:val="left" w:pos="567"/>
              </w:tabs>
              <w:rPr>
                <w:rFonts w:eastAsia="Times New Roman"/>
                <w:b/>
                <w:color w:val="0000CC"/>
                <w:szCs w:val="24"/>
              </w:rPr>
            </w:pPr>
            <w:r w:rsidRPr="00A23740">
              <w:rPr>
                <w:rFonts w:eastAsia="Times New Roman"/>
                <w:b/>
                <w:color w:val="0000CC"/>
                <w:szCs w:val="24"/>
              </w:rPr>
              <w:t xml:space="preserve"> </w:t>
            </w:r>
          </w:p>
        </w:tc>
      </w:tr>
      <w:tr w:rsidR="00BD7568" w:rsidRPr="00A23740" w:rsidTr="009431FF">
        <w:tc>
          <w:tcPr>
            <w:tcW w:w="5000" w:type="pct"/>
            <w:gridSpan w:val="2"/>
            <w:shd w:val="clear" w:color="auto" w:fill="DEEAF6"/>
          </w:tcPr>
          <w:p w:rsidR="005D4C9E" w:rsidRPr="00A23740" w:rsidRDefault="005D4C9E" w:rsidP="009431FF">
            <w:pPr>
              <w:ind w:firstLine="709"/>
              <w:rPr>
                <w:b/>
                <w:bCs/>
                <w:szCs w:val="24"/>
                <w:lang w:eastAsia="x-none"/>
              </w:rPr>
            </w:pPr>
          </w:p>
          <w:p w:rsidR="009917DB" w:rsidRPr="00A23740" w:rsidRDefault="005038A0" w:rsidP="009431FF">
            <w:pPr>
              <w:ind w:firstLine="709"/>
              <w:rPr>
                <w:bCs/>
                <w:szCs w:val="24"/>
              </w:rPr>
            </w:pPr>
            <w:r w:rsidRPr="00A23740">
              <w:rPr>
                <w:b/>
                <w:bCs/>
                <w:szCs w:val="24"/>
              </w:rPr>
              <w:t>MADDE 439</w:t>
            </w:r>
            <w:r w:rsidR="005D4C9E" w:rsidRPr="00A23740">
              <w:rPr>
                <w:b/>
                <w:bCs/>
                <w:szCs w:val="24"/>
              </w:rPr>
              <w:t>-</w:t>
            </w:r>
            <w:r w:rsidR="009917DB" w:rsidRPr="00A23740">
              <w:rPr>
                <w:b/>
                <w:bCs/>
                <w:szCs w:val="24"/>
              </w:rPr>
              <w:t xml:space="preserve"> </w:t>
            </w:r>
            <w:r w:rsidR="009917DB" w:rsidRPr="00A23740">
              <w:rPr>
                <w:bCs/>
                <w:szCs w:val="24"/>
              </w:rPr>
              <w:t>İstihkak davası açılması</w:t>
            </w:r>
            <w:r w:rsidR="00B42246" w:rsidRPr="00A23740">
              <w:rPr>
                <w:bCs/>
                <w:szCs w:val="24"/>
              </w:rPr>
              <w:t>nın</w:t>
            </w:r>
            <w:r w:rsidR="009917DB" w:rsidRPr="00A23740">
              <w:rPr>
                <w:bCs/>
                <w:szCs w:val="24"/>
              </w:rPr>
              <w:t xml:space="preserve"> ve sonuçlarının düzenlendiği madde, 2004 sayılı Kanunun 99 uncu maddesinden farklı hususlar içermektedir. Maddenin birinci fıkrasına göre, üçüncü kişinin </w:t>
            </w:r>
            <w:r w:rsidR="00C40548" w:rsidRPr="00814E71">
              <w:t>ileri sürdüğü</w:t>
            </w:r>
            <w:r w:rsidR="00C40548" w:rsidRPr="00A23740">
              <w:rPr>
                <w:bCs/>
                <w:szCs w:val="24"/>
              </w:rPr>
              <w:t xml:space="preserve"> </w:t>
            </w:r>
            <w:r w:rsidR="009917DB" w:rsidRPr="00A23740">
              <w:rPr>
                <w:bCs/>
                <w:szCs w:val="24"/>
              </w:rPr>
              <w:t xml:space="preserve">veya üçüncü kişi lehine </w:t>
            </w:r>
            <w:r w:rsidR="00C40548" w:rsidRPr="00814E71">
              <w:t>ileri sürülen</w:t>
            </w:r>
            <w:r w:rsidR="00C40548" w:rsidRPr="00A23740">
              <w:rPr>
                <w:bCs/>
                <w:szCs w:val="24"/>
              </w:rPr>
              <w:t xml:space="preserve"> </w:t>
            </w:r>
            <w:r w:rsidR="009917DB" w:rsidRPr="00A23740">
              <w:rPr>
                <w:bCs/>
                <w:szCs w:val="24"/>
              </w:rPr>
              <w:t>istihkak iddiası</w:t>
            </w:r>
            <w:r w:rsidR="00B42246" w:rsidRPr="00A23740">
              <w:rPr>
                <w:bCs/>
                <w:szCs w:val="24"/>
              </w:rPr>
              <w:t>,</w:t>
            </w:r>
            <w:r w:rsidR="009917DB" w:rsidRPr="00A23740">
              <w:rPr>
                <w:bCs/>
                <w:szCs w:val="24"/>
              </w:rPr>
              <w:t xml:space="preserve"> icra ve iflas dairesi tarafından haciz esnasında hazır bulunmayan alacaklıya tebliğ edilecektir. Zira burada davacı konumunda olan</w:t>
            </w:r>
            <w:r w:rsidR="00B42246" w:rsidRPr="00A23740">
              <w:rPr>
                <w:bCs/>
                <w:szCs w:val="24"/>
              </w:rPr>
              <w:t>,</w:t>
            </w:r>
            <w:r w:rsidR="009917DB" w:rsidRPr="00A23740">
              <w:rPr>
                <w:bCs/>
                <w:szCs w:val="24"/>
              </w:rPr>
              <w:t xml:space="preserve"> söz konusu mala haciz koyduran alacaklıdır. Ancak istihkak iddiasının alacaklıya tebliğ edilmesi yalnız haczin alacaklının yokluğunda yapılması h</w:t>
            </w:r>
            <w:r w:rsidR="00C2196C" w:rsidRPr="00A23740">
              <w:rPr>
                <w:bCs/>
                <w:szCs w:val="24"/>
              </w:rPr>
              <w:t>â</w:t>
            </w:r>
            <w:r w:rsidR="009917DB" w:rsidRPr="00A23740">
              <w:rPr>
                <w:bCs/>
                <w:szCs w:val="24"/>
              </w:rPr>
              <w:t xml:space="preserve">li içindir. Haciz alacaklının huzurunda yapılmışsa, alacaklı istihkak iddiasını haciz esnasında öğrenmiş olacağı için ayrıca kendisine bir tebligat yapılmayacaktır. Buna göre alacaklının, icra hukuk mahkemesinde istihkak davasını, hazır bulunduğu hacizlerde haciz tarihinden, yokluğunda yapılan hacizlerde ise tebliğ tarihinden itibaren iki hafta içinde açması gerekecektir. Esasında </w:t>
            </w:r>
            <w:r w:rsidR="009917DB" w:rsidRPr="00A23740">
              <w:rPr>
                <w:rFonts w:ascii="Calibri" w:hAnsi="Calibri"/>
                <w:sz w:val="22"/>
              </w:rPr>
              <w:t>burada</w:t>
            </w:r>
            <w:r w:rsidR="009917DB" w:rsidRPr="00A23740">
              <w:rPr>
                <w:szCs w:val="24"/>
              </w:rPr>
              <w:t xml:space="preserve"> alacaklının açacağı istihkak davası, üçüncü kişinin istihkak iddiasının reddi davası niteliğini taşıyacaktır. Zira bu h</w:t>
            </w:r>
            <w:r w:rsidR="004E0BBE" w:rsidRPr="00A23740">
              <w:rPr>
                <w:szCs w:val="24"/>
              </w:rPr>
              <w:t>â</w:t>
            </w:r>
            <w:r w:rsidR="009917DB" w:rsidRPr="00A23740">
              <w:rPr>
                <w:szCs w:val="24"/>
              </w:rPr>
              <w:t xml:space="preserve">lde alacaklı istihkak iddia edilen malın üçüncü kişiye değil, takip borçlusuna aiti olduğunu ileri sürmektedir. Alacaklı, hükümde öngörülen iki haftalık süre içinde istihkak davasını açmazsa, </w:t>
            </w:r>
            <w:r w:rsidR="009917DB" w:rsidRPr="00A23740">
              <w:rPr>
                <w:bCs/>
                <w:szCs w:val="24"/>
              </w:rPr>
              <w:t>aynı takipte o haciz bakımından istihkak iddiasını kabul etmiş sayılır. Görüldüğü üzere</w:t>
            </w:r>
            <w:r w:rsidR="00B42246" w:rsidRPr="00A23740">
              <w:rPr>
                <w:bCs/>
                <w:szCs w:val="24"/>
              </w:rPr>
              <w:t>,</w:t>
            </w:r>
            <w:r w:rsidR="009917DB" w:rsidRPr="00A23740">
              <w:rPr>
                <w:bCs/>
                <w:szCs w:val="24"/>
              </w:rPr>
              <w:t xml:space="preserve"> burada mal üçüncü kişi elinde haczedildiği için istihkak iddiasından vazgeçme değil, istihkak iddiasını kabul etmiş sayılma sonucu ortaya çıkmaktadır. Ancak süresinde istihkak davası açmayan alacaklı da aynı takipte sadece o haciz bakımından üçüncü kişinin istihkak iddiasını kabul etmiş sayılacaktır. Aynı takipte aynı mal üzerine yeniden haciz konulması ve istihkak iddiasında bulunulması h</w:t>
            </w:r>
            <w:r w:rsidR="00C2196C" w:rsidRPr="00A23740">
              <w:rPr>
                <w:bCs/>
                <w:szCs w:val="24"/>
              </w:rPr>
              <w:t>â</w:t>
            </w:r>
            <w:r w:rsidR="009917DB" w:rsidRPr="00A23740">
              <w:rPr>
                <w:bCs/>
                <w:szCs w:val="24"/>
              </w:rPr>
              <w:t>linde, alacaklı yine istihkak iddiasının</w:t>
            </w:r>
            <w:r w:rsidR="005D4C9E" w:rsidRPr="00A23740">
              <w:rPr>
                <w:bCs/>
                <w:szCs w:val="24"/>
              </w:rPr>
              <w:t xml:space="preserve"> reddi için dava açabilecektir.</w:t>
            </w:r>
          </w:p>
          <w:p w:rsidR="009917DB" w:rsidRPr="00A23740" w:rsidRDefault="009917DB" w:rsidP="009431FF">
            <w:pPr>
              <w:ind w:firstLine="709"/>
              <w:rPr>
                <w:bCs/>
                <w:szCs w:val="24"/>
              </w:rPr>
            </w:pPr>
            <w:r w:rsidRPr="00A23740">
              <w:rPr>
                <w:bCs/>
                <w:szCs w:val="24"/>
              </w:rPr>
              <w:t>Yetkili icra hukuk mahkemesinin belirlenmesi hususunda, malın borçlu elinde haczedilmesine ilişkin hükümler geçerli olacaktır. Buna göre, davacı alacaklı istihkak davasını, davalının yerleşim yeri veya takibin yapıldığı yer icra hukuk mahkemesinde açılabilecektir. Bu h</w:t>
            </w:r>
            <w:r w:rsidR="00C2196C" w:rsidRPr="00A23740">
              <w:rPr>
                <w:bCs/>
                <w:szCs w:val="24"/>
              </w:rPr>
              <w:t>â</w:t>
            </w:r>
            <w:r w:rsidRPr="00A23740">
              <w:rPr>
                <w:bCs/>
                <w:szCs w:val="24"/>
              </w:rPr>
              <w:t>lde de yetki kuralının kesin ve kamu düzenine ilişki</w:t>
            </w:r>
            <w:r w:rsidR="005D4C9E" w:rsidRPr="00A23740">
              <w:rPr>
                <w:bCs/>
                <w:szCs w:val="24"/>
              </w:rPr>
              <w:t>n olmadığını belirtmek gerekir.</w:t>
            </w:r>
          </w:p>
          <w:p w:rsidR="009917DB" w:rsidRPr="00A23740" w:rsidRDefault="009917DB" w:rsidP="009431FF">
            <w:pPr>
              <w:ind w:firstLine="709"/>
              <w:rPr>
                <w:bCs/>
                <w:szCs w:val="24"/>
              </w:rPr>
            </w:pPr>
            <w:r w:rsidRPr="00A23740">
              <w:rPr>
                <w:bCs/>
                <w:szCs w:val="24"/>
              </w:rPr>
              <w:t xml:space="preserve">Maddenin birinci fıkrasının son cümlesi hükmüne göre, alacaklı tarafından açılan davada verilen karar kesinleşinceye kadar, haczedilenin satışı yapılamayacaktır. Bu nedenle, burada mahkemece takibin ertelenmesi yönünde bir karar verilmesine de gerek </w:t>
            </w:r>
            <w:r w:rsidR="00B42246" w:rsidRPr="00A23740">
              <w:rPr>
                <w:bCs/>
                <w:szCs w:val="24"/>
              </w:rPr>
              <w:t>bulunmamaktadır</w:t>
            </w:r>
            <w:r w:rsidRPr="00A23740">
              <w:rPr>
                <w:bCs/>
                <w:szCs w:val="24"/>
              </w:rPr>
              <w:t>.</w:t>
            </w:r>
            <w:r w:rsidRPr="00A23740">
              <w:rPr>
                <w:szCs w:val="24"/>
              </w:rPr>
              <w:t xml:space="preserve"> Getirilen yeni düzenlemede, </w:t>
            </w:r>
            <w:r w:rsidRPr="00A23740">
              <w:rPr>
                <w:bCs/>
                <w:szCs w:val="24"/>
              </w:rPr>
              <w:t>mevcut metinde yer alan “dava sonuçlanıncaya kadar” ibaresinden maksadın, dava hakkında verilen kararın kesinleşmesi olduğu açıkça ifade edilmiş, böylece bu konuda yaşanabilecek olası tereddütlerin önüne geçilmesi amaçlanmıştır. Dolayısıyla</w:t>
            </w:r>
            <w:r w:rsidR="00B42246" w:rsidRPr="00A23740">
              <w:rPr>
                <w:bCs/>
                <w:szCs w:val="24"/>
              </w:rPr>
              <w:t>,</w:t>
            </w:r>
            <w:r w:rsidRPr="00A23740">
              <w:rPr>
                <w:bCs/>
                <w:szCs w:val="24"/>
              </w:rPr>
              <w:t xml:space="preserve"> bu ihtimalde istihkak davası hakkında verilen karar kesinleşinceye kadar dava konusu malın satışı yapılamayacaktır. Çünkü bu ihtimalde mal üçüncü kişi elinde haczedilmiştir, zilyetlik ve dolayısıyla mülkiyet karinesi üçüncü kişi lehinedir ve üçüncü kişi hacizli şey üzerinde hak iddiasında bulunmaktadır. Böyle bir iddianın varlığı h</w:t>
            </w:r>
            <w:r w:rsidR="00C2196C" w:rsidRPr="00A23740">
              <w:rPr>
                <w:bCs/>
                <w:szCs w:val="24"/>
              </w:rPr>
              <w:t>â</w:t>
            </w:r>
            <w:r w:rsidRPr="00A23740">
              <w:rPr>
                <w:bCs/>
                <w:szCs w:val="24"/>
              </w:rPr>
              <w:t>linde, bu iddianın haklı olup olmadığı, nihai olarak ancak kesinleşmiş bir mahkeme kararı</w:t>
            </w:r>
            <w:r w:rsidR="00B42246" w:rsidRPr="00A23740">
              <w:rPr>
                <w:bCs/>
                <w:szCs w:val="24"/>
              </w:rPr>
              <w:t>yla</w:t>
            </w:r>
            <w:r w:rsidRPr="00A23740">
              <w:rPr>
                <w:bCs/>
                <w:szCs w:val="24"/>
              </w:rPr>
              <w:t xml:space="preserve"> ortaya çıkacaktır. Açıklanan nedenlerle, burada, hacizli malın satışı için dava hakkında verilen kararın kesinleşmesinin beklenmesinin menfaatler dengesine daha uygun olacağı sonucuna varılmıştır. </w:t>
            </w:r>
          </w:p>
          <w:p w:rsidR="009917DB" w:rsidRPr="00A23740" w:rsidRDefault="009917DB" w:rsidP="009431FF">
            <w:pPr>
              <w:ind w:firstLine="709"/>
              <w:rPr>
                <w:bCs/>
                <w:szCs w:val="24"/>
              </w:rPr>
            </w:pPr>
            <w:r w:rsidRPr="00A23740">
              <w:rPr>
                <w:bCs/>
                <w:szCs w:val="24"/>
              </w:rPr>
              <w:t>İkinci fıkra yeni bir hükümdür. Mevcut metinde bir karşılığı bulunmamaktadır. Hüküm, dava aleyhine sonuçlanan tarafın, tazminata mahkûm edilip edilmeyeceğini düzenlemektedir. Bilineceği üzere</w:t>
            </w:r>
            <w:r w:rsidR="00B42246" w:rsidRPr="00A23740">
              <w:rPr>
                <w:bCs/>
                <w:szCs w:val="24"/>
              </w:rPr>
              <w:t>,</w:t>
            </w:r>
            <w:r w:rsidRPr="00A23740">
              <w:rPr>
                <w:bCs/>
                <w:szCs w:val="24"/>
              </w:rPr>
              <w:t xml:space="preserve"> 2004 sayılı Kanunun 99 uncu maddesinde bu konuda açık bi</w:t>
            </w:r>
            <w:r w:rsidR="005D4C9E" w:rsidRPr="00A23740">
              <w:rPr>
                <w:bCs/>
                <w:szCs w:val="24"/>
              </w:rPr>
              <w:t>r düzenleme bulunmadığı için,</w:t>
            </w:r>
            <w:r w:rsidRPr="00A23740">
              <w:rPr>
                <w:bCs/>
                <w:szCs w:val="24"/>
              </w:rPr>
              <w:t xml:space="preserve"> 97</w:t>
            </w:r>
            <w:r w:rsidR="005D4C9E" w:rsidRPr="00A23740">
              <w:rPr>
                <w:bCs/>
                <w:szCs w:val="24"/>
              </w:rPr>
              <w:t xml:space="preserve"> nci madde</w:t>
            </w:r>
            <w:r w:rsidRPr="00A23740">
              <w:rPr>
                <w:bCs/>
                <w:szCs w:val="24"/>
              </w:rPr>
              <w:t xml:space="preserve"> hükmünün burada kıyasen uygulanıp uygulanamayacağı ve dolayısıyla davayı kaybeden tarafın tazminata mahkûm edilip edilemeyeceği hususu doktrine tartışmalıydı ve Yargıtay’ın da birbirinden farklı içtihatları bulunmaktaydı. İşte </w:t>
            </w:r>
            <w:r w:rsidR="00B42246" w:rsidRPr="00A23740">
              <w:rPr>
                <w:bCs/>
                <w:szCs w:val="24"/>
              </w:rPr>
              <w:t xml:space="preserve">Taslaktaki yeni düzenleme </w:t>
            </w:r>
            <w:r w:rsidRPr="00A23740">
              <w:rPr>
                <w:bCs/>
                <w:szCs w:val="24"/>
              </w:rPr>
              <w:t>bu konuya açıklık getirmek amacıyla yapılmıştır. Esasen, malın borçlu elinde haczedilmesi h</w:t>
            </w:r>
            <w:r w:rsidR="00C2196C" w:rsidRPr="00A23740">
              <w:rPr>
                <w:bCs/>
                <w:szCs w:val="24"/>
              </w:rPr>
              <w:t>â</w:t>
            </w:r>
            <w:r w:rsidRPr="00A23740">
              <w:rPr>
                <w:bCs/>
                <w:szCs w:val="24"/>
              </w:rPr>
              <w:t>linde taraflar tazminata mahkûm edilebilirken, malın üçüncü kişi elinde haczedilmesi h</w:t>
            </w:r>
            <w:r w:rsidR="00C2196C" w:rsidRPr="00A23740">
              <w:rPr>
                <w:bCs/>
                <w:szCs w:val="24"/>
              </w:rPr>
              <w:t>â</w:t>
            </w:r>
            <w:r w:rsidRPr="00A23740">
              <w:rPr>
                <w:bCs/>
                <w:szCs w:val="24"/>
              </w:rPr>
              <w:t>linde tazminata mahkûm edilemeyeceklerini savunmanın gerçekte haklı bir gerekçesi bulunmamaktadır. Malın borçlu elinde haczedilmesi h</w:t>
            </w:r>
            <w:r w:rsidR="00C2196C" w:rsidRPr="00A23740">
              <w:rPr>
                <w:bCs/>
                <w:szCs w:val="24"/>
              </w:rPr>
              <w:t>â</w:t>
            </w:r>
            <w:r w:rsidRPr="00A23740">
              <w:rPr>
                <w:bCs/>
                <w:szCs w:val="24"/>
              </w:rPr>
              <w:t>linde</w:t>
            </w:r>
            <w:r w:rsidR="00B42246" w:rsidRPr="00A23740">
              <w:rPr>
                <w:bCs/>
                <w:szCs w:val="24"/>
              </w:rPr>
              <w:t>,</w:t>
            </w:r>
            <w:r w:rsidRPr="00A23740">
              <w:rPr>
                <w:bCs/>
                <w:szCs w:val="24"/>
              </w:rPr>
              <w:t xml:space="preserve"> ancak takibin ertelenmesine karar verildiği takdirde davayı kaybeden davacı üçüncü kişi tazminata mahkûm edilecektir. Zira bu h</w:t>
            </w:r>
            <w:r w:rsidR="004E0BBE" w:rsidRPr="00A23740">
              <w:rPr>
                <w:bCs/>
                <w:szCs w:val="24"/>
              </w:rPr>
              <w:t>â</w:t>
            </w:r>
            <w:r w:rsidRPr="00A23740">
              <w:rPr>
                <w:bCs/>
                <w:szCs w:val="24"/>
              </w:rPr>
              <w:t>lde istihkak davası açmakla ve takibin de ertelenmesine karar verilmekle davacı üçüncü kişi, alacaklının hakkına kavuşmasını geciktirmiş olmaktadır. Aynı durum malın üçüncü kişi elinde haczedilmesi h</w:t>
            </w:r>
            <w:r w:rsidR="00C2196C" w:rsidRPr="00A23740">
              <w:rPr>
                <w:bCs/>
                <w:szCs w:val="24"/>
              </w:rPr>
              <w:t>â</w:t>
            </w:r>
            <w:r w:rsidRPr="00A23740">
              <w:rPr>
                <w:bCs/>
                <w:szCs w:val="24"/>
              </w:rPr>
              <w:t>linde de söz konusudur. Çünkü bu h</w:t>
            </w:r>
            <w:r w:rsidR="00C2196C" w:rsidRPr="00A23740">
              <w:rPr>
                <w:bCs/>
                <w:szCs w:val="24"/>
              </w:rPr>
              <w:t>â</w:t>
            </w:r>
            <w:r w:rsidRPr="00A23740">
              <w:rPr>
                <w:bCs/>
                <w:szCs w:val="24"/>
              </w:rPr>
              <w:t>lde, takibin ertelenmesi kararı verilmesine gerek olmaksızın, üçüncü kişinin istihkak iddiası nedeniyle alacaklı tarafından istihkak davası açılması h</w:t>
            </w:r>
            <w:r w:rsidR="00C2196C" w:rsidRPr="00A23740">
              <w:rPr>
                <w:bCs/>
                <w:szCs w:val="24"/>
              </w:rPr>
              <w:t>â</w:t>
            </w:r>
            <w:r w:rsidRPr="00A23740">
              <w:rPr>
                <w:bCs/>
                <w:szCs w:val="24"/>
              </w:rPr>
              <w:t>linde zaten dava konusu haczedilen şey hakkındaki takip ertelenmekte ve istihkak davası hakkında verilen karar kesinleşmedikçe dava konusu malın satışı yapılamamaktadır. Dolayısıyla</w:t>
            </w:r>
            <w:r w:rsidR="00B42246" w:rsidRPr="00A23740">
              <w:rPr>
                <w:bCs/>
                <w:szCs w:val="24"/>
              </w:rPr>
              <w:t>,</w:t>
            </w:r>
            <w:r w:rsidRPr="00A23740">
              <w:rPr>
                <w:bCs/>
                <w:szCs w:val="24"/>
              </w:rPr>
              <w:t xml:space="preserve"> bu h</w:t>
            </w:r>
            <w:r w:rsidR="00C2196C" w:rsidRPr="00A23740">
              <w:rPr>
                <w:bCs/>
                <w:szCs w:val="24"/>
              </w:rPr>
              <w:t>â</w:t>
            </w:r>
            <w:r w:rsidRPr="00A23740">
              <w:rPr>
                <w:bCs/>
                <w:szCs w:val="24"/>
              </w:rPr>
              <w:t>lde de alacaklının alacağını elde etmesi gecikmiş olmaktadır. Bu nedenlerle davanın kabulü h</w:t>
            </w:r>
            <w:r w:rsidR="00C2196C" w:rsidRPr="00A23740">
              <w:rPr>
                <w:bCs/>
                <w:szCs w:val="24"/>
              </w:rPr>
              <w:t>â</w:t>
            </w:r>
            <w:r w:rsidRPr="00A23740">
              <w:rPr>
                <w:bCs/>
                <w:szCs w:val="24"/>
              </w:rPr>
              <w:t>linde, davalı üçüncü kişinin tazminata mahkûm edilmesine yönelik olarak hüküm ihdas edilmesinin gerekli ve yararlı olacağı sonucuna varılmıştır. Davanın reddi h</w:t>
            </w:r>
            <w:r w:rsidR="004E0BBE" w:rsidRPr="00A23740">
              <w:rPr>
                <w:bCs/>
                <w:szCs w:val="24"/>
              </w:rPr>
              <w:t>â</w:t>
            </w:r>
            <w:r w:rsidRPr="00A23740">
              <w:rPr>
                <w:bCs/>
                <w:szCs w:val="24"/>
              </w:rPr>
              <w:t xml:space="preserve">linde davacı alacaklının tazminata mahkûm edilip edilemeyeceği hususunda da mevcut metinde bir düzenleme bulunmamaktaydı. Bu konuda da doktrinde farklı görüşler </w:t>
            </w:r>
            <w:r w:rsidR="00B42246" w:rsidRPr="00A23740">
              <w:rPr>
                <w:bCs/>
                <w:szCs w:val="24"/>
              </w:rPr>
              <w:t xml:space="preserve">ileri sürülmekte </w:t>
            </w:r>
            <w:r w:rsidRPr="00A23740">
              <w:rPr>
                <w:bCs/>
                <w:szCs w:val="24"/>
              </w:rPr>
              <w:t>ve uygulamada farklı kararlar verilmekteydi. Oysa burada da kötüniyetli olarak istihkak davası açan alacaklının, davanın reddi h</w:t>
            </w:r>
            <w:r w:rsidR="00C2196C" w:rsidRPr="00A23740">
              <w:rPr>
                <w:bCs/>
                <w:szCs w:val="24"/>
              </w:rPr>
              <w:t>â</w:t>
            </w:r>
            <w:r w:rsidRPr="00A23740">
              <w:rPr>
                <w:bCs/>
                <w:szCs w:val="24"/>
              </w:rPr>
              <w:t>linde tazminata mahkûm edilmemesinin gerçekte haklı bir gerekçesi yoktu. Dolayısıyla, yeni getirilen düzenlemeye göre alacaklı da istihkak davası reddedildiği takdirde tazminata mahkûm edilebilecektir. Ancak bunun için alacaklının kötüniyetli olduğunun sabit olması gerekir. Bu bağlamda örneğin davacı alacaklı, haciz konulan dava konusu malın gerçekte borçluya ait olmayıp üçüncü kişiye ait olduğunu bilmesine rağmen istihkak davası açmışsa</w:t>
            </w:r>
            <w:r w:rsidR="00416DFB" w:rsidRPr="00A23740">
              <w:rPr>
                <w:bCs/>
                <w:szCs w:val="24"/>
              </w:rPr>
              <w:t>,</w:t>
            </w:r>
            <w:r w:rsidRPr="00A23740">
              <w:rPr>
                <w:bCs/>
                <w:szCs w:val="24"/>
              </w:rPr>
              <w:t xml:space="preserve"> kötüniyetli sayılmalı ve tazminata mahkûm edilmelidir. Öte yandan ikinci fıkrada öngörülen tazminatlara karar verilebilmesi için mutlaka bunun taraflarca talep edilmiş olması gerekir. Ayrıca hükümde tazminatlara hangi miktar üzerinden karar verileceği hususuna da açıklık getirilmiştir. Buna göre takip konusu alacak miktarı ile istihkak davasına konu haczedilenin değerinden hangisi az ise onun üzerinde</w:t>
            </w:r>
            <w:r w:rsidR="005D4C9E" w:rsidRPr="00A23740">
              <w:rPr>
                <w:bCs/>
                <w:szCs w:val="24"/>
              </w:rPr>
              <w:t>n tazminata karar verilecektir.</w:t>
            </w:r>
          </w:p>
          <w:p w:rsidR="00BD7568" w:rsidRPr="00A23740" w:rsidRDefault="009917DB" w:rsidP="009431FF">
            <w:pPr>
              <w:ind w:firstLine="709"/>
              <w:rPr>
                <w:b/>
                <w:bCs/>
                <w:szCs w:val="24"/>
                <w:lang w:eastAsia="x-none"/>
              </w:rPr>
            </w:pPr>
            <w:r w:rsidRPr="00A23740">
              <w:rPr>
                <w:szCs w:val="24"/>
              </w:rPr>
              <w:t xml:space="preserve">Üçüncü fıkra da yeni bir hükümdür. Kanunda malın borçlu elinde haczedilmesine ilişkin hükümler, üçüncü kişi elinde haczedilmesine ilişkin hükümlere göre daha ayrıntılı düzenlenmiştir. Bu nedenle tekrardan kaçınmak ve boşluk bırakmamak adına, bu şekilde bir atıf hükmü ihdas edilmesinin yararlı olacağına karar verilmiştir. </w:t>
            </w:r>
          </w:p>
          <w:p w:rsidR="00BD7568" w:rsidRPr="00A23740" w:rsidRDefault="00BD756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t xml:space="preserve">Üçüncü </w:t>
            </w:r>
            <w:r w:rsidRPr="00A23740">
              <w:rPr>
                <w:b/>
                <w:strike/>
                <w:color w:val="FF0000"/>
                <w:szCs w:val="24"/>
              </w:rPr>
              <w:t>şahısların</w:t>
            </w:r>
            <w:r w:rsidRPr="00A23740">
              <w:rPr>
                <w:szCs w:val="24"/>
              </w:rPr>
              <w:t xml:space="preserve"> istihkak iddiaları</w:t>
            </w:r>
            <w:r w:rsidRPr="00A23740">
              <w:rPr>
                <w:b/>
                <w:strike/>
                <w:color w:val="FF0000"/>
                <w:szCs w:val="24"/>
              </w:rPr>
              <w:t>:</w:t>
            </w:r>
          </w:p>
          <w:p w:rsidR="00AA5C8C" w:rsidRPr="00A23740" w:rsidRDefault="00AA5C8C" w:rsidP="009431FF">
            <w:pPr>
              <w:tabs>
                <w:tab w:val="left" w:pos="567"/>
              </w:tabs>
              <w:rPr>
                <w:b/>
                <w:szCs w:val="24"/>
              </w:rPr>
            </w:pPr>
            <w:r w:rsidRPr="00A23740">
              <w:rPr>
                <w:rStyle w:val="KIRMIZIChar"/>
                <w:rFonts w:eastAsia="Calibri"/>
              </w:rPr>
              <w:t>Madde 228 – (1)</w:t>
            </w:r>
            <w:r w:rsidRPr="00A23740">
              <w:rPr>
                <w:rFonts w:eastAsia="Times New Roman"/>
                <w:color w:val="000000"/>
                <w:szCs w:val="24"/>
                <w:lang w:eastAsia="tr-TR"/>
              </w:rPr>
              <w:t xml:space="preserve"> </w:t>
            </w:r>
            <w:r w:rsidRPr="00A23740">
              <w:rPr>
                <w:b/>
                <w:strike/>
                <w:color w:val="FF0000"/>
                <w:szCs w:val="24"/>
              </w:rPr>
              <w:t>(Değişik: 18/2/1965  - 538/96 md.)</w:t>
            </w:r>
          </w:p>
          <w:p w:rsidR="00AA5C8C" w:rsidRPr="00A23740" w:rsidRDefault="00AA5C8C" w:rsidP="009431FF">
            <w:pPr>
              <w:tabs>
                <w:tab w:val="left" w:pos="567"/>
              </w:tabs>
              <w:rPr>
                <w:szCs w:val="24"/>
              </w:rPr>
            </w:pPr>
            <w:r w:rsidRPr="00A23740">
              <w:rPr>
                <w:szCs w:val="24"/>
              </w:rPr>
              <w:t xml:space="preserve">Üçüncü </w:t>
            </w:r>
            <w:r w:rsidRPr="00A23740">
              <w:rPr>
                <w:b/>
                <w:strike/>
                <w:color w:val="FF0000"/>
                <w:szCs w:val="24"/>
              </w:rPr>
              <w:t>şahıslar</w:t>
            </w:r>
            <w:r w:rsidRPr="00A23740">
              <w:rPr>
                <w:szCs w:val="24"/>
              </w:rPr>
              <w:t xml:space="preserve"> tarafından istihkak iddia</w:t>
            </w:r>
            <w:r w:rsidRPr="00A23740">
              <w:rPr>
                <w:rStyle w:val="KIRMIZIChar"/>
                <w:rFonts w:eastAsia="Calibri"/>
              </w:rPr>
              <w:t>sında</w:t>
            </w:r>
            <w:r w:rsidRPr="00A23740">
              <w:rPr>
                <w:szCs w:val="24"/>
              </w:rPr>
              <w:t xml:space="preserve"> </w:t>
            </w:r>
            <w:r w:rsidRPr="00A23740">
              <w:rPr>
                <w:rStyle w:val="KIRMIZIChar"/>
                <w:rFonts w:eastAsia="Calibri"/>
              </w:rPr>
              <w:t>bulunulan eşyanın kendilerine verilip verilmiyeceğini</w:t>
            </w:r>
            <w:r w:rsidRPr="00A23740">
              <w:rPr>
                <w:szCs w:val="24"/>
              </w:rPr>
              <w:t xml:space="preserve"> iflas idaresi </w:t>
            </w:r>
            <w:r w:rsidRPr="00A23740">
              <w:rPr>
                <w:rStyle w:val="KIRMIZIChar"/>
                <w:rFonts w:eastAsia="Calibri"/>
              </w:rPr>
              <w:t>kararlaştırır.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Default="00AA5C8C" w:rsidP="009431FF">
            <w:pPr>
              <w:tabs>
                <w:tab w:val="left" w:pos="567"/>
              </w:tabs>
              <w:rPr>
                <w:szCs w:val="24"/>
              </w:rPr>
            </w:pPr>
          </w:p>
          <w:p w:rsidR="00E36534" w:rsidRDefault="00E36534" w:rsidP="009431FF">
            <w:pPr>
              <w:tabs>
                <w:tab w:val="left" w:pos="567"/>
              </w:tabs>
              <w:rPr>
                <w:szCs w:val="24"/>
              </w:rPr>
            </w:pPr>
          </w:p>
          <w:p w:rsidR="004D6E43" w:rsidRPr="00A23740" w:rsidRDefault="004D6E43"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rFonts w:eastAsia="Times New Roman"/>
                <w:color w:val="000000"/>
                <w:szCs w:val="24"/>
                <w:lang w:eastAsia="tr-TR"/>
              </w:rPr>
              <w:t xml:space="preserve"> </w:t>
            </w:r>
            <w:r w:rsidRPr="00A23740">
              <w:rPr>
                <w:rStyle w:val="KIRMIZIChar"/>
                <w:rFonts w:eastAsia="Calibri"/>
              </w:rPr>
              <w:t>İflas idaresi;</w:t>
            </w:r>
            <w:r w:rsidRPr="00A23740">
              <w:rPr>
                <w:szCs w:val="24"/>
              </w:rPr>
              <w:t xml:space="preserve"> istihkak iddiası</w:t>
            </w:r>
            <w:r w:rsidRPr="00A23740">
              <w:rPr>
                <w:rStyle w:val="KIRMIZIChar"/>
                <w:rFonts w:eastAsia="Calibri"/>
              </w:rPr>
              <w:t>nı</w:t>
            </w:r>
            <w:r w:rsidRPr="00A23740">
              <w:rPr>
                <w:szCs w:val="24"/>
              </w:rPr>
              <w:t xml:space="preserve"> redde</w:t>
            </w:r>
            <w:r w:rsidRPr="00A23740">
              <w:rPr>
                <w:rStyle w:val="KIRMIZIChar"/>
                <w:rFonts w:eastAsia="Calibri"/>
              </w:rPr>
              <w:t>der</w:t>
            </w:r>
            <w:r w:rsidRPr="00A23740">
              <w:rPr>
                <w:szCs w:val="24"/>
              </w:rPr>
              <w:t xml:space="preserve">se, üçüncü </w:t>
            </w:r>
            <w:r w:rsidRPr="00A23740">
              <w:rPr>
                <w:b/>
                <w:strike/>
                <w:color w:val="FF0000"/>
                <w:szCs w:val="24"/>
              </w:rPr>
              <w:t>şahsa icra</w:t>
            </w:r>
            <w:r w:rsidRPr="00A23740">
              <w:rPr>
                <w:szCs w:val="24"/>
              </w:rPr>
              <w:t xml:space="preserve"> mahkemesinde istihkak davası açması için </w:t>
            </w:r>
            <w:r w:rsidRPr="00A23740">
              <w:rPr>
                <w:b/>
                <w:strike/>
                <w:color w:val="FF0000"/>
                <w:szCs w:val="24"/>
              </w:rPr>
              <w:t>yedi günlük bir mühlet</w:t>
            </w:r>
            <w:r w:rsidRPr="00A23740">
              <w:rPr>
                <w:szCs w:val="24"/>
              </w:rPr>
              <w:t xml:space="preserve"> tayin ve tebliğ eder. Bu </w:t>
            </w:r>
            <w:r w:rsidRPr="00A23740">
              <w:rPr>
                <w:b/>
                <w:strike/>
                <w:color w:val="FF0000"/>
                <w:szCs w:val="24"/>
              </w:rPr>
              <w:t>mühleti</w:t>
            </w:r>
            <w:r w:rsidRPr="00A23740">
              <w:rPr>
                <w:szCs w:val="24"/>
              </w:rPr>
              <w:t xml:space="preserve"> geçiren üçüncü </w:t>
            </w:r>
            <w:r w:rsidRPr="00A23740">
              <w:rPr>
                <w:b/>
                <w:strike/>
                <w:color w:val="FF0000"/>
                <w:szCs w:val="24"/>
              </w:rPr>
              <w:t>şahıs</w:t>
            </w:r>
            <w:r w:rsidRPr="00A23740">
              <w:rPr>
                <w:szCs w:val="24"/>
              </w:rPr>
              <w:t>, masaya karşı istihkak iddiasından vazgeçmiş sayılır.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rFonts w:eastAsia="Times New Roman"/>
                <w:color w:val="000000"/>
                <w:szCs w:val="24"/>
                <w:lang w:eastAsia="tr-TR"/>
              </w:rPr>
              <w:t xml:space="preserve"> </w:t>
            </w:r>
            <w:r w:rsidRPr="00A23740">
              <w:rPr>
                <w:szCs w:val="24"/>
              </w:rPr>
              <w:t xml:space="preserve">İstihkak davasına, genel hükümler dairesinde </w:t>
            </w:r>
            <w:r w:rsidRPr="00A23740">
              <w:rPr>
                <w:b/>
                <w:strike/>
                <w:color w:val="FF0000"/>
                <w:szCs w:val="24"/>
              </w:rPr>
              <w:t>ve basit yargılama usulüne göre</w:t>
            </w:r>
            <w:r w:rsidRPr="00A23740">
              <w:rPr>
                <w:szCs w:val="24"/>
              </w:rPr>
              <w:t xml:space="preserve"> bakılır.</w:t>
            </w:r>
          </w:p>
          <w:p w:rsidR="00AA5C8C" w:rsidRDefault="00AA5C8C" w:rsidP="009431FF">
            <w:pPr>
              <w:tabs>
                <w:tab w:val="left" w:pos="567"/>
              </w:tabs>
              <w:rPr>
                <w:szCs w:val="24"/>
              </w:rPr>
            </w:pPr>
          </w:p>
          <w:p w:rsidR="00010E10" w:rsidRPr="00A23740" w:rsidRDefault="00010E10" w:rsidP="009431FF">
            <w:pPr>
              <w:tabs>
                <w:tab w:val="left" w:pos="567"/>
              </w:tabs>
              <w:rPr>
                <w:szCs w:val="24"/>
              </w:rPr>
            </w:pPr>
          </w:p>
          <w:p w:rsidR="00AA5C8C" w:rsidRDefault="00AA5C8C" w:rsidP="009431FF">
            <w:pPr>
              <w:tabs>
                <w:tab w:val="left" w:pos="567"/>
              </w:tabs>
              <w:rPr>
                <w:szCs w:val="24"/>
              </w:rPr>
            </w:pPr>
            <w:r w:rsidRPr="00A23740">
              <w:rPr>
                <w:rStyle w:val="KIRMIZIChar"/>
                <w:rFonts w:eastAsia="Calibri"/>
              </w:rPr>
              <w:t>(4)</w:t>
            </w:r>
            <w:r w:rsidRPr="00A23740">
              <w:rPr>
                <w:rFonts w:eastAsia="Times New Roman"/>
                <w:color w:val="000000"/>
                <w:szCs w:val="24"/>
                <w:lang w:eastAsia="tr-TR"/>
              </w:rPr>
              <w:t xml:space="preserve"> </w:t>
            </w:r>
            <w:r w:rsidRPr="00A23740">
              <w:rPr>
                <w:b/>
                <w:strike/>
                <w:color w:val="FF0000"/>
                <w:szCs w:val="24"/>
              </w:rPr>
              <w:t>İcra</w:t>
            </w:r>
            <w:r w:rsidRPr="00A23740">
              <w:rPr>
                <w:szCs w:val="24"/>
              </w:rPr>
              <w:t xml:space="preserve"> mahkemesi, </w:t>
            </w:r>
            <w:r w:rsidRPr="00A23740">
              <w:rPr>
                <w:b/>
                <w:strike/>
                <w:color w:val="FF0000"/>
                <w:szCs w:val="24"/>
              </w:rPr>
              <w:t>icabında</w:t>
            </w:r>
            <w:r w:rsidRPr="00A23740">
              <w:rPr>
                <w:szCs w:val="24"/>
              </w:rPr>
              <w:t xml:space="preserve"> istihkak davacısından masanın muhtemel zararına karşı teminat istiyebilir.</w:t>
            </w:r>
          </w:p>
          <w:p w:rsidR="00277039" w:rsidRPr="00A23740" w:rsidRDefault="00277039" w:rsidP="009431FF">
            <w:pPr>
              <w:tabs>
                <w:tab w:val="left" w:pos="567"/>
              </w:tabs>
              <w:rPr>
                <w:szCs w:val="24"/>
              </w:rPr>
            </w:pPr>
          </w:p>
        </w:tc>
        <w:tc>
          <w:tcPr>
            <w:tcW w:w="2500" w:type="pct"/>
          </w:tcPr>
          <w:p w:rsidR="00AA5C8C" w:rsidRPr="00A23740" w:rsidRDefault="00AA5C8C" w:rsidP="009431FF">
            <w:pPr>
              <w:tabs>
                <w:tab w:val="left" w:pos="567"/>
              </w:tabs>
              <w:jc w:val="center"/>
              <w:rPr>
                <w:rFonts w:eastAsia="Times New Roman"/>
                <w:b/>
                <w:color w:val="0000FF"/>
                <w:szCs w:val="24"/>
              </w:rPr>
            </w:pPr>
            <w:r w:rsidRPr="00A23740">
              <w:rPr>
                <w:rFonts w:eastAsia="Times New Roman"/>
                <w:b/>
                <w:color w:val="0000FF"/>
                <w:szCs w:val="24"/>
              </w:rPr>
              <w:t>İKİNCİ BÖLÜM</w:t>
            </w:r>
          </w:p>
          <w:p w:rsidR="00AA5C8C" w:rsidRPr="00A23740" w:rsidRDefault="00AA5C8C" w:rsidP="009431FF">
            <w:pPr>
              <w:tabs>
                <w:tab w:val="left" w:pos="567"/>
              </w:tabs>
              <w:jc w:val="center"/>
              <w:rPr>
                <w:szCs w:val="24"/>
              </w:rPr>
            </w:pPr>
            <w:r w:rsidRPr="00A23740">
              <w:rPr>
                <w:rFonts w:eastAsia="Times New Roman"/>
                <w:b/>
                <w:color w:val="0000FF"/>
                <w:szCs w:val="24"/>
              </w:rPr>
              <w:t>İflasta İstihkak Dav</w:t>
            </w:r>
            <w:r w:rsidRPr="00A23740">
              <w:rPr>
                <w:rStyle w:val="MaviChar"/>
              </w:rPr>
              <w:t>ası</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szCs w:val="24"/>
              </w:rPr>
              <w:t xml:space="preserve">Üçüncü </w:t>
            </w:r>
            <w:r w:rsidRPr="00A23740">
              <w:rPr>
                <w:rStyle w:val="MAVChar"/>
                <w:rFonts w:eastAsia="Calibri"/>
                <w:u w:val="none"/>
              </w:rPr>
              <w:t xml:space="preserve">kişilerin </w:t>
            </w:r>
            <w:r w:rsidRPr="00A23740">
              <w:rPr>
                <w:szCs w:val="24"/>
              </w:rPr>
              <w:t>istihkak iddiaları</w:t>
            </w:r>
          </w:p>
          <w:p w:rsidR="00AA5C8C" w:rsidRPr="00A23740" w:rsidRDefault="005038A0" w:rsidP="009431FF">
            <w:pPr>
              <w:tabs>
                <w:tab w:val="left" w:pos="567"/>
              </w:tabs>
              <w:rPr>
                <w:szCs w:val="24"/>
              </w:rPr>
            </w:pPr>
            <w:r w:rsidRPr="00A23740">
              <w:rPr>
                <w:rStyle w:val="MaviChar"/>
                <w:lang w:val="tr-TR"/>
              </w:rPr>
              <w:t>MADDE 440</w:t>
            </w:r>
            <w:r w:rsidR="00AA5C8C" w:rsidRPr="00A23740">
              <w:rPr>
                <w:rStyle w:val="MaviChar"/>
                <w:lang w:val="tr-TR"/>
              </w:rPr>
              <w:t>- (1)</w:t>
            </w:r>
            <w:r w:rsidR="00AA5C8C" w:rsidRPr="00A23740">
              <w:rPr>
                <w:rStyle w:val="Balk3Char"/>
                <w:rFonts w:eastAsia="Calibri"/>
              </w:rPr>
              <w:t xml:space="preserve"> </w:t>
            </w:r>
            <w:r w:rsidR="00AA5C8C" w:rsidRPr="00A23740">
              <w:t>Üçüncü</w:t>
            </w:r>
            <w:r w:rsidR="00AA5C8C" w:rsidRPr="00A23740">
              <w:rPr>
                <w:rStyle w:val="Balk3Char"/>
                <w:rFonts w:eastAsia="Calibri"/>
              </w:rPr>
              <w:t xml:space="preserve"> </w:t>
            </w:r>
            <w:r w:rsidR="00AA5C8C" w:rsidRPr="00A23740">
              <w:rPr>
                <w:rStyle w:val="MaviChar"/>
                <w:lang w:val="tr-TR"/>
              </w:rPr>
              <w:t>kişiler</w:t>
            </w:r>
            <w:r w:rsidR="00AA5C8C" w:rsidRPr="00A23740">
              <w:rPr>
                <w:rStyle w:val="Balk3Char"/>
                <w:rFonts w:eastAsia="Calibri"/>
              </w:rPr>
              <w:t xml:space="preserve"> </w:t>
            </w:r>
            <w:r w:rsidR="00AA5C8C" w:rsidRPr="00A23740">
              <w:t>tarafından</w:t>
            </w:r>
            <w:r w:rsidR="00AA5C8C" w:rsidRPr="00A23740">
              <w:rPr>
                <w:rStyle w:val="Balk3Char"/>
                <w:rFonts w:eastAsia="Calibri"/>
              </w:rPr>
              <w:t xml:space="preserve"> </w:t>
            </w:r>
            <w:r w:rsidR="00AA5C8C" w:rsidRPr="00A23740">
              <w:rPr>
                <w:rStyle w:val="MaviChar"/>
                <w:lang w:val="tr-TR"/>
              </w:rPr>
              <w:t xml:space="preserve">ileri sürülen </w:t>
            </w:r>
            <w:r w:rsidR="00AA5C8C" w:rsidRPr="00A23740">
              <w:t>istihkak</w:t>
            </w:r>
            <w:r w:rsidR="00AA5C8C" w:rsidRPr="00A23740">
              <w:rPr>
                <w:rStyle w:val="Balk3Char"/>
                <w:rFonts w:eastAsia="Calibri"/>
              </w:rPr>
              <w:t xml:space="preserve"> </w:t>
            </w:r>
            <w:r w:rsidR="00AA5C8C" w:rsidRPr="00A23740">
              <w:t>iddia</w:t>
            </w:r>
            <w:r w:rsidR="00AA5C8C" w:rsidRPr="00A23740">
              <w:rPr>
                <w:rStyle w:val="MaviChar"/>
                <w:lang w:val="tr-TR"/>
              </w:rPr>
              <w:t xml:space="preserve">ları </w:t>
            </w:r>
            <w:r w:rsidR="00AA5C8C" w:rsidRPr="00A23740">
              <w:rPr>
                <w:rStyle w:val="Balk3Char"/>
                <w:rFonts w:eastAsia="Calibri"/>
              </w:rPr>
              <w:t>iflas idaresi</w:t>
            </w:r>
            <w:r w:rsidR="00AA5C8C" w:rsidRPr="00A23740">
              <w:rPr>
                <w:rStyle w:val="MaviChar"/>
                <w:lang w:val="tr-TR"/>
              </w:rPr>
              <w:t xml:space="preserve"> tarafından</w:t>
            </w:r>
            <w:r w:rsidR="00AA5C8C" w:rsidRPr="00A23740">
              <w:rPr>
                <w:rStyle w:val="MaviChar"/>
              </w:rPr>
              <w:t xml:space="preserve"> incelenir. </w:t>
            </w:r>
            <w:r w:rsidR="00AA5C8C" w:rsidRPr="00A23740">
              <w:t>İflas idaresi</w:t>
            </w:r>
            <w:r w:rsidR="00777A0D" w:rsidRPr="00D22FBA">
              <w:t>,</w:t>
            </w:r>
            <w:r w:rsidR="00AA5C8C" w:rsidRPr="00A23740">
              <w:rPr>
                <w:rStyle w:val="MaviChar"/>
              </w:rPr>
              <w:t xml:space="preserve"> yaptığı incelemenin sonuçlarını ikinci alacaklılar toplantısına</w:t>
            </w:r>
            <w:r w:rsidR="00AA5C8C" w:rsidRPr="00A23740">
              <w:rPr>
                <w:rStyle w:val="MaviChar"/>
                <w:lang w:val="tr-TR"/>
              </w:rPr>
              <w:t xml:space="preserve"> </w:t>
            </w:r>
            <w:r w:rsidR="00AA5C8C" w:rsidRPr="00A23740">
              <w:rPr>
                <w:rStyle w:val="MaviChar"/>
              </w:rPr>
              <w:t>sunacağı ayrıntılı raporunda ayrıca belirtir.</w:t>
            </w:r>
          </w:p>
          <w:p w:rsidR="00AA5C8C" w:rsidRPr="00A23740" w:rsidRDefault="00AA5C8C" w:rsidP="009431FF">
            <w:pPr>
              <w:tabs>
                <w:tab w:val="left" w:pos="567"/>
              </w:tabs>
              <w:rPr>
                <w:b/>
                <w:color w:val="0000FF"/>
                <w:szCs w:val="24"/>
              </w:rPr>
            </w:pPr>
          </w:p>
          <w:p w:rsidR="00AA5C8C" w:rsidRPr="00A23740" w:rsidRDefault="00AA5C8C" w:rsidP="009431FF">
            <w:pPr>
              <w:tabs>
                <w:tab w:val="left" w:pos="567"/>
              </w:tabs>
              <w:rPr>
                <w:rStyle w:val="MaviChar"/>
              </w:rPr>
            </w:pPr>
            <w:r w:rsidRPr="00A23740">
              <w:rPr>
                <w:rStyle w:val="MaviChar"/>
              </w:rPr>
              <w:t>(2) İstihkak iddiası hakkında ikinci alacaklılar toplantısında karar alınıncaya kadar mal istihkak iddiasında bulunana teslim edilmez.</w:t>
            </w:r>
            <w:r w:rsidRPr="00A23740">
              <w:rPr>
                <w:rStyle w:val="YELChar"/>
              </w:rPr>
              <w:t xml:space="preserve"> </w:t>
            </w:r>
            <w:r w:rsidRPr="00A23740">
              <w:rPr>
                <w:b/>
                <w:color w:val="0000FF"/>
                <w:szCs w:val="24"/>
              </w:rPr>
              <w:t>Şu kadar ki</w:t>
            </w:r>
            <w:r w:rsidR="00777A0D" w:rsidRPr="00D22FBA">
              <w:rPr>
                <w:b/>
                <w:color w:val="0000FF"/>
              </w:rPr>
              <w:t>,</w:t>
            </w:r>
            <w:r w:rsidRPr="00A23740">
              <w:rPr>
                <w:b/>
                <w:color w:val="0000FF"/>
                <w:szCs w:val="24"/>
              </w:rPr>
              <w:t xml:space="preserve"> malın istihkak iddia edene ait olduğu veya teslimde masanın menfaati bulunduğu iflas idaresi tarafından </w:t>
            </w:r>
            <w:r w:rsidRPr="00A23740">
              <w:rPr>
                <w:rStyle w:val="MaviChar"/>
              </w:rPr>
              <w:t>açıkça tespit edilirse, malın rayiç değeri kadar teminat yatırılması h</w:t>
            </w:r>
            <w:r w:rsidR="00792830" w:rsidRPr="00A23740">
              <w:rPr>
                <w:rStyle w:val="MaviChar"/>
                <w:lang w:val="tr-TR"/>
              </w:rPr>
              <w:t>â</w:t>
            </w:r>
            <w:r w:rsidRPr="00A23740">
              <w:rPr>
                <w:rStyle w:val="MaviChar"/>
              </w:rPr>
              <w:t>linde ikinci alacaklılar toplantısı beklenmeksizin mal istihkak iddia edene teslim edilir.</w:t>
            </w:r>
          </w:p>
          <w:p w:rsidR="00AA5C8C" w:rsidRPr="00A23740" w:rsidRDefault="00AA5C8C" w:rsidP="009431FF">
            <w:pPr>
              <w:tabs>
                <w:tab w:val="left" w:pos="567"/>
              </w:tabs>
              <w:rPr>
                <w:szCs w:val="24"/>
              </w:rPr>
            </w:pPr>
          </w:p>
          <w:p w:rsidR="00AA5C8C" w:rsidRPr="00A23740" w:rsidRDefault="00AA5C8C" w:rsidP="009431FF">
            <w:pPr>
              <w:tabs>
                <w:tab w:val="left" w:pos="567"/>
              </w:tabs>
              <w:rPr>
                <w:b/>
                <w:color w:val="0000FF"/>
                <w:szCs w:val="24"/>
              </w:rPr>
            </w:pPr>
            <w:r w:rsidRPr="00A23740">
              <w:rPr>
                <w:b/>
                <w:color w:val="0000FF"/>
                <w:szCs w:val="24"/>
              </w:rPr>
              <w:t>(3)</w:t>
            </w:r>
            <w:r w:rsidRPr="00A23740">
              <w:rPr>
                <w:szCs w:val="24"/>
              </w:rPr>
              <w:t xml:space="preserve"> İstihkak iddia</w:t>
            </w:r>
            <w:r w:rsidRPr="00A23740">
              <w:rPr>
                <w:bCs/>
              </w:rPr>
              <w:t>sı</w:t>
            </w:r>
            <w:r w:rsidRPr="00A23740">
              <w:rPr>
                <w:rStyle w:val="KIRMIZIChar"/>
                <w:rFonts w:eastAsia="Calibri"/>
                <w:strike w:val="0"/>
              </w:rPr>
              <w:t xml:space="preserve"> </w:t>
            </w:r>
            <w:r w:rsidRPr="00A23740">
              <w:t>redde</w:t>
            </w:r>
            <w:r w:rsidRPr="00A23740">
              <w:rPr>
                <w:rStyle w:val="MaviChar"/>
              </w:rPr>
              <w:t>dilir</w:t>
            </w:r>
            <w:r w:rsidRPr="00A23740">
              <w:t>se</w:t>
            </w:r>
            <w:r w:rsidRPr="00A23740">
              <w:rPr>
                <w:szCs w:val="24"/>
              </w:rPr>
              <w:t xml:space="preserve">, </w:t>
            </w:r>
            <w:r w:rsidRPr="00A23740">
              <w:rPr>
                <w:rStyle w:val="MaviChar"/>
              </w:rPr>
              <w:t>iflas idaresi</w:t>
            </w:r>
            <w:r w:rsidRPr="00A23740">
              <w:rPr>
                <w:szCs w:val="24"/>
              </w:rPr>
              <w:t xml:space="preserve"> üçüncü </w:t>
            </w:r>
            <w:r w:rsidRPr="00A23740">
              <w:rPr>
                <w:b/>
                <w:color w:val="0000FF"/>
                <w:szCs w:val="24"/>
              </w:rPr>
              <w:t>kişiye</w:t>
            </w:r>
            <w:r w:rsidRPr="00A23740">
              <w:rPr>
                <w:szCs w:val="24"/>
              </w:rPr>
              <w:t xml:space="preserve"> </w:t>
            </w:r>
            <w:r w:rsidRPr="00A23740">
              <w:rPr>
                <w:b/>
                <w:color w:val="0000FF"/>
                <w:szCs w:val="24"/>
              </w:rPr>
              <w:t>iflas</w:t>
            </w:r>
            <w:r w:rsidRPr="00A23740">
              <w:rPr>
                <w:szCs w:val="24"/>
              </w:rPr>
              <w:t xml:space="preserve"> mahkemesinde istihkak davası açması için </w:t>
            </w:r>
            <w:r w:rsidRPr="00A23740">
              <w:rPr>
                <w:b/>
                <w:color w:val="0000FF"/>
                <w:szCs w:val="24"/>
              </w:rPr>
              <w:t>iki haftalık süre</w:t>
            </w:r>
            <w:r w:rsidRPr="00A23740">
              <w:rPr>
                <w:szCs w:val="24"/>
              </w:rPr>
              <w:t xml:space="preserve"> tayin ve tebliğ eder. Bu </w:t>
            </w:r>
            <w:r w:rsidRPr="00A23740">
              <w:rPr>
                <w:b/>
                <w:color w:val="0000FF"/>
                <w:szCs w:val="24"/>
              </w:rPr>
              <w:t>süreyi</w:t>
            </w:r>
            <w:r w:rsidRPr="00A23740">
              <w:rPr>
                <w:szCs w:val="24"/>
              </w:rPr>
              <w:t xml:space="preserve"> geçiren üçüncü </w:t>
            </w:r>
            <w:r w:rsidRPr="00A23740">
              <w:rPr>
                <w:b/>
                <w:color w:val="0000FF"/>
                <w:szCs w:val="24"/>
              </w:rPr>
              <w:t>kişi</w:t>
            </w:r>
            <w:r w:rsidRPr="00A23740">
              <w:rPr>
                <w:szCs w:val="24"/>
              </w:rPr>
              <w:t>, masaya karşı istihkak iddiasından vazgeçmiş sayılır.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color w:val="0000FF"/>
                <w:szCs w:val="24"/>
              </w:rPr>
              <w:t>(4)</w:t>
            </w:r>
            <w:r w:rsidRPr="00A23740">
              <w:rPr>
                <w:szCs w:val="24"/>
              </w:rPr>
              <w:t xml:space="preserve"> İstihkak davasına, </w:t>
            </w:r>
            <w:r w:rsidRPr="00A23740">
              <w:rPr>
                <w:rStyle w:val="MAVChar"/>
                <w:rFonts w:eastAsia="Calibri"/>
                <w:u w:val="none"/>
              </w:rPr>
              <w:t>iflas kararını veren mahkemede</w:t>
            </w:r>
            <w:r w:rsidRPr="00A23740">
              <w:rPr>
                <w:szCs w:val="24"/>
              </w:rPr>
              <w:t xml:space="preserve"> genel hükümler dairesinde</w:t>
            </w:r>
            <w:r w:rsidRPr="00A23740">
              <w:rPr>
                <w:rStyle w:val="MaviChar"/>
              </w:rPr>
              <w:t xml:space="preserve">, </w:t>
            </w:r>
            <w:r w:rsidRPr="00A23740">
              <w:rPr>
                <w:rStyle w:val="MAVChar"/>
                <w:rFonts w:eastAsia="Calibri"/>
                <w:u w:val="none"/>
              </w:rPr>
              <w:t>basit yargılama usulüne göre ve ivedi olarak</w:t>
            </w:r>
            <w:r w:rsidRPr="00A23740">
              <w:rPr>
                <w:szCs w:val="24"/>
              </w:rPr>
              <w:t xml:space="preserve"> bakılır. </w:t>
            </w:r>
          </w:p>
          <w:p w:rsidR="00AA5C8C" w:rsidRPr="00A23740" w:rsidRDefault="00AA5C8C" w:rsidP="009431FF">
            <w:pPr>
              <w:tabs>
                <w:tab w:val="left" w:pos="567"/>
              </w:tabs>
              <w:rPr>
                <w:szCs w:val="24"/>
              </w:rPr>
            </w:pPr>
          </w:p>
          <w:p w:rsidR="005038A0" w:rsidRDefault="00AA5C8C" w:rsidP="009431FF">
            <w:pPr>
              <w:tabs>
                <w:tab w:val="left" w:pos="567"/>
              </w:tabs>
              <w:rPr>
                <w:szCs w:val="24"/>
              </w:rPr>
            </w:pPr>
            <w:r w:rsidRPr="00A23740">
              <w:rPr>
                <w:b/>
                <w:color w:val="0000FF"/>
                <w:szCs w:val="24"/>
              </w:rPr>
              <w:t>(5) İflas</w:t>
            </w:r>
            <w:r w:rsidRPr="00A23740">
              <w:rPr>
                <w:szCs w:val="24"/>
              </w:rPr>
              <w:t xml:space="preserve"> mahkemesi, </w:t>
            </w:r>
            <w:r w:rsidRPr="00A23740">
              <w:rPr>
                <w:b/>
                <w:color w:val="0000FF"/>
                <w:szCs w:val="24"/>
              </w:rPr>
              <w:t>gerektiğinde</w:t>
            </w:r>
            <w:r w:rsidRPr="00A23740">
              <w:rPr>
                <w:szCs w:val="24"/>
              </w:rPr>
              <w:t xml:space="preserve"> istihkak davacısından masanın muhtemel zararına karşı teminat isteyebilir.</w:t>
            </w:r>
          </w:p>
          <w:p w:rsidR="00E36534" w:rsidRPr="00A23740" w:rsidRDefault="00E36534" w:rsidP="009431FF">
            <w:pPr>
              <w:tabs>
                <w:tab w:val="left" w:pos="567"/>
              </w:tabs>
            </w:pPr>
          </w:p>
        </w:tc>
      </w:tr>
      <w:tr w:rsidR="00BD7568" w:rsidRPr="00A23740" w:rsidTr="009431FF">
        <w:tc>
          <w:tcPr>
            <w:tcW w:w="5000" w:type="pct"/>
            <w:gridSpan w:val="2"/>
            <w:shd w:val="clear" w:color="auto" w:fill="DEEAF6"/>
          </w:tcPr>
          <w:p w:rsidR="005D4C9E" w:rsidRPr="00A23740" w:rsidRDefault="005D4C9E" w:rsidP="009431FF">
            <w:pPr>
              <w:ind w:firstLine="709"/>
              <w:rPr>
                <w:b/>
                <w:bCs/>
                <w:szCs w:val="24"/>
                <w:lang w:eastAsia="x-none"/>
              </w:rPr>
            </w:pPr>
          </w:p>
          <w:p w:rsidR="006B1A92" w:rsidRPr="00A23740" w:rsidRDefault="009917DB" w:rsidP="009431FF">
            <w:pPr>
              <w:ind w:firstLine="709"/>
              <w:rPr>
                <w:szCs w:val="24"/>
              </w:rPr>
            </w:pPr>
            <w:r w:rsidRPr="00A23740">
              <w:rPr>
                <w:b/>
                <w:szCs w:val="24"/>
              </w:rPr>
              <w:t>MAD</w:t>
            </w:r>
            <w:r w:rsidR="005038A0" w:rsidRPr="00A23740">
              <w:rPr>
                <w:b/>
                <w:szCs w:val="24"/>
              </w:rPr>
              <w:t>DE 440</w:t>
            </w:r>
            <w:r w:rsidR="005D4C9E" w:rsidRPr="00A23740">
              <w:rPr>
                <w:b/>
                <w:szCs w:val="24"/>
              </w:rPr>
              <w:t>-</w:t>
            </w:r>
            <w:r w:rsidRPr="00A23740">
              <w:rPr>
                <w:b/>
                <w:szCs w:val="24"/>
              </w:rPr>
              <w:t xml:space="preserve"> </w:t>
            </w:r>
            <w:r w:rsidR="0023602D" w:rsidRPr="00A23740">
              <w:rPr>
                <w:szCs w:val="24"/>
              </w:rPr>
              <w:t>Maddeyle, üçüncü kişilerin</w:t>
            </w:r>
            <w:r w:rsidR="0023602D" w:rsidRPr="00A23740">
              <w:rPr>
                <w:b/>
                <w:bCs/>
              </w:rPr>
              <w:t xml:space="preserve"> </w:t>
            </w:r>
            <w:r w:rsidR="00416DFB" w:rsidRPr="00814E71">
              <w:t>iflastaki</w:t>
            </w:r>
            <w:r w:rsidR="00416DFB" w:rsidRPr="00A23740">
              <w:rPr>
                <w:b/>
                <w:bCs/>
              </w:rPr>
              <w:t xml:space="preserve"> </w:t>
            </w:r>
            <w:r w:rsidR="0023602D" w:rsidRPr="00A23740">
              <w:rPr>
                <w:szCs w:val="24"/>
              </w:rPr>
              <w:t xml:space="preserve">istihkak iddialarına ilişkin hususlar düzenlenmektedir. </w:t>
            </w:r>
          </w:p>
          <w:p w:rsidR="009917DB" w:rsidRPr="00A23740" w:rsidRDefault="009917DB" w:rsidP="009431FF">
            <w:pPr>
              <w:ind w:firstLine="709"/>
              <w:rPr>
                <w:szCs w:val="24"/>
              </w:rPr>
            </w:pPr>
            <w:r w:rsidRPr="00A23740">
              <w:rPr>
                <w:szCs w:val="24"/>
              </w:rPr>
              <w:t xml:space="preserve">Maddenin birinci fıkrası </w:t>
            </w:r>
            <w:r w:rsidR="005D4C9E" w:rsidRPr="00A23740">
              <w:rPr>
                <w:szCs w:val="24"/>
              </w:rPr>
              <w:t>2004 sayılı Kanunun</w:t>
            </w:r>
            <w:r w:rsidRPr="00A23740">
              <w:rPr>
                <w:szCs w:val="24"/>
              </w:rPr>
              <w:t xml:space="preserve"> 228 </w:t>
            </w:r>
            <w:r w:rsidR="005D4C9E" w:rsidRPr="00A23740">
              <w:rPr>
                <w:szCs w:val="24"/>
              </w:rPr>
              <w:t>i</w:t>
            </w:r>
            <w:r w:rsidRPr="00A23740">
              <w:rPr>
                <w:szCs w:val="24"/>
              </w:rPr>
              <w:t>nci maddesini</w:t>
            </w:r>
            <w:r w:rsidR="006B1A92" w:rsidRPr="00A23740">
              <w:rPr>
                <w:szCs w:val="24"/>
              </w:rPr>
              <w:t>n</w:t>
            </w:r>
            <w:r w:rsidRPr="00A23740">
              <w:rPr>
                <w:szCs w:val="24"/>
              </w:rPr>
              <w:t xml:space="preserve"> birinci fıkrasını karşılamakla birlikte içerik olarak bazı değişiklikler yapılmıştır. Mevcut metne göre üçüncü kişiler tarafından ileri sürülen istihkak iddialarını inceleme ve malın üçüncü kişilere iade edilip edilemeyeceğine karar verme yetkisi, iflas idaresine aittir. Ancak yeni düzenlemeye göre iflas idaresi, üçüncü kişiler tarafından ileri sürülen istihkak iddialarını inceledikten sonra bu iddiasının kabulüne karar verse bile, malın üçüncü kişilere verilip verilmeyeceğine (maddenin ikinci fıkrasında belirtildiği üzere) nihai olarak ikinci alacaklılar toplantısı karar verecektir. Bu nedenle, iflas idaresi yaptığı incelemenin sonuçlarını ikinci alacaklılar toplantısına sunacağı ayrıntılı raporunda ayrıca belirtecektir. Burada söz konusu edilen ayrıntılı rapor, </w:t>
            </w:r>
            <w:r w:rsidR="004E0BBE" w:rsidRPr="00814E71">
              <w:t>353 üncü</w:t>
            </w:r>
            <w:r w:rsidR="004E0BBE" w:rsidRPr="00A23740">
              <w:rPr>
                <w:szCs w:val="24"/>
              </w:rPr>
              <w:t xml:space="preserve"> </w:t>
            </w:r>
            <w:r w:rsidRPr="00A23740">
              <w:rPr>
                <w:szCs w:val="24"/>
              </w:rPr>
              <w:t>maddenin birinci fı</w:t>
            </w:r>
            <w:r w:rsidR="005D4C9E" w:rsidRPr="00A23740">
              <w:rPr>
                <w:szCs w:val="24"/>
              </w:rPr>
              <w:t>krasında ifade edilen rapordur.</w:t>
            </w:r>
          </w:p>
          <w:p w:rsidR="009917DB" w:rsidRPr="00A23740" w:rsidRDefault="009917DB" w:rsidP="009431FF">
            <w:pPr>
              <w:ind w:firstLine="709"/>
              <w:rPr>
                <w:szCs w:val="24"/>
              </w:rPr>
            </w:pPr>
            <w:r w:rsidRPr="00A23740">
              <w:rPr>
                <w:szCs w:val="24"/>
              </w:rPr>
              <w:t>İkinci fıkra hükmü yeni olup, istihkak iddiasının iflas idaresince kabul edilmesi h</w:t>
            </w:r>
            <w:r w:rsidR="00C2196C" w:rsidRPr="00A23740">
              <w:rPr>
                <w:szCs w:val="24"/>
              </w:rPr>
              <w:t>â</w:t>
            </w:r>
            <w:r w:rsidRPr="00A23740">
              <w:rPr>
                <w:szCs w:val="24"/>
              </w:rPr>
              <w:t>linde, iddiaya konu malın üçüncü kişiye teslim edilip edilemeyeceğini düzenlemektedir. Belirtmek gerekir ki, 2004 sayılı Kanunda istihkak iddialarının iflas idaresi tarafından karara bağlanacağı öngörülmekle birlikte</w:t>
            </w:r>
            <w:r w:rsidR="00416DFB" w:rsidRPr="00A23740">
              <w:rPr>
                <w:szCs w:val="24"/>
              </w:rPr>
              <w:t>,</w:t>
            </w:r>
            <w:r w:rsidRPr="00A23740">
              <w:rPr>
                <w:szCs w:val="24"/>
              </w:rPr>
              <w:t xml:space="preserve"> istihkak iddialarının kabul edilmesi h</w:t>
            </w:r>
            <w:r w:rsidR="00C2196C" w:rsidRPr="00A23740">
              <w:rPr>
                <w:szCs w:val="24"/>
              </w:rPr>
              <w:t>â</w:t>
            </w:r>
            <w:r w:rsidRPr="00A23740">
              <w:rPr>
                <w:szCs w:val="24"/>
              </w:rPr>
              <w:t xml:space="preserve">linde taşınır malların istihkak iddiasında bulunan şahsa </w:t>
            </w:r>
            <w:r w:rsidR="00DF22A1" w:rsidRPr="00A23740">
              <w:rPr>
                <w:szCs w:val="24"/>
              </w:rPr>
              <w:t xml:space="preserve">derhâl </w:t>
            </w:r>
            <w:r w:rsidRPr="00A23740">
              <w:rPr>
                <w:szCs w:val="24"/>
              </w:rPr>
              <w:t xml:space="preserve">iade edilip edilmeyeceği konusunda bir hüküm yoktu. Ancak doktrinde, istihkak iddiası iflas idaresi tarafından kabul edilmiş olsa bile kural olarak malın iadesinin ikinci alacaklar toplantısı yapıldıktan sonra gerçekleştirilebileceği kabul edilmekteydi. </w:t>
            </w:r>
            <w:r w:rsidR="006B1A92" w:rsidRPr="00A23740">
              <w:rPr>
                <w:szCs w:val="24"/>
              </w:rPr>
              <w:t xml:space="preserve">Doktrindeki bu görüşler İsviçre’nin </w:t>
            </w:r>
            <w:r w:rsidR="006B1A92" w:rsidRPr="00814E71">
              <w:t xml:space="preserve">Borç İçin Takip ve İflas Hakkında </w:t>
            </w:r>
            <w:r w:rsidRPr="00814E71">
              <w:t>Federal</w:t>
            </w:r>
            <w:r w:rsidRPr="00A23740">
              <w:rPr>
                <w:szCs w:val="24"/>
              </w:rPr>
              <w:t xml:space="preserve"> Kanununun 242 nci maddesine ve İflas Tasfiyesi Hakkındaki İsviçre Tüzüğünün 51 inci maddesindeki düzenlemeye de uygundu. İşte doktrindeki görüşler ve İsviçre hukukundaki durum dikkate alınarak, ikinci fıkra yeniden tanzim edilmiştir. Bu çerçevede ikinci fıkranın birinci cümlesine göre iflas idaresi tarafından kabul edilmiş olan istihkak iddiası hakkında ikinci alacaklılar toplantısında karar alınıncaya kadar mal</w:t>
            </w:r>
            <w:r w:rsidR="006B1A92" w:rsidRPr="00814E71">
              <w:t>,</w:t>
            </w:r>
            <w:r w:rsidRPr="00814E71">
              <w:t xml:space="preserve"> </w:t>
            </w:r>
            <w:r w:rsidR="006B1A92" w:rsidRPr="00814E71">
              <w:t>kural olarak</w:t>
            </w:r>
            <w:r w:rsidR="006B1A92" w:rsidRPr="00A23740">
              <w:rPr>
                <w:szCs w:val="24"/>
              </w:rPr>
              <w:t xml:space="preserve"> </w:t>
            </w:r>
            <w:r w:rsidRPr="00A23740">
              <w:rPr>
                <w:szCs w:val="24"/>
              </w:rPr>
              <w:t>istihkak iddiasında bulunana teslim edilemeyecektir. Diğer bir ifadeyle, istihkak iddiası iflas idaresince kabul edilmiş olsa bile fıkrada belirtilen istisnai h</w:t>
            </w:r>
            <w:r w:rsidR="00240E31" w:rsidRPr="00A23740">
              <w:rPr>
                <w:szCs w:val="24"/>
              </w:rPr>
              <w:t>â</w:t>
            </w:r>
            <w:r w:rsidRPr="00A23740">
              <w:rPr>
                <w:szCs w:val="24"/>
              </w:rPr>
              <w:t xml:space="preserve">ller dışında, mal üçüncü kişiye ancak ikinci alacaklılar </w:t>
            </w:r>
            <w:r w:rsidR="006B1A92" w:rsidRPr="00814E71">
              <w:t xml:space="preserve">toplantısından </w:t>
            </w:r>
            <w:r w:rsidRPr="00A23740">
              <w:rPr>
                <w:szCs w:val="24"/>
              </w:rPr>
              <w:t>sonra teslim edilebilecektir. Öte yandan kural böyle olmakla birlikte, madde metninde malın üçüncü kişiye teslimi hususunda bazı istisnalara da yer verilmiştir. Buna göre, malın istihkak iddia edene ait olduğu veya teslimde masanın menfaati bulunduğu iflas idaresi tarafından açıkça tespit edilirse, malın rayiç değeri kadar teminat yatırılması h</w:t>
            </w:r>
            <w:r w:rsidR="00C2196C" w:rsidRPr="00A23740">
              <w:rPr>
                <w:szCs w:val="24"/>
              </w:rPr>
              <w:t>â</w:t>
            </w:r>
            <w:r w:rsidRPr="00A23740">
              <w:rPr>
                <w:szCs w:val="24"/>
              </w:rPr>
              <w:t>linde ikinci alacaklılar toplantısı beklenmeksizin mal istihkak id</w:t>
            </w:r>
            <w:r w:rsidR="005D4C9E" w:rsidRPr="00A23740">
              <w:rPr>
                <w:szCs w:val="24"/>
              </w:rPr>
              <w:t>dia edene teslim edilecektir.</w:t>
            </w:r>
          </w:p>
          <w:p w:rsidR="009917DB" w:rsidRPr="00A23740" w:rsidRDefault="009917DB" w:rsidP="009431FF">
            <w:pPr>
              <w:ind w:firstLine="709"/>
              <w:rPr>
                <w:szCs w:val="24"/>
              </w:rPr>
            </w:pPr>
            <w:r w:rsidRPr="00A23740">
              <w:rPr>
                <w:szCs w:val="24"/>
              </w:rPr>
              <w:t>Üçüncü fıkra mevcut metnin ikinci fıkrasının karşılığını teşkil etmektedir. Fıkrada esasa ilişkin bazı değişiklikler yapılmıştır. Bunlardan birincisi, mevcut metindeki yedi günlük sürenin iki haftaya çıkartılmış olmasıdır. İkinci değişiklik ise istihkak davasında icra mahkemesi yerine iflas mahkemesinin gör</w:t>
            </w:r>
            <w:r w:rsidR="005D4C9E" w:rsidRPr="00A23740">
              <w:rPr>
                <w:szCs w:val="24"/>
              </w:rPr>
              <w:t>evli h</w:t>
            </w:r>
            <w:r w:rsidR="004E0BBE" w:rsidRPr="00A23740">
              <w:rPr>
                <w:szCs w:val="24"/>
              </w:rPr>
              <w:t>â</w:t>
            </w:r>
            <w:r w:rsidR="005D4C9E" w:rsidRPr="00A23740">
              <w:rPr>
                <w:szCs w:val="24"/>
              </w:rPr>
              <w:t xml:space="preserve">le getirilmiş </w:t>
            </w:r>
            <w:r w:rsidR="00416DFB" w:rsidRPr="00A23740">
              <w:rPr>
                <w:szCs w:val="24"/>
              </w:rPr>
              <w:t>bulun</w:t>
            </w:r>
            <w:r w:rsidR="005D4C9E" w:rsidRPr="00A23740">
              <w:rPr>
                <w:szCs w:val="24"/>
              </w:rPr>
              <w:t>masıdır.</w:t>
            </w:r>
          </w:p>
          <w:p w:rsidR="009917DB" w:rsidRPr="00A23740" w:rsidRDefault="009917DB" w:rsidP="009431FF">
            <w:pPr>
              <w:ind w:firstLine="709"/>
              <w:rPr>
                <w:szCs w:val="24"/>
              </w:rPr>
            </w:pPr>
            <w:r w:rsidRPr="00A23740">
              <w:rPr>
                <w:szCs w:val="24"/>
              </w:rPr>
              <w:t>Dördüncü fıkra mevcut metnin üçüncü fıkrasının karşılığı olmakla birlikte esasa ilişkin bazı değişiklikler</w:t>
            </w:r>
            <w:r w:rsidR="006B1A92" w:rsidRPr="00A23740">
              <w:rPr>
                <w:szCs w:val="24"/>
              </w:rPr>
              <w:t xml:space="preserve"> </w:t>
            </w:r>
            <w:r w:rsidR="006B1A92" w:rsidRPr="00814E71">
              <w:t>içermektedir.</w:t>
            </w:r>
            <w:r w:rsidRPr="00A23740">
              <w:rPr>
                <w:szCs w:val="24"/>
              </w:rPr>
              <w:t xml:space="preserve"> Öncelikle, istihkak davasının icra mahkemesi yerine iflasa karar veren iflas mahkemesinde açılması kabul edilmiştir. Davanın iflasa karar veren iflas mahkemesinde görülmesinin daha doğru ve uygun olacağı düşünülmüştür. Davanın icra mahkemesi yerine iflas mahkemenin görev alanına dâhil edilmesi nedeniyle mevcut metindeki üçüncü fıkranın hükme alınıp alınmaması hususu değerlendiril</w:t>
            </w:r>
            <w:r w:rsidRPr="00814E71">
              <w:t>miş</w:t>
            </w:r>
            <w:r w:rsidR="006B1A92" w:rsidRPr="00814E71">
              <w:t>tir. Yapılan değerlendirme sonucunda,</w:t>
            </w:r>
            <w:r w:rsidRPr="00A23740">
              <w:rPr>
                <w:szCs w:val="24"/>
              </w:rPr>
              <w:t xml:space="preserve"> iflas mahkemesinin iflasla ilgili şikâyet işlerine de bakacak olması sebebiyle bu fıkrada istihkak iddialarıyla ilgili olarak hangi usulün uygulanacağı hususunun yazılmasının konuya açıklık getirmek bakımından daha yararlı olacağına karar verilmiştir. Ayrıca davanın adli tatilde görülmesine imkân vermek üzere ivedi işlerden olduğu hususuna da fıkra hükmünde yer verilmiştir. Nihayet fıkrada geçen “genel hükümlerden” maksadın</w:t>
            </w:r>
            <w:r w:rsidR="005D4C9E" w:rsidRPr="00A23740">
              <w:rPr>
                <w:szCs w:val="24"/>
              </w:rPr>
              <w:t xml:space="preserve"> 6100 sayılı Kanun</w:t>
            </w:r>
            <w:r w:rsidRPr="00A23740">
              <w:rPr>
                <w:szCs w:val="24"/>
              </w:rPr>
              <w:t xml:space="preserve"> hüküml</w:t>
            </w:r>
            <w:r w:rsidR="005D4C9E" w:rsidRPr="00A23740">
              <w:rPr>
                <w:szCs w:val="24"/>
              </w:rPr>
              <w:t>eri olduğunu belirtmek gerekir.</w:t>
            </w:r>
          </w:p>
          <w:p w:rsidR="00BD7568" w:rsidRPr="00A23740" w:rsidRDefault="009917DB" w:rsidP="009431FF">
            <w:pPr>
              <w:ind w:firstLine="709"/>
              <w:rPr>
                <w:szCs w:val="24"/>
              </w:rPr>
            </w:pPr>
            <w:r w:rsidRPr="00A23740">
              <w:rPr>
                <w:szCs w:val="24"/>
              </w:rPr>
              <w:t>Beşinci fıkra hükmü mevcut metnin dördüncü fıkrasının karşılığıdır. Sadece mevcut metindeki icra mahkemesi, iflas mahkemesi olarak değiştirilmiştir. Çünkü iflasta istihkak davasında artık iflas mahkemesi görevli kılınmıştır. Bu arada iflasta istihkak davasının konusunu sadece mülkiyet hakkı teşkil edebilir; diğer ayni haklar ise bu madde kapsamında bulunmayıp</w:t>
            </w:r>
            <w:r w:rsidR="004E0BBE" w:rsidRPr="00A23740">
              <w:rPr>
                <w:szCs w:val="24"/>
              </w:rPr>
              <w:t xml:space="preserve"> </w:t>
            </w:r>
            <w:r w:rsidR="009C3695" w:rsidRPr="00814E71">
              <w:t xml:space="preserve">350 </w:t>
            </w:r>
            <w:r w:rsidR="004E0BBE" w:rsidRPr="00814E71">
              <w:t>nci</w:t>
            </w:r>
            <w:r w:rsidRPr="00A23740">
              <w:rPr>
                <w:rStyle w:val="KonuBalChar"/>
                <w:rFonts w:eastAsia="Calibri"/>
              </w:rPr>
              <w:t xml:space="preserve"> </w:t>
            </w:r>
            <w:r w:rsidR="00383DDF" w:rsidRPr="00A23740">
              <w:rPr>
                <w:szCs w:val="24"/>
              </w:rPr>
              <w:t xml:space="preserve"> </w:t>
            </w:r>
            <w:r w:rsidRPr="00A23740">
              <w:rPr>
                <w:szCs w:val="24"/>
              </w:rPr>
              <w:t>madde kapsamında ileri sürülebilir. Ayrıca bu fıkrada ifade edilen teminatın fonksiyonunun ikinci fıkrada ifade edilen teminattan farklı olduğunu da belirtmek gerekir. Zira bu fıkrada bizatihi dava açılmasıyla ika edilebilecek zarara karşı korunma hedeflenmiş iken, ikinci fıkrada masaya giren malın istihkak iddia edene teslimine yönelik bir güvence hedeflenmiştir.</w:t>
            </w:r>
          </w:p>
          <w:p w:rsidR="00010E10" w:rsidRPr="00A23740" w:rsidRDefault="00010E10"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color w:val="0000FF"/>
                <w:szCs w:val="24"/>
              </w:rPr>
            </w:pPr>
            <w:r w:rsidRPr="00A23740">
              <w:rPr>
                <w:b/>
                <w:color w:val="0000FF"/>
                <w:szCs w:val="24"/>
              </w:rPr>
              <w:t>Üçüncü kişide bulunan mal hakkında masanın istihkak iddiası</w:t>
            </w:r>
          </w:p>
          <w:p w:rsidR="00AA5C8C" w:rsidRPr="00A23740" w:rsidRDefault="003B700B" w:rsidP="009431FF">
            <w:pPr>
              <w:tabs>
                <w:tab w:val="left" w:pos="567"/>
              </w:tabs>
              <w:rPr>
                <w:b/>
                <w:color w:val="0000FF"/>
                <w:szCs w:val="24"/>
              </w:rPr>
            </w:pPr>
            <w:r w:rsidRPr="00A23740">
              <w:rPr>
                <w:b/>
                <w:color w:val="0000FF"/>
                <w:szCs w:val="24"/>
              </w:rPr>
              <w:t>MADDE 441</w:t>
            </w:r>
            <w:r w:rsidR="00AA5C8C" w:rsidRPr="00A23740">
              <w:rPr>
                <w:b/>
                <w:color w:val="0000FF"/>
                <w:szCs w:val="24"/>
              </w:rPr>
              <w:t xml:space="preserve">- (1) İflas </w:t>
            </w:r>
            <w:r w:rsidR="00AA5C8C" w:rsidRPr="00A23740">
              <w:rPr>
                <w:rStyle w:val="MaviChar"/>
              </w:rPr>
              <w:t>masası,</w:t>
            </w:r>
            <w:r w:rsidR="00AA5C8C" w:rsidRPr="00A23740">
              <w:rPr>
                <w:b/>
                <w:color w:val="0000FF"/>
                <w:szCs w:val="24"/>
              </w:rPr>
              <w:t xml:space="preserve"> üçüncü kişinin veya müflis ile birlikte üçüncü kişinin elinde bulunan bir taşınırın yahut tapu sicilinde üçüncü kişi adına tescil edilmiş </w:t>
            </w:r>
            <w:r w:rsidR="00AA5C8C" w:rsidRPr="00A23740">
              <w:rPr>
                <w:rStyle w:val="MaviChar"/>
              </w:rPr>
              <w:t>bir taşınmazın müflise ait olduğu gerekçesiyle masaya dahil edilmesine karar verirse, iflas idaresi ilgili üçüncü kişiye karşı genel hükümlere göre dava açar.</w:t>
            </w:r>
          </w:p>
          <w:p w:rsidR="00AA5C8C" w:rsidRPr="00A23740" w:rsidRDefault="00AA5C8C" w:rsidP="009431FF">
            <w:pPr>
              <w:pStyle w:val="KIRMIZI"/>
            </w:pPr>
          </w:p>
        </w:tc>
      </w:tr>
      <w:tr w:rsidR="00BD7568" w:rsidRPr="00A23740" w:rsidTr="009431FF">
        <w:tc>
          <w:tcPr>
            <w:tcW w:w="5000" w:type="pct"/>
            <w:gridSpan w:val="2"/>
            <w:shd w:val="clear" w:color="auto" w:fill="DEEAF6"/>
          </w:tcPr>
          <w:p w:rsidR="005D4C9E" w:rsidRPr="00A23740" w:rsidRDefault="005D4C9E" w:rsidP="009431FF">
            <w:pPr>
              <w:ind w:firstLine="709"/>
              <w:rPr>
                <w:b/>
                <w:bCs/>
                <w:szCs w:val="24"/>
                <w:lang w:eastAsia="x-none"/>
              </w:rPr>
            </w:pPr>
          </w:p>
          <w:p w:rsidR="00BD7568" w:rsidRPr="00A23740" w:rsidRDefault="003B700B" w:rsidP="009431FF">
            <w:pPr>
              <w:ind w:firstLine="709"/>
              <w:rPr>
                <w:b/>
                <w:bCs/>
                <w:szCs w:val="24"/>
                <w:lang w:eastAsia="x-none"/>
              </w:rPr>
            </w:pPr>
            <w:r w:rsidRPr="00A23740">
              <w:rPr>
                <w:b/>
                <w:szCs w:val="24"/>
              </w:rPr>
              <w:t>MADDE 441</w:t>
            </w:r>
            <w:r w:rsidR="005D4C9E" w:rsidRPr="00A23740">
              <w:rPr>
                <w:b/>
                <w:szCs w:val="24"/>
              </w:rPr>
              <w:t>-</w:t>
            </w:r>
            <w:r w:rsidR="009917DB" w:rsidRPr="00A23740">
              <w:rPr>
                <w:szCs w:val="24"/>
              </w:rPr>
              <w:t xml:space="preserve"> </w:t>
            </w:r>
            <w:r w:rsidR="0023602D" w:rsidRPr="00A23740">
              <w:rPr>
                <w:szCs w:val="24"/>
              </w:rPr>
              <w:t xml:space="preserve">Maddeyle, üçüncü kişide bulunan mal hakkında masanın istihkak iddiasına ilişkin hususlar düzenlenmektedir. </w:t>
            </w:r>
            <w:r w:rsidR="009917DB" w:rsidRPr="00A23740">
              <w:rPr>
                <w:szCs w:val="24"/>
              </w:rPr>
              <w:t>Madde yeni olup</w:t>
            </w:r>
            <w:r w:rsidR="005D4C9E" w:rsidRPr="00A23740">
              <w:rPr>
                <w:szCs w:val="24"/>
              </w:rPr>
              <w:t>,</w:t>
            </w:r>
            <w:r w:rsidR="009917DB" w:rsidRPr="00A23740">
              <w:rPr>
                <w:szCs w:val="24"/>
              </w:rPr>
              <w:t xml:space="preserve"> </w:t>
            </w:r>
            <w:r w:rsidR="009C3695" w:rsidRPr="00A23740">
              <w:rPr>
                <w:szCs w:val="24"/>
              </w:rPr>
              <w:t xml:space="preserve">tanzim edilirken </w:t>
            </w:r>
            <w:r w:rsidR="009917DB" w:rsidRPr="00A23740">
              <w:rPr>
                <w:szCs w:val="24"/>
              </w:rPr>
              <w:t>İsviçre</w:t>
            </w:r>
            <w:r w:rsidR="00414E7A" w:rsidRPr="00A23740">
              <w:rPr>
                <w:szCs w:val="24"/>
              </w:rPr>
              <w:t xml:space="preserve">’nin </w:t>
            </w:r>
            <w:r w:rsidR="00414E7A" w:rsidRPr="00814E71">
              <w:t>Borç İçin Takip ve İflas Hakkında</w:t>
            </w:r>
            <w:r w:rsidR="009917DB" w:rsidRPr="00814E71">
              <w:t xml:space="preserve"> Federal</w:t>
            </w:r>
            <w:r w:rsidR="009917DB" w:rsidRPr="00A23740">
              <w:rPr>
                <w:szCs w:val="24"/>
              </w:rPr>
              <w:t xml:space="preserve"> K</w:t>
            </w:r>
            <w:r w:rsidR="005D4C9E" w:rsidRPr="00A23740">
              <w:rPr>
                <w:szCs w:val="24"/>
              </w:rPr>
              <w:t>anunu</w:t>
            </w:r>
            <w:r w:rsidR="009917DB" w:rsidRPr="00A23740">
              <w:rPr>
                <w:szCs w:val="24"/>
              </w:rPr>
              <w:t>nun 242 nci maddesi</w:t>
            </w:r>
            <w:r w:rsidR="00E36534" w:rsidRPr="00E36534">
              <w:rPr>
                <w:rStyle w:val="KIRMIZIChar"/>
                <w:rFonts w:eastAsia="Calibri"/>
                <w:strike w:val="0"/>
              </w:rPr>
              <w:t xml:space="preserve"> </w:t>
            </w:r>
            <w:r w:rsidR="00414E7A" w:rsidRPr="00814E71">
              <w:t>özellikle dikkate</w:t>
            </w:r>
            <w:r w:rsidR="00414E7A" w:rsidRPr="00A23740">
              <w:rPr>
                <w:szCs w:val="24"/>
              </w:rPr>
              <w:t xml:space="preserve"> </w:t>
            </w:r>
            <w:r w:rsidR="009917DB" w:rsidRPr="00A23740">
              <w:rPr>
                <w:szCs w:val="24"/>
              </w:rPr>
              <w:t xml:space="preserve">alınmıştır. İflas masasının üçüncü kişilere karşı ileri sürebileceği istihkak iddiaları konusunda 2004 sayılı Kanunda bir hüküm yoktu. Dolayısıyla bu kanun boşluğunun mehaz </w:t>
            </w:r>
            <w:r w:rsidR="009C3695" w:rsidRPr="00814E71">
              <w:t>K</w:t>
            </w:r>
            <w:r w:rsidR="009917DB" w:rsidRPr="00814E71">
              <w:t>anun</w:t>
            </w:r>
            <w:r w:rsidR="00414E7A" w:rsidRPr="00814E71">
              <w:t>dan</w:t>
            </w:r>
            <w:r w:rsidR="00414E7A" w:rsidRPr="00A23740">
              <w:rPr>
                <w:rStyle w:val="YELChar"/>
              </w:rPr>
              <w:t xml:space="preserve"> </w:t>
            </w:r>
            <w:r w:rsidR="00414E7A" w:rsidRPr="00814E71">
              <w:t>yararlanılarak</w:t>
            </w:r>
            <w:r w:rsidR="009917DB" w:rsidRPr="00A23740">
              <w:rPr>
                <w:szCs w:val="24"/>
              </w:rPr>
              <w:t xml:space="preserve"> doldurulması </w:t>
            </w:r>
            <w:r w:rsidR="00414E7A" w:rsidRPr="00814E71">
              <w:t>faydalı</w:t>
            </w:r>
            <w:r w:rsidR="00414E7A" w:rsidRPr="00A23740">
              <w:rPr>
                <w:szCs w:val="24"/>
              </w:rPr>
              <w:t xml:space="preserve"> </w:t>
            </w:r>
            <w:r w:rsidR="009917DB" w:rsidRPr="00814E71">
              <w:t>gör</w:t>
            </w:r>
            <w:r w:rsidR="00414E7A" w:rsidRPr="00814E71">
              <w:t>ül</w:t>
            </w:r>
            <w:r w:rsidR="009917DB" w:rsidRPr="00814E71">
              <w:t>müştür</w:t>
            </w:r>
            <w:r w:rsidR="009917DB" w:rsidRPr="00A23740">
              <w:rPr>
                <w:szCs w:val="24"/>
              </w:rPr>
              <w:t>. Bu fıkrada öngörülen davanın, sadece mülkiyet hakkından kaynaklanan ve iflas olayı</w:t>
            </w:r>
            <w:r w:rsidR="009C3695" w:rsidRPr="00A23740">
              <w:rPr>
                <w:szCs w:val="24"/>
              </w:rPr>
              <w:t>yla</w:t>
            </w:r>
            <w:r w:rsidR="009917DB" w:rsidRPr="00A23740">
              <w:rPr>
                <w:szCs w:val="24"/>
              </w:rPr>
              <w:t xml:space="preserve"> yakın ilgisi bulunmayan bir dava olması nedeniyle, iflas mahkemesinde açılıp </w:t>
            </w:r>
            <w:r w:rsidR="00414E7A" w:rsidRPr="00814E71">
              <w:t>karara bağlanması</w:t>
            </w:r>
            <w:r w:rsidR="00414E7A" w:rsidRPr="00A23740">
              <w:rPr>
                <w:szCs w:val="24"/>
              </w:rPr>
              <w:t xml:space="preserve"> </w:t>
            </w:r>
            <w:r w:rsidR="009917DB" w:rsidRPr="00A23740">
              <w:rPr>
                <w:szCs w:val="24"/>
              </w:rPr>
              <w:t>uygun görülmemiş</w:t>
            </w:r>
            <w:r w:rsidR="00414E7A" w:rsidRPr="00814E71">
              <w:t>; uyuşmazlığın çözümlenmesi genel mahkemelere bırakılmıştır.</w:t>
            </w:r>
            <w:r w:rsidR="00414E7A" w:rsidRPr="00A23740">
              <w:rPr>
                <w:szCs w:val="24"/>
              </w:rPr>
              <w:t xml:space="preserve"> </w:t>
            </w:r>
            <w:r w:rsidR="009917DB" w:rsidRPr="00A23740">
              <w:rPr>
                <w:szCs w:val="24"/>
              </w:rPr>
              <w:t>İflas masası tarafından açılan dava sonunda verilen hükmün iflas masası lehine olması h</w:t>
            </w:r>
            <w:r w:rsidR="00240E31" w:rsidRPr="00A23740">
              <w:rPr>
                <w:szCs w:val="24"/>
              </w:rPr>
              <w:t>â</w:t>
            </w:r>
            <w:r w:rsidR="009917DB" w:rsidRPr="00A23740">
              <w:rPr>
                <w:szCs w:val="24"/>
              </w:rPr>
              <w:t>linde,</w:t>
            </w:r>
            <w:r w:rsidR="0099109E" w:rsidRPr="00A23740">
              <w:rPr>
                <w:szCs w:val="24"/>
              </w:rPr>
              <w:t xml:space="preserve"> </w:t>
            </w:r>
            <w:r w:rsidR="00383DDF" w:rsidRPr="00814E71">
              <w:t>51</w:t>
            </w:r>
            <w:r w:rsidR="000C3E05" w:rsidRPr="00814E71">
              <w:t>6 ncı</w:t>
            </w:r>
            <w:r w:rsidR="009917DB" w:rsidRPr="00A23740">
              <w:rPr>
                <w:szCs w:val="24"/>
              </w:rPr>
              <w:t xml:space="preserve"> maddenin uygulanıp uygulanmayacağı ve üçüncü kişinin varsa rüçhan hakkının akıbetinin ne olacağı hususunun yargı içtihatlarıyla açıklığa kavuşturulacağı düşünülmüştür. Ayrıca bu maddede “iflas masası” kavramı</w:t>
            </w:r>
            <w:r w:rsidR="009C3695" w:rsidRPr="00A23740">
              <w:rPr>
                <w:szCs w:val="24"/>
              </w:rPr>
              <w:t>yla</w:t>
            </w:r>
            <w:r w:rsidR="009917DB" w:rsidRPr="00A23740">
              <w:rPr>
                <w:szCs w:val="24"/>
              </w:rPr>
              <w:t xml:space="preserve"> kastedilenin iflas alacaklıl</w:t>
            </w:r>
            <w:r w:rsidR="005D4C9E" w:rsidRPr="00A23740">
              <w:rPr>
                <w:szCs w:val="24"/>
              </w:rPr>
              <w:t>arı olduğunu belirtmek gerekir.</w:t>
            </w:r>
          </w:p>
          <w:p w:rsidR="00965829" w:rsidRPr="00A23740" w:rsidRDefault="00965829" w:rsidP="001364AF">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pStyle w:val="KIRMIZI"/>
              <w:rPr>
                <w:lang w:val="tr-TR"/>
              </w:rPr>
            </w:pPr>
          </w:p>
        </w:tc>
        <w:tc>
          <w:tcPr>
            <w:tcW w:w="2500" w:type="pct"/>
          </w:tcPr>
          <w:p w:rsidR="00AA5C8C" w:rsidRPr="00A23740" w:rsidRDefault="00AA5C8C" w:rsidP="009431FF">
            <w:pPr>
              <w:pStyle w:val="MAV"/>
              <w:jc w:val="center"/>
              <w:rPr>
                <w:u w:val="none"/>
                <w:lang w:val="tr-TR"/>
              </w:rPr>
            </w:pPr>
            <w:r w:rsidRPr="00A23740">
              <w:rPr>
                <w:u w:val="none"/>
                <w:lang w:val="tr-TR"/>
              </w:rPr>
              <w:t>İKİNCİ KISIM</w:t>
            </w:r>
          </w:p>
          <w:p w:rsidR="00AA5C8C" w:rsidRPr="00A23740" w:rsidRDefault="00AA5C8C" w:rsidP="009431FF">
            <w:pPr>
              <w:pStyle w:val="MAV"/>
              <w:jc w:val="center"/>
              <w:rPr>
                <w:u w:val="none"/>
                <w:lang w:val="tr-TR"/>
              </w:rPr>
            </w:pPr>
            <w:r w:rsidRPr="00A23740">
              <w:rPr>
                <w:u w:val="none"/>
                <w:lang w:val="tr-TR"/>
              </w:rPr>
              <w:t>Tasarrufun İptali Davası</w:t>
            </w:r>
          </w:p>
          <w:p w:rsidR="00965829" w:rsidRPr="00A23740" w:rsidRDefault="00965829" w:rsidP="009431FF">
            <w:pPr>
              <w:rPr>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pStyle w:val="KIRMIZI"/>
              <w:rPr>
                <w:lang w:val="tr-TR"/>
              </w:rPr>
            </w:pPr>
            <w:r w:rsidRPr="00A23740">
              <w:rPr>
                <w:lang w:val="tr-TR"/>
              </w:rPr>
              <w:t>ONBİRİNCİ BAP</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lang w:val="tr-TR"/>
              </w:rPr>
              <w:t>İptal davası</w:t>
            </w:r>
          </w:p>
          <w:p w:rsidR="00AA5C8C" w:rsidRPr="00A23740" w:rsidRDefault="00AA5C8C" w:rsidP="009431FF">
            <w:pPr>
              <w:tabs>
                <w:tab w:val="left" w:pos="567"/>
              </w:tabs>
              <w:rPr>
                <w:rFonts w:eastAsia="Times New Roman"/>
                <w:szCs w:val="24"/>
              </w:rPr>
            </w:pPr>
            <w:r w:rsidRPr="00A23740">
              <w:rPr>
                <w:rFonts w:eastAsia="Times New Roman"/>
                <w:szCs w:val="24"/>
              </w:rPr>
              <w:t xml:space="preserve">İptal davası </w:t>
            </w:r>
            <w:r w:rsidRPr="00A23740">
              <w:rPr>
                <w:rStyle w:val="KIRMIZIChar"/>
                <w:rFonts w:eastAsia="Calibri"/>
              </w:rPr>
              <w:t>ve davacılar:</w:t>
            </w:r>
          </w:p>
          <w:p w:rsidR="00AA5C8C" w:rsidRPr="00A23740" w:rsidRDefault="00AA5C8C" w:rsidP="009431FF">
            <w:pPr>
              <w:tabs>
                <w:tab w:val="left" w:pos="567"/>
              </w:tabs>
              <w:rPr>
                <w:rFonts w:eastAsia="Times New Roman"/>
                <w:b/>
                <w:szCs w:val="24"/>
              </w:rPr>
            </w:pPr>
            <w:r w:rsidRPr="00A23740">
              <w:rPr>
                <w:rStyle w:val="KIRMIZIChar"/>
                <w:rFonts w:eastAsia="Calibri"/>
              </w:rPr>
              <w:t>Madde 277 – (1) (</w:t>
            </w:r>
            <w:r w:rsidRPr="00A23740">
              <w:rPr>
                <w:rFonts w:eastAsia="Times New Roman"/>
                <w:b/>
                <w:strike/>
                <w:color w:val="FF0000"/>
                <w:szCs w:val="24"/>
              </w:rPr>
              <w:t>Değişik: 3/7/1940 - 3890/1 md.)</w:t>
            </w:r>
          </w:p>
          <w:p w:rsidR="00AA5C8C" w:rsidRPr="00A23740" w:rsidRDefault="00AA5C8C" w:rsidP="009431FF">
            <w:pPr>
              <w:tabs>
                <w:tab w:val="left" w:pos="567"/>
              </w:tabs>
              <w:rPr>
                <w:rFonts w:eastAsia="Times New Roman"/>
                <w:szCs w:val="24"/>
              </w:rPr>
            </w:pPr>
            <w:r w:rsidRPr="00A23740">
              <w:rPr>
                <w:rFonts w:eastAsia="Times New Roman"/>
                <w:szCs w:val="24"/>
              </w:rPr>
              <w:t>İptal davası</w:t>
            </w:r>
            <w:r w:rsidRPr="00A23740">
              <w:rPr>
                <w:rStyle w:val="KIRMIZIChar"/>
                <w:rFonts w:eastAsia="Calibri"/>
              </w:rPr>
              <w:t>ndan</w:t>
            </w:r>
            <w:r w:rsidRPr="00A23740">
              <w:rPr>
                <w:rFonts w:eastAsia="Times New Roman"/>
                <w:szCs w:val="24"/>
              </w:rPr>
              <w:t xml:space="preserve"> </w:t>
            </w:r>
            <w:r w:rsidRPr="00A23740">
              <w:rPr>
                <w:rStyle w:val="KIRMIZIChar"/>
                <w:rFonts w:eastAsia="Calibri"/>
              </w:rPr>
              <w:t>maksat</w:t>
            </w:r>
            <w:r w:rsidRPr="00A23740">
              <w:rPr>
                <w:rFonts w:eastAsia="Times New Roman"/>
                <w:szCs w:val="24"/>
              </w:rPr>
              <w:t xml:space="preserve"> 278, 279 ve 280 inci maddelerde </w:t>
            </w:r>
            <w:r w:rsidRPr="00A23740">
              <w:rPr>
                <w:rStyle w:val="KIRMIZIChar"/>
                <w:rFonts w:eastAsia="Calibri"/>
              </w:rPr>
              <w:t>yazılı</w:t>
            </w:r>
            <w:r w:rsidRPr="00A23740">
              <w:rPr>
                <w:rFonts w:eastAsia="Times New Roman"/>
                <w:szCs w:val="24"/>
              </w:rPr>
              <w:t xml:space="preserve"> tasarrufların </w:t>
            </w:r>
            <w:r w:rsidRPr="00A23740">
              <w:rPr>
                <w:rFonts w:eastAsia="Times New Roman"/>
                <w:b/>
                <w:strike/>
                <w:color w:val="FF0000"/>
                <w:szCs w:val="24"/>
              </w:rPr>
              <w:t>butlanına hükmettirmektir</w:t>
            </w:r>
            <w:r w:rsidRPr="00A23740">
              <w:rPr>
                <w:rStyle w:val="KIRMIZIChar"/>
                <w:rFonts w:eastAsia="Calibri"/>
              </w:rPr>
              <w:t>. Bu davayı aşağıdaki şahıslar açabilirler:</w:t>
            </w:r>
          </w:p>
          <w:p w:rsidR="00AA5C8C" w:rsidRPr="00A23740" w:rsidRDefault="00AA5C8C" w:rsidP="009431FF">
            <w:pPr>
              <w:pStyle w:val="KIRMIZI"/>
              <w:rPr>
                <w:lang w:val="tr-TR"/>
              </w:rPr>
            </w:pPr>
            <w:r w:rsidRPr="00A23740">
              <w:rPr>
                <w:lang w:val="tr-TR"/>
              </w:rPr>
              <w:t>1 – Elinde muvakkat yahut kati aciz vesikası bulunan her alacaklı,</w:t>
            </w:r>
          </w:p>
          <w:p w:rsidR="00AA5C8C" w:rsidRPr="00A23740" w:rsidRDefault="00AA5C8C" w:rsidP="009431FF">
            <w:pPr>
              <w:pStyle w:val="KIRMIZI"/>
              <w:rPr>
                <w:lang w:val="tr-TR"/>
              </w:rPr>
            </w:pPr>
            <w:r w:rsidRPr="00A23740">
              <w:rPr>
                <w:lang w:val="tr-TR"/>
              </w:rPr>
              <w:t>2 – İflas idaresi yahut 245 inci maddede ve 255 inci maddenin 3 üncü fıkrasında yazılı hallerde alacaklıların kendileri.</w:t>
            </w:r>
          </w:p>
          <w:p w:rsidR="00AA5C8C" w:rsidRPr="00A23740" w:rsidRDefault="00AA5C8C" w:rsidP="009431FF">
            <w:pPr>
              <w:pStyle w:val="KIRMIZI"/>
              <w:rPr>
                <w:lang w:val="tr-TR"/>
              </w:rPr>
            </w:pPr>
          </w:p>
        </w:tc>
        <w:tc>
          <w:tcPr>
            <w:tcW w:w="2500" w:type="pct"/>
          </w:tcPr>
          <w:p w:rsidR="00AA5C8C" w:rsidRPr="00A23740" w:rsidRDefault="00AA5C8C" w:rsidP="009431FF">
            <w:pPr>
              <w:pStyle w:val="MAV"/>
              <w:jc w:val="center"/>
              <w:rPr>
                <w:u w:val="none"/>
                <w:lang w:val="tr-TR"/>
              </w:rPr>
            </w:pPr>
            <w:r w:rsidRPr="00A23740">
              <w:rPr>
                <w:u w:val="none"/>
                <w:lang w:val="tr-TR"/>
              </w:rPr>
              <w:t>BİRİNCİ BÖLÜM</w:t>
            </w:r>
          </w:p>
          <w:p w:rsidR="00AA5C8C" w:rsidRPr="00A23740" w:rsidRDefault="00AA5C8C" w:rsidP="009431FF">
            <w:pPr>
              <w:pStyle w:val="MAV"/>
              <w:jc w:val="center"/>
              <w:rPr>
                <w:u w:val="none"/>
                <w:lang w:val="tr-TR"/>
              </w:rPr>
            </w:pPr>
            <w:r w:rsidRPr="00A23740">
              <w:rPr>
                <w:u w:val="none"/>
                <w:lang w:val="tr-TR"/>
              </w:rPr>
              <w:t>İptal Davası ve Davacılar</w:t>
            </w:r>
          </w:p>
          <w:p w:rsidR="00AA5C8C" w:rsidRPr="00A23740" w:rsidRDefault="00AA5C8C" w:rsidP="009431FF">
            <w:pPr>
              <w:pStyle w:val="MAV"/>
              <w:rPr>
                <w:u w:val="none"/>
                <w:lang w:val="tr-TR"/>
              </w:rPr>
            </w:pPr>
          </w:p>
          <w:p w:rsidR="00AA5C8C" w:rsidRPr="00A23740" w:rsidRDefault="00AA5C8C" w:rsidP="009431FF">
            <w:pPr>
              <w:tabs>
                <w:tab w:val="left" w:pos="567"/>
              </w:tabs>
              <w:rPr>
                <w:rFonts w:eastAsia="Times New Roman"/>
                <w:szCs w:val="24"/>
              </w:rPr>
            </w:pPr>
            <w:r w:rsidRPr="00A23740">
              <w:rPr>
                <w:rFonts w:eastAsia="Times New Roman"/>
                <w:szCs w:val="24"/>
              </w:rPr>
              <w:t>İptal davası</w:t>
            </w:r>
            <w:r w:rsidRPr="00A23740">
              <w:rPr>
                <w:rStyle w:val="MaviChar"/>
              </w:rPr>
              <w:t>nın amacı</w:t>
            </w:r>
            <w:r w:rsidRPr="00A23740">
              <w:rPr>
                <w:rStyle w:val="MaviChar"/>
                <w:lang w:val="tr-TR"/>
              </w:rPr>
              <w:t xml:space="preserve"> </w:t>
            </w:r>
            <w:r w:rsidRPr="00A23740">
              <w:rPr>
                <w:rStyle w:val="MaviChar"/>
              </w:rPr>
              <w:t>ve konusu</w:t>
            </w:r>
          </w:p>
          <w:p w:rsidR="00AA5C8C" w:rsidRPr="00A23740" w:rsidRDefault="003B700B" w:rsidP="009431FF">
            <w:pPr>
              <w:tabs>
                <w:tab w:val="left" w:pos="567"/>
              </w:tabs>
              <w:rPr>
                <w:rStyle w:val="YELChar"/>
              </w:rPr>
            </w:pPr>
            <w:r w:rsidRPr="00A23740">
              <w:rPr>
                <w:rStyle w:val="MaviChar"/>
                <w:lang w:val="tr-TR"/>
              </w:rPr>
              <w:t>MADDE 442</w:t>
            </w:r>
            <w:r w:rsidR="00AA5C8C" w:rsidRPr="00A23740">
              <w:rPr>
                <w:rStyle w:val="MaviChar"/>
                <w:lang w:val="tr-TR"/>
              </w:rPr>
              <w:t xml:space="preserve">- </w:t>
            </w:r>
            <w:r w:rsidR="00AA5C8C" w:rsidRPr="00A23740">
              <w:rPr>
                <w:rFonts w:eastAsia="Times New Roman"/>
                <w:b/>
                <w:color w:val="0000FF"/>
                <w:szCs w:val="24"/>
              </w:rPr>
              <w:t>(1)</w:t>
            </w:r>
            <w:r w:rsidR="00AA5C8C" w:rsidRPr="00A23740">
              <w:rPr>
                <w:rFonts w:eastAsia="Times New Roman"/>
                <w:szCs w:val="24"/>
              </w:rPr>
              <w:t xml:space="preserve"> İptal davası</w:t>
            </w:r>
            <w:r w:rsidR="00E929A2" w:rsidRPr="00814E71">
              <w:rPr>
                <w:rStyle w:val="MaviChar"/>
              </w:rPr>
              <w:t>,</w:t>
            </w:r>
            <w:r w:rsidR="00AA5C8C" w:rsidRPr="00A23740">
              <w:rPr>
                <w:rFonts w:eastAsia="Times New Roman"/>
                <w:szCs w:val="24"/>
              </w:rPr>
              <w:t xml:space="preserve"> </w:t>
            </w:r>
            <w:r w:rsidR="00AA5C8C" w:rsidRPr="00A23740">
              <w:rPr>
                <w:rStyle w:val="MaviChar"/>
              </w:rPr>
              <w:t>alacaklıya, ivazsız tasarruflar hakkındaki</w:t>
            </w:r>
            <w:r w:rsidR="0099109E" w:rsidRPr="00A23740">
              <w:rPr>
                <w:rStyle w:val="MaviChar"/>
                <w:lang w:val="tr-TR"/>
              </w:rPr>
              <w:t xml:space="preserve"> </w:t>
            </w:r>
            <w:r w:rsidR="0099109E" w:rsidRPr="00814E71">
              <w:rPr>
                <w:rStyle w:val="MaviChar"/>
              </w:rPr>
              <w:t>445 inci</w:t>
            </w:r>
            <w:r w:rsidR="00AA5C8C" w:rsidRPr="00A23740">
              <w:rPr>
                <w:rStyle w:val="MaviChar"/>
              </w:rPr>
              <w:t>,</w:t>
            </w:r>
            <w:r w:rsidR="00AA5C8C" w:rsidRPr="00A23740">
              <w:rPr>
                <w:rStyle w:val="YELChar"/>
              </w:rPr>
              <w:t xml:space="preserve"> </w:t>
            </w:r>
            <w:r w:rsidR="00E929A2" w:rsidRPr="00814E71">
              <w:rPr>
                <w:rStyle w:val="MaviChar"/>
              </w:rPr>
              <w:t>borçların</w:t>
            </w:r>
            <w:r w:rsidR="00E929A2" w:rsidRPr="00A23740">
              <w:rPr>
                <w:rStyle w:val="MaviChar"/>
                <w:lang w:val="tr-TR"/>
              </w:rPr>
              <w:t xml:space="preserve"> </w:t>
            </w:r>
            <w:r w:rsidR="00AA5C8C" w:rsidRPr="00A23740">
              <w:rPr>
                <w:rStyle w:val="MaviChar"/>
              </w:rPr>
              <w:t>malvarlığından fazla olması hakkındaki</w:t>
            </w:r>
            <w:r w:rsidR="0099109E" w:rsidRPr="00A23740">
              <w:rPr>
                <w:rStyle w:val="MaviChar"/>
                <w:lang w:val="tr-TR"/>
              </w:rPr>
              <w:t xml:space="preserve"> </w:t>
            </w:r>
            <w:r w:rsidR="0099109E" w:rsidRPr="00814E71">
              <w:rPr>
                <w:rStyle w:val="MaviChar"/>
              </w:rPr>
              <w:t>446 ncı</w:t>
            </w:r>
            <w:r w:rsidR="00AA5C8C" w:rsidRPr="00A23740">
              <w:rPr>
                <w:rStyle w:val="MaviChar"/>
              </w:rPr>
              <w:t xml:space="preserve"> ve zarar vermek kastıyla yapılan işlemler hakkındaki</w:t>
            </w:r>
            <w:r w:rsidR="0099109E" w:rsidRPr="00A23740">
              <w:rPr>
                <w:rStyle w:val="MaviChar"/>
                <w:lang w:val="tr-TR"/>
              </w:rPr>
              <w:t xml:space="preserve"> </w:t>
            </w:r>
            <w:r w:rsidR="0099109E" w:rsidRPr="00814E71">
              <w:rPr>
                <w:rStyle w:val="MaviChar"/>
              </w:rPr>
              <w:t>447 nci</w:t>
            </w:r>
            <w:r w:rsidR="00AA5C8C" w:rsidRPr="00A23740">
              <w:rPr>
                <w:rFonts w:eastAsia="Times New Roman"/>
                <w:szCs w:val="24"/>
              </w:rPr>
              <w:t xml:space="preserve"> maddelerde</w:t>
            </w:r>
            <w:r w:rsidR="00AA5C8C" w:rsidRPr="00A23740">
              <w:rPr>
                <w:rStyle w:val="MaviChar"/>
              </w:rPr>
              <w:t xml:space="preserve">ki </w:t>
            </w:r>
            <w:r w:rsidR="00AA5C8C" w:rsidRPr="00A23740">
              <w:rPr>
                <w:rFonts w:eastAsia="Times New Roman"/>
                <w:szCs w:val="24"/>
              </w:rPr>
              <w:t xml:space="preserve">tasarrufların </w:t>
            </w:r>
            <w:r w:rsidR="00AA5C8C" w:rsidRPr="00A23740">
              <w:rPr>
                <w:rStyle w:val="MaviChar"/>
              </w:rPr>
              <w:t>iptali suretiyle cebr</w:t>
            </w:r>
            <w:r w:rsidR="00436506" w:rsidRPr="00A23740">
              <w:rPr>
                <w:rStyle w:val="MaviChar"/>
                <w:lang w:val="tr-TR"/>
              </w:rPr>
              <w:t>î</w:t>
            </w:r>
            <w:r w:rsidR="00AA5C8C" w:rsidRPr="00A23740">
              <w:rPr>
                <w:rStyle w:val="MaviChar"/>
              </w:rPr>
              <w:t xml:space="preserve"> icra yoluyla alacağını tahsil etme olanağı sağlar.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pStyle w:val="Mavi"/>
            </w:pPr>
            <w:r w:rsidRPr="00A23740">
              <w:t xml:space="preserve">(2) Sadece alacağın </w:t>
            </w:r>
            <w:r w:rsidR="00E929A2" w:rsidRPr="00814E71">
              <w:t>doğduğu tarihten</w:t>
            </w:r>
            <w:r w:rsidR="00E929A2" w:rsidRPr="00A23740">
              <w:rPr>
                <w:lang w:val="tr-TR"/>
              </w:rPr>
              <w:t xml:space="preserve"> </w:t>
            </w:r>
            <w:r w:rsidRPr="00A23740">
              <w:t>sonraki tasarrufların iptali istenebilir. İflas idaresinin açacağı davalarda masaya kabul olunan alacaklardan en eskisinin</w:t>
            </w:r>
            <w:r w:rsidR="00E929A2" w:rsidRPr="00A23740">
              <w:rPr>
                <w:lang w:val="tr-TR"/>
              </w:rPr>
              <w:t xml:space="preserve"> </w:t>
            </w:r>
            <w:r w:rsidR="00E929A2" w:rsidRPr="00814E71">
              <w:t>doğduğu tarihe</w:t>
            </w:r>
            <w:r w:rsidRPr="00A23740">
              <w:t xml:space="preserve"> itibar olunur.</w:t>
            </w:r>
          </w:p>
          <w:p w:rsidR="00AA5C8C" w:rsidRPr="00A23740" w:rsidRDefault="00AA5C8C" w:rsidP="009431FF">
            <w:pPr>
              <w:pStyle w:val="YEL"/>
              <w:rPr>
                <w:lang w:val="tr-TR"/>
              </w:rPr>
            </w:pPr>
          </w:p>
          <w:p w:rsidR="00AA5C8C" w:rsidRPr="00A23740" w:rsidRDefault="00AA5C8C" w:rsidP="009431FF">
            <w:pPr>
              <w:pStyle w:val="KIRMIZI"/>
            </w:pPr>
            <w:r w:rsidRPr="00A23740">
              <w:rPr>
                <w:rStyle w:val="Balk1Char"/>
                <w:b/>
                <w:strike w:val="0"/>
              </w:rPr>
              <w:t xml:space="preserve">(3) Konkordato mühleti sırasında iflas mahkemesi veya </w:t>
            </w:r>
            <w:r w:rsidR="00990F76" w:rsidRPr="00E36534">
              <w:rPr>
                <w:rStyle w:val="MaviChar"/>
                <w:rFonts w:eastAsia="ヒラギノ明朝 Pro W3"/>
                <w:b/>
                <w:strike w:val="0"/>
              </w:rPr>
              <w:t>komiser izniyle yapılan</w:t>
            </w:r>
            <w:r w:rsidR="00990F76" w:rsidRPr="00A23740">
              <w:rPr>
                <w:rStyle w:val="Balk1Char"/>
                <w:strike w:val="0"/>
              </w:rPr>
              <w:t xml:space="preserve"> </w:t>
            </w:r>
            <w:r w:rsidRPr="00A23740">
              <w:rPr>
                <w:rStyle w:val="Balk1Char"/>
                <w:b/>
                <w:strike w:val="0"/>
              </w:rPr>
              <w:t>hukuki işlemler iptale tabi değildir.</w:t>
            </w:r>
            <w:r w:rsidR="008435D5" w:rsidRPr="00A23740">
              <w:rPr>
                <w:rStyle w:val="Balk1Char"/>
                <w:strike w:val="0"/>
              </w:rPr>
              <w:t xml:space="preserve"> </w:t>
            </w:r>
          </w:p>
          <w:p w:rsidR="00AA5C8C" w:rsidRPr="00A23740" w:rsidRDefault="00AA5C8C" w:rsidP="009431FF">
            <w:pPr>
              <w:pStyle w:val="YEL"/>
              <w:rPr>
                <w:lang w:val="tr-TR"/>
              </w:rPr>
            </w:pPr>
          </w:p>
          <w:p w:rsidR="00AA5C8C" w:rsidRPr="00A23740" w:rsidRDefault="00AA5C8C" w:rsidP="009431FF">
            <w:pPr>
              <w:pStyle w:val="Mavi"/>
              <w:rPr>
                <w:lang w:val="tr-TR"/>
              </w:rPr>
            </w:pPr>
            <w:r w:rsidRPr="00A23740">
              <w:t xml:space="preserve">(4) Genel hükümlere göre muvazaa iddiaları hakkındaki talepler ile bu Kısım hükümlerine göre yapılacak iptal talepleri aynı davada terditli olarak ileri sürülemez. </w:t>
            </w:r>
          </w:p>
          <w:p w:rsidR="00AA5C8C" w:rsidRPr="00A23740" w:rsidRDefault="00AA5C8C" w:rsidP="009431FF">
            <w:pPr>
              <w:pStyle w:val="YEL"/>
              <w:rPr>
                <w:lang w:val="tr-TR"/>
              </w:rPr>
            </w:pPr>
          </w:p>
        </w:tc>
      </w:tr>
      <w:tr w:rsidR="00BD7568" w:rsidRPr="00A23740" w:rsidTr="009431FF">
        <w:tc>
          <w:tcPr>
            <w:tcW w:w="5000" w:type="pct"/>
            <w:gridSpan w:val="2"/>
            <w:shd w:val="clear" w:color="auto" w:fill="DEEAF6"/>
          </w:tcPr>
          <w:p w:rsidR="00F12E9E" w:rsidRPr="00A23740" w:rsidRDefault="00F12E9E" w:rsidP="009431FF">
            <w:pPr>
              <w:pStyle w:val="MAV"/>
              <w:ind w:firstLine="567"/>
            </w:pPr>
          </w:p>
          <w:p w:rsidR="006E36FB" w:rsidRPr="00A23740" w:rsidRDefault="003B700B" w:rsidP="009431FF">
            <w:pPr>
              <w:tabs>
                <w:tab w:val="left" w:pos="567"/>
              </w:tabs>
              <w:ind w:firstLine="567"/>
            </w:pPr>
            <w:r w:rsidRPr="00A23740">
              <w:rPr>
                <w:b/>
              </w:rPr>
              <w:t>MADDE 442</w:t>
            </w:r>
            <w:r w:rsidR="006E36FB" w:rsidRPr="00A23740">
              <w:rPr>
                <w:b/>
              </w:rPr>
              <w:t>-</w:t>
            </w:r>
            <w:r w:rsidR="006E36FB" w:rsidRPr="00A23740">
              <w:t xml:space="preserve"> Madde, tasarrufun iptali davasının amacını ve konusunu düzenlemektedir. 2004 sayılı Kanunun konuyu düzenleyen 277 nci maddesindeki tanımın, davanın amacını doğru şekilde ifade etmediği öğreti ve uygulamada genel kabul görmektedir. Bu sebeple davanın tanımı ve amacı, kurumun niteliğine uygun olacak şekilde yeniden kaleme alınmıştır. Buna göre iptal davasının amacı, alacaklıya, Kanundaki h</w:t>
            </w:r>
            <w:r w:rsidR="00C2196C" w:rsidRPr="00A23740">
              <w:t>â</w:t>
            </w:r>
            <w:r w:rsidR="006E36FB" w:rsidRPr="00A23740">
              <w:t xml:space="preserve">llerin varlığı </w:t>
            </w:r>
            <w:r w:rsidR="00002AC8" w:rsidRPr="00814E71">
              <w:t>durumunda</w:t>
            </w:r>
            <w:r w:rsidR="00002AC8" w:rsidRPr="00A23740">
              <w:t xml:space="preserve"> </w:t>
            </w:r>
            <w:r w:rsidR="006E36FB" w:rsidRPr="00A23740">
              <w:t>borçlunun yaptığı tasarrufların iptali suretiyle cebr</w:t>
            </w:r>
            <w:r w:rsidR="00436506" w:rsidRPr="00A23740">
              <w:t>î</w:t>
            </w:r>
            <w:r w:rsidR="006E36FB" w:rsidRPr="00A23740">
              <w:t xml:space="preserve"> icra yoluyla alacağını tahsil etme olanağı</w:t>
            </w:r>
            <w:r w:rsidR="003E2C35" w:rsidRPr="00A23740">
              <w:t>nın</w:t>
            </w:r>
            <w:r w:rsidR="006E36FB" w:rsidRPr="00A23740">
              <w:t xml:space="preserve"> sağlanmasıdır. Madde başlığı, 2004 sayılı Kanunda olduğu gibi iptal davası şeklinde yazılmış olmakla birlikte, maddenin dahil olduğu (İkinci) Kısım ise Tasarrufun İptali Davası başlığını taşımaktadır. Bu başlığın kullanılma amacı, tasarrufun iptali davası teriminin bu davanın tasarruf işlemi sayılamayacak hukuki fiiller için dahi açılabilmesini engellemek gibi bir düşünce olmayıp, yalnızca kurumun artık uygulamada yerleşmiş olan alışılmış isminin, kurumu düzenleyen kısmın genel başlığı olmasının daha uygun olacağı düşüncesinden ibarettir. </w:t>
            </w:r>
          </w:p>
          <w:p w:rsidR="006E36FB" w:rsidRPr="00A23740" w:rsidRDefault="006E36FB" w:rsidP="009431FF">
            <w:pPr>
              <w:tabs>
                <w:tab w:val="left" w:pos="567"/>
              </w:tabs>
              <w:ind w:firstLine="567"/>
              <w:rPr>
                <w:rStyle w:val="KIRMIZIChar"/>
                <w:rFonts w:eastAsia="Calibri"/>
              </w:rPr>
            </w:pPr>
            <w:r w:rsidRPr="00A23740">
              <w:t>Maddenin birinci fıkrasının, kimin davayı açabileceğine ilişkin kısmı ayrı bir madde olarak düzenlenmiştir. Yargıtay uygulaması</w:t>
            </w:r>
            <w:r w:rsidR="003E2C35" w:rsidRPr="00A23740">
              <w:t>yla</w:t>
            </w:r>
            <w:r w:rsidRPr="00A23740">
              <w:t xml:space="preserve"> yerleşmiş olan ve fakat eski hükümde düzenlenmemiş</w:t>
            </w:r>
            <w:r w:rsidR="00002AC8" w:rsidRPr="00A23740">
              <w:t xml:space="preserve"> </w:t>
            </w:r>
            <w:r w:rsidR="00002AC8" w:rsidRPr="00814E71">
              <w:t>bulunan</w:t>
            </w:r>
            <w:r w:rsidRPr="00A23740">
              <w:t xml:space="preserve">, tasarrufun iptali davalarının, sadece alacağın </w:t>
            </w:r>
            <w:r w:rsidR="00C40548" w:rsidRPr="00814E71">
              <w:t>doğduğu</w:t>
            </w:r>
            <w:r w:rsidR="00C40548" w:rsidRPr="00A23740">
              <w:rPr>
                <w:b/>
                <w:color w:val="385623"/>
              </w:rPr>
              <w:t xml:space="preserve"> </w:t>
            </w:r>
            <w:r w:rsidR="00C40548" w:rsidRPr="00814E71">
              <w:t>tarihten</w:t>
            </w:r>
            <w:r w:rsidR="00C40548" w:rsidRPr="00A23740">
              <w:t xml:space="preserve"> </w:t>
            </w:r>
            <w:r w:rsidRPr="00A23740">
              <w:t>sonraki tasarrufların iptali bakımından mümkün olabileceği kuralı, maddeye ikinci fıkra olarak eklenmiştir. İflastaki iptal davalarında da bu hususta masaya kabul olunan alacaklardan en eskisinin doğum tarihine itibar olunacağı da yine açık şekilde ifade edilmiştir. Maddeyle düzenlenen diğer önemli bir husus da konkordato mühleti sırasında borçlunun izin alarak yaptığı tasarrufların, iptal davasına konu olup olamayacağı meselesidir. Kesin mühletin borçlu bakımından sonuçları başlığını taşıyan</w:t>
            </w:r>
            <w:r w:rsidR="0099109E" w:rsidRPr="00A23740">
              <w:t xml:space="preserve"> </w:t>
            </w:r>
            <w:r w:rsidRPr="00A23740">
              <w:t>38</w:t>
            </w:r>
            <w:r w:rsidR="00B0549E" w:rsidRPr="00A23740">
              <w:t>9</w:t>
            </w:r>
            <w:r w:rsidRPr="00A23740">
              <w:t xml:space="preserve"> </w:t>
            </w:r>
            <w:r w:rsidR="002B77D6" w:rsidRPr="00A23740">
              <w:t>uncu</w:t>
            </w:r>
            <w:r w:rsidR="002B77D6" w:rsidRPr="00A23740">
              <w:rPr>
                <w:rStyle w:val="AralkYokChar"/>
                <w:strike w:val="0"/>
                <w:lang w:val="tr-TR"/>
              </w:rPr>
              <w:t xml:space="preserve"> </w:t>
            </w:r>
            <w:r w:rsidRPr="00A23740">
              <w:t>maddeye göre, borçlu, mahkemenin izni dışında mühlet kararından itibaren rehin tesis edemez, kefil olamaz ve ivazsız tasarruflarda bulunamaz; taşınmaz ve işletmenin devamlı tesisatını kısmen dahi olsa devredemez ve takyit edemez. Aksi hâlde yapılan işlemler hükümsüzdür. Mahkeme, izin vermeden önce komiserin görüşünü alır. Bahsi geçen maddeye uygun şekilde</w:t>
            </w:r>
            <w:r w:rsidR="00B659B6" w:rsidRPr="00A23740">
              <w:t xml:space="preserve"> </w:t>
            </w:r>
            <w:r w:rsidR="00B659B6" w:rsidRPr="00814E71">
              <w:t>veya komiserlik izni alarak</w:t>
            </w:r>
            <w:r w:rsidRPr="00A23740">
              <w:t xml:space="preserve"> yapılan işlemlerin, tasarrufun iptali davasına konu olmayacağı hususu, maddenin üçüncü fıkrasında açıkça düzenlenmiştir. Bu sebeple, uygulamada,</w:t>
            </w:r>
            <w:r w:rsidR="0099109E" w:rsidRPr="00A23740">
              <w:t xml:space="preserve"> </w:t>
            </w:r>
            <w:r w:rsidR="002B77D6" w:rsidRPr="00A23740">
              <w:rPr>
                <w:color w:val="000000"/>
              </w:rPr>
              <w:t>389</w:t>
            </w:r>
            <w:r w:rsidR="00E36534">
              <w:rPr>
                <w:color w:val="000000"/>
              </w:rPr>
              <w:t xml:space="preserve"> </w:t>
            </w:r>
            <w:r w:rsidR="0099109E" w:rsidRPr="00A23740">
              <w:rPr>
                <w:rStyle w:val="KonuBalChar"/>
                <w:rFonts w:eastAsia="Calibri"/>
                <w:b w:val="0"/>
                <w:color w:val="000000"/>
              </w:rPr>
              <w:t xml:space="preserve">ve </w:t>
            </w:r>
            <w:r w:rsidR="002B77D6" w:rsidRPr="00A23740">
              <w:rPr>
                <w:rStyle w:val="KonuBalChar"/>
                <w:rFonts w:eastAsia="Calibri"/>
                <w:b w:val="0"/>
                <w:color w:val="000000"/>
                <w:lang w:val="tr-TR"/>
              </w:rPr>
              <w:t>442 nci</w:t>
            </w:r>
            <w:r w:rsidR="002B77D6" w:rsidRPr="00A23740">
              <w:rPr>
                <w:rStyle w:val="KonuBalChar"/>
                <w:rFonts w:eastAsia="Calibri"/>
                <w:color w:val="000000"/>
                <w:lang w:val="tr-TR"/>
              </w:rPr>
              <w:t xml:space="preserve"> </w:t>
            </w:r>
            <w:r w:rsidRPr="00A23740">
              <w:t>maddelerin mutlaka birlikte değerlendirilm</w:t>
            </w:r>
            <w:r w:rsidRPr="00814E71">
              <w:t>esi gerekmektedir.</w:t>
            </w:r>
            <w:r w:rsidR="00B659B6" w:rsidRPr="00814E71">
              <w:t xml:space="preserve"> Böylece İsviçre</w:t>
            </w:r>
            <w:r w:rsidR="009641B0" w:rsidRPr="00814E71">
              <w:t>’</w:t>
            </w:r>
            <w:r w:rsidR="00B659B6" w:rsidRPr="00814E71">
              <w:t xml:space="preserve">nin Borç İçin Takip ve İflas Hakkında Federal Kanunuyla uyum da sağlanmış olmaktadır. </w:t>
            </w:r>
          </w:p>
          <w:p w:rsidR="006E36FB" w:rsidRPr="00A23740" w:rsidRDefault="006E36FB" w:rsidP="009431FF">
            <w:pPr>
              <w:tabs>
                <w:tab w:val="left" w:pos="567"/>
              </w:tabs>
              <w:ind w:firstLine="567"/>
            </w:pPr>
            <w:r w:rsidRPr="00A23740">
              <w:t>Maddenin son fıkrası da yine uygulamada ortaya çıkan bir sorunun giderilmesi</w:t>
            </w:r>
            <w:r w:rsidR="003E2C35" w:rsidRPr="00A23740">
              <w:t xml:space="preserve"> için</w:t>
            </w:r>
            <w:r w:rsidRPr="00A23740">
              <w:t xml:space="preserve"> kaleme alınmıştır. Uygulamada bazı alacaklıların, genel hükümlere göre muvazaa iddiaları hakkındaki talepleri ile </w:t>
            </w:r>
            <w:r w:rsidR="00546866" w:rsidRPr="00814E71">
              <w:t>2004 sayılı Kanun</w:t>
            </w:r>
            <w:r w:rsidRPr="00A23740">
              <w:t xml:space="preserve"> kapsamındaki tasarrufun iptali taleplerini aynı davada terditli olarak ileri </w:t>
            </w:r>
            <w:r w:rsidR="003E2C35" w:rsidRPr="00A23740">
              <w:t xml:space="preserve">sürdükleri </w:t>
            </w:r>
            <w:r w:rsidRPr="00A23740">
              <w:t>görülmektedir. Oysaki bu talepler, hukuki nitelikleri gereği bağdaşabilecek ve dolayısıyla da bir terditli dava şeklinde ileri sürülebilecek türden talepler değildir. Yeni kaleme alınan bu fıkra</w:t>
            </w:r>
            <w:r w:rsidR="003E2C35" w:rsidRPr="00A23740">
              <w:t>yla</w:t>
            </w:r>
            <w:r w:rsidRPr="00A23740">
              <w:t xml:space="preserve"> bu tür taleplerin terditli şekilde ileri sürülemeyeceği, açık şekilde</w:t>
            </w:r>
            <w:r w:rsidR="003E2C35" w:rsidRPr="00A23740">
              <w:t>belirtilmiştir</w:t>
            </w:r>
            <w:r w:rsidRPr="00A23740">
              <w:t>. Buna göre</w:t>
            </w:r>
            <w:r w:rsidR="003E2C35" w:rsidRPr="00A23740">
              <w:t>,</w:t>
            </w:r>
            <w:r w:rsidRPr="00A23740">
              <w:t xml:space="preserve"> alacaklı davasını bu iki talepten (ve iddiadan) birine hasretmek zorunda olacaktır.</w:t>
            </w:r>
          </w:p>
          <w:p w:rsidR="006E36FB" w:rsidRPr="00A23740" w:rsidRDefault="006E36FB" w:rsidP="009431FF">
            <w:pPr>
              <w:tabs>
                <w:tab w:val="left" w:pos="567"/>
              </w:tabs>
              <w:rPr>
                <w:b/>
                <w:bCs/>
                <w:szCs w:val="24"/>
                <w:lang w:eastAsia="x-none"/>
              </w:rPr>
            </w:pPr>
            <w:r w:rsidRPr="00A23740">
              <w:rPr>
                <w:b/>
                <w:bCs/>
                <w:szCs w:val="24"/>
                <w:lang w:eastAsia="x-none"/>
              </w:rPr>
              <w:tab/>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pStyle w:val="KIRMIZI"/>
              <w:rPr>
                <w:lang w:val="tr-TR"/>
              </w:rPr>
            </w:pPr>
          </w:p>
        </w:tc>
        <w:tc>
          <w:tcPr>
            <w:tcW w:w="2500" w:type="pct"/>
          </w:tcPr>
          <w:p w:rsidR="00AA5C8C" w:rsidRPr="00A23740" w:rsidRDefault="00AA5C8C" w:rsidP="009431FF">
            <w:pPr>
              <w:pStyle w:val="Mavi"/>
            </w:pPr>
            <w:r w:rsidRPr="00A23740">
              <w:rPr>
                <w:rStyle w:val="MaviChar"/>
                <w:b/>
                <w:lang w:val="tr-TR"/>
              </w:rPr>
              <w:t>Malvarlığının tespiti</w:t>
            </w:r>
            <w:r w:rsidRPr="00A23740">
              <w:cr/>
            </w:r>
            <w:r w:rsidR="003B700B" w:rsidRPr="00A23740">
              <w:rPr>
                <w:lang w:val="tr-TR"/>
              </w:rPr>
              <w:t>MADDE 443</w:t>
            </w:r>
            <w:r w:rsidRPr="00A23740">
              <w:rPr>
                <w:lang w:val="tr-TR"/>
              </w:rPr>
              <w:t xml:space="preserve">- (1) </w:t>
            </w:r>
            <w:r w:rsidRPr="00A23740">
              <w:t>Takibi kesinleşmiş olan alacaklı, talep tarihinden geriye doğru beş yıl içinde borçlunun</w:t>
            </w:r>
            <w:r w:rsidRPr="00A23740">
              <w:rPr>
                <w:lang w:val="tr-TR"/>
              </w:rPr>
              <w:t xml:space="preserve"> yaptığı ve </w:t>
            </w:r>
            <w:r w:rsidRPr="00A23740">
              <w:t>iptal davasına konu olabilecek tasarrufların UYAP üzerinden sorgulanmasını talep edebilir. Talep</w:t>
            </w:r>
            <w:r w:rsidR="00611DCB" w:rsidRPr="00D22FBA">
              <w:t>,</w:t>
            </w:r>
            <w:r w:rsidRPr="00A23740">
              <w:t xml:space="preserve"> icra ve iflas</w:t>
            </w:r>
            <w:r w:rsidRPr="00D22FBA">
              <w:t xml:space="preserve"> </w:t>
            </w:r>
            <w:r w:rsidRPr="00A23740">
              <w:t>dairesi tarafından en geç bir hafta içinde yerine getirilir. Sorgulama sonunda edinilen bilgiler hukuka aykırı olarak paylaşılamaz.</w:t>
            </w:r>
          </w:p>
          <w:p w:rsidR="00AA5C8C" w:rsidRPr="00A23740" w:rsidRDefault="00AA5C8C" w:rsidP="009431FF">
            <w:pPr>
              <w:pStyle w:val="AltKonuBal"/>
            </w:pPr>
          </w:p>
        </w:tc>
      </w:tr>
      <w:tr w:rsidR="00BD7568" w:rsidRPr="00A23740" w:rsidTr="009431FF">
        <w:tc>
          <w:tcPr>
            <w:tcW w:w="5000" w:type="pct"/>
            <w:gridSpan w:val="2"/>
            <w:shd w:val="clear" w:color="auto" w:fill="DEEAF6"/>
          </w:tcPr>
          <w:p w:rsidR="00F12E9E" w:rsidRPr="00A23740" w:rsidRDefault="00F12E9E" w:rsidP="009431FF">
            <w:pPr>
              <w:ind w:firstLine="567"/>
              <w:rPr>
                <w:b/>
                <w:bCs/>
                <w:szCs w:val="24"/>
                <w:lang w:eastAsia="x-none"/>
              </w:rPr>
            </w:pPr>
          </w:p>
          <w:p w:rsidR="00CB25D1" w:rsidRPr="00A23740" w:rsidRDefault="003B700B" w:rsidP="009431FF">
            <w:pPr>
              <w:tabs>
                <w:tab w:val="left" w:pos="567"/>
              </w:tabs>
              <w:ind w:firstLine="567"/>
            </w:pPr>
            <w:r w:rsidRPr="00A23740">
              <w:rPr>
                <w:b/>
              </w:rPr>
              <w:t>MADDE 443</w:t>
            </w:r>
            <w:r w:rsidR="006E36FB" w:rsidRPr="00A23740">
              <w:rPr>
                <w:b/>
              </w:rPr>
              <w:t>-</w:t>
            </w:r>
            <w:r w:rsidR="006E36FB" w:rsidRPr="00A23740">
              <w:t xml:space="preserve"> Madde, Kanun</w:t>
            </w:r>
            <w:r w:rsidR="003E2C35" w:rsidRPr="00A23740">
              <w:t>un</w:t>
            </w:r>
            <w:r w:rsidR="006E36FB" w:rsidRPr="00A23740">
              <w:t>, alacaklının borçlunun malvarlığını sorgulaması</w:t>
            </w:r>
            <w:r w:rsidR="003E2C35" w:rsidRPr="00A23740">
              <w:t>yla</w:t>
            </w:r>
            <w:r w:rsidR="006E36FB" w:rsidRPr="00A23740">
              <w:t xml:space="preserve"> ilgili üç madde</w:t>
            </w:r>
            <w:r w:rsidR="003E2C35" w:rsidRPr="00A23740">
              <w:t>sin</w:t>
            </w:r>
            <w:r w:rsidR="006E36FB" w:rsidRPr="00A23740">
              <w:t>den sonuncusudur ve yeni ihdas edilen bir hükümdür. Bu sebeple madde, konu</w:t>
            </w:r>
            <w:r w:rsidR="003E2C35" w:rsidRPr="00A23740">
              <w:t>yla</w:t>
            </w:r>
            <w:r w:rsidR="006E36FB" w:rsidRPr="00A23740">
              <w:t xml:space="preserve"> ilgili diğer iki madde olan </w:t>
            </w:r>
            <w:r w:rsidR="008F42AD" w:rsidRPr="00814E71">
              <w:t>sorgulamaya ilişkin</w:t>
            </w:r>
            <w:r w:rsidR="008F42AD" w:rsidRPr="00A23740">
              <w:t xml:space="preserve"> 47</w:t>
            </w:r>
            <w:r w:rsidR="002B77D6" w:rsidRPr="00A23740">
              <w:t xml:space="preserve"> </w:t>
            </w:r>
            <w:r w:rsidR="008F42AD" w:rsidRPr="00A23740">
              <w:t xml:space="preserve">ve </w:t>
            </w:r>
            <w:r w:rsidR="008F42AD" w:rsidRPr="00814E71">
              <w:t>haciz talebine ilişkin</w:t>
            </w:r>
            <w:r w:rsidR="002B77D6" w:rsidRPr="00A23740">
              <w:rPr>
                <w:rStyle w:val="YELChar"/>
              </w:rPr>
              <w:t xml:space="preserve"> </w:t>
            </w:r>
            <w:r w:rsidR="002B77D6" w:rsidRPr="00814E71">
              <w:t>156 ncı</w:t>
            </w:r>
            <w:r w:rsidR="008F42AD" w:rsidRPr="00A23740">
              <w:t xml:space="preserve"> </w:t>
            </w:r>
            <w:r w:rsidR="006E36FB" w:rsidRPr="00A23740">
              <w:t>maddeler</w:t>
            </w:r>
            <w:r w:rsidR="003E2C35" w:rsidRPr="00A23740">
              <w:t>le</w:t>
            </w:r>
            <w:r w:rsidR="006E36FB" w:rsidRPr="00A23740">
              <w:t xml:space="preserve"> birlikte değerlendirilmelidir. Buna göre, takibi kesinleşmiş olan alacaklıya, talep tarihinden geriye doğru beş yıl içinde borçlunun yaptığı ve iptal davasına konu olabilecek tasarrufların UYAP üzerinden sorgulanmasını talep etme hakkı tanınmaktadır. Sorgulama hakkının doğması bakımından, alacaklının kesin veya geçici aciz belgesine sahip olması aranmamaktadır; takibin kesinleşmiş olması yeterlidir. Bu sorgulama sayesinde alacaklı, borçlunun herhangi bir şekilde kayda girmiş olan tasarruflarını görüp, bunlardan iptale tabi olabilecek olanları tespit edebilme ve bunlarla ilgili olarak iptal davası açabilme </w:t>
            </w:r>
            <w:r w:rsidR="003E2C35" w:rsidRPr="00A23740">
              <w:t xml:space="preserve">olanağına </w:t>
            </w:r>
            <w:r w:rsidR="006E36FB" w:rsidRPr="00A23740">
              <w:t xml:space="preserve">sahip olacaktır. Hacizde sorgulamayı düzenleyen </w:t>
            </w:r>
            <w:r w:rsidR="002B77D6" w:rsidRPr="00814E71">
              <w:t>156 ncı</w:t>
            </w:r>
            <w:r w:rsidR="002B77D6" w:rsidRPr="00A23740">
              <w:t xml:space="preserve"> </w:t>
            </w:r>
            <w:r w:rsidR="006E36FB" w:rsidRPr="00A23740">
              <w:t xml:space="preserve">maddeye paralel olarak kaleme alınmış olan maddeye göre, talep icra ve iflas dairesi tarafından en geç bir hafta içinde yerine getirilir. </w:t>
            </w:r>
          </w:p>
          <w:p w:rsidR="006E36FB" w:rsidRPr="00A23740" w:rsidRDefault="006E36FB" w:rsidP="009431FF">
            <w:pPr>
              <w:tabs>
                <w:tab w:val="left" w:pos="567"/>
              </w:tabs>
              <w:ind w:firstLine="567"/>
              <w:rPr>
                <w:b/>
                <w:bCs/>
                <w:szCs w:val="24"/>
                <w:lang w:eastAsia="x-none"/>
              </w:rPr>
            </w:pPr>
            <w:r w:rsidRPr="00A23740">
              <w:t>Ayrıca sorgulama sonunda edinilen bilgiler hukuka aykırı olarak paylaşılamaz. Sorgulama</w:t>
            </w:r>
            <w:r w:rsidR="003E2C35" w:rsidRPr="00A23740">
              <w:t>yla</w:t>
            </w:r>
            <w:r w:rsidRPr="00A23740">
              <w:t xml:space="preserve"> ilgili esaslar bakımından ise, </w:t>
            </w:r>
            <w:r w:rsidR="008F42AD" w:rsidRPr="00814E71">
              <w:t>sorgulamaya</w:t>
            </w:r>
            <w:r w:rsidR="008F42AD" w:rsidRPr="00A23740">
              <w:rPr>
                <w:rStyle w:val="YELChar"/>
              </w:rPr>
              <w:t xml:space="preserve"> </w:t>
            </w:r>
            <w:r w:rsidR="008F42AD" w:rsidRPr="00814E71">
              <w:t>ilişkin</w:t>
            </w:r>
            <w:r w:rsidR="008F42AD" w:rsidRPr="00A23740">
              <w:t xml:space="preserve"> 47 </w:t>
            </w:r>
            <w:r w:rsidRPr="00A23740">
              <w:t>nci madde hükmü uygulama alanı bulacaktır.</w:t>
            </w:r>
          </w:p>
          <w:p w:rsidR="006E36FB" w:rsidRPr="00A23740" w:rsidRDefault="006E36FB" w:rsidP="00F76168">
            <w:pPr>
              <w:pStyle w:val="KIRMIZI"/>
              <w:rPr>
                <w:b w:val="0"/>
                <w:bCs w:val="0"/>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szCs w:val="24"/>
              </w:rPr>
            </w:pPr>
            <w:r w:rsidRPr="00A23740">
              <w:rPr>
                <w:rStyle w:val="KIRMIZIChar"/>
                <w:rFonts w:eastAsia="Calibri"/>
              </w:rPr>
              <w:t>İptal davası ve</w:t>
            </w:r>
            <w:r w:rsidRPr="00A23740">
              <w:rPr>
                <w:rFonts w:eastAsia="Times New Roman"/>
                <w:bCs/>
                <w:szCs w:val="24"/>
              </w:rPr>
              <w:t xml:space="preserve"> davacılar</w:t>
            </w:r>
            <w:r w:rsidRPr="00A23740">
              <w:rPr>
                <w:rStyle w:val="KIRMIZIChar"/>
                <w:rFonts w:eastAsia="Calibri"/>
              </w:rPr>
              <w:t>:</w:t>
            </w:r>
          </w:p>
          <w:p w:rsidR="00AA5C8C" w:rsidRPr="00A23740" w:rsidRDefault="00AA5C8C" w:rsidP="009431FF">
            <w:pPr>
              <w:tabs>
                <w:tab w:val="left" w:pos="567"/>
              </w:tabs>
              <w:rPr>
                <w:rFonts w:eastAsia="Times New Roman"/>
                <w:szCs w:val="24"/>
              </w:rPr>
            </w:pPr>
            <w:r w:rsidRPr="00A23740">
              <w:rPr>
                <w:rStyle w:val="KIRMIZIChar"/>
                <w:rFonts w:eastAsia="Calibri"/>
              </w:rPr>
              <w:t>Madde 277 – (1) İptal davasından maksat 278, 279 ve 280 inci maddelerde yazılı tasarrufların butlanına hükmettirmektir.</w:t>
            </w:r>
            <w:r w:rsidRPr="00A23740">
              <w:rPr>
                <w:rStyle w:val="KIRMIZIChar"/>
                <w:rFonts w:eastAsia="Calibri"/>
                <w:strike w:val="0"/>
              </w:rPr>
              <w:t xml:space="preserve"> </w:t>
            </w:r>
            <w:r w:rsidRPr="00A23740">
              <w:rPr>
                <w:rStyle w:val="KIRMIZIChar"/>
                <w:rFonts w:eastAsia="Calibri"/>
              </w:rPr>
              <w:t>Bu davayı</w:t>
            </w:r>
            <w:r w:rsidRPr="00A23740">
              <w:rPr>
                <w:rFonts w:eastAsia="Times New Roman"/>
                <w:bCs/>
                <w:szCs w:val="24"/>
              </w:rPr>
              <w:t xml:space="preserve"> aşağıdaki </w:t>
            </w:r>
            <w:r w:rsidRPr="00A23740">
              <w:rPr>
                <w:rStyle w:val="KIRMIZIChar"/>
                <w:rFonts w:eastAsia="Calibri"/>
              </w:rPr>
              <w:t>şahıslar</w:t>
            </w:r>
            <w:r w:rsidRPr="00A23740">
              <w:rPr>
                <w:rFonts w:eastAsia="Times New Roman"/>
                <w:bCs/>
                <w:szCs w:val="24"/>
              </w:rPr>
              <w:t xml:space="preserve"> açabilir</w:t>
            </w:r>
            <w:r w:rsidRPr="00A23740">
              <w:rPr>
                <w:rStyle w:val="KIRMIZIChar"/>
                <w:rFonts w:eastAsia="Calibri"/>
              </w:rPr>
              <w:t>ler</w:t>
            </w:r>
            <w:r w:rsidRPr="00A23740">
              <w:rPr>
                <w:rFonts w:eastAsia="Times New Roman"/>
                <w:bCs/>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1 –</w:t>
            </w:r>
            <w:r w:rsidRPr="00A23740">
              <w:rPr>
                <w:rFonts w:eastAsia="Times New Roman"/>
                <w:szCs w:val="24"/>
              </w:rPr>
              <w:t xml:space="preserve"> Elinde </w:t>
            </w:r>
            <w:r w:rsidRPr="00A23740">
              <w:rPr>
                <w:rFonts w:eastAsia="Times New Roman"/>
                <w:b/>
                <w:strike/>
                <w:color w:val="FF0000"/>
                <w:szCs w:val="24"/>
              </w:rPr>
              <w:t>muvakkat</w:t>
            </w:r>
            <w:r w:rsidRPr="00A23740">
              <w:rPr>
                <w:rFonts w:eastAsia="Times New Roman"/>
                <w:szCs w:val="24"/>
              </w:rPr>
              <w:t xml:space="preserve"> </w:t>
            </w:r>
            <w:r w:rsidRPr="00A23740">
              <w:rPr>
                <w:rStyle w:val="KIRMIZIChar"/>
                <w:rFonts w:eastAsia="Calibri"/>
              </w:rPr>
              <w:t>yahut</w:t>
            </w:r>
            <w:r w:rsidRPr="00A23740">
              <w:rPr>
                <w:rFonts w:eastAsia="Times New Roman"/>
                <w:szCs w:val="24"/>
              </w:rPr>
              <w:t xml:space="preserve"> </w:t>
            </w:r>
            <w:r w:rsidRPr="00A23740">
              <w:rPr>
                <w:rFonts w:eastAsia="Times New Roman"/>
                <w:b/>
                <w:strike/>
                <w:color w:val="FF0000"/>
                <w:szCs w:val="24"/>
              </w:rPr>
              <w:t>kati</w:t>
            </w:r>
            <w:r w:rsidRPr="00A23740">
              <w:rPr>
                <w:rFonts w:eastAsia="Times New Roman"/>
                <w:szCs w:val="24"/>
              </w:rPr>
              <w:t xml:space="preserve"> aciz </w:t>
            </w:r>
            <w:r w:rsidRPr="00A23740">
              <w:rPr>
                <w:rFonts w:eastAsia="Times New Roman"/>
                <w:b/>
                <w:strike/>
                <w:color w:val="FF0000"/>
                <w:szCs w:val="24"/>
              </w:rPr>
              <w:t>vesikası</w:t>
            </w:r>
            <w:r w:rsidRPr="00A23740">
              <w:rPr>
                <w:rFonts w:eastAsia="Times New Roman"/>
                <w:szCs w:val="24"/>
              </w:rPr>
              <w:t xml:space="preserve"> bulunan her alacaklı</w:t>
            </w:r>
            <w:r w:rsidRPr="00A23740">
              <w:rPr>
                <w:rStyle w:val="KIRMIZIChar"/>
                <w:rFonts w:eastAsia="Calibri"/>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2 –</w:t>
            </w:r>
            <w:r w:rsidRPr="00A23740">
              <w:rPr>
                <w:rFonts w:eastAsia="Times New Roman"/>
                <w:szCs w:val="24"/>
              </w:rPr>
              <w:t xml:space="preserve"> İflas idaresi </w:t>
            </w:r>
            <w:r w:rsidRPr="00A23740">
              <w:rPr>
                <w:rStyle w:val="KIRMIZIChar"/>
                <w:rFonts w:eastAsia="Calibri"/>
              </w:rPr>
              <w:t>yahut</w:t>
            </w:r>
            <w:r w:rsidRPr="00A23740">
              <w:rPr>
                <w:rFonts w:eastAsia="Times New Roman"/>
                <w:szCs w:val="24"/>
              </w:rPr>
              <w:t xml:space="preserve"> </w:t>
            </w:r>
            <w:r w:rsidRPr="00A23740">
              <w:rPr>
                <w:rStyle w:val="KIRMIZIChar"/>
                <w:rFonts w:eastAsia="Calibri"/>
              </w:rPr>
              <w:t>245 inci</w:t>
            </w:r>
            <w:r w:rsidRPr="00A23740">
              <w:rPr>
                <w:rFonts w:eastAsia="Times New Roman"/>
                <w:szCs w:val="24"/>
              </w:rPr>
              <w:t xml:space="preserve"> maddede ve </w:t>
            </w:r>
            <w:r w:rsidRPr="00A23740">
              <w:rPr>
                <w:rStyle w:val="KIRMIZIChar"/>
                <w:rFonts w:eastAsia="Calibri"/>
              </w:rPr>
              <w:t>255 inci</w:t>
            </w:r>
            <w:r w:rsidRPr="00A23740">
              <w:rPr>
                <w:rFonts w:eastAsia="Times New Roman"/>
                <w:szCs w:val="24"/>
              </w:rPr>
              <w:t xml:space="preserve"> maddenin </w:t>
            </w:r>
            <w:r w:rsidRPr="00A23740">
              <w:rPr>
                <w:rStyle w:val="KIRMIZIChar"/>
                <w:rFonts w:eastAsia="Calibri"/>
              </w:rPr>
              <w:t>3 üncü</w:t>
            </w:r>
            <w:r w:rsidRPr="00A23740">
              <w:rPr>
                <w:rFonts w:eastAsia="Times New Roman"/>
                <w:szCs w:val="24"/>
              </w:rPr>
              <w:t xml:space="preserve"> fıkrasında yazılı hallerde alacaklıların kendileri.</w:t>
            </w:r>
          </w:p>
          <w:p w:rsidR="00AA5C8C" w:rsidRPr="00A23740" w:rsidRDefault="00AA5C8C" w:rsidP="009431FF">
            <w:pPr>
              <w:tabs>
                <w:tab w:val="left" w:pos="567"/>
              </w:tabs>
              <w:rPr>
                <w:rFonts w:eastAsia="Times New Roman"/>
                <w:szCs w:val="24"/>
              </w:rPr>
            </w:pPr>
          </w:p>
        </w:tc>
        <w:tc>
          <w:tcPr>
            <w:tcW w:w="2500" w:type="pct"/>
          </w:tcPr>
          <w:p w:rsidR="00AA5C8C" w:rsidRPr="00A23740" w:rsidRDefault="00AA5C8C" w:rsidP="009431FF">
            <w:pPr>
              <w:rPr>
                <w:b/>
              </w:rPr>
            </w:pPr>
            <w:r w:rsidRPr="00A23740">
              <w:rPr>
                <w:b/>
              </w:rPr>
              <w:t>Davacılar</w:t>
            </w:r>
          </w:p>
          <w:p w:rsidR="00AA5C8C" w:rsidRPr="00A23740" w:rsidRDefault="003B700B" w:rsidP="009431FF">
            <w:pPr>
              <w:pStyle w:val="MAV"/>
              <w:rPr>
                <w:u w:val="none"/>
                <w:lang w:val="tr-TR"/>
              </w:rPr>
            </w:pPr>
            <w:r w:rsidRPr="00A23740">
              <w:rPr>
                <w:u w:val="none"/>
                <w:lang w:val="tr-TR"/>
              </w:rPr>
              <w:t>MADDE 444</w:t>
            </w:r>
            <w:r w:rsidR="00AA5C8C" w:rsidRPr="00A23740">
              <w:rPr>
                <w:u w:val="none"/>
                <w:lang w:val="tr-TR"/>
              </w:rPr>
              <w:t xml:space="preserve">- (1) İptal davasını </w:t>
            </w:r>
            <w:r w:rsidR="00AA5C8C" w:rsidRPr="00A23740">
              <w:rPr>
                <w:rStyle w:val="Balk3Char"/>
                <w:color w:val="auto"/>
                <w:u w:val="none"/>
                <w:lang w:val="tr-TR"/>
              </w:rPr>
              <w:t xml:space="preserve">aşağıdaki </w:t>
            </w:r>
            <w:r w:rsidR="00AA5C8C" w:rsidRPr="00A23740">
              <w:rPr>
                <w:rStyle w:val="MaviChar"/>
                <w:b/>
                <w:u w:val="none"/>
              </w:rPr>
              <w:t>kişiler</w:t>
            </w:r>
            <w:r w:rsidR="00AA5C8C" w:rsidRPr="00A23740">
              <w:rPr>
                <w:rStyle w:val="Balk3Char"/>
                <w:color w:val="auto"/>
                <w:u w:val="none"/>
                <w:lang w:val="tr-TR"/>
              </w:rPr>
              <w:t xml:space="preserve"> açabilir:</w:t>
            </w:r>
          </w:p>
          <w:p w:rsidR="00AA5C8C" w:rsidRPr="00A23740" w:rsidRDefault="00AA5C8C" w:rsidP="009431FF">
            <w:pPr>
              <w:tabs>
                <w:tab w:val="left" w:pos="567"/>
              </w:tabs>
              <w:rPr>
                <w:rFonts w:eastAsia="Times New Roman"/>
                <w:szCs w:val="24"/>
              </w:rPr>
            </w:pPr>
          </w:p>
          <w:p w:rsidR="00AA5C8C" w:rsidRDefault="00AA5C8C" w:rsidP="009431FF">
            <w:pPr>
              <w:tabs>
                <w:tab w:val="left" w:pos="567"/>
              </w:tabs>
              <w:rPr>
                <w:rFonts w:eastAsia="Times New Roman"/>
                <w:szCs w:val="24"/>
              </w:rPr>
            </w:pPr>
          </w:p>
          <w:p w:rsidR="00010E10" w:rsidRPr="00A23740" w:rsidRDefault="00010E10"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MaviChar"/>
                <w:lang w:val="tr-TR"/>
              </w:rPr>
              <w:t>a)</w:t>
            </w:r>
            <w:r w:rsidRPr="00A23740">
              <w:rPr>
                <w:rFonts w:eastAsia="Times New Roman"/>
                <w:szCs w:val="24"/>
              </w:rPr>
              <w:t xml:space="preserve"> Elinde </w:t>
            </w:r>
            <w:r w:rsidRPr="00A23740">
              <w:rPr>
                <w:rFonts w:eastAsia="Times New Roman"/>
                <w:b/>
                <w:color w:val="0000FF"/>
                <w:szCs w:val="24"/>
              </w:rPr>
              <w:t>geçici veya</w:t>
            </w:r>
            <w:r w:rsidRPr="00A23740">
              <w:rPr>
                <w:rFonts w:eastAsia="Times New Roman"/>
                <w:szCs w:val="24"/>
              </w:rPr>
              <w:t xml:space="preserve"> </w:t>
            </w:r>
            <w:r w:rsidRPr="00A23740">
              <w:rPr>
                <w:rFonts w:eastAsia="Times New Roman"/>
                <w:b/>
                <w:color w:val="0000FF"/>
                <w:szCs w:val="24"/>
              </w:rPr>
              <w:t>kesin</w:t>
            </w:r>
            <w:r w:rsidRPr="00A23740">
              <w:rPr>
                <w:rFonts w:eastAsia="Times New Roman"/>
                <w:szCs w:val="24"/>
              </w:rPr>
              <w:t xml:space="preserve"> aciz </w:t>
            </w:r>
            <w:r w:rsidRPr="00A23740">
              <w:rPr>
                <w:rFonts w:eastAsia="Times New Roman"/>
                <w:b/>
                <w:color w:val="0000FF"/>
                <w:szCs w:val="24"/>
              </w:rPr>
              <w:t>belgesi</w:t>
            </w:r>
            <w:r w:rsidRPr="00A23740">
              <w:rPr>
                <w:rFonts w:eastAsia="Times New Roman"/>
                <w:szCs w:val="24"/>
              </w:rPr>
              <w:t xml:space="preserve"> bulunan her alacaklı.</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MaviChar"/>
                <w:lang w:val="tr-TR"/>
              </w:rPr>
              <w:t>b)</w:t>
            </w:r>
            <w:r w:rsidRPr="00A23740">
              <w:rPr>
                <w:rFonts w:eastAsia="Times New Roman"/>
                <w:szCs w:val="24"/>
              </w:rPr>
              <w:t xml:space="preserve"> İflas idaresi </w:t>
            </w:r>
            <w:r w:rsidRPr="00A23740">
              <w:rPr>
                <w:rStyle w:val="MaviChar"/>
              </w:rPr>
              <w:t>veya</w:t>
            </w:r>
            <w:r w:rsidRPr="00A23740">
              <w:rPr>
                <w:rFonts w:eastAsia="Times New Roman"/>
                <w:szCs w:val="24"/>
              </w:rPr>
              <w:t xml:space="preserve"> </w:t>
            </w:r>
            <w:r w:rsidRPr="00A23740">
              <w:rPr>
                <w:rStyle w:val="MaviChar"/>
              </w:rPr>
              <w:t>çekişmeli hakların takip yetkisinin devri hakkındaki</w:t>
            </w:r>
            <w:r w:rsidR="002B77D6" w:rsidRPr="00A23740">
              <w:rPr>
                <w:rStyle w:val="MaviChar"/>
                <w:lang w:val="tr-TR"/>
              </w:rPr>
              <w:t xml:space="preserve"> </w:t>
            </w:r>
            <w:r w:rsidR="002B77D6" w:rsidRPr="00814E71">
              <w:rPr>
                <w:rStyle w:val="MaviChar"/>
              </w:rPr>
              <w:t>362 nci</w:t>
            </w:r>
            <w:r w:rsidRPr="00A23740">
              <w:rPr>
                <w:rFonts w:eastAsia="Times New Roman"/>
                <w:szCs w:val="24"/>
              </w:rPr>
              <w:t xml:space="preserve"> maddede ve</w:t>
            </w:r>
            <w:r w:rsidR="002B77D6" w:rsidRPr="00A23740">
              <w:rPr>
                <w:rFonts w:eastAsia="Times New Roman"/>
                <w:szCs w:val="24"/>
              </w:rPr>
              <w:t xml:space="preserve"> </w:t>
            </w:r>
            <w:r w:rsidR="002B77D6" w:rsidRPr="00814E71">
              <w:rPr>
                <w:rStyle w:val="MaviChar"/>
              </w:rPr>
              <w:t>373 üncü</w:t>
            </w:r>
            <w:r w:rsidRPr="00A23740">
              <w:rPr>
                <w:rFonts w:eastAsia="Times New Roman"/>
                <w:szCs w:val="24"/>
              </w:rPr>
              <w:t xml:space="preserve"> </w:t>
            </w:r>
            <w:r w:rsidRPr="00A23740">
              <w:rPr>
                <w:rStyle w:val="MaviChar"/>
              </w:rPr>
              <w:t>maddenin şüpheli hakları konu alan üçüncü fıkrasında</w:t>
            </w:r>
            <w:r w:rsidRPr="00A23740">
              <w:rPr>
                <w:rStyle w:val="YELChar"/>
              </w:rPr>
              <w:t xml:space="preserve"> </w:t>
            </w:r>
            <w:r w:rsidRPr="00A23740">
              <w:rPr>
                <w:rFonts w:eastAsia="Times New Roman"/>
                <w:szCs w:val="24"/>
              </w:rPr>
              <w:t xml:space="preserve"> yazılı h</w:t>
            </w:r>
            <w:r w:rsidR="002B77D6" w:rsidRPr="00A23740">
              <w:rPr>
                <w:rFonts w:eastAsia="Times New Roman"/>
                <w:szCs w:val="24"/>
              </w:rPr>
              <w:t>â</w:t>
            </w:r>
            <w:r w:rsidRPr="00A23740">
              <w:rPr>
                <w:rFonts w:eastAsia="Times New Roman"/>
                <w:szCs w:val="24"/>
              </w:rPr>
              <w:t>llerde alacaklıların kendileri.</w:t>
            </w:r>
          </w:p>
          <w:p w:rsidR="00AA5C8C" w:rsidRPr="00A23740" w:rsidRDefault="00AA5C8C" w:rsidP="009431FF">
            <w:pPr>
              <w:pStyle w:val="Mavi"/>
            </w:pPr>
          </w:p>
          <w:p w:rsidR="00AA5C8C" w:rsidRPr="00A23740" w:rsidRDefault="00AA5C8C" w:rsidP="009431FF">
            <w:pPr>
              <w:pStyle w:val="Mavi"/>
              <w:rPr>
                <w:lang w:val="tr-TR"/>
              </w:rPr>
            </w:pPr>
            <w:r w:rsidRPr="00A23740">
              <w:t xml:space="preserve">(2) </w:t>
            </w:r>
            <w:r w:rsidRPr="00A23740">
              <w:rPr>
                <w:lang w:val="tr-TR"/>
              </w:rPr>
              <w:t xml:space="preserve">Davacının, </w:t>
            </w:r>
            <w:r w:rsidRPr="00A23740">
              <w:t>ön incelemenin yapılacağı duruşma tarihinin tebliğinden itibaren iki haftalık kesin süre içinde</w:t>
            </w:r>
            <w:r w:rsidRPr="00A23740">
              <w:rPr>
                <w:lang w:val="tr-TR"/>
              </w:rPr>
              <w:t xml:space="preserve"> geçici veya</w:t>
            </w:r>
            <w:r w:rsidRPr="00A23740">
              <w:t xml:space="preserve"> kesin</w:t>
            </w:r>
            <w:r w:rsidRPr="00A23740">
              <w:rPr>
                <w:lang w:val="tr-TR"/>
              </w:rPr>
              <w:t xml:space="preserve"> aciz belgesini ya da kesin aciz belgesi </w:t>
            </w:r>
            <w:r w:rsidRPr="00A23740">
              <w:t>niteliğinde olan</w:t>
            </w:r>
            <w:r w:rsidRPr="00A23740">
              <w:rPr>
                <w:lang w:val="tr-TR"/>
              </w:rPr>
              <w:t xml:space="preserve"> haciz tutanağını mahkemeye</w:t>
            </w:r>
            <w:r w:rsidRPr="00A23740">
              <w:t xml:space="preserve"> sunması gerekir. Aksi h</w:t>
            </w:r>
            <w:r w:rsidR="002B77D6" w:rsidRPr="00A23740">
              <w:rPr>
                <w:lang w:val="tr-TR"/>
              </w:rPr>
              <w:t>â</w:t>
            </w:r>
            <w:r w:rsidRPr="00A23740">
              <w:t>lde, ön inceleme duruşmasında davanın dava şartı yokluğundan reddine karar verilir. Ön inceleme için çıkarılacak duruşma davetiyesinde bu hususlar yer alır.</w:t>
            </w:r>
          </w:p>
          <w:p w:rsidR="00AA5C8C" w:rsidRPr="00A23740" w:rsidRDefault="00AA5C8C" w:rsidP="009431FF">
            <w:pPr>
              <w:pStyle w:val="KIRMIZI"/>
            </w:pPr>
          </w:p>
        </w:tc>
      </w:tr>
      <w:tr w:rsidR="00BD7568" w:rsidRPr="00A23740" w:rsidTr="009431FF">
        <w:tc>
          <w:tcPr>
            <w:tcW w:w="5000" w:type="pct"/>
            <w:gridSpan w:val="2"/>
            <w:shd w:val="clear" w:color="auto" w:fill="DEEAF6"/>
          </w:tcPr>
          <w:p w:rsidR="00F12E9E" w:rsidRPr="00A23740" w:rsidRDefault="00F12E9E" w:rsidP="009431FF">
            <w:pPr>
              <w:ind w:firstLine="709"/>
              <w:rPr>
                <w:b/>
                <w:bCs/>
                <w:szCs w:val="24"/>
                <w:lang w:eastAsia="x-none"/>
              </w:rPr>
            </w:pPr>
          </w:p>
          <w:p w:rsidR="00CB25D1" w:rsidRPr="00A23740" w:rsidRDefault="006E36FB" w:rsidP="009431FF">
            <w:pPr>
              <w:tabs>
                <w:tab w:val="left" w:pos="567"/>
              </w:tabs>
              <w:ind w:firstLine="709"/>
              <w:rPr>
                <w:bCs/>
              </w:rPr>
            </w:pPr>
            <w:r w:rsidRPr="00A23740">
              <w:rPr>
                <w:b/>
                <w:bCs/>
              </w:rPr>
              <w:t>MAD</w:t>
            </w:r>
            <w:r w:rsidR="003B700B" w:rsidRPr="00A23740">
              <w:rPr>
                <w:b/>
                <w:bCs/>
              </w:rPr>
              <w:t>DE 444</w:t>
            </w:r>
            <w:r w:rsidRPr="00A23740">
              <w:rPr>
                <w:b/>
                <w:bCs/>
              </w:rPr>
              <w:t xml:space="preserve">- </w:t>
            </w:r>
            <w:r w:rsidRPr="00A23740">
              <w:rPr>
                <w:bCs/>
              </w:rPr>
              <w:t>Maddenin birinci fıkrası, iptal davası açabilecek olan kişileri düzenlemekt</w:t>
            </w:r>
            <w:r w:rsidR="00B65CFB" w:rsidRPr="00A23740">
              <w:rPr>
                <w:bCs/>
              </w:rPr>
              <w:t xml:space="preserve">edir ve 2004 sayılı Kanunun 277 </w:t>
            </w:r>
            <w:r w:rsidRPr="00A23740">
              <w:rPr>
                <w:bCs/>
              </w:rPr>
              <w:t xml:space="preserve">nci maddesinin birinci fıkrasının ikinci kısmını karşılamaktadır. Fıkrada esasa ilişkin bir değişiklik bulunmamaktadır; içerik daha açık ve anlaşılır ifadelerle yeniden kaleme alınmıştır. Bu bağlamda iflas davası açabilecek kişilerde herhangi bir değişiklik yapılmamıştır. Yani icrada yine alacaklının geçici veya kesin aciz belgesine sahip olması aranmaktadır; iflasta da dava iflas idaresi veya çekişmeli hakların takip yetkisinin devri hakkındaki </w:t>
            </w:r>
            <w:r w:rsidR="002B77D6" w:rsidRPr="00814E71">
              <w:t>362 nci</w:t>
            </w:r>
            <w:r w:rsidR="002B77D6" w:rsidRPr="00A23740">
              <w:rPr>
                <w:rFonts w:eastAsia="Times New Roman"/>
                <w:szCs w:val="24"/>
              </w:rPr>
              <w:t xml:space="preserve"> ve </w:t>
            </w:r>
            <w:r w:rsidR="002B77D6" w:rsidRPr="00814E71">
              <w:t>373 üncü</w:t>
            </w:r>
            <w:r w:rsidR="002B77D6" w:rsidRPr="00A23740">
              <w:rPr>
                <w:rFonts w:eastAsia="Times New Roman"/>
                <w:szCs w:val="24"/>
              </w:rPr>
              <w:t xml:space="preserve"> </w:t>
            </w:r>
            <w:r w:rsidRPr="00A23740">
              <w:rPr>
                <w:bCs/>
              </w:rPr>
              <w:t>maddenin şüpheli hakları konu alan üçüncü fıkrasında yazılı h</w:t>
            </w:r>
            <w:r w:rsidR="00C2196C" w:rsidRPr="00A23740">
              <w:rPr>
                <w:bCs/>
              </w:rPr>
              <w:t>â</w:t>
            </w:r>
            <w:r w:rsidRPr="00A23740">
              <w:rPr>
                <w:bCs/>
              </w:rPr>
              <w:t>llerde alacaklılar</w:t>
            </w:r>
            <w:r w:rsidR="002B77D6" w:rsidRPr="00A23740">
              <w:rPr>
                <w:bCs/>
              </w:rPr>
              <w:t>ın kendileri tarafından açılır.</w:t>
            </w:r>
          </w:p>
          <w:p w:rsidR="006E36FB" w:rsidRPr="00A23740" w:rsidRDefault="006E36FB" w:rsidP="009431FF">
            <w:pPr>
              <w:tabs>
                <w:tab w:val="left" w:pos="567"/>
              </w:tabs>
              <w:ind w:firstLine="709"/>
              <w:rPr>
                <w:bCs/>
              </w:rPr>
            </w:pPr>
            <w:r w:rsidRPr="00A23740">
              <w:rPr>
                <w:bCs/>
              </w:rPr>
              <w:t>Maddenin ikinci fıkrası ise yeni ihdas edilmiştir. Buna göre, davacının, ön incelemenin yapılacağı duruşma tarihinin tebliğinden itibaren iki haftalık kesin süre içinde geçici veya kesin aciz belgesini ya da kesin aciz belgesi niteliğinde olan haciz tutanağını mahkemeye sunması gerekecektir. Aksi h</w:t>
            </w:r>
            <w:r w:rsidR="00C2196C" w:rsidRPr="00A23740">
              <w:rPr>
                <w:bCs/>
              </w:rPr>
              <w:t>â</w:t>
            </w:r>
            <w:r w:rsidRPr="00A23740">
              <w:rPr>
                <w:bCs/>
              </w:rPr>
              <w:t xml:space="preserve">lde, ön inceleme duruşmasında davanın dava şartı yokluğundan reddine karar verilir. Tüm bu hususlara ilişkin ihtarın, ön inceleme için çıkarılacak duruşma davetiyesinde yer almasının zorunlu olduğu da yine fıkrada ifade edilmiştir. Bu fıkranın ihdası sebebi, icradaki iptal davalarında özel bir dava şartı olan aciz belgesine sahip olma zorunluluğunun, uygulamada farklı şekillerde anlaşılması ve dolayısıyla da farklı uygulamalara yol açmış olmasıdır. Mevcut Yargıtay uygulamasına göre, borç ödemeden aciz belgesinin “dava açıldıktan sonra veya temyiz aşamasından ve hatta </w:t>
            </w:r>
            <w:r w:rsidR="003E2C35" w:rsidRPr="00A23740">
              <w:rPr>
                <w:bCs/>
              </w:rPr>
              <w:t xml:space="preserve">hükmün </w:t>
            </w:r>
            <w:r w:rsidRPr="00A23740">
              <w:rPr>
                <w:bCs/>
              </w:rPr>
              <w:t>Yargıtayca</w:t>
            </w:r>
            <w:r w:rsidR="00B65CFB" w:rsidRPr="00A23740">
              <w:rPr>
                <w:bCs/>
              </w:rPr>
              <w:t xml:space="preserve"> </w:t>
            </w:r>
            <w:r w:rsidRPr="00A23740">
              <w:rPr>
                <w:bCs/>
              </w:rPr>
              <w:t>bozulmasından sonra bile sunulma olanağı vardır” (17. HD. 18.09.2014, 4049 E. 11950 K.). Böylece Yargıtay, bu dava şartının en geniş şekilde tamamlanabilir bir dava şartı olduğunu kabul etmektedir. Bilim Komisyonunda konu kapsamlı şekilde tartışılmıştır. Yapılan tartışmalar sonucunda ihdas edilen yeni fıkra</w:t>
            </w:r>
            <w:r w:rsidR="003E2C35" w:rsidRPr="00A23740">
              <w:rPr>
                <w:bCs/>
              </w:rPr>
              <w:t>yla</w:t>
            </w:r>
            <w:r w:rsidRPr="00A23740">
              <w:rPr>
                <w:bCs/>
              </w:rPr>
              <w:t xml:space="preserve"> aciz belgesine sahip olma hususu yine tamamlanabilir bir dava şartı olarak kabul edilmiş; ancak dava şartlarının niteliğine uygun olarak, eksik olması h</w:t>
            </w:r>
            <w:r w:rsidR="00C2196C" w:rsidRPr="00A23740">
              <w:rPr>
                <w:bCs/>
              </w:rPr>
              <w:t>â</w:t>
            </w:r>
            <w:r w:rsidRPr="00A23740">
              <w:rPr>
                <w:bCs/>
              </w:rPr>
              <w:t>linde, mutlaka davanın başında (ön inceleme aşamasında) tamamlanması zorunlu kılınmıştır. Komisyon tartışmaları sırasında, bu seçimin, mevcut Yargıtay uygulamasına uygun düşmediği ve alacaklıların hak arama hürriyetinin korunması bakımından isabetli bir çözüm şekli olmadığı yönünde görüşler dile getirilmişse de</w:t>
            </w:r>
            <w:r w:rsidR="003E2C35" w:rsidRPr="00A23740">
              <w:rPr>
                <w:bCs/>
              </w:rPr>
              <w:t>,</w:t>
            </w:r>
            <w:r w:rsidRPr="00A23740">
              <w:rPr>
                <w:bCs/>
              </w:rPr>
              <w:t xml:space="preserve"> kaleme alınan metindeki çözümün, dava şartlarının niteliğine daha uygun olacağ</w:t>
            </w:r>
            <w:r w:rsidRPr="00814E71">
              <w:t xml:space="preserve">ı </w:t>
            </w:r>
            <w:r w:rsidR="00B65CFB" w:rsidRPr="00814E71">
              <w:t>ve hukuki dinlenilme hakkının ihlaline neden olmayacağı</w:t>
            </w:r>
            <w:r w:rsidR="00B65CFB" w:rsidRPr="00A23740">
              <w:rPr>
                <w:bCs/>
              </w:rPr>
              <w:t xml:space="preserve"> </w:t>
            </w:r>
            <w:r w:rsidRPr="00A23740">
              <w:rPr>
                <w:bCs/>
              </w:rPr>
              <w:t>görüşü ağır basmıştır.</w:t>
            </w:r>
          </w:p>
          <w:p w:rsidR="002B77D6" w:rsidRPr="00A23740" w:rsidRDefault="002B77D6" w:rsidP="00F76168">
            <w:pPr>
              <w:pStyle w:val="KIRMIZI"/>
              <w:rPr>
                <w:b w:val="0"/>
                <w:bCs w:val="0"/>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Fonts w:eastAsia="Times New Roman"/>
                <w:szCs w:val="24"/>
              </w:rPr>
              <w:t>İvazsız tasarruflar</w:t>
            </w:r>
            <w:r w:rsidRPr="00A23740">
              <w:rPr>
                <w:rFonts w:eastAsia="Times New Roman"/>
                <w:b/>
                <w:strike/>
                <w:color w:val="FF0000"/>
                <w:szCs w:val="24"/>
              </w:rPr>
              <w:t>ın butlanı:</w:t>
            </w:r>
          </w:p>
          <w:p w:rsidR="00AA5C8C" w:rsidRPr="00A23740" w:rsidRDefault="00AA5C8C" w:rsidP="009431FF">
            <w:pPr>
              <w:tabs>
                <w:tab w:val="left" w:pos="567"/>
              </w:tabs>
              <w:rPr>
                <w:rFonts w:eastAsia="Times New Roman"/>
                <w:b/>
                <w:szCs w:val="24"/>
              </w:rPr>
            </w:pPr>
            <w:r w:rsidRPr="00A23740">
              <w:rPr>
                <w:rStyle w:val="KIRMIZIChar"/>
                <w:rFonts w:eastAsia="Calibri"/>
              </w:rPr>
              <w:t>Madde 278 – (1) (Değişik</w:t>
            </w:r>
            <w:r w:rsidRPr="00A23740">
              <w:rPr>
                <w:rFonts w:eastAsia="Times New Roman"/>
                <w:b/>
                <w:strike/>
                <w:color w:val="FF0000"/>
                <w:szCs w:val="24"/>
              </w:rPr>
              <w:t>: 18/2/1965 - 538/114 md.)</w:t>
            </w:r>
          </w:p>
          <w:p w:rsidR="00AA5C8C" w:rsidRPr="00A23740" w:rsidRDefault="00AA5C8C" w:rsidP="009431FF">
            <w:pPr>
              <w:tabs>
                <w:tab w:val="left" w:pos="567"/>
              </w:tabs>
              <w:rPr>
                <w:rFonts w:eastAsia="Times New Roman"/>
                <w:szCs w:val="24"/>
              </w:rPr>
            </w:pPr>
            <w:r w:rsidRPr="00A23740">
              <w:rPr>
                <w:rFonts w:eastAsia="Times New Roman"/>
                <w:b/>
                <w:strike/>
                <w:color w:val="FF0000"/>
                <w:szCs w:val="24"/>
              </w:rPr>
              <w:t>Mütat</w:t>
            </w:r>
            <w:r w:rsidRPr="00A23740">
              <w:rPr>
                <w:rFonts w:eastAsia="Times New Roman"/>
                <w:szCs w:val="24"/>
              </w:rPr>
              <w:t xml:space="preserve"> hediyeler </w:t>
            </w:r>
            <w:r w:rsidRPr="00A23740">
              <w:rPr>
                <w:rFonts w:eastAsia="Times New Roman"/>
                <w:b/>
                <w:strike/>
                <w:color w:val="FF0000"/>
                <w:szCs w:val="24"/>
              </w:rPr>
              <w:t>müstesna olmak üzere</w:t>
            </w:r>
            <w:r w:rsidRPr="00A23740">
              <w:rPr>
                <w:rStyle w:val="KIRMIZIChar"/>
                <w:rFonts w:eastAsia="Calibri"/>
              </w:rPr>
              <w:t>,</w:t>
            </w:r>
            <w:r w:rsidRPr="00A23740">
              <w:rPr>
                <w:rFonts w:eastAsia="Times New Roman"/>
                <w:szCs w:val="24"/>
              </w:rPr>
              <w:t xml:space="preserve"> </w:t>
            </w:r>
            <w:r w:rsidRPr="00A23740">
              <w:rPr>
                <w:rStyle w:val="KIRMIZIChar"/>
                <w:rFonts w:eastAsia="Calibri"/>
              </w:rPr>
              <w:t>hacizden veya haczedilecek mal bulunmaması sebebiyle acizden yahut iflasın açılmasından haczin veya aciz vesikası verilmesinin sebebi olan yahut masaya kabul olunan alacaklardan en eskisinin tesis edilmiş olduğu tarihe kadar geriye doğru olan müddet</w:t>
            </w:r>
            <w:r w:rsidRPr="00A23740">
              <w:rPr>
                <w:rFonts w:eastAsia="Times New Roman"/>
                <w:szCs w:val="24"/>
              </w:rPr>
              <w:t xml:space="preserve"> içinde yapılan bütün bağışlamalar ve ivazsız tasarruflar </w:t>
            </w:r>
            <w:r w:rsidRPr="00A23740">
              <w:rPr>
                <w:rFonts w:eastAsia="Times New Roman"/>
                <w:b/>
                <w:strike/>
                <w:color w:val="FF0000"/>
                <w:szCs w:val="24"/>
              </w:rPr>
              <w:t>batıldır.</w:t>
            </w:r>
          </w:p>
          <w:p w:rsidR="00AA5C8C" w:rsidRPr="00A23740" w:rsidRDefault="00AA5C8C" w:rsidP="009431FF">
            <w:pPr>
              <w:tabs>
                <w:tab w:val="left" w:pos="567"/>
              </w:tabs>
              <w:rPr>
                <w:rFonts w:eastAsia="Times New Roman"/>
                <w:szCs w:val="24"/>
              </w:rPr>
            </w:pPr>
          </w:p>
          <w:p w:rsidR="00AA5C8C" w:rsidRPr="00A23740" w:rsidRDefault="00AA5C8C" w:rsidP="009431FF">
            <w:pPr>
              <w:pStyle w:val="KIRMIZI"/>
              <w:rPr>
                <w:lang w:val="tr-TR"/>
              </w:rPr>
            </w:pPr>
            <w:r w:rsidRPr="00A23740">
              <w:rPr>
                <w:lang w:val="tr-TR"/>
              </w:rPr>
              <w:t>(</w:t>
            </w:r>
            <w:r w:rsidRPr="00A23740">
              <w:rPr>
                <w:rFonts w:eastAsia="Calibri"/>
                <w:lang w:val="tr-TR"/>
              </w:rPr>
              <w:t>2</w:t>
            </w:r>
            <w:r w:rsidRPr="00A23740">
              <w:rPr>
                <w:lang w:val="tr-TR"/>
              </w:rPr>
              <w:t>) Ancak, bu müddet haciz veya aciz yahut iflastan evvelki iki seneyi geçemez.</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(3)</w:t>
            </w:r>
            <w:r w:rsidRPr="00A23740">
              <w:rPr>
                <w:rFonts w:eastAsia="Times New Roman"/>
                <w:color w:val="000000"/>
                <w:szCs w:val="24"/>
                <w:lang w:eastAsia="tr-TR"/>
              </w:rPr>
              <w:t xml:space="preserve"> </w:t>
            </w:r>
            <w:r w:rsidRPr="00A23740">
              <w:rPr>
                <w:rFonts w:eastAsia="Times New Roman"/>
                <w:szCs w:val="24"/>
              </w:rPr>
              <w:t xml:space="preserve">Aşağıdaki tasarruflar bağışlama </w:t>
            </w:r>
            <w:r w:rsidRPr="00A23740">
              <w:rPr>
                <w:rFonts w:eastAsia="Times New Roman"/>
                <w:b/>
                <w:strike/>
                <w:color w:val="FF0000"/>
                <w:szCs w:val="24"/>
              </w:rPr>
              <w:t>gibidir</w:t>
            </w:r>
            <w:r w:rsidRPr="00A23740">
              <w:rPr>
                <w:rFonts w:eastAsia="Times New Roman"/>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Fonts w:eastAsia="Times New Roman"/>
                <w:szCs w:val="24"/>
              </w:rPr>
              <w:t>1</w:t>
            </w:r>
            <w:r w:rsidRPr="00A23740">
              <w:rPr>
                <w:rFonts w:eastAsia="Times New Roman"/>
                <w:b/>
                <w:strike/>
                <w:color w:val="FF0000"/>
                <w:szCs w:val="24"/>
              </w:rPr>
              <w:t>. (Değişik : 9/11/1988 - 3494/53 md.) Karı ve koca ile usul ve füru, neseben veya sıhren</w:t>
            </w:r>
            <w:r w:rsidRPr="00A23740">
              <w:rPr>
                <w:rFonts w:eastAsia="Times New Roman"/>
                <w:b/>
                <w:color w:val="FF0000"/>
                <w:szCs w:val="24"/>
              </w:rPr>
              <w:t xml:space="preserve"> </w:t>
            </w:r>
            <w:r w:rsidRPr="00A23740">
              <w:rPr>
                <w:rStyle w:val="KIRMIZIChar"/>
                <w:rFonts w:eastAsia="Calibri"/>
              </w:rPr>
              <w:t>üçüncü dereceye</w:t>
            </w:r>
            <w:r w:rsidRPr="00A23740">
              <w:rPr>
                <w:rFonts w:eastAsia="Times New Roman"/>
                <w:b/>
                <w:strike/>
                <w:color w:val="FF0000"/>
                <w:szCs w:val="24"/>
              </w:rPr>
              <w:t xml:space="preserve"> </w:t>
            </w:r>
            <w:r w:rsidRPr="00A23740">
              <w:rPr>
                <w:rStyle w:val="KIRMIZIChar"/>
                <w:rFonts w:eastAsia="Calibri"/>
              </w:rPr>
              <w:t>kadar (bu derece dahil) hısımlar,</w:t>
            </w:r>
            <w:r w:rsidRPr="00A23740">
              <w:rPr>
                <w:rStyle w:val="KIRMIZIChar"/>
                <w:rFonts w:eastAsia="Calibri"/>
                <w:strike w:val="0"/>
              </w:rPr>
              <w:t xml:space="preserve"> </w:t>
            </w:r>
            <w:r w:rsidRPr="00A23740">
              <w:t>evlat edinenle evlatlık</w:t>
            </w:r>
            <w:r w:rsidRPr="00A23740">
              <w:rPr>
                <w:rStyle w:val="KIRMIZIChar"/>
                <w:rFonts w:eastAsia="Calibri"/>
              </w:rPr>
              <w:t xml:space="preserve"> arasında yapılan ivazlı </w:t>
            </w:r>
            <w:r w:rsidRPr="00A23740">
              <w:t>tasarruflar</w:t>
            </w:r>
            <w:r w:rsidRPr="00A23740">
              <w:rPr>
                <w:rStyle w:val="KIRMIZIChar"/>
                <w:rFonts w:eastAsia="Calibri"/>
              </w:rPr>
              <w:t>,</w:t>
            </w:r>
          </w:p>
          <w:p w:rsidR="00AA5C8C" w:rsidRPr="00A23740" w:rsidRDefault="00AA5C8C" w:rsidP="009431FF">
            <w:pPr>
              <w:rPr>
                <w:rFonts w:eastAsia="Times New Roman"/>
                <w:color w:val="000000"/>
                <w:szCs w:val="24"/>
                <w:lang w:eastAsia="tr-TR"/>
              </w:rPr>
            </w:pPr>
          </w:p>
          <w:p w:rsidR="00AA5C8C" w:rsidRPr="00A23740" w:rsidRDefault="00AA5C8C" w:rsidP="009431FF">
            <w:pPr>
              <w:rPr>
                <w:rFonts w:eastAsia="Times New Roman"/>
                <w:bCs/>
                <w:color w:val="000000"/>
                <w:szCs w:val="24"/>
                <w:lang w:eastAsia="tr-TR"/>
              </w:rPr>
            </w:pPr>
            <w:r w:rsidRPr="00A23740">
              <w:rPr>
                <w:rFonts w:eastAsia="Times New Roman"/>
                <w:b/>
                <w:bCs/>
                <w:color w:val="000000"/>
                <w:szCs w:val="24"/>
                <w:lang w:eastAsia="tr-TR"/>
              </w:rPr>
              <w:t>AYM İptal:</w:t>
            </w:r>
            <w:r w:rsidRPr="00A23740">
              <w:rPr>
                <w:rFonts w:eastAsia="Times New Roman"/>
                <w:bCs/>
                <w:color w:val="000000"/>
                <w:szCs w:val="24"/>
                <w:lang w:eastAsia="tr-TR"/>
              </w:rPr>
              <w:t xml:space="preserve"> “Karı ve koca ile” (2021/52-97 E.K.)</w:t>
            </w:r>
          </w:p>
          <w:p w:rsidR="00AA5C8C" w:rsidRPr="00A23740" w:rsidRDefault="00AA5C8C" w:rsidP="009431FF">
            <w:pPr>
              <w:rPr>
                <w:rFonts w:eastAsia="Times New Roman"/>
                <w:bCs/>
                <w:color w:val="000000"/>
                <w:szCs w:val="24"/>
                <w:lang w:eastAsia="tr-TR"/>
              </w:rPr>
            </w:pPr>
            <w:r w:rsidRPr="00A23740">
              <w:rPr>
                <w:rFonts w:eastAsia="Times New Roman"/>
                <w:b/>
                <w:bCs/>
                <w:color w:val="000000"/>
                <w:szCs w:val="24"/>
                <w:lang w:eastAsia="tr-TR"/>
              </w:rPr>
              <w:t>AYM İptal:</w:t>
            </w:r>
            <w:r w:rsidRPr="00A23740">
              <w:rPr>
                <w:rFonts w:eastAsia="Times New Roman"/>
                <w:bCs/>
                <w:color w:val="000000"/>
                <w:szCs w:val="24"/>
                <w:lang w:eastAsia="tr-TR"/>
              </w:rPr>
              <w:t xml:space="preserve"> “usul ve” “sıhren üçüncü dereceye kadar (bu derece dahil) hısımlar,” (2021/9-2022/4 E.K.). </w:t>
            </w:r>
          </w:p>
          <w:p w:rsidR="00AA5C8C" w:rsidRPr="00A23740" w:rsidRDefault="00AA5C8C" w:rsidP="009431FF">
            <w:pPr>
              <w:rPr>
                <w:rFonts w:eastAsia="Times New Roman"/>
                <w:color w:val="000000"/>
                <w:szCs w:val="24"/>
                <w:lang w:eastAsia="tr-TR"/>
              </w:rPr>
            </w:pPr>
            <w:r w:rsidRPr="00A23740">
              <w:rPr>
                <w:rFonts w:eastAsia="Times New Roman"/>
                <w:b/>
                <w:bCs/>
                <w:color w:val="000000"/>
                <w:szCs w:val="24"/>
                <w:lang w:eastAsia="tr-TR"/>
              </w:rPr>
              <w:t>AYM İptal:</w:t>
            </w:r>
            <w:r w:rsidRPr="00A23740">
              <w:rPr>
                <w:rFonts w:eastAsia="Times New Roman"/>
                <w:bCs/>
                <w:color w:val="000000"/>
                <w:szCs w:val="24"/>
                <w:lang w:eastAsia="tr-TR"/>
              </w:rPr>
              <w:t xml:space="preserve"> “neseben veya” (2018/9-84 E.K.) </w:t>
            </w:r>
          </w:p>
          <w:p w:rsidR="00ED5A80" w:rsidRPr="008075B6" w:rsidRDefault="008075B6" w:rsidP="009431FF">
            <w:pPr>
              <w:tabs>
                <w:tab w:val="left" w:pos="567"/>
              </w:tabs>
              <w:rPr>
                <w:rStyle w:val="KIRMIZIChar"/>
                <w:rFonts w:eastAsia="Calibri"/>
                <w:b w:val="0"/>
                <w:strike w:val="0"/>
                <w:color w:val="auto"/>
              </w:rPr>
            </w:pPr>
            <w:r w:rsidRPr="008075B6">
              <w:rPr>
                <w:rStyle w:val="KIRMIZIChar"/>
                <w:rFonts w:eastAsia="Calibri"/>
                <w:strike w:val="0"/>
                <w:color w:val="auto"/>
              </w:rPr>
              <w:t xml:space="preserve">AYM İptal: </w:t>
            </w:r>
            <w:r>
              <w:rPr>
                <w:rStyle w:val="KIRMIZIChar"/>
                <w:rFonts w:eastAsia="Calibri"/>
                <w:b w:val="0"/>
                <w:strike w:val="0"/>
                <w:color w:val="auto"/>
              </w:rPr>
              <w:t>“evlat edinenle evlatlık” (2021/200-2024/103 E.K.)</w:t>
            </w:r>
          </w:p>
          <w:p w:rsidR="00AA5C8C" w:rsidRPr="00A23740" w:rsidRDefault="00AA5C8C" w:rsidP="009431FF">
            <w:pPr>
              <w:tabs>
                <w:tab w:val="left" w:pos="567"/>
              </w:tabs>
              <w:rPr>
                <w:rFonts w:eastAsia="Times New Roman"/>
                <w:szCs w:val="24"/>
              </w:rPr>
            </w:pPr>
            <w:r w:rsidRPr="00A23740">
              <w:rPr>
                <w:rStyle w:val="KIRMIZIChar"/>
                <w:rFonts w:eastAsia="Calibri"/>
              </w:rPr>
              <w:t>2. Akdin</w:t>
            </w:r>
            <w:r w:rsidRPr="00A23740">
              <w:rPr>
                <w:rFonts w:eastAsia="Times New Roman"/>
                <w:szCs w:val="24"/>
              </w:rPr>
              <w:t xml:space="preserve"> yapıldığı sırada, kendi verdiği şeyin değerine göre borçlunun ivaz olarak pek aşağı bir fiyat kabul ettiği akitler,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3.</w:t>
            </w:r>
            <w:r w:rsidRPr="00A23740">
              <w:rPr>
                <w:rFonts w:eastAsia="Times New Roman"/>
                <w:szCs w:val="24"/>
              </w:rPr>
              <w:t xml:space="preserve"> Borçlunun kendisine </w:t>
            </w:r>
            <w:r w:rsidRPr="00A23740">
              <w:rPr>
                <w:rStyle w:val="KIRMIZIChar"/>
                <w:rFonts w:eastAsia="Calibri"/>
              </w:rPr>
              <w:t>yahut</w:t>
            </w:r>
            <w:r w:rsidRPr="00A23740">
              <w:rPr>
                <w:rFonts w:eastAsia="Times New Roman"/>
                <w:szCs w:val="24"/>
              </w:rPr>
              <w:t xml:space="preserve"> üçüncü bir </w:t>
            </w:r>
            <w:r w:rsidRPr="00A23740">
              <w:rPr>
                <w:rFonts w:eastAsia="Times New Roman"/>
                <w:b/>
                <w:strike/>
                <w:color w:val="FF0000"/>
                <w:szCs w:val="24"/>
              </w:rPr>
              <w:t>şahıs menfaatine kaydı hayat şartiyle irat</w:t>
            </w:r>
            <w:r w:rsidRPr="00A23740">
              <w:rPr>
                <w:rFonts w:eastAsia="Times New Roman"/>
                <w:szCs w:val="24"/>
              </w:rPr>
              <w:t xml:space="preserve"> </w:t>
            </w:r>
            <w:r w:rsidRPr="00A23740">
              <w:rPr>
                <w:rStyle w:val="KIRMIZIChar"/>
                <w:rFonts w:eastAsia="Calibri"/>
              </w:rPr>
              <w:t>ve</w:t>
            </w:r>
            <w:r w:rsidRPr="00A23740">
              <w:rPr>
                <w:rFonts w:eastAsia="Times New Roman"/>
                <w:szCs w:val="24"/>
              </w:rPr>
              <w:t xml:space="preserve"> intifa hakkı tesis ettiği </w:t>
            </w:r>
            <w:r w:rsidRPr="00A23740">
              <w:rPr>
                <w:rFonts w:eastAsia="Times New Roman"/>
                <w:b/>
                <w:strike/>
                <w:color w:val="FF0000"/>
                <w:szCs w:val="24"/>
              </w:rPr>
              <w:t>akitler</w:t>
            </w:r>
            <w:r w:rsidRPr="00A23740">
              <w:rPr>
                <w:rFonts w:eastAsia="Times New Roman"/>
                <w:szCs w:val="24"/>
              </w:rPr>
              <w:t xml:space="preserve"> </w:t>
            </w:r>
            <w:r w:rsidRPr="00A23740">
              <w:rPr>
                <w:rStyle w:val="KIRMIZIChar"/>
                <w:rFonts w:eastAsia="Calibri"/>
              </w:rPr>
              <w:t>ve</w:t>
            </w:r>
            <w:r w:rsidRPr="00A23740">
              <w:rPr>
                <w:rFonts w:eastAsia="Times New Roman"/>
                <w:szCs w:val="24"/>
              </w:rPr>
              <w:t xml:space="preserve"> ölünceye kadar bakma </w:t>
            </w:r>
            <w:r w:rsidRPr="00A23740">
              <w:rPr>
                <w:rFonts w:eastAsia="Times New Roman"/>
                <w:b/>
                <w:strike/>
                <w:color w:val="FF0000"/>
                <w:szCs w:val="24"/>
              </w:rPr>
              <w:t>akitleri</w:t>
            </w:r>
            <w:r w:rsidRPr="00A23740">
              <w:rPr>
                <w:rFonts w:eastAsia="Times New Roman"/>
                <w:szCs w:val="24"/>
              </w:rPr>
              <w:t>,</w:t>
            </w:r>
          </w:p>
          <w:p w:rsidR="00AA5C8C" w:rsidRPr="00A23740" w:rsidRDefault="00AA5C8C" w:rsidP="009431FF">
            <w:pPr>
              <w:rPr>
                <w:rFonts w:eastAsia="Times New Roman"/>
                <w:szCs w:val="24"/>
              </w:rPr>
            </w:pPr>
          </w:p>
        </w:tc>
        <w:tc>
          <w:tcPr>
            <w:tcW w:w="2500" w:type="pct"/>
          </w:tcPr>
          <w:p w:rsidR="00AA5C8C" w:rsidRPr="00A23740" w:rsidRDefault="00AA5C8C" w:rsidP="009431FF">
            <w:pPr>
              <w:pStyle w:val="MAV"/>
              <w:jc w:val="center"/>
              <w:rPr>
                <w:u w:val="none"/>
                <w:lang w:val="tr-TR"/>
              </w:rPr>
            </w:pPr>
            <w:r w:rsidRPr="00A23740">
              <w:rPr>
                <w:u w:val="none"/>
                <w:lang w:val="tr-TR"/>
              </w:rPr>
              <w:t>İKİNCİ BÖLÜM</w:t>
            </w:r>
          </w:p>
          <w:p w:rsidR="00AA5C8C" w:rsidRPr="00A23740" w:rsidRDefault="00AA5C8C" w:rsidP="009431FF">
            <w:pPr>
              <w:pStyle w:val="MAV"/>
              <w:jc w:val="center"/>
              <w:rPr>
                <w:u w:val="none"/>
                <w:lang w:val="tr-TR"/>
              </w:rPr>
            </w:pPr>
            <w:r w:rsidRPr="00A23740">
              <w:rPr>
                <w:u w:val="none"/>
                <w:lang w:val="tr-TR"/>
              </w:rPr>
              <w:t>İptal Sebepleri</w:t>
            </w:r>
          </w:p>
          <w:p w:rsidR="00AA5C8C" w:rsidRPr="00A23740" w:rsidRDefault="00AA5C8C" w:rsidP="009431FF">
            <w:pPr>
              <w:pStyle w:val="MAV"/>
              <w:jc w:val="center"/>
              <w:rPr>
                <w:u w:val="none"/>
                <w:lang w:val="tr-TR"/>
              </w:rPr>
            </w:pPr>
          </w:p>
          <w:p w:rsidR="00AA5C8C" w:rsidRPr="00A23740" w:rsidRDefault="00AA5C8C" w:rsidP="009431FF">
            <w:pPr>
              <w:tabs>
                <w:tab w:val="left" w:pos="567"/>
              </w:tabs>
              <w:rPr>
                <w:rFonts w:eastAsia="Times New Roman"/>
                <w:b/>
                <w:szCs w:val="24"/>
              </w:rPr>
            </w:pPr>
            <w:r w:rsidRPr="00A23740">
              <w:rPr>
                <w:rFonts w:eastAsia="Times New Roman"/>
                <w:b/>
                <w:szCs w:val="24"/>
              </w:rPr>
              <w:t>İvazsız tasarruflar</w:t>
            </w:r>
          </w:p>
          <w:p w:rsidR="00AA5C8C" w:rsidRPr="00A23740" w:rsidRDefault="003B700B" w:rsidP="009431FF">
            <w:pPr>
              <w:tabs>
                <w:tab w:val="left" w:pos="567"/>
              </w:tabs>
              <w:rPr>
                <w:rStyle w:val="MAVChar"/>
                <w:rFonts w:eastAsia="Calibri"/>
                <w:u w:val="none"/>
              </w:rPr>
            </w:pPr>
            <w:r w:rsidRPr="00A23740">
              <w:rPr>
                <w:rStyle w:val="MaviChar"/>
                <w:lang w:val="tr-TR"/>
              </w:rPr>
              <w:t>MADDE 445</w:t>
            </w:r>
            <w:r w:rsidR="00AA5C8C" w:rsidRPr="00A23740">
              <w:rPr>
                <w:rStyle w:val="MaviChar"/>
                <w:lang w:val="tr-TR"/>
              </w:rPr>
              <w:t>- (1) Alışılmış</w:t>
            </w:r>
            <w:r w:rsidR="00AA5C8C" w:rsidRPr="00A23740">
              <w:rPr>
                <w:rFonts w:eastAsia="Times New Roman"/>
                <w:szCs w:val="24"/>
              </w:rPr>
              <w:t xml:space="preserve"> hediyeler </w:t>
            </w:r>
            <w:r w:rsidR="00AA5C8C" w:rsidRPr="00A23740">
              <w:rPr>
                <w:rStyle w:val="MAVChar"/>
                <w:rFonts w:eastAsia="Calibri"/>
                <w:u w:val="none"/>
              </w:rPr>
              <w:t>dışında,</w:t>
            </w:r>
            <w:r w:rsidR="00AA5C8C" w:rsidRPr="00A23740">
              <w:rPr>
                <w:rStyle w:val="YELChar"/>
              </w:rPr>
              <w:t xml:space="preserve"> </w:t>
            </w:r>
            <w:r w:rsidR="00AA5C8C" w:rsidRPr="00A23740">
              <w:rPr>
                <w:rStyle w:val="MaviChar"/>
              </w:rPr>
              <w:t>geçici veya kesin aciz belgesi ya da kesin aciz belgesi niteliğinde olan</w:t>
            </w:r>
            <w:r w:rsidR="00AA5C8C" w:rsidRPr="00A23740">
              <w:rPr>
                <w:rStyle w:val="MaviChar"/>
                <w:lang w:val="tr-TR"/>
              </w:rPr>
              <w:t xml:space="preserve"> </w:t>
            </w:r>
            <w:r w:rsidR="00AA5C8C" w:rsidRPr="00A23740">
              <w:rPr>
                <w:rStyle w:val="MaviChar"/>
              </w:rPr>
              <w:t>haciz tutanağının düzenlendiği yahut iflasın açıldığı tarihten önceki</w:t>
            </w:r>
            <w:r w:rsidR="00AA5C8C" w:rsidRPr="00A23740">
              <w:rPr>
                <w:rStyle w:val="MAVChar"/>
                <w:rFonts w:eastAsia="Calibri"/>
                <w:u w:val="none"/>
              </w:rPr>
              <w:t xml:space="preserve"> </w:t>
            </w:r>
            <w:r w:rsidR="00AA5C8C" w:rsidRPr="00A23740">
              <w:rPr>
                <w:rStyle w:val="Balk3Char"/>
                <w:rFonts w:eastAsia="Calibri"/>
              </w:rPr>
              <w:t xml:space="preserve"> </w:t>
            </w:r>
            <w:r w:rsidR="00AA5C8C" w:rsidRPr="00A23740">
              <w:rPr>
                <w:rStyle w:val="MaviChar"/>
              </w:rPr>
              <w:t>bir</w:t>
            </w:r>
            <w:r w:rsidR="00AA5C8C" w:rsidRPr="00A23740">
              <w:rPr>
                <w:rStyle w:val="MaviChar"/>
                <w:lang w:val="tr-TR"/>
              </w:rPr>
              <w:t xml:space="preserve"> yıl</w:t>
            </w:r>
            <w:r w:rsidR="00AA5C8C" w:rsidRPr="00A23740">
              <w:rPr>
                <w:rFonts w:eastAsia="Times New Roman"/>
                <w:szCs w:val="24"/>
              </w:rPr>
              <w:t xml:space="preserve"> içinde yapılan bütün bağışlamalar ve ivazsız tasarruflar </w:t>
            </w:r>
            <w:r w:rsidR="00AA5C8C" w:rsidRPr="00A23740">
              <w:rPr>
                <w:rStyle w:val="MAVChar"/>
                <w:rFonts w:eastAsia="Calibri"/>
                <w:u w:val="none"/>
              </w:rPr>
              <w:t>iptale tabidir.</w:t>
            </w:r>
          </w:p>
          <w:p w:rsidR="00AA5C8C" w:rsidRPr="00A23740" w:rsidRDefault="00AA5C8C" w:rsidP="009431FF">
            <w:pPr>
              <w:tabs>
                <w:tab w:val="left" w:pos="567"/>
              </w:tabs>
              <w:rPr>
                <w:rStyle w:val="MAVChar"/>
                <w:rFonts w:eastAsia="Calibri"/>
                <w:u w:val="none"/>
              </w:rPr>
            </w:pPr>
          </w:p>
          <w:p w:rsidR="00AA5C8C" w:rsidRPr="00A23740" w:rsidRDefault="00AA5C8C" w:rsidP="009431FF">
            <w:pPr>
              <w:tabs>
                <w:tab w:val="left" w:pos="567"/>
              </w:tabs>
              <w:rPr>
                <w:rFonts w:eastAsia="Times New Roman"/>
                <w:b/>
                <w:color w:val="FF0000"/>
                <w:szCs w:val="24"/>
              </w:rPr>
            </w:pPr>
          </w:p>
          <w:p w:rsidR="00ED5A80" w:rsidRPr="00A23740" w:rsidRDefault="00ED5A80" w:rsidP="009431FF">
            <w:pPr>
              <w:tabs>
                <w:tab w:val="left" w:pos="567"/>
              </w:tabs>
              <w:rPr>
                <w:rFonts w:eastAsia="Times New Roman"/>
                <w:b/>
                <w:color w:val="FF0000"/>
                <w:szCs w:val="24"/>
              </w:rPr>
            </w:pPr>
          </w:p>
          <w:p w:rsidR="00ED5A80" w:rsidRPr="00A23740" w:rsidRDefault="00ED5A80" w:rsidP="009431FF">
            <w:pPr>
              <w:tabs>
                <w:tab w:val="left" w:pos="567"/>
              </w:tabs>
              <w:rPr>
                <w:rFonts w:eastAsia="Times New Roman"/>
                <w:b/>
                <w:color w:val="FF0000"/>
                <w:szCs w:val="24"/>
              </w:rPr>
            </w:pPr>
          </w:p>
          <w:p w:rsidR="00ED5A80" w:rsidRPr="00A23740" w:rsidRDefault="00ED5A80"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szCs w:val="24"/>
              </w:rPr>
            </w:pPr>
            <w:r w:rsidRPr="00A23740">
              <w:rPr>
                <w:rFonts w:eastAsia="Times New Roman"/>
                <w:b/>
                <w:color w:val="0000FF"/>
                <w:szCs w:val="24"/>
              </w:rPr>
              <w:t>(2)</w:t>
            </w:r>
            <w:r w:rsidRPr="00A23740">
              <w:rPr>
                <w:rFonts w:eastAsia="Times New Roman"/>
                <w:szCs w:val="24"/>
              </w:rPr>
              <w:t xml:space="preserve"> Aşağıdaki tasarruflar bağışlama </w:t>
            </w:r>
            <w:r w:rsidRPr="00A23740">
              <w:rPr>
                <w:rStyle w:val="MaviChar"/>
              </w:rPr>
              <w:t>sayılır:</w:t>
            </w:r>
          </w:p>
          <w:p w:rsidR="00AA5C8C" w:rsidRPr="00A23740" w:rsidRDefault="00AA5C8C" w:rsidP="009431FF">
            <w:pPr>
              <w:tabs>
                <w:tab w:val="left" w:pos="567"/>
              </w:tabs>
              <w:rPr>
                <w:rFonts w:eastAsia="Times New Roman"/>
                <w:szCs w:val="24"/>
              </w:rPr>
            </w:pPr>
          </w:p>
          <w:p w:rsidR="00AA5C8C" w:rsidRPr="00A23740" w:rsidRDefault="00AA5C8C" w:rsidP="009431FF">
            <w:pPr>
              <w:pStyle w:val="Mavi"/>
              <w:rPr>
                <w:lang w:val="tr-TR"/>
              </w:rPr>
            </w:pPr>
            <w:r w:rsidRPr="00A23740">
              <w:rPr>
                <w:rStyle w:val="MAVChar"/>
                <w:rFonts w:eastAsia="Calibri"/>
                <w:b/>
                <w:u w:val="none"/>
                <w:lang w:val="tr-TR"/>
              </w:rPr>
              <w:t>a)</w:t>
            </w:r>
            <w:r w:rsidRPr="00A23740">
              <w:rPr>
                <w:lang w:val="tr-TR"/>
              </w:rPr>
              <w:t xml:space="preserve"> </w:t>
            </w:r>
            <w:r w:rsidRPr="00A23740">
              <w:t>Yapılan tasarrufların gerçek değere uygun olarak ivazlı olduğu ispatlanmadıkça</w:t>
            </w:r>
            <w:r w:rsidRPr="00A23740">
              <w:rPr>
                <w:lang w:val="tr-TR"/>
              </w:rPr>
              <w:t xml:space="preserve"> altsoy ve üstsoy, üçüncü derece dahil kan hısımları, son bir yıl içinde evlilik birliği sona ermiş olsa bile eşi ve üçüncü derece dahil kayın hısımı, </w:t>
            </w:r>
            <w:r w:rsidRPr="00A23740">
              <w:rPr>
                <w:rFonts w:eastAsia="Times New Roman"/>
                <w:b w:val="0"/>
                <w:bCs w:val="0"/>
                <w:color w:val="auto"/>
                <w:lang w:val="tr-TR" w:eastAsia="en-US"/>
              </w:rPr>
              <w:t>evlat edinenle evlatlık</w:t>
            </w:r>
            <w:r w:rsidRPr="00A23740">
              <w:rPr>
                <w:lang w:val="tr-TR"/>
              </w:rPr>
              <w:t xml:space="preserve">, ortak konutta yaşayan kişiler arasında yapılan </w:t>
            </w:r>
            <w:r w:rsidRPr="00A23740">
              <w:rPr>
                <w:rFonts w:eastAsia="Times New Roman"/>
                <w:b w:val="0"/>
                <w:bCs w:val="0"/>
                <w:color w:val="auto"/>
                <w:lang w:val="tr-TR" w:eastAsia="en-US"/>
              </w:rPr>
              <w:t>tasarruflar</w:t>
            </w:r>
            <w:r w:rsidRPr="00A23740">
              <w:rPr>
                <w:lang w:val="tr-TR"/>
              </w:rPr>
              <w:t>.</w:t>
            </w:r>
          </w:p>
          <w:p w:rsidR="00AA5C8C" w:rsidRPr="00A23740" w:rsidRDefault="00AA5C8C" w:rsidP="009431FF">
            <w:pPr>
              <w:tabs>
                <w:tab w:val="left" w:pos="567"/>
              </w:tabs>
              <w:rPr>
                <w:rFonts w:eastAsia="Times New Roman"/>
                <w:szCs w:val="24"/>
              </w:rPr>
            </w:pPr>
          </w:p>
          <w:p w:rsidR="00ED5A80" w:rsidRPr="00A23740" w:rsidRDefault="00ED5A80" w:rsidP="009431FF">
            <w:pPr>
              <w:rPr>
                <w:rStyle w:val="MaviChar"/>
                <w:lang w:val="tr-TR"/>
              </w:rPr>
            </w:pPr>
          </w:p>
          <w:p w:rsidR="00ED5A80" w:rsidRPr="00A23740" w:rsidRDefault="00ED5A80" w:rsidP="009431FF">
            <w:pPr>
              <w:rPr>
                <w:rStyle w:val="MaviChar"/>
                <w:lang w:val="tr-TR"/>
              </w:rPr>
            </w:pPr>
          </w:p>
          <w:p w:rsidR="00ED5A80" w:rsidRPr="00A23740" w:rsidRDefault="00ED5A80" w:rsidP="009431FF">
            <w:pPr>
              <w:rPr>
                <w:rStyle w:val="MaviChar"/>
                <w:lang w:val="tr-TR"/>
              </w:rPr>
            </w:pPr>
          </w:p>
          <w:p w:rsidR="00AA5C8C" w:rsidRPr="00A23740" w:rsidRDefault="00AA5C8C" w:rsidP="009431FF">
            <w:pPr>
              <w:rPr>
                <w:rFonts w:eastAsia="Times New Roman"/>
                <w:szCs w:val="24"/>
              </w:rPr>
            </w:pPr>
            <w:r w:rsidRPr="00A23740">
              <w:rPr>
                <w:rStyle w:val="MaviChar"/>
                <w:lang w:val="tr-TR"/>
              </w:rPr>
              <w:t>b)</w:t>
            </w:r>
            <w:r w:rsidRPr="00A23740">
              <w:rPr>
                <w:szCs w:val="24"/>
              </w:rPr>
              <w:t xml:space="preserve"> </w:t>
            </w:r>
            <w:r w:rsidRPr="00A23740">
              <w:rPr>
                <w:rStyle w:val="MaviChar"/>
              </w:rPr>
              <w:t>Aksi ispatlanmadıkça,</w:t>
            </w:r>
            <w:r w:rsidRPr="00A23740">
              <w:rPr>
                <w:rStyle w:val="MAVChar"/>
                <w:rFonts w:eastAsia="Calibri"/>
                <w:u w:val="none"/>
              </w:rPr>
              <w:t xml:space="preserve"> s</w:t>
            </w:r>
            <w:r w:rsidRPr="00A23740">
              <w:rPr>
                <w:rFonts w:eastAsia="Times New Roman"/>
                <w:b/>
                <w:color w:val="0000FF"/>
                <w:szCs w:val="24"/>
              </w:rPr>
              <w:t>özleşmenin</w:t>
            </w:r>
            <w:r w:rsidRPr="00A23740">
              <w:rPr>
                <w:rFonts w:eastAsia="Times New Roman"/>
                <w:szCs w:val="24"/>
              </w:rPr>
              <w:t xml:space="preserve"> yapıldığı sırada, kendi verdiği şeyin </w:t>
            </w:r>
            <w:r w:rsidRPr="00A23740">
              <w:rPr>
                <w:rFonts w:eastAsia="Times New Roman"/>
                <w:b/>
                <w:color w:val="0000FF"/>
                <w:szCs w:val="24"/>
              </w:rPr>
              <w:t>gerçek</w:t>
            </w:r>
            <w:r w:rsidRPr="00A23740">
              <w:rPr>
                <w:rFonts w:eastAsia="Times New Roman"/>
                <w:szCs w:val="24"/>
              </w:rPr>
              <w:t xml:space="preserve"> değerine göre borçlunun ivaz olarak pek aşağı bir fiyat</w:t>
            </w:r>
            <w:r w:rsidRPr="00A23740">
              <w:rPr>
                <w:rFonts w:eastAsia="Times New Roman"/>
                <w:b/>
                <w:color w:val="0000FF"/>
                <w:szCs w:val="24"/>
              </w:rPr>
              <w:t>la</w:t>
            </w:r>
            <w:r w:rsidRPr="00A23740">
              <w:rPr>
                <w:rFonts w:eastAsia="Times New Roman"/>
                <w:szCs w:val="24"/>
              </w:rPr>
              <w:t xml:space="preserve"> kabul ettiği </w:t>
            </w:r>
            <w:r w:rsidRPr="00A23740">
              <w:rPr>
                <w:rStyle w:val="MAVChar"/>
                <w:rFonts w:eastAsia="Calibri"/>
                <w:u w:val="none"/>
              </w:rPr>
              <w:t>sözleşmeler</w:t>
            </w:r>
            <w:r w:rsidRPr="00A23740">
              <w:rPr>
                <w:rStyle w:val="MaviChar"/>
              </w:rPr>
              <w:t>.</w:t>
            </w:r>
            <w:r w:rsidRPr="00A23740">
              <w:rPr>
                <w:rFonts w:eastAsia="Times New Roman"/>
                <w:szCs w:val="24"/>
              </w:rPr>
              <w:t xml:space="preserve"> </w:t>
            </w:r>
          </w:p>
          <w:p w:rsidR="00AA5C8C" w:rsidRPr="00A23740" w:rsidRDefault="00AA5C8C" w:rsidP="009431FF">
            <w:pPr>
              <w:rPr>
                <w:szCs w:val="24"/>
              </w:rPr>
            </w:pPr>
          </w:p>
          <w:p w:rsidR="00AA5C8C" w:rsidRPr="00A23740" w:rsidRDefault="00AA5C8C" w:rsidP="009431FF">
            <w:pPr>
              <w:tabs>
                <w:tab w:val="left" w:pos="567"/>
              </w:tabs>
              <w:rPr>
                <w:rFonts w:eastAsia="Times New Roman"/>
                <w:szCs w:val="24"/>
              </w:rPr>
            </w:pPr>
            <w:r w:rsidRPr="00A23740">
              <w:rPr>
                <w:rFonts w:eastAsia="Times New Roman"/>
                <w:b/>
                <w:color w:val="0000FF"/>
                <w:szCs w:val="24"/>
              </w:rPr>
              <w:t>c)</w:t>
            </w:r>
            <w:r w:rsidRPr="00A23740">
              <w:rPr>
                <w:rFonts w:eastAsia="Times New Roman"/>
                <w:szCs w:val="24"/>
              </w:rPr>
              <w:t xml:space="preserve"> </w:t>
            </w:r>
            <w:r w:rsidR="00061979" w:rsidRPr="00814E71">
              <w:rPr>
                <w:rStyle w:val="MaviChar"/>
              </w:rPr>
              <w:t>Uygun bir karşılığın sağlandığı ispatlanmadıkça,</w:t>
            </w:r>
            <w:r w:rsidR="00061979" w:rsidRPr="00A23740">
              <w:rPr>
                <w:rFonts w:eastAsia="Times New Roman"/>
                <w:szCs w:val="24"/>
              </w:rPr>
              <w:t xml:space="preserve"> b</w:t>
            </w:r>
            <w:r w:rsidRPr="00A23740">
              <w:rPr>
                <w:rFonts w:eastAsia="Times New Roman"/>
                <w:szCs w:val="24"/>
              </w:rPr>
              <w:t xml:space="preserve">orçlunun kendisine </w:t>
            </w:r>
            <w:r w:rsidRPr="00A23740">
              <w:rPr>
                <w:rStyle w:val="MaviChar"/>
              </w:rPr>
              <w:t>veya</w:t>
            </w:r>
            <w:r w:rsidRPr="00A23740">
              <w:rPr>
                <w:rFonts w:eastAsia="Times New Roman"/>
                <w:szCs w:val="24"/>
              </w:rPr>
              <w:t xml:space="preserve"> üçüncü bir </w:t>
            </w:r>
            <w:r w:rsidRPr="00A23740">
              <w:rPr>
                <w:rFonts w:eastAsia="Times New Roman"/>
                <w:b/>
                <w:color w:val="0000FF"/>
                <w:szCs w:val="24"/>
              </w:rPr>
              <w:t>kişi yararına ömür boyu gelir sözleşmesi</w:t>
            </w:r>
            <w:r w:rsidRPr="00A23740">
              <w:rPr>
                <w:rFonts w:eastAsia="Times New Roman"/>
                <w:szCs w:val="24"/>
              </w:rPr>
              <w:t xml:space="preserve"> </w:t>
            </w:r>
            <w:r w:rsidRPr="00A23740">
              <w:rPr>
                <w:rStyle w:val="MaviChar"/>
              </w:rPr>
              <w:t>ya da</w:t>
            </w:r>
            <w:r w:rsidRPr="00A23740">
              <w:rPr>
                <w:rFonts w:eastAsia="Times New Roman"/>
                <w:szCs w:val="24"/>
              </w:rPr>
              <w:t xml:space="preserve"> intifa hakkı tesis ettiği </w:t>
            </w:r>
            <w:r w:rsidRPr="00A23740">
              <w:rPr>
                <w:rFonts w:eastAsia="Times New Roman"/>
                <w:b/>
                <w:color w:val="0000FF"/>
                <w:szCs w:val="24"/>
              </w:rPr>
              <w:t>sözleşmeler</w:t>
            </w:r>
            <w:r w:rsidRPr="00A23740">
              <w:rPr>
                <w:rFonts w:eastAsia="Times New Roman"/>
                <w:szCs w:val="24"/>
              </w:rPr>
              <w:t xml:space="preserve"> </w:t>
            </w:r>
            <w:r w:rsidRPr="00A23740">
              <w:rPr>
                <w:rStyle w:val="MaviChar"/>
              </w:rPr>
              <w:t>yahut</w:t>
            </w:r>
            <w:r w:rsidRPr="00A23740">
              <w:rPr>
                <w:rFonts w:eastAsia="Times New Roman"/>
                <w:szCs w:val="24"/>
              </w:rPr>
              <w:t xml:space="preserve"> ölünceye kadar bakma </w:t>
            </w:r>
            <w:r w:rsidRPr="00A23740">
              <w:rPr>
                <w:rFonts w:eastAsia="Times New Roman"/>
                <w:b/>
                <w:color w:val="0000FF"/>
                <w:szCs w:val="24"/>
              </w:rPr>
              <w:t>sözleşmeleri</w:t>
            </w:r>
            <w:r w:rsidRPr="00A23740">
              <w:rPr>
                <w:rFonts w:eastAsia="Times New Roman"/>
                <w:szCs w:val="24"/>
              </w:rPr>
              <w:t>.</w:t>
            </w:r>
          </w:p>
          <w:p w:rsidR="00AA5C8C" w:rsidRPr="00A23740" w:rsidRDefault="00AA5C8C" w:rsidP="009431FF">
            <w:pPr>
              <w:tabs>
                <w:tab w:val="left" w:pos="567"/>
              </w:tabs>
              <w:rPr>
                <w:rFonts w:eastAsia="Times New Roman"/>
                <w:b/>
                <w:color w:val="FF0000"/>
                <w:szCs w:val="24"/>
              </w:rPr>
            </w:pPr>
          </w:p>
        </w:tc>
      </w:tr>
      <w:tr w:rsidR="00BD7568" w:rsidRPr="00A23740" w:rsidTr="009431FF">
        <w:tc>
          <w:tcPr>
            <w:tcW w:w="5000" w:type="pct"/>
            <w:gridSpan w:val="2"/>
            <w:shd w:val="clear" w:color="auto" w:fill="DEEAF6"/>
          </w:tcPr>
          <w:p w:rsidR="00BD7568" w:rsidRPr="00A23740" w:rsidRDefault="00BD7568" w:rsidP="009431FF">
            <w:pPr>
              <w:tabs>
                <w:tab w:val="left" w:pos="567"/>
              </w:tabs>
              <w:ind w:firstLine="709"/>
              <w:rPr>
                <w:b/>
                <w:bCs/>
                <w:szCs w:val="24"/>
                <w:lang w:eastAsia="x-none"/>
              </w:rPr>
            </w:pPr>
          </w:p>
          <w:p w:rsidR="00CB25D1" w:rsidRPr="00A23740" w:rsidRDefault="003B700B" w:rsidP="009431FF">
            <w:pPr>
              <w:tabs>
                <w:tab w:val="left" w:pos="567"/>
              </w:tabs>
              <w:ind w:firstLine="709"/>
              <w:rPr>
                <w:rFonts w:eastAsia="Segoe UI Emoji"/>
              </w:rPr>
            </w:pPr>
            <w:r w:rsidRPr="00A23740">
              <w:rPr>
                <w:b/>
              </w:rPr>
              <w:t>MADDE 445</w:t>
            </w:r>
            <w:r w:rsidR="006E36FB" w:rsidRPr="00A23740">
              <w:rPr>
                <w:b/>
              </w:rPr>
              <w:t>-</w:t>
            </w:r>
            <w:r w:rsidR="006E36FB" w:rsidRPr="00A23740">
              <w:t xml:space="preserve"> Madde</w:t>
            </w:r>
            <w:r w:rsidR="0023602D" w:rsidRPr="00A23740">
              <w:t>yle, ivazsız tasarrufların iptali düzenlenmektedir</w:t>
            </w:r>
            <w:r w:rsidR="006E36FB" w:rsidRPr="00A23740">
              <w:t>. Maddede, 2004 sayıl</w:t>
            </w:r>
            <w:r w:rsidR="00290FB4" w:rsidRPr="00A23740">
              <w:t>ı Kanunun konuyu düzenleyen 278 i</w:t>
            </w:r>
            <w:r w:rsidR="006E36FB" w:rsidRPr="00A23740">
              <w:t>nci maddesin</w:t>
            </w:r>
            <w:r w:rsidR="00865294" w:rsidRPr="00A23740">
              <w:t>e</w:t>
            </w:r>
            <w:r w:rsidR="006E36FB" w:rsidRPr="00A23740">
              <w:t xml:space="preserve"> </w:t>
            </w:r>
            <w:r w:rsidR="00865294" w:rsidRPr="00A23740">
              <w:t xml:space="preserve">göre </w:t>
            </w:r>
            <w:r w:rsidR="006E36FB" w:rsidRPr="00A23740">
              <w:t xml:space="preserve">önemli bazı farklılıklar bulunmaktadır. Bilim Komisyonu tarafından ivazsız tasarrufların iptali bakımından öngörülmüş olan iki yıllık “şüpheli işlemler” süresinin hangi tarihten itibaren geriye doğru işletileceği konusu ayrıntılı olarak tartışılmıştır. Bu tartışmada Yargıtayın görüşü, doktrinde savunulan görüşler ve </w:t>
            </w:r>
            <w:r w:rsidR="006E36FB" w:rsidRPr="00814E71">
              <w:t>İsviçre</w:t>
            </w:r>
            <w:r w:rsidR="00061979" w:rsidRPr="00814E71">
              <w:t>’nin Borç İçin Takip ve İflas Hakkında</w:t>
            </w:r>
            <w:r w:rsidR="006E36FB" w:rsidRPr="00A23740">
              <w:t xml:space="preserve"> Federal Kanununun 2004 sayılı Kanunla olan farklılıkları ayrı ayrı incelenmiştir. Sonuç olarak, söz konusu sürenin geçici veya kesin aciz belgesi ya da kesin aciz belgesi niteliğinde olan haciz tutanağının düzenlendiği tarihten geriye doğru işletilmesinin uygun olacağı yaklaşımı kabul görmüştür. Ayrıca iki yıl olan süre, İsviçre</w:t>
            </w:r>
            <w:r w:rsidR="00061979" w:rsidRPr="00A23740">
              <w:t xml:space="preserve">’nin </w:t>
            </w:r>
            <w:r w:rsidR="00061979" w:rsidRPr="00814E71">
              <w:t>Borç İçin Takip ve İflas Hakkında</w:t>
            </w:r>
            <w:r w:rsidR="00061979" w:rsidRPr="00A23740">
              <w:t xml:space="preserve"> </w:t>
            </w:r>
            <w:r w:rsidR="006E36FB" w:rsidRPr="00A23740">
              <w:t>Federal Kanununda olduğu üzere bir yıl olarak değiştirilmiştir</w:t>
            </w:r>
            <w:r w:rsidR="00290FB4" w:rsidRPr="00A23740">
              <w:t>.</w:t>
            </w:r>
            <w:r w:rsidR="006E36FB" w:rsidRPr="00A23740">
              <w:rPr>
                <w:rFonts w:ascii="Segoe UI Emoji" w:eastAsia="Segoe UI Emoji" w:hAnsi="Segoe UI Emoji" w:cs="Segoe UI Emoji"/>
              </w:rPr>
              <w:t xml:space="preserve"> </w:t>
            </w:r>
            <w:r w:rsidR="006E36FB" w:rsidRPr="00A23740">
              <w:rPr>
                <w:rFonts w:eastAsia="Segoe UI Emoji"/>
              </w:rPr>
              <w:t>Fıkrada iflasın açıldığı tarihin esas alınması hususu da korunmuş</w:t>
            </w:r>
            <w:r w:rsidR="00865294" w:rsidRPr="00A23740">
              <w:rPr>
                <w:rFonts w:eastAsia="Segoe UI Emoji"/>
              </w:rPr>
              <w:t>,</w:t>
            </w:r>
            <w:r w:rsidR="006E36FB" w:rsidRPr="00A23740">
              <w:rPr>
                <w:rFonts w:eastAsia="Segoe UI Emoji"/>
              </w:rPr>
              <w:t xml:space="preserve"> ancak süre cüzi icrada olduğu gibi bir yıla indirilmiştir. </w:t>
            </w:r>
          </w:p>
          <w:p w:rsidR="00CB25D1" w:rsidRPr="00A23740" w:rsidRDefault="006E36FB" w:rsidP="009431FF">
            <w:pPr>
              <w:tabs>
                <w:tab w:val="left" w:pos="567"/>
              </w:tabs>
              <w:ind w:firstLine="709"/>
              <w:rPr>
                <w:rFonts w:eastAsia="Segoe UI Emoji"/>
              </w:rPr>
            </w:pPr>
            <w:r w:rsidRPr="00A23740">
              <w:rPr>
                <w:rFonts w:eastAsia="Segoe UI Emoji"/>
              </w:rPr>
              <w:t>Maddenin ikinci fıkrasında hangi tasarrufların bağışlama sayılacağı düzenlenmiştir. 2004 sayıl</w:t>
            </w:r>
            <w:r w:rsidR="00290FB4" w:rsidRPr="00A23740">
              <w:rPr>
                <w:rFonts w:eastAsia="Segoe UI Emoji"/>
              </w:rPr>
              <w:t>ı Kanunun konuyu düzenleyen 278 i</w:t>
            </w:r>
            <w:r w:rsidRPr="00A23740">
              <w:rPr>
                <w:rFonts w:eastAsia="Segoe UI Emoji"/>
              </w:rPr>
              <w:t>nci maddesinin üçüncü fıkrası, 2018, 2021 ve 2022 yıllarında, Anayasa Mahkemesinin üç ayrı iptal kararına konu olmuştur (11/7/2018, E.: 2018/9, K.: 2018/84; 16/12/2021, E.: 2021/52, K. 2021/97; 26/1/2022, E.: 2021/9, K.: 2022/4). Bu kararlar ve gerekçeleri Bilim Komisyonunda ayrıntılı şekilde değerlendirilmiş ve tartışılmıştır. Anayasa Mahkemesinin iptal kararlarının temelini</w:t>
            </w:r>
            <w:r w:rsidR="00290FB4" w:rsidRPr="00A23740">
              <w:rPr>
                <w:rFonts w:eastAsia="Segoe UI Emoji"/>
              </w:rPr>
              <w:t xml:space="preserve">, </w:t>
            </w:r>
            <w:r w:rsidR="00865294" w:rsidRPr="00A23740">
              <w:rPr>
                <w:rFonts w:eastAsia="Segoe UI Emoji"/>
              </w:rPr>
              <w:t xml:space="preserve">2004 sayılı Kanunun </w:t>
            </w:r>
            <w:r w:rsidR="00290FB4" w:rsidRPr="00A23740">
              <w:rPr>
                <w:rFonts w:eastAsia="Segoe UI Emoji"/>
              </w:rPr>
              <w:t>278 i</w:t>
            </w:r>
            <w:r w:rsidRPr="00A23740">
              <w:rPr>
                <w:rFonts w:eastAsia="Segoe UI Emoji"/>
              </w:rPr>
              <w:t>nci maddenin üçüncü fıkrasının birinci bendinin düzenleniş şeklinin oluşturduğu anlaşılmaktadır. Bu hükmün sonucu bir faraziye olarak kurgulanmış ve maddede yazılı şartların (yakın akrabalar arasında tasarruf işlemi yapılması) gerçekleştiğinin tespiti h</w:t>
            </w:r>
            <w:r w:rsidR="00C2196C" w:rsidRPr="00A23740">
              <w:rPr>
                <w:rFonts w:eastAsia="Segoe UI Emoji"/>
              </w:rPr>
              <w:t>â</w:t>
            </w:r>
            <w:r w:rsidRPr="00A23740">
              <w:rPr>
                <w:rFonts w:eastAsia="Segoe UI Emoji"/>
              </w:rPr>
              <w:t xml:space="preserve">linde, ilgililere hiçbir ispat imkânı verilmeden, tasarrufun iptal edilmesi öngörülmüştür. Yani borçlu, hükümde yazılı olan yakın akrabalarından birisi lehine bir tasarruf yaptığında, mahkemenin, başkaca hiçbir ispat veya inceleme faaliyeti gerçekleştirilmeksizin iptal kararı vermesi gerekmektedir. Bu husus da ilgililerin mülkiyet hakkı ile hak arama hürriyetlerini ihlal etmektedir. Anayasa Mahkemesinin bu haklı gerekçeleri de dikkate alınarak fıkra yeniden kurgulanmış ve ilgililere aksini ispat imkânı sağlanmış; yani </w:t>
            </w:r>
            <w:r w:rsidR="00865294" w:rsidRPr="00A23740">
              <w:rPr>
                <w:rFonts w:eastAsia="Segoe UI Emoji"/>
              </w:rPr>
              <w:t xml:space="preserve">bu </w:t>
            </w:r>
            <w:r w:rsidRPr="00A23740">
              <w:rPr>
                <w:rFonts w:eastAsia="Segoe UI Emoji"/>
              </w:rPr>
              <w:t>husus bir faraziye olmaktan çıkarılıp aksi ispatlanabilir bir karine h</w:t>
            </w:r>
            <w:r w:rsidR="00C2196C" w:rsidRPr="00A23740">
              <w:rPr>
                <w:rFonts w:eastAsia="Segoe UI Emoji"/>
              </w:rPr>
              <w:t>â</w:t>
            </w:r>
            <w:r w:rsidRPr="00A23740">
              <w:rPr>
                <w:rFonts w:eastAsia="Segoe UI Emoji"/>
              </w:rPr>
              <w:t xml:space="preserve">line getirilmiştir. Buna göre, altsoy ve üstsoy, üçüncü derece dahil kan hısımları, son bir yıl içinde evlilik birliği sona ermiş olsa bile eşi ve üçüncü derece dahil kayın hısmı, evlat edinenle evlatlık, ortak konutta yaşayan kişiler arasında yapılan tasarruflar bağışlama sayılacaktır, meğer ki bunların gerçek değere uygun olarak ivazlı olduğu ispatlansın. </w:t>
            </w:r>
          </w:p>
          <w:p w:rsidR="004C639C" w:rsidRPr="00A23740" w:rsidRDefault="006E36FB" w:rsidP="009431FF">
            <w:pPr>
              <w:tabs>
                <w:tab w:val="left" w:pos="567"/>
              </w:tabs>
              <w:ind w:firstLine="709"/>
              <w:rPr>
                <w:rStyle w:val="KIRMIZIChar"/>
                <w:rFonts w:eastAsia="Segoe UI Emoji"/>
              </w:rPr>
            </w:pPr>
            <w:r w:rsidRPr="00A23740">
              <w:rPr>
                <w:rFonts w:eastAsia="Segoe UI Emoji"/>
              </w:rPr>
              <w:t>Görüldüğü üzere</w:t>
            </w:r>
            <w:r w:rsidR="00865294" w:rsidRPr="00A23740">
              <w:rPr>
                <w:rFonts w:eastAsia="Segoe UI Emoji"/>
              </w:rPr>
              <w:t>,</w:t>
            </w:r>
            <w:r w:rsidRPr="00A23740">
              <w:rPr>
                <w:rFonts w:eastAsia="Segoe UI Emoji"/>
              </w:rPr>
              <w:t xml:space="preserve"> burada yakın akrabalara ek olarak, ortak konutta yaşayan kişiler de kapsama dahil edilmiştir. Ayrıca, evlilik birliği son bir yıl içinde sona ermişse, birlik devam ediyor gibi kabul edilecektir. Burada ispat yükü elbette davalıda, yani iptali istenen tasarrufun taraflarında olacaktır. Benzer şekilde, fıkranın (b) bendine de “aksi ispatlanmadıkça” ibaresi eklenmiştir. </w:t>
            </w:r>
            <w:r w:rsidR="00130141" w:rsidRPr="00814E71">
              <w:t>Fıkranın (c) bendi bakımından ise, bu bentteki h</w:t>
            </w:r>
            <w:r w:rsidR="00C2196C" w:rsidRPr="00814E71">
              <w:t>â</w:t>
            </w:r>
            <w:r w:rsidR="00130141" w:rsidRPr="00814E71">
              <w:t>lin mutlak bir iptal nedeni olarak anlaşılmasının önüne geçmek için, hükme “Uygun bir karşılığın sağlandığı ispatlanmadıkça,” ibaresinin konulması uygun görülmüştür (ayrıca bkz.</w:t>
            </w:r>
            <w:r w:rsidR="00130141" w:rsidRPr="00A23740">
              <w:rPr>
                <w:rStyle w:val="YELChar"/>
              </w:rPr>
              <w:t xml:space="preserve"> </w:t>
            </w:r>
            <w:r w:rsidR="00F9459A" w:rsidRPr="00814E71">
              <w:t>6098 sayılı Kanun</w:t>
            </w:r>
            <w:r w:rsidR="00130141" w:rsidRPr="00814E71">
              <w:t xml:space="preserve"> madde 614).</w:t>
            </w:r>
          </w:p>
          <w:p w:rsidR="00290FB4" w:rsidRPr="00A23740" w:rsidRDefault="00290FB4"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pStyle w:val="KIRMIZI"/>
            </w:pPr>
            <w:r w:rsidRPr="00A23740">
              <w:t>Acizden dolayı butlan:</w:t>
            </w:r>
          </w:p>
          <w:p w:rsidR="00AA5C8C" w:rsidRPr="00A23740" w:rsidRDefault="00AA5C8C" w:rsidP="009431FF">
            <w:pPr>
              <w:tabs>
                <w:tab w:val="left" w:pos="567"/>
              </w:tabs>
              <w:rPr>
                <w:rFonts w:eastAsia="Times New Roman"/>
                <w:szCs w:val="24"/>
              </w:rPr>
            </w:pPr>
            <w:r w:rsidRPr="00A23740">
              <w:rPr>
                <w:rFonts w:eastAsia="Times New Roman"/>
                <w:b/>
                <w:szCs w:val="24"/>
              </w:rPr>
              <w:t xml:space="preserve">Madde </w:t>
            </w:r>
            <w:r w:rsidRPr="00A23740">
              <w:rPr>
                <w:rStyle w:val="KIRMIZIChar"/>
                <w:rFonts w:eastAsia="Calibri"/>
              </w:rPr>
              <w:t>279</w:t>
            </w:r>
            <w:r w:rsidRPr="00A23740">
              <w:rPr>
                <w:rFonts w:eastAsia="Times New Roman"/>
                <w:b/>
                <w:szCs w:val="24"/>
              </w:rPr>
              <w:t xml:space="preserve"> –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szCs w:val="24"/>
              </w:rPr>
              <w:t xml:space="preserve">Aşağıdaki tasarruflar </w:t>
            </w:r>
            <w:r w:rsidRPr="00A23740">
              <w:rPr>
                <w:rFonts w:eastAsia="Times New Roman"/>
                <w:b/>
                <w:strike/>
                <w:color w:val="FF0000"/>
                <w:szCs w:val="24"/>
              </w:rPr>
              <w:t>borcunu ödemiyen</w:t>
            </w:r>
            <w:r w:rsidRPr="00A23740">
              <w:rPr>
                <w:rFonts w:eastAsia="Times New Roman"/>
                <w:szCs w:val="24"/>
              </w:rPr>
              <w:t xml:space="preserve"> bir borçlu tarafından </w:t>
            </w:r>
            <w:r w:rsidRPr="00A23740">
              <w:rPr>
                <w:rFonts w:eastAsia="Times New Roman"/>
                <w:b/>
                <w:strike/>
                <w:color w:val="FF0000"/>
                <w:szCs w:val="24"/>
              </w:rPr>
              <w:t>hacizden</w:t>
            </w:r>
            <w:r w:rsidRPr="00A23740">
              <w:rPr>
                <w:rFonts w:eastAsia="Times New Roman"/>
                <w:szCs w:val="24"/>
              </w:rPr>
              <w:t xml:space="preserve"> veya mal bulunmaması sebebiyle </w:t>
            </w:r>
            <w:r w:rsidRPr="00A23740">
              <w:rPr>
                <w:rFonts w:eastAsia="Times New Roman"/>
                <w:b/>
                <w:strike/>
                <w:color w:val="FF0000"/>
                <w:szCs w:val="24"/>
              </w:rPr>
              <w:t>h</w:t>
            </w:r>
            <w:r w:rsidRPr="00A23740">
              <w:rPr>
                <w:rFonts w:eastAsia="Times New Roman"/>
                <w:szCs w:val="24"/>
              </w:rPr>
              <w:t xml:space="preserve">acizden yahut iflasın açılmasından evvelki bir </w:t>
            </w:r>
            <w:r w:rsidRPr="00A23740">
              <w:rPr>
                <w:rFonts w:eastAsia="Times New Roman"/>
                <w:b/>
                <w:strike/>
                <w:color w:val="FF0000"/>
                <w:szCs w:val="24"/>
              </w:rPr>
              <w:t>sene</w:t>
            </w:r>
            <w:r w:rsidRPr="00A23740">
              <w:rPr>
                <w:rFonts w:eastAsia="Times New Roman"/>
                <w:szCs w:val="24"/>
              </w:rPr>
              <w:t xml:space="preserve"> içinde yapılmışsa </w:t>
            </w:r>
            <w:r w:rsidRPr="00A23740">
              <w:rPr>
                <w:rFonts w:eastAsia="Times New Roman"/>
                <w:b/>
                <w:strike/>
                <w:color w:val="FF0000"/>
                <w:szCs w:val="24"/>
              </w:rPr>
              <w:t>yine batıldır: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1</w:t>
            </w:r>
            <w:r w:rsidRPr="00A23740">
              <w:rPr>
                <w:rFonts w:eastAsia="Times New Roman"/>
                <w:szCs w:val="24"/>
              </w:rPr>
              <w:t xml:space="preserve"> </w:t>
            </w:r>
            <w:r w:rsidRPr="00A23740">
              <w:rPr>
                <w:rFonts w:eastAsia="Times New Roman"/>
                <w:b/>
                <w:strike/>
                <w:color w:val="FF0000"/>
                <w:szCs w:val="24"/>
              </w:rPr>
              <w:t>–</w:t>
            </w:r>
            <w:r w:rsidRPr="00A23740">
              <w:rPr>
                <w:rFonts w:eastAsia="Times New Roman"/>
                <w:szCs w:val="24"/>
              </w:rPr>
              <w:t xml:space="preserve"> Borçlunun teminat gösterme</w:t>
            </w:r>
            <w:r w:rsidRPr="00A23740">
              <w:rPr>
                <w:rFonts w:eastAsia="Times New Roman"/>
                <w:b/>
                <w:strike/>
                <w:color w:val="FF0000"/>
                <w:szCs w:val="24"/>
              </w:rPr>
              <w:t>ğ</w:t>
            </w:r>
            <w:r w:rsidRPr="00A23740">
              <w:rPr>
                <w:rFonts w:eastAsia="Times New Roman"/>
                <w:szCs w:val="24"/>
              </w:rPr>
              <w:t xml:space="preserve">i </w:t>
            </w:r>
            <w:r w:rsidRPr="00A23740">
              <w:rPr>
                <w:rStyle w:val="KIRMIZIChar"/>
                <w:rFonts w:eastAsia="Calibri"/>
              </w:rPr>
              <w:t>evvelce</w:t>
            </w:r>
            <w:r w:rsidRPr="00A23740">
              <w:rPr>
                <w:rFonts w:eastAsia="Times New Roman"/>
                <w:szCs w:val="24"/>
              </w:rPr>
              <w:t xml:space="preserve"> taahhüt etmiş olduğu haller </w:t>
            </w:r>
            <w:r w:rsidRPr="00A23740">
              <w:rPr>
                <w:rFonts w:eastAsia="Times New Roman"/>
                <w:b/>
                <w:strike/>
                <w:color w:val="FF0000"/>
                <w:szCs w:val="24"/>
              </w:rPr>
              <w:t>müstesna</w:t>
            </w:r>
            <w:r w:rsidRPr="00A23740">
              <w:rPr>
                <w:rFonts w:eastAsia="Times New Roman"/>
                <w:szCs w:val="24"/>
              </w:rPr>
              <w:t xml:space="preserve"> </w:t>
            </w:r>
            <w:r w:rsidRPr="00A23740">
              <w:rPr>
                <w:rFonts w:eastAsia="Times New Roman"/>
                <w:b/>
                <w:strike/>
                <w:color w:val="FF0000"/>
                <w:szCs w:val="24"/>
              </w:rPr>
              <w:t>olmak üzere</w:t>
            </w:r>
            <w:r w:rsidRPr="00A23740">
              <w:rPr>
                <w:rFonts w:eastAsia="Times New Roman"/>
                <w:szCs w:val="24"/>
              </w:rPr>
              <w:t xml:space="preserve"> borçlu tarafından mevcut bir borcu temin için yapılan rehinler</w:t>
            </w:r>
            <w:r w:rsidRPr="00A23740">
              <w:rPr>
                <w:rFonts w:eastAsia="Times New Roman"/>
                <w:b/>
                <w:strike/>
                <w:color w:val="FF0000"/>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2</w:t>
            </w:r>
            <w:r w:rsidRPr="00A23740">
              <w:rPr>
                <w:rFonts w:eastAsia="Times New Roman"/>
                <w:szCs w:val="24"/>
              </w:rPr>
              <w:t xml:space="preserve"> </w:t>
            </w:r>
            <w:r w:rsidRPr="00A23740">
              <w:rPr>
                <w:rFonts w:eastAsia="Times New Roman"/>
                <w:b/>
                <w:strike/>
                <w:color w:val="FF0000"/>
                <w:szCs w:val="24"/>
              </w:rPr>
              <w:t>–</w:t>
            </w:r>
            <w:r w:rsidRPr="00A23740">
              <w:rPr>
                <w:rFonts w:eastAsia="Times New Roman"/>
                <w:szCs w:val="24"/>
              </w:rPr>
              <w:t xml:space="preserve"> Para veya </w:t>
            </w:r>
            <w:r w:rsidRPr="00A23740">
              <w:rPr>
                <w:rFonts w:eastAsia="Times New Roman"/>
                <w:b/>
                <w:strike/>
                <w:color w:val="FF0000"/>
                <w:szCs w:val="24"/>
              </w:rPr>
              <w:t>mutat</w:t>
            </w:r>
            <w:r w:rsidRPr="00A23740">
              <w:rPr>
                <w:rFonts w:eastAsia="Times New Roman"/>
                <w:szCs w:val="24"/>
              </w:rPr>
              <w:t xml:space="preserve"> ödeme </w:t>
            </w:r>
            <w:r w:rsidRPr="00A23740">
              <w:rPr>
                <w:rFonts w:eastAsia="Times New Roman"/>
                <w:b/>
                <w:strike/>
                <w:color w:val="FF0000"/>
                <w:szCs w:val="24"/>
              </w:rPr>
              <w:t>vasıtalarından gayrı</w:t>
            </w:r>
            <w:r w:rsidRPr="00A23740">
              <w:rPr>
                <w:rFonts w:eastAsia="Times New Roman"/>
                <w:szCs w:val="24"/>
              </w:rPr>
              <w:t xml:space="preserve"> bir suretle yapılan ödemeler</w:t>
            </w:r>
            <w:r w:rsidRPr="00A23740">
              <w:rPr>
                <w:rFonts w:eastAsia="Times New Roman"/>
                <w:b/>
                <w:strike/>
                <w:color w:val="FF0000"/>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3</w:t>
            </w:r>
            <w:r w:rsidRPr="00A23740">
              <w:rPr>
                <w:rFonts w:eastAsia="Times New Roman"/>
                <w:szCs w:val="24"/>
              </w:rPr>
              <w:t xml:space="preserve"> </w:t>
            </w:r>
            <w:r w:rsidRPr="00A23740">
              <w:rPr>
                <w:rFonts w:eastAsia="Times New Roman"/>
                <w:b/>
                <w:strike/>
                <w:color w:val="FF0000"/>
                <w:szCs w:val="24"/>
              </w:rPr>
              <w:t>–</w:t>
            </w:r>
            <w:r w:rsidRPr="00A23740">
              <w:rPr>
                <w:rFonts w:eastAsia="Times New Roman"/>
                <w:szCs w:val="24"/>
              </w:rPr>
              <w:t xml:space="preserve"> Vadesi gelmemiş borç için yapılan ödemeler.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4</w:t>
            </w:r>
            <w:r w:rsidRPr="00A23740">
              <w:rPr>
                <w:rFonts w:eastAsia="Times New Roman"/>
                <w:b/>
                <w:strike/>
                <w:color w:val="FF0000"/>
                <w:szCs w:val="24"/>
              </w:rPr>
              <w:t>.</w:t>
            </w:r>
            <w:r w:rsidRPr="00A23740">
              <w:rPr>
                <w:rFonts w:eastAsia="Times New Roman"/>
                <w:szCs w:val="24"/>
              </w:rPr>
              <w:t xml:space="preserve"> </w:t>
            </w:r>
            <w:r w:rsidRPr="00A23740">
              <w:rPr>
                <w:rFonts w:eastAsia="Times New Roman"/>
                <w:b/>
                <w:strike/>
                <w:color w:val="FF0000"/>
                <w:szCs w:val="24"/>
              </w:rPr>
              <w:t>(Ek : 9/11/1988 - 3494/54 md.)</w:t>
            </w:r>
            <w:r w:rsidRPr="00A23740">
              <w:rPr>
                <w:rFonts w:eastAsia="Times New Roman"/>
                <w:szCs w:val="24"/>
              </w:rPr>
              <w:t xml:space="preserve"> Kişisel hakların kuvvetlendirilmesi için tapuya verilen şerhler.</w:t>
            </w:r>
          </w:p>
          <w:p w:rsidR="003B700B" w:rsidRPr="00A23740" w:rsidRDefault="003B700B"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szCs w:val="24"/>
              </w:rPr>
              <w:t xml:space="preserve">Bu tasarruflardan </w:t>
            </w:r>
            <w:r w:rsidRPr="00A23740">
              <w:rPr>
                <w:rFonts w:eastAsia="Times New Roman"/>
                <w:b/>
                <w:strike/>
                <w:color w:val="FF0000"/>
                <w:szCs w:val="24"/>
              </w:rPr>
              <w:t>istifade eden</w:t>
            </w:r>
            <w:r w:rsidRPr="00A23740">
              <w:rPr>
                <w:rFonts w:eastAsia="Times New Roman"/>
                <w:szCs w:val="24"/>
              </w:rPr>
              <w:t xml:space="preserve"> kimse borçlunun </w:t>
            </w:r>
            <w:r w:rsidRPr="00A23740">
              <w:rPr>
                <w:rStyle w:val="KIRMIZIChar"/>
                <w:rFonts w:eastAsia="Calibri"/>
              </w:rPr>
              <w:t>hal ve vaziyetini</w:t>
            </w:r>
            <w:r w:rsidRPr="00A23740">
              <w:rPr>
                <w:rFonts w:eastAsia="Times New Roman"/>
                <w:szCs w:val="24"/>
              </w:rPr>
              <w:t xml:space="preserve"> bilmediğini ispat </w:t>
            </w:r>
            <w:r w:rsidRPr="00A23740">
              <w:rPr>
                <w:rFonts w:eastAsia="Times New Roman"/>
                <w:b/>
                <w:strike/>
                <w:color w:val="FF0000"/>
                <w:szCs w:val="24"/>
              </w:rPr>
              <w:t>eylerse</w:t>
            </w:r>
            <w:r w:rsidRPr="00A23740">
              <w:rPr>
                <w:rFonts w:eastAsia="Times New Roman"/>
                <w:szCs w:val="24"/>
              </w:rPr>
              <w:t xml:space="preserve"> iptal davası </w:t>
            </w:r>
            <w:r w:rsidRPr="00A23740">
              <w:rPr>
                <w:rStyle w:val="KIRMIZIChar"/>
                <w:rFonts w:eastAsia="Calibri"/>
              </w:rPr>
              <w:t>dinlenmez.</w:t>
            </w:r>
          </w:p>
        </w:tc>
        <w:tc>
          <w:tcPr>
            <w:tcW w:w="2500" w:type="pct"/>
          </w:tcPr>
          <w:p w:rsidR="00AA5C8C" w:rsidRPr="00A23740" w:rsidRDefault="00AA5C8C" w:rsidP="009431FF">
            <w:pPr>
              <w:tabs>
                <w:tab w:val="left" w:pos="567"/>
              </w:tabs>
              <w:rPr>
                <w:rFonts w:eastAsia="Times New Roman"/>
                <w:b/>
                <w:color w:val="0000FF"/>
                <w:szCs w:val="24"/>
              </w:rPr>
            </w:pPr>
            <w:r w:rsidRPr="00A23740">
              <w:rPr>
                <w:rStyle w:val="MAVChar"/>
                <w:rFonts w:eastAsia="Calibri"/>
                <w:u w:val="none"/>
              </w:rPr>
              <w:t>Borçların malvarlığından fazla olması nedeniyle</w:t>
            </w:r>
            <w:r w:rsidRPr="00A23740">
              <w:rPr>
                <w:rFonts w:eastAsia="Times New Roman"/>
                <w:szCs w:val="24"/>
              </w:rPr>
              <w:t xml:space="preserve"> </w:t>
            </w:r>
            <w:r w:rsidRPr="00A23740">
              <w:rPr>
                <w:rFonts w:eastAsia="Times New Roman"/>
                <w:b/>
                <w:color w:val="0000FF"/>
                <w:szCs w:val="24"/>
              </w:rPr>
              <w:t>iptal</w:t>
            </w:r>
          </w:p>
          <w:p w:rsidR="00AA5C8C" w:rsidRPr="00A23740" w:rsidRDefault="003B700B" w:rsidP="009431FF">
            <w:pPr>
              <w:tabs>
                <w:tab w:val="left" w:pos="567"/>
              </w:tabs>
              <w:rPr>
                <w:rFonts w:eastAsia="Times New Roman"/>
                <w:b/>
                <w:color w:val="0000FF"/>
                <w:szCs w:val="24"/>
              </w:rPr>
            </w:pPr>
            <w:r w:rsidRPr="00A23740">
              <w:rPr>
                <w:rStyle w:val="MaviChar"/>
                <w:lang w:val="tr-TR"/>
              </w:rPr>
              <w:t>MADDE 446</w:t>
            </w:r>
            <w:r w:rsidR="00AA5C8C" w:rsidRPr="00A23740">
              <w:rPr>
                <w:rStyle w:val="MaviChar"/>
                <w:lang w:val="tr-TR"/>
              </w:rPr>
              <w:t>- (</w:t>
            </w:r>
            <w:r w:rsidR="00AA5C8C" w:rsidRPr="00A23740">
              <w:rPr>
                <w:rFonts w:eastAsia="Times New Roman"/>
                <w:b/>
                <w:color w:val="0000FF"/>
                <w:szCs w:val="24"/>
              </w:rPr>
              <w:t>1)</w:t>
            </w:r>
            <w:r w:rsidR="00AA5C8C" w:rsidRPr="00A23740">
              <w:rPr>
                <w:rFonts w:eastAsia="Times New Roman"/>
                <w:b/>
                <w:szCs w:val="24"/>
              </w:rPr>
              <w:t xml:space="preserve"> </w:t>
            </w:r>
            <w:r w:rsidR="00AA5C8C" w:rsidRPr="00A23740">
              <w:rPr>
                <w:rFonts w:eastAsia="Times New Roman"/>
                <w:szCs w:val="24"/>
              </w:rPr>
              <w:t>Aşağıdaki tasarruflar</w:t>
            </w:r>
            <w:r w:rsidR="00AA5C8C" w:rsidRPr="00A23740">
              <w:rPr>
                <w:rFonts w:eastAsia="Times New Roman"/>
                <w:b/>
                <w:color w:val="0000FF"/>
                <w:szCs w:val="24"/>
              </w:rPr>
              <w:t>, tasarrufun yapıldığı tarihte malvarlığı borçlarına yetmeyen</w:t>
            </w:r>
            <w:r w:rsidR="00AA5C8C" w:rsidRPr="00A23740">
              <w:rPr>
                <w:rFonts w:eastAsia="Times New Roman"/>
                <w:szCs w:val="24"/>
              </w:rPr>
              <w:t xml:space="preserve"> bir borçlu tarafından </w:t>
            </w:r>
            <w:r w:rsidR="00AA5C8C" w:rsidRPr="00A23740">
              <w:rPr>
                <w:rStyle w:val="MaviChar"/>
              </w:rPr>
              <w:t>geçici veya kesin aciz belgesi ya da kesin aciz belgesi niteliğinde</w:t>
            </w:r>
            <w:r w:rsidR="00AA5C8C" w:rsidRPr="00A23740">
              <w:rPr>
                <w:rStyle w:val="MaviChar"/>
                <w:lang w:val="tr-TR"/>
              </w:rPr>
              <w:t xml:space="preserve"> </w:t>
            </w:r>
            <w:r w:rsidR="00AA5C8C" w:rsidRPr="00A23740">
              <w:rPr>
                <w:rStyle w:val="MaviChar"/>
              </w:rPr>
              <w:t xml:space="preserve">olan haciz tutanağının düzenlendiği yahut iflasın açıldığı tarihten önceki bir yıl </w:t>
            </w:r>
            <w:r w:rsidR="00AA5C8C" w:rsidRPr="00A23740">
              <w:rPr>
                <w:rFonts w:eastAsia="Times New Roman"/>
                <w:szCs w:val="24"/>
              </w:rPr>
              <w:t xml:space="preserve">içinde yapılmışsa </w:t>
            </w:r>
            <w:r w:rsidR="00AA5C8C" w:rsidRPr="00A23740">
              <w:rPr>
                <w:rFonts w:eastAsia="Times New Roman"/>
                <w:b/>
                <w:color w:val="0000FF"/>
                <w:szCs w:val="24"/>
              </w:rPr>
              <w:t>iptale tabidir:</w:t>
            </w:r>
          </w:p>
          <w:p w:rsidR="00AA5C8C" w:rsidRPr="00A23740" w:rsidRDefault="00AA5C8C" w:rsidP="009431FF">
            <w:pPr>
              <w:tabs>
                <w:tab w:val="left" w:pos="567"/>
              </w:tabs>
              <w:rPr>
                <w:rFonts w:eastAsia="ヒラギノ明朝 Pro W3"/>
                <w:b/>
                <w:color w:val="339933"/>
                <w:szCs w:val="24"/>
              </w:rPr>
            </w:pPr>
          </w:p>
          <w:p w:rsidR="00AA5C8C" w:rsidRPr="00A23740" w:rsidRDefault="00AA5C8C" w:rsidP="009431FF">
            <w:pPr>
              <w:tabs>
                <w:tab w:val="left" w:pos="567"/>
              </w:tabs>
              <w:rPr>
                <w:rFonts w:eastAsia="Times New Roman"/>
                <w:b/>
                <w:color w:val="0000FF"/>
                <w:szCs w:val="24"/>
              </w:rPr>
            </w:pPr>
            <w:r w:rsidRPr="00A23740">
              <w:rPr>
                <w:rStyle w:val="MAVChar"/>
                <w:rFonts w:eastAsia="Calibri"/>
                <w:u w:val="none"/>
              </w:rPr>
              <w:t>a</w:t>
            </w:r>
            <w:r w:rsidRPr="00A23740">
              <w:rPr>
                <w:rFonts w:eastAsia="Times New Roman"/>
                <w:b/>
                <w:color w:val="0000FF"/>
                <w:szCs w:val="24"/>
              </w:rPr>
              <w:t>)</w:t>
            </w:r>
            <w:r w:rsidRPr="00A23740">
              <w:rPr>
                <w:rFonts w:eastAsia="Times New Roman"/>
                <w:szCs w:val="24"/>
              </w:rPr>
              <w:t xml:space="preserve"> Borçlunun teminat gösterme</w:t>
            </w:r>
            <w:r w:rsidRPr="00A23740">
              <w:rPr>
                <w:rFonts w:eastAsia="Times New Roman"/>
                <w:b/>
                <w:color w:val="0000FF"/>
                <w:szCs w:val="24"/>
              </w:rPr>
              <w:t>y</w:t>
            </w:r>
            <w:r w:rsidRPr="00A23740">
              <w:rPr>
                <w:rFonts w:eastAsia="Times New Roman"/>
                <w:szCs w:val="24"/>
              </w:rPr>
              <w:t xml:space="preserve">i </w:t>
            </w:r>
            <w:r w:rsidRPr="00A23740">
              <w:rPr>
                <w:rStyle w:val="MaviChar"/>
              </w:rPr>
              <w:t>daha önce</w:t>
            </w:r>
            <w:r w:rsidRPr="00A23740">
              <w:rPr>
                <w:rFonts w:eastAsia="Times New Roman"/>
                <w:szCs w:val="24"/>
              </w:rPr>
              <w:t xml:space="preserve"> </w:t>
            </w:r>
            <w:r w:rsidR="0096478A" w:rsidRPr="00A23740">
              <w:rPr>
                <w:rFonts w:eastAsia="Times New Roman"/>
                <w:szCs w:val="24"/>
              </w:rPr>
              <w:t>taahhüt etmiş olduğu hâ</w:t>
            </w:r>
            <w:r w:rsidRPr="00A23740">
              <w:rPr>
                <w:rFonts w:eastAsia="Times New Roman"/>
                <w:szCs w:val="24"/>
              </w:rPr>
              <w:t xml:space="preserve">ller </w:t>
            </w:r>
            <w:r w:rsidRPr="00A23740">
              <w:rPr>
                <w:rFonts w:eastAsia="Times New Roman"/>
                <w:b/>
                <w:color w:val="0000FF"/>
                <w:szCs w:val="24"/>
              </w:rPr>
              <w:t>dışında,</w:t>
            </w:r>
            <w:r w:rsidRPr="00A23740">
              <w:rPr>
                <w:rFonts w:eastAsia="Times New Roman"/>
                <w:szCs w:val="24"/>
              </w:rPr>
              <w:t xml:space="preserve"> borçlu tarafından mevcut bir borcu temin için </w:t>
            </w:r>
            <w:r w:rsidRPr="00A23740">
              <w:rPr>
                <w:rStyle w:val="MaviChar"/>
              </w:rPr>
              <w:t>kurulan</w:t>
            </w:r>
            <w:r w:rsidRPr="00A23740">
              <w:rPr>
                <w:rFonts w:eastAsia="Times New Roman"/>
                <w:szCs w:val="24"/>
              </w:rPr>
              <w:t xml:space="preserve"> rehinler</w:t>
            </w:r>
            <w:r w:rsidRPr="00A23740">
              <w:rPr>
                <w:rFonts w:eastAsia="Times New Roman"/>
                <w:b/>
                <w:color w:val="0000FF"/>
                <w:szCs w:val="24"/>
              </w:rPr>
              <w:t>.</w:t>
            </w:r>
          </w:p>
          <w:p w:rsidR="00AA5C8C" w:rsidRPr="00A23740" w:rsidRDefault="00AA5C8C" w:rsidP="009431FF">
            <w:pPr>
              <w:tabs>
                <w:tab w:val="left" w:pos="567"/>
              </w:tabs>
              <w:rPr>
                <w:rFonts w:eastAsia="Times New Roman"/>
                <w:b/>
                <w:color w:val="0000FF"/>
                <w:szCs w:val="24"/>
              </w:rPr>
            </w:pPr>
          </w:p>
          <w:p w:rsidR="00AA5C8C" w:rsidRPr="00A23740" w:rsidRDefault="00AA5C8C" w:rsidP="009431FF">
            <w:pPr>
              <w:tabs>
                <w:tab w:val="left" w:pos="567"/>
              </w:tabs>
              <w:rPr>
                <w:rFonts w:eastAsia="Times New Roman"/>
                <w:szCs w:val="24"/>
              </w:rPr>
            </w:pPr>
            <w:r w:rsidRPr="00A23740">
              <w:rPr>
                <w:rStyle w:val="MAVChar"/>
                <w:rFonts w:eastAsia="Calibri"/>
                <w:u w:val="none"/>
              </w:rPr>
              <w:t>b)</w:t>
            </w:r>
            <w:r w:rsidRPr="00A23740">
              <w:rPr>
                <w:rFonts w:eastAsia="Times New Roman"/>
                <w:szCs w:val="24"/>
              </w:rPr>
              <w:t xml:space="preserve"> Para </w:t>
            </w:r>
            <w:r w:rsidRPr="00A23740">
              <w:rPr>
                <w:rStyle w:val="MaviChar"/>
              </w:rPr>
              <w:t>borcu için nakit dışında</w:t>
            </w:r>
            <w:r w:rsidRPr="00A23740">
              <w:rPr>
                <w:rFonts w:eastAsia="Times New Roman"/>
                <w:szCs w:val="24"/>
              </w:rPr>
              <w:t xml:space="preserve"> veya </w:t>
            </w:r>
            <w:r w:rsidRPr="00A23740">
              <w:rPr>
                <w:rFonts w:eastAsia="Times New Roman"/>
                <w:b/>
                <w:color w:val="0000FF"/>
                <w:szCs w:val="24"/>
              </w:rPr>
              <w:t>alışılmış</w:t>
            </w:r>
            <w:r w:rsidRPr="00A23740">
              <w:rPr>
                <w:rFonts w:eastAsia="Times New Roman"/>
                <w:szCs w:val="24"/>
              </w:rPr>
              <w:t xml:space="preserve"> ödeme </w:t>
            </w:r>
            <w:r w:rsidRPr="00A23740">
              <w:rPr>
                <w:rFonts w:eastAsia="Times New Roman"/>
                <w:b/>
                <w:color w:val="0000FF"/>
                <w:szCs w:val="24"/>
              </w:rPr>
              <w:t>araçlarından başka</w:t>
            </w:r>
            <w:r w:rsidRPr="00A23740">
              <w:rPr>
                <w:rFonts w:eastAsia="Times New Roman"/>
                <w:szCs w:val="24"/>
              </w:rPr>
              <w:t xml:space="preserve"> bir </w:t>
            </w:r>
            <w:r w:rsidRPr="00A23740">
              <w:rPr>
                <w:rStyle w:val="MaviChar"/>
              </w:rPr>
              <w:t>şekilde</w:t>
            </w:r>
            <w:r w:rsidRPr="00A23740">
              <w:rPr>
                <w:rFonts w:eastAsia="Times New Roman"/>
                <w:szCs w:val="24"/>
              </w:rPr>
              <w:t xml:space="preserve"> yapılan ödemeler</w:t>
            </w:r>
            <w:r w:rsidRPr="00A23740">
              <w:rPr>
                <w:rFonts w:eastAsia="Times New Roman"/>
                <w:b/>
                <w:color w:val="0000FF"/>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MAVChar"/>
                <w:rFonts w:eastAsia="Calibri"/>
                <w:u w:val="none"/>
              </w:rPr>
              <w:t>c)</w:t>
            </w:r>
            <w:r w:rsidRPr="00A23740">
              <w:rPr>
                <w:rFonts w:eastAsia="Times New Roman"/>
                <w:szCs w:val="24"/>
              </w:rPr>
              <w:t xml:space="preserve"> Vadesi gelmemiş borç için yapılan ödemeler.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MAVChar"/>
                <w:rFonts w:eastAsia="Calibri"/>
                <w:u w:val="none"/>
              </w:rPr>
              <w:t>ç)</w:t>
            </w:r>
            <w:r w:rsidRPr="00A23740">
              <w:rPr>
                <w:rFonts w:eastAsia="Times New Roman"/>
                <w:szCs w:val="24"/>
              </w:rPr>
              <w:t xml:space="preserve"> Kişisel hakların kuvvetlendirilmesi için tapuya verilen şerhler.</w:t>
            </w:r>
          </w:p>
          <w:p w:rsidR="00AA5C8C" w:rsidRPr="00A23740" w:rsidRDefault="00AA5C8C" w:rsidP="009431FF">
            <w:pPr>
              <w:tabs>
                <w:tab w:val="left" w:pos="567"/>
              </w:tabs>
              <w:rPr>
                <w:rFonts w:eastAsia="Times New Roman"/>
                <w:szCs w:val="24"/>
              </w:rPr>
            </w:pPr>
          </w:p>
          <w:p w:rsidR="00ED5A80" w:rsidRPr="00A23740" w:rsidRDefault="00ED5A80" w:rsidP="009431FF">
            <w:pPr>
              <w:pStyle w:val="Mavi"/>
            </w:pPr>
          </w:p>
          <w:p w:rsidR="00AA5C8C" w:rsidRPr="00A23740" w:rsidRDefault="00AA5C8C" w:rsidP="009431FF">
            <w:pPr>
              <w:pStyle w:val="Mavi"/>
              <w:rPr>
                <w:rFonts w:eastAsia="Times New Roman"/>
              </w:rPr>
            </w:pPr>
            <w:r w:rsidRPr="00A23740">
              <w:t xml:space="preserve">(2) </w:t>
            </w:r>
            <w:r w:rsidRPr="00A23740">
              <w:rPr>
                <w:rFonts w:eastAsia="Times New Roman"/>
                <w:b w:val="0"/>
                <w:bCs w:val="0"/>
                <w:color w:val="auto"/>
                <w:lang w:val="tr-TR" w:eastAsia="en-US"/>
              </w:rPr>
              <w:t>Bu tasarruflardan</w:t>
            </w:r>
            <w:r w:rsidRPr="00A23740">
              <w:t xml:space="preserve"> yararlanan </w:t>
            </w:r>
            <w:r w:rsidRPr="00A23740">
              <w:rPr>
                <w:rFonts w:eastAsia="Times New Roman"/>
                <w:b w:val="0"/>
                <w:bCs w:val="0"/>
                <w:color w:val="auto"/>
                <w:lang w:val="tr-TR" w:eastAsia="en-US"/>
              </w:rPr>
              <w:t>kimse</w:t>
            </w:r>
            <w:r w:rsidR="00314893" w:rsidRPr="00802F84">
              <w:rPr>
                <w:rStyle w:val="Balk1Char"/>
                <w:rFonts w:eastAsia="ヒラギノ明朝 Pro W3"/>
                <w:b/>
              </w:rPr>
              <w:t>,</w:t>
            </w:r>
            <w:r w:rsidRPr="00A23740">
              <w:t xml:space="preserve"> </w:t>
            </w:r>
            <w:r w:rsidRPr="00A23740">
              <w:rPr>
                <w:rFonts w:eastAsia="Times New Roman"/>
                <w:b w:val="0"/>
                <w:bCs w:val="0"/>
                <w:color w:val="auto"/>
                <w:lang w:val="tr-TR" w:eastAsia="en-US"/>
              </w:rPr>
              <w:t>borçlunun</w:t>
            </w:r>
            <w:r w:rsidRPr="00A23740">
              <w:t xml:space="preserve"> durumunu </w:t>
            </w:r>
            <w:r w:rsidRPr="00A23740">
              <w:rPr>
                <w:rFonts w:eastAsia="Times New Roman"/>
                <w:b w:val="0"/>
                <w:bCs w:val="0"/>
                <w:color w:val="auto"/>
                <w:lang w:val="tr-TR" w:eastAsia="en-US"/>
              </w:rPr>
              <w:t>bilmediğini</w:t>
            </w:r>
            <w:r w:rsidRPr="00A23740">
              <w:t xml:space="preserve"> ve gereken özeni gösterdiği h</w:t>
            </w:r>
            <w:r w:rsidR="00C2196C" w:rsidRPr="00A23740">
              <w:rPr>
                <w:lang w:val="tr-TR"/>
              </w:rPr>
              <w:t>â</w:t>
            </w:r>
            <w:r w:rsidRPr="00A23740">
              <w:t xml:space="preserve">lde öğrenemediğini </w:t>
            </w:r>
            <w:r w:rsidRPr="00A23740">
              <w:rPr>
                <w:rFonts w:eastAsia="Times New Roman"/>
                <w:b w:val="0"/>
                <w:bCs w:val="0"/>
                <w:color w:val="auto"/>
                <w:lang w:val="tr-TR" w:eastAsia="en-US"/>
              </w:rPr>
              <w:t>ispat</w:t>
            </w:r>
            <w:r w:rsidRPr="00A23740">
              <w:t xml:space="preserve"> ederse </w:t>
            </w:r>
            <w:r w:rsidRPr="00A23740">
              <w:rPr>
                <w:rFonts w:eastAsia="Times New Roman"/>
                <w:b w:val="0"/>
                <w:bCs w:val="0"/>
                <w:color w:val="auto"/>
                <w:lang w:val="tr-TR" w:eastAsia="en-US"/>
              </w:rPr>
              <w:t>iptal davası</w:t>
            </w:r>
            <w:r w:rsidRPr="00A23740">
              <w:t xml:space="preserve"> reddolunur. </w:t>
            </w:r>
          </w:p>
          <w:p w:rsidR="00AA5C8C" w:rsidRPr="00A23740" w:rsidRDefault="00AA5C8C" w:rsidP="009431FF">
            <w:pPr>
              <w:pStyle w:val="AltKonuBal"/>
            </w:pPr>
          </w:p>
        </w:tc>
      </w:tr>
      <w:tr w:rsidR="00BD7568" w:rsidRPr="00A23740" w:rsidTr="009431FF">
        <w:tc>
          <w:tcPr>
            <w:tcW w:w="5000" w:type="pct"/>
            <w:gridSpan w:val="2"/>
            <w:shd w:val="clear" w:color="auto" w:fill="DEEAF6"/>
          </w:tcPr>
          <w:p w:rsidR="001C62D2" w:rsidRPr="00A23740" w:rsidRDefault="001C62D2" w:rsidP="009431FF">
            <w:pPr>
              <w:tabs>
                <w:tab w:val="left" w:pos="567"/>
              </w:tabs>
              <w:rPr>
                <w:b/>
                <w:bCs/>
                <w:szCs w:val="24"/>
                <w:lang w:eastAsia="x-none"/>
              </w:rPr>
            </w:pPr>
          </w:p>
          <w:p w:rsidR="00CB25D1" w:rsidRPr="00A23740" w:rsidRDefault="003B700B" w:rsidP="009431FF">
            <w:pPr>
              <w:tabs>
                <w:tab w:val="left" w:pos="567"/>
              </w:tabs>
              <w:ind w:firstLine="709"/>
              <w:rPr>
                <w:bCs/>
              </w:rPr>
            </w:pPr>
            <w:r w:rsidRPr="00A23740">
              <w:rPr>
                <w:b/>
                <w:bCs/>
              </w:rPr>
              <w:t>MADDE 446</w:t>
            </w:r>
            <w:r w:rsidR="001C62D2" w:rsidRPr="00A23740">
              <w:rPr>
                <w:b/>
                <w:bCs/>
              </w:rPr>
              <w:t xml:space="preserve">- </w:t>
            </w:r>
            <w:r w:rsidR="001C62D2" w:rsidRPr="00A23740">
              <w:rPr>
                <w:bCs/>
              </w:rPr>
              <w:t>Madde, borçların malvarlığından fazla olması nedeniyle iptal sebebine ilişki</w:t>
            </w:r>
            <w:r w:rsidR="00290FB4" w:rsidRPr="00A23740">
              <w:rPr>
                <w:bCs/>
              </w:rPr>
              <w:t xml:space="preserve">n olup, 2004 sayılı Kanunun 279 </w:t>
            </w:r>
            <w:r w:rsidR="001C62D2" w:rsidRPr="00A23740">
              <w:rPr>
                <w:bCs/>
              </w:rPr>
              <w:t xml:space="preserve">uncu maddesini karşılamaktadır. </w:t>
            </w:r>
          </w:p>
          <w:p w:rsidR="00CB25D1" w:rsidRPr="00A23740" w:rsidRDefault="001C62D2" w:rsidP="009431FF">
            <w:pPr>
              <w:tabs>
                <w:tab w:val="left" w:pos="567"/>
              </w:tabs>
              <w:ind w:firstLine="709"/>
              <w:rPr>
                <w:bCs/>
              </w:rPr>
            </w:pPr>
            <w:r w:rsidRPr="00A23740">
              <w:rPr>
                <w:bCs/>
              </w:rPr>
              <w:t>Maddenin birinci fıkrasında iptal sebepleri düzenlenmektedir ve eski metnin esası büyük ölçüde korunmaktadır. Fıkranın (a) bendinde borçlunun teminat göstermeyi daha önce taahhüt etmiş olduğu h</w:t>
            </w:r>
            <w:r w:rsidR="00C2196C" w:rsidRPr="00A23740">
              <w:rPr>
                <w:bCs/>
              </w:rPr>
              <w:t>â</w:t>
            </w:r>
            <w:r w:rsidRPr="00A23740">
              <w:rPr>
                <w:bCs/>
              </w:rPr>
              <w:t>ller dışında, borçlu tarafından mevcut bir borcu temin için kurulan rehinler, (b) bendinde ise para borcu için nakit dışında veya alışılmış ödeme araçlarından başka bir şekilde yapılan ödemeler, iptale tabi kılınmıştır. Fıkranın (b) bendine ilişkin olarak, güncel Yargıtay uygulamasında, özellikle ipotekle güvence altına alınmış banka alacakları için alacağına mahsuben pek aşağı olmayan bir bedelle taşınmaz devralm</w:t>
            </w:r>
            <w:r w:rsidRPr="00814E71">
              <w:t>a</w:t>
            </w:r>
            <w:r w:rsidR="006C4DBC" w:rsidRPr="00814E71">
              <w:t>k</w:t>
            </w:r>
            <w:r w:rsidRPr="00814E71">
              <w:t>,</w:t>
            </w:r>
            <w:r w:rsidRPr="00A23740">
              <w:rPr>
                <w:bCs/>
              </w:rPr>
              <w:t xml:space="preserve"> bu madde kapsamında alışılmamış ödeme araçlarından faydalanmak şeklinde yorumlanmamaktadır. Benzer şekilde uygun bir bedel karşılığı yapılan alacağa mahsuben alacak devri işlemleri de bu bent hükmüne aykırı kabul edilmemektedir. Bu</w:t>
            </w:r>
            <w:r w:rsidR="006C4DBC" w:rsidRPr="00A23740">
              <w:rPr>
                <w:bCs/>
              </w:rPr>
              <w:t xml:space="preserve"> </w:t>
            </w:r>
            <w:r w:rsidR="006C4DBC" w:rsidRPr="00814E71">
              <w:t>hususta</w:t>
            </w:r>
            <w:r w:rsidRPr="00A23740">
              <w:rPr>
                <w:bCs/>
              </w:rPr>
              <w:t xml:space="preserve"> </w:t>
            </w:r>
            <w:r w:rsidR="006C4DBC" w:rsidRPr="00814E71">
              <w:t>bilimsel ve yargısal</w:t>
            </w:r>
            <w:r w:rsidR="006C4DBC" w:rsidRPr="00A23740">
              <w:rPr>
                <w:bCs/>
              </w:rPr>
              <w:t xml:space="preserve"> </w:t>
            </w:r>
            <w:r w:rsidRPr="00A23740">
              <w:rPr>
                <w:bCs/>
              </w:rPr>
              <w:t xml:space="preserve">içtihatlara </w:t>
            </w:r>
            <w:r w:rsidR="006C4DBC" w:rsidRPr="00814E71">
              <w:t>uygun olarak</w:t>
            </w:r>
            <w:r w:rsidR="006C4DBC" w:rsidRPr="00A23740">
              <w:rPr>
                <w:bCs/>
              </w:rPr>
              <w:t xml:space="preserve"> </w:t>
            </w:r>
            <w:r w:rsidRPr="00A23740">
              <w:rPr>
                <w:bCs/>
              </w:rPr>
              <w:t>bendin lafzında bir değişiklik yapılmaması tercih edilmiştir. Fık</w:t>
            </w:r>
            <w:r w:rsidR="00335C53" w:rsidRPr="00A23740">
              <w:rPr>
                <w:bCs/>
              </w:rPr>
              <w:t>ranın (c) ve (ç) bentlerinde de</w:t>
            </w:r>
            <w:r w:rsidRPr="00A23740">
              <w:rPr>
                <w:bCs/>
              </w:rPr>
              <w:t xml:space="preserve"> vadesi gelmemiş borç için yapılan ödemeler ile kişisel hakların kuvvetlendirilmesi için tapuya verilen şerhlerin iptale tabi olacağı düzenlenmektedir. </w:t>
            </w:r>
            <w:r w:rsidR="00B36EAC" w:rsidRPr="00814E71">
              <w:t>6102 sayılı Kanunun</w:t>
            </w:r>
            <w:r w:rsidR="00290FB4" w:rsidRPr="00A23740">
              <w:rPr>
                <w:bCs/>
              </w:rPr>
              <w:t xml:space="preserve"> </w:t>
            </w:r>
            <w:r w:rsidRPr="00A23740">
              <w:rPr>
                <w:bCs/>
              </w:rPr>
              <w:t>1121</w:t>
            </w:r>
            <w:r w:rsidR="00290FB4" w:rsidRPr="00A23740">
              <w:rPr>
                <w:bCs/>
              </w:rPr>
              <w:t xml:space="preserve"> inci maddesi</w:t>
            </w:r>
            <w:r w:rsidR="00B26D83" w:rsidRPr="00A23740">
              <w:rPr>
                <w:bCs/>
              </w:rPr>
              <w:t>nde</w:t>
            </w:r>
            <w:r w:rsidRPr="00A23740">
              <w:rPr>
                <w:bCs/>
              </w:rPr>
              <w:t xml:space="preserve"> gemi siciline gemi kira sözleşmesinin şerh edilebileceği düzenlenmiş olmakla birlikte, </w:t>
            </w:r>
            <w:r w:rsidR="006C4DBC" w:rsidRPr="00814E71">
              <w:t>Taslağın</w:t>
            </w:r>
            <w:r w:rsidR="006C4DBC" w:rsidRPr="00A23740">
              <w:rPr>
                <w:rStyle w:val="YELChar"/>
              </w:rPr>
              <w:t xml:space="preserve"> </w:t>
            </w:r>
            <w:r w:rsidR="001040F7" w:rsidRPr="00814E71">
              <w:t>472 nci</w:t>
            </w:r>
            <w:r w:rsidR="008E5595" w:rsidRPr="00A23740">
              <w:rPr>
                <w:rStyle w:val="YELChar"/>
              </w:rPr>
              <w:t xml:space="preserve"> </w:t>
            </w:r>
            <w:r w:rsidR="006C4DBC" w:rsidRPr="00814E71">
              <w:t>maddesi</w:t>
            </w:r>
            <w:r w:rsidR="006C4DBC" w:rsidRPr="00A23740">
              <w:rPr>
                <w:bCs/>
              </w:rPr>
              <w:t xml:space="preserve"> </w:t>
            </w:r>
            <w:r w:rsidRPr="00A23740">
              <w:rPr>
                <w:bCs/>
              </w:rPr>
              <w:t>gereği tapu siciline ilişkin bütün hükümler gemi siciline de kıyasen uygulanacağından, (ç) bendindeki tapu ibaresinin gemi sicilini de içerecek şekilde değiştirilmesi</w:t>
            </w:r>
            <w:r w:rsidR="00B26D83" w:rsidRPr="00A23740">
              <w:rPr>
                <w:bCs/>
              </w:rPr>
              <w:t>cihetine gidilmemiştir</w:t>
            </w:r>
            <w:r w:rsidRPr="00A23740">
              <w:rPr>
                <w:bCs/>
              </w:rPr>
              <w:t xml:space="preserve">. </w:t>
            </w:r>
          </w:p>
          <w:p w:rsidR="001C62D2" w:rsidRPr="00A23740" w:rsidRDefault="001C62D2" w:rsidP="009431FF">
            <w:pPr>
              <w:tabs>
                <w:tab w:val="left" w:pos="567"/>
              </w:tabs>
              <w:ind w:firstLine="709"/>
              <w:rPr>
                <w:rStyle w:val="KIRMIZIChar"/>
                <w:rFonts w:eastAsia="Calibri"/>
              </w:rPr>
            </w:pPr>
            <w:r w:rsidRPr="00A23740">
              <w:rPr>
                <w:bCs/>
              </w:rPr>
              <w:t>Maddenin ikinci fıkrası, mevcut hükümde olduğu gibi, bu tasarruflardan yararlanan kişiye aksini ispat imkânı sağlamaktadır. Bu fıkranın içeriği esas bakımından değiştirilmemekle birlikte</w:t>
            </w:r>
            <w:r w:rsidRPr="00814E71">
              <w:t xml:space="preserve">, </w:t>
            </w:r>
            <w:r w:rsidR="006C4DBC" w:rsidRPr="00814E71">
              <w:t>öğretideki görüşler doğrultusunda yeniden kaleme alınmıştır (bkz.</w:t>
            </w:r>
            <w:r w:rsidRPr="00A23740">
              <w:rPr>
                <w:bCs/>
              </w:rPr>
              <w:t xml:space="preserve"> Bilge </w:t>
            </w:r>
            <w:r w:rsidR="00B26D83" w:rsidRPr="00A23740">
              <w:rPr>
                <w:bCs/>
              </w:rPr>
              <w:t xml:space="preserve">Umar, </w:t>
            </w:r>
            <w:r w:rsidRPr="00A23740">
              <w:rPr>
                <w:bCs/>
              </w:rPr>
              <w:t>Türk İcra İflas Hukukunda İptal Davası</w:t>
            </w:r>
            <w:r w:rsidR="006C4DBC" w:rsidRPr="00A23740">
              <w:rPr>
                <w:bCs/>
              </w:rPr>
              <w:t>,</w:t>
            </w:r>
            <w:r w:rsidRPr="00A23740">
              <w:rPr>
                <w:bCs/>
              </w:rPr>
              <w:t xml:space="preserve"> </w:t>
            </w:r>
            <w:r w:rsidR="006C4DBC" w:rsidRPr="00814E71">
              <w:t>Ankara 1963).</w:t>
            </w:r>
          </w:p>
          <w:p w:rsidR="00290FB4" w:rsidRPr="00A23740" w:rsidRDefault="00290FB4"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szCs w:val="24"/>
              </w:rPr>
            </w:pPr>
            <w:r w:rsidRPr="00A23740">
              <w:rPr>
                <w:rFonts w:eastAsia="Times New Roman"/>
                <w:szCs w:val="24"/>
              </w:rPr>
              <w:t xml:space="preserve">Zarar verme </w:t>
            </w:r>
            <w:r w:rsidRPr="00A23740">
              <w:rPr>
                <w:rFonts w:eastAsia="Times New Roman"/>
                <w:b/>
                <w:strike/>
                <w:color w:val="FF0000"/>
                <w:szCs w:val="24"/>
              </w:rPr>
              <w:t>kastından</w:t>
            </w:r>
            <w:r w:rsidRPr="00A23740">
              <w:rPr>
                <w:rFonts w:eastAsia="Times New Roman"/>
                <w:szCs w:val="24"/>
              </w:rPr>
              <w:t xml:space="preserve"> dolayı iptal</w:t>
            </w:r>
          </w:p>
          <w:p w:rsidR="00AA5C8C" w:rsidRPr="00A23740" w:rsidRDefault="00AA5C8C" w:rsidP="009431FF">
            <w:pPr>
              <w:tabs>
                <w:tab w:val="left" w:pos="567"/>
              </w:tabs>
              <w:rPr>
                <w:rFonts w:eastAsia="Times New Roman"/>
                <w:b/>
                <w:strike/>
                <w:color w:val="FF0000"/>
                <w:szCs w:val="24"/>
              </w:rPr>
            </w:pPr>
            <w:r w:rsidRPr="00A23740">
              <w:rPr>
                <w:rFonts w:eastAsia="Times New Roman"/>
                <w:b/>
                <w:szCs w:val="24"/>
              </w:rPr>
              <w:t xml:space="preserve">Madde </w:t>
            </w:r>
            <w:r w:rsidRPr="00A23740">
              <w:rPr>
                <w:rStyle w:val="KIRMIZIChar"/>
                <w:rFonts w:eastAsia="Calibri"/>
              </w:rPr>
              <w:t>280</w:t>
            </w:r>
            <w:r w:rsidRPr="00A23740">
              <w:rPr>
                <w:rFonts w:eastAsia="Times New Roman"/>
                <w:b/>
                <w:szCs w:val="24"/>
              </w:rPr>
              <w:t xml:space="preserve"> –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b/>
                <w:strike/>
                <w:color w:val="FF0000"/>
                <w:szCs w:val="24"/>
              </w:rPr>
              <w:t>(Değişik: 18/2/1965 - 538/115 md.)</w:t>
            </w:r>
          </w:p>
          <w:p w:rsidR="00AA5C8C" w:rsidRPr="00A23740" w:rsidRDefault="00AA5C8C" w:rsidP="009431FF">
            <w:pPr>
              <w:tabs>
                <w:tab w:val="left" w:pos="567"/>
              </w:tabs>
              <w:rPr>
                <w:rFonts w:eastAsia="Times New Roman"/>
                <w:szCs w:val="24"/>
              </w:rPr>
            </w:pPr>
            <w:r w:rsidRPr="00A23740">
              <w:rPr>
                <w:rFonts w:eastAsia="Times New Roman"/>
                <w:b/>
                <w:strike/>
                <w:color w:val="FF0000"/>
                <w:szCs w:val="24"/>
              </w:rPr>
              <w:t xml:space="preserve">(Değişik birinci fıkra: 17/7/2003-4949/66 md.) </w:t>
            </w:r>
            <w:r w:rsidRPr="00A23740">
              <w:rPr>
                <w:rFonts w:eastAsia="Times New Roman"/>
                <w:szCs w:val="24"/>
              </w:rPr>
              <w:t xml:space="preserve">Malvarlığı borçlarına yetmeyen bir borçlunun, alacaklılarına zarar verme kastıyla yaptığı tüm işlemler, borçlunun içinde bulunduğu malî durumun ve zarar verme kastının, işlemin diğer tarafınca bilindiği veya bilinmesini gerektiren açık emarelerin bulunduğu hâllerde iptal edilebilir. </w:t>
            </w:r>
            <w:r w:rsidRPr="00A23740">
              <w:rPr>
                <w:rStyle w:val="KIRMIZIChar"/>
                <w:rFonts w:eastAsia="Calibri"/>
              </w:rPr>
              <w:t>Şu kadar ki, işlemin gerçekleştiği tarihten itibaren beş yıl içinde borçlu aleyhine haciz veya  iflâs yoluyla takipte bulunulmuş olmalıdır.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b/>
                <w:strike/>
                <w:color w:val="FF0000"/>
                <w:szCs w:val="24"/>
              </w:rPr>
              <w:t>(Mülga ikinci fıkra: 17/7/2003-4949/103 md.)</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(3)</w:t>
            </w:r>
            <w:r w:rsidRPr="00A23740">
              <w:rPr>
                <w:rFonts w:eastAsia="Times New Roman"/>
                <w:color w:val="000000"/>
                <w:szCs w:val="24"/>
                <w:lang w:eastAsia="tr-TR"/>
              </w:rPr>
              <w:t xml:space="preserve"> </w:t>
            </w:r>
            <w:r w:rsidRPr="00A23740">
              <w:rPr>
                <w:rFonts w:eastAsia="Times New Roman"/>
                <w:b/>
                <w:strike/>
                <w:color w:val="FF0000"/>
                <w:szCs w:val="24"/>
              </w:rPr>
              <w:t xml:space="preserve">(Değişik: 9/11/1988 - 3494/55 md.) </w:t>
            </w:r>
            <w:r w:rsidRPr="00A23740">
              <w:rPr>
                <w:rFonts w:eastAsia="Times New Roman"/>
                <w:szCs w:val="24"/>
              </w:rPr>
              <w:t xml:space="preserve">Üçüncü </w:t>
            </w:r>
            <w:r w:rsidRPr="00A23740">
              <w:rPr>
                <w:rStyle w:val="KIRMIZIChar"/>
                <w:rFonts w:eastAsia="Calibri"/>
              </w:rPr>
              <w:t>şahıs</w:t>
            </w:r>
            <w:r w:rsidRPr="00A23740">
              <w:rPr>
                <w:rFonts w:eastAsia="Times New Roman"/>
                <w:szCs w:val="24"/>
              </w:rPr>
              <w:t xml:space="preserve">, borçlunun </w:t>
            </w:r>
            <w:r w:rsidRPr="00A23740">
              <w:rPr>
                <w:rFonts w:eastAsia="Times New Roman"/>
                <w:b/>
                <w:strike/>
                <w:color w:val="FF0000"/>
                <w:szCs w:val="24"/>
              </w:rPr>
              <w:t>karı veya kocası, usul veya füruu ile üçüncü dereceye kadar (bu derece dahil) kan ve sıhri</w:t>
            </w:r>
            <w:r w:rsidRPr="00A23740">
              <w:rPr>
                <w:rStyle w:val="KIRMIZIChar"/>
                <w:rFonts w:eastAsia="Calibri"/>
              </w:rPr>
              <w:t xml:space="preserve"> hısımları</w:t>
            </w:r>
            <w:r w:rsidRPr="00A23740">
              <w:rPr>
                <w:rFonts w:eastAsia="Times New Roman"/>
                <w:szCs w:val="24"/>
              </w:rPr>
              <w:t xml:space="preserve">, evlat edineni veya evlatlığı </w:t>
            </w:r>
            <w:r w:rsidRPr="00A23740">
              <w:rPr>
                <w:rStyle w:val="KIRMIZIChar"/>
                <w:rFonts w:eastAsia="Calibri"/>
              </w:rPr>
              <w:t>ise</w:t>
            </w:r>
            <w:r w:rsidRPr="00A23740">
              <w:rPr>
                <w:rFonts w:eastAsia="Times New Roman"/>
                <w:szCs w:val="24"/>
              </w:rPr>
              <w:t xml:space="preserve"> </w:t>
            </w:r>
            <w:r w:rsidRPr="00A23740">
              <w:rPr>
                <w:rStyle w:val="KIRMIZIChar"/>
                <w:rFonts w:eastAsia="Calibri"/>
              </w:rPr>
              <w:t>borçlunun</w:t>
            </w:r>
            <w:r w:rsidRPr="00A23740">
              <w:rPr>
                <w:rFonts w:eastAsia="Times New Roman"/>
                <w:szCs w:val="24"/>
              </w:rPr>
              <w:t xml:space="preserve"> birinci fıkrada beyan olunan durumunu bildiği </w:t>
            </w:r>
            <w:r w:rsidRPr="00A23740">
              <w:rPr>
                <w:rFonts w:eastAsia="Times New Roman"/>
                <w:b/>
                <w:strike/>
                <w:color w:val="FF0000"/>
                <w:szCs w:val="24"/>
              </w:rPr>
              <w:t>farz</w:t>
            </w:r>
            <w:r w:rsidRPr="00A23740">
              <w:rPr>
                <w:rFonts w:eastAsia="Times New Roman"/>
                <w:szCs w:val="24"/>
              </w:rPr>
              <w:t xml:space="preserve"> olunur. Bunun </w:t>
            </w:r>
            <w:r w:rsidRPr="00A23740">
              <w:rPr>
                <w:rFonts w:eastAsia="Times New Roman"/>
                <w:b/>
                <w:strike/>
                <w:color w:val="FF0000"/>
                <w:szCs w:val="24"/>
              </w:rPr>
              <w:t>hilafını</w:t>
            </w:r>
            <w:r w:rsidRPr="00A23740">
              <w:rPr>
                <w:rFonts w:eastAsia="Times New Roman"/>
                <w:szCs w:val="24"/>
              </w:rPr>
              <w:t xml:space="preserve"> üçüncü </w:t>
            </w:r>
            <w:r w:rsidRPr="00A23740">
              <w:rPr>
                <w:rStyle w:val="KIRMIZIChar"/>
                <w:rFonts w:eastAsia="Calibri"/>
              </w:rPr>
              <w:t>şahıs</w:t>
            </w:r>
            <w:r w:rsidRPr="00A23740">
              <w:rPr>
                <w:rFonts w:eastAsia="Times New Roman"/>
                <w:szCs w:val="24"/>
              </w:rPr>
              <w:t xml:space="preserve">, ancak 279  uncu maddenin </w:t>
            </w:r>
            <w:r w:rsidRPr="00A23740">
              <w:rPr>
                <w:rStyle w:val="KIRMIZIChar"/>
                <w:rFonts w:eastAsia="Calibri"/>
              </w:rPr>
              <w:t>son</w:t>
            </w:r>
            <w:r w:rsidRPr="00A23740">
              <w:rPr>
                <w:rFonts w:eastAsia="Times New Roman"/>
                <w:szCs w:val="24"/>
              </w:rPr>
              <w:t xml:space="preserve"> fıkrasına göre is</w:t>
            </w:r>
            <w:r w:rsidRPr="00A23740">
              <w:rPr>
                <w:rFonts w:eastAsia="Times New Roman"/>
                <w:b/>
                <w:strike/>
                <w:color w:val="FF0000"/>
                <w:szCs w:val="24"/>
              </w:rPr>
              <w:t>b</w:t>
            </w:r>
            <w:r w:rsidRPr="00A23740">
              <w:rPr>
                <w:rFonts w:eastAsia="Times New Roman"/>
                <w:szCs w:val="24"/>
              </w:rPr>
              <w:t>at edebilir.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Style w:val="KIRMIZIChar"/>
                <w:rFonts w:eastAsia="Calibri"/>
              </w:rPr>
            </w:pPr>
            <w:r w:rsidRPr="00A23740">
              <w:rPr>
                <w:rStyle w:val="KIRMIZIChar"/>
                <w:rFonts w:eastAsia="Calibri"/>
              </w:rPr>
              <w:t>(4) Ticari işletmenin veya işyerindeki mevcut ticari emtianın tamamını veya mühim bir kısmını devir veya satın alan yahut bir kısmını iktisapla beraber işyerini sonradan işgal eden şahsın, borçlunun alacaklılarını ızrar kasdını bildiği ve borçlunun da bu hallerde ızrar kasdiyle hareket ettiği kabul olunur. Bu karine, ancak iptal davasını açan alacaklıya devir, satış veya terk tarihinden en az üç ay evvel keyfiyetin yazılı olarak bildirildiğini veya ticari işletmenin bulunduğu yerde görülebilir levhaları asmakla beraber Ticaret Sicili Gazetesiyle; bu mümkün olmadığı takdirde bütün alacaklıların ıttılaını temin edecek şekilde münasip vasıtalarla ilan olunduğunu ispatla çürütülebilir.</w:t>
            </w:r>
          </w:p>
          <w:p w:rsidR="00ED5A80" w:rsidRDefault="00ED5A80" w:rsidP="009431FF">
            <w:pPr>
              <w:tabs>
                <w:tab w:val="left" w:pos="567"/>
              </w:tabs>
              <w:rPr>
                <w:rFonts w:eastAsia="Times New Roman"/>
                <w:szCs w:val="24"/>
              </w:rPr>
            </w:pPr>
          </w:p>
          <w:p w:rsidR="0090299D" w:rsidRDefault="0090299D" w:rsidP="009431FF">
            <w:pPr>
              <w:tabs>
                <w:tab w:val="left" w:pos="567"/>
              </w:tabs>
              <w:rPr>
                <w:rFonts w:eastAsia="Times New Roman"/>
                <w:szCs w:val="24"/>
              </w:rPr>
            </w:pPr>
          </w:p>
          <w:p w:rsidR="0090299D" w:rsidRPr="00A23740" w:rsidRDefault="0090299D" w:rsidP="009431FF">
            <w:pPr>
              <w:tabs>
                <w:tab w:val="left" w:pos="567"/>
              </w:tabs>
              <w:rPr>
                <w:rFonts w:eastAsia="Times New Roman"/>
                <w:szCs w:val="24"/>
              </w:rPr>
            </w:pPr>
          </w:p>
        </w:tc>
        <w:tc>
          <w:tcPr>
            <w:tcW w:w="2500" w:type="pct"/>
          </w:tcPr>
          <w:p w:rsidR="00AA5C8C" w:rsidRPr="00A23740" w:rsidRDefault="00AA5C8C" w:rsidP="009431FF">
            <w:pPr>
              <w:tabs>
                <w:tab w:val="left" w:pos="567"/>
              </w:tabs>
              <w:rPr>
                <w:rFonts w:eastAsia="Times New Roman"/>
                <w:szCs w:val="24"/>
              </w:rPr>
            </w:pPr>
            <w:r w:rsidRPr="00A23740">
              <w:rPr>
                <w:rFonts w:eastAsia="Times New Roman"/>
                <w:szCs w:val="24"/>
              </w:rPr>
              <w:t xml:space="preserve">Zarar verme </w:t>
            </w:r>
            <w:r w:rsidRPr="00A23740">
              <w:rPr>
                <w:rStyle w:val="MaviChar"/>
              </w:rPr>
              <w:t>kastıyla</w:t>
            </w:r>
            <w:r w:rsidRPr="00A23740">
              <w:rPr>
                <w:rFonts w:eastAsia="Times New Roman"/>
                <w:b/>
                <w:color w:val="0000FF"/>
                <w:szCs w:val="24"/>
              </w:rPr>
              <w:t xml:space="preserve"> yapılan işlemlerden</w:t>
            </w:r>
            <w:r w:rsidRPr="00A23740">
              <w:rPr>
                <w:rFonts w:eastAsia="Times New Roman"/>
                <w:szCs w:val="24"/>
              </w:rPr>
              <w:t xml:space="preserve"> dolayı iptal</w:t>
            </w:r>
          </w:p>
          <w:p w:rsidR="00AA5C8C" w:rsidRPr="00A23740" w:rsidRDefault="00AA5C8C" w:rsidP="009431FF">
            <w:pPr>
              <w:tabs>
                <w:tab w:val="left" w:pos="567"/>
              </w:tabs>
              <w:rPr>
                <w:rFonts w:eastAsia="Times New Roman"/>
                <w:szCs w:val="24"/>
              </w:rPr>
            </w:pPr>
            <w:r w:rsidRPr="00A23740">
              <w:rPr>
                <w:rStyle w:val="MaviChar"/>
                <w:lang w:val="tr-TR"/>
              </w:rPr>
              <w:t>MADDE 44</w:t>
            </w:r>
            <w:r w:rsidR="003B700B" w:rsidRPr="00A23740">
              <w:rPr>
                <w:rStyle w:val="MaviChar"/>
                <w:lang w:val="tr-TR"/>
              </w:rPr>
              <w:t>7</w:t>
            </w:r>
            <w:r w:rsidRPr="00A23740">
              <w:rPr>
                <w:rStyle w:val="MaviChar"/>
                <w:lang w:val="tr-TR"/>
              </w:rPr>
              <w:t>- (</w:t>
            </w:r>
            <w:r w:rsidRPr="00A23740">
              <w:rPr>
                <w:rFonts w:eastAsia="Times New Roman"/>
                <w:b/>
                <w:color w:val="0000FF"/>
                <w:szCs w:val="24"/>
              </w:rPr>
              <w:t>1)</w:t>
            </w:r>
            <w:r w:rsidRPr="00A23740">
              <w:rPr>
                <w:rFonts w:eastAsia="Times New Roman"/>
                <w:b/>
                <w:szCs w:val="24"/>
              </w:rPr>
              <w:t xml:space="preserve"> </w:t>
            </w:r>
            <w:r w:rsidRPr="00A23740">
              <w:rPr>
                <w:rFonts w:eastAsia="Times New Roman"/>
                <w:szCs w:val="24"/>
              </w:rPr>
              <w:t>Malvarlığı borçlarına yetmeyen bir borçlunun, alacaklılarına zarar verme</w:t>
            </w:r>
            <w:r w:rsidRPr="00A23740">
              <w:rPr>
                <w:rFonts w:eastAsia="Times New Roman"/>
                <w:b/>
                <w:color w:val="0000FF"/>
                <w:szCs w:val="24"/>
              </w:rPr>
              <w:t xml:space="preserve">k veya bazı alacaklılarını diğerlerine </w:t>
            </w:r>
            <w:r w:rsidR="007C6F2A" w:rsidRPr="00814E71">
              <w:rPr>
                <w:rStyle w:val="MaviChar"/>
              </w:rPr>
              <w:t>göre</w:t>
            </w:r>
            <w:r w:rsidR="007C6F2A" w:rsidRPr="00A23740">
              <w:rPr>
                <w:rFonts w:eastAsia="Times New Roman"/>
                <w:b/>
                <w:color w:val="0000FF"/>
                <w:szCs w:val="24"/>
              </w:rPr>
              <w:t xml:space="preserve"> </w:t>
            </w:r>
            <w:r w:rsidRPr="00A23740">
              <w:rPr>
                <w:rFonts w:eastAsia="Times New Roman"/>
                <w:b/>
                <w:color w:val="0000FF"/>
                <w:szCs w:val="24"/>
              </w:rPr>
              <w:t xml:space="preserve">avantajlı duruma getirmek </w:t>
            </w:r>
            <w:r w:rsidRPr="00A23740">
              <w:rPr>
                <w:rFonts w:eastAsia="Times New Roman"/>
                <w:bCs/>
              </w:rPr>
              <w:t>kastıyla</w:t>
            </w:r>
            <w:r w:rsidRPr="00A23740">
              <w:rPr>
                <w:rFonts w:eastAsia="Times New Roman"/>
                <w:szCs w:val="24"/>
              </w:rPr>
              <w:t xml:space="preserve"> yaptığı tüm işlemler, borçlunun içinde bulund</w:t>
            </w:r>
            <w:r w:rsidR="007C6F2A" w:rsidRPr="00A23740">
              <w:rPr>
                <w:rFonts w:eastAsia="Times New Roman"/>
                <w:szCs w:val="24"/>
              </w:rPr>
              <w:t>uğu mali</w:t>
            </w:r>
            <w:r w:rsidRPr="00A23740">
              <w:rPr>
                <w:rFonts w:eastAsia="Times New Roman"/>
                <w:szCs w:val="24"/>
              </w:rPr>
              <w:t xml:space="preserve"> durumun ve </w:t>
            </w:r>
            <w:r w:rsidRPr="00A23740">
              <w:rPr>
                <w:rFonts w:eastAsia="Times New Roman"/>
                <w:bCs/>
              </w:rPr>
              <w:t>zarar verme</w:t>
            </w:r>
            <w:r w:rsidRPr="00A23740">
              <w:rPr>
                <w:rFonts w:eastAsia="Times New Roman"/>
              </w:rPr>
              <w:t xml:space="preserve"> </w:t>
            </w:r>
            <w:r w:rsidRPr="00A23740">
              <w:rPr>
                <w:rFonts w:eastAsia="Times New Roman"/>
                <w:bCs/>
              </w:rPr>
              <w:t>kastının</w:t>
            </w:r>
            <w:r w:rsidRPr="00A23740">
              <w:rPr>
                <w:rFonts w:eastAsia="Times New Roman"/>
                <w:szCs w:val="24"/>
              </w:rPr>
              <w:t xml:space="preserve"> işlemin diğer tarafınca bilindiği veya bilinmesini gerektiren açık emarelerin bulunduğu hâllerde iptal edilebilir.</w:t>
            </w:r>
          </w:p>
          <w:p w:rsidR="00AA5C8C" w:rsidRPr="00A23740" w:rsidRDefault="00AA5C8C" w:rsidP="009431FF">
            <w:pPr>
              <w:pStyle w:val="KIRMIZI"/>
              <w:rPr>
                <w:rStyle w:val="MAVChar"/>
                <w:rFonts w:eastAsia="ヒラギノ明朝 Pro W3"/>
                <w:b/>
                <w:bCs/>
                <w:color w:val="339933"/>
                <w:u w:val="none"/>
              </w:rPr>
            </w:pPr>
          </w:p>
          <w:p w:rsidR="00AA5C8C" w:rsidRPr="00A23740" w:rsidRDefault="00AA5C8C" w:rsidP="009431FF">
            <w:pPr>
              <w:pStyle w:val="MAV"/>
              <w:rPr>
                <w:b w:val="0"/>
                <w:bCs w:val="0"/>
                <w:color w:val="auto"/>
                <w:u w:val="none"/>
                <w:lang w:val="tr-TR" w:eastAsia="en-US"/>
              </w:rPr>
            </w:pPr>
          </w:p>
          <w:p w:rsidR="00ED5A80" w:rsidRPr="00A23740" w:rsidRDefault="00ED5A80" w:rsidP="009431FF">
            <w:pPr>
              <w:pStyle w:val="MAV"/>
              <w:rPr>
                <w:rStyle w:val="MAVChar"/>
                <w:b/>
                <w:u w:val="none"/>
                <w:lang w:val="tr-TR"/>
              </w:rPr>
            </w:pPr>
          </w:p>
          <w:p w:rsidR="00ED5A80" w:rsidRPr="00A23740" w:rsidRDefault="00ED5A80" w:rsidP="009431FF">
            <w:pPr>
              <w:pStyle w:val="MAV"/>
              <w:rPr>
                <w:rStyle w:val="MAVChar"/>
                <w:b/>
                <w:u w:val="none"/>
                <w:lang w:val="tr-TR"/>
              </w:rPr>
            </w:pPr>
          </w:p>
          <w:p w:rsidR="00ED5A80" w:rsidRPr="00A23740" w:rsidRDefault="00ED5A80" w:rsidP="009431FF">
            <w:pPr>
              <w:pStyle w:val="MAV"/>
              <w:rPr>
                <w:rStyle w:val="MAVChar"/>
                <w:b/>
                <w:u w:val="none"/>
                <w:lang w:val="tr-TR"/>
              </w:rPr>
            </w:pPr>
          </w:p>
          <w:p w:rsidR="00AA5C8C" w:rsidRPr="00A23740" w:rsidRDefault="00AA5C8C" w:rsidP="009431FF">
            <w:pPr>
              <w:pStyle w:val="MAV"/>
              <w:rPr>
                <w:rFonts w:eastAsia="Calibri"/>
                <w:u w:val="none"/>
                <w:lang w:val="tr-TR"/>
              </w:rPr>
            </w:pPr>
            <w:r w:rsidRPr="00A23740">
              <w:rPr>
                <w:rStyle w:val="MAVChar"/>
                <w:b/>
                <w:u w:val="none"/>
                <w:lang w:val="tr-TR"/>
              </w:rPr>
              <w:t>(2)</w:t>
            </w:r>
            <w:r w:rsidRPr="00A23740">
              <w:rPr>
                <w:u w:val="none"/>
                <w:lang w:val="tr-TR"/>
              </w:rPr>
              <w:t xml:space="preserve"> </w:t>
            </w:r>
            <w:r w:rsidRPr="00A23740">
              <w:rPr>
                <w:rStyle w:val="Balk3Char"/>
                <w:color w:val="auto"/>
                <w:u w:val="none"/>
                <w:lang w:val="tr-TR"/>
              </w:rPr>
              <w:t>Üçüncü</w:t>
            </w:r>
            <w:r w:rsidRPr="00A23740">
              <w:rPr>
                <w:rStyle w:val="Balk3Char"/>
                <w:b/>
                <w:color w:val="auto"/>
                <w:u w:val="none"/>
                <w:lang w:val="tr-TR"/>
              </w:rPr>
              <w:t xml:space="preserve"> </w:t>
            </w:r>
            <w:r w:rsidRPr="00A23740">
              <w:rPr>
                <w:rStyle w:val="MaviChar"/>
                <w:rFonts w:eastAsia="ヒラギノ明朝 Pro W3"/>
                <w:b/>
                <w:u w:val="none"/>
              </w:rPr>
              <w:t>kişi</w:t>
            </w:r>
            <w:r w:rsidRPr="00F76168">
              <w:rPr>
                <w:rStyle w:val="Balk3Char"/>
                <w:color w:val="auto"/>
                <w:u w:val="none"/>
                <w:lang w:val="tr-TR"/>
              </w:rPr>
              <w:t>,</w:t>
            </w:r>
            <w:r w:rsidRPr="00A23740">
              <w:rPr>
                <w:rStyle w:val="Balk3Char"/>
                <w:b/>
                <w:color w:val="auto"/>
                <w:u w:val="none"/>
                <w:lang w:val="tr-TR"/>
              </w:rPr>
              <w:t xml:space="preserve"> </w:t>
            </w:r>
            <w:r w:rsidRPr="00A23740">
              <w:rPr>
                <w:rStyle w:val="Balk3Char"/>
                <w:color w:val="auto"/>
                <w:u w:val="none"/>
                <w:lang w:val="tr-TR"/>
              </w:rPr>
              <w:t>borçlunun</w:t>
            </w:r>
            <w:r w:rsidRPr="00A23740">
              <w:rPr>
                <w:u w:val="none"/>
                <w:lang w:val="tr-TR"/>
              </w:rPr>
              <w:t xml:space="preserve"> altsoyu ve üstsoyu, üçüncü derece dahil kan hısımı, son bir yıl içinde evlilik birliği sona ermiş olsa bile eşi ve üçüncü derece dahil kayın hısımı</w:t>
            </w:r>
            <w:r w:rsidRPr="00A23740">
              <w:rPr>
                <w:b w:val="0"/>
                <w:bCs w:val="0"/>
                <w:color w:val="auto"/>
                <w:u w:val="none"/>
                <w:lang w:val="tr-TR" w:eastAsia="en-US"/>
              </w:rPr>
              <w:t>, evlat edineni veya evlatlığı</w:t>
            </w:r>
            <w:r w:rsidRPr="00A23740">
              <w:rPr>
                <w:u w:val="none"/>
                <w:lang w:val="tr-TR"/>
              </w:rPr>
              <w:t xml:space="preserve">, borçluyla ortak konutta yaşayan bir kişi ise, bu </w:t>
            </w:r>
            <w:r w:rsidRPr="00A23740">
              <w:rPr>
                <w:rStyle w:val="MaviChar"/>
                <w:rFonts w:eastAsia="ヒラギノ明朝 Pro W3"/>
                <w:b/>
                <w:u w:val="none"/>
              </w:rPr>
              <w:t>kişilerin</w:t>
            </w:r>
            <w:r w:rsidRPr="00A23740">
              <w:rPr>
                <w:u w:val="none"/>
                <w:lang w:val="tr-TR"/>
              </w:rPr>
              <w:t xml:space="preserve"> borçlunun </w:t>
            </w:r>
            <w:r w:rsidRPr="00A23740">
              <w:rPr>
                <w:b w:val="0"/>
                <w:bCs w:val="0"/>
                <w:color w:val="auto"/>
                <w:u w:val="none"/>
                <w:lang w:val="tr-TR" w:eastAsia="en-US"/>
              </w:rPr>
              <w:t>birinci fıkrada beyan olunan durumunu bildiği</w:t>
            </w:r>
            <w:r w:rsidRPr="00A23740">
              <w:rPr>
                <w:u w:val="none"/>
                <w:lang w:val="tr-TR"/>
              </w:rPr>
              <w:t xml:space="preserve"> kabul </w:t>
            </w:r>
            <w:r w:rsidRPr="00A23740">
              <w:rPr>
                <w:b w:val="0"/>
                <w:bCs w:val="0"/>
                <w:color w:val="auto"/>
                <w:u w:val="none"/>
                <w:lang w:val="tr-TR" w:eastAsia="en-US"/>
              </w:rPr>
              <w:t>olunur.</w:t>
            </w:r>
            <w:r w:rsidRPr="00A23740">
              <w:rPr>
                <w:u w:val="none"/>
                <w:lang w:val="tr-TR"/>
              </w:rPr>
              <w:t xml:space="preserve"> </w:t>
            </w:r>
            <w:r w:rsidR="007C6F2A" w:rsidRPr="00814E71">
              <w:rPr>
                <w:rStyle w:val="MaviChar"/>
                <w:rFonts w:eastAsia="ヒラギノ明朝 Pro W3"/>
                <w:b/>
                <w:u w:val="none"/>
              </w:rPr>
              <w:t>Üçüncü</w:t>
            </w:r>
            <w:r w:rsidR="007C6F2A" w:rsidRPr="00A23740">
              <w:rPr>
                <w:rStyle w:val="YELChar"/>
                <w:b/>
                <w:u w:val="none"/>
              </w:rPr>
              <w:t xml:space="preserve"> </w:t>
            </w:r>
            <w:r w:rsidR="007C6F2A" w:rsidRPr="00814E71">
              <w:rPr>
                <w:rStyle w:val="MaviChar"/>
                <w:rFonts w:eastAsia="ヒラギノ明朝 Pro W3"/>
                <w:b/>
                <w:u w:val="none"/>
              </w:rPr>
              <w:t>kişi,</w:t>
            </w:r>
            <w:r w:rsidR="007C6F2A" w:rsidRPr="00A23740">
              <w:rPr>
                <w:u w:val="none"/>
                <w:lang w:val="tr-TR"/>
              </w:rPr>
              <w:t xml:space="preserve"> </w:t>
            </w:r>
            <w:r w:rsidR="007C6F2A" w:rsidRPr="00A23740">
              <w:rPr>
                <w:b w:val="0"/>
                <w:bCs w:val="0"/>
                <w:color w:val="auto"/>
                <w:u w:val="none"/>
                <w:lang w:val="tr-TR" w:eastAsia="en-US"/>
              </w:rPr>
              <w:t>bunun</w:t>
            </w:r>
            <w:r w:rsidR="007C6F2A" w:rsidRPr="00A23740">
              <w:rPr>
                <w:rFonts w:eastAsia="Calibri"/>
                <w:u w:val="none"/>
                <w:lang w:val="tr-TR"/>
              </w:rPr>
              <w:t xml:space="preserve"> </w:t>
            </w:r>
            <w:r w:rsidRPr="00A23740">
              <w:rPr>
                <w:rFonts w:eastAsia="Calibri"/>
                <w:u w:val="none"/>
                <w:lang w:val="tr-TR"/>
              </w:rPr>
              <w:t xml:space="preserve">aksini </w:t>
            </w:r>
            <w:r w:rsidRPr="00A23740">
              <w:rPr>
                <w:b w:val="0"/>
                <w:bCs w:val="0"/>
                <w:color w:val="auto"/>
                <w:u w:val="none"/>
                <w:lang w:val="tr-TR" w:eastAsia="en-US"/>
              </w:rPr>
              <w:t>ancak</w:t>
            </w:r>
            <w:r w:rsidR="001040F7" w:rsidRPr="00A23740">
              <w:rPr>
                <w:b w:val="0"/>
                <w:bCs w:val="0"/>
                <w:color w:val="auto"/>
                <w:u w:val="none"/>
                <w:lang w:val="tr-TR" w:eastAsia="en-US"/>
              </w:rPr>
              <w:t xml:space="preserve"> </w:t>
            </w:r>
            <w:r w:rsidR="001040F7" w:rsidRPr="00814E71">
              <w:rPr>
                <w:rStyle w:val="MaviChar"/>
                <w:b/>
                <w:u w:val="none"/>
              </w:rPr>
              <w:t>446 ncı</w:t>
            </w:r>
            <w:r w:rsidRPr="00A23740">
              <w:rPr>
                <w:b w:val="0"/>
                <w:bCs w:val="0"/>
                <w:color w:val="auto"/>
                <w:u w:val="none"/>
                <w:lang w:val="tr-TR" w:eastAsia="en-US"/>
              </w:rPr>
              <w:t xml:space="preserve"> maddenin </w:t>
            </w:r>
            <w:r w:rsidRPr="00A23740">
              <w:rPr>
                <w:rStyle w:val="MaviChar"/>
                <w:b/>
                <w:u w:val="none"/>
              </w:rPr>
              <w:t>ikinci</w:t>
            </w:r>
            <w:r w:rsidRPr="00A23740">
              <w:rPr>
                <w:b w:val="0"/>
                <w:bCs w:val="0"/>
                <w:color w:val="auto"/>
                <w:u w:val="none"/>
                <w:lang w:val="tr-TR" w:eastAsia="en-US"/>
              </w:rPr>
              <w:t xml:space="preserve"> fıkrasına göre is</w:t>
            </w:r>
            <w:r w:rsidRPr="00A23740">
              <w:rPr>
                <w:rStyle w:val="MaviChar"/>
                <w:rFonts w:eastAsia="Calibri"/>
                <w:b/>
                <w:u w:val="none"/>
                <w:lang w:eastAsia="en-US"/>
              </w:rPr>
              <w:t>p</w:t>
            </w:r>
            <w:r w:rsidRPr="00A23740">
              <w:rPr>
                <w:b w:val="0"/>
                <w:bCs w:val="0"/>
                <w:color w:val="auto"/>
                <w:u w:val="none"/>
                <w:lang w:val="tr-TR" w:eastAsia="en-US"/>
              </w:rPr>
              <w:t>at edebilir.</w:t>
            </w:r>
          </w:p>
          <w:p w:rsidR="00AA5C8C" w:rsidRPr="00A23740" w:rsidRDefault="00AA5C8C" w:rsidP="009431FF">
            <w:pPr>
              <w:pStyle w:val="MAV"/>
              <w:rPr>
                <w:u w:val="none"/>
                <w:lang w:val="tr-TR"/>
              </w:rPr>
            </w:pPr>
          </w:p>
          <w:p w:rsidR="00AA5C8C" w:rsidRPr="00A23740" w:rsidRDefault="00AA5C8C" w:rsidP="009431FF">
            <w:pPr>
              <w:pStyle w:val="Mavi"/>
              <w:rPr>
                <w:bCs w:val="0"/>
                <w:lang w:val="tr-TR"/>
              </w:rPr>
            </w:pPr>
            <w:r w:rsidRPr="00A23740">
              <w:rPr>
                <w:lang w:val="tr-TR"/>
              </w:rPr>
              <w:t xml:space="preserve">(3) </w:t>
            </w:r>
            <w:r w:rsidRPr="00A23740">
              <w:t>Tüzel kişi</w:t>
            </w:r>
            <w:r w:rsidRPr="00A23740">
              <w:rPr>
                <w:lang w:val="tr-TR"/>
              </w:rPr>
              <w:t xml:space="preserve"> borçlunun temsilcisinin veya yönetim ya da denetim organı üyesini</w:t>
            </w:r>
            <w:r w:rsidRPr="00A23740">
              <w:t>n,</w:t>
            </w:r>
            <w:r w:rsidRPr="00A23740">
              <w:rPr>
                <w:lang w:val="tr-TR"/>
              </w:rPr>
              <w:t xml:space="preserve"> şahsen sorumlu ortağının, sermayesinin dörtte birinden fazlasını elinde bulunduran kişinin</w:t>
            </w:r>
            <w:r w:rsidR="008075B6" w:rsidRPr="008075B6">
              <w:rPr>
                <w:rStyle w:val="KIRMIZIChar"/>
                <w:rFonts w:eastAsia="Calibri"/>
                <w:b/>
                <w:strike w:val="0"/>
              </w:rPr>
              <w:t xml:space="preserve"> </w:t>
            </w:r>
            <w:r w:rsidR="00611DCB" w:rsidRPr="00814E71">
              <w:t>veya</w:t>
            </w:r>
            <w:r w:rsidR="00611DCB" w:rsidRPr="00A23740">
              <w:rPr>
                <w:lang w:val="tr-TR"/>
              </w:rPr>
              <w:t xml:space="preserve"> </w:t>
            </w:r>
            <w:r w:rsidRPr="00A23740">
              <w:rPr>
                <w:lang w:val="tr-TR"/>
              </w:rPr>
              <w:t xml:space="preserve">işçisinin </w:t>
            </w:r>
            <w:r w:rsidR="00611DCB" w:rsidRPr="00814E71">
              <w:t>ya da</w:t>
            </w:r>
            <w:r w:rsidR="00611DCB" w:rsidRPr="00A23740">
              <w:rPr>
                <w:lang w:val="tr-TR"/>
              </w:rPr>
              <w:t xml:space="preserve"> </w:t>
            </w:r>
            <w:r w:rsidRPr="00A23740">
              <w:rPr>
                <w:lang w:val="tr-TR"/>
              </w:rPr>
              <w:t xml:space="preserve">borçlu ile aynı şirketler topluluğunun üyesi olan şirketin, borçlunun birinci fıkrada beyan olunan durumunu bildiği kabul olunur. </w:t>
            </w:r>
            <w:r w:rsidR="007C6F2A" w:rsidRPr="00814E71">
              <w:t>Üçüncü kişi,</w:t>
            </w:r>
            <w:r w:rsidR="007C6F2A" w:rsidRPr="00A23740">
              <w:rPr>
                <w:lang w:val="tr-TR"/>
              </w:rPr>
              <w:t xml:space="preserve"> </w:t>
            </w:r>
            <w:r w:rsidR="007C6F2A" w:rsidRPr="00A23740">
              <w:rPr>
                <w:bCs w:val="0"/>
                <w:lang w:val="tr-TR"/>
              </w:rPr>
              <w:t xml:space="preserve">bunun </w:t>
            </w:r>
            <w:r w:rsidRPr="00A23740">
              <w:rPr>
                <w:bCs w:val="0"/>
                <w:lang w:val="tr-TR"/>
              </w:rPr>
              <w:t xml:space="preserve">aksini ancak </w:t>
            </w:r>
            <w:r w:rsidRPr="00A23740">
              <w:t>borçlunun malvarlığından fazla olması nedeniyle iptale ilişkin</w:t>
            </w:r>
            <w:r w:rsidRPr="00A23740">
              <w:rPr>
                <w:bCs w:val="0"/>
                <w:lang w:val="tr-TR"/>
              </w:rPr>
              <w:t xml:space="preserve"> </w:t>
            </w:r>
            <w:r w:rsidR="001040F7" w:rsidRPr="00814E71">
              <w:t>446 ncı</w:t>
            </w:r>
            <w:r w:rsidR="001040F7" w:rsidRPr="00A23740">
              <w:rPr>
                <w:b w:val="0"/>
                <w:bCs w:val="0"/>
                <w:color w:val="auto"/>
                <w:lang w:val="tr-TR" w:eastAsia="en-US"/>
              </w:rPr>
              <w:t xml:space="preserve"> </w:t>
            </w:r>
            <w:r w:rsidRPr="00A23740">
              <w:rPr>
                <w:rStyle w:val="Stil5Char0"/>
                <w:b/>
                <w:lang w:val="tr-TR"/>
              </w:rPr>
              <w:t xml:space="preserve"> </w:t>
            </w:r>
            <w:r w:rsidRPr="00A23740">
              <w:rPr>
                <w:bCs w:val="0"/>
                <w:lang w:val="tr-TR"/>
              </w:rPr>
              <w:t>maddenin ikinci fıkrasına göre ispat edebilir.</w:t>
            </w:r>
          </w:p>
          <w:p w:rsidR="00611DCB" w:rsidRPr="00A23740" w:rsidRDefault="00611DCB" w:rsidP="009431FF">
            <w:pPr>
              <w:pStyle w:val="Mavi"/>
              <w:rPr>
                <w:lang w:val="tr-TR"/>
              </w:rPr>
            </w:pPr>
          </w:p>
          <w:p w:rsidR="00AA5C8C" w:rsidRPr="00A23740" w:rsidRDefault="00AA5C8C" w:rsidP="009431FF">
            <w:pPr>
              <w:pStyle w:val="KIRMIZI"/>
            </w:pPr>
          </w:p>
        </w:tc>
      </w:tr>
      <w:tr w:rsidR="00BD7568" w:rsidRPr="00A23740" w:rsidTr="009431FF">
        <w:tc>
          <w:tcPr>
            <w:tcW w:w="5000" w:type="pct"/>
            <w:gridSpan w:val="2"/>
            <w:shd w:val="clear" w:color="auto" w:fill="DEEAF6"/>
          </w:tcPr>
          <w:p w:rsidR="0047435E" w:rsidRPr="00A23740" w:rsidRDefault="0047435E" w:rsidP="009431FF">
            <w:pPr>
              <w:tabs>
                <w:tab w:val="left" w:pos="567"/>
              </w:tabs>
              <w:ind w:firstLine="709"/>
              <w:rPr>
                <w:b/>
                <w:bCs/>
                <w:szCs w:val="24"/>
                <w:lang w:eastAsia="x-none"/>
              </w:rPr>
            </w:pPr>
          </w:p>
          <w:p w:rsidR="00CB25D1" w:rsidRPr="00A23740" w:rsidRDefault="001C62D2" w:rsidP="009431FF">
            <w:pPr>
              <w:tabs>
                <w:tab w:val="left" w:pos="567"/>
              </w:tabs>
              <w:ind w:firstLine="709"/>
              <w:rPr>
                <w:bCs/>
              </w:rPr>
            </w:pPr>
            <w:r w:rsidRPr="00A23740">
              <w:rPr>
                <w:b/>
                <w:bCs/>
              </w:rPr>
              <w:t>MADDE 4</w:t>
            </w:r>
            <w:r w:rsidR="003B700B" w:rsidRPr="00A23740">
              <w:rPr>
                <w:b/>
                <w:bCs/>
              </w:rPr>
              <w:t>47</w:t>
            </w:r>
            <w:r w:rsidRPr="00A23740">
              <w:rPr>
                <w:b/>
                <w:bCs/>
              </w:rPr>
              <w:t xml:space="preserve">- </w:t>
            </w:r>
            <w:r w:rsidRPr="00A23740">
              <w:rPr>
                <w:bCs/>
              </w:rPr>
              <w:t>Madde, zarar verme kastıyla yapılan işlemlerden dolayı iptal h</w:t>
            </w:r>
            <w:r w:rsidR="00C2196C" w:rsidRPr="00A23740">
              <w:rPr>
                <w:bCs/>
              </w:rPr>
              <w:t>â</w:t>
            </w:r>
            <w:r w:rsidRPr="00A23740">
              <w:rPr>
                <w:bCs/>
              </w:rPr>
              <w:t>line ilişki</w:t>
            </w:r>
            <w:r w:rsidR="00290FB4" w:rsidRPr="00A23740">
              <w:rPr>
                <w:bCs/>
              </w:rPr>
              <w:t xml:space="preserve">n olup, 2004 sayılı Kanunun 280 </w:t>
            </w:r>
            <w:r w:rsidRPr="00A23740">
              <w:rPr>
                <w:bCs/>
              </w:rPr>
              <w:t xml:space="preserve">inci maddesini karşılamaktadır. Konunun esası aynı kalmakla birlikte, maddede bazı değişiklikler yapılmıştır. </w:t>
            </w:r>
          </w:p>
          <w:p w:rsidR="00CB25D1" w:rsidRPr="00A23740" w:rsidRDefault="001C62D2" w:rsidP="009431FF">
            <w:pPr>
              <w:tabs>
                <w:tab w:val="left" w:pos="567"/>
              </w:tabs>
              <w:ind w:firstLine="709"/>
              <w:rPr>
                <w:bCs/>
              </w:rPr>
            </w:pPr>
            <w:r w:rsidRPr="00A23740">
              <w:rPr>
                <w:bCs/>
              </w:rPr>
              <w:t xml:space="preserve">Öncelikle birinci fıkraya “zarar vermek”ten sonra gelmek üzere, “veya bazı alacaklılarını diğerlerine </w:t>
            </w:r>
            <w:r w:rsidR="007C6F2A" w:rsidRPr="00814E71">
              <w:t>göre</w:t>
            </w:r>
            <w:r w:rsidR="007C6F2A" w:rsidRPr="00A23740">
              <w:rPr>
                <w:bCs/>
              </w:rPr>
              <w:t xml:space="preserve"> </w:t>
            </w:r>
            <w:r w:rsidRPr="00A23740">
              <w:rPr>
                <w:bCs/>
              </w:rPr>
              <w:t>avantajlı duruma getirmek” ibaresi eklenmiştir. Bu ibarenin metne eklenme amacı, tasarrufun iptali davasının davalıları tarafından, iptali istenilen işlemin zarar verme kastıyla değil, borçlunun bazı alacaklılara olan borçlarını ödeme amacıyla yapılan işlem olduğu yönündeki yoğun savunmalarını bertaraf etmektir. Maddede yapılan ikinci önemli değişiklik ise, eski metinde bulunan “işlemin gerçekleştiği tarihten itibaren beş yıl içinde borçlu aleyhine haciz veya ifl</w:t>
            </w:r>
            <w:r w:rsidR="005A3987" w:rsidRPr="00A23740">
              <w:rPr>
                <w:bCs/>
              </w:rPr>
              <w:t>a</w:t>
            </w:r>
            <w:r w:rsidRPr="00A23740">
              <w:rPr>
                <w:bCs/>
              </w:rPr>
              <w:t xml:space="preserve">s yoluyla takipte bulunulmuş olmalıdır” cümlesinin tamamen kaldırılmış olmasıdır. Bu sayede sürelerin tespiti bakımından kolaylık sağlanmış olacaktır. </w:t>
            </w:r>
          </w:p>
          <w:p w:rsidR="00CB25D1" w:rsidRPr="00A23740" w:rsidRDefault="001C62D2" w:rsidP="009431FF">
            <w:pPr>
              <w:tabs>
                <w:tab w:val="left" w:pos="567"/>
              </w:tabs>
              <w:ind w:firstLine="709"/>
              <w:rPr>
                <w:bCs/>
              </w:rPr>
            </w:pPr>
            <w:r w:rsidRPr="00A23740">
              <w:rPr>
                <w:bCs/>
              </w:rPr>
              <w:t>Maddenin ikinci fıkr</w:t>
            </w:r>
            <w:r w:rsidR="00290FB4" w:rsidRPr="00A23740">
              <w:rPr>
                <w:bCs/>
              </w:rPr>
              <w:t>asında, 2004 sayılı Kanunun 280 i</w:t>
            </w:r>
            <w:r w:rsidRPr="00A23740">
              <w:rPr>
                <w:bCs/>
              </w:rPr>
              <w:t>nci maddesinde de yer alan yakın akrabalar bakımından getirilmiş karine ve aksini ispat imkânı</w:t>
            </w:r>
            <w:r w:rsidR="00290FB4" w:rsidRPr="00A23740">
              <w:rPr>
                <w:bCs/>
              </w:rPr>
              <w:t xml:space="preserve"> yine korunmuştur. Ancak </w:t>
            </w:r>
            <w:r w:rsidR="001040F7" w:rsidRPr="00814E71">
              <w:t>445 inci</w:t>
            </w:r>
            <w:r w:rsidR="001040F7" w:rsidRPr="00A23740">
              <w:rPr>
                <w:bCs/>
              </w:rPr>
              <w:t xml:space="preserve"> </w:t>
            </w:r>
            <w:r w:rsidRPr="00A23740">
              <w:rPr>
                <w:bCs/>
              </w:rPr>
              <w:t>madde düzenlemesine paralel olarak, ortak konutta yaşayan kişiler de bu kapsama dahil edilmiş ve evlilik birliğinin son bir yıl içinde ortadan kalkmış olması ihtim</w:t>
            </w:r>
            <w:r w:rsidR="00290FB4" w:rsidRPr="00A23740">
              <w:rPr>
                <w:bCs/>
              </w:rPr>
              <w:t xml:space="preserve">aline ilişkin durum da </w:t>
            </w:r>
            <w:r w:rsidR="00290FB4" w:rsidRPr="00814E71">
              <w:t xml:space="preserve">yine </w:t>
            </w:r>
            <w:r w:rsidR="001040F7" w:rsidRPr="00814E71">
              <w:t>445 inci</w:t>
            </w:r>
            <w:r w:rsidR="001040F7" w:rsidRPr="00A23740">
              <w:rPr>
                <w:bCs/>
              </w:rPr>
              <w:t xml:space="preserve"> </w:t>
            </w:r>
            <w:r w:rsidRPr="00A23740">
              <w:rPr>
                <w:bCs/>
              </w:rPr>
              <w:t>maddeye pa</w:t>
            </w:r>
            <w:r w:rsidR="001040F7" w:rsidRPr="00A23740">
              <w:rPr>
                <w:bCs/>
              </w:rPr>
              <w:t>ralel olarak metne eklenmiştir.</w:t>
            </w:r>
          </w:p>
          <w:p w:rsidR="00CB25D1" w:rsidRPr="00A23740" w:rsidRDefault="001C62D2" w:rsidP="009431FF">
            <w:pPr>
              <w:tabs>
                <w:tab w:val="left" w:pos="567"/>
              </w:tabs>
              <w:ind w:firstLine="709"/>
              <w:rPr>
                <w:bCs/>
              </w:rPr>
            </w:pPr>
            <w:r w:rsidRPr="00A23740">
              <w:rPr>
                <w:bCs/>
              </w:rPr>
              <w:t xml:space="preserve">Maddenin üçüncü fıkrası </w:t>
            </w:r>
            <w:r w:rsidR="00CB77B4" w:rsidRPr="00814E71">
              <w:t>Alman ve İsviçre hukuklarını takiben</w:t>
            </w:r>
            <w:r w:rsidR="00CB77B4" w:rsidRPr="00A23740">
              <w:rPr>
                <w:bCs/>
              </w:rPr>
              <w:t xml:space="preserve"> </w:t>
            </w:r>
            <w:r w:rsidRPr="00A23740">
              <w:rPr>
                <w:bCs/>
              </w:rPr>
              <w:t>yeni ihdas edilmiştir. Yeni fıkraya göre, tüzel kişi borçlunun temsilcisinin veya yönetim ya da denetim organının üyesinin, şahsen sorumlu ortağının, sermayesinin dörtte birinden fazlasını elinde bulunduran kişinin; işçisinin; borçlu ile aynı şirketler topl</w:t>
            </w:r>
            <w:r w:rsidR="00335C53" w:rsidRPr="00A23740">
              <w:rPr>
                <w:bCs/>
              </w:rPr>
              <w:t>uluğunun üyesi olan şirketin de</w:t>
            </w:r>
            <w:r w:rsidRPr="00A23740">
              <w:rPr>
                <w:bCs/>
              </w:rPr>
              <w:t xml:space="preserve"> ikinci fıkradaki gibi durumu bildiği, yine karine olarak kabul edilecektir. Bununla birlikte, bu kişilere de durumun aksini ispat imkânı sağlanmaktadır. </w:t>
            </w:r>
          </w:p>
          <w:p w:rsidR="00290FB4" w:rsidRPr="00A23740" w:rsidRDefault="001C62D2" w:rsidP="009431FF">
            <w:pPr>
              <w:tabs>
                <w:tab w:val="left" w:pos="567"/>
              </w:tabs>
              <w:ind w:firstLine="709"/>
              <w:rPr>
                <w:bCs/>
              </w:rPr>
            </w:pPr>
            <w:r w:rsidRPr="00A23740">
              <w:rPr>
                <w:bCs/>
              </w:rPr>
              <w:t>2004 sayılı Ka</w:t>
            </w:r>
            <w:r w:rsidR="00290FB4" w:rsidRPr="00A23740">
              <w:rPr>
                <w:bCs/>
              </w:rPr>
              <w:t xml:space="preserve">nunun 280 </w:t>
            </w:r>
            <w:r w:rsidRPr="00A23740">
              <w:rPr>
                <w:bCs/>
              </w:rPr>
              <w:t>inci maddesinin,ticari işletmeler</w:t>
            </w:r>
            <w:r w:rsidR="00B26D83" w:rsidRPr="00A23740">
              <w:rPr>
                <w:bCs/>
              </w:rPr>
              <w:t>in</w:t>
            </w:r>
            <w:r w:rsidRPr="00A23740">
              <w:rPr>
                <w:bCs/>
              </w:rPr>
              <w:t xml:space="preserve"> veya bunların emtiasının kısmen veya tamamen devri</w:t>
            </w:r>
            <w:r w:rsidR="00B26D83" w:rsidRPr="00A23740">
              <w:rPr>
                <w:bCs/>
              </w:rPr>
              <w:t>yle</w:t>
            </w:r>
            <w:r w:rsidRPr="00A23740">
              <w:rPr>
                <w:bCs/>
              </w:rPr>
              <w:t xml:space="preserve"> ilgili dördüncü fıkrası ise, öğretide ve uygulamada çok büyük eleştirilere maruz kalmakta</w:t>
            </w:r>
            <w:r w:rsidR="00B26D83" w:rsidRPr="00A23740">
              <w:rPr>
                <w:bCs/>
              </w:rPr>
              <w:t>ydı</w:t>
            </w:r>
            <w:r w:rsidRPr="00A23740">
              <w:rPr>
                <w:bCs/>
              </w:rPr>
              <w:t>. 2004 sayılı Kanunun mehazı olan İsviçre</w:t>
            </w:r>
            <w:r w:rsidR="00CB77B4" w:rsidRPr="00A23740">
              <w:rPr>
                <w:bCs/>
              </w:rPr>
              <w:t xml:space="preserve">’nin </w:t>
            </w:r>
            <w:r w:rsidR="00CB77B4" w:rsidRPr="00814E71">
              <w:t>Borç İçin Takip ve İflas Hakkında</w:t>
            </w:r>
            <w:r w:rsidRPr="00A23740">
              <w:rPr>
                <w:bCs/>
              </w:rPr>
              <w:t xml:space="preserve"> Federal Kanununda da bulunmayan </w:t>
            </w:r>
            <w:r w:rsidR="00B26D83" w:rsidRPr="00A23740">
              <w:rPr>
                <w:bCs/>
              </w:rPr>
              <w:t xml:space="preserve">bu muğlak </w:t>
            </w:r>
            <w:r w:rsidRPr="00A23740">
              <w:rPr>
                <w:bCs/>
              </w:rPr>
              <w:t>hükmün uygulanması büyük sorunlara yol açtığı için hüküm, uygulamada da rağbet görmemekte</w:t>
            </w:r>
            <w:r w:rsidR="00B26D83" w:rsidRPr="00A23740">
              <w:rPr>
                <w:bCs/>
              </w:rPr>
              <w:t>ydi</w:t>
            </w:r>
            <w:r w:rsidRPr="00A23740">
              <w:rPr>
                <w:bCs/>
              </w:rPr>
              <w:t xml:space="preserve">. Zaten bu hükümle ulaşılmak istenen amaca birinci fıkra hükmüyle ulaşmak da pekâlâ mümkündü. Tüm bu </w:t>
            </w:r>
            <w:r w:rsidR="00B26D83" w:rsidRPr="00A23740">
              <w:rPr>
                <w:bCs/>
              </w:rPr>
              <w:t xml:space="preserve">nedenlerle </w:t>
            </w:r>
            <w:r w:rsidRPr="00A23740">
              <w:rPr>
                <w:bCs/>
              </w:rPr>
              <w:t xml:space="preserve">söz konusu fıkra, yeni </w:t>
            </w:r>
            <w:r w:rsidR="00B26D83" w:rsidRPr="00A23740">
              <w:rPr>
                <w:bCs/>
              </w:rPr>
              <w:t xml:space="preserve">metne </w:t>
            </w:r>
            <w:r w:rsidRPr="00A23740">
              <w:rPr>
                <w:bCs/>
              </w:rPr>
              <w:t>alınmamıştır.</w:t>
            </w:r>
          </w:p>
          <w:p w:rsidR="00290FB4" w:rsidRPr="00A23740" w:rsidRDefault="001C62D2" w:rsidP="00F76168">
            <w:pPr>
              <w:tabs>
                <w:tab w:val="left" w:pos="567"/>
              </w:tabs>
              <w:ind w:firstLine="709"/>
              <w:rPr>
                <w:b/>
                <w:bCs/>
                <w:szCs w:val="24"/>
                <w:lang w:eastAsia="x-none"/>
              </w:rPr>
            </w:pPr>
            <w:r w:rsidRPr="00A23740">
              <w:rPr>
                <w:b/>
                <w:bCs/>
              </w:rPr>
              <w:t xml:space="preserve"> </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p w:rsidR="00AA5C8C" w:rsidRPr="00A23740" w:rsidRDefault="00AA5C8C" w:rsidP="00F76168">
            <w:pPr>
              <w:widowControl w:val="0"/>
              <w:tabs>
                <w:tab w:val="left" w:pos="567"/>
              </w:tabs>
              <w:rPr>
                <w:rFonts w:eastAsia="Times New Roman"/>
                <w:szCs w:val="24"/>
              </w:rPr>
            </w:pPr>
          </w:p>
        </w:tc>
        <w:tc>
          <w:tcPr>
            <w:tcW w:w="2500" w:type="pct"/>
          </w:tcPr>
          <w:p w:rsidR="00AA5C8C" w:rsidRPr="00A23740" w:rsidRDefault="00AA5C8C" w:rsidP="00F76168">
            <w:pPr>
              <w:pStyle w:val="MAV"/>
              <w:widowControl w:val="0"/>
              <w:jc w:val="center"/>
              <w:rPr>
                <w:u w:val="none"/>
                <w:lang w:val="tr-TR"/>
              </w:rPr>
            </w:pPr>
            <w:r w:rsidRPr="00A23740">
              <w:rPr>
                <w:u w:val="none"/>
                <w:lang w:val="tr-TR"/>
              </w:rPr>
              <w:t>ÜÇÜNCÜ BÖLÜM</w:t>
            </w:r>
          </w:p>
          <w:p w:rsidR="00AA5C8C" w:rsidRPr="00A23740" w:rsidRDefault="00CB77B4" w:rsidP="00F76168">
            <w:pPr>
              <w:pStyle w:val="MAV"/>
              <w:widowControl w:val="0"/>
              <w:jc w:val="center"/>
              <w:rPr>
                <w:u w:val="none"/>
                <w:lang w:val="tr-TR"/>
              </w:rPr>
            </w:pPr>
            <w:r w:rsidRPr="00814E71">
              <w:rPr>
                <w:rStyle w:val="MaviChar"/>
                <w:rFonts w:eastAsia="ヒラギノ明朝 Pro W3"/>
                <w:b/>
                <w:u w:val="none"/>
              </w:rPr>
              <w:t>Tasarrufun İptali Davasında</w:t>
            </w:r>
            <w:r w:rsidRPr="00A23740">
              <w:rPr>
                <w:u w:val="none"/>
                <w:lang w:val="tr-TR"/>
              </w:rPr>
              <w:t xml:space="preserve"> </w:t>
            </w:r>
            <w:r w:rsidR="00AA5C8C" w:rsidRPr="00A23740">
              <w:rPr>
                <w:u w:val="none"/>
                <w:lang w:val="tr-TR"/>
              </w:rPr>
              <w:t>Yargılama Usulü ile Davanın Hüküm ve Sonuçları</w:t>
            </w:r>
          </w:p>
          <w:p w:rsidR="00AA5C8C" w:rsidRPr="00A23740" w:rsidRDefault="00AA5C8C" w:rsidP="00F76168">
            <w:pPr>
              <w:widowControl w:val="0"/>
              <w:tabs>
                <w:tab w:val="left" w:pos="567"/>
              </w:tabs>
              <w:rPr>
                <w:rFonts w:eastAsia="Times New Roman"/>
                <w:szCs w:val="24"/>
              </w:rPr>
            </w:pPr>
          </w:p>
          <w:p w:rsidR="00AA5C8C" w:rsidRPr="00A23740" w:rsidRDefault="00AA5C8C" w:rsidP="00F76168">
            <w:pPr>
              <w:pStyle w:val="Mavi"/>
              <w:widowControl w:val="0"/>
            </w:pPr>
            <w:r w:rsidRPr="00A23740">
              <w:rPr>
                <w:rStyle w:val="YELChar"/>
                <w:rFonts w:eastAsia="Calibri"/>
                <w:b/>
                <w:color w:val="0000FF"/>
                <w:lang w:val="tr-TR" w:eastAsia="x-none"/>
              </w:rPr>
              <w:t>G</w:t>
            </w:r>
            <w:r w:rsidRPr="00A23740">
              <w:rPr>
                <w:rStyle w:val="YELChar"/>
                <w:rFonts w:eastAsia="Calibri"/>
                <w:b/>
                <w:color w:val="0000FF"/>
                <w:lang w:eastAsia="x-none"/>
              </w:rPr>
              <w:t>örevli ve</w:t>
            </w:r>
            <w:r w:rsidRPr="00A23740">
              <w:t xml:space="preserve"> yetkili mahkeme</w:t>
            </w:r>
          </w:p>
          <w:p w:rsidR="00AA5C8C" w:rsidRPr="00A23740" w:rsidRDefault="003B700B" w:rsidP="00F76168">
            <w:pPr>
              <w:pStyle w:val="Mavi"/>
              <w:widowControl w:val="0"/>
              <w:rPr>
                <w:lang w:val="tr-TR"/>
              </w:rPr>
            </w:pPr>
            <w:r w:rsidRPr="00A23740">
              <w:t>MADDE 448</w:t>
            </w:r>
            <w:r w:rsidR="00AA5C8C" w:rsidRPr="00A23740">
              <w:t xml:space="preserve">- (1) </w:t>
            </w:r>
            <w:r w:rsidR="00AA5C8C" w:rsidRPr="00A23740">
              <w:rPr>
                <w:rStyle w:val="YELChar"/>
                <w:rFonts w:eastAsia="Calibri"/>
                <w:b/>
                <w:color w:val="0000FF"/>
                <w:lang w:eastAsia="x-none"/>
              </w:rPr>
              <w:t>İptal davasında görevli mahkeme</w:t>
            </w:r>
            <w:r w:rsidR="00CB77B4" w:rsidRPr="00F76168">
              <w:rPr>
                <w:rStyle w:val="Balk1Char"/>
                <w:rFonts w:eastAsia="ヒラギノ明朝 Pro W3"/>
              </w:rPr>
              <w:t>,</w:t>
            </w:r>
            <w:r w:rsidR="00AA5C8C" w:rsidRPr="00A23740">
              <w:rPr>
                <w:rStyle w:val="YELChar"/>
                <w:rFonts w:eastAsia="Calibri"/>
                <w:b/>
                <w:color w:val="0000FF"/>
                <w:lang w:eastAsia="x-none"/>
              </w:rPr>
              <w:t xml:space="preserve"> asliye hukuk mahkemesidir.</w:t>
            </w:r>
          </w:p>
          <w:p w:rsidR="00AA5C8C" w:rsidRPr="00A23740" w:rsidRDefault="00AA5C8C" w:rsidP="00F76168">
            <w:pPr>
              <w:pStyle w:val="MAV"/>
              <w:widowControl w:val="0"/>
              <w:rPr>
                <w:u w:val="none"/>
                <w:lang w:val="tr-TR"/>
              </w:rPr>
            </w:pPr>
          </w:p>
          <w:p w:rsidR="00AA5C8C" w:rsidRPr="0090299D" w:rsidRDefault="00AA5C8C" w:rsidP="0090299D">
            <w:pPr>
              <w:pStyle w:val="MAV"/>
              <w:widowControl w:val="0"/>
              <w:rPr>
                <w:lang w:val="tr-TR"/>
              </w:rPr>
            </w:pPr>
            <w:r w:rsidRPr="00A23740">
              <w:rPr>
                <w:rStyle w:val="MaviChar"/>
                <w:rFonts w:eastAsia="ヒラギノ明朝 Pro W3"/>
                <w:b/>
                <w:u w:val="none"/>
              </w:rPr>
              <w:t>(2)</w:t>
            </w:r>
            <w:r w:rsidRPr="00A23740">
              <w:rPr>
                <w:rStyle w:val="MaviChar"/>
                <w:b/>
                <w:u w:val="none"/>
              </w:rPr>
              <w:t xml:space="preserve"> </w:t>
            </w:r>
            <w:r w:rsidRPr="00A23740">
              <w:rPr>
                <w:rStyle w:val="MaviChar"/>
                <w:rFonts w:eastAsia="ヒラギノ明朝 Pro W3"/>
                <w:b/>
                <w:u w:val="none"/>
              </w:rPr>
              <w:t>İptal davasında</w:t>
            </w:r>
            <w:r w:rsidRPr="00A23740">
              <w:rPr>
                <w:u w:val="none"/>
                <w:lang w:val="tr-TR"/>
              </w:rPr>
              <w:t xml:space="preserve"> borçlu tarafından lehine tasarruf yapılan üçüncü kişinin yerleşim </w:t>
            </w:r>
            <w:r w:rsidR="0090299D">
              <w:rPr>
                <w:u w:val="none"/>
                <w:lang w:val="tr-TR"/>
              </w:rPr>
              <w:t>yeri mahkemesi kesin yetkilidir.</w:t>
            </w:r>
          </w:p>
        </w:tc>
      </w:tr>
      <w:tr w:rsidR="00BD7568" w:rsidRPr="00A23740" w:rsidTr="009431FF">
        <w:tc>
          <w:tcPr>
            <w:tcW w:w="5000" w:type="pct"/>
            <w:gridSpan w:val="2"/>
            <w:shd w:val="clear" w:color="auto" w:fill="DEEAF6"/>
          </w:tcPr>
          <w:p w:rsidR="0047435E" w:rsidRPr="00A23740" w:rsidRDefault="0047435E" w:rsidP="009431FF">
            <w:pPr>
              <w:tabs>
                <w:tab w:val="left" w:pos="567"/>
              </w:tabs>
              <w:ind w:firstLine="709"/>
              <w:rPr>
                <w:b/>
                <w:bCs/>
                <w:szCs w:val="24"/>
                <w:lang w:eastAsia="x-none"/>
              </w:rPr>
            </w:pPr>
          </w:p>
          <w:p w:rsidR="003200B6" w:rsidRPr="00A23740" w:rsidRDefault="003B700B" w:rsidP="009431FF">
            <w:pPr>
              <w:tabs>
                <w:tab w:val="left" w:pos="567"/>
              </w:tabs>
              <w:ind w:firstLine="709"/>
            </w:pPr>
            <w:r w:rsidRPr="00A23740">
              <w:rPr>
                <w:b/>
              </w:rPr>
              <w:t>MADDE 448</w:t>
            </w:r>
            <w:r w:rsidR="001C62D2" w:rsidRPr="00A23740">
              <w:rPr>
                <w:b/>
              </w:rPr>
              <w:t>-</w:t>
            </w:r>
            <w:r w:rsidR="001C62D2" w:rsidRPr="00A23740">
              <w:t xml:space="preserve"> Madde yeni ihdas edilmiştir ve tasarrufun iptali davasında görevli ve yetkili mahkemeyi düzenlemektedir. İptal davasında görevli mahkemenin asliye hukuk mahkemesi olduğu açıkça ifade edilmiştir. Ayrıca bu fıkranın, “İptal davasına tabi mal v</w:t>
            </w:r>
            <w:r w:rsidR="00290FB4" w:rsidRPr="00A23740">
              <w:t>e haklar” başlığını taşıyan</w:t>
            </w:r>
            <w:r w:rsidR="001040F7" w:rsidRPr="00A23740">
              <w:t xml:space="preserve"> </w:t>
            </w:r>
            <w:r w:rsidR="001040F7" w:rsidRPr="00814E71">
              <w:t>297 nci</w:t>
            </w:r>
            <w:r w:rsidR="001040F7" w:rsidRPr="00A23740">
              <w:t xml:space="preserve"> </w:t>
            </w:r>
            <w:r w:rsidR="001C62D2" w:rsidRPr="00A23740">
              <w:t>maddenin birinci fıkrasının son cümlesi</w:t>
            </w:r>
            <w:r w:rsidR="00B26D83" w:rsidRPr="00A23740">
              <w:t>yle</w:t>
            </w:r>
            <w:r w:rsidR="001C62D2" w:rsidRPr="00A23740">
              <w:t xml:space="preserve"> birlikte değerlendirilmesi gerekecektir. Bahsi geçen düzenlemeye göre, iflastaki iptal davaları bakımından da iflas mahkemesi değil, asliye hukuk mahkemesi görevli kılınmıştır. </w:t>
            </w:r>
          </w:p>
          <w:p w:rsidR="001C62D2" w:rsidRPr="00A23740" w:rsidRDefault="001C62D2" w:rsidP="009431FF">
            <w:pPr>
              <w:tabs>
                <w:tab w:val="left" w:pos="567"/>
              </w:tabs>
              <w:ind w:firstLine="709"/>
            </w:pPr>
            <w:r w:rsidRPr="00A23740">
              <w:t>Maddenin yetk</w:t>
            </w:r>
            <w:r w:rsidR="003200B6" w:rsidRPr="00A23740">
              <w:t>iye ilişkin olan ikinci fıkra</w:t>
            </w:r>
            <w:r w:rsidR="003200B6" w:rsidRPr="00814E71">
              <w:t>sıyla</w:t>
            </w:r>
            <w:r w:rsidR="003200B6" w:rsidRPr="00A23740">
              <w:t xml:space="preserve"> </w:t>
            </w:r>
            <w:r w:rsidRPr="00A23740">
              <w:t>önemli bir yenilik getirilmektedir. Buna göre, borçlu tarafından lehine tasarruf yapılan üçüncü kişinin yerleşim yeri mahkemesi, iptal davası bakımından kesin yetkili mahkeme olacaktır. Bu değişiklik, iptal davasında borçlu ile lehine tasarruf yapılan üçüncü kişi arasında şekli zorunlu dava arkadaşlığı bulunduğundan uygulamada ortaya çıkan yetkili mahkemeye ilişkin sorunların giderilmesini sağlamak üzere yapılmıştır. Düzenlemedeki kesin yetki hükmü, davalı olarak gösterilmiş ve bu kez davalı üçüncü kişiyle işlemde bulunmuş dört veya beşinci kişilerin de davalı gösterilmeleri h</w:t>
            </w:r>
            <w:r w:rsidR="001040F7" w:rsidRPr="00A23740">
              <w:t>â</w:t>
            </w:r>
            <w:r w:rsidRPr="00A23740">
              <w:t>linde dahi geçerli olup, dava sadece “borçluyla işlem yapmış üçüncü kişinin” yerleşim yerinde açılacaktır.</w:t>
            </w:r>
          </w:p>
          <w:p w:rsidR="00E81F80" w:rsidRPr="00A23740" w:rsidRDefault="001C62D2" w:rsidP="00F76168">
            <w:pPr>
              <w:tabs>
                <w:tab w:val="left" w:pos="567"/>
              </w:tabs>
              <w:ind w:firstLine="709"/>
              <w:rPr>
                <w:b/>
                <w:bCs/>
                <w:szCs w:val="24"/>
                <w:lang w:eastAsia="x-none"/>
              </w:rPr>
            </w:pPr>
            <w:r w:rsidRPr="00A23740">
              <w:t xml:space="preserve"> </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szCs w:val="24"/>
              </w:rPr>
            </w:pPr>
            <w:r w:rsidRPr="00A23740">
              <w:rPr>
                <w:rFonts w:eastAsia="Times New Roman"/>
                <w:szCs w:val="24"/>
              </w:rPr>
              <w:t>İptal davasında davalı</w:t>
            </w:r>
            <w:r w:rsidRPr="00A23740">
              <w:rPr>
                <w:rFonts w:eastAsia="Times New Roman"/>
                <w:b/>
                <w:strike/>
                <w:color w:val="FF0000"/>
                <w:szCs w:val="24"/>
              </w:rPr>
              <w:t>:</w:t>
            </w:r>
          </w:p>
          <w:p w:rsidR="00AA5C8C" w:rsidRPr="00A23740" w:rsidRDefault="00AA5C8C" w:rsidP="009431FF">
            <w:pPr>
              <w:tabs>
                <w:tab w:val="left" w:pos="567"/>
              </w:tabs>
              <w:rPr>
                <w:rFonts w:eastAsia="Times New Roman"/>
                <w:b/>
                <w:szCs w:val="24"/>
              </w:rPr>
            </w:pPr>
            <w:r w:rsidRPr="00A23740">
              <w:rPr>
                <w:rStyle w:val="KIRMIZIChar"/>
                <w:rFonts w:eastAsia="Calibri"/>
              </w:rPr>
              <w:t>Madde 282 – (1) (Değişik</w:t>
            </w:r>
            <w:r w:rsidRPr="00A23740">
              <w:rPr>
                <w:rFonts w:eastAsia="Times New Roman"/>
                <w:b/>
                <w:strike/>
                <w:color w:val="FF0000"/>
                <w:szCs w:val="24"/>
              </w:rPr>
              <w:t>: 18/2/1965 - 538/117 md.)</w:t>
            </w:r>
          </w:p>
          <w:p w:rsidR="00AA5C8C" w:rsidRPr="00A23740" w:rsidRDefault="00AA5C8C" w:rsidP="009431FF">
            <w:pPr>
              <w:tabs>
                <w:tab w:val="left" w:pos="567"/>
              </w:tabs>
              <w:rPr>
                <w:rStyle w:val="KIRMIZIChar"/>
                <w:rFonts w:eastAsia="Calibri"/>
              </w:rPr>
            </w:pPr>
            <w:r w:rsidRPr="00A23740">
              <w:rPr>
                <w:rFonts w:eastAsia="Times New Roman"/>
                <w:b/>
                <w:strike/>
                <w:color w:val="FF0000"/>
                <w:szCs w:val="24"/>
              </w:rPr>
              <w:t>İcra ve iflas Kanununun 11 inci babındaki</w:t>
            </w:r>
            <w:r w:rsidRPr="00A23740">
              <w:rPr>
                <w:rFonts w:eastAsia="Times New Roman"/>
                <w:szCs w:val="24"/>
              </w:rPr>
              <w:t xml:space="preserve"> iptal davaları borçlu ve borçlu ile hukuki </w:t>
            </w:r>
            <w:r w:rsidRPr="00A23740">
              <w:rPr>
                <w:rStyle w:val="KIRMIZIChar"/>
                <w:rFonts w:eastAsia="Calibri"/>
              </w:rPr>
              <w:t>muamelede</w:t>
            </w:r>
            <w:r w:rsidRPr="00A23740">
              <w:rPr>
                <w:rFonts w:eastAsia="Times New Roman"/>
                <w:szCs w:val="24"/>
              </w:rPr>
              <w:t xml:space="preserve"> bulunan veya borçlu tarafından kendilerine ödeme yapılan </w:t>
            </w:r>
            <w:r w:rsidRPr="00A23740">
              <w:rPr>
                <w:rFonts w:eastAsia="Times New Roman"/>
                <w:b/>
                <w:strike/>
                <w:color w:val="FF0000"/>
                <w:szCs w:val="24"/>
              </w:rPr>
              <w:t>kimseler</w:t>
            </w:r>
            <w:r w:rsidRPr="00A23740">
              <w:rPr>
                <w:rFonts w:eastAsia="Times New Roman"/>
                <w:szCs w:val="24"/>
              </w:rPr>
              <w:t xml:space="preserve"> ile bunların mirasçıları aleyhine açılır. </w:t>
            </w:r>
            <w:r w:rsidRPr="00A23740">
              <w:rPr>
                <w:rStyle w:val="KIRMIZIChar"/>
                <w:rFonts w:eastAsia="Calibri"/>
              </w:rPr>
              <w:t>Bunlardan başka, kötü niyet sahibi üçüncü şahıslar aleyhine de iptal davası açılabilir.</w:t>
            </w:r>
            <w:r w:rsidRPr="00A23740">
              <w:rPr>
                <w:rFonts w:eastAsia="Times New Roman"/>
                <w:szCs w:val="24"/>
              </w:rPr>
              <w:t xml:space="preserve"> </w:t>
            </w:r>
            <w:r w:rsidRPr="00A23740">
              <w:rPr>
                <w:rStyle w:val="KIRMIZIChar"/>
                <w:rFonts w:eastAsia="Calibri"/>
              </w:rPr>
              <w:t>İptal davası iyi niyetli üçüncü şahısların haklarını ihlal etmez.</w:t>
            </w:r>
          </w:p>
          <w:p w:rsidR="00AA5C8C" w:rsidRPr="00A23740" w:rsidRDefault="00AA5C8C" w:rsidP="009431FF">
            <w:pPr>
              <w:tabs>
                <w:tab w:val="left" w:pos="567"/>
              </w:tabs>
              <w:rPr>
                <w:rFonts w:eastAsia="Times New Roman"/>
                <w:szCs w:val="24"/>
              </w:rPr>
            </w:pPr>
          </w:p>
          <w:p w:rsidR="00AA5C8C" w:rsidRPr="00A23740" w:rsidRDefault="00277039" w:rsidP="009431FF">
            <w:pPr>
              <w:tabs>
                <w:tab w:val="left" w:pos="567"/>
              </w:tabs>
              <w:rPr>
                <w:rFonts w:eastAsia="Times New Roman"/>
                <w:szCs w:val="24"/>
              </w:rPr>
            </w:pPr>
            <w:r>
              <w:rPr>
                <w:rFonts w:eastAsia="Times New Roman"/>
                <w:b/>
                <w:color w:val="FF0000"/>
                <w:szCs w:val="24"/>
              </w:rPr>
              <w:t>(M.282/F1.C</w:t>
            </w:r>
            <w:r w:rsidR="00AA5C8C" w:rsidRPr="00A23740">
              <w:rPr>
                <w:rFonts w:eastAsia="Times New Roman"/>
                <w:b/>
                <w:color w:val="FF0000"/>
                <w:szCs w:val="24"/>
              </w:rPr>
              <w:t>3)</w:t>
            </w:r>
            <w:r w:rsidR="00AA5C8C" w:rsidRPr="00A23740">
              <w:rPr>
                <w:rFonts w:eastAsia="Times New Roman"/>
                <w:szCs w:val="24"/>
              </w:rPr>
              <w:t xml:space="preserve"> İptal davası </w:t>
            </w:r>
            <w:r w:rsidR="00AA5C8C" w:rsidRPr="00A23740">
              <w:rPr>
                <w:rFonts w:eastAsia="Times New Roman"/>
                <w:b/>
                <w:strike/>
                <w:color w:val="FF0000"/>
                <w:szCs w:val="24"/>
              </w:rPr>
              <w:t>iyi niyetli</w:t>
            </w:r>
            <w:r w:rsidR="00AA5C8C" w:rsidRPr="00A23740">
              <w:rPr>
                <w:rFonts w:eastAsia="Times New Roman"/>
                <w:szCs w:val="24"/>
              </w:rPr>
              <w:t xml:space="preserve"> üçüncü </w:t>
            </w:r>
            <w:r w:rsidR="00AA5C8C" w:rsidRPr="00A23740">
              <w:rPr>
                <w:rFonts w:eastAsia="Times New Roman"/>
                <w:b/>
                <w:strike/>
                <w:color w:val="FF0000"/>
                <w:szCs w:val="24"/>
              </w:rPr>
              <w:t>şahısların</w:t>
            </w:r>
            <w:r w:rsidR="00AA5C8C" w:rsidRPr="00A23740">
              <w:rPr>
                <w:rFonts w:eastAsia="Times New Roman"/>
                <w:szCs w:val="24"/>
              </w:rPr>
              <w:t xml:space="preserve"> haklarını ihlal etmez.</w:t>
            </w:r>
          </w:p>
        </w:tc>
        <w:tc>
          <w:tcPr>
            <w:tcW w:w="2500" w:type="pct"/>
          </w:tcPr>
          <w:p w:rsidR="00AA5C8C" w:rsidRPr="00A23740" w:rsidRDefault="003200B6" w:rsidP="009431FF">
            <w:pPr>
              <w:tabs>
                <w:tab w:val="left" w:pos="567"/>
              </w:tabs>
              <w:rPr>
                <w:rFonts w:eastAsia="Times New Roman"/>
                <w:b/>
                <w:szCs w:val="24"/>
              </w:rPr>
            </w:pPr>
            <w:r w:rsidRPr="00814E71">
              <w:rPr>
                <w:rStyle w:val="MaviChar"/>
              </w:rPr>
              <w:t>Tasarrufun iptali</w:t>
            </w:r>
            <w:r w:rsidRPr="00A23740">
              <w:rPr>
                <w:rFonts w:eastAsia="Times New Roman"/>
                <w:b/>
                <w:szCs w:val="24"/>
              </w:rPr>
              <w:t xml:space="preserve"> </w:t>
            </w:r>
            <w:r w:rsidR="00AA5C8C" w:rsidRPr="00A23740">
              <w:rPr>
                <w:rFonts w:eastAsia="Times New Roman"/>
                <w:b/>
                <w:szCs w:val="24"/>
              </w:rPr>
              <w:t>davasında davalı</w:t>
            </w:r>
          </w:p>
          <w:p w:rsidR="00AA5C8C" w:rsidRPr="00A23740" w:rsidRDefault="003B700B" w:rsidP="009431FF">
            <w:pPr>
              <w:tabs>
                <w:tab w:val="left" w:pos="567"/>
              </w:tabs>
              <w:rPr>
                <w:rFonts w:eastAsia="Times New Roman"/>
                <w:szCs w:val="24"/>
              </w:rPr>
            </w:pPr>
            <w:r w:rsidRPr="00A23740">
              <w:rPr>
                <w:rStyle w:val="MaviChar"/>
                <w:lang w:val="tr-TR"/>
              </w:rPr>
              <w:t>MADDE 449</w:t>
            </w:r>
            <w:r w:rsidR="00AA5C8C" w:rsidRPr="00A23740">
              <w:rPr>
                <w:rStyle w:val="MaviChar"/>
                <w:lang w:val="tr-TR"/>
              </w:rPr>
              <w:t>- (</w:t>
            </w:r>
            <w:r w:rsidR="00AA5C8C" w:rsidRPr="00A23740">
              <w:rPr>
                <w:rFonts w:eastAsia="Times New Roman"/>
                <w:b/>
                <w:color w:val="0000FF"/>
                <w:szCs w:val="24"/>
              </w:rPr>
              <w:t>1)</w:t>
            </w:r>
            <w:r w:rsidR="00AA5C8C" w:rsidRPr="00A23740">
              <w:rPr>
                <w:rFonts w:eastAsia="Times New Roman"/>
                <w:szCs w:val="24"/>
              </w:rPr>
              <w:t xml:space="preserve"> İptal dava</w:t>
            </w:r>
            <w:r w:rsidR="00AA5C8C" w:rsidRPr="00A23740">
              <w:rPr>
                <w:rStyle w:val="MaviChar"/>
              </w:rPr>
              <w:t>sı,</w:t>
            </w:r>
            <w:r w:rsidR="00AA5C8C" w:rsidRPr="00A23740">
              <w:rPr>
                <w:rFonts w:eastAsia="Times New Roman"/>
                <w:szCs w:val="24"/>
              </w:rPr>
              <w:t xml:space="preserve"> borçlu ve borçlu ile hukuki </w:t>
            </w:r>
            <w:r w:rsidR="00AA5C8C" w:rsidRPr="00A23740">
              <w:rPr>
                <w:rStyle w:val="MaviChar"/>
              </w:rPr>
              <w:t>işlemde</w:t>
            </w:r>
            <w:r w:rsidR="00AA5C8C" w:rsidRPr="00A23740">
              <w:rPr>
                <w:rFonts w:eastAsia="Times New Roman"/>
                <w:szCs w:val="24"/>
              </w:rPr>
              <w:t xml:space="preserve"> bulunan veya borçlu tarafından kendilerine ödeme yapılan </w:t>
            </w:r>
            <w:r w:rsidR="00AA5C8C" w:rsidRPr="00A23740">
              <w:rPr>
                <w:rFonts w:eastAsia="Times New Roman"/>
                <w:b/>
                <w:color w:val="0000FF"/>
                <w:szCs w:val="24"/>
              </w:rPr>
              <w:t>kişiler</w:t>
            </w:r>
            <w:r w:rsidR="00AA5C8C" w:rsidRPr="00A23740">
              <w:rPr>
                <w:rFonts w:eastAsia="Times New Roman"/>
                <w:szCs w:val="24"/>
              </w:rPr>
              <w:t xml:space="preserve"> ile bunların mirasçıları aleyhine açılır</w:t>
            </w:r>
            <w:r w:rsidR="003200B6" w:rsidRPr="00A23740">
              <w:rPr>
                <w:rStyle w:val="MaviChar"/>
              </w:rPr>
              <w:t>; bu dava kötü</w:t>
            </w:r>
            <w:r w:rsidR="00AA5C8C" w:rsidRPr="00A23740">
              <w:rPr>
                <w:rStyle w:val="MaviChar"/>
              </w:rPr>
              <w:t>niyetli üçüncü kişiler</w:t>
            </w:r>
            <w:r w:rsidR="00AA5C8C" w:rsidRPr="00A23740">
              <w:rPr>
                <w:rFonts w:eastAsia="Times New Roman"/>
                <w:szCs w:val="24"/>
              </w:rPr>
              <w:t xml:space="preserve"> aleyhine </w:t>
            </w:r>
            <w:r w:rsidR="00AA5C8C" w:rsidRPr="00A23740">
              <w:rPr>
                <w:rStyle w:val="MaviChar"/>
              </w:rPr>
              <w:t>de açılabilir</w:t>
            </w:r>
            <w:r w:rsidR="00AA5C8C" w:rsidRPr="00A23740">
              <w:rPr>
                <w:rFonts w:eastAsia="Times New Roman"/>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MaviChar"/>
              </w:rPr>
              <w:t>(2)</w:t>
            </w:r>
            <w:r w:rsidRPr="00A23740">
              <w:rPr>
                <w:rFonts w:eastAsia="Times New Roman"/>
                <w:szCs w:val="24"/>
              </w:rPr>
              <w:t xml:space="preserve"> İptal davası </w:t>
            </w:r>
            <w:r w:rsidRPr="00A23740">
              <w:rPr>
                <w:rFonts w:eastAsia="Times New Roman"/>
                <w:b/>
                <w:color w:val="0000FF"/>
                <w:szCs w:val="24"/>
              </w:rPr>
              <w:t>iyiniyetli</w:t>
            </w:r>
            <w:r w:rsidRPr="00A23740">
              <w:rPr>
                <w:rFonts w:eastAsia="Times New Roman"/>
                <w:szCs w:val="24"/>
              </w:rPr>
              <w:t xml:space="preserve"> üçüncü </w:t>
            </w:r>
            <w:r w:rsidRPr="00A23740">
              <w:rPr>
                <w:rFonts w:eastAsia="Times New Roman"/>
                <w:b/>
                <w:color w:val="0000FF"/>
                <w:szCs w:val="24"/>
              </w:rPr>
              <w:t>kişilerin</w:t>
            </w:r>
            <w:r w:rsidRPr="00A23740">
              <w:rPr>
                <w:rFonts w:eastAsia="Times New Roman"/>
                <w:szCs w:val="24"/>
              </w:rPr>
              <w:t xml:space="preserve"> haklarını ihlal etmez.</w:t>
            </w:r>
          </w:p>
          <w:p w:rsidR="00AA5C8C" w:rsidRPr="00A23740" w:rsidRDefault="00AA5C8C" w:rsidP="009431FF">
            <w:pPr>
              <w:tabs>
                <w:tab w:val="left" w:pos="567"/>
              </w:tabs>
              <w:rPr>
                <w:rFonts w:eastAsia="Times New Roman"/>
                <w:szCs w:val="24"/>
              </w:rPr>
            </w:pPr>
          </w:p>
          <w:p w:rsidR="00AA5C8C" w:rsidRPr="00A23740" w:rsidRDefault="00AA5C8C" w:rsidP="009431FF">
            <w:pPr>
              <w:pStyle w:val="KIRMIZI"/>
              <w:rPr>
                <w:lang w:val="tr-TR"/>
              </w:rPr>
            </w:pPr>
          </w:p>
        </w:tc>
      </w:tr>
      <w:tr w:rsidR="00BD7568" w:rsidRPr="00A23740" w:rsidTr="009431FF">
        <w:tc>
          <w:tcPr>
            <w:tcW w:w="5000" w:type="pct"/>
            <w:gridSpan w:val="2"/>
            <w:shd w:val="clear" w:color="auto" w:fill="DEEAF6"/>
          </w:tcPr>
          <w:p w:rsidR="0047435E" w:rsidRPr="00A23740" w:rsidRDefault="0047435E" w:rsidP="009431FF">
            <w:pPr>
              <w:tabs>
                <w:tab w:val="left" w:pos="567"/>
              </w:tabs>
              <w:rPr>
                <w:b/>
                <w:bCs/>
                <w:szCs w:val="24"/>
                <w:lang w:eastAsia="x-none"/>
              </w:rPr>
            </w:pPr>
          </w:p>
          <w:p w:rsidR="00CB25D1" w:rsidRPr="00A23740" w:rsidRDefault="001C62D2" w:rsidP="009431FF">
            <w:pPr>
              <w:tabs>
                <w:tab w:val="left" w:pos="567"/>
              </w:tabs>
              <w:ind w:firstLine="709"/>
              <w:rPr>
                <w:bCs/>
              </w:rPr>
            </w:pPr>
            <w:r w:rsidRPr="00A23740">
              <w:rPr>
                <w:b/>
                <w:bCs/>
              </w:rPr>
              <w:t>MADDE 44</w:t>
            </w:r>
            <w:r w:rsidR="003B700B" w:rsidRPr="00A23740">
              <w:rPr>
                <w:b/>
                <w:bCs/>
              </w:rPr>
              <w:t>9</w:t>
            </w:r>
            <w:r w:rsidRPr="00A23740">
              <w:rPr>
                <w:b/>
                <w:bCs/>
              </w:rPr>
              <w:t xml:space="preserve">- </w:t>
            </w:r>
            <w:r w:rsidRPr="00A23740">
              <w:rPr>
                <w:bCs/>
              </w:rPr>
              <w:t>Madde, iptal davasında davalı tarafı düzenlemekt</w:t>
            </w:r>
            <w:r w:rsidR="00290FB4" w:rsidRPr="00A23740">
              <w:rPr>
                <w:bCs/>
              </w:rPr>
              <w:t xml:space="preserve">edir ve 2004 sayılı Kanunun 282 </w:t>
            </w:r>
            <w:r w:rsidRPr="00A23740">
              <w:rPr>
                <w:bCs/>
              </w:rPr>
              <w:t xml:space="preserve">nci maddesini karşılamaktadır. </w:t>
            </w:r>
          </w:p>
          <w:p w:rsidR="00290FB4" w:rsidRPr="0090299D" w:rsidRDefault="001C62D2" w:rsidP="0090299D">
            <w:pPr>
              <w:tabs>
                <w:tab w:val="left" w:pos="567"/>
              </w:tabs>
              <w:ind w:firstLine="709"/>
              <w:rPr>
                <w:bCs/>
              </w:rPr>
            </w:pPr>
            <w:r w:rsidRPr="00A23740">
              <w:rPr>
                <w:bCs/>
              </w:rPr>
              <w:t>Maddenin esasında herhangi bir değişiklik yapılmamış; kullanılan ifadeler gözden</w:t>
            </w:r>
            <w:r w:rsidR="00C177AF" w:rsidRPr="00A23740">
              <w:rPr>
                <w:bCs/>
              </w:rPr>
              <w:t xml:space="preserve"> </w:t>
            </w:r>
            <w:r w:rsidRPr="00A23740">
              <w:rPr>
                <w:bCs/>
              </w:rPr>
              <w:t>geçirilmiş ve yeniden kaleme alınmıştır. Buna göre, iptal davası borçlu ve borçlu ile hukuki işlemde bulunan veya borçlu tarafından kendilerine ödeme yapılan kişiler ile bunların mirasçıları aleyhine açılır. Burada kilit nokta, borçlu ile işlem yapan (ikinci) kişidir. Bu (ikinci) kişiden sonra gelen üçüncü kişilerin de işlem zincirine dahil olmaları h</w:t>
            </w:r>
            <w:r w:rsidR="00C2196C" w:rsidRPr="00A23740">
              <w:rPr>
                <w:bCs/>
              </w:rPr>
              <w:t>â</w:t>
            </w:r>
            <w:r w:rsidRPr="00A23740">
              <w:rPr>
                <w:bCs/>
              </w:rPr>
              <w:t>linde (ki bunlar üçüncü, dördüncü, beşinci, vd. kişiler de olabilir), bu kişilerin de davalı olması söz konusu olacaktır. Ancak burada dikkat edilmesi gereken husus, söz konusu üçüncü (vd.) kişiler bakımından kötüniyetin şart olmasıdır. Zira önceden olduğu gibi, iptal davası, iyiniyetli üçüncü kişilerin haklarını ihlal etmez. Davalı tarafı oluşturan tüm bu kişiler arasında şekli mecburi dava arkadaşlığı olacaktır.</w:t>
            </w: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İptal davalarında</w:t>
            </w:r>
            <w:r w:rsidRPr="00A23740">
              <w:rPr>
                <w:rFonts w:eastAsia="Times New Roman"/>
                <w:szCs w:val="24"/>
              </w:rPr>
              <w:t xml:space="preserve"> yargılama usulü</w:t>
            </w:r>
            <w:r w:rsidRPr="00A23740">
              <w:rPr>
                <w:rFonts w:eastAsia="Times New Roman"/>
                <w:b/>
                <w:strike/>
                <w:color w:val="FF0000"/>
                <w:szCs w:val="24"/>
              </w:rPr>
              <w:t>:</w:t>
            </w:r>
          </w:p>
          <w:p w:rsidR="00AA5C8C" w:rsidRPr="00A23740" w:rsidRDefault="00AA5C8C" w:rsidP="009431FF">
            <w:pPr>
              <w:tabs>
                <w:tab w:val="left" w:pos="567"/>
              </w:tabs>
              <w:rPr>
                <w:rFonts w:eastAsia="Times New Roman"/>
                <w:b/>
                <w:szCs w:val="24"/>
              </w:rPr>
            </w:pPr>
            <w:r w:rsidRPr="00A23740">
              <w:rPr>
                <w:rStyle w:val="KIRMIZIChar"/>
                <w:rFonts w:eastAsia="Calibri"/>
              </w:rPr>
              <w:t>Madde 281 – (1)</w:t>
            </w:r>
            <w:r w:rsidRPr="00A23740">
              <w:rPr>
                <w:rFonts w:eastAsia="Times New Roman"/>
                <w:color w:val="000000"/>
                <w:szCs w:val="24"/>
                <w:lang w:eastAsia="tr-TR"/>
              </w:rPr>
              <w:t xml:space="preserve"> </w:t>
            </w:r>
            <w:r w:rsidRPr="00A23740">
              <w:rPr>
                <w:rFonts w:eastAsia="Times New Roman"/>
                <w:b/>
                <w:strike/>
                <w:color w:val="FF0000"/>
                <w:szCs w:val="24"/>
              </w:rPr>
              <w:t>(Değişik: 18/2/1965 - 538/116 md.)</w:t>
            </w:r>
          </w:p>
          <w:p w:rsidR="00AA5C8C" w:rsidRPr="00A23740" w:rsidRDefault="00AA5C8C" w:rsidP="009431FF">
            <w:pPr>
              <w:tabs>
                <w:tab w:val="left" w:pos="567"/>
              </w:tabs>
              <w:rPr>
                <w:rFonts w:eastAsia="Times New Roman"/>
                <w:szCs w:val="24"/>
              </w:rPr>
            </w:pPr>
            <w:r w:rsidRPr="00A23740">
              <w:rPr>
                <w:rFonts w:eastAsia="Times New Roman"/>
                <w:b/>
                <w:strike/>
                <w:color w:val="FF0000"/>
                <w:szCs w:val="24"/>
              </w:rPr>
              <w:t>Mahkeme,</w:t>
            </w:r>
            <w:r w:rsidRPr="00A23740">
              <w:rPr>
                <w:rFonts w:eastAsia="Times New Roman"/>
                <w:szCs w:val="24"/>
              </w:rPr>
              <w:t xml:space="preserve"> iptal davaların</w:t>
            </w:r>
            <w:r w:rsidRPr="00A23740">
              <w:rPr>
                <w:rFonts w:eastAsia="Times New Roman"/>
                <w:b/>
                <w:strike/>
                <w:color w:val="FF0000"/>
                <w:szCs w:val="24"/>
              </w:rPr>
              <w:t>ı</w:t>
            </w:r>
            <w:r w:rsidRPr="00A23740">
              <w:rPr>
                <w:rFonts w:eastAsia="Times New Roman"/>
                <w:szCs w:val="24"/>
              </w:rPr>
              <w:t xml:space="preserve"> basit yargılama usulü </w:t>
            </w:r>
            <w:r w:rsidRPr="00A23740">
              <w:rPr>
                <w:rFonts w:eastAsia="Times New Roman"/>
                <w:b/>
                <w:strike/>
                <w:color w:val="FF0000"/>
                <w:szCs w:val="24"/>
              </w:rPr>
              <w:t xml:space="preserve">ile görüp hükme bağlar ve </w:t>
            </w:r>
            <w:r w:rsidRPr="00A23740">
              <w:rPr>
                <w:rFonts w:eastAsia="Times New Roman"/>
                <w:szCs w:val="24"/>
              </w:rPr>
              <w:t xml:space="preserve">bu davalara </w:t>
            </w:r>
            <w:r w:rsidRPr="00A23740">
              <w:rPr>
                <w:rFonts w:eastAsia="Times New Roman"/>
                <w:b/>
                <w:strike/>
                <w:color w:val="FF0000"/>
                <w:szCs w:val="24"/>
              </w:rPr>
              <w:t>mütaallik ihtilafları</w:t>
            </w:r>
            <w:r w:rsidRPr="00A23740">
              <w:rPr>
                <w:rFonts w:eastAsia="Times New Roman"/>
                <w:szCs w:val="24"/>
              </w:rPr>
              <w:t xml:space="preserve"> hal ve şartları gözönünde tutarak serbestçe takdir </w:t>
            </w:r>
            <w:r w:rsidRPr="00A23740">
              <w:rPr>
                <w:rStyle w:val="KIRMIZIChar"/>
                <w:rFonts w:eastAsia="Calibri"/>
              </w:rPr>
              <w:t>ve halleder.</w:t>
            </w:r>
          </w:p>
          <w:p w:rsidR="00AA5C8C" w:rsidRPr="00A23740" w:rsidRDefault="00AA5C8C" w:rsidP="009431FF">
            <w:pPr>
              <w:tabs>
                <w:tab w:val="left" w:pos="567"/>
              </w:tabs>
              <w:rPr>
                <w:rStyle w:val="KIRMIZIChar"/>
                <w:rFonts w:eastAsia="Calibri"/>
              </w:rPr>
            </w:pPr>
          </w:p>
          <w:p w:rsidR="00AA5C8C" w:rsidRPr="00A23740" w:rsidRDefault="00AA5C8C" w:rsidP="009431FF">
            <w:pPr>
              <w:tabs>
                <w:tab w:val="left" w:pos="567"/>
              </w:tabs>
              <w:rPr>
                <w:rFonts w:eastAsia="Times New Roman"/>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szCs w:val="24"/>
              </w:rPr>
              <w:t xml:space="preserve">Hakim, iptale tabi tasarrufların konusu olan mallar hakkında alacaklının talebi üzerine ihtiyati haciz kararı verebilir. Teminatın lüzum ve miktarı mahkemece takdir ve tayin olunur. Şu kadar ki, davanın elden çıkarılmış mallar yerine </w:t>
            </w:r>
            <w:r w:rsidRPr="00A23740">
              <w:rPr>
                <w:rFonts w:eastAsia="Times New Roman"/>
                <w:b/>
                <w:strike/>
                <w:color w:val="FF0000"/>
                <w:szCs w:val="24"/>
              </w:rPr>
              <w:t>kaim olan kıymete taalluku</w:t>
            </w:r>
            <w:r w:rsidRPr="00A23740">
              <w:rPr>
                <w:rFonts w:eastAsia="Times New Roman"/>
                <w:szCs w:val="24"/>
              </w:rPr>
              <w:t xml:space="preserve"> </w:t>
            </w:r>
            <w:r w:rsidRPr="00A23740">
              <w:rPr>
                <w:rStyle w:val="KIRMIZIChar"/>
                <w:rFonts w:eastAsia="Calibri"/>
              </w:rPr>
              <w:t>halinde</w:t>
            </w:r>
            <w:r w:rsidRPr="00A23740">
              <w:rPr>
                <w:rFonts w:eastAsia="Times New Roman"/>
                <w:szCs w:val="24"/>
              </w:rPr>
              <w:t xml:space="preserve">, teminat </w:t>
            </w:r>
            <w:r w:rsidRPr="00A23740">
              <w:rPr>
                <w:rFonts w:eastAsia="Times New Roman"/>
                <w:b/>
                <w:strike/>
                <w:color w:val="FF0000"/>
                <w:szCs w:val="24"/>
              </w:rPr>
              <w:t>göstermeksizin</w:t>
            </w:r>
            <w:r w:rsidRPr="00A23740">
              <w:rPr>
                <w:rFonts w:eastAsia="Times New Roman"/>
                <w:szCs w:val="24"/>
              </w:rPr>
              <w:t xml:space="preserve"> ihtiyati haciz kararı </w:t>
            </w:r>
            <w:r w:rsidRPr="00A23740">
              <w:rPr>
                <w:rFonts w:eastAsia="Times New Roman"/>
                <w:b/>
                <w:strike/>
                <w:color w:val="FF0000"/>
                <w:szCs w:val="24"/>
              </w:rPr>
              <w:t>verilemez</w:t>
            </w:r>
            <w:r w:rsidRPr="00A23740">
              <w:rPr>
                <w:rFonts w:eastAsia="Times New Roman"/>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strike/>
                <w:color w:val="FF0000"/>
                <w:szCs w:val="24"/>
              </w:rPr>
            </w:pPr>
            <w:r w:rsidRPr="00A23740">
              <w:rPr>
                <w:rStyle w:val="KIRMIZIChar"/>
                <w:rFonts w:eastAsia="Calibri"/>
              </w:rPr>
              <w:t>(3)</w:t>
            </w:r>
            <w:r w:rsidRPr="00A23740">
              <w:rPr>
                <w:rFonts w:eastAsia="Times New Roman"/>
                <w:color w:val="000000"/>
                <w:szCs w:val="24"/>
                <w:lang w:eastAsia="tr-TR"/>
              </w:rPr>
              <w:t xml:space="preserve"> </w:t>
            </w:r>
            <w:r w:rsidRPr="00A23740">
              <w:rPr>
                <w:rFonts w:eastAsia="Times New Roman"/>
                <w:b/>
                <w:strike/>
                <w:color w:val="FF0000"/>
                <w:szCs w:val="24"/>
              </w:rPr>
              <w:t>Davalılardan herhangi biri davacının alacağını ödediği takdirde, dava reddolunur. Bu halde hakim, duruma göre herbirini masrafla ilzam veya bu masrafı aralarında takdir ettiği surette taksim eder.</w:t>
            </w:r>
          </w:p>
          <w:p w:rsidR="00AA5C8C" w:rsidRPr="00A23740" w:rsidRDefault="00AA5C8C" w:rsidP="009431FF">
            <w:pPr>
              <w:tabs>
                <w:tab w:val="left" w:pos="567"/>
              </w:tabs>
              <w:rPr>
                <w:rFonts w:eastAsia="Times New Roman"/>
                <w:szCs w:val="24"/>
              </w:rPr>
            </w:pPr>
          </w:p>
        </w:tc>
        <w:tc>
          <w:tcPr>
            <w:tcW w:w="2500" w:type="pct"/>
          </w:tcPr>
          <w:p w:rsidR="00AA5C8C" w:rsidRPr="00A23740" w:rsidRDefault="003200B6" w:rsidP="009431FF">
            <w:pPr>
              <w:tabs>
                <w:tab w:val="left" w:pos="567"/>
              </w:tabs>
              <w:rPr>
                <w:rFonts w:eastAsia="Times New Roman"/>
                <w:b/>
                <w:szCs w:val="24"/>
              </w:rPr>
            </w:pPr>
            <w:r w:rsidRPr="00814E71">
              <w:rPr>
                <w:rStyle w:val="MaviChar"/>
              </w:rPr>
              <w:t>Tasarrufun iptali davasında</w:t>
            </w:r>
            <w:r w:rsidRPr="00A23740">
              <w:rPr>
                <w:rFonts w:eastAsia="Times New Roman"/>
                <w:b/>
                <w:szCs w:val="24"/>
              </w:rPr>
              <w:t xml:space="preserve"> yargılama </w:t>
            </w:r>
            <w:r w:rsidR="00AA5C8C" w:rsidRPr="00A23740">
              <w:rPr>
                <w:rFonts w:eastAsia="Times New Roman"/>
                <w:b/>
                <w:szCs w:val="24"/>
              </w:rPr>
              <w:t>usulü</w:t>
            </w:r>
          </w:p>
          <w:p w:rsidR="00102F4C" w:rsidRPr="00A23740" w:rsidRDefault="003B700B" w:rsidP="009431FF">
            <w:pPr>
              <w:tabs>
                <w:tab w:val="left" w:pos="567"/>
              </w:tabs>
              <w:rPr>
                <w:b/>
                <w:color w:val="538135"/>
              </w:rPr>
            </w:pPr>
            <w:r w:rsidRPr="00A23740">
              <w:rPr>
                <w:rStyle w:val="MaviChar"/>
                <w:lang w:val="tr-TR"/>
              </w:rPr>
              <w:t>MADDE 450</w:t>
            </w:r>
            <w:r w:rsidR="00AA5C8C" w:rsidRPr="00A23740">
              <w:rPr>
                <w:rStyle w:val="MaviChar"/>
                <w:lang w:val="tr-TR"/>
              </w:rPr>
              <w:t>- (</w:t>
            </w:r>
            <w:r w:rsidR="00AA5C8C" w:rsidRPr="00A23740">
              <w:rPr>
                <w:rFonts w:eastAsia="Times New Roman"/>
                <w:b/>
                <w:color w:val="0000FF"/>
                <w:szCs w:val="24"/>
              </w:rPr>
              <w:t>1)</w:t>
            </w:r>
            <w:r w:rsidR="00AA5C8C" w:rsidRPr="00A23740">
              <w:rPr>
                <w:rFonts w:eastAsia="Times New Roman"/>
                <w:b/>
                <w:szCs w:val="24"/>
              </w:rPr>
              <w:t xml:space="preserve"> </w:t>
            </w:r>
            <w:r w:rsidR="003200B6" w:rsidRPr="00814E71">
              <w:rPr>
                <w:rStyle w:val="MaviChar"/>
              </w:rPr>
              <w:t>Tasarrufun iptali</w:t>
            </w:r>
            <w:r w:rsidR="003200B6" w:rsidRPr="00A23740">
              <w:rPr>
                <w:rFonts w:eastAsia="Times New Roman"/>
                <w:b/>
                <w:szCs w:val="24"/>
              </w:rPr>
              <w:t xml:space="preserve"> </w:t>
            </w:r>
            <w:r w:rsidR="00AA5C8C" w:rsidRPr="00A23740">
              <w:rPr>
                <w:rFonts w:eastAsia="Times New Roman"/>
                <w:szCs w:val="24"/>
              </w:rPr>
              <w:t>davaların</w:t>
            </w:r>
            <w:r w:rsidR="00AA5C8C" w:rsidRPr="00A23740">
              <w:rPr>
                <w:rFonts w:eastAsia="Times New Roman"/>
                <w:b/>
                <w:color w:val="0000FF"/>
                <w:szCs w:val="24"/>
              </w:rPr>
              <w:t>da</w:t>
            </w:r>
            <w:r w:rsidR="00AA5C8C" w:rsidRPr="00A23740">
              <w:rPr>
                <w:rFonts w:eastAsia="Times New Roman"/>
                <w:szCs w:val="24"/>
              </w:rPr>
              <w:t xml:space="preserve"> basit yargılama usulü </w:t>
            </w:r>
            <w:r w:rsidR="00AA5C8C" w:rsidRPr="00A23740">
              <w:rPr>
                <w:rFonts w:eastAsia="Times New Roman"/>
                <w:b/>
                <w:color w:val="0000FF"/>
                <w:szCs w:val="24"/>
              </w:rPr>
              <w:t>uygulanır</w:t>
            </w:r>
            <w:r w:rsidR="00AA5C8C" w:rsidRPr="00A23740">
              <w:rPr>
                <w:rFonts w:eastAsia="Times New Roman"/>
                <w:szCs w:val="24"/>
              </w:rPr>
              <w:t xml:space="preserve">. </w:t>
            </w:r>
            <w:r w:rsidR="00102F4C" w:rsidRPr="00814E71">
              <w:rPr>
                <w:rStyle w:val="MaviChar"/>
              </w:rPr>
              <w:t>Hâkim</w:t>
            </w:r>
            <w:r w:rsidR="00102F4C" w:rsidRPr="00A23740">
              <w:rPr>
                <w:b/>
                <w:color w:val="538135"/>
              </w:rPr>
              <w:t xml:space="preserve"> </w:t>
            </w:r>
            <w:r w:rsidR="00102F4C" w:rsidRPr="00A23740">
              <w:rPr>
                <w:rFonts w:eastAsia="Times New Roman"/>
                <w:szCs w:val="24"/>
              </w:rPr>
              <w:t>bu</w:t>
            </w:r>
            <w:r w:rsidR="00102F4C" w:rsidRPr="00A23740">
              <w:rPr>
                <w:color w:val="538135"/>
              </w:rPr>
              <w:t xml:space="preserve"> </w:t>
            </w:r>
            <w:r w:rsidR="00102F4C" w:rsidRPr="00A23740">
              <w:rPr>
                <w:rFonts w:eastAsia="Times New Roman"/>
                <w:szCs w:val="24"/>
              </w:rPr>
              <w:t>davalarda</w:t>
            </w:r>
            <w:r w:rsidR="00102F4C" w:rsidRPr="00A23740">
              <w:rPr>
                <w:b/>
                <w:color w:val="538135"/>
              </w:rPr>
              <w:t xml:space="preserve"> </w:t>
            </w:r>
            <w:r w:rsidR="00102F4C" w:rsidRPr="00814E71">
              <w:rPr>
                <w:rStyle w:val="MaviChar"/>
              </w:rPr>
              <w:t>delilleri ve tasarrufun iptale tabi olup olmadığını</w:t>
            </w:r>
            <w:r w:rsidR="00102F4C" w:rsidRPr="00A23740">
              <w:rPr>
                <w:b/>
                <w:color w:val="538135"/>
              </w:rPr>
              <w:t xml:space="preserve"> </w:t>
            </w:r>
            <w:r w:rsidR="00102F4C" w:rsidRPr="00A23740">
              <w:rPr>
                <w:rFonts w:eastAsia="Times New Roman"/>
                <w:szCs w:val="24"/>
              </w:rPr>
              <w:t>serbestçe</w:t>
            </w:r>
            <w:r w:rsidR="00102F4C" w:rsidRPr="00A23740">
              <w:rPr>
                <w:b/>
                <w:color w:val="538135"/>
              </w:rPr>
              <w:t xml:space="preserve"> </w:t>
            </w:r>
            <w:r w:rsidR="00102F4C" w:rsidRPr="00A23740">
              <w:rPr>
                <w:rFonts w:eastAsia="Times New Roman"/>
                <w:szCs w:val="24"/>
              </w:rPr>
              <w:t>takdir</w:t>
            </w:r>
            <w:r w:rsidR="00102F4C" w:rsidRPr="00A23740">
              <w:rPr>
                <w:b/>
                <w:color w:val="538135"/>
              </w:rPr>
              <w:t xml:space="preserve"> </w:t>
            </w:r>
            <w:r w:rsidR="00102F4C" w:rsidRPr="00814E71">
              <w:rPr>
                <w:rStyle w:val="MaviChar"/>
              </w:rPr>
              <w:t>eder.</w:t>
            </w:r>
          </w:p>
          <w:p w:rsidR="00AA5C8C" w:rsidRDefault="00AA5C8C" w:rsidP="009431FF">
            <w:pPr>
              <w:pStyle w:val="YEL"/>
              <w:rPr>
                <w:lang w:val="tr-TR"/>
              </w:rPr>
            </w:pPr>
          </w:p>
          <w:p w:rsidR="00010E10" w:rsidRPr="00A23740" w:rsidRDefault="00010E10" w:rsidP="009431FF">
            <w:pPr>
              <w:pStyle w:val="YEL"/>
              <w:rPr>
                <w:lang w:val="tr-TR"/>
              </w:rPr>
            </w:pPr>
          </w:p>
          <w:p w:rsidR="00AA5C8C" w:rsidRPr="00A23740" w:rsidRDefault="00AA5C8C" w:rsidP="009431FF">
            <w:pPr>
              <w:tabs>
                <w:tab w:val="left" w:pos="567"/>
              </w:tabs>
              <w:rPr>
                <w:rFonts w:eastAsia="Times New Roman"/>
                <w:szCs w:val="24"/>
              </w:rPr>
            </w:pPr>
            <w:r w:rsidRPr="00A23740">
              <w:rPr>
                <w:rFonts w:eastAsia="Times New Roman"/>
                <w:b/>
                <w:color w:val="0000FF"/>
                <w:szCs w:val="24"/>
              </w:rPr>
              <w:t>(2)</w:t>
            </w:r>
            <w:r w:rsidRPr="00A23740">
              <w:rPr>
                <w:rFonts w:eastAsia="Times New Roman"/>
                <w:szCs w:val="24"/>
              </w:rPr>
              <w:t xml:space="preserve"> Hâkim, iptale tabi tasarrufların konusu olan mallar hakkında alacaklının talebi üzerine ihtiyati haciz kararı verebilir. </w:t>
            </w:r>
            <w:r w:rsidRPr="00A23740">
              <w:rPr>
                <w:rStyle w:val="MAVChar"/>
                <w:rFonts w:eastAsia="Calibri"/>
                <w:u w:val="none"/>
              </w:rPr>
              <w:t>Teminata gerek olup olmadığı ve</w:t>
            </w:r>
            <w:r w:rsidRPr="00A23740">
              <w:rPr>
                <w:rFonts w:eastAsia="Times New Roman"/>
                <w:szCs w:val="24"/>
              </w:rPr>
              <w:t xml:space="preserve"> teminatın</w:t>
            </w:r>
            <w:r w:rsidRPr="00A23740">
              <w:rPr>
                <w:rStyle w:val="KIRMIZIChar"/>
                <w:rFonts w:eastAsia="Calibri"/>
                <w:strike w:val="0"/>
              </w:rPr>
              <w:t xml:space="preserve"> </w:t>
            </w:r>
            <w:r w:rsidRPr="00A23740">
              <w:rPr>
                <w:rFonts w:eastAsia="Times New Roman"/>
                <w:szCs w:val="24"/>
              </w:rPr>
              <w:t>miktarı mahkemece takdir ve tayin olunur. Şu kadar ki, davanın elden çıkarılmış mallar</w:t>
            </w:r>
            <w:r w:rsidR="00FF007B" w:rsidRPr="00814E71">
              <w:rPr>
                <w:rStyle w:val="MaviChar"/>
              </w:rPr>
              <w:t>ın</w:t>
            </w:r>
            <w:r w:rsidRPr="00A23740">
              <w:rPr>
                <w:rFonts w:eastAsia="Times New Roman"/>
                <w:szCs w:val="24"/>
              </w:rPr>
              <w:t xml:space="preserve"> yerine </w:t>
            </w:r>
            <w:r w:rsidRPr="00A23740">
              <w:rPr>
                <w:rFonts w:eastAsia="Times New Roman"/>
                <w:b/>
                <w:color w:val="0000FF"/>
                <w:szCs w:val="24"/>
              </w:rPr>
              <w:t>geçen değere ilişkin olması</w:t>
            </w:r>
            <w:r w:rsidR="0096478A" w:rsidRPr="00A23740">
              <w:rPr>
                <w:rFonts w:eastAsia="Times New Roman"/>
                <w:szCs w:val="24"/>
              </w:rPr>
              <w:t xml:space="preserve"> hâ</w:t>
            </w:r>
            <w:r w:rsidRPr="00A23740">
              <w:rPr>
                <w:rFonts w:eastAsia="Times New Roman"/>
                <w:szCs w:val="24"/>
              </w:rPr>
              <w:t xml:space="preserve">linde, </w:t>
            </w:r>
            <w:r w:rsidRPr="00A23740">
              <w:rPr>
                <w:rStyle w:val="MaviChar"/>
              </w:rPr>
              <w:t>ihtiyati haciz kararı ancak</w:t>
            </w:r>
            <w:r w:rsidRPr="00A23740">
              <w:rPr>
                <w:rFonts w:eastAsia="Times New Roman"/>
                <w:szCs w:val="24"/>
              </w:rPr>
              <w:t xml:space="preserve"> teminat </w:t>
            </w:r>
            <w:r w:rsidRPr="00A23740">
              <w:rPr>
                <w:rFonts w:eastAsia="Times New Roman"/>
                <w:b/>
                <w:color w:val="0000FF"/>
                <w:szCs w:val="24"/>
              </w:rPr>
              <w:t>karşılığında</w:t>
            </w:r>
            <w:r w:rsidRPr="00A23740">
              <w:rPr>
                <w:rFonts w:eastAsia="Times New Roman"/>
                <w:szCs w:val="24"/>
              </w:rPr>
              <w:t xml:space="preserve"> </w:t>
            </w:r>
            <w:r w:rsidRPr="00A23740">
              <w:rPr>
                <w:rFonts w:eastAsia="Times New Roman"/>
                <w:b/>
                <w:color w:val="0000FF"/>
                <w:szCs w:val="24"/>
              </w:rPr>
              <w:t>verilebilir</w:t>
            </w:r>
            <w:r w:rsidRPr="00A23740">
              <w:rPr>
                <w:rFonts w:eastAsia="Times New Roman"/>
                <w:szCs w:val="24"/>
              </w:rPr>
              <w:t xml:space="preserve">. </w:t>
            </w:r>
            <w:r w:rsidRPr="00A23740">
              <w:rPr>
                <w:rFonts w:eastAsia="Times New Roman"/>
                <w:b/>
                <w:color w:val="0000FF"/>
                <w:szCs w:val="24"/>
              </w:rPr>
              <w:t xml:space="preserve">İptal davası mahkemece kabul </w:t>
            </w:r>
            <w:r w:rsidRPr="00A23740">
              <w:rPr>
                <w:rStyle w:val="MaviChar"/>
              </w:rPr>
              <w:t>edilirse</w:t>
            </w:r>
            <w:r w:rsidRPr="00A23740">
              <w:rPr>
                <w:rStyle w:val="MaviChar"/>
                <w:lang w:val="tr-TR"/>
              </w:rPr>
              <w:t>,</w:t>
            </w:r>
            <w:r w:rsidRPr="00A23740">
              <w:rPr>
                <w:rFonts w:eastAsia="Times New Roman"/>
                <w:b/>
                <w:color w:val="0000FF"/>
                <w:szCs w:val="24"/>
              </w:rPr>
              <w:t xml:space="preserve"> ihtiyati haciz kesin hacze dönüşür.</w:t>
            </w:r>
            <w:r w:rsidRPr="00A23740">
              <w:rPr>
                <w:rFonts w:eastAsia="Times New Roman"/>
                <w:szCs w:val="24"/>
              </w:rPr>
              <w:t xml:space="preserve"> </w:t>
            </w:r>
            <w:r w:rsidRPr="00A23740">
              <w:rPr>
                <w:rFonts w:eastAsia="Times New Roman"/>
                <w:b/>
                <w:color w:val="0000FF"/>
                <w:szCs w:val="24"/>
              </w:rPr>
              <w:t xml:space="preserve">Davanın reddine ilişkin karara karşı yapılan istinaf başvurusunun reddedilmesi </w:t>
            </w:r>
            <w:r w:rsidRPr="00A23740">
              <w:rPr>
                <w:rStyle w:val="MaviChar"/>
              </w:rPr>
              <w:t>durumunda</w:t>
            </w:r>
            <w:r w:rsidRPr="00A23740">
              <w:rPr>
                <w:rFonts w:eastAsia="Times New Roman"/>
                <w:b/>
                <w:color w:val="0000FF"/>
                <w:szCs w:val="24"/>
              </w:rPr>
              <w:t xml:space="preserve"> ihtiyati haciz hükümsüz kalır.</w:t>
            </w:r>
          </w:p>
          <w:p w:rsidR="00AA5C8C" w:rsidRPr="00A23740" w:rsidRDefault="00AA5C8C" w:rsidP="009431FF">
            <w:pPr>
              <w:tabs>
                <w:tab w:val="left" w:pos="567"/>
              </w:tabs>
              <w:rPr>
                <w:rFonts w:eastAsia="Times New Roman"/>
                <w:szCs w:val="24"/>
              </w:rPr>
            </w:pPr>
          </w:p>
          <w:p w:rsidR="00AA5C8C" w:rsidRPr="00A23740" w:rsidRDefault="00AA5C8C" w:rsidP="009431FF">
            <w:pPr>
              <w:pStyle w:val="Mavi"/>
            </w:pPr>
            <w:r w:rsidRPr="00A23740">
              <w:t>(3) Alacaklının alacağını karşılayan miktarda teminat mektubu</w:t>
            </w:r>
            <w:r w:rsidR="0096478A" w:rsidRPr="00A23740">
              <w:t xml:space="preserve"> sunulması h</w:t>
            </w:r>
            <w:r w:rsidR="0096478A" w:rsidRPr="00A23740">
              <w:rPr>
                <w:lang w:val="tr-TR"/>
              </w:rPr>
              <w:t>â</w:t>
            </w:r>
            <w:r w:rsidRPr="00A23740">
              <w:t xml:space="preserve">linde </w:t>
            </w:r>
            <w:r w:rsidR="00FE62F0" w:rsidRPr="00814E71">
              <w:t>mahkeme</w:t>
            </w:r>
            <w:r w:rsidR="00FE62F0" w:rsidRPr="00A23740">
              <w:rPr>
                <w:lang w:val="tr-TR"/>
              </w:rPr>
              <w:t xml:space="preserve"> </w:t>
            </w:r>
            <w:r w:rsidRPr="00A23740">
              <w:t xml:space="preserve">dava konusu taşınır ve taşınmazlar üzerine konulmuş olan ihtiyati haczin kaldırılmasına ve taşınırların teslimine karar </w:t>
            </w:r>
            <w:r w:rsidR="00FE62F0" w:rsidRPr="00814E71">
              <w:t>verir</w:t>
            </w:r>
            <w:r w:rsidRPr="00814E71">
              <w:t>.</w:t>
            </w:r>
          </w:p>
          <w:p w:rsidR="00AA5C8C" w:rsidRPr="00A23740" w:rsidRDefault="00AA5C8C" w:rsidP="009431FF">
            <w:pPr>
              <w:pStyle w:val="KIRMIZI"/>
              <w:rPr>
                <w:lang w:val="tr-TR"/>
              </w:rPr>
            </w:pPr>
          </w:p>
        </w:tc>
      </w:tr>
      <w:tr w:rsidR="00BD7568" w:rsidRPr="00A23740" w:rsidTr="009431FF">
        <w:tc>
          <w:tcPr>
            <w:tcW w:w="5000" w:type="pct"/>
            <w:gridSpan w:val="2"/>
            <w:shd w:val="clear" w:color="auto" w:fill="DEEAF6"/>
          </w:tcPr>
          <w:p w:rsidR="00E64249" w:rsidRPr="00A23740" w:rsidRDefault="00E64249" w:rsidP="009431FF">
            <w:pPr>
              <w:tabs>
                <w:tab w:val="left" w:pos="567"/>
              </w:tabs>
              <w:ind w:firstLine="709"/>
              <w:rPr>
                <w:b/>
                <w:bCs/>
                <w:szCs w:val="24"/>
                <w:lang w:eastAsia="x-none"/>
              </w:rPr>
            </w:pPr>
          </w:p>
          <w:p w:rsidR="00E81F80" w:rsidRDefault="003B700B" w:rsidP="009431FF">
            <w:pPr>
              <w:tabs>
                <w:tab w:val="left" w:pos="567"/>
              </w:tabs>
              <w:ind w:firstLine="709"/>
              <w:rPr>
                <w:bCs/>
              </w:rPr>
            </w:pPr>
            <w:r w:rsidRPr="00A23740">
              <w:rPr>
                <w:b/>
                <w:bCs/>
              </w:rPr>
              <w:t>MADDE 450</w:t>
            </w:r>
            <w:r w:rsidR="001C62D2" w:rsidRPr="00A23740">
              <w:rPr>
                <w:b/>
                <w:bCs/>
              </w:rPr>
              <w:t xml:space="preserve">- </w:t>
            </w:r>
            <w:r w:rsidR="001C62D2" w:rsidRPr="00A23740">
              <w:rPr>
                <w:bCs/>
              </w:rPr>
              <w:t xml:space="preserve">Madde, </w:t>
            </w:r>
            <w:r w:rsidR="00FF007B" w:rsidRPr="00814E71">
              <w:t>tasarrufun iptali</w:t>
            </w:r>
            <w:r w:rsidR="00FF007B" w:rsidRPr="00A23740">
              <w:rPr>
                <w:bCs/>
              </w:rPr>
              <w:t xml:space="preserve"> </w:t>
            </w:r>
            <w:r w:rsidR="001C62D2" w:rsidRPr="00A23740">
              <w:rPr>
                <w:bCs/>
              </w:rPr>
              <w:t>davalarında yargılama usulüne ilişkin olup, 2004 sayılı Kanunun 281</w:t>
            </w:r>
            <w:r w:rsidR="00290FB4" w:rsidRPr="00A23740">
              <w:rPr>
                <w:bCs/>
              </w:rPr>
              <w:t xml:space="preserve"> </w:t>
            </w:r>
            <w:r w:rsidR="001C62D2" w:rsidRPr="00A23740">
              <w:rPr>
                <w:bCs/>
              </w:rPr>
              <w:t>inci maddesini karşılamak</w:t>
            </w:r>
            <w:r w:rsidR="00EE16A0" w:rsidRPr="00A23740">
              <w:rPr>
                <w:bCs/>
              </w:rPr>
              <w:t>tadır.</w:t>
            </w:r>
            <w:r w:rsidR="00E81F80">
              <w:rPr>
                <w:bCs/>
              </w:rPr>
              <w:t xml:space="preserve"> </w:t>
            </w:r>
          </w:p>
          <w:p w:rsidR="00EE16A0" w:rsidRPr="00A23740" w:rsidRDefault="00EE16A0" w:rsidP="009431FF">
            <w:pPr>
              <w:tabs>
                <w:tab w:val="left" w:pos="567"/>
              </w:tabs>
              <w:ind w:firstLine="709"/>
            </w:pPr>
            <w:r w:rsidRPr="00A23740">
              <w:t xml:space="preserve">Maddenin birinci fıkrasında, hâkimin bu davalara ilişkin uyuşmazlıklarda delilleri  ve tasarrufun iptale tabi olup olmadığını serbestçe değerlendireceği ifadesi yer almaktadır. 2004 sayılı Kanunun 281 inci maddesinin birinci fıkrasında yer alan bu husus, esasa ilişkin bir değişiklik yapılmadan, öğreti ve uygulamada da anlaşıldığı şekilde (bkz. Baki Kuru, İcra ve İflas Hukuku El Kitabı, 2. Baskı, </w:t>
            </w:r>
            <w:r w:rsidR="00C177AF" w:rsidRPr="00A23740">
              <w:t xml:space="preserve">Ankara 2013, </w:t>
            </w:r>
            <w:r w:rsidRPr="00A23740">
              <w:t>s. 1430) yeniden kaleme alınmıştır.</w:t>
            </w:r>
          </w:p>
          <w:p w:rsidR="00CB25D1" w:rsidRPr="00A23740" w:rsidRDefault="001C62D2" w:rsidP="009431FF">
            <w:pPr>
              <w:tabs>
                <w:tab w:val="left" w:pos="567"/>
              </w:tabs>
              <w:ind w:firstLine="709"/>
              <w:rPr>
                <w:bCs/>
              </w:rPr>
            </w:pPr>
            <w:r w:rsidRPr="00A23740">
              <w:rPr>
                <w:bCs/>
              </w:rPr>
              <w:t>Maddenin ikinci fıkrasına ise önemli bir ekleme yapılmıştır. Buna göre, iptal davası mahkemece kabul edilirse, ihtiyati haciz kesin hacze dönüşür; davanın reddine ilişkin karara karşı yapılan istinaf başvurusunun reddedilmesi durumunda ise ihtiyati haciz hükümsüz kalacaktır. Tasarrufun iptali davas</w:t>
            </w:r>
            <w:r w:rsidR="0096478A" w:rsidRPr="00A23740">
              <w:rPr>
                <w:bCs/>
              </w:rPr>
              <w:t>ının bedele dönüşmemiş olması hâ</w:t>
            </w:r>
            <w:r w:rsidRPr="00A23740">
              <w:rPr>
                <w:bCs/>
              </w:rPr>
              <w:t>linde</w:t>
            </w:r>
            <w:r w:rsidR="00C177AF" w:rsidRPr="00A23740">
              <w:rPr>
                <w:bCs/>
              </w:rPr>
              <w:t>,</w:t>
            </w:r>
            <w:r w:rsidRPr="00A23740">
              <w:rPr>
                <w:bCs/>
              </w:rPr>
              <w:t xml:space="preserve"> yani davacı mahkemeden dava konusu şey hakkında kendisine cebr</w:t>
            </w:r>
            <w:r w:rsidR="00436506" w:rsidRPr="00A23740">
              <w:rPr>
                <w:bCs/>
              </w:rPr>
              <w:t>î</w:t>
            </w:r>
            <w:r w:rsidRPr="00A23740">
              <w:rPr>
                <w:bCs/>
              </w:rPr>
              <w:t xml:space="preserve"> icra yetkisi (haciz ve satış yetkisi tanınmasını) istemişse, mahkemece dava konusu iptale konu şeyler hakkında ihtiyati haciz kararı verilecektir. Eğer davacı dava dilekçesinde iptal davasını bedele dönüştürmüş</w:t>
            </w:r>
            <w:r w:rsidR="00C177AF" w:rsidRPr="00A23740">
              <w:rPr>
                <w:bCs/>
              </w:rPr>
              <w:t>se</w:t>
            </w:r>
            <w:r w:rsidRPr="00A23740">
              <w:rPr>
                <w:bCs/>
              </w:rPr>
              <w:t xml:space="preserve">, ihtiyati haciz kararı verecektir. </w:t>
            </w:r>
            <w:r w:rsidR="00FF007B" w:rsidRPr="00814E71">
              <w:t>Buna mukabil</w:t>
            </w:r>
            <w:r w:rsidR="00FF007B" w:rsidRPr="00A23740">
              <w:rPr>
                <w:bCs/>
              </w:rPr>
              <w:t xml:space="preserve"> </w:t>
            </w:r>
            <w:r w:rsidRPr="00A23740">
              <w:rPr>
                <w:bCs/>
              </w:rPr>
              <w:t>davacı dava dilekçesinde iptal davasını bedele dönüştürm</w:t>
            </w:r>
            <w:r w:rsidRPr="00814E71">
              <w:t>üş</w:t>
            </w:r>
            <w:r w:rsidR="00FF007B" w:rsidRPr="00814E71">
              <w:t>se,</w:t>
            </w:r>
            <w:r w:rsidRPr="00A23740">
              <w:rPr>
                <w:bCs/>
              </w:rPr>
              <w:t xml:space="preserve"> özellikle dava konusu şeyi üçüncü kişi</w:t>
            </w:r>
            <w:r w:rsidR="00FF007B" w:rsidRPr="00A23740">
              <w:rPr>
                <w:bCs/>
              </w:rPr>
              <w:t>den devralmış olan kişinin kötü</w:t>
            </w:r>
            <w:r w:rsidRPr="00A23740">
              <w:rPr>
                <w:bCs/>
              </w:rPr>
              <w:t xml:space="preserve">niyetli olduğunu ispat edecek durumda olmadığı için onu davalı olarak dahi dilekçesinde göstermemişse, bu durumda davacının talebi üzerine mahkemece davalı üçüncü kişinin mal ve hakları ile üçüncü kişilerdeki hak ve alacakları üzerine ihtiyati haciz kararı (teminat karşılığında) verilmesi gerekecektir. </w:t>
            </w:r>
          </w:p>
          <w:p w:rsidR="00BD7568" w:rsidRPr="00A23740" w:rsidRDefault="001C62D2" w:rsidP="009431FF">
            <w:pPr>
              <w:tabs>
                <w:tab w:val="left" w:pos="567"/>
              </w:tabs>
              <w:ind w:firstLine="709"/>
              <w:rPr>
                <w:b/>
                <w:bCs/>
              </w:rPr>
            </w:pPr>
            <w:r w:rsidRPr="00A23740">
              <w:rPr>
                <w:bCs/>
              </w:rPr>
              <w:t>Maddeye ayrıca yeni bir üçüncü fıkra eklenmiştir. Bu fıkraya göre, alacaklının mahkemece takdir edilecek tüm alacağını karşılayan miktarda</w:t>
            </w:r>
            <w:r w:rsidR="0096478A" w:rsidRPr="00A23740">
              <w:rPr>
                <w:bCs/>
              </w:rPr>
              <w:t xml:space="preserve"> teminat mektubunun sunulması hâ</w:t>
            </w:r>
            <w:r w:rsidRPr="00A23740">
              <w:rPr>
                <w:bCs/>
              </w:rPr>
              <w:t>linde mahkeme, dava konusu taşınır ve taşınmazlar üzerine konulmuş olan ihtiyati haczi kaldıracak ve taşınırların teslimine karar verecektir. 2004 sayıl</w:t>
            </w:r>
            <w:r w:rsidR="00290FB4" w:rsidRPr="00A23740">
              <w:rPr>
                <w:bCs/>
              </w:rPr>
              <w:t>ı Kanunun 281 i</w:t>
            </w:r>
            <w:r w:rsidRPr="00A23740">
              <w:rPr>
                <w:bCs/>
              </w:rPr>
              <w:t>nci maddesinin, davalılardan herhangi birini</w:t>
            </w:r>
            <w:r w:rsidR="0096478A" w:rsidRPr="00A23740">
              <w:rPr>
                <w:bCs/>
              </w:rPr>
              <w:t>n davacının alacağını ödemesi hâ</w:t>
            </w:r>
            <w:r w:rsidRPr="00A23740">
              <w:rPr>
                <w:bCs/>
              </w:rPr>
              <w:t xml:space="preserve">linde davanın reddolunacağına ilişkin üçüncü fıkrası ise, böyle bir düzenlemeye ihtiyaç bulunmadığı ve fıkrada yer alan hususların zaten genel </w:t>
            </w:r>
            <w:r w:rsidR="00C177AF" w:rsidRPr="00A23740">
              <w:rPr>
                <w:bCs/>
              </w:rPr>
              <w:t xml:space="preserve">ilkelerden </w:t>
            </w:r>
            <w:r w:rsidRPr="00A23740">
              <w:rPr>
                <w:bCs/>
              </w:rPr>
              <w:t>kolaylıkla anlaşılabileceği gerekçesiyle yeni madde metnine alınmamıştır.</w:t>
            </w:r>
            <w:r w:rsidRPr="00A23740">
              <w:rPr>
                <w:b/>
                <w:bCs/>
              </w:rPr>
              <w:t xml:space="preserve"> </w:t>
            </w:r>
          </w:p>
          <w:p w:rsidR="001C62D2" w:rsidRPr="00A23740" w:rsidRDefault="001C62D2"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b/>
                <w:strike/>
                <w:color w:val="FF0000"/>
                <w:szCs w:val="24"/>
              </w:rPr>
            </w:pPr>
            <w:r w:rsidRPr="00A23740">
              <w:rPr>
                <w:rFonts w:eastAsia="Times New Roman"/>
                <w:b/>
                <w:strike/>
                <w:color w:val="FF0000"/>
                <w:szCs w:val="24"/>
              </w:rPr>
              <w:t>İadenin şümulü:</w:t>
            </w:r>
          </w:p>
          <w:p w:rsidR="00AA5C8C" w:rsidRPr="00A23740" w:rsidRDefault="00AA5C8C" w:rsidP="009431FF">
            <w:pPr>
              <w:tabs>
                <w:tab w:val="left" w:pos="567"/>
              </w:tabs>
              <w:rPr>
                <w:rFonts w:eastAsia="Times New Roman"/>
                <w:b/>
                <w:szCs w:val="24"/>
              </w:rPr>
            </w:pPr>
            <w:r w:rsidRPr="00A23740">
              <w:rPr>
                <w:rStyle w:val="KIRMIZIChar"/>
                <w:rFonts w:eastAsia="Calibri"/>
              </w:rPr>
              <w:t>Madde 283 – (1) (</w:t>
            </w:r>
            <w:r w:rsidRPr="00A23740">
              <w:rPr>
                <w:rFonts w:eastAsia="Times New Roman"/>
                <w:b/>
                <w:strike/>
                <w:color w:val="FF0000"/>
                <w:szCs w:val="24"/>
              </w:rPr>
              <w:t>Değişik: 18/2/1965 - 538/118 md.)</w:t>
            </w:r>
          </w:p>
          <w:p w:rsidR="00AA5C8C" w:rsidRPr="00A23740" w:rsidRDefault="00AA5C8C" w:rsidP="009431FF">
            <w:pPr>
              <w:tabs>
                <w:tab w:val="left" w:pos="567"/>
              </w:tabs>
              <w:rPr>
                <w:rFonts w:eastAsia="Times New Roman"/>
                <w:szCs w:val="24"/>
              </w:rPr>
            </w:pPr>
            <w:r w:rsidRPr="00A23740">
              <w:rPr>
                <w:rFonts w:eastAsia="Times New Roman"/>
                <w:szCs w:val="24"/>
              </w:rPr>
              <w:t xml:space="preserve">Davacı, iptal davası </w:t>
            </w:r>
            <w:r w:rsidRPr="00A23740">
              <w:rPr>
                <w:rFonts w:eastAsia="Times New Roman"/>
                <w:b/>
                <w:strike/>
                <w:color w:val="FF0000"/>
                <w:szCs w:val="24"/>
              </w:rPr>
              <w:t>sabit olduğu</w:t>
            </w:r>
            <w:r w:rsidRPr="00A23740">
              <w:rPr>
                <w:rFonts w:eastAsia="Times New Roman"/>
                <w:szCs w:val="24"/>
              </w:rPr>
              <w:t xml:space="preserve"> takdirde, </w:t>
            </w:r>
            <w:r w:rsidRPr="00A23740">
              <w:rPr>
                <w:rFonts w:eastAsia="Times New Roman"/>
                <w:b/>
                <w:strike/>
                <w:color w:val="FF0000"/>
                <w:szCs w:val="24"/>
              </w:rPr>
              <w:t>bu</w:t>
            </w:r>
            <w:r w:rsidRPr="00A23740">
              <w:rPr>
                <w:rFonts w:eastAsia="Times New Roman"/>
                <w:szCs w:val="24"/>
              </w:rPr>
              <w:t xml:space="preserve"> dava</w:t>
            </w:r>
            <w:r w:rsidRPr="00A23740">
              <w:rPr>
                <w:rFonts w:eastAsia="Times New Roman"/>
                <w:b/>
                <w:strike/>
                <w:color w:val="FF0000"/>
                <w:szCs w:val="24"/>
              </w:rPr>
              <w:t>ya</w:t>
            </w:r>
            <w:r w:rsidRPr="00A23740">
              <w:rPr>
                <w:rFonts w:eastAsia="Times New Roman"/>
                <w:szCs w:val="24"/>
              </w:rPr>
              <w:t xml:space="preserve"> konu </w:t>
            </w:r>
            <w:r w:rsidRPr="00A23740">
              <w:rPr>
                <w:rFonts w:eastAsia="Times New Roman"/>
                <w:b/>
                <w:strike/>
                <w:color w:val="FF0000"/>
                <w:szCs w:val="24"/>
              </w:rPr>
              <w:t>teşkil eden</w:t>
            </w:r>
            <w:r w:rsidRPr="00A23740">
              <w:rPr>
                <w:rFonts w:eastAsia="Times New Roman"/>
                <w:szCs w:val="24"/>
              </w:rPr>
              <w:t xml:space="preserve"> mal üzerinde cebri icra yolu ile, hakkını almak yetkisini elde eder ve davanın konusu taşınmazsa, davalı üçüncü </w:t>
            </w:r>
            <w:r w:rsidRPr="00A23740">
              <w:rPr>
                <w:rFonts w:eastAsia="Times New Roman"/>
                <w:b/>
                <w:strike/>
                <w:color w:val="FF0000"/>
                <w:szCs w:val="24"/>
              </w:rPr>
              <w:t>şahıs</w:t>
            </w:r>
            <w:r w:rsidRPr="00A23740">
              <w:rPr>
                <w:rFonts w:eastAsia="Times New Roman"/>
                <w:szCs w:val="24"/>
              </w:rPr>
              <w:t xml:space="preserve"> üzerindeki kaydın </w:t>
            </w:r>
            <w:r w:rsidRPr="00A23740">
              <w:rPr>
                <w:rFonts w:eastAsia="Times New Roman"/>
                <w:b/>
                <w:strike/>
                <w:color w:val="FF0000"/>
                <w:szCs w:val="24"/>
              </w:rPr>
              <w:t>tashihine mahal</w:t>
            </w:r>
            <w:r w:rsidRPr="00A23740">
              <w:rPr>
                <w:rFonts w:eastAsia="Times New Roman"/>
                <w:szCs w:val="24"/>
              </w:rPr>
              <w:t xml:space="preserve"> olmadan o taşınmazın haciz ve satışını istiyebilir.</w:t>
            </w:r>
          </w:p>
          <w:p w:rsidR="001040F7" w:rsidRPr="00A23740" w:rsidRDefault="001040F7"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(2)</w:t>
            </w:r>
            <w:r w:rsidRPr="00A23740">
              <w:rPr>
                <w:rFonts w:eastAsia="Times New Roman"/>
                <w:color w:val="000000"/>
                <w:szCs w:val="24"/>
                <w:lang w:eastAsia="tr-TR"/>
              </w:rPr>
              <w:t xml:space="preserve"> </w:t>
            </w:r>
            <w:r w:rsidRPr="00A23740">
              <w:rPr>
                <w:rFonts w:eastAsia="Times New Roman"/>
                <w:szCs w:val="24"/>
              </w:rPr>
              <w:t xml:space="preserve">İptal davası, üçüncü </w:t>
            </w:r>
            <w:r w:rsidRPr="00A23740">
              <w:rPr>
                <w:rFonts w:eastAsia="Times New Roman"/>
                <w:b/>
                <w:strike/>
                <w:color w:val="FF0000"/>
                <w:szCs w:val="24"/>
              </w:rPr>
              <w:t>şahsın</w:t>
            </w:r>
            <w:r w:rsidRPr="00A23740">
              <w:rPr>
                <w:rFonts w:eastAsia="Times New Roman"/>
                <w:szCs w:val="24"/>
              </w:rPr>
              <w:t xml:space="preserve"> elinden çıkarmış olduğu mallar yerine geçen değere </w:t>
            </w:r>
            <w:r w:rsidRPr="00A23740">
              <w:rPr>
                <w:rFonts w:eastAsia="Times New Roman"/>
                <w:b/>
                <w:strike/>
                <w:color w:val="FF0000"/>
                <w:szCs w:val="24"/>
              </w:rPr>
              <w:t>taallük ediyorsa</w:t>
            </w:r>
            <w:r w:rsidRPr="00A23740">
              <w:rPr>
                <w:rFonts w:eastAsia="Times New Roman"/>
                <w:szCs w:val="24"/>
              </w:rPr>
              <w:t xml:space="preserve">, bu değerler </w:t>
            </w:r>
            <w:r w:rsidRPr="00A23740">
              <w:rPr>
                <w:rFonts w:eastAsia="Times New Roman"/>
                <w:b/>
                <w:strike/>
                <w:color w:val="FF0000"/>
                <w:szCs w:val="24"/>
              </w:rPr>
              <w:t>nispetinde</w:t>
            </w:r>
            <w:r w:rsidRPr="00A23740">
              <w:rPr>
                <w:rFonts w:eastAsia="Times New Roman"/>
                <w:szCs w:val="24"/>
              </w:rPr>
              <w:t xml:space="preserve"> üçüncü </w:t>
            </w:r>
            <w:r w:rsidRPr="00A23740">
              <w:rPr>
                <w:rFonts w:eastAsia="Times New Roman"/>
                <w:b/>
                <w:strike/>
                <w:color w:val="FF0000"/>
                <w:szCs w:val="24"/>
              </w:rPr>
              <w:t>şahıs</w:t>
            </w:r>
            <w:r w:rsidRPr="00A23740">
              <w:rPr>
                <w:rFonts w:eastAsia="Times New Roman"/>
                <w:szCs w:val="24"/>
              </w:rPr>
              <w:t xml:space="preserve"> nakden tazmine (Davacının alacağından fazla olmamak üzere) mahküm edilir.</w:t>
            </w:r>
          </w:p>
          <w:p w:rsidR="00AA5C8C" w:rsidRPr="00A23740" w:rsidRDefault="00AA5C8C" w:rsidP="009431FF">
            <w:pPr>
              <w:tabs>
                <w:tab w:val="left" w:pos="567"/>
              </w:tabs>
              <w:rPr>
                <w:rFonts w:eastAsia="Times New Roman"/>
                <w:szCs w:val="24"/>
              </w:rPr>
            </w:pPr>
          </w:p>
          <w:p w:rsidR="00AA5C8C" w:rsidRPr="00A23740" w:rsidRDefault="00AA5C8C" w:rsidP="009431FF">
            <w:pPr>
              <w:pStyle w:val="KIRMIZI"/>
            </w:pPr>
            <w:r w:rsidRPr="00A23740">
              <w:rPr>
                <w:rStyle w:val="KIRMIZIChar"/>
                <w:rFonts w:eastAsia="Calibri"/>
                <w:b/>
                <w:bCs/>
                <w:strike/>
              </w:rPr>
              <w:t>(3)</w:t>
            </w:r>
            <w:r w:rsidRPr="00A23740">
              <w:t xml:space="preserve"> İptal davası üzerine üçüncü şahıs da, mamelekinde hasıl olacak eksikliğin borçludan tahsilini aynı davada istiyebilir. Bu talep, iptal davasının tefrik edilerek daha önce hükme bağlanmasına mani değildir.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(4)</w:t>
            </w:r>
            <w:r w:rsidRPr="00A23740">
              <w:rPr>
                <w:rFonts w:eastAsia="Times New Roman"/>
                <w:color w:val="000000"/>
                <w:szCs w:val="24"/>
                <w:lang w:eastAsia="tr-TR"/>
              </w:rPr>
              <w:t xml:space="preserve"> </w:t>
            </w:r>
            <w:r w:rsidRPr="00A23740">
              <w:rPr>
                <w:rFonts w:eastAsia="Times New Roman"/>
                <w:szCs w:val="24"/>
              </w:rPr>
              <w:t xml:space="preserve">İptal davasını kaybeden üçüncü </w:t>
            </w:r>
            <w:r w:rsidRPr="00A23740">
              <w:rPr>
                <w:rFonts w:eastAsia="Times New Roman"/>
                <w:b/>
                <w:strike/>
                <w:color w:val="FF0000"/>
                <w:szCs w:val="24"/>
              </w:rPr>
              <w:t>şahıs</w:t>
            </w:r>
            <w:r w:rsidRPr="00A23740">
              <w:rPr>
                <w:rFonts w:eastAsia="Times New Roman"/>
                <w:szCs w:val="24"/>
              </w:rPr>
              <w:t xml:space="preserve">, </w:t>
            </w:r>
            <w:r w:rsidRPr="00A23740">
              <w:rPr>
                <w:rFonts w:eastAsia="Times New Roman"/>
                <w:b/>
                <w:strike/>
                <w:color w:val="FF0000"/>
                <w:szCs w:val="24"/>
              </w:rPr>
              <w:t>karşılık olarak</w:t>
            </w:r>
            <w:r w:rsidRPr="00A23740">
              <w:rPr>
                <w:rFonts w:eastAsia="Times New Roman"/>
                <w:szCs w:val="24"/>
              </w:rPr>
              <w:t xml:space="preserve"> şeyi veya bedelini borçludan veya iflas masasından geri istiyebilir.</w:t>
            </w:r>
          </w:p>
          <w:p w:rsidR="00AA5C8C" w:rsidRPr="00A23740" w:rsidRDefault="00AA5C8C" w:rsidP="009431FF">
            <w:pPr>
              <w:tabs>
                <w:tab w:val="left" w:pos="567"/>
              </w:tabs>
              <w:rPr>
                <w:rFonts w:eastAsia="Times New Roman"/>
                <w:szCs w:val="24"/>
              </w:rPr>
            </w:pPr>
            <w:r w:rsidRPr="00A23740">
              <w:rPr>
                <w:rStyle w:val="KIRMIZIChar"/>
                <w:rFonts w:eastAsia="Calibri"/>
              </w:rPr>
              <w:t>(5)</w:t>
            </w:r>
            <w:r w:rsidRPr="00A23740">
              <w:rPr>
                <w:rFonts w:eastAsia="Times New Roman"/>
                <w:color w:val="000000"/>
                <w:szCs w:val="24"/>
                <w:lang w:eastAsia="tr-TR"/>
              </w:rPr>
              <w:t xml:space="preserve"> </w:t>
            </w:r>
            <w:r w:rsidRPr="00A23740">
              <w:rPr>
                <w:rFonts w:eastAsia="Times New Roman"/>
                <w:b/>
                <w:strike/>
                <w:color w:val="FF0000"/>
                <w:szCs w:val="24"/>
              </w:rPr>
              <w:t>Batıl bir tasarruf neticesinde</w:t>
            </w:r>
            <w:r w:rsidRPr="00A23740">
              <w:rPr>
                <w:rFonts w:eastAsia="Times New Roman"/>
                <w:b/>
                <w:color w:val="FF0000"/>
                <w:szCs w:val="24"/>
              </w:rPr>
              <w:t xml:space="preserve"> </w:t>
            </w:r>
            <w:r w:rsidRPr="00A23740">
              <w:rPr>
                <w:rFonts w:eastAsia="Times New Roman"/>
                <w:szCs w:val="24"/>
              </w:rPr>
              <w:t>kendisine ödenilen şeyi geri veren</w:t>
            </w:r>
            <w:r w:rsidRPr="00A23740">
              <w:rPr>
                <w:rFonts w:eastAsia="Times New Roman"/>
                <w:b/>
                <w:strike/>
                <w:color w:val="FF0000"/>
                <w:szCs w:val="24"/>
              </w:rPr>
              <w:t xml:space="preserve"> alacaklı</w:t>
            </w:r>
            <w:r w:rsidRPr="00A23740">
              <w:rPr>
                <w:rFonts w:eastAsia="Times New Roman"/>
                <w:szCs w:val="24"/>
              </w:rPr>
              <w:t xml:space="preserve"> eski haklarını muhafaza eder.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Style w:val="KIRMIZIChar"/>
                <w:rFonts w:eastAsia="Calibri"/>
              </w:rPr>
              <w:t>(6)</w:t>
            </w:r>
            <w:r w:rsidRPr="00A23740">
              <w:rPr>
                <w:rFonts w:eastAsia="Times New Roman"/>
                <w:color w:val="000000"/>
                <w:szCs w:val="24"/>
                <w:lang w:eastAsia="tr-TR"/>
              </w:rPr>
              <w:t xml:space="preserve"> </w:t>
            </w:r>
            <w:r w:rsidRPr="00A23740">
              <w:rPr>
                <w:rFonts w:eastAsia="Times New Roman"/>
                <w:szCs w:val="24"/>
              </w:rPr>
              <w:t xml:space="preserve">Kendisine bağış yapılan </w:t>
            </w:r>
            <w:r w:rsidRPr="00A23740">
              <w:rPr>
                <w:rFonts w:eastAsia="Times New Roman"/>
                <w:b/>
                <w:strike/>
                <w:color w:val="FF0000"/>
                <w:szCs w:val="24"/>
              </w:rPr>
              <w:t>iyi niyetli</w:t>
            </w:r>
            <w:r w:rsidRPr="00A23740">
              <w:rPr>
                <w:rFonts w:eastAsia="Times New Roman"/>
                <w:szCs w:val="24"/>
              </w:rPr>
              <w:t xml:space="preserve"> ise yalnız </w:t>
            </w:r>
            <w:r w:rsidRPr="00A23740">
              <w:rPr>
                <w:rStyle w:val="KIRMIZIChar"/>
                <w:rFonts w:eastAsia="Calibri"/>
              </w:rPr>
              <w:t>dava zamanında</w:t>
            </w:r>
            <w:r w:rsidRPr="00A23740">
              <w:rPr>
                <w:rFonts w:eastAsia="Times New Roman"/>
                <w:szCs w:val="24"/>
              </w:rPr>
              <w:t xml:space="preserve"> elinde bulunan miktarı geri verme</w:t>
            </w:r>
            <w:r w:rsidRPr="00A23740">
              <w:rPr>
                <w:rStyle w:val="KIRMIZIChar"/>
                <w:rFonts w:eastAsia="Calibri"/>
              </w:rPr>
              <w:t>ye mecburdur</w:t>
            </w:r>
            <w:r w:rsidRPr="00A23740">
              <w:rPr>
                <w:rFonts w:eastAsia="Times New Roman"/>
                <w:szCs w:val="24"/>
              </w:rPr>
              <w:t>.</w:t>
            </w:r>
          </w:p>
          <w:p w:rsidR="00AA5C8C" w:rsidRPr="00A23740" w:rsidRDefault="00AA5C8C" w:rsidP="009431FF">
            <w:pPr>
              <w:rPr>
                <w:rFonts w:eastAsia="Times New Roman"/>
                <w:szCs w:val="24"/>
              </w:rPr>
            </w:pPr>
          </w:p>
        </w:tc>
        <w:tc>
          <w:tcPr>
            <w:tcW w:w="2500" w:type="pct"/>
          </w:tcPr>
          <w:p w:rsidR="00AA5C8C" w:rsidRPr="00A23740" w:rsidRDefault="00FF007B" w:rsidP="009431FF">
            <w:pPr>
              <w:tabs>
                <w:tab w:val="left" w:pos="567"/>
              </w:tabs>
              <w:rPr>
                <w:rFonts w:eastAsia="Times New Roman"/>
                <w:b/>
                <w:color w:val="0000FF"/>
                <w:szCs w:val="24"/>
              </w:rPr>
            </w:pPr>
            <w:r w:rsidRPr="0078798F">
              <w:rPr>
                <w:rStyle w:val="MaviChar"/>
              </w:rPr>
              <w:t>Tasarrufun iptali</w:t>
            </w:r>
            <w:r w:rsidRPr="00A23740">
              <w:rPr>
                <w:rFonts w:eastAsia="Times New Roman"/>
                <w:b/>
                <w:color w:val="0000FF"/>
                <w:szCs w:val="24"/>
              </w:rPr>
              <w:t xml:space="preserve"> </w:t>
            </w:r>
            <w:r w:rsidR="00AA5C8C" w:rsidRPr="00A23740">
              <w:rPr>
                <w:rFonts w:eastAsia="Times New Roman"/>
                <w:b/>
                <w:color w:val="0000FF"/>
                <w:szCs w:val="24"/>
              </w:rPr>
              <w:t>davasının hüküm ve sonuçları</w:t>
            </w:r>
          </w:p>
          <w:p w:rsidR="00AA5C8C" w:rsidRPr="00A23740" w:rsidRDefault="003B700B" w:rsidP="009431FF">
            <w:pPr>
              <w:tabs>
                <w:tab w:val="left" w:pos="567"/>
              </w:tabs>
              <w:rPr>
                <w:rFonts w:eastAsia="Times New Roman"/>
                <w:szCs w:val="24"/>
              </w:rPr>
            </w:pPr>
            <w:r w:rsidRPr="00A23740">
              <w:rPr>
                <w:rStyle w:val="MaviChar"/>
                <w:lang w:val="tr-TR"/>
              </w:rPr>
              <w:t>MADDE 451</w:t>
            </w:r>
            <w:r w:rsidR="00AA5C8C" w:rsidRPr="00A23740">
              <w:rPr>
                <w:rStyle w:val="MaviChar"/>
                <w:lang w:val="tr-TR"/>
              </w:rPr>
              <w:t>- (1</w:t>
            </w:r>
            <w:r w:rsidR="00AA5C8C" w:rsidRPr="00A23740">
              <w:rPr>
                <w:rFonts w:eastAsia="Times New Roman"/>
                <w:b/>
                <w:color w:val="0000FF"/>
                <w:szCs w:val="24"/>
              </w:rPr>
              <w:t>)</w:t>
            </w:r>
            <w:r w:rsidR="00AA5C8C" w:rsidRPr="00A23740">
              <w:rPr>
                <w:rFonts w:eastAsia="Times New Roman"/>
                <w:szCs w:val="24"/>
              </w:rPr>
              <w:t xml:space="preserve"> Davacı, iptal davası </w:t>
            </w:r>
            <w:r w:rsidR="00AA5C8C" w:rsidRPr="00A23740">
              <w:rPr>
                <w:rFonts w:eastAsia="Times New Roman"/>
                <w:b/>
                <w:color w:val="0000FF"/>
                <w:szCs w:val="24"/>
              </w:rPr>
              <w:t>mahkemece kabul edildiği</w:t>
            </w:r>
            <w:r w:rsidR="00AA5C8C" w:rsidRPr="00A23740">
              <w:rPr>
                <w:rFonts w:eastAsia="Times New Roman"/>
                <w:szCs w:val="24"/>
              </w:rPr>
              <w:t xml:space="preserve"> takdirde dava</w:t>
            </w:r>
            <w:r w:rsidR="00AA5C8C" w:rsidRPr="00A23740">
              <w:rPr>
                <w:rFonts w:eastAsia="Times New Roman"/>
                <w:b/>
                <w:color w:val="0000FF"/>
                <w:szCs w:val="24"/>
              </w:rPr>
              <w:t>nın</w:t>
            </w:r>
            <w:r w:rsidR="00AA5C8C" w:rsidRPr="00A23740">
              <w:rPr>
                <w:rFonts w:eastAsia="Times New Roman"/>
                <w:szCs w:val="24"/>
              </w:rPr>
              <w:t xml:space="preserve"> konu</w:t>
            </w:r>
            <w:r w:rsidR="00AA5C8C" w:rsidRPr="00A23740">
              <w:rPr>
                <w:rFonts w:eastAsia="Times New Roman"/>
                <w:b/>
                <w:color w:val="0000FF"/>
                <w:szCs w:val="24"/>
              </w:rPr>
              <w:t xml:space="preserve">su </w:t>
            </w:r>
            <w:r w:rsidR="00AA5C8C" w:rsidRPr="00A23740">
              <w:rPr>
                <w:rFonts w:eastAsia="Times New Roman"/>
                <w:szCs w:val="24"/>
              </w:rPr>
              <w:t xml:space="preserve">mal </w:t>
            </w:r>
            <w:r w:rsidR="00AA5C8C" w:rsidRPr="00A23740">
              <w:rPr>
                <w:rFonts w:eastAsia="Times New Roman"/>
                <w:b/>
                <w:color w:val="0000FF"/>
                <w:szCs w:val="24"/>
              </w:rPr>
              <w:t>ve hak</w:t>
            </w:r>
            <w:r w:rsidR="00AA5C8C" w:rsidRPr="00A23740">
              <w:rPr>
                <w:rFonts w:eastAsia="Times New Roman"/>
                <w:szCs w:val="24"/>
              </w:rPr>
              <w:t xml:space="preserve"> üzerinde cebr</w:t>
            </w:r>
            <w:r w:rsidR="00436506" w:rsidRPr="00A23740">
              <w:rPr>
                <w:rFonts w:eastAsia="Times New Roman"/>
                <w:szCs w:val="24"/>
              </w:rPr>
              <w:t>î</w:t>
            </w:r>
            <w:r w:rsidR="00AA5C8C" w:rsidRPr="00A23740">
              <w:rPr>
                <w:rFonts w:eastAsia="Times New Roman"/>
                <w:szCs w:val="24"/>
              </w:rPr>
              <w:t xml:space="preserve"> icra yolu</w:t>
            </w:r>
            <w:r w:rsidR="002E45B0" w:rsidRPr="0078798F">
              <w:rPr>
                <w:rStyle w:val="MaviChar"/>
              </w:rPr>
              <w:t>yla</w:t>
            </w:r>
            <w:r w:rsidR="00AA5C8C" w:rsidRPr="00A23740">
              <w:rPr>
                <w:rFonts w:eastAsia="Times New Roman"/>
                <w:szCs w:val="24"/>
              </w:rPr>
              <w:t xml:space="preserve"> hakkını almak yetkisini elde eder ve davanın konusu </w:t>
            </w:r>
            <w:r w:rsidR="002E45B0" w:rsidRPr="0078798F">
              <w:rPr>
                <w:rStyle w:val="MaviChar"/>
              </w:rPr>
              <w:t>taşınmaz ise</w:t>
            </w:r>
            <w:r w:rsidR="00AA5C8C" w:rsidRPr="00A23740">
              <w:rPr>
                <w:rFonts w:eastAsia="Times New Roman"/>
                <w:szCs w:val="24"/>
              </w:rPr>
              <w:t xml:space="preserve">, davalı üçüncü </w:t>
            </w:r>
            <w:r w:rsidR="00AA5C8C" w:rsidRPr="00A23740">
              <w:rPr>
                <w:rFonts w:eastAsia="Times New Roman"/>
                <w:b/>
                <w:color w:val="0000FF"/>
                <w:szCs w:val="24"/>
              </w:rPr>
              <w:t>kişi</w:t>
            </w:r>
            <w:r w:rsidR="002E45B0" w:rsidRPr="00A23740">
              <w:rPr>
                <w:rFonts w:eastAsia="Times New Roman"/>
                <w:b/>
                <w:color w:val="0000FF"/>
                <w:szCs w:val="24"/>
              </w:rPr>
              <w:t xml:space="preserve"> </w:t>
            </w:r>
            <w:r w:rsidR="002E45B0" w:rsidRPr="0078798F">
              <w:rPr>
                <w:rStyle w:val="MaviChar"/>
              </w:rPr>
              <w:t>lehine olan</w:t>
            </w:r>
            <w:r w:rsidR="00AA5C8C" w:rsidRPr="00A23740">
              <w:rPr>
                <w:rFonts w:eastAsia="Times New Roman"/>
                <w:szCs w:val="24"/>
              </w:rPr>
              <w:t xml:space="preserve"> kaydın </w:t>
            </w:r>
            <w:r w:rsidR="00AA5C8C" w:rsidRPr="00A23740">
              <w:rPr>
                <w:rFonts w:eastAsia="Times New Roman"/>
                <w:b/>
                <w:color w:val="0000FF"/>
                <w:szCs w:val="24"/>
              </w:rPr>
              <w:t>düzeltilmesine gerek</w:t>
            </w:r>
            <w:r w:rsidR="00AA5C8C" w:rsidRPr="00A23740">
              <w:rPr>
                <w:rFonts w:eastAsia="Times New Roman"/>
                <w:szCs w:val="24"/>
              </w:rPr>
              <w:t xml:space="preserve"> olmadan o taşınmazın haciz ve satışını isteyebilir.</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b/>
                <w:color w:val="0000FF"/>
                <w:szCs w:val="24"/>
              </w:rPr>
            </w:pPr>
            <w:r w:rsidRPr="00A23740">
              <w:rPr>
                <w:rFonts w:eastAsia="Times New Roman"/>
                <w:b/>
                <w:color w:val="0000FF"/>
                <w:szCs w:val="24"/>
              </w:rPr>
              <w:t>(2)</w:t>
            </w:r>
            <w:r w:rsidRPr="00A23740">
              <w:rPr>
                <w:rFonts w:eastAsia="Times New Roman"/>
                <w:szCs w:val="24"/>
              </w:rPr>
              <w:t xml:space="preserve"> İptal davası</w:t>
            </w:r>
            <w:r w:rsidRPr="00A23740">
              <w:rPr>
                <w:rStyle w:val="MaviChar"/>
              </w:rPr>
              <w:t>nda talep</w:t>
            </w:r>
            <w:r w:rsidRPr="00A23740">
              <w:rPr>
                <w:rFonts w:eastAsia="Times New Roman"/>
                <w:szCs w:val="24"/>
              </w:rPr>
              <w:t xml:space="preserve">, üçüncü </w:t>
            </w:r>
            <w:r w:rsidRPr="00A23740">
              <w:rPr>
                <w:rFonts w:eastAsia="Times New Roman"/>
                <w:b/>
                <w:color w:val="0000FF"/>
                <w:szCs w:val="24"/>
              </w:rPr>
              <w:t>kişinin</w:t>
            </w:r>
            <w:r w:rsidRPr="00A23740">
              <w:rPr>
                <w:rFonts w:eastAsia="Times New Roman"/>
                <w:szCs w:val="24"/>
              </w:rPr>
              <w:t xml:space="preserve"> elinden çıkarmış olduğu mallar</w:t>
            </w:r>
            <w:r w:rsidRPr="00A23740">
              <w:rPr>
                <w:rStyle w:val="MaviChar"/>
              </w:rPr>
              <w:t>ın</w:t>
            </w:r>
            <w:r w:rsidRPr="00A23740">
              <w:rPr>
                <w:rFonts w:eastAsia="Times New Roman"/>
                <w:szCs w:val="24"/>
              </w:rPr>
              <w:t xml:space="preserve"> yerine geçen değere </w:t>
            </w:r>
            <w:r w:rsidR="002E45B0" w:rsidRPr="0078798F">
              <w:rPr>
                <w:rStyle w:val="MaviChar"/>
              </w:rPr>
              <w:t>ilişkin ise</w:t>
            </w:r>
            <w:r w:rsidR="002E45B0" w:rsidRPr="00A23740">
              <w:rPr>
                <w:rFonts w:eastAsia="Times New Roman"/>
                <w:szCs w:val="24"/>
              </w:rPr>
              <w:t xml:space="preserve"> </w:t>
            </w:r>
            <w:r w:rsidRPr="00A23740">
              <w:rPr>
                <w:rStyle w:val="MaviChar"/>
              </w:rPr>
              <w:t>veya dava devam ederken talep malın yerine geçen değere dönüştürülmüşse, üçüncü kişi</w:t>
            </w:r>
            <w:r w:rsidR="002E45B0" w:rsidRPr="00A23740">
              <w:rPr>
                <w:rStyle w:val="YELChar"/>
              </w:rPr>
              <w:t>,</w:t>
            </w:r>
            <w:r w:rsidRPr="00A23740">
              <w:rPr>
                <w:rFonts w:eastAsia="Times New Roman"/>
                <w:szCs w:val="24"/>
              </w:rPr>
              <w:t xml:space="preserve"> davacının alacağından fazla olmamak üzere</w:t>
            </w:r>
            <w:r w:rsidRPr="00A23740">
              <w:rPr>
                <w:rStyle w:val="MaviChar"/>
              </w:rPr>
              <w:t>,</w:t>
            </w:r>
            <w:r w:rsidRPr="00A23740">
              <w:rPr>
                <w:rFonts w:eastAsia="Times New Roman"/>
                <w:szCs w:val="24"/>
              </w:rPr>
              <w:t xml:space="preserve"> bu değerler </w:t>
            </w:r>
            <w:r w:rsidRPr="00A23740">
              <w:rPr>
                <w:rFonts w:eastAsia="Times New Roman"/>
                <w:b/>
                <w:color w:val="0000FF"/>
                <w:szCs w:val="24"/>
              </w:rPr>
              <w:t xml:space="preserve">oranında </w:t>
            </w:r>
            <w:r w:rsidRPr="00A23740">
              <w:rPr>
                <w:rFonts w:eastAsia="Times New Roman"/>
                <w:szCs w:val="24"/>
              </w:rPr>
              <w:t>nakden tazmine mahk</w:t>
            </w:r>
            <w:r w:rsidR="00506C64" w:rsidRPr="00A23740">
              <w:rPr>
                <w:rFonts w:eastAsia="Times New Roman"/>
                <w:szCs w:val="24"/>
              </w:rPr>
              <w:t>û</w:t>
            </w:r>
            <w:r w:rsidRPr="00A23740">
              <w:rPr>
                <w:rFonts w:eastAsia="Times New Roman"/>
                <w:szCs w:val="24"/>
              </w:rPr>
              <w:t xml:space="preserve">m edilir. </w:t>
            </w:r>
            <w:r w:rsidRPr="00A23740">
              <w:rPr>
                <w:rFonts w:eastAsia="Times New Roman"/>
                <w:b/>
                <w:color w:val="0000FF"/>
                <w:szCs w:val="24"/>
              </w:rPr>
              <w:t>Bu h</w:t>
            </w:r>
            <w:r w:rsidR="001040F7" w:rsidRPr="00A23740">
              <w:rPr>
                <w:rFonts w:eastAsia="Times New Roman"/>
                <w:b/>
                <w:color w:val="0000FF"/>
                <w:szCs w:val="24"/>
              </w:rPr>
              <w:t>â</w:t>
            </w:r>
            <w:r w:rsidRPr="00A23740">
              <w:rPr>
                <w:rFonts w:eastAsia="Times New Roman"/>
                <w:b/>
                <w:color w:val="0000FF"/>
                <w:szCs w:val="24"/>
              </w:rPr>
              <w:t>lde, davacı alacaklı aynı takip dosyası üzerinden üçüncü kişiye icra emri gönderilmesini talep etmek suretiyle alacağını tahsil eder.</w:t>
            </w:r>
          </w:p>
          <w:p w:rsidR="00AA5C8C" w:rsidRPr="00A23740" w:rsidRDefault="00AA5C8C" w:rsidP="009431FF">
            <w:pPr>
              <w:tabs>
                <w:tab w:val="left" w:pos="567"/>
              </w:tabs>
              <w:rPr>
                <w:rFonts w:eastAsia="Times New Roman"/>
                <w:szCs w:val="24"/>
              </w:rPr>
            </w:pPr>
          </w:p>
          <w:p w:rsidR="00ED5A80" w:rsidRPr="00A23740" w:rsidRDefault="00ED5A80" w:rsidP="009431FF">
            <w:pPr>
              <w:tabs>
                <w:tab w:val="left" w:pos="567"/>
              </w:tabs>
              <w:rPr>
                <w:rStyle w:val="MaviChar"/>
              </w:rPr>
            </w:pPr>
          </w:p>
          <w:p w:rsidR="00ED5A80" w:rsidRPr="00A23740" w:rsidRDefault="00ED5A80" w:rsidP="009431FF">
            <w:pPr>
              <w:tabs>
                <w:tab w:val="left" w:pos="567"/>
              </w:tabs>
              <w:rPr>
                <w:rStyle w:val="MaviChar"/>
              </w:rPr>
            </w:pPr>
          </w:p>
          <w:p w:rsidR="00AA5C8C" w:rsidRPr="00A23740" w:rsidRDefault="00AA5C8C" w:rsidP="009431FF">
            <w:pPr>
              <w:tabs>
                <w:tab w:val="left" w:pos="567"/>
              </w:tabs>
              <w:rPr>
                <w:rFonts w:eastAsia="Times New Roman"/>
                <w:szCs w:val="24"/>
              </w:rPr>
            </w:pPr>
            <w:r w:rsidRPr="00A23740">
              <w:rPr>
                <w:rStyle w:val="MaviChar"/>
              </w:rPr>
              <w:t>(3)</w:t>
            </w:r>
            <w:r w:rsidRPr="00A23740">
              <w:rPr>
                <w:rFonts w:eastAsia="Times New Roman"/>
                <w:szCs w:val="24"/>
              </w:rPr>
              <w:t xml:space="preserve"> İptal davasını kaybeden üçüncü </w:t>
            </w:r>
            <w:r w:rsidRPr="00A23740">
              <w:rPr>
                <w:rFonts w:eastAsia="Times New Roman"/>
                <w:b/>
                <w:color w:val="0000FF"/>
                <w:szCs w:val="24"/>
              </w:rPr>
              <w:t>kişi</w:t>
            </w:r>
            <w:r w:rsidRPr="00A23740">
              <w:rPr>
                <w:rFonts w:eastAsia="Times New Roman"/>
                <w:szCs w:val="24"/>
              </w:rPr>
              <w:t xml:space="preserve">, </w:t>
            </w:r>
            <w:r w:rsidRPr="00A23740">
              <w:rPr>
                <w:rFonts w:eastAsia="Times New Roman"/>
                <w:b/>
                <w:color w:val="0000FF"/>
                <w:szCs w:val="24"/>
              </w:rPr>
              <w:t>karşılık olarak verdiği</w:t>
            </w:r>
            <w:r w:rsidRPr="00A23740">
              <w:rPr>
                <w:rFonts w:eastAsia="Times New Roman"/>
                <w:szCs w:val="24"/>
              </w:rPr>
              <w:t xml:space="preserve"> şeyi veya bedelini borçludan veya iflas masasından geri isteyebilir. </w:t>
            </w:r>
            <w:r w:rsidRPr="00A23740">
              <w:rPr>
                <w:rFonts w:eastAsia="Times New Roman"/>
                <w:b/>
                <w:color w:val="0000FF"/>
                <w:szCs w:val="24"/>
              </w:rPr>
              <w:t xml:space="preserve">İptal </w:t>
            </w:r>
            <w:r w:rsidRPr="00A23740">
              <w:rPr>
                <w:rStyle w:val="MaviChar"/>
              </w:rPr>
              <w:t>edilen tasarruf nedeniyle</w:t>
            </w:r>
            <w:r w:rsidRPr="00A23740">
              <w:rPr>
                <w:rStyle w:val="YELChar"/>
              </w:rPr>
              <w:t xml:space="preserve"> </w:t>
            </w:r>
            <w:r w:rsidRPr="00A23740">
              <w:rPr>
                <w:rFonts w:eastAsia="Times New Roman"/>
                <w:szCs w:val="24"/>
              </w:rPr>
              <w:t xml:space="preserve">kendisine ödenilen şeyi geri veren </w:t>
            </w:r>
            <w:r w:rsidRPr="00A23740">
              <w:rPr>
                <w:rFonts w:eastAsia="Times New Roman"/>
                <w:b/>
                <w:color w:val="0000FF"/>
                <w:szCs w:val="24"/>
              </w:rPr>
              <w:t>üçüncü kişi</w:t>
            </w:r>
            <w:r w:rsidR="00FF007B" w:rsidRPr="00D22FBA">
              <w:rPr>
                <w:rStyle w:val="YELChar"/>
                <w:color w:val="0000FF"/>
              </w:rPr>
              <w:t>,</w:t>
            </w:r>
            <w:r w:rsidRPr="00A23740">
              <w:rPr>
                <w:rFonts w:eastAsia="Times New Roman"/>
                <w:szCs w:val="24"/>
              </w:rPr>
              <w:t xml:space="preserve"> eski haklarını </w:t>
            </w:r>
            <w:r w:rsidRPr="00A23740">
              <w:rPr>
                <w:rStyle w:val="MaviChar"/>
              </w:rPr>
              <w:t>yeniden kazanır</w:t>
            </w:r>
            <w:r w:rsidRPr="00A23740">
              <w:rPr>
                <w:rFonts w:eastAsia="Times New Roman"/>
                <w:szCs w:val="24"/>
              </w:rPr>
              <w:t>.</w:t>
            </w:r>
          </w:p>
          <w:p w:rsidR="00AA5C8C" w:rsidRPr="00A23740" w:rsidRDefault="00AA5C8C" w:rsidP="009431FF">
            <w:pPr>
              <w:tabs>
                <w:tab w:val="left" w:pos="567"/>
              </w:tabs>
              <w:rPr>
                <w:rFonts w:eastAsia="Times New Roman"/>
                <w:szCs w:val="24"/>
              </w:rPr>
            </w:pPr>
          </w:p>
          <w:p w:rsidR="00AA5C8C" w:rsidRPr="00A23740" w:rsidRDefault="00AA5C8C" w:rsidP="009431FF">
            <w:pPr>
              <w:tabs>
                <w:tab w:val="left" w:pos="567"/>
              </w:tabs>
              <w:rPr>
                <w:rFonts w:eastAsia="Times New Roman"/>
                <w:szCs w:val="24"/>
              </w:rPr>
            </w:pPr>
            <w:r w:rsidRPr="00A23740">
              <w:rPr>
                <w:rFonts w:eastAsia="Times New Roman"/>
                <w:b/>
                <w:color w:val="0000FF"/>
                <w:szCs w:val="24"/>
              </w:rPr>
              <w:t>(4)</w:t>
            </w:r>
            <w:r w:rsidRPr="00A23740">
              <w:rPr>
                <w:rFonts w:eastAsia="Times New Roman"/>
                <w:szCs w:val="24"/>
              </w:rPr>
              <w:t xml:space="preserve"> Kendisine bağış </w:t>
            </w:r>
            <w:r w:rsidRPr="00A23740">
              <w:rPr>
                <w:rStyle w:val="MAVChar"/>
                <w:rFonts w:eastAsia="Calibri"/>
                <w:u w:val="none"/>
              </w:rPr>
              <w:t>veya bağışlama hükmünde sayılan tasarruf</w:t>
            </w:r>
            <w:r w:rsidRPr="00A23740">
              <w:rPr>
                <w:rFonts w:eastAsia="Times New Roman"/>
                <w:szCs w:val="24"/>
              </w:rPr>
              <w:t xml:space="preserve"> yapılan </w:t>
            </w:r>
            <w:r w:rsidRPr="00A23740">
              <w:rPr>
                <w:rStyle w:val="MAVChar"/>
                <w:rFonts w:eastAsia="Calibri"/>
                <w:u w:val="none"/>
              </w:rPr>
              <w:t>kişi</w:t>
            </w:r>
            <w:r w:rsidRPr="00A23740">
              <w:rPr>
                <w:rFonts w:eastAsia="Times New Roman"/>
                <w:szCs w:val="24"/>
              </w:rPr>
              <w:t xml:space="preserve"> </w:t>
            </w:r>
            <w:r w:rsidRPr="00A23740">
              <w:rPr>
                <w:rStyle w:val="MaviChar"/>
              </w:rPr>
              <w:t>iyiniyetli</w:t>
            </w:r>
            <w:r w:rsidRPr="00A23740">
              <w:rPr>
                <w:rFonts w:eastAsia="Times New Roman"/>
                <w:szCs w:val="24"/>
              </w:rPr>
              <w:t xml:space="preserve"> ise</w:t>
            </w:r>
            <w:r w:rsidRPr="00A23740">
              <w:rPr>
                <w:rStyle w:val="MaviChar"/>
              </w:rPr>
              <w:t>,</w:t>
            </w:r>
            <w:r w:rsidRPr="00A23740">
              <w:rPr>
                <w:rFonts w:eastAsia="Times New Roman"/>
                <w:szCs w:val="24"/>
              </w:rPr>
              <w:t xml:space="preserve"> yalnız </w:t>
            </w:r>
            <w:r w:rsidRPr="00A23740">
              <w:rPr>
                <w:rStyle w:val="MaviChar"/>
              </w:rPr>
              <w:t>iptal davasının açıldığı anda</w:t>
            </w:r>
            <w:r w:rsidRPr="00A23740">
              <w:rPr>
                <w:rFonts w:eastAsia="Times New Roman"/>
                <w:szCs w:val="24"/>
              </w:rPr>
              <w:t xml:space="preserve"> elinde bulunan miktarı geri verme</w:t>
            </w:r>
            <w:r w:rsidRPr="00A23740">
              <w:rPr>
                <w:rStyle w:val="MaviChar"/>
              </w:rPr>
              <w:t>k zorundadır</w:t>
            </w:r>
            <w:r w:rsidRPr="00A23740">
              <w:rPr>
                <w:rFonts w:eastAsia="Times New Roman"/>
                <w:szCs w:val="24"/>
              </w:rPr>
              <w:t>.</w:t>
            </w:r>
          </w:p>
          <w:p w:rsidR="002E45B0" w:rsidRPr="00A23740" w:rsidRDefault="002E45B0" w:rsidP="009431FF">
            <w:pPr>
              <w:tabs>
                <w:tab w:val="left" w:pos="567"/>
              </w:tabs>
              <w:rPr>
                <w:rFonts w:eastAsia="Times New Roman"/>
                <w:szCs w:val="24"/>
              </w:rPr>
            </w:pPr>
          </w:p>
        </w:tc>
      </w:tr>
      <w:tr w:rsidR="00BD7568" w:rsidRPr="00A23740" w:rsidTr="009431FF">
        <w:tc>
          <w:tcPr>
            <w:tcW w:w="5000" w:type="pct"/>
            <w:gridSpan w:val="2"/>
            <w:shd w:val="clear" w:color="auto" w:fill="DEEAF6"/>
          </w:tcPr>
          <w:p w:rsidR="00E64249" w:rsidRPr="00A23740" w:rsidRDefault="00E64249" w:rsidP="009431FF">
            <w:pPr>
              <w:tabs>
                <w:tab w:val="left" w:pos="567"/>
              </w:tabs>
              <w:ind w:firstLine="709"/>
              <w:rPr>
                <w:b/>
                <w:bCs/>
                <w:szCs w:val="24"/>
                <w:lang w:eastAsia="x-none"/>
              </w:rPr>
            </w:pPr>
          </w:p>
          <w:p w:rsidR="00CB25D1" w:rsidRPr="00A23740" w:rsidRDefault="003B700B" w:rsidP="009431FF">
            <w:pPr>
              <w:tabs>
                <w:tab w:val="left" w:pos="567"/>
              </w:tabs>
              <w:ind w:firstLine="709"/>
              <w:rPr>
                <w:bCs/>
              </w:rPr>
            </w:pPr>
            <w:r w:rsidRPr="00A23740">
              <w:rPr>
                <w:b/>
                <w:bCs/>
              </w:rPr>
              <w:t>MADDE 451</w:t>
            </w:r>
            <w:r w:rsidR="001C62D2" w:rsidRPr="00A23740">
              <w:rPr>
                <w:b/>
                <w:bCs/>
              </w:rPr>
              <w:t xml:space="preserve">- </w:t>
            </w:r>
            <w:r w:rsidR="001C62D2" w:rsidRPr="00A23740">
              <w:rPr>
                <w:bCs/>
              </w:rPr>
              <w:t xml:space="preserve">Madde, </w:t>
            </w:r>
            <w:r w:rsidR="004B77A1" w:rsidRPr="0078798F">
              <w:t>tasarrufun iptali</w:t>
            </w:r>
            <w:r w:rsidR="004B77A1" w:rsidRPr="00A23740">
              <w:rPr>
                <w:bCs/>
              </w:rPr>
              <w:t xml:space="preserve"> </w:t>
            </w:r>
            <w:r w:rsidR="001C62D2" w:rsidRPr="00A23740">
              <w:rPr>
                <w:bCs/>
              </w:rPr>
              <w:t>davasının hüküm ve sonuçlarına ilişkin olup, 2004 sayılı Kanunun 283</w:t>
            </w:r>
            <w:r w:rsidR="00290FB4" w:rsidRPr="00A23740">
              <w:rPr>
                <w:bCs/>
              </w:rPr>
              <w:t xml:space="preserve"> </w:t>
            </w:r>
            <w:r w:rsidR="001C62D2" w:rsidRPr="00A23740">
              <w:rPr>
                <w:bCs/>
              </w:rPr>
              <w:t>üncü maddesini karşılamaktadır.</w:t>
            </w:r>
          </w:p>
          <w:p w:rsidR="00CB25D1" w:rsidRPr="00A23740" w:rsidRDefault="001C62D2" w:rsidP="009431FF">
            <w:pPr>
              <w:tabs>
                <w:tab w:val="left" w:pos="567"/>
              </w:tabs>
              <w:ind w:firstLine="709"/>
              <w:rPr>
                <w:bCs/>
              </w:rPr>
            </w:pPr>
            <w:r w:rsidRPr="00A23740">
              <w:rPr>
                <w:bCs/>
              </w:rPr>
              <w:t xml:space="preserve">Maddenin birinci fıkrasında esaslı bir değişiklik bulunmamaktadır; yalnızca ifadeler gözden geçirilmiştir. </w:t>
            </w:r>
          </w:p>
          <w:p w:rsidR="00CB25D1" w:rsidRPr="00A23740" w:rsidRDefault="001C62D2" w:rsidP="009431FF">
            <w:pPr>
              <w:tabs>
                <w:tab w:val="left" w:pos="567"/>
              </w:tabs>
              <w:ind w:firstLine="709"/>
              <w:rPr>
                <w:bCs/>
              </w:rPr>
            </w:pPr>
            <w:r w:rsidRPr="00A23740">
              <w:rPr>
                <w:bCs/>
              </w:rPr>
              <w:t xml:space="preserve">Maddenin ikinci fıkrasında ise önemli bir ek ifade yer almaktadır. Buna göre, “İptal davasında talep, üçüncü kişinin elinden çıkarmış olduğu malların yerine geçen değere </w:t>
            </w:r>
            <w:r w:rsidR="002E45B0" w:rsidRPr="0078798F">
              <w:t>ilişkin ise</w:t>
            </w:r>
            <w:r w:rsidR="002E45B0" w:rsidRPr="00A23740">
              <w:rPr>
                <w:bCs/>
              </w:rPr>
              <w:t xml:space="preserve"> </w:t>
            </w:r>
            <w:r w:rsidRPr="00A23740">
              <w:rPr>
                <w:bCs/>
              </w:rPr>
              <w:t>veya dava devam ederken talep, malın yerine geçen değere dönüştürülmüşse” nakden tazmin söz konusu olacaktır. Yani davanın değere dönüşmesi</w:t>
            </w:r>
            <w:r w:rsidR="002E45B0" w:rsidRPr="00A23740">
              <w:rPr>
                <w:bCs/>
              </w:rPr>
              <w:t xml:space="preserve"> </w:t>
            </w:r>
            <w:r w:rsidR="002E45B0" w:rsidRPr="0078798F">
              <w:t>konusu</w:t>
            </w:r>
            <w:r w:rsidRPr="00A23740">
              <w:rPr>
                <w:bCs/>
              </w:rPr>
              <w:t xml:space="preserve">, mahkemenin resen yapabileceği bir şey değildir. Burada ya davacının davasını terditli şekilde açması ya da duruma göre talebini değiştirmek üzere usulî </w:t>
            </w:r>
            <w:r w:rsidR="002E45B0" w:rsidRPr="0078798F">
              <w:t>kurumları</w:t>
            </w:r>
            <w:r w:rsidR="002E45B0" w:rsidRPr="00A23740">
              <w:rPr>
                <w:bCs/>
              </w:rPr>
              <w:t xml:space="preserve"> </w:t>
            </w:r>
            <w:r w:rsidRPr="00A23740">
              <w:rPr>
                <w:bCs/>
              </w:rPr>
              <w:t xml:space="preserve">kullanarak nakden tazmin talep etmesi gerekecektir. Aksinin kabulü, medeni usul hukukuna hâkim olan tasarruf ve taleple bağlılık ilkelerine aykırılık oluşturacaktır. </w:t>
            </w:r>
          </w:p>
          <w:p w:rsidR="00CB25D1" w:rsidRPr="00A23740" w:rsidRDefault="001C62D2" w:rsidP="009431FF">
            <w:pPr>
              <w:tabs>
                <w:tab w:val="left" w:pos="567"/>
              </w:tabs>
              <w:ind w:firstLine="709"/>
              <w:rPr>
                <w:bCs/>
              </w:rPr>
            </w:pPr>
            <w:r w:rsidRPr="00A23740">
              <w:rPr>
                <w:bCs/>
              </w:rPr>
              <w:t>Maddenin üçüncü fıkr</w:t>
            </w:r>
            <w:r w:rsidR="00290FB4" w:rsidRPr="00A23740">
              <w:rPr>
                <w:bCs/>
              </w:rPr>
              <w:t xml:space="preserve">asında, 2004 sayılı Kanunun 283 </w:t>
            </w:r>
            <w:r w:rsidRPr="00A23740">
              <w:rPr>
                <w:bCs/>
              </w:rPr>
              <w:t xml:space="preserve">üncü maddesinin beşinci fıkrasında yer alan </w:t>
            </w:r>
            <w:r w:rsidR="00B70874" w:rsidRPr="00A23740">
              <w:rPr>
                <w:bCs/>
              </w:rPr>
              <w:t xml:space="preserve">ve </w:t>
            </w:r>
            <w:r w:rsidRPr="00A23740">
              <w:rPr>
                <w:bCs/>
              </w:rPr>
              <w:t xml:space="preserve">“eski haklarını muhafaza eder” </w:t>
            </w:r>
            <w:r w:rsidR="00B70874" w:rsidRPr="00A23740">
              <w:rPr>
                <w:bCs/>
              </w:rPr>
              <w:t xml:space="preserve">şeklinde olan </w:t>
            </w:r>
            <w:r w:rsidRPr="00A23740">
              <w:rPr>
                <w:bCs/>
              </w:rPr>
              <w:t xml:space="preserve">ifadesi, düzenlemenin amacını daha iyi ortaya koyabilmek adına “eski haklarını yeniden kazanır” şeklinde değiştirilmiştir. Bu hususun daha iyi anlaşılabilmesi için </w:t>
            </w:r>
            <w:r w:rsidR="00EF7989" w:rsidRPr="0078798F">
              <w:t>öğretideki</w:t>
            </w:r>
            <w:r w:rsidR="00EF7989" w:rsidRPr="00A23740">
              <w:rPr>
                <w:rStyle w:val="YELChar"/>
              </w:rPr>
              <w:t xml:space="preserve"> </w:t>
            </w:r>
            <w:r w:rsidR="00EF7989" w:rsidRPr="0078798F">
              <w:t>açıklamalardan</w:t>
            </w:r>
            <w:r w:rsidR="00EF7989" w:rsidRPr="00A23740">
              <w:rPr>
                <w:bCs/>
              </w:rPr>
              <w:t xml:space="preserve"> </w:t>
            </w:r>
            <w:r w:rsidRPr="00A23740">
              <w:rPr>
                <w:bCs/>
              </w:rPr>
              <w:t>yararlanılacak olursa</w:t>
            </w:r>
            <w:r w:rsidR="00B70874" w:rsidRPr="00A23740">
              <w:rPr>
                <w:bCs/>
              </w:rPr>
              <w:t>,</w:t>
            </w:r>
            <w:r w:rsidRPr="00A23740">
              <w:rPr>
                <w:bCs/>
              </w:rPr>
              <w:t>; düzenlemenin iptal edilen hukuki işlemin, bir alacağın haksız veya zamanından ön</w:t>
            </w:r>
            <w:r w:rsidR="0096478A" w:rsidRPr="00A23740">
              <w:rPr>
                <w:bCs/>
              </w:rPr>
              <w:t>ce ödenmesinden ibaret olması hâ</w:t>
            </w:r>
            <w:r w:rsidRPr="00A23740">
              <w:rPr>
                <w:bCs/>
              </w:rPr>
              <w:t xml:space="preserve">linden bahsettiği anlaşılmaktadır. </w:t>
            </w:r>
            <w:r w:rsidR="00EF7989" w:rsidRPr="0078798F">
              <w:t>Öğretide verilen</w:t>
            </w:r>
            <w:r w:rsidR="00EF7989" w:rsidRPr="00A23740">
              <w:rPr>
                <w:bCs/>
              </w:rPr>
              <w:t xml:space="preserve"> </w:t>
            </w:r>
            <w:r w:rsidRPr="00A23740">
              <w:rPr>
                <w:bCs/>
              </w:rPr>
              <w:t>örneğe göre, bir alacaklı henüz muaccel olmayan bir alacağını</w:t>
            </w:r>
            <w:r w:rsidR="00EF7989" w:rsidRPr="00A23740">
              <w:rPr>
                <w:bCs/>
              </w:rPr>
              <w:t xml:space="preserve"> </w:t>
            </w:r>
            <w:r w:rsidR="00EF7989" w:rsidRPr="0078798F">
              <w:t>tahsil etse</w:t>
            </w:r>
            <w:r w:rsidRPr="00A23740">
              <w:rPr>
                <w:bCs/>
              </w:rPr>
              <w:t xml:space="preserve"> veya alacağını mutat olmayan bir ödeme vasıtasıyla almış olsa, tasarrufun iptali üzerine </w:t>
            </w:r>
            <w:r w:rsidR="00EF7989" w:rsidRPr="0078798F">
              <w:t>almış</w:t>
            </w:r>
            <w:r w:rsidR="00EF7989" w:rsidRPr="00A23740">
              <w:rPr>
                <w:rStyle w:val="YELChar"/>
              </w:rPr>
              <w:t xml:space="preserve"> </w:t>
            </w:r>
            <w:r w:rsidR="00EF7989" w:rsidRPr="0078798F">
              <w:t>olduğu</w:t>
            </w:r>
            <w:r w:rsidR="00EF7989" w:rsidRPr="00A23740">
              <w:rPr>
                <w:bCs/>
              </w:rPr>
              <w:t xml:space="preserve"> </w:t>
            </w:r>
            <w:r w:rsidRPr="00A23740">
              <w:rPr>
                <w:bCs/>
              </w:rPr>
              <w:t xml:space="preserve">ödemeyi iade etmek zorunda kalacak, fakat (ödeme sebebiyle) ortadan kalkmış olan alacak, </w:t>
            </w:r>
            <w:r w:rsidR="00F816DE" w:rsidRPr="00A23740">
              <w:rPr>
                <w:bCs/>
              </w:rPr>
              <w:t>kefalet ve rehin gibi tüm ferî</w:t>
            </w:r>
            <w:r w:rsidRPr="00A23740">
              <w:rPr>
                <w:bCs/>
              </w:rPr>
              <w:t>leriyle birlikte tekrar doğmuş olacaktır. Alacak, bu durumda kanundan dolayı, kendiliğinden yeniden doğacak ve faizli ise fai</w:t>
            </w:r>
            <w:r w:rsidRPr="0078798F">
              <w:t>zi</w:t>
            </w:r>
            <w:r w:rsidR="00EF7989" w:rsidRPr="0078798F">
              <w:t>yle</w:t>
            </w:r>
            <w:r w:rsidRPr="00A23740">
              <w:rPr>
                <w:bCs/>
              </w:rPr>
              <w:t xml:space="preserve"> birlikte</w:t>
            </w:r>
            <w:r w:rsidR="00EF7989" w:rsidRPr="00A23740">
              <w:rPr>
                <w:bCs/>
              </w:rPr>
              <w:t xml:space="preserve"> </w:t>
            </w:r>
            <w:r w:rsidR="00EF7989" w:rsidRPr="0078798F">
              <w:t>talep</w:t>
            </w:r>
            <w:r w:rsidR="00EF7989" w:rsidRPr="00A23740">
              <w:rPr>
                <w:rStyle w:val="YELChar"/>
              </w:rPr>
              <w:t xml:space="preserve"> </w:t>
            </w:r>
            <w:r w:rsidR="00EF7989" w:rsidRPr="0078798F">
              <w:t>edilebilecektir</w:t>
            </w:r>
            <w:r w:rsidRPr="00A23740">
              <w:rPr>
                <w:bCs/>
              </w:rPr>
              <w:t xml:space="preserve"> (S. Ş. Ansay, Hukuk İcra ve İflas Usulleri, Beşinci Bası, Ankara 1960, s. 336). </w:t>
            </w:r>
          </w:p>
          <w:p w:rsidR="00BD7568" w:rsidRPr="00A23740" w:rsidRDefault="001C62D2" w:rsidP="009431FF">
            <w:pPr>
              <w:tabs>
                <w:tab w:val="left" w:pos="567"/>
              </w:tabs>
              <w:ind w:firstLine="709"/>
              <w:rPr>
                <w:b/>
                <w:bCs/>
                <w:szCs w:val="24"/>
                <w:lang w:eastAsia="x-none"/>
              </w:rPr>
            </w:pPr>
            <w:r w:rsidRPr="00A23740">
              <w:rPr>
                <w:bCs/>
              </w:rPr>
              <w:t xml:space="preserve">Maddenin dördüncü fıkrasında esaslı bir değişiklik yapılmamış, olası yanlış yorumların önüne geçilebilmesi </w:t>
            </w:r>
            <w:r w:rsidRPr="0078798F">
              <w:t>amacıyla</w:t>
            </w:r>
            <w:r w:rsidR="00EF7989" w:rsidRPr="0078798F">
              <w:t>,</w:t>
            </w:r>
            <w:r w:rsidRPr="00A23740">
              <w:rPr>
                <w:bCs/>
              </w:rPr>
              <w:t xml:space="preserve"> kullanılan ifadeler gözden geçiril</w:t>
            </w:r>
            <w:r w:rsidR="00290FB4" w:rsidRPr="00A23740">
              <w:rPr>
                <w:bCs/>
              </w:rPr>
              <w:t xml:space="preserve">miştir. 2004 sayılı Kanunun 283 </w:t>
            </w:r>
            <w:r w:rsidRPr="00A23740">
              <w:rPr>
                <w:bCs/>
              </w:rPr>
              <w:t>üncü maddesinin üçüncü fıkrasında, iptal davası üzerine üçüncü</w:t>
            </w:r>
            <w:r w:rsidR="00EF7989" w:rsidRPr="00A23740">
              <w:rPr>
                <w:bCs/>
              </w:rPr>
              <w:t xml:space="preserve"> </w:t>
            </w:r>
            <w:r w:rsidR="00EF7989" w:rsidRPr="0078798F">
              <w:t>kişinin de</w:t>
            </w:r>
            <w:r w:rsidRPr="00A23740">
              <w:rPr>
                <w:bCs/>
              </w:rPr>
              <w:t xml:space="preserve">, </w:t>
            </w:r>
            <w:r w:rsidR="00EF7989" w:rsidRPr="0078798F">
              <w:t>malvarlığında</w:t>
            </w:r>
            <w:r w:rsidR="00EF7989" w:rsidRPr="00A23740">
              <w:rPr>
                <w:bCs/>
              </w:rPr>
              <w:t xml:space="preserve"> </w:t>
            </w:r>
            <w:r w:rsidRPr="00A23740">
              <w:rPr>
                <w:bCs/>
              </w:rPr>
              <w:t xml:space="preserve">hasıl olacak eksikliğin borçludan tahsilini aynı davada isteyebileceği; bu talebin, iptal davasının tefrik edilerek daha önce hükme bağlanmasına </w:t>
            </w:r>
            <w:r w:rsidR="00EF7989" w:rsidRPr="0078798F">
              <w:t>engel</w:t>
            </w:r>
            <w:r w:rsidR="00EF7989" w:rsidRPr="00A23740">
              <w:rPr>
                <w:bCs/>
              </w:rPr>
              <w:t xml:space="preserve"> </w:t>
            </w:r>
            <w:r w:rsidRPr="00A23740">
              <w:rPr>
                <w:bCs/>
              </w:rPr>
              <w:t>olmayacağı düzenlenmektedir. Bu hüküm, Kanuna 19</w:t>
            </w:r>
            <w:r w:rsidRPr="0078798F">
              <w:t>65</w:t>
            </w:r>
            <w:r w:rsidR="00EF7989" w:rsidRPr="0078798F">
              <w:t xml:space="preserve"> yılında yapılan 538 sayılı Kanun</w:t>
            </w:r>
            <w:r w:rsidRPr="0078798F">
              <w:t xml:space="preserve"> değişikliğiyle</w:t>
            </w:r>
            <w:r w:rsidR="00EF7989" w:rsidRPr="0078798F">
              <w:t xml:space="preserve"> dahil olmuş, ama</w:t>
            </w:r>
            <w:r w:rsidRPr="0078798F">
              <w:t xml:space="preserve"> </w:t>
            </w:r>
            <w:r w:rsidRPr="00A23740">
              <w:rPr>
                <w:bCs/>
              </w:rPr>
              <w:t xml:space="preserve">usul hukukunun temel prensiplerine ve kurumların çalışma mekanizmalarına aykırı olduğu için </w:t>
            </w:r>
            <w:r w:rsidR="00F76168">
              <w:rPr>
                <w:bCs/>
              </w:rPr>
              <w:t>Bilim Komisyonunca Taslak metn</w:t>
            </w:r>
            <w:r w:rsidRPr="00A23740">
              <w:rPr>
                <w:bCs/>
              </w:rPr>
              <w:t>e alınmamıştır.</w:t>
            </w:r>
            <w:r w:rsidRPr="00A23740">
              <w:rPr>
                <w:b/>
                <w:bCs/>
              </w:rPr>
              <w:t xml:space="preserve"> </w:t>
            </w:r>
            <w:r w:rsidR="00BD7568" w:rsidRPr="00A23740">
              <w:rPr>
                <w:b/>
                <w:bCs/>
                <w:szCs w:val="24"/>
                <w:lang w:eastAsia="x-none"/>
              </w:rPr>
              <w:t xml:space="preserve"> </w:t>
            </w:r>
          </w:p>
          <w:p w:rsidR="00BD7568" w:rsidRPr="00A23740" w:rsidRDefault="00BD756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500" w:type="pct"/>
          </w:tcPr>
          <w:p w:rsidR="00AA5C8C" w:rsidRPr="00A23740" w:rsidRDefault="00AA5C8C" w:rsidP="009431FF">
            <w:pPr>
              <w:tabs>
                <w:tab w:val="left" w:pos="567"/>
              </w:tabs>
              <w:rPr>
                <w:rFonts w:eastAsia="Times New Roman"/>
                <w:b/>
                <w:strike/>
                <w:color w:val="FF0000"/>
                <w:szCs w:val="24"/>
              </w:rPr>
            </w:pPr>
            <w:r w:rsidRPr="00A23740">
              <w:rPr>
                <w:rFonts w:eastAsia="Times New Roman"/>
                <w:szCs w:val="24"/>
              </w:rPr>
              <w:t xml:space="preserve">Hak düşürücü </w:t>
            </w:r>
            <w:r w:rsidRPr="00A23740">
              <w:rPr>
                <w:rFonts w:eastAsia="Times New Roman"/>
                <w:b/>
                <w:strike/>
                <w:color w:val="FF0000"/>
                <w:szCs w:val="24"/>
              </w:rPr>
              <w:t>müddet:</w:t>
            </w:r>
          </w:p>
          <w:p w:rsidR="00AA5C8C" w:rsidRPr="00A23740" w:rsidRDefault="00AA5C8C" w:rsidP="009431FF">
            <w:pPr>
              <w:tabs>
                <w:tab w:val="left" w:pos="567"/>
              </w:tabs>
              <w:rPr>
                <w:rFonts w:eastAsia="Times New Roman"/>
                <w:b/>
                <w:szCs w:val="24"/>
              </w:rPr>
            </w:pPr>
            <w:r w:rsidRPr="00A23740">
              <w:rPr>
                <w:rFonts w:eastAsia="Times New Roman"/>
                <w:b/>
                <w:szCs w:val="24"/>
              </w:rPr>
              <w:t xml:space="preserve">Madde </w:t>
            </w:r>
            <w:r w:rsidRPr="00A23740">
              <w:rPr>
                <w:rStyle w:val="KIRMIZIChar"/>
                <w:rFonts w:eastAsia="Calibri"/>
              </w:rPr>
              <w:t>284</w:t>
            </w:r>
            <w:r w:rsidRPr="00A23740">
              <w:rPr>
                <w:rFonts w:eastAsia="Times New Roman"/>
                <w:b/>
                <w:szCs w:val="24"/>
              </w:rPr>
              <w:t xml:space="preserve"> – </w:t>
            </w:r>
            <w:r w:rsidRPr="00A23740">
              <w:rPr>
                <w:rStyle w:val="KIRMIZIChar"/>
                <w:rFonts w:eastAsia="Calibri"/>
              </w:rPr>
              <w:t>(1)</w:t>
            </w:r>
            <w:r w:rsidRPr="00A23740">
              <w:rPr>
                <w:rFonts w:eastAsia="Times New Roman"/>
                <w:color w:val="000000"/>
                <w:szCs w:val="24"/>
                <w:lang w:eastAsia="tr-TR"/>
              </w:rPr>
              <w:t xml:space="preserve"> </w:t>
            </w:r>
            <w:r w:rsidRPr="00A23740">
              <w:rPr>
                <w:rFonts w:eastAsia="Times New Roman"/>
                <w:b/>
                <w:strike/>
                <w:color w:val="FF0000"/>
                <w:szCs w:val="24"/>
              </w:rPr>
              <w:t>(Değişik: 18/2/1965 - 538/119 md.)</w:t>
            </w:r>
          </w:p>
          <w:p w:rsidR="00AA5C8C" w:rsidRPr="00A23740" w:rsidRDefault="00AA5C8C" w:rsidP="009431FF">
            <w:pPr>
              <w:tabs>
                <w:tab w:val="left" w:pos="567"/>
              </w:tabs>
              <w:rPr>
                <w:rFonts w:eastAsia="Times New Roman"/>
                <w:szCs w:val="24"/>
              </w:rPr>
            </w:pPr>
            <w:r w:rsidRPr="00A23740">
              <w:rPr>
                <w:rFonts w:eastAsia="Times New Roman"/>
                <w:szCs w:val="24"/>
              </w:rPr>
              <w:t xml:space="preserve">İptal davası hakkı, </w:t>
            </w:r>
            <w:r w:rsidRPr="00A23740">
              <w:rPr>
                <w:rFonts w:eastAsia="Times New Roman"/>
                <w:b/>
                <w:strike/>
                <w:color w:val="FF0000"/>
                <w:szCs w:val="24"/>
              </w:rPr>
              <w:t>batıl</w:t>
            </w:r>
            <w:r w:rsidRPr="00A23740">
              <w:rPr>
                <w:rFonts w:eastAsia="Times New Roman"/>
                <w:szCs w:val="24"/>
              </w:rPr>
              <w:t xml:space="preserve"> tasarrufun </w:t>
            </w:r>
            <w:r w:rsidRPr="00A23740">
              <w:rPr>
                <w:rFonts w:eastAsia="Times New Roman"/>
                <w:b/>
                <w:strike/>
                <w:color w:val="FF0000"/>
                <w:szCs w:val="24"/>
              </w:rPr>
              <w:t>vukuu</w:t>
            </w:r>
            <w:r w:rsidRPr="00A23740">
              <w:rPr>
                <w:rFonts w:eastAsia="Times New Roman"/>
                <w:szCs w:val="24"/>
              </w:rPr>
              <w:t xml:space="preserve"> tarih</w:t>
            </w:r>
            <w:r w:rsidRPr="00A23740">
              <w:rPr>
                <w:rFonts w:eastAsia="Times New Roman"/>
                <w:b/>
                <w:strike/>
                <w:color w:val="FF0000"/>
                <w:szCs w:val="24"/>
              </w:rPr>
              <w:t>inden</w:t>
            </w:r>
            <w:r w:rsidRPr="00A23740">
              <w:rPr>
                <w:rFonts w:eastAsia="Times New Roman"/>
                <w:szCs w:val="24"/>
              </w:rPr>
              <w:t xml:space="preserve"> itibaren beş </w:t>
            </w:r>
            <w:r w:rsidRPr="00A23740">
              <w:rPr>
                <w:rFonts w:eastAsia="Times New Roman"/>
                <w:b/>
                <w:strike/>
                <w:color w:val="FF0000"/>
                <w:szCs w:val="24"/>
              </w:rPr>
              <w:t>sene</w:t>
            </w:r>
            <w:r w:rsidRPr="00A23740">
              <w:rPr>
                <w:rFonts w:eastAsia="Times New Roman"/>
                <w:szCs w:val="24"/>
              </w:rPr>
              <w:t xml:space="preserve">  geçmekle düşer.</w:t>
            </w:r>
          </w:p>
          <w:p w:rsidR="00AA5C8C" w:rsidRPr="00A23740" w:rsidRDefault="00AA5C8C" w:rsidP="009431FF">
            <w:pPr>
              <w:rPr>
                <w:rFonts w:eastAsia="Times New Roman"/>
                <w:szCs w:val="24"/>
              </w:rPr>
            </w:pPr>
          </w:p>
        </w:tc>
        <w:tc>
          <w:tcPr>
            <w:tcW w:w="2500" w:type="pct"/>
          </w:tcPr>
          <w:p w:rsidR="00AA5C8C" w:rsidRPr="00A23740" w:rsidRDefault="00EF7989" w:rsidP="009431FF">
            <w:pPr>
              <w:tabs>
                <w:tab w:val="left" w:pos="567"/>
              </w:tabs>
              <w:rPr>
                <w:rFonts w:eastAsia="Times New Roman"/>
                <w:szCs w:val="24"/>
              </w:rPr>
            </w:pPr>
            <w:r w:rsidRPr="0078798F">
              <w:rPr>
                <w:rStyle w:val="MaviChar"/>
              </w:rPr>
              <w:t>Tasarrufun iptali davasında</w:t>
            </w:r>
            <w:r w:rsidRPr="00A23740">
              <w:rPr>
                <w:rFonts w:eastAsia="Times New Roman"/>
                <w:szCs w:val="24"/>
              </w:rPr>
              <w:t xml:space="preserve"> hak </w:t>
            </w:r>
            <w:r w:rsidR="00AA5C8C" w:rsidRPr="00A23740">
              <w:rPr>
                <w:rFonts w:eastAsia="Times New Roman"/>
                <w:szCs w:val="24"/>
              </w:rPr>
              <w:t xml:space="preserve">düşürücü </w:t>
            </w:r>
            <w:r w:rsidR="00AA5C8C" w:rsidRPr="00A23740">
              <w:rPr>
                <w:rFonts w:eastAsia="Times New Roman"/>
                <w:b/>
                <w:color w:val="0000FF"/>
                <w:szCs w:val="24"/>
              </w:rPr>
              <w:t>süre</w:t>
            </w:r>
          </w:p>
          <w:p w:rsidR="00AA5C8C" w:rsidRPr="00A23740" w:rsidRDefault="003B700B" w:rsidP="009431FF">
            <w:pPr>
              <w:tabs>
                <w:tab w:val="left" w:pos="567"/>
              </w:tabs>
              <w:rPr>
                <w:rFonts w:eastAsia="Times New Roman"/>
                <w:szCs w:val="24"/>
              </w:rPr>
            </w:pPr>
            <w:r w:rsidRPr="00A23740">
              <w:rPr>
                <w:rStyle w:val="MaviChar"/>
                <w:lang w:val="tr-TR"/>
              </w:rPr>
              <w:t>MADDE 452</w:t>
            </w:r>
            <w:r w:rsidR="00AA5C8C" w:rsidRPr="00A23740">
              <w:rPr>
                <w:rStyle w:val="MaviChar"/>
                <w:lang w:val="tr-TR"/>
              </w:rPr>
              <w:t>- (</w:t>
            </w:r>
            <w:r w:rsidR="00AA5C8C" w:rsidRPr="00A23740">
              <w:rPr>
                <w:rFonts w:eastAsia="Times New Roman"/>
                <w:b/>
                <w:color w:val="0000FF"/>
                <w:szCs w:val="24"/>
              </w:rPr>
              <w:t>1)</w:t>
            </w:r>
            <w:r w:rsidR="00AA5C8C" w:rsidRPr="00A23740">
              <w:rPr>
                <w:rFonts w:eastAsia="Times New Roman"/>
                <w:szCs w:val="24"/>
              </w:rPr>
              <w:t xml:space="preserve"> İptal davası </w:t>
            </w:r>
            <w:r w:rsidR="00AA5C8C" w:rsidRPr="00A23740">
              <w:rPr>
                <w:rStyle w:val="MaviChar"/>
              </w:rPr>
              <w:t>açma</w:t>
            </w:r>
            <w:r w:rsidR="00AA5C8C" w:rsidRPr="00A23740">
              <w:rPr>
                <w:rFonts w:eastAsia="Times New Roman"/>
                <w:szCs w:val="24"/>
              </w:rPr>
              <w:t xml:space="preserve"> hakkı, </w:t>
            </w:r>
            <w:r w:rsidR="00AA5C8C" w:rsidRPr="00A23740">
              <w:rPr>
                <w:rFonts w:eastAsia="Times New Roman"/>
                <w:b/>
                <w:color w:val="0000FF"/>
                <w:szCs w:val="24"/>
              </w:rPr>
              <w:t>iptale tabi</w:t>
            </w:r>
            <w:r w:rsidR="00AA5C8C" w:rsidRPr="00A23740">
              <w:rPr>
                <w:rFonts w:eastAsia="Times New Roman"/>
                <w:szCs w:val="24"/>
              </w:rPr>
              <w:t xml:space="preserve"> tasarrufun </w:t>
            </w:r>
            <w:r w:rsidR="00AA5C8C" w:rsidRPr="00A23740">
              <w:rPr>
                <w:rFonts w:eastAsia="Times New Roman"/>
                <w:b/>
                <w:color w:val="0000FF"/>
                <w:szCs w:val="24"/>
              </w:rPr>
              <w:t>gerçekleştiği</w:t>
            </w:r>
            <w:r w:rsidR="00AA5C8C" w:rsidRPr="00A23740">
              <w:rPr>
                <w:rFonts w:eastAsia="Times New Roman"/>
                <w:szCs w:val="24"/>
              </w:rPr>
              <w:t xml:space="preserve"> tarih</w:t>
            </w:r>
            <w:r w:rsidR="00AA5C8C" w:rsidRPr="00A23740">
              <w:rPr>
                <w:rFonts w:eastAsia="Times New Roman"/>
                <w:b/>
                <w:color w:val="0000FF"/>
                <w:szCs w:val="24"/>
              </w:rPr>
              <w:t>ten</w:t>
            </w:r>
            <w:r w:rsidR="00AA5C8C" w:rsidRPr="00A23740">
              <w:rPr>
                <w:rFonts w:eastAsia="Times New Roman"/>
                <w:szCs w:val="24"/>
              </w:rPr>
              <w:t xml:space="preserve"> itibaren beş </w:t>
            </w:r>
            <w:r w:rsidR="00AA5C8C" w:rsidRPr="00A23740">
              <w:rPr>
                <w:rFonts w:eastAsia="Times New Roman"/>
                <w:b/>
                <w:color w:val="0000FF"/>
                <w:szCs w:val="24"/>
              </w:rPr>
              <w:t>yıl</w:t>
            </w:r>
            <w:r w:rsidR="00AA5C8C" w:rsidRPr="00A23740">
              <w:rPr>
                <w:rFonts w:eastAsia="Times New Roman"/>
                <w:szCs w:val="24"/>
              </w:rPr>
              <w:t xml:space="preserve"> geçmekle düşer.</w:t>
            </w:r>
          </w:p>
          <w:p w:rsidR="00AA5C8C" w:rsidRPr="00A23740" w:rsidRDefault="00AA5C8C" w:rsidP="009431FF">
            <w:pPr>
              <w:pStyle w:val="MAV"/>
              <w:rPr>
                <w:color w:val="FF0000"/>
                <w:u w:val="none"/>
                <w:lang w:val="tr-TR"/>
              </w:rPr>
            </w:pPr>
          </w:p>
          <w:p w:rsidR="00AA5C8C" w:rsidRPr="00A23740" w:rsidRDefault="00AA5C8C" w:rsidP="009431FF">
            <w:pPr>
              <w:pStyle w:val="KIRMIZI"/>
              <w:rPr>
                <w:lang w:val="tr-TR"/>
              </w:rPr>
            </w:pPr>
          </w:p>
        </w:tc>
      </w:tr>
      <w:tr w:rsidR="00BD7568" w:rsidRPr="00A23740" w:rsidTr="009431FF">
        <w:tc>
          <w:tcPr>
            <w:tcW w:w="5000" w:type="pct"/>
            <w:gridSpan w:val="2"/>
            <w:shd w:val="clear" w:color="auto" w:fill="DEEAF6"/>
          </w:tcPr>
          <w:p w:rsidR="00E64249" w:rsidRPr="00A23740" w:rsidRDefault="00E64249" w:rsidP="009431FF">
            <w:pPr>
              <w:tabs>
                <w:tab w:val="left" w:pos="567"/>
              </w:tabs>
              <w:ind w:firstLine="709"/>
              <w:rPr>
                <w:b/>
                <w:bCs/>
                <w:szCs w:val="24"/>
                <w:lang w:eastAsia="x-none"/>
              </w:rPr>
            </w:pPr>
          </w:p>
          <w:p w:rsidR="00EF7989" w:rsidRPr="00A23740" w:rsidRDefault="003B700B" w:rsidP="009431FF">
            <w:pPr>
              <w:tabs>
                <w:tab w:val="left" w:pos="567"/>
              </w:tabs>
              <w:ind w:firstLine="709"/>
              <w:rPr>
                <w:bCs/>
              </w:rPr>
            </w:pPr>
            <w:r w:rsidRPr="00A23740">
              <w:rPr>
                <w:b/>
                <w:bCs/>
              </w:rPr>
              <w:t>MADDE 452</w:t>
            </w:r>
            <w:r w:rsidR="001C62D2" w:rsidRPr="00A23740">
              <w:rPr>
                <w:b/>
                <w:bCs/>
              </w:rPr>
              <w:t xml:space="preserve">- </w:t>
            </w:r>
            <w:r w:rsidR="001C62D2" w:rsidRPr="00A23740">
              <w:rPr>
                <w:bCs/>
              </w:rPr>
              <w:t xml:space="preserve">Madde, </w:t>
            </w:r>
            <w:r w:rsidR="004B77A1" w:rsidRPr="0078798F">
              <w:t>tasarrufun iptali</w:t>
            </w:r>
            <w:r w:rsidR="004B77A1" w:rsidRPr="00A23740">
              <w:rPr>
                <w:bCs/>
              </w:rPr>
              <w:t xml:space="preserve"> </w:t>
            </w:r>
            <w:r w:rsidR="001C62D2" w:rsidRPr="00A23740">
              <w:rPr>
                <w:bCs/>
              </w:rPr>
              <w:t>davasında hak düşürücü süreye ilişkin olup, 2004 sayılı Kanunun 284</w:t>
            </w:r>
            <w:r w:rsidR="00290FB4" w:rsidRPr="00A23740">
              <w:rPr>
                <w:bCs/>
              </w:rPr>
              <w:t xml:space="preserve"> </w:t>
            </w:r>
            <w:r w:rsidR="001C62D2" w:rsidRPr="00A23740">
              <w:rPr>
                <w:bCs/>
              </w:rPr>
              <w:t>üncü maddesini karşılamaktadır. Esasa ilişkin bir değişiklik yapılmamış; yalnızca metin daha açık ifadelerle kaleme alınmıştır.</w:t>
            </w:r>
          </w:p>
          <w:p w:rsidR="00EF7989" w:rsidRPr="00A23740" w:rsidRDefault="00CA417B" w:rsidP="009431FF">
            <w:pPr>
              <w:rPr>
                <w:bCs/>
              </w:rPr>
            </w:pPr>
            <w:r w:rsidRPr="00A23740">
              <w:t xml:space="preserve">İsviçre’nin Borç İçin Takip ve İflas Hakkında Federal Kanununda yapılan son değişiklikle, </w:t>
            </w:r>
            <w:r w:rsidR="00CA705D" w:rsidRPr="00A23740">
              <w:t xml:space="preserve">bu Kanunun </w:t>
            </w:r>
            <w:r w:rsidR="001040F7" w:rsidRPr="00A23740">
              <w:t>2004 sayılı K</w:t>
            </w:r>
            <w:r w:rsidRPr="00A23740">
              <w:t xml:space="preserve">anunun 284 üncü maddesine karşılık gelen 292 nci maddesinin kenar başlığı “zamanaşımı” olarak değiştirilmiştir. Değişiklik gerekçesinde, bu değişikliğin zamanaşımının kesilmesine ilişkin kanun hükümlerinin tasarrufun iptali davası açma süresine de uygulanmasının yararlı olacağı ve değişikliğin bu nedenle yapıldığı ifade edilmiştir. Bilim Komisyonu çalışmaları sırasında, yenilik doğuran hakların hak düşürücü süreye tabi tutulmaları kuralından ayrılmak için yeterli sebebin bulunmadığı ve zamanaşımının kesilmesi nedenlerinin tasarrufun iptali davasına ilişkin süreye uygulanmasında güçlükler olacağı değerlendirilmiştir. Bu sebeple </w:t>
            </w:r>
            <w:r w:rsidR="001040F7" w:rsidRPr="00A23740">
              <w:t>İ</w:t>
            </w:r>
            <w:r w:rsidRPr="00A23740">
              <w:t xml:space="preserve">sviçre’deki kanun değişikliği </w:t>
            </w:r>
            <w:r w:rsidR="001040F7" w:rsidRPr="00A23740">
              <w:t>T</w:t>
            </w:r>
            <w:r w:rsidRPr="00A23740">
              <w:t>aslağa yansıtılmamıştır.</w:t>
            </w:r>
          </w:p>
          <w:p w:rsidR="001C62D2" w:rsidRPr="00A23740" w:rsidRDefault="001C62D2" w:rsidP="00F76168">
            <w:pPr>
              <w:tabs>
                <w:tab w:val="left" w:pos="567"/>
              </w:tabs>
              <w:ind w:firstLine="709"/>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jc w:val="center"/>
              <w:rPr>
                <w:b/>
                <w:szCs w:val="24"/>
              </w:rPr>
            </w:pPr>
            <w:r w:rsidRPr="00A23740">
              <w:rPr>
                <w:b/>
                <w:szCs w:val="24"/>
              </w:rPr>
              <w:t>DOKUZUNCU BAP</w:t>
            </w:r>
          </w:p>
          <w:p w:rsidR="00AA5C8C" w:rsidRPr="00A23740" w:rsidRDefault="00AA5C8C" w:rsidP="009431FF">
            <w:pPr>
              <w:widowControl w:val="0"/>
              <w:tabs>
                <w:tab w:val="left" w:pos="567"/>
              </w:tabs>
              <w:jc w:val="center"/>
              <w:rPr>
                <w:b/>
                <w:szCs w:val="24"/>
              </w:rPr>
            </w:pPr>
            <w:r w:rsidRPr="00A23740">
              <w:rPr>
                <w:b/>
                <w:szCs w:val="24"/>
              </w:rPr>
              <w:t>İhtiyati haciz</w:t>
            </w:r>
          </w:p>
          <w:p w:rsidR="00AA5C8C" w:rsidRPr="00A23740" w:rsidRDefault="00AA5C8C" w:rsidP="009431FF">
            <w:pPr>
              <w:widowControl w:val="0"/>
              <w:tabs>
                <w:tab w:val="left" w:pos="567"/>
              </w:tabs>
              <w:jc w:val="center"/>
              <w:rPr>
                <w:b/>
                <w:szCs w:val="24"/>
              </w:rPr>
            </w:pPr>
          </w:p>
          <w:p w:rsidR="00AA5C8C" w:rsidRPr="00A23740" w:rsidRDefault="00AA5C8C" w:rsidP="009431FF">
            <w:pPr>
              <w:widowControl w:val="0"/>
              <w:tabs>
                <w:tab w:val="left" w:pos="567"/>
              </w:tabs>
              <w:jc w:val="center"/>
              <w:rPr>
                <w:b/>
                <w:szCs w:val="24"/>
              </w:rPr>
            </w:pPr>
          </w:p>
          <w:p w:rsidR="00AA5C8C" w:rsidRPr="00A23740" w:rsidRDefault="00AA5C8C" w:rsidP="009431FF">
            <w:pPr>
              <w:widowControl w:val="0"/>
              <w:tabs>
                <w:tab w:val="left" w:pos="567"/>
              </w:tabs>
              <w:jc w:val="center"/>
              <w:rPr>
                <w:b/>
                <w:szCs w:val="24"/>
              </w:rPr>
            </w:pPr>
          </w:p>
          <w:p w:rsidR="00AA5C8C" w:rsidRPr="00A23740" w:rsidRDefault="00AA5C8C" w:rsidP="009431FF">
            <w:pPr>
              <w:widowControl w:val="0"/>
              <w:tabs>
                <w:tab w:val="left" w:pos="567"/>
              </w:tabs>
              <w:rPr>
                <w:b/>
                <w:szCs w:val="24"/>
              </w:rPr>
            </w:pPr>
          </w:p>
          <w:p w:rsidR="00AA5C8C" w:rsidRPr="00A23740" w:rsidRDefault="00AA5C8C" w:rsidP="009431FF">
            <w:pPr>
              <w:widowControl w:val="0"/>
              <w:tabs>
                <w:tab w:val="left" w:pos="567"/>
              </w:tabs>
              <w:rPr>
                <w:b/>
                <w:szCs w:val="24"/>
              </w:rPr>
            </w:pPr>
            <w:r w:rsidRPr="00A23740">
              <w:rPr>
                <w:b/>
                <w:szCs w:val="24"/>
              </w:rPr>
              <w:t>İhtiyati haciz şartları</w:t>
            </w:r>
            <w:r w:rsidRPr="00A23740">
              <w:rPr>
                <w:b/>
                <w:strike/>
                <w:color w:val="FF0000"/>
                <w:szCs w:val="24"/>
              </w:rPr>
              <w:t>:</w:t>
            </w:r>
          </w:p>
          <w:p w:rsidR="00AA5C8C" w:rsidRPr="00A23740" w:rsidRDefault="00AA5C8C" w:rsidP="009431FF">
            <w:pPr>
              <w:widowControl w:val="0"/>
              <w:tabs>
                <w:tab w:val="left" w:pos="567"/>
              </w:tabs>
              <w:rPr>
                <w:szCs w:val="24"/>
              </w:rPr>
            </w:pPr>
            <w:r w:rsidRPr="00A23740">
              <w:rPr>
                <w:b/>
                <w:szCs w:val="24"/>
              </w:rPr>
              <w:t xml:space="preserve">Madde 257 – </w:t>
            </w:r>
            <w:r w:rsidRPr="00A23740">
              <w:rPr>
                <w:rStyle w:val="KIRMIZIChar"/>
                <w:rFonts w:eastAsia="Calibri"/>
              </w:rPr>
              <w:t>(1)</w:t>
            </w:r>
            <w:r w:rsidRPr="00A23740">
              <w:rPr>
                <w:rFonts w:eastAsia="Times New Roman"/>
                <w:color w:val="000000"/>
                <w:szCs w:val="24"/>
                <w:lang w:eastAsia="tr-TR"/>
              </w:rPr>
              <w:t xml:space="preserve"> </w:t>
            </w:r>
            <w:r w:rsidRPr="00A23740">
              <w:rPr>
                <w:szCs w:val="24"/>
              </w:rPr>
              <w:t xml:space="preserve">Rehinle temin edilmemiş ve </w:t>
            </w:r>
            <w:r w:rsidRPr="00A23740">
              <w:rPr>
                <w:b/>
                <w:strike/>
                <w:color w:val="FF0000"/>
                <w:szCs w:val="24"/>
              </w:rPr>
              <w:t>vadesi gelmiş</w:t>
            </w:r>
            <w:r w:rsidRPr="00A23740">
              <w:rPr>
                <w:szCs w:val="24"/>
              </w:rPr>
              <w:t xml:space="preserve"> bir para borcunun alacaklısı</w:t>
            </w:r>
            <w:r w:rsidRPr="00A23740">
              <w:rPr>
                <w:b/>
                <w:strike/>
                <w:color w:val="FF0000"/>
                <w:szCs w:val="24"/>
              </w:rPr>
              <w:t>,</w:t>
            </w:r>
            <w:r w:rsidRPr="00A23740">
              <w:rPr>
                <w:szCs w:val="24"/>
              </w:rPr>
              <w:t xml:space="preserve"> borçlunun </w:t>
            </w:r>
            <w:r w:rsidRPr="00A23740">
              <w:rPr>
                <w:b/>
                <w:strike/>
                <w:color w:val="FF0000"/>
                <w:szCs w:val="24"/>
              </w:rPr>
              <w:t xml:space="preserve">yedinde veya üçüncü şahısta olan taşınır ve taşınmaz mallarını ve alacaklariyle diğer haklarını </w:t>
            </w:r>
            <w:r w:rsidRPr="00A23740">
              <w:rPr>
                <w:szCs w:val="24"/>
              </w:rPr>
              <w:t xml:space="preserve">ihtiyaten </w:t>
            </w:r>
            <w:r w:rsidRPr="00A23740">
              <w:rPr>
                <w:b/>
                <w:strike/>
                <w:color w:val="FF0000"/>
                <w:szCs w:val="24"/>
              </w:rPr>
              <w:t>haczettirebilir.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(2)</w:t>
            </w:r>
            <w:r w:rsidRPr="00A23740">
              <w:rPr>
                <w:rFonts w:eastAsia="Times New Roman"/>
                <w:color w:val="000000"/>
                <w:szCs w:val="24"/>
                <w:lang w:eastAsia="tr-TR"/>
              </w:rPr>
              <w:t xml:space="preserve"> </w:t>
            </w:r>
            <w:r w:rsidRPr="00A23740">
              <w:rPr>
                <w:b/>
                <w:strike/>
                <w:color w:val="FF0000"/>
                <w:szCs w:val="24"/>
              </w:rPr>
              <w:t>Vadesi gelmemiş borçtan dolayı yalnız aşağıdaki hallerde</w:t>
            </w:r>
            <w:r w:rsidRPr="00A23740">
              <w:rPr>
                <w:szCs w:val="24"/>
              </w:rPr>
              <w:t xml:space="preserve"> ihtiyati haciz </w:t>
            </w:r>
            <w:r w:rsidRPr="00A23740">
              <w:rPr>
                <w:b/>
                <w:strike/>
                <w:color w:val="FF0000"/>
                <w:szCs w:val="24"/>
              </w:rPr>
              <w:t>istenebilir: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b/>
                <w:strike/>
                <w:color w:val="FF0000"/>
                <w:szCs w:val="24"/>
              </w:rPr>
              <w:t>1 –</w:t>
            </w:r>
            <w:r w:rsidRPr="00A23740">
              <w:rPr>
                <w:szCs w:val="24"/>
              </w:rPr>
              <w:t xml:space="preserve"> Borçlunun </w:t>
            </w:r>
            <w:r w:rsidRPr="00A23740">
              <w:rPr>
                <w:b/>
                <w:strike/>
                <w:color w:val="FF0000"/>
                <w:szCs w:val="24"/>
              </w:rPr>
              <w:t xml:space="preserve">muayyen </w:t>
            </w:r>
            <w:r w:rsidRPr="00A23740">
              <w:rPr>
                <w:rStyle w:val="KIRMIZIChar"/>
                <w:rFonts w:eastAsia="Calibri"/>
              </w:rPr>
              <w:t>yerleşim yeri yoksa</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2 –</w:t>
            </w:r>
            <w:r w:rsidRPr="00A23740">
              <w:rPr>
                <w:szCs w:val="24"/>
              </w:rPr>
              <w:t xml:space="preserve"> Borçlu taahhütlerinden kurtulmak </w:t>
            </w:r>
            <w:r w:rsidRPr="00A23740">
              <w:rPr>
                <w:b/>
                <w:strike/>
                <w:color w:val="FF0000"/>
                <w:szCs w:val="24"/>
              </w:rPr>
              <w:t>maksadiyle</w:t>
            </w:r>
            <w:r w:rsidRPr="00A23740">
              <w:rPr>
                <w:szCs w:val="24"/>
              </w:rPr>
              <w:t xml:space="preserve"> mallarını gizleme</w:t>
            </w:r>
            <w:r w:rsidRPr="00A23740">
              <w:rPr>
                <w:rStyle w:val="KIRMIZIChar"/>
                <w:rFonts w:eastAsia="Calibri"/>
              </w:rPr>
              <w:t>ğ</w:t>
            </w:r>
            <w:r w:rsidRPr="00A23740">
              <w:rPr>
                <w:szCs w:val="24"/>
              </w:rPr>
              <w:t>e, kaçırma</w:t>
            </w:r>
            <w:r w:rsidRPr="00A23740">
              <w:rPr>
                <w:rStyle w:val="KIRMIZIChar"/>
                <w:rFonts w:eastAsia="Calibri"/>
              </w:rPr>
              <w:t>ğ</w:t>
            </w:r>
            <w:r w:rsidRPr="00A23740">
              <w:rPr>
                <w:szCs w:val="24"/>
              </w:rPr>
              <w:t xml:space="preserve">a veya </w:t>
            </w:r>
            <w:r w:rsidRPr="00A23740">
              <w:rPr>
                <w:rStyle w:val="KIRMIZIChar"/>
                <w:rFonts w:eastAsia="Calibri"/>
              </w:rPr>
              <w:t>kendisi</w:t>
            </w:r>
            <w:r w:rsidRPr="00A23740">
              <w:rPr>
                <w:szCs w:val="24"/>
              </w:rPr>
              <w:t xml:space="preserve"> kaçma</w:t>
            </w:r>
            <w:r w:rsidRPr="00A23740">
              <w:rPr>
                <w:rStyle w:val="KIRMIZIChar"/>
                <w:rFonts w:eastAsia="Calibri"/>
              </w:rPr>
              <w:t>ğ</w:t>
            </w:r>
            <w:r w:rsidRPr="00A23740">
              <w:rPr>
                <w:szCs w:val="24"/>
              </w:rPr>
              <w:t xml:space="preserve">a </w:t>
            </w:r>
            <w:r w:rsidRPr="00A23740">
              <w:rPr>
                <w:rStyle w:val="KIRMIZIChar"/>
                <w:rFonts w:eastAsia="Calibri"/>
              </w:rPr>
              <w:t>hazırlanır</w:t>
            </w:r>
            <w:r w:rsidRPr="00A23740">
              <w:rPr>
                <w:szCs w:val="24"/>
              </w:rPr>
              <w:t xml:space="preserve"> yahut </w:t>
            </w:r>
            <w:r w:rsidRPr="00A23740">
              <w:rPr>
                <w:rStyle w:val="KIRMIZIChar"/>
                <w:rFonts w:eastAsia="Calibri"/>
              </w:rPr>
              <w:t>kaçar</w:t>
            </w:r>
            <w:r w:rsidRPr="00A23740">
              <w:rPr>
                <w:szCs w:val="24"/>
              </w:rPr>
              <w:t xml:space="preserve"> ya da bu </w:t>
            </w:r>
            <w:r w:rsidRPr="00A23740">
              <w:rPr>
                <w:rStyle w:val="KIRMIZIChar"/>
                <w:rFonts w:eastAsia="Calibri"/>
              </w:rPr>
              <w:t>maksatla</w:t>
            </w:r>
            <w:r w:rsidRPr="00A23740">
              <w:rPr>
                <w:szCs w:val="24"/>
              </w:rPr>
              <w:t xml:space="preserve"> alacaklının haklarını ihlâl eden </w:t>
            </w:r>
            <w:r w:rsidRPr="00A23740">
              <w:rPr>
                <w:b/>
                <w:strike/>
                <w:color w:val="FF0000"/>
                <w:szCs w:val="24"/>
              </w:rPr>
              <w:t>hileli</w:t>
            </w:r>
            <w:r w:rsidRPr="00A23740">
              <w:rPr>
                <w:szCs w:val="24"/>
              </w:rPr>
              <w:t xml:space="preserve"> işlemlerde </w:t>
            </w:r>
            <w:r w:rsidRPr="00A23740">
              <w:rPr>
                <w:rStyle w:val="KIRMIZIChar"/>
                <w:rFonts w:eastAsia="Calibri"/>
              </w:rPr>
              <w:t>bulunursa</w:t>
            </w:r>
            <w:r w:rsidRPr="00A23740">
              <w:rPr>
                <w:szCs w:val="24"/>
              </w:rPr>
              <w:t>;</w:t>
            </w:r>
          </w:p>
          <w:p w:rsidR="00AA5C8C" w:rsidRPr="00A23740" w:rsidRDefault="00AA5C8C" w:rsidP="009431FF">
            <w:pPr>
              <w:widowControl w:val="0"/>
              <w:tabs>
                <w:tab w:val="left" w:pos="567"/>
              </w:tabs>
              <w:rPr>
                <w:szCs w:val="24"/>
              </w:rPr>
            </w:pPr>
          </w:p>
          <w:p w:rsidR="00ED5A80" w:rsidRPr="00A23740" w:rsidRDefault="00ED5A80"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Style w:val="KIRMIZIChar"/>
                <w:rFonts w:eastAsia="Calibri"/>
              </w:rPr>
              <w:t>(3)</w:t>
            </w:r>
            <w:r w:rsidRPr="00A23740">
              <w:rPr>
                <w:rFonts w:eastAsia="Times New Roman"/>
                <w:color w:val="000000"/>
                <w:szCs w:val="24"/>
                <w:lang w:eastAsia="tr-TR"/>
              </w:rPr>
              <w:t xml:space="preserve"> </w:t>
            </w:r>
            <w:r w:rsidRPr="00A23740">
              <w:rPr>
                <w:b/>
                <w:strike/>
                <w:color w:val="FF0000"/>
                <w:szCs w:val="24"/>
              </w:rPr>
              <w:t>Bu suretle</w:t>
            </w:r>
            <w:r w:rsidRPr="00A23740">
              <w:rPr>
                <w:szCs w:val="24"/>
              </w:rPr>
              <w:t xml:space="preserve"> ihtiyati haciz </w:t>
            </w:r>
            <w:r w:rsidRPr="00A23740">
              <w:rPr>
                <w:b/>
                <w:strike/>
                <w:color w:val="FF0000"/>
                <w:szCs w:val="24"/>
              </w:rPr>
              <w:t>konulursa</w:t>
            </w:r>
            <w:r w:rsidRPr="00A23740">
              <w:rPr>
                <w:b/>
                <w:color w:val="FF0000"/>
                <w:szCs w:val="24"/>
              </w:rPr>
              <w:t xml:space="preserve"> </w:t>
            </w:r>
            <w:r w:rsidRPr="00A23740">
              <w:rPr>
                <w:szCs w:val="24"/>
              </w:rPr>
              <w:t xml:space="preserve">borç yalnız borçlu hakkında </w:t>
            </w:r>
            <w:r w:rsidRPr="00A23740">
              <w:rPr>
                <w:b/>
                <w:strike/>
                <w:color w:val="FF0000"/>
                <w:szCs w:val="24"/>
              </w:rPr>
              <w:t>muacceliyet kesbeder.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trike/>
                <w:color w:val="FF0000"/>
                <w:szCs w:val="24"/>
              </w:rPr>
            </w:pPr>
            <w:r w:rsidRPr="00A23740">
              <w:rPr>
                <w:rStyle w:val="KIRMIZIChar"/>
                <w:rFonts w:eastAsia="Calibri"/>
              </w:rPr>
              <w:t>(4)</w:t>
            </w:r>
            <w:r w:rsidRPr="00A23740">
              <w:rPr>
                <w:rFonts w:eastAsia="Times New Roman"/>
                <w:color w:val="000000"/>
                <w:szCs w:val="24"/>
                <w:lang w:eastAsia="tr-TR"/>
              </w:rPr>
              <w:t xml:space="preserve"> </w:t>
            </w:r>
            <w:r w:rsidRPr="00A23740">
              <w:rPr>
                <w:b/>
                <w:strike/>
                <w:color w:val="FF0000"/>
                <w:szCs w:val="24"/>
              </w:rPr>
              <w:t>(Ek fıkra: 29/6/1956-6763/42 md.; Mülga dördüncü fıkra: 14/1/2011-6103/41 md.)</w:t>
            </w:r>
            <w:r w:rsidRPr="00A23740">
              <w:rPr>
                <w:strike/>
                <w:color w:val="FF0000"/>
                <w:szCs w:val="24"/>
              </w:rPr>
              <w:tab/>
            </w:r>
            <w:r w:rsidRPr="00A23740">
              <w:rPr>
                <w:b/>
                <w:strike/>
                <w:color w:val="FF0000"/>
                <w:szCs w:val="24"/>
              </w:rPr>
              <w:t xml:space="preserve">(Ek fıkra: 29/6/1956-6763/42 md.; Mülga beşinci fıkra: 14/1/2011-6103/41 md.) </w:t>
            </w:r>
          </w:p>
          <w:p w:rsidR="00AA5C8C" w:rsidRPr="00A23740" w:rsidRDefault="00AA5C8C" w:rsidP="009431FF">
            <w:pPr>
              <w:widowControl w:val="0"/>
              <w:rPr>
                <w:b/>
                <w:szCs w:val="24"/>
              </w:rPr>
            </w:pPr>
          </w:p>
        </w:tc>
        <w:tc>
          <w:tcPr>
            <w:tcW w:w="2500" w:type="pct"/>
          </w:tcPr>
          <w:p w:rsidR="00AA5C8C" w:rsidRPr="00A23740" w:rsidRDefault="00AA5C8C" w:rsidP="009431FF">
            <w:pPr>
              <w:widowControl w:val="0"/>
              <w:tabs>
                <w:tab w:val="left" w:pos="567"/>
              </w:tabs>
              <w:jc w:val="center"/>
              <w:rPr>
                <w:rFonts w:eastAsia="Times New Roman"/>
                <w:b/>
                <w:color w:val="0000FF"/>
                <w:szCs w:val="24"/>
                <w:lang w:eastAsia="tr-TR"/>
              </w:rPr>
            </w:pPr>
            <w:r w:rsidRPr="00A23740">
              <w:rPr>
                <w:rFonts w:eastAsia="Times New Roman"/>
                <w:b/>
                <w:color w:val="0000FF"/>
                <w:szCs w:val="24"/>
                <w:lang w:eastAsia="tr-TR"/>
              </w:rPr>
              <w:t>ÜÇÜNCÜ KISIM</w:t>
            </w:r>
          </w:p>
          <w:p w:rsidR="00AA5C8C" w:rsidRPr="00A23740" w:rsidRDefault="00AA5C8C" w:rsidP="009431FF">
            <w:pPr>
              <w:widowControl w:val="0"/>
              <w:tabs>
                <w:tab w:val="left" w:pos="567"/>
              </w:tabs>
              <w:jc w:val="center"/>
              <w:rPr>
                <w:rFonts w:eastAsia="Times New Roman"/>
                <w:b/>
                <w:color w:val="0000FF"/>
                <w:szCs w:val="24"/>
                <w:lang w:eastAsia="tr-TR"/>
              </w:rPr>
            </w:pPr>
            <w:r w:rsidRPr="00A23740">
              <w:rPr>
                <w:rFonts w:eastAsia="Times New Roman"/>
                <w:b/>
                <w:color w:val="0000FF"/>
                <w:szCs w:val="24"/>
                <w:lang w:eastAsia="tr-TR"/>
              </w:rPr>
              <w:t>İhtiyati Haciz</w:t>
            </w:r>
          </w:p>
          <w:p w:rsidR="00AA5C8C" w:rsidRPr="00A23740" w:rsidRDefault="00AA5C8C" w:rsidP="009431FF">
            <w:pPr>
              <w:widowControl w:val="0"/>
              <w:tabs>
                <w:tab w:val="left" w:pos="567"/>
              </w:tabs>
              <w:jc w:val="center"/>
              <w:rPr>
                <w:rFonts w:eastAsia="Times New Roman"/>
                <w:b/>
                <w:color w:val="0000FF"/>
                <w:szCs w:val="24"/>
                <w:lang w:eastAsia="tr-TR"/>
              </w:rPr>
            </w:pPr>
          </w:p>
          <w:p w:rsidR="00AA5C8C" w:rsidRPr="00A23740" w:rsidRDefault="00AA5C8C" w:rsidP="009431FF">
            <w:pPr>
              <w:widowControl w:val="0"/>
              <w:tabs>
                <w:tab w:val="left" w:pos="567"/>
              </w:tabs>
              <w:jc w:val="center"/>
              <w:rPr>
                <w:rFonts w:eastAsia="Times New Roman"/>
                <w:b/>
                <w:color w:val="0000FF"/>
                <w:szCs w:val="24"/>
                <w:lang w:eastAsia="tr-TR"/>
              </w:rPr>
            </w:pPr>
            <w:r w:rsidRPr="00A23740">
              <w:rPr>
                <w:rFonts w:eastAsia="Times New Roman"/>
                <w:b/>
                <w:color w:val="0000FF"/>
                <w:szCs w:val="24"/>
                <w:lang w:eastAsia="tr-TR"/>
              </w:rPr>
              <w:t>BİRİNCİ BÖLÜM</w:t>
            </w:r>
          </w:p>
          <w:p w:rsidR="00AA5C8C" w:rsidRPr="00A23740" w:rsidRDefault="00AA5C8C" w:rsidP="009431FF">
            <w:pPr>
              <w:widowControl w:val="0"/>
              <w:tabs>
                <w:tab w:val="left" w:pos="567"/>
              </w:tabs>
              <w:jc w:val="center"/>
              <w:rPr>
                <w:rFonts w:eastAsia="Times New Roman"/>
                <w:b/>
                <w:color w:val="0000FF"/>
                <w:szCs w:val="24"/>
                <w:lang w:eastAsia="tr-TR"/>
              </w:rPr>
            </w:pPr>
            <w:r w:rsidRPr="00A23740">
              <w:rPr>
                <w:rFonts w:eastAsia="Times New Roman"/>
                <w:b/>
                <w:color w:val="0000FF"/>
                <w:szCs w:val="24"/>
                <w:lang w:eastAsia="tr-TR"/>
              </w:rPr>
              <w:t xml:space="preserve">İhtiyati </w:t>
            </w:r>
            <w:r w:rsidRPr="00A23740">
              <w:rPr>
                <w:rStyle w:val="MaviChar"/>
              </w:rPr>
              <w:t>Haczin</w:t>
            </w:r>
            <w:r w:rsidRPr="00A23740">
              <w:rPr>
                <w:rFonts w:eastAsia="Times New Roman"/>
                <w:b/>
                <w:color w:val="0000FF"/>
                <w:szCs w:val="24"/>
                <w:lang w:eastAsia="tr-TR"/>
              </w:rPr>
              <w:t xml:space="preserve"> Şartları ve İhtiyati Haciz Kararı</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b/>
                <w:szCs w:val="24"/>
              </w:rPr>
            </w:pPr>
            <w:r w:rsidRPr="00A23740">
              <w:rPr>
                <w:b/>
                <w:szCs w:val="24"/>
              </w:rPr>
              <w:t xml:space="preserve">İhtiyati </w:t>
            </w:r>
            <w:r w:rsidRPr="00A23740">
              <w:rPr>
                <w:rStyle w:val="MaviChar"/>
              </w:rPr>
              <w:t>haczin</w:t>
            </w:r>
            <w:r w:rsidRPr="00A23740">
              <w:rPr>
                <w:b/>
                <w:szCs w:val="24"/>
              </w:rPr>
              <w:t xml:space="preserve"> şartları</w:t>
            </w:r>
          </w:p>
          <w:p w:rsidR="00AA5C8C" w:rsidRPr="00A23740" w:rsidRDefault="003B700B" w:rsidP="009431FF">
            <w:pPr>
              <w:widowControl w:val="0"/>
              <w:tabs>
                <w:tab w:val="left" w:pos="567"/>
              </w:tabs>
              <w:rPr>
                <w:rFonts w:eastAsia="Times New Roman"/>
                <w:b/>
                <w:color w:val="0000FF"/>
                <w:szCs w:val="24"/>
                <w:lang w:eastAsia="tr-TR"/>
              </w:rPr>
            </w:pPr>
            <w:r w:rsidRPr="00A23740">
              <w:rPr>
                <w:rStyle w:val="MaviChar"/>
                <w:lang w:val="tr-TR"/>
              </w:rPr>
              <w:t>MADDE 453</w:t>
            </w:r>
            <w:r w:rsidR="00AA5C8C" w:rsidRPr="00A23740">
              <w:rPr>
                <w:rStyle w:val="MaviChar"/>
                <w:lang w:val="tr-TR"/>
              </w:rPr>
              <w:t>- (</w:t>
            </w:r>
            <w:r w:rsidR="00AA5C8C" w:rsidRPr="00A23740">
              <w:rPr>
                <w:rFonts w:eastAsia="Times New Roman"/>
                <w:b/>
                <w:color w:val="0000FF"/>
                <w:szCs w:val="24"/>
                <w:lang w:eastAsia="tr-TR"/>
              </w:rPr>
              <w:t>1)</w:t>
            </w:r>
            <w:r w:rsidR="00AA5C8C" w:rsidRPr="00A23740">
              <w:rPr>
                <w:b/>
                <w:szCs w:val="24"/>
              </w:rPr>
              <w:t xml:space="preserve"> </w:t>
            </w:r>
            <w:r w:rsidR="00AA5C8C" w:rsidRPr="00A23740">
              <w:rPr>
                <w:szCs w:val="24"/>
              </w:rPr>
              <w:t xml:space="preserve">Rehinle temin edilmemiş </w:t>
            </w:r>
            <w:r w:rsidR="00AA5C8C" w:rsidRPr="00A23740">
              <w:rPr>
                <w:rFonts w:eastAsia="Times New Roman"/>
                <w:b/>
                <w:color w:val="0000FF"/>
                <w:szCs w:val="24"/>
                <w:lang w:eastAsia="tr-TR"/>
              </w:rPr>
              <w:t>muaccel</w:t>
            </w:r>
            <w:r w:rsidR="00AA5C8C" w:rsidRPr="00A23740">
              <w:rPr>
                <w:szCs w:val="24"/>
              </w:rPr>
              <w:t xml:space="preserve"> bir para borcunun alacaklısı</w:t>
            </w:r>
            <w:r w:rsidR="00AA5C8C" w:rsidRPr="00A23740">
              <w:rPr>
                <w:rStyle w:val="MaviChar"/>
              </w:rPr>
              <w:t>,</w:t>
            </w:r>
            <w:r w:rsidR="00AA5C8C" w:rsidRPr="00A23740">
              <w:rPr>
                <w:szCs w:val="24"/>
              </w:rPr>
              <w:t xml:space="preserve"> borçlunun </w:t>
            </w:r>
            <w:r w:rsidR="00AA5C8C" w:rsidRPr="00A23740">
              <w:rPr>
                <w:rFonts w:eastAsia="Times New Roman"/>
                <w:b/>
                <w:color w:val="0000FF"/>
                <w:szCs w:val="24"/>
                <w:lang w:eastAsia="tr-TR"/>
              </w:rPr>
              <w:t>mal</w:t>
            </w:r>
            <w:r w:rsidR="0027084F" w:rsidRPr="00A23740">
              <w:rPr>
                <w:rStyle w:val="MaviChar"/>
              </w:rPr>
              <w:t>,</w:t>
            </w:r>
            <w:r w:rsidR="00AA5C8C" w:rsidRPr="00A23740">
              <w:rPr>
                <w:rStyle w:val="MaviChar"/>
              </w:rPr>
              <w:t xml:space="preserve"> hak ve alacaklarının</w:t>
            </w:r>
            <w:r w:rsidR="00AA5C8C" w:rsidRPr="00A23740">
              <w:rPr>
                <w:rFonts w:eastAsia="Times New Roman"/>
                <w:b/>
                <w:color w:val="0000FF"/>
                <w:szCs w:val="24"/>
                <w:lang w:eastAsia="tr-TR"/>
              </w:rPr>
              <w:t xml:space="preserve"> </w:t>
            </w:r>
            <w:r w:rsidR="00AA5C8C" w:rsidRPr="00A23740">
              <w:rPr>
                <w:szCs w:val="24"/>
              </w:rPr>
              <w:t xml:space="preserve">ihtiyaten </w:t>
            </w:r>
            <w:r w:rsidR="00AA5C8C" w:rsidRPr="00A23740">
              <w:rPr>
                <w:rFonts w:eastAsia="Times New Roman"/>
                <w:b/>
                <w:color w:val="0000FF"/>
                <w:szCs w:val="24"/>
                <w:lang w:eastAsia="tr-TR"/>
              </w:rPr>
              <w:t>haczini talep edebilir.</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szCs w:val="24"/>
              </w:rPr>
            </w:pPr>
            <w:r w:rsidRPr="00A23740">
              <w:rPr>
                <w:rFonts w:eastAsia="Times New Roman"/>
                <w:b/>
                <w:color w:val="0000FF"/>
                <w:szCs w:val="24"/>
                <w:lang w:eastAsia="tr-TR"/>
              </w:rPr>
              <w:t xml:space="preserve">(2) </w:t>
            </w:r>
            <w:r w:rsidRPr="00A23740">
              <w:rPr>
                <w:rStyle w:val="MaviChar"/>
              </w:rPr>
              <w:t>Borç</w:t>
            </w:r>
            <w:r w:rsidRPr="00A23740">
              <w:rPr>
                <w:rFonts w:eastAsia="Times New Roman"/>
                <w:b/>
                <w:color w:val="0000FF"/>
                <w:szCs w:val="24"/>
                <w:lang w:eastAsia="tr-TR"/>
              </w:rPr>
              <w:t xml:space="preserve"> muaccel </w:t>
            </w:r>
            <w:r w:rsidRPr="00A23740">
              <w:rPr>
                <w:rStyle w:val="MaviChar"/>
              </w:rPr>
              <w:t>değilse, aşağıdaki şartlardan</w:t>
            </w:r>
            <w:r w:rsidRPr="00A23740">
              <w:rPr>
                <w:rFonts w:eastAsia="Times New Roman"/>
                <w:b/>
                <w:color w:val="0000FF"/>
                <w:szCs w:val="24"/>
                <w:lang w:eastAsia="tr-TR"/>
              </w:rPr>
              <w:t xml:space="preserve"> </w:t>
            </w:r>
            <w:r w:rsidR="0096478A" w:rsidRPr="00A23740">
              <w:rPr>
                <w:rFonts w:eastAsia="Times New Roman"/>
                <w:b/>
                <w:color w:val="0000FF"/>
                <w:szCs w:val="24"/>
                <w:lang w:eastAsia="tr-TR"/>
              </w:rPr>
              <w:t>birinin bulunması hâ</w:t>
            </w:r>
            <w:r w:rsidRPr="00A23740">
              <w:rPr>
                <w:rFonts w:eastAsia="Times New Roman"/>
                <w:b/>
                <w:color w:val="0000FF"/>
                <w:szCs w:val="24"/>
                <w:lang w:eastAsia="tr-TR"/>
              </w:rPr>
              <w:t>linde,</w:t>
            </w:r>
            <w:r w:rsidRPr="00A23740">
              <w:rPr>
                <w:rStyle w:val="Balk3Char"/>
                <w:rFonts w:eastAsia="Calibri"/>
              </w:rPr>
              <w:t xml:space="preserve"> </w:t>
            </w:r>
            <w:r w:rsidRPr="00A23740">
              <w:rPr>
                <w:bCs/>
                <w:szCs w:val="24"/>
              </w:rPr>
              <w:t xml:space="preserve">ihtiyati </w:t>
            </w:r>
            <w:r w:rsidRPr="00A23740">
              <w:rPr>
                <w:szCs w:val="24"/>
              </w:rPr>
              <w:t>haciz</w:t>
            </w:r>
            <w:r w:rsidRPr="00A23740">
              <w:rPr>
                <w:rFonts w:eastAsia="Times New Roman"/>
                <w:b/>
                <w:color w:val="0000FF"/>
                <w:szCs w:val="24"/>
                <w:lang w:eastAsia="tr-TR"/>
              </w:rPr>
              <w:t xml:space="preserve"> talep edilebilir:</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Fonts w:eastAsia="Times New Roman"/>
                <w:b/>
                <w:color w:val="0000FF"/>
                <w:szCs w:val="24"/>
                <w:lang w:eastAsia="tr-TR"/>
              </w:rPr>
              <w:t>a)</w:t>
            </w:r>
            <w:r w:rsidRPr="00A23740">
              <w:rPr>
                <w:szCs w:val="24"/>
              </w:rPr>
              <w:t xml:space="preserve"> Borçlunun </w:t>
            </w:r>
            <w:r w:rsidRPr="00A23740">
              <w:rPr>
                <w:rStyle w:val="MaviChar"/>
              </w:rPr>
              <w:t>yerleşik olarak oturduğu bir yerin bulunmama</w:t>
            </w:r>
            <w:r w:rsidRPr="0078798F">
              <w:rPr>
                <w:rStyle w:val="MaviChar"/>
              </w:rPr>
              <w:t>sı</w:t>
            </w:r>
            <w:r w:rsidR="003738D2" w:rsidRPr="0078798F">
              <w:rPr>
                <w:rStyle w:val="MaviChar"/>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Fonts w:eastAsia="Times New Roman"/>
                <w:b/>
                <w:color w:val="0000FF"/>
                <w:szCs w:val="24"/>
                <w:lang w:eastAsia="tr-TR"/>
              </w:rPr>
              <w:t>b)</w:t>
            </w:r>
            <w:r w:rsidRPr="00A23740">
              <w:rPr>
                <w:szCs w:val="24"/>
              </w:rPr>
              <w:t xml:space="preserve"> </w:t>
            </w:r>
            <w:r w:rsidRPr="00A23740">
              <w:t>Borçlu</w:t>
            </w:r>
            <w:r w:rsidRPr="00A23740">
              <w:rPr>
                <w:rStyle w:val="MaviChar"/>
              </w:rPr>
              <w:t>nun</w:t>
            </w:r>
            <w:r w:rsidRPr="00A23740">
              <w:rPr>
                <w:szCs w:val="24"/>
              </w:rPr>
              <w:t xml:space="preserve"> taahhütlerinden kurtulmak </w:t>
            </w:r>
            <w:r w:rsidRPr="00A23740">
              <w:rPr>
                <w:rFonts w:eastAsia="Times New Roman"/>
                <w:b/>
                <w:color w:val="0000FF"/>
                <w:szCs w:val="24"/>
                <w:lang w:eastAsia="tr-TR"/>
              </w:rPr>
              <w:t>amacıyla</w:t>
            </w:r>
            <w:r w:rsidRPr="00A23740">
              <w:rPr>
                <w:szCs w:val="24"/>
              </w:rPr>
              <w:t xml:space="preserve"> mallarını gizleme</w:t>
            </w:r>
            <w:r w:rsidRPr="00A23740">
              <w:rPr>
                <w:rStyle w:val="MaviChar"/>
              </w:rPr>
              <w:t>y</w:t>
            </w:r>
            <w:r w:rsidRPr="00A23740">
              <w:rPr>
                <w:szCs w:val="24"/>
              </w:rPr>
              <w:t>e, kaçırma</w:t>
            </w:r>
            <w:r w:rsidRPr="00A23740">
              <w:rPr>
                <w:rStyle w:val="MaviChar"/>
              </w:rPr>
              <w:t>y</w:t>
            </w:r>
            <w:r w:rsidRPr="00A23740">
              <w:rPr>
                <w:szCs w:val="24"/>
              </w:rPr>
              <w:t xml:space="preserve">a veya </w:t>
            </w:r>
            <w:r w:rsidR="009B1775" w:rsidRPr="0078798F">
              <w:rPr>
                <w:rStyle w:val="MaviChar"/>
              </w:rPr>
              <w:t>kendisinin</w:t>
            </w:r>
            <w:r w:rsidR="009B1775" w:rsidRPr="00A23740">
              <w:rPr>
                <w:szCs w:val="24"/>
              </w:rPr>
              <w:t xml:space="preserve"> </w:t>
            </w:r>
            <w:r w:rsidRPr="00A23740">
              <w:rPr>
                <w:szCs w:val="24"/>
              </w:rPr>
              <w:t>kaçma</w:t>
            </w:r>
            <w:r w:rsidRPr="00A23740">
              <w:rPr>
                <w:rStyle w:val="MaviChar"/>
              </w:rPr>
              <w:t>y</w:t>
            </w:r>
            <w:r w:rsidRPr="00A23740">
              <w:rPr>
                <w:szCs w:val="24"/>
              </w:rPr>
              <w:t xml:space="preserve">a </w:t>
            </w:r>
            <w:r w:rsidRPr="00A23740">
              <w:rPr>
                <w:rStyle w:val="MaviChar"/>
              </w:rPr>
              <w:t>hazırlanması</w:t>
            </w:r>
            <w:r w:rsidRPr="00A23740">
              <w:rPr>
                <w:szCs w:val="24"/>
              </w:rPr>
              <w:t xml:space="preserve"> </w:t>
            </w:r>
            <w:r w:rsidR="009B1775" w:rsidRPr="0078798F">
              <w:rPr>
                <w:rStyle w:val="MaviChar"/>
              </w:rPr>
              <w:t>ya da</w:t>
            </w:r>
            <w:r w:rsidR="009B1775" w:rsidRPr="00A23740">
              <w:rPr>
                <w:szCs w:val="24"/>
              </w:rPr>
              <w:t xml:space="preserve"> </w:t>
            </w:r>
            <w:r w:rsidRPr="00A23740">
              <w:rPr>
                <w:rStyle w:val="MaviChar"/>
              </w:rPr>
              <w:t>kaçması</w:t>
            </w:r>
            <w:r w:rsidRPr="00A23740">
              <w:rPr>
                <w:szCs w:val="24"/>
              </w:rPr>
              <w:t xml:space="preserve"> </w:t>
            </w:r>
            <w:r w:rsidR="009B1775" w:rsidRPr="0078798F">
              <w:rPr>
                <w:rStyle w:val="MaviChar"/>
              </w:rPr>
              <w:t>yahut</w:t>
            </w:r>
            <w:r w:rsidR="009B1775" w:rsidRPr="00A23740">
              <w:rPr>
                <w:szCs w:val="24"/>
              </w:rPr>
              <w:t xml:space="preserve"> </w:t>
            </w:r>
            <w:r w:rsidRPr="00A23740">
              <w:rPr>
                <w:szCs w:val="24"/>
              </w:rPr>
              <w:t xml:space="preserve">bu </w:t>
            </w:r>
            <w:r w:rsidRPr="00A23740">
              <w:rPr>
                <w:rStyle w:val="MaviChar"/>
              </w:rPr>
              <w:t>amaçla</w:t>
            </w:r>
            <w:r w:rsidRPr="00A23740">
              <w:rPr>
                <w:szCs w:val="24"/>
              </w:rPr>
              <w:t xml:space="preserve"> alacaklının haklarını ihlâl eden işlemlerde </w:t>
            </w:r>
            <w:r w:rsidRPr="00A23740">
              <w:rPr>
                <w:rStyle w:val="MaviChar"/>
              </w:rPr>
              <w:t>bulunma</w:t>
            </w:r>
            <w:r w:rsidRPr="0078798F">
              <w:rPr>
                <w:rStyle w:val="MaviChar"/>
              </w:rPr>
              <w:t>sı</w:t>
            </w:r>
            <w:r w:rsidR="003738D2" w:rsidRPr="0078798F">
              <w:rPr>
                <w:rStyle w:val="MaviChar"/>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szCs w:val="24"/>
              </w:rPr>
            </w:pPr>
            <w:r w:rsidRPr="00A23740">
              <w:rPr>
                <w:rFonts w:eastAsia="Times New Roman"/>
                <w:b/>
                <w:color w:val="0000FF"/>
                <w:szCs w:val="24"/>
                <w:lang w:eastAsia="tr-TR"/>
              </w:rPr>
              <w:t xml:space="preserve">(3) İkinci fıkra kapsamında </w:t>
            </w:r>
            <w:r w:rsidRPr="00A23740">
              <w:rPr>
                <w:szCs w:val="24"/>
              </w:rPr>
              <w:t xml:space="preserve">ihtiyati haciz </w:t>
            </w:r>
            <w:r w:rsidRPr="00A23740">
              <w:rPr>
                <w:rStyle w:val="MaviChar"/>
                <w:lang w:val="tr-TR"/>
              </w:rPr>
              <w:t>kararının uygulanmasıyla</w:t>
            </w:r>
            <w:r w:rsidRPr="00A23740">
              <w:rPr>
                <w:szCs w:val="24"/>
              </w:rPr>
              <w:t xml:space="preserve"> borç</w:t>
            </w:r>
            <w:r w:rsidR="009B1775" w:rsidRPr="0078798F">
              <w:rPr>
                <w:rStyle w:val="MaviChar"/>
              </w:rPr>
              <w:t>,</w:t>
            </w:r>
            <w:r w:rsidRPr="00A23740">
              <w:rPr>
                <w:szCs w:val="24"/>
              </w:rPr>
              <w:t xml:space="preserve"> yalnız </w:t>
            </w:r>
            <w:r w:rsidRPr="00A23740">
              <w:rPr>
                <w:rStyle w:val="MaviChar"/>
              </w:rPr>
              <w:t>hakkında ihtiyati haciz kararı verilen borçlu bakımından</w:t>
            </w:r>
            <w:r w:rsidRPr="00A23740">
              <w:rPr>
                <w:szCs w:val="24"/>
              </w:rPr>
              <w:t xml:space="preserve"> </w:t>
            </w:r>
            <w:r w:rsidR="0096478A" w:rsidRPr="00A23740">
              <w:rPr>
                <w:rFonts w:eastAsia="Times New Roman"/>
                <w:b/>
                <w:color w:val="0000FF"/>
                <w:szCs w:val="24"/>
                <w:lang w:eastAsia="tr-TR"/>
              </w:rPr>
              <w:t>muaccel hâ</w:t>
            </w:r>
            <w:r w:rsidRPr="00A23740">
              <w:rPr>
                <w:rFonts w:eastAsia="Times New Roman"/>
                <w:b/>
                <w:color w:val="0000FF"/>
                <w:szCs w:val="24"/>
                <w:lang w:eastAsia="tr-TR"/>
              </w:rPr>
              <w:t>le gelir.</w:t>
            </w:r>
          </w:p>
          <w:p w:rsidR="00AA5C8C" w:rsidRPr="00A23740" w:rsidRDefault="00AA5C8C" w:rsidP="009431FF">
            <w:pPr>
              <w:widowControl w:val="0"/>
              <w:tabs>
                <w:tab w:val="left" w:pos="567"/>
              </w:tabs>
              <w:rPr>
                <w:szCs w:val="24"/>
              </w:rPr>
            </w:pPr>
          </w:p>
          <w:p w:rsidR="00AA5C8C" w:rsidRPr="00A23740" w:rsidRDefault="00AA5C8C" w:rsidP="009431FF">
            <w:pPr>
              <w:pStyle w:val="KIRMIZI"/>
              <w:widowControl w:val="0"/>
              <w:rPr>
                <w:b w:val="0"/>
              </w:rPr>
            </w:pPr>
          </w:p>
        </w:tc>
      </w:tr>
      <w:tr w:rsidR="00BD7568" w:rsidRPr="00A23740" w:rsidTr="009431FF">
        <w:tc>
          <w:tcPr>
            <w:tcW w:w="5000" w:type="pct"/>
            <w:gridSpan w:val="2"/>
            <w:shd w:val="clear" w:color="auto" w:fill="DEEAF6"/>
          </w:tcPr>
          <w:p w:rsidR="00E64249" w:rsidRPr="00A23740" w:rsidRDefault="00E64249" w:rsidP="009431FF">
            <w:pPr>
              <w:tabs>
                <w:tab w:val="left" w:pos="567"/>
              </w:tabs>
              <w:ind w:firstLine="709"/>
              <w:rPr>
                <w:b/>
                <w:bCs/>
                <w:szCs w:val="24"/>
                <w:lang w:eastAsia="x-none"/>
              </w:rPr>
            </w:pPr>
          </w:p>
          <w:p w:rsidR="0023602D" w:rsidRPr="00A23740" w:rsidRDefault="00BD7568" w:rsidP="009431FF">
            <w:pPr>
              <w:tabs>
                <w:tab w:val="left" w:pos="567"/>
              </w:tabs>
              <w:ind w:firstLine="709"/>
              <w:rPr>
                <w:bCs/>
                <w:szCs w:val="24"/>
                <w:lang w:eastAsia="x-none"/>
              </w:rPr>
            </w:pPr>
            <w:r w:rsidRPr="00A23740">
              <w:rPr>
                <w:b/>
                <w:bCs/>
                <w:szCs w:val="24"/>
                <w:lang w:eastAsia="x-none"/>
              </w:rPr>
              <w:t xml:space="preserve">MADDE </w:t>
            </w:r>
            <w:r w:rsidR="003B700B" w:rsidRPr="00A23740">
              <w:rPr>
                <w:b/>
                <w:bCs/>
                <w:szCs w:val="24"/>
                <w:lang w:eastAsia="x-none"/>
              </w:rPr>
              <w:t>453</w:t>
            </w:r>
            <w:r w:rsidRPr="00A23740">
              <w:rPr>
                <w:b/>
                <w:bCs/>
                <w:szCs w:val="24"/>
                <w:lang w:eastAsia="x-none"/>
              </w:rPr>
              <w:t>-</w:t>
            </w:r>
            <w:r w:rsidRPr="00A23740">
              <w:rPr>
                <w:bCs/>
                <w:szCs w:val="24"/>
                <w:lang w:eastAsia="x-none"/>
              </w:rPr>
              <w:t xml:space="preserve"> </w:t>
            </w:r>
            <w:r w:rsidR="0023602D" w:rsidRPr="00A23740">
              <w:rPr>
                <w:bCs/>
                <w:szCs w:val="24"/>
                <w:lang w:eastAsia="x-none"/>
              </w:rPr>
              <w:t xml:space="preserve">Maddeyle, ihtiyati </w:t>
            </w:r>
            <w:r w:rsidR="0023602D" w:rsidRPr="00A23740">
              <w:t>haczin</w:t>
            </w:r>
            <w:r w:rsidR="0023602D" w:rsidRPr="00A23740">
              <w:rPr>
                <w:bCs/>
                <w:szCs w:val="24"/>
                <w:lang w:eastAsia="x-none"/>
              </w:rPr>
              <w:t xml:space="preserve"> şartlarına ilişkin hususlar düzenlenmektedir. Hüküm</w:t>
            </w:r>
            <w:r w:rsidR="00C64308" w:rsidRPr="00A23740">
              <w:rPr>
                <w:bCs/>
                <w:szCs w:val="24"/>
                <w:lang w:eastAsia="x-none"/>
              </w:rPr>
              <w:t>,</w:t>
            </w:r>
            <w:r w:rsidR="0023602D" w:rsidRPr="00A23740">
              <w:rPr>
                <w:bCs/>
                <w:szCs w:val="24"/>
                <w:lang w:eastAsia="x-none"/>
              </w:rPr>
              <w:t xml:space="preserve"> 2004 sayılı Kanunun 257 nci maddesine karşılık gelmektedir. </w:t>
            </w:r>
          </w:p>
          <w:p w:rsidR="00E55DFB" w:rsidRPr="00A23740" w:rsidRDefault="009229B3" w:rsidP="009431FF">
            <w:pPr>
              <w:tabs>
                <w:tab w:val="left" w:pos="567"/>
              </w:tabs>
              <w:ind w:firstLine="709"/>
              <w:rPr>
                <w:bCs/>
                <w:szCs w:val="24"/>
                <w:lang w:eastAsia="x-none"/>
              </w:rPr>
            </w:pPr>
            <w:r w:rsidRPr="00A23740">
              <w:rPr>
                <w:bCs/>
                <w:szCs w:val="24"/>
                <w:lang w:eastAsia="x-none"/>
              </w:rPr>
              <w:t>Para borcu alacaklısına belli şartların gerçekleşmesi hâlinde borçlunun mal, hak ve alacaklarının ihtiyaten haczini talep etme hakkı veren bu geçici hukukî koruma müessesesinden yararlanabilmek için</w:t>
            </w:r>
            <w:r w:rsidR="009B1775" w:rsidRPr="0078798F">
              <w:t>,</w:t>
            </w:r>
            <w:r w:rsidRPr="00A23740">
              <w:rPr>
                <w:bCs/>
                <w:szCs w:val="24"/>
                <w:lang w:eastAsia="x-none"/>
              </w:rPr>
              <w:t xml:space="preserve"> borcun muaccel olması ve rehinle temin edilmemiş bulunması</w:t>
            </w:r>
            <w:r w:rsidR="009B1775" w:rsidRPr="00A23740">
              <w:rPr>
                <w:bCs/>
                <w:szCs w:val="24"/>
                <w:lang w:eastAsia="x-none"/>
              </w:rPr>
              <w:t xml:space="preserve"> </w:t>
            </w:r>
            <w:r w:rsidR="009B1775" w:rsidRPr="0078798F">
              <w:t>gerekir.</w:t>
            </w:r>
            <w:r w:rsidRPr="00A23740">
              <w:rPr>
                <w:bCs/>
                <w:szCs w:val="24"/>
                <w:lang w:eastAsia="x-none"/>
              </w:rPr>
              <w:t xml:space="preserve"> Borcun rehinle temin edilmemiş kısmı bakımından ihtiyati haciz talep edilebileceği </w:t>
            </w:r>
            <w:r w:rsidRPr="0078798F">
              <w:t>ise</w:t>
            </w:r>
            <w:r w:rsidR="009B1775" w:rsidRPr="0078798F">
              <w:t xml:space="preserve"> açıktır.</w:t>
            </w:r>
            <w:r w:rsidRPr="00A23740">
              <w:rPr>
                <w:bCs/>
                <w:szCs w:val="24"/>
                <w:lang w:eastAsia="x-none"/>
              </w:rPr>
              <w:t xml:space="preserve"> </w:t>
            </w:r>
          </w:p>
          <w:p w:rsidR="00E55DFB" w:rsidRPr="00A23740" w:rsidRDefault="00E55DFB" w:rsidP="009431FF">
            <w:r w:rsidRPr="00A23740">
              <w:tab/>
              <w:t xml:space="preserve">Kural olarak muaccel alacaklar bakımından talep edilebilen ihtiyati haczin müeccel alacaklar </w:t>
            </w:r>
            <w:r w:rsidR="00CA705D" w:rsidRPr="00A23740">
              <w:t xml:space="preserve">için de </w:t>
            </w:r>
            <w:r w:rsidRPr="00A23740">
              <w:t xml:space="preserve">talep edilebilmesi konusunda 2004 sayılı Kanunda “borçlunun yerleşim yerinin muayyen olmaması” </w:t>
            </w:r>
            <w:r w:rsidR="00CA705D" w:rsidRPr="00A23740">
              <w:t xml:space="preserve">şartı </w:t>
            </w:r>
            <w:r w:rsidRPr="00A23740">
              <w:t>aranmakta</w:t>
            </w:r>
            <w:r w:rsidR="00CA705D" w:rsidRPr="00A23740">
              <w:t>yken,</w:t>
            </w:r>
            <w:r w:rsidRPr="00A23740">
              <w:t xml:space="preserve"> Taslakta bunun yerine “Borçlunun yerleşik olarak oturduğu bir yerin bulunmaması” ifadesi tercih edilmiştir. Böylece bo</w:t>
            </w:r>
            <w:r w:rsidR="0096478A" w:rsidRPr="00A23740">
              <w:t>rçluya gerçekten ulaşılamayan hâ</w:t>
            </w:r>
            <w:r w:rsidRPr="00A23740">
              <w:t>llerde müeccel bir alacak bakımından ihtiyati haciz kararı verilebilmesi istenmiştir. Müeccel bir alacak hakkında ihtiyati haciz kararı verilip uygulanmasıyla borç yalnız hakkında ihtiyati haciz kararı veri</w:t>
            </w:r>
            <w:r w:rsidR="0096478A" w:rsidRPr="00A23740">
              <w:t>len borçlu bakımından muaccel hâ</w:t>
            </w:r>
            <w:r w:rsidRPr="00A23740">
              <w:t xml:space="preserve">le </w:t>
            </w:r>
            <w:r w:rsidR="003738D2" w:rsidRPr="00A23740">
              <w:t>gelir. 2004 sayılı Kanundaki düzenlemeden farklı olarak, bu alaca</w:t>
            </w:r>
            <w:r w:rsidR="0096478A" w:rsidRPr="00A23740">
              <w:t>ğın borçlu bakımından muaccel hâ</w:t>
            </w:r>
            <w:r w:rsidR="003738D2" w:rsidRPr="00A23740">
              <w:t>le gelebilmesi için ihtiyati haciz kararı verilmesi yeterli olmayıp kararın uygulanmasının da gerekeceği açıklığa kavuşturulmuştur.</w:t>
            </w:r>
          </w:p>
          <w:p w:rsidR="00BD7568" w:rsidRPr="00A23740" w:rsidRDefault="00BD7568" w:rsidP="00F76168">
            <w:pPr>
              <w:tabs>
                <w:tab w:val="left" w:pos="567"/>
              </w:tabs>
              <w:ind w:firstLine="709"/>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b/>
                <w:szCs w:val="24"/>
              </w:rPr>
              <w:t xml:space="preserve">İhtiyati haciz kararı </w:t>
            </w:r>
            <w:r w:rsidRPr="00A23740">
              <w:rPr>
                <w:b/>
                <w:strike/>
                <w:color w:val="FF0000"/>
                <w:szCs w:val="24"/>
              </w:rPr>
              <w:t>:</w:t>
            </w:r>
          </w:p>
          <w:p w:rsidR="00AA5C8C" w:rsidRPr="00A23740" w:rsidRDefault="00AA5C8C" w:rsidP="009431FF">
            <w:pPr>
              <w:tabs>
                <w:tab w:val="left" w:pos="567"/>
              </w:tabs>
              <w:rPr>
                <w:b/>
                <w:strike/>
                <w:color w:val="FF0000"/>
                <w:szCs w:val="24"/>
              </w:rPr>
            </w:pPr>
            <w:r w:rsidRPr="00A23740">
              <w:rPr>
                <w:rStyle w:val="KIRMIZIChar"/>
                <w:rFonts w:eastAsia="Calibri"/>
              </w:rPr>
              <w:t>Madde 258 – (1)</w:t>
            </w:r>
            <w:r w:rsidRPr="00A23740">
              <w:rPr>
                <w:rFonts w:eastAsia="Times New Roman"/>
                <w:color w:val="000000"/>
                <w:szCs w:val="24"/>
                <w:lang w:eastAsia="tr-TR"/>
              </w:rPr>
              <w:t xml:space="preserve"> </w:t>
            </w:r>
            <w:r w:rsidRPr="00A23740">
              <w:rPr>
                <w:szCs w:val="24"/>
              </w:rPr>
              <w:t>İhtiyati hac</w:t>
            </w:r>
            <w:r w:rsidRPr="00A23740">
              <w:rPr>
                <w:b/>
                <w:strike/>
                <w:color w:val="FF0000"/>
                <w:szCs w:val="24"/>
              </w:rPr>
              <w:t>ze</w:t>
            </w:r>
            <w:r w:rsidRPr="00A23740">
              <w:rPr>
                <w:szCs w:val="24"/>
              </w:rPr>
              <w:t xml:space="preserve"> </w:t>
            </w:r>
            <w:r w:rsidRPr="00A23740">
              <w:rPr>
                <w:b/>
                <w:strike/>
                <w:color w:val="FF0000"/>
                <w:szCs w:val="24"/>
              </w:rPr>
              <w:t>50 nci maddeye göre</w:t>
            </w:r>
            <w:r w:rsidRPr="00A23740">
              <w:rPr>
                <w:szCs w:val="24"/>
              </w:rPr>
              <w:t xml:space="preserve"> yetkili mahkeme </w:t>
            </w:r>
            <w:r w:rsidRPr="00A23740">
              <w:rPr>
                <w:b/>
                <w:strike/>
                <w:color w:val="FF0000"/>
                <w:szCs w:val="24"/>
              </w:rPr>
              <w:t xml:space="preserve">tarafından karar verilir. Alacaklı alacağı ve icabında haciz sebepleri hakkında mahkemeye kanaat getirecek deliller göstermeğe mecburdur. </w:t>
            </w:r>
          </w:p>
          <w:p w:rsidR="00AA5C8C" w:rsidRDefault="00AA5C8C" w:rsidP="009431FF">
            <w:pPr>
              <w:tabs>
                <w:tab w:val="left" w:pos="567"/>
              </w:tabs>
              <w:rPr>
                <w:b/>
                <w:strike/>
                <w:color w:val="FF0000"/>
                <w:szCs w:val="24"/>
              </w:rPr>
            </w:pPr>
          </w:p>
          <w:p w:rsidR="00980090" w:rsidRPr="00A23740" w:rsidRDefault="00980090"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Default="00AA5C8C" w:rsidP="009431FF">
            <w:pPr>
              <w:tabs>
                <w:tab w:val="left" w:pos="567"/>
              </w:tabs>
              <w:rPr>
                <w:b/>
                <w:strike/>
                <w:color w:val="FF0000"/>
                <w:szCs w:val="24"/>
              </w:rPr>
            </w:pPr>
          </w:p>
          <w:p w:rsidR="00F76168" w:rsidRPr="00A23740" w:rsidRDefault="00F76168"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b/>
                <w:strike/>
                <w:color w:val="FF0000"/>
                <w:szCs w:val="24"/>
              </w:rPr>
              <w:t>(2) Mahkeme iki tarafı dinleyip dinlememekte serbesttir.</w:t>
            </w:r>
          </w:p>
          <w:p w:rsidR="00AA5C8C" w:rsidRPr="00A23740" w:rsidRDefault="00AA5C8C" w:rsidP="009431FF">
            <w:pPr>
              <w:tabs>
                <w:tab w:val="left" w:pos="567"/>
              </w:tabs>
              <w:rPr>
                <w:szCs w:val="24"/>
              </w:rPr>
            </w:pPr>
          </w:p>
          <w:p w:rsidR="003738D2" w:rsidRPr="00A23740" w:rsidRDefault="003738D2" w:rsidP="009431FF">
            <w:pPr>
              <w:tabs>
                <w:tab w:val="left" w:pos="567"/>
              </w:tabs>
              <w:rPr>
                <w:b/>
                <w:color w:val="FF0000"/>
                <w:szCs w:val="24"/>
              </w:rPr>
            </w:pPr>
          </w:p>
          <w:p w:rsidR="00AA5C8C" w:rsidRPr="00A23740" w:rsidRDefault="00AA5C8C" w:rsidP="009431FF">
            <w:pPr>
              <w:tabs>
                <w:tab w:val="left" w:pos="567"/>
              </w:tabs>
              <w:rPr>
                <w:rStyle w:val="KIRMIZIChar"/>
                <w:rFonts w:eastAsia="Calibri"/>
              </w:rPr>
            </w:pPr>
            <w:r w:rsidRPr="00A23740">
              <w:rPr>
                <w:rStyle w:val="KIRMIZIChar"/>
                <w:rFonts w:eastAsia="Calibri"/>
              </w:rPr>
              <w:t>(3)</w:t>
            </w:r>
            <w:r w:rsidRPr="00A23740">
              <w:rPr>
                <w:rFonts w:eastAsia="Times New Roman"/>
                <w:color w:val="000000"/>
                <w:szCs w:val="24"/>
                <w:lang w:eastAsia="tr-TR"/>
              </w:rPr>
              <w:t xml:space="preserve"> </w:t>
            </w:r>
            <w:r w:rsidRPr="00A23740">
              <w:rPr>
                <w:rStyle w:val="KIRMIZIChar"/>
                <w:rFonts w:eastAsia="Calibri"/>
              </w:rPr>
              <w:t>(Ek fıkra:17/7/2003-4949/60 md.) (Değişik üçüncü fıkra:22/7/2020-7251/50 md.)</w:t>
            </w:r>
            <w:r w:rsidRPr="00A23740">
              <w:rPr>
                <w:b/>
                <w:bCs/>
                <w:sz w:val="18"/>
              </w:rPr>
              <w:t xml:space="preserve"> </w:t>
            </w:r>
            <w:r w:rsidRPr="00A23740">
              <w:rPr>
                <w:szCs w:val="24"/>
              </w:rPr>
              <w:t xml:space="preserve">İhtiyati haciz talebinin reddi kararı gerekçeli olarak verilir ve bu karara karşı istinaf yoluna başvurulabilir. Yüzüne karşı aleyhinde ihtiyati haciz kararı verilen taraf da istinaf yoluna başvurabilir. </w:t>
            </w:r>
            <w:r w:rsidRPr="00A23740">
              <w:rPr>
                <w:rStyle w:val="KIRMIZIChar"/>
                <w:rFonts w:eastAsia="Calibri"/>
              </w:rPr>
              <w:t>Bölge adliye mahkemesi bu başvuruları öncelikle inceler ve verdiği karar kesindir.</w:t>
            </w:r>
          </w:p>
          <w:p w:rsidR="00AA5C8C" w:rsidRPr="00A23740" w:rsidRDefault="00AA5C8C" w:rsidP="009431FF">
            <w:pPr>
              <w:rPr>
                <w:b/>
                <w:szCs w:val="24"/>
              </w:rPr>
            </w:pPr>
          </w:p>
          <w:p w:rsidR="00C27954" w:rsidRPr="00A23740" w:rsidRDefault="00C27954" w:rsidP="009431FF">
            <w:pPr>
              <w:tabs>
                <w:tab w:val="left" w:pos="567"/>
              </w:tabs>
              <w:rPr>
                <w:szCs w:val="24"/>
              </w:rPr>
            </w:pPr>
          </w:p>
          <w:p w:rsidR="001B26C1" w:rsidRPr="00A23740" w:rsidRDefault="001B26C1" w:rsidP="009431FF">
            <w:pPr>
              <w:tabs>
                <w:tab w:val="left" w:pos="567"/>
              </w:tabs>
              <w:rPr>
                <w:szCs w:val="24"/>
              </w:rPr>
            </w:pPr>
          </w:p>
          <w:p w:rsidR="001B26C1" w:rsidRPr="00A23740" w:rsidRDefault="001B26C1" w:rsidP="009431FF">
            <w:pPr>
              <w:tabs>
                <w:tab w:val="left" w:pos="567"/>
              </w:tabs>
              <w:rPr>
                <w:szCs w:val="24"/>
              </w:rPr>
            </w:pPr>
          </w:p>
          <w:p w:rsidR="001B26C1" w:rsidRPr="00A23740" w:rsidRDefault="001B26C1" w:rsidP="009431FF">
            <w:pPr>
              <w:tabs>
                <w:tab w:val="left" w:pos="567"/>
              </w:tabs>
              <w:rPr>
                <w:szCs w:val="24"/>
              </w:rPr>
            </w:pPr>
          </w:p>
          <w:p w:rsidR="001B26C1" w:rsidRPr="00A23740" w:rsidRDefault="001B26C1" w:rsidP="009431FF">
            <w:pPr>
              <w:tabs>
                <w:tab w:val="left" w:pos="567"/>
              </w:tabs>
              <w:rPr>
                <w:szCs w:val="24"/>
              </w:rPr>
            </w:pPr>
          </w:p>
          <w:p w:rsidR="00AA5C8C" w:rsidRPr="00A23740" w:rsidRDefault="00AA5C8C" w:rsidP="009431FF">
            <w:pPr>
              <w:tabs>
                <w:tab w:val="left" w:pos="567"/>
              </w:tabs>
              <w:rPr>
                <w:szCs w:val="24"/>
              </w:rPr>
            </w:pPr>
          </w:p>
          <w:p w:rsidR="00AA5C8C" w:rsidRPr="00A23740" w:rsidRDefault="00277039" w:rsidP="009431FF">
            <w:pPr>
              <w:tabs>
                <w:tab w:val="left" w:pos="567"/>
              </w:tabs>
              <w:rPr>
                <w:szCs w:val="24"/>
              </w:rPr>
            </w:pPr>
            <w:r>
              <w:rPr>
                <w:rStyle w:val="KIRMIZIChar"/>
                <w:rFonts w:eastAsia="Calibri"/>
                <w:strike w:val="0"/>
              </w:rPr>
              <w:t>(M.258/F3.C</w:t>
            </w:r>
            <w:r w:rsidR="00AA5C8C" w:rsidRPr="00A23740">
              <w:rPr>
                <w:rStyle w:val="KIRMIZIChar"/>
                <w:rFonts w:eastAsia="Calibri"/>
                <w:strike w:val="0"/>
              </w:rPr>
              <w:t>3)</w:t>
            </w:r>
            <w:r w:rsidR="00AA5C8C" w:rsidRPr="00A23740">
              <w:rPr>
                <w:szCs w:val="24"/>
              </w:rPr>
              <w:t xml:space="preserve"> </w:t>
            </w:r>
            <w:r w:rsidR="00AA5C8C" w:rsidRPr="00A23740">
              <w:rPr>
                <w:rStyle w:val="KIRMIZIChar"/>
                <w:rFonts w:eastAsia="Calibri"/>
              </w:rPr>
              <w:t>Bölge adliye mahkemesi bu başvuruları</w:t>
            </w:r>
            <w:r w:rsidR="00AA5C8C" w:rsidRPr="00A23740">
              <w:rPr>
                <w:szCs w:val="24"/>
              </w:rPr>
              <w:t xml:space="preserve"> </w:t>
            </w:r>
            <w:r w:rsidR="00AA5C8C" w:rsidRPr="00A23740">
              <w:rPr>
                <w:rStyle w:val="KIRMIZIChar"/>
                <w:rFonts w:eastAsia="Calibri"/>
              </w:rPr>
              <w:t>öncelikle</w:t>
            </w:r>
            <w:r w:rsidR="00AA5C8C" w:rsidRPr="00A23740">
              <w:rPr>
                <w:szCs w:val="24"/>
              </w:rPr>
              <w:t xml:space="preserve"> </w:t>
            </w:r>
            <w:r w:rsidR="00AA5C8C" w:rsidRPr="00A23740">
              <w:rPr>
                <w:rStyle w:val="KIRMIZIChar"/>
                <w:rFonts w:eastAsia="Calibri"/>
              </w:rPr>
              <w:t>inceler ve verdiği karar kesindir.</w:t>
            </w:r>
          </w:p>
        </w:tc>
        <w:tc>
          <w:tcPr>
            <w:tcW w:w="2500" w:type="pct"/>
          </w:tcPr>
          <w:p w:rsidR="00AA5C8C" w:rsidRPr="00A23740" w:rsidRDefault="00AA5C8C" w:rsidP="009431FF">
            <w:pPr>
              <w:tabs>
                <w:tab w:val="left" w:pos="567"/>
              </w:tabs>
              <w:rPr>
                <w:b/>
                <w:szCs w:val="24"/>
              </w:rPr>
            </w:pPr>
            <w:r w:rsidRPr="00A23740">
              <w:rPr>
                <w:b/>
                <w:szCs w:val="24"/>
              </w:rPr>
              <w:t xml:space="preserve">İhtiyati haciz kararı </w:t>
            </w:r>
          </w:p>
          <w:p w:rsidR="003738D2" w:rsidRPr="00A23740" w:rsidRDefault="003B700B" w:rsidP="009431FF">
            <w:pPr>
              <w:rPr>
                <w:rFonts w:eastAsia="Times New Roman"/>
                <w:b/>
                <w:color w:val="0000FF"/>
                <w:szCs w:val="24"/>
                <w:lang w:eastAsia="tr-TR"/>
              </w:rPr>
            </w:pPr>
            <w:r w:rsidRPr="00A23740">
              <w:rPr>
                <w:rStyle w:val="MaviChar"/>
                <w:lang w:val="tr-TR"/>
              </w:rPr>
              <w:t>MADDE 454</w:t>
            </w:r>
            <w:r w:rsidR="00AA5C8C" w:rsidRPr="00A23740">
              <w:rPr>
                <w:rStyle w:val="MaviChar"/>
                <w:lang w:val="tr-TR"/>
              </w:rPr>
              <w:t>- (1</w:t>
            </w:r>
            <w:r w:rsidR="00AA5C8C" w:rsidRPr="00A23740">
              <w:rPr>
                <w:rFonts w:eastAsia="Times New Roman"/>
                <w:b/>
                <w:color w:val="0000FF"/>
                <w:szCs w:val="24"/>
                <w:lang w:eastAsia="tr-TR"/>
              </w:rPr>
              <w:t>)</w:t>
            </w:r>
            <w:r w:rsidR="00AA5C8C" w:rsidRPr="00A23740">
              <w:rPr>
                <w:b/>
                <w:szCs w:val="24"/>
              </w:rPr>
              <w:t xml:space="preserve"> </w:t>
            </w:r>
            <w:r w:rsidR="00AA5C8C" w:rsidRPr="00A23740">
              <w:rPr>
                <w:szCs w:val="24"/>
              </w:rPr>
              <w:t>İhtiyati hac</w:t>
            </w:r>
            <w:r w:rsidR="00AA5C8C" w:rsidRPr="00A23740">
              <w:rPr>
                <w:rStyle w:val="MaviChar"/>
                <w:lang w:val="tr-TR"/>
              </w:rPr>
              <w:t xml:space="preserve">iz, </w:t>
            </w:r>
            <w:r w:rsidR="00AA5C8C" w:rsidRPr="00A23740">
              <w:rPr>
                <w:rFonts w:eastAsia="Times New Roman"/>
                <w:b/>
                <w:color w:val="0000FF"/>
                <w:szCs w:val="24"/>
                <w:lang w:eastAsia="tr-TR"/>
              </w:rPr>
              <w:t xml:space="preserve">dava açılmadan önce, Hukuk Muhakemeleri Kanununun göreve ve yetkiye dair hükümleri </w:t>
            </w:r>
            <w:r w:rsidR="007C4E36" w:rsidRPr="0078798F">
              <w:rPr>
                <w:rStyle w:val="MaviChar"/>
              </w:rPr>
              <w:t>kıyasen</w:t>
            </w:r>
            <w:r w:rsidR="007C4E36" w:rsidRPr="00A23740">
              <w:rPr>
                <w:rFonts w:eastAsia="Times New Roman"/>
                <w:b/>
                <w:color w:val="0000FF"/>
                <w:szCs w:val="24"/>
                <w:lang w:eastAsia="tr-TR"/>
              </w:rPr>
              <w:t xml:space="preserve"> </w:t>
            </w:r>
            <w:r w:rsidR="00AA5C8C" w:rsidRPr="00A23740">
              <w:rPr>
                <w:rFonts w:eastAsia="Times New Roman"/>
                <w:b/>
                <w:color w:val="0000FF"/>
                <w:szCs w:val="24"/>
                <w:lang w:eastAsia="tr-TR"/>
              </w:rPr>
              <w:t xml:space="preserve">uygulanarak belirlenen mahkemeden istenir; dava açıldıktan sonra ise ancak asıl davanın görüldüğü mahkemeden talep edilebilir. </w:t>
            </w:r>
          </w:p>
          <w:p w:rsidR="003738D2" w:rsidRPr="00A23740" w:rsidRDefault="003738D2" w:rsidP="009431FF">
            <w:pPr>
              <w:rPr>
                <w:rFonts w:eastAsia="Times New Roman"/>
                <w:b/>
                <w:color w:val="0000FF"/>
                <w:szCs w:val="24"/>
                <w:lang w:eastAsia="tr-TR"/>
              </w:rPr>
            </w:pPr>
          </w:p>
          <w:p w:rsidR="00AA5C8C" w:rsidRPr="00A23740" w:rsidRDefault="003738D2" w:rsidP="009431FF">
            <w:pPr>
              <w:rPr>
                <w:rFonts w:eastAsia="Times New Roman"/>
                <w:b/>
                <w:color w:val="FF0000"/>
                <w:szCs w:val="24"/>
                <w:lang w:eastAsia="tr-TR"/>
              </w:rPr>
            </w:pPr>
            <w:r w:rsidRPr="00A23740">
              <w:rPr>
                <w:rFonts w:eastAsia="Times New Roman"/>
                <w:b/>
                <w:color w:val="0000FF"/>
                <w:szCs w:val="24"/>
                <w:lang w:eastAsia="tr-TR"/>
              </w:rPr>
              <w:t xml:space="preserve">(2) </w:t>
            </w:r>
            <w:r w:rsidR="00AA5C8C" w:rsidRPr="00A23740">
              <w:rPr>
                <w:rFonts w:eastAsia="Times New Roman"/>
                <w:b/>
                <w:color w:val="0000FF"/>
                <w:szCs w:val="24"/>
                <w:lang w:eastAsia="tr-TR"/>
              </w:rPr>
              <w:t>Mahkeme ancak alacaklı</w:t>
            </w:r>
            <w:r w:rsidRPr="00A23740">
              <w:rPr>
                <w:rStyle w:val="YELChar"/>
              </w:rPr>
              <w:t>,</w:t>
            </w:r>
            <w:r w:rsidR="00AA5C8C" w:rsidRPr="00A23740">
              <w:rPr>
                <w:rFonts w:eastAsia="Times New Roman"/>
                <w:b/>
                <w:color w:val="0000FF"/>
                <w:szCs w:val="24"/>
                <w:lang w:eastAsia="tr-TR"/>
              </w:rPr>
              <w:t xml:space="preserve"> alacağının ve ihtiyati haciz sebebinin varlığını yaklaşık olarak ispatladığı takdirde ihtiyati haciz kararı verebilir.</w:t>
            </w:r>
          </w:p>
          <w:p w:rsidR="00AA5C8C" w:rsidRPr="00A23740" w:rsidRDefault="00AA5C8C" w:rsidP="009431FF">
            <w:pPr>
              <w:tabs>
                <w:tab w:val="left" w:pos="567"/>
              </w:tabs>
              <w:rPr>
                <w:szCs w:val="24"/>
              </w:rPr>
            </w:pPr>
          </w:p>
          <w:p w:rsidR="00AA5C8C" w:rsidRPr="00A23740" w:rsidRDefault="003738D2" w:rsidP="009431FF">
            <w:pPr>
              <w:tabs>
                <w:tab w:val="left" w:pos="567"/>
              </w:tabs>
              <w:rPr>
                <w:szCs w:val="24"/>
              </w:rPr>
            </w:pPr>
            <w:r w:rsidRPr="00A23740">
              <w:rPr>
                <w:rFonts w:eastAsia="Times New Roman"/>
                <w:b/>
                <w:color w:val="0000FF"/>
                <w:szCs w:val="24"/>
                <w:lang w:eastAsia="tr-TR"/>
              </w:rPr>
              <w:t>(3</w:t>
            </w:r>
            <w:r w:rsidR="00AA5C8C" w:rsidRPr="00A23740">
              <w:rPr>
                <w:rFonts w:eastAsia="Times New Roman"/>
                <w:b/>
                <w:color w:val="0000FF"/>
                <w:szCs w:val="24"/>
                <w:lang w:eastAsia="tr-TR"/>
              </w:rPr>
              <w:t xml:space="preserve">) Mahkeme, gerektiğinde tarafları dinlemeden de </w:t>
            </w:r>
            <w:r w:rsidR="00AA5C8C" w:rsidRPr="00A23740">
              <w:rPr>
                <w:rStyle w:val="MaviChar"/>
              </w:rPr>
              <w:t>ihtiyati hacze</w:t>
            </w:r>
            <w:r w:rsidR="00AA5C8C" w:rsidRPr="00A23740">
              <w:rPr>
                <w:rFonts w:eastAsia="Times New Roman"/>
                <w:b/>
                <w:color w:val="0000FF"/>
                <w:szCs w:val="24"/>
                <w:lang w:eastAsia="tr-TR"/>
              </w:rPr>
              <w:t xml:space="preserve"> karar verebilir.</w:t>
            </w:r>
          </w:p>
          <w:p w:rsidR="00AA5C8C" w:rsidRPr="00A23740" w:rsidRDefault="00AA5C8C" w:rsidP="009431FF">
            <w:pPr>
              <w:tabs>
                <w:tab w:val="left" w:pos="567"/>
              </w:tabs>
              <w:rPr>
                <w:szCs w:val="24"/>
              </w:rPr>
            </w:pPr>
          </w:p>
          <w:p w:rsidR="00AA5C8C" w:rsidRPr="00A23740" w:rsidRDefault="003738D2" w:rsidP="009431FF">
            <w:pPr>
              <w:tabs>
                <w:tab w:val="left" w:pos="567"/>
              </w:tabs>
              <w:rPr>
                <w:szCs w:val="24"/>
              </w:rPr>
            </w:pPr>
            <w:r w:rsidRPr="00A23740">
              <w:rPr>
                <w:rFonts w:eastAsia="Times New Roman"/>
                <w:b/>
                <w:color w:val="0000FF"/>
                <w:szCs w:val="24"/>
                <w:lang w:eastAsia="tr-TR"/>
              </w:rPr>
              <w:t>(4</w:t>
            </w:r>
            <w:r w:rsidR="00AA5C8C" w:rsidRPr="00A23740">
              <w:rPr>
                <w:rFonts w:eastAsia="Times New Roman"/>
                <w:b/>
                <w:color w:val="0000FF"/>
                <w:szCs w:val="24"/>
                <w:lang w:eastAsia="tr-TR"/>
              </w:rPr>
              <w:t>)</w:t>
            </w:r>
            <w:r w:rsidR="00AA5C8C" w:rsidRPr="00A23740">
              <w:rPr>
                <w:szCs w:val="24"/>
              </w:rPr>
              <w:t xml:space="preserve"> İhtiyati haciz talebinin reddi kararı gerekçeli olarak verilir ve bu karara karşı istinaf yoluna başvurulabilir. Yüzüne karşı aleyhinde ihtiyati haciz kararı verilen taraf da istinaf yoluna başvurabilir. </w:t>
            </w:r>
            <w:r w:rsidR="00AA5C8C" w:rsidRPr="00A23740">
              <w:rPr>
                <w:rStyle w:val="MaviChar"/>
              </w:rPr>
              <w:t>Bu durumda bölge adliye mahkemesine ihtiyati hacze ilişkin dosya ve delillerin sadece örnekleri gönderilir. İstinaf yoluna başvurulması ihtiyati haciz kararının icrasını durdurmaz.</w:t>
            </w:r>
          </w:p>
          <w:p w:rsidR="00AA5C8C" w:rsidRPr="00A23740" w:rsidRDefault="00AA5C8C" w:rsidP="009431FF">
            <w:pPr>
              <w:tabs>
                <w:tab w:val="left" w:pos="567"/>
              </w:tabs>
              <w:rPr>
                <w:szCs w:val="24"/>
              </w:rPr>
            </w:pPr>
          </w:p>
          <w:p w:rsidR="00AA5C8C" w:rsidRPr="00A23740" w:rsidRDefault="003738D2" w:rsidP="009431FF">
            <w:pPr>
              <w:tabs>
                <w:tab w:val="left" w:pos="567"/>
              </w:tabs>
              <w:rPr>
                <w:szCs w:val="24"/>
              </w:rPr>
            </w:pPr>
            <w:r w:rsidRPr="00A23740">
              <w:rPr>
                <w:rFonts w:eastAsia="Times New Roman"/>
                <w:b/>
                <w:color w:val="0000FF"/>
                <w:szCs w:val="24"/>
                <w:lang w:eastAsia="tr-TR"/>
              </w:rPr>
              <w:t>(5</w:t>
            </w:r>
            <w:r w:rsidR="00AA5C8C" w:rsidRPr="00A23740">
              <w:rPr>
                <w:rFonts w:eastAsia="Times New Roman"/>
                <w:b/>
                <w:color w:val="0000FF"/>
                <w:szCs w:val="24"/>
                <w:lang w:eastAsia="tr-TR"/>
              </w:rPr>
              <w:t xml:space="preserve">) </w:t>
            </w:r>
            <w:r w:rsidR="00AA5C8C" w:rsidRPr="00A23740">
              <w:rPr>
                <w:rStyle w:val="MaviChar"/>
              </w:rPr>
              <w:t>Bizzat bölge adliye mahkemesince verilen ihtiyatî haczin kabulüne veya reddine ilişkin kararlar hakkında ise temyiz yoluna başvurulabilir. Bu durumda Yargıtaya ihtiyati hacze ilişkin dosya ve delillerin sadece örnekleri gönderilir. Temyize başvurulması ihtiyati haciz kararının icrasını durdurmaz.</w:t>
            </w:r>
          </w:p>
          <w:p w:rsidR="00AA5C8C" w:rsidRPr="00A23740" w:rsidRDefault="00AA5C8C" w:rsidP="009431FF">
            <w:pPr>
              <w:tabs>
                <w:tab w:val="left" w:pos="567"/>
              </w:tabs>
              <w:rPr>
                <w:szCs w:val="24"/>
              </w:rPr>
            </w:pPr>
          </w:p>
          <w:p w:rsidR="00AA5C8C" w:rsidRPr="00A23740" w:rsidRDefault="003738D2" w:rsidP="009431FF">
            <w:pPr>
              <w:tabs>
                <w:tab w:val="left" w:pos="567"/>
              </w:tabs>
              <w:rPr>
                <w:szCs w:val="24"/>
              </w:rPr>
            </w:pPr>
            <w:r w:rsidRPr="00A23740">
              <w:rPr>
                <w:rFonts w:eastAsia="Times New Roman"/>
                <w:b/>
                <w:color w:val="0000FF"/>
                <w:szCs w:val="24"/>
                <w:lang w:eastAsia="tr-TR"/>
              </w:rPr>
              <w:t>(6</w:t>
            </w:r>
            <w:r w:rsidR="00AA5C8C" w:rsidRPr="00A23740">
              <w:rPr>
                <w:rFonts w:eastAsia="Times New Roman"/>
                <w:b/>
                <w:color w:val="0000FF"/>
                <w:szCs w:val="24"/>
                <w:lang w:eastAsia="tr-TR"/>
              </w:rPr>
              <w:t>)</w:t>
            </w:r>
            <w:r w:rsidR="00AA5C8C" w:rsidRPr="00A23740">
              <w:rPr>
                <w:szCs w:val="24"/>
              </w:rPr>
              <w:t xml:space="preserve"> </w:t>
            </w:r>
            <w:r w:rsidR="00AA5C8C" w:rsidRPr="00A23740">
              <w:rPr>
                <w:rStyle w:val="MaviChar"/>
              </w:rPr>
              <w:t xml:space="preserve">Bu </w:t>
            </w:r>
            <w:r w:rsidR="00B5357E" w:rsidRPr="0078798F">
              <w:rPr>
                <w:rStyle w:val="MaviChar"/>
              </w:rPr>
              <w:t>maddeye göre yapılan</w:t>
            </w:r>
            <w:r w:rsidR="00B5357E" w:rsidRPr="00A23740">
              <w:rPr>
                <w:rStyle w:val="MaviChar"/>
                <w:lang w:val="tr-TR"/>
              </w:rPr>
              <w:t xml:space="preserve"> </w:t>
            </w:r>
            <w:r w:rsidR="00AA5C8C" w:rsidRPr="00A23740">
              <w:rPr>
                <w:rStyle w:val="MaviChar"/>
              </w:rPr>
              <w:t>kanun yolu başvuruları öncelikle incelenir ve kesin olarak karara bağlanır.</w:t>
            </w:r>
            <w:r w:rsidR="00AA5C8C" w:rsidRPr="00A23740">
              <w:rPr>
                <w:szCs w:val="24"/>
              </w:rPr>
              <w:t xml:space="preserve"> </w:t>
            </w:r>
          </w:p>
          <w:p w:rsidR="00AA5C8C" w:rsidRPr="00A23740" w:rsidRDefault="00AA5C8C" w:rsidP="009431FF">
            <w:pPr>
              <w:rPr>
                <w:b/>
                <w:szCs w:val="24"/>
              </w:rPr>
            </w:pPr>
          </w:p>
        </w:tc>
      </w:tr>
      <w:tr w:rsidR="00BD7568" w:rsidRPr="00A23740" w:rsidTr="009431FF">
        <w:tc>
          <w:tcPr>
            <w:tcW w:w="5000" w:type="pct"/>
            <w:gridSpan w:val="2"/>
            <w:shd w:val="clear" w:color="auto" w:fill="DEEAF6"/>
          </w:tcPr>
          <w:p w:rsidR="00E64249" w:rsidRPr="00A23740" w:rsidRDefault="00E64249" w:rsidP="009431FF">
            <w:pPr>
              <w:tabs>
                <w:tab w:val="left" w:pos="567"/>
              </w:tabs>
              <w:ind w:firstLine="709"/>
              <w:rPr>
                <w:b/>
                <w:bCs/>
                <w:szCs w:val="24"/>
                <w:lang w:eastAsia="x-none"/>
              </w:rPr>
            </w:pPr>
          </w:p>
          <w:p w:rsidR="00C64308" w:rsidRPr="00A23740" w:rsidRDefault="00BD7568" w:rsidP="009431FF">
            <w:pPr>
              <w:tabs>
                <w:tab w:val="left" w:pos="567"/>
              </w:tabs>
              <w:ind w:firstLine="709"/>
              <w:rPr>
                <w:b/>
                <w:szCs w:val="24"/>
              </w:rPr>
            </w:pPr>
            <w:r w:rsidRPr="00A23740">
              <w:rPr>
                <w:b/>
                <w:bCs/>
                <w:szCs w:val="24"/>
                <w:lang w:eastAsia="x-none"/>
              </w:rPr>
              <w:t xml:space="preserve">MADDE </w:t>
            </w:r>
            <w:r w:rsidR="003B700B" w:rsidRPr="00A23740">
              <w:rPr>
                <w:b/>
                <w:bCs/>
                <w:szCs w:val="24"/>
                <w:lang w:eastAsia="x-none"/>
              </w:rPr>
              <w:t>454</w:t>
            </w:r>
            <w:r w:rsidRPr="00A23740">
              <w:rPr>
                <w:b/>
                <w:bCs/>
                <w:szCs w:val="24"/>
                <w:lang w:eastAsia="x-none"/>
              </w:rPr>
              <w:t xml:space="preserve">- </w:t>
            </w:r>
            <w:r w:rsidR="00C64308" w:rsidRPr="00A23740">
              <w:rPr>
                <w:bCs/>
                <w:szCs w:val="24"/>
                <w:lang w:eastAsia="x-none"/>
              </w:rPr>
              <w:t xml:space="preserve">Maddeyle, </w:t>
            </w:r>
            <w:r w:rsidR="00C64308" w:rsidRPr="00A23740">
              <w:rPr>
                <w:szCs w:val="24"/>
              </w:rPr>
              <w:t>ihtiyati haciz kararına ilişkin hususlar düzenlenmektedir.</w:t>
            </w:r>
            <w:r w:rsidR="00C64308" w:rsidRPr="00A23740">
              <w:rPr>
                <w:b/>
                <w:szCs w:val="24"/>
              </w:rPr>
              <w:t xml:space="preserve"> </w:t>
            </w:r>
            <w:r w:rsidR="00C64308" w:rsidRPr="00A23740">
              <w:rPr>
                <w:szCs w:val="24"/>
              </w:rPr>
              <w:t>Hüküm, 2004 sayılı Kanunun 258 inci maddesine karşılık gelmektedir.</w:t>
            </w:r>
          </w:p>
          <w:p w:rsidR="009229B3" w:rsidRPr="00A23740" w:rsidRDefault="009229B3" w:rsidP="009431FF">
            <w:pPr>
              <w:tabs>
                <w:tab w:val="left" w:pos="567"/>
              </w:tabs>
              <w:ind w:firstLine="709"/>
              <w:rPr>
                <w:bCs/>
                <w:szCs w:val="24"/>
                <w:lang w:eastAsia="x-none"/>
              </w:rPr>
            </w:pPr>
            <w:r w:rsidRPr="00A23740">
              <w:rPr>
                <w:bCs/>
                <w:szCs w:val="24"/>
                <w:lang w:eastAsia="x-none"/>
              </w:rPr>
              <w:t>Maddenin birinci fıkrasıyla</w:t>
            </w:r>
            <w:r w:rsidR="00CA705D" w:rsidRPr="00A23740">
              <w:rPr>
                <w:bCs/>
                <w:szCs w:val="24"/>
                <w:lang w:eastAsia="x-none"/>
              </w:rPr>
              <w:t>,</w:t>
            </w:r>
            <w:r w:rsidRPr="00A23740">
              <w:rPr>
                <w:bCs/>
                <w:szCs w:val="24"/>
                <w:lang w:eastAsia="x-none"/>
              </w:rPr>
              <w:t xml:space="preserve"> dava açılmadan önce yapılacak ihtiyati haciz talebi bakımından görevli ve yetkili mahkemenin ihtiyati hacze konu alacağın dava edilebileceği mahkeme olduğu açıklığa kavuşturularak taraflar arasındaki hukuki ilişkiyle ilgisi bulunmayan bir mahkemeden ihtiyati haciz talep edilmesinin önüne geçilmiştir.</w:t>
            </w:r>
          </w:p>
          <w:p w:rsidR="009229B3" w:rsidRPr="00A23740" w:rsidRDefault="009229B3" w:rsidP="009431FF">
            <w:pPr>
              <w:tabs>
                <w:tab w:val="left" w:pos="567"/>
              </w:tabs>
              <w:ind w:firstLine="709"/>
              <w:rPr>
                <w:bCs/>
                <w:szCs w:val="24"/>
                <w:lang w:eastAsia="x-none"/>
              </w:rPr>
            </w:pPr>
            <w:r w:rsidRPr="00A23740">
              <w:rPr>
                <w:bCs/>
                <w:szCs w:val="24"/>
                <w:lang w:eastAsia="x-none"/>
              </w:rPr>
              <w:t xml:space="preserve">Mahkemenin ihtiyati haciz kararı verebilmesi için alacağın ve ihtiyati haciz sebebinin yaklaşık olarak ispat edilmesi, başka bir deyişle </w:t>
            </w:r>
            <w:r w:rsidR="00CA705D" w:rsidRPr="00A23740">
              <w:rPr>
                <w:bCs/>
                <w:szCs w:val="24"/>
                <w:lang w:eastAsia="x-none"/>
              </w:rPr>
              <w:t xml:space="preserve">gerçeğe </w:t>
            </w:r>
            <w:r w:rsidRPr="00A23740">
              <w:rPr>
                <w:bCs/>
                <w:szCs w:val="24"/>
                <w:lang w:eastAsia="x-none"/>
              </w:rPr>
              <w:t xml:space="preserve">yakın bir şekilde gösterilmesi gereklidir. Ancak işin mahiyeti icabı bu noktada hâkimde tam bir vicdani kanaat oluşturulması beklenemez. Mahkeme, ihtiyati haciz talep eden ile aleyhine ihtiyati haciz talep edileni dinlemeden de karar verebilir. </w:t>
            </w:r>
          </w:p>
          <w:p w:rsidR="009229B3" w:rsidRPr="00A23740" w:rsidRDefault="009229B3" w:rsidP="009431FF">
            <w:pPr>
              <w:tabs>
                <w:tab w:val="left" w:pos="567"/>
              </w:tabs>
              <w:ind w:firstLine="709"/>
              <w:rPr>
                <w:bCs/>
                <w:szCs w:val="24"/>
                <w:lang w:eastAsia="x-none"/>
              </w:rPr>
            </w:pPr>
            <w:r w:rsidRPr="00A23740">
              <w:rPr>
                <w:bCs/>
                <w:szCs w:val="24"/>
                <w:lang w:eastAsia="x-none"/>
              </w:rPr>
              <w:t xml:space="preserve">Maddenin </w:t>
            </w:r>
            <w:r w:rsidR="00B5357E" w:rsidRPr="0078798F">
              <w:t>beşinci</w:t>
            </w:r>
            <w:r w:rsidR="00B5357E" w:rsidRPr="00A23740">
              <w:rPr>
                <w:bCs/>
                <w:szCs w:val="24"/>
                <w:lang w:eastAsia="x-none"/>
              </w:rPr>
              <w:t xml:space="preserve"> </w:t>
            </w:r>
            <w:r w:rsidRPr="00A23740">
              <w:rPr>
                <w:bCs/>
                <w:szCs w:val="24"/>
                <w:lang w:eastAsia="x-none"/>
              </w:rPr>
              <w:t>fıkrasında ilk defa bölge adliye mahkemesi tarafından ihtiyati hac</w:t>
            </w:r>
            <w:r w:rsidR="0096478A" w:rsidRPr="00A23740">
              <w:rPr>
                <w:bCs/>
                <w:szCs w:val="24"/>
                <w:lang w:eastAsia="x-none"/>
              </w:rPr>
              <w:t>iz kararı verilmesi hâ</w:t>
            </w:r>
            <w:r w:rsidRPr="00A23740">
              <w:rPr>
                <w:bCs/>
                <w:szCs w:val="24"/>
                <w:lang w:eastAsia="x-none"/>
              </w:rPr>
              <w:t xml:space="preserve">linde bu kararın temyiz edilebilmesi esası benimsenmiştir. Böylece ihtiyati haciz bakımından uygulanacak ilke ve esasların belirlenmesi ve yeknesaklaştırılması amaçlanmaktadır. Temyiz yoluna başvuru ancak kararın temyizi kabil olması durumunda söz konusu olabilecektir. İlk derece mahkemesinin ihtiyati haciz talebini ret kararının bölge adliye mahkemesi tarafından kaldırılarak ihtiyati haciz kararı verilmesi hâlinde söz konusu fıkra hükmü uygulanmayacaktır. </w:t>
            </w:r>
          </w:p>
          <w:p w:rsidR="00BD7568" w:rsidRPr="00A23740" w:rsidRDefault="009229B3" w:rsidP="009431FF">
            <w:pPr>
              <w:tabs>
                <w:tab w:val="left" w:pos="567"/>
              </w:tabs>
              <w:ind w:firstLine="709"/>
              <w:rPr>
                <w:bCs/>
                <w:szCs w:val="24"/>
                <w:lang w:eastAsia="x-none"/>
              </w:rPr>
            </w:pPr>
            <w:r w:rsidRPr="00A23740">
              <w:rPr>
                <w:bCs/>
                <w:szCs w:val="24"/>
                <w:lang w:eastAsia="x-none"/>
              </w:rPr>
              <w:t xml:space="preserve">Alacaklı ihtiyati haciz talebinin reddi hâlinde, borçlu ise </w:t>
            </w:r>
            <w:r w:rsidR="00C27954" w:rsidRPr="0078798F">
              <w:t>Taslağın</w:t>
            </w:r>
            <w:r w:rsidR="00C27954" w:rsidRPr="00A23740">
              <w:rPr>
                <w:bCs/>
                <w:szCs w:val="24"/>
                <w:lang w:eastAsia="x-none"/>
              </w:rPr>
              <w:t xml:space="preserve"> </w:t>
            </w:r>
            <w:r w:rsidR="00C27954" w:rsidRPr="0078798F">
              <w:t>460 ıncı</w:t>
            </w:r>
            <w:r w:rsidRPr="00A23740">
              <w:rPr>
                <w:bCs/>
                <w:szCs w:val="24"/>
                <w:lang w:eastAsia="x-none"/>
              </w:rPr>
              <w:t xml:space="preserve"> maddesinde öngörülen itiraz yoluna başvurduktan sonra kanun yoluna başvurabilir. Kanun yoluna başvuru</w:t>
            </w:r>
            <w:r w:rsidR="00CA705D" w:rsidRPr="00A23740">
              <w:rPr>
                <w:bCs/>
                <w:szCs w:val="24"/>
                <w:lang w:eastAsia="x-none"/>
              </w:rPr>
              <w:t>,</w:t>
            </w:r>
            <w:r w:rsidRPr="00A23740">
              <w:rPr>
                <w:bCs/>
                <w:szCs w:val="24"/>
                <w:lang w:eastAsia="x-none"/>
              </w:rPr>
              <w:t xml:space="preserve"> kararın icrasını durdurmaz. Söz konusu kanun yolu başvuruları öncelikle incelenir ve kesin olarak karara bağlanır. Bunun bir sonucu olarak </w:t>
            </w:r>
            <w:r w:rsidR="00B5357E" w:rsidRPr="0078798F">
              <w:t>altıncı</w:t>
            </w:r>
            <w:r w:rsidR="00B5357E" w:rsidRPr="00A23740">
              <w:rPr>
                <w:bCs/>
                <w:szCs w:val="24"/>
                <w:lang w:eastAsia="x-none"/>
              </w:rPr>
              <w:t xml:space="preserve"> </w:t>
            </w:r>
            <w:r w:rsidRPr="00A23740">
              <w:rPr>
                <w:bCs/>
                <w:szCs w:val="24"/>
                <w:lang w:eastAsia="x-none"/>
              </w:rPr>
              <w:t>fıkra çerçevesinde Yargıtay tarafından verilen karara karşı direnmek mümkün değildir.</w:t>
            </w:r>
          </w:p>
          <w:p w:rsidR="00BD7568" w:rsidRPr="00A23740" w:rsidRDefault="00BD756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b/>
                <w:szCs w:val="24"/>
              </w:rPr>
              <w:t xml:space="preserve">İhtiyati hacizde teminat </w:t>
            </w:r>
            <w:r w:rsidRPr="00A23740">
              <w:rPr>
                <w:b/>
                <w:strike/>
                <w:color w:val="FF0000"/>
                <w:szCs w:val="24"/>
              </w:rPr>
              <w:t>:</w:t>
            </w:r>
          </w:p>
          <w:p w:rsidR="00AA5C8C" w:rsidRPr="00A23740" w:rsidRDefault="00AA5C8C" w:rsidP="009431FF">
            <w:pPr>
              <w:tabs>
                <w:tab w:val="left" w:pos="567"/>
              </w:tabs>
              <w:rPr>
                <w:b/>
                <w:szCs w:val="24"/>
              </w:rPr>
            </w:pPr>
            <w:r w:rsidRPr="00A23740">
              <w:rPr>
                <w:rStyle w:val="KIRMIZIChar"/>
                <w:rFonts w:eastAsia="Calibri"/>
              </w:rPr>
              <w:t>Madde 259 – (1) (</w:t>
            </w:r>
            <w:r w:rsidRPr="00A23740">
              <w:rPr>
                <w:b/>
                <w:strike/>
                <w:color w:val="FF0000"/>
                <w:szCs w:val="24"/>
              </w:rPr>
              <w:t>Değişik: 3/7/1940 - 3890/1 md.)</w:t>
            </w:r>
          </w:p>
          <w:p w:rsidR="00AA5C8C" w:rsidRPr="00A23740" w:rsidRDefault="00AA5C8C" w:rsidP="009431FF">
            <w:pPr>
              <w:rPr>
                <w:rStyle w:val="KIRMIZIChar"/>
                <w:rFonts w:eastAsia="Calibri"/>
              </w:rPr>
            </w:pPr>
            <w:r w:rsidRPr="00A23740">
              <w:t xml:space="preserve">İhtiyati haciz </w:t>
            </w:r>
            <w:r w:rsidRPr="00A23740">
              <w:rPr>
                <w:rStyle w:val="KIRMIZIChar"/>
                <w:rFonts w:eastAsia="Calibri"/>
              </w:rPr>
              <w:t>istiyen alacaklı</w:t>
            </w:r>
            <w:r w:rsidRPr="00A23740">
              <w:t xml:space="preserve"> </w:t>
            </w:r>
            <w:r w:rsidRPr="00A23740">
              <w:rPr>
                <w:rStyle w:val="KIRMIZIChar"/>
                <w:rFonts w:eastAsia="Calibri"/>
              </w:rPr>
              <w:t>hacizde</w:t>
            </w:r>
            <w:r w:rsidRPr="00A23740">
              <w:t xml:space="preserve"> haksız çıktığı taktirde </w:t>
            </w:r>
            <w:r w:rsidRPr="00A23740">
              <w:rPr>
                <w:rStyle w:val="KIRMIZIChar"/>
                <w:rFonts w:eastAsia="Calibri"/>
              </w:rPr>
              <w:t>borçlunun</w:t>
            </w:r>
            <w:r w:rsidRPr="00A23740">
              <w:t xml:space="preserve"> ve üçüncü </w:t>
            </w:r>
            <w:r w:rsidRPr="00A23740">
              <w:rPr>
                <w:rStyle w:val="KIRMIZIChar"/>
                <w:rFonts w:eastAsia="Calibri"/>
              </w:rPr>
              <w:t>şahsın</w:t>
            </w:r>
            <w:r w:rsidRPr="00A23740">
              <w:t xml:space="preserve"> bu yüzden uğrayacakları </w:t>
            </w:r>
            <w:r w:rsidRPr="00A23740">
              <w:rPr>
                <w:rStyle w:val="KIRMIZIChar"/>
                <w:rFonts w:eastAsia="Calibri"/>
              </w:rPr>
              <w:t>bütün zararlardan mesul ve Hukuk Usulü Muhakemeleri Kanununun 96 ncı maddesinde yazılı teminatı vermeğe mecburdur.</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rStyle w:val="KIRMIZIChar"/>
                <w:rFonts w:eastAsia="Calibri"/>
              </w:rPr>
              <w:t>(2)</w:t>
            </w:r>
            <w:r w:rsidRPr="00A23740">
              <w:rPr>
                <w:rFonts w:eastAsia="Times New Roman"/>
                <w:color w:val="000000"/>
                <w:szCs w:val="24"/>
                <w:lang w:eastAsia="tr-TR"/>
              </w:rPr>
              <w:t xml:space="preserve"> </w:t>
            </w:r>
            <w:r w:rsidRPr="00A23740">
              <w:rPr>
                <w:b/>
                <w:strike/>
                <w:color w:val="FF0000"/>
                <w:szCs w:val="24"/>
              </w:rPr>
              <w:t>Ancak</w:t>
            </w:r>
            <w:r w:rsidRPr="00A23740">
              <w:rPr>
                <w:b/>
                <w:color w:val="FF0000"/>
                <w:szCs w:val="24"/>
              </w:rPr>
              <w:t xml:space="preserve"> </w:t>
            </w:r>
            <w:r w:rsidRPr="00A23740">
              <w:t xml:space="preserve">alacak bir ilama </w:t>
            </w:r>
            <w:r w:rsidRPr="00A23740">
              <w:rPr>
                <w:rStyle w:val="KIRMIZIChar"/>
                <w:rFonts w:eastAsia="Calibri"/>
              </w:rPr>
              <w:t>müstenid</w:t>
            </w:r>
            <w:r w:rsidRPr="00A23740">
              <w:t xml:space="preserve"> ise teminat aranmaz.</w:t>
            </w:r>
          </w:p>
          <w:p w:rsidR="00AA5C8C" w:rsidRPr="00A23740" w:rsidRDefault="00AA5C8C" w:rsidP="009431FF">
            <w:pPr>
              <w:tabs>
                <w:tab w:val="left" w:pos="567"/>
              </w:tabs>
              <w:rPr>
                <w:b/>
                <w:strike/>
                <w:color w:val="FF0000"/>
                <w:szCs w:val="24"/>
              </w:rPr>
            </w:pPr>
            <w:r w:rsidRPr="00A23740">
              <w:rPr>
                <w:rStyle w:val="KIRMIZIChar"/>
                <w:rFonts w:eastAsia="Calibri"/>
              </w:rPr>
              <w:t>(3)</w:t>
            </w:r>
            <w:r w:rsidRPr="00A23740">
              <w:rPr>
                <w:rFonts w:eastAsia="Times New Roman"/>
                <w:color w:val="000000"/>
                <w:szCs w:val="24"/>
                <w:lang w:eastAsia="tr-TR"/>
              </w:rPr>
              <w:t xml:space="preserve"> </w:t>
            </w:r>
            <w:r w:rsidRPr="00A23740">
              <w:t>Alacak ilam</w:t>
            </w:r>
            <w:r w:rsidRPr="00A23740">
              <w:rPr>
                <w:b/>
                <w:color w:val="FF0000"/>
                <w:szCs w:val="24"/>
              </w:rPr>
              <w:t xml:space="preserve"> </w:t>
            </w:r>
            <w:r w:rsidRPr="00A23740">
              <w:rPr>
                <w:rStyle w:val="KIRMIZIChar"/>
                <w:rFonts w:eastAsia="Calibri"/>
              </w:rPr>
              <w:t>mahiyetinde</w:t>
            </w:r>
            <w:r w:rsidRPr="00A23740">
              <w:rPr>
                <w:b/>
                <w:color w:val="FF0000"/>
                <w:szCs w:val="24"/>
              </w:rPr>
              <w:t xml:space="preserve"> </w:t>
            </w:r>
            <w:r w:rsidRPr="00A23740">
              <w:t xml:space="preserve">bir </w:t>
            </w:r>
            <w:r w:rsidRPr="00A23740">
              <w:rPr>
                <w:rStyle w:val="KIRMIZIChar"/>
                <w:rFonts w:eastAsia="Calibri"/>
              </w:rPr>
              <w:t>vesikaya</w:t>
            </w:r>
            <w:r w:rsidRPr="00A23740">
              <w:rPr>
                <w:b/>
                <w:strike/>
                <w:color w:val="FF0000"/>
                <w:szCs w:val="24"/>
              </w:rPr>
              <w:t xml:space="preserve"> müstenid ise</w:t>
            </w:r>
            <w:r w:rsidRPr="00A23740">
              <w:t xml:space="preserve"> mahkeme</w:t>
            </w:r>
            <w:r w:rsidRPr="00A23740">
              <w:rPr>
                <w:b/>
                <w:strike/>
                <w:color w:val="FF0000"/>
                <w:szCs w:val="24"/>
              </w:rPr>
              <w:t xml:space="preserve"> </w:t>
            </w:r>
            <w:r w:rsidRPr="00A23740">
              <w:t>teminat</w:t>
            </w:r>
            <w:r w:rsidRPr="00A23740">
              <w:rPr>
                <w:b/>
                <w:strike/>
                <w:color w:val="FF0000"/>
                <w:szCs w:val="24"/>
              </w:rPr>
              <w:t>a lüzum olup olmadığını takdir eder.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r w:rsidRPr="00A23740">
              <w:rPr>
                <w:rStyle w:val="KIRMIZIChar"/>
                <w:rFonts w:eastAsia="Calibri"/>
              </w:rPr>
              <w:t>(4)</w:t>
            </w:r>
            <w:r w:rsidRPr="00A23740">
              <w:rPr>
                <w:rFonts w:eastAsia="Times New Roman"/>
                <w:color w:val="000000"/>
                <w:szCs w:val="24"/>
                <w:lang w:eastAsia="tr-TR"/>
              </w:rPr>
              <w:t xml:space="preserve"> </w:t>
            </w:r>
            <w:r w:rsidRPr="00A23740">
              <w:rPr>
                <w:b/>
                <w:strike/>
                <w:color w:val="FF0000"/>
                <w:szCs w:val="24"/>
              </w:rPr>
              <w:t>Tazminat davası ihtiyati haczi koyan mahkemede dahi görülür.</w:t>
            </w: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AA5C8C" w:rsidRPr="00A23740" w:rsidRDefault="00AA5C8C" w:rsidP="009431FF">
            <w:pPr>
              <w:rPr>
                <w:b/>
                <w:szCs w:val="24"/>
              </w:rPr>
            </w:pPr>
          </w:p>
        </w:tc>
        <w:tc>
          <w:tcPr>
            <w:tcW w:w="2500" w:type="pct"/>
          </w:tcPr>
          <w:p w:rsidR="00AA5C8C" w:rsidRPr="00A23740" w:rsidRDefault="00AA5C8C" w:rsidP="009431FF">
            <w:pPr>
              <w:tabs>
                <w:tab w:val="left" w:pos="567"/>
              </w:tabs>
              <w:rPr>
                <w:b/>
                <w:szCs w:val="24"/>
              </w:rPr>
            </w:pPr>
            <w:r w:rsidRPr="00A23740">
              <w:rPr>
                <w:b/>
                <w:szCs w:val="24"/>
              </w:rPr>
              <w:t xml:space="preserve">İhtiyati hacizde teminat </w:t>
            </w:r>
          </w:p>
          <w:p w:rsidR="00AA5C8C" w:rsidRPr="00A23740" w:rsidRDefault="003B700B" w:rsidP="009431FF">
            <w:pPr>
              <w:tabs>
                <w:tab w:val="left" w:pos="567"/>
              </w:tabs>
              <w:rPr>
                <w:rFonts w:eastAsia="Times New Roman"/>
                <w:b/>
                <w:color w:val="0000FF"/>
                <w:szCs w:val="24"/>
                <w:lang w:eastAsia="tr-TR"/>
              </w:rPr>
            </w:pPr>
            <w:r w:rsidRPr="00A23740">
              <w:rPr>
                <w:rStyle w:val="MaviChar"/>
                <w:lang w:val="tr-TR"/>
              </w:rPr>
              <w:t>MADDE 455</w:t>
            </w:r>
            <w:r w:rsidR="00AA5C8C" w:rsidRPr="00A23740">
              <w:rPr>
                <w:rStyle w:val="MaviChar"/>
                <w:lang w:val="tr-TR"/>
              </w:rPr>
              <w:t>- (</w:t>
            </w:r>
            <w:r w:rsidR="00AA5C8C" w:rsidRPr="00A23740">
              <w:rPr>
                <w:rFonts w:eastAsia="Times New Roman"/>
                <w:b/>
                <w:color w:val="0000FF"/>
                <w:szCs w:val="24"/>
                <w:lang w:eastAsia="tr-TR"/>
              </w:rPr>
              <w:t xml:space="preserve">1) </w:t>
            </w:r>
            <w:r w:rsidR="00AA5C8C" w:rsidRPr="00A23740">
              <w:t xml:space="preserve">İhtiyati haciz </w:t>
            </w:r>
            <w:r w:rsidR="00AA5C8C" w:rsidRPr="00A23740">
              <w:rPr>
                <w:rStyle w:val="MaviChar"/>
              </w:rPr>
              <w:t>talep eden,</w:t>
            </w:r>
            <w:r w:rsidR="00AA5C8C" w:rsidRPr="00A23740">
              <w:t xml:space="preserve"> haksız çıktığı takdirde </w:t>
            </w:r>
            <w:r w:rsidR="00AA5C8C" w:rsidRPr="00A23740">
              <w:rPr>
                <w:rStyle w:val="MaviChar"/>
              </w:rPr>
              <w:t>karşı tarafın</w:t>
            </w:r>
            <w:r w:rsidR="00AA5C8C" w:rsidRPr="00A23740">
              <w:t xml:space="preserve"> ve üçüncü </w:t>
            </w:r>
            <w:r w:rsidR="00AA5C8C" w:rsidRPr="00A23740">
              <w:rPr>
                <w:rStyle w:val="MaviChar"/>
              </w:rPr>
              <w:t>kişilerin</w:t>
            </w:r>
            <w:r w:rsidR="00AA5C8C" w:rsidRPr="00A23740">
              <w:t xml:space="preserve"> bu yüzden uğrayacakları </w:t>
            </w:r>
            <w:r w:rsidR="00AA5C8C" w:rsidRPr="00A23740">
              <w:rPr>
                <w:rStyle w:val="MaviChar"/>
              </w:rPr>
              <w:t>muhtemel zararlara karşılık teminat göstermek zorundadır. Adli yardımdan yararlanan</w:t>
            </w:r>
            <w:r w:rsidR="00AA5C8C" w:rsidRPr="00A23740">
              <w:rPr>
                <w:rStyle w:val="MaviChar"/>
                <w:lang w:val="tr-TR"/>
              </w:rPr>
              <w:t xml:space="preserve"> </w:t>
            </w:r>
            <w:r w:rsidR="00AA5C8C" w:rsidRPr="00A23740">
              <w:rPr>
                <w:rStyle w:val="MaviChar"/>
              </w:rPr>
              <w:t>kişinin teminat göstermesi gerekmez.</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(2) Alacak bir ilama </w:t>
            </w:r>
            <w:r w:rsidRPr="00A23740">
              <w:t>dayanıyor</w:t>
            </w:r>
            <w:r w:rsidR="00AE3D8A" w:rsidRPr="0078798F">
              <w:rPr>
                <w:rStyle w:val="MaviChar"/>
              </w:rPr>
              <w:t>sa,</w:t>
            </w:r>
            <w:r w:rsidRPr="0078798F">
              <w:rPr>
                <w:rStyle w:val="MaviChar"/>
              </w:rPr>
              <w:t xml:space="preserve"> </w:t>
            </w:r>
            <w:r w:rsidRPr="00A23740">
              <w:rPr>
                <w:rFonts w:eastAsia="Times New Roman"/>
                <w:b/>
                <w:color w:val="0000FF"/>
                <w:szCs w:val="24"/>
                <w:lang w:eastAsia="tr-TR"/>
              </w:rPr>
              <w:t xml:space="preserve">teminat aranmaz. </w:t>
            </w:r>
            <w:r w:rsidRPr="00A23740">
              <w:t>Alacak ilam</w:t>
            </w:r>
            <w:r w:rsidRPr="00A23740">
              <w:rPr>
                <w:rFonts w:eastAsia="Times New Roman"/>
                <w:b/>
                <w:color w:val="0000FF"/>
                <w:szCs w:val="24"/>
                <w:lang w:eastAsia="tr-TR"/>
              </w:rPr>
              <w:t xml:space="preserve"> niteliğinde </w:t>
            </w:r>
            <w:r w:rsidRPr="00A23740">
              <w:t>bir</w:t>
            </w:r>
            <w:r w:rsidRPr="00A23740">
              <w:rPr>
                <w:rFonts w:eastAsia="Times New Roman"/>
                <w:b/>
                <w:color w:val="0000FF"/>
                <w:szCs w:val="24"/>
                <w:lang w:eastAsia="tr-TR"/>
              </w:rPr>
              <w:t xml:space="preserve"> belgeye dayanıyors</w:t>
            </w:r>
            <w:r w:rsidRPr="0078798F">
              <w:rPr>
                <w:rStyle w:val="MaviChar"/>
              </w:rPr>
              <w:t>a</w:t>
            </w:r>
            <w:r w:rsidR="00AE3D8A" w:rsidRPr="0078798F">
              <w:rPr>
                <w:rStyle w:val="MaviChar"/>
              </w:rPr>
              <w:t>,</w:t>
            </w:r>
            <w:r w:rsidRPr="00A23740">
              <w:rPr>
                <w:rFonts w:eastAsia="Times New Roman"/>
                <w:b/>
                <w:color w:val="0000FF"/>
                <w:szCs w:val="24"/>
                <w:lang w:eastAsia="tr-TR"/>
              </w:rPr>
              <w:t xml:space="preserve"> </w:t>
            </w:r>
            <w:r w:rsidRPr="00A23740">
              <w:t>mahkeme</w:t>
            </w:r>
            <w:r w:rsidRPr="00A23740">
              <w:rPr>
                <w:rFonts w:eastAsia="Times New Roman"/>
                <w:b/>
                <w:color w:val="0000FF"/>
                <w:szCs w:val="24"/>
                <w:lang w:eastAsia="tr-TR"/>
              </w:rPr>
              <w:t xml:space="preserve"> </w:t>
            </w:r>
            <w:r w:rsidRPr="00A23740">
              <w:t>teminat</w:t>
            </w:r>
            <w:r w:rsidRPr="00A23740">
              <w:rPr>
                <w:rFonts w:eastAsia="Times New Roman"/>
                <w:b/>
                <w:color w:val="0000FF"/>
                <w:szCs w:val="24"/>
                <w:lang w:eastAsia="tr-TR"/>
              </w:rPr>
              <w:t xml:space="preserve"> alınmamasına karar verebilir.</w:t>
            </w:r>
          </w:p>
          <w:p w:rsidR="00AA5C8C" w:rsidRPr="00A23740" w:rsidRDefault="00AA5C8C" w:rsidP="009431FF">
            <w:pPr>
              <w:tabs>
                <w:tab w:val="left" w:pos="567"/>
              </w:tabs>
              <w:rPr>
                <w:rFonts w:eastAsia="Times New Roman"/>
                <w:b/>
                <w:color w:val="FF0000"/>
                <w:szCs w:val="24"/>
                <w:lang w:eastAsia="tr-TR"/>
              </w:rPr>
            </w:pPr>
          </w:p>
          <w:p w:rsidR="00AA5C8C" w:rsidRPr="00A23740" w:rsidRDefault="00AA5C8C" w:rsidP="009431FF">
            <w:pPr>
              <w:tabs>
                <w:tab w:val="left" w:pos="567"/>
              </w:tabs>
              <w:rPr>
                <w:b/>
                <w:szCs w:val="24"/>
              </w:rPr>
            </w:pPr>
            <w:r w:rsidRPr="00A23740">
              <w:rPr>
                <w:rFonts w:eastAsia="Times New Roman"/>
                <w:b/>
                <w:color w:val="0000FF"/>
                <w:szCs w:val="24"/>
                <w:lang w:eastAsia="tr-TR"/>
              </w:rPr>
              <w:t>(3) Asıl davaya ilişkin hükmün kesinleşmesinden</w:t>
            </w:r>
            <w:r w:rsidRPr="00A23740">
              <w:rPr>
                <w:rStyle w:val="MaviChar"/>
              </w:rPr>
              <w:t>; ihtiyati haciz kararının kalkmasından; icra takibinin iptali</w:t>
            </w:r>
            <w:r w:rsidRPr="00A23740">
              <w:rPr>
                <w:rStyle w:val="MaviChar"/>
                <w:lang w:val="tr-TR"/>
              </w:rPr>
              <w:t>nden veya düşmesi</w:t>
            </w:r>
            <w:r w:rsidRPr="00A23740">
              <w:rPr>
                <w:rStyle w:val="MaviChar"/>
              </w:rPr>
              <w:t xml:space="preserve">nden </w:t>
            </w:r>
            <w:r w:rsidRPr="00A23740">
              <w:rPr>
                <w:rFonts w:eastAsia="Times New Roman"/>
                <w:b/>
                <w:color w:val="0000FF"/>
                <w:szCs w:val="24"/>
                <w:lang w:eastAsia="tr-TR"/>
              </w:rPr>
              <w:t xml:space="preserve">yahut icra takibinden vazgeçildiğinin borçluya tebliğ edilmesinden itibaren bir ay içinde </w:t>
            </w:r>
            <w:r w:rsidR="0096478A" w:rsidRPr="00A23740">
              <w:rPr>
                <w:rFonts w:eastAsia="Times New Roman"/>
                <w:b/>
                <w:color w:val="0000FF"/>
                <w:szCs w:val="24"/>
                <w:lang w:eastAsia="tr-TR"/>
              </w:rPr>
              <w:t>tazminat davasının açılmaması hâ</w:t>
            </w:r>
            <w:r w:rsidRPr="00A23740">
              <w:rPr>
                <w:rFonts w:eastAsia="Times New Roman"/>
                <w:b/>
                <w:color w:val="0000FF"/>
                <w:szCs w:val="24"/>
                <w:lang w:eastAsia="tr-TR"/>
              </w:rPr>
              <w:t>linde teminat iade edilir. Teminatın iadesine ilişkin kararlar kesindir.</w:t>
            </w:r>
          </w:p>
        </w:tc>
      </w:tr>
      <w:tr w:rsidR="00BD7568" w:rsidRPr="00A23740" w:rsidTr="009431FF">
        <w:tc>
          <w:tcPr>
            <w:tcW w:w="5000" w:type="pct"/>
            <w:gridSpan w:val="2"/>
            <w:shd w:val="clear" w:color="auto" w:fill="DEEAF6"/>
          </w:tcPr>
          <w:p w:rsidR="00E64249" w:rsidRPr="00A23740" w:rsidRDefault="00E64249" w:rsidP="009431FF">
            <w:pPr>
              <w:tabs>
                <w:tab w:val="left" w:pos="567"/>
              </w:tabs>
              <w:ind w:firstLine="709"/>
              <w:rPr>
                <w:b/>
                <w:bCs/>
                <w:szCs w:val="24"/>
                <w:lang w:eastAsia="x-none"/>
              </w:rPr>
            </w:pPr>
          </w:p>
          <w:p w:rsidR="000946E6" w:rsidRPr="00A23740" w:rsidRDefault="003B700B" w:rsidP="009431FF">
            <w:pPr>
              <w:tabs>
                <w:tab w:val="left" w:pos="567"/>
              </w:tabs>
              <w:ind w:firstLine="709"/>
              <w:rPr>
                <w:bCs/>
                <w:szCs w:val="24"/>
                <w:lang w:eastAsia="x-none"/>
              </w:rPr>
            </w:pPr>
            <w:r w:rsidRPr="00A23740">
              <w:rPr>
                <w:b/>
                <w:bCs/>
                <w:szCs w:val="24"/>
                <w:lang w:eastAsia="x-none"/>
              </w:rPr>
              <w:t>MADDE 455</w:t>
            </w:r>
            <w:r w:rsidR="00BD7568" w:rsidRPr="00A23740">
              <w:rPr>
                <w:b/>
                <w:bCs/>
                <w:szCs w:val="24"/>
                <w:lang w:eastAsia="x-none"/>
              </w:rPr>
              <w:t>-</w:t>
            </w:r>
            <w:r w:rsidR="00BD7568" w:rsidRPr="00A23740">
              <w:rPr>
                <w:bCs/>
                <w:szCs w:val="24"/>
                <w:lang w:eastAsia="x-none"/>
              </w:rPr>
              <w:t xml:space="preserve"> </w:t>
            </w:r>
            <w:r w:rsidR="000946E6" w:rsidRPr="00A23740">
              <w:rPr>
                <w:bCs/>
                <w:szCs w:val="24"/>
                <w:lang w:eastAsia="x-none"/>
              </w:rPr>
              <w:t>Maddeyle, ihtiyati hacizde teminata ilişkin hususlar düzenlenmektedir. Hüküm, 2004 sayılı Kanunun 259 uncu maddesine karşılık gelmektedir.</w:t>
            </w:r>
          </w:p>
          <w:p w:rsidR="00BD7568" w:rsidRPr="00A23740" w:rsidRDefault="009229B3" w:rsidP="009431FF">
            <w:pPr>
              <w:tabs>
                <w:tab w:val="left" w:pos="567"/>
              </w:tabs>
              <w:ind w:firstLine="709"/>
              <w:rPr>
                <w:b/>
                <w:bCs/>
                <w:szCs w:val="24"/>
                <w:lang w:eastAsia="x-none"/>
              </w:rPr>
            </w:pPr>
            <w:r w:rsidRPr="00A23740">
              <w:rPr>
                <w:bCs/>
                <w:szCs w:val="24"/>
                <w:lang w:eastAsia="x-none"/>
              </w:rPr>
              <w:t xml:space="preserve">Yaklaşık </w:t>
            </w:r>
            <w:r w:rsidRPr="0078798F">
              <w:t>ispat</w:t>
            </w:r>
            <w:r w:rsidR="00AE3D8A" w:rsidRPr="0078798F">
              <w:t>ın gerçekleştirilmesi üzerine</w:t>
            </w:r>
            <w:r w:rsidRPr="00A23740">
              <w:rPr>
                <w:rStyle w:val="YELChar"/>
              </w:rPr>
              <w:t xml:space="preserve"> </w:t>
            </w:r>
            <w:r w:rsidRPr="00A23740">
              <w:rPr>
                <w:bCs/>
                <w:szCs w:val="24"/>
                <w:lang w:eastAsia="x-none"/>
              </w:rPr>
              <w:t xml:space="preserve">verilebilecek bir karar olan ihtiyati haciz </w:t>
            </w:r>
            <w:r w:rsidR="00AE3D8A" w:rsidRPr="0078798F">
              <w:t>kararı</w:t>
            </w:r>
            <w:r w:rsidR="00AE3D8A" w:rsidRPr="00A23740">
              <w:rPr>
                <w:bCs/>
                <w:szCs w:val="24"/>
                <w:lang w:eastAsia="x-none"/>
              </w:rPr>
              <w:t xml:space="preserve"> </w:t>
            </w:r>
            <w:r w:rsidRPr="00A23740">
              <w:rPr>
                <w:bCs/>
                <w:szCs w:val="24"/>
                <w:lang w:eastAsia="x-none"/>
              </w:rPr>
              <w:t>dolayısıyla karşı tarafın ve üçüncü kişilerin haklarının korunması amacıyla kural olarak teminat gösterilmesi gereklidir. Alacak bir ilama dayanıyorsa teminat aranmayacak, alacağın ilam niteliğinde bir belgeye dayanması hâlinde ise teminat alınıp alınmayacağına mahkeme karar verecektir. Maddenin üçüncü fıkrasıyla teminatın hangi hâllerde iade edileceği düzenlenmiştir.</w:t>
            </w:r>
          </w:p>
          <w:p w:rsidR="00BD7568" w:rsidRPr="00A23740" w:rsidRDefault="00BD756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b/>
                <w:szCs w:val="24"/>
              </w:rPr>
              <w:t xml:space="preserve">İhtiyati haciz kararının </w:t>
            </w:r>
            <w:r w:rsidRPr="00A23740">
              <w:rPr>
                <w:rStyle w:val="KIRMIZIChar"/>
                <w:rFonts w:eastAsia="Calibri"/>
              </w:rPr>
              <w:t>muhtevası :</w:t>
            </w:r>
          </w:p>
          <w:p w:rsidR="00AA5C8C" w:rsidRPr="00A23740" w:rsidRDefault="00AA5C8C" w:rsidP="009431FF">
            <w:pPr>
              <w:tabs>
                <w:tab w:val="left" w:pos="567"/>
              </w:tabs>
              <w:rPr>
                <w:b/>
                <w:szCs w:val="24"/>
              </w:rPr>
            </w:pPr>
            <w:r w:rsidRPr="00A23740">
              <w:rPr>
                <w:b/>
                <w:szCs w:val="24"/>
              </w:rPr>
              <w:t xml:space="preserve">Madde 260 – </w:t>
            </w:r>
            <w:r w:rsidRPr="00A23740">
              <w:rPr>
                <w:rStyle w:val="KIRMIZIChar"/>
                <w:rFonts w:eastAsia="Calibri"/>
              </w:rPr>
              <w:t>(1)</w:t>
            </w:r>
            <w:r w:rsidRPr="00A23740">
              <w:rPr>
                <w:rFonts w:eastAsia="Times New Roman"/>
                <w:color w:val="000000"/>
                <w:szCs w:val="24"/>
                <w:lang w:eastAsia="tr-TR"/>
              </w:rPr>
              <w:t xml:space="preserve"> </w:t>
            </w:r>
            <w:r w:rsidRPr="00A23740">
              <w:rPr>
                <w:b/>
                <w:strike/>
                <w:color w:val="FF0000"/>
                <w:szCs w:val="24"/>
              </w:rPr>
              <w:t>(Değişik: 18/2/1965 - 538/100 md.)</w:t>
            </w:r>
          </w:p>
          <w:p w:rsidR="00AA5C8C" w:rsidRPr="00A23740" w:rsidRDefault="00AA5C8C" w:rsidP="009431FF">
            <w:pPr>
              <w:tabs>
                <w:tab w:val="left" w:pos="567"/>
              </w:tabs>
              <w:rPr>
                <w:szCs w:val="24"/>
              </w:rPr>
            </w:pPr>
            <w:r w:rsidRPr="00A23740">
              <w:rPr>
                <w:szCs w:val="24"/>
              </w:rPr>
              <w:t>İhtiyati haciz kararında :</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1.</w:t>
            </w:r>
            <w:r w:rsidRPr="00A23740">
              <w:rPr>
                <w:szCs w:val="24"/>
              </w:rPr>
              <w:t xml:space="preserve"> </w:t>
            </w:r>
            <w:r w:rsidRPr="00A23740">
              <w:rPr>
                <w:rStyle w:val="KIRMIZIChar"/>
                <w:rFonts w:eastAsia="Calibri"/>
              </w:rPr>
              <w:t>Alacaklının ve icabında mümessilinin ve borçlunun</w:t>
            </w:r>
            <w:r w:rsidRPr="00A23740">
              <w:rPr>
                <w:rStyle w:val="KIRMIZIChar"/>
                <w:rFonts w:eastAsia="Calibri"/>
                <w:strike w:val="0"/>
              </w:rPr>
              <w:t xml:space="preserve"> </w:t>
            </w:r>
            <w:r w:rsidRPr="00A23740">
              <w:t>adı, soyadı ve yerleşim yeri</w:t>
            </w:r>
            <w:r w:rsidRPr="00A23740">
              <w:rPr>
                <w:rStyle w:val="KIRMIZIChar"/>
                <w:rFonts w:eastAsia="Calibri"/>
              </w:rPr>
              <w:t>,</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2.</w:t>
            </w:r>
            <w:r w:rsidRPr="00A23740">
              <w:rPr>
                <w:szCs w:val="24"/>
              </w:rPr>
              <w:t xml:space="preserve"> </w:t>
            </w:r>
            <w:r w:rsidRPr="00A23740">
              <w:rPr>
                <w:b/>
                <w:strike/>
                <w:color w:val="FF0000"/>
                <w:szCs w:val="24"/>
              </w:rPr>
              <w:t>Haczin ne gibi belgelere müsteniden ve ne miktar alacak için konulduğu,</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3.</w:t>
            </w:r>
            <w:r w:rsidRPr="00A23740">
              <w:rPr>
                <w:szCs w:val="24"/>
              </w:rPr>
              <w:t xml:space="preserve"> </w:t>
            </w:r>
            <w:r w:rsidRPr="00A23740">
              <w:t>Haciz konulmasının</w:t>
            </w:r>
            <w:r w:rsidRPr="00A23740">
              <w:rPr>
                <w:szCs w:val="24"/>
              </w:rPr>
              <w:t xml:space="preserve"> sebebi</w:t>
            </w:r>
            <w:r w:rsidRPr="00A23740">
              <w:rPr>
                <w:b/>
                <w:strike/>
                <w:color w:val="FF0000"/>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5.</w:t>
            </w:r>
            <w:r w:rsidRPr="00A23740">
              <w:rPr>
                <w:szCs w:val="24"/>
              </w:rPr>
              <w:t xml:space="preserve"> Alacaklının zararın tazmini</w:t>
            </w:r>
            <w:r w:rsidRPr="00A23740">
              <w:rPr>
                <w:b/>
                <w:strike/>
                <w:color w:val="FF0000"/>
                <w:szCs w:val="24"/>
              </w:rPr>
              <w:t xml:space="preserve">yle mükellef olduğu ve gösterilen </w:t>
            </w:r>
            <w:r w:rsidRPr="00A23740">
              <w:rPr>
                <w:szCs w:val="24"/>
              </w:rPr>
              <w:t>teminatın nelerden ibaret bulunduğu</w:t>
            </w:r>
            <w:r w:rsidRPr="00A23740">
              <w:rPr>
                <w:b/>
                <w:strike/>
                <w:color w:val="FF0000"/>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b/>
                <w:strike/>
                <w:color w:val="FF0000"/>
                <w:szCs w:val="24"/>
              </w:rPr>
              <w:t>4.</w:t>
            </w:r>
            <w:r w:rsidRPr="00A23740">
              <w:rPr>
                <w:szCs w:val="24"/>
              </w:rPr>
              <w:t xml:space="preserve"> Haczolunacak şeyler</w:t>
            </w:r>
            <w:r w:rsidRPr="00A23740">
              <w:rPr>
                <w:b/>
                <w:strike/>
                <w:color w:val="FF0000"/>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b/>
                <w:strike/>
                <w:color w:val="FF0000"/>
                <w:szCs w:val="24"/>
              </w:rPr>
            </w:pPr>
            <w:r w:rsidRPr="00A23740">
              <w:rPr>
                <w:b/>
                <w:strike/>
                <w:color w:val="FF0000"/>
                <w:szCs w:val="24"/>
              </w:rPr>
              <w:t>Yazılır.</w:t>
            </w:r>
          </w:p>
          <w:p w:rsidR="00AA5C8C" w:rsidRPr="00A23740" w:rsidRDefault="00AA5C8C" w:rsidP="009431FF">
            <w:pPr>
              <w:rPr>
                <w:b/>
                <w:szCs w:val="24"/>
              </w:rPr>
            </w:pPr>
          </w:p>
        </w:tc>
        <w:tc>
          <w:tcPr>
            <w:tcW w:w="2500" w:type="pct"/>
          </w:tcPr>
          <w:p w:rsidR="00AA5C8C" w:rsidRPr="00A23740" w:rsidRDefault="00AA5C8C" w:rsidP="009431FF">
            <w:pPr>
              <w:tabs>
                <w:tab w:val="left" w:pos="567"/>
              </w:tabs>
              <w:rPr>
                <w:b/>
                <w:szCs w:val="24"/>
              </w:rPr>
            </w:pPr>
            <w:r w:rsidRPr="00A23740">
              <w:rPr>
                <w:b/>
                <w:szCs w:val="24"/>
              </w:rPr>
              <w:t xml:space="preserve">İhtiyati haciz kararının </w:t>
            </w:r>
            <w:r w:rsidRPr="00A23740">
              <w:rPr>
                <w:rStyle w:val="MaviChar"/>
                <w:lang w:val="tr-TR"/>
              </w:rPr>
              <w:t>içeriği</w:t>
            </w:r>
          </w:p>
          <w:p w:rsidR="00AA5C8C" w:rsidRPr="00A23740" w:rsidRDefault="003B700B" w:rsidP="009431FF">
            <w:pPr>
              <w:tabs>
                <w:tab w:val="left" w:pos="567"/>
              </w:tabs>
              <w:rPr>
                <w:szCs w:val="24"/>
              </w:rPr>
            </w:pPr>
            <w:r w:rsidRPr="00A23740">
              <w:rPr>
                <w:rStyle w:val="MaviChar"/>
                <w:lang w:val="tr-TR"/>
              </w:rPr>
              <w:t>MADDE 456</w:t>
            </w:r>
            <w:r w:rsidR="00AA5C8C" w:rsidRPr="00A23740">
              <w:rPr>
                <w:rStyle w:val="MaviChar"/>
                <w:lang w:val="tr-TR"/>
              </w:rPr>
              <w:t>- (</w:t>
            </w:r>
            <w:r w:rsidR="00AA5C8C" w:rsidRPr="00A23740">
              <w:rPr>
                <w:rFonts w:eastAsia="Times New Roman"/>
                <w:b/>
                <w:color w:val="0000FF"/>
                <w:szCs w:val="24"/>
                <w:lang w:eastAsia="tr-TR"/>
              </w:rPr>
              <w:t>1)</w:t>
            </w:r>
            <w:r w:rsidR="00AA5C8C" w:rsidRPr="00A23740">
              <w:rPr>
                <w:b/>
                <w:szCs w:val="24"/>
              </w:rPr>
              <w:t xml:space="preserve"> </w:t>
            </w:r>
            <w:r w:rsidR="00AA5C8C" w:rsidRPr="00A23740">
              <w:rPr>
                <w:szCs w:val="24"/>
              </w:rPr>
              <w:t xml:space="preserve">İhtiyati haciz kararında </w:t>
            </w:r>
            <w:r w:rsidR="00AA5C8C" w:rsidRPr="00A23740">
              <w:rPr>
                <w:rFonts w:eastAsia="Times New Roman"/>
                <w:b/>
                <w:color w:val="0000FF"/>
                <w:szCs w:val="24"/>
                <w:lang w:eastAsia="tr-TR"/>
              </w:rPr>
              <w:t>aşağıdaki hususlar yer alır:</w:t>
            </w:r>
          </w:p>
          <w:p w:rsidR="00AA5C8C" w:rsidRPr="00A23740" w:rsidRDefault="00AA5C8C" w:rsidP="009431FF">
            <w:pPr>
              <w:tabs>
                <w:tab w:val="left" w:pos="567"/>
              </w:tabs>
              <w:rPr>
                <w:szCs w:val="24"/>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a) İhtiyati haciz talep edenin, varsa kanuni temsilcisi ve vekilinin ve karşı tarafın </w:t>
            </w:r>
            <w:r w:rsidRPr="00A23740">
              <w:t>adı, soyadı ve yerleşim yeri</w:t>
            </w:r>
            <w:r w:rsidRPr="00A23740">
              <w:rPr>
                <w:rFonts w:eastAsia="Times New Roman"/>
                <w:b/>
                <w:color w:val="0000FF"/>
                <w:szCs w:val="24"/>
                <w:lang w:eastAsia="tr-TR"/>
              </w:rPr>
              <w:t xml:space="preserve"> ile talep edenin Türkiye Cumhuriyeti kimlik numarası.</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b)</w:t>
            </w:r>
            <w:r w:rsidRPr="00A23740">
              <w:rPr>
                <w:szCs w:val="24"/>
              </w:rPr>
              <w:t xml:space="preserve"> </w:t>
            </w:r>
            <w:r w:rsidRPr="00A23740">
              <w:rPr>
                <w:rFonts w:eastAsia="Times New Roman"/>
                <w:b/>
                <w:color w:val="0000FF"/>
                <w:szCs w:val="24"/>
                <w:lang w:eastAsia="tr-TR"/>
              </w:rPr>
              <w:t xml:space="preserve">İhtiyati haciz kararı verilen alacağın miktarı ile sebebi ve dayandığı belgeler. </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szCs w:val="24"/>
              </w:rPr>
            </w:pPr>
            <w:r w:rsidRPr="00A23740">
              <w:rPr>
                <w:rFonts w:eastAsia="Times New Roman"/>
                <w:b/>
                <w:color w:val="0000FF"/>
                <w:szCs w:val="24"/>
                <w:lang w:eastAsia="tr-TR"/>
              </w:rPr>
              <w:t>c)</w:t>
            </w:r>
            <w:r w:rsidRPr="00A23740">
              <w:rPr>
                <w:szCs w:val="24"/>
              </w:rPr>
              <w:t xml:space="preserve"> </w:t>
            </w:r>
            <w:r w:rsidRPr="00A23740">
              <w:rPr>
                <w:rFonts w:eastAsia="Times New Roman"/>
                <w:b/>
                <w:color w:val="0000FF"/>
                <w:szCs w:val="24"/>
                <w:lang w:eastAsia="tr-TR"/>
              </w:rPr>
              <w:t xml:space="preserve">İhtiyati </w:t>
            </w:r>
            <w:r w:rsidRPr="00A23740">
              <w:t>haciz konulmasının</w:t>
            </w:r>
            <w:r w:rsidRPr="00A23740">
              <w:rPr>
                <w:szCs w:val="24"/>
              </w:rPr>
              <w:t xml:space="preserve"> sebebi</w:t>
            </w:r>
            <w:r w:rsidRPr="00A23740">
              <w:rPr>
                <w:rFonts w:eastAsia="Times New Roman"/>
                <w:b/>
                <w:color w:val="0000FF"/>
                <w:szCs w:val="24"/>
                <w:lang w:eastAsia="tr-TR"/>
              </w:rPr>
              <w:t>.</w:t>
            </w:r>
          </w:p>
          <w:p w:rsidR="00581983" w:rsidRPr="00A23740" w:rsidRDefault="00581983" w:rsidP="009431FF">
            <w:pPr>
              <w:tabs>
                <w:tab w:val="left" w:pos="567"/>
              </w:tabs>
              <w:rPr>
                <w:szCs w:val="24"/>
              </w:rPr>
            </w:pPr>
          </w:p>
          <w:p w:rsidR="00AA5C8C" w:rsidRPr="00A23740" w:rsidRDefault="00AA5C8C" w:rsidP="009431FF">
            <w:pPr>
              <w:tabs>
                <w:tab w:val="left" w:pos="567"/>
              </w:tabs>
              <w:rPr>
                <w:szCs w:val="24"/>
              </w:rPr>
            </w:pPr>
            <w:r w:rsidRPr="00A23740">
              <w:rPr>
                <w:rFonts w:eastAsia="Times New Roman"/>
                <w:b/>
                <w:color w:val="0000FF"/>
                <w:szCs w:val="24"/>
                <w:lang w:eastAsia="tr-TR"/>
              </w:rPr>
              <w:t>ç)</w:t>
            </w:r>
            <w:r w:rsidRPr="00A23740">
              <w:rPr>
                <w:szCs w:val="24"/>
              </w:rPr>
              <w:t xml:space="preserve"> Alacaklının zararın tazmini</w:t>
            </w:r>
            <w:r w:rsidR="00AE3D8A" w:rsidRPr="0078798F">
              <w:rPr>
                <w:rStyle w:val="MaviChar"/>
              </w:rPr>
              <w:t>yle</w:t>
            </w:r>
            <w:r w:rsidRPr="00A23740">
              <w:rPr>
                <w:szCs w:val="24"/>
              </w:rPr>
              <w:t xml:space="preserve"> </w:t>
            </w:r>
            <w:r w:rsidRPr="00A23740">
              <w:rPr>
                <w:rFonts w:eastAsia="Times New Roman"/>
                <w:b/>
                <w:color w:val="0000FF"/>
                <w:szCs w:val="24"/>
                <w:lang w:eastAsia="tr-TR"/>
              </w:rPr>
              <w:t xml:space="preserve">yükümlü olduğu ve gerekiyorsa gösterilecek </w:t>
            </w:r>
            <w:r w:rsidRPr="00A23740">
              <w:rPr>
                <w:szCs w:val="24"/>
              </w:rPr>
              <w:t xml:space="preserve">teminatın </w:t>
            </w:r>
            <w:r w:rsidRPr="00A23740">
              <w:rPr>
                <w:rStyle w:val="MaviChar"/>
              </w:rPr>
              <w:t>tutarının ve türünün ne</w:t>
            </w:r>
            <w:r w:rsidRPr="00A23740">
              <w:rPr>
                <w:szCs w:val="24"/>
              </w:rPr>
              <w:t xml:space="preserve"> olduğu</w:t>
            </w:r>
            <w:r w:rsidRPr="00A23740">
              <w:rPr>
                <w:rFonts w:eastAsia="Times New Roman"/>
                <w:b/>
                <w:color w:val="0000FF"/>
                <w:szCs w:val="24"/>
                <w:lang w:eastAsia="tr-TR"/>
              </w:rPr>
              <w:t>.</w:t>
            </w:r>
          </w:p>
          <w:p w:rsidR="00AA5C8C" w:rsidRPr="00A23740" w:rsidRDefault="00AA5C8C" w:rsidP="009431FF">
            <w:pPr>
              <w:tabs>
                <w:tab w:val="left" w:pos="567"/>
              </w:tabs>
              <w:rPr>
                <w:szCs w:val="24"/>
              </w:rPr>
            </w:pPr>
          </w:p>
          <w:p w:rsidR="00AA5C8C" w:rsidRPr="00A23740" w:rsidRDefault="00AA5C8C" w:rsidP="009431FF">
            <w:pPr>
              <w:tabs>
                <w:tab w:val="left" w:pos="567"/>
              </w:tabs>
              <w:rPr>
                <w:b/>
                <w:szCs w:val="24"/>
              </w:rPr>
            </w:pPr>
            <w:r w:rsidRPr="00A23740">
              <w:rPr>
                <w:rFonts w:eastAsia="Times New Roman"/>
                <w:b/>
                <w:color w:val="0000FF"/>
                <w:szCs w:val="24"/>
                <w:lang w:eastAsia="tr-TR"/>
              </w:rPr>
              <w:t>d)</w:t>
            </w:r>
            <w:r w:rsidRPr="00A23740">
              <w:rPr>
                <w:szCs w:val="24"/>
              </w:rPr>
              <w:t xml:space="preserve"> Haczolunacak şeyler.</w:t>
            </w:r>
          </w:p>
        </w:tc>
      </w:tr>
      <w:tr w:rsidR="00BD7568" w:rsidRPr="00A23740" w:rsidTr="009431FF">
        <w:tc>
          <w:tcPr>
            <w:tcW w:w="5000" w:type="pct"/>
            <w:gridSpan w:val="2"/>
            <w:shd w:val="clear" w:color="auto" w:fill="DEEAF6"/>
          </w:tcPr>
          <w:p w:rsidR="00E64249" w:rsidRPr="00A23740" w:rsidRDefault="00E64249" w:rsidP="009431FF">
            <w:pPr>
              <w:tabs>
                <w:tab w:val="left" w:pos="567"/>
              </w:tabs>
              <w:ind w:firstLine="709"/>
              <w:rPr>
                <w:b/>
                <w:bCs/>
                <w:szCs w:val="24"/>
                <w:lang w:eastAsia="x-none"/>
              </w:rPr>
            </w:pPr>
          </w:p>
          <w:p w:rsidR="00BD7568" w:rsidRPr="00A23740" w:rsidRDefault="00BD7568" w:rsidP="009431FF">
            <w:pPr>
              <w:tabs>
                <w:tab w:val="left" w:pos="567"/>
              </w:tabs>
              <w:ind w:firstLine="709"/>
              <w:rPr>
                <w:b/>
                <w:bCs/>
                <w:szCs w:val="24"/>
                <w:lang w:eastAsia="x-none"/>
              </w:rPr>
            </w:pPr>
            <w:r w:rsidRPr="00A23740">
              <w:rPr>
                <w:b/>
                <w:bCs/>
                <w:szCs w:val="24"/>
                <w:lang w:eastAsia="x-none"/>
              </w:rPr>
              <w:t xml:space="preserve">MADDE </w:t>
            </w:r>
            <w:r w:rsidR="003B700B" w:rsidRPr="00A23740">
              <w:rPr>
                <w:b/>
                <w:bCs/>
                <w:szCs w:val="24"/>
                <w:lang w:eastAsia="x-none"/>
              </w:rPr>
              <w:t>456</w:t>
            </w:r>
            <w:r w:rsidRPr="00A23740">
              <w:rPr>
                <w:b/>
                <w:bCs/>
                <w:szCs w:val="24"/>
                <w:lang w:eastAsia="x-none"/>
              </w:rPr>
              <w:t xml:space="preserve">- </w:t>
            </w:r>
            <w:r w:rsidR="009229B3" w:rsidRPr="00A23740">
              <w:t>Maddede ihtiyati haciz kararında yer alacak hususlar düzenlenmiştir. Rehinle temin edilmemiş muaccel bir para borcunun alacaklısı</w:t>
            </w:r>
            <w:r w:rsidR="009229B3" w:rsidRPr="00A23740">
              <w:rPr>
                <w:bCs/>
                <w:lang w:val="x-none"/>
              </w:rPr>
              <w:t>,</w:t>
            </w:r>
            <w:r w:rsidR="009229B3" w:rsidRPr="00A23740">
              <w:t xml:space="preserve"> borçlunun mal</w:t>
            </w:r>
            <w:r w:rsidR="009229B3" w:rsidRPr="00A23740">
              <w:rPr>
                <w:bCs/>
                <w:lang w:val="x-none"/>
              </w:rPr>
              <w:t>, hak ve alacaklarının</w:t>
            </w:r>
            <w:r w:rsidR="009229B3" w:rsidRPr="00A23740">
              <w:t xml:space="preserve"> ihtiyaten haczini talep edebilir</w:t>
            </w:r>
            <w:r w:rsidR="00AE3D8A" w:rsidRPr="00A23740">
              <w:t>.</w:t>
            </w:r>
            <w:r w:rsidR="009229B3" w:rsidRPr="00A23740">
              <w:t xml:space="preserve"> Maddenin </w:t>
            </w:r>
            <w:r w:rsidR="00E64249" w:rsidRPr="00A23740">
              <w:t>(</w:t>
            </w:r>
            <w:r w:rsidR="009229B3" w:rsidRPr="00A23740">
              <w:t>d</w:t>
            </w:r>
            <w:r w:rsidR="00E64249" w:rsidRPr="00A23740">
              <w:t>)</w:t>
            </w:r>
            <w:r w:rsidR="009229B3" w:rsidRPr="00A23740">
              <w:t xml:space="preserve"> bendinde yer alan düzenlemeye göre haczolunacak şeylerin de ihtiyati haciz kararında gösterilmesi gerekmektedir. Bununla birlikte burada alacaklı tarafından tahdidi bir sayım yapılması her zaman beklenemez. Çünkü alacaklının borçlunun haczolunacak mal ve haklarının neler olduğunu bilmesi mümkün olmayabilir. Yine borçlunun ihtiyaten haczolunacak mal, hak ve alacaklarının değerinin ne kadar olduğunun kısa sürede tespiti de alacaklı bakımından zor olabilir. Bununla birlikte alacaklı ihtiyati haciz talebinde haczolunacak mal ve hakları tahdidi olarak belirtmişse ihtiyati haciz kararı</w:t>
            </w:r>
            <w:r w:rsidR="00AE3D8A" w:rsidRPr="00F76168">
              <w:rPr>
                <w:rStyle w:val="YELChar"/>
                <w:b w:val="0"/>
                <w:color w:val="000000" w:themeColor="text1"/>
              </w:rPr>
              <w:t>,</w:t>
            </w:r>
            <w:r w:rsidR="009229B3" w:rsidRPr="00A23740">
              <w:t xml:space="preserve"> bu mal ve haklarla sınırlı olarak verilecektir.</w:t>
            </w:r>
          </w:p>
          <w:p w:rsidR="00BD7568" w:rsidRPr="00A23740" w:rsidRDefault="00BD756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p>
          <w:p w:rsidR="00AA5C8C" w:rsidRPr="00A23740" w:rsidRDefault="00AA5C8C" w:rsidP="009431FF">
            <w:pPr>
              <w:pStyle w:val="KIRMIZI"/>
              <w:rPr>
                <w:lang w:val="tr-TR"/>
              </w:rPr>
            </w:pPr>
            <w:r w:rsidRPr="00A23740">
              <w:rPr>
                <w:rStyle w:val="KIRMIZIChar"/>
                <w:rFonts w:eastAsia="Calibri"/>
                <w:b/>
                <w:color w:val="000000"/>
                <w:lang w:val="tr-TR" w:eastAsia="en-US"/>
              </w:rPr>
              <w:t>İhtiyati haciz kararının</w:t>
            </w:r>
            <w:r w:rsidRPr="00A23740">
              <w:rPr>
                <w:lang w:val="tr-TR"/>
              </w:rPr>
              <w:t xml:space="preserve"> icrası :</w:t>
            </w:r>
          </w:p>
          <w:p w:rsidR="00AA5C8C" w:rsidRPr="00A23740" w:rsidRDefault="00AA5C8C" w:rsidP="009431FF">
            <w:pPr>
              <w:tabs>
                <w:tab w:val="left" w:pos="567"/>
              </w:tabs>
              <w:rPr>
                <w:b/>
                <w:szCs w:val="24"/>
              </w:rPr>
            </w:pPr>
            <w:r w:rsidRPr="00A23740">
              <w:rPr>
                <w:rStyle w:val="KIRMIZIChar"/>
                <w:rFonts w:eastAsia="Calibri"/>
              </w:rPr>
              <w:t>Madde 261 – (1) (</w:t>
            </w:r>
            <w:r w:rsidRPr="00A23740">
              <w:rPr>
                <w:b/>
                <w:strike/>
                <w:color w:val="FF0000"/>
                <w:szCs w:val="24"/>
              </w:rPr>
              <w:t>Değişik: 18/2/1965 - 538/101 md.)</w:t>
            </w:r>
          </w:p>
          <w:p w:rsidR="00AA5C8C" w:rsidRPr="00A23740" w:rsidRDefault="00AA5C8C" w:rsidP="009431FF">
            <w:pPr>
              <w:tabs>
                <w:tab w:val="left" w:pos="567"/>
              </w:tabs>
              <w:rPr>
                <w:szCs w:val="24"/>
              </w:rPr>
            </w:pPr>
            <w:r w:rsidRPr="00A23740">
              <w:rPr>
                <w:szCs w:val="24"/>
              </w:rPr>
              <w:t xml:space="preserve">Alacaklı, ihtiyati haciz kararının </w:t>
            </w:r>
            <w:r w:rsidRPr="00A23740">
              <w:rPr>
                <w:b/>
                <w:strike/>
                <w:color w:val="FF0000"/>
                <w:szCs w:val="24"/>
              </w:rPr>
              <w:t>verildiği</w:t>
            </w:r>
            <w:r w:rsidRPr="00A23740">
              <w:rPr>
                <w:szCs w:val="24"/>
              </w:rPr>
              <w:t xml:space="preserve"> tarihten itibaren </w:t>
            </w:r>
            <w:r w:rsidRPr="00A23740">
              <w:rPr>
                <w:b/>
                <w:strike/>
                <w:color w:val="FF0000"/>
                <w:szCs w:val="24"/>
              </w:rPr>
              <w:t>on gün</w:t>
            </w:r>
            <w:r w:rsidRPr="00A23740">
              <w:rPr>
                <w:szCs w:val="24"/>
              </w:rPr>
              <w:t xml:space="preserve"> içinde kararı veren mahkemenin yargı çevresindeki icra dairesinden kararın </w:t>
            </w:r>
            <w:r w:rsidRPr="00A23740">
              <w:rPr>
                <w:b/>
                <w:strike/>
                <w:color w:val="FF0000"/>
                <w:szCs w:val="24"/>
              </w:rPr>
              <w:t>infazını istemeye mecburdur</w:t>
            </w:r>
            <w:r w:rsidRPr="00A23740">
              <w:rPr>
                <w:rStyle w:val="KIRMIZIChar"/>
                <w:rFonts w:eastAsia="Calibri"/>
              </w:rPr>
              <w:t>. Aksi halde</w:t>
            </w:r>
            <w:r w:rsidRPr="00A23740">
              <w:rPr>
                <w:szCs w:val="24"/>
              </w:rPr>
              <w:t xml:space="preserve"> ihtiyati haciz kararı kendiliğinden kalkar.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1B26C1" w:rsidRPr="00A23740" w:rsidRDefault="001B26C1" w:rsidP="009431FF">
            <w:pPr>
              <w:tabs>
                <w:tab w:val="left" w:pos="567"/>
              </w:tabs>
              <w:rPr>
                <w:szCs w:val="24"/>
              </w:rPr>
            </w:pPr>
          </w:p>
          <w:p w:rsidR="001B26C1" w:rsidRPr="00A23740" w:rsidRDefault="001B26C1" w:rsidP="009431FF">
            <w:pPr>
              <w:tabs>
                <w:tab w:val="left" w:pos="567"/>
              </w:tabs>
              <w:rPr>
                <w:szCs w:val="24"/>
              </w:rPr>
            </w:pPr>
          </w:p>
          <w:p w:rsidR="001B26C1" w:rsidRPr="00A23740" w:rsidRDefault="001B26C1" w:rsidP="009431FF">
            <w:pPr>
              <w:tabs>
                <w:tab w:val="left" w:pos="567"/>
              </w:tabs>
              <w:rPr>
                <w:szCs w:val="24"/>
              </w:rPr>
            </w:pPr>
          </w:p>
          <w:p w:rsidR="001B26C1" w:rsidRPr="00A23740" w:rsidRDefault="001B26C1" w:rsidP="009431FF">
            <w:pPr>
              <w:tabs>
                <w:tab w:val="left" w:pos="567"/>
              </w:tabs>
              <w:rPr>
                <w:szCs w:val="24"/>
              </w:rPr>
            </w:pPr>
          </w:p>
          <w:p w:rsidR="00AA5C8C" w:rsidRPr="00A23740" w:rsidRDefault="00AA5C8C" w:rsidP="009431FF">
            <w:pPr>
              <w:tabs>
                <w:tab w:val="left" w:pos="567"/>
              </w:tabs>
              <w:rPr>
                <w:rStyle w:val="KIRMIZIChar"/>
                <w:rFonts w:eastAsia="Calibri"/>
              </w:rPr>
            </w:pPr>
            <w:r w:rsidRPr="00A23740">
              <w:rPr>
                <w:rStyle w:val="KIRMIZIChar"/>
                <w:rFonts w:eastAsia="Calibri"/>
              </w:rPr>
              <w:t>(2)</w:t>
            </w:r>
            <w:r w:rsidRPr="00A23740">
              <w:rPr>
                <w:rFonts w:eastAsia="Times New Roman"/>
                <w:color w:val="000000"/>
                <w:szCs w:val="24"/>
                <w:lang w:eastAsia="tr-TR"/>
              </w:rPr>
              <w:t xml:space="preserve"> </w:t>
            </w:r>
            <w:r w:rsidRPr="00A23740">
              <w:rPr>
                <w:rStyle w:val="KIRMIZIChar"/>
                <w:rFonts w:eastAsia="Calibri"/>
              </w:rPr>
              <w:t>İhtiyati haciz kararları, 79 dan 99 uncuya kadar olan maddelerdeki haczin ne suretle yapılacağına dair hükümlere göre icra edilir.</w:t>
            </w:r>
          </w:p>
          <w:p w:rsidR="00AA5C8C" w:rsidRPr="00A23740" w:rsidRDefault="00AA5C8C" w:rsidP="009431FF">
            <w:pPr>
              <w:pStyle w:val="KIRMIZI"/>
              <w:rPr>
                <w:lang w:val="tr-TR"/>
              </w:rPr>
            </w:pPr>
            <w:r w:rsidRPr="00A23740">
              <w:rPr>
                <w:lang w:val="tr-TR"/>
              </w:rPr>
              <w:t>Zabıt tutma ve haciz tutanağının tebliği :</w:t>
            </w:r>
          </w:p>
          <w:p w:rsidR="00AA5C8C" w:rsidRPr="00A23740" w:rsidRDefault="00AA5C8C" w:rsidP="009431FF">
            <w:pPr>
              <w:pStyle w:val="KIRMIZI"/>
              <w:rPr>
                <w:lang w:val="tr-TR"/>
              </w:rPr>
            </w:pPr>
            <w:r w:rsidRPr="00A23740">
              <w:rPr>
                <w:lang w:val="tr-TR"/>
              </w:rPr>
              <w:t xml:space="preserve">Madde 262 – </w:t>
            </w:r>
            <w:r w:rsidRPr="00A23740">
              <w:rPr>
                <w:rStyle w:val="KIRMIZIChar"/>
                <w:rFonts w:eastAsia="Calibri"/>
                <w:b/>
                <w:bCs/>
                <w:strike/>
                <w:lang w:val="tr-TR"/>
              </w:rPr>
              <w:t>(1)</w:t>
            </w:r>
            <w:r w:rsidRPr="00A23740">
              <w:rPr>
                <w:lang w:val="tr-TR"/>
              </w:rPr>
              <w:t xml:space="preserve"> (Değişik: 18/2/1965 - 538/102 md.)</w:t>
            </w:r>
          </w:p>
          <w:p w:rsidR="00AA5C8C" w:rsidRPr="00A23740" w:rsidRDefault="00AA5C8C" w:rsidP="009431FF">
            <w:pPr>
              <w:pStyle w:val="KIRMIZI"/>
              <w:rPr>
                <w:lang w:val="tr-TR"/>
              </w:rPr>
            </w:pPr>
            <w:r w:rsidRPr="00A23740">
              <w:rPr>
                <w:lang w:val="tr-TR"/>
              </w:rPr>
              <w:t>Haczi icra eden memur bir tutanak düzenler. Bunda haczolunan şeyler ve kıymetleri gösterilir ve derhal icra dairesine verilir.</w:t>
            </w:r>
          </w:p>
          <w:p w:rsidR="00AA5C8C" w:rsidRPr="00F76168" w:rsidRDefault="00AA5C8C" w:rsidP="00F76168">
            <w:pPr>
              <w:pStyle w:val="KIRMIZI"/>
              <w:rPr>
                <w:lang w:val="tr-TR"/>
              </w:rPr>
            </w:pPr>
            <w:r w:rsidRPr="00A23740">
              <w:rPr>
                <w:rStyle w:val="KIRMIZIChar"/>
                <w:rFonts w:eastAsia="Calibri"/>
                <w:b/>
                <w:bCs/>
                <w:strike/>
                <w:lang w:val="tr-TR"/>
              </w:rPr>
              <w:t>(2)</w:t>
            </w:r>
            <w:r w:rsidRPr="00A23740">
              <w:rPr>
                <w:lang w:val="tr-TR"/>
              </w:rPr>
              <w:t xml:space="preserve"> İcra dairesi, ihtiyati haciz tutanağının birer suretini üç gün içinde haciz sırasında hazır bulunmıyan alacaklı ve borçluya ve ica</w:t>
            </w:r>
            <w:r w:rsidR="00F76168">
              <w:rPr>
                <w:lang w:val="tr-TR"/>
              </w:rPr>
              <w:t>bında üçüncü şahsa tebliğ eder.</w:t>
            </w:r>
          </w:p>
          <w:p w:rsidR="00AA5C8C" w:rsidRPr="00A23740" w:rsidRDefault="00AA5C8C" w:rsidP="009431FF">
            <w:pPr>
              <w:tabs>
                <w:tab w:val="left" w:pos="567"/>
              </w:tabs>
              <w:rPr>
                <w:szCs w:val="24"/>
              </w:rPr>
            </w:pPr>
            <w:r w:rsidRPr="00A23740">
              <w:rPr>
                <w:rStyle w:val="KIRMIZIChar"/>
                <w:rFonts w:eastAsia="Calibri"/>
              </w:rPr>
              <w:t>(3)</w:t>
            </w:r>
            <w:r w:rsidRPr="00A23740">
              <w:rPr>
                <w:rFonts w:eastAsia="Times New Roman"/>
                <w:color w:val="000000"/>
                <w:szCs w:val="24"/>
                <w:lang w:eastAsia="tr-TR"/>
              </w:rPr>
              <w:t xml:space="preserve"> </w:t>
            </w:r>
            <w:r w:rsidRPr="00A23740">
              <w:rPr>
                <w:b/>
                <w:strike/>
                <w:color w:val="FF0000"/>
                <w:szCs w:val="24"/>
              </w:rPr>
              <w:t>(Ek son fıkra: 17/7/2003-4949/61 md.)</w:t>
            </w:r>
            <w:r w:rsidRPr="00A23740">
              <w:rPr>
                <w:szCs w:val="24"/>
              </w:rPr>
              <w:t xml:space="preserve"> İhtiyati haczin </w:t>
            </w:r>
            <w:r w:rsidRPr="00A23740">
              <w:rPr>
                <w:b/>
                <w:strike/>
                <w:color w:val="FF0000"/>
                <w:szCs w:val="24"/>
              </w:rPr>
              <w:t>infazı</w:t>
            </w:r>
            <w:r w:rsidRPr="00A23740">
              <w:rPr>
                <w:szCs w:val="24"/>
              </w:rPr>
              <w:t xml:space="preserve"> ile ilgili şikayetler </w:t>
            </w:r>
            <w:r w:rsidRPr="00A23740">
              <w:rPr>
                <w:b/>
                <w:strike/>
                <w:color w:val="FF0000"/>
                <w:szCs w:val="24"/>
              </w:rPr>
              <w:t>infazı</w:t>
            </w:r>
            <w:r w:rsidRPr="00A23740">
              <w:rPr>
                <w:szCs w:val="24"/>
              </w:rPr>
              <w:t xml:space="preserve"> yapan </w:t>
            </w:r>
            <w:r w:rsidRPr="00A23740">
              <w:t>icra</w:t>
            </w:r>
            <w:r w:rsidRPr="00A23740">
              <w:rPr>
                <w:szCs w:val="24"/>
              </w:rPr>
              <w:t xml:space="preserve"> </w:t>
            </w:r>
            <w:r w:rsidRPr="00A23740">
              <w:t>dairesinin</w:t>
            </w:r>
            <w:r w:rsidRPr="00A23740">
              <w:rPr>
                <w:szCs w:val="24"/>
              </w:rPr>
              <w:t xml:space="preserve"> bağlı olduğu icra mahkemesine yapılır.</w:t>
            </w:r>
          </w:p>
          <w:p w:rsidR="00AA5C8C" w:rsidRPr="00A23740" w:rsidRDefault="00AA5C8C" w:rsidP="009431FF">
            <w:pPr>
              <w:rPr>
                <w:b/>
                <w:szCs w:val="24"/>
              </w:rPr>
            </w:pPr>
          </w:p>
        </w:tc>
        <w:tc>
          <w:tcPr>
            <w:tcW w:w="2500" w:type="pct"/>
          </w:tcPr>
          <w:p w:rsidR="00AA5C8C" w:rsidRPr="00A23740" w:rsidRDefault="00AA5C8C" w:rsidP="009431FF">
            <w:pPr>
              <w:tabs>
                <w:tab w:val="left" w:pos="567"/>
              </w:tabs>
              <w:jc w:val="center"/>
              <w:rPr>
                <w:rFonts w:eastAsia="Times New Roman"/>
                <w:b/>
                <w:color w:val="0000FF"/>
                <w:szCs w:val="24"/>
              </w:rPr>
            </w:pPr>
            <w:r w:rsidRPr="00A23740">
              <w:rPr>
                <w:rFonts w:eastAsia="Times New Roman"/>
                <w:b/>
                <w:color w:val="0000FF"/>
                <w:szCs w:val="24"/>
              </w:rPr>
              <w:t>İKİNCİ BÖLÜM</w:t>
            </w:r>
          </w:p>
          <w:p w:rsidR="00AA5C8C" w:rsidRPr="00A23740" w:rsidRDefault="00AA5C8C" w:rsidP="009431FF">
            <w:pPr>
              <w:tabs>
                <w:tab w:val="left" w:pos="567"/>
              </w:tabs>
              <w:jc w:val="center"/>
              <w:rPr>
                <w:rFonts w:eastAsia="Times New Roman"/>
                <w:bCs/>
                <w:strike/>
                <w:color w:val="0000FF"/>
              </w:rPr>
            </w:pPr>
            <w:r w:rsidRPr="00A23740">
              <w:rPr>
                <w:rFonts w:eastAsia="Times New Roman"/>
                <w:b/>
                <w:color w:val="0000FF"/>
                <w:szCs w:val="24"/>
              </w:rPr>
              <w:t>İhtiyati Haciz Kararının Uygulanması ve Borçlunun Teminat Göstermesi</w:t>
            </w:r>
          </w:p>
          <w:p w:rsidR="00AA5C8C" w:rsidRPr="00A23740" w:rsidRDefault="00AA5C8C" w:rsidP="009431FF">
            <w:pPr>
              <w:tabs>
                <w:tab w:val="left" w:pos="567"/>
              </w:tabs>
              <w:rPr>
                <w:b/>
                <w:szCs w:val="24"/>
              </w:rPr>
            </w:pPr>
          </w:p>
          <w:p w:rsidR="00AA5C8C" w:rsidRPr="00A23740" w:rsidRDefault="00AA5C8C" w:rsidP="009431FF">
            <w:pPr>
              <w:tabs>
                <w:tab w:val="left" w:pos="567"/>
              </w:tabs>
              <w:rPr>
                <w:b/>
                <w:szCs w:val="24"/>
              </w:rPr>
            </w:pPr>
            <w:r w:rsidRPr="00A23740">
              <w:rPr>
                <w:rStyle w:val="KIRMIZIChar"/>
                <w:rFonts w:eastAsia="Calibri"/>
                <w:strike w:val="0"/>
                <w:color w:val="000000"/>
              </w:rPr>
              <w:t>İhtiyati haciz kararının</w:t>
            </w:r>
            <w:r w:rsidRPr="00A23740">
              <w:rPr>
                <w:b/>
                <w:szCs w:val="24"/>
              </w:rPr>
              <w:t xml:space="preserve"> </w:t>
            </w:r>
            <w:r w:rsidRPr="00A23740">
              <w:rPr>
                <w:rFonts w:eastAsia="Times New Roman"/>
                <w:b/>
                <w:color w:val="0000FF"/>
                <w:szCs w:val="24"/>
                <w:lang w:eastAsia="tr-TR"/>
              </w:rPr>
              <w:t>uygulanması</w:t>
            </w:r>
          </w:p>
          <w:p w:rsidR="00AA5C8C" w:rsidRPr="00A23740" w:rsidRDefault="00AA5C8C" w:rsidP="009431FF">
            <w:pPr>
              <w:tabs>
                <w:tab w:val="left" w:pos="567"/>
              </w:tabs>
              <w:rPr>
                <w:szCs w:val="24"/>
              </w:rPr>
            </w:pPr>
            <w:r w:rsidRPr="00A23740">
              <w:rPr>
                <w:rStyle w:val="MaviChar"/>
                <w:lang w:val="tr-TR"/>
              </w:rPr>
              <w:t xml:space="preserve">MADDE </w:t>
            </w:r>
            <w:r w:rsidR="003B700B" w:rsidRPr="00A23740">
              <w:rPr>
                <w:rFonts w:eastAsia="Times New Roman"/>
                <w:b/>
                <w:color w:val="0000FF"/>
                <w:szCs w:val="24"/>
                <w:lang w:eastAsia="tr-TR"/>
              </w:rPr>
              <w:t>457</w:t>
            </w:r>
            <w:r w:rsidRPr="00A23740">
              <w:rPr>
                <w:rFonts w:eastAsia="Times New Roman"/>
                <w:b/>
                <w:color w:val="0000FF"/>
                <w:szCs w:val="24"/>
                <w:lang w:eastAsia="tr-TR"/>
              </w:rPr>
              <w:t>- (1)</w:t>
            </w:r>
            <w:r w:rsidRPr="00A23740">
              <w:rPr>
                <w:szCs w:val="24"/>
              </w:rPr>
              <w:t xml:space="preserve"> Alacaklı ihtiyati haciz kararının </w:t>
            </w:r>
            <w:r w:rsidRPr="00A23740">
              <w:rPr>
                <w:rStyle w:val="MaviChar"/>
                <w:lang w:val="tr-TR"/>
              </w:rPr>
              <w:t>kendisine tefhim veya tebliğ edildiği</w:t>
            </w:r>
            <w:r w:rsidRPr="00A23740">
              <w:rPr>
                <w:szCs w:val="24"/>
              </w:rPr>
              <w:t xml:space="preserve"> tarihten itibaren </w:t>
            </w:r>
            <w:r w:rsidRPr="00A23740">
              <w:rPr>
                <w:rFonts w:eastAsia="Times New Roman"/>
                <w:b/>
                <w:color w:val="0000FF"/>
                <w:szCs w:val="24"/>
                <w:lang w:eastAsia="tr-TR"/>
              </w:rPr>
              <w:t>bir hafta</w:t>
            </w:r>
            <w:r w:rsidRPr="00A23740">
              <w:rPr>
                <w:szCs w:val="24"/>
              </w:rPr>
              <w:t xml:space="preserve"> içinde</w:t>
            </w:r>
            <w:r w:rsidR="007A6085" w:rsidRPr="0078798F">
              <w:rPr>
                <w:rStyle w:val="MaviChar"/>
              </w:rPr>
              <w:t>,</w:t>
            </w:r>
            <w:r w:rsidRPr="00A23740">
              <w:rPr>
                <w:szCs w:val="24"/>
              </w:rPr>
              <w:t xml:space="preserve"> </w:t>
            </w:r>
            <w:r w:rsidRPr="00A23740">
              <w:rPr>
                <w:rFonts w:eastAsia="Times New Roman"/>
                <w:b/>
                <w:color w:val="0000FF"/>
                <w:szCs w:val="24"/>
                <w:lang w:eastAsia="tr-TR"/>
              </w:rPr>
              <w:t xml:space="preserve">kararda öngörülen teminatı ihtiyati haciz kararını veren mahkeme nezdinde göstermek zorundadır. </w:t>
            </w:r>
            <w:r w:rsidRPr="00A23740">
              <w:rPr>
                <w:rStyle w:val="MaviChar"/>
              </w:rPr>
              <w:t xml:space="preserve">Mahkemenin teminatın uygun bulunduğuna dair kesin kararının tebliğ edildiği </w:t>
            </w:r>
            <w:r w:rsidRPr="00A23740">
              <w:rPr>
                <w:rFonts w:eastAsia="Times New Roman"/>
                <w:b/>
                <w:color w:val="0000FF"/>
                <w:szCs w:val="24"/>
                <w:lang w:eastAsia="tr-TR"/>
              </w:rPr>
              <w:t>tarihten itibaren bir hafta içinde,</w:t>
            </w:r>
            <w:r w:rsidRPr="00A23740">
              <w:rPr>
                <w:szCs w:val="24"/>
              </w:rPr>
              <w:t xml:space="preserve"> kararı veren mahkemenin yargı çevresindeki icra </w:t>
            </w:r>
            <w:r w:rsidRPr="00A23740">
              <w:rPr>
                <w:rStyle w:val="MaviChar"/>
              </w:rPr>
              <w:t>ve</w:t>
            </w:r>
            <w:r w:rsidRPr="00A23740">
              <w:rPr>
                <w:rStyle w:val="YELChar"/>
              </w:rPr>
              <w:t xml:space="preserve"> </w:t>
            </w:r>
            <w:r w:rsidRPr="00A23740">
              <w:rPr>
                <w:rStyle w:val="MaviChar"/>
              </w:rPr>
              <w:t>iflas</w:t>
            </w:r>
            <w:r w:rsidRPr="00A23740">
              <w:rPr>
                <w:szCs w:val="24"/>
              </w:rPr>
              <w:t xml:space="preserve"> dairesinden kararın </w:t>
            </w:r>
            <w:r w:rsidRPr="00A23740">
              <w:rPr>
                <w:rFonts w:eastAsia="Times New Roman"/>
                <w:b/>
                <w:color w:val="0000FF"/>
                <w:szCs w:val="24"/>
                <w:lang w:eastAsia="tr-TR"/>
              </w:rPr>
              <w:t>uygulanması</w:t>
            </w:r>
            <w:r w:rsidRPr="00A23740">
              <w:rPr>
                <w:szCs w:val="24"/>
              </w:rPr>
              <w:t xml:space="preserve"> </w:t>
            </w:r>
            <w:r w:rsidRPr="00A23740">
              <w:rPr>
                <w:rFonts w:eastAsia="Times New Roman"/>
                <w:b/>
                <w:color w:val="0000FF"/>
                <w:szCs w:val="24"/>
                <w:lang w:eastAsia="tr-TR"/>
              </w:rPr>
              <w:t xml:space="preserve">talep </w:t>
            </w:r>
            <w:r w:rsidRPr="00A23740">
              <w:rPr>
                <w:rStyle w:val="MaviChar"/>
              </w:rPr>
              <w:t xml:space="preserve">edilir. Süresi </w:t>
            </w:r>
            <w:r w:rsidRPr="00A23740">
              <w:rPr>
                <w:b/>
                <w:bCs/>
                <w:color w:val="0000FF"/>
                <w:lang w:eastAsia="tr-TR"/>
              </w:rPr>
              <w:t>içinde</w:t>
            </w:r>
            <w:r w:rsidRPr="00A23740">
              <w:rPr>
                <w:rFonts w:eastAsia="Times New Roman"/>
                <w:b/>
                <w:color w:val="0000FF"/>
                <w:szCs w:val="24"/>
                <w:lang w:eastAsia="tr-TR"/>
              </w:rPr>
              <w:t xml:space="preserve"> teminatın gösterilmemesi veya ihtiyati haciz kararının uygulanmasının</w:t>
            </w:r>
            <w:r w:rsidR="0096478A" w:rsidRPr="00A23740">
              <w:rPr>
                <w:rFonts w:eastAsia="Times New Roman"/>
                <w:b/>
                <w:color w:val="0000FF"/>
                <w:szCs w:val="24"/>
                <w:lang w:eastAsia="tr-TR"/>
              </w:rPr>
              <w:t xml:space="preserve"> talep edilmemesi hâ</w:t>
            </w:r>
            <w:r w:rsidRPr="00A23740">
              <w:rPr>
                <w:rFonts w:eastAsia="Times New Roman"/>
                <w:b/>
                <w:color w:val="0000FF"/>
                <w:szCs w:val="24"/>
                <w:lang w:eastAsia="tr-TR"/>
              </w:rPr>
              <w:t>linde</w:t>
            </w:r>
            <w:r w:rsidR="007A6085" w:rsidRPr="00A23740">
              <w:rPr>
                <w:rStyle w:val="YELChar"/>
              </w:rPr>
              <w:t>,</w:t>
            </w:r>
            <w:r w:rsidRPr="00A23740">
              <w:rPr>
                <w:rFonts w:eastAsia="Times New Roman"/>
                <w:b/>
                <w:color w:val="0000FF"/>
                <w:szCs w:val="24"/>
                <w:lang w:eastAsia="tr-TR"/>
              </w:rPr>
              <w:t xml:space="preserve"> </w:t>
            </w:r>
            <w:r w:rsidRPr="00A23740">
              <w:rPr>
                <w:szCs w:val="24"/>
              </w:rPr>
              <w:t>ihtiyati haciz kararı kendiliğinden kalkar.</w:t>
            </w:r>
          </w:p>
          <w:p w:rsidR="00AA5C8C" w:rsidRPr="00A23740" w:rsidRDefault="00AA5C8C" w:rsidP="009431FF">
            <w:pPr>
              <w:tabs>
                <w:tab w:val="left" w:pos="567"/>
              </w:tabs>
              <w:rPr>
                <w:szCs w:val="24"/>
              </w:rPr>
            </w:pPr>
          </w:p>
          <w:p w:rsidR="00AA5C8C" w:rsidRPr="00A23740" w:rsidRDefault="00AA5C8C" w:rsidP="009431FF">
            <w:pPr>
              <w:tabs>
                <w:tab w:val="left" w:pos="567"/>
              </w:tabs>
              <w:rPr>
                <w:rStyle w:val="MaviChar"/>
              </w:rPr>
            </w:pPr>
            <w:r w:rsidRPr="00A23740">
              <w:rPr>
                <w:rFonts w:eastAsia="Times New Roman"/>
                <w:b/>
                <w:color w:val="0000FF"/>
                <w:szCs w:val="24"/>
                <w:lang w:eastAsia="tr-TR"/>
              </w:rPr>
              <w:t xml:space="preserve">(2) </w:t>
            </w:r>
            <w:r w:rsidRPr="00A23740">
              <w:rPr>
                <w:rStyle w:val="MaviChar"/>
              </w:rPr>
              <w:t>Hacze ilişkin</w:t>
            </w:r>
            <w:r w:rsidR="00C27954" w:rsidRPr="00A23740">
              <w:rPr>
                <w:rStyle w:val="MaviChar"/>
                <w:lang w:val="tr-TR"/>
              </w:rPr>
              <w:t xml:space="preserve"> </w:t>
            </w:r>
            <w:r w:rsidR="008976AD" w:rsidRPr="0078798F">
              <w:rPr>
                <w:rStyle w:val="MaviChar"/>
              </w:rPr>
              <w:t>156</w:t>
            </w:r>
            <w:r w:rsidR="00C27954" w:rsidRPr="0078798F">
              <w:rPr>
                <w:rStyle w:val="MaviChar"/>
              </w:rPr>
              <w:t xml:space="preserve"> </w:t>
            </w:r>
            <w:r w:rsidRPr="00A23740">
              <w:rPr>
                <w:rStyle w:val="MaviChar"/>
              </w:rPr>
              <w:t>il</w:t>
            </w:r>
            <w:r w:rsidR="00F25FDB" w:rsidRPr="00A23740">
              <w:rPr>
                <w:rStyle w:val="MaviChar"/>
                <w:lang w:val="tr-TR"/>
              </w:rPr>
              <w:t>a</w:t>
            </w:r>
            <w:r w:rsidR="00C27954" w:rsidRPr="00A23740">
              <w:rPr>
                <w:rStyle w:val="MaviChar"/>
                <w:lang w:val="tr-TR"/>
              </w:rPr>
              <w:t xml:space="preserve"> </w:t>
            </w:r>
            <w:r w:rsidR="00C27954" w:rsidRPr="0078798F">
              <w:rPr>
                <w:rStyle w:val="MaviChar"/>
              </w:rPr>
              <w:t>197 nci</w:t>
            </w:r>
            <w:r w:rsidRPr="00A23740">
              <w:rPr>
                <w:rStyle w:val="MaviChar"/>
              </w:rPr>
              <w:t xml:space="preserve"> maddeler </w:t>
            </w:r>
            <w:r w:rsidR="007A6085" w:rsidRPr="0078798F">
              <w:rPr>
                <w:rStyle w:val="MaviChar"/>
              </w:rPr>
              <w:t>ve</w:t>
            </w:r>
            <w:r w:rsidR="007A6085" w:rsidRPr="00A23740">
              <w:rPr>
                <w:rStyle w:val="MaviChar"/>
                <w:lang w:val="tr-TR"/>
              </w:rPr>
              <w:t xml:space="preserve"> </w:t>
            </w:r>
            <w:r w:rsidRPr="00A23740">
              <w:rPr>
                <w:rStyle w:val="MaviChar"/>
              </w:rPr>
              <w:t xml:space="preserve">hacizde istihkak iddialarına </w:t>
            </w:r>
            <w:r w:rsidRPr="00A23740">
              <w:rPr>
                <w:rStyle w:val="MaviChar"/>
                <w:lang w:val="tr-TR"/>
              </w:rPr>
              <w:t xml:space="preserve">ilişkin </w:t>
            </w:r>
            <w:r w:rsidR="00C27954" w:rsidRPr="0078798F">
              <w:rPr>
                <w:rStyle w:val="MaviChar"/>
              </w:rPr>
              <w:t xml:space="preserve">433 </w:t>
            </w:r>
            <w:r w:rsidR="007A6085" w:rsidRPr="00A23740">
              <w:rPr>
                <w:rStyle w:val="MaviChar"/>
              </w:rPr>
              <w:t>il</w:t>
            </w:r>
            <w:r w:rsidR="00F25FDB" w:rsidRPr="00A23740">
              <w:rPr>
                <w:rStyle w:val="MaviChar"/>
                <w:lang w:val="tr-TR"/>
              </w:rPr>
              <w:t>a</w:t>
            </w:r>
            <w:r w:rsidR="00C27954" w:rsidRPr="00A23740">
              <w:rPr>
                <w:rStyle w:val="MaviChar"/>
                <w:lang w:val="tr-TR"/>
              </w:rPr>
              <w:t xml:space="preserve"> </w:t>
            </w:r>
            <w:r w:rsidR="00C27954" w:rsidRPr="0078798F">
              <w:rPr>
                <w:rStyle w:val="MaviChar"/>
              </w:rPr>
              <w:t>439 uncu</w:t>
            </w:r>
            <w:r w:rsidRPr="00A23740">
              <w:rPr>
                <w:rStyle w:val="MaviChar"/>
              </w:rPr>
              <w:t xml:space="preserve"> maddeler ihtiyati haciz kararlarının yerine getirilmesinde de uygulanır.</w:t>
            </w:r>
          </w:p>
          <w:p w:rsidR="00244E56" w:rsidRPr="00A23740" w:rsidRDefault="00244E56" w:rsidP="009431FF">
            <w:pPr>
              <w:tabs>
                <w:tab w:val="left" w:pos="567"/>
              </w:tabs>
              <w:rPr>
                <w:rStyle w:val="MaviChar"/>
              </w:rPr>
            </w:pPr>
          </w:p>
          <w:p w:rsidR="001B26C1" w:rsidRPr="00A23740" w:rsidRDefault="001B26C1" w:rsidP="009431FF">
            <w:pPr>
              <w:tabs>
                <w:tab w:val="left" w:pos="567"/>
              </w:tabs>
              <w:rPr>
                <w:rFonts w:eastAsia="Times New Roman"/>
                <w:b/>
                <w:color w:val="0000FF"/>
                <w:szCs w:val="24"/>
                <w:lang w:eastAsia="tr-TR"/>
              </w:rPr>
            </w:pPr>
          </w:p>
          <w:p w:rsidR="001B26C1" w:rsidRPr="00A23740" w:rsidRDefault="001B26C1" w:rsidP="009431FF">
            <w:pPr>
              <w:tabs>
                <w:tab w:val="left" w:pos="567"/>
              </w:tabs>
              <w:rPr>
                <w:rFonts w:eastAsia="Times New Roman"/>
                <w:b/>
                <w:color w:val="0000FF"/>
                <w:szCs w:val="24"/>
                <w:lang w:eastAsia="tr-TR"/>
              </w:rPr>
            </w:pPr>
          </w:p>
          <w:p w:rsidR="001B26C1" w:rsidRPr="00A23740" w:rsidRDefault="001B26C1" w:rsidP="009431FF">
            <w:pPr>
              <w:tabs>
                <w:tab w:val="left" w:pos="567"/>
              </w:tabs>
              <w:rPr>
                <w:rFonts w:eastAsia="Times New Roman"/>
                <w:b/>
                <w:color w:val="0000FF"/>
                <w:szCs w:val="24"/>
                <w:lang w:eastAsia="tr-TR"/>
              </w:rPr>
            </w:pPr>
          </w:p>
          <w:p w:rsidR="001B26C1" w:rsidRPr="00A23740" w:rsidRDefault="001B26C1" w:rsidP="009431FF">
            <w:pPr>
              <w:tabs>
                <w:tab w:val="left" w:pos="567"/>
              </w:tabs>
              <w:rPr>
                <w:rFonts w:eastAsia="Times New Roman"/>
                <w:b/>
                <w:color w:val="0000FF"/>
                <w:szCs w:val="24"/>
                <w:lang w:eastAsia="tr-TR"/>
              </w:rPr>
            </w:pPr>
          </w:p>
          <w:p w:rsidR="001B26C1" w:rsidRDefault="001B26C1" w:rsidP="009431FF">
            <w:pPr>
              <w:tabs>
                <w:tab w:val="left" w:pos="567"/>
              </w:tabs>
              <w:rPr>
                <w:rFonts w:eastAsia="Times New Roman"/>
                <w:b/>
                <w:color w:val="0000FF"/>
                <w:szCs w:val="24"/>
                <w:lang w:eastAsia="tr-TR"/>
              </w:rPr>
            </w:pPr>
          </w:p>
          <w:p w:rsidR="00581983" w:rsidRDefault="00581983" w:rsidP="009431FF">
            <w:pPr>
              <w:tabs>
                <w:tab w:val="left" w:pos="567"/>
              </w:tabs>
              <w:rPr>
                <w:rFonts w:eastAsia="Times New Roman"/>
                <w:b/>
                <w:color w:val="0000FF"/>
                <w:szCs w:val="24"/>
                <w:lang w:eastAsia="tr-TR"/>
              </w:rPr>
            </w:pPr>
          </w:p>
          <w:p w:rsidR="00DD6775" w:rsidRPr="00A23740" w:rsidRDefault="00DD6775" w:rsidP="009431FF">
            <w:pPr>
              <w:tabs>
                <w:tab w:val="left" w:pos="567"/>
              </w:tabs>
              <w:rPr>
                <w:rFonts w:eastAsia="Times New Roman"/>
                <w:b/>
                <w:color w:val="0000FF"/>
                <w:szCs w:val="24"/>
                <w:lang w:eastAsia="tr-TR"/>
              </w:rPr>
            </w:pPr>
          </w:p>
          <w:p w:rsidR="00AA5C8C" w:rsidRPr="00A23740" w:rsidRDefault="00AA5C8C" w:rsidP="009431FF">
            <w:pPr>
              <w:tabs>
                <w:tab w:val="left" w:pos="567"/>
              </w:tabs>
              <w:rPr>
                <w:szCs w:val="24"/>
              </w:rPr>
            </w:pPr>
            <w:r w:rsidRPr="00A23740">
              <w:rPr>
                <w:rFonts w:eastAsia="Times New Roman"/>
                <w:b/>
                <w:color w:val="0000FF"/>
                <w:szCs w:val="24"/>
                <w:lang w:eastAsia="tr-TR"/>
              </w:rPr>
              <w:t>(3)</w:t>
            </w:r>
            <w:r w:rsidRPr="00A23740">
              <w:rPr>
                <w:szCs w:val="24"/>
              </w:rPr>
              <w:t xml:space="preserve"> İhtiyati haczin </w:t>
            </w:r>
            <w:r w:rsidRPr="00A23740">
              <w:rPr>
                <w:rFonts w:eastAsia="Times New Roman"/>
                <w:b/>
                <w:color w:val="0000FF"/>
                <w:szCs w:val="24"/>
                <w:lang w:eastAsia="tr-TR"/>
              </w:rPr>
              <w:t>uygulanması</w:t>
            </w:r>
            <w:r w:rsidRPr="00A23740">
              <w:rPr>
                <w:szCs w:val="24"/>
              </w:rPr>
              <w:t xml:space="preserve"> ile ilgili şikâyetler</w:t>
            </w:r>
            <w:r w:rsidRPr="00A23740">
              <w:rPr>
                <w:rFonts w:eastAsia="Times New Roman"/>
                <w:b/>
                <w:color w:val="0000FF"/>
                <w:szCs w:val="24"/>
                <w:lang w:eastAsia="tr-TR"/>
              </w:rPr>
              <w:t xml:space="preserve"> ihtiyati haczi uygulayan </w:t>
            </w:r>
            <w:r w:rsidRPr="00A23740">
              <w:t>icra</w:t>
            </w:r>
            <w:r w:rsidR="007A6085" w:rsidRPr="00A23740">
              <w:t xml:space="preserve"> </w:t>
            </w:r>
            <w:r w:rsidR="007A6085" w:rsidRPr="0078798F">
              <w:rPr>
                <w:rStyle w:val="MaviChar"/>
              </w:rPr>
              <w:t>ve iflas</w:t>
            </w:r>
            <w:r w:rsidRPr="00A23740">
              <w:rPr>
                <w:rStyle w:val="MaviChar"/>
              </w:rPr>
              <w:t xml:space="preserve"> </w:t>
            </w:r>
            <w:r w:rsidRPr="00A23740">
              <w:t>dairesinin</w:t>
            </w:r>
            <w:r w:rsidRPr="00A23740">
              <w:rPr>
                <w:rFonts w:eastAsia="Times New Roman"/>
                <w:b/>
                <w:color w:val="0000FF"/>
                <w:szCs w:val="24"/>
                <w:lang w:eastAsia="tr-TR"/>
              </w:rPr>
              <w:t xml:space="preserve"> </w:t>
            </w:r>
            <w:r w:rsidRPr="00A23740">
              <w:rPr>
                <w:szCs w:val="24"/>
              </w:rPr>
              <w:t xml:space="preserve">bağlı olduğu icra </w:t>
            </w:r>
            <w:r w:rsidRPr="00A23740">
              <w:rPr>
                <w:rStyle w:val="MaviChar"/>
              </w:rPr>
              <w:t>hukuk</w:t>
            </w:r>
            <w:r w:rsidRPr="00A23740">
              <w:rPr>
                <w:szCs w:val="24"/>
              </w:rPr>
              <w:t xml:space="preserve"> mahkemesine yapılır.</w:t>
            </w:r>
          </w:p>
          <w:p w:rsidR="00AA5C8C" w:rsidRPr="00A23740" w:rsidRDefault="00AA5C8C" w:rsidP="009431FF">
            <w:pPr>
              <w:rPr>
                <w:b/>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BE5F1"/>
          </w:tcPr>
          <w:p w:rsidR="00BD7568" w:rsidRPr="00A23740" w:rsidRDefault="00BD7568" w:rsidP="009431FF">
            <w:pPr>
              <w:jc w:val="center"/>
              <w:rPr>
                <w:b/>
              </w:rPr>
            </w:pPr>
          </w:p>
          <w:p w:rsidR="00193A9F" w:rsidRPr="00A23740" w:rsidRDefault="003B700B" w:rsidP="009431FF">
            <w:pPr>
              <w:ind w:firstLine="709"/>
            </w:pPr>
            <w:r w:rsidRPr="00A23740">
              <w:rPr>
                <w:b/>
              </w:rPr>
              <w:t>MADDE 457</w:t>
            </w:r>
            <w:r w:rsidR="00AA5C8C" w:rsidRPr="00A23740">
              <w:rPr>
                <w:b/>
              </w:rPr>
              <w:t xml:space="preserve">- </w:t>
            </w:r>
            <w:r w:rsidR="00AA5C8C" w:rsidRPr="00A23740">
              <w:t xml:space="preserve">İhtiyati haciz kararının uygulanması ve teminatın gösterilmesi aynı bölümde düzenlendiğinden, bölüm başlığı “İhtiyati Haciz Kararının Uygulanması ve Borçlunun Teminat Göstermesi“ şeklini almıştır. </w:t>
            </w:r>
          </w:p>
          <w:p w:rsidR="00193A9F" w:rsidRPr="00A23740" w:rsidRDefault="007A6085" w:rsidP="009431FF">
            <w:pPr>
              <w:ind w:firstLine="709"/>
            </w:pPr>
            <w:r w:rsidRPr="0078798F">
              <w:t>2004 sayılı Kanunun</w:t>
            </w:r>
            <w:r w:rsidRPr="00A23740">
              <w:t xml:space="preserve"> ihtiyati </w:t>
            </w:r>
            <w:r w:rsidR="00AA5C8C" w:rsidRPr="00A23740">
              <w:t>haciz kararının uygulanmasına ilişkin</w:t>
            </w:r>
            <w:r w:rsidRPr="00A23740">
              <w:t xml:space="preserve"> </w:t>
            </w:r>
            <w:r w:rsidR="00AA5C8C" w:rsidRPr="00A23740">
              <w:t>261</w:t>
            </w:r>
            <w:r w:rsidRPr="00A23740">
              <w:t xml:space="preserve"> </w:t>
            </w:r>
            <w:r w:rsidRPr="0078798F">
              <w:t>inci</w:t>
            </w:r>
            <w:r w:rsidR="00AA5C8C" w:rsidRPr="0078798F">
              <w:t xml:space="preserve"> </w:t>
            </w:r>
            <w:r w:rsidRPr="0078798F">
              <w:t>maddesi,</w:t>
            </w:r>
            <w:r w:rsidRPr="00A23740">
              <w:t xml:space="preserve"> </w:t>
            </w:r>
            <w:r w:rsidR="00AA5C8C" w:rsidRPr="00A23740">
              <w:t>hak sahipleri ile mahkemeler arasında ciddi sıkıntılara yol açan, anlaşılması güç bir madde olduğu iç</w:t>
            </w:r>
            <w:r w:rsidRPr="00A23740">
              <w:t>in, Komisyon’daki tartışmalarda</w:t>
            </w:r>
            <w:r w:rsidR="00AA5C8C" w:rsidRPr="00A23740">
              <w:t xml:space="preserve"> ihtiyati haczin uygulanma şeklinin açıklığa kavuşturulmasında zorunluluk bulunduğu sonucuna varılmıştır. Bu çerçevede, ilk olarak “Alacaklı, ihtiyati haciz kararının kendisine verildiği tarihten itibaren…” ibaresinde bulunan “verildiği</w:t>
            </w:r>
            <w:r w:rsidRPr="00A23740">
              <w:t>” sözcüğü,  muğlak olduğu için,</w:t>
            </w:r>
            <w:r w:rsidR="00AA5C8C" w:rsidRPr="00A23740">
              <w:t xml:space="preserve"> bu hüküm “Alacaklı, ihtiyati haciz kararının tefhim veya tebliğ edildiği tarihten itibaren…” şeklinde bir ilaveyle açıklığa kavuşturulmuştur. İkinci olarak, ihtiyati haciz kararının infazını istemeden önce, ihtiyati haciz kararının tefhim veya tebliğinden  itibaren bir hafta içinde kararda öngörülen teminatın ihtiyati haciz kararını veren mahkeme nezdinde gösterilmesi ve mahkemenin teminatı uygun bulması h</w:t>
            </w:r>
            <w:r w:rsidR="00C27954" w:rsidRPr="00A23740">
              <w:t>â</w:t>
            </w:r>
            <w:r w:rsidR="00AA5C8C" w:rsidRPr="00A23740">
              <w:t>linde mahkemenin tem</w:t>
            </w:r>
            <w:r w:rsidRPr="00A23740">
              <w:t>inatı bu şekilde uygun</w:t>
            </w:r>
            <w:r w:rsidR="00AA5C8C" w:rsidRPr="00A23740">
              <w:t xml:space="preserve"> bulduğu tarihten itibaren de bir hafta içinde, kararı veren mahkemenin yargı çevresindeki </w:t>
            </w:r>
            <w:r w:rsidR="00AA5C8C" w:rsidRPr="0078798F">
              <w:t>icra</w:t>
            </w:r>
            <w:r w:rsidRPr="0078798F">
              <w:t xml:space="preserve"> ve iflas</w:t>
            </w:r>
            <w:r w:rsidR="00AA5C8C" w:rsidRPr="00A23740">
              <w:t xml:space="preserve"> dairesinden kararın uygulanmasının talep edilmesi zorunluluğunun getirilmesine ilişkin bir düzenleme yapılmıştır. Öngörülen süre içinde teminatın gösterilmemesi veya ihtiyati haciz kararının uygulanmasının talep edilmemesi h</w:t>
            </w:r>
            <w:r w:rsidR="008976AD" w:rsidRPr="00A23740">
              <w:t>â</w:t>
            </w:r>
            <w:r w:rsidR="00AA5C8C" w:rsidRPr="00A23740">
              <w:t>linde</w:t>
            </w:r>
            <w:r w:rsidR="00465F81" w:rsidRPr="00A23740">
              <w:t>,</w:t>
            </w:r>
            <w:r w:rsidR="00AA5C8C" w:rsidRPr="00A23740">
              <w:t xml:space="preserve"> ihtiyati haciz kararı kendiliğinden kalkacaktır. Böylece uygulamadaki farklı yorumlara son verilerek hem ihtiyati hacizde teminatın gösterilmesi konusu ve hem de ihtiyati haczin uygulanmasına başlanılması konusu disiplin altına alınmış olmaktadır. </w:t>
            </w:r>
          </w:p>
          <w:p w:rsidR="00AA5C8C" w:rsidRPr="00A23740" w:rsidRDefault="00AA5C8C" w:rsidP="009431FF">
            <w:pPr>
              <w:ind w:firstLine="709"/>
            </w:pPr>
            <w:r w:rsidRPr="00A23740">
              <w:t xml:space="preserve">Şu hususa da işaret edilmelidir ki, bu hükümde sözü edilen tebligat, aleyhine tedbir istenen kişiye yapılacak tebligat değildir. Türk uygulamasındaki alışkanlıklar nedeniyle bu kişi ihtiyati haciz kararından çok kere ihtiyati haczin uygulanması sırasında haberdar olacak ve itiraz süresi de bu tarihten itibaren işlemeye başlayacaktır. İkinci fıkradaki değişiklik ihtiyati haciz tutanağının nasıl tutulacağını ilgilendirmektedir ve bu konuda </w:t>
            </w:r>
            <w:r w:rsidR="007A6085" w:rsidRPr="0078798F">
              <w:t>2004 sayılı</w:t>
            </w:r>
            <w:r w:rsidR="007A6085" w:rsidRPr="00A23740">
              <w:t xml:space="preserve"> </w:t>
            </w:r>
            <w:r w:rsidRPr="00A23740">
              <w:t xml:space="preserve">Kanundan önemli bir sapma bulunmamaktadır. Hukuk  Muhakemeleri Kanunu ile paralelliği sağlamak için </w:t>
            </w:r>
            <w:r w:rsidR="007A6085" w:rsidRPr="0078798F">
              <w:t>on</w:t>
            </w:r>
            <w:r w:rsidR="007A6085" w:rsidRPr="00A23740">
              <w:t xml:space="preserve"> </w:t>
            </w:r>
            <w:r w:rsidRPr="00A23740">
              <w:t xml:space="preserve">günlük sürenin yerini bir haftalık süre almıştır. İkinci fıkrada, </w:t>
            </w:r>
            <w:r w:rsidR="007A6085" w:rsidRPr="0078798F">
              <w:t>2004 sayılı Kanunun</w:t>
            </w:r>
            <w:r w:rsidR="007A6085" w:rsidRPr="00A23740">
              <w:t xml:space="preserve"> </w:t>
            </w:r>
            <w:r w:rsidRPr="00A23740">
              <w:t>haciz tutanağının tutulmasına ilişkin 102 ve 103 üncü maddele</w:t>
            </w:r>
            <w:r w:rsidRPr="0078798F">
              <w:t>r</w:t>
            </w:r>
            <w:r w:rsidR="007A6085" w:rsidRPr="0078798F">
              <w:t>i</w:t>
            </w:r>
            <w:r w:rsidRPr="0078798F">
              <w:t xml:space="preserve"> </w:t>
            </w:r>
            <w:r w:rsidRPr="00A23740">
              <w:t>de fıkraya eklenmiştir. Üçüncü fıkrada ilkesel bir değişiklik yoktur; hüküm sadece dil ve içerik yönünden açıklığa kavuşturulmuştur.</w:t>
            </w:r>
          </w:p>
          <w:p w:rsidR="00AA5C8C" w:rsidRPr="00A23740" w:rsidRDefault="00AA5C8C" w:rsidP="00F76168">
            <w:pPr>
              <w:rPr>
                <w:rFonts w:eastAsia="Times New Roman"/>
                <w:b/>
                <w:color w:val="0000FF"/>
                <w:szCs w:val="24"/>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pStyle w:val="KIRMIZI"/>
              <w:rPr>
                <w:lang w:val="tr-TR"/>
              </w:rPr>
            </w:pPr>
            <w:r w:rsidRPr="00A23740">
              <w:rPr>
                <w:lang w:val="tr-TR"/>
              </w:rPr>
              <w:t>Zabıt tutma ve haciz tutanağının tebliği :</w:t>
            </w:r>
          </w:p>
          <w:p w:rsidR="00AA5C8C" w:rsidRPr="00A23740" w:rsidRDefault="00AA5C8C" w:rsidP="009431FF">
            <w:pPr>
              <w:pStyle w:val="KIRMIZI"/>
              <w:rPr>
                <w:lang w:val="tr-TR"/>
              </w:rPr>
            </w:pPr>
            <w:r w:rsidRPr="00A23740">
              <w:rPr>
                <w:lang w:val="tr-TR"/>
              </w:rPr>
              <w:t xml:space="preserve">Madde 262 – </w:t>
            </w:r>
            <w:r w:rsidRPr="00A23740">
              <w:rPr>
                <w:rStyle w:val="KIRMIZIChar"/>
                <w:rFonts w:eastAsia="Calibri"/>
                <w:b/>
                <w:bCs/>
                <w:strike/>
                <w:lang w:val="tr-TR"/>
              </w:rPr>
              <w:t>(1)</w:t>
            </w:r>
            <w:r w:rsidRPr="00A23740">
              <w:rPr>
                <w:lang w:val="tr-TR"/>
              </w:rPr>
              <w:t xml:space="preserve"> (Değişik: 18/2/1965 - 538/102 md.)</w:t>
            </w:r>
          </w:p>
          <w:p w:rsidR="00AA5C8C" w:rsidRPr="00A23740" w:rsidRDefault="00AA5C8C" w:rsidP="009431FF">
            <w:pPr>
              <w:pStyle w:val="KIRMIZI"/>
              <w:rPr>
                <w:lang w:val="tr-TR"/>
              </w:rPr>
            </w:pPr>
            <w:r w:rsidRPr="00A23740">
              <w:rPr>
                <w:lang w:val="tr-TR"/>
              </w:rPr>
              <w:t>Haczi icra eden memur bir tutanak düzenler. Bunda haczolunan şeyler ve kıymetleri gösterilir ve derhal icra dairesine verilir.</w:t>
            </w:r>
          </w:p>
          <w:p w:rsidR="00AA5C8C" w:rsidRPr="00A23740" w:rsidRDefault="00AA5C8C" w:rsidP="009431FF">
            <w:pPr>
              <w:pStyle w:val="KIRMIZI"/>
              <w:rPr>
                <w:lang w:val="tr-TR"/>
              </w:rPr>
            </w:pPr>
          </w:p>
          <w:p w:rsidR="00AA5C8C" w:rsidRPr="00A23740" w:rsidRDefault="00AA5C8C" w:rsidP="009431FF">
            <w:pPr>
              <w:pStyle w:val="KIRMIZI"/>
              <w:rPr>
                <w:lang w:val="tr-TR"/>
              </w:rPr>
            </w:pPr>
            <w:r w:rsidRPr="00A23740">
              <w:rPr>
                <w:rStyle w:val="KIRMIZIChar"/>
                <w:rFonts w:eastAsia="Calibri"/>
                <w:b/>
                <w:bCs/>
                <w:strike/>
                <w:lang w:val="tr-TR"/>
              </w:rPr>
              <w:t>(2)</w:t>
            </w:r>
            <w:r w:rsidRPr="00A23740">
              <w:rPr>
                <w:lang w:val="tr-TR"/>
              </w:rPr>
              <w:t xml:space="preserve"> İcra dairesi, ihtiyati haciz tutanağının birer suretini üç gün içinde haciz sırasında hazır bulunmıyan alacaklı ve borçluya ve icabında üçüncü şahsa tebliğ eder.</w:t>
            </w:r>
          </w:p>
          <w:p w:rsidR="00AA5C8C" w:rsidRPr="00A23740" w:rsidRDefault="00AA5C8C" w:rsidP="009431FF">
            <w:pPr>
              <w:rPr>
                <w:b/>
                <w:szCs w:val="24"/>
              </w:rPr>
            </w:pPr>
          </w:p>
        </w:tc>
        <w:tc>
          <w:tcPr>
            <w:tcW w:w="2500" w:type="pct"/>
          </w:tcPr>
          <w:p w:rsidR="00AA5C8C" w:rsidRPr="00A23740" w:rsidRDefault="00AA5C8C" w:rsidP="009431FF">
            <w:pPr>
              <w:pStyle w:val="KIRMIZI"/>
              <w:rPr>
                <w:b w:val="0"/>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pStyle w:val="KIRMIZI"/>
            </w:pPr>
            <w:r w:rsidRPr="00A23740">
              <w:t xml:space="preserve">Borçlu tarafından gösterilecek teminat </w:t>
            </w:r>
            <w:r w:rsidRPr="00A23740">
              <w:rPr>
                <w:rStyle w:val="KIRMIZIChar"/>
                <w:rFonts w:eastAsia="Calibri"/>
              </w:rPr>
              <w:t>:</w:t>
            </w:r>
          </w:p>
          <w:p w:rsidR="00AA5C8C" w:rsidRPr="00A23740" w:rsidRDefault="00AA5C8C" w:rsidP="009431FF">
            <w:pPr>
              <w:pStyle w:val="KIRMIZI"/>
              <w:rPr>
                <w:lang w:val="tr-TR"/>
              </w:rPr>
            </w:pPr>
            <w:r w:rsidRPr="00A23740">
              <w:rPr>
                <w:lang w:val="tr-TR"/>
              </w:rPr>
              <w:t xml:space="preserve">Madde 263 – </w:t>
            </w:r>
            <w:r w:rsidRPr="00A23740">
              <w:rPr>
                <w:rFonts w:eastAsia="Calibri"/>
              </w:rPr>
              <w:t>(1)</w:t>
            </w:r>
            <w:r w:rsidRPr="00A23740">
              <w:t xml:space="preserve"> (</w:t>
            </w:r>
            <w:r w:rsidRPr="00A23740">
              <w:rPr>
                <w:lang w:val="tr-TR"/>
              </w:rPr>
              <w:t>Değişik: 18/2/1965 - 538/103 md.)</w:t>
            </w:r>
          </w:p>
          <w:p w:rsidR="00AA5C8C" w:rsidRPr="00A23740" w:rsidRDefault="00AA5C8C" w:rsidP="009431FF">
            <w:pPr>
              <w:tabs>
                <w:tab w:val="left" w:pos="567"/>
              </w:tabs>
              <w:rPr>
                <w:b/>
                <w:strike/>
                <w:color w:val="FF0000"/>
                <w:szCs w:val="24"/>
              </w:rPr>
            </w:pPr>
            <w:r w:rsidRPr="00A23740">
              <w:rPr>
                <w:rStyle w:val="KIRMIZIChar"/>
                <w:rFonts w:eastAsia="Calibri"/>
              </w:rPr>
              <w:t>Haczolunan</w:t>
            </w:r>
            <w:r w:rsidRPr="00A23740">
              <w:rPr>
                <w:szCs w:val="24"/>
              </w:rPr>
              <w:t xml:space="preserve"> mallar istenildiği zaman para veya ayın olarak verilmek ve bu hususu </w:t>
            </w:r>
            <w:r w:rsidRPr="00A23740">
              <w:rPr>
                <w:rStyle w:val="KIRMIZIChar"/>
                <w:rFonts w:eastAsia="Calibri"/>
              </w:rPr>
              <w:t>temin</w:t>
            </w:r>
            <w:r w:rsidRPr="00A23740">
              <w:rPr>
                <w:szCs w:val="24"/>
              </w:rPr>
              <w:t xml:space="preserve"> için malların kıymetleri depo edilmek veya icra memuru tarafından kabul edilecek esham ve tahvilat veya taşınır ve taşınmaz rehin veya muteber bir banka kefaleti gösterilmek şartiyle borçluya ve mal üçüncü </w:t>
            </w:r>
            <w:r w:rsidRPr="00A23740">
              <w:rPr>
                <w:rStyle w:val="KIRMIZIChar"/>
                <w:rFonts w:eastAsia="Calibri"/>
              </w:rPr>
              <w:t>şahıs</w:t>
            </w:r>
            <w:r w:rsidRPr="00A23740">
              <w:rPr>
                <w:szCs w:val="24"/>
              </w:rPr>
              <w:t xml:space="preserve"> elinde </w:t>
            </w:r>
            <w:r w:rsidRPr="00A23740">
              <w:rPr>
                <w:rStyle w:val="KIRMIZIChar"/>
                <w:rFonts w:eastAsia="Calibri"/>
              </w:rPr>
              <w:t>haczolunmuşsa</w:t>
            </w:r>
            <w:r w:rsidRPr="00A23740">
              <w:rPr>
                <w:szCs w:val="24"/>
              </w:rPr>
              <w:t xml:space="preserve"> bir taahhüt senedi alınarak bu </w:t>
            </w:r>
            <w:r w:rsidRPr="00A23740">
              <w:rPr>
                <w:rStyle w:val="KIRMIZIChar"/>
                <w:rFonts w:eastAsia="Calibri"/>
              </w:rPr>
              <w:t>şahsa</w:t>
            </w:r>
            <w:r w:rsidRPr="00A23740">
              <w:rPr>
                <w:szCs w:val="24"/>
              </w:rPr>
              <w:t xml:space="preserve"> bırakılabilir. İstenilecek teminat </w:t>
            </w:r>
            <w:r w:rsidRPr="00A23740">
              <w:rPr>
                <w:rStyle w:val="KIRMIZIChar"/>
                <w:rFonts w:eastAsia="Calibri"/>
              </w:rPr>
              <w:t>her halde</w:t>
            </w:r>
            <w:r w:rsidRPr="00A23740">
              <w:rPr>
                <w:szCs w:val="24"/>
              </w:rPr>
              <w:t xml:space="preserve"> borç ve </w:t>
            </w:r>
            <w:r w:rsidRPr="00A23740">
              <w:rPr>
                <w:rStyle w:val="KIRMIZIChar"/>
                <w:rFonts w:eastAsia="Calibri"/>
              </w:rPr>
              <w:t>masraf</w:t>
            </w:r>
            <w:r w:rsidRPr="00A23740">
              <w:rPr>
                <w:szCs w:val="24"/>
              </w:rPr>
              <w:t xml:space="preserve"> tutarını geçemez.</w:t>
            </w:r>
          </w:p>
        </w:tc>
        <w:tc>
          <w:tcPr>
            <w:tcW w:w="2500" w:type="pct"/>
            <w:shd w:val="clear" w:color="auto" w:fill="FFFFFF"/>
          </w:tcPr>
          <w:p w:rsidR="00AA5C8C" w:rsidRPr="00A23740" w:rsidRDefault="00193A9F" w:rsidP="009431FF">
            <w:pPr>
              <w:pStyle w:val="Mavi"/>
              <w:rPr>
                <w:rStyle w:val="YELChar"/>
                <w:rFonts w:eastAsia="Calibri"/>
                <w:b/>
                <w:color w:val="0000FF"/>
                <w:lang w:eastAsia="x-none"/>
              </w:rPr>
            </w:pPr>
            <w:r w:rsidRPr="0078798F">
              <w:t>İhtiyaten</w:t>
            </w:r>
            <w:r w:rsidRPr="00A23740">
              <w:rPr>
                <w:rStyle w:val="YELChar"/>
                <w:rFonts w:eastAsia="Calibri"/>
                <w:b/>
                <w:color w:val="0000FF"/>
                <w:lang w:val="tr-TR" w:eastAsia="x-none"/>
              </w:rPr>
              <w:t xml:space="preserve"> h</w:t>
            </w:r>
            <w:r w:rsidRPr="00A23740">
              <w:rPr>
                <w:rStyle w:val="YELChar"/>
                <w:rFonts w:eastAsia="Calibri"/>
                <w:b/>
                <w:color w:val="0000FF"/>
                <w:lang w:eastAsia="x-none"/>
              </w:rPr>
              <w:t xml:space="preserve">aczedilenin </w:t>
            </w:r>
            <w:r w:rsidR="00AA5C8C" w:rsidRPr="00A23740">
              <w:rPr>
                <w:rStyle w:val="YELChar"/>
                <w:rFonts w:eastAsia="Calibri"/>
                <w:b/>
                <w:color w:val="0000FF"/>
                <w:lang w:val="tr-TR" w:eastAsia="x-none"/>
              </w:rPr>
              <w:t>t</w:t>
            </w:r>
            <w:r w:rsidR="00AA5C8C" w:rsidRPr="00A23740">
              <w:rPr>
                <w:rStyle w:val="YELChar"/>
                <w:rFonts w:eastAsia="Calibri"/>
                <w:b/>
                <w:color w:val="0000FF"/>
                <w:lang w:eastAsia="x-none"/>
              </w:rPr>
              <w:t>eminat karşılığında borçluya veya üçüncü kişiye bırakılması</w:t>
            </w:r>
          </w:p>
          <w:p w:rsidR="00AA5C8C" w:rsidRPr="00A23740" w:rsidRDefault="003B700B" w:rsidP="009431FF">
            <w:pPr>
              <w:tabs>
                <w:tab w:val="left" w:pos="567"/>
              </w:tabs>
              <w:rPr>
                <w:szCs w:val="24"/>
              </w:rPr>
            </w:pPr>
            <w:r w:rsidRPr="00A23740">
              <w:rPr>
                <w:rStyle w:val="MaviChar"/>
                <w:lang w:val="tr-TR"/>
              </w:rPr>
              <w:t>MADDE 458</w:t>
            </w:r>
            <w:r w:rsidR="00AA5C8C" w:rsidRPr="00A23740">
              <w:rPr>
                <w:rStyle w:val="MaviChar"/>
                <w:lang w:val="tr-TR"/>
              </w:rPr>
              <w:t>- (1)</w:t>
            </w:r>
            <w:r w:rsidR="00AA5C8C" w:rsidRPr="00A23740">
              <w:rPr>
                <w:szCs w:val="24"/>
              </w:rPr>
              <w:t xml:space="preserve"> </w:t>
            </w:r>
            <w:r w:rsidR="00193A9F" w:rsidRPr="0078798F">
              <w:rPr>
                <w:rStyle w:val="MaviChar"/>
              </w:rPr>
              <w:t>İhtiyaten</w:t>
            </w:r>
            <w:r w:rsidR="00193A9F" w:rsidRPr="00A23740">
              <w:rPr>
                <w:szCs w:val="24"/>
              </w:rPr>
              <w:t xml:space="preserve"> </w:t>
            </w:r>
            <w:r w:rsidR="00193A9F" w:rsidRPr="00A23740">
              <w:rPr>
                <w:rStyle w:val="MaviChar"/>
              </w:rPr>
              <w:t>haczedilen</w:t>
            </w:r>
            <w:r w:rsidR="00193A9F" w:rsidRPr="00A23740">
              <w:rPr>
                <w:szCs w:val="24"/>
              </w:rPr>
              <w:t xml:space="preserve"> </w:t>
            </w:r>
            <w:r w:rsidR="00AA5C8C" w:rsidRPr="00A23740">
              <w:rPr>
                <w:szCs w:val="24"/>
              </w:rPr>
              <w:t>mallar</w:t>
            </w:r>
            <w:r w:rsidR="00AA5C8C" w:rsidRPr="00A23740">
              <w:rPr>
                <w:rStyle w:val="MaviChar"/>
              </w:rPr>
              <w:t>,</w:t>
            </w:r>
            <w:r w:rsidR="00AA5C8C" w:rsidRPr="00A23740">
              <w:rPr>
                <w:szCs w:val="24"/>
              </w:rPr>
              <w:t xml:space="preserve"> istenildiği zaman </w:t>
            </w:r>
            <w:r w:rsidR="00AA5C8C" w:rsidRPr="00A23740">
              <w:rPr>
                <w:rStyle w:val="MaviChar"/>
              </w:rPr>
              <w:t xml:space="preserve">aynen veya </w:t>
            </w:r>
            <w:r w:rsidR="00AA5C8C" w:rsidRPr="00A23740">
              <w:rPr>
                <w:szCs w:val="24"/>
              </w:rPr>
              <w:t xml:space="preserve">para olarak verilmek ve bu hususu </w:t>
            </w:r>
            <w:r w:rsidR="00AA5C8C" w:rsidRPr="00A23740">
              <w:rPr>
                <w:rStyle w:val="MaviChar"/>
              </w:rPr>
              <w:t>sağlamak</w:t>
            </w:r>
            <w:r w:rsidR="00AA5C8C" w:rsidRPr="00A23740">
              <w:rPr>
                <w:szCs w:val="24"/>
              </w:rPr>
              <w:t xml:space="preserve"> için malların kıymetleri depo edilmek veya icra </w:t>
            </w:r>
            <w:r w:rsidR="00AA5C8C" w:rsidRPr="00A23740">
              <w:rPr>
                <w:rStyle w:val="MaviChar"/>
              </w:rPr>
              <w:t>ve iflas dairesi</w:t>
            </w:r>
            <w:r w:rsidR="00AA5C8C" w:rsidRPr="00A23740">
              <w:rPr>
                <w:szCs w:val="24"/>
              </w:rPr>
              <w:t xml:space="preserve"> tarafından kabul edilecek </w:t>
            </w:r>
            <w:r w:rsidR="00AA5C8C" w:rsidRPr="00A23740">
              <w:rPr>
                <w:rStyle w:val="MaviChar"/>
              </w:rPr>
              <w:t>teminat</w:t>
            </w:r>
            <w:r w:rsidR="00AA5C8C" w:rsidRPr="00A23740">
              <w:rPr>
                <w:rStyle w:val="KIRMIZIChar"/>
                <w:rFonts w:eastAsia="Calibri"/>
                <w:strike w:val="0"/>
              </w:rPr>
              <w:t xml:space="preserve"> </w:t>
            </w:r>
            <w:r w:rsidR="00AA5C8C" w:rsidRPr="00A23740">
              <w:rPr>
                <w:szCs w:val="24"/>
              </w:rPr>
              <w:t xml:space="preserve">gösterilmek şartıyla borçluya ve mal üçüncü </w:t>
            </w:r>
            <w:r w:rsidR="00AA5C8C" w:rsidRPr="00A23740">
              <w:rPr>
                <w:rStyle w:val="MaviChar"/>
              </w:rPr>
              <w:t>kişi</w:t>
            </w:r>
            <w:r w:rsidR="00AA5C8C" w:rsidRPr="00A23740">
              <w:rPr>
                <w:szCs w:val="24"/>
              </w:rPr>
              <w:t xml:space="preserve"> elinde </w:t>
            </w:r>
            <w:r w:rsidR="00193A9F" w:rsidRPr="0078798F">
              <w:rPr>
                <w:rStyle w:val="MaviChar"/>
              </w:rPr>
              <w:t>ihtiyaten</w:t>
            </w:r>
            <w:r w:rsidR="00193A9F" w:rsidRPr="00A23740">
              <w:rPr>
                <w:szCs w:val="24"/>
              </w:rPr>
              <w:t xml:space="preserve"> </w:t>
            </w:r>
            <w:r w:rsidR="00AA5C8C" w:rsidRPr="00A23740">
              <w:rPr>
                <w:rStyle w:val="MaviChar"/>
              </w:rPr>
              <w:t>haczedilmişse</w:t>
            </w:r>
            <w:r w:rsidR="00193A9F" w:rsidRPr="00D22FBA">
              <w:rPr>
                <w:rStyle w:val="YELChar"/>
                <w:color w:val="0000FF"/>
              </w:rPr>
              <w:t>,</w:t>
            </w:r>
            <w:r w:rsidR="00AA5C8C" w:rsidRPr="00A23740">
              <w:rPr>
                <w:szCs w:val="24"/>
              </w:rPr>
              <w:t xml:space="preserve"> bir taahhüt senedi alınarak bu </w:t>
            </w:r>
            <w:r w:rsidR="00AA5C8C" w:rsidRPr="00A23740">
              <w:rPr>
                <w:rStyle w:val="MaviChar"/>
              </w:rPr>
              <w:t>kişiye</w:t>
            </w:r>
            <w:r w:rsidR="00AA5C8C" w:rsidRPr="00A23740">
              <w:rPr>
                <w:szCs w:val="24"/>
              </w:rPr>
              <w:t xml:space="preserve"> bırakılabilir.</w:t>
            </w:r>
          </w:p>
          <w:p w:rsidR="00AA5C8C" w:rsidRPr="00A23740" w:rsidRDefault="00AA5C8C" w:rsidP="009431FF">
            <w:pPr>
              <w:tabs>
                <w:tab w:val="left" w:pos="567"/>
              </w:tabs>
              <w:rPr>
                <w:szCs w:val="24"/>
              </w:rPr>
            </w:pPr>
          </w:p>
          <w:p w:rsidR="00193A9F" w:rsidRPr="00A23740" w:rsidRDefault="00AA5C8C" w:rsidP="009431FF">
            <w:pPr>
              <w:tabs>
                <w:tab w:val="left" w:pos="567"/>
              </w:tabs>
              <w:rPr>
                <w:szCs w:val="24"/>
              </w:rPr>
            </w:pPr>
            <w:r w:rsidRPr="00A23740">
              <w:rPr>
                <w:rStyle w:val="MaviChar"/>
              </w:rPr>
              <w:t>(2)</w:t>
            </w:r>
            <w:r w:rsidRPr="00A23740">
              <w:rPr>
                <w:szCs w:val="24"/>
              </w:rPr>
              <w:t xml:space="preserve"> </w:t>
            </w:r>
            <w:r w:rsidRPr="00A23740">
              <w:rPr>
                <w:rStyle w:val="MaviChar"/>
              </w:rPr>
              <w:t>Gösterilecek</w:t>
            </w:r>
            <w:r w:rsidRPr="00A23740">
              <w:rPr>
                <w:szCs w:val="24"/>
              </w:rPr>
              <w:t xml:space="preserve"> teminat </w:t>
            </w:r>
            <w:r w:rsidRPr="00A23740">
              <w:rPr>
                <w:rStyle w:val="MaviChar"/>
              </w:rPr>
              <w:t>ihtiyaten haczedilen malın güncel değerini aşamaz ve</w:t>
            </w:r>
            <w:r w:rsidRPr="00A23740">
              <w:rPr>
                <w:szCs w:val="24"/>
              </w:rPr>
              <w:t xml:space="preserve"> </w:t>
            </w:r>
            <w:r w:rsidRPr="00A23740">
              <w:rPr>
                <w:rStyle w:val="MaviChar"/>
              </w:rPr>
              <w:t>hiçbir şekilde</w:t>
            </w:r>
            <w:r w:rsidRPr="00A23740">
              <w:rPr>
                <w:rStyle w:val="MaviChar"/>
                <w:lang w:val="tr-TR"/>
              </w:rPr>
              <w:t xml:space="preserve"> </w:t>
            </w:r>
            <w:r w:rsidRPr="00A23740">
              <w:rPr>
                <w:szCs w:val="24"/>
              </w:rPr>
              <w:t xml:space="preserve">borç ve </w:t>
            </w:r>
            <w:r w:rsidRPr="00A23740">
              <w:rPr>
                <w:rStyle w:val="MaviChar"/>
              </w:rPr>
              <w:t>gider</w:t>
            </w:r>
            <w:r w:rsidRPr="00A23740">
              <w:rPr>
                <w:szCs w:val="24"/>
              </w:rPr>
              <w:t xml:space="preserve"> tutarını geçemez.</w:t>
            </w:r>
          </w:p>
          <w:p w:rsidR="003B700B" w:rsidRPr="00A23740" w:rsidRDefault="003B700B" w:rsidP="009431FF">
            <w:pPr>
              <w:tabs>
                <w:tab w:val="left" w:pos="567"/>
              </w:tabs>
              <w:rPr>
                <w:szCs w:val="24"/>
              </w:rPr>
            </w:pPr>
          </w:p>
        </w:tc>
      </w:tr>
      <w:tr w:rsidR="00BD7568" w:rsidRPr="00A23740" w:rsidTr="009431FF">
        <w:tc>
          <w:tcPr>
            <w:tcW w:w="5000" w:type="pct"/>
            <w:gridSpan w:val="2"/>
            <w:shd w:val="clear" w:color="auto" w:fill="DEEAF6"/>
          </w:tcPr>
          <w:p w:rsidR="009229B3" w:rsidRPr="00A23740" w:rsidRDefault="009229B3" w:rsidP="009431FF">
            <w:pPr>
              <w:tabs>
                <w:tab w:val="left" w:pos="567"/>
              </w:tabs>
              <w:ind w:firstLine="709"/>
              <w:rPr>
                <w:b/>
                <w:bCs/>
                <w:szCs w:val="24"/>
                <w:lang w:eastAsia="x-none"/>
              </w:rPr>
            </w:pPr>
          </w:p>
          <w:p w:rsidR="000946E6" w:rsidRPr="00A23740" w:rsidRDefault="00BD7568" w:rsidP="009431FF">
            <w:pPr>
              <w:tabs>
                <w:tab w:val="left" w:pos="567"/>
              </w:tabs>
              <w:ind w:firstLine="709"/>
              <w:rPr>
                <w:bCs/>
              </w:rPr>
            </w:pPr>
            <w:r w:rsidRPr="00A23740">
              <w:rPr>
                <w:b/>
                <w:bCs/>
                <w:szCs w:val="24"/>
                <w:lang w:eastAsia="x-none"/>
              </w:rPr>
              <w:t xml:space="preserve">MADDE </w:t>
            </w:r>
            <w:r w:rsidR="003B700B" w:rsidRPr="00A23740">
              <w:rPr>
                <w:b/>
                <w:bCs/>
                <w:szCs w:val="24"/>
                <w:lang w:eastAsia="x-none"/>
              </w:rPr>
              <w:t>458</w:t>
            </w:r>
            <w:r w:rsidRPr="00A23740">
              <w:rPr>
                <w:b/>
                <w:bCs/>
                <w:szCs w:val="24"/>
                <w:lang w:eastAsia="x-none"/>
              </w:rPr>
              <w:t>-</w:t>
            </w:r>
            <w:r w:rsidRPr="00A23740">
              <w:rPr>
                <w:bCs/>
                <w:szCs w:val="24"/>
                <w:lang w:eastAsia="x-none"/>
              </w:rPr>
              <w:t xml:space="preserve"> </w:t>
            </w:r>
            <w:r w:rsidR="000946E6" w:rsidRPr="00A23740">
              <w:rPr>
                <w:bCs/>
                <w:szCs w:val="24"/>
                <w:lang w:eastAsia="x-none"/>
              </w:rPr>
              <w:t xml:space="preserve">Maddeyle, </w:t>
            </w:r>
            <w:r w:rsidR="004B77A1" w:rsidRPr="0078798F">
              <w:t>ihtiyaten</w:t>
            </w:r>
            <w:r w:rsidR="004B77A1" w:rsidRPr="00A23740">
              <w:rPr>
                <w:bCs/>
                <w:szCs w:val="24"/>
                <w:lang w:eastAsia="x-none"/>
              </w:rPr>
              <w:t xml:space="preserve"> </w:t>
            </w:r>
            <w:r w:rsidR="000946E6" w:rsidRPr="00A23740">
              <w:rPr>
                <w:bCs/>
              </w:rPr>
              <w:t xml:space="preserve">haczedilenin teminat karşılığında borçluya veya üçüncü kişiye bırakılmasına ilişkin hususlar düzenlenmektedir. Hüküm, 2004 sayılı Kanunun 263 üncü maddesine karşılık gelmektedir. </w:t>
            </w:r>
          </w:p>
          <w:p w:rsidR="009229B3" w:rsidRPr="00A23740" w:rsidRDefault="009229B3" w:rsidP="009431FF">
            <w:pPr>
              <w:tabs>
                <w:tab w:val="left" w:pos="567"/>
              </w:tabs>
              <w:ind w:firstLine="709"/>
              <w:rPr>
                <w:bCs/>
                <w:szCs w:val="24"/>
                <w:lang w:eastAsia="x-none"/>
              </w:rPr>
            </w:pPr>
            <w:r w:rsidRPr="00A23740">
              <w:rPr>
                <w:bCs/>
                <w:szCs w:val="24"/>
                <w:lang w:eastAsia="x-none"/>
              </w:rPr>
              <w:t xml:space="preserve">Haczedilen mallar borç ve masraf tutarını geçmeyecek bir teminat karşılığında borçluya ve mal üçüncü kişi elinde </w:t>
            </w:r>
            <w:r w:rsidR="004B77A1" w:rsidRPr="0078798F">
              <w:t>ihtiyaten</w:t>
            </w:r>
            <w:r w:rsidR="004B77A1" w:rsidRPr="00A23740">
              <w:rPr>
                <w:bCs/>
                <w:color w:val="385623"/>
                <w:szCs w:val="24"/>
                <w:lang w:eastAsia="x-none"/>
              </w:rPr>
              <w:t xml:space="preserve"> </w:t>
            </w:r>
            <w:r w:rsidRPr="00A23740">
              <w:rPr>
                <w:bCs/>
                <w:szCs w:val="24"/>
                <w:lang w:eastAsia="x-none"/>
              </w:rPr>
              <w:t>haczedilmişse bir taahhüt senedi alınarak üçüncü kişiye bırakılabilecektir.</w:t>
            </w:r>
          </w:p>
          <w:p w:rsidR="00BD7568" w:rsidRPr="00A23740" w:rsidRDefault="009229B3" w:rsidP="009431FF">
            <w:pPr>
              <w:tabs>
                <w:tab w:val="left" w:pos="567"/>
              </w:tabs>
              <w:ind w:firstLine="709"/>
              <w:rPr>
                <w:bCs/>
                <w:szCs w:val="24"/>
                <w:lang w:eastAsia="x-none"/>
              </w:rPr>
            </w:pPr>
            <w:r w:rsidRPr="00A23740">
              <w:rPr>
                <w:bCs/>
                <w:szCs w:val="24"/>
                <w:lang w:eastAsia="x-none"/>
              </w:rPr>
              <w:t>İhtiyaten haczedilen malın değeri alacak miktarından fazla olsa bile teminat, alacağı karşılayacak miktar üzerinden hesaplanacaktır.</w:t>
            </w:r>
          </w:p>
          <w:p w:rsidR="00BD7568" w:rsidRPr="00A23740" w:rsidRDefault="00BD756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widowControl w:val="0"/>
              <w:tabs>
                <w:tab w:val="left" w:pos="567"/>
              </w:tabs>
              <w:rPr>
                <w:b/>
                <w:szCs w:val="24"/>
              </w:rPr>
            </w:pPr>
          </w:p>
          <w:p w:rsidR="00AA5C8C" w:rsidRPr="00A23740" w:rsidRDefault="00AA5C8C" w:rsidP="009431FF">
            <w:pPr>
              <w:widowControl w:val="0"/>
              <w:tabs>
                <w:tab w:val="left" w:pos="567"/>
              </w:tabs>
              <w:rPr>
                <w:b/>
                <w:szCs w:val="24"/>
              </w:rPr>
            </w:pPr>
          </w:p>
          <w:p w:rsidR="00AA5C8C" w:rsidRPr="00A23740" w:rsidRDefault="00AA5C8C" w:rsidP="009431FF">
            <w:pPr>
              <w:widowControl w:val="0"/>
              <w:tabs>
                <w:tab w:val="left" w:pos="567"/>
              </w:tabs>
              <w:rPr>
                <w:b/>
                <w:szCs w:val="24"/>
              </w:rPr>
            </w:pPr>
          </w:p>
          <w:p w:rsidR="00AA5C8C" w:rsidRPr="00A23740" w:rsidRDefault="00AA5C8C" w:rsidP="009431FF">
            <w:pPr>
              <w:widowControl w:val="0"/>
              <w:tabs>
                <w:tab w:val="left" w:pos="567"/>
              </w:tabs>
              <w:rPr>
                <w:b/>
                <w:szCs w:val="24"/>
              </w:rPr>
            </w:pPr>
            <w:r w:rsidRPr="00A23740">
              <w:rPr>
                <w:b/>
                <w:szCs w:val="24"/>
              </w:rPr>
              <w:t xml:space="preserve">İhtiyati haczi tamamlıyan </w:t>
            </w:r>
            <w:r w:rsidRPr="00A23740">
              <w:rPr>
                <w:b/>
                <w:strike/>
                <w:color w:val="FF0000"/>
                <w:szCs w:val="24"/>
              </w:rPr>
              <w:t>merasim</w:t>
            </w:r>
            <w:r w:rsidRPr="00A23740">
              <w:rPr>
                <w:b/>
                <w:szCs w:val="24"/>
              </w:rPr>
              <w:t xml:space="preserve"> </w:t>
            </w:r>
            <w:r w:rsidRPr="00A23740">
              <w:rPr>
                <w:b/>
                <w:strike/>
                <w:color w:val="FF0000"/>
                <w:szCs w:val="24"/>
              </w:rPr>
              <w:t>:</w:t>
            </w:r>
          </w:p>
          <w:p w:rsidR="00AA5C8C" w:rsidRPr="00A23740" w:rsidRDefault="00AA5C8C" w:rsidP="009431FF">
            <w:pPr>
              <w:widowControl w:val="0"/>
              <w:tabs>
                <w:tab w:val="left" w:pos="567"/>
              </w:tabs>
              <w:rPr>
                <w:b/>
                <w:szCs w:val="24"/>
              </w:rPr>
            </w:pPr>
            <w:r w:rsidRPr="00A23740">
              <w:rPr>
                <w:rStyle w:val="KIRMIZIChar"/>
                <w:rFonts w:eastAsia="Calibri"/>
              </w:rPr>
              <w:t>Madde 264 – (1) (</w:t>
            </w:r>
            <w:r w:rsidRPr="00A23740">
              <w:rPr>
                <w:b/>
                <w:strike/>
                <w:color w:val="FF0000"/>
                <w:szCs w:val="24"/>
              </w:rPr>
              <w:t>Değişik: 18/2/1965 - 538/104 md.)</w:t>
            </w:r>
          </w:p>
          <w:p w:rsidR="00AA5C8C" w:rsidRPr="00A23740" w:rsidRDefault="00AA5C8C" w:rsidP="009431FF">
            <w:pPr>
              <w:widowControl w:val="0"/>
              <w:tabs>
                <w:tab w:val="left" w:pos="567"/>
              </w:tabs>
              <w:rPr>
                <w:szCs w:val="24"/>
              </w:rPr>
            </w:pPr>
            <w:r w:rsidRPr="00A23740">
              <w:rPr>
                <w:szCs w:val="24"/>
              </w:rPr>
              <w:t xml:space="preserve">Dava açılmadan veya icra takibine başlanmadan evvel ihtiyati </w:t>
            </w:r>
            <w:r w:rsidRPr="00A23740">
              <w:rPr>
                <w:rStyle w:val="KIRMIZIChar"/>
                <w:rFonts w:eastAsia="Calibri"/>
              </w:rPr>
              <w:t>haciz yaptırmış</w:t>
            </w:r>
            <w:r w:rsidRPr="00A23740">
              <w:rPr>
                <w:szCs w:val="24"/>
              </w:rPr>
              <w:t xml:space="preserve"> olan alacaklı; </w:t>
            </w:r>
            <w:r w:rsidRPr="00A23740">
              <w:rPr>
                <w:b/>
                <w:strike/>
                <w:color w:val="FF0000"/>
                <w:szCs w:val="24"/>
              </w:rPr>
              <w:t>haczin tatbikinden, haciz gıyabında yapılmışsa</w:t>
            </w:r>
            <w:r w:rsidRPr="00A23740">
              <w:rPr>
                <w:szCs w:val="24"/>
              </w:rPr>
              <w:t xml:space="preserve"> haciz tutanağının kendisine tebliğinden itibaren </w:t>
            </w:r>
            <w:r w:rsidRPr="00A23740">
              <w:rPr>
                <w:b/>
                <w:strike/>
                <w:color w:val="FF0000"/>
                <w:szCs w:val="24"/>
              </w:rPr>
              <w:t>yedi gün</w:t>
            </w:r>
            <w:r w:rsidRPr="00A23740">
              <w:rPr>
                <w:szCs w:val="24"/>
              </w:rPr>
              <w:t xml:space="preserve"> içinde </w:t>
            </w:r>
            <w:r w:rsidRPr="00A23740">
              <w:rPr>
                <w:b/>
                <w:strike/>
                <w:color w:val="FF0000"/>
                <w:szCs w:val="24"/>
              </w:rPr>
              <w:t>ya</w:t>
            </w:r>
            <w:r w:rsidRPr="00A23740">
              <w:rPr>
                <w:szCs w:val="24"/>
              </w:rPr>
              <w:t xml:space="preserve"> takip talebinde </w:t>
            </w:r>
            <w:r w:rsidRPr="00A23740">
              <w:rPr>
                <w:b/>
                <w:strike/>
                <w:color w:val="FF0000"/>
                <w:szCs w:val="24"/>
              </w:rPr>
              <w:t>(Haciz veya iflas) bulunmaya</w:t>
            </w:r>
            <w:r w:rsidRPr="00A23740">
              <w:rPr>
                <w:szCs w:val="24"/>
              </w:rPr>
              <w:t xml:space="preserve"> veya dava açma</w:t>
            </w:r>
            <w:r w:rsidRPr="00A23740">
              <w:rPr>
                <w:b/>
                <w:strike/>
                <w:color w:val="FF0000"/>
                <w:szCs w:val="24"/>
              </w:rPr>
              <w:t>ya mecburdur.</w:t>
            </w:r>
          </w:p>
          <w:p w:rsidR="00AA5C8C" w:rsidRPr="00A23740" w:rsidRDefault="00AA5C8C" w:rsidP="009431FF">
            <w:pPr>
              <w:widowControl w:val="0"/>
              <w:tabs>
                <w:tab w:val="left" w:pos="567"/>
              </w:tabs>
              <w:rPr>
                <w:szCs w:val="24"/>
              </w:rPr>
            </w:pPr>
            <w:r w:rsidRPr="00A23740">
              <w:rPr>
                <w:szCs w:val="24"/>
              </w:rPr>
              <w:br w:type="page"/>
            </w:r>
          </w:p>
          <w:p w:rsidR="00AA5C8C" w:rsidRPr="00A23740" w:rsidRDefault="00AA5C8C" w:rsidP="009431FF">
            <w:pPr>
              <w:widowControl w:val="0"/>
              <w:tabs>
                <w:tab w:val="left" w:pos="567"/>
              </w:tabs>
              <w:rPr>
                <w:szCs w:val="24"/>
              </w:rPr>
            </w:pPr>
            <w:r w:rsidRPr="00A23740">
              <w:rPr>
                <w:rStyle w:val="KIRMIZIChar"/>
                <w:rFonts w:eastAsia="Calibri"/>
              </w:rPr>
              <w:t>(2)</w:t>
            </w:r>
            <w:r w:rsidRPr="00A23740">
              <w:rPr>
                <w:rFonts w:eastAsia="Times New Roman"/>
                <w:color w:val="000000"/>
                <w:szCs w:val="24"/>
                <w:lang w:eastAsia="tr-TR"/>
              </w:rPr>
              <w:t xml:space="preserve"> </w:t>
            </w:r>
            <w:r w:rsidRPr="00A23740">
              <w:rPr>
                <w:b/>
                <w:strike/>
                <w:color w:val="FF0000"/>
                <w:szCs w:val="24"/>
              </w:rPr>
              <w:t>İcra takibinde,</w:t>
            </w:r>
            <w:r w:rsidRPr="00A23740">
              <w:rPr>
                <w:szCs w:val="24"/>
              </w:rPr>
              <w:t xml:space="preserve"> borçlu ödeme emrine itiraz ederse </w:t>
            </w:r>
            <w:r w:rsidRPr="00A23740">
              <w:rPr>
                <w:b/>
                <w:strike/>
                <w:color w:val="FF0000"/>
                <w:szCs w:val="24"/>
              </w:rPr>
              <w:t>bu itiraz hemen alacaklıya tebliğ olunur.</w:t>
            </w:r>
            <w:r w:rsidRPr="00A23740">
              <w:rPr>
                <w:szCs w:val="24"/>
              </w:rPr>
              <w:t xml:space="preserve"> Alacaklı, tebliğ </w:t>
            </w:r>
            <w:r w:rsidRPr="00A23740">
              <w:rPr>
                <w:rStyle w:val="KIRMIZIChar"/>
                <w:rFonts w:eastAsia="Calibri"/>
              </w:rPr>
              <w:t>tarihinden</w:t>
            </w:r>
            <w:r w:rsidRPr="00A23740">
              <w:rPr>
                <w:szCs w:val="24"/>
              </w:rPr>
              <w:t xml:space="preserve"> itibaren </w:t>
            </w:r>
            <w:r w:rsidRPr="00A23740">
              <w:rPr>
                <w:b/>
                <w:strike/>
                <w:color w:val="FF0000"/>
                <w:szCs w:val="24"/>
              </w:rPr>
              <w:t>yedi gün</w:t>
            </w:r>
            <w:r w:rsidRPr="00A23740">
              <w:rPr>
                <w:szCs w:val="24"/>
              </w:rPr>
              <w:t xml:space="preserve"> içinde </w:t>
            </w:r>
            <w:r w:rsidRPr="00A23740">
              <w:rPr>
                <w:b/>
                <w:strike/>
                <w:color w:val="FF0000"/>
                <w:szCs w:val="24"/>
              </w:rPr>
              <w:t>icra mahkemesinden itirazın kaldırılmasını istemeye veya mahkemede</w:t>
            </w:r>
            <w:r w:rsidRPr="00A23740">
              <w:rPr>
                <w:szCs w:val="24"/>
              </w:rPr>
              <w:t xml:space="preserve"> dava açma</w:t>
            </w:r>
            <w:r w:rsidRPr="00A23740">
              <w:rPr>
                <w:b/>
                <w:strike/>
                <w:color w:val="FF0000"/>
                <w:szCs w:val="24"/>
              </w:rPr>
              <w:t>ya mecburdur. İcra mahkemesi, itirazın kaldırılması talebini reddederse alacaklının kararın tefhim veya tebliği tarihinden itibaren yedi gün içinde dava açması lazımdır.</w:t>
            </w:r>
          </w:p>
          <w:p w:rsidR="00AA5C8C" w:rsidRPr="00A23740" w:rsidRDefault="00AA5C8C" w:rsidP="009431FF">
            <w:pPr>
              <w:widowControl w:val="0"/>
              <w:tabs>
                <w:tab w:val="left" w:pos="567"/>
              </w:tabs>
              <w:rPr>
                <w:b/>
                <w:szCs w:val="24"/>
              </w:rPr>
            </w:pPr>
          </w:p>
          <w:p w:rsidR="00AA5C8C" w:rsidRPr="00A23740" w:rsidRDefault="00AA5C8C" w:rsidP="009431FF">
            <w:pPr>
              <w:widowControl w:val="0"/>
              <w:tabs>
                <w:tab w:val="left" w:pos="567"/>
              </w:tabs>
              <w:rPr>
                <w:szCs w:val="24"/>
              </w:rPr>
            </w:pPr>
            <w:r w:rsidRPr="00A23740">
              <w:rPr>
                <w:rStyle w:val="KIRMIZIChar"/>
                <w:rFonts w:eastAsia="Calibri"/>
              </w:rPr>
              <w:t>(3)</w:t>
            </w:r>
            <w:r w:rsidRPr="00A23740">
              <w:rPr>
                <w:rFonts w:eastAsia="Times New Roman"/>
                <w:color w:val="000000"/>
                <w:szCs w:val="24"/>
                <w:lang w:eastAsia="tr-TR"/>
              </w:rPr>
              <w:t xml:space="preserve"> </w:t>
            </w:r>
            <w:r w:rsidRPr="00A23740">
              <w:rPr>
                <w:b/>
                <w:strike/>
                <w:color w:val="FF0000"/>
                <w:szCs w:val="24"/>
              </w:rPr>
              <w:t>(Değişik üçüncü fıkra: 17/7/2003-4949/62 md.)</w:t>
            </w:r>
            <w:r w:rsidRPr="00A23740">
              <w:rPr>
                <w:szCs w:val="24"/>
              </w:rPr>
              <w:t xml:space="preserve"> </w:t>
            </w:r>
            <w:r w:rsidRPr="00A23740">
              <w:rPr>
                <w:rStyle w:val="KIRMIZIChar"/>
                <w:rFonts w:eastAsia="Calibri"/>
              </w:rPr>
              <w:t>İhtiyatî</w:t>
            </w:r>
            <w:r w:rsidRPr="00A23740">
              <w:rPr>
                <w:szCs w:val="24"/>
              </w:rPr>
              <w:t xml:space="preserve"> haciz, alacak davasının mahkemede görüldüğü sırada konulmuş veya alacaklı birinci fıkraya göre mahkemede dava açmış ise, esas hakkında verilecek hükmün </w:t>
            </w:r>
            <w:r w:rsidRPr="00A23740">
              <w:rPr>
                <w:rStyle w:val="KIRMIZIChar"/>
                <w:rFonts w:eastAsia="Calibri"/>
              </w:rPr>
              <w:t>mahkemece</w:t>
            </w:r>
            <w:r w:rsidRPr="00A23740">
              <w:rPr>
                <w:szCs w:val="24"/>
              </w:rPr>
              <w:t xml:space="preserve"> tebliğinden itibaren bir ay içinde alacaklı takip talebinde bulunma</w:t>
            </w:r>
            <w:r w:rsidRPr="00A23740">
              <w:rPr>
                <w:rStyle w:val="KIRMIZIChar"/>
                <w:rFonts w:eastAsia="Calibri"/>
              </w:rPr>
              <w:t>ya mecburdur</w:t>
            </w:r>
            <w:r w:rsidRPr="00A23740">
              <w:rPr>
                <w:szCs w:val="24"/>
              </w:rPr>
              <w:t>.</w:t>
            </w: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b/>
                <w:strike/>
                <w:color w:val="FF0000"/>
                <w:szCs w:val="24"/>
              </w:rPr>
            </w:pPr>
            <w:r w:rsidRPr="00A23740">
              <w:rPr>
                <w:rStyle w:val="KIRMIZIChar"/>
                <w:rFonts w:eastAsia="Calibri"/>
              </w:rPr>
              <w:t>(4)</w:t>
            </w:r>
            <w:r w:rsidRPr="00A23740">
              <w:rPr>
                <w:rFonts w:eastAsia="Times New Roman"/>
                <w:color w:val="000000"/>
                <w:szCs w:val="24"/>
                <w:lang w:eastAsia="tr-TR"/>
              </w:rPr>
              <w:t xml:space="preserve"> </w:t>
            </w:r>
            <w:r w:rsidRPr="00A23740">
              <w:rPr>
                <w:rStyle w:val="KIRMIZIChar"/>
                <w:rFonts w:eastAsia="Calibri"/>
              </w:rPr>
              <w:t>Alacaklı bu müddetleri geçirir veya davasından yahut takip talebinden vazgeçerse veya takip talebi kanuni müddetlerin geçmesiyle düşerse veya dava dosyası muameleden kaldırılıp da bir ay içinde dava yenilenmezse veya davasında haksız çıkarsa ihtiyati haciz hükümsüz kalır ve alakadarlar isterse lazım gelenlere bildirilir.</w:t>
            </w:r>
          </w:p>
          <w:p w:rsidR="00AA5C8C" w:rsidRPr="00A23740" w:rsidRDefault="00AA5C8C" w:rsidP="009431FF">
            <w:pPr>
              <w:widowControl w:val="0"/>
              <w:tabs>
                <w:tab w:val="left" w:pos="567"/>
              </w:tabs>
              <w:rPr>
                <w:b/>
                <w:strike/>
                <w:color w:val="FF0000"/>
                <w:szCs w:val="24"/>
              </w:rPr>
            </w:pPr>
          </w:p>
          <w:p w:rsidR="003B700B" w:rsidRPr="00A23740" w:rsidRDefault="003B700B" w:rsidP="009431FF">
            <w:pPr>
              <w:widowControl w:val="0"/>
              <w:tabs>
                <w:tab w:val="left" w:pos="567"/>
              </w:tabs>
              <w:rPr>
                <w:szCs w:val="24"/>
              </w:rPr>
            </w:pPr>
          </w:p>
          <w:p w:rsidR="00277039" w:rsidRDefault="00AA5C8C" w:rsidP="009431FF">
            <w:pPr>
              <w:widowControl w:val="0"/>
              <w:tabs>
                <w:tab w:val="left" w:pos="567"/>
              </w:tabs>
              <w:rPr>
                <w:b/>
                <w:strike/>
                <w:color w:val="FF0000"/>
                <w:szCs w:val="24"/>
              </w:rPr>
            </w:pPr>
            <w:r w:rsidRPr="00A23740">
              <w:rPr>
                <w:rStyle w:val="KIRMIZIChar"/>
                <w:rFonts w:eastAsia="Calibri"/>
              </w:rPr>
              <w:t>(5)</w:t>
            </w:r>
            <w:r w:rsidRPr="00A23740">
              <w:rPr>
                <w:rFonts w:eastAsia="Times New Roman"/>
                <w:color w:val="000000"/>
                <w:szCs w:val="24"/>
                <w:lang w:eastAsia="tr-TR"/>
              </w:rPr>
              <w:t xml:space="preserve"> </w:t>
            </w:r>
            <w:r w:rsidRPr="00A23740">
              <w:rPr>
                <w:szCs w:val="24"/>
              </w:rPr>
              <w:t xml:space="preserve">Borçlu </w:t>
            </w:r>
            <w:r w:rsidRPr="00A23740">
              <w:rPr>
                <w:b/>
                <w:strike/>
                <w:color w:val="FF0000"/>
                <w:szCs w:val="24"/>
              </w:rPr>
              <w:t>müddeti</w:t>
            </w:r>
            <w:r w:rsidRPr="00A23740">
              <w:rPr>
                <w:szCs w:val="24"/>
              </w:rPr>
              <w:t xml:space="preserve"> içinde ödeme emrine itiraz etmez </w:t>
            </w:r>
            <w:r w:rsidRPr="00A23740">
              <w:t>veya itirazı</w:t>
            </w:r>
            <w:r w:rsidRPr="00A23740">
              <w:rPr>
                <w:b/>
                <w:color w:val="FF0000"/>
                <w:szCs w:val="24"/>
              </w:rPr>
              <w:t xml:space="preserve"> </w:t>
            </w:r>
            <w:r w:rsidRPr="00A23740">
              <w:rPr>
                <w:b/>
                <w:strike/>
                <w:color w:val="FF0000"/>
                <w:szCs w:val="24"/>
              </w:rPr>
              <w:t>icra</w:t>
            </w:r>
            <w:r w:rsidRPr="00A23740">
              <w:rPr>
                <w:szCs w:val="24"/>
              </w:rPr>
              <w:t xml:space="preserve"> </w:t>
            </w:r>
            <w:r w:rsidRPr="00A23740">
              <w:rPr>
                <w:b/>
                <w:strike/>
                <w:color w:val="FF0000"/>
                <w:szCs w:val="24"/>
              </w:rPr>
              <w:t>mahkemesince kesin olarak kaldırılır</w:t>
            </w:r>
            <w:r w:rsidRPr="00A23740">
              <w:rPr>
                <w:szCs w:val="24"/>
              </w:rPr>
              <w:t xml:space="preserve"> </w:t>
            </w:r>
            <w:r w:rsidRPr="00A23740">
              <w:rPr>
                <w:rStyle w:val="KIRMIZIChar"/>
                <w:rFonts w:eastAsia="Calibri"/>
              </w:rPr>
              <w:t>veya</w:t>
            </w:r>
            <w:r w:rsidRPr="00A23740">
              <w:rPr>
                <w:szCs w:val="24"/>
              </w:rPr>
              <w:t xml:space="preserve"> mahkemece iptal edilirse</w:t>
            </w:r>
            <w:r w:rsidRPr="00A23740">
              <w:t>,</w:t>
            </w:r>
            <w:r w:rsidRPr="00A23740">
              <w:rPr>
                <w:szCs w:val="24"/>
              </w:rPr>
              <w:t xml:space="preserve"> ihtiyati haciz </w:t>
            </w:r>
            <w:r w:rsidRPr="00A23740">
              <w:rPr>
                <w:b/>
                <w:strike/>
                <w:color w:val="FF0000"/>
                <w:szCs w:val="24"/>
              </w:rPr>
              <w:t>kendiliğinden icrai</w:t>
            </w:r>
            <w:r w:rsidRPr="00A23740">
              <w:rPr>
                <w:b/>
                <w:color w:val="FF0000"/>
                <w:szCs w:val="24"/>
              </w:rPr>
              <w:t xml:space="preserve"> </w:t>
            </w:r>
            <w:r w:rsidRPr="00A23740">
              <w:t>hacze</w:t>
            </w:r>
            <w:r w:rsidRPr="00A23740">
              <w:rPr>
                <w:b/>
                <w:color w:val="FF0000"/>
                <w:szCs w:val="24"/>
              </w:rPr>
              <w:t xml:space="preserve"> </w:t>
            </w:r>
            <w:r w:rsidRPr="00A23740">
              <w:rPr>
                <w:b/>
                <w:strike/>
                <w:color w:val="FF0000"/>
                <w:szCs w:val="24"/>
              </w:rPr>
              <w:t>inkılabeder.</w:t>
            </w:r>
          </w:p>
          <w:p w:rsidR="00F76168" w:rsidRPr="00A23740" w:rsidRDefault="00F76168" w:rsidP="009431FF">
            <w:pPr>
              <w:widowControl w:val="0"/>
              <w:tabs>
                <w:tab w:val="left" w:pos="567"/>
              </w:tabs>
              <w:rPr>
                <w:i/>
                <w:szCs w:val="24"/>
              </w:rPr>
            </w:pPr>
          </w:p>
        </w:tc>
        <w:tc>
          <w:tcPr>
            <w:tcW w:w="2500" w:type="pct"/>
          </w:tcPr>
          <w:p w:rsidR="00AA5C8C" w:rsidRPr="00A23740" w:rsidRDefault="00AA5C8C" w:rsidP="009431FF">
            <w:pPr>
              <w:pStyle w:val="Mavi"/>
              <w:widowControl w:val="0"/>
              <w:jc w:val="center"/>
              <w:rPr>
                <w:lang w:val="tr-TR"/>
              </w:rPr>
            </w:pPr>
            <w:r w:rsidRPr="00A23740">
              <w:rPr>
                <w:lang w:val="tr-TR"/>
              </w:rPr>
              <w:t>ÜÇÜNCÜ BÖLÜM</w:t>
            </w:r>
          </w:p>
          <w:p w:rsidR="00AA5C8C" w:rsidRPr="00A23740" w:rsidRDefault="00AA5C8C" w:rsidP="009431FF">
            <w:pPr>
              <w:pStyle w:val="Mavi"/>
              <w:widowControl w:val="0"/>
              <w:jc w:val="center"/>
            </w:pPr>
            <w:r w:rsidRPr="00A23740">
              <w:rPr>
                <w:lang w:val="tr-TR"/>
              </w:rPr>
              <w:t xml:space="preserve">İhtiyati </w:t>
            </w:r>
            <w:r w:rsidRPr="00A23740">
              <w:t>Haczin Tamamlanması Usulü</w:t>
            </w:r>
          </w:p>
          <w:p w:rsidR="00AA5C8C" w:rsidRPr="00A23740" w:rsidRDefault="00AA5C8C" w:rsidP="009431FF">
            <w:pPr>
              <w:widowControl w:val="0"/>
              <w:tabs>
                <w:tab w:val="left" w:pos="567"/>
              </w:tabs>
              <w:rPr>
                <w:b/>
                <w:szCs w:val="24"/>
              </w:rPr>
            </w:pPr>
          </w:p>
          <w:p w:rsidR="00AA5C8C" w:rsidRPr="00A23740" w:rsidRDefault="00AA5C8C" w:rsidP="009431FF">
            <w:pPr>
              <w:widowControl w:val="0"/>
              <w:tabs>
                <w:tab w:val="left" w:pos="567"/>
              </w:tabs>
              <w:rPr>
                <w:b/>
                <w:szCs w:val="24"/>
              </w:rPr>
            </w:pPr>
            <w:r w:rsidRPr="00A23740">
              <w:rPr>
                <w:b/>
                <w:szCs w:val="24"/>
              </w:rPr>
              <w:t xml:space="preserve">İhtiyati haczi tamamlayan </w:t>
            </w:r>
            <w:r w:rsidRPr="00A23740">
              <w:rPr>
                <w:rFonts w:eastAsia="Times New Roman"/>
                <w:b/>
                <w:color w:val="0000FF"/>
                <w:szCs w:val="24"/>
                <w:lang w:eastAsia="tr-TR"/>
              </w:rPr>
              <w:t>işlemler</w:t>
            </w:r>
          </w:p>
          <w:p w:rsidR="00AA5C8C" w:rsidRPr="00A23740" w:rsidRDefault="003B700B" w:rsidP="009431FF">
            <w:pPr>
              <w:widowControl w:val="0"/>
              <w:tabs>
                <w:tab w:val="left" w:pos="567"/>
              </w:tabs>
              <w:rPr>
                <w:rFonts w:eastAsia="Times New Roman"/>
                <w:b/>
                <w:color w:val="0000FF"/>
                <w:szCs w:val="24"/>
                <w:lang w:eastAsia="tr-TR"/>
              </w:rPr>
            </w:pPr>
            <w:r w:rsidRPr="00A23740">
              <w:rPr>
                <w:rStyle w:val="MaviChar"/>
                <w:lang w:val="tr-TR"/>
              </w:rPr>
              <w:t>MADDE 459</w:t>
            </w:r>
            <w:r w:rsidR="00AA5C8C" w:rsidRPr="00A23740">
              <w:rPr>
                <w:rStyle w:val="MaviChar"/>
                <w:lang w:val="tr-TR"/>
              </w:rPr>
              <w:t>- (1</w:t>
            </w:r>
            <w:r w:rsidR="00AA5C8C" w:rsidRPr="00A23740">
              <w:rPr>
                <w:rFonts w:eastAsia="Times New Roman"/>
                <w:b/>
                <w:color w:val="0000FF"/>
                <w:szCs w:val="24"/>
                <w:lang w:eastAsia="tr-TR"/>
              </w:rPr>
              <w:t>)</w:t>
            </w:r>
            <w:r w:rsidR="00AA5C8C" w:rsidRPr="00A23740">
              <w:rPr>
                <w:szCs w:val="24"/>
              </w:rPr>
              <w:t xml:space="preserve"> Dava açılmadan veya icra takibine başlanmadan önce ihtiyati </w:t>
            </w:r>
            <w:r w:rsidR="00AA5C8C" w:rsidRPr="00A23740">
              <w:rPr>
                <w:rStyle w:val="MaviChar"/>
              </w:rPr>
              <w:t>haczi uygulatmış</w:t>
            </w:r>
            <w:r w:rsidR="00AA5C8C" w:rsidRPr="00A23740">
              <w:rPr>
                <w:szCs w:val="24"/>
              </w:rPr>
              <w:t xml:space="preserve"> olan alacaklı, haciz tutanağının kendisine tebliğinden itibaren </w:t>
            </w:r>
            <w:r w:rsidR="00AA5C8C" w:rsidRPr="00A23740">
              <w:rPr>
                <w:rFonts w:eastAsia="Times New Roman"/>
                <w:b/>
                <w:color w:val="0000FF"/>
                <w:szCs w:val="24"/>
                <w:lang w:eastAsia="tr-TR"/>
              </w:rPr>
              <w:t>bir hafta</w:t>
            </w:r>
            <w:r w:rsidR="00AA5C8C" w:rsidRPr="00A23740">
              <w:rPr>
                <w:szCs w:val="24"/>
              </w:rPr>
              <w:t xml:space="preserve"> içinde takip talebinde </w:t>
            </w:r>
            <w:r w:rsidR="00AA5C8C" w:rsidRPr="00A23740">
              <w:rPr>
                <w:rFonts w:eastAsia="Times New Roman"/>
                <w:b/>
                <w:color w:val="0000FF"/>
                <w:szCs w:val="24"/>
                <w:lang w:eastAsia="tr-TR"/>
              </w:rPr>
              <w:t>bulunmak</w:t>
            </w:r>
            <w:r w:rsidR="00AA5C8C" w:rsidRPr="00A23740">
              <w:rPr>
                <w:szCs w:val="24"/>
              </w:rPr>
              <w:t xml:space="preserve"> veya dava açma</w:t>
            </w:r>
            <w:r w:rsidR="00AA5C8C" w:rsidRPr="00A23740">
              <w:rPr>
                <w:rFonts w:eastAsia="Times New Roman"/>
                <w:b/>
                <w:color w:val="0000FF"/>
                <w:szCs w:val="24"/>
                <w:lang w:eastAsia="tr-TR"/>
              </w:rPr>
              <w:t>k zorundadır.</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szCs w:val="24"/>
              </w:rPr>
            </w:pPr>
          </w:p>
          <w:p w:rsidR="00AA5C8C" w:rsidRPr="00A23740" w:rsidRDefault="00AA5C8C" w:rsidP="009431FF">
            <w:pPr>
              <w:widowControl w:val="0"/>
              <w:tabs>
                <w:tab w:val="left" w:pos="567"/>
              </w:tabs>
              <w:rPr>
                <w:rFonts w:eastAsia="Times New Roman"/>
                <w:b/>
                <w:color w:val="0000FF"/>
                <w:szCs w:val="24"/>
                <w:lang w:eastAsia="tr-TR"/>
              </w:rPr>
            </w:pPr>
            <w:r w:rsidRPr="00A23740">
              <w:rPr>
                <w:rFonts w:eastAsia="Times New Roman"/>
                <w:b/>
                <w:color w:val="0000FF"/>
                <w:szCs w:val="24"/>
                <w:lang w:eastAsia="tr-TR"/>
              </w:rPr>
              <w:t>(2) Alacaklının icra takibi başlatması durumunda</w:t>
            </w:r>
            <w:r w:rsidRPr="00A23740">
              <w:rPr>
                <w:szCs w:val="24"/>
              </w:rPr>
              <w:t xml:space="preserve"> borçlu ödeme emrine itiraz ederse</w:t>
            </w:r>
            <w:r w:rsidR="00193A9F" w:rsidRPr="0078798F">
              <w:rPr>
                <w:rStyle w:val="MaviChar"/>
              </w:rPr>
              <w:t>,</w:t>
            </w:r>
            <w:r w:rsidRPr="0078798F">
              <w:rPr>
                <w:rStyle w:val="MaviChar"/>
              </w:rPr>
              <w:t xml:space="preserve"> </w:t>
            </w:r>
            <w:r w:rsidRPr="00A23740">
              <w:rPr>
                <w:szCs w:val="24"/>
              </w:rPr>
              <w:t xml:space="preserve">alacaklı </w:t>
            </w:r>
            <w:r w:rsidRPr="00A23740">
              <w:rPr>
                <w:rFonts w:eastAsia="Times New Roman"/>
                <w:b/>
                <w:color w:val="0000FF"/>
                <w:szCs w:val="24"/>
                <w:lang w:eastAsia="tr-TR"/>
              </w:rPr>
              <w:t>itirazın kendisine</w:t>
            </w:r>
            <w:r w:rsidRPr="00A23740">
              <w:rPr>
                <w:szCs w:val="24"/>
              </w:rPr>
              <w:t xml:space="preserve"> tebliğ</w:t>
            </w:r>
            <w:r w:rsidRPr="00A23740">
              <w:rPr>
                <w:rStyle w:val="MaviChar"/>
              </w:rPr>
              <w:t>inden</w:t>
            </w:r>
            <w:r w:rsidRPr="00A23740">
              <w:rPr>
                <w:szCs w:val="24"/>
              </w:rPr>
              <w:t xml:space="preserve"> itibaren </w:t>
            </w:r>
            <w:r w:rsidRPr="00A23740">
              <w:rPr>
                <w:rFonts w:eastAsia="Times New Roman"/>
                <w:b/>
                <w:color w:val="0000FF"/>
                <w:szCs w:val="24"/>
                <w:lang w:eastAsia="tr-TR"/>
              </w:rPr>
              <w:t>bir hafta</w:t>
            </w:r>
            <w:r w:rsidRPr="00A23740">
              <w:rPr>
                <w:szCs w:val="24"/>
              </w:rPr>
              <w:t xml:space="preserve"> içinde dava açma</w:t>
            </w:r>
            <w:r w:rsidRPr="00A23740">
              <w:rPr>
                <w:rStyle w:val="MaviChar"/>
              </w:rPr>
              <w:t xml:space="preserve">k </w:t>
            </w:r>
            <w:r w:rsidRPr="00A23740">
              <w:rPr>
                <w:rFonts w:eastAsia="Times New Roman"/>
                <w:b/>
                <w:color w:val="0000FF"/>
                <w:szCs w:val="24"/>
                <w:lang w:eastAsia="tr-TR"/>
              </w:rPr>
              <w:t>zorundadır.</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0000FF"/>
                <w:szCs w:val="24"/>
                <w:lang w:eastAsia="tr-TR"/>
              </w:rPr>
            </w:pPr>
          </w:p>
          <w:p w:rsidR="001B26C1" w:rsidRPr="00A23740" w:rsidRDefault="001B26C1"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szCs w:val="24"/>
              </w:rPr>
            </w:pPr>
            <w:r w:rsidRPr="00A23740">
              <w:rPr>
                <w:rFonts w:eastAsia="Times New Roman"/>
                <w:b/>
                <w:color w:val="0000FF"/>
                <w:szCs w:val="24"/>
                <w:lang w:eastAsia="tr-TR"/>
              </w:rPr>
              <w:t>(3)</w:t>
            </w:r>
            <w:r w:rsidRPr="00A23740">
              <w:rPr>
                <w:szCs w:val="24"/>
              </w:rPr>
              <w:t xml:space="preserve"> </w:t>
            </w:r>
            <w:r w:rsidRPr="00A23740">
              <w:rPr>
                <w:rStyle w:val="MaviChar"/>
              </w:rPr>
              <w:t>İhtiyati</w:t>
            </w:r>
            <w:r w:rsidRPr="00A23740">
              <w:rPr>
                <w:szCs w:val="24"/>
              </w:rPr>
              <w:t xml:space="preserve"> haciz, alacak davasının mahkemede görüldüğü sırada konulmuş veya birinci fıkraya göre mahkemede dava </w:t>
            </w:r>
            <w:r w:rsidRPr="00A23740">
              <w:rPr>
                <w:rStyle w:val="MaviChar"/>
              </w:rPr>
              <w:t>açılmışsa alacaklı, ilamın 53 üncü madde uyarınca icraya konulabileceği tarihten</w:t>
            </w:r>
            <w:r w:rsidRPr="00A23740">
              <w:rPr>
                <w:szCs w:val="24"/>
              </w:rPr>
              <w:t xml:space="preserve"> itibaren bir ay içinde takip talebinde bulunma</w:t>
            </w:r>
            <w:r w:rsidRPr="00A23740">
              <w:rPr>
                <w:rStyle w:val="MaviChar"/>
                <w:lang w:val="tr-TR"/>
              </w:rPr>
              <w:t>k zorundadır</w:t>
            </w:r>
            <w:r w:rsidRPr="00A23740">
              <w:rPr>
                <w:szCs w:val="24"/>
              </w:rPr>
              <w:t xml:space="preserve">. </w:t>
            </w:r>
          </w:p>
          <w:p w:rsidR="00193A9F" w:rsidRPr="00A23740" w:rsidRDefault="00193A9F" w:rsidP="009431FF">
            <w:pPr>
              <w:widowControl w:val="0"/>
              <w:tabs>
                <w:tab w:val="left" w:pos="567"/>
              </w:tabs>
              <w:rPr>
                <w:szCs w:val="24"/>
              </w:rPr>
            </w:pP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96478A" w:rsidP="009431FF">
            <w:pPr>
              <w:pStyle w:val="Mavi"/>
              <w:widowControl w:val="0"/>
            </w:pPr>
            <w:r w:rsidRPr="00A23740">
              <w:t>(4) Aşağıdaki h</w:t>
            </w:r>
            <w:r w:rsidRPr="00A23740">
              <w:rPr>
                <w:lang w:val="tr-TR"/>
              </w:rPr>
              <w:t>â</w:t>
            </w:r>
            <w:r w:rsidR="00AA5C8C" w:rsidRPr="00A23740">
              <w:t>llerde ihtiyati haciz hükümsüz kalır:</w:t>
            </w:r>
          </w:p>
          <w:p w:rsidR="00AA5C8C" w:rsidRPr="00A23740" w:rsidRDefault="00AA5C8C" w:rsidP="009431FF">
            <w:pPr>
              <w:pStyle w:val="Mavi"/>
              <w:widowControl w:val="0"/>
            </w:pPr>
            <w:r w:rsidRPr="00A23740">
              <w:t>a) Alacaklı bu maddede belirtilen süreleri geçirirse.</w:t>
            </w:r>
          </w:p>
          <w:p w:rsidR="00AA5C8C" w:rsidRPr="00A23740" w:rsidRDefault="00AA5C8C" w:rsidP="009431FF">
            <w:pPr>
              <w:pStyle w:val="Mavi"/>
              <w:widowControl w:val="0"/>
            </w:pPr>
            <w:r w:rsidRPr="00A23740">
              <w:t>b) Alacaklı davasından feragat ederse.</w:t>
            </w:r>
          </w:p>
          <w:p w:rsidR="00AA5C8C" w:rsidRPr="00A23740" w:rsidRDefault="00AA5C8C" w:rsidP="009431FF">
            <w:pPr>
              <w:pStyle w:val="Mavi"/>
              <w:widowControl w:val="0"/>
            </w:pPr>
            <w:r w:rsidRPr="00A23740">
              <w:t>c) Alacaklı takibinden vazgeçerse.</w:t>
            </w:r>
          </w:p>
          <w:p w:rsidR="00AA5C8C" w:rsidRPr="00A23740" w:rsidRDefault="00AA5C8C" w:rsidP="009431FF">
            <w:pPr>
              <w:pStyle w:val="Mavi"/>
              <w:widowControl w:val="0"/>
            </w:pPr>
            <w:r w:rsidRPr="00A23740">
              <w:t>ç) Takip, kanuni sürelerin geçmesiyle düşerse.</w:t>
            </w:r>
          </w:p>
          <w:p w:rsidR="00AA5C8C" w:rsidRPr="00A23740" w:rsidRDefault="00244E56" w:rsidP="009431FF">
            <w:pPr>
              <w:pStyle w:val="Mavi"/>
              <w:widowControl w:val="0"/>
            </w:pPr>
            <w:r w:rsidRPr="00A23740">
              <w:t>d)</w:t>
            </w:r>
            <w:r w:rsidRPr="00A23740">
              <w:rPr>
                <w:lang w:val="tr-TR"/>
              </w:rPr>
              <w:t> </w:t>
            </w:r>
            <w:r w:rsidR="00AA5C8C" w:rsidRPr="00A23740">
              <w:t xml:space="preserve">Dava dosyası işlemden kaldırılıp da </w:t>
            </w:r>
            <w:r w:rsidR="00790A3D" w:rsidRPr="0078798F">
              <w:t>bir</w:t>
            </w:r>
            <w:r w:rsidR="00790A3D" w:rsidRPr="00A23740">
              <w:rPr>
                <w:lang w:val="tr-TR"/>
              </w:rPr>
              <w:t xml:space="preserve"> </w:t>
            </w:r>
            <w:r w:rsidR="00AA5C8C" w:rsidRPr="00A23740">
              <w:t xml:space="preserve">ay içinde yenilenmezse. </w:t>
            </w:r>
          </w:p>
          <w:p w:rsidR="00AA5C8C" w:rsidRPr="00A23740" w:rsidRDefault="00AA5C8C" w:rsidP="009431FF">
            <w:pPr>
              <w:pStyle w:val="Mavi"/>
              <w:widowControl w:val="0"/>
            </w:pPr>
            <w:r w:rsidRPr="00A23740">
              <w:t>e) Dava reddedilirse veya açılmamış sayılırsa.</w:t>
            </w:r>
          </w:p>
          <w:p w:rsidR="00AA5C8C" w:rsidRPr="00A23740" w:rsidRDefault="00AA5C8C" w:rsidP="009431FF">
            <w:pPr>
              <w:widowControl w:val="0"/>
              <w:tabs>
                <w:tab w:val="left" w:pos="567"/>
              </w:tabs>
              <w:rPr>
                <w:rFonts w:eastAsia="Times New Roman"/>
                <w:b/>
                <w:color w:val="0000FF"/>
                <w:szCs w:val="24"/>
                <w:lang w:eastAsia="tr-TR"/>
              </w:rPr>
            </w:pPr>
          </w:p>
          <w:p w:rsidR="00AA5C8C" w:rsidRPr="00A23740" w:rsidRDefault="00AA5C8C" w:rsidP="009431FF">
            <w:pPr>
              <w:widowControl w:val="0"/>
              <w:tabs>
                <w:tab w:val="left" w:pos="567"/>
              </w:tabs>
              <w:rPr>
                <w:bCs/>
                <w:strike/>
                <w:color w:val="0000FF"/>
                <w:lang w:eastAsia="tr-TR"/>
              </w:rPr>
            </w:pPr>
            <w:r w:rsidRPr="00A23740">
              <w:rPr>
                <w:rFonts w:eastAsia="Times New Roman"/>
                <w:b/>
                <w:color w:val="0000FF"/>
                <w:szCs w:val="24"/>
                <w:lang w:eastAsia="tr-TR"/>
              </w:rPr>
              <w:t>(5)</w:t>
            </w:r>
            <w:r w:rsidRPr="00A23740">
              <w:rPr>
                <w:szCs w:val="24"/>
              </w:rPr>
              <w:t xml:space="preserve"> Borçlu </w:t>
            </w:r>
            <w:r w:rsidRPr="00A23740">
              <w:rPr>
                <w:rFonts w:eastAsia="Times New Roman"/>
                <w:b/>
                <w:color w:val="0000FF"/>
                <w:szCs w:val="24"/>
                <w:lang w:eastAsia="tr-TR"/>
              </w:rPr>
              <w:t>süresi</w:t>
            </w:r>
            <w:r w:rsidRPr="00A23740">
              <w:rPr>
                <w:szCs w:val="24"/>
              </w:rPr>
              <w:t xml:space="preserve"> içinde ödeme emrine itiraz etmez veya itirazı mahkemece iptal edilirse, </w:t>
            </w:r>
            <w:r w:rsidRPr="00A23740">
              <w:t>ihtiyati haciz</w:t>
            </w:r>
            <w:r w:rsidRPr="00A23740">
              <w:rPr>
                <w:rFonts w:eastAsia="Times New Roman"/>
                <w:b/>
                <w:color w:val="0000FF"/>
                <w:szCs w:val="24"/>
                <w:lang w:eastAsia="tr-TR"/>
              </w:rPr>
              <w:t xml:space="preserve"> kesin </w:t>
            </w:r>
            <w:r w:rsidRPr="00A23740">
              <w:t>hacze</w:t>
            </w:r>
            <w:r w:rsidRPr="00A23740">
              <w:rPr>
                <w:rFonts w:eastAsia="Times New Roman"/>
                <w:b/>
                <w:color w:val="0000FF"/>
                <w:szCs w:val="24"/>
                <w:lang w:eastAsia="tr-TR"/>
              </w:rPr>
              <w:t xml:space="preserve"> dönüşür.</w:t>
            </w:r>
          </w:p>
          <w:p w:rsidR="00AA5C8C" w:rsidRPr="00A23740" w:rsidRDefault="00AA5C8C" w:rsidP="009431FF">
            <w:pPr>
              <w:pStyle w:val="KIRMIZI"/>
              <w:widowControl w:val="0"/>
              <w:rPr>
                <w:i/>
              </w:rPr>
            </w:pPr>
          </w:p>
        </w:tc>
      </w:tr>
      <w:tr w:rsidR="00BD7568" w:rsidRPr="00A23740" w:rsidTr="009431FF">
        <w:tc>
          <w:tcPr>
            <w:tcW w:w="5000" w:type="pct"/>
            <w:gridSpan w:val="2"/>
            <w:shd w:val="clear" w:color="auto" w:fill="DEEAF6"/>
          </w:tcPr>
          <w:p w:rsidR="00B45D9B" w:rsidRPr="00A23740" w:rsidRDefault="00B45D9B" w:rsidP="009431FF">
            <w:pPr>
              <w:tabs>
                <w:tab w:val="left" w:pos="567"/>
              </w:tabs>
              <w:ind w:firstLine="709"/>
              <w:rPr>
                <w:b/>
                <w:bCs/>
                <w:szCs w:val="24"/>
                <w:lang w:eastAsia="x-none"/>
              </w:rPr>
            </w:pPr>
          </w:p>
          <w:p w:rsidR="000946E6" w:rsidRPr="00A23740" w:rsidRDefault="00BD7568" w:rsidP="009431FF">
            <w:pPr>
              <w:tabs>
                <w:tab w:val="left" w:pos="567"/>
              </w:tabs>
              <w:ind w:firstLine="709"/>
              <w:rPr>
                <w:b/>
                <w:szCs w:val="24"/>
              </w:rPr>
            </w:pPr>
            <w:r w:rsidRPr="00A23740">
              <w:rPr>
                <w:b/>
                <w:bCs/>
                <w:szCs w:val="24"/>
                <w:lang w:eastAsia="x-none"/>
              </w:rPr>
              <w:t xml:space="preserve">MADDE </w:t>
            </w:r>
            <w:r w:rsidR="003B700B" w:rsidRPr="00A23740">
              <w:rPr>
                <w:b/>
                <w:bCs/>
                <w:szCs w:val="24"/>
                <w:lang w:eastAsia="x-none"/>
              </w:rPr>
              <w:t>459</w:t>
            </w:r>
            <w:r w:rsidRPr="00A23740">
              <w:rPr>
                <w:b/>
                <w:bCs/>
                <w:szCs w:val="24"/>
                <w:lang w:eastAsia="x-none"/>
              </w:rPr>
              <w:t xml:space="preserve">- </w:t>
            </w:r>
            <w:r w:rsidR="000946E6" w:rsidRPr="00A23740">
              <w:rPr>
                <w:bCs/>
                <w:szCs w:val="24"/>
                <w:lang w:eastAsia="x-none"/>
              </w:rPr>
              <w:t>Maddeyle, ihtiyati haczi tamamlayan işlemlere ilişkin hususlar düzenlenmektedir. Hüküm, 2004 sayılı Kanunun 264 üncü maddesine karşılık gelmektedir.</w:t>
            </w:r>
          </w:p>
          <w:p w:rsidR="0027790B" w:rsidRPr="00A23740" w:rsidRDefault="0027790B" w:rsidP="009431FF">
            <w:pPr>
              <w:tabs>
                <w:tab w:val="left" w:pos="567"/>
              </w:tabs>
              <w:ind w:firstLine="709"/>
              <w:rPr>
                <w:bCs/>
                <w:szCs w:val="24"/>
                <w:lang w:eastAsia="x-none"/>
              </w:rPr>
            </w:pPr>
            <w:r w:rsidRPr="00A23740">
              <w:rPr>
                <w:bCs/>
                <w:szCs w:val="24"/>
                <w:lang w:eastAsia="x-none"/>
              </w:rPr>
              <w:t xml:space="preserve">Tam ispatın aranmadığı ve ilk anda borçlu dinlenmeden de karar verilebilen ihtiyati haczin ayakta kalması için alacaklının alacağının varlığını ispat edecek hukuki yollara başvurması gerekmektedir. Bu </w:t>
            </w:r>
            <w:r w:rsidR="00193A9F" w:rsidRPr="0078798F">
              <w:t>çerçevede</w:t>
            </w:r>
            <w:r w:rsidR="00193A9F" w:rsidRPr="00A23740">
              <w:rPr>
                <w:bCs/>
                <w:szCs w:val="24"/>
                <w:lang w:eastAsia="x-none"/>
              </w:rPr>
              <w:t xml:space="preserve"> </w:t>
            </w:r>
            <w:r w:rsidRPr="00A23740">
              <w:rPr>
                <w:bCs/>
                <w:szCs w:val="24"/>
                <w:lang w:eastAsia="x-none"/>
              </w:rPr>
              <w:t>alacaklının maddede gösterilen usule riayet ederek dava açılmadan önce verilen ihtiyati haciz kararını uygulatması ve haciz tutanağının kendisine tebliğinden itibaren bir hafta içinde takip talebinde bulunması veya dava açması gerekmektedir.</w:t>
            </w:r>
          </w:p>
          <w:p w:rsidR="0027790B" w:rsidRPr="00A23740" w:rsidRDefault="0027790B" w:rsidP="009431FF">
            <w:pPr>
              <w:tabs>
                <w:tab w:val="left" w:pos="567"/>
              </w:tabs>
              <w:ind w:firstLine="709"/>
              <w:rPr>
                <w:bCs/>
                <w:szCs w:val="24"/>
                <w:lang w:eastAsia="x-none"/>
              </w:rPr>
            </w:pPr>
            <w:r w:rsidRPr="00A23740">
              <w:rPr>
                <w:bCs/>
                <w:szCs w:val="24"/>
                <w:lang w:eastAsia="x-none"/>
              </w:rPr>
              <w:t xml:space="preserve">Alacaklı, </w:t>
            </w:r>
            <w:r w:rsidR="00465F81" w:rsidRPr="00A23740">
              <w:rPr>
                <w:bCs/>
                <w:szCs w:val="24"/>
                <w:lang w:eastAsia="x-none"/>
              </w:rPr>
              <w:t xml:space="preserve">başlattığı </w:t>
            </w:r>
            <w:r w:rsidRPr="00A23740">
              <w:rPr>
                <w:bCs/>
                <w:szCs w:val="24"/>
                <w:lang w:eastAsia="x-none"/>
              </w:rPr>
              <w:t>icra takibi</w:t>
            </w:r>
            <w:r w:rsidR="00465F81" w:rsidRPr="00A23740">
              <w:rPr>
                <w:bCs/>
                <w:szCs w:val="24"/>
                <w:lang w:eastAsia="x-none"/>
              </w:rPr>
              <w:t>ne</w:t>
            </w:r>
            <w:r w:rsidRPr="00A23740">
              <w:rPr>
                <w:bCs/>
                <w:szCs w:val="24"/>
                <w:lang w:eastAsia="x-none"/>
              </w:rPr>
              <w:t xml:space="preserve"> borçlunun itirazı hâlinde itirazın kendisine tebliğinden itibaren bir hafta içinde dava açmak zorundadır.</w:t>
            </w:r>
          </w:p>
          <w:p w:rsidR="0027790B" w:rsidRPr="00A23740" w:rsidRDefault="0027790B" w:rsidP="009431FF">
            <w:pPr>
              <w:tabs>
                <w:tab w:val="left" w:pos="567"/>
              </w:tabs>
              <w:ind w:firstLine="709"/>
              <w:rPr>
                <w:bCs/>
                <w:szCs w:val="24"/>
                <w:lang w:eastAsia="x-none"/>
              </w:rPr>
            </w:pPr>
            <w:r w:rsidRPr="00A23740">
              <w:rPr>
                <w:bCs/>
                <w:szCs w:val="24"/>
                <w:lang w:eastAsia="x-none"/>
              </w:rPr>
              <w:t>İhtiyati haciz alacak davasının mahkemede görüldüğü sırada konulmuş veya birinci fıkraya göre mahkemede dava açılmışsa alacaklı ilamın 53 üncü madde uyarınca icraya konulabileceği tarihten itibaren bir ay içinde takip talebinde bulunmak zorundadır.</w:t>
            </w:r>
          </w:p>
          <w:p w:rsidR="0027790B" w:rsidRPr="00A23740" w:rsidRDefault="0027790B" w:rsidP="009431FF">
            <w:pPr>
              <w:tabs>
                <w:tab w:val="left" w:pos="567"/>
              </w:tabs>
              <w:ind w:firstLine="709"/>
              <w:rPr>
                <w:bCs/>
                <w:szCs w:val="24"/>
                <w:lang w:eastAsia="x-none"/>
              </w:rPr>
            </w:pPr>
            <w:r w:rsidRPr="00A23740">
              <w:rPr>
                <w:bCs/>
                <w:szCs w:val="24"/>
                <w:lang w:eastAsia="x-none"/>
              </w:rPr>
              <w:t>Esas hakkında verilecek hükmün tebliğinden itibaren bir ay içinde takip yapma yükümlülüğü, Taslağın “İlamların İcrası” başlıklı 53 üncü maddesinde öngörülen süre ve usul dikkate alınarak belirlenecektir.</w:t>
            </w:r>
          </w:p>
          <w:p w:rsidR="00BD7568" w:rsidRPr="00A23740" w:rsidRDefault="0027790B" w:rsidP="009431FF">
            <w:pPr>
              <w:tabs>
                <w:tab w:val="left" w:pos="567"/>
              </w:tabs>
              <w:ind w:firstLine="709"/>
              <w:rPr>
                <w:bCs/>
                <w:szCs w:val="24"/>
                <w:lang w:eastAsia="x-none"/>
              </w:rPr>
            </w:pPr>
            <w:r w:rsidRPr="00A23740">
              <w:rPr>
                <w:bCs/>
                <w:szCs w:val="24"/>
                <w:lang w:eastAsia="x-none"/>
              </w:rPr>
              <w:t>Maddenin dördüncü fıkrasıyla</w:t>
            </w:r>
            <w:r w:rsidR="00465F81" w:rsidRPr="00A23740">
              <w:rPr>
                <w:bCs/>
                <w:szCs w:val="24"/>
                <w:lang w:eastAsia="x-none"/>
              </w:rPr>
              <w:t>,</w:t>
            </w:r>
            <w:r w:rsidRPr="00A23740">
              <w:rPr>
                <w:bCs/>
                <w:szCs w:val="24"/>
                <w:lang w:eastAsia="x-none"/>
              </w:rPr>
              <w:t xml:space="preserve"> dava dosyasının işlemden kaldırılmasından sonra davanın </w:t>
            </w:r>
            <w:r w:rsidR="00790A3D" w:rsidRPr="0078798F">
              <w:t>bir</w:t>
            </w:r>
            <w:r w:rsidR="00790A3D" w:rsidRPr="00A23740">
              <w:rPr>
                <w:bCs/>
                <w:szCs w:val="24"/>
                <w:lang w:eastAsia="x-none"/>
              </w:rPr>
              <w:t xml:space="preserve"> </w:t>
            </w:r>
            <w:r w:rsidRPr="00A23740">
              <w:rPr>
                <w:bCs/>
                <w:szCs w:val="24"/>
                <w:lang w:eastAsia="x-none"/>
              </w:rPr>
              <w:t>ay içinde yenilenmemesi hâlinde ihtiyati haczin hükümsüz kal</w:t>
            </w:r>
            <w:r w:rsidR="00B45D9B" w:rsidRPr="00A23740">
              <w:rPr>
                <w:bCs/>
                <w:szCs w:val="24"/>
                <w:lang w:eastAsia="x-none"/>
              </w:rPr>
              <w:t xml:space="preserve">acağı öngörülmüş, böylece </w:t>
            </w:r>
            <w:r w:rsidR="00790A3D" w:rsidRPr="0078798F">
              <w:t>2004 sayılı Kanunun süreye ilişkin çözümü aynen benimsenmiştir.</w:t>
            </w:r>
          </w:p>
          <w:p w:rsidR="00BD7568" w:rsidRPr="00A23740" w:rsidRDefault="00BD7568" w:rsidP="00F76168">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b/>
                <w:szCs w:val="24"/>
              </w:rPr>
              <w:t xml:space="preserve">İhtiyati haciz kararına itiraz ve </w:t>
            </w:r>
            <w:r w:rsidRPr="00A23740">
              <w:rPr>
                <w:rStyle w:val="KIRMIZIChar"/>
                <w:rFonts w:eastAsia="Calibri"/>
              </w:rPr>
              <w:t>temyiz</w:t>
            </w:r>
            <w:r w:rsidRPr="00A23740">
              <w:rPr>
                <w:b/>
                <w:strike/>
                <w:color w:val="FF0000"/>
                <w:szCs w:val="24"/>
              </w:rPr>
              <w:t>:</w:t>
            </w:r>
          </w:p>
          <w:p w:rsidR="00AA5C8C" w:rsidRPr="00A23740" w:rsidRDefault="00AA5C8C" w:rsidP="009431FF">
            <w:pPr>
              <w:tabs>
                <w:tab w:val="left" w:pos="567"/>
              </w:tabs>
              <w:rPr>
                <w:b/>
                <w:szCs w:val="24"/>
              </w:rPr>
            </w:pPr>
            <w:r w:rsidRPr="00A23740">
              <w:rPr>
                <w:b/>
                <w:szCs w:val="24"/>
              </w:rPr>
              <w:t xml:space="preserve">Madde 265 – </w:t>
            </w:r>
            <w:r w:rsidRPr="00A23740">
              <w:rPr>
                <w:rStyle w:val="KIRMIZIChar"/>
                <w:rFonts w:eastAsia="Calibri"/>
              </w:rPr>
              <w:t>(1)</w:t>
            </w:r>
            <w:r w:rsidRPr="00A23740">
              <w:rPr>
                <w:rFonts w:eastAsia="Times New Roman"/>
                <w:color w:val="000000"/>
                <w:szCs w:val="24"/>
                <w:lang w:eastAsia="tr-TR"/>
              </w:rPr>
              <w:t xml:space="preserve"> </w:t>
            </w:r>
            <w:r w:rsidRPr="00A23740">
              <w:rPr>
                <w:b/>
                <w:strike/>
                <w:color w:val="FF0000"/>
                <w:szCs w:val="24"/>
              </w:rPr>
              <w:t>(Değişik: 18/2/1965 - 538/105 md.)</w:t>
            </w:r>
          </w:p>
          <w:p w:rsidR="00AA5C8C" w:rsidRPr="00A23740" w:rsidRDefault="00AA5C8C" w:rsidP="009431FF">
            <w:pPr>
              <w:tabs>
                <w:tab w:val="left" w:pos="567"/>
              </w:tabs>
              <w:rPr>
                <w:szCs w:val="24"/>
              </w:rPr>
            </w:pPr>
            <w:r w:rsidRPr="00A23740">
              <w:rPr>
                <w:b/>
                <w:strike/>
                <w:color w:val="FF0000"/>
                <w:szCs w:val="24"/>
              </w:rPr>
              <w:t>(Değişik birinci fıkra: 17/7/2003-4949/63 md.)</w:t>
            </w:r>
            <w:r w:rsidRPr="00A23740">
              <w:rPr>
                <w:szCs w:val="24"/>
              </w:rPr>
              <w:t xml:space="preserve"> </w:t>
            </w:r>
            <w:r w:rsidRPr="00A23740">
              <w:t>Borçlu</w:t>
            </w:r>
            <w:r w:rsidRPr="00A23740">
              <w:rPr>
                <w:b/>
                <w:color w:val="FF0000"/>
                <w:szCs w:val="24"/>
              </w:rPr>
              <w:t xml:space="preserve"> </w:t>
            </w:r>
            <w:r w:rsidRPr="00A23740">
              <w:rPr>
                <w:b/>
                <w:strike/>
                <w:color w:val="FF0000"/>
                <w:szCs w:val="24"/>
              </w:rPr>
              <w:t>kendisi dinlenmeden verilen ihtiyatî haczin dayandığı sebeplere, mahkemenin yetkisine ve teminata karşı; huzuriyle yapılan hacizlerde haczin tatbiki, aksi hâlde haciz tutanağının kendisine tebliği tarihinden</w:t>
            </w:r>
            <w:r w:rsidRPr="00A23740">
              <w:rPr>
                <w:szCs w:val="24"/>
              </w:rPr>
              <w:t xml:space="preserve"> itibaren </w:t>
            </w:r>
            <w:r w:rsidRPr="00A23740">
              <w:rPr>
                <w:b/>
                <w:strike/>
                <w:color w:val="FF0000"/>
                <w:szCs w:val="24"/>
              </w:rPr>
              <w:t>yedi gün</w:t>
            </w:r>
            <w:r w:rsidRPr="00A23740">
              <w:rPr>
                <w:szCs w:val="24"/>
              </w:rPr>
              <w:t xml:space="preserve"> içinde mahkemeye </w:t>
            </w:r>
            <w:r w:rsidRPr="00A23740">
              <w:rPr>
                <w:b/>
                <w:strike/>
                <w:color w:val="FF0000"/>
                <w:szCs w:val="24"/>
              </w:rPr>
              <w:t>müracaatla</w:t>
            </w:r>
            <w:r w:rsidRPr="00A23740">
              <w:rPr>
                <w:szCs w:val="24"/>
              </w:rPr>
              <w:t xml:space="preserve"> itiraz </w:t>
            </w:r>
            <w:r w:rsidRPr="00A23740">
              <w:rPr>
                <w:b/>
                <w:strike/>
                <w:color w:val="FF0000"/>
                <w:szCs w:val="24"/>
              </w:rPr>
              <w:t>edebilir</w:t>
            </w:r>
            <w:r w:rsidRPr="00A23740">
              <w:rPr>
                <w:szCs w:val="24"/>
              </w:rPr>
              <w:t>.</w:t>
            </w:r>
          </w:p>
          <w:p w:rsidR="00AA5C8C" w:rsidRPr="00A23740" w:rsidRDefault="00AA5C8C" w:rsidP="009431FF">
            <w:pPr>
              <w:tabs>
                <w:tab w:val="left" w:pos="567"/>
              </w:tabs>
              <w:rPr>
                <w:rStyle w:val="Balk3Char"/>
                <w:rFonts w:eastAsia="Calibri"/>
              </w:rPr>
            </w:pPr>
            <w:r w:rsidRPr="00A23740">
              <w:rPr>
                <w:rStyle w:val="KIRMIZIChar"/>
                <w:rFonts w:eastAsia="Calibri"/>
              </w:rPr>
              <w:t>(2)</w:t>
            </w:r>
            <w:r w:rsidRPr="00A23740">
              <w:rPr>
                <w:rFonts w:eastAsia="Times New Roman"/>
                <w:color w:val="000000"/>
                <w:szCs w:val="24"/>
                <w:lang w:eastAsia="tr-TR"/>
              </w:rPr>
              <w:t xml:space="preserve"> </w:t>
            </w:r>
            <w:r w:rsidRPr="00A23740">
              <w:rPr>
                <w:b/>
                <w:strike/>
                <w:color w:val="FF0000"/>
                <w:szCs w:val="24"/>
              </w:rPr>
              <w:t xml:space="preserve">(Ek ikinci fıkra: 17/7/2003-4949/63 </w:t>
            </w:r>
            <w:r w:rsidRPr="00A23740">
              <w:rPr>
                <w:rStyle w:val="KIRMIZIChar"/>
                <w:rFonts w:eastAsia="Calibri"/>
              </w:rPr>
              <w:t>md.) Menfaati ihlâl edilen üçüncü kişiler de ihtiyatî haczi öğrendiği tarihten itibaren yedi gün içinde ihtiyatî haczin dayandığı sebeplere veya teminata itiraz edebilir.</w:t>
            </w:r>
          </w:p>
          <w:p w:rsidR="00AA5C8C" w:rsidRPr="00A23740" w:rsidRDefault="00AA5C8C" w:rsidP="009431FF">
            <w:pPr>
              <w:tabs>
                <w:tab w:val="left" w:pos="567"/>
              </w:tabs>
              <w:rPr>
                <w:rStyle w:val="Balk3Char"/>
                <w:rFonts w:eastAsia="Calibri"/>
              </w:rPr>
            </w:pPr>
          </w:p>
          <w:p w:rsidR="00AA5C8C" w:rsidRPr="00A23740" w:rsidRDefault="00AA5C8C" w:rsidP="009431FF">
            <w:pPr>
              <w:tabs>
                <w:tab w:val="left" w:pos="567"/>
              </w:tabs>
              <w:rPr>
                <w:b/>
                <w:strike/>
                <w:color w:val="FF0000"/>
                <w:szCs w:val="24"/>
              </w:rPr>
            </w:pPr>
            <w:r w:rsidRPr="00A23740">
              <w:rPr>
                <w:rStyle w:val="KIRMIZIChar"/>
                <w:rFonts w:eastAsia="Calibri"/>
              </w:rPr>
              <w:t>(3)</w:t>
            </w:r>
            <w:r w:rsidRPr="00A23740">
              <w:rPr>
                <w:rFonts w:eastAsia="Times New Roman"/>
                <w:color w:val="000000"/>
                <w:szCs w:val="24"/>
                <w:lang w:eastAsia="tr-TR"/>
              </w:rPr>
              <w:t xml:space="preserve"> </w:t>
            </w:r>
            <w:r w:rsidRPr="00A23740">
              <w:rPr>
                <w:b/>
                <w:strike/>
                <w:color w:val="FF0000"/>
                <w:szCs w:val="24"/>
              </w:rPr>
              <w:t>Mahkeme, gösterilen sebeplere hasren tetkikat yaparak itirazı kabul veya reddeder.</w:t>
            </w: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b/>
                <w:strike/>
                <w:color w:val="FF0000"/>
                <w:szCs w:val="24"/>
              </w:rPr>
            </w:pPr>
          </w:p>
          <w:p w:rsidR="00AA5C8C" w:rsidRPr="00A23740" w:rsidRDefault="00AA5C8C" w:rsidP="009431FF">
            <w:pPr>
              <w:tabs>
                <w:tab w:val="left" w:pos="567"/>
              </w:tabs>
              <w:rPr>
                <w:rStyle w:val="KIRMIZIChar"/>
                <w:rFonts w:eastAsia="Calibri"/>
              </w:rPr>
            </w:pPr>
          </w:p>
          <w:p w:rsidR="00AA5C8C" w:rsidRPr="00A23740" w:rsidRDefault="00AA5C8C" w:rsidP="009431FF">
            <w:pPr>
              <w:tabs>
                <w:tab w:val="left" w:pos="567"/>
              </w:tabs>
              <w:rPr>
                <w:b/>
                <w:strike/>
                <w:color w:val="FF0000"/>
                <w:szCs w:val="24"/>
              </w:rPr>
            </w:pPr>
            <w:r w:rsidRPr="00A23740">
              <w:rPr>
                <w:rStyle w:val="KIRMIZIChar"/>
                <w:rFonts w:eastAsia="Calibri"/>
              </w:rPr>
              <w:t>(4)</w:t>
            </w:r>
            <w:r w:rsidRPr="00A23740">
              <w:rPr>
                <w:rFonts w:eastAsia="Times New Roman"/>
                <w:color w:val="000000"/>
                <w:szCs w:val="24"/>
                <w:lang w:eastAsia="tr-TR"/>
              </w:rPr>
              <w:t xml:space="preserve"> </w:t>
            </w:r>
            <w:r w:rsidRPr="00A23740">
              <w:rPr>
                <w:b/>
                <w:strike/>
                <w:color w:val="FF0000"/>
                <w:szCs w:val="24"/>
              </w:rPr>
              <w:t xml:space="preserve">İtiraz eden, dilekçesine istinat ettiği bütün belgeleri bağlamaya mecburdur. Mahkeme, itiraz üzerine iki tarafı davet edip gelenleri dinledikten sonra, itirazı varit </w:t>
            </w:r>
            <w:r w:rsidRPr="00A23740">
              <w:rPr>
                <w:rStyle w:val="KIRMIZIChar"/>
                <w:rFonts w:eastAsia="Calibri"/>
              </w:rPr>
              <w:t>görürse kararını değiştirebilir veya kaldırabilir. Şu kadar ki, iki taraf da gelmezse evrak üzerinde inceleme yapılarak karar verilir.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r w:rsidRPr="00A23740">
              <w:rPr>
                <w:b/>
                <w:color w:val="FF0000"/>
              </w:rPr>
              <w:t>(5)</w:t>
            </w:r>
            <w:r w:rsidRPr="00A23740">
              <w:rPr>
                <w:color w:val="000000"/>
                <w:lang w:eastAsia="tr-TR"/>
              </w:rPr>
              <w:t xml:space="preserve"> </w:t>
            </w:r>
            <w:r w:rsidRPr="00A23740">
              <w:rPr>
                <w:rStyle w:val="KIRMIZIChar"/>
                <w:rFonts w:eastAsia="Calibri"/>
              </w:rPr>
              <w:t>(Ek fıkra: 17/7/2003 – 4949/63 md.; Değişik:2/3/2005-5311/17 md.)</w:t>
            </w:r>
            <w:r w:rsidRPr="00A23740">
              <w:rPr>
                <w:bCs/>
              </w:rPr>
              <w:t xml:space="preserve"> </w:t>
            </w:r>
            <w:r w:rsidRPr="00A23740">
              <w:t xml:space="preserve">İtiraz üzerine verilen karara karşı istinaf yoluna başvurulabilir. </w:t>
            </w:r>
            <w:r w:rsidRPr="00A23740">
              <w:rPr>
                <w:rStyle w:val="KIRMIZIChar"/>
                <w:rFonts w:eastAsia="Calibri"/>
              </w:rPr>
              <w:t>Bölge adliye mahkemesi bu başvuruyu öncelikle inceler ve verdiği karar kesindir.</w:t>
            </w:r>
            <w:r w:rsidRPr="00A23740">
              <w:t xml:space="preserve"> </w:t>
            </w:r>
          </w:p>
          <w:p w:rsidR="00695D9B" w:rsidRPr="00A23740" w:rsidRDefault="00695D9B" w:rsidP="009431FF"/>
          <w:p w:rsidR="00AA5C8C" w:rsidRPr="00A23740" w:rsidRDefault="00277039" w:rsidP="009431FF">
            <w:pPr>
              <w:rPr>
                <w:color w:val="000000"/>
                <w:sz w:val="18"/>
                <w:szCs w:val="18"/>
                <w:lang w:eastAsia="tr-TR"/>
              </w:rPr>
            </w:pPr>
            <w:r>
              <w:rPr>
                <w:b/>
                <w:color w:val="FF0000"/>
              </w:rPr>
              <w:t>(M.265/F5.C</w:t>
            </w:r>
            <w:r w:rsidR="00AA5C8C" w:rsidRPr="00A23740">
              <w:rPr>
                <w:b/>
                <w:color w:val="FF0000"/>
              </w:rPr>
              <w:t>3)</w:t>
            </w:r>
            <w:r w:rsidR="00AA5C8C" w:rsidRPr="00A23740">
              <w:t xml:space="preserve"> </w:t>
            </w:r>
            <w:r w:rsidR="00AA5C8C" w:rsidRPr="00A23740">
              <w:rPr>
                <w:rStyle w:val="KIRMIZIChar"/>
                <w:rFonts w:eastAsia="Calibri"/>
              </w:rPr>
              <w:t>İstinaf</w:t>
            </w:r>
            <w:r w:rsidR="00AA5C8C" w:rsidRPr="00A23740">
              <w:t xml:space="preserve"> yoluna </w:t>
            </w:r>
            <w:r w:rsidR="00AA5C8C" w:rsidRPr="00A23740">
              <w:rPr>
                <w:rStyle w:val="KIRMIZIChar"/>
                <w:rFonts w:eastAsia="Calibri"/>
              </w:rPr>
              <w:t>başvuru,</w:t>
            </w:r>
            <w:r w:rsidR="00AA5C8C" w:rsidRPr="00A23740">
              <w:t xml:space="preserve"> </w:t>
            </w:r>
            <w:r w:rsidR="00AA5C8C" w:rsidRPr="00A23740">
              <w:rPr>
                <w:rStyle w:val="KIRMIZIChar"/>
                <w:rFonts w:eastAsia="Calibri"/>
              </w:rPr>
              <w:t>ihtiyatî</w:t>
            </w:r>
            <w:r w:rsidR="00AA5C8C" w:rsidRPr="00A23740">
              <w:t xml:space="preserve"> haciz kararının icrasını durdurmaz.</w:t>
            </w:r>
            <w:r w:rsidR="00AA5C8C" w:rsidRPr="00A23740">
              <w:rPr>
                <w:color w:val="000000"/>
                <w:sz w:val="18"/>
                <w:szCs w:val="18"/>
                <w:lang w:eastAsia="tr-TR"/>
              </w:rPr>
              <w:t xml:space="preserve"> </w:t>
            </w:r>
          </w:p>
          <w:p w:rsidR="00AA5C8C" w:rsidRPr="00A23740" w:rsidRDefault="00AA5C8C" w:rsidP="009431FF">
            <w:pPr>
              <w:tabs>
                <w:tab w:val="left" w:pos="567"/>
              </w:tabs>
              <w:rPr>
                <w:szCs w:val="24"/>
              </w:rPr>
            </w:pPr>
          </w:p>
        </w:tc>
        <w:tc>
          <w:tcPr>
            <w:tcW w:w="2500" w:type="pct"/>
          </w:tcPr>
          <w:p w:rsidR="00AA5C8C" w:rsidRPr="00A23740" w:rsidRDefault="00AA5C8C" w:rsidP="009431FF">
            <w:pPr>
              <w:tabs>
                <w:tab w:val="left" w:pos="567"/>
              </w:tabs>
              <w:rPr>
                <w:b/>
                <w:szCs w:val="24"/>
              </w:rPr>
            </w:pPr>
            <w:r w:rsidRPr="00A23740">
              <w:rPr>
                <w:b/>
                <w:szCs w:val="24"/>
              </w:rPr>
              <w:t xml:space="preserve">İhtiyati haciz kararına itiraz ve </w:t>
            </w:r>
            <w:r w:rsidRPr="00A23740">
              <w:rPr>
                <w:rFonts w:eastAsia="Times New Roman"/>
                <w:b/>
                <w:color w:val="0000FF"/>
                <w:szCs w:val="24"/>
                <w:lang w:eastAsia="tr-TR"/>
              </w:rPr>
              <w:t>istinaf</w:t>
            </w:r>
          </w:p>
          <w:p w:rsidR="00AA5C8C" w:rsidRPr="00A23740" w:rsidRDefault="00AA5C8C" w:rsidP="009431FF">
            <w:pPr>
              <w:tabs>
                <w:tab w:val="left" w:pos="567"/>
              </w:tabs>
              <w:rPr>
                <w:rFonts w:eastAsia="Times New Roman"/>
                <w:b/>
                <w:color w:val="0000FF"/>
                <w:szCs w:val="24"/>
                <w:lang w:eastAsia="tr-TR"/>
              </w:rPr>
            </w:pPr>
            <w:r w:rsidRPr="00A23740">
              <w:rPr>
                <w:rStyle w:val="MaviChar"/>
                <w:lang w:val="tr-TR"/>
              </w:rPr>
              <w:t>MAD</w:t>
            </w:r>
            <w:r w:rsidR="003B700B" w:rsidRPr="00A23740">
              <w:rPr>
                <w:rStyle w:val="MaviChar"/>
                <w:lang w:val="tr-TR"/>
              </w:rPr>
              <w:t>DE 460</w:t>
            </w:r>
            <w:r w:rsidRPr="00A23740">
              <w:rPr>
                <w:rStyle w:val="MaviChar"/>
                <w:lang w:val="tr-TR"/>
              </w:rPr>
              <w:t>- (1</w:t>
            </w:r>
            <w:r w:rsidRPr="00A23740">
              <w:rPr>
                <w:rFonts w:eastAsia="Times New Roman"/>
                <w:b/>
                <w:color w:val="0000FF"/>
                <w:szCs w:val="24"/>
                <w:lang w:eastAsia="tr-TR"/>
              </w:rPr>
              <w:t>)</w:t>
            </w:r>
            <w:r w:rsidRPr="00A23740">
              <w:rPr>
                <w:rStyle w:val="Balk3Char"/>
                <w:rFonts w:eastAsia="Calibri"/>
              </w:rPr>
              <w:t xml:space="preserve"> </w:t>
            </w:r>
            <w:r w:rsidRPr="00A23740">
              <w:t>Borçlu</w:t>
            </w:r>
            <w:r w:rsidRPr="00A23740">
              <w:rPr>
                <w:rStyle w:val="Balk3Char"/>
                <w:rFonts w:eastAsia="Calibri"/>
              </w:rPr>
              <w:t xml:space="preserve"> </w:t>
            </w:r>
            <w:r w:rsidRPr="00A23740">
              <w:rPr>
                <w:rFonts w:eastAsia="Times New Roman"/>
                <w:b/>
                <w:color w:val="0000FF"/>
                <w:szCs w:val="24"/>
                <w:lang w:eastAsia="tr-TR"/>
              </w:rPr>
              <w:t xml:space="preserve">ihtiyati </w:t>
            </w:r>
            <w:r w:rsidRPr="00A23740">
              <w:rPr>
                <w:rStyle w:val="MaviChar"/>
              </w:rPr>
              <w:t>haczin uygulanması</w:t>
            </w:r>
            <w:r w:rsidRPr="00A23740">
              <w:rPr>
                <w:rFonts w:eastAsia="Times New Roman"/>
                <w:b/>
                <w:color w:val="0000FF"/>
                <w:szCs w:val="24"/>
                <w:lang w:eastAsia="tr-TR"/>
              </w:rPr>
              <w:t xml:space="preserve"> sırasında hazır </w:t>
            </w:r>
            <w:r w:rsidRPr="00A23740">
              <w:rPr>
                <w:rStyle w:val="MaviChar"/>
              </w:rPr>
              <w:t>bulunmuşsa haczin uygulanmasından, hazır bulunmamışsa haciz tutanağının kendisine tebliğinden itibaren; menfaati ihlal edilen ve haciz sırasında hazır bulunmayan üçüncü kişiler ise</w:t>
            </w:r>
            <w:r w:rsidRPr="00A23740">
              <w:rPr>
                <w:rFonts w:eastAsia="Times New Roman"/>
                <w:b/>
                <w:color w:val="0000FF"/>
                <w:szCs w:val="24"/>
                <w:lang w:eastAsia="tr-TR"/>
              </w:rPr>
              <w:t xml:space="preserve"> ihtiyati haczi öğrenmelerinden</w:t>
            </w:r>
            <w:r w:rsidRPr="00A23740">
              <w:rPr>
                <w:rStyle w:val="Balk3Char"/>
                <w:rFonts w:eastAsia="Calibri"/>
              </w:rPr>
              <w:t xml:space="preserve"> </w:t>
            </w:r>
            <w:r w:rsidRPr="00A23740">
              <w:t>itibaren</w:t>
            </w:r>
            <w:r w:rsidRPr="00A23740">
              <w:rPr>
                <w:rStyle w:val="Balk3Char"/>
                <w:rFonts w:eastAsia="Calibri"/>
              </w:rPr>
              <w:t xml:space="preserve"> </w:t>
            </w:r>
            <w:r w:rsidRPr="00A23740">
              <w:rPr>
                <w:rFonts w:eastAsia="Times New Roman"/>
                <w:b/>
                <w:color w:val="0000FF"/>
                <w:szCs w:val="24"/>
                <w:lang w:eastAsia="tr-TR"/>
              </w:rPr>
              <w:t>bir hafta</w:t>
            </w:r>
            <w:r w:rsidRPr="00A23740">
              <w:rPr>
                <w:rStyle w:val="Balk3Char"/>
                <w:rFonts w:eastAsia="Calibri"/>
              </w:rPr>
              <w:t xml:space="preserve"> </w:t>
            </w:r>
            <w:r w:rsidRPr="00A23740">
              <w:t>içinde</w:t>
            </w:r>
            <w:r w:rsidRPr="00A23740">
              <w:rPr>
                <w:rStyle w:val="Balk3Char"/>
                <w:rFonts w:eastAsia="Calibri"/>
              </w:rPr>
              <w:t xml:space="preserve"> </w:t>
            </w:r>
            <w:r w:rsidRPr="00A23740">
              <w:rPr>
                <w:rStyle w:val="MaviChar"/>
              </w:rPr>
              <w:t>kararı veren</w:t>
            </w:r>
            <w:r w:rsidRPr="00A23740">
              <w:rPr>
                <w:rStyle w:val="Balk3Char"/>
                <w:rFonts w:eastAsia="Calibri"/>
              </w:rPr>
              <w:t xml:space="preserve"> </w:t>
            </w:r>
            <w:r w:rsidRPr="00A23740">
              <w:t>mahkemeye</w:t>
            </w:r>
            <w:r w:rsidRPr="00A23740">
              <w:rPr>
                <w:rStyle w:val="Balk3Char"/>
                <w:rFonts w:eastAsia="Calibri"/>
              </w:rPr>
              <w:t xml:space="preserve"> </w:t>
            </w:r>
            <w:r w:rsidRPr="00DD6775">
              <w:t>itiraz</w:t>
            </w:r>
            <w:r w:rsidRPr="00A23740">
              <w:rPr>
                <w:rFonts w:eastAsia="Times New Roman"/>
                <w:b/>
                <w:color w:val="0000FF"/>
                <w:szCs w:val="24"/>
                <w:lang w:eastAsia="tr-TR"/>
              </w:rPr>
              <w:t xml:space="preserve">da </w:t>
            </w:r>
            <w:r w:rsidRPr="0078798F">
              <w:rPr>
                <w:rStyle w:val="MaviChar"/>
              </w:rPr>
              <w:t>bulunabilir</w:t>
            </w:r>
            <w:r w:rsidR="009A1242" w:rsidRPr="0078798F">
              <w:rPr>
                <w:rStyle w:val="MaviChar"/>
              </w:rPr>
              <w:t>ler</w:t>
            </w:r>
            <w:r w:rsidRPr="0078798F">
              <w:rPr>
                <w:rStyle w:val="MaviChar"/>
              </w:rPr>
              <w:t>.</w:t>
            </w:r>
            <w:r w:rsidRPr="00A23740">
              <w:rPr>
                <w:rFonts w:eastAsia="Times New Roman"/>
                <w:b/>
                <w:color w:val="0000FF"/>
                <w:szCs w:val="24"/>
                <w:lang w:eastAsia="tr-TR"/>
              </w:rPr>
              <w:t xml:space="preserve"> </w:t>
            </w:r>
            <w:r w:rsidRPr="00A23740">
              <w:rPr>
                <w:rStyle w:val="MaviChar"/>
              </w:rPr>
              <w:t>Esas hakkında dava açıldıktan sonra</w:t>
            </w:r>
            <w:r w:rsidR="00DD6775" w:rsidRPr="00DD6775">
              <w:rPr>
                <w:rStyle w:val="KIRMIZIChar"/>
                <w:rFonts w:eastAsia="Calibri"/>
                <w:strike w:val="0"/>
              </w:rPr>
              <w:t xml:space="preserve"> </w:t>
            </w:r>
            <w:r w:rsidR="009A1242" w:rsidRPr="0078798F">
              <w:rPr>
                <w:rStyle w:val="MaviChar"/>
              </w:rPr>
              <w:t>yapılan</w:t>
            </w:r>
            <w:r w:rsidR="009A1242" w:rsidRPr="00A23740">
              <w:rPr>
                <w:rStyle w:val="MaviChar"/>
                <w:lang w:val="tr-TR"/>
              </w:rPr>
              <w:t xml:space="preserve"> </w:t>
            </w:r>
            <w:r w:rsidRPr="00A23740">
              <w:rPr>
                <w:rStyle w:val="MaviChar"/>
              </w:rPr>
              <w:t>itiraz hakkında, bu davaya bakan mahkemece karar verilir.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p>
          <w:p w:rsidR="001B26C1" w:rsidRPr="00A23740" w:rsidRDefault="001B26C1" w:rsidP="009431FF">
            <w:pPr>
              <w:tabs>
                <w:tab w:val="left" w:pos="567"/>
              </w:tabs>
              <w:rPr>
                <w:rFonts w:eastAsia="Times New Roman"/>
                <w:b/>
                <w:color w:val="0000FF"/>
                <w:szCs w:val="24"/>
                <w:lang w:eastAsia="tr-TR"/>
              </w:rPr>
            </w:pPr>
          </w:p>
          <w:p w:rsidR="001B26C1" w:rsidRPr="00A23740" w:rsidRDefault="001B26C1" w:rsidP="009431FF">
            <w:pPr>
              <w:tabs>
                <w:tab w:val="left" w:pos="567"/>
              </w:tabs>
              <w:rPr>
                <w:rFonts w:eastAsia="Times New Roman"/>
                <w:b/>
                <w:color w:val="0000FF"/>
                <w:szCs w:val="24"/>
                <w:lang w:eastAsia="tr-TR"/>
              </w:rPr>
            </w:pPr>
          </w:p>
          <w:p w:rsidR="00AA5C8C" w:rsidRPr="00A23740" w:rsidRDefault="00AA5C8C" w:rsidP="009431FF">
            <w:pPr>
              <w:tabs>
                <w:tab w:val="left" w:pos="567"/>
              </w:tabs>
              <w:rPr>
                <w:b/>
              </w:rPr>
            </w:pPr>
            <w:r w:rsidRPr="00A23740">
              <w:rPr>
                <w:rFonts w:eastAsia="Times New Roman"/>
                <w:b/>
                <w:color w:val="0000FF"/>
                <w:szCs w:val="24"/>
                <w:lang w:eastAsia="tr-TR"/>
              </w:rPr>
              <w:t xml:space="preserve">(2) </w:t>
            </w:r>
            <w:r w:rsidRPr="00A23740">
              <w:rPr>
                <w:rStyle w:val="MaviChar"/>
              </w:rPr>
              <w:t>İhtiyati</w:t>
            </w:r>
            <w:r w:rsidRPr="00A23740">
              <w:rPr>
                <w:rStyle w:val="MaviChar"/>
                <w:lang w:val="tr-TR"/>
              </w:rPr>
              <w:t xml:space="preserve"> </w:t>
            </w:r>
            <w:r w:rsidRPr="00A23740">
              <w:rPr>
                <w:rStyle w:val="MaviChar"/>
              </w:rPr>
              <w:t>haczin şartlarına, mahkemenin yetkisine, gösterilen teminata, borcun doğmadığına veya sona erdiğine ilişkin olarak ihtiyati haciz kararına</w:t>
            </w:r>
            <w:r w:rsidRPr="00A23740">
              <w:rPr>
                <w:rStyle w:val="MaviChar"/>
                <w:lang w:val="tr-TR"/>
              </w:rPr>
              <w:t xml:space="preserve"> </w:t>
            </w:r>
            <w:r w:rsidRPr="00A23740">
              <w:rPr>
                <w:rStyle w:val="MaviChar"/>
              </w:rPr>
              <w:t>itiraz edilebilir.</w:t>
            </w:r>
            <w:r w:rsidRPr="00A23740">
              <w:rPr>
                <w:rFonts w:eastAsia="Times New Roman"/>
                <w:b/>
                <w:color w:val="0000FF"/>
                <w:szCs w:val="24"/>
                <w:lang w:eastAsia="tr-TR"/>
              </w:rPr>
              <w:t xml:space="preserve"> </w:t>
            </w:r>
            <w:r w:rsidRPr="00A23740">
              <w:rPr>
                <w:rStyle w:val="MaviChar"/>
                <w:lang w:val="tr-TR"/>
              </w:rPr>
              <w:t>Borcun doğmadığının veya sona erdiğinin yaklaşık olarak ispatı</w:t>
            </w:r>
            <w:r w:rsidRPr="00A23740">
              <w:rPr>
                <w:rStyle w:val="KIRMIZIChar"/>
                <w:rFonts w:eastAsia="Calibri"/>
                <w:strike w:val="0"/>
              </w:rPr>
              <w:t xml:space="preserve"> </w:t>
            </w:r>
            <w:r w:rsidRPr="00A23740">
              <w:rPr>
                <w:rStyle w:val="MaviChar"/>
                <w:lang w:val="tr-TR"/>
              </w:rPr>
              <w:t xml:space="preserve">ihtiyati haczin kaldırılması </w:t>
            </w:r>
            <w:r w:rsidRPr="00A23740">
              <w:rPr>
                <w:rStyle w:val="MaviChar"/>
              </w:rPr>
              <w:t>için yeterlidir. Alacaklı da teminatla sınırlı olarak ihtiyati haciz kararına itiraz edebilir.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Style w:val="MaviChar"/>
                <w:lang w:val="tr-TR"/>
              </w:rPr>
            </w:pPr>
            <w:r w:rsidRPr="00A23740">
              <w:rPr>
                <w:rFonts w:eastAsia="Times New Roman"/>
                <w:b/>
                <w:color w:val="0000FF"/>
                <w:szCs w:val="24"/>
                <w:lang w:eastAsia="tr-TR"/>
              </w:rPr>
              <w:t>(3)  İtiraz dilekçeyle yapılır. İtiraz eden, itiraz sebeplerini açıkça göstermek ve itirazının dayanağı olan tüm delilleri dilekçesine eklemek zorundadır.</w:t>
            </w:r>
            <w:r w:rsidRPr="00A23740">
              <w:rPr>
                <w:rFonts w:eastAsia="Times New Roman"/>
                <w:color w:val="000000"/>
                <w:szCs w:val="24"/>
                <w:lang w:eastAsia="tr-TR"/>
              </w:rPr>
              <w:t xml:space="preserve"> </w:t>
            </w:r>
            <w:r w:rsidRPr="00A23740">
              <w:rPr>
                <w:rFonts w:eastAsia="Times New Roman"/>
                <w:b/>
                <w:color w:val="0000FF"/>
                <w:szCs w:val="24"/>
                <w:lang w:eastAsia="tr-TR"/>
              </w:rPr>
              <w:t xml:space="preserve">Mahkeme gerektiğinde ilgilileri dinlemek üzere davet eder. Duruşma </w:t>
            </w:r>
            <w:r w:rsidR="009A1242" w:rsidRPr="00A23740">
              <w:rPr>
                <w:rStyle w:val="MaviChar"/>
              </w:rPr>
              <w:t>yapılan h</w:t>
            </w:r>
            <w:r w:rsidR="009A1242" w:rsidRPr="00A23740">
              <w:rPr>
                <w:rStyle w:val="MaviChar"/>
                <w:lang w:val="tr-TR"/>
              </w:rPr>
              <w:t>â</w:t>
            </w:r>
            <w:r w:rsidRPr="00A23740">
              <w:rPr>
                <w:rStyle w:val="MaviChar"/>
              </w:rPr>
              <w:t>llerde ilgililer</w:t>
            </w:r>
            <w:r w:rsidRPr="00A23740">
              <w:rPr>
                <w:rStyle w:val="MaviChar"/>
                <w:lang w:val="tr-TR"/>
              </w:rPr>
              <w:t xml:space="preserve"> </w:t>
            </w:r>
            <w:r w:rsidRPr="00A23740">
              <w:rPr>
                <w:rStyle w:val="MaviChar"/>
              </w:rPr>
              <w:t>gelmese bile</w:t>
            </w:r>
            <w:r w:rsidR="009A1242" w:rsidRPr="00A23740">
              <w:rPr>
                <w:rStyle w:val="MaviChar"/>
              </w:rPr>
              <w:t xml:space="preserve"> yokluklarında karar veri</w:t>
            </w:r>
            <w:r w:rsidRPr="00A23740">
              <w:rPr>
                <w:rStyle w:val="MaviChar"/>
              </w:rPr>
              <w:t>lir. İtiraz sonucunda, ihtiyati haciz kararı değiştirilebilir veya kaldırılabilir.</w:t>
            </w:r>
          </w:p>
          <w:p w:rsidR="00A5551D" w:rsidRPr="00A23740" w:rsidRDefault="00A5551D"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 xml:space="preserve">(4) </w:t>
            </w:r>
            <w:r w:rsidRPr="00A23740">
              <w:t>İtiraz üzerine verilen karara karşı</w:t>
            </w:r>
            <w:r w:rsidRPr="00A23740">
              <w:rPr>
                <w:rFonts w:eastAsia="Times New Roman"/>
                <w:b/>
                <w:color w:val="0000FF"/>
                <w:szCs w:val="24"/>
                <w:lang w:eastAsia="tr-TR"/>
              </w:rPr>
              <w:t xml:space="preserve"> alacaklı, borçlu veya üçüncü kişi </w:t>
            </w:r>
            <w:r w:rsidRPr="00A23740">
              <w:t>istinaf yoluna başvurabilir.</w:t>
            </w:r>
            <w:r w:rsidRPr="00A23740">
              <w:rPr>
                <w:rFonts w:eastAsia="Times New Roman"/>
                <w:b/>
                <w:color w:val="0000FF"/>
                <w:szCs w:val="24"/>
                <w:lang w:eastAsia="tr-TR"/>
              </w:rPr>
              <w:t xml:space="preserve"> </w:t>
            </w:r>
            <w:r w:rsidRPr="00A23740">
              <w:rPr>
                <w:rStyle w:val="MaviChar"/>
              </w:rPr>
              <w:t>İhtiyati haciz kararına karşı kanun yollarını düzenleyen</w:t>
            </w:r>
            <w:r w:rsidR="00244E56" w:rsidRPr="00A23740">
              <w:rPr>
                <w:rStyle w:val="MaviChar"/>
                <w:lang w:val="tr-TR"/>
              </w:rPr>
              <w:t xml:space="preserve"> </w:t>
            </w:r>
            <w:r w:rsidR="00244E56" w:rsidRPr="0078798F">
              <w:rPr>
                <w:rStyle w:val="MaviChar"/>
              </w:rPr>
              <w:t>454 üncü</w:t>
            </w:r>
            <w:r w:rsidRPr="00A23740">
              <w:rPr>
                <w:rFonts w:eastAsia="Times New Roman"/>
                <w:b/>
                <w:color w:val="0000FF"/>
                <w:szCs w:val="24"/>
                <w:lang w:eastAsia="tr-TR"/>
              </w:rPr>
              <w:t xml:space="preserve"> maddenin dördüncü</w:t>
            </w:r>
            <w:r w:rsidR="00695D9B" w:rsidRPr="0078798F">
              <w:rPr>
                <w:rStyle w:val="MaviChar"/>
              </w:rPr>
              <w:t>,</w:t>
            </w:r>
            <w:r w:rsidRPr="00A23740">
              <w:rPr>
                <w:rFonts w:eastAsia="Times New Roman"/>
                <w:b/>
                <w:color w:val="0000FF"/>
                <w:szCs w:val="24"/>
                <w:lang w:eastAsia="tr-TR"/>
              </w:rPr>
              <w:t xml:space="preserve"> beşinci</w:t>
            </w:r>
            <w:r w:rsidR="00695D9B" w:rsidRPr="00A23740">
              <w:rPr>
                <w:rFonts w:eastAsia="Times New Roman"/>
                <w:b/>
                <w:color w:val="0000FF"/>
                <w:szCs w:val="24"/>
                <w:lang w:eastAsia="tr-TR"/>
              </w:rPr>
              <w:t xml:space="preserve"> </w:t>
            </w:r>
            <w:r w:rsidR="00695D9B" w:rsidRPr="0078798F">
              <w:rPr>
                <w:rStyle w:val="MaviChar"/>
              </w:rPr>
              <w:t>ve altıncı</w:t>
            </w:r>
            <w:r w:rsidRPr="00A23740">
              <w:rPr>
                <w:rFonts w:eastAsia="Times New Roman"/>
                <w:b/>
                <w:color w:val="0000FF"/>
                <w:szCs w:val="24"/>
                <w:lang w:eastAsia="tr-TR"/>
              </w:rPr>
              <w:t xml:space="preserve"> fıkraları </w:t>
            </w:r>
            <w:r w:rsidR="007C4E36" w:rsidRPr="0078798F">
              <w:rPr>
                <w:rStyle w:val="MaviChar"/>
              </w:rPr>
              <w:t>kıyasen</w:t>
            </w:r>
            <w:r w:rsidRPr="0078798F">
              <w:rPr>
                <w:rStyle w:val="MaviChar"/>
              </w:rPr>
              <w:t xml:space="preserve"> uygulanır.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i/>
              </w:rPr>
            </w:pPr>
            <w:r w:rsidRPr="00A23740">
              <w:rPr>
                <w:rFonts w:eastAsia="Times New Roman"/>
                <w:b/>
                <w:color w:val="0000FF"/>
                <w:szCs w:val="24"/>
                <w:lang w:eastAsia="tr-TR"/>
              </w:rPr>
              <w:t xml:space="preserve">(5) İtiraz ve kanun </w:t>
            </w:r>
            <w:r w:rsidRPr="00A23740">
              <w:t>yoluna</w:t>
            </w:r>
            <w:r w:rsidRPr="00A23740">
              <w:rPr>
                <w:rStyle w:val="Balk3Char"/>
                <w:rFonts w:eastAsia="Calibri"/>
              </w:rPr>
              <w:t xml:space="preserve"> başvuru</w:t>
            </w:r>
            <w:r w:rsidRPr="00A23740">
              <w:rPr>
                <w:rStyle w:val="MaviChar"/>
                <w:lang w:val="tr-TR"/>
              </w:rPr>
              <w:t>lması</w:t>
            </w:r>
            <w:r w:rsidRPr="00A23740">
              <w:rPr>
                <w:rStyle w:val="Balk3Char"/>
                <w:rFonts w:eastAsia="Calibri"/>
              </w:rPr>
              <w:t xml:space="preserve"> </w:t>
            </w:r>
            <w:r w:rsidRPr="00A23740">
              <w:rPr>
                <w:rStyle w:val="MaviChar"/>
              </w:rPr>
              <w:t>ihtiyati</w:t>
            </w:r>
            <w:r w:rsidRPr="00A23740">
              <w:rPr>
                <w:rStyle w:val="Balk3Char"/>
                <w:rFonts w:eastAsia="Calibri"/>
              </w:rPr>
              <w:t xml:space="preserve"> </w:t>
            </w:r>
            <w:r w:rsidRPr="00A23740">
              <w:t>haciz kararının icrasını durdurmaz.</w:t>
            </w:r>
          </w:p>
          <w:p w:rsidR="00AA5C8C" w:rsidRPr="00A23740" w:rsidRDefault="00AA5C8C" w:rsidP="009431FF">
            <w:pPr>
              <w:tabs>
                <w:tab w:val="left" w:pos="567"/>
              </w:tabs>
              <w:rPr>
                <w:b/>
                <w:i/>
                <w:szCs w:val="24"/>
              </w:rPr>
            </w:pPr>
          </w:p>
        </w:tc>
      </w:tr>
      <w:tr w:rsidR="00BD7568" w:rsidRPr="00A23740" w:rsidTr="009431FF">
        <w:tc>
          <w:tcPr>
            <w:tcW w:w="5000" w:type="pct"/>
            <w:gridSpan w:val="2"/>
            <w:shd w:val="clear" w:color="auto" w:fill="DEEAF6"/>
          </w:tcPr>
          <w:p w:rsidR="0027790B" w:rsidRPr="00A23740" w:rsidRDefault="0027790B" w:rsidP="009431FF">
            <w:pPr>
              <w:tabs>
                <w:tab w:val="left" w:pos="567"/>
              </w:tabs>
              <w:ind w:firstLine="709"/>
              <w:rPr>
                <w:b/>
                <w:bCs/>
                <w:szCs w:val="24"/>
                <w:lang w:eastAsia="x-none"/>
              </w:rPr>
            </w:pPr>
          </w:p>
          <w:p w:rsidR="0027790B" w:rsidRPr="00A23740" w:rsidRDefault="00BD7568" w:rsidP="009431FF">
            <w:pPr>
              <w:tabs>
                <w:tab w:val="left" w:pos="567"/>
              </w:tabs>
              <w:ind w:firstLine="709"/>
              <w:rPr>
                <w:bCs/>
                <w:szCs w:val="24"/>
                <w:lang w:eastAsia="x-none"/>
              </w:rPr>
            </w:pPr>
            <w:r w:rsidRPr="00A23740">
              <w:rPr>
                <w:b/>
                <w:bCs/>
                <w:szCs w:val="24"/>
                <w:lang w:eastAsia="x-none"/>
              </w:rPr>
              <w:t xml:space="preserve">MADDE </w:t>
            </w:r>
            <w:r w:rsidR="003B700B" w:rsidRPr="00A23740">
              <w:rPr>
                <w:b/>
                <w:bCs/>
                <w:szCs w:val="24"/>
                <w:lang w:eastAsia="x-none"/>
              </w:rPr>
              <w:t>460</w:t>
            </w:r>
            <w:r w:rsidRPr="00A23740">
              <w:rPr>
                <w:b/>
                <w:bCs/>
                <w:szCs w:val="24"/>
                <w:lang w:eastAsia="x-none"/>
              </w:rPr>
              <w:t xml:space="preserve">- </w:t>
            </w:r>
            <w:r w:rsidR="0027790B" w:rsidRPr="00A23740">
              <w:rPr>
                <w:bCs/>
                <w:szCs w:val="24"/>
                <w:lang w:eastAsia="x-none"/>
              </w:rPr>
              <w:t>Maddede borçlu ve üçüncü kişilerin ihtiyati haciz kararına itirazları düzenlenmiştir. Bu düzenlemeye göre</w:t>
            </w:r>
            <w:r w:rsidR="00465F81" w:rsidRPr="00A23740">
              <w:rPr>
                <w:bCs/>
                <w:szCs w:val="24"/>
                <w:lang w:eastAsia="x-none"/>
              </w:rPr>
              <w:t>,</w:t>
            </w:r>
            <w:r w:rsidR="0027790B" w:rsidRPr="00A23740">
              <w:rPr>
                <w:bCs/>
                <w:szCs w:val="24"/>
                <w:lang w:eastAsia="x-none"/>
              </w:rPr>
              <w:t xml:space="preserve"> ihtiyati haciz kararı esas hakkında dava açılmadan önce verilmişse</w:t>
            </w:r>
            <w:r w:rsidR="009A1242" w:rsidRPr="006266A6">
              <w:rPr>
                <w:bCs/>
                <w:lang w:eastAsia="x-none"/>
              </w:rPr>
              <w:t>,</w:t>
            </w:r>
            <w:r w:rsidR="0027790B" w:rsidRPr="006266A6">
              <w:rPr>
                <w:bCs/>
                <w:szCs w:val="24"/>
                <w:lang w:eastAsia="x-none"/>
              </w:rPr>
              <w:t xml:space="preserve"> </w:t>
            </w:r>
            <w:r w:rsidR="0027790B" w:rsidRPr="00A23740">
              <w:rPr>
                <w:bCs/>
                <w:szCs w:val="24"/>
                <w:lang w:eastAsia="x-none"/>
              </w:rPr>
              <w:t xml:space="preserve">itiraz ihtiyati haciz kararını veren mahkemeye, esas hakkında dava açıldıktan sonra ise davaya bakan mahkemeye yapılacaktır.   </w:t>
            </w:r>
          </w:p>
          <w:p w:rsidR="0027790B" w:rsidRPr="00A23740" w:rsidRDefault="0027790B" w:rsidP="009431FF">
            <w:pPr>
              <w:tabs>
                <w:tab w:val="left" w:pos="567"/>
              </w:tabs>
              <w:ind w:firstLine="709"/>
              <w:rPr>
                <w:bCs/>
                <w:szCs w:val="24"/>
                <w:lang w:eastAsia="x-none"/>
              </w:rPr>
            </w:pPr>
            <w:r w:rsidRPr="00A23740">
              <w:rPr>
                <w:bCs/>
                <w:szCs w:val="24"/>
                <w:lang w:eastAsia="x-none"/>
              </w:rPr>
              <w:t>Maddenin ikinci fıkrasıyla</w:t>
            </w:r>
            <w:r w:rsidR="00465F81" w:rsidRPr="00A23740">
              <w:rPr>
                <w:bCs/>
                <w:szCs w:val="24"/>
                <w:lang w:eastAsia="x-none"/>
              </w:rPr>
              <w:t>,</w:t>
            </w:r>
            <w:r w:rsidRPr="00A23740">
              <w:rPr>
                <w:bCs/>
                <w:szCs w:val="24"/>
                <w:lang w:eastAsia="x-none"/>
              </w:rPr>
              <w:t xml:space="preserve"> </w:t>
            </w:r>
            <w:r w:rsidR="009A1242" w:rsidRPr="0078798F">
              <w:t>uygulamada</w:t>
            </w:r>
            <w:r w:rsidR="009A1242" w:rsidRPr="00A23740">
              <w:rPr>
                <w:bCs/>
                <w:szCs w:val="24"/>
                <w:lang w:eastAsia="x-none"/>
              </w:rPr>
              <w:t xml:space="preserve"> </w:t>
            </w:r>
            <w:r w:rsidRPr="00A23740">
              <w:rPr>
                <w:bCs/>
                <w:szCs w:val="24"/>
                <w:lang w:eastAsia="x-none"/>
              </w:rPr>
              <w:t xml:space="preserve">ortaya çıkardığı sorunlar da göz önüne alınarak ihtiyati haciz kararına hangi </w:t>
            </w:r>
            <w:r w:rsidR="009A1242" w:rsidRPr="0078798F">
              <w:t>hususlarda</w:t>
            </w:r>
            <w:r w:rsidR="009A1242" w:rsidRPr="00A23740">
              <w:rPr>
                <w:bCs/>
                <w:szCs w:val="24"/>
                <w:lang w:eastAsia="x-none"/>
              </w:rPr>
              <w:t xml:space="preserve"> </w:t>
            </w:r>
            <w:r w:rsidRPr="00A23740">
              <w:rPr>
                <w:bCs/>
                <w:szCs w:val="24"/>
                <w:lang w:eastAsia="x-none"/>
              </w:rPr>
              <w:t>itiraz edilebileceğine ilişkin sınırlı sayımdan vazgeçilmiş</w:t>
            </w:r>
            <w:r w:rsidR="009A1242" w:rsidRPr="0078798F">
              <w:t>;</w:t>
            </w:r>
            <w:r w:rsidRPr="0078798F">
              <w:t xml:space="preserve"> </w:t>
            </w:r>
            <w:r w:rsidRPr="00A23740">
              <w:rPr>
                <w:bCs/>
                <w:szCs w:val="24"/>
                <w:lang w:eastAsia="x-none"/>
              </w:rPr>
              <w:t>bunun yerine</w:t>
            </w:r>
            <w:r w:rsidR="009A1242" w:rsidRPr="0078798F">
              <w:t>, ihtiyati haciz sisteminde son derece önemli bir değişiklik yapılarak</w:t>
            </w:r>
            <w:r w:rsidRPr="0078798F">
              <w:t xml:space="preserve"> “ihtiyati haczi haklı göstermiş olan bütün vakıalar</w:t>
            </w:r>
            <w:r w:rsidRPr="00A23740">
              <w:rPr>
                <w:bCs/>
                <w:szCs w:val="24"/>
                <w:lang w:eastAsia="x-none"/>
              </w:rPr>
              <w:t xml:space="preserve"> bakımından” itiraz edilebileceği ilkesi benimsenmiştir. Böylece ihtiyati haciz kararına yapılacak itirazda borcun doğmadığı veya borcu sona erdiren sebeplerin mevcudiyeti gibi vakıalar da iddia edilebilecek ve bu itiraz sebeplerinin yaklaşık olarak ispatı ihtiyati haczin kaldırılması için yeterli olacaktır.</w:t>
            </w:r>
          </w:p>
          <w:p w:rsidR="0027790B" w:rsidRPr="00A23740" w:rsidRDefault="0027790B" w:rsidP="009431FF">
            <w:pPr>
              <w:tabs>
                <w:tab w:val="left" w:pos="567"/>
              </w:tabs>
              <w:ind w:firstLine="709"/>
              <w:rPr>
                <w:bCs/>
                <w:szCs w:val="24"/>
                <w:lang w:eastAsia="x-none"/>
              </w:rPr>
            </w:pPr>
            <w:r w:rsidRPr="00A23740">
              <w:rPr>
                <w:bCs/>
                <w:szCs w:val="24"/>
                <w:lang w:eastAsia="x-none"/>
              </w:rPr>
              <w:t>Maddenin üçüncü fıkra</w:t>
            </w:r>
            <w:r w:rsidR="00DF07E6" w:rsidRPr="00A23740">
              <w:rPr>
                <w:bCs/>
                <w:szCs w:val="24"/>
                <w:lang w:eastAsia="x-none"/>
              </w:rPr>
              <w:t>sı ihtiyati tedbire ilişkin 6100 sayılı Kanunun 394 üncü maddesinin dördüncü fıkra</w:t>
            </w:r>
            <w:r w:rsidR="00465F81" w:rsidRPr="00A23740">
              <w:rPr>
                <w:bCs/>
                <w:szCs w:val="24"/>
                <w:lang w:eastAsia="x-none"/>
              </w:rPr>
              <w:t>sıyla</w:t>
            </w:r>
            <w:r w:rsidRPr="00A23740">
              <w:rPr>
                <w:bCs/>
                <w:szCs w:val="24"/>
                <w:lang w:eastAsia="x-none"/>
              </w:rPr>
              <w:t xml:space="preserve"> uyumlu hâle getirilmiştir.  </w:t>
            </w:r>
          </w:p>
          <w:p w:rsidR="0027790B" w:rsidRPr="00A23740" w:rsidRDefault="0027790B" w:rsidP="009431FF">
            <w:pPr>
              <w:tabs>
                <w:tab w:val="left" w:pos="567"/>
              </w:tabs>
              <w:ind w:firstLine="709"/>
              <w:rPr>
                <w:bCs/>
                <w:szCs w:val="24"/>
                <w:lang w:eastAsia="x-none"/>
              </w:rPr>
            </w:pPr>
            <w:r w:rsidRPr="00A23740">
              <w:rPr>
                <w:bCs/>
                <w:szCs w:val="24"/>
                <w:lang w:eastAsia="x-none"/>
              </w:rPr>
              <w:t>Maddenin dördüncü fıkrasında</w:t>
            </w:r>
            <w:r w:rsidR="00465F81" w:rsidRPr="00A23740">
              <w:rPr>
                <w:bCs/>
                <w:szCs w:val="24"/>
                <w:lang w:eastAsia="x-none"/>
              </w:rPr>
              <w:t>,</w:t>
            </w:r>
            <w:r w:rsidRPr="00A23740">
              <w:rPr>
                <w:bCs/>
                <w:szCs w:val="24"/>
                <w:lang w:eastAsia="x-none"/>
              </w:rPr>
              <w:t xml:space="preserve"> ihtiyati haciz kararına itiraz üzerine verilen karara karşı alacaklı, borçlu veya duruma göre üçüncü kişinin kanun yoluna başvurabileceği tasrih edilmiştir. </w:t>
            </w:r>
          </w:p>
          <w:p w:rsidR="00BD7568" w:rsidRPr="00A23740" w:rsidRDefault="0027790B" w:rsidP="009431FF">
            <w:pPr>
              <w:tabs>
                <w:tab w:val="left" w:pos="567"/>
              </w:tabs>
              <w:ind w:firstLine="709"/>
              <w:rPr>
                <w:bCs/>
                <w:szCs w:val="24"/>
                <w:lang w:eastAsia="x-none"/>
              </w:rPr>
            </w:pPr>
            <w:r w:rsidRPr="00A23740">
              <w:rPr>
                <w:bCs/>
                <w:szCs w:val="24"/>
                <w:lang w:eastAsia="x-none"/>
              </w:rPr>
              <w:t>İhtiyati haciz kararının ilk defa bölge adliye mahkemesi tarafından verilmesi h</w:t>
            </w:r>
            <w:r w:rsidR="00695D9B" w:rsidRPr="00A23740">
              <w:rPr>
                <w:bCs/>
                <w:szCs w:val="24"/>
                <w:lang w:eastAsia="x-none"/>
              </w:rPr>
              <w:t>â</w:t>
            </w:r>
            <w:r w:rsidRPr="00A23740">
              <w:rPr>
                <w:bCs/>
                <w:szCs w:val="24"/>
                <w:lang w:eastAsia="x-none"/>
              </w:rPr>
              <w:t>linde bu karara karşı temyiz yolu açılmış bulunduğu için</w:t>
            </w:r>
            <w:r w:rsidR="004C0A2E" w:rsidRPr="00A23740">
              <w:rPr>
                <w:rStyle w:val="YELChar"/>
              </w:rPr>
              <w:t>,</w:t>
            </w:r>
            <w:r w:rsidRPr="00A23740">
              <w:rPr>
                <w:bCs/>
                <w:szCs w:val="24"/>
                <w:lang w:eastAsia="x-none"/>
              </w:rPr>
              <w:t xml:space="preserve"> maddenin son fıkrasında kanun yolu ibaresi kullanılmıştır. Buna göre ilk derece mahkemesinin vermiş olduğu ihtiyati haciz kararlarına karşı istinafa, </w:t>
            </w:r>
            <w:r w:rsidR="00465F81" w:rsidRPr="00A23740">
              <w:rPr>
                <w:bCs/>
                <w:szCs w:val="24"/>
                <w:lang w:eastAsia="x-none"/>
              </w:rPr>
              <w:t xml:space="preserve">(ilk defa) </w:t>
            </w:r>
            <w:r w:rsidRPr="00A23740">
              <w:rPr>
                <w:bCs/>
                <w:szCs w:val="24"/>
                <w:lang w:eastAsia="x-none"/>
              </w:rPr>
              <w:t>bölge adliye mahkemesinin vermiş olduğu ihtiyati haciz kararlarına karşı ise temyiz yoluna gidilebilecektir.</w:t>
            </w:r>
          </w:p>
          <w:p w:rsidR="00BD7568" w:rsidRPr="00A23740" w:rsidRDefault="00BD7568" w:rsidP="00196116">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b/>
                <w:szCs w:val="24"/>
              </w:rPr>
              <w:t>İhtiyati haczin kaldırılması</w:t>
            </w:r>
            <w:r w:rsidRPr="00A23740">
              <w:rPr>
                <w:b/>
                <w:strike/>
                <w:color w:val="FF0000"/>
                <w:szCs w:val="24"/>
              </w:rPr>
              <w:t>:</w:t>
            </w:r>
          </w:p>
          <w:p w:rsidR="00AA5C8C" w:rsidRPr="00A23740" w:rsidRDefault="00AA5C8C" w:rsidP="009431FF">
            <w:pPr>
              <w:tabs>
                <w:tab w:val="left" w:pos="567"/>
              </w:tabs>
              <w:rPr>
                <w:b/>
                <w:szCs w:val="24"/>
              </w:rPr>
            </w:pPr>
            <w:r w:rsidRPr="00A23740">
              <w:rPr>
                <w:rStyle w:val="KIRMIZIChar"/>
                <w:rFonts w:eastAsia="Calibri"/>
              </w:rPr>
              <w:t>Madde 266 – (1) (</w:t>
            </w:r>
            <w:r w:rsidRPr="00A23740">
              <w:rPr>
                <w:b/>
                <w:strike/>
                <w:color w:val="FF0000"/>
                <w:szCs w:val="24"/>
              </w:rPr>
              <w:t>Değişik: 18/2/1965 - 538/106 md.)</w:t>
            </w:r>
          </w:p>
          <w:p w:rsidR="00AA5C8C" w:rsidRPr="00A23740" w:rsidRDefault="00AA5C8C" w:rsidP="009431FF">
            <w:pPr>
              <w:tabs>
                <w:tab w:val="left" w:pos="567"/>
              </w:tabs>
              <w:rPr>
                <w:szCs w:val="24"/>
              </w:rPr>
            </w:pPr>
            <w:r w:rsidRPr="00A23740">
              <w:rPr>
                <w:szCs w:val="24"/>
              </w:rPr>
              <w:t xml:space="preserve">Borçlu, </w:t>
            </w:r>
            <w:r w:rsidRPr="00A23740">
              <w:rPr>
                <w:b/>
                <w:strike/>
                <w:color w:val="FF0000"/>
                <w:szCs w:val="24"/>
              </w:rPr>
              <w:t>para veya mahkemece kabul edilecek rehin veya esham yahut tahvilat depo etmek veya taşınmaz rehin yahut muteber bir banka kefaleti göstermek şartı ile ihtiyati haczin kaldırılmasını mahkemeden istiyebilir. Takibe başlandıktan sonra bu yetki, icra mahkemesine geçer.</w:t>
            </w:r>
          </w:p>
          <w:p w:rsidR="00AA5C8C" w:rsidRPr="00A23740" w:rsidRDefault="00AA5C8C" w:rsidP="009431FF">
            <w:pPr>
              <w:tabs>
                <w:tab w:val="left" w:pos="567"/>
              </w:tabs>
              <w:rPr>
                <w:i/>
                <w:szCs w:val="24"/>
              </w:rPr>
            </w:pPr>
          </w:p>
        </w:tc>
        <w:tc>
          <w:tcPr>
            <w:tcW w:w="2500" w:type="pct"/>
          </w:tcPr>
          <w:p w:rsidR="00AA5C8C" w:rsidRPr="00A23740" w:rsidRDefault="00AA5C8C" w:rsidP="009431FF">
            <w:pPr>
              <w:tabs>
                <w:tab w:val="left" w:pos="567"/>
              </w:tabs>
              <w:rPr>
                <w:b/>
                <w:szCs w:val="24"/>
              </w:rPr>
            </w:pPr>
            <w:r w:rsidRPr="00A23740">
              <w:rPr>
                <w:b/>
                <w:szCs w:val="24"/>
              </w:rPr>
              <w:t>İhtiyati haczin kaldırılması</w:t>
            </w:r>
          </w:p>
          <w:p w:rsidR="00AA5C8C" w:rsidRPr="00A23740" w:rsidRDefault="003B700B" w:rsidP="009431FF">
            <w:pPr>
              <w:tabs>
                <w:tab w:val="left" w:pos="567"/>
              </w:tabs>
              <w:rPr>
                <w:rStyle w:val="KIRMIZIChar"/>
                <w:rFonts w:eastAsia="Calibri"/>
              </w:rPr>
            </w:pPr>
            <w:r w:rsidRPr="00A23740">
              <w:rPr>
                <w:rStyle w:val="MaviChar"/>
                <w:lang w:val="tr-TR"/>
              </w:rPr>
              <w:t>MADDE 461</w:t>
            </w:r>
            <w:r w:rsidR="00AA5C8C" w:rsidRPr="00A23740">
              <w:rPr>
                <w:rStyle w:val="MaviChar"/>
                <w:lang w:val="tr-TR"/>
              </w:rPr>
              <w:t>- (1</w:t>
            </w:r>
            <w:r w:rsidR="00AA5C8C" w:rsidRPr="00A23740">
              <w:rPr>
                <w:rFonts w:eastAsia="Times New Roman"/>
                <w:b/>
                <w:color w:val="0000FF"/>
                <w:szCs w:val="24"/>
                <w:lang w:eastAsia="tr-TR"/>
              </w:rPr>
              <w:t>)</w:t>
            </w:r>
            <w:r w:rsidR="00AA5C8C" w:rsidRPr="00A23740">
              <w:rPr>
                <w:b/>
                <w:szCs w:val="24"/>
              </w:rPr>
              <w:t xml:space="preserve"> </w:t>
            </w:r>
            <w:r w:rsidR="00AA5C8C" w:rsidRPr="00A23740">
              <w:rPr>
                <w:szCs w:val="24"/>
              </w:rPr>
              <w:t xml:space="preserve">Borçlu, </w:t>
            </w:r>
            <w:r w:rsidR="00AA5C8C" w:rsidRPr="00A23740">
              <w:rPr>
                <w:rStyle w:val="MaviChar"/>
              </w:rPr>
              <w:t>takipten önce ihtiyati hacze karar veren mahkemeden, takipten sonra ise icra hukuk</w:t>
            </w:r>
            <w:r w:rsidR="00AA5C8C" w:rsidRPr="00A23740">
              <w:rPr>
                <w:rFonts w:eastAsia="Times New Roman"/>
                <w:b/>
                <w:color w:val="0000FF"/>
                <w:szCs w:val="24"/>
                <w:lang w:eastAsia="tr-TR"/>
              </w:rPr>
              <w:t xml:space="preserve"> mahkemesinden para, banka teminat mektubu veya başka bir teminat karşılığında ihtiyati haczin kaldırılmasını talep edebilir.</w:t>
            </w:r>
            <w:r w:rsidR="00B47290" w:rsidRPr="00A06203">
              <w:rPr>
                <w:rFonts w:eastAsia="Times New Roman"/>
                <w:b/>
                <w:color w:val="0000FF"/>
                <w:szCs w:val="24"/>
                <w:lang w:eastAsia="tr-TR"/>
              </w:rPr>
              <w:t xml:space="preserve"> </w:t>
            </w:r>
            <w:r w:rsidR="00B47290" w:rsidRPr="00A06203">
              <w:rPr>
                <w:rStyle w:val="YELChar"/>
                <w:color w:val="0000FF"/>
              </w:rPr>
              <w:t>Gösterilen teminatın uygun olup olmadığı mahkemece takdir edilir.</w:t>
            </w:r>
          </w:p>
          <w:p w:rsidR="00AA5C8C" w:rsidRPr="00A23740" w:rsidRDefault="00AA5C8C" w:rsidP="009431FF">
            <w:pPr>
              <w:pStyle w:val="YEL"/>
              <w:rPr>
                <w:lang w:val="tr-TR"/>
              </w:rPr>
            </w:pPr>
          </w:p>
          <w:p w:rsidR="00AA5C8C" w:rsidRPr="00A23740" w:rsidRDefault="00AA5C8C" w:rsidP="009431FF">
            <w:pPr>
              <w:tabs>
                <w:tab w:val="left" w:pos="567"/>
              </w:tabs>
              <w:rPr>
                <w:rStyle w:val="MaviChar"/>
              </w:rPr>
            </w:pPr>
            <w:r w:rsidRPr="00A23740">
              <w:rPr>
                <w:rFonts w:eastAsia="Times New Roman"/>
                <w:b/>
                <w:color w:val="0000FF"/>
                <w:szCs w:val="24"/>
                <w:lang w:eastAsia="tr-TR"/>
              </w:rPr>
              <w:t xml:space="preserve">(2) </w:t>
            </w:r>
            <w:r w:rsidRPr="00A23740">
              <w:rPr>
                <w:rStyle w:val="MaviChar"/>
              </w:rPr>
              <w:t xml:space="preserve">Gösterilecek teminat, üzerindeki ihtiyati haczin kaldırılması talep edilen mal ve hakların değerine göre belirlenir; şu kadar ki, teminat tutarı hiçbir şekilde borç ve </w:t>
            </w:r>
            <w:r w:rsidRPr="00A23740">
              <w:rPr>
                <w:rStyle w:val="MaviChar"/>
                <w:lang w:val="tr-TR"/>
              </w:rPr>
              <w:t>gider</w:t>
            </w:r>
            <w:r w:rsidRPr="00A23740">
              <w:rPr>
                <w:rStyle w:val="MaviChar"/>
              </w:rPr>
              <w:t xml:space="preserve"> toplamını geçemez.</w:t>
            </w:r>
          </w:p>
          <w:p w:rsidR="00AA5C8C" w:rsidRPr="00A23740" w:rsidRDefault="00AA5C8C" w:rsidP="009431FF">
            <w:pPr>
              <w:pStyle w:val="KIRMIZI"/>
              <w:rPr>
                <w:i/>
              </w:rPr>
            </w:pPr>
          </w:p>
        </w:tc>
      </w:tr>
      <w:tr w:rsidR="00BD7568" w:rsidRPr="00A23740" w:rsidTr="009431FF">
        <w:tc>
          <w:tcPr>
            <w:tcW w:w="5000" w:type="pct"/>
            <w:gridSpan w:val="2"/>
            <w:shd w:val="clear" w:color="auto" w:fill="DEEAF6"/>
          </w:tcPr>
          <w:p w:rsidR="0027790B" w:rsidRPr="00A23740" w:rsidRDefault="0027790B" w:rsidP="009431FF">
            <w:pPr>
              <w:tabs>
                <w:tab w:val="left" w:pos="567"/>
              </w:tabs>
              <w:ind w:firstLine="709"/>
              <w:rPr>
                <w:b/>
                <w:bCs/>
                <w:szCs w:val="24"/>
                <w:lang w:eastAsia="x-none"/>
              </w:rPr>
            </w:pPr>
          </w:p>
          <w:p w:rsidR="000946E6" w:rsidRPr="00A23740" w:rsidRDefault="00BD7568" w:rsidP="009431FF">
            <w:pPr>
              <w:tabs>
                <w:tab w:val="left" w:pos="567"/>
              </w:tabs>
              <w:ind w:firstLine="709"/>
              <w:rPr>
                <w:b/>
                <w:szCs w:val="24"/>
              </w:rPr>
            </w:pPr>
            <w:r w:rsidRPr="00A23740">
              <w:rPr>
                <w:b/>
                <w:bCs/>
                <w:szCs w:val="24"/>
                <w:lang w:eastAsia="x-none"/>
              </w:rPr>
              <w:t xml:space="preserve">MADDE </w:t>
            </w:r>
            <w:r w:rsidR="003B700B" w:rsidRPr="00A23740">
              <w:rPr>
                <w:b/>
                <w:bCs/>
                <w:szCs w:val="24"/>
                <w:lang w:eastAsia="x-none"/>
              </w:rPr>
              <w:t>461</w:t>
            </w:r>
            <w:r w:rsidRPr="00A23740">
              <w:rPr>
                <w:b/>
                <w:bCs/>
                <w:szCs w:val="24"/>
                <w:lang w:eastAsia="x-none"/>
              </w:rPr>
              <w:t xml:space="preserve">- </w:t>
            </w:r>
            <w:r w:rsidR="000946E6" w:rsidRPr="00A23740">
              <w:rPr>
                <w:bCs/>
                <w:szCs w:val="24"/>
                <w:lang w:eastAsia="x-none"/>
              </w:rPr>
              <w:t>Maddeyle, ihtiyati haczin kaldırılmasına ilişkin hususlar düzenlenmektedir. Hüküm, 2004 sayılı Kanunun 266 ncı maddesine karşılık gelmektedir.</w:t>
            </w:r>
          </w:p>
          <w:p w:rsidR="0027790B" w:rsidRPr="00A23740" w:rsidRDefault="0027790B" w:rsidP="009431FF">
            <w:pPr>
              <w:tabs>
                <w:tab w:val="left" w:pos="567"/>
              </w:tabs>
              <w:ind w:firstLine="709"/>
              <w:rPr>
                <w:bCs/>
                <w:szCs w:val="24"/>
                <w:lang w:eastAsia="x-none"/>
              </w:rPr>
            </w:pPr>
            <w:r w:rsidRPr="00A23740">
              <w:rPr>
                <w:bCs/>
                <w:szCs w:val="24"/>
                <w:lang w:eastAsia="x-none"/>
              </w:rPr>
              <w:t>Bu düzenlemeyle borçlunun takipten önce ihtiyati hacze karar veren mahkemeden, takipten son</w:t>
            </w:r>
            <w:r w:rsidR="00B47290" w:rsidRPr="00A23740">
              <w:rPr>
                <w:bCs/>
                <w:szCs w:val="24"/>
                <w:lang w:eastAsia="x-none"/>
              </w:rPr>
              <w:t>ra ise icra hukuk mahkemesinden</w:t>
            </w:r>
            <w:r w:rsidR="00B47290" w:rsidRPr="00A06203">
              <w:rPr>
                <w:bCs/>
                <w:szCs w:val="24"/>
                <w:lang w:eastAsia="x-none"/>
              </w:rPr>
              <w:t>,</w:t>
            </w:r>
            <w:r w:rsidR="00B47290" w:rsidRPr="00A23740">
              <w:rPr>
                <w:bCs/>
                <w:szCs w:val="24"/>
                <w:lang w:eastAsia="x-none"/>
              </w:rPr>
              <w:t xml:space="preserve"> </w:t>
            </w:r>
            <w:r w:rsidR="00B47290" w:rsidRPr="00A06203">
              <w:rPr>
                <w:bCs/>
                <w:szCs w:val="24"/>
                <w:lang w:eastAsia="x-none"/>
              </w:rPr>
              <w:t>mahkemece kabul edilecek</w:t>
            </w:r>
            <w:r w:rsidR="00B47290" w:rsidRPr="00A23740">
              <w:rPr>
                <w:bCs/>
                <w:szCs w:val="24"/>
                <w:lang w:eastAsia="x-none"/>
              </w:rPr>
              <w:t xml:space="preserve"> </w:t>
            </w:r>
            <w:r w:rsidRPr="00A23740">
              <w:rPr>
                <w:bCs/>
                <w:szCs w:val="24"/>
                <w:lang w:eastAsia="x-none"/>
              </w:rPr>
              <w:t xml:space="preserve">belli bir teminat mukabilinde ihtiyati haczin kaldırılmasını talep edebileceği açıklığa kavuşturulmuştur.  </w:t>
            </w:r>
          </w:p>
          <w:p w:rsidR="0027790B" w:rsidRPr="00A23740" w:rsidRDefault="0027790B" w:rsidP="009431FF">
            <w:pPr>
              <w:tabs>
                <w:tab w:val="left" w:pos="567"/>
              </w:tabs>
              <w:ind w:firstLine="709"/>
              <w:rPr>
                <w:bCs/>
                <w:szCs w:val="24"/>
                <w:lang w:eastAsia="x-none"/>
              </w:rPr>
            </w:pPr>
            <w:r w:rsidRPr="00A23740">
              <w:rPr>
                <w:bCs/>
                <w:szCs w:val="24"/>
                <w:lang w:eastAsia="x-none"/>
              </w:rPr>
              <w:t>İhtiyati haczin kaldırılabilmesi için borçlunun göstereceği teminat miktarı kural olarak ihtiyaten haczedilen mal ve hakların değerine göre belirlenecektir. Ancak gösterilecek teminat miktarı takip konusu alacak miktarını geç</w:t>
            </w:r>
            <w:r w:rsidR="00B47290" w:rsidRPr="00A23740">
              <w:rPr>
                <w:bCs/>
                <w:szCs w:val="24"/>
                <w:lang w:eastAsia="x-none"/>
              </w:rPr>
              <w:t>e</w:t>
            </w:r>
            <w:r w:rsidRPr="00A23740">
              <w:rPr>
                <w:bCs/>
                <w:szCs w:val="24"/>
                <w:lang w:eastAsia="x-none"/>
              </w:rPr>
              <w:t>meyecektir.</w:t>
            </w:r>
          </w:p>
          <w:p w:rsidR="00BD7568" w:rsidRPr="00A23740" w:rsidRDefault="0027790B" w:rsidP="009431FF">
            <w:pPr>
              <w:tabs>
                <w:tab w:val="left" w:pos="567"/>
              </w:tabs>
              <w:ind w:firstLine="709"/>
              <w:rPr>
                <w:bCs/>
                <w:szCs w:val="24"/>
                <w:lang w:eastAsia="x-none"/>
              </w:rPr>
            </w:pPr>
            <w:r w:rsidRPr="00A23740">
              <w:rPr>
                <w:bCs/>
                <w:szCs w:val="24"/>
                <w:lang w:eastAsia="x-none"/>
              </w:rPr>
              <w:t>Bu noktada belirtmek gerekir ki, genel hükümlerle deniz cebr</w:t>
            </w:r>
            <w:r w:rsidR="00436506" w:rsidRPr="00A23740">
              <w:rPr>
                <w:bCs/>
                <w:szCs w:val="24"/>
                <w:lang w:eastAsia="x-none"/>
              </w:rPr>
              <w:t>î</w:t>
            </w:r>
            <w:r w:rsidRPr="00A23740">
              <w:rPr>
                <w:bCs/>
                <w:szCs w:val="24"/>
                <w:lang w:eastAsia="x-none"/>
              </w:rPr>
              <w:t xml:space="preserve"> icra hukukuna ilişkin hükümler arasında deniz ticaretinin özellikleri dikkate alınarak farklı düzenlemeler yapılmıştır. Çünkü geminin değeri kadar</w:t>
            </w:r>
            <w:r w:rsidR="00B47290" w:rsidRPr="00A23740">
              <w:rPr>
                <w:bCs/>
                <w:szCs w:val="24"/>
                <w:lang w:eastAsia="x-none"/>
              </w:rPr>
              <w:t>,</w:t>
            </w:r>
            <w:r w:rsidRPr="00A23740">
              <w:rPr>
                <w:bCs/>
                <w:szCs w:val="24"/>
                <w:lang w:eastAsia="x-none"/>
              </w:rPr>
              <w:t xml:space="preserve"> teminat yatırmanın mecburi tutulması ihtiyati haczin teminat karşılığında kaldırılmasını fiilen imkânsız kılacaktır.</w:t>
            </w:r>
          </w:p>
          <w:p w:rsidR="00BD7568" w:rsidRPr="00A23740" w:rsidRDefault="00BD7568" w:rsidP="00196116">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FFFFF"/>
          </w:tcPr>
          <w:p w:rsidR="00AA5C8C" w:rsidRPr="00A23740" w:rsidRDefault="00AA5C8C" w:rsidP="009431FF">
            <w:pPr>
              <w:tabs>
                <w:tab w:val="left" w:pos="567"/>
              </w:tabs>
              <w:rPr>
                <w:szCs w:val="24"/>
              </w:rPr>
            </w:pPr>
            <w:r w:rsidRPr="00A23740">
              <w:rPr>
                <w:szCs w:val="24"/>
              </w:rPr>
              <w:t>İhtiyati hacizde iflas yolu ile takip:</w:t>
            </w:r>
          </w:p>
          <w:p w:rsidR="00AA5C8C" w:rsidRPr="00A23740" w:rsidRDefault="00AA5C8C" w:rsidP="009431FF">
            <w:pPr>
              <w:tabs>
                <w:tab w:val="left" w:pos="567"/>
              </w:tabs>
              <w:rPr>
                <w:b/>
                <w:strike/>
                <w:color w:val="FF0000"/>
                <w:szCs w:val="24"/>
              </w:rPr>
            </w:pPr>
            <w:r w:rsidRPr="00A23740">
              <w:rPr>
                <w:rStyle w:val="KIRMIZIChar"/>
                <w:rFonts w:eastAsia="Calibri"/>
              </w:rPr>
              <w:t>Madde 267 – (1) (Değişik</w:t>
            </w:r>
            <w:r w:rsidRPr="00A23740">
              <w:rPr>
                <w:b/>
                <w:strike/>
                <w:color w:val="FF0000"/>
                <w:szCs w:val="24"/>
              </w:rPr>
              <w:t>: 18/2/1965 - 538/107 md.)</w:t>
            </w:r>
          </w:p>
          <w:p w:rsidR="00AA5C8C" w:rsidRPr="00A23740" w:rsidRDefault="00AA5C8C" w:rsidP="009431FF">
            <w:pPr>
              <w:tabs>
                <w:tab w:val="left" w:pos="567"/>
              </w:tabs>
              <w:rPr>
                <w:szCs w:val="24"/>
              </w:rPr>
            </w:pPr>
            <w:r w:rsidRPr="00A23740">
              <w:rPr>
                <w:szCs w:val="24"/>
              </w:rPr>
              <w:t xml:space="preserve">Alacaklı, iflasa tabi borçlusu aleyhine 264 üncü maddenin, birinci fıkrası gereğince iflas yolu ile </w:t>
            </w:r>
            <w:r w:rsidRPr="00A23740">
              <w:rPr>
                <w:b/>
                <w:strike/>
                <w:color w:val="FF0000"/>
                <w:szCs w:val="24"/>
              </w:rPr>
              <w:t>takipte bulunmuş</w:t>
            </w:r>
            <w:r w:rsidRPr="00A23740">
              <w:rPr>
                <w:szCs w:val="24"/>
              </w:rPr>
              <w:t xml:space="preserve"> veya iflas yolu ile </w:t>
            </w:r>
            <w:r w:rsidRPr="00A23740">
              <w:rPr>
                <w:b/>
                <w:strike/>
                <w:color w:val="FF0000"/>
                <w:szCs w:val="24"/>
              </w:rPr>
              <w:t>takipte bulunduktan</w:t>
            </w:r>
            <w:r w:rsidRPr="00A23740">
              <w:rPr>
                <w:szCs w:val="24"/>
              </w:rPr>
              <w:t xml:space="preserve"> sonra borçlunun mallarını ihtiyaten haczettirmiş </w:t>
            </w:r>
            <w:r w:rsidRPr="00A23740">
              <w:rPr>
                <w:b/>
                <w:strike/>
                <w:color w:val="FF0000"/>
                <w:szCs w:val="24"/>
              </w:rPr>
              <w:t>ise</w:t>
            </w:r>
            <w:r w:rsidRPr="00A23740">
              <w:rPr>
                <w:bCs/>
              </w:rPr>
              <w:t>,</w:t>
            </w:r>
            <w:r w:rsidRPr="00A23740">
              <w:rPr>
                <w:szCs w:val="24"/>
              </w:rPr>
              <w:t xml:space="preserve"> aşağıdaki hükümler </w:t>
            </w:r>
            <w:r w:rsidRPr="00A23740">
              <w:rPr>
                <w:rStyle w:val="KIRMIZIChar"/>
                <w:rFonts w:eastAsia="Calibri"/>
              </w:rPr>
              <w:t>tatbik olunur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rFonts w:eastAsia="Times New Roman"/>
                <w:color w:val="000000"/>
                <w:szCs w:val="24"/>
                <w:lang w:eastAsia="tr-TR"/>
              </w:rPr>
              <w:t xml:space="preserve"> </w:t>
            </w:r>
            <w:r w:rsidRPr="00A23740">
              <w:rPr>
                <w:szCs w:val="24"/>
              </w:rPr>
              <w:t xml:space="preserve">Borçlu ödeme emrine itiraz ederse bu itiraz </w:t>
            </w:r>
            <w:r w:rsidRPr="00A23740">
              <w:rPr>
                <w:b/>
                <w:strike/>
                <w:color w:val="FF0000"/>
                <w:szCs w:val="24"/>
              </w:rPr>
              <w:t>hemen</w:t>
            </w:r>
            <w:r w:rsidRPr="00A23740">
              <w:rPr>
                <w:szCs w:val="24"/>
              </w:rPr>
              <w:t xml:space="preserve"> alacaklıya tebliğ olunur. Alacaklı, tebliğ tarihinden itibaren yedi gün içinde </w:t>
            </w:r>
            <w:r w:rsidRPr="00A23740">
              <w:rPr>
                <w:rStyle w:val="KIRMIZIChar"/>
                <w:rFonts w:eastAsia="Calibri"/>
              </w:rPr>
              <w:t>ticaret</w:t>
            </w:r>
            <w:r w:rsidRPr="00A23740">
              <w:rPr>
                <w:szCs w:val="24"/>
              </w:rPr>
              <w:t xml:space="preserve"> mahkemesine başvurarak itirazın </w:t>
            </w:r>
            <w:r w:rsidRPr="00A23740">
              <w:rPr>
                <w:b/>
                <w:strike/>
                <w:color w:val="FF0000"/>
                <w:szCs w:val="24"/>
              </w:rPr>
              <w:t>kaldırılmasiyle</w:t>
            </w:r>
            <w:r w:rsidRPr="00A23740">
              <w:rPr>
                <w:szCs w:val="24"/>
              </w:rPr>
              <w:t xml:space="preserve"> beraber borçlunun iflasına karar verilmesini isteme</w:t>
            </w:r>
            <w:r w:rsidRPr="00A23740">
              <w:rPr>
                <w:rStyle w:val="KIRMIZIChar"/>
                <w:rFonts w:eastAsia="Calibri"/>
              </w:rPr>
              <w:t>ye mecburdur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rFonts w:eastAsia="Times New Roman"/>
                <w:color w:val="000000"/>
                <w:szCs w:val="24"/>
                <w:lang w:eastAsia="tr-TR"/>
              </w:rPr>
              <w:t xml:space="preserve"> </w:t>
            </w:r>
            <w:r w:rsidRPr="00A23740">
              <w:rPr>
                <w:szCs w:val="24"/>
              </w:rPr>
              <w:t xml:space="preserve">Borçlu ödeme emrine itiraz etmezse, bu durum </w:t>
            </w:r>
            <w:r w:rsidRPr="00A23740">
              <w:rPr>
                <w:rStyle w:val="KIRMIZIChar"/>
                <w:rFonts w:eastAsia="Calibri"/>
              </w:rPr>
              <w:t>hemen</w:t>
            </w:r>
            <w:r w:rsidRPr="00A23740">
              <w:rPr>
                <w:szCs w:val="24"/>
              </w:rPr>
              <w:t xml:space="preserve"> alacaklıya tebliğ olunur. Alacaklı, tebliğ tarihinden itibaren </w:t>
            </w:r>
            <w:r w:rsidRPr="00A23740">
              <w:rPr>
                <w:rStyle w:val="KIRMIZIChar"/>
                <w:rFonts w:eastAsia="Calibri"/>
              </w:rPr>
              <w:t>yedi gün</w:t>
            </w:r>
            <w:r w:rsidRPr="00A23740">
              <w:rPr>
                <w:szCs w:val="24"/>
              </w:rPr>
              <w:t xml:space="preserve"> içinde </w:t>
            </w:r>
            <w:r w:rsidRPr="00A23740">
              <w:rPr>
                <w:rStyle w:val="KIRMIZIChar"/>
                <w:rFonts w:eastAsia="Calibri"/>
              </w:rPr>
              <w:t>ticaret</w:t>
            </w:r>
            <w:r w:rsidRPr="00A23740">
              <w:rPr>
                <w:szCs w:val="24"/>
              </w:rPr>
              <w:t xml:space="preserve"> mahkemesine başvurarak borçlunun iflasına karar verilmesini isteme</w:t>
            </w:r>
            <w:r w:rsidRPr="00A23740">
              <w:rPr>
                <w:rStyle w:val="KIRMIZIChar"/>
                <w:rFonts w:eastAsia="Calibri"/>
              </w:rPr>
              <w:t>ye mecburdur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(4)</w:t>
            </w:r>
            <w:r w:rsidRPr="00A23740">
              <w:rPr>
                <w:rFonts w:eastAsia="Times New Roman"/>
                <w:color w:val="000000"/>
                <w:szCs w:val="24"/>
                <w:lang w:eastAsia="tr-TR"/>
              </w:rPr>
              <w:t xml:space="preserve"> </w:t>
            </w:r>
            <w:r w:rsidRPr="00A23740">
              <w:rPr>
                <w:rStyle w:val="KIRMIZIChar"/>
                <w:rFonts w:eastAsia="Calibri"/>
              </w:rPr>
              <w:t>264 üncü</w:t>
            </w:r>
            <w:r w:rsidRPr="00A23740">
              <w:rPr>
                <w:szCs w:val="24"/>
              </w:rPr>
              <w:t xml:space="preserve"> maddenin </w:t>
            </w:r>
            <w:r w:rsidRPr="00A23740">
              <w:rPr>
                <w:rStyle w:val="KIRMIZIChar"/>
                <w:rFonts w:eastAsia="Calibri"/>
              </w:rPr>
              <w:t>4 üncü</w:t>
            </w:r>
            <w:r w:rsidRPr="00A23740">
              <w:rPr>
                <w:szCs w:val="24"/>
              </w:rPr>
              <w:t xml:space="preserve"> fıkrası hükmü kıyasen uygulanır.</w:t>
            </w:r>
          </w:p>
          <w:p w:rsidR="00AA5C8C" w:rsidRPr="00A23740" w:rsidRDefault="00AA5C8C" w:rsidP="009431FF">
            <w:pPr>
              <w:tabs>
                <w:tab w:val="left" w:pos="567"/>
              </w:tabs>
              <w:rPr>
                <w:b/>
                <w:strike/>
                <w:color w:val="FF0000"/>
                <w:szCs w:val="24"/>
              </w:rPr>
            </w:pPr>
          </w:p>
        </w:tc>
        <w:tc>
          <w:tcPr>
            <w:tcW w:w="2500" w:type="pct"/>
            <w:shd w:val="clear" w:color="auto" w:fill="FFFFFF"/>
          </w:tcPr>
          <w:p w:rsidR="00AA5C8C" w:rsidRPr="00A23740" w:rsidRDefault="00AA5C8C" w:rsidP="009431FF">
            <w:pPr>
              <w:tabs>
                <w:tab w:val="left" w:pos="567"/>
              </w:tabs>
              <w:rPr>
                <w:b/>
                <w:szCs w:val="24"/>
              </w:rPr>
            </w:pPr>
            <w:r w:rsidRPr="00A23740">
              <w:rPr>
                <w:b/>
                <w:szCs w:val="24"/>
              </w:rPr>
              <w:t>İhtiyati hacizde iflas yolu ile takip</w:t>
            </w:r>
          </w:p>
          <w:p w:rsidR="00AA5C8C" w:rsidRPr="00A23740" w:rsidRDefault="003B700B" w:rsidP="009431FF">
            <w:pPr>
              <w:tabs>
                <w:tab w:val="left" w:pos="567"/>
              </w:tabs>
              <w:rPr>
                <w:szCs w:val="24"/>
              </w:rPr>
            </w:pPr>
            <w:r w:rsidRPr="00A23740">
              <w:rPr>
                <w:rStyle w:val="MaviChar"/>
                <w:lang w:val="tr-TR"/>
              </w:rPr>
              <w:t>MADDE 462</w:t>
            </w:r>
            <w:r w:rsidR="00AA5C8C" w:rsidRPr="00A23740">
              <w:rPr>
                <w:rStyle w:val="MaviChar"/>
                <w:lang w:val="tr-TR"/>
              </w:rPr>
              <w:t>- (</w:t>
            </w:r>
            <w:r w:rsidR="00AA5C8C" w:rsidRPr="00A23740">
              <w:rPr>
                <w:rFonts w:eastAsia="Times New Roman"/>
                <w:b/>
                <w:color w:val="0000FF"/>
                <w:szCs w:val="24"/>
                <w:lang w:eastAsia="tr-TR"/>
              </w:rPr>
              <w:t>1)</w:t>
            </w:r>
            <w:r w:rsidR="00AA5C8C" w:rsidRPr="00A23740">
              <w:rPr>
                <w:szCs w:val="24"/>
              </w:rPr>
              <w:t xml:space="preserve"> Alacaklı, iflasa tabi borçlusu aleyhine </w:t>
            </w:r>
            <w:r w:rsidR="00695D9B" w:rsidRPr="00A06203">
              <w:rPr>
                <w:rStyle w:val="KonuBalChar"/>
                <w:rFonts w:eastAsia="Calibri"/>
                <w:color w:val="0000FF"/>
              </w:rPr>
              <w:t>459 uncu</w:t>
            </w:r>
            <w:r w:rsidR="00AA5C8C" w:rsidRPr="00A23740">
              <w:rPr>
                <w:szCs w:val="24"/>
              </w:rPr>
              <w:t xml:space="preserve"> maddenin birinci fıkrası gereğince iflas yolu ile </w:t>
            </w:r>
            <w:r w:rsidR="00AA5C8C" w:rsidRPr="00A23740">
              <w:rPr>
                <w:rStyle w:val="MaviChar"/>
                <w:lang w:val="tr-TR"/>
              </w:rPr>
              <w:t>takip yapmış</w:t>
            </w:r>
            <w:r w:rsidR="00AA5C8C" w:rsidRPr="00A23740">
              <w:rPr>
                <w:szCs w:val="24"/>
              </w:rPr>
              <w:t xml:space="preserve"> veya iflas yolu ile </w:t>
            </w:r>
            <w:r w:rsidR="00AA5C8C" w:rsidRPr="00A23740">
              <w:rPr>
                <w:rStyle w:val="MaviChar"/>
                <w:lang w:val="tr-TR"/>
              </w:rPr>
              <w:t>takibe başladıktan</w:t>
            </w:r>
            <w:r w:rsidR="00AA5C8C" w:rsidRPr="00A23740">
              <w:rPr>
                <w:b/>
                <w:bCs/>
              </w:rPr>
              <w:t xml:space="preserve"> </w:t>
            </w:r>
            <w:r w:rsidR="00AA5C8C" w:rsidRPr="00A23740">
              <w:rPr>
                <w:szCs w:val="24"/>
              </w:rPr>
              <w:t>sonra borçlunun mallarını ihtiyaten haczettirmiş</w:t>
            </w:r>
            <w:r w:rsidR="00AA5C8C" w:rsidRPr="00A23740">
              <w:rPr>
                <w:rStyle w:val="MaviChar"/>
                <w:lang w:val="tr-TR"/>
              </w:rPr>
              <w:t>se</w:t>
            </w:r>
            <w:r w:rsidR="00AA5C8C" w:rsidRPr="00A23740">
              <w:t>,</w:t>
            </w:r>
            <w:r w:rsidR="00AA5C8C" w:rsidRPr="00A23740">
              <w:rPr>
                <w:szCs w:val="24"/>
              </w:rPr>
              <w:t xml:space="preserve"> aşağıdaki hükümler </w:t>
            </w:r>
            <w:r w:rsidR="00AA5C8C" w:rsidRPr="00A23740">
              <w:rPr>
                <w:rStyle w:val="MaviChar"/>
                <w:lang w:val="tr-TR"/>
              </w:rPr>
              <w:t>uygulanır</w:t>
            </w:r>
            <w:r w:rsidR="00AA5C8C" w:rsidRPr="00A23740">
              <w:rPr>
                <w:szCs w:val="24"/>
              </w:rPr>
              <w:t>.</w:t>
            </w:r>
          </w:p>
          <w:p w:rsidR="00A5551D" w:rsidRDefault="00A5551D" w:rsidP="009431FF">
            <w:pPr>
              <w:tabs>
                <w:tab w:val="left" w:pos="567"/>
              </w:tabs>
              <w:rPr>
                <w:szCs w:val="24"/>
              </w:rPr>
            </w:pPr>
          </w:p>
          <w:p w:rsidR="00196116" w:rsidRPr="00A23740" w:rsidRDefault="00196116" w:rsidP="009431FF">
            <w:pPr>
              <w:tabs>
                <w:tab w:val="left" w:pos="567"/>
              </w:tabs>
              <w:rPr>
                <w:szCs w:val="24"/>
              </w:rPr>
            </w:pPr>
          </w:p>
          <w:p w:rsidR="00AA5C8C" w:rsidRPr="00A23740" w:rsidRDefault="00AA5C8C" w:rsidP="009431FF">
            <w:pPr>
              <w:tabs>
                <w:tab w:val="left" w:pos="567"/>
              </w:tabs>
              <w:rPr>
                <w:szCs w:val="24"/>
              </w:rPr>
            </w:pPr>
            <w:r w:rsidRPr="00A23740">
              <w:rPr>
                <w:rFonts w:eastAsia="Times New Roman"/>
                <w:b/>
                <w:color w:val="0000FF"/>
                <w:szCs w:val="24"/>
                <w:lang w:eastAsia="tr-TR"/>
              </w:rPr>
              <w:t>(2)</w:t>
            </w:r>
            <w:r w:rsidRPr="00A23740">
              <w:rPr>
                <w:szCs w:val="24"/>
              </w:rPr>
              <w:t xml:space="preserve"> Borçlu ödeme emrine itiraz ederse</w:t>
            </w:r>
            <w:r w:rsidR="002B3C1E" w:rsidRPr="00A06203">
              <w:rPr>
                <w:rStyle w:val="MaviChar"/>
                <w:lang w:val="tr-TR"/>
              </w:rPr>
              <w:t>,</w:t>
            </w:r>
            <w:r w:rsidRPr="00A23740">
              <w:rPr>
                <w:szCs w:val="24"/>
              </w:rPr>
              <w:t xml:space="preserve"> bu itiraz </w:t>
            </w:r>
            <w:r w:rsidRPr="00A23740">
              <w:rPr>
                <w:rStyle w:val="MaviChar"/>
                <w:lang w:val="tr-TR"/>
              </w:rPr>
              <w:t>üç gün içinde</w:t>
            </w:r>
            <w:r w:rsidRPr="00A23740">
              <w:rPr>
                <w:szCs w:val="24"/>
              </w:rPr>
              <w:t xml:space="preserve"> alacaklıya tebliğ olunur. Alacaklı, tebliğ tarihinden itibaren bir hafta içinde </w:t>
            </w:r>
            <w:r w:rsidRPr="00A23740">
              <w:rPr>
                <w:rStyle w:val="MaviChar"/>
                <w:lang w:val="tr-TR"/>
              </w:rPr>
              <w:t>iflas</w:t>
            </w:r>
            <w:r w:rsidRPr="00A23740">
              <w:rPr>
                <w:szCs w:val="24"/>
              </w:rPr>
              <w:t xml:space="preserve"> mahkemesine başvurarak itirazın </w:t>
            </w:r>
            <w:r w:rsidRPr="00A23740">
              <w:rPr>
                <w:rStyle w:val="MaviChar"/>
                <w:lang w:val="tr-TR"/>
              </w:rPr>
              <w:t>giderilmesiyle</w:t>
            </w:r>
            <w:r w:rsidR="002B3C1E" w:rsidRPr="00A23740">
              <w:rPr>
                <w:rStyle w:val="MaviChar"/>
                <w:lang w:val="tr-TR"/>
              </w:rPr>
              <w:t xml:space="preserve"> </w:t>
            </w:r>
            <w:r w:rsidR="002B3C1E" w:rsidRPr="00A06203">
              <w:rPr>
                <w:rStyle w:val="MaviChar"/>
                <w:lang w:val="tr-TR"/>
              </w:rPr>
              <w:t>birlikte</w:t>
            </w:r>
            <w:r w:rsidRPr="00A23740">
              <w:rPr>
                <w:szCs w:val="24"/>
              </w:rPr>
              <w:t xml:space="preserve"> borçlunun iflasına karar verilmesini isteme</w:t>
            </w:r>
            <w:r w:rsidRPr="00A23740">
              <w:rPr>
                <w:rStyle w:val="MaviChar"/>
                <w:lang w:val="tr-TR"/>
              </w:rPr>
              <w:t>k zorundadır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Fonts w:eastAsia="Times New Roman"/>
                <w:b/>
                <w:color w:val="0000FF"/>
                <w:szCs w:val="24"/>
                <w:lang w:eastAsia="tr-TR"/>
              </w:rPr>
              <w:t>(3)</w:t>
            </w:r>
            <w:r w:rsidRPr="00A23740">
              <w:rPr>
                <w:szCs w:val="24"/>
              </w:rPr>
              <w:t xml:space="preserve"> Borçlu ödeme emrine itiraz etmezse, bu durum </w:t>
            </w:r>
            <w:r w:rsidRPr="00A23740">
              <w:rPr>
                <w:rStyle w:val="MaviChar"/>
                <w:lang w:val="tr-TR"/>
              </w:rPr>
              <w:t>üç gün içinde</w:t>
            </w:r>
            <w:r w:rsidRPr="00A23740">
              <w:rPr>
                <w:szCs w:val="24"/>
              </w:rPr>
              <w:t xml:space="preserve"> alacaklıya tebliğ olunur. Alacaklı, tebliğ tarihinden itibaren </w:t>
            </w:r>
            <w:r w:rsidRPr="00A06203">
              <w:rPr>
                <w:rStyle w:val="MaviChar"/>
                <w:lang w:val="tr-TR"/>
              </w:rPr>
              <w:t>bir</w:t>
            </w:r>
            <w:r w:rsidRPr="00A23740">
              <w:rPr>
                <w:rStyle w:val="YELChar"/>
              </w:rPr>
              <w:t xml:space="preserve"> </w:t>
            </w:r>
            <w:r w:rsidRPr="00A06203">
              <w:rPr>
                <w:rStyle w:val="MaviChar"/>
                <w:lang w:val="tr-TR"/>
              </w:rPr>
              <w:t>hafta</w:t>
            </w:r>
            <w:r w:rsidRPr="00A23740">
              <w:rPr>
                <w:szCs w:val="24"/>
              </w:rPr>
              <w:t xml:space="preserve"> içinde </w:t>
            </w:r>
            <w:r w:rsidRPr="00A23740">
              <w:rPr>
                <w:rStyle w:val="MaviChar"/>
                <w:lang w:val="tr-TR"/>
              </w:rPr>
              <w:t>iflas</w:t>
            </w:r>
            <w:r w:rsidRPr="00A23740">
              <w:rPr>
                <w:szCs w:val="24"/>
              </w:rPr>
              <w:t xml:space="preserve"> mahkemesine başvurarak borçlunun iflasına karar verilmesini isteme</w:t>
            </w:r>
            <w:r w:rsidRPr="00A23740">
              <w:rPr>
                <w:rStyle w:val="MaviChar"/>
                <w:lang w:val="tr-TR"/>
              </w:rPr>
              <w:t>k zorundadır</w:t>
            </w:r>
            <w:r w:rsidRPr="00A23740">
              <w:rPr>
                <w:szCs w:val="24"/>
              </w:rPr>
              <w:t>.</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Fonts w:eastAsia="Times New Roman"/>
                <w:b/>
                <w:color w:val="0000FF"/>
                <w:szCs w:val="24"/>
                <w:lang w:eastAsia="tr-TR"/>
              </w:rPr>
              <w:t>(4)</w:t>
            </w:r>
            <w:r w:rsidR="00695D9B" w:rsidRPr="00A23740">
              <w:rPr>
                <w:rFonts w:eastAsia="Times New Roman"/>
                <w:b/>
                <w:color w:val="0000FF"/>
                <w:szCs w:val="24"/>
                <w:lang w:eastAsia="tr-TR"/>
              </w:rPr>
              <w:t xml:space="preserve"> </w:t>
            </w:r>
            <w:r w:rsidR="00695D9B" w:rsidRPr="00A06203">
              <w:rPr>
                <w:rStyle w:val="MaviChar"/>
                <w:lang w:val="tr-TR"/>
              </w:rPr>
              <w:t>459 uncu</w:t>
            </w:r>
            <w:r w:rsidRPr="00A23740">
              <w:rPr>
                <w:szCs w:val="24"/>
              </w:rPr>
              <w:t xml:space="preserve"> maddenin </w:t>
            </w:r>
            <w:r w:rsidRPr="00A23740">
              <w:rPr>
                <w:rStyle w:val="MaviChar"/>
              </w:rPr>
              <w:t>ihtiyati haczin hükümsüz</w:t>
            </w:r>
            <w:r w:rsidRPr="00A23740">
              <w:rPr>
                <w:rStyle w:val="YELChar"/>
              </w:rPr>
              <w:t xml:space="preserve"> </w:t>
            </w:r>
            <w:r w:rsidRPr="00A23740">
              <w:rPr>
                <w:rStyle w:val="MaviChar"/>
              </w:rPr>
              <w:t>kalmasına ilişkin dördüncü</w:t>
            </w:r>
            <w:r w:rsidRPr="00A23740">
              <w:rPr>
                <w:szCs w:val="24"/>
              </w:rPr>
              <w:t xml:space="preserve"> fıkrası hükmü </w:t>
            </w:r>
            <w:r w:rsidRPr="00A23740">
              <w:rPr>
                <w:rStyle w:val="MaviChar"/>
              </w:rPr>
              <w:t>burada</w:t>
            </w:r>
            <w:r w:rsidRPr="00A23740">
              <w:rPr>
                <w:rStyle w:val="YELChar"/>
              </w:rPr>
              <w:t xml:space="preserve"> </w:t>
            </w:r>
            <w:r w:rsidRPr="00A23740">
              <w:rPr>
                <w:rStyle w:val="MaviChar"/>
              </w:rPr>
              <w:t>da</w:t>
            </w:r>
            <w:r w:rsidRPr="00A23740">
              <w:rPr>
                <w:szCs w:val="24"/>
              </w:rPr>
              <w:t xml:space="preserve"> kıyasen uygulanır.</w:t>
            </w:r>
          </w:p>
          <w:p w:rsidR="00AA5C8C" w:rsidRPr="00A23740" w:rsidRDefault="00AA5C8C" w:rsidP="009431FF">
            <w:pPr>
              <w:tabs>
                <w:tab w:val="left" w:pos="567"/>
              </w:tabs>
              <w:rPr>
                <w:b/>
                <w:szCs w:val="24"/>
              </w:rPr>
            </w:pPr>
          </w:p>
        </w:tc>
      </w:tr>
      <w:tr w:rsidR="00BD7568" w:rsidRPr="00A23740" w:rsidTr="009431FF">
        <w:tc>
          <w:tcPr>
            <w:tcW w:w="5000" w:type="pct"/>
            <w:gridSpan w:val="2"/>
            <w:shd w:val="clear" w:color="auto" w:fill="DEEAF6"/>
          </w:tcPr>
          <w:p w:rsidR="00DF07E6" w:rsidRPr="00A23740" w:rsidRDefault="00DF07E6" w:rsidP="009431FF">
            <w:pPr>
              <w:tabs>
                <w:tab w:val="left" w:pos="567"/>
              </w:tabs>
              <w:ind w:firstLine="709"/>
              <w:rPr>
                <w:b/>
                <w:bCs/>
                <w:szCs w:val="24"/>
                <w:lang w:eastAsia="x-none"/>
              </w:rPr>
            </w:pPr>
          </w:p>
          <w:p w:rsidR="000946E6" w:rsidRPr="00A23740" w:rsidRDefault="00BD7568" w:rsidP="009431FF">
            <w:pPr>
              <w:tabs>
                <w:tab w:val="left" w:pos="567"/>
              </w:tabs>
              <w:ind w:firstLine="709"/>
              <w:rPr>
                <w:b/>
                <w:bCs/>
                <w:szCs w:val="24"/>
                <w:lang w:eastAsia="x-none"/>
              </w:rPr>
            </w:pPr>
            <w:r w:rsidRPr="00A23740">
              <w:rPr>
                <w:b/>
                <w:bCs/>
                <w:szCs w:val="24"/>
                <w:lang w:eastAsia="x-none"/>
              </w:rPr>
              <w:t xml:space="preserve">MADDE </w:t>
            </w:r>
            <w:r w:rsidR="003B700B" w:rsidRPr="00A23740">
              <w:rPr>
                <w:b/>
                <w:bCs/>
                <w:szCs w:val="24"/>
                <w:lang w:eastAsia="x-none"/>
              </w:rPr>
              <w:t>462</w:t>
            </w:r>
            <w:r w:rsidRPr="00A23740">
              <w:rPr>
                <w:b/>
                <w:bCs/>
                <w:szCs w:val="24"/>
                <w:lang w:eastAsia="x-none"/>
              </w:rPr>
              <w:t xml:space="preserve">- </w:t>
            </w:r>
            <w:r w:rsidR="000946E6" w:rsidRPr="00A23740">
              <w:rPr>
                <w:bCs/>
                <w:szCs w:val="24"/>
                <w:lang w:eastAsia="x-none"/>
              </w:rPr>
              <w:t>Maddeyle, ihtiyati hacizde iflas yolu ile takibe ilişkin hususlar düzenlenmektedir. Hüküm, 2004 sayılı Kanunun 267 nci maddesine karşılık gelmektedir.</w:t>
            </w:r>
          </w:p>
          <w:p w:rsidR="00BD7568" w:rsidRPr="00A23740" w:rsidRDefault="0027790B" w:rsidP="009431FF">
            <w:pPr>
              <w:tabs>
                <w:tab w:val="left" w:pos="567"/>
              </w:tabs>
              <w:ind w:firstLine="709"/>
              <w:rPr>
                <w:b/>
                <w:bCs/>
                <w:szCs w:val="24"/>
                <w:lang w:eastAsia="x-none"/>
              </w:rPr>
            </w:pPr>
            <w:r w:rsidRPr="00A23740">
              <w:rPr>
                <w:bCs/>
                <w:szCs w:val="24"/>
                <w:lang w:eastAsia="x-none"/>
              </w:rPr>
              <w:t xml:space="preserve">Her ne kadar </w:t>
            </w:r>
            <w:r w:rsidR="00695D9B" w:rsidRPr="00A23740">
              <w:rPr>
                <w:bCs/>
                <w:szCs w:val="24"/>
                <w:lang w:eastAsia="x-none"/>
              </w:rPr>
              <w:t>T</w:t>
            </w:r>
            <w:r w:rsidRPr="00A23740">
              <w:rPr>
                <w:bCs/>
                <w:szCs w:val="24"/>
                <w:lang w:eastAsia="x-none"/>
              </w:rPr>
              <w:t>aslakta süreler yönünden “hafta” esası benimsenmiş ise de “İhtiyati hacizde iflas yolu ile takip” başlıklı bu maddede istisnaen gün esasına başvurmak zorunluluğu hâsıl olmuştur. Çünkü hafta esasında, en kısa süre bir hafta olduğu ve bu süre de bazı h</w:t>
            </w:r>
            <w:r w:rsidR="00695D9B" w:rsidRPr="00A23740">
              <w:rPr>
                <w:bCs/>
                <w:szCs w:val="24"/>
                <w:lang w:eastAsia="x-none"/>
              </w:rPr>
              <w:t>â</w:t>
            </w:r>
            <w:r w:rsidRPr="00A23740">
              <w:rPr>
                <w:bCs/>
                <w:szCs w:val="24"/>
                <w:lang w:eastAsia="x-none"/>
              </w:rPr>
              <w:t>llerde icra takibinin gerektirdiği sürat</w:t>
            </w:r>
            <w:r w:rsidR="00465F81" w:rsidRPr="00A23740">
              <w:rPr>
                <w:bCs/>
                <w:szCs w:val="24"/>
                <w:lang w:eastAsia="x-none"/>
              </w:rPr>
              <w:t>le</w:t>
            </w:r>
            <w:r w:rsidRPr="00A23740">
              <w:rPr>
                <w:bCs/>
                <w:szCs w:val="24"/>
                <w:lang w:eastAsia="x-none"/>
              </w:rPr>
              <w:t xml:space="preserve"> bağdaşmadığı</w:t>
            </w:r>
            <w:r w:rsidR="00465F81" w:rsidRPr="00A23740">
              <w:rPr>
                <w:bCs/>
                <w:szCs w:val="24"/>
                <w:lang w:eastAsia="x-none"/>
              </w:rPr>
              <w:t xml:space="preserve"> için</w:t>
            </w:r>
            <w:r w:rsidRPr="00A23740">
              <w:rPr>
                <w:bCs/>
                <w:szCs w:val="24"/>
                <w:lang w:eastAsia="x-none"/>
              </w:rPr>
              <w:t>, bu madde bakımından gün esasına başvurmak zarureti ortaya çıkmıştır. Öte yandan kanunda yer alan ve icra</w:t>
            </w:r>
            <w:r w:rsidR="00B73523" w:rsidRPr="00A23740">
              <w:rPr>
                <w:b/>
                <w:color w:val="538135"/>
              </w:rPr>
              <w:t xml:space="preserve"> </w:t>
            </w:r>
            <w:r w:rsidR="00B73523" w:rsidRPr="00A06203">
              <w:rPr>
                <w:bCs/>
                <w:szCs w:val="24"/>
                <w:lang w:eastAsia="x-none"/>
              </w:rPr>
              <w:t>ve iflas</w:t>
            </w:r>
            <w:r w:rsidRPr="00A23740">
              <w:rPr>
                <w:bCs/>
                <w:szCs w:val="24"/>
                <w:lang w:eastAsia="x-none"/>
              </w:rPr>
              <w:t xml:space="preserve"> dairesi görevlisinin “hemen” yapması emredilen işlemlerin yapılmaması hâlinde ortaya çıkacak şik</w:t>
            </w:r>
            <w:r w:rsidR="00695D9B" w:rsidRPr="00A23740">
              <w:rPr>
                <w:bCs/>
                <w:szCs w:val="24"/>
                <w:lang w:eastAsia="x-none"/>
              </w:rPr>
              <w:t>â</w:t>
            </w:r>
            <w:r w:rsidRPr="00A23740">
              <w:rPr>
                <w:bCs/>
                <w:szCs w:val="24"/>
                <w:lang w:eastAsia="x-none"/>
              </w:rPr>
              <w:t>yetle ilgili sorunların da bir süre düzenlemesi yapmak suretiyle önlenmesi amaçlanmıştır.</w:t>
            </w:r>
            <w:r w:rsidR="002B3C1E" w:rsidRPr="00A23740">
              <w:rPr>
                <w:bCs/>
                <w:szCs w:val="24"/>
                <w:lang w:eastAsia="x-none"/>
              </w:rPr>
              <w:t xml:space="preserve"> </w:t>
            </w:r>
            <w:r w:rsidR="00881549" w:rsidRPr="00A06203">
              <w:rPr>
                <w:bCs/>
                <w:lang w:eastAsia="x-none"/>
              </w:rPr>
              <w:t xml:space="preserve">Ayrıca, </w:t>
            </w:r>
            <w:r w:rsidR="002B3C1E" w:rsidRPr="00A06203">
              <w:rPr>
                <w:bCs/>
                <w:lang w:eastAsia="x-none"/>
              </w:rPr>
              <w:t>bu maddede düzenlenen ihtimalde Taslağın 272 nci</w:t>
            </w:r>
            <w:r w:rsidR="002B3C1E" w:rsidRPr="00A23740">
              <w:rPr>
                <w:rStyle w:val="YELChar"/>
              </w:rPr>
              <w:t xml:space="preserve"> </w:t>
            </w:r>
            <w:r w:rsidR="002B3C1E" w:rsidRPr="00A06203">
              <w:rPr>
                <w:bCs/>
                <w:lang w:eastAsia="x-none"/>
              </w:rPr>
              <w:t>maddesinin uygulanması doğal olduğundan, maddede 272 nci maddeye ayrıca yollama yapılmamıştır.</w:t>
            </w:r>
          </w:p>
          <w:p w:rsidR="00BD7568" w:rsidRPr="00A23740" w:rsidRDefault="00BD7568" w:rsidP="00196116">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b/>
                <w:strike/>
                <w:color w:val="FF0000"/>
                <w:szCs w:val="24"/>
              </w:rPr>
              <w:t>İcrai</w:t>
            </w:r>
            <w:r w:rsidRPr="00A23740">
              <w:rPr>
                <w:b/>
                <w:szCs w:val="24"/>
              </w:rPr>
              <w:t xml:space="preserve"> hacizlere iştirak</w:t>
            </w:r>
            <w:r w:rsidRPr="00A23740">
              <w:rPr>
                <w:b/>
                <w:strike/>
                <w:color w:val="FF0000"/>
                <w:szCs w:val="24"/>
              </w:rPr>
              <w:t>:</w:t>
            </w:r>
          </w:p>
          <w:p w:rsidR="00AA5C8C" w:rsidRPr="00A23740" w:rsidRDefault="00AA5C8C" w:rsidP="009431FF">
            <w:pPr>
              <w:tabs>
                <w:tab w:val="left" w:pos="567"/>
              </w:tabs>
              <w:rPr>
                <w:b/>
                <w:strike/>
                <w:color w:val="FF0000"/>
                <w:szCs w:val="24"/>
              </w:rPr>
            </w:pPr>
            <w:r w:rsidRPr="00A23740">
              <w:rPr>
                <w:rStyle w:val="KIRMIZIChar"/>
                <w:rFonts w:eastAsia="Calibri"/>
              </w:rPr>
              <w:t>Madde 268 – (1) (</w:t>
            </w:r>
            <w:r w:rsidRPr="00A23740">
              <w:rPr>
                <w:b/>
                <w:strike/>
                <w:color w:val="FF0000"/>
                <w:szCs w:val="24"/>
              </w:rPr>
              <w:t>Değişik: 18/2/1965 - 538/108 md.)</w:t>
            </w:r>
          </w:p>
          <w:p w:rsidR="00AA5C8C" w:rsidRPr="00A23740" w:rsidRDefault="00AA5C8C" w:rsidP="009431FF">
            <w:pPr>
              <w:tabs>
                <w:tab w:val="left" w:pos="567"/>
              </w:tabs>
              <w:rPr>
                <w:szCs w:val="24"/>
              </w:rPr>
            </w:pPr>
            <w:r w:rsidRPr="00A23740">
              <w:rPr>
                <w:b/>
                <w:strike/>
                <w:color w:val="FF0000"/>
                <w:szCs w:val="24"/>
              </w:rPr>
              <w:t>(Değişik birinci fıkra: 17/7/2003-4949/64 md.)</w:t>
            </w:r>
            <w:r w:rsidRPr="00A23740">
              <w:rPr>
                <w:b/>
                <w:szCs w:val="24"/>
              </w:rPr>
              <w:t xml:space="preserve"> </w:t>
            </w:r>
            <w:r w:rsidRPr="00A23740">
              <w:rPr>
                <w:b/>
                <w:strike/>
                <w:color w:val="FF0000"/>
                <w:szCs w:val="24"/>
              </w:rPr>
              <w:t>261 inci maddeye göre</w:t>
            </w:r>
            <w:r w:rsidRPr="00A23740">
              <w:rPr>
                <w:szCs w:val="24"/>
              </w:rPr>
              <w:t xml:space="preserve"> ihtiyaten haczedilen mallar, ihtiyatî haciz kesin hacze dönüşmeden önce </w:t>
            </w:r>
            <w:r w:rsidRPr="00A23740">
              <w:rPr>
                <w:b/>
                <w:strike/>
                <w:color w:val="FF0000"/>
                <w:szCs w:val="24"/>
              </w:rPr>
              <w:t>diğer</w:t>
            </w:r>
            <w:r w:rsidRPr="00A23740">
              <w:rPr>
                <w:szCs w:val="24"/>
              </w:rPr>
              <w:t xml:space="preserve"> bir alacaklı tarafından </w:t>
            </w:r>
            <w:r w:rsidRPr="00A23740">
              <w:rPr>
                <w:b/>
                <w:strike/>
                <w:color w:val="FF0000"/>
                <w:szCs w:val="24"/>
              </w:rPr>
              <w:t>bu Kanuna veya diğer kanunlara göre</w:t>
            </w:r>
            <w:r w:rsidRPr="00A23740">
              <w:rPr>
                <w:szCs w:val="24"/>
              </w:rPr>
              <w:t xml:space="preserve"> haczedilirse, ihtiyatî haciz </w:t>
            </w:r>
            <w:r w:rsidRPr="00A23740">
              <w:rPr>
                <w:b/>
                <w:strike/>
                <w:color w:val="FF0000"/>
                <w:szCs w:val="24"/>
              </w:rPr>
              <w:t>sahibi</w:t>
            </w:r>
            <w:r w:rsidRPr="00A23740">
              <w:rPr>
                <w:szCs w:val="24"/>
              </w:rPr>
              <w:t xml:space="preserve"> alacaklı, </w:t>
            </w:r>
            <w:r w:rsidRPr="00A23740">
              <w:rPr>
                <w:b/>
                <w:strike/>
                <w:color w:val="FF0000"/>
                <w:szCs w:val="24"/>
              </w:rPr>
              <w:t>bu hacze 100 üncü maddedeki şartlar dairesinde kendiliğinden ve muvakkaten</w:t>
            </w:r>
            <w:r w:rsidRPr="00A23740">
              <w:rPr>
                <w:szCs w:val="24"/>
              </w:rPr>
              <w:t xml:space="preserve"> iştirak eder. </w:t>
            </w:r>
            <w:r w:rsidRPr="00A23740">
              <w:rPr>
                <w:b/>
                <w:strike/>
                <w:color w:val="FF0000"/>
                <w:szCs w:val="24"/>
              </w:rPr>
              <w:t>Rehinden önce ihtiyatî veya icrai haciz bulunması hâlinde âmme alacağı dahil hiçbir haciz rehinden önceki hacze iştirak edemez.</w:t>
            </w:r>
            <w:r w:rsidRPr="00A23740">
              <w:rPr>
                <w:szCs w:val="24"/>
              </w:rPr>
              <w:t xml:space="preserve">  </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(2)</w:t>
            </w:r>
            <w:r w:rsidRPr="00A23740">
              <w:rPr>
                <w:rFonts w:eastAsia="Times New Roman"/>
                <w:color w:val="000000"/>
                <w:szCs w:val="24"/>
                <w:lang w:eastAsia="tr-TR"/>
              </w:rPr>
              <w:t xml:space="preserve"> </w:t>
            </w:r>
            <w:r w:rsidRPr="00A23740">
              <w:rPr>
                <w:szCs w:val="24"/>
              </w:rPr>
              <w:t xml:space="preserve">İhtiyati haciz </w:t>
            </w:r>
            <w:r w:rsidRPr="00A23740">
              <w:rPr>
                <w:rStyle w:val="KIRMIZIChar"/>
                <w:rFonts w:eastAsia="Calibri"/>
              </w:rPr>
              <w:t>masrafları</w:t>
            </w:r>
            <w:r w:rsidRPr="00A23740">
              <w:rPr>
                <w:szCs w:val="24"/>
              </w:rPr>
              <w:t xml:space="preserve"> </w:t>
            </w:r>
            <w:r w:rsidRPr="00A23740">
              <w:rPr>
                <w:b/>
                <w:strike/>
                <w:color w:val="FF0000"/>
                <w:szCs w:val="24"/>
              </w:rPr>
              <w:t>satış tutarından</w:t>
            </w:r>
            <w:r w:rsidRPr="00A23740">
              <w:rPr>
                <w:szCs w:val="24"/>
              </w:rPr>
              <w:t xml:space="preserve"> alı</w:t>
            </w:r>
            <w:r w:rsidRPr="00A23740">
              <w:rPr>
                <w:b/>
                <w:strike/>
                <w:color w:val="FF0000"/>
                <w:szCs w:val="24"/>
              </w:rPr>
              <w:t>nı</w:t>
            </w:r>
            <w:r w:rsidRPr="00A23740">
              <w:rPr>
                <w:szCs w:val="24"/>
              </w:rPr>
              <w:t>r.</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r w:rsidRPr="00A23740">
              <w:rPr>
                <w:rStyle w:val="KIRMIZIChar"/>
                <w:rFonts w:eastAsia="Calibri"/>
              </w:rPr>
              <w:t>(3)</w:t>
            </w:r>
            <w:r w:rsidRPr="00A23740">
              <w:rPr>
                <w:rFonts w:eastAsia="Times New Roman"/>
                <w:color w:val="000000"/>
                <w:szCs w:val="24"/>
                <w:lang w:eastAsia="tr-TR"/>
              </w:rPr>
              <w:t xml:space="preserve"> </w:t>
            </w:r>
            <w:r w:rsidRPr="00A23740">
              <w:rPr>
                <w:szCs w:val="24"/>
              </w:rPr>
              <w:t xml:space="preserve">İhtiyati haciz </w:t>
            </w:r>
            <w:r w:rsidRPr="00A23740">
              <w:rPr>
                <w:b/>
                <w:strike/>
                <w:color w:val="FF0000"/>
                <w:szCs w:val="24"/>
              </w:rPr>
              <w:t>diğer rüçhan</w:t>
            </w:r>
            <w:r w:rsidRPr="00A23740">
              <w:rPr>
                <w:szCs w:val="24"/>
              </w:rPr>
              <w:t xml:space="preserve"> hakkı</w:t>
            </w:r>
            <w:r w:rsidRPr="00A23740">
              <w:rPr>
                <w:b/>
                <w:strike/>
                <w:color w:val="FF0000"/>
                <w:szCs w:val="24"/>
              </w:rPr>
              <w:t>nı</w:t>
            </w:r>
            <w:r w:rsidRPr="00A23740">
              <w:rPr>
                <w:szCs w:val="24"/>
              </w:rPr>
              <w:t xml:space="preserve"> vermez.</w:t>
            </w:r>
          </w:p>
        </w:tc>
        <w:tc>
          <w:tcPr>
            <w:tcW w:w="2500" w:type="pct"/>
          </w:tcPr>
          <w:p w:rsidR="00AA5C8C" w:rsidRPr="00A23740" w:rsidRDefault="00AA5C8C" w:rsidP="009431FF">
            <w:pPr>
              <w:tabs>
                <w:tab w:val="left" w:pos="567"/>
              </w:tabs>
              <w:rPr>
                <w:b/>
                <w:szCs w:val="24"/>
              </w:rPr>
            </w:pPr>
            <w:r w:rsidRPr="00A23740">
              <w:rPr>
                <w:rFonts w:eastAsia="Times New Roman"/>
                <w:b/>
                <w:color w:val="0000FF"/>
                <w:szCs w:val="24"/>
                <w:lang w:eastAsia="tr-TR"/>
              </w:rPr>
              <w:t>Kesin</w:t>
            </w:r>
            <w:r w:rsidRPr="00A23740">
              <w:rPr>
                <w:b/>
                <w:szCs w:val="24"/>
              </w:rPr>
              <w:t xml:space="preserve"> hacizlere iştirak</w:t>
            </w:r>
          </w:p>
          <w:p w:rsidR="00AA5C8C" w:rsidRPr="00A23740" w:rsidRDefault="003B700B" w:rsidP="009431FF">
            <w:pPr>
              <w:tabs>
                <w:tab w:val="left" w:pos="567"/>
              </w:tabs>
              <w:rPr>
                <w:szCs w:val="24"/>
              </w:rPr>
            </w:pPr>
            <w:r w:rsidRPr="00A23740">
              <w:rPr>
                <w:rStyle w:val="MaviChar"/>
                <w:lang w:val="tr-TR"/>
              </w:rPr>
              <w:t>MADDE 463</w:t>
            </w:r>
            <w:r w:rsidR="00AA5C8C" w:rsidRPr="00A23740">
              <w:rPr>
                <w:rStyle w:val="MaviChar"/>
                <w:lang w:val="tr-TR"/>
              </w:rPr>
              <w:t>- (</w:t>
            </w:r>
            <w:r w:rsidR="00AA5C8C" w:rsidRPr="00A23740">
              <w:rPr>
                <w:rFonts w:eastAsia="Times New Roman"/>
                <w:b/>
                <w:color w:val="0000FF"/>
                <w:szCs w:val="24"/>
                <w:lang w:eastAsia="tr-TR"/>
              </w:rPr>
              <w:t xml:space="preserve">1) </w:t>
            </w:r>
            <w:r w:rsidR="00AA5C8C" w:rsidRPr="00A23740">
              <w:rPr>
                <w:szCs w:val="24"/>
              </w:rPr>
              <w:t>İhtiyaten haczedilen mallar ihtiyat</w:t>
            </w:r>
            <w:r w:rsidR="00AA5C8C" w:rsidRPr="00A23740">
              <w:rPr>
                <w:rStyle w:val="MaviChar"/>
              </w:rPr>
              <w:t>i</w:t>
            </w:r>
            <w:r w:rsidR="00AA5C8C" w:rsidRPr="00A23740">
              <w:rPr>
                <w:szCs w:val="24"/>
              </w:rPr>
              <w:t xml:space="preserve"> haciz kesin hacze dönüşmeden önce </w:t>
            </w:r>
            <w:r w:rsidR="00AA5C8C" w:rsidRPr="00A23740">
              <w:rPr>
                <w:rFonts w:eastAsia="Times New Roman"/>
                <w:b/>
                <w:color w:val="0000FF"/>
                <w:szCs w:val="24"/>
                <w:lang w:eastAsia="tr-TR"/>
              </w:rPr>
              <w:t>başka</w:t>
            </w:r>
            <w:r w:rsidR="00AA5C8C" w:rsidRPr="00A23740">
              <w:rPr>
                <w:szCs w:val="24"/>
              </w:rPr>
              <w:t xml:space="preserve"> bir alacaklı tarafından haczedilirse, ihtiyati haciz alacaklısı </w:t>
            </w:r>
            <w:r w:rsidR="00AA5C8C" w:rsidRPr="00A23740">
              <w:rPr>
                <w:rFonts w:eastAsia="Times New Roman"/>
                <w:b/>
                <w:color w:val="0000FF"/>
                <w:szCs w:val="24"/>
                <w:lang w:eastAsia="tr-TR"/>
              </w:rPr>
              <w:t xml:space="preserve">kendiliğinden geçici olarak </w:t>
            </w:r>
            <w:r w:rsidR="002B3C1E" w:rsidRPr="00A06203">
              <w:rPr>
                <w:rStyle w:val="YELChar"/>
                <w:color w:val="0000FF"/>
              </w:rPr>
              <w:t>bu</w:t>
            </w:r>
            <w:r w:rsidR="002B3C1E" w:rsidRPr="00A23740">
              <w:rPr>
                <w:rFonts w:eastAsia="Times New Roman"/>
                <w:b/>
                <w:color w:val="0000FF"/>
                <w:szCs w:val="24"/>
                <w:lang w:eastAsia="tr-TR"/>
              </w:rPr>
              <w:t xml:space="preserve"> </w:t>
            </w:r>
            <w:r w:rsidR="00AA5C8C" w:rsidRPr="00A23740">
              <w:rPr>
                <w:rFonts w:eastAsia="Times New Roman"/>
                <w:b/>
                <w:color w:val="0000FF"/>
                <w:szCs w:val="24"/>
                <w:lang w:eastAsia="tr-TR"/>
              </w:rPr>
              <w:t>hacze</w:t>
            </w:r>
            <w:r w:rsidR="00AA5C8C" w:rsidRPr="00A23740">
              <w:rPr>
                <w:szCs w:val="24"/>
              </w:rPr>
              <w:t xml:space="preserve"> iştirak eder. </w:t>
            </w: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AA5C8C" w:rsidRPr="00A23740" w:rsidRDefault="00AA5C8C" w:rsidP="009431FF">
            <w:pPr>
              <w:tabs>
                <w:tab w:val="left" w:pos="567"/>
              </w:tabs>
              <w:rPr>
                <w:szCs w:val="24"/>
              </w:rPr>
            </w:pPr>
          </w:p>
          <w:p w:rsidR="00581983" w:rsidRDefault="00581983" w:rsidP="009431FF">
            <w:pPr>
              <w:tabs>
                <w:tab w:val="left" w:pos="567"/>
              </w:tabs>
              <w:rPr>
                <w:szCs w:val="24"/>
              </w:rPr>
            </w:pPr>
          </w:p>
          <w:p w:rsidR="00277039" w:rsidRPr="00A23740" w:rsidRDefault="00277039" w:rsidP="009431FF">
            <w:pPr>
              <w:tabs>
                <w:tab w:val="left" w:pos="567"/>
              </w:tabs>
              <w:rPr>
                <w:szCs w:val="24"/>
              </w:rPr>
            </w:pPr>
          </w:p>
          <w:p w:rsidR="00AA5C8C" w:rsidRDefault="00AA5C8C" w:rsidP="009431FF">
            <w:pPr>
              <w:tabs>
                <w:tab w:val="left" w:pos="567"/>
              </w:tabs>
              <w:rPr>
                <w:rStyle w:val="MaviChar"/>
                <w:lang w:val="tr-TR"/>
              </w:rPr>
            </w:pPr>
          </w:p>
          <w:p w:rsidR="00196116" w:rsidRPr="00A23740" w:rsidRDefault="00196116" w:rsidP="009431FF">
            <w:pPr>
              <w:tabs>
                <w:tab w:val="left" w:pos="567"/>
              </w:tabs>
              <w:rPr>
                <w:rStyle w:val="MaviChar"/>
                <w:lang w:val="tr-TR"/>
              </w:rPr>
            </w:pPr>
          </w:p>
          <w:p w:rsidR="00AA5C8C" w:rsidRPr="00A23740" w:rsidRDefault="00AA5C8C" w:rsidP="009431FF">
            <w:pPr>
              <w:tabs>
                <w:tab w:val="left" w:pos="567"/>
              </w:tabs>
              <w:rPr>
                <w:szCs w:val="24"/>
              </w:rPr>
            </w:pPr>
            <w:r w:rsidRPr="00A23740">
              <w:rPr>
                <w:rStyle w:val="MaviChar"/>
                <w:lang w:val="tr-TR"/>
              </w:rPr>
              <w:t>(2)</w:t>
            </w:r>
            <w:r w:rsidRPr="00A23740">
              <w:rPr>
                <w:szCs w:val="24"/>
              </w:rPr>
              <w:t xml:space="preserve"> İhtiyati haciz </w:t>
            </w:r>
            <w:r w:rsidRPr="00A23740">
              <w:rPr>
                <w:rStyle w:val="MaviChar"/>
              </w:rPr>
              <w:t>giderleri</w:t>
            </w:r>
            <w:r w:rsidRPr="00A23740">
              <w:rPr>
                <w:szCs w:val="24"/>
              </w:rPr>
              <w:t xml:space="preserve"> satış tutarından </w:t>
            </w:r>
            <w:r w:rsidRPr="00A23740">
              <w:rPr>
                <w:rFonts w:eastAsia="Times New Roman"/>
                <w:b/>
                <w:color w:val="0000FF"/>
                <w:szCs w:val="24"/>
                <w:lang w:eastAsia="tr-TR"/>
              </w:rPr>
              <w:t>öncelikle</w:t>
            </w:r>
            <w:r w:rsidRPr="00A23740">
              <w:rPr>
                <w:szCs w:val="24"/>
              </w:rPr>
              <w:t xml:space="preserve"> alınır. </w:t>
            </w:r>
          </w:p>
          <w:p w:rsidR="00AA5C8C" w:rsidRPr="00A23740" w:rsidRDefault="00AA5C8C" w:rsidP="009431FF">
            <w:pPr>
              <w:tabs>
                <w:tab w:val="left" w:pos="567"/>
              </w:tabs>
              <w:rPr>
                <w:rFonts w:eastAsia="Times New Roman"/>
                <w:b/>
                <w:color w:val="0000FF"/>
                <w:szCs w:val="24"/>
                <w:lang w:eastAsia="tr-TR"/>
              </w:rPr>
            </w:pPr>
          </w:p>
          <w:p w:rsidR="00AA5C8C" w:rsidRPr="00196116" w:rsidRDefault="00AA5C8C" w:rsidP="00196116">
            <w:pPr>
              <w:tabs>
                <w:tab w:val="left" w:pos="567"/>
              </w:tabs>
              <w:rPr>
                <w:b/>
                <w:color w:val="FF0000"/>
                <w:szCs w:val="24"/>
              </w:rPr>
            </w:pPr>
            <w:r w:rsidRPr="00A23740">
              <w:rPr>
                <w:rFonts w:eastAsia="Times New Roman"/>
                <w:b/>
                <w:color w:val="0000FF"/>
                <w:szCs w:val="24"/>
                <w:lang w:eastAsia="tr-TR"/>
              </w:rPr>
              <w:t>(3)</w:t>
            </w:r>
            <w:r w:rsidRPr="00A23740">
              <w:rPr>
                <w:szCs w:val="24"/>
              </w:rPr>
              <w:t xml:space="preserve"> İhtiyati haciz </w:t>
            </w:r>
            <w:r w:rsidRPr="00A23740">
              <w:rPr>
                <w:rFonts w:eastAsia="Times New Roman"/>
                <w:b/>
                <w:color w:val="0000FF"/>
                <w:szCs w:val="24"/>
                <w:lang w:eastAsia="tr-TR"/>
              </w:rPr>
              <w:t>başka bir öncelik</w:t>
            </w:r>
            <w:r w:rsidRPr="00A23740">
              <w:rPr>
                <w:szCs w:val="24"/>
              </w:rPr>
              <w:t xml:space="preserve"> hakkı vermez.</w:t>
            </w:r>
          </w:p>
        </w:tc>
      </w:tr>
      <w:tr w:rsidR="00BD7568" w:rsidRPr="00A23740" w:rsidTr="009431FF">
        <w:tc>
          <w:tcPr>
            <w:tcW w:w="5000" w:type="pct"/>
            <w:gridSpan w:val="2"/>
            <w:shd w:val="clear" w:color="auto" w:fill="DEEAF6"/>
          </w:tcPr>
          <w:p w:rsidR="0027790B" w:rsidRPr="00A23740" w:rsidRDefault="0027790B" w:rsidP="009431FF">
            <w:pPr>
              <w:tabs>
                <w:tab w:val="left" w:pos="567"/>
              </w:tabs>
              <w:ind w:firstLine="709"/>
              <w:rPr>
                <w:b/>
                <w:bCs/>
                <w:szCs w:val="24"/>
                <w:lang w:eastAsia="x-none"/>
              </w:rPr>
            </w:pPr>
          </w:p>
          <w:p w:rsidR="000946E6" w:rsidRPr="00A23740" w:rsidRDefault="00BD7568" w:rsidP="009431FF">
            <w:pPr>
              <w:tabs>
                <w:tab w:val="left" w:pos="567"/>
              </w:tabs>
              <w:ind w:firstLine="709"/>
              <w:rPr>
                <w:b/>
                <w:szCs w:val="24"/>
              </w:rPr>
            </w:pPr>
            <w:r w:rsidRPr="00A23740">
              <w:rPr>
                <w:b/>
                <w:bCs/>
                <w:szCs w:val="24"/>
                <w:lang w:eastAsia="x-none"/>
              </w:rPr>
              <w:t xml:space="preserve">MADDE </w:t>
            </w:r>
            <w:r w:rsidR="003B700B" w:rsidRPr="00A23740">
              <w:rPr>
                <w:b/>
                <w:bCs/>
                <w:szCs w:val="24"/>
                <w:lang w:eastAsia="x-none"/>
              </w:rPr>
              <w:t>463</w:t>
            </w:r>
            <w:r w:rsidRPr="00A23740">
              <w:rPr>
                <w:b/>
                <w:bCs/>
                <w:szCs w:val="24"/>
                <w:lang w:eastAsia="x-none"/>
              </w:rPr>
              <w:t>-</w:t>
            </w:r>
            <w:r w:rsidR="0027790B" w:rsidRPr="00A23740">
              <w:rPr>
                <w:bCs/>
                <w:szCs w:val="24"/>
                <w:lang w:eastAsia="x-none"/>
              </w:rPr>
              <w:t xml:space="preserve"> </w:t>
            </w:r>
            <w:r w:rsidR="000946E6" w:rsidRPr="00A23740">
              <w:rPr>
                <w:bCs/>
                <w:szCs w:val="24"/>
                <w:lang w:eastAsia="x-none"/>
              </w:rPr>
              <w:t>Maddeyle, kesin hacizlere iştirake ilişkin hususlar düzenlenmektedir. Hüküm, 2004 sayılı Kanunun 268 inci maddesine karşılık gelmektedir.</w:t>
            </w:r>
          </w:p>
          <w:p w:rsidR="0027790B" w:rsidRPr="00A23740" w:rsidRDefault="0027790B" w:rsidP="009431FF">
            <w:pPr>
              <w:tabs>
                <w:tab w:val="left" w:pos="567"/>
              </w:tabs>
              <w:ind w:firstLine="709"/>
              <w:rPr>
                <w:bCs/>
                <w:szCs w:val="24"/>
                <w:lang w:eastAsia="x-none"/>
              </w:rPr>
            </w:pPr>
            <w:r w:rsidRPr="00A23740">
              <w:rPr>
                <w:bCs/>
                <w:szCs w:val="24"/>
                <w:lang w:eastAsia="x-none"/>
              </w:rPr>
              <w:t xml:space="preserve">4949 sayılı </w:t>
            </w:r>
            <w:r w:rsidR="000946E6" w:rsidRPr="00A23740">
              <w:rPr>
                <w:bCs/>
                <w:szCs w:val="24"/>
                <w:lang w:eastAsia="x-none"/>
              </w:rPr>
              <w:t>Kanun</w:t>
            </w:r>
            <w:r w:rsidR="005E3162" w:rsidRPr="00A06203">
              <w:rPr>
                <w:bCs/>
                <w:lang w:eastAsia="x-none"/>
              </w:rPr>
              <w:t>la</w:t>
            </w:r>
            <w:r w:rsidR="000946E6" w:rsidRPr="00A23740">
              <w:rPr>
                <w:bCs/>
                <w:szCs w:val="24"/>
                <w:lang w:eastAsia="x-none"/>
              </w:rPr>
              <w:t xml:space="preserve"> </w:t>
            </w:r>
            <w:r w:rsidR="00546866" w:rsidRPr="00A06203">
              <w:rPr>
                <w:bCs/>
                <w:szCs w:val="24"/>
                <w:lang w:eastAsia="x-none"/>
              </w:rPr>
              <w:t>2004 sayılı Kanunda</w:t>
            </w:r>
            <w:r w:rsidRPr="00A23740">
              <w:rPr>
                <w:bCs/>
                <w:szCs w:val="24"/>
                <w:lang w:eastAsia="x-none"/>
              </w:rPr>
              <w:t xml:space="preserve"> yapılan değişiklikle</w:t>
            </w:r>
            <w:r w:rsidR="00881549" w:rsidRPr="00A23740">
              <w:rPr>
                <w:bCs/>
                <w:szCs w:val="24"/>
                <w:lang w:eastAsia="x-none"/>
              </w:rPr>
              <w:t>,</w:t>
            </w:r>
            <w:r w:rsidRPr="00A23740">
              <w:rPr>
                <w:bCs/>
                <w:szCs w:val="24"/>
                <w:lang w:eastAsia="x-none"/>
              </w:rPr>
              <w:t xml:space="preserve"> mahkemeye başvurup ihtiyati haciz kararı aldıran ve bu haczi tatbik ettirerek söz konusu malın borçlunun malvarlığından çıkmasını önleyen alacaklının hacze iştiraki için 100</w:t>
            </w:r>
            <w:r w:rsidRPr="00A23740">
              <w:rPr>
                <w:rStyle w:val="KIRMIZIChar"/>
                <w:rFonts w:eastAsia="Calibri"/>
              </w:rPr>
              <w:t>.</w:t>
            </w:r>
            <w:r w:rsidRPr="00A23740">
              <w:rPr>
                <w:bCs/>
                <w:szCs w:val="24"/>
                <w:lang w:eastAsia="x-none"/>
              </w:rPr>
              <w:t xml:space="preserve"> </w:t>
            </w:r>
            <w:r w:rsidR="005E3162" w:rsidRPr="00A06203">
              <w:rPr>
                <w:bCs/>
                <w:szCs w:val="24"/>
                <w:lang w:eastAsia="x-none"/>
              </w:rPr>
              <w:t>üncü</w:t>
            </w:r>
            <w:r w:rsidR="005E3162" w:rsidRPr="00A23740">
              <w:rPr>
                <w:bCs/>
                <w:szCs w:val="24"/>
                <w:lang w:eastAsia="x-none"/>
              </w:rPr>
              <w:t xml:space="preserve"> </w:t>
            </w:r>
            <w:r w:rsidRPr="00A23740">
              <w:rPr>
                <w:bCs/>
                <w:szCs w:val="24"/>
                <w:lang w:eastAsia="x-none"/>
              </w:rPr>
              <w:t>maddede yer alan şartların gerçekleşmesi aranmakta</w:t>
            </w:r>
            <w:r w:rsidR="00881549" w:rsidRPr="00A23740">
              <w:rPr>
                <w:bCs/>
                <w:szCs w:val="24"/>
                <w:lang w:eastAsia="x-none"/>
              </w:rPr>
              <w:t>ydı</w:t>
            </w:r>
            <w:r w:rsidRPr="00A23740">
              <w:rPr>
                <w:bCs/>
                <w:szCs w:val="24"/>
                <w:lang w:eastAsia="x-none"/>
              </w:rPr>
              <w:t>. Bu da ihtiyati haciz yaptıran alacaklının icrai hacizlere iştirakini neredeyse imkânsız kılmakta ve hakkaniyete aykırı sonuçlar ortaya çıkarmakta</w:t>
            </w:r>
            <w:r w:rsidR="00881549" w:rsidRPr="00A23740">
              <w:rPr>
                <w:bCs/>
                <w:szCs w:val="24"/>
                <w:lang w:eastAsia="x-none"/>
              </w:rPr>
              <w:t>ydı</w:t>
            </w:r>
            <w:r w:rsidRPr="00A23740">
              <w:rPr>
                <w:bCs/>
                <w:szCs w:val="24"/>
                <w:lang w:eastAsia="x-none"/>
              </w:rPr>
              <w:t>. İhtiyati haciz için mahkemeye başvuran ve bu haczi tatbik ettiren alacaklının daha sonra konan hacizlere iştirak etmesi bu derece zorlaştırılmamalıdır.</w:t>
            </w:r>
          </w:p>
          <w:p w:rsidR="00BD7568" w:rsidRPr="00A23740" w:rsidRDefault="0027790B" w:rsidP="009431FF">
            <w:pPr>
              <w:tabs>
                <w:tab w:val="left" w:pos="567"/>
              </w:tabs>
              <w:ind w:firstLine="709"/>
              <w:rPr>
                <w:bCs/>
                <w:szCs w:val="24"/>
                <w:lang w:eastAsia="x-none"/>
              </w:rPr>
            </w:pPr>
            <w:r w:rsidRPr="00A23740">
              <w:rPr>
                <w:bCs/>
                <w:szCs w:val="24"/>
                <w:lang w:eastAsia="x-none"/>
              </w:rPr>
              <w:t>Maddedeki düzenlemeyle menfaat dengesi gözetilerek</w:t>
            </w:r>
            <w:r w:rsidR="005E3162" w:rsidRPr="00A23740">
              <w:rPr>
                <w:rStyle w:val="YELChar"/>
              </w:rPr>
              <w:t>,</w:t>
            </w:r>
            <w:r w:rsidRPr="00A23740">
              <w:rPr>
                <w:bCs/>
                <w:szCs w:val="24"/>
                <w:lang w:eastAsia="x-none"/>
              </w:rPr>
              <w:t xml:space="preserve"> 4949 sayılı </w:t>
            </w:r>
            <w:r w:rsidR="00695D9B" w:rsidRPr="00A23740">
              <w:rPr>
                <w:bCs/>
                <w:szCs w:val="24"/>
                <w:lang w:eastAsia="x-none"/>
              </w:rPr>
              <w:t>K</w:t>
            </w:r>
            <w:r w:rsidRPr="00A23740">
              <w:rPr>
                <w:bCs/>
                <w:szCs w:val="24"/>
                <w:lang w:eastAsia="x-none"/>
              </w:rPr>
              <w:t>anun değişikliğinden önceki sisteme dönülmekte ve ihtiyati haciz alacaklısının aynı mal üzerine sonradan konan hacze ihtiyati haciz kesinleşene kadar kendiliğinden ve geçici olarak iştirak edeceği esası benimsenmektedir.</w:t>
            </w:r>
          </w:p>
          <w:p w:rsidR="00BD7568" w:rsidRPr="00A23740" w:rsidRDefault="00BD7568" w:rsidP="00196116">
            <w:pPr>
              <w:tabs>
                <w:tab w:val="left" w:pos="567"/>
              </w:tabs>
              <w:rPr>
                <w:b/>
                <w:bCs/>
                <w:szCs w:val="24"/>
                <w:lang w:eastAsia="x-none"/>
              </w:rPr>
            </w:pPr>
          </w:p>
        </w:tc>
      </w:tr>
      <w:tr w:rsidR="00AA5C8C"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tcPr>
          <w:p w:rsidR="00AA5C8C" w:rsidRPr="00A23740" w:rsidRDefault="00AA5C8C" w:rsidP="009431FF">
            <w:pPr>
              <w:tabs>
                <w:tab w:val="left" w:pos="567"/>
              </w:tabs>
              <w:rPr>
                <w:b/>
                <w:szCs w:val="24"/>
              </w:rPr>
            </w:pPr>
            <w:r w:rsidRPr="00A23740">
              <w:rPr>
                <w:b/>
                <w:szCs w:val="24"/>
              </w:rPr>
              <w:t xml:space="preserve">İhtiyati hacizde teminat </w:t>
            </w:r>
            <w:r w:rsidRPr="00A23740">
              <w:rPr>
                <w:b/>
                <w:strike/>
                <w:color w:val="FF0000"/>
                <w:szCs w:val="24"/>
              </w:rPr>
              <w:t>:</w:t>
            </w:r>
          </w:p>
          <w:p w:rsidR="00AA5C8C" w:rsidRPr="00A23740" w:rsidRDefault="00AA5C8C" w:rsidP="009431FF">
            <w:pPr>
              <w:tabs>
                <w:tab w:val="left" w:pos="567"/>
              </w:tabs>
              <w:rPr>
                <w:b/>
                <w:bCs/>
                <w:strike/>
                <w:color w:val="FF0000"/>
                <w:szCs w:val="24"/>
              </w:rPr>
            </w:pPr>
            <w:r w:rsidRPr="00A23740">
              <w:rPr>
                <w:rStyle w:val="KIRMIZIChar"/>
                <w:rFonts w:eastAsia="Calibri"/>
              </w:rPr>
              <w:t>Madde 259 – …</w:t>
            </w:r>
          </w:p>
          <w:p w:rsidR="00AA5C8C" w:rsidRPr="00A23740" w:rsidRDefault="00AA5C8C" w:rsidP="009431FF">
            <w:pPr>
              <w:tabs>
                <w:tab w:val="left" w:pos="567"/>
              </w:tabs>
              <w:rPr>
                <w:b/>
                <w:strike/>
                <w:color w:val="FF0000"/>
                <w:szCs w:val="24"/>
              </w:rPr>
            </w:pPr>
            <w:r w:rsidRPr="00A23740">
              <w:rPr>
                <w:rStyle w:val="KIRMIZIChar"/>
                <w:rFonts w:eastAsia="Calibri"/>
              </w:rPr>
              <w:t>(4)</w:t>
            </w:r>
            <w:r w:rsidRPr="00A23740">
              <w:rPr>
                <w:rFonts w:eastAsia="Times New Roman"/>
                <w:color w:val="000000"/>
                <w:szCs w:val="24"/>
                <w:lang w:eastAsia="tr-TR"/>
              </w:rPr>
              <w:t xml:space="preserve"> </w:t>
            </w:r>
            <w:r w:rsidRPr="00A23740">
              <w:rPr>
                <w:b/>
                <w:strike/>
                <w:color w:val="FF0000"/>
                <w:szCs w:val="24"/>
              </w:rPr>
              <w:t>Tazminat davası ihtiyati haczi koyan mahkemede dahi görülür.</w:t>
            </w:r>
          </w:p>
          <w:p w:rsidR="00AA5C8C" w:rsidRPr="00A23740" w:rsidRDefault="00AA5C8C" w:rsidP="009431FF">
            <w:pPr>
              <w:ind w:right="126" w:firstLine="567"/>
              <w:rPr>
                <w:b/>
                <w:strike/>
                <w:color w:val="FF0000"/>
                <w:szCs w:val="24"/>
              </w:rPr>
            </w:pPr>
          </w:p>
        </w:tc>
        <w:tc>
          <w:tcPr>
            <w:tcW w:w="2500" w:type="pct"/>
          </w:tcPr>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Tazminat davası</w:t>
            </w:r>
          </w:p>
          <w:p w:rsidR="00AA5C8C" w:rsidRPr="00A23740" w:rsidRDefault="003B700B" w:rsidP="009431FF">
            <w:pPr>
              <w:tabs>
                <w:tab w:val="left" w:pos="567"/>
              </w:tabs>
              <w:rPr>
                <w:rFonts w:eastAsia="Times New Roman"/>
                <w:b/>
                <w:color w:val="FF0000"/>
                <w:szCs w:val="24"/>
                <w:lang w:eastAsia="tr-TR"/>
              </w:rPr>
            </w:pPr>
            <w:r w:rsidRPr="00A23740">
              <w:rPr>
                <w:rFonts w:eastAsia="Times New Roman"/>
                <w:b/>
                <w:color w:val="0000FF"/>
                <w:szCs w:val="24"/>
                <w:lang w:eastAsia="tr-TR"/>
              </w:rPr>
              <w:t>MADDE 464</w:t>
            </w:r>
            <w:r w:rsidR="00AA5C8C" w:rsidRPr="00A23740">
              <w:rPr>
                <w:rFonts w:eastAsia="Times New Roman"/>
                <w:b/>
                <w:color w:val="0000FF"/>
                <w:szCs w:val="24"/>
                <w:lang w:eastAsia="tr-TR"/>
              </w:rPr>
              <w:t>- (1) Alacaklı</w:t>
            </w:r>
            <w:r w:rsidR="00AA5C8C" w:rsidRPr="00A23740">
              <w:rPr>
                <w:rStyle w:val="MaviChar"/>
              </w:rPr>
              <w:t>, ihtiyati haciz talebinde bulunduğu anda haksız olduğu anlaşılırsa veya ihtiyati haciz kararı hükümsüz kalır ya da itiraz üzerine kaldırılırsa,</w:t>
            </w:r>
            <w:r w:rsidR="00AA5C8C" w:rsidRPr="00A23740">
              <w:rPr>
                <w:rFonts w:eastAsia="Times New Roman"/>
                <w:b/>
                <w:color w:val="0000FF"/>
                <w:szCs w:val="24"/>
                <w:lang w:eastAsia="tr-TR"/>
              </w:rPr>
              <w:t xml:space="preserve"> haksız ihtiyati haciz nedeniyle uğranılan zararı tazminle yükümlüdür.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Style w:val="MaviChar"/>
              </w:rPr>
            </w:pPr>
            <w:r w:rsidRPr="00A23740">
              <w:rPr>
                <w:rFonts w:eastAsia="Times New Roman"/>
                <w:b/>
                <w:color w:val="0000FF"/>
                <w:szCs w:val="24"/>
                <w:lang w:eastAsia="tr-TR"/>
              </w:rPr>
              <w:t>(2) Tazminat davası, ihtiyati haciz kararı</w:t>
            </w:r>
            <w:r w:rsidRPr="00A23740">
              <w:rPr>
                <w:rStyle w:val="MaviChar"/>
              </w:rPr>
              <w:t>nı veren mahkemede de açılıp görülebilir.</w:t>
            </w:r>
          </w:p>
          <w:p w:rsidR="00AA5C8C" w:rsidRPr="00A23740" w:rsidRDefault="00AA5C8C" w:rsidP="009431FF">
            <w:pPr>
              <w:tabs>
                <w:tab w:val="left" w:pos="567"/>
              </w:tabs>
              <w:rPr>
                <w:rFonts w:eastAsia="Times New Roman"/>
                <w:b/>
                <w:color w:val="0000FF"/>
                <w:szCs w:val="24"/>
                <w:lang w:eastAsia="tr-TR"/>
              </w:rPr>
            </w:pPr>
          </w:p>
          <w:p w:rsidR="00AA5C8C" w:rsidRPr="00A23740" w:rsidRDefault="00AA5C8C" w:rsidP="009431FF">
            <w:pPr>
              <w:tabs>
                <w:tab w:val="left" w:pos="567"/>
              </w:tabs>
              <w:rPr>
                <w:rFonts w:eastAsia="Times New Roman"/>
                <w:b/>
                <w:color w:val="0000FF"/>
                <w:szCs w:val="24"/>
                <w:lang w:eastAsia="tr-TR"/>
              </w:rPr>
            </w:pPr>
            <w:r w:rsidRPr="00A23740">
              <w:rPr>
                <w:rFonts w:eastAsia="Times New Roman"/>
                <w:b/>
                <w:color w:val="0000FF"/>
                <w:szCs w:val="24"/>
                <w:lang w:eastAsia="tr-TR"/>
              </w:rPr>
              <w:t>(3) Tazminat davası açma hakkı, hükmün kesinleşmesinden veya ihtiyati haciz kararının kalkmasından itibaren bir yıl geçmesiyle zamanaşımına uğrar.</w:t>
            </w:r>
          </w:p>
          <w:p w:rsidR="00AA5C8C" w:rsidRPr="00A23740" w:rsidRDefault="00AA5C8C" w:rsidP="009431FF">
            <w:pPr>
              <w:pStyle w:val="KIRMIZI"/>
              <w:rPr>
                <w:b w:val="0"/>
                <w:color w:val="0000FF"/>
                <w:lang w:eastAsia="tr-TR"/>
              </w:rPr>
            </w:pPr>
          </w:p>
        </w:tc>
      </w:tr>
      <w:tr w:rsidR="0027790B"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27790B" w:rsidRPr="00A23740" w:rsidRDefault="0027790B" w:rsidP="009431FF">
            <w:pPr>
              <w:tabs>
                <w:tab w:val="left" w:pos="567"/>
              </w:tabs>
              <w:ind w:firstLine="709"/>
              <w:rPr>
                <w:rFonts w:eastAsia="Times New Roman"/>
                <w:b/>
                <w:color w:val="000000"/>
                <w:szCs w:val="24"/>
                <w:lang w:eastAsia="tr-TR"/>
              </w:rPr>
            </w:pPr>
          </w:p>
          <w:p w:rsidR="000946E6" w:rsidRPr="00A23740" w:rsidRDefault="003B700B" w:rsidP="009431FF">
            <w:pPr>
              <w:tabs>
                <w:tab w:val="left" w:pos="567"/>
              </w:tabs>
              <w:ind w:firstLine="709"/>
              <w:rPr>
                <w:rFonts w:eastAsia="Times New Roman"/>
                <w:b/>
                <w:color w:val="0000FF"/>
                <w:szCs w:val="24"/>
                <w:lang w:eastAsia="tr-TR"/>
              </w:rPr>
            </w:pPr>
            <w:r w:rsidRPr="00A23740">
              <w:rPr>
                <w:rFonts w:eastAsia="Times New Roman"/>
                <w:b/>
                <w:color w:val="000000"/>
                <w:szCs w:val="24"/>
                <w:lang w:eastAsia="tr-TR"/>
              </w:rPr>
              <w:t>MADDE 464</w:t>
            </w:r>
            <w:r w:rsidR="0027790B" w:rsidRPr="00A23740">
              <w:rPr>
                <w:rFonts w:eastAsia="Times New Roman"/>
                <w:b/>
                <w:color w:val="000000"/>
                <w:szCs w:val="24"/>
                <w:lang w:eastAsia="tr-TR"/>
              </w:rPr>
              <w:t>-</w:t>
            </w:r>
            <w:r w:rsidR="0027790B" w:rsidRPr="00A23740">
              <w:rPr>
                <w:rFonts w:eastAsia="Times New Roman"/>
                <w:b/>
                <w:color w:val="0000FF"/>
                <w:szCs w:val="24"/>
                <w:lang w:eastAsia="tr-TR"/>
              </w:rPr>
              <w:t xml:space="preserve"> </w:t>
            </w:r>
            <w:r w:rsidR="000946E6" w:rsidRPr="00A23740">
              <w:rPr>
                <w:bCs/>
                <w:szCs w:val="24"/>
                <w:lang w:eastAsia="x-none"/>
              </w:rPr>
              <w:t>Maddeyle, tazminat davasına ilişkin hususlar düzenlenmektedir. Hüküm, 2004 sayılı Kanunun 259 uncu maddesine karşılık gelmektedir.</w:t>
            </w:r>
          </w:p>
          <w:p w:rsidR="0027790B" w:rsidRPr="00A23740" w:rsidRDefault="0027790B"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 xml:space="preserve">Haksız ihtiyati haciz nedeniyle uğranılan zararın tazminine ilişkin düzenlemenin birinci fıkrasıyla </w:t>
            </w:r>
            <w:r w:rsidR="00DF07E6" w:rsidRPr="00A23740">
              <w:rPr>
                <w:rFonts w:eastAsia="Times New Roman"/>
                <w:color w:val="000000"/>
                <w:szCs w:val="24"/>
                <w:lang w:eastAsia="tr-TR"/>
              </w:rPr>
              <w:t>6100 sayılı Kanunun</w:t>
            </w:r>
            <w:r w:rsidRPr="00A23740">
              <w:rPr>
                <w:rFonts w:eastAsia="Times New Roman"/>
                <w:color w:val="000000"/>
                <w:szCs w:val="24"/>
                <w:lang w:eastAsia="tr-TR"/>
              </w:rPr>
              <w:t xml:space="preserve"> ihtiyati tedbire ilişkin hükümleriyle ahengin sağlanması amaçlanmıştır. </w:t>
            </w:r>
          </w:p>
          <w:p w:rsidR="0027790B" w:rsidRPr="00A23740" w:rsidRDefault="0027790B"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İhtiyati haczi tamamlayan merasimin sadece davayı zorunlu kılmayıp icra takibi yoluyla da yapılabileceği dikkate alındığında</w:t>
            </w:r>
            <w:r w:rsidR="00E16024" w:rsidRPr="00A06203">
              <w:rPr>
                <w:rFonts w:eastAsia="Times New Roman"/>
                <w:color w:val="000000"/>
                <w:szCs w:val="24"/>
                <w:lang w:eastAsia="tr-TR"/>
              </w:rPr>
              <w:t>,</w:t>
            </w:r>
            <w:r w:rsidRPr="00A23740">
              <w:rPr>
                <w:rFonts w:eastAsia="Times New Roman"/>
                <w:color w:val="000000"/>
                <w:szCs w:val="24"/>
                <w:lang w:eastAsia="tr-TR"/>
              </w:rPr>
              <w:t xml:space="preserve"> </w:t>
            </w:r>
            <w:r w:rsidR="00DF07E6" w:rsidRPr="00A23740">
              <w:rPr>
                <w:rFonts w:eastAsia="Times New Roman"/>
                <w:color w:val="000000"/>
                <w:szCs w:val="24"/>
                <w:lang w:eastAsia="tr-TR"/>
              </w:rPr>
              <w:t xml:space="preserve">6100 sayılı Kanunun </w:t>
            </w:r>
            <w:r w:rsidRPr="00A23740">
              <w:rPr>
                <w:rFonts w:eastAsia="Times New Roman"/>
                <w:color w:val="000000"/>
                <w:szCs w:val="24"/>
                <w:lang w:eastAsia="tr-TR"/>
              </w:rPr>
              <w:t>399</w:t>
            </w:r>
            <w:r w:rsidR="00DF07E6" w:rsidRPr="00A23740">
              <w:rPr>
                <w:rFonts w:eastAsia="Times New Roman"/>
                <w:color w:val="000000"/>
                <w:szCs w:val="24"/>
                <w:lang w:eastAsia="tr-TR"/>
              </w:rPr>
              <w:t xml:space="preserve"> uncu maddesinin ikinci fıkra</w:t>
            </w:r>
            <w:r w:rsidR="00301EF3" w:rsidRPr="00A23740">
              <w:rPr>
                <w:rFonts w:eastAsia="Times New Roman"/>
                <w:color w:val="000000"/>
                <w:szCs w:val="24"/>
                <w:lang w:eastAsia="tr-TR"/>
              </w:rPr>
              <w:t>sından</w:t>
            </w:r>
            <w:r w:rsidR="00DF07E6" w:rsidRPr="00A23740">
              <w:rPr>
                <w:rFonts w:eastAsia="Times New Roman"/>
                <w:color w:val="000000"/>
                <w:szCs w:val="24"/>
                <w:lang w:eastAsia="tr-TR"/>
              </w:rPr>
              <w:t xml:space="preserve"> </w:t>
            </w:r>
            <w:r w:rsidRPr="00A23740">
              <w:rPr>
                <w:rFonts w:eastAsia="Times New Roman"/>
                <w:color w:val="000000"/>
                <w:szCs w:val="24"/>
                <w:lang w:eastAsia="tr-TR"/>
              </w:rPr>
              <w:t>farklı olarak ihtiyati hacze karar veren mahkemenin yetkisinin seçimlik yetki olması ilkesinde bir değişiklik yapılmamıştır.</w:t>
            </w:r>
          </w:p>
          <w:p w:rsidR="0027790B" w:rsidRPr="00A23740" w:rsidRDefault="0027790B" w:rsidP="009431FF">
            <w:pPr>
              <w:tabs>
                <w:tab w:val="left" w:pos="567"/>
              </w:tabs>
              <w:ind w:firstLine="709"/>
              <w:rPr>
                <w:rFonts w:eastAsia="Times New Roman"/>
                <w:color w:val="000000"/>
                <w:szCs w:val="24"/>
                <w:lang w:eastAsia="tr-TR"/>
              </w:rPr>
            </w:pPr>
            <w:r w:rsidRPr="00A23740">
              <w:rPr>
                <w:rFonts w:eastAsia="Times New Roman"/>
                <w:color w:val="000000"/>
                <w:szCs w:val="24"/>
                <w:lang w:eastAsia="tr-TR"/>
              </w:rPr>
              <w:t>Haksız ihtiyati hacizden kaynaklanan tazminat davalarında zamanaşımı</w:t>
            </w:r>
            <w:r w:rsidR="00E16024" w:rsidRPr="00A06203">
              <w:rPr>
                <w:rFonts w:eastAsia="Times New Roman"/>
                <w:color w:val="000000"/>
                <w:szCs w:val="24"/>
                <w:lang w:eastAsia="tr-TR"/>
              </w:rPr>
              <w:t>nı</w:t>
            </w:r>
            <w:r w:rsidRPr="00A23740">
              <w:rPr>
                <w:rFonts w:eastAsia="Times New Roman"/>
                <w:color w:val="000000"/>
                <w:szCs w:val="24"/>
                <w:lang w:eastAsia="tr-TR"/>
              </w:rPr>
              <w:t xml:space="preserve"> düzenleyen üçüncü fıkra</w:t>
            </w:r>
            <w:r w:rsidR="00E16024" w:rsidRPr="00A06203">
              <w:rPr>
                <w:rFonts w:eastAsia="Times New Roman"/>
                <w:color w:val="000000"/>
                <w:szCs w:val="24"/>
                <w:lang w:eastAsia="tr-TR"/>
              </w:rPr>
              <w:t>yla</w:t>
            </w:r>
            <w:r w:rsidRPr="00A23740">
              <w:rPr>
                <w:rFonts w:eastAsia="Times New Roman"/>
                <w:color w:val="000000"/>
                <w:szCs w:val="24"/>
                <w:lang w:eastAsia="tr-TR"/>
              </w:rPr>
              <w:t xml:space="preserve"> süre</w:t>
            </w:r>
            <w:r w:rsidR="00581983" w:rsidRPr="00581983">
              <w:rPr>
                <w:rStyle w:val="KIRMIZIChar"/>
                <w:rFonts w:eastAsia="Calibri"/>
                <w:strike w:val="0"/>
              </w:rPr>
              <w:t xml:space="preserve"> </w:t>
            </w:r>
            <w:r w:rsidRPr="00A23740">
              <w:rPr>
                <w:rFonts w:eastAsia="Times New Roman"/>
                <w:color w:val="000000"/>
                <w:szCs w:val="24"/>
                <w:lang w:eastAsia="tr-TR"/>
              </w:rPr>
              <w:t>bir yıl olarak belirlenmiş, böylece haksız ihtiyati tedbir nedeniyle açılan tazminat davasında zamanaşımı</w:t>
            </w:r>
            <w:r w:rsidR="00E16024" w:rsidRPr="00A06203">
              <w:rPr>
                <w:rFonts w:eastAsia="Times New Roman"/>
                <w:color w:val="000000"/>
                <w:szCs w:val="24"/>
                <w:lang w:eastAsia="tr-TR"/>
              </w:rPr>
              <w:t>nı</w:t>
            </w:r>
            <w:r w:rsidRPr="00A23740">
              <w:rPr>
                <w:rFonts w:eastAsia="Times New Roman"/>
                <w:color w:val="000000"/>
                <w:szCs w:val="24"/>
                <w:lang w:eastAsia="tr-TR"/>
              </w:rPr>
              <w:t xml:space="preserve"> düzenleyen </w:t>
            </w:r>
            <w:r w:rsidR="00DF07E6" w:rsidRPr="00A23740">
              <w:rPr>
                <w:rFonts w:eastAsia="Times New Roman"/>
                <w:color w:val="000000"/>
                <w:szCs w:val="24"/>
                <w:lang w:eastAsia="tr-TR"/>
              </w:rPr>
              <w:t>6100 sayılı Kanunun 399 uncu maddesinin üçüncü fıkra</w:t>
            </w:r>
            <w:r w:rsidR="00881549" w:rsidRPr="00A23740">
              <w:rPr>
                <w:rFonts w:eastAsia="Times New Roman"/>
                <w:color w:val="000000"/>
                <w:szCs w:val="24"/>
                <w:lang w:eastAsia="tr-TR"/>
              </w:rPr>
              <w:t>sıyla</w:t>
            </w:r>
            <w:r w:rsidRPr="00A23740">
              <w:rPr>
                <w:rFonts w:eastAsia="Times New Roman"/>
                <w:color w:val="000000"/>
                <w:szCs w:val="24"/>
                <w:lang w:eastAsia="tr-TR"/>
              </w:rPr>
              <w:t xml:space="preserve"> paralellik sağlanmıştır.</w:t>
            </w:r>
          </w:p>
          <w:p w:rsidR="00695D9B" w:rsidRPr="00A23740" w:rsidRDefault="00695D9B" w:rsidP="00196116">
            <w:pPr>
              <w:tabs>
                <w:tab w:val="left" w:pos="567"/>
              </w:tabs>
              <w:rPr>
                <w:rFonts w:eastAsia="Times New Roman"/>
                <w:lang w:eastAsia="tr-TR"/>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FDE9D9"/>
            <w:vAlign w:val="center"/>
          </w:tcPr>
          <w:p w:rsidR="00A46C6E" w:rsidRPr="00A23740" w:rsidRDefault="00A46C6E" w:rsidP="009431FF">
            <w:pPr>
              <w:jc w:val="center"/>
              <w:rPr>
                <w:rFonts w:eastAsia="Times New Roman"/>
                <w:b/>
                <w:szCs w:val="24"/>
              </w:rPr>
            </w:pPr>
            <w:r w:rsidRPr="00A23740">
              <w:rPr>
                <w:rFonts w:eastAsia="Times New Roman"/>
                <w:b/>
                <w:szCs w:val="24"/>
              </w:rPr>
              <w:t>13/1/2011 TARİHLİ VE 6102 SAYILI</w:t>
            </w:r>
          </w:p>
          <w:p w:rsidR="00A46C6E" w:rsidRPr="00A23740" w:rsidRDefault="00A46C6E" w:rsidP="009431FF">
            <w:pPr>
              <w:jc w:val="center"/>
              <w:rPr>
                <w:rFonts w:eastAsia="Times New Roman"/>
                <w:b/>
                <w:szCs w:val="24"/>
              </w:rPr>
            </w:pPr>
            <w:r w:rsidRPr="00A23740">
              <w:rPr>
                <w:rFonts w:eastAsia="Times New Roman"/>
                <w:b/>
                <w:szCs w:val="24"/>
              </w:rPr>
              <w:t>TÜRK TİCARET KANUNU</w:t>
            </w:r>
          </w:p>
          <w:p w:rsidR="00A46C6E" w:rsidRPr="00A23740" w:rsidRDefault="00A46C6E" w:rsidP="009431FF">
            <w:pPr>
              <w:jc w:val="center"/>
              <w:rPr>
                <w:rFonts w:eastAsia="Times New Roman"/>
                <w:b/>
                <w:bCs/>
                <w:szCs w:val="24"/>
              </w:rPr>
            </w:pPr>
            <w:r w:rsidRPr="00A23740">
              <w:rPr>
                <w:rFonts w:eastAsia="Times New Roman"/>
                <w:b/>
                <w:bCs/>
                <w:szCs w:val="24"/>
              </w:rPr>
              <w:t>VE 2004 SAYILI İCRA VE İFLAS KANUNU</w:t>
            </w:r>
          </w:p>
          <w:p w:rsidR="00A46C6E" w:rsidRPr="00A23740" w:rsidRDefault="00A46C6E" w:rsidP="009431FF">
            <w:pPr>
              <w:jc w:val="center"/>
              <w:rPr>
                <w:rFonts w:eastAsia="Times New Roman"/>
                <w:b/>
                <w:bCs/>
                <w:szCs w:val="24"/>
              </w:rPr>
            </w:pPr>
            <w:r w:rsidRPr="00A23740">
              <w:rPr>
                <w:rFonts w:eastAsia="Times New Roman"/>
                <w:b/>
                <w:bCs/>
                <w:szCs w:val="24"/>
              </w:rPr>
              <w:t>MEVCUT METİN</w:t>
            </w:r>
          </w:p>
        </w:tc>
        <w:tc>
          <w:tcPr>
            <w:tcW w:w="2500" w:type="pct"/>
            <w:shd w:val="clear" w:color="auto" w:fill="FDE9D9"/>
            <w:vAlign w:val="center"/>
          </w:tcPr>
          <w:p w:rsidR="00A46C6E" w:rsidRPr="00A23740" w:rsidRDefault="00A46C6E" w:rsidP="009431FF">
            <w:pPr>
              <w:jc w:val="center"/>
              <w:rPr>
                <w:rFonts w:eastAsia="Times New Roman"/>
                <w:b/>
                <w:szCs w:val="24"/>
              </w:rPr>
            </w:pPr>
            <w:r w:rsidRPr="00A23740">
              <w:rPr>
                <w:rFonts w:eastAsia="Times New Roman"/>
                <w:b/>
                <w:szCs w:val="24"/>
              </w:rPr>
              <w:t>TASLAK</w:t>
            </w:r>
            <w:r w:rsidR="003B700B" w:rsidRPr="00A23740">
              <w:rPr>
                <w:rFonts w:eastAsia="Times New Roman"/>
                <w:b/>
                <w:szCs w:val="24"/>
              </w:rPr>
              <w:t xml:space="preserve"> METİN</w:t>
            </w: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bCs/>
                <w:szCs w:val="24"/>
              </w:rPr>
            </w:pPr>
          </w:p>
          <w:p w:rsidR="003B700B" w:rsidRPr="00A23740" w:rsidRDefault="003B700B" w:rsidP="009431FF">
            <w:pPr>
              <w:rPr>
                <w:rFonts w:eastAsia="Times New Roman"/>
                <w:b/>
                <w:bCs/>
                <w:szCs w:val="24"/>
              </w:rPr>
            </w:pPr>
          </w:p>
          <w:p w:rsidR="003B700B" w:rsidRPr="00A23740" w:rsidRDefault="003B700B" w:rsidP="009431FF">
            <w:pPr>
              <w:rPr>
                <w:rFonts w:eastAsia="Times New Roman"/>
                <w:b/>
                <w:bCs/>
                <w:szCs w:val="24"/>
              </w:rPr>
            </w:pPr>
          </w:p>
          <w:p w:rsidR="00882845" w:rsidRPr="00A23740" w:rsidRDefault="00882845" w:rsidP="009431FF">
            <w:pPr>
              <w:rPr>
                <w:rFonts w:eastAsia="Times New Roman"/>
                <w:b/>
                <w:bCs/>
                <w:szCs w:val="24"/>
              </w:rPr>
            </w:pPr>
          </w:p>
          <w:p w:rsidR="00882845" w:rsidRPr="00A23740" w:rsidRDefault="00882845" w:rsidP="009431FF">
            <w:pPr>
              <w:rPr>
                <w:rFonts w:eastAsia="Times New Roman"/>
                <w:b/>
                <w:bCs/>
                <w:szCs w:val="24"/>
              </w:rPr>
            </w:pPr>
          </w:p>
          <w:p w:rsidR="00882845" w:rsidRPr="00A23740" w:rsidRDefault="00882845" w:rsidP="009431FF">
            <w:pPr>
              <w:rPr>
                <w:rFonts w:eastAsia="Times New Roman"/>
                <w:b/>
                <w:bCs/>
                <w:szCs w:val="24"/>
              </w:rPr>
            </w:pPr>
          </w:p>
          <w:p w:rsidR="00A46C6E" w:rsidRPr="00A23740" w:rsidRDefault="00A46C6E" w:rsidP="009431FF">
            <w:pPr>
              <w:rPr>
                <w:rFonts w:eastAsia="Times New Roman"/>
                <w:b/>
                <w:bCs/>
                <w:szCs w:val="24"/>
              </w:rPr>
            </w:pPr>
            <w:r w:rsidRPr="00A23740">
              <w:rPr>
                <w:rFonts w:eastAsia="Times New Roman"/>
                <w:b/>
                <w:strike/>
                <w:color w:val="FF0000"/>
                <w:szCs w:val="24"/>
              </w:rPr>
              <w:t>A)</w:t>
            </w:r>
            <w:r w:rsidRPr="00A23740">
              <w:rPr>
                <w:rFonts w:eastAsia="Times New Roman"/>
                <w:b/>
                <w:bCs/>
                <w:szCs w:val="24"/>
              </w:rPr>
              <w:t xml:space="preserve"> Uygulanacak hukuk</w:t>
            </w:r>
          </w:p>
          <w:p w:rsidR="00A46C6E" w:rsidRPr="00A23740" w:rsidRDefault="00A46C6E" w:rsidP="009431FF">
            <w:pPr>
              <w:rPr>
                <w:rFonts w:eastAsia="Times New Roman"/>
                <w:szCs w:val="24"/>
              </w:rPr>
            </w:pPr>
            <w:r w:rsidRPr="00A23740">
              <w:rPr>
                <w:rFonts w:eastAsia="Times New Roman"/>
                <w:b/>
                <w:szCs w:val="24"/>
              </w:rPr>
              <w:t xml:space="preserve">MADDE </w:t>
            </w:r>
            <w:r w:rsidRPr="00A23740">
              <w:rPr>
                <w:rFonts w:eastAsia="Times New Roman"/>
                <w:b/>
                <w:strike/>
                <w:color w:val="FF0000"/>
                <w:szCs w:val="24"/>
              </w:rPr>
              <w:t>1350-</w:t>
            </w:r>
            <w:r w:rsidRPr="00A23740">
              <w:rPr>
                <w:rFonts w:eastAsia="Times New Roman"/>
                <w:szCs w:val="24"/>
              </w:rPr>
              <w:t xml:space="preserve"> (1) Bir geminin ihtiyaten veya </w:t>
            </w:r>
            <w:r w:rsidRPr="00A23740">
              <w:rPr>
                <w:rFonts w:eastAsia="Times New Roman"/>
                <w:b/>
                <w:strike/>
                <w:color w:val="FF0000"/>
                <w:szCs w:val="24"/>
              </w:rPr>
              <w:t>icraen</w:t>
            </w:r>
            <w:r w:rsidRPr="00A23740">
              <w:rPr>
                <w:rFonts w:eastAsia="Times New Roman"/>
                <w:b/>
                <w:color w:val="FF0000"/>
                <w:szCs w:val="24"/>
              </w:rPr>
              <w:t xml:space="preserve"> </w:t>
            </w:r>
            <w:r w:rsidRPr="00A23740">
              <w:rPr>
                <w:rFonts w:eastAsia="Times New Roman"/>
                <w:szCs w:val="24"/>
              </w:rPr>
              <w:t xml:space="preserve">haczi, cebrî icra yoluyla satışı ve mülkiyetin intikali de dâhil olmak üzere bu satışın sonuçları ve cebrî icraya ilişkin diğer bütün işlem ve tasarruflar, geminin bu işlem ve tasarrufların yapıldığı sırada bulunduğu ülkenin hukukuna tabidir. </w:t>
            </w:r>
            <w:r w:rsidRPr="00A23740">
              <w:rPr>
                <w:rFonts w:eastAsia="Times New Roman"/>
                <w:b/>
                <w:strike/>
                <w:color w:val="FF0000"/>
                <w:szCs w:val="24"/>
              </w:rPr>
              <w:t>Şu kadar ki, Türk bayraklı bir</w:t>
            </w:r>
            <w:r w:rsidRPr="00A23740">
              <w:rPr>
                <w:rFonts w:eastAsia="Times New Roman"/>
                <w:b/>
                <w:color w:val="FF0000"/>
                <w:szCs w:val="24"/>
              </w:rPr>
              <w:t xml:space="preserve"> </w:t>
            </w:r>
            <w:r w:rsidRPr="00A23740">
              <w:rPr>
                <w:rFonts w:eastAsia="Times New Roman"/>
                <w:szCs w:val="24"/>
              </w:rPr>
              <w:t xml:space="preserve">geminin yurt dışında cebrî icra yoluyla satışı hâlinde, </w:t>
            </w:r>
            <w:r w:rsidRPr="00A23740">
              <w:rPr>
                <w:rFonts w:eastAsia="Times New Roman"/>
                <w:b/>
                <w:strike/>
                <w:color w:val="FF0000"/>
                <w:szCs w:val="24"/>
              </w:rPr>
              <w:t>artırmayı yapan kurum</w:t>
            </w:r>
            <w:r w:rsidRPr="00A23740">
              <w:rPr>
                <w:rFonts w:eastAsia="Times New Roman"/>
                <w:szCs w:val="24"/>
              </w:rPr>
              <w:t xml:space="preserve"> veya ilgililer tarafından, bu satıştan en az </w:t>
            </w:r>
            <w:r w:rsidRPr="00A23740">
              <w:rPr>
                <w:rFonts w:eastAsia="Times New Roman"/>
                <w:b/>
                <w:strike/>
                <w:color w:val="FF0000"/>
                <w:szCs w:val="24"/>
              </w:rPr>
              <w:t>otuz gün</w:t>
            </w:r>
            <w:r w:rsidRPr="00A23740">
              <w:rPr>
                <w:rFonts w:eastAsia="Times New Roman"/>
                <w:szCs w:val="24"/>
              </w:rPr>
              <w:t xml:space="preserve"> önce </w:t>
            </w:r>
            <w:r w:rsidRPr="00A23740">
              <w:rPr>
                <w:rFonts w:eastAsia="Times New Roman"/>
                <w:b/>
                <w:strike/>
                <w:color w:val="FF0000"/>
                <w:szCs w:val="24"/>
              </w:rPr>
              <w:t>artırmanın</w:t>
            </w:r>
            <w:r w:rsidRPr="00A23740">
              <w:rPr>
                <w:rFonts w:eastAsia="Times New Roman"/>
                <w:szCs w:val="24"/>
              </w:rPr>
              <w:t>;</w:t>
            </w:r>
          </w:p>
          <w:p w:rsidR="00B569B2" w:rsidRDefault="00B569B2" w:rsidP="009431FF">
            <w:pPr>
              <w:rPr>
                <w:rFonts w:eastAsia="Times New Roman"/>
                <w:szCs w:val="24"/>
              </w:rPr>
            </w:pPr>
          </w:p>
          <w:p w:rsidR="00B569B2" w:rsidRDefault="00B569B2" w:rsidP="009431FF">
            <w:pPr>
              <w:rPr>
                <w:rFonts w:eastAsia="Times New Roman"/>
                <w:szCs w:val="24"/>
              </w:rPr>
            </w:pPr>
          </w:p>
          <w:p w:rsidR="00A46C6E" w:rsidRPr="00A23740" w:rsidRDefault="00A46C6E" w:rsidP="009431FF">
            <w:pPr>
              <w:rPr>
                <w:rFonts w:eastAsia="Times New Roman"/>
                <w:szCs w:val="24"/>
              </w:rPr>
            </w:pPr>
            <w:r w:rsidRPr="00A23740">
              <w:rPr>
                <w:rFonts w:eastAsia="Times New Roman"/>
                <w:szCs w:val="24"/>
              </w:rPr>
              <w:t>a) Geminin kayıtlı olduğu Türk Gemi Sicili</w:t>
            </w:r>
            <w:r w:rsidRPr="00A23740">
              <w:rPr>
                <w:rFonts w:eastAsia="Times New Roman"/>
                <w:b/>
                <w:strike/>
                <w:color w:val="FF0000"/>
                <w:szCs w:val="24"/>
              </w:rPr>
              <w:t>ne</w:t>
            </w:r>
            <w:r w:rsidRPr="00A23740">
              <w:rPr>
                <w:rFonts w:eastAsia="Times New Roman"/>
                <w:szCs w:val="24"/>
              </w:rPr>
              <w:t>,</w:t>
            </w:r>
          </w:p>
          <w:p w:rsidR="00A46C6E" w:rsidRPr="00A23740" w:rsidRDefault="00A46C6E" w:rsidP="009431FF">
            <w:pPr>
              <w:rPr>
                <w:rFonts w:eastAsia="Times New Roman"/>
                <w:szCs w:val="24"/>
              </w:rPr>
            </w:pPr>
            <w:r w:rsidRPr="00A23740">
              <w:rPr>
                <w:rFonts w:eastAsia="Times New Roman"/>
                <w:szCs w:val="24"/>
              </w:rPr>
              <w:t>b) Geminin sicile kayıtlı malikine,</w:t>
            </w:r>
          </w:p>
          <w:p w:rsidR="00A46C6E" w:rsidRPr="00A23740" w:rsidRDefault="00A46C6E" w:rsidP="009431FF">
            <w:pPr>
              <w:rPr>
                <w:rFonts w:eastAsia="Times New Roman"/>
                <w:szCs w:val="24"/>
              </w:rPr>
            </w:pPr>
            <w:r w:rsidRPr="00A23740">
              <w:rPr>
                <w:rFonts w:eastAsia="Times New Roman"/>
                <w:szCs w:val="24"/>
              </w:rPr>
              <w:t xml:space="preserve">c) Gemi siciline tescil edilmiş diğer hakların </w:t>
            </w:r>
            <w:r w:rsidRPr="00A23740">
              <w:rPr>
                <w:rFonts w:eastAsia="Times New Roman"/>
                <w:b/>
                <w:strike/>
                <w:color w:val="FF0000"/>
                <w:szCs w:val="24"/>
                <w:lang w:eastAsia="x-none"/>
              </w:rPr>
              <w:t>ve alacakların</w:t>
            </w:r>
            <w:r w:rsidRPr="00A23740">
              <w:rPr>
                <w:rFonts w:eastAsia="Times New Roman"/>
                <w:szCs w:val="24"/>
              </w:rPr>
              <w:t xml:space="preserve"> sahiplerine,</w:t>
            </w:r>
          </w:p>
          <w:p w:rsidR="00A46C6E" w:rsidRPr="00A23740" w:rsidRDefault="00A46C6E" w:rsidP="009431FF">
            <w:pPr>
              <w:rPr>
                <w:rFonts w:eastAsia="Times New Roman"/>
                <w:szCs w:val="24"/>
              </w:rPr>
            </w:pPr>
            <w:r w:rsidRPr="00A23740">
              <w:rPr>
                <w:rFonts w:eastAsia="Times New Roman"/>
                <w:b/>
                <w:strike/>
                <w:color w:val="FF0000"/>
                <w:szCs w:val="24"/>
              </w:rPr>
              <w:t>bildirilmesi veya gideri ilgililer tarafından karşılanmak şartıyla bir internet haber sitesi ve tirajı ellibin üzerinde olan</w:t>
            </w:r>
            <w:r w:rsidRPr="00A23740">
              <w:rPr>
                <w:rFonts w:eastAsia="Times New Roman"/>
                <w:szCs w:val="24"/>
              </w:rPr>
              <w:t xml:space="preserve"> ve Türkiye </w:t>
            </w:r>
            <w:r w:rsidRPr="00A23740">
              <w:rPr>
                <w:rFonts w:eastAsia="Times New Roman"/>
                <w:b/>
                <w:strike/>
                <w:color w:val="FF0000"/>
                <w:szCs w:val="24"/>
              </w:rPr>
              <w:t>düzeyinde</w:t>
            </w:r>
            <w:r w:rsidRPr="00A23740">
              <w:rPr>
                <w:rFonts w:eastAsia="Times New Roman"/>
                <w:szCs w:val="24"/>
              </w:rPr>
              <w:t xml:space="preserve"> dağıtımı yapılan gazetelerden </w:t>
            </w:r>
            <w:r w:rsidRPr="00A23740">
              <w:rPr>
                <w:rFonts w:eastAsia="Times New Roman"/>
                <w:b/>
                <w:strike/>
                <w:color w:val="FF0000"/>
                <w:szCs w:val="24"/>
              </w:rPr>
              <w:t>biriyle</w:t>
            </w:r>
            <w:r w:rsidRPr="00A23740">
              <w:rPr>
                <w:rFonts w:eastAsia="Times New Roman"/>
                <w:szCs w:val="24"/>
              </w:rPr>
              <w:t xml:space="preserve"> ilan edilmesi </w:t>
            </w:r>
            <w:r w:rsidRPr="00A23740">
              <w:rPr>
                <w:rFonts w:eastAsia="Times New Roman"/>
                <w:b/>
                <w:strike/>
                <w:color w:val="FF0000"/>
                <w:szCs w:val="24"/>
              </w:rPr>
              <w:t>zorunludur</w:t>
            </w:r>
            <w:r w:rsidRPr="00A23740">
              <w:rPr>
                <w:rFonts w:eastAsia="Times New Roman"/>
                <w:szCs w:val="24"/>
              </w:rPr>
              <w:t xml:space="preserve">. </w:t>
            </w: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p w:rsidR="009020E0" w:rsidRPr="00A23740" w:rsidRDefault="009020E0" w:rsidP="009431FF">
            <w:pPr>
              <w:rPr>
                <w:rFonts w:eastAsia="Times New Roman"/>
                <w:szCs w:val="24"/>
              </w:rPr>
            </w:pPr>
          </w:p>
          <w:p w:rsidR="00A46C6E" w:rsidRPr="00A23740" w:rsidRDefault="00A46C6E" w:rsidP="009431FF">
            <w:pPr>
              <w:rPr>
                <w:rFonts w:eastAsia="Times New Roman"/>
                <w:szCs w:val="24"/>
              </w:rPr>
            </w:pPr>
          </w:p>
          <w:p w:rsidR="00A46C6E" w:rsidRPr="00A23740" w:rsidRDefault="00277039" w:rsidP="009431FF">
            <w:pPr>
              <w:rPr>
                <w:rFonts w:eastAsia="Times New Roman"/>
                <w:szCs w:val="24"/>
              </w:rPr>
            </w:pPr>
            <w:r w:rsidRPr="00E26FFD">
              <w:rPr>
                <w:rStyle w:val="KIRMIZIChar"/>
                <w:rFonts w:eastAsia="Calibri"/>
              </w:rPr>
              <w:t>(F1.</w:t>
            </w:r>
            <w:r w:rsidR="00A46C6E" w:rsidRPr="00E26FFD">
              <w:rPr>
                <w:rStyle w:val="KIRMIZIChar"/>
                <w:rFonts w:eastAsia="Calibri"/>
              </w:rPr>
              <w:t>C3)</w:t>
            </w:r>
            <w:r w:rsidR="00A46C6E" w:rsidRPr="00A23740">
              <w:rPr>
                <w:rFonts w:eastAsia="Times New Roman"/>
                <w:szCs w:val="24"/>
              </w:rPr>
              <w:t xml:space="preserve"> Bu bildirim ve</w:t>
            </w:r>
            <w:r w:rsidR="00A46C6E" w:rsidRPr="00A23740">
              <w:rPr>
                <w:rFonts w:eastAsia="Times New Roman"/>
                <w:b/>
                <w:strike/>
                <w:color w:val="FF0000"/>
                <w:szCs w:val="24"/>
              </w:rPr>
              <w:t>ya</w:t>
            </w:r>
            <w:r w:rsidR="00A46C6E" w:rsidRPr="00A23740">
              <w:rPr>
                <w:rFonts w:eastAsia="Times New Roman"/>
                <w:szCs w:val="24"/>
              </w:rPr>
              <w:t xml:space="preserve"> ilan yapılmaksızın </w:t>
            </w:r>
            <w:r w:rsidR="00A46C6E" w:rsidRPr="00A23740">
              <w:rPr>
                <w:rFonts w:eastAsia="Times New Roman"/>
                <w:b/>
                <w:strike/>
                <w:color w:val="FF0000"/>
                <w:szCs w:val="24"/>
              </w:rPr>
              <w:t>geminin</w:t>
            </w:r>
            <w:r w:rsidR="00A46C6E" w:rsidRPr="00A23740">
              <w:rPr>
                <w:rFonts w:eastAsia="Times New Roman"/>
                <w:b/>
                <w:color w:val="FF0000"/>
                <w:szCs w:val="24"/>
              </w:rPr>
              <w:t xml:space="preserve"> </w:t>
            </w:r>
            <w:r w:rsidR="00A46C6E" w:rsidRPr="00A23740">
              <w:rPr>
                <w:rFonts w:eastAsia="Times New Roman"/>
                <w:szCs w:val="24"/>
              </w:rPr>
              <w:t xml:space="preserve">yurt dışında cebrî icra yoluyla </w:t>
            </w:r>
            <w:r w:rsidR="00A46C6E" w:rsidRPr="00A23740">
              <w:rPr>
                <w:rFonts w:eastAsia="Times New Roman"/>
                <w:b/>
                <w:strike/>
                <w:color w:val="FF0000"/>
                <w:szCs w:val="24"/>
              </w:rPr>
              <w:t>satışı hâlinde</w:t>
            </w:r>
            <w:r w:rsidR="00A46C6E" w:rsidRPr="00A23740">
              <w:rPr>
                <w:rFonts w:eastAsia="Times New Roman"/>
                <w:szCs w:val="24"/>
              </w:rPr>
              <w:t xml:space="preserve"> kaydı </w:t>
            </w:r>
            <w:r w:rsidR="00A46C6E" w:rsidRPr="00A23740">
              <w:rPr>
                <w:rFonts w:eastAsia="Times New Roman"/>
                <w:b/>
                <w:strike/>
                <w:color w:val="FF0000"/>
                <w:szCs w:val="24"/>
              </w:rPr>
              <w:t>silinemez</w:t>
            </w:r>
            <w:r w:rsidR="00A46C6E" w:rsidRPr="00A23740">
              <w:rPr>
                <w:rFonts w:eastAsia="Times New Roman"/>
                <w:szCs w:val="24"/>
              </w:rPr>
              <w:t xml:space="preserve"> ve </w:t>
            </w:r>
            <w:r w:rsidR="00A46C6E" w:rsidRPr="00A23740">
              <w:rPr>
                <w:rFonts w:eastAsia="Times New Roman"/>
                <w:b/>
                <w:strike/>
                <w:color w:val="FF0000"/>
                <w:szCs w:val="24"/>
              </w:rPr>
              <w:t>gemi üzerinde Türk Gemi Siciline</w:t>
            </w:r>
            <w:r w:rsidR="00A46C6E" w:rsidRPr="00A23740">
              <w:rPr>
                <w:rFonts w:eastAsia="Times New Roman"/>
                <w:szCs w:val="24"/>
              </w:rPr>
              <w:t xml:space="preserve"> kayıtlı haklar </w:t>
            </w:r>
            <w:r w:rsidR="00A46C6E" w:rsidRPr="00A23740">
              <w:rPr>
                <w:rFonts w:eastAsia="Times New Roman"/>
                <w:b/>
                <w:strike/>
                <w:color w:val="FF0000"/>
                <w:szCs w:val="24"/>
              </w:rPr>
              <w:t>ve alacaklar saklı kalır</w:t>
            </w:r>
            <w:r w:rsidR="00A46C6E" w:rsidRPr="00A23740">
              <w:rPr>
                <w:rFonts w:eastAsia="Times New Roman"/>
                <w:szCs w:val="24"/>
              </w:rPr>
              <w:t>.</w:t>
            </w: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tc>
        <w:tc>
          <w:tcPr>
            <w:tcW w:w="2500" w:type="pct"/>
            <w:shd w:val="clear" w:color="auto" w:fill="auto"/>
          </w:tcPr>
          <w:p w:rsidR="00A8325E" w:rsidRPr="00A06203" w:rsidRDefault="00A8325E" w:rsidP="009431FF">
            <w:pPr>
              <w:pStyle w:val="KonuBal"/>
              <w:jc w:val="center"/>
              <w:rPr>
                <w:color w:val="0000FF"/>
                <w:shd w:val="clear" w:color="auto" w:fill="FDFDFD"/>
                <w:lang w:val="tr-TR"/>
              </w:rPr>
            </w:pPr>
            <w:r w:rsidRPr="00A06203">
              <w:rPr>
                <w:color w:val="0000FF"/>
                <w:shd w:val="clear" w:color="auto" w:fill="FDFDFD"/>
                <w:lang w:val="tr-TR"/>
              </w:rPr>
              <w:t>DÖRDÜNCÜ KİTAP</w:t>
            </w:r>
          </w:p>
          <w:p w:rsidR="00A8325E" w:rsidRPr="00A06203" w:rsidRDefault="00A8325E" w:rsidP="009431FF">
            <w:pPr>
              <w:pStyle w:val="KonuBal"/>
              <w:jc w:val="center"/>
              <w:rPr>
                <w:color w:val="0000FF"/>
                <w:shd w:val="clear" w:color="auto" w:fill="FDFDFD"/>
                <w:lang w:val="tr-TR"/>
              </w:rPr>
            </w:pPr>
            <w:r w:rsidRPr="00A06203">
              <w:rPr>
                <w:color w:val="0000FF"/>
                <w:shd w:val="clear" w:color="auto" w:fill="FDFDFD"/>
                <w:lang w:val="tr-TR"/>
              </w:rPr>
              <w:t>DENİZ CEBRÎ İCRA</w:t>
            </w:r>
          </w:p>
          <w:p w:rsidR="00A8325E" w:rsidRPr="00A06203" w:rsidRDefault="00A8325E" w:rsidP="009431FF">
            <w:pPr>
              <w:pStyle w:val="KonuBal"/>
              <w:jc w:val="center"/>
              <w:rPr>
                <w:color w:val="0000FF"/>
                <w:shd w:val="clear" w:color="auto" w:fill="FDFDFD"/>
                <w:lang w:val="tr-TR"/>
              </w:rPr>
            </w:pPr>
          </w:p>
          <w:p w:rsidR="00B926FA" w:rsidRPr="00A06203" w:rsidRDefault="00B926FA" w:rsidP="009431FF">
            <w:pPr>
              <w:pStyle w:val="KonuBal"/>
              <w:jc w:val="center"/>
              <w:rPr>
                <w:color w:val="0000FF"/>
                <w:shd w:val="clear" w:color="auto" w:fill="FDFDFD"/>
              </w:rPr>
            </w:pPr>
            <w:r w:rsidRPr="00A06203">
              <w:rPr>
                <w:color w:val="0000FF"/>
                <w:shd w:val="clear" w:color="auto" w:fill="FDFDFD"/>
              </w:rPr>
              <w:t>BİRİNCİ KISIM</w:t>
            </w:r>
          </w:p>
          <w:p w:rsidR="00A46C6E" w:rsidRPr="00A23740" w:rsidRDefault="003B700B" w:rsidP="009431FF">
            <w:pPr>
              <w:pStyle w:val="Mavi"/>
              <w:jc w:val="center"/>
              <w:rPr>
                <w:rFonts w:eastAsia="Times New Roman"/>
              </w:rPr>
            </w:pPr>
            <w:r w:rsidRPr="00A23740">
              <w:rPr>
                <w:shd w:val="clear" w:color="auto" w:fill="FDFDFD"/>
              </w:rPr>
              <w:t>Genel Hükümler</w:t>
            </w:r>
          </w:p>
          <w:p w:rsidR="003B700B" w:rsidRPr="00A23740" w:rsidRDefault="003B700B" w:rsidP="009431FF">
            <w:pPr>
              <w:rPr>
                <w:rFonts w:eastAsia="Times New Roman"/>
                <w:b/>
                <w:bCs/>
                <w:szCs w:val="24"/>
              </w:rPr>
            </w:pPr>
          </w:p>
          <w:p w:rsidR="00A46C6E" w:rsidRPr="00A23740" w:rsidRDefault="00A46C6E" w:rsidP="009431FF">
            <w:pPr>
              <w:rPr>
                <w:rFonts w:eastAsia="Times New Roman"/>
                <w:b/>
                <w:bCs/>
                <w:szCs w:val="24"/>
              </w:rPr>
            </w:pPr>
            <w:r w:rsidRPr="00A23740">
              <w:rPr>
                <w:rFonts w:eastAsia="Times New Roman"/>
                <w:b/>
                <w:bCs/>
                <w:szCs w:val="24"/>
              </w:rPr>
              <w:t>Uygulanacak hukuk</w:t>
            </w:r>
          </w:p>
          <w:p w:rsidR="00A46C6E" w:rsidRPr="00A23740" w:rsidRDefault="003B700B" w:rsidP="009431FF">
            <w:pPr>
              <w:rPr>
                <w:rFonts w:eastAsia="Times New Roman"/>
                <w:b/>
                <w:bCs/>
                <w:color w:val="0000FF"/>
                <w:szCs w:val="24"/>
                <w:lang w:eastAsia="tr-TR"/>
              </w:rPr>
            </w:pPr>
            <w:r w:rsidRPr="00A23740">
              <w:rPr>
                <w:rFonts w:eastAsia="Times New Roman"/>
                <w:b/>
                <w:bCs/>
                <w:color w:val="0000FF"/>
                <w:szCs w:val="24"/>
                <w:lang w:eastAsia="tr-TR"/>
              </w:rPr>
              <w:t>MADDE 465</w:t>
            </w:r>
            <w:r w:rsidR="00A46C6E" w:rsidRPr="00A23740">
              <w:rPr>
                <w:rFonts w:eastAsia="Times New Roman"/>
                <w:b/>
                <w:color w:val="0000FF"/>
                <w:szCs w:val="24"/>
                <w:lang w:eastAsia="tr-TR"/>
              </w:rPr>
              <w:t xml:space="preserve">- </w:t>
            </w:r>
            <w:r w:rsidR="00A46C6E" w:rsidRPr="00E26FFD">
              <w:rPr>
                <w:rFonts w:eastAsia="Times New Roman"/>
                <w:color w:val="000000" w:themeColor="text1"/>
                <w:szCs w:val="24"/>
                <w:lang w:eastAsia="tr-TR"/>
              </w:rPr>
              <w:t>(</w:t>
            </w:r>
            <w:r w:rsidR="00A46C6E" w:rsidRPr="00E26FFD">
              <w:rPr>
                <w:rFonts w:eastAsia="Times New Roman"/>
                <w:bCs/>
                <w:color w:val="000000" w:themeColor="text1"/>
                <w:szCs w:val="24"/>
                <w:lang w:eastAsia="tr-TR"/>
              </w:rPr>
              <w:t>1)</w:t>
            </w:r>
            <w:r w:rsidR="00A46C6E" w:rsidRPr="00A23740">
              <w:rPr>
                <w:rFonts w:eastAsia="Times New Roman"/>
                <w:szCs w:val="24"/>
                <w:lang w:eastAsia="tr-TR"/>
              </w:rPr>
              <w:t xml:space="preserve"> Bir geminin ihtiyaten veya </w:t>
            </w:r>
            <w:r w:rsidR="00A46C6E" w:rsidRPr="00A23740">
              <w:rPr>
                <w:rFonts w:eastAsia="Times New Roman"/>
                <w:b/>
                <w:bCs/>
                <w:color w:val="0000FF"/>
                <w:szCs w:val="24"/>
                <w:lang w:eastAsia="tr-TR"/>
              </w:rPr>
              <w:t>kesin olarak</w:t>
            </w:r>
            <w:r w:rsidR="00A46C6E" w:rsidRPr="00A23740">
              <w:rPr>
                <w:rFonts w:eastAsia="Times New Roman"/>
                <w:szCs w:val="24"/>
                <w:lang w:eastAsia="tr-TR"/>
              </w:rPr>
              <w:t xml:space="preserve"> haczi, cebrî icra yoluyla satışı ve mülkiyetin intikali de dâhil olmak üzere bu satışın sonuçları ve cebrî icraya ilişkin diğer bütün işlem ve tasarruflar</w:t>
            </w:r>
            <w:r w:rsidR="00A46C6E" w:rsidRPr="00A06203">
              <w:rPr>
                <w:rStyle w:val="YELChar"/>
                <w:color w:val="0000FF"/>
              </w:rPr>
              <w:t>,</w:t>
            </w:r>
            <w:r w:rsidR="00896D74" w:rsidRPr="00A06203">
              <w:rPr>
                <w:rStyle w:val="YELChar"/>
                <w:color w:val="0000FF"/>
              </w:rPr>
              <w:t xml:space="preserve"> ikinci ve üçüncü fıkra hükümleri saklı kalmak kaydıyla</w:t>
            </w:r>
            <w:r w:rsidR="00A46C6E" w:rsidRPr="00A23740">
              <w:rPr>
                <w:rFonts w:eastAsia="Times New Roman"/>
                <w:szCs w:val="24"/>
                <w:lang w:eastAsia="tr-TR"/>
              </w:rPr>
              <w:t xml:space="preserve"> geminin bu işlem ve tasarrufların yapıldığı sırada bulunduğu ülkenin hukukuna t</w:t>
            </w:r>
            <w:r w:rsidR="00D81869" w:rsidRPr="00A23740">
              <w:rPr>
                <w:rFonts w:eastAsia="Times New Roman"/>
                <w:szCs w:val="24"/>
                <w:lang w:eastAsia="tr-TR"/>
              </w:rPr>
              <w:t>a</w:t>
            </w:r>
            <w:r w:rsidR="00B569B2">
              <w:rPr>
                <w:rFonts w:eastAsia="Times New Roman"/>
                <w:szCs w:val="24"/>
                <w:lang w:eastAsia="tr-TR"/>
              </w:rPr>
              <w:t>bidir.</w:t>
            </w:r>
          </w:p>
          <w:p w:rsidR="00A46C6E" w:rsidRPr="00A23740" w:rsidRDefault="00A46C6E" w:rsidP="009431FF">
            <w:pPr>
              <w:rPr>
                <w:rFonts w:eastAsia="Times New Roman"/>
                <w:b/>
                <w:bCs/>
                <w:color w:val="0000FF"/>
                <w:szCs w:val="24"/>
                <w:lang w:eastAsia="tr-TR"/>
              </w:rPr>
            </w:pPr>
          </w:p>
          <w:p w:rsidR="00A46C6E" w:rsidRPr="00A23740" w:rsidRDefault="00A46C6E" w:rsidP="009431FF">
            <w:pPr>
              <w:rPr>
                <w:rFonts w:eastAsia="Times New Roman"/>
                <w:b/>
                <w:bCs/>
                <w:color w:val="0000CC"/>
                <w:szCs w:val="24"/>
                <w:shd w:val="clear" w:color="auto" w:fill="FDFDFD"/>
                <w:lang w:eastAsia="tr-TR"/>
              </w:rPr>
            </w:pPr>
            <w:r w:rsidRPr="00A23740">
              <w:rPr>
                <w:rFonts w:eastAsia="Times New Roman"/>
                <w:b/>
                <w:color w:val="0000FF"/>
                <w:szCs w:val="24"/>
                <w:lang w:eastAsia="tr-TR"/>
              </w:rPr>
              <w:t>(2) Bir Türk gemi sicilinde kayıtlı</w:t>
            </w:r>
            <w:r w:rsidRPr="00A23740">
              <w:rPr>
                <w:rFonts w:eastAsia="Times New Roman"/>
                <w:szCs w:val="24"/>
                <w:lang w:eastAsia="tr-TR"/>
              </w:rPr>
              <w:t xml:space="preserve"> geminin yurt dışında cebrî icra yoluyla satışı hâlinde, </w:t>
            </w:r>
            <w:r w:rsidRPr="00A23740">
              <w:rPr>
                <w:rFonts w:eastAsia="Times New Roman"/>
                <w:b/>
                <w:color w:val="0000FF"/>
                <w:szCs w:val="24"/>
                <w:lang w:eastAsia="tr-TR"/>
              </w:rPr>
              <w:t>satışı yapan yetkili makam</w:t>
            </w:r>
            <w:r w:rsidRPr="00A23740">
              <w:rPr>
                <w:rFonts w:eastAsia="Times New Roman"/>
                <w:szCs w:val="24"/>
                <w:lang w:eastAsia="tr-TR"/>
              </w:rPr>
              <w:t xml:space="preserve"> veya ilgililer tarafından, bu satıştan en az </w:t>
            </w:r>
            <w:r w:rsidRPr="00A23740">
              <w:rPr>
                <w:rFonts w:eastAsia="Times New Roman"/>
                <w:b/>
                <w:color w:val="0000FF"/>
                <w:szCs w:val="24"/>
                <w:lang w:eastAsia="tr-TR"/>
              </w:rPr>
              <w:t>bir ay</w:t>
            </w:r>
            <w:r w:rsidRPr="00A23740">
              <w:rPr>
                <w:rFonts w:eastAsia="Times New Roman"/>
                <w:szCs w:val="24"/>
                <w:lang w:eastAsia="tr-TR"/>
              </w:rPr>
              <w:t xml:space="preserve"> önce </w:t>
            </w:r>
            <w:r w:rsidRPr="00A23740">
              <w:rPr>
                <w:rFonts w:eastAsia="Times New Roman"/>
                <w:b/>
                <w:color w:val="0000FF"/>
                <w:szCs w:val="24"/>
                <w:lang w:eastAsia="tr-TR"/>
              </w:rPr>
              <w:t>satış tarihi, yeri ve usulü;</w:t>
            </w:r>
          </w:p>
          <w:p w:rsidR="00A46C6E" w:rsidRPr="00A23740" w:rsidRDefault="00A46C6E" w:rsidP="009431FF">
            <w:pPr>
              <w:rPr>
                <w:rFonts w:eastAsia="Times New Roman"/>
                <w:b/>
                <w:bCs/>
                <w:color w:val="0000CC"/>
                <w:szCs w:val="24"/>
                <w:shd w:val="clear" w:color="auto" w:fill="FDFDFD"/>
                <w:lang w:eastAsia="tr-TR"/>
              </w:rPr>
            </w:pPr>
            <w:r w:rsidRPr="00A23740">
              <w:rPr>
                <w:rFonts w:eastAsia="Times New Roman"/>
                <w:szCs w:val="24"/>
                <w:lang w:eastAsia="tr-TR"/>
              </w:rPr>
              <w:t>a)</w:t>
            </w:r>
            <w:r w:rsidRPr="00A23740">
              <w:rPr>
                <w:rFonts w:eastAsia="Times New Roman"/>
                <w:b/>
                <w:bCs/>
                <w:color w:val="0000CC"/>
                <w:szCs w:val="24"/>
                <w:shd w:val="clear" w:color="auto" w:fill="FDFDFD"/>
                <w:lang w:eastAsia="tr-TR"/>
              </w:rPr>
              <w:t xml:space="preserve"> </w:t>
            </w:r>
            <w:r w:rsidRPr="00A23740">
              <w:rPr>
                <w:rFonts w:eastAsia="Times New Roman"/>
                <w:szCs w:val="24"/>
                <w:lang w:eastAsia="tr-TR"/>
              </w:rPr>
              <w:t xml:space="preserve">Geminin kayıtlı olduğu </w:t>
            </w:r>
            <w:r w:rsidRPr="00A23740">
              <w:rPr>
                <w:rFonts w:eastAsia="Times New Roman"/>
                <w:b/>
                <w:color w:val="0000FF"/>
                <w:szCs w:val="24"/>
                <w:lang w:eastAsia="tr-TR"/>
              </w:rPr>
              <w:t>Türk gemi sicili müdürlüğüne,</w:t>
            </w:r>
          </w:p>
          <w:p w:rsidR="00A46C6E" w:rsidRPr="00A23740" w:rsidRDefault="00A46C6E" w:rsidP="009431FF">
            <w:pPr>
              <w:rPr>
                <w:rFonts w:eastAsia="Times New Roman"/>
                <w:szCs w:val="24"/>
                <w:lang w:eastAsia="tr-TR"/>
              </w:rPr>
            </w:pPr>
            <w:r w:rsidRPr="00A23740">
              <w:rPr>
                <w:rFonts w:eastAsia="Times New Roman"/>
                <w:szCs w:val="24"/>
                <w:lang w:eastAsia="tr-TR"/>
              </w:rPr>
              <w:t>b) Geminin sicile kayıtlı malikine,</w:t>
            </w:r>
          </w:p>
          <w:p w:rsidR="00A46C6E" w:rsidRPr="00A23740" w:rsidRDefault="00A46C6E" w:rsidP="009431FF">
            <w:pPr>
              <w:rPr>
                <w:rFonts w:eastAsia="Times New Roman"/>
                <w:szCs w:val="24"/>
                <w:lang w:eastAsia="tr-TR"/>
              </w:rPr>
            </w:pPr>
            <w:r w:rsidRPr="00A23740">
              <w:rPr>
                <w:rFonts w:eastAsia="Times New Roman"/>
                <w:szCs w:val="24"/>
                <w:lang w:eastAsia="tr-TR"/>
              </w:rPr>
              <w:t xml:space="preserve">c) Gemi siciline tescil edilmiş diğer hakların sahiplerine </w:t>
            </w:r>
            <w:r w:rsidRPr="00A23740">
              <w:rPr>
                <w:rFonts w:eastAsia="Times New Roman"/>
                <w:b/>
                <w:bCs/>
                <w:color w:val="0000FF"/>
                <w:szCs w:val="24"/>
                <w:lang w:eastAsia="x-none"/>
              </w:rPr>
              <w:t xml:space="preserve">ve </w:t>
            </w:r>
            <w:r w:rsidRPr="00A23740">
              <w:rPr>
                <w:rFonts w:eastAsia="Times New Roman"/>
                <w:b/>
                <w:color w:val="0000FF"/>
                <w:szCs w:val="24"/>
                <w:lang w:eastAsia="tr-TR"/>
              </w:rPr>
              <w:t>alacaklılara</w:t>
            </w:r>
            <w:r w:rsidRPr="00A23740">
              <w:rPr>
                <w:rFonts w:eastAsia="Times New Roman"/>
                <w:szCs w:val="24"/>
                <w:lang w:eastAsia="tr-TR"/>
              </w:rPr>
              <w:t>,</w:t>
            </w:r>
          </w:p>
          <w:p w:rsidR="00A46C6E" w:rsidRPr="00A23740" w:rsidRDefault="00A46C6E" w:rsidP="009431FF">
            <w:pPr>
              <w:rPr>
                <w:rFonts w:eastAsia="Times New Roman"/>
                <w:b/>
                <w:color w:val="0000FF"/>
                <w:szCs w:val="24"/>
                <w:lang w:eastAsia="tr-TR"/>
              </w:rPr>
            </w:pPr>
            <w:r w:rsidRPr="00A23740">
              <w:rPr>
                <w:rFonts w:eastAsia="Times New Roman"/>
                <w:b/>
                <w:color w:val="0000FF"/>
                <w:szCs w:val="24"/>
                <w:lang w:eastAsia="tr-TR"/>
              </w:rPr>
              <w:t>ç) Satışı yapan yetkili makama bildirilmiş olmaları kaydıyla kanuni rehin hakkına sahip gemi alacaklılarına,</w:t>
            </w:r>
          </w:p>
          <w:p w:rsidR="00A46C6E" w:rsidRPr="00A23740" w:rsidRDefault="00A46C6E" w:rsidP="009431FF">
            <w:pPr>
              <w:rPr>
                <w:rFonts w:eastAsia="Times New Roman"/>
                <w:b/>
                <w:bCs/>
                <w:color w:val="0000CC"/>
                <w:szCs w:val="24"/>
                <w:shd w:val="clear" w:color="auto" w:fill="FDFDFD"/>
                <w:lang w:eastAsia="tr-TR"/>
              </w:rPr>
            </w:pPr>
            <w:r w:rsidRPr="00A23740">
              <w:rPr>
                <w:rFonts w:eastAsia="Times New Roman"/>
                <w:b/>
                <w:color w:val="0000FF"/>
                <w:szCs w:val="24"/>
                <w:lang w:eastAsia="tr-TR"/>
              </w:rPr>
              <w:t>iadeli taahhütlü mektupla ya da bildirimin muhataba ulaştığını</w:t>
            </w:r>
            <w:r w:rsidRPr="00A23740">
              <w:rPr>
                <w:rFonts w:eastAsia="Times New Roman"/>
                <w:b/>
                <w:bCs/>
                <w:color w:val="0000CC"/>
                <w:szCs w:val="24"/>
                <w:shd w:val="clear" w:color="auto" w:fill="FDFDFD"/>
                <w:lang w:eastAsia="tr-TR"/>
              </w:rPr>
              <w:t xml:space="preserve"> </w:t>
            </w:r>
            <w:r w:rsidRPr="00A23740">
              <w:rPr>
                <w:rFonts w:eastAsia="Times New Roman"/>
                <w:b/>
                <w:bCs/>
                <w:color w:val="0000FF"/>
                <w:szCs w:val="24"/>
                <w:lang w:eastAsia="tr-TR"/>
              </w:rPr>
              <w:t xml:space="preserve">doğrulayan elektronik iletişim yoluyla veya başkaca uygun bir araçla gönderilmek suretiyle yazılı şekilde bildirilmeli </w:t>
            </w:r>
            <w:r w:rsidRPr="00A23740">
              <w:rPr>
                <w:rFonts w:eastAsia="Times New Roman"/>
                <w:szCs w:val="24"/>
              </w:rPr>
              <w:t>ve Türkiye</w:t>
            </w:r>
            <w:r w:rsidRPr="00A23740">
              <w:rPr>
                <w:rFonts w:eastAsia="Times New Roman"/>
                <w:b/>
                <w:bCs/>
                <w:color w:val="0000FF"/>
                <w:szCs w:val="24"/>
                <w:lang w:eastAsia="tr-TR"/>
              </w:rPr>
              <w:t xml:space="preserve"> genelinde </w:t>
            </w:r>
            <w:r w:rsidRPr="00A23740">
              <w:rPr>
                <w:rFonts w:eastAsia="Times New Roman"/>
                <w:szCs w:val="24"/>
              </w:rPr>
              <w:t xml:space="preserve">dağıtımı yapılan gazetelerden </w:t>
            </w:r>
            <w:r w:rsidRPr="00A23740">
              <w:rPr>
                <w:rFonts w:eastAsia="Times New Roman"/>
                <w:b/>
                <w:bCs/>
                <w:color w:val="0000FF"/>
                <w:szCs w:val="24"/>
                <w:lang w:eastAsia="tr-TR"/>
              </w:rPr>
              <w:t>ilan talebi tarihi itibarıyla tirajı ellibinin üzerinde olanlardan birinde</w:t>
            </w:r>
            <w:r w:rsidR="00896D74" w:rsidRPr="00A23740">
              <w:rPr>
                <w:rFonts w:eastAsia="Times New Roman"/>
                <w:b/>
                <w:bCs/>
                <w:color w:val="0000FF"/>
                <w:szCs w:val="24"/>
                <w:lang w:eastAsia="tr-TR"/>
              </w:rPr>
              <w:t xml:space="preserve"> </w:t>
            </w:r>
            <w:r w:rsidR="00FB6566" w:rsidRPr="00A06203">
              <w:rPr>
                <w:rStyle w:val="YELChar"/>
                <w:color w:val="0000FF"/>
              </w:rPr>
              <w:t>ve Basın</w:t>
            </w:r>
            <w:r w:rsidR="00586558" w:rsidRPr="00A06203">
              <w:rPr>
                <w:rStyle w:val="YELChar"/>
                <w:color w:val="0000FF"/>
              </w:rPr>
              <w:t xml:space="preserve"> </w:t>
            </w:r>
            <w:r w:rsidR="00FB6566" w:rsidRPr="00A06203">
              <w:rPr>
                <w:rStyle w:val="YELChar"/>
                <w:color w:val="0000FF"/>
              </w:rPr>
              <w:t>-</w:t>
            </w:r>
            <w:r w:rsidR="00586558" w:rsidRPr="00A06203">
              <w:rPr>
                <w:rStyle w:val="YELChar"/>
                <w:color w:val="0000FF"/>
              </w:rPr>
              <w:t xml:space="preserve"> </w:t>
            </w:r>
            <w:r w:rsidR="00896D74" w:rsidRPr="00A06203">
              <w:rPr>
                <w:rStyle w:val="YELChar"/>
                <w:color w:val="0000FF"/>
              </w:rPr>
              <w:t>İlan Kurumunun resmî portalında</w:t>
            </w:r>
            <w:r w:rsidRPr="00A23740">
              <w:rPr>
                <w:rFonts w:eastAsia="Times New Roman"/>
                <w:b/>
                <w:bCs/>
                <w:color w:val="0000FF"/>
                <w:szCs w:val="24"/>
                <w:lang w:eastAsia="tr-TR"/>
              </w:rPr>
              <w:t xml:space="preserve"> </w:t>
            </w:r>
            <w:r w:rsidRPr="00A23740">
              <w:rPr>
                <w:rFonts w:eastAsia="Times New Roman"/>
                <w:szCs w:val="24"/>
              </w:rPr>
              <w:t>ilan</w:t>
            </w:r>
            <w:r w:rsidRPr="00A23740">
              <w:rPr>
                <w:rFonts w:eastAsia="Times New Roman"/>
                <w:b/>
                <w:bCs/>
                <w:color w:val="0000CC"/>
                <w:szCs w:val="24"/>
                <w:shd w:val="clear" w:color="auto" w:fill="FDFDFD"/>
                <w:lang w:eastAsia="tr-TR"/>
              </w:rPr>
              <w:t xml:space="preserve"> </w:t>
            </w:r>
            <w:r w:rsidRPr="00A23740">
              <w:rPr>
                <w:rFonts w:eastAsia="Times New Roman"/>
                <w:b/>
                <w:color w:val="0000FF"/>
                <w:szCs w:val="24"/>
                <w:lang w:eastAsia="tr-TR"/>
              </w:rPr>
              <w:t>olunmalıdır. Bu fıkranın (b), (c) ve (ç) bentlerinde belirtilen kişilere sicilde kayıtlı veya kendileri tarafından bildirilen adreslerine</w:t>
            </w:r>
            <w:r w:rsidR="0096478A" w:rsidRPr="00A23740">
              <w:rPr>
                <w:rFonts w:eastAsia="Times New Roman"/>
                <w:b/>
                <w:color w:val="0000FF"/>
                <w:szCs w:val="24"/>
                <w:lang w:eastAsia="tr-TR"/>
              </w:rPr>
              <w:t xml:space="preserve"> yazılı bildirim yapılamaması hâ</w:t>
            </w:r>
            <w:r w:rsidRPr="00A23740">
              <w:rPr>
                <w:rFonts w:eastAsia="Times New Roman"/>
                <w:b/>
                <w:color w:val="0000FF"/>
                <w:szCs w:val="24"/>
                <w:lang w:eastAsia="tr-TR"/>
              </w:rPr>
              <w:t xml:space="preserve">linde bu kişiler bakımından </w:t>
            </w:r>
            <w:r w:rsidRPr="00A06203">
              <w:rPr>
                <w:rFonts w:eastAsia="Times New Roman"/>
                <w:b/>
                <w:color w:val="0000FF"/>
                <w:szCs w:val="24"/>
                <w:lang w:eastAsia="tr-TR"/>
              </w:rPr>
              <w:t>gazetede yayımlanan</w:t>
            </w:r>
            <w:r w:rsidRPr="00A23740">
              <w:rPr>
                <w:rFonts w:eastAsia="Times New Roman"/>
                <w:b/>
                <w:color w:val="0000FF"/>
                <w:szCs w:val="24"/>
                <w:lang w:eastAsia="tr-TR"/>
              </w:rPr>
              <w:t xml:space="preserve"> ilan bil</w:t>
            </w:r>
            <w:r w:rsidRPr="00A23740">
              <w:rPr>
                <w:b/>
                <w:bCs/>
                <w:color w:val="0000FF"/>
                <w:lang w:val="x-none" w:eastAsia="x-none"/>
              </w:rPr>
              <w:t xml:space="preserve">dirim yerine geçer. </w:t>
            </w:r>
            <w:r w:rsidRPr="00A23740">
              <w:rPr>
                <w:b/>
                <w:bCs/>
                <w:color w:val="0000FF"/>
                <w:lang w:val="x-none" w:eastAsia="tr-TR"/>
              </w:rPr>
              <w:t>Satışı yapan yetkili makama kendilerini ve alacaklarını bildirmemiş olan kanuni rehin hakkı sahibi gemi alacaklıları bakımından da ilan bildirim hükmündedir.</w:t>
            </w:r>
          </w:p>
          <w:p w:rsidR="00A46C6E" w:rsidRPr="00A23740" w:rsidRDefault="00A46C6E" w:rsidP="009431FF">
            <w:pPr>
              <w:rPr>
                <w:rFonts w:eastAsia="Times New Roman"/>
                <w:b/>
                <w:bCs/>
                <w:color w:val="0000CC"/>
                <w:szCs w:val="24"/>
                <w:shd w:val="clear" w:color="auto" w:fill="FDFDFD"/>
                <w:lang w:eastAsia="tr-TR"/>
              </w:rPr>
            </w:pPr>
          </w:p>
          <w:p w:rsidR="00210441" w:rsidRPr="00A23740" w:rsidRDefault="00A46C6E" w:rsidP="009431FF">
            <w:pPr>
              <w:rPr>
                <w:rFonts w:eastAsia="Times New Roman"/>
                <w:b/>
                <w:color w:val="0000FF"/>
                <w:szCs w:val="24"/>
                <w:lang w:eastAsia="tr-TR"/>
              </w:rPr>
            </w:pPr>
            <w:r w:rsidRPr="00A23740">
              <w:rPr>
                <w:rFonts w:eastAsia="Times New Roman"/>
                <w:b/>
                <w:color w:val="0000FF"/>
                <w:szCs w:val="24"/>
                <w:lang w:eastAsia="tr-TR"/>
              </w:rPr>
              <w:t>(3)</w:t>
            </w:r>
            <w:r w:rsidRPr="00A23740">
              <w:rPr>
                <w:rFonts w:eastAsia="Times New Roman"/>
                <w:szCs w:val="24"/>
                <w:lang w:eastAsia="tr-TR"/>
              </w:rPr>
              <w:t xml:space="preserve"> Bu</w:t>
            </w:r>
            <w:r w:rsidRPr="00A23740">
              <w:rPr>
                <w:rFonts w:eastAsia="Times New Roman"/>
                <w:b/>
                <w:bCs/>
                <w:color w:val="0000CC"/>
                <w:szCs w:val="24"/>
                <w:shd w:val="clear" w:color="auto" w:fill="FDFDFD"/>
                <w:lang w:eastAsia="tr-TR"/>
              </w:rPr>
              <w:t xml:space="preserve"> </w:t>
            </w:r>
            <w:r w:rsidRPr="00A23740">
              <w:rPr>
                <w:rFonts w:eastAsia="Times New Roman"/>
                <w:b/>
                <w:color w:val="0000FF"/>
                <w:szCs w:val="24"/>
                <w:lang w:eastAsia="tr-TR"/>
              </w:rPr>
              <w:t>maddenin ikinci fıkrasına uygun şekilde</w:t>
            </w:r>
            <w:r w:rsidRPr="00A23740">
              <w:rPr>
                <w:rFonts w:eastAsia="Times New Roman"/>
                <w:b/>
                <w:bCs/>
                <w:color w:val="0000CC"/>
                <w:szCs w:val="24"/>
                <w:shd w:val="clear" w:color="auto" w:fill="FDFDFD"/>
                <w:lang w:eastAsia="tr-TR"/>
              </w:rPr>
              <w:t xml:space="preserve"> </w:t>
            </w:r>
            <w:r w:rsidRPr="00A23740">
              <w:rPr>
                <w:rFonts w:eastAsia="Times New Roman"/>
                <w:szCs w:val="24"/>
              </w:rPr>
              <w:t xml:space="preserve">bildirim </w:t>
            </w:r>
            <w:r w:rsidRPr="00A23740">
              <w:rPr>
                <w:rFonts w:eastAsia="Times New Roman"/>
                <w:b/>
                <w:color w:val="0000FF"/>
                <w:szCs w:val="24"/>
                <w:lang w:eastAsia="tr-TR"/>
              </w:rPr>
              <w:t>ve</w:t>
            </w:r>
            <w:r w:rsidRPr="00A23740">
              <w:rPr>
                <w:rFonts w:eastAsia="Times New Roman"/>
                <w:b/>
                <w:bCs/>
                <w:color w:val="0000CC"/>
                <w:szCs w:val="24"/>
                <w:shd w:val="clear" w:color="auto" w:fill="FDFDFD"/>
                <w:lang w:eastAsia="tr-TR"/>
              </w:rPr>
              <w:t xml:space="preserve"> </w:t>
            </w:r>
            <w:r w:rsidRPr="00A23740">
              <w:rPr>
                <w:rFonts w:eastAsia="Times New Roman"/>
                <w:szCs w:val="24"/>
                <w:lang w:eastAsia="tr-TR"/>
              </w:rPr>
              <w:t>ilan yapılmaksızın yurt dışında cebr</w:t>
            </w:r>
            <w:r w:rsidR="00896D74" w:rsidRPr="00A23740">
              <w:rPr>
                <w:rFonts w:eastAsia="Times New Roman"/>
                <w:szCs w:val="24"/>
                <w:lang w:eastAsia="tr-TR"/>
              </w:rPr>
              <w:t>î</w:t>
            </w:r>
            <w:r w:rsidRPr="00A23740">
              <w:rPr>
                <w:rFonts w:eastAsia="Times New Roman"/>
                <w:szCs w:val="24"/>
                <w:lang w:eastAsia="tr-TR"/>
              </w:rPr>
              <w:t xml:space="preserve"> icra yoluyla</w:t>
            </w:r>
            <w:r w:rsidRPr="00A23740">
              <w:rPr>
                <w:rFonts w:eastAsia="Times New Roman"/>
                <w:b/>
                <w:bCs/>
                <w:color w:val="0000CC"/>
                <w:szCs w:val="24"/>
                <w:shd w:val="clear" w:color="auto" w:fill="FDFDFD"/>
                <w:lang w:eastAsia="tr-TR"/>
              </w:rPr>
              <w:t xml:space="preserve"> </w:t>
            </w:r>
            <w:r w:rsidRPr="00A23740">
              <w:rPr>
                <w:rFonts w:eastAsia="Times New Roman"/>
                <w:b/>
                <w:color w:val="0000FF"/>
                <w:szCs w:val="24"/>
                <w:lang w:eastAsia="tr-TR"/>
              </w:rPr>
              <w:t xml:space="preserve">satılan geminin Türk gemi sicilindeki </w:t>
            </w:r>
            <w:r w:rsidRPr="00A23740">
              <w:rPr>
                <w:rFonts w:eastAsia="Times New Roman"/>
                <w:szCs w:val="24"/>
                <w:lang w:eastAsia="tr-TR"/>
              </w:rPr>
              <w:t>kaydı</w:t>
            </w:r>
            <w:r w:rsidRPr="00A23740">
              <w:rPr>
                <w:rFonts w:eastAsia="Times New Roman"/>
                <w:b/>
                <w:bCs/>
                <w:color w:val="0000CC"/>
                <w:szCs w:val="24"/>
                <w:shd w:val="clear" w:color="auto" w:fill="FDFDFD"/>
                <w:lang w:eastAsia="tr-TR"/>
              </w:rPr>
              <w:t xml:space="preserve"> </w:t>
            </w:r>
            <w:r w:rsidRPr="00A23740">
              <w:rPr>
                <w:rFonts w:eastAsia="Times New Roman"/>
                <w:b/>
                <w:color w:val="0000FF"/>
                <w:szCs w:val="24"/>
                <w:lang w:eastAsia="tr-TR"/>
              </w:rPr>
              <w:t>silinmez</w:t>
            </w:r>
            <w:r w:rsidRPr="00A23740">
              <w:rPr>
                <w:rFonts w:eastAsia="Times New Roman"/>
                <w:szCs w:val="24"/>
                <w:lang w:eastAsia="tr-TR"/>
              </w:rPr>
              <w:t xml:space="preserve"> ve</w:t>
            </w:r>
            <w:r w:rsidRPr="00A23740">
              <w:rPr>
                <w:rFonts w:eastAsia="Times New Roman"/>
                <w:b/>
                <w:bCs/>
                <w:color w:val="0000CC"/>
                <w:szCs w:val="24"/>
                <w:shd w:val="clear" w:color="auto" w:fill="FDFDFD"/>
                <w:lang w:eastAsia="tr-TR"/>
              </w:rPr>
              <w:t xml:space="preserve"> </w:t>
            </w:r>
            <w:r w:rsidRPr="00A23740">
              <w:rPr>
                <w:rFonts w:eastAsia="Times New Roman"/>
                <w:b/>
                <w:color w:val="0000FF"/>
                <w:szCs w:val="24"/>
                <w:lang w:eastAsia="tr-TR"/>
              </w:rPr>
              <w:t>sicile</w:t>
            </w:r>
            <w:r w:rsidRPr="00A23740">
              <w:rPr>
                <w:rFonts w:eastAsia="Times New Roman"/>
                <w:b/>
                <w:bCs/>
                <w:color w:val="0000CC"/>
                <w:szCs w:val="24"/>
                <w:shd w:val="clear" w:color="auto" w:fill="FDFDFD"/>
                <w:lang w:eastAsia="tr-TR"/>
              </w:rPr>
              <w:t xml:space="preserve"> </w:t>
            </w:r>
            <w:r w:rsidRPr="00A23740">
              <w:rPr>
                <w:rFonts w:eastAsia="Times New Roman"/>
                <w:szCs w:val="24"/>
              </w:rPr>
              <w:t>kayıtlı haklar</w:t>
            </w:r>
            <w:r w:rsidRPr="00A23740">
              <w:rPr>
                <w:rFonts w:eastAsia="Times New Roman"/>
                <w:b/>
                <w:bCs/>
                <w:color w:val="0000CC"/>
                <w:szCs w:val="24"/>
                <w:shd w:val="clear" w:color="auto" w:fill="FDFDFD"/>
                <w:lang w:eastAsia="tr-TR"/>
              </w:rPr>
              <w:t xml:space="preserve"> </w:t>
            </w:r>
            <w:r w:rsidRPr="00A23740">
              <w:rPr>
                <w:rFonts w:eastAsia="Times New Roman"/>
                <w:b/>
                <w:color w:val="0000FF"/>
                <w:szCs w:val="24"/>
                <w:lang w:eastAsia="tr-TR"/>
              </w:rPr>
              <w:t xml:space="preserve">ile gemi </w:t>
            </w:r>
            <w:r w:rsidRPr="00A06203">
              <w:rPr>
                <w:rFonts w:eastAsia="Times New Roman"/>
                <w:b/>
                <w:color w:val="0000FF"/>
                <w:szCs w:val="24"/>
                <w:lang w:eastAsia="tr-TR"/>
              </w:rPr>
              <w:t>alacaklısı hakları</w:t>
            </w:r>
            <w:r w:rsidRPr="00A23740">
              <w:rPr>
                <w:rFonts w:eastAsia="Times New Roman"/>
                <w:b/>
                <w:color w:val="0000FF"/>
                <w:szCs w:val="24"/>
                <w:lang w:eastAsia="tr-TR"/>
              </w:rPr>
              <w:t xml:space="preserve"> sona ermez.</w:t>
            </w:r>
          </w:p>
          <w:p w:rsidR="00A46C6E" w:rsidRPr="00A23740" w:rsidRDefault="00A46C6E" w:rsidP="009431FF">
            <w:pPr>
              <w:pStyle w:val="KIRMIZI"/>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06203" w:rsidRDefault="00A46C6E" w:rsidP="009431FF">
            <w:pPr>
              <w:rPr>
                <w:rFonts w:eastAsia="Times New Roman"/>
                <w:bCs/>
                <w:szCs w:val="24"/>
              </w:rPr>
            </w:pPr>
            <w:bookmarkStart w:id="5" w:name="_Hlk134298034"/>
          </w:p>
          <w:p w:rsidR="00A46C6E" w:rsidRPr="00A06203" w:rsidRDefault="003B700B" w:rsidP="009431FF">
            <w:pPr>
              <w:ind w:firstLine="567"/>
              <w:rPr>
                <w:rFonts w:eastAsia="Times New Roman"/>
                <w:bCs/>
                <w:szCs w:val="24"/>
              </w:rPr>
            </w:pPr>
            <w:r w:rsidRPr="00A06203">
              <w:rPr>
                <w:rFonts w:eastAsia="Times New Roman"/>
                <w:b/>
                <w:szCs w:val="24"/>
              </w:rPr>
              <w:t>MADDE 465</w:t>
            </w:r>
            <w:r w:rsidR="00A46C6E" w:rsidRPr="00A06203">
              <w:rPr>
                <w:rFonts w:eastAsia="Times New Roman"/>
                <w:b/>
                <w:szCs w:val="24"/>
              </w:rPr>
              <w:t xml:space="preserve">- </w:t>
            </w:r>
            <w:r w:rsidR="00A46C6E" w:rsidRPr="00A06203">
              <w:rPr>
                <w:rFonts w:eastAsia="Times New Roman"/>
                <w:szCs w:val="24"/>
              </w:rPr>
              <w:t>6102 sayılı Kanunun 1350 nci maddesine tekabül eden bu maddeyle</w:t>
            </w:r>
            <w:r w:rsidR="00881549" w:rsidRPr="00A06203">
              <w:rPr>
                <w:rFonts w:eastAsia="Times New Roman"/>
                <w:szCs w:val="24"/>
              </w:rPr>
              <w:t>,</w:t>
            </w:r>
            <w:r w:rsidR="00A46C6E" w:rsidRPr="00A06203">
              <w:rPr>
                <w:rFonts w:eastAsia="Times New Roman"/>
                <w:szCs w:val="24"/>
              </w:rPr>
              <w:t xml:space="preserve"> bir geminin ihtiyati veya kesin haczi ile cebr</w:t>
            </w:r>
            <w:r w:rsidR="00436506" w:rsidRPr="00A06203">
              <w:rPr>
                <w:rFonts w:eastAsia="Times New Roman"/>
                <w:szCs w:val="24"/>
              </w:rPr>
              <w:t>î</w:t>
            </w:r>
            <w:r w:rsidR="00A46C6E" w:rsidRPr="00A06203">
              <w:rPr>
                <w:rFonts w:eastAsia="Times New Roman"/>
                <w:szCs w:val="24"/>
              </w:rPr>
              <w:t xml:space="preserve"> icra yoluyla satışına uygulanacak hukuk ve bir Türk gemi sicilinde kayıtlı olup da yurt dışında cebr</w:t>
            </w:r>
            <w:r w:rsidR="00436506" w:rsidRPr="00A06203">
              <w:rPr>
                <w:rFonts w:eastAsia="Times New Roman"/>
                <w:szCs w:val="24"/>
              </w:rPr>
              <w:t>î</w:t>
            </w:r>
            <w:r w:rsidR="00A46C6E" w:rsidRPr="00A06203">
              <w:rPr>
                <w:rFonts w:eastAsia="Times New Roman"/>
                <w:szCs w:val="24"/>
              </w:rPr>
              <w:t xml:space="preserve"> icra yoluyla satılan gemilerin kayıtlı olduğu sicilden terkin edilmesi koşulları düzenlenmektedir</w:t>
            </w:r>
            <w:r w:rsidR="00A46C6E" w:rsidRPr="00A06203">
              <w:rPr>
                <w:b/>
                <w:bCs/>
              </w:rPr>
              <w:t>.</w:t>
            </w:r>
            <w:r w:rsidR="00A46C6E" w:rsidRPr="00A06203">
              <w:rPr>
                <w:rFonts w:eastAsia="Times New Roman"/>
                <w:bCs/>
                <w:szCs w:val="24"/>
              </w:rPr>
              <w:t xml:space="preserve"> </w:t>
            </w:r>
          </w:p>
          <w:p w:rsidR="00A46C6E" w:rsidRPr="00A06203" w:rsidRDefault="00A46C6E" w:rsidP="009431FF">
            <w:pPr>
              <w:ind w:firstLine="567"/>
              <w:rPr>
                <w:rFonts w:eastAsia="Times New Roman"/>
                <w:szCs w:val="24"/>
              </w:rPr>
            </w:pPr>
            <w:r w:rsidRPr="00A06203">
              <w:rPr>
                <w:rFonts w:eastAsia="Times New Roman"/>
                <w:szCs w:val="24"/>
              </w:rPr>
              <w:t>Maddenin birinci fıkrasının birinci cümlesi, (</w:t>
            </w:r>
            <w:r w:rsidRPr="00A06203">
              <w:rPr>
                <w:rFonts w:eastAsia="Times New Roman"/>
                <w:bCs/>
                <w:szCs w:val="24"/>
              </w:rPr>
              <w:t xml:space="preserve">Türkiye’nin katılmayı uygun bulduğu, fakat katılma işlemleri tamamlanmadığı için henüz Türkiye açısından yürürlüğe girmemiş olan) </w:t>
            </w:r>
            <w:r w:rsidRPr="00A06203">
              <w:rPr>
                <w:rFonts w:eastAsia="Times New Roman"/>
                <w:szCs w:val="24"/>
              </w:rPr>
              <w:t xml:space="preserve">1993 Gemi Alacaklısı Haklarına ve Gemi İpoteklerine İlişkin Milletlerarası Sözleşme’nin (International Convention on Maritime Liens and Mortgages, 1993 – kısaca “1993 </w:t>
            </w:r>
            <w:r w:rsidR="006B7F0D" w:rsidRPr="00A06203">
              <w:rPr>
                <w:rFonts w:eastAsia="Times New Roman"/>
                <w:szCs w:val="24"/>
              </w:rPr>
              <w:t>tarihli Milletlerarası Sözleşme</w:t>
            </w:r>
            <w:r w:rsidRPr="00A06203">
              <w:rPr>
                <w:rFonts w:eastAsia="Times New Roman"/>
                <w:szCs w:val="24"/>
              </w:rPr>
              <w:t>”) 2 nci maddesinde yer alan “… işbu Sözleşme hükümleri saklı kalmak kaydıyla cebr</w:t>
            </w:r>
            <w:r w:rsidR="00436506" w:rsidRPr="00A06203">
              <w:rPr>
                <w:rFonts w:eastAsia="Times New Roman"/>
                <w:szCs w:val="24"/>
              </w:rPr>
              <w:t>î</w:t>
            </w:r>
            <w:r w:rsidRPr="00A06203">
              <w:rPr>
                <w:rFonts w:eastAsia="Times New Roman"/>
                <w:szCs w:val="24"/>
              </w:rPr>
              <w:t xml:space="preserve"> icra işlemlerine ilişkin bütün hususlar cebr</w:t>
            </w:r>
            <w:r w:rsidR="00436506" w:rsidRPr="00A06203">
              <w:rPr>
                <w:rFonts w:eastAsia="Times New Roman"/>
                <w:szCs w:val="24"/>
              </w:rPr>
              <w:t>î</w:t>
            </w:r>
            <w:r w:rsidRPr="00A06203">
              <w:rPr>
                <w:rFonts w:eastAsia="Times New Roman"/>
                <w:szCs w:val="24"/>
              </w:rPr>
              <w:t xml:space="preserve"> icranın gerçekleştiği Devletin hukukuna tâbi olacaktır.” hükmüne uygun olması sebebiyle 6102 sayılı Kanunun 1350 nci maddesinin birinci cümlesinden, bu cümlede yer alan “icraen haciz” ibaresi “kesin olarak haczi” şeklinde değiştirilerek alınmıştır. Maddenin ikinci fıkrasında bir Türk gemi sicilinde kayıtlı geminin yurt dışında cebrî icra yoluyla satışının, üçüncü fıkrada belirtilen “sicil kaydının silinmesi ile gemi üzerindeki tüm hak ve yükümlülüklerin sona ermesi” sonucunu doğurması koşulu düzenlenmiş olup, maddenin birinci fıkrasının birinci cümlesinde ifade edilen esas, ikinci ve üçüncü fıkra hükümleri saklı kalmak kaydıyla benimsenmiştir. Bu nedenle birinci fıkranın birinci cümlesinden sonra “</w:t>
            </w:r>
            <w:r w:rsidRPr="00A06203">
              <w:rPr>
                <w:rFonts w:eastAsia="Times New Roman"/>
                <w:iCs/>
                <w:szCs w:val="24"/>
              </w:rPr>
              <w:t>Bu maddenin ikinci ve üçüncü fıkrası hükümleri saklıdır.</w:t>
            </w:r>
            <w:r w:rsidRPr="00A06203">
              <w:rPr>
                <w:rFonts w:eastAsia="Times New Roman"/>
                <w:szCs w:val="24"/>
              </w:rPr>
              <w:t xml:space="preserve">” şeklinde ikinci cümleye yer verilmesi gerekmiştir. </w:t>
            </w:r>
          </w:p>
          <w:p w:rsidR="00A46C6E" w:rsidRPr="00A06203" w:rsidRDefault="00A46C6E" w:rsidP="009431FF">
            <w:pPr>
              <w:ind w:firstLine="567"/>
              <w:rPr>
                <w:rFonts w:eastAsia="Times New Roman"/>
                <w:szCs w:val="24"/>
              </w:rPr>
            </w:pPr>
            <w:bookmarkStart w:id="6" w:name="_Hlk141939173"/>
            <w:r w:rsidRPr="00A06203">
              <w:rPr>
                <w:rFonts w:eastAsia="Times New Roman"/>
                <w:szCs w:val="24"/>
              </w:rPr>
              <w:t xml:space="preserve">1993 </w:t>
            </w:r>
            <w:r w:rsidR="006B7F0D" w:rsidRPr="00A06203">
              <w:rPr>
                <w:rFonts w:eastAsia="Times New Roman"/>
                <w:szCs w:val="24"/>
              </w:rPr>
              <w:t>tarihli</w:t>
            </w:r>
            <w:r w:rsidR="006B7F0D" w:rsidRPr="00A06203">
              <w:rPr>
                <w:rFonts w:eastAsia="Times New Roman"/>
                <w:b/>
                <w:bCs/>
                <w:szCs w:val="24"/>
              </w:rPr>
              <w:t xml:space="preserve"> </w:t>
            </w:r>
            <w:r w:rsidR="00B569B2">
              <w:rPr>
                <w:rFonts w:eastAsia="Times New Roman"/>
                <w:szCs w:val="24"/>
              </w:rPr>
              <w:t>Milletlerarası Sözleşmenin</w:t>
            </w:r>
            <w:r w:rsidRPr="00A06203">
              <w:rPr>
                <w:rFonts w:eastAsia="Times New Roman"/>
                <w:szCs w:val="24"/>
              </w:rPr>
              <w:t xml:space="preserve"> 11 inci maddesinde “</w:t>
            </w:r>
            <w:r w:rsidRPr="00A06203">
              <w:rPr>
                <w:rFonts w:eastAsia="Times New Roman"/>
                <w:iCs/>
                <w:szCs w:val="24"/>
              </w:rPr>
              <w:t>cebr</w:t>
            </w:r>
            <w:r w:rsidR="00436506" w:rsidRPr="00A06203">
              <w:rPr>
                <w:rFonts w:eastAsia="Times New Roman"/>
                <w:iCs/>
                <w:szCs w:val="24"/>
              </w:rPr>
              <w:t>î</w:t>
            </w:r>
            <w:r w:rsidRPr="00A06203">
              <w:rPr>
                <w:rFonts w:eastAsia="Times New Roman"/>
                <w:iCs/>
                <w:szCs w:val="24"/>
              </w:rPr>
              <w:t xml:space="preserve"> satış bildirimi</w:t>
            </w:r>
            <w:r w:rsidRPr="00A06203">
              <w:rPr>
                <w:rFonts w:eastAsia="Times New Roman"/>
                <w:szCs w:val="24"/>
              </w:rPr>
              <w:t>” düzenlenmiş; “</w:t>
            </w:r>
            <w:r w:rsidRPr="00A06203">
              <w:rPr>
                <w:rFonts w:eastAsia="Times New Roman"/>
                <w:iCs/>
                <w:szCs w:val="24"/>
              </w:rPr>
              <w:t>satışın etkileri</w:t>
            </w:r>
            <w:r w:rsidRPr="00A06203">
              <w:rPr>
                <w:rFonts w:eastAsia="Times New Roman"/>
                <w:szCs w:val="24"/>
              </w:rPr>
              <w:t xml:space="preserve">” başlıklı 12 nci maddesinin birinci fıkrasında ise cebrî icra yoluyla satış sonucu gemi üzerindeki mülkiyet, sicile kayıtlı olmayanlar dâhil tüm rehin hakları ve yükümlülüklerin sona ermesi koşulları hüküm altına alınmıştır. 1993 </w:t>
            </w:r>
            <w:r w:rsidR="006B7F0D" w:rsidRPr="00A06203">
              <w:rPr>
                <w:rFonts w:eastAsia="Times New Roman"/>
                <w:szCs w:val="24"/>
              </w:rPr>
              <w:t>tar</w:t>
            </w:r>
            <w:r w:rsidR="00B569B2">
              <w:rPr>
                <w:rFonts w:eastAsia="Times New Roman"/>
                <w:szCs w:val="24"/>
              </w:rPr>
              <w:t>ihli Milletlerarası Sözleşmenin</w:t>
            </w:r>
            <w:r w:rsidRPr="00A06203">
              <w:rPr>
                <w:rFonts w:eastAsia="Times New Roman"/>
                <w:szCs w:val="24"/>
              </w:rPr>
              <w:t xml:space="preserve"> 12 nci maddesinin birinci fıkrasının (b) bendi gereğince cebrî satışın, satışın gerçekleştiği taraf devlet hukuku yanında 11 inci ve 12 nci madde hükümlerine uygun olarak yapılmış olması şarttır. </w:t>
            </w:r>
            <w:bookmarkEnd w:id="6"/>
            <w:r w:rsidRPr="00A06203">
              <w:rPr>
                <w:rFonts w:eastAsia="Times New Roman"/>
                <w:szCs w:val="24"/>
              </w:rPr>
              <w:t xml:space="preserve">Buna göre bir Türk gemi sicilinde kayıtlı geminin cebrî icra yoluyla satışının gerçekleştiği devlet 1993 </w:t>
            </w:r>
            <w:r w:rsidR="006B7F0D" w:rsidRPr="00A06203">
              <w:rPr>
                <w:rFonts w:eastAsia="Times New Roman"/>
                <w:szCs w:val="24"/>
              </w:rPr>
              <w:t>tarihli</w:t>
            </w:r>
            <w:r w:rsidR="006B7F0D" w:rsidRPr="00A06203">
              <w:rPr>
                <w:rStyle w:val="KonuBalChar"/>
                <w:rFonts w:eastAsia="Calibri"/>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B569B2">
              <w:rPr>
                <w:rFonts w:eastAsia="Times New Roman"/>
                <w:szCs w:val="24"/>
              </w:rPr>
              <w:t>Sözleşmeye</w:t>
            </w:r>
            <w:r w:rsidRPr="00A06203">
              <w:rPr>
                <w:rFonts w:eastAsia="Times New Roman"/>
                <w:szCs w:val="24"/>
              </w:rPr>
              <w:t xml:space="preserve"> taraf ise, bu devletin iç hukukunda 11 inci madde ile aynı içerikte bir düzenleme bulunmasa dahi 11 inci maddeye uygun şekilde cebrî satışın yazılı olarak bildirilmesi ve (cebr</w:t>
            </w:r>
            <w:r w:rsidR="00436506" w:rsidRPr="00A06203">
              <w:rPr>
                <w:rFonts w:eastAsia="Times New Roman"/>
                <w:szCs w:val="24"/>
              </w:rPr>
              <w:t>î</w:t>
            </w:r>
            <w:r w:rsidRPr="00A06203">
              <w:rPr>
                <w:rFonts w:eastAsia="Times New Roman"/>
                <w:szCs w:val="24"/>
              </w:rPr>
              <w:t xml:space="preserve"> icra satışını gerçekleştiği devlette) basın yoluyla ilan edilmesi gerekmektedir. Buna karşılık cebrî icranın gerçekleştiği devlet 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Sözleşmeye </w:t>
            </w:r>
            <w:r w:rsidRPr="00A06203">
              <w:rPr>
                <w:rFonts w:eastAsia="Times New Roman"/>
                <w:szCs w:val="24"/>
              </w:rPr>
              <w:t>taraf değilse ve iç hukukunda 11 inci madde ile aynı içerikte bir düzenleme mevcut değilse, Taslağın bu maddesinin birinci fıkrasının birinci cümlesi (</w:t>
            </w:r>
            <w:r w:rsidRPr="00A06203">
              <w:rPr>
                <w:rFonts w:eastAsia="Times New Roman"/>
                <w:bCs/>
                <w:szCs w:val="24"/>
              </w:rPr>
              <w:t>6102 sayılı Kanunun</w:t>
            </w:r>
            <w:r w:rsidRPr="00A06203">
              <w:rPr>
                <w:rFonts w:eastAsia="Times New Roman"/>
                <w:szCs w:val="24"/>
              </w:rPr>
              <w:t xml:space="preserve"> 1350 nci maddesinin birinci cümlesi) uyarınca 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Sözleşmenin </w:t>
            </w:r>
            <w:r w:rsidRPr="00A06203">
              <w:rPr>
                <w:rFonts w:eastAsia="Times New Roman"/>
                <w:szCs w:val="24"/>
              </w:rPr>
              <w:t xml:space="preserve">11 inci maddesinde öngörülen cebrî satışa ilişkin yazılı bildirim ve basın yoluyla ilanın yapılması gerektiğinden söz edilemeyecektir. Ancak bir Türk gemi sicilinde kayıtlı geminin 1993 </w:t>
            </w:r>
            <w:r w:rsidR="006B7F0D" w:rsidRPr="00A06203">
              <w:rPr>
                <w:rFonts w:eastAsia="Times New Roman"/>
                <w:szCs w:val="24"/>
              </w:rPr>
              <w:t>tarihli</w:t>
            </w:r>
            <w:r w:rsidR="006B7F0D" w:rsidRPr="00A06203">
              <w:rPr>
                <w:rStyle w:val="KonuBalChar"/>
                <w:rFonts w:eastAsia="Calibri"/>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Sözleşmeye </w:t>
            </w:r>
            <w:r w:rsidRPr="00A06203">
              <w:rPr>
                <w:rFonts w:eastAsia="Times New Roman"/>
                <w:szCs w:val="24"/>
              </w:rPr>
              <w:t>taraf olmayan bir devlette cebrî icra</w:t>
            </w:r>
            <w:r w:rsidR="009F33EC" w:rsidRPr="00A06203">
              <w:rPr>
                <w:rFonts w:eastAsia="Times New Roman"/>
                <w:szCs w:val="24"/>
              </w:rPr>
              <w:t xml:space="preserve"> yoluyla satılması durumunda da</w:t>
            </w:r>
            <w:r w:rsidRPr="00A06203">
              <w:rPr>
                <w:rFonts w:eastAsia="Times New Roman"/>
                <w:szCs w:val="24"/>
              </w:rPr>
              <w:t xml:space="preserve"> sicile kayıtlı tüm hak sahipleri ile gemi alacaklılarının </w:t>
            </w:r>
            <w:r w:rsidRPr="00A06203">
              <w:rPr>
                <w:rFonts w:eastAsia="Times New Roman"/>
                <w:bCs/>
                <w:szCs w:val="24"/>
              </w:rPr>
              <w:t xml:space="preserve">haklarını koruyabilmeleri ve elde edebilmeleri açısından </w:t>
            </w:r>
            <w:r w:rsidRPr="00A06203">
              <w:rPr>
                <w:rFonts w:eastAsia="Times New Roman"/>
                <w:szCs w:val="24"/>
              </w:rPr>
              <w:t xml:space="preserve">bu kişilerin </w:t>
            </w:r>
            <w:r w:rsidRPr="00A06203">
              <w:rPr>
                <w:rFonts w:eastAsia="Times New Roman"/>
                <w:bCs/>
                <w:szCs w:val="24"/>
              </w:rPr>
              <w:t xml:space="preserve">geminin yurt dışında cebrî icra yoluyla satılacağından haberdâr olmaları </w:t>
            </w:r>
            <w:r w:rsidRPr="00A06203">
              <w:rPr>
                <w:rFonts w:eastAsia="Times New Roman"/>
                <w:szCs w:val="24"/>
              </w:rPr>
              <w:t xml:space="preserve">gerekli ve önemlidir. Dolayısıyla da yazılı bildirim ve basın yoluyla ilan yapılmasının, cebrî icra yoluyla satışın gerçekleştiği devletin 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Sözleşmeye </w:t>
            </w:r>
            <w:r w:rsidRPr="00A06203">
              <w:rPr>
                <w:rFonts w:eastAsia="Times New Roman"/>
                <w:szCs w:val="24"/>
              </w:rPr>
              <w:t>taraf olup olmamasına göre değişkenlik göstermesine imkân verilmemesi gerektiği gibi, bir Türk gemi sicilinde kayıtlı geminin yurt dışında cebr</w:t>
            </w:r>
            <w:r w:rsidR="00436506" w:rsidRPr="00A06203">
              <w:rPr>
                <w:rFonts w:eastAsia="Times New Roman"/>
                <w:szCs w:val="24"/>
              </w:rPr>
              <w:t>î</w:t>
            </w:r>
            <w:r w:rsidRPr="00A06203">
              <w:rPr>
                <w:rFonts w:eastAsia="Times New Roman"/>
                <w:szCs w:val="24"/>
              </w:rPr>
              <w:t xml:space="preserve"> icra yoluyla satışında yazılı bildirim yanında (1993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Sözleşmeden </w:t>
            </w:r>
            <w:r w:rsidRPr="00A06203">
              <w:rPr>
                <w:rFonts w:eastAsia="Times New Roman"/>
                <w:szCs w:val="24"/>
              </w:rPr>
              <w:t xml:space="preserve">farklı olarak) Türkiye’de ilan yapılması şartı getirilmesi de gerekli ve isabetlidir. Bu nedenle </w:t>
            </w:r>
            <w:r w:rsidRPr="00A06203">
              <w:rPr>
                <w:rFonts w:eastAsia="Times New Roman"/>
                <w:bCs/>
                <w:szCs w:val="24"/>
              </w:rPr>
              <w:t>6102 sayılı Kanunun 1350 nci maddesinin ikinci cümlesi,</w:t>
            </w:r>
            <w:r w:rsidRPr="00A06203">
              <w:rPr>
                <w:rFonts w:eastAsia="Times New Roman"/>
                <w:szCs w:val="24"/>
              </w:rPr>
              <w:t xml:space="preserve"> </w:t>
            </w:r>
            <w:r w:rsidRPr="00A06203">
              <w:rPr>
                <w:rFonts w:eastAsia="Times New Roman"/>
                <w:bCs/>
                <w:szCs w:val="24"/>
              </w:rPr>
              <w:t xml:space="preserve">Taslağın bu maddesinin ikinci fıkrasına alınırken, bu cümlede </w:t>
            </w:r>
            <w:r w:rsidRPr="00A06203">
              <w:rPr>
                <w:rFonts w:eastAsia="Times New Roman"/>
                <w:szCs w:val="24"/>
              </w:rPr>
              <w:t xml:space="preserve">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Sözleşmenin </w:t>
            </w:r>
            <w:r w:rsidRPr="00A06203">
              <w:rPr>
                <w:rFonts w:eastAsia="Times New Roman"/>
                <w:szCs w:val="24"/>
              </w:rPr>
              <w:t xml:space="preserve">11 inci maddesi dikkate alınarak bazı ifade ve içerik değişikliklerinin yapılması zorunlu </w:t>
            </w:r>
            <w:r w:rsidRPr="00A06203">
              <w:rPr>
                <w:rFonts w:eastAsia="Times New Roman"/>
                <w:bCs/>
                <w:szCs w:val="24"/>
              </w:rPr>
              <w:t>görülmüştür.</w:t>
            </w:r>
            <w:r w:rsidRPr="00A06203">
              <w:rPr>
                <w:rFonts w:eastAsia="Times New Roman"/>
                <w:szCs w:val="24"/>
              </w:rPr>
              <w:t xml:space="preserve"> Şöyle ki: </w:t>
            </w:r>
          </w:p>
          <w:p w:rsidR="00A46C6E" w:rsidRPr="00A06203" w:rsidRDefault="00A46C6E" w:rsidP="009431FF">
            <w:pPr>
              <w:ind w:firstLine="567"/>
              <w:rPr>
                <w:rFonts w:eastAsia="Times New Roman"/>
                <w:szCs w:val="24"/>
              </w:rPr>
            </w:pPr>
            <w:r w:rsidRPr="00A06203">
              <w:rPr>
                <w:rFonts w:eastAsia="Times New Roman"/>
                <w:bCs/>
                <w:szCs w:val="24"/>
              </w:rPr>
              <w:t xml:space="preserve">6102 sayılı Kanunun </w:t>
            </w:r>
            <w:r w:rsidRPr="00A06203">
              <w:rPr>
                <w:rFonts w:eastAsia="Times New Roman"/>
                <w:szCs w:val="24"/>
              </w:rPr>
              <w:t xml:space="preserve">1350 inci maddesinin ikinci ve üçüncü cümlelerinde bir Türk gemi sicilinde kayıtlı geminin yurt dışında cebrî icra yoluyla satışı ve satışın sonucu hakkında düzenleme getirildiği açıktır. Bununla birlikte, ikinci cümlede yer alan “… </w:t>
            </w:r>
            <w:r w:rsidRPr="00A06203">
              <w:rPr>
                <w:rFonts w:eastAsia="Times New Roman"/>
                <w:iCs/>
                <w:szCs w:val="24"/>
              </w:rPr>
              <w:t xml:space="preserve">Türk bayraklı bir geminin </w:t>
            </w:r>
            <w:r w:rsidRPr="00A06203">
              <w:rPr>
                <w:rFonts w:eastAsia="Times New Roman"/>
                <w:szCs w:val="24"/>
              </w:rPr>
              <w:t xml:space="preserve">…” ibaresi, </w:t>
            </w:r>
            <w:r w:rsidRPr="00A06203">
              <w:rPr>
                <w:rFonts w:eastAsia="Times New Roman"/>
                <w:bCs/>
                <w:szCs w:val="24"/>
              </w:rPr>
              <w:t xml:space="preserve">6102 sayılı Kanunun </w:t>
            </w:r>
            <w:r w:rsidRPr="00A06203">
              <w:rPr>
                <w:rFonts w:eastAsia="Times New Roman"/>
                <w:szCs w:val="24"/>
              </w:rPr>
              <w:t>941 inci maddesinin ikinci fıkrası uyarınca izinle Türk bayrağı çeken gemileri de kapsadığı şeklinde yanlış anlaşılmaya elverişli olduğu; ayrıca bir Türk gemi sicilinde kayıtlı olmayan (Bağlama Kütüğünde kayıtlı) Türk gemilerini de kapsadığı; Bağlama Kütüğünün sicil niteliğinde olmadığı dikkate alınarak “</w:t>
            </w:r>
            <w:r w:rsidRPr="00A06203">
              <w:rPr>
                <w:rFonts w:eastAsia="Times New Roman"/>
                <w:iCs/>
                <w:szCs w:val="24"/>
              </w:rPr>
              <w:t>…</w:t>
            </w:r>
            <w:r w:rsidRPr="00A06203">
              <w:rPr>
                <w:rFonts w:eastAsia="Times New Roman"/>
                <w:szCs w:val="24"/>
              </w:rPr>
              <w:t xml:space="preserve"> </w:t>
            </w:r>
            <w:r w:rsidRPr="00A06203">
              <w:rPr>
                <w:rFonts w:eastAsia="Times New Roman"/>
                <w:iCs/>
                <w:szCs w:val="24"/>
              </w:rPr>
              <w:t>Türk bayraklı bir geminin</w:t>
            </w:r>
            <w:r w:rsidRPr="00A06203">
              <w:rPr>
                <w:rFonts w:eastAsia="Times New Roman"/>
                <w:szCs w:val="24"/>
              </w:rPr>
              <w:t xml:space="preserve"> …” ibaresi, “</w:t>
            </w:r>
            <w:r w:rsidRPr="00A06203">
              <w:rPr>
                <w:rFonts w:eastAsia="Times New Roman"/>
                <w:iCs/>
                <w:szCs w:val="24"/>
              </w:rPr>
              <w:t>Bir Türk gemi sicilinde kayıtlı geminin</w:t>
            </w:r>
            <w:r w:rsidRPr="00A06203">
              <w:rPr>
                <w:rFonts w:eastAsia="Times New Roman"/>
                <w:szCs w:val="24"/>
              </w:rPr>
              <w:t xml:space="preserve"> …” şeklinde değiştirilmiştir. Bu madde anlamında “bir Türk gemi sicili”, </w:t>
            </w:r>
            <w:r w:rsidRPr="00A06203">
              <w:rPr>
                <w:rFonts w:eastAsia="Times New Roman"/>
                <w:bCs/>
                <w:szCs w:val="24"/>
              </w:rPr>
              <w:t xml:space="preserve">6102 sayılı Kanunda </w:t>
            </w:r>
            <w:r w:rsidRPr="00A06203">
              <w:rPr>
                <w:rFonts w:eastAsia="Times New Roman"/>
                <w:szCs w:val="24"/>
              </w:rPr>
              <w:t xml:space="preserve">düzenlenen gemi sicilleri (Milli Gemi Sicili ile Yapı Sicilini) ve Türk Uluslararası Gemi Sicili Kanunu ile düzenlenen Türk Uluslararası Gemi Sicili’ni ifade eder. </w:t>
            </w:r>
          </w:p>
          <w:p w:rsidR="00A46C6E" w:rsidRPr="00A06203" w:rsidRDefault="00A46C6E" w:rsidP="009431FF">
            <w:pPr>
              <w:ind w:firstLine="567"/>
              <w:rPr>
                <w:rFonts w:eastAsia="Times New Roman"/>
                <w:szCs w:val="24"/>
              </w:rPr>
            </w:pPr>
            <w:r w:rsidRPr="00A06203">
              <w:rPr>
                <w:rFonts w:eastAsia="Times New Roman"/>
                <w:bCs/>
                <w:szCs w:val="24"/>
              </w:rPr>
              <w:t>6102 sayılı Kanunun</w:t>
            </w:r>
            <w:r w:rsidRPr="00A06203">
              <w:rPr>
                <w:rFonts w:eastAsia="Times New Roman"/>
                <w:szCs w:val="24"/>
              </w:rPr>
              <w:t xml:space="preserve"> 1350 nci maddesinin ikinci cümlesinde yer alan “… </w:t>
            </w:r>
            <w:r w:rsidRPr="00A06203">
              <w:rPr>
                <w:rFonts w:eastAsia="Times New Roman"/>
                <w:iCs/>
                <w:szCs w:val="24"/>
              </w:rPr>
              <w:t>artırmayı yapan kurum</w:t>
            </w:r>
            <w:r w:rsidRPr="00A06203">
              <w:rPr>
                <w:rFonts w:eastAsia="Times New Roman"/>
                <w:szCs w:val="24"/>
              </w:rPr>
              <w:t xml:space="preserve"> …” ibaresi ile satışı yapan yetkili makamın kastedilmiş olması gerektiğinden ve 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Sözleşmenin </w:t>
            </w:r>
            <w:r w:rsidRPr="00A06203">
              <w:rPr>
                <w:rFonts w:eastAsia="Times New Roman"/>
                <w:szCs w:val="24"/>
              </w:rPr>
              <w:t>11 inci maddesinde de “</w:t>
            </w:r>
            <w:r w:rsidRPr="00A06203">
              <w:rPr>
                <w:rFonts w:eastAsia="Times New Roman"/>
                <w:iCs/>
                <w:szCs w:val="24"/>
              </w:rPr>
              <w:t>yetkili makam</w:t>
            </w:r>
            <w:r w:rsidRPr="00A06203">
              <w:rPr>
                <w:rFonts w:eastAsia="Times New Roman"/>
                <w:szCs w:val="24"/>
              </w:rPr>
              <w:t xml:space="preserve">” (competent authority) denildiğinden, söz konusu ibare “… </w:t>
            </w:r>
            <w:r w:rsidRPr="00A06203">
              <w:rPr>
                <w:rFonts w:eastAsia="Times New Roman"/>
                <w:iCs/>
                <w:szCs w:val="24"/>
              </w:rPr>
              <w:t>satışı yapan yetkili makam</w:t>
            </w:r>
            <w:r w:rsidRPr="00A06203">
              <w:rPr>
                <w:rFonts w:eastAsia="Times New Roman"/>
                <w:szCs w:val="24"/>
              </w:rPr>
              <w:t xml:space="preserve"> …” şeklinde değiştirilmiştir. </w:t>
            </w:r>
          </w:p>
          <w:p w:rsidR="00A46C6E" w:rsidRPr="00A06203" w:rsidRDefault="00A46C6E" w:rsidP="009431FF">
            <w:pPr>
              <w:ind w:firstLine="567"/>
              <w:rPr>
                <w:rFonts w:eastAsia="Times New Roman"/>
                <w:iCs/>
                <w:color w:val="3A7C22"/>
                <w:szCs w:val="24"/>
              </w:rPr>
            </w:pPr>
            <w:r w:rsidRPr="00A06203">
              <w:rPr>
                <w:rFonts w:eastAsia="Times New Roman"/>
                <w:bCs/>
                <w:szCs w:val="24"/>
              </w:rPr>
              <w:t xml:space="preserve">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Sözleşmenin </w:t>
            </w:r>
            <w:r w:rsidRPr="00A06203">
              <w:rPr>
                <w:rFonts w:eastAsia="Times New Roman"/>
                <w:bCs/>
                <w:szCs w:val="24"/>
              </w:rPr>
              <w:t>11 inci maddenin üçüncü fıkrası “</w:t>
            </w:r>
            <w:r w:rsidRPr="00A06203">
              <w:rPr>
                <w:rFonts w:eastAsia="Times New Roman"/>
                <w:bCs/>
                <w:iCs/>
                <w:szCs w:val="24"/>
              </w:rPr>
              <w:t>Bu maddenin ikinci fıkrasında öngörülen bildirim birinci fıkrada yazılı ve belirlenebilmiş olan ilgili kişilere iadeli taahhütlü mektupla veya bildirimin ulaştığını doğrulayan elektronik iletişim araçlarıyla veya başkaca uygun bir yolla yazılı şekilde yapılır. Bildirim ayrıca cebr</w:t>
            </w:r>
            <w:r w:rsidR="00436506" w:rsidRPr="00A06203">
              <w:rPr>
                <w:rFonts w:eastAsia="Times New Roman"/>
                <w:bCs/>
                <w:iCs/>
                <w:szCs w:val="24"/>
              </w:rPr>
              <w:t>î</w:t>
            </w:r>
            <w:r w:rsidRPr="00A06203">
              <w:rPr>
                <w:rFonts w:eastAsia="Times New Roman"/>
                <w:bCs/>
                <w:iCs/>
                <w:szCs w:val="24"/>
              </w:rPr>
              <w:t xml:space="preserve"> satışın yürütüldüğü devlette basın yoluyla ilan edilmelidir ve cebr</w:t>
            </w:r>
            <w:r w:rsidR="00A949BC" w:rsidRPr="00A06203">
              <w:rPr>
                <w:rFonts w:eastAsia="Times New Roman"/>
                <w:bCs/>
                <w:iCs/>
                <w:szCs w:val="24"/>
              </w:rPr>
              <w:t>î</w:t>
            </w:r>
            <w:r w:rsidRPr="00A06203">
              <w:rPr>
                <w:rFonts w:eastAsia="Times New Roman"/>
                <w:bCs/>
                <w:iCs/>
                <w:szCs w:val="24"/>
              </w:rPr>
              <w:t xml:space="preserve"> satışı yürüten </w:t>
            </w:r>
            <w:r w:rsidR="00535D4A" w:rsidRPr="00A06203">
              <w:rPr>
                <w:rFonts w:eastAsia="Times New Roman"/>
                <w:bCs/>
                <w:iCs/>
                <w:szCs w:val="24"/>
              </w:rPr>
              <w:t>yetkili makamın uygun görmesi hâ</w:t>
            </w:r>
            <w:r w:rsidRPr="00A06203">
              <w:rPr>
                <w:rFonts w:eastAsia="Times New Roman"/>
                <w:bCs/>
                <w:iCs/>
                <w:szCs w:val="24"/>
              </w:rPr>
              <w:t>linde, başka yayın yollarıyla da ilan edilir</w:t>
            </w:r>
            <w:r w:rsidRPr="00A06203">
              <w:rPr>
                <w:rFonts w:eastAsia="Times New Roman"/>
                <w:bCs/>
                <w:szCs w:val="24"/>
              </w:rPr>
              <w:t xml:space="preserve">.” şeklindedir. Buna göre 1993 </w:t>
            </w:r>
            <w:r w:rsidR="006B7F0D" w:rsidRPr="00A06203">
              <w:rPr>
                <w:rFonts w:eastAsia="Times New Roman"/>
                <w:szCs w:val="24"/>
              </w:rPr>
              <w:t>tarihli</w:t>
            </w:r>
            <w:r w:rsidR="006B7F0D" w:rsidRPr="00A06203">
              <w:rPr>
                <w:rStyle w:val="KonuBalChar"/>
                <w:rFonts w:eastAsia="Calibri"/>
              </w:rPr>
              <w:t xml:space="preserve"> </w:t>
            </w:r>
            <w:r w:rsidR="006B7F0D" w:rsidRPr="00A06203">
              <w:rPr>
                <w:rFonts w:eastAsia="Times New Roman"/>
                <w:szCs w:val="24"/>
              </w:rPr>
              <w:t>Milletlerarası</w:t>
            </w:r>
            <w:r w:rsidR="006B7F0D" w:rsidRPr="00A06203">
              <w:rPr>
                <w:rStyle w:val="KonuBalChar"/>
                <w:rFonts w:eastAsia="Calibri"/>
              </w:rPr>
              <w:t xml:space="preserve"> </w:t>
            </w:r>
            <w:r w:rsidR="00B569B2">
              <w:rPr>
                <w:rFonts w:eastAsia="Times New Roman"/>
                <w:szCs w:val="24"/>
              </w:rPr>
              <w:t>Sözleşmede</w:t>
            </w:r>
            <w:r w:rsidRPr="00A06203">
              <w:rPr>
                <w:rFonts w:eastAsia="Times New Roman"/>
                <w:bCs/>
                <w:szCs w:val="24"/>
              </w:rPr>
              <w:t xml:space="preserve"> yazılı bildirim ve bu bildirimin cebr</w:t>
            </w:r>
            <w:r w:rsidR="00436506" w:rsidRPr="00A06203">
              <w:rPr>
                <w:rFonts w:eastAsia="Times New Roman"/>
                <w:bCs/>
                <w:szCs w:val="24"/>
              </w:rPr>
              <w:t>î</w:t>
            </w:r>
            <w:r w:rsidRPr="00A06203">
              <w:rPr>
                <w:rFonts w:eastAsia="Times New Roman"/>
                <w:bCs/>
                <w:szCs w:val="24"/>
              </w:rPr>
              <w:t xml:space="preserve"> satışın yürütüldüğü devlette basın veya yetkili makamca uygun görülen başka bir yayın yoluyla ilanın birlikte uygulanması öngörülmüştür. Türkiye’nin 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 xml:space="preserve">Sözleşmeye </w:t>
            </w:r>
            <w:r w:rsidR="00535D4A" w:rsidRPr="00A06203">
              <w:rPr>
                <w:rFonts w:eastAsia="Times New Roman"/>
                <w:bCs/>
                <w:szCs w:val="24"/>
              </w:rPr>
              <w:t>taraf olması hâ</w:t>
            </w:r>
            <w:r w:rsidRPr="00A06203">
              <w:rPr>
                <w:rFonts w:eastAsia="Times New Roman"/>
                <w:bCs/>
                <w:szCs w:val="24"/>
              </w:rPr>
              <w:t xml:space="preserve">linde yabancı gemi sicilinde kayıtlı gemilerin Türkiye’de cebrî icra yoluyla satışında 1993 </w:t>
            </w:r>
            <w:r w:rsidR="006B7F0D" w:rsidRPr="00A06203">
              <w:rPr>
                <w:rFonts w:eastAsia="Times New Roman"/>
                <w:szCs w:val="24"/>
              </w:rPr>
              <w:t>tarihli</w:t>
            </w:r>
            <w:r w:rsidR="006B7F0D" w:rsidRPr="00A06203">
              <w:rPr>
                <w:rFonts w:eastAsia="Times New Roman"/>
                <w:b/>
                <w:bCs/>
                <w:szCs w:val="24"/>
              </w:rPr>
              <w:t xml:space="preserve"> </w:t>
            </w:r>
            <w:r w:rsidR="006B7F0D" w:rsidRPr="00A06203">
              <w:rPr>
                <w:rFonts w:eastAsia="Times New Roman"/>
                <w:szCs w:val="24"/>
              </w:rPr>
              <w:t>Milletlerarası</w:t>
            </w:r>
            <w:r w:rsidR="006B7F0D" w:rsidRPr="00A06203">
              <w:rPr>
                <w:rFonts w:eastAsia="Times New Roman"/>
                <w:b/>
                <w:bCs/>
                <w:szCs w:val="24"/>
              </w:rPr>
              <w:t xml:space="preserve"> </w:t>
            </w:r>
            <w:r w:rsidR="006B7F0D" w:rsidRPr="00A06203">
              <w:rPr>
                <w:rFonts w:eastAsia="Times New Roman"/>
                <w:szCs w:val="24"/>
              </w:rPr>
              <w:t>Sözleşme</w:t>
            </w:r>
            <w:r w:rsidRPr="00A06203">
              <w:rPr>
                <w:rFonts w:eastAsia="Times New Roman"/>
                <w:bCs/>
                <w:szCs w:val="24"/>
              </w:rPr>
              <w:t xml:space="preserve"> 11</w:t>
            </w:r>
            <w:r w:rsidR="006B7F0D" w:rsidRPr="00A06203">
              <w:rPr>
                <w:rFonts w:eastAsia="Times New Roman"/>
                <w:bCs/>
                <w:szCs w:val="24"/>
              </w:rPr>
              <w:t xml:space="preserve"> </w:t>
            </w:r>
            <w:r w:rsidR="006B7F0D" w:rsidRPr="00A06203">
              <w:rPr>
                <w:rFonts w:eastAsia="Times New Roman"/>
                <w:szCs w:val="24"/>
              </w:rPr>
              <w:t>inci</w:t>
            </w:r>
            <w:r w:rsidRPr="00A06203">
              <w:rPr>
                <w:rFonts w:eastAsia="Times New Roman"/>
                <w:bCs/>
                <w:szCs w:val="24"/>
              </w:rPr>
              <w:t xml:space="preserve"> hükmü uyarınca yazılı bildirim ve ilan yöntemleri birlikte uygulanacaktır. Buna karşılık 6102 sayılı Kanunun 7418 sayılı Kanunla değişik 1350 nci maddesinde Türk gemi sicilinde kayıtlı gemilerin yurt dışında cebr</w:t>
            </w:r>
            <w:r w:rsidR="00436506" w:rsidRPr="00A06203">
              <w:rPr>
                <w:rFonts w:eastAsia="Times New Roman"/>
                <w:bCs/>
                <w:szCs w:val="24"/>
              </w:rPr>
              <w:t>î</w:t>
            </w:r>
            <w:r w:rsidRPr="00A06203">
              <w:rPr>
                <w:rFonts w:eastAsia="Times New Roman"/>
                <w:bCs/>
                <w:szCs w:val="24"/>
              </w:rPr>
              <w:t xml:space="preserve"> icra yoluyla satışında “yazılı bildirim” ve “gideri ilgililer tarafından karşılanmak şartıyla (195 sayılı Basın İlan Kurumu</w:t>
            </w:r>
            <w:r w:rsidR="00540132" w:rsidRPr="00A06203">
              <w:rPr>
                <w:rFonts w:eastAsia="Times New Roman"/>
                <w:bCs/>
                <w:szCs w:val="24"/>
              </w:rPr>
              <w:t xml:space="preserve"> Teşkiline Dair Kanunun</w:t>
            </w:r>
            <w:r w:rsidRPr="00A06203">
              <w:rPr>
                <w:rFonts w:eastAsia="Times New Roman"/>
                <w:bCs/>
                <w:szCs w:val="24"/>
              </w:rPr>
              <w:t xml:space="preserve"> 37 </w:t>
            </w:r>
            <w:r w:rsidR="00FB6566" w:rsidRPr="00A06203">
              <w:rPr>
                <w:rFonts w:eastAsia="Times New Roman"/>
                <w:bCs/>
                <w:szCs w:val="24"/>
              </w:rPr>
              <w:t>nci maddesi uyarınca Basın</w:t>
            </w:r>
            <w:r w:rsidR="00586558" w:rsidRPr="00A06203">
              <w:rPr>
                <w:rFonts w:eastAsia="Times New Roman"/>
                <w:bCs/>
                <w:szCs w:val="24"/>
              </w:rPr>
              <w:t xml:space="preserve"> </w:t>
            </w:r>
            <w:r w:rsidR="00FB6566" w:rsidRPr="00A06203">
              <w:rPr>
                <w:rFonts w:eastAsia="Times New Roman"/>
                <w:bCs/>
                <w:szCs w:val="24"/>
              </w:rPr>
              <w:t>-</w:t>
            </w:r>
            <w:r w:rsidR="00586558" w:rsidRPr="00A06203">
              <w:rPr>
                <w:rFonts w:eastAsia="Times New Roman"/>
                <w:bCs/>
                <w:szCs w:val="24"/>
              </w:rPr>
              <w:t xml:space="preserve"> </w:t>
            </w:r>
            <w:r w:rsidRPr="00A06203">
              <w:rPr>
                <w:rFonts w:eastAsia="Times New Roman"/>
                <w:bCs/>
                <w:szCs w:val="24"/>
              </w:rPr>
              <w:t>İlan Kurumunun inter</w:t>
            </w:r>
            <w:r w:rsidR="00AD7D81" w:rsidRPr="00A06203">
              <w:rPr>
                <w:rFonts w:eastAsia="Times New Roman"/>
                <w:bCs/>
                <w:szCs w:val="24"/>
              </w:rPr>
              <w:t>net sitesinde duyurulan ve resmî</w:t>
            </w:r>
            <w:r w:rsidRPr="00A06203">
              <w:rPr>
                <w:rFonts w:eastAsia="Times New Roman"/>
                <w:bCs/>
                <w:szCs w:val="24"/>
              </w:rPr>
              <w:t xml:space="preserve"> ilan verilebilecek süreli yayınlar listesinde yer alan) bir internet haber sitesi</w:t>
            </w:r>
            <w:r w:rsidRPr="00A06203">
              <w:rPr>
                <w:rFonts w:eastAsia="Times New Roman"/>
                <w:bCs/>
                <w:iCs/>
                <w:szCs w:val="24"/>
              </w:rPr>
              <w:t xml:space="preserve"> </w:t>
            </w:r>
            <w:r w:rsidRPr="00A06203">
              <w:rPr>
                <w:rFonts w:eastAsia="Times New Roman"/>
                <w:bCs/>
                <w:szCs w:val="24"/>
              </w:rPr>
              <w:t>ve tirajı ellibin üzerinde olan ve Türkiye düzeyinde dağıtımı yapılan gazetelerden biriyle ilan” seçenekli yöntemler olarak öngörülmüştür. Bu düzenlemenin, yazılı bildirimin hiç yapılmaması, sadece ilan ile yetinilmesi sonucunu doğurabileceği açıktır. Ayrıca Türk gemi sicilinde kayıtlı gemilerin yurt dışında cebr</w:t>
            </w:r>
            <w:r w:rsidR="00436506" w:rsidRPr="00A06203">
              <w:rPr>
                <w:rFonts w:eastAsia="Times New Roman"/>
                <w:bCs/>
                <w:szCs w:val="24"/>
              </w:rPr>
              <w:t>î</w:t>
            </w:r>
            <w:r w:rsidRPr="00A06203">
              <w:rPr>
                <w:rFonts w:eastAsia="Times New Roman"/>
                <w:bCs/>
                <w:szCs w:val="24"/>
              </w:rPr>
              <w:t xml:space="preserve"> icra yoluyla satışına ilişkin yöntemin, Türkiye’nin 1993 </w:t>
            </w:r>
            <w:r w:rsidR="006B7F0D" w:rsidRPr="00A06203">
              <w:rPr>
                <w:rFonts w:eastAsia="Times New Roman"/>
                <w:szCs w:val="24"/>
              </w:rPr>
              <w:t>ta</w:t>
            </w:r>
            <w:r w:rsidR="00B569B2">
              <w:rPr>
                <w:rFonts w:eastAsia="Times New Roman"/>
                <w:szCs w:val="24"/>
              </w:rPr>
              <w:t>rihli Milletlerarası Sözleşmeye</w:t>
            </w:r>
            <w:r w:rsidR="00535D4A" w:rsidRPr="00A06203">
              <w:rPr>
                <w:rFonts w:eastAsia="Times New Roman"/>
                <w:bCs/>
                <w:szCs w:val="24"/>
              </w:rPr>
              <w:t xml:space="preserve"> taraf olması hâ</w:t>
            </w:r>
            <w:r w:rsidRPr="00A06203">
              <w:rPr>
                <w:rFonts w:eastAsia="Times New Roman"/>
                <w:bCs/>
                <w:szCs w:val="24"/>
              </w:rPr>
              <w:t>linde yabancı gemilerin Türkiye’de cebr</w:t>
            </w:r>
            <w:r w:rsidR="00436506" w:rsidRPr="00A06203">
              <w:rPr>
                <w:rFonts w:eastAsia="Times New Roman"/>
                <w:bCs/>
                <w:szCs w:val="24"/>
              </w:rPr>
              <w:t>î</w:t>
            </w:r>
            <w:r w:rsidRPr="00A06203">
              <w:rPr>
                <w:rFonts w:eastAsia="Times New Roman"/>
                <w:bCs/>
                <w:szCs w:val="24"/>
              </w:rPr>
              <w:t xml:space="preserve"> icra yoluyla satışında uygulanacak yöntemden farklı olması da makul değildir. Bu nedenlerle maddenin ikinci fıkrasında yazılı bildirim ve basın yoluyla ilan yöntemlerinin birlikte uygulanması esası benimsenmiş; bu kapsamda basın yoluyla ilanın yapılacağı gazetenin belirlenmesinde hangi tarihteki tirajının esas alı</w:t>
            </w:r>
            <w:bookmarkStart w:id="7" w:name="_Hlk172712471"/>
            <w:r w:rsidR="00B569B2">
              <w:rPr>
                <w:rFonts w:eastAsia="Times New Roman"/>
                <w:bCs/>
                <w:szCs w:val="24"/>
              </w:rPr>
              <w:t>nacağına açıklık getirilmiştir.</w:t>
            </w:r>
          </w:p>
          <w:bookmarkEnd w:id="7"/>
          <w:p w:rsidR="00A46C6E" w:rsidRPr="00A06203" w:rsidRDefault="00A46C6E" w:rsidP="009431FF">
            <w:pPr>
              <w:ind w:firstLine="567"/>
              <w:rPr>
                <w:rFonts w:eastAsia="Times New Roman"/>
                <w:bCs/>
                <w:szCs w:val="24"/>
              </w:rPr>
            </w:pPr>
            <w:r w:rsidRPr="00A06203">
              <w:rPr>
                <w:rFonts w:eastAsia="Times New Roman"/>
                <w:szCs w:val="24"/>
              </w:rPr>
              <w:t>C</w:t>
            </w:r>
            <w:r w:rsidRPr="00A06203">
              <w:rPr>
                <w:rFonts w:eastAsia="Times New Roman"/>
                <w:bCs/>
                <w:szCs w:val="24"/>
              </w:rPr>
              <w:t xml:space="preserve">ebrî satışa ilişkin yazılı bildirim ve basın yoluyla ilanın satışı yapan yetkili makam yanında ilgililer tarafından yapılmasına da imkân verilmesi uygun görülmüş; 6102 sayılı Kanunun 1350 nci maddesinin ikinci cümlesinde olduğu gibi “… veya ilgililer …” ibaresine yer verilmiştir. </w:t>
            </w:r>
          </w:p>
          <w:p w:rsidR="00A46C6E" w:rsidRPr="00A06203" w:rsidRDefault="00A46C6E" w:rsidP="009431FF">
            <w:pPr>
              <w:ind w:firstLine="567"/>
              <w:rPr>
                <w:rFonts w:eastAsia="Times New Roman"/>
                <w:szCs w:val="24"/>
              </w:rPr>
            </w:pPr>
            <w:r w:rsidRPr="00A06203">
              <w:rPr>
                <w:rFonts w:eastAsia="Times New Roman"/>
                <w:szCs w:val="24"/>
              </w:rPr>
              <w:t xml:space="preserve">1993 </w:t>
            </w:r>
            <w:r w:rsidR="006B7F0D" w:rsidRPr="00A06203">
              <w:rPr>
                <w:rFonts w:eastAsia="Times New Roman"/>
                <w:bCs/>
                <w:szCs w:val="24"/>
              </w:rPr>
              <w:t>tarihli Milletlerarası Sözleşmenin</w:t>
            </w:r>
            <w:r w:rsidRPr="00A06203">
              <w:rPr>
                <w:rFonts w:eastAsia="Times New Roman"/>
                <w:szCs w:val="24"/>
              </w:rPr>
              <w:t xml:space="preserve"> 11 inci maddesinin birinci fıkrasının (a) bendinde “</w:t>
            </w:r>
            <w:r w:rsidRPr="00A06203">
              <w:rPr>
                <w:rFonts w:eastAsia="Times New Roman"/>
                <w:iCs/>
                <w:szCs w:val="24"/>
              </w:rPr>
              <w:t>geminin kayıtlı olduğu sicil devletinde, gemi sicilini tutmakla görevli makama</w:t>
            </w:r>
            <w:r w:rsidRPr="00A06203">
              <w:rPr>
                <w:rFonts w:eastAsia="Times New Roman"/>
                <w:szCs w:val="24"/>
              </w:rPr>
              <w:t xml:space="preserve">” denildiğinden ve Türkiye’de gemi sicilini tutmakla görevli makam gemi sicil müdürlükleri olduğundan, </w:t>
            </w:r>
            <w:r w:rsidRPr="00A06203">
              <w:rPr>
                <w:rFonts w:eastAsia="Times New Roman"/>
                <w:bCs/>
                <w:szCs w:val="24"/>
              </w:rPr>
              <w:t xml:space="preserve">6102 sayılı Kanunun </w:t>
            </w:r>
            <w:r w:rsidRPr="00A06203">
              <w:rPr>
                <w:rFonts w:eastAsia="Times New Roman"/>
                <w:szCs w:val="24"/>
              </w:rPr>
              <w:t>1350 nci maddesinin ikinci cümlesinde yer alan “</w:t>
            </w:r>
            <w:r w:rsidRPr="00A06203">
              <w:rPr>
                <w:rFonts w:eastAsia="Times New Roman"/>
                <w:iCs/>
                <w:szCs w:val="24"/>
              </w:rPr>
              <w:t>Geminin kayıtlı olduğu Türk Gemi Siciline</w:t>
            </w:r>
            <w:r w:rsidRPr="00A06203">
              <w:rPr>
                <w:rFonts w:eastAsia="Times New Roman"/>
                <w:szCs w:val="24"/>
              </w:rPr>
              <w:t>” ibaresi, “</w:t>
            </w:r>
            <w:r w:rsidRPr="00A06203">
              <w:rPr>
                <w:rFonts w:eastAsia="Times New Roman"/>
                <w:iCs/>
                <w:szCs w:val="24"/>
              </w:rPr>
              <w:t xml:space="preserve">Geminin kayıtlı olduğu Türk </w:t>
            </w:r>
            <w:r w:rsidR="00974DD1" w:rsidRPr="00A06203">
              <w:rPr>
                <w:rFonts w:eastAsia="Times New Roman"/>
                <w:iCs/>
                <w:szCs w:val="24"/>
              </w:rPr>
              <w:t xml:space="preserve">gemi sicili </w:t>
            </w:r>
            <w:r w:rsidRPr="00A06203">
              <w:rPr>
                <w:rFonts w:eastAsia="Times New Roman"/>
                <w:iCs/>
                <w:szCs w:val="24"/>
              </w:rPr>
              <w:t>Müdürlüğüne</w:t>
            </w:r>
            <w:r w:rsidRPr="00A06203">
              <w:rPr>
                <w:rFonts w:eastAsia="Times New Roman"/>
                <w:szCs w:val="24"/>
              </w:rPr>
              <w:t xml:space="preserve">” şeklinde değiştirilmiştir. </w:t>
            </w:r>
          </w:p>
          <w:p w:rsidR="00A46C6E" w:rsidRPr="00A06203" w:rsidRDefault="00A46C6E" w:rsidP="009431FF">
            <w:pPr>
              <w:ind w:firstLine="567"/>
              <w:rPr>
                <w:rFonts w:eastAsia="Times New Roman"/>
                <w:szCs w:val="24"/>
              </w:rPr>
            </w:pPr>
            <w:r w:rsidRPr="00A06203">
              <w:rPr>
                <w:rFonts w:eastAsia="Times New Roman"/>
                <w:szCs w:val="24"/>
              </w:rPr>
              <w:t xml:space="preserve">1993 </w:t>
            </w:r>
            <w:r w:rsidR="006B7F0D" w:rsidRPr="00A06203">
              <w:rPr>
                <w:rFonts w:eastAsia="Times New Roman"/>
                <w:bCs/>
                <w:szCs w:val="24"/>
              </w:rPr>
              <w:t>tarihli Milletlerarası Sözleşme</w:t>
            </w:r>
            <w:r w:rsidR="00B569B2">
              <w:rPr>
                <w:rFonts w:eastAsia="Times New Roman"/>
                <w:szCs w:val="24"/>
              </w:rPr>
              <w:t xml:space="preserve"> </w:t>
            </w:r>
            <w:r w:rsidR="006B7F0D" w:rsidRPr="00A06203">
              <w:rPr>
                <w:rFonts w:eastAsia="Times New Roman"/>
                <w:bCs/>
                <w:szCs w:val="24"/>
              </w:rPr>
              <w:t>madde</w:t>
            </w:r>
            <w:r w:rsidR="006B7F0D" w:rsidRPr="00A06203">
              <w:rPr>
                <w:rFonts w:eastAsia="Times New Roman"/>
                <w:szCs w:val="24"/>
              </w:rPr>
              <w:t xml:space="preserve"> </w:t>
            </w:r>
            <w:r w:rsidRPr="00A06203">
              <w:rPr>
                <w:rFonts w:eastAsia="Times New Roman"/>
                <w:szCs w:val="24"/>
              </w:rPr>
              <w:t>11/2 hükmünde cebr</w:t>
            </w:r>
            <w:r w:rsidR="00436506" w:rsidRPr="00A06203">
              <w:rPr>
                <w:rFonts w:eastAsia="Times New Roman"/>
                <w:szCs w:val="24"/>
              </w:rPr>
              <w:t>î</w:t>
            </w:r>
            <w:r w:rsidRPr="00A06203">
              <w:rPr>
                <w:rFonts w:eastAsia="Times New Roman"/>
                <w:szCs w:val="24"/>
              </w:rPr>
              <w:t xml:space="preserve"> satışa ilişkin yazılı bildirim ve basın yoluyla ilanın, “satıştan en az otuz gün önce” yapılması öngörülmüş; </w:t>
            </w:r>
            <w:r w:rsidRPr="00A06203">
              <w:rPr>
                <w:rFonts w:eastAsia="Times New Roman"/>
                <w:bCs/>
                <w:szCs w:val="24"/>
              </w:rPr>
              <w:t>6102 sayılı Kanunun</w:t>
            </w:r>
            <w:r w:rsidRPr="00A06203">
              <w:rPr>
                <w:rFonts w:eastAsia="Times New Roman"/>
                <w:szCs w:val="24"/>
              </w:rPr>
              <w:t xml:space="preserve"> 1350 nci maddesinin ikinci cümlesinde de süre aynı şekilde belirlenmiştir. Ancak Taslağın genelinde sürelerin hafta ve ay olarak belirlenmesi esası benimsendiğinden, 30 günlük süre “bir ay” olarak değiştirilmiştir. Bu maddenin ikinci fıkrası uyarınca yapılması gereken yazılı bildirimin satıştan en az bir ay önce gönderilmiş olması ve basın yoluyla ilan ile UYAP ilan portalı özel kısmında bir internet sitesinde ilanın da satıştan en az bir ay önce yapılması zorunludur. </w:t>
            </w:r>
          </w:p>
          <w:p w:rsidR="00A46C6E" w:rsidRPr="00A06203" w:rsidRDefault="00A46C6E" w:rsidP="009431FF">
            <w:pPr>
              <w:ind w:firstLine="567"/>
              <w:rPr>
                <w:rFonts w:eastAsia="Times New Roman"/>
                <w:bCs/>
                <w:szCs w:val="24"/>
              </w:rPr>
            </w:pPr>
            <w:r w:rsidRPr="00A06203">
              <w:rPr>
                <w:rFonts w:eastAsia="Times New Roman"/>
                <w:bCs/>
                <w:szCs w:val="24"/>
              </w:rPr>
              <w:t xml:space="preserve">6102 sayılı Kanunun 1350 nci maddesinin ikinci cümlesinde yer alan düzenleme, satıştan önce yapılacak yazılı bildirim ve ilanın içeriği bakımından eksik olduğundan, bu eksikliğin giderilmesi gerekli görülmüş; bu nedenle 1993 </w:t>
            </w:r>
            <w:r w:rsidR="006B7F0D" w:rsidRPr="00A06203">
              <w:rPr>
                <w:rFonts w:eastAsia="Times New Roman"/>
                <w:bCs/>
                <w:szCs w:val="24"/>
              </w:rPr>
              <w:t>tarihli</w:t>
            </w:r>
            <w:r w:rsidR="006B7F0D" w:rsidRPr="00A06203">
              <w:rPr>
                <w:rFonts w:eastAsia="Times New Roman"/>
                <w:b/>
                <w:szCs w:val="24"/>
              </w:rPr>
              <w:t xml:space="preserve"> </w:t>
            </w:r>
            <w:r w:rsidR="006B7F0D" w:rsidRPr="00A06203">
              <w:rPr>
                <w:rFonts w:eastAsia="Times New Roman"/>
                <w:bCs/>
                <w:szCs w:val="24"/>
              </w:rPr>
              <w:t>Milletlerarası</w:t>
            </w:r>
            <w:r w:rsidR="006B7F0D" w:rsidRPr="00A06203">
              <w:rPr>
                <w:rFonts w:eastAsia="Times New Roman"/>
                <w:b/>
                <w:szCs w:val="24"/>
              </w:rPr>
              <w:t xml:space="preserve"> </w:t>
            </w:r>
            <w:r w:rsidR="006B7F0D" w:rsidRPr="00A06203">
              <w:rPr>
                <w:rFonts w:eastAsia="Times New Roman"/>
                <w:bCs/>
                <w:szCs w:val="24"/>
              </w:rPr>
              <w:t>Sözleşmenin</w:t>
            </w:r>
            <w:r w:rsidR="006B7F0D" w:rsidRPr="00A06203">
              <w:rPr>
                <w:rFonts w:eastAsia="Times New Roman"/>
                <w:szCs w:val="24"/>
              </w:rPr>
              <w:t xml:space="preserve"> </w:t>
            </w:r>
            <w:r w:rsidR="006B7F0D" w:rsidRPr="00A06203">
              <w:rPr>
                <w:rFonts w:eastAsia="Times New Roman"/>
                <w:bCs/>
                <w:szCs w:val="24"/>
              </w:rPr>
              <w:t xml:space="preserve">madde </w:t>
            </w:r>
            <w:r w:rsidRPr="00A06203">
              <w:rPr>
                <w:rFonts w:eastAsia="Times New Roman"/>
                <w:bCs/>
                <w:szCs w:val="24"/>
              </w:rPr>
              <w:t xml:space="preserve">11/2 (a) bendine paralel şekilde, “… </w:t>
            </w:r>
            <w:r w:rsidRPr="00A06203">
              <w:rPr>
                <w:rFonts w:eastAsia="Times New Roman"/>
                <w:bCs/>
                <w:iCs/>
                <w:szCs w:val="24"/>
              </w:rPr>
              <w:t>satıştan en az bir ay önce</w:t>
            </w:r>
            <w:r w:rsidRPr="00A06203">
              <w:rPr>
                <w:rFonts w:eastAsia="Times New Roman"/>
                <w:bCs/>
                <w:szCs w:val="24"/>
              </w:rPr>
              <w:t xml:space="preserve"> …” ibaresinin devamına “… </w:t>
            </w:r>
            <w:r w:rsidRPr="00A06203">
              <w:rPr>
                <w:rFonts w:eastAsia="Times New Roman"/>
                <w:iCs/>
                <w:szCs w:val="24"/>
              </w:rPr>
              <w:t>satış tarihi, yeri ve usulü</w:t>
            </w:r>
            <w:r w:rsidRPr="00A06203">
              <w:rPr>
                <w:rFonts w:eastAsia="Times New Roman"/>
                <w:szCs w:val="24"/>
              </w:rPr>
              <w:t xml:space="preserve"> …” ibaresi eklenmiştir. </w:t>
            </w:r>
          </w:p>
          <w:p w:rsidR="00A46C6E" w:rsidRPr="00A06203" w:rsidRDefault="00A46C6E" w:rsidP="009431FF">
            <w:pPr>
              <w:ind w:firstLine="567"/>
              <w:rPr>
                <w:rFonts w:eastAsia="Times New Roman"/>
                <w:szCs w:val="24"/>
              </w:rPr>
            </w:pPr>
            <w:r w:rsidRPr="00A06203">
              <w:rPr>
                <w:rFonts w:eastAsia="Times New Roman"/>
                <w:bCs/>
                <w:szCs w:val="24"/>
              </w:rPr>
              <w:t xml:space="preserve">6102 sayılı Kanunun 1350 nci maddesinin ikinci cümlesinde “… artırmanın …. bildirilmesi veya … gazetelerden biriyle ilan edilmesi zorunludur.” denilip bildirim usulü belirtilmediğinden, bu hususa da açıklık getirilmesi gerekli görülmüştür. Bu nedenle 1993 </w:t>
            </w:r>
            <w:r w:rsidR="006B7F0D" w:rsidRPr="00A06203">
              <w:rPr>
                <w:rFonts w:eastAsia="Times New Roman"/>
                <w:bCs/>
                <w:szCs w:val="24"/>
              </w:rPr>
              <w:t>tarihli</w:t>
            </w:r>
            <w:r w:rsidR="006B7F0D" w:rsidRPr="00A06203">
              <w:rPr>
                <w:rStyle w:val="KonuBalChar"/>
                <w:rFonts w:eastAsia="Calibri"/>
              </w:rPr>
              <w:t xml:space="preserve"> </w:t>
            </w:r>
            <w:r w:rsidR="006B7F0D" w:rsidRPr="00A06203">
              <w:rPr>
                <w:rFonts w:eastAsia="Times New Roman"/>
                <w:bCs/>
                <w:szCs w:val="24"/>
              </w:rPr>
              <w:t>Milletlerarası</w:t>
            </w:r>
            <w:r w:rsidR="006B7F0D" w:rsidRPr="00A06203">
              <w:rPr>
                <w:rFonts w:eastAsia="Times New Roman"/>
                <w:b/>
                <w:szCs w:val="24"/>
              </w:rPr>
              <w:t xml:space="preserve"> </w:t>
            </w:r>
            <w:r w:rsidR="006B7F0D" w:rsidRPr="00A06203">
              <w:rPr>
                <w:rFonts w:eastAsia="Times New Roman"/>
                <w:bCs/>
                <w:szCs w:val="24"/>
              </w:rPr>
              <w:t>Sözleşmenin</w:t>
            </w:r>
            <w:r w:rsidR="006B7F0D" w:rsidRPr="00A06203">
              <w:rPr>
                <w:rFonts w:eastAsia="Times New Roman"/>
                <w:szCs w:val="24"/>
              </w:rPr>
              <w:t xml:space="preserve"> </w:t>
            </w:r>
            <w:r w:rsidR="006B7F0D" w:rsidRPr="00A06203">
              <w:rPr>
                <w:rFonts w:eastAsia="Times New Roman"/>
                <w:bCs/>
                <w:szCs w:val="24"/>
              </w:rPr>
              <w:t xml:space="preserve">madde </w:t>
            </w:r>
            <w:r w:rsidRPr="00A06203">
              <w:rPr>
                <w:rFonts w:eastAsia="Times New Roman"/>
                <w:bCs/>
                <w:szCs w:val="24"/>
              </w:rPr>
              <w:t>11/3 hükmü doğrultusunda “iadeli taahhütlü mektupla veya bildirimin muhataba ulaştığını doğrulayan elektronik iletişim yoluyla ya da başkaca uygun bir araçla gönderilmek suretiyle yazılı şekilde</w:t>
            </w:r>
            <w:r w:rsidRPr="00A06203">
              <w:rPr>
                <w:rFonts w:eastAsia="Times New Roman"/>
                <w:szCs w:val="24"/>
              </w:rPr>
              <w:t xml:space="preserve">” ibaresi eklenmek suretiyle </w:t>
            </w:r>
            <w:r w:rsidRPr="00A06203">
              <w:rPr>
                <w:rFonts w:eastAsia="Times New Roman"/>
                <w:bCs/>
                <w:szCs w:val="24"/>
              </w:rPr>
              <w:t xml:space="preserve">satış bildiriminin şekline açıklık getirilmiştir. </w:t>
            </w:r>
          </w:p>
          <w:p w:rsidR="00A46C6E" w:rsidRPr="00A06203" w:rsidRDefault="00A46C6E" w:rsidP="009431FF">
            <w:pPr>
              <w:ind w:firstLine="567"/>
              <w:rPr>
                <w:rFonts w:eastAsia="Times New Roman"/>
                <w:bCs/>
                <w:szCs w:val="24"/>
              </w:rPr>
            </w:pPr>
            <w:r w:rsidRPr="00A06203">
              <w:rPr>
                <w:rFonts w:eastAsia="Times New Roman"/>
                <w:bCs/>
                <w:szCs w:val="24"/>
              </w:rPr>
              <w:t xml:space="preserve">6102 sayılı Kanunun </w:t>
            </w:r>
            <w:r w:rsidRPr="00A06203">
              <w:rPr>
                <w:rFonts w:eastAsia="Times New Roman"/>
                <w:szCs w:val="24"/>
              </w:rPr>
              <w:t xml:space="preserve">1350 nci maddesinin ikinci cümlesinde geminin kayıtlı olduğu Türk gemi sicilinden başka yazılı bildirim yapılacak kişiler arasında gemi alacaklıları belirtilmemiştir. Ancak 1993 </w:t>
            </w:r>
            <w:r w:rsidR="006B7F0D" w:rsidRPr="00A06203">
              <w:rPr>
                <w:rFonts w:eastAsia="Times New Roman"/>
                <w:bCs/>
                <w:szCs w:val="24"/>
              </w:rPr>
              <w:t>tarihli</w:t>
            </w:r>
            <w:r w:rsidR="006B7F0D" w:rsidRPr="00A06203">
              <w:rPr>
                <w:rFonts w:eastAsia="Times New Roman"/>
                <w:b/>
                <w:szCs w:val="24"/>
              </w:rPr>
              <w:t xml:space="preserve"> </w:t>
            </w:r>
            <w:r w:rsidR="006B7F0D" w:rsidRPr="00A06203">
              <w:rPr>
                <w:rFonts w:eastAsia="Times New Roman"/>
                <w:bCs/>
                <w:szCs w:val="24"/>
              </w:rPr>
              <w:t>Milletlerarası</w:t>
            </w:r>
            <w:r w:rsidR="006B7F0D" w:rsidRPr="00A06203">
              <w:rPr>
                <w:rFonts w:eastAsia="Times New Roman"/>
                <w:b/>
                <w:szCs w:val="24"/>
              </w:rPr>
              <w:t xml:space="preserve"> </w:t>
            </w:r>
            <w:r w:rsidR="006B7F0D" w:rsidRPr="00A06203">
              <w:rPr>
                <w:rFonts w:eastAsia="Times New Roman"/>
                <w:bCs/>
                <w:szCs w:val="24"/>
              </w:rPr>
              <w:t>Sözleşmenin</w:t>
            </w:r>
            <w:r w:rsidR="006B7F0D" w:rsidRPr="00A06203">
              <w:rPr>
                <w:rFonts w:eastAsia="Times New Roman"/>
                <w:szCs w:val="24"/>
              </w:rPr>
              <w:t xml:space="preserve"> </w:t>
            </w:r>
            <w:r w:rsidR="006B7F0D" w:rsidRPr="00A06203">
              <w:rPr>
                <w:rFonts w:eastAsia="Times New Roman"/>
                <w:bCs/>
                <w:szCs w:val="24"/>
              </w:rPr>
              <w:t xml:space="preserve">madde </w:t>
            </w:r>
            <w:r w:rsidRPr="00A06203">
              <w:rPr>
                <w:rFonts w:eastAsia="Times New Roman"/>
                <w:szCs w:val="24"/>
              </w:rPr>
              <w:t xml:space="preserve">11/1 (c) bendi uyarınca kendilerini satışı yapan yetkili makama bildirmiş olmaları kaydıyla kanuni rehin hakkına sahip gemi alacaklılarına da bildirim yapılması gerekmektedir. Bu doğrultuda maddenin ikinci fıkrasına (ç) bendi ilave edilmiştir. Ayrıca </w:t>
            </w:r>
            <w:r w:rsidRPr="00A06203">
              <w:rPr>
                <w:rFonts w:eastAsia="Times New Roman"/>
                <w:bCs/>
                <w:szCs w:val="24"/>
              </w:rPr>
              <w:t>maddenin ikinci fıkrasının (b), (c) ve (ç) bentlerinde belirtilen kişilere yazılı bildirim</w:t>
            </w:r>
            <w:r w:rsidR="00535D4A" w:rsidRPr="00A06203">
              <w:rPr>
                <w:rFonts w:eastAsia="Times New Roman"/>
                <w:bCs/>
                <w:szCs w:val="24"/>
              </w:rPr>
              <w:t xml:space="preserve"> yapılmasının mümkün olmaması hâ</w:t>
            </w:r>
            <w:r w:rsidRPr="00A06203">
              <w:rPr>
                <w:rFonts w:eastAsia="Times New Roman"/>
                <w:bCs/>
                <w:szCs w:val="24"/>
              </w:rPr>
              <w:t>linde</w:t>
            </w:r>
            <w:r w:rsidR="00483747" w:rsidRPr="00A06203">
              <w:rPr>
                <w:rFonts w:eastAsia="Times New Roman"/>
                <w:bCs/>
                <w:szCs w:val="24"/>
              </w:rPr>
              <w:t>,</w:t>
            </w:r>
            <w:r w:rsidRPr="00A06203">
              <w:rPr>
                <w:rFonts w:eastAsia="Times New Roman"/>
                <w:bCs/>
                <w:szCs w:val="24"/>
              </w:rPr>
              <w:t xml:space="preserve"> bu kişiler bakımından “ilanın yazılı bildirim yerine geçeceği” hüküm altına alınmıştır. Bildirim yapılmasının mümkün olmaması, satışı yapan yetkili makama kendilerini bildirmiş olan gemi alacaklılarının adres beyan etmemiş olması veya sicile kayıtlı hak sahiplerinin ve bildirim yapılacak adreslerinin sicilden tespit edilememesi gibi hâller yanında sicilden tespit edilen veya beyan edilen adreslerin güncel olmaması yüzünden sonuçsuz kalması hâlini de kapsar. Yurt dışında cebrî icra yoluyla satılan geminin Türk gemi sicilinden terkini için, sicil müdürüne, bu maddenin ikinci fıkrasının (b), (c) ve (ç) bentlerinde belirtilen kişilere yazılı bildirim yapılmasının mümkün olmadığına dair kanaat verici belgelerin sunulması yeterlidir. İlandan önce satıştan haberdâr olup satışı yapan makama kendilerini ve alacaklarını bildirmemiş olan kanuni rehin hakkı sahibi gemi alacaklılarına bildirim yapılmasının söz konusu olmayacağı; ancak bunların gazetede</w:t>
            </w:r>
            <w:r w:rsidR="00896D74" w:rsidRPr="00A06203">
              <w:rPr>
                <w:rFonts w:eastAsia="Times New Roman"/>
                <w:bCs/>
                <w:szCs w:val="24"/>
              </w:rPr>
              <w:t xml:space="preserve"> ve Basın</w:t>
            </w:r>
            <w:r w:rsidR="00586558" w:rsidRPr="00A06203">
              <w:rPr>
                <w:rFonts w:eastAsia="Times New Roman"/>
                <w:bCs/>
                <w:szCs w:val="24"/>
              </w:rPr>
              <w:t xml:space="preserve"> </w:t>
            </w:r>
            <w:r w:rsidR="00896D74" w:rsidRPr="00A06203">
              <w:rPr>
                <w:rFonts w:eastAsia="Times New Roman"/>
                <w:bCs/>
                <w:szCs w:val="24"/>
              </w:rPr>
              <w:t>-</w:t>
            </w:r>
            <w:r w:rsidR="00586558" w:rsidRPr="00A06203">
              <w:rPr>
                <w:rFonts w:eastAsia="Times New Roman"/>
                <w:bCs/>
                <w:szCs w:val="24"/>
              </w:rPr>
              <w:t xml:space="preserve"> </w:t>
            </w:r>
            <w:r w:rsidR="00896D74" w:rsidRPr="00A06203">
              <w:rPr>
                <w:rFonts w:eastAsia="Times New Roman"/>
                <w:bCs/>
                <w:szCs w:val="24"/>
              </w:rPr>
              <w:t>İlan Kurumunun resmî portalında</w:t>
            </w:r>
            <w:r w:rsidRPr="00A06203">
              <w:rPr>
                <w:rFonts w:eastAsia="Times New Roman"/>
                <w:bCs/>
                <w:szCs w:val="24"/>
              </w:rPr>
              <w:t xml:space="preserve"> yayımlanan ilan üzerine satışı öğrenip satışı yapan makama kanuni rehin hakkı ile temin edilmiş alacaklarını bildirme imk</w:t>
            </w:r>
            <w:r w:rsidR="00BE53A8" w:rsidRPr="00A06203">
              <w:rPr>
                <w:rFonts w:eastAsia="Times New Roman"/>
                <w:bCs/>
                <w:szCs w:val="24"/>
              </w:rPr>
              <w:t>â</w:t>
            </w:r>
            <w:r w:rsidRPr="00A06203">
              <w:rPr>
                <w:rFonts w:eastAsia="Times New Roman"/>
                <w:bCs/>
                <w:szCs w:val="24"/>
              </w:rPr>
              <w:t>nına sahip olacakları dikkate alınarak m</w:t>
            </w:r>
            <w:r w:rsidRPr="00A06203">
              <w:rPr>
                <w:rFonts w:eastAsia="Times New Roman"/>
                <w:szCs w:val="24"/>
              </w:rPr>
              <w:t>addenin ikinci fıkrasına “</w:t>
            </w:r>
            <w:r w:rsidRPr="00A06203">
              <w:rPr>
                <w:rFonts w:eastAsia="Times New Roman"/>
                <w:bCs/>
                <w:szCs w:val="24"/>
              </w:rPr>
              <w:t xml:space="preserve">Satışı yapan yetkili makama kendilerini ve alacaklarını bildirmemiş olan kanuni rehin hakkı sahibi gemi alacaklıları bakımından da ilan bildirim hükmündedir.” şeklinde cümle eklenmesi uygun görülmüştür. </w:t>
            </w:r>
          </w:p>
          <w:p w:rsidR="00A46C6E" w:rsidRPr="00A06203" w:rsidRDefault="00A46C6E" w:rsidP="009431FF">
            <w:pPr>
              <w:ind w:firstLine="567"/>
              <w:rPr>
                <w:rFonts w:eastAsia="Times New Roman"/>
                <w:bCs/>
                <w:szCs w:val="24"/>
              </w:rPr>
            </w:pPr>
            <w:r w:rsidRPr="00A06203">
              <w:rPr>
                <w:rFonts w:eastAsia="Times New Roman"/>
                <w:bCs/>
                <w:szCs w:val="24"/>
              </w:rPr>
              <w:t xml:space="preserve">1993 </w:t>
            </w:r>
            <w:r w:rsidR="006B7F0D" w:rsidRPr="00A06203">
              <w:rPr>
                <w:rFonts w:eastAsia="Times New Roman"/>
                <w:bCs/>
                <w:szCs w:val="24"/>
              </w:rPr>
              <w:t>tarihli</w:t>
            </w:r>
            <w:r w:rsidR="006B7F0D" w:rsidRPr="00A06203">
              <w:rPr>
                <w:rFonts w:eastAsia="Times New Roman"/>
                <w:b/>
                <w:szCs w:val="24"/>
              </w:rPr>
              <w:t xml:space="preserve"> </w:t>
            </w:r>
            <w:r w:rsidR="006B7F0D" w:rsidRPr="00A06203">
              <w:rPr>
                <w:rFonts w:eastAsia="Times New Roman"/>
                <w:bCs/>
                <w:szCs w:val="24"/>
              </w:rPr>
              <w:t>Milletlerarası</w:t>
            </w:r>
            <w:r w:rsidR="006B7F0D" w:rsidRPr="00A06203">
              <w:rPr>
                <w:rFonts w:eastAsia="Times New Roman"/>
                <w:b/>
                <w:szCs w:val="24"/>
              </w:rPr>
              <w:t xml:space="preserve"> </w:t>
            </w:r>
            <w:r w:rsidR="006B7F0D" w:rsidRPr="00A06203">
              <w:rPr>
                <w:rFonts w:eastAsia="Times New Roman"/>
                <w:bCs/>
                <w:szCs w:val="24"/>
              </w:rPr>
              <w:t>Sözleşmenin</w:t>
            </w:r>
            <w:r w:rsidR="006B7F0D" w:rsidRPr="00A06203">
              <w:rPr>
                <w:rFonts w:eastAsia="Times New Roman"/>
                <w:szCs w:val="24"/>
              </w:rPr>
              <w:t xml:space="preserve"> </w:t>
            </w:r>
            <w:r w:rsidRPr="00A06203">
              <w:rPr>
                <w:rFonts w:eastAsia="Times New Roman"/>
                <w:bCs/>
                <w:szCs w:val="24"/>
              </w:rPr>
              <w:t>12 nci maddesinde, bu maddenin (a) ve (b) bentlerinde belirtilen koşulla</w:t>
            </w:r>
            <w:r w:rsidR="00535D4A" w:rsidRPr="00A06203">
              <w:rPr>
                <w:rFonts w:eastAsia="Times New Roman"/>
                <w:bCs/>
                <w:szCs w:val="24"/>
              </w:rPr>
              <w:t>rın yerine getirilmesi hâ</w:t>
            </w:r>
            <w:r w:rsidRPr="00A06203">
              <w:rPr>
                <w:rFonts w:eastAsia="Times New Roman"/>
                <w:bCs/>
                <w:szCs w:val="24"/>
              </w:rPr>
              <w:t>linde “tescil edilmiş tüm rehinler, ipotekler veya yükümlülükler ile gemi üzerindeki tüm gemi alacaklısı hakları ve hangi nitelikte olursa olsun diğer tüm sınırlandırmaların</w:t>
            </w:r>
            <w:r w:rsidR="00483747" w:rsidRPr="00A06203">
              <w:rPr>
                <w:rFonts w:eastAsia="Times New Roman"/>
                <w:bCs/>
                <w:szCs w:val="24"/>
              </w:rPr>
              <w:t>”</w:t>
            </w:r>
            <w:r w:rsidRPr="00A06203">
              <w:rPr>
                <w:rFonts w:eastAsia="Times New Roman"/>
                <w:bCs/>
                <w:szCs w:val="24"/>
              </w:rPr>
              <w:t xml:space="preserve"> sona ereceği hüküm altına alınmıştır. Bu</w:t>
            </w:r>
            <w:r w:rsidR="00920BEC" w:rsidRPr="00A06203">
              <w:rPr>
                <w:rFonts w:eastAsia="Times New Roman"/>
                <w:bCs/>
                <w:szCs w:val="24"/>
              </w:rPr>
              <w:t xml:space="preserve"> Sözleşme</w:t>
            </w:r>
            <w:r w:rsidRPr="00A06203">
              <w:rPr>
                <w:rFonts w:eastAsia="Times New Roman"/>
                <w:bCs/>
                <w:szCs w:val="24"/>
              </w:rPr>
              <w:t xml:space="preserve"> anlamında “yükümlülükler” terimi, </w:t>
            </w:r>
            <w:r w:rsidRPr="00A06203">
              <w:rPr>
                <w:rFonts w:eastAsia="Times New Roman"/>
                <w:bCs/>
                <w:iCs/>
                <w:szCs w:val="24"/>
              </w:rPr>
              <w:t>rehinler ve ipotekler ile aynı nitelikteki tescil edilebilir ayn</w:t>
            </w:r>
            <w:r w:rsidR="00AC45AD" w:rsidRPr="00A06203">
              <w:rPr>
                <w:rFonts w:eastAsia="Times New Roman"/>
                <w:bCs/>
                <w:iCs/>
                <w:szCs w:val="24"/>
              </w:rPr>
              <w:t>i</w:t>
            </w:r>
            <w:r w:rsidRPr="00A06203">
              <w:rPr>
                <w:rFonts w:eastAsia="Times New Roman"/>
                <w:bCs/>
                <w:iCs/>
                <w:szCs w:val="24"/>
              </w:rPr>
              <w:t xml:space="preserve"> yükümlülükleri</w:t>
            </w:r>
            <w:r w:rsidRPr="00A06203">
              <w:rPr>
                <w:rFonts w:eastAsia="Times New Roman"/>
                <w:bCs/>
                <w:szCs w:val="24"/>
              </w:rPr>
              <w:t xml:space="preserve"> ifade eder (1993 </w:t>
            </w:r>
            <w:r w:rsidR="006B7F0D" w:rsidRPr="00A06203">
              <w:rPr>
                <w:rFonts w:eastAsia="Times New Roman"/>
                <w:bCs/>
                <w:szCs w:val="24"/>
              </w:rPr>
              <w:t>tarihli</w:t>
            </w:r>
            <w:r w:rsidR="006B7F0D" w:rsidRPr="00A06203">
              <w:rPr>
                <w:rFonts w:eastAsia="Times New Roman"/>
                <w:b/>
                <w:szCs w:val="24"/>
              </w:rPr>
              <w:t xml:space="preserve"> </w:t>
            </w:r>
            <w:r w:rsidR="006B7F0D" w:rsidRPr="00A06203">
              <w:rPr>
                <w:rFonts w:eastAsia="Times New Roman"/>
                <w:bCs/>
                <w:szCs w:val="24"/>
              </w:rPr>
              <w:t>Milletlerarası</w:t>
            </w:r>
            <w:r w:rsidR="006B7F0D" w:rsidRPr="00A06203">
              <w:rPr>
                <w:rFonts w:eastAsia="Times New Roman"/>
                <w:b/>
                <w:szCs w:val="24"/>
              </w:rPr>
              <w:t xml:space="preserve"> </w:t>
            </w:r>
            <w:r w:rsidR="006B7F0D" w:rsidRPr="00A06203">
              <w:rPr>
                <w:rFonts w:eastAsia="Times New Roman"/>
                <w:bCs/>
                <w:szCs w:val="24"/>
              </w:rPr>
              <w:t>Sözleşmenin</w:t>
            </w:r>
            <w:r w:rsidR="006B7F0D" w:rsidRPr="00A06203">
              <w:rPr>
                <w:rFonts w:eastAsia="Times New Roman"/>
                <w:szCs w:val="24"/>
              </w:rPr>
              <w:t xml:space="preserve"> </w:t>
            </w:r>
            <w:r w:rsidR="006B7F0D" w:rsidRPr="00A06203">
              <w:rPr>
                <w:rFonts w:eastAsia="Times New Roman"/>
                <w:bCs/>
                <w:szCs w:val="24"/>
              </w:rPr>
              <w:t xml:space="preserve">madde </w:t>
            </w:r>
            <w:r w:rsidRPr="00A06203">
              <w:rPr>
                <w:rFonts w:eastAsia="Times New Roman"/>
                <w:bCs/>
                <w:szCs w:val="24"/>
              </w:rPr>
              <w:t>1/1). Bu düzenlemeye uygun şekilde 6102 sayılı Kanunun 1350</w:t>
            </w:r>
            <w:r w:rsidR="0004670E" w:rsidRPr="00A06203">
              <w:rPr>
                <w:rFonts w:eastAsia="Times New Roman"/>
                <w:bCs/>
                <w:szCs w:val="24"/>
              </w:rPr>
              <w:t xml:space="preserve"> nci</w:t>
            </w:r>
            <w:r w:rsidRPr="00A06203">
              <w:rPr>
                <w:rFonts w:eastAsia="Times New Roman"/>
                <w:bCs/>
                <w:szCs w:val="24"/>
              </w:rPr>
              <w:t xml:space="preserve"> maddesinin son cümlesinin değiştirilerek alınması gerekli görülmüştür. Maddenin üçüncü fıkrasında, ikinci fıkra hükmüne uygun şekilde bildirim ve ilan yapılmaksızın</w:t>
            </w:r>
            <w:r w:rsidRPr="00A06203">
              <w:rPr>
                <w:rFonts w:eastAsia="Times New Roman"/>
                <w:szCs w:val="24"/>
              </w:rPr>
              <w:t xml:space="preserve"> </w:t>
            </w:r>
            <w:r w:rsidRPr="00A06203">
              <w:rPr>
                <w:rFonts w:eastAsia="Times New Roman"/>
                <w:bCs/>
                <w:szCs w:val="24"/>
              </w:rPr>
              <w:t>yurt dışında cebr</w:t>
            </w:r>
            <w:r w:rsidR="00436506" w:rsidRPr="00A06203">
              <w:rPr>
                <w:rFonts w:eastAsia="Times New Roman"/>
                <w:bCs/>
                <w:szCs w:val="24"/>
              </w:rPr>
              <w:t>î</w:t>
            </w:r>
            <w:r w:rsidRPr="00A06203">
              <w:rPr>
                <w:rFonts w:eastAsia="Times New Roman"/>
                <w:bCs/>
                <w:szCs w:val="24"/>
              </w:rPr>
              <w:t xml:space="preserve"> icra yoluyla satılan geminin Türk gemi sicilindeki kaydının silinmeyeceği ve sicilde kayıtlı haklar ile (geminin cebr</w:t>
            </w:r>
            <w:r w:rsidR="00436506" w:rsidRPr="00A06203">
              <w:rPr>
                <w:rFonts w:eastAsia="Times New Roman"/>
                <w:bCs/>
                <w:szCs w:val="24"/>
              </w:rPr>
              <w:t>î</w:t>
            </w:r>
            <w:r w:rsidRPr="00A06203">
              <w:rPr>
                <w:rFonts w:eastAsia="Times New Roman"/>
                <w:bCs/>
                <w:szCs w:val="24"/>
              </w:rPr>
              <w:t xml:space="preserve"> icra yolu ile satışı, gemi alacaklısı hakkı veren alacağı değil, alacak için gemi üzerinde sahip olunan rehin hakkını sona erdireceğinden) gemi alacaklısı haklarının sona ermeyeceği hüküm altına alınmıştır. </w:t>
            </w:r>
          </w:p>
          <w:bookmarkEnd w:id="5"/>
          <w:p w:rsidR="00A46C6E" w:rsidRPr="00A06203" w:rsidRDefault="00A46C6E" w:rsidP="00196116">
            <w:pPr>
              <w:rPr>
                <w:rFonts w:eastAsia="Times New Roman"/>
                <w:b/>
                <w:bCs/>
                <w:color w:val="0000CC"/>
                <w:szCs w:val="24"/>
                <w:shd w:val="clear" w:color="auto" w:fill="FDFDFD"/>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73461E" w:rsidRPr="00A23740" w:rsidRDefault="0073461E" w:rsidP="00196116">
            <w:pPr>
              <w:widowControl w:val="0"/>
              <w:rPr>
                <w:rFonts w:eastAsia="Times New Roman"/>
                <w:b/>
                <w:strike/>
                <w:color w:val="FF0000"/>
                <w:szCs w:val="24"/>
                <w:lang w:eastAsia="tr-TR"/>
              </w:rPr>
            </w:pPr>
            <w:r w:rsidRPr="00A23740">
              <w:rPr>
                <w:rFonts w:eastAsia="Times New Roman"/>
                <w:b/>
                <w:strike/>
                <w:color w:val="FF0000"/>
                <w:szCs w:val="24"/>
                <w:lang w:eastAsia="tr-TR"/>
              </w:rPr>
              <w:t xml:space="preserve">2004 sayılı Kanun </w:t>
            </w:r>
          </w:p>
          <w:p w:rsidR="00A46C6E" w:rsidRPr="00A23740" w:rsidRDefault="00A46C6E" w:rsidP="00196116">
            <w:pPr>
              <w:widowControl w:val="0"/>
              <w:rPr>
                <w:rFonts w:eastAsia="Times New Roman"/>
                <w:b/>
                <w:strike/>
                <w:color w:val="FF0000"/>
                <w:szCs w:val="24"/>
                <w:lang w:eastAsia="tr-TR"/>
              </w:rPr>
            </w:pPr>
            <w:r w:rsidRPr="00A23740">
              <w:rPr>
                <w:rFonts w:eastAsia="Times New Roman"/>
                <w:b/>
                <w:strike/>
                <w:color w:val="FF0000"/>
                <w:szCs w:val="24"/>
                <w:lang w:eastAsia="tr-TR"/>
              </w:rPr>
              <w:t>Kanundaki Istılahlar:</w:t>
            </w:r>
          </w:p>
          <w:p w:rsidR="00A46C6E" w:rsidRPr="00A23740" w:rsidRDefault="00A46C6E" w:rsidP="00196116">
            <w:pPr>
              <w:widowControl w:val="0"/>
              <w:rPr>
                <w:rFonts w:eastAsia="Times New Roman"/>
                <w:b/>
                <w:strike/>
                <w:color w:val="FF0000"/>
                <w:szCs w:val="24"/>
                <w:lang w:eastAsia="tr-TR"/>
              </w:rPr>
            </w:pPr>
            <w:r w:rsidRPr="00A23740">
              <w:rPr>
                <w:rFonts w:eastAsia="Times New Roman"/>
                <w:b/>
                <w:strike/>
                <w:color w:val="FF0000"/>
                <w:szCs w:val="24"/>
                <w:lang w:eastAsia="tr-TR"/>
              </w:rPr>
              <w:t>Madde 23 – (Değişik: 14/1/2011-6103/41 md.)</w:t>
            </w:r>
          </w:p>
          <w:p w:rsidR="00A46C6E" w:rsidRPr="00A23740" w:rsidRDefault="00A46C6E" w:rsidP="00196116">
            <w:pPr>
              <w:widowControl w:val="0"/>
              <w:rPr>
                <w:rFonts w:eastAsia="Times New Roman"/>
                <w:b/>
                <w:strike/>
                <w:color w:val="FF0000"/>
                <w:szCs w:val="24"/>
                <w:lang w:eastAsia="tr-TR"/>
              </w:rPr>
            </w:pPr>
          </w:p>
          <w:p w:rsidR="00A46C6E" w:rsidRPr="00A23740" w:rsidRDefault="00A46C6E" w:rsidP="00196116">
            <w:pPr>
              <w:widowControl w:val="0"/>
              <w:rPr>
                <w:rFonts w:eastAsia="Times New Roman"/>
                <w:b/>
                <w:strike/>
                <w:color w:val="FF0000"/>
                <w:szCs w:val="24"/>
                <w:lang w:eastAsia="tr-TR"/>
              </w:rPr>
            </w:pPr>
          </w:p>
          <w:p w:rsidR="00A46C6E" w:rsidRPr="00A23740" w:rsidRDefault="00277039" w:rsidP="00196116">
            <w:pPr>
              <w:widowControl w:val="0"/>
              <w:rPr>
                <w:rFonts w:eastAsia="Times New Roman"/>
                <w:szCs w:val="24"/>
                <w:lang w:eastAsia="tr-TR"/>
              </w:rPr>
            </w:pPr>
            <w:r>
              <w:rPr>
                <w:rFonts w:eastAsia="Times New Roman"/>
                <w:b/>
                <w:strike/>
                <w:color w:val="FF0000"/>
                <w:szCs w:val="24"/>
                <w:lang w:eastAsia="tr-TR"/>
              </w:rPr>
              <w:t>(F2.</w:t>
            </w:r>
            <w:r w:rsidR="00A46C6E" w:rsidRPr="00A23740">
              <w:rPr>
                <w:rFonts w:eastAsia="Times New Roman"/>
                <w:b/>
                <w:strike/>
                <w:color w:val="FF0000"/>
                <w:szCs w:val="24"/>
                <w:lang w:eastAsia="tr-TR"/>
              </w:rPr>
              <w:t>C1)</w:t>
            </w:r>
            <w:r w:rsidR="00A46C6E" w:rsidRPr="00A23740">
              <w:rPr>
                <w:rFonts w:eastAsia="Times New Roman"/>
                <w:szCs w:val="24"/>
                <w:lang w:eastAsia="tr-TR"/>
              </w:rPr>
              <w:t xml:space="preserve"> Açıkça </w:t>
            </w:r>
            <w:r w:rsidR="00A46C6E" w:rsidRPr="00A23740">
              <w:rPr>
                <w:rFonts w:eastAsia="Times New Roman"/>
                <w:b/>
                <w:strike/>
                <w:color w:val="FF0000"/>
                <w:szCs w:val="24"/>
                <w:lang w:eastAsia="tr-TR"/>
              </w:rPr>
              <w:t>öngörülen istisnalar dışında,</w:t>
            </w:r>
            <w:r w:rsidR="00A46C6E" w:rsidRPr="00A23740">
              <w:rPr>
                <w:rFonts w:eastAsia="Times New Roman"/>
                <w:szCs w:val="24"/>
                <w:lang w:eastAsia="tr-TR"/>
              </w:rPr>
              <w:t xml:space="preserve"> bayrağına ve </w:t>
            </w:r>
            <w:r w:rsidR="00A46C6E" w:rsidRPr="00A23740">
              <w:rPr>
                <w:rFonts w:eastAsia="Times New Roman"/>
                <w:b/>
                <w:strike/>
                <w:color w:val="FF0000"/>
                <w:szCs w:val="24"/>
                <w:lang w:eastAsia="tr-TR"/>
              </w:rPr>
              <w:t>bir</w:t>
            </w:r>
            <w:r w:rsidR="00A46C6E" w:rsidRPr="00A23740">
              <w:rPr>
                <w:rFonts w:eastAsia="Times New Roman"/>
                <w:szCs w:val="24"/>
                <w:lang w:eastAsia="tr-TR"/>
              </w:rPr>
              <w:t xml:space="preserve"> sicile kayıtlı olup olmadığına bakılmaksızın bütün gemiler hakkında bu Kanunun taşınırlara ilişkin hükümleri uygulanır.</w:t>
            </w:r>
          </w:p>
          <w:p w:rsidR="00A46C6E" w:rsidRPr="00A23740" w:rsidRDefault="00A46C6E" w:rsidP="00196116">
            <w:pPr>
              <w:widowControl w:val="0"/>
              <w:rPr>
                <w:rFonts w:eastAsia="Times New Roman"/>
                <w:szCs w:val="24"/>
                <w:lang w:eastAsia="tr-TR"/>
              </w:rPr>
            </w:pPr>
          </w:p>
          <w:p w:rsidR="00A46C6E" w:rsidRPr="00A23740" w:rsidRDefault="00277039" w:rsidP="00196116">
            <w:pPr>
              <w:widowControl w:val="0"/>
              <w:rPr>
                <w:rFonts w:eastAsia="Times New Roman"/>
                <w:b/>
                <w:color w:val="FF0000"/>
                <w:szCs w:val="24"/>
              </w:rPr>
            </w:pPr>
            <w:r>
              <w:rPr>
                <w:rFonts w:eastAsia="Times New Roman"/>
                <w:b/>
                <w:strike/>
                <w:color w:val="FF0000"/>
                <w:szCs w:val="24"/>
                <w:lang w:eastAsia="tr-TR"/>
              </w:rPr>
              <w:t>(F2.</w:t>
            </w:r>
            <w:r w:rsidR="00A46C6E" w:rsidRPr="00A23740">
              <w:rPr>
                <w:rFonts w:eastAsia="Times New Roman"/>
                <w:b/>
                <w:strike/>
                <w:color w:val="FF0000"/>
                <w:szCs w:val="24"/>
                <w:lang w:eastAsia="tr-TR"/>
              </w:rPr>
              <w:t>C2)</w:t>
            </w:r>
            <w:r w:rsidR="00A46C6E" w:rsidRPr="00A23740">
              <w:rPr>
                <w:rFonts w:eastAsia="Times New Roman"/>
                <w:szCs w:val="24"/>
                <w:lang w:eastAsia="tr-TR"/>
              </w:rPr>
              <w:t xml:space="preserve"> Bu Kanun uyarınca gemi siciline verilecek şerhler, Türk Ticaret Kanununun 977 nci maddesi hükmüne tâbidir.</w:t>
            </w:r>
          </w:p>
        </w:tc>
        <w:tc>
          <w:tcPr>
            <w:tcW w:w="2500" w:type="pct"/>
            <w:shd w:val="clear" w:color="auto" w:fill="auto"/>
          </w:tcPr>
          <w:p w:rsidR="00A46C6E" w:rsidRPr="00A23740" w:rsidRDefault="00A46C6E" w:rsidP="00196116">
            <w:pPr>
              <w:widowControl w:val="0"/>
              <w:rPr>
                <w:rFonts w:eastAsia="Times New Roman"/>
                <w:b/>
                <w:color w:val="0000FF"/>
                <w:szCs w:val="24"/>
                <w:lang w:eastAsia="tr-TR"/>
              </w:rPr>
            </w:pPr>
            <w:r w:rsidRPr="00A23740">
              <w:rPr>
                <w:rFonts w:eastAsia="Times New Roman"/>
                <w:b/>
                <w:color w:val="0000FF"/>
                <w:szCs w:val="24"/>
                <w:lang w:eastAsia="tr-TR"/>
              </w:rPr>
              <w:t>Uygulanacak hükümler</w:t>
            </w:r>
          </w:p>
          <w:p w:rsidR="00A46C6E" w:rsidRPr="00A23740" w:rsidRDefault="003B700B" w:rsidP="00196116">
            <w:pPr>
              <w:widowControl w:val="0"/>
              <w:rPr>
                <w:rFonts w:eastAsia="Times New Roman"/>
                <w:b/>
                <w:color w:val="0000FF"/>
                <w:szCs w:val="24"/>
                <w:lang w:eastAsia="tr-TR"/>
              </w:rPr>
            </w:pPr>
            <w:r w:rsidRPr="00A23740">
              <w:rPr>
                <w:rFonts w:eastAsia="Times New Roman"/>
                <w:b/>
                <w:color w:val="0000FF"/>
                <w:szCs w:val="24"/>
                <w:lang w:eastAsia="tr-TR"/>
              </w:rPr>
              <w:t>MADDE 466</w:t>
            </w:r>
            <w:r w:rsidR="00A46C6E" w:rsidRPr="00A23740">
              <w:rPr>
                <w:rFonts w:eastAsia="Times New Roman"/>
                <w:b/>
                <w:color w:val="0000FF"/>
                <w:szCs w:val="24"/>
                <w:lang w:eastAsia="tr-TR"/>
              </w:rPr>
              <w:t>- (1) Bu Kitapta hüküm bulunmayan hâllerde niteliğine uygun düştüğü ölçüde bu Kanunun diğer hükümleri uygulanır.</w:t>
            </w:r>
          </w:p>
          <w:p w:rsidR="00A46C6E" w:rsidRPr="00A23740" w:rsidRDefault="00A46C6E" w:rsidP="00196116">
            <w:pPr>
              <w:widowControl w:val="0"/>
              <w:rPr>
                <w:rFonts w:eastAsia="Times New Roman"/>
                <w:b/>
                <w:bCs/>
                <w:color w:val="0000CC"/>
                <w:szCs w:val="24"/>
                <w:shd w:val="clear" w:color="auto" w:fill="FDFDFD"/>
                <w:lang w:eastAsia="tr-TR"/>
              </w:rPr>
            </w:pPr>
          </w:p>
          <w:p w:rsidR="00A46C6E" w:rsidRPr="00A23740" w:rsidRDefault="00A46C6E" w:rsidP="00196116">
            <w:pPr>
              <w:widowControl w:val="0"/>
              <w:rPr>
                <w:rFonts w:eastAsia="Times New Roman"/>
                <w:szCs w:val="24"/>
                <w:lang w:eastAsia="tr-TR"/>
              </w:rPr>
            </w:pPr>
            <w:r w:rsidRPr="00A23740">
              <w:rPr>
                <w:rFonts w:eastAsia="Times New Roman"/>
                <w:b/>
                <w:color w:val="0000FF"/>
                <w:szCs w:val="24"/>
                <w:lang w:eastAsia="tr-TR"/>
              </w:rPr>
              <w:t>(2) Bu Kanunda veya diğer bir kanunda</w:t>
            </w:r>
            <w:r w:rsidRPr="00A23740">
              <w:rPr>
                <w:rFonts w:eastAsia="Times New Roman"/>
                <w:szCs w:val="24"/>
                <w:lang w:eastAsia="tr-TR"/>
              </w:rPr>
              <w:t xml:space="preserve"> açıkça </w:t>
            </w:r>
            <w:r w:rsidRPr="00A23740">
              <w:rPr>
                <w:rFonts w:eastAsia="Times New Roman"/>
                <w:b/>
                <w:color w:val="0000FF"/>
                <w:szCs w:val="24"/>
                <w:lang w:eastAsia="tr-TR"/>
              </w:rPr>
              <w:t>aksi öngörülmüş olmadıkça,</w:t>
            </w:r>
            <w:r w:rsidRPr="00A23740">
              <w:rPr>
                <w:rFonts w:eastAsia="Times New Roman"/>
                <w:b/>
                <w:bCs/>
                <w:color w:val="0000CC"/>
                <w:szCs w:val="24"/>
                <w:shd w:val="clear" w:color="auto" w:fill="FDFDFD"/>
                <w:lang w:eastAsia="tr-TR"/>
              </w:rPr>
              <w:t xml:space="preserve"> </w:t>
            </w:r>
            <w:r w:rsidRPr="00A23740">
              <w:rPr>
                <w:rFonts w:eastAsia="Times New Roman"/>
                <w:szCs w:val="24"/>
                <w:lang w:eastAsia="tr-TR"/>
              </w:rPr>
              <w:t>bayrağına ve sicile kayıtlı olup olmadığına bakılmaksızın gemiler hakkında bu Kanunun taşınırlara ilişkin hükümleri uygulanır.</w:t>
            </w:r>
          </w:p>
          <w:p w:rsidR="00A46C6E" w:rsidRPr="00A23740" w:rsidRDefault="00A46C6E" w:rsidP="00196116">
            <w:pPr>
              <w:widowControl w:val="0"/>
              <w:rPr>
                <w:rFonts w:eastAsia="Times New Roman"/>
                <w:b/>
                <w:bCs/>
                <w:color w:val="0000CC"/>
                <w:szCs w:val="24"/>
                <w:shd w:val="clear" w:color="auto" w:fill="FDFDFD"/>
                <w:lang w:eastAsia="tr-TR"/>
              </w:rPr>
            </w:pPr>
          </w:p>
          <w:p w:rsidR="00A46C6E" w:rsidRPr="00A23740" w:rsidRDefault="00A46C6E" w:rsidP="00196116">
            <w:pPr>
              <w:widowControl w:val="0"/>
              <w:rPr>
                <w:rFonts w:eastAsia="Times New Roman"/>
                <w:b/>
                <w:bCs/>
                <w:color w:val="0000CC"/>
                <w:szCs w:val="24"/>
                <w:shd w:val="clear" w:color="auto" w:fill="FDFDFD"/>
                <w:lang w:eastAsia="tr-TR"/>
              </w:rPr>
            </w:pPr>
            <w:r w:rsidRPr="00A23740">
              <w:rPr>
                <w:rFonts w:eastAsia="Times New Roman"/>
                <w:b/>
                <w:color w:val="0000FF"/>
                <w:szCs w:val="24"/>
                <w:lang w:eastAsia="tr-TR"/>
              </w:rPr>
              <w:t>(3)</w:t>
            </w:r>
            <w:r w:rsidRPr="00A23740">
              <w:rPr>
                <w:rFonts w:eastAsia="Times New Roman"/>
                <w:b/>
                <w:bCs/>
                <w:color w:val="0000CC"/>
                <w:szCs w:val="24"/>
                <w:shd w:val="clear" w:color="auto" w:fill="FDFDFD"/>
                <w:lang w:eastAsia="tr-TR"/>
              </w:rPr>
              <w:t xml:space="preserve"> </w:t>
            </w:r>
            <w:r w:rsidRPr="00A23740">
              <w:rPr>
                <w:rFonts w:eastAsia="Times New Roman"/>
                <w:szCs w:val="24"/>
                <w:lang w:eastAsia="tr-TR"/>
              </w:rPr>
              <w:t>Bu Kanun uyarınca gemi siciline verilecek şerhler Türk Ticaret Kanununun 977 nci maddesi hükmüne t</w:t>
            </w:r>
            <w:r w:rsidR="0060334C" w:rsidRPr="00A23740">
              <w:rPr>
                <w:rFonts w:eastAsia="Times New Roman"/>
                <w:szCs w:val="24"/>
                <w:lang w:eastAsia="tr-TR"/>
              </w:rPr>
              <w:t>a</w:t>
            </w:r>
            <w:r w:rsidRPr="00A23740">
              <w:rPr>
                <w:rFonts w:eastAsia="Times New Roman"/>
                <w:szCs w:val="24"/>
                <w:lang w:eastAsia="tr-TR"/>
              </w:rPr>
              <w:t>bidir.</w:t>
            </w:r>
          </w:p>
          <w:p w:rsidR="00A46C6E" w:rsidRPr="00A23740" w:rsidRDefault="00A46C6E" w:rsidP="00196116">
            <w:pPr>
              <w:widowControl w:val="0"/>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8" w:name="_Hlk134297964"/>
          </w:p>
          <w:p w:rsidR="00A46C6E" w:rsidRPr="00A23740" w:rsidRDefault="003B700B" w:rsidP="009431FF">
            <w:pPr>
              <w:ind w:firstLine="567"/>
              <w:rPr>
                <w:rFonts w:eastAsia="Times New Roman"/>
                <w:b/>
                <w:bCs/>
                <w:szCs w:val="24"/>
              </w:rPr>
            </w:pPr>
            <w:r w:rsidRPr="00A23740">
              <w:rPr>
                <w:rFonts w:eastAsia="Times New Roman"/>
                <w:b/>
                <w:szCs w:val="24"/>
              </w:rPr>
              <w:t>MADDE 466</w:t>
            </w:r>
            <w:r w:rsidR="00A46C6E" w:rsidRPr="00A23740">
              <w:rPr>
                <w:rFonts w:eastAsia="Times New Roman"/>
                <w:bCs/>
                <w:szCs w:val="24"/>
              </w:rPr>
              <w:t xml:space="preserve">- </w:t>
            </w:r>
            <w:bookmarkStart w:id="9" w:name="_Hlk172717163"/>
            <w:bookmarkStart w:id="10" w:name="_Hlk168032771"/>
            <w:r w:rsidR="00A46C6E" w:rsidRPr="00A23740">
              <w:rPr>
                <w:rFonts w:eastAsia="Times New Roman"/>
                <w:szCs w:val="24"/>
              </w:rPr>
              <w:t>Maddeyle, Deniz Cebr</w:t>
            </w:r>
            <w:r w:rsidR="00436506" w:rsidRPr="00A23740">
              <w:rPr>
                <w:rFonts w:eastAsia="Times New Roman"/>
                <w:szCs w:val="24"/>
              </w:rPr>
              <w:t>î</w:t>
            </w:r>
            <w:r w:rsidR="00A46C6E" w:rsidRPr="00A23740">
              <w:rPr>
                <w:rFonts w:eastAsia="Times New Roman"/>
                <w:szCs w:val="24"/>
              </w:rPr>
              <w:t xml:space="preserve"> İcra Kitabında hüküm bulunmayan hâllerde deniz cebr</w:t>
            </w:r>
            <w:r w:rsidR="00A949BC" w:rsidRPr="00A23740">
              <w:rPr>
                <w:rFonts w:eastAsia="Times New Roman"/>
                <w:szCs w:val="24"/>
              </w:rPr>
              <w:t>î</w:t>
            </w:r>
            <w:r w:rsidR="00A46C6E" w:rsidRPr="00A23740">
              <w:rPr>
                <w:rFonts w:eastAsia="Times New Roman"/>
                <w:szCs w:val="24"/>
              </w:rPr>
              <w:t xml:space="preserve"> icraya uygulanacak hükümler ve bu Kanun uyarınca gemi siciline verilecek şerhlerin t</w:t>
            </w:r>
            <w:r w:rsidR="00D81869" w:rsidRPr="00A23740">
              <w:rPr>
                <w:rFonts w:eastAsia="Times New Roman"/>
                <w:szCs w:val="24"/>
              </w:rPr>
              <w:t>a</w:t>
            </w:r>
            <w:r w:rsidR="00A46C6E" w:rsidRPr="00A23740">
              <w:rPr>
                <w:rFonts w:eastAsia="Times New Roman"/>
                <w:szCs w:val="24"/>
              </w:rPr>
              <w:t xml:space="preserve">bi </w:t>
            </w:r>
            <w:r w:rsidR="00483747" w:rsidRPr="00A23740">
              <w:rPr>
                <w:rFonts w:eastAsia="Times New Roman"/>
                <w:szCs w:val="24"/>
              </w:rPr>
              <w:t xml:space="preserve">olacağı </w:t>
            </w:r>
            <w:r w:rsidR="00A46C6E" w:rsidRPr="00A23740">
              <w:rPr>
                <w:rFonts w:eastAsia="Times New Roman"/>
                <w:szCs w:val="24"/>
              </w:rPr>
              <w:t>hüküm düzenlenmektedir.</w:t>
            </w:r>
            <w:r w:rsidR="00A46C6E" w:rsidRPr="00A23740">
              <w:rPr>
                <w:rFonts w:eastAsia="Times New Roman"/>
                <w:b/>
                <w:bCs/>
                <w:szCs w:val="24"/>
              </w:rPr>
              <w:t xml:space="preserve"> </w:t>
            </w:r>
          </w:p>
          <w:bookmarkEnd w:id="9"/>
          <w:p w:rsidR="00A46C6E" w:rsidRPr="00A23740" w:rsidRDefault="00A46C6E" w:rsidP="009431FF">
            <w:pPr>
              <w:ind w:firstLine="567"/>
              <w:rPr>
                <w:rFonts w:eastAsia="Times New Roman"/>
                <w:szCs w:val="24"/>
              </w:rPr>
            </w:pPr>
            <w:r w:rsidRPr="00A23740">
              <w:rPr>
                <w:rFonts w:eastAsia="Times New Roman"/>
                <w:szCs w:val="24"/>
              </w:rPr>
              <w:t>Taslağın diğer kitaplarında yer alan ve deniz cebr</w:t>
            </w:r>
            <w:r w:rsidR="00436506" w:rsidRPr="00A23740">
              <w:rPr>
                <w:rFonts w:eastAsia="Times New Roman"/>
                <w:szCs w:val="24"/>
              </w:rPr>
              <w:t>î</w:t>
            </w:r>
            <w:r w:rsidRPr="00A23740">
              <w:rPr>
                <w:rFonts w:eastAsia="Times New Roman"/>
                <w:szCs w:val="24"/>
              </w:rPr>
              <w:t xml:space="preserve"> icraya da uygulanabilecek olan hükümler tekrar edilmeksizin,</w:t>
            </w:r>
            <w:r w:rsidR="0056145B" w:rsidRPr="00A23740">
              <w:rPr>
                <w:rFonts w:eastAsia="Times New Roman"/>
                <w:szCs w:val="24"/>
              </w:rPr>
              <w:t xml:space="preserve"> 6102 </w:t>
            </w:r>
            <w:r w:rsidR="0056145B" w:rsidRPr="00A06203">
              <w:rPr>
                <w:rFonts w:eastAsia="Times New Roman"/>
                <w:szCs w:val="24"/>
              </w:rPr>
              <w:t>sayılı</w:t>
            </w:r>
            <w:r w:rsidR="0056145B" w:rsidRPr="00A06203">
              <w:rPr>
                <w:rFonts w:eastAsia="Times New Roman"/>
                <w:b/>
                <w:bCs/>
                <w:szCs w:val="24"/>
              </w:rPr>
              <w:t xml:space="preserve"> </w:t>
            </w:r>
            <w:r w:rsidR="0056145B" w:rsidRPr="00A06203">
              <w:rPr>
                <w:rFonts w:eastAsia="Times New Roman"/>
                <w:szCs w:val="24"/>
              </w:rPr>
              <w:t>Kanunda</w:t>
            </w:r>
            <w:r w:rsidRPr="00A23740">
              <w:rPr>
                <w:rFonts w:eastAsia="Times New Roman"/>
                <w:szCs w:val="24"/>
              </w:rPr>
              <w:t xml:space="preserve"> ve</w:t>
            </w:r>
            <w:r w:rsidR="0056145B" w:rsidRPr="00A23740">
              <w:rPr>
                <w:rFonts w:eastAsia="Times New Roman"/>
                <w:szCs w:val="24"/>
              </w:rPr>
              <w:t xml:space="preserve"> </w:t>
            </w:r>
            <w:r w:rsidR="0056145B" w:rsidRPr="00A06203">
              <w:rPr>
                <w:rFonts w:eastAsia="Times New Roman"/>
                <w:bCs/>
                <w:szCs w:val="24"/>
              </w:rPr>
              <w:t>2004 sayılı Kanunda</w:t>
            </w:r>
            <w:r w:rsidRPr="00A23740">
              <w:rPr>
                <w:rFonts w:eastAsia="Times New Roman"/>
                <w:szCs w:val="24"/>
              </w:rPr>
              <w:t xml:space="preserve"> yer alan deniz cebr</w:t>
            </w:r>
            <w:r w:rsidR="00436506" w:rsidRPr="00A23740">
              <w:rPr>
                <w:rFonts w:eastAsia="Times New Roman"/>
                <w:szCs w:val="24"/>
              </w:rPr>
              <w:t>î</w:t>
            </w:r>
            <w:r w:rsidRPr="00A23740">
              <w:rPr>
                <w:rFonts w:eastAsia="Times New Roman"/>
                <w:szCs w:val="24"/>
              </w:rPr>
              <w:t xml:space="preserve"> icra hükümlerinin gerekli değişiklikler yapılmak ve eksiklikleri tamamlanmak suretiyle deniz cebr</w:t>
            </w:r>
            <w:r w:rsidR="00A949BC" w:rsidRPr="00A23740">
              <w:rPr>
                <w:rFonts w:eastAsia="Times New Roman"/>
                <w:szCs w:val="24"/>
              </w:rPr>
              <w:t>î</w:t>
            </w:r>
            <w:r w:rsidRPr="00A23740">
              <w:rPr>
                <w:rFonts w:eastAsia="Times New Roman"/>
                <w:szCs w:val="24"/>
              </w:rPr>
              <w:t xml:space="preserve"> icraya özgü hükümlerin bir kitapta toplanması amacı </w:t>
            </w:r>
            <w:bookmarkEnd w:id="10"/>
            <w:r w:rsidRPr="00A23740">
              <w:rPr>
                <w:rFonts w:eastAsia="Times New Roman"/>
                <w:szCs w:val="24"/>
              </w:rPr>
              <w:t>doğrultusunda “</w:t>
            </w:r>
            <w:r w:rsidR="00A949BC" w:rsidRPr="00A23740">
              <w:rPr>
                <w:rFonts w:eastAsia="Times New Roman"/>
                <w:szCs w:val="24"/>
              </w:rPr>
              <w:t>Deniz Cebrî İcra” K</w:t>
            </w:r>
            <w:r w:rsidRPr="00A23740">
              <w:rPr>
                <w:rFonts w:eastAsia="Times New Roman"/>
                <w:szCs w:val="24"/>
              </w:rPr>
              <w:t xml:space="preserve">itabında hüküm bulunmayan hâllerde, Taslağın diğer hükümlerinin niteliğine uygun düştüğü ölçüde uygulanacağına açıklık getirmek üzere “uygulanacak hükümler” başlıklı bu maddenin birinci fıkrasına yer verilmesi gerekli görülmüştür. </w:t>
            </w:r>
          </w:p>
          <w:p w:rsidR="00A46C6E" w:rsidRPr="00A23740" w:rsidRDefault="0056145B" w:rsidP="009431FF">
            <w:pPr>
              <w:ind w:firstLine="567"/>
              <w:rPr>
                <w:rFonts w:eastAsia="Times New Roman"/>
                <w:szCs w:val="24"/>
              </w:rPr>
            </w:pPr>
            <w:r w:rsidRPr="00A06203">
              <w:rPr>
                <w:rFonts w:eastAsia="Times New Roman"/>
                <w:szCs w:val="24"/>
              </w:rPr>
              <w:t>2004</w:t>
            </w:r>
            <w:r w:rsidRPr="00A06203">
              <w:rPr>
                <w:rFonts w:eastAsia="Times New Roman"/>
                <w:b/>
                <w:bCs/>
                <w:szCs w:val="24"/>
              </w:rPr>
              <w:t xml:space="preserve"> </w:t>
            </w:r>
            <w:r w:rsidRPr="00A06203">
              <w:rPr>
                <w:rFonts w:eastAsia="Times New Roman"/>
                <w:szCs w:val="24"/>
              </w:rPr>
              <w:t>sayılı</w:t>
            </w:r>
            <w:r w:rsidRPr="00A06203">
              <w:rPr>
                <w:rFonts w:eastAsia="Times New Roman"/>
                <w:b/>
                <w:bCs/>
                <w:szCs w:val="24"/>
              </w:rPr>
              <w:t xml:space="preserve"> </w:t>
            </w:r>
            <w:r w:rsidRPr="00A06203">
              <w:rPr>
                <w:rFonts w:eastAsia="Times New Roman"/>
                <w:szCs w:val="24"/>
              </w:rPr>
              <w:t>Kanunun</w:t>
            </w:r>
            <w:r w:rsidR="00A46C6E" w:rsidRPr="00A23740">
              <w:rPr>
                <w:rFonts w:eastAsia="Times New Roman"/>
                <w:szCs w:val="24"/>
              </w:rPr>
              <w:t xml:space="preserve"> 23 üncü maddesinin son fıkrasının, ifadesi değiştirilmek ve iki ayrı fıkraya bölünmek suretiyle bu maddenin ikinci ve üçüncü fıkraları</w:t>
            </w:r>
            <w:r w:rsidR="00B569B2">
              <w:rPr>
                <w:rFonts w:eastAsia="Times New Roman"/>
                <w:szCs w:val="24"/>
              </w:rPr>
              <w:t>na alınması uygun bulunmuştur.</w:t>
            </w:r>
          </w:p>
          <w:bookmarkEnd w:id="8"/>
          <w:p w:rsidR="00A46C6E" w:rsidRPr="00A23740" w:rsidRDefault="00A46C6E" w:rsidP="00196116">
            <w:pPr>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jc w:val="center"/>
              <w:rPr>
                <w:rFonts w:eastAsia="Times New Roman"/>
                <w:b/>
                <w:szCs w:val="24"/>
              </w:rPr>
            </w:pPr>
          </w:p>
        </w:tc>
        <w:tc>
          <w:tcPr>
            <w:tcW w:w="2500" w:type="pct"/>
            <w:shd w:val="clear" w:color="auto" w:fill="auto"/>
          </w:tcPr>
          <w:p w:rsidR="00A46C6E" w:rsidRPr="00A23740" w:rsidRDefault="00A46C6E" w:rsidP="009431FF">
            <w:r w:rsidRPr="00A23740">
              <w:rPr>
                <w:rFonts w:eastAsia="Times New Roman"/>
                <w:b/>
                <w:color w:val="0000FF"/>
                <w:szCs w:val="24"/>
                <w:lang w:eastAsia="tr-TR"/>
              </w:rPr>
              <w:t>Deniz</w:t>
            </w:r>
            <w:r w:rsidRPr="00A23740">
              <w:t xml:space="preserve"> </w:t>
            </w:r>
            <w:r w:rsidRPr="00A23740">
              <w:rPr>
                <w:rFonts w:eastAsia="Times New Roman"/>
                <w:b/>
                <w:color w:val="0000FF"/>
                <w:szCs w:val="24"/>
                <w:lang w:eastAsia="tr-TR"/>
              </w:rPr>
              <w:t>alacaklarında</w:t>
            </w:r>
            <w:r w:rsidRPr="00A23740">
              <w:t xml:space="preserve"> </w:t>
            </w:r>
            <w:r w:rsidRPr="00A23740">
              <w:rPr>
                <w:rFonts w:eastAsia="Times New Roman"/>
                <w:b/>
                <w:color w:val="0000FF"/>
                <w:szCs w:val="24"/>
                <w:lang w:eastAsia="tr-TR"/>
              </w:rPr>
              <w:t>görevli</w:t>
            </w:r>
            <w:r w:rsidRPr="00A23740">
              <w:t xml:space="preserve"> </w:t>
            </w:r>
            <w:r w:rsidRPr="00A23740">
              <w:rPr>
                <w:rFonts w:eastAsia="Times New Roman"/>
                <w:b/>
                <w:color w:val="0000FF"/>
                <w:szCs w:val="24"/>
                <w:lang w:eastAsia="tr-TR"/>
              </w:rPr>
              <w:t>mahkeme</w:t>
            </w:r>
          </w:p>
          <w:p w:rsidR="00A46C6E" w:rsidRPr="00A23740" w:rsidRDefault="003B700B" w:rsidP="009431FF">
            <w:pPr>
              <w:rPr>
                <w:rFonts w:eastAsia="Times New Roman"/>
                <w:b/>
                <w:color w:val="0000FF"/>
                <w:szCs w:val="24"/>
                <w:lang w:eastAsia="tr-TR"/>
              </w:rPr>
            </w:pPr>
            <w:r w:rsidRPr="00A23740">
              <w:rPr>
                <w:rFonts w:eastAsia="Times New Roman"/>
                <w:b/>
                <w:color w:val="0000FF"/>
                <w:szCs w:val="24"/>
                <w:lang w:eastAsia="tr-TR"/>
              </w:rPr>
              <w:t>MADDE 467</w:t>
            </w:r>
            <w:r w:rsidR="00A46C6E" w:rsidRPr="00A23740">
              <w:rPr>
                <w:rFonts w:eastAsia="Times New Roman"/>
                <w:b/>
                <w:color w:val="0000FF"/>
                <w:szCs w:val="24"/>
                <w:lang w:eastAsia="tr-TR"/>
              </w:rPr>
              <w:t xml:space="preserve">- (1) </w:t>
            </w:r>
            <w:r w:rsidR="003C1C46" w:rsidRPr="00A06203">
              <w:rPr>
                <w:rStyle w:val="YELChar"/>
                <w:color w:val="0000FF"/>
              </w:rPr>
              <w:t>Bu Kanunun</w:t>
            </w:r>
            <w:r w:rsidR="0056145B" w:rsidRPr="00A06203">
              <w:rPr>
                <w:rStyle w:val="YELChar"/>
                <w:color w:val="0000FF"/>
              </w:rPr>
              <w:t xml:space="preserve"> </w:t>
            </w:r>
            <w:r w:rsidR="0056145B" w:rsidRPr="00A06203">
              <w:rPr>
                <w:rStyle w:val="KonuBalChar"/>
                <w:rFonts w:eastAsia="ヒラギノ明朝 Pro W3"/>
                <w:color w:val="0000FF"/>
              </w:rPr>
              <w:t>493 üncü</w:t>
            </w:r>
            <w:r w:rsidR="003C1C46" w:rsidRPr="00A23740">
              <w:rPr>
                <w:rFonts w:eastAsia="Times New Roman"/>
                <w:b/>
                <w:color w:val="0000FF"/>
                <w:szCs w:val="24"/>
                <w:lang w:eastAsia="tr-TR"/>
              </w:rPr>
              <w:t xml:space="preserve"> </w:t>
            </w:r>
            <w:r w:rsidR="003C1C46" w:rsidRPr="00A06203">
              <w:rPr>
                <w:b/>
                <w:color w:val="0000FF"/>
              </w:rPr>
              <w:t>maddesinde</w:t>
            </w:r>
            <w:r w:rsidR="00A46C6E" w:rsidRPr="00A23740">
              <w:rPr>
                <w:b/>
                <w:color w:val="FF3399"/>
              </w:rPr>
              <w:t xml:space="preserve"> </w:t>
            </w:r>
            <w:r w:rsidR="00A46C6E" w:rsidRPr="00A23740">
              <w:rPr>
                <w:rFonts w:eastAsia="Times New Roman"/>
                <w:b/>
                <w:color w:val="0000FF"/>
                <w:szCs w:val="24"/>
                <w:lang w:eastAsia="tr-TR"/>
              </w:rPr>
              <w:t>belirtilen deniz alacaklarından kaynaklanan uyuşmazlıklarda ve bu alacaklar için ihtiyati haciz taleplerinde Türk Ticaret Kanununun 5 inci maddesinde belirtilen mahkemeler görevlidir.</w:t>
            </w:r>
          </w:p>
          <w:p w:rsidR="00A46C6E" w:rsidRPr="00A23740" w:rsidRDefault="00A46C6E" w:rsidP="009431FF">
            <w:pPr>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06203" w:rsidRDefault="00A46C6E" w:rsidP="009431FF">
            <w:pPr>
              <w:ind w:firstLine="709"/>
              <w:rPr>
                <w:rFonts w:eastAsia="Times New Roman"/>
                <w:b/>
                <w:szCs w:val="24"/>
              </w:rPr>
            </w:pPr>
            <w:bookmarkStart w:id="11" w:name="_Hlk134297927"/>
          </w:p>
          <w:p w:rsidR="00A46C6E" w:rsidRPr="00A06203" w:rsidRDefault="003B700B" w:rsidP="009431FF">
            <w:pPr>
              <w:ind w:firstLine="567"/>
              <w:rPr>
                <w:rFonts w:eastAsia="Times New Roman"/>
                <w:szCs w:val="24"/>
              </w:rPr>
            </w:pPr>
            <w:r w:rsidRPr="00A06203">
              <w:rPr>
                <w:rFonts w:eastAsia="Times New Roman"/>
                <w:b/>
                <w:szCs w:val="24"/>
              </w:rPr>
              <w:t>MADDE 467</w:t>
            </w:r>
            <w:r w:rsidR="00A46C6E" w:rsidRPr="00A06203">
              <w:rPr>
                <w:rFonts w:eastAsia="Times New Roman"/>
                <w:b/>
                <w:szCs w:val="24"/>
              </w:rPr>
              <w:t>-</w:t>
            </w:r>
            <w:r w:rsidR="00A46C6E" w:rsidRPr="00A06203">
              <w:rPr>
                <w:rFonts w:eastAsia="Times New Roman"/>
                <w:szCs w:val="24"/>
              </w:rPr>
              <w:t xml:space="preserve"> </w:t>
            </w:r>
            <w:bookmarkStart w:id="12" w:name="_Hlk172718250"/>
            <w:r w:rsidR="00A46C6E" w:rsidRPr="00A06203">
              <w:rPr>
                <w:rFonts w:eastAsia="Times New Roman"/>
                <w:bCs/>
                <w:szCs w:val="24"/>
              </w:rPr>
              <w:t>Maddeyle deniz alacaklarında görevli mahkeme düzenlenmektedir.</w:t>
            </w:r>
          </w:p>
          <w:bookmarkEnd w:id="12"/>
          <w:p w:rsidR="00A46C6E" w:rsidRPr="00A06203" w:rsidRDefault="00A46C6E" w:rsidP="009431FF">
            <w:pPr>
              <w:ind w:firstLine="567"/>
              <w:rPr>
                <w:rFonts w:eastAsia="Times New Roman"/>
                <w:bCs/>
                <w:szCs w:val="24"/>
              </w:rPr>
            </w:pPr>
            <w:r w:rsidRPr="00A06203">
              <w:rPr>
                <w:rFonts w:eastAsia="Times New Roman"/>
                <w:bCs/>
                <w:szCs w:val="24"/>
              </w:rPr>
              <w:t>6102 sayılı Kanunun 4 üncü maddesinde “</w:t>
            </w:r>
            <w:r w:rsidRPr="00A06203">
              <w:rPr>
                <w:rFonts w:eastAsia="Times New Roman"/>
                <w:bCs/>
                <w:iCs/>
                <w:szCs w:val="24"/>
              </w:rPr>
              <w:t>Her iki tarafın da ticari işletmesiyle ilgili hususlardan doğan hukuk davaları ve çekişmesiz yargı işleri, tarafların tacir olup olmadıklarına bakılmaksızın … a) bu Kanunda …. öngörülen hususlardan doğan davalar ticari dava ve ticari nitelikteki çekişmesiz yargı işi sayılır.</w:t>
            </w:r>
            <w:r w:rsidRPr="00A06203">
              <w:rPr>
                <w:rFonts w:eastAsia="Times New Roman"/>
                <w:bCs/>
                <w:szCs w:val="24"/>
              </w:rPr>
              <w:t>” denilmiş; 5 inci maddesinde ise “</w:t>
            </w:r>
            <w:r w:rsidRPr="00A06203">
              <w:rPr>
                <w:rFonts w:eastAsia="Times New Roman"/>
                <w:bCs/>
                <w:iCs/>
                <w:szCs w:val="24"/>
              </w:rPr>
              <w:t>aksine hüküm bulunmadıkça dava olunan şeyin değerine veya tutarına bakılmaksızın asliye ticaret mahkemesinin, tüm ticari davalar ile ticari nitelikteki çekişmesiz yargı işlerine bakmakla görevli olduğu; bir yerde asliye ticaret mahkemesi varsa, asliye hukuk mahkemesinin görevi içinde bulunan ve 4 üncü madde hükmünce ticari sayılan davalarla özel hükümler uyarınca ticaret mahkemesinde görülecek diğer işlere asliye ticaret mahkemesinde bakılacağı; bir yerde ticaret davalarına bakan birden çok asliye ticaret mahkemesi varsa, iş durumunun gerekli kıldığı yerlerde Hâkimler ve Savcılar Kurulunca, asliye ticaret mahkemelerinden biri veya birkaçının münhasıran bu Kanundan ve diğer kanunlardan doğan deniz ticaretine ve deniz sigortalarına ilişkin hukuk davalarına bakmakla görevlendirilebileceği</w:t>
            </w:r>
            <w:r w:rsidRPr="00A06203">
              <w:rPr>
                <w:rFonts w:eastAsia="Times New Roman"/>
                <w:bCs/>
                <w:szCs w:val="24"/>
              </w:rPr>
              <w:t>” öngörülmüştür. Deniz alacakları 6102 sayılı Kanunun 1352 nci maddesinde hüküm altına alındığından, deniz alacaklarından kaynaklanan uyuşmazlıklar ve bu alacaklar için ihtiyati haciz taleplerinin görüleceği mahkemelerin tespitinde de 6102 sayılı Kanunun 4 üncü ve 5 inci maddeleri geçerlidir. 6102 sayılı Kanunun 1352 nci maddesinin</w:t>
            </w:r>
            <w:r w:rsidR="00833F3D" w:rsidRPr="00A06203">
              <w:rPr>
                <w:rFonts w:eastAsia="Times New Roman"/>
                <w:bCs/>
                <w:szCs w:val="24"/>
              </w:rPr>
              <w:t xml:space="preserve"> Taslağa</w:t>
            </w:r>
            <w:r w:rsidRPr="00A06203">
              <w:rPr>
                <w:rFonts w:eastAsia="Times New Roman"/>
                <w:bCs/>
                <w:szCs w:val="24"/>
              </w:rPr>
              <w:t xml:space="preserve"> alınması sonucu deniz alacaklarından kaynaklanan uyuşmazlıklar ve deniz alacakları için ihtiyati haciz taleplerinin görüleceği mahkemelerin tespitinde 6102 sayılı Kanunun 5 inci maddesinin uygulanması imkânı ortadan kalkacaktır. Ancak deniz alacaklarından kaynaklanan uyuşmazlıklarda ve bu alacaklar için ihtiyati haciz taleplerinde 6102 sayılı Kanunun 5 inci maddesinde belirtilen mahkemelerin görevli olması uygun ve gerekli görüldüğünden, bu maddeye yer verilmiştir. </w:t>
            </w:r>
          </w:p>
          <w:bookmarkEnd w:id="11"/>
          <w:p w:rsidR="00E26FFD" w:rsidRPr="00A06203" w:rsidRDefault="00E26FFD"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b/>
                <w:strike/>
                <w:color w:val="FF0000"/>
                <w:szCs w:val="24"/>
                <w:lang w:eastAsia="tr-TR"/>
              </w:rPr>
            </w:pPr>
            <w:r w:rsidRPr="00A23740">
              <w:rPr>
                <w:rFonts w:eastAsia="Times New Roman"/>
                <w:color w:val="000000"/>
                <w:szCs w:val="24"/>
                <w:lang w:eastAsia="tr-TR"/>
              </w:rPr>
              <w:t>Gemi</w:t>
            </w:r>
            <w:r w:rsidRPr="00A23740">
              <w:rPr>
                <w:rFonts w:eastAsia="Times New Roman"/>
                <w:b/>
                <w:strike/>
                <w:color w:val="FF0000"/>
                <w:szCs w:val="24"/>
                <w:lang w:eastAsia="tr-TR"/>
              </w:rPr>
              <w:t>lere ve bunlarla ilgili</w:t>
            </w:r>
            <w:r w:rsidRPr="00A23740">
              <w:rPr>
                <w:rFonts w:eastAsia="Times New Roman"/>
                <w:color w:val="000000"/>
                <w:szCs w:val="24"/>
                <w:lang w:eastAsia="tr-TR"/>
              </w:rPr>
              <w:t xml:space="preserve"> aynî haklara ilişkin ilamlar</w:t>
            </w:r>
            <w:r w:rsidRPr="00A23740">
              <w:rPr>
                <w:rFonts w:eastAsia="Times New Roman"/>
                <w:b/>
                <w:strike/>
                <w:color w:val="FF0000"/>
                <w:szCs w:val="24"/>
                <w:lang w:eastAsia="tr-TR"/>
              </w:rPr>
              <w:t>ın icrası:</w:t>
            </w:r>
          </w:p>
          <w:p w:rsidR="00A46C6E" w:rsidRPr="00A23740" w:rsidRDefault="00A46C6E" w:rsidP="009431FF">
            <w:pPr>
              <w:rPr>
                <w:rFonts w:eastAsia="Times New Roman"/>
                <w:b/>
                <w:strike/>
                <w:color w:val="FF0000"/>
                <w:szCs w:val="24"/>
                <w:lang w:eastAsia="tr-TR"/>
              </w:rPr>
            </w:pPr>
            <w:r w:rsidRPr="00A23740">
              <w:rPr>
                <w:rFonts w:eastAsia="Times New Roman"/>
                <w:b/>
                <w:strike/>
                <w:color w:val="FF0000"/>
                <w:szCs w:val="24"/>
                <w:lang w:eastAsia="tr-TR"/>
              </w:rPr>
              <w:t>Madde 31/a – (Ek: 14/1/2011-6103/41 md.)</w:t>
            </w:r>
          </w:p>
          <w:p w:rsidR="00A46C6E" w:rsidRPr="00A23740" w:rsidRDefault="00A46C6E" w:rsidP="009431FF">
            <w:pPr>
              <w:rPr>
                <w:rFonts w:eastAsia="Times New Roman"/>
                <w:color w:val="000000"/>
                <w:szCs w:val="24"/>
                <w:lang w:eastAsia="tr-TR"/>
              </w:rPr>
            </w:pPr>
            <w:r w:rsidRPr="00E26FFD">
              <w:rPr>
                <w:rStyle w:val="KIRMIZIChar"/>
                <w:rFonts w:eastAsia="Calibri"/>
              </w:rPr>
              <w:t>(F1)</w:t>
            </w:r>
            <w:r w:rsidRPr="00A23740">
              <w:rPr>
                <w:rFonts w:eastAsia="Times New Roman"/>
                <w:color w:val="000000"/>
                <w:szCs w:val="24"/>
                <w:lang w:eastAsia="tr-TR"/>
              </w:rPr>
              <w:t xml:space="preserve"> Bayrağına ve sicile kayıtlı olup olmadığına bakılmaksızın </w:t>
            </w:r>
            <w:r w:rsidRPr="00A23740">
              <w:rPr>
                <w:rFonts w:eastAsia="Times New Roman"/>
                <w:b/>
                <w:strike/>
                <w:color w:val="FF0000"/>
                <w:szCs w:val="24"/>
                <w:lang w:eastAsia="tr-TR"/>
              </w:rPr>
              <w:t xml:space="preserve">bütün </w:t>
            </w:r>
            <w:r w:rsidRPr="00A23740">
              <w:rPr>
                <w:rFonts w:eastAsia="Times New Roman"/>
                <w:color w:val="000000"/>
                <w:szCs w:val="24"/>
                <w:lang w:eastAsia="tr-TR"/>
              </w:rPr>
              <w:t>gemi</w:t>
            </w:r>
            <w:r w:rsidRPr="00A23740">
              <w:rPr>
                <w:rFonts w:eastAsia="Times New Roman"/>
                <w:b/>
                <w:strike/>
                <w:color w:val="FF0000"/>
                <w:szCs w:val="24"/>
                <w:lang w:eastAsia="tr-TR"/>
              </w:rPr>
              <w:t>lere ve bunlarla ilgili</w:t>
            </w:r>
            <w:r w:rsidRPr="00A23740">
              <w:rPr>
                <w:rFonts w:eastAsia="Times New Roman"/>
                <w:color w:val="000000"/>
                <w:szCs w:val="24"/>
                <w:lang w:eastAsia="tr-TR"/>
              </w:rPr>
              <w:t xml:space="preserve"> aynî haklara ilişkin </w:t>
            </w:r>
            <w:r w:rsidRPr="00A23740">
              <w:rPr>
                <w:rFonts w:eastAsia="Times New Roman"/>
                <w:b/>
                <w:strike/>
                <w:color w:val="FF0000"/>
                <w:szCs w:val="24"/>
                <w:lang w:eastAsia="tr-TR"/>
              </w:rPr>
              <w:t>kararlar</w:t>
            </w:r>
            <w:r w:rsidRPr="00A23740">
              <w:rPr>
                <w:rFonts w:eastAsia="Times New Roman"/>
                <w:color w:val="000000"/>
                <w:szCs w:val="24"/>
                <w:lang w:eastAsia="tr-TR"/>
              </w:rPr>
              <w:t xml:space="preserve">, kesinleşmedikçe icra </w:t>
            </w:r>
            <w:r w:rsidRPr="00A23740">
              <w:rPr>
                <w:rFonts w:eastAsia="Times New Roman"/>
                <w:b/>
                <w:strike/>
                <w:color w:val="FF0000"/>
                <w:szCs w:val="24"/>
                <w:lang w:eastAsia="tr-TR"/>
              </w:rPr>
              <w:t>edilemez</w:t>
            </w:r>
            <w:r w:rsidRPr="00A23740">
              <w:rPr>
                <w:rFonts w:eastAsia="Times New Roman"/>
                <w:color w:val="000000"/>
                <w:szCs w:val="24"/>
                <w:lang w:eastAsia="tr-TR"/>
              </w:rPr>
              <w:t>.</w:t>
            </w:r>
          </w:p>
          <w:p w:rsidR="00A46C6E" w:rsidRPr="00A23740" w:rsidRDefault="00A46C6E" w:rsidP="009431FF">
            <w:pPr>
              <w:rPr>
                <w:rFonts w:eastAsia="Times New Roman"/>
                <w:color w:val="000000"/>
                <w:szCs w:val="24"/>
                <w:lang w:eastAsia="tr-TR"/>
              </w:rPr>
            </w:pPr>
          </w:p>
          <w:p w:rsidR="0073461E" w:rsidRPr="00A23740" w:rsidRDefault="0073461E" w:rsidP="009431FF">
            <w:pPr>
              <w:rPr>
                <w:rFonts w:eastAsia="Times New Roman"/>
                <w:color w:val="000000"/>
                <w:szCs w:val="24"/>
                <w:lang w:eastAsia="tr-TR"/>
              </w:rPr>
            </w:pPr>
          </w:p>
          <w:p w:rsidR="003B700B" w:rsidRPr="00A23740" w:rsidRDefault="003B700B" w:rsidP="009431FF">
            <w:pPr>
              <w:rPr>
                <w:rFonts w:eastAsia="Times New Roman"/>
                <w:color w:val="000000"/>
                <w:szCs w:val="24"/>
                <w:lang w:eastAsia="tr-TR"/>
              </w:rPr>
            </w:pPr>
          </w:p>
          <w:p w:rsidR="00A46C6E" w:rsidRPr="00A23740" w:rsidRDefault="00A46C6E" w:rsidP="009431FF">
            <w:pPr>
              <w:rPr>
                <w:rFonts w:eastAsia="Times New Roman"/>
                <w:color w:val="000000"/>
                <w:szCs w:val="24"/>
                <w:lang w:eastAsia="tr-TR"/>
              </w:rPr>
            </w:pPr>
            <w:r w:rsidRPr="00E26FFD">
              <w:rPr>
                <w:rStyle w:val="KIRMIZIChar"/>
                <w:rFonts w:eastAsia="Calibri"/>
              </w:rPr>
              <w:t>(F2)</w:t>
            </w:r>
            <w:r w:rsidRPr="00A23740">
              <w:rPr>
                <w:rFonts w:eastAsia="Times New Roman"/>
                <w:color w:val="000000"/>
                <w:szCs w:val="24"/>
                <w:lang w:eastAsia="tr-TR"/>
              </w:rPr>
              <w:t xml:space="preserve"> </w:t>
            </w:r>
            <w:r w:rsidRPr="00A23740">
              <w:rPr>
                <w:rFonts w:eastAsia="Times New Roman"/>
                <w:b/>
                <w:strike/>
                <w:color w:val="FF0000"/>
                <w:szCs w:val="24"/>
                <w:lang w:eastAsia="tr-TR"/>
              </w:rPr>
              <w:t>Sicile kayıtlı</w:t>
            </w:r>
            <w:r w:rsidRPr="00A23740">
              <w:rPr>
                <w:rFonts w:eastAsia="Times New Roman"/>
                <w:color w:val="000000"/>
                <w:szCs w:val="24"/>
                <w:lang w:eastAsia="tr-TR"/>
              </w:rPr>
              <w:t xml:space="preserve"> Türk gemi</w:t>
            </w:r>
            <w:r w:rsidRPr="00A23740">
              <w:rPr>
                <w:rFonts w:eastAsia="Times New Roman"/>
                <w:b/>
                <w:strike/>
                <w:color w:val="FF0000"/>
                <w:szCs w:val="24"/>
                <w:lang w:eastAsia="tr-TR"/>
              </w:rPr>
              <w:t>lerine ve bunlarla ilgili</w:t>
            </w:r>
            <w:r w:rsidRPr="00A23740">
              <w:rPr>
                <w:rFonts w:eastAsia="Times New Roman"/>
                <w:color w:val="000000"/>
                <w:szCs w:val="24"/>
                <w:lang w:eastAsia="tr-TR"/>
              </w:rPr>
              <w:t xml:space="preserve"> aynî haklara ilişkin davalarda davacının lehine hüküm veril</w:t>
            </w:r>
            <w:r w:rsidRPr="00A23740">
              <w:rPr>
                <w:rFonts w:eastAsia="Times New Roman"/>
                <w:b/>
                <w:strike/>
                <w:color w:val="FF0000"/>
                <w:szCs w:val="24"/>
                <w:lang w:eastAsia="tr-TR"/>
              </w:rPr>
              <w:t xml:space="preserve">irse, </w:t>
            </w:r>
            <w:r w:rsidRPr="00A23740">
              <w:rPr>
                <w:rFonts w:eastAsia="Times New Roman"/>
                <w:color w:val="000000"/>
                <w:szCs w:val="24"/>
                <w:lang w:eastAsia="tr-TR"/>
              </w:rPr>
              <w:t>mahkeme</w:t>
            </w:r>
            <w:r w:rsidRPr="00A23740">
              <w:rPr>
                <w:rFonts w:eastAsia="Times New Roman"/>
                <w:b/>
                <w:strike/>
                <w:color w:val="FF0000"/>
                <w:szCs w:val="24"/>
                <w:lang w:eastAsia="tr-TR"/>
              </w:rPr>
              <w:t>, davacının istemine gerek kalmaksızın,</w:t>
            </w:r>
            <w:r w:rsidRPr="00A23740">
              <w:rPr>
                <w:rFonts w:eastAsia="Times New Roman"/>
                <w:color w:val="000000"/>
                <w:szCs w:val="24"/>
                <w:lang w:eastAsia="tr-TR"/>
              </w:rPr>
              <w:t xml:space="preserve"> hükmün tefhimi ile </w:t>
            </w:r>
            <w:r w:rsidRPr="00A23740">
              <w:rPr>
                <w:rFonts w:eastAsia="Times New Roman"/>
                <w:b/>
                <w:strike/>
                <w:color w:val="FF0000"/>
                <w:szCs w:val="24"/>
                <w:lang w:eastAsia="tr-TR"/>
              </w:rPr>
              <w:t>birlikte</w:t>
            </w:r>
            <w:r w:rsidRPr="00A23740">
              <w:rPr>
                <w:rFonts w:eastAsia="Times New Roman"/>
                <w:color w:val="000000"/>
                <w:szCs w:val="24"/>
                <w:lang w:eastAsia="tr-TR"/>
              </w:rPr>
              <w:t xml:space="preserve"> özetini gemi sicili müdürlüğüne bildirir. Hüküm, </w:t>
            </w:r>
            <w:r w:rsidRPr="00A23740">
              <w:rPr>
                <w:rFonts w:eastAsia="Times New Roman"/>
                <w:b/>
                <w:strike/>
                <w:color w:val="FF0000"/>
                <w:szCs w:val="24"/>
                <w:lang w:eastAsia="tr-TR"/>
              </w:rPr>
              <w:t>gemi siciline şerh edilir.</w:t>
            </w:r>
            <w:r w:rsidRPr="00A23740">
              <w:rPr>
                <w:rFonts w:eastAsia="Times New Roman"/>
                <w:color w:val="000000"/>
                <w:szCs w:val="24"/>
                <w:lang w:eastAsia="tr-TR"/>
              </w:rPr>
              <w:t xml:space="preserve"> </w:t>
            </w:r>
            <w:r w:rsidRPr="00A23740">
              <w:rPr>
                <w:rFonts w:eastAsia="Times New Roman"/>
                <w:b/>
                <w:strike/>
                <w:color w:val="FF0000"/>
                <w:szCs w:val="24"/>
                <w:lang w:eastAsia="tr-TR"/>
              </w:rPr>
              <w:t>Davada verilen karar ileride davacının aleyhine kesinleşirse, mahkeme, bu hükmün özetini de gemi sicili müdürlüğüne derhal bildirir. Sicile kayıtlı olup olmadığına bakılmaksızın bütün yabancı bayraklı gemiler bakımından mahkeme, bu fıkrada öngörülen bildirimleri, geminin bayrağını taşıdığı devletin en yakın konsolosluğuna yapar.</w:t>
            </w:r>
            <w:r w:rsidRPr="00A23740">
              <w:rPr>
                <w:rFonts w:eastAsia="Times New Roman"/>
                <w:color w:val="000000"/>
                <w:szCs w:val="24"/>
                <w:lang w:eastAsia="tr-TR"/>
              </w:rPr>
              <w:t xml:space="preserve"> Hükmün gemi siciline şerh edilmesinden sonra geminin zilyetliğini elde eden kişi aleyhine yeni bir ilâm alınmasına gerek olmadan, </w:t>
            </w:r>
            <w:r w:rsidRPr="00A23740">
              <w:rPr>
                <w:rFonts w:eastAsia="Times New Roman"/>
                <w:b/>
                <w:strike/>
                <w:color w:val="FF0000"/>
                <w:szCs w:val="24"/>
                <w:lang w:eastAsia="tr-TR"/>
              </w:rPr>
              <w:t xml:space="preserve">üçüncü fıkraya </w:t>
            </w:r>
            <w:r w:rsidRPr="00A23740">
              <w:rPr>
                <w:rFonts w:eastAsia="Times New Roman"/>
                <w:color w:val="000000"/>
                <w:szCs w:val="24"/>
                <w:lang w:eastAsia="tr-TR"/>
              </w:rPr>
              <w:t>göre işlem yapılır.</w:t>
            </w:r>
          </w:p>
          <w:p w:rsidR="00A46C6E" w:rsidRPr="00A23740" w:rsidRDefault="00A46C6E" w:rsidP="009431FF">
            <w:pPr>
              <w:rPr>
                <w:rFonts w:eastAsia="Times New Roman"/>
                <w:color w:val="000000"/>
                <w:szCs w:val="24"/>
                <w:lang w:eastAsia="tr-TR"/>
              </w:rPr>
            </w:pPr>
          </w:p>
          <w:p w:rsidR="00A46C6E" w:rsidRPr="00A23740" w:rsidRDefault="00A46C6E" w:rsidP="009431FF">
            <w:pPr>
              <w:rPr>
                <w:rFonts w:eastAsia="Times New Roman"/>
                <w:color w:val="000000"/>
                <w:szCs w:val="24"/>
                <w:lang w:eastAsia="tr-TR"/>
              </w:rPr>
            </w:pPr>
          </w:p>
          <w:p w:rsidR="003C1C46" w:rsidRPr="00A23740" w:rsidRDefault="003C1C46" w:rsidP="009431FF">
            <w:pPr>
              <w:rPr>
                <w:rFonts w:eastAsia="Times New Roman"/>
                <w:color w:val="000000"/>
                <w:szCs w:val="24"/>
                <w:lang w:eastAsia="tr-TR"/>
              </w:rPr>
            </w:pPr>
          </w:p>
          <w:p w:rsidR="003C1C46" w:rsidRDefault="003C1C46" w:rsidP="009431FF">
            <w:pPr>
              <w:rPr>
                <w:rFonts w:eastAsia="Times New Roman"/>
                <w:color w:val="000000"/>
                <w:szCs w:val="24"/>
                <w:lang w:eastAsia="tr-TR"/>
              </w:rPr>
            </w:pPr>
          </w:p>
          <w:p w:rsidR="00B569B2" w:rsidRPr="00A23740" w:rsidRDefault="00B569B2" w:rsidP="009431FF">
            <w:pPr>
              <w:rPr>
                <w:rFonts w:eastAsia="Times New Roman"/>
                <w:color w:val="000000"/>
                <w:szCs w:val="24"/>
                <w:lang w:eastAsia="tr-TR"/>
              </w:rPr>
            </w:pPr>
          </w:p>
          <w:p w:rsidR="003C1C46" w:rsidRDefault="003C1C46" w:rsidP="009431FF">
            <w:pPr>
              <w:rPr>
                <w:rFonts w:eastAsia="Times New Roman"/>
                <w:color w:val="000000"/>
                <w:szCs w:val="24"/>
                <w:lang w:eastAsia="tr-TR"/>
              </w:rPr>
            </w:pPr>
          </w:p>
          <w:p w:rsidR="00E26FFD" w:rsidRPr="00A23740" w:rsidRDefault="00E26FFD" w:rsidP="009431FF">
            <w:pPr>
              <w:rPr>
                <w:rFonts w:eastAsia="Times New Roman"/>
                <w:color w:val="000000"/>
                <w:szCs w:val="24"/>
                <w:lang w:eastAsia="tr-TR"/>
              </w:rPr>
            </w:pPr>
          </w:p>
          <w:p w:rsidR="003C1C46" w:rsidRPr="00A23740" w:rsidRDefault="003C1C46" w:rsidP="009431FF">
            <w:pPr>
              <w:rPr>
                <w:rFonts w:eastAsia="Times New Roman"/>
                <w:color w:val="000000"/>
                <w:szCs w:val="24"/>
                <w:lang w:eastAsia="tr-TR"/>
              </w:rPr>
            </w:pPr>
          </w:p>
          <w:p w:rsidR="00A46C6E" w:rsidRPr="00A23740" w:rsidRDefault="00A46C6E" w:rsidP="009431FF">
            <w:pPr>
              <w:rPr>
                <w:rFonts w:eastAsia="Times New Roman"/>
                <w:szCs w:val="24"/>
              </w:rPr>
            </w:pPr>
            <w:r w:rsidRPr="00E26FFD">
              <w:rPr>
                <w:rStyle w:val="KIRMIZIChar"/>
                <w:rFonts w:eastAsia="Calibri"/>
              </w:rPr>
              <w:t>(F7)</w:t>
            </w:r>
            <w:r w:rsidRPr="00A23740">
              <w:rPr>
                <w:rFonts w:eastAsia="Times New Roman"/>
                <w:color w:val="000000"/>
                <w:szCs w:val="24"/>
                <w:lang w:eastAsia="tr-TR"/>
              </w:rPr>
              <w:t xml:space="preserve"> Sicile kayıtlı Türk gemileri üzerinde ipotek veya intifa hakkının kurulmasına veya kaldırılmasına ilişkin ilâm</w:t>
            </w:r>
            <w:r w:rsidRPr="00A23740">
              <w:rPr>
                <w:rFonts w:eastAsia="Times New Roman"/>
                <w:b/>
                <w:strike/>
                <w:color w:val="FF0000"/>
                <w:szCs w:val="24"/>
                <w:lang w:eastAsia="x-none"/>
              </w:rPr>
              <w:t>,</w:t>
            </w:r>
            <w:r w:rsidRPr="00A23740">
              <w:rPr>
                <w:rFonts w:eastAsia="Times New Roman"/>
                <w:color w:val="000000"/>
                <w:szCs w:val="24"/>
                <w:lang w:eastAsia="tr-TR"/>
              </w:rPr>
              <w:t xml:space="preserve"> icra dairesine verilince, icra müdürü</w:t>
            </w:r>
            <w:r w:rsidRPr="00A23740">
              <w:rPr>
                <w:rFonts w:eastAsia="Times New Roman"/>
                <w:b/>
                <w:strike/>
                <w:color w:val="FF0000"/>
                <w:szCs w:val="24"/>
                <w:lang w:eastAsia="x-none"/>
              </w:rPr>
              <w:t>,</w:t>
            </w:r>
            <w:r w:rsidRPr="00A23740">
              <w:rPr>
                <w:rFonts w:eastAsia="Times New Roman"/>
                <w:color w:val="000000"/>
                <w:szCs w:val="24"/>
                <w:lang w:eastAsia="tr-TR"/>
              </w:rPr>
              <w:t xml:space="preserve"> </w:t>
            </w:r>
            <w:r w:rsidRPr="00A23740">
              <w:rPr>
                <w:rFonts w:eastAsia="Times New Roman"/>
                <w:b/>
                <w:strike/>
                <w:color w:val="FF0000"/>
                <w:szCs w:val="24"/>
                <w:lang w:eastAsia="tr-TR"/>
              </w:rPr>
              <w:t>üçüncü fıkrada yazılı şekilde yedi günlük bir icra emri gönderir.</w:t>
            </w:r>
            <w:r w:rsidRPr="00A23740">
              <w:rPr>
                <w:rFonts w:eastAsia="Times New Roman"/>
                <w:color w:val="000000"/>
                <w:szCs w:val="24"/>
                <w:lang w:eastAsia="tr-TR"/>
              </w:rPr>
              <w:t xml:space="preserve"> </w:t>
            </w:r>
            <w:r w:rsidRPr="00A23740">
              <w:rPr>
                <w:rFonts w:eastAsia="Times New Roman"/>
                <w:b/>
                <w:strike/>
                <w:color w:val="FF0000"/>
                <w:szCs w:val="24"/>
                <w:lang w:eastAsia="tr-TR"/>
              </w:rPr>
              <w:t>Borçlu emri yerine getirmezse,</w:t>
            </w:r>
            <w:r w:rsidRPr="00A23740">
              <w:rPr>
                <w:rFonts w:eastAsia="Times New Roman"/>
                <w:color w:val="000000"/>
                <w:szCs w:val="24"/>
                <w:lang w:eastAsia="tr-TR"/>
              </w:rPr>
              <w:t xml:space="preserve"> ilâmın hükmü zorla icra olunur.</w:t>
            </w: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tc>
        <w:tc>
          <w:tcPr>
            <w:tcW w:w="2500" w:type="pct"/>
            <w:shd w:val="clear" w:color="auto" w:fill="auto"/>
          </w:tcPr>
          <w:p w:rsidR="0073461E" w:rsidRPr="00A06203" w:rsidRDefault="0073461E" w:rsidP="009431FF">
            <w:pPr>
              <w:pStyle w:val="KonuBal"/>
              <w:jc w:val="center"/>
              <w:rPr>
                <w:color w:val="0000FF"/>
              </w:rPr>
            </w:pPr>
            <w:r w:rsidRPr="00A06203">
              <w:rPr>
                <w:color w:val="0000FF"/>
              </w:rPr>
              <w:t>İKİNCİ KISIM</w:t>
            </w:r>
          </w:p>
          <w:p w:rsidR="00A46C6E" w:rsidRPr="00A23740" w:rsidRDefault="00A46C6E" w:rsidP="009431FF">
            <w:pPr>
              <w:jc w:val="center"/>
              <w:rPr>
                <w:rFonts w:eastAsia="Times New Roman"/>
                <w:b/>
                <w:color w:val="0000FF"/>
                <w:szCs w:val="24"/>
                <w:lang w:eastAsia="tr-TR"/>
              </w:rPr>
            </w:pPr>
            <w:r w:rsidRPr="00A23740">
              <w:rPr>
                <w:rFonts w:eastAsia="Times New Roman"/>
                <w:b/>
                <w:color w:val="0000FF"/>
                <w:szCs w:val="24"/>
                <w:lang w:eastAsia="tr-TR"/>
              </w:rPr>
              <w:t>İlamlı İcra</w:t>
            </w:r>
          </w:p>
          <w:p w:rsidR="00A46C6E" w:rsidRPr="00A23740" w:rsidRDefault="00A46C6E" w:rsidP="009431FF">
            <w:pPr>
              <w:rPr>
                <w:rFonts w:eastAsia="Times New Roman"/>
                <w:b/>
                <w:bCs/>
                <w:color w:val="0000FF"/>
                <w:szCs w:val="24"/>
                <w:lang w:eastAsia="x-none"/>
              </w:rPr>
            </w:pPr>
          </w:p>
          <w:p w:rsidR="00A46C6E" w:rsidRPr="00A23740" w:rsidRDefault="00A46C6E" w:rsidP="009431FF">
            <w:pPr>
              <w:rPr>
                <w:rFonts w:eastAsia="Times New Roman"/>
                <w:b/>
                <w:strike/>
                <w:color w:val="FF0000"/>
                <w:szCs w:val="24"/>
                <w:lang w:eastAsia="x-none"/>
              </w:rPr>
            </w:pPr>
            <w:r w:rsidRPr="00A23740">
              <w:rPr>
                <w:rFonts w:eastAsia="Times New Roman"/>
                <w:b/>
                <w:color w:val="000000"/>
                <w:szCs w:val="24"/>
                <w:lang w:eastAsia="tr-TR"/>
              </w:rPr>
              <w:t xml:space="preserve">Gemi </w:t>
            </w:r>
            <w:r w:rsidRPr="00A23740">
              <w:rPr>
                <w:rFonts w:eastAsia="Times New Roman"/>
                <w:b/>
                <w:bCs/>
                <w:color w:val="0000FF"/>
                <w:szCs w:val="24"/>
                <w:lang w:eastAsia="x-none"/>
              </w:rPr>
              <w:t>üzerindeki</w:t>
            </w:r>
            <w:r w:rsidRPr="00A23740">
              <w:rPr>
                <w:rFonts w:eastAsia="Times New Roman"/>
                <w:b/>
                <w:color w:val="000000"/>
                <w:szCs w:val="24"/>
                <w:lang w:eastAsia="tr-TR"/>
              </w:rPr>
              <w:t xml:space="preserve"> ayn</w:t>
            </w:r>
            <w:r w:rsidR="0043667A" w:rsidRPr="00A23740">
              <w:rPr>
                <w:rFonts w:eastAsia="Times New Roman"/>
                <w:b/>
                <w:color w:val="000000"/>
                <w:szCs w:val="24"/>
                <w:lang w:eastAsia="tr-TR"/>
              </w:rPr>
              <w:t>i</w:t>
            </w:r>
            <w:r w:rsidRPr="00A23740">
              <w:rPr>
                <w:rFonts w:eastAsia="Times New Roman"/>
                <w:b/>
                <w:color w:val="000000"/>
                <w:szCs w:val="24"/>
                <w:lang w:eastAsia="tr-TR"/>
              </w:rPr>
              <w:t xml:space="preserve"> haklara ilişkin ilamlar</w:t>
            </w:r>
          </w:p>
          <w:p w:rsidR="00A46C6E" w:rsidRPr="00A23740" w:rsidRDefault="003B700B" w:rsidP="009431FF">
            <w:pPr>
              <w:rPr>
                <w:rFonts w:eastAsia="Times New Roman"/>
              </w:rPr>
            </w:pPr>
            <w:r w:rsidRPr="00A23740">
              <w:rPr>
                <w:rFonts w:eastAsia="Times New Roman"/>
                <w:b/>
                <w:bCs/>
                <w:color w:val="0000FF"/>
                <w:szCs w:val="24"/>
                <w:lang w:eastAsia="x-none"/>
              </w:rPr>
              <w:t>MADDE 468</w:t>
            </w:r>
            <w:r w:rsidR="00A46C6E" w:rsidRPr="00A23740">
              <w:rPr>
                <w:rFonts w:eastAsia="Times New Roman"/>
                <w:b/>
                <w:bCs/>
                <w:color w:val="0000FF"/>
                <w:szCs w:val="24"/>
                <w:lang w:eastAsia="x-none"/>
              </w:rPr>
              <w:t xml:space="preserve">- (1) </w:t>
            </w:r>
            <w:r w:rsidR="00A46C6E" w:rsidRPr="00A23740">
              <w:rPr>
                <w:rFonts w:eastAsia="Times New Roman"/>
                <w:color w:val="000000"/>
                <w:szCs w:val="24"/>
                <w:lang w:eastAsia="tr-TR"/>
              </w:rPr>
              <w:t>Bayrağına ve sicile kayıtlı olup olmadığına bakılmaksızın</w:t>
            </w:r>
            <w:r w:rsidR="00A46C6E" w:rsidRPr="00A23740">
              <w:rPr>
                <w:rFonts w:eastAsia="Times New Roman"/>
                <w:b/>
                <w:bCs/>
                <w:color w:val="0000FF"/>
                <w:szCs w:val="24"/>
                <w:lang w:eastAsia="x-none"/>
              </w:rPr>
              <w:t xml:space="preserve"> gemi üzerindeki </w:t>
            </w:r>
            <w:r w:rsidR="00A46C6E" w:rsidRPr="00A23740">
              <w:rPr>
                <w:rFonts w:eastAsia="Times New Roman"/>
                <w:color w:val="000000"/>
                <w:szCs w:val="24"/>
                <w:lang w:eastAsia="tr-TR"/>
              </w:rPr>
              <w:t>ayn</w:t>
            </w:r>
            <w:r w:rsidR="0043667A" w:rsidRPr="00A23740">
              <w:rPr>
                <w:rFonts w:eastAsia="Times New Roman"/>
                <w:color w:val="000000"/>
                <w:szCs w:val="24"/>
                <w:lang w:eastAsia="tr-TR"/>
              </w:rPr>
              <w:t>i</w:t>
            </w:r>
            <w:r w:rsidR="00A46C6E" w:rsidRPr="00A23740">
              <w:rPr>
                <w:rFonts w:eastAsia="Times New Roman"/>
                <w:color w:val="000000"/>
                <w:szCs w:val="24"/>
                <w:lang w:eastAsia="tr-TR"/>
              </w:rPr>
              <w:t xml:space="preserve"> haklara ilişkin</w:t>
            </w:r>
            <w:r w:rsidR="00A46C6E" w:rsidRPr="00A23740">
              <w:rPr>
                <w:rFonts w:eastAsia="Times New Roman"/>
                <w:b/>
                <w:bCs/>
                <w:color w:val="0000FF"/>
                <w:szCs w:val="24"/>
                <w:lang w:eastAsia="x-none"/>
              </w:rPr>
              <w:t xml:space="preserve"> ilamlar, </w:t>
            </w:r>
            <w:r w:rsidR="00A46C6E" w:rsidRPr="00A23740">
              <w:rPr>
                <w:rFonts w:eastAsia="Times New Roman"/>
                <w:color w:val="000000"/>
                <w:szCs w:val="24"/>
                <w:lang w:eastAsia="tr-TR"/>
              </w:rPr>
              <w:t>kesinleşmedikçe icra</w:t>
            </w:r>
            <w:r w:rsidR="00A46C6E" w:rsidRPr="00A23740">
              <w:rPr>
                <w:rFonts w:eastAsia="Times New Roman"/>
                <w:b/>
                <w:bCs/>
                <w:color w:val="0000FF"/>
                <w:szCs w:val="24"/>
                <w:lang w:eastAsia="x-none"/>
              </w:rPr>
              <w:t>ya konulamaz.</w:t>
            </w:r>
          </w:p>
          <w:p w:rsidR="00A46C6E" w:rsidRPr="00A23740" w:rsidRDefault="00A46C6E" w:rsidP="009431FF">
            <w:pPr>
              <w:rPr>
                <w:rFonts w:eastAsia="Times New Roman"/>
              </w:rPr>
            </w:pPr>
          </w:p>
          <w:p w:rsidR="00A46C6E" w:rsidRPr="00A23740" w:rsidRDefault="00A46C6E" w:rsidP="009431FF">
            <w:pPr>
              <w:tabs>
                <w:tab w:val="left" w:pos="567"/>
              </w:tabs>
              <w:rPr>
                <w:bCs/>
                <w:color w:val="0000FF"/>
                <w:szCs w:val="24"/>
                <w:lang w:val="x-none" w:eastAsia="x-none"/>
              </w:rPr>
            </w:pPr>
            <w:r w:rsidRPr="00A23740">
              <w:rPr>
                <w:b/>
                <w:color w:val="0000FF"/>
                <w:szCs w:val="24"/>
                <w:lang w:val="x-none" w:eastAsia="x-none"/>
              </w:rPr>
              <w:t>(2)</w:t>
            </w:r>
            <w:r w:rsidRPr="00A23740">
              <w:rPr>
                <w:bCs/>
                <w:color w:val="0000FF"/>
                <w:szCs w:val="24"/>
                <w:lang w:val="x-none" w:eastAsia="x-none"/>
              </w:rPr>
              <w:t xml:space="preserve"> </w:t>
            </w:r>
            <w:r w:rsidRPr="00A23740">
              <w:rPr>
                <w:b/>
                <w:bCs/>
                <w:color w:val="0000FF"/>
                <w:szCs w:val="24"/>
                <w:lang w:val="x-none" w:eastAsia="x-none"/>
              </w:rPr>
              <w:t>Gemi üzerindeki ayn</w:t>
            </w:r>
            <w:r w:rsidR="0043667A" w:rsidRPr="00A23740">
              <w:rPr>
                <w:b/>
                <w:bCs/>
                <w:color w:val="0000FF"/>
                <w:szCs w:val="24"/>
                <w:lang w:eastAsia="x-none"/>
              </w:rPr>
              <w:t>i</w:t>
            </w:r>
            <w:r w:rsidRPr="00A23740">
              <w:rPr>
                <w:b/>
                <w:bCs/>
                <w:color w:val="0000FF"/>
                <w:szCs w:val="24"/>
                <w:lang w:val="x-none" w:eastAsia="x-none"/>
              </w:rPr>
              <w:t xml:space="preserve"> haklara ilişkin</w:t>
            </w:r>
            <w:r w:rsidRPr="00A23740">
              <w:rPr>
                <w:bCs/>
                <w:color w:val="0000FF"/>
                <w:szCs w:val="24"/>
                <w:lang w:eastAsia="x-none"/>
              </w:rPr>
              <w:t xml:space="preserve"> </w:t>
            </w:r>
            <w:r w:rsidRPr="00A23740">
              <w:rPr>
                <w:b/>
                <w:bCs/>
                <w:color w:val="0000FF"/>
                <w:szCs w:val="24"/>
                <w:lang w:val="x-none" w:eastAsia="x-none"/>
              </w:rPr>
              <w:t>ilamların icrasında 56</w:t>
            </w:r>
            <w:r w:rsidR="00833F3D" w:rsidRPr="00A23740">
              <w:rPr>
                <w:b/>
                <w:bCs/>
                <w:color w:val="0000FF"/>
                <w:szCs w:val="24"/>
                <w:lang w:eastAsia="x-none"/>
              </w:rPr>
              <w:t xml:space="preserve"> </w:t>
            </w:r>
            <w:r w:rsidR="00A127B1">
              <w:rPr>
                <w:b/>
                <w:bCs/>
                <w:color w:val="0000FF"/>
                <w:szCs w:val="24"/>
                <w:lang w:val="x-none" w:eastAsia="x-none"/>
              </w:rPr>
              <w:t xml:space="preserve"> ila</w:t>
            </w:r>
            <w:r w:rsidRPr="00A23740">
              <w:rPr>
                <w:b/>
                <w:bCs/>
                <w:color w:val="0000FF"/>
                <w:szCs w:val="24"/>
                <w:lang w:val="x-none" w:eastAsia="x-none"/>
              </w:rPr>
              <w:t xml:space="preserve"> 59 uncu maddeler kıyasen uygulanır.</w:t>
            </w:r>
          </w:p>
          <w:p w:rsidR="00833F3D" w:rsidRPr="00A23740" w:rsidRDefault="00833F3D" w:rsidP="009431FF">
            <w:pPr>
              <w:rPr>
                <w:rFonts w:eastAsia="Times New Roman"/>
              </w:rPr>
            </w:pPr>
          </w:p>
          <w:p w:rsidR="00A46C6E" w:rsidRPr="00A23740" w:rsidRDefault="00A46C6E" w:rsidP="009431FF">
            <w:pPr>
              <w:rPr>
                <w:rFonts w:eastAsia="Times New Roman"/>
                <w:b/>
                <w:bCs/>
                <w:color w:val="0000CC"/>
                <w:szCs w:val="24"/>
                <w:lang w:eastAsia="tr-TR"/>
              </w:rPr>
            </w:pPr>
            <w:r w:rsidRPr="00A23740">
              <w:rPr>
                <w:rFonts w:eastAsia="Times New Roman"/>
                <w:b/>
                <w:bCs/>
                <w:color w:val="0000FF"/>
                <w:szCs w:val="24"/>
                <w:lang w:eastAsia="x-none"/>
              </w:rPr>
              <w:t>(3) Bir</w:t>
            </w:r>
            <w:r w:rsidRPr="00A23740">
              <w:rPr>
                <w:rFonts w:eastAsia="Times New Roman"/>
                <w:color w:val="000000"/>
                <w:szCs w:val="24"/>
                <w:lang w:eastAsia="tr-TR"/>
              </w:rPr>
              <w:t xml:space="preserve"> Türk gemi </w:t>
            </w:r>
            <w:r w:rsidRPr="00A23740">
              <w:rPr>
                <w:rFonts w:eastAsia="Times New Roman"/>
                <w:b/>
                <w:bCs/>
                <w:color w:val="0000FF"/>
                <w:szCs w:val="24"/>
                <w:lang w:eastAsia="x-none"/>
              </w:rPr>
              <w:t xml:space="preserve">sicilinde kayıtlı gemi üzerindeki </w:t>
            </w:r>
            <w:r w:rsidRPr="00A23740">
              <w:rPr>
                <w:rFonts w:eastAsia="Times New Roman"/>
                <w:color w:val="000000"/>
                <w:szCs w:val="24"/>
                <w:lang w:eastAsia="tr-TR"/>
              </w:rPr>
              <w:t>ayn</w:t>
            </w:r>
            <w:r w:rsidR="0043667A" w:rsidRPr="00A23740">
              <w:rPr>
                <w:rFonts w:eastAsia="Times New Roman"/>
                <w:color w:val="000000"/>
                <w:szCs w:val="24"/>
                <w:lang w:eastAsia="tr-TR"/>
              </w:rPr>
              <w:t>i</w:t>
            </w:r>
            <w:r w:rsidRPr="00A23740">
              <w:rPr>
                <w:rFonts w:eastAsia="Times New Roman"/>
                <w:color w:val="000000"/>
                <w:szCs w:val="24"/>
                <w:lang w:eastAsia="tr-TR"/>
              </w:rPr>
              <w:t xml:space="preserve"> haklara ilişkin davalarda davacı lehine hüküm veril</w:t>
            </w:r>
            <w:r w:rsidRPr="00A23740">
              <w:rPr>
                <w:rFonts w:eastAsia="Times New Roman"/>
                <w:b/>
                <w:bCs/>
                <w:color w:val="0000FF"/>
                <w:szCs w:val="24"/>
                <w:lang w:eastAsia="tr-TR"/>
              </w:rPr>
              <w:t>mesi h</w:t>
            </w:r>
            <w:r w:rsidR="003C1C46" w:rsidRPr="00A23740">
              <w:rPr>
                <w:rFonts w:eastAsia="Times New Roman"/>
                <w:b/>
                <w:bCs/>
                <w:color w:val="0000FF"/>
                <w:szCs w:val="24"/>
                <w:lang w:eastAsia="tr-TR"/>
              </w:rPr>
              <w:t>â</w:t>
            </w:r>
            <w:r w:rsidRPr="00A23740">
              <w:rPr>
                <w:rFonts w:eastAsia="Times New Roman"/>
                <w:b/>
                <w:bCs/>
                <w:color w:val="0000FF"/>
                <w:szCs w:val="24"/>
                <w:lang w:eastAsia="tr-TR"/>
              </w:rPr>
              <w:t xml:space="preserve">linde </w:t>
            </w:r>
            <w:r w:rsidRPr="00A23740">
              <w:rPr>
                <w:rFonts w:eastAsia="Times New Roman"/>
                <w:color w:val="000000"/>
                <w:szCs w:val="24"/>
                <w:lang w:eastAsia="tr-TR"/>
              </w:rPr>
              <w:t>mahkeme</w:t>
            </w:r>
            <w:r w:rsidR="00392D49" w:rsidRPr="0090299D">
              <w:rPr>
                <w:rStyle w:val="Balk1Char"/>
                <w:rFonts w:eastAsia="Calibri"/>
              </w:rPr>
              <w:t>,</w:t>
            </w:r>
            <w:r w:rsidRPr="00A23740">
              <w:rPr>
                <w:rFonts w:eastAsia="Times New Roman"/>
                <w:b/>
                <w:bCs/>
                <w:color w:val="0000FF"/>
                <w:szCs w:val="24"/>
                <w:lang w:eastAsia="tr-TR"/>
              </w:rPr>
              <w:t xml:space="preserve"> </w:t>
            </w:r>
            <w:r w:rsidRPr="00A23740">
              <w:rPr>
                <w:rFonts w:eastAsia="Times New Roman"/>
                <w:color w:val="000000"/>
                <w:szCs w:val="24"/>
                <w:lang w:eastAsia="tr-TR"/>
              </w:rPr>
              <w:t xml:space="preserve">hükmün </w:t>
            </w:r>
            <w:r w:rsidRPr="00A23740">
              <w:rPr>
                <w:rFonts w:eastAsia="Times New Roman"/>
                <w:b/>
                <w:bCs/>
                <w:color w:val="0000FF"/>
                <w:szCs w:val="24"/>
                <w:lang w:eastAsia="tr-TR"/>
              </w:rPr>
              <w:t>tefhimini</w:t>
            </w:r>
            <w:r w:rsidRPr="00A23740">
              <w:rPr>
                <w:rFonts w:eastAsia="Times New Roman"/>
                <w:bCs/>
                <w:color w:val="0000FF"/>
                <w:lang w:eastAsia="tr-TR"/>
              </w:rPr>
              <w:t xml:space="preserve"> </w:t>
            </w:r>
            <w:r w:rsidRPr="00A23740">
              <w:rPr>
                <w:rFonts w:eastAsia="Times New Roman"/>
                <w:b/>
                <w:bCs/>
                <w:color w:val="0000FF"/>
                <w:szCs w:val="24"/>
                <w:lang w:eastAsia="tr-TR"/>
              </w:rPr>
              <w:t>takiben</w:t>
            </w:r>
            <w:r w:rsidRPr="00A23740">
              <w:rPr>
                <w:rFonts w:eastAsia="Times New Roman"/>
                <w:bCs/>
                <w:color w:val="0000FF"/>
                <w:lang w:eastAsia="tr-TR"/>
              </w:rPr>
              <w:t xml:space="preserve"> </w:t>
            </w:r>
            <w:r w:rsidRPr="00A23740">
              <w:rPr>
                <w:rFonts w:eastAsia="Times New Roman"/>
                <w:b/>
                <w:bCs/>
                <w:color w:val="0000FF"/>
                <w:szCs w:val="24"/>
                <w:lang w:eastAsia="tr-TR"/>
              </w:rPr>
              <w:t>hüküm</w:t>
            </w:r>
            <w:r w:rsidRPr="00A23740">
              <w:rPr>
                <w:rFonts w:eastAsia="Times New Roman"/>
                <w:bCs/>
                <w:color w:val="0000FF"/>
                <w:lang w:eastAsia="tr-TR"/>
              </w:rPr>
              <w:t xml:space="preserve"> </w:t>
            </w:r>
            <w:r w:rsidRPr="00A23740">
              <w:rPr>
                <w:rFonts w:eastAsia="Times New Roman"/>
                <w:b/>
                <w:bCs/>
                <w:color w:val="0000FF"/>
                <w:szCs w:val="24"/>
                <w:lang w:eastAsia="tr-TR"/>
              </w:rPr>
              <w:t>sonucunu</w:t>
            </w:r>
            <w:r w:rsidRPr="00A23740">
              <w:rPr>
                <w:rFonts w:eastAsia="Times New Roman"/>
                <w:color w:val="000000"/>
                <w:szCs w:val="24"/>
                <w:lang w:eastAsia="tr-TR"/>
              </w:rPr>
              <w:t xml:space="preserve"> </w:t>
            </w:r>
            <w:r w:rsidRPr="00A23740">
              <w:rPr>
                <w:rFonts w:eastAsia="Times New Roman"/>
                <w:b/>
                <w:bCs/>
                <w:color w:val="0000FF"/>
                <w:szCs w:val="24"/>
                <w:lang w:eastAsia="tr-TR"/>
              </w:rPr>
              <w:t>derh</w:t>
            </w:r>
            <w:r w:rsidR="00DF22A1" w:rsidRPr="00A23740">
              <w:rPr>
                <w:rFonts w:eastAsia="Times New Roman"/>
                <w:b/>
                <w:bCs/>
                <w:color w:val="0000FF"/>
                <w:szCs w:val="24"/>
                <w:lang w:eastAsia="tr-TR"/>
              </w:rPr>
              <w:t>â</w:t>
            </w:r>
            <w:r w:rsidRPr="00A23740">
              <w:rPr>
                <w:rFonts w:eastAsia="Times New Roman"/>
                <w:b/>
                <w:bCs/>
                <w:color w:val="0000FF"/>
                <w:szCs w:val="24"/>
                <w:lang w:eastAsia="tr-TR"/>
              </w:rPr>
              <w:t xml:space="preserve">l geminin kayıtlı olduğu sicile şerh verilmesi için </w:t>
            </w:r>
            <w:r w:rsidRPr="00A23740">
              <w:rPr>
                <w:rFonts w:eastAsia="Times New Roman"/>
                <w:color w:val="000000"/>
                <w:szCs w:val="24"/>
                <w:lang w:eastAsia="tr-TR"/>
              </w:rPr>
              <w:t>gemi sicil müdürlüğüne resen bildirir. Hüküm</w:t>
            </w:r>
            <w:r w:rsidRPr="00A23740">
              <w:rPr>
                <w:rFonts w:eastAsia="Times New Roman"/>
                <w:b/>
                <w:bCs/>
                <w:color w:val="0000FF"/>
                <w:szCs w:val="24"/>
                <w:lang w:eastAsia="tr-TR"/>
              </w:rPr>
              <w:t xml:space="preserve"> davacının aleyhine kesinleştiği takdirde mahkeme, </w:t>
            </w:r>
            <w:r w:rsidRPr="00A06203">
              <w:rPr>
                <w:rFonts w:eastAsia="Times New Roman"/>
                <w:b/>
                <w:bCs/>
                <w:color w:val="0000FF"/>
                <w:szCs w:val="24"/>
                <w:lang w:eastAsia="tr-TR"/>
              </w:rPr>
              <w:t>hüküm</w:t>
            </w:r>
            <w:r w:rsidRPr="00A23740">
              <w:rPr>
                <w:rFonts w:eastAsia="Times New Roman"/>
                <w:b/>
                <w:bCs/>
                <w:color w:val="0000FF"/>
                <w:szCs w:val="24"/>
                <w:lang w:eastAsia="tr-TR"/>
              </w:rPr>
              <w:t xml:space="preserve"> </w:t>
            </w:r>
            <w:r w:rsidRPr="00A06203">
              <w:rPr>
                <w:rFonts w:eastAsia="Times New Roman"/>
                <w:b/>
                <w:bCs/>
                <w:color w:val="0000FF"/>
                <w:szCs w:val="24"/>
                <w:lang w:eastAsia="tr-TR"/>
              </w:rPr>
              <w:t>sonucunu</w:t>
            </w:r>
            <w:r w:rsidRPr="00A23740">
              <w:rPr>
                <w:b/>
                <w:color w:val="00CC00"/>
                <w:lang w:eastAsia="tr-TR"/>
              </w:rPr>
              <w:t xml:space="preserve"> </w:t>
            </w:r>
            <w:r w:rsidRPr="00A23740">
              <w:rPr>
                <w:rFonts w:eastAsia="Times New Roman"/>
                <w:b/>
                <w:bCs/>
                <w:color w:val="0000FF"/>
                <w:szCs w:val="24"/>
                <w:lang w:eastAsia="tr-TR"/>
              </w:rPr>
              <w:t>gemi sicili müdürlüğüne derh</w:t>
            </w:r>
            <w:r w:rsidR="00DF22A1" w:rsidRPr="00A23740">
              <w:rPr>
                <w:rFonts w:eastAsia="Times New Roman"/>
                <w:b/>
                <w:bCs/>
                <w:color w:val="0000FF"/>
                <w:szCs w:val="24"/>
                <w:lang w:eastAsia="tr-TR"/>
              </w:rPr>
              <w:t>â</w:t>
            </w:r>
            <w:r w:rsidRPr="00A23740">
              <w:rPr>
                <w:rFonts w:eastAsia="Times New Roman"/>
                <w:b/>
                <w:bCs/>
                <w:color w:val="0000FF"/>
                <w:szCs w:val="24"/>
                <w:lang w:eastAsia="tr-TR"/>
              </w:rPr>
              <w:t xml:space="preserve">l bildirir. </w:t>
            </w:r>
            <w:r w:rsidRPr="00A23740">
              <w:rPr>
                <w:rFonts w:eastAsia="Times New Roman"/>
                <w:color w:val="000000"/>
                <w:szCs w:val="24"/>
                <w:lang w:eastAsia="tr-TR"/>
              </w:rPr>
              <w:t xml:space="preserve">Hükmün gemi siciline şerh edilmesinden sonra </w:t>
            </w:r>
            <w:r w:rsidRPr="00A23740">
              <w:rPr>
                <w:rFonts w:eastAsia="Times New Roman"/>
                <w:b/>
                <w:bCs/>
                <w:color w:val="0000FF"/>
                <w:szCs w:val="24"/>
                <w:lang w:eastAsia="tr-TR"/>
              </w:rPr>
              <w:t xml:space="preserve">geminin zilyetliğinin devredilmesi, icra işlemlerini etkilemez; </w:t>
            </w:r>
            <w:r w:rsidRPr="00A23740">
              <w:rPr>
                <w:rFonts w:eastAsia="Times New Roman"/>
                <w:color w:val="000000"/>
                <w:szCs w:val="24"/>
                <w:lang w:eastAsia="tr-TR"/>
              </w:rPr>
              <w:t>geminin zilyetliğini elde eden kişi aleyhine yeni bir ilam alınmasına gerek olmadan</w:t>
            </w:r>
            <w:r w:rsidRPr="00A23740">
              <w:rPr>
                <w:rFonts w:eastAsia="Times New Roman"/>
                <w:b/>
                <w:bCs/>
                <w:color w:val="0000FF"/>
                <w:szCs w:val="24"/>
                <w:lang w:eastAsia="tr-TR"/>
              </w:rPr>
              <w:t xml:space="preserve">, </w:t>
            </w:r>
            <w:r w:rsidR="00833F3D" w:rsidRPr="00A06203">
              <w:rPr>
                <w:rStyle w:val="KonuBalChar"/>
                <w:rFonts w:eastAsia="Calibri"/>
                <w:color w:val="0000FF"/>
              </w:rPr>
              <w:t>469 uncu</w:t>
            </w:r>
            <w:r w:rsidRPr="00A23740">
              <w:rPr>
                <w:rFonts w:eastAsia="Times New Roman"/>
                <w:b/>
                <w:bCs/>
                <w:color w:val="0000FF"/>
                <w:szCs w:val="24"/>
                <w:lang w:eastAsia="tr-TR"/>
              </w:rPr>
              <w:t xml:space="preserve"> </w:t>
            </w:r>
            <w:r w:rsidR="003C1C46" w:rsidRPr="00E65BE7">
              <w:rPr>
                <w:rStyle w:val="YELChar"/>
                <w:color w:val="0000FF"/>
              </w:rPr>
              <w:t>maddeye</w:t>
            </w:r>
            <w:r w:rsidRPr="00A23740">
              <w:rPr>
                <w:rFonts w:eastAsia="Times New Roman"/>
                <w:b/>
                <w:bCs/>
                <w:color w:val="0000FF"/>
                <w:szCs w:val="24"/>
                <w:lang w:eastAsia="tr-TR"/>
              </w:rPr>
              <w:t xml:space="preserve"> </w:t>
            </w:r>
            <w:r w:rsidRPr="00A23740">
              <w:rPr>
                <w:rFonts w:eastAsia="Times New Roman"/>
                <w:color w:val="000000"/>
                <w:szCs w:val="24"/>
                <w:lang w:eastAsia="tr-TR"/>
              </w:rPr>
              <w:t>göre işlem yapılır.</w:t>
            </w:r>
          </w:p>
          <w:p w:rsidR="00A46C6E" w:rsidRDefault="00A46C6E" w:rsidP="009431FF">
            <w:pPr>
              <w:rPr>
                <w:rFonts w:eastAsia="Times New Roman"/>
                <w:b/>
                <w:bCs/>
              </w:rPr>
            </w:pPr>
          </w:p>
          <w:p w:rsidR="00E26FFD" w:rsidRPr="00A23740" w:rsidRDefault="00E26FFD" w:rsidP="009431FF">
            <w:pPr>
              <w:rPr>
                <w:rFonts w:eastAsia="Times New Roman"/>
                <w:b/>
                <w:bCs/>
              </w:rPr>
            </w:pPr>
          </w:p>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(4) Sicile kayıtlı olup olmadığına bakılmaksızın yabancı bayraklı gemiler üzerindeki ayn</w:t>
            </w:r>
            <w:r w:rsidR="0043667A" w:rsidRPr="00A23740">
              <w:rPr>
                <w:rFonts w:eastAsia="Times New Roman"/>
                <w:b/>
                <w:bCs/>
                <w:color w:val="0000FF"/>
                <w:szCs w:val="24"/>
                <w:lang w:eastAsia="x-none"/>
              </w:rPr>
              <w:t>i</w:t>
            </w:r>
            <w:r w:rsidRPr="00A23740">
              <w:rPr>
                <w:rFonts w:eastAsia="Times New Roman"/>
                <w:b/>
                <w:bCs/>
                <w:color w:val="0000FF"/>
                <w:szCs w:val="24"/>
                <w:lang w:eastAsia="x-none"/>
              </w:rPr>
              <w:t xml:space="preserve"> haklara ilişkin davalarda </w:t>
            </w:r>
            <w:r w:rsidR="003C1C46" w:rsidRPr="00E65BE7">
              <w:rPr>
                <w:rStyle w:val="YELChar"/>
                <w:color w:val="0000FF"/>
              </w:rPr>
              <w:t>davacı</w:t>
            </w:r>
            <w:r w:rsidRPr="00A23740">
              <w:rPr>
                <w:rFonts w:eastAsia="Times New Roman"/>
                <w:b/>
                <w:bCs/>
                <w:color w:val="0000FF"/>
                <w:szCs w:val="24"/>
                <w:lang w:eastAsia="x-none"/>
              </w:rPr>
              <w:t xml:space="preserve"> lehine hüküm verilirse</w:t>
            </w:r>
            <w:r w:rsidRPr="00A23740">
              <w:rPr>
                <w:rFonts w:eastAsia="Times New Roman"/>
                <w:bCs/>
                <w:color w:val="0000FF"/>
                <w:lang w:eastAsia="x-none"/>
              </w:rPr>
              <w:t>,</w:t>
            </w:r>
            <w:r w:rsidRPr="00A23740">
              <w:rPr>
                <w:rFonts w:eastAsia="Times New Roman"/>
                <w:b/>
                <w:bCs/>
                <w:color w:val="0000FF"/>
                <w:szCs w:val="24"/>
                <w:lang w:eastAsia="x-none"/>
              </w:rPr>
              <w:t xml:space="preserve"> mahkemece hükmün tefhimini takiben hüküm sonucu derh</w:t>
            </w:r>
            <w:r w:rsidR="00DF22A1" w:rsidRPr="00A23740">
              <w:rPr>
                <w:rFonts w:eastAsia="Times New Roman"/>
                <w:b/>
                <w:bCs/>
                <w:color w:val="0000FF"/>
                <w:szCs w:val="24"/>
                <w:lang w:eastAsia="x-none"/>
              </w:rPr>
              <w:t>â</w:t>
            </w:r>
            <w:r w:rsidRPr="00A23740">
              <w:rPr>
                <w:rFonts w:eastAsia="Times New Roman"/>
                <w:b/>
                <w:bCs/>
                <w:color w:val="0000FF"/>
                <w:szCs w:val="24"/>
                <w:lang w:eastAsia="x-none"/>
              </w:rPr>
              <w:t>l geminin bayrağını taşıdığı devletin en yakın konsolosluğ</w:t>
            </w:r>
            <w:r w:rsidR="00B569B2">
              <w:rPr>
                <w:rFonts w:eastAsia="Times New Roman"/>
                <w:b/>
                <w:bCs/>
                <w:color w:val="0000FF"/>
                <w:szCs w:val="24"/>
                <w:lang w:eastAsia="x-none"/>
              </w:rPr>
              <w:t>una</w:t>
            </w:r>
            <w:r w:rsidR="003C1C46" w:rsidRPr="00A23740">
              <w:rPr>
                <w:rStyle w:val="YELChar"/>
              </w:rPr>
              <w:t xml:space="preserve"> </w:t>
            </w:r>
            <w:r w:rsidR="003C1C46" w:rsidRPr="00E65BE7">
              <w:rPr>
                <w:rStyle w:val="YELChar"/>
                <w:color w:val="0000FF"/>
              </w:rPr>
              <w:t>bildirilir</w:t>
            </w:r>
            <w:r w:rsidRPr="00A23740">
              <w:rPr>
                <w:rFonts w:eastAsia="Times New Roman"/>
                <w:b/>
                <w:bCs/>
                <w:color w:val="0000FF"/>
                <w:szCs w:val="24"/>
                <w:lang w:eastAsia="x-none"/>
              </w:rPr>
              <w:t>. Hükmün davacı aleyhine kesinleşmesi h</w:t>
            </w:r>
            <w:r w:rsidR="003C1C46" w:rsidRPr="00A23740">
              <w:rPr>
                <w:rFonts w:eastAsia="Times New Roman"/>
                <w:b/>
                <w:bCs/>
                <w:color w:val="0000FF"/>
                <w:szCs w:val="24"/>
                <w:lang w:eastAsia="x-none"/>
              </w:rPr>
              <w:t>â</w:t>
            </w:r>
            <w:r w:rsidRPr="00A23740">
              <w:rPr>
                <w:rFonts w:eastAsia="Times New Roman"/>
                <w:b/>
                <w:bCs/>
                <w:color w:val="0000FF"/>
                <w:szCs w:val="24"/>
                <w:lang w:eastAsia="x-none"/>
              </w:rPr>
              <w:t>linde de aynı işlem yapılır.</w:t>
            </w:r>
          </w:p>
          <w:p w:rsidR="00A46C6E" w:rsidRPr="00A23740" w:rsidRDefault="00A46C6E" w:rsidP="009431FF">
            <w:pPr>
              <w:rPr>
                <w:rFonts w:eastAsia="Times New Roman"/>
                <w:b/>
                <w:bCs/>
              </w:rPr>
            </w:pPr>
          </w:p>
          <w:p w:rsidR="00A46C6E" w:rsidRPr="00A23740" w:rsidRDefault="00A46C6E" w:rsidP="009431FF">
            <w:pPr>
              <w:rPr>
                <w:rFonts w:eastAsia="Times New Roman"/>
                <w:color w:val="000000"/>
                <w:szCs w:val="24"/>
                <w:lang w:eastAsia="tr-TR"/>
              </w:rPr>
            </w:pPr>
            <w:r w:rsidRPr="00A23740">
              <w:rPr>
                <w:rFonts w:eastAsia="Times New Roman"/>
                <w:b/>
                <w:bCs/>
                <w:color w:val="0000FF"/>
                <w:szCs w:val="24"/>
                <w:lang w:eastAsia="x-none"/>
              </w:rPr>
              <w:t xml:space="preserve">(5) </w:t>
            </w:r>
            <w:r w:rsidRPr="00A23740">
              <w:rPr>
                <w:rFonts w:eastAsia="Times New Roman"/>
                <w:color w:val="000000"/>
                <w:szCs w:val="24"/>
                <w:lang w:eastAsia="tr-TR"/>
              </w:rPr>
              <w:t xml:space="preserve">Sicile kayıtlı Türk gemileri üzerinde ipotek veya intifa hakkının kurulmasına veya kaldırılmasına ilişkin ilam icra </w:t>
            </w:r>
            <w:r w:rsidRPr="00E65BE7">
              <w:rPr>
                <w:rFonts w:eastAsia="Times New Roman"/>
                <w:b/>
                <w:bCs/>
                <w:color w:val="0000FF"/>
                <w:szCs w:val="24"/>
                <w:lang w:eastAsia="tr-TR"/>
              </w:rPr>
              <w:t>ve iflas</w:t>
            </w:r>
            <w:r w:rsidRPr="00A23740">
              <w:rPr>
                <w:rFonts w:eastAsia="Times New Roman"/>
                <w:color w:val="000000"/>
                <w:szCs w:val="24"/>
                <w:lang w:eastAsia="tr-TR"/>
              </w:rPr>
              <w:t xml:space="preserve"> dairesine verilince, icra </w:t>
            </w:r>
            <w:r w:rsidRPr="00E65BE7">
              <w:rPr>
                <w:rFonts w:eastAsia="Times New Roman"/>
                <w:b/>
                <w:bCs/>
                <w:color w:val="0000FF"/>
                <w:szCs w:val="24"/>
                <w:lang w:eastAsia="tr-TR"/>
              </w:rPr>
              <w:t>ve iflas</w:t>
            </w:r>
            <w:r w:rsidRPr="00A23740">
              <w:rPr>
                <w:rFonts w:eastAsia="Times New Roman"/>
                <w:color w:val="000000"/>
                <w:szCs w:val="24"/>
                <w:lang w:eastAsia="tr-TR"/>
              </w:rPr>
              <w:t xml:space="preserve"> müdürü</w:t>
            </w:r>
            <w:r w:rsidRPr="00A23740">
              <w:rPr>
                <w:rFonts w:eastAsia="Times New Roman"/>
                <w:b/>
                <w:bCs/>
                <w:color w:val="0000FF"/>
                <w:szCs w:val="24"/>
                <w:lang w:eastAsia="x-none"/>
              </w:rPr>
              <w:t xml:space="preserve"> </w:t>
            </w:r>
            <w:r w:rsidRPr="00A23740">
              <w:rPr>
                <w:b/>
                <w:bCs/>
                <w:color w:val="0000FF"/>
                <w:lang w:val="x-none" w:eastAsia="x-none"/>
              </w:rPr>
              <w:t xml:space="preserve">57 nci </w:t>
            </w:r>
            <w:r w:rsidRPr="00A23740">
              <w:rPr>
                <w:rFonts w:eastAsia="Times New Roman"/>
                <w:b/>
                <w:bCs/>
                <w:color w:val="0000FF"/>
                <w:szCs w:val="24"/>
                <w:lang w:eastAsia="x-none"/>
              </w:rPr>
              <w:t>maddeye uygun şekilde icra emri gönderip bir haftalık süre içinde ilamın gereğinin yerine getirilmesini ihtar</w:t>
            </w:r>
            <w:r w:rsidRPr="00A23740">
              <w:rPr>
                <w:b/>
                <w:color w:val="00CC00"/>
                <w:lang w:eastAsia="tr-TR"/>
              </w:rPr>
              <w:t xml:space="preserve"> </w:t>
            </w:r>
            <w:r w:rsidRPr="00A23740">
              <w:rPr>
                <w:rFonts w:eastAsia="Times New Roman"/>
                <w:b/>
                <w:bCs/>
                <w:color w:val="0000FF"/>
                <w:szCs w:val="24"/>
                <w:lang w:eastAsia="x-none"/>
              </w:rPr>
              <w:t xml:space="preserve">eder. İlamın gereği verilen sürede yerine getirilmezse, </w:t>
            </w:r>
            <w:r w:rsidRPr="00A23740">
              <w:rPr>
                <w:rFonts w:eastAsia="Times New Roman"/>
                <w:color w:val="000000"/>
                <w:szCs w:val="24"/>
                <w:lang w:eastAsia="tr-TR"/>
              </w:rPr>
              <w:t>ilam zorla icra olunur.</w:t>
            </w:r>
          </w:p>
          <w:p w:rsidR="00A46C6E" w:rsidRPr="00A23740" w:rsidRDefault="00A46C6E" w:rsidP="009431FF">
            <w:pPr>
              <w:pStyle w:val="KIRMIZI"/>
              <w:rPr>
                <w:b w:val="0"/>
                <w:bCs w:val="0"/>
                <w:color w:val="0000FF"/>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13" w:name="_Hlk134297858"/>
          </w:p>
          <w:p w:rsidR="00A46C6E" w:rsidRPr="00A23740" w:rsidRDefault="003B700B" w:rsidP="009431FF">
            <w:pPr>
              <w:ind w:firstLine="567"/>
              <w:rPr>
                <w:rFonts w:eastAsia="Times New Roman"/>
                <w:szCs w:val="24"/>
              </w:rPr>
            </w:pPr>
            <w:r w:rsidRPr="00A23740">
              <w:rPr>
                <w:rFonts w:eastAsia="Times New Roman"/>
                <w:b/>
                <w:szCs w:val="24"/>
              </w:rPr>
              <w:t>MADDE 468</w:t>
            </w:r>
            <w:r w:rsidR="00A46C6E" w:rsidRPr="00A23740">
              <w:rPr>
                <w:rFonts w:eastAsia="Times New Roman"/>
                <w:b/>
                <w:szCs w:val="24"/>
              </w:rPr>
              <w:t xml:space="preserve">- </w:t>
            </w:r>
            <w:bookmarkStart w:id="14" w:name="_Hlk172719053"/>
            <w:bookmarkEnd w:id="13"/>
            <w:r w:rsidR="00A46C6E" w:rsidRPr="00A23740">
              <w:rPr>
                <w:rFonts w:eastAsia="Times New Roman"/>
                <w:szCs w:val="24"/>
              </w:rPr>
              <w:t>Maddeyle, gemi üzerindeki ayni haklara ilişkin ilamların icrası düzenlenmektedir</w:t>
            </w:r>
            <w:bookmarkEnd w:id="14"/>
            <w:r w:rsidR="00A46C6E" w:rsidRPr="00A23740">
              <w:rPr>
                <w:rFonts w:eastAsia="Times New Roman"/>
                <w:szCs w:val="24"/>
              </w:rPr>
              <w:t xml:space="preserve">. </w:t>
            </w:r>
          </w:p>
          <w:p w:rsidR="00A46C6E" w:rsidRPr="00A23740" w:rsidRDefault="00A46C6E" w:rsidP="009431FF">
            <w:pPr>
              <w:ind w:firstLine="567"/>
              <w:rPr>
                <w:rFonts w:eastAsia="Times New Roman"/>
                <w:szCs w:val="24"/>
              </w:rPr>
            </w:pPr>
            <w:r w:rsidRPr="00A23740">
              <w:rPr>
                <w:rFonts w:eastAsia="Times New Roman"/>
                <w:szCs w:val="24"/>
              </w:rPr>
              <w:t>2004 sayılı Kanunun 31/a maddesinin gerekçesinde yapılan açıklamadan</w:t>
            </w:r>
            <w:r w:rsidR="00AD7A46" w:rsidRPr="00A23740">
              <w:rPr>
                <w:rFonts w:eastAsia="Times New Roman"/>
                <w:szCs w:val="24"/>
              </w:rPr>
              <w:t>,</w:t>
            </w:r>
            <w:r w:rsidRPr="00A23740">
              <w:rPr>
                <w:rFonts w:eastAsia="Times New Roman"/>
                <w:szCs w:val="24"/>
              </w:rPr>
              <w:t xml:space="preserve"> bu maddenin birinci fıkrasında düzenlenen ilamın kesinleşmesi şartının sadece gemiler üzerindeki ayn</w:t>
            </w:r>
            <w:r w:rsidR="00AC45AD" w:rsidRPr="00A23740">
              <w:rPr>
                <w:rFonts w:eastAsia="Times New Roman"/>
                <w:szCs w:val="24"/>
              </w:rPr>
              <w:t>i</w:t>
            </w:r>
            <w:r w:rsidRPr="00A23740">
              <w:rPr>
                <w:rFonts w:eastAsia="Times New Roman"/>
                <w:szCs w:val="24"/>
              </w:rPr>
              <w:t xml:space="preserve"> hak çekişmeleri hakkındaki ilamlar bakımından arandığı anlaşılmaktadır. Gemiler taşınır mal olmasına rağmen yüksek ekonomik değere sahip olmaları sebebiyle, taşınmaz mal üzerindeki ayn</w:t>
            </w:r>
            <w:r w:rsidR="00AC45AD" w:rsidRPr="00A23740">
              <w:rPr>
                <w:rFonts w:eastAsia="Times New Roman"/>
                <w:szCs w:val="24"/>
              </w:rPr>
              <w:t>i</w:t>
            </w:r>
            <w:r w:rsidRPr="00A23740">
              <w:rPr>
                <w:rFonts w:eastAsia="Times New Roman"/>
                <w:szCs w:val="24"/>
              </w:rPr>
              <w:t xml:space="preserve"> haklara ilişkin ilamların icrasında olduğu gibi gemi üzerindeki ayn</w:t>
            </w:r>
            <w:r w:rsidR="00AC45AD" w:rsidRPr="00A23740">
              <w:rPr>
                <w:rFonts w:eastAsia="Times New Roman"/>
                <w:szCs w:val="24"/>
              </w:rPr>
              <w:t>i</w:t>
            </w:r>
            <w:r w:rsidRPr="00A23740">
              <w:rPr>
                <w:rFonts w:eastAsia="Times New Roman"/>
                <w:szCs w:val="24"/>
              </w:rPr>
              <w:t xml:space="preserve"> hak çekişmelerine ilişkin ilamların icrasında da kesinleşme şartının aranması zorunlu görülmekle birlikte, 2004 sayılı Kanunun 31/a maddesinin birinci fıkrasında yer alan “</w:t>
            </w:r>
            <w:r w:rsidRPr="00A23740">
              <w:rPr>
                <w:rFonts w:eastAsia="Times New Roman"/>
                <w:i/>
                <w:iCs/>
                <w:szCs w:val="24"/>
              </w:rPr>
              <w:t>gemilere ve bunlarla ilgili ayn</w:t>
            </w:r>
            <w:r w:rsidR="00AC45AD" w:rsidRPr="00A23740">
              <w:rPr>
                <w:rFonts w:eastAsia="Times New Roman"/>
                <w:i/>
                <w:iCs/>
                <w:szCs w:val="24"/>
              </w:rPr>
              <w:t>i</w:t>
            </w:r>
            <w:r w:rsidRPr="00A23740">
              <w:rPr>
                <w:rFonts w:eastAsia="Times New Roman"/>
                <w:i/>
                <w:iCs/>
                <w:szCs w:val="24"/>
              </w:rPr>
              <w:t xml:space="preserve"> haklara ilişkin kararlar</w:t>
            </w:r>
            <w:r w:rsidRPr="00A23740">
              <w:rPr>
                <w:rFonts w:eastAsia="Times New Roman"/>
                <w:szCs w:val="24"/>
              </w:rPr>
              <w:t>” ibaresi, (herhangi bir sebeple gemi kira sözleşmesi sona ermiş olmasına rağmen teslim edilmeyen geminin malike teslimine ilişkin ilam gibi) gemilere ilişkin tüm ilamları kapsayacak şekilde geniş yorumlamaya elverişlidir. Bu nedenle Taslağın</w:t>
            </w:r>
            <w:r w:rsidR="00773ED2" w:rsidRPr="00A23740">
              <w:rPr>
                <w:rFonts w:eastAsia="Times New Roman"/>
                <w:szCs w:val="24"/>
              </w:rPr>
              <w:t xml:space="preserve"> </w:t>
            </w:r>
            <w:r w:rsidR="00773ED2" w:rsidRPr="00E65BE7">
              <w:rPr>
                <w:rFonts w:eastAsia="Times New Roman"/>
                <w:szCs w:val="24"/>
              </w:rPr>
              <w:t>468</w:t>
            </w:r>
            <w:r w:rsidR="00773ED2" w:rsidRPr="00A23740">
              <w:rPr>
                <w:rStyle w:val="KonuBalChar"/>
                <w:rFonts w:eastAsia="Calibri"/>
              </w:rPr>
              <w:t xml:space="preserve"> </w:t>
            </w:r>
            <w:r w:rsidR="00773ED2" w:rsidRPr="00E65BE7">
              <w:rPr>
                <w:rFonts w:eastAsia="Times New Roman"/>
                <w:szCs w:val="24"/>
              </w:rPr>
              <w:t>inci</w:t>
            </w:r>
            <w:r w:rsidRPr="00A23740">
              <w:rPr>
                <w:rFonts w:eastAsia="Times New Roman"/>
                <w:szCs w:val="24"/>
              </w:rPr>
              <w:t xml:space="preserve"> maddesinin kenar başlığının “</w:t>
            </w:r>
            <w:r w:rsidRPr="00A23740">
              <w:rPr>
                <w:rFonts w:eastAsia="Times New Roman"/>
                <w:i/>
                <w:iCs/>
                <w:szCs w:val="24"/>
              </w:rPr>
              <w:t>gemi üzerindeki ayn</w:t>
            </w:r>
            <w:r w:rsidR="00AC45AD" w:rsidRPr="00A23740">
              <w:rPr>
                <w:rFonts w:eastAsia="Times New Roman"/>
                <w:i/>
                <w:iCs/>
                <w:szCs w:val="24"/>
              </w:rPr>
              <w:t>i</w:t>
            </w:r>
            <w:r w:rsidRPr="00A23740">
              <w:rPr>
                <w:rFonts w:eastAsia="Times New Roman"/>
                <w:i/>
                <w:iCs/>
                <w:szCs w:val="24"/>
              </w:rPr>
              <w:t xml:space="preserve"> haklara ilişkin ilamlar</w:t>
            </w:r>
            <w:r w:rsidRPr="00A23740">
              <w:rPr>
                <w:rFonts w:eastAsia="Times New Roman"/>
                <w:szCs w:val="24"/>
              </w:rPr>
              <w:t xml:space="preserve">” şeklinde belirlenmesi ve 2004 sayılı Kanunun 31/a maddesinin birinci fıkrasının, bu fıkrada yer alan “…. </w:t>
            </w:r>
            <w:r w:rsidRPr="00A23740">
              <w:rPr>
                <w:rFonts w:eastAsia="Times New Roman"/>
                <w:i/>
                <w:iCs/>
                <w:szCs w:val="24"/>
              </w:rPr>
              <w:t>bütün gemilere ve bunlarla ilgili ayn</w:t>
            </w:r>
            <w:r w:rsidR="00AC45AD" w:rsidRPr="00A23740">
              <w:rPr>
                <w:rFonts w:eastAsia="Times New Roman"/>
                <w:i/>
                <w:iCs/>
                <w:szCs w:val="24"/>
              </w:rPr>
              <w:t>i</w:t>
            </w:r>
            <w:r w:rsidRPr="00A23740">
              <w:rPr>
                <w:rFonts w:eastAsia="Times New Roman"/>
                <w:i/>
                <w:iCs/>
                <w:szCs w:val="24"/>
              </w:rPr>
              <w:t xml:space="preserve"> haklara ilişkin kararlar</w:t>
            </w:r>
            <w:r w:rsidRPr="00A23740">
              <w:rPr>
                <w:rFonts w:eastAsia="Times New Roman"/>
                <w:szCs w:val="24"/>
              </w:rPr>
              <w:t xml:space="preserve"> …” ibaresinin, “</w:t>
            </w:r>
            <w:r w:rsidRPr="00A23740">
              <w:rPr>
                <w:rFonts w:eastAsia="Times New Roman"/>
                <w:i/>
                <w:iCs/>
                <w:szCs w:val="24"/>
              </w:rPr>
              <w:t>gemi üzerindeki ayn</w:t>
            </w:r>
            <w:r w:rsidR="00AC45AD" w:rsidRPr="00A23740">
              <w:rPr>
                <w:rFonts w:eastAsia="Times New Roman"/>
                <w:i/>
                <w:iCs/>
                <w:szCs w:val="24"/>
              </w:rPr>
              <w:t>i</w:t>
            </w:r>
            <w:r w:rsidRPr="00A23740">
              <w:rPr>
                <w:rFonts w:eastAsia="Times New Roman"/>
                <w:i/>
                <w:iCs/>
                <w:szCs w:val="24"/>
              </w:rPr>
              <w:t xml:space="preserve"> haklara ilişkin ilamlar</w:t>
            </w:r>
            <w:r w:rsidRPr="00A23740">
              <w:rPr>
                <w:rFonts w:eastAsia="Times New Roman"/>
                <w:szCs w:val="24"/>
              </w:rPr>
              <w:t xml:space="preserve">” şeklinde değiştirilerek maddenin birinci fıkrasına alınması uygun görülmüştür. </w:t>
            </w:r>
          </w:p>
          <w:p w:rsidR="00A46C6E" w:rsidRPr="00A23740" w:rsidRDefault="00A46C6E" w:rsidP="009431FF">
            <w:pPr>
              <w:ind w:firstLine="567"/>
              <w:rPr>
                <w:rFonts w:eastAsia="Times New Roman"/>
                <w:szCs w:val="24"/>
              </w:rPr>
            </w:pPr>
            <w:r w:rsidRPr="00A23740">
              <w:rPr>
                <w:rFonts w:eastAsia="Times New Roman"/>
                <w:szCs w:val="24"/>
              </w:rPr>
              <w:t>Taslağın “İlamlı Takibe İlişkin Genel Hükümler” başlıklı ayrımının birinci alt ayırımında takip talebinin ve icra emrinin içeriği ile takibin başlatılması ve il</w:t>
            </w:r>
            <w:r w:rsidR="00A127B1">
              <w:rPr>
                <w:rFonts w:eastAsia="Times New Roman"/>
                <w:szCs w:val="24"/>
              </w:rPr>
              <w:t>am niteliğindeki belgeler 56 ila</w:t>
            </w:r>
            <w:r w:rsidRPr="00A23740">
              <w:rPr>
                <w:rFonts w:eastAsia="Times New Roman"/>
                <w:szCs w:val="24"/>
              </w:rPr>
              <w:t xml:space="preserve"> 59 uncu</w:t>
            </w:r>
            <w:r w:rsidR="00773ED2" w:rsidRPr="00A23740">
              <w:rPr>
                <w:rFonts w:eastAsia="Times New Roman"/>
                <w:szCs w:val="24"/>
              </w:rPr>
              <w:t xml:space="preserve"> </w:t>
            </w:r>
            <w:r w:rsidRPr="00A23740">
              <w:rPr>
                <w:rFonts w:eastAsia="Times New Roman"/>
                <w:szCs w:val="24"/>
              </w:rPr>
              <w:t>maddelerde düzenlenmiştir. Gemi üzerindeki ayn</w:t>
            </w:r>
            <w:r w:rsidR="00AC45AD" w:rsidRPr="00A23740">
              <w:rPr>
                <w:rFonts w:eastAsia="Times New Roman"/>
                <w:szCs w:val="24"/>
              </w:rPr>
              <w:t>i</w:t>
            </w:r>
            <w:r w:rsidRPr="00A23740">
              <w:rPr>
                <w:rFonts w:eastAsia="Times New Roman"/>
                <w:szCs w:val="24"/>
              </w:rPr>
              <w:t xml:space="preserve"> haklara ilişkin ilamların icrasında söz konusu hükümlerden farklı bir düzenleme getirilmesini gerektiren bir husus mevcut değildir. Bu nedenle gemi üzerindeki ayn</w:t>
            </w:r>
            <w:r w:rsidR="00AC45AD" w:rsidRPr="00A23740">
              <w:rPr>
                <w:rFonts w:eastAsia="Times New Roman"/>
                <w:szCs w:val="24"/>
              </w:rPr>
              <w:t>i</w:t>
            </w:r>
            <w:r w:rsidRPr="00A23740">
              <w:rPr>
                <w:rFonts w:eastAsia="Times New Roman"/>
                <w:szCs w:val="24"/>
              </w:rPr>
              <w:t xml:space="preserve"> haklara ilişkin ilamların icrası hakkında ayrı bir düzenleme getirilmesine gerek görülmemiş; maddenin ikinci fıkra</w:t>
            </w:r>
            <w:r w:rsidR="00A127B1">
              <w:rPr>
                <w:rFonts w:eastAsia="Times New Roman"/>
                <w:szCs w:val="24"/>
              </w:rPr>
              <w:t>sında bu hususta Taslağın 56 ila</w:t>
            </w:r>
            <w:r w:rsidRPr="00A23740">
              <w:rPr>
                <w:rFonts w:eastAsia="Times New Roman"/>
                <w:szCs w:val="24"/>
              </w:rPr>
              <w:t xml:space="preserve"> 59 uncu </w:t>
            </w:r>
            <w:r w:rsidR="00773ED2" w:rsidRPr="00A23740">
              <w:rPr>
                <w:rStyle w:val="KIRMIZIChar"/>
                <w:rFonts w:eastAsia="Calibri"/>
                <w:strike w:val="0"/>
              </w:rPr>
              <w:t xml:space="preserve"> </w:t>
            </w:r>
            <w:r w:rsidRPr="00A23740">
              <w:rPr>
                <w:rFonts w:eastAsia="Times New Roman"/>
                <w:szCs w:val="24"/>
              </w:rPr>
              <w:t xml:space="preserve">maddelerinin kıyasen uygulanacağı hüküm altına alınmıştır. </w:t>
            </w:r>
          </w:p>
          <w:p w:rsidR="00A46C6E" w:rsidRPr="00A23740" w:rsidRDefault="00A46C6E" w:rsidP="009431FF">
            <w:pPr>
              <w:ind w:firstLine="567"/>
              <w:rPr>
                <w:rFonts w:eastAsia="Times New Roman"/>
                <w:szCs w:val="24"/>
              </w:rPr>
            </w:pPr>
            <w:r w:rsidRPr="00A23740">
              <w:rPr>
                <w:rFonts w:eastAsia="Times New Roman"/>
                <w:szCs w:val="24"/>
              </w:rPr>
              <w:t>Bir Türk gemi sicilinde kayıtlı gemiler üzerindeki ayn</w:t>
            </w:r>
            <w:r w:rsidR="00AC45AD" w:rsidRPr="00A23740">
              <w:rPr>
                <w:rFonts w:eastAsia="Times New Roman"/>
                <w:szCs w:val="24"/>
              </w:rPr>
              <w:t>i</w:t>
            </w:r>
            <w:r w:rsidRPr="00A23740">
              <w:rPr>
                <w:rFonts w:eastAsia="Times New Roman"/>
                <w:szCs w:val="24"/>
              </w:rPr>
              <w:t xml:space="preserve"> haklara ilişkin davalarda dav</w:t>
            </w:r>
            <w:r w:rsidR="00535D4A" w:rsidRPr="00A23740">
              <w:rPr>
                <w:rFonts w:eastAsia="Times New Roman"/>
                <w:szCs w:val="24"/>
              </w:rPr>
              <w:t>acının lehine hüküm verilmesi hâ</w:t>
            </w:r>
            <w:r w:rsidRPr="00A23740">
              <w:rPr>
                <w:rFonts w:eastAsia="Times New Roman"/>
                <w:szCs w:val="24"/>
              </w:rPr>
              <w:t xml:space="preserve">linde, hükmün kesinleşmesine kadar geçecek sürede iyiniyetle sicil kayıtlarına güvenin korunması ilkesi uyarınca üçüncü kişilerin dava konusu hakkı haleldâr eden (sınırlandıran veya ortadan kaldıran) haklar kazanmasının önlenmesi gerektiğinden, maddenin üçüncü fıkrasının birinci cümlesinde mahkemece hükmün tefhimini takiben hüküm sonucunun </w:t>
            </w:r>
            <w:r w:rsidR="00DF22A1" w:rsidRPr="00A23740">
              <w:rPr>
                <w:szCs w:val="24"/>
              </w:rPr>
              <w:t xml:space="preserve">derhâl </w:t>
            </w:r>
            <w:r w:rsidRPr="00A23740">
              <w:rPr>
                <w:rFonts w:eastAsia="Times New Roman"/>
                <w:szCs w:val="24"/>
              </w:rPr>
              <w:t>geminin kayıtlı olduğu sicile şerh verilmek üzere gemi sicil müdürlüğüne resen bildirileceği; ikinci cümlesinde ise hükmün</w:t>
            </w:r>
            <w:r w:rsidR="00535D4A" w:rsidRPr="00A23740">
              <w:rPr>
                <w:rFonts w:eastAsia="Times New Roman"/>
                <w:szCs w:val="24"/>
              </w:rPr>
              <w:t xml:space="preserve"> davacı aleyhine kesinleşmesi hâ</w:t>
            </w:r>
            <w:r w:rsidRPr="00A23740">
              <w:rPr>
                <w:rFonts w:eastAsia="Times New Roman"/>
                <w:szCs w:val="24"/>
              </w:rPr>
              <w:t xml:space="preserve">linde, mahkemece bu hükmün sonucunun da sicile verilen şerhin terkin edilmesi için gemi sicili müdürlüğüne </w:t>
            </w:r>
            <w:r w:rsidR="00DF22A1" w:rsidRPr="00A23740">
              <w:rPr>
                <w:szCs w:val="24"/>
              </w:rPr>
              <w:t xml:space="preserve">derhâl </w:t>
            </w:r>
            <w:r w:rsidRPr="00A23740">
              <w:rPr>
                <w:rFonts w:eastAsia="Times New Roman"/>
                <w:szCs w:val="24"/>
              </w:rPr>
              <w:t>bildirileceği belirtilmiştir. 2004 sayılı Kanunun 31/a maddesinin ikinci fıkrasının son cümlesi, Taslağın 74 üncü</w:t>
            </w:r>
            <w:r w:rsidR="00773ED2" w:rsidRPr="00A23740">
              <w:rPr>
                <w:rFonts w:eastAsia="Times New Roman"/>
                <w:szCs w:val="24"/>
              </w:rPr>
              <w:t xml:space="preserve"> </w:t>
            </w:r>
            <w:r w:rsidRPr="00A23740">
              <w:rPr>
                <w:rFonts w:eastAsia="Times New Roman"/>
                <w:szCs w:val="24"/>
              </w:rPr>
              <w:t>maddesinin dördüncü fıkrasında yer alan “</w:t>
            </w:r>
            <w:r w:rsidRPr="00A23740">
              <w:rPr>
                <w:rFonts w:eastAsia="Times New Roman"/>
                <w:i/>
                <w:iCs/>
                <w:szCs w:val="24"/>
              </w:rPr>
              <w:t>Hükmün tapu siciline şerh edilmesinden sonra taşınmazın devredilmesi, icra işlemlerini etkilemez. Hükümde gösterilen taşınmaz kimin elinde ise ondan alınıp alacaklıya teslim edilir</w:t>
            </w:r>
            <w:r w:rsidRPr="00A23740">
              <w:rPr>
                <w:rFonts w:eastAsia="Times New Roman"/>
                <w:szCs w:val="24"/>
              </w:rPr>
              <w:t xml:space="preserve">. </w:t>
            </w:r>
            <w:r w:rsidRPr="00A23740">
              <w:rPr>
                <w:rFonts w:eastAsia="Times New Roman"/>
                <w:i/>
                <w:iCs/>
                <w:szCs w:val="24"/>
              </w:rPr>
              <w:t>Hükümde gösterilen taşınmaz kimin elinde ise ondan alınıp alacaklıya teslim edilir</w:t>
            </w:r>
            <w:r w:rsidRPr="00A23740">
              <w:rPr>
                <w:rFonts w:eastAsia="Times New Roman"/>
                <w:szCs w:val="24"/>
              </w:rPr>
              <w:t xml:space="preserve">.” şeklindeki ilk iki cümleye uygun olarak değiştirilmek suretiyle bu maddenin üçüncü fıkrasının üçüncü cümlesine alınmıştır. </w:t>
            </w:r>
          </w:p>
          <w:p w:rsidR="00A46C6E" w:rsidRPr="00A23740" w:rsidRDefault="00A46C6E" w:rsidP="009431FF">
            <w:pPr>
              <w:ind w:firstLine="567"/>
              <w:rPr>
                <w:rFonts w:eastAsia="Times New Roman"/>
                <w:szCs w:val="24"/>
              </w:rPr>
            </w:pPr>
            <w:r w:rsidRPr="00A23740">
              <w:rPr>
                <w:rFonts w:eastAsia="Times New Roman"/>
                <w:szCs w:val="24"/>
              </w:rPr>
              <w:t>Maddenin dördüncü fıkrasında yabancı bir devlet sicilinde kayıtlı olsun olmasın yabancı bayraklı gemiler üzerindeki ayni haklara ilişkin davalarda davacının lehine hüküm verilirse hükmün tefhimini takiben hüküm sonucunun, mahkemece geminin bayrağını taşıdığı devletin en yakın konsolosluğuna gönderileceği; hükmün</w:t>
            </w:r>
            <w:r w:rsidR="00535D4A" w:rsidRPr="00A23740">
              <w:rPr>
                <w:rFonts w:eastAsia="Times New Roman"/>
                <w:szCs w:val="24"/>
              </w:rPr>
              <w:t xml:space="preserve"> davacı aleyhine kesinleşmesi hâ</w:t>
            </w:r>
            <w:r w:rsidRPr="00A23740">
              <w:rPr>
                <w:rFonts w:eastAsia="Times New Roman"/>
                <w:szCs w:val="24"/>
              </w:rPr>
              <w:t xml:space="preserve">linde de aynı işlemin yapılacağı hüküm altına alınmıştır. </w:t>
            </w:r>
          </w:p>
          <w:p w:rsidR="00A46C6E" w:rsidRPr="00A23740" w:rsidRDefault="00A46C6E" w:rsidP="009431FF">
            <w:pPr>
              <w:ind w:firstLine="567"/>
              <w:rPr>
                <w:rFonts w:eastAsia="Times New Roman"/>
                <w:szCs w:val="24"/>
              </w:rPr>
            </w:pPr>
            <w:r w:rsidRPr="00A23740">
              <w:rPr>
                <w:rFonts w:eastAsia="Times New Roman"/>
                <w:szCs w:val="24"/>
              </w:rPr>
              <w:t xml:space="preserve">Maddenin beşinci fıkrası, 2004 sayılı Kanunun 31/a maddesinin yedinci fıkrasından, gerekli görülen değişiklikler yapılarak alınmıştır. Bu hükümde sözü edilen ilamlar da maddenin birinci fıkrası uyarınca kesinleşmiş ilamlardır. </w:t>
            </w:r>
          </w:p>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b/>
                <w:strike/>
                <w:color w:val="FF0000"/>
                <w:szCs w:val="24"/>
                <w:lang w:eastAsia="x-none"/>
              </w:rPr>
            </w:pPr>
            <w:r w:rsidRPr="00A23740">
              <w:rPr>
                <w:rFonts w:eastAsia="Times New Roman"/>
                <w:color w:val="000000"/>
                <w:szCs w:val="24"/>
                <w:lang w:eastAsia="tr-TR"/>
              </w:rPr>
              <w:t>Gemiler</w:t>
            </w:r>
            <w:r w:rsidRPr="00A23740">
              <w:rPr>
                <w:rFonts w:eastAsia="Times New Roman"/>
                <w:b/>
                <w:strike/>
                <w:color w:val="FF0000"/>
                <w:szCs w:val="24"/>
                <w:lang w:eastAsia="x-none"/>
              </w:rPr>
              <w:t>e ve bunlarla ilgili aynî haklara</w:t>
            </w:r>
            <w:r w:rsidRPr="00A23740">
              <w:rPr>
                <w:rFonts w:eastAsia="Times New Roman"/>
                <w:color w:val="000000"/>
                <w:szCs w:val="24"/>
                <w:lang w:eastAsia="tr-TR"/>
              </w:rPr>
              <w:t xml:space="preserve"> ilişkin ilamlar</w:t>
            </w:r>
            <w:r w:rsidRPr="00A23740">
              <w:rPr>
                <w:rFonts w:eastAsia="Times New Roman"/>
                <w:b/>
                <w:strike/>
                <w:color w:val="FF0000"/>
                <w:szCs w:val="24"/>
                <w:lang w:eastAsia="x-none"/>
              </w:rPr>
              <w:t>ın icrası:</w:t>
            </w:r>
          </w:p>
          <w:p w:rsidR="00A46C6E" w:rsidRPr="00A23740" w:rsidRDefault="00A46C6E" w:rsidP="009431FF">
            <w:pPr>
              <w:widowControl w:val="0"/>
              <w:rPr>
                <w:rFonts w:eastAsia="Times New Roman"/>
                <w:b/>
                <w:strike/>
                <w:color w:val="FF0000"/>
                <w:szCs w:val="24"/>
                <w:lang w:eastAsia="x-none"/>
              </w:rPr>
            </w:pPr>
            <w:r w:rsidRPr="00A23740">
              <w:rPr>
                <w:rFonts w:eastAsia="Times New Roman"/>
                <w:b/>
                <w:bCs/>
                <w:strike/>
                <w:color w:val="FF0000"/>
                <w:szCs w:val="24"/>
                <w:lang w:eastAsia="x-none"/>
              </w:rPr>
              <w:t>Madde 31/a –</w:t>
            </w:r>
            <w:r w:rsidRPr="00A23740">
              <w:rPr>
                <w:rFonts w:eastAsia="Times New Roman"/>
                <w:b/>
                <w:strike/>
                <w:color w:val="FF0000"/>
                <w:szCs w:val="24"/>
                <w:lang w:eastAsia="x-none"/>
              </w:rPr>
              <w:t> </w:t>
            </w:r>
            <w:r w:rsidRPr="00A23740">
              <w:rPr>
                <w:rFonts w:eastAsia="Times New Roman"/>
                <w:b/>
                <w:bCs/>
                <w:strike/>
                <w:color w:val="FF0000"/>
                <w:szCs w:val="24"/>
                <w:lang w:eastAsia="x-none"/>
              </w:rPr>
              <w:t>(Ek: 14/1/2011-6103/41 md.)</w:t>
            </w:r>
          </w:p>
          <w:p w:rsidR="00A46C6E" w:rsidRPr="00A23740" w:rsidRDefault="00A46C6E" w:rsidP="009431FF">
            <w:pPr>
              <w:widowControl w:val="0"/>
              <w:rPr>
                <w:rFonts w:eastAsia="Times New Roman"/>
                <w:b/>
                <w:strike/>
                <w:color w:val="FF0000"/>
                <w:szCs w:val="24"/>
                <w:lang w:eastAsia="tr-TR"/>
              </w:rPr>
            </w:pPr>
            <w:r w:rsidRPr="00E26FFD">
              <w:rPr>
                <w:rStyle w:val="KIRMIZIChar"/>
                <w:rFonts w:eastAsia="Calibri"/>
              </w:rPr>
              <w:t>(F3)</w:t>
            </w:r>
            <w:r w:rsidRPr="00A23740">
              <w:rPr>
                <w:rFonts w:eastAsia="Times New Roman"/>
                <w:color w:val="000000"/>
                <w:szCs w:val="24"/>
                <w:lang w:eastAsia="tr-TR"/>
              </w:rPr>
              <w:t xml:space="preserve"> Bayrağına ve sicile kayıtlı olup olmadığına bakılmaksızın bir geminin tahliye ve teslimine ilişkin ilâm, icra dairesine verilince icra müdürü, bir icra emri tebliği suretiyle borçluya </w:t>
            </w:r>
            <w:r w:rsidRPr="00A23740">
              <w:rPr>
                <w:rFonts w:eastAsia="Times New Roman"/>
                <w:b/>
                <w:strike/>
                <w:color w:val="FF0000"/>
                <w:szCs w:val="24"/>
                <w:lang w:eastAsia="tr-TR"/>
              </w:rPr>
              <w:t>yedi gün</w:t>
            </w:r>
            <w:r w:rsidRPr="00A23740">
              <w:rPr>
                <w:rFonts w:eastAsia="Times New Roman"/>
                <w:color w:val="000000"/>
                <w:szCs w:val="24"/>
                <w:lang w:eastAsia="tr-TR"/>
              </w:rPr>
              <w:t xml:space="preserve"> içinde o geminin teslimini emreder. </w:t>
            </w:r>
            <w:r w:rsidRPr="00A23740">
              <w:rPr>
                <w:rFonts w:eastAsia="Times New Roman"/>
                <w:b/>
                <w:strike/>
                <w:color w:val="FF0000"/>
                <w:szCs w:val="24"/>
                <w:lang w:eastAsia="tr-TR"/>
              </w:rPr>
              <w:t>İcra emrinde; alacaklı ve borçlunun ve varsa temsilcilerinin adları ve soyadları ile yerleşim yerleri, hükmü veren mahkemenin ismi ile tahliye ve teslimine hükmolunan geminin kimliği, ilâmın tarih ve numarası ve icra mahkemesinden veya istinaf ya da temyiz yahut iadei muhakeme yoluyla görülmekte olduğu mahkemeden icranın geri bırakılması hakkında bir karar getirilmedikçe cebrî icraya devam olunacağı yazılır.</w:t>
            </w:r>
          </w:p>
          <w:p w:rsidR="00A5551D" w:rsidRPr="00A23740" w:rsidRDefault="00A5551D" w:rsidP="009431FF">
            <w:pPr>
              <w:widowControl w:val="0"/>
              <w:rPr>
                <w:rFonts w:eastAsia="Times New Roman"/>
                <w:b/>
                <w:strike/>
                <w:color w:val="FF0000"/>
                <w:szCs w:val="24"/>
                <w:lang w:eastAsia="tr-TR"/>
              </w:rPr>
            </w:pPr>
          </w:p>
          <w:p w:rsidR="00A46C6E" w:rsidRPr="00A23740" w:rsidRDefault="00A46C6E" w:rsidP="009431FF">
            <w:pPr>
              <w:widowControl w:val="0"/>
              <w:rPr>
                <w:rFonts w:eastAsia="Times New Roman"/>
                <w:color w:val="000000"/>
                <w:szCs w:val="24"/>
                <w:lang w:eastAsia="tr-TR"/>
              </w:rPr>
            </w:pPr>
            <w:r w:rsidRPr="00E26FFD">
              <w:rPr>
                <w:rStyle w:val="KIRMIZIChar"/>
                <w:rFonts w:eastAsia="Calibri"/>
              </w:rPr>
              <w:t>(F4)</w:t>
            </w:r>
            <w:r w:rsidRPr="00A23740">
              <w:rPr>
                <w:rFonts w:eastAsia="Times New Roman"/>
                <w:color w:val="000000"/>
                <w:szCs w:val="24"/>
                <w:lang w:eastAsia="tr-TR"/>
              </w:rPr>
              <w:t xml:space="preserve"> Borçlu, gemiye zilyet olduğu hâlde bu emri yerine getirmezse, ilâmın hükmü zorla </w:t>
            </w:r>
            <w:r w:rsidRPr="00A23740">
              <w:rPr>
                <w:rFonts w:eastAsia="Times New Roman"/>
                <w:b/>
                <w:strike/>
                <w:color w:val="FF0000"/>
                <w:szCs w:val="24"/>
                <w:lang w:eastAsia="tr-TR"/>
              </w:rPr>
              <w:t>tenfiz olunur</w:t>
            </w:r>
            <w:r w:rsidRPr="00A23740">
              <w:rPr>
                <w:rFonts w:eastAsia="Times New Roman"/>
                <w:color w:val="000000"/>
                <w:szCs w:val="24"/>
                <w:lang w:eastAsia="tr-TR"/>
              </w:rPr>
              <w:t>. Borçlu geminin zilyedi değilse, alacaklı aşağıda yazılı seçimlik haklardan birini kullanabilir:</w:t>
            </w:r>
          </w:p>
          <w:p w:rsidR="00A46C6E" w:rsidRPr="00A23740" w:rsidRDefault="00A46C6E" w:rsidP="009431FF">
            <w:pPr>
              <w:widowControl w:val="0"/>
              <w:rPr>
                <w:rFonts w:eastAsia="Times New Roman"/>
                <w:color w:val="000000"/>
                <w:szCs w:val="24"/>
                <w:lang w:eastAsia="tr-TR"/>
              </w:rPr>
            </w:pPr>
            <w:r w:rsidRPr="00A23740">
              <w:rPr>
                <w:rFonts w:eastAsia="Times New Roman"/>
                <w:b/>
                <w:strike/>
                <w:color w:val="FF0000"/>
                <w:szCs w:val="24"/>
                <w:lang w:eastAsia="tr-TR"/>
              </w:rPr>
              <w:t>1.</w:t>
            </w:r>
            <w:r w:rsidRPr="00A23740">
              <w:rPr>
                <w:rFonts w:eastAsia="Times New Roman"/>
                <w:color w:val="000000"/>
                <w:szCs w:val="24"/>
                <w:lang w:eastAsia="tr-TR"/>
              </w:rPr>
              <w:t xml:space="preserve"> Alacaklı, geminin ilâmda yazılı değerinin alınmasını isteyebilir. Borçlu bu değeri ödemezse ayrıca icra emri tebliğine gerek kalmaksızın, söz konusu değer kendisinden haciz yoluyla tahsil olunur. Geminin değeri, ilâmda yazılı olmadığı ve taraflar bu değer üzerinde anlaşamadıkları takdirde, icra müdürü tarafından seçilecek bilirkişi </w:t>
            </w:r>
            <w:r w:rsidRPr="00A23740">
              <w:rPr>
                <w:rFonts w:eastAsia="Times New Roman"/>
                <w:b/>
                <w:strike/>
                <w:color w:val="FF0000"/>
                <w:szCs w:val="24"/>
                <w:lang w:eastAsia="tr-TR"/>
              </w:rPr>
              <w:t>heyetine</w:t>
            </w:r>
            <w:r w:rsidRPr="00A23740">
              <w:rPr>
                <w:rFonts w:eastAsia="Times New Roman"/>
                <w:color w:val="000000"/>
                <w:szCs w:val="24"/>
                <w:lang w:eastAsia="tr-TR"/>
              </w:rPr>
              <w:t xml:space="preserve"> tespit ettirilir. Bilirkişi </w:t>
            </w:r>
            <w:r w:rsidRPr="00A23740">
              <w:rPr>
                <w:rFonts w:eastAsia="Times New Roman"/>
                <w:b/>
                <w:strike/>
                <w:color w:val="FF0000"/>
                <w:szCs w:val="24"/>
                <w:lang w:eastAsia="tr-TR"/>
              </w:rPr>
              <w:t>heyeti geminin kıymet takdiri sırasındaki</w:t>
            </w:r>
            <w:r w:rsidRPr="00A23740">
              <w:rPr>
                <w:rFonts w:eastAsia="Times New Roman"/>
                <w:color w:val="000000"/>
                <w:szCs w:val="24"/>
                <w:lang w:eastAsia="tr-TR"/>
              </w:rPr>
              <w:t xml:space="preserve"> değerini esas alır.</w:t>
            </w:r>
          </w:p>
          <w:p w:rsidR="00A46C6E" w:rsidRPr="00A23740" w:rsidRDefault="00A46C6E" w:rsidP="009431FF">
            <w:pPr>
              <w:widowControl w:val="0"/>
              <w:rPr>
                <w:rFonts w:eastAsia="Times New Roman"/>
                <w:color w:val="000000"/>
                <w:szCs w:val="24"/>
                <w:lang w:eastAsia="tr-TR"/>
              </w:rPr>
            </w:pPr>
          </w:p>
          <w:p w:rsidR="00F8205A" w:rsidRPr="00A23740" w:rsidRDefault="00A46C6E" w:rsidP="009431FF">
            <w:pPr>
              <w:widowControl w:val="0"/>
              <w:rPr>
                <w:rFonts w:eastAsia="Times New Roman"/>
                <w:color w:val="000000"/>
                <w:szCs w:val="24"/>
                <w:lang w:eastAsia="tr-TR"/>
              </w:rPr>
            </w:pPr>
            <w:r w:rsidRPr="00A23740">
              <w:rPr>
                <w:rFonts w:eastAsia="Times New Roman"/>
                <w:b/>
                <w:strike/>
                <w:color w:val="FF0000"/>
                <w:szCs w:val="24"/>
                <w:lang w:eastAsia="tr-TR"/>
              </w:rPr>
              <w:t>2.</w:t>
            </w:r>
            <w:r w:rsidRPr="00A23740">
              <w:rPr>
                <w:rFonts w:eastAsia="Times New Roman"/>
                <w:color w:val="000000"/>
                <w:szCs w:val="24"/>
                <w:lang w:eastAsia="tr-TR"/>
              </w:rPr>
              <w:t xml:space="preserve"> Alacaklı, gemiye zilyet olan üçüncü kişiye karşı borçlunun sahip olduğu hakları kullanabilir. Şu kadar ki, üçüncü kişi, davadan sonra ve hükümden önce gemi siciline tescil edilmiş bir sözleşmeye dayanarak gemiye zilyet ise </w:t>
            </w:r>
            <w:r w:rsidRPr="00A23740">
              <w:rPr>
                <w:rFonts w:eastAsia="Times New Roman"/>
                <w:b/>
                <w:strike/>
                <w:color w:val="FF0000"/>
                <w:szCs w:val="24"/>
                <w:lang w:eastAsia="tr-TR"/>
              </w:rPr>
              <w:t>(1) numaralı bent</w:t>
            </w:r>
            <w:r w:rsidR="003B700B" w:rsidRPr="00A23740">
              <w:rPr>
                <w:rFonts w:eastAsia="Times New Roman"/>
                <w:color w:val="000000"/>
                <w:szCs w:val="24"/>
                <w:lang w:eastAsia="tr-TR"/>
              </w:rPr>
              <w:t xml:space="preserve"> hükmü uygulanır.</w:t>
            </w:r>
          </w:p>
          <w:p w:rsidR="00F8205A" w:rsidRPr="00A23740" w:rsidRDefault="00F8205A" w:rsidP="009431FF">
            <w:pPr>
              <w:widowControl w:val="0"/>
              <w:rPr>
                <w:rFonts w:eastAsia="Times New Roman"/>
                <w:b/>
                <w:szCs w:val="24"/>
                <w:lang w:eastAsia="tr-TR"/>
              </w:rPr>
            </w:pPr>
          </w:p>
          <w:p w:rsidR="00A46C6E" w:rsidRPr="00A23740" w:rsidRDefault="00A46C6E" w:rsidP="009431FF">
            <w:pPr>
              <w:widowControl w:val="0"/>
              <w:rPr>
                <w:rFonts w:eastAsia="Times New Roman"/>
                <w:color w:val="000000"/>
                <w:szCs w:val="24"/>
                <w:lang w:eastAsia="tr-TR"/>
              </w:rPr>
            </w:pPr>
            <w:r w:rsidRPr="00E26FFD">
              <w:rPr>
                <w:rStyle w:val="KIRMIZIChar"/>
                <w:rFonts w:eastAsia="Calibri"/>
              </w:rPr>
              <w:t>(F5)</w:t>
            </w:r>
            <w:r w:rsidRPr="00A23740">
              <w:rPr>
                <w:rFonts w:eastAsia="Times New Roman"/>
                <w:color w:val="000000"/>
                <w:szCs w:val="24"/>
                <w:lang w:eastAsia="tr-TR"/>
              </w:rPr>
              <w:t xml:space="preserve"> Alacaklıya teslim olunan gemiye haklı bir sebep olmaksızın tekrar giren borçlu veya üçüncü kişi, ayrıca hükme gerek kalmadan zorla çıkarılır.</w:t>
            </w:r>
          </w:p>
          <w:p w:rsidR="00A46C6E" w:rsidRPr="00A23740" w:rsidRDefault="00A46C6E" w:rsidP="009431FF">
            <w:pPr>
              <w:widowControl w:val="0"/>
              <w:rPr>
                <w:rFonts w:eastAsia="Times New Roman"/>
                <w:color w:val="000000"/>
                <w:szCs w:val="24"/>
                <w:lang w:eastAsia="tr-TR"/>
              </w:rPr>
            </w:pPr>
          </w:p>
          <w:p w:rsidR="00A46C6E" w:rsidRPr="00A23740" w:rsidRDefault="00A46C6E" w:rsidP="009431FF">
            <w:pPr>
              <w:widowControl w:val="0"/>
              <w:rPr>
                <w:rFonts w:eastAsia="Times New Roman"/>
                <w:color w:val="000000"/>
                <w:szCs w:val="24"/>
                <w:lang w:eastAsia="tr-TR"/>
              </w:rPr>
            </w:pPr>
            <w:r w:rsidRPr="00E26FFD">
              <w:rPr>
                <w:rStyle w:val="KIRMIZIChar"/>
                <w:rFonts w:eastAsia="Calibri"/>
              </w:rPr>
              <w:t>(F6)</w:t>
            </w:r>
            <w:r w:rsidRPr="00A23740">
              <w:rPr>
                <w:rFonts w:eastAsia="Times New Roman"/>
                <w:color w:val="000000"/>
                <w:szCs w:val="24"/>
                <w:lang w:eastAsia="tr-TR"/>
              </w:rPr>
              <w:t xml:space="preserve"> Gemide bulunup da ilâma dahil olmayan eşya, çıkarılarak borçluya </w:t>
            </w:r>
            <w:r w:rsidRPr="00A23740">
              <w:rPr>
                <w:rFonts w:eastAsia="Times New Roman"/>
                <w:b/>
                <w:strike/>
                <w:color w:val="FF0000"/>
                <w:szCs w:val="24"/>
                <w:lang w:eastAsia="tr-TR"/>
              </w:rPr>
              <w:t>teslim ve bu kişi hazır değilse vekiline tevdi olunur.</w:t>
            </w:r>
            <w:r w:rsidRPr="00A23740">
              <w:rPr>
                <w:rFonts w:eastAsia="Times New Roman"/>
                <w:color w:val="000000"/>
                <w:szCs w:val="24"/>
                <w:lang w:eastAsia="tr-TR"/>
              </w:rPr>
              <w:t xml:space="preserve"> </w:t>
            </w:r>
            <w:r w:rsidRPr="00A23740">
              <w:rPr>
                <w:rFonts w:eastAsia="Times New Roman"/>
                <w:b/>
                <w:strike/>
                <w:color w:val="FF0000"/>
                <w:szCs w:val="24"/>
                <w:lang w:eastAsia="tr-TR"/>
              </w:rPr>
              <w:t>Bunlardan hiçbiri</w:t>
            </w:r>
            <w:r w:rsidRPr="00A23740">
              <w:rPr>
                <w:rFonts w:eastAsia="Times New Roman"/>
                <w:color w:val="000000"/>
                <w:szCs w:val="24"/>
                <w:lang w:eastAsia="tr-TR"/>
              </w:rPr>
              <w:t xml:space="preserve"> bulunmazsa </w:t>
            </w:r>
            <w:r w:rsidRPr="00A23740">
              <w:rPr>
                <w:rFonts w:eastAsia="Times New Roman"/>
                <w:b/>
                <w:strike/>
                <w:color w:val="FF0000"/>
                <w:szCs w:val="24"/>
                <w:lang w:eastAsia="tr-TR"/>
              </w:rPr>
              <w:t>mezkûr eşya, masrafı</w:t>
            </w:r>
            <w:r w:rsidRPr="00A23740">
              <w:rPr>
                <w:rFonts w:eastAsia="Times New Roman"/>
                <w:color w:val="000000"/>
                <w:szCs w:val="24"/>
                <w:lang w:eastAsia="tr-TR"/>
              </w:rPr>
              <w:t xml:space="preserve"> ileride borçluya ödetilmek üzere peşin olarak alacaklıdan </w:t>
            </w:r>
            <w:r w:rsidRPr="00A23740">
              <w:rPr>
                <w:rFonts w:eastAsia="Times New Roman"/>
                <w:b/>
                <w:strike/>
                <w:color w:val="FF0000"/>
                <w:szCs w:val="24"/>
                <w:lang w:eastAsia="tr-TR"/>
              </w:rPr>
              <w:t>alınıp emin bir yerde veya alacaklının yedinde hıfzettirilir ve</w:t>
            </w:r>
            <w:r w:rsidRPr="00A23740">
              <w:rPr>
                <w:rFonts w:eastAsia="Times New Roman"/>
                <w:b/>
                <w:color w:val="FF0000"/>
                <w:szCs w:val="24"/>
                <w:lang w:eastAsia="tr-TR"/>
              </w:rPr>
              <w:t xml:space="preserve"> </w:t>
            </w:r>
            <w:r w:rsidRPr="00A23740">
              <w:rPr>
                <w:rFonts w:eastAsia="Times New Roman"/>
                <w:color w:val="000000"/>
                <w:szCs w:val="24"/>
                <w:lang w:eastAsia="tr-TR"/>
              </w:rPr>
              <w:t>icra dairesince</w:t>
            </w:r>
            <w:r w:rsidRPr="00A23740">
              <w:rPr>
                <w:rFonts w:eastAsia="Times New Roman"/>
                <w:b/>
                <w:color w:val="FF0000"/>
                <w:szCs w:val="24"/>
                <w:lang w:eastAsia="tr-TR"/>
              </w:rPr>
              <w:t xml:space="preserve"> </w:t>
            </w:r>
            <w:r w:rsidRPr="00A23740">
              <w:rPr>
                <w:rFonts w:eastAsia="Times New Roman"/>
                <w:b/>
                <w:strike/>
                <w:color w:val="FF0000"/>
                <w:szCs w:val="24"/>
                <w:lang w:eastAsia="tr-TR"/>
              </w:rPr>
              <w:t>hemen yapılacak tebligat üzerine borçlu eşyanın bulunduğu mahalde ise beş, değil ise otuz gün içinde eşyayı almaktan veya masrafı ödemekten kaçınırsa yahut gerek görülürse, icra müdürü, icra mahkemesinin kararıyla bunları satıp tutarından masrafı öder; fazlası kalırsa</w:t>
            </w:r>
            <w:r w:rsidRPr="00A23740">
              <w:rPr>
                <w:rFonts w:eastAsia="Times New Roman"/>
                <w:color w:val="000000"/>
                <w:szCs w:val="24"/>
                <w:lang w:eastAsia="tr-TR"/>
              </w:rPr>
              <w:t xml:space="preserve"> borçlunun adına, Adalet Bakanlığınca </w:t>
            </w:r>
            <w:r w:rsidRPr="00A23740">
              <w:rPr>
                <w:rFonts w:eastAsia="Times New Roman"/>
                <w:b/>
                <w:strike/>
                <w:color w:val="FF0000"/>
                <w:szCs w:val="24"/>
                <w:lang w:eastAsia="tr-TR"/>
              </w:rPr>
              <w:t>çıkarılan yönetmelikte nitelikleri</w:t>
            </w:r>
            <w:r w:rsidRPr="00A23740">
              <w:rPr>
                <w:rFonts w:eastAsia="Times New Roman"/>
                <w:color w:val="000000"/>
                <w:szCs w:val="24"/>
                <w:lang w:eastAsia="tr-TR"/>
              </w:rPr>
              <w:t xml:space="preserve"> belirlenen bankalardan birine </w:t>
            </w:r>
            <w:r w:rsidRPr="00E26FFD">
              <w:rPr>
                <w:rStyle w:val="KIRMIZIChar"/>
                <w:rFonts w:eastAsia="Calibri"/>
              </w:rPr>
              <w:t>yatırır.</w:t>
            </w:r>
          </w:p>
          <w:p w:rsidR="00A46C6E" w:rsidRPr="00A23740" w:rsidRDefault="00A46C6E" w:rsidP="009431FF">
            <w:pPr>
              <w:widowControl w:val="0"/>
              <w:rPr>
                <w:rFonts w:eastAsia="Times New Roman"/>
                <w:b/>
                <w:color w:val="FF0000"/>
                <w:szCs w:val="24"/>
              </w:rPr>
            </w:pPr>
          </w:p>
        </w:tc>
        <w:tc>
          <w:tcPr>
            <w:tcW w:w="2500" w:type="pct"/>
            <w:shd w:val="clear" w:color="auto" w:fill="auto"/>
          </w:tcPr>
          <w:p w:rsidR="00A46C6E" w:rsidRPr="00A23740" w:rsidRDefault="00A46C6E" w:rsidP="009431FF">
            <w:pPr>
              <w:widowControl w:val="0"/>
              <w:rPr>
                <w:rFonts w:eastAsia="Times New Roman"/>
                <w:b/>
                <w:bCs/>
                <w:color w:val="0000FF"/>
                <w:szCs w:val="24"/>
                <w:lang w:eastAsia="x-none"/>
              </w:rPr>
            </w:pPr>
            <w:r w:rsidRPr="00A23740">
              <w:rPr>
                <w:rFonts w:eastAsia="Times New Roman"/>
                <w:color w:val="000000"/>
                <w:szCs w:val="24"/>
                <w:lang w:eastAsia="tr-TR"/>
              </w:rPr>
              <w:t>Gemiler</w:t>
            </w:r>
            <w:r w:rsidRPr="00A23740">
              <w:rPr>
                <w:rFonts w:eastAsia="Times New Roman"/>
                <w:b/>
                <w:bCs/>
                <w:color w:val="0000FF"/>
                <w:szCs w:val="24"/>
                <w:lang w:eastAsia="x-none"/>
              </w:rPr>
              <w:t xml:space="preserve">in tahliye veya teslimine </w:t>
            </w:r>
            <w:r w:rsidRPr="00A23740">
              <w:rPr>
                <w:rFonts w:eastAsia="Times New Roman"/>
                <w:color w:val="000000"/>
                <w:szCs w:val="24"/>
                <w:lang w:eastAsia="tr-TR"/>
              </w:rPr>
              <w:t>ilişkin ilamlar</w:t>
            </w:r>
          </w:p>
          <w:p w:rsidR="00A46C6E" w:rsidRPr="00A23740" w:rsidRDefault="003B700B" w:rsidP="009431FF">
            <w:pPr>
              <w:widowControl w:val="0"/>
              <w:rPr>
                <w:rFonts w:eastAsia="Times New Roman"/>
                <w:b/>
                <w:bCs/>
                <w:color w:val="0000FF"/>
                <w:szCs w:val="24"/>
                <w:lang w:eastAsia="x-none"/>
              </w:rPr>
            </w:pPr>
            <w:r w:rsidRPr="00A23740">
              <w:rPr>
                <w:b/>
                <w:bCs/>
                <w:color w:val="0000FF"/>
                <w:lang w:val="x-none" w:eastAsia="x-none"/>
              </w:rPr>
              <w:t>MADDE 469</w:t>
            </w:r>
            <w:r w:rsidR="00A46C6E" w:rsidRPr="00A23740">
              <w:rPr>
                <w:rFonts w:eastAsia="Times New Roman"/>
                <w:b/>
                <w:bCs/>
                <w:color w:val="0000FF"/>
                <w:szCs w:val="24"/>
                <w:lang w:eastAsia="x-none"/>
              </w:rPr>
              <w:t xml:space="preserve">- (1) </w:t>
            </w:r>
            <w:r w:rsidR="00A46C6E" w:rsidRPr="00A23740">
              <w:rPr>
                <w:rFonts w:eastAsia="Times New Roman"/>
                <w:color w:val="000000"/>
                <w:szCs w:val="24"/>
                <w:lang w:eastAsia="tr-TR"/>
              </w:rPr>
              <w:t>Bayrağına ve sicile kayıtlı olup olmadığına bakılmaksızın bir geminin tahliye ve</w:t>
            </w:r>
            <w:r w:rsidR="00A46C6E" w:rsidRPr="00A23740">
              <w:rPr>
                <w:rFonts w:eastAsia="Times New Roman"/>
                <w:b/>
                <w:bCs/>
                <w:color w:val="0000FF"/>
                <w:szCs w:val="24"/>
                <w:lang w:eastAsia="x-none"/>
              </w:rPr>
              <w:t xml:space="preserve">ya </w:t>
            </w:r>
            <w:r w:rsidR="00A46C6E" w:rsidRPr="00A23740">
              <w:rPr>
                <w:rFonts w:eastAsia="Times New Roman"/>
                <w:color w:val="000000"/>
                <w:szCs w:val="24"/>
                <w:lang w:eastAsia="tr-TR"/>
              </w:rPr>
              <w:t xml:space="preserve">teslimine ilişkin ilam icra </w:t>
            </w:r>
            <w:r w:rsidR="00A46C6E" w:rsidRPr="00E65BE7">
              <w:rPr>
                <w:rFonts w:eastAsia="Times New Roman"/>
                <w:b/>
                <w:bCs/>
                <w:color w:val="0000FF"/>
                <w:szCs w:val="24"/>
                <w:lang w:eastAsia="tr-TR"/>
              </w:rPr>
              <w:t>ve</w:t>
            </w:r>
            <w:r w:rsidR="00A46C6E" w:rsidRPr="00A23740">
              <w:rPr>
                <w:rFonts w:eastAsia="Times New Roman"/>
                <w:b/>
                <w:bCs/>
                <w:color w:val="00B050"/>
                <w:szCs w:val="24"/>
                <w:lang w:eastAsia="tr-TR"/>
              </w:rPr>
              <w:t xml:space="preserve"> </w:t>
            </w:r>
            <w:r w:rsidR="00A46C6E" w:rsidRPr="00E65BE7">
              <w:rPr>
                <w:rFonts w:eastAsia="Times New Roman"/>
                <w:b/>
                <w:bCs/>
                <w:color w:val="0000FF"/>
                <w:szCs w:val="24"/>
                <w:lang w:eastAsia="tr-TR"/>
              </w:rPr>
              <w:t>iflas</w:t>
            </w:r>
            <w:r w:rsidR="00A46C6E" w:rsidRPr="00A23740">
              <w:rPr>
                <w:rFonts w:eastAsia="Times New Roman"/>
                <w:color w:val="000000"/>
                <w:szCs w:val="24"/>
                <w:lang w:eastAsia="tr-TR"/>
              </w:rPr>
              <w:t xml:space="preserve"> dairesine verilince</w:t>
            </w:r>
            <w:r w:rsidR="003C1C46" w:rsidRPr="00E65BE7">
              <w:rPr>
                <w:rStyle w:val="YELChar"/>
                <w:color w:val="0000FF"/>
              </w:rPr>
              <w:t>,</w:t>
            </w:r>
            <w:r w:rsidR="00A46C6E" w:rsidRPr="00A23740">
              <w:rPr>
                <w:rFonts w:eastAsia="Times New Roman"/>
                <w:color w:val="000000"/>
                <w:szCs w:val="24"/>
                <w:lang w:eastAsia="tr-TR"/>
              </w:rPr>
              <w:t xml:space="preserve"> icra </w:t>
            </w:r>
            <w:r w:rsidR="00A46C6E" w:rsidRPr="00E65BE7">
              <w:rPr>
                <w:rFonts w:eastAsia="Times New Roman"/>
                <w:b/>
                <w:bCs/>
                <w:color w:val="0000FF"/>
                <w:szCs w:val="24"/>
                <w:lang w:eastAsia="tr-TR"/>
              </w:rPr>
              <w:t>ve iflas</w:t>
            </w:r>
            <w:r w:rsidR="00A46C6E" w:rsidRPr="00A23740">
              <w:rPr>
                <w:rFonts w:eastAsia="Times New Roman"/>
                <w:color w:val="000000"/>
                <w:szCs w:val="24"/>
                <w:lang w:eastAsia="tr-TR"/>
              </w:rPr>
              <w:t xml:space="preserve"> müdürü</w:t>
            </w:r>
            <w:r w:rsidR="00A46C6E" w:rsidRPr="00A23740">
              <w:rPr>
                <w:rFonts w:eastAsia="Times New Roman"/>
                <w:b/>
                <w:bCs/>
                <w:color w:val="0000FF"/>
                <w:szCs w:val="24"/>
                <w:lang w:eastAsia="x-none"/>
              </w:rPr>
              <w:t xml:space="preserve"> </w:t>
            </w:r>
            <w:r w:rsidR="00A46C6E" w:rsidRPr="00A23740">
              <w:rPr>
                <w:b/>
                <w:bCs/>
                <w:color w:val="0000FF"/>
                <w:lang w:val="x-none" w:eastAsia="x-none"/>
              </w:rPr>
              <w:t xml:space="preserve">57 nci </w:t>
            </w:r>
            <w:r w:rsidR="00A46C6E" w:rsidRPr="00A23740">
              <w:rPr>
                <w:rFonts w:eastAsia="Times New Roman"/>
                <w:b/>
                <w:bCs/>
                <w:color w:val="0000FF"/>
                <w:szCs w:val="24"/>
                <w:lang w:eastAsia="x-none"/>
              </w:rPr>
              <w:t>madde</w:t>
            </w:r>
            <w:r w:rsidR="00392D49" w:rsidRPr="00E65BE7">
              <w:rPr>
                <w:rFonts w:eastAsia="Times New Roman"/>
                <w:b/>
                <w:bCs/>
                <w:color w:val="0000FF"/>
                <w:szCs w:val="24"/>
                <w:lang w:eastAsia="x-none"/>
              </w:rPr>
              <w:t>ye uygun şekilde</w:t>
            </w:r>
            <w:r w:rsidR="00A46C6E" w:rsidRPr="00A23740">
              <w:rPr>
                <w:rFonts w:eastAsia="Times New Roman"/>
                <w:b/>
                <w:bCs/>
                <w:color w:val="0000FF"/>
                <w:szCs w:val="24"/>
                <w:lang w:eastAsia="x-none"/>
              </w:rPr>
              <w:t xml:space="preserve"> </w:t>
            </w:r>
            <w:r w:rsidR="00A46C6E" w:rsidRPr="00A23740">
              <w:rPr>
                <w:rFonts w:eastAsia="Times New Roman"/>
                <w:color w:val="000000"/>
                <w:szCs w:val="24"/>
                <w:lang w:eastAsia="tr-TR"/>
              </w:rPr>
              <w:t>bir icra emri tebliği suretiyle</w:t>
            </w:r>
            <w:r w:rsidR="00A46C6E" w:rsidRPr="00A23740">
              <w:rPr>
                <w:rFonts w:eastAsia="Times New Roman"/>
                <w:b/>
                <w:bCs/>
                <w:color w:val="0000FF"/>
                <w:szCs w:val="24"/>
                <w:lang w:eastAsia="x-none"/>
              </w:rPr>
              <w:t xml:space="preserve"> </w:t>
            </w:r>
            <w:r w:rsidR="00A46C6E" w:rsidRPr="00A23740">
              <w:rPr>
                <w:rFonts w:eastAsia="Times New Roman"/>
                <w:color w:val="000000"/>
                <w:szCs w:val="24"/>
                <w:lang w:eastAsia="tr-TR"/>
              </w:rPr>
              <w:t>borçluya</w:t>
            </w:r>
            <w:r w:rsidR="00A46C6E" w:rsidRPr="00A23740">
              <w:rPr>
                <w:rFonts w:eastAsia="Times New Roman"/>
                <w:b/>
                <w:bCs/>
                <w:color w:val="0000FF"/>
                <w:szCs w:val="24"/>
                <w:lang w:eastAsia="x-none"/>
              </w:rPr>
              <w:t xml:space="preserve"> bir hafta </w:t>
            </w:r>
            <w:r w:rsidR="00A46C6E" w:rsidRPr="00A23740">
              <w:rPr>
                <w:rFonts w:eastAsia="Times New Roman"/>
                <w:color w:val="000000"/>
                <w:szCs w:val="24"/>
                <w:lang w:eastAsia="tr-TR"/>
              </w:rPr>
              <w:t>içinde o geminin teslimini emreder.</w:t>
            </w:r>
            <w:r w:rsidR="00A46C6E" w:rsidRPr="00A23740">
              <w:rPr>
                <w:rFonts w:eastAsia="Times New Roman"/>
                <w:b/>
                <w:bCs/>
                <w:color w:val="0000FF"/>
                <w:szCs w:val="24"/>
                <w:lang w:eastAsia="x-none"/>
              </w:rPr>
              <w:t xml:space="preserve"> İlamın içeriğine göre icra emrinde belir</w:t>
            </w:r>
            <w:r w:rsidR="00A127B1">
              <w:rPr>
                <w:rFonts w:eastAsia="Times New Roman"/>
                <w:b/>
                <w:bCs/>
                <w:color w:val="0000FF"/>
                <w:szCs w:val="24"/>
                <w:lang w:eastAsia="x-none"/>
              </w:rPr>
              <w:t>tilecek hususlar hakkında 57 ila</w:t>
            </w:r>
            <w:r w:rsidR="00A46C6E" w:rsidRPr="00A23740">
              <w:rPr>
                <w:rFonts w:eastAsia="Times New Roman"/>
                <w:b/>
                <w:bCs/>
                <w:color w:val="0000FF"/>
                <w:szCs w:val="24"/>
                <w:lang w:eastAsia="x-none"/>
              </w:rPr>
              <w:t xml:space="preserve"> 59 </w:t>
            </w:r>
            <w:r w:rsidR="00A46C6E" w:rsidRPr="00E65BE7">
              <w:rPr>
                <w:rFonts w:eastAsia="Times New Roman"/>
                <w:b/>
                <w:bCs/>
                <w:color w:val="0000FF"/>
                <w:szCs w:val="24"/>
                <w:lang w:eastAsia="x-none"/>
              </w:rPr>
              <w:t>uncu</w:t>
            </w:r>
            <w:r w:rsidR="00290639" w:rsidRPr="00A23740">
              <w:rPr>
                <w:rFonts w:eastAsia="Times New Roman"/>
                <w:b/>
                <w:bCs/>
                <w:color w:val="00B050"/>
                <w:szCs w:val="24"/>
                <w:lang w:eastAsia="x-none"/>
              </w:rPr>
              <w:t xml:space="preserve"> </w:t>
            </w:r>
            <w:r w:rsidR="00A46C6E" w:rsidRPr="00A23740">
              <w:rPr>
                <w:rFonts w:eastAsia="Times New Roman"/>
                <w:b/>
                <w:bCs/>
                <w:color w:val="0000FF"/>
                <w:szCs w:val="24"/>
                <w:lang w:eastAsia="x-none"/>
              </w:rPr>
              <w:t>maddeler kıyasen uygulanır. Alacaklıya teslim olunan gemiye haklı bir sebep olmaksızın tekrar giren borçlunun mahkeme hükmüne gerek olmaksızın icra ve iflas dairesince gemiden zorla çıkarılacağı ve ayrıca</w:t>
            </w:r>
            <w:r w:rsidR="00290639" w:rsidRPr="00A23740">
              <w:rPr>
                <w:rFonts w:eastAsia="Times New Roman"/>
                <w:b/>
                <w:bCs/>
                <w:color w:val="0000FF"/>
                <w:szCs w:val="24"/>
                <w:lang w:eastAsia="x-none"/>
              </w:rPr>
              <w:t xml:space="preserve"> </w:t>
            </w:r>
            <w:r w:rsidR="00290639" w:rsidRPr="00E65BE7">
              <w:rPr>
                <w:rStyle w:val="KonuBalChar"/>
                <w:rFonts w:eastAsia="Calibri"/>
                <w:color w:val="0000FF"/>
              </w:rPr>
              <w:t>521 inci</w:t>
            </w:r>
            <w:r w:rsidR="00A46C6E" w:rsidRPr="00A23740">
              <w:rPr>
                <w:rFonts w:eastAsia="Times New Roman"/>
                <w:b/>
                <w:bCs/>
                <w:color w:val="0000FF"/>
                <w:szCs w:val="24"/>
                <w:lang w:eastAsia="x-none"/>
              </w:rPr>
              <w:t xml:space="preserve"> </w:t>
            </w:r>
            <w:r w:rsidR="00CF555D" w:rsidRPr="00A23740">
              <w:rPr>
                <w:rFonts w:eastAsia="Times New Roman"/>
                <w:b/>
                <w:bCs/>
                <w:color w:val="0000FF"/>
                <w:szCs w:val="24"/>
                <w:lang w:eastAsia="x-none"/>
              </w:rPr>
              <w:t>madde gereğince hapis</w:t>
            </w:r>
            <w:r w:rsidR="00A46C6E" w:rsidRPr="00A23740">
              <w:rPr>
                <w:rFonts w:eastAsia="Times New Roman"/>
                <w:b/>
                <w:bCs/>
                <w:color w:val="0000FF"/>
                <w:szCs w:val="24"/>
                <w:lang w:eastAsia="x-none"/>
              </w:rPr>
              <w:t xml:space="preserve"> </w:t>
            </w:r>
            <w:r w:rsidR="0005528D" w:rsidRPr="00A23740">
              <w:rPr>
                <w:rStyle w:val="MaviChar"/>
                <w:lang w:val="tr-TR"/>
              </w:rPr>
              <w:t>cezası</w:t>
            </w:r>
            <w:r w:rsidR="0005528D" w:rsidRPr="00E65BE7">
              <w:rPr>
                <w:rStyle w:val="MaviChar"/>
                <w:lang w:val="tr-TR"/>
              </w:rPr>
              <w:t>yla</w:t>
            </w:r>
            <w:r w:rsidR="0005528D" w:rsidRPr="00A23740">
              <w:rPr>
                <w:rStyle w:val="MaviChar"/>
                <w:lang w:val="tr-TR"/>
              </w:rPr>
              <w:t xml:space="preserve"> </w:t>
            </w:r>
            <w:r w:rsidR="00A46C6E" w:rsidRPr="00A23740">
              <w:rPr>
                <w:rFonts w:eastAsia="Times New Roman"/>
                <w:b/>
                <w:bCs/>
                <w:color w:val="0000FF"/>
                <w:szCs w:val="24"/>
                <w:lang w:eastAsia="x-none"/>
              </w:rPr>
              <w:t>cezalandırılacağı hususu da icra emrinde ihtar edilir.</w:t>
            </w:r>
          </w:p>
          <w:p w:rsidR="00A46C6E" w:rsidRDefault="00A46C6E" w:rsidP="009431FF">
            <w:pPr>
              <w:widowControl w:val="0"/>
              <w:rPr>
                <w:rFonts w:eastAsia="Times New Roman"/>
                <w:szCs w:val="24"/>
              </w:rPr>
            </w:pPr>
          </w:p>
          <w:p w:rsidR="00B569B2" w:rsidRPr="00A23740" w:rsidRDefault="00B569B2" w:rsidP="009431FF">
            <w:pPr>
              <w:widowControl w:val="0"/>
              <w:rPr>
                <w:rFonts w:eastAsia="Times New Roman"/>
                <w:szCs w:val="24"/>
              </w:rPr>
            </w:pPr>
          </w:p>
          <w:p w:rsidR="00A46C6E" w:rsidRPr="00A23740" w:rsidRDefault="00A46C6E" w:rsidP="009431FF">
            <w:pPr>
              <w:widowControl w:val="0"/>
              <w:rPr>
                <w:rFonts w:eastAsia="Times New Roman"/>
                <w:color w:val="000000"/>
                <w:szCs w:val="24"/>
                <w:lang w:eastAsia="tr-TR"/>
              </w:rPr>
            </w:pPr>
            <w:r w:rsidRPr="00A23740">
              <w:rPr>
                <w:b/>
                <w:bCs/>
                <w:color w:val="0000FF"/>
                <w:lang w:val="x-none" w:eastAsia="x-none"/>
              </w:rPr>
              <w:t>(2)</w:t>
            </w:r>
            <w:r w:rsidRPr="00A23740">
              <w:rPr>
                <w:rFonts w:eastAsia="Times New Roman"/>
                <w:b/>
                <w:bCs/>
                <w:color w:val="0000FF"/>
                <w:szCs w:val="24"/>
                <w:lang w:eastAsia="x-none"/>
              </w:rPr>
              <w:t xml:space="preserve"> </w:t>
            </w:r>
            <w:r w:rsidRPr="00A23740">
              <w:rPr>
                <w:rFonts w:eastAsia="Times New Roman"/>
                <w:color w:val="000000"/>
                <w:szCs w:val="24"/>
                <w:lang w:eastAsia="tr-TR"/>
              </w:rPr>
              <w:t xml:space="preserve">Borçlu, gemiye zilyet olduğu hâlde bu emri yerine getirmezse, </w:t>
            </w:r>
            <w:r w:rsidR="00F8205A" w:rsidRPr="00E65BE7">
              <w:rPr>
                <w:rStyle w:val="YELChar"/>
                <w:color w:val="0000FF"/>
              </w:rPr>
              <w:t>ilam</w:t>
            </w:r>
            <w:r w:rsidRPr="00A23740">
              <w:rPr>
                <w:rFonts w:eastAsia="Times New Roman"/>
                <w:color w:val="000000"/>
                <w:szCs w:val="24"/>
                <w:lang w:eastAsia="tr-TR"/>
              </w:rPr>
              <w:t xml:space="preserve"> hükmü zorla</w:t>
            </w:r>
            <w:r w:rsidRPr="00A23740">
              <w:rPr>
                <w:rFonts w:eastAsia="Times New Roman"/>
                <w:b/>
                <w:bCs/>
                <w:color w:val="0000FF"/>
                <w:szCs w:val="24"/>
                <w:lang w:eastAsia="x-none"/>
              </w:rPr>
              <w:t xml:space="preserve"> yerine getirilir. </w:t>
            </w:r>
            <w:r w:rsidRPr="00A23740">
              <w:rPr>
                <w:rFonts w:eastAsia="Times New Roman"/>
                <w:color w:val="000000"/>
                <w:szCs w:val="24"/>
                <w:lang w:eastAsia="tr-TR"/>
              </w:rPr>
              <w:t>Borçlu geminin zilyedi değilse, alacaklı aşağıda yazılı seçimlik haklardan birini kullanabilir:</w:t>
            </w:r>
          </w:p>
          <w:p w:rsidR="00A46C6E" w:rsidRPr="00A23740" w:rsidRDefault="00A46C6E" w:rsidP="009431FF">
            <w:pPr>
              <w:widowControl w:val="0"/>
              <w:rPr>
                <w:rFonts w:eastAsia="Times New Roman"/>
                <w:color w:val="000000"/>
                <w:szCs w:val="24"/>
                <w:lang w:eastAsia="tr-TR"/>
              </w:rPr>
            </w:pPr>
            <w:r w:rsidRPr="00A23740">
              <w:rPr>
                <w:rFonts w:eastAsia="Times New Roman"/>
                <w:b/>
                <w:bCs/>
                <w:color w:val="0000FF"/>
                <w:szCs w:val="24"/>
                <w:lang w:eastAsia="x-none"/>
              </w:rPr>
              <w:t xml:space="preserve">a) </w:t>
            </w:r>
            <w:r w:rsidRPr="00A23740">
              <w:rPr>
                <w:rFonts w:eastAsia="Times New Roman"/>
                <w:color w:val="000000"/>
                <w:szCs w:val="24"/>
                <w:lang w:eastAsia="tr-TR"/>
              </w:rPr>
              <w:t>Alacaklı, geminin ilamda yazılı değerinin alınmasını isteyebilir. Borçlu bu değeri ödemezse</w:t>
            </w:r>
            <w:r w:rsidRPr="00E26FFD">
              <w:rPr>
                <w:rFonts w:eastAsia="Times New Roman"/>
                <w:b/>
                <w:bCs/>
                <w:color w:val="0000FF"/>
                <w:lang w:eastAsia="x-none"/>
              </w:rPr>
              <w:t>,</w:t>
            </w:r>
            <w:r w:rsidRPr="00A23740">
              <w:rPr>
                <w:rFonts w:eastAsia="Times New Roman"/>
                <w:color w:val="000000"/>
                <w:szCs w:val="24"/>
                <w:lang w:eastAsia="tr-TR"/>
              </w:rPr>
              <w:t xml:space="preserve"> ayrıca </w:t>
            </w:r>
            <w:r w:rsidRPr="00A23740">
              <w:rPr>
                <w:rFonts w:eastAsia="Times New Roman"/>
                <w:b/>
                <w:bCs/>
                <w:color w:val="0000FF"/>
                <w:szCs w:val="24"/>
                <w:lang w:eastAsia="x-none"/>
              </w:rPr>
              <w:t>yeni</w:t>
            </w:r>
            <w:r w:rsidRPr="00A23740">
              <w:rPr>
                <w:b/>
                <w:color w:val="00CC00"/>
                <w:lang w:eastAsia="tr-TR"/>
              </w:rPr>
              <w:t xml:space="preserve"> </w:t>
            </w:r>
            <w:r w:rsidRPr="00A23740">
              <w:rPr>
                <w:rFonts w:eastAsia="Times New Roman"/>
                <w:b/>
                <w:bCs/>
                <w:color w:val="0000FF"/>
                <w:szCs w:val="24"/>
                <w:lang w:eastAsia="x-none"/>
              </w:rPr>
              <w:t>bir</w:t>
            </w:r>
            <w:r w:rsidRPr="00A23740">
              <w:rPr>
                <w:rFonts w:eastAsia="Times New Roman"/>
                <w:color w:val="000000"/>
                <w:szCs w:val="24"/>
                <w:lang w:eastAsia="tr-TR"/>
              </w:rPr>
              <w:t xml:space="preserve"> icra emri tebliğine gerek kalmaksızın söz konusu değer kendisinden haciz yoluyla tahsil olunur. Geminin değeri, ilamda yazılı olmadığı ve taraflar bu değer üzerinde anlaşamadıkları takdirde, icra </w:t>
            </w:r>
            <w:r w:rsidR="007D74DD" w:rsidRPr="00E65BE7">
              <w:rPr>
                <w:b/>
                <w:color w:val="0000FF"/>
              </w:rPr>
              <w:t>ve iflas</w:t>
            </w:r>
            <w:r w:rsidR="007D74DD" w:rsidRPr="00A23740">
              <w:rPr>
                <w:b/>
                <w:color w:val="385623"/>
              </w:rPr>
              <w:t xml:space="preserve"> </w:t>
            </w:r>
            <w:r w:rsidRPr="00A23740">
              <w:rPr>
                <w:rFonts w:eastAsia="Times New Roman"/>
                <w:color w:val="000000"/>
                <w:szCs w:val="24"/>
                <w:lang w:eastAsia="tr-TR"/>
              </w:rPr>
              <w:t>müdürü tarafından seçilecek bilirkişi</w:t>
            </w:r>
            <w:r w:rsidRPr="00A23740">
              <w:rPr>
                <w:rFonts w:eastAsia="Times New Roman"/>
                <w:b/>
                <w:bCs/>
                <w:color w:val="0000FF"/>
                <w:szCs w:val="24"/>
                <w:lang w:eastAsia="x-none"/>
              </w:rPr>
              <w:t xml:space="preserve">ye </w:t>
            </w:r>
            <w:r w:rsidRPr="00A23740">
              <w:rPr>
                <w:rFonts w:eastAsia="Times New Roman"/>
                <w:color w:val="000000"/>
                <w:szCs w:val="24"/>
                <w:lang w:eastAsia="tr-TR"/>
              </w:rPr>
              <w:t>tespit ettirilir. Bilirkişi</w:t>
            </w:r>
            <w:r w:rsidRPr="00A23740">
              <w:rPr>
                <w:rFonts w:eastAsia="Times New Roman"/>
                <w:b/>
                <w:bCs/>
                <w:color w:val="0000FF"/>
                <w:szCs w:val="24"/>
                <w:lang w:eastAsia="x-none"/>
              </w:rPr>
              <w:t xml:space="preserve">, incelemenin yapıldığı tarihteki rayiç değeri </w:t>
            </w:r>
            <w:r w:rsidRPr="00A23740">
              <w:rPr>
                <w:rFonts w:eastAsia="Times New Roman"/>
                <w:color w:val="000000"/>
                <w:szCs w:val="24"/>
                <w:lang w:eastAsia="tr-TR"/>
              </w:rPr>
              <w:t>esas alır.</w:t>
            </w: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r w:rsidRPr="00A23740">
              <w:rPr>
                <w:rFonts w:eastAsia="Times New Roman"/>
                <w:b/>
                <w:bCs/>
                <w:color w:val="0000FF"/>
                <w:szCs w:val="24"/>
                <w:lang w:eastAsia="x-none"/>
              </w:rPr>
              <w:t xml:space="preserve">b) </w:t>
            </w:r>
            <w:r w:rsidRPr="00A23740">
              <w:rPr>
                <w:rFonts w:eastAsia="Times New Roman"/>
                <w:color w:val="000000"/>
                <w:szCs w:val="24"/>
                <w:lang w:eastAsia="tr-TR"/>
              </w:rPr>
              <w:t>Alacaklı, gemiye zilyet olan üçüncü kişiye karşı borçlunun sahip olduğu hakları kullanabilir. Şu kadar ki, üçüncü kişi</w:t>
            </w:r>
            <w:r w:rsidR="00B569B2" w:rsidRPr="00B569B2">
              <w:rPr>
                <w:rStyle w:val="KIRMIZIChar"/>
                <w:rFonts w:eastAsia="Calibri"/>
                <w:strike w:val="0"/>
              </w:rPr>
              <w:t xml:space="preserve"> </w:t>
            </w:r>
            <w:r w:rsidRPr="00E65BE7">
              <w:rPr>
                <w:rFonts w:eastAsia="Times New Roman"/>
                <w:b/>
                <w:bCs/>
                <w:color w:val="0000FF"/>
                <w:szCs w:val="24"/>
                <w:lang w:eastAsia="tr-TR"/>
              </w:rPr>
              <w:t>davanın açılmasından</w:t>
            </w:r>
            <w:r w:rsidRPr="00A23740">
              <w:rPr>
                <w:rFonts w:eastAsia="Times New Roman"/>
                <w:b/>
                <w:bCs/>
                <w:color w:val="000000"/>
                <w:szCs w:val="24"/>
                <w:lang w:eastAsia="tr-TR"/>
              </w:rPr>
              <w:t xml:space="preserve"> </w:t>
            </w:r>
            <w:r w:rsidRPr="00A23740">
              <w:rPr>
                <w:rFonts w:eastAsia="Times New Roman"/>
                <w:color w:val="000000"/>
                <w:szCs w:val="24"/>
                <w:lang w:eastAsia="tr-TR"/>
              </w:rPr>
              <w:t>sonra ve hükümden önce gemi siciline tescil edilmiş bir sözleşmeye dayanarak gemiye zilyet ise</w:t>
            </w:r>
            <w:r w:rsidR="00F8205A" w:rsidRPr="00E65BE7">
              <w:rPr>
                <w:rStyle w:val="YELChar"/>
                <w:color w:val="0000FF"/>
              </w:rPr>
              <w:t>,</w:t>
            </w:r>
            <w:r w:rsidRPr="00A23740">
              <w:rPr>
                <w:rFonts w:eastAsia="Times New Roman"/>
                <w:b/>
                <w:bCs/>
                <w:color w:val="0000FF"/>
                <w:szCs w:val="24"/>
                <w:lang w:eastAsia="x-none"/>
              </w:rPr>
              <w:t xml:space="preserve"> (a) bendi </w:t>
            </w:r>
            <w:r w:rsidRPr="00A23740">
              <w:rPr>
                <w:rFonts w:eastAsia="Times New Roman"/>
                <w:color w:val="000000"/>
                <w:szCs w:val="24"/>
                <w:lang w:eastAsia="tr-TR"/>
              </w:rPr>
              <w:t>hükmü uygulanır.</w:t>
            </w:r>
          </w:p>
          <w:p w:rsidR="00A46C6E" w:rsidRPr="00A23740" w:rsidRDefault="00A46C6E" w:rsidP="009431FF">
            <w:pPr>
              <w:widowControl w:val="0"/>
              <w:rPr>
                <w:rFonts w:eastAsia="Times New Roman"/>
                <w:b/>
                <w:bCs/>
                <w:color w:val="0000CC"/>
                <w:szCs w:val="24"/>
                <w:lang w:eastAsia="tr-TR"/>
              </w:rPr>
            </w:pPr>
          </w:p>
          <w:p w:rsidR="00A46C6E" w:rsidRPr="00A23740" w:rsidRDefault="00A46C6E" w:rsidP="009431FF">
            <w:pPr>
              <w:widowControl w:val="0"/>
              <w:rPr>
                <w:rFonts w:eastAsia="Times New Roman"/>
                <w:b/>
                <w:bCs/>
                <w:color w:val="0000CC"/>
                <w:szCs w:val="24"/>
                <w:lang w:eastAsia="tr-TR"/>
              </w:rPr>
            </w:pPr>
            <w:r w:rsidRPr="00A23740">
              <w:rPr>
                <w:rFonts w:eastAsia="Times New Roman"/>
                <w:b/>
                <w:bCs/>
                <w:color w:val="0000FF"/>
                <w:szCs w:val="24"/>
                <w:lang w:eastAsia="tr-TR"/>
              </w:rPr>
              <w:t>(3)</w:t>
            </w:r>
            <w:r w:rsidRPr="00A23740">
              <w:rPr>
                <w:rFonts w:eastAsia="Times New Roman"/>
                <w:color w:val="000000"/>
                <w:szCs w:val="24"/>
                <w:lang w:eastAsia="tr-TR"/>
              </w:rPr>
              <w:t xml:space="preserve"> Alacaklıya teslim olunan gemiye haklı bir sebep olmaksızın tekrar giren borçlu veya üçüncü kişi, ayrıca hükme gerek kalmadan zorla çıkarılır.</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b/>
                <w:bCs/>
                <w:color w:val="0000FF"/>
                <w:szCs w:val="24"/>
                <w:lang w:eastAsia="x-none"/>
              </w:rPr>
            </w:pPr>
            <w:r w:rsidRPr="00A23740">
              <w:rPr>
                <w:rFonts w:eastAsia="Times New Roman"/>
                <w:b/>
                <w:bCs/>
                <w:color w:val="0000FF"/>
                <w:szCs w:val="24"/>
                <w:lang w:eastAsia="x-none"/>
              </w:rPr>
              <w:t xml:space="preserve">(4) </w:t>
            </w:r>
            <w:r w:rsidRPr="00A23740">
              <w:rPr>
                <w:rFonts w:eastAsia="Times New Roman"/>
                <w:color w:val="000000"/>
                <w:szCs w:val="24"/>
                <w:lang w:eastAsia="tr-TR"/>
              </w:rPr>
              <w:t>Gemide bulunup da ilama dahil olmayan eşya</w:t>
            </w:r>
            <w:r w:rsidRPr="00A23740">
              <w:rPr>
                <w:bCs/>
                <w:color w:val="000000"/>
                <w:lang w:eastAsia="tr-TR"/>
              </w:rPr>
              <w:t>,</w:t>
            </w:r>
            <w:r w:rsidRPr="00A23740">
              <w:rPr>
                <w:rFonts w:eastAsia="Times New Roman"/>
                <w:color w:val="000000"/>
                <w:szCs w:val="24"/>
                <w:lang w:eastAsia="tr-TR"/>
              </w:rPr>
              <w:t xml:space="preserve"> </w:t>
            </w:r>
            <w:r w:rsidRPr="00A23740">
              <w:rPr>
                <w:rFonts w:eastAsia="Times New Roman"/>
                <w:b/>
                <w:bCs/>
                <w:color w:val="0000FF"/>
                <w:szCs w:val="24"/>
                <w:lang w:eastAsia="x-none"/>
              </w:rPr>
              <w:t>gemiden</w:t>
            </w:r>
            <w:r w:rsidRPr="00A23740">
              <w:rPr>
                <w:rFonts w:eastAsia="Times New Roman"/>
                <w:color w:val="000000"/>
                <w:szCs w:val="24"/>
                <w:lang w:eastAsia="tr-TR"/>
              </w:rPr>
              <w:t xml:space="preserve"> çıkarılarak borçluya</w:t>
            </w:r>
            <w:r w:rsidRPr="00A23740">
              <w:rPr>
                <w:rFonts w:eastAsia="Times New Roman"/>
                <w:b/>
                <w:bCs/>
                <w:color w:val="0000FF"/>
                <w:szCs w:val="24"/>
                <w:lang w:eastAsia="x-none"/>
              </w:rPr>
              <w:t xml:space="preserve">, borçlu hazır değilse vekiline teslim edilir. Borçlu veya vekili </w:t>
            </w:r>
            <w:r w:rsidRPr="00A23740">
              <w:rPr>
                <w:rFonts w:eastAsia="Times New Roman"/>
                <w:color w:val="000000"/>
                <w:szCs w:val="24"/>
                <w:lang w:eastAsia="tr-TR"/>
              </w:rPr>
              <w:t>bulunmazsa</w:t>
            </w:r>
            <w:r w:rsidRPr="00A23740">
              <w:rPr>
                <w:rFonts w:eastAsia="Times New Roman"/>
                <w:b/>
                <w:bCs/>
                <w:color w:val="0000FF"/>
                <w:szCs w:val="24"/>
                <w:lang w:eastAsia="x-none"/>
              </w:rPr>
              <w:t xml:space="preserve">, iki aylık muhafaza giderleri </w:t>
            </w:r>
            <w:r w:rsidRPr="00A23740">
              <w:rPr>
                <w:rFonts w:eastAsia="Times New Roman"/>
                <w:color w:val="000000"/>
                <w:szCs w:val="24"/>
                <w:lang w:eastAsia="tr-TR"/>
              </w:rPr>
              <w:t xml:space="preserve">ileride borçluya ödetilmek üzere peşin olarak alacaklıdan </w:t>
            </w:r>
            <w:r w:rsidR="00392D49" w:rsidRPr="00E65BE7">
              <w:rPr>
                <w:rFonts w:eastAsia="Times New Roman"/>
                <w:b/>
                <w:bCs/>
                <w:color w:val="0000FF"/>
                <w:szCs w:val="24"/>
                <w:lang w:eastAsia="x-none"/>
              </w:rPr>
              <w:t>alınıp</w:t>
            </w:r>
            <w:r w:rsidR="00392D49" w:rsidRPr="00A23740">
              <w:rPr>
                <w:rFonts w:eastAsia="Times New Roman"/>
                <w:b/>
                <w:bCs/>
                <w:color w:val="0000FF"/>
                <w:szCs w:val="24"/>
                <w:lang w:eastAsia="x-none"/>
              </w:rPr>
              <w:t xml:space="preserve"> </w:t>
            </w:r>
            <w:r w:rsidRPr="00A23740">
              <w:rPr>
                <w:rFonts w:eastAsia="Times New Roman"/>
                <w:b/>
                <w:bCs/>
                <w:color w:val="0000FF"/>
                <w:szCs w:val="24"/>
                <w:lang w:eastAsia="x-none"/>
              </w:rPr>
              <w:t xml:space="preserve">eşya </w:t>
            </w:r>
            <w:r w:rsidRPr="00E65BE7">
              <w:rPr>
                <w:rFonts w:eastAsia="Times New Roman"/>
                <w:b/>
                <w:bCs/>
                <w:color w:val="0000FF"/>
                <w:szCs w:val="24"/>
                <w:lang w:eastAsia="x-none"/>
              </w:rPr>
              <w:t>güvenli</w:t>
            </w:r>
            <w:r w:rsidRPr="00A23740">
              <w:rPr>
                <w:rFonts w:eastAsia="Times New Roman"/>
                <w:b/>
                <w:bCs/>
                <w:color w:val="00B050"/>
                <w:szCs w:val="24"/>
                <w:lang w:eastAsia="x-none"/>
              </w:rPr>
              <w:t xml:space="preserve"> </w:t>
            </w:r>
            <w:r w:rsidRPr="00A23740">
              <w:rPr>
                <w:rFonts w:eastAsia="Times New Roman"/>
                <w:b/>
                <w:bCs/>
                <w:color w:val="0000FF"/>
                <w:szCs w:val="24"/>
                <w:lang w:eastAsia="x-none"/>
              </w:rPr>
              <w:t>bir yere konulur veya alacaklının yedinde muhafaza edilir.</w:t>
            </w:r>
          </w:p>
          <w:p w:rsidR="00A46C6E" w:rsidRPr="00A23740" w:rsidRDefault="00A46C6E" w:rsidP="009431FF">
            <w:pPr>
              <w:widowControl w:val="0"/>
              <w:rPr>
                <w:rFonts w:eastAsia="Times New Roman"/>
                <w:b/>
                <w:bCs/>
                <w:color w:val="0000CC"/>
                <w:szCs w:val="24"/>
                <w:lang w:eastAsia="tr-TR"/>
              </w:rPr>
            </w:pPr>
          </w:p>
          <w:p w:rsidR="00A46C6E" w:rsidRPr="00A23740" w:rsidRDefault="00A46C6E" w:rsidP="009431FF">
            <w:pPr>
              <w:widowControl w:val="0"/>
              <w:rPr>
                <w:rFonts w:eastAsia="Times New Roman"/>
                <w:b/>
                <w:bCs/>
                <w:color w:val="0000FF"/>
                <w:szCs w:val="24"/>
                <w:lang w:eastAsia="x-none"/>
              </w:rPr>
            </w:pPr>
            <w:r w:rsidRPr="00A23740">
              <w:rPr>
                <w:rFonts w:eastAsia="Times New Roman"/>
                <w:b/>
                <w:bCs/>
                <w:color w:val="0000FF"/>
                <w:szCs w:val="24"/>
                <w:lang w:eastAsia="x-none"/>
              </w:rPr>
              <w:t xml:space="preserve">(5) </w:t>
            </w:r>
            <w:r w:rsidRPr="00A23740">
              <w:rPr>
                <w:rFonts w:eastAsia="Times New Roman"/>
                <w:color w:val="000000"/>
                <w:szCs w:val="24"/>
                <w:lang w:eastAsia="tr-TR"/>
              </w:rPr>
              <w:t xml:space="preserve">İcra </w:t>
            </w:r>
            <w:r w:rsidRPr="00E65BE7">
              <w:rPr>
                <w:rFonts w:eastAsia="Times New Roman"/>
                <w:b/>
                <w:bCs/>
                <w:color w:val="0000FF"/>
                <w:szCs w:val="24"/>
                <w:lang w:eastAsia="tr-TR"/>
              </w:rPr>
              <w:t>ve</w:t>
            </w:r>
            <w:r w:rsidRPr="00A23740">
              <w:rPr>
                <w:rFonts w:eastAsia="Times New Roman"/>
                <w:b/>
                <w:bCs/>
                <w:color w:val="00B050"/>
                <w:szCs w:val="24"/>
                <w:lang w:eastAsia="tr-TR"/>
              </w:rPr>
              <w:t xml:space="preserve"> </w:t>
            </w:r>
            <w:r w:rsidRPr="00E65BE7">
              <w:rPr>
                <w:rFonts w:eastAsia="Times New Roman"/>
                <w:b/>
                <w:bCs/>
                <w:color w:val="0000FF"/>
                <w:szCs w:val="24"/>
                <w:lang w:eastAsia="tr-TR"/>
              </w:rPr>
              <w:t>iflas</w:t>
            </w:r>
            <w:r w:rsidRPr="00A23740">
              <w:rPr>
                <w:rFonts w:eastAsia="Times New Roman"/>
                <w:color w:val="000000"/>
                <w:szCs w:val="24"/>
                <w:lang w:eastAsia="tr-TR"/>
              </w:rPr>
              <w:t xml:space="preserve"> dairesince</w:t>
            </w:r>
            <w:r w:rsidRPr="00A23740">
              <w:rPr>
                <w:rFonts w:eastAsia="Times New Roman"/>
                <w:b/>
                <w:bCs/>
                <w:color w:val="0000FF"/>
                <w:szCs w:val="24"/>
                <w:lang w:eastAsia="x-none"/>
              </w:rPr>
              <w:t xml:space="preserve"> borçluya derh</w:t>
            </w:r>
            <w:r w:rsidR="00DF22A1" w:rsidRPr="00A23740">
              <w:rPr>
                <w:rFonts w:eastAsia="Times New Roman"/>
                <w:b/>
                <w:bCs/>
                <w:color w:val="0000FF"/>
                <w:szCs w:val="24"/>
                <w:lang w:eastAsia="x-none"/>
              </w:rPr>
              <w:t>â</w:t>
            </w:r>
            <w:r w:rsidRPr="00A23740">
              <w:rPr>
                <w:rFonts w:eastAsia="Times New Roman"/>
                <w:b/>
                <w:bCs/>
                <w:color w:val="0000FF"/>
                <w:szCs w:val="24"/>
                <w:lang w:eastAsia="x-none"/>
              </w:rPr>
              <w:t xml:space="preserve">l tebligat yapılarak, tebliğ tarihinden itibaren iki hafta içinde eşyayı alması ve eşyanın muhafaza giderlerini ödemesi istenir. Borçlu, eşyayı teslim almaktan veya giderleri ödemekten kaçınırsa icra </w:t>
            </w:r>
            <w:r w:rsidRPr="00E65BE7">
              <w:rPr>
                <w:rFonts w:eastAsia="Times New Roman"/>
                <w:b/>
                <w:bCs/>
                <w:color w:val="0000FF"/>
                <w:szCs w:val="24"/>
                <w:lang w:eastAsia="x-none"/>
              </w:rPr>
              <w:t>ve</w:t>
            </w:r>
            <w:r w:rsidRPr="00A23740">
              <w:rPr>
                <w:rFonts w:eastAsia="Times New Roman"/>
                <w:b/>
                <w:bCs/>
                <w:color w:val="00B050"/>
                <w:szCs w:val="24"/>
                <w:lang w:eastAsia="x-none"/>
              </w:rPr>
              <w:t xml:space="preserve"> </w:t>
            </w:r>
            <w:r w:rsidRPr="00E65BE7">
              <w:rPr>
                <w:rFonts w:eastAsia="Times New Roman"/>
                <w:b/>
                <w:bCs/>
                <w:color w:val="0000FF"/>
                <w:szCs w:val="24"/>
                <w:lang w:eastAsia="x-none"/>
              </w:rPr>
              <w:t>iflas</w:t>
            </w:r>
            <w:r w:rsidRPr="00A23740">
              <w:rPr>
                <w:rFonts w:eastAsia="Times New Roman"/>
                <w:b/>
                <w:bCs/>
                <w:color w:val="0000FF"/>
                <w:szCs w:val="24"/>
                <w:lang w:eastAsia="x-none"/>
              </w:rPr>
              <w:t xml:space="preserve"> müdürü, icra hukuk mahkemesinden alacağı kararla eşyaları satarak tüm giderleri öder. Bu ödemeden sonra</w:t>
            </w:r>
            <w:r w:rsidR="00392D49" w:rsidRPr="00A23740">
              <w:rPr>
                <w:rFonts w:eastAsia="Times New Roman"/>
                <w:b/>
                <w:bCs/>
                <w:color w:val="538135"/>
                <w:szCs w:val="24"/>
                <w:lang w:eastAsia="x-none"/>
              </w:rPr>
              <w:t>,</w:t>
            </w:r>
            <w:r w:rsidRPr="00A23740">
              <w:rPr>
                <w:rFonts w:eastAsia="Times New Roman"/>
                <w:b/>
                <w:bCs/>
                <w:color w:val="0000FF"/>
                <w:szCs w:val="24"/>
                <w:lang w:eastAsia="x-none"/>
              </w:rPr>
              <w:t xml:space="preserve"> varsa satış bedelinin bakiyesi icra </w:t>
            </w:r>
            <w:r w:rsidRPr="00E65BE7">
              <w:rPr>
                <w:rFonts w:eastAsia="Times New Roman"/>
                <w:b/>
                <w:bCs/>
                <w:color w:val="0000FF"/>
                <w:szCs w:val="24"/>
                <w:lang w:eastAsia="x-none"/>
              </w:rPr>
              <w:t>ve iflas</w:t>
            </w:r>
            <w:r w:rsidRPr="00A23740">
              <w:rPr>
                <w:rFonts w:eastAsia="Times New Roman"/>
                <w:b/>
                <w:bCs/>
                <w:color w:val="0000FF"/>
                <w:szCs w:val="24"/>
                <w:lang w:eastAsia="x-none"/>
              </w:rPr>
              <w:t xml:space="preserve"> müdürü tarafından</w:t>
            </w:r>
            <w:r w:rsidRPr="00A23740">
              <w:rPr>
                <w:rFonts w:eastAsia="Times New Roman"/>
                <w:color w:val="000000"/>
                <w:szCs w:val="24"/>
                <w:lang w:eastAsia="tr-TR"/>
              </w:rPr>
              <w:t xml:space="preserve"> borçlunun adına</w:t>
            </w:r>
            <w:r w:rsidRPr="00A23740">
              <w:rPr>
                <w:rFonts w:eastAsia="Times New Roman"/>
                <w:b/>
                <w:bCs/>
                <w:color w:val="0000FF"/>
                <w:szCs w:val="24"/>
                <w:lang w:eastAsia="x-none"/>
              </w:rPr>
              <w:t xml:space="preserve"> </w:t>
            </w:r>
            <w:r w:rsidRPr="00A23740">
              <w:rPr>
                <w:rFonts w:eastAsia="Times New Roman"/>
                <w:color w:val="000000"/>
                <w:szCs w:val="24"/>
                <w:lang w:eastAsia="tr-TR"/>
              </w:rPr>
              <w:t>Adalet Bakanlığınca</w:t>
            </w:r>
            <w:r w:rsidRPr="00A23740">
              <w:rPr>
                <w:rFonts w:eastAsia="Times New Roman"/>
                <w:b/>
                <w:bCs/>
                <w:color w:val="0000FF"/>
                <w:szCs w:val="24"/>
                <w:lang w:eastAsia="x-none"/>
              </w:rPr>
              <w:t xml:space="preserve"> </w:t>
            </w:r>
            <w:r w:rsidRPr="00A23740">
              <w:rPr>
                <w:rFonts w:eastAsia="Times New Roman"/>
                <w:color w:val="000000"/>
                <w:szCs w:val="24"/>
                <w:lang w:eastAsia="tr-TR"/>
              </w:rPr>
              <w:t>belirlenen</w:t>
            </w:r>
            <w:r w:rsidRPr="00A23740">
              <w:rPr>
                <w:rFonts w:eastAsia="Times New Roman"/>
                <w:b/>
                <w:bCs/>
                <w:color w:val="0000FF"/>
                <w:szCs w:val="24"/>
                <w:lang w:eastAsia="x-none"/>
              </w:rPr>
              <w:t xml:space="preserve"> bankalardan birine </w:t>
            </w:r>
            <w:r w:rsidRPr="00E26FFD">
              <w:rPr>
                <w:rStyle w:val="Balk1Char"/>
                <w:rFonts w:eastAsia="Calibri"/>
              </w:rPr>
              <w:t>yatırılır</w:t>
            </w:r>
            <w:r w:rsidRPr="00A23740">
              <w:rPr>
                <w:rFonts w:eastAsia="Times New Roman"/>
                <w:b/>
                <w:bCs/>
                <w:color w:val="0000FF"/>
                <w:szCs w:val="24"/>
                <w:lang w:eastAsia="x-none"/>
              </w:rPr>
              <w:t xml:space="preserve"> ve nemalandırılır.</w:t>
            </w:r>
          </w:p>
          <w:p w:rsidR="00A46C6E" w:rsidRPr="00A23740" w:rsidRDefault="00A46C6E" w:rsidP="009431FF">
            <w:pPr>
              <w:widowControl w:val="0"/>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15" w:name="_Hlk134297749"/>
          </w:p>
          <w:p w:rsidR="00A46C6E" w:rsidRPr="00A23740" w:rsidRDefault="003B700B" w:rsidP="009431FF">
            <w:pPr>
              <w:ind w:firstLine="567"/>
              <w:rPr>
                <w:rFonts w:eastAsia="Times New Roman"/>
                <w:szCs w:val="24"/>
              </w:rPr>
            </w:pPr>
            <w:r w:rsidRPr="00A23740">
              <w:rPr>
                <w:rFonts w:eastAsia="Times New Roman"/>
                <w:b/>
                <w:szCs w:val="24"/>
              </w:rPr>
              <w:t>MADDE 469</w:t>
            </w:r>
            <w:r w:rsidR="00A46C6E" w:rsidRPr="00A23740">
              <w:rPr>
                <w:rFonts w:eastAsia="Times New Roman"/>
                <w:b/>
                <w:szCs w:val="24"/>
              </w:rPr>
              <w:t xml:space="preserve">- </w:t>
            </w:r>
            <w:bookmarkStart w:id="16" w:name="_Hlk172718982"/>
            <w:r w:rsidR="00A46C6E" w:rsidRPr="00A23740">
              <w:rPr>
                <w:rFonts w:eastAsia="Times New Roman"/>
                <w:szCs w:val="24"/>
              </w:rPr>
              <w:t>Maddeyle, gemilerin tahliye veya teslimine dair ilamların icrasına ilişkin hususlar düzenlenmektedir</w:t>
            </w:r>
            <w:bookmarkEnd w:id="16"/>
            <w:r w:rsidR="00A46C6E" w:rsidRPr="00A23740">
              <w:rPr>
                <w:rFonts w:eastAsia="Times New Roman"/>
                <w:szCs w:val="24"/>
              </w:rPr>
              <w:t xml:space="preserve">. </w:t>
            </w:r>
          </w:p>
          <w:bookmarkEnd w:id="15"/>
          <w:p w:rsidR="00A46C6E" w:rsidRPr="00A23740" w:rsidRDefault="00A46C6E" w:rsidP="009431FF">
            <w:pPr>
              <w:ind w:firstLine="567"/>
              <w:rPr>
                <w:rFonts w:eastAsia="Times New Roman"/>
                <w:szCs w:val="24"/>
              </w:rPr>
            </w:pPr>
            <w:r w:rsidRPr="00A23740">
              <w:rPr>
                <w:rFonts w:eastAsia="Times New Roman"/>
                <w:szCs w:val="24"/>
              </w:rPr>
              <w:t>2004 sayılı Ka</w:t>
            </w:r>
            <w:r w:rsidR="00A127B1">
              <w:rPr>
                <w:rFonts w:eastAsia="Times New Roman"/>
                <w:szCs w:val="24"/>
              </w:rPr>
              <w:t>nunun 31/a maddesinin üçüncü ila</w:t>
            </w:r>
            <w:r w:rsidRPr="00A23740">
              <w:rPr>
                <w:rFonts w:eastAsia="Times New Roman"/>
                <w:szCs w:val="24"/>
              </w:rPr>
              <w:t xml:space="preserve"> altıncı fıkralarının değiştirilerek alındığı Taslağın bu maddesinin kenar başlığı madde metni</w:t>
            </w:r>
            <w:r w:rsidR="00AD7A46" w:rsidRPr="00A23740">
              <w:rPr>
                <w:rFonts w:eastAsia="Times New Roman"/>
                <w:szCs w:val="24"/>
              </w:rPr>
              <w:t>yle</w:t>
            </w:r>
            <w:r w:rsidRPr="00A23740">
              <w:rPr>
                <w:rFonts w:eastAsia="Times New Roman"/>
                <w:szCs w:val="24"/>
              </w:rPr>
              <w:t xml:space="preserve"> uyumlu olarak</w:t>
            </w:r>
            <w:r w:rsidR="00AD7A46" w:rsidRPr="00A23740">
              <w:rPr>
                <w:rFonts w:eastAsia="Times New Roman"/>
                <w:szCs w:val="24"/>
              </w:rPr>
              <w:t>,</w:t>
            </w:r>
            <w:r w:rsidRPr="00A23740">
              <w:rPr>
                <w:rFonts w:eastAsia="Times New Roman"/>
                <w:szCs w:val="24"/>
              </w:rPr>
              <w:t xml:space="preserve"> “geminin tahliye veya teslimine ilişkin ilamlar” şeklinde belirlenmiştir. Taslağın 53 üncü maddesinin ikinci fıkrasında</w:t>
            </w:r>
            <w:r w:rsidRPr="00A23740">
              <w:t xml:space="preserve"> “… </w:t>
            </w:r>
            <w:r w:rsidRPr="00A23740">
              <w:rPr>
                <w:rFonts w:eastAsia="Times New Roman"/>
                <w:i/>
                <w:iCs/>
                <w:szCs w:val="24"/>
              </w:rPr>
              <w:t>bayrağına ve sicile kayıtlı olup olmadığına bakılmaksızın bir geminin tahliye ve teslimi hakkındaki ilk derece mahkemesi ilamları, kanun yolu açık olsa dahi icraya konulabilir</w:t>
            </w:r>
            <w:r w:rsidRPr="00A23740">
              <w:rPr>
                <w:rFonts w:eastAsia="Times New Roman"/>
                <w:szCs w:val="24"/>
              </w:rPr>
              <w:t xml:space="preserve">.” </w:t>
            </w:r>
            <w:r w:rsidR="00AD7A46" w:rsidRPr="00A23740">
              <w:rPr>
                <w:rFonts w:eastAsia="Times New Roman"/>
                <w:szCs w:val="24"/>
              </w:rPr>
              <w:t>D</w:t>
            </w:r>
            <w:r w:rsidRPr="00A23740">
              <w:rPr>
                <w:rFonts w:eastAsia="Times New Roman"/>
                <w:szCs w:val="24"/>
              </w:rPr>
              <w:t>enilerek</w:t>
            </w:r>
            <w:r w:rsidR="00AD7A46" w:rsidRPr="00A23740">
              <w:rPr>
                <w:rFonts w:eastAsia="Times New Roman"/>
                <w:szCs w:val="24"/>
              </w:rPr>
              <w:t>,</w:t>
            </w:r>
            <w:r w:rsidRPr="00A23740">
              <w:rPr>
                <w:rFonts w:eastAsia="Times New Roman"/>
                <w:szCs w:val="24"/>
              </w:rPr>
              <w:t xml:space="preserve"> geminin tahliye ve teslimine ilişkin ilamların icraya kon</w:t>
            </w:r>
            <w:r w:rsidR="00AD7A46" w:rsidRPr="00A23740">
              <w:rPr>
                <w:rFonts w:eastAsia="Times New Roman"/>
                <w:szCs w:val="24"/>
              </w:rPr>
              <w:t>ul</w:t>
            </w:r>
            <w:r w:rsidRPr="00A23740">
              <w:rPr>
                <w:rFonts w:eastAsia="Times New Roman"/>
                <w:szCs w:val="24"/>
              </w:rPr>
              <w:t>masında kesinleşme şartı aranmayacağı hüküm altına alınmıştır. Taslağın bu maddesinde ise söz konusu ilamların icrasına ilişkin esaslar düzenlenmiştir. Bu kapsamda, Taslağın 57 nci</w:t>
            </w:r>
            <w:r w:rsidR="00A94871" w:rsidRPr="00A23740">
              <w:rPr>
                <w:rFonts w:eastAsia="Times New Roman"/>
                <w:szCs w:val="24"/>
              </w:rPr>
              <w:t xml:space="preserve"> </w:t>
            </w:r>
            <w:r w:rsidRPr="00A23740">
              <w:rPr>
                <w:rFonts w:eastAsia="Times New Roman"/>
                <w:szCs w:val="24"/>
              </w:rPr>
              <w:t>maddesinin ikinci fıkrasında “</w:t>
            </w:r>
            <w:r w:rsidRPr="00A23740">
              <w:rPr>
                <w:rFonts w:eastAsia="Times New Roman"/>
                <w:i/>
                <w:iCs/>
                <w:szCs w:val="24"/>
              </w:rPr>
              <w:t>icra emrinin gereğinin icra emrinde belirtilen sürede yerine getirilmesi gerektiği</w:t>
            </w:r>
            <w:r w:rsidRPr="00A23740">
              <w:rPr>
                <w:rFonts w:eastAsia="Times New Roman"/>
                <w:szCs w:val="24"/>
              </w:rPr>
              <w:t>” hüküm altına alındıktan sonra 70 inci</w:t>
            </w:r>
            <w:r w:rsidR="00A94871" w:rsidRPr="00A23740">
              <w:rPr>
                <w:rFonts w:eastAsia="Times New Roman"/>
                <w:szCs w:val="24"/>
              </w:rPr>
              <w:t xml:space="preserve"> </w:t>
            </w:r>
            <w:r w:rsidRPr="00A23740">
              <w:rPr>
                <w:rFonts w:eastAsia="Times New Roman"/>
                <w:szCs w:val="24"/>
              </w:rPr>
              <w:t>maddesinin birinci fıkrasının (b) bendinde “</w:t>
            </w:r>
            <w:r w:rsidRPr="00A23740">
              <w:rPr>
                <w:rFonts w:eastAsia="Times New Roman"/>
                <w:i/>
                <w:iCs/>
                <w:szCs w:val="24"/>
              </w:rPr>
              <w:t>İcra emrinin tebliğinden itibaren iki hafta içinde taşınırın teslim edilmesi</w:t>
            </w:r>
            <w:r w:rsidRPr="00A23740">
              <w:rPr>
                <w:rFonts w:eastAsia="Times New Roman"/>
                <w:szCs w:val="24"/>
              </w:rPr>
              <w:t>” ve 71 inci</w:t>
            </w:r>
            <w:r w:rsidR="00A94871" w:rsidRPr="00A23740">
              <w:rPr>
                <w:rFonts w:eastAsia="Times New Roman"/>
                <w:szCs w:val="24"/>
              </w:rPr>
              <w:t xml:space="preserve"> </w:t>
            </w:r>
            <w:r w:rsidRPr="00A23740">
              <w:rPr>
                <w:rFonts w:eastAsia="Times New Roman"/>
                <w:szCs w:val="24"/>
              </w:rPr>
              <w:t>maddesinin birinci fıkrasının (b) bendinde “</w:t>
            </w:r>
            <w:r w:rsidRPr="00A23740">
              <w:rPr>
                <w:rFonts w:eastAsia="Times New Roman"/>
                <w:i/>
                <w:iCs/>
                <w:szCs w:val="24"/>
              </w:rPr>
              <w:t>İcra emrinin tebliğinden itibaren bir ay içinde taşınmazın tahliye ve teslim edilmesi</w:t>
            </w:r>
            <w:r w:rsidRPr="00A23740">
              <w:rPr>
                <w:rFonts w:eastAsia="Times New Roman"/>
                <w:szCs w:val="24"/>
              </w:rPr>
              <w:t>” hükümlerine yer verildiği; Taslağın</w:t>
            </w:r>
            <w:r w:rsidR="00A94871" w:rsidRPr="00A23740">
              <w:rPr>
                <w:rFonts w:eastAsia="Times New Roman"/>
                <w:szCs w:val="24"/>
              </w:rPr>
              <w:t xml:space="preserve"> </w:t>
            </w:r>
            <w:r w:rsidR="00A94871" w:rsidRPr="00E65BE7">
              <w:rPr>
                <w:rFonts w:eastAsia="Times New Roman"/>
                <w:szCs w:val="24"/>
              </w:rPr>
              <w:t>466</w:t>
            </w:r>
            <w:r w:rsidR="00A94871" w:rsidRPr="00E65BE7">
              <w:rPr>
                <w:rFonts w:eastAsia="Times New Roman"/>
                <w:b/>
                <w:bCs/>
                <w:szCs w:val="24"/>
              </w:rPr>
              <w:t xml:space="preserve"> </w:t>
            </w:r>
            <w:r w:rsidR="00A94871" w:rsidRPr="00E65BE7">
              <w:rPr>
                <w:rFonts w:eastAsia="Times New Roman"/>
                <w:szCs w:val="24"/>
              </w:rPr>
              <w:t>ncı</w:t>
            </w:r>
            <w:r w:rsidRPr="00A23740">
              <w:rPr>
                <w:rFonts w:eastAsia="Times New Roman"/>
                <w:szCs w:val="24"/>
              </w:rPr>
              <w:t xml:space="preserve"> maddesinin ikinci fıkrasında ise “</w:t>
            </w:r>
            <w:r w:rsidRPr="00A23740">
              <w:rPr>
                <w:rFonts w:eastAsia="Times New Roman"/>
                <w:i/>
                <w:iCs/>
                <w:szCs w:val="24"/>
              </w:rPr>
              <w:t>Bu Kanunda veya diğer bir kanunda açıkça aksi öngörülmüş olmadıkça,</w:t>
            </w:r>
            <w:r w:rsidRPr="00A23740">
              <w:rPr>
                <w:rFonts w:eastAsia="Times New Roman"/>
                <w:bCs/>
                <w:i/>
                <w:iCs/>
                <w:szCs w:val="24"/>
              </w:rPr>
              <w:t xml:space="preserve"> </w:t>
            </w:r>
            <w:r w:rsidRPr="00A23740">
              <w:rPr>
                <w:rFonts w:eastAsia="Times New Roman"/>
                <w:i/>
                <w:iCs/>
                <w:szCs w:val="24"/>
              </w:rPr>
              <w:t>bayrağına ve sicile kayıtlı olup olmadığına bakılmaksızın gemiler hakkında bu Kanunun taşınırlara ilişkin hükümleri uygulanır</w:t>
            </w:r>
            <w:r w:rsidRPr="00A23740">
              <w:rPr>
                <w:rFonts w:eastAsia="Times New Roman"/>
                <w:szCs w:val="24"/>
              </w:rPr>
              <w:t>.” hükmünün yer aldığı; bu hükümler karşısında geminin tahliye veya teslimine ilişkin ilamların gereğinin yerine getirileceği sürenin açıkça belirtilmesi gerektiği ve bu sürenin geminin özelliği sebebiyle bir haftalık daha kısa bir süre olarak belirlenmesi kabul edilmiştir. Bu nedenle maddenin birinci fıkrasının birinci cümlesinde “bir geminin tahliye veya teslimine ilişkin ilam icra ve iflas dairesine verilince icra ve iflas müdürü tarafından Taslağın 57</w:t>
            </w:r>
            <w:r w:rsidR="00A94871" w:rsidRPr="00A23740">
              <w:rPr>
                <w:rFonts w:eastAsia="Times New Roman"/>
                <w:szCs w:val="24"/>
              </w:rPr>
              <w:t xml:space="preserve"> </w:t>
            </w:r>
            <w:r w:rsidRPr="00A23740">
              <w:rPr>
                <w:rFonts w:eastAsia="Times New Roman"/>
                <w:szCs w:val="24"/>
              </w:rPr>
              <w:t>nci</w:t>
            </w:r>
            <w:r w:rsidR="00A94871" w:rsidRPr="00A23740">
              <w:rPr>
                <w:rFonts w:eastAsia="Times New Roman"/>
                <w:szCs w:val="24"/>
              </w:rPr>
              <w:t xml:space="preserve"> </w:t>
            </w:r>
            <w:r w:rsidRPr="00A23740">
              <w:rPr>
                <w:rFonts w:eastAsia="Times New Roman"/>
                <w:szCs w:val="24"/>
              </w:rPr>
              <w:t>maddesi uyarınca gönderilecek icra emrinde icra emrinin tebliğ edildiği tarihten itibaren bir hafta içinde geminin tesliminin emredileceği” öngörülmüştür. Taslağın ilamların icrasında icra emri gönderilm</w:t>
            </w:r>
            <w:r w:rsidR="00A127B1">
              <w:rPr>
                <w:rFonts w:eastAsia="Times New Roman"/>
                <w:szCs w:val="24"/>
              </w:rPr>
              <w:t>esi ve içeriği hakkındaki 57 ila</w:t>
            </w:r>
            <w:r w:rsidRPr="00A23740">
              <w:rPr>
                <w:rFonts w:eastAsia="Times New Roman"/>
                <w:szCs w:val="24"/>
              </w:rPr>
              <w:t xml:space="preserve"> 59 uncu</w:t>
            </w:r>
            <w:r w:rsidR="00A94871" w:rsidRPr="00A23740">
              <w:rPr>
                <w:rFonts w:eastAsia="Times New Roman"/>
                <w:szCs w:val="24"/>
              </w:rPr>
              <w:t xml:space="preserve"> </w:t>
            </w:r>
            <w:r w:rsidRPr="00A23740">
              <w:rPr>
                <w:rFonts w:eastAsia="Times New Roman"/>
                <w:szCs w:val="24"/>
              </w:rPr>
              <w:t>maddeleri gemilerin tahliye veya teslimine ilişkin ilamların icrasında da kıyasen uygulanabilir görüldüğünden, maddenin birinci fıkrasının ikinci cümlesinde bu husus hüküm altına alınmıştır. Birinci fıkranın son cümlesinde ise icra emrinde “alacaklıya teslim olunan gemiye haklı bir sebep olmaksızın tekrar giren borçlunun ayrıca mahkeme hükmüne gerek olmaksızın icra ve iflas dairesince gemiden zorla çıkarılacağı, ayrıca Taslağın 513 üncü maddesi gereğince hapis cezası</w:t>
            </w:r>
            <w:r w:rsidR="0005528D" w:rsidRPr="00E65BE7">
              <w:rPr>
                <w:rFonts w:eastAsia="Times New Roman"/>
                <w:szCs w:val="24"/>
              </w:rPr>
              <w:t>yla</w:t>
            </w:r>
            <w:r w:rsidRPr="00A23740">
              <w:rPr>
                <w:rFonts w:eastAsia="Times New Roman"/>
                <w:szCs w:val="24"/>
              </w:rPr>
              <w:t xml:space="preserve"> cezalandırılacağı ihtarın</w:t>
            </w:r>
            <w:r w:rsidR="006B7F0D" w:rsidRPr="00A23740">
              <w:rPr>
                <w:rFonts w:eastAsia="Times New Roman"/>
                <w:szCs w:val="24"/>
              </w:rPr>
              <w:t>ın yer alacağı” belirtilmiştir.</w:t>
            </w:r>
          </w:p>
          <w:p w:rsidR="00A46C6E" w:rsidRPr="00A23740" w:rsidRDefault="00A46C6E" w:rsidP="009431FF">
            <w:pPr>
              <w:ind w:firstLine="567"/>
              <w:rPr>
                <w:rFonts w:eastAsia="Times New Roman"/>
                <w:szCs w:val="24"/>
              </w:rPr>
            </w:pPr>
            <w:r w:rsidRPr="00A23740">
              <w:rPr>
                <w:rFonts w:eastAsia="Times New Roman"/>
                <w:szCs w:val="24"/>
              </w:rPr>
              <w:t>Maddenin ikinci fıkrası, 2004 sayılı Kanunun 31/a maddesinin dördüncü fıkrasından bazı ifade değişikleri</w:t>
            </w:r>
            <w:r w:rsidR="00AD7A46" w:rsidRPr="00A23740">
              <w:rPr>
                <w:rFonts w:eastAsia="Times New Roman"/>
                <w:szCs w:val="24"/>
              </w:rPr>
              <w:t>yle</w:t>
            </w:r>
            <w:r w:rsidRPr="00A23740">
              <w:rPr>
                <w:rFonts w:eastAsia="Times New Roman"/>
                <w:szCs w:val="24"/>
              </w:rPr>
              <w:t xml:space="preserve"> alınmıştır. Bu kapsamda geminin borçlunun elinde bulunmaması ve değeri</w:t>
            </w:r>
            <w:r w:rsidR="00535D4A" w:rsidRPr="00A23740">
              <w:rPr>
                <w:rFonts w:eastAsia="Times New Roman"/>
                <w:szCs w:val="24"/>
              </w:rPr>
              <w:t>nin de ilamda yazılı olmaması hâ</w:t>
            </w:r>
            <w:r w:rsidRPr="00A23740">
              <w:rPr>
                <w:rFonts w:eastAsia="Times New Roman"/>
                <w:szCs w:val="24"/>
              </w:rPr>
              <w:t>linde,</w:t>
            </w:r>
            <w:r w:rsidRPr="00A23740">
              <w:rPr>
                <w:rFonts w:eastAsia="Times New Roman"/>
                <w:color w:val="0070C0"/>
                <w:szCs w:val="24"/>
              </w:rPr>
              <w:t xml:space="preserve"> </w:t>
            </w:r>
            <w:r w:rsidRPr="00A23740">
              <w:rPr>
                <w:rFonts w:eastAsia="Times New Roman"/>
                <w:szCs w:val="24"/>
              </w:rPr>
              <w:t>alacaklıya tanınan seçimlik haklardan “geminin değerinin alınmasını isteme” hakkı bakımından Taslağın 70 inci</w:t>
            </w:r>
            <w:r w:rsidR="00A94871" w:rsidRPr="00A23740">
              <w:rPr>
                <w:rFonts w:eastAsia="Times New Roman"/>
                <w:szCs w:val="24"/>
              </w:rPr>
              <w:t xml:space="preserve"> </w:t>
            </w:r>
            <w:r w:rsidRPr="00A23740">
              <w:rPr>
                <w:rFonts w:eastAsia="Times New Roman"/>
                <w:szCs w:val="24"/>
              </w:rPr>
              <w:t>maddesinin üçüncü fıkrasından farklı olarak icra ve iflas dairesi tarafından geminin değerinin bilirkişiye tespit ettirilmesinden önce tarafların geminin değeri hususunda anlaşmaları imk</w:t>
            </w:r>
            <w:r w:rsidR="00BE53A8" w:rsidRPr="00A23740">
              <w:rPr>
                <w:rFonts w:eastAsia="Times New Roman"/>
                <w:szCs w:val="24"/>
              </w:rPr>
              <w:t>â</w:t>
            </w:r>
            <w:r w:rsidRPr="00A23740">
              <w:rPr>
                <w:rFonts w:eastAsia="Times New Roman"/>
                <w:szCs w:val="24"/>
              </w:rPr>
              <w:t>nının muhafaza edilmesinde fayda görülmüştür.</w:t>
            </w:r>
          </w:p>
          <w:p w:rsidR="00A46C6E" w:rsidRPr="00A23740" w:rsidRDefault="00A46C6E" w:rsidP="009431FF">
            <w:pPr>
              <w:ind w:firstLine="567"/>
              <w:rPr>
                <w:rFonts w:eastAsia="Times New Roman"/>
                <w:szCs w:val="24"/>
              </w:rPr>
            </w:pPr>
            <w:r w:rsidRPr="00A23740">
              <w:rPr>
                <w:rFonts w:eastAsia="Times New Roman"/>
                <w:szCs w:val="24"/>
              </w:rPr>
              <w:t>Maddenin üçüncü fıkrası, 2004 sayılı Kanunun 31/a maddesinin beşinci fıkrasından aynen alınmıştır.</w:t>
            </w:r>
          </w:p>
          <w:p w:rsidR="00A46C6E" w:rsidRPr="00A23740" w:rsidRDefault="00A46C6E" w:rsidP="009431FF">
            <w:pPr>
              <w:ind w:firstLine="567"/>
              <w:rPr>
                <w:rFonts w:eastAsia="Times New Roman"/>
                <w:szCs w:val="24"/>
              </w:rPr>
            </w:pPr>
            <w:r w:rsidRPr="00A23740">
              <w:rPr>
                <w:rFonts w:eastAsia="Times New Roman"/>
                <w:szCs w:val="24"/>
              </w:rPr>
              <w:t>2004 sayılı Kanunun 31/a maddesinin altıncı fıkrası, daha açık ve anlaşılır şekilde ifade etmek amacıyla Taslağın 73 üncü</w:t>
            </w:r>
            <w:r w:rsidR="007F732E" w:rsidRPr="00A23740">
              <w:rPr>
                <w:rFonts w:eastAsia="Times New Roman"/>
                <w:szCs w:val="24"/>
              </w:rPr>
              <w:t xml:space="preserve"> </w:t>
            </w:r>
            <w:r w:rsidRPr="00A23740">
              <w:rPr>
                <w:rFonts w:eastAsia="Times New Roman"/>
                <w:szCs w:val="24"/>
              </w:rPr>
              <w:t xml:space="preserve">maddesi de dikkate alınarak değiştirilmek ve iki ayrı fıkraya bölünmek suretiyle maddenin dördüncü ve beşinci fıkralarına alınmıştır. </w:t>
            </w:r>
          </w:p>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x-none"/>
              </w:rPr>
            </w:pPr>
            <w:r w:rsidRPr="00A23740">
              <w:rPr>
                <w:rFonts w:eastAsia="Times New Roman"/>
                <w:b/>
                <w:strike/>
                <w:color w:val="FF0000"/>
                <w:szCs w:val="24"/>
                <w:lang w:eastAsia="x-none"/>
              </w:rPr>
              <w:t>Gemilere ve bunlarla ilgili aynî haklara ilişkin</w:t>
            </w:r>
            <w:r w:rsidRPr="00A23740">
              <w:rPr>
                <w:rFonts w:eastAsia="Times New Roman"/>
                <w:color w:val="000000"/>
                <w:szCs w:val="24"/>
                <w:lang w:eastAsia="tr-TR"/>
              </w:rPr>
              <w:t xml:space="preserve"> ilamların icrası</w:t>
            </w:r>
            <w:r w:rsidRPr="00A23740">
              <w:rPr>
                <w:rFonts w:eastAsia="Times New Roman"/>
                <w:b/>
                <w:strike/>
                <w:color w:val="FF0000"/>
                <w:szCs w:val="24"/>
                <w:lang w:eastAsia="x-none"/>
              </w:rPr>
              <w:t>:</w:t>
            </w:r>
          </w:p>
          <w:p w:rsidR="00A46C6E" w:rsidRPr="00A23740" w:rsidRDefault="00A46C6E" w:rsidP="009431FF">
            <w:pPr>
              <w:rPr>
                <w:rFonts w:eastAsia="Times New Roman"/>
                <w:b/>
                <w:strike/>
                <w:color w:val="FF0000"/>
                <w:szCs w:val="24"/>
                <w:lang w:eastAsia="x-none"/>
              </w:rPr>
            </w:pPr>
            <w:r w:rsidRPr="00A23740">
              <w:rPr>
                <w:rFonts w:eastAsia="Times New Roman"/>
                <w:b/>
                <w:bCs/>
                <w:strike/>
                <w:color w:val="FF0000"/>
                <w:szCs w:val="24"/>
                <w:lang w:eastAsia="x-none"/>
              </w:rPr>
              <w:t>Madde 31/a –</w:t>
            </w:r>
            <w:r w:rsidRPr="00A23740">
              <w:rPr>
                <w:rFonts w:eastAsia="Times New Roman"/>
                <w:b/>
                <w:strike/>
                <w:color w:val="FF0000"/>
                <w:szCs w:val="24"/>
                <w:lang w:eastAsia="x-none"/>
              </w:rPr>
              <w:t> </w:t>
            </w:r>
            <w:r w:rsidRPr="00A23740">
              <w:rPr>
                <w:rFonts w:eastAsia="Times New Roman"/>
                <w:b/>
                <w:bCs/>
                <w:strike/>
                <w:color w:val="FF0000"/>
                <w:szCs w:val="24"/>
                <w:lang w:eastAsia="x-none"/>
              </w:rPr>
              <w:t>(Ek: 14/1/2011-6103/41 md.)</w:t>
            </w:r>
          </w:p>
          <w:p w:rsidR="00A46C6E" w:rsidRPr="00A23740" w:rsidRDefault="00A46C6E" w:rsidP="009431FF">
            <w:pPr>
              <w:rPr>
                <w:rFonts w:eastAsia="Times New Roman"/>
                <w:b/>
                <w:color w:val="FF0000"/>
                <w:szCs w:val="24"/>
              </w:rPr>
            </w:pPr>
            <w:r w:rsidRPr="00E26FFD">
              <w:rPr>
                <w:rStyle w:val="KIRMIZIChar"/>
                <w:rFonts w:eastAsia="Calibri"/>
              </w:rPr>
              <w:t>(F8)</w:t>
            </w:r>
            <w:r w:rsidRPr="00A23740">
              <w:rPr>
                <w:rFonts w:eastAsia="Times New Roman"/>
                <w:color w:val="000000"/>
                <w:szCs w:val="24"/>
                <w:lang w:eastAsia="tr-TR"/>
              </w:rPr>
              <w:t xml:space="preserve"> Gemiye ilişkin bir işin yapılmasına veya yapılmamasına dair </w:t>
            </w:r>
            <w:r w:rsidRPr="00A23740">
              <w:rPr>
                <w:rFonts w:eastAsia="Times New Roman"/>
                <w:b/>
                <w:strike/>
                <w:color w:val="FF0000"/>
                <w:szCs w:val="24"/>
                <w:lang w:eastAsia="tr-TR"/>
              </w:rPr>
              <w:t>olan ve önceki fıkra</w:t>
            </w:r>
            <w:r w:rsidRPr="00A23740">
              <w:rPr>
                <w:rFonts w:eastAsia="Times New Roman"/>
                <w:color w:val="000000"/>
                <w:szCs w:val="24"/>
                <w:lang w:eastAsia="tr-TR"/>
              </w:rPr>
              <w:t xml:space="preserve"> </w:t>
            </w:r>
            <w:r w:rsidRPr="00A23740">
              <w:rPr>
                <w:b/>
                <w:strike/>
                <w:color w:val="FF0000"/>
                <w:szCs w:val="24"/>
                <w:lang w:eastAsia="x-none"/>
              </w:rPr>
              <w:t>hükümlerine girmeyen</w:t>
            </w:r>
            <w:r w:rsidRPr="00A23740">
              <w:rPr>
                <w:rFonts w:eastAsia="Times New Roman"/>
                <w:color w:val="000000"/>
                <w:szCs w:val="24"/>
                <w:lang w:eastAsia="tr-TR"/>
              </w:rPr>
              <w:t xml:space="preserve"> ilâmların icrası hakkında </w:t>
            </w:r>
            <w:r w:rsidRPr="00A23740">
              <w:rPr>
                <w:rFonts w:eastAsia="Times New Roman"/>
                <w:b/>
                <w:strike/>
                <w:color w:val="FF0000"/>
                <w:szCs w:val="24"/>
                <w:lang w:eastAsia="tr-TR"/>
              </w:rPr>
              <w:t>30 uncu</w:t>
            </w:r>
            <w:r w:rsidRPr="00A23740">
              <w:rPr>
                <w:rFonts w:eastAsia="Times New Roman"/>
                <w:color w:val="000000"/>
                <w:szCs w:val="24"/>
                <w:lang w:eastAsia="tr-TR"/>
              </w:rPr>
              <w:t xml:space="preserve"> </w:t>
            </w:r>
            <w:r w:rsidRPr="00E26FFD">
              <w:rPr>
                <w:rStyle w:val="KIRMIZIChar"/>
                <w:rFonts w:eastAsia="Calibri"/>
              </w:rPr>
              <w:t>madde</w:t>
            </w:r>
            <w:r w:rsidRPr="00A23740">
              <w:rPr>
                <w:rFonts w:eastAsia="Times New Roman"/>
                <w:color w:val="000000"/>
                <w:szCs w:val="24"/>
                <w:lang w:eastAsia="tr-TR"/>
              </w:rPr>
              <w:t xml:space="preserve"> uygulanır.</w:t>
            </w:r>
          </w:p>
        </w:tc>
        <w:tc>
          <w:tcPr>
            <w:tcW w:w="2500" w:type="pct"/>
            <w:shd w:val="clear" w:color="auto" w:fill="auto"/>
          </w:tcPr>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Diğer</w:t>
            </w:r>
            <w:r w:rsidRPr="00A23740">
              <w:rPr>
                <w:rFonts w:eastAsia="Times New Roman"/>
                <w:color w:val="000000"/>
                <w:szCs w:val="24"/>
                <w:lang w:eastAsia="tr-TR"/>
              </w:rPr>
              <w:t xml:space="preserve"> ilamların icrası</w:t>
            </w:r>
          </w:p>
          <w:p w:rsidR="00A46C6E" w:rsidRDefault="003B700B" w:rsidP="009431FF">
            <w:pPr>
              <w:rPr>
                <w:rFonts w:eastAsia="Times New Roman"/>
                <w:bCs/>
                <w:color w:val="000000" w:themeColor="text1"/>
                <w:szCs w:val="24"/>
                <w:lang w:eastAsia="x-none"/>
              </w:rPr>
            </w:pPr>
            <w:r w:rsidRPr="00A23740">
              <w:rPr>
                <w:rFonts w:eastAsia="Times New Roman"/>
                <w:b/>
                <w:bCs/>
                <w:color w:val="0000FF"/>
                <w:szCs w:val="24"/>
                <w:lang w:eastAsia="x-none"/>
              </w:rPr>
              <w:t>MADDE 470</w:t>
            </w:r>
            <w:r w:rsidR="00A46C6E" w:rsidRPr="00A23740">
              <w:rPr>
                <w:rFonts w:eastAsia="Times New Roman"/>
                <w:b/>
                <w:bCs/>
                <w:color w:val="0000FF"/>
                <w:szCs w:val="24"/>
                <w:lang w:eastAsia="x-none"/>
              </w:rPr>
              <w:t xml:space="preserve">- (1) </w:t>
            </w:r>
            <w:r w:rsidR="00A46C6E" w:rsidRPr="00A23740">
              <w:rPr>
                <w:rFonts w:eastAsia="Times New Roman"/>
                <w:color w:val="000000"/>
                <w:szCs w:val="24"/>
                <w:lang w:eastAsia="tr-TR"/>
              </w:rPr>
              <w:t>Gemiye ilişkin bir işin yapılmasına veya yapılmamasına dair</w:t>
            </w:r>
            <w:r w:rsidR="00A46C6E" w:rsidRPr="00A23740">
              <w:rPr>
                <w:rFonts w:eastAsia="Times New Roman"/>
                <w:b/>
                <w:bCs/>
                <w:color w:val="0000FF"/>
                <w:szCs w:val="24"/>
                <w:lang w:eastAsia="x-none"/>
              </w:rPr>
              <w:t xml:space="preserve"> olup da</w:t>
            </w:r>
            <w:r w:rsidR="007F732E" w:rsidRPr="00A23740">
              <w:rPr>
                <w:rFonts w:eastAsia="Times New Roman"/>
                <w:b/>
                <w:bCs/>
                <w:color w:val="0000FF"/>
                <w:szCs w:val="24"/>
                <w:lang w:eastAsia="x-none"/>
              </w:rPr>
              <w:t xml:space="preserve"> </w:t>
            </w:r>
            <w:r w:rsidR="007F732E" w:rsidRPr="00E65BE7">
              <w:rPr>
                <w:rStyle w:val="KonuBalChar"/>
                <w:rFonts w:eastAsia="Calibri"/>
                <w:color w:val="0000FF"/>
              </w:rPr>
              <w:t>468 inci</w:t>
            </w:r>
            <w:r w:rsidR="00A46C6E" w:rsidRPr="00A23740">
              <w:rPr>
                <w:rFonts w:eastAsia="Times New Roman"/>
                <w:b/>
                <w:bCs/>
                <w:color w:val="0000FF"/>
                <w:szCs w:val="24"/>
                <w:lang w:eastAsia="x-none"/>
              </w:rPr>
              <w:t xml:space="preserve"> </w:t>
            </w:r>
            <w:r w:rsidR="00A46C6E" w:rsidRPr="00A23740">
              <w:rPr>
                <w:b/>
                <w:bCs/>
                <w:color w:val="0000FF"/>
                <w:lang w:val="x-none" w:eastAsia="x-none"/>
              </w:rPr>
              <w:t>ve</w:t>
            </w:r>
            <w:r w:rsidR="007F732E" w:rsidRPr="00A23740">
              <w:rPr>
                <w:b/>
                <w:bCs/>
                <w:color w:val="0000FF"/>
                <w:lang w:eastAsia="x-none"/>
              </w:rPr>
              <w:t xml:space="preserve"> </w:t>
            </w:r>
            <w:r w:rsidR="007F732E" w:rsidRPr="00E65BE7">
              <w:rPr>
                <w:rStyle w:val="KonuBalChar"/>
                <w:rFonts w:eastAsia="Calibri"/>
                <w:color w:val="0000FF"/>
              </w:rPr>
              <w:t>469</w:t>
            </w:r>
            <w:r w:rsidR="007F732E" w:rsidRPr="00A23740">
              <w:rPr>
                <w:rStyle w:val="KonuBalChar"/>
                <w:rFonts w:eastAsia="Calibri"/>
              </w:rPr>
              <w:t xml:space="preserve"> </w:t>
            </w:r>
            <w:r w:rsidR="007F732E" w:rsidRPr="00E65BE7">
              <w:rPr>
                <w:rStyle w:val="KonuBalChar"/>
                <w:rFonts w:eastAsia="Calibri"/>
                <w:color w:val="0000FF"/>
              </w:rPr>
              <w:t>uncu</w:t>
            </w:r>
            <w:r w:rsidR="00A46C6E" w:rsidRPr="00A23740">
              <w:rPr>
                <w:b/>
                <w:bCs/>
                <w:color w:val="0000FF"/>
                <w:lang w:val="x-none" w:eastAsia="x-none"/>
              </w:rPr>
              <w:t xml:space="preserve"> </w:t>
            </w:r>
            <w:r w:rsidR="00A46C6E" w:rsidRPr="00A23740">
              <w:rPr>
                <w:rFonts w:eastAsia="Times New Roman"/>
                <w:b/>
                <w:bCs/>
                <w:color w:val="0000FF"/>
                <w:szCs w:val="24"/>
                <w:lang w:eastAsia="x-none"/>
              </w:rPr>
              <w:t xml:space="preserve">maddeler kapsamında olmayan </w:t>
            </w:r>
            <w:r w:rsidR="00A46C6E" w:rsidRPr="00A23740">
              <w:rPr>
                <w:rFonts w:eastAsia="Times New Roman"/>
                <w:color w:val="000000"/>
                <w:szCs w:val="24"/>
                <w:lang w:eastAsia="tr-TR"/>
              </w:rPr>
              <w:t>ilamların icrası</w:t>
            </w:r>
            <w:r w:rsidR="00A46C6E" w:rsidRPr="00A23740">
              <w:rPr>
                <w:b/>
                <w:bCs/>
                <w:color w:val="0000FF"/>
                <w:lang w:val="x-none" w:eastAsia="x-none"/>
              </w:rPr>
              <w:t>nda</w:t>
            </w:r>
            <w:r w:rsidR="00A46C6E" w:rsidRPr="00A23740">
              <w:rPr>
                <w:b/>
                <w:color w:val="00CC00"/>
                <w:lang w:eastAsia="tr-TR"/>
              </w:rPr>
              <w:t xml:space="preserve"> </w:t>
            </w:r>
            <w:r w:rsidR="00A127B1">
              <w:rPr>
                <w:b/>
                <w:bCs/>
                <w:color w:val="0000FF"/>
                <w:lang w:val="x-none" w:eastAsia="x-none"/>
              </w:rPr>
              <w:t>76 ila</w:t>
            </w:r>
            <w:r w:rsidR="00A46C6E" w:rsidRPr="00A23740">
              <w:rPr>
                <w:b/>
                <w:bCs/>
                <w:color w:val="0000FF"/>
                <w:lang w:val="x-none" w:eastAsia="x-none"/>
              </w:rPr>
              <w:t xml:space="preserve"> 78 inci</w:t>
            </w:r>
            <w:r w:rsidR="007F732E" w:rsidRPr="00A23740">
              <w:rPr>
                <w:b/>
                <w:bCs/>
                <w:color w:val="0000FF"/>
                <w:lang w:eastAsia="x-none"/>
              </w:rPr>
              <w:t xml:space="preserve"> </w:t>
            </w:r>
            <w:r w:rsidR="00A46C6E" w:rsidRPr="00A23740">
              <w:rPr>
                <w:b/>
                <w:bCs/>
                <w:color w:val="0000FF"/>
                <w:lang w:val="x-none" w:eastAsia="x-none"/>
              </w:rPr>
              <w:t>maddeler</w:t>
            </w:r>
            <w:r w:rsidR="00A46C6E" w:rsidRPr="00A23740">
              <w:rPr>
                <w:rFonts w:eastAsia="Times New Roman"/>
                <w:b/>
                <w:bCs/>
                <w:color w:val="0000FF"/>
                <w:szCs w:val="24"/>
                <w:lang w:eastAsia="x-none"/>
              </w:rPr>
              <w:t xml:space="preserve"> </w:t>
            </w:r>
            <w:r w:rsidR="00392D49" w:rsidRPr="00E65BE7">
              <w:rPr>
                <w:rFonts w:eastAsia="Times New Roman"/>
                <w:b/>
                <w:bCs/>
                <w:color w:val="0000FF"/>
                <w:szCs w:val="24"/>
                <w:lang w:eastAsia="x-none"/>
              </w:rPr>
              <w:t>kıyasen</w:t>
            </w:r>
            <w:r w:rsidR="00392D49" w:rsidRPr="00A23740">
              <w:rPr>
                <w:rFonts w:eastAsia="Times New Roman"/>
                <w:b/>
                <w:bCs/>
                <w:color w:val="0000FF"/>
                <w:szCs w:val="24"/>
                <w:lang w:eastAsia="x-none"/>
              </w:rPr>
              <w:t xml:space="preserve"> </w:t>
            </w:r>
            <w:r w:rsidR="00A46C6E" w:rsidRPr="00A23740">
              <w:rPr>
                <w:rFonts w:eastAsia="Times New Roman"/>
                <w:color w:val="000000"/>
                <w:szCs w:val="24"/>
                <w:lang w:eastAsia="tr-TR"/>
              </w:rPr>
              <w:t>uygulanır</w:t>
            </w:r>
            <w:r w:rsidR="00A46C6E" w:rsidRPr="00E26FFD">
              <w:rPr>
                <w:rFonts w:eastAsia="Times New Roman"/>
                <w:bCs/>
                <w:color w:val="000000" w:themeColor="text1"/>
                <w:szCs w:val="24"/>
                <w:lang w:eastAsia="x-none"/>
              </w:rPr>
              <w:t>.</w:t>
            </w:r>
          </w:p>
          <w:p w:rsidR="00196116" w:rsidRPr="00A23740" w:rsidRDefault="00196116" w:rsidP="009431FF">
            <w:pPr>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17" w:name="_Hlk134297709"/>
          </w:p>
          <w:p w:rsidR="00A46C6E" w:rsidRPr="00A23740" w:rsidRDefault="003B700B" w:rsidP="009431FF">
            <w:pPr>
              <w:ind w:firstLine="567"/>
              <w:rPr>
                <w:rFonts w:eastAsia="Times New Roman"/>
                <w:bCs/>
                <w:color w:val="275317"/>
                <w:szCs w:val="24"/>
              </w:rPr>
            </w:pPr>
            <w:r w:rsidRPr="00A23740">
              <w:rPr>
                <w:rFonts w:eastAsia="Times New Roman"/>
                <w:b/>
                <w:szCs w:val="24"/>
              </w:rPr>
              <w:t>MADDE 470</w:t>
            </w:r>
            <w:r w:rsidR="00A46C6E" w:rsidRPr="00A23740">
              <w:rPr>
                <w:rFonts w:eastAsia="Times New Roman"/>
                <w:bCs/>
                <w:color w:val="275317"/>
                <w:szCs w:val="24"/>
              </w:rPr>
              <w:t xml:space="preserve">- </w:t>
            </w:r>
            <w:bookmarkStart w:id="18" w:name="_Hlk172719139"/>
            <w:r w:rsidR="00A46C6E" w:rsidRPr="00A23740">
              <w:rPr>
                <w:rFonts w:eastAsia="Times New Roman"/>
                <w:szCs w:val="24"/>
              </w:rPr>
              <w:t xml:space="preserve">Maddeyle gemiye ilişkin </w:t>
            </w:r>
            <w:r w:rsidR="007F732E" w:rsidRPr="00E65BE7">
              <w:rPr>
                <w:rFonts w:eastAsia="Times New Roman"/>
                <w:szCs w:val="24"/>
              </w:rPr>
              <w:t>468</w:t>
            </w:r>
            <w:r w:rsidR="007F732E" w:rsidRPr="00E65BE7">
              <w:rPr>
                <w:rFonts w:eastAsia="Times New Roman"/>
                <w:b/>
                <w:bCs/>
                <w:szCs w:val="24"/>
              </w:rPr>
              <w:t xml:space="preserve"> </w:t>
            </w:r>
            <w:r w:rsidR="007F732E" w:rsidRPr="00E65BE7">
              <w:rPr>
                <w:rFonts w:eastAsia="Times New Roman"/>
                <w:szCs w:val="24"/>
              </w:rPr>
              <w:t>inci</w:t>
            </w:r>
            <w:r w:rsidR="007F732E" w:rsidRPr="00A23740">
              <w:rPr>
                <w:rFonts w:eastAsia="Times New Roman"/>
                <w:b/>
                <w:bCs/>
                <w:color w:val="0000FF"/>
                <w:szCs w:val="24"/>
                <w:lang w:eastAsia="x-none"/>
              </w:rPr>
              <w:t xml:space="preserve"> </w:t>
            </w:r>
            <w:r w:rsidR="007F732E" w:rsidRPr="00E65BE7">
              <w:rPr>
                <w:rFonts w:eastAsia="Times New Roman"/>
                <w:szCs w:val="24"/>
              </w:rPr>
              <w:t>ve</w:t>
            </w:r>
            <w:r w:rsidR="007F732E" w:rsidRPr="00A23740">
              <w:rPr>
                <w:b/>
                <w:bCs/>
                <w:color w:val="0000FF"/>
                <w:lang w:eastAsia="x-none"/>
              </w:rPr>
              <w:t xml:space="preserve"> </w:t>
            </w:r>
            <w:r w:rsidR="007F732E" w:rsidRPr="00E65BE7">
              <w:rPr>
                <w:rFonts w:eastAsia="Times New Roman"/>
                <w:szCs w:val="24"/>
              </w:rPr>
              <w:t>469</w:t>
            </w:r>
            <w:r w:rsidR="007F732E" w:rsidRPr="00A23740">
              <w:rPr>
                <w:rStyle w:val="KonuBalChar"/>
                <w:rFonts w:eastAsia="Calibri"/>
              </w:rPr>
              <w:t xml:space="preserve"> </w:t>
            </w:r>
            <w:r w:rsidR="007F732E" w:rsidRPr="00E65BE7">
              <w:rPr>
                <w:rFonts w:eastAsia="Times New Roman"/>
                <w:szCs w:val="24"/>
              </w:rPr>
              <w:t>uncu</w:t>
            </w:r>
            <w:r w:rsidR="007F732E" w:rsidRPr="00A23740">
              <w:rPr>
                <w:b/>
                <w:bCs/>
                <w:color w:val="0000FF"/>
                <w:lang w:val="x-none" w:eastAsia="x-none"/>
              </w:rPr>
              <w:t xml:space="preserve"> </w:t>
            </w:r>
            <w:r w:rsidR="00A46C6E" w:rsidRPr="00A23740">
              <w:rPr>
                <w:rFonts w:eastAsia="Times New Roman"/>
                <w:szCs w:val="24"/>
              </w:rPr>
              <w:t>madde kapsamında olmayan ilamların icrasına uygulanacak hükümler düzenlenmektedir.</w:t>
            </w:r>
          </w:p>
          <w:bookmarkEnd w:id="18"/>
          <w:p w:rsidR="00A46C6E" w:rsidRPr="00A23740" w:rsidRDefault="00A46C6E" w:rsidP="009431FF">
            <w:pPr>
              <w:ind w:firstLine="567"/>
              <w:rPr>
                <w:rFonts w:eastAsia="Times New Roman"/>
                <w:szCs w:val="24"/>
              </w:rPr>
            </w:pPr>
            <w:r w:rsidRPr="00A23740">
              <w:rPr>
                <w:rFonts w:eastAsia="Times New Roman"/>
                <w:szCs w:val="24"/>
              </w:rPr>
              <w:t>2004 sayılı Kanunun 31/a maddesinin son fıkrasından, bu fıkrada 2004 sayılı Kanuna atıf yapılan hükümleri yerine, Taslağın “</w:t>
            </w:r>
            <w:r w:rsidRPr="00A23740">
              <w:rPr>
                <w:rFonts w:eastAsia="Times New Roman"/>
                <w:i/>
                <w:iCs/>
                <w:szCs w:val="24"/>
              </w:rPr>
              <w:t>bir işin yapılması veya yapılmaması hakkındaki ilamların icrası</w:t>
            </w:r>
            <w:r w:rsidRPr="00A23740">
              <w:rPr>
                <w:rFonts w:eastAsia="Times New Roman"/>
                <w:szCs w:val="24"/>
              </w:rPr>
              <w:t>” hakkındaki hükümlerine atıf yapılmak suretiyle alınmış; maddenin kenar başlığı ise</w:t>
            </w:r>
            <w:r w:rsidRPr="00A23740">
              <w:rPr>
                <w:rFonts w:eastAsia="Times New Roman"/>
                <w:color w:val="C00000"/>
                <w:szCs w:val="24"/>
              </w:rPr>
              <w:t xml:space="preserve"> </w:t>
            </w:r>
            <w:r w:rsidR="007F732E" w:rsidRPr="00E65BE7">
              <w:rPr>
                <w:rFonts w:eastAsia="Times New Roman"/>
                <w:szCs w:val="24"/>
              </w:rPr>
              <w:t>468</w:t>
            </w:r>
            <w:r w:rsidR="007F732E" w:rsidRPr="00A23740">
              <w:rPr>
                <w:rStyle w:val="KonuBalChar"/>
                <w:rFonts w:eastAsia="Calibri"/>
              </w:rPr>
              <w:t xml:space="preserve"> </w:t>
            </w:r>
            <w:r w:rsidR="007F732E" w:rsidRPr="00E65BE7">
              <w:rPr>
                <w:rFonts w:eastAsia="Times New Roman"/>
                <w:szCs w:val="24"/>
              </w:rPr>
              <w:t>inci</w:t>
            </w:r>
            <w:r w:rsidR="007F732E" w:rsidRPr="00A23740">
              <w:rPr>
                <w:rFonts w:eastAsia="Times New Roman"/>
                <w:b/>
                <w:bCs/>
                <w:color w:val="0000FF"/>
                <w:szCs w:val="24"/>
                <w:lang w:eastAsia="x-none"/>
              </w:rPr>
              <w:t xml:space="preserve"> </w:t>
            </w:r>
            <w:r w:rsidR="007F732E" w:rsidRPr="00E65BE7">
              <w:rPr>
                <w:rFonts w:eastAsia="Times New Roman"/>
                <w:szCs w:val="24"/>
              </w:rPr>
              <w:t>ve</w:t>
            </w:r>
            <w:r w:rsidR="007F732E" w:rsidRPr="00A23740">
              <w:rPr>
                <w:b/>
                <w:bCs/>
                <w:color w:val="0000FF"/>
                <w:lang w:eastAsia="x-none"/>
              </w:rPr>
              <w:t xml:space="preserve"> </w:t>
            </w:r>
            <w:r w:rsidR="007F732E" w:rsidRPr="00E65BE7">
              <w:rPr>
                <w:rFonts w:eastAsia="Times New Roman"/>
                <w:szCs w:val="24"/>
              </w:rPr>
              <w:t>469</w:t>
            </w:r>
            <w:r w:rsidR="007F732E" w:rsidRPr="00A23740">
              <w:rPr>
                <w:rStyle w:val="KonuBalChar"/>
                <w:rFonts w:eastAsia="Calibri"/>
              </w:rPr>
              <w:t xml:space="preserve"> </w:t>
            </w:r>
            <w:r w:rsidR="007F732E" w:rsidRPr="00E65BE7">
              <w:rPr>
                <w:rFonts w:eastAsia="Times New Roman"/>
                <w:szCs w:val="24"/>
              </w:rPr>
              <w:t>uncu</w:t>
            </w:r>
            <w:r w:rsidR="007F732E" w:rsidRPr="00A23740">
              <w:rPr>
                <w:b/>
                <w:bCs/>
                <w:color w:val="0000FF"/>
                <w:lang w:val="x-none" w:eastAsia="x-none"/>
              </w:rPr>
              <w:t xml:space="preserve"> </w:t>
            </w:r>
            <w:r w:rsidRPr="00A23740">
              <w:rPr>
                <w:rFonts w:eastAsia="Times New Roman"/>
                <w:szCs w:val="24"/>
              </w:rPr>
              <w:t>maddeler kapsamında olmayan ilamların icrası hakkında olduğunu ifade etmek üzere “diğer ilamların icrası” şeklinde belirlenmiştir.</w:t>
            </w:r>
          </w:p>
          <w:bookmarkEnd w:id="17"/>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II -</w:t>
            </w:r>
            <w:r w:rsidRPr="00A23740">
              <w:rPr>
                <w:rFonts w:eastAsia="Times New Roman"/>
                <w:b/>
                <w:bCs/>
                <w:szCs w:val="24"/>
                <w:lang w:eastAsia="tr-TR"/>
              </w:rPr>
              <w:t xml:space="preserve"> </w:t>
            </w:r>
            <w:r w:rsidRPr="00A23740">
              <w:rPr>
                <w:rFonts w:eastAsia="Times New Roman"/>
                <w:b/>
                <w:szCs w:val="24"/>
                <w:lang w:eastAsia="tr-TR"/>
              </w:rPr>
              <w:t>Rehinli alacakların takibi</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1. Fer’ilik ilkesi</w:t>
            </w:r>
          </w:p>
          <w:p w:rsidR="00A46C6E" w:rsidRPr="00A23740" w:rsidRDefault="00A46C6E" w:rsidP="009431FF">
            <w:pPr>
              <w:rPr>
                <w:rFonts w:eastAsia="Times New Roman"/>
                <w:b/>
                <w:strike/>
                <w:color w:val="FF0000"/>
                <w:szCs w:val="24"/>
                <w:lang w:eastAsia="tr-TR"/>
              </w:rPr>
            </w:pPr>
            <w:r w:rsidRPr="00A23740">
              <w:rPr>
                <w:rFonts w:eastAsia="Times New Roman"/>
                <w:b/>
                <w:strike/>
                <w:color w:val="FF0000"/>
                <w:szCs w:val="24"/>
                <w:lang w:eastAsia="tr-TR"/>
              </w:rPr>
              <w:t>MADDE 1377</w:t>
            </w:r>
            <w:r w:rsidRPr="00A23740">
              <w:rPr>
                <w:rFonts w:eastAsia="Times New Roman"/>
                <w:szCs w:val="24"/>
                <w:lang w:eastAsia="tr-TR"/>
              </w:rPr>
              <w:t>- (1) Gemi üzerinde</w:t>
            </w:r>
            <w:r w:rsidRPr="00A23740">
              <w:rPr>
                <w:rFonts w:eastAsia="Times New Roman"/>
                <w:b/>
                <w:strike/>
                <w:color w:val="FF0000"/>
                <w:szCs w:val="24"/>
                <w:lang w:eastAsia="tr-TR"/>
              </w:rPr>
              <w:t>,</w:t>
            </w:r>
            <w:r w:rsidRPr="00A23740">
              <w:rPr>
                <w:rFonts w:eastAsia="Times New Roman"/>
                <w:szCs w:val="24"/>
                <w:lang w:eastAsia="tr-TR"/>
              </w:rPr>
              <w:t xml:space="preserve"> kanun veya sözleşme </w:t>
            </w:r>
            <w:r w:rsidRPr="00A23740">
              <w:rPr>
                <w:rFonts w:eastAsia="Times New Roman"/>
                <w:b/>
                <w:strike/>
                <w:color w:val="FF0000"/>
                <w:szCs w:val="24"/>
                <w:lang w:eastAsia="tr-TR"/>
              </w:rPr>
              <w:t>uyarınca</w:t>
            </w:r>
            <w:r w:rsidRPr="00A23740">
              <w:rPr>
                <w:rFonts w:eastAsia="Times New Roman"/>
                <w:szCs w:val="24"/>
                <w:lang w:eastAsia="tr-TR"/>
              </w:rPr>
              <w:t xml:space="preserve"> doğan </w:t>
            </w:r>
            <w:r w:rsidRPr="00A23740">
              <w:rPr>
                <w:rFonts w:eastAsia="Times New Roman"/>
                <w:b/>
                <w:strike/>
                <w:color w:val="FF0000"/>
                <w:szCs w:val="24"/>
                <w:lang w:eastAsia="tr-TR"/>
              </w:rPr>
              <w:t>veya</w:t>
            </w:r>
            <w:r w:rsidRPr="00A23740">
              <w:rPr>
                <w:rFonts w:eastAsia="Times New Roman"/>
                <w:szCs w:val="24"/>
                <w:lang w:eastAsia="tr-TR"/>
              </w:rPr>
              <w:t xml:space="preserve"> mahkemece tesciline karar verilen bütün rehin </w:t>
            </w:r>
            <w:r w:rsidRPr="00A23740">
              <w:rPr>
                <w:rFonts w:eastAsia="Times New Roman"/>
                <w:b/>
                <w:strike/>
                <w:color w:val="FF0000"/>
                <w:szCs w:val="24"/>
                <w:lang w:eastAsia="tr-TR"/>
              </w:rPr>
              <w:t>ve hapis</w:t>
            </w:r>
            <w:r w:rsidRPr="00A23740">
              <w:rPr>
                <w:rFonts w:eastAsia="Times New Roman"/>
                <w:szCs w:val="24"/>
                <w:lang w:eastAsia="tr-TR"/>
              </w:rPr>
              <w:t xml:space="preserve"> hakları, </w:t>
            </w:r>
            <w:r w:rsidRPr="00A23740">
              <w:rPr>
                <w:rFonts w:eastAsia="Times New Roman"/>
                <w:b/>
                <w:strike/>
                <w:color w:val="FF0000"/>
                <w:szCs w:val="24"/>
                <w:lang w:eastAsia="tr-TR"/>
              </w:rPr>
              <w:t>teminat altına alınan alacaktan ayrı ve bağımsız olarak yargılama veya icra konusu yapılamaz.</w:t>
            </w:r>
          </w:p>
          <w:p w:rsidR="00A46C6E" w:rsidRPr="00A23740" w:rsidRDefault="00A46C6E" w:rsidP="009431FF">
            <w:pPr>
              <w:rPr>
                <w:rFonts w:eastAsia="Times New Roman"/>
                <w:szCs w:val="24"/>
              </w:rPr>
            </w:pPr>
          </w:p>
          <w:p w:rsidR="00A46C6E" w:rsidRPr="00A23740" w:rsidRDefault="00A46C6E" w:rsidP="009431FF">
            <w:pPr>
              <w:rPr>
                <w:rFonts w:eastAsia="Times New Roman"/>
                <w:szCs w:val="24"/>
                <w:lang w:eastAsia="tr-TR"/>
              </w:rPr>
            </w:pPr>
            <w:r w:rsidRPr="00A23740">
              <w:rPr>
                <w:rFonts w:eastAsia="Times New Roman"/>
                <w:szCs w:val="24"/>
                <w:lang w:eastAsia="tr-TR"/>
              </w:rPr>
              <w:t xml:space="preserve">(2) </w:t>
            </w:r>
            <w:r w:rsidRPr="00A23740">
              <w:rPr>
                <w:rFonts w:eastAsia="Times New Roman"/>
                <w:b/>
                <w:strike/>
                <w:color w:val="FF0000"/>
                <w:szCs w:val="24"/>
                <w:lang w:eastAsia="tr-TR"/>
              </w:rPr>
              <w:t>Birinci fıkrada belirtilen</w:t>
            </w:r>
            <w:r w:rsidRPr="00A23740">
              <w:rPr>
                <w:rFonts w:eastAsia="Times New Roman"/>
                <w:szCs w:val="24"/>
                <w:lang w:eastAsia="tr-TR"/>
              </w:rPr>
              <w:t xml:space="preserve"> rehin </w:t>
            </w:r>
            <w:r w:rsidRPr="00A23740">
              <w:rPr>
                <w:b/>
                <w:strike/>
                <w:color w:val="FF0000"/>
                <w:szCs w:val="24"/>
                <w:lang w:eastAsia="x-none"/>
              </w:rPr>
              <w:t>ve hapis</w:t>
            </w:r>
            <w:r w:rsidRPr="00A23740">
              <w:rPr>
                <w:rFonts w:eastAsia="Times New Roman"/>
                <w:szCs w:val="24"/>
                <w:lang w:eastAsia="tr-TR"/>
              </w:rPr>
              <w:t xml:space="preserve"> haklarının</w:t>
            </w:r>
            <w:r w:rsidRPr="00A23740">
              <w:rPr>
                <w:b/>
                <w:strike/>
                <w:color w:val="FF0000"/>
                <w:szCs w:val="24"/>
                <w:lang w:eastAsia="x-none"/>
              </w:rPr>
              <w:t>, rehnin paraya çevrilmesi yoluyla ilamlı takip konusu yapılabilmeleri için, hem alacağın hem de rehin veya hapis hakkının, ilam veya ilam niteliğindeki belgelerde veya gemi sicil müdürlüğünde düzenlenmiş gemi ipoteği sözleşmesinde</w:t>
            </w:r>
            <w:r w:rsidRPr="00A23740">
              <w:rPr>
                <w:rFonts w:eastAsia="Times New Roman"/>
                <w:szCs w:val="24"/>
                <w:lang w:eastAsia="tr-TR"/>
              </w:rPr>
              <w:t xml:space="preserve"> tespit edilmiş olması şarttır.</w:t>
            </w:r>
          </w:p>
          <w:p w:rsidR="00A46C6E" w:rsidRPr="00A23740" w:rsidRDefault="00A46C6E" w:rsidP="009431FF">
            <w:pPr>
              <w:rPr>
                <w:rFonts w:eastAsia="Times New Roman"/>
                <w:szCs w:val="24"/>
              </w:rPr>
            </w:pPr>
          </w:p>
          <w:p w:rsidR="00A46C6E" w:rsidRPr="00A23740" w:rsidRDefault="00A46C6E" w:rsidP="009431FF">
            <w:pPr>
              <w:rPr>
                <w:rFonts w:eastAsia="Times New Roman"/>
                <w:b/>
                <w:bCs/>
                <w:strike/>
                <w:color w:val="FF0000"/>
                <w:szCs w:val="24"/>
                <w:lang w:eastAsia="tr-TR"/>
              </w:rPr>
            </w:pPr>
            <w:r w:rsidRPr="00A23740">
              <w:rPr>
                <w:rFonts w:eastAsia="Times New Roman"/>
                <w:b/>
                <w:bCs/>
                <w:strike/>
                <w:color w:val="FF0000"/>
                <w:szCs w:val="24"/>
                <w:lang w:eastAsia="tr-TR"/>
              </w:rPr>
              <w:t>4. Rehinli alacaklıların takip hakkı</w:t>
            </w:r>
          </w:p>
          <w:p w:rsidR="00A46C6E" w:rsidRPr="00A23740" w:rsidRDefault="00A46C6E" w:rsidP="009431FF">
            <w:pPr>
              <w:rPr>
                <w:rFonts w:eastAsia="Times New Roman"/>
                <w:b/>
                <w:bCs/>
                <w:strike/>
                <w:color w:val="FF0000"/>
                <w:szCs w:val="24"/>
                <w:lang w:eastAsia="tr-TR"/>
              </w:rPr>
            </w:pPr>
            <w:r w:rsidRPr="00A23740">
              <w:rPr>
                <w:rFonts w:eastAsia="Times New Roman"/>
                <w:b/>
                <w:bCs/>
                <w:strike/>
                <w:color w:val="FF0000"/>
                <w:szCs w:val="24"/>
                <w:lang w:eastAsia="tr-TR"/>
              </w:rPr>
              <w:t>a) Kanuni rehin hakkı sahiplerinin</w:t>
            </w:r>
          </w:p>
          <w:p w:rsidR="00A46C6E" w:rsidRPr="00A23740" w:rsidRDefault="00A46C6E" w:rsidP="009431FF">
            <w:pPr>
              <w:rPr>
                <w:rFonts w:eastAsia="Times New Roman"/>
                <w:szCs w:val="24"/>
                <w:lang w:eastAsia="tr-TR"/>
              </w:rPr>
            </w:pPr>
            <w:r w:rsidRPr="00A23740">
              <w:rPr>
                <w:rFonts w:eastAsia="Times New Roman"/>
                <w:b/>
                <w:bCs/>
                <w:strike/>
                <w:color w:val="FF0000"/>
                <w:szCs w:val="24"/>
                <w:lang w:eastAsia="tr-TR"/>
              </w:rPr>
              <w:t>MADDE 1380- (1)</w:t>
            </w:r>
            <w:r w:rsidRPr="00A23740">
              <w:rPr>
                <w:rFonts w:eastAsia="Times New Roman"/>
                <w:szCs w:val="24"/>
                <w:lang w:eastAsia="tr-TR"/>
              </w:rPr>
              <w:t xml:space="preserve"> Gemi alacaklıları ile alacakları gemi üzerinde hapis hakkı ile temin edilmiş olan alacaklılar, ihtiyati haczi tamamlamak veya alacağı doğrudan takip etmek için taşınır rehninin paraya çevrilmesi yoluyla takip yapabilirler. Bu hüküm, </w:t>
            </w:r>
            <w:r w:rsidRPr="00A23740">
              <w:rPr>
                <w:rFonts w:eastAsia="Times New Roman"/>
                <w:b/>
                <w:strike/>
                <w:color w:val="FF0000"/>
                <w:szCs w:val="24"/>
                <w:lang w:eastAsia="tr-TR"/>
              </w:rPr>
              <w:t>Türk ve yabancı bayraklı</w:t>
            </w:r>
            <w:r w:rsidRPr="00A23740">
              <w:rPr>
                <w:rFonts w:eastAsia="Times New Roman"/>
                <w:szCs w:val="24"/>
                <w:lang w:eastAsia="tr-TR"/>
              </w:rPr>
              <w:t xml:space="preserve"> bütün gemilere uygulanır</w:t>
            </w:r>
          </w:p>
          <w:p w:rsidR="00A46C6E" w:rsidRPr="00A23740" w:rsidRDefault="00A46C6E" w:rsidP="009431FF">
            <w:pPr>
              <w:rPr>
                <w:rFonts w:eastAsia="Times New Roman"/>
                <w:b/>
                <w:bCs/>
                <w:szCs w:val="24"/>
                <w:lang w:eastAsia="tr-TR"/>
              </w:rPr>
            </w:pPr>
          </w:p>
          <w:p w:rsidR="00A46C6E" w:rsidRPr="00A23740" w:rsidRDefault="00A46C6E" w:rsidP="009431FF">
            <w:pPr>
              <w:rPr>
                <w:rFonts w:eastAsia="Times New Roman"/>
                <w:b/>
                <w:bCs/>
                <w:strike/>
                <w:color w:val="FF0000"/>
                <w:szCs w:val="24"/>
                <w:lang w:eastAsia="tr-TR"/>
              </w:rPr>
            </w:pPr>
            <w:r w:rsidRPr="00A23740">
              <w:rPr>
                <w:rFonts w:eastAsia="Times New Roman"/>
                <w:b/>
                <w:bCs/>
                <w:strike/>
                <w:color w:val="FF0000"/>
                <w:szCs w:val="24"/>
                <w:lang w:eastAsia="tr-TR"/>
              </w:rPr>
              <w:t>b) İpotek sahiplerinin</w:t>
            </w:r>
          </w:p>
          <w:p w:rsidR="00A46C6E" w:rsidRPr="00A23740" w:rsidRDefault="00A46C6E" w:rsidP="009431FF">
            <w:pPr>
              <w:rPr>
                <w:rFonts w:eastAsia="Times New Roman"/>
                <w:szCs w:val="24"/>
                <w:lang w:eastAsia="tr-TR"/>
              </w:rPr>
            </w:pPr>
            <w:r w:rsidRPr="00A23740">
              <w:rPr>
                <w:rFonts w:eastAsia="Times New Roman"/>
                <w:b/>
                <w:bCs/>
                <w:strike/>
                <w:color w:val="FF0000"/>
                <w:szCs w:val="24"/>
                <w:lang w:eastAsia="tr-TR"/>
              </w:rPr>
              <w:t>MADDE 1381- (1)</w:t>
            </w:r>
            <w:r w:rsidRPr="00A23740">
              <w:rPr>
                <w:rFonts w:eastAsia="Times New Roman"/>
                <w:szCs w:val="24"/>
                <w:lang w:eastAsia="tr-TR"/>
              </w:rPr>
              <w:t xml:space="preserve"> Akdî veya kanuni gemi ipoteği alacaklıları, ipoteğin paraya çevrilmesi yoluyla takip yapabilirler. Bu hüküm, </w:t>
            </w:r>
            <w:r w:rsidRPr="00A23740">
              <w:rPr>
                <w:rFonts w:eastAsia="Times New Roman"/>
                <w:b/>
                <w:strike/>
                <w:color w:val="FF0000"/>
                <w:szCs w:val="24"/>
                <w:lang w:eastAsia="tr-TR"/>
              </w:rPr>
              <w:t>Türk ve yabancı bayraklı</w:t>
            </w:r>
            <w:r w:rsidRPr="00A23740">
              <w:rPr>
                <w:rFonts w:eastAsia="Times New Roman"/>
                <w:szCs w:val="24"/>
                <w:lang w:eastAsia="tr-TR"/>
              </w:rPr>
              <w:t xml:space="preserve"> bütün gemilere uygulanır.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b/>
                <w:strike/>
                <w:color w:val="FF0000"/>
                <w:szCs w:val="24"/>
                <w:lang w:eastAsia="tr-TR"/>
              </w:rPr>
            </w:pPr>
            <w:r w:rsidRPr="00A23740">
              <w:rPr>
                <w:rFonts w:eastAsia="Times New Roman"/>
                <w:b/>
                <w:bCs/>
                <w:strike/>
                <w:color w:val="FF0000"/>
                <w:szCs w:val="24"/>
                <w:lang w:eastAsia="tr-TR"/>
              </w:rPr>
              <w:t>3. Diğer takip yolları</w:t>
            </w:r>
          </w:p>
          <w:p w:rsidR="00A46C6E" w:rsidRPr="00A23740" w:rsidRDefault="00A46C6E" w:rsidP="009431FF">
            <w:pPr>
              <w:rPr>
                <w:rFonts w:eastAsia="Times New Roman"/>
                <w:szCs w:val="24"/>
                <w:lang w:eastAsia="tr-TR"/>
              </w:rPr>
            </w:pPr>
            <w:r w:rsidRPr="00A23740">
              <w:rPr>
                <w:rFonts w:eastAsia="Times New Roman"/>
                <w:b/>
                <w:bCs/>
                <w:strike/>
                <w:color w:val="FF0000"/>
                <w:szCs w:val="24"/>
                <w:lang w:eastAsia="tr-TR"/>
              </w:rPr>
              <w:t>MADDE 1379</w:t>
            </w:r>
            <w:r w:rsidRPr="00A23740">
              <w:rPr>
                <w:rFonts w:eastAsia="Times New Roman"/>
                <w:b/>
                <w:strike/>
                <w:color w:val="FF0000"/>
                <w:szCs w:val="24"/>
                <w:lang w:eastAsia="tr-TR"/>
              </w:rPr>
              <w:t>- (1)</w:t>
            </w:r>
            <w:r w:rsidRPr="00A23740">
              <w:rPr>
                <w:rFonts w:eastAsia="Times New Roman"/>
                <w:szCs w:val="24"/>
                <w:lang w:eastAsia="tr-TR"/>
              </w:rPr>
              <w:t xml:space="preserve"> </w:t>
            </w:r>
            <w:r w:rsidRPr="00A23740">
              <w:rPr>
                <w:b/>
                <w:strike/>
                <w:color w:val="FF0000"/>
                <w:szCs w:val="24"/>
                <w:lang w:eastAsia="x-none"/>
              </w:rPr>
              <w:t>Gemi üzerinde kanuni bir</w:t>
            </w:r>
            <w:r w:rsidRPr="00E26FFD">
              <w:rPr>
                <w:b/>
                <w:color w:val="FF0000"/>
                <w:szCs w:val="24"/>
                <w:lang w:eastAsia="x-none"/>
              </w:rPr>
              <w:t xml:space="preserve"> </w:t>
            </w:r>
            <w:r w:rsidRPr="00A23740">
              <w:rPr>
                <w:rFonts w:eastAsia="Times New Roman"/>
                <w:szCs w:val="24"/>
                <w:lang w:eastAsia="tr-TR"/>
              </w:rPr>
              <w:t xml:space="preserve">rehin hakkına sahip </w:t>
            </w:r>
            <w:r w:rsidRPr="00A23740">
              <w:rPr>
                <w:b/>
                <w:strike/>
                <w:color w:val="FF0000"/>
                <w:szCs w:val="24"/>
                <w:lang w:eastAsia="x-none"/>
              </w:rPr>
              <w:t>olan</w:t>
            </w:r>
            <w:r w:rsidRPr="00A23740">
              <w:rPr>
                <w:rFonts w:eastAsia="Times New Roman"/>
                <w:szCs w:val="24"/>
                <w:lang w:eastAsia="tr-TR"/>
              </w:rPr>
              <w:t xml:space="preserve"> alacaklılar, haciz yolu ile </w:t>
            </w:r>
            <w:r w:rsidRPr="00A23740">
              <w:rPr>
                <w:b/>
                <w:strike/>
                <w:color w:val="FF0000"/>
                <w:szCs w:val="24"/>
                <w:lang w:eastAsia="x-none"/>
              </w:rPr>
              <w:t>veya kambiyo senetleri hakkındaki özel usullere göre</w:t>
            </w:r>
            <w:r w:rsidRPr="00A23740">
              <w:rPr>
                <w:rFonts w:eastAsia="Times New Roman"/>
                <w:szCs w:val="24"/>
                <w:lang w:eastAsia="tr-TR"/>
              </w:rPr>
              <w:t xml:space="preserve"> takip yapabilirler; bu takdirde kanuni rehin hakkından feragat etmiş olurlar.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b/>
                <w:strike/>
                <w:color w:val="FF0000"/>
                <w:szCs w:val="24"/>
                <w:lang w:eastAsia="x-none"/>
              </w:rPr>
            </w:pPr>
            <w:r w:rsidRPr="00E26FFD">
              <w:rPr>
                <w:rStyle w:val="KIRMIZIChar"/>
                <w:rFonts w:eastAsia="Calibri"/>
              </w:rPr>
              <w:t>2. İ</w:t>
            </w:r>
            <w:r w:rsidRPr="00A23740">
              <w:rPr>
                <w:rFonts w:eastAsia="Times New Roman"/>
                <w:b/>
                <w:strike/>
                <w:color w:val="FF0000"/>
                <w:szCs w:val="24"/>
                <w:lang w:eastAsia="x-none"/>
              </w:rPr>
              <w:t>flas yoluyla takip hakkı</w:t>
            </w:r>
          </w:p>
          <w:p w:rsidR="00A46C6E" w:rsidRPr="00A23740" w:rsidRDefault="00A46C6E" w:rsidP="009431FF">
            <w:pPr>
              <w:rPr>
                <w:rFonts w:eastAsia="Times New Roman"/>
                <w:szCs w:val="24"/>
                <w:lang w:eastAsia="tr-TR"/>
              </w:rPr>
            </w:pPr>
            <w:r w:rsidRPr="00A23740">
              <w:rPr>
                <w:rFonts w:eastAsia="Times New Roman"/>
                <w:b/>
                <w:bCs/>
                <w:strike/>
                <w:color w:val="FF0000"/>
                <w:szCs w:val="24"/>
                <w:lang w:eastAsia="tr-TR"/>
              </w:rPr>
              <w:t>MADDE 1378- (1)</w:t>
            </w:r>
            <w:r w:rsidRPr="00A23740">
              <w:rPr>
                <w:rFonts w:eastAsia="Times New Roman"/>
                <w:szCs w:val="24"/>
                <w:lang w:eastAsia="tr-TR"/>
              </w:rPr>
              <w:t xml:space="preserve"> Gemi üzerinde, akdî veya kanuni </w:t>
            </w:r>
            <w:r w:rsidRPr="00A23740">
              <w:rPr>
                <w:rFonts w:eastAsia="Times New Roman"/>
                <w:b/>
                <w:strike/>
                <w:color w:val="FF0000"/>
                <w:szCs w:val="24"/>
                <w:lang w:eastAsia="tr-TR"/>
              </w:rPr>
              <w:t>bir</w:t>
            </w:r>
            <w:r w:rsidRPr="00A23740">
              <w:rPr>
                <w:rFonts w:eastAsia="Times New Roman"/>
                <w:szCs w:val="24"/>
                <w:lang w:eastAsia="tr-TR"/>
              </w:rPr>
              <w:t xml:space="preserve"> rehin hakkı </w:t>
            </w:r>
            <w:r w:rsidRPr="00A23740">
              <w:rPr>
                <w:rFonts w:eastAsia="Times New Roman"/>
                <w:b/>
                <w:strike/>
                <w:color w:val="FF0000"/>
                <w:szCs w:val="24"/>
                <w:lang w:eastAsia="tr-TR"/>
              </w:rPr>
              <w:t>bulunsa bile</w:t>
            </w:r>
            <w:r w:rsidRPr="00A23740">
              <w:rPr>
                <w:rFonts w:eastAsia="Times New Roman"/>
                <w:szCs w:val="24"/>
                <w:lang w:eastAsia="tr-TR"/>
              </w:rPr>
              <w:t xml:space="preserve">, </w:t>
            </w:r>
            <w:r w:rsidRPr="00A23740">
              <w:rPr>
                <w:b/>
                <w:strike/>
                <w:color w:val="FF0000"/>
                <w:szCs w:val="24"/>
                <w:lang w:eastAsia="x-none"/>
              </w:rPr>
              <w:t>alacaklı</w:t>
            </w:r>
            <w:r w:rsidRPr="00A23740">
              <w:rPr>
                <w:rFonts w:eastAsia="Times New Roman"/>
                <w:szCs w:val="24"/>
                <w:lang w:eastAsia="tr-TR"/>
              </w:rPr>
              <w:t xml:space="preserve"> iflas yoluyla takip yapabilir.</w:t>
            </w:r>
          </w:p>
          <w:p w:rsidR="00A46C6E" w:rsidRPr="00A23740" w:rsidRDefault="00A46C6E" w:rsidP="009431FF">
            <w:pPr>
              <w:rPr>
                <w:rFonts w:eastAsia="Times New Roman"/>
                <w:szCs w:val="24"/>
              </w:rPr>
            </w:pPr>
          </w:p>
        </w:tc>
        <w:tc>
          <w:tcPr>
            <w:tcW w:w="2500" w:type="pct"/>
            <w:shd w:val="clear" w:color="auto" w:fill="auto"/>
          </w:tcPr>
          <w:p w:rsidR="00B77E55" w:rsidRPr="00A23740" w:rsidRDefault="00B77E55" w:rsidP="009431FF">
            <w:pPr>
              <w:pStyle w:val="Mavi"/>
              <w:jc w:val="center"/>
            </w:pPr>
            <w:r w:rsidRPr="00A23740">
              <w:t>ÜÇÜNCÜ KISIM</w:t>
            </w:r>
          </w:p>
          <w:p w:rsidR="00A46C6E" w:rsidRPr="00A23740" w:rsidRDefault="00A46C6E" w:rsidP="009431FF">
            <w:pPr>
              <w:jc w:val="center"/>
              <w:rPr>
                <w:rFonts w:eastAsia="Times New Roman"/>
                <w:b/>
                <w:bCs/>
                <w:color w:val="0000FF"/>
                <w:szCs w:val="24"/>
                <w:lang w:eastAsia="tr-TR"/>
              </w:rPr>
            </w:pPr>
            <w:r w:rsidRPr="00A23740">
              <w:rPr>
                <w:rFonts w:eastAsia="Times New Roman"/>
                <w:b/>
                <w:bCs/>
                <w:color w:val="0000FF"/>
                <w:szCs w:val="24"/>
                <w:lang w:eastAsia="tr-TR"/>
              </w:rPr>
              <w:t>Rehinli Alacaklar</w:t>
            </w:r>
          </w:p>
          <w:p w:rsidR="00A46C6E" w:rsidRPr="00A23740" w:rsidRDefault="00A46C6E" w:rsidP="009431FF">
            <w:pPr>
              <w:rPr>
                <w:rFonts w:eastAsia="Times New Roman"/>
                <w:b/>
                <w:szCs w:val="24"/>
                <w:lang w:eastAsia="tr-TR"/>
              </w:rPr>
            </w:pPr>
          </w:p>
          <w:p w:rsidR="00A46C6E" w:rsidRPr="00A23740" w:rsidRDefault="00A46C6E" w:rsidP="009431FF">
            <w:pPr>
              <w:rPr>
                <w:rFonts w:eastAsia="Times New Roman"/>
                <w:b/>
                <w:bCs/>
                <w:color w:val="0000FF"/>
                <w:szCs w:val="24"/>
                <w:lang w:eastAsia="tr-TR"/>
              </w:rPr>
            </w:pPr>
            <w:r w:rsidRPr="00A23740">
              <w:rPr>
                <w:rFonts w:eastAsia="Times New Roman"/>
                <w:b/>
                <w:szCs w:val="24"/>
                <w:lang w:eastAsia="tr-TR"/>
              </w:rPr>
              <w:t>Rehinli alacakların takibi</w:t>
            </w:r>
            <w:r w:rsidRPr="00A23740">
              <w:rPr>
                <w:rFonts w:eastAsia="Times New Roman"/>
                <w:b/>
                <w:bCs/>
                <w:color w:val="0000FF"/>
                <w:szCs w:val="24"/>
                <w:lang w:eastAsia="tr-TR"/>
              </w:rPr>
              <w:t xml:space="preserve"> </w:t>
            </w:r>
          </w:p>
          <w:p w:rsidR="00A46C6E" w:rsidRPr="00A23740" w:rsidRDefault="003B700B" w:rsidP="009431FF">
            <w:pPr>
              <w:rPr>
                <w:rFonts w:eastAsia="Times New Roman"/>
                <w:szCs w:val="24"/>
                <w:lang w:eastAsia="tr-TR"/>
              </w:rPr>
            </w:pPr>
            <w:r w:rsidRPr="00A23740">
              <w:rPr>
                <w:rFonts w:eastAsia="Times New Roman"/>
                <w:b/>
                <w:bCs/>
                <w:color w:val="0000FF"/>
                <w:szCs w:val="24"/>
                <w:lang w:eastAsia="tr-TR"/>
              </w:rPr>
              <w:t>MADDE 471</w:t>
            </w:r>
            <w:r w:rsidR="00A46C6E" w:rsidRPr="00A23740">
              <w:rPr>
                <w:rFonts w:eastAsia="Times New Roman"/>
                <w:b/>
                <w:bCs/>
                <w:color w:val="0000FF"/>
                <w:szCs w:val="24"/>
                <w:lang w:eastAsia="tr-TR"/>
              </w:rPr>
              <w:t xml:space="preserve">- </w:t>
            </w:r>
            <w:r w:rsidR="00A46C6E" w:rsidRPr="00E26FFD">
              <w:t>(1)</w:t>
            </w:r>
            <w:r w:rsidR="00A46C6E" w:rsidRPr="00A23740">
              <w:rPr>
                <w:rFonts w:eastAsia="Times New Roman"/>
                <w:szCs w:val="24"/>
                <w:lang w:eastAsia="tr-TR"/>
              </w:rPr>
              <w:t xml:space="preserve"> Gemi üzerinde kanun veya sözleşme</w:t>
            </w:r>
            <w:r w:rsidR="00A46C6E" w:rsidRPr="00A23740">
              <w:rPr>
                <w:rFonts w:eastAsia="Times New Roman"/>
                <w:b/>
                <w:bCs/>
                <w:color w:val="0000FF"/>
                <w:szCs w:val="24"/>
                <w:lang w:eastAsia="tr-TR"/>
              </w:rPr>
              <w:t>den</w:t>
            </w:r>
            <w:r w:rsidR="00A46C6E" w:rsidRPr="00A23740">
              <w:rPr>
                <w:rFonts w:eastAsia="Times New Roman"/>
                <w:szCs w:val="24"/>
                <w:lang w:eastAsia="tr-TR"/>
              </w:rPr>
              <w:t xml:space="preserve"> doğan </w:t>
            </w:r>
            <w:r w:rsidR="00A46C6E" w:rsidRPr="00A23740">
              <w:rPr>
                <w:b/>
                <w:bCs/>
                <w:color w:val="0000FF"/>
                <w:szCs w:val="24"/>
                <w:lang w:eastAsia="x-none"/>
              </w:rPr>
              <w:t>ya da</w:t>
            </w:r>
            <w:r w:rsidR="00A46C6E" w:rsidRPr="00A23740">
              <w:rPr>
                <w:rFonts w:eastAsia="Times New Roman"/>
                <w:szCs w:val="24"/>
                <w:lang w:eastAsia="tr-TR"/>
              </w:rPr>
              <w:t xml:space="preserve"> mahkemece tesciline karar verilen bütün rehin hakları, </w:t>
            </w:r>
            <w:r w:rsidR="00A46C6E" w:rsidRPr="00A23740">
              <w:rPr>
                <w:rFonts w:eastAsia="Times New Roman"/>
                <w:b/>
                <w:bCs/>
                <w:color w:val="0000FF"/>
                <w:szCs w:val="24"/>
                <w:lang w:eastAsia="x-none"/>
              </w:rPr>
              <w:t>ancak alacakla</w:t>
            </w:r>
            <w:r w:rsidR="00A46C6E" w:rsidRPr="00A23740">
              <w:rPr>
                <w:rFonts w:eastAsia="Times New Roman"/>
                <w:b/>
                <w:bCs/>
                <w:color w:val="0000FF"/>
                <w:szCs w:val="24"/>
                <w:lang w:eastAsia="tr-TR"/>
              </w:rPr>
              <w:t xml:space="preserve"> birlikte dava veya takip edilebilir.</w:t>
            </w:r>
          </w:p>
          <w:p w:rsidR="00A46C6E" w:rsidRDefault="00A46C6E" w:rsidP="009431FF">
            <w:pPr>
              <w:rPr>
                <w:rFonts w:eastAsia="Times New Roman"/>
                <w:szCs w:val="24"/>
                <w:lang w:eastAsia="x-none"/>
              </w:rPr>
            </w:pPr>
          </w:p>
          <w:p w:rsidR="00E26FFD" w:rsidRPr="00A23740" w:rsidRDefault="00E26FFD" w:rsidP="009431FF">
            <w:pPr>
              <w:rPr>
                <w:rFonts w:eastAsia="Times New Roman"/>
                <w:szCs w:val="24"/>
                <w:lang w:eastAsia="x-none"/>
              </w:rPr>
            </w:pPr>
          </w:p>
          <w:p w:rsidR="00A46C6E" w:rsidRDefault="00A46C6E" w:rsidP="009431FF">
            <w:pPr>
              <w:rPr>
                <w:rFonts w:eastAsia="Times New Roman"/>
                <w:b/>
                <w:bCs/>
                <w:color w:val="FF0000"/>
                <w:szCs w:val="24"/>
                <w:lang w:eastAsia="x-none"/>
              </w:rPr>
            </w:pPr>
            <w:r w:rsidRPr="00E26FFD">
              <w:t>(2)</w:t>
            </w:r>
            <w:r w:rsidRPr="00A23740">
              <w:rPr>
                <w:rFonts w:eastAsia="Times New Roman"/>
                <w:b/>
                <w:bCs/>
                <w:color w:val="0000FF"/>
                <w:szCs w:val="24"/>
                <w:lang w:eastAsia="x-none"/>
              </w:rPr>
              <w:t xml:space="preserve"> Gemi üzerindeki </w:t>
            </w:r>
            <w:r w:rsidRPr="00A23740">
              <w:rPr>
                <w:rFonts w:eastAsia="Times New Roman"/>
                <w:szCs w:val="24"/>
                <w:lang w:eastAsia="tr-TR"/>
              </w:rPr>
              <w:t>rehin haklarının</w:t>
            </w:r>
            <w:r w:rsidRPr="00A23740">
              <w:rPr>
                <w:rFonts w:eastAsia="Times New Roman"/>
                <w:b/>
                <w:bCs/>
                <w:color w:val="0000FF"/>
                <w:szCs w:val="24"/>
                <w:lang w:eastAsia="x-none"/>
              </w:rPr>
              <w:t xml:space="preserve"> ilamların icrası hakkındaki hükümlere göre takibi için</w:t>
            </w:r>
            <w:r w:rsidR="00392D49" w:rsidRPr="00A23740">
              <w:rPr>
                <w:rFonts w:eastAsia="Times New Roman"/>
                <w:b/>
                <w:bCs/>
                <w:color w:val="0000FF"/>
                <w:szCs w:val="24"/>
                <w:lang w:eastAsia="x-none"/>
              </w:rPr>
              <w:t xml:space="preserve"> </w:t>
            </w:r>
            <w:r w:rsidR="00392D49" w:rsidRPr="00E65BE7">
              <w:rPr>
                <w:rFonts w:eastAsia="Times New Roman"/>
                <w:b/>
                <w:bCs/>
                <w:color w:val="0000FF"/>
                <w:szCs w:val="24"/>
                <w:lang w:eastAsia="x-none"/>
              </w:rPr>
              <w:t>hem</w:t>
            </w:r>
            <w:r w:rsidRPr="00A23740">
              <w:rPr>
                <w:rFonts w:eastAsia="Times New Roman"/>
                <w:b/>
                <w:bCs/>
                <w:color w:val="0000FF"/>
                <w:szCs w:val="24"/>
                <w:lang w:eastAsia="x-none"/>
              </w:rPr>
              <w:t xml:space="preserve"> rehin hakkının ve </w:t>
            </w:r>
            <w:r w:rsidR="00392D49" w:rsidRPr="00E65BE7">
              <w:rPr>
                <w:rFonts w:eastAsia="Times New Roman"/>
                <w:b/>
                <w:bCs/>
                <w:color w:val="0000FF"/>
                <w:szCs w:val="24"/>
                <w:lang w:eastAsia="x-none"/>
              </w:rPr>
              <w:t>hem</w:t>
            </w:r>
            <w:r w:rsidR="00392D49" w:rsidRPr="00A23740">
              <w:rPr>
                <w:rFonts w:eastAsia="Times New Roman"/>
                <w:b/>
                <w:bCs/>
                <w:color w:val="538135"/>
                <w:szCs w:val="24"/>
                <w:lang w:eastAsia="x-none"/>
              </w:rPr>
              <w:t xml:space="preserve"> </w:t>
            </w:r>
            <w:r w:rsidR="00392D49" w:rsidRPr="00E65BE7">
              <w:rPr>
                <w:rFonts w:eastAsia="Times New Roman"/>
                <w:b/>
                <w:bCs/>
                <w:color w:val="0000FF"/>
                <w:szCs w:val="24"/>
                <w:lang w:eastAsia="x-none"/>
              </w:rPr>
              <w:t>de</w:t>
            </w:r>
            <w:r w:rsidR="00392D49" w:rsidRPr="00A23740">
              <w:rPr>
                <w:rFonts w:eastAsia="Times New Roman"/>
                <w:b/>
                <w:bCs/>
                <w:color w:val="0000FF"/>
                <w:szCs w:val="24"/>
                <w:lang w:eastAsia="x-none"/>
              </w:rPr>
              <w:t xml:space="preserve"> </w:t>
            </w:r>
            <w:r w:rsidRPr="00A23740">
              <w:rPr>
                <w:rFonts w:eastAsia="Times New Roman"/>
                <w:b/>
                <w:bCs/>
                <w:color w:val="0000FF"/>
                <w:szCs w:val="24"/>
                <w:lang w:eastAsia="x-none"/>
              </w:rPr>
              <w:t xml:space="preserve">hakkın temin ettiği alacağın ilam veya ilam niteliğinde bir belgede </w:t>
            </w:r>
            <w:r w:rsidR="00392D49" w:rsidRPr="00E65BE7">
              <w:rPr>
                <w:rFonts w:eastAsia="Times New Roman"/>
                <w:b/>
                <w:bCs/>
                <w:color w:val="0000FF"/>
                <w:szCs w:val="24"/>
                <w:lang w:eastAsia="x-none"/>
              </w:rPr>
              <w:t>birlikte</w:t>
            </w:r>
            <w:r w:rsidR="00392D49" w:rsidRPr="00A23740">
              <w:rPr>
                <w:rFonts w:eastAsia="Times New Roman"/>
                <w:b/>
                <w:bCs/>
                <w:color w:val="538135"/>
                <w:szCs w:val="24"/>
                <w:lang w:eastAsia="x-none"/>
              </w:rPr>
              <w:t xml:space="preserve"> </w:t>
            </w:r>
            <w:r w:rsidRPr="00A23740">
              <w:rPr>
                <w:rFonts w:eastAsia="Times New Roman"/>
                <w:szCs w:val="24"/>
                <w:lang w:eastAsia="tr-TR"/>
              </w:rPr>
              <w:t>tespit edilmiş olması şarttır.</w:t>
            </w:r>
            <w:r w:rsidRPr="00A23740">
              <w:rPr>
                <w:rFonts w:eastAsia="Times New Roman"/>
                <w:b/>
                <w:bCs/>
                <w:color w:val="0000FF"/>
                <w:szCs w:val="24"/>
                <w:lang w:eastAsia="x-none"/>
              </w:rPr>
              <w:t xml:space="preserve"> Bu hâlde</w:t>
            </w:r>
            <w:r w:rsidR="006E1D55" w:rsidRPr="00A23740">
              <w:rPr>
                <w:rFonts w:eastAsia="Times New Roman"/>
                <w:b/>
                <w:bCs/>
                <w:color w:val="0000FF"/>
                <w:szCs w:val="24"/>
                <w:lang w:eastAsia="x-none"/>
              </w:rPr>
              <w:t xml:space="preserve"> </w:t>
            </w:r>
            <w:r w:rsidR="006E1D55" w:rsidRPr="00E65BE7">
              <w:rPr>
                <w:rStyle w:val="KonuBalChar"/>
                <w:rFonts w:eastAsia="Calibri"/>
                <w:color w:val="0000FF"/>
              </w:rPr>
              <w:t>120</w:t>
            </w:r>
            <w:r w:rsidR="006E1D55" w:rsidRPr="00A23740">
              <w:rPr>
                <w:rStyle w:val="KonuBalChar"/>
                <w:rFonts w:eastAsia="Calibri"/>
              </w:rPr>
              <w:t xml:space="preserve"> </w:t>
            </w:r>
            <w:r w:rsidR="006E1D55" w:rsidRPr="00E65BE7">
              <w:rPr>
                <w:rStyle w:val="KonuBalChar"/>
                <w:rFonts w:eastAsia="Calibri"/>
                <w:color w:val="0000FF"/>
              </w:rPr>
              <w:t>nci</w:t>
            </w:r>
            <w:r w:rsidRPr="00A23740">
              <w:rPr>
                <w:rFonts w:eastAsia="Times New Roman"/>
                <w:b/>
                <w:bCs/>
                <w:color w:val="0000FF"/>
                <w:szCs w:val="24"/>
                <w:lang w:eastAsia="x-none"/>
              </w:rPr>
              <w:t xml:space="preserve"> madde kıyasen uygulanır.</w:t>
            </w:r>
          </w:p>
          <w:p w:rsidR="00A46C6E" w:rsidRPr="00A23740" w:rsidRDefault="00A46C6E" w:rsidP="009431FF">
            <w:pPr>
              <w:rPr>
                <w:rFonts w:eastAsia="Times New Roman"/>
                <w:b/>
                <w:bCs/>
                <w:color w:val="FF0000"/>
                <w:szCs w:val="24"/>
                <w:lang w:eastAsia="x-none"/>
              </w:rPr>
            </w:pPr>
          </w:p>
          <w:p w:rsidR="00A55E8F" w:rsidRDefault="00A46C6E" w:rsidP="009431FF">
            <w:pPr>
              <w:rPr>
                <w:rFonts w:eastAsia="Times New Roman"/>
                <w:szCs w:val="24"/>
                <w:lang w:eastAsia="tr-TR"/>
              </w:rPr>
            </w:pPr>
            <w:r w:rsidRPr="00A23740">
              <w:rPr>
                <w:rFonts w:eastAsia="Times New Roman"/>
                <w:b/>
                <w:bCs/>
                <w:color w:val="0000FF"/>
                <w:szCs w:val="24"/>
                <w:lang w:eastAsia="tr-TR"/>
              </w:rPr>
              <w:t>(3)</w:t>
            </w:r>
            <w:r w:rsidRPr="00A23740">
              <w:rPr>
                <w:rFonts w:eastAsia="Times New Roman"/>
                <w:szCs w:val="24"/>
                <w:lang w:eastAsia="tr-TR"/>
              </w:rPr>
              <w:t xml:space="preserve"> Gemi alacaklıları ile alacakları gemi üzerinde hapis hakkı</w:t>
            </w:r>
            <w:r w:rsidR="00392D49" w:rsidRPr="00E65BE7">
              <w:rPr>
                <w:rFonts w:eastAsia="Times New Roman"/>
                <w:b/>
                <w:color w:val="0000FF"/>
                <w:szCs w:val="24"/>
                <w:lang w:eastAsia="tr-TR"/>
              </w:rPr>
              <w:t>yla</w:t>
            </w:r>
            <w:r w:rsidRPr="00A23740">
              <w:rPr>
                <w:rFonts w:eastAsia="Times New Roman"/>
                <w:szCs w:val="24"/>
                <w:lang w:eastAsia="tr-TR"/>
              </w:rPr>
              <w:t xml:space="preserve"> temin edilmiş olan alacaklılar, ihtiyati haczi tamamlamak veya alacağı doğrudan takip etmek için taşınır rehninin paraya çevrilmesi yoluyla takip yapabilirler. Bu hüküm, </w:t>
            </w:r>
            <w:r w:rsidRPr="00A23740">
              <w:rPr>
                <w:rFonts w:eastAsia="Times New Roman"/>
                <w:b/>
                <w:bCs/>
                <w:color w:val="0000FF"/>
                <w:szCs w:val="24"/>
                <w:lang w:eastAsia="tr-TR"/>
              </w:rPr>
              <w:t xml:space="preserve">bayrağına ve sicile kayıtlı olup olmadığına bakılmaksızın </w:t>
            </w:r>
            <w:r w:rsidRPr="00A23740">
              <w:rPr>
                <w:rFonts w:eastAsia="Times New Roman"/>
                <w:szCs w:val="24"/>
                <w:lang w:eastAsia="tr-TR"/>
              </w:rPr>
              <w:t>bütün gemilere uygulanır.</w:t>
            </w:r>
          </w:p>
          <w:p w:rsidR="00A46C6E" w:rsidRDefault="00A46C6E" w:rsidP="009431FF">
            <w:pPr>
              <w:rPr>
                <w:rFonts w:eastAsia="Times New Roman"/>
                <w:b/>
                <w:bCs/>
                <w:color w:val="0000FF"/>
                <w:szCs w:val="24"/>
                <w:lang w:eastAsia="tr-TR"/>
              </w:rPr>
            </w:pPr>
            <w:r w:rsidRPr="00A23740">
              <w:rPr>
                <w:rFonts w:eastAsia="Times New Roman"/>
                <w:b/>
                <w:bCs/>
                <w:color w:val="0000FF"/>
                <w:szCs w:val="24"/>
                <w:lang w:eastAsia="tr-TR"/>
              </w:rPr>
              <w:t>(4)</w:t>
            </w:r>
            <w:r w:rsidRPr="00A23740">
              <w:rPr>
                <w:rFonts w:eastAsia="Times New Roman"/>
                <w:szCs w:val="24"/>
                <w:lang w:eastAsia="tr-TR"/>
              </w:rPr>
              <w:t xml:space="preserve"> </w:t>
            </w:r>
            <w:r w:rsidR="00EE710D" w:rsidRPr="00E65BE7">
              <w:rPr>
                <w:rStyle w:val="YELChar"/>
                <w:color w:val="0000FF"/>
              </w:rPr>
              <w:t>Sözleşmeden veya kanundan doğan</w:t>
            </w:r>
            <w:r w:rsidRPr="00A23740">
              <w:rPr>
                <w:rFonts w:eastAsia="Times New Roman"/>
                <w:szCs w:val="24"/>
                <w:lang w:eastAsia="tr-TR"/>
              </w:rPr>
              <w:t xml:space="preserve"> gemi ipoteği alacaklıları, ipoteğin paraya çevrilmesi yoluyla takip yapabilirler. Bu hüküm, </w:t>
            </w:r>
            <w:r w:rsidRPr="00A23740">
              <w:rPr>
                <w:rFonts w:eastAsia="Times New Roman"/>
                <w:b/>
                <w:bCs/>
                <w:color w:val="0000FF"/>
                <w:szCs w:val="24"/>
                <w:lang w:eastAsia="tr-TR"/>
              </w:rPr>
              <w:t>bayrağına bakılmaksızın</w:t>
            </w:r>
            <w:r w:rsidRPr="00A23740">
              <w:rPr>
                <w:rFonts w:eastAsia="Times New Roman"/>
                <w:szCs w:val="24"/>
                <w:lang w:eastAsia="tr-TR"/>
              </w:rPr>
              <w:t xml:space="preserve"> bütün gemilere uygulanır.</w:t>
            </w:r>
          </w:p>
          <w:p w:rsidR="00B569B2" w:rsidRPr="00A23740" w:rsidRDefault="00B569B2" w:rsidP="009431FF">
            <w:pPr>
              <w:rPr>
                <w:rFonts w:eastAsia="Times New Roman"/>
                <w:b/>
                <w:bCs/>
                <w:color w:val="0000FF"/>
                <w:szCs w:val="24"/>
                <w:lang w:eastAsia="tr-TR"/>
              </w:rPr>
            </w:pPr>
          </w:p>
          <w:p w:rsidR="00A46C6E" w:rsidRPr="00A23740" w:rsidRDefault="00A46C6E" w:rsidP="009431FF">
            <w:pPr>
              <w:rPr>
                <w:b/>
                <w:bCs/>
                <w:color w:val="0000FF"/>
                <w:szCs w:val="24"/>
                <w:lang w:eastAsia="x-none"/>
              </w:rPr>
            </w:pPr>
            <w:r w:rsidRPr="00A23740">
              <w:rPr>
                <w:rFonts w:eastAsia="Times New Roman"/>
                <w:b/>
                <w:bCs/>
                <w:color w:val="0000FF"/>
                <w:szCs w:val="24"/>
                <w:lang w:eastAsia="tr-TR"/>
              </w:rPr>
              <w:t xml:space="preserve">(5) Kanundan doğan </w:t>
            </w:r>
            <w:r w:rsidRPr="00A23740">
              <w:rPr>
                <w:rFonts w:eastAsia="Times New Roman"/>
                <w:szCs w:val="24"/>
                <w:lang w:eastAsia="tr-TR"/>
              </w:rPr>
              <w:t xml:space="preserve">rehin hakkına sahip </w:t>
            </w:r>
            <w:r w:rsidRPr="00A23740">
              <w:rPr>
                <w:rFonts w:eastAsia="Times New Roman"/>
                <w:b/>
                <w:bCs/>
                <w:color w:val="0000FF"/>
                <w:szCs w:val="24"/>
                <w:lang w:eastAsia="tr-TR"/>
              </w:rPr>
              <w:t>gemi</w:t>
            </w:r>
            <w:r w:rsidRPr="00A23740">
              <w:rPr>
                <w:rFonts w:eastAsia="Times New Roman"/>
                <w:szCs w:val="24"/>
                <w:lang w:eastAsia="tr-TR"/>
              </w:rPr>
              <w:t xml:space="preserve"> alacaklılar</w:t>
            </w:r>
            <w:r w:rsidRPr="00A23740">
              <w:rPr>
                <w:rFonts w:eastAsia="Times New Roman"/>
                <w:b/>
                <w:bCs/>
                <w:color w:val="0000FF"/>
                <w:szCs w:val="24"/>
                <w:lang w:eastAsia="tr-TR"/>
              </w:rPr>
              <w:t>ı,</w:t>
            </w:r>
            <w:r w:rsidRPr="00A23740">
              <w:rPr>
                <w:rFonts w:eastAsia="Times New Roman"/>
                <w:szCs w:val="24"/>
                <w:lang w:eastAsia="tr-TR"/>
              </w:rPr>
              <w:t xml:space="preserve"> haciz </w:t>
            </w:r>
            <w:r w:rsidR="00EE710D" w:rsidRPr="00E65BE7">
              <w:rPr>
                <w:rStyle w:val="YELChar"/>
                <w:color w:val="0000FF"/>
              </w:rPr>
              <w:t>yoluyla da</w:t>
            </w:r>
            <w:r w:rsidRPr="00A23740">
              <w:rPr>
                <w:rFonts w:eastAsia="Times New Roman"/>
                <w:szCs w:val="24"/>
                <w:lang w:eastAsia="tr-TR"/>
              </w:rPr>
              <w:t xml:space="preserve"> takip yapabilirler;</w:t>
            </w:r>
            <w:r w:rsidRPr="00A23740">
              <w:rPr>
                <w:rFonts w:eastAsia="Times New Roman"/>
                <w:b/>
                <w:bCs/>
                <w:color w:val="0000FF"/>
                <w:szCs w:val="24"/>
                <w:lang w:eastAsia="tr-TR"/>
              </w:rPr>
              <w:t xml:space="preserve"> </w:t>
            </w:r>
            <w:r w:rsidRPr="00A23740">
              <w:rPr>
                <w:rFonts w:eastAsia="Times New Roman"/>
                <w:szCs w:val="24"/>
                <w:lang w:eastAsia="tr-TR"/>
              </w:rPr>
              <w:t>bu takdirde kanunî rehin hakkından feragat etmiş olurlar.</w:t>
            </w:r>
          </w:p>
          <w:p w:rsidR="00A46C6E" w:rsidRPr="00A23740" w:rsidRDefault="00A46C6E" w:rsidP="009431FF">
            <w:pPr>
              <w:rPr>
                <w:b/>
                <w:bCs/>
                <w:color w:val="0000FF"/>
                <w:szCs w:val="24"/>
                <w:lang w:eastAsia="x-none"/>
              </w:rPr>
            </w:pPr>
          </w:p>
          <w:p w:rsidR="00A46C6E" w:rsidRPr="00A23740" w:rsidRDefault="00A46C6E" w:rsidP="009431FF">
            <w:pPr>
              <w:rPr>
                <w:rFonts w:eastAsia="Times New Roman"/>
                <w:szCs w:val="24"/>
                <w:lang w:eastAsia="tr-TR"/>
              </w:rPr>
            </w:pPr>
            <w:r w:rsidRPr="00A23740">
              <w:rPr>
                <w:b/>
                <w:bCs/>
                <w:color w:val="0000FF"/>
                <w:szCs w:val="24"/>
                <w:lang w:eastAsia="x-none"/>
              </w:rPr>
              <w:t xml:space="preserve">(6) </w:t>
            </w:r>
            <w:r w:rsidRPr="00A23740">
              <w:rPr>
                <w:b/>
                <w:bCs/>
                <w:color w:val="0000FF"/>
                <w:lang w:val="x-none" w:eastAsia="x-none"/>
              </w:rPr>
              <w:t>Alacaklı, alacağı</w:t>
            </w:r>
            <w:r w:rsidRPr="00A23740">
              <w:rPr>
                <w:rFonts w:eastAsia="Times New Roman"/>
                <w:szCs w:val="24"/>
                <w:lang w:eastAsia="tr-TR"/>
              </w:rPr>
              <w:t xml:space="preserve"> gemi üzerinde </w:t>
            </w:r>
            <w:r w:rsidR="00EE710D" w:rsidRPr="00E65BE7">
              <w:rPr>
                <w:rStyle w:val="YELChar"/>
                <w:color w:val="0000FF"/>
              </w:rPr>
              <w:t>sözleşmeden veya kanundan doğan</w:t>
            </w:r>
            <w:r w:rsidRPr="00A23740">
              <w:rPr>
                <w:rFonts w:eastAsia="Times New Roman"/>
                <w:szCs w:val="24"/>
                <w:lang w:eastAsia="tr-TR"/>
              </w:rPr>
              <w:t xml:space="preserve"> rehin </w:t>
            </w:r>
            <w:r w:rsidR="00EE710D" w:rsidRPr="00E65BE7">
              <w:rPr>
                <w:rStyle w:val="YELChar"/>
                <w:color w:val="0000FF"/>
              </w:rPr>
              <w:t>hakkıyla</w:t>
            </w:r>
            <w:r w:rsidR="00EE710D" w:rsidRPr="00A23740">
              <w:rPr>
                <w:rFonts w:eastAsia="Times New Roman"/>
                <w:b/>
                <w:bCs/>
                <w:color w:val="0000FF"/>
                <w:szCs w:val="24"/>
                <w:lang w:eastAsia="tr-TR"/>
              </w:rPr>
              <w:t xml:space="preserve"> </w:t>
            </w:r>
            <w:r w:rsidRPr="00A23740">
              <w:rPr>
                <w:rFonts w:eastAsia="Times New Roman"/>
                <w:b/>
                <w:bCs/>
                <w:color w:val="0000FF"/>
                <w:szCs w:val="24"/>
                <w:lang w:eastAsia="tr-TR"/>
              </w:rPr>
              <w:t>temin edilmiş olsa dahi</w:t>
            </w:r>
            <w:r w:rsidR="00A55E8F">
              <w:rPr>
                <w:rFonts w:eastAsia="Times New Roman"/>
                <w:szCs w:val="24"/>
                <w:lang w:eastAsia="tr-TR"/>
              </w:rPr>
              <w:t xml:space="preserve"> iflas yoluyla takip yapabilir.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19" w:name="_Hlk134297652"/>
          </w:p>
          <w:p w:rsidR="00A46C6E" w:rsidRPr="00A23740" w:rsidRDefault="003B700B" w:rsidP="009431FF">
            <w:pPr>
              <w:ind w:firstLine="709"/>
              <w:rPr>
                <w:rFonts w:eastAsia="Times New Roman"/>
                <w:b/>
                <w:szCs w:val="24"/>
              </w:rPr>
            </w:pPr>
            <w:r w:rsidRPr="00A23740">
              <w:rPr>
                <w:rFonts w:eastAsia="Times New Roman"/>
                <w:b/>
                <w:szCs w:val="24"/>
              </w:rPr>
              <w:t>MADDE 471</w:t>
            </w:r>
            <w:r w:rsidR="00A46C6E" w:rsidRPr="00A23740">
              <w:rPr>
                <w:rFonts w:eastAsia="Times New Roman"/>
                <w:b/>
                <w:szCs w:val="24"/>
              </w:rPr>
              <w:t xml:space="preserve">- </w:t>
            </w:r>
            <w:bookmarkStart w:id="20" w:name="_Hlk172719495"/>
            <w:r w:rsidR="00A46C6E" w:rsidRPr="00A23740">
              <w:rPr>
                <w:rFonts w:eastAsia="Times New Roman"/>
                <w:szCs w:val="24"/>
              </w:rPr>
              <w:t>Maddeyle, rehinli alacakların takibine ilişkin hususlar düzenlenmektedir.</w:t>
            </w:r>
            <w:bookmarkEnd w:id="20"/>
          </w:p>
          <w:bookmarkEnd w:id="19"/>
          <w:p w:rsidR="00A46C6E" w:rsidRPr="00A23740" w:rsidRDefault="00A46C6E" w:rsidP="009431FF">
            <w:pPr>
              <w:ind w:firstLine="567"/>
              <w:rPr>
                <w:rFonts w:eastAsia="Times New Roman"/>
                <w:szCs w:val="24"/>
              </w:rPr>
            </w:pPr>
            <w:r w:rsidRPr="00A23740">
              <w:rPr>
                <w:rFonts w:eastAsia="Times New Roman"/>
                <w:szCs w:val="24"/>
              </w:rPr>
              <w:t>Taslağın “Rehin hakkındaki terimler” başlıklı 110 uncu</w:t>
            </w:r>
            <w:r w:rsidR="006E1D55" w:rsidRPr="00A23740">
              <w:rPr>
                <w:rFonts w:eastAsia="Times New Roman"/>
                <w:szCs w:val="24"/>
              </w:rPr>
              <w:t xml:space="preserve"> </w:t>
            </w:r>
            <w:r w:rsidRPr="00A23740">
              <w:rPr>
                <w:rFonts w:eastAsia="Times New Roman"/>
                <w:szCs w:val="24"/>
              </w:rPr>
              <w:t xml:space="preserve">maddesinin (b) bendinde “Taşınır rehni” teriminin, hapis hakkını da ifade ettiği hüküm altına alınmış olup, bu maddenin (c) bendine göre sadece “rehin” terimi, “ipotek” ve “taşınır rehni” terimlerine giren bütün taşınır ve taşınmaz rehinlerini ifade eder. Bu nedenle maddenin birinci fıkrasında, </w:t>
            </w:r>
            <w:r w:rsidRPr="00A23740">
              <w:rPr>
                <w:rFonts w:eastAsia="Times New Roman"/>
                <w:bCs/>
                <w:szCs w:val="24"/>
              </w:rPr>
              <w:t>6102 sayılı Kanunun</w:t>
            </w:r>
            <w:r w:rsidRPr="00A23740">
              <w:rPr>
                <w:rFonts w:eastAsia="Times New Roman"/>
                <w:szCs w:val="24"/>
              </w:rPr>
              <w:t xml:space="preserve"> 1377 nci maddesinin birinci fıkrasında yer alan “</w:t>
            </w:r>
            <w:r w:rsidRPr="00A23740">
              <w:rPr>
                <w:rFonts w:eastAsia="Times New Roman"/>
                <w:i/>
                <w:iCs/>
                <w:szCs w:val="24"/>
              </w:rPr>
              <w:t>Gemi üzerinde, kanun veya sözleşme uyarınca doğan veya mahkemece tesciline karar verilen bütün rehin ve hapis hakları</w:t>
            </w:r>
            <w:r w:rsidRPr="00A23740">
              <w:rPr>
                <w:rFonts w:eastAsia="Times New Roman"/>
                <w:szCs w:val="24"/>
              </w:rPr>
              <w:t>, …” ibaresi yerine “</w:t>
            </w:r>
            <w:r w:rsidRPr="00A23740">
              <w:rPr>
                <w:rFonts w:eastAsia="Times New Roman"/>
                <w:i/>
                <w:iCs/>
                <w:szCs w:val="24"/>
              </w:rPr>
              <w:t>Gemi üzerinde kanun veya sözleşmeden doğan veya mahkemece tesciline karar verilen bütün rehin hakları</w:t>
            </w:r>
            <w:r w:rsidRPr="00A23740">
              <w:rPr>
                <w:rFonts w:eastAsia="Times New Roman"/>
                <w:szCs w:val="24"/>
              </w:rPr>
              <w:t xml:space="preserve">, …” ibaresi kullanılmıştır. Aynı nedenle </w:t>
            </w:r>
            <w:r w:rsidRPr="00A23740">
              <w:rPr>
                <w:rFonts w:eastAsia="Times New Roman"/>
                <w:bCs/>
                <w:szCs w:val="24"/>
              </w:rPr>
              <w:t xml:space="preserve">6102 sayılı Kanunun </w:t>
            </w:r>
            <w:r w:rsidRPr="00A23740">
              <w:rPr>
                <w:rFonts w:eastAsia="Times New Roman"/>
                <w:szCs w:val="24"/>
              </w:rPr>
              <w:t>1377 nci maddesinin ikinci fıkrası da “</w:t>
            </w:r>
            <w:r w:rsidRPr="00A23740">
              <w:rPr>
                <w:rFonts w:eastAsia="Times New Roman"/>
                <w:i/>
                <w:iCs/>
                <w:szCs w:val="24"/>
              </w:rPr>
              <w:t>Birinci fıkrada belirtilen rehin ve hapis haklarının</w:t>
            </w:r>
            <w:r w:rsidRPr="00A23740">
              <w:rPr>
                <w:rFonts w:eastAsia="Times New Roman"/>
                <w:szCs w:val="24"/>
              </w:rPr>
              <w:t>, …” ibaresi, “</w:t>
            </w:r>
            <w:r w:rsidRPr="00A23740">
              <w:rPr>
                <w:rFonts w:eastAsia="Times New Roman"/>
                <w:i/>
                <w:iCs/>
                <w:szCs w:val="24"/>
              </w:rPr>
              <w:t>Gemi üzerindeki rehin haklarının</w:t>
            </w:r>
            <w:r w:rsidRPr="00A23740">
              <w:rPr>
                <w:rFonts w:eastAsia="Times New Roman"/>
                <w:szCs w:val="24"/>
              </w:rPr>
              <w:t xml:space="preserve"> …” şeklinde değiştirilerek bu maddenin ikinci fıkrasına alınmıştır. </w:t>
            </w:r>
          </w:p>
          <w:p w:rsidR="00A46C6E" w:rsidRPr="00A23740" w:rsidRDefault="00A46C6E" w:rsidP="009431FF">
            <w:pPr>
              <w:ind w:firstLine="567"/>
              <w:rPr>
                <w:rFonts w:eastAsia="Times New Roman"/>
                <w:szCs w:val="24"/>
              </w:rPr>
            </w:pPr>
            <w:r w:rsidRPr="00A23740">
              <w:rPr>
                <w:rFonts w:eastAsia="Times New Roman"/>
                <w:szCs w:val="24"/>
              </w:rPr>
              <w:t>2004 sayılı Kanunda taşınır rehninin ve ipoteğin paraya çevrilmesine ilişkin müşterek hükümler kapsamında “</w:t>
            </w:r>
            <w:r w:rsidRPr="00A23740">
              <w:rPr>
                <w:rFonts w:eastAsia="Times New Roman"/>
                <w:i/>
                <w:iCs/>
                <w:szCs w:val="24"/>
              </w:rPr>
              <w:t>alacağın veya rehnin ilamla tesbit edilmiş olması</w:t>
            </w:r>
            <w:r w:rsidRPr="00A23740">
              <w:rPr>
                <w:rFonts w:eastAsia="Times New Roman"/>
                <w:szCs w:val="24"/>
              </w:rPr>
              <w:t>” başlıklı 150/h maddesinde “</w:t>
            </w:r>
            <w:r w:rsidRPr="00A23740">
              <w:rPr>
                <w:rFonts w:eastAsia="Times New Roman"/>
                <w:i/>
                <w:iCs/>
                <w:szCs w:val="24"/>
              </w:rPr>
              <w:t>alacağın veya rehin hakkının yahut her ikisinin bir ilam veya ilam mahiyetini h</w:t>
            </w:r>
            <w:r w:rsidR="00535D4A" w:rsidRPr="00A23740">
              <w:rPr>
                <w:rFonts w:eastAsia="Times New Roman"/>
                <w:i/>
                <w:iCs/>
                <w:szCs w:val="24"/>
              </w:rPr>
              <w:t>aiz bir belgede tesbit olması hâ</w:t>
            </w:r>
            <w:r w:rsidRPr="00A23740">
              <w:rPr>
                <w:rFonts w:eastAsia="Times New Roman"/>
                <w:i/>
                <w:iCs/>
                <w:szCs w:val="24"/>
              </w:rPr>
              <w:t>linde ilamların icrasına dair hükümlerin kıyasen uygulanacağı</w:t>
            </w:r>
            <w:r w:rsidRPr="00A23740">
              <w:rPr>
                <w:rFonts w:eastAsia="Times New Roman"/>
                <w:szCs w:val="24"/>
              </w:rPr>
              <w:t xml:space="preserve">” hükmü yer almaktadır. Bu hüküm, 6762 sayılı </w:t>
            </w:r>
            <w:r w:rsidR="00B36EAC" w:rsidRPr="00E65BE7">
              <w:rPr>
                <w:rFonts w:eastAsia="Times New Roman"/>
                <w:szCs w:val="24"/>
              </w:rPr>
              <w:t>Kanunun</w:t>
            </w:r>
            <w:r w:rsidRPr="00A23740">
              <w:rPr>
                <w:rFonts w:eastAsia="Times New Roman"/>
                <w:szCs w:val="24"/>
              </w:rPr>
              <w:t xml:space="preserve"> yürürlüğü döneminde, 1990</w:t>
            </w:r>
            <w:r w:rsidR="00C73F93" w:rsidRPr="00A23740">
              <w:rPr>
                <w:rFonts w:eastAsia="Times New Roman"/>
                <w:szCs w:val="24"/>
              </w:rPr>
              <w:t>’</w:t>
            </w:r>
            <w:r w:rsidRPr="00A23740">
              <w:rPr>
                <w:rFonts w:eastAsia="Times New Roman"/>
                <w:szCs w:val="24"/>
              </w:rPr>
              <w:t>lı yılların başından itibaren 6762 sayılı Kanunun 1235 inci maddesi uyarınca gemi alacaklısı hakkına sahip olunduğu iddiası ile sadece kanundan doğan rehin hakkının tespiti, tanınması, tesisi gibi taleplerle açılan davaların kabulüne ve bu davalar sonucu elde edilen ilamların ilamlı icra yoluyla takibine dayanak teşkil etmiştir. Öğretide sadece kanuni rehin hakkının tesisi, tanınması veya tespiti gibi taleplerle açılan davaların kabulünün hukuka aykırı olduğu ifade edilmiş ise d</w:t>
            </w:r>
            <w:r w:rsidR="00335C53" w:rsidRPr="00A23740">
              <w:rPr>
                <w:rFonts w:eastAsia="Times New Roman"/>
                <w:szCs w:val="24"/>
              </w:rPr>
              <w:t>e</w:t>
            </w:r>
            <w:r w:rsidR="008F096E" w:rsidRPr="00A23740">
              <w:rPr>
                <w:rFonts w:eastAsia="Times New Roman"/>
                <w:szCs w:val="24"/>
              </w:rPr>
              <w:t>,</w:t>
            </w:r>
            <w:r w:rsidRPr="00A23740">
              <w:rPr>
                <w:rFonts w:eastAsia="Times New Roman"/>
                <w:szCs w:val="24"/>
              </w:rPr>
              <w:t xml:space="preserve"> bu uygulama 6102 sayılı </w:t>
            </w:r>
            <w:r w:rsidR="00B36EAC" w:rsidRPr="00E65BE7">
              <w:rPr>
                <w:rFonts w:eastAsia="Times New Roman"/>
                <w:szCs w:val="24"/>
              </w:rPr>
              <w:t>Kanunun</w:t>
            </w:r>
            <w:r w:rsidR="00B36EAC" w:rsidRPr="00A23740">
              <w:rPr>
                <w:rFonts w:eastAsia="Times New Roman"/>
                <w:szCs w:val="24"/>
              </w:rPr>
              <w:t xml:space="preserve"> </w:t>
            </w:r>
            <w:r w:rsidRPr="00A23740">
              <w:rPr>
                <w:rFonts w:eastAsia="Times New Roman"/>
                <w:szCs w:val="24"/>
              </w:rPr>
              <w:t xml:space="preserve">yürürlüğe girdiği tarihe kadar devam etmiştir. 2004 sayılı Kanunun 150/h maddesinden kaynaklanan bu uygulama sebebiyle </w:t>
            </w:r>
            <w:r w:rsidRPr="00A23740">
              <w:rPr>
                <w:rFonts w:eastAsia="Times New Roman"/>
                <w:bCs/>
                <w:szCs w:val="24"/>
              </w:rPr>
              <w:t>6102 sayılı Kanunun</w:t>
            </w:r>
            <w:r w:rsidRPr="00A23740">
              <w:rPr>
                <w:rFonts w:eastAsia="Times New Roman"/>
                <w:szCs w:val="24"/>
              </w:rPr>
              <w:t xml:space="preserve"> 1377 nci maddesinin birinci fıkrasına yer verilmiştir. Ancak 2004 sayılı Kanunun 150/h maddesi, Taslağın “</w:t>
            </w:r>
            <w:r w:rsidRPr="00A23740">
              <w:rPr>
                <w:rFonts w:eastAsia="Times New Roman"/>
                <w:i/>
                <w:iCs/>
                <w:szCs w:val="24"/>
              </w:rPr>
              <w:t>İlamlı takibe ilişkin hükümlerin uygulanacağı diğer hâller</w:t>
            </w:r>
            <w:r w:rsidRPr="00A23740">
              <w:rPr>
                <w:rFonts w:eastAsia="Times New Roman"/>
                <w:szCs w:val="24"/>
              </w:rPr>
              <w:t>” başlıklı 133 üncü</w:t>
            </w:r>
            <w:r w:rsidR="00C73F93" w:rsidRPr="00A23740">
              <w:rPr>
                <w:rFonts w:eastAsia="Times New Roman"/>
                <w:szCs w:val="24"/>
              </w:rPr>
              <w:t xml:space="preserve"> </w:t>
            </w:r>
            <w:r w:rsidRPr="00A23740">
              <w:rPr>
                <w:rFonts w:eastAsia="Times New Roman"/>
                <w:szCs w:val="24"/>
              </w:rPr>
              <w:t>maddesine</w:t>
            </w:r>
            <w:r w:rsidR="008F096E" w:rsidRPr="00A23740">
              <w:rPr>
                <w:rFonts w:eastAsia="Times New Roman"/>
                <w:szCs w:val="24"/>
              </w:rPr>
              <w:t>;</w:t>
            </w:r>
            <w:r w:rsidRPr="00A23740">
              <w:rPr>
                <w:rFonts w:eastAsia="Times New Roman"/>
                <w:szCs w:val="24"/>
              </w:rPr>
              <w:t xml:space="preserve"> “(a) </w:t>
            </w:r>
            <w:r w:rsidRPr="00A23740">
              <w:rPr>
                <w:rFonts w:eastAsia="Times New Roman"/>
                <w:i/>
                <w:iCs/>
                <w:szCs w:val="24"/>
              </w:rPr>
              <w:t xml:space="preserve">alacağın ve taşınır rehni hakkının bir ilamda veya ilam niteliğinde belgede tespit edilmiş olması </w:t>
            </w:r>
            <w:r w:rsidRPr="00A23740">
              <w:rPr>
                <w:rFonts w:eastAsia="Times New Roman"/>
                <w:szCs w:val="24"/>
              </w:rPr>
              <w:t>ya da</w:t>
            </w:r>
            <w:r w:rsidRPr="00A23740">
              <w:rPr>
                <w:rFonts w:eastAsia="Times New Roman"/>
                <w:i/>
                <w:iCs/>
                <w:szCs w:val="24"/>
              </w:rPr>
              <w:t xml:space="preserve"> </w:t>
            </w:r>
            <w:r w:rsidRPr="00A23740">
              <w:rPr>
                <w:rFonts w:eastAsia="Times New Roman"/>
                <w:szCs w:val="24"/>
              </w:rPr>
              <w:t>(b)</w:t>
            </w:r>
            <w:r w:rsidRPr="00A23740">
              <w:rPr>
                <w:rFonts w:eastAsia="Times New Roman"/>
                <w:i/>
                <w:iCs/>
                <w:szCs w:val="24"/>
              </w:rPr>
              <w:t xml:space="preserve"> alacağın bir ilamda veya ilam niteliğindeki belgede tespit edilmiş ve bu alacağa ilişkin bir ipotek kurulmuş olması</w:t>
            </w:r>
            <w:r w:rsidR="008F096E" w:rsidRPr="00A23740">
              <w:rPr>
                <w:rFonts w:eastAsia="Times New Roman"/>
                <w:iCs/>
                <w:szCs w:val="24"/>
              </w:rPr>
              <w:t>”</w:t>
            </w:r>
            <w:r w:rsidRPr="00A23740">
              <w:rPr>
                <w:rFonts w:eastAsia="Times New Roman"/>
                <w:i/>
                <w:iCs/>
                <w:szCs w:val="24"/>
              </w:rPr>
              <w:t xml:space="preserve"> </w:t>
            </w:r>
            <w:r w:rsidRPr="00A23740">
              <w:rPr>
                <w:rFonts w:eastAsia="Times New Roman"/>
                <w:szCs w:val="24"/>
              </w:rPr>
              <w:t>hâllerinde ilamların icrası hakkındaki hükümlerin uygulanacağı şeklinde değiştirilerek alınmıştır. Dolayısıyla</w:t>
            </w:r>
            <w:r w:rsidR="008F096E" w:rsidRPr="00A23740">
              <w:rPr>
                <w:rFonts w:eastAsia="Times New Roman"/>
                <w:szCs w:val="24"/>
              </w:rPr>
              <w:t>,</w:t>
            </w:r>
            <w:r w:rsidRPr="00A23740">
              <w:rPr>
                <w:rFonts w:eastAsia="Times New Roman"/>
                <w:szCs w:val="24"/>
              </w:rPr>
              <w:t xml:space="preserve"> Taslağın 133 üncü maddesine göre, sadece taşınır rehni hakkını tespit eden bir ilam veya ilam niteliğindeki belgeye dayanarak ilamların icrası yoluyla takip mümkün olmayacaktır. Söz konusu hükümde ipotekle temin edilmiş alacaklar bakımından sadece alacağın ilam veya ilam niteliğinde bir belgede tespit edilmiş olması, ilamların icrası hakkındaki hükümlerin uygulanması için yeterli görülmüştür. Taslağın 133 üncü maddesinde getirilen bu düzenleme, 6102 sayılı</w:t>
            </w:r>
            <w:r w:rsidR="00B36EAC" w:rsidRPr="00A23740">
              <w:rPr>
                <w:rFonts w:eastAsia="Times New Roman"/>
                <w:szCs w:val="24"/>
              </w:rPr>
              <w:t xml:space="preserve"> </w:t>
            </w:r>
            <w:r w:rsidR="00B36EAC" w:rsidRPr="00E65BE7">
              <w:rPr>
                <w:rFonts w:eastAsia="Times New Roman"/>
                <w:szCs w:val="24"/>
              </w:rPr>
              <w:t>Kanunun</w:t>
            </w:r>
            <w:r w:rsidRPr="00A23740">
              <w:rPr>
                <w:rFonts w:eastAsia="Times New Roman"/>
                <w:szCs w:val="24"/>
              </w:rPr>
              <w:t xml:space="preserve"> 1320 nci maddesi uyarınca kanundan doğan rehin hakkı</w:t>
            </w:r>
            <w:r w:rsidR="008F096E" w:rsidRPr="00A23740">
              <w:rPr>
                <w:rFonts w:eastAsia="Times New Roman"/>
                <w:szCs w:val="24"/>
              </w:rPr>
              <w:t>yla</w:t>
            </w:r>
            <w:r w:rsidRPr="00A23740">
              <w:rPr>
                <w:rFonts w:eastAsia="Times New Roman"/>
                <w:szCs w:val="24"/>
              </w:rPr>
              <w:t xml:space="preserve"> temin edilmiş gemi alacaklıları ile alacakları gemi üzerinde hapis hakkı</w:t>
            </w:r>
            <w:r w:rsidR="008F096E" w:rsidRPr="00A23740">
              <w:rPr>
                <w:rFonts w:eastAsia="Times New Roman"/>
                <w:szCs w:val="24"/>
              </w:rPr>
              <w:t>yla</w:t>
            </w:r>
            <w:r w:rsidRPr="00A23740">
              <w:rPr>
                <w:rFonts w:eastAsia="Times New Roman"/>
                <w:szCs w:val="24"/>
              </w:rPr>
              <w:t xml:space="preserve"> temin edilmiş olan alacaklıların sadece rehin hakkının tespiti için dava açması ve bu dava sonucu elde edilecek ilama dayanarak ilamların icrası yoluyla takip yapması imkânını ortadan kaldırmaktadır. Taslağın 133 üncü</w:t>
            </w:r>
            <w:r w:rsidR="00C73F93" w:rsidRPr="00A23740">
              <w:rPr>
                <w:rFonts w:eastAsia="Times New Roman"/>
                <w:szCs w:val="24"/>
              </w:rPr>
              <w:t xml:space="preserve"> </w:t>
            </w:r>
            <w:r w:rsidRPr="00A23740">
              <w:rPr>
                <w:rFonts w:eastAsia="Times New Roman"/>
                <w:szCs w:val="24"/>
              </w:rPr>
              <w:t xml:space="preserve">maddesi karşısında </w:t>
            </w:r>
            <w:r w:rsidRPr="00A23740">
              <w:rPr>
                <w:rFonts w:eastAsia="Times New Roman"/>
                <w:bCs/>
                <w:szCs w:val="24"/>
              </w:rPr>
              <w:t>6102 sayılı Kanunun</w:t>
            </w:r>
            <w:r w:rsidRPr="00A23740">
              <w:rPr>
                <w:rFonts w:eastAsia="Times New Roman"/>
                <w:szCs w:val="24"/>
              </w:rPr>
              <w:t xml:space="preserve"> 1377 nci maddesinin Taslağa alınmasına gerek olmadığı açıktır. Bununla birlikte bu yönde bir hükme yer verilmemesinin tereddüde sebebiyet verme ihtimali dikkate alınarak maddenin birinci fıkrasında “</w:t>
            </w:r>
            <w:r w:rsidRPr="00A23740">
              <w:rPr>
                <w:rFonts w:eastAsia="Times New Roman"/>
                <w:i/>
                <w:iCs/>
                <w:szCs w:val="24"/>
              </w:rPr>
              <w:t>gemi üzerinde kanun veya sözleşmeden doğan veya mahkemece tesciline karar verilen bütün rehin haklarının ancak alacakla birlikte dava veya takip edilebileceği</w:t>
            </w:r>
            <w:r w:rsidRPr="00A23740">
              <w:rPr>
                <w:rFonts w:eastAsia="Times New Roman"/>
                <w:szCs w:val="24"/>
              </w:rPr>
              <w:t xml:space="preserve">” hüküm altına alınmıştır. </w:t>
            </w:r>
          </w:p>
          <w:p w:rsidR="00A46C6E" w:rsidRPr="00A23740" w:rsidRDefault="00A46C6E" w:rsidP="009431FF">
            <w:pPr>
              <w:ind w:firstLine="567"/>
              <w:rPr>
                <w:rFonts w:eastAsia="Times New Roman"/>
                <w:bCs/>
                <w:szCs w:val="24"/>
              </w:rPr>
            </w:pPr>
            <w:r w:rsidRPr="00A23740">
              <w:rPr>
                <w:rFonts w:eastAsia="Times New Roman"/>
                <w:bCs/>
                <w:szCs w:val="24"/>
              </w:rPr>
              <w:t>6102 sayılı Kanunun</w:t>
            </w:r>
            <w:r w:rsidRPr="00A23740">
              <w:rPr>
                <w:rFonts w:eastAsia="Times New Roman"/>
                <w:szCs w:val="24"/>
              </w:rPr>
              <w:t xml:space="preserve"> 1377 inci maddesinin ikinci fıkrasında alacağın ve rehin hakkının “… </w:t>
            </w:r>
            <w:r w:rsidRPr="00A23740">
              <w:rPr>
                <w:rFonts w:eastAsia="Times New Roman"/>
                <w:i/>
                <w:iCs/>
                <w:szCs w:val="24"/>
              </w:rPr>
              <w:t>gemi sicil müdürlüğünde düzenlenmiş gemi ipoteği sözleşmesinde</w:t>
            </w:r>
            <w:r w:rsidRPr="00A23740">
              <w:rPr>
                <w:rFonts w:eastAsia="Times New Roman"/>
                <w:szCs w:val="24"/>
              </w:rPr>
              <w:t xml:space="preserve"> …” tespit edilmiş olması şartı</w:t>
            </w:r>
            <w:r w:rsidR="008F096E" w:rsidRPr="00A23740">
              <w:rPr>
                <w:rFonts w:eastAsia="Times New Roman"/>
                <w:szCs w:val="24"/>
              </w:rPr>
              <w:t>yla</w:t>
            </w:r>
            <w:r w:rsidRPr="00A23740">
              <w:rPr>
                <w:rFonts w:eastAsia="Times New Roman"/>
                <w:szCs w:val="24"/>
              </w:rPr>
              <w:t xml:space="preserve"> rehnin paraya çevrilmesi yoluyla ilamlı takip yapılabileceği öngörülmüştür. </w:t>
            </w:r>
            <w:r w:rsidRPr="00A23740">
              <w:rPr>
                <w:rFonts w:eastAsia="Times New Roman"/>
              </w:rPr>
              <w:t xml:space="preserve">Ancak </w:t>
            </w:r>
            <w:r w:rsidRPr="00A23740">
              <w:rPr>
                <w:rFonts w:eastAsia="Times New Roman"/>
                <w:bCs/>
              </w:rPr>
              <w:t>6102 sayılı Kanunun</w:t>
            </w:r>
            <w:r w:rsidRPr="00A23740">
              <w:rPr>
                <w:rFonts w:eastAsia="Times New Roman"/>
              </w:rPr>
              <w:t xml:space="preserve"> gemi ipoteğinin kurulması hakkındaki 1015 inci maddesinin ikinci fıkrası “</w:t>
            </w:r>
            <w:r w:rsidRPr="00A23740">
              <w:rPr>
                <w:rFonts w:eastAsia="Times New Roman"/>
                <w:i/>
                <w:iCs/>
              </w:rPr>
              <w:t>İpoteğin kurulmasına ilişkin sözleşmelerin yazılı şekilde yapılması ve imzalarının noterce onaylanması gerekir. Bu anlaşma gemi sicil müdürlüğü önünde de yapılabilir</w:t>
            </w:r>
            <w:r w:rsidRPr="00A23740">
              <w:rPr>
                <w:rFonts w:eastAsia="Times New Roman"/>
              </w:rPr>
              <w:t xml:space="preserve">.” şeklindedir. Aynı hüküm </w:t>
            </w:r>
            <w:r w:rsidRPr="00A23740">
              <w:rPr>
                <w:rFonts w:eastAsia="Times New Roman"/>
                <w:bCs/>
              </w:rPr>
              <w:t xml:space="preserve">6102 sayılı Kanunun </w:t>
            </w:r>
            <w:r w:rsidRPr="00A23740">
              <w:rPr>
                <w:rFonts w:eastAsia="Times New Roman"/>
              </w:rPr>
              <w:t>yapı hâlindeki gemi üzerinde ipotek kurulması hakkındaki 1055 inci maddesinde de yer almaktadır. Her iki hükümde de ipotek anlaşmasının geçerliliğinin “imzaları noterce tasdikli yazılı anlaşma” olarak belirlenen şekil şartına t</w:t>
            </w:r>
            <w:r w:rsidR="00D81869" w:rsidRPr="00A23740">
              <w:rPr>
                <w:rFonts w:eastAsia="Times New Roman"/>
              </w:rPr>
              <w:t>a</w:t>
            </w:r>
            <w:r w:rsidRPr="00A23740">
              <w:rPr>
                <w:rFonts w:eastAsia="Times New Roman"/>
              </w:rPr>
              <w:t>bi olduğu öngörüldükten sonra “bu anlaşmanın sicil müdürlüğünde de yapılabileceği” hükmüne yer verilmiştir. Buna göre ipotek anlaşmasının yapılmasında sicil müdürünün işlevi, taraflarca yazılı olarak yapılmış ipotek anlaşmasında tarafların imzalarının tasdikinden ibaret olup, gemi sicil müdürü tarafından gemi ipoteği anlaşmasına ilişkin resmî senet düzenlenmesi söz konusu değildir. Taslağın 59 uncu</w:t>
            </w:r>
            <w:r w:rsidR="000904A6" w:rsidRPr="00A23740">
              <w:rPr>
                <w:rFonts w:eastAsia="Times New Roman"/>
              </w:rPr>
              <w:t xml:space="preserve"> </w:t>
            </w:r>
            <w:r w:rsidRPr="00A23740">
              <w:rPr>
                <w:rFonts w:eastAsia="Times New Roman"/>
              </w:rPr>
              <w:t xml:space="preserve">maddesinin birinci fıkrasının (b) bendine göre </w:t>
            </w:r>
            <w:r w:rsidRPr="00A23740">
              <w:rPr>
                <w:rFonts w:eastAsia="Times New Roman"/>
                <w:szCs w:val="24"/>
              </w:rPr>
              <w:t>“</w:t>
            </w:r>
            <w:r w:rsidRPr="00A23740">
              <w:rPr>
                <w:rFonts w:eastAsia="Times New Roman"/>
                <w:i/>
                <w:iCs/>
                <w:szCs w:val="24"/>
              </w:rPr>
              <w:t>kayıtsız ve şartsız borç ikrarını içeren düzenleme şeklindeki noter senetleri</w:t>
            </w:r>
            <w:r w:rsidRPr="00A23740">
              <w:rPr>
                <w:rFonts w:eastAsia="Times New Roman"/>
                <w:szCs w:val="24"/>
              </w:rPr>
              <w:t>” ilam niteliğinde belge olduğundan, g</w:t>
            </w:r>
            <w:r w:rsidRPr="00A23740">
              <w:rPr>
                <w:rFonts w:eastAsia="Times New Roman"/>
              </w:rPr>
              <w:t xml:space="preserve">emi sicili müdürü tarafından imzaların onaylanması suretiyle yapılan gemi ipoteği sözleşmesinin ilam niteliğinde belge olarak kabul edilemeyeceği açıktır. Bu nedenle </w:t>
            </w:r>
            <w:r w:rsidRPr="00A23740">
              <w:rPr>
                <w:rFonts w:eastAsia="Times New Roman"/>
                <w:bCs/>
              </w:rPr>
              <w:t>6102 sayılı Kanunun</w:t>
            </w:r>
            <w:r w:rsidRPr="00A23740">
              <w:rPr>
                <w:rFonts w:eastAsia="Times New Roman"/>
              </w:rPr>
              <w:t xml:space="preserve"> 1337 nci maddesinin</w:t>
            </w:r>
            <w:r w:rsidRPr="00A23740">
              <w:rPr>
                <w:rFonts w:eastAsia="Times New Roman"/>
                <w:szCs w:val="24"/>
              </w:rPr>
              <w:t xml:space="preserve"> ikinci fıkrasında yer alan “… </w:t>
            </w:r>
            <w:r w:rsidRPr="00A23740">
              <w:rPr>
                <w:rFonts w:eastAsia="Times New Roman"/>
                <w:i/>
                <w:iCs/>
                <w:szCs w:val="24"/>
              </w:rPr>
              <w:t>gemi sicil müdürlüğünde düzenlenmiş gemi ipoteği sözleşmesinde, …</w:t>
            </w:r>
            <w:r w:rsidRPr="00A23740">
              <w:rPr>
                <w:rFonts w:eastAsia="Times New Roman"/>
                <w:szCs w:val="24"/>
              </w:rPr>
              <w:t>” ibaresi</w:t>
            </w:r>
            <w:r w:rsidR="008F096E" w:rsidRPr="00A23740">
              <w:rPr>
                <w:rFonts w:eastAsia="Times New Roman"/>
                <w:szCs w:val="24"/>
              </w:rPr>
              <w:t>,</w:t>
            </w:r>
            <w:r w:rsidRPr="00A23740">
              <w:rPr>
                <w:rFonts w:eastAsia="Times New Roman"/>
                <w:szCs w:val="24"/>
              </w:rPr>
              <w:t xml:space="preserve"> maddenin ikinci fıkrasına alınmamıştır. Taslağın</w:t>
            </w:r>
            <w:r w:rsidR="000904A6" w:rsidRPr="00A23740">
              <w:rPr>
                <w:rFonts w:eastAsia="Times New Roman"/>
                <w:szCs w:val="24"/>
              </w:rPr>
              <w:t xml:space="preserve"> </w:t>
            </w:r>
            <w:r w:rsidRPr="00A23740">
              <w:rPr>
                <w:rFonts w:eastAsia="Times New Roman"/>
                <w:szCs w:val="24"/>
              </w:rPr>
              <w:t>120 nci</w:t>
            </w:r>
            <w:r w:rsidR="000904A6" w:rsidRPr="00A23740">
              <w:rPr>
                <w:rFonts w:eastAsia="Times New Roman"/>
                <w:szCs w:val="24"/>
              </w:rPr>
              <w:t xml:space="preserve"> </w:t>
            </w:r>
            <w:r w:rsidRPr="00A23740">
              <w:rPr>
                <w:rFonts w:eastAsia="Times New Roman"/>
                <w:szCs w:val="24"/>
              </w:rPr>
              <w:t>maddesinde</w:t>
            </w:r>
            <w:r w:rsidRPr="00A23740">
              <w:rPr>
                <w:rFonts w:eastAsia="Times New Roman"/>
                <w:bCs/>
                <w:szCs w:val="24"/>
              </w:rPr>
              <w:t xml:space="preserve"> ipoteğin paraya çevrilmesine ilişkin icra emri düzenlenmiş olup, bu maddenin </w:t>
            </w:r>
            <w:r w:rsidRPr="00A23740">
              <w:rPr>
                <w:rFonts w:eastAsia="Times New Roman"/>
                <w:szCs w:val="24"/>
              </w:rPr>
              <w:t>g</w:t>
            </w:r>
            <w:r w:rsidRPr="00A23740">
              <w:rPr>
                <w:rFonts w:eastAsia="Times New Roman"/>
                <w:bCs/>
                <w:szCs w:val="24"/>
              </w:rPr>
              <w:t>emi üzerindeki rehin haklarının ilamlı icrasında düzenlenecek icra emri hakkında da kıyasen uygulanabileceği kabul edilerek</w:t>
            </w:r>
            <w:r w:rsidR="008F096E" w:rsidRPr="00A23740">
              <w:rPr>
                <w:rFonts w:eastAsia="Times New Roman"/>
                <w:bCs/>
                <w:szCs w:val="24"/>
              </w:rPr>
              <w:t>,</w:t>
            </w:r>
            <w:r w:rsidRPr="00A23740">
              <w:rPr>
                <w:rFonts w:eastAsia="Times New Roman"/>
                <w:bCs/>
                <w:szCs w:val="24"/>
              </w:rPr>
              <w:t xml:space="preserve"> bu maddenin ikinci fıkrasında “Bu hâlde </w:t>
            </w:r>
            <w:r w:rsidR="000904A6" w:rsidRPr="00E65BE7">
              <w:rPr>
                <w:rFonts w:eastAsia="Times New Roman"/>
                <w:szCs w:val="24"/>
              </w:rPr>
              <w:t>120</w:t>
            </w:r>
            <w:r w:rsidR="000904A6" w:rsidRPr="00A23740">
              <w:rPr>
                <w:rStyle w:val="KonuBalChar"/>
                <w:rFonts w:eastAsia="Calibri"/>
              </w:rPr>
              <w:t xml:space="preserve"> </w:t>
            </w:r>
            <w:r w:rsidR="000904A6" w:rsidRPr="00E65BE7">
              <w:rPr>
                <w:rFonts w:eastAsia="Times New Roman"/>
                <w:szCs w:val="24"/>
              </w:rPr>
              <w:t>nci</w:t>
            </w:r>
            <w:r w:rsidR="000904A6" w:rsidRPr="00A23740">
              <w:rPr>
                <w:rFonts w:eastAsia="Times New Roman"/>
                <w:b/>
                <w:bCs/>
                <w:color w:val="0000FF"/>
                <w:szCs w:val="24"/>
                <w:lang w:eastAsia="x-none"/>
              </w:rPr>
              <w:t xml:space="preserve"> </w:t>
            </w:r>
            <w:r w:rsidRPr="00A23740">
              <w:rPr>
                <w:rFonts w:eastAsia="Times New Roman"/>
                <w:bCs/>
                <w:szCs w:val="24"/>
              </w:rPr>
              <w:t xml:space="preserve">madde kıyasen uygulanır.” hükmüne yer verilmiştir. </w:t>
            </w:r>
          </w:p>
          <w:p w:rsidR="00A46C6E" w:rsidRPr="00A23740" w:rsidRDefault="00A46C6E" w:rsidP="009431FF">
            <w:pPr>
              <w:ind w:firstLine="567"/>
              <w:rPr>
                <w:rFonts w:eastAsia="Times New Roman"/>
                <w:szCs w:val="24"/>
              </w:rPr>
            </w:pPr>
            <w:r w:rsidRPr="00A23740">
              <w:rPr>
                <w:rFonts w:eastAsia="Times New Roman"/>
                <w:szCs w:val="24"/>
              </w:rPr>
              <w:t xml:space="preserve">Rehinli alacaklıların olağan takip yollarına dair hükümlerden sonra başvurabilecekleri diğer takip yollarına ilişkin hükümlere yer verilmesinin uygun olduğu kabul edilerek </w:t>
            </w:r>
            <w:r w:rsidRPr="00A23740">
              <w:rPr>
                <w:rFonts w:eastAsia="Times New Roman"/>
                <w:bCs/>
                <w:szCs w:val="24"/>
              </w:rPr>
              <w:t xml:space="preserve">6102 sayılı Kanunun </w:t>
            </w:r>
            <w:r w:rsidRPr="00A23740">
              <w:rPr>
                <w:rFonts w:eastAsia="Times New Roman"/>
                <w:szCs w:val="24"/>
              </w:rPr>
              <w:t xml:space="preserve">1378 inci, 1379 uncu, 1380 inci ve 1381 inci maddelerinin alındığı fıkralar buna göre sıralanmıştır. Bu kapsamda maddenin üçüncü fıkrasının birinci cümlesi, </w:t>
            </w:r>
            <w:r w:rsidRPr="00A23740">
              <w:rPr>
                <w:rFonts w:eastAsia="Times New Roman"/>
                <w:bCs/>
                <w:szCs w:val="24"/>
              </w:rPr>
              <w:t>6102 sayılı Kanunun</w:t>
            </w:r>
            <w:r w:rsidRPr="00A23740">
              <w:rPr>
                <w:rFonts w:eastAsia="Times New Roman"/>
                <w:szCs w:val="24"/>
              </w:rPr>
              <w:t xml:space="preserve"> 1380 inci maddesinin birinci cümlesinden alınmıştır. Gemi alacaklısı hakları ve hapis hakları sicile kayıtlı olmayan gemiler üzerinde de doğduğundan, </w:t>
            </w:r>
            <w:r w:rsidRPr="00A23740">
              <w:rPr>
                <w:rFonts w:eastAsia="Times New Roman"/>
                <w:bCs/>
                <w:szCs w:val="24"/>
              </w:rPr>
              <w:t>6102 sayılı Kanunun</w:t>
            </w:r>
            <w:r w:rsidRPr="00A23740">
              <w:rPr>
                <w:rFonts w:eastAsia="Times New Roman"/>
                <w:szCs w:val="24"/>
              </w:rPr>
              <w:t xml:space="preserve"> 1380 inci maddesinin ikinci cümlesi, bu hususu da kapsayacak şekilde “</w:t>
            </w:r>
            <w:r w:rsidRPr="00A23740">
              <w:rPr>
                <w:rFonts w:eastAsia="Times New Roman"/>
                <w:i/>
                <w:iCs/>
                <w:szCs w:val="24"/>
              </w:rPr>
              <w:t>Bu hüküm, bayrağına ve sicile kayıtlı olup olmadığına bakılmaksızın bütün gemilere uygulanır</w:t>
            </w:r>
            <w:r w:rsidRPr="00A23740">
              <w:rPr>
                <w:rFonts w:eastAsia="Times New Roman"/>
                <w:szCs w:val="24"/>
              </w:rPr>
              <w:t xml:space="preserve">.” şeklinde değiştirilmiştir. </w:t>
            </w:r>
          </w:p>
          <w:p w:rsidR="00A46C6E" w:rsidRPr="00A23740" w:rsidRDefault="00A46C6E" w:rsidP="009431FF">
            <w:pPr>
              <w:ind w:firstLine="567"/>
              <w:rPr>
                <w:rFonts w:eastAsia="Times New Roman"/>
                <w:szCs w:val="24"/>
              </w:rPr>
            </w:pPr>
            <w:r w:rsidRPr="00A23740">
              <w:rPr>
                <w:rFonts w:eastAsia="Times New Roman"/>
                <w:szCs w:val="24"/>
              </w:rPr>
              <w:t xml:space="preserve">Maddenin dördüncü fıkrası, </w:t>
            </w:r>
            <w:r w:rsidRPr="00A23740">
              <w:rPr>
                <w:rFonts w:eastAsia="Times New Roman"/>
                <w:bCs/>
                <w:szCs w:val="24"/>
              </w:rPr>
              <w:t>6102 sayılı Kanunun</w:t>
            </w:r>
            <w:r w:rsidRPr="00A23740">
              <w:rPr>
                <w:rFonts w:eastAsia="Times New Roman"/>
                <w:szCs w:val="24"/>
              </w:rPr>
              <w:t xml:space="preserve"> 1381 inci maddesinden ifadesi değiştirilerek alınmıştır. </w:t>
            </w:r>
            <w:r w:rsidRPr="00A23740">
              <w:rPr>
                <w:rFonts w:eastAsia="Times New Roman"/>
                <w:bCs/>
                <w:szCs w:val="24"/>
              </w:rPr>
              <w:t>6102 sayılı Kanunun</w:t>
            </w:r>
            <w:r w:rsidRPr="00A23740">
              <w:rPr>
                <w:rFonts w:eastAsia="Times New Roman"/>
                <w:szCs w:val="24"/>
              </w:rPr>
              <w:t xml:space="preserve"> 1013 üncü maddesi uyarınca tersane sahibi, geminin yapımı ve onarımından doğan alacakları için, o gemi veya yapı üzerinde bir ipoteğin tescilini talep hakkına sahiptir. Tersane sahibinin ipotek hakkı değil, ipoteğin tescilini talep hakkı kanundan doğduğundan, tersane sahibinin ipotek hakkı da tescil</w:t>
            </w:r>
            <w:r w:rsidR="001272C2" w:rsidRPr="00A23740">
              <w:rPr>
                <w:rFonts w:eastAsia="Times New Roman"/>
                <w:szCs w:val="24"/>
              </w:rPr>
              <w:t>le</w:t>
            </w:r>
            <w:r w:rsidRPr="00A23740">
              <w:rPr>
                <w:rFonts w:eastAsia="Times New Roman"/>
                <w:szCs w:val="24"/>
              </w:rPr>
              <w:t xml:space="preserve"> kurulur. Buna göre </w:t>
            </w:r>
            <w:r w:rsidRPr="00A23740">
              <w:rPr>
                <w:rFonts w:eastAsia="Times New Roman"/>
                <w:bCs/>
                <w:szCs w:val="24"/>
              </w:rPr>
              <w:t xml:space="preserve">6102 sayılı Kanunun </w:t>
            </w:r>
            <w:r w:rsidRPr="00A23740">
              <w:rPr>
                <w:rFonts w:eastAsia="Times New Roman"/>
                <w:szCs w:val="24"/>
              </w:rPr>
              <w:t xml:space="preserve">1381 inci maddesinde yer alan “kanuni gemi ipoteği” ifadesi doğru olmamakla birlikte, yerleşmiş olması ve </w:t>
            </w:r>
            <w:r w:rsidRPr="00A23740">
              <w:rPr>
                <w:rFonts w:eastAsia="Times New Roman"/>
                <w:bCs/>
                <w:szCs w:val="24"/>
              </w:rPr>
              <w:t xml:space="preserve">6102 sayılı Kanunda </w:t>
            </w:r>
            <w:r w:rsidRPr="00A23740">
              <w:rPr>
                <w:rFonts w:eastAsia="Times New Roman"/>
                <w:szCs w:val="24"/>
              </w:rPr>
              <w:t xml:space="preserve">da kullanılması sebebiyle bu ifadenin değiştirilmemesine karar verilmiştir. </w:t>
            </w:r>
          </w:p>
          <w:p w:rsidR="00A46C6E" w:rsidRPr="00A23740" w:rsidRDefault="00A46C6E" w:rsidP="009431FF">
            <w:pPr>
              <w:ind w:firstLine="567"/>
              <w:rPr>
                <w:rFonts w:eastAsia="Times New Roman"/>
                <w:szCs w:val="24"/>
              </w:rPr>
            </w:pPr>
            <w:r w:rsidRPr="00A23740">
              <w:rPr>
                <w:rFonts w:eastAsia="Times New Roman"/>
                <w:szCs w:val="24"/>
              </w:rPr>
              <w:t>Gemilerin bulundukları yerlerden kısa sürede ayrılıp sür</w:t>
            </w:r>
            <w:r w:rsidR="00535D4A" w:rsidRPr="00A23740">
              <w:rPr>
                <w:rFonts w:eastAsia="Times New Roman"/>
                <w:szCs w:val="24"/>
              </w:rPr>
              <w:t>ekli seyir hâ</w:t>
            </w:r>
            <w:r w:rsidRPr="00A23740">
              <w:rPr>
                <w:rFonts w:eastAsia="Times New Roman"/>
                <w:szCs w:val="24"/>
              </w:rPr>
              <w:t xml:space="preserve">linde olmaları sebebiyle rehin konusu gemilerin ele geçirilmesindeki güçlük dikkate alınarak 6762 sayılı </w:t>
            </w:r>
            <w:r w:rsidRPr="00A23740">
              <w:rPr>
                <w:rFonts w:eastAsia="Times New Roman"/>
                <w:bCs/>
                <w:szCs w:val="24"/>
              </w:rPr>
              <w:t>Kanunun</w:t>
            </w:r>
            <w:r w:rsidRPr="00A23740">
              <w:rPr>
                <w:rFonts w:eastAsia="Times New Roman"/>
                <w:szCs w:val="24"/>
              </w:rPr>
              <w:t xml:space="preserve"> 1242 nci maddesinin ikinci fıkrasında kanundan doğan rehin hakkına sahip gemi alacaklıları bakımından önce rehne başvuru kuralına istisna getirilmiştir. Aynı nedenle 6102 sayılı </w:t>
            </w:r>
            <w:r w:rsidRPr="00A23740">
              <w:rPr>
                <w:rFonts w:eastAsia="Times New Roman"/>
                <w:bCs/>
                <w:szCs w:val="24"/>
              </w:rPr>
              <w:t>Kanun</w:t>
            </w:r>
            <w:r w:rsidRPr="00A23740">
              <w:rPr>
                <w:rFonts w:eastAsia="Times New Roman"/>
                <w:szCs w:val="24"/>
              </w:rPr>
              <w:t>da da 2004 sayılı Kanunun 45 inci maddesinde öngörülen önce rehne başvuru kuralına istisna teşkil eden 1378 inci ve 1379 uncu maddelere yer verilmiştir. Gemi üzerindeki rehin hakkı</w:t>
            </w:r>
            <w:r w:rsidR="001272C2" w:rsidRPr="00A23740">
              <w:rPr>
                <w:rFonts w:eastAsia="Times New Roman"/>
                <w:szCs w:val="24"/>
              </w:rPr>
              <w:t>yla</w:t>
            </w:r>
            <w:r w:rsidRPr="00A23740">
              <w:rPr>
                <w:rFonts w:eastAsia="Times New Roman"/>
                <w:szCs w:val="24"/>
              </w:rPr>
              <w:t xml:space="preserve"> teminat alınmış alacaklar bakımından Taslağın 111 inci</w:t>
            </w:r>
            <w:r w:rsidR="000904A6" w:rsidRPr="00A23740">
              <w:rPr>
                <w:rFonts w:eastAsia="Times New Roman"/>
                <w:szCs w:val="24"/>
              </w:rPr>
              <w:t xml:space="preserve"> </w:t>
            </w:r>
            <w:r w:rsidRPr="00A23740">
              <w:rPr>
                <w:rFonts w:eastAsia="Times New Roman"/>
                <w:szCs w:val="24"/>
              </w:rPr>
              <w:t xml:space="preserve">maddesinde düzenlenen “önce rehne başvuru” kuralına istisna getirilmesini gerektiren nedenlerin geçerliliğini koruduğu açıktır. Bu nedenle </w:t>
            </w:r>
            <w:r w:rsidRPr="00A23740">
              <w:rPr>
                <w:rFonts w:eastAsia="Times New Roman"/>
                <w:bCs/>
                <w:szCs w:val="24"/>
              </w:rPr>
              <w:t>6102 sayılı Kanunun</w:t>
            </w:r>
            <w:r w:rsidRPr="00A23740">
              <w:rPr>
                <w:rFonts w:eastAsia="Times New Roman"/>
                <w:szCs w:val="24"/>
              </w:rPr>
              <w:t xml:space="preserve"> 1378 inci ve 1379 uncu maddelerinin alınması gerekli görülmüştür. Ancak </w:t>
            </w:r>
            <w:r w:rsidRPr="00A23740">
              <w:rPr>
                <w:rFonts w:eastAsia="Times New Roman"/>
                <w:bCs/>
                <w:szCs w:val="24"/>
              </w:rPr>
              <w:t xml:space="preserve">6102 sayılı Kanunun </w:t>
            </w:r>
            <w:r w:rsidRPr="00A23740">
              <w:rPr>
                <w:rFonts w:eastAsia="Times New Roman"/>
                <w:szCs w:val="24"/>
              </w:rPr>
              <w:t>1379 uncu maddesinde yer alan “</w:t>
            </w:r>
            <w:r w:rsidRPr="00A23740">
              <w:rPr>
                <w:rFonts w:eastAsia="Times New Roman"/>
                <w:i/>
                <w:iCs/>
                <w:szCs w:val="24"/>
              </w:rPr>
              <w:t>gemi üzerinde kanuni bir rehin hakkına sahip alacaklılar</w:t>
            </w:r>
            <w:r w:rsidRPr="00A23740">
              <w:rPr>
                <w:rFonts w:eastAsia="Times New Roman"/>
                <w:szCs w:val="24"/>
              </w:rPr>
              <w:t>” ibaresi</w:t>
            </w:r>
            <w:r w:rsidR="001272C2" w:rsidRPr="00A23740">
              <w:rPr>
                <w:rFonts w:eastAsia="Times New Roman"/>
                <w:szCs w:val="24"/>
              </w:rPr>
              <w:t>yle</w:t>
            </w:r>
            <w:r w:rsidRPr="00A23740">
              <w:rPr>
                <w:rFonts w:eastAsia="Times New Roman"/>
                <w:szCs w:val="24"/>
              </w:rPr>
              <w:t xml:space="preserve"> gemi alacaklıları kastedildiğinden, bu ibare “</w:t>
            </w:r>
            <w:r w:rsidRPr="00A23740">
              <w:rPr>
                <w:rFonts w:eastAsia="Times New Roman"/>
                <w:i/>
                <w:iCs/>
                <w:szCs w:val="24"/>
              </w:rPr>
              <w:t>kanundan doğan rehin hakkına sahip gemi alacaklıları</w:t>
            </w:r>
            <w:r w:rsidRPr="00A23740">
              <w:rPr>
                <w:rFonts w:eastAsia="Times New Roman"/>
                <w:szCs w:val="24"/>
              </w:rPr>
              <w:t>” şeklinde değiştirilmiştir. Ayrıca 2004 sayılı Kanunun 167 vd. hükümleri de Taslağa alınmadığından, 6102 sayılı Kanunun 1379 uncu maddesinde yer alan “</w:t>
            </w:r>
            <w:r w:rsidRPr="00A23740">
              <w:rPr>
                <w:rFonts w:eastAsia="Times New Roman"/>
                <w:i/>
                <w:iCs/>
                <w:szCs w:val="24"/>
              </w:rPr>
              <w:t>kambiyo senetleri hakkındaki özel usullere göre”</w:t>
            </w:r>
            <w:r w:rsidRPr="00A23740">
              <w:rPr>
                <w:rFonts w:eastAsia="Times New Roman"/>
                <w:szCs w:val="24"/>
              </w:rPr>
              <w:t xml:space="preserve"> ibaresinin çıkarılması gerekmiştir. Haciz yolu</w:t>
            </w:r>
            <w:r w:rsidR="001272C2" w:rsidRPr="00A23740">
              <w:rPr>
                <w:rFonts w:eastAsia="Times New Roman"/>
                <w:szCs w:val="24"/>
              </w:rPr>
              <w:t>yla</w:t>
            </w:r>
            <w:r w:rsidRPr="00A23740">
              <w:rPr>
                <w:rFonts w:eastAsia="Times New Roman"/>
                <w:szCs w:val="24"/>
              </w:rPr>
              <w:t xml:space="preserve"> takip yapan gemi alacaklıları, borçlunun gemi dışındaki mal varlığı unsurlarından da alacaklarını tahsil edebileceklerinden, haciz yolu</w:t>
            </w:r>
            <w:r w:rsidR="001272C2" w:rsidRPr="00A23740">
              <w:rPr>
                <w:rFonts w:eastAsia="Times New Roman"/>
                <w:szCs w:val="24"/>
              </w:rPr>
              <w:t>yla</w:t>
            </w:r>
            <w:r w:rsidRPr="00A23740">
              <w:rPr>
                <w:rFonts w:eastAsia="Times New Roman"/>
                <w:szCs w:val="24"/>
              </w:rPr>
              <w:t xml:space="preserve"> takipte bulundukları takdirde, gemi üzerinde sahip oldukları rehin haklarından feragat etmiş sayılmaları uygun görülmüş ve 6102 sayılı Kanunun 1379 uncu maddesinin bu hususa ilişkin </w:t>
            </w:r>
            <w:r w:rsidR="001272C2" w:rsidRPr="00A23740">
              <w:rPr>
                <w:rFonts w:eastAsia="Times New Roman"/>
                <w:szCs w:val="24"/>
              </w:rPr>
              <w:t xml:space="preserve">kısmı </w:t>
            </w:r>
            <w:r w:rsidRPr="00A23740">
              <w:rPr>
                <w:rFonts w:eastAsia="Times New Roman"/>
                <w:szCs w:val="24"/>
              </w:rPr>
              <w:t>beşinci fıkraya alınmıştır. 6102 sayılı Kanunun 1378 inci maddesi ise</w:t>
            </w:r>
            <w:r w:rsidR="001272C2" w:rsidRPr="00A23740">
              <w:rPr>
                <w:rFonts w:eastAsia="Times New Roman"/>
                <w:szCs w:val="24"/>
              </w:rPr>
              <w:t>,</w:t>
            </w:r>
            <w:r w:rsidRPr="00A23740">
              <w:rPr>
                <w:rFonts w:eastAsia="Times New Roman"/>
                <w:szCs w:val="24"/>
              </w:rPr>
              <w:t xml:space="preserve"> ifadesi değiştirilerek maddenin altıncı fıkrasına alınmıştır. </w:t>
            </w:r>
          </w:p>
          <w:p w:rsidR="00A46C6E" w:rsidRPr="00A23740" w:rsidRDefault="00A46C6E" w:rsidP="00196116">
            <w:pPr>
              <w:ind w:firstLine="709"/>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196116">
            <w:pPr>
              <w:widowControl w:val="0"/>
              <w:rPr>
                <w:rFonts w:eastAsia="Times New Roman"/>
                <w:b/>
                <w:strike/>
                <w:color w:val="FF0000"/>
                <w:szCs w:val="24"/>
                <w:lang w:eastAsia="x-none"/>
              </w:rPr>
            </w:pPr>
            <w:r w:rsidRPr="00A23740">
              <w:rPr>
                <w:rFonts w:eastAsia="Times New Roman"/>
                <w:szCs w:val="24"/>
              </w:rPr>
              <w:t>Rehnin paraya çevrilmesin</w:t>
            </w:r>
            <w:r w:rsidRPr="00A23740">
              <w:rPr>
                <w:rFonts w:eastAsia="Times New Roman"/>
                <w:b/>
                <w:strike/>
                <w:color w:val="FF0000"/>
                <w:szCs w:val="24"/>
                <w:lang w:eastAsia="x-none"/>
              </w:rPr>
              <w:t>e ilişkin hükümlerin gemilere uygulanması:</w:t>
            </w:r>
          </w:p>
          <w:p w:rsidR="00A46C6E" w:rsidRPr="00A23740" w:rsidRDefault="00A46C6E" w:rsidP="00196116">
            <w:pPr>
              <w:widowControl w:val="0"/>
              <w:rPr>
                <w:rFonts w:eastAsia="Times New Roman"/>
                <w:b/>
                <w:szCs w:val="24"/>
              </w:rPr>
            </w:pPr>
            <w:r w:rsidRPr="00A23740">
              <w:rPr>
                <w:rFonts w:eastAsia="Times New Roman"/>
                <w:b/>
                <w:strike/>
                <w:color w:val="FF0000"/>
                <w:szCs w:val="24"/>
                <w:lang w:eastAsia="x-none"/>
              </w:rPr>
              <w:t>Madde 153/a – (Ek: 14/1/2011-6103/41 md.)</w:t>
            </w:r>
          </w:p>
          <w:p w:rsidR="00A46C6E" w:rsidRPr="00A23740" w:rsidRDefault="00A46C6E" w:rsidP="00196116">
            <w:pPr>
              <w:widowControl w:val="0"/>
              <w:rPr>
                <w:rFonts w:eastAsia="Times New Roman"/>
                <w:szCs w:val="24"/>
              </w:rPr>
            </w:pPr>
            <w:r w:rsidRPr="00E26FFD">
              <w:rPr>
                <w:rStyle w:val="KIRMIZIChar"/>
                <w:rFonts w:eastAsia="Calibri"/>
              </w:rPr>
              <w:t>(F1)</w:t>
            </w:r>
            <w:r w:rsidRPr="00A23740">
              <w:rPr>
                <w:rFonts w:eastAsia="Times New Roman"/>
                <w:szCs w:val="24"/>
              </w:rPr>
              <w:t xml:space="preserve"> Taşınır rehninin paraya çevrilmesine ilişkin hükümler, bayrağına ve sicile kayıtlı olup olmadığına bakılmaksızın bir gemi üzerindeki hapis hakkı ile gemi alacağının verdiği rehin hakkının paraya çevrilmesinde de uygulanır.</w:t>
            </w:r>
          </w:p>
          <w:p w:rsidR="00A46C6E" w:rsidRPr="00A23740" w:rsidRDefault="00A46C6E" w:rsidP="00196116">
            <w:pPr>
              <w:widowControl w:val="0"/>
              <w:rPr>
                <w:rFonts w:eastAsia="Times New Roman"/>
                <w:szCs w:val="24"/>
              </w:rPr>
            </w:pPr>
          </w:p>
          <w:p w:rsidR="00A46C6E" w:rsidRPr="00A23740" w:rsidRDefault="00A46C6E" w:rsidP="00196116">
            <w:pPr>
              <w:widowControl w:val="0"/>
              <w:rPr>
                <w:rFonts w:eastAsia="Times New Roman"/>
                <w:b/>
                <w:strike/>
                <w:color w:val="FF0000"/>
                <w:szCs w:val="24"/>
                <w:lang w:eastAsia="x-none"/>
              </w:rPr>
            </w:pPr>
            <w:r w:rsidRPr="00E26FFD">
              <w:rPr>
                <w:rStyle w:val="KIRMIZIChar"/>
                <w:rFonts w:eastAsia="Calibri"/>
              </w:rPr>
              <w:t>(F2)</w:t>
            </w:r>
            <w:r w:rsidRPr="00A23740">
              <w:rPr>
                <w:rFonts w:eastAsia="Times New Roman"/>
                <w:b/>
                <w:szCs w:val="24"/>
              </w:rPr>
              <w:t xml:space="preserve"> </w:t>
            </w:r>
            <w:r w:rsidRPr="00A23740">
              <w:rPr>
                <w:rFonts w:eastAsia="Times New Roman"/>
                <w:szCs w:val="24"/>
              </w:rPr>
              <w:t>İpoteğin paraya çevrilmesine ilişkin hükümler, gemi ipoteğinin paraya çevrilmesine de uygulanır. Bu hükümlerde geçen “taşınmaz” terimi Türkiye’de veya yurt dışında sicile kayıtlı olan gemileri; “tapu sicili” terimi gemi sicilini ve “ipotek” terimi gemi ipote</w:t>
            </w:r>
            <w:r w:rsidRPr="00A23740">
              <w:rPr>
                <w:rFonts w:eastAsia="Times New Roman"/>
                <w:b/>
                <w:strike/>
                <w:color w:val="FF0000"/>
                <w:szCs w:val="24"/>
                <w:lang w:eastAsia="x-none"/>
              </w:rPr>
              <w:t>klerini anlatır. Gemi ipoteklerinin paraya çevrilmesinde, geminin ihtiyaten haczedildiği veya geminin sicile kayıtlı olduğu yer icra dairesi yetkilidir.</w:t>
            </w:r>
          </w:p>
          <w:p w:rsidR="00A46C6E" w:rsidRPr="00A23740" w:rsidRDefault="00A46C6E" w:rsidP="00196116">
            <w:pPr>
              <w:widowControl w:val="0"/>
              <w:rPr>
                <w:rFonts w:eastAsia="Times New Roman"/>
                <w:b/>
                <w:strike/>
                <w:color w:val="FF0000"/>
                <w:szCs w:val="24"/>
                <w:lang w:eastAsia="x-none"/>
              </w:rPr>
            </w:pPr>
          </w:p>
          <w:p w:rsidR="00A46C6E" w:rsidRPr="00A23740" w:rsidRDefault="00A46C6E" w:rsidP="00196116">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Taşınmazların satışına ilişkin hükümlerin gemilere uygulanması:</w:t>
            </w:r>
          </w:p>
          <w:p w:rsidR="00A46C6E" w:rsidRPr="00A23740" w:rsidRDefault="00A46C6E" w:rsidP="00196116">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Madde 136 – (1) (Değişik: 14/1/2011-6103/41 md.)</w:t>
            </w:r>
          </w:p>
          <w:p w:rsidR="00A46C6E" w:rsidRPr="00A23740" w:rsidRDefault="00A46C6E" w:rsidP="00196116">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Taşınmaz malların satışına ilişkin hükümler, bayrağı dikkate alınmaksızın gemi siciline kayıtlı bütün gemiler hakkında da uygulanır. Bu hükümlerde geçen “tapu sicili” terimi gemi sicilini, “ipotek” terimi gemi ipoteklerini ve “irtifak hakkı” terimi sicile kayıtlı gemiler üzerindeki intifa hakkını ifade eder.</w:t>
            </w:r>
          </w:p>
          <w:p w:rsidR="00A46C6E" w:rsidRPr="00A23740" w:rsidRDefault="00A46C6E" w:rsidP="00196116">
            <w:pPr>
              <w:widowControl w:val="0"/>
              <w:rPr>
                <w:rFonts w:eastAsia="Times New Roman"/>
                <w:b/>
                <w:strike/>
                <w:color w:val="FF0000"/>
                <w:szCs w:val="24"/>
                <w:lang w:eastAsia="x-none"/>
              </w:rPr>
            </w:pPr>
          </w:p>
          <w:p w:rsidR="00A46C6E" w:rsidRPr="00A23740" w:rsidRDefault="00A46C6E" w:rsidP="00196116">
            <w:pPr>
              <w:widowControl w:val="0"/>
              <w:rPr>
                <w:rFonts w:eastAsia="Times New Roman"/>
                <w:strike/>
                <w:color w:val="FF0000"/>
                <w:szCs w:val="24"/>
              </w:rPr>
            </w:pPr>
          </w:p>
          <w:p w:rsidR="00A46C6E" w:rsidRPr="00A23740" w:rsidRDefault="00A46C6E" w:rsidP="00196116">
            <w:pPr>
              <w:widowControl w:val="0"/>
              <w:rPr>
                <w:rFonts w:eastAsia="Times New Roman"/>
                <w:b/>
                <w:strike/>
                <w:color w:val="FF0000"/>
                <w:szCs w:val="24"/>
                <w:lang w:eastAsia="x-none"/>
              </w:rPr>
            </w:pPr>
            <w:r w:rsidRPr="00A23740">
              <w:rPr>
                <w:rFonts w:eastAsia="Times New Roman"/>
                <w:b/>
                <w:strike/>
                <w:color w:val="FF0000"/>
                <w:szCs w:val="24"/>
                <w:lang w:eastAsia="x-none"/>
              </w:rPr>
              <w:t>(F3) Taşınır rehninin ve ipoteğin paraya çevrilmesine ilişkin müşterek hükümler, gemiler üzerindeki rehin haklarının paraya çevrilmesine de uygulanır; şu kadar ki, bu Kanunun:</w:t>
            </w:r>
          </w:p>
          <w:p w:rsidR="00A46C6E" w:rsidRPr="00A23740" w:rsidRDefault="00A46C6E" w:rsidP="00196116">
            <w:pPr>
              <w:widowControl w:val="0"/>
              <w:rPr>
                <w:rFonts w:eastAsia="Times New Roman"/>
                <w:szCs w:val="24"/>
              </w:rPr>
            </w:pPr>
            <w:r w:rsidRPr="00A23740">
              <w:rPr>
                <w:rFonts w:eastAsia="Times New Roman"/>
                <w:b/>
                <w:strike/>
                <w:color w:val="FF0000"/>
                <w:szCs w:val="24"/>
                <w:lang w:eastAsia="x-none"/>
              </w:rPr>
              <w:t>1. 150/e maddesinin birinci fıkrasında</w:t>
            </w:r>
            <w:r w:rsidRPr="00A23740">
              <w:rPr>
                <w:rFonts w:eastAsia="Times New Roman"/>
                <w:szCs w:val="24"/>
              </w:rPr>
              <w:t xml:space="preserve"> öngörülen süre, bayrağına ve sicile kayıtlı olup olmadığına bakılmaksızın bütün gemiler için üç aydır.</w:t>
            </w:r>
          </w:p>
          <w:p w:rsidR="00A46C6E" w:rsidRPr="00A23740" w:rsidRDefault="00A46C6E" w:rsidP="00196116">
            <w:pPr>
              <w:widowControl w:val="0"/>
              <w:rPr>
                <w:rFonts w:eastAsia="Times New Roman"/>
                <w:b/>
                <w:strike/>
                <w:color w:val="FF0000"/>
                <w:szCs w:val="24"/>
                <w:lang w:eastAsia="x-none"/>
              </w:rPr>
            </w:pPr>
            <w:r w:rsidRPr="00A23740">
              <w:rPr>
                <w:rFonts w:eastAsia="Times New Roman"/>
                <w:b/>
                <w:strike/>
                <w:color w:val="FF0000"/>
                <w:szCs w:val="24"/>
                <w:lang w:eastAsia="x-none"/>
              </w:rPr>
              <w:t>2. 150/h maddesinin yerine Türk Ticaret Kanununun 1377 nci maddesi uygulanır.</w:t>
            </w:r>
          </w:p>
          <w:p w:rsidR="00A46C6E" w:rsidRPr="00A23740" w:rsidRDefault="00A46C6E" w:rsidP="00196116">
            <w:pPr>
              <w:widowControl w:val="0"/>
              <w:rPr>
                <w:rFonts w:eastAsia="Times New Roman"/>
                <w:b/>
                <w:strike/>
                <w:color w:val="FF0000"/>
                <w:szCs w:val="24"/>
                <w:lang w:eastAsia="x-none"/>
              </w:rPr>
            </w:pPr>
            <w:r w:rsidRPr="00A23740">
              <w:rPr>
                <w:rFonts w:eastAsia="Times New Roman"/>
                <w:b/>
                <w:strike/>
                <w:color w:val="FF0000"/>
                <w:szCs w:val="24"/>
                <w:lang w:eastAsia="x-none"/>
              </w:rPr>
              <w:t>3. 151 inci maddesinin ikinci fıkrası uyarınca yapılacak sıra cetveli, bayrağına ve sicile kayıtlı olup olmadığına bakılmaksızın bütün gemiler için Türk Ticaret Kanununun 1389 ilâ 1397 nci maddesi hükümlerine göre düzenlenir.</w:t>
            </w:r>
          </w:p>
          <w:p w:rsidR="00B569B2" w:rsidRPr="00A23740" w:rsidRDefault="00B569B2" w:rsidP="00196116">
            <w:pPr>
              <w:widowControl w:val="0"/>
              <w:rPr>
                <w:rFonts w:eastAsia="Times New Roman"/>
                <w:strike/>
                <w:color w:val="FF0000"/>
                <w:szCs w:val="24"/>
              </w:rPr>
            </w:pPr>
          </w:p>
          <w:p w:rsidR="00A46C6E" w:rsidRPr="00A23740" w:rsidRDefault="00A46C6E" w:rsidP="00196116">
            <w:pPr>
              <w:widowControl w:val="0"/>
              <w:rPr>
                <w:rFonts w:eastAsia="Times New Roman"/>
                <w:szCs w:val="24"/>
              </w:rPr>
            </w:pPr>
            <w:r w:rsidRPr="00A23740">
              <w:rPr>
                <w:rFonts w:eastAsia="Times New Roman"/>
                <w:b/>
                <w:strike/>
                <w:color w:val="FF0000"/>
                <w:szCs w:val="24"/>
                <w:lang w:eastAsia="x-none"/>
              </w:rPr>
              <w:t xml:space="preserve">4. 153 üncü </w:t>
            </w:r>
            <w:r w:rsidRPr="00E26FFD">
              <w:rPr>
                <w:rStyle w:val="KIRMIZIChar"/>
                <w:rFonts w:eastAsia="Calibri"/>
              </w:rPr>
              <w:t>maddesinin yerine</w:t>
            </w:r>
            <w:r w:rsidRPr="00A23740">
              <w:rPr>
                <w:rFonts w:eastAsia="Times New Roman"/>
                <w:szCs w:val="24"/>
              </w:rPr>
              <w:t xml:space="preserve"> Türk Ticaret Kanununun 1052 ve 1053 üncü maddeleri uygulanır.</w:t>
            </w:r>
          </w:p>
          <w:p w:rsidR="00A46C6E" w:rsidRPr="00A23740" w:rsidRDefault="00A46C6E" w:rsidP="00196116">
            <w:pPr>
              <w:widowControl w:val="0"/>
              <w:rPr>
                <w:rFonts w:eastAsia="Times New Roman"/>
                <w:szCs w:val="24"/>
              </w:rPr>
            </w:pPr>
          </w:p>
          <w:p w:rsidR="00A46C6E" w:rsidRPr="00A23740" w:rsidRDefault="00A46C6E" w:rsidP="00196116">
            <w:pPr>
              <w:widowControl w:val="0"/>
              <w:rPr>
                <w:rFonts w:eastAsia="Times New Roman"/>
                <w:b/>
                <w:strike/>
                <w:color w:val="FF0000"/>
                <w:szCs w:val="24"/>
                <w:lang w:eastAsia="x-none"/>
              </w:rPr>
            </w:pPr>
            <w:r w:rsidRPr="00A23740">
              <w:rPr>
                <w:rFonts w:eastAsia="Times New Roman"/>
                <w:b/>
                <w:strike/>
                <w:color w:val="FF0000"/>
                <w:szCs w:val="24"/>
                <w:lang w:eastAsia="x-none"/>
              </w:rPr>
              <w:t>İpotekli alacakta alacaklının gaip bulunması veya borcu almaktan imtinaı:</w:t>
            </w:r>
          </w:p>
          <w:p w:rsidR="00A46C6E" w:rsidRPr="00A23740" w:rsidRDefault="00A46C6E" w:rsidP="00196116">
            <w:pPr>
              <w:widowControl w:val="0"/>
              <w:rPr>
                <w:rFonts w:eastAsia="Times New Roman"/>
                <w:b/>
                <w:strike/>
                <w:color w:val="FF0000"/>
                <w:szCs w:val="24"/>
                <w:lang w:eastAsia="x-none"/>
              </w:rPr>
            </w:pPr>
            <w:r w:rsidRPr="00A23740">
              <w:rPr>
                <w:rFonts w:eastAsia="Times New Roman"/>
                <w:b/>
                <w:strike/>
                <w:color w:val="FF0000"/>
                <w:szCs w:val="24"/>
                <w:lang w:eastAsia="x-none"/>
              </w:rPr>
              <w:t>Madde 153 – İpotekle temin edilmiş ve vadesi gelmiş bir alacağın borçlusu icra dairesine müracaatla alacaklısının gaip ve yerleşim yerinin meçhul bulunduğunu veya borcu almaktan ve ipoteği çözmekten imtina ettiğini beyan ederse icra dairesi on beş gün içinde daireye gelerek parayı almasını ve ipoteği çözmesini alacaklıya usulüne göre tebliğ eder. Alacaklı bu müddet içinde gelmediği veya gelipte kanunen makbul bir sebep beyan etmeksizin parayı almaktan ve ipoteği çözmekten imtina eylediği takdirde borçlu borcunu icra dairesine tamamiyle yatırırsa icra mahkemesi verilen paranın alacaklı namına hıfzına ve ipotek kaydının terkinine karar verir. Bu karar tapu dairesine tebliğ edilerek ipotekli taşınmazın sicilline geçirilir.</w:t>
            </w:r>
          </w:p>
          <w:p w:rsidR="00A46C6E" w:rsidRPr="00A23740" w:rsidRDefault="00A46C6E" w:rsidP="00196116">
            <w:pPr>
              <w:widowControl w:val="0"/>
              <w:rPr>
                <w:rFonts w:eastAsia="Times New Roman"/>
                <w:b/>
                <w:strike/>
                <w:color w:val="FF0000"/>
                <w:szCs w:val="24"/>
                <w:lang w:eastAsia="x-none"/>
              </w:rPr>
            </w:pPr>
            <w:r w:rsidRPr="00A23740">
              <w:rPr>
                <w:rFonts w:eastAsia="Times New Roman"/>
                <w:b/>
                <w:strike/>
                <w:color w:val="FF0000"/>
                <w:szCs w:val="24"/>
                <w:lang w:eastAsia="x-none"/>
              </w:rPr>
              <w:t>Vadesi gelmeyen borcun ipotek senedi mucibince işlemiş ve işleyecek bütün faizleri ile birlikte tediyesini deruhde eden borçlu hakkında da yukarıki hüküm cereyan eder.</w:t>
            </w:r>
          </w:p>
          <w:p w:rsidR="00A46C6E" w:rsidRPr="00A23740" w:rsidRDefault="00A46C6E" w:rsidP="00196116">
            <w:pPr>
              <w:widowControl w:val="0"/>
              <w:rPr>
                <w:rFonts w:eastAsia="Times New Roman"/>
                <w:szCs w:val="24"/>
              </w:rPr>
            </w:pPr>
          </w:p>
        </w:tc>
        <w:tc>
          <w:tcPr>
            <w:tcW w:w="2500" w:type="pct"/>
            <w:shd w:val="clear" w:color="auto" w:fill="auto"/>
          </w:tcPr>
          <w:p w:rsidR="00A46C6E" w:rsidRPr="00A23740" w:rsidRDefault="00A46C6E" w:rsidP="00196116">
            <w:pPr>
              <w:widowControl w:val="0"/>
              <w:rPr>
                <w:rFonts w:eastAsia="Times New Roman"/>
                <w:b/>
                <w:bCs/>
                <w:color w:val="0000FF"/>
                <w:szCs w:val="24"/>
                <w:lang w:eastAsia="x-none"/>
              </w:rPr>
            </w:pPr>
            <w:r w:rsidRPr="00A23740">
              <w:rPr>
                <w:rFonts w:eastAsia="Times New Roman"/>
                <w:b/>
                <w:szCs w:val="24"/>
              </w:rPr>
              <w:t>Rehnin paraya çevrilmesin</w:t>
            </w:r>
            <w:r w:rsidRPr="00A23740">
              <w:rPr>
                <w:rFonts w:eastAsia="Times New Roman"/>
                <w:b/>
                <w:bCs/>
                <w:color w:val="0000FF"/>
                <w:szCs w:val="24"/>
                <w:lang w:eastAsia="x-none"/>
              </w:rPr>
              <w:t>de uygulanacak hükümler</w:t>
            </w:r>
          </w:p>
          <w:p w:rsidR="00A46C6E" w:rsidRPr="00A23740" w:rsidRDefault="00A46C6E" w:rsidP="00196116">
            <w:pPr>
              <w:widowControl w:val="0"/>
              <w:rPr>
                <w:b/>
                <w:bCs/>
                <w:color w:val="0000FF"/>
                <w:lang w:val="x-none" w:eastAsia="x-none"/>
              </w:rPr>
            </w:pPr>
          </w:p>
          <w:p w:rsidR="00A46C6E" w:rsidRPr="00A23740" w:rsidRDefault="00A46C6E" w:rsidP="00196116">
            <w:pPr>
              <w:widowControl w:val="0"/>
              <w:rPr>
                <w:b/>
                <w:bCs/>
                <w:color w:val="0000FF"/>
                <w:lang w:val="x-none" w:eastAsia="x-none"/>
              </w:rPr>
            </w:pPr>
          </w:p>
          <w:p w:rsidR="00A46C6E" w:rsidRPr="00A23740" w:rsidRDefault="003B700B" w:rsidP="00196116">
            <w:pPr>
              <w:widowControl w:val="0"/>
              <w:rPr>
                <w:rFonts w:eastAsia="Times New Roman"/>
                <w:szCs w:val="24"/>
              </w:rPr>
            </w:pPr>
            <w:r w:rsidRPr="00A23740">
              <w:rPr>
                <w:b/>
                <w:bCs/>
                <w:color w:val="0000FF"/>
                <w:lang w:val="x-none" w:eastAsia="x-none"/>
              </w:rPr>
              <w:t>MADDE 472</w:t>
            </w:r>
            <w:r w:rsidR="00A46C6E" w:rsidRPr="00A23740">
              <w:rPr>
                <w:rFonts w:eastAsia="Times New Roman"/>
                <w:b/>
                <w:bCs/>
                <w:color w:val="0000FF"/>
                <w:szCs w:val="24"/>
                <w:lang w:eastAsia="x-none"/>
              </w:rPr>
              <w:t xml:space="preserve">- </w:t>
            </w:r>
            <w:r w:rsidR="00A46C6E" w:rsidRPr="00E26FFD">
              <w:rPr>
                <w:rStyle w:val="Balk1Char"/>
                <w:rFonts w:eastAsia="Calibri"/>
              </w:rPr>
              <w:t>(1)</w:t>
            </w:r>
            <w:r w:rsidR="00A46C6E" w:rsidRPr="00A23740">
              <w:rPr>
                <w:rFonts w:eastAsia="Times New Roman"/>
                <w:b/>
                <w:bCs/>
                <w:color w:val="0000FF"/>
                <w:szCs w:val="24"/>
                <w:lang w:eastAsia="x-none"/>
              </w:rPr>
              <w:t xml:space="preserve"> </w:t>
            </w:r>
            <w:r w:rsidR="00A46C6E" w:rsidRPr="00A23740">
              <w:rPr>
                <w:rFonts w:eastAsia="Times New Roman"/>
                <w:szCs w:val="24"/>
              </w:rPr>
              <w:t xml:space="preserve">Taşınır rehninin paraya çevrilmesine ilişkin hükümler, bayrağına ve sicile kayıtlı olup olmadığına bakılmaksızın bir gemi üzerindeki hapis hakkı ile gemi alacağının verdiği </w:t>
            </w:r>
            <w:r w:rsidR="00A46C6E" w:rsidRPr="00A23740">
              <w:rPr>
                <w:b/>
                <w:bCs/>
                <w:color w:val="0000FF"/>
                <w:lang w:val="x-none" w:eastAsia="x-none"/>
              </w:rPr>
              <w:t>kanuni</w:t>
            </w:r>
            <w:r w:rsidR="00A46C6E" w:rsidRPr="00A23740">
              <w:rPr>
                <w:rFonts w:eastAsia="Times New Roman"/>
                <w:szCs w:val="24"/>
              </w:rPr>
              <w:t xml:space="preserve"> rehin hakkının paraya çevrilmesinde de uygulanır.</w:t>
            </w: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r w:rsidRPr="00A23740">
              <w:rPr>
                <w:rFonts w:eastAsia="Times New Roman"/>
                <w:b/>
                <w:bCs/>
                <w:color w:val="0000FF"/>
                <w:szCs w:val="24"/>
                <w:lang w:eastAsia="tr-TR"/>
              </w:rPr>
              <w:t xml:space="preserve">(2) </w:t>
            </w:r>
            <w:r w:rsidRPr="00A23740">
              <w:rPr>
                <w:rFonts w:eastAsia="Times New Roman"/>
                <w:szCs w:val="24"/>
              </w:rPr>
              <w:t>İpoteğin paraya çevrilmesine ilişkin hükümler, gemi ipoteğinin paraya çevrilmesine de uygulanır. Bu hükümlerde geçen “taşınmaz” terimi bir Türk gemi sicilinde veya yabancı bir ülke gemi sicilinde kayıtlı olan gemileri; “tapu sicili” terimi gemi sicilini ve “ipotek” terimi gemi ipote</w:t>
            </w:r>
            <w:r w:rsidRPr="00A23740">
              <w:rPr>
                <w:rFonts w:eastAsia="Times New Roman"/>
                <w:b/>
                <w:bCs/>
                <w:color w:val="0000FF"/>
                <w:szCs w:val="24"/>
                <w:lang w:eastAsia="tr-TR"/>
              </w:rPr>
              <w:t>ğini ifade eder.</w:t>
            </w: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p>
          <w:p w:rsidR="00E26FFD" w:rsidRDefault="00E26FFD" w:rsidP="00196116">
            <w:pPr>
              <w:widowControl w:val="0"/>
              <w:rPr>
                <w:rFonts w:eastAsia="Times New Roman"/>
                <w:b/>
                <w:bCs/>
                <w:color w:val="0000FF"/>
                <w:szCs w:val="24"/>
                <w:lang w:eastAsia="tr-TR"/>
              </w:rPr>
            </w:pPr>
          </w:p>
          <w:p w:rsidR="00E26FFD" w:rsidRDefault="00E26FFD" w:rsidP="00196116">
            <w:pPr>
              <w:widowControl w:val="0"/>
              <w:rPr>
                <w:rFonts w:eastAsia="Times New Roman"/>
                <w:b/>
                <w:bCs/>
                <w:color w:val="0000FF"/>
                <w:szCs w:val="24"/>
                <w:lang w:eastAsia="tr-TR"/>
              </w:rPr>
            </w:pPr>
          </w:p>
          <w:p w:rsidR="00E26FFD" w:rsidRDefault="00E26FFD"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r w:rsidRPr="00A23740">
              <w:rPr>
                <w:rFonts w:eastAsia="Times New Roman"/>
                <w:b/>
                <w:bCs/>
                <w:color w:val="0000FF"/>
                <w:szCs w:val="24"/>
                <w:lang w:eastAsia="tr-TR"/>
              </w:rPr>
              <w:t>(3)</w:t>
            </w:r>
            <w:r w:rsidR="00053627" w:rsidRPr="00A23740">
              <w:rPr>
                <w:rFonts w:eastAsia="Times New Roman"/>
                <w:b/>
                <w:bCs/>
                <w:color w:val="0000FF"/>
                <w:szCs w:val="24"/>
                <w:lang w:eastAsia="tr-TR"/>
              </w:rPr>
              <w:t xml:space="preserve"> </w:t>
            </w:r>
            <w:r w:rsidR="00053627" w:rsidRPr="00E65BE7">
              <w:rPr>
                <w:rStyle w:val="KonuBalChar"/>
                <w:rFonts w:eastAsia="Calibri"/>
                <w:color w:val="0000FF"/>
              </w:rPr>
              <w:t>129 uncu</w:t>
            </w:r>
            <w:r w:rsidRPr="00A23740">
              <w:rPr>
                <w:rFonts w:eastAsia="Times New Roman"/>
                <w:b/>
                <w:bCs/>
                <w:color w:val="0000FF"/>
                <w:szCs w:val="24"/>
                <w:lang w:eastAsia="tr-TR"/>
              </w:rPr>
              <w:t xml:space="preserve"> maddede </w:t>
            </w:r>
            <w:r w:rsidRPr="00E26FFD">
              <w:t>öngörülen süre, bayrağına ve sicile kayıtlı olup olmadığına bakılmaksızın bütün gemiler için üç aydır.</w:t>
            </w: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r w:rsidRPr="00A23740">
              <w:rPr>
                <w:rFonts w:eastAsia="Times New Roman"/>
                <w:b/>
                <w:bCs/>
                <w:color w:val="0000FF"/>
                <w:szCs w:val="24"/>
                <w:lang w:eastAsia="tr-TR"/>
              </w:rPr>
              <w:t xml:space="preserve">(4) </w:t>
            </w:r>
            <w:r w:rsidR="0014585D" w:rsidRPr="00A23740">
              <w:rPr>
                <w:rFonts w:eastAsia="Times New Roman"/>
                <w:b/>
                <w:bCs/>
                <w:color w:val="0000FF"/>
                <w:szCs w:val="24"/>
                <w:lang w:eastAsia="tr-TR"/>
              </w:rPr>
              <w:t xml:space="preserve">Rehin </w:t>
            </w:r>
            <w:r w:rsidRPr="00A23740">
              <w:rPr>
                <w:rFonts w:eastAsia="Times New Roman"/>
                <w:b/>
                <w:bCs/>
                <w:color w:val="0000FF"/>
                <w:szCs w:val="24"/>
                <w:lang w:eastAsia="tr-TR"/>
              </w:rPr>
              <w:t>konusu gemilerin satışında,</w:t>
            </w:r>
            <w:r w:rsidR="0014585D" w:rsidRPr="00A23740">
              <w:rPr>
                <w:rFonts w:eastAsia="Times New Roman"/>
                <w:b/>
                <w:bCs/>
                <w:color w:val="0000FF"/>
                <w:szCs w:val="24"/>
                <w:lang w:eastAsia="tr-TR"/>
              </w:rPr>
              <w:t xml:space="preserve"> </w:t>
            </w:r>
            <w:r w:rsidR="0014585D" w:rsidRPr="00E65BE7">
              <w:rPr>
                <w:rStyle w:val="YELChar"/>
                <w:color w:val="0000FF"/>
              </w:rPr>
              <w:t>bayrağına ve sicile kayıtlı olup olmadığına bakılmaksızın</w:t>
            </w:r>
            <w:r w:rsidR="00333A5B" w:rsidRPr="00E65BE7">
              <w:rPr>
                <w:rStyle w:val="YELChar"/>
                <w:color w:val="0000FF"/>
              </w:rPr>
              <w:t xml:space="preserve"> </w:t>
            </w:r>
            <w:r w:rsidR="00333A5B" w:rsidRPr="00E65BE7">
              <w:rPr>
                <w:rStyle w:val="KonuBalChar"/>
                <w:rFonts w:eastAsia="ヒラギノ明朝 Pro W3"/>
                <w:color w:val="0000FF"/>
              </w:rPr>
              <w:t>474 üncü</w:t>
            </w:r>
            <w:r w:rsidRPr="00A23740">
              <w:rPr>
                <w:rFonts w:eastAsia="Times New Roman"/>
                <w:b/>
                <w:bCs/>
                <w:color w:val="0000FF"/>
                <w:szCs w:val="24"/>
                <w:lang w:eastAsia="tr-TR"/>
              </w:rPr>
              <w:t xml:space="preserve"> </w:t>
            </w:r>
            <w:r w:rsidR="00A127B1">
              <w:rPr>
                <w:b/>
                <w:bCs/>
                <w:color w:val="0000FF"/>
                <w:lang w:val="x-none" w:eastAsia="x-none"/>
              </w:rPr>
              <w:t>ila</w:t>
            </w:r>
            <w:r w:rsidR="00333A5B" w:rsidRPr="00A23740">
              <w:rPr>
                <w:b/>
                <w:bCs/>
                <w:color w:val="0000FF"/>
                <w:lang w:eastAsia="x-none"/>
              </w:rPr>
              <w:t xml:space="preserve"> </w:t>
            </w:r>
            <w:r w:rsidR="00333A5B" w:rsidRPr="00E65BE7">
              <w:rPr>
                <w:rStyle w:val="KonuBalChar"/>
                <w:rFonts w:eastAsia="Calibri"/>
                <w:color w:val="0000FF"/>
              </w:rPr>
              <w:t>47</w:t>
            </w:r>
            <w:r w:rsidR="00333A5B" w:rsidRPr="00E65BE7">
              <w:rPr>
                <w:rStyle w:val="KonuBalChar"/>
                <w:rFonts w:eastAsia="Calibri"/>
                <w:color w:val="0000FF"/>
                <w:lang w:val="tr-TR"/>
              </w:rPr>
              <w:t>9</w:t>
            </w:r>
            <w:r w:rsidR="00333A5B" w:rsidRPr="00E65BE7">
              <w:rPr>
                <w:rStyle w:val="KonuBalChar"/>
                <w:rFonts w:eastAsia="Calibri"/>
                <w:color w:val="0000FF"/>
              </w:rPr>
              <w:t xml:space="preserve"> uncu</w:t>
            </w:r>
            <w:r w:rsidRPr="00A23740">
              <w:rPr>
                <w:b/>
                <w:bCs/>
                <w:color w:val="0000FF"/>
                <w:lang w:val="x-none" w:eastAsia="x-none"/>
              </w:rPr>
              <w:t xml:space="preserve"> </w:t>
            </w:r>
            <w:r w:rsidRPr="00A23740">
              <w:rPr>
                <w:rFonts w:eastAsia="Times New Roman"/>
                <w:b/>
                <w:bCs/>
                <w:color w:val="0000FF"/>
                <w:szCs w:val="24"/>
                <w:lang w:eastAsia="tr-TR"/>
              </w:rPr>
              <w:t xml:space="preserve">madde hükümleri uygulanır; satış bedeli alacaklıların alacağını ödemeye yetmezse, icra </w:t>
            </w:r>
            <w:r w:rsidRPr="00E65BE7">
              <w:rPr>
                <w:rFonts w:eastAsia="Times New Roman"/>
                <w:b/>
                <w:bCs/>
                <w:color w:val="0000FF"/>
                <w:szCs w:val="24"/>
                <w:lang w:eastAsia="tr-TR"/>
              </w:rPr>
              <w:t>ve iflas</w:t>
            </w:r>
            <w:r w:rsidRPr="00A23740">
              <w:rPr>
                <w:rFonts w:eastAsia="Times New Roman"/>
                <w:b/>
                <w:bCs/>
                <w:color w:val="0000FF"/>
                <w:szCs w:val="24"/>
                <w:lang w:eastAsia="tr-TR"/>
              </w:rPr>
              <w:t xml:space="preserve"> müdürü,</w:t>
            </w:r>
            <w:r w:rsidR="00333A5B" w:rsidRPr="00A23740">
              <w:rPr>
                <w:rFonts w:eastAsia="Times New Roman"/>
                <w:b/>
                <w:bCs/>
                <w:color w:val="0000FF"/>
                <w:szCs w:val="24"/>
                <w:lang w:eastAsia="tr-TR"/>
              </w:rPr>
              <w:t xml:space="preserve"> </w:t>
            </w:r>
            <w:r w:rsidR="00333A5B" w:rsidRPr="00E65BE7">
              <w:rPr>
                <w:rStyle w:val="KonuBalChar"/>
                <w:rFonts w:eastAsia="Calibri"/>
                <w:color w:val="0000FF"/>
              </w:rPr>
              <w:t>480 inci</w:t>
            </w:r>
            <w:r w:rsidRPr="00A23740">
              <w:rPr>
                <w:rFonts w:eastAsia="Times New Roman"/>
                <w:b/>
                <w:bCs/>
                <w:color w:val="0000FF"/>
                <w:szCs w:val="24"/>
                <w:lang w:eastAsia="tr-TR"/>
              </w:rPr>
              <w:t xml:space="preserve"> maddeye göre sıra cetveli düzenler.</w:t>
            </w:r>
          </w:p>
          <w:p w:rsidR="00A46C6E" w:rsidRDefault="00A46C6E" w:rsidP="00196116">
            <w:pPr>
              <w:widowControl w:val="0"/>
              <w:rPr>
                <w:rFonts w:eastAsia="Times New Roman"/>
                <w:b/>
                <w:bCs/>
                <w:color w:val="0000FF"/>
                <w:szCs w:val="24"/>
                <w:lang w:eastAsia="tr-TR"/>
              </w:rPr>
            </w:pPr>
          </w:p>
          <w:p w:rsidR="00B569B2" w:rsidRPr="00A23740" w:rsidRDefault="00B569B2"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r w:rsidRPr="00A23740">
              <w:rPr>
                <w:rFonts w:eastAsia="Times New Roman"/>
                <w:b/>
                <w:bCs/>
                <w:color w:val="0000FF"/>
                <w:szCs w:val="24"/>
                <w:lang w:eastAsia="tr-TR"/>
              </w:rPr>
              <w:t>(5) Gemi ipoteğinde</w:t>
            </w:r>
            <w:r w:rsidRPr="00A23740">
              <w:rPr>
                <w:rFonts w:eastAsia="Times New Roman"/>
                <w:b/>
                <w:bCs/>
                <w:color w:val="0000FF"/>
                <w:lang w:eastAsia="tr-TR"/>
              </w:rPr>
              <w:t>,</w:t>
            </w:r>
            <w:r w:rsidR="00392D49" w:rsidRPr="00A23740">
              <w:rPr>
                <w:rFonts w:eastAsia="Times New Roman"/>
                <w:b/>
                <w:bCs/>
                <w:color w:val="0000FF"/>
                <w:lang w:eastAsia="tr-TR"/>
              </w:rPr>
              <w:t xml:space="preserve"> </w:t>
            </w:r>
            <w:r w:rsidR="00392D49" w:rsidRPr="00E26FFD">
              <w:t>Türk Ticaret Kanununun</w:t>
            </w:r>
            <w:r w:rsidR="00392D49" w:rsidRPr="00A23740">
              <w:rPr>
                <w:rFonts w:eastAsia="Times New Roman"/>
                <w:b/>
                <w:bCs/>
                <w:color w:val="0000FF"/>
                <w:lang w:eastAsia="tr-TR"/>
              </w:rPr>
              <w:t xml:space="preserve"> </w:t>
            </w:r>
            <w:r w:rsidRPr="00A23740">
              <w:rPr>
                <w:rFonts w:eastAsia="Times New Roman"/>
                <w:b/>
                <w:bCs/>
                <w:color w:val="0000FF"/>
                <w:szCs w:val="24"/>
                <w:lang w:eastAsia="tr-TR"/>
              </w:rPr>
              <w:t xml:space="preserve">ipotekli alacaklının adresinin bilinmemesi veya borcu almaktan kaçınmasına ilişkin </w:t>
            </w:r>
            <w:r w:rsidRPr="00A23740">
              <w:rPr>
                <w:rFonts w:eastAsia="Times New Roman"/>
                <w:szCs w:val="24"/>
              </w:rPr>
              <w:t>1052 ve 1053 üncü maddeleri</w:t>
            </w:r>
            <w:r w:rsidR="00392D49" w:rsidRPr="00A23740">
              <w:rPr>
                <w:rFonts w:eastAsia="Times New Roman"/>
                <w:szCs w:val="24"/>
              </w:rPr>
              <w:t xml:space="preserve"> </w:t>
            </w:r>
            <w:r w:rsidR="00392D49" w:rsidRPr="00E65BE7">
              <w:rPr>
                <w:rFonts w:eastAsia="Times New Roman"/>
                <w:b/>
                <w:color w:val="0000FF"/>
                <w:szCs w:val="24"/>
              </w:rPr>
              <w:t>kıyasen</w:t>
            </w:r>
            <w:r w:rsidRPr="00A23740">
              <w:rPr>
                <w:rFonts w:eastAsia="Times New Roman"/>
                <w:szCs w:val="24"/>
              </w:rPr>
              <w:t xml:space="preserve"> uygulanır.</w:t>
            </w:r>
          </w:p>
          <w:p w:rsidR="00A46C6E" w:rsidRPr="00A23740" w:rsidRDefault="00A46C6E" w:rsidP="00196116">
            <w:pPr>
              <w:widowControl w:val="0"/>
              <w:rPr>
                <w:rFonts w:eastAsia="Times New Roman"/>
                <w:b/>
                <w:bCs/>
                <w:color w:val="0000FF"/>
                <w:szCs w:val="24"/>
                <w:lang w:eastAsia="tr-TR"/>
              </w:rPr>
            </w:pPr>
          </w:p>
          <w:p w:rsidR="00A46C6E" w:rsidRPr="00A23740" w:rsidRDefault="00A46C6E" w:rsidP="00196116">
            <w:pPr>
              <w:widowControl w:val="0"/>
              <w:rPr>
                <w:rFonts w:eastAsia="Times New Roman"/>
                <w:b/>
                <w:bCs/>
                <w:color w:val="0000FF"/>
                <w:szCs w:val="24"/>
                <w:lang w:eastAsia="tr-TR"/>
              </w:rPr>
            </w:pPr>
            <w:r w:rsidRPr="00A23740">
              <w:rPr>
                <w:rFonts w:eastAsia="Times New Roman"/>
                <w:b/>
                <w:bCs/>
                <w:color w:val="0000FF"/>
                <w:szCs w:val="24"/>
                <w:lang w:eastAsia="tr-TR"/>
              </w:rPr>
              <w:t xml:space="preserve">(6) Gemi ipoteklerinin paraya çevrilmesinde, geminin ihtiyaten haczedildiği veya geminin sicile kayıtlı olduğu yer icra </w:t>
            </w:r>
            <w:r w:rsidRPr="00E65BE7">
              <w:rPr>
                <w:rFonts w:eastAsia="Times New Roman"/>
                <w:b/>
                <w:bCs/>
                <w:color w:val="0000FF"/>
                <w:szCs w:val="24"/>
                <w:lang w:eastAsia="tr-TR"/>
              </w:rPr>
              <w:t>ve iflas</w:t>
            </w:r>
            <w:r w:rsidRPr="00A23740">
              <w:rPr>
                <w:rFonts w:eastAsia="Times New Roman"/>
                <w:b/>
                <w:bCs/>
                <w:color w:val="0000FF"/>
                <w:szCs w:val="24"/>
                <w:lang w:eastAsia="tr-TR"/>
              </w:rPr>
              <w:t xml:space="preserve"> dairesi yetkilidir.</w:t>
            </w:r>
          </w:p>
          <w:p w:rsidR="00A46C6E" w:rsidRPr="00A23740" w:rsidRDefault="00A46C6E" w:rsidP="00196116">
            <w:pPr>
              <w:widowControl w:val="0"/>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21" w:name="_Hlk134297473"/>
          </w:p>
          <w:p w:rsidR="00196116" w:rsidRDefault="003B700B" w:rsidP="00196116">
            <w:pPr>
              <w:ind w:firstLine="709"/>
              <w:rPr>
                <w:rFonts w:eastAsia="Times New Roman"/>
                <w:b/>
                <w:bCs/>
                <w:color w:val="0000FF"/>
                <w:szCs w:val="24"/>
                <w:lang w:eastAsia="x-none"/>
              </w:rPr>
            </w:pPr>
            <w:r w:rsidRPr="00A23740">
              <w:rPr>
                <w:rFonts w:eastAsia="Times New Roman"/>
                <w:b/>
                <w:szCs w:val="24"/>
              </w:rPr>
              <w:t>MADDE 472</w:t>
            </w:r>
            <w:r w:rsidR="00A46C6E" w:rsidRPr="00A23740">
              <w:rPr>
                <w:rFonts w:eastAsia="Times New Roman"/>
                <w:b/>
                <w:szCs w:val="24"/>
              </w:rPr>
              <w:t xml:space="preserve">- </w:t>
            </w:r>
            <w:bookmarkStart w:id="22" w:name="_Hlk172719675"/>
            <w:r w:rsidR="00A46C6E" w:rsidRPr="00A23740">
              <w:rPr>
                <w:bCs/>
                <w:szCs w:val="24"/>
                <w:lang w:eastAsia="x-none"/>
              </w:rPr>
              <w:t xml:space="preserve">Maddeyle, </w:t>
            </w:r>
            <w:r w:rsidR="00A46C6E" w:rsidRPr="00A23740">
              <w:rPr>
                <w:rFonts w:eastAsia="Times New Roman"/>
                <w:szCs w:val="24"/>
              </w:rPr>
              <w:t>rehnin paraya çevrilmesinde uygulanacak hükümlere ilişkin hususlar düzenlenmektedir</w:t>
            </w:r>
            <w:bookmarkEnd w:id="22"/>
            <w:r w:rsidR="00A46C6E" w:rsidRPr="00A23740">
              <w:rPr>
                <w:rFonts w:eastAsia="Times New Roman"/>
                <w:szCs w:val="24"/>
              </w:rPr>
              <w:t>.</w:t>
            </w:r>
            <w:bookmarkEnd w:id="21"/>
          </w:p>
          <w:p w:rsidR="00196116" w:rsidRDefault="00A46C6E" w:rsidP="00196116">
            <w:pPr>
              <w:ind w:firstLine="709"/>
              <w:rPr>
                <w:rFonts w:eastAsia="Times New Roman"/>
                <w:b/>
                <w:bCs/>
                <w:color w:val="0000FF"/>
                <w:szCs w:val="24"/>
                <w:lang w:eastAsia="x-none"/>
              </w:rPr>
            </w:pPr>
            <w:r w:rsidRPr="00A23740">
              <w:rPr>
                <w:rFonts w:eastAsia="Times New Roman"/>
                <w:szCs w:val="24"/>
              </w:rPr>
              <w:t xml:space="preserve">2004 sayılı Kanunun 153/a maddesinin birinci fıkrası, </w:t>
            </w:r>
            <w:r w:rsidR="00333A5B" w:rsidRPr="00E65BE7">
              <w:rPr>
                <w:rFonts w:eastAsia="Times New Roman"/>
                <w:szCs w:val="24"/>
              </w:rPr>
              <w:t>bu</w:t>
            </w:r>
            <w:r w:rsidR="00333A5B" w:rsidRPr="00E65BE7">
              <w:rPr>
                <w:rFonts w:eastAsia="Times New Roman"/>
                <w:b/>
                <w:bCs/>
                <w:szCs w:val="24"/>
              </w:rPr>
              <w:t xml:space="preserve"> </w:t>
            </w:r>
            <w:r w:rsidR="00333A5B" w:rsidRPr="00E65BE7">
              <w:rPr>
                <w:rFonts w:eastAsia="Times New Roman"/>
                <w:szCs w:val="24"/>
              </w:rPr>
              <w:t>maddenin</w:t>
            </w:r>
            <w:r w:rsidR="00333A5B" w:rsidRPr="00A23740">
              <w:rPr>
                <w:rFonts w:eastAsia="Times New Roman"/>
                <w:szCs w:val="24"/>
              </w:rPr>
              <w:t xml:space="preserve"> </w:t>
            </w:r>
            <w:r w:rsidRPr="00A23740">
              <w:rPr>
                <w:rFonts w:eastAsia="Times New Roman"/>
                <w:szCs w:val="24"/>
              </w:rPr>
              <w:t>üçüncü fıkrasının; 2004 sayılı Kanunun 153/a maddesinin ikinci fıkrası ise,</w:t>
            </w:r>
            <w:r w:rsidR="00333A5B" w:rsidRPr="00A23740">
              <w:rPr>
                <w:rFonts w:eastAsia="Times New Roman"/>
                <w:szCs w:val="24"/>
              </w:rPr>
              <w:t xml:space="preserve"> </w:t>
            </w:r>
            <w:r w:rsidR="00333A5B" w:rsidRPr="00E65BE7">
              <w:rPr>
                <w:rFonts w:eastAsia="Times New Roman"/>
                <w:szCs w:val="24"/>
              </w:rPr>
              <w:t>bu</w:t>
            </w:r>
            <w:r w:rsidR="00333A5B" w:rsidRPr="00A23740">
              <w:rPr>
                <w:rStyle w:val="KonuBalChar"/>
                <w:rFonts w:eastAsia="Calibri"/>
              </w:rPr>
              <w:t xml:space="preserve"> </w:t>
            </w:r>
            <w:r w:rsidR="00333A5B" w:rsidRPr="00E65BE7">
              <w:rPr>
                <w:rFonts w:eastAsia="Times New Roman"/>
                <w:szCs w:val="24"/>
              </w:rPr>
              <w:t>maddenin</w:t>
            </w:r>
            <w:r w:rsidR="00333A5B" w:rsidRPr="00A23740">
              <w:rPr>
                <w:rFonts w:eastAsia="Times New Roman"/>
                <w:szCs w:val="24"/>
              </w:rPr>
              <w:t xml:space="preserve"> </w:t>
            </w:r>
            <w:r w:rsidRPr="00A23740">
              <w:rPr>
                <w:rFonts w:eastAsia="Times New Roman"/>
                <w:szCs w:val="24"/>
              </w:rPr>
              <w:t>dördüncü</w:t>
            </w:r>
            <w:r w:rsidR="00333A5B" w:rsidRPr="00A23740">
              <w:rPr>
                <w:rStyle w:val="KonuBalChar"/>
                <w:rFonts w:eastAsia="Calibri"/>
              </w:rPr>
              <w:t xml:space="preserve"> </w:t>
            </w:r>
            <w:r w:rsidRPr="00A23740">
              <w:rPr>
                <w:rFonts w:eastAsia="Times New Roman"/>
                <w:szCs w:val="24"/>
              </w:rPr>
              <w:t xml:space="preserve">fıkrasının tekrarı gibi görünmektedir. Ancak </w:t>
            </w:r>
            <w:r w:rsidR="00BC5952" w:rsidRPr="00E65BE7">
              <w:rPr>
                <w:rFonts w:eastAsia="Times New Roman"/>
                <w:szCs w:val="24"/>
              </w:rPr>
              <w:t>bu</w:t>
            </w:r>
            <w:r w:rsidR="00BC5952" w:rsidRPr="00A23740">
              <w:rPr>
                <w:rStyle w:val="KonuBalChar"/>
                <w:rFonts w:eastAsia="Calibri"/>
              </w:rPr>
              <w:t xml:space="preserve"> </w:t>
            </w:r>
            <w:r w:rsidR="00BC5952" w:rsidRPr="00E65BE7">
              <w:rPr>
                <w:rFonts w:eastAsia="Times New Roman"/>
                <w:szCs w:val="24"/>
              </w:rPr>
              <w:t>maddenin</w:t>
            </w:r>
            <w:r w:rsidR="00BC5952" w:rsidRPr="00A23740">
              <w:rPr>
                <w:rStyle w:val="KonuBalChar"/>
                <w:rFonts w:eastAsia="Calibri"/>
              </w:rPr>
              <w:t xml:space="preserve"> </w:t>
            </w:r>
            <w:r w:rsidRPr="00A23740">
              <w:rPr>
                <w:rFonts w:eastAsia="Times New Roman"/>
                <w:szCs w:val="24"/>
              </w:rPr>
              <w:t>üçüncü ve dördüncü fıkraları</w:t>
            </w:r>
            <w:r w:rsidRPr="00A23740">
              <w:rPr>
                <w:rFonts w:eastAsia="Times New Roman"/>
                <w:color w:val="C00000"/>
                <w:szCs w:val="24"/>
              </w:rPr>
              <w:t xml:space="preserve"> </w:t>
            </w:r>
            <w:r w:rsidRPr="00A23740">
              <w:rPr>
                <w:rFonts w:eastAsia="Times New Roman"/>
                <w:szCs w:val="24"/>
              </w:rPr>
              <w:t xml:space="preserve">rehinli alacakların takip yolları; 2004 sayılı Kanunun 153/a maddesinin birinci ve ikinci fıkraları ise rehnin paraya çevrilmesinde uygulanacak hükümler hakkındadır. Bu nedenle 2004 sayılı Kanunun 153/a maddesinin birinci fıkrası, maddenin birinci fıkrasına; 2004 sayılı Kanunun 153/a maddesinin ikinci fıkrasının birinci ve ikinci cümleleri ise maddenin ikinci fıkrasına alınmıştır. </w:t>
            </w:r>
          </w:p>
          <w:p w:rsidR="00196116" w:rsidRDefault="00A46C6E" w:rsidP="00196116">
            <w:pPr>
              <w:ind w:firstLine="709"/>
              <w:rPr>
                <w:rFonts w:eastAsia="Times New Roman"/>
                <w:b/>
                <w:bCs/>
                <w:color w:val="0000FF"/>
                <w:szCs w:val="24"/>
                <w:lang w:eastAsia="x-none"/>
              </w:rPr>
            </w:pPr>
            <w:r w:rsidRPr="00A23740">
              <w:rPr>
                <w:rFonts w:eastAsia="Times New Roman"/>
                <w:szCs w:val="24"/>
              </w:rPr>
              <w:t>2004 sayılı Kanunun 153/a maddesinin üçüncü fıkrası, bu fıkrada atıf yapılan hükümler Taslağa uygun şekilde değiştirilmek ve üç ayrı fıkraya bölünm</w:t>
            </w:r>
            <w:r w:rsidR="00A127B1">
              <w:rPr>
                <w:rFonts w:eastAsia="Times New Roman"/>
                <w:szCs w:val="24"/>
              </w:rPr>
              <w:t>ek suretiyle maddenin üçüncü ila</w:t>
            </w:r>
            <w:r w:rsidRPr="00A23740">
              <w:rPr>
                <w:rFonts w:eastAsia="Times New Roman"/>
                <w:szCs w:val="24"/>
              </w:rPr>
              <w:t xml:space="preserve"> beşinci fıkralarına alınmıştır. </w:t>
            </w:r>
          </w:p>
          <w:p w:rsidR="00A46C6E" w:rsidRPr="00196116" w:rsidRDefault="00A46C6E" w:rsidP="00196116">
            <w:pPr>
              <w:ind w:firstLine="709"/>
              <w:rPr>
                <w:rFonts w:eastAsia="Times New Roman"/>
                <w:b/>
                <w:bCs/>
                <w:color w:val="0000FF"/>
                <w:szCs w:val="24"/>
                <w:lang w:eastAsia="x-none"/>
              </w:rPr>
            </w:pPr>
            <w:r w:rsidRPr="00A23740">
              <w:rPr>
                <w:rFonts w:eastAsia="Times New Roman"/>
                <w:szCs w:val="24"/>
              </w:rPr>
              <w:t>Maddenin altıncı fıkrası ise 2004 sayılı Kanunun 153/a maddesinin ikinci fıkrasının son cümlesinden aynen alınmıştır.</w:t>
            </w:r>
          </w:p>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x-none"/>
              </w:rPr>
            </w:pPr>
          </w:p>
          <w:p w:rsidR="00B77E55" w:rsidRPr="00A23740" w:rsidRDefault="00B77E55" w:rsidP="009431FF">
            <w:pPr>
              <w:rPr>
                <w:rFonts w:eastAsia="Times New Roman"/>
                <w:b/>
                <w:strike/>
                <w:color w:val="FF0000"/>
                <w:szCs w:val="24"/>
                <w:lang w:eastAsia="x-none"/>
              </w:rPr>
            </w:pPr>
          </w:p>
          <w:p w:rsidR="00A46C6E" w:rsidRPr="00A23740" w:rsidRDefault="00A46C6E" w:rsidP="009431FF">
            <w:pPr>
              <w:rPr>
                <w:rFonts w:eastAsia="Times New Roman"/>
                <w:b/>
                <w:strike/>
                <w:color w:val="FF0000"/>
                <w:szCs w:val="24"/>
                <w:lang w:eastAsia="x-none"/>
              </w:rPr>
            </w:pPr>
            <w:r w:rsidRPr="00A23740">
              <w:rPr>
                <w:rFonts w:eastAsia="Times New Roman"/>
                <w:b/>
                <w:strike/>
                <w:color w:val="FF0000"/>
                <w:szCs w:val="24"/>
                <w:lang w:eastAsia="x-none"/>
              </w:rPr>
              <w:t>III - Cebrî satış</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1.</w:t>
            </w:r>
            <w:r w:rsidRPr="00A23740">
              <w:rPr>
                <w:rFonts w:eastAsia="Times New Roman"/>
                <w:b/>
                <w:bCs/>
                <w:szCs w:val="24"/>
                <w:lang w:eastAsia="tr-TR"/>
              </w:rPr>
              <w:t xml:space="preserve"> Haciz</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b/>
                <w:strike/>
                <w:color w:val="FF0000"/>
                <w:szCs w:val="24"/>
                <w:lang w:eastAsia="x-none"/>
              </w:rPr>
              <w:t>1382</w:t>
            </w:r>
            <w:r w:rsidRPr="00A23740">
              <w:rPr>
                <w:rFonts w:eastAsia="Times New Roman"/>
                <w:szCs w:val="24"/>
                <w:lang w:eastAsia="tr-TR"/>
              </w:rPr>
              <w:t xml:space="preserve">- (1) Türk ve yabancı bayraklı bütün gemilerin kesin haczinde, ihtiyati hacze ilişkin </w:t>
            </w:r>
            <w:r w:rsidRPr="00A23740">
              <w:rPr>
                <w:b/>
                <w:strike/>
                <w:color w:val="FF0000"/>
                <w:szCs w:val="24"/>
                <w:lang w:eastAsia="x-none"/>
              </w:rPr>
              <w:t>1364</w:t>
            </w:r>
            <w:r w:rsidRPr="00A23740">
              <w:rPr>
                <w:rFonts w:eastAsia="Times New Roman"/>
                <w:szCs w:val="24"/>
                <w:lang w:eastAsia="tr-TR"/>
              </w:rPr>
              <w:t xml:space="preserve"> ilâ </w:t>
            </w:r>
            <w:r w:rsidRPr="00A23740">
              <w:rPr>
                <w:b/>
                <w:strike/>
                <w:color w:val="FF0000"/>
                <w:szCs w:val="24"/>
                <w:lang w:eastAsia="x-none"/>
              </w:rPr>
              <w:t>1368</w:t>
            </w:r>
            <w:r w:rsidRPr="00A23740">
              <w:rPr>
                <w:rFonts w:eastAsia="Times New Roman"/>
                <w:szCs w:val="24"/>
                <w:lang w:eastAsia="tr-TR"/>
              </w:rPr>
              <w:t xml:space="preserve"> inci maddeler uygulanır.</w:t>
            </w:r>
          </w:p>
          <w:p w:rsidR="00A46C6E" w:rsidRPr="00A23740" w:rsidRDefault="00A46C6E" w:rsidP="009431FF">
            <w:pPr>
              <w:rPr>
                <w:rFonts w:eastAsia="Times New Roman"/>
                <w:szCs w:val="24"/>
                <w:lang w:eastAsia="tr-TR"/>
              </w:rPr>
            </w:pPr>
          </w:p>
          <w:p w:rsidR="006E753D" w:rsidRDefault="006E753D" w:rsidP="009431FF">
            <w:pPr>
              <w:rPr>
                <w:rFonts w:eastAsia="Times New Roman"/>
                <w:szCs w:val="24"/>
                <w:lang w:eastAsia="tr-TR"/>
              </w:rPr>
            </w:pPr>
          </w:p>
          <w:p w:rsidR="00E26FFD" w:rsidRPr="00A23740" w:rsidRDefault="00E26FFD" w:rsidP="009431FF">
            <w:pPr>
              <w:rPr>
                <w:rFonts w:eastAsia="Times New Roman"/>
                <w:szCs w:val="24"/>
                <w:lang w:eastAsia="tr-TR"/>
              </w:rPr>
            </w:pPr>
          </w:p>
          <w:p w:rsidR="00A46C6E" w:rsidRPr="00A23740" w:rsidRDefault="00A46C6E" w:rsidP="009431FF">
            <w:pPr>
              <w:rPr>
                <w:rFonts w:eastAsia="Times New Roman"/>
                <w:szCs w:val="24"/>
              </w:rPr>
            </w:pPr>
            <w:r w:rsidRPr="00A23740">
              <w:rPr>
                <w:rFonts w:eastAsia="Times New Roman"/>
                <w:szCs w:val="24"/>
                <w:lang w:eastAsia="tr-TR"/>
              </w:rPr>
              <w:t xml:space="preserve">(2) Gemilerin </w:t>
            </w:r>
            <w:r w:rsidRPr="00A23740">
              <w:rPr>
                <w:rFonts w:eastAsia="Times New Roman"/>
                <w:b/>
                <w:strike/>
                <w:color w:val="FF0000"/>
                <w:szCs w:val="24"/>
                <w:lang w:eastAsia="tr-TR"/>
              </w:rPr>
              <w:t>icra yoluyla</w:t>
            </w:r>
            <w:r w:rsidRPr="00A23740">
              <w:rPr>
                <w:rFonts w:eastAsia="Times New Roman"/>
                <w:szCs w:val="24"/>
                <w:lang w:eastAsia="tr-TR"/>
              </w:rPr>
              <w:t xml:space="preserve"> haczinde, alacağın </w:t>
            </w:r>
            <w:r w:rsidRPr="00A23740">
              <w:rPr>
                <w:b/>
                <w:strike/>
                <w:color w:val="FF0000"/>
                <w:szCs w:val="24"/>
                <w:lang w:eastAsia="x-none"/>
              </w:rPr>
              <w:t>1352 nci</w:t>
            </w:r>
            <w:r w:rsidRPr="00A23740">
              <w:rPr>
                <w:rFonts w:eastAsia="Times New Roman"/>
                <w:szCs w:val="24"/>
                <w:lang w:eastAsia="tr-TR"/>
              </w:rPr>
              <w:t xml:space="preserve"> maddede sayılan deniz alacaklarından olması şartı aranmaz.</w:t>
            </w:r>
          </w:p>
        </w:tc>
        <w:tc>
          <w:tcPr>
            <w:tcW w:w="2500" w:type="pct"/>
            <w:shd w:val="clear" w:color="auto" w:fill="auto"/>
          </w:tcPr>
          <w:p w:rsidR="00B77E55" w:rsidRPr="00E65BE7" w:rsidRDefault="00B77E55" w:rsidP="009431FF">
            <w:pPr>
              <w:pStyle w:val="KonuBal"/>
              <w:jc w:val="center"/>
              <w:rPr>
                <w:color w:val="0000FF"/>
              </w:rPr>
            </w:pPr>
            <w:r w:rsidRPr="00E65BE7">
              <w:rPr>
                <w:color w:val="0000FF"/>
              </w:rPr>
              <w:t>DÖRDÜNCÜ KISIM</w:t>
            </w:r>
          </w:p>
          <w:p w:rsidR="00A46C6E" w:rsidRPr="00A23740" w:rsidRDefault="00A46C6E" w:rsidP="009431FF">
            <w:pPr>
              <w:jc w:val="center"/>
              <w:rPr>
                <w:rFonts w:eastAsia="Times New Roman"/>
                <w:b/>
                <w:bCs/>
                <w:color w:val="0000FF"/>
                <w:szCs w:val="24"/>
                <w:lang w:eastAsia="x-none"/>
              </w:rPr>
            </w:pPr>
            <w:r w:rsidRPr="00A23740">
              <w:rPr>
                <w:rFonts w:eastAsia="Times New Roman"/>
                <w:b/>
                <w:bCs/>
                <w:color w:val="0000FF"/>
                <w:szCs w:val="24"/>
                <w:lang w:eastAsia="x-none"/>
              </w:rPr>
              <w:t>Haciz ve Satış</w:t>
            </w:r>
          </w:p>
          <w:p w:rsidR="00A46C6E" w:rsidRPr="00A23740" w:rsidRDefault="00A46C6E" w:rsidP="009431FF">
            <w:pPr>
              <w:jc w:val="center"/>
              <w:rPr>
                <w:rFonts w:eastAsia="Times New Roman"/>
                <w:b/>
                <w:bCs/>
                <w:color w:val="0000FF"/>
                <w:szCs w:val="24"/>
                <w:lang w:eastAsia="tr-TR"/>
              </w:rPr>
            </w:pPr>
          </w:p>
          <w:p w:rsidR="00A46C6E" w:rsidRPr="00A23740" w:rsidRDefault="00A46C6E" w:rsidP="009431FF">
            <w:pPr>
              <w:rPr>
                <w:rFonts w:eastAsia="Times New Roman"/>
                <w:b/>
                <w:bCs/>
                <w:szCs w:val="24"/>
                <w:lang w:eastAsia="tr-TR"/>
              </w:rPr>
            </w:pPr>
            <w:r w:rsidRPr="00A23740">
              <w:rPr>
                <w:rFonts w:eastAsia="Times New Roman"/>
                <w:b/>
                <w:bCs/>
                <w:szCs w:val="24"/>
                <w:lang w:eastAsia="tr-TR"/>
              </w:rPr>
              <w:t>Haciz</w:t>
            </w:r>
          </w:p>
          <w:p w:rsidR="00A46C6E" w:rsidRPr="00A23740" w:rsidRDefault="003B700B" w:rsidP="009431FF">
            <w:pPr>
              <w:rPr>
                <w:rFonts w:eastAsia="Times New Roman"/>
                <w:szCs w:val="24"/>
                <w:lang w:eastAsia="tr-TR"/>
              </w:rPr>
            </w:pPr>
            <w:r w:rsidRPr="00E26FFD">
              <w:rPr>
                <w:b/>
              </w:rPr>
              <w:t>MADDE</w:t>
            </w:r>
            <w:r w:rsidRPr="00A23740">
              <w:rPr>
                <w:rFonts w:eastAsia="Times New Roman"/>
                <w:b/>
                <w:bCs/>
                <w:color w:val="0000FF"/>
                <w:szCs w:val="24"/>
                <w:lang w:eastAsia="tr-TR"/>
              </w:rPr>
              <w:t xml:space="preserve"> 473</w:t>
            </w:r>
            <w:r w:rsidR="00A46C6E" w:rsidRPr="00A23740">
              <w:rPr>
                <w:rFonts w:eastAsia="Times New Roman"/>
                <w:b/>
                <w:bCs/>
                <w:color w:val="0000FF"/>
                <w:szCs w:val="24"/>
                <w:lang w:eastAsia="tr-TR"/>
              </w:rPr>
              <w:t xml:space="preserve">- </w:t>
            </w:r>
            <w:r w:rsidR="00A46C6E" w:rsidRPr="00E26FFD">
              <w:t>(1)</w:t>
            </w:r>
            <w:r w:rsidR="00A46C6E" w:rsidRPr="00A23740">
              <w:rPr>
                <w:rFonts w:eastAsia="Times New Roman"/>
                <w:szCs w:val="24"/>
                <w:lang w:eastAsia="tr-TR"/>
              </w:rPr>
              <w:t xml:space="preserve"> Türk ve yabancı bayraklı bütün gemilerin haczinde, ihtiyati hacze ilişkin</w:t>
            </w:r>
            <w:r w:rsidR="006E753D" w:rsidRPr="00A23740">
              <w:rPr>
                <w:rFonts w:eastAsia="Times New Roman"/>
                <w:szCs w:val="24"/>
                <w:lang w:eastAsia="tr-TR"/>
              </w:rPr>
              <w:t xml:space="preserve"> </w:t>
            </w:r>
            <w:r w:rsidR="006E753D" w:rsidRPr="00E65BE7">
              <w:rPr>
                <w:rStyle w:val="KonuBalChar"/>
                <w:rFonts w:eastAsia="Calibri"/>
                <w:color w:val="0000FF"/>
              </w:rPr>
              <w:t>498, 500 ve 501 inci</w:t>
            </w:r>
            <w:r w:rsidR="00A46C6E" w:rsidRPr="00A23740">
              <w:rPr>
                <w:rFonts w:eastAsia="Times New Roman"/>
                <w:szCs w:val="24"/>
                <w:lang w:eastAsia="tr-TR"/>
              </w:rPr>
              <w:t xml:space="preserve"> maddeler </w:t>
            </w:r>
            <w:r w:rsidR="00A46C6E" w:rsidRPr="00E65BE7">
              <w:rPr>
                <w:rFonts w:eastAsia="Times New Roman"/>
                <w:b/>
                <w:bCs/>
                <w:color w:val="0000FF"/>
                <w:szCs w:val="24"/>
                <w:lang w:eastAsia="tr-TR"/>
              </w:rPr>
              <w:t>ile niteliğine uygun düştüğü ölçüde bu Kanunun hacze ilişkin hükümleri</w:t>
            </w:r>
            <w:r w:rsidR="00A46C6E" w:rsidRPr="00A23740">
              <w:rPr>
                <w:rFonts w:eastAsia="Times New Roman"/>
                <w:szCs w:val="24"/>
                <w:lang w:eastAsia="tr-TR"/>
              </w:rPr>
              <w:t xml:space="preserve"> uygulanır.</w:t>
            </w:r>
          </w:p>
          <w:p w:rsidR="00A46C6E" w:rsidRPr="00A23740" w:rsidRDefault="00A46C6E" w:rsidP="009431FF">
            <w:pPr>
              <w:rPr>
                <w:rFonts w:eastAsia="Times New Roman"/>
                <w:szCs w:val="24"/>
                <w:lang w:eastAsia="tr-TR"/>
              </w:rPr>
            </w:pPr>
          </w:p>
          <w:p w:rsidR="00D51EC7" w:rsidRPr="00A23740" w:rsidRDefault="00A46C6E" w:rsidP="009431FF">
            <w:pPr>
              <w:rPr>
                <w:rFonts w:eastAsia="Times New Roman"/>
                <w:szCs w:val="24"/>
                <w:lang w:eastAsia="tr-TR"/>
              </w:rPr>
            </w:pPr>
            <w:r w:rsidRPr="00E26FFD">
              <w:t>(2)</w:t>
            </w:r>
            <w:r w:rsidRPr="00A23740">
              <w:rPr>
                <w:rFonts w:eastAsia="Times New Roman"/>
                <w:szCs w:val="24"/>
                <w:lang w:eastAsia="tr-TR"/>
              </w:rPr>
              <w:t xml:space="preserve"> Gemilerin haczinde, alacağın</w:t>
            </w:r>
            <w:r w:rsidR="006E753D" w:rsidRPr="00A23740">
              <w:rPr>
                <w:rFonts w:eastAsia="Times New Roman"/>
                <w:szCs w:val="24"/>
                <w:lang w:eastAsia="tr-TR"/>
              </w:rPr>
              <w:t xml:space="preserve"> </w:t>
            </w:r>
            <w:r w:rsidR="006E753D" w:rsidRPr="00E65BE7">
              <w:rPr>
                <w:rStyle w:val="KonuBalChar"/>
                <w:rFonts w:eastAsia="Calibri"/>
                <w:color w:val="0000FF"/>
              </w:rPr>
              <w:t>493 üncü</w:t>
            </w:r>
            <w:r w:rsidRPr="00A23740">
              <w:rPr>
                <w:rFonts w:eastAsia="Times New Roman"/>
                <w:szCs w:val="24"/>
                <w:lang w:eastAsia="tr-TR"/>
              </w:rPr>
              <w:t xml:space="preserve"> maddede sayılan deniz alacaklarından olması şartı aranmaz.</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23" w:name="_Hlk134297382"/>
          </w:p>
          <w:p w:rsidR="00A46C6E" w:rsidRPr="00A23740" w:rsidRDefault="003B700B" w:rsidP="009431FF">
            <w:pPr>
              <w:tabs>
                <w:tab w:val="left" w:pos="555"/>
              </w:tabs>
              <w:ind w:firstLine="567"/>
              <w:rPr>
                <w:rFonts w:eastAsia="Times New Roman"/>
                <w:b/>
                <w:szCs w:val="24"/>
              </w:rPr>
            </w:pPr>
            <w:r w:rsidRPr="00A23740">
              <w:rPr>
                <w:rFonts w:eastAsia="Times New Roman"/>
                <w:b/>
                <w:szCs w:val="24"/>
              </w:rPr>
              <w:t>MADDE 473</w:t>
            </w:r>
            <w:r w:rsidR="00A46C6E" w:rsidRPr="00A23740">
              <w:rPr>
                <w:rFonts w:eastAsia="Times New Roman"/>
                <w:b/>
                <w:szCs w:val="24"/>
              </w:rPr>
              <w:t xml:space="preserve">- </w:t>
            </w:r>
            <w:bookmarkStart w:id="24" w:name="_Hlk172721024"/>
            <w:r w:rsidR="00A46C6E" w:rsidRPr="00A23740">
              <w:rPr>
                <w:bCs/>
                <w:szCs w:val="24"/>
                <w:lang w:eastAsia="x-none"/>
              </w:rPr>
              <w:t>Maddeyle, hacze ilişkin hususlar düzenlenmektedir.</w:t>
            </w:r>
            <w:bookmarkEnd w:id="24"/>
          </w:p>
          <w:p w:rsidR="00A46C6E" w:rsidRPr="00A23740" w:rsidRDefault="00A46C6E" w:rsidP="009431FF">
            <w:pPr>
              <w:ind w:firstLine="567"/>
              <w:rPr>
                <w:rFonts w:eastAsia="Times New Roman"/>
                <w:szCs w:val="24"/>
              </w:rPr>
            </w:pPr>
            <w:r w:rsidRPr="00A23740">
              <w:rPr>
                <w:rFonts w:eastAsia="Times New Roman"/>
                <w:szCs w:val="24"/>
              </w:rPr>
              <w:t>Taşınır mal olması sebebiyle gemilerin kesin haczi hakkında, bu kapsamda özellikle haciz kararının nasıl uygulanacağı konusunda özel düzenleme getirilmesi zorunludur. 6102 sayılı Kanunun 1382 nci maddesinin birinci fıkrasında da geminin kesin haczinde 6102 sayılı Kanunun “ihtiyati haczin yapılması” üst b</w:t>
            </w:r>
            <w:r w:rsidR="00A127B1">
              <w:rPr>
                <w:rFonts w:eastAsia="Times New Roman"/>
                <w:szCs w:val="24"/>
              </w:rPr>
              <w:t>aşlığı altında yer alan 1364 ila</w:t>
            </w:r>
            <w:r w:rsidRPr="00A23740">
              <w:rPr>
                <w:rFonts w:eastAsia="Times New Roman"/>
                <w:szCs w:val="24"/>
              </w:rPr>
              <w:t xml:space="preserve"> 1368 inci maddelerinin uygulanacağı hüküm altına alınmıştır. Anılan hüküm bu maddenin birinci fıkrasına alınırken Taslağın ihtiyati hacze ilişkin maddelerinden “ihtiyati haciz kararının uygulanması” hakkındaki</w:t>
            </w:r>
            <w:r w:rsidR="006E0E5B" w:rsidRPr="00A23740">
              <w:rPr>
                <w:rFonts w:eastAsia="Times New Roman"/>
                <w:szCs w:val="24"/>
              </w:rPr>
              <w:t xml:space="preserve"> </w:t>
            </w:r>
            <w:r w:rsidR="006E0E5B" w:rsidRPr="00E65BE7">
              <w:rPr>
                <w:rStyle w:val="KonuBalChar"/>
                <w:rFonts w:eastAsia="Calibri"/>
                <w:b w:val="0"/>
                <w:color w:val="auto"/>
              </w:rPr>
              <w:t>498</w:t>
            </w:r>
            <w:r w:rsidR="006E0E5B" w:rsidRPr="00A23740">
              <w:rPr>
                <w:rStyle w:val="KonuBalChar"/>
                <w:rFonts w:eastAsia="Calibri"/>
              </w:rPr>
              <w:t xml:space="preserve"> </w:t>
            </w:r>
            <w:r w:rsidR="006E0E5B" w:rsidRPr="00E65BE7">
              <w:rPr>
                <w:rStyle w:val="KonuBalChar"/>
                <w:rFonts w:eastAsia="Calibri"/>
                <w:b w:val="0"/>
                <w:color w:val="auto"/>
              </w:rPr>
              <w:t>inci</w:t>
            </w:r>
            <w:r w:rsidRPr="00A23740">
              <w:rPr>
                <w:rFonts w:eastAsia="Times New Roman"/>
                <w:szCs w:val="24"/>
              </w:rPr>
              <w:t xml:space="preserve"> maddenin, “yola çıkmış geminin ihtiyati haczi” hakkındaki</w:t>
            </w:r>
            <w:r w:rsidR="006E0E5B" w:rsidRPr="00A23740">
              <w:rPr>
                <w:rFonts w:eastAsia="Times New Roman"/>
                <w:szCs w:val="24"/>
              </w:rPr>
              <w:t xml:space="preserve"> </w:t>
            </w:r>
            <w:r w:rsidR="006E0E5B" w:rsidRPr="00E65BE7">
              <w:rPr>
                <w:rFonts w:eastAsia="Times New Roman"/>
                <w:bCs/>
                <w:szCs w:val="24"/>
              </w:rPr>
              <w:t>500</w:t>
            </w:r>
            <w:r w:rsidR="006E0E5B" w:rsidRPr="00E65BE7">
              <w:rPr>
                <w:rFonts w:eastAsia="Times New Roman"/>
                <w:b/>
                <w:bCs/>
                <w:szCs w:val="24"/>
              </w:rPr>
              <w:t xml:space="preserve"> </w:t>
            </w:r>
            <w:r w:rsidR="006E0E5B" w:rsidRPr="00E65BE7">
              <w:rPr>
                <w:rFonts w:eastAsia="Times New Roman"/>
                <w:bCs/>
                <w:szCs w:val="24"/>
              </w:rPr>
              <w:t>üncü</w:t>
            </w:r>
            <w:r w:rsidRPr="00A23740">
              <w:rPr>
                <w:rFonts w:eastAsia="Times New Roman"/>
                <w:szCs w:val="24"/>
              </w:rPr>
              <w:t xml:space="preserve"> maddenin ve “ihtiyati haczin kapsamı, geminin idaresi ve işletilmesi” hakkındaki</w:t>
            </w:r>
            <w:r w:rsidR="006E0E5B" w:rsidRPr="00A23740">
              <w:rPr>
                <w:rFonts w:eastAsia="Times New Roman"/>
                <w:szCs w:val="24"/>
              </w:rPr>
              <w:t xml:space="preserve"> </w:t>
            </w:r>
            <w:r w:rsidR="006E0E5B" w:rsidRPr="00E65BE7">
              <w:rPr>
                <w:rStyle w:val="KonuBalChar"/>
                <w:rFonts w:eastAsia="Calibri"/>
                <w:b w:val="0"/>
                <w:color w:val="auto"/>
              </w:rPr>
              <w:t>501 inci</w:t>
            </w:r>
            <w:r w:rsidRPr="00A23740">
              <w:rPr>
                <w:rFonts w:eastAsia="Times New Roman"/>
                <w:szCs w:val="24"/>
              </w:rPr>
              <w:t xml:space="preserve"> maddenin geminin </w:t>
            </w:r>
            <w:r w:rsidR="0070369B" w:rsidRPr="00E65BE7">
              <w:rPr>
                <w:rStyle w:val="YELChar"/>
                <w:b w:val="0"/>
                <w:color w:val="auto"/>
              </w:rPr>
              <w:t>icra takibi kesinleştikten sonra gerçekleşen</w:t>
            </w:r>
            <w:r w:rsidR="0070369B" w:rsidRPr="00A23740">
              <w:rPr>
                <w:rFonts w:eastAsia="Times New Roman"/>
                <w:szCs w:val="24"/>
              </w:rPr>
              <w:t xml:space="preserve"> </w:t>
            </w:r>
            <w:r w:rsidRPr="00A23740">
              <w:rPr>
                <w:rFonts w:eastAsia="Times New Roman"/>
                <w:szCs w:val="24"/>
              </w:rPr>
              <w:t xml:space="preserve">haczinde de uygulanacağı hüküm altına alınmıştır. Ayrıca 6102 sayılı Kanunun 1382 nci maddesinin birinci fıkrasından farklı olarak “niteliğine uygun düştüğü ölçüde bu </w:t>
            </w:r>
            <w:r w:rsidR="00803DCC" w:rsidRPr="00E65BE7">
              <w:rPr>
                <w:rStyle w:val="KonuBalChar"/>
                <w:rFonts w:eastAsia="Calibri"/>
                <w:b w:val="0"/>
                <w:color w:val="auto"/>
              </w:rPr>
              <w:t>Taslağın</w:t>
            </w:r>
            <w:r w:rsidR="00803DCC" w:rsidRPr="00A23740">
              <w:rPr>
                <w:rFonts w:eastAsia="Times New Roman"/>
                <w:szCs w:val="24"/>
              </w:rPr>
              <w:t xml:space="preserve"> </w:t>
            </w:r>
            <w:r w:rsidRPr="00A23740">
              <w:rPr>
                <w:rFonts w:eastAsia="Times New Roman"/>
                <w:szCs w:val="24"/>
              </w:rPr>
              <w:t xml:space="preserve">hacze ilişkin hükümlerinin de gemilerin haczine uygulanacağı” belirtilmek suretiyle bu hususa açıklık getirilmiştir. </w:t>
            </w:r>
          </w:p>
          <w:p w:rsidR="00A46C6E" w:rsidRPr="00A23740" w:rsidRDefault="00A46C6E" w:rsidP="009431FF">
            <w:pPr>
              <w:ind w:firstLine="567"/>
              <w:rPr>
                <w:rFonts w:eastAsia="Times New Roman"/>
                <w:szCs w:val="24"/>
              </w:rPr>
            </w:pPr>
            <w:r w:rsidRPr="00A23740">
              <w:rPr>
                <w:rFonts w:eastAsia="Times New Roman"/>
                <w:szCs w:val="24"/>
              </w:rPr>
              <w:t>6102 sayılı Kanunun 1353 üncü maddesinin üçüncü fıkrasında “deniz alacaklarından başka alacaklar için gemi hakkında ihtiyati haciz karar verilemeyeceği” hüküm altına alınmış iken, 6102 sayılı Kanunun 1382 nci maddesinin ikinci fıkrasında “Gemilerin icra yoluyla haczinde, alacağın 1352 nci maddede sayılan deniz alacaklarından olması şartı aranmaz.” hükmüne yer verilmesi gereksizdir. 6102 sayılı Kanunun 1353 üncü maddesinin üçüncü fıkrası,</w:t>
            </w:r>
            <w:r w:rsidR="00DD7828" w:rsidRPr="00A23740">
              <w:rPr>
                <w:rFonts w:eastAsia="Times New Roman"/>
                <w:szCs w:val="24"/>
              </w:rPr>
              <w:t xml:space="preserve"> </w:t>
            </w:r>
            <w:r w:rsidR="00DD7828" w:rsidRPr="00E65BE7">
              <w:rPr>
                <w:rStyle w:val="KonuBalChar"/>
                <w:rFonts w:eastAsia="Calibri"/>
                <w:b w:val="0"/>
                <w:color w:val="auto"/>
              </w:rPr>
              <w:t>490</w:t>
            </w:r>
            <w:r w:rsidR="00DD7828" w:rsidRPr="00A23740">
              <w:rPr>
                <w:rStyle w:val="KonuBalChar"/>
                <w:rFonts w:eastAsia="Calibri"/>
              </w:rPr>
              <w:t xml:space="preserve"> </w:t>
            </w:r>
            <w:r w:rsidR="00DD7828" w:rsidRPr="00E65BE7">
              <w:rPr>
                <w:rStyle w:val="KonuBalChar"/>
                <w:rFonts w:eastAsia="Calibri"/>
                <w:b w:val="0"/>
                <w:color w:val="auto"/>
              </w:rPr>
              <w:t>uncu</w:t>
            </w:r>
            <w:r w:rsidRPr="00A23740">
              <w:rPr>
                <w:rFonts w:eastAsia="Times New Roman"/>
                <w:szCs w:val="24"/>
              </w:rPr>
              <w:t xml:space="preserve"> maddesinin birinci fıkrasına alındığından ve bu hükme göre alacağın deniz alacaklarından olması şartının sadece gemilerin ihtiyati haczinde aranacağı açık olduğundan, 6102 sayılı Kanunun 1382 nci maddesinin ikinci fıkrasının </w:t>
            </w:r>
            <w:r w:rsidR="00035EDE" w:rsidRPr="00A23740">
              <w:rPr>
                <w:rFonts w:eastAsia="Times New Roman"/>
                <w:szCs w:val="24"/>
              </w:rPr>
              <w:t xml:space="preserve">Taslağa </w:t>
            </w:r>
            <w:r w:rsidRPr="00A23740">
              <w:rPr>
                <w:rFonts w:eastAsia="Times New Roman"/>
                <w:szCs w:val="24"/>
              </w:rPr>
              <w:t>alınmasına esasen gerek yoktur. Ancak bu fıkra hükmünün Taslağa alınmamasının tereddüde sebebiyet verebileceği düşünülerek 6102 sayılı Kanunun 1382 nci maddesinin ikinci fıkrası “</w:t>
            </w:r>
            <w:r w:rsidRPr="00A23740">
              <w:rPr>
                <w:rFonts w:eastAsia="Times New Roman"/>
                <w:i/>
                <w:iCs/>
                <w:szCs w:val="24"/>
              </w:rPr>
              <w:t>Gemilerin haczinde alacağın</w:t>
            </w:r>
            <w:r w:rsidR="00DD7828" w:rsidRPr="00A23740">
              <w:rPr>
                <w:rFonts w:eastAsia="Times New Roman"/>
                <w:i/>
                <w:iCs/>
                <w:szCs w:val="24"/>
              </w:rPr>
              <w:t xml:space="preserve"> </w:t>
            </w:r>
            <w:r w:rsidR="00DD7828" w:rsidRPr="00E65BE7">
              <w:rPr>
                <w:rStyle w:val="KonuBalChar"/>
                <w:rFonts w:eastAsia="Calibri"/>
                <w:b w:val="0"/>
                <w:color w:val="auto"/>
              </w:rPr>
              <w:t>493</w:t>
            </w:r>
            <w:r w:rsidR="00DD7828" w:rsidRPr="00A23740">
              <w:rPr>
                <w:rStyle w:val="KonuBalChar"/>
                <w:rFonts w:eastAsia="Calibri"/>
              </w:rPr>
              <w:t xml:space="preserve"> </w:t>
            </w:r>
            <w:r w:rsidR="00DD7828" w:rsidRPr="00E65BE7">
              <w:rPr>
                <w:rStyle w:val="KonuBalChar"/>
                <w:rFonts w:eastAsia="Calibri"/>
                <w:b w:val="0"/>
                <w:color w:val="auto"/>
              </w:rPr>
              <w:t>üncü</w:t>
            </w:r>
            <w:r w:rsidRPr="00A23740">
              <w:rPr>
                <w:rFonts w:eastAsia="Times New Roman"/>
                <w:i/>
                <w:iCs/>
                <w:szCs w:val="24"/>
              </w:rPr>
              <w:t xml:space="preserve"> maddede sayılan deniz alacaklarından olması şartı aranmaz.</w:t>
            </w:r>
            <w:r w:rsidRPr="00A23740">
              <w:rPr>
                <w:rFonts w:eastAsia="Times New Roman"/>
                <w:szCs w:val="24"/>
              </w:rPr>
              <w:t xml:space="preserve">” şeklinde değiştirilerek alınmıştır. </w:t>
            </w:r>
          </w:p>
          <w:bookmarkEnd w:id="23"/>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x-none"/>
              </w:rPr>
            </w:pPr>
            <w:r w:rsidRPr="00A23740">
              <w:rPr>
                <w:rFonts w:eastAsia="Times New Roman"/>
                <w:b/>
                <w:strike/>
                <w:color w:val="FF0000"/>
                <w:szCs w:val="24"/>
                <w:lang w:eastAsia="x-none"/>
              </w:rPr>
              <w:t>2. Paraya çevirme</w:t>
            </w:r>
          </w:p>
          <w:p w:rsidR="00A46C6E" w:rsidRPr="00A23740" w:rsidRDefault="00A46C6E" w:rsidP="009431FF">
            <w:pPr>
              <w:rPr>
                <w:b/>
                <w:bCs/>
                <w:strike/>
                <w:color w:val="FF0000"/>
                <w:lang w:val="x-none" w:eastAsia="x-none"/>
              </w:rPr>
            </w:pPr>
            <w:r w:rsidRPr="00A23740">
              <w:rPr>
                <w:rFonts w:eastAsia="Times New Roman"/>
                <w:b/>
                <w:bCs/>
                <w:szCs w:val="24"/>
                <w:lang w:eastAsia="tr-TR"/>
              </w:rPr>
              <w:t xml:space="preserve">MADDE </w:t>
            </w:r>
            <w:r w:rsidRPr="00A23740">
              <w:rPr>
                <w:rFonts w:eastAsia="Times New Roman"/>
                <w:b/>
                <w:strike/>
                <w:color w:val="FF0000"/>
                <w:szCs w:val="24"/>
                <w:lang w:eastAsia="tr-TR"/>
              </w:rPr>
              <w:t>1383</w:t>
            </w:r>
            <w:r w:rsidRPr="00A23740">
              <w:rPr>
                <w:rFonts w:eastAsia="Times New Roman"/>
                <w:szCs w:val="24"/>
                <w:lang w:eastAsia="tr-TR"/>
              </w:rPr>
              <w:t xml:space="preserve">- (1) Bir sicile kayıtlı </w:t>
            </w:r>
            <w:r w:rsidRPr="00A23740">
              <w:rPr>
                <w:b/>
                <w:bCs/>
                <w:strike/>
                <w:color w:val="FF0000"/>
                <w:lang w:val="x-none" w:eastAsia="x-none"/>
              </w:rPr>
              <w:t xml:space="preserve">olan Türk ve yabancı bayraklı gemiler, İcra ve İflas Kanununun taşınmazların satışına ilişkin hükümlerine göre, bir sicile kayıtlı olmayan Türk ve yabancı bayraklı gemiler ise, aynı Kanunun taşınırların satışına ilişkin hükümleri uyarınca paraya çevrilirler. </w:t>
            </w:r>
          </w:p>
          <w:p w:rsidR="00A46C6E" w:rsidRPr="00A23740" w:rsidRDefault="00A46C6E" w:rsidP="009431FF">
            <w:pPr>
              <w:rPr>
                <w:rFonts w:eastAsia="Times New Roman"/>
                <w:szCs w:val="24"/>
                <w:lang w:eastAsia="tr-TR"/>
              </w:rPr>
            </w:pPr>
          </w:p>
          <w:p w:rsidR="00A46C6E" w:rsidRPr="00A23740" w:rsidRDefault="00A46C6E"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Taşınmazların satışına ilişkin hükümlerin gemilere uygulanması:</w:t>
            </w:r>
          </w:p>
          <w:p w:rsidR="00A46C6E" w:rsidRPr="00A23740" w:rsidRDefault="00A46C6E"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Madde 136 – (1) (Değişik: 14/1/2011-6103/41 md.)</w:t>
            </w:r>
          </w:p>
          <w:p w:rsidR="00A46C6E" w:rsidRPr="00A23740" w:rsidRDefault="00A46C6E"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Taşınmaz malların satışına ilişkin hükümler, bayrağı dikkate alınmaksızın gemi siciline kayıtlı bütün gemiler hakkında da uygulanır. Bu hükümlerde geçen “tapu sicili” terimi gemi sicilini, “ipotek” terimi gemi ipoteklerini ve “irtifak hakkı” terimi sicile kayıtlı gemiler üzerindeki intifa hakkını ifade eder.</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Satış</w:t>
            </w:r>
          </w:p>
          <w:p w:rsidR="00A46C6E" w:rsidRPr="00A23740" w:rsidRDefault="003B700B" w:rsidP="009431FF">
            <w:pPr>
              <w:rPr>
                <w:rFonts w:eastAsia="Times New Roman"/>
                <w:b/>
                <w:bCs/>
                <w:color w:val="0000FF"/>
                <w:szCs w:val="24"/>
                <w:lang w:eastAsia="tr-TR"/>
              </w:rPr>
            </w:pPr>
            <w:r w:rsidRPr="00E26FFD">
              <w:rPr>
                <w:rFonts w:eastAsia="Times New Roman"/>
                <w:b/>
                <w:bCs/>
                <w:color w:val="000000" w:themeColor="text1"/>
                <w:szCs w:val="24"/>
                <w:lang w:eastAsia="tr-TR"/>
              </w:rPr>
              <w:t xml:space="preserve">MADDE </w:t>
            </w:r>
            <w:r w:rsidRPr="00A23740">
              <w:rPr>
                <w:rFonts w:eastAsia="Times New Roman"/>
                <w:b/>
                <w:bCs/>
                <w:color w:val="0000FF"/>
                <w:szCs w:val="24"/>
                <w:lang w:eastAsia="tr-TR"/>
              </w:rPr>
              <w:t>474</w:t>
            </w:r>
            <w:r w:rsidR="00A46C6E" w:rsidRPr="00A23740">
              <w:rPr>
                <w:rFonts w:eastAsia="Times New Roman"/>
                <w:b/>
                <w:bCs/>
                <w:color w:val="0000FF"/>
                <w:szCs w:val="24"/>
                <w:lang w:eastAsia="tr-TR"/>
              </w:rPr>
              <w:t xml:space="preserve">- </w:t>
            </w:r>
            <w:r w:rsidR="00A46C6E" w:rsidRPr="00E26FFD">
              <w:t>(1)</w:t>
            </w:r>
            <w:r w:rsidR="00A46C6E" w:rsidRPr="00A23740">
              <w:rPr>
                <w:rFonts w:eastAsia="Times New Roman"/>
                <w:b/>
                <w:bCs/>
                <w:color w:val="0000FF"/>
                <w:szCs w:val="24"/>
                <w:lang w:eastAsia="tr-TR"/>
              </w:rPr>
              <w:t xml:space="preserve"> Bayrağına ve </w:t>
            </w:r>
            <w:r w:rsidR="00A46C6E" w:rsidRPr="00A23740">
              <w:rPr>
                <w:rFonts w:eastAsia="Times New Roman"/>
                <w:szCs w:val="24"/>
                <w:lang w:eastAsia="tr-TR"/>
              </w:rPr>
              <w:t>bir sicile kayıtlı</w:t>
            </w:r>
            <w:r w:rsidR="00A46C6E" w:rsidRPr="00A23740">
              <w:rPr>
                <w:rFonts w:eastAsia="Times New Roman"/>
                <w:b/>
                <w:bCs/>
                <w:color w:val="0000FF"/>
                <w:szCs w:val="24"/>
                <w:lang w:eastAsia="tr-TR"/>
              </w:rPr>
              <w:t xml:space="preserve"> olup olmadığına bakılmaksızın gemilerin paraya çevrilmesinde, bu Kitap hükümleri saklı kalmak kaydıyla ve uygun olduğu ölçüde bu Kanunun paraya çevirme hükümleri uygulanır.</w:t>
            </w:r>
          </w:p>
          <w:p w:rsidR="00A46C6E" w:rsidRPr="00A23740" w:rsidRDefault="00A46C6E" w:rsidP="009431FF">
            <w:pPr>
              <w:rPr>
                <w:rFonts w:eastAsia="Times New Roman"/>
                <w:b/>
                <w:bCs/>
                <w:color w:val="0000FF"/>
                <w:szCs w:val="24"/>
                <w:lang w:eastAsia="tr-TR"/>
              </w:rPr>
            </w:pPr>
          </w:p>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(2) Borçlu aynı zamanda gemi maliki ise</w:t>
            </w:r>
            <w:r w:rsidRPr="00A23740">
              <w:rPr>
                <w:rFonts w:eastAsia="Times New Roman"/>
                <w:bCs/>
                <w:color w:val="0000FF"/>
                <w:lang w:eastAsia="tr-TR"/>
              </w:rPr>
              <w:t>,</w:t>
            </w:r>
            <w:r w:rsidRPr="00A23740">
              <w:rPr>
                <w:rFonts w:eastAsia="Times New Roman"/>
                <w:b/>
                <w:bCs/>
                <w:color w:val="0000FF"/>
                <w:szCs w:val="24"/>
                <w:lang w:eastAsia="tr-TR"/>
              </w:rPr>
              <w:t xml:space="preserve"> rızaen satış yetkisi verilmesine </w:t>
            </w:r>
            <w:r w:rsidR="0070369B" w:rsidRPr="00E65BE7">
              <w:rPr>
                <w:rStyle w:val="YELChar"/>
                <w:color w:val="0000FF"/>
              </w:rPr>
              <w:t>ilişkin</w:t>
            </w:r>
            <w:r w:rsidR="00974E44" w:rsidRPr="00E65BE7">
              <w:rPr>
                <w:rStyle w:val="YELChar"/>
                <w:color w:val="0000FF"/>
              </w:rPr>
              <w:t xml:space="preserve"> </w:t>
            </w:r>
            <w:r w:rsidR="00A127B1">
              <w:rPr>
                <w:rStyle w:val="KonuBalChar"/>
                <w:rFonts w:eastAsia="ヒラギノ明朝 Pro W3"/>
                <w:color w:val="0000FF"/>
              </w:rPr>
              <w:t>238 ila</w:t>
            </w:r>
            <w:r w:rsidRPr="00E65BE7">
              <w:rPr>
                <w:rStyle w:val="KonuBalChar"/>
                <w:rFonts w:eastAsia="ヒラギノ明朝 Pro W3"/>
                <w:b w:val="0"/>
                <w:bCs w:val="0"/>
                <w:color w:val="0000FF"/>
              </w:rPr>
              <w:t xml:space="preserve"> </w:t>
            </w:r>
            <w:r w:rsidR="00974E44" w:rsidRPr="00E65BE7">
              <w:rPr>
                <w:rStyle w:val="KonuBalChar"/>
                <w:rFonts w:eastAsia="ヒラギノ明朝 Pro W3"/>
                <w:color w:val="0000FF"/>
              </w:rPr>
              <w:t>243</w:t>
            </w:r>
            <w:r w:rsidR="00974E44" w:rsidRPr="00E65BE7">
              <w:rPr>
                <w:rStyle w:val="KonuBalChar"/>
                <w:rFonts w:eastAsia="Calibri"/>
                <w:color w:val="0000FF"/>
                <w:lang w:val="tr-TR"/>
              </w:rPr>
              <w:t xml:space="preserve"> üncü</w:t>
            </w:r>
            <w:r w:rsidR="00974E44" w:rsidRPr="00A23740">
              <w:rPr>
                <w:rStyle w:val="KonuBalChar"/>
                <w:rFonts w:eastAsia="Calibri"/>
                <w:lang w:val="tr-TR"/>
              </w:rPr>
              <w:t xml:space="preserve"> </w:t>
            </w:r>
            <w:r w:rsidRPr="00A23740">
              <w:rPr>
                <w:rFonts w:eastAsia="Times New Roman"/>
                <w:b/>
                <w:bCs/>
                <w:color w:val="0000FF"/>
                <w:szCs w:val="24"/>
                <w:lang w:eastAsia="tr-TR"/>
              </w:rPr>
              <w:t>maddeler,</w:t>
            </w:r>
            <w:r w:rsidR="00974E44" w:rsidRPr="00A23740">
              <w:rPr>
                <w:rFonts w:eastAsia="Times New Roman"/>
                <w:b/>
                <w:bCs/>
                <w:color w:val="0000FF"/>
                <w:szCs w:val="24"/>
                <w:lang w:eastAsia="tr-TR"/>
              </w:rPr>
              <w:t xml:space="preserve"> </w:t>
            </w:r>
            <w:r w:rsidR="00974E44" w:rsidRPr="00E65BE7">
              <w:rPr>
                <w:rStyle w:val="KonuBalChar"/>
                <w:rFonts w:eastAsia="Calibri"/>
                <w:color w:val="0000FF"/>
              </w:rPr>
              <w:t>241 inci</w:t>
            </w:r>
            <w:r w:rsidRPr="00A23740">
              <w:rPr>
                <w:rFonts w:eastAsia="Times New Roman"/>
                <w:b/>
                <w:bCs/>
                <w:color w:val="0000FF"/>
                <w:szCs w:val="24"/>
                <w:lang w:eastAsia="tr-TR"/>
              </w:rPr>
              <w:t xml:space="preserve"> maddenin birinci fıkrasında öngörülen süre bir ay olmak kaydıyla bu kimse için de uygulanır.</w:t>
            </w:r>
          </w:p>
          <w:p w:rsidR="00A46C6E" w:rsidRPr="00A23740" w:rsidRDefault="00A46C6E" w:rsidP="009431FF">
            <w:pPr>
              <w:pStyle w:val="KIRMIZI"/>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rPr>
                <w:rFonts w:eastAsia="Times New Roman"/>
                <w:szCs w:val="24"/>
              </w:rPr>
            </w:pPr>
          </w:p>
          <w:p w:rsidR="00196116" w:rsidRDefault="003B700B" w:rsidP="00196116">
            <w:pPr>
              <w:ind w:firstLine="709"/>
              <w:rPr>
                <w:rFonts w:eastAsia="Times New Roman"/>
                <w:b/>
                <w:szCs w:val="24"/>
              </w:rPr>
            </w:pPr>
            <w:r w:rsidRPr="00A23740">
              <w:rPr>
                <w:rFonts w:eastAsia="Times New Roman"/>
                <w:b/>
                <w:szCs w:val="24"/>
              </w:rPr>
              <w:t>MADDE 474</w:t>
            </w:r>
            <w:r w:rsidR="00A46C6E" w:rsidRPr="00A23740">
              <w:rPr>
                <w:rFonts w:eastAsia="Times New Roman"/>
                <w:b/>
                <w:szCs w:val="24"/>
              </w:rPr>
              <w:t xml:space="preserve">- </w:t>
            </w:r>
            <w:bookmarkStart w:id="25" w:name="_Hlk172721439"/>
            <w:r w:rsidR="00A46C6E" w:rsidRPr="00A23740">
              <w:rPr>
                <w:bCs/>
                <w:szCs w:val="24"/>
                <w:lang w:eastAsia="x-none"/>
              </w:rPr>
              <w:t>Maddeyle, satışa ilişkin hususlar düzenlenmektedir</w:t>
            </w:r>
            <w:bookmarkEnd w:id="25"/>
            <w:r w:rsidR="00A46C6E" w:rsidRPr="00A23740">
              <w:rPr>
                <w:bCs/>
                <w:szCs w:val="24"/>
                <w:lang w:eastAsia="x-none"/>
              </w:rPr>
              <w:t>.</w:t>
            </w:r>
          </w:p>
          <w:p w:rsidR="00A46C6E" w:rsidRPr="00196116" w:rsidRDefault="00A46C6E" w:rsidP="00196116">
            <w:pPr>
              <w:ind w:firstLine="709"/>
              <w:rPr>
                <w:rFonts w:eastAsia="Times New Roman"/>
                <w:b/>
                <w:szCs w:val="24"/>
              </w:rPr>
            </w:pPr>
            <w:r w:rsidRPr="00A23740">
              <w:rPr>
                <w:rFonts w:eastAsia="Times New Roman"/>
                <w:szCs w:val="24"/>
              </w:rPr>
              <w:t>Taslağın</w:t>
            </w:r>
            <w:r w:rsidR="00974E44" w:rsidRPr="00A23740">
              <w:rPr>
                <w:rFonts w:eastAsia="Times New Roman"/>
                <w:szCs w:val="24"/>
              </w:rPr>
              <w:t xml:space="preserve"> </w:t>
            </w:r>
            <w:r w:rsidR="00974E44" w:rsidRPr="00E65BE7">
              <w:rPr>
                <w:rStyle w:val="KonuBalChar"/>
                <w:rFonts w:eastAsia="Calibri"/>
                <w:b w:val="0"/>
                <w:color w:val="auto"/>
              </w:rPr>
              <w:t>212</w:t>
            </w:r>
            <w:r w:rsidRPr="00A23740">
              <w:rPr>
                <w:rFonts w:eastAsia="Times New Roman"/>
                <w:szCs w:val="24"/>
              </w:rPr>
              <w:t xml:space="preserve"> ve devamı maddelerinde “Satış suretiyle paraya çevirme biçimleri” düzenlenmiştir. Bu hükümlerin</w:t>
            </w:r>
            <w:r w:rsidR="00815E13" w:rsidRPr="00A23740">
              <w:rPr>
                <w:rFonts w:eastAsia="Times New Roman"/>
                <w:szCs w:val="24"/>
              </w:rPr>
              <w:t>,</w:t>
            </w:r>
            <w:r w:rsidRPr="00A23740">
              <w:rPr>
                <w:rFonts w:eastAsia="Times New Roman"/>
                <w:szCs w:val="24"/>
              </w:rPr>
              <w:t xml:space="preserve">, bayrağına ve sicile kayıtlı olup olmadığına bakılmaksızın gemilerin satışında da uygulanabileceği; ancak yabancı sicile kayıtlı gemilerin satışı ile gemilerin satışında artırma şartnamesi ve artırmanın ilanı, artırma suretiyle satış ve sonucu, vaktinden evvel satış, pazarlık suretiyle satış hakkında Taslağın </w:t>
            </w:r>
            <w:r w:rsidR="00974E44" w:rsidRPr="00E65BE7">
              <w:rPr>
                <w:rStyle w:val="KonuBalChar"/>
                <w:rFonts w:eastAsia="Calibri"/>
                <w:b w:val="0"/>
                <w:color w:val="auto"/>
              </w:rPr>
              <w:t>212</w:t>
            </w:r>
            <w:r w:rsidR="00974E44" w:rsidRPr="00A23740">
              <w:rPr>
                <w:rFonts w:eastAsia="Times New Roman"/>
                <w:szCs w:val="24"/>
              </w:rPr>
              <w:t xml:space="preserve"> </w:t>
            </w:r>
            <w:r w:rsidRPr="00A23740">
              <w:rPr>
                <w:rFonts w:eastAsia="Times New Roman"/>
                <w:szCs w:val="24"/>
              </w:rPr>
              <w:t xml:space="preserve">ve devamı maddelerinden ayrılan bazı düzenlemeler getirilmesi gerektiği kabul edilmiştir. Bu nedenle maddenin birinci fıkrasında deniz icra kitabı hükümleri saklı kalmak kaydıyla ve uygun olduğu ölçüde satış suretiyle paraya çevirme hükümlerinin bayrağına ve sicile kayıtlı olup olmadığına bakılmaksızın gemilerin paraya çevrilmesinde de uygulanacağı hüküm altına alınmıştır. Taslağın borçluya rızaen satış yetkisi verilmesi hakkındaki </w:t>
            </w:r>
            <w:r w:rsidR="00A127B1">
              <w:rPr>
                <w:rStyle w:val="KonuBalChar"/>
                <w:rFonts w:eastAsia="ヒラギノ明朝 Pro W3"/>
                <w:b w:val="0"/>
                <w:color w:val="auto"/>
              </w:rPr>
              <w:t>238 ila</w:t>
            </w:r>
            <w:r w:rsidR="00974E44" w:rsidRPr="00E65BE7">
              <w:rPr>
                <w:rStyle w:val="KonuBalChar"/>
                <w:rFonts w:eastAsia="ヒラギノ明朝 Pro W3"/>
                <w:b w:val="0"/>
                <w:bCs w:val="0"/>
                <w:color w:val="auto"/>
              </w:rPr>
              <w:t xml:space="preserve"> </w:t>
            </w:r>
            <w:r w:rsidR="00974E44" w:rsidRPr="00E65BE7">
              <w:rPr>
                <w:rStyle w:val="KonuBalChar"/>
                <w:rFonts w:eastAsia="ヒラギノ明朝 Pro W3"/>
                <w:b w:val="0"/>
                <w:color w:val="auto"/>
              </w:rPr>
              <w:t>243</w:t>
            </w:r>
            <w:r w:rsidR="00974E44" w:rsidRPr="00E65BE7">
              <w:rPr>
                <w:rStyle w:val="KonuBalChar"/>
                <w:rFonts w:eastAsia="Calibri"/>
                <w:b w:val="0"/>
                <w:color w:val="auto"/>
                <w:lang w:val="tr-TR"/>
              </w:rPr>
              <w:t xml:space="preserve"> üncü</w:t>
            </w:r>
            <w:r w:rsidR="00974E44" w:rsidRPr="00A23740">
              <w:rPr>
                <w:rStyle w:val="KonuBalChar"/>
                <w:rFonts w:eastAsia="Calibri"/>
                <w:lang w:val="tr-TR"/>
              </w:rPr>
              <w:t xml:space="preserve"> </w:t>
            </w:r>
            <w:r w:rsidRPr="00A23740">
              <w:rPr>
                <w:rFonts w:eastAsia="Times New Roman"/>
                <w:szCs w:val="24"/>
              </w:rPr>
              <w:t xml:space="preserve">maddelerinin, gemilerin satışında da uygulanabileceği kabul edilmekle birlikte, gemi alacaklarının veya ipotekle temin edilmiş alacağın borçlusunun gemi malikinden başka bir kişi olma ihtimali dikkate alınmış; bu nedenle maddenin ikinci fıkrasında borçlunun aynı zamanda gemi maliki olması koşuluyla rızaen satış yetkisi verilmesi hakkındaki hükümlerin gemilerin satışında da uygulanacağı öngörülmüştür. Taslağın </w:t>
            </w:r>
            <w:r w:rsidR="00974E44" w:rsidRPr="00E65BE7">
              <w:rPr>
                <w:rStyle w:val="KonuBalChar"/>
                <w:rFonts w:eastAsia="Calibri"/>
                <w:b w:val="0"/>
                <w:color w:val="auto"/>
              </w:rPr>
              <w:t>241 inci</w:t>
            </w:r>
            <w:r w:rsidR="00974E44" w:rsidRPr="00A23740">
              <w:rPr>
                <w:rFonts w:eastAsia="Times New Roman"/>
                <w:b/>
                <w:bCs/>
                <w:color w:val="0000FF"/>
                <w:szCs w:val="24"/>
                <w:lang w:eastAsia="tr-TR"/>
              </w:rPr>
              <w:t xml:space="preserve"> </w:t>
            </w:r>
            <w:r w:rsidRPr="00A23740">
              <w:rPr>
                <w:rFonts w:eastAsia="Times New Roman"/>
                <w:szCs w:val="24"/>
              </w:rPr>
              <w:t xml:space="preserve">maddesinde öngörülen iki haftalık sürenin gemilerin satışı bakımından kısa bir süre olması </w:t>
            </w:r>
            <w:r w:rsidR="00815E13" w:rsidRPr="00A23740">
              <w:rPr>
                <w:rFonts w:eastAsia="Times New Roman"/>
                <w:szCs w:val="24"/>
              </w:rPr>
              <w:t xml:space="preserve">nedeniyle, </w:t>
            </w:r>
            <w:r w:rsidRPr="00A23740">
              <w:rPr>
                <w:rFonts w:eastAsia="Times New Roman"/>
                <w:szCs w:val="24"/>
              </w:rPr>
              <w:t xml:space="preserve">bu maddede kabul edilen sürenin gemilerin satışında bir ay olarak </w:t>
            </w:r>
            <w:r w:rsidR="00815E13" w:rsidRPr="00A23740">
              <w:rPr>
                <w:rFonts w:eastAsia="Times New Roman"/>
                <w:szCs w:val="24"/>
              </w:rPr>
              <w:t xml:space="preserve">uygulanması </w:t>
            </w:r>
            <w:r w:rsidRPr="00A23740">
              <w:rPr>
                <w:rFonts w:eastAsia="Times New Roman"/>
                <w:szCs w:val="24"/>
              </w:rPr>
              <w:t xml:space="preserve">hüküm altına alınmıştır.  </w:t>
            </w:r>
          </w:p>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3.</w:t>
            </w:r>
            <w:r w:rsidRPr="00A23740">
              <w:rPr>
                <w:rFonts w:eastAsia="Times New Roman"/>
                <w:b/>
                <w:bCs/>
                <w:szCs w:val="24"/>
                <w:lang w:eastAsia="tr-TR"/>
              </w:rPr>
              <w:t xml:space="preserve"> Yabancı sicile kayıtlı gemilerin satışı </w:t>
            </w:r>
            <w:r w:rsidRPr="00A23740">
              <w:rPr>
                <w:rFonts w:eastAsia="Times New Roman"/>
                <w:b/>
                <w:strike/>
                <w:color w:val="FF0000"/>
                <w:szCs w:val="24"/>
                <w:lang w:eastAsia="x-none"/>
              </w:rPr>
              <w:t>için hazırlıklar</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1384</w:t>
            </w:r>
            <w:r w:rsidRPr="00A23740">
              <w:rPr>
                <w:rFonts w:eastAsia="Times New Roman"/>
                <w:szCs w:val="24"/>
                <w:lang w:eastAsia="tr-TR"/>
              </w:rPr>
              <w:t xml:space="preserve">- (1) Yabancı bir sicile kayıtlı geminin satışı istenildiğinde, icra müdürü, o geminin bayrağını taşıdığı devletin konsolosluğuna bu hususu bildirir ve mükellefiyetler listesinin hazırlanmasını gerçekleştirmek için geminin sicil kaydını ister. Alacaklı da, sicil kaydının onaylı bir </w:t>
            </w:r>
            <w:r w:rsidRPr="00A23740">
              <w:rPr>
                <w:rFonts w:eastAsia="Times New Roman"/>
                <w:b/>
                <w:strike/>
                <w:color w:val="FF0000"/>
                <w:szCs w:val="24"/>
                <w:lang w:eastAsia="x-none"/>
              </w:rPr>
              <w:t>suretini</w:t>
            </w:r>
            <w:r w:rsidRPr="00A23740">
              <w:rPr>
                <w:rFonts w:eastAsia="Times New Roman"/>
                <w:szCs w:val="24"/>
                <w:lang w:eastAsia="tr-TR"/>
              </w:rPr>
              <w:t xml:space="preserve"> icra dairesine sunabilir. </w:t>
            </w:r>
            <w:r w:rsidRPr="00A23740">
              <w:rPr>
                <w:rFonts w:eastAsia="Times New Roman"/>
                <w:b/>
                <w:strike/>
                <w:color w:val="FF0000"/>
                <w:szCs w:val="24"/>
                <w:lang w:eastAsia="tr-TR"/>
              </w:rPr>
              <w:t>Bu durumda, hangi kayıt önce gelirse, liste o kayda göre hazırlanır.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A23740">
              <w:rPr>
                <w:rFonts w:eastAsia="Times New Roman"/>
                <w:szCs w:val="24"/>
                <w:lang w:eastAsia="tr-TR"/>
              </w:rPr>
              <w:t xml:space="preserve">(2) </w:t>
            </w:r>
            <w:r w:rsidRPr="00A23740">
              <w:rPr>
                <w:rFonts w:eastAsia="Times New Roman"/>
                <w:b/>
                <w:strike/>
                <w:color w:val="FF0000"/>
                <w:szCs w:val="24"/>
                <w:lang w:eastAsia="tr-TR"/>
              </w:rPr>
              <w:t>İcra ve İflas</w:t>
            </w:r>
            <w:r w:rsidRPr="00A23740">
              <w:rPr>
                <w:rFonts w:eastAsia="Times New Roman"/>
                <w:szCs w:val="24"/>
                <w:lang w:eastAsia="tr-TR"/>
              </w:rPr>
              <w:t xml:space="preserve"> </w:t>
            </w:r>
            <w:r w:rsidRPr="00A23740">
              <w:rPr>
                <w:b/>
                <w:bCs/>
                <w:strike/>
                <w:color w:val="FF0000"/>
                <w:lang w:val="x-none" w:eastAsia="x-none"/>
              </w:rPr>
              <w:t>Kanununun 126 ncı maddesi</w:t>
            </w:r>
            <w:r w:rsidRPr="00A23740">
              <w:rPr>
                <w:rFonts w:eastAsia="Times New Roman"/>
                <w:szCs w:val="24"/>
                <w:lang w:eastAsia="tr-TR"/>
              </w:rPr>
              <w:t xml:space="preserve"> uyarınca yapılacak ilanın, icra müdürü </w:t>
            </w:r>
            <w:r w:rsidRPr="00A23740">
              <w:rPr>
                <w:b/>
                <w:bCs/>
                <w:strike/>
                <w:color w:val="FF0000"/>
                <w:lang w:val="x-none" w:eastAsia="x-none"/>
              </w:rPr>
              <w:t>veya ilgililer</w:t>
            </w:r>
            <w:r w:rsidRPr="00A23740">
              <w:rPr>
                <w:rFonts w:eastAsia="Times New Roman"/>
                <w:szCs w:val="24"/>
                <w:lang w:eastAsia="tr-TR"/>
              </w:rPr>
              <w:t xml:space="preserve"> tarafından;</w:t>
            </w:r>
          </w:p>
          <w:p w:rsidR="00A46C6E" w:rsidRPr="00A23740" w:rsidRDefault="00A46C6E" w:rsidP="009431FF">
            <w:pPr>
              <w:rPr>
                <w:rFonts w:eastAsia="Times New Roman"/>
                <w:szCs w:val="24"/>
                <w:lang w:eastAsia="tr-TR"/>
              </w:rPr>
            </w:pPr>
            <w:r w:rsidRPr="00A23740">
              <w:rPr>
                <w:rFonts w:eastAsia="Times New Roman"/>
                <w:szCs w:val="24"/>
                <w:lang w:eastAsia="tr-TR"/>
              </w:rPr>
              <w:t>a) Geminin kayıtlı olduğu sicil devletinde</w:t>
            </w:r>
            <w:r w:rsidRPr="00A23740">
              <w:rPr>
                <w:rFonts w:eastAsia="Times New Roman"/>
                <w:b/>
                <w:strike/>
                <w:color w:val="FF0000"/>
                <w:szCs w:val="24"/>
                <w:lang w:eastAsia="tr-TR"/>
              </w:rPr>
              <w:t>,</w:t>
            </w:r>
            <w:r w:rsidRPr="00A23740">
              <w:rPr>
                <w:rFonts w:eastAsia="Times New Roman"/>
                <w:szCs w:val="24"/>
                <w:lang w:eastAsia="tr-TR"/>
              </w:rPr>
              <w:t xml:space="preserve"> gemi sicilini tutmakla </w:t>
            </w:r>
            <w:r w:rsidRPr="00A23740">
              <w:rPr>
                <w:rFonts w:eastAsia="Times New Roman"/>
                <w:b/>
                <w:strike/>
                <w:color w:val="FF0000"/>
                <w:szCs w:val="24"/>
                <w:lang w:eastAsia="tr-TR"/>
              </w:rPr>
              <w:t>yükümlü olan</w:t>
            </w:r>
            <w:r w:rsidRPr="00A23740">
              <w:rPr>
                <w:rFonts w:eastAsia="Times New Roman"/>
                <w:szCs w:val="24"/>
                <w:lang w:eastAsia="tr-TR"/>
              </w:rPr>
              <w:t xml:space="preserve"> makama,</w:t>
            </w:r>
          </w:p>
          <w:p w:rsidR="00A46C6E" w:rsidRPr="00A23740" w:rsidRDefault="00A46C6E" w:rsidP="009431FF">
            <w:pPr>
              <w:rPr>
                <w:rFonts w:eastAsia="Times New Roman"/>
                <w:szCs w:val="24"/>
                <w:lang w:eastAsia="tr-TR"/>
              </w:rPr>
            </w:pPr>
            <w:r w:rsidRPr="00A23740">
              <w:rPr>
                <w:b/>
                <w:strike/>
                <w:color w:val="FF0000"/>
                <w:szCs w:val="24"/>
                <w:lang w:eastAsia="x-none"/>
              </w:rPr>
              <w:t>d)</w:t>
            </w:r>
            <w:r w:rsidRPr="00A23740">
              <w:rPr>
                <w:rFonts w:eastAsia="Times New Roman"/>
                <w:szCs w:val="24"/>
                <w:lang w:eastAsia="tr-TR"/>
              </w:rPr>
              <w:t xml:space="preserve"> Geminin sicile kayıtlı malikine,</w:t>
            </w:r>
          </w:p>
          <w:p w:rsidR="00A46C6E" w:rsidRPr="00A23740" w:rsidRDefault="00A46C6E" w:rsidP="009431FF">
            <w:pPr>
              <w:rPr>
                <w:rFonts w:eastAsia="Times New Roman"/>
                <w:b/>
                <w:strike/>
                <w:color w:val="FF0000"/>
                <w:szCs w:val="24"/>
                <w:lang w:eastAsia="tr-TR"/>
              </w:rPr>
            </w:pPr>
            <w:r w:rsidRPr="00A23740">
              <w:rPr>
                <w:rFonts w:eastAsia="Times New Roman"/>
                <w:szCs w:val="24"/>
                <w:lang w:eastAsia="tr-TR"/>
              </w:rPr>
              <w:t xml:space="preserve">b) </w:t>
            </w:r>
            <w:r w:rsidRPr="00A23740">
              <w:rPr>
                <w:rFonts w:eastAsia="Times New Roman"/>
                <w:b/>
                <w:strike/>
                <w:color w:val="FF0000"/>
                <w:szCs w:val="24"/>
                <w:lang w:eastAsia="tr-TR"/>
              </w:rPr>
              <w:t>Tescil edilmiş akdî rehin</w:t>
            </w:r>
            <w:r w:rsidRPr="00A23740">
              <w:rPr>
                <w:rFonts w:eastAsia="Times New Roman"/>
                <w:szCs w:val="24"/>
                <w:lang w:eastAsia="tr-TR"/>
              </w:rPr>
              <w:t xml:space="preserve"> alacaklılar</w:t>
            </w:r>
            <w:r w:rsidRPr="00A23740">
              <w:rPr>
                <w:rFonts w:eastAsia="Times New Roman"/>
                <w:b/>
                <w:strike/>
                <w:color w:val="FF0000"/>
                <w:szCs w:val="24"/>
                <w:lang w:eastAsia="tr-TR"/>
              </w:rPr>
              <w:t>ına,</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A23740">
              <w:rPr>
                <w:rFonts w:eastAsia="Times New Roman"/>
                <w:szCs w:val="24"/>
                <w:lang w:eastAsia="tr-TR"/>
              </w:rPr>
              <w:t>c) İcra dairesine bildirilmiş olmaları kaydıyla kanuni rehin alacaklılarına,</w:t>
            </w:r>
          </w:p>
          <w:p w:rsidR="00A46C6E" w:rsidRPr="00A23740" w:rsidRDefault="00A46C6E" w:rsidP="009431FF">
            <w:pPr>
              <w:rPr>
                <w:rFonts w:eastAsia="Times New Roman"/>
                <w:b/>
                <w:strike/>
                <w:color w:val="FF0000"/>
                <w:szCs w:val="24"/>
                <w:lang w:eastAsia="x-none"/>
              </w:rPr>
            </w:pPr>
            <w:r w:rsidRPr="00A23740">
              <w:rPr>
                <w:rFonts w:eastAsia="Times New Roman"/>
                <w:b/>
                <w:strike/>
                <w:color w:val="FF0000"/>
                <w:szCs w:val="24"/>
                <w:lang w:eastAsia="x-none"/>
              </w:rPr>
              <w:t>bildirilmesi veya gideri ilgililer tarafından karşılanmak şartıyla bir internet haber sitesinde ve tirajı ellibin üzerinde olan ve sicilin fiilen tutulduğu ülke düzeyinde dağıtımı yapılan gazetelerden biriyle ilan edilmesi zorunludur.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rPr>
            </w:pPr>
            <w:r w:rsidRPr="00A23740">
              <w:rPr>
                <w:rFonts w:eastAsia="Times New Roman"/>
                <w:b/>
                <w:strike/>
                <w:color w:val="FF0000"/>
                <w:szCs w:val="24"/>
                <w:lang w:eastAsia="x-none"/>
              </w:rPr>
              <w:t>(3) İkinci fıkrada belirtilen yazılı bildirim</w:t>
            </w:r>
            <w:r w:rsidRPr="00A5551D">
              <w:rPr>
                <w:rStyle w:val="KIRMIZIChar"/>
                <w:rFonts w:eastAsia="Calibri"/>
              </w:rPr>
              <w:t>, iadeli taahhütlü mektupla, bildirimin muhataba ulaştığını doğrulayan elektronik iletişim araçlarıyla veya başkaca uygun bir yol ve araçla yapılır.</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szCs w:val="24"/>
                <w:lang w:eastAsia="tr-TR"/>
              </w:rPr>
            </w:pPr>
            <w:r w:rsidRPr="00A23740">
              <w:rPr>
                <w:rFonts w:eastAsia="Times New Roman"/>
                <w:b/>
                <w:szCs w:val="24"/>
                <w:lang w:eastAsia="tr-TR"/>
              </w:rPr>
              <w:t>Yabancı sicile kayıtlı gemilerin satışı</w:t>
            </w:r>
          </w:p>
          <w:p w:rsidR="00A46C6E" w:rsidRPr="00A23740" w:rsidRDefault="003B700B" w:rsidP="009431FF">
            <w:pPr>
              <w:rPr>
                <w:rFonts w:eastAsia="Times New Roman"/>
                <w:b/>
                <w:bCs/>
                <w:color w:val="0000FF"/>
                <w:szCs w:val="24"/>
                <w:lang w:eastAsia="x-none"/>
              </w:rPr>
            </w:pPr>
            <w:r w:rsidRPr="00E26FFD">
              <w:rPr>
                <w:rFonts w:eastAsia="Times New Roman"/>
                <w:b/>
                <w:color w:val="000000" w:themeColor="text1"/>
                <w:szCs w:val="24"/>
                <w:lang w:eastAsia="tr-TR"/>
              </w:rPr>
              <w:t xml:space="preserve">MADDE </w:t>
            </w:r>
            <w:r w:rsidRPr="00A23740">
              <w:rPr>
                <w:rFonts w:eastAsia="Times New Roman"/>
                <w:b/>
                <w:color w:val="0000FF"/>
                <w:szCs w:val="24"/>
                <w:lang w:eastAsia="tr-TR"/>
              </w:rPr>
              <w:t>475</w:t>
            </w:r>
            <w:r w:rsidR="00A46C6E" w:rsidRPr="00A23740">
              <w:rPr>
                <w:rFonts w:eastAsia="Times New Roman"/>
                <w:b/>
                <w:bCs/>
                <w:color w:val="0000FF"/>
                <w:szCs w:val="24"/>
                <w:lang w:eastAsia="tr-TR"/>
              </w:rPr>
              <w:t xml:space="preserve">- </w:t>
            </w:r>
            <w:r w:rsidR="00A46C6E" w:rsidRPr="00E26FFD">
              <w:t>(1)</w:t>
            </w:r>
            <w:r w:rsidR="00A46C6E" w:rsidRPr="00A23740">
              <w:rPr>
                <w:rFonts w:eastAsia="Times New Roman"/>
                <w:b/>
                <w:bCs/>
                <w:color w:val="0000FF"/>
                <w:szCs w:val="24"/>
                <w:lang w:eastAsia="tr-TR"/>
              </w:rPr>
              <w:t xml:space="preserve"> </w:t>
            </w:r>
            <w:r w:rsidR="00A46C6E" w:rsidRPr="00A23740">
              <w:rPr>
                <w:rFonts w:eastAsia="Times New Roman"/>
                <w:szCs w:val="24"/>
                <w:lang w:eastAsia="tr-TR"/>
              </w:rPr>
              <w:t xml:space="preserve">Yabancı bir sicile kayıtlı geminin satışı istenildiğinde, icra </w:t>
            </w:r>
            <w:r w:rsidR="00A46C6E" w:rsidRPr="00E65BE7">
              <w:rPr>
                <w:rFonts w:eastAsia="Times New Roman"/>
                <w:b/>
                <w:bCs/>
                <w:color w:val="0000FF"/>
                <w:szCs w:val="24"/>
                <w:lang w:eastAsia="tr-TR"/>
              </w:rPr>
              <w:t>ve iflas</w:t>
            </w:r>
            <w:r w:rsidR="00A46C6E" w:rsidRPr="00A23740">
              <w:rPr>
                <w:rFonts w:eastAsia="Times New Roman"/>
                <w:szCs w:val="24"/>
                <w:lang w:eastAsia="tr-TR"/>
              </w:rPr>
              <w:t xml:space="preserve"> müdürü, o geminin bayrağını taşıdığı devletin konsolosluğuna bu hususu bildirir ve mükellefiyetler </w:t>
            </w:r>
            <w:r w:rsidR="006F006C" w:rsidRPr="00E65BE7">
              <w:rPr>
                <w:rStyle w:val="YELChar"/>
                <w:color w:val="0000FF"/>
              </w:rPr>
              <w:t>listesini</w:t>
            </w:r>
            <w:r w:rsidR="006F006C" w:rsidRPr="00A23740">
              <w:rPr>
                <w:rFonts w:eastAsia="Times New Roman"/>
                <w:szCs w:val="24"/>
                <w:lang w:eastAsia="tr-TR"/>
              </w:rPr>
              <w:t xml:space="preserve"> </w:t>
            </w:r>
            <w:r w:rsidR="00B41AE2" w:rsidRPr="00E65BE7">
              <w:rPr>
                <w:rStyle w:val="YELChar"/>
                <w:color w:val="0000FF"/>
              </w:rPr>
              <w:t>hazırla</w:t>
            </w:r>
            <w:r w:rsidR="006F006C" w:rsidRPr="00E65BE7">
              <w:rPr>
                <w:rStyle w:val="YELChar"/>
                <w:color w:val="0000FF"/>
              </w:rPr>
              <w:t>yabilmek</w:t>
            </w:r>
            <w:r w:rsidR="00A46C6E" w:rsidRPr="00A23740">
              <w:rPr>
                <w:rFonts w:eastAsia="Times New Roman"/>
                <w:szCs w:val="24"/>
                <w:lang w:eastAsia="tr-TR"/>
              </w:rPr>
              <w:t xml:space="preserve"> için geminin s</w:t>
            </w:r>
            <w:r w:rsidR="009F33EC" w:rsidRPr="00A23740">
              <w:rPr>
                <w:rFonts w:eastAsia="Times New Roman"/>
                <w:szCs w:val="24"/>
                <w:lang w:eastAsia="tr-TR"/>
              </w:rPr>
              <w:t>icil kaydını ister. Alacaklı da</w:t>
            </w:r>
            <w:r w:rsidR="00A46C6E" w:rsidRPr="00A23740">
              <w:rPr>
                <w:rFonts w:eastAsia="Times New Roman"/>
                <w:szCs w:val="24"/>
                <w:lang w:eastAsia="tr-TR"/>
              </w:rPr>
              <w:t xml:space="preserve"> sicil kaydının onaylı </w:t>
            </w:r>
            <w:r w:rsidR="00A46C6E" w:rsidRPr="00A23740">
              <w:rPr>
                <w:rFonts w:eastAsia="Times New Roman"/>
                <w:b/>
                <w:bCs/>
                <w:color w:val="0000FF"/>
                <w:szCs w:val="24"/>
                <w:lang w:eastAsia="x-none"/>
              </w:rPr>
              <w:t>güncel</w:t>
            </w:r>
            <w:r w:rsidR="00A46C6E" w:rsidRPr="00A23740">
              <w:rPr>
                <w:rFonts w:eastAsia="Times New Roman"/>
                <w:szCs w:val="24"/>
                <w:lang w:eastAsia="tr-TR"/>
              </w:rPr>
              <w:t xml:space="preserve"> bir </w:t>
            </w:r>
            <w:r w:rsidR="00A46C6E" w:rsidRPr="00A23740">
              <w:rPr>
                <w:rFonts w:eastAsia="Times New Roman"/>
                <w:b/>
                <w:bCs/>
                <w:color w:val="0000FF"/>
                <w:szCs w:val="24"/>
                <w:lang w:eastAsia="x-none"/>
              </w:rPr>
              <w:t>örneğini</w:t>
            </w:r>
            <w:r w:rsidR="00A46C6E" w:rsidRPr="00A23740">
              <w:rPr>
                <w:rFonts w:eastAsia="Times New Roman"/>
                <w:szCs w:val="24"/>
                <w:lang w:eastAsia="tr-TR"/>
              </w:rPr>
              <w:t xml:space="preserve"> icra </w:t>
            </w:r>
            <w:r w:rsidR="00A46C6E" w:rsidRPr="00E65BE7">
              <w:rPr>
                <w:rFonts w:eastAsia="Times New Roman"/>
                <w:b/>
                <w:bCs/>
                <w:color w:val="0000FF"/>
                <w:szCs w:val="24"/>
                <w:lang w:eastAsia="tr-TR"/>
              </w:rPr>
              <w:t>ve iflas</w:t>
            </w:r>
            <w:r w:rsidR="00A46C6E" w:rsidRPr="00A23740">
              <w:rPr>
                <w:rFonts w:eastAsia="Times New Roman"/>
                <w:szCs w:val="24"/>
                <w:lang w:eastAsia="tr-TR"/>
              </w:rPr>
              <w:t xml:space="preserve"> dairesine sunabilir. </w:t>
            </w:r>
            <w:r w:rsidR="00A46C6E" w:rsidRPr="00A23740">
              <w:rPr>
                <w:rFonts w:eastAsia="Times New Roman"/>
                <w:b/>
                <w:bCs/>
                <w:color w:val="0000FF"/>
                <w:szCs w:val="24"/>
                <w:lang w:eastAsia="x-none"/>
              </w:rPr>
              <w:t>Bu durumda mükellefiyetler listesi, sicil kaydının konsolosluk tarafından gönderilmesi beklenmeksizin, alacaklının sunduğu onaylı örneğe göre hazırlanır.</w:t>
            </w:r>
          </w:p>
          <w:p w:rsidR="00A46C6E" w:rsidRPr="00A23740" w:rsidRDefault="00A46C6E" w:rsidP="009431FF">
            <w:pPr>
              <w:rPr>
                <w:rFonts w:eastAsia="Times New Roman"/>
                <w:b/>
                <w:bCs/>
                <w:color w:val="FF0000"/>
                <w:szCs w:val="24"/>
                <w:lang w:eastAsia="x-none"/>
              </w:rPr>
            </w:pPr>
          </w:p>
          <w:p w:rsidR="00A46C6E" w:rsidRPr="00A23740" w:rsidRDefault="00A46C6E" w:rsidP="009431FF">
            <w:pPr>
              <w:rPr>
                <w:rFonts w:eastAsia="Times New Roman"/>
                <w:szCs w:val="24"/>
                <w:lang w:eastAsia="tr-TR"/>
              </w:rPr>
            </w:pPr>
            <w:r w:rsidRPr="00E26FFD">
              <w:t>(2)</w:t>
            </w:r>
            <w:r w:rsidRPr="00A23740">
              <w:rPr>
                <w:rFonts w:eastAsia="Times New Roman"/>
                <w:szCs w:val="24"/>
                <w:lang w:eastAsia="tr-TR"/>
              </w:rPr>
              <w:t xml:space="preserve"> </w:t>
            </w:r>
            <w:r w:rsidR="008404C6" w:rsidRPr="00E65BE7">
              <w:rPr>
                <w:rStyle w:val="YELChar"/>
                <w:color w:val="0000FF"/>
              </w:rPr>
              <w:t>Bu Kanunun</w:t>
            </w:r>
            <w:r w:rsidR="006B2F14" w:rsidRPr="00E65BE7">
              <w:rPr>
                <w:rStyle w:val="YELChar"/>
                <w:color w:val="0000FF"/>
              </w:rPr>
              <w:t xml:space="preserve"> </w:t>
            </w:r>
            <w:r w:rsidR="006B2F14" w:rsidRPr="00E65BE7">
              <w:rPr>
                <w:rStyle w:val="KonuBalChar"/>
                <w:rFonts w:eastAsia="ヒラギノ明朝 Pro W3"/>
                <w:color w:val="0000FF"/>
              </w:rPr>
              <w:t>476 ncı</w:t>
            </w:r>
            <w:r w:rsidR="008404C6" w:rsidRPr="00A23740">
              <w:rPr>
                <w:rFonts w:eastAsia="Times New Roman"/>
                <w:szCs w:val="24"/>
                <w:lang w:eastAsia="tr-TR"/>
              </w:rPr>
              <w:t xml:space="preserve"> </w:t>
            </w:r>
            <w:r w:rsidRPr="00A23740">
              <w:rPr>
                <w:b/>
                <w:bCs/>
                <w:color w:val="0000FF"/>
                <w:lang w:val="x-none" w:eastAsia="x-none"/>
              </w:rPr>
              <w:t>madde</w:t>
            </w:r>
            <w:r w:rsidR="008404C6" w:rsidRPr="00A23740">
              <w:rPr>
                <w:b/>
                <w:bCs/>
                <w:color w:val="0000FF"/>
                <w:lang w:eastAsia="x-none"/>
              </w:rPr>
              <w:t>si</w:t>
            </w:r>
            <w:r w:rsidRPr="00A23740">
              <w:rPr>
                <w:rFonts w:eastAsia="Times New Roman"/>
                <w:szCs w:val="24"/>
                <w:lang w:eastAsia="tr-TR"/>
              </w:rPr>
              <w:t xml:space="preserve"> uyarınca </w:t>
            </w:r>
            <w:r w:rsidRPr="00E65BE7">
              <w:rPr>
                <w:rFonts w:eastAsia="Times New Roman"/>
                <w:b/>
                <w:bCs/>
                <w:color w:val="0000FF"/>
                <w:szCs w:val="24"/>
                <w:lang w:eastAsia="tr-TR"/>
              </w:rPr>
              <w:t>gazetede</w:t>
            </w:r>
            <w:r w:rsidRPr="00A23740">
              <w:rPr>
                <w:rFonts w:eastAsia="Times New Roman"/>
                <w:b/>
                <w:bCs/>
                <w:color w:val="00B050"/>
                <w:szCs w:val="24"/>
                <w:lang w:eastAsia="tr-TR"/>
              </w:rPr>
              <w:t xml:space="preserve"> </w:t>
            </w:r>
            <w:r w:rsidRPr="00A23740">
              <w:rPr>
                <w:rFonts w:eastAsia="Times New Roman"/>
                <w:szCs w:val="24"/>
                <w:lang w:eastAsia="tr-TR"/>
              </w:rPr>
              <w:t>yapılacak ilanın</w:t>
            </w:r>
            <w:r w:rsidRPr="00A23740">
              <w:rPr>
                <w:rFonts w:eastAsia="Times New Roman"/>
                <w:b/>
                <w:bCs/>
                <w:szCs w:val="24"/>
                <w:lang w:eastAsia="tr-TR"/>
              </w:rPr>
              <w:t xml:space="preserve"> </w:t>
            </w:r>
            <w:r w:rsidRPr="00A23740">
              <w:rPr>
                <w:rFonts w:eastAsia="Times New Roman"/>
                <w:b/>
                <w:bCs/>
                <w:color w:val="0000FF"/>
                <w:szCs w:val="24"/>
                <w:lang w:eastAsia="tr-TR"/>
              </w:rPr>
              <w:t xml:space="preserve">bir </w:t>
            </w:r>
            <w:r w:rsidRPr="00A23740">
              <w:rPr>
                <w:b/>
                <w:bCs/>
                <w:color w:val="0000FF"/>
                <w:lang w:val="x-none" w:eastAsia="x-none"/>
              </w:rPr>
              <w:t>örneği</w:t>
            </w:r>
            <w:r w:rsidRPr="00A23740">
              <w:rPr>
                <w:rFonts w:eastAsia="Times New Roman"/>
                <w:szCs w:val="24"/>
                <w:lang w:eastAsia="tr-TR"/>
              </w:rPr>
              <w:t xml:space="preserve">, icra </w:t>
            </w:r>
            <w:r w:rsidRPr="00E65BE7">
              <w:rPr>
                <w:rFonts w:eastAsia="Times New Roman"/>
                <w:b/>
                <w:bCs/>
                <w:color w:val="0000FF"/>
                <w:szCs w:val="24"/>
                <w:lang w:eastAsia="tr-TR"/>
              </w:rPr>
              <w:t>ve iflas</w:t>
            </w:r>
            <w:r w:rsidRPr="00A23740">
              <w:rPr>
                <w:rFonts w:eastAsia="Times New Roman"/>
                <w:szCs w:val="24"/>
                <w:lang w:eastAsia="tr-TR"/>
              </w:rPr>
              <w:t xml:space="preserve"> müdürü tarafından, </w:t>
            </w:r>
            <w:r w:rsidRPr="00A23740">
              <w:rPr>
                <w:b/>
                <w:bCs/>
                <w:color w:val="0000FF"/>
                <w:lang w:val="x-none" w:eastAsia="x-none"/>
              </w:rPr>
              <w:t>birinci artırma</w:t>
            </w:r>
            <w:r w:rsidRPr="00A23740">
              <w:rPr>
                <w:rFonts w:eastAsia="Times New Roman"/>
                <w:szCs w:val="24"/>
                <w:lang w:eastAsia="tr-TR"/>
              </w:rPr>
              <w:t xml:space="preserve"> </w:t>
            </w:r>
            <w:r w:rsidRPr="00A23740">
              <w:rPr>
                <w:rFonts w:eastAsia="Times New Roman"/>
                <w:b/>
                <w:bCs/>
                <w:color w:val="0000FF"/>
                <w:szCs w:val="24"/>
                <w:lang w:eastAsia="x-none"/>
              </w:rPr>
              <w:t>satış tarihinden en az bir ay önce;</w:t>
            </w:r>
          </w:p>
          <w:p w:rsidR="00A46C6E" w:rsidRPr="00A23740" w:rsidRDefault="00A46C6E" w:rsidP="009431FF">
            <w:pPr>
              <w:rPr>
                <w:rFonts w:eastAsia="Times New Roman"/>
                <w:szCs w:val="24"/>
                <w:lang w:eastAsia="tr-TR"/>
              </w:rPr>
            </w:pPr>
            <w:r w:rsidRPr="00A23740">
              <w:rPr>
                <w:rFonts w:eastAsia="Times New Roman"/>
                <w:szCs w:val="24"/>
                <w:lang w:eastAsia="tr-TR"/>
              </w:rPr>
              <w:t xml:space="preserve">a) Geminin kayıtlı olduğu sicil devletinde gemi sicilini tutmakla </w:t>
            </w:r>
            <w:r w:rsidRPr="00A23740">
              <w:rPr>
                <w:rFonts w:eastAsia="Times New Roman"/>
                <w:b/>
                <w:bCs/>
                <w:color w:val="0000FF"/>
                <w:szCs w:val="24"/>
                <w:lang w:eastAsia="tr-TR"/>
              </w:rPr>
              <w:t>görevli</w:t>
            </w:r>
            <w:r w:rsidRPr="00A23740">
              <w:rPr>
                <w:rFonts w:eastAsia="Times New Roman"/>
                <w:szCs w:val="24"/>
                <w:lang w:eastAsia="tr-TR"/>
              </w:rPr>
              <w:t xml:space="preserve"> makama,</w:t>
            </w:r>
          </w:p>
          <w:p w:rsidR="00A46C6E" w:rsidRPr="00A23740" w:rsidRDefault="00A46C6E" w:rsidP="009431FF">
            <w:pPr>
              <w:rPr>
                <w:rFonts w:eastAsia="Times New Roman"/>
                <w:szCs w:val="24"/>
                <w:lang w:eastAsia="tr-TR"/>
              </w:rPr>
            </w:pPr>
            <w:r w:rsidRPr="00A23740">
              <w:rPr>
                <w:rFonts w:eastAsia="Times New Roman"/>
                <w:szCs w:val="24"/>
                <w:lang w:eastAsia="tr-TR"/>
              </w:rPr>
              <w:t>b) Geminin sicile kayıtlı malikine,</w:t>
            </w:r>
          </w:p>
          <w:p w:rsidR="00A46C6E" w:rsidRPr="00A23740" w:rsidRDefault="00A46C6E" w:rsidP="009431FF">
            <w:pPr>
              <w:rPr>
                <w:rFonts w:eastAsia="Times New Roman"/>
                <w:szCs w:val="24"/>
                <w:lang w:eastAsia="tr-TR"/>
              </w:rPr>
            </w:pPr>
            <w:r w:rsidRPr="00A23740">
              <w:rPr>
                <w:rFonts w:eastAsia="Times New Roman"/>
                <w:szCs w:val="24"/>
                <w:lang w:eastAsia="tr-TR"/>
              </w:rPr>
              <w:t xml:space="preserve">c) </w:t>
            </w:r>
            <w:r w:rsidRPr="00A23740">
              <w:rPr>
                <w:rFonts w:eastAsia="Times New Roman"/>
                <w:b/>
                <w:bCs/>
                <w:color w:val="0000FF"/>
                <w:szCs w:val="24"/>
                <w:lang w:eastAsia="x-none"/>
              </w:rPr>
              <w:t xml:space="preserve">Gemi sicilinde kayıtlı bulunan </w:t>
            </w:r>
            <w:r w:rsidRPr="00A23740">
              <w:rPr>
                <w:b/>
                <w:bCs/>
                <w:color w:val="0000FF"/>
                <w:lang w:val="x-none" w:eastAsia="x-none"/>
              </w:rPr>
              <w:t>hakların sahiplerine</w:t>
            </w:r>
            <w:r w:rsidRPr="00A23740">
              <w:rPr>
                <w:rFonts w:eastAsia="Times New Roman"/>
                <w:b/>
                <w:bCs/>
                <w:color w:val="0000FF"/>
                <w:szCs w:val="24"/>
                <w:lang w:eastAsia="x-none"/>
              </w:rPr>
              <w:t xml:space="preserve"> ve</w:t>
            </w:r>
            <w:r w:rsidRPr="00A23740">
              <w:rPr>
                <w:rFonts w:eastAsia="Times New Roman"/>
                <w:szCs w:val="24"/>
                <w:lang w:eastAsia="tr-TR"/>
              </w:rPr>
              <w:t xml:space="preserve"> alacaklılar</w:t>
            </w:r>
            <w:r w:rsidRPr="00A23740">
              <w:rPr>
                <w:rFonts w:eastAsia="Times New Roman"/>
                <w:b/>
                <w:bCs/>
                <w:color w:val="0000FF"/>
                <w:szCs w:val="24"/>
                <w:lang w:eastAsia="x-none"/>
              </w:rPr>
              <w:t>a</w:t>
            </w:r>
            <w:r w:rsidRPr="00A23740">
              <w:rPr>
                <w:rFonts w:eastAsia="Times New Roman"/>
                <w:szCs w:val="24"/>
                <w:lang w:eastAsia="tr-TR"/>
              </w:rPr>
              <w:t>,</w:t>
            </w:r>
          </w:p>
          <w:p w:rsidR="00A46C6E" w:rsidRPr="00A23740" w:rsidRDefault="00A46C6E" w:rsidP="009431FF">
            <w:pPr>
              <w:rPr>
                <w:rFonts w:eastAsia="Times New Roman"/>
                <w:szCs w:val="24"/>
                <w:lang w:eastAsia="tr-TR"/>
              </w:rPr>
            </w:pPr>
            <w:r w:rsidRPr="00A23740">
              <w:rPr>
                <w:b/>
                <w:bCs/>
                <w:color w:val="0000FF"/>
                <w:szCs w:val="24"/>
                <w:lang w:eastAsia="x-none"/>
              </w:rPr>
              <w:t>ç)</w:t>
            </w:r>
            <w:r w:rsidRPr="00A23740">
              <w:rPr>
                <w:rFonts w:eastAsia="Times New Roman"/>
                <w:szCs w:val="24"/>
                <w:lang w:eastAsia="tr-TR"/>
              </w:rPr>
              <w:t xml:space="preserve"> İcra </w:t>
            </w:r>
            <w:r w:rsidRPr="00E65BE7">
              <w:rPr>
                <w:rFonts w:eastAsia="Times New Roman"/>
                <w:b/>
                <w:bCs/>
                <w:color w:val="0000FF"/>
                <w:szCs w:val="24"/>
                <w:lang w:eastAsia="tr-TR"/>
              </w:rPr>
              <w:t>ve iflas</w:t>
            </w:r>
            <w:r w:rsidRPr="00A23740">
              <w:rPr>
                <w:rFonts w:eastAsia="Times New Roman"/>
                <w:b/>
                <w:bCs/>
                <w:color w:val="00B050"/>
                <w:szCs w:val="24"/>
                <w:lang w:eastAsia="tr-TR"/>
              </w:rPr>
              <w:t xml:space="preserve"> </w:t>
            </w:r>
            <w:r w:rsidRPr="00A23740">
              <w:rPr>
                <w:rFonts w:eastAsia="Times New Roman"/>
                <w:szCs w:val="24"/>
                <w:lang w:eastAsia="tr-TR"/>
              </w:rPr>
              <w:t xml:space="preserve">dairesine bildirilmiş olmaları kaydıyla kanuni rehin hakkına sahip </w:t>
            </w:r>
            <w:r w:rsidRPr="00A23740">
              <w:rPr>
                <w:rFonts w:eastAsia="Times New Roman"/>
                <w:b/>
                <w:bCs/>
                <w:color w:val="0000FF"/>
                <w:szCs w:val="24"/>
                <w:lang w:eastAsia="tr-TR"/>
              </w:rPr>
              <w:t>gemi</w:t>
            </w:r>
            <w:r w:rsidRPr="00A23740">
              <w:rPr>
                <w:rFonts w:eastAsia="Times New Roman"/>
                <w:szCs w:val="24"/>
                <w:lang w:eastAsia="tr-TR"/>
              </w:rPr>
              <w:t xml:space="preserve"> alacaklılarına,</w:t>
            </w:r>
          </w:p>
          <w:p w:rsidR="00AE5B12" w:rsidRDefault="00A46C6E" w:rsidP="009431FF">
            <w:pPr>
              <w:rPr>
                <w:rFonts w:eastAsia="Times New Roman"/>
                <w:b/>
                <w:bCs/>
                <w:color w:val="0000FF"/>
                <w:szCs w:val="24"/>
                <w:lang w:eastAsia="x-none"/>
              </w:rPr>
            </w:pPr>
            <w:r w:rsidRPr="00A23740">
              <w:rPr>
                <w:rFonts w:eastAsia="Times New Roman"/>
                <w:b/>
                <w:bCs/>
                <w:color w:val="0000FF"/>
                <w:szCs w:val="24"/>
                <w:lang w:eastAsia="tr-TR"/>
              </w:rPr>
              <w:t xml:space="preserve">iadeli taahhütlü mektupla </w:t>
            </w:r>
            <w:r w:rsidRPr="009F1F71">
              <w:rPr>
                <w:rStyle w:val="Balk1Char"/>
                <w:rFonts w:eastAsia="Calibri"/>
              </w:rPr>
              <w:t>ya da bildirimin muhataba ulaştığını</w:t>
            </w:r>
            <w:r w:rsidRPr="00A23740">
              <w:rPr>
                <w:rFonts w:eastAsia="Times New Roman"/>
                <w:b/>
                <w:bCs/>
                <w:color w:val="0000CC"/>
                <w:szCs w:val="24"/>
                <w:shd w:val="clear" w:color="auto" w:fill="FDFDFD"/>
                <w:lang w:eastAsia="tr-TR"/>
              </w:rPr>
              <w:t xml:space="preserve"> </w:t>
            </w:r>
            <w:r w:rsidRPr="00A23740">
              <w:rPr>
                <w:rFonts w:eastAsia="Times New Roman"/>
                <w:b/>
                <w:bCs/>
                <w:color w:val="0000FF"/>
                <w:szCs w:val="24"/>
                <w:lang w:eastAsia="tr-TR"/>
              </w:rPr>
              <w:t xml:space="preserve">doğrulayan elektronik iletişim yoluyla veya başkaca uygun bir araçla gönderilmek suretiyle </w:t>
            </w:r>
            <w:r w:rsidRPr="00A23740">
              <w:rPr>
                <w:rFonts w:eastAsia="Times New Roman"/>
                <w:b/>
                <w:bCs/>
                <w:color w:val="0000FF"/>
                <w:lang w:eastAsia="tr-TR"/>
              </w:rPr>
              <w:t>satışın</w:t>
            </w:r>
            <w:r w:rsidRPr="00A23740">
              <w:rPr>
                <w:rFonts w:eastAsia="Times New Roman"/>
                <w:b/>
                <w:bCs/>
                <w:color w:val="0000FF"/>
                <w:szCs w:val="24"/>
                <w:lang w:eastAsia="tr-TR"/>
              </w:rPr>
              <w:t xml:space="preserve"> yazılı şekilde bildirilmesi zorunludur. </w:t>
            </w:r>
            <w:r w:rsidRPr="00A23740">
              <w:rPr>
                <w:rFonts w:eastAsia="Times New Roman"/>
                <w:b/>
                <w:bCs/>
                <w:color w:val="0000FF"/>
                <w:szCs w:val="24"/>
                <w:lang w:eastAsia="x-none"/>
              </w:rPr>
              <w:t>Bu fıkranın (b), (c) ve (ç) bentlerinde belirtilen kişiler</w:t>
            </w:r>
            <w:r w:rsidR="00392D49" w:rsidRPr="00E65BE7">
              <w:rPr>
                <w:rStyle w:val="KIRMIZIChar"/>
                <w:rFonts w:eastAsia="Calibri"/>
                <w:strike w:val="0"/>
                <w:color w:val="0000FF"/>
              </w:rPr>
              <w:t>in</w:t>
            </w:r>
            <w:r w:rsidRPr="00A23740">
              <w:rPr>
                <w:rFonts w:eastAsia="Times New Roman"/>
                <w:b/>
                <w:bCs/>
                <w:color w:val="0000FF"/>
                <w:szCs w:val="24"/>
                <w:lang w:eastAsia="x-none"/>
              </w:rPr>
              <w:t xml:space="preserve"> sicilde kayıtlı veya kendileri tarafından bildirilen adreslerine yazılı bildirim yapılamaması h</w:t>
            </w:r>
            <w:r w:rsidR="00B41AE2" w:rsidRPr="00A23740">
              <w:rPr>
                <w:rFonts w:eastAsia="Times New Roman"/>
                <w:b/>
                <w:bCs/>
                <w:color w:val="0000FF"/>
                <w:szCs w:val="24"/>
                <w:lang w:eastAsia="x-none"/>
              </w:rPr>
              <w:t>â</w:t>
            </w:r>
            <w:r w:rsidRPr="00A23740">
              <w:rPr>
                <w:rFonts w:eastAsia="Times New Roman"/>
                <w:b/>
                <w:bCs/>
                <w:color w:val="0000FF"/>
                <w:szCs w:val="24"/>
                <w:lang w:eastAsia="x-none"/>
              </w:rPr>
              <w:t xml:space="preserve">linde bu kişiler bakımından </w:t>
            </w:r>
            <w:r w:rsidR="006B2F14" w:rsidRPr="00E65BE7">
              <w:rPr>
                <w:rStyle w:val="KonuBalChar"/>
                <w:rFonts w:eastAsia="ヒラギノ明朝 Pro W3"/>
                <w:color w:val="0000FF"/>
              </w:rPr>
              <w:t>476 ncı</w:t>
            </w:r>
            <w:r w:rsidR="006B2F14" w:rsidRPr="00A23740">
              <w:rPr>
                <w:rFonts w:eastAsia="Times New Roman"/>
                <w:szCs w:val="24"/>
                <w:lang w:eastAsia="tr-TR"/>
              </w:rPr>
              <w:t xml:space="preserve"> </w:t>
            </w:r>
            <w:r w:rsidRPr="00A23740">
              <w:rPr>
                <w:rFonts w:eastAsia="Times New Roman"/>
                <w:b/>
                <w:bCs/>
                <w:color w:val="0000FF"/>
                <w:szCs w:val="24"/>
                <w:lang w:eastAsia="x-none"/>
              </w:rPr>
              <w:t xml:space="preserve">maddenin birinci </w:t>
            </w:r>
            <w:r w:rsidRPr="00E65BE7">
              <w:rPr>
                <w:rFonts w:eastAsia="Times New Roman"/>
                <w:b/>
                <w:bCs/>
                <w:color w:val="0000FF"/>
                <w:szCs w:val="24"/>
                <w:lang w:eastAsia="x-none"/>
              </w:rPr>
              <w:t>fıkrası</w:t>
            </w:r>
            <w:r w:rsidR="00397A66" w:rsidRPr="00E65BE7">
              <w:rPr>
                <w:rFonts w:eastAsia="Times New Roman"/>
                <w:b/>
                <w:bCs/>
                <w:color w:val="0000FF"/>
                <w:szCs w:val="24"/>
                <w:lang w:eastAsia="x-none"/>
              </w:rPr>
              <w:t>na</w:t>
            </w:r>
            <w:r w:rsidR="00397A66" w:rsidRPr="00A23740">
              <w:rPr>
                <w:rFonts w:eastAsia="Times New Roman"/>
                <w:b/>
                <w:bCs/>
                <w:color w:val="538135"/>
                <w:szCs w:val="24"/>
                <w:lang w:eastAsia="x-none"/>
              </w:rPr>
              <w:t xml:space="preserve"> </w:t>
            </w:r>
            <w:r w:rsidR="00397A66" w:rsidRPr="00E65BE7">
              <w:rPr>
                <w:rFonts w:eastAsia="Times New Roman"/>
                <w:b/>
                <w:bCs/>
                <w:color w:val="0000FF"/>
                <w:szCs w:val="24"/>
                <w:lang w:eastAsia="x-none"/>
              </w:rPr>
              <w:t>göre</w:t>
            </w:r>
            <w:r w:rsidRPr="00A23740">
              <w:rPr>
                <w:rFonts w:eastAsia="Times New Roman"/>
                <w:b/>
                <w:bCs/>
                <w:color w:val="0000FF"/>
                <w:szCs w:val="24"/>
                <w:lang w:eastAsia="x-none"/>
              </w:rPr>
              <w:t xml:space="preserve"> </w:t>
            </w:r>
            <w:r w:rsidRPr="00E65BE7">
              <w:rPr>
                <w:rFonts w:eastAsia="Times New Roman"/>
                <w:b/>
                <w:bCs/>
                <w:color w:val="0000FF"/>
                <w:szCs w:val="24"/>
                <w:lang w:eastAsia="x-none"/>
              </w:rPr>
              <w:t>gazetede</w:t>
            </w:r>
            <w:r w:rsidRPr="00A23740">
              <w:rPr>
                <w:rFonts w:eastAsia="Times New Roman"/>
                <w:b/>
                <w:bCs/>
                <w:color w:val="00B050"/>
                <w:szCs w:val="24"/>
                <w:lang w:eastAsia="x-none"/>
              </w:rPr>
              <w:t xml:space="preserve"> </w:t>
            </w:r>
            <w:r w:rsidRPr="00E65BE7">
              <w:rPr>
                <w:rFonts w:eastAsia="Times New Roman"/>
                <w:b/>
                <w:bCs/>
                <w:color w:val="0000FF"/>
                <w:szCs w:val="24"/>
                <w:lang w:eastAsia="x-none"/>
              </w:rPr>
              <w:t>yayımlanan</w:t>
            </w:r>
            <w:r w:rsidRPr="00A23740">
              <w:rPr>
                <w:rFonts w:eastAsia="Times New Roman"/>
                <w:b/>
                <w:bCs/>
                <w:color w:val="00B050"/>
                <w:szCs w:val="24"/>
                <w:lang w:eastAsia="x-none"/>
              </w:rPr>
              <w:t xml:space="preserve"> </w:t>
            </w:r>
            <w:r w:rsidRPr="00A23740">
              <w:rPr>
                <w:rFonts w:eastAsia="Times New Roman"/>
                <w:b/>
                <w:bCs/>
                <w:color w:val="0000FF"/>
                <w:szCs w:val="24"/>
                <w:lang w:eastAsia="x-none"/>
              </w:rPr>
              <w:t>ilan bildirim yerine geçer.</w:t>
            </w:r>
            <w:bookmarkStart w:id="26" w:name="_Hlk172880311"/>
          </w:p>
          <w:p w:rsidR="00A46C6E" w:rsidRPr="00A23740" w:rsidRDefault="00A46C6E" w:rsidP="009431FF">
            <w:pPr>
              <w:rPr>
                <w:rFonts w:eastAsia="Times New Roman"/>
                <w:szCs w:val="24"/>
              </w:rPr>
            </w:pPr>
            <w:r w:rsidRPr="00A23740">
              <w:rPr>
                <w:rFonts w:eastAsia="Times New Roman"/>
                <w:szCs w:val="24"/>
              </w:rPr>
              <w:t xml:space="preserve">  </w:t>
            </w:r>
            <w:bookmarkEnd w:id="26"/>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rPr>
                <w:rFonts w:eastAsia="Times New Roman"/>
                <w:b/>
                <w:szCs w:val="24"/>
              </w:rPr>
            </w:pPr>
            <w:bookmarkStart w:id="27" w:name="_Hlk134297234"/>
          </w:p>
          <w:p w:rsidR="00A46C6E" w:rsidRPr="00A23740" w:rsidRDefault="003B700B" w:rsidP="009431FF">
            <w:pPr>
              <w:ind w:firstLine="567"/>
              <w:rPr>
                <w:rFonts w:eastAsia="Times New Roman"/>
                <w:b/>
                <w:szCs w:val="24"/>
              </w:rPr>
            </w:pPr>
            <w:r w:rsidRPr="00A23740">
              <w:rPr>
                <w:rFonts w:eastAsia="Times New Roman"/>
                <w:b/>
                <w:szCs w:val="24"/>
              </w:rPr>
              <w:t>MADDE 475</w:t>
            </w:r>
            <w:r w:rsidR="00A46C6E" w:rsidRPr="00A23740">
              <w:rPr>
                <w:rFonts w:eastAsia="Times New Roman"/>
                <w:b/>
                <w:szCs w:val="24"/>
              </w:rPr>
              <w:t xml:space="preserve">- </w:t>
            </w:r>
            <w:bookmarkStart w:id="28" w:name="_Hlk172721790"/>
            <w:r w:rsidR="00A46C6E" w:rsidRPr="00A23740">
              <w:rPr>
                <w:bCs/>
                <w:szCs w:val="24"/>
                <w:lang w:eastAsia="x-none"/>
              </w:rPr>
              <w:t xml:space="preserve">Maddeyle, </w:t>
            </w:r>
            <w:r w:rsidR="00A46C6E" w:rsidRPr="00A23740">
              <w:rPr>
                <w:rFonts w:eastAsia="Times New Roman"/>
                <w:bCs/>
                <w:szCs w:val="24"/>
              </w:rPr>
              <w:t>yabancı sicile kayıtlı gemilerin satışına ilişkin</w:t>
            </w:r>
            <w:r w:rsidR="00A46C6E" w:rsidRPr="00A23740">
              <w:rPr>
                <w:bCs/>
                <w:szCs w:val="24"/>
                <w:lang w:eastAsia="x-none"/>
              </w:rPr>
              <w:t xml:space="preserve"> hususlar düzenlenmektedir.</w:t>
            </w:r>
          </w:p>
          <w:bookmarkEnd w:id="27"/>
          <w:bookmarkEnd w:id="28"/>
          <w:p w:rsidR="00A46C6E" w:rsidRPr="00A23740" w:rsidRDefault="00A46C6E" w:rsidP="009431FF">
            <w:pPr>
              <w:ind w:firstLine="567"/>
              <w:rPr>
                <w:rFonts w:eastAsia="Times New Roman"/>
                <w:bCs/>
                <w:szCs w:val="24"/>
              </w:rPr>
            </w:pPr>
            <w:r w:rsidRPr="00A23740">
              <w:rPr>
                <w:rFonts w:eastAsia="Times New Roman"/>
                <w:bCs/>
                <w:szCs w:val="24"/>
              </w:rPr>
              <w:t>Maddenin birinci fıkrası 6102 sayılı Kanunun 1384 üncü maddesinin birinci fıkrasından, bu fıkranın son cümlesi değiştirilerek alınmıştır. Uygulamada konsoloslukların icra</w:t>
            </w:r>
            <w:r w:rsidR="00B73523" w:rsidRPr="00E65BE7">
              <w:rPr>
                <w:rFonts w:eastAsia="Times New Roman"/>
                <w:bCs/>
                <w:szCs w:val="24"/>
              </w:rPr>
              <w:t xml:space="preserve"> ve iflas</w:t>
            </w:r>
            <w:r w:rsidRPr="00A23740">
              <w:rPr>
                <w:rFonts w:eastAsia="Times New Roman"/>
                <w:bCs/>
                <w:szCs w:val="24"/>
              </w:rPr>
              <w:t xml:space="preserve"> dairesi taleplerini tebellüğ etmekten kaçındıkları ya da talebin gereğini hiç veya makul bir süre içinde yerine getirmedikleri görüldüğünden, alacaklının da sicil kaydının onaylı güncel bir örneğini sunmasına imkân verilmesi uygun bulunmuş ve 6102 sayılı Kanunun 1384 üncü maddesinin birincisi fıkrasının ikinci cümlesi</w:t>
            </w:r>
            <w:r w:rsidR="00815E13" w:rsidRPr="00A23740">
              <w:rPr>
                <w:rFonts w:eastAsia="Times New Roman"/>
                <w:bCs/>
                <w:szCs w:val="24"/>
              </w:rPr>
              <w:t>,</w:t>
            </w:r>
            <w:r w:rsidRPr="00A23740">
              <w:rPr>
                <w:rFonts w:eastAsia="Times New Roman"/>
                <w:bCs/>
                <w:szCs w:val="24"/>
              </w:rPr>
              <w:t xml:space="preserve"> ifadesi değiştirilerek</w:t>
            </w:r>
            <w:r w:rsidR="00815E13" w:rsidRPr="00A23740">
              <w:rPr>
                <w:rFonts w:eastAsia="Times New Roman"/>
                <w:bCs/>
                <w:szCs w:val="24"/>
              </w:rPr>
              <w:t>,</w:t>
            </w:r>
            <w:r w:rsidRPr="00A23740">
              <w:rPr>
                <w:rFonts w:eastAsia="Times New Roman"/>
                <w:bCs/>
                <w:szCs w:val="24"/>
              </w:rPr>
              <w:t xml:space="preserve"> maddenin birinci fıkrasına alınmıştır. Bununla birlikte, alacaklı tarafından sicil kaydının onaylı güncel örneği sunulduktan sonra icra ve iflas dairesince sicil kaydının konsolosluk tarafından gönderilmesinin beklenmeyeceği hususunun açıkça belirtilmesi gerekli görülmüş ve alacaklının sicil kaydını</w:t>
            </w:r>
            <w:r w:rsidR="00535D4A" w:rsidRPr="00A23740">
              <w:rPr>
                <w:rFonts w:eastAsia="Times New Roman"/>
                <w:bCs/>
                <w:szCs w:val="24"/>
              </w:rPr>
              <w:t>n onaylı bir örneğini sunması hâ</w:t>
            </w:r>
            <w:r w:rsidRPr="00A23740">
              <w:rPr>
                <w:rFonts w:eastAsia="Times New Roman"/>
                <w:bCs/>
                <w:szCs w:val="24"/>
              </w:rPr>
              <w:t>linde, icra ve iflas dairesince konsolosluk tarafından sicil kaydının gönderilmesi beklenmeksizin mükellefiyetler listesinin alacaklının sunduğu onaylı sicil kaydı örneğine göre hazırlanacağı hüküm altına alınmıştır. Alacaklı tarafından sunulan onaylı sicil kaydı örneği, 6100 sayılı Kanunun 224 üncü maddesi uyarınca belgenin verildiği devletin yetkili makamı veya ilgili Türk konsolosluk makamı tarafından onaylanmış olması koşuluyla bu nitelikte kabul</w:t>
            </w:r>
            <w:r w:rsidR="00815E13" w:rsidRPr="00A23740">
              <w:rPr>
                <w:rFonts w:eastAsia="Times New Roman"/>
                <w:bCs/>
                <w:szCs w:val="24"/>
              </w:rPr>
              <w:t>edilecektir</w:t>
            </w:r>
            <w:r w:rsidRPr="00A23740">
              <w:rPr>
                <w:rFonts w:eastAsia="Times New Roman"/>
                <w:bCs/>
                <w:szCs w:val="24"/>
              </w:rPr>
              <w:t>. Sicil kaydının hem alacaklı tarafından sunulması hem de konsolosluk tarafından gönderilmesi hâlinde, mükellefiyetler listesinin hazırlanmasında daha yeni tarihli olan sicil kaydının esas alınması gerekmektedir.</w:t>
            </w:r>
          </w:p>
          <w:p w:rsidR="00A46C6E" w:rsidRPr="00A23740" w:rsidRDefault="00A46C6E" w:rsidP="009431FF">
            <w:pPr>
              <w:ind w:firstLine="567"/>
              <w:rPr>
                <w:rFonts w:eastAsia="Times New Roman"/>
                <w:bCs/>
                <w:szCs w:val="24"/>
              </w:rPr>
            </w:pPr>
            <w:r w:rsidRPr="00A23740">
              <w:rPr>
                <w:rFonts w:eastAsia="Times New Roman"/>
                <w:bCs/>
                <w:szCs w:val="24"/>
              </w:rPr>
              <w:t xml:space="preserve">Yabancı bir devlet siciline kayıtlı gemilerin satışında Taslağın </w:t>
            </w:r>
            <w:r w:rsidR="006B2F14" w:rsidRPr="00E65BE7">
              <w:rPr>
                <w:rFonts w:eastAsia="Times New Roman"/>
                <w:bCs/>
                <w:szCs w:val="24"/>
              </w:rPr>
              <w:t>476</w:t>
            </w:r>
            <w:r w:rsidR="006B2F14" w:rsidRPr="00E65BE7">
              <w:rPr>
                <w:rFonts w:eastAsia="Times New Roman"/>
                <w:b/>
                <w:szCs w:val="24"/>
              </w:rPr>
              <w:t xml:space="preserve"> </w:t>
            </w:r>
            <w:r w:rsidR="006B2F14" w:rsidRPr="00E65BE7">
              <w:rPr>
                <w:rFonts w:eastAsia="Times New Roman"/>
                <w:bCs/>
                <w:szCs w:val="24"/>
              </w:rPr>
              <w:t>ncı</w:t>
            </w:r>
            <w:r w:rsidR="006B2F14" w:rsidRPr="00A23740">
              <w:rPr>
                <w:rFonts w:eastAsia="Times New Roman"/>
                <w:szCs w:val="24"/>
                <w:lang w:eastAsia="tr-TR"/>
              </w:rPr>
              <w:t xml:space="preserve"> </w:t>
            </w:r>
            <w:r w:rsidRPr="00A23740">
              <w:rPr>
                <w:rFonts w:eastAsia="Times New Roman"/>
                <w:bCs/>
                <w:szCs w:val="24"/>
              </w:rPr>
              <w:t xml:space="preserve">maddesi uyarınca satış ilanının bir örneği gönderilmek suretiyle yapılacak yazılı bildirim, maddenin ikinci fıkrasında 1993 </w:t>
            </w:r>
            <w:r w:rsidR="003205AA" w:rsidRPr="00E65BE7">
              <w:rPr>
                <w:rFonts w:eastAsia="Times New Roman"/>
                <w:bCs/>
                <w:szCs w:val="24"/>
              </w:rPr>
              <w:t>tarihli Milletlerarası Sözleşmenin</w:t>
            </w:r>
            <w:r w:rsidR="003205AA" w:rsidRPr="00A23740">
              <w:rPr>
                <w:rFonts w:eastAsia="Times New Roman"/>
                <w:szCs w:val="24"/>
              </w:rPr>
              <w:t xml:space="preserve"> </w:t>
            </w:r>
            <w:r w:rsidRPr="00A23740">
              <w:rPr>
                <w:rFonts w:eastAsia="Times New Roman"/>
                <w:bCs/>
                <w:szCs w:val="24"/>
              </w:rPr>
              <w:t xml:space="preserve"> 11 inci maddesi ve Taslağın</w:t>
            </w:r>
            <w:r w:rsidR="000923C5" w:rsidRPr="00A23740">
              <w:rPr>
                <w:rFonts w:eastAsia="Times New Roman"/>
                <w:bCs/>
                <w:szCs w:val="24"/>
              </w:rPr>
              <w:t xml:space="preserve"> </w:t>
            </w:r>
            <w:r w:rsidR="000923C5" w:rsidRPr="00E65BE7">
              <w:rPr>
                <w:rFonts w:eastAsia="Times New Roman"/>
                <w:bCs/>
                <w:szCs w:val="24"/>
              </w:rPr>
              <w:t>bu</w:t>
            </w:r>
            <w:r w:rsidR="006B2F14" w:rsidRPr="00A23740">
              <w:rPr>
                <w:rFonts w:eastAsia="Times New Roman"/>
                <w:bCs/>
                <w:szCs w:val="24"/>
              </w:rPr>
              <w:t xml:space="preserve"> </w:t>
            </w:r>
            <w:r w:rsidRPr="00A23740">
              <w:rPr>
                <w:rFonts w:eastAsia="Times New Roman"/>
                <w:bCs/>
                <w:szCs w:val="24"/>
              </w:rPr>
              <w:t>maddesinin ikinci fıkrası hükmü</w:t>
            </w:r>
            <w:r w:rsidR="00815E13" w:rsidRPr="00A23740">
              <w:rPr>
                <w:rFonts w:eastAsia="Times New Roman"/>
                <w:bCs/>
                <w:szCs w:val="24"/>
              </w:rPr>
              <w:t>yle</w:t>
            </w:r>
            <w:r w:rsidRPr="00A23740">
              <w:rPr>
                <w:rFonts w:eastAsia="Times New Roman"/>
                <w:bCs/>
                <w:szCs w:val="24"/>
              </w:rPr>
              <w:t xml:space="preserve"> paralellik sağlanması gereği dikkate alınarak düzenlenmiştir. Bu kapsamda 6102 sayılı Kanunun 1384 üncü maddesinin ikinci fıkrasında yer alan “… </w:t>
            </w:r>
            <w:r w:rsidRPr="00A23740">
              <w:rPr>
                <w:rFonts w:eastAsia="Times New Roman"/>
                <w:bCs/>
                <w:i/>
                <w:iCs/>
                <w:szCs w:val="24"/>
              </w:rPr>
              <w:t>ilanın … bildirilmesi</w:t>
            </w:r>
            <w:r w:rsidRPr="00A23740">
              <w:rPr>
                <w:rFonts w:eastAsia="Times New Roman"/>
                <w:bCs/>
                <w:szCs w:val="24"/>
              </w:rPr>
              <w:t xml:space="preserve"> …” ibaresi, daha açık ve anlaşılır şekilde ifade edilmek amacıyla “… ilanın bir örneği …” şeklinde değiştirilmiştir. 6102 sayılı Kanunun 1384 üncü maddesinin ikinci fıkrasında “yazılı bildirim veya ilanın, icra müdürü veya ilgililer tarafından yapılacağı” öngörülmüş ise de</w:t>
            </w:r>
            <w:r w:rsidR="00815E13" w:rsidRPr="00A23740">
              <w:rPr>
                <w:rFonts w:eastAsia="Times New Roman"/>
                <w:bCs/>
                <w:szCs w:val="24"/>
              </w:rPr>
              <w:t>,</w:t>
            </w:r>
            <w:r w:rsidRPr="00A23740">
              <w:rPr>
                <w:rFonts w:eastAsia="Times New Roman"/>
                <w:bCs/>
                <w:szCs w:val="24"/>
              </w:rPr>
              <w:t xml:space="preserve"> kimler olduğu tamamen belirsiz olan ilgililere yazılı bildirim yapma imk</w:t>
            </w:r>
            <w:r w:rsidR="00BE53A8" w:rsidRPr="00A23740">
              <w:rPr>
                <w:rFonts w:eastAsia="Times New Roman"/>
                <w:bCs/>
                <w:szCs w:val="24"/>
              </w:rPr>
              <w:t>â</w:t>
            </w:r>
            <w:r w:rsidRPr="00A23740">
              <w:rPr>
                <w:rFonts w:eastAsia="Times New Roman"/>
                <w:bCs/>
                <w:szCs w:val="24"/>
              </w:rPr>
              <w:t>nı verilmesinin uygulamada sorunlara yol açabileceği, yazılı bildirim ve ilan işlemlerini kimin yapacağına açıklık ve kesinlik getirilmesi gerektiği, ayrıca icra yoluyla satış işlemleri kapsamındaki bu işlemlerin niteliği itibariyle de icra ve iflas müdürü tarafından yapılmasının doğru ve isabetli olacağı kabul edilerek</w:t>
            </w:r>
            <w:r w:rsidR="00815E13" w:rsidRPr="00A23740">
              <w:rPr>
                <w:rFonts w:eastAsia="Times New Roman"/>
                <w:bCs/>
                <w:szCs w:val="24"/>
              </w:rPr>
              <w:t>,</w:t>
            </w:r>
            <w:r w:rsidRPr="00A23740">
              <w:rPr>
                <w:rFonts w:eastAsia="Times New Roman"/>
                <w:bCs/>
                <w:szCs w:val="24"/>
              </w:rPr>
              <w:t xml:space="preserve"> 6102 sayılı Kanunun </w:t>
            </w:r>
            <w:r w:rsidR="00B218D7" w:rsidRPr="00E65BE7">
              <w:rPr>
                <w:rFonts w:eastAsia="Times New Roman"/>
                <w:bCs/>
                <w:szCs w:val="24"/>
              </w:rPr>
              <w:t>1384</w:t>
            </w:r>
            <w:r w:rsidRPr="00A23740">
              <w:rPr>
                <w:rFonts w:eastAsia="Times New Roman"/>
                <w:bCs/>
                <w:szCs w:val="24"/>
              </w:rPr>
              <w:t xml:space="preserve"> üncü maddesinin ikinci fıkrasında yer alan “veya ilgililer” ibaresinin </w:t>
            </w:r>
            <w:r w:rsidR="002664B9" w:rsidRPr="00A23740">
              <w:rPr>
                <w:rFonts w:eastAsia="Times New Roman"/>
                <w:bCs/>
                <w:szCs w:val="24"/>
              </w:rPr>
              <w:t xml:space="preserve">Taslak </w:t>
            </w:r>
            <w:r w:rsidRPr="00A23740">
              <w:rPr>
                <w:rFonts w:eastAsia="Times New Roman"/>
                <w:bCs/>
                <w:szCs w:val="24"/>
              </w:rPr>
              <w:t>madde</w:t>
            </w:r>
            <w:r w:rsidR="002664B9" w:rsidRPr="00A23740">
              <w:rPr>
                <w:rFonts w:eastAsia="Times New Roman"/>
                <w:bCs/>
                <w:szCs w:val="24"/>
              </w:rPr>
              <w:t>si</w:t>
            </w:r>
            <w:r w:rsidRPr="00A23740">
              <w:rPr>
                <w:rFonts w:eastAsia="Times New Roman"/>
                <w:bCs/>
                <w:szCs w:val="24"/>
              </w:rPr>
              <w:t xml:space="preserve">nin ikinci fıkrasına alınmamasına karar verilmiştir. Taslağın </w:t>
            </w:r>
            <w:r w:rsidR="006B2F14" w:rsidRPr="00E65BE7">
              <w:rPr>
                <w:rFonts w:eastAsia="Times New Roman"/>
                <w:bCs/>
                <w:szCs w:val="24"/>
              </w:rPr>
              <w:t>476</w:t>
            </w:r>
            <w:r w:rsidR="006B2F14" w:rsidRPr="00A23740">
              <w:rPr>
                <w:rStyle w:val="KonuBalChar"/>
                <w:rFonts w:eastAsia="ヒラギノ明朝 Pro W3"/>
              </w:rPr>
              <w:t xml:space="preserve"> </w:t>
            </w:r>
            <w:r w:rsidR="006B2F14" w:rsidRPr="00E65BE7">
              <w:rPr>
                <w:rFonts w:eastAsia="Times New Roman"/>
                <w:bCs/>
                <w:szCs w:val="24"/>
              </w:rPr>
              <w:t>ncı</w:t>
            </w:r>
            <w:r w:rsidR="006B2F14" w:rsidRPr="00A23740">
              <w:rPr>
                <w:rFonts w:eastAsia="Times New Roman"/>
                <w:szCs w:val="24"/>
                <w:lang w:eastAsia="tr-TR"/>
              </w:rPr>
              <w:t xml:space="preserve"> </w:t>
            </w:r>
            <w:r w:rsidRPr="00A23740">
              <w:rPr>
                <w:rFonts w:eastAsia="Times New Roman"/>
                <w:bCs/>
                <w:szCs w:val="24"/>
              </w:rPr>
              <w:t xml:space="preserve">maddesi uyarınca gazetede yayımlanan ilanın bir örneğini göndermek suretiyle yazılı bildiriminin icra ve iflas müdürü tarafından yapılması kabul edilmiştir. </w:t>
            </w:r>
            <w:r w:rsidR="006B2F14" w:rsidRPr="00E65BE7">
              <w:rPr>
                <w:rFonts w:eastAsia="Times New Roman"/>
                <w:bCs/>
                <w:szCs w:val="24"/>
              </w:rPr>
              <w:t>476</w:t>
            </w:r>
            <w:r w:rsidR="006B2F14" w:rsidRPr="00A23740">
              <w:rPr>
                <w:rStyle w:val="KonuBalChar"/>
                <w:rFonts w:eastAsia="ヒラギノ明朝 Pro W3"/>
              </w:rPr>
              <w:t xml:space="preserve"> </w:t>
            </w:r>
            <w:r w:rsidR="006B2F14" w:rsidRPr="00E65BE7">
              <w:rPr>
                <w:rFonts w:eastAsia="Times New Roman"/>
                <w:bCs/>
                <w:szCs w:val="24"/>
              </w:rPr>
              <w:t>ncı</w:t>
            </w:r>
            <w:r w:rsidR="006B2F14" w:rsidRPr="00A23740">
              <w:rPr>
                <w:rFonts w:eastAsia="Times New Roman"/>
                <w:szCs w:val="24"/>
                <w:lang w:eastAsia="tr-TR"/>
              </w:rPr>
              <w:t xml:space="preserve"> </w:t>
            </w:r>
            <w:r w:rsidRPr="00A23740">
              <w:rPr>
                <w:rFonts w:eastAsia="Times New Roman"/>
                <w:bCs/>
                <w:szCs w:val="24"/>
              </w:rPr>
              <w:t>madde uyarınca gazetede yayımlanacak ilanda,</w:t>
            </w:r>
            <w:r w:rsidR="00D414BE" w:rsidRPr="00A23740">
              <w:rPr>
                <w:rFonts w:eastAsia="Times New Roman"/>
                <w:bCs/>
                <w:szCs w:val="24"/>
              </w:rPr>
              <w:t xml:space="preserve"> </w:t>
            </w:r>
            <w:r w:rsidR="00D414BE" w:rsidRPr="00E65BE7">
              <w:rPr>
                <w:rFonts w:eastAsia="Times New Roman"/>
                <w:bCs/>
                <w:szCs w:val="24"/>
              </w:rPr>
              <w:t>229</w:t>
            </w:r>
            <w:r w:rsidR="00D414BE" w:rsidRPr="00E65BE7">
              <w:rPr>
                <w:rFonts w:eastAsia="Times New Roman"/>
                <w:b/>
                <w:szCs w:val="24"/>
              </w:rPr>
              <w:t xml:space="preserve"> </w:t>
            </w:r>
            <w:r w:rsidR="00D414BE" w:rsidRPr="00E65BE7">
              <w:rPr>
                <w:rFonts w:eastAsia="Times New Roman"/>
                <w:bCs/>
                <w:szCs w:val="24"/>
              </w:rPr>
              <w:t>uncu</w:t>
            </w:r>
            <w:r w:rsidRPr="00A23740">
              <w:rPr>
                <w:rFonts w:eastAsia="Times New Roman"/>
                <w:bCs/>
                <w:szCs w:val="24"/>
              </w:rPr>
              <w:t xml:space="preserve"> maddenin ikinci fıkrası uyarınca “satılacak şeyin cinsi, mahiyeti, önemli vasıfları, muhammen kıymeti ve bulunduğu yer, birinci ve ikinci artırmanın yapılacağı gün ve saat aralığı ile artırmaya ilişkin bilgilerin yer aldığı elektronik satış portalı” yazılacağından, </w:t>
            </w:r>
            <w:r w:rsidR="000923C5" w:rsidRPr="00E65BE7">
              <w:rPr>
                <w:rFonts w:eastAsia="Times New Roman"/>
                <w:bCs/>
                <w:szCs w:val="24"/>
              </w:rPr>
              <w:t>bu</w:t>
            </w:r>
            <w:r w:rsidR="00B218D7" w:rsidRPr="00A23740">
              <w:rPr>
                <w:rFonts w:eastAsia="Times New Roman"/>
                <w:bCs/>
                <w:szCs w:val="24"/>
              </w:rPr>
              <w:t xml:space="preserve"> </w:t>
            </w:r>
            <w:r w:rsidRPr="00A23740">
              <w:rPr>
                <w:rFonts w:eastAsia="Times New Roman"/>
                <w:bCs/>
                <w:szCs w:val="24"/>
              </w:rPr>
              <w:t xml:space="preserve">maddenin ikinci fıkrasından farklı olarak “satış tarihi, yeri ve usulü” ibaresine yer verilmesine gerek görülmemiştir. Geminin kayıtlı olduğu sicil devletinde gemi sicilini tutmakla görevli makam yanında yazılı bildirim yapılacak kişiler de Taslağın </w:t>
            </w:r>
            <w:r w:rsidR="000923C5" w:rsidRPr="00E65BE7">
              <w:rPr>
                <w:rFonts w:eastAsia="Times New Roman"/>
                <w:bCs/>
                <w:szCs w:val="24"/>
              </w:rPr>
              <w:t>bu</w:t>
            </w:r>
            <w:r w:rsidR="00B218D7" w:rsidRPr="00A23740">
              <w:rPr>
                <w:rFonts w:eastAsia="Times New Roman"/>
                <w:bCs/>
                <w:szCs w:val="24"/>
              </w:rPr>
              <w:t xml:space="preserve"> </w:t>
            </w:r>
            <w:r w:rsidRPr="00A23740">
              <w:rPr>
                <w:rFonts w:eastAsia="Times New Roman"/>
                <w:bCs/>
                <w:szCs w:val="24"/>
              </w:rPr>
              <w:t>maddesinin ikinci fıkrası</w:t>
            </w:r>
            <w:r w:rsidR="002664B9" w:rsidRPr="00A23740">
              <w:rPr>
                <w:rFonts w:eastAsia="Times New Roman"/>
                <w:bCs/>
                <w:szCs w:val="24"/>
              </w:rPr>
              <w:t>yla</w:t>
            </w:r>
            <w:r w:rsidRPr="00A23740">
              <w:rPr>
                <w:rFonts w:eastAsia="Times New Roman"/>
                <w:bCs/>
                <w:szCs w:val="24"/>
              </w:rPr>
              <w:t xml:space="preserve"> uyumlu şekilde belirtilmiştir. </w:t>
            </w:r>
          </w:p>
          <w:p w:rsidR="00A46C6E" w:rsidRPr="00A23740" w:rsidRDefault="00A46C6E" w:rsidP="009431FF">
            <w:pPr>
              <w:ind w:firstLine="567"/>
              <w:rPr>
                <w:rFonts w:eastAsia="Times New Roman"/>
                <w:bCs/>
                <w:szCs w:val="24"/>
              </w:rPr>
            </w:pPr>
            <w:r w:rsidRPr="00A23740">
              <w:rPr>
                <w:rFonts w:eastAsia="Times New Roman"/>
                <w:bCs/>
                <w:szCs w:val="24"/>
              </w:rPr>
              <w:t>6102 sayılı Kanunun 1384 üncü maddesinin ikinci fıkrasında</w:t>
            </w:r>
            <w:r w:rsidR="002664B9" w:rsidRPr="00A23740">
              <w:rPr>
                <w:rFonts w:eastAsia="Times New Roman"/>
                <w:bCs/>
                <w:szCs w:val="24"/>
              </w:rPr>
              <w:t>,</w:t>
            </w:r>
            <w:r w:rsidRPr="00A23740">
              <w:rPr>
                <w:rFonts w:eastAsia="Times New Roman"/>
                <w:bCs/>
                <w:szCs w:val="24"/>
              </w:rPr>
              <w:t xml:space="preserve"> 2004 sayılı Kanunun 126 ncı maddesi uyarınca yapılacak ilanın bu fıkrada belirtilen makam ve kişilere bildirilmesinden söz edilip bildirim veya ilanın yapılması gereken süre belirtilmemiştir. Bu nedenle 1993 </w:t>
            </w:r>
            <w:r w:rsidR="003205AA" w:rsidRPr="00E65BE7">
              <w:rPr>
                <w:rFonts w:eastAsia="Times New Roman"/>
                <w:bCs/>
                <w:szCs w:val="24"/>
              </w:rPr>
              <w:t>tarihli</w:t>
            </w:r>
            <w:r w:rsidR="003205AA" w:rsidRPr="00A23740">
              <w:rPr>
                <w:rStyle w:val="KonuBalChar"/>
                <w:rFonts w:eastAsia="Calibri"/>
              </w:rPr>
              <w:t xml:space="preserve"> </w:t>
            </w:r>
            <w:r w:rsidR="003205AA" w:rsidRPr="00E65BE7">
              <w:rPr>
                <w:rFonts w:eastAsia="Times New Roman"/>
                <w:bCs/>
                <w:szCs w:val="24"/>
              </w:rPr>
              <w:t>Milletlerarası Sözleşmenin</w:t>
            </w:r>
            <w:r w:rsidR="003205AA" w:rsidRPr="00A23740">
              <w:rPr>
                <w:rFonts w:eastAsia="Times New Roman"/>
                <w:szCs w:val="24"/>
              </w:rPr>
              <w:t xml:space="preserve"> </w:t>
            </w:r>
            <w:r w:rsidRPr="00A23740">
              <w:rPr>
                <w:rFonts w:eastAsia="Times New Roman"/>
                <w:bCs/>
                <w:szCs w:val="24"/>
              </w:rPr>
              <w:t xml:space="preserve">11 inci maddesi ve Taslağın </w:t>
            </w:r>
            <w:r w:rsidR="000923C5" w:rsidRPr="00E65BE7">
              <w:rPr>
                <w:rFonts w:eastAsia="Times New Roman"/>
                <w:bCs/>
                <w:szCs w:val="24"/>
              </w:rPr>
              <w:t>bu</w:t>
            </w:r>
            <w:r w:rsidR="00B218D7" w:rsidRPr="00A23740">
              <w:rPr>
                <w:rFonts w:eastAsia="Times New Roman"/>
                <w:bCs/>
                <w:szCs w:val="24"/>
              </w:rPr>
              <w:t xml:space="preserve"> </w:t>
            </w:r>
            <w:r w:rsidRPr="00A23740">
              <w:rPr>
                <w:rFonts w:eastAsia="Times New Roman"/>
                <w:bCs/>
                <w:szCs w:val="24"/>
              </w:rPr>
              <w:t>maddesi</w:t>
            </w:r>
            <w:r w:rsidR="002664B9" w:rsidRPr="00A23740">
              <w:rPr>
                <w:rFonts w:eastAsia="Times New Roman"/>
                <w:bCs/>
                <w:szCs w:val="24"/>
              </w:rPr>
              <w:t>yle</w:t>
            </w:r>
            <w:r w:rsidRPr="00A23740">
              <w:rPr>
                <w:rFonts w:eastAsia="Times New Roman"/>
                <w:bCs/>
                <w:szCs w:val="24"/>
              </w:rPr>
              <w:t xml:space="preserve"> uyum sağlanması gerekliliği dikkate alınarak “</w:t>
            </w:r>
            <w:r w:rsidRPr="00A23740">
              <w:rPr>
                <w:rFonts w:eastAsia="Times New Roman"/>
                <w:bCs/>
                <w:i/>
                <w:iCs/>
                <w:szCs w:val="24"/>
              </w:rPr>
              <w:t>icra ve iflas müdürü tarafından</w:t>
            </w:r>
            <w:r w:rsidRPr="00A23740">
              <w:rPr>
                <w:rFonts w:eastAsia="Times New Roman"/>
                <w:bCs/>
                <w:szCs w:val="24"/>
              </w:rPr>
              <w:t xml:space="preserve">” ibaresinden sonra “… </w:t>
            </w:r>
            <w:r w:rsidRPr="00A23740">
              <w:rPr>
                <w:rFonts w:eastAsia="Times New Roman"/>
                <w:bCs/>
                <w:i/>
                <w:iCs/>
                <w:szCs w:val="24"/>
              </w:rPr>
              <w:t>birinci artırma</w:t>
            </w:r>
            <w:r w:rsidRPr="00A23740">
              <w:rPr>
                <w:rFonts w:eastAsia="Times New Roman"/>
                <w:bCs/>
                <w:szCs w:val="24"/>
              </w:rPr>
              <w:t xml:space="preserve"> </w:t>
            </w:r>
            <w:r w:rsidRPr="00A23740">
              <w:rPr>
                <w:rFonts w:eastAsia="Times New Roman"/>
                <w:bCs/>
                <w:i/>
                <w:iCs/>
                <w:szCs w:val="24"/>
              </w:rPr>
              <w:t xml:space="preserve">tarihinden en az bir ay önce </w:t>
            </w:r>
            <w:r w:rsidRPr="00A23740">
              <w:rPr>
                <w:rFonts w:eastAsia="Times New Roman"/>
                <w:bCs/>
                <w:szCs w:val="24"/>
              </w:rPr>
              <w:t xml:space="preserve">…” ibaresi eklenmiştir. </w:t>
            </w:r>
          </w:p>
          <w:p w:rsidR="00A46C6E" w:rsidRPr="00A23740" w:rsidRDefault="00A46C6E" w:rsidP="009431FF">
            <w:pPr>
              <w:ind w:firstLine="567"/>
              <w:rPr>
                <w:rFonts w:eastAsia="Times New Roman"/>
                <w:bCs/>
                <w:szCs w:val="24"/>
              </w:rPr>
            </w:pPr>
            <w:r w:rsidRPr="00A23740">
              <w:rPr>
                <w:rFonts w:eastAsia="Times New Roman"/>
                <w:bCs/>
                <w:szCs w:val="24"/>
              </w:rPr>
              <w:t xml:space="preserve">6102 sayılı Kanunun 1384 üncü maddesinin yazılı bildirimin gönderilme şekline dair üçüncü fıkrası, Taslağın </w:t>
            </w:r>
            <w:r w:rsidR="000923C5" w:rsidRPr="00E65BE7">
              <w:rPr>
                <w:rFonts w:eastAsia="Times New Roman"/>
                <w:bCs/>
                <w:szCs w:val="24"/>
              </w:rPr>
              <w:t>bu</w:t>
            </w:r>
            <w:r w:rsidR="000923C5" w:rsidRPr="00A23740">
              <w:rPr>
                <w:rFonts w:eastAsia="Times New Roman"/>
                <w:bCs/>
                <w:szCs w:val="24"/>
              </w:rPr>
              <w:t xml:space="preserve"> </w:t>
            </w:r>
            <w:r w:rsidRPr="00A23740">
              <w:rPr>
                <w:rFonts w:eastAsia="Times New Roman"/>
                <w:bCs/>
                <w:szCs w:val="24"/>
              </w:rPr>
              <w:t>maddesinin ikinci fıkrasının ifadesi</w:t>
            </w:r>
            <w:r w:rsidR="002664B9" w:rsidRPr="00A23740">
              <w:rPr>
                <w:rFonts w:eastAsia="Times New Roman"/>
                <w:bCs/>
                <w:szCs w:val="24"/>
              </w:rPr>
              <w:t>yle</w:t>
            </w:r>
            <w:r w:rsidRPr="00A23740">
              <w:rPr>
                <w:rFonts w:eastAsia="Times New Roman"/>
                <w:bCs/>
                <w:szCs w:val="24"/>
              </w:rPr>
              <w:t xml:space="preserve"> uyumlu olarak</w:t>
            </w:r>
            <w:r w:rsidR="002664B9" w:rsidRPr="00A23740">
              <w:rPr>
                <w:rFonts w:eastAsia="Times New Roman"/>
                <w:bCs/>
                <w:szCs w:val="24"/>
              </w:rPr>
              <w:t>,</w:t>
            </w:r>
            <w:r w:rsidRPr="00A23740">
              <w:rPr>
                <w:rFonts w:eastAsia="Times New Roman"/>
                <w:bCs/>
                <w:szCs w:val="24"/>
              </w:rPr>
              <w:t xml:space="preserve"> “</w:t>
            </w:r>
            <w:r w:rsidRPr="00A23740">
              <w:rPr>
                <w:rFonts w:eastAsia="Times New Roman"/>
                <w:i/>
                <w:iCs/>
                <w:szCs w:val="24"/>
              </w:rPr>
              <w:t>iadeli taahhütlü mektupla ya da bildirimin muhataba ulaştığını doğrulayan elektronik iletişim yoluyla veya başkaca uygun bir araçla gönderilmek suretiyle …</w:t>
            </w:r>
            <w:r w:rsidRPr="00A23740">
              <w:rPr>
                <w:rFonts w:eastAsia="Times New Roman"/>
                <w:szCs w:val="24"/>
              </w:rPr>
              <w:t>”</w:t>
            </w:r>
            <w:r w:rsidRPr="00A23740">
              <w:rPr>
                <w:rFonts w:eastAsia="Times New Roman"/>
                <w:bCs/>
                <w:szCs w:val="24"/>
              </w:rPr>
              <w:t xml:space="preserve"> şeklinde değiştirilerek maddenin ikinci fıkrasına alınmıştır. Bu fıkrada yer alan “başkaca uygun bir araç” ile kastedilen</w:t>
            </w:r>
            <w:r w:rsidR="002664B9" w:rsidRPr="00A23740">
              <w:rPr>
                <w:rFonts w:eastAsia="Times New Roman"/>
                <w:bCs/>
                <w:szCs w:val="24"/>
              </w:rPr>
              <w:t xml:space="preserve"> husus</w:t>
            </w:r>
            <w:r w:rsidRPr="00A23740">
              <w:rPr>
                <w:rFonts w:eastAsia="Times New Roman"/>
                <w:bCs/>
                <w:szCs w:val="24"/>
              </w:rPr>
              <w:t xml:space="preserve">, bildirimin muhataba ulaştığını doğrulayan başka bir gönderme yöntemidir. </w:t>
            </w:r>
          </w:p>
          <w:p w:rsidR="00A46C6E" w:rsidRPr="00A23740" w:rsidRDefault="00A46C6E" w:rsidP="009431FF">
            <w:pPr>
              <w:ind w:firstLine="567"/>
              <w:rPr>
                <w:rFonts w:eastAsia="Times New Roman"/>
                <w:bCs/>
                <w:szCs w:val="24"/>
              </w:rPr>
            </w:pPr>
            <w:r w:rsidRPr="00A23740">
              <w:rPr>
                <w:rFonts w:eastAsia="Times New Roman"/>
                <w:bCs/>
                <w:szCs w:val="24"/>
              </w:rPr>
              <w:t xml:space="preserve">1993 </w:t>
            </w:r>
            <w:r w:rsidR="003205AA" w:rsidRPr="00E65BE7">
              <w:rPr>
                <w:rFonts w:eastAsia="Times New Roman"/>
                <w:szCs w:val="24"/>
              </w:rPr>
              <w:t>tarihli Milletlerarası Sözleşmenin</w:t>
            </w:r>
            <w:r w:rsidR="003205AA" w:rsidRPr="00A23740">
              <w:rPr>
                <w:rFonts w:eastAsia="Times New Roman"/>
                <w:szCs w:val="24"/>
              </w:rPr>
              <w:t xml:space="preserve"> </w:t>
            </w:r>
            <w:r w:rsidRPr="00A23740">
              <w:rPr>
                <w:rFonts w:eastAsia="Times New Roman"/>
                <w:bCs/>
                <w:szCs w:val="24"/>
              </w:rPr>
              <w:t>11 inci maddesinde geminin kayıtlı olduğu sicil devleti ülkesinde basın yoluyla ilan zorunluluğu öngörülmediği; geminin kayıtlı olduğu sicil devleti hukukuna göre yurt dışında cebr</w:t>
            </w:r>
            <w:r w:rsidR="00A949BC" w:rsidRPr="00A23740">
              <w:rPr>
                <w:rFonts w:eastAsia="Times New Roman"/>
                <w:bCs/>
                <w:szCs w:val="24"/>
              </w:rPr>
              <w:t>î</w:t>
            </w:r>
            <w:r w:rsidRPr="00A23740">
              <w:rPr>
                <w:rFonts w:eastAsia="Times New Roman"/>
                <w:bCs/>
                <w:szCs w:val="24"/>
              </w:rPr>
              <w:t xml:space="preserve"> icra yoluyla satışının tanınması için sicil devleti ülkesinde basın yoluyla ilan zorunluluğu varsa, bu zorunluluğun ilgililer tarafından yerine getirilebileceği; nitekim </w:t>
            </w:r>
            <w:r w:rsidR="006B2F14" w:rsidRPr="00E65BE7">
              <w:rPr>
                <w:rStyle w:val="KonuBalChar"/>
                <w:rFonts w:eastAsia="ヒラギノ明朝 Pro W3"/>
                <w:b w:val="0"/>
                <w:color w:val="auto"/>
              </w:rPr>
              <w:t>476 ncı</w:t>
            </w:r>
            <w:r w:rsidR="006B2F14" w:rsidRPr="00A23740">
              <w:rPr>
                <w:rFonts w:eastAsia="Times New Roman"/>
                <w:szCs w:val="24"/>
                <w:lang w:eastAsia="tr-TR"/>
              </w:rPr>
              <w:t xml:space="preserve"> </w:t>
            </w:r>
            <w:r w:rsidRPr="00A23740">
              <w:rPr>
                <w:rFonts w:eastAsia="Times New Roman"/>
                <w:bCs/>
                <w:szCs w:val="24"/>
              </w:rPr>
              <w:t xml:space="preserve">maddenin ikinci fıkrasında ilgililerin artırma şartnamesini diledikleri vasıtalarla yurt dışında da ilan ettirebileceklerinin hüküm altına alındığı; ayrıca sicil devleti hukukunda gazetede ilan zorunluluğu olup olmadığı, varsa içeriği bilinmeksizin sicil devleti ülkesinde basın yoluyla ilan yapılmasını öngören bir düzenleme getirilmesinin ilave mali külfet getireceği dikkate alınarak 6102 sayılı Kanunun 1384 üncü maddesinin ikinci fıkrasında yer alan “… </w:t>
            </w:r>
            <w:r w:rsidRPr="00A23740">
              <w:rPr>
                <w:rFonts w:eastAsia="Times New Roman"/>
                <w:bCs/>
                <w:i/>
                <w:iCs/>
                <w:szCs w:val="24"/>
              </w:rPr>
              <w:t>veya gideri ilgililer tarafından karşılanmak şartıyla tirajı elli binin üzerinde olan ve sicilin fiilen tutulduğu ülke düzeyinde dağıtımı yapılan gazetelerden biriyle ilan edilmesi</w:t>
            </w:r>
            <w:r w:rsidRPr="00A23740">
              <w:rPr>
                <w:rFonts w:eastAsia="Times New Roman"/>
                <w:bCs/>
                <w:szCs w:val="24"/>
              </w:rPr>
              <w:t xml:space="preserve"> …” ibaresi, </w:t>
            </w:r>
            <w:r w:rsidR="002664B9" w:rsidRPr="00A23740">
              <w:rPr>
                <w:rFonts w:eastAsia="Times New Roman"/>
                <w:bCs/>
                <w:szCs w:val="24"/>
              </w:rPr>
              <w:t xml:space="preserve">Taslak </w:t>
            </w:r>
            <w:r w:rsidRPr="00A23740">
              <w:rPr>
                <w:rFonts w:eastAsia="Times New Roman"/>
                <w:bCs/>
                <w:szCs w:val="24"/>
              </w:rPr>
              <w:t>madde</w:t>
            </w:r>
            <w:r w:rsidR="002664B9" w:rsidRPr="00A23740">
              <w:rPr>
                <w:rFonts w:eastAsia="Times New Roman"/>
                <w:bCs/>
                <w:szCs w:val="24"/>
              </w:rPr>
              <w:t>si</w:t>
            </w:r>
            <w:r w:rsidRPr="00A23740">
              <w:rPr>
                <w:rFonts w:eastAsia="Times New Roman"/>
                <w:bCs/>
                <w:szCs w:val="24"/>
              </w:rPr>
              <w:t>nin ikinci fıkrasına alınmamıştır. Maddenin ikinci fıkrasının (b), (c) ve (ç) bentlerinde belirtilen kişilere</w:t>
            </w:r>
            <w:r w:rsidR="00535D4A" w:rsidRPr="00A23740">
              <w:rPr>
                <w:rFonts w:eastAsia="Times New Roman"/>
                <w:bCs/>
                <w:szCs w:val="24"/>
              </w:rPr>
              <w:t xml:space="preserve"> yazılı bildirim yapılamaması hâ</w:t>
            </w:r>
            <w:r w:rsidRPr="00A23740">
              <w:rPr>
                <w:rFonts w:eastAsia="Times New Roman"/>
                <w:bCs/>
                <w:szCs w:val="24"/>
              </w:rPr>
              <w:t xml:space="preserve">linde Taslağın </w:t>
            </w:r>
            <w:r w:rsidR="006B2F14" w:rsidRPr="00E65BE7">
              <w:rPr>
                <w:rStyle w:val="KonuBalChar"/>
                <w:rFonts w:eastAsia="ヒラギノ明朝 Pro W3"/>
                <w:b w:val="0"/>
                <w:color w:val="auto"/>
              </w:rPr>
              <w:t>476</w:t>
            </w:r>
            <w:r w:rsidR="006B2F14" w:rsidRPr="00A23740">
              <w:rPr>
                <w:rStyle w:val="KonuBalChar"/>
                <w:rFonts w:eastAsia="ヒラギノ明朝 Pro W3"/>
              </w:rPr>
              <w:t xml:space="preserve"> </w:t>
            </w:r>
            <w:r w:rsidR="006B2F14" w:rsidRPr="00E65BE7">
              <w:rPr>
                <w:rStyle w:val="KonuBalChar"/>
                <w:rFonts w:eastAsia="ヒラギノ明朝 Pro W3"/>
                <w:b w:val="0"/>
                <w:color w:val="auto"/>
              </w:rPr>
              <w:t>ncı</w:t>
            </w:r>
            <w:r w:rsidR="006B2F14" w:rsidRPr="00A23740">
              <w:rPr>
                <w:rFonts w:eastAsia="Times New Roman"/>
                <w:szCs w:val="24"/>
                <w:lang w:eastAsia="tr-TR"/>
              </w:rPr>
              <w:t xml:space="preserve"> </w:t>
            </w:r>
            <w:r w:rsidRPr="00A23740">
              <w:rPr>
                <w:rFonts w:eastAsia="Times New Roman"/>
                <w:bCs/>
                <w:szCs w:val="24"/>
              </w:rPr>
              <w:t>maddesi uyarınca gazetede yayımlanacak ilanın bildirim yerine geçeceği hüküm altına alınmıştır. Dolayısıyla</w:t>
            </w:r>
            <w:r w:rsidR="002664B9" w:rsidRPr="00A23740">
              <w:rPr>
                <w:rFonts w:eastAsia="Times New Roman"/>
                <w:bCs/>
                <w:szCs w:val="24"/>
              </w:rPr>
              <w:t>,</w:t>
            </w:r>
            <w:r w:rsidRPr="00A23740">
              <w:rPr>
                <w:rFonts w:eastAsia="Times New Roman"/>
                <w:bCs/>
                <w:szCs w:val="24"/>
              </w:rPr>
              <w:t xml:space="preserve"> bayrağına ve sicile kayıtlı olup olmadığına bakılmaksızın gemilerin Türkiye’de cebrî icra yoluyla satışında “yazılı bildirim” ve “basın yoluyla ilan” yöntemlerinin birlikte uygulanması esası geçerlidir. </w:t>
            </w:r>
            <w:bookmarkStart w:id="29" w:name="_Hlk172817786"/>
            <w:r w:rsidRPr="00A23740">
              <w:rPr>
                <w:rFonts w:eastAsia="Times New Roman"/>
                <w:bCs/>
                <w:szCs w:val="24"/>
              </w:rPr>
              <w:t>Böylece yabancı bir devlet sicilinde kayıtlı gemilerin Türkiye’de cebr</w:t>
            </w:r>
            <w:r w:rsidR="00A949BC" w:rsidRPr="00A23740">
              <w:rPr>
                <w:rFonts w:eastAsia="Times New Roman"/>
                <w:bCs/>
                <w:szCs w:val="24"/>
              </w:rPr>
              <w:t>î</w:t>
            </w:r>
            <w:r w:rsidRPr="00A23740">
              <w:rPr>
                <w:rFonts w:eastAsia="Times New Roman"/>
                <w:bCs/>
                <w:szCs w:val="24"/>
              </w:rPr>
              <w:t xml:space="preserve"> icra yoluyla satışının bildirim ve ilanı ile bir Türk gemi sicilinde kayıtlı gemilerin yurt dışında cebr</w:t>
            </w:r>
            <w:r w:rsidR="00A949BC" w:rsidRPr="00A23740">
              <w:rPr>
                <w:rFonts w:eastAsia="Times New Roman"/>
                <w:bCs/>
                <w:szCs w:val="24"/>
              </w:rPr>
              <w:t>î</w:t>
            </w:r>
            <w:r w:rsidRPr="00A23740">
              <w:rPr>
                <w:rFonts w:eastAsia="Times New Roman"/>
                <w:bCs/>
                <w:szCs w:val="24"/>
              </w:rPr>
              <w:t xml:space="preserve"> icra yoluyla satışının bildirim ve ilanı, birbirine paralel bir şekilde düzenlenmiştir. </w:t>
            </w:r>
            <w:bookmarkEnd w:id="29"/>
          </w:p>
          <w:p w:rsidR="00E865A5" w:rsidRPr="00A23740" w:rsidRDefault="00E865A5" w:rsidP="00196116">
            <w:pPr>
              <w:rPr>
                <w:rFonts w:eastAsia="Times New Roman"/>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4.</w:t>
            </w:r>
            <w:r w:rsidR="00A42965">
              <w:rPr>
                <w:rFonts w:eastAsia="Times New Roman"/>
                <w:b/>
                <w:bCs/>
                <w:szCs w:val="24"/>
                <w:lang w:eastAsia="tr-TR"/>
              </w:rPr>
              <w:t xml:space="preserve"> Artırmanın ilanı</w:t>
            </w:r>
          </w:p>
          <w:p w:rsidR="00A46C6E" w:rsidRPr="00A23740" w:rsidRDefault="00A46C6E" w:rsidP="009431FF">
            <w:pPr>
              <w:rPr>
                <w:rFonts w:eastAsia="Times New Roman"/>
                <w:b/>
                <w:strike/>
                <w:color w:val="FF0000"/>
                <w:szCs w:val="24"/>
                <w:lang w:eastAsia="x-none"/>
              </w:rPr>
            </w:pPr>
            <w:r w:rsidRPr="00A23740">
              <w:rPr>
                <w:rFonts w:eastAsia="Times New Roman"/>
                <w:b/>
                <w:bCs/>
                <w:szCs w:val="24"/>
                <w:lang w:eastAsia="tr-TR"/>
              </w:rPr>
              <w:t xml:space="preserve">MADDE </w:t>
            </w:r>
            <w:r w:rsidRPr="00A23740">
              <w:rPr>
                <w:rFonts w:eastAsia="Times New Roman"/>
                <w:b/>
                <w:bCs/>
                <w:strike/>
                <w:color w:val="FF0000"/>
                <w:szCs w:val="24"/>
                <w:lang w:eastAsia="x-none"/>
              </w:rPr>
              <w:t>1385</w:t>
            </w:r>
            <w:r w:rsidRPr="00A23740">
              <w:rPr>
                <w:rFonts w:eastAsia="Times New Roman"/>
                <w:b/>
                <w:strike/>
                <w:color w:val="FF0000"/>
                <w:szCs w:val="24"/>
                <w:lang w:eastAsia="x-none"/>
              </w:rPr>
              <w:t>-</w:t>
            </w:r>
            <w:r w:rsidRPr="00136EBC">
              <w:rPr>
                <w:rFonts w:eastAsia="Times New Roman"/>
                <w:b/>
                <w:color w:val="FF0000"/>
                <w:szCs w:val="24"/>
                <w:lang w:eastAsia="x-none"/>
              </w:rPr>
              <w:t xml:space="preserve"> </w:t>
            </w:r>
            <w:r w:rsidRPr="00136EBC">
              <w:t>(1)</w:t>
            </w:r>
            <w:r w:rsidRPr="00136EBC">
              <w:rPr>
                <w:rFonts w:eastAsia="Times New Roman"/>
                <w:b/>
                <w:color w:val="FF0000"/>
                <w:szCs w:val="24"/>
                <w:lang w:eastAsia="x-none"/>
              </w:rPr>
              <w:t xml:space="preserve"> </w:t>
            </w:r>
            <w:r w:rsidRPr="00A23740">
              <w:rPr>
                <w:rFonts w:eastAsia="Times New Roman"/>
                <w:b/>
                <w:strike/>
                <w:color w:val="FF0000"/>
                <w:szCs w:val="24"/>
                <w:lang w:eastAsia="x-none"/>
              </w:rPr>
              <w:t xml:space="preserve">İcra ve İflas </w:t>
            </w:r>
            <w:r w:rsidRPr="00A23740">
              <w:rPr>
                <w:b/>
                <w:bCs/>
                <w:strike/>
                <w:color w:val="FF0000"/>
                <w:lang w:val="x-none" w:eastAsia="x-none"/>
              </w:rPr>
              <w:t>Kanununun 126 ncı</w:t>
            </w:r>
            <w:r w:rsidRPr="00A23740">
              <w:rPr>
                <w:rFonts w:eastAsia="Times New Roman"/>
                <w:szCs w:val="24"/>
                <w:lang w:eastAsia="tr-TR"/>
              </w:rPr>
              <w:t xml:space="preserve"> madde</w:t>
            </w:r>
            <w:r w:rsidRPr="00A23740">
              <w:rPr>
                <w:b/>
                <w:bCs/>
                <w:strike/>
                <w:color w:val="FF0000"/>
                <w:lang w:val="x-none" w:eastAsia="x-none"/>
              </w:rPr>
              <w:t>si</w:t>
            </w:r>
            <w:r w:rsidRPr="00A23740">
              <w:rPr>
                <w:rFonts w:eastAsia="Times New Roman"/>
                <w:szCs w:val="24"/>
                <w:lang w:eastAsia="tr-TR"/>
              </w:rPr>
              <w:t xml:space="preserve"> uyarınca yapılacak ilan</w:t>
            </w:r>
            <w:r w:rsidRPr="00A23740">
              <w:rPr>
                <w:rFonts w:eastAsia="Times New Roman"/>
                <w:b/>
                <w:strike/>
                <w:color w:val="FF0000"/>
                <w:szCs w:val="24"/>
                <w:lang w:eastAsia="x-none"/>
              </w:rPr>
              <w:t>, bir internet haber sitesinde ve tirajı ellibin üzerinde olan ve yurt düzeyinde</w:t>
            </w:r>
            <w:r w:rsidRPr="00A23740">
              <w:rPr>
                <w:rFonts w:eastAsia="Times New Roman"/>
                <w:szCs w:val="24"/>
                <w:lang w:eastAsia="tr-TR"/>
              </w:rPr>
              <w:t xml:space="preserve"> dağıtımı yapılan gazetelerden biri</w:t>
            </w:r>
            <w:r w:rsidRPr="00A23740">
              <w:rPr>
                <w:rFonts w:eastAsia="Times New Roman"/>
                <w:b/>
                <w:strike/>
                <w:color w:val="FF0000"/>
                <w:szCs w:val="24"/>
                <w:lang w:eastAsia="x-none"/>
              </w:rPr>
              <w:t>yle ve ayrıca</w:t>
            </w:r>
            <w:r w:rsidRPr="00A23740">
              <w:rPr>
                <w:rFonts w:eastAsia="Times New Roman"/>
                <w:szCs w:val="24"/>
                <w:lang w:eastAsia="tr-TR"/>
              </w:rPr>
              <w:t xml:space="preserve"> yurt dışında</w:t>
            </w:r>
            <w:r w:rsidRPr="00A23740">
              <w:rPr>
                <w:rFonts w:eastAsia="Times New Roman"/>
                <w:b/>
                <w:strike/>
                <w:color w:val="FF0000"/>
                <w:szCs w:val="24"/>
                <w:lang w:eastAsia="x-none"/>
              </w:rPr>
              <w:t xml:space="preserve"> dünya çapında dağıtımı yapılan denizcilikle ilgili günlük bir gazetede yayımlanır.</w:t>
            </w:r>
          </w:p>
          <w:p w:rsidR="00A46C6E" w:rsidRPr="00A23740" w:rsidRDefault="00A46C6E" w:rsidP="009431FF">
            <w:pPr>
              <w:rPr>
                <w:rFonts w:eastAsia="Times New Roman"/>
                <w:b/>
                <w:strike/>
                <w:color w:val="FF0000"/>
                <w:szCs w:val="24"/>
                <w:lang w:eastAsia="x-none"/>
              </w:rPr>
            </w:pPr>
          </w:p>
          <w:p w:rsidR="00A46C6E" w:rsidRPr="00A23740" w:rsidRDefault="00A46C6E" w:rsidP="009431FF">
            <w:pPr>
              <w:rPr>
                <w:rFonts w:eastAsia="Times New Roman"/>
                <w:b/>
                <w:strike/>
                <w:color w:val="FF0000"/>
                <w:szCs w:val="24"/>
                <w:lang w:eastAsia="x-none"/>
              </w:rPr>
            </w:pPr>
            <w:r w:rsidRPr="00136EBC">
              <w:t>(2)</w:t>
            </w:r>
            <w:r w:rsidRPr="00A23740">
              <w:rPr>
                <w:rFonts w:eastAsia="Times New Roman"/>
                <w:szCs w:val="24"/>
                <w:lang w:eastAsia="tr-TR"/>
              </w:rPr>
              <w:t xml:space="preserve"> İlanda</w:t>
            </w:r>
            <w:r w:rsidRPr="00A23740">
              <w:rPr>
                <w:rFonts w:eastAsia="Times New Roman"/>
                <w:b/>
                <w:strike/>
                <w:color w:val="FF0000"/>
                <w:szCs w:val="24"/>
                <w:lang w:eastAsia="x-none"/>
              </w:rPr>
              <w:t>,</w:t>
            </w:r>
            <w:r w:rsidRPr="00A23740">
              <w:rPr>
                <w:rFonts w:eastAsia="Times New Roman"/>
                <w:szCs w:val="24"/>
                <w:lang w:eastAsia="tr-TR"/>
              </w:rPr>
              <w:t xml:space="preserve"> ipotek alacaklısının rızasıyla alıcı tarafından </w:t>
            </w:r>
            <w:r w:rsidRPr="00A23740">
              <w:rPr>
                <w:rFonts w:eastAsia="Times New Roman"/>
                <w:b/>
                <w:strike/>
                <w:color w:val="FF0000"/>
                <w:szCs w:val="24"/>
                <w:lang w:eastAsia="x-none"/>
              </w:rPr>
              <w:t xml:space="preserve">yüklenilenler </w:t>
            </w:r>
            <w:r w:rsidRPr="00A23740">
              <w:rPr>
                <w:rFonts w:eastAsia="Times New Roman"/>
                <w:szCs w:val="24"/>
                <w:lang w:eastAsia="tr-TR"/>
              </w:rPr>
              <w:t>dışında</w:t>
            </w:r>
            <w:r w:rsidRPr="00A23740">
              <w:rPr>
                <w:rFonts w:eastAsia="Times New Roman"/>
                <w:b/>
                <w:strike/>
                <w:color w:val="FF0000"/>
                <w:szCs w:val="24"/>
                <w:lang w:eastAsia="x-none"/>
              </w:rPr>
              <w:t>,</w:t>
            </w:r>
            <w:r w:rsidRPr="00A23740">
              <w:rPr>
                <w:rFonts w:eastAsia="Times New Roman"/>
                <w:szCs w:val="24"/>
                <w:lang w:eastAsia="tr-TR"/>
              </w:rPr>
              <w:t xml:space="preserve"> </w:t>
            </w:r>
            <w:r w:rsidRPr="00A23740">
              <w:rPr>
                <w:rFonts w:eastAsia="Times New Roman"/>
                <w:b/>
                <w:strike/>
                <w:color w:val="FF0000"/>
                <w:szCs w:val="24"/>
                <w:lang w:eastAsia="x-none"/>
              </w:rPr>
              <w:t>geminin</w:t>
            </w:r>
            <w:r w:rsidRPr="00A23740">
              <w:rPr>
                <w:rFonts w:eastAsia="Times New Roman"/>
                <w:szCs w:val="24"/>
                <w:lang w:eastAsia="tr-TR"/>
              </w:rPr>
              <w:t xml:space="preserve"> bütün </w:t>
            </w:r>
            <w:r w:rsidRPr="00A23740">
              <w:rPr>
                <w:rFonts w:eastAsia="Times New Roman"/>
                <w:b/>
                <w:strike/>
                <w:color w:val="FF0000"/>
                <w:szCs w:val="24"/>
                <w:lang w:eastAsia="x-none"/>
              </w:rPr>
              <w:t>ayni ve kişisel</w:t>
            </w:r>
            <w:r w:rsidRPr="00A23740">
              <w:rPr>
                <w:rFonts w:eastAsia="Times New Roman"/>
                <w:szCs w:val="24"/>
                <w:lang w:eastAsia="tr-TR"/>
              </w:rPr>
              <w:t xml:space="preserve"> hak</w:t>
            </w:r>
            <w:r w:rsidRPr="00A23740">
              <w:rPr>
                <w:rFonts w:eastAsia="Times New Roman"/>
                <w:b/>
                <w:strike/>
                <w:color w:val="FF0000"/>
                <w:szCs w:val="24"/>
                <w:lang w:eastAsia="x-none"/>
              </w:rPr>
              <w:t>lardan, külfetlerden</w:t>
            </w:r>
            <w:r w:rsidRPr="00A23740">
              <w:rPr>
                <w:rFonts w:eastAsia="Times New Roman"/>
                <w:szCs w:val="24"/>
                <w:lang w:eastAsia="tr-TR"/>
              </w:rPr>
              <w:t xml:space="preserve"> ve</w:t>
            </w:r>
            <w:r w:rsidRPr="00A23740">
              <w:rPr>
                <w:rFonts w:eastAsia="Times New Roman"/>
                <w:b/>
                <w:strike/>
                <w:color w:val="FF0000"/>
                <w:szCs w:val="24"/>
                <w:lang w:eastAsia="x-none"/>
              </w:rPr>
              <w:t xml:space="preserve"> sınırlandırmalardan arınmış</w:t>
            </w:r>
            <w:r w:rsidRPr="00A23740">
              <w:rPr>
                <w:rFonts w:eastAsia="Times New Roman"/>
                <w:szCs w:val="24"/>
                <w:lang w:eastAsia="tr-TR"/>
              </w:rPr>
              <w:t xml:space="preserve"> olarak satılacağı bildiril</w:t>
            </w:r>
            <w:r w:rsidRPr="00A23740">
              <w:rPr>
                <w:rFonts w:eastAsia="Times New Roman"/>
                <w:b/>
                <w:strike/>
                <w:color w:val="FF0000"/>
                <w:szCs w:val="24"/>
                <w:lang w:eastAsia="x-none"/>
              </w:rPr>
              <w:t>ir.</w:t>
            </w:r>
          </w:p>
          <w:p w:rsidR="00A46C6E" w:rsidRPr="00A23740" w:rsidRDefault="00A46C6E" w:rsidP="009431FF">
            <w:pPr>
              <w:rPr>
                <w:rFonts w:eastAsia="Times New Roman"/>
                <w:szCs w:val="24"/>
              </w:rPr>
            </w:pP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Artırma </w:t>
            </w:r>
            <w:r w:rsidRPr="00A23740">
              <w:rPr>
                <w:rFonts w:eastAsia="Times New Roman"/>
                <w:b/>
                <w:bCs/>
                <w:color w:val="0000FF"/>
                <w:szCs w:val="24"/>
                <w:lang w:eastAsia="x-none"/>
              </w:rPr>
              <w:t>şartnamesi</w:t>
            </w:r>
            <w:r w:rsidRPr="00A23740">
              <w:rPr>
                <w:b/>
                <w:color w:val="00CC00"/>
                <w:lang w:eastAsia="tr-TR"/>
              </w:rPr>
              <w:t xml:space="preserve"> </w:t>
            </w:r>
            <w:r w:rsidRPr="00A23740">
              <w:rPr>
                <w:rFonts w:eastAsia="Times New Roman"/>
                <w:b/>
                <w:bCs/>
                <w:color w:val="0000FF"/>
                <w:szCs w:val="24"/>
                <w:lang w:eastAsia="x-none"/>
              </w:rPr>
              <w:t>ve</w:t>
            </w:r>
            <w:r w:rsidRPr="00A23740">
              <w:rPr>
                <w:b/>
                <w:color w:val="00CC00"/>
                <w:lang w:eastAsia="tr-TR"/>
              </w:rPr>
              <w:t xml:space="preserve"> </w:t>
            </w:r>
            <w:r w:rsidRPr="00A23740">
              <w:rPr>
                <w:rFonts w:eastAsia="Times New Roman"/>
                <w:b/>
                <w:bCs/>
                <w:color w:val="0000FF"/>
                <w:szCs w:val="24"/>
                <w:lang w:eastAsia="x-none"/>
              </w:rPr>
              <w:t>artırmanın</w:t>
            </w:r>
            <w:r w:rsidRPr="00A23740">
              <w:rPr>
                <w:rFonts w:eastAsia="Times New Roman"/>
                <w:b/>
                <w:bCs/>
                <w:szCs w:val="24"/>
                <w:lang w:eastAsia="tr-TR"/>
              </w:rPr>
              <w:t xml:space="preserve"> ilanı</w:t>
            </w:r>
          </w:p>
          <w:p w:rsidR="00A46C6E" w:rsidRPr="00C13F5E" w:rsidRDefault="003B700B" w:rsidP="009431FF">
            <w:pPr>
              <w:rPr>
                <w:rStyle w:val="KIRMIZIChar"/>
                <w:rFonts w:eastAsia="Calibri"/>
                <w:strike w:val="0"/>
                <w:color w:val="0000FF"/>
                <w:lang w:eastAsia="tr-TR"/>
              </w:rPr>
            </w:pPr>
            <w:r w:rsidRPr="00136EBC">
              <w:rPr>
                <w:rFonts w:eastAsia="Times New Roman"/>
                <w:b/>
                <w:bCs/>
                <w:color w:val="000000" w:themeColor="text1"/>
                <w:szCs w:val="24"/>
                <w:lang w:eastAsia="x-none"/>
              </w:rPr>
              <w:t xml:space="preserve">MADDE </w:t>
            </w:r>
            <w:r w:rsidRPr="00A23740">
              <w:rPr>
                <w:rFonts w:eastAsia="Times New Roman"/>
                <w:b/>
                <w:bCs/>
                <w:color w:val="0000FF"/>
                <w:szCs w:val="24"/>
                <w:lang w:eastAsia="x-none"/>
              </w:rPr>
              <w:t>476</w:t>
            </w:r>
            <w:r w:rsidR="00A46C6E" w:rsidRPr="00A23740">
              <w:rPr>
                <w:rFonts w:eastAsia="Times New Roman"/>
                <w:b/>
                <w:bCs/>
                <w:color w:val="0000FF"/>
                <w:szCs w:val="24"/>
                <w:lang w:eastAsia="x-none"/>
              </w:rPr>
              <w:t xml:space="preserve">- </w:t>
            </w:r>
            <w:r w:rsidR="00A46C6E" w:rsidRPr="00136EBC">
              <w:t>(1)</w:t>
            </w:r>
            <w:r w:rsidR="00C13F5E" w:rsidRPr="00C13F5E">
              <w:rPr>
                <w:rFonts w:eastAsia="Times New Roman"/>
                <w:b/>
                <w:color w:val="0000FF"/>
                <w:lang w:eastAsia="x-none"/>
              </w:rPr>
              <w:t xml:space="preserve"> Bayrağına ve sicile kayıtlı olup olmadığına bakılmaksızın</w:t>
            </w:r>
            <w:r w:rsidR="00C13F5E" w:rsidRPr="00C13F5E">
              <w:rPr>
                <w:rFonts w:eastAsia="Times New Roman"/>
                <w:b/>
                <w:bCs/>
                <w:color w:val="0000FF"/>
                <w:szCs w:val="24"/>
                <w:lang w:eastAsia="x-none"/>
              </w:rPr>
              <w:t xml:space="preserve"> artırma </w:t>
            </w:r>
            <w:r w:rsidR="00A46C6E" w:rsidRPr="00A23740">
              <w:rPr>
                <w:rFonts w:eastAsia="Times New Roman"/>
                <w:b/>
                <w:bCs/>
                <w:color w:val="0000FF"/>
                <w:szCs w:val="24"/>
                <w:lang w:eastAsia="x-none"/>
              </w:rPr>
              <w:t xml:space="preserve">şartnamesinin hazırlanmasında </w:t>
            </w:r>
            <w:r w:rsidR="00A967F2" w:rsidRPr="00E65BE7">
              <w:rPr>
                <w:rStyle w:val="KonuBalChar"/>
                <w:rFonts w:eastAsia="Calibri"/>
                <w:color w:val="0000FF"/>
              </w:rPr>
              <w:t>223</w:t>
            </w:r>
            <w:r w:rsidR="00A967F2" w:rsidRPr="00A23740">
              <w:rPr>
                <w:rStyle w:val="KonuBalChar"/>
                <w:rFonts w:eastAsia="Calibri"/>
              </w:rPr>
              <w:t xml:space="preserve"> </w:t>
            </w:r>
            <w:r w:rsidR="00A967F2" w:rsidRPr="00E65BE7">
              <w:rPr>
                <w:rStyle w:val="KonuBalChar"/>
                <w:rFonts w:eastAsia="Calibri"/>
                <w:color w:val="0000FF"/>
              </w:rPr>
              <w:t>üncü</w:t>
            </w:r>
            <w:r w:rsidR="00A46C6E" w:rsidRPr="00A23740">
              <w:rPr>
                <w:b/>
                <w:color w:val="00CC00"/>
                <w:lang w:eastAsia="tr-TR"/>
              </w:rPr>
              <w:t xml:space="preserve"> </w:t>
            </w:r>
            <w:r w:rsidR="00A46C6E" w:rsidRPr="00A23740">
              <w:rPr>
                <w:rFonts w:eastAsia="Times New Roman"/>
                <w:b/>
                <w:bCs/>
                <w:color w:val="0000FF"/>
                <w:szCs w:val="24"/>
                <w:lang w:eastAsia="x-none"/>
              </w:rPr>
              <w:t>madde kıyasen uygulanır. İlan hakkındaki</w:t>
            </w:r>
            <w:r w:rsidR="00A967F2" w:rsidRPr="00A23740">
              <w:rPr>
                <w:rFonts w:eastAsia="Times New Roman"/>
                <w:b/>
                <w:bCs/>
                <w:color w:val="0000FF"/>
                <w:szCs w:val="24"/>
                <w:lang w:eastAsia="x-none"/>
              </w:rPr>
              <w:t xml:space="preserve"> </w:t>
            </w:r>
            <w:r w:rsidR="00A967F2" w:rsidRPr="00E65BE7">
              <w:rPr>
                <w:rStyle w:val="KonuBalChar"/>
                <w:rFonts w:eastAsia="Calibri"/>
                <w:color w:val="0000FF"/>
              </w:rPr>
              <w:t>228</w:t>
            </w:r>
            <w:r w:rsidR="00A967F2" w:rsidRPr="00A23740">
              <w:rPr>
                <w:rStyle w:val="KonuBalChar"/>
                <w:rFonts w:eastAsia="Calibri"/>
              </w:rPr>
              <w:t xml:space="preserve"> </w:t>
            </w:r>
            <w:r w:rsidR="00A967F2" w:rsidRPr="00E65BE7">
              <w:rPr>
                <w:rStyle w:val="KonuBalChar"/>
                <w:rFonts w:eastAsia="Calibri"/>
                <w:color w:val="0000FF"/>
              </w:rPr>
              <w:t>inci</w:t>
            </w:r>
            <w:r w:rsidR="00A46C6E" w:rsidRPr="00A23740">
              <w:rPr>
                <w:rFonts w:eastAsia="Times New Roman"/>
                <w:b/>
                <w:bCs/>
                <w:color w:val="0000FF"/>
                <w:szCs w:val="24"/>
                <w:lang w:eastAsia="x-none"/>
              </w:rPr>
              <w:t xml:space="preserve"> </w:t>
            </w:r>
            <w:r w:rsidR="00A46C6E" w:rsidRPr="00E65BE7">
              <w:rPr>
                <w:rFonts w:eastAsia="Times New Roman"/>
                <w:b/>
                <w:bCs/>
                <w:color w:val="0000FF"/>
                <w:szCs w:val="24"/>
                <w:lang w:eastAsia="x-none"/>
              </w:rPr>
              <w:t>madde</w:t>
            </w:r>
            <w:r w:rsidR="00397A66" w:rsidRPr="00E65BE7">
              <w:rPr>
                <w:rFonts w:eastAsia="Times New Roman"/>
                <w:b/>
                <w:bCs/>
                <w:color w:val="0000FF"/>
                <w:szCs w:val="24"/>
                <w:lang w:eastAsia="x-none"/>
              </w:rPr>
              <w:t>ye göre</w:t>
            </w:r>
            <w:r w:rsidR="00A46C6E" w:rsidRPr="00A23740">
              <w:rPr>
                <w:rFonts w:eastAsia="Times New Roman"/>
                <w:b/>
                <w:bCs/>
                <w:color w:val="0000FF"/>
                <w:szCs w:val="24"/>
                <w:lang w:eastAsia="x-none"/>
              </w:rPr>
              <w:t xml:space="preserve"> elektronik satış portalında yapılacak ilanın, gazetede ilan hakkındaki</w:t>
            </w:r>
            <w:r w:rsidR="00A967F2" w:rsidRPr="00A23740">
              <w:rPr>
                <w:rFonts w:eastAsia="Times New Roman"/>
                <w:b/>
                <w:bCs/>
                <w:color w:val="0000FF"/>
                <w:szCs w:val="24"/>
                <w:lang w:eastAsia="x-none"/>
              </w:rPr>
              <w:t xml:space="preserve"> </w:t>
            </w:r>
            <w:r w:rsidR="00A967F2" w:rsidRPr="00E65BE7">
              <w:rPr>
                <w:rStyle w:val="KonuBalChar"/>
                <w:rFonts w:eastAsia="Calibri"/>
                <w:color w:val="0000FF"/>
              </w:rPr>
              <w:t>229</w:t>
            </w:r>
            <w:r w:rsidR="00A967F2" w:rsidRPr="00A23740">
              <w:rPr>
                <w:rStyle w:val="KonuBalChar"/>
                <w:rFonts w:eastAsia="Calibri"/>
              </w:rPr>
              <w:t xml:space="preserve"> </w:t>
            </w:r>
            <w:r w:rsidR="00A967F2" w:rsidRPr="00E65BE7">
              <w:rPr>
                <w:rStyle w:val="KonuBalChar"/>
                <w:rFonts w:eastAsia="Calibri"/>
                <w:color w:val="0000FF"/>
              </w:rPr>
              <w:t>uncu</w:t>
            </w:r>
            <w:r w:rsidR="00A46C6E" w:rsidRPr="00A23740">
              <w:rPr>
                <w:rFonts w:eastAsia="Times New Roman"/>
                <w:b/>
                <w:bCs/>
                <w:color w:val="0000FF"/>
                <w:szCs w:val="24"/>
                <w:lang w:eastAsia="x-none"/>
              </w:rPr>
              <w:t xml:space="preserve"> maddenin ikinci fıkrasında öngörüldüğü şekilde </w:t>
            </w:r>
            <w:r w:rsidR="00A46C6E" w:rsidRPr="00A23740">
              <w:rPr>
                <w:rFonts w:eastAsia="Times New Roman"/>
                <w:b/>
                <w:bCs/>
                <w:color w:val="0000FF"/>
                <w:szCs w:val="24"/>
                <w:lang w:eastAsia="tr-TR"/>
              </w:rPr>
              <w:t xml:space="preserve">Türkiye </w:t>
            </w:r>
            <w:r w:rsidR="00A46C6E" w:rsidRPr="00E65BE7">
              <w:rPr>
                <w:rFonts w:eastAsia="Times New Roman"/>
                <w:b/>
                <w:bCs/>
                <w:color w:val="0000FF"/>
                <w:szCs w:val="24"/>
                <w:lang w:eastAsia="tr-TR"/>
              </w:rPr>
              <w:t>genelinde</w:t>
            </w:r>
            <w:r w:rsidR="00A46C6E" w:rsidRPr="00A23740">
              <w:rPr>
                <w:rFonts w:eastAsia="Times New Roman"/>
                <w:b/>
                <w:bCs/>
                <w:color w:val="0000FF"/>
                <w:szCs w:val="24"/>
                <w:lang w:eastAsia="tr-TR"/>
              </w:rPr>
              <w:t xml:space="preserve"> yayımlanan ve </w:t>
            </w:r>
            <w:r w:rsidR="00A46C6E" w:rsidRPr="00A23740">
              <w:rPr>
                <w:rFonts w:eastAsia="Times New Roman"/>
                <w:szCs w:val="24"/>
                <w:lang w:eastAsia="tr-TR"/>
              </w:rPr>
              <w:t>dağıtımı yapılan gazetelerden</w:t>
            </w:r>
            <w:r w:rsidR="00A46C6E" w:rsidRPr="00A23740">
              <w:rPr>
                <w:rFonts w:eastAsia="Times New Roman"/>
                <w:b/>
                <w:bCs/>
                <w:color w:val="0000FF"/>
                <w:szCs w:val="24"/>
                <w:lang w:eastAsia="tr-TR"/>
              </w:rPr>
              <w:t xml:space="preserve"> </w:t>
            </w:r>
            <w:r w:rsidR="00A46C6E" w:rsidRPr="00A23740">
              <w:rPr>
                <w:rFonts w:eastAsia="Times New Roman"/>
                <w:b/>
                <w:bCs/>
                <w:color w:val="0000FF"/>
                <w:szCs w:val="24"/>
                <w:lang w:eastAsia="x-none"/>
              </w:rPr>
              <w:t>ilan</w:t>
            </w:r>
            <w:r w:rsidR="00A46C6E" w:rsidRPr="00A23740">
              <w:rPr>
                <w:b/>
                <w:color w:val="00CC00"/>
                <w:lang w:eastAsia="tr-TR"/>
              </w:rPr>
              <w:t xml:space="preserve"> </w:t>
            </w:r>
            <w:r w:rsidR="00A46C6E" w:rsidRPr="00A23740">
              <w:rPr>
                <w:rFonts w:eastAsia="Times New Roman"/>
                <w:b/>
                <w:bCs/>
                <w:color w:val="0000FF"/>
                <w:szCs w:val="24"/>
                <w:lang w:eastAsia="x-none"/>
              </w:rPr>
              <w:t>talebi tarihi itibarıyla</w:t>
            </w:r>
            <w:r w:rsidR="00A46C6E" w:rsidRPr="00A23740">
              <w:rPr>
                <w:rFonts w:eastAsia="Times New Roman"/>
                <w:b/>
                <w:bCs/>
                <w:color w:val="0000FF"/>
                <w:szCs w:val="24"/>
                <w:lang w:eastAsia="tr-TR"/>
              </w:rPr>
              <w:t xml:space="preserve"> tirajı ellibinin üzerinde olanlardan </w:t>
            </w:r>
            <w:r w:rsidR="00A46C6E" w:rsidRPr="00A23740">
              <w:rPr>
                <w:rFonts w:eastAsia="Times New Roman"/>
                <w:szCs w:val="24"/>
                <w:lang w:eastAsia="tr-TR"/>
              </w:rPr>
              <w:t>biri</w:t>
            </w:r>
            <w:r w:rsidR="00A46C6E" w:rsidRPr="00A23740">
              <w:rPr>
                <w:rFonts w:eastAsia="Times New Roman"/>
                <w:b/>
                <w:bCs/>
                <w:color w:val="0000FF"/>
                <w:szCs w:val="24"/>
                <w:lang w:eastAsia="tr-TR"/>
              </w:rPr>
              <w:t xml:space="preserve">nde </w:t>
            </w:r>
            <w:r w:rsidR="00C13F5E" w:rsidRPr="00A06203">
              <w:rPr>
                <w:rStyle w:val="YELChar"/>
                <w:color w:val="0000FF"/>
              </w:rPr>
              <w:t>ve Basın - İlan Kurumunun resmî portalında</w:t>
            </w:r>
            <w:r w:rsidR="00C13F5E" w:rsidRPr="00A23740">
              <w:rPr>
                <w:rFonts w:eastAsia="Times New Roman"/>
                <w:b/>
                <w:bCs/>
                <w:color w:val="0000FF"/>
                <w:szCs w:val="24"/>
                <w:lang w:eastAsia="tr-TR"/>
              </w:rPr>
              <w:t xml:space="preserve"> </w:t>
            </w:r>
            <w:r w:rsidR="00C13F5E" w:rsidRPr="00A23740">
              <w:rPr>
                <w:rFonts w:eastAsia="Times New Roman"/>
                <w:szCs w:val="24"/>
              </w:rPr>
              <w:t>ilan</w:t>
            </w:r>
            <w:r w:rsidR="00C13F5E" w:rsidRPr="00A23740">
              <w:rPr>
                <w:rFonts w:eastAsia="Times New Roman"/>
                <w:b/>
                <w:bCs/>
                <w:color w:val="0000CC"/>
                <w:szCs w:val="24"/>
                <w:shd w:val="clear" w:color="auto" w:fill="FDFDFD"/>
                <w:lang w:eastAsia="tr-TR"/>
              </w:rPr>
              <w:t xml:space="preserve"> </w:t>
            </w:r>
            <w:r w:rsidR="00C13F5E" w:rsidRPr="00A23740">
              <w:rPr>
                <w:rFonts w:eastAsia="Times New Roman"/>
                <w:b/>
                <w:color w:val="0000FF"/>
                <w:szCs w:val="24"/>
                <w:lang w:eastAsia="tr-TR"/>
              </w:rPr>
              <w:t>olunma</w:t>
            </w:r>
            <w:r w:rsidR="00C13F5E">
              <w:rPr>
                <w:rFonts w:eastAsia="Times New Roman"/>
                <w:b/>
                <w:color w:val="0000FF"/>
                <w:szCs w:val="24"/>
                <w:lang w:eastAsia="tr-TR"/>
              </w:rPr>
              <w:t>sı</w:t>
            </w:r>
            <w:r w:rsidR="00A46C6E" w:rsidRPr="00E65BE7">
              <w:rPr>
                <w:rFonts w:eastAsia="Times New Roman"/>
                <w:b/>
                <w:bCs/>
                <w:color w:val="0000FF"/>
                <w:szCs w:val="24"/>
                <w:lang w:eastAsia="tr-TR"/>
              </w:rPr>
              <w:t>;</w:t>
            </w:r>
            <w:r w:rsidR="00A46C6E" w:rsidRPr="00A23740">
              <w:rPr>
                <w:rFonts w:eastAsia="Times New Roman"/>
                <w:b/>
                <w:bCs/>
                <w:color w:val="0000FF"/>
                <w:szCs w:val="24"/>
                <w:lang w:eastAsia="tr-TR"/>
              </w:rPr>
              <w:t xml:space="preserve"> </w:t>
            </w:r>
            <w:r w:rsidR="00A46C6E" w:rsidRPr="00A23740">
              <w:rPr>
                <w:rFonts w:eastAsia="Times New Roman"/>
                <w:szCs w:val="24"/>
                <w:lang w:eastAsia="tr-TR"/>
              </w:rPr>
              <w:t xml:space="preserve">ilanda </w:t>
            </w:r>
            <w:r w:rsidR="00A46C6E" w:rsidRPr="00A23740">
              <w:rPr>
                <w:rFonts w:eastAsia="Times New Roman"/>
                <w:b/>
                <w:bCs/>
                <w:color w:val="0000FF"/>
                <w:szCs w:val="24"/>
                <w:lang w:eastAsia="tr-TR"/>
              </w:rPr>
              <w:t>geminin,</w:t>
            </w:r>
            <w:r w:rsidR="00A46C6E" w:rsidRPr="00A23740">
              <w:rPr>
                <w:rFonts w:eastAsia="Times New Roman"/>
                <w:szCs w:val="24"/>
                <w:lang w:eastAsia="tr-TR"/>
              </w:rPr>
              <w:t xml:space="preserve"> ipotek alacaklısının rızasıyla alıcı tarafından </w:t>
            </w:r>
            <w:r w:rsidR="00A46C6E" w:rsidRPr="00A23740">
              <w:rPr>
                <w:rFonts w:eastAsia="Times New Roman"/>
                <w:b/>
                <w:bCs/>
                <w:color w:val="0000FF"/>
                <w:szCs w:val="24"/>
                <w:lang w:eastAsia="tr-TR"/>
              </w:rPr>
              <w:t>üstlenilenler</w:t>
            </w:r>
            <w:r w:rsidR="00A46C6E" w:rsidRPr="00A23740">
              <w:rPr>
                <w:rFonts w:eastAsia="Times New Roman"/>
                <w:szCs w:val="24"/>
                <w:lang w:eastAsia="tr-TR"/>
              </w:rPr>
              <w:t xml:space="preserve"> dışında </w:t>
            </w:r>
            <w:r w:rsidR="00A46C6E" w:rsidRPr="00A23740">
              <w:rPr>
                <w:rFonts w:eastAsia="Times New Roman"/>
                <w:b/>
                <w:bCs/>
                <w:color w:val="0000FF"/>
                <w:szCs w:val="24"/>
                <w:lang w:eastAsia="tr-TR"/>
              </w:rPr>
              <w:t>gemi üzerindeki</w:t>
            </w:r>
            <w:r w:rsidR="00A46C6E" w:rsidRPr="00A23740">
              <w:rPr>
                <w:rFonts w:eastAsia="Times New Roman"/>
                <w:szCs w:val="24"/>
                <w:lang w:eastAsia="tr-TR"/>
              </w:rPr>
              <w:t xml:space="preserve"> bütün hak ve</w:t>
            </w:r>
            <w:r w:rsidR="00A46C6E" w:rsidRPr="00A23740">
              <w:rPr>
                <w:rFonts w:eastAsia="Times New Roman"/>
                <w:b/>
                <w:bCs/>
                <w:color w:val="0000FF"/>
                <w:szCs w:val="24"/>
                <w:lang w:eastAsia="tr-TR"/>
              </w:rPr>
              <w:t xml:space="preserve"> yükümlülükler sona ermiş</w:t>
            </w:r>
            <w:r w:rsidR="00A46C6E" w:rsidRPr="00A23740">
              <w:rPr>
                <w:rFonts w:eastAsia="Times New Roman"/>
                <w:szCs w:val="24"/>
                <w:lang w:eastAsia="tr-TR"/>
              </w:rPr>
              <w:t xml:space="preserve"> olarak satılacağı </w:t>
            </w:r>
            <w:r w:rsidR="00A46C6E" w:rsidRPr="00A23740">
              <w:rPr>
                <w:rFonts w:eastAsia="Times New Roman"/>
                <w:b/>
                <w:bCs/>
                <w:color w:val="0000FF"/>
                <w:szCs w:val="24"/>
                <w:lang w:eastAsia="tr-TR"/>
              </w:rPr>
              <w:t>hususunun</w:t>
            </w:r>
            <w:r w:rsidR="00A46C6E" w:rsidRPr="00A23740">
              <w:rPr>
                <w:rFonts w:eastAsia="Times New Roman"/>
                <w:szCs w:val="24"/>
                <w:lang w:eastAsia="tr-TR"/>
              </w:rPr>
              <w:t xml:space="preserve"> bildiril</w:t>
            </w:r>
            <w:r w:rsidR="00A46C6E" w:rsidRPr="00A23740">
              <w:rPr>
                <w:rFonts w:eastAsia="Times New Roman"/>
                <w:b/>
                <w:bCs/>
                <w:color w:val="0000FF"/>
                <w:szCs w:val="24"/>
                <w:lang w:eastAsia="tr-TR"/>
              </w:rPr>
              <w:t xml:space="preserve">mesi zorunludur. </w:t>
            </w:r>
            <w:bookmarkStart w:id="30" w:name="_Hlk172818097"/>
            <w:r w:rsidR="00A46C6E" w:rsidRPr="00E65BE7">
              <w:rPr>
                <w:rFonts w:eastAsia="Times New Roman"/>
                <w:b/>
                <w:bCs/>
                <w:color w:val="0000FF"/>
                <w:szCs w:val="24"/>
                <w:lang w:eastAsia="tr-TR"/>
              </w:rPr>
              <w:t xml:space="preserve">Söz konusu ilanlar, birinci artırma tarihinden en az bir ay önce yapılır. </w:t>
            </w:r>
            <w:bookmarkEnd w:id="30"/>
            <w:r w:rsidR="00A46C6E" w:rsidRPr="00E65BE7">
              <w:rPr>
                <w:rFonts w:eastAsia="Times New Roman"/>
                <w:b/>
                <w:bCs/>
                <w:color w:val="0000FF"/>
                <w:szCs w:val="24"/>
                <w:lang w:eastAsia="tr-TR"/>
              </w:rPr>
              <w:t xml:space="preserve">Bu hüküm </w:t>
            </w:r>
            <w:r w:rsidR="00A46C6E" w:rsidRPr="00E65BE7">
              <w:rPr>
                <w:rFonts w:eastAsia="Times New Roman"/>
                <w:b/>
                <w:bCs/>
                <w:color w:val="0000FF"/>
                <w:szCs w:val="24"/>
                <w:lang w:eastAsia="x-none"/>
              </w:rPr>
              <w:t>bayrağına</w:t>
            </w:r>
            <w:r w:rsidR="00580A50" w:rsidRPr="00E65BE7">
              <w:rPr>
                <w:rFonts w:eastAsia="Times New Roman"/>
                <w:b/>
                <w:bCs/>
                <w:color w:val="0000FF"/>
                <w:szCs w:val="24"/>
                <w:lang w:eastAsia="x-none"/>
              </w:rPr>
              <w:t xml:space="preserve"> </w:t>
            </w:r>
            <w:r w:rsidR="00580A50" w:rsidRPr="00E65BE7">
              <w:rPr>
                <w:rStyle w:val="YELChar"/>
                <w:color w:val="0000FF"/>
              </w:rPr>
              <w:t>ve sicile kayıtlı olup olmadığına</w:t>
            </w:r>
            <w:r w:rsidR="00580A50" w:rsidRPr="00A23740">
              <w:rPr>
                <w:rStyle w:val="YELChar"/>
              </w:rPr>
              <w:t xml:space="preserve"> </w:t>
            </w:r>
            <w:r w:rsidR="00A46C6E" w:rsidRPr="00A23740">
              <w:rPr>
                <w:rFonts w:eastAsia="Times New Roman"/>
                <w:b/>
                <w:bCs/>
                <w:color w:val="0000FF"/>
                <w:szCs w:val="24"/>
                <w:lang w:eastAsia="tr-TR"/>
              </w:rPr>
              <w:t>bakılmak</w:t>
            </w:r>
            <w:r w:rsidR="00FA175B">
              <w:rPr>
                <w:rFonts w:eastAsia="Times New Roman"/>
                <w:b/>
                <w:bCs/>
                <w:color w:val="0000FF"/>
                <w:szCs w:val="24"/>
                <w:lang w:eastAsia="tr-TR"/>
              </w:rPr>
              <w:t>sızın bütün gemilere uygulanır.</w:t>
            </w:r>
          </w:p>
          <w:p w:rsidR="00C13F5E" w:rsidRPr="00A23740" w:rsidRDefault="00C13F5E" w:rsidP="009431FF">
            <w:pPr>
              <w:rPr>
                <w:rFonts w:eastAsia="Times New Roman"/>
                <w:b/>
                <w:bCs/>
                <w:color w:val="0000FF"/>
                <w:szCs w:val="24"/>
                <w:lang w:eastAsia="tr-TR"/>
              </w:rPr>
            </w:pPr>
          </w:p>
          <w:p w:rsidR="00A46C6E" w:rsidRPr="00A23740" w:rsidRDefault="00A46C6E" w:rsidP="009431FF">
            <w:pPr>
              <w:rPr>
                <w:rFonts w:eastAsia="Times New Roman"/>
                <w:b/>
                <w:bCs/>
                <w:color w:val="0000FF"/>
                <w:szCs w:val="24"/>
                <w:lang w:eastAsia="tr-TR"/>
              </w:rPr>
            </w:pPr>
            <w:r w:rsidRPr="00136EBC">
              <w:t>(2)</w:t>
            </w:r>
            <w:r w:rsidRPr="00A23740">
              <w:rPr>
                <w:rFonts w:eastAsia="Times New Roman"/>
                <w:b/>
                <w:bCs/>
                <w:color w:val="0000FF"/>
                <w:szCs w:val="24"/>
                <w:lang w:eastAsia="tr-TR"/>
              </w:rPr>
              <w:t xml:space="preserve"> İlgililer artırma şartnamesinin tamamını veya özetini gideri kendilerine ait olmak üzere diledikleri vasıtalarla yurt dışında da ilan ettirebilirler. Ancak özel nitelikteki bu ilan resm</w:t>
            </w:r>
            <w:r w:rsidR="008C0657" w:rsidRPr="00A23740">
              <w:rPr>
                <w:rFonts w:eastAsia="Times New Roman"/>
                <w:b/>
                <w:bCs/>
                <w:color w:val="0000FF"/>
                <w:szCs w:val="24"/>
                <w:lang w:eastAsia="tr-TR"/>
              </w:rPr>
              <w:t>î</w:t>
            </w:r>
            <w:r w:rsidRPr="00A23740">
              <w:rPr>
                <w:rFonts w:eastAsia="Times New Roman"/>
                <w:b/>
                <w:bCs/>
                <w:color w:val="0000FF"/>
                <w:szCs w:val="24"/>
                <w:lang w:eastAsia="tr-TR"/>
              </w:rPr>
              <w:t xml:space="preserve"> işlemleri etkilemez.</w:t>
            </w:r>
          </w:p>
          <w:p w:rsidR="00A46C6E" w:rsidRPr="00A23740" w:rsidRDefault="00A46C6E" w:rsidP="009431FF">
            <w:pPr>
              <w:rPr>
                <w:rFonts w:eastAsia="Times New Roman"/>
                <w:b/>
                <w:bCs/>
                <w:color w:val="0000FF"/>
                <w:szCs w:val="24"/>
                <w:lang w:eastAsia="tr-TR"/>
              </w:rPr>
            </w:pPr>
          </w:p>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(3) Gemi bir Türk gemi siciline kayıtlı ise, bu maddenin birinci fıkrası uyarınca yapılacak ilanın bir örneği, icra</w:t>
            </w:r>
            <w:r w:rsidR="008C0657" w:rsidRPr="00A23740">
              <w:rPr>
                <w:rFonts w:eastAsia="Times New Roman"/>
                <w:b/>
                <w:bCs/>
                <w:color w:val="0000FF"/>
                <w:szCs w:val="24"/>
                <w:lang w:eastAsia="tr-TR"/>
              </w:rPr>
              <w:t xml:space="preserve"> </w:t>
            </w:r>
            <w:r w:rsidR="008C0657" w:rsidRPr="00E65BE7">
              <w:rPr>
                <w:rStyle w:val="YELChar"/>
                <w:color w:val="0000FF"/>
              </w:rPr>
              <w:t>ve iflas</w:t>
            </w:r>
            <w:r w:rsidRPr="00E65BE7">
              <w:rPr>
                <w:rFonts w:eastAsia="Times New Roman"/>
                <w:b/>
                <w:bCs/>
                <w:color w:val="0000FF"/>
                <w:szCs w:val="24"/>
                <w:lang w:eastAsia="tr-TR"/>
              </w:rPr>
              <w:t xml:space="preserve"> </w:t>
            </w:r>
            <w:r w:rsidRPr="00A23740">
              <w:rPr>
                <w:rFonts w:eastAsia="Times New Roman"/>
                <w:b/>
                <w:bCs/>
                <w:color w:val="0000FF"/>
                <w:szCs w:val="24"/>
                <w:lang w:eastAsia="tr-TR"/>
              </w:rPr>
              <w:t>müdürü tarafından, birinci artırma tarihinden en az bir ay önce;</w:t>
            </w:r>
          </w:p>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a) Geminin kayıtlı olduğu sicil müdürlüğüne,</w:t>
            </w:r>
          </w:p>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b) Geminin sicile kayıtlı malikine,</w:t>
            </w:r>
          </w:p>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c) Gemi sicilinde kayıtlı bulunan hakların sahiplerine ve alacaklılara,</w:t>
            </w:r>
          </w:p>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ç) İcra</w:t>
            </w:r>
            <w:r w:rsidR="008C0657" w:rsidRPr="00A23740">
              <w:rPr>
                <w:rFonts w:eastAsia="Times New Roman"/>
                <w:b/>
                <w:bCs/>
                <w:color w:val="0000FF"/>
                <w:szCs w:val="24"/>
                <w:lang w:eastAsia="tr-TR"/>
              </w:rPr>
              <w:t xml:space="preserve"> </w:t>
            </w:r>
            <w:r w:rsidR="008C0657" w:rsidRPr="00E65BE7">
              <w:rPr>
                <w:rStyle w:val="YELChar"/>
                <w:color w:val="0000FF"/>
              </w:rPr>
              <w:t>ve iflas</w:t>
            </w:r>
            <w:r w:rsidRPr="00E65BE7">
              <w:rPr>
                <w:rFonts w:eastAsia="Times New Roman"/>
                <w:b/>
                <w:bCs/>
                <w:color w:val="0000FF"/>
                <w:szCs w:val="24"/>
                <w:lang w:eastAsia="tr-TR"/>
              </w:rPr>
              <w:t xml:space="preserve"> </w:t>
            </w:r>
            <w:r w:rsidRPr="00A23740">
              <w:rPr>
                <w:rFonts w:eastAsia="Times New Roman"/>
                <w:b/>
                <w:bCs/>
                <w:color w:val="0000FF"/>
                <w:szCs w:val="24"/>
                <w:lang w:eastAsia="tr-TR"/>
              </w:rPr>
              <w:t>dairesine bildirilmiş olmaları kaydıyla kanuni rehin hakkına sahip gemi alacaklılarına</w:t>
            </w:r>
          </w:p>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tebliğ edilir. Bu fıkranın (b), (c) ve (ç) bentlerinde belirtilen kişilere sicilde kayıtlı veya kendileri</w:t>
            </w:r>
            <w:r w:rsidR="000F4DC6" w:rsidRPr="00E65BE7">
              <w:rPr>
                <w:rFonts w:eastAsia="Times New Roman"/>
                <w:b/>
                <w:bCs/>
                <w:color w:val="0000FF"/>
                <w:szCs w:val="24"/>
                <w:lang w:eastAsia="tr-TR"/>
              </w:rPr>
              <w:t>n</w:t>
            </w:r>
            <w:r w:rsidRPr="00A23740">
              <w:rPr>
                <w:rFonts w:eastAsia="Times New Roman"/>
                <w:b/>
                <w:bCs/>
                <w:color w:val="0000FF"/>
                <w:szCs w:val="24"/>
                <w:lang w:eastAsia="tr-TR"/>
              </w:rPr>
              <w:t xml:space="preserve"> tarafından bildirilen adreslerine tebligat yapılamaması h</w:t>
            </w:r>
            <w:r w:rsidR="008C0657" w:rsidRPr="00A23740">
              <w:rPr>
                <w:rFonts w:eastAsia="Times New Roman"/>
                <w:b/>
                <w:bCs/>
                <w:color w:val="0000FF"/>
                <w:szCs w:val="24"/>
                <w:lang w:eastAsia="tr-TR"/>
              </w:rPr>
              <w:t>â</w:t>
            </w:r>
            <w:r w:rsidRPr="00A23740">
              <w:rPr>
                <w:rFonts w:eastAsia="Times New Roman"/>
                <w:b/>
                <w:bCs/>
                <w:color w:val="0000FF"/>
                <w:szCs w:val="24"/>
                <w:lang w:eastAsia="tr-TR"/>
              </w:rPr>
              <w:t>linde birinci fıkra uyarınca gazetede yayımlanan ilan, bu kişiler bakımından tebligat yerine geçer.</w:t>
            </w:r>
          </w:p>
          <w:p w:rsidR="00A46C6E" w:rsidRPr="00A23740" w:rsidRDefault="00A46C6E" w:rsidP="009431FF">
            <w:pPr>
              <w:rPr>
                <w:rFonts w:eastAsia="Times New Roman"/>
                <w:szCs w:val="24"/>
              </w:rPr>
            </w:pPr>
            <w:r w:rsidRPr="00A23740">
              <w:rPr>
                <w:rFonts w:eastAsia="Times New Roman"/>
                <w:szCs w:val="24"/>
              </w:rPr>
              <w:t xml:space="preserve">  </w:t>
            </w: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31" w:name="_Hlk134296780"/>
          </w:p>
          <w:p w:rsidR="00A46C6E" w:rsidRPr="00A23740" w:rsidRDefault="003B700B" w:rsidP="009431FF">
            <w:pPr>
              <w:ind w:firstLine="709"/>
              <w:rPr>
                <w:rFonts w:eastAsia="Times New Roman"/>
                <w:b/>
                <w:szCs w:val="24"/>
              </w:rPr>
            </w:pPr>
            <w:r w:rsidRPr="00A23740">
              <w:rPr>
                <w:rFonts w:eastAsia="Times New Roman"/>
                <w:b/>
                <w:szCs w:val="24"/>
              </w:rPr>
              <w:t>MADDE 476</w:t>
            </w:r>
            <w:r w:rsidR="00A46C6E" w:rsidRPr="00A23740">
              <w:rPr>
                <w:rFonts w:eastAsia="Times New Roman"/>
                <w:b/>
                <w:szCs w:val="24"/>
              </w:rPr>
              <w:t xml:space="preserve">- </w:t>
            </w:r>
            <w:bookmarkStart w:id="32" w:name="_Hlk172878882"/>
            <w:r w:rsidR="00A46C6E" w:rsidRPr="00A23740">
              <w:rPr>
                <w:bCs/>
                <w:szCs w:val="24"/>
                <w:lang w:eastAsia="x-none"/>
              </w:rPr>
              <w:t xml:space="preserve">Maddeyle, </w:t>
            </w:r>
            <w:r w:rsidR="00A46C6E" w:rsidRPr="00A23740">
              <w:rPr>
                <w:rFonts w:eastAsia="Times New Roman"/>
                <w:szCs w:val="24"/>
              </w:rPr>
              <w:t>artırma şartnamesi</w:t>
            </w:r>
            <w:r w:rsidR="00A46C6E" w:rsidRPr="00A23740">
              <w:rPr>
                <w:rFonts w:eastAsia="Times New Roman"/>
                <w:b/>
              </w:rPr>
              <w:t xml:space="preserve"> </w:t>
            </w:r>
            <w:r w:rsidR="00A46C6E" w:rsidRPr="00A23740">
              <w:rPr>
                <w:rFonts w:eastAsia="Times New Roman"/>
                <w:szCs w:val="24"/>
              </w:rPr>
              <w:t>ve</w:t>
            </w:r>
            <w:r w:rsidR="00A46C6E" w:rsidRPr="00A23740">
              <w:rPr>
                <w:rFonts w:eastAsia="Times New Roman"/>
                <w:b/>
              </w:rPr>
              <w:t xml:space="preserve"> </w:t>
            </w:r>
            <w:r w:rsidR="00A46C6E" w:rsidRPr="00A23740">
              <w:rPr>
                <w:rFonts w:eastAsia="Times New Roman"/>
                <w:szCs w:val="24"/>
              </w:rPr>
              <w:t>artırmanın ilanına ilişkin</w:t>
            </w:r>
            <w:r w:rsidR="00A46C6E" w:rsidRPr="00A23740">
              <w:rPr>
                <w:bCs/>
                <w:szCs w:val="24"/>
                <w:lang w:eastAsia="x-none"/>
              </w:rPr>
              <w:t xml:space="preserve"> hususlar düzenlenmektedir.</w:t>
            </w:r>
            <w:bookmarkEnd w:id="32"/>
          </w:p>
          <w:p w:rsidR="00C13F5E" w:rsidRDefault="00A46C6E" w:rsidP="009431FF">
            <w:pPr>
              <w:ind w:firstLine="567"/>
              <w:rPr>
                <w:rFonts w:eastAsia="Times New Roman"/>
                <w:bCs/>
                <w:szCs w:val="24"/>
                <w:lang w:eastAsia="tr-TR"/>
              </w:rPr>
            </w:pPr>
            <w:r w:rsidRPr="00A23740">
              <w:rPr>
                <w:rFonts w:eastAsia="Times New Roman"/>
                <w:bCs/>
                <w:szCs w:val="24"/>
                <w:lang w:eastAsia="tr-TR"/>
              </w:rPr>
              <w:t>Maddenin kenar başlığı, metni ile uyumlu olarak “Artırma şartnamesi ve artırmanın ilanı” şeklinde belirlenmiştir. Taslağın</w:t>
            </w:r>
            <w:r w:rsidR="00F35325" w:rsidRPr="00A23740">
              <w:rPr>
                <w:rFonts w:eastAsia="Times New Roman"/>
                <w:bCs/>
                <w:szCs w:val="24"/>
                <w:lang w:eastAsia="tr-TR"/>
              </w:rPr>
              <w:t xml:space="preserve"> </w:t>
            </w:r>
            <w:r w:rsidR="00F35325" w:rsidRPr="00E65BE7">
              <w:rPr>
                <w:rStyle w:val="KonuBalChar"/>
                <w:rFonts w:eastAsia="Calibri"/>
                <w:b w:val="0"/>
                <w:color w:val="auto"/>
              </w:rPr>
              <w:t>227 nci maddesinin birinci fıkrası</w:t>
            </w:r>
            <w:r w:rsidR="00F35325" w:rsidRPr="00E65BE7">
              <w:rPr>
                <w:rStyle w:val="KonuBalChar"/>
                <w:rFonts w:eastAsia="Calibri"/>
                <w:b w:val="0"/>
                <w:color w:val="auto"/>
                <w:lang w:val="tr-TR"/>
              </w:rPr>
              <w:t>nda</w:t>
            </w:r>
            <w:r w:rsidRPr="00A23740">
              <w:rPr>
                <w:rFonts w:eastAsia="Times New Roman"/>
                <w:bCs/>
                <w:szCs w:val="24"/>
                <w:lang w:eastAsia="tr-TR"/>
              </w:rPr>
              <w:t xml:space="preserve"> ilanın şekli ve gazeteyle yapılıp yapılmayacağı icra ve iflas dairesince ilgililerin menfaatlerine en uygun geleni dikkate alınarak tay</w:t>
            </w:r>
            <w:r w:rsidR="00335C53" w:rsidRPr="00A23740">
              <w:rPr>
                <w:rFonts w:eastAsia="Times New Roman"/>
                <w:bCs/>
                <w:szCs w:val="24"/>
                <w:lang w:eastAsia="tr-TR"/>
              </w:rPr>
              <w:t>in olunacağı” öngörülmüş ise de</w:t>
            </w:r>
            <w:r w:rsidR="006E311B" w:rsidRPr="00A23740">
              <w:rPr>
                <w:rFonts w:eastAsia="Times New Roman"/>
                <w:bCs/>
                <w:szCs w:val="24"/>
                <w:lang w:eastAsia="tr-TR"/>
              </w:rPr>
              <w:t>,</w:t>
            </w:r>
            <w:r w:rsidRPr="00A23740">
              <w:rPr>
                <w:rFonts w:eastAsia="Times New Roman"/>
                <w:bCs/>
                <w:szCs w:val="24"/>
                <w:lang w:eastAsia="tr-TR"/>
              </w:rPr>
              <w:t xml:space="preserve"> 1993 </w:t>
            </w:r>
            <w:r w:rsidR="003205AA" w:rsidRPr="00E65BE7">
              <w:rPr>
                <w:rStyle w:val="KonuBalChar"/>
                <w:rFonts w:eastAsia="Calibri"/>
                <w:b w:val="0"/>
                <w:color w:val="auto"/>
              </w:rPr>
              <w:t>tarihli Milletlerarası Sözleşme</w:t>
            </w:r>
            <w:r w:rsidR="003205AA" w:rsidRPr="00E65BE7">
              <w:rPr>
                <w:rStyle w:val="KonuBalChar"/>
                <w:rFonts w:eastAsia="Calibri"/>
                <w:b w:val="0"/>
                <w:color w:val="auto"/>
                <w:lang w:val="tr-TR"/>
              </w:rPr>
              <w:t>nin</w:t>
            </w:r>
            <w:r w:rsidR="003205AA" w:rsidRPr="00A23740">
              <w:rPr>
                <w:rFonts w:eastAsia="Times New Roman"/>
                <w:szCs w:val="24"/>
              </w:rPr>
              <w:t xml:space="preserve"> </w:t>
            </w:r>
            <w:r w:rsidRPr="00A23740">
              <w:rPr>
                <w:rFonts w:eastAsia="Times New Roman"/>
                <w:bCs/>
                <w:szCs w:val="24"/>
                <w:lang w:eastAsia="tr-TR"/>
              </w:rPr>
              <w:t>11 inci maddesine göre cebr</w:t>
            </w:r>
            <w:r w:rsidR="00A949BC" w:rsidRPr="00A23740">
              <w:rPr>
                <w:rFonts w:eastAsia="Times New Roman"/>
                <w:bCs/>
                <w:szCs w:val="24"/>
                <w:lang w:eastAsia="tr-TR"/>
              </w:rPr>
              <w:t xml:space="preserve">î </w:t>
            </w:r>
            <w:r w:rsidRPr="00A23740">
              <w:rPr>
                <w:rFonts w:eastAsia="Times New Roman"/>
                <w:bCs/>
                <w:szCs w:val="24"/>
                <w:lang w:eastAsia="tr-TR"/>
              </w:rPr>
              <w:t>icra yoluyla satışın gerçekleştiği ülkede satışa dair bildirimin, diğer bir ifade</w:t>
            </w:r>
            <w:r w:rsidR="006E311B" w:rsidRPr="00A23740">
              <w:rPr>
                <w:rFonts w:eastAsia="Times New Roman"/>
                <w:bCs/>
                <w:szCs w:val="24"/>
                <w:lang w:eastAsia="tr-TR"/>
              </w:rPr>
              <w:t>yle</w:t>
            </w:r>
            <w:r w:rsidRPr="00A23740">
              <w:rPr>
                <w:rFonts w:eastAsia="Times New Roman"/>
                <w:bCs/>
                <w:szCs w:val="24"/>
                <w:lang w:eastAsia="tr-TR"/>
              </w:rPr>
              <w:t xml:space="preserve"> yazılı olarak bildirilecek satış yeri, tarihi ve usulünün basın yoluyla ilan edilmesi de zorunludur. Bu nedenle maddenin birinci fıkrasında </w:t>
            </w:r>
            <w:r w:rsidR="00617C53" w:rsidRPr="00E65BE7">
              <w:rPr>
                <w:rStyle w:val="KonuBalChar"/>
                <w:rFonts w:eastAsia="Calibri"/>
                <w:b w:val="0"/>
                <w:color w:val="auto"/>
              </w:rPr>
              <w:t>227 nci</w:t>
            </w:r>
            <w:r w:rsidR="00617C53" w:rsidRPr="00A23740">
              <w:rPr>
                <w:rStyle w:val="KonuBalChar"/>
                <w:rFonts w:eastAsia="Calibri"/>
              </w:rPr>
              <w:t xml:space="preserve"> </w:t>
            </w:r>
            <w:r w:rsidRPr="00A23740">
              <w:rPr>
                <w:rFonts w:eastAsia="Times New Roman"/>
                <w:bCs/>
                <w:szCs w:val="24"/>
                <w:lang w:eastAsia="tr-TR"/>
              </w:rPr>
              <w:t xml:space="preserve">madde düzenlemesinden farklı olarak bayrağına ve sicile kayıtlı olup olmadığına bakılmaksızın </w:t>
            </w:r>
            <w:r w:rsidR="00617C53" w:rsidRPr="00E65BE7">
              <w:rPr>
                <w:rStyle w:val="KonuBalChar"/>
                <w:rFonts w:eastAsia="Calibri"/>
                <w:b w:val="0"/>
                <w:color w:val="auto"/>
              </w:rPr>
              <w:t>228 inci</w:t>
            </w:r>
            <w:r w:rsidR="00617C53" w:rsidRPr="00A23740">
              <w:rPr>
                <w:rFonts w:eastAsia="Times New Roman"/>
                <w:b/>
                <w:bCs/>
                <w:color w:val="0000FF"/>
                <w:szCs w:val="24"/>
                <w:lang w:eastAsia="x-none"/>
              </w:rPr>
              <w:t xml:space="preserve"> </w:t>
            </w:r>
            <w:r w:rsidRPr="00A23740">
              <w:rPr>
                <w:rFonts w:eastAsia="Times New Roman"/>
                <w:bCs/>
                <w:szCs w:val="24"/>
                <w:lang w:eastAsia="tr-TR"/>
              </w:rPr>
              <w:t xml:space="preserve">madde uyarınca elektronik satış portalında yapılan ilanın, </w:t>
            </w:r>
            <w:r w:rsidR="00617C53" w:rsidRPr="00E65BE7">
              <w:rPr>
                <w:rStyle w:val="KonuBalChar"/>
                <w:rFonts w:eastAsia="Calibri"/>
                <w:b w:val="0"/>
                <w:color w:val="auto"/>
              </w:rPr>
              <w:t>229 uncu</w:t>
            </w:r>
            <w:r w:rsidR="00617C53" w:rsidRPr="00A23740">
              <w:rPr>
                <w:rFonts w:eastAsia="Times New Roman"/>
                <w:b/>
                <w:bCs/>
                <w:color w:val="0000FF"/>
                <w:szCs w:val="24"/>
                <w:lang w:eastAsia="x-none"/>
              </w:rPr>
              <w:t xml:space="preserve"> </w:t>
            </w:r>
            <w:r w:rsidRPr="00A23740">
              <w:rPr>
                <w:rFonts w:eastAsia="Times New Roman"/>
                <w:bCs/>
                <w:szCs w:val="24"/>
                <w:lang w:eastAsia="tr-TR"/>
              </w:rPr>
              <w:t xml:space="preserve">maddenin ikinci fıkrasında öngörüldüğü şekilde Türkiye düzeyinde yayımlanan ve dağıtımı yapılan gazetelerden ilan talebi tarihi </w:t>
            </w:r>
            <w:r w:rsidR="00E1498D" w:rsidRPr="00E65BE7">
              <w:rPr>
                <w:rFonts w:eastAsia="Times New Roman"/>
                <w:bCs/>
                <w:szCs w:val="24"/>
                <w:lang w:eastAsia="tr-TR"/>
              </w:rPr>
              <w:t>itibarıyla</w:t>
            </w:r>
            <w:r w:rsidR="00E1498D" w:rsidRPr="00A23740">
              <w:rPr>
                <w:rFonts w:eastAsia="Times New Roman"/>
                <w:bCs/>
                <w:color w:val="385623"/>
                <w:szCs w:val="24"/>
                <w:lang w:eastAsia="tr-TR"/>
              </w:rPr>
              <w:t xml:space="preserve"> </w:t>
            </w:r>
            <w:r w:rsidRPr="00A23740">
              <w:rPr>
                <w:rFonts w:eastAsia="Times New Roman"/>
                <w:bCs/>
                <w:szCs w:val="24"/>
                <w:lang w:eastAsia="tr-TR"/>
              </w:rPr>
              <w:t>tirajı elli binin üzerinde olanlardan birinde yayımlanması</w:t>
            </w:r>
            <w:r w:rsidR="00C13F5E">
              <w:rPr>
                <w:rFonts w:eastAsia="Times New Roman"/>
                <w:bCs/>
                <w:szCs w:val="24"/>
                <w:lang w:eastAsia="tr-TR"/>
              </w:rPr>
              <w:t xml:space="preserve"> </w:t>
            </w:r>
            <w:r w:rsidRPr="00A23740">
              <w:rPr>
                <w:rFonts w:eastAsia="Times New Roman"/>
                <w:bCs/>
                <w:szCs w:val="24"/>
                <w:lang w:eastAsia="tr-TR"/>
              </w:rPr>
              <w:t>ve</w:t>
            </w:r>
            <w:r w:rsidR="00C13F5E">
              <w:rPr>
                <w:rFonts w:eastAsia="Times New Roman"/>
                <w:bCs/>
                <w:szCs w:val="24"/>
                <w:lang w:eastAsia="tr-TR"/>
              </w:rPr>
              <w:t xml:space="preserve"> </w:t>
            </w:r>
            <w:r w:rsidR="00C13F5E" w:rsidRPr="00C13F5E">
              <w:rPr>
                <w:rFonts w:eastAsia="Times New Roman"/>
                <w:bCs/>
                <w:szCs w:val="24"/>
                <w:lang w:eastAsia="tr-TR"/>
              </w:rPr>
              <w:t>Basın - İlan Kurumunun resmî portalında ilan olunması ile</w:t>
            </w:r>
            <w:r w:rsidRPr="00A23740">
              <w:rPr>
                <w:rFonts w:eastAsia="Times New Roman"/>
                <w:bCs/>
                <w:szCs w:val="24"/>
                <w:lang w:eastAsia="tr-TR"/>
              </w:rPr>
              <w:t xml:space="preserve"> ilanda </w:t>
            </w:r>
            <w:r w:rsidR="00617C53" w:rsidRPr="00C13F5E">
              <w:rPr>
                <w:rFonts w:eastAsia="Times New Roman"/>
                <w:bCs/>
                <w:szCs w:val="24"/>
                <w:lang w:eastAsia="tr-TR"/>
              </w:rPr>
              <w:t xml:space="preserve">229 uncu </w:t>
            </w:r>
            <w:r w:rsidRPr="00A23740">
              <w:rPr>
                <w:rFonts w:eastAsia="Times New Roman"/>
                <w:bCs/>
                <w:szCs w:val="24"/>
                <w:lang w:eastAsia="tr-TR"/>
              </w:rPr>
              <w:t xml:space="preserve">maddenin ikinci fıkrasında belirtilenlere ilave </w:t>
            </w:r>
            <w:r w:rsidR="006E311B" w:rsidRPr="00A23740">
              <w:rPr>
                <w:rFonts w:eastAsia="Times New Roman"/>
                <w:bCs/>
                <w:szCs w:val="24"/>
                <w:lang w:eastAsia="tr-TR"/>
              </w:rPr>
              <w:t xml:space="preserve">olarak </w:t>
            </w:r>
            <w:r w:rsidRPr="00A23740">
              <w:rPr>
                <w:rFonts w:eastAsia="Times New Roman"/>
                <w:bCs/>
                <w:szCs w:val="24"/>
                <w:lang w:eastAsia="tr-TR"/>
              </w:rPr>
              <w:t>geminin, ipotek alacaklısının rızasıyla alıcı tarafından üstlenilenler dışında gemi üzerindeki bütün hak ve yükümlülükler sona ermiş olarak satılacağı hususunun bildirilmesinin zorunlu o</w:t>
            </w:r>
            <w:r w:rsidR="00E1498D" w:rsidRPr="00A23740">
              <w:rPr>
                <w:rFonts w:eastAsia="Times New Roman"/>
                <w:bCs/>
                <w:szCs w:val="24"/>
                <w:lang w:eastAsia="tr-TR"/>
              </w:rPr>
              <w:t xml:space="preserve">lduğu hüküm altına alınmıştır. </w:t>
            </w:r>
            <w:r w:rsidR="00E1498D" w:rsidRPr="00E65BE7">
              <w:rPr>
                <w:rFonts w:eastAsia="Times New Roman"/>
                <w:bCs/>
                <w:szCs w:val="24"/>
                <w:lang w:eastAsia="tr-TR"/>
              </w:rPr>
              <w:t>Söz konusu ilanlar, birinci artırma tarihinden itibaren en az bir ay içinde yapılmalıdır.</w:t>
            </w:r>
          </w:p>
          <w:p w:rsidR="00A46C6E" w:rsidRPr="00A23740" w:rsidRDefault="00A46C6E" w:rsidP="009431FF">
            <w:pPr>
              <w:ind w:firstLine="567"/>
              <w:rPr>
                <w:rFonts w:eastAsia="Times New Roman"/>
                <w:bCs/>
                <w:szCs w:val="24"/>
                <w:lang w:eastAsia="tr-TR"/>
              </w:rPr>
            </w:pPr>
            <w:r w:rsidRPr="00A23740">
              <w:rPr>
                <w:rFonts w:eastAsia="Times New Roman"/>
                <w:bCs/>
                <w:szCs w:val="24"/>
                <w:lang w:eastAsia="tr-TR"/>
              </w:rPr>
              <w:t xml:space="preserve">Taslağın </w:t>
            </w:r>
            <w:r w:rsidR="00E25BC1" w:rsidRPr="00E65BE7">
              <w:rPr>
                <w:rStyle w:val="KonuBalChar"/>
                <w:rFonts w:eastAsia="Calibri"/>
                <w:b w:val="0"/>
                <w:color w:val="auto"/>
              </w:rPr>
              <w:t>227</w:t>
            </w:r>
            <w:r w:rsidR="00E25BC1" w:rsidRPr="00A23740">
              <w:rPr>
                <w:rStyle w:val="KonuBalChar"/>
                <w:rFonts w:eastAsia="Calibri"/>
              </w:rPr>
              <w:t xml:space="preserve"> </w:t>
            </w:r>
            <w:r w:rsidR="00E25BC1" w:rsidRPr="00E65BE7">
              <w:rPr>
                <w:rStyle w:val="KonuBalChar"/>
                <w:rFonts w:eastAsia="Calibri"/>
                <w:b w:val="0"/>
                <w:color w:val="auto"/>
              </w:rPr>
              <w:t>nci</w:t>
            </w:r>
            <w:r w:rsidR="00E25BC1" w:rsidRPr="00A23740">
              <w:rPr>
                <w:rStyle w:val="KonuBalChar"/>
                <w:rFonts w:eastAsia="Calibri"/>
              </w:rPr>
              <w:t xml:space="preserve"> </w:t>
            </w:r>
            <w:r w:rsidRPr="00A23740">
              <w:rPr>
                <w:rFonts w:eastAsia="Times New Roman"/>
                <w:bCs/>
                <w:szCs w:val="24"/>
                <w:lang w:eastAsia="tr-TR"/>
              </w:rPr>
              <w:t>maddesinin birinci fıkrasında “</w:t>
            </w:r>
            <w:r w:rsidRPr="00A23740">
              <w:rPr>
                <w:rFonts w:eastAsia="Times New Roman"/>
                <w:bCs/>
                <w:i/>
                <w:iCs/>
                <w:szCs w:val="24"/>
                <w:lang w:eastAsia="tr-TR"/>
              </w:rPr>
              <w:t>Birinci ve ikinci artırmanın yapılacağı gün ve saat aralığı</w:t>
            </w:r>
            <w:r w:rsidRPr="00A23740">
              <w:rPr>
                <w:rFonts w:eastAsia="Times New Roman"/>
                <w:bCs/>
                <w:szCs w:val="24"/>
                <w:lang w:eastAsia="tr-TR"/>
              </w:rPr>
              <w:t xml:space="preserve">, </w:t>
            </w:r>
            <w:r w:rsidRPr="00A23740">
              <w:rPr>
                <w:rFonts w:eastAsia="Times New Roman"/>
                <w:bCs/>
                <w:i/>
                <w:iCs/>
                <w:szCs w:val="24"/>
                <w:lang w:eastAsia="tr-TR"/>
              </w:rPr>
              <w:t>artırmaya başlangıç tarihinden en az iki hafta önce ilan edilir</w:t>
            </w:r>
            <w:r w:rsidRPr="00A23740">
              <w:rPr>
                <w:rFonts w:eastAsia="Times New Roman"/>
                <w:bCs/>
                <w:szCs w:val="24"/>
                <w:lang w:eastAsia="tr-TR"/>
              </w:rPr>
              <w:t xml:space="preserve">.” hükmüne yer verilmiştir. 1993 </w:t>
            </w:r>
            <w:r w:rsidR="003205AA" w:rsidRPr="00E65BE7">
              <w:rPr>
                <w:rStyle w:val="KonuBalChar"/>
                <w:rFonts w:eastAsia="Calibri"/>
                <w:b w:val="0"/>
                <w:color w:val="auto"/>
              </w:rPr>
              <w:t>tarihli Milletlerarası Sözleşme</w:t>
            </w:r>
            <w:r w:rsidR="003205AA" w:rsidRPr="00E65BE7">
              <w:rPr>
                <w:rStyle w:val="KonuBalChar"/>
                <w:rFonts w:eastAsia="Calibri"/>
                <w:b w:val="0"/>
                <w:color w:val="auto"/>
                <w:lang w:val="tr-TR"/>
              </w:rPr>
              <w:t>nin</w:t>
            </w:r>
            <w:r w:rsidR="003205AA" w:rsidRPr="00A23740">
              <w:rPr>
                <w:rFonts w:eastAsia="Times New Roman"/>
                <w:szCs w:val="24"/>
              </w:rPr>
              <w:t xml:space="preserve"> </w:t>
            </w:r>
            <w:r w:rsidRPr="00A23740">
              <w:rPr>
                <w:rFonts w:eastAsia="Times New Roman"/>
                <w:bCs/>
                <w:szCs w:val="24"/>
                <w:lang w:eastAsia="tr-TR"/>
              </w:rPr>
              <w:t>11 inci maddesinin üçüncü fıkrasında</w:t>
            </w:r>
            <w:r w:rsidR="006E311B" w:rsidRPr="00A23740">
              <w:rPr>
                <w:rFonts w:eastAsia="Times New Roman"/>
                <w:bCs/>
                <w:szCs w:val="24"/>
                <w:lang w:eastAsia="tr-TR"/>
              </w:rPr>
              <w:t>,</w:t>
            </w:r>
            <w:r w:rsidRPr="00A23740">
              <w:rPr>
                <w:rFonts w:eastAsia="Times New Roman"/>
                <w:bCs/>
                <w:szCs w:val="24"/>
                <w:lang w:eastAsia="tr-TR"/>
              </w:rPr>
              <w:t xml:space="preserve"> basın yoluyla ilanın yapılması ge</w:t>
            </w:r>
            <w:r w:rsidR="00335C53" w:rsidRPr="00A23740">
              <w:rPr>
                <w:rFonts w:eastAsia="Times New Roman"/>
                <w:bCs/>
                <w:szCs w:val="24"/>
                <w:lang w:eastAsia="tr-TR"/>
              </w:rPr>
              <w:t>reken süre belirtilmemiş ise de</w:t>
            </w:r>
            <w:r w:rsidRPr="00A23740">
              <w:rPr>
                <w:rFonts w:eastAsia="Times New Roman"/>
                <w:bCs/>
                <w:szCs w:val="24"/>
                <w:lang w:eastAsia="tr-TR"/>
              </w:rPr>
              <w:t xml:space="preserve"> gemilerin satışında iki haftalık sürenin yetersiz olduğu, ayrıca</w:t>
            </w:r>
            <w:r w:rsidR="00DE737C" w:rsidRPr="00A23740">
              <w:rPr>
                <w:rFonts w:eastAsia="Times New Roman"/>
                <w:bCs/>
                <w:szCs w:val="24"/>
                <w:lang w:eastAsia="tr-TR"/>
              </w:rPr>
              <w:t xml:space="preserve"> </w:t>
            </w:r>
            <w:r w:rsidR="00DE737C" w:rsidRPr="00E65BE7">
              <w:rPr>
                <w:rStyle w:val="KonuBalChar"/>
                <w:rFonts w:eastAsia="Calibri"/>
                <w:b w:val="0"/>
                <w:color w:val="auto"/>
              </w:rPr>
              <w:t>4</w:t>
            </w:r>
            <w:r w:rsidR="00DE737C" w:rsidRPr="00E65BE7">
              <w:rPr>
                <w:rStyle w:val="KonuBalChar"/>
                <w:rFonts w:eastAsia="Calibri"/>
                <w:b w:val="0"/>
                <w:color w:val="auto"/>
                <w:lang w:val="tr-TR"/>
              </w:rPr>
              <w:t>65</w:t>
            </w:r>
            <w:r w:rsidR="00DE737C" w:rsidRPr="00E65BE7">
              <w:rPr>
                <w:rStyle w:val="KonuBalChar"/>
                <w:rFonts w:eastAsia="Calibri"/>
                <w:b w:val="0"/>
                <w:color w:val="auto"/>
              </w:rPr>
              <w:t xml:space="preserve"> </w:t>
            </w:r>
            <w:r w:rsidR="00DE737C" w:rsidRPr="00E65BE7">
              <w:rPr>
                <w:rStyle w:val="KonuBalChar"/>
                <w:rFonts w:eastAsia="Calibri"/>
                <w:b w:val="0"/>
                <w:color w:val="auto"/>
                <w:lang w:val="tr-TR"/>
              </w:rPr>
              <w:t>inci</w:t>
            </w:r>
            <w:r w:rsidRPr="00A23740">
              <w:rPr>
                <w:rFonts w:eastAsia="Times New Roman"/>
                <w:bCs/>
                <w:szCs w:val="24"/>
                <w:lang w:eastAsia="tr-TR"/>
              </w:rPr>
              <w:t xml:space="preserve"> maddenin ikinci fıkrasında da basın yoluyla ilan için bir aylık süre öngörüldüğü dikkate alınarak</w:t>
            </w:r>
            <w:r w:rsidR="00DE737C" w:rsidRPr="00E65BE7">
              <w:rPr>
                <w:rStyle w:val="KonuBalChar"/>
                <w:rFonts w:eastAsia="Calibri"/>
                <w:b w:val="0"/>
                <w:color w:val="auto"/>
              </w:rPr>
              <w:t xml:space="preserve">, </w:t>
            </w:r>
            <w:r w:rsidR="006E311B" w:rsidRPr="00E65BE7">
              <w:rPr>
                <w:rStyle w:val="KonuBalChar"/>
                <w:rFonts w:eastAsia="Calibri"/>
                <w:b w:val="0"/>
                <w:color w:val="auto"/>
                <w:lang w:val="tr-TR"/>
              </w:rPr>
              <w:t xml:space="preserve">Taslağın </w:t>
            </w:r>
            <w:r w:rsidR="00DE737C" w:rsidRPr="00E65BE7">
              <w:rPr>
                <w:rStyle w:val="KonuBalChar"/>
                <w:rFonts w:eastAsia="Calibri"/>
                <w:b w:val="0"/>
                <w:color w:val="auto"/>
              </w:rPr>
              <w:t>bu</w:t>
            </w:r>
            <w:r w:rsidRPr="00A23740">
              <w:rPr>
                <w:rFonts w:eastAsia="Times New Roman"/>
                <w:bCs/>
                <w:szCs w:val="24"/>
                <w:lang w:eastAsia="tr-TR"/>
              </w:rPr>
              <w:t xml:space="preserve"> madden</w:t>
            </w:r>
            <w:r w:rsidR="006E311B" w:rsidRPr="00A23740">
              <w:rPr>
                <w:rFonts w:eastAsia="Times New Roman"/>
                <w:bCs/>
                <w:szCs w:val="24"/>
                <w:lang w:eastAsia="tr-TR"/>
              </w:rPr>
              <w:t>si</w:t>
            </w:r>
            <w:r w:rsidRPr="00A23740">
              <w:rPr>
                <w:rFonts w:eastAsia="Times New Roman"/>
                <w:bCs/>
                <w:szCs w:val="24"/>
                <w:lang w:eastAsia="tr-TR"/>
              </w:rPr>
              <w:t xml:space="preserve">in birinci fıkrasında artırma ilanlarının yapılacağı sürenin, “birinci artırma tarihinden en az bir ay önce” şeklinde belirlenmesi kabul edilmiştir. </w:t>
            </w:r>
          </w:p>
          <w:p w:rsidR="00A46C6E" w:rsidRPr="00A23740" w:rsidRDefault="00A46C6E" w:rsidP="009431FF">
            <w:pPr>
              <w:ind w:firstLine="567"/>
              <w:rPr>
                <w:rFonts w:eastAsia="Times New Roman"/>
                <w:bCs/>
                <w:szCs w:val="24"/>
                <w:lang w:eastAsia="tr-TR"/>
              </w:rPr>
            </w:pPr>
            <w:r w:rsidRPr="00A23740">
              <w:rPr>
                <w:rFonts w:eastAsia="Times New Roman"/>
                <w:bCs/>
                <w:szCs w:val="24"/>
                <w:lang w:eastAsia="tr-TR"/>
              </w:rPr>
              <w:t xml:space="preserve">6102 sayılı Kanunun 1385 inci maddesinin birinci fıkrasında “… </w:t>
            </w:r>
            <w:r w:rsidRPr="00A23740">
              <w:rPr>
                <w:rFonts w:eastAsia="Times New Roman"/>
                <w:bCs/>
                <w:i/>
                <w:iCs/>
                <w:szCs w:val="24"/>
                <w:lang w:eastAsia="tr-TR"/>
              </w:rPr>
              <w:t>ve ayrıca yurt dışında dünya çapında dağıtımı yapılan denizcilikle ilgili günlük bir gazetede yayımlanır</w:t>
            </w:r>
            <w:r w:rsidR="00335C53" w:rsidRPr="00A23740">
              <w:rPr>
                <w:rFonts w:eastAsia="Times New Roman"/>
                <w:bCs/>
                <w:szCs w:val="24"/>
                <w:lang w:eastAsia="tr-TR"/>
              </w:rPr>
              <w:t>.” denilmiş ise de</w:t>
            </w:r>
            <w:r w:rsidR="006E311B" w:rsidRPr="00A23740">
              <w:rPr>
                <w:rFonts w:eastAsia="Times New Roman"/>
                <w:bCs/>
                <w:szCs w:val="24"/>
                <w:lang w:eastAsia="tr-TR"/>
              </w:rPr>
              <w:t>,</w:t>
            </w:r>
            <w:r w:rsidRPr="00A23740">
              <w:rPr>
                <w:rFonts w:eastAsia="Times New Roman"/>
                <w:bCs/>
                <w:szCs w:val="24"/>
                <w:lang w:eastAsia="tr-TR"/>
              </w:rPr>
              <w:t xml:space="preserve"> bu tür </w:t>
            </w:r>
            <w:r w:rsidR="006E311B" w:rsidRPr="00A23740">
              <w:rPr>
                <w:rFonts w:eastAsia="Times New Roman"/>
                <w:bCs/>
                <w:szCs w:val="24"/>
                <w:lang w:eastAsia="tr-TR"/>
              </w:rPr>
              <w:t xml:space="preserve">bir </w:t>
            </w:r>
            <w:r w:rsidRPr="00A23740">
              <w:rPr>
                <w:rFonts w:eastAsia="Times New Roman"/>
                <w:bCs/>
                <w:szCs w:val="24"/>
                <w:lang w:eastAsia="tr-TR"/>
              </w:rPr>
              <w:t>ilan</w:t>
            </w:r>
            <w:r w:rsidR="006E311B" w:rsidRPr="00A23740">
              <w:rPr>
                <w:rFonts w:eastAsia="Times New Roman"/>
                <w:bCs/>
                <w:szCs w:val="24"/>
                <w:lang w:eastAsia="tr-TR"/>
              </w:rPr>
              <w:t>ın</w:t>
            </w:r>
            <w:r w:rsidRPr="00A23740">
              <w:rPr>
                <w:rFonts w:eastAsia="Times New Roman"/>
                <w:bCs/>
                <w:szCs w:val="24"/>
                <w:lang w:eastAsia="tr-TR"/>
              </w:rPr>
              <w:t xml:space="preserve"> getireceği ilave mali külfet ve </w:t>
            </w:r>
            <w:r w:rsidR="006E311B" w:rsidRPr="00A23740">
              <w:rPr>
                <w:rFonts w:eastAsia="Times New Roman"/>
                <w:bCs/>
                <w:szCs w:val="24"/>
                <w:lang w:eastAsia="tr-TR"/>
              </w:rPr>
              <w:t xml:space="preserve">1993 </w:t>
            </w:r>
            <w:r w:rsidR="003205AA" w:rsidRPr="00E65BE7">
              <w:rPr>
                <w:rStyle w:val="KonuBalChar"/>
                <w:rFonts w:eastAsia="Calibri"/>
                <w:b w:val="0"/>
                <w:color w:val="auto"/>
              </w:rPr>
              <w:t>tarihli Milletlerarası Sözleşme</w:t>
            </w:r>
            <w:r w:rsidR="003205AA" w:rsidRPr="00E65BE7">
              <w:rPr>
                <w:rStyle w:val="KonuBalChar"/>
                <w:rFonts w:eastAsia="Calibri"/>
                <w:b w:val="0"/>
                <w:color w:val="auto"/>
                <w:lang w:val="tr-TR"/>
              </w:rPr>
              <w:t>nin</w:t>
            </w:r>
            <w:r w:rsidR="003205AA" w:rsidRPr="00A23740">
              <w:rPr>
                <w:rFonts w:eastAsia="Times New Roman"/>
                <w:szCs w:val="24"/>
              </w:rPr>
              <w:t xml:space="preserve"> </w:t>
            </w:r>
            <w:r w:rsidRPr="00A23740">
              <w:rPr>
                <w:rFonts w:eastAsia="Times New Roman"/>
                <w:bCs/>
                <w:szCs w:val="24"/>
                <w:lang w:eastAsia="tr-TR"/>
              </w:rPr>
              <w:t>11 inci maddesinde cebr</w:t>
            </w:r>
            <w:r w:rsidR="00A949BC" w:rsidRPr="00A23740">
              <w:rPr>
                <w:rFonts w:eastAsia="Times New Roman"/>
                <w:bCs/>
                <w:szCs w:val="24"/>
                <w:lang w:eastAsia="tr-TR"/>
              </w:rPr>
              <w:t>î</w:t>
            </w:r>
            <w:r w:rsidRPr="00A23740">
              <w:rPr>
                <w:rFonts w:eastAsia="Times New Roman"/>
                <w:bCs/>
                <w:szCs w:val="24"/>
                <w:lang w:eastAsia="tr-TR"/>
              </w:rPr>
              <w:t xml:space="preserve"> icra yoluyla satışın yapıldığı ülkede basın yolu</w:t>
            </w:r>
            <w:r w:rsidR="006E311B" w:rsidRPr="00A23740">
              <w:rPr>
                <w:rFonts w:eastAsia="Times New Roman"/>
                <w:bCs/>
                <w:szCs w:val="24"/>
                <w:lang w:eastAsia="tr-TR"/>
              </w:rPr>
              <w:t>yla</w:t>
            </w:r>
            <w:r w:rsidRPr="00A23740">
              <w:rPr>
                <w:rFonts w:eastAsia="Times New Roman"/>
                <w:bCs/>
                <w:szCs w:val="24"/>
                <w:lang w:eastAsia="tr-TR"/>
              </w:rPr>
              <w:t xml:space="preserve"> ilan dışında bir ilan zorunluluğunun öngörülmediği dikkate alınarak</w:t>
            </w:r>
            <w:r w:rsidR="006E311B" w:rsidRPr="00A23740">
              <w:rPr>
                <w:rFonts w:eastAsia="Times New Roman"/>
                <w:bCs/>
                <w:szCs w:val="24"/>
                <w:lang w:eastAsia="tr-TR"/>
              </w:rPr>
              <w:t>,</w:t>
            </w:r>
            <w:r w:rsidRPr="00A23740">
              <w:rPr>
                <w:rFonts w:eastAsia="Times New Roman"/>
                <w:bCs/>
                <w:szCs w:val="24"/>
                <w:lang w:eastAsia="tr-TR"/>
              </w:rPr>
              <w:t xml:space="preserve"> söz konusu ibare bu maddeye alınmamıştır. Bununla birlikte ilgililerin artırma şartnamesinin yurt dışında da ila</w:t>
            </w:r>
            <w:r w:rsidR="00535D4A" w:rsidRPr="00A23740">
              <w:rPr>
                <w:rFonts w:eastAsia="Times New Roman"/>
                <w:bCs/>
                <w:szCs w:val="24"/>
                <w:lang w:eastAsia="tr-TR"/>
              </w:rPr>
              <w:t>n edilmesinde yarar görmeleri hâ</w:t>
            </w:r>
            <w:r w:rsidRPr="00A23740">
              <w:rPr>
                <w:rFonts w:eastAsia="Times New Roman"/>
                <w:bCs/>
                <w:szCs w:val="24"/>
                <w:lang w:eastAsia="tr-TR"/>
              </w:rPr>
              <w:t xml:space="preserve">linde bunu yapabileceklerinin belirtilmesi gerekli görüldüğünden, maddenin ikinci fıkrasında “artırma şartnamesinin tamamını veya özetini gideri kendilerine ait olmak üzere diledikleri vasıtalarla yurt dışında da ilan ettirebilecekleri, ancak </w:t>
            </w:r>
            <w:r w:rsidR="00AD7D81" w:rsidRPr="00A23740">
              <w:rPr>
                <w:rFonts w:eastAsia="Times New Roman"/>
                <w:bCs/>
                <w:szCs w:val="24"/>
                <w:lang w:eastAsia="tr-TR"/>
              </w:rPr>
              <w:t>özel nitelikteki bu ilanın resmî</w:t>
            </w:r>
            <w:r w:rsidRPr="00A23740">
              <w:rPr>
                <w:rFonts w:eastAsia="Times New Roman"/>
                <w:bCs/>
                <w:szCs w:val="24"/>
                <w:lang w:eastAsia="tr-TR"/>
              </w:rPr>
              <w:t xml:space="preserve"> işlemleri etkilemediği” hüküm altına alınmıştır. </w:t>
            </w:r>
          </w:p>
          <w:p w:rsidR="00A46C6E" w:rsidRPr="00A23740" w:rsidRDefault="006E311B" w:rsidP="009431FF">
            <w:pPr>
              <w:ind w:firstLine="567"/>
              <w:rPr>
                <w:rFonts w:eastAsia="Times New Roman"/>
                <w:bCs/>
                <w:szCs w:val="24"/>
                <w:lang w:eastAsia="tr-TR"/>
              </w:rPr>
            </w:pPr>
            <w:r w:rsidRPr="00E65BE7">
              <w:rPr>
                <w:rStyle w:val="KonuBalChar"/>
                <w:rFonts w:eastAsia="Calibri"/>
                <w:b w:val="0"/>
                <w:color w:val="auto"/>
                <w:lang w:val="tr-TR"/>
              </w:rPr>
              <w:t xml:space="preserve">Taslağın </w:t>
            </w:r>
            <w:r w:rsidR="00222122" w:rsidRPr="00E65BE7">
              <w:rPr>
                <w:rStyle w:val="KonuBalChar"/>
                <w:rFonts w:eastAsia="Calibri"/>
                <w:b w:val="0"/>
                <w:color w:val="auto"/>
              </w:rPr>
              <w:t>475 inci</w:t>
            </w:r>
            <w:r w:rsidR="00222122" w:rsidRPr="00A23740">
              <w:rPr>
                <w:rFonts w:eastAsia="Times New Roman"/>
                <w:bCs/>
                <w:szCs w:val="24"/>
                <w:lang w:eastAsia="tr-TR"/>
              </w:rPr>
              <w:t xml:space="preserve"> </w:t>
            </w:r>
            <w:r w:rsidR="00A46C6E" w:rsidRPr="00A23740">
              <w:rPr>
                <w:rFonts w:eastAsia="Times New Roman"/>
                <w:bCs/>
                <w:szCs w:val="24"/>
                <w:lang w:eastAsia="tr-TR"/>
              </w:rPr>
              <w:t>madden</w:t>
            </w:r>
            <w:r w:rsidRPr="00A23740">
              <w:rPr>
                <w:rFonts w:eastAsia="Times New Roman"/>
                <w:bCs/>
                <w:szCs w:val="24"/>
                <w:lang w:eastAsia="tr-TR"/>
              </w:rPr>
              <w:t>si</w:t>
            </w:r>
            <w:r w:rsidR="00A46C6E" w:rsidRPr="00A23740">
              <w:rPr>
                <w:rFonts w:eastAsia="Times New Roman"/>
                <w:bCs/>
                <w:szCs w:val="24"/>
                <w:lang w:eastAsia="tr-TR"/>
              </w:rPr>
              <w:t>in ikinci fıkrasında yabancı bir devlet sicilinde kayıtlı gemilerin satışında</w:t>
            </w:r>
            <w:r w:rsidR="00090CD0" w:rsidRPr="00A23740">
              <w:rPr>
                <w:rFonts w:eastAsia="Times New Roman"/>
                <w:bCs/>
                <w:szCs w:val="24"/>
                <w:lang w:eastAsia="tr-TR"/>
              </w:rPr>
              <w:t xml:space="preserve"> </w:t>
            </w:r>
            <w:r w:rsidR="00CC7FE2" w:rsidRPr="00E65BE7">
              <w:rPr>
                <w:rStyle w:val="KonuBalChar"/>
                <w:rFonts w:eastAsia="Calibri"/>
                <w:b w:val="0"/>
                <w:color w:val="auto"/>
                <w:lang w:val="tr-TR"/>
              </w:rPr>
              <w:t>bu</w:t>
            </w:r>
            <w:r w:rsidR="00CC7FE2" w:rsidRPr="00A23740">
              <w:rPr>
                <w:rStyle w:val="KonuBalChar"/>
                <w:rFonts w:eastAsia="Calibri"/>
                <w:lang w:val="tr-TR"/>
              </w:rPr>
              <w:t xml:space="preserve"> </w:t>
            </w:r>
            <w:r w:rsidR="00A46C6E" w:rsidRPr="00A23740">
              <w:rPr>
                <w:rFonts w:eastAsia="Times New Roman"/>
                <w:bCs/>
                <w:szCs w:val="24"/>
                <w:lang w:eastAsia="tr-TR"/>
              </w:rPr>
              <w:t xml:space="preserve">maddenin birinci fıkrası uyarınca gazetede yayımlanacak ilanın bir örneği gönderilmek suretiyle bildirim yapılması zorunluluğu ve şekli düzenlendiğinden, bu maddenin üçüncü fıkrasında bir Türk gemi sicilinde kayıtlı gemilerin satışında da </w:t>
            </w:r>
            <w:r w:rsidR="00CC7FE2" w:rsidRPr="00E65BE7">
              <w:rPr>
                <w:rStyle w:val="KonuBalChar"/>
                <w:rFonts w:eastAsia="Calibri"/>
                <w:b w:val="0"/>
                <w:color w:val="auto"/>
                <w:lang w:val="tr-TR"/>
              </w:rPr>
              <w:t>bu</w:t>
            </w:r>
            <w:r w:rsidR="00BF2FF4" w:rsidRPr="00A23740">
              <w:rPr>
                <w:rFonts w:eastAsia="Times New Roman"/>
                <w:bCs/>
                <w:szCs w:val="24"/>
                <w:lang w:eastAsia="tr-TR"/>
              </w:rPr>
              <w:t xml:space="preserve"> </w:t>
            </w:r>
            <w:r w:rsidR="00A46C6E" w:rsidRPr="00A23740">
              <w:rPr>
                <w:rFonts w:eastAsia="Times New Roman"/>
                <w:bCs/>
                <w:szCs w:val="24"/>
                <w:lang w:eastAsia="tr-TR"/>
              </w:rPr>
              <w:t>maddenin birinci fıkrası uyarınca elektronik satış portalında yapılacak ilanın, gazetede yayımlanan bir örneğinin tebliğ edileceği; geminin kayıtlı olduğu sicil müdürlüğü dışında ilan örneğinin tebliğ edilmesi gereken k</w:t>
            </w:r>
            <w:r w:rsidR="00535D4A" w:rsidRPr="00A23740">
              <w:rPr>
                <w:rFonts w:eastAsia="Times New Roman"/>
                <w:bCs/>
                <w:szCs w:val="24"/>
                <w:lang w:eastAsia="tr-TR"/>
              </w:rPr>
              <w:t>işilere tebligat yapılamaması hâ</w:t>
            </w:r>
            <w:r w:rsidR="00A46C6E" w:rsidRPr="00A23740">
              <w:rPr>
                <w:rFonts w:eastAsia="Times New Roman"/>
                <w:bCs/>
                <w:szCs w:val="24"/>
                <w:lang w:eastAsia="tr-TR"/>
              </w:rPr>
              <w:t xml:space="preserve">linde gazetede yaımlanan ilanın bu kişiler bakımında tebligat yerine geçeceği hüküm altına alınmıştır. </w:t>
            </w:r>
          </w:p>
          <w:bookmarkEnd w:id="31"/>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7. Satış ve ihalenin</w:t>
            </w:r>
            <w:r w:rsidRPr="00A23740">
              <w:rPr>
                <w:rFonts w:eastAsia="Times New Roman"/>
                <w:b/>
                <w:bCs/>
                <w:szCs w:val="24"/>
                <w:lang w:eastAsia="tr-TR"/>
              </w:rPr>
              <w:t xml:space="preserve"> sonucu</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1388</w:t>
            </w:r>
            <w:r w:rsidRPr="00A23740">
              <w:rPr>
                <w:rFonts w:eastAsia="Times New Roman"/>
                <w:szCs w:val="24"/>
                <w:lang w:eastAsia="tr-TR"/>
              </w:rPr>
              <w:t xml:space="preserve">- (1) Alıcı, icra dairesi tarafından gemi kendisine ihale edildiği </w:t>
            </w:r>
            <w:r w:rsidRPr="00A23740">
              <w:rPr>
                <w:rFonts w:eastAsia="Times New Roman"/>
                <w:b/>
                <w:strike/>
                <w:color w:val="FF0000"/>
                <w:szCs w:val="24"/>
                <w:lang w:eastAsia="tr-TR"/>
              </w:rPr>
              <w:t>veya satıldığı</w:t>
            </w:r>
            <w:r w:rsidRPr="00A23740">
              <w:rPr>
                <w:rFonts w:eastAsia="Times New Roman"/>
                <w:szCs w:val="24"/>
                <w:lang w:eastAsia="tr-TR"/>
              </w:rPr>
              <w:t xml:space="preserve"> anda, geminin mülkiyetini iktisap eder.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073E29" w:rsidRPr="00A23740" w:rsidRDefault="00073E29" w:rsidP="009431FF">
            <w:pPr>
              <w:rPr>
                <w:rFonts w:eastAsia="Times New Roman"/>
                <w:szCs w:val="24"/>
                <w:lang w:eastAsia="tr-TR"/>
              </w:rPr>
            </w:pPr>
          </w:p>
          <w:p w:rsidR="005468D1" w:rsidRPr="00A23740" w:rsidRDefault="005468D1" w:rsidP="009431FF">
            <w:pPr>
              <w:rPr>
                <w:rFonts w:eastAsia="Times New Roman"/>
                <w:szCs w:val="24"/>
                <w:lang w:eastAsia="tr-TR"/>
              </w:rPr>
            </w:pPr>
          </w:p>
          <w:p w:rsidR="005468D1" w:rsidRPr="00A23740" w:rsidRDefault="005468D1"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A23740">
              <w:rPr>
                <w:rFonts w:eastAsia="Times New Roman"/>
                <w:szCs w:val="24"/>
                <w:lang w:eastAsia="tr-TR"/>
              </w:rPr>
              <w:t xml:space="preserve">(2) </w:t>
            </w:r>
            <w:r w:rsidRPr="00A23740">
              <w:rPr>
                <w:rFonts w:eastAsia="Times New Roman"/>
                <w:b/>
                <w:bCs/>
                <w:strike/>
                <w:color w:val="FF0000"/>
                <w:szCs w:val="24"/>
                <w:lang w:eastAsia="x-none"/>
              </w:rPr>
              <w:t>Satış bedeli icra dairesine ödendiği anda,</w:t>
            </w:r>
            <w:r w:rsidRPr="00A23740">
              <w:rPr>
                <w:rFonts w:eastAsia="Times New Roman"/>
                <w:szCs w:val="24"/>
                <w:lang w:eastAsia="tr-TR"/>
              </w:rPr>
              <w:t xml:space="preserve"> ipotek alacaklısının rızasıyla alıcı tarafından </w:t>
            </w:r>
            <w:r w:rsidRPr="00A23740">
              <w:rPr>
                <w:rFonts w:eastAsia="Times New Roman"/>
                <w:b/>
                <w:bCs/>
                <w:strike/>
                <w:color w:val="FF0000"/>
                <w:szCs w:val="24"/>
                <w:lang w:eastAsia="x-none"/>
              </w:rPr>
              <w:t>yüklenilenler</w:t>
            </w:r>
            <w:r w:rsidRPr="00A23740">
              <w:rPr>
                <w:rFonts w:eastAsia="Times New Roman"/>
                <w:szCs w:val="24"/>
                <w:lang w:eastAsia="tr-TR"/>
              </w:rPr>
              <w:t xml:space="preserve"> dışında, gemi üzerindeki bütün ayni ve kişisel haklar, külfetler ve sınırlandırmalar sona erer.</w:t>
            </w:r>
            <w:r w:rsidRPr="00A23740">
              <w:rPr>
                <w:rFonts w:eastAsia="Times New Roman"/>
                <w:b/>
                <w:bCs/>
                <w:strike/>
                <w:color w:val="FF0000"/>
                <w:szCs w:val="24"/>
                <w:lang w:eastAsia="x-none"/>
              </w:rPr>
              <w:t xml:space="preserve"> 1386 ncı maddenin dördüncü fıkrası hükmü burada da uygulanır.</w:t>
            </w:r>
          </w:p>
          <w:p w:rsidR="00A46C6E" w:rsidRDefault="00A46C6E" w:rsidP="009431FF">
            <w:pPr>
              <w:rPr>
                <w:rFonts w:eastAsia="Times New Roman"/>
                <w:szCs w:val="24"/>
                <w:lang w:eastAsia="tr-TR"/>
              </w:rPr>
            </w:pPr>
          </w:p>
          <w:p w:rsidR="00AE5B12" w:rsidRPr="00A23740" w:rsidRDefault="00AE5B12" w:rsidP="009431FF">
            <w:pPr>
              <w:rPr>
                <w:rFonts w:eastAsia="Times New Roman"/>
                <w:szCs w:val="24"/>
                <w:lang w:eastAsia="tr-TR"/>
              </w:rPr>
            </w:pPr>
          </w:p>
          <w:p w:rsidR="00A46C6E" w:rsidRPr="00A23740" w:rsidRDefault="00A46C6E" w:rsidP="009431FF">
            <w:pPr>
              <w:tabs>
                <w:tab w:val="left" w:pos="567"/>
              </w:tabs>
              <w:rPr>
                <w:rFonts w:eastAsia="Times New Roman"/>
                <w:b/>
                <w:bCs/>
                <w:strike/>
                <w:color w:val="FF0000"/>
                <w:szCs w:val="24"/>
                <w:lang w:eastAsia="x-none"/>
              </w:rPr>
            </w:pPr>
            <w:r w:rsidRPr="00136EBC">
              <w:t>(3)</w:t>
            </w:r>
            <w:r w:rsidRPr="00136EBC">
              <w:rPr>
                <w:rFonts w:eastAsia="Times New Roman"/>
                <w:b/>
                <w:bCs/>
                <w:color w:val="FF0000"/>
                <w:szCs w:val="24"/>
                <w:lang w:eastAsia="x-none"/>
              </w:rPr>
              <w:t xml:space="preserve"> </w:t>
            </w:r>
            <w:r w:rsidRPr="00A23740">
              <w:rPr>
                <w:rFonts w:eastAsia="Times New Roman"/>
                <w:b/>
                <w:bCs/>
                <w:strike/>
                <w:color w:val="FF0000"/>
                <w:szCs w:val="24"/>
                <w:lang w:eastAsia="x-none"/>
              </w:rPr>
              <w:t>Bu madde, bayrağı ve sicile kayıtlı olup olmadığı dikkate alınmaksızın bütün gemiler hakkında geçerlidir.</w:t>
            </w:r>
          </w:p>
          <w:p w:rsidR="00A46C6E" w:rsidRDefault="00A46C6E" w:rsidP="009431FF">
            <w:pPr>
              <w:tabs>
                <w:tab w:val="left" w:pos="567"/>
              </w:tabs>
              <w:rPr>
                <w:rFonts w:eastAsia="Times New Roman"/>
                <w:b/>
                <w:bCs/>
                <w:strike/>
                <w:color w:val="FF0000"/>
                <w:szCs w:val="24"/>
                <w:lang w:eastAsia="x-none"/>
              </w:rPr>
            </w:pPr>
          </w:p>
          <w:p w:rsidR="00A5551D" w:rsidRDefault="00A5551D" w:rsidP="009431FF">
            <w:pPr>
              <w:tabs>
                <w:tab w:val="left" w:pos="567"/>
              </w:tabs>
              <w:rPr>
                <w:rFonts w:eastAsia="Times New Roman"/>
                <w:b/>
                <w:bCs/>
                <w:strike/>
                <w:color w:val="FF0000"/>
                <w:szCs w:val="24"/>
                <w:lang w:eastAsia="x-none"/>
              </w:rPr>
            </w:pPr>
          </w:p>
          <w:p w:rsidR="00A5551D" w:rsidRPr="00A23740" w:rsidRDefault="00A5551D" w:rsidP="009431FF">
            <w:pPr>
              <w:tabs>
                <w:tab w:val="left" w:pos="567"/>
              </w:tabs>
              <w:rPr>
                <w:rFonts w:eastAsia="Times New Roman"/>
                <w:b/>
                <w:bCs/>
                <w:strike/>
                <w:color w:val="FF0000"/>
                <w:szCs w:val="24"/>
                <w:lang w:eastAsia="x-none"/>
              </w:rPr>
            </w:pPr>
          </w:p>
          <w:p w:rsidR="00A46C6E" w:rsidRPr="00A23740" w:rsidRDefault="00A46C6E" w:rsidP="009431FF">
            <w:pPr>
              <w:pStyle w:val="KIRMIZI"/>
            </w:pPr>
            <w:r w:rsidRPr="00A23740">
              <w:t>Paranın paylaştırılmasına ilişkin hükümlerin gemilere uygulanması:</w:t>
            </w:r>
          </w:p>
          <w:p w:rsidR="00A46C6E" w:rsidRPr="00A23740" w:rsidRDefault="00A46C6E" w:rsidP="009431FF">
            <w:pPr>
              <w:pStyle w:val="KIRMIZI"/>
              <w:rPr>
                <w:lang w:eastAsia="tr-TR"/>
              </w:rPr>
            </w:pPr>
            <w:r w:rsidRPr="00A23740">
              <w:rPr>
                <w:lang w:eastAsia="tr-TR"/>
              </w:rPr>
              <w:t>Madde 144/a – (Ek: 14/1/2011-6103/41 md.)</w:t>
            </w:r>
          </w:p>
          <w:p w:rsidR="00A46C6E" w:rsidRPr="00A23740" w:rsidRDefault="00A46C6E" w:rsidP="009431FF">
            <w:pPr>
              <w:tabs>
                <w:tab w:val="left" w:pos="567"/>
              </w:tabs>
              <w:rPr>
                <w:rFonts w:eastAsia="Times New Roman"/>
                <w:strike/>
                <w:color w:val="FF0000"/>
                <w:szCs w:val="24"/>
                <w:lang w:eastAsia="tr-TR"/>
              </w:rPr>
            </w:pPr>
            <w:r w:rsidRPr="00A23740">
              <w:rPr>
                <w:rFonts w:eastAsia="Times New Roman"/>
                <w:b/>
                <w:strike/>
                <w:color w:val="FF0000"/>
                <w:szCs w:val="24"/>
                <w:lang w:eastAsia="tr-TR"/>
              </w:rPr>
              <w:t>(F2)</w:t>
            </w:r>
            <w:r w:rsidRPr="00A23740">
              <w:rPr>
                <w:rFonts w:eastAsia="Times New Roman"/>
                <w:szCs w:val="24"/>
                <w:lang w:eastAsia="tr-TR"/>
              </w:rPr>
              <w:t xml:space="preserve"> Türk gemi sicilin</w:t>
            </w:r>
            <w:r w:rsidRPr="00A23740">
              <w:rPr>
                <w:rFonts w:eastAsia="Times New Roman"/>
                <w:b/>
                <w:strike/>
                <w:color w:val="FF0000"/>
                <w:szCs w:val="24"/>
                <w:lang w:eastAsia="tr-TR"/>
              </w:rPr>
              <w:t>e</w:t>
            </w:r>
            <w:r w:rsidRPr="00A23740">
              <w:rPr>
                <w:rFonts w:eastAsia="Times New Roman"/>
                <w:szCs w:val="24"/>
                <w:lang w:eastAsia="tr-TR"/>
              </w:rPr>
              <w:t xml:space="preserve"> kayıtlı </w:t>
            </w:r>
            <w:r w:rsidRPr="00A23740">
              <w:rPr>
                <w:rFonts w:eastAsia="Times New Roman"/>
                <w:b/>
                <w:strike/>
                <w:color w:val="FF0000"/>
                <w:szCs w:val="24"/>
                <w:lang w:eastAsia="tr-TR"/>
              </w:rPr>
              <w:t>olan gemiyi paraya çeviren</w:t>
            </w:r>
            <w:r w:rsidRPr="00A23740">
              <w:rPr>
                <w:rFonts w:eastAsia="Times New Roman"/>
                <w:szCs w:val="24"/>
                <w:lang w:eastAsia="tr-TR"/>
              </w:rPr>
              <w:t xml:space="preserve"> icra dairesi</w:t>
            </w:r>
            <w:r w:rsidRPr="00A23740">
              <w:rPr>
                <w:rFonts w:eastAsia="Times New Roman"/>
                <w:b/>
                <w:strike/>
                <w:color w:val="FF0000"/>
                <w:szCs w:val="24"/>
                <w:lang w:eastAsia="tr-TR"/>
              </w:rPr>
              <w:t>, sicile kayıtlı ipotek ve intifa haklarına ait kayıtların</w:t>
            </w:r>
            <w:r w:rsidRPr="00A23740">
              <w:rPr>
                <w:rFonts w:eastAsia="Times New Roman"/>
                <w:szCs w:val="24"/>
                <w:lang w:eastAsia="tr-TR"/>
              </w:rPr>
              <w:t xml:space="preserve"> terkin</w:t>
            </w:r>
            <w:r w:rsidRPr="00A23740">
              <w:rPr>
                <w:rFonts w:eastAsia="Times New Roman"/>
                <w:b/>
                <w:strike/>
                <w:color w:val="FF0000"/>
                <w:szCs w:val="24"/>
                <w:lang w:eastAsia="tr-TR"/>
              </w:rPr>
              <w:t xml:space="preserve"> veya nakillerini yaptırır;</w:t>
            </w:r>
            <w:r w:rsidRPr="00A23740">
              <w:rPr>
                <w:rFonts w:eastAsia="Times New Roman"/>
                <w:szCs w:val="24"/>
                <w:lang w:eastAsia="tr-TR"/>
              </w:rPr>
              <w:t xml:space="preserve"> yabancı sicil</w:t>
            </w:r>
            <w:r w:rsidRPr="00A23740">
              <w:rPr>
                <w:rFonts w:eastAsia="Times New Roman"/>
                <w:b/>
                <w:strike/>
                <w:color w:val="FF0000"/>
                <w:szCs w:val="24"/>
                <w:lang w:eastAsia="tr-TR"/>
              </w:rPr>
              <w:t>e</w:t>
            </w:r>
            <w:r w:rsidRPr="00A23740">
              <w:rPr>
                <w:rFonts w:eastAsia="Times New Roman"/>
                <w:szCs w:val="24"/>
                <w:lang w:eastAsia="tr-TR"/>
              </w:rPr>
              <w:t xml:space="preserve"> kayıtlı gemi</w:t>
            </w:r>
            <w:r w:rsidRPr="00A23740">
              <w:rPr>
                <w:rFonts w:eastAsia="Times New Roman"/>
                <w:b/>
                <w:strike/>
                <w:color w:val="FF0000"/>
                <w:szCs w:val="24"/>
                <w:lang w:eastAsia="tr-TR"/>
              </w:rPr>
              <w:t>lerde, bu işlemin yapılması için</w:t>
            </w:r>
            <w:r w:rsidRPr="00A23740">
              <w:rPr>
                <w:rFonts w:eastAsia="Times New Roman"/>
                <w:szCs w:val="24"/>
                <w:lang w:eastAsia="tr-TR"/>
              </w:rPr>
              <w:t xml:space="preserve"> geminin bayrağını taşıdığı devletin en yakın konsolosluğuna </w:t>
            </w:r>
            <w:r w:rsidRPr="00A23740">
              <w:rPr>
                <w:rFonts w:eastAsia="Times New Roman"/>
                <w:b/>
                <w:strike/>
                <w:color w:val="FF0000"/>
                <w:szCs w:val="24"/>
                <w:lang w:eastAsia="tr-TR"/>
              </w:rPr>
              <w:t>bildirimde bulunur.</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Artırma suretiyle satış</w:t>
            </w:r>
            <w:r w:rsidRPr="00A23740">
              <w:rPr>
                <w:rFonts w:eastAsia="Times New Roman"/>
                <w:b/>
                <w:bCs/>
                <w:szCs w:val="24"/>
                <w:lang w:eastAsia="tr-TR"/>
              </w:rPr>
              <w:t xml:space="preserve"> </w:t>
            </w:r>
            <w:r w:rsidRPr="00A23740">
              <w:rPr>
                <w:rFonts w:eastAsia="Times New Roman"/>
                <w:b/>
                <w:bCs/>
                <w:color w:val="0000FF"/>
                <w:szCs w:val="24"/>
                <w:lang w:eastAsia="tr-TR"/>
              </w:rPr>
              <w:t>ve</w:t>
            </w:r>
            <w:r w:rsidRPr="00A23740">
              <w:rPr>
                <w:b/>
                <w:color w:val="00CC00"/>
                <w:lang w:eastAsia="tr-TR"/>
              </w:rPr>
              <w:t xml:space="preserve"> </w:t>
            </w:r>
            <w:r w:rsidRPr="00A23740">
              <w:rPr>
                <w:rFonts w:eastAsia="Times New Roman"/>
                <w:b/>
                <w:bCs/>
                <w:szCs w:val="24"/>
                <w:lang w:eastAsia="tr-TR"/>
              </w:rPr>
              <w:t>sonucu</w:t>
            </w:r>
          </w:p>
          <w:p w:rsidR="00A46C6E" w:rsidRPr="00A23740" w:rsidRDefault="003B700B" w:rsidP="009431FF">
            <w:pPr>
              <w:rPr>
                <w:rFonts w:eastAsia="Times New Roman"/>
                <w:szCs w:val="24"/>
                <w:lang w:eastAsia="tr-TR"/>
              </w:rPr>
            </w:pPr>
            <w:r w:rsidRPr="00136EBC">
              <w:rPr>
                <w:rFonts w:eastAsia="Times New Roman"/>
                <w:b/>
                <w:bCs/>
                <w:color w:val="000000" w:themeColor="text1"/>
                <w:szCs w:val="24"/>
                <w:lang w:eastAsia="tr-TR"/>
              </w:rPr>
              <w:t xml:space="preserve">MADDE </w:t>
            </w:r>
            <w:r w:rsidRPr="00A23740">
              <w:rPr>
                <w:rFonts w:eastAsia="Times New Roman"/>
                <w:b/>
                <w:bCs/>
                <w:color w:val="0000FF"/>
                <w:szCs w:val="24"/>
                <w:lang w:eastAsia="tr-TR"/>
              </w:rPr>
              <w:t>477</w:t>
            </w:r>
            <w:r w:rsidR="00A46C6E" w:rsidRPr="00A23740">
              <w:rPr>
                <w:rFonts w:eastAsia="Times New Roman"/>
                <w:b/>
                <w:bCs/>
                <w:color w:val="0000FF"/>
                <w:szCs w:val="24"/>
                <w:lang w:eastAsia="tr-TR"/>
              </w:rPr>
              <w:t xml:space="preserve">- </w:t>
            </w:r>
            <w:r w:rsidR="00A46C6E" w:rsidRPr="00136EBC">
              <w:t>(1)</w:t>
            </w:r>
            <w:r w:rsidR="00A46C6E" w:rsidRPr="00A23740">
              <w:rPr>
                <w:rFonts w:eastAsia="Times New Roman"/>
                <w:szCs w:val="24"/>
                <w:lang w:eastAsia="tr-TR"/>
              </w:rPr>
              <w:t xml:space="preserve"> </w:t>
            </w:r>
            <w:r w:rsidR="00A46C6E" w:rsidRPr="00A23740">
              <w:rPr>
                <w:rFonts w:eastAsia="Times New Roman"/>
                <w:b/>
                <w:bCs/>
                <w:color w:val="0000FF"/>
                <w:szCs w:val="24"/>
                <w:lang w:eastAsia="tr-TR"/>
              </w:rPr>
              <w:t>Artırma suretiyle satış, elektronik ortamda açık artırmaya ilişkin</w:t>
            </w:r>
            <w:r w:rsidR="001222D3" w:rsidRPr="00A23740">
              <w:rPr>
                <w:rFonts w:eastAsia="Times New Roman"/>
                <w:b/>
                <w:bCs/>
                <w:color w:val="0000FF"/>
                <w:szCs w:val="24"/>
                <w:lang w:eastAsia="tr-TR"/>
              </w:rPr>
              <w:t xml:space="preserve"> </w:t>
            </w:r>
            <w:r w:rsidR="00A127B1">
              <w:rPr>
                <w:rStyle w:val="KonuBalChar"/>
                <w:rFonts w:eastAsia="Calibri"/>
                <w:color w:val="0000FF"/>
              </w:rPr>
              <w:t>233 ila</w:t>
            </w:r>
            <w:r w:rsidR="001222D3" w:rsidRPr="00E65BE7">
              <w:rPr>
                <w:rStyle w:val="KonuBalChar"/>
                <w:rFonts w:eastAsia="Calibri"/>
                <w:color w:val="0000FF"/>
              </w:rPr>
              <w:t xml:space="preserve"> 237 nci</w:t>
            </w:r>
            <w:r w:rsidR="00A46C6E" w:rsidRPr="00A23740">
              <w:rPr>
                <w:rFonts w:eastAsia="Times New Roman"/>
                <w:b/>
                <w:bCs/>
                <w:color w:val="0000FF"/>
                <w:szCs w:val="24"/>
                <w:lang w:eastAsia="tr-TR"/>
              </w:rPr>
              <w:t xml:space="preserve"> maddeler ile asgari ihale bedeline ilişkin</w:t>
            </w:r>
            <w:r w:rsidR="00052A29" w:rsidRPr="00A23740">
              <w:rPr>
                <w:rFonts w:eastAsia="Times New Roman"/>
                <w:b/>
                <w:bCs/>
                <w:color w:val="0000FF"/>
                <w:szCs w:val="24"/>
                <w:lang w:eastAsia="tr-TR"/>
              </w:rPr>
              <w:t xml:space="preserve"> </w:t>
            </w:r>
            <w:r w:rsidR="00052A29" w:rsidRPr="00E65BE7">
              <w:rPr>
                <w:rStyle w:val="KonuBalChar"/>
                <w:rFonts w:eastAsia="Calibri"/>
                <w:color w:val="0000FF"/>
              </w:rPr>
              <w:t>246 ncı</w:t>
            </w:r>
            <w:r w:rsidR="00A46C6E" w:rsidRPr="00A23740">
              <w:rPr>
                <w:rFonts w:eastAsia="Times New Roman"/>
                <w:b/>
                <w:bCs/>
                <w:color w:val="0000FF"/>
                <w:szCs w:val="24"/>
                <w:lang w:eastAsia="tr-TR"/>
              </w:rPr>
              <w:t xml:space="preserve"> </w:t>
            </w:r>
            <w:r w:rsidR="00A46C6E" w:rsidRPr="00E65BE7">
              <w:rPr>
                <w:rFonts w:eastAsia="Times New Roman"/>
                <w:b/>
                <w:bCs/>
                <w:color w:val="0000FF"/>
                <w:szCs w:val="24"/>
                <w:lang w:eastAsia="tr-TR"/>
              </w:rPr>
              <w:t>madde</w:t>
            </w:r>
            <w:r w:rsidR="000F4DC6" w:rsidRPr="00E65BE7">
              <w:rPr>
                <w:rFonts w:eastAsia="Times New Roman"/>
                <w:b/>
                <w:bCs/>
                <w:color w:val="0000FF"/>
                <w:szCs w:val="24"/>
                <w:lang w:eastAsia="tr-TR"/>
              </w:rPr>
              <w:t>ye göre</w:t>
            </w:r>
            <w:r w:rsidR="00A46C6E" w:rsidRPr="00A23740">
              <w:rPr>
                <w:rFonts w:eastAsia="Times New Roman"/>
                <w:b/>
                <w:bCs/>
                <w:color w:val="0000FF"/>
                <w:szCs w:val="24"/>
                <w:lang w:eastAsia="tr-TR"/>
              </w:rPr>
              <w:t xml:space="preserve"> yapılır. Artırmanın sona erdiği gün ve saatte gemi en yüksek teklifi veren alıcıya ihale edilmiş olur. Bayrağına ve sicile kayıtlı olup olmadığına bakılmaksızın</w:t>
            </w:r>
            <w:r w:rsidR="00A46C6E" w:rsidRPr="00A23740">
              <w:rPr>
                <w:rFonts w:eastAsia="Times New Roman"/>
                <w:b/>
                <w:bCs/>
                <w:color w:val="0000FF"/>
                <w:szCs w:val="24"/>
                <w:lang w:eastAsia="x-none"/>
              </w:rPr>
              <w:t xml:space="preserve"> </w:t>
            </w:r>
            <w:r w:rsidR="00A46C6E" w:rsidRPr="00A23740">
              <w:rPr>
                <w:rFonts w:eastAsia="Times New Roman"/>
                <w:szCs w:val="24"/>
                <w:lang w:eastAsia="tr-TR"/>
              </w:rPr>
              <w:t xml:space="preserve">alıcı, icra </w:t>
            </w:r>
            <w:r w:rsidR="00A46C6E" w:rsidRPr="00A23740">
              <w:rPr>
                <w:rFonts w:eastAsia="Times New Roman"/>
                <w:b/>
                <w:bCs/>
                <w:color w:val="0000FF"/>
                <w:szCs w:val="24"/>
                <w:lang w:eastAsia="tr-TR"/>
              </w:rPr>
              <w:t>ve</w:t>
            </w:r>
            <w:r w:rsidR="00A46C6E" w:rsidRPr="00A23740">
              <w:rPr>
                <w:b/>
                <w:color w:val="00CC00"/>
                <w:lang w:eastAsia="tr-TR"/>
              </w:rPr>
              <w:t xml:space="preserve"> </w:t>
            </w:r>
            <w:r w:rsidR="00A46C6E" w:rsidRPr="00A23740">
              <w:rPr>
                <w:rFonts w:eastAsia="Times New Roman"/>
                <w:b/>
                <w:bCs/>
                <w:color w:val="0000FF"/>
                <w:szCs w:val="24"/>
                <w:lang w:eastAsia="tr-TR"/>
              </w:rPr>
              <w:t>iflas</w:t>
            </w:r>
            <w:r w:rsidR="00A46C6E" w:rsidRPr="00A23740">
              <w:rPr>
                <w:rFonts w:eastAsia="Times New Roman"/>
                <w:szCs w:val="24"/>
                <w:lang w:eastAsia="tr-TR"/>
              </w:rPr>
              <w:t xml:space="preserve"> dairesi tarafından gemi kendisine ihale edildiği anda, geminin mülkiyetini iktisap eder.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136EBC">
              <w:t>(2)</w:t>
            </w:r>
            <w:r w:rsidRPr="00A23740">
              <w:rPr>
                <w:rFonts w:eastAsia="Times New Roman"/>
                <w:b/>
                <w:bCs/>
                <w:color w:val="0000FF"/>
                <w:szCs w:val="24"/>
                <w:lang w:eastAsia="tr-TR"/>
              </w:rPr>
              <w:t xml:space="preserve"> Bayrağına</w:t>
            </w:r>
            <w:r w:rsidRPr="00A23740">
              <w:rPr>
                <w:rFonts w:eastAsia="Times New Roman"/>
                <w:b/>
                <w:bCs/>
                <w:color w:val="0000FF"/>
                <w:szCs w:val="24"/>
                <w:lang w:eastAsia="x-none"/>
              </w:rPr>
              <w:t xml:space="preserve"> ve sicile kayıtlı olup olmadığına bakılmaksızın açık artırma suretiyle satılan bir gemi, yapılan ihalenin kesinleşmesiyle ihale alıcısına teslim edilir; bu hâlde</w:t>
            </w:r>
            <w:r w:rsidRPr="00A23740">
              <w:rPr>
                <w:rFonts w:eastAsia="Times New Roman"/>
                <w:szCs w:val="24"/>
                <w:lang w:eastAsia="tr-TR"/>
              </w:rPr>
              <w:t xml:space="preserve"> ipotek alacaklısının rızasıyla alıcı tarafından </w:t>
            </w:r>
            <w:r w:rsidRPr="00A23740">
              <w:rPr>
                <w:rFonts w:eastAsia="Times New Roman"/>
                <w:b/>
                <w:bCs/>
                <w:color w:val="0000FF"/>
                <w:szCs w:val="24"/>
                <w:lang w:eastAsia="x-none"/>
              </w:rPr>
              <w:t>üstlenilenler</w:t>
            </w:r>
            <w:r w:rsidRPr="00A23740">
              <w:rPr>
                <w:rFonts w:eastAsia="Times New Roman"/>
                <w:szCs w:val="24"/>
                <w:lang w:eastAsia="tr-TR"/>
              </w:rPr>
              <w:t xml:space="preserve"> dışında, gemi üzerindeki bütün ayn</w:t>
            </w:r>
            <w:r w:rsidR="004908DA" w:rsidRPr="00A23740">
              <w:rPr>
                <w:rFonts w:eastAsia="Times New Roman"/>
                <w:szCs w:val="24"/>
                <w:lang w:eastAsia="tr-TR"/>
              </w:rPr>
              <w:t>i</w:t>
            </w:r>
            <w:r w:rsidRPr="00A23740">
              <w:rPr>
                <w:rFonts w:eastAsia="Times New Roman"/>
                <w:szCs w:val="24"/>
                <w:lang w:eastAsia="tr-TR"/>
              </w:rPr>
              <w:t xml:space="preserve"> ve kişisel haklar, külfetler ve sınırlandırmalar sona erer.</w:t>
            </w:r>
          </w:p>
          <w:p w:rsidR="00A46C6E" w:rsidRPr="00A23740" w:rsidRDefault="00A46C6E" w:rsidP="009431FF">
            <w:pPr>
              <w:rPr>
                <w:rFonts w:eastAsia="Times New Roman"/>
                <w:b/>
                <w:bCs/>
                <w:color w:val="0000FF"/>
                <w:szCs w:val="24"/>
                <w:lang w:eastAsia="x-none"/>
              </w:rPr>
            </w:pPr>
          </w:p>
          <w:p w:rsidR="00A46C6E" w:rsidRPr="00A23740" w:rsidRDefault="00A46C6E" w:rsidP="009431FF">
            <w:pPr>
              <w:rPr>
                <w:rFonts w:eastAsia="Times New Roman"/>
                <w:b/>
                <w:bCs/>
                <w:color w:val="0000FF"/>
                <w:szCs w:val="24"/>
                <w:lang w:eastAsia="x-none"/>
              </w:rPr>
            </w:pPr>
            <w:r w:rsidRPr="00136EBC">
              <w:t>(3)</w:t>
            </w:r>
            <w:r w:rsidRPr="00A23740">
              <w:rPr>
                <w:rFonts w:eastAsia="Times New Roman"/>
                <w:b/>
                <w:bCs/>
                <w:color w:val="0000FF"/>
                <w:szCs w:val="24"/>
                <w:lang w:eastAsia="x-none"/>
              </w:rPr>
              <w:t xml:space="preserve"> </w:t>
            </w:r>
            <w:r w:rsidR="00B63618" w:rsidRPr="00E65BE7">
              <w:rPr>
                <w:rStyle w:val="YELChar"/>
                <w:color w:val="0000FF"/>
              </w:rPr>
              <w:t>Geminin satışını gerçekleştiren</w:t>
            </w:r>
            <w:r w:rsidRPr="00E65BE7">
              <w:rPr>
                <w:rFonts w:eastAsia="Times New Roman"/>
                <w:b/>
                <w:bCs/>
                <w:color w:val="0000FF"/>
                <w:szCs w:val="24"/>
                <w:lang w:eastAsia="x-none"/>
              </w:rPr>
              <w:t xml:space="preserve"> icra </w:t>
            </w:r>
            <w:r w:rsidRPr="00E65BE7">
              <w:rPr>
                <w:rFonts w:eastAsia="Times New Roman"/>
                <w:b/>
                <w:bCs/>
                <w:color w:val="0000FF"/>
                <w:szCs w:val="24"/>
                <w:lang w:eastAsia="tr-TR"/>
              </w:rPr>
              <w:t>ve</w:t>
            </w:r>
            <w:r w:rsidRPr="00E65BE7">
              <w:rPr>
                <w:b/>
                <w:color w:val="0000FF"/>
                <w:lang w:eastAsia="tr-TR"/>
              </w:rPr>
              <w:t xml:space="preserve"> </w:t>
            </w:r>
            <w:r w:rsidRPr="00E65BE7">
              <w:rPr>
                <w:rFonts w:eastAsia="Times New Roman"/>
                <w:b/>
                <w:bCs/>
                <w:color w:val="0000FF"/>
                <w:szCs w:val="24"/>
                <w:lang w:eastAsia="tr-TR"/>
              </w:rPr>
              <w:t>iflas</w:t>
            </w:r>
            <w:r w:rsidRPr="00E65BE7">
              <w:rPr>
                <w:rFonts w:eastAsia="Times New Roman"/>
                <w:b/>
                <w:bCs/>
                <w:color w:val="0000FF"/>
                <w:szCs w:val="24"/>
                <w:lang w:eastAsia="x-none"/>
              </w:rPr>
              <w:t xml:space="preserve"> dairesi, teslim</w:t>
            </w:r>
            <w:r w:rsidR="000F4DC6" w:rsidRPr="00E65BE7">
              <w:rPr>
                <w:rFonts w:eastAsia="Times New Roman"/>
                <w:b/>
                <w:bCs/>
                <w:color w:val="0000FF"/>
                <w:szCs w:val="24"/>
                <w:lang w:eastAsia="x-none"/>
              </w:rPr>
              <w:t>le</w:t>
            </w:r>
            <w:r w:rsidRPr="00A23740">
              <w:rPr>
                <w:rFonts w:eastAsia="Times New Roman"/>
                <w:b/>
                <w:bCs/>
                <w:color w:val="0000FF"/>
                <w:szCs w:val="24"/>
                <w:lang w:eastAsia="x-none"/>
              </w:rPr>
              <w:t xml:space="preserve"> birlikte alıcının talebi üzerine, ipotek alacaklısının rızasıyla alıcı tarafından üstlenilenler dışında, gemi üzerindeki bütün ayn</w:t>
            </w:r>
            <w:r w:rsidR="004908DA" w:rsidRPr="00A23740">
              <w:rPr>
                <w:rFonts w:eastAsia="Times New Roman"/>
                <w:b/>
                <w:bCs/>
                <w:color w:val="0000FF"/>
                <w:szCs w:val="24"/>
                <w:lang w:eastAsia="x-none"/>
              </w:rPr>
              <w:t>i</w:t>
            </w:r>
            <w:r w:rsidRPr="00A23740">
              <w:rPr>
                <w:rFonts w:eastAsia="Times New Roman"/>
                <w:b/>
                <w:bCs/>
                <w:color w:val="0000FF"/>
                <w:szCs w:val="24"/>
                <w:lang w:eastAsia="x-none"/>
              </w:rPr>
              <w:t xml:space="preserve"> ve kişisel haklar, külfetler ve sınırlandırmalar sona ermiş olarak geminin mülkiyetinin alıcıya devredildiğine dair belge düzenler. </w:t>
            </w:r>
          </w:p>
          <w:p w:rsidR="00A46C6E" w:rsidRDefault="00A46C6E" w:rsidP="009431FF">
            <w:pPr>
              <w:rPr>
                <w:rFonts w:eastAsia="Times New Roman"/>
                <w:b/>
                <w:bCs/>
                <w:color w:val="0000FF"/>
                <w:szCs w:val="24"/>
                <w:lang w:eastAsia="x-none"/>
              </w:rPr>
            </w:pPr>
          </w:p>
          <w:p w:rsidR="00AE5B12" w:rsidRDefault="00AE5B12" w:rsidP="009431FF">
            <w:pPr>
              <w:rPr>
                <w:rFonts w:eastAsia="Times New Roman"/>
                <w:b/>
                <w:bCs/>
                <w:color w:val="0000FF"/>
                <w:szCs w:val="24"/>
                <w:lang w:eastAsia="x-none"/>
              </w:rPr>
            </w:pPr>
          </w:p>
          <w:p w:rsidR="005750C7" w:rsidRPr="00A23740" w:rsidRDefault="005750C7" w:rsidP="009431FF">
            <w:pPr>
              <w:rPr>
                <w:rFonts w:eastAsia="Times New Roman"/>
                <w:b/>
                <w:bCs/>
                <w:color w:val="0000FF"/>
                <w:szCs w:val="24"/>
                <w:lang w:eastAsia="x-none"/>
              </w:rPr>
            </w:pPr>
          </w:p>
          <w:p w:rsidR="00A46C6E" w:rsidRPr="00A23740" w:rsidRDefault="00A46C6E" w:rsidP="009431FF">
            <w:pPr>
              <w:rPr>
                <w:b/>
                <w:bCs/>
                <w:color w:val="0000FF"/>
                <w:lang w:val="x-none" w:eastAsia="x-none"/>
              </w:rPr>
            </w:pPr>
            <w:r w:rsidRPr="00A23740">
              <w:rPr>
                <w:b/>
                <w:bCs/>
                <w:color w:val="0000FF"/>
                <w:lang w:val="x-none" w:eastAsia="x-none"/>
              </w:rPr>
              <w:t>(4)</w:t>
            </w:r>
            <w:r w:rsidRPr="00A23740">
              <w:rPr>
                <w:rFonts w:eastAsia="Times New Roman"/>
                <w:b/>
                <w:bCs/>
                <w:color w:val="0000FF"/>
                <w:szCs w:val="24"/>
                <w:lang w:eastAsia="x-none"/>
              </w:rPr>
              <w:t xml:space="preserve"> Alıcının maliki olduğu gemi, bir</w:t>
            </w:r>
            <w:r w:rsidRPr="00A23740">
              <w:rPr>
                <w:rFonts w:eastAsia="Times New Roman"/>
                <w:szCs w:val="24"/>
                <w:lang w:eastAsia="tr-TR"/>
              </w:rPr>
              <w:t xml:space="preserve"> Türk gemi sicilin</w:t>
            </w:r>
            <w:r w:rsidRPr="00A23740">
              <w:rPr>
                <w:b/>
                <w:bCs/>
                <w:color w:val="0000FF"/>
                <w:lang w:val="x-none" w:eastAsia="x-none"/>
              </w:rPr>
              <w:t>de</w:t>
            </w:r>
            <w:r w:rsidRPr="00A23740">
              <w:rPr>
                <w:rFonts w:eastAsia="Times New Roman"/>
                <w:szCs w:val="24"/>
                <w:lang w:eastAsia="tr-TR"/>
              </w:rPr>
              <w:t xml:space="preserve"> kayıtlı </w:t>
            </w:r>
            <w:r w:rsidRPr="00A23740">
              <w:rPr>
                <w:b/>
                <w:bCs/>
                <w:color w:val="0000FF"/>
                <w:lang w:val="x-none" w:eastAsia="x-none"/>
              </w:rPr>
              <w:t>ise, alıcının</w:t>
            </w:r>
            <w:r w:rsidRPr="00A23740">
              <w:rPr>
                <w:rFonts w:eastAsia="Times New Roman"/>
                <w:szCs w:val="24"/>
                <w:lang w:eastAsia="tr-TR"/>
              </w:rPr>
              <w:t xml:space="preserve"> icra </w:t>
            </w:r>
            <w:r w:rsidRPr="00A23740">
              <w:rPr>
                <w:b/>
                <w:bCs/>
                <w:color w:val="0000FF"/>
                <w:lang w:val="x-none" w:eastAsia="x-none"/>
              </w:rPr>
              <w:t>ve</w:t>
            </w:r>
            <w:r w:rsidRPr="00A23740">
              <w:rPr>
                <w:b/>
                <w:color w:val="00CC00"/>
                <w:lang w:eastAsia="tr-TR"/>
              </w:rPr>
              <w:t xml:space="preserve"> </w:t>
            </w:r>
            <w:r w:rsidRPr="00A23740">
              <w:rPr>
                <w:b/>
                <w:bCs/>
                <w:color w:val="0000FF"/>
                <w:lang w:val="x-none" w:eastAsia="x-none"/>
              </w:rPr>
              <w:t>iflas</w:t>
            </w:r>
            <w:r w:rsidRPr="00A23740">
              <w:rPr>
                <w:rFonts w:eastAsia="Times New Roman"/>
                <w:szCs w:val="24"/>
                <w:lang w:eastAsia="tr-TR"/>
              </w:rPr>
              <w:t xml:space="preserve"> dairesi </w:t>
            </w:r>
            <w:r w:rsidRPr="00A23740">
              <w:rPr>
                <w:b/>
                <w:bCs/>
                <w:color w:val="0000FF"/>
                <w:lang w:val="x-none" w:eastAsia="x-none"/>
              </w:rPr>
              <w:t>tarafından düzenlenen belgeyi gemi sicil müdürlüğüne sunması üzerine, gemi sicil müdürü, duruma ve yeni malikin talebine uygun şekilde ya gemiyi sicilden terkin edip terkine dair belge düzenler ya da alıcıyı malik olarak sicile tescil ve ipotek alacaklısının rızasıyla alıcı tarafından üstlenilenler dışında sicile kayıtlı bütün ayn</w:t>
            </w:r>
            <w:r w:rsidR="004908DA" w:rsidRPr="00A23740">
              <w:rPr>
                <w:b/>
                <w:bCs/>
                <w:color w:val="0000FF"/>
                <w:lang w:eastAsia="x-none"/>
              </w:rPr>
              <w:t>i</w:t>
            </w:r>
            <w:r w:rsidRPr="00A23740">
              <w:rPr>
                <w:b/>
                <w:bCs/>
                <w:color w:val="0000FF"/>
                <w:lang w:val="x-none" w:eastAsia="x-none"/>
              </w:rPr>
              <w:t xml:space="preserve"> ve kişisel haklar ile sınırlandırmaları</w:t>
            </w:r>
            <w:r w:rsidRPr="00A23740">
              <w:rPr>
                <w:rFonts w:eastAsia="Times New Roman"/>
                <w:szCs w:val="24"/>
                <w:lang w:eastAsia="tr-TR"/>
              </w:rPr>
              <w:t xml:space="preserve"> terkin </w:t>
            </w:r>
            <w:r w:rsidRPr="00A23740">
              <w:rPr>
                <w:b/>
                <w:bCs/>
                <w:color w:val="0000FF"/>
                <w:lang w:val="x-none" w:eastAsia="x-none"/>
              </w:rPr>
              <w:t xml:space="preserve">eder. </w:t>
            </w:r>
          </w:p>
          <w:p w:rsidR="00A46C6E" w:rsidRPr="00A23740" w:rsidRDefault="00A46C6E" w:rsidP="009431FF">
            <w:pPr>
              <w:rPr>
                <w:b/>
                <w:bCs/>
                <w:color w:val="0000FF"/>
                <w:lang w:val="x-none" w:eastAsia="x-none"/>
              </w:rPr>
            </w:pPr>
          </w:p>
          <w:p w:rsidR="00FA175B" w:rsidRDefault="00A46C6E" w:rsidP="009431FF">
            <w:pPr>
              <w:rPr>
                <w:b/>
                <w:bCs/>
                <w:color w:val="0000CC"/>
                <w:szCs w:val="24"/>
              </w:rPr>
            </w:pPr>
            <w:r w:rsidRPr="00A23740">
              <w:rPr>
                <w:b/>
                <w:bCs/>
                <w:color w:val="0000FF"/>
                <w:lang w:val="x-none" w:eastAsia="x-none"/>
              </w:rPr>
              <w:t>(5) Alıcının maliki olduğu gemi</w:t>
            </w:r>
            <w:r w:rsidRPr="00A23740">
              <w:rPr>
                <w:rFonts w:eastAsia="Times New Roman"/>
                <w:szCs w:val="24"/>
                <w:lang w:eastAsia="tr-TR"/>
              </w:rPr>
              <w:t xml:space="preserve"> yabancı sicil</w:t>
            </w:r>
            <w:r w:rsidRPr="00A23740">
              <w:rPr>
                <w:b/>
                <w:bCs/>
                <w:color w:val="0000FF"/>
                <w:lang w:val="x-none" w:eastAsia="x-none"/>
              </w:rPr>
              <w:t>de</w:t>
            </w:r>
            <w:r w:rsidRPr="00A23740">
              <w:rPr>
                <w:rFonts w:eastAsia="Times New Roman"/>
                <w:szCs w:val="24"/>
                <w:lang w:eastAsia="tr-TR"/>
              </w:rPr>
              <w:t xml:space="preserve"> kayıtlı </w:t>
            </w:r>
            <w:r w:rsidRPr="00A23740">
              <w:rPr>
                <w:b/>
                <w:bCs/>
                <w:color w:val="0000FF"/>
                <w:lang w:val="x-none" w:eastAsia="x-none"/>
              </w:rPr>
              <w:t>bir</w:t>
            </w:r>
            <w:r w:rsidRPr="00A23740">
              <w:rPr>
                <w:rFonts w:eastAsia="Times New Roman"/>
                <w:szCs w:val="24"/>
                <w:lang w:eastAsia="tr-TR"/>
              </w:rPr>
              <w:t xml:space="preserve"> gemi</w:t>
            </w:r>
            <w:r w:rsidRPr="00A23740">
              <w:rPr>
                <w:b/>
                <w:bCs/>
                <w:color w:val="0000CC"/>
                <w:szCs w:val="24"/>
              </w:rPr>
              <w:t xml:space="preserve"> </w:t>
            </w:r>
            <w:r w:rsidRPr="00A23740">
              <w:rPr>
                <w:b/>
                <w:bCs/>
                <w:color w:val="0000FF"/>
                <w:lang w:val="x-none" w:eastAsia="x-none"/>
              </w:rPr>
              <w:t>ise, icra ve iflas dairesi, alıcının talebi üzerine bu maddenin üçüncü fıkrası uyarınca düzenleyeceği belgenin bir örneğini,</w:t>
            </w:r>
            <w:r w:rsidRPr="00A23740">
              <w:rPr>
                <w:rFonts w:eastAsia="Times New Roman"/>
                <w:szCs w:val="24"/>
                <w:lang w:eastAsia="tr-TR"/>
              </w:rPr>
              <w:t xml:space="preserve"> geminin bayrağını taşıdığı devletin en yakın konsolosluğuna </w:t>
            </w:r>
            <w:r w:rsidRPr="00A23740">
              <w:rPr>
                <w:b/>
                <w:bCs/>
                <w:color w:val="0000FF"/>
                <w:lang w:val="x-none" w:eastAsia="x-none"/>
              </w:rPr>
              <w:t>da gönderir.</w:t>
            </w:r>
            <w:r w:rsidRPr="00A23740">
              <w:rPr>
                <w:b/>
                <w:bCs/>
                <w:color w:val="0000CC"/>
                <w:szCs w:val="24"/>
              </w:rPr>
              <w:t xml:space="preserve"> </w:t>
            </w:r>
          </w:p>
          <w:p w:rsidR="00FA175B" w:rsidRPr="00A23740" w:rsidRDefault="00FA175B" w:rsidP="009431FF"/>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bCs/>
                <w:szCs w:val="24"/>
                <w:lang w:eastAsia="tr-TR"/>
              </w:rPr>
            </w:pPr>
          </w:p>
          <w:p w:rsidR="00A46C6E" w:rsidRPr="00A23740" w:rsidRDefault="003B700B" w:rsidP="009431FF">
            <w:pPr>
              <w:ind w:firstLine="709"/>
              <w:rPr>
                <w:rFonts w:eastAsia="Times New Roman"/>
                <w:b/>
                <w:bCs/>
                <w:szCs w:val="24"/>
                <w:lang w:eastAsia="tr-TR"/>
              </w:rPr>
            </w:pPr>
            <w:r w:rsidRPr="00A23740">
              <w:rPr>
                <w:rFonts w:eastAsia="Times New Roman"/>
                <w:b/>
                <w:bCs/>
                <w:szCs w:val="24"/>
                <w:lang w:eastAsia="tr-TR"/>
              </w:rPr>
              <w:t>MADDE 477</w:t>
            </w:r>
            <w:r w:rsidR="00A46C6E" w:rsidRPr="00A23740">
              <w:rPr>
                <w:rFonts w:eastAsia="Times New Roman"/>
                <w:b/>
                <w:bCs/>
                <w:szCs w:val="24"/>
                <w:lang w:eastAsia="tr-TR"/>
              </w:rPr>
              <w:t xml:space="preserve">- </w:t>
            </w:r>
            <w:bookmarkStart w:id="33" w:name="_Hlk172878829"/>
            <w:r w:rsidR="00A46C6E" w:rsidRPr="00A23740">
              <w:rPr>
                <w:bCs/>
                <w:szCs w:val="24"/>
                <w:lang w:eastAsia="x-none"/>
              </w:rPr>
              <w:t xml:space="preserve">Maddeyle, </w:t>
            </w:r>
            <w:r w:rsidR="00A46C6E" w:rsidRPr="00A23740">
              <w:rPr>
                <w:rFonts w:eastAsia="Times New Roman"/>
                <w:szCs w:val="24"/>
              </w:rPr>
              <w:t>artırma suretiyle satış ve</w:t>
            </w:r>
            <w:r w:rsidR="00A46C6E" w:rsidRPr="00A23740">
              <w:rPr>
                <w:rFonts w:eastAsia="Times New Roman"/>
                <w:b/>
              </w:rPr>
              <w:t xml:space="preserve"> </w:t>
            </w:r>
            <w:r w:rsidR="00A46C6E" w:rsidRPr="00A23740">
              <w:rPr>
                <w:rFonts w:eastAsia="Times New Roman"/>
                <w:szCs w:val="24"/>
              </w:rPr>
              <w:t>sonucuna ilişkin</w:t>
            </w:r>
            <w:r w:rsidR="00A46C6E" w:rsidRPr="00A23740">
              <w:rPr>
                <w:bCs/>
                <w:szCs w:val="24"/>
                <w:lang w:eastAsia="x-none"/>
              </w:rPr>
              <w:t xml:space="preserve"> hususlar düzenlenmektedir.</w:t>
            </w:r>
            <w:bookmarkEnd w:id="33"/>
          </w:p>
          <w:p w:rsidR="00A46C6E" w:rsidRPr="00A23740" w:rsidRDefault="00A46C6E" w:rsidP="009431FF">
            <w:pPr>
              <w:ind w:firstLine="709"/>
              <w:rPr>
                <w:rFonts w:eastAsia="Times New Roman"/>
                <w:szCs w:val="24"/>
              </w:rPr>
            </w:pPr>
            <w:r w:rsidRPr="00A23740">
              <w:rPr>
                <w:rFonts w:eastAsia="Times New Roman"/>
                <w:szCs w:val="24"/>
              </w:rPr>
              <w:t>Pazarlık suretiyle satış</w:t>
            </w:r>
            <w:r w:rsidR="00CC7FE2" w:rsidRPr="00A23740">
              <w:rPr>
                <w:rFonts w:eastAsia="Times New Roman"/>
                <w:szCs w:val="24"/>
              </w:rPr>
              <w:t xml:space="preserve"> </w:t>
            </w:r>
            <w:r w:rsidR="00CC7FE2" w:rsidRPr="00D93F6E">
              <w:rPr>
                <w:rStyle w:val="KonuBalChar"/>
                <w:rFonts w:eastAsia="Calibri"/>
                <w:b w:val="0"/>
                <w:color w:val="auto"/>
              </w:rPr>
              <w:t>479 uncu</w:t>
            </w:r>
            <w:r w:rsidRPr="00A23740">
              <w:rPr>
                <w:rFonts w:eastAsia="Times New Roman"/>
                <w:szCs w:val="24"/>
              </w:rPr>
              <w:t xml:space="preserve"> maddede düzenlendiğinden ve bu maddede sadece artırma suretiyle satış ve sonucu hakkında düzenleme getirildiğinden, maddenin kenar başlığı “</w:t>
            </w:r>
            <w:r w:rsidRPr="00A23740">
              <w:rPr>
                <w:rFonts w:eastAsia="Times New Roman"/>
                <w:i/>
                <w:iCs/>
                <w:szCs w:val="24"/>
              </w:rPr>
              <w:t>artırma suretiyle satış ve sonucu</w:t>
            </w:r>
            <w:r w:rsidRPr="00A23740">
              <w:rPr>
                <w:rFonts w:eastAsia="Times New Roman"/>
                <w:szCs w:val="24"/>
              </w:rPr>
              <w:t xml:space="preserve">” şeklinde belirlenmiş; maddenin birinci fıkrasının birinci cümlesinde öncelikle artırma suretiyle satış hakkında uygulanacak maddelerin açıkça belirtilmesi gerekli görülmüştür. Bu maddede sadece geminin açık artırma suretiyle satışı ve sonucu düzenlendiğinden, 6102 sayılı Kanunun 1388 inci maddesinin birinci fıkrasında yer alan “veya satıldığı” ibaresinin </w:t>
            </w:r>
            <w:r w:rsidR="006E311B" w:rsidRPr="00A23740">
              <w:rPr>
                <w:rFonts w:eastAsia="Times New Roman"/>
                <w:szCs w:val="24"/>
              </w:rPr>
              <w:t xml:space="preserve">metinden </w:t>
            </w:r>
            <w:r w:rsidRPr="00A23740">
              <w:rPr>
                <w:rFonts w:eastAsia="Times New Roman"/>
                <w:szCs w:val="24"/>
              </w:rPr>
              <w:t xml:space="preserve">çıkarılması gerekmiştir. </w:t>
            </w:r>
            <w:bookmarkStart w:id="34" w:name="_Hlk172704454"/>
            <w:r w:rsidRPr="00A23740">
              <w:rPr>
                <w:rFonts w:eastAsia="Times New Roman"/>
                <w:szCs w:val="24"/>
              </w:rPr>
              <w:t xml:space="preserve">6102 sayılı Kanunun </w:t>
            </w:r>
            <w:bookmarkEnd w:id="34"/>
            <w:r w:rsidRPr="00A23740">
              <w:rPr>
                <w:rFonts w:eastAsia="Times New Roman"/>
                <w:szCs w:val="24"/>
              </w:rPr>
              <w:t>1388 inci maddesinin birinci fıkrasına göre artırma suretiyle satışta alıcı</w:t>
            </w:r>
            <w:r w:rsidR="006E311B" w:rsidRPr="00A23740">
              <w:rPr>
                <w:rFonts w:eastAsia="Times New Roman"/>
                <w:szCs w:val="24"/>
              </w:rPr>
              <w:t>,</w:t>
            </w:r>
            <w:r w:rsidRPr="00A23740">
              <w:rPr>
                <w:rFonts w:eastAsia="Times New Roman"/>
                <w:szCs w:val="24"/>
              </w:rPr>
              <w:t xml:space="preserve"> gemi kendisine ihale edildiği anda geminin mülkiyetini iktisap eder. Geminin alıcıya ihale edildiği anda alıcının mülkiyeti iktisap etmesi, Taslağın</w:t>
            </w:r>
            <w:r w:rsidR="005306FC" w:rsidRPr="00A23740">
              <w:rPr>
                <w:rFonts w:eastAsia="Times New Roman"/>
                <w:szCs w:val="24"/>
              </w:rPr>
              <w:t xml:space="preserve"> </w:t>
            </w:r>
            <w:r w:rsidR="005306FC" w:rsidRPr="00D93F6E">
              <w:rPr>
                <w:rStyle w:val="KonuBalChar"/>
                <w:rFonts w:eastAsia="Calibri"/>
                <w:b w:val="0"/>
                <w:color w:val="auto"/>
              </w:rPr>
              <w:t>247 nci</w:t>
            </w:r>
            <w:r w:rsidRPr="00A23740">
              <w:rPr>
                <w:rFonts w:eastAsia="Times New Roman"/>
                <w:szCs w:val="24"/>
              </w:rPr>
              <w:t xml:space="preserve"> maddesinin birinci fıkrası</w:t>
            </w:r>
            <w:r w:rsidR="006E311B" w:rsidRPr="00A23740">
              <w:rPr>
                <w:rFonts w:eastAsia="Times New Roman"/>
                <w:szCs w:val="24"/>
              </w:rPr>
              <w:t>yla</w:t>
            </w:r>
            <w:r w:rsidRPr="00A23740">
              <w:rPr>
                <w:rFonts w:eastAsia="Times New Roman"/>
                <w:szCs w:val="24"/>
              </w:rPr>
              <w:t xml:space="preserve"> uyumlu olması yanında</w:t>
            </w:r>
            <w:r w:rsidR="006E311B" w:rsidRPr="00A23740">
              <w:rPr>
                <w:rFonts w:eastAsia="Times New Roman"/>
                <w:szCs w:val="24"/>
              </w:rPr>
              <w:t>,</w:t>
            </w:r>
            <w:r w:rsidRPr="00A23740">
              <w:rPr>
                <w:rFonts w:eastAsia="Times New Roman"/>
                <w:szCs w:val="24"/>
              </w:rPr>
              <w:t xml:space="preserve"> iktisap anından itibaren yarar ve hasarın alıcıya ait olması sebebiyle de alacaklıların menfaatinedir. Bu nedenle maddenin birinci fıkrasının ikinci cümlesinde</w:t>
            </w:r>
            <w:r w:rsidR="006E311B" w:rsidRPr="00A23740">
              <w:rPr>
                <w:rFonts w:eastAsia="Times New Roman"/>
                <w:szCs w:val="24"/>
              </w:rPr>
              <w:t>;</w:t>
            </w:r>
            <w:r w:rsidRPr="00A23740">
              <w:rPr>
                <w:rFonts w:eastAsia="Times New Roman"/>
                <w:szCs w:val="24"/>
              </w:rPr>
              <w:t xml:space="preserve"> “geminin, artırmanın sona erdiği gün ve saatte en yüksek teklifi verene ihale edilmiş olacağı ve alıcının gemi kendisine ihale edilmiş olduğu anda geminin mülkiyetini iktisap edeceği” hükmüne yer verilmiştir.</w:t>
            </w:r>
          </w:p>
          <w:p w:rsidR="00A46C6E" w:rsidRPr="00A23740" w:rsidRDefault="00A46C6E" w:rsidP="009431FF">
            <w:pPr>
              <w:ind w:firstLine="709"/>
              <w:rPr>
                <w:rFonts w:eastAsia="Times New Roman"/>
                <w:szCs w:val="24"/>
              </w:rPr>
            </w:pPr>
            <w:r w:rsidRPr="00A23740">
              <w:rPr>
                <w:rFonts w:eastAsia="Times New Roman"/>
                <w:szCs w:val="24"/>
              </w:rPr>
              <w:t xml:space="preserve">Taslağın </w:t>
            </w:r>
            <w:r w:rsidR="005306FC" w:rsidRPr="00D93F6E">
              <w:rPr>
                <w:rStyle w:val="KonuBalChar"/>
                <w:rFonts w:eastAsia="Calibri"/>
                <w:b w:val="0"/>
                <w:color w:val="auto"/>
              </w:rPr>
              <w:t>247 nci</w:t>
            </w:r>
            <w:r w:rsidR="005306FC" w:rsidRPr="00A23740">
              <w:rPr>
                <w:rFonts w:eastAsia="Times New Roman"/>
                <w:szCs w:val="24"/>
              </w:rPr>
              <w:t xml:space="preserve"> </w:t>
            </w:r>
            <w:r w:rsidRPr="00A23740">
              <w:rPr>
                <w:rFonts w:eastAsia="Times New Roman"/>
                <w:szCs w:val="24"/>
              </w:rPr>
              <w:t xml:space="preserve">maddesinin birinci fıkrasında “ihale edildiği anda malın mülkiyetinin ihale alıcısına geçtiği; ancak ihale kesinleşmedikçe alıcı adına tescil yapılmayacağı ve malın teslim edilmeyeceği” öngörülmüştür. Bu düzenleme doğrultusunda, 6102 sayılı Kanunun 1388 inci maddesinin ikinci fıkrası, bu fıkrada yer alan “… </w:t>
            </w:r>
            <w:r w:rsidRPr="00A23740">
              <w:rPr>
                <w:rFonts w:eastAsia="Times New Roman"/>
                <w:i/>
                <w:iCs/>
                <w:szCs w:val="24"/>
              </w:rPr>
              <w:t>satış bedeli icra dairesine ödendiği anda</w:t>
            </w:r>
            <w:r w:rsidRPr="00A23740">
              <w:rPr>
                <w:rFonts w:eastAsia="Times New Roman"/>
                <w:szCs w:val="24"/>
              </w:rPr>
              <w:t xml:space="preserve"> …” ibaresinin, “… </w:t>
            </w:r>
            <w:r w:rsidRPr="00A23740">
              <w:rPr>
                <w:rFonts w:eastAsia="Times New Roman"/>
                <w:i/>
                <w:iCs/>
                <w:szCs w:val="24"/>
              </w:rPr>
              <w:t>yapılan ihalenin kesinleşmesiyle</w:t>
            </w:r>
            <w:r w:rsidRPr="00A23740">
              <w:rPr>
                <w:rFonts w:eastAsia="Times New Roman"/>
                <w:szCs w:val="24"/>
              </w:rPr>
              <w:t xml:space="preserve"> …” şeklinde değiştirilmesi gerekli görülmüş ve maddenin ikinci fıkrasında “bayrağına ve sicile kayıtlı olup olmadığına bakılmaksızın açık artırma suretiyle satılan bir geminin, yapılan ihalenin kesinleşmesiyle ihale alı</w:t>
            </w:r>
            <w:r w:rsidR="00535D4A" w:rsidRPr="00A23740">
              <w:rPr>
                <w:rFonts w:eastAsia="Times New Roman"/>
                <w:szCs w:val="24"/>
              </w:rPr>
              <w:t>cısına teslim edileceği ve bu hâ</w:t>
            </w:r>
            <w:r w:rsidRPr="00A23740">
              <w:rPr>
                <w:rFonts w:eastAsia="Times New Roman"/>
                <w:szCs w:val="24"/>
              </w:rPr>
              <w:t>lde ipotek alacaklısının rızasıyla alıcı tarafından üstlenilenler dışında gemi üzerindeki bütün ayn</w:t>
            </w:r>
            <w:r w:rsidR="00AC45AD" w:rsidRPr="00A23740">
              <w:rPr>
                <w:rFonts w:eastAsia="Times New Roman"/>
                <w:szCs w:val="24"/>
              </w:rPr>
              <w:t>i</w:t>
            </w:r>
            <w:r w:rsidRPr="00A23740">
              <w:rPr>
                <w:rFonts w:eastAsia="Times New Roman"/>
                <w:szCs w:val="24"/>
              </w:rPr>
              <w:t xml:space="preserve"> ve kişisel hakların, külfetlerin ve sınırlandırmaların sona ereceği” belirtilmiştir. </w:t>
            </w:r>
          </w:p>
          <w:p w:rsidR="00A46C6E" w:rsidRPr="00A23740" w:rsidRDefault="00A46C6E" w:rsidP="009431FF">
            <w:pPr>
              <w:ind w:firstLine="709"/>
              <w:rPr>
                <w:rFonts w:eastAsia="Times New Roman"/>
                <w:szCs w:val="24"/>
              </w:rPr>
            </w:pPr>
            <w:r w:rsidRPr="00A23740">
              <w:rPr>
                <w:rFonts w:eastAsia="Times New Roman"/>
                <w:szCs w:val="24"/>
              </w:rPr>
              <w:t xml:space="preserve">1993 </w:t>
            </w:r>
            <w:r w:rsidR="003205AA" w:rsidRPr="00D93F6E">
              <w:rPr>
                <w:rStyle w:val="KonuBalChar"/>
                <w:rFonts w:eastAsia="Calibri"/>
                <w:b w:val="0"/>
                <w:color w:val="auto"/>
              </w:rPr>
              <w:t>tarihli Milletlerarası Sözleşme</w:t>
            </w:r>
            <w:r w:rsidR="003205AA" w:rsidRPr="00D93F6E">
              <w:rPr>
                <w:rStyle w:val="KonuBalChar"/>
                <w:rFonts w:eastAsia="Calibri"/>
                <w:b w:val="0"/>
                <w:color w:val="auto"/>
                <w:lang w:val="tr-TR"/>
              </w:rPr>
              <w:t>nin</w:t>
            </w:r>
            <w:r w:rsidR="003205AA" w:rsidRPr="00A23740">
              <w:rPr>
                <w:rFonts w:eastAsia="Times New Roman"/>
                <w:szCs w:val="24"/>
              </w:rPr>
              <w:t xml:space="preserve"> </w:t>
            </w:r>
            <w:r w:rsidRPr="00A23740">
              <w:rPr>
                <w:rFonts w:eastAsia="Times New Roman"/>
                <w:szCs w:val="24"/>
              </w:rPr>
              <w:t>12 nci maddesinin beşinci fıkrası “</w:t>
            </w:r>
            <w:r w:rsidRPr="00A23740">
              <w:rPr>
                <w:rFonts w:eastAsia="Times New Roman"/>
                <w:i/>
                <w:iCs/>
                <w:szCs w:val="24"/>
              </w:rPr>
              <w:t>Bir taraf devlet siciline kayıtlı bir gemi diğer bir taraf devlette cebr</w:t>
            </w:r>
            <w:r w:rsidR="00A949BC" w:rsidRPr="00A23740">
              <w:rPr>
                <w:rFonts w:eastAsia="Times New Roman"/>
                <w:i/>
                <w:iCs/>
                <w:szCs w:val="24"/>
              </w:rPr>
              <w:t>î</w:t>
            </w:r>
            <w:r w:rsidRPr="00A23740">
              <w:rPr>
                <w:rFonts w:eastAsia="Times New Roman"/>
                <w:i/>
                <w:iCs/>
                <w:szCs w:val="24"/>
              </w:rPr>
              <w:t xml:space="preserve"> icra yoluyla satılırsa, alıcının talebi üzerine satışı yapan yetkili makam, geminin alıcı tarafından üstlenilenler dışında tüm tescil edilmiş rehinler, ipotekler veya yükümlülükler ile tüm gemi alacaklısı hakları ve diğer sınırlandırmalar sona ermiş olarak satıldığına dair belge düzenler. Bu belgenin sunulması üzerine sicil müdürlüğü, alıcı tarafından üstlenilenler dışında tüm tescil edilmiş rehinleri, ipotekleri veya yükümlülükleri silmek ve duruma göre ya gemiyi alıcı adına tescil etmek ya da geminin yeniden tescili için terkin belgesi düzenlemekle yükümlüdür</w:t>
            </w:r>
            <w:r w:rsidRPr="00A23740">
              <w:rPr>
                <w:rFonts w:eastAsia="Times New Roman"/>
                <w:szCs w:val="24"/>
              </w:rPr>
              <w:t xml:space="preserve">.” şeklindedir. 2004 sayılı Kanunun 144/a maddesinin ikinci fıkrası yerine </w:t>
            </w:r>
            <w:r w:rsidR="003205AA" w:rsidRPr="00D93F6E">
              <w:rPr>
                <w:rStyle w:val="KonuBalChar"/>
                <w:rFonts w:eastAsia="Calibri"/>
                <w:b w:val="0"/>
                <w:color w:val="auto"/>
              </w:rPr>
              <w:t>Milletlerarası Sözleşme</w:t>
            </w:r>
            <w:r w:rsidR="003205AA" w:rsidRPr="00D93F6E">
              <w:rPr>
                <w:rStyle w:val="KonuBalChar"/>
                <w:rFonts w:eastAsia="Calibri"/>
                <w:b w:val="0"/>
                <w:color w:val="auto"/>
                <w:lang w:val="tr-TR"/>
              </w:rPr>
              <w:t>nin</w:t>
            </w:r>
            <w:r w:rsidR="003205AA" w:rsidRPr="00A23740">
              <w:rPr>
                <w:rFonts w:eastAsia="Times New Roman"/>
                <w:szCs w:val="24"/>
              </w:rPr>
              <w:t xml:space="preserve"> </w:t>
            </w:r>
            <w:r w:rsidRPr="00A23740">
              <w:rPr>
                <w:rFonts w:eastAsia="Times New Roman"/>
                <w:szCs w:val="24"/>
              </w:rPr>
              <w:t xml:space="preserve">12 nci maddesinin ikinci fıkrasına uyum dikkate alınarak </w:t>
            </w:r>
            <w:r w:rsidR="006E311B" w:rsidRPr="00A23740">
              <w:rPr>
                <w:rFonts w:eastAsia="Times New Roman"/>
                <w:szCs w:val="24"/>
              </w:rPr>
              <w:t xml:space="preserve">Taslağın </w:t>
            </w:r>
            <w:r w:rsidRPr="00A23740">
              <w:rPr>
                <w:rFonts w:eastAsia="Times New Roman"/>
                <w:szCs w:val="24"/>
              </w:rPr>
              <w:t>bu madde</w:t>
            </w:r>
            <w:r w:rsidR="006E311B" w:rsidRPr="00A23740">
              <w:rPr>
                <w:rFonts w:eastAsia="Times New Roman"/>
                <w:szCs w:val="24"/>
              </w:rPr>
              <w:t>si</w:t>
            </w:r>
            <w:r w:rsidRPr="00A23740">
              <w:rPr>
                <w:rFonts w:eastAsia="Times New Roman"/>
                <w:szCs w:val="24"/>
              </w:rPr>
              <w:t xml:space="preserve">nin üçüncü, dördüncü ve beşinci fıkralarında açık ve ayrıntılı düzenleme getirilmiştir. </w:t>
            </w:r>
          </w:p>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196116">
            <w:pPr>
              <w:widowControl w:val="0"/>
              <w:rPr>
                <w:rFonts w:eastAsia="Times New Roman"/>
                <w:szCs w:val="24"/>
                <w:lang w:eastAsia="tr-TR"/>
              </w:rPr>
            </w:pPr>
            <w:r w:rsidRPr="00A23740">
              <w:rPr>
                <w:rFonts w:eastAsia="Times New Roman"/>
                <w:b/>
                <w:strike/>
                <w:color w:val="FF0000"/>
                <w:szCs w:val="24"/>
                <w:lang w:eastAsia="tr-TR"/>
              </w:rPr>
              <w:t>5.</w:t>
            </w:r>
            <w:r w:rsidRPr="00A23740">
              <w:rPr>
                <w:rFonts w:eastAsia="Times New Roman"/>
                <w:b/>
                <w:bCs/>
                <w:szCs w:val="24"/>
                <w:lang w:eastAsia="tr-TR"/>
              </w:rPr>
              <w:t xml:space="preserve"> Vaktinden evvel satış</w:t>
            </w:r>
          </w:p>
          <w:p w:rsidR="00A46C6E" w:rsidRPr="00A23740" w:rsidRDefault="00A46C6E" w:rsidP="00196116">
            <w:pPr>
              <w:widowControl w:val="0"/>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1386</w:t>
            </w:r>
            <w:r w:rsidRPr="00A23740">
              <w:rPr>
                <w:rFonts w:eastAsia="Times New Roman"/>
                <w:szCs w:val="24"/>
                <w:lang w:eastAsia="tr-TR"/>
              </w:rPr>
              <w:t xml:space="preserve">- (1) </w:t>
            </w:r>
            <w:r w:rsidRPr="00A23740">
              <w:rPr>
                <w:b/>
                <w:bCs/>
                <w:strike/>
                <w:color w:val="FF0000"/>
                <w:lang w:val="x-none" w:eastAsia="x-none"/>
              </w:rPr>
              <w:t>Türk ve yabancı bayraklı gemilerde, malik aynı zamanda deniz alacağının kişisel borçlusu ise, malikin istemiyle de satış yapılabilir.</w:t>
            </w:r>
          </w:p>
          <w:p w:rsidR="00A46C6E" w:rsidRPr="00A23740" w:rsidRDefault="00A46C6E" w:rsidP="00196116">
            <w:pPr>
              <w:widowControl w:val="0"/>
              <w:rPr>
                <w:rFonts w:eastAsia="Times New Roman"/>
                <w:szCs w:val="24"/>
                <w:lang w:eastAsia="tr-TR"/>
              </w:rPr>
            </w:pPr>
          </w:p>
          <w:p w:rsidR="00A46C6E" w:rsidRPr="00A23740" w:rsidRDefault="00A46C6E" w:rsidP="00196116">
            <w:pPr>
              <w:widowControl w:val="0"/>
              <w:rPr>
                <w:rFonts w:eastAsia="Times New Roman"/>
                <w:szCs w:val="24"/>
                <w:lang w:eastAsia="tr-TR"/>
              </w:rPr>
            </w:pPr>
            <w:r w:rsidRPr="00A23740">
              <w:rPr>
                <w:rFonts w:eastAsia="Times New Roman"/>
                <w:szCs w:val="24"/>
                <w:lang w:eastAsia="tr-TR"/>
              </w:rPr>
              <w:t>(2) Geminin değeri hızla düşer veya korunması fazla masraflı olur</w:t>
            </w:r>
            <w:r w:rsidRPr="00A23740">
              <w:rPr>
                <w:rFonts w:eastAsia="Times New Roman"/>
                <w:b/>
                <w:strike/>
                <w:color w:val="FF0000"/>
                <w:szCs w:val="24"/>
                <w:lang w:eastAsia="tr-TR"/>
              </w:rPr>
              <w:t xml:space="preserve">, özellikle de </w:t>
            </w:r>
            <w:r w:rsidRPr="00A23740">
              <w:rPr>
                <w:rFonts w:eastAsia="Times New Roman"/>
                <w:szCs w:val="24"/>
                <w:lang w:eastAsia="tr-TR"/>
              </w:rPr>
              <w:t xml:space="preserve">yeni gemi alacaklarının doğmasına </w:t>
            </w:r>
            <w:r w:rsidRPr="00A23740">
              <w:rPr>
                <w:rFonts w:eastAsia="Times New Roman"/>
                <w:b/>
                <w:strike/>
                <w:color w:val="FF0000"/>
                <w:szCs w:val="24"/>
                <w:lang w:eastAsia="tr-TR"/>
              </w:rPr>
              <w:t>veya sayılarının artmasına</w:t>
            </w:r>
            <w:r w:rsidRPr="00A23740">
              <w:rPr>
                <w:rFonts w:eastAsia="Times New Roman"/>
                <w:szCs w:val="24"/>
                <w:lang w:eastAsia="tr-TR"/>
              </w:rPr>
              <w:t xml:space="preserve"> yol açarsa, icra müdürü veya alacaklı, ihtiyaten veya kesin olarak haczedilmiş Türk veya yabancı bayraklı geminin vaktinden evvel satılması için icra mahkemesine başvurabilir. </w:t>
            </w:r>
            <w:r w:rsidRPr="00A23740">
              <w:rPr>
                <w:rFonts w:eastAsia="Times New Roman"/>
                <w:b/>
                <w:strike/>
                <w:color w:val="FF0000"/>
                <w:szCs w:val="24"/>
                <w:lang w:eastAsia="tr-TR"/>
              </w:rPr>
              <w:t>İcra mahkemesi,</w:t>
            </w:r>
            <w:r w:rsidRPr="00A23740">
              <w:rPr>
                <w:rFonts w:eastAsia="Times New Roman"/>
                <w:szCs w:val="24"/>
                <w:lang w:eastAsia="tr-TR"/>
              </w:rPr>
              <w:t xml:space="preserve"> </w:t>
            </w:r>
            <w:r w:rsidRPr="00A23740">
              <w:rPr>
                <w:rFonts w:eastAsia="Times New Roman"/>
                <w:b/>
                <w:strike/>
                <w:color w:val="FF0000"/>
                <w:szCs w:val="24"/>
                <w:lang w:eastAsia="tr-TR"/>
              </w:rPr>
              <w:t>dosyadan anlaşılan ilgililerin görüşünü aldıktan sonra bu hususu</w:t>
            </w:r>
            <w:r w:rsidRPr="00A23740">
              <w:rPr>
                <w:rFonts w:eastAsia="Times New Roman"/>
                <w:szCs w:val="24"/>
                <w:lang w:eastAsia="tr-TR"/>
              </w:rPr>
              <w:t xml:space="preserve"> karara bağlar. </w:t>
            </w:r>
            <w:r w:rsidRPr="00A23740">
              <w:rPr>
                <w:rFonts w:eastAsia="Times New Roman"/>
                <w:b/>
                <w:strike/>
                <w:color w:val="FF0000"/>
                <w:szCs w:val="24"/>
                <w:lang w:eastAsia="tr-TR"/>
              </w:rPr>
              <w:t>Bu karara karşı kanun yolu açıktır</w:t>
            </w:r>
            <w:r w:rsidRPr="00A23740">
              <w:rPr>
                <w:rFonts w:eastAsia="Times New Roman"/>
                <w:szCs w:val="24"/>
                <w:lang w:eastAsia="tr-TR"/>
              </w:rPr>
              <w:t xml:space="preserve">. </w:t>
            </w:r>
            <w:r w:rsidRPr="00A23740">
              <w:rPr>
                <w:rFonts w:eastAsia="Times New Roman"/>
                <w:b/>
                <w:strike/>
                <w:color w:val="FF0000"/>
                <w:szCs w:val="24"/>
                <w:lang w:eastAsia="tr-TR"/>
              </w:rPr>
              <w:t>Başvurulan</w:t>
            </w:r>
            <w:r w:rsidRPr="00A23740">
              <w:rPr>
                <w:rFonts w:eastAsia="Times New Roman"/>
                <w:szCs w:val="24"/>
                <w:lang w:eastAsia="tr-TR"/>
              </w:rPr>
              <w:t xml:space="preserve"> mahkeme bu başvuruyu </w:t>
            </w:r>
            <w:r w:rsidRPr="00A23740">
              <w:rPr>
                <w:rFonts w:eastAsia="Times New Roman"/>
                <w:b/>
                <w:strike/>
                <w:color w:val="FF0000"/>
                <w:szCs w:val="24"/>
                <w:lang w:eastAsia="tr-TR"/>
              </w:rPr>
              <w:t>öncelikle</w:t>
            </w:r>
            <w:r w:rsidRPr="00A23740">
              <w:rPr>
                <w:rFonts w:eastAsia="Times New Roman"/>
                <w:szCs w:val="24"/>
                <w:lang w:eastAsia="tr-TR"/>
              </w:rPr>
              <w:t xml:space="preserve"> inceler. </w:t>
            </w:r>
            <w:r w:rsidRPr="00A23740">
              <w:rPr>
                <w:rFonts w:eastAsia="Times New Roman"/>
                <w:b/>
                <w:strike/>
                <w:color w:val="FF0000"/>
                <w:szCs w:val="24"/>
                <w:lang w:eastAsia="tr-TR"/>
              </w:rPr>
              <w:t>Kanun yoluna başvurma, satış kararının uygulanmasını durdurur.</w:t>
            </w:r>
          </w:p>
          <w:p w:rsidR="00A46C6E" w:rsidRPr="00A23740" w:rsidRDefault="00A46C6E" w:rsidP="00196116">
            <w:pPr>
              <w:widowControl w:val="0"/>
              <w:rPr>
                <w:rFonts w:eastAsia="Times New Roman"/>
                <w:szCs w:val="24"/>
                <w:lang w:eastAsia="tr-TR"/>
              </w:rPr>
            </w:pPr>
          </w:p>
          <w:p w:rsidR="00A46C6E" w:rsidRPr="00A23740" w:rsidRDefault="00A46C6E" w:rsidP="00196116">
            <w:pPr>
              <w:widowControl w:val="0"/>
              <w:rPr>
                <w:rFonts w:eastAsia="Times New Roman"/>
                <w:szCs w:val="24"/>
                <w:lang w:eastAsia="tr-TR"/>
              </w:rPr>
            </w:pPr>
          </w:p>
          <w:p w:rsidR="00A46C6E" w:rsidRPr="00A23740" w:rsidRDefault="00A46C6E" w:rsidP="00196116">
            <w:pPr>
              <w:widowControl w:val="0"/>
              <w:rPr>
                <w:rFonts w:eastAsia="Times New Roman"/>
                <w:szCs w:val="24"/>
                <w:lang w:eastAsia="tr-TR"/>
              </w:rPr>
            </w:pPr>
          </w:p>
          <w:p w:rsidR="00706B5D" w:rsidRPr="00A23740" w:rsidRDefault="00706B5D" w:rsidP="00196116">
            <w:pPr>
              <w:widowControl w:val="0"/>
              <w:rPr>
                <w:rFonts w:eastAsia="Times New Roman"/>
                <w:szCs w:val="24"/>
              </w:rPr>
            </w:pPr>
          </w:p>
          <w:p w:rsidR="00A46C6E" w:rsidRPr="00A23740" w:rsidRDefault="00A46C6E" w:rsidP="00196116">
            <w:pPr>
              <w:widowControl w:val="0"/>
              <w:rPr>
                <w:rFonts w:eastAsia="Times New Roman"/>
                <w:b/>
                <w:strike/>
                <w:color w:val="FF0000"/>
                <w:szCs w:val="24"/>
                <w:lang w:eastAsia="x-none"/>
              </w:rPr>
            </w:pPr>
            <w:r w:rsidRPr="00A23740">
              <w:rPr>
                <w:rFonts w:eastAsia="Times New Roman"/>
                <w:szCs w:val="24"/>
              </w:rPr>
              <w:t xml:space="preserve">(3) Gemi veya içindeki eşya; insan, eşya ve çevre güvenliği açısından tehlike gösterirse, icra müdürü veya liman başkanı, ihtiyaten veya kesin olarak haczedilmiş Türk veya yabancı bayraklı geminin vaktinden evvel satılması için icra mahkemesine başvurabilir. Bu başvuru </w:t>
            </w:r>
            <w:r w:rsidRPr="00A23740">
              <w:rPr>
                <w:rFonts w:eastAsia="Times New Roman"/>
                <w:b/>
                <w:strike/>
                <w:color w:val="FF0000"/>
                <w:szCs w:val="24"/>
                <w:lang w:eastAsia="x-none"/>
              </w:rPr>
              <w:t>hakkında ikinci fıkra hükümleri uygulanır; ancak, kanun yoluna başvurma, satış kararının uygulanmasını durdurmaz.</w:t>
            </w:r>
          </w:p>
          <w:p w:rsidR="00A46C6E" w:rsidRPr="00A23740" w:rsidRDefault="00A46C6E" w:rsidP="00196116">
            <w:pPr>
              <w:widowControl w:val="0"/>
              <w:rPr>
                <w:rFonts w:eastAsia="Times New Roman"/>
                <w:szCs w:val="24"/>
              </w:rPr>
            </w:pPr>
          </w:p>
          <w:p w:rsidR="000C5FEA" w:rsidRPr="00A23740" w:rsidRDefault="000C5FEA" w:rsidP="00196116">
            <w:pPr>
              <w:widowControl w:val="0"/>
              <w:rPr>
                <w:rFonts w:eastAsia="Times New Roman"/>
                <w:szCs w:val="24"/>
                <w:lang w:eastAsia="tr-TR"/>
              </w:rPr>
            </w:pPr>
          </w:p>
          <w:p w:rsidR="00A46C6E" w:rsidRDefault="00A46C6E" w:rsidP="00196116">
            <w:pPr>
              <w:widowControl w:val="0"/>
              <w:rPr>
                <w:rFonts w:eastAsia="Times New Roman"/>
                <w:szCs w:val="24"/>
                <w:lang w:eastAsia="tr-TR"/>
              </w:rPr>
            </w:pPr>
            <w:r w:rsidRPr="00A23740">
              <w:rPr>
                <w:rFonts w:eastAsia="Times New Roman"/>
                <w:szCs w:val="24"/>
                <w:lang w:eastAsia="tr-TR"/>
              </w:rPr>
              <w:t xml:space="preserve">(4) İcra </w:t>
            </w:r>
            <w:r w:rsidRPr="00136EBC">
              <w:rPr>
                <w:rStyle w:val="KIRMIZIChar"/>
                <w:rFonts w:eastAsia="Calibri"/>
              </w:rPr>
              <w:t>müdürlüğü</w:t>
            </w:r>
            <w:r w:rsidRPr="00A23740">
              <w:rPr>
                <w:rFonts w:eastAsia="Times New Roman"/>
                <w:szCs w:val="24"/>
                <w:lang w:eastAsia="tr-TR"/>
              </w:rPr>
              <w:t xml:space="preserve"> satış bedelini, hak sahipleri adına, </w:t>
            </w:r>
            <w:r w:rsidRPr="00A23740">
              <w:rPr>
                <w:rFonts w:eastAsia="Times New Roman"/>
                <w:b/>
                <w:strike/>
                <w:color w:val="FF0000"/>
                <w:szCs w:val="24"/>
                <w:lang w:eastAsia="tr-TR"/>
              </w:rPr>
              <w:t>üçer aylık vadeli hesaba dönüştürerek,</w:t>
            </w:r>
            <w:r w:rsidRPr="00A23740">
              <w:rPr>
                <w:rFonts w:eastAsia="Times New Roman"/>
                <w:szCs w:val="24"/>
                <w:lang w:eastAsia="tr-TR"/>
              </w:rPr>
              <w:t xml:space="preserve"> paylaştırma aşamasına kadar nemalandır</w:t>
            </w:r>
            <w:r w:rsidRPr="00A23740">
              <w:rPr>
                <w:rFonts w:eastAsia="Times New Roman"/>
                <w:b/>
                <w:strike/>
                <w:color w:val="FF0000"/>
                <w:szCs w:val="24"/>
                <w:lang w:eastAsia="tr-TR"/>
              </w:rPr>
              <w:t>mak amacıyla icra mahkemesince belirlenecek bankaya yatırır</w:t>
            </w:r>
            <w:r w:rsidRPr="00A23740">
              <w:rPr>
                <w:rFonts w:eastAsia="Times New Roman"/>
                <w:szCs w:val="24"/>
                <w:lang w:eastAsia="tr-TR"/>
              </w:rPr>
              <w:t>.</w:t>
            </w:r>
          </w:p>
          <w:p w:rsidR="00136EBC" w:rsidRPr="00A23740" w:rsidRDefault="00136EBC" w:rsidP="00196116">
            <w:pPr>
              <w:widowControl w:val="0"/>
              <w:rPr>
                <w:rFonts w:eastAsia="Times New Roman"/>
                <w:szCs w:val="24"/>
                <w:lang w:eastAsia="tr-TR"/>
              </w:rPr>
            </w:pPr>
          </w:p>
        </w:tc>
        <w:tc>
          <w:tcPr>
            <w:tcW w:w="2500" w:type="pct"/>
            <w:shd w:val="clear" w:color="auto" w:fill="auto"/>
          </w:tcPr>
          <w:p w:rsidR="00A46C6E" w:rsidRPr="00A23740" w:rsidRDefault="00A46C6E" w:rsidP="00196116">
            <w:pPr>
              <w:widowControl w:val="0"/>
              <w:rPr>
                <w:rFonts w:eastAsia="Times New Roman"/>
                <w:szCs w:val="24"/>
                <w:lang w:eastAsia="tr-TR"/>
              </w:rPr>
            </w:pPr>
            <w:r w:rsidRPr="00A23740">
              <w:rPr>
                <w:rFonts w:eastAsia="Times New Roman"/>
                <w:b/>
                <w:bCs/>
                <w:szCs w:val="24"/>
                <w:lang w:eastAsia="tr-TR"/>
              </w:rPr>
              <w:t>Vaktinden evvel satış</w:t>
            </w:r>
          </w:p>
          <w:p w:rsidR="00A46C6E" w:rsidRPr="00D93F6E" w:rsidRDefault="003B700B" w:rsidP="00196116">
            <w:pPr>
              <w:widowControl w:val="0"/>
              <w:rPr>
                <w:color w:val="0000FF"/>
                <w:lang w:eastAsia="tr-TR"/>
              </w:rPr>
            </w:pPr>
            <w:r w:rsidRPr="00136EBC">
              <w:rPr>
                <w:rFonts w:eastAsia="Times New Roman"/>
                <w:b/>
                <w:bCs/>
                <w:color w:val="000000" w:themeColor="text1"/>
                <w:szCs w:val="24"/>
                <w:lang w:eastAsia="tr-TR"/>
              </w:rPr>
              <w:t xml:space="preserve">MADDE </w:t>
            </w:r>
            <w:r w:rsidRPr="00A23740">
              <w:rPr>
                <w:rFonts w:eastAsia="Times New Roman"/>
                <w:b/>
                <w:bCs/>
                <w:color w:val="0000FF"/>
                <w:szCs w:val="24"/>
                <w:lang w:eastAsia="tr-TR"/>
              </w:rPr>
              <w:t>478</w:t>
            </w:r>
            <w:r w:rsidR="00A46C6E" w:rsidRPr="00A23740">
              <w:rPr>
                <w:rFonts w:eastAsia="Times New Roman"/>
                <w:b/>
                <w:bCs/>
                <w:color w:val="0000FF"/>
                <w:szCs w:val="24"/>
                <w:lang w:eastAsia="tr-TR"/>
              </w:rPr>
              <w:t xml:space="preserve">- </w:t>
            </w:r>
            <w:r w:rsidR="00AC7867" w:rsidRPr="00136EBC">
              <w:t>(1)</w:t>
            </w:r>
            <w:r w:rsidR="00A46C6E" w:rsidRPr="00FA175B">
              <w:rPr>
                <w:rFonts w:eastAsia="Times New Roman"/>
                <w:b/>
                <w:bCs/>
                <w:color w:val="0000FF"/>
                <w:szCs w:val="24"/>
                <w:lang w:eastAsia="tr-TR"/>
              </w:rPr>
              <w:t xml:space="preserve"> Türk ve yabancı bayraklı ge</w:t>
            </w:r>
            <w:r w:rsidR="00AC7867" w:rsidRPr="00FA175B">
              <w:rPr>
                <w:rFonts w:eastAsia="Times New Roman"/>
                <w:b/>
                <w:bCs/>
                <w:color w:val="0000FF"/>
                <w:szCs w:val="24"/>
                <w:lang w:eastAsia="tr-TR"/>
              </w:rPr>
              <w:t>milerin satışı, 213 üncü</w:t>
            </w:r>
            <w:r w:rsidR="007A03A7" w:rsidRPr="00FA175B">
              <w:rPr>
                <w:rFonts w:eastAsia="Times New Roman"/>
                <w:b/>
                <w:bCs/>
                <w:color w:val="0000FF"/>
                <w:szCs w:val="24"/>
                <w:lang w:eastAsia="tr-TR"/>
              </w:rPr>
              <w:t xml:space="preserve"> </w:t>
            </w:r>
            <w:r w:rsidR="00AC7867" w:rsidRPr="00FA175B">
              <w:rPr>
                <w:rFonts w:eastAsia="Times New Roman"/>
                <w:b/>
                <w:bCs/>
                <w:color w:val="0000FF"/>
                <w:szCs w:val="24"/>
                <w:lang w:eastAsia="tr-TR"/>
              </w:rPr>
              <w:t>madde</w:t>
            </w:r>
            <w:r w:rsidR="00A46C6E" w:rsidRPr="00FA175B">
              <w:rPr>
                <w:rFonts w:eastAsia="Times New Roman"/>
                <w:b/>
                <w:bCs/>
                <w:color w:val="0000FF"/>
                <w:szCs w:val="24"/>
                <w:lang w:eastAsia="tr-TR"/>
              </w:rPr>
              <w:t xml:space="preserve">nin birinci fıkrasındaki </w:t>
            </w:r>
            <w:r w:rsidR="00D93F6E" w:rsidRPr="00FA175B">
              <w:rPr>
                <w:rFonts w:eastAsia="Times New Roman"/>
                <w:szCs w:val="24"/>
                <w:lang w:eastAsia="tr-TR"/>
              </w:rPr>
              <w:t>bir ayl</w:t>
            </w:r>
            <w:r w:rsidR="00FD7054">
              <w:rPr>
                <w:rFonts w:eastAsia="Times New Roman"/>
                <w:szCs w:val="24"/>
                <w:lang w:eastAsia="tr-TR"/>
              </w:rPr>
              <w:t>ı</w:t>
            </w:r>
            <w:r w:rsidR="00D93F6E" w:rsidRPr="00FA175B">
              <w:rPr>
                <w:rFonts w:eastAsia="Times New Roman"/>
                <w:szCs w:val="24"/>
                <w:lang w:eastAsia="tr-TR"/>
              </w:rPr>
              <w:t>k</w:t>
            </w:r>
            <w:r w:rsidR="00D93F6E" w:rsidRPr="00FA175B">
              <w:rPr>
                <w:rFonts w:eastAsia="Times New Roman"/>
                <w:b/>
                <w:bCs/>
                <w:color w:val="0000FF"/>
                <w:szCs w:val="24"/>
                <w:lang w:eastAsia="tr-TR"/>
              </w:rPr>
              <w:t xml:space="preserve"> </w:t>
            </w:r>
            <w:r w:rsidR="00A46C6E" w:rsidRPr="00FA175B">
              <w:rPr>
                <w:rFonts w:eastAsia="Times New Roman"/>
                <w:b/>
                <w:bCs/>
                <w:color w:val="0000FF"/>
                <w:szCs w:val="24"/>
                <w:lang w:eastAsia="tr-TR"/>
              </w:rPr>
              <w:t>süreye</w:t>
            </w:r>
            <w:r w:rsidR="009B5406" w:rsidRPr="00FA175B">
              <w:rPr>
                <w:rFonts w:eastAsia="Times New Roman"/>
                <w:b/>
                <w:bCs/>
                <w:color w:val="0000FF"/>
                <w:szCs w:val="24"/>
                <w:lang w:eastAsia="tr-TR"/>
              </w:rPr>
              <w:t xml:space="preserve"> </w:t>
            </w:r>
            <w:r w:rsidR="00A46C6E" w:rsidRPr="00FA175B">
              <w:rPr>
                <w:rFonts w:eastAsia="Times New Roman"/>
                <w:b/>
                <w:bCs/>
                <w:color w:val="0000FF"/>
                <w:szCs w:val="24"/>
                <w:lang w:eastAsia="tr-TR"/>
              </w:rPr>
              <w:t>bakılmaksızın malikin talebi</w:t>
            </w:r>
            <w:r w:rsidR="00640FF0" w:rsidRPr="00FA175B">
              <w:rPr>
                <w:rFonts w:eastAsia="Times New Roman"/>
                <w:b/>
                <w:bCs/>
                <w:color w:val="0000FF"/>
                <w:szCs w:val="24"/>
                <w:lang w:eastAsia="tr-TR"/>
              </w:rPr>
              <w:t>yle</w:t>
            </w:r>
            <w:r w:rsidR="005F16D7">
              <w:rPr>
                <w:rFonts w:eastAsia="Times New Roman"/>
                <w:b/>
                <w:bCs/>
                <w:color w:val="0000FF"/>
                <w:szCs w:val="24"/>
                <w:lang w:eastAsia="tr-TR"/>
              </w:rPr>
              <w:t xml:space="preserve"> de</w:t>
            </w:r>
            <w:r w:rsidR="00A46C6E" w:rsidRPr="00FA175B">
              <w:rPr>
                <w:rFonts w:eastAsia="Times New Roman"/>
                <w:b/>
                <w:bCs/>
                <w:color w:val="0000FF"/>
                <w:szCs w:val="24"/>
                <w:lang w:eastAsia="tr-TR"/>
              </w:rPr>
              <w:t xml:space="preserve"> yapılabilir.</w:t>
            </w:r>
          </w:p>
          <w:p w:rsidR="00D9338C" w:rsidRPr="00A23740" w:rsidRDefault="00D9338C" w:rsidP="00196116">
            <w:pPr>
              <w:widowControl w:val="0"/>
              <w:rPr>
                <w:rFonts w:eastAsia="Times New Roman"/>
                <w:szCs w:val="24"/>
                <w:lang w:eastAsia="tr-TR"/>
              </w:rPr>
            </w:pPr>
          </w:p>
          <w:p w:rsidR="00A46C6E" w:rsidRPr="00A23740" w:rsidRDefault="00A46C6E" w:rsidP="00196116">
            <w:pPr>
              <w:widowControl w:val="0"/>
              <w:rPr>
                <w:b/>
                <w:color w:val="00CC00"/>
                <w:lang w:eastAsia="tr-TR"/>
              </w:rPr>
            </w:pPr>
            <w:r w:rsidRPr="00136EBC">
              <w:t>(2)</w:t>
            </w:r>
            <w:r w:rsidRPr="00A23740">
              <w:rPr>
                <w:rFonts w:eastAsia="Times New Roman"/>
                <w:szCs w:val="24"/>
                <w:lang w:eastAsia="tr-TR"/>
              </w:rPr>
              <w:t xml:space="preserve"> Geminin değeri hızla düşer veya </w:t>
            </w:r>
            <w:r w:rsidRPr="00A23740">
              <w:rPr>
                <w:rFonts w:eastAsia="Times New Roman"/>
                <w:b/>
                <w:bCs/>
                <w:color w:val="0000FF"/>
                <w:szCs w:val="24"/>
                <w:lang w:eastAsia="tr-TR"/>
              </w:rPr>
              <w:t>muhafazası</w:t>
            </w:r>
            <w:r w:rsidRPr="00A23740">
              <w:rPr>
                <w:rFonts w:eastAsia="Times New Roman"/>
                <w:szCs w:val="24"/>
                <w:lang w:eastAsia="tr-TR"/>
              </w:rPr>
              <w:t xml:space="preserve"> fazla masraflı olur </w:t>
            </w:r>
            <w:r w:rsidRPr="00A23740">
              <w:rPr>
                <w:rFonts w:eastAsia="Times New Roman"/>
                <w:b/>
                <w:bCs/>
                <w:color w:val="0000FF"/>
                <w:szCs w:val="24"/>
                <w:lang w:eastAsia="tr-TR"/>
              </w:rPr>
              <w:t>ya da satışın beklenmesi</w:t>
            </w:r>
            <w:r w:rsidRPr="00A23740">
              <w:rPr>
                <w:rFonts w:eastAsia="Times New Roman"/>
                <w:szCs w:val="24"/>
                <w:lang w:eastAsia="tr-TR"/>
              </w:rPr>
              <w:t xml:space="preserve"> yeni gemi alacaklarının doğmasına </w:t>
            </w:r>
            <w:r w:rsidRPr="00A23740">
              <w:rPr>
                <w:rFonts w:eastAsia="Times New Roman"/>
                <w:b/>
                <w:bCs/>
                <w:color w:val="0000FF"/>
                <w:szCs w:val="24"/>
                <w:lang w:eastAsia="tr-TR"/>
              </w:rPr>
              <w:t>yahut mevcut gemi alacaklarının temin ettiği alacak miktarının artmasına</w:t>
            </w:r>
            <w:r w:rsidRPr="00A23740">
              <w:rPr>
                <w:rFonts w:eastAsia="Times New Roman"/>
                <w:szCs w:val="24"/>
                <w:lang w:eastAsia="tr-TR"/>
              </w:rPr>
              <w:t xml:space="preserve"> yol açarsa, icra </w:t>
            </w:r>
            <w:r w:rsidRPr="00A23740">
              <w:rPr>
                <w:rFonts w:eastAsia="Times New Roman"/>
                <w:b/>
                <w:bCs/>
                <w:color w:val="0000FF"/>
                <w:szCs w:val="24"/>
                <w:lang w:eastAsia="tr-TR"/>
              </w:rPr>
              <w:t xml:space="preserve">ve iflas </w:t>
            </w:r>
            <w:r w:rsidRPr="00A23740">
              <w:rPr>
                <w:rFonts w:eastAsia="Times New Roman"/>
                <w:szCs w:val="24"/>
                <w:lang w:eastAsia="tr-TR"/>
              </w:rPr>
              <w:t>müdürü veya alacaklı, ihtiyaten</w:t>
            </w:r>
            <w:r w:rsidR="000C5FEA" w:rsidRPr="00A23740">
              <w:rPr>
                <w:rFonts w:eastAsia="Times New Roman"/>
                <w:szCs w:val="24"/>
                <w:lang w:eastAsia="tr-TR"/>
              </w:rPr>
              <w:t xml:space="preserve"> </w:t>
            </w:r>
            <w:r w:rsidR="000C5FEA" w:rsidRPr="00D93F6E">
              <w:rPr>
                <w:rStyle w:val="YELChar"/>
                <w:color w:val="0000FF"/>
              </w:rPr>
              <w:t>haczedilmiş olanlar da dahil olmak üzere</w:t>
            </w:r>
            <w:r w:rsidRPr="00A23740">
              <w:rPr>
                <w:rStyle w:val="YELChar"/>
              </w:rPr>
              <w:t xml:space="preserve"> </w:t>
            </w:r>
            <w:r w:rsidRPr="00A23740">
              <w:rPr>
                <w:rFonts w:eastAsia="Times New Roman"/>
                <w:szCs w:val="24"/>
                <w:lang w:eastAsia="tr-TR"/>
              </w:rPr>
              <w:t xml:space="preserve">haczedilmiş Türk veya yabancı bayraklı geminin vaktinden evvel satılması için icra </w:t>
            </w:r>
            <w:r w:rsidRPr="00A23740">
              <w:rPr>
                <w:rFonts w:eastAsia="Times New Roman"/>
                <w:b/>
                <w:bCs/>
                <w:color w:val="0000FF"/>
                <w:szCs w:val="24"/>
                <w:lang w:eastAsia="tr-TR"/>
              </w:rPr>
              <w:t>hukuk</w:t>
            </w:r>
            <w:r w:rsidRPr="00A23740">
              <w:rPr>
                <w:rFonts w:eastAsia="Times New Roman"/>
                <w:szCs w:val="24"/>
                <w:lang w:eastAsia="tr-TR"/>
              </w:rPr>
              <w:t xml:space="preserve"> mahkemesine başvurabilir. Mahkeme bu başvuruyu </w:t>
            </w:r>
            <w:r w:rsidRPr="00A23740">
              <w:rPr>
                <w:rFonts w:eastAsia="Times New Roman"/>
                <w:b/>
                <w:bCs/>
                <w:color w:val="0000FF"/>
                <w:szCs w:val="24"/>
                <w:lang w:eastAsia="tr-TR"/>
              </w:rPr>
              <w:t>ivedilikle</w:t>
            </w:r>
            <w:r w:rsidRPr="00A23740">
              <w:rPr>
                <w:rFonts w:eastAsia="Times New Roman"/>
                <w:szCs w:val="24"/>
                <w:lang w:eastAsia="tr-TR"/>
              </w:rPr>
              <w:t xml:space="preserve"> inceler</w:t>
            </w:r>
            <w:r w:rsidRPr="00A23740">
              <w:rPr>
                <w:rFonts w:eastAsia="Times New Roman"/>
                <w:b/>
                <w:bCs/>
                <w:color w:val="0000FF"/>
                <w:szCs w:val="24"/>
                <w:lang w:eastAsia="tr-TR"/>
              </w:rPr>
              <w:t xml:space="preserve">; </w:t>
            </w:r>
            <w:r w:rsidR="00640FF0" w:rsidRPr="00A23740">
              <w:rPr>
                <w:rFonts w:eastAsia="Times New Roman"/>
                <w:b/>
                <w:bCs/>
                <w:color w:val="0000FF"/>
                <w:szCs w:val="24"/>
                <w:lang w:eastAsia="tr-TR"/>
              </w:rPr>
              <w:t xml:space="preserve">başvuruyu ve gerekçesini </w:t>
            </w:r>
            <w:r w:rsidRPr="00A23740">
              <w:rPr>
                <w:rFonts w:eastAsia="Times New Roman"/>
                <w:b/>
                <w:bCs/>
                <w:color w:val="0000FF"/>
                <w:szCs w:val="24"/>
                <w:lang w:eastAsia="tr-TR"/>
              </w:rPr>
              <w:t>derh</w:t>
            </w:r>
            <w:r w:rsidR="00DF22A1" w:rsidRPr="00A23740">
              <w:rPr>
                <w:rFonts w:eastAsia="Times New Roman"/>
                <w:b/>
                <w:bCs/>
                <w:color w:val="0000FF"/>
                <w:szCs w:val="24"/>
                <w:lang w:eastAsia="tr-TR"/>
              </w:rPr>
              <w:t>â</w:t>
            </w:r>
            <w:r w:rsidRPr="00A23740">
              <w:rPr>
                <w:rFonts w:eastAsia="Times New Roman"/>
                <w:b/>
                <w:bCs/>
                <w:color w:val="0000FF"/>
                <w:szCs w:val="24"/>
                <w:lang w:eastAsia="tr-TR"/>
              </w:rPr>
              <w:t>l gemi malikine bildirerek en</w:t>
            </w:r>
            <w:r w:rsidRPr="00A23740">
              <w:rPr>
                <w:rFonts w:eastAsia="Times New Roman"/>
                <w:bCs/>
                <w:color w:val="0000FF"/>
                <w:lang w:eastAsia="tr-TR"/>
              </w:rPr>
              <w:t xml:space="preserve"> </w:t>
            </w:r>
            <w:r w:rsidRPr="00A23740">
              <w:rPr>
                <w:rFonts w:eastAsia="Times New Roman"/>
                <w:b/>
                <w:bCs/>
                <w:color w:val="0000FF"/>
                <w:szCs w:val="24"/>
                <w:lang w:eastAsia="tr-TR"/>
              </w:rPr>
              <w:t>geç iki haftalık kesin süre içinde yazılı beyanda bulunabileceğini ihtar eder. Gemi maliki bu süre içinde beyanda bulunmuşsa bu beyan da dikkate alınarak, derh</w:t>
            </w:r>
            <w:r w:rsidR="00DF22A1" w:rsidRPr="00A23740">
              <w:rPr>
                <w:rFonts w:eastAsia="Times New Roman"/>
                <w:b/>
                <w:bCs/>
                <w:color w:val="0000FF"/>
                <w:szCs w:val="24"/>
                <w:lang w:eastAsia="tr-TR"/>
              </w:rPr>
              <w:t>â</w:t>
            </w:r>
            <w:r w:rsidRPr="00A23740">
              <w:rPr>
                <w:rFonts w:eastAsia="Times New Roman"/>
                <w:b/>
                <w:bCs/>
                <w:color w:val="0000FF"/>
                <w:szCs w:val="24"/>
                <w:lang w:eastAsia="tr-TR"/>
              </w:rPr>
              <w:t>l mahkemece dosya üzerinde inceleme yapılıp başvuru kesin olarak karara bağlanır.</w:t>
            </w:r>
          </w:p>
          <w:p w:rsidR="00A46C6E" w:rsidRPr="00A23740" w:rsidRDefault="00A46C6E" w:rsidP="00196116">
            <w:pPr>
              <w:widowControl w:val="0"/>
              <w:rPr>
                <w:rFonts w:eastAsia="Times New Roman"/>
                <w:szCs w:val="24"/>
                <w:lang w:eastAsia="tr-TR"/>
              </w:rPr>
            </w:pPr>
          </w:p>
          <w:p w:rsidR="00A46C6E" w:rsidRPr="00A23740" w:rsidRDefault="00A46C6E" w:rsidP="00196116">
            <w:pPr>
              <w:widowControl w:val="0"/>
              <w:rPr>
                <w:rFonts w:eastAsia="Times New Roman"/>
                <w:b/>
                <w:strike/>
                <w:color w:val="FF0000"/>
                <w:szCs w:val="24"/>
                <w:lang w:eastAsia="x-none"/>
              </w:rPr>
            </w:pPr>
            <w:r w:rsidRPr="00136EBC">
              <w:t>(3)</w:t>
            </w:r>
            <w:r w:rsidRPr="00A23740">
              <w:rPr>
                <w:rFonts w:eastAsia="Times New Roman"/>
                <w:szCs w:val="24"/>
                <w:lang w:eastAsia="tr-TR"/>
              </w:rPr>
              <w:t xml:space="preserve"> Gemi veya içindeki eşya, </w:t>
            </w:r>
            <w:r w:rsidRPr="00A23740">
              <w:rPr>
                <w:rFonts w:eastAsia="Times New Roman"/>
                <w:b/>
                <w:bCs/>
                <w:color w:val="0000FF"/>
                <w:szCs w:val="24"/>
                <w:lang w:eastAsia="tr-TR"/>
              </w:rPr>
              <w:t>can, mal,</w:t>
            </w:r>
            <w:r w:rsidRPr="00A23740">
              <w:rPr>
                <w:rFonts w:eastAsia="Times New Roman"/>
                <w:szCs w:val="24"/>
                <w:lang w:eastAsia="tr-TR"/>
              </w:rPr>
              <w:t xml:space="preserve"> çevre </w:t>
            </w:r>
            <w:r w:rsidRPr="00A23740">
              <w:rPr>
                <w:rFonts w:eastAsia="Times New Roman"/>
                <w:b/>
                <w:bCs/>
                <w:color w:val="0000FF"/>
                <w:szCs w:val="24"/>
                <w:lang w:eastAsia="tr-TR"/>
              </w:rPr>
              <w:t>veya</w:t>
            </w:r>
            <w:r w:rsidRPr="00A23740">
              <w:rPr>
                <w:b/>
                <w:color w:val="00CC00"/>
                <w:lang w:eastAsia="tr-TR"/>
              </w:rPr>
              <w:t xml:space="preserve"> </w:t>
            </w:r>
            <w:r w:rsidRPr="00A23740">
              <w:rPr>
                <w:rFonts w:eastAsia="Times New Roman"/>
                <w:b/>
                <w:bCs/>
                <w:color w:val="0000FF"/>
                <w:szCs w:val="24"/>
                <w:lang w:eastAsia="tr-TR"/>
              </w:rPr>
              <w:t>kamu</w:t>
            </w:r>
            <w:r w:rsidRPr="00A23740">
              <w:rPr>
                <w:rFonts w:eastAsia="Times New Roman"/>
                <w:szCs w:val="24"/>
                <w:lang w:eastAsia="tr-TR"/>
              </w:rPr>
              <w:t xml:space="preserve"> güvenliği açısından tehlike gösterirse, icra </w:t>
            </w:r>
            <w:r w:rsidRPr="00A23740">
              <w:rPr>
                <w:rFonts w:eastAsia="Times New Roman"/>
                <w:b/>
                <w:bCs/>
                <w:color w:val="0000FF"/>
                <w:szCs w:val="24"/>
                <w:lang w:eastAsia="tr-TR"/>
              </w:rPr>
              <w:t xml:space="preserve">ve iflas </w:t>
            </w:r>
            <w:r w:rsidRPr="00A23740">
              <w:rPr>
                <w:rFonts w:eastAsia="Times New Roman"/>
                <w:szCs w:val="24"/>
                <w:lang w:eastAsia="tr-TR"/>
              </w:rPr>
              <w:t>müdürü veya liman başkanı, ihtiyaten</w:t>
            </w:r>
            <w:r w:rsidR="000C5FEA" w:rsidRPr="00A23740">
              <w:rPr>
                <w:rFonts w:eastAsia="Times New Roman"/>
                <w:szCs w:val="24"/>
                <w:lang w:eastAsia="tr-TR"/>
              </w:rPr>
              <w:t xml:space="preserve"> </w:t>
            </w:r>
            <w:r w:rsidR="000C5FEA" w:rsidRPr="00D93F6E">
              <w:rPr>
                <w:rStyle w:val="YELChar"/>
                <w:color w:val="0000FF"/>
              </w:rPr>
              <w:t>haczedilmiş olanlar da dahil olmak üzere</w:t>
            </w:r>
            <w:r w:rsidRPr="00A23740">
              <w:rPr>
                <w:rStyle w:val="YELChar"/>
              </w:rPr>
              <w:t xml:space="preserve"> </w:t>
            </w:r>
            <w:r w:rsidRPr="00A23740">
              <w:rPr>
                <w:rFonts w:eastAsia="Times New Roman"/>
                <w:szCs w:val="24"/>
                <w:lang w:eastAsia="tr-TR"/>
              </w:rPr>
              <w:t xml:space="preserve">haczedilmiş Türk veya yabancı bayraklı geminin vaktinden evvel satılması için icra </w:t>
            </w:r>
            <w:r w:rsidRPr="00A23740">
              <w:rPr>
                <w:rFonts w:eastAsia="Times New Roman"/>
                <w:b/>
                <w:bCs/>
                <w:color w:val="0000FF"/>
                <w:szCs w:val="24"/>
                <w:lang w:eastAsia="tr-TR"/>
              </w:rPr>
              <w:t>hukuk</w:t>
            </w:r>
            <w:r w:rsidRPr="00A23740">
              <w:rPr>
                <w:rFonts w:eastAsia="Times New Roman"/>
                <w:szCs w:val="24"/>
                <w:lang w:eastAsia="tr-TR"/>
              </w:rPr>
              <w:t xml:space="preserve"> mahkemesine başvurabilir. Bu başvuru</w:t>
            </w:r>
            <w:r w:rsidRPr="00A23740">
              <w:rPr>
                <w:rFonts w:eastAsia="Times New Roman"/>
                <w:b/>
                <w:bCs/>
                <w:color w:val="0000FF"/>
                <w:szCs w:val="24"/>
                <w:lang w:eastAsia="tr-TR"/>
              </w:rPr>
              <w:t>, mahkemece dosya üzerinden inceleme yapılmak suretiyle kesin olarak karara bağlanır.</w:t>
            </w:r>
          </w:p>
          <w:p w:rsidR="00A46C6E" w:rsidRPr="00A23740" w:rsidRDefault="00A46C6E" w:rsidP="00196116">
            <w:pPr>
              <w:widowControl w:val="0"/>
              <w:rPr>
                <w:rFonts w:eastAsia="Times New Roman"/>
                <w:b/>
                <w:strike/>
                <w:color w:val="FF0000"/>
                <w:szCs w:val="24"/>
                <w:lang w:eastAsia="x-none"/>
              </w:rPr>
            </w:pPr>
          </w:p>
          <w:p w:rsidR="00A46C6E" w:rsidRPr="00A23740" w:rsidRDefault="00A46C6E" w:rsidP="00196116">
            <w:pPr>
              <w:widowControl w:val="0"/>
              <w:rPr>
                <w:rFonts w:eastAsia="Times New Roman"/>
                <w:b/>
                <w:bCs/>
                <w:color w:val="0000FF"/>
                <w:szCs w:val="24"/>
                <w:lang w:eastAsia="tr-TR"/>
              </w:rPr>
            </w:pPr>
            <w:r w:rsidRPr="00136EBC">
              <w:t>(4)</w:t>
            </w:r>
            <w:r w:rsidRPr="00A23740">
              <w:rPr>
                <w:rFonts w:eastAsia="Times New Roman"/>
                <w:szCs w:val="24"/>
                <w:lang w:eastAsia="tr-TR"/>
              </w:rPr>
              <w:t xml:space="preserve"> İcra </w:t>
            </w:r>
            <w:r w:rsidRPr="00A23740">
              <w:rPr>
                <w:rFonts w:eastAsia="Times New Roman"/>
                <w:b/>
                <w:bCs/>
                <w:color w:val="0000FF"/>
                <w:szCs w:val="24"/>
                <w:lang w:eastAsia="tr-TR"/>
              </w:rPr>
              <w:t>ve iflas dairesi</w:t>
            </w:r>
            <w:r w:rsidRPr="00A23740">
              <w:rPr>
                <w:rFonts w:eastAsia="Times New Roman"/>
                <w:szCs w:val="24"/>
                <w:lang w:eastAsia="tr-TR"/>
              </w:rPr>
              <w:t xml:space="preserve"> satış bedelini, hak sahipleri adına,</w:t>
            </w:r>
            <w:r w:rsidRPr="00A23740">
              <w:rPr>
                <w:rFonts w:eastAsia="Times New Roman"/>
                <w:b/>
                <w:color w:val="FF0000"/>
                <w:szCs w:val="24"/>
                <w:lang w:eastAsia="tr-TR"/>
              </w:rPr>
              <w:t xml:space="preserve"> </w:t>
            </w:r>
            <w:r w:rsidRPr="00A23740">
              <w:rPr>
                <w:rFonts w:eastAsia="Times New Roman"/>
                <w:szCs w:val="24"/>
                <w:lang w:eastAsia="tr-TR"/>
              </w:rPr>
              <w:t xml:space="preserve">paylaştırma aşamasına kadar </w:t>
            </w:r>
            <w:r w:rsidRPr="00A23740">
              <w:rPr>
                <w:rFonts w:eastAsia="Times New Roman"/>
                <w:b/>
                <w:bCs/>
                <w:color w:val="0000FF"/>
                <w:szCs w:val="24"/>
                <w:lang w:eastAsia="tr-TR"/>
              </w:rPr>
              <w:t>paranın nemalandırılmasına ilişkin</w:t>
            </w:r>
            <w:r w:rsidR="00720081" w:rsidRPr="00A23740">
              <w:rPr>
                <w:rFonts w:eastAsia="Times New Roman"/>
                <w:b/>
                <w:bCs/>
                <w:color w:val="0000FF"/>
                <w:szCs w:val="24"/>
                <w:lang w:eastAsia="tr-TR"/>
              </w:rPr>
              <w:t xml:space="preserve"> </w:t>
            </w:r>
            <w:r w:rsidR="00720081" w:rsidRPr="00D93F6E">
              <w:rPr>
                <w:rStyle w:val="KonuBalChar"/>
                <w:rFonts w:eastAsia="Calibri"/>
                <w:color w:val="0000FF"/>
              </w:rPr>
              <w:t>12 nci</w:t>
            </w:r>
            <w:r w:rsidRPr="00A23740">
              <w:rPr>
                <w:rFonts w:eastAsia="Times New Roman"/>
                <w:b/>
                <w:bCs/>
                <w:color w:val="0000FF"/>
                <w:szCs w:val="24"/>
                <w:lang w:eastAsia="tr-TR"/>
              </w:rPr>
              <w:t xml:space="preserve"> </w:t>
            </w:r>
            <w:r w:rsidRPr="00A23740">
              <w:rPr>
                <w:b/>
                <w:bCs/>
                <w:color w:val="0000FF"/>
                <w:lang w:val="x-none" w:eastAsia="x-none"/>
              </w:rPr>
              <w:t xml:space="preserve">madde uyarınca </w:t>
            </w:r>
            <w:r w:rsidRPr="00A23740">
              <w:rPr>
                <w:rFonts w:eastAsia="Times New Roman"/>
                <w:szCs w:val="24"/>
                <w:lang w:eastAsia="tr-TR"/>
              </w:rPr>
              <w:t>nemalandır</w:t>
            </w:r>
            <w:r w:rsidRPr="00A23740">
              <w:rPr>
                <w:rFonts w:eastAsia="Times New Roman"/>
                <w:b/>
                <w:bCs/>
                <w:color w:val="0000FF"/>
                <w:szCs w:val="24"/>
                <w:lang w:eastAsia="tr-TR"/>
              </w:rPr>
              <w:t>ır.</w:t>
            </w:r>
          </w:p>
          <w:p w:rsidR="00706B5D" w:rsidRPr="00A23740" w:rsidRDefault="00706B5D" w:rsidP="00196116">
            <w:pPr>
              <w:widowControl w:val="0"/>
              <w:rPr>
                <w:rFonts w:eastAsia="Times New Roman"/>
                <w:szCs w:val="24"/>
                <w:lang w:eastAsia="tr-TR"/>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35" w:name="_Hlk134296672"/>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478</w:t>
            </w:r>
            <w:r w:rsidR="00A46C6E" w:rsidRPr="00A23740">
              <w:rPr>
                <w:rFonts w:eastAsia="Times New Roman"/>
                <w:b/>
                <w:bCs/>
                <w:szCs w:val="24"/>
                <w:lang w:eastAsia="tr-TR"/>
              </w:rPr>
              <w:t xml:space="preserve">- </w:t>
            </w:r>
            <w:bookmarkStart w:id="36" w:name="_Hlk172878800"/>
            <w:r w:rsidR="00A46C6E" w:rsidRPr="00A23740">
              <w:rPr>
                <w:bCs/>
                <w:szCs w:val="24"/>
                <w:lang w:eastAsia="x-none"/>
              </w:rPr>
              <w:t>Maddeyle, vaktinden evvel satışa ilişkin hususlar düzenlenmektedir.</w:t>
            </w:r>
            <w:bookmarkEnd w:id="36"/>
          </w:p>
          <w:p w:rsidR="00A46C6E" w:rsidRPr="00A23740" w:rsidRDefault="00A46C6E" w:rsidP="009431FF">
            <w:pPr>
              <w:ind w:firstLine="709"/>
              <w:rPr>
                <w:rFonts w:eastAsia="Times New Roman"/>
                <w:szCs w:val="24"/>
              </w:rPr>
            </w:pPr>
            <w:r w:rsidRPr="00A23740">
              <w:rPr>
                <w:rFonts w:eastAsia="Times New Roman"/>
                <w:szCs w:val="24"/>
              </w:rPr>
              <w:t xml:space="preserve">6102 sayılı Kanunun 1386 inci maddesinde birinci fıkrasında yer alan “… </w:t>
            </w:r>
            <w:r w:rsidRPr="00A23740">
              <w:rPr>
                <w:rFonts w:eastAsia="Times New Roman"/>
                <w:i/>
                <w:iCs/>
                <w:szCs w:val="24"/>
              </w:rPr>
              <w:t>malik aynı zamanda deniz alacağının kişisel borçlusu</w:t>
            </w:r>
            <w:r w:rsidRPr="00A23740">
              <w:rPr>
                <w:rFonts w:eastAsia="Times New Roman"/>
                <w:szCs w:val="24"/>
              </w:rPr>
              <w:t xml:space="preserve"> </w:t>
            </w:r>
            <w:r w:rsidRPr="00A23740">
              <w:rPr>
                <w:rFonts w:eastAsia="Times New Roman"/>
                <w:i/>
                <w:iCs/>
                <w:szCs w:val="24"/>
              </w:rPr>
              <w:t xml:space="preserve">ise </w:t>
            </w:r>
            <w:r w:rsidRPr="00A23740">
              <w:rPr>
                <w:rFonts w:eastAsia="Times New Roman"/>
                <w:szCs w:val="24"/>
              </w:rPr>
              <w:t>…” denilmiş olmakla birlikte, madde gerekçesinde bu ibareye yer verilmesinin nedeni hakkında bir açıklama yapılmamıştır. Taslağın</w:t>
            </w:r>
            <w:r w:rsidR="005A1C6B" w:rsidRPr="00A23740">
              <w:rPr>
                <w:rFonts w:eastAsia="Times New Roman"/>
                <w:szCs w:val="24"/>
              </w:rPr>
              <w:t xml:space="preserve"> </w:t>
            </w:r>
            <w:r w:rsidR="005A1C6B" w:rsidRPr="00D93F6E">
              <w:rPr>
                <w:rStyle w:val="KonuBalChar"/>
                <w:rFonts w:eastAsia="Calibri"/>
                <w:b w:val="0"/>
                <w:color w:val="auto"/>
              </w:rPr>
              <w:t>494 üncü</w:t>
            </w:r>
            <w:r w:rsidRPr="00A23740">
              <w:rPr>
                <w:rFonts w:eastAsia="Times New Roman"/>
                <w:szCs w:val="24"/>
              </w:rPr>
              <w:t xml:space="preserve"> maddesine değiştirilerek alınan 6102 sayılı Kanunun 1369 uncu maddesinde</w:t>
            </w:r>
            <w:r w:rsidR="006E311B" w:rsidRPr="00A23740">
              <w:rPr>
                <w:rFonts w:eastAsia="Times New Roman"/>
                <w:szCs w:val="24"/>
              </w:rPr>
              <w:t>,</w:t>
            </w:r>
            <w:r w:rsidRPr="00A23740">
              <w:rPr>
                <w:rFonts w:eastAsia="Times New Roman"/>
                <w:szCs w:val="24"/>
              </w:rPr>
              <w:t xml:space="preserve"> bir deniz alacağı için ihtiyaten haczedilebilecek gemiler belirlenmiş olup, bu maddenin birinci fıkrasının (c) bendine göre gemi rehni, gemi ipoteği veya gemi alacağı</w:t>
            </w:r>
            <w:r w:rsidR="006E311B" w:rsidRPr="00A23740">
              <w:rPr>
                <w:rFonts w:eastAsia="Times New Roman"/>
                <w:szCs w:val="24"/>
              </w:rPr>
              <w:t>yla</w:t>
            </w:r>
            <w:r w:rsidRPr="00A23740">
              <w:rPr>
                <w:rFonts w:eastAsia="Times New Roman"/>
                <w:szCs w:val="24"/>
              </w:rPr>
              <w:t xml:space="preserve"> temin edilmiş alacaklar için gemi maliki borçlu olmasa bile rehin konusu geminin ihtiyaten haczi mümkün olduğu gibi, kesin olarak haczi de mümkündür. Bu hâllerde gemi malikinin</w:t>
            </w:r>
            <w:r w:rsidR="00640FF0" w:rsidRPr="00A23740">
              <w:rPr>
                <w:rFonts w:eastAsia="Times New Roman"/>
                <w:szCs w:val="24"/>
              </w:rPr>
              <w:t>,</w:t>
            </w:r>
            <w:r w:rsidRPr="00A23740">
              <w:rPr>
                <w:rFonts w:eastAsia="Times New Roman"/>
                <w:szCs w:val="24"/>
              </w:rPr>
              <w:t xml:space="preserve"> alacaklı talep etmeden geminin satışını talep etmekte menfaati olabilir. Dolayısıyla 6102 sayılı Kanunun 1386 ncı maddesinin birinci fıkrasında gemi malikinin vaktinden evvel satış talebinde bulunabilmesi için aynı zamanda deniz alacağının kişisel borçlusu olmasının aranmasının makul bir sebebi yoktur. Bu nedenle 6102 sayılı Kanunun 1386 ncı maddesinin birinci fıkrasında yer alan “malik aynı zamanda deniz alacağının kişisel borçlusu ise” ibaresinin maddenin birinci fıkrasına alınmamasına karar verilmiş; “Türk ve yabancı bayraklı gemilerin, alacaklı talep etmeden, malikin talebi</w:t>
            </w:r>
            <w:r w:rsidR="00640FF0" w:rsidRPr="00A23740">
              <w:rPr>
                <w:rFonts w:eastAsia="Times New Roman"/>
                <w:szCs w:val="24"/>
              </w:rPr>
              <w:t>yle</w:t>
            </w:r>
            <w:r w:rsidRPr="00A23740">
              <w:rPr>
                <w:rFonts w:eastAsia="Times New Roman"/>
                <w:szCs w:val="24"/>
              </w:rPr>
              <w:t xml:space="preserve"> de satışının yapılabileceği” hüküm altına alınmıştır.</w:t>
            </w:r>
          </w:p>
          <w:p w:rsidR="00A46C6E" w:rsidRPr="00A23740" w:rsidRDefault="00A46C6E" w:rsidP="009431FF">
            <w:pPr>
              <w:ind w:firstLine="709"/>
              <w:rPr>
                <w:rFonts w:eastAsia="Times New Roman"/>
                <w:szCs w:val="24"/>
              </w:rPr>
            </w:pPr>
            <w:r w:rsidRPr="00A23740">
              <w:rPr>
                <w:rFonts w:eastAsia="Times New Roman"/>
                <w:szCs w:val="24"/>
              </w:rPr>
              <w:t>Maddenin ikinci fıkrası, ifadesi ve içeriği değiştirilerek 6102 sayılı Kanunun 1386 ncı maddesinin ikinci fıkrasından alınmıştır. Bu kapsamda vaktinden evvel satış sebepleri, “</w:t>
            </w:r>
            <w:r w:rsidRPr="00A23740">
              <w:rPr>
                <w:rFonts w:eastAsia="Times New Roman"/>
                <w:i/>
                <w:iCs/>
                <w:szCs w:val="24"/>
              </w:rPr>
              <w:t>geminin değerinin hızla düşmesi veya muhafazasının fazla masraflı olması ya da beklenmesinin yeni gemi alacaklarının doğmasına yahut mevcut gemi alacaklısı haklarının temin ettiği alacakların miktarının artmasına yol açması</w:t>
            </w:r>
            <w:r w:rsidRPr="00A23740">
              <w:rPr>
                <w:rFonts w:eastAsia="Times New Roman"/>
                <w:szCs w:val="24"/>
              </w:rPr>
              <w:t>” olarak belirlenmiş; bu sebeplerden bir</w:t>
            </w:r>
            <w:r w:rsidR="00535D4A" w:rsidRPr="00A23740">
              <w:rPr>
                <w:rFonts w:eastAsia="Times New Roman"/>
                <w:szCs w:val="24"/>
              </w:rPr>
              <w:t>i veya birkaçının mevcudiyeti hâ</w:t>
            </w:r>
            <w:r w:rsidRPr="00A23740">
              <w:rPr>
                <w:rFonts w:eastAsia="Times New Roman"/>
                <w:szCs w:val="24"/>
              </w:rPr>
              <w:t xml:space="preserve">linde ihtiyaten veya kesin olarak haczedilmiş Türk veya yabancı bayraklı geminin vaktinden evvel satışı için icra ve iflas müdürü veya alacaklı tarafından icra hukuk mahkemesine başvurulabileceği; mahkemece bu başvurunun ivedilikle inceleneceği; mahkemenin iki haftalık kesin süre içinde yazılı beyanda bulunabileceği ihtarı ile başvuru ve gerekçesini </w:t>
            </w:r>
            <w:r w:rsidR="00DF22A1" w:rsidRPr="00A23740">
              <w:rPr>
                <w:szCs w:val="24"/>
              </w:rPr>
              <w:t xml:space="preserve">derhâl </w:t>
            </w:r>
            <w:r w:rsidRPr="00A23740">
              <w:rPr>
                <w:rFonts w:eastAsia="Times New Roman"/>
                <w:szCs w:val="24"/>
              </w:rPr>
              <w:t>gemi malikine bildireceği; verilen sürede gemi maliki beyanda bulunmuş</w:t>
            </w:r>
            <w:r w:rsidR="00640FF0" w:rsidRPr="00A23740">
              <w:rPr>
                <w:rFonts w:eastAsia="Times New Roman"/>
                <w:szCs w:val="24"/>
              </w:rPr>
              <w:t>sa</w:t>
            </w:r>
            <w:r w:rsidRPr="00A23740">
              <w:rPr>
                <w:rFonts w:eastAsia="Times New Roman"/>
                <w:szCs w:val="24"/>
              </w:rPr>
              <w:t xml:space="preserve"> bu beyan da dikkate alınarak mahkemece dosya üzerinden inceleme yapılmak suretiyle vaktinden evvel satış başvurusunun karara bağlanacağı hüküm altına alınmıştır. Maddenin ikinci fıkrasında belirtilen vaktinden evvel satış sebepleri dikkate alınarak bu sebeplerden birinin veya birkaçının mevcudiyeti yüzünden mahkemece vaktinden </w:t>
            </w:r>
            <w:r w:rsidR="00535D4A" w:rsidRPr="00A23740">
              <w:rPr>
                <w:rFonts w:eastAsia="Times New Roman"/>
                <w:szCs w:val="24"/>
              </w:rPr>
              <w:t>evvel satışa karar verilmesi hâ</w:t>
            </w:r>
            <w:r w:rsidRPr="00A23740">
              <w:rPr>
                <w:rFonts w:eastAsia="Times New Roman"/>
                <w:szCs w:val="24"/>
              </w:rPr>
              <w:t xml:space="preserve">linde, bu kararın tüm ilgililerin menfaatine olduğu kabul edilmiş; bu nedenle </w:t>
            </w:r>
            <w:bookmarkStart w:id="37" w:name="_Hlk172704559"/>
            <w:r w:rsidRPr="00A23740">
              <w:rPr>
                <w:rFonts w:eastAsia="Times New Roman"/>
                <w:szCs w:val="24"/>
              </w:rPr>
              <w:t xml:space="preserve">6102 sayılı Kanunun </w:t>
            </w:r>
            <w:bookmarkEnd w:id="37"/>
            <w:r w:rsidRPr="00A23740">
              <w:rPr>
                <w:rFonts w:eastAsia="Times New Roman"/>
                <w:szCs w:val="24"/>
              </w:rPr>
              <w:t>1386 ncı maddesinin ikinci fıkrasından farklı olarak mahkemece vaktinden evvel satış başvurusunun kesin olarak karara bağlanacağı belirtilmiştir. Mahkemece başvurunun reddine karar verildiği takdirde, bu kararın, ret kararı verildiği tarihten sonra ortaya çıkan sebeplerle yeniden başvuru yapılmasına engel teşkil etmeyeceği açıktır.</w:t>
            </w:r>
          </w:p>
          <w:p w:rsidR="00A46C6E" w:rsidRPr="00A23740" w:rsidRDefault="00A46C6E" w:rsidP="009431FF">
            <w:pPr>
              <w:ind w:firstLine="709"/>
              <w:rPr>
                <w:rFonts w:eastAsia="Times New Roman"/>
                <w:szCs w:val="24"/>
              </w:rPr>
            </w:pPr>
            <w:r w:rsidRPr="00A23740">
              <w:rPr>
                <w:rFonts w:eastAsia="Times New Roman"/>
                <w:szCs w:val="24"/>
              </w:rPr>
              <w:t xml:space="preserve">Maddenin üçüncü fıkrasının birinci cümlesi 6102 sayılı Kanunun 1386 ncı maddesinin üçüncü fıkrasının birinci cümlesi “icra müdürü” yerine “icra ve iflas müdürü” ve “icra mahkemesi” ibaresi yerine icra hukuk mahkemesi” ibaresi kullanılması dışında aynen alınmıştır. Bu fıkrada belirtilen vaktinden evvel satış sebebinin mevcudiyeti hâlinde, mahkemece verilen vaktinden evvel satış kararının da kesin olması gerekli görüldüğünden, 6102 sayılı Kanunun 1386 ncı maddesinin üçüncü fıkrasının ikinci cümlesinde bu yönde değişiklik yapılmıştır. </w:t>
            </w:r>
          </w:p>
          <w:p w:rsidR="00A46C6E" w:rsidRPr="00A23740" w:rsidRDefault="00A46C6E" w:rsidP="009431FF">
            <w:pPr>
              <w:ind w:firstLine="709"/>
              <w:rPr>
                <w:rFonts w:eastAsia="Times New Roman"/>
                <w:szCs w:val="24"/>
              </w:rPr>
            </w:pPr>
            <w:r w:rsidRPr="00A23740">
              <w:rPr>
                <w:rFonts w:eastAsia="Times New Roman"/>
                <w:szCs w:val="24"/>
              </w:rPr>
              <w:t>Maddenin dördüncü fıkrasında ise geminin vaktinden evvel satış kararı uyarınca satılması hâlinde</w:t>
            </w:r>
            <w:r w:rsidR="00640FF0" w:rsidRPr="00A23740">
              <w:rPr>
                <w:rFonts w:eastAsia="Times New Roman"/>
                <w:szCs w:val="24"/>
              </w:rPr>
              <w:t>,</w:t>
            </w:r>
            <w:r w:rsidRPr="00A23740">
              <w:rPr>
                <w:rFonts w:eastAsia="Times New Roman"/>
                <w:szCs w:val="24"/>
              </w:rPr>
              <w:t xml:space="preserve"> satış bedelinin paylaştırma aşamasına kadar Taslağın</w:t>
            </w:r>
            <w:r w:rsidR="00CA7510" w:rsidRPr="00A23740">
              <w:rPr>
                <w:rFonts w:eastAsia="Times New Roman"/>
                <w:szCs w:val="24"/>
              </w:rPr>
              <w:t xml:space="preserve"> </w:t>
            </w:r>
            <w:r w:rsidR="00CA7510" w:rsidRPr="00D93F6E">
              <w:rPr>
                <w:rStyle w:val="KonuBalChar"/>
                <w:rFonts w:eastAsia="Calibri"/>
                <w:b w:val="0"/>
                <w:color w:val="auto"/>
              </w:rPr>
              <w:t>12 nci</w:t>
            </w:r>
            <w:r w:rsidRPr="00A23740">
              <w:rPr>
                <w:rFonts w:eastAsia="Times New Roman"/>
                <w:szCs w:val="24"/>
              </w:rPr>
              <w:t xml:space="preserve"> maddesinde öngörüldüğü şekilde nemalandırılacağı hüküm altına alınmıştır. </w:t>
            </w:r>
          </w:p>
          <w:bookmarkEnd w:id="35"/>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6.</w:t>
            </w:r>
            <w:r w:rsidRPr="00A23740">
              <w:rPr>
                <w:rFonts w:eastAsia="Times New Roman"/>
                <w:b/>
                <w:bCs/>
                <w:szCs w:val="24"/>
                <w:lang w:eastAsia="tr-TR"/>
              </w:rPr>
              <w:t xml:space="preserve"> Pazarlık suretiyle satış</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1387</w:t>
            </w:r>
            <w:r w:rsidRPr="00A23740">
              <w:rPr>
                <w:rFonts w:eastAsia="Times New Roman"/>
                <w:szCs w:val="24"/>
                <w:lang w:eastAsia="tr-TR"/>
              </w:rPr>
              <w:t>- (1) Bütün ilgililer iste</w:t>
            </w:r>
            <w:r w:rsidRPr="00A23740">
              <w:rPr>
                <w:rFonts w:eastAsia="Times New Roman"/>
                <w:b/>
                <w:strike/>
                <w:color w:val="FF0000"/>
                <w:szCs w:val="24"/>
                <w:lang w:eastAsia="tr-TR"/>
              </w:rPr>
              <w:t>r</w:t>
            </w:r>
            <w:r w:rsidRPr="00A23740">
              <w:rPr>
                <w:rFonts w:eastAsia="Times New Roman"/>
                <w:szCs w:val="24"/>
                <w:lang w:eastAsia="tr-TR"/>
              </w:rPr>
              <w:t xml:space="preserve"> veya </w:t>
            </w:r>
            <w:r w:rsidRPr="00A23740">
              <w:rPr>
                <w:rFonts w:eastAsia="Times New Roman"/>
                <w:b/>
                <w:strike/>
                <w:color w:val="FF0000"/>
                <w:szCs w:val="24"/>
                <w:lang w:eastAsia="tr-TR"/>
              </w:rPr>
              <w:t>1386 ncı</w:t>
            </w:r>
            <w:r w:rsidRPr="00A23740">
              <w:rPr>
                <w:rFonts w:eastAsia="Times New Roman"/>
                <w:szCs w:val="24"/>
                <w:lang w:eastAsia="tr-TR"/>
              </w:rPr>
              <w:t xml:space="preserve"> madde</w:t>
            </w:r>
            <w:r w:rsidRPr="00A23740">
              <w:rPr>
                <w:rFonts w:eastAsia="Times New Roman"/>
                <w:b/>
                <w:strike/>
                <w:color w:val="FF0000"/>
                <w:szCs w:val="24"/>
                <w:lang w:eastAsia="tr-TR"/>
              </w:rPr>
              <w:t>de</w:t>
            </w:r>
            <w:r w:rsidRPr="00A23740">
              <w:rPr>
                <w:rFonts w:eastAsia="Times New Roman"/>
                <w:szCs w:val="24"/>
                <w:lang w:eastAsia="tr-TR"/>
              </w:rPr>
              <w:t xml:space="preserve"> </w:t>
            </w:r>
            <w:r w:rsidRPr="00A23740">
              <w:rPr>
                <w:rFonts w:eastAsia="Times New Roman"/>
                <w:b/>
                <w:strike/>
                <w:color w:val="FF0000"/>
                <w:szCs w:val="24"/>
                <w:lang w:eastAsia="tr-TR"/>
              </w:rPr>
              <w:t>gösterilen hâller gerçekleşirse,</w:t>
            </w:r>
            <w:r w:rsidRPr="00A23740">
              <w:rPr>
                <w:rFonts w:eastAsia="Times New Roman"/>
                <w:szCs w:val="24"/>
                <w:lang w:eastAsia="tr-TR"/>
              </w:rPr>
              <w:t xml:space="preserve"> gemi pazarlık suretiyle satılabilir.</w:t>
            </w:r>
          </w:p>
          <w:p w:rsidR="00A46C6E" w:rsidRPr="00A23740" w:rsidRDefault="00A46C6E" w:rsidP="009431FF">
            <w:pPr>
              <w:tabs>
                <w:tab w:val="left" w:pos="567"/>
              </w:tabs>
              <w:contextualSpacing/>
              <w:rPr>
                <w:rFonts w:eastAsia="Times New Roman"/>
                <w:szCs w:val="24"/>
              </w:rPr>
            </w:pPr>
          </w:p>
        </w:tc>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szCs w:val="24"/>
                <w:lang w:eastAsia="tr-TR"/>
              </w:rPr>
              <w:t>Pazarlık suretiyle satış</w:t>
            </w:r>
          </w:p>
          <w:p w:rsidR="00A46C6E" w:rsidRPr="00A23740" w:rsidRDefault="00A46C6E" w:rsidP="009431FF">
            <w:pPr>
              <w:rPr>
                <w:rFonts w:eastAsia="Times New Roman"/>
                <w:szCs w:val="24"/>
                <w:lang w:eastAsia="tr-TR"/>
              </w:rPr>
            </w:pPr>
            <w:r w:rsidRPr="00136EBC">
              <w:rPr>
                <w:rFonts w:eastAsia="Times New Roman"/>
                <w:b/>
                <w:bCs/>
                <w:color w:val="000000" w:themeColor="text1"/>
                <w:szCs w:val="24"/>
                <w:lang w:eastAsia="tr-TR"/>
              </w:rPr>
              <w:t xml:space="preserve">MADDE </w:t>
            </w:r>
            <w:r w:rsidRPr="00A23740">
              <w:rPr>
                <w:rFonts w:eastAsia="Times New Roman"/>
                <w:b/>
                <w:bCs/>
                <w:color w:val="0000FF"/>
                <w:szCs w:val="24"/>
                <w:lang w:eastAsia="tr-TR"/>
              </w:rPr>
              <w:t>47</w:t>
            </w:r>
            <w:r w:rsidR="00993A1A" w:rsidRPr="00A23740">
              <w:rPr>
                <w:rFonts w:eastAsia="Times New Roman"/>
                <w:b/>
                <w:bCs/>
                <w:color w:val="0000FF"/>
                <w:szCs w:val="24"/>
                <w:lang w:eastAsia="tr-TR"/>
              </w:rPr>
              <w:t>9</w:t>
            </w:r>
            <w:r w:rsidRPr="00A23740">
              <w:rPr>
                <w:rStyle w:val="Balk1Char"/>
                <w:rFonts w:eastAsia="Calibri"/>
                <w:b w:val="0"/>
              </w:rPr>
              <w:t>-</w:t>
            </w:r>
            <w:r w:rsidRPr="00A23740">
              <w:rPr>
                <w:rFonts w:eastAsia="Times New Roman"/>
                <w:szCs w:val="24"/>
                <w:lang w:eastAsia="tr-TR"/>
              </w:rPr>
              <w:t xml:space="preserve"> </w:t>
            </w:r>
            <w:r w:rsidRPr="00136EBC">
              <w:t>(1)</w:t>
            </w:r>
            <w:r w:rsidRPr="00A23740">
              <w:rPr>
                <w:rFonts w:eastAsia="Times New Roman"/>
                <w:szCs w:val="24"/>
                <w:lang w:eastAsia="tr-TR"/>
              </w:rPr>
              <w:t xml:space="preserve"> Bütün ilgililerin iste</w:t>
            </w:r>
            <w:r w:rsidRPr="00A23740">
              <w:rPr>
                <w:rFonts w:eastAsia="Times New Roman"/>
                <w:b/>
                <w:bCs/>
                <w:color w:val="0000FF"/>
                <w:szCs w:val="24"/>
                <w:lang w:eastAsia="tr-TR"/>
              </w:rPr>
              <w:t xml:space="preserve">mesi </w:t>
            </w:r>
            <w:r w:rsidRPr="00A23740">
              <w:rPr>
                <w:rFonts w:eastAsia="Times New Roman"/>
                <w:b/>
                <w:bCs/>
                <w:color w:val="0000FF"/>
                <w:szCs w:val="24"/>
                <w:lang w:eastAsia="x-none"/>
              </w:rPr>
              <w:t>ya da vaktinden evvel satışa ilişkin</w:t>
            </w:r>
            <w:r w:rsidR="00180F66" w:rsidRPr="00A23740">
              <w:rPr>
                <w:rFonts w:eastAsia="Times New Roman"/>
                <w:b/>
                <w:bCs/>
                <w:color w:val="0000FF"/>
                <w:szCs w:val="24"/>
                <w:lang w:eastAsia="x-none"/>
              </w:rPr>
              <w:t xml:space="preserve"> </w:t>
            </w:r>
            <w:r w:rsidR="00180F66" w:rsidRPr="00D93F6E">
              <w:rPr>
                <w:rStyle w:val="KonuBalChar"/>
                <w:rFonts w:eastAsia="Calibri"/>
                <w:color w:val="0000FF"/>
              </w:rPr>
              <w:t>478 inci</w:t>
            </w:r>
            <w:r w:rsidRPr="00A23740">
              <w:rPr>
                <w:rFonts w:eastAsia="Times New Roman"/>
                <w:b/>
                <w:bCs/>
                <w:color w:val="0000FF"/>
                <w:szCs w:val="24"/>
                <w:lang w:eastAsia="x-none"/>
              </w:rPr>
              <w:t xml:space="preserve"> </w:t>
            </w:r>
            <w:r w:rsidRPr="00A23740">
              <w:rPr>
                <w:rFonts w:eastAsia="Times New Roman"/>
                <w:szCs w:val="24"/>
                <w:lang w:eastAsia="tr-TR"/>
              </w:rPr>
              <w:t>madde</w:t>
            </w:r>
            <w:r w:rsidRPr="00A23740">
              <w:rPr>
                <w:rFonts w:eastAsia="Times New Roman"/>
                <w:b/>
                <w:bCs/>
                <w:color w:val="0000FF"/>
                <w:szCs w:val="24"/>
                <w:lang w:eastAsia="x-none"/>
              </w:rPr>
              <w:t>nin ikinci veya üçüncü fıkrası uyarınca geminin satışına karar verilmesi h</w:t>
            </w:r>
            <w:r w:rsidR="000C5FEA" w:rsidRPr="00A23740">
              <w:rPr>
                <w:rFonts w:eastAsia="Times New Roman"/>
                <w:b/>
                <w:bCs/>
                <w:color w:val="0000FF"/>
                <w:szCs w:val="24"/>
                <w:lang w:eastAsia="x-none"/>
              </w:rPr>
              <w:t>â</w:t>
            </w:r>
            <w:r w:rsidRPr="00A23740">
              <w:rPr>
                <w:rFonts w:eastAsia="Times New Roman"/>
                <w:b/>
                <w:bCs/>
                <w:color w:val="0000FF"/>
                <w:szCs w:val="24"/>
                <w:lang w:eastAsia="x-none"/>
              </w:rPr>
              <w:t>linde</w:t>
            </w:r>
            <w:r w:rsidRPr="00A23740">
              <w:rPr>
                <w:rFonts w:eastAsia="Times New Roman"/>
                <w:szCs w:val="24"/>
                <w:lang w:eastAsia="tr-TR"/>
              </w:rPr>
              <w:t xml:space="preserve"> gemi</w:t>
            </w:r>
            <w:r w:rsidRPr="005F7FE6">
              <w:rPr>
                <w:rFonts w:eastAsia="Times New Roman"/>
                <w:b/>
                <w:bCs/>
                <w:color w:val="0000FF"/>
                <w:lang w:eastAsia="x-none"/>
              </w:rPr>
              <w:t>,</w:t>
            </w:r>
            <w:r w:rsidRPr="00A23740">
              <w:rPr>
                <w:rFonts w:eastAsia="Times New Roman"/>
                <w:b/>
                <w:bCs/>
                <w:color w:val="0000FF"/>
                <w:szCs w:val="24"/>
                <w:lang w:eastAsia="x-none"/>
              </w:rPr>
              <w:t xml:space="preserve"> </w:t>
            </w:r>
            <w:r w:rsidRPr="00A23740">
              <w:rPr>
                <w:rFonts w:eastAsia="Times New Roman"/>
                <w:b/>
                <w:bCs/>
                <w:color w:val="0000FF"/>
                <w:szCs w:val="24"/>
                <w:lang w:eastAsia="tr-TR"/>
              </w:rPr>
              <w:t>bayrağına ve sicile kayıtlı olup olmadığına bakılmaksızın</w:t>
            </w:r>
            <w:r w:rsidRPr="00A23740">
              <w:rPr>
                <w:rFonts w:eastAsia="Times New Roman"/>
                <w:szCs w:val="24"/>
                <w:lang w:eastAsia="tr-TR"/>
              </w:rPr>
              <w:t xml:space="preserve"> pazarlık suretiyle satılabilir.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b/>
                <w:color w:val="0000FF"/>
                <w:szCs w:val="24"/>
                <w:lang w:eastAsia="x-none"/>
              </w:rPr>
            </w:pPr>
            <w:r w:rsidRPr="00A23740">
              <w:rPr>
                <w:rFonts w:eastAsia="Times New Roman"/>
                <w:b/>
                <w:bCs/>
                <w:color w:val="0000FF"/>
                <w:szCs w:val="24"/>
                <w:lang w:eastAsia="x-none"/>
              </w:rPr>
              <w:t>(2) Geminin pazarlık suretiyle satışında</w:t>
            </w:r>
            <w:r w:rsidR="00180F66" w:rsidRPr="00A23740">
              <w:rPr>
                <w:rFonts w:eastAsia="Times New Roman"/>
                <w:b/>
                <w:bCs/>
                <w:color w:val="0000FF"/>
                <w:szCs w:val="24"/>
                <w:lang w:eastAsia="x-none"/>
              </w:rPr>
              <w:t xml:space="preserve"> </w:t>
            </w:r>
            <w:r w:rsidR="00180F66" w:rsidRPr="00D93F6E">
              <w:rPr>
                <w:rStyle w:val="KonuBalChar"/>
                <w:rFonts w:eastAsia="Calibri"/>
                <w:color w:val="0000FF"/>
              </w:rPr>
              <w:t>244 üncü</w:t>
            </w:r>
            <w:r w:rsidRPr="00A23740">
              <w:rPr>
                <w:b/>
                <w:bCs/>
                <w:color w:val="0000FF"/>
                <w:lang w:val="x-none" w:eastAsia="x-none"/>
              </w:rPr>
              <w:t xml:space="preserve"> madde</w:t>
            </w:r>
            <w:r w:rsidRPr="00A23740">
              <w:rPr>
                <w:rFonts w:eastAsia="Times New Roman"/>
                <w:b/>
                <w:bCs/>
                <w:color w:val="0000FF"/>
                <w:szCs w:val="24"/>
                <w:lang w:eastAsia="x-none"/>
              </w:rPr>
              <w:t xml:space="preserve"> uygulanır. Pazarlık suretiyle satıla</w:t>
            </w:r>
            <w:r w:rsidRPr="00A23740">
              <w:rPr>
                <w:rFonts w:eastAsia="Times New Roman"/>
                <w:b/>
                <w:color w:val="0000FF"/>
                <w:szCs w:val="24"/>
                <w:lang w:eastAsia="x-none"/>
              </w:rPr>
              <w:t xml:space="preserve">n geminin mülkiyeti, </w:t>
            </w:r>
            <w:r w:rsidR="000C5FEA" w:rsidRPr="00D93F6E">
              <w:rPr>
                <w:rStyle w:val="YELChar"/>
                <w:color w:val="0000FF"/>
              </w:rPr>
              <w:t>ipotekli alacaklının</w:t>
            </w:r>
            <w:r w:rsidRPr="00A23740">
              <w:rPr>
                <w:rFonts w:eastAsia="Times New Roman"/>
                <w:b/>
                <w:color w:val="0000FF"/>
                <w:szCs w:val="24"/>
                <w:lang w:eastAsia="x-none"/>
              </w:rPr>
              <w:t xml:space="preserve"> rızasıyla alıcı tarafından üstlenilenler dışında, gemi üzerindeki bütün ayn</w:t>
            </w:r>
            <w:r w:rsidR="000C5FEA" w:rsidRPr="00A23740">
              <w:rPr>
                <w:rFonts w:eastAsia="Times New Roman"/>
                <w:b/>
                <w:color w:val="0000FF"/>
                <w:szCs w:val="24"/>
                <w:lang w:eastAsia="x-none"/>
              </w:rPr>
              <w:t>i</w:t>
            </w:r>
            <w:r w:rsidRPr="00A23740">
              <w:rPr>
                <w:rFonts w:eastAsia="Times New Roman"/>
                <w:b/>
                <w:color w:val="0000FF"/>
                <w:szCs w:val="24"/>
                <w:lang w:eastAsia="x-none"/>
              </w:rPr>
              <w:t xml:space="preserve"> ve kişisel haklar, külfetler ve sınırlandırmalar sona ermiş olarak teslim</w:t>
            </w:r>
            <w:r w:rsidR="000F4DC6" w:rsidRPr="00D93F6E">
              <w:rPr>
                <w:rFonts w:eastAsia="Times New Roman"/>
                <w:b/>
                <w:color w:val="0000FF"/>
                <w:szCs w:val="24"/>
                <w:lang w:eastAsia="x-none"/>
              </w:rPr>
              <w:t>le</w:t>
            </w:r>
            <w:r w:rsidRPr="00A23740">
              <w:rPr>
                <w:rFonts w:eastAsia="Times New Roman"/>
                <w:b/>
                <w:color w:val="0000FF"/>
                <w:szCs w:val="24"/>
                <w:lang w:eastAsia="x-none"/>
              </w:rPr>
              <w:t xml:space="preserve"> alıcıya geçer.</w:t>
            </w:r>
          </w:p>
          <w:p w:rsidR="00A46C6E" w:rsidRPr="00A23740" w:rsidRDefault="00A46C6E" w:rsidP="009431FF">
            <w:pPr>
              <w:rPr>
                <w:rFonts w:eastAsia="Times New Roman"/>
                <w:b/>
                <w:color w:val="0000FF"/>
                <w:szCs w:val="24"/>
                <w:lang w:eastAsia="x-none"/>
              </w:rPr>
            </w:pPr>
          </w:p>
          <w:p w:rsidR="00A46C6E" w:rsidRPr="00A23740" w:rsidRDefault="00A46C6E" w:rsidP="009431FF">
            <w:pPr>
              <w:rPr>
                <w:rFonts w:eastAsia="Times New Roman"/>
                <w:b/>
                <w:color w:val="0000FF"/>
                <w:szCs w:val="24"/>
                <w:lang w:eastAsia="x-none"/>
              </w:rPr>
            </w:pPr>
            <w:r w:rsidRPr="00A23740">
              <w:rPr>
                <w:rFonts w:eastAsia="Times New Roman"/>
                <w:b/>
                <w:color w:val="0000FF"/>
                <w:szCs w:val="24"/>
                <w:lang w:eastAsia="x-none"/>
              </w:rPr>
              <w:t>(3) Geminin pazarlık suretiyle satışında da</w:t>
            </w:r>
            <w:r w:rsidR="00180F66" w:rsidRPr="00A23740">
              <w:rPr>
                <w:rFonts w:eastAsia="Times New Roman"/>
                <w:b/>
                <w:color w:val="0000FF"/>
                <w:szCs w:val="24"/>
                <w:lang w:eastAsia="x-none"/>
              </w:rPr>
              <w:t xml:space="preserve"> </w:t>
            </w:r>
            <w:r w:rsidR="00180F66" w:rsidRPr="00D93F6E">
              <w:rPr>
                <w:rStyle w:val="KonuBalChar"/>
                <w:rFonts w:eastAsia="Calibri"/>
                <w:color w:val="0000FF"/>
              </w:rPr>
              <w:t>477 nci</w:t>
            </w:r>
            <w:r w:rsidRPr="00A23740">
              <w:rPr>
                <w:rFonts w:eastAsia="Times New Roman"/>
                <w:b/>
                <w:color w:val="0000FF"/>
                <w:szCs w:val="24"/>
                <w:lang w:eastAsia="x-none"/>
              </w:rPr>
              <w:t xml:space="preserve"> maddenin üçüncü</w:t>
            </w:r>
            <w:r w:rsidRPr="005750C7">
              <w:rPr>
                <w:rFonts w:eastAsia="Times New Roman"/>
                <w:b/>
                <w:bCs/>
                <w:color w:val="0000FF"/>
                <w:lang w:eastAsia="x-none"/>
              </w:rPr>
              <w:t>,</w:t>
            </w:r>
            <w:r w:rsidRPr="00A23740">
              <w:rPr>
                <w:rFonts w:eastAsia="Times New Roman"/>
                <w:bCs/>
                <w:color w:val="0000FF"/>
                <w:lang w:eastAsia="x-none"/>
              </w:rPr>
              <w:t xml:space="preserve"> </w:t>
            </w:r>
            <w:r w:rsidRPr="00A23740">
              <w:rPr>
                <w:rFonts w:eastAsia="Times New Roman"/>
                <w:b/>
                <w:bCs/>
                <w:color w:val="0000FF"/>
                <w:szCs w:val="24"/>
                <w:lang w:eastAsia="x-none"/>
              </w:rPr>
              <w:t>dördüncü ve beşinci fıkraları</w:t>
            </w:r>
            <w:r w:rsidRPr="00A23740">
              <w:rPr>
                <w:rFonts w:eastAsia="Times New Roman"/>
                <w:b/>
                <w:color w:val="0000FF"/>
                <w:szCs w:val="24"/>
                <w:lang w:eastAsia="x-none"/>
              </w:rPr>
              <w:t xml:space="preserve"> uygulanır.</w:t>
            </w:r>
          </w:p>
          <w:p w:rsidR="00A46C6E" w:rsidRPr="00A23740" w:rsidRDefault="00A46C6E" w:rsidP="009431FF">
            <w:pPr>
              <w:rPr>
                <w:rFonts w:eastAsia="Times New Roman"/>
                <w:b/>
                <w:color w:val="FF0000"/>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38" w:name="_Hlk134296550"/>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479</w:t>
            </w:r>
            <w:r w:rsidR="00A46C6E" w:rsidRPr="00A23740">
              <w:rPr>
                <w:rFonts w:eastAsia="Times New Roman"/>
                <w:b/>
                <w:bCs/>
                <w:szCs w:val="24"/>
                <w:lang w:eastAsia="tr-TR"/>
              </w:rPr>
              <w:t xml:space="preserve">- </w:t>
            </w:r>
            <w:bookmarkStart w:id="39" w:name="_Hlk172878776"/>
            <w:r w:rsidR="00A46C6E" w:rsidRPr="00A23740">
              <w:rPr>
                <w:bCs/>
                <w:szCs w:val="24"/>
                <w:lang w:eastAsia="x-none"/>
              </w:rPr>
              <w:t>Maddeyle, pazarlık suretiyle satışa ilişkin hususlar düzenlenmektedir.</w:t>
            </w:r>
            <w:bookmarkEnd w:id="39"/>
          </w:p>
          <w:bookmarkEnd w:id="38"/>
          <w:p w:rsidR="00A46C6E" w:rsidRPr="00A23740" w:rsidRDefault="00A46C6E" w:rsidP="009431FF">
            <w:pPr>
              <w:ind w:firstLine="709"/>
              <w:rPr>
                <w:rFonts w:eastAsia="Times New Roman"/>
                <w:szCs w:val="24"/>
              </w:rPr>
            </w:pPr>
            <w:r w:rsidRPr="00A23740">
              <w:rPr>
                <w:rFonts w:eastAsia="Times New Roman"/>
                <w:szCs w:val="24"/>
              </w:rPr>
              <w:t>Maddenin birinci fıkrası, 6102 sayılı Kanunun 1387 nci maddesinin birinci fıkrasından değiştirilerek alınmıştır. Bu kapsamda bütün ilgililerin istemesi veya Taslağın</w:t>
            </w:r>
            <w:r w:rsidR="00180F66" w:rsidRPr="00A23740">
              <w:rPr>
                <w:rFonts w:eastAsia="Times New Roman"/>
                <w:szCs w:val="24"/>
              </w:rPr>
              <w:t xml:space="preserve"> </w:t>
            </w:r>
            <w:r w:rsidR="00DD3E2D" w:rsidRPr="00D93F6E">
              <w:rPr>
                <w:rStyle w:val="KonuBalChar"/>
                <w:rFonts w:eastAsia="Calibri"/>
                <w:b w:val="0"/>
                <w:color w:val="auto"/>
              </w:rPr>
              <w:t>478 inci</w:t>
            </w:r>
            <w:r w:rsidR="00DD3E2D" w:rsidRPr="00A23740">
              <w:rPr>
                <w:rFonts w:eastAsia="Times New Roman"/>
                <w:b/>
                <w:bCs/>
                <w:color w:val="0000FF"/>
                <w:szCs w:val="24"/>
                <w:lang w:eastAsia="x-none"/>
              </w:rPr>
              <w:t xml:space="preserve"> </w:t>
            </w:r>
            <w:r w:rsidRPr="00A23740">
              <w:rPr>
                <w:rFonts w:eastAsia="Times New Roman"/>
                <w:szCs w:val="24"/>
              </w:rPr>
              <w:t>maddesinin ikinci ve üçüncü fıkralarında belirtilen hâllerden biri veya birden fazlasının mevcudiyeti h</w:t>
            </w:r>
            <w:r w:rsidR="00E55B34" w:rsidRPr="00A23740">
              <w:rPr>
                <w:rFonts w:eastAsia="Times New Roman"/>
                <w:szCs w:val="24"/>
              </w:rPr>
              <w:t>â</w:t>
            </w:r>
            <w:r w:rsidRPr="00A23740">
              <w:rPr>
                <w:rFonts w:eastAsia="Times New Roman"/>
                <w:szCs w:val="24"/>
              </w:rPr>
              <w:t>linde, geminin pazarlık suretiyle satılabileceğine dair hükmün, geminin bayrağına ve siciline kayıtlı olup olmadığına bakılmaksızın uygulanacağını ifade etmek üzere hükme b</w:t>
            </w:r>
            <w:r w:rsidR="00E55B34" w:rsidRPr="00A23740">
              <w:rPr>
                <w:rFonts w:eastAsia="Times New Roman"/>
                <w:szCs w:val="24"/>
              </w:rPr>
              <w:t>u yönde ibare ilave edilmiştir.</w:t>
            </w:r>
          </w:p>
          <w:p w:rsidR="00A46C6E" w:rsidRPr="00A23740" w:rsidRDefault="00A46C6E" w:rsidP="009431FF">
            <w:pPr>
              <w:ind w:firstLine="709"/>
              <w:rPr>
                <w:rFonts w:eastAsia="Times New Roman"/>
                <w:szCs w:val="24"/>
              </w:rPr>
            </w:pPr>
            <w:r w:rsidRPr="00A23740">
              <w:rPr>
                <w:rFonts w:eastAsia="Times New Roman"/>
                <w:szCs w:val="24"/>
              </w:rPr>
              <w:t>Taslağın</w:t>
            </w:r>
            <w:r w:rsidR="00180F66" w:rsidRPr="00A23740">
              <w:rPr>
                <w:rFonts w:eastAsia="Times New Roman"/>
                <w:szCs w:val="24"/>
              </w:rPr>
              <w:t xml:space="preserve"> </w:t>
            </w:r>
            <w:r w:rsidR="00180F66" w:rsidRPr="00D93F6E">
              <w:rPr>
                <w:rStyle w:val="KonuBalChar"/>
                <w:rFonts w:eastAsia="Calibri"/>
                <w:b w:val="0"/>
                <w:color w:val="auto"/>
              </w:rPr>
              <w:t xml:space="preserve">244 </w:t>
            </w:r>
            <w:r w:rsidR="00180F66" w:rsidRPr="00D93F6E">
              <w:rPr>
                <w:rStyle w:val="KonuBalChar"/>
                <w:rFonts w:eastAsia="Calibri"/>
                <w:b w:val="0"/>
                <w:color w:val="auto"/>
                <w:lang w:val="tr-TR"/>
              </w:rPr>
              <w:t>ve 245</w:t>
            </w:r>
            <w:r w:rsidR="00180F66" w:rsidRPr="00D93F6E">
              <w:rPr>
                <w:rStyle w:val="KonuBalChar"/>
                <w:rFonts w:eastAsia="Calibri"/>
                <w:b w:val="0"/>
                <w:color w:val="auto"/>
              </w:rPr>
              <w:t xml:space="preserve"> inci</w:t>
            </w:r>
            <w:r w:rsidR="00180F66" w:rsidRPr="00A23740">
              <w:rPr>
                <w:rStyle w:val="KonuBalChar"/>
                <w:rFonts w:eastAsia="Calibri"/>
                <w:lang w:val="tr-TR"/>
              </w:rPr>
              <w:t xml:space="preserve"> </w:t>
            </w:r>
            <w:r w:rsidRPr="00A23740">
              <w:rPr>
                <w:rFonts w:eastAsia="Times New Roman"/>
                <w:szCs w:val="24"/>
              </w:rPr>
              <w:t xml:space="preserve">maddelerinde pazarlık suretiyle satış düzenlenmiş olup, bu maddelerden sadece </w:t>
            </w:r>
            <w:r w:rsidR="00E55B34" w:rsidRPr="00D93F6E">
              <w:rPr>
                <w:rStyle w:val="KonuBalChar"/>
                <w:rFonts w:eastAsia="Calibri"/>
                <w:b w:val="0"/>
                <w:color w:val="auto"/>
              </w:rPr>
              <w:t>244 üncü</w:t>
            </w:r>
            <w:r w:rsidR="00E55B34" w:rsidRPr="00A23740">
              <w:rPr>
                <w:rFonts w:eastAsia="Times New Roman"/>
                <w:szCs w:val="24"/>
              </w:rPr>
              <w:t xml:space="preserve"> </w:t>
            </w:r>
            <w:r w:rsidRPr="00A23740">
              <w:rPr>
                <w:rFonts w:eastAsia="Times New Roman"/>
                <w:szCs w:val="24"/>
              </w:rPr>
              <w:t>maddenin, sicile kayıtlı olup olmadığına ve bayrağına bakılmaksızın gemilerin pazarlık suretiyle satışına da uygulanması benimsenmiş; maddenin ikinci fıkrasının birinci cümlesinde bu husus belirtilmiştir. Bu fıkranın ikinci cümlesinde</w:t>
            </w:r>
            <w:r w:rsidR="00640FF0" w:rsidRPr="00A23740">
              <w:rPr>
                <w:rFonts w:eastAsia="Times New Roman"/>
                <w:szCs w:val="24"/>
              </w:rPr>
              <w:t>,</w:t>
            </w:r>
            <w:r w:rsidRPr="00A23740">
              <w:rPr>
                <w:rFonts w:eastAsia="Times New Roman"/>
                <w:szCs w:val="24"/>
              </w:rPr>
              <w:t xml:space="preserve"> pazarlık suretiyle satılan geminin mülkiyetinin ipotekli alacaklının rızasıyla alıcı tarafından üstlenilenler dışında bütün sınırlandırmalar sona ermiş olarak teslim</w:t>
            </w:r>
            <w:r w:rsidR="00640FF0" w:rsidRPr="00A23740">
              <w:rPr>
                <w:rFonts w:eastAsia="Times New Roman"/>
                <w:szCs w:val="24"/>
              </w:rPr>
              <w:t>le</w:t>
            </w:r>
            <w:r w:rsidRPr="00A23740">
              <w:rPr>
                <w:rFonts w:eastAsia="Times New Roman"/>
                <w:szCs w:val="24"/>
              </w:rPr>
              <w:t xml:space="preserve"> alıcıya geçeceği hüküm altına alınmıştır. Bu fıkrada sözü edilen kişisel haklar, sadece geminin kayıtlı olduğu sicile şerh edilmiş olan haklardır. </w:t>
            </w:r>
          </w:p>
          <w:p w:rsidR="00A46C6E" w:rsidRPr="00A23740" w:rsidRDefault="00A46C6E" w:rsidP="009431FF">
            <w:pPr>
              <w:ind w:firstLine="709"/>
              <w:rPr>
                <w:rFonts w:eastAsia="Times New Roman"/>
                <w:szCs w:val="24"/>
              </w:rPr>
            </w:pPr>
            <w:r w:rsidRPr="00A23740">
              <w:rPr>
                <w:rFonts w:eastAsia="Times New Roman"/>
                <w:szCs w:val="24"/>
              </w:rPr>
              <w:t xml:space="preserve">Taslağın </w:t>
            </w:r>
            <w:r w:rsidR="00DD3E2D" w:rsidRPr="00D93F6E">
              <w:rPr>
                <w:rStyle w:val="KonuBalChar"/>
                <w:rFonts w:eastAsia="Calibri"/>
                <w:b w:val="0"/>
                <w:color w:val="auto"/>
              </w:rPr>
              <w:t>477 nci</w:t>
            </w:r>
            <w:r w:rsidR="00DD3E2D" w:rsidRPr="00A23740">
              <w:rPr>
                <w:rFonts w:eastAsia="Times New Roman"/>
                <w:b/>
                <w:color w:val="0000FF"/>
                <w:szCs w:val="24"/>
                <w:lang w:eastAsia="x-none"/>
              </w:rPr>
              <w:t xml:space="preserve"> </w:t>
            </w:r>
            <w:r w:rsidRPr="00A23740">
              <w:rPr>
                <w:rFonts w:eastAsia="Times New Roman"/>
                <w:szCs w:val="24"/>
              </w:rPr>
              <w:t>maddesinin üçüncü fıkrasında artırma suretiyle gemiyi satan icra ve iflas dairesi tarafından yapılacak işlemler düzenlenmiş olup, pazarlık suretiyle satışta satışı gerçekleştiren icra ve iflas dairesi tarafından aynı işlemlerin yapılması gerekli görülmüş; bu nedenle maddenin üçüncü fıkrasında pazarlık suretiyle satışta da teslim</w:t>
            </w:r>
            <w:r w:rsidR="00BF1137" w:rsidRPr="00A23740">
              <w:rPr>
                <w:rFonts w:eastAsia="Times New Roman"/>
                <w:szCs w:val="24"/>
              </w:rPr>
              <w:t>le</w:t>
            </w:r>
            <w:r w:rsidRPr="00A23740">
              <w:rPr>
                <w:rFonts w:eastAsia="Times New Roman"/>
                <w:szCs w:val="24"/>
              </w:rPr>
              <w:t xml:space="preserve"> birlikte </w:t>
            </w:r>
            <w:r w:rsidR="00DD3E2D" w:rsidRPr="00D93F6E">
              <w:rPr>
                <w:rStyle w:val="KonuBalChar"/>
                <w:rFonts w:eastAsia="Calibri"/>
                <w:b w:val="0"/>
                <w:color w:val="auto"/>
              </w:rPr>
              <w:t>477 nci</w:t>
            </w:r>
            <w:r w:rsidR="00DD3E2D" w:rsidRPr="00A23740">
              <w:rPr>
                <w:rFonts w:eastAsia="Times New Roman"/>
                <w:b/>
                <w:color w:val="0000FF"/>
                <w:szCs w:val="24"/>
                <w:lang w:eastAsia="x-none"/>
              </w:rPr>
              <w:t xml:space="preserve"> </w:t>
            </w:r>
            <w:r w:rsidRPr="00A23740">
              <w:rPr>
                <w:rFonts w:eastAsia="Times New Roman"/>
                <w:szCs w:val="24"/>
              </w:rPr>
              <w:t>maddenin üçüncü, dördüncü ve beşinci fıkralarının uygulanacağı hüküm altına alınmıştır.</w:t>
            </w:r>
          </w:p>
          <w:p w:rsidR="001D2B69" w:rsidRPr="00A23740" w:rsidRDefault="001D2B69"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b/>
                <w:bCs/>
                <w:strike/>
                <w:color w:val="FF0000"/>
                <w:szCs w:val="24"/>
                <w:lang w:eastAsia="x-none"/>
              </w:rPr>
            </w:pPr>
          </w:p>
          <w:p w:rsidR="00A46C6E" w:rsidRPr="00A23740" w:rsidRDefault="00A46C6E" w:rsidP="009431FF">
            <w:pPr>
              <w:widowControl w:val="0"/>
              <w:rPr>
                <w:rFonts w:eastAsia="Times New Roman"/>
                <w:b/>
                <w:bCs/>
                <w:strike/>
                <w:color w:val="FF0000"/>
                <w:szCs w:val="24"/>
                <w:lang w:eastAsia="x-none"/>
              </w:rPr>
            </w:pPr>
          </w:p>
          <w:p w:rsidR="00B77E55" w:rsidRPr="00A23740" w:rsidRDefault="00B77E55" w:rsidP="009431FF">
            <w:pPr>
              <w:widowControl w:val="0"/>
              <w:rPr>
                <w:rFonts w:eastAsia="Times New Roman"/>
                <w:b/>
                <w:bCs/>
                <w:strike/>
                <w:color w:val="FF0000"/>
                <w:szCs w:val="24"/>
                <w:lang w:eastAsia="x-none"/>
              </w:rPr>
            </w:pPr>
          </w:p>
          <w:p w:rsidR="00A46C6E" w:rsidRPr="00A23740" w:rsidRDefault="00A46C6E" w:rsidP="009431FF">
            <w:pPr>
              <w:widowControl w:val="0"/>
              <w:rPr>
                <w:rFonts w:eastAsia="Times New Roman"/>
                <w:szCs w:val="24"/>
                <w:lang w:eastAsia="tr-TR"/>
              </w:rPr>
            </w:pPr>
            <w:r w:rsidRPr="00A23740">
              <w:rPr>
                <w:rFonts w:eastAsia="Times New Roman"/>
                <w:b/>
                <w:bCs/>
                <w:strike/>
                <w:color w:val="FF0000"/>
                <w:szCs w:val="24"/>
                <w:lang w:eastAsia="x-none"/>
              </w:rPr>
              <w:t>8.</w:t>
            </w:r>
            <w:r w:rsidRPr="00A23740">
              <w:rPr>
                <w:rFonts w:eastAsia="Times New Roman"/>
                <w:b/>
                <w:bCs/>
                <w:szCs w:val="24"/>
                <w:lang w:eastAsia="tr-TR"/>
              </w:rPr>
              <w:t xml:space="preserve"> Sıra cetveli</w:t>
            </w:r>
          </w:p>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x-none"/>
              </w:rPr>
              <w:t>a)</w:t>
            </w:r>
            <w:r w:rsidRPr="00A23740">
              <w:rPr>
                <w:rFonts w:eastAsia="Times New Roman"/>
                <w:b/>
                <w:bCs/>
                <w:szCs w:val="24"/>
                <w:lang w:eastAsia="tr-TR"/>
              </w:rPr>
              <w:t xml:space="preserve"> </w:t>
            </w:r>
            <w:r w:rsidRPr="00A23740">
              <w:rPr>
                <w:rFonts w:eastAsia="Times New Roman"/>
                <w:b/>
                <w:bCs/>
                <w:strike/>
                <w:color w:val="FF0000"/>
                <w:szCs w:val="24"/>
                <w:lang w:eastAsia="x-none"/>
              </w:rPr>
              <w:t>İlkeler</w:t>
            </w:r>
          </w:p>
          <w:p w:rsidR="00A46C6E" w:rsidRPr="00A23740" w:rsidRDefault="00A46C6E" w:rsidP="009431FF">
            <w:pPr>
              <w:widowControl w:val="0"/>
              <w:rPr>
                <w:rFonts w:eastAsia="Times New Roman"/>
                <w:szCs w:val="24"/>
                <w:lang w:eastAsia="tr-TR"/>
              </w:rPr>
            </w:pPr>
            <w:r w:rsidRPr="00A23740">
              <w:rPr>
                <w:rFonts w:eastAsia="Times New Roman"/>
                <w:b/>
                <w:bCs/>
                <w:szCs w:val="24"/>
                <w:lang w:eastAsia="tr-TR"/>
              </w:rPr>
              <w:t xml:space="preserve">MADDE </w:t>
            </w:r>
            <w:r w:rsidRPr="00A23740">
              <w:rPr>
                <w:rFonts w:eastAsia="Times New Roman"/>
                <w:b/>
                <w:bCs/>
                <w:strike/>
                <w:color w:val="FF0000"/>
                <w:szCs w:val="24"/>
                <w:lang w:eastAsia="x-none"/>
              </w:rPr>
              <w:t>138</w:t>
            </w:r>
            <w:r w:rsidRPr="00136EBC">
              <w:rPr>
                <w:rStyle w:val="KIRMIZIChar"/>
                <w:rFonts w:eastAsia="Calibri"/>
              </w:rPr>
              <w:t>9- (F1 C1)</w:t>
            </w:r>
            <w:r w:rsidRPr="00A23740">
              <w:rPr>
                <w:rFonts w:eastAsia="Times New Roman"/>
                <w:szCs w:val="24"/>
                <w:lang w:eastAsia="tr-TR"/>
              </w:rPr>
              <w:t xml:space="preserve"> </w:t>
            </w:r>
            <w:r w:rsidRPr="00A23740">
              <w:rPr>
                <w:rFonts w:eastAsia="Times New Roman"/>
                <w:b/>
                <w:bCs/>
                <w:strike/>
                <w:color w:val="FF0000"/>
                <w:szCs w:val="24"/>
                <w:lang w:eastAsia="x-none"/>
              </w:rPr>
              <w:t>Türk veya yabancı bayraklı bir</w:t>
            </w:r>
            <w:r w:rsidRPr="00A23740">
              <w:rPr>
                <w:rFonts w:eastAsia="Times New Roman"/>
                <w:szCs w:val="24"/>
                <w:lang w:eastAsia="tr-TR"/>
              </w:rPr>
              <w:t xml:space="preserve"> gemi, </w:t>
            </w:r>
            <w:r w:rsidRPr="00A23740">
              <w:rPr>
                <w:rFonts w:eastAsia="Times New Roman"/>
                <w:b/>
                <w:bCs/>
                <w:strike/>
                <w:color w:val="FF0000"/>
                <w:szCs w:val="24"/>
                <w:lang w:eastAsia="x-none"/>
              </w:rPr>
              <w:t>cebrî icra yoluyla satıldığında,</w:t>
            </w:r>
            <w:r w:rsidRPr="00A23740">
              <w:rPr>
                <w:rFonts w:eastAsia="Times New Roman"/>
                <w:szCs w:val="24"/>
                <w:lang w:eastAsia="tr-TR"/>
              </w:rPr>
              <w:t xml:space="preserve"> satış </w:t>
            </w:r>
            <w:r w:rsidRPr="00A23740">
              <w:rPr>
                <w:rFonts w:eastAsia="Times New Roman"/>
                <w:b/>
                <w:bCs/>
                <w:strike/>
                <w:color w:val="FF0000"/>
                <w:szCs w:val="24"/>
                <w:lang w:eastAsia="x-none"/>
              </w:rPr>
              <w:t>tutarı</w:t>
            </w:r>
            <w:r w:rsidRPr="00A23740">
              <w:rPr>
                <w:rFonts w:eastAsia="Times New Roman"/>
                <w:szCs w:val="24"/>
                <w:lang w:eastAsia="tr-TR"/>
              </w:rPr>
              <w:t xml:space="preserve"> bütün alacaklıların alacağını ödemeye yetmezse, icra dairesi, alacaklıların bir sıra cetvelini yapar. </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BC195A" w:rsidRPr="00A23740" w:rsidRDefault="00BC195A" w:rsidP="009431FF">
            <w:pPr>
              <w:widowControl w:val="0"/>
              <w:rPr>
                <w:rFonts w:eastAsia="Times New Roman"/>
                <w:b/>
                <w:szCs w:val="24"/>
                <w:lang w:eastAsia="tr-TR"/>
              </w:rPr>
            </w:pPr>
          </w:p>
          <w:p w:rsidR="00BC195A" w:rsidRPr="00A23740" w:rsidRDefault="00BC195A" w:rsidP="009431FF">
            <w:pPr>
              <w:widowControl w:val="0"/>
              <w:rPr>
                <w:rFonts w:eastAsia="Times New Roman"/>
                <w:b/>
                <w:szCs w:val="24"/>
                <w:lang w:eastAsia="tr-TR"/>
              </w:rPr>
            </w:pPr>
          </w:p>
          <w:p w:rsidR="00A46C6E" w:rsidRPr="00A23740" w:rsidRDefault="00A42965" w:rsidP="009431FF">
            <w:pPr>
              <w:widowControl w:val="0"/>
              <w:rPr>
                <w:rFonts w:eastAsia="Times New Roman"/>
                <w:b/>
                <w:bCs/>
                <w:strike/>
                <w:color w:val="FF0000"/>
                <w:szCs w:val="24"/>
                <w:lang w:eastAsia="x-none"/>
              </w:rPr>
            </w:pPr>
            <w:r w:rsidRPr="00136EBC">
              <w:rPr>
                <w:rStyle w:val="KIRMIZIChar"/>
                <w:rFonts w:eastAsia="Calibri"/>
              </w:rPr>
              <w:t>(F1.</w:t>
            </w:r>
            <w:r w:rsidR="00A46C6E" w:rsidRPr="00136EBC">
              <w:rPr>
                <w:rStyle w:val="KIRMIZIChar"/>
                <w:rFonts w:eastAsia="Calibri"/>
              </w:rPr>
              <w:t>C2)</w:t>
            </w:r>
            <w:r w:rsidR="00A46C6E" w:rsidRPr="00A23740">
              <w:rPr>
                <w:rFonts w:eastAsia="Times New Roman"/>
                <w:szCs w:val="24"/>
                <w:lang w:eastAsia="tr-TR"/>
              </w:rPr>
              <w:t xml:space="preserve"> Alacaklar </w:t>
            </w:r>
            <w:r w:rsidR="00A46C6E" w:rsidRPr="00A23740">
              <w:rPr>
                <w:rFonts w:eastAsia="Times New Roman"/>
                <w:b/>
                <w:bCs/>
                <w:strike/>
                <w:color w:val="FF0000"/>
                <w:szCs w:val="24"/>
                <w:lang w:eastAsia="x-none"/>
              </w:rPr>
              <w:t>bu cetvele 1390 ilâ 1397 nci</w:t>
            </w:r>
            <w:r w:rsidR="00A46C6E" w:rsidRPr="00A23740">
              <w:rPr>
                <w:rFonts w:eastAsia="Times New Roman"/>
                <w:szCs w:val="24"/>
                <w:lang w:eastAsia="tr-TR"/>
              </w:rPr>
              <w:t xml:space="preserve"> maddelerde belirtilen sıra ile kaydedilir.</w:t>
            </w:r>
          </w:p>
          <w:p w:rsidR="00A46C6E" w:rsidRPr="00A23740" w:rsidRDefault="00A46C6E" w:rsidP="009431FF">
            <w:pPr>
              <w:widowControl w:val="0"/>
              <w:rPr>
                <w:rFonts w:eastAsia="Times New Roman"/>
                <w:b/>
                <w:bCs/>
                <w:strike/>
                <w:color w:val="FF0000"/>
                <w:szCs w:val="24"/>
                <w:lang w:eastAsia="x-none"/>
              </w:rPr>
            </w:pPr>
            <w:r w:rsidRPr="00A23740">
              <w:rPr>
                <w:rFonts w:eastAsia="Times New Roman"/>
                <w:b/>
                <w:bCs/>
                <w:strike/>
                <w:color w:val="FF0000"/>
                <w:szCs w:val="24"/>
                <w:lang w:eastAsia="x-none"/>
              </w:rPr>
              <w:t>Paranın paylaştırılmasına ilişkin hükümlerin gemilere uygulanması:</w:t>
            </w:r>
          </w:p>
          <w:p w:rsidR="00A46C6E" w:rsidRPr="00A23740" w:rsidRDefault="00A46C6E" w:rsidP="009431FF">
            <w:pPr>
              <w:widowControl w:val="0"/>
              <w:rPr>
                <w:rFonts w:eastAsia="Times New Roman"/>
                <w:b/>
                <w:bCs/>
                <w:strike/>
                <w:color w:val="FF0000"/>
                <w:szCs w:val="24"/>
                <w:lang w:eastAsia="x-none"/>
              </w:rPr>
            </w:pPr>
            <w:r w:rsidRPr="00A23740">
              <w:rPr>
                <w:rFonts w:eastAsia="Times New Roman"/>
                <w:b/>
                <w:bCs/>
                <w:strike/>
                <w:color w:val="FF0000"/>
                <w:szCs w:val="24"/>
                <w:lang w:eastAsia="x-none"/>
              </w:rPr>
              <w:t>Madde 144/a – (Ek: 14/1/2011-6103/41 md.)</w:t>
            </w:r>
          </w:p>
          <w:p w:rsidR="00A46C6E" w:rsidRPr="00A23740" w:rsidRDefault="00A46C6E" w:rsidP="009431FF">
            <w:pPr>
              <w:widowControl w:val="0"/>
              <w:rPr>
                <w:rFonts w:eastAsia="Times New Roman"/>
                <w:b/>
                <w:bCs/>
                <w:strike/>
                <w:color w:val="FF0000"/>
                <w:szCs w:val="24"/>
                <w:lang w:eastAsia="x-none"/>
              </w:rPr>
            </w:pPr>
            <w:r w:rsidRPr="00A23740">
              <w:rPr>
                <w:rFonts w:eastAsia="Times New Roman"/>
                <w:b/>
                <w:bCs/>
                <w:strike/>
                <w:color w:val="FF0000"/>
                <w:szCs w:val="24"/>
                <w:lang w:eastAsia="x-none"/>
              </w:rPr>
              <w:t>Paranın paylaştırılmasına ilişkin hükümler, gemilerin satışı hâlinde de uygulanır. Şu kadar ki, 140 ıncı madde uyarınca yapılacak sıra cetveli, bayrağına ve sicile kayıtlı olup olmadığına bakılmaksızın, bütün gemiler hakkında Türk Ticaret Kanununun 1389 ilâ 1397 nci maddesi hükümlerine tâbidir.</w:t>
            </w:r>
          </w:p>
          <w:p w:rsidR="00A46C6E" w:rsidRPr="00A23740" w:rsidRDefault="00A46C6E" w:rsidP="009431FF">
            <w:pPr>
              <w:widowControl w:val="0"/>
              <w:rPr>
                <w:rFonts w:eastAsia="Times New Roman"/>
                <w:b/>
                <w:bCs/>
                <w:strike/>
                <w:color w:val="FF0000"/>
                <w:szCs w:val="24"/>
                <w:lang w:eastAsia="x-none"/>
              </w:rPr>
            </w:pPr>
            <w:r w:rsidRPr="00A23740">
              <w:rPr>
                <w:rFonts w:eastAsia="Times New Roman"/>
                <w:b/>
                <w:bCs/>
                <w:strike/>
                <w:color w:val="FF0000"/>
                <w:szCs w:val="24"/>
                <w:lang w:eastAsia="x-none"/>
              </w:rPr>
              <w:t>Türk gemi siciline kayıtlı olan gemiyi paraya çeviren icra dairesi, sicile kayıtlı ipotek ve intifa haklarına ait kayıtların terkin veya nakillerini yaptırır; yabancı sicile kayıtlı gemilerde, bu işlemin yapılması için geminin bayrağını taşıdığı devletin en yakın konsolosluğuna bildirimde bulunur.</w:t>
            </w:r>
          </w:p>
          <w:p w:rsidR="00A46C6E" w:rsidRPr="00A23740" w:rsidRDefault="00A46C6E" w:rsidP="009431FF">
            <w:pPr>
              <w:widowControl w:val="0"/>
              <w:rPr>
                <w:rFonts w:eastAsia="Times New Roman"/>
                <w:b/>
                <w:bCs/>
                <w:strike/>
                <w:color w:val="FF0000"/>
                <w:szCs w:val="24"/>
                <w:lang w:eastAsia="x-none"/>
              </w:rPr>
            </w:pPr>
          </w:p>
          <w:p w:rsidR="00A46C6E" w:rsidRPr="00A23740" w:rsidRDefault="00A46C6E" w:rsidP="009431FF">
            <w:pPr>
              <w:widowControl w:val="0"/>
              <w:rPr>
                <w:rFonts w:eastAsia="Times New Roman"/>
                <w:szCs w:val="24"/>
                <w:lang w:eastAsia="tr-TR"/>
              </w:rPr>
            </w:pPr>
            <w:r w:rsidRPr="00136EBC">
              <w:rPr>
                <w:rStyle w:val="KIRMIZIChar"/>
                <w:rFonts w:eastAsia="Calibri"/>
              </w:rPr>
              <w:t>(2) Bir</w:t>
            </w:r>
            <w:r w:rsidRPr="00A23740">
              <w:rPr>
                <w:rFonts w:eastAsia="Times New Roman"/>
                <w:b/>
                <w:bCs/>
                <w:strike/>
                <w:color w:val="FF0000"/>
                <w:szCs w:val="24"/>
                <w:lang w:eastAsia="x-none"/>
              </w:rPr>
              <w:t xml:space="preserve"> donatanın</w:t>
            </w:r>
            <w:r w:rsidRPr="00A23740">
              <w:rPr>
                <w:rFonts w:eastAsia="Times New Roman"/>
                <w:szCs w:val="24"/>
                <w:lang w:eastAsia="tr-TR"/>
              </w:rPr>
              <w:t xml:space="preserve"> iflas</w:t>
            </w:r>
            <w:r w:rsidRPr="00A23740">
              <w:rPr>
                <w:rFonts w:eastAsia="Times New Roman"/>
                <w:b/>
                <w:bCs/>
                <w:strike/>
                <w:color w:val="FF0000"/>
                <w:szCs w:val="24"/>
                <w:lang w:eastAsia="x-none"/>
              </w:rPr>
              <w:t>ı</w:t>
            </w:r>
            <w:r w:rsidRPr="00A23740">
              <w:rPr>
                <w:rFonts w:eastAsia="Times New Roman"/>
                <w:szCs w:val="24"/>
                <w:lang w:eastAsia="tr-TR"/>
              </w:rPr>
              <w:t xml:space="preserve"> hâlinde birden </w:t>
            </w:r>
            <w:r w:rsidRPr="00A23740">
              <w:rPr>
                <w:rFonts w:eastAsia="Times New Roman"/>
                <w:b/>
                <w:bCs/>
                <w:strike/>
                <w:color w:val="FF0000"/>
                <w:szCs w:val="24"/>
                <w:lang w:eastAsia="x-none"/>
              </w:rPr>
              <w:t>çok</w:t>
            </w:r>
            <w:r w:rsidRPr="00A23740">
              <w:rPr>
                <w:rFonts w:eastAsia="Times New Roman"/>
                <w:szCs w:val="24"/>
                <w:lang w:eastAsia="tr-TR"/>
              </w:rPr>
              <w:t xml:space="preserve"> gemi</w:t>
            </w:r>
            <w:r w:rsidRPr="00A23740">
              <w:rPr>
                <w:rFonts w:eastAsia="Times New Roman"/>
                <w:b/>
                <w:bCs/>
                <w:strike/>
                <w:color w:val="FF0000"/>
                <w:szCs w:val="24"/>
                <w:lang w:eastAsia="x-none"/>
              </w:rPr>
              <w:t>si</w:t>
            </w:r>
            <w:r w:rsidRPr="00A23740">
              <w:rPr>
                <w:rFonts w:eastAsia="Times New Roman"/>
                <w:szCs w:val="24"/>
                <w:lang w:eastAsia="tr-TR"/>
              </w:rPr>
              <w:t xml:space="preserve"> paraya çevril</w:t>
            </w:r>
            <w:r w:rsidRPr="00A23740">
              <w:rPr>
                <w:rFonts w:eastAsia="Times New Roman"/>
                <w:b/>
                <w:bCs/>
                <w:strike/>
                <w:color w:val="FF0000"/>
                <w:szCs w:val="24"/>
                <w:lang w:eastAsia="x-none"/>
              </w:rPr>
              <w:t>irse,</w:t>
            </w:r>
            <w:r w:rsidRPr="00A23740">
              <w:rPr>
                <w:rFonts w:eastAsia="Times New Roman"/>
                <w:szCs w:val="24"/>
                <w:lang w:eastAsia="tr-TR"/>
              </w:rPr>
              <w:t xml:space="preserve"> </w:t>
            </w:r>
            <w:r w:rsidRPr="00A23740">
              <w:rPr>
                <w:rStyle w:val="KIRMIZIChar"/>
                <w:rFonts w:eastAsia="Calibri"/>
              </w:rPr>
              <w:t>1390 ilâ 1397 n</w:t>
            </w:r>
            <w:r w:rsidRPr="00A23740">
              <w:rPr>
                <w:rFonts w:eastAsia="Times New Roman"/>
                <w:b/>
                <w:strike/>
                <w:color w:val="FF0000"/>
                <w:szCs w:val="24"/>
                <w:lang w:eastAsia="tr-TR"/>
              </w:rPr>
              <w:t xml:space="preserve">ci </w:t>
            </w:r>
            <w:r w:rsidRPr="00A23740">
              <w:rPr>
                <w:rFonts w:eastAsia="Times New Roman"/>
                <w:szCs w:val="24"/>
                <w:lang w:eastAsia="tr-TR"/>
              </w:rPr>
              <w:t>maddelerde belirtilen sıralama her gemi için ayrı ayrı yapılır ve o sıraya göre ödemede bulunulur.</w:t>
            </w:r>
          </w:p>
          <w:p w:rsidR="00A46C6E" w:rsidRPr="00A23740" w:rsidRDefault="00A46C6E" w:rsidP="009431FF">
            <w:pPr>
              <w:widowControl w:val="0"/>
              <w:rPr>
                <w:rFonts w:eastAsia="Times New Roman"/>
                <w:b/>
                <w:bCs/>
                <w:strike/>
                <w:color w:val="FF0000"/>
                <w:szCs w:val="24"/>
                <w:lang w:eastAsia="x-none"/>
              </w:rPr>
            </w:pPr>
          </w:p>
          <w:p w:rsidR="00A46C6E" w:rsidRPr="00A23740" w:rsidRDefault="00A46C6E" w:rsidP="009431FF">
            <w:pPr>
              <w:widowControl w:val="0"/>
              <w:rPr>
                <w:rFonts w:eastAsia="Times New Roman"/>
                <w:b/>
                <w:bCs/>
                <w:strike/>
                <w:color w:val="FF0000"/>
                <w:szCs w:val="24"/>
                <w:lang w:eastAsia="x-none"/>
              </w:rPr>
            </w:pPr>
          </w:p>
          <w:p w:rsidR="00A46C6E" w:rsidRPr="00A23740" w:rsidRDefault="00A46C6E" w:rsidP="009431FF">
            <w:pPr>
              <w:widowControl w:val="0"/>
              <w:rPr>
                <w:rFonts w:eastAsia="Times New Roman"/>
                <w:b/>
                <w:bCs/>
                <w:strike/>
                <w:color w:val="FF0000"/>
                <w:szCs w:val="24"/>
                <w:lang w:eastAsia="x-none"/>
              </w:rPr>
            </w:pPr>
          </w:p>
          <w:p w:rsidR="00A46C6E" w:rsidRPr="00A23740" w:rsidRDefault="00A46C6E" w:rsidP="009431FF">
            <w:pPr>
              <w:widowControl w:val="0"/>
              <w:rPr>
                <w:rFonts w:eastAsia="Times New Roman"/>
                <w:b/>
                <w:bCs/>
                <w:strike/>
                <w:color w:val="FF0000"/>
                <w:szCs w:val="24"/>
                <w:lang w:eastAsia="x-none"/>
              </w:rPr>
            </w:pPr>
          </w:p>
          <w:p w:rsidR="00BC195A" w:rsidRPr="00A23740" w:rsidRDefault="00BC195A"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136EBC">
              <w:rPr>
                <w:rStyle w:val="KIRMIZIChar"/>
                <w:rFonts w:eastAsia="Calibri"/>
              </w:rPr>
              <w:t>(3)</w:t>
            </w:r>
            <w:r w:rsidRPr="00A23740">
              <w:rPr>
                <w:rFonts w:eastAsia="Times New Roman"/>
                <w:szCs w:val="24"/>
                <w:lang w:eastAsia="tr-TR"/>
              </w:rPr>
              <w:t xml:space="preserve"> Bir sıradaki alacaklılar, alacaklarını tamamen almadıkça, sonra gelen sıradaki alacaklılara </w:t>
            </w:r>
            <w:r w:rsidRPr="00A23740">
              <w:rPr>
                <w:rStyle w:val="KIRMIZIChar"/>
                <w:rFonts w:eastAsia="Calibri"/>
              </w:rPr>
              <w:t>ödemede bulunulmaz</w:t>
            </w:r>
            <w:r w:rsidR="00993A1A" w:rsidRPr="00A23740">
              <w:rPr>
                <w:rFonts w:eastAsia="Times New Roman"/>
                <w:szCs w:val="24"/>
                <w:lang w:eastAsia="tr-TR"/>
              </w:rPr>
              <w:t xml:space="preserve">. </w:t>
            </w:r>
          </w:p>
          <w:p w:rsidR="00993A1A" w:rsidRPr="00A23740" w:rsidRDefault="00993A1A"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136EBC">
              <w:rPr>
                <w:rStyle w:val="KIRMIZIChar"/>
                <w:rFonts w:eastAsia="Calibri"/>
              </w:rPr>
              <w:t>(4)</w:t>
            </w:r>
            <w:r w:rsidRPr="00A23740">
              <w:rPr>
                <w:rFonts w:eastAsia="Times New Roman"/>
                <w:szCs w:val="24"/>
                <w:lang w:eastAsia="tr-TR"/>
              </w:rPr>
              <w:t xml:space="preserve"> Sıra cetvelinin birinci ilâ yedinci sıralarına kabul edilen alacaklılar, alacaklarının tamamını tahsil edemezse, borçlunun </w:t>
            </w:r>
            <w:r w:rsidRPr="00A23740">
              <w:rPr>
                <w:rFonts w:eastAsia="Times New Roman"/>
                <w:b/>
                <w:strike/>
                <w:color w:val="FF0000"/>
                <w:szCs w:val="24"/>
                <w:lang w:eastAsia="x-none"/>
              </w:rPr>
              <w:t>kalan</w:t>
            </w:r>
            <w:r w:rsidRPr="00A23740">
              <w:rPr>
                <w:rFonts w:eastAsia="Times New Roman"/>
                <w:szCs w:val="24"/>
                <w:lang w:eastAsia="tr-TR"/>
              </w:rPr>
              <w:t xml:space="preserve"> malvarlığına </w:t>
            </w:r>
            <w:r w:rsidRPr="00136EBC">
              <w:rPr>
                <w:rStyle w:val="KIRMIZIChar"/>
                <w:rFonts w:eastAsia="Calibri"/>
              </w:rPr>
              <w:t>başvururken</w:t>
            </w:r>
            <w:r w:rsidRPr="00A23740">
              <w:rPr>
                <w:rFonts w:eastAsia="Times New Roman"/>
                <w:b/>
                <w:strike/>
                <w:color w:val="FF0000"/>
                <w:szCs w:val="24"/>
                <w:lang w:eastAsia="x-none"/>
              </w:rPr>
              <w:t xml:space="preserve"> bir öncelikten yararlanamazlar</w:t>
            </w:r>
            <w:r w:rsidRPr="00A23740">
              <w:rPr>
                <w:rFonts w:eastAsia="Times New Roman"/>
                <w:szCs w:val="24"/>
                <w:lang w:eastAsia="tr-TR"/>
              </w:rPr>
              <w:t>.</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Paranın paylaştırılmasına ilişkin hükümlerin gemilere uygulanması:</w:t>
            </w: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Madde 144/a – (Ek: 14/1/2011-6103/41 md.)</w:t>
            </w: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(F1) Paranın paylaştırılmasına ilişkin hükümler, gemilerin satışı hâlinde de uygulanır. Şu kadar ki, 140 ıncı madde uyarınca yapılacak sıra cetveli, bayrağına ve sicile kayıtlı olup olmadığına bakılmaksızın, bütün gemiler hakkında Türk Ticaret Kanununun 1389 ilâ 1397 nci maddesi hükümlerine tâbidir.</w:t>
            </w:r>
          </w:p>
          <w:p w:rsidR="00A46C6E" w:rsidRPr="00A23740" w:rsidRDefault="00A46C6E" w:rsidP="009431FF">
            <w:pPr>
              <w:widowControl w:val="0"/>
              <w:rPr>
                <w:rFonts w:eastAsia="Times New Roman"/>
                <w:b/>
                <w:bCs/>
                <w:strike/>
                <w:color w:val="FF0000"/>
                <w:szCs w:val="24"/>
                <w:lang w:eastAsia="x-none"/>
              </w:rPr>
            </w:pPr>
          </w:p>
        </w:tc>
        <w:tc>
          <w:tcPr>
            <w:tcW w:w="2500" w:type="pct"/>
            <w:shd w:val="clear" w:color="auto" w:fill="auto"/>
          </w:tcPr>
          <w:p w:rsidR="00B77E55" w:rsidRPr="00D93F6E" w:rsidRDefault="00B77E55" w:rsidP="009431FF">
            <w:pPr>
              <w:pStyle w:val="KonuBal"/>
              <w:jc w:val="center"/>
              <w:rPr>
                <w:color w:val="0000FF"/>
              </w:rPr>
            </w:pPr>
            <w:r w:rsidRPr="00D93F6E">
              <w:rPr>
                <w:color w:val="0000FF"/>
              </w:rPr>
              <w:t>BEŞİNCİ KISIM</w:t>
            </w:r>
          </w:p>
          <w:p w:rsidR="00A46C6E" w:rsidRPr="00A23740" w:rsidRDefault="00A46C6E" w:rsidP="009431FF">
            <w:pPr>
              <w:widowControl w:val="0"/>
              <w:jc w:val="center"/>
              <w:rPr>
                <w:rFonts w:eastAsia="Times New Roman"/>
                <w:b/>
                <w:bCs/>
                <w:color w:val="0000FF"/>
                <w:szCs w:val="24"/>
                <w:lang w:eastAsia="x-none"/>
              </w:rPr>
            </w:pPr>
            <w:r w:rsidRPr="00A23740">
              <w:rPr>
                <w:rFonts w:eastAsia="Times New Roman"/>
                <w:b/>
                <w:bCs/>
                <w:color w:val="0000FF"/>
                <w:szCs w:val="24"/>
                <w:lang w:eastAsia="x-none"/>
              </w:rPr>
              <w:t>Satış Bedelinin Paylaştırılması</w:t>
            </w:r>
          </w:p>
          <w:p w:rsidR="00A46C6E" w:rsidRPr="00A23740" w:rsidRDefault="00A46C6E" w:rsidP="009431FF">
            <w:pPr>
              <w:widowControl w:val="0"/>
              <w:rPr>
                <w:rFonts w:eastAsia="Times New Roman"/>
                <w:b/>
                <w:bCs/>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b/>
                <w:bCs/>
                <w:szCs w:val="24"/>
                <w:lang w:eastAsia="tr-TR"/>
              </w:rPr>
              <w:t>Sıra cetveli</w:t>
            </w:r>
          </w:p>
          <w:p w:rsidR="00A46C6E" w:rsidRPr="00A23740" w:rsidRDefault="00993A1A" w:rsidP="009431FF">
            <w:pPr>
              <w:widowControl w:val="0"/>
              <w:rPr>
                <w:rFonts w:eastAsia="Times New Roman"/>
                <w:szCs w:val="24"/>
                <w:lang w:eastAsia="tr-TR"/>
              </w:rPr>
            </w:pPr>
            <w:r w:rsidRPr="00136EBC">
              <w:rPr>
                <w:rFonts w:eastAsia="Times New Roman"/>
                <w:b/>
                <w:bCs/>
                <w:color w:val="000000" w:themeColor="text1"/>
                <w:szCs w:val="24"/>
                <w:lang w:eastAsia="x-none"/>
              </w:rPr>
              <w:t xml:space="preserve">MADDE </w:t>
            </w:r>
            <w:r w:rsidRPr="00A23740">
              <w:rPr>
                <w:rFonts w:eastAsia="Times New Roman"/>
                <w:b/>
                <w:bCs/>
                <w:color w:val="0000FF"/>
                <w:szCs w:val="24"/>
                <w:lang w:eastAsia="x-none"/>
              </w:rPr>
              <w:t>480</w:t>
            </w:r>
            <w:r w:rsidR="00A46C6E" w:rsidRPr="00A23740">
              <w:rPr>
                <w:rFonts w:eastAsia="Times New Roman"/>
                <w:b/>
                <w:bCs/>
                <w:color w:val="0000FF"/>
                <w:szCs w:val="24"/>
                <w:lang w:eastAsia="x-none"/>
              </w:rPr>
              <w:t xml:space="preserve">- (1) Bayrağına ve sicile kayıtlı olup olmadığına bakılmaksızın </w:t>
            </w:r>
            <w:r w:rsidR="00A46C6E" w:rsidRPr="00A23740">
              <w:rPr>
                <w:rFonts w:eastAsia="Times New Roman"/>
                <w:szCs w:val="24"/>
                <w:lang w:eastAsia="tr-TR"/>
              </w:rPr>
              <w:t>gemi</w:t>
            </w:r>
            <w:r w:rsidR="00A46C6E" w:rsidRPr="00A23740">
              <w:rPr>
                <w:rFonts w:eastAsia="Times New Roman"/>
                <w:b/>
                <w:bCs/>
                <w:color w:val="0000FF"/>
                <w:szCs w:val="24"/>
                <w:lang w:eastAsia="x-none"/>
              </w:rPr>
              <w:t xml:space="preserve">nin </w:t>
            </w:r>
            <w:r w:rsidR="00A46C6E" w:rsidRPr="00A23740">
              <w:rPr>
                <w:rFonts w:eastAsia="Times New Roman"/>
                <w:szCs w:val="24"/>
                <w:lang w:eastAsia="tr-TR"/>
              </w:rPr>
              <w:t>satış</w:t>
            </w:r>
            <w:r w:rsidR="00A46C6E" w:rsidRPr="00A23740">
              <w:rPr>
                <w:rFonts w:eastAsia="Times New Roman"/>
                <w:b/>
                <w:bCs/>
                <w:color w:val="0000FF"/>
                <w:szCs w:val="24"/>
                <w:lang w:eastAsia="x-none"/>
              </w:rPr>
              <w:t xml:space="preserve"> bedeli </w:t>
            </w:r>
            <w:r w:rsidR="00A46C6E" w:rsidRPr="00A23740">
              <w:rPr>
                <w:rFonts w:eastAsia="Times New Roman"/>
                <w:szCs w:val="24"/>
                <w:lang w:eastAsia="tr-TR"/>
              </w:rPr>
              <w:t>bütün alacaklıların alacağını</w:t>
            </w:r>
            <w:r w:rsidR="00A46C6E" w:rsidRPr="00A23740">
              <w:rPr>
                <w:rFonts w:eastAsia="Times New Roman"/>
                <w:b/>
                <w:bCs/>
                <w:color w:val="0000FF"/>
                <w:szCs w:val="24"/>
                <w:lang w:eastAsia="x-none"/>
              </w:rPr>
              <w:t xml:space="preserve"> tamamen </w:t>
            </w:r>
            <w:r w:rsidR="00A46C6E" w:rsidRPr="00A23740">
              <w:rPr>
                <w:rFonts w:eastAsia="Times New Roman"/>
                <w:szCs w:val="24"/>
                <w:lang w:eastAsia="tr-TR"/>
              </w:rPr>
              <w:t xml:space="preserve">ödemeye yetmezse, icra </w:t>
            </w:r>
            <w:r w:rsidR="00A46C6E" w:rsidRPr="00A23740">
              <w:rPr>
                <w:rFonts w:eastAsia="Times New Roman"/>
                <w:b/>
                <w:bCs/>
                <w:color w:val="0000FF"/>
                <w:szCs w:val="24"/>
                <w:lang w:eastAsia="x-none"/>
              </w:rPr>
              <w:t>ve</w:t>
            </w:r>
            <w:r w:rsidR="00A46C6E" w:rsidRPr="00A23740">
              <w:rPr>
                <w:rFonts w:eastAsia="Times New Roman"/>
                <w:bCs/>
                <w:color w:val="0000FF"/>
                <w:lang w:eastAsia="x-none"/>
              </w:rPr>
              <w:t xml:space="preserve"> </w:t>
            </w:r>
            <w:r w:rsidR="00A46C6E" w:rsidRPr="00A23740">
              <w:rPr>
                <w:rFonts w:eastAsia="Times New Roman"/>
                <w:b/>
                <w:bCs/>
                <w:color w:val="0000FF"/>
                <w:szCs w:val="24"/>
                <w:lang w:eastAsia="x-none"/>
              </w:rPr>
              <w:t>iflas</w:t>
            </w:r>
            <w:r w:rsidR="00A46C6E" w:rsidRPr="00A23740">
              <w:rPr>
                <w:rFonts w:eastAsia="Times New Roman"/>
                <w:szCs w:val="24"/>
                <w:lang w:eastAsia="tr-TR"/>
              </w:rPr>
              <w:t xml:space="preserve"> dairesi</w:t>
            </w:r>
            <w:r w:rsidR="00A46C6E" w:rsidRPr="00A23740">
              <w:rPr>
                <w:rFonts w:eastAsia="Times New Roman"/>
                <w:b/>
                <w:bCs/>
                <w:color w:val="0000FF"/>
                <w:szCs w:val="24"/>
                <w:lang w:eastAsia="x-none"/>
              </w:rPr>
              <w:t xml:space="preserve"> satış tarihini esas alarak</w:t>
            </w:r>
            <w:r w:rsidR="000F4DC6" w:rsidRPr="000E20B7">
              <w:rPr>
                <w:rFonts w:eastAsia="Times New Roman"/>
                <w:b/>
                <w:bCs/>
                <w:color w:val="0000FF"/>
                <w:szCs w:val="24"/>
                <w:lang w:eastAsia="x-none"/>
              </w:rPr>
              <w:t>,</w:t>
            </w:r>
            <w:r w:rsidR="00A46C6E" w:rsidRPr="00A23740">
              <w:rPr>
                <w:rFonts w:eastAsia="Times New Roman"/>
                <w:b/>
                <w:bCs/>
                <w:color w:val="0000FF"/>
                <w:szCs w:val="24"/>
                <w:lang w:eastAsia="x-none"/>
              </w:rPr>
              <w:t xml:space="preserve"> kamu alacakları da dahil </w:t>
            </w:r>
            <w:r w:rsidR="00A46C6E" w:rsidRPr="00A23740">
              <w:rPr>
                <w:rFonts w:eastAsia="Times New Roman"/>
                <w:szCs w:val="24"/>
                <w:lang w:eastAsia="tr-TR"/>
              </w:rPr>
              <w:t>alacaklıların bir sıra cetvelini yapar.</w:t>
            </w:r>
            <w:r w:rsidR="00A46C6E" w:rsidRPr="00A23740">
              <w:rPr>
                <w:rFonts w:eastAsia="Times New Roman"/>
                <w:b/>
                <w:bCs/>
                <w:color w:val="0000FF"/>
                <w:szCs w:val="24"/>
                <w:lang w:eastAsia="x-none"/>
              </w:rPr>
              <w:t xml:space="preserve"> </w:t>
            </w: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tabs>
                <w:tab w:val="left" w:pos="567"/>
              </w:tabs>
              <w:rPr>
                <w:b/>
                <w:bCs/>
                <w:color w:val="0000FF"/>
                <w:szCs w:val="24"/>
                <w:lang w:val="x-none" w:eastAsia="x-none"/>
              </w:rPr>
            </w:pPr>
            <w:r w:rsidRPr="00136EBC">
              <w:rPr>
                <w:rStyle w:val="Balk1Char"/>
                <w:rFonts w:eastAsia="Calibri"/>
              </w:rPr>
              <w:t>(2)</w:t>
            </w:r>
            <w:r w:rsidRPr="00A23740">
              <w:rPr>
                <w:b/>
                <w:bCs/>
                <w:color w:val="0000FF"/>
                <w:szCs w:val="24"/>
                <w:lang w:val="x-none" w:eastAsia="x-none"/>
              </w:rPr>
              <w:t xml:space="preserve"> Birinci fıkra uyarınca oluşturulan sıra cetvelinin bir</w:t>
            </w:r>
            <w:r w:rsidRPr="00FA175B">
              <w:rPr>
                <w:b/>
                <w:bCs/>
                <w:color w:val="00B050"/>
                <w:szCs w:val="24"/>
                <w:lang w:val="x-none" w:eastAsia="x-none"/>
              </w:rPr>
              <w:t xml:space="preserve"> </w:t>
            </w:r>
            <w:r w:rsidRPr="00D93F6E">
              <w:rPr>
                <w:b/>
                <w:bCs/>
                <w:color w:val="0000FF"/>
                <w:szCs w:val="24"/>
                <w:lang w:val="x-none" w:eastAsia="x-none"/>
              </w:rPr>
              <w:t>örneği</w:t>
            </w:r>
            <w:r w:rsidRPr="00A23740">
              <w:rPr>
                <w:b/>
                <w:bCs/>
                <w:color w:val="0000FF"/>
                <w:szCs w:val="24"/>
                <w:lang w:val="x-none" w:eastAsia="x-none"/>
              </w:rPr>
              <w:t xml:space="preserve"> icra </w:t>
            </w:r>
            <w:r w:rsidRPr="00A23740">
              <w:rPr>
                <w:rFonts w:eastAsia="Times New Roman"/>
                <w:b/>
                <w:bCs/>
                <w:color w:val="0000FF"/>
                <w:szCs w:val="24"/>
                <w:lang w:eastAsia="x-none"/>
              </w:rPr>
              <w:t>ve iflas</w:t>
            </w:r>
            <w:r w:rsidRPr="00A23740">
              <w:rPr>
                <w:b/>
                <w:bCs/>
                <w:color w:val="0000FF"/>
                <w:szCs w:val="24"/>
                <w:lang w:eastAsia="x-none"/>
              </w:rPr>
              <w:t xml:space="preserve"> </w:t>
            </w:r>
            <w:r w:rsidRPr="00A23740">
              <w:rPr>
                <w:b/>
                <w:bCs/>
                <w:color w:val="0000FF"/>
                <w:szCs w:val="24"/>
                <w:lang w:val="x-none" w:eastAsia="x-none"/>
              </w:rPr>
              <w:t>dairesi tarafından ilgililere tebliğ edilir. Sıra cetvelinin tebliğinden itibaren bir hafta içinde, ilgili her alacaklı sıra cetveline karşı</w:t>
            </w:r>
            <w:r w:rsidR="00BC195A" w:rsidRPr="00A23740">
              <w:rPr>
                <w:rStyle w:val="YELChar"/>
              </w:rPr>
              <w:t xml:space="preserve"> </w:t>
            </w:r>
            <w:r w:rsidR="00BC195A" w:rsidRPr="00D93F6E">
              <w:rPr>
                <w:rStyle w:val="YELChar"/>
                <w:color w:val="0000FF"/>
              </w:rPr>
              <w:t>duruma göre,</w:t>
            </w:r>
            <w:r w:rsidRPr="00A23740">
              <w:rPr>
                <w:b/>
                <w:bCs/>
                <w:color w:val="0000FF"/>
                <w:szCs w:val="24"/>
                <w:lang w:val="x-none" w:eastAsia="x-none"/>
              </w:rPr>
              <w:t xml:space="preserve"> </w:t>
            </w:r>
            <w:r w:rsidRPr="00A23740">
              <w:rPr>
                <w:rFonts w:eastAsia="Times New Roman"/>
                <w:b/>
                <w:bCs/>
                <w:color w:val="0000FF"/>
                <w:szCs w:val="24"/>
                <w:lang w:eastAsia="x-none"/>
              </w:rPr>
              <w:t>deniz alacakların</w:t>
            </w:r>
            <w:r w:rsidRPr="00D93F6E">
              <w:rPr>
                <w:rFonts w:eastAsia="Times New Roman"/>
                <w:b/>
                <w:bCs/>
                <w:color w:val="0000FF"/>
                <w:szCs w:val="24"/>
                <w:lang w:eastAsia="x-none"/>
              </w:rPr>
              <w:t>d</w:t>
            </w:r>
            <w:r w:rsidRPr="00A23740">
              <w:rPr>
                <w:rFonts w:eastAsia="Times New Roman"/>
                <w:b/>
                <w:bCs/>
                <w:color w:val="0000FF"/>
                <w:szCs w:val="24"/>
                <w:lang w:eastAsia="x-none"/>
              </w:rPr>
              <w:t xml:space="preserve">a </w:t>
            </w:r>
            <w:r w:rsidRPr="00D93F6E">
              <w:rPr>
                <w:rFonts w:eastAsia="Times New Roman"/>
                <w:b/>
                <w:bCs/>
                <w:color w:val="0000FF"/>
                <w:szCs w:val="24"/>
                <w:lang w:eastAsia="x-none"/>
              </w:rPr>
              <w:t>görevli</w:t>
            </w:r>
            <w:r w:rsidRPr="00A23740">
              <w:rPr>
                <w:rFonts w:eastAsia="Times New Roman"/>
                <w:b/>
                <w:bCs/>
                <w:color w:val="00B050"/>
                <w:szCs w:val="24"/>
                <w:lang w:eastAsia="x-none"/>
              </w:rPr>
              <w:t xml:space="preserve"> </w:t>
            </w:r>
            <w:r w:rsidRPr="00D93F6E">
              <w:rPr>
                <w:rFonts w:eastAsia="Times New Roman"/>
                <w:b/>
                <w:bCs/>
                <w:color w:val="0000FF"/>
                <w:szCs w:val="24"/>
                <w:lang w:eastAsia="x-none"/>
              </w:rPr>
              <w:t>mahkemeye</w:t>
            </w:r>
            <w:r w:rsidRPr="00A23740">
              <w:rPr>
                <w:rFonts w:eastAsia="Times New Roman"/>
                <w:b/>
                <w:bCs/>
                <w:color w:val="0000FF"/>
                <w:szCs w:val="24"/>
                <w:lang w:eastAsia="x-none"/>
              </w:rPr>
              <w:t xml:space="preserve"> ilişkin</w:t>
            </w:r>
            <w:r w:rsidR="000F5758" w:rsidRPr="00A23740">
              <w:rPr>
                <w:rFonts w:eastAsia="Times New Roman"/>
                <w:b/>
                <w:bCs/>
                <w:color w:val="0000FF"/>
                <w:szCs w:val="24"/>
                <w:lang w:eastAsia="x-none"/>
              </w:rPr>
              <w:t xml:space="preserve"> </w:t>
            </w:r>
            <w:r w:rsidR="000F5758" w:rsidRPr="00D93F6E">
              <w:rPr>
                <w:rStyle w:val="KonuBalChar"/>
                <w:rFonts w:eastAsia="Calibri"/>
                <w:color w:val="0000FF"/>
              </w:rPr>
              <w:t>467</w:t>
            </w:r>
            <w:r w:rsidR="000F5758" w:rsidRPr="00A23740">
              <w:rPr>
                <w:rStyle w:val="KonuBalChar"/>
                <w:rFonts w:eastAsia="Calibri"/>
              </w:rPr>
              <w:t xml:space="preserve"> </w:t>
            </w:r>
            <w:r w:rsidR="000F5758" w:rsidRPr="00D93F6E">
              <w:rPr>
                <w:rStyle w:val="KonuBalChar"/>
                <w:rFonts w:eastAsia="Calibri"/>
                <w:color w:val="0000FF"/>
              </w:rPr>
              <w:t>nci</w:t>
            </w:r>
            <w:r w:rsidRPr="00A23740">
              <w:rPr>
                <w:b/>
                <w:bCs/>
                <w:color w:val="0000FF"/>
                <w:szCs w:val="24"/>
                <w:lang w:eastAsia="x-none"/>
              </w:rPr>
              <w:t xml:space="preserve"> </w:t>
            </w:r>
            <w:r w:rsidRPr="00A23740">
              <w:rPr>
                <w:b/>
                <w:bCs/>
                <w:color w:val="0000FF"/>
                <w:szCs w:val="24"/>
                <w:lang w:val="x-none" w:eastAsia="x-none"/>
              </w:rPr>
              <w:t>maddede belirtilen mahkemede itiraz davası açabileceği gib</w:t>
            </w:r>
            <w:r w:rsidRPr="00FA175B">
              <w:rPr>
                <w:b/>
                <w:bCs/>
                <w:color w:val="0000FF"/>
                <w:szCs w:val="24"/>
                <w:lang w:val="x-none" w:eastAsia="x-none"/>
              </w:rPr>
              <w:t>i</w:t>
            </w:r>
            <w:r w:rsidRPr="00A23740">
              <w:rPr>
                <w:b/>
                <w:bCs/>
                <w:color w:val="0000FF"/>
                <w:szCs w:val="24"/>
                <w:lang w:val="x-none" w:eastAsia="x-none"/>
              </w:rPr>
              <w:t xml:space="preserve"> şikâyet yoluna</w:t>
            </w:r>
            <w:r w:rsidR="00BC195A" w:rsidRPr="00A23740">
              <w:rPr>
                <w:b/>
                <w:bCs/>
                <w:color w:val="0000FF"/>
                <w:szCs w:val="24"/>
                <w:lang w:eastAsia="x-none"/>
              </w:rPr>
              <w:t xml:space="preserve"> </w:t>
            </w:r>
            <w:r w:rsidR="00BC195A" w:rsidRPr="00D93F6E">
              <w:rPr>
                <w:rStyle w:val="YELChar"/>
                <w:color w:val="0000FF"/>
              </w:rPr>
              <w:t>da</w:t>
            </w:r>
            <w:r w:rsidRPr="00A23740">
              <w:rPr>
                <w:b/>
                <w:bCs/>
                <w:color w:val="0000FF"/>
                <w:szCs w:val="24"/>
                <w:lang w:val="x-none" w:eastAsia="x-none"/>
              </w:rPr>
              <w:t xml:space="preserve"> başvurabilir. Bu hâlde</w:t>
            </w:r>
            <w:r w:rsidRPr="00A23740">
              <w:rPr>
                <w:b/>
                <w:bCs/>
                <w:color w:val="0000FF"/>
                <w:szCs w:val="24"/>
                <w:lang w:eastAsia="x-none"/>
              </w:rPr>
              <w:t xml:space="preserve"> </w:t>
            </w:r>
            <w:r w:rsidRPr="00A23740">
              <w:rPr>
                <w:b/>
                <w:bCs/>
                <w:color w:val="0000FF"/>
                <w:szCs w:val="24"/>
                <w:lang w:val="x-none" w:eastAsia="x-none"/>
              </w:rPr>
              <w:t>derece kararı hakkındaki</w:t>
            </w:r>
            <w:r w:rsidR="000F5758" w:rsidRPr="00A23740">
              <w:rPr>
                <w:b/>
                <w:bCs/>
                <w:color w:val="0000FF"/>
                <w:szCs w:val="24"/>
                <w:lang w:eastAsia="x-none"/>
              </w:rPr>
              <w:t xml:space="preserve"> </w:t>
            </w:r>
            <w:r w:rsidR="000F5758" w:rsidRPr="00D93F6E">
              <w:rPr>
                <w:rStyle w:val="KonuBalChar"/>
                <w:rFonts w:eastAsia="Calibri"/>
                <w:color w:val="0000FF"/>
              </w:rPr>
              <w:t>260</w:t>
            </w:r>
            <w:r w:rsidR="000F5758" w:rsidRPr="00A23740">
              <w:rPr>
                <w:rStyle w:val="KonuBalChar"/>
                <w:rFonts w:eastAsia="Calibri"/>
              </w:rPr>
              <w:t xml:space="preserve"> </w:t>
            </w:r>
            <w:r w:rsidR="000F5758" w:rsidRPr="00D93F6E">
              <w:rPr>
                <w:rStyle w:val="KonuBalChar"/>
                <w:rFonts w:eastAsia="Calibri"/>
                <w:color w:val="0000FF"/>
              </w:rPr>
              <w:t>ıncı</w:t>
            </w:r>
            <w:r w:rsidRPr="00A23740">
              <w:rPr>
                <w:b/>
                <w:bCs/>
                <w:color w:val="0000FF"/>
                <w:szCs w:val="24"/>
                <w:lang w:val="x-none" w:eastAsia="x-none"/>
              </w:rPr>
              <w:t xml:space="preserve"> madde kıyasen uygulanır.</w:t>
            </w:r>
          </w:p>
          <w:p w:rsidR="000F4DC6" w:rsidRPr="00A23740" w:rsidRDefault="000F4DC6" w:rsidP="009431FF">
            <w:pPr>
              <w:widowControl w:val="0"/>
              <w:rPr>
                <w:b/>
                <w:bCs/>
                <w:color w:val="0000FF"/>
                <w:lang w:val="x-none" w:eastAsia="x-none"/>
              </w:rPr>
            </w:pPr>
          </w:p>
          <w:p w:rsidR="00A46C6E" w:rsidRPr="00A23740" w:rsidRDefault="00A46C6E" w:rsidP="009431FF">
            <w:pPr>
              <w:widowControl w:val="0"/>
              <w:rPr>
                <w:rFonts w:eastAsia="Times New Roman"/>
                <w:szCs w:val="24"/>
                <w:lang w:eastAsia="tr-TR"/>
              </w:rPr>
            </w:pPr>
            <w:r w:rsidRPr="00136EBC">
              <w:rPr>
                <w:rStyle w:val="Balk1Char"/>
                <w:rFonts w:eastAsia="Calibri"/>
              </w:rPr>
              <w:t>(3)</w:t>
            </w:r>
            <w:r w:rsidRPr="00A23740">
              <w:rPr>
                <w:rFonts w:eastAsia="Times New Roman"/>
                <w:szCs w:val="24"/>
                <w:lang w:eastAsia="tr-TR"/>
              </w:rPr>
              <w:t xml:space="preserve"> Alacaklar</w:t>
            </w:r>
            <w:r w:rsidRPr="00A23740">
              <w:rPr>
                <w:rFonts w:eastAsia="Times New Roman"/>
                <w:b/>
                <w:bCs/>
                <w:color w:val="0000FF"/>
                <w:szCs w:val="24"/>
                <w:lang w:eastAsia="x-none"/>
              </w:rPr>
              <w:t xml:space="preserve">, derece hükümleri dikkate alınmaksızın sıra cetveline </w:t>
            </w:r>
            <w:r w:rsidR="000F5758" w:rsidRPr="00D93F6E">
              <w:rPr>
                <w:rStyle w:val="KonuBalChar"/>
                <w:rFonts w:eastAsia="Calibri"/>
                <w:color w:val="0000FF"/>
              </w:rPr>
              <w:t>481</w:t>
            </w:r>
            <w:r w:rsidR="000F5758" w:rsidRPr="00A23740">
              <w:rPr>
                <w:rFonts w:eastAsia="Times New Roman"/>
                <w:b/>
                <w:bCs/>
                <w:color w:val="0000FF"/>
                <w:szCs w:val="24"/>
                <w:lang w:eastAsia="x-none"/>
              </w:rPr>
              <w:t xml:space="preserve"> </w:t>
            </w:r>
            <w:r w:rsidR="00A127B1">
              <w:rPr>
                <w:b/>
                <w:bCs/>
                <w:color w:val="0000FF"/>
                <w:lang w:val="x-none" w:eastAsia="x-none"/>
              </w:rPr>
              <w:t>ila</w:t>
            </w:r>
            <w:r w:rsidR="000F5758" w:rsidRPr="00A23740">
              <w:rPr>
                <w:b/>
                <w:bCs/>
                <w:color w:val="0000FF"/>
                <w:lang w:eastAsia="x-none"/>
              </w:rPr>
              <w:t xml:space="preserve"> </w:t>
            </w:r>
            <w:r w:rsidR="000F5758" w:rsidRPr="00D93F6E">
              <w:rPr>
                <w:rStyle w:val="KonuBalChar"/>
                <w:rFonts w:eastAsia="Calibri"/>
                <w:color w:val="0000FF"/>
              </w:rPr>
              <w:t>488</w:t>
            </w:r>
            <w:r w:rsidRPr="00A23740">
              <w:rPr>
                <w:b/>
                <w:bCs/>
                <w:color w:val="0000FF"/>
                <w:lang w:val="x-none" w:eastAsia="x-none"/>
              </w:rPr>
              <w:t xml:space="preserve"> inci</w:t>
            </w:r>
            <w:r w:rsidRPr="00A23740">
              <w:rPr>
                <w:rFonts w:eastAsia="Times New Roman"/>
                <w:b/>
                <w:bCs/>
                <w:color w:val="0000FF"/>
                <w:szCs w:val="24"/>
                <w:lang w:eastAsia="x-none"/>
              </w:rPr>
              <w:t xml:space="preserve"> </w:t>
            </w:r>
            <w:r w:rsidRPr="00A23740">
              <w:rPr>
                <w:rFonts w:eastAsia="Times New Roman"/>
                <w:szCs w:val="24"/>
                <w:lang w:eastAsia="tr-TR"/>
              </w:rPr>
              <w:t>maddelerde belirtilen sıra</w:t>
            </w:r>
            <w:r w:rsidR="000F4DC6" w:rsidRPr="00D93F6E">
              <w:rPr>
                <w:rFonts w:eastAsia="Times New Roman"/>
                <w:b/>
                <w:color w:val="0000FF"/>
                <w:szCs w:val="24"/>
                <w:lang w:eastAsia="tr-TR"/>
              </w:rPr>
              <w:t>yla</w:t>
            </w:r>
            <w:r w:rsidRPr="00A23740">
              <w:rPr>
                <w:rFonts w:eastAsia="Times New Roman"/>
                <w:szCs w:val="24"/>
                <w:lang w:eastAsia="tr-TR"/>
              </w:rPr>
              <w:t xml:space="preserve"> kaydedilir. </w:t>
            </w:r>
            <w:r w:rsidR="00934B49" w:rsidRPr="00D93F6E">
              <w:rPr>
                <w:rStyle w:val="YELChar"/>
                <w:color w:val="0000FF"/>
              </w:rPr>
              <w:t>Ancak</w:t>
            </w:r>
            <w:r w:rsidRPr="00A23740">
              <w:rPr>
                <w:b/>
                <w:bCs/>
                <w:color w:val="0000FF"/>
                <w:lang w:val="x-none" w:eastAsia="x-none"/>
              </w:rPr>
              <w:t xml:space="preserve"> bu Kanunun hacze iştirake ilişkin hükümleri uygulanmaz.</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Default="00A46C6E" w:rsidP="009431FF">
            <w:pPr>
              <w:widowControl w:val="0"/>
              <w:rPr>
                <w:rFonts w:eastAsia="Times New Roman"/>
                <w:b/>
                <w:bCs/>
                <w:color w:val="0000FF"/>
                <w:szCs w:val="24"/>
                <w:lang w:eastAsia="x-none"/>
              </w:rPr>
            </w:pPr>
          </w:p>
          <w:p w:rsidR="00AA6549" w:rsidRPr="00A23740" w:rsidRDefault="00AA6549"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x-none"/>
              </w:rPr>
              <w:t>(4)</w:t>
            </w:r>
            <w:r w:rsidRPr="00A23740">
              <w:rPr>
                <w:rFonts w:eastAsia="Times New Roman"/>
                <w:szCs w:val="24"/>
                <w:lang w:eastAsia="tr-TR"/>
              </w:rPr>
              <w:t xml:space="preserve"> İflas hâlinde </w:t>
            </w:r>
            <w:r w:rsidR="00BC195A" w:rsidRPr="00A23740">
              <w:rPr>
                <w:rFonts w:eastAsia="Times New Roman"/>
                <w:b/>
                <w:bCs/>
                <w:color w:val="0000FF"/>
                <w:szCs w:val="24"/>
                <w:lang w:eastAsia="x-none"/>
              </w:rPr>
              <w:t>müflisin mal</w:t>
            </w:r>
            <w:r w:rsidRPr="00A23740">
              <w:rPr>
                <w:rFonts w:eastAsia="Times New Roman"/>
                <w:b/>
                <w:bCs/>
                <w:color w:val="0000FF"/>
                <w:szCs w:val="24"/>
                <w:lang w:eastAsia="x-none"/>
              </w:rPr>
              <w:t>varlığında bulunan</w:t>
            </w:r>
            <w:r w:rsidRPr="00A23740">
              <w:rPr>
                <w:rFonts w:eastAsia="Times New Roman"/>
                <w:szCs w:val="24"/>
                <w:lang w:eastAsia="tr-TR"/>
              </w:rPr>
              <w:t xml:space="preserve"> gemi paraya çevrilirse, satış bedeli </w:t>
            </w:r>
            <w:r w:rsidR="00E73A29" w:rsidRPr="00D93F6E">
              <w:rPr>
                <w:rStyle w:val="KonuBalChar"/>
                <w:rFonts w:eastAsia="Calibri"/>
                <w:color w:val="0000FF"/>
              </w:rPr>
              <w:t>481</w:t>
            </w:r>
            <w:r w:rsidR="00E73A29" w:rsidRPr="00A23740">
              <w:rPr>
                <w:rFonts w:eastAsia="Times New Roman"/>
                <w:b/>
                <w:bCs/>
                <w:color w:val="0000FF"/>
                <w:szCs w:val="24"/>
                <w:lang w:eastAsia="x-none"/>
              </w:rPr>
              <w:t xml:space="preserve"> </w:t>
            </w:r>
            <w:r w:rsidR="00A127B1">
              <w:rPr>
                <w:b/>
                <w:bCs/>
                <w:color w:val="0000FF"/>
                <w:lang w:val="x-none" w:eastAsia="x-none"/>
              </w:rPr>
              <w:t>ila</w:t>
            </w:r>
            <w:r w:rsidR="00E73A29" w:rsidRPr="00A23740">
              <w:rPr>
                <w:b/>
                <w:bCs/>
                <w:color w:val="0000FF"/>
                <w:lang w:eastAsia="x-none"/>
              </w:rPr>
              <w:t xml:space="preserve"> </w:t>
            </w:r>
            <w:r w:rsidR="00E73A29" w:rsidRPr="00D93F6E">
              <w:rPr>
                <w:rStyle w:val="KonuBalChar"/>
                <w:rFonts w:eastAsia="Calibri"/>
                <w:color w:val="0000FF"/>
              </w:rPr>
              <w:t>488</w:t>
            </w:r>
            <w:r w:rsidR="00E73A29" w:rsidRPr="00A23740">
              <w:rPr>
                <w:b/>
                <w:bCs/>
                <w:color w:val="0000FF"/>
                <w:lang w:val="x-none" w:eastAsia="x-none"/>
              </w:rPr>
              <w:t xml:space="preserve"> inci</w:t>
            </w:r>
            <w:r w:rsidRPr="00A23740">
              <w:rPr>
                <w:rFonts w:eastAsia="Times New Roman"/>
                <w:b/>
                <w:bCs/>
                <w:color w:val="0000FF"/>
                <w:szCs w:val="24"/>
                <w:lang w:eastAsia="x-none"/>
              </w:rPr>
              <w:t xml:space="preserve"> </w:t>
            </w:r>
            <w:r w:rsidRPr="00A23740">
              <w:rPr>
                <w:rFonts w:eastAsia="Times New Roman"/>
                <w:szCs w:val="24"/>
                <w:lang w:eastAsia="tr-TR"/>
              </w:rPr>
              <w:t xml:space="preserve">maddelerde belirtilen sıralamaya göre paylaştırılır. Birden </w:t>
            </w:r>
            <w:r w:rsidRPr="00A23740">
              <w:rPr>
                <w:rFonts w:eastAsia="Times New Roman"/>
                <w:b/>
                <w:bCs/>
                <w:color w:val="0000FF"/>
                <w:szCs w:val="24"/>
                <w:lang w:eastAsia="x-none"/>
              </w:rPr>
              <w:t>fazla</w:t>
            </w:r>
            <w:r w:rsidRPr="00A23740">
              <w:rPr>
                <w:rFonts w:eastAsia="Times New Roman"/>
                <w:szCs w:val="24"/>
                <w:lang w:eastAsia="tr-TR"/>
              </w:rPr>
              <w:t xml:space="preserve"> gemi</w:t>
            </w:r>
            <w:r w:rsidRPr="00A23740">
              <w:rPr>
                <w:rFonts w:eastAsia="Times New Roman"/>
                <w:b/>
                <w:bCs/>
                <w:color w:val="0000FF"/>
                <w:szCs w:val="24"/>
                <w:lang w:eastAsia="x-none"/>
              </w:rPr>
              <w:t>nin</w:t>
            </w:r>
            <w:r w:rsidRPr="00A23740">
              <w:rPr>
                <w:rFonts w:eastAsia="Times New Roman"/>
                <w:szCs w:val="24"/>
                <w:lang w:eastAsia="tr-TR"/>
              </w:rPr>
              <w:t xml:space="preserve"> paraya çevril</w:t>
            </w:r>
            <w:r w:rsidRPr="00A23740">
              <w:rPr>
                <w:rFonts w:eastAsia="Times New Roman"/>
                <w:b/>
                <w:bCs/>
                <w:color w:val="0000FF"/>
                <w:szCs w:val="24"/>
                <w:lang w:eastAsia="x-none"/>
              </w:rPr>
              <w:t>mesinde</w:t>
            </w:r>
            <w:r w:rsidRPr="00A23740">
              <w:rPr>
                <w:rFonts w:eastAsia="Times New Roman"/>
                <w:szCs w:val="24"/>
                <w:lang w:eastAsia="tr-TR"/>
              </w:rPr>
              <w:t xml:space="preserve"> her gemi için </w:t>
            </w:r>
            <w:r w:rsidRPr="00A23740">
              <w:rPr>
                <w:rFonts w:eastAsia="Times New Roman"/>
                <w:b/>
                <w:bCs/>
                <w:color w:val="0000FF"/>
                <w:szCs w:val="24"/>
                <w:lang w:eastAsia="x-none"/>
              </w:rPr>
              <w:t>bu</w:t>
            </w:r>
            <w:r w:rsidRPr="00A23740">
              <w:rPr>
                <w:rFonts w:eastAsia="Times New Roman"/>
                <w:szCs w:val="24"/>
                <w:lang w:eastAsia="tr-TR"/>
              </w:rPr>
              <w:t xml:space="preserve"> sıralama ayrı ayrı yapılır ve o sıraya göre ödemede bulunulur.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bCs/>
                <w:color w:val="0000FF"/>
                <w:szCs w:val="24"/>
                <w:lang w:eastAsia="x-none"/>
              </w:rPr>
            </w:pPr>
            <w:r w:rsidRPr="00A23740">
              <w:rPr>
                <w:rFonts w:eastAsia="Times New Roman"/>
                <w:b/>
                <w:bCs/>
                <w:color w:val="0000FF"/>
                <w:szCs w:val="24"/>
                <w:lang w:eastAsia="x-none"/>
              </w:rPr>
              <w:t xml:space="preserve">(5) </w:t>
            </w:r>
            <w:r w:rsidR="00F63059" w:rsidRPr="00D93F6E">
              <w:rPr>
                <w:rStyle w:val="KonuBalChar"/>
                <w:rFonts w:eastAsia="Calibri"/>
                <w:color w:val="0000FF"/>
              </w:rPr>
              <w:t>Derece kararına</w:t>
            </w:r>
            <w:r w:rsidRPr="00A23740">
              <w:rPr>
                <w:rFonts w:eastAsia="Times New Roman"/>
                <w:b/>
                <w:bCs/>
                <w:color w:val="0000FF"/>
                <w:szCs w:val="24"/>
                <w:lang w:eastAsia="x-none"/>
              </w:rPr>
              <w:t xml:space="preserve"> göre ödemede, uygun olduğu ölçüde</w:t>
            </w:r>
            <w:r w:rsidR="00F63059" w:rsidRPr="00A23740">
              <w:rPr>
                <w:rFonts w:eastAsia="Times New Roman"/>
                <w:b/>
                <w:bCs/>
                <w:color w:val="0000FF"/>
                <w:szCs w:val="24"/>
                <w:lang w:eastAsia="x-none"/>
              </w:rPr>
              <w:t xml:space="preserve"> </w:t>
            </w:r>
            <w:r w:rsidR="00F63059" w:rsidRPr="00D93F6E">
              <w:rPr>
                <w:rStyle w:val="KonuBalChar"/>
                <w:rFonts w:eastAsia="Calibri"/>
                <w:color w:val="0000FF"/>
              </w:rPr>
              <w:t>261 inci</w:t>
            </w:r>
            <w:r w:rsidRPr="00A23740">
              <w:rPr>
                <w:rFonts w:eastAsia="Times New Roman"/>
                <w:b/>
                <w:bCs/>
                <w:color w:val="0000FF"/>
                <w:szCs w:val="24"/>
                <w:lang w:eastAsia="x-none"/>
              </w:rPr>
              <w:t xml:space="preserve"> madde kıyasen uygulanır.  </w:t>
            </w:r>
          </w:p>
          <w:p w:rsidR="005468D1" w:rsidRPr="00A23740" w:rsidRDefault="005468D1"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x-none"/>
              </w:rPr>
              <w:t>(6)</w:t>
            </w:r>
            <w:r w:rsidRPr="00A23740">
              <w:rPr>
                <w:rFonts w:eastAsia="Times New Roman"/>
                <w:szCs w:val="24"/>
                <w:lang w:eastAsia="tr-TR"/>
              </w:rPr>
              <w:t xml:space="preserve"> Bir sıradaki alacaklılar, alacaklarını tamamen almadıkça, sonra gelen sıradaki alacaklılara </w:t>
            </w:r>
            <w:r w:rsidR="00934B49" w:rsidRPr="00D93F6E">
              <w:rPr>
                <w:rStyle w:val="YELChar"/>
                <w:color w:val="0000FF"/>
              </w:rPr>
              <w:t>ödeme yapılmaz</w:t>
            </w:r>
            <w:r w:rsidRPr="00A23740">
              <w:rPr>
                <w:rFonts w:eastAsia="Times New Roman"/>
                <w:szCs w:val="24"/>
                <w:lang w:eastAsia="tr-TR"/>
              </w:rPr>
              <w:t>.</w:t>
            </w:r>
          </w:p>
          <w:p w:rsidR="00A46C6E" w:rsidRPr="00A23740" w:rsidRDefault="00A46C6E"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x-none"/>
              </w:rPr>
              <w:t>(7)</w:t>
            </w:r>
            <w:r w:rsidR="00A127B1">
              <w:rPr>
                <w:rFonts w:eastAsia="Times New Roman"/>
                <w:szCs w:val="24"/>
                <w:lang w:eastAsia="tr-TR"/>
              </w:rPr>
              <w:t xml:space="preserve"> Sıra cetvelinin birinci ila</w:t>
            </w:r>
            <w:r w:rsidRPr="00A23740">
              <w:rPr>
                <w:rFonts w:eastAsia="Times New Roman"/>
                <w:szCs w:val="24"/>
                <w:lang w:eastAsia="tr-TR"/>
              </w:rPr>
              <w:t xml:space="preserve"> yedinci sıralarına kabul edilen alacaklılar alacaklarının tamamını tahsil edemez</w:t>
            </w:r>
            <w:r w:rsidRPr="00A23740">
              <w:rPr>
                <w:rFonts w:eastAsia="Times New Roman"/>
                <w:b/>
                <w:bCs/>
                <w:color w:val="0000FF"/>
                <w:lang w:eastAsia="x-none"/>
              </w:rPr>
              <w:t>ler</w:t>
            </w:r>
            <w:r w:rsidRPr="00A23740">
              <w:rPr>
                <w:rFonts w:eastAsia="Times New Roman"/>
                <w:szCs w:val="24"/>
                <w:lang w:eastAsia="tr-TR"/>
              </w:rPr>
              <w:t xml:space="preserve">se, borçlunun </w:t>
            </w:r>
            <w:r w:rsidRPr="00A23740">
              <w:rPr>
                <w:rFonts w:eastAsia="Times New Roman"/>
                <w:b/>
                <w:bCs/>
                <w:color w:val="0000FF"/>
                <w:szCs w:val="24"/>
                <w:lang w:eastAsia="x-none"/>
              </w:rPr>
              <w:t>diğer</w:t>
            </w:r>
            <w:r w:rsidRPr="00A23740">
              <w:rPr>
                <w:rFonts w:eastAsia="Times New Roman"/>
                <w:szCs w:val="24"/>
                <w:lang w:eastAsia="tr-TR"/>
              </w:rPr>
              <w:t xml:space="preserve"> malvarlığına </w:t>
            </w:r>
            <w:r w:rsidRPr="00A23740">
              <w:rPr>
                <w:rFonts w:eastAsia="Times New Roman"/>
                <w:b/>
                <w:bCs/>
                <w:color w:val="0000FF"/>
                <w:szCs w:val="24"/>
                <w:lang w:eastAsia="x-none"/>
              </w:rPr>
              <w:t>başvurduklarında Kanunun derece kararına ilişkin genel hükümlerine tabi olurlar</w:t>
            </w:r>
            <w:r w:rsidRPr="00A23740">
              <w:rPr>
                <w:rFonts w:eastAsia="Times New Roman"/>
                <w:szCs w:val="24"/>
                <w:lang w:eastAsia="tr-TR"/>
              </w:rPr>
              <w:t xml:space="preserve">. </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jc w:val="center"/>
              <w:rPr>
                <w:rFonts w:eastAsia="Times New Roman"/>
                <w:b/>
                <w:bCs/>
                <w:color w:val="0000FF"/>
                <w:szCs w:val="24"/>
                <w:lang w:eastAsia="x-none"/>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40" w:name="_Hlk134296394"/>
          </w:p>
          <w:p w:rsidR="00A46C6E" w:rsidRPr="00A23740" w:rsidRDefault="00993A1A" w:rsidP="009431FF">
            <w:pPr>
              <w:ind w:firstLine="709"/>
              <w:rPr>
                <w:rFonts w:eastAsia="Times New Roman"/>
                <w:bCs/>
                <w:szCs w:val="24"/>
                <w:lang w:eastAsia="tr-TR"/>
              </w:rPr>
            </w:pPr>
            <w:r w:rsidRPr="00A23740">
              <w:rPr>
                <w:rFonts w:eastAsia="Times New Roman"/>
                <w:b/>
                <w:bCs/>
                <w:szCs w:val="24"/>
                <w:lang w:eastAsia="tr-TR"/>
              </w:rPr>
              <w:t>MADDE 480</w:t>
            </w:r>
            <w:r w:rsidR="00A46C6E" w:rsidRPr="00A23740">
              <w:rPr>
                <w:rFonts w:eastAsia="Times New Roman"/>
                <w:b/>
                <w:bCs/>
                <w:szCs w:val="24"/>
                <w:lang w:eastAsia="tr-TR"/>
              </w:rPr>
              <w:t>-</w:t>
            </w:r>
            <w:r w:rsidR="00A46C6E" w:rsidRPr="00A23740">
              <w:rPr>
                <w:rFonts w:eastAsia="Times New Roman"/>
                <w:bCs/>
                <w:szCs w:val="24"/>
                <w:lang w:eastAsia="tr-TR"/>
              </w:rPr>
              <w:t xml:space="preserve"> </w:t>
            </w:r>
            <w:bookmarkStart w:id="41" w:name="_Hlk172878744"/>
            <w:r w:rsidR="00A46C6E" w:rsidRPr="00A23740">
              <w:rPr>
                <w:bCs/>
                <w:szCs w:val="24"/>
                <w:lang w:eastAsia="x-none"/>
              </w:rPr>
              <w:t>Maddeyle, sıra cetveline ilişkin hususlar düzenlenmektedir.</w:t>
            </w:r>
            <w:bookmarkEnd w:id="41"/>
          </w:p>
          <w:p w:rsidR="00A46C6E" w:rsidRPr="00A23740" w:rsidRDefault="00A46C6E" w:rsidP="009431FF">
            <w:pPr>
              <w:ind w:firstLine="709"/>
              <w:rPr>
                <w:rFonts w:eastAsia="Times New Roman"/>
                <w:bCs/>
                <w:szCs w:val="24"/>
                <w:lang w:eastAsia="tr-TR"/>
              </w:rPr>
            </w:pPr>
            <w:r w:rsidRPr="00A23740">
              <w:rPr>
                <w:rFonts w:eastAsia="Times New Roman"/>
                <w:bCs/>
                <w:szCs w:val="24"/>
                <w:lang w:eastAsia="tr-TR"/>
              </w:rPr>
              <w:t xml:space="preserve">Maddenin birinci fıkrasının birinci cümlesi, ifadesi değiştirilmek suretiyle 6102 sayılı Kanunun 1389 uncu maddesinin birinci fıkrasının birinci cümlesinden alınmıştır. Bu maddenin birinci fıkrası uyarınca yapılacak sıra cetveline kamu alacakları da dahil tüm alacakların Taslağın </w:t>
            </w:r>
            <w:r w:rsidR="00F63059" w:rsidRPr="00D93F6E">
              <w:rPr>
                <w:rStyle w:val="KonuBalChar"/>
                <w:rFonts w:eastAsia="Calibri"/>
                <w:b w:val="0"/>
                <w:color w:val="auto"/>
              </w:rPr>
              <w:t>481</w:t>
            </w:r>
            <w:r w:rsidR="00F63059" w:rsidRPr="00A23740">
              <w:rPr>
                <w:rFonts w:eastAsia="Times New Roman"/>
                <w:b/>
                <w:bCs/>
                <w:color w:val="0000FF"/>
                <w:szCs w:val="24"/>
                <w:lang w:eastAsia="x-none"/>
              </w:rPr>
              <w:t xml:space="preserve"> </w:t>
            </w:r>
            <w:r w:rsidR="00A127B1">
              <w:rPr>
                <w:rFonts w:eastAsia="Times New Roman"/>
                <w:bCs/>
                <w:szCs w:val="24"/>
                <w:lang w:eastAsia="tr-TR"/>
              </w:rPr>
              <w:t>ila</w:t>
            </w:r>
            <w:r w:rsidR="00F63059" w:rsidRPr="00A23740">
              <w:rPr>
                <w:b/>
                <w:bCs/>
                <w:color w:val="0000FF"/>
                <w:lang w:eastAsia="x-none"/>
              </w:rPr>
              <w:t xml:space="preserve"> </w:t>
            </w:r>
            <w:r w:rsidR="00F63059" w:rsidRPr="00D93F6E">
              <w:rPr>
                <w:rStyle w:val="KonuBalChar"/>
                <w:rFonts w:eastAsia="Calibri"/>
                <w:b w:val="0"/>
                <w:color w:val="auto"/>
              </w:rPr>
              <w:t>488</w:t>
            </w:r>
            <w:r w:rsidR="00F63059" w:rsidRPr="00A23740">
              <w:rPr>
                <w:b/>
                <w:bCs/>
                <w:color w:val="0000FF"/>
                <w:lang w:val="x-none" w:eastAsia="x-none"/>
              </w:rPr>
              <w:t xml:space="preserve"> </w:t>
            </w:r>
            <w:r w:rsidRPr="00A23740">
              <w:rPr>
                <w:rFonts w:eastAsia="Times New Roman"/>
                <w:bCs/>
                <w:szCs w:val="24"/>
                <w:lang w:eastAsia="tr-TR"/>
              </w:rPr>
              <w:t xml:space="preserve">inci maddelerinde belirtilen sıralara kaydedileceği açık olmakla birlikte, herhangi bir tereddüte sebebiyet vermemek amacıyla birinci fıkranın birinci cümlesine “… </w:t>
            </w:r>
            <w:r w:rsidRPr="00A23740">
              <w:rPr>
                <w:rFonts w:eastAsia="Times New Roman"/>
                <w:bCs/>
                <w:i/>
                <w:iCs/>
                <w:szCs w:val="24"/>
                <w:lang w:eastAsia="tr-TR"/>
              </w:rPr>
              <w:t>kamu alacakları da dâhil</w:t>
            </w:r>
            <w:r w:rsidRPr="00A23740">
              <w:rPr>
                <w:rFonts w:eastAsia="Times New Roman"/>
                <w:bCs/>
                <w:szCs w:val="24"/>
                <w:lang w:eastAsia="tr-TR"/>
              </w:rPr>
              <w:t xml:space="preserve"> …” ibaresinin; ayrıca sıra cetvelinin yapılmasında esas alınacak zamana açıklık getirilmesi açısından da “</w:t>
            </w:r>
            <w:r w:rsidRPr="00A23740">
              <w:rPr>
                <w:rFonts w:eastAsia="Times New Roman"/>
                <w:bCs/>
                <w:i/>
                <w:iCs/>
                <w:szCs w:val="24"/>
                <w:lang w:eastAsia="tr-TR"/>
              </w:rPr>
              <w:t>satış tarihini esas alarak</w:t>
            </w:r>
            <w:r w:rsidRPr="00A23740">
              <w:rPr>
                <w:rFonts w:eastAsia="Times New Roman"/>
                <w:bCs/>
                <w:szCs w:val="24"/>
                <w:lang w:eastAsia="tr-TR"/>
              </w:rPr>
              <w:t xml:space="preserve">” ibaresinin eklenmesi gerekli görülmüştür. </w:t>
            </w:r>
          </w:p>
          <w:p w:rsidR="00A46C6E" w:rsidRPr="00A23740" w:rsidRDefault="00BF1137" w:rsidP="009431FF">
            <w:pPr>
              <w:ind w:firstLine="709"/>
              <w:rPr>
                <w:rFonts w:eastAsia="Times New Roman"/>
                <w:bCs/>
                <w:szCs w:val="24"/>
                <w:lang w:eastAsia="tr-TR"/>
              </w:rPr>
            </w:pPr>
            <w:r w:rsidRPr="00A23740">
              <w:rPr>
                <w:rFonts w:eastAsia="Times New Roman"/>
                <w:bCs/>
                <w:szCs w:val="24"/>
                <w:lang w:eastAsia="tr-TR"/>
              </w:rPr>
              <w:t>Taslağın bu m</w:t>
            </w:r>
            <w:r w:rsidR="00A46C6E" w:rsidRPr="00A23740">
              <w:rPr>
                <w:rFonts w:eastAsia="Times New Roman"/>
                <w:bCs/>
                <w:szCs w:val="24"/>
                <w:lang w:eastAsia="tr-TR"/>
              </w:rPr>
              <w:t>adde</w:t>
            </w:r>
            <w:r w:rsidRPr="00A23740">
              <w:rPr>
                <w:rFonts w:eastAsia="Times New Roman"/>
                <w:bCs/>
                <w:szCs w:val="24"/>
                <w:lang w:eastAsia="tr-TR"/>
              </w:rPr>
              <w:t>si</w:t>
            </w:r>
            <w:r w:rsidR="00A46C6E" w:rsidRPr="00A23740">
              <w:rPr>
                <w:rFonts w:eastAsia="Times New Roman"/>
                <w:bCs/>
                <w:szCs w:val="24"/>
                <w:lang w:eastAsia="tr-TR"/>
              </w:rPr>
              <w:t>nin ikinci fıkrasında, Taslağın</w:t>
            </w:r>
            <w:r w:rsidR="00F63059" w:rsidRPr="00A23740">
              <w:rPr>
                <w:rFonts w:eastAsia="Times New Roman"/>
                <w:bCs/>
                <w:szCs w:val="24"/>
                <w:lang w:eastAsia="tr-TR"/>
              </w:rPr>
              <w:t xml:space="preserve"> </w:t>
            </w:r>
            <w:r w:rsidR="00F63059" w:rsidRPr="00D93F6E">
              <w:rPr>
                <w:rStyle w:val="KonuBalChar"/>
                <w:rFonts w:eastAsia="Calibri"/>
                <w:b w:val="0"/>
                <w:color w:val="auto"/>
              </w:rPr>
              <w:t>259</w:t>
            </w:r>
            <w:r w:rsidR="00F63059" w:rsidRPr="00A23740">
              <w:rPr>
                <w:rStyle w:val="KonuBalChar"/>
                <w:rFonts w:eastAsia="Calibri"/>
              </w:rPr>
              <w:t xml:space="preserve"> </w:t>
            </w:r>
            <w:r w:rsidR="00F63059" w:rsidRPr="00D93F6E">
              <w:rPr>
                <w:rStyle w:val="KonuBalChar"/>
                <w:rFonts w:eastAsia="Calibri"/>
                <w:b w:val="0"/>
                <w:color w:val="auto"/>
              </w:rPr>
              <w:t>uncu</w:t>
            </w:r>
            <w:r w:rsidR="00A46C6E" w:rsidRPr="00A23740">
              <w:rPr>
                <w:rFonts w:eastAsia="Times New Roman"/>
                <w:bCs/>
                <w:szCs w:val="24"/>
                <w:lang w:eastAsia="tr-TR"/>
              </w:rPr>
              <w:t xml:space="preserve"> maddesinin üçüncü fıkrası doğrultusunda “birinci fıkra uyarınca oluşturulan sıra cetvelinin bir örneğinin icra ve iflas dairesi tarafından alacaklılara tebliğ edileceği” ve</w:t>
            </w:r>
            <w:r w:rsidR="00F63059" w:rsidRPr="00A23740">
              <w:rPr>
                <w:rFonts w:eastAsia="Times New Roman"/>
                <w:bCs/>
                <w:szCs w:val="24"/>
                <w:lang w:eastAsia="tr-TR"/>
              </w:rPr>
              <w:t xml:space="preserve"> </w:t>
            </w:r>
            <w:r w:rsidR="00F63059" w:rsidRPr="00D93F6E">
              <w:rPr>
                <w:rStyle w:val="KonuBalChar"/>
                <w:rFonts w:eastAsia="Calibri"/>
                <w:b w:val="0"/>
                <w:color w:val="auto"/>
              </w:rPr>
              <w:t>260</w:t>
            </w:r>
            <w:r w:rsidR="00F63059" w:rsidRPr="00A23740">
              <w:rPr>
                <w:rStyle w:val="KonuBalChar"/>
                <w:rFonts w:eastAsia="Calibri"/>
              </w:rPr>
              <w:t xml:space="preserve"> </w:t>
            </w:r>
            <w:r w:rsidR="00F63059" w:rsidRPr="00D93F6E">
              <w:rPr>
                <w:rStyle w:val="KonuBalChar"/>
                <w:rFonts w:eastAsia="Calibri"/>
                <w:b w:val="0"/>
                <w:color w:val="auto"/>
              </w:rPr>
              <w:t>ıncı</w:t>
            </w:r>
            <w:r w:rsidR="00A46C6E" w:rsidRPr="00A23740">
              <w:rPr>
                <w:rFonts w:eastAsia="Times New Roman"/>
                <w:bCs/>
                <w:szCs w:val="24"/>
                <w:lang w:eastAsia="tr-TR"/>
              </w:rPr>
              <w:t xml:space="preserve"> madde doğrultusunda “tebliğden itibaren ilgili her alacaklının deniz alacaklarında görevli mahkemeye ilişkin</w:t>
            </w:r>
            <w:r w:rsidR="00F63059" w:rsidRPr="00A23740">
              <w:rPr>
                <w:rFonts w:eastAsia="Times New Roman"/>
                <w:bCs/>
                <w:szCs w:val="24"/>
                <w:lang w:eastAsia="tr-TR"/>
              </w:rPr>
              <w:t xml:space="preserve"> </w:t>
            </w:r>
            <w:r w:rsidR="00F63059" w:rsidRPr="00D93F6E">
              <w:rPr>
                <w:rStyle w:val="KonuBalChar"/>
                <w:rFonts w:eastAsia="Calibri"/>
                <w:b w:val="0"/>
                <w:color w:val="auto"/>
              </w:rPr>
              <w:t>467</w:t>
            </w:r>
            <w:r w:rsidR="00F63059" w:rsidRPr="00A23740">
              <w:rPr>
                <w:rStyle w:val="KonuBalChar"/>
                <w:rFonts w:eastAsia="Calibri"/>
              </w:rPr>
              <w:t xml:space="preserve"> </w:t>
            </w:r>
            <w:r w:rsidR="00F63059" w:rsidRPr="00D93F6E">
              <w:rPr>
                <w:rStyle w:val="KonuBalChar"/>
                <w:rFonts w:eastAsia="Calibri"/>
                <w:b w:val="0"/>
                <w:color w:val="auto"/>
              </w:rPr>
              <w:t>nci</w:t>
            </w:r>
            <w:r w:rsidR="00A46C6E" w:rsidRPr="00A23740">
              <w:rPr>
                <w:rFonts w:eastAsia="Times New Roman"/>
                <w:bCs/>
                <w:szCs w:val="24"/>
                <w:lang w:eastAsia="tr-TR"/>
              </w:rPr>
              <w:t xml:space="preserve"> maddede belirtilen mahkemede sıra cetveline karşı itiraz davası açabileceği veya şik</w:t>
            </w:r>
            <w:r w:rsidR="008D1615" w:rsidRPr="00A23740">
              <w:rPr>
                <w:rFonts w:eastAsia="Times New Roman"/>
                <w:bCs/>
                <w:szCs w:val="24"/>
                <w:lang w:eastAsia="tr-TR"/>
              </w:rPr>
              <w:t>â</w:t>
            </w:r>
            <w:r w:rsidR="00A46C6E" w:rsidRPr="00A23740">
              <w:rPr>
                <w:rFonts w:eastAsia="Times New Roman"/>
                <w:bCs/>
                <w:szCs w:val="24"/>
                <w:lang w:eastAsia="tr-TR"/>
              </w:rPr>
              <w:t>yet yoluna başvurabileceği; itiraz davası açılması veya şik</w:t>
            </w:r>
            <w:r w:rsidR="008D1615" w:rsidRPr="00A23740">
              <w:rPr>
                <w:rFonts w:eastAsia="Times New Roman"/>
                <w:bCs/>
                <w:szCs w:val="24"/>
                <w:lang w:eastAsia="tr-TR"/>
              </w:rPr>
              <w:t>â</w:t>
            </w:r>
            <w:r w:rsidR="00535D4A" w:rsidRPr="00A23740">
              <w:rPr>
                <w:rFonts w:eastAsia="Times New Roman"/>
                <w:bCs/>
                <w:szCs w:val="24"/>
                <w:lang w:eastAsia="tr-TR"/>
              </w:rPr>
              <w:t>yet yoluna başvurulması hâ</w:t>
            </w:r>
            <w:r w:rsidR="00A46C6E" w:rsidRPr="00A23740">
              <w:rPr>
                <w:rFonts w:eastAsia="Times New Roman"/>
                <w:bCs/>
                <w:szCs w:val="24"/>
                <w:lang w:eastAsia="tr-TR"/>
              </w:rPr>
              <w:t xml:space="preserve">linde Taslağın </w:t>
            </w:r>
            <w:r w:rsidR="00F63059" w:rsidRPr="00D93F6E">
              <w:rPr>
                <w:rStyle w:val="KonuBalChar"/>
                <w:rFonts w:eastAsia="Calibri"/>
                <w:b w:val="0"/>
                <w:color w:val="auto"/>
              </w:rPr>
              <w:t>260</w:t>
            </w:r>
            <w:r w:rsidR="00F63059" w:rsidRPr="00A23740">
              <w:rPr>
                <w:rStyle w:val="KonuBalChar"/>
                <w:rFonts w:eastAsia="Calibri"/>
              </w:rPr>
              <w:t xml:space="preserve"> </w:t>
            </w:r>
            <w:r w:rsidR="00F63059" w:rsidRPr="00D93F6E">
              <w:rPr>
                <w:rStyle w:val="KonuBalChar"/>
                <w:rFonts w:eastAsia="Calibri"/>
                <w:b w:val="0"/>
                <w:color w:val="auto"/>
              </w:rPr>
              <w:t>ıncı</w:t>
            </w:r>
            <w:r w:rsidR="00F63059" w:rsidRPr="00A23740">
              <w:rPr>
                <w:rFonts w:eastAsia="Times New Roman"/>
                <w:bCs/>
                <w:szCs w:val="24"/>
                <w:lang w:eastAsia="tr-TR"/>
              </w:rPr>
              <w:t xml:space="preserve"> </w:t>
            </w:r>
            <w:r w:rsidR="00A46C6E" w:rsidRPr="00A23740">
              <w:rPr>
                <w:rFonts w:eastAsia="Times New Roman"/>
                <w:bCs/>
                <w:szCs w:val="24"/>
                <w:lang w:eastAsia="tr-TR"/>
              </w:rPr>
              <w:t xml:space="preserve">maddesinin kıyasen uygulanacağı” hususlarının hüküm altına alınması gerekli görülmüştür. </w:t>
            </w:r>
          </w:p>
          <w:p w:rsidR="00A46C6E" w:rsidRPr="00A23740" w:rsidRDefault="00A46C6E" w:rsidP="009431FF">
            <w:pPr>
              <w:ind w:firstLine="709"/>
              <w:rPr>
                <w:rFonts w:eastAsia="Times New Roman"/>
                <w:bCs/>
                <w:szCs w:val="24"/>
                <w:lang w:eastAsia="tr-TR"/>
              </w:rPr>
            </w:pPr>
            <w:r w:rsidRPr="00A23740">
              <w:rPr>
                <w:rFonts w:eastAsia="Times New Roman"/>
                <w:bCs/>
                <w:szCs w:val="24"/>
                <w:lang w:eastAsia="tr-TR"/>
              </w:rPr>
              <w:t xml:space="preserve">Taslağın </w:t>
            </w:r>
            <w:r w:rsidR="00F63059" w:rsidRPr="00D93F6E">
              <w:rPr>
                <w:rStyle w:val="KonuBalChar"/>
                <w:rFonts w:eastAsia="Calibri"/>
                <w:b w:val="0"/>
                <w:color w:val="auto"/>
              </w:rPr>
              <w:t>481</w:t>
            </w:r>
            <w:r w:rsidR="00F63059" w:rsidRPr="00A23740">
              <w:rPr>
                <w:rFonts w:eastAsia="Times New Roman"/>
                <w:b/>
                <w:bCs/>
                <w:color w:val="0000FF"/>
                <w:szCs w:val="24"/>
                <w:lang w:eastAsia="x-none"/>
              </w:rPr>
              <w:t xml:space="preserve"> </w:t>
            </w:r>
            <w:r w:rsidR="00A127B1">
              <w:rPr>
                <w:rFonts w:eastAsia="Times New Roman"/>
                <w:bCs/>
                <w:szCs w:val="24"/>
                <w:lang w:eastAsia="tr-TR"/>
              </w:rPr>
              <w:t>ila</w:t>
            </w:r>
            <w:r w:rsidR="00F63059" w:rsidRPr="00A23740">
              <w:rPr>
                <w:b/>
                <w:bCs/>
                <w:color w:val="0000FF"/>
                <w:lang w:eastAsia="x-none"/>
              </w:rPr>
              <w:t xml:space="preserve"> </w:t>
            </w:r>
            <w:r w:rsidR="00F63059" w:rsidRPr="00D93F6E">
              <w:rPr>
                <w:rStyle w:val="KonuBalChar"/>
                <w:rFonts w:eastAsia="Calibri"/>
                <w:b w:val="0"/>
                <w:color w:val="auto"/>
              </w:rPr>
              <w:t>488</w:t>
            </w:r>
            <w:r w:rsidR="00F63059" w:rsidRPr="00A23740">
              <w:rPr>
                <w:b/>
                <w:bCs/>
                <w:color w:val="0000FF"/>
                <w:lang w:val="x-none" w:eastAsia="x-none"/>
              </w:rPr>
              <w:t xml:space="preserve"> </w:t>
            </w:r>
            <w:r w:rsidRPr="00A23740">
              <w:rPr>
                <w:rFonts w:eastAsia="Times New Roman"/>
                <w:bCs/>
                <w:szCs w:val="24"/>
                <w:lang w:eastAsia="tr-TR"/>
              </w:rPr>
              <w:t xml:space="preserve">inci maddelerinde alacakların kaydedileceği sıra, 1993 </w:t>
            </w:r>
            <w:r w:rsidR="003205AA" w:rsidRPr="00D93F6E">
              <w:rPr>
                <w:rStyle w:val="KonuBalChar"/>
                <w:rFonts w:eastAsia="Calibri"/>
                <w:b w:val="0"/>
                <w:color w:val="auto"/>
              </w:rPr>
              <w:t>tarihli Milletlerarası</w:t>
            </w:r>
            <w:r w:rsidR="003205AA" w:rsidRPr="00A23740">
              <w:rPr>
                <w:rStyle w:val="KonuBalChar"/>
                <w:rFonts w:eastAsia="Calibri"/>
              </w:rPr>
              <w:t xml:space="preserve"> </w:t>
            </w:r>
            <w:r w:rsidR="003205AA" w:rsidRPr="00D93F6E">
              <w:rPr>
                <w:rStyle w:val="KonuBalChar"/>
                <w:rFonts w:eastAsia="Calibri"/>
                <w:b w:val="0"/>
                <w:color w:val="auto"/>
              </w:rPr>
              <w:t>Sözleşme</w:t>
            </w:r>
            <w:r w:rsidR="003205AA" w:rsidRPr="00D93F6E">
              <w:rPr>
                <w:rStyle w:val="KonuBalChar"/>
                <w:rFonts w:eastAsia="Calibri"/>
                <w:b w:val="0"/>
                <w:color w:val="auto"/>
                <w:lang w:val="tr-TR"/>
              </w:rPr>
              <w:t>nin</w:t>
            </w:r>
            <w:r w:rsidR="003205AA" w:rsidRPr="00A23740">
              <w:rPr>
                <w:rFonts w:eastAsia="Times New Roman"/>
                <w:szCs w:val="24"/>
              </w:rPr>
              <w:t xml:space="preserve"> </w:t>
            </w:r>
            <w:r w:rsidR="00A127B1">
              <w:rPr>
                <w:rFonts w:eastAsia="Times New Roman"/>
                <w:bCs/>
                <w:szCs w:val="24"/>
                <w:lang w:eastAsia="tr-TR"/>
              </w:rPr>
              <w:t>12 nci maddesinin ikinci ila</w:t>
            </w:r>
            <w:r w:rsidRPr="00A23740">
              <w:rPr>
                <w:rFonts w:eastAsia="Times New Roman"/>
                <w:bCs/>
                <w:szCs w:val="24"/>
                <w:lang w:eastAsia="tr-TR"/>
              </w:rPr>
              <w:t xml:space="preserve"> dördüncü fıkra hükümlerine uygun şekilde deniz ticareti alanının kendine özgü menfaatler dengesi çerçevesinde belirlenmiştir. Taslağın derece ve iştirak hükümleri dikkate</w:t>
            </w:r>
            <w:r w:rsidR="00535D4A" w:rsidRPr="00A23740">
              <w:rPr>
                <w:rFonts w:eastAsia="Times New Roman"/>
                <w:bCs/>
                <w:szCs w:val="24"/>
                <w:lang w:eastAsia="tr-TR"/>
              </w:rPr>
              <w:t xml:space="preserve"> alınmaksızın alacakların her hâ</w:t>
            </w:r>
            <w:r w:rsidRPr="00A23740">
              <w:rPr>
                <w:rFonts w:eastAsia="Times New Roman"/>
                <w:bCs/>
                <w:szCs w:val="24"/>
                <w:lang w:eastAsia="tr-TR"/>
              </w:rPr>
              <w:t>lde bu maddelerde belirtilen sıralara kaydedilip geminin satış bedelinin bu sıralamaya göre alacaklılara ödenmesi gerekmektedir. Bu nedenle maddenin üçüncü fıkrasında derece hükümleri dikkate alınmaksızın alacakların bu maddelerde belirtilen sıra</w:t>
            </w:r>
            <w:r w:rsidR="00BF1137" w:rsidRPr="00A23740">
              <w:rPr>
                <w:rFonts w:eastAsia="Times New Roman"/>
                <w:bCs/>
                <w:szCs w:val="24"/>
                <w:lang w:eastAsia="tr-TR"/>
              </w:rPr>
              <w:t>yla</w:t>
            </w:r>
            <w:r w:rsidRPr="00A23740">
              <w:rPr>
                <w:rFonts w:eastAsia="Times New Roman"/>
                <w:bCs/>
                <w:szCs w:val="24"/>
                <w:lang w:eastAsia="tr-TR"/>
              </w:rPr>
              <w:t xml:space="preserve"> sıra cetveline kaydedileceği ve </w:t>
            </w:r>
            <w:r w:rsidR="00803DCC" w:rsidRPr="00D93F6E">
              <w:rPr>
                <w:rStyle w:val="KonuBalChar"/>
                <w:rFonts w:eastAsia="Calibri"/>
                <w:b w:val="0"/>
                <w:color w:val="auto"/>
              </w:rPr>
              <w:t>Taslağın</w:t>
            </w:r>
            <w:r w:rsidR="00803DCC" w:rsidRPr="00A23740">
              <w:rPr>
                <w:rFonts w:eastAsia="Times New Roman"/>
                <w:bCs/>
                <w:szCs w:val="24"/>
                <w:lang w:eastAsia="tr-TR"/>
              </w:rPr>
              <w:t xml:space="preserve"> </w:t>
            </w:r>
            <w:r w:rsidRPr="00A23740">
              <w:rPr>
                <w:rFonts w:eastAsia="Times New Roman"/>
                <w:bCs/>
                <w:szCs w:val="24"/>
                <w:lang w:eastAsia="tr-TR"/>
              </w:rPr>
              <w:t>hacze iştirak hükümlerinin uygulanmayacağı hüküm altına alınmıştır. Maddenin üçüncü fıkrası, 2004 sayılı Kanunun 144/a maddesin</w:t>
            </w:r>
            <w:r w:rsidR="00535D4A" w:rsidRPr="00A23740">
              <w:rPr>
                <w:rFonts w:eastAsia="Times New Roman"/>
                <w:bCs/>
                <w:szCs w:val="24"/>
                <w:lang w:eastAsia="tr-TR"/>
              </w:rPr>
              <w:t>in birinci fıkrasını gereksiz hâ</w:t>
            </w:r>
            <w:r w:rsidRPr="00A23740">
              <w:rPr>
                <w:rFonts w:eastAsia="Times New Roman"/>
                <w:bCs/>
                <w:szCs w:val="24"/>
                <w:lang w:eastAsia="tr-TR"/>
              </w:rPr>
              <w:t xml:space="preserve">le getirdiğinden, bu </w:t>
            </w:r>
            <w:r w:rsidR="00BF1137" w:rsidRPr="00A23740">
              <w:rPr>
                <w:rFonts w:eastAsia="Times New Roman"/>
                <w:bCs/>
                <w:szCs w:val="24"/>
                <w:lang w:eastAsia="tr-TR"/>
              </w:rPr>
              <w:t xml:space="preserve">fıkra </w:t>
            </w:r>
            <w:r w:rsidRPr="00A23740">
              <w:rPr>
                <w:rFonts w:eastAsia="Times New Roman"/>
                <w:bCs/>
                <w:szCs w:val="24"/>
                <w:lang w:eastAsia="tr-TR"/>
              </w:rPr>
              <w:t xml:space="preserve">hüküm Taslağa alınmamıştır. </w:t>
            </w:r>
          </w:p>
          <w:p w:rsidR="00A46C6E" w:rsidRPr="00A23740" w:rsidRDefault="00A46C6E" w:rsidP="009431FF">
            <w:pPr>
              <w:ind w:firstLine="709"/>
              <w:rPr>
                <w:rFonts w:eastAsia="Times New Roman"/>
                <w:bCs/>
                <w:szCs w:val="24"/>
                <w:lang w:eastAsia="tr-TR"/>
              </w:rPr>
            </w:pPr>
            <w:r w:rsidRPr="00A23740">
              <w:rPr>
                <w:rFonts w:eastAsia="Times New Roman"/>
                <w:bCs/>
                <w:szCs w:val="24"/>
                <w:lang w:eastAsia="tr-TR"/>
              </w:rPr>
              <w:t xml:space="preserve">6102 sayılı Kanunun 1389 uncu maddesinin ikinci fıkrası, daha açık ve anlaşılır olması </w:t>
            </w:r>
            <w:r w:rsidR="00BF1137" w:rsidRPr="00A23740">
              <w:rPr>
                <w:rFonts w:eastAsia="Times New Roman"/>
                <w:bCs/>
                <w:szCs w:val="24"/>
                <w:lang w:eastAsia="tr-TR"/>
              </w:rPr>
              <w:t xml:space="preserve">için </w:t>
            </w:r>
            <w:r w:rsidRPr="00A23740">
              <w:rPr>
                <w:rFonts w:eastAsia="Times New Roman"/>
                <w:bCs/>
                <w:szCs w:val="24"/>
                <w:lang w:eastAsia="tr-TR"/>
              </w:rPr>
              <w:t xml:space="preserve">ifadesi değiştirilerek maddenin dördüncü fıkrasına alınmıştır. </w:t>
            </w:r>
          </w:p>
          <w:p w:rsidR="00A46C6E" w:rsidRPr="00A23740" w:rsidRDefault="00A46C6E" w:rsidP="009431FF">
            <w:pPr>
              <w:ind w:firstLine="709"/>
              <w:rPr>
                <w:rFonts w:eastAsia="Times New Roman"/>
                <w:bCs/>
                <w:szCs w:val="24"/>
                <w:lang w:eastAsia="tr-TR"/>
              </w:rPr>
            </w:pPr>
            <w:r w:rsidRPr="00A23740">
              <w:rPr>
                <w:rFonts w:eastAsia="Times New Roman"/>
                <w:bCs/>
                <w:szCs w:val="24"/>
                <w:lang w:eastAsia="tr-TR"/>
              </w:rPr>
              <w:t>Sıra cetveline göre ödemede, “uygun olduğu ölçüde Taslağın</w:t>
            </w:r>
            <w:r w:rsidR="00437AB6" w:rsidRPr="00A23740">
              <w:rPr>
                <w:rFonts w:eastAsia="Times New Roman"/>
                <w:bCs/>
                <w:szCs w:val="24"/>
                <w:lang w:eastAsia="tr-TR"/>
              </w:rPr>
              <w:t xml:space="preserve"> </w:t>
            </w:r>
            <w:r w:rsidR="00437AB6" w:rsidRPr="00D93F6E">
              <w:rPr>
                <w:rStyle w:val="KonuBalChar"/>
                <w:rFonts w:eastAsia="Calibri"/>
                <w:b w:val="0"/>
                <w:color w:val="auto"/>
              </w:rPr>
              <w:t>261 inci</w:t>
            </w:r>
            <w:r w:rsidRPr="00A23740">
              <w:rPr>
                <w:rFonts w:eastAsia="Times New Roman"/>
                <w:bCs/>
                <w:szCs w:val="24"/>
                <w:lang w:eastAsia="tr-TR"/>
              </w:rPr>
              <w:t xml:space="preserve"> maddesinin kıyasen uygulanacağı” hususunun ayrı fıkra olarak düzenlemesi gerekli görüldüğünden, maddenin dördüncü fıkrasında bu husus hüküm altına alınmıştır. </w:t>
            </w:r>
          </w:p>
          <w:p w:rsidR="00A46C6E" w:rsidRPr="00A23740" w:rsidRDefault="00A46C6E" w:rsidP="009431FF">
            <w:pPr>
              <w:ind w:firstLine="709"/>
              <w:rPr>
                <w:rFonts w:eastAsia="Times New Roman"/>
                <w:szCs w:val="24"/>
              </w:rPr>
            </w:pPr>
            <w:r w:rsidRPr="00A23740">
              <w:rPr>
                <w:rFonts w:eastAsia="Times New Roman"/>
                <w:bCs/>
                <w:szCs w:val="24"/>
                <w:lang w:eastAsia="tr-TR"/>
              </w:rPr>
              <w:t xml:space="preserve">6102 sayılı Kanunun 1389 uncu maddesinin dördüncü fıkrasında yer alan “… </w:t>
            </w:r>
            <w:r w:rsidRPr="00A23740">
              <w:rPr>
                <w:rFonts w:eastAsia="Times New Roman"/>
                <w:bCs/>
                <w:i/>
                <w:iCs/>
                <w:szCs w:val="24"/>
                <w:lang w:eastAsia="tr-TR"/>
              </w:rPr>
              <w:t>borçlunun kalan malvarlığına başvururken bir öncelikten yararlanamazlar</w:t>
            </w:r>
            <w:r w:rsidRPr="00A23740">
              <w:rPr>
                <w:rFonts w:eastAsia="Times New Roman"/>
                <w:bCs/>
                <w:szCs w:val="24"/>
                <w:lang w:eastAsia="tr-TR"/>
              </w:rPr>
              <w:t xml:space="preserve">.” ibaresinin, “… </w:t>
            </w:r>
            <w:r w:rsidRPr="00A23740">
              <w:rPr>
                <w:rFonts w:eastAsia="Times New Roman"/>
                <w:bCs/>
                <w:i/>
                <w:iCs/>
                <w:szCs w:val="24"/>
                <w:lang w:eastAsia="tr-TR"/>
              </w:rPr>
              <w:t>borçlunun diğer malvarlığına başvurduklarında Kanunun derece kararına ilişkin genel hükümlerine tâbi olurlar</w:t>
            </w:r>
            <w:r w:rsidRPr="00A23740">
              <w:rPr>
                <w:rFonts w:eastAsia="Times New Roman"/>
                <w:bCs/>
                <w:szCs w:val="24"/>
                <w:lang w:eastAsia="tr-TR"/>
              </w:rPr>
              <w:t xml:space="preserve">.” şeklinde değiştirilmesi gerekli görülmüş; söz konusu fıkra bu şekilde değiştirilerek maddenin beşinci fıkrasına alınmıştır. </w:t>
            </w:r>
          </w:p>
          <w:bookmarkEnd w:id="40"/>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b/>
                <w:strike/>
                <w:color w:val="FF0000"/>
                <w:szCs w:val="24"/>
                <w:lang w:eastAsia="x-none"/>
              </w:rPr>
              <w:t>b)</w:t>
            </w:r>
            <w:r w:rsidRPr="00A23740">
              <w:rPr>
                <w:rFonts w:eastAsia="Times New Roman"/>
                <w:b/>
                <w:bCs/>
                <w:szCs w:val="24"/>
                <w:lang w:eastAsia="tr-TR"/>
              </w:rPr>
              <w:t xml:space="preserve"> Birinci sıra</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b/>
                <w:strike/>
                <w:color w:val="FF0000"/>
                <w:szCs w:val="24"/>
                <w:lang w:eastAsia="x-none"/>
              </w:rPr>
              <w:t>1390</w:t>
            </w:r>
            <w:r w:rsidRPr="00A23740">
              <w:rPr>
                <w:rFonts w:eastAsia="Times New Roman"/>
                <w:szCs w:val="24"/>
                <w:lang w:eastAsia="tr-TR"/>
              </w:rPr>
              <w:t>- (1) Sıra cetvelinin birinci sırasına, geminin hacz</w:t>
            </w:r>
            <w:r w:rsidRPr="00A23740">
              <w:rPr>
                <w:b/>
                <w:strike/>
                <w:color w:val="FF0000"/>
                <w:szCs w:val="24"/>
                <w:lang w:eastAsia="x-none"/>
              </w:rPr>
              <w:t>i</w:t>
            </w:r>
            <w:r w:rsidRPr="00A23740">
              <w:rPr>
                <w:rFonts w:eastAsia="Times New Roman"/>
                <w:szCs w:val="24"/>
                <w:lang w:eastAsia="tr-TR"/>
              </w:rPr>
              <w:t xml:space="preserve"> tarih</w:t>
            </w:r>
            <w:r w:rsidRPr="00A23740">
              <w:rPr>
                <w:b/>
                <w:strike/>
                <w:color w:val="FF0000"/>
                <w:szCs w:val="24"/>
                <w:lang w:eastAsia="x-none"/>
              </w:rPr>
              <w:t xml:space="preserve">inden ödemelerin yapıldığı </w:t>
            </w:r>
            <w:r w:rsidRPr="00A23740">
              <w:rPr>
                <w:rFonts w:eastAsia="Times New Roman"/>
                <w:szCs w:val="24"/>
                <w:lang w:eastAsia="tr-TR"/>
              </w:rPr>
              <w:t xml:space="preserve">tarihe kadar; </w:t>
            </w:r>
          </w:p>
          <w:p w:rsidR="00A46C6E" w:rsidRPr="00A23740" w:rsidRDefault="00A46C6E" w:rsidP="009431FF">
            <w:pPr>
              <w:rPr>
                <w:rFonts w:eastAsia="Times New Roman"/>
                <w:szCs w:val="24"/>
                <w:lang w:eastAsia="tr-TR"/>
              </w:rPr>
            </w:pPr>
            <w:r w:rsidRPr="00A23740">
              <w:rPr>
                <w:rFonts w:eastAsia="Times New Roman"/>
                <w:szCs w:val="24"/>
                <w:lang w:eastAsia="tr-TR"/>
              </w:rPr>
              <w:t xml:space="preserve">a) Geminin </w:t>
            </w:r>
            <w:r w:rsidRPr="00A23740">
              <w:rPr>
                <w:b/>
                <w:strike/>
                <w:color w:val="FF0000"/>
                <w:szCs w:val="24"/>
                <w:lang w:eastAsia="x-none"/>
              </w:rPr>
              <w:t>haczinden, hacizde geçen süre boyunca</w:t>
            </w:r>
            <w:r w:rsidRPr="00A23740">
              <w:rPr>
                <w:rFonts w:eastAsia="Times New Roman"/>
                <w:szCs w:val="24"/>
                <w:lang w:eastAsia="tr-TR"/>
              </w:rPr>
              <w:t xml:space="preserve"> geminin bakımı ve korunması</w:t>
            </w:r>
            <w:r w:rsidRPr="00A23740">
              <w:rPr>
                <w:b/>
                <w:strike/>
                <w:color w:val="FF0000"/>
                <w:szCs w:val="24"/>
                <w:lang w:eastAsia="x-none"/>
              </w:rPr>
              <w:t>yla</w:t>
            </w:r>
            <w:r w:rsidRPr="00A23740">
              <w:rPr>
                <w:rFonts w:eastAsia="Times New Roman"/>
                <w:szCs w:val="24"/>
                <w:lang w:eastAsia="tr-TR"/>
              </w:rPr>
              <w:t xml:space="preserve"> gemi adamlarının iaşe</w:t>
            </w:r>
            <w:r w:rsidRPr="00A23740">
              <w:rPr>
                <w:b/>
                <w:strike/>
                <w:color w:val="FF0000"/>
                <w:szCs w:val="24"/>
                <w:lang w:eastAsia="x-none"/>
              </w:rPr>
              <w:t>lerinden, geminin</w:t>
            </w:r>
            <w:r w:rsidRPr="00A23740">
              <w:rPr>
                <w:rFonts w:eastAsia="Times New Roman"/>
                <w:szCs w:val="24"/>
                <w:lang w:eastAsia="tr-TR"/>
              </w:rPr>
              <w:t xml:space="preserve"> paraya çevrilmesi</w:t>
            </w:r>
            <w:r w:rsidRPr="00A23740">
              <w:rPr>
                <w:b/>
                <w:strike/>
                <w:color w:val="FF0000"/>
                <w:szCs w:val="24"/>
                <w:lang w:eastAsia="x-none"/>
              </w:rPr>
              <w:t>nden,</w:t>
            </w:r>
            <w:r w:rsidRPr="00A23740">
              <w:rPr>
                <w:rFonts w:eastAsia="Times New Roman"/>
                <w:szCs w:val="24"/>
                <w:lang w:eastAsia="tr-TR"/>
              </w:rPr>
              <w:t xml:space="preserve"> satış </w:t>
            </w:r>
            <w:r w:rsidRPr="00A23740">
              <w:rPr>
                <w:b/>
                <w:strike/>
                <w:color w:val="FF0000"/>
                <w:szCs w:val="24"/>
                <w:lang w:eastAsia="x-none"/>
              </w:rPr>
              <w:t>tutarının</w:t>
            </w:r>
            <w:r w:rsidRPr="00A23740">
              <w:rPr>
                <w:rFonts w:eastAsia="Times New Roman"/>
                <w:szCs w:val="24"/>
                <w:lang w:eastAsia="tr-TR"/>
              </w:rPr>
              <w:t xml:space="preserve"> paylaştırılması</w:t>
            </w:r>
            <w:r w:rsidRPr="00A23740">
              <w:rPr>
                <w:b/>
                <w:strike/>
                <w:color w:val="FF0000"/>
                <w:szCs w:val="24"/>
                <w:lang w:eastAsia="x-none"/>
              </w:rPr>
              <w:t>ndan doğan giderler ve harcamalar,</w:t>
            </w:r>
          </w:p>
          <w:p w:rsidR="000D1C52" w:rsidRPr="00A23740" w:rsidRDefault="000D1C52" w:rsidP="009431FF">
            <w:pPr>
              <w:rPr>
                <w:rFonts w:eastAsia="Times New Roman"/>
                <w:szCs w:val="24"/>
                <w:lang w:eastAsia="tr-TR"/>
              </w:rPr>
            </w:pPr>
          </w:p>
          <w:p w:rsidR="00A46C6E" w:rsidRPr="00A23740" w:rsidRDefault="00A46C6E" w:rsidP="009431FF">
            <w:pPr>
              <w:rPr>
                <w:rFonts w:eastAsia="Times New Roman"/>
                <w:szCs w:val="24"/>
                <w:lang w:eastAsia="tr-TR"/>
              </w:rPr>
            </w:pPr>
            <w:r w:rsidRPr="00136EBC">
              <w:rPr>
                <w:rStyle w:val="KIRMIZIChar"/>
                <w:rFonts w:eastAsia="Calibri"/>
              </w:rPr>
              <w:t>b)</w:t>
            </w:r>
            <w:r w:rsidRPr="00A23740">
              <w:rPr>
                <w:rFonts w:eastAsia="Times New Roman"/>
                <w:szCs w:val="24"/>
                <w:lang w:eastAsia="tr-TR"/>
              </w:rPr>
              <w:t xml:space="preserve"> 1320 nci maddenin birinci fıkrasının (a) bendinde sayılan alacaklardan </w:t>
            </w:r>
            <w:r w:rsidRPr="00A23740">
              <w:rPr>
                <w:b/>
                <w:strike/>
                <w:color w:val="FF0000"/>
                <w:szCs w:val="24"/>
                <w:lang w:eastAsia="x-none"/>
              </w:rPr>
              <w:t>hacizde geçen</w:t>
            </w:r>
            <w:r w:rsidRPr="00A23740">
              <w:rPr>
                <w:rFonts w:eastAsia="Times New Roman"/>
                <w:szCs w:val="24"/>
                <w:lang w:eastAsia="tr-TR"/>
              </w:rPr>
              <w:t xml:space="preserve"> süreye ilişkin olanlar, </w:t>
            </w:r>
          </w:p>
          <w:p w:rsidR="00A46C6E" w:rsidRPr="00A23740" w:rsidRDefault="00A46C6E" w:rsidP="009431FF">
            <w:pPr>
              <w:rPr>
                <w:rFonts w:eastAsia="Times New Roman"/>
                <w:szCs w:val="24"/>
                <w:lang w:eastAsia="tr-TR"/>
              </w:rPr>
            </w:pPr>
            <w:r w:rsidRPr="00A23740">
              <w:rPr>
                <w:rFonts w:eastAsia="Times New Roman"/>
                <w:szCs w:val="24"/>
                <w:lang w:eastAsia="tr-TR"/>
              </w:rPr>
              <w:t>kaydedilir.</w:t>
            </w:r>
          </w:p>
          <w:p w:rsidR="00A46C6E" w:rsidRPr="00A23740" w:rsidRDefault="00A46C6E" w:rsidP="009431FF">
            <w:pPr>
              <w:rPr>
                <w:rFonts w:eastAsia="Times New Roman"/>
                <w:szCs w:val="24"/>
                <w:lang w:eastAsia="tr-TR"/>
              </w:rPr>
            </w:pPr>
          </w:p>
          <w:p w:rsidR="000D1C52" w:rsidRDefault="000D1C52" w:rsidP="009431FF">
            <w:pPr>
              <w:rPr>
                <w:rFonts w:eastAsia="Times New Roman"/>
                <w:szCs w:val="24"/>
                <w:lang w:eastAsia="tr-TR"/>
              </w:rPr>
            </w:pPr>
          </w:p>
          <w:p w:rsidR="00136EBC" w:rsidRPr="00A23740" w:rsidRDefault="00136EBC" w:rsidP="009431FF">
            <w:pPr>
              <w:rPr>
                <w:rFonts w:eastAsia="Times New Roman"/>
                <w:szCs w:val="24"/>
                <w:lang w:eastAsia="tr-TR"/>
              </w:rPr>
            </w:pPr>
          </w:p>
          <w:p w:rsidR="00A46C6E" w:rsidRPr="00A23740" w:rsidRDefault="00A46C6E" w:rsidP="009431FF">
            <w:pPr>
              <w:rPr>
                <w:rFonts w:eastAsia="Times New Roman"/>
                <w:szCs w:val="24"/>
                <w:lang w:eastAsia="tr-TR"/>
              </w:rPr>
            </w:pPr>
            <w:r w:rsidRPr="00A23740">
              <w:rPr>
                <w:rFonts w:eastAsia="Times New Roman"/>
                <w:szCs w:val="24"/>
                <w:lang w:eastAsia="tr-TR"/>
              </w:rPr>
              <w:t xml:space="preserve">(2) </w:t>
            </w:r>
            <w:r w:rsidRPr="00A23740">
              <w:rPr>
                <w:rFonts w:eastAsia="Times New Roman"/>
                <w:b/>
                <w:strike/>
                <w:color w:val="FF0000"/>
                <w:szCs w:val="24"/>
                <w:lang w:eastAsia="x-none"/>
              </w:rPr>
              <w:t>Birinci fıkrada sayılan alacakların sahipleri,</w:t>
            </w:r>
            <w:r w:rsidRPr="00A23740">
              <w:rPr>
                <w:rFonts w:eastAsia="Times New Roman"/>
                <w:szCs w:val="24"/>
                <w:lang w:eastAsia="tr-TR"/>
              </w:rPr>
              <w:t xml:space="preserve"> kendi aralarında eşit hakka sahiptir.</w:t>
            </w:r>
          </w:p>
        </w:tc>
        <w:tc>
          <w:tcPr>
            <w:tcW w:w="2500" w:type="pct"/>
            <w:shd w:val="clear" w:color="auto" w:fill="auto"/>
          </w:tcPr>
          <w:p w:rsidR="00A46C6E" w:rsidRPr="00A23740" w:rsidRDefault="00A46C6E" w:rsidP="009431FF">
            <w:pPr>
              <w:rPr>
                <w:rFonts w:eastAsia="Times New Roman"/>
                <w:b/>
                <w:bCs/>
                <w:szCs w:val="24"/>
                <w:lang w:eastAsia="tr-TR"/>
              </w:rPr>
            </w:pPr>
            <w:r w:rsidRPr="00A23740">
              <w:rPr>
                <w:rFonts w:eastAsia="Times New Roman"/>
                <w:b/>
                <w:bCs/>
                <w:szCs w:val="24"/>
                <w:lang w:eastAsia="tr-TR"/>
              </w:rPr>
              <w:t xml:space="preserve">Birinci sıra </w:t>
            </w:r>
          </w:p>
          <w:p w:rsidR="00A46C6E" w:rsidRPr="00A23740" w:rsidRDefault="00993A1A" w:rsidP="009431FF">
            <w:pPr>
              <w:rPr>
                <w:rFonts w:eastAsia="Times New Roman"/>
                <w:b/>
                <w:bCs/>
                <w:color w:val="0000CC"/>
                <w:szCs w:val="24"/>
                <w:lang w:eastAsia="tr-TR"/>
              </w:rPr>
            </w:pPr>
            <w:r w:rsidRPr="00136EBC">
              <w:rPr>
                <w:rFonts w:eastAsia="Times New Roman"/>
                <w:b/>
                <w:bCs/>
                <w:color w:val="000000" w:themeColor="text1"/>
                <w:szCs w:val="24"/>
                <w:lang w:eastAsia="x-none"/>
              </w:rPr>
              <w:t xml:space="preserve">MADDE </w:t>
            </w:r>
            <w:r w:rsidRPr="00A23740">
              <w:rPr>
                <w:rFonts w:eastAsia="Times New Roman"/>
                <w:b/>
                <w:bCs/>
                <w:color w:val="0000FF"/>
                <w:szCs w:val="24"/>
                <w:lang w:eastAsia="x-none"/>
              </w:rPr>
              <w:t>481</w:t>
            </w:r>
            <w:r w:rsidR="00A46C6E" w:rsidRPr="00A23740">
              <w:rPr>
                <w:rFonts w:eastAsia="Times New Roman"/>
                <w:b/>
                <w:bCs/>
                <w:color w:val="0000FF"/>
                <w:szCs w:val="24"/>
                <w:lang w:eastAsia="x-none"/>
              </w:rPr>
              <w:t xml:space="preserve">- </w:t>
            </w:r>
            <w:r w:rsidR="00A46C6E" w:rsidRPr="00136EBC">
              <w:t>(1)</w:t>
            </w:r>
            <w:r w:rsidR="00A46C6E" w:rsidRPr="00A23740">
              <w:rPr>
                <w:rFonts w:eastAsia="Times New Roman"/>
                <w:szCs w:val="24"/>
                <w:lang w:eastAsia="tr-TR"/>
              </w:rPr>
              <w:t xml:space="preserve"> Sıra cetvelinin birinci sırasına</w:t>
            </w:r>
            <w:r w:rsidR="00A6721E" w:rsidRPr="00D93F6E">
              <w:rPr>
                <w:rStyle w:val="KonuBalChar"/>
                <w:rFonts w:eastAsia="Calibri"/>
                <w:color w:val="0000FF"/>
              </w:rPr>
              <w:t>;</w:t>
            </w:r>
          </w:p>
          <w:p w:rsidR="00A46C6E" w:rsidRPr="00A23740" w:rsidRDefault="00A46C6E" w:rsidP="009431FF">
            <w:pPr>
              <w:rPr>
                <w:rFonts w:eastAsia="Times New Roman"/>
                <w:b/>
                <w:bCs/>
                <w:color w:val="0000CC"/>
                <w:szCs w:val="24"/>
                <w:lang w:eastAsia="tr-TR"/>
              </w:rPr>
            </w:pPr>
            <w:r w:rsidRPr="00136EBC">
              <w:t>a)</w:t>
            </w:r>
            <w:r w:rsidRPr="00A23740">
              <w:rPr>
                <w:rFonts w:eastAsia="Times New Roman"/>
                <w:szCs w:val="24"/>
                <w:lang w:eastAsia="tr-TR"/>
              </w:rPr>
              <w:t xml:space="preserve"> </w:t>
            </w:r>
            <w:r w:rsidR="000D1C52" w:rsidRPr="00D93F6E">
              <w:rPr>
                <w:rStyle w:val="YELChar"/>
                <w:color w:val="0000FF"/>
              </w:rPr>
              <w:t>İhtiyati haciz tarihi de d</w:t>
            </w:r>
            <w:r w:rsidR="00D85D83" w:rsidRPr="00D93F6E">
              <w:rPr>
                <w:rStyle w:val="YELChar"/>
                <w:color w:val="0000FF"/>
              </w:rPr>
              <w:t>â</w:t>
            </w:r>
            <w:r w:rsidR="000D1C52" w:rsidRPr="00D93F6E">
              <w:rPr>
                <w:rStyle w:val="YELChar"/>
                <w:color w:val="0000FF"/>
              </w:rPr>
              <w:t>hil olmak üzere geminin</w:t>
            </w:r>
            <w:r w:rsidR="000D1C52" w:rsidRPr="00A23740">
              <w:rPr>
                <w:rStyle w:val="YELChar"/>
              </w:rPr>
              <w:t xml:space="preserve"> </w:t>
            </w:r>
            <w:r w:rsidRPr="00A23740">
              <w:rPr>
                <w:rFonts w:eastAsia="Times New Roman"/>
                <w:szCs w:val="24"/>
                <w:lang w:eastAsia="tr-TR"/>
              </w:rPr>
              <w:t>hacz</w:t>
            </w:r>
            <w:r w:rsidRPr="00A23740">
              <w:rPr>
                <w:rFonts w:eastAsia="Times New Roman"/>
                <w:b/>
                <w:bCs/>
                <w:color w:val="0000FF"/>
                <w:szCs w:val="24"/>
                <w:lang w:eastAsia="x-none"/>
              </w:rPr>
              <w:t>edildiği</w:t>
            </w:r>
            <w:r w:rsidRPr="00A23740">
              <w:rPr>
                <w:rFonts w:eastAsia="Times New Roman"/>
                <w:szCs w:val="24"/>
                <w:lang w:eastAsia="tr-TR"/>
              </w:rPr>
              <w:t xml:space="preserve"> tarih</w:t>
            </w:r>
            <w:r w:rsidRPr="00A23740">
              <w:rPr>
                <w:rFonts w:eastAsia="Times New Roman"/>
                <w:b/>
                <w:bCs/>
                <w:color w:val="0000FF"/>
                <w:szCs w:val="24"/>
                <w:lang w:eastAsia="x-none"/>
              </w:rPr>
              <w:t>ten mülkiyetin alıcıya geçtiği</w:t>
            </w:r>
            <w:r w:rsidRPr="00A23740">
              <w:rPr>
                <w:rFonts w:eastAsia="Times New Roman"/>
                <w:szCs w:val="24"/>
                <w:lang w:eastAsia="tr-TR"/>
              </w:rPr>
              <w:t xml:space="preserve"> tarihe kadar geminin bakımı ve </w:t>
            </w:r>
            <w:r w:rsidRPr="00D93F6E">
              <w:rPr>
                <w:rFonts w:eastAsia="Times New Roman"/>
                <w:b/>
                <w:bCs/>
                <w:color w:val="0000FF"/>
                <w:szCs w:val="24"/>
                <w:lang w:eastAsia="tr-TR"/>
              </w:rPr>
              <w:t>muhafazası</w:t>
            </w:r>
            <w:r w:rsidRPr="00A23740">
              <w:rPr>
                <w:rFonts w:eastAsia="Times New Roman"/>
                <w:b/>
                <w:bCs/>
                <w:color w:val="00B050"/>
                <w:szCs w:val="24"/>
                <w:lang w:eastAsia="tr-TR"/>
              </w:rPr>
              <w:t xml:space="preserve"> </w:t>
            </w:r>
            <w:r w:rsidRPr="00A23740">
              <w:rPr>
                <w:rFonts w:eastAsia="Times New Roman"/>
                <w:b/>
                <w:bCs/>
                <w:color w:val="0000FF"/>
                <w:szCs w:val="24"/>
                <w:lang w:eastAsia="x-none"/>
              </w:rPr>
              <w:t>ile</w:t>
            </w:r>
            <w:r w:rsidRPr="00A23740">
              <w:rPr>
                <w:rFonts w:eastAsia="Times New Roman"/>
                <w:szCs w:val="24"/>
                <w:lang w:eastAsia="tr-TR"/>
              </w:rPr>
              <w:t xml:space="preserve"> gemi adamlarının iaşe</w:t>
            </w:r>
            <w:r w:rsidRPr="00A23740">
              <w:rPr>
                <w:rFonts w:eastAsia="Times New Roman"/>
                <w:b/>
                <w:bCs/>
                <w:color w:val="0000FF"/>
                <w:szCs w:val="24"/>
                <w:lang w:eastAsia="x-none"/>
              </w:rPr>
              <w:t>si için yapılan giderler,</w:t>
            </w:r>
          </w:p>
          <w:p w:rsidR="00A46C6E" w:rsidRPr="00A23740" w:rsidRDefault="00A46C6E" w:rsidP="009431FF">
            <w:pPr>
              <w:rPr>
                <w:rFonts w:eastAsia="Times New Roman"/>
                <w:b/>
                <w:bCs/>
                <w:color w:val="0000CC"/>
                <w:szCs w:val="24"/>
                <w:lang w:eastAsia="tr-TR"/>
              </w:rPr>
            </w:pPr>
            <w:r w:rsidRPr="00136EBC">
              <w:rPr>
                <w:rStyle w:val="Balk1Char"/>
                <w:rFonts w:eastAsia="Calibri"/>
              </w:rPr>
              <w:t>b)</w:t>
            </w:r>
            <w:r w:rsidRPr="00A23740">
              <w:rPr>
                <w:rFonts w:eastAsia="Times New Roman"/>
                <w:b/>
                <w:bCs/>
                <w:color w:val="0000FF"/>
                <w:szCs w:val="24"/>
                <w:lang w:eastAsia="x-none"/>
              </w:rPr>
              <w:t xml:space="preserve"> Geminin haczi,</w:t>
            </w:r>
            <w:r w:rsidRPr="00A23740">
              <w:rPr>
                <w:rFonts w:eastAsia="Times New Roman"/>
                <w:szCs w:val="24"/>
                <w:lang w:eastAsia="tr-TR"/>
              </w:rPr>
              <w:t xml:space="preserve"> paraya çevrilmesi </w:t>
            </w:r>
            <w:r w:rsidRPr="00A23740">
              <w:rPr>
                <w:rFonts w:eastAsia="Times New Roman"/>
                <w:b/>
                <w:bCs/>
                <w:color w:val="0000FF"/>
                <w:szCs w:val="24"/>
                <w:lang w:eastAsia="x-none"/>
              </w:rPr>
              <w:t>ve</w:t>
            </w:r>
            <w:r w:rsidRPr="00A23740">
              <w:rPr>
                <w:rFonts w:eastAsia="Times New Roman"/>
                <w:szCs w:val="24"/>
                <w:lang w:eastAsia="tr-TR"/>
              </w:rPr>
              <w:t xml:space="preserve"> satış </w:t>
            </w:r>
            <w:r w:rsidRPr="00A23740">
              <w:rPr>
                <w:rFonts w:eastAsia="Times New Roman"/>
                <w:b/>
                <w:bCs/>
                <w:color w:val="0000FF"/>
                <w:szCs w:val="24"/>
                <w:lang w:eastAsia="x-none"/>
              </w:rPr>
              <w:t>bedelinin</w:t>
            </w:r>
            <w:r w:rsidRPr="00A23740">
              <w:rPr>
                <w:rFonts w:eastAsia="Times New Roman"/>
                <w:szCs w:val="24"/>
                <w:lang w:eastAsia="tr-TR"/>
              </w:rPr>
              <w:t xml:space="preserve"> paylaştırılması </w:t>
            </w:r>
            <w:r w:rsidRPr="00A23740">
              <w:rPr>
                <w:rFonts w:eastAsia="Times New Roman"/>
                <w:b/>
                <w:bCs/>
                <w:color w:val="0000FF"/>
                <w:szCs w:val="24"/>
                <w:lang w:eastAsia="x-none"/>
              </w:rPr>
              <w:t>için yapılan giderler,</w:t>
            </w:r>
          </w:p>
          <w:p w:rsidR="00136EBC" w:rsidRDefault="00136EBC" w:rsidP="009431FF">
            <w:pPr>
              <w:rPr>
                <w:rFonts w:eastAsia="Times New Roman"/>
                <w:b/>
                <w:bCs/>
                <w:color w:val="0000FF"/>
                <w:szCs w:val="24"/>
                <w:lang w:eastAsia="x-none"/>
              </w:rPr>
            </w:pPr>
          </w:p>
          <w:p w:rsidR="00A46C6E" w:rsidRPr="00A23740" w:rsidRDefault="00A46C6E" w:rsidP="009431FF">
            <w:pPr>
              <w:rPr>
                <w:rFonts w:eastAsia="Times New Roman"/>
                <w:b/>
                <w:bCs/>
                <w:color w:val="0000CC"/>
                <w:szCs w:val="24"/>
                <w:lang w:eastAsia="tr-TR"/>
              </w:rPr>
            </w:pPr>
            <w:r w:rsidRPr="00A23740">
              <w:rPr>
                <w:rFonts w:eastAsia="Times New Roman"/>
                <w:b/>
                <w:bCs/>
                <w:color w:val="0000FF"/>
                <w:szCs w:val="24"/>
                <w:lang w:eastAsia="x-none"/>
              </w:rPr>
              <w:t>c) Türk Ticaret Kanununun</w:t>
            </w:r>
            <w:r w:rsidRPr="00A23740">
              <w:rPr>
                <w:rFonts w:eastAsia="Times New Roman"/>
                <w:szCs w:val="24"/>
                <w:lang w:eastAsia="tr-TR"/>
              </w:rPr>
              <w:t xml:space="preserve"> 1320 nci maddesinin birinci fıkrasının (a) bendinde sayılan alacaklardan</w:t>
            </w:r>
            <w:r w:rsidR="000D1C52" w:rsidRPr="00A23740">
              <w:rPr>
                <w:rFonts w:eastAsia="Times New Roman"/>
                <w:szCs w:val="24"/>
                <w:lang w:eastAsia="tr-TR"/>
              </w:rPr>
              <w:t xml:space="preserve"> </w:t>
            </w:r>
            <w:r w:rsidR="000D1C52" w:rsidRPr="00D93F6E">
              <w:rPr>
                <w:rStyle w:val="YELChar"/>
                <w:color w:val="0000FF"/>
              </w:rPr>
              <w:t>ihtiyati</w:t>
            </w:r>
            <w:r w:rsidR="000D1C52" w:rsidRPr="00A23740">
              <w:rPr>
                <w:rStyle w:val="YELChar"/>
              </w:rPr>
              <w:t xml:space="preserve"> </w:t>
            </w:r>
            <w:r w:rsidR="000D1C52" w:rsidRPr="00D93F6E">
              <w:rPr>
                <w:rStyle w:val="YELChar"/>
                <w:color w:val="0000FF"/>
              </w:rPr>
              <w:t>haciz</w:t>
            </w:r>
            <w:r w:rsidR="000D1C52" w:rsidRPr="00A23740">
              <w:rPr>
                <w:rStyle w:val="YELChar"/>
              </w:rPr>
              <w:t xml:space="preserve"> </w:t>
            </w:r>
            <w:r w:rsidR="000D1C52" w:rsidRPr="00D93F6E">
              <w:rPr>
                <w:rStyle w:val="YELChar"/>
                <w:color w:val="0000FF"/>
              </w:rPr>
              <w:t>tarihi de dahil olmak üzere</w:t>
            </w:r>
            <w:r w:rsidR="000D1C52" w:rsidRPr="00A23740">
              <w:rPr>
                <w:rStyle w:val="YELChar"/>
              </w:rPr>
              <w:t xml:space="preserve"> </w:t>
            </w:r>
            <w:r w:rsidRPr="00A23740">
              <w:rPr>
                <w:rFonts w:eastAsia="Times New Roman"/>
                <w:b/>
                <w:bCs/>
                <w:color w:val="0000FF"/>
                <w:szCs w:val="24"/>
                <w:lang w:eastAsia="x-none"/>
              </w:rPr>
              <w:t>geminin haczedildiği tarih ile mülkiyetin alıcıya geçtiği tarih arasındaki</w:t>
            </w:r>
            <w:r w:rsidRPr="00A23740">
              <w:rPr>
                <w:rFonts w:eastAsia="Times New Roman"/>
                <w:szCs w:val="24"/>
                <w:lang w:eastAsia="tr-TR"/>
              </w:rPr>
              <w:t xml:space="preserve"> süreye ilişkin olanlar</w:t>
            </w:r>
            <w:r w:rsidR="000D1C52" w:rsidRPr="003F0BF5">
              <w:rPr>
                <w:rFonts w:eastAsia="Times New Roman"/>
                <w:b/>
                <w:bCs/>
                <w:color w:val="0000FF"/>
                <w:lang w:eastAsia="x-none"/>
              </w:rPr>
              <w:t>,</w:t>
            </w:r>
          </w:p>
          <w:p w:rsidR="00A46C6E" w:rsidRPr="00A23740" w:rsidRDefault="00A46C6E" w:rsidP="009431FF">
            <w:pPr>
              <w:rPr>
                <w:rFonts w:eastAsia="Times New Roman"/>
                <w:szCs w:val="24"/>
                <w:lang w:eastAsia="tr-TR"/>
              </w:rPr>
            </w:pPr>
            <w:r w:rsidRPr="00A23740">
              <w:rPr>
                <w:rFonts w:eastAsia="Times New Roman"/>
                <w:szCs w:val="24"/>
                <w:lang w:eastAsia="tr-TR"/>
              </w:rPr>
              <w:t>kaydedilir.</w:t>
            </w:r>
          </w:p>
          <w:p w:rsidR="00A46C6E" w:rsidRPr="00A23740" w:rsidRDefault="00A46C6E" w:rsidP="009431FF">
            <w:pPr>
              <w:rPr>
                <w:rFonts w:eastAsia="Times New Roman"/>
                <w:b/>
                <w:bCs/>
                <w:color w:val="0000CC"/>
                <w:szCs w:val="24"/>
                <w:lang w:eastAsia="tr-TR"/>
              </w:rPr>
            </w:pPr>
          </w:p>
          <w:p w:rsidR="00A46C6E" w:rsidRPr="00A23740" w:rsidRDefault="00A46C6E" w:rsidP="009431FF">
            <w:pPr>
              <w:rPr>
                <w:rFonts w:eastAsia="Times New Roman"/>
                <w:szCs w:val="24"/>
                <w:lang w:eastAsia="tr-TR"/>
              </w:rPr>
            </w:pPr>
            <w:r w:rsidRPr="00136EBC">
              <w:t>(2)</w:t>
            </w:r>
            <w:r w:rsidRPr="00A23740">
              <w:rPr>
                <w:rFonts w:eastAsia="Times New Roman"/>
                <w:b/>
                <w:bCs/>
                <w:color w:val="0000FF"/>
                <w:szCs w:val="24"/>
                <w:lang w:eastAsia="x-none"/>
              </w:rPr>
              <w:t xml:space="preserve"> Bu sıranın alacaklıları,</w:t>
            </w:r>
            <w:r w:rsidRPr="00A23740">
              <w:rPr>
                <w:rFonts w:eastAsia="Times New Roman"/>
                <w:szCs w:val="24"/>
                <w:lang w:eastAsia="tr-TR"/>
              </w:rPr>
              <w:t xml:space="preserve"> kendi aralarında </w:t>
            </w:r>
            <w:r w:rsidRPr="00A23740">
              <w:rPr>
                <w:rFonts w:eastAsia="Times New Roman"/>
                <w:b/>
                <w:bCs/>
                <w:color w:val="0000FF"/>
                <w:szCs w:val="24"/>
                <w:lang w:eastAsia="x-none"/>
              </w:rPr>
              <w:t>alacakları oranında</w:t>
            </w:r>
            <w:r w:rsidRPr="00A23740">
              <w:rPr>
                <w:rFonts w:eastAsia="Times New Roman"/>
                <w:szCs w:val="24"/>
                <w:lang w:eastAsia="tr-TR"/>
              </w:rPr>
              <w:t xml:space="preserve"> eşit hakka sahiptir</w:t>
            </w:r>
            <w:r w:rsidR="000F4DC6" w:rsidRPr="00D93F6E">
              <w:rPr>
                <w:rFonts w:eastAsia="Times New Roman"/>
                <w:b/>
                <w:color w:val="0000FF"/>
                <w:szCs w:val="24"/>
                <w:lang w:eastAsia="tr-TR"/>
              </w:rPr>
              <w:t>ler</w:t>
            </w:r>
            <w:r w:rsidRPr="00A23740">
              <w:rPr>
                <w:rFonts w:eastAsia="Times New Roman"/>
                <w:szCs w:val="24"/>
                <w:lang w:eastAsia="tr-TR"/>
              </w:rPr>
              <w:t>.</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42" w:name="_Hlk134296337"/>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481</w:t>
            </w:r>
            <w:r w:rsidR="00A46C6E" w:rsidRPr="00A23740">
              <w:rPr>
                <w:rFonts w:eastAsia="Times New Roman"/>
                <w:b/>
                <w:bCs/>
                <w:szCs w:val="24"/>
                <w:lang w:eastAsia="tr-TR"/>
              </w:rPr>
              <w:t xml:space="preserve">- </w:t>
            </w:r>
            <w:bookmarkStart w:id="43" w:name="_Hlk172878678"/>
            <w:r w:rsidR="00A46C6E" w:rsidRPr="00A23740">
              <w:rPr>
                <w:bCs/>
                <w:szCs w:val="24"/>
                <w:lang w:eastAsia="x-none"/>
              </w:rPr>
              <w:t>Maddeyle, birinci sıraya kaydedilecek alacaklar düzenlenmektedir.</w:t>
            </w:r>
          </w:p>
          <w:bookmarkEnd w:id="43"/>
          <w:p w:rsidR="00A46C6E" w:rsidRPr="00A23740" w:rsidRDefault="00A46C6E" w:rsidP="009431FF">
            <w:pPr>
              <w:ind w:firstLine="709"/>
              <w:rPr>
                <w:rFonts w:eastAsia="Times New Roman"/>
                <w:szCs w:val="24"/>
                <w:lang w:eastAsia="tr-TR"/>
              </w:rPr>
            </w:pPr>
            <w:r w:rsidRPr="00A23740">
              <w:rPr>
                <w:rFonts w:eastAsia="Times New Roman"/>
                <w:szCs w:val="24"/>
                <w:lang w:eastAsia="tr-TR"/>
              </w:rPr>
              <w:t xml:space="preserve">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lang w:eastAsia="tr-TR"/>
              </w:rPr>
              <w:t xml:space="preserve">12 nci maddesinin ikinci fıkrasına göre satış bedelinden öncelikle geminin ihtiyati haczi ve bunu takiben satışı için yapılan masraflar ödenir; bunlara geminin ihtiyaten haczedildiği tarihten itibaren geminin ve gemi adamlarının bakımı ile 4 üncü maddenin birinci fıkrasının (a) bendinde yazılı ücret ve tutarlar dahildir. Bu maddede “geminin ihtiyati haczi ve bunu takiben satışı için yapılan masraflar” bakımından bir zaman aralığı belirtilmemiş; buna karşılık “geminin ve gemi adamlarının bakımı ile 4 üncü maddenin birinci fıkrasının (a) bendinde yazılı ücret ve tutarlar” bakımından “geminin ihtiyaten haczedildiği tarihten itibaren” denilip hangi tarihe kadar olduğu belirtilmemiştir. 6102 sayılı Kanunun 1390 ıncı maddesinin birinci fıkrasında ise “sıra cetvelinin birinci sırasına </w:t>
            </w:r>
            <w:r w:rsidRPr="00A23740">
              <w:rPr>
                <w:rFonts w:eastAsia="Times New Roman"/>
                <w:i/>
                <w:iCs/>
                <w:szCs w:val="24"/>
                <w:lang w:eastAsia="tr-TR"/>
              </w:rPr>
              <w:t>geminin haczi tarihinden ödemelerin yapıldığı tarihe kadar … kaydedilir.</w:t>
            </w:r>
            <w:r w:rsidRPr="00A23740">
              <w:rPr>
                <w:rFonts w:eastAsia="Times New Roman"/>
                <w:szCs w:val="24"/>
                <w:lang w:eastAsia="tr-TR"/>
              </w:rPr>
              <w:t>” denildikten sonra</w:t>
            </w:r>
            <w:r w:rsidR="00BF1137" w:rsidRPr="00A23740">
              <w:rPr>
                <w:rFonts w:eastAsia="Times New Roman"/>
                <w:szCs w:val="24"/>
                <w:lang w:eastAsia="tr-TR"/>
              </w:rPr>
              <w:t>,</w:t>
            </w:r>
            <w:r w:rsidRPr="00A23740">
              <w:rPr>
                <w:rFonts w:eastAsia="Times New Roman"/>
                <w:szCs w:val="24"/>
                <w:lang w:eastAsia="tr-TR"/>
              </w:rPr>
              <w:t xml:space="preserve"> (a) bendinde “… </w:t>
            </w:r>
            <w:r w:rsidRPr="00A23740">
              <w:rPr>
                <w:rFonts w:eastAsia="Times New Roman"/>
                <w:i/>
                <w:iCs/>
                <w:szCs w:val="24"/>
                <w:lang w:eastAsia="tr-TR"/>
              </w:rPr>
              <w:t>hacizde geçen süre boyunca geminin bakımı ve korunmasıyla gemi adamlarının iaşelerinden</w:t>
            </w:r>
            <w:r w:rsidRPr="00A23740">
              <w:rPr>
                <w:rFonts w:eastAsia="Times New Roman"/>
                <w:szCs w:val="24"/>
                <w:lang w:eastAsia="tr-TR"/>
              </w:rPr>
              <w:t xml:space="preserve">…” ibaresine ve (b) bendinde belirtilen alacakların “… </w:t>
            </w:r>
            <w:r w:rsidRPr="00A23740">
              <w:rPr>
                <w:rFonts w:eastAsia="Times New Roman"/>
                <w:i/>
                <w:iCs/>
                <w:szCs w:val="24"/>
                <w:lang w:eastAsia="tr-TR"/>
              </w:rPr>
              <w:t>hacizde geçen süreye ilişkin olanlar</w:t>
            </w:r>
            <w:r w:rsidRPr="00A23740">
              <w:rPr>
                <w:rFonts w:eastAsia="Times New Roman"/>
                <w:szCs w:val="24"/>
                <w:lang w:eastAsia="tr-TR"/>
              </w:rPr>
              <w:t xml:space="preserve">…” ibaresine yer verilmiştir. Bu durum karşısında 6102 sayılı Kanunun 1390 ıncı maddesinin belirsizlik yaratan birinci fıkrası hükmünün daha açık ve anlaşılır şekilde ifade edilmesi gerektiği kabul edilmiştir. Ayrıca geminin bakımı ve muhafazası ile gemi adamlarının iaşesi için mülkiyetin alıcıya geçtiği ana kadar masraf yapılabileceği, bu tarihten sonra bu tür masrafların alıcıya ait olacağı dikkate alınarak 6102 sayılı Kanunun 1390 ıncı maddesinin birinci fıkrasında yer alan “… </w:t>
            </w:r>
            <w:r w:rsidRPr="00A23740">
              <w:rPr>
                <w:rFonts w:eastAsia="Times New Roman"/>
                <w:i/>
                <w:iCs/>
                <w:szCs w:val="24"/>
                <w:lang w:eastAsia="tr-TR"/>
              </w:rPr>
              <w:t>geminin haczi tarihinden</w:t>
            </w:r>
            <w:r w:rsidRPr="00A23740">
              <w:rPr>
                <w:rFonts w:eastAsia="Times New Roman"/>
                <w:szCs w:val="24"/>
                <w:lang w:eastAsia="tr-TR"/>
              </w:rPr>
              <w:t xml:space="preserve"> </w:t>
            </w:r>
            <w:r w:rsidRPr="00A23740">
              <w:rPr>
                <w:rFonts w:eastAsia="Times New Roman"/>
                <w:i/>
                <w:iCs/>
                <w:szCs w:val="24"/>
                <w:lang w:eastAsia="tr-TR"/>
              </w:rPr>
              <w:t>ödemelerin yapıldığı tarihe kadar</w:t>
            </w:r>
            <w:r w:rsidRPr="00A23740">
              <w:rPr>
                <w:rFonts w:eastAsia="Times New Roman"/>
                <w:szCs w:val="24"/>
                <w:lang w:eastAsia="tr-TR"/>
              </w:rPr>
              <w:t xml:space="preserve"> …” ve “… </w:t>
            </w:r>
            <w:r w:rsidRPr="00A23740">
              <w:rPr>
                <w:rFonts w:eastAsia="Times New Roman"/>
                <w:i/>
                <w:iCs/>
                <w:szCs w:val="24"/>
                <w:lang w:eastAsia="tr-TR"/>
              </w:rPr>
              <w:t>hacizde geçen süre</w:t>
            </w:r>
            <w:r w:rsidRPr="00A23740">
              <w:rPr>
                <w:rFonts w:eastAsia="Times New Roman"/>
                <w:szCs w:val="24"/>
                <w:lang w:eastAsia="tr-TR"/>
              </w:rPr>
              <w:t xml:space="preserve"> ...”   ibarelerinin, bu maddenin (a) ve (c) bendinde belirtilen masraf ve alacaklar için “… </w:t>
            </w:r>
            <w:r w:rsidRPr="00A23740">
              <w:rPr>
                <w:rFonts w:eastAsia="Times New Roman"/>
                <w:i/>
                <w:iCs/>
                <w:szCs w:val="24"/>
                <w:lang w:eastAsia="tr-TR"/>
              </w:rPr>
              <w:t>geminin ihtiyaten veya kesin olarak haczedildiği tarihten</w:t>
            </w:r>
            <w:r w:rsidRPr="00A23740">
              <w:rPr>
                <w:rFonts w:eastAsia="Times New Roman"/>
                <w:szCs w:val="24"/>
                <w:lang w:eastAsia="tr-TR"/>
              </w:rPr>
              <w:t xml:space="preserve"> </w:t>
            </w:r>
            <w:r w:rsidRPr="00A23740">
              <w:rPr>
                <w:rFonts w:eastAsia="Times New Roman"/>
                <w:i/>
                <w:iCs/>
                <w:szCs w:val="24"/>
                <w:lang w:eastAsia="tr-TR"/>
              </w:rPr>
              <w:t>mülkiyetin alıcıya geçtiği tarihe kadar</w:t>
            </w:r>
            <w:r w:rsidRPr="00A23740">
              <w:rPr>
                <w:rFonts w:eastAsia="Times New Roman"/>
                <w:szCs w:val="24"/>
                <w:lang w:eastAsia="tr-TR"/>
              </w:rPr>
              <w:t xml:space="preserve"> …” şeklinde değiştirilmesi uygun görülmüştür. </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 xml:space="preserve">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sinde</w:t>
            </w:r>
            <w:r w:rsidR="00624DA1" w:rsidRPr="00A23740">
              <w:rPr>
                <w:rFonts w:eastAsia="Times New Roman"/>
                <w:szCs w:val="24"/>
              </w:rPr>
              <w:t xml:space="preserve"> </w:t>
            </w:r>
            <w:r w:rsidRPr="00A23740">
              <w:rPr>
                <w:rFonts w:eastAsia="Times New Roman"/>
                <w:szCs w:val="24"/>
                <w:lang w:eastAsia="tr-TR"/>
              </w:rPr>
              <w:t>birinci sıraya kaydedilecek masraf ve alacakların kendi aralarındaki sıra hakkında bir hüküm getirilmemiş olmasından anlaşıldığı üzere, bunların kendi aralarında alacakları oranında eşit hakka sahip olması kabul edilmiştir. Bu nedenle 6102 sayılı Kanunun 1390 ıncı maddesinin ikinci fıkrası, “</w:t>
            </w:r>
            <w:r w:rsidRPr="00A23740">
              <w:rPr>
                <w:rFonts w:eastAsia="Times New Roman"/>
                <w:i/>
                <w:iCs/>
                <w:szCs w:val="24"/>
                <w:lang w:eastAsia="tr-TR"/>
              </w:rPr>
              <w:t>alacakları oranında</w:t>
            </w:r>
            <w:r w:rsidRPr="00A23740">
              <w:rPr>
                <w:rFonts w:eastAsia="Times New Roman"/>
                <w:szCs w:val="24"/>
                <w:lang w:eastAsia="tr-TR"/>
              </w:rPr>
              <w:t>” ibaresinin ilavesi</w:t>
            </w:r>
            <w:r w:rsidR="00BF1137" w:rsidRPr="00A23740">
              <w:rPr>
                <w:rFonts w:eastAsia="Times New Roman"/>
                <w:szCs w:val="24"/>
                <w:lang w:eastAsia="tr-TR"/>
              </w:rPr>
              <w:t>yle</w:t>
            </w:r>
            <w:r w:rsidRPr="00A23740">
              <w:rPr>
                <w:rFonts w:eastAsia="Times New Roman"/>
                <w:szCs w:val="24"/>
                <w:lang w:eastAsia="tr-TR"/>
              </w:rPr>
              <w:t xml:space="preserve"> maddenin ikinci fıkrasına alınmıştır. </w:t>
            </w:r>
            <w:bookmarkEnd w:id="42"/>
          </w:p>
          <w:p w:rsidR="000D1C52" w:rsidRPr="00A23740" w:rsidRDefault="000D1C52"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b/>
                <w:strike/>
                <w:color w:val="FF0000"/>
                <w:szCs w:val="24"/>
                <w:lang w:eastAsia="x-none"/>
              </w:rPr>
              <w:t>c)</w:t>
            </w:r>
            <w:r w:rsidRPr="00A23740">
              <w:rPr>
                <w:rFonts w:eastAsia="Times New Roman"/>
                <w:b/>
                <w:bCs/>
                <w:szCs w:val="24"/>
                <w:lang w:eastAsia="tr-TR"/>
              </w:rPr>
              <w:t xml:space="preserve"> İkinci sıra</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b/>
                <w:strike/>
                <w:color w:val="FF0000"/>
                <w:szCs w:val="24"/>
                <w:lang w:eastAsia="x-none"/>
              </w:rPr>
              <w:t>1391</w:t>
            </w:r>
            <w:r w:rsidRPr="00A23740">
              <w:rPr>
                <w:rFonts w:eastAsia="Times New Roman"/>
                <w:szCs w:val="24"/>
                <w:lang w:eastAsia="tr-TR"/>
              </w:rPr>
              <w:t xml:space="preserve">- (1) Sıra cetvelinin ikinci sırasına, satılan gemi karaya oturmuş veya batmış </w:t>
            </w:r>
            <w:r w:rsidRPr="00A23740">
              <w:rPr>
                <w:b/>
                <w:strike/>
                <w:color w:val="FF0000"/>
                <w:szCs w:val="24"/>
                <w:lang w:eastAsia="x-none"/>
              </w:rPr>
              <w:t>iken, seyrüsefer emniyeti</w:t>
            </w:r>
            <w:r w:rsidRPr="00A23740">
              <w:rPr>
                <w:rFonts w:eastAsia="Times New Roman"/>
                <w:szCs w:val="24"/>
                <w:lang w:eastAsia="tr-TR"/>
              </w:rPr>
              <w:t xml:space="preserve"> veya deniz çevresinin korunması amacıyla kamu kurumları tarafından kaldırılmışsa, bu kaldırma</w:t>
            </w:r>
            <w:r w:rsidRPr="00A23740">
              <w:rPr>
                <w:b/>
                <w:strike/>
                <w:color w:val="FF0000"/>
                <w:szCs w:val="24"/>
                <w:lang w:eastAsia="x-none"/>
              </w:rPr>
              <w:t>nın giderleri</w:t>
            </w:r>
            <w:r w:rsidRPr="00A23740">
              <w:rPr>
                <w:rFonts w:eastAsia="Times New Roman"/>
                <w:szCs w:val="24"/>
                <w:lang w:eastAsia="tr-TR"/>
              </w:rPr>
              <w:t xml:space="preserve"> kaydedilir.</w:t>
            </w:r>
          </w:p>
          <w:p w:rsidR="00A46C6E" w:rsidRPr="00A23740" w:rsidRDefault="00A46C6E" w:rsidP="009431FF">
            <w:pPr>
              <w:rPr>
                <w:rFonts w:eastAsia="Times New Roman"/>
                <w:b/>
                <w:szCs w:val="24"/>
              </w:rPr>
            </w:pP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szCs w:val="24"/>
                <w:lang w:eastAsia="tr-TR"/>
              </w:rPr>
            </w:pPr>
            <w:r w:rsidRPr="00A23740">
              <w:rPr>
                <w:rFonts w:eastAsia="Times New Roman"/>
                <w:b/>
                <w:bCs/>
                <w:szCs w:val="24"/>
                <w:lang w:eastAsia="tr-TR"/>
              </w:rPr>
              <w:t>İkinci sıra</w:t>
            </w:r>
          </w:p>
          <w:p w:rsidR="00A46C6E" w:rsidRPr="00A23740" w:rsidRDefault="00993A1A" w:rsidP="009431FF">
            <w:pPr>
              <w:rPr>
                <w:rFonts w:eastAsia="Times New Roman"/>
                <w:b/>
                <w:bCs/>
                <w:szCs w:val="24"/>
                <w:lang w:eastAsia="tr-TR"/>
              </w:rPr>
            </w:pPr>
            <w:r w:rsidRPr="00136EBC">
              <w:rPr>
                <w:rFonts w:eastAsia="Times New Roman"/>
                <w:b/>
                <w:bCs/>
                <w:color w:val="000000" w:themeColor="text1"/>
                <w:szCs w:val="24"/>
                <w:lang w:eastAsia="x-none"/>
              </w:rPr>
              <w:t xml:space="preserve">MADDE </w:t>
            </w:r>
            <w:r w:rsidRPr="00A23740">
              <w:rPr>
                <w:rFonts w:eastAsia="Times New Roman"/>
                <w:b/>
                <w:bCs/>
                <w:color w:val="0000FF"/>
                <w:szCs w:val="24"/>
                <w:lang w:eastAsia="x-none"/>
              </w:rPr>
              <w:t>482</w:t>
            </w:r>
            <w:r w:rsidR="00A46C6E" w:rsidRPr="00A23740">
              <w:rPr>
                <w:rFonts w:eastAsia="Times New Roman"/>
                <w:b/>
                <w:bCs/>
                <w:color w:val="0000FF"/>
                <w:szCs w:val="24"/>
                <w:lang w:eastAsia="x-none"/>
              </w:rPr>
              <w:t xml:space="preserve">- </w:t>
            </w:r>
            <w:r w:rsidR="00A46C6E" w:rsidRPr="00136EBC">
              <w:rPr>
                <w:rFonts w:eastAsia="Times New Roman"/>
                <w:bCs/>
                <w:color w:val="000000" w:themeColor="text1"/>
                <w:szCs w:val="24"/>
                <w:lang w:eastAsia="x-none"/>
              </w:rPr>
              <w:t>(1)</w:t>
            </w:r>
            <w:r w:rsidR="00A46C6E" w:rsidRPr="00136EBC">
              <w:rPr>
                <w:rFonts w:eastAsia="Times New Roman"/>
                <w:color w:val="000000" w:themeColor="text1"/>
                <w:szCs w:val="24"/>
                <w:lang w:eastAsia="tr-TR"/>
              </w:rPr>
              <w:t xml:space="preserve"> </w:t>
            </w:r>
            <w:r w:rsidR="000F4DC6" w:rsidRPr="00A23740">
              <w:rPr>
                <w:rFonts w:eastAsia="Times New Roman"/>
                <w:szCs w:val="24"/>
                <w:lang w:eastAsia="tr-TR"/>
              </w:rPr>
              <w:t xml:space="preserve">Satılan </w:t>
            </w:r>
            <w:r w:rsidR="00A46C6E" w:rsidRPr="00A23740">
              <w:rPr>
                <w:rFonts w:eastAsia="Times New Roman"/>
                <w:szCs w:val="24"/>
                <w:lang w:eastAsia="tr-TR"/>
              </w:rPr>
              <w:t>gemi</w:t>
            </w:r>
            <w:r w:rsidR="00A46C6E" w:rsidRPr="00A23740">
              <w:rPr>
                <w:rFonts w:eastAsia="Times New Roman"/>
                <w:b/>
                <w:bCs/>
                <w:color w:val="0000CC"/>
                <w:szCs w:val="24"/>
                <w:lang w:eastAsia="tr-TR"/>
              </w:rPr>
              <w:t>,</w:t>
            </w:r>
            <w:r w:rsidR="00A46C6E" w:rsidRPr="00A23740">
              <w:rPr>
                <w:rFonts w:eastAsia="Times New Roman"/>
                <w:szCs w:val="24"/>
                <w:lang w:eastAsia="tr-TR"/>
              </w:rPr>
              <w:t xml:space="preserve"> karaya oturmuş veya batmış</w:t>
            </w:r>
            <w:r w:rsidR="00A46C6E" w:rsidRPr="00A23740">
              <w:rPr>
                <w:rFonts w:eastAsia="Times New Roman"/>
                <w:b/>
                <w:bCs/>
                <w:color w:val="0000CC"/>
                <w:szCs w:val="24"/>
                <w:lang w:eastAsia="tr-TR"/>
              </w:rPr>
              <w:t xml:space="preserve"> </w:t>
            </w:r>
            <w:r w:rsidR="00A46C6E" w:rsidRPr="00A23740">
              <w:rPr>
                <w:rFonts w:eastAsia="Times New Roman"/>
                <w:b/>
                <w:bCs/>
                <w:color w:val="0000FF"/>
                <w:szCs w:val="24"/>
                <w:lang w:eastAsia="x-none"/>
              </w:rPr>
              <w:t>olup da seyir güvenliği</w:t>
            </w:r>
            <w:r w:rsidR="00A46C6E" w:rsidRPr="00A23740">
              <w:rPr>
                <w:rFonts w:eastAsia="Times New Roman"/>
                <w:b/>
                <w:bCs/>
                <w:color w:val="0000CC"/>
                <w:szCs w:val="24"/>
                <w:lang w:eastAsia="tr-TR"/>
              </w:rPr>
              <w:t xml:space="preserve"> </w:t>
            </w:r>
            <w:r w:rsidR="00A46C6E" w:rsidRPr="00A23740">
              <w:rPr>
                <w:rFonts w:eastAsia="Times New Roman"/>
                <w:szCs w:val="24"/>
                <w:lang w:eastAsia="tr-TR"/>
              </w:rPr>
              <w:t>veya deniz çevresinin korunması amacıyla kamu kurumları tarafından</w:t>
            </w:r>
            <w:r w:rsidR="00A46C6E" w:rsidRPr="00A23740">
              <w:rPr>
                <w:rFonts w:eastAsia="Times New Roman"/>
                <w:b/>
                <w:bCs/>
                <w:color w:val="0000CC"/>
                <w:szCs w:val="24"/>
                <w:lang w:eastAsia="tr-TR"/>
              </w:rPr>
              <w:t xml:space="preserve"> </w:t>
            </w:r>
            <w:r w:rsidR="00A46C6E" w:rsidRPr="00A23740">
              <w:rPr>
                <w:rFonts w:eastAsia="Times New Roman"/>
                <w:b/>
                <w:bCs/>
                <w:color w:val="0000FF"/>
                <w:szCs w:val="24"/>
                <w:lang w:eastAsia="x-none"/>
              </w:rPr>
              <w:t>çıkarılmış veya</w:t>
            </w:r>
            <w:r w:rsidR="00A46C6E" w:rsidRPr="00A23740">
              <w:rPr>
                <w:rFonts w:eastAsia="Times New Roman"/>
                <w:b/>
                <w:bCs/>
                <w:color w:val="0000CC"/>
                <w:szCs w:val="24"/>
                <w:lang w:eastAsia="tr-TR"/>
              </w:rPr>
              <w:t xml:space="preserve"> </w:t>
            </w:r>
            <w:r w:rsidR="00A46C6E" w:rsidRPr="00A23740">
              <w:rPr>
                <w:rFonts w:eastAsia="Times New Roman"/>
                <w:szCs w:val="24"/>
                <w:lang w:eastAsia="tr-TR"/>
              </w:rPr>
              <w:t xml:space="preserve">kaldırılmışsa, bu </w:t>
            </w:r>
            <w:r w:rsidR="00A46C6E" w:rsidRPr="00A23740">
              <w:rPr>
                <w:rFonts w:eastAsia="Times New Roman"/>
                <w:b/>
                <w:bCs/>
                <w:color w:val="0000FF"/>
                <w:szCs w:val="24"/>
                <w:lang w:eastAsia="x-none"/>
              </w:rPr>
              <w:t>çıkarma veya</w:t>
            </w:r>
            <w:r w:rsidR="00A46C6E" w:rsidRPr="00A23740">
              <w:rPr>
                <w:rFonts w:eastAsia="Times New Roman"/>
                <w:szCs w:val="24"/>
                <w:lang w:eastAsia="tr-TR"/>
              </w:rPr>
              <w:t xml:space="preserve"> kaldırma </w:t>
            </w:r>
            <w:r w:rsidR="00A46C6E" w:rsidRPr="00A23740">
              <w:rPr>
                <w:rFonts w:eastAsia="Times New Roman"/>
                <w:b/>
                <w:bCs/>
                <w:color w:val="0000FF"/>
                <w:szCs w:val="24"/>
                <w:lang w:eastAsia="x-none"/>
              </w:rPr>
              <w:t>için yapılan giderler</w:t>
            </w:r>
            <w:r w:rsidR="000F4DC6" w:rsidRPr="00A23740">
              <w:rPr>
                <w:rFonts w:eastAsia="Times New Roman"/>
                <w:b/>
                <w:bCs/>
                <w:color w:val="0000FF"/>
                <w:szCs w:val="24"/>
                <w:lang w:eastAsia="x-none"/>
              </w:rPr>
              <w:t xml:space="preserve"> </w:t>
            </w:r>
            <w:r w:rsidR="000F4DC6" w:rsidRPr="00D93F6E">
              <w:rPr>
                <w:rFonts w:eastAsia="Times New Roman"/>
                <w:b/>
                <w:bCs/>
                <w:color w:val="0000FF"/>
                <w:szCs w:val="24"/>
                <w:lang w:eastAsia="x-none"/>
              </w:rPr>
              <w:t>sıra cetvelinin ikinci sırasına</w:t>
            </w:r>
            <w:r w:rsidR="00A46C6E" w:rsidRPr="00A23740">
              <w:rPr>
                <w:rFonts w:eastAsia="Times New Roman"/>
                <w:b/>
                <w:bCs/>
                <w:color w:val="0000CC"/>
                <w:szCs w:val="24"/>
                <w:lang w:eastAsia="tr-TR"/>
              </w:rPr>
              <w:t xml:space="preserve"> </w:t>
            </w:r>
            <w:r w:rsidR="00A46C6E" w:rsidRPr="00A23740">
              <w:rPr>
                <w:rFonts w:eastAsia="Times New Roman"/>
                <w:szCs w:val="24"/>
                <w:lang w:eastAsia="tr-TR"/>
              </w:rPr>
              <w:t>kaydedilir.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44" w:name="_Hlk134296286"/>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482</w:t>
            </w:r>
            <w:r w:rsidR="00A46C6E" w:rsidRPr="00A23740">
              <w:rPr>
                <w:rFonts w:eastAsia="Times New Roman"/>
                <w:b/>
                <w:bCs/>
                <w:szCs w:val="24"/>
                <w:lang w:eastAsia="tr-TR"/>
              </w:rPr>
              <w:t xml:space="preserve">- </w:t>
            </w:r>
            <w:bookmarkStart w:id="45" w:name="_Hlk172878631"/>
            <w:r w:rsidR="00A46C6E" w:rsidRPr="00A23740">
              <w:rPr>
                <w:bCs/>
                <w:szCs w:val="24"/>
                <w:lang w:eastAsia="x-none"/>
              </w:rPr>
              <w:t>Maddeyle, ikinci sıraya kaydedilecek alacaklar düzenlenmektedir.</w:t>
            </w:r>
          </w:p>
          <w:bookmarkEnd w:id="45"/>
          <w:p w:rsidR="00A46C6E" w:rsidRPr="00A23740" w:rsidRDefault="00A46C6E" w:rsidP="009431FF">
            <w:pPr>
              <w:ind w:firstLine="709"/>
              <w:rPr>
                <w:rFonts w:eastAsia="Times New Roman"/>
                <w:szCs w:val="24"/>
              </w:rPr>
            </w:pPr>
            <w:r w:rsidRPr="00A23740">
              <w:rPr>
                <w:rFonts w:eastAsia="Times New Roman"/>
                <w:szCs w:val="24"/>
              </w:rPr>
              <w:t xml:space="preserve">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12 nci maddesinin üçüncü fıkrasına göre</w:t>
            </w:r>
            <w:r w:rsidR="00BF1137" w:rsidRPr="00A23740">
              <w:rPr>
                <w:rFonts w:eastAsia="Times New Roman"/>
                <w:szCs w:val="24"/>
              </w:rPr>
              <w:t>,</w:t>
            </w:r>
            <w:r w:rsidRPr="00A23740">
              <w:rPr>
                <w:rFonts w:eastAsia="Times New Roman"/>
                <w:szCs w:val="24"/>
              </w:rPr>
              <w:t xml:space="preserve"> </w:t>
            </w:r>
            <w:r w:rsidR="00BF1137" w:rsidRPr="00A23740">
              <w:rPr>
                <w:rFonts w:eastAsia="Times New Roman"/>
                <w:szCs w:val="24"/>
              </w:rPr>
              <w:t xml:space="preserve">Sözleşmeye </w:t>
            </w:r>
            <w:r w:rsidRPr="00A23740">
              <w:rPr>
                <w:rFonts w:eastAsia="Times New Roman"/>
                <w:szCs w:val="24"/>
              </w:rPr>
              <w:t>her taraf devlet</w:t>
            </w:r>
            <w:r w:rsidR="00BF1137" w:rsidRPr="00A23740">
              <w:rPr>
                <w:rFonts w:eastAsia="Times New Roman"/>
                <w:szCs w:val="24"/>
              </w:rPr>
              <w:t>,</w:t>
            </w:r>
            <w:r w:rsidRPr="00A23740">
              <w:rPr>
                <w:rFonts w:eastAsia="Times New Roman"/>
                <w:szCs w:val="24"/>
              </w:rPr>
              <w:t xml:space="preserve"> iç hukukunda</w:t>
            </w:r>
            <w:r w:rsidR="00BF1137" w:rsidRPr="00A23740">
              <w:rPr>
                <w:rFonts w:eastAsia="Times New Roman"/>
                <w:szCs w:val="24"/>
              </w:rPr>
              <w:t>,</w:t>
            </w:r>
            <w:r w:rsidRPr="00A23740">
              <w:rPr>
                <w:rFonts w:eastAsia="Times New Roman"/>
                <w:szCs w:val="24"/>
              </w:rPr>
              <w:t xml:space="preserve"> batmış veya karaya oturmuş bir geminin</w:t>
            </w:r>
            <w:r w:rsidR="00535D4A" w:rsidRPr="00A23740">
              <w:rPr>
                <w:rFonts w:eastAsia="Times New Roman"/>
                <w:szCs w:val="24"/>
              </w:rPr>
              <w:t xml:space="preserve"> cebrî icra yoluyla satılması hâ</w:t>
            </w:r>
            <w:r w:rsidRPr="00A23740">
              <w:rPr>
                <w:rFonts w:eastAsia="Times New Roman"/>
                <w:szCs w:val="24"/>
              </w:rPr>
              <w:t>linde, seyir güvenliği veya deniz çevresinin korunması için kamu kurumları tarafından karaya oturmuş veya batmış bir geminin çıkarılması veya kaldırılması masraflarının gemi alacaklısı hakkına sahip alacaklardan önce ödenmesini öngören düzenleme getirebilir. Bu hükme uygun şekilde 6102 sayılı Kanunun 1323 üncü maddesinin üçüncü fıkrasında “</w:t>
            </w:r>
            <w:r w:rsidRPr="00A23740">
              <w:rPr>
                <w:rFonts w:eastAsia="Times New Roman"/>
                <w:i/>
                <w:iCs/>
                <w:szCs w:val="24"/>
              </w:rPr>
              <w:t>Karaya oturmuş veya batmış bir geminin, seyrüsefer güvenliği veya deniz çevresinin korunması amacıyla kamu kuru</w:t>
            </w:r>
            <w:r w:rsidR="00535D4A" w:rsidRPr="00A23740">
              <w:rPr>
                <w:rFonts w:eastAsia="Times New Roman"/>
                <w:i/>
                <w:iCs/>
                <w:szCs w:val="24"/>
              </w:rPr>
              <w:t>mları tarafından kaldırılması hâ</w:t>
            </w:r>
            <w:r w:rsidRPr="00A23740">
              <w:rPr>
                <w:rFonts w:eastAsia="Times New Roman"/>
                <w:i/>
                <w:iCs/>
                <w:szCs w:val="24"/>
              </w:rPr>
              <w:t>linde, bunun giderleri, bütün gemi alacaklarından önce ödenir</w:t>
            </w:r>
            <w:r w:rsidRPr="00A23740">
              <w:rPr>
                <w:rFonts w:eastAsia="Times New Roman"/>
                <w:szCs w:val="24"/>
              </w:rPr>
              <w:t xml:space="preserve">.” denilmiştir. 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12 nci maddesinin üçüncü fıkrası ve 6102 sayılı Kanunun 1323 üncü maddesinin üçüncü fıkrası düzenlemesi</w:t>
            </w:r>
            <w:r w:rsidR="00BF1137" w:rsidRPr="00A23740">
              <w:rPr>
                <w:rFonts w:eastAsia="Times New Roman"/>
                <w:szCs w:val="24"/>
              </w:rPr>
              <w:t>yle</w:t>
            </w:r>
            <w:r w:rsidRPr="00A23740">
              <w:rPr>
                <w:rFonts w:eastAsia="Times New Roman"/>
                <w:szCs w:val="24"/>
              </w:rPr>
              <w:t xml:space="preserve"> uyumlu olduğundan 6102 sayılı Kanunun 1391 inci maddesi, ifadesi değiştirilerek Taslağın bu maddesine alınmıştır. </w:t>
            </w:r>
          </w:p>
          <w:bookmarkEnd w:id="44"/>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b/>
                <w:strike/>
                <w:color w:val="FF0000"/>
                <w:szCs w:val="24"/>
                <w:lang w:eastAsia="x-none"/>
              </w:rPr>
              <w:t>d)</w:t>
            </w:r>
            <w:r w:rsidRPr="00A23740">
              <w:rPr>
                <w:rFonts w:eastAsia="Times New Roman"/>
                <w:b/>
                <w:bCs/>
                <w:szCs w:val="24"/>
                <w:lang w:eastAsia="tr-TR"/>
              </w:rPr>
              <w:t xml:space="preserve"> Üçüncü sıra</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b/>
                <w:strike/>
                <w:color w:val="FF0000"/>
                <w:szCs w:val="24"/>
                <w:lang w:eastAsia="x-none"/>
              </w:rPr>
              <w:t>1392</w:t>
            </w:r>
            <w:r w:rsidRPr="00A23740">
              <w:rPr>
                <w:rFonts w:eastAsia="Times New Roman"/>
                <w:szCs w:val="24"/>
                <w:lang w:eastAsia="tr-TR"/>
              </w:rPr>
              <w:t>- (1) Sıra cetvelinin üçüncü sırasına, 1320 nci maddenin birinci fıkrasının (a) ilâ (e) bentlerinde düzenlenmiş olan gemi alacaklıların</w:t>
            </w:r>
            <w:r w:rsidRPr="00A23740">
              <w:rPr>
                <w:b/>
                <w:strike/>
                <w:color w:val="FF0000"/>
                <w:szCs w:val="24"/>
                <w:lang w:eastAsia="x-none"/>
              </w:rPr>
              <w:t xml:space="preserve">dan 1390 ıncı maddeye girmeyenler </w:t>
            </w:r>
            <w:r w:rsidRPr="00A23740">
              <w:rPr>
                <w:rFonts w:eastAsia="Times New Roman"/>
                <w:szCs w:val="24"/>
                <w:lang w:eastAsia="tr-TR"/>
              </w:rPr>
              <w:t>kaydedilir.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b/>
                <w:strike/>
                <w:color w:val="FF0000"/>
                <w:szCs w:val="24"/>
                <w:lang w:eastAsia="x-none"/>
              </w:rPr>
            </w:pPr>
            <w:r w:rsidRPr="00A23740">
              <w:rPr>
                <w:rFonts w:eastAsia="Times New Roman"/>
                <w:szCs w:val="24"/>
                <w:lang w:eastAsia="tr-TR"/>
              </w:rPr>
              <w:t xml:space="preserve">(2) Birinci fıkrada sayılan alacaklar, </w:t>
            </w:r>
            <w:r w:rsidRPr="00A23740">
              <w:rPr>
                <w:b/>
                <w:strike/>
                <w:color w:val="FF0000"/>
                <w:szCs w:val="24"/>
                <w:lang w:eastAsia="x-none"/>
              </w:rPr>
              <w:t>1324 üncü maddede gösterilen sıraya tabidir.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b/>
                <w:szCs w:val="24"/>
                <w:lang w:eastAsia="tr-TR"/>
              </w:rPr>
            </w:pPr>
            <w:r w:rsidRPr="00A23740">
              <w:rPr>
                <w:rFonts w:eastAsia="Times New Roman"/>
                <w:b/>
                <w:szCs w:val="24"/>
                <w:lang w:eastAsia="tr-TR"/>
              </w:rPr>
              <w:t>IV- Sırası</w:t>
            </w:r>
          </w:p>
          <w:p w:rsidR="00A46C6E" w:rsidRPr="00A23740" w:rsidRDefault="00A46C6E" w:rsidP="009431FF">
            <w:pPr>
              <w:tabs>
                <w:tab w:val="left" w:pos="0"/>
              </w:tabs>
              <w:rPr>
                <w:noProof/>
                <w:szCs w:val="24"/>
              </w:rPr>
            </w:pPr>
            <w:r w:rsidRPr="00A23740">
              <w:rPr>
                <w:b/>
                <w:bCs/>
                <w:noProof/>
                <w:szCs w:val="24"/>
              </w:rPr>
              <w:t xml:space="preserve">MADDE </w:t>
            </w:r>
            <w:r w:rsidRPr="00A23740">
              <w:rPr>
                <w:b/>
                <w:strike/>
                <w:color w:val="FF0000"/>
                <w:szCs w:val="24"/>
                <w:lang w:eastAsia="x-none"/>
              </w:rPr>
              <w:t>1324</w:t>
            </w:r>
            <w:r w:rsidRPr="00A23740">
              <w:rPr>
                <w:noProof/>
                <w:szCs w:val="24"/>
              </w:rPr>
              <w:t xml:space="preserve">- (1) </w:t>
            </w:r>
            <w:r w:rsidRPr="00A23740">
              <w:rPr>
                <w:b/>
                <w:strike/>
                <w:color w:val="FF0000"/>
                <w:szCs w:val="24"/>
                <w:lang w:eastAsia="x-none"/>
              </w:rPr>
              <w:t>Gemi alacağının hakkının verdiği kanuni rehin haklarının sırası,</w:t>
            </w:r>
            <w:r w:rsidRPr="00A23740">
              <w:rPr>
                <w:noProof/>
                <w:szCs w:val="24"/>
              </w:rPr>
              <w:t xml:space="preserve"> 1320 nci maddede gemi alacaklısı hakkı verdiği açıklanan alacakların sırasına göre belirlenir; şu kadar ki, </w:t>
            </w:r>
            <w:r w:rsidRPr="00A23740">
              <w:rPr>
                <w:b/>
                <w:strike/>
                <w:color w:val="FF0000"/>
                <w:szCs w:val="24"/>
                <w:lang w:eastAsia="x-none"/>
              </w:rPr>
              <w:t>1320 nci maddenin birinci fıkrasının (f) bendinde sayılan gemi alacaklıları hakkında 1323 üncü maddenin ikinci fıkrası hükmü saklıdır.</w:t>
            </w:r>
          </w:p>
          <w:p w:rsidR="00A46C6E" w:rsidRPr="00A23740" w:rsidRDefault="00A46C6E" w:rsidP="009431FF">
            <w:pPr>
              <w:tabs>
                <w:tab w:val="left" w:pos="0"/>
              </w:tabs>
              <w:rPr>
                <w:b/>
                <w:strike/>
                <w:color w:val="FF0000"/>
                <w:szCs w:val="24"/>
                <w:lang w:eastAsia="x-none"/>
              </w:rPr>
            </w:pPr>
            <w:r w:rsidRPr="00A23740">
              <w:rPr>
                <w:b/>
                <w:strike/>
                <w:color w:val="FF0000"/>
                <w:szCs w:val="24"/>
                <w:lang w:eastAsia="x-none"/>
              </w:rPr>
              <w:t>(2) Yalnız</w:t>
            </w:r>
            <w:r w:rsidRPr="00A23740">
              <w:rPr>
                <w:noProof/>
                <w:szCs w:val="24"/>
              </w:rPr>
              <w:t xml:space="preserve"> kurtarma ücreti alacağının </w:t>
            </w:r>
            <w:r w:rsidRPr="00A23740">
              <w:rPr>
                <w:b/>
                <w:strike/>
                <w:color w:val="FF0000"/>
                <w:szCs w:val="24"/>
                <w:lang w:eastAsia="x-none"/>
              </w:rPr>
              <w:t>verdiği kanuni rehin hakkı, bu alacağın doğumuna sebebiyet veren faaliyetin yapıldığı tarihten evvel gemi üzerinde doğmuş olan bütün diğer rehin haklarından önce gelir. Kurtarma ücreti alacağının verdiği kanuni rehin haklarından sonra doğanlar, evvel doğanlardan önce gelir; bu hükmün uygulanmasında her bir kurtarma faaliyetinin sona erdiği tarih esastır.</w:t>
            </w:r>
          </w:p>
          <w:p w:rsidR="00A46C6E" w:rsidRPr="00A23740" w:rsidRDefault="00A46C6E" w:rsidP="009431FF">
            <w:pPr>
              <w:tabs>
                <w:tab w:val="left" w:pos="0"/>
              </w:tabs>
              <w:rPr>
                <w:noProof/>
                <w:szCs w:val="24"/>
              </w:rPr>
            </w:pPr>
          </w:p>
          <w:p w:rsidR="00A46C6E" w:rsidRPr="00A23740" w:rsidRDefault="00A46C6E" w:rsidP="009431FF">
            <w:pPr>
              <w:tabs>
                <w:tab w:val="left" w:pos="0"/>
              </w:tabs>
              <w:rPr>
                <w:noProof/>
                <w:szCs w:val="24"/>
              </w:rPr>
            </w:pPr>
            <w:r w:rsidRPr="00A23740">
              <w:rPr>
                <w:noProof/>
                <w:szCs w:val="24"/>
              </w:rPr>
              <w:t xml:space="preserve">(3) 1320 nci maddenin birinci fıkrasının (a), (b), (d) ve (e) bentlerinde </w:t>
            </w:r>
            <w:r w:rsidRPr="00A23740">
              <w:rPr>
                <w:b/>
                <w:strike/>
                <w:color w:val="FF0000"/>
                <w:szCs w:val="24"/>
                <w:lang w:eastAsia="x-none"/>
              </w:rPr>
              <w:t>öngörülen</w:t>
            </w:r>
            <w:r w:rsidRPr="00A23740">
              <w:rPr>
                <w:noProof/>
                <w:szCs w:val="24"/>
              </w:rPr>
              <w:t xml:space="preserve"> gemi alacakları kendi aralarında eşit hakka sahiptir</w:t>
            </w:r>
            <w:r w:rsidRPr="00A23740">
              <w:rPr>
                <w:b/>
                <w:strike/>
                <w:color w:val="FF0000"/>
                <w:szCs w:val="24"/>
                <w:lang w:eastAsia="x-none"/>
              </w:rPr>
              <w:t>ler</w:t>
            </w:r>
            <w:r w:rsidRPr="00A23740">
              <w:rPr>
                <w:noProof/>
                <w:szCs w:val="24"/>
              </w:rPr>
              <w:t>.</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szCs w:val="24"/>
                <w:lang w:eastAsia="tr-TR"/>
              </w:rPr>
            </w:pPr>
            <w:r w:rsidRPr="00A23740">
              <w:rPr>
                <w:rFonts w:eastAsia="Times New Roman"/>
                <w:b/>
                <w:bCs/>
                <w:szCs w:val="24"/>
                <w:lang w:eastAsia="tr-TR"/>
              </w:rPr>
              <w:t xml:space="preserve">Üçüncü sıra </w:t>
            </w:r>
          </w:p>
          <w:p w:rsidR="00A46C6E" w:rsidRPr="00A23740" w:rsidRDefault="00993A1A" w:rsidP="009431FF">
            <w:pPr>
              <w:rPr>
                <w:b/>
                <w:bCs/>
                <w:color w:val="0000FF"/>
                <w:szCs w:val="24"/>
                <w:lang w:eastAsia="x-none"/>
              </w:rPr>
            </w:pPr>
            <w:r w:rsidRPr="00A23740">
              <w:rPr>
                <w:b/>
                <w:bCs/>
                <w:color w:val="0000FF"/>
                <w:szCs w:val="24"/>
                <w:lang w:eastAsia="x-none"/>
              </w:rPr>
              <w:t>MADDE 483</w:t>
            </w:r>
            <w:r w:rsidR="00A46C6E" w:rsidRPr="00A23740">
              <w:rPr>
                <w:b/>
                <w:bCs/>
                <w:color w:val="0000FF"/>
                <w:szCs w:val="24"/>
                <w:lang w:eastAsia="x-none"/>
              </w:rPr>
              <w:t xml:space="preserve">- </w:t>
            </w:r>
            <w:r w:rsidR="00A46C6E" w:rsidRPr="00136EBC">
              <w:rPr>
                <w:bCs/>
                <w:color w:val="000000" w:themeColor="text1"/>
                <w:szCs w:val="24"/>
                <w:lang w:eastAsia="x-none"/>
              </w:rPr>
              <w:t>(1)</w:t>
            </w:r>
            <w:r w:rsidR="00A46C6E" w:rsidRPr="00A23740">
              <w:rPr>
                <w:rFonts w:eastAsia="Times New Roman"/>
                <w:szCs w:val="24"/>
                <w:lang w:eastAsia="tr-TR"/>
              </w:rPr>
              <w:t xml:space="preserve"> Sıra cetvelinin üçüncü sırasına,</w:t>
            </w:r>
            <w:r w:rsidR="00A46C6E" w:rsidRPr="00A23740">
              <w:rPr>
                <w:b/>
                <w:bCs/>
                <w:color w:val="0000FF"/>
                <w:szCs w:val="24"/>
                <w:lang w:eastAsia="x-none"/>
              </w:rPr>
              <w:t xml:space="preserve"> Türk Ticaret Kanununun </w:t>
            </w:r>
            <w:r w:rsidR="00A46C6E" w:rsidRPr="00A23740">
              <w:rPr>
                <w:rFonts w:eastAsia="Times New Roman"/>
                <w:szCs w:val="24"/>
                <w:lang w:eastAsia="tr-TR"/>
              </w:rPr>
              <w:t>1320 nci madde</w:t>
            </w:r>
            <w:r w:rsidR="00A46C6E" w:rsidRPr="00A23740">
              <w:rPr>
                <w:b/>
                <w:bCs/>
                <w:color w:val="0000FF"/>
                <w:szCs w:val="24"/>
                <w:lang w:eastAsia="x-none"/>
              </w:rPr>
              <w:t>si</w:t>
            </w:r>
            <w:r w:rsidR="00A127B1">
              <w:rPr>
                <w:rFonts w:eastAsia="Times New Roman"/>
                <w:szCs w:val="24"/>
                <w:lang w:eastAsia="tr-TR"/>
              </w:rPr>
              <w:t>nin birinci fıkrasının (a) ila</w:t>
            </w:r>
            <w:r w:rsidR="00A46C6E" w:rsidRPr="00A23740">
              <w:rPr>
                <w:rFonts w:eastAsia="Times New Roman"/>
                <w:szCs w:val="24"/>
                <w:lang w:eastAsia="tr-TR"/>
              </w:rPr>
              <w:t xml:space="preserve"> (e) bentlerinde düzenlenmiş olan gemi alacaklıların</w:t>
            </w:r>
            <w:r w:rsidR="00A46C6E" w:rsidRPr="00A23740">
              <w:rPr>
                <w:b/>
                <w:bCs/>
                <w:color w:val="0000FF"/>
                <w:szCs w:val="24"/>
                <w:lang w:eastAsia="x-none"/>
              </w:rPr>
              <w:t>ın</w:t>
            </w:r>
            <w:r w:rsidR="009066D8" w:rsidRPr="00A23740">
              <w:rPr>
                <w:b/>
                <w:bCs/>
                <w:color w:val="0000FF"/>
                <w:szCs w:val="24"/>
                <w:lang w:eastAsia="x-none"/>
              </w:rPr>
              <w:t xml:space="preserve"> </w:t>
            </w:r>
            <w:r w:rsidR="009066D8" w:rsidRPr="00D93F6E">
              <w:rPr>
                <w:rStyle w:val="KonuBalChar"/>
                <w:rFonts w:eastAsia="Calibri"/>
                <w:color w:val="0000FF"/>
              </w:rPr>
              <w:t>480 inci</w:t>
            </w:r>
            <w:r w:rsidR="00A46C6E" w:rsidRPr="00A23740">
              <w:rPr>
                <w:b/>
                <w:bCs/>
                <w:color w:val="0000FF"/>
                <w:szCs w:val="24"/>
                <w:lang w:eastAsia="x-none"/>
              </w:rPr>
              <w:t xml:space="preserve"> </w:t>
            </w:r>
            <w:r w:rsidR="00A46C6E" w:rsidRPr="00A23740">
              <w:rPr>
                <w:b/>
                <w:bCs/>
                <w:color w:val="0000FF"/>
                <w:lang w:val="x-none" w:eastAsia="x-none"/>
              </w:rPr>
              <w:t xml:space="preserve">madde </w:t>
            </w:r>
            <w:r w:rsidR="00A46C6E" w:rsidRPr="00A23740">
              <w:rPr>
                <w:b/>
                <w:bCs/>
                <w:color w:val="0000FF"/>
                <w:szCs w:val="24"/>
                <w:lang w:eastAsia="x-none"/>
              </w:rPr>
              <w:t xml:space="preserve">kapsamında olmayan alacakları </w:t>
            </w:r>
            <w:r w:rsidR="00A46C6E" w:rsidRPr="00A23740">
              <w:rPr>
                <w:rFonts w:eastAsia="Times New Roman"/>
                <w:szCs w:val="24"/>
                <w:lang w:eastAsia="tr-TR"/>
              </w:rPr>
              <w:t>kaydedilir.</w:t>
            </w:r>
            <w:r w:rsidR="00A46C6E" w:rsidRPr="00A23740">
              <w:rPr>
                <w:b/>
                <w:bCs/>
                <w:color w:val="0000FF"/>
                <w:szCs w:val="24"/>
                <w:lang w:eastAsia="x-none"/>
              </w:rPr>
              <w:t xml:space="preserve"> </w:t>
            </w:r>
          </w:p>
          <w:p w:rsidR="00A46C6E" w:rsidRPr="00A23740" w:rsidRDefault="00A46C6E" w:rsidP="009431FF">
            <w:pPr>
              <w:rPr>
                <w:b/>
                <w:bCs/>
                <w:color w:val="0000FF"/>
                <w:szCs w:val="24"/>
                <w:lang w:eastAsia="x-none"/>
              </w:rPr>
            </w:pPr>
          </w:p>
          <w:p w:rsidR="00A46C6E" w:rsidRPr="00A23740" w:rsidRDefault="00A46C6E" w:rsidP="009431FF">
            <w:pPr>
              <w:rPr>
                <w:b/>
                <w:bCs/>
                <w:color w:val="0000FF"/>
                <w:szCs w:val="24"/>
                <w:lang w:eastAsia="x-none"/>
              </w:rPr>
            </w:pPr>
            <w:r w:rsidRPr="00136EBC">
              <w:t>(2)</w:t>
            </w:r>
            <w:r w:rsidRPr="00A23740">
              <w:rPr>
                <w:b/>
                <w:bCs/>
                <w:color w:val="0000FF"/>
                <w:szCs w:val="24"/>
                <w:lang w:eastAsia="x-none"/>
              </w:rPr>
              <w:t xml:space="preserve"> </w:t>
            </w:r>
            <w:r w:rsidRPr="00A23740">
              <w:rPr>
                <w:rFonts w:eastAsia="Times New Roman"/>
                <w:szCs w:val="24"/>
                <w:lang w:eastAsia="tr-TR"/>
              </w:rPr>
              <w:t>Birinci fıkrada sayılan alacaklar</w:t>
            </w:r>
            <w:r w:rsidRPr="00A23740">
              <w:rPr>
                <w:b/>
                <w:bCs/>
                <w:color w:val="0000FF"/>
                <w:szCs w:val="24"/>
                <w:lang w:eastAsia="x-none"/>
              </w:rPr>
              <w:t xml:space="preserve">ın kendi aralarındaki sıra, Türk Ticaret Kanununun </w:t>
            </w:r>
            <w:r w:rsidRPr="00A23740">
              <w:rPr>
                <w:noProof/>
                <w:szCs w:val="24"/>
              </w:rPr>
              <w:t>1320 nci</w:t>
            </w:r>
            <w:r w:rsidRPr="00A23740">
              <w:rPr>
                <w:b/>
                <w:bCs/>
                <w:color w:val="0000FF"/>
                <w:szCs w:val="24"/>
                <w:lang w:eastAsia="x-none"/>
              </w:rPr>
              <w:t xml:space="preserve"> maddesinin birinci fıkrasındaki yazılış </w:t>
            </w:r>
            <w:r w:rsidRPr="00A23740">
              <w:rPr>
                <w:noProof/>
                <w:szCs w:val="24"/>
              </w:rPr>
              <w:t>sırasına göre belirlenir.</w:t>
            </w:r>
            <w:r w:rsidRPr="00A23740">
              <w:rPr>
                <w:b/>
                <w:bCs/>
                <w:color w:val="0000FF"/>
                <w:szCs w:val="24"/>
                <w:lang w:eastAsia="x-none"/>
              </w:rPr>
              <w:t xml:space="preserve"> </w:t>
            </w:r>
            <w:r w:rsidRPr="00A23740">
              <w:rPr>
                <w:noProof/>
                <w:szCs w:val="24"/>
              </w:rPr>
              <w:t>Şu kadar ki,</w:t>
            </w:r>
            <w:r w:rsidRPr="00A23740">
              <w:rPr>
                <w:b/>
                <w:bCs/>
                <w:color w:val="0000FF"/>
                <w:szCs w:val="24"/>
                <w:lang w:eastAsia="x-none"/>
              </w:rPr>
              <w:t xml:space="preserve"> </w:t>
            </w:r>
            <w:r w:rsidRPr="00A23740">
              <w:rPr>
                <w:noProof/>
                <w:szCs w:val="24"/>
              </w:rPr>
              <w:t>kurtarma ücreti alacağının</w:t>
            </w:r>
            <w:r w:rsidRPr="00A23740">
              <w:rPr>
                <w:b/>
                <w:bCs/>
                <w:color w:val="0000FF"/>
                <w:szCs w:val="24"/>
                <w:lang w:eastAsia="x-none"/>
              </w:rPr>
              <w:t xml:space="preserve"> mevcudiyeti h</w:t>
            </w:r>
            <w:r w:rsidR="00AE323E" w:rsidRPr="00A23740">
              <w:rPr>
                <w:b/>
                <w:bCs/>
                <w:color w:val="0000FF"/>
                <w:szCs w:val="24"/>
                <w:lang w:eastAsia="x-none"/>
              </w:rPr>
              <w:t>â</w:t>
            </w:r>
            <w:r w:rsidRPr="00A23740">
              <w:rPr>
                <w:b/>
                <w:bCs/>
                <w:color w:val="0000FF"/>
                <w:szCs w:val="24"/>
                <w:lang w:eastAsia="x-none"/>
              </w:rPr>
              <w:t xml:space="preserve">linde bu ücret, kurtarma faaliyetinin tamamlandığı tarihten evvel doğmuş gemi alacaklarından önce gelir. </w:t>
            </w:r>
            <w:r w:rsidR="00F32072" w:rsidRPr="00D93F6E">
              <w:rPr>
                <w:b/>
                <w:bCs/>
                <w:color w:val="0000FF"/>
                <w:szCs w:val="24"/>
                <w:lang w:eastAsia="x-none"/>
              </w:rPr>
              <w:t xml:space="preserve">Birden fazla kurtarma ücretinin mevcudiyeti hâlinde her bir kurtarma faaliyetinin tamamlandığı tarihe göre </w:t>
            </w:r>
            <w:r w:rsidR="0080381B" w:rsidRPr="00D93F6E">
              <w:rPr>
                <w:b/>
                <w:bCs/>
                <w:color w:val="0000FF"/>
                <w:szCs w:val="24"/>
                <w:lang w:eastAsia="x-none"/>
              </w:rPr>
              <w:t>sonra</w:t>
            </w:r>
            <w:r w:rsidR="00F32072" w:rsidRPr="00D93F6E">
              <w:rPr>
                <w:b/>
                <w:bCs/>
                <w:color w:val="0000FF"/>
                <w:szCs w:val="24"/>
                <w:lang w:eastAsia="x-none"/>
              </w:rPr>
              <w:t xml:space="preserve"> doğanlar </w:t>
            </w:r>
            <w:r w:rsidR="0080381B" w:rsidRPr="00D93F6E">
              <w:rPr>
                <w:b/>
                <w:bCs/>
                <w:color w:val="0000FF"/>
                <w:szCs w:val="24"/>
                <w:lang w:eastAsia="x-none"/>
              </w:rPr>
              <w:t>daha önce doğanlara tekaddüm eder.</w:t>
            </w:r>
          </w:p>
          <w:p w:rsidR="00A46C6E" w:rsidRPr="00A23740" w:rsidRDefault="00A46C6E" w:rsidP="009431FF">
            <w:pPr>
              <w:rPr>
                <w:b/>
                <w:bCs/>
                <w:color w:val="0000FF"/>
                <w:szCs w:val="24"/>
                <w:lang w:eastAsia="x-none"/>
              </w:rPr>
            </w:pPr>
          </w:p>
          <w:p w:rsidR="00A46C6E" w:rsidRPr="00A23740" w:rsidRDefault="00A46C6E" w:rsidP="009431FF">
            <w:pPr>
              <w:rPr>
                <w:b/>
                <w:bCs/>
                <w:color w:val="0000FF"/>
                <w:szCs w:val="24"/>
                <w:lang w:eastAsia="x-none"/>
              </w:rPr>
            </w:pPr>
          </w:p>
          <w:p w:rsidR="00A46C6E" w:rsidRPr="00A23740" w:rsidRDefault="00A46C6E" w:rsidP="009431FF">
            <w:pPr>
              <w:rPr>
                <w:b/>
                <w:bCs/>
                <w:color w:val="0000FF"/>
                <w:szCs w:val="24"/>
                <w:lang w:eastAsia="x-none"/>
              </w:rPr>
            </w:pPr>
          </w:p>
          <w:p w:rsidR="00A46C6E" w:rsidRPr="00A23740" w:rsidRDefault="00A46C6E" w:rsidP="009431FF">
            <w:pPr>
              <w:rPr>
                <w:b/>
                <w:bCs/>
                <w:color w:val="0000FF"/>
                <w:szCs w:val="24"/>
                <w:lang w:eastAsia="x-none"/>
              </w:rPr>
            </w:pPr>
          </w:p>
          <w:p w:rsidR="00A46C6E" w:rsidRPr="00A23740" w:rsidRDefault="00A46C6E" w:rsidP="009431FF">
            <w:pPr>
              <w:rPr>
                <w:b/>
                <w:bCs/>
                <w:color w:val="0000FF"/>
                <w:szCs w:val="24"/>
                <w:lang w:eastAsia="x-none"/>
              </w:rPr>
            </w:pPr>
          </w:p>
          <w:p w:rsidR="00993A1A" w:rsidRPr="00A23740" w:rsidRDefault="00993A1A" w:rsidP="009431FF">
            <w:pPr>
              <w:rPr>
                <w:b/>
                <w:bCs/>
                <w:color w:val="0000FF"/>
                <w:szCs w:val="24"/>
                <w:lang w:eastAsia="x-none"/>
              </w:rPr>
            </w:pPr>
          </w:p>
          <w:p w:rsidR="00EB0FC2" w:rsidRDefault="00EB0FC2" w:rsidP="009431FF">
            <w:pPr>
              <w:rPr>
                <w:b/>
                <w:bCs/>
                <w:color w:val="0000FF"/>
                <w:szCs w:val="24"/>
                <w:lang w:eastAsia="x-none"/>
              </w:rPr>
            </w:pPr>
          </w:p>
          <w:p w:rsidR="00AE5B12" w:rsidRDefault="00AE5B12" w:rsidP="009431FF">
            <w:pPr>
              <w:rPr>
                <w:b/>
                <w:bCs/>
                <w:color w:val="0000FF"/>
                <w:szCs w:val="24"/>
                <w:lang w:eastAsia="x-none"/>
              </w:rPr>
            </w:pPr>
          </w:p>
          <w:p w:rsidR="00EB0FC2" w:rsidRDefault="00EB0FC2" w:rsidP="009431FF">
            <w:pPr>
              <w:rPr>
                <w:b/>
                <w:bCs/>
                <w:color w:val="0000FF"/>
                <w:szCs w:val="24"/>
                <w:lang w:eastAsia="x-none"/>
              </w:rPr>
            </w:pPr>
          </w:p>
          <w:p w:rsidR="009D25DD" w:rsidRPr="00A23740" w:rsidRDefault="009D25DD" w:rsidP="009431FF">
            <w:pPr>
              <w:rPr>
                <w:b/>
                <w:bCs/>
                <w:color w:val="0000FF"/>
                <w:szCs w:val="24"/>
                <w:lang w:eastAsia="x-none"/>
              </w:rPr>
            </w:pPr>
          </w:p>
          <w:p w:rsidR="00A46C6E" w:rsidRPr="00A23740" w:rsidRDefault="00A46C6E" w:rsidP="009431FF">
            <w:pPr>
              <w:rPr>
                <w:b/>
                <w:bCs/>
                <w:color w:val="0000FF"/>
                <w:szCs w:val="24"/>
              </w:rPr>
            </w:pPr>
            <w:r w:rsidRPr="00136EBC">
              <w:t>(3)</w:t>
            </w:r>
            <w:r w:rsidRPr="00A23740">
              <w:rPr>
                <w:b/>
                <w:bCs/>
                <w:color w:val="0000FF"/>
                <w:szCs w:val="24"/>
                <w:lang w:eastAsia="x-none"/>
              </w:rPr>
              <w:t xml:space="preserve"> Türk Ticaret Kanununun </w:t>
            </w:r>
            <w:r w:rsidRPr="00A23740">
              <w:rPr>
                <w:noProof/>
                <w:szCs w:val="24"/>
              </w:rPr>
              <w:t>1320 nci madde</w:t>
            </w:r>
            <w:r w:rsidRPr="00A23740">
              <w:rPr>
                <w:b/>
                <w:bCs/>
                <w:color w:val="0000FF"/>
                <w:szCs w:val="24"/>
                <w:lang w:eastAsia="x-none"/>
              </w:rPr>
              <w:t>si</w:t>
            </w:r>
            <w:r w:rsidRPr="00A23740">
              <w:rPr>
                <w:noProof/>
                <w:szCs w:val="24"/>
              </w:rPr>
              <w:t xml:space="preserve">nin birinci fıkrasının (a), (b), (d) ve (e) bentlerinde </w:t>
            </w:r>
            <w:r w:rsidRPr="00A23740">
              <w:rPr>
                <w:b/>
                <w:bCs/>
                <w:color w:val="0000FF"/>
                <w:szCs w:val="24"/>
                <w:lang w:eastAsia="x-none"/>
              </w:rPr>
              <w:t>belirtilen</w:t>
            </w:r>
            <w:r w:rsidRPr="00A23740">
              <w:rPr>
                <w:noProof/>
                <w:szCs w:val="24"/>
              </w:rPr>
              <w:t xml:space="preserve"> gemi alacaklıları</w:t>
            </w:r>
            <w:r w:rsidRPr="00A23740">
              <w:rPr>
                <w:b/>
                <w:bCs/>
                <w:color w:val="0000FF"/>
                <w:szCs w:val="24"/>
                <w:lang w:eastAsia="x-none"/>
              </w:rPr>
              <w:t xml:space="preserve">nın her biri </w:t>
            </w:r>
            <w:r w:rsidRPr="00A23740">
              <w:rPr>
                <w:noProof/>
                <w:szCs w:val="24"/>
              </w:rPr>
              <w:t>kendi aralarında</w:t>
            </w:r>
            <w:r w:rsidRPr="00A23740">
              <w:rPr>
                <w:b/>
                <w:bCs/>
                <w:color w:val="0000FF"/>
                <w:szCs w:val="24"/>
                <w:lang w:eastAsia="x-none"/>
              </w:rPr>
              <w:t xml:space="preserve"> alacakları oranında </w:t>
            </w:r>
            <w:r w:rsidRPr="00A23740">
              <w:rPr>
                <w:noProof/>
                <w:szCs w:val="24"/>
              </w:rPr>
              <w:t>eşit hakka sahiptir.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46" w:name="_Hlk134296244"/>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483</w:t>
            </w:r>
            <w:r w:rsidR="00A46C6E" w:rsidRPr="00A23740">
              <w:rPr>
                <w:rFonts w:eastAsia="Times New Roman"/>
                <w:b/>
                <w:bCs/>
                <w:szCs w:val="24"/>
                <w:lang w:eastAsia="tr-TR"/>
              </w:rPr>
              <w:t xml:space="preserve">- </w:t>
            </w:r>
            <w:bookmarkStart w:id="47" w:name="_Hlk172878508"/>
            <w:r w:rsidR="00A46C6E" w:rsidRPr="00A23740">
              <w:rPr>
                <w:bCs/>
                <w:szCs w:val="24"/>
                <w:lang w:eastAsia="x-none"/>
              </w:rPr>
              <w:t>Maddeyle, üçüncü sıraya kaydedilecek alacaklar düzenlenmektedir</w:t>
            </w:r>
            <w:bookmarkEnd w:id="47"/>
            <w:r w:rsidR="00A46C6E" w:rsidRPr="00A23740">
              <w:rPr>
                <w:bCs/>
                <w:szCs w:val="24"/>
                <w:lang w:eastAsia="x-none"/>
              </w:rPr>
              <w:t>.</w:t>
            </w:r>
          </w:p>
          <w:bookmarkEnd w:id="46"/>
          <w:p w:rsidR="00A46C6E" w:rsidRPr="00A23740" w:rsidRDefault="00A46C6E" w:rsidP="009431FF">
            <w:pPr>
              <w:ind w:firstLine="709"/>
              <w:rPr>
                <w:rFonts w:eastAsia="Times New Roman"/>
                <w:szCs w:val="24"/>
              </w:rPr>
            </w:pPr>
            <w:r w:rsidRPr="00A23740">
              <w:rPr>
                <w:rFonts w:eastAsia="Times New Roman"/>
                <w:szCs w:val="24"/>
              </w:rPr>
              <w:t xml:space="preserve">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5 inci maddesinin birinci fıkrasına göre</w:t>
            </w:r>
            <w:r w:rsidR="00BF1137" w:rsidRPr="00A23740">
              <w:rPr>
                <w:rFonts w:eastAsia="Times New Roman"/>
                <w:szCs w:val="24"/>
              </w:rPr>
              <w:t>,</w:t>
            </w:r>
            <w:r w:rsidRPr="00A23740">
              <w:rPr>
                <w:rFonts w:eastAsia="Times New Roman"/>
                <w:szCs w:val="24"/>
              </w:rPr>
              <w:t xml:space="preserve"> 4 üncü maddede yazılı gemi alacakları, tescil edilmiş tüm rehinlerden, ipoteklerden ve yükümlülüklerden önce gelir. 6102 sayılı Kanunun 1392 nci maddesinin birinci fıkrasında da </w:t>
            </w:r>
            <w:bookmarkStart w:id="48" w:name="_Hlk172704759"/>
            <w:r w:rsidRPr="00A23740">
              <w:rPr>
                <w:rFonts w:eastAsia="Times New Roman"/>
                <w:szCs w:val="24"/>
              </w:rPr>
              <w:t xml:space="preserve">6102 sayılı Kanunun </w:t>
            </w:r>
            <w:bookmarkEnd w:id="48"/>
            <w:r w:rsidRPr="00A23740">
              <w:rPr>
                <w:rFonts w:eastAsia="Times New Roman"/>
                <w:szCs w:val="24"/>
              </w:rPr>
              <w:t>1320 nci madde</w:t>
            </w:r>
            <w:r w:rsidR="00A127B1">
              <w:rPr>
                <w:rFonts w:eastAsia="Times New Roman"/>
                <w:szCs w:val="24"/>
              </w:rPr>
              <w:t>sinin birinci fıkrasının (a) ila</w:t>
            </w:r>
            <w:r w:rsidRPr="00A23740">
              <w:rPr>
                <w:rFonts w:eastAsia="Times New Roman"/>
                <w:szCs w:val="24"/>
              </w:rPr>
              <w:t xml:space="preserve"> (e) bentlerinde belirtilen gemi alacaklarının üçüncü sıraya kaydedileceği öngörülmüştür. Bu düzenleme 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5 inci maddesinin birinci fıkrası</w:t>
            </w:r>
            <w:r w:rsidR="00267641" w:rsidRPr="00A23740">
              <w:rPr>
                <w:rFonts w:eastAsia="Times New Roman"/>
                <w:szCs w:val="24"/>
              </w:rPr>
              <w:t>yla</w:t>
            </w:r>
            <w:r w:rsidRPr="00A23740">
              <w:rPr>
                <w:rFonts w:eastAsia="Times New Roman"/>
                <w:szCs w:val="24"/>
              </w:rPr>
              <w:t xml:space="preserve"> uyumlu olduğundan, gerekli değişiklikler yapılmak suretiyle maddenin birinci fıkrasına alınmıştır.</w:t>
            </w:r>
          </w:p>
          <w:p w:rsidR="00A46C6E" w:rsidRPr="00A23740" w:rsidRDefault="00A46C6E" w:rsidP="009431FF">
            <w:pPr>
              <w:ind w:firstLine="709"/>
              <w:rPr>
                <w:rFonts w:eastAsia="Times New Roman"/>
                <w:szCs w:val="24"/>
              </w:rPr>
            </w:pPr>
            <w:r w:rsidRPr="00A23740">
              <w:rPr>
                <w:rFonts w:eastAsia="Times New Roman"/>
                <w:szCs w:val="24"/>
              </w:rPr>
              <w:t>6102 sayılı Kanunun 1392 nci maddesinin ikinci fıkrasında, “birinci fıkrada sayılan alacakların 6102 sayılı Kanunun 1324 üncü maddesinde gösterilen sıraya t</w:t>
            </w:r>
            <w:r w:rsidR="00D81869" w:rsidRPr="00A23740">
              <w:rPr>
                <w:rFonts w:eastAsia="Times New Roman"/>
                <w:szCs w:val="24"/>
              </w:rPr>
              <w:t>a</w:t>
            </w:r>
            <w:r w:rsidRPr="00A23740">
              <w:rPr>
                <w:rFonts w:eastAsia="Times New Roman"/>
                <w:szCs w:val="24"/>
              </w:rPr>
              <w:t>bi olduğu” belirtilmiştir. Bu fıkra hükmünün, 6102 sayılı Kanunun 1324 üncü maddesi de dikkate alınarak daha açık ve anlaşılır şekilde ifade edilmesi gerektiği kabul edilerek</w:t>
            </w:r>
            <w:r w:rsidR="00267641" w:rsidRPr="00A23740">
              <w:rPr>
                <w:rFonts w:eastAsia="Times New Roman"/>
                <w:szCs w:val="24"/>
              </w:rPr>
              <w:t>,</w:t>
            </w:r>
            <w:r w:rsidRPr="00A23740">
              <w:rPr>
                <w:rFonts w:eastAsia="Times New Roman"/>
                <w:szCs w:val="24"/>
              </w:rPr>
              <w:t xml:space="preserve"> maddenin ikinci fıkrası kaleme alınmıştır. Bu fıkranın birinci cümlesinde maddenin birinci fıkrasında sayılan gemi alacaklarının kendi aralarındaki sıranın, 6102 sayılı Kanunun 1320 inci maddesinin birinci fıkrasındaki yazılış sırasına göre belirleneceği ifade edilmiştir. İkinci cümlesinde ise 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Pr="00A23740">
              <w:rPr>
                <w:rFonts w:eastAsia="Times New Roman"/>
                <w:szCs w:val="24"/>
              </w:rPr>
              <w:t xml:space="preserve"> 5 inci maddesinin ikinci fıkrası ve bu fıkranın alındığı 6102 sayılı Kanunun 1324 üncü maddesinin ikinci fıkrasına uygun şekilde</w:t>
            </w:r>
            <w:r w:rsidR="00267641" w:rsidRPr="00A23740">
              <w:rPr>
                <w:rFonts w:eastAsia="Times New Roman"/>
                <w:szCs w:val="24"/>
              </w:rPr>
              <w:t>,</w:t>
            </w:r>
            <w:r w:rsidRPr="00A23740">
              <w:rPr>
                <w:rFonts w:eastAsia="Times New Roman"/>
                <w:szCs w:val="24"/>
              </w:rPr>
              <w:t xml:space="preserve"> “birinci fıkrada sayılan alacaklar arasında k</w:t>
            </w:r>
            <w:r w:rsidR="00535D4A" w:rsidRPr="00A23740">
              <w:rPr>
                <w:rFonts w:eastAsia="Times New Roman"/>
                <w:szCs w:val="24"/>
              </w:rPr>
              <w:t>urtarma ücretinin mevcudiyeti hâ</w:t>
            </w:r>
            <w:r w:rsidRPr="00A23740">
              <w:rPr>
                <w:rFonts w:eastAsia="Times New Roman"/>
                <w:szCs w:val="24"/>
              </w:rPr>
              <w:t>linde bu ücretin kurtarma faaliyetinin tamamlandığı tarihten evvel doğmuş gemi alacaklarından önce geleceği; birden fazla kurtarma ücreti mevcudiyeti h</w:t>
            </w:r>
            <w:r w:rsidR="00701AC1" w:rsidRPr="00A23740">
              <w:rPr>
                <w:rFonts w:eastAsia="Times New Roman"/>
                <w:szCs w:val="24"/>
              </w:rPr>
              <w:t>â</w:t>
            </w:r>
            <w:r w:rsidRPr="00A23740">
              <w:rPr>
                <w:rFonts w:eastAsia="Times New Roman"/>
                <w:szCs w:val="24"/>
              </w:rPr>
              <w:t>linde ise, bunlar arasındaki sıranın her bir kurtarma faaliyetinin tamamlandığı tarihe göre sonra doğanın önce geleceği” hüküm altına alınmıştır.</w:t>
            </w:r>
          </w:p>
          <w:p w:rsidR="00A46C6E" w:rsidRPr="00A23740" w:rsidRDefault="00A46C6E" w:rsidP="009D25DD">
            <w:pPr>
              <w:ind w:firstLine="709"/>
              <w:rPr>
                <w:rFonts w:eastAsia="Times New Roman"/>
                <w:szCs w:val="24"/>
              </w:rPr>
            </w:pPr>
            <w:r w:rsidRPr="00A23740">
              <w:rPr>
                <w:rFonts w:eastAsia="Times New Roman"/>
                <w:szCs w:val="24"/>
              </w:rPr>
              <w:t xml:space="preserve">Maddenin üçüncü fıkrası, 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5 inci maddesinin üçüncü fıkrasına uygun şekilde daha açık ve anlaşılır şekilde ifade etmek amacıyla değiştirilerek 6102 sayılı Kanunun 1392 nci maddesinin üçüncü fıkrasından alınmıştır.</w:t>
            </w: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strike/>
                <w:color w:val="FF0000"/>
                <w:szCs w:val="24"/>
                <w:lang w:eastAsia="x-none"/>
              </w:rPr>
              <w:t>e)</w:t>
            </w:r>
            <w:r w:rsidRPr="00A23740">
              <w:rPr>
                <w:rFonts w:eastAsia="Times New Roman"/>
                <w:b/>
                <w:bCs/>
                <w:szCs w:val="24"/>
                <w:lang w:eastAsia="tr-TR"/>
              </w:rPr>
              <w:t xml:space="preserve"> Dördüncü sıra</w:t>
            </w:r>
          </w:p>
          <w:p w:rsidR="00A46C6E" w:rsidRPr="00A23740" w:rsidRDefault="00A46C6E" w:rsidP="009431FF">
            <w:pPr>
              <w:rPr>
                <w:rFonts w:eastAsia="Times New Roman"/>
                <w:szCs w:val="24"/>
              </w:rPr>
            </w:pPr>
            <w:r w:rsidRPr="00A23740">
              <w:rPr>
                <w:rFonts w:eastAsia="Times New Roman"/>
                <w:b/>
                <w:bCs/>
                <w:szCs w:val="24"/>
                <w:lang w:eastAsia="tr-TR"/>
              </w:rPr>
              <w:t xml:space="preserve">MADDE </w:t>
            </w:r>
            <w:r w:rsidRPr="00A23740">
              <w:rPr>
                <w:b/>
                <w:strike/>
                <w:color w:val="FF0000"/>
                <w:szCs w:val="24"/>
                <w:lang w:eastAsia="x-none"/>
              </w:rPr>
              <w:t>1393</w:t>
            </w:r>
            <w:r w:rsidRPr="00A23740">
              <w:rPr>
                <w:rFonts w:eastAsia="Times New Roman"/>
                <w:szCs w:val="24"/>
                <w:lang w:eastAsia="tr-TR"/>
              </w:rPr>
              <w:t xml:space="preserve">- (1) </w:t>
            </w:r>
            <w:r w:rsidRPr="00136EBC">
              <w:rPr>
                <w:rStyle w:val="KIRMIZIChar"/>
                <w:rFonts w:eastAsia="Calibri"/>
              </w:rPr>
              <w:t>Sıra cetvelinin dördüncü sırasına,</w:t>
            </w:r>
            <w:r w:rsidRPr="00A23740">
              <w:rPr>
                <w:rFonts w:eastAsia="Times New Roman"/>
                <w:szCs w:val="24"/>
                <w:lang w:eastAsia="tr-TR"/>
              </w:rPr>
              <w:t xml:space="preserve"> gemi, cebrî icra yoluyla satış sırasında bir tersanenin zilyetliğinde bulunuyorsa, tersane sahibinin, </w:t>
            </w:r>
            <w:r w:rsidRPr="00A23740">
              <w:rPr>
                <w:rFonts w:eastAsia="Times New Roman"/>
                <w:b/>
                <w:bCs/>
                <w:strike/>
                <w:color w:val="FF0000"/>
                <w:szCs w:val="24"/>
                <w:lang w:eastAsia="x-none"/>
              </w:rPr>
              <w:t>1013 üncü madde uyarınca kanuni ipotekle veya</w:t>
            </w:r>
            <w:r w:rsidRPr="00A23740">
              <w:rPr>
                <w:rFonts w:eastAsia="Times New Roman"/>
                <w:szCs w:val="24"/>
                <w:lang w:eastAsia="tr-TR"/>
              </w:rPr>
              <w:t xml:space="preserve"> Türk Medenî Kanununun 950 nci maddesi uyarınca hapis hakkıyla teminat altına alınmış alacakları kaydedilir</w:t>
            </w:r>
            <w:r w:rsidRPr="00A23740">
              <w:rPr>
                <w:rFonts w:eastAsia="Times New Roman"/>
                <w:szCs w:val="24"/>
              </w:rPr>
              <w:t>.</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szCs w:val="24"/>
                <w:lang w:eastAsia="tr-TR"/>
              </w:rPr>
            </w:pPr>
            <w:r w:rsidRPr="00A23740">
              <w:rPr>
                <w:rFonts w:eastAsia="Times New Roman"/>
                <w:b/>
                <w:bCs/>
                <w:szCs w:val="24"/>
                <w:lang w:eastAsia="tr-TR"/>
              </w:rPr>
              <w:t xml:space="preserve">Dördüncü sıra </w:t>
            </w:r>
          </w:p>
          <w:p w:rsidR="00A46C6E" w:rsidRPr="00A23740" w:rsidRDefault="00993A1A" w:rsidP="009431FF">
            <w:pPr>
              <w:rPr>
                <w:rFonts w:eastAsia="Times New Roman"/>
                <w:szCs w:val="24"/>
              </w:rPr>
            </w:pPr>
            <w:r w:rsidRPr="00136EBC">
              <w:rPr>
                <w:b/>
                <w:bCs/>
                <w:color w:val="000000" w:themeColor="text1"/>
                <w:szCs w:val="24"/>
                <w:lang w:eastAsia="x-none"/>
              </w:rPr>
              <w:t xml:space="preserve">MADDE </w:t>
            </w:r>
            <w:r w:rsidRPr="00A23740">
              <w:rPr>
                <w:b/>
                <w:bCs/>
                <w:color w:val="0000FF"/>
                <w:szCs w:val="24"/>
                <w:lang w:eastAsia="x-none"/>
              </w:rPr>
              <w:t>484</w:t>
            </w:r>
            <w:r w:rsidR="00A46C6E" w:rsidRPr="00A23740">
              <w:rPr>
                <w:b/>
                <w:bCs/>
                <w:color w:val="0000FF"/>
                <w:szCs w:val="24"/>
                <w:lang w:eastAsia="x-none"/>
              </w:rPr>
              <w:t xml:space="preserve">- </w:t>
            </w:r>
            <w:r w:rsidR="00A46C6E" w:rsidRPr="00136EBC">
              <w:rPr>
                <w:bCs/>
                <w:color w:val="000000" w:themeColor="text1"/>
                <w:szCs w:val="24"/>
                <w:lang w:eastAsia="x-none"/>
              </w:rPr>
              <w:t>(1)</w:t>
            </w:r>
            <w:r w:rsidR="00A46C6E" w:rsidRPr="00A23740">
              <w:rPr>
                <w:rFonts w:eastAsia="Times New Roman"/>
                <w:szCs w:val="24"/>
                <w:lang w:eastAsia="tr-TR"/>
              </w:rPr>
              <w:t xml:space="preserve"> </w:t>
            </w:r>
            <w:r w:rsidR="007E6661" w:rsidRPr="00A23740">
              <w:rPr>
                <w:rFonts w:eastAsia="Times New Roman"/>
                <w:szCs w:val="24"/>
                <w:lang w:eastAsia="tr-TR"/>
              </w:rPr>
              <w:t>Gemi</w:t>
            </w:r>
            <w:r w:rsidR="007E6661" w:rsidRPr="00136EBC">
              <w:rPr>
                <w:rStyle w:val="KIRMIZIChar"/>
                <w:rFonts w:eastAsia="Calibri"/>
                <w:b w:val="0"/>
                <w:strike w:val="0"/>
                <w:color w:val="000000"/>
              </w:rPr>
              <w:t>,</w:t>
            </w:r>
            <w:r w:rsidR="00A46C6E" w:rsidRPr="00A23740">
              <w:rPr>
                <w:rFonts w:eastAsia="Times New Roman"/>
                <w:szCs w:val="24"/>
                <w:lang w:eastAsia="tr-TR"/>
              </w:rPr>
              <w:t xml:space="preserve"> cebrî icra yoluyla satış sırasında bir tersane sahibinin zilyetliğinde bulunuyorsa Türk Meden</w:t>
            </w:r>
            <w:r w:rsidR="0097282D" w:rsidRPr="00A23740">
              <w:rPr>
                <w:rFonts w:eastAsia="Times New Roman"/>
                <w:szCs w:val="24"/>
                <w:lang w:eastAsia="tr-TR"/>
              </w:rPr>
              <w:t>i</w:t>
            </w:r>
            <w:r w:rsidR="00A46C6E" w:rsidRPr="00A23740">
              <w:rPr>
                <w:rFonts w:eastAsia="Times New Roman"/>
                <w:szCs w:val="24"/>
                <w:lang w:eastAsia="tr-TR"/>
              </w:rPr>
              <w:t xml:space="preserve"> Kanununun 950 nci maddesi uyarınca </w:t>
            </w:r>
            <w:r w:rsidR="00A46C6E" w:rsidRPr="00136EBC">
              <w:rPr>
                <w:bCs/>
                <w:color w:val="000000" w:themeColor="text1"/>
                <w:szCs w:val="24"/>
                <w:lang w:eastAsia="x-none"/>
              </w:rPr>
              <w:t>tersane</w:t>
            </w:r>
            <w:r w:rsidR="00A46C6E" w:rsidRPr="00136EBC">
              <w:rPr>
                <w:color w:val="000000" w:themeColor="text1"/>
                <w:lang w:eastAsia="tr-TR"/>
              </w:rPr>
              <w:t xml:space="preserve"> </w:t>
            </w:r>
            <w:r w:rsidR="00A46C6E" w:rsidRPr="00136EBC">
              <w:rPr>
                <w:bCs/>
                <w:color w:val="000000" w:themeColor="text1"/>
                <w:szCs w:val="24"/>
                <w:lang w:eastAsia="x-none"/>
              </w:rPr>
              <w:t>sahibinin</w:t>
            </w:r>
            <w:r w:rsidR="00A46C6E" w:rsidRPr="00A23740">
              <w:rPr>
                <w:rFonts w:eastAsia="Times New Roman"/>
                <w:szCs w:val="24"/>
                <w:lang w:eastAsia="tr-TR"/>
              </w:rPr>
              <w:t xml:space="preserve"> hapis hakkıyla teminat altına alınmış alacaklar</w:t>
            </w:r>
            <w:r w:rsidR="007E6661" w:rsidRPr="00A23740">
              <w:rPr>
                <w:rFonts w:eastAsia="Times New Roman"/>
                <w:szCs w:val="24"/>
                <w:lang w:eastAsia="tr-TR"/>
              </w:rPr>
              <w:t>ı</w:t>
            </w:r>
            <w:r w:rsidR="00A46C6E" w:rsidRPr="00A23740">
              <w:rPr>
                <w:rFonts w:eastAsia="Times New Roman"/>
                <w:szCs w:val="24"/>
                <w:lang w:eastAsia="tr-TR"/>
              </w:rPr>
              <w:t xml:space="preserve"> </w:t>
            </w:r>
            <w:r w:rsidR="007E6661" w:rsidRPr="00D93F6E">
              <w:rPr>
                <w:rFonts w:eastAsia="Times New Roman"/>
                <w:b/>
                <w:color w:val="0000FF"/>
                <w:szCs w:val="24"/>
                <w:lang w:eastAsia="tr-TR"/>
              </w:rPr>
              <w:t>sıra cetvelinin dördüncü sırasına</w:t>
            </w:r>
            <w:r w:rsidR="007E6661" w:rsidRPr="00A23740">
              <w:rPr>
                <w:rFonts w:eastAsia="Times New Roman"/>
                <w:szCs w:val="24"/>
                <w:lang w:eastAsia="tr-TR"/>
              </w:rPr>
              <w:t xml:space="preserve"> </w:t>
            </w:r>
            <w:r w:rsidR="00A46C6E" w:rsidRPr="00A23740">
              <w:rPr>
                <w:rFonts w:eastAsia="Times New Roman"/>
                <w:szCs w:val="24"/>
                <w:lang w:eastAsia="tr-TR"/>
              </w:rPr>
              <w:t>kaydedilir.</w:t>
            </w: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49" w:name="_Hlk134296148"/>
          </w:p>
          <w:p w:rsidR="00A46C6E" w:rsidRPr="00A23740" w:rsidRDefault="00993A1A" w:rsidP="009431FF">
            <w:pPr>
              <w:ind w:firstLine="709"/>
              <w:rPr>
                <w:bCs/>
                <w:szCs w:val="24"/>
                <w:lang w:eastAsia="x-none"/>
              </w:rPr>
            </w:pPr>
            <w:r w:rsidRPr="00A23740">
              <w:rPr>
                <w:rFonts w:eastAsia="Times New Roman"/>
                <w:b/>
                <w:bCs/>
                <w:szCs w:val="24"/>
                <w:lang w:eastAsia="tr-TR"/>
              </w:rPr>
              <w:t>MADDE 484</w:t>
            </w:r>
            <w:r w:rsidR="00A46C6E" w:rsidRPr="00A23740">
              <w:rPr>
                <w:rFonts w:eastAsia="Times New Roman"/>
                <w:b/>
                <w:bCs/>
                <w:szCs w:val="24"/>
                <w:lang w:eastAsia="tr-TR"/>
              </w:rPr>
              <w:t xml:space="preserve">- </w:t>
            </w:r>
            <w:bookmarkStart w:id="50" w:name="_Hlk172878438"/>
            <w:r w:rsidR="00A46C6E" w:rsidRPr="00A23740">
              <w:rPr>
                <w:bCs/>
                <w:szCs w:val="24"/>
                <w:lang w:eastAsia="x-none"/>
              </w:rPr>
              <w:t>Madde</w:t>
            </w:r>
            <w:r w:rsidR="00267641" w:rsidRPr="00A23740">
              <w:rPr>
                <w:bCs/>
                <w:szCs w:val="24"/>
                <w:lang w:eastAsia="x-none"/>
              </w:rPr>
              <w:t>de</w:t>
            </w:r>
            <w:r w:rsidR="00A46C6E" w:rsidRPr="00A23740">
              <w:rPr>
                <w:bCs/>
                <w:szCs w:val="24"/>
                <w:lang w:eastAsia="x-none"/>
              </w:rPr>
              <w:t>, dördüncü sıraya kaydedilecek alacaklar düzenlenmektedir.</w:t>
            </w:r>
            <w:bookmarkEnd w:id="49"/>
            <w:bookmarkEnd w:id="50"/>
          </w:p>
          <w:p w:rsidR="00A46C6E" w:rsidRPr="00A23740" w:rsidRDefault="00A46C6E" w:rsidP="009431FF">
            <w:pPr>
              <w:ind w:firstLine="709"/>
              <w:rPr>
                <w:rFonts w:eastAsia="Times New Roman"/>
                <w:szCs w:val="24"/>
              </w:rPr>
            </w:pPr>
            <w:r w:rsidRPr="00A23740">
              <w:rPr>
                <w:rFonts w:eastAsia="Times New Roman"/>
                <w:szCs w:val="24"/>
              </w:rPr>
              <w:t xml:space="preserve">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7 nci maddesinde “</w:t>
            </w:r>
            <w:r w:rsidRPr="00A23740">
              <w:rPr>
                <w:rFonts w:eastAsia="Times New Roman"/>
                <w:i/>
                <w:iCs/>
                <w:szCs w:val="24"/>
              </w:rPr>
              <w:t>her taraf devletin iç hukukunda gemiyi zilyetliğinde bulunduran gemi yapımcısı veya onarımcısına (tersane sahibine) geminin yapımından veya geminin yeniden yapımı da dâhil olmak üzere zilyetlik süresince yapılan onarımdan doğan alacaklarını teminat altına almak için hapis hakkı tanıyabileceği; hapis hakkı konusu alacak için gemi ihtiyaten haczedilmiş olmadıkça, tersane sahibinin zilyetliği sona erince hapis hakkının düşeceği</w:t>
            </w:r>
            <w:r w:rsidRPr="00A23740">
              <w:rPr>
                <w:rFonts w:eastAsia="Times New Roman"/>
                <w:szCs w:val="24"/>
              </w:rPr>
              <w:t>” öngörülmüş; 12 nci maddesinin dördüncü fıkrasında ise “</w:t>
            </w:r>
            <w:r w:rsidRPr="00A23740">
              <w:rPr>
                <w:rFonts w:eastAsia="Times New Roman"/>
                <w:i/>
                <w:iCs/>
                <w:szCs w:val="24"/>
              </w:rPr>
              <w:t>Satışın yapıldığı anda gemi, satışın gerçekleştirildiği taraf devlet hukukuna göre hapis hakkına sahip tersanecinin zilyetliğinde bulunuyorsa, tersane sahibi, geminin zilyetliğini alıcıya devretmek zorundadır; ancak tersane sahibi gemi alacaklısı hakkı sahiplerinin alacakları ödendikten sonra alacağını elde etme hakkına sahiptir</w:t>
            </w:r>
            <w:r w:rsidRPr="00A23740">
              <w:rPr>
                <w:rFonts w:eastAsia="Times New Roman"/>
                <w:szCs w:val="24"/>
              </w:rPr>
              <w:t xml:space="preserve">.” hükmüne yer verilmiştir. 6102 sayılı Kanunda açıkça hüküm altına alınmamış olmakla birlikte, tersane sahibinin </w:t>
            </w:r>
            <w:r w:rsidR="0000314C" w:rsidRPr="00D93F6E">
              <w:rPr>
                <w:rStyle w:val="KonuBalChar"/>
                <w:rFonts w:eastAsia="Calibri"/>
                <w:b w:val="0"/>
                <w:color w:val="auto"/>
              </w:rPr>
              <w:t xml:space="preserve">4721 sayılı </w:t>
            </w:r>
            <w:r w:rsidR="0000314C" w:rsidRPr="00D93F6E">
              <w:rPr>
                <w:rStyle w:val="KonuBalChar"/>
                <w:rFonts w:eastAsia="Calibri"/>
                <w:b w:val="0"/>
                <w:color w:val="auto"/>
                <w:lang w:val="tr-TR"/>
              </w:rPr>
              <w:t>Kanunun</w:t>
            </w:r>
            <w:r w:rsidR="0000314C" w:rsidRPr="00A23740">
              <w:rPr>
                <w:rFonts w:eastAsia="Times New Roman"/>
                <w:szCs w:val="24"/>
              </w:rPr>
              <w:t xml:space="preserve"> </w:t>
            </w:r>
            <w:r w:rsidR="00A127B1">
              <w:rPr>
                <w:rFonts w:eastAsia="Times New Roman"/>
                <w:szCs w:val="24"/>
              </w:rPr>
              <w:t>950 ila</w:t>
            </w:r>
            <w:r w:rsidRPr="00A23740">
              <w:rPr>
                <w:rFonts w:eastAsia="Times New Roman"/>
                <w:szCs w:val="24"/>
              </w:rPr>
              <w:t xml:space="preserve"> 953 üncü maddeleri uyarınca geminin inşa, bakım, tadil ve onarım alacakları için o gemi üzerinde hapis hakkına sahip olduğu açıktır. 6102 sayılı Kanunun 1393 üncü maddesinde, 1993 </w:t>
            </w:r>
            <w:r w:rsidR="00624DA1" w:rsidRPr="00D93F6E">
              <w:rPr>
                <w:rStyle w:val="KonuBalChar"/>
                <w:rFonts w:eastAsia="Calibri"/>
                <w:b w:val="0"/>
                <w:color w:val="auto"/>
              </w:rPr>
              <w:t>tarihli Milletlerarası</w:t>
            </w:r>
            <w:r w:rsidR="00624DA1" w:rsidRPr="00A23740">
              <w:rPr>
                <w:rStyle w:val="KonuBalChar"/>
                <w:rFonts w:eastAsia="Calibri"/>
              </w:rPr>
              <w:t xml:space="preserve"> </w:t>
            </w:r>
            <w:r w:rsidR="00624DA1" w:rsidRPr="00D93F6E">
              <w:rPr>
                <w:rStyle w:val="KonuBalChar"/>
                <w:rFonts w:eastAsia="Calibri"/>
                <w:b w:val="0"/>
                <w:color w:val="auto"/>
              </w:rPr>
              <w:t>Sözleşme</w:t>
            </w:r>
            <w:r w:rsidR="00624DA1" w:rsidRPr="00D93F6E">
              <w:rPr>
                <w:rStyle w:val="KonuBalChar"/>
                <w:rFonts w:eastAsia="Calibri"/>
                <w:b w:val="0"/>
                <w:color w:val="auto"/>
                <w:lang w:val="tr-TR"/>
              </w:rPr>
              <w:t>nin</w:t>
            </w:r>
            <w:r w:rsidRPr="00A23740">
              <w:rPr>
                <w:rFonts w:eastAsia="Times New Roman"/>
                <w:szCs w:val="24"/>
              </w:rPr>
              <w:t xml:space="preserve"> 12 nci maddesinin dördüncü fıkrasından farklı olarak “tersane sahibinin hapis hakkından başka 6102 sayılı Kanunun 1013 üncü maddesi uyarınca kanuni ipotekle teminat altına alınmış alacaklarının da dördüncü sıraya kaydedileceği” öngörülmüş; dolayısıyla tersane sahibi geminin zilyedi olmasa dahi </w:t>
            </w:r>
            <w:r w:rsidRPr="00A23740">
              <w:rPr>
                <w:rFonts w:eastAsia="Times New Roman"/>
                <w:bCs/>
                <w:szCs w:val="24"/>
              </w:rPr>
              <w:t>6102 sayılı Kanunun</w:t>
            </w:r>
            <w:r w:rsidRPr="00A23740">
              <w:rPr>
                <w:rFonts w:eastAsia="Times New Roman"/>
                <w:szCs w:val="24"/>
              </w:rPr>
              <w:t xml:space="preserve"> 1013 üncü maddesi uyarınca gemi üzerinde ipotek tesisini talep edebileceği alacakları da dördüncü sıraya kaydedilecek alacaklar olarak kabul edilmiştir. Ancak 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 xml:space="preserve">12 nci maddesinin dördüncü fıkrasına göre tersane sahibinin hapis hakkına sahip olduğu alacaklarının, gemi alacaklarından sonra ve diğer alacaklardan önce ödenmesi için satış yapıldığı esnada geminin tersane sahibinin zilyetliğinde bulunması şarttır. Dolayısıyla da satışın yapıldığı sırada geminin zilyedi olmayan tersane sahibinin, gemi üzerindeki zilyetliğinin sona ermesi ile düşmesi sonucu hapis hakkına sahip olmadığı alacaklarının, bu alacaklar için gemi üzerinde ipotek tesisini talep hakkına sahip olsa dahi, dördüncü sıraya kaydedilecek alacaklar kapsamında olmadığı açıktır. 6102 sayılı Kanunun 1393 üncü maddesi, tersane sahibinin geminin zilyedi olup olmadığına bakılmaksızın </w:t>
            </w:r>
            <w:r w:rsidRPr="00A23740">
              <w:rPr>
                <w:rFonts w:eastAsia="Times New Roman"/>
                <w:bCs/>
                <w:szCs w:val="24"/>
              </w:rPr>
              <w:t xml:space="preserve">6102 sayılı Kanunun </w:t>
            </w:r>
            <w:r w:rsidRPr="00A23740">
              <w:rPr>
                <w:rFonts w:eastAsia="Times New Roman"/>
                <w:szCs w:val="24"/>
              </w:rPr>
              <w:t xml:space="preserve">1013 üncü maddesi uyarınca gemi üzerinde ipotek tesisini talep edebileceği alacaklarının da dördüncü sıraya kaydedileceğinin öngörülmesi, 1993 </w:t>
            </w:r>
            <w:r w:rsidR="00624DA1" w:rsidRPr="00D93F6E">
              <w:rPr>
                <w:rStyle w:val="KonuBalChar"/>
                <w:rFonts w:eastAsia="Calibri"/>
                <w:b w:val="0"/>
                <w:color w:val="auto"/>
              </w:rPr>
              <w:t>tarihli</w:t>
            </w:r>
            <w:r w:rsidR="00624DA1" w:rsidRPr="00A23740">
              <w:rPr>
                <w:rStyle w:val="KonuBalChar"/>
                <w:rFonts w:eastAsia="Calibri"/>
              </w:rPr>
              <w:t xml:space="preserve"> </w:t>
            </w:r>
            <w:r w:rsidR="00624DA1" w:rsidRPr="00D93F6E">
              <w:rPr>
                <w:rStyle w:val="KonuBalChar"/>
                <w:rFonts w:eastAsia="Calibri"/>
                <w:b w:val="0"/>
                <w:color w:val="auto"/>
              </w:rPr>
              <w:t>Milletlerarası Sözleşme</w:t>
            </w:r>
            <w:r w:rsidR="00624DA1" w:rsidRPr="00D93F6E">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szCs w:val="24"/>
              </w:rPr>
              <w:t xml:space="preserve">12 nci maddesinin dördüncü fıkrasına aykırı olup, bu durum Türkiye’nin 1993 </w:t>
            </w:r>
            <w:r w:rsidR="00624DA1" w:rsidRPr="00D93F6E">
              <w:rPr>
                <w:rStyle w:val="KonuBalChar"/>
                <w:rFonts w:eastAsia="Calibri"/>
                <w:b w:val="0"/>
                <w:color w:val="auto"/>
              </w:rPr>
              <w:t>tarihli Milletlerarası</w:t>
            </w:r>
            <w:r w:rsidR="00624DA1" w:rsidRPr="00A23740">
              <w:rPr>
                <w:rStyle w:val="KonuBalChar"/>
                <w:rFonts w:eastAsia="Calibri"/>
              </w:rPr>
              <w:t xml:space="preserve"> </w:t>
            </w:r>
            <w:r w:rsidR="00624DA1" w:rsidRPr="00D93F6E">
              <w:rPr>
                <w:rStyle w:val="KonuBalChar"/>
                <w:rFonts w:eastAsia="Calibri"/>
                <w:b w:val="0"/>
                <w:color w:val="auto"/>
              </w:rPr>
              <w:t>Sözleşme</w:t>
            </w:r>
            <w:r w:rsidR="00624DA1" w:rsidRPr="00D93F6E">
              <w:rPr>
                <w:rStyle w:val="KonuBalChar"/>
                <w:rFonts w:eastAsia="Calibri"/>
                <w:b w:val="0"/>
                <w:color w:val="auto"/>
                <w:lang w:val="tr-TR"/>
              </w:rPr>
              <w:t>ye</w:t>
            </w:r>
            <w:r w:rsidR="00624DA1" w:rsidRPr="00A23740">
              <w:rPr>
                <w:rFonts w:eastAsia="Times New Roman"/>
                <w:szCs w:val="24"/>
              </w:rPr>
              <w:t xml:space="preserve"> </w:t>
            </w:r>
            <w:r w:rsidRPr="00A23740">
              <w:rPr>
                <w:rFonts w:eastAsia="Times New Roman"/>
                <w:szCs w:val="24"/>
              </w:rPr>
              <w:t xml:space="preserve">taraf olması hâlinde uyuşmazlıklara sebebiyet verecektir. Öte yandan 6102 sayılı Kanunun 1393 üncü maddesinde yer alan “… </w:t>
            </w:r>
            <w:r w:rsidRPr="00A23740">
              <w:rPr>
                <w:rFonts w:eastAsia="Times New Roman"/>
                <w:i/>
                <w:iCs/>
                <w:szCs w:val="24"/>
              </w:rPr>
              <w:t>1013 madde uyarınca kanuni ipotekle … teminat altına alınmış alacakları</w:t>
            </w:r>
            <w:r w:rsidRPr="00A23740">
              <w:rPr>
                <w:rFonts w:eastAsia="Times New Roman"/>
                <w:szCs w:val="24"/>
              </w:rPr>
              <w:t xml:space="preserve"> …” ibaresi, tersane sahibinin gemi inşa, bakım, onarım alacakları için 6102 sayılı Kanunun 1013 üncü maddesi uyarınca sahip olduğu ipotek tesisini talep hakkını kullanıp bu alacakları için ipotek tesis ettirmiş olmasının aranıp aranmayacağı hususunda açıklıktan yoksundur. Bu ibare</w:t>
            </w:r>
            <w:r w:rsidR="00733835" w:rsidRPr="00A23740">
              <w:rPr>
                <w:rFonts w:eastAsia="Times New Roman"/>
                <w:szCs w:val="24"/>
              </w:rPr>
              <w:t>yle</w:t>
            </w:r>
            <w:r w:rsidRPr="00A23740">
              <w:rPr>
                <w:rFonts w:eastAsia="Times New Roman"/>
                <w:szCs w:val="24"/>
              </w:rPr>
              <w:t xml:space="preserve"> tersane sahibinin </w:t>
            </w:r>
            <w:bookmarkStart w:id="51" w:name="_Hlk172704952"/>
            <w:r w:rsidRPr="00A23740">
              <w:rPr>
                <w:rFonts w:eastAsia="Times New Roman"/>
                <w:szCs w:val="24"/>
              </w:rPr>
              <w:t xml:space="preserve">6102 sayılı Kanunun 1013 üncü maddesi </w:t>
            </w:r>
            <w:bookmarkEnd w:id="51"/>
            <w:r w:rsidRPr="00A23740">
              <w:rPr>
                <w:rFonts w:eastAsia="Times New Roman"/>
                <w:szCs w:val="24"/>
              </w:rPr>
              <w:t>uyarınca sahip olduğu ipotek tesisini talep hakkını kullanıp ipotek tesis etti</w:t>
            </w:r>
            <w:r w:rsidR="00535D4A" w:rsidRPr="00A23740">
              <w:rPr>
                <w:rFonts w:eastAsia="Times New Roman"/>
                <w:szCs w:val="24"/>
              </w:rPr>
              <w:t>rmiş olması kastedilmişse, bu hâ</w:t>
            </w:r>
            <w:r w:rsidRPr="00A23740">
              <w:rPr>
                <w:rFonts w:eastAsia="Times New Roman"/>
                <w:szCs w:val="24"/>
              </w:rPr>
              <w:t>lde tersanecinin ipotekle temin edilmiş alacakların beşinci sıraya kaydedilmesi gerektiği açıktır. Tüm bu nedenlerle cebr</w:t>
            </w:r>
            <w:r w:rsidR="00A949BC" w:rsidRPr="00A23740">
              <w:rPr>
                <w:rFonts w:eastAsia="Times New Roman"/>
                <w:szCs w:val="24"/>
              </w:rPr>
              <w:t>î</w:t>
            </w:r>
            <w:r w:rsidRPr="00A23740">
              <w:rPr>
                <w:rFonts w:eastAsia="Times New Roman"/>
                <w:szCs w:val="24"/>
              </w:rPr>
              <w:t xml:space="preserve"> icra yoluyla satış sırasında geminin zilyedi olmayan tersane sahibinin 6102 sayılı Kanunun 1013 üncü maddesi uyarınca ipotek tesisini talep edebileceği ve ipotek tesis ettirdiği alacaklarının dördüncü sıraya kaydedilmesi, 1993 </w:t>
            </w:r>
            <w:r w:rsidR="00624DA1" w:rsidRPr="00D93F6E">
              <w:rPr>
                <w:rStyle w:val="KonuBalChar"/>
                <w:rFonts w:eastAsia="Calibri"/>
                <w:b w:val="0"/>
                <w:color w:val="auto"/>
              </w:rPr>
              <w:t>tarihli Milletlerarası Sözleşme</w:t>
            </w:r>
            <w:r w:rsidR="00624DA1" w:rsidRPr="00D93F6E">
              <w:rPr>
                <w:rStyle w:val="KonuBalChar"/>
                <w:rFonts w:eastAsia="Calibri"/>
                <w:b w:val="0"/>
                <w:color w:val="auto"/>
                <w:lang w:val="tr-TR"/>
              </w:rPr>
              <w:t>nin</w:t>
            </w:r>
            <w:r w:rsidRPr="00A23740">
              <w:rPr>
                <w:rFonts w:eastAsia="Times New Roman"/>
                <w:szCs w:val="24"/>
              </w:rPr>
              <w:t xml:space="preserve"> 12 nci maddesinin dördüncü fıkrasına aykırı olduğu olduğundan, 6102 sayılı Kanunun 1393 üncü maddesinde yer alan “… </w:t>
            </w:r>
            <w:r w:rsidRPr="00A23740">
              <w:rPr>
                <w:rFonts w:eastAsia="Times New Roman"/>
                <w:i/>
                <w:iCs/>
                <w:szCs w:val="24"/>
              </w:rPr>
              <w:t>1013 üncü madde uyarınca kanuni ipotekle veya</w:t>
            </w:r>
            <w:r w:rsidRPr="00A23740">
              <w:rPr>
                <w:rFonts w:eastAsia="Times New Roman"/>
                <w:szCs w:val="24"/>
              </w:rPr>
              <w:t xml:space="preserve"> …” şeklindeki ibare bu maddeye alınmamıştır. </w:t>
            </w:r>
          </w:p>
          <w:p w:rsidR="00D93F6E" w:rsidRPr="00A23740" w:rsidRDefault="00D93F6E" w:rsidP="00196116">
            <w:pPr>
              <w:rPr>
                <w:rFonts w:eastAsia="Times New Roman"/>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b/>
                <w:strike/>
                <w:color w:val="FF0000"/>
                <w:szCs w:val="24"/>
                <w:lang w:eastAsia="x-none"/>
              </w:rPr>
              <w:t xml:space="preserve">g) Altıncı </w:t>
            </w:r>
            <w:r w:rsidRPr="00A23740">
              <w:rPr>
                <w:rFonts w:eastAsia="Times New Roman"/>
                <w:b/>
                <w:bCs/>
                <w:szCs w:val="24"/>
                <w:lang w:eastAsia="tr-TR"/>
              </w:rPr>
              <w:t>sıra</w:t>
            </w:r>
          </w:p>
          <w:p w:rsidR="00701AC1"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b/>
                <w:strike/>
                <w:color w:val="FF0000"/>
                <w:szCs w:val="24"/>
                <w:lang w:eastAsia="x-none"/>
              </w:rPr>
              <w:t>1395</w:t>
            </w:r>
            <w:r w:rsidRPr="00A23740">
              <w:rPr>
                <w:rFonts w:eastAsia="Times New Roman"/>
                <w:szCs w:val="24"/>
                <w:lang w:eastAsia="tr-TR"/>
              </w:rPr>
              <w:t xml:space="preserve">- (1) Sıra cetvelinin </w:t>
            </w:r>
            <w:r w:rsidRPr="00A23740">
              <w:rPr>
                <w:b/>
                <w:strike/>
                <w:color w:val="FF0000"/>
                <w:szCs w:val="24"/>
                <w:lang w:eastAsia="x-none"/>
              </w:rPr>
              <w:t>altıncı</w:t>
            </w:r>
            <w:r w:rsidRPr="00A23740">
              <w:rPr>
                <w:rFonts w:eastAsia="Times New Roman"/>
                <w:szCs w:val="24"/>
                <w:lang w:eastAsia="tr-TR"/>
              </w:rPr>
              <w:t xml:space="preserve"> sırasına, </w:t>
            </w:r>
            <w:r w:rsidRPr="00136EBC">
              <w:rPr>
                <w:rStyle w:val="KIRMIZIChar"/>
                <w:rFonts w:eastAsia="Calibri"/>
              </w:rPr>
              <w:t>akdî veya kanuni</w:t>
            </w:r>
            <w:r w:rsidRPr="00A23740">
              <w:rPr>
                <w:rFonts w:eastAsia="Times New Roman"/>
                <w:szCs w:val="24"/>
                <w:lang w:eastAsia="tr-TR"/>
              </w:rPr>
              <w:t xml:space="preserve"> bir rehin </w:t>
            </w:r>
            <w:r w:rsidRPr="00136EBC">
              <w:rPr>
                <w:rStyle w:val="KIRMIZIChar"/>
                <w:rFonts w:eastAsia="Calibri"/>
              </w:rPr>
              <w:t>hakkı ile</w:t>
            </w:r>
            <w:r w:rsidRPr="00A23740">
              <w:rPr>
                <w:rFonts w:eastAsia="Times New Roman"/>
                <w:szCs w:val="24"/>
                <w:lang w:eastAsia="tr-TR"/>
              </w:rPr>
              <w:t xml:space="preserve"> teminat altına alınmış olup da </w:t>
            </w:r>
            <w:r w:rsidRPr="00136EBC">
              <w:rPr>
                <w:rStyle w:val="KIRMIZIChar"/>
                <w:rFonts w:eastAsia="Calibri"/>
              </w:rPr>
              <w:t>1390 ilâ 1394 üncü</w:t>
            </w:r>
            <w:r w:rsidRPr="00A23740">
              <w:rPr>
                <w:rFonts w:eastAsia="Times New Roman"/>
                <w:szCs w:val="24"/>
                <w:lang w:eastAsia="tr-TR"/>
              </w:rPr>
              <w:t xml:space="preserve"> maddeler</w:t>
            </w:r>
            <w:r w:rsidRPr="00136EBC">
              <w:rPr>
                <w:rStyle w:val="KIRMIZIChar"/>
                <w:rFonts w:eastAsia="Calibri"/>
              </w:rPr>
              <w:t>e</w:t>
            </w:r>
            <w:r w:rsidRPr="00A23740">
              <w:rPr>
                <w:rFonts w:eastAsia="Times New Roman"/>
                <w:szCs w:val="24"/>
                <w:lang w:eastAsia="tr-TR"/>
              </w:rPr>
              <w:t xml:space="preserve"> </w:t>
            </w:r>
            <w:r w:rsidRPr="00136EBC">
              <w:rPr>
                <w:rStyle w:val="KIRMIZIChar"/>
                <w:rFonts w:eastAsia="Calibri"/>
              </w:rPr>
              <w:t>girmeyen</w:t>
            </w:r>
            <w:r w:rsidRPr="00A23740">
              <w:rPr>
                <w:rFonts w:eastAsia="Times New Roman"/>
                <w:szCs w:val="24"/>
                <w:lang w:eastAsia="tr-TR"/>
              </w:rPr>
              <w:t xml:space="preserve"> alacaklar kaydedilir.</w:t>
            </w:r>
          </w:p>
          <w:p w:rsidR="00701AC1" w:rsidRPr="00A23740" w:rsidRDefault="00701AC1" w:rsidP="009431FF">
            <w:pPr>
              <w:rPr>
                <w:rFonts w:eastAsia="Times New Roman"/>
                <w:szCs w:val="24"/>
                <w:lang w:eastAsia="tr-TR"/>
              </w:rPr>
            </w:pPr>
          </w:p>
          <w:p w:rsidR="00A5551D" w:rsidRPr="00A23740" w:rsidRDefault="00A5551D" w:rsidP="009431FF">
            <w:pPr>
              <w:rPr>
                <w:rFonts w:eastAsia="Times New Roman"/>
                <w:szCs w:val="24"/>
                <w:lang w:eastAsia="tr-TR"/>
              </w:rPr>
            </w:pPr>
          </w:p>
          <w:p w:rsidR="00A46C6E" w:rsidRPr="00A23740" w:rsidRDefault="00A46C6E" w:rsidP="009431FF">
            <w:pPr>
              <w:rPr>
                <w:rFonts w:eastAsia="Times New Roman"/>
                <w:szCs w:val="24"/>
                <w:lang w:eastAsia="tr-TR"/>
              </w:rPr>
            </w:pPr>
            <w:r w:rsidRPr="00A23740">
              <w:rPr>
                <w:rFonts w:eastAsia="Times New Roman"/>
                <w:szCs w:val="24"/>
                <w:lang w:eastAsia="tr-TR"/>
              </w:rPr>
              <w:t>(2) Birinci fıkrada sayılan alacaklar, her alacağı teminat altına alan rehin hakkını düzenleyen kanunda gösterilen sıraya tabidir.</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szCs w:val="24"/>
                <w:lang w:eastAsia="tr-TR"/>
              </w:rPr>
            </w:pPr>
            <w:r w:rsidRPr="00A23740">
              <w:rPr>
                <w:b/>
                <w:bCs/>
                <w:color w:val="0000FF"/>
                <w:szCs w:val="24"/>
                <w:lang w:eastAsia="x-none"/>
              </w:rPr>
              <w:t>Beşinci</w:t>
            </w:r>
            <w:r w:rsidRPr="00A23740">
              <w:rPr>
                <w:rFonts w:eastAsia="Times New Roman"/>
                <w:b/>
                <w:bCs/>
                <w:szCs w:val="24"/>
                <w:lang w:eastAsia="tr-TR"/>
              </w:rPr>
              <w:t xml:space="preserve"> sıra </w:t>
            </w:r>
          </w:p>
          <w:p w:rsidR="00A46C6E" w:rsidRPr="00A23740" w:rsidRDefault="00993A1A" w:rsidP="009431FF">
            <w:pPr>
              <w:rPr>
                <w:b/>
                <w:bCs/>
                <w:color w:val="0000FF"/>
                <w:szCs w:val="24"/>
                <w:lang w:eastAsia="x-none"/>
              </w:rPr>
            </w:pPr>
            <w:r w:rsidRPr="00136EBC">
              <w:rPr>
                <w:rFonts w:eastAsia="Times New Roman"/>
                <w:b/>
                <w:bCs/>
                <w:color w:val="000000" w:themeColor="text1"/>
                <w:szCs w:val="24"/>
                <w:lang w:eastAsia="x-none"/>
              </w:rPr>
              <w:t xml:space="preserve">MADDE </w:t>
            </w:r>
            <w:r w:rsidRPr="00A23740">
              <w:rPr>
                <w:rFonts w:eastAsia="Times New Roman"/>
                <w:b/>
                <w:bCs/>
                <w:color w:val="0000FF"/>
                <w:szCs w:val="24"/>
                <w:lang w:eastAsia="x-none"/>
              </w:rPr>
              <w:t>485</w:t>
            </w:r>
            <w:r w:rsidR="00A46C6E" w:rsidRPr="00A23740">
              <w:rPr>
                <w:rFonts w:eastAsia="Times New Roman"/>
                <w:b/>
                <w:bCs/>
                <w:color w:val="0000FF"/>
                <w:szCs w:val="24"/>
                <w:lang w:eastAsia="x-none"/>
              </w:rPr>
              <w:t xml:space="preserve">- </w:t>
            </w:r>
            <w:r w:rsidR="00A46C6E" w:rsidRPr="00136EBC">
              <w:rPr>
                <w:rFonts w:eastAsia="Times New Roman"/>
                <w:bCs/>
                <w:color w:val="000000" w:themeColor="text1"/>
                <w:szCs w:val="24"/>
                <w:lang w:eastAsia="x-none"/>
              </w:rPr>
              <w:t>(1)</w:t>
            </w:r>
            <w:r w:rsidR="00A46C6E" w:rsidRPr="00A23740">
              <w:rPr>
                <w:rFonts w:eastAsia="Times New Roman"/>
                <w:b/>
                <w:bCs/>
                <w:color w:val="0000FF"/>
                <w:szCs w:val="24"/>
                <w:lang w:eastAsia="x-none"/>
              </w:rPr>
              <w:t xml:space="preserve"> </w:t>
            </w:r>
            <w:r w:rsidR="00A46C6E" w:rsidRPr="00A23740">
              <w:rPr>
                <w:rFonts w:eastAsia="Times New Roman"/>
                <w:szCs w:val="24"/>
                <w:lang w:eastAsia="tr-TR"/>
              </w:rPr>
              <w:t>Sıra cetvelinin</w:t>
            </w:r>
            <w:r w:rsidR="00A46C6E" w:rsidRPr="00A23740">
              <w:rPr>
                <w:b/>
                <w:bCs/>
                <w:color w:val="0000FF"/>
                <w:szCs w:val="24"/>
                <w:lang w:eastAsia="x-none"/>
              </w:rPr>
              <w:t xml:space="preserve"> beşinci </w:t>
            </w:r>
            <w:r w:rsidR="00A46C6E" w:rsidRPr="00A23740">
              <w:rPr>
                <w:rFonts w:eastAsia="Times New Roman"/>
                <w:szCs w:val="24"/>
                <w:lang w:eastAsia="tr-TR"/>
              </w:rPr>
              <w:t xml:space="preserve">sırasına, </w:t>
            </w:r>
            <w:r w:rsidR="0097282D" w:rsidRPr="006C062A">
              <w:rPr>
                <w:rStyle w:val="YELChar"/>
                <w:color w:val="0000FF"/>
              </w:rPr>
              <w:t>sözleşmeden veya kanundan doğan</w:t>
            </w:r>
            <w:r w:rsidR="0097282D" w:rsidRPr="00A23740">
              <w:rPr>
                <w:rFonts w:eastAsia="Times New Roman"/>
                <w:szCs w:val="24"/>
                <w:lang w:eastAsia="tr-TR"/>
              </w:rPr>
              <w:t xml:space="preserve"> </w:t>
            </w:r>
            <w:r w:rsidR="00A46C6E" w:rsidRPr="00A23740">
              <w:rPr>
                <w:rFonts w:eastAsia="Times New Roman"/>
                <w:szCs w:val="24"/>
                <w:lang w:eastAsia="tr-TR"/>
              </w:rPr>
              <w:t xml:space="preserve">bir rehin </w:t>
            </w:r>
            <w:r w:rsidR="0097282D" w:rsidRPr="006C062A">
              <w:rPr>
                <w:rStyle w:val="YELChar"/>
                <w:color w:val="0000FF"/>
              </w:rPr>
              <w:t>hakkıyla</w:t>
            </w:r>
            <w:r w:rsidR="0097282D" w:rsidRPr="00A23740">
              <w:rPr>
                <w:rStyle w:val="YELChar"/>
              </w:rPr>
              <w:t xml:space="preserve"> </w:t>
            </w:r>
            <w:r w:rsidR="00A46C6E" w:rsidRPr="00A23740">
              <w:rPr>
                <w:rFonts w:eastAsia="Times New Roman"/>
                <w:szCs w:val="24"/>
                <w:lang w:eastAsia="tr-TR"/>
              </w:rPr>
              <w:t>teminat altına alınmış olup da</w:t>
            </w:r>
            <w:r w:rsidR="00701AC1" w:rsidRPr="00A23740">
              <w:rPr>
                <w:rFonts w:eastAsia="Times New Roman"/>
                <w:szCs w:val="24"/>
                <w:lang w:eastAsia="tr-TR"/>
              </w:rPr>
              <w:t xml:space="preserve"> </w:t>
            </w:r>
            <w:r w:rsidR="00701AC1" w:rsidRPr="006C062A">
              <w:rPr>
                <w:rStyle w:val="KonuBalChar"/>
                <w:rFonts w:eastAsia="Calibri"/>
                <w:color w:val="0000FF"/>
              </w:rPr>
              <w:t>481</w:t>
            </w:r>
            <w:r w:rsidR="00701AC1" w:rsidRPr="00A23740">
              <w:rPr>
                <w:rFonts w:eastAsia="Times New Roman"/>
                <w:b/>
                <w:bCs/>
                <w:color w:val="0000FF"/>
                <w:szCs w:val="24"/>
                <w:lang w:eastAsia="x-none"/>
              </w:rPr>
              <w:t xml:space="preserve"> </w:t>
            </w:r>
            <w:r w:rsidR="00A127B1">
              <w:rPr>
                <w:b/>
                <w:bCs/>
                <w:color w:val="0000FF"/>
                <w:lang w:val="x-none" w:eastAsia="x-none"/>
              </w:rPr>
              <w:t>ila</w:t>
            </w:r>
            <w:r w:rsidR="00701AC1" w:rsidRPr="00A23740">
              <w:rPr>
                <w:b/>
                <w:bCs/>
                <w:color w:val="0000FF"/>
                <w:lang w:eastAsia="x-none"/>
              </w:rPr>
              <w:t xml:space="preserve"> </w:t>
            </w:r>
            <w:r w:rsidR="00701AC1" w:rsidRPr="006C062A">
              <w:rPr>
                <w:rStyle w:val="KonuBalChar"/>
                <w:rFonts w:eastAsia="Calibri"/>
                <w:color w:val="0000FF"/>
              </w:rPr>
              <w:t>484</w:t>
            </w:r>
            <w:r w:rsidR="00A46C6E" w:rsidRPr="006C062A">
              <w:rPr>
                <w:b/>
                <w:bCs/>
                <w:color w:val="0000FF"/>
                <w:lang w:val="x-none" w:eastAsia="x-none"/>
              </w:rPr>
              <w:t xml:space="preserve"> </w:t>
            </w:r>
            <w:r w:rsidR="00701AC1" w:rsidRPr="006C062A">
              <w:rPr>
                <w:rStyle w:val="KonuBalChar"/>
                <w:rFonts w:eastAsia="Calibri"/>
                <w:color w:val="0000FF"/>
              </w:rPr>
              <w:t>ve 486</w:t>
            </w:r>
            <w:r w:rsidR="00701AC1" w:rsidRPr="006C062A">
              <w:rPr>
                <w:rStyle w:val="KonuBalChar"/>
                <w:rFonts w:eastAsia="Calibri"/>
                <w:color w:val="0000FF"/>
                <w:lang w:val="tr-TR"/>
              </w:rPr>
              <w:t xml:space="preserve"> ncı</w:t>
            </w:r>
            <w:r w:rsidR="00701AC1" w:rsidRPr="00A23740">
              <w:rPr>
                <w:b/>
                <w:bCs/>
                <w:color w:val="0000FF"/>
                <w:lang w:eastAsia="x-none"/>
              </w:rPr>
              <w:t xml:space="preserve"> </w:t>
            </w:r>
            <w:r w:rsidR="00A46C6E" w:rsidRPr="00A23740">
              <w:rPr>
                <w:rFonts w:eastAsia="Times New Roman"/>
                <w:szCs w:val="24"/>
                <w:lang w:eastAsia="tr-TR"/>
              </w:rPr>
              <w:t xml:space="preserve">maddeler </w:t>
            </w:r>
            <w:r w:rsidR="00A46C6E" w:rsidRPr="006C062A">
              <w:rPr>
                <w:rFonts w:eastAsia="Times New Roman"/>
                <w:b/>
                <w:bCs/>
                <w:color w:val="0000FF"/>
                <w:szCs w:val="24"/>
                <w:lang w:eastAsia="tr-TR"/>
              </w:rPr>
              <w:t>kapsamında</w:t>
            </w:r>
            <w:r w:rsidR="00A46C6E" w:rsidRPr="00A23740">
              <w:rPr>
                <w:rFonts w:eastAsia="Times New Roman"/>
                <w:b/>
                <w:bCs/>
                <w:color w:val="00B050"/>
                <w:szCs w:val="24"/>
                <w:lang w:eastAsia="tr-TR"/>
              </w:rPr>
              <w:t xml:space="preserve"> </w:t>
            </w:r>
            <w:r w:rsidR="00A46C6E" w:rsidRPr="006C062A">
              <w:rPr>
                <w:rFonts w:eastAsia="Times New Roman"/>
                <w:b/>
                <w:bCs/>
                <w:color w:val="0000FF"/>
                <w:szCs w:val="24"/>
                <w:lang w:eastAsia="tr-TR"/>
              </w:rPr>
              <w:t>olmayan</w:t>
            </w:r>
            <w:r w:rsidR="00A46C6E" w:rsidRPr="00A23740">
              <w:rPr>
                <w:rFonts w:eastAsia="Times New Roman"/>
                <w:szCs w:val="24"/>
                <w:lang w:eastAsia="tr-TR"/>
              </w:rPr>
              <w:t xml:space="preserve"> alacaklar kaydedilir.</w:t>
            </w:r>
          </w:p>
          <w:p w:rsidR="00A46C6E" w:rsidRPr="00A23740" w:rsidRDefault="00A46C6E" w:rsidP="009431FF">
            <w:pPr>
              <w:rPr>
                <w:b/>
                <w:bCs/>
                <w:color w:val="0000FF"/>
                <w:szCs w:val="24"/>
                <w:lang w:eastAsia="x-none"/>
              </w:rPr>
            </w:pPr>
          </w:p>
          <w:p w:rsidR="00A46C6E" w:rsidRPr="00A23740" w:rsidRDefault="00A46C6E" w:rsidP="009431FF">
            <w:pPr>
              <w:rPr>
                <w:rFonts w:eastAsia="Times New Roman"/>
                <w:szCs w:val="24"/>
                <w:lang w:eastAsia="tr-TR"/>
              </w:rPr>
            </w:pPr>
            <w:r w:rsidRPr="00136EBC">
              <w:rPr>
                <w:rFonts w:eastAsia="Times New Roman"/>
                <w:bCs/>
                <w:color w:val="000000" w:themeColor="text1"/>
                <w:szCs w:val="24"/>
                <w:lang w:eastAsia="x-none"/>
              </w:rPr>
              <w:t>(2)</w:t>
            </w:r>
            <w:r w:rsidRPr="00A23740">
              <w:rPr>
                <w:rFonts w:eastAsia="Times New Roman"/>
                <w:szCs w:val="24"/>
                <w:lang w:eastAsia="tr-TR"/>
              </w:rPr>
              <w:t xml:space="preserve"> Birinci fıkrada sayılan alacaklar, her alacağı teminat altına alan rehin hakkını düzenle</w:t>
            </w:r>
            <w:r w:rsidR="0097282D" w:rsidRPr="00A23740">
              <w:rPr>
                <w:rFonts w:eastAsia="Times New Roman"/>
                <w:szCs w:val="24"/>
                <w:lang w:eastAsia="tr-TR"/>
              </w:rPr>
              <w:t>yen kanunda gösterilen sıraya ta</w:t>
            </w:r>
            <w:r w:rsidRPr="00A23740">
              <w:rPr>
                <w:rFonts w:eastAsia="Times New Roman"/>
                <w:szCs w:val="24"/>
                <w:lang w:eastAsia="tr-TR"/>
              </w:rPr>
              <w:t>bidir.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52" w:name="_Hlk134296108"/>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485</w:t>
            </w:r>
            <w:r w:rsidR="00A46C6E" w:rsidRPr="00A23740">
              <w:rPr>
                <w:rFonts w:eastAsia="Times New Roman"/>
                <w:b/>
                <w:bCs/>
                <w:szCs w:val="24"/>
                <w:lang w:eastAsia="tr-TR"/>
              </w:rPr>
              <w:t xml:space="preserve">- </w:t>
            </w:r>
            <w:bookmarkStart w:id="53" w:name="_Hlk172878232"/>
            <w:r w:rsidR="00A46C6E" w:rsidRPr="00A23740">
              <w:rPr>
                <w:bCs/>
                <w:szCs w:val="24"/>
                <w:lang w:eastAsia="x-none"/>
              </w:rPr>
              <w:t>Maddeyle, beşinci sıraya kaydedilecek alacaklar düzenlenmektedir.</w:t>
            </w:r>
            <w:bookmarkEnd w:id="53"/>
          </w:p>
          <w:p w:rsidR="00A46C6E" w:rsidRPr="00A23740" w:rsidRDefault="00A46C6E" w:rsidP="009431FF">
            <w:pPr>
              <w:ind w:firstLine="709"/>
              <w:rPr>
                <w:rFonts w:eastAsia="Times New Roman"/>
                <w:bCs/>
                <w:szCs w:val="24"/>
              </w:rPr>
            </w:pPr>
            <w:r w:rsidRPr="00A23740">
              <w:rPr>
                <w:rFonts w:eastAsia="Times New Roman"/>
                <w:bCs/>
                <w:szCs w:val="24"/>
              </w:rPr>
              <w:t xml:space="preserve">1993 </w:t>
            </w:r>
            <w:r w:rsidR="00624DA1" w:rsidRPr="006C062A">
              <w:rPr>
                <w:rStyle w:val="KonuBalChar"/>
                <w:rFonts w:eastAsia="Calibri"/>
                <w:b w:val="0"/>
                <w:color w:val="auto"/>
              </w:rPr>
              <w:t>tarihli Milletlerarası Sözleşme</w:t>
            </w:r>
            <w:r w:rsidR="00624DA1" w:rsidRPr="006C062A">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bCs/>
                <w:szCs w:val="24"/>
              </w:rPr>
              <w:t>5 inci maddesinin birinci fıkrasına göre, 12 nci maddenin üçüncü ve dördüncü fıkralarında belirtilenler dışında hiç bir alacak, gemi alacakları ve gemi üzerinde 1 inci maddede öngörülen şartlara uygun rehinlerden, ipoteklerden veya yükümlülüklerden önce gelmez. Taslağın</w:t>
            </w:r>
            <w:r w:rsidR="00701AC1" w:rsidRPr="00A23740">
              <w:rPr>
                <w:rFonts w:eastAsia="Times New Roman"/>
                <w:bCs/>
                <w:szCs w:val="24"/>
              </w:rPr>
              <w:t xml:space="preserve"> </w:t>
            </w:r>
            <w:r w:rsidR="00701AC1" w:rsidRPr="006C062A">
              <w:rPr>
                <w:rStyle w:val="KonuBalChar"/>
                <w:rFonts w:eastAsia="Calibri"/>
                <w:b w:val="0"/>
                <w:color w:val="auto"/>
              </w:rPr>
              <w:t>317</w:t>
            </w:r>
            <w:r w:rsidR="00701AC1" w:rsidRPr="00A23740">
              <w:rPr>
                <w:rStyle w:val="KonuBalChar"/>
                <w:rFonts w:eastAsia="Calibri"/>
              </w:rPr>
              <w:t xml:space="preserve"> </w:t>
            </w:r>
            <w:r w:rsidR="00701AC1" w:rsidRPr="006C062A">
              <w:rPr>
                <w:rStyle w:val="KonuBalChar"/>
                <w:rFonts w:eastAsia="Calibri"/>
                <w:b w:val="0"/>
                <w:color w:val="auto"/>
              </w:rPr>
              <w:t>nci</w:t>
            </w:r>
            <w:r w:rsidRPr="00A23740">
              <w:rPr>
                <w:rFonts w:eastAsia="Times New Roman"/>
                <w:bCs/>
                <w:szCs w:val="24"/>
              </w:rPr>
              <w:t xml:space="preserve"> maddesinin birinci fıkrasında da “Gümrük ve emlak vergisi ile motorlu taşıtlar vergisi gibi eşya ve taşınmazın aynından doğan kamu alacaklarının satış tutarı üzerinden tahsili rehinli alacaklardan sonra gelir.” hükmüne yer verilmiş olup, bu hüküm, 1993 </w:t>
            </w:r>
            <w:r w:rsidR="00624DA1" w:rsidRPr="006C062A">
              <w:rPr>
                <w:rStyle w:val="KonuBalChar"/>
                <w:rFonts w:eastAsia="Calibri"/>
                <w:b w:val="0"/>
                <w:color w:val="auto"/>
              </w:rPr>
              <w:t>tarihli Milletlerarası Sözleşme</w:t>
            </w:r>
            <w:r w:rsidR="00624DA1" w:rsidRPr="006C062A">
              <w:rPr>
                <w:rStyle w:val="KonuBalChar"/>
                <w:rFonts w:eastAsia="Calibri"/>
                <w:b w:val="0"/>
                <w:color w:val="auto"/>
                <w:lang w:val="tr-TR"/>
              </w:rPr>
              <w:t>nin</w:t>
            </w:r>
            <w:r w:rsidR="00624DA1" w:rsidRPr="00A23740">
              <w:rPr>
                <w:rFonts w:eastAsia="Times New Roman"/>
                <w:szCs w:val="24"/>
              </w:rPr>
              <w:t xml:space="preserve"> </w:t>
            </w:r>
            <w:r w:rsidRPr="00A23740">
              <w:rPr>
                <w:rFonts w:eastAsia="Times New Roman"/>
                <w:bCs/>
                <w:szCs w:val="24"/>
              </w:rPr>
              <w:t>5 inci maddesinin birinci fıkrası hükmü</w:t>
            </w:r>
            <w:r w:rsidR="002A02BE" w:rsidRPr="00A23740">
              <w:rPr>
                <w:rFonts w:eastAsia="Times New Roman"/>
                <w:bCs/>
                <w:szCs w:val="24"/>
              </w:rPr>
              <w:t>yle</w:t>
            </w:r>
            <w:r w:rsidRPr="00A23740">
              <w:rPr>
                <w:rFonts w:eastAsia="Times New Roman"/>
                <w:bCs/>
                <w:szCs w:val="24"/>
              </w:rPr>
              <w:t xml:space="preserve"> de uyumludur. Belirtilen kamu alacaklarının rehinli alacaklardan sonra gelmesi esasının, geminin kredi değerini artırıcı etki yaratacağı da dikkate alınarak Taslağın adi ve rehinli alacakların sırası hakkındaki </w:t>
            </w:r>
            <w:r w:rsidR="00701AC1" w:rsidRPr="006C062A">
              <w:rPr>
                <w:rStyle w:val="KonuBalChar"/>
                <w:rFonts w:eastAsia="Calibri"/>
                <w:b w:val="0"/>
                <w:color w:val="auto"/>
              </w:rPr>
              <w:t>317</w:t>
            </w:r>
            <w:r w:rsidR="00701AC1" w:rsidRPr="00A23740">
              <w:rPr>
                <w:rStyle w:val="KonuBalChar"/>
                <w:rFonts w:eastAsia="Calibri"/>
              </w:rPr>
              <w:t xml:space="preserve"> </w:t>
            </w:r>
            <w:r w:rsidR="00701AC1" w:rsidRPr="006C062A">
              <w:rPr>
                <w:rStyle w:val="KonuBalChar"/>
                <w:rFonts w:eastAsia="Calibri"/>
                <w:b w:val="0"/>
                <w:color w:val="auto"/>
              </w:rPr>
              <w:t>nci</w:t>
            </w:r>
            <w:r w:rsidR="00701AC1" w:rsidRPr="00A23740">
              <w:rPr>
                <w:rFonts w:eastAsia="Times New Roman"/>
                <w:bCs/>
                <w:szCs w:val="24"/>
              </w:rPr>
              <w:t xml:space="preserve"> </w:t>
            </w:r>
            <w:r w:rsidRPr="00A23740">
              <w:rPr>
                <w:rFonts w:eastAsia="Times New Roman"/>
                <w:bCs/>
                <w:szCs w:val="24"/>
              </w:rPr>
              <w:t xml:space="preserve">maddesinin birinci fıkrasında kabul edilen esas, gemilerin satış bedelinin paylaştırılmasında da benimsenmiş; </w:t>
            </w:r>
            <w:bookmarkStart w:id="54" w:name="_Hlk172705018"/>
            <w:r w:rsidRPr="00A23740">
              <w:rPr>
                <w:rFonts w:eastAsia="Times New Roman"/>
                <w:bCs/>
                <w:szCs w:val="24"/>
              </w:rPr>
              <w:t xml:space="preserve">6102 sayılı Kanunun </w:t>
            </w:r>
            <w:bookmarkEnd w:id="54"/>
            <w:r w:rsidRPr="00A23740">
              <w:rPr>
                <w:rFonts w:eastAsia="Times New Roman"/>
                <w:bCs/>
                <w:szCs w:val="24"/>
              </w:rPr>
              <w:t>1394 üncü maddesi uyarınca beşinci sırada olan alacakların altıncı sıraya</w:t>
            </w:r>
            <w:r w:rsidR="002A02BE" w:rsidRPr="00A23740">
              <w:rPr>
                <w:rFonts w:eastAsia="Times New Roman"/>
                <w:bCs/>
                <w:szCs w:val="24"/>
              </w:rPr>
              <w:t>,</w:t>
            </w:r>
            <w:r w:rsidRPr="00A23740">
              <w:rPr>
                <w:rFonts w:eastAsia="Times New Roman"/>
                <w:bCs/>
                <w:szCs w:val="24"/>
              </w:rPr>
              <w:t xml:space="preserve"> 6102 sayılı Kanunun 1395 inci uyarınca altıncı sırada olan alacakların beşinci sıraya kaydedilmesi kabul edilip</w:t>
            </w:r>
            <w:r w:rsidR="002A02BE" w:rsidRPr="00A23740">
              <w:rPr>
                <w:rFonts w:eastAsia="Times New Roman"/>
                <w:bCs/>
                <w:szCs w:val="24"/>
              </w:rPr>
              <w:t>,</w:t>
            </w:r>
            <w:r w:rsidRPr="00A23740">
              <w:rPr>
                <w:rFonts w:eastAsia="Times New Roman"/>
                <w:bCs/>
                <w:szCs w:val="24"/>
              </w:rPr>
              <w:t xml:space="preserve"> bu doğrultuda sıra değişikliği yapılmıştır. </w:t>
            </w:r>
          </w:p>
          <w:p w:rsidR="00A46C6E" w:rsidRPr="00A23740" w:rsidRDefault="00A46C6E" w:rsidP="009431FF">
            <w:pPr>
              <w:ind w:firstLine="709"/>
              <w:rPr>
                <w:rFonts w:eastAsia="Times New Roman"/>
                <w:bCs/>
                <w:szCs w:val="24"/>
              </w:rPr>
            </w:pPr>
            <w:r w:rsidRPr="00A23740">
              <w:rPr>
                <w:rFonts w:eastAsia="Times New Roman"/>
                <w:bCs/>
                <w:szCs w:val="24"/>
              </w:rPr>
              <w:t xml:space="preserve">6102 sayılı Kanunun 1395 inci maddesinin birinci fıkrası atıf yapılan hükümler değiştirilmek suretiyle maddenin birinci fıkrasına alınmıştır. Buna göre sicile kayıtlı gemilerde gemi ipoteği, sicile kayıtlı olmayan gemilerde gemi rehni, 6102 sayılı Kanunun 1320 nci maddesinin birinci fıkrasının (f) bendi uyarınca gemi alacaklısı hakkına sahip müşterek avarya garame payı alacakları beşinci sıraya kaydedilir. </w:t>
            </w:r>
          </w:p>
          <w:p w:rsidR="00A46C6E" w:rsidRPr="009D25DD" w:rsidRDefault="00A46C6E" w:rsidP="009D25DD">
            <w:pPr>
              <w:ind w:firstLine="709"/>
              <w:rPr>
                <w:rFonts w:eastAsia="Times New Roman"/>
                <w:bCs/>
                <w:szCs w:val="24"/>
              </w:rPr>
            </w:pPr>
            <w:r w:rsidRPr="00A23740">
              <w:rPr>
                <w:rFonts w:eastAsia="Times New Roman"/>
                <w:bCs/>
                <w:szCs w:val="24"/>
              </w:rPr>
              <w:t xml:space="preserve">6102 sayılı Kanunun 1395 inci maddesinin ikinci fıkrası, Taslağın </w:t>
            </w:r>
            <w:r w:rsidR="00104426" w:rsidRPr="006C062A">
              <w:rPr>
                <w:rStyle w:val="KonuBalChar"/>
                <w:rFonts w:eastAsia="Calibri"/>
                <w:b w:val="0"/>
                <w:color w:val="auto"/>
              </w:rPr>
              <w:t>317</w:t>
            </w:r>
            <w:r w:rsidR="00104426" w:rsidRPr="00A23740">
              <w:rPr>
                <w:rStyle w:val="KonuBalChar"/>
                <w:rFonts w:eastAsia="Calibri"/>
              </w:rPr>
              <w:t xml:space="preserve"> </w:t>
            </w:r>
            <w:r w:rsidR="00104426" w:rsidRPr="006C062A">
              <w:rPr>
                <w:rStyle w:val="KonuBalChar"/>
                <w:rFonts w:eastAsia="Calibri"/>
                <w:b w:val="0"/>
                <w:color w:val="auto"/>
              </w:rPr>
              <w:t>nci</w:t>
            </w:r>
            <w:r w:rsidR="00104426" w:rsidRPr="00A23740">
              <w:rPr>
                <w:rFonts w:eastAsia="Times New Roman"/>
                <w:bCs/>
                <w:szCs w:val="24"/>
              </w:rPr>
              <w:t xml:space="preserve"> </w:t>
            </w:r>
            <w:r w:rsidRPr="00A23740">
              <w:rPr>
                <w:rFonts w:eastAsia="Times New Roman"/>
                <w:bCs/>
                <w:szCs w:val="24"/>
              </w:rPr>
              <w:t>maddesinin üçüncü fıkrası</w:t>
            </w:r>
            <w:r w:rsidR="002A02BE" w:rsidRPr="00A23740">
              <w:rPr>
                <w:rFonts w:eastAsia="Times New Roman"/>
                <w:bCs/>
                <w:szCs w:val="24"/>
              </w:rPr>
              <w:t>yla</w:t>
            </w:r>
            <w:r w:rsidRPr="00A23740">
              <w:rPr>
                <w:rFonts w:eastAsia="Times New Roman"/>
                <w:bCs/>
                <w:szCs w:val="24"/>
              </w:rPr>
              <w:t xml:space="preserve"> uyumlu olduğundan, bu fıkra hükmü aynen maddenin ikinci fıkrasına alınmıştır. </w:t>
            </w:r>
            <w:bookmarkEnd w:id="52"/>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b/>
                <w:strike/>
                <w:color w:val="FF0000"/>
                <w:szCs w:val="24"/>
                <w:lang w:eastAsia="x-none"/>
              </w:rPr>
              <w:t>f)</w:t>
            </w:r>
            <w:r w:rsidRPr="00A23740">
              <w:rPr>
                <w:rFonts w:eastAsia="Times New Roman"/>
                <w:b/>
                <w:bCs/>
                <w:szCs w:val="24"/>
                <w:lang w:eastAsia="tr-TR"/>
              </w:rPr>
              <w:t xml:space="preserve"> </w:t>
            </w:r>
            <w:r w:rsidRPr="00A23740">
              <w:rPr>
                <w:b/>
                <w:strike/>
                <w:color w:val="FF0000"/>
                <w:szCs w:val="24"/>
                <w:lang w:eastAsia="x-none"/>
              </w:rPr>
              <w:t>Beşinci</w:t>
            </w:r>
            <w:r w:rsidRPr="00A23740">
              <w:rPr>
                <w:rFonts w:eastAsia="Times New Roman"/>
                <w:b/>
                <w:bCs/>
                <w:szCs w:val="24"/>
                <w:lang w:eastAsia="tr-TR"/>
              </w:rPr>
              <w:t xml:space="preserve"> sıra</w:t>
            </w:r>
          </w:p>
          <w:p w:rsidR="00A46C6E" w:rsidRPr="00A23740" w:rsidRDefault="00A46C6E" w:rsidP="009431FF">
            <w:pPr>
              <w:rPr>
                <w:rFonts w:eastAsia="Times New Roman"/>
                <w:b/>
                <w:szCs w:val="24"/>
              </w:rPr>
            </w:pPr>
            <w:r w:rsidRPr="00A23740">
              <w:rPr>
                <w:rFonts w:eastAsia="Times New Roman"/>
                <w:b/>
                <w:bCs/>
                <w:szCs w:val="24"/>
                <w:lang w:eastAsia="tr-TR"/>
              </w:rPr>
              <w:t xml:space="preserve">MADDE </w:t>
            </w:r>
            <w:r w:rsidRPr="00A23740">
              <w:rPr>
                <w:b/>
                <w:strike/>
                <w:color w:val="FF0000"/>
                <w:szCs w:val="24"/>
                <w:lang w:eastAsia="x-none"/>
              </w:rPr>
              <w:t>1394</w:t>
            </w:r>
            <w:r w:rsidRPr="00A23740">
              <w:rPr>
                <w:rFonts w:eastAsia="Times New Roman"/>
                <w:szCs w:val="24"/>
                <w:lang w:eastAsia="tr-TR"/>
              </w:rPr>
              <w:t xml:space="preserve">- (1) Sıra cetvelinin </w:t>
            </w:r>
            <w:r w:rsidRPr="00A23740">
              <w:rPr>
                <w:b/>
                <w:strike/>
                <w:color w:val="FF0000"/>
                <w:szCs w:val="24"/>
                <w:lang w:eastAsia="x-none"/>
              </w:rPr>
              <w:t>beşinci</w:t>
            </w:r>
            <w:r w:rsidRPr="00A23740">
              <w:rPr>
                <w:rFonts w:eastAsia="Times New Roman"/>
                <w:szCs w:val="24"/>
                <w:lang w:eastAsia="tr-TR"/>
              </w:rPr>
              <w:t xml:space="preserve"> sırasına, </w:t>
            </w:r>
            <w:r w:rsidRPr="00A23740">
              <w:rPr>
                <w:b/>
                <w:strike/>
                <w:color w:val="FF0000"/>
                <w:szCs w:val="24"/>
                <w:lang w:eastAsia="x-none"/>
              </w:rPr>
              <w:t>takip konusu</w:t>
            </w:r>
            <w:r w:rsidRPr="00A23740">
              <w:rPr>
                <w:rFonts w:eastAsia="Times New Roman"/>
                <w:szCs w:val="24"/>
                <w:lang w:eastAsia="tr-TR"/>
              </w:rPr>
              <w:t xml:space="preserve"> gemi</w:t>
            </w:r>
            <w:r w:rsidRPr="00A23740">
              <w:rPr>
                <w:b/>
                <w:strike/>
                <w:color w:val="FF0000"/>
                <w:szCs w:val="24"/>
                <w:lang w:eastAsia="x-none"/>
              </w:rPr>
              <w:t>ye ilişkin gümrük resmi ile diğer vergiler</w:t>
            </w:r>
            <w:r w:rsidRPr="00A23740">
              <w:rPr>
                <w:rFonts w:eastAsia="Times New Roman"/>
                <w:szCs w:val="24"/>
                <w:lang w:eastAsia="tr-TR"/>
              </w:rPr>
              <w:t xml:space="preserve"> kaydedilir.</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szCs w:val="24"/>
                <w:lang w:eastAsia="tr-TR"/>
              </w:rPr>
            </w:pPr>
            <w:r w:rsidRPr="00A23740">
              <w:rPr>
                <w:b/>
                <w:bCs/>
                <w:color w:val="0000FF"/>
                <w:szCs w:val="24"/>
                <w:lang w:eastAsia="x-none"/>
              </w:rPr>
              <w:t>Altıncı</w:t>
            </w:r>
            <w:r w:rsidRPr="00A23740">
              <w:rPr>
                <w:rFonts w:eastAsia="Times New Roman"/>
                <w:b/>
                <w:bCs/>
                <w:szCs w:val="24"/>
                <w:lang w:eastAsia="tr-TR"/>
              </w:rPr>
              <w:t xml:space="preserve"> sıra </w:t>
            </w:r>
          </w:p>
          <w:p w:rsidR="00A46C6E" w:rsidRPr="00A23740" w:rsidRDefault="00993A1A" w:rsidP="009431FF">
            <w:pPr>
              <w:rPr>
                <w:rFonts w:eastAsia="Times New Roman"/>
                <w:szCs w:val="24"/>
                <w:lang w:eastAsia="tr-TR"/>
              </w:rPr>
            </w:pPr>
            <w:r w:rsidRPr="00136EBC">
              <w:rPr>
                <w:b/>
                <w:bCs/>
                <w:color w:val="000000" w:themeColor="text1"/>
                <w:szCs w:val="24"/>
                <w:lang w:eastAsia="x-none"/>
              </w:rPr>
              <w:t xml:space="preserve">MADDE </w:t>
            </w:r>
            <w:r w:rsidRPr="00A23740">
              <w:rPr>
                <w:b/>
                <w:bCs/>
                <w:color w:val="0000FF"/>
                <w:szCs w:val="24"/>
                <w:lang w:eastAsia="x-none"/>
              </w:rPr>
              <w:t>486</w:t>
            </w:r>
            <w:r w:rsidR="00A46C6E" w:rsidRPr="00A23740">
              <w:rPr>
                <w:b/>
                <w:bCs/>
                <w:color w:val="0000FF"/>
                <w:szCs w:val="24"/>
                <w:lang w:eastAsia="x-none"/>
              </w:rPr>
              <w:t xml:space="preserve">- </w:t>
            </w:r>
            <w:r w:rsidR="00A46C6E" w:rsidRPr="00136EBC">
              <w:t>(1)</w:t>
            </w:r>
            <w:r w:rsidR="00A46C6E" w:rsidRPr="00A23740">
              <w:rPr>
                <w:rFonts w:eastAsia="Times New Roman"/>
                <w:b/>
                <w:bCs/>
                <w:color w:val="0000FF"/>
                <w:szCs w:val="24"/>
                <w:lang w:eastAsia="x-none"/>
              </w:rPr>
              <w:t xml:space="preserve"> </w:t>
            </w:r>
            <w:r w:rsidR="00A46C6E" w:rsidRPr="00A23740">
              <w:rPr>
                <w:rFonts w:eastAsia="Times New Roman"/>
                <w:szCs w:val="24"/>
                <w:lang w:eastAsia="tr-TR"/>
              </w:rPr>
              <w:t>Sıra cetvelinin</w:t>
            </w:r>
            <w:r w:rsidR="00A46C6E" w:rsidRPr="00A23740">
              <w:rPr>
                <w:rFonts w:eastAsia="Times New Roman"/>
                <w:b/>
                <w:bCs/>
                <w:color w:val="0000FF"/>
                <w:szCs w:val="24"/>
                <w:lang w:eastAsia="x-none"/>
              </w:rPr>
              <w:t xml:space="preserve"> altıncı </w:t>
            </w:r>
            <w:r w:rsidR="00A46C6E" w:rsidRPr="00A23740">
              <w:rPr>
                <w:rFonts w:eastAsia="Times New Roman"/>
                <w:szCs w:val="24"/>
                <w:lang w:eastAsia="tr-TR"/>
              </w:rPr>
              <w:t>sırasına,</w:t>
            </w:r>
            <w:r w:rsidR="00A46C6E" w:rsidRPr="00A23740">
              <w:rPr>
                <w:rFonts w:eastAsia="Times New Roman"/>
                <w:b/>
                <w:bCs/>
                <w:color w:val="0000FF"/>
                <w:szCs w:val="24"/>
                <w:lang w:eastAsia="x-none"/>
              </w:rPr>
              <w:t xml:space="preserve"> satılan</w:t>
            </w:r>
            <w:r w:rsidR="00A46C6E" w:rsidRPr="00A23740">
              <w:rPr>
                <w:rFonts w:eastAsia="Times New Roman"/>
                <w:szCs w:val="24"/>
                <w:lang w:eastAsia="tr-TR"/>
              </w:rPr>
              <w:t xml:space="preserve"> gemi</w:t>
            </w:r>
            <w:r w:rsidR="00A46C6E" w:rsidRPr="00A23740">
              <w:rPr>
                <w:rFonts w:eastAsia="Times New Roman"/>
                <w:b/>
                <w:bCs/>
                <w:color w:val="0000FF"/>
                <w:szCs w:val="24"/>
                <w:lang w:eastAsia="x-none"/>
              </w:rPr>
              <w:t xml:space="preserve">nin aynından doğan kamu alacakları </w:t>
            </w:r>
            <w:r w:rsidR="00A46C6E" w:rsidRPr="00A23740">
              <w:rPr>
                <w:rFonts w:eastAsia="Times New Roman"/>
                <w:szCs w:val="24"/>
                <w:lang w:eastAsia="tr-TR"/>
              </w:rPr>
              <w:t>kaydedilir.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55" w:name="_Hlk134296057"/>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486</w:t>
            </w:r>
            <w:r w:rsidR="00A46C6E" w:rsidRPr="00A23740">
              <w:rPr>
                <w:rFonts w:eastAsia="Times New Roman"/>
                <w:b/>
                <w:bCs/>
                <w:szCs w:val="24"/>
                <w:lang w:eastAsia="tr-TR"/>
              </w:rPr>
              <w:t xml:space="preserve">- </w:t>
            </w:r>
            <w:bookmarkStart w:id="56" w:name="_Hlk172878045"/>
            <w:r w:rsidR="00A46C6E" w:rsidRPr="00A23740">
              <w:rPr>
                <w:bCs/>
                <w:szCs w:val="24"/>
                <w:lang w:eastAsia="x-none"/>
              </w:rPr>
              <w:t xml:space="preserve">Maddeyle, altıncı sıraya </w:t>
            </w:r>
            <w:r w:rsidR="00A46C6E" w:rsidRPr="006C062A">
              <w:rPr>
                <w:bCs/>
                <w:szCs w:val="24"/>
                <w:lang w:eastAsia="x-none"/>
              </w:rPr>
              <w:t>kaydedilecek alacaklar</w:t>
            </w:r>
            <w:r w:rsidR="00A46C6E" w:rsidRPr="00A23740">
              <w:rPr>
                <w:bCs/>
                <w:szCs w:val="24"/>
                <w:lang w:eastAsia="x-none"/>
              </w:rPr>
              <w:t xml:space="preserve"> düzenlenmektedir.</w:t>
            </w:r>
            <w:bookmarkEnd w:id="56"/>
          </w:p>
          <w:p w:rsidR="00A46C6E" w:rsidRPr="00A23740" w:rsidRDefault="00A46C6E" w:rsidP="009431FF">
            <w:pPr>
              <w:ind w:firstLine="709"/>
              <w:rPr>
                <w:rFonts w:eastAsia="Times New Roman"/>
                <w:bCs/>
                <w:szCs w:val="24"/>
              </w:rPr>
            </w:pPr>
            <w:r w:rsidRPr="00A23740">
              <w:rPr>
                <w:rFonts w:eastAsia="Times New Roman"/>
                <w:bCs/>
                <w:szCs w:val="24"/>
              </w:rPr>
              <w:t>6102 sayılı Kanunun 1394 üncü maddesinde “… gümrük resm</w:t>
            </w:r>
            <w:r w:rsidR="00AC45AD" w:rsidRPr="00A23740">
              <w:rPr>
                <w:rFonts w:eastAsia="Times New Roman"/>
                <w:bCs/>
                <w:szCs w:val="24"/>
              </w:rPr>
              <w:t>î</w:t>
            </w:r>
            <w:r w:rsidRPr="00A23740">
              <w:rPr>
                <w:rFonts w:eastAsia="Times New Roman"/>
                <w:bCs/>
                <w:szCs w:val="24"/>
              </w:rPr>
              <w:t xml:space="preserve"> ve di</w:t>
            </w:r>
            <w:r w:rsidR="00335C53" w:rsidRPr="00A23740">
              <w:rPr>
                <w:rFonts w:eastAsia="Times New Roman"/>
                <w:bCs/>
                <w:szCs w:val="24"/>
              </w:rPr>
              <w:t>ğer vergiler …” denilmiş ise de</w:t>
            </w:r>
            <w:r w:rsidRPr="00A23740">
              <w:rPr>
                <w:rFonts w:eastAsia="Times New Roman"/>
                <w:bCs/>
                <w:szCs w:val="24"/>
              </w:rPr>
              <w:t xml:space="preserve"> altıncı sıraya kaydedilecek alacakların “gümrük resm</w:t>
            </w:r>
            <w:r w:rsidR="00AC45AD" w:rsidRPr="00A23740">
              <w:rPr>
                <w:rFonts w:eastAsia="Times New Roman"/>
                <w:bCs/>
                <w:szCs w:val="24"/>
              </w:rPr>
              <w:t>î</w:t>
            </w:r>
            <w:r w:rsidRPr="00A23740">
              <w:rPr>
                <w:rFonts w:eastAsia="Times New Roman"/>
                <w:bCs/>
                <w:szCs w:val="24"/>
              </w:rPr>
              <w:t xml:space="preserve"> ve diğer vergiler” gibi sınırlayıcı bir ifade kullanılmadan ve örnek olarak herhangi bir kamu alacağı da zikredilmeden “satılan geminin aynından doğan kamu alacakları” şeklinde ifade edilmesi tercih edilmiştir. </w:t>
            </w:r>
          </w:p>
          <w:bookmarkEnd w:id="55"/>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szCs w:val="24"/>
                <w:lang w:eastAsia="tr-TR"/>
              </w:rPr>
              <w:t>Yedinci sıra</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bCs/>
                <w:strike/>
                <w:color w:val="FF0000"/>
                <w:szCs w:val="24"/>
                <w:lang w:eastAsia="x-none"/>
              </w:rPr>
              <w:t>1396</w:t>
            </w:r>
            <w:r w:rsidRPr="00A23740">
              <w:rPr>
                <w:rFonts w:eastAsia="Times New Roman"/>
                <w:szCs w:val="24"/>
                <w:lang w:eastAsia="tr-TR"/>
              </w:rPr>
              <w:t xml:space="preserve">- (1) Sıra cetvelinin yedinci sırasına, </w:t>
            </w:r>
            <w:r w:rsidRPr="00136EBC">
              <w:rPr>
                <w:rStyle w:val="KIRMIZIChar"/>
                <w:rFonts w:eastAsia="Calibri"/>
              </w:rPr>
              <w:t>1352 nci</w:t>
            </w:r>
            <w:r w:rsidRPr="00A23740">
              <w:rPr>
                <w:rFonts w:eastAsia="Times New Roman"/>
                <w:szCs w:val="24"/>
                <w:lang w:eastAsia="tr-TR"/>
              </w:rPr>
              <w:t xml:space="preserve"> maddede sayılan deniz alacaklarından </w:t>
            </w:r>
            <w:r w:rsidRPr="00136EBC">
              <w:rPr>
                <w:rStyle w:val="KIRMIZIChar"/>
                <w:rFonts w:eastAsia="Calibri"/>
              </w:rPr>
              <w:t>1390 ilâ 1395 inci</w:t>
            </w:r>
            <w:r w:rsidRPr="00A23740">
              <w:rPr>
                <w:rFonts w:eastAsia="Times New Roman"/>
                <w:szCs w:val="24"/>
                <w:lang w:eastAsia="tr-TR"/>
              </w:rPr>
              <w:t xml:space="preserve"> maddeler</w:t>
            </w:r>
            <w:r w:rsidRPr="00136EBC">
              <w:rPr>
                <w:rStyle w:val="KIRMIZIChar"/>
                <w:rFonts w:eastAsia="Calibri"/>
              </w:rPr>
              <w:t>e</w:t>
            </w:r>
            <w:r w:rsidRPr="00A23740">
              <w:rPr>
                <w:rFonts w:eastAsia="Times New Roman"/>
                <w:szCs w:val="24"/>
                <w:lang w:eastAsia="tr-TR"/>
              </w:rPr>
              <w:t xml:space="preserve"> </w:t>
            </w:r>
            <w:r w:rsidRPr="00284A3E">
              <w:rPr>
                <w:rStyle w:val="KIRMIZIChar"/>
                <w:rFonts w:eastAsia="Calibri"/>
              </w:rPr>
              <w:t>girmeyen alacaklar</w:t>
            </w:r>
            <w:r w:rsidRPr="00A23740">
              <w:rPr>
                <w:rFonts w:eastAsia="Times New Roman"/>
                <w:szCs w:val="24"/>
                <w:lang w:eastAsia="tr-TR"/>
              </w:rPr>
              <w:t xml:space="preserve"> kaydedilir.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A23740">
              <w:rPr>
                <w:rFonts w:eastAsia="Times New Roman"/>
                <w:szCs w:val="24"/>
                <w:lang w:eastAsia="tr-TR"/>
              </w:rPr>
              <w:t xml:space="preserve">(2) </w:t>
            </w:r>
            <w:r w:rsidRPr="00A23740">
              <w:rPr>
                <w:rFonts w:eastAsia="Times New Roman"/>
                <w:b/>
                <w:bCs/>
                <w:strike/>
                <w:color w:val="FF0000"/>
                <w:szCs w:val="24"/>
                <w:lang w:eastAsia="x-none"/>
              </w:rPr>
              <w:t>Birinci fıkrada sayılan alacakların sahipleri</w:t>
            </w:r>
            <w:r w:rsidRPr="00A23740">
              <w:rPr>
                <w:rFonts w:eastAsia="Times New Roman"/>
                <w:szCs w:val="24"/>
                <w:lang w:eastAsia="tr-TR"/>
              </w:rPr>
              <w:t>, kendi aralarında eşit hakka sahiptir.</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szCs w:val="24"/>
                <w:lang w:eastAsia="tr-TR"/>
              </w:rPr>
            </w:pPr>
            <w:r w:rsidRPr="00A23740">
              <w:rPr>
                <w:rFonts w:eastAsia="Times New Roman"/>
                <w:b/>
                <w:bCs/>
                <w:szCs w:val="24"/>
                <w:lang w:eastAsia="tr-TR"/>
              </w:rPr>
              <w:t xml:space="preserve">Yedinci sıra </w:t>
            </w:r>
          </w:p>
          <w:p w:rsidR="00A46C6E" w:rsidRPr="00A23740" w:rsidRDefault="00993A1A" w:rsidP="009431FF">
            <w:pPr>
              <w:rPr>
                <w:rFonts w:eastAsia="Times New Roman"/>
                <w:szCs w:val="24"/>
                <w:lang w:eastAsia="tr-TR"/>
              </w:rPr>
            </w:pPr>
            <w:r w:rsidRPr="00136EBC">
              <w:rPr>
                <w:rFonts w:eastAsia="Times New Roman"/>
                <w:b/>
                <w:bCs/>
                <w:color w:val="000000" w:themeColor="text1"/>
                <w:szCs w:val="24"/>
                <w:lang w:eastAsia="x-none"/>
              </w:rPr>
              <w:t xml:space="preserve">MADDE </w:t>
            </w:r>
            <w:r w:rsidRPr="00A23740">
              <w:rPr>
                <w:rFonts w:eastAsia="Times New Roman"/>
                <w:b/>
                <w:bCs/>
                <w:color w:val="0000FF"/>
                <w:szCs w:val="24"/>
                <w:lang w:eastAsia="x-none"/>
              </w:rPr>
              <w:t>487</w:t>
            </w:r>
            <w:r w:rsidR="00A46C6E" w:rsidRPr="00A23740">
              <w:rPr>
                <w:rFonts w:eastAsia="Times New Roman"/>
                <w:b/>
                <w:bCs/>
                <w:color w:val="0000FF"/>
                <w:szCs w:val="24"/>
                <w:lang w:eastAsia="x-none"/>
              </w:rPr>
              <w:t xml:space="preserve">- </w:t>
            </w:r>
            <w:r w:rsidR="00A46C6E" w:rsidRPr="00136EBC">
              <w:t>(1)</w:t>
            </w:r>
            <w:r w:rsidR="00A46C6E" w:rsidRPr="00A23740">
              <w:rPr>
                <w:rFonts w:eastAsia="Times New Roman"/>
                <w:szCs w:val="24"/>
                <w:lang w:eastAsia="tr-TR"/>
              </w:rPr>
              <w:t xml:space="preserve"> Sıra cetvelinin yedinci sırasına,</w:t>
            </w:r>
            <w:r w:rsidR="00F74680" w:rsidRPr="00A23740">
              <w:rPr>
                <w:rFonts w:eastAsia="Times New Roman"/>
                <w:szCs w:val="24"/>
                <w:lang w:eastAsia="tr-TR"/>
              </w:rPr>
              <w:t xml:space="preserve"> </w:t>
            </w:r>
            <w:r w:rsidR="00F74680" w:rsidRPr="006C062A">
              <w:rPr>
                <w:rStyle w:val="KonuBalChar"/>
                <w:rFonts w:eastAsia="Calibri"/>
                <w:color w:val="0000FF"/>
              </w:rPr>
              <w:t>493 üncü</w:t>
            </w:r>
            <w:r w:rsidR="00A46C6E" w:rsidRPr="00A23740">
              <w:rPr>
                <w:rFonts w:eastAsia="Times New Roman"/>
                <w:szCs w:val="24"/>
                <w:lang w:eastAsia="tr-TR"/>
              </w:rPr>
              <w:t xml:space="preserve"> maddede sayılan deniz alacaklarından</w:t>
            </w:r>
            <w:r w:rsidR="00F74680" w:rsidRPr="00A23740">
              <w:rPr>
                <w:rFonts w:eastAsia="Times New Roman"/>
                <w:szCs w:val="24"/>
                <w:lang w:eastAsia="tr-TR"/>
              </w:rPr>
              <w:t xml:space="preserve"> </w:t>
            </w:r>
            <w:r w:rsidR="00A127B1">
              <w:rPr>
                <w:rStyle w:val="KonuBalChar"/>
                <w:rFonts w:eastAsia="Calibri"/>
                <w:color w:val="0000FF"/>
              </w:rPr>
              <w:t>481 ila</w:t>
            </w:r>
            <w:r w:rsidR="00F74680" w:rsidRPr="006C062A">
              <w:rPr>
                <w:rStyle w:val="KonuBalChar"/>
                <w:rFonts w:eastAsia="Calibri"/>
                <w:color w:val="0000FF"/>
              </w:rPr>
              <w:t xml:space="preserve"> 486 ncı</w:t>
            </w:r>
            <w:r w:rsidR="00A46C6E" w:rsidRPr="00A23740">
              <w:rPr>
                <w:rFonts w:eastAsia="Times New Roman"/>
                <w:szCs w:val="24"/>
                <w:lang w:eastAsia="tr-TR"/>
              </w:rPr>
              <w:t xml:space="preserve"> maddeler</w:t>
            </w:r>
            <w:r w:rsidR="00A46C6E" w:rsidRPr="00A23740">
              <w:rPr>
                <w:b/>
                <w:bCs/>
                <w:color w:val="FF0000"/>
                <w:lang w:val="x-none" w:eastAsia="x-none"/>
              </w:rPr>
              <w:t xml:space="preserve"> </w:t>
            </w:r>
            <w:r w:rsidR="00A46C6E" w:rsidRPr="00A23740">
              <w:rPr>
                <w:rFonts w:eastAsia="Times New Roman"/>
                <w:b/>
                <w:bCs/>
                <w:color w:val="0000FF"/>
                <w:szCs w:val="24"/>
                <w:lang w:eastAsia="x-none"/>
              </w:rPr>
              <w:t xml:space="preserve">kapsamında </w:t>
            </w:r>
            <w:r w:rsidR="0097282D" w:rsidRPr="006C062A">
              <w:rPr>
                <w:rStyle w:val="YELChar"/>
                <w:color w:val="0000FF"/>
              </w:rPr>
              <w:t>olmayanları</w:t>
            </w:r>
            <w:r w:rsidR="0097282D" w:rsidRPr="00A23740">
              <w:rPr>
                <w:rFonts w:eastAsia="Times New Roman"/>
                <w:szCs w:val="24"/>
                <w:lang w:eastAsia="tr-TR"/>
              </w:rPr>
              <w:t xml:space="preserve"> </w:t>
            </w:r>
            <w:r w:rsidR="00A46C6E" w:rsidRPr="00A23740">
              <w:rPr>
                <w:rFonts w:eastAsia="Times New Roman"/>
                <w:szCs w:val="24"/>
                <w:lang w:eastAsia="tr-TR"/>
              </w:rPr>
              <w:t>kaydedilir.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284A3E">
              <w:t>(2)</w:t>
            </w:r>
            <w:r w:rsidRPr="00A23740">
              <w:rPr>
                <w:rFonts w:eastAsia="Times New Roman"/>
                <w:b/>
                <w:bCs/>
                <w:color w:val="0000FF"/>
                <w:szCs w:val="24"/>
                <w:lang w:eastAsia="x-none"/>
              </w:rPr>
              <w:t xml:space="preserve"> Bu sıranın alacaklıları,</w:t>
            </w:r>
            <w:r w:rsidRPr="00A23740">
              <w:rPr>
                <w:rFonts w:eastAsia="Times New Roman"/>
                <w:szCs w:val="24"/>
                <w:lang w:eastAsia="tr-TR"/>
              </w:rPr>
              <w:t xml:space="preserve"> kendi aralarında </w:t>
            </w:r>
            <w:r w:rsidRPr="00A23740">
              <w:rPr>
                <w:rFonts w:eastAsia="Times New Roman"/>
                <w:b/>
                <w:bCs/>
                <w:color w:val="0000FF"/>
                <w:szCs w:val="24"/>
                <w:lang w:eastAsia="x-none"/>
              </w:rPr>
              <w:t>alacakları oranında</w:t>
            </w:r>
            <w:r w:rsidRPr="00A23740">
              <w:rPr>
                <w:rFonts w:eastAsia="Times New Roman"/>
                <w:szCs w:val="24"/>
                <w:lang w:eastAsia="tr-TR"/>
              </w:rPr>
              <w:t xml:space="preserve"> eşit hakka </w:t>
            </w:r>
            <w:r w:rsidR="0097282D" w:rsidRPr="006C062A">
              <w:rPr>
                <w:rStyle w:val="YELChar"/>
                <w:color w:val="0000FF"/>
              </w:rPr>
              <w:t>sahiptirler</w:t>
            </w:r>
            <w:r w:rsidRPr="00A23740">
              <w:rPr>
                <w:rFonts w:eastAsia="Times New Roman"/>
                <w:szCs w:val="24"/>
                <w:lang w:eastAsia="tr-TR"/>
              </w:rPr>
              <w:t>.</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57" w:name="_Hlk134296030"/>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487</w:t>
            </w:r>
            <w:r w:rsidR="00A46C6E" w:rsidRPr="00A23740">
              <w:rPr>
                <w:rFonts w:eastAsia="Times New Roman"/>
                <w:b/>
                <w:bCs/>
                <w:szCs w:val="24"/>
                <w:lang w:eastAsia="tr-TR"/>
              </w:rPr>
              <w:t xml:space="preserve">- </w:t>
            </w:r>
            <w:bookmarkStart w:id="58" w:name="_Hlk172877970"/>
            <w:r w:rsidR="00A46C6E" w:rsidRPr="00A23740">
              <w:rPr>
                <w:bCs/>
                <w:szCs w:val="24"/>
                <w:lang w:eastAsia="x-none"/>
              </w:rPr>
              <w:t xml:space="preserve">Maddeyle, yedinci sıraya </w:t>
            </w:r>
            <w:r w:rsidR="00A46C6E" w:rsidRPr="006C062A">
              <w:rPr>
                <w:bCs/>
                <w:szCs w:val="24"/>
                <w:lang w:eastAsia="x-none"/>
              </w:rPr>
              <w:t>kaydedilecek alacaklar</w:t>
            </w:r>
            <w:r w:rsidR="00A46C6E" w:rsidRPr="00A23740">
              <w:rPr>
                <w:bCs/>
                <w:szCs w:val="24"/>
                <w:lang w:eastAsia="x-none"/>
              </w:rPr>
              <w:t xml:space="preserve"> düzenlenmektedir.</w:t>
            </w:r>
            <w:bookmarkEnd w:id="58"/>
          </w:p>
          <w:p w:rsidR="00A46C6E" w:rsidRPr="00A23740" w:rsidRDefault="00A46C6E" w:rsidP="009431FF">
            <w:pPr>
              <w:ind w:firstLine="709"/>
              <w:rPr>
                <w:rFonts w:eastAsia="Times New Roman"/>
                <w:bCs/>
                <w:szCs w:val="24"/>
              </w:rPr>
            </w:pPr>
            <w:r w:rsidRPr="00A23740">
              <w:rPr>
                <w:rFonts w:eastAsia="Times New Roman"/>
                <w:bCs/>
                <w:szCs w:val="24"/>
              </w:rPr>
              <w:t xml:space="preserve">Taslağın </w:t>
            </w:r>
            <w:r w:rsidR="00F74680" w:rsidRPr="006C062A">
              <w:rPr>
                <w:bCs/>
                <w:szCs w:val="24"/>
                <w:lang w:eastAsia="x-none"/>
              </w:rPr>
              <w:t>493</w:t>
            </w:r>
            <w:r w:rsidR="00F74680" w:rsidRPr="00A23740">
              <w:rPr>
                <w:rStyle w:val="KonuBalChar"/>
                <w:rFonts w:eastAsia="Calibri"/>
              </w:rPr>
              <w:t xml:space="preserve"> </w:t>
            </w:r>
            <w:r w:rsidR="00F74680" w:rsidRPr="006C062A">
              <w:rPr>
                <w:bCs/>
                <w:szCs w:val="24"/>
                <w:lang w:eastAsia="x-none"/>
              </w:rPr>
              <w:t>üncü</w:t>
            </w:r>
            <w:r w:rsidR="00F74680" w:rsidRPr="00A23740">
              <w:rPr>
                <w:rFonts w:eastAsia="Times New Roman"/>
                <w:szCs w:val="24"/>
                <w:lang w:eastAsia="tr-TR"/>
              </w:rPr>
              <w:t xml:space="preserve"> </w:t>
            </w:r>
            <w:r w:rsidRPr="00A23740">
              <w:rPr>
                <w:rFonts w:eastAsia="Times New Roman"/>
                <w:bCs/>
                <w:szCs w:val="24"/>
              </w:rPr>
              <w:t>maddesinde sayılan ve önceki sıralara kaydedilecek alacaklar kapsamında olmayan deniz alacakları, geminin işletilmesi, yönetimi, bakımı ve korunması için verilen hizmetlerden doğan ya da sigorta primi gibi ödemelerden kaynaklanan alacaklar olup, bu alacakların geminin satış bedelinden alacağını tahsil edebilecek diğer alacaklılara göre öncelikli olması menfaatler dengesine uygun görülmüştür. Bu nedenle önceki sıralara kaydedilecek alacaklar kapsamında olmayan deniz alacaklarının yedinci sıraya kaydedileceğine dair 6102 sayılı Kanunun 1396 ncı madde</w:t>
            </w:r>
            <w:r w:rsidR="00361BB5" w:rsidRPr="00A23740">
              <w:rPr>
                <w:rFonts w:eastAsia="Times New Roman"/>
                <w:bCs/>
                <w:szCs w:val="24"/>
              </w:rPr>
              <w:t>si</w:t>
            </w:r>
            <w:r w:rsidRPr="00A23740">
              <w:rPr>
                <w:rFonts w:eastAsia="Times New Roman"/>
                <w:bCs/>
                <w:szCs w:val="24"/>
              </w:rPr>
              <w:t xml:space="preserve">nin birinci fıkrası, sadece atıf yapılan maddeler değiştirilmek suretiyle, maddenin birinci fıkrasına alınmıştır. </w:t>
            </w:r>
          </w:p>
          <w:p w:rsidR="00A46C6E" w:rsidRPr="00A23740" w:rsidRDefault="00A46C6E" w:rsidP="009431FF">
            <w:pPr>
              <w:ind w:firstLine="709"/>
              <w:rPr>
                <w:rFonts w:eastAsia="Times New Roman"/>
                <w:bCs/>
                <w:szCs w:val="24"/>
              </w:rPr>
            </w:pPr>
            <w:r w:rsidRPr="00A23740">
              <w:rPr>
                <w:rFonts w:eastAsia="Times New Roman"/>
                <w:bCs/>
                <w:szCs w:val="24"/>
              </w:rPr>
              <w:t>6102 sayılı Kanunun 1396 ncı maddesinin ikinci fıkrası “</w:t>
            </w:r>
            <w:r w:rsidRPr="00A23740">
              <w:rPr>
                <w:rFonts w:eastAsia="Times New Roman"/>
                <w:bCs/>
                <w:i/>
                <w:iCs/>
                <w:szCs w:val="24"/>
              </w:rPr>
              <w:t>alacakları oranında</w:t>
            </w:r>
            <w:r w:rsidRPr="00A23740">
              <w:rPr>
                <w:rFonts w:eastAsia="Times New Roman"/>
                <w:bCs/>
                <w:szCs w:val="24"/>
              </w:rPr>
              <w:t>” ibaresinin ilavesi</w:t>
            </w:r>
            <w:r w:rsidR="00361BB5" w:rsidRPr="00A23740">
              <w:rPr>
                <w:rFonts w:eastAsia="Times New Roman"/>
                <w:bCs/>
                <w:szCs w:val="24"/>
              </w:rPr>
              <w:t>yle</w:t>
            </w:r>
            <w:r w:rsidRPr="00A23740">
              <w:rPr>
                <w:rFonts w:eastAsia="Times New Roman"/>
                <w:bCs/>
                <w:szCs w:val="24"/>
              </w:rPr>
              <w:t xml:space="preserve"> maddenin ikinci fıkrasına alınmıştır. </w:t>
            </w:r>
          </w:p>
          <w:bookmarkEnd w:id="57"/>
          <w:p w:rsidR="00A46C6E" w:rsidRPr="00A23740" w:rsidRDefault="00A46C6E" w:rsidP="00196116">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strike/>
                <w:color w:val="FF0000"/>
                <w:szCs w:val="24"/>
                <w:lang w:eastAsia="x-none"/>
              </w:rPr>
              <w:t>i)</w:t>
            </w:r>
            <w:r w:rsidRPr="00A23740">
              <w:rPr>
                <w:rFonts w:eastAsia="Times New Roman"/>
                <w:b/>
                <w:bCs/>
                <w:szCs w:val="24"/>
                <w:lang w:eastAsia="tr-TR"/>
              </w:rPr>
              <w:t xml:space="preserve"> Sekizinci sıra</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bCs/>
                <w:strike/>
                <w:color w:val="FF0000"/>
                <w:szCs w:val="24"/>
                <w:lang w:eastAsia="x-none"/>
              </w:rPr>
              <w:t>1397</w:t>
            </w:r>
            <w:r w:rsidRPr="00A23740">
              <w:rPr>
                <w:rFonts w:eastAsia="Times New Roman"/>
                <w:szCs w:val="24"/>
                <w:lang w:eastAsia="tr-TR"/>
              </w:rPr>
              <w:t xml:space="preserve">- (1) Sıra cetvelinin sekizinci sırasına, </w:t>
            </w:r>
            <w:r w:rsidRPr="00A23740">
              <w:rPr>
                <w:rFonts w:eastAsia="Times New Roman"/>
                <w:b/>
                <w:bCs/>
                <w:strike/>
                <w:color w:val="FF0000"/>
                <w:szCs w:val="24"/>
                <w:lang w:eastAsia="x-none"/>
              </w:rPr>
              <w:t xml:space="preserve">İcra ve İflas </w:t>
            </w:r>
            <w:r w:rsidRPr="00A23740">
              <w:rPr>
                <w:b/>
                <w:bCs/>
                <w:strike/>
                <w:color w:val="FF0000"/>
                <w:lang w:val="x-none" w:eastAsia="x-none"/>
              </w:rPr>
              <w:t>Kanununun 206 ncı</w:t>
            </w:r>
            <w:r w:rsidRPr="00A23740">
              <w:rPr>
                <w:rFonts w:eastAsia="Times New Roman"/>
                <w:szCs w:val="24"/>
                <w:lang w:eastAsia="tr-TR"/>
              </w:rPr>
              <w:t xml:space="preserve"> madde</w:t>
            </w:r>
            <w:r w:rsidRPr="00A23740">
              <w:rPr>
                <w:b/>
                <w:bCs/>
                <w:strike/>
                <w:color w:val="FF0000"/>
                <w:lang w:val="x-none" w:eastAsia="x-none"/>
              </w:rPr>
              <w:t>si</w:t>
            </w:r>
            <w:r w:rsidRPr="00A23740">
              <w:rPr>
                <w:rFonts w:eastAsia="Times New Roman"/>
                <w:szCs w:val="24"/>
                <w:lang w:eastAsia="tr-TR"/>
              </w:rPr>
              <w:t xml:space="preserve">nin dördüncü fıkrasında </w:t>
            </w:r>
            <w:r w:rsidRPr="00284A3E">
              <w:rPr>
                <w:rStyle w:val="KIRMIZIChar"/>
                <w:rFonts w:eastAsia="Calibri"/>
              </w:rPr>
              <w:t>sıralanan</w:t>
            </w:r>
            <w:r w:rsidRPr="00A23740">
              <w:rPr>
                <w:rFonts w:eastAsia="Times New Roman"/>
                <w:szCs w:val="24"/>
                <w:lang w:eastAsia="tr-TR"/>
              </w:rPr>
              <w:t xml:space="preserve"> alacaklar kaydedilir.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b/>
                <w:strike/>
                <w:color w:val="FF0000"/>
                <w:szCs w:val="24"/>
                <w:lang w:eastAsia="x-none"/>
              </w:rPr>
            </w:pPr>
            <w:r w:rsidRPr="00284A3E">
              <w:t>(2)</w:t>
            </w:r>
            <w:r w:rsidRPr="00284A3E">
              <w:rPr>
                <w:rFonts w:eastAsia="Times New Roman"/>
                <w:b/>
                <w:color w:val="FF0000"/>
                <w:szCs w:val="24"/>
                <w:lang w:eastAsia="x-none"/>
              </w:rPr>
              <w:t xml:space="preserve"> </w:t>
            </w:r>
            <w:r w:rsidRPr="00A23740">
              <w:rPr>
                <w:rFonts w:eastAsia="Times New Roman"/>
                <w:b/>
                <w:strike/>
                <w:color w:val="FF0000"/>
                <w:szCs w:val="24"/>
                <w:lang w:eastAsia="x-none"/>
              </w:rPr>
              <w:t>Birinci fıkrada sayılan alacakların sahipleri, kendi aralarında eşit hakka sahiptir.</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jc w:val="left"/>
              <w:rPr>
                <w:rFonts w:eastAsia="Times New Roman"/>
                <w:b/>
                <w:bCs/>
                <w:szCs w:val="24"/>
                <w:lang w:eastAsia="tr-TR"/>
              </w:rPr>
            </w:pPr>
            <w:r w:rsidRPr="00A23740">
              <w:rPr>
                <w:rFonts w:eastAsia="Times New Roman"/>
                <w:b/>
                <w:bCs/>
                <w:szCs w:val="24"/>
                <w:lang w:eastAsia="tr-TR"/>
              </w:rPr>
              <w:t xml:space="preserve">Sekizinci sıra </w:t>
            </w:r>
          </w:p>
          <w:p w:rsidR="00A46C6E" w:rsidRPr="00A23740" w:rsidRDefault="00993A1A" w:rsidP="009431FF">
            <w:pPr>
              <w:rPr>
                <w:rFonts w:eastAsia="Times New Roman"/>
                <w:szCs w:val="24"/>
                <w:lang w:eastAsia="tr-TR"/>
              </w:rPr>
            </w:pPr>
            <w:r w:rsidRPr="00284A3E">
              <w:rPr>
                <w:rFonts w:eastAsia="Times New Roman"/>
                <w:b/>
                <w:bCs/>
                <w:color w:val="000000" w:themeColor="text1"/>
                <w:szCs w:val="24"/>
                <w:lang w:eastAsia="x-none"/>
              </w:rPr>
              <w:t xml:space="preserve">MADDE </w:t>
            </w:r>
            <w:r w:rsidRPr="00A23740">
              <w:rPr>
                <w:rFonts w:eastAsia="Times New Roman"/>
                <w:b/>
                <w:bCs/>
                <w:color w:val="0000FF"/>
                <w:szCs w:val="24"/>
                <w:lang w:eastAsia="x-none"/>
              </w:rPr>
              <w:t>488</w:t>
            </w:r>
            <w:r w:rsidR="00A46C6E" w:rsidRPr="00A23740">
              <w:rPr>
                <w:rFonts w:eastAsia="Times New Roman"/>
                <w:b/>
                <w:bCs/>
                <w:color w:val="0000FF"/>
                <w:szCs w:val="24"/>
                <w:lang w:eastAsia="x-none"/>
              </w:rPr>
              <w:t xml:space="preserve">- </w:t>
            </w:r>
            <w:r w:rsidR="00A46C6E" w:rsidRPr="00284A3E">
              <w:t>(1)</w:t>
            </w:r>
            <w:r w:rsidR="00A46C6E" w:rsidRPr="00A23740">
              <w:rPr>
                <w:rFonts w:eastAsia="Times New Roman"/>
                <w:szCs w:val="24"/>
                <w:lang w:eastAsia="tr-TR"/>
              </w:rPr>
              <w:t xml:space="preserve"> Sıra cetvelinin sekizinci sırasına, </w:t>
            </w:r>
            <w:r w:rsidR="003479C5" w:rsidRPr="006C062A">
              <w:rPr>
                <w:rStyle w:val="KonuBalChar"/>
                <w:rFonts w:eastAsia="Calibri"/>
                <w:color w:val="0000FF"/>
              </w:rPr>
              <w:t>317</w:t>
            </w:r>
            <w:r w:rsidR="003479C5" w:rsidRPr="00A23740">
              <w:rPr>
                <w:rStyle w:val="KonuBalChar"/>
                <w:rFonts w:eastAsia="Calibri"/>
              </w:rPr>
              <w:t xml:space="preserve"> </w:t>
            </w:r>
            <w:r w:rsidR="003479C5" w:rsidRPr="006C062A">
              <w:rPr>
                <w:rStyle w:val="KonuBalChar"/>
                <w:rFonts w:eastAsia="Calibri"/>
                <w:color w:val="0000FF"/>
              </w:rPr>
              <w:t>nci</w:t>
            </w:r>
            <w:r w:rsidR="003479C5" w:rsidRPr="00A23740">
              <w:rPr>
                <w:rFonts w:eastAsia="Times New Roman"/>
                <w:bCs/>
                <w:szCs w:val="24"/>
              </w:rPr>
              <w:t xml:space="preserve"> </w:t>
            </w:r>
            <w:r w:rsidR="00A46C6E" w:rsidRPr="00A23740">
              <w:rPr>
                <w:rFonts w:eastAsia="Times New Roman"/>
                <w:szCs w:val="24"/>
                <w:lang w:eastAsia="tr-TR"/>
              </w:rPr>
              <w:t xml:space="preserve">maddenin dördüncü fıkrasında </w:t>
            </w:r>
            <w:r w:rsidR="00A46C6E" w:rsidRPr="00A23740">
              <w:rPr>
                <w:rFonts w:eastAsia="Times New Roman"/>
                <w:b/>
                <w:bCs/>
                <w:color w:val="0000FF"/>
                <w:szCs w:val="24"/>
                <w:lang w:eastAsia="x-none"/>
              </w:rPr>
              <w:t>sayılan</w:t>
            </w:r>
            <w:r w:rsidR="00A46C6E" w:rsidRPr="00A23740">
              <w:rPr>
                <w:rFonts w:eastAsia="Times New Roman"/>
                <w:szCs w:val="24"/>
                <w:lang w:eastAsia="tr-TR"/>
              </w:rPr>
              <w:t xml:space="preserve"> alacaklar</w:t>
            </w:r>
            <w:r w:rsidR="00A46C6E" w:rsidRPr="00A23740">
              <w:rPr>
                <w:rFonts w:eastAsia="Times New Roman"/>
                <w:b/>
                <w:bCs/>
                <w:color w:val="0000FF"/>
                <w:szCs w:val="24"/>
                <w:lang w:eastAsia="x-none"/>
              </w:rPr>
              <w:t xml:space="preserve">, bu fıkrada belirtilen </w:t>
            </w:r>
            <w:r w:rsidR="0097282D" w:rsidRPr="006C062A">
              <w:rPr>
                <w:rStyle w:val="YELChar"/>
                <w:color w:val="0000FF"/>
              </w:rPr>
              <w:t>sırayla</w:t>
            </w:r>
            <w:r w:rsidR="0097282D" w:rsidRPr="00A23740">
              <w:rPr>
                <w:rFonts w:eastAsia="Times New Roman"/>
                <w:szCs w:val="24"/>
                <w:lang w:eastAsia="tr-TR"/>
              </w:rPr>
              <w:t xml:space="preserve"> </w:t>
            </w:r>
            <w:r w:rsidR="00A46C6E" w:rsidRPr="00A23740">
              <w:rPr>
                <w:rFonts w:eastAsia="Times New Roman"/>
                <w:szCs w:val="24"/>
                <w:lang w:eastAsia="tr-TR"/>
              </w:rPr>
              <w:t>kaydedilir.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b/>
                <w:bCs/>
                <w:color w:val="0000FF"/>
                <w:szCs w:val="24"/>
                <w:lang w:eastAsia="x-none"/>
              </w:rPr>
            </w:pPr>
            <w:r w:rsidRPr="00284A3E">
              <w:t>(2)</w:t>
            </w:r>
            <w:r w:rsidRPr="00A23740">
              <w:rPr>
                <w:rFonts w:eastAsia="Times New Roman"/>
                <w:b/>
                <w:bCs/>
                <w:color w:val="0000FF"/>
                <w:szCs w:val="24"/>
                <w:lang w:eastAsia="x-none"/>
              </w:rPr>
              <w:t xml:space="preserve"> Bu sıralar arasındaki ilişkide Kanunun</w:t>
            </w:r>
            <w:r w:rsidR="003479C5" w:rsidRPr="00A23740">
              <w:rPr>
                <w:rFonts w:eastAsia="Times New Roman"/>
                <w:b/>
                <w:bCs/>
                <w:color w:val="0000FF"/>
                <w:szCs w:val="24"/>
                <w:lang w:eastAsia="x-none"/>
              </w:rPr>
              <w:t xml:space="preserve"> </w:t>
            </w:r>
            <w:r w:rsidR="003479C5" w:rsidRPr="006C062A">
              <w:rPr>
                <w:rStyle w:val="KonuBalChar"/>
                <w:rFonts w:eastAsia="Calibri"/>
                <w:color w:val="0000FF"/>
              </w:rPr>
              <w:t>318</w:t>
            </w:r>
            <w:r w:rsidR="003479C5" w:rsidRPr="00A23740">
              <w:rPr>
                <w:rStyle w:val="KonuBalChar"/>
                <w:rFonts w:eastAsia="Calibri"/>
              </w:rPr>
              <w:t xml:space="preserve"> </w:t>
            </w:r>
            <w:r w:rsidR="003479C5" w:rsidRPr="006C062A">
              <w:rPr>
                <w:rStyle w:val="KonuBalChar"/>
                <w:rFonts w:eastAsia="Calibri"/>
                <w:color w:val="0000FF"/>
              </w:rPr>
              <w:t>inci</w:t>
            </w:r>
            <w:r w:rsidRPr="00A23740">
              <w:rPr>
                <w:rFonts w:eastAsia="Times New Roman"/>
                <w:b/>
                <w:bCs/>
                <w:color w:val="0000FF"/>
                <w:szCs w:val="24"/>
                <w:lang w:eastAsia="x-none"/>
              </w:rPr>
              <w:t xml:space="preserve"> maddesi uygulanır.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59" w:name="_Hlk134295994"/>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488</w:t>
            </w:r>
            <w:r w:rsidR="00A46C6E" w:rsidRPr="00A23740">
              <w:rPr>
                <w:rFonts w:eastAsia="Times New Roman"/>
                <w:b/>
                <w:bCs/>
                <w:szCs w:val="24"/>
                <w:lang w:eastAsia="tr-TR"/>
              </w:rPr>
              <w:t xml:space="preserve">- </w:t>
            </w:r>
            <w:r w:rsidR="00A46C6E" w:rsidRPr="00A23740">
              <w:rPr>
                <w:bCs/>
                <w:szCs w:val="24"/>
                <w:lang w:eastAsia="x-none"/>
              </w:rPr>
              <w:t xml:space="preserve">Maddeyle, sekizinci sıraya </w:t>
            </w:r>
            <w:r w:rsidR="00A46C6E" w:rsidRPr="006C062A">
              <w:rPr>
                <w:bCs/>
                <w:szCs w:val="24"/>
                <w:lang w:eastAsia="x-none"/>
              </w:rPr>
              <w:t>kaydedilecek</w:t>
            </w:r>
            <w:r w:rsidR="00A46C6E" w:rsidRPr="006C062A">
              <w:rPr>
                <w:b/>
                <w:bCs/>
                <w:lang w:eastAsia="x-none"/>
              </w:rPr>
              <w:t xml:space="preserve"> </w:t>
            </w:r>
            <w:r w:rsidR="00A46C6E" w:rsidRPr="006C062A">
              <w:rPr>
                <w:bCs/>
                <w:szCs w:val="24"/>
                <w:lang w:eastAsia="x-none"/>
              </w:rPr>
              <w:t>alacaklar</w:t>
            </w:r>
            <w:r w:rsidR="00A46C6E" w:rsidRPr="00A23740">
              <w:rPr>
                <w:bCs/>
                <w:szCs w:val="24"/>
                <w:lang w:eastAsia="x-none"/>
              </w:rPr>
              <w:t xml:space="preserve"> düzenlenmektedir.</w:t>
            </w:r>
          </w:p>
          <w:p w:rsidR="00A46C6E" w:rsidRPr="006C062A" w:rsidRDefault="00A46C6E" w:rsidP="009431FF">
            <w:pPr>
              <w:ind w:firstLine="709"/>
              <w:rPr>
                <w:bCs/>
                <w:szCs w:val="24"/>
                <w:lang w:eastAsia="x-none"/>
              </w:rPr>
            </w:pPr>
            <w:r w:rsidRPr="00A23740">
              <w:rPr>
                <w:rFonts w:eastAsia="Times New Roman"/>
                <w:bCs/>
                <w:szCs w:val="24"/>
              </w:rPr>
              <w:t>6102 sayılı Kanunun 1397 nci maddesinin birinci fıkrası, ifadesi ve 2004 sayılı Kanunun 206 ıncı maddesine yapılan atıf</w:t>
            </w:r>
            <w:r w:rsidR="005D2631" w:rsidRPr="00A23740">
              <w:rPr>
                <w:rFonts w:eastAsia="Times New Roman"/>
                <w:bCs/>
                <w:szCs w:val="24"/>
              </w:rPr>
              <w:t xml:space="preserve"> </w:t>
            </w:r>
            <w:r w:rsidR="005D2631" w:rsidRPr="006C062A">
              <w:rPr>
                <w:bCs/>
                <w:szCs w:val="24"/>
                <w:lang w:eastAsia="x-none"/>
              </w:rPr>
              <w:t>Taslağın</w:t>
            </w:r>
            <w:r w:rsidR="005D2631" w:rsidRPr="006C062A">
              <w:rPr>
                <w:b/>
                <w:szCs w:val="24"/>
              </w:rPr>
              <w:t xml:space="preserve"> </w:t>
            </w:r>
            <w:r w:rsidR="005D2631" w:rsidRPr="006C062A">
              <w:rPr>
                <w:bCs/>
                <w:szCs w:val="24"/>
                <w:lang w:eastAsia="x-none"/>
              </w:rPr>
              <w:t>317</w:t>
            </w:r>
            <w:r w:rsidR="005D2631" w:rsidRPr="006C062A">
              <w:rPr>
                <w:b/>
                <w:szCs w:val="24"/>
              </w:rPr>
              <w:t xml:space="preserve"> </w:t>
            </w:r>
            <w:r w:rsidR="005D2631" w:rsidRPr="006C062A">
              <w:rPr>
                <w:bCs/>
                <w:szCs w:val="24"/>
                <w:lang w:eastAsia="x-none"/>
              </w:rPr>
              <w:t>nci maddesi şeklinde</w:t>
            </w:r>
            <w:r w:rsidRPr="006C062A">
              <w:rPr>
                <w:bCs/>
                <w:szCs w:val="24"/>
                <w:lang w:eastAsia="x-none"/>
              </w:rPr>
              <w:t xml:space="preserve"> değiştirilmek suretiyle</w:t>
            </w:r>
            <w:r w:rsidR="00361BB5" w:rsidRPr="006C062A">
              <w:rPr>
                <w:bCs/>
                <w:szCs w:val="24"/>
                <w:lang w:eastAsia="x-none"/>
              </w:rPr>
              <w:t>,</w:t>
            </w:r>
            <w:r w:rsidRPr="006C062A">
              <w:rPr>
                <w:bCs/>
                <w:szCs w:val="24"/>
                <w:lang w:eastAsia="x-none"/>
              </w:rPr>
              <w:t xml:space="preserve"> maddenin birinci fıkrasına alınmıştır.</w:t>
            </w:r>
          </w:p>
          <w:p w:rsidR="00A46C6E" w:rsidRPr="00A23740" w:rsidRDefault="00A46C6E" w:rsidP="009431FF">
            <w:pPr>
              <w:ind w:firstLine="709"/>
              <w:rPr>
                <w:rFonts w:eastAsia="Times New Roman"/>
                <w:bCs/>
                <w:szCs w:val="24"/>
              </w:rPr>
            </w:pPr>
            <w:r w:rsidRPr="00A23740">
              <w:rPr>
                <w:rFonts w:eastAsia="Times New Roman"/>
                <w:bCs/>
                <w:szCs w:val="24"/>
              </w:rPr>
              <w:t xml:space="preserve">6102 sayılı Kanunun 1397 nci maddesinin ikinci fıkrası yerine “sekizinci sıraya kaydedilen alacakların sıraları arasındaki ilişkide Taslağın </w:t>
            </w:r>
            <w:r w:rsidR="002D10E1" w:rsidRPr="006C062A">
              <w:rPr>
                <w:bCs/>
                <w:szCs w:val="24"/>
                <w:lang w:eastAsia="x-none"/>
              </w:rPr>
              <w:t>318</w:t>
            </w:r>
            <w:r w:rsidR="002D10E1" w:rsidRPr="00A23740">
              <w:rPr>
                <w:rStyle w:val="KonuBalChar"/>
                <w:rFonts w:eastAsia="Calibri"/>
              </w:rPr>
              <w:t xml:space="preserve"> </w:t>
            </w:r>
            <w:r w:rsidR="002D10E1" w:rsidRPr="006C062A">
              <w:rPr>
                <w:bCs/>
                <w:szCs w:val="24"/>
                <w:lang w:eastAsia="x-none"/>
              </w:rPr>
              <w:t>inci</w:t>
            </w:r>
            <w:r w:rsidRPr="00A23740">
              <w:rPr>
                <w:rFonts w:eastAsia="Times New Roman"/>
                <w:bCs/>
                <w:szCs w:val="24"/>
              </w:rPr>
              <w:t xml:space="preserve"> maddesinin uygulanması” kabul edilerek bu husus maddenin ikinci fıkra</w:t>
            </w:r>
            <w:r w:rsidR="00993A1A" w:rsidRPr="00A23740">
              <w:rPr>
                <w:rFonts w:eastAsia="Times New Roman"/>
                <w:bCs/>
                <w:szCs w:val="24"/>
              </w:rPr>
              <w:t xml:space="preserve">sında hüküm altına alınmıştır. </w:t>
            </w:r>
          </w:p>
          <w:bookmarkEnd w:id="59"/>
          <w:p w:rsidR="00A46C6E" w:rsidRPr="00A23740" w:rsidRDefault="00A46C6E" w:rsidP="00196116">
            <w:pPr>
              <w:rPr>
                <w:rFonts w:eastAsia="Times New Roman"/>
                <w:b/>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b/>
                <w:strike/>
                <w:color w:val="FF0000"/>
                <w:szCs w:val="24"/>
                <w:lang w:eastAsia="tr-TR"/>
              </w:rPr>
            </w:pPr>
            <w:r w:rsidRPr="00A23740">
              <w:rPr>
                <w:rFonts w:eastAsia="Times New Roman"/>
                <w:b/>
                <w:strike/>
                <w:color w:val="FF0000"/>
                <w:szCs w:val="24"/>
                <w:lang w:eastAsia="tr-TR"/>
              </w:rPr>
              <w:t>B) Tamamlayıcı</w:t>
            </w:r>
            <w:r w:rsidRPr="00A23740">
              <w:rPr>
                <w:rFonts w:eastAsia="Times New Roman"/>
                <w:b/>
                <w:bCs/>
                <w:szCs w:val="24"/>
                <w:lang w:eastAsia="tr-TR"/>
              </w:rPr>
              <w:t xml:space="preserve"> hükümler</w:t>
            </w:r>
          </w:p>
          <w:p w:rsidR="00A46C6E" w:rsidRPr="00A23740" w:rsidRDefault="00A46C6E" w:rsidP="009431FF">
            <w:pPr>
              <w:rPr>
                <w:rFonts w:eastAsia="Times New Roman"/>
                <w:b/>
                <w:strike/>
                <w:color w:val="FF0000"/>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1351-</w:t>
            </w:r>
            <w:r w:rsidRPr="00284A3E">
              <w:rPr>
                <w:rFonts w:eastAsia="Times New Roman"/>
                <w:b/>
                <w:color w:val="FF0000"/>
                <w:szCs w:val="24"/>
                <w:lang w:eastAsia="tr-TR"/>
              </w:rPr>
              <w:t xml:space="preserve"> </w:t>
            </w:r>
            <w:r w:rsidRPr="00284A3E">
              <w:t>(1)</w:t>
            </w:r>
            <w:r w:rsidRPr="00284A3E">
              <w:rPr>
                <w:rFonts w:eastAsia="Times New Roman"/>
                <w:b/>
                <w:color w:val="FF0000"/>
                <w:szCs w:val="24"/>
                <w:lang w:eastAsia="tr-TR"/>
              </w:rPr>
              <w:t xml:space="preserve"> </w:t>
            </w:r>
            <w:r w:rsidRPr="00A23740">
              <w:rPr>
                <w:rFonts w:eastAsia="Times New Roman"/>
                <w:b/>
                <w:strike/>
                <w:color w:val="FF0000"/>
                <w:szCs w:val="24"/>
                <w:lang w:eastAsia="tr-TR"/>
              </w:rPr>
              <w:t xml:space="preserve">Bu Kısımda özel olarak düzenlenmeyen hususlarda, İcra ve İflas Kanunu hükümleri, 936 ncı madde ile 937 nci maddenin birinci fıkrasında öngörüldüğü </w:t>
            </w:r>
            <w:r w:rsidRPr="00A23740">
              <w:rPr>
                <w:b/>
                <w:strike/>
                <w:color w:val="FF0000"/>
                <w:szCs w:val="24"/>
                <w:lang w:eastAsia="x-none"/>
              </w:rPr>
              <w:t>şekilde uygulanır.</w:t>
            </w:r>
          </w:p>
          <w:p w:rsidR="00A46C6E" w:rsidRPr="00A23740" w:rsidRDefault="00A46C6E" w:rsidP="009431FF">
            <w:pPr>
              <w:rPr>
                <w:rFonts w:eastAsia="Times New Roman"/>
                <w:b/>
                <w:bCs/>
                <w:szCs w:val="24"/>
              </w:rPr>
            </w:pPr>
          </w:p>
        </w:tc>
        <w:tc>
          <w:tcPr>
            <w:tcW w:w="2500" w:type="pct"/>
            <w:shd w:val="clear" w:color="auto" w:fill="auto"/>
          </w:tcPr>
          <w:p w:rsidR="00AE323E" w:rsidRPr="006C062A" w:rsidRDefault="00AE323E" w:rsidP="009431FF">
            <w:pPr>
              <w:pStyle w:val="KonuBal"/>
              <w:jc w:val="center"/>
              <w:rPr>
                <w:color w:val="0000FF"/>
              </w:rPr>
            </w:pPr>
            <w:r w:rsidRPr="006C062A">
              <w:rPr>
                <w:color w:val="0000FF"/>
              </w:rPr>
              <w:t>ALTINCI KISIM</w:t>
            </w:r>
          </w:p>
          <w:p w:rsidR="00A46C6E" w:rsidRPr="00A23740" w:rsidRDefault="00A46C6E" w:rsidP="009431FF">
            <w:pPr>
              <w:jc w:val="center"/>
              <w:rPr>
                <w:rFonts w:eastAsia="Times New Roman"/>
                <w:b/>
                <w:bCs/>
                <w:color w:val="0000FF"/>
                <w:szCs w:val="24"/>
                <w:lang w:eastAsia="tr-TR"/>
              </w:rPr>
            </w:pPr>
            <w:r w:rsidRPr="00A23740">
              <w:rPr>
                <w:rFonts w:eastAsia="Times New Roman"/>
                <w:b/>
                <w:bCs/>
                <w:color w:val="0000FF"/>
                <w:szCs w:val="24"/>
                <w:lang w:eastAsia="tr-TR"/>
              </w:rPr>
              <w:t>Gemilerin İhtiyati Haczi</w:t>
            </w:r>
          </w:p>
          <w:p w:rsidR="00A46C6E" w:rsidRPr="00A23740" w:rsidRDefault="00A46C6E" w:rsidP="009431FF">
            <w:pPr>
              <w:rPr>
                <w:rFonts w:eastAsia="Times New Roman"/>
                <w:b/>
                <w:bCs/>
                <w:color w:val="0000FF"/>
                <w:szCs w:val="24"/>
                <w:lang w:eastAsia="tr-TR"/>
              </w:rPr>
            </w:pPr>
          </w:p>
          <w:p w:rsidR="00A46C6E" w:rsidRPr="00A23740" w:rsidRDefault="00A46C6E" w:rsidP="009431FF">
            <w:pPr>
              <w:rPr>
                <w:rFonts w:eastAsia="Times New Roman"/>
                <w:b/>
                <w:bCs/>
                <w:szCs w:val="24"/>
                <w:lang w:eastAsia="tr-TR"/>
              </w:rPr>
            </w:pPr>
            <w:r w:rsidRPr="00A23740">
              <w:rPr>
                <w:rFonts w:eastAsia="Times New Roman"/>
                <w:b/>
                <w:bCs/>
                <w:color w:val="0000FF"/>
                <w:szCs w:val="24"/>
                <w:lang w:eastAsia="tr-TR"/>
              </w:rPr>
              <w:t>Uygulanacak</w:t>
            </w:r>
            <w:r w:rsidRPr="00A23740">
              <w:rPr>
                <w:rFonts w:eastAsia="Times New Roman"/>
                <w:b/>
                <w:bCs/>
                <w:szCs w:val="24"/>
                <w:lang w:eastAsia="tr-TR"/>
              </w:rPr>
              <w:t xml:space="preserve"> hükümler</w:t>
            </w:r>
          </w:p>
          <w:p w:rsidR="00A46C6E" w:rsidRPr="00A23740" w:rsidRDefault="00993A1A" w:rsidP="009431FF">
            <w:pPr>
              <w:rPr>
                <w:rFonts w:eastAsia="Times New Roman"/>
                <w:b/>
                <w:bCs/>
                <w:color w:val="0000FF"/>
                <w:szCs w:val="24"/>
                <w:lang w:eastAsia="tr-TR"/>
              </w:rPr>
            </w:pPr>
            <w:r w:rsidRPr="00284A3E">
              <w:rPr>
                <w:rFonts w:eastAsia="Times New Roman"/>
                <w:b/>
                <w:bCs/>
                <w:color w:val="000000" w:themeColor="text1"/>
                <w:szCs w:val="24"/>
                <w:lang w:eastAsia="tr-TR"/>
              </w:rPr>
              <w:t xml:space="preserve">MADDE </w:t>
            </w:r>
            <w:r w:rsidRPr="00A23740">
              <w:rPr>
                <w:rFonts w:eastAsia="Times New Roman"/>
                <w:b/>
                <w:bCs/>
                <w:color w:val="0000FF"/>
                <w:szCs w:val="24"/>
                <w:lang w:eastAsia="tr-TR"/>
              </w:rPr>
              <w:t>489</w:t>
            </w:r>
            <w:r w:rsidR="00A46C6E" w:rsidRPr="00A23740">
              <w:rPr>
                <w:rFonts w:eastAsia="Times New Roman"/>
                <w:b/>
                <w:bCs/>
                <w:color w:val="0000FF"/>
                <w:szCs w:val="24"/>
                <w:lang w:eastAsia="tr-TR"/>
              </w:rPr>
              <w:t xml:space="preserve">- </w:t>
            </w:r>
            <w:r w:rsidR="00A46C6E" w:rsidRPr="00284A3E">
              <w:t>(1)</w:t>
            </w:r>
            <w:r w:rsidR="00A46C6E" w:rsidRPr="00A23740">
              <w:rPr>
                <w:rFonts w:eastAsia="Times New Roman"/>
                <w:b/>
                <w:bCs/>
                <w:color w:val="0000FF"/>
                <w:szCs w:val="24"/>
                <w:lang w:eastAsia="tr-TR"/>
              </w:rPr>
              <w:t xml:space="preserve"> Bayrağına ve sicile kayıtlı olup olmadığına bakılmaksızın bir geminin Türkiye’de ihtiyati haczi bu</w:t>
            </w:r>
            <w:r w:rsidR="00882845" w:rsidRPr="00A23740">
              <w:rPr>
                <w:rFonts w:eastAsia="Times New Roman"/>
                <w:b/>
                <w:bCs/>
                <w:color w:val="0000FF"/>
                <w:szCs w:val="24"/>
                <w:lang w:eastAsia="tr-TR"/>
              </w:rPr>
              <w:t xml:space="preserve"> </w:t>
            </w:r>
            <w:r w:rsidR="00882845" w:rsidRPr="006C062A">
              <w:rPr>
                <w:rStyle w:val="KonuBalChar"/>
                <w:rFonts w:eastAsia="Calibri"/>
                <w:color w:val="0000FF"/>
              </w:rPr>
              <w:t>Kısım</w:t>
            </w:r>
            <w:r w:rsidR="00882845" w:rsidRPr="00A23740">
              <w:rPr>
                <w:rFonts w:eastAsia="Times New Roman"/>
                <w:b/>
                <w:bCs/>
                <w:color w:val="0000FF"/>
                <w:szCs w:val="24"/>
                <w:lang w:eastAsia="tr-TR"/>
              </w:rPr>
              <w:t xml:space="preserve"> </w:t>
            </w:r>
            <w:r w:rsidR="00A46C6E" w:rsidRPr="00A23740">
              <w:rPr>
                <w:rFonts w:eastAsia="Times New Roman"/>
                <w:b/>
                <w:bCs/>
                <w:color w:val="0000FF"/>
                <w:szCs w:val="24"/>
                <w:lang w:eastAsia="tr-TR"/>
              </w:rPr>
              <w:t>hükümlerine t</w:t>
            </w:r>
            <w:r w:rsidR="00D81869" w:rsidRPr="00A23740">
              <w:rPr>
                <w:rFonts w:eastAsia="Times New Roman"/>
                <w:b/>
                <w:bCs/>
                <w:color w:val="0000FF"/>
                <w:szCs w:val="24"/>
                <w:lang w:eastAsia="tr-TR"/>
              </w:rPr>
              <w:t>a</w:t>
            </w:r>
            <w:r w:rsidR="00A46C6E" w:rsidRPr="00A23740">
              <w:rPr>
                <w:rFonts w:eastAsia="Times New Roman"/>
                <w:b/>
                <w:bCs/>
                <w:color w:val="0000FF"/>
                <w:szCs w:val="24"/>
                <w:lang w:eastAsia="tr-TR"/>
              </w:rPr>
              <w:t>bidir.</w:t>
            </w:r>
          </w:p>
          <w:p w:rsidR="00A46C6E" w:rsidRPr="00A23740" w:rsidRDefault="00A46C6E" w:rsidP="009431FF">
            <w:pPr>
              <w:rPr>
                <w:rFonts w:eastAsia="Times New Roman"/>
                <w:color w:val="FF0000"/>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60" w:name="_Hlk134295972"/>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489</w:t>
            </w:r>
            <w:r w:rsidR="00A46C6E" w:rsidRPr="00A23740">
              <w:rPr>
                <w:rFonts w:eastAsia="Times New Roman"/>
                <w:b/>
                <w:bCs/>
                <w:szCs w:val="24"/>
                <w:lang w:eastAsia="tr-TR"/>
              </w:rPr>
              <w:t xml:space="preserve">- </w:t>
            </w:r>
            <w:bookmarkStart w:id="61" w:name="_Hlk172877944"/>
            <w:r w:rsidR="00A46C6E" w:rsidRPr="00A23740">
              <w:rPr>
                <w:bCs/>
                <w:szCs w:val="24"/>
                <w:lang w:eastAsia="x-none"/>
              </w:rPr>
              <w:t>Maddeyle, gemilerin ihtiyati haczinde uygulanacak hükümlere ilişkin hususlar düzenlenmektedir.</w:t>
            </w:r>
            <w:bookmarkEnd w:id="61"/>
          </w:p>
          <w:p w:rsidR="00A46C6E" w:rsidRPr="00A23740" w:rsidRDefault="00A46C6E" w:rsidP="009431FF">
            <w:pPr>
              <w:ind w:firstLine="709"/>
              <w:rPr>
                <w:rFonts w:eastAsia="Times New Roman"/>
                <w:szCs w:val="24"/>
              </w:rPr>
            </w:pPr>
            <w:r w:rsidRPr="00A23740">
              <w:rPr>
                <w:rFonts w:eastAsia="Times New Roman"/>
                <w:szCs w:val="24"/>
              </w:rPr>
              <w:t>Taslağın</w:t>
            </w:r>
            <w:r w:rsidR="005D2631" w:rsidRPr="00A23740">
              <w:rPr>
                <w:rFonts w:eastAsia="Times New Roman"/>
                <w:szCs w:val="24"/>
              </w:rPr>
              <w:t xml:space="preserve"> </w:t>
            </w:r>
            <w:r w:rsidR="00A127B1">
              <w:rPr>
                <w:rStyle w:val="KonuBalChar"/>
                <w:rFonts w:eastAsia="Calibri"/>
                <w:b w:val="0"/>
                <w:color w:val="auto"/>
              </w:rPr>
              <w:t>489 ila</w:t>
            </w:r>
            <w:r w:rsidR="005D2631" w:rsidRPr="006C062A">
              <w:rPr>
                <w:rStyle w:val="KonuBalChar"/>
                <w:rFonts w:eastAsia="Calibri"/>
                <w:b w:val="0"/>
                <w:color w:val="auto"/>
              </w:rPr>
              <w:t xml:space="preserve"> 505 inci</w:t>
            </w:r>
            <w:r w:rsidR="005D2631" w:rsidRPr="00A23740">
              <w:rPr>
                <w:rFonts w:eastAsia="Times New Roman"/>
                <w:szCs w:val="24"/>
              </w:rPr>
              <w:t xml:space="preserve"> </w:t>
            </w:r>
            <w:r w:rsidRPr="00A23740">
              <w:rPr>
                <w:rFonts w:eastAsia="Times New Roman"/>
                <w:szCs w:val="24"/>
              </w:rPr>
              <w:t>maddelerinde</w:t>
            </w:r>
            <w:r w:rsidR="00AE323E" w:rsidRPr="00A23740">
              <w:rPr>
                <w:rFonts w:eastAsia="Times New Roman"/>
                <w:szCs w:val="24"/>
              </w:rPr>
              <w:t xml:space="preserve"> gemilerin ihtiyati</w:t>
            </w:r>
            <w:r w:rsidRPr="00A23740">
              <w:rPr>
                <w:rFonts w:eastAsia="Times New Roman"/>
                <w:szCs w:val="24"/>
              </w:rPr>
              <w:t xml:space="preserve"> haczi, Türkiye’</w:t>
            </w:r>
            <w:r w:rsidR="00C04BCB" w:rsidRPr="00A23740">
              <w:rPr>
                <w:rFonts w:eastAsia="Times New Roman"/>
                <w:szCs w:val="24"/>
              </w:rPr>
              <w:t>nin 11.12.2019 tarihi itibarıyla</w:t>
            </w:r>
            <w:r w:rsidRPr="00A23740">
              <w:rPr>
                <w:rFonts w:eastAsia="Times New Roman"/>
                <w:szCs w:val="24"/>
              </w:rPr>
              <w:t xml:space="preserve"> tarafı olduğu 1999</w:t>
            </w:r>
            <w:r w:rsidR="0018548A" w:rsidRPr="00A23740">
              <w:rPr>
                <w:rFonts w:eastAsia="Times New Roman"/>
                <w:szCs w:val="24"/>
              </w:rPr>
              <w:t xml:space="preserve"> </w:t>
            </w:r>
            <w:r w:rsidR="0018548A" w:rsidRPr="006C062A">
              <w:rPr>
                <w:rStyle w:val="KonuBalChar"/>
                <w:rFonts w:eastAsia="Calibri"/>
                <w:b w:val="0"/>
                <w:color w:val="auto"/>
              </w:rPr>
              <w:t>tarihli Milletlerarası Sözleşme</w:t>
            </w:r>
            <w:r w:rsidRPr="00A23740">
              <w:rPr>
                <w:rFonts w:eastAsia="Times New Roman"/>
                <w:szCs w:val="24"/>
              </w:rPr>
              <w:t xml:space="preserve"> hükümlerine uyum dikkate alınarak </w:t>
            </w:r>
            <w:r w:rsidRPr="00A23740">
              <w:rPr>
                <w:rFonts w:eastAsia="Times New Roman"/>
                <w:bCs/>
                <w:szCs w:val="24"/>
              </w:rPr>
              <w:t xml:space="preserve">6102 sayılı Kanunun </w:t>
            </w:r>
            <w:r w:rsidRPr="00A23740">
              <w:rPr>
                <w:rFonts w:eastAsia="Times New Roman"/>
                <w:szCs w:val="24"/>
              </w:rPr>
              <w:t>ihtiyatî haciz hakkındaki hükümlerinde ifade ve içerik değişiklikleri yapılmak suretiyle düzenlenmiştir. 1999</w:t>
            </w:r>
            <w:r w:rsidR="0018548A" w:rsidRPr="00A23740">
              <w:rPr>
                <w:rStyle w:val="KonuBalChar"/>
                <w:rFonts w:eastAsia="Calibri"/>
              </w:rPr>
              <w:t xml:space="preserve"> </w:t>
            </w:r>
            <w:r w:rsidR="0018548A" w:rsidRPr="006C062A">
              <w:rPr>
                <w:rStyle w:val="KonuBalChar"/>
                <w:rFonts w:eastAsia="Calibri"/>
                <w:b w:val="0"/>
                <w:color w:val="auto"/>
              </w:rPr>
              <w:t>tarihli Milletlerarası Sözleşme</w:t>
            </w:r>
            <w:r w:rsidR="0018548A" w:rsidRPr="006C062A">
              <w:rPr>
                <w:rStyle w:val="KonuBalChar"/>
                <w:rFonts w:eastAsia="Calibri"/>
                <w:b w:val="0"/>
                <w:color w:val="auto"/>
                <w:lang w:val="tr-TR"/>
              </w:rPr>
              <w:t>nin</w:t>
            </w:r>
            <w:r w:rsidRPr="00A23740">
              <w:rPr>
                <w:rFonts w:eastAsia="Times New Roman"/>
                <w:szCs w:val="24"/>
              </w:rPr>
              <w:t xml:space="preserve"> 1 inci maddesinin ikinci fıkrasına göre “ihtiyati haciz” (arrest), deniz alacağı niteliğindeki para alacağının tahsilini veya hak iddiasının yerine getirilmesini temin için geminin alıkonulmasını veya seferden men edilmesini ifade eder. Taslağın bu maddesinde, bayrağına ve sicile kayıtlı olup olmadığına bakılmaksızın Türkiye’de, diğer bir anlatımla Türk mahkemelerinin yargı yetkisi alanında bulunan bir geminin seferden men edilmek suretiyle ihtiyati haczinin geminin ihtiyati haczi hakkındaki </w:t>
            </w:r>
            <w:r w:rsidR="00882845" w:rsidRPr="006C062A">
              <w:rPr>
                <w:rStyle w:val="KonuBalChar"/>
                <w:rFonts w:eastAsia="Calibri"/>
                <w:b w:val="0"/>
                <w:color w:val="auto"/>
              </w:rPr>
              <w:t>A</w:t>
            </w:r>
            <w:r w:rsidR="00882845" w:rsidRPr="00A23740">
              <w:rPr>
                <w:rFonts w:eastAsia="Times New Roman"/>
                <w:szCs w:val="24"/>
              </w:rPr>
              <w:t xml:space="preserve">ltıncı </w:t>
            </w:r>
            <w:r w:rsidR="00882845" w:rsidRPr="006C062A">
              <w:rPr>
                <w:rStyle w:val="KonuBalChar"/>
                <w:rFonts w:eastAsia="Calibri"/>
                <w:b w:val="0"/>
                <w:color w:val="auto"/>
              </w:rPr>
              <w:t>Kısım</w:t>
            </w:r>
            <w:r w:rsidRPr="00A23740">
              <w:rPr>
                <w:rFonts w:eastAsia="Times New Roman"/>
                <w:szCs w:val="24"/>
              </w:rPr>
              <w:t xml:space="preserve"> hükümlerine t</w:t>
            </w:r>
            <w:r w:rsidR="00D81869" w:rsidRPr="00A23740">
              <w:rPr>
                <w:rFonts w:eastAsia="Times New Roman"/>
                <w:szCs w:val="24"/>
              </w:rPr>
              <w:t>a</w:t>
            </w:r>
            <w:r w:rsidRPr="00A23740">
              <w:rPr>
                <w:rFonts w:eastAsia="Times New Roman"/>
                <w:szCs w:val="24"/>
              </w:rPr>
              <w:t>bi olduğu belirtilmiştir. Taslağın</w:t>
            </w:r>
            <w:r w:rsidR="0018548A" w:rsidRPr="00A23740">
              <w:rPr>
                <w:rFonts w:eastAsia="Times New Roman"/>
                <w:szCs w:val="24"/>
              </w:rPr>
              <w:t xml:space="preserve"> </w:t>
            </w:r>
            <w:r w:rsidR="0018548A" w:rsidRPr="006C062A">
              <w:rPr>
                <w:rStyle w:val="KonuBalChar"/>
                <w:rFonts w:eastAsia="Calibri"/>
                <w:b w:val="0"/>
                <w:color w:val="auto"/>
              </w:rPr>
              <w:t>466</w:t>
            </w:r>
            <w:r w:rsidR="0018548A" w:rsidRPr="00A23740">
              <w:rPr>
                <w:rStyle w:val="KonuBalChar"/>
                <w:rFonts w:eastAsia="Calibri"/>
              </w:rPr>
              <w:t xml:space="preserve"> </w:t>
            </w:r>
            <w:r w:rsidR="0018548A" w:rsidRPr="006C062A">
              <w:rPr>
                <w:rStyle w:val="KonuBalChar"/>
                <w:rFonts w:eastAsia="Calibri"/>
                <w:b w:val="0"/>
                <w:color w:val="auto"/>
              </w:rPr>
              <w:t>ncı</w:t>
            </w:r>
            <w:r w:rsidRPr="00A23740">
              <w:rPr>
                <w:rFonts w:eastAsia="Times New Roman"/>
                <w:szCs w:val="24"/>
              </w:rPr>
              <w:t xml:space="preserve"> maddesi uyarınca bu </w:t>
            </w:r>
            <w:r w:rsidR="00882845" w:rsidRPr="006C062A">
              <w:rPr>
                <w:rStyle w:val="KonuBalChar"/>
                <w:rFonts w:eastAsia="Calibri"/>
                <w:b w:val="0"/>
                <w:color w:val="auto"/>
              </w:rPr>
              <w:t>Kısımda</w:t>
            </w:r>
            <w:r w:rsidR="00882845" w:rsidRPr="00A23740">
              <w:rPr>
                <w:rFonts w:eastAsia="Times New Roman"/>
                <w:szCs w:val="24"/>
              </w:rPr>
              <w:t xml:space="preserve"> </w:t>
            </w:r>
            <w:r w:rsidRPr="00A23740">
              <w:rPr>
                <w:rFonts w:eastAsia="Times New Roman"/>
                <w:szCs w:val="24"/>
              </w:rPr>
              <w:t>düzenlenmeyen hususlarda, niteliğine uygun düştüğü ölçüde Kanunun ihtiyati haciz hakkındaki hükümlerinin uygulanacağı açıktır.</w:t>
            </w:r>
          </w:p>
          <w:bookmarkEnd w:id="60"/>
          <w:p w:rsidR="00A46C6E" w:rsidRPr="00A23740" w:rsidRDefault="00A46C6E" w:rsidP="00196116">
            <w:pPr>
              <w:ind w:firstLine="709"/>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b/>
                <w:bCs/>
                <w:szCs w:val="24"/>
              </w:rPr>
            </w:pPr>
            <w:r w:rsidRPr="00A23740">
              <w:rPr>
                <w:rFonts w:eastAsia="Times New Roman"/>
                <w:b/>
                <w:bCs/>
                <w:strike/>
                <w:color w:val="FF0000"/>
                <w:szCs w:val="24"/>
                <w:shd w:val="clear" w:color="auto" w:fill="FDFDFD"/>
                <w:lang w:eastAsia="tr-TR"/>
              </w:rPr>
              <w:t>2.</w:t>
            </w:r>
            <w:r w:rsidRPr="00A23740">
              <w:rPr>
                <w:rFonts w:eastAsia="Times New Roman"/>
                <w:b/>
                <w:bCs/>
                <w:szCs w:val="24"/>
              </w:rPr>
              <w:t xml:space="preserve"> İhtiyati haciz </w:t>
            </w:r>
            <w:r w:rsidRPr="00A23740">
              <w:rPr>
                <w:rFonts w:eastAsia="Times New Roman"/>
                <w:b/>
                <w:bCs/>
                <w:strike/>
                <w:color w:val="FF0000"/>
                <w:szCs w:val="24"/>
                <w:shd w:val="clear" w:color="auto" w:fill="FDFDFD"/>
                <w:lang w:eastAsia="tr-TR"/>
              </w:rPr>
              <w:t>isteyebilme hakkı</w:t>
            </w:r>
          </w:p>
          <w:p w:rsidR="00A46C6E" w:rsidRPr="00A23740" w:rsidRDefault="00A46C6E" w:rsidP="009431FF">
            <w:pPr>
              <w:widowControl w:val="0"/>
              <w:rPr>
                <w:rFonts w:eastAsia="Times New Roman"/>
                <w:b/>
                <w:bCs/>
                <w:strike/>
                <w:color w:val="FF0000"/>
                <w:szCs w:val="24"/>
                <w:shd w:val="clear" w:color="auto" w:fill="FDFDFD"/>
                <w:lang w:eastAsia="tr-TR"/>
              </w:rPr>
            </w:pPr>
            <w:r w:rsidRPr="00A23740">
              <w:rPr>
                <w:rFonts w:eastAsia="Times New Roman"/>
                <w:b/>
                <w:bCs/>
                <w:szCs w:val="24"/>
              </w:rPr>
              <w:t xml:space="preserve">MADDE </w:t>
            </w:r>
            <w:r w:rsidRPr="00A23740">
              <w:rPr>
                <w:rFonts w:eastAsia="Times New Roman"/>
                <w:b/>
                <w:bCs/>
                <w:strike/>
                <w:color w:val="FF0000"/>
                <w:szCs w:val="24"/>
                <w:shd w:val="clear" w:color="auto" w:fill="FDFDFD"/>
                <w:lang w:eastAsia="tr-TR"/>
              </w:rPr>
              <w:t>1353-</w:t>
            </w:r>
            <w:r w:rsidRPr="00A23740">
              <w:rPr>
                <w:rFonts w:eastAsia="Times New Roman"/>
                <w:szCs w:val="24"/>
              </w:rPr>
              <w:t xml:space="preserve"> </w:t>
            </w:r>
            <w:r w:rsidRPr="00A23740">
              <w:rPr>
                <w:rFonts w:eastAsia="Times New Roman"/>
                <w:szCs w:val="24"/>
                <w:shd w:val="clear" w:color="auto" w:fill="FDFDFD"/>
              </w:rPr>
              <w:t xml:space="preserve">(1) </w:t>
            </w:r>
            <w:r w:rsidRPr="00A23740">
              <w:rPr>
                <w:rFonts w:eastAsia="Times New Roman"/>
                <w:szCs w:val="24"/>
                <w:lang w:eastAsia="tr-TR"/>
              </w:rPr>
              <w:t>Deniz alacakları</w:t>
            </w:r>
            <w:r w:rsidRPr="00A23740">
              <w:rPr>
                <w:rFonts w:eastAsia="Times New Roman"/>
                <w:b/>
                <w:bCs/>
                <w:strike/>
                <w:color w:val="FF0000"/>
                <w:szCs w:val="24"/>
                <w:shd w:val="clear" w:color="auto" w:fill="FDFDFD"/>
                <w:lang w:eastAsia="tr-TR"/>
              </w:rPr>
              <w:t>nın teminat altına alınması için, geminin sadece ihtiyati haczine karar verilebilir. Bu alacaklar için gemi üzerine</w:t>
            </w:r>
            <w:r w:rsidRPr="00A23740">
              <w:rPr>
                <w:rFonts w:eastAsia="Times New Roman"/>
                <w:szCs w:val="24"/>
                <w:lang w:eastAsia="tr-TR"/>
              </w:rPr>
              <w:t xml:space="preserve"> ihtiyati tedbir </w:t>
            </w:r>
            <w:r w:rsidRPr="00A23740">
              <w:rPr>
                <w:rFonts w:eastAsia="Times New Roman"/>
                <w:b/>
                <w:bCs/>
                <w:strike/>
                <w:color w:val="FF0000"/>
                <w:szCs w:val="24"/>
                <w:shd w:val="clear" w:color="auto" w:fill="FDFDFD"/>
                <w:lang w:eastAsia="tr-TR"/>
              </w:rPr>
              <w:t>konulması veya başka bir surette geminin seferden menedilmesi istenemez.</w:t>
            </w:r>
          </w:p>
          <w:p w:rsidR="00A46C6E" w:rsidRPr="00A23740" w:rsidRDefault="00A46C6E" w:rsidP="009431FF">
            <w:pPr>
              <w:widowControl w:val="0"/>
              <w:rPr>
                <w:rFonts w:eastAsia="Times New Roman"/>
                <w:b/>
                <w:bCs/>
                <w:strike/>
                <w:color w:val="FF0000"/>
                <w:szCs w:val="24"/>
                <w:shd w:val="clear" w:color="auto" w:fill="FDFDFD"/>
                <w:lang w:eastAsia="tr-TR"/>
              </w:rPr>
            </w:pPr>
          </w:p>
          <w:p w:rsidR="00A46C6E" w:rsidRPr="00A23740" w:rsidRDefault="00A46C6E" w:rsidP="009431FF">
            <w:pPr>
              <w:widowControl w:val="0"/>
              <w:rPr>
                <w:rFonts w:eastAsia="Times New Roman"/>
                <w:b/>
                <w:bCs/>
                <w:strike/>
                <w:color w:val="FF0000"/>
                <w:szCs w:val="24"/>
                <w:shd w:val="clear" w:color="auto" w:fill="FDFDFD"/>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 xml:space="preserve">(2) Akdî veya kanuni bir rehin </w:t>
            </w:r>
            <w:r w:rsidRPr="00284A3E">
              <w:rPr>
                <w:rStyle w:val="KIRMIZIChar"/>
                <w:rFonts w:eastAsia="Calibri"/>
              </w:rPr>
              <w:t>ile</w:t>
            </w:r>
            <w:r w:rsidRPr="00A23740">
              <w:rPr>
                <w:rFonts w:eastAsia="Times New Roman"/>
                <w:szCs w:val="24"/>
                <w:lang w:eastAsia="tr-TR"/>
              </w:rPr>
              <w:t xml:space="preserve"> teminat altına alınmış deniz alacakları hakkında da birinci fıkra hükmü uygulanır.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bCs/>
                <w:strike/>
                <w:color w:val="FF0000"/>
                <w:szCs w:val="24"/>
                <w:shd w:val="clear" w:color="auto" w:fill="FDFDFD"/>
                <w:lang w:eastAsia="tr-TR"/>
              </w:rPr>
            </w:pPr>
            <w:r w:rsidRPr="00284A3E">
              <w:t>(3)</w:t>
            </w:r>
            <w:r w:rsidRPr="00284A3E">
              <w:rPr>
                <w:rFonts w:eastAsia="Times New Roman"/>
                <w:b/>
                <w:bCs/>
                <w:color w:val="FF0000"/>
                <w:szCs w:val="24"/>
                <w:shd w:val="clear" w:color="auto" w:fill="FDFDFD"/>
                <w:lang w:eastAsia="tr-TR"/>
              </w:rPr>
              <w:t xml:space="preserve"> </w:t>
            </w:r>
            <w:r w:rsidRPr="00A23740">
              <w:rPr>
                <w:rFonts w:eastAsia="Times New Roman"/>
                <w:b/>
                <w:bCs/>
                <w:strike/>
                <w:color w:val="FF0000"/>
                <w:szCs w:val="24"/>
                <w:shd w:val="clear" w:color="auto" w:fill="FDFDFD"/>
                <w:lang w:eastAsia="tr-TR"/>
              </w:rPr>
              <w:t xml:space="preserve">Deniz alacaklarından başka alacaklar için gemi hakkında ihtiyati haciz kararı verilemez. </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bCs/>
                <w:strike/>
                <w:color w:val="FF0000"/>
                <w:szCs w:val="24"/>
                <w:shd w:val="clear" w:color="auto" w:fill="FDFDFD"/>
                <w:lang w:eastAsia="tr-TR"/>
              </w:rPr>
            </w:pPr>
            <w:r w:rsidRPr="00A23740">
              <w:rPr>
                <w:rFonts w:eastAsia="Times New Roman"/>
                <w:b/>
                <w:bCs/>
                <w:strike/>
                <w:color w:val="FF0000"/>
                <w:szCs w:val="24"/>
                <w:shd w:val="clear" w:color="auto" w:fill="FDFDFD"/>
                <w:lang w:eastAsia="tr-TR"/>
              </w:rPr>
              <w:t>(4) Alacağın, 1352 nci maddede sayılan bir deniz alacağı olması, ihtiyati haciz sebebidir.</w:t>
            </w:r>
          </w:p>
          <w:p w:rsidR="00A46C6E" w:rsidRPr="00A23740" w:rsidRDefault="00A46C6E" w:rsidP="009431FF">
            <w:pPr>
              <w:widowControl w:val="0"/>
              <w:rPr>
                <w:rFonts w:eastAsia="Times New Roman"/>
                <w:szCs w:val="24"/>
                <w:shd w:val="clear" w:color="auto" w:fill="FDFDFD"/>
              </w:rPr>
            </w:pPr>
          </w:p>
          <w:p w:rsidR="00A46C6E" w:rsidRPr="00A23740" w:rsidRDefault="00A46C6E" w:rsidP="009431FF">
            <w:pPr>
              <w:widowControl w:val="0"/>
              <w:rPr>
                <w:rFonts w:eastAsia="Times New Roman"/>
                <w:szCs w:val="24"/>
                <w:lang w:eastAsia="tr-TR"/>
              </w:rPr>
            </w:pPr>
            <w:r w:rsidRPr="00A23740">
              <w:rPr>
                <w:rFonts w:eastAsia="Times New Roman"/>
                <w:b/>
                <w:bCs/>
                <w:strike/>
                <w:color w:val="FF0000"/>
                <w:szCs w:val="24"/>
                <w:shd w:val="clear" w:color="auto" w:fill="FDFDFD"/>
                <w:lang w:eastAsia="tr-TR"/>
              </w:rPr>
              <w:t>(5)</w:t>
            </w:r>
            <w:r w:rsidRPr="00A23740">
              <w:rPr>
                <w:rFonts w:eastAsia="Times New Roman"/>
                <w:szCs w:val="24"/>
                <w:lang w:eastAsia="tr-TR"/>
              </w:rPr>
              <w:t xml:space="preserve"> </w:t>
            </w:r>
            <w:r w:rsidRPr="00A23740">
              <w:rPr>
                <w:rFonts w:eastAsia="Times New Roman"/>
                <w:b/>
                <w:bCs/>
                <w:strike/>
                <w:color w:val="FF0000"/>
                <w:szCs w:val="24"/>
                <w:shd w:val="clear" w:color="auto" w:fill="FDFDFD"/>
                <w:lang w:eastAsia="tr-TR"/>
              </w:rPr>
              <w:t>Vadesi gelmemiş</w:t>
            </w:r>
            <w:r w:rsidRPr="00A23740">
              <w:rPr>
                <w:rFonts w:eastAsia="Times New Roman"/>
                <w:szCs w:val="24"/>
                <w:lang w:eastAsia="tr-TR"/>
              </w:rPr>
              <w:t xml:space="preserve"> deniz alacakları</w:t>
            </w:r>
            <w:r w:rsidRPr="00A23740">
              <w:rPr>
                <w:rFonts w:eastAsia="Times New Roman"/>
                <w:b/>
                <w:bCs/>
                <w:strike/>
                <w:color w:val="FF0000"/>
                <w:szCs w:val="24"/>
                <w:shd w:val="clear" w:color="auto" w:fill="FDFDFD"/>
                <w:lang w:eastAsia="tr-TR"/>
              </w:rPr>
              <w:t>nda, İcra ve İflas</w:t>
            </w:r>
            <w:r w:rsidRPr="00A23740">
              <w:rPr>
                <w:rFonts w:eastAsia="Times New Roman"/>
                <w:szCs w:val="24"/>
                <w:lang w:eastAsia="tr-TR"/>
              </w:rPr>
              <w:t xml:space="preserve"> </w:t>
            </w:r>
            <w:r w:rsidRPr="00A23740">
              <w:rPr>
                <w:b/>
                <w:bCs/>
                <w:strike/>
                <w:color w:val="FF0000"/>
                <w:lang w:val="x-none" w:eastAsia="x-none"/>
              </w:rPr>
              <w:t>Kanununun</w:t>
            </w:r>
            <w:r w:rsidRPr="00A23740">
              <w:rPr>
                <w:rFonts w:eastAsia="Times New Roman"/>
                <w:szCs w:val="24"/>
                <w:lang w:eastAsia="tr-TR"/>
              </w:rPr>
              <w:t xml:space="preserve"> </w:t>
            </w:r>
            <w:r w:rsidRPr="00284A3E">
              <w:rPr>
                <w:rStyle w:val="KIRMIZIChar"/>
                <w:rFonts w:eastAsia="Calibri"/>
              </w:rPr>
              <w:t>257 nci</w:t>
            </w:r>
            <w:r w:rsidRPr="00A23740">
              <w:rPr>
                <w:rFonts w:eastAsia="Times New Roman"/>
                <w:szCs w:val="24"/>
                <w:lang w:eastAsia="tr-TR"/>
              </w:rPr>
              <w:t xml:space="preserve"> madde</w:t>
            </w:r>
            <w:r w:rsidRPr="00A23740">
              <w:rPr>
                <w:b/>
                <w:bCs/>
                <w:strike/>
                <w:color w:val="FF0000"/>
                <w:lang w:val="x-none" w:eastAsia="x-none"/>
              </w:rPr>
              <w:t>si</w:t>
            </w:r>
            <w:r w:rsidRPr="00A23740">
              <w:rPr>
                <w:rFonts w:eastAsia="Times New Roman"/>
                <w:szCs w:val="24"/>
                <w:lang w:eastAsia="tr-TR"/>
              </w:rPr>
              <w:t xml:space="preserve">nin ikinci fıkrasında </w:t>
            </w:r>
            <w:r w:rsidRPr="00A23740">
              <w:rPr>
                <w:rFonts w:eastAsia="Times New Roman"/>
                <w:b/>
                <w:bCs/>
                <w:strike/>
                <w:color w:val="FF0000"/>
                <w:szCs w:val="24"/>
                <w:shd w:val="clear" w:color="auto" w:fill="FDFDFD"/>
                <w:lang w:eastAsia="tr-TR"/>
              </w:rPr>
              <w:t>öngörülen</w:t>
            </w:r>
            <w:r w:rsidRPr="00A23740">
              <w:rPr>
                <w:rFonts w:eastAsia="Times New Roman"/>
                <w:szCs w:val="24"/>
                <w:lang w:eastAsia="tr-TR"/>
              </w:rPr>
              <w:t xml:space="preserve"> şartlar</w:t>
            </w:r>
            <w:r w:rsidRPr="00A23740">
              <w:rPr>
                <w:rFonts w:eastAsia="Times New Roman"/>
                <w:b/>
                <w:bCs/>
                <w:strike/>
                <w:color w:val="FF0000"/>
                <w:szCs w:val="24"/>
                <w:shd w:val="clear" w:color="auto" w:fill="FDFDFD"/>
                <w:lang w:eastAsia="tr-TR"/>
              </w:rPr>
              <w:t xml:space="preserve"> gerçekleştiği takdirde geminin ihtiyati haczi istenebilir.</w:t>
            </w:r>
          </w:p>
          <w:p w:rsidR="00A46C6E" w:rsidRPr="00A23740" w:rsidRDefault="00A46C6E" w:rsidP="009431FF">
            <w:pPr>
              <w:widowControl w:val="0"/>
              <w:rPr>
                <w:rFonts w:eastAsia="Times New Roman"/>
                <w:b/>
                <w:bCs/>
                <w:szCs w:val="24"/>
              </w:rPr>
            </w:pPr>
          </w:p>
        </w:tc>
        <w:tc>
          <w:tcPr>
            <w:tcW w:w="2500" w:type="pct"/>
            <w:shd w:val="clear" w:color="auto" w:fill="auto"/>
          </w:tcPr>
          <w:p w:rsidR="00A46C6E" w:rsidRPr="00A23740" w:rsidRDefault="00A46C6E" w:rsidP="009431FF">
            <w:pPr>
              <w:widowControl w:val="0"/>
              <w:rPr>
                <w:rFonts w:eastAsia="Times New Roman"/>
                <w:b/>
                <w:bCs/>
                <w:color w:val="0000FF"/>
                <w:szCs w:val="24"/>
                <w:lang w:eastAsia="x-none"/>
              </w:rPr>
            </w:pPr>
            <w:r w:rsidRPr="00A23740">
              <w:rPr>
                <w:rFonts w:eastAsia="Times New Roman"/>
                <w:b/>
                <w:bCs/>
                <w:szCs w:val="24"/>
                <w:lang w:eastAsia="tr-TR"/>
              </w:rPr>
              <w:t xml:space="preserve">İhtiyati haciz </w:t>
            </w:r>
            <w:r w:rsidRPr="00A23740">
              <w:rPr>
                <w:rFonts w:eastAsia="Times New Roman"/>
                <w:b/>
                <w:bCs/>
                <w:color w:val="0000FF"/>
                <w:szCs w:val="24"/>
                <w:lang w:eastAsia="x-none"/>
              </w:rPr>
              <w:t>şartları</w:t>
            </w:r>
          </w:p>
          <w:p w:rsidR="00A46C6E" w:rsidRPr="00A23740" w:rsidRDefault="00993A1A" w:rsidP="009431FF">
            <w:pPr>
              <w:widowControl w:val="0"/>
              <w:rPr>
                <w:rFonts w:eastAsia="Times New Roman"/>
                <w:b/>
                <w:bCs/>
                <w:color w:val="0000CC"/>
                <w:szCs w:val="24"/>
                <w:shd w:val="clear" w:color="auto" w:fill="FDFDFD"/>
                <w:lang w:eastAsia="tr-TR"/>
              </w:rPr>
            </w:pPr>
            <w:r w:rsidRPr="00284A3E">
              <w:rPr>
                <w:rFonts w:eastAsia="Times New Roman"/>
                <w:b/>
                <w:bCs/>
                <w:color w:val="000000" w:themeColor="text1"/>
                <w:szCs w:val="24"/>
                <w:lang w:eastAsia="x-none"/>
              </w:rPr>
              <w:t xml:space="preserve">MADDE </w:t>
            </w:r>
            <w:r w:rsidRPr="00A23740">
              <w:rPr>
                <w:rFonts w:eastAsia="Times New Roman"/>
                <w:b/>
                <w:bCs/>
                <w:color w:val="0000FF"/>
                <w:szCs w:val="24"/>
                <w:lang w:eastAsia="x-none"/>
              </w:rPr>
              <w:t>490</w:t>
            </w:r>
            <w:r w:rsidR="00A46C6E" w:rsidRPr="00A23740">
              <w:rPr>
                <w:rFonts w:eastAsia="Times New Roman"/>
                <w:b/>
                <w:bCs/>
                <w:color w:val="0000FF"/>
                <w:szCs w:val="24"/>
                <w:lang w:eastAsia="x-none"/>
              </w:rPr>
              <w:t xml:space="preserve">- </w:t>
            </w:r>
            <w:r w:rsidR="00A46C6E" w:rsidRPr="00284A3E">
              <w:t>(1)</w:t>
            </w:r>
            <w:r w:rsidR="00A46C6E" w:rsidRPr="00A23740">
              <w:rPr>
                <w:rFonts w:eastAsia="Times New Roman"/>
                <w:b/>
                <w:bCs/>
                <w:color w:val="0000FF"/>
                <w:szCs w:val="24"/>
                <w:lang w:eastAsia="x-none"/>
              </w:rPr>
              <w:t xml:space="preserve"> Bir gemi</w:t>
            </w:r>
            <w:r w:rsidR="00770FB7">
              <w:rPr>
                <w:rFonts w:eastAsia="Times New Roman"/>
                <w:b/>
                <w:bCs/>
                <w:color w:val="0000FF"/>
                <w:szCs w:val="24"/>
                <w:lang w:eastAsia="x-none"/>
              </w:rPr>
              <w:t xml:space="preserve"> yalnızca</w:t>
            </w:r>
            <w:r w:rsidR="00674FD2" w:rsidRPr="00A23740">
              <w:rPr>
                <w:rFonts w:eastAsia="Times New Roman"/>
                <w:b/>
                <w:bCs/>
                <w:color w:val="0000FF"/>
                <w:szCs w:val="24"/>
                <w:lang w:eastAsia="x-none"/>
              </w:rPr>
              <w:t xml:space="preserve"> </w:t>
            </w:r>
            <w:r w:rsidR="00EE7170" w:rsidRPr="006C062A">
              <w:rPr>
                <w:rStyle w:val="KonuBalChar"/>
                <w:rFonts w:eastAsia="Calibri"/>
                <w:color w:val="0000FF"/>
              </w:rPr>
              <w:t>493 üncü</w:t>
            </w:r>
            <w:r w:rsidR="00A46C6E" w:rsidRPr="00A23740">
              <w:rPr>
                <w:rFonts w:eastAsia="Times New Roman"/>
                <w:b/>
                <w:bCs/>
                <w:color w:val="0000FF"/>
                <w:szCs w:val="24"/>
                <w:lang w:eastAsia="x-none"/>
              </w:rPr>
              <w:t xml:space="preserve"> maddede sayılan</w:t>
            </w:r>
            <w:r w:rsidR="00A46C6E" w:rsidRPr="00A23740">
              <w:rPr>
                <w:rFonts w:eastAsia="Times New Roman"/>
                <w:szCs w:val="24"/>
                <w:lang w:eastAsia="tr-TR"/>
              </w:rPr>
              <w:t xml:space="preserve"> deniz alacakları </w:t>
            </w:r>
            <w:r w:rsidR="00A46C6E" w:rsidRPr="00A23740">
              <w:rPr>
                <w:rFonts w:eastAsia="Times New Roman"/>
                <w:b/>
                <w:bCs/>
                <w:color w:val="0000FF"/>
                <w:szCs w:val="24"/>
                <w:lang w:eastAsia="x-none"/>
              </w:rPr>
              <w:t xml:space="preserve">için sadece ihtiyaten haczedilebilir. Deniz alacaklarından başka alacaklar için gemi hakkında ihtiyati haciz veya </w:t>
            </w:r>
            <w:r w:rsidR="00A46C6E" w:rsidRPr="00A23740">
              <w:rPr>
                <w:rFonts w:eastAsia="Times New Roman"/>
                <w:szCs w:val="24"/>
                <w:lang w:eastAsia="tr-TR"/>
              </w:rPr>
              <w:t>ihtiyati tedbir</w:t>
            </w:r>
            <w:r w:rsidR="00A46C6E" w:rsidRPr="00A23740">
              <w:t xml:space="preserve"> </w:t>
            </w:r>
            <w:r w:rsidR="00A46C6E" w:rsidRPr="00A23740">
              <w:rPr>
                <w:b/>
                <w:bCs/>
                <w:color w:val="0000FF"/>
                <w:lang w:val="x-none" w:eastAsia="tr-TR"/>
              </w:rPr>
              <w:t>ya da geminin seferden alıkonulması sonucunu doğuracak herhangi bir geçici hukuki koruma</w:t>
            </w:r>
            <w:r w:rsidR="00A46C6E" w:rsidRPr="00A23740">
              <w:rPr>
                <w:rFonts w:eastAsia="Times New Roman"/>
                <w:szCs w:val="24"/>
                <w:lang w:eastAsia="tr-TR"/>
              </w:rPr>
              <w:t xml:space="preserve"> </w:t>
            </w:r>
            <w:r w:rsidR="00A46C6E" w:rsidRPr="00A23740">
              <w:rPr>
                <w:rFonts w:eastAsia="Times New Roman"/>
                <w:b/>
                <w:bCs/>
                <w:color w:val="0000FF"/>
                <w:szCs w:val="24"/>
                <w:lang w:eastAsia="x-none"/>
              </w:rPr>
              <w:t>kararı verilemez.</w:t>
            </w:r>
          </w:p>
          <w:p w:rsidR="00A46C6E" w:rsidRPr="00A23740" w:rsidRDefault="00A46C6E" w:rsidP="009431FF">
            <w:pPr>
              <w:widowControl w:val="0"/>
              <w:rPr>
                <w:rFonts w:eastAsia="Times New Roman"/>
                <w:b/>
                <w:bCs/>
                <w:color w:val="0000CC"/>
                <w:szCs w:val="24"/>
                <w:shd w:val="clear" w:color="auto" w:fill="FDFDFD"/>
                <w:lang w:eastAsia="tr-TR"/>
              </w:rPr>
            </w:pPr>
          </w:p>
          <w:p w:rsidR="00A46C6E" w:rsidRPr="00A23740" w:rsidRDefault="00A46C6E" w:rsidP="009431FF">
            <w:pPr>
              <w:widowControl w:val="0"/>
              <w:rPr>
                <w:rFonts w:eastAsia="Times New Roman"/>
                <w:szCs w:val="24"/>
                <w:lang w:eastAsia="tr-TR"/>
              </w:rPr>
            </w:pPr>
            <w:r w:rsidRPr="00284A3E">
              <w:t>(2)</w:t>
            </w:r>
            <w:r w:rsidR="00674FD2" w:rsidRPr="00A23740">
              <w:rPr>
                <w:rFonts w:eastAsia="Times New Roman"/>
                <w:szCs w:val="24"/>
                <w:lang w:eastAsia="tr-TR"/>
              </w:rPr>
              <w:t xml:space="preserve"> Akdi veya kanuni</w:t>
            </w:r>
            <w:r w:rsidRPr="00A23740">
              <w:rPr>
                <w:rFonts w:eastAsia="Times New Roman"/>
                <w:szCs w:val="24"/>
                <w:lang w:eastAsia="tr-TR"/>
              </w:rPr>
              <w:t xml:space="preserve"> rehin</w:t>
            </w:r>
            <w:r w:rsidR="00674FD2" w:rsidRPr="00A23740">
              <w:rPr>
                <w:rStyle w:val="Balk1Char"/>
                <w:rFonts w:eastAsia="Calibri"/>
              </w:rPr>
              <w:t>le</w:t>
            </w:r>
            <w:r w:rsidR="00674FD2" w:rsidRPr="00A23740">
              <w:rPr>
                <w:rFonts w:eastAsia="Times New Roman"/>
                <w:szCs w:val="24"/>
                <w:lang w:eastAsia="tr-TR"/>
              </w:rPr>
              <w:t xml:space="preserve"> </w:t>
            </w:r>
            <w:r w:rsidRPr="00A23740">
              <w:rPr>
                <w:rFonts w:eastAsia="Times New Roman"/>
                <w:szCs w:val="24"/>
                <w:lang w:eastAsia="tr-TR"/>
              </w:rPr>
              <w:t>teminat altına alınmış deniz alacakları hakkında da birinci fıkra hükmü uygulanır.</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b/>
                <w:bCs/>
                <w:color w:val="0000FF"/>
                <w:szCs w:val="24"/>
                <w:lang w:eastAsia="x-none"/>
              </w:rPr>
            </w:pPr>
            <w:r w:rsidRPr="00284A3E">
              <w:t>(3)</w:t>
            </w:r>
            <w:r w:rsidRPr="00A23740">
              <w:rPr>
                <w:rFonts w:eastAsia="Times New Roman"/>
                <w:b/>
                <w:bCs/>
                <w:color w:val="0000FF"/>
                <w:szCs w:val="24"/>
                <w:lang w:eastAsia="x-none"/>
              </w:rPr>
              <w:t xml:space="preserve"> Geminin ihtiyati haczine karar verilebilmesi için muaccel bir deniz alacağının mevcudiyeti yeterlidir.</w:t>
            </w:r>
          </w:p>
          <w:p w:rsidR="005468D1" w:rsidRPr="00A23740" w:rsidRDefault="005468D1" w:rsidP="009431FF">
            <w:pPr>
              <w:widowControl w:val="0"/>
              <w:rPr>
                <w:rFonts w:eastAsia="Times New Roman"/>
                <w:b/>
                <w:bCs/>
                <w:color w:val="0000FF"/>
                <w:szCs w:val="24"/>
                <w:lang w:eastAsia="x-none"/>
              </w:rPr>
            </w:pPr>
          </w:p>
          <w:p w:rsidR="005468D1" w:rsidRPr="00A23740" w:rsidRDefault="005468D1" w:rsidP="009431FF">
            <w:pPr>
              <w:widowControl w:val="0"/>
              <w:rPr>
                <w:rFonts w:eastAsia="Times New Roman"/>
                <w:b/>
                <w:bCs/>
                <w:color w:val="0000FF"/>
                <w:szCs w:val="24"/>
                <w:lang w:eastAsia="x-none"/>
              </w:rPr>
            </w:pPr>
          </w:p>
          <w:p w:rsidR="005468D1" w:rsidRPr="00A23740" w:rsidRDefault="005468D1" w:rsidP="009431FF">
            <w:pPr>
              <w:widowControl w:val="0"/>
              <w:rPr>
                <w:rFonts w:eastAsia="Times New Roman"/>
                <w:b/>
                <w:bCs/>
                <w:color w:val="0000FF"/>
                <w:szCs w:val="24"/>
                <w:lang w:eastAsia="x-none"/>
              </w:rPr>
            </w:pPr>
          </w:p>
          <w:p w:rsidR="005468D1" w:rsidRPr="00A23740" w:rsidRDefault="005468D1" w:rsidP="009431FF">
            <w:pPr>
              <w:widowControl w:val="0"/>
              <w:rPr>
                <w:rFonts w:eastAsia="Times New Roman"/>
                <w:b/>
                <w:bCs/>
                <w:color w:val="0000FF"/>
                <w:szCs w:val="24"/>
                <w:lang w:eastAsia="x-none"/>
              </w:rPr>
            </w:pPr>
          </w:p>
          <w:p w:rsidR="00A46C6E" w:rsidRPr="00A23740" w:rsidRDefault="00A46C6E" w:rsidP="009431FF">
            <w:pPr>
              <w:widowControl w:val="0"/>
              <w:rPr>
                <w:rFonts w:eastAsia="Times New Roman"/>
                <w:b/>
                <w:bCs/>
                <w:color w:val="0000CC"/>
                <w:szCs w:val="24"/>
                <w:shd w:val="clear" w:color="auto" w:fill="FDFDFD"/>
              </w:rPr>
            </w:pPr>
            <w:r w:rsidRPr="00A23740">
              <w:rPr>
                <w:rFonts w:eastAsia="Times New Roman"/>
                <w:b/>
                <w:bCs/>
                <w:color w:val="0000FF"/>
                <w:szCs w:val="24"/>
                <w:lang w:eastAsia="x-none"/>
              </w:rPr>
              <w:t>(4) Muaccel olmayan</w:t>
            </w:r>
            <w:r w:rsidRPr="00A23740">
              <w:rPr>
                <w:rFonts w:eastAsia="Times New Roman"/>
                <w:b/>
                <w:bCs/>
                <w:color w:val="0000CC"/>
                <w:szCs w:val="24"/>
                <w:shd w:val="clear" w:color="auto" w:fill="FDFDFD"/>
                <w:lang w:eastAsia="tr-TR"/>
              </w:rPr>
              <w:t xml:space="preserve"> </w:t>
            </w:r>
            <w:r w:rsidRPr="00A23740">
              <w:rPr>
                <w:rFonts w:eastAsia="Times New Roman"/>
                <w:szCs w:val="24"/>
                <w:lang w:eastAsia="tr-TR"/>
              </w:rPr>
              <w:t>deniz alacakları</w:t>
            </w:r>
            <w:r w:rsidRPr="00A23740">
              <w:rPr>
                <w:rFonts w:eastAsia="Times New Roman"/>
                <w:b/>
                <w:bCs/>
                <w:color w:val="0000CC"/>
                <w:szCs w:val="24"/>
                <w:shd w:val="clear" w:color="auto" w:fill="FDFDFD"/>
                <w:lang w:eastAsia="tr-TR"/>
              </w:rPr>
              <w:t xml:space="preserve"> </w:t>
            </w:r>
            <w:r w:rsidRPr="00A23740">
              <w:rPr>
                <w:rFonts w:eastAsia="Times New Roman"/>
                <w:b/>
                <w:bCs/>
                <w:color w:val="0000FF"/>
                <w:szCs w:val="24"/>
                <w:lang w:eastAsia="x-none"/>
              </w:rPr>
              <w:t>için geminin ihtiyati haczi</w:t>
            </w:r>
            <w:r w:rsidR="00EE7170" w:rsidRPr="00A23740">
              <w:rPr>
                <w:rFonts w:eastAsia="Times New Roman"/>
                <w:b/>
                <w:bCs/>
                <w:color w:val="0000FF"/>
                <w:szCs w:val="24"/>
                <w:lang w:eastAsia="x-none"/>
              </w:rPr>
              <w:t xml:space="preserve"> </w:t>
            </w:r>
            <w:r w:rsidR="00EE7170" w:rsidRPr="006C062A">
              <w:rPr>
                <w:rStyle w:val="KonuBalChar"/>
                <w:rFonts w:eastAsia="Calibri"/>
                <w:color w:val="0000FF"/>
              </w:rPr>
              <w:t>453</w:t>
            </w:r>
            <w:r w:rsidR="00EE7170" w:rsidRPr="00A23740">
              <w:rPr>
                <w:rStyle w:val="KonuBalChar"/>
                <w:rFonts w:eastAsia="Calibri"/>
              </w:rPr>
              <w:t xml:space="preserve"> </w:t>
            </w:r>
            <w:r w:rsidR="00EE7170" w:rsidRPr="006C062A">
              <w:rPr>
                <w:rStyle w:val="KonuBalChar"/>
                <w:rFonts w:eastAsia="Calibri"/>
                <w:color w:val="0000FF"/>
              </w:rPr>
              <w:t>üncü</w:t>
            </w:r>
            <w:r w:rsidRPr="00A23740">
              <w:rPr>
                <w:rFonts w:eastAsia="Times New Roman"/>
                <w:b/>
                <w:bCs/>
                <w:color w:val="0000CC"/>
                <w:szCs w:val="24"/>
                <w:shd w:val="clear" w:color="auto" w:fill="FDFDFD"/>
                <w:lang w:eastAsia="tr-TR"/>
              </w:rPr>
              <w:t xml:space="preserve"> </w:t>
            </w:r>
            <w:r w:rsidRPr="00A23740">
              <w:rPr>
                <w:rFonts w:eastAsia="Times New Roman"/>
                <w:szCs w:val="24"/>
                <w:lang w:eastAsia="tr-TR"/>
              </w:rPr>
              <w:t>maddenin ikinci fıkrasında</w:t>
            </w:r>
            <w:r w:rsidRPr="00A23740">
              <w:rPr>
                <w:rFonts w:eastAsia="Times New Roman"/>
                <w:b/>
                <w:bCs/>
                <w:color w:val="0000CC"/>
                <w:szCs w:val="24"/>
                <w:shd w:val="clear" w:color="auto" w:fill="FDFDFD"/>
                <w:lang w:eastAsia="tr-TR"/>
              </w:rPr>
              <w:t>ki</w:t>
            </w:r>
            <w:r w:rsidRPr="00A23740">
              <w:rPr>
                <w:rFonts w:eastAsia="Times New Roman"/>
                <w:szCs w:val="24"/>
                <w:lang w:eastAsia="tr-TR"/>
              </w:rPr>
              <w:t xml:space="preserve"> şartlar</w:t>
            </w:r>
            <w:r w:rsidRPr="00A23740">
              <w:rPr>
                <w:b/>
                <w:bCs/>
                <w:color w:val="0000FF"/>
                <w:lang w:val="x-none" w:eastAsia="x-none"/>
              </w:rPr>
              <w:t>dan birinin mevcudiyeti h</w:t>
            </w:r>
            <w:r w:rsidR="00674FD2" w:rsidRPr="00A23740">
              <w:rPr>
                <w:b/>
                <w:bCs/>
                <w:color w:val="0000FF"/>
                <w:lang w:eastAsia="x-none"/>
              </w:rPr>
              <w:t>â</w:t>
            </w:r>
            <w:r w:rsidRPr="00A23740">
              <w:rPr>
                <w:b/>
                <w:bCs/>
                <w:color w:val="0000FF"/>
                <w:lang w:val="x-none" w:eastAsia="x-none"/>
              </w:rPr>
              <w:t>linde talep edilebilir.</w:t>
            </w:r>
            <w:r w:rsidRPr="00A23740">
              <w:rPr>
                <w:b/>
                <w:color w:val="00CC00"/>
                <w:lang w:eastAsia="tr-TR"/>
              </w:rPr>
              <w:t xml:space="preserve"> </w:t>
            </w:r>
            <w:r w:rsidRPr="00A23740">
              <w:rPr>
                <w:b/>
                <w:bCs/>
                <w:color w:val="0000FF"/>
                <w:lang w:val="x-none" w:eastAsia="x-none"/>
              </w:rPr>
              <w:t>Bu fıkra uyarınca verilen ihtiyati haciz kararının uygulanmasıyla borç, deniz alacağının borçlusu ve borçlu olmasa dahi gemi maliki hakkında muaccel h</w:t>
            </w:r>
            <w:r w:rsidR="00674FD2" w:rsidRPr="00A23740">
              <w:rPr>
                <w:b/>
                <w:bCs/>
                <w:color w:val="0000FF"/>
                <w:lang w:eastAsia="x-none"/>
              </w:rPr>
              <w:t>â</w:t>
            </w:r>
            <w:r w:rsidRPr="00A23740">
              <w:rPr>
                <w:b/>
                <w:bCs/>
                <w:color w:val="0000FF"/>
                <w:lang w:val="x-none" w:eastAsia="x-none"/>
              </w:rPr>
              <w:t>le gelir.</w:t>
            </w:r>
          </w:p>
          <w:p w:rsidR="00A46C6E" w:rsidRPr="00A23740" w:rsidRDefault="00A46C6E" w:rsidP="009431FF">
            <w:pPr>
              <w:widowControl w:val="0"/>
              <w:rPr>
                <w:rFonts w:eastAsia="Times New Roman"/>
                <w:b/>
                <w:bCs/>
                <w:color w:val="0000CC"/>
                <w:szCs w:val="24"/>
                <w:shd w:val="clear" w:color="auto" w:fill="FDFDFD"/>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62" w:name="_Hlk134295911"/>
          </w:p>
          <w:p w:rsidR="00A46C6E" w:rsidRPr="00A23740" w:rsidRDefault="00993A1A" w:rsidP="009431FF">
            <w:pPr>
              <w:ind w:firstLine="709"/>
              <w:rPr>
                <w:bCs/>
                <w:szCs w:val="24"/>
                <w:lang w:eastAsia="x-none"/>
              </w:rPr>
            </w:pPr>
            <w:r w:rsidRPr="00A23740">
              <w:rPr>
                <w:rFonts w:eastAsia="Times New Roman"/>
                <w:b/>
                <w:szCs w:val="24"/>
              </w:rPr>
              <w:t>MADDE 490</w:t>
            </w:r>
            <w:r w:rsidR="00A46C6E" w:rsidRPr="00A23740">
              <w:rPr>
                <w:rFonts w:eastAsia="Times New Roman"/>
                <w:b/>
                <w:szCs w:val="24"/>
              </w:rPr>
              <w:t xml:space="preserve">- </w:t>
            </w:r>
            <w:bookmarkStart w:id="63" w:name="_Hlk172877915"/>
            <w:r w:rsidR="00A46C6E" w:rsidRPr="00A23740">
              <w:rPr>
                <w:bCs/>
                <w:szCs w:val="24"/>
                <w:lang w:eastAsia="x-none"/>
              </w:rPr>
              <w:t>Maddeyle, ihtiyati haciz şartlarına ilişkin hususlar düzenlenmektedir.</w:t>
            </w:r>
            <w:bookmarkEnd w:id="63"/>
          </w:p>
          <w:p w:rsidR="00A46C6E" w:rsidRPr="00A23740" w:rsidRDefault="00A46C6E" w:rsidP="009431FF">
            <w:pPr>
              <w:ind w:firstLine="709"/>
              <w:rPr>
                <w:bCs/>
                <w:szCs w:val="24"/>
                <w:lang w:eastAsia="x-none"/>
              </w:rPr>
            </w:pPr>
            <w:r w:rsidRPr="00A23740">
              <w:rPr>
                <w:bCs/>
                <w:szCs w:val="24"/>
                <w:lang w:eastAsia="x-none"/>
              </w:rPr>
              <w:t xml:space="preserve">6102 sayılı Kanunun 1353 üncü maddesinin birinci fıkrasının ikinci cümlesinde, birinci cümlesinden açıkça anlaşılan bir husus belirtildiğinden, bu iki cümlenin maddenin birinci fıkrasının birinci cümlesinde </w:t>
            </w:r>
            <w:r w:rsidRPr="00770FB7">
              <w:rPr>
                <w:bCs/>
                <w:i/>
                <w:szCs w:val="24"/>
                <w:lang w:eastAsia="x-none"/>
              </w:rPr>
              <w:t>“</w:t>
            </w:r>
            <w:r w:rsidR="00770FB7" w:rsidRPr="00770FB7">
              <w:rPr>
                <w:bCs/>
                <w:i/>
                <w:szCs w:val="24"/>
                <w:lang w:eastAsia="x-none"/>
              </w:rPr>
              <w:t xml:space="preserve">Bir gemi yalnızca </w:t>
            </w:r>
            <w:r w:rsidR="00770FB7" w:rsidRPr="00770FB7">
              <w:rPr>
                <w:i/>
                <w:szCs w:val="24"/>
              </w:rPr>
              <w:t>493 üncü</w:t>
            </w:r>
            <w:r w:rsidR="00770FB7" w:rsidRPr="00770FB7">
              <w:rPr>
                <w:bCs/>
                <w:i/>
                <w:szCs w:val="24"/>
                <w:lang w:eastAsia="x-none"/>
              </w:rPr>
              <w:t xml:space="preserve"> maddede sayılan deniz alacakları için sadece ihtiyaten haczedilebilir.</w:t>
            </w:r>
            <w:r w:rsidRPr="00770FB7">
              <w:rPr>
                <w:bCs/>
                <w:i/>
                <w:szCs w:val="24"/>
                <w:lang w:eastAsia="x-none"/>
              </w:rPr>
              <w:t>”</w:t>
            </w:r>
            <w:r w:rsidRPr="00A23740">
              <w:rPr>
                <w:bCs/>
                <w:szCs w:val="24"/>
                <w:lang w:eastAsia="x-none"/>
              </w:rPr>
              <w:t xml:space="preserve"> şeklinde ifade edilmesi uygun bulunmuştur. 6102 sayılı Kanunun 1353 üncü maddesinin üçüncü fıkrası, Türkiye’nin taraf olduğu 1999 </w:t>
            </w:r>
            <w:r w:rsidR="00EE7170" w:rsidRPr="00770FB7">
              <w:rPr>
                <w:szCs w:val="24"/>
              </w:rPr>
              <w:t>tarihli Milletlerarası</w:t>
            </w:r>
            <w:r w:rsidR="00EE7170" w:rsidRPr="006C062A">
              <w:rPr>
                <w:rStyle w:val="KonuBalChar"/>
                <w:rFonts w:eastAsia="Calibri"/>
                <w:b w:val="0"/>
                <w:color w:val="auto"/>
              </w:rPr>
              <w:t xml:space="preserve"> Sözleşme</w:t>
            </w:r>
            <w:r w:rsidR="00EE7170" w:rsidRPr="006C062A">
              <w:rPr>
                <w:rStyle w:val="KonuBalChar"/>
                <w:rFonts w:eastAsia="Calibri"/>
                <w:b w:val="0"/>
                <w:color w:val="auto"/>
                <w:lang w:val="tr-TR"/>
              </w:rPr>
              <w:t>nin</w:t>
            </w:r>
            <w:r w:rsidR="00EE7170" w:rsidRPr="00A23740">
              <w:rPr>
                <w:rFonts w:eastAsia="Times New Roman"/>
                <w:szCs w:val="24"/>
              </w:rPr>
              <w:t xml:space="preserve"> </w:t>
            </w:r>
            <w:r w:rsidRPr="00A23740">
              <w:rPr>
                <w:bCs/>
                <w:szCs w:val="24"/>
                <w:lang w:eastAsia="x-none"/>
              </w:rPr>
              <w:t>2 nci maddesinin ikinci fıkrası</w:t>
            </w:r>
            <w:r w:rsidR="00361BB5" w:rsidRPr="00A23740">
              <w:rPr>
                <w:bCs/>
                <w:szCs w:val="24"/>
                <w:lang w:eastAsia="x-none"/>
              </w:rPr>
              <w:t>yla</w:t>
            </w:r>
            <w:r w:rsidRPr="00A23740">
              <w:rPr>
                <w:bCs/>
                <w:szCs w:val="24"/>
                <w:lang w:eastAsia="x-none"/>
              </w:rPr>
              <w:t xml:space="preserve"> uyumludur. Bununla birlikte 6102 sayılı Kanunun 1353 üncü maddesinin üçüncü fıkrası hükmüne, maddenin birinci fıkrasının birinci cümlesinden sonra yer verilmesi gerektiği kabul edilerek ve ifadesi değiştirilerek bu maddenin birinci fıkrasının ikinci cümlesine alınmıştır. </w:t>
            </w:r>
          </w:p>
          <w:p w:rsidR="00A46C6E" w:rsidRPr="00A23740" w:rsidRDefault="00A46C6E" w:rsidP="009431FF">
            <w:pPr>
              <w:ind w:firstLine="709"/>
              <w:rPr>
                <w:bCs/>
                <w:szCs w:val="24"/>
                <w:lang w:eastAsia="x-none"/>
              </w:rPr>
            </w:pPr>
            <w:r w:rsidRPr="00A23740">
              <w:rPr>
                <w:bCs/>
                <w:szCs w:val="24"/>
                <w:lang w:eastAsia="x-none"/>
              </w:rPr>
              <w:t>Taslağın “ihtiyati haciz şartları” başlıklı</w:t>
            </w:r>
            <w:r w:rsidR="00EE7170" w:rsidRPr="00A23740">
              <w:rPr>
                <w:bCs/>
                <w:szCs w:val="24"/>
                <w:lang w:eastAsia="x-none"/>
              </w:rPr>
              <w:t xml:space="preserve"> </w:t>
            </w:r>
            <w:r w:rsidR="006F3E4F" w:rsidRPr="006C062A">
              <w:rPr>
                <w:rStyle w:val="KonuBalChar"/>
                <w:rFonts w:eastAsia="Calibri"/>
                <w:b w:val="0"/>
                <w:color w:val="auto"/>
              </w:rPr>
              <w:t>bu</w:t>
            </w:r>
            <w:r w:rsidRPr="00A23740">
              <w:rPr>
                <w:bCs/>
                <w:szCs w:val="24"/>
                <w:lang w:eastAsia="x-none"/>
              </w:rPr>
              <w:t xml:space="preserve"> maddesinin birinci fıkrasında</w:t>
            </w:r>
            <w:r w:rsidR="00361BB5" w:rsidRPr="00A23740">
              <w:rPr>
                <w:bCs/>
                <w:szCs w:val="24"/>
                <w:lang w:eastAsia="x-none"/>
              </w:rPr>
              <w:t>,</w:t>
            </w:r>
            <w:r w:rsidRPr="00A23740">
              <w:rPr>
                <w:bCs/>
                <w:szCs w:val="24"/>
                <w:lang w:eastAsia="x-none"/>
              </w:rPr>
              <w:t xml:space="preserve"> “</w:t>
            </w:r>
            <w:r w:rsidRPr="00A23740">
              <w:rPr>
                <w:bCs/>
                <w:i/>
                <w:iCs/>
                <w:szCs w:val="24"/>
                <w:lang w:eastAsia="x-none"/>
              </w:rPr>
              <w:t>rehinle temin edilmemiş muaccel bir para borcunun alacaklısının, borçlunun mal, hak ve alacaklarının ihtiyaten haczini talep edebileceği</w:t>
            </w:r>
            <w:r w:rsidRPr="00A23740">
              <w:rPr>
                <w:bCs/>
                <w:szCs w:val="24"/>
                <w:lang w:eastAsia="x-none"/>
              </w:rPr>
              <w:t xml:space="preserve">” öngörülmüştür. Türkiye’nin taraf olduğu 1999 </w:t>
            </w:r>
            <w:r w:rsidR="00624DA1" w:rsidRPr="006C062A">
              <w:rPr>
                <w:rStyle w:val="KonuBalChar"/>
                <w:rFonts w:eastAsia="Calibri"/>
                <w:b w:val="0"/>
                <w:color w:val="auto"/>
              </w:rPr>
              <w:t>tarihli Milletlerarası Sözleşme</w:t>
            </w:r>
            <w:r w:rsidR="00624DA1" w:rsidRPr="006C062A">
              <w:rPr>
                <w:rStyle w:val="KonuBalChar"/>
                <w:rFonts w:eastAsia="Calibri"/>
                <w:b w:val="0"/>
                <w:color w:val="auto"/>
                <w:lang w:val="tr-TR"/>
              </w:rPr>
              <w:t>nin</w:t>
            </w:r>
            <w:r w:rsidR="00624DA1" w:rsidRPr="00A23740">
              <w:rPr>
                <w:rFonts w:eastAsia="Times New Roman"/>
                <w:szCs w:val="24"/>
              </w:rPr>
              <w:t xml:space="preserve"> </w:t>
            </w:r>
            <w:r w:rsidRPr="00A23740">
              <w:rPr>
                <w:bCs/>
                <w:szCs w:val="24"/>
                <w:lang w:eastAsia="x-none"/>
              </w:rPr>
              <w:t>1 inci maddesinde ise geminin ihtiyaten haczedilebileceğ</w:t>
            </w:r>
            <w:r w:rsidR="00674FD2" w:rsidRPr="00A23740">
              <w:rPr>
                <w:bCs/>
                <w:szCs w:val="24"/>
                <w:lang w:eastAsia="x-none"/>
              </w:rPr>
              <w:t>i deniz alacakları arasında akdi veya kanuni</w:t>
            </w:r>
            <w:r w:rsidRPr="00A23740">
              <w:rPr>
                <w:bCs/>
                <w:szCs w:val="24"/>
                <w:lang w:eastAsia="x-none"/>
              </w:rPr>
              <w:t xml:space="preserve"> rehin hakkı ile teminat altına alınmış para alacakları da bulunmaktadır. 6102 sayılı Kanunun 1352 nci maddesine aktarılan bu hüküm, Taslağın </w:t>
            </w:r>
            <w:r w:rsidR="001F69FB" w:rsidRPr="006C062A">
              <w:rPr>
                <w:rStyle w:val="KonuBalChar"/>
                <w:rFonts w:eastAsia="Calibri"/>
                <w:b w:val="0"/>
                <w:color w:val="auto"/>
              </w:rPr>
              <w:t>493 üncü</w:t>
            </w:r>
            <w:r w:rsidR="001F69FB" w:rsidRPr="00A23740">
              <w:rPr>
                <w:rFonts w:eastAsia="Times New Roman"/>
                <w:b/>
                <w:bCs/>
                <w:color w:val="0000FF"/>
                <w:szCs w:val="24"/>
                <w:lang w:eastAsia="x-none"/>
              </w:rPr>
              <w:t xml:space="preserve"> </w:t>
            </w:r>
            <w:r w:rsidRPr="00A23740">
              <w:rPr>
                <w:bCs/>
                <w:szCs w:val="24"/>
                <w:lang w:eastAsia="x-none"/>
              </w:rPr>
              <w:t>maddesine alınmış olup, söz konusu maddenin (r) bendi “gemi rehni, gemi ipoteği veya gemi üzerinde aynı nitelikteki ayn</w:t>
            </w:r>
            <w:r w:rsidR="00AC45AD" w:rsidRPr="00A23740">
              <w:rPr>
                <w:bCs/>
                <w:szCs w:val="24"/>
                <w:lang w:eastAsia="x-none"/>
              </w:rPr>
              <w:t>i</w:t>
            </w:r>
            <w:r w:rsidRPr="00A23740">
              <w:rPr>
                <w:bCs/>
                <w:szCs w:val="24"/>
                <w:lang w:eastAsia="x-none"/>
              </w:rPr>
              <w:t xml:space="preserve"> bir yükümlülük” şeklindedir. Buna göre Taslağın </w:t>
            </w:r>
            <w:r w:rsidR="006F3E4F" w:rsidRPr="006C062A">
              <w:rPr>
                <w:rStyle w:val="KonuBalChar"/>
                <w:rFonts w:eastAsia="Calibri"/>
                <w:b w:val="0"/>
                <w:color w:val="auto"/>
              </w:rPr>
              <w:t>bu</w:t>
            </w:r>
            <w:r w:rsidR="006F3E4F" w:rsidRPr="00A23740">
              <w:rPr>
                <w:rStyle w:val="KIRMIZIChar"/>
                <w:rFonts w:eastAsia="Calibri"/>
                <w:strike w:val="0"/>
              </w:rPr>
              <w:t xml:space="preserve"> </w:t>
            </w:r>
            <w:r w:rsidRPr="00A23740">
              <w:rPr>
                <w:bCs/>
                <w:szCs w:val="24"/>
                <w:lang w:eastAsia="x-none"/>
              </w:rPr>
              <w:t>maddesinin birinci fıkrasından</w:t>
            </w:r>
            <w:r w:rsidR="00674FD2" w:rsidRPr="00A23740">
              <w:rPr>
                <w:bCs/>
                <w:szCs w:val="24"/>
                <w:lang w:eastAsia="x-none"/>
              </w:rPr>
              <w:t xml:space="preserve"> farklı olarak akdi veya kanuni</w:t>
            </w:r>
            <w:r w:rsidRPr="00A23740">
              <w:rPr>
                <w:bCs/>
                <w:szCs w:val="24"/>
                <w:lang w:eastAsia="x-none"/>
              </w:rPr>
              <w:t xml:space="preserve"> rehin hakkı</w:t>
            </w:r>
            <w:r w:rsidR="00361BB5" w:rsidRPr="00A23740">
              <w:rPr>
                <w:bCs/>
                <w:szCs w:val="24"/>
                <w:lang w:eastAsia="x-none"/>
              </w:rPr>
              <w:t>yla</w:t>
            </w:r>
            <w:r w:rsidRPr="00A23740">
              <w:rPr>
                <w:bCs/>
                <w:szCs w:val="24"/>
                <w:lang w:eastAsia="x-none"/>
              </w:rPr>
              <w:t xml:space="preserve"> teminat altına alınmış </w:t>
            </w:r>
            <w:r w:rsidR="00361BB5" w:rsidRPr="00A23740">
              <w:rPr>
                <w:bCs/>
                <w:szCs w:val="24"/>
                <w:lang w:eastAsia="x-none"/>
              </w:rPr>
              <w:t xml:space="preserve">olan </w:t>
            </w:r>
            <w:r w:rsidRPr="00A23740">
              <w:rPr>
                <w:bCs/>
                <w:szCs w:val="24"/>
                <w:lang w:eastAsia="x-none"/>
              </w:rPr>
              <w:t>deniz alacakları için de geminin ihtiyaten haczedilebileceği açıktır. Bu hususun ayrıca ve açıkça ifade edilmesi uygun görüldüğünden, 6102 sayılı Kanunun 1353 üncü maddesinin ikinci fıkrası, bu maddenin ikinci fıkrasına aynen alınmıştır.</w:t>
            </w:r>
          </w:p>
          <w:p w:rsidR="00A46C6E" w:rsidRPr="00A23740" w:rsidRDefault="00A46C6E" w:rsidP="009431FF">
            <w:pPr>
              <w:ind w:firstLine="709"/>
              <w:rPr>
                <w:bCs/>
                <w:szCs w:val="24"/>
                <w:lang w:eastAsia="x-none"/>
              </w:rPr>
            </w:pPr>
            <w:r w:rsidRPr="00A23740">
              <w:rPr>
                <w:bCs/>
                <w:szCs w:val="24"/>
                <w:lang w:eastAsia="x-none"/>
              </w:rPr>
              <w:t>6102 sayılı Kanunun 1353 üncü maddesinin dördüncü fıkrası, içerik itibar</w:t>
            </w:r>
            <w:r w:rsidR="00674FD2" w:rsidRPr="00A23740">
              <w:rPr>
                <w:bCs/>
                <w:szCs w:val="24"/>
                <w:lang w:eastAsia="x-none"/>
              </w:rPr>
              <w:t xml:space="preserve">ıyla </w:t>
            </w:r>
            <w:r w:rsidRPr="00A23740">
              <w:rPr>
                <w:bCs/>
                <w:szCs w:val="24"/>
                <w:lang w:eastAsia="x-none"/>
              </w:rPr>
              <w:t>birinci ve üçüncü fıkralarının farklı ifadeyle tekrarıdır. Bununla birlikte bu maddenin beşinci fıkrası dikkate alındığında, dördüncü fıkrada, ihtiyati haciz için deniz alacağının muaccel olması şartının hüküm altına alınmak istenmiş olabileceği; ancak açık ve anlaşılır şekilde ifade edilmediği kabul edilmiştir. Bu nedenle Taslağın</w:t>
            </w:r>
            <w:r w:rsidR="001F69FB" w:rsidRPr="00A23740">
              <w:rPr>
                <w:bCs/>
                <w:szCs w:val="24"/>
                <w:lang w:eastAsia="x-none"/>
              </w:rPr>
              <w:t xml:space="preserve"> </w:t>
            </w:r>
            <w:r w:rsidR="006F3E4F" w:rsidRPr="006C062A">
              <w:rPr>
                <w:rStyle w:val="KonuBalChar"/>
                <w:rFonts w:eastAsia="Calibri"/>
                <w:b w:val="0"/>
                <w:color w:val="auto"/>
              </w:rPr>
              <w:t>bu</w:t>
            </w:r>
            <w:r w:rsidRPr="00A23740">
              <w:rPr>
                <w:bCs/>
                <w:szCs w:val="24"/>
                <w:lang w:eastAsia="x-none"/>
              </w:rPr>
              <w:t xml:space="preserve"> maddesinin üçüncü fıkrasında, geminin ihtiyaten haczine karar verilebilmesi için muaccel bir deniz alacağının mevcudiyetinin yeterli olduğu belirtilmiştir. </w:t>
            </w:r>
          </w:p>
          <w:p w:rsidR="00A46C6E" w:rsidRPr="00A23740" w:rsidRDefault="00A46C6E" w:rsidP="009431FF">
            <w:pPr>
              <w:ind w:firstLine="709"/>
              <w:rPr>
                <w:bCs/>
                <w:szCs w:val="24"/>
                <w:lang w:eastAsia="x-none"/>
              </w:rPr>
            </w:pPr>
            <w:r w:rsidRPr="00A23740">
              <w:rPr>
                <w:bCs/>
                <w:szCs w:val="24"/>
                <w:lang w:eastAsia="x-none"/>
              </w:rPr>
              <w:t xml:space="preserve">Taslağın </w:t>
            </w:r>
            <w:r w:rsidR="006F3E4F" w:rsidRPr="006C062A">
              <w:rPr>
                <w:rStyle w:val="KonuBalChar"/>
                <w:rFonts w:eastAsia="Calibri"/>
                <w:b w:val="0"/>
                <w:color w:val="auto"/>
              </w:rPr>
              <w:t>bu</w:t>
            </w:r>
            <w:r w:rsidR="001F69FB" w:rsidRPr="00A23740">
              <w:rPr>
                <w:bCs/>
                <w:szCs w:val="24"/>
                <w:lang w:eastAsia="x-none"/>
              </w:rPr>
              <w:t xml:space="preserve"> </w:t>
            </w:r>
            <w:r w:rsidRPr="00A23740">
              <w:rPr>
                <w:bCs/>
                <w:szCs w:val="24"/>
                <w:lang w:eastAsia="x-none"/>
              </w:rPr>
              <w:t>maddesinin ikinci fıkrasında muaccel olmayan bor</w:t>
            </w:r>
            <w:r w:rsidR="00674FD2" w:rsidRPr="00A23740">
              <w:rPr>
                <w:bCs/>
                <w:szCs w:val="24"/>
                <w:lang w:eastAsia="x-none"/>
              </w:rPr>
              <w:t>ç için hangi koşullarda ihtiyati</w:t>
            </w:r>
            <w:r w:rsidRPr="00A23740">
              <w:rPr>
                <w:bCs/>
                <w:szCs w:val="24"/>
                <w:lang w:eastAsia="x-none"/>
              </w:rPr>
              <w:t xml:space="preserve"> haczin talep edilebileceği düzenlenmiştir. 6102 sayılı Kanunun 1353 üncü maddesinin beşinci fıkrası, Taslağın </w:t>
            </w:r>
            <w:r w:rsidR="006F3E4F" w:rsidRPr="006C062A">
              <w:rPr>
                <w:rStyle w:val="KonuBalChar"/>
                <w:rFonts w:eastAsia="Calibri"/>
                <w:b w:val="0"/>
                <w:color w:val="auto"/>
              </w:rPr>
              <w:t>bu</w:t>
            </w:r>
            <w:r w:rsidR="006F3E4F" w:rsidRPr="00A23740">
              <w:rPr>
                <w:rStyle w:val="KIRMIZIChar"/>
                <w:rFonts w:eastAsia="Calibri"/>
                <w:strike w:val="0"/>
              </w:rPr>
              <w:t xml:space="preserve"> </w:t>
            </w:r>
            <w:r w:rsidRPr="00A23740">
              <w:rPr>
                <w:bCs/>
                <w:szCs w:val="24"/>
                <w:lang w:eastAsia="x-none"/>
              </w:rPr>
              <w:t>maddesinin ikinci fıkrasına uygun şekilde ifadesi değiştirilip bu maddenin dördüncü fıkrasına alınmıştır. Bu fıkranın birinci cümlesi uyarınca verilen ihtiyati haciz kararının uygulanması</w:t>
            </w:r>
            <w:r w:rsidR="006F0AFD" w:rsidRPr="00A23740">
              <w:rPr>
                <w:bCs/>
                <w:szCs w:val="24"/>
                <w:lang w:eastAsia="x-none"/>
              </w:rPr>
              <w:t>yla</w:t>
            </w:r>
            <w:r w:rsidRPr="00A23740">
              <w:rPr>
                <w:bCs/>
                <w:szCs w:val="24"/>
                <w:lang w:eastAsia="x-none"/>
              </w:rPr>
              <w:t xml:space="preserve"> ihtiyati haciz konusu deniz alacağının, borçlusu ve borçlu olmasa dahi gemi maliki bakımından muaccel h</w:t>
            </w:r>
            <w:r w:rsidR="00674FD2" w:rsidRPr="00A23740">
              <w:rPr>
                <w:bCs/>
                <w:szCs w:val="24"/>
                <w:lang w:eastAsia="x-none"/>
              </w:rPr>
              <w:t>â</w:t>
            </w:r>
            <w:r w:rsidRPr="00A23740">
              <w:rPr>
                <w:bCs/>
                <w:szCs w:val="24"/>
                <w:lang w:eastAsia="x-none"/>
              </w:rPr>
              <w:t>le geleceğine dair ikinci cümle ilave edilmiş; böylece muaccel h</w:t>
            </w:r>
            <w:r w:rsidR="00674FD2" w:rsidRPr="00A23740">
              <w:rPr>
                <w:bCs/>
                <w:szCs w:val="24"/>
                <w:lang w:eastAsia="x-none"/>
              </w:rPr>
              <w:t>â</w:t>
            </w:r>
            <w:r w:rsidRPr="00A23740">
              <w:rPr>
                <w:bCs/>
                <w:szCs w:val="24"/>
                <w:lang w:eastAsia="x-none"/>
              </w:rPr>
              <w:t xml:space="preserve">le gelen borç dolayısıyla satışın mümkün olduğu hususu açıklığa kavuşturulmuştur. </w:t>
            </w:r>
          </w:p>
          <w:bookmarkEnd w:id="62"/>
          <w:p w:rsidR="006F3E4F" w:rsidRPr="00A23740" w:rsidRDefault="006F3E4F" w:rsidP="002A27F8">
            <w:pPr>
              <w:rPr>
                <w:rFonts w:eastAsia="Times New Roman"/>
                <w:b/>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b/>
                <w:bCs/>
                <w:strike/>
                <w:color w:val="FF0000"/>
                <w:szCs w:val="24"/>
                <w:shd w:val="clear" w:color="auto" w:fill="FDFDFD"/>
                <w:lang w:eastAsia="tr-TR"/>
              </w:rPr>
            </w:pPr>
            <w:r w:rsidRPr="00A23740">
              <w:rPr>
                <w:rFonts w:eastAsia="Times New Roman"/>
                <w:b/>
                <w:bCs/>
                <w:strike/>
                <w:color w:val="FF0000"/>
                <w:szCs w:val="24"/>
                <w:shd w:val="clear" w:color="auto" w:fill="FDFDFD"/>
                <w:lang w:eastAsia="tr-TR"/>
              </w:rPr>
              <w:t>4. Alacaklı tarafından delil gösterilmesi</w:t>
            </w:r>
          </w:p>
          <w:p w:rsidR="00A46C6E" w:rsidRPr="00A23740" w:rsidRDefault="00A46C6E" w:rsidP="009431FF">
            <w:pPr>
              <w:widowControl w:val="0"/>
              <w:rPr>
                <w:rFonts w:eastAsia="Times New Roman"/>
                <w:bCs/>
                <w:szCs w:val="24"/>
                <w:lang w:eastAsia="tr-TR"/>
              </w:rPr>
            </w:pPr>
            <w:r w:rsidRPr="00A23740">
              <w:rPr>
                <w:rFonts w:eastAsia="Times New Roman"/>
                <w:b/>
                <w:bCs/>
                <w:szCs w:val="24"/>
                <w:lang w:eastAsia="tr-TR"/>
              </w:rPr>
              <w:t xml:space="preserve">MADDE </w:t>
            </w:r>
            <w:r w:rsidRPr="00A23740">
              <w:rPr>
                <w:rFonts w:eastAsia="Times New Roman"/>
                <w:b/>
                <w:bCs/>
                <w:strike/>
                <w:color w:val="FF0000"/>
                <w:szCs w:val="24"/>
                <w:shd w:val="clear" w:color="auto" w:fill="FDFDFD"/>
                <w:lang w:eastAsia="tr-TR"/>
              </w:rPr>
              <w:t>1362-</w:t>
            </w:r>
            <w:r w:rsidRPr="00A23740">
              <w:rPr>
                <w:rFonts w:eastAsia="Times New Roman"/>
                <w:b/>
                <w:bCs/>
                <w:szCs w:val="24"/>
                <w:lang w:eastAsia="tr-TR"/>
              </w:rPr>
              <w:t xml:space="preserve"> </w:t>
            </w:r>
            <w:r w:rsidRPr="00A23740">
              <w:rPr>
                <w:rFonts w:eastAsia="Times New Roman"/>
                <w:bCs/>
                <w:szCs w:val="24"/>
                <w:lang w:eastAsia="tr-TR"/>
              </w:rPr>
              <w:t>(1) Alacaklı</w:t>
            </w:r>
            <w:r w:rsidRPr="00A23740">
              <w:rPr>
                <w:rFonts w:eastAsia="Times New Roman"/>
                <w:b/>
                <w:strike/>
                <w:color w:val="FF0000"/>
                <w:szCs w:val="24"/>
                <w:lang w:eastAsia="x-none"/>
              </w:rPr>
              <w:t>nın</w:t>
            </w:r>
            <w:r w:rsidRPr="00A23740">
              <w:rPr>
                <w:rFonts w:eastAsia="Times New Roman"/>
                <w:bCs/>
                <w:szCs w:val="24"/>
                <w:lang w:eastAsia="tr-TR"/>
              </w:rPr>
              <w:t xml:space="preserve">, alacağının </w:t>
            </w:r>
            <w:r w:rsidRPr="00284A3E">
              <w:rPr>
                <w:rStyle w:val="KIRMIZIChar"/>
                <w:rFonts w:eastAsia="Calibri"/>
              </w:rPr>
              <w:t>1352 nci maddede sayılan</w:t>
            </w:r>
            <w:r w:rsidRPr="00A23740">
              <w:rPr>
                <w:rFonts w:eastAsia="Times New Roman"/>
                <w:bCs/>
                <w:szCs w:val="24"/>
                <w:lang w:eastAsia="tr-TR"/>
              </w:rPr>
              <w:t xml:space="preserve"> deniz alacaklarından olduğu </w:t>
            </w:r>
            <w:r w:rsidRPr="00A23740">
              <w:rPr>
                <w:rFonts w:eastAsia="Times New Roman"/>
                <w:b/>
                <w:strike/>
                <w:color w:val="FF0000"/>
                <w:szCs w:val="24"/>
                <w:lang w:eastAsia="x-none"/>
              </w:rPr>
              <w:t>ve</w:t>
            </w:r>
            <w:r w:rsidRPr="00A23740">
              <w:rPr>
                <w:rFonts w:eastAsia="Times New Roman"/>
                <w:bCs/>
                <w:szCs w:val="24"/>
                <w:lang w:eastAsia="tr-TR"/>
              </w:rPr>
              <w:t xml:space="preserve"> </w:t>
            </w:r>
            <w:r w:rsidRPr="00A23740">
              <w:rPr>
                <w:rFonts w:eastAsia="Times New Roman"/>
                <w:b/>
                <w:strike/>
                <w:color w:val="FF0000"/>
                <w:szCs w:val="24"/>
                <w:lang w:eastAsia="x-none"/>
              </w:rPr>
              <w:t>parasal</w:t>
            </w:r>
            <w:r w:rsidRPr="00A23740">
              <w:rPr>
                <w:rFonts w:eastAsia="Times New Roman"/>
                <w:bCs/>
                <w:szCs w:val="24"/>
                <w:lang w:eastAsia="tr-TR"/>
              </w:rPr>
              <w:t xml:space="preserve"> değeri </w:t>
            </w:r>
            <w:r w:rsidRPr="00A23740">
              <w:rPr>
                <w:rFonts w:eastAsia="Times New Roman"/>
                <w:b/>
                <w:strike/>
                <w:color w:val="FF0000"/>
                <w:szCs w:val="24"/>
                <w:lang w:eastAsia="x-none"/>
              </w:rPr>
              <w:t>hakkında mahkemeye kanaat getirecek delil göstermesi yeterlidir.</w:t>
            </w:r>
          </w:p>
          <w:p w:rsidR="00A46C6E" w:rsidRPr="00A23740" w:rsidRDefault="00A46C6E" w:rsidP="009431FF">
            <w:pPr>
              <w:widowControl w:val="0"/>
              <w:rPr>
                <w:rFonts w:eastAsia="Times New Roman"/>
                <w:bCs/>
                <w:szCs w:val="24"/>
                <w:lang w:eastAsia="tr-TR"/>
              </w:rPr>
            </w:pPr>
          </w:p>
          <w:p w:rsidR="00672057" w:rsidRPr="00A23740" w:rsidRDefault="00672057" w:rsidP="009431FF">
            <w:pPr>
              <w:widowControl w:val="0"/>
              <w:rPr>
                <w:rFonts w:eastAsia="Times New Roman"/>
                <w:bCs/>
                <w:szCs w:val="24"/>
                <w:lang w:eastAsia="tr-TR"/>
              </w:rPr>
            </w:pPr>
          </w:p>
          <w:p w:rsidR="00672057" w:rsidRPr="00A23740" w:rsidRDefault="00672057" w:rsidP="009431FF">
            <w:pPr>
              <w:widowControl w:val="0"/>
              <w:rPr>
                <w:rFonts w:eastAsia="Times New Roman"/>
                <w:bCs/>
                <w:szCs w:val="24"/>
                <w:lang w:eastAsia="tr-TR"/>
              </w:rPr>
            </w:pPr>
          </w:p>
          <w:p w:rsidR="00A46C6E" w:rsidRPr="00A23740" w:rsidRDefault="00A46C6E" w:rsidP="009431FF">
            <w:pPr>
              <w:widowControl w:val="0"/>
              <w:rPr>
                <w:rFonts w:eastAsia="Times New Roman"/>
                <w:bCs/>
                <w:szCs w:val="24"/>
                <w:lang w:eastAsia="tr-TR"/>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5. Alacaklı tarafından teminat gösterilmesi</w:t>
            </w:r>
          </w:p>
          <w:p w:rsidR="00A46C6E" w:rsidRPr="00A23740" w:rsidRDefault="00A46C6E" w:rsidP="009431FF">
            <w:pPr>
              <w:widowControl w:val="0"/>
              <w:rPr>
                <w:b/>
                <w:color w:val="FF0000"/>
                <w:szCs w:val="24"/>
                <w:lang w:eastAsia="x-none"/>
              </w:rPr>
            </w:pPr>
            <w:r w:rsidRPr="00284A3E">
              <w:rPr>
                <w:rStyle w:val="KIRMIZIChar"/>
                <w:rFonts w:eastAsia="Calibri"/>
              </w:rPr>
              <w:t>MADDE 1363-</w:t>
            </w:r>
            <w:r w:rsidRPr="00A23740">
              <w:rPr>
                <w:rFonts w:eastAsia="Times New Roman"/>
                <w:b/>
                <w:strike/>
                <w:color w:val="FF0000"/>
                <w:szCs w:val="24"/>
                <w:lang w:eastAsia="x-none"/>
              </w:rPr>
              <w:t xml:space="preserve"> (1)</w:t>
            </w:r>
            <w:r w:rsidRPr="00A23740">
              <w:rPr>
                <w:rFonts w:eastAsia="Times New Roman"/>
                <w:szCs w:val="24"/>
                <w:lang w:eastAsia="x-none"/>
              </w:rPr>
              <w:t xml:space="preserve"> Deniz alacağı</w:t>
            </w:r>
            <w:r w:rsidRPr="00A23740">
              <w:rPr>
                <w:rFonts w:eastAsia="Times New Roman"/>
                <w:b/>
                <w:strike/>
                <w:color w:val="FF0000"/>
                <w:szCs w:val="24"/>
                <w:lang w:eastAsia="x-none"/>
              </w:rPr>
              <w:t>nı</w:t>
            </w:r>
            <w:r w:rsidRPr="00A23740">
              <w:rPr>
                <w:b/>
                <w:color w:val="FF0000"/>
                <w:szCs w:val="24"/>
                <w:lang w:eastAsia="x-none"/>
              </w:rPr>
              <w:t xml:space="preserve"> </w:t>
            </w:r>
            <w:r w:rsidRPr="00A23740">
              <w:rPr>
                <w:rFonts w:eastAsia="Times New Roman"/>
                <w:b/>
                <w:strike/>
                <w:color w:val="FF0000"/>
                <w:szCs w:val="24"/>
                <w:lang w:eastAsia="x-none"/>
              </w:rPr>
              <w:t>teminat altına almak üzere ihtiyati haciz kararı verilmesini isteyen</w:t>
            </w:r>
            <w:r w:rsidRPr="00A23740">
              <w:rPr>
                <w:b/>
                <w:color w:val="FF0000"/>
                <w:szCs w:val="24"/>
                <w:lang w:eastAsia="x-none"/>
              </w:rPr>
              <w:t xml:space="preserve"> </w:t>
            </w:r>
            <w:r w:rsidRPr="00A23740">
              <w:rPr>
                <w:rFonts w:eastAsia="Times New Roman"/>
                <w:szCs w:val="24"/>
                <w:lang w:eastAsia="x-none"/>
              </w:rPr>
              <w:t>alacaklı</w:t>
            </w:r>
            <w:r w:rsidRPr="00A23740">
              <w:rPr>
                <w:rFonts w:eastAsia="Times New Roman"/>
                <w:b/>
                <w:strike/>
                <w:color w:val="FF0000"/>
                <w:szCs w:val="24"/>
                <w:lang w:eastAsia="x-none"/>
              </w:rPr>
              <w:t>nın</w:t>
            </w:r>
            <w:r w:rsidRPr="00A23740">
              <w:rPr>
                <w:rFonts w:eastAsia="Times New Roman"/>
                <w:szCs w:val="24"/>
                <w:lang w:eastAsia="x-none"/>
              </w:rPr>
              <w:t>,</w:t>
            </w:r>
            <w:r w:rsidRPr="00A23740">
              <w:rPr>
                <w:rFonts w:eastAsia="Times New Roman"/>
                <w:color w:val="FF0000"/>
                <w:szCs w:val="24"/>
                <w:lang w:eastAsia="x-none"/>
              </w:rPr>
              <w:t xml:space="preserve"> </w:t>
            </w:r>
            <w:r w:rsidRPr="00A23740">
              <w:rPr>
                <w:rFonts w:eastAsia="Times New Roman"/>
                <w:szCs w:val="24"/>
                <w:lang w:eastAsia="x-none"/>
              </w:rPr>
              <w:t>10.000 Özel Çekme Hakkı tutarında</w:t>
            </w:r>
            <w:r w:rsidRPr="00A23740">
              <w:rPr>
                <w:b/>
                <w:color w:val="FF0000"/>
                <w:szCs w:val="24"/>
                <w:lang w:eastAsia="x-none"/>
              </w:rPr>
              <w:t xml:space="preserve"> </w:t>
            </w:r>
            <w:r w:rsidRPr="00A23740">
              <w:rPr>
                <w:rFonts w:eastAsia="Times New Roman"/>
                <w:szCs w:val="24"/>
                <w:lang w:eastAsia="x-none"/>
              </w:rPr>
              <w:t xml:space="preserve">teminat </w:t>
            </w:r>
            <w:r w:rsidRPr="00A23740">
              <w:rPr>
                <w:rFonts w:eastAsia="Times New Roman"/>
                <w:b/>
                <w:strike/>
                <w:color w:val="FF0000"/>
                <w:szCs w:val="24"/>
                <w:lang w:eastAsia="x-none"/>
              </w:rPr>
              <w:t>vermesi</w:t>
            </w:r>
            <w:r w:rsidRPr="00A23740">
              <w:rPr>
                <w:b/>
                <w:color w:val="FF0000"/>
                <w:szCs w:val="24"/>
                <w:lang w:eastAsia="x-none"/>
              </w:rPr>
              <w:t xml:space="preserve"> </w:t>
            </w:r>
            <w:r w:rsidRPr="00A23740">
              <w:rPr>
                <w:rFonts w:eastAsia="Times New Roman"/>
                <w:szCs w:val="24"/>
                <w:lang w:eastAsia="x-none"/>
              </w:rPr>
              <w:t>zorun</w:t>
            </w:r>
            <w:r w:rsidRPr="00A23740">
              <w:rPr>
                <w:rFonts w:eastAsia="Times New Roman"/>
                <w:b/>
                <w:strike/>
                <w:color w:val="FF0000"/>
                <w:szCs w:val="24"/>
                <w:lang w:eastAsia="x-none"/>
              </w:rPr>
              <w:t>ludur</w:t>
            </w:r>
            <w:r w:rsidRPr="00A23740">
              <w:rPr>
                <w:b/>
                <w:color w:val="FF0000"/>
                <w:szCs w:val="24"/>
                <w:lang w:eastAsia="x-none"/>
              </w:rPr>
              <w:t>.</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x-none"/>
              </w:rPr>
            </w:pPr>
            <w:r w:rsidRPr="00A23740">
              <w:rPr>
                <w:b/>
                <w:bCs/>
                <w:strike/>
                <w:color w:val="FF0000"/>
                <w:lang w:val="x-none" w:eastAsia="x-none"/>
              </w:rPr>
              <w:t>(2)</w:t>
            </w:r>
            <w:r w:rsidRPr="00A23740">
              <w:rPr>
                <w:rFonts w:eastAsia="Times New Roman"/>
                <w:szCs w:val="24"/>
                <w:lang w:eastAsia="x-none"/>
              </w:rPr>
              <w:t xml:space="preserve"> 1320 nci maddenin birinci fıkrasının (a) bendinde sayılan gemi alacaklıları </w:t>
            </w:r>
            <w:r w:rsidRPr="00A23740">
              <w:rPr>
                <w:rFonts w:eastAsia="Times New Roman"/>
                <w:b/>
                <w:strike/>
                <w:color w:val="FF0000"/>
                <w:szCs w:val="24"/>
                <w:lang w:eastAsia="x-none"/>
              </w:rPr>
              <w:t>teminat yatırmak yükümlülüğünden muaftır.</w:t>
            </w:r>
          </w:p>
          <w:p w:rsidR="00A46C6E" w:rsidRPr="00A23740" w:rsidRDefault="00A46C6E" w:rsidP="009431FF">
            <w:pPr>
              <w:widowControl w:val="0"/>
              <w:ind w:left="720"/>
              <w:rPr>
                <w:rFonts w:eastAsia="Times New Roman"/>
                <w:b/>
                <w:strike/>
                <w:color w:val="FF0000"/>
                <w:szCs w:val="24"/>
                <w:lang w:eastAsia="x-none"/>
              </w:rPr>
            </w:pPr>
          </w:p>
          <w:p w:rsidR="00A46C6E" w:rsidRPr="00A23740" w:rsidRDefault="00A46C6E" w:rsidP="009431FF">
            <w:pPr>
              <w:widowControl w:val="0"/>
              <w:rPr>
                <w:rFonts w:eastAsia="Times New Roman"/>
                <w:b/>
                <w:strike/>
                <w:color w:val="FF0000"/>
                <w:szCs w:val="24"/>
                <w:lang w:eastAsia="x-none"/>
              </w:rPr>
            </w:pPr>
          </w:p>
          <w:p w:rsidR="00A46C6E" w:rsidRPr="00A23740" w:rsidRDefault="00A46C6E" w:rsidP="009431FF">
            <w:pPr>
              <w:widowControl w:val="0"/>
              <w:rPr>
                <w:rFonts w:eastAsia="Times New Roman"/>
                <w:b/>
                <w:bCs/>
                <w:szCs w:val="24"/>
              </w:rPr>
            </w:pPr>
          </w:p>
          <w:p w:rsidR="00A46C6E" w:rsidRPr="00A23740" w:rsidRDefault="00A46C6E" w:rsidP="009431FF">
            <w:pPr>
              <w:widowControl w:val="0"/>
              <w:rPr>
                <w:rFonts w:eastAsia="Times New Roman"/>
                <w:b/>
                <w:bCs/>
                <w:szCs w:val="24"/>
              </w:rPr>
            </w:pPr>
          </w:p>
        </w:tc>
        <w:tc>
          <w:tcPr>
            <w:tcW w:w="2500" w:type="pct"/>
            <w:shd w:val="clear" w:color="auto" w:fill="auto"/>
          </w:tcPr>
          <w:p w:rsidR="00A46C6E" w:rsidRPr="00A23740" w:rsidRDefault="00A46C6E" w:rsidP="009431FF">
            <w:pPr>
              <w:widowControl w:val="0"/>
              <w:rPr>
                <w:rFonts w:eastAsia="Times New Roman"/>
                <w:b/>
                <w:bCs/>
                <w:color w:val="0000FF"/>
                <w:szCs w:val="24"/>
                <w:lang w:eastAsia="tr-TR"/>
              </w:rPr>
            </w:pPr>
            <w:r w:rsidRPr="00A23740">
              <w:rPr>
                <w:rFonts w:eastAsia="Times New Roman"/>
                <w:b/>
                <w:bCs/>
                <w:color w:val="0000FF"/>
                <w:szCs w:val="24"/>
                <w:lang w:eastAsia="tr-TR"/>
              </w:rPr>
              <w:t xml:space="preserve">İhtiyati haciz kararı verilmesi </w:t>
            </w:r>
          </w:p>
          <w:p w:rsidR="00A46C6E" w:rsidRPr="00A23740" w:rsidRDefault="00B04175" w:rsidP="009431FF">
            <w:pPr>
              <w:widowControl w:val="0"/>
              <w:rPr>
                <w:rFonts w:eastAsia="Times New Roman"/>
                <w:b/>
                <w:bCs/>
                <w:color w:val="0000FF"/>
                <w:szCs w:val="24"/>
                <w:lang w:eastAsia="tr-TR"/>
              </w:rPr>
            </w:pPr>
            <w:r w:rsidRPr="00284A3E">
              <w:rPr>
                <w:rFonts w:eastAsia="Times New Roman"/>
                <w:b/>
                <w:bCs/>
                <w:color w:val="000000" w:themeColor="text1"/>
                <w:szCs w:val="24"/>
                <w:lang w:eastAsia="tr-TR"/>
              </w:rPr>
              <w:t xml:space="preserve">MADDE </w:t>
            </w:r>
            <w:r w:rsidR="00735BF6" w:rsidRPr="00A23740">
              <w:rPr>
                <w:b/>
                <w:color w:val="0000FF"/>
                <w:szCs w:val="24"/>
                <w:lang w:eastAsia="tr-TR"/>
              </w:rPr>
              <w:t>491</w:t>
            </w:r>
            <w:r w:rsidR="00A46C6E" w:rsidRPr="00A23740">
              <w:rPr>
                <w:rFonts w:eastAsia="Times New Roman"/>
                <w:b/>
                <w:bCs/>
                <w:color w:val="0000FF"/>
                <w:szCs w:val="24"/>
                <w:lang w:eastAsia="tr-TR"/>
              </w:rPr>
              <w:t xml:space="preserve">- </w:t>
            </w:r>
            <w:r w:rsidR="00A46C6E" w:rsidRPr="00284A3E">
              <w:t>(1)</w:t>
            </w:r>
            <w:r w:rsidR="00A46C6E" w:rsidRPr="00A23740">
              <w:rPr>
                <w:rFonts w:eastAsia="Times New Roman"/>
                <w:b/>
                <w:bCs/>
                <w:color w:val="0000FF"/>
                <w:szCs w:val="24"/>
                <w:lang w:eastAsia="tr-TR"/>
              </w:rPr>
              <w:t xml:space="preserve"> </w:t>
            </w:r>
            <w:r w:rsidR="00A46C6E" w:rsidRPr="00A23740">
              <w:rPr>
                <w:rFonts w:eastAsia="Times New Roman"/>
                <w:bCs/>
                <w:szCs w:val="24"/>
                <w:lang w:eastAsia="tr-TR"/>
              </w:rPr>
              <w:t>Alacaklı, alacağının</w:t>
            </w:r>
            <w:r w:rsidR="00A46C6E" w:rsidRPr="00A23740">
              <w:rPr>
                <w:rFonts w:eastAsia="Times New Roman"/>
                <w:b/>
                <w:bCs/>
                <w:color w:val="0000FF"/>
                <w:szCs w:val="24"/>
                <w:lang w:eastAsia="tr-TR"/>
              </w:rPr>
              <w:t xml:space="preserve"> mevcudiyeti</w:t>
            </w:r>
            <w:r w:rsidR="00672057" w:rsidRPr="006C062A">
              <w:rPr>
                <w:rStyle w:val="YELChar"/>
                <w:color w:val="0000FF"/>
              </w:rPr>
              <w:t>ni,</w:t>
            </w:r>
            <w:r w:rsidR="00672057" w:rsidRPr="00A23740">
              <w:rPr>
                <w:rStyle w:val="YELChar"/>
              </w:rPr>
              <w:t xml:space="preserve"> </w:t>
            </w:r>
            <w:r w:rsidR="00672057" w:rsidRPr="006C062A">
              <w:rPr>
                <w:rStyle w:val="YELChar"/>
                <w:color w:val="0000FF"/>
              </w:rPr>
              <w:t>muaccel</w:t>
            </w:r>
            <w:r w:rsidR="00672057" w:rsidRPr="00A23740">
              <w:rPr>
                <w:rStyle w:val="YELChar"/>
              </w:rPr>
              <w:t xml:space="preserve"> </w:t>
            </w:r>
            <w:r w:rsidR="00672057" w:rsidRPr="006C062A">
              <w:rPr>
                <w:rStyle w:val="YELChar"/>
                <w:color w:val="0000FF"/>
              </w:rPr>
              <w:t>olduğunu, muaccel olmayan deniz alacakları</w:t>
            </w:r>
            <w:r w:rsidR="007E6661" w:rsidRPr="006C062A">
              <w:rPr>
                <w:rStyle w:val="YELChar"/>
                <w:color w:val="0000FF"/>
              </w:rPr>
              <w:t xml:space="preserve"> bakımından</w:t>
            </w:r>
            <w:r w:rsidR="00672057" w:rsidRPr="00A23740">
              <w:rPr>
                <w:rStyle w:val="YELChar"/>
              </w:rPr>
              <w:t xml:space="preserve"> </w:t>
            </w:r>
            <w:r w:rsidR="00735BF6" w:rsidRPr="006C062A">
              <w:rPr>
                <w:rStyle w:val="KonuBalChar"/>
                <w:rFonts w:eastAsia="ヒラギノ明朝 Pro W3"/>
                <w:color w:val="0000FF"/>
              </w:rPr>
              <w:t>453</w:t>
            </w:r>
            <w:r w:rsidR="00735BF6" w:rsidRPr="00A23740">
              <w:rPr>
                <w:rStyle w:val="KonuBalChar"/>
                <w:rFonts w:eastAsia="ヒラギノ明朝 Pro W3"/>
              </w:rPr>
              <w:t xml:space="preserve"> </w:t>
            </w:r>
            <w:r w:rsidR="00735BF6" w:rsidRPr="006C062A">
              <w:rPr>
                <w:rStyle w:val="KonuBalChar"/>
                <w:rFonts w:eastAsia="ヒラギノ明朝 Pro W3"/>
                <w:color w:val="0000FF"/>
              </w:rPr>
              <w:t>üncü</w:t>
            </w:r>
            <w:r w:rsidR="00735BF6" w:rsidRPr="00A23740">
              <w:rPr>
                <w:rStyle w:val="YELChar"/>
              </w:rPr>
              <w:t xml:space="preserve"> </w:t>
            </w:r>
            <w:r w:rsidR="00672057" w:rsidRPr="006C062A">
              <w:rPr>
                <w:rStyle w:val="YELChar"/>
                <w:color w:val="0000FF"/>
              </w:rPr>
              <w:t>maddenin</w:t>
            </w:r>
            <w:r w:rsidR="00672057" w:rsidRPr="00A23740">
              <w:rPr>
                <w:rStyle w:val="YELChar"/>
              </w:rPr>
              <w:t xml:space="preserve"> </w:t>
            </w:r>
            <w:r w:rsidR="00672057" w:rsidRPr="006C062A">
              <w:rPr>
                <w:rStyle w:val="YELChar"/>
                <w:color w:val="0000FF"/>
              </w:rPr>
              <w:t>ikinci</w:t>
            </w:r>
            <w:r w:rsidR="00672057" w:rsidRPr="00A23740">
              <w:rPr>
                <w:rStyle w:val="YELChar"/>
              </w:rPr>
              <w:t xml:space="preserve"> </w:t>
            </w:r>
            <w:r w:rsidR="00672057" w:rsidRPr="006C062A">
              <w:rPr>
                <w:rStyle w:val="YELChar"/>
                <w:color w:val="0000FF"/>
              </w:rPr>
              <w:t>fıkrasında</w:t>
            </w:r>
            <w:r w:rsidR="00672057" w:rsidRPr="00A23740">
              <w:rPr>
                <w:rStyle w:val="YELChar"/>
              </w:rPr>
              <w:t xml:space="preserve"> </w:t>
            </w:r>
            <w:r w:rsidR="00672057" w:rsidRPr="006C062A">
              <w:rPr>
                <w:rStyle w:val="YELChar"/>
                <w:color w:val="0000FF"/>
              </w:rPr>
              <w:t>yer</w:t>
            </w:r>
            <w:r w:rsidR="00672057" w:rsidRPr="00A23740">
              <w:rPr>
                <w:rStyle w:val="YELChar"/>
              </w:rPr>
              <w:t xml:space="preserve"> </w:t>
            </w:r>
            <w:r w:rsidR="00672057" w:rsidRPr="006C062A">
              <w:rPr>
                <w:rStyle w:val="YELChar"/>
                <w:color w:val="0000FF"/>
              </w:rPr>
              <w:t>alan</w:t>
            </w:r>
            <w:r w:rsidR="00672057" w:rsidRPr="00A23740">
              <w:rPr>
                <w:rStyle w:val="YELChar"/>
              </w:rPr>
              <w:t xml:space="preserve"> </w:t>
            </w:r>
            <w:r w:rsidR="00672057" w:rsidRPr="006C062A">
              <w:rPr>
                <w:rStyle w:val="YELChar"/>
                <w:color w:val="0000FF"/>
              </w:rPr>
              <w:t>şartlardan birinin bulunduğunu, bu alacağın</w:t>
            </w:r>
            <w:r w:rsidR="00672057" w:rsidRPr="00A23740">
              <w:rPr>
                <w:rStyle w:val="YELChar"/>
              </w:rPr>
              <w:t xml:space="preserve"> </w:t>
            </w:r>
            <w:r w:rsidR="00A46C6E" w:rsidRPr="00A23740">
              <w:rPr>
                <w:rFonts w:eastAsia="Times New Roman"/>
                <w:bCs/>
                <w:szCs w:val="24"/>
                <w:lang w:eastAsia="tr-TR"/>
              </w:rPr>
              <w:t>deniz alacaklarından olduğu</w:t>
            </w:r>
            <w:r w:rsidR="00A46C6E" w:rsidRPr="00A23740">
              <w:rPr>
                <w:rFonts w:eastAsia="Times New Roman"/>
                <w:b/>
                <w:bCs/>
                <w:color w:val="0000FF"/>
                <w:szCs w:val="24"/>
                <w:lang w:eastAsia="tr-TR"/>
              </w:rPr>
              <w:t xml:space="preserve">nu, </w:t>
            </w:r>
            <w:r w:rsidR="00A46C6E" w:rsidRPr="00A23740">
              <w:rPr>
                <w:rFonts w:eastAsia="Times New Roman"/>
                <w:b/>
                <w:bCs/>
                <w:color w:val="0000FF"/>
                <w:szCs w:val="24"/>
                <w:lang w:eastAsia="x-none"/>
              </w:rPr>
              <w:t>varsa miktar veya</w:t>
            </w:r>
            <w:r w:rsidR="00A46C6E" w:rsidRPr="00A23740">
              <w:rPr>
                <w:rFonts w:eastAsia="Times New Roman"/>
                <w:bCs/>
                <w:szCs w:val="24"/>
                <w:lang w:eastAsia="tr-TR"/>
              </w:rPr>
              <w:t xml:space="preserve"> değeri</w:t>
            </w:r>
            <w:r w:rsidR="00A46C6E" w:rsidRPr="00A23740">
              <w:rPr>
                <w:rFonts w:eastAsia="Times New Roman"/>
                <w:b/>
                <w:bCs/>
                <w:color w:val="0000FF"/>
                <w:szCs w:val="24"/>
                <w:lang w:eastAsia="tr-TR"/>
              </w:rPr>
              <w:t>ni ve talep konusu</w:t>
            </w:r>
            <w:r w:rsidR="007E6661" w:rsidRPr="00A23740">
              <w:rPr>
                <w:rFonts w:eastAsia="Times New Roman"/>
                <w:b/>
                <w:bCs/>
                <w:color w:val="0000FF"/>
                <w:szCs w:val="24"/>
                <w:lang w:eastAsia="tr-TR"/>
              </w:rPr>
              <w:t xml:space="preserve"> </w:t>
            </w:r>
            <w:r w:rsidR="007E6661" w:rsidRPr="006C062A">
              <w:rPr>
                <w:rFonts w:eastAsia="Times New Roman"/>
                <w:b/>
                <w:bCs/>
                <w:color w:val="0000FF"/>
                <w:szCs w:val="24"/>
                <w:lang w:eastAsia="tr-TR"/>
              </w:rPr>
              <w:t>gemiyle ilgili olarak</w:t>
            </w:r>
            <w:r w:rsidR="00A46C6E" w:rsidRPr="00A23740">
              <w:rPr>
                <w:rFonts w:eastAsia="Times New Roman"/>
                <w:b/>
                <w:bCs/>
                <w:color w:val="0000FF"/>
                <w:szCs w:val="24"/>
                <w:lang w:eastAsia="tr-TR"/>
              </w:rPr>
              <w:t xml:space="preserve"> </w:t>
            </w:r>
            <w:r w:rsidR="00735BF6" w:rsidRPr="006C062A">
              <w:rPr>
                <w:rStyle w:val="KonuBalChar"/>
                <w:rFonts w:eastAsia="Calibri"/>
                <w:color w:val="0000FF"/>
              </w:rPr>
              <w:t>499</w:t>
            </w:r>
            <w:r w:rsidR="00735BF6" w:rsidRPr="00A23740">
              <w:rPr>
                <w:rStyle w:val="KonuBalChar"/>
                <w:rFonts w:eastAsia="Calibri"/>
              </w:rPr>
              <w:t xml:space="preserve"> </w:t>
            </w:r>
            <w:r w:rsidR="00735BF6" w:rsidRPr="006C062A">
              <w:rPr>
                <w:rStyle w:val="KonuBalChar"/>
                <w:rFonts w:eastAsia="Calibri"/>
                <w:color w:val="0000FF"/>
              </w:rPr>
              <w:t>uncu</w:t>
            </w:r>
            <w:r w:rsidR="00735BF6" w:rsidRPr="00A23740">
              <w:rPr>
                <w:rFonts w:eastAsia="Times New Roman"/>
                <w:b/>
                <w:bCs/>
                <w:color w:val="0000FF"/>
                <w:szCs w:val="24"/>
                <w:lang w:eastAsia="tr-TR"/>
              </w:rPr>
              <w:t xml:space="preserve"> </w:t>
            </w:r>
            <w:r w:rsidR="00A46C6E" w:rsidRPr="00A23740">
              <w:rPr>
                <w:b/>
                <w:bCs/>
                <w:color w:val="0000FF"/>
                <w:lang w:val="x-none" w:eastAsia="x-none"/>
              </w:rPr>
              <w:t>madde</w:t>
            </w:r>
            <w:r w:rsidR="00017B2C" w:rsidRPr="006C062A">
              <w:rPr>
                <w:rStyle w:val="YELChar"/>
                <w:color w:val="0000FF"/>
              </w:rPr>
              <w:t>de</w:t>
            </w:r>
            <w:r w:rsidR="00017B2C" w:rsidRPr="00A23740">
              <w:rPr>
                <w:rStyle w:val="YELChar"/>
              </w:rPr>
              <w:t xml:space="preserve"> </w:t>
            </w:r>
            <w:r w:rsidR="00017B2C" w:rsidRPr="006C062A">
              <w:rPr>
                <w:rStyle w:val="YELChar"/>
                <w:color w:val="0000FF"/>
              </w:rPr>
              <w:t>düzenlenen</w:t>
            </w:r>
            <w:r w:rsidR="00017B2C" w:rsidRPr="00A23740">
              <w:rPr>
                <w:rStyle w:val="YELChar"/>
              </w:rPr>
              <w:t xml:space="preserve"> </w:t>
            </w:r>
            <w:r w:rsidR="00017B2C" w:rsidRPr="006C062A">
              <w:rPr>
                <w:rStyle w:val="YELChar"/>
                <w:color w:val="0000FF"/>
              </w:rPr>
              <w:t>şartları taşıdığını</w:t>
            </w:r>
            <w:r w:rsidR="00A46C6E" w:rsidRPr="00A23740">
              <w:rPr>
                <w:rFonts w:eastAsia="Times New Roman"/>
                <w:b/>
                <w:bCs/>
                <w:color w:val="0000FF"/>
                <w:szCs w:val="24"/>
                <w:lang w:eastAsia="tr-TR"/>
              </w:rPr>
              <w:t xml:space="preserve"> yaklaşık olarak ispatladığı takdirde, mahkemece bu geminin ihtiyati haczine karar verilebilir.</w:t>
            </w:r>
          </w:p>
          <w:p w:rsidR="00A46C6E" w:rsidRPr="00A23740" w:rsidRDefault="00A46C6E" w:rsidP="009431FF">
            <w:pPr>
              <w:widowControl w:val="0"/>
              <w:rPr>
                <w:rFonts w:eastAsia="Times New Roman"/>
                <w:b/>
                <w:bCs/>
                <w:color w:val="0000FF"/>
                <w:szCs w:val="24"/>
                <w:lang w:eastAsia="tr-TR"/>
              </w:rPr>
            </w:pPr>
          </w:p>
          <w:p w:rsidR="007E6661" w:rsidRPr="009D25DD" w:rsidRDefault="00A46C6E" w:rsidP="009431FF">
            <w:pPr>
              <w:widowControl w:val="0"/>
              <w:rPr>
                <w:rFonts w:eastAsia="Times New Roman"/>
                <w:b/>
                <w:bCs/>
                <w:color w:val="0000FF"/>
                <w:szCs w:val="24"/>
                <w:lang w:eastAsia="x-none"/>
              </w:rPr>
            </w:pPr>
            <w:r w:rsidRPr="00A23740">
              <w:rPr>
                <w:rFonts w:eastAsia="Times New Roman"/>
                <w:b/>
                <w:bCs/>
                <w:color w:val="0000FF"/>
                <w:szCs w:val="24"/>
                <w:lang w:eastAsia="tr-TR"/>
              </w:rPr>
              <w:t>(2) Bir deniz alacağı için ihtiyati haciz talep eden alacaklı,</w:t>
            </w:r>
            <w:r w:rsidRPr="00A23740">
              <w:rPr>
                <w:b/>
                <w:bCs/>
                <w:color w:val="0000FF"/>
                <w:lang w:val="x-none" w:eastAsia="x-none"/>
              </w:rPr>
              <w:t xml:space="preserve"> talep tarihinde Türkiye Cumhuriyet Merkez Bankası tarafından ilan edilen değeri üzerinden </w:t>
            </w:r>
            <w:r w:rsidRPr="00A23740">
              <w:rPr>
                <w:rFonts w:eastAsia="Times New Roman"/>
                <w:szCs w:val="24"/>
                <w:lang w:eastAsia="x-none"/>
              </w:rPr>
              <w:t>10.000 Özel Çekme Hakkı</w:t>
            </w:r>
            <w:r w:rsidRPr="00A23740">
              <w:rPr>
                <w:b/>
                <w:bCs/>
                <w:color w:val="0000FF"/>
                <w:lang w:val="x-none" w:eastAsia="x-none"/>
              </w:rPr>
              <w:t xml:space="preserve">nın Türk </w:t>
            </w:r>
            <w:r w:rsidR="00672057" w:rsidRPr="006C062A">
              <w:rPr>
                <w:rStyle w:val="YeniYeilChar"/>
                <w:rFonts w:eastAsia="Calibri"/>
                <w:color w:val="0000FF"/>
              </w:rPr>
              <w:t>l</w:t>
            </w:r>
            <w:r w:rsidRPr="00A23740">
              <w:rPr>
                <w:b/>
                <w:bCs/>
                <w:color w:val="0000FF"/>
                <w:lang w:val="x-none" w:eastAsia="x-none"/>
              </w:rPr>
              <w:t>irası karşılığı</w:t>
            </w:r>
            <w:r w:rsidRPr="00A23740">
              <w:rPr>
                <w:rFonts w:eastAsia="Times New Roman"/>
                <w:b/>
                <w:bCs/>
                <w:color w:val="0000FF"/>
                <w:szCs w:val="24"/>
                <w:lang w:eastAsia="tr-TR"/>
              </w:rPr>
              <w:t xml:space="preserve"> </w:t>
            </w:r>
            <w:r w:rsidRPr="00A23740">
              <w:rPr>
                <w:rFonts w:eastAsia="Times New Roman"/>
                <w:szCs w:val="24"/>
                <w:lang w:eastAsia="x-none"/>
              </w:rPr>
              <w:t>tutarında</w:t>
            </w:r>
            <w:r w:rsidRPr="00A23740">
              <w:rPr>
                <w:rFonts w:eastAsia="Times New Roman"/>
                <w:b/>
                <w:bCs/>
                <w:color w:val="0000FF"/>
                <w:szCs w:val="24"/>
                <w:lang w:eastAsia="tr-TR"/>
              </w:rPr>
              <w:t xml:space="preserve"> </w:t>
            </w:r>
            <w:r w:rsidRPr="00284A3E">
              <w:t>teminat</w:t>
            </w:r>
            <w:r w:rsidRPr="00A23740">
              <w:rPr>
                <w:rFonts w:eastAsia="Times New Roman"/>
                <w:b/>
                <w:bCs/>
                <w:color w:val="0000FF"/>
                <w:szCs w:val="24"/>
                <w:lang w:eastAsia="tr-TR"/>
              </w:rPr>
              <w:t xml:space="preserve"> göstermek zorundadır. Bu zorunluluk, Türk Ticaret Kanununun</w:t>
            </w:r>
            <w:r w:rsidRPr="00A23740">
              <w:rPr>
                <w:rFonts w:eastAsia="Times New Roman"/>
                <w:szCs w:val="24"/>
                <w:lang w:eastAsia="x-none"/>
              </w:rPr>
              <w:t xml:space="preserve"> 1320 nci madde</w:t>
            </w:r>
            <w:r w:rsidRPr="00A23740">
              <w:rPr>
                <w:rFonts w:eastAsia="Times New Roman"/>
                <w:b/>
                <w:bCs/>
                <w:color w:val="0000FF"/>
                <w:szCs w:val="24"/>
                <w:lang w:eastAsia="tr-TR"/>
              </w:rPr>
              <w:t>si</w:t>
            </w:r>
            <w:r w:rsidRPr="00A23740">
              <w:rPr>
                <w:rFonts w:eastAsia="Times New Roman"/>
                <w:szCs w:val="24"/>
                <w:lang w:eastAsia="x-none"/>
              </w:rPr>
              <w:t xml:space="preserve">nin birinci fıkrasının (a) bendinde sayılan gemi alacaklıları </w:t>
            </w:r>
            <w:r w:rsidRPr="00A23740">
              <w:rPr>
                <w:rFonts w:eastAsia="Times New Roman"/>
                <w:b/>
                <w:bCs/>
                <w:color w:val="0000FF"/>
                <w:szCs w:val="24"/>
                <w:lang w:eastAsia="x-none"/>
              </w:rPr>
              <w:t>ve adli yardımdan yararlananlar için geçerli değildir. Alacak bir ilama dayanıyor</w:t>
            </w:r>
            <w:r w:rsidR="007E6661" w:rsidRPr="006C062A">
              <w:rPr>
                <w:rFonts w:eastAsia="Times New Roman"/>
                <w:b/>
                <w:bCs/>
                <w:color w:val="0000FF"/>
                <w:szCs w:val="24"/>
                <w:lang w:eastAsia="x-none"/>
              </w:rPr>
              <w:t>sa</w:t>
            </w:r>
            <w:r w:rsidRPr="00A23740">
              <w:rPr>
                <w:rFonts w:eastAsia="Times New Roman"/>
                <w:b/>
                <w:bCs/>
                <w:color w:val="0000FF"/>
                <w:szCs w:val="24"/>
                <w:lang w:eastAsia="x-none"/>
              </w:rPr>
              <w:t xml:space="preserve"> teminat aranmaz. Alacak ilam niteliğinde bir belgeye dayanıyorsa</w:t>
            </w:r>
            <w:r w:rsidR="007E6661" w:rsidRPr="002A27F8">
              <w:rPr>
                <w:rStyle w:val="Balk1Char"/>
                <w:rFonts w:eastAsia="Calibri"/>
              </w:rPr>
              <w:t>,</w:t>
            </w:r>
            <w:r w:rsidRPr="00A23740">
              <w:rPr>
                <w:rFonts w:eastAsia="Times New Roman"/>
                <w:b/>
                <w:bCs/>
                <w:color w:val="0000FF"/>
                <w:szCs w:val="24"/>
                <w:lang w:eastAsia="x-none"/>
              </w:rPr>
              <w:t xml:space="preserve"> mahkeme bu teminatın alınmasına gerek olup olmadığına karar verir.</w:t>
            </w: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64" w:name="_Hlk134295718"/>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491</w:t>
            </w:r>
            <w:r w:rsidR="00A46C6E" w:rsidRPr="00A23740">
              <w:rPr>
                <w:rFonts w:eastAsia="Times New Roman"/>
                <w:b/>
                <w:bCs/>
                <w:szCs w:val="24"/>
                <w:lang w:eastAsia="tr-TR"/>
              </w:rPr>
              <w:t xml:space="preserve">- </w:t>
            </w:r>
            <w:bookmarkStart w:id="65" w:name="_Hlk172877885"/>
            <w:r w:rsidR="00A46C6E" w:rsidRPr="00A23740">
              <w:rPr>
                <w:bCs/>
                <w:szCs w:val="24"/>
                <w:lang w:eastAsia="x-none"/>
              </w:rPr>
              <w:t>Maddeyle, ihtiyati haciz kararı verilmesine ilişkin hususlar düzenlenmektedir</w:t>
            </w:r>
            <w:bookmarkEnd w:id="65"/>
            <w:r w:rsidR="00A46C6E" w:rsidRPr="00A23740">
              <w:rPr>
                <w:bCs/>
                <w:szCs w:val="24"/>
                <w:lang w:eastAsia="x-none"/>
              </w:rPr>
              <w:t>.</w:t>
            </w:r>
          </w:p>
          <w:bookmarkEnd w:id="64"/>
          <w:p w:rsidR="00A46C6E" w:rsidRPr="00A23740" w:rsidRDefault="00A46C6E" w:rsidP="009431FF">
            <w:pPr>
              <w:ind w:firstLine="709"/>
              <w:rPr>
                <w:rFonts w:eastAsia="Times New Roman"/>
                <w:szCs w:val="24"/>
                <w:lang w:eastAsia="tr-TR"/>
              </w:rPr>
            </w:pPr>
            <w:r w:rsidRPr="00A23740">
              <w:rPr>
                <w:rFonts w:eastAsia="Times New Roman"/>
                <w:bCs/>
                <w:szCs w:val="24"/>
                <w:lang w:eastAsia="tr-TR"/>
              </w:rPr>
              <w:t>6102 sayılı Kanunun</w:t>
            </w:r>
            <w:r w:rsidRPr="00A23740">
              <w:rPr>
                <w:rFonts w:eastAsia="Times New Roman"/>
                <w:szCs w:val="24"/>
                <w:lang w:eastAsia="tr-TR"/>
              </w:rPr>
              <w:t xml:space="preserve"> 1362 nci ve 1363 üncü maddesinin birinci ve üçüncü fıkralarında bir geminin ihtiyati haczine karar verilebilmesi düzenlendiğinden, bu fıkra hükümlerinin bazı içerik ve ifade değişiklikleri</w:t>
            </w:r>
            <w:r w:rsidR="006F0AFD" w:rsidRPr="00A23740">
              <w:rPr>
                <w:rFonts w:eastAsia="Times New Roman"/>
                <w:szCs w:val="24"/>
                <w:lang w:eastAsia="tr-TR"/>
              </w:rPr>
              <w:t>yle</w:t>
            </w:r>
            <w:r w:rsidRPr="00A23740">
              <w:rPr>
                <w:rFonts w:eastAsia="Times New Roman"/>
                <w:szCs w:val="24"/>
                <w:lang w:eastAsia="tr-TR"/>
              </w:rPr>
              <w:t xml:space="preserve"> </w:t>
            </w:r>
            <w:r w:rsidR="006F0AFD" w:rsidRPr="00A23740">
              <w:rPr>
                <w:rFonts w:eastAsia="Times New Roman"/>
                <w:szCs w:val="24"/>
                <w:lang w:eastAsia="tr-TR"/>
              </w:rPr>
              <w:t xml:space="preserve">ve </w:t>
            </w:r>
            <w:r w:rsidRPr="00A23740">
              <w:rPr>
                <w:rFonts w:eastAsia="Times New Roman"/>
                <w:szCs w:val="24"/>
                <w:lang w:eastAsia="tr-TR"/>
              </w:rPr>
              <w:t>“ihtiyati haciz kararı verilmesi” kenar başlığı</w:t>
            </w:r>
            <w:r w:rsidR="006F0AFD" w:rsidRPr="00A23740">
              <w:rPr>
                <w:rFonts w:eastAsia="Times New Roman"/>
                <w:szCs w:val="24"/>
                <w:lang w:eastAsia="tr-TR"/>
              </w:rPr>
              <w:t>yla</w:t>
            </w:r>
            <w:r w:rsidRPr="00A23740">
              <w:rPr>
                <w:rFonts w:eastAsia="Times New Roman"/>
                <w:szCs w:val="24"/>
                <w:lang w:eastAsia="tr-TR"/>
              </w:rPr>
              <w:t xml:space="preserve"> tek maddede toplanması uygun görülmüştür.</w:t>
            </w:r>
          </w:p>
          <w:p w:rsidR="00A46C6E" w:rsidRPr="00A23740" w:rsidRDefault="00A46C6E" w:rsidP="009431FF">
            <w:pPr>
              <w:ind w:firstLine="709"/>
              <w:rPr>
                <w:rFonts w:eastAsia="Times New Roman"/>
                <w:szCs w:val="24"/>
                <w:lang w:eastAsia="tr-TR"/>
              </w:rPr>
            </w:pPr>
            <w:r w:rsidRPr="00A23740">
              <w:rPr>
                <w:rFonts w:eastAsia="Times New Roman"/>
                <w:bCs/>
                <w:szCs w:val="24"/>
                <w:lang w:eastAsia="tr-TR"/>
              </w:rPr>
              <w:t>6102 sayılı Kanunun</w:t>
            </w:r>
            <w:r w:rsidRPr="00A23740">
              <w:rPr>
                <w:rFonts w:eastAsia="Times New Roman"/>
                <w:szCs w:val="24"/>
                <w:lang w:eastAsia="tr-TR"/>
              </w:rPr>
              <w:t xml:space="preserve"> 1362 nci maddesinin birinci fıkrasında yer alan “</w:t>
            </w:r>
            <w:r w:rsidRPr="00A23740">
              <w:rPr>
                <w:rFonts w:eastAsia="Times New Roman"/>
                <w:i/>
                <w:iCs/>
                <w:szCs w:val="24"/>
                <w:lang w:eastAsia="tr-TR"/>
              </w:rPr>
              <w:t>mahkemeye kanaat getirecek delil göstermesi</w:t>
            </w:r>
            <w:r w:rsidRPr="00A23740">
              <w:rPr>
                <w:rFonts w:eastAsia="Times New Roman"/>
                <w:szCs w:val="24"/>
                <w:lang w:eastAsia="tr-TR"/>
              </w:rPr>
              <w:t>” ibaresi yerine Taslağın</w:t>
            </w:r>
            <w:r w:rsidR="00735BF6" w:rsidRPr="00A23740">
              <w:rPr>
                <w:rFonts w:eastAsia="Times New Roman"/>
                <w:szCs w:val="24"/>
                <w:lang w:eastAsia="tr-TR"/>
              </w:rPr>
              <w:t xml:space="preserve"> </w:t>
            </w:r>
            <w:r w:rsidR="00735BF6" w:rsidRPr="006C062A">
              <w:rPr>
                <w:rStyle w:val="KonuBalChar"/>
                <w:rFonts w:eastAsia="Calibri"/>
                <w:b w:val="0"/>
                <w:color w:val="auto"/>
              </w:rPr>
              <w:t>454 üncü</w:t>
            </w:r>
            <w:r w:rsidRPr="006C062A">
              <w:rPr>
                <w:rFonts w:eastAsia="Times New Roman"/>
                <w:b/>
                <w:szCs w:val="24"/>
                <w:lang w:eastAsia="tr-TR"/>
              </w:rPr>
              <w:t xml:space="preserve"> </w:t>
            </w:r>
            <w:r w:rsidRPr="00A23740">
              <w:rPr>
                <w:rFonts w:eastAsia="Times New Roman"/>
                <w:szCs w:val="24"/>
                <w:lang w:eastAsia="tr-TR"/>
              </w:rPr>
              <w:t>maddesinin</w:t>
            </w:r>
            <w:r w:rsidR="00192689" w:rsidRPr="00A23740">
              <w:rPr>
                <w:rFonts w:eastAsia="Times New Roman"/>
                <w:szCs w:val="24"/>
                <w:lang w:eastAsia="tr-TR"/>
              </w:rPr>
              <w:t xml:space="preserve"> </w:t>
            </w:r>
            <w:r w:rsidR="00192689" w:rsidRPr="006C062A">
              <w:rPr>
                <w:rStyle w:val="KonuBalChar"/>
                <w:rFonts w:eastAsia="Calibri"/>
                <w:b w:val="0"/>
                <w:color w:val="auto"/>
              </w:rPr>
              <w:t>ikinci fıkrasına</w:t>
            </w:r>
            <w:r w:rsidRPr="006C062A">
              <w:rPr>
                <w:rFonts w:eastAsia="Times New Roman"/>
                <w:b/>
                <w:szCs w:val="24"/>
                <w:lang w:eastAsia="tr-TR"/>
              </w:rPr>
              <w:t xml:space="preserve"> </w:t>
            </w:r>
            <w:r w:rsidRPr="00A23740">
              <w:rPr>
                <w:rFonts w:eastAsia="Times New Roman"/>
                <w:szCs w:val="24"/>
                <w:lang w:eastAsia="tr-TR"/>
              </w:rPr>
              <w:t xml:space="preserve">uygun şekilde “yaklaşık olarak ispatladığı takdirde” ibaresi kullanılmıştır. </w:t>
            </w:r>
            <w:r w:rsidRPr="00A23740">
              <w:rPr>
                <w:rFonts w:eastAsia="Times New Roman"/>
                <w:bCs/>
                <w:szCs w:val="24"/>
                <w:lang w:eastAsia="tr-TR"/>
              </w:rPr>
              <w:t>6102 sayılı Kanunun</w:t>
            </w:r>
            <w:r w:rsidRPr="00A23740">
              <w:rPr>
                <w:rFonts w:eastAsia="Times New Roman"/>
                <w:szCs w:val="24"/>
                <w:lang w:eastAsia="tr-TR"/>
              </w:rPr>
              <w:t xml:space="preserve"> 1362 nci maddesinin birinci fıkrasında yer alan “… </w:t>
            </w:r>
            <w:r w:rsidRPr="00A23740">
              <w:rPr>
                <w:rFonts w:eastAsia="Times New Roman"/>
                <w:i/>
                <w:iCs/>
                <w:szCs w:val="24"/>
                <w:lang w:eastAsia="tr-TR"/>
              </w:rPr>
              <w:t>alacağının … deniz alacaklarından olduğu ve parasal değeri hakkında</w:t>
            </w:r>
            <w:r w:rsidRPr="00A23740">
              <w:rPr>
                <w:rFonts w:eastAsia="Times New Roman"/>
                <w:szCs w:val="24"/>
                <w:lang w:eastAsia="tr-TR"/>
              </w:rPr>
              <w:t xml:space="preserve"> …” ibaresi, parasal olmayan deniz alacaklarını kapsamadığı gibi, alacağın mevcudiyeti yaklaşık olarak ispatlanmadan sadece deniz alacakları listesinde yer alan bir alacak iddiasının yeterli olduğu şeklinde yanlış anlaşılmaya da elverişli olduğundan isabetli görülmemiştir. Bu nedenle söz konusu ibare, parasal olan ve olmayan deniz alac</w:t>
            </w:r>
            <w:r w:rsidR="00782C97" w:rsidRPr="00A23740">
              <w:rPr>
                <w:rFonts w:eastAsia="Times New Roman"/>
                <w:szCs w:val="24"/>
                <w:lang w:eastAsia="tr-TR"/>
              </w:rPr>
              <w:t xml:space="preserve">aklarını da kapsayacak şekilde </w:t>
            </w:r>
            <w:r w:rsidR="00782C97" w:rsidRPr="006C062A">
              <w:rPr>
                <w:rStyle w:val="YeniYeilChar"/>
                <w:rFonts w:eastAsia="Calibri"/>
                <w:b w:val="0"/>
                <w:color w:val="auto"/>
              </w:rPr>
              <w:t>“</w:t>
            </w:r>
            <w:r w:rsidR="00782C97" w:rsidRPr="006C062A">
              <w:rPr>
                <w:rStyle w:val="YeniYeilChar"/>
                <w:rFonts w:eastAsia="Calibri"/>
                <w:b w:val="0"/>
                <w:i/>
                <w:color w:val="auto"/>
                <w:lang w:eastAsia="tr-TR"/>
              </w:rPr>
              <w:t xml:space="preserve">bu alacağın </w:t>
            </w:r>
            <w:r w:rsidR="00782C97" w:rsidRPr="006C062A">
              <w:rPr>
                <w:rStyle w:val="YeniYeilChar"/>
                <w:rFonts w:eastAsia="Calibri"/>
                <w:b w:val="0"/>
                <w:i/>
                <w:color w:val="auto"/>
              </w:rPr>
              <w:t xml:space="preserve">deniz alacaklarından olduğunu, </w:t>
            </w:r>
            <w:r w:rsidR="00782C97" w:rsidRPr="006C062A">
              <w:rPr>
                <w:rStyle w:val="YeniYeilChar"/>
                <w:rFonts w:eastAsia="Calibri"/>
                <w:b w:val="0"/>
                <w:i/>
                <w:color w:val="auto"/>
                <w:lang w:eastAsia="tr-TR"/>
              </w:rPr>
              <w:t>varsa miktar veya</w:t>
            </w:r>
            <w:r w:rsidR="00782C97" w:rsidRPr="006C062A">
              <w:rPr>
                <w:rStyle w:val="YeniYeilChar"/>
                <w:rFonts w:eastAsia="Calibri"/>
                <w:b w:val="0"/>
                <w:i/>
                <w:color w:val="auto"/>
              </w:rPr>
              <w:t xml:space="preserve"> değerini</w:t>
            </w:r>
            <w:r w:rsidR="00782C97" w:rsidRPr="006C062A">
              <w:rPr>
                <w:rStyle w:val="YeniYeilChar"/>
                <w:rFonts w:eastAsia="Calibri"/>
                <w:b w:val="0"/>
                <w:color w:val="auto"/>
              </w:rPr>
              <w:t>”</w:t>
            </w:r>
            <w:r w:rsidR="00782C97" w:rsidRPr="00A23740">
              <w:rPr>
                <w:rStyle w:val="YeniYeilChar"/>
                <w:rFonts w:eastAsia="Calibri"/>
              </w:rPr>
              <w:t xml:space="preserve"> </w:t>
            </w:r>
            <w:r w:rsidRPr="00A23740">
              <w:rPr>
                <w:rFonts w:eastAsia="Times New Roman"/>
                <w:szCs w:val="24"/>
                <w:lang w:eastAsia="tr-TR"/>
              </w:rPr>
              <w:t>şeklinde değiştirilmiş; böylece alacağın mevcudiyeti hususunun da yaklaşık olarak ispatlanması gerekliği ifade edilmiştir. Ayrıca alacağın mevcudiyeti ile deniz alacaklarından olduğu, varsa miktar veya değeri yanında ihtiyat</w:t>
            </w:r>
            <w:r w:rsidR="00782C97" w:rsidRPr="006C062A">
              <w:rPr>
                <w:rStyle w:val="YeniYeilChar"/>
                <w:rFonts w:eastAsia="Calibri"/>
                <w:b w:val="0"/>
                <w:color w:val="auto"/>
              </w:rPr>
              <w:t>i</w:t>
            </w:r>
            <w:r w:rsidRPr="00A23740">
              <w:rPr>
                <w:rFonts w:eastAsia="Times New Roman"/>
                <w:szCs w:val="24"/>
                <w:lang w:eastAsia="tr-TR"/>
              </w:rPr>
              <w:t xml:space="preserve"> haczi talep edilen geminin, talep konusu deniz alacağı için ihtiyaten haczedilebileceği hususunun da yaklaşık olarak ispatlanması gerektiği kabul edilerek</w:t>
            </w:r>
            <w:r w:rsidR="006F0AFD" w:rsidRPr="00A23740">
              <w:rPr>
                <w:rFonts w:eastAsia="Times New Roman"/>
                <w:szCs w:val="24"/>
                <w:lang w:eastAsia="tr-TR"/>
              </w:rPr>
              <w:t>,</w:t>
            </w:r>
            <w:r w:rsidRPr="00A23740">
              <w:rPr>
                <w:rFonts w:eastAsia="Times New Roman"/>
                <w:szCs w:val="24"/>
                <w:lang w:eastAsia="tr-TR"/>
              </w:rPr>
              <w:t xml:space="preserve"> “… </w:t>
            </w:r>
            <w:r w:rsidRPr="00A23740">
              <w:rPr>
                <w:rFonts w:eastAsia="Times New Roman"/>
                <w:i/>
                <w:iCs/>
                <w:szCs w:val="24"/>
                <w:lang w:eastAsia="tr-TR"/>
              </w:rPr>
              <w:t xml:space="preserve">ve talep konusu geminin </w:t>
            </w:r>
            <w:r w:rsidR="00192689" w:rsidRPr="006C062A">
              <w:rPr>
                <w:rStyle w:val="KonuBalChar"/>
                <w:rFonts w:eastAsia="Calibri"/>
                <w:b w:val="0"/>
                <w:i/>
                <w:color w:val="auto"/>
              </w:rPr>
              <w:t>499 uncu</w:t>
            </w:r>
            <w:r w:rsidR="00192689" w:rsidRPr="00A23740">
              <w:rPr>
                <w:rFonts w:eastAsia="Times New Roman"/>
                <w:b/>
                <w:bCs/>
                <w:i/>
                <w:color w:val="0000FF"/>
                <w:szCs w:val="24"/>
                <w:lang w:eastAsia="tr-TR"/>
              </w:rPr>
              <w:t xml:space="preserve"> </w:t>
            </w:r>
            <w:r w:rsidRPr="00A23740">
              <w:rPr>
                <w:rFonts w:eastAsia="Times New Roman"/>
                <w:i/>
                <w:iCs/>
                <w:szCs w:val="24"/>
                <w:lang w:eastAsia="tr-TR"/>
              </w:rPr>
              <w:t>madde uyarınca ihtiyati haczinin mümkün olduğunu</w:t>
            </w:r>
            <w:r w:rsidRPr="00A23740">
              <w:rPr>
                <w:rFonts w:eastAsia="Times New Roman"/>
                <w:szCs w:val="24"/>
                <w:lang w:eastAsia="tr-TR"/>
              </w:rPr>
              <w:t xml:space="preserve"> …” ibaresi eklenmiştir. Belirtilen bu değişikliklerle </w:t>
            </w:r>
            <w:r w:rsidRPr="00A23740">
              <w:rPr>
                <w:rFonts w:eastAsia="Times New Roman"/>
                <w:bCs/>
                <w:szCs w:val="24"/>
                <w:lang w:eastAsia="tr-TR"/>
              </w:rPr>
              <w:t>6102 sayılı Kanunun</w:t>
            </w:r>
            <w:r w:rsidRPr="00A23740">
              <w:rPr>
                <w:rFonts w:eastAsia="Times New Roman"/>
                <w:szCs w:val="24"/>
                <w:lang w:eastAsia="tr-TR"/>
              </w:rPr>
              <w:t xml:space="preserve"> 1362 nci maddesinin birinci fıkrası, maddenin birinci fıkrasına alınmıştır. </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Maddeni</w:t>
            </w:r>
            <w:r w:rsidR="00782C97" w:rsidRPr="006C062A">
              <w:rPr>
                <w:rStyle w:val="YeniYeilChar"/>
                <w:rFonts w:eastAsia="Calibri"/>
                <w:b w:val="0"/>
                <w:color w:val="auto"/>
              </w:rPr>
              <w:t>n</w:t>
            </w:r>
            <w:r w:rsidRPr="00A23740">
              <w:rPr>
                <w:rFonts w:eastAsia="Times New Roman"/>
                <w:szCs w:val="24"/>
                <w:lang w:eastAsia="tr-TR"/>
              </w:rPr>
              <w:t xml:space="preserve"> ikinci fıkrasının birinci ve ikinci cümleleri, </w:t>
            </w:r>
            <w:r w:rsidRPr="00A23740">
              <w:rPr>
                <w:rFonts w:eastAsia="Times New Roman"/>
                <w:bCs/>
                <w:szCs w:val="24"/>
                <w:lang w:eastAsia="tr-TR"/>
              </w:rPr>
              <w:t>6102 sayılı Kanunun</w:t>
            </w:r>
            <w:r w:rsidRPr="00A23740">
              <w:rPr>
                <w:rFonts w:eastAsia="Times New Roman"/>
                <w:szCs w:val="24"/>
                <w:lang w:eastAsia="tr-TR"/>
              </w:rPr>
              <w:t xml:space="preserve"> 1363 üncü maddesinin birinci ve üçüncü fıkraları birleştirilmek ve değiştirilmek suretiyle kaleme alınmıştır. 1999 </w:t>
            </w:r>
            <w:r w:rsidR="00192689" w:rsidRPr="006C062A">
              <w:rPr>
                <w:rStyle w:val="KonuBalChar"/>
                <w:rFonts w:eastAsia="Calibri"/>
                <w:b w:val="0"/>
                <w:color w:val="auto"/>
              </w:rPr>
              <w:t>tarihli Milletlerarası Sözleşme</w:t>
            </w:r>
            <w:r w:rsidR="00192689" w:rsidRPr="006C062A">
              <w:rPr>
                <w:rStyle w:val="KonuBalChar"/>
                <w:rFonts w:eastAsia="Calibri"/>
                <w:b w:val="0"/>
                <w:color w:val="auto"/>
                <w:lang w:val="tr-TR"/>
              </w:rPr>
              <w:t>nin</w:t>
            </w:r>
            <w:r w:rsidRPr="00A23740">
              <w:rPr>
                <w:rFonts w:eastAsia="Times New Roman"/>
                <w:szCs w:val="24"/>
                <w:lang w:eastAsia="tr-TR"/>
              </w:rPr>
              <w:t xml:space="preserve"> “ihtiyaten haczedilen gemilerin maliklerinin ve kiracılarının korunması” başlıklı 6 ncı maddesinde ihtiyati haciz kararı verilmesinin veya verilip uygulanmış ihtiyati haczin devamının koşulu olarak “ihtiyati haciz talep eden alacaklının, ihtiyati haciz dolayısıyla zarara uğrayabileceklerin zararlarının karşılanması amacıyla mahkeme tarafından belirlenecek miktarda ve türde teminat göstermekle yükümlü olduğu” öngörülmüştür. İhtiyati haczi talep edilen geminin çoğu zaman çok kısa bir süre için Türk mahkemelerinin yargı yetkisi alanında bulunacakları; mahkemenin teminatın miktarını ve türünü belirlemesine temel teşkil edecek bilgilere ulaşması ve değerlendirmesi için gereken sürede geminin Türk kara sularını terk edebileceği; ayrıca geminin yüksek ekonomik değeri ve ihtiyatî hacizden etkilenecek çeşitli menfaatler dikkate alınarak, 1999 </w:t>
            </w:r>
            <w:r w:rsidR="00192689" w:rsidRPr="006C062A">
              <w:rPr>
                <w:rStyle w:val="KonuBalChar"/>
                <w:rFonts w:eastAsia="Calibri"/>
                <w:b w:val="0"/>
                <w:color w:val="auto"/>
              </w:rPr>
              <w:t>tarihli Milletlerarası Sözleşme</w:t>
            </w:r>
            <w:r w:rsidR="00192689" w:rsidRPr="006C062A">
              <w:rPr>
                <w:rStyle w:val="KonuBalChar"/>
                <w:rFonts w:eastAsia="Calibri"/>
                <w:b w:val="0"/>
                <w:color w:val="auto"/>
                <w:lang w:val="tr-TR"/>
              </w:rPr>
              <w:t>nin</w:t>
            </w:r>
            <w:r w:rsidRPr="00A23740">
              <w:rPr>
                <w:rFonts w:eastAsia="Times New Roman"/>
                <w:szCs w:val="24"/>
                <w:lang w:eastAsia="tr-TR"/>
              </w:rPr>
              <w:t xml:space="preserve"> 6 ncı maddesinden farklı olarak ihtiyati haciz kararı verilebilmesi için alacaklı tarafından gösterilecek teminat miktarının, </w:t>
            </w:r>
            <w:r w:rsidRPr="00A23740">
              <w:rPr>
                <w:rFonts w:eastAsia="Times New Roman"/>
                <w:bCs/>
                <w:szCs w:val="24"/>
                <w:lang w:eastAsia="tr-TR"/>
              </w:rPr>
              <w:t>6102 sayılı Kanunun</w:t>
            </w:r>
            <w:r w:rsidRPr="00A23740">
              <w:rPr>
                <w:rFonts w:eastAsia="Times New Roman"/>
                <w:szCs w:val="24"/>
                <w:lang w:eastAsia="tr-TR"/>
              </w:rPr>
              <w:t xml:space="preserve"> 1363 üncü maddesinde olduğu gibi belirli tutar olarak tespiti uygun bulunmuştur. </w:t>
            </w:r>
            <w:r w:rsidRPr="00A23740">
              <w:rPr>
                <w:rFonts w:eastAsia="Times New Roman"/>
                <w:bCs/>
                <w:szCs w:val="24"/>
                <w:lang w:eastAsia="tr-TR"/>
              </w:rPr>
              <w:t>6102 sayılı Kanunun</w:t>
            </w:r>
            <w:r w:rsidRPr="00A23740">
              <w:rPr>
                <w:rFonts w:eastAsia="Times New Roman"/>
                <w:szCs w:val="24"/>
                <w:lang w:eastAsia="tr-TR"/>
              </w:rPr>
              <w:t xml:space="preserve"> 1363 üncü maddesinin birinci fıkrasında, 10.000 Özel Çekme Hakkının hangi tarihteki değerinin esas alınacağı belirtilmediğinden, bu hususa açıklık getirmek üzere “</w:t>
            </w:r>
            <w:r w:rsidRPr="00A23740">
              <w:rPr>
                <w:rFonts w:eastAsia="Times New Roman"/>
                <w:i/>
                <w:iCs/>
                <w:szCs w:val="24"/>
                <w:lang w:eastAsia="tr-TR"/>
              </w:rPr>
              <w:t xml:space="preserve">talep tarihinde Türkiye Cumhuriyet Merkez Bankası tarafından ilan edilen değeri üzerinden 10.000 Özel Çekme Hakkının Türk </w:t>
            </w:r>
            <w:r w:rsidR="00782C97" w:rsidRPr="006C062A">
              <w:rPr>
                <w:rStyle w:val="YeniYeilChar"/>
                <w:rFonts w:eastAsia="Calibri"/>
                <w:b w:val="0"/>
                <w:i/>
                <w:color w:val="auto"/>
              </w:rPr>
              <w:t>l</w:t>
            </w:r>
            <w:r w:rsidRPr="00A23740">
              <w:rPr>
                <w:rFonts w:eastAsia="Times New Roman"/>
                <w:i/>
                <w:iCs/>
                <w:szCs w:val="24"/>
                <w:lang w:eastAsia="tr-TR"/>
              </w:rPr>
              <w:t>irası karşılığı tutarında</w:t>
            </w:r>
            <w:r w:rsidRPr="00A23740">
              <w:rPr>
                <w:rFonts w:eastAsia="Times New Roman"/>
                <w:szCs w:val="24"/>
                <w:lang w:eastAsia="tr-TR"/>
              </w:rPr>
              <w:t xml:space="preserve">” şeklinde değişiklik yapılması gerekli görülmüş; bu değişiklikle </w:t>
            </w:r>
            <w:r w:rsidRPr="00A23740">
              <w:rPr>
                <w:rFonts w:eastAsia="Times New Roman"/>
                <w:bCs/>
                <w:szCs w:val="24"/>
                <w:lang w:eastAsia="tr-TR"/>
              </w:rPr>
              <w:t>6102 sayılı Kanunun</w:t>
            </w:r>
            <w:r w:rsidRPr="00A23740">
              <w:rPr>
                <w:rFonts w:eastAsia="Times New Roman"/>
                <w:szCs w:val="24"/>
                <w:lang w:eastAsia="tr-TR"/>
              </w:rPr>
              <w:t xml:space="preserve"> 1363 üncü maddesinin birinci fıkrası, maddenin ikinci fıkrasının birinci cümlesine alınmıştır.</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 xml:space="preserve">1999 </w:t>
            </w:r>
            <w:r w:rsidR="00192689" w:rsidRPr="006C062A">
              <w:rPr>
                <w:rStyle w:val="KonuBalChar"/>
                <w:rFonts w:eastAsia="Calibri"/>
                <w:b w:val="0"/>
                <w:color w:val="auto"/>
              </w:rPr>
              <w:t>tarihli Milletlerarası Sözleşme</w:t>
            </w:r>
            <w:r w:rsidR="00192689" w:rsidRPr="006C062A">
              <w:rPr>
                <w:rStyle w:val="KonuBalChar"/>
                <w:rFonts w:eastAsia="Calibri"/>
                <w:b w:val="0"/>
                <w:color w:val="auto"/>
                <w:lang w:val="tr-TR"/>
              </w:rPr>
              <w:t>nin</w:t>
            </w:r>
            <w:r w:rsidRPr="00A23740">
              <w:rPr>
                <w:rFonts w:eastAsia="Times New Roman"/>
                <w:szCs w:val="24"/>
                <w:lang w:eastAsia="tr-TR"/>
              </w:rPr>
              <w:t xml:space="preserve"> 6 ncı maddesinde herhangi bir deniz alacağı, teminat gösterme zorunluluğundan muaf tutulmamıştır. Ancak </w:t>
            </w:r>
            <w:r w:rsidRPr="00A23740">
              <w:rPr>
                <w:rFonts w:eastAsia="Times New Roman"/>
                <w:bCs/>
                <w:szCs w:val="24"/>
                <w:lang w:eastAsia="tr-TR"/>
              </w:rPr>
              <w:t xml:space="preserve">6102 sayılı Kanunun </w:t>
            </w:r>
            <w:r w:rsidRPr="00A23740">
              <w:rPr>
                <w:rFonts w:eastAsia="Times New Roman"/>
                <w:szCs w:val="24"/>
                <w:lang w:eastAsia="tr-TR"/>
              </w:rPr>
              <w:t xml:space="preserve">1320 nci maddesinin (a) bendi uyarınca gemi alacaklısı hakkına sahip olan ve </w:t>
            </w:r>
            <w:r w:rsidR="00657D32" w:rsidRPr="006C062A">
              <w:rPr>
                <w:rStyle w:val="KonuBalChar"/>
                <w:rFonts w:eastAsia="Calibri"/>
                <w:b w:val="0"/>
                <w:color w:val="auto"/>
              </w:rPr>
              <w:t>493 üncü</w:t>
            </w:r>
            <w:r w:rsidR="00657D32" w:rsidRPr="00A23740">
              <w:rPr>
                <w:rStyle w:val="KonuBalChar"/>
                <w:rFonts w:eastAsia="Calibri"/>
              </w:rPr>
              <w:t xml:space="preserve"> </w:t>
            </w:r>
            <w:r w:rsidRPr="00A23740">
              <w:rPr>
                <w:rFonts w:eastAsia="Times New Roman"/>
                <w:szCs w:val="24"/>
                <w:lang w:eastAsia="tr-TR"/>
              </w:rPr>
              <w:t xml:space="preserve">maddenin (l) bendinde belirtilen gemi adamlarının, ücretli çalışanlar olarak 10.000 Özel Çekme Hakkı tutarında teminat gösterme zorunluluğunu yerine getirmekte güçlük çekebilecekleri, bunun sonucunda da hizmet sözleşmesinden doğan alacaklarının tahsilini temin için gemiyi ihtiyaten haczettirme imkânını kullanamayacakları dikkate alınmış; bu nedenle </w:t>
            </w:r>
            <w:r w:rsidRPr="00A23740">
              <w:rPr>
                <w:rFonts w:eastAsia="Times New Roman"/>
                <w:bCs/>
                <w:szCs w:val="24"/>
                <w:lang w:eastAsia="tr-TR"/>
              </w:rPr>
              <w:t>6102 sayılı Kanunun</w:t>
            </w:r>
            <w:r w:rsidRPr="00A23740">
              <w:rPr>
                <w:rFonts w:eastAsia="Times New Roman"/>
                <w:szCs w:val="24"/>
                <w:lang w:eastAsia="tr-TR"/>
              </w:rPr>
              <w:t xml:space="preserve"> 1363 üncü maddesinin üçüncü fıkrasında olduğu gibi </w:t>
            </w:r>
            <w:r w:rsidRPr="00A23740">
              <w:rPr>
                <w:rFonts w:eastAsia="Times New Roman"/>
                <w:bCs/>
                <w:szCs w:val="24"/>
                <w:lang w:eastAsia="tr-TR"/>
              </w:rPr>
              <w:t>6102 sayılı Kanunun</w:t>
            </w:r>
            <w:r w:rsidRPr="00A23740">
              <w:rPr>
                <w:rFonts w:eastAsia="Times New Roman"/>
                <w:szCs w:val="24"/>
                <w:lang w:eastAsia="tr-TR"/>
              </w:rPr>
              <w:t xml:space="preserve"> 1320 nci maddesinin birinci fıkrasının (a) bendinde belirtilen gemi alacaklılarının teminat gösterme zorunluluğuna t</w:t>
            </w:r>
            <w:r w:rsidR="00D81869" w:rsidRPr="00A23740">
              <w:rPr>
                <w:rFonts w:eastAsia="Times New Roman"/>
                <w:szCs w:val="24"/>
                <w:lang w:eastAsia="tr-TR"/>
              </w:rPr>
              <w:t>a</w:t>
            </w:r>
            <w:r w:rsidRPr="00A23740">
              <w:rPr>
                <w:rFonts w:eastAsia="Times New Roman"/>
                <w:szCs w:val="24"/>
                <w:lang w:eastAsia="tr-TR"/>
              </w:rPr>
              <w:t xml:space="preserve">bi olmadığı hüküm altına alınmış; ayrıca Taslağın </w:t>
            </w:r>
            <w:r w:rsidR="00657D32" w:rsidRPr="006C062A">
              <w:rPr>
                <w:rStyle w:val="KonuBalChar"/>
                <w:rFonts w:eastAsia="Calibri"/>
                <w:b w:val="0"/>
                <w:color w:val="auto"/>
              </w:rPr>
              <w:t>455 inci</w:t>
            </w:r>
            <w:r w:rsidR="00657D32" w:rsidRPr="00A23740">
              <w:rPr>
                <w:rFonts w:eastAsia="Times New Roman"/>
                <w:szCs w:val="24"/>
                <w:lang w:eastAsia="tr-TR"/>
              </w:rPr>
              <w:t xml:space="preserve"> </w:t>
            </w:r>
            <w:r w:rsidRPr="00A23740">
              <w:rPr>
                <w:rFonts w:eastAsia="Times New Roman"/>
                <w:szCs w:val="24"/>
                <w:lang w:eastAsia="tr-TR"/>
              </w:rPr>
              <w:t>maddesinin birinci fıkrası hükmü doğrultusunda adl</w:t>
            </w:r>
            <w:r w:rsidR="00782C97" w:rsidRPr="006C062A">
              <w:rPr>
                <w:rStyle w:val="YeniYeilChar"/>
                <w:rFonts w:eastAsia="Calibri"/>
                <w:b w:val="0"/>
                <w:color w:val="auto"/>
              </w:rPr>
              <w:t>i</w:t>
            </w:r>
            <w:r w:rsidRPr="00A23740">
              <w:rPr>
                <w:rFonts w:eastAsia="Times New Roman"/>
                <w:szCs w:val="24"/>
                <w:lang w:eastAsia="tr-TR"/>
              </w:rPr>
              <w:t xml:space="preserve"> yardımdan yararlananların da teminat gösterme zorunluluğuna t</w:t>
            </w:r>
            <w:r w:rsidR="00D81869" w:rsidRPr="00A23740">
              <w:rPr>
                <w:rFonts w:eastAsia="Times New Roman"/>
                <w:szCs w:val="24"/>
                <w:lang w:eastAsia="tr-TR"/>
              </w:rPr>
              <w:t>a</w:t>
            </w:r>
            <w:r w:rsidRPr="00A23740">
              <w:rPr>
                <w:rFonts w:eastAsia="Times New Roman"/>
                <w:szCs w:val="24"/>
                <w:lang w:eastAsia="tr-TR"/>
              </w:rPr>
              <w:t>bi olmadığı belirtilm</w:t>
            </w:r>
            <w:r w:rsidR="00657D32" w:rsidRPr="00A23740">
              <w:rPr>
                <w:rFonts w:eastAsia="Times New Roman"/>
                <w:szCs w:val="24"/>
                <w:lang w:eastAsia="tr-TR"/>
              </w:rPr>
              <w:t>iştir.</w:t>
            </w:r>
          </w:p>
          <w:p w:rsidR="00A46C6E" w:rsidRPr="002A27F8" w:rsidRDefault="00A46C6E" w:rsidP="002A27F8">
            <w:pPr>
              <w:ind w:firstLine="709"/>
              <w:rPr>
                <w:rFonts w:eastAsia="Times New Roman"/>
                <w:szCs w:val="24"/>
                <w:lang w:eastAsia="tr-TR"/>
              </w:rPr>
            </w:pPr>
            <w:r w:rsidRPr="00A23740">
              <w:rPr>
                <w:rFonts w:eastAsia="Times New Roman"/>
                <w:szCs w:val="24"/>
                <w:lang w:eastAsia="tr-TR"/>
              </w:rPr>
              <w:t xml:space="preserve">Taslağın </w:t>
            </w:r>
            <w:r w:rsidR="00657D32" w:rsidRPr="006C062A">
              <w:rPr>
                <w:rStyle w:val="KonuBalChar"/>
                <w:rFonts w:eastAsia="Calibri"/>
                <w:b w:val="0"/>
                <w:color w:val="auto"/>
              </w:rPr>
              <w:t>455 inci</w:t>
            </w:r>
            <w:r w:rsidR="00657D32" w:rsidRPr="00A23740">
              <w:rPr>
                <w:rFonts w:eastAsia="Times New Roman"/>
                <w:szCs w:val="24"/>
                <w:lang w:eastAsia="tr-TR"/>
              </w:rPr>
              <w:t xml:space="preserve"> </w:t>
            </w:r>
            <w:r w:rsidRPr="00A23740">
              <w:rPr>
                <w:rFonts w:eastAsia="Times New Roman"/>
                <w:szCs w:val="24"/>
                <w:lang w:eastAsia="tr-TR"/>
              </w:rPr>
              <w:t>maddesinin ikinci fıkrasında alacağın ilama dayanması h</w:t>
            </w:r>
            <w:r w:rsidR="00782C97" w:rsidRPr="00A23740">
              <w:rPr>
                <w:rFonts w:eastAsia="Times New Roman"/>
                <w:szCs w:val="24"/>
                <w:lang w:eastAsia="tr-TR"/>
              </w:rPr>
              <w:t>â</w:t>
            </w:r>
            <w:r w:rsidRPr="00A23740">
              <w:rPr>
                <w:rFonts w:eastAsia="Times New Roman"/>
                <w:szCs w:val="24"/>
                <w:lang w:eastAsia="tr-TR"/>
              </w:rPr>
              <w:t xml:space="preserve">linde alacaklının teminat göstermekle yükümlü olmadığı; ancak </w:t>
            </w:r>
            <w:r w:rsidR="00BB101D" w:rsidRPr="00A23740">
              <w:rPr>
                <w:rFonts w:eastAsia="Times New Roman"/>
                <w:szCs w:val="24"/>
                <w:lang w:eastAsia="tr-TR"/>
              </w:rPr>
              <w:t xml:space="preserve">alacak </w:t>
            </w:r>
            <w:r w:rsidRPr="00A23740">
              <w:rPr>
                <w:rFonts w:eastAsia="Times New Roman"/>
                <w:szCs w:val="24"/>
                <w:lang w:eastAsia="tr-TR"/>
              </w:rPr>
              <w:t>ilam niteliğinde bir belgeye dayanıyorsa</w:t>
            </w:r>
            <w:r w:rsidR="00BB101D" w:rsidRPr="00A23740">
              <w:rPr>
                <w:rFonts w:eastAsia="Times New Roman"/>
                <w:szCs w:val="24"/>
                <w:lang w:eastAsia="tr-TR"/>
              </w:rPr>
              <w:t>,</w:t>
            </w:r>
            <w:r w:rsidRPr="00A23740">
              <w:rPr>
                <w:rFonts w:eastAsia="Times New Roman"/>
                <w:szCs w:val="24"/>
                <w:lang w:eastAsia="tr-TR"/>
              </w:rPr>
              <w:t xml:space="preserve"> mahkemenin teminat alınmasına karar verebileceği öngörülmüştür. Bu doğrultuda maddenin ikinci fıkrasının üçüncü ve dördünc</w:t>
            </w:r>
            <w:r w:rsidR="002A27F8">
              <w:rPr>
                <w:rFonts w:eastAsia="Times New Roman"/>
                <w:szCs w:val="24"/>
                <w:lang w:eastAsia="tr-TR"/>
              </w:rPr>
              <w:t>ü cümlelerine yer verilmiştir.</w:t>
            </w:r>
          </w:p>
          <w:p w:rsidR="00A46C6E" w:rsidRPr="00A23740" w:rsidRDefault="00A46C6E" w:rsidP="009431FF">
            <w:pPr>
              <w:ind w:firstLine="709"/>
              <w:rPr>
                <w:rFonts w:eastAsia="Times New Roman"/>
                <w:b/>
                <w:bCs/>
                <w:color w:val="0000FF"/>
                <w:szCs w:val="24"/>
                <w:lang w:eastAsia="tr-TR"/>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b/>
                <w:strike/>
                <w:color w:val="FF0000"/>
                <w:szCs w:val="24"/>
                <w:lang w:eastAsia="x-none"/>
              </w:rPr>
            </w:pPr>
            <w:r w:rsidRPr="00A23740">
              <w:rPr>
                <w:b/>
                <w:strike/>
                <w:color w:val="FF0000"/>
                <w:szCs w:val="24"/>
                <w:lang w:eastAsia="x-none"/>
              </w:rPr>
              <w:t>5.</w:t>
            </w:r>
            <w:r w:rsidRPr="00A23740">
              <w:rPr>
                <w:rFonts w:eastAsia="Times New Roman"/>
                <w:b/>
                <w:strike/>
                <w:color w:val="FF0000"/>
                <w:szCs w:val="24"/>
                <w:lang w:eastAsia="x-none"/>
              </w:rPr>
              <w:t xml:space="preserve"> Alacaklı tarafından</w:t>
            </w:r>
            <w:r w:rsidRPr="00A23740">
              <w:rPr>
                <w:rFonts w:eastAsia="Times New Roman"/>
                <w:szCs w:val="24"/>
              </w:rPr>
              <w:t xml:space="preserve"> </w:t>
            </w:r>
            <w:r w:rsidRPr="00A23740">
              <w:rPr>
                <w:rFonts w:eastAsia="Times New Roman"/>
                <w:b/>
                <w:szCs w:val="24"/>
              </w:rPr>
              <w:t>teminat</w:t>
            </w:r>
            <w:r w:rsidRPr="00A23740">
              <w:rPr>
                <w:rFonts w:eastAsia="Times New Roman"/>
                <w:szCs w:val="24"/>
              </w:rPr>
              <w:t xml:space="preserve"> </w:t>
            </w:r>
            <w:r w:rsidRPr="00A23740">
              <w:rPr>
                <w:rFonts w:eastAsia="Times New Roman"/>
                <w:b/>
                <w:strike/>
                <w:color w:val="FF0000"/>
                <w:szCs w:val="24"/>
                <w:lang w:eastAsia="x-none"/>
              </w:rPr>
              <w:t>gösterilmesi</w:t>
            </w:r>
          </w:p>
          <w:p w:rsidR="00A46C6E" w:rsidRDefault="00A46C6E" w:rsidP="009431FF">
            <w:pPr>
              <w:widowControl w:val="0"/>
              <w:rPr>
                <w:rFonts w:eastAsia="Times New Roman"/>
                <w:b/>
                <w:strike/>
                <w:color w:val="FF0000"/>
                <w:szCs w:val="24"/>
                <w:lang w:eastAsia="x-none"/>
              </w:rPr>
            </w:pPr>
            <w:r w:rsidRPr="00A23740">
              <w:rPr>
                <w:rFonts w:eastAsia="Times New Roman"/>
                <w:b/>
                <w:bCs/>
                <w:szCs w:val="24"/>
                <w:lang w:eastAsia="tr-TR"/>
              </w:rPr>
              <w:t xml:space="preserve">MADDE </w:t>
            </w:r>
            <w:r w:rsidRPr="00A23740">
              <w:rPr>
                <w:rFonts w:eastAsia="Times New Roman"/>
                <w:b/>
                <w:strike/>
                <w:color w:val="FF0000"/>
                <w:szCs w:val="24"/>
                <w:lang w:eastAsia="x-none"/>
              </w:rPr>
              <w:t xml:space="preserve">1363- </w:t>
            </w:r>
          </w:p>
          <w:p w:rsidR="00284A3E" w:rsidRPr="00A23740" w:rsidRDefault="00284A3E" w:rsidP="009431FF">
            <w:pPr>
              <w:widowControl w:val="0"/>
              <w:rPr>
                <w:rFonts w:eastAsia="Times New Roman"/>
                <w:b/>
                <w:strike/>
                <w:color w:val="FF0000"/>
                <w:szCs w:val="24"/>
                <w:lang w:eastAsia="x-none"/>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(2) Karşı taraf, aynı mahkemeden</w:t>
            </w:r>
            <w:r w:rsidRPr="00A23740">
              <w:rPr>
                <w:rFonts w:eastAsia="Times New Roman"/>
                <w:szCs w:val="24"/>
              </w:rPr>
              <w:t xml:space="preserve"> her aşamada teminat miktarının artırılmasını </w:t>
            </w:r>
            <w:r w:rsidRPr="00A23740">
              <w:rPr>
                <w:rFonts w:eastAsia="Times New Roman"/>
                <w:b/>
                <w:strike/>
                <w:color w:val="FF0000"/>
                <w:szCs w:val="24"/>
                <w:lang w:eastAsia="x-none"/>
              </w:rPr>
              <w:t xml:space="preserve">isteyebilir. Bu istem değerlendirilirken, ihtiyati haciz sebebiyle geminin seferden alıkonulduğu süre boyunca, </w:t>
            </w:r>
            <w:r w:rsidRPr="00A23740">
              <w:rPr>
                <w:rFonts w:eastAsia="Times New Roman"/>
                <w:szCs w:val="24"/>
              </w:rPr>
              <w:t>gemi için yapılan günlük işletme giderleri ve ihtiyati haciz dolayısıyla yoksun kalınan kazançlar dikkate alın</w:t>
            </w:r>
            <w:r w:rsidRPr="00A23740">
              <w:rPr>
                <w:rFonts w:eastAsia="Times New Roman"/>
                <w:b/>
                <w:strike/>
                <w:color w:val="FF0000"/>
                <w:szCs w:val="24"/>
                <w:lang w:eastAsia="x-none"/>
              </w:rPr>
              <w:t>ır.</w:t>
            </w:r>
            <w:r w:rsidRPr="00284A3E">
              <w:rPr>
                <w:rFonts w:eastAsia="Times New Roman"/>
                <w:b/>
                <w:color w:val="FF0000"/>
                <w:szCs w:val="24"/>
                <w:lang w:eastAsia="x-none"/>
              </w:rPr>
              <w:t xml:space="preserve"> </w:t>
            </w:r>
            <w:r w:rsidRPr="00A23740">
              <w:rPr>
                <w:rFonts w:eastAsia="Times New Roman"/>
                <w:szCs w:val="24"/>
              </w:rPr>
              <w:t>Teminatın artırılması</w:t>
            </w:r>
            <w:r w:rsidRPr="00A23740">
              <w:rPr>
                <w:rFonts w:eastAsia="Times New Roman"/>
                <w:b/>
                <w:strike/>
                <w:color w:val="FF0000"/>
                <w:szCs w:val="24"/>
                <w:lang w:eastAsia="x-none"/>
              </w:rPr>
              <w:t xml:space="preserve">na </w:t>
            </w:r>
            <w:r w:rsidRPr="00A23740">
              <w:rPr>
                <w:rFonts w:eastAsia="Times New Roman"/>
                <w:szCs w:val="24"/>
              </w:rPr>
              <w:t>karar</w:t>
            </w:r>
            <w:r w:rsidRPr="00A23740">
              <w:rPr>
                <w:rFonts w:eastAsia="Times New Roman"/>
                <w:b/>
                <w:strike/>
                <w:color w:val="FF0000"/>
                <w:szCs w:val="24"/>
                <w:lang w:eastAsia="x-none"/>
              </w:rPr>
              <w:t xml:space="preserve"> verilirse, mahkeme, hangi sürede </w:t>
            </w:r>
            <w:r w:rsidRPr="00A23740">
              <w:rPr>
                <w:rFonts w:eastAsia="Times New Roman"/>
                <w:szCs w:val="24"/>
              </w:rPr>
              <w:t>ek teminatın yatırılacağı</w:t>
            </w:r>
            <w:r w:rsidRPr="00A23740">
              <w:rPr>
                <w:rFonts w:eastAsia="Times New Roman"/>
                <w:b/>
                <w:strike/>
                <w:color w:val="FF0000"/>
                <w:szCs w:val="24"/>
                <w:lang w:eastAsia="x-none"/>
              </w:rPr>
              <w:t>nı da belirler.</w:t>
            </w:r>
            <w:r w:rsidRPr="00A23740">
              <w:rPr>
                <w:rFonts w:eastAsia="Times New Roman"/>
                <w:szCs w:val="24"/>
              </w:rPr>
              <w:t xml:space="preserve"> Ek teminat süresinde yatırılmazsa, ihtiyati haciz kararı kendiliğinden kalkar.</w:t>
            </w:r>
          </w:p>
          <w:p w:rsidR="00A46C6E" w:rsidRPr="00A23740" w:rsidRDefault="00A46C6E" w:rsidP="009431FF">
            <w:pPr>
              <w:widowControl w:val="0"/>
              <w:rPr>
                <w:rFonts w:eastAsia="Times New Roman"/>
                <w:b/>
                <w:strike/>
                <w:color w:val="FF0000"/>
                <w:szCs w:val="24"/>
                <w:lang w:eastAsia="x-none"/>
              </w:rPr>
            </w:pPr>
          </w:p>
          <w:p w:rsidR="00A46C6E" w:rsidRPr="00A23740" w:rsidRDefault="00A46C6E" w:rsidP="009431FF">
            <w:pPr>
              <w:widowControl w:val="0"/>
              <w:rPr>
                <w:rFonts w:eastAsia="Times New Roman"/>
                <w:b/>
                <w:strike/>
                <w:color w:val="FF0000"/>
                <w:szCs w:val="24"/>
                <w:lang w:eastAsia="x-none"/>
              </w:rPr>
            </w:pPr>
          </w:p>
          <w:p w:rsidR="00A46C6E" w:rsidRPr="00A23740" w:rsidRDefault="00A46C6E" w:rsidP="009431FF">
            <w:pPr>
              <w:widowControl w:val="0"/>
              <w:rPr>
                <w:rFonts w:eastAsia="Times New Roman"/>
                <w:b/>
                <w:strike/>
                <w:color w:val="FF0000"/>
                <w:szCs w:val="24"/>
                <w:lang w:eastAsia="x-none"/>
              </w:rPr>
            </w:pP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(3) 1320 nci maddenin birinci fıkrasının (a) bendinde sayılan gemi alacaklıları teminat yatırmak yükümlülüğünden muaftır.</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r w:rsidRPr="00A23740">
              <w:rPr>
                <w:rFonts w:eastAsia="Times New Roman"/>
                <w:szCs w:val="24"/>
              </w:rPr>
              <w:t xml:space="preserve">(4) Alacaklı da </w:t>
            </w:r>
            <w:r w:rsidRPr="00A23740">
              <w:rPr>
                <w:rFonts w:eastAsia="Times New Roman"/>
                <w:b/>
                <w:strike/>
                <w:color w:val="FF0000"/>
                <w:szCs w:val="24"/>
                <w:lang w:eastAsia="x-none"/>
              </w:rPr>
              <w:t>aynı</w:t>
            </w:r>
            <w:r w:rsidRPr="00A23740">
              <w:rPr>
                <w:rFonts w:eastAsia="Times New Roman"/>
                <w:szCs w:val="24"/>
              </w:rPr>
              <w:t xml:space="preserve"> mahkemeden teminat miktarının azaltılmasını isteyebilir.</w:t>
            </w:r>
          </w:p>
          <w:p w:rsidR="00A46C6E" w:rsidRPr="00A23740" w:rsidRDefault="00A46C6E" w:rsidP="009431FF">
            <w:pPr>
              <w:widowControl w:val="0"/>
              <w:rPr>
                <w:rFonts w:eastAsia="Times New Roman"/>
                <w:b/>
                <w:bCs/>
              </w:rPr>
            </w:pPr>
          </w:p>
        </w:tc>
        <w:tc>
          <w:tcPr>
            <w:tcW w:w="2500" w:type="pct"/>
            <w:shd w:val="clear" w:color="auto" w:fill="auto"/>
          </w:tcPr>
          <w:p w:rsidR="00A46C6E" w:rsidRPr="00A23740" w:rsidRDefault="00A46C6E" w:rsidP="009431FF">
            <w:pPr>
              <w:widowControl w:val="0"/>
              <w:rPr>
                <w:rFonts w:eastAsia="Times New Roman"/>
                <w:b/>
                <w:bCs/>
                <w:color w:val="0000FF"/>
                <w:szCs w:val="24"/>
                <w:lang w:eastAsia="x-none"/>
              </w:rPr>
            </w:pPr>
            <w:r w:rsidRPr="00A23740">
              <w:rPr>
                <w:rFonts w:eastAsia="Times New Roman"/>
                <w:b/>
                <w:szCs w:val="24"/>
              </w:rPr>
              <w:t xml:space="preserve">Teminat </w:t>
            </w:r>
            <w:r w:rsidRPr="00A23740">
              <w:rPr>
                <w:rFonts w:eastAsia="Times New Roman"/>
                <w:b/>
                <w:bCs/>
                <w:color w:val="0000FF"/>
                <w:szCs w:val="24"/>
                <w:lang w:eastAsia="x-none"/>
              </w:rPr>
              <w:t>miktarının artırılması ve azaltılması talepleri</w:t>
            </w:r>
          </w:p>
          <w:p w:rsidR="00A46C6E" w:rsidRPr="00A23740" w:rsidRDefault="00993A1A" w:rsidP="009431FF">
            <w:pPr>
              <w:widowControl w:val="0"/>
              <w:rPr>
                <w:rFonts w:eastAsia="Times New Roman"/>
                <w:b/>
                <w:bCs/>
                <w:color w:val="0000FF"/>
                <w:szCs w:val="24"/>
                <w:lang w:eastAsia="tr-TR"/>
              </w:rPr>
            </w:pPr>
            <w:r w:rsidRPr="00284A3E">
              <w:rPr>
                <w:rFonts w:eastAsia="Times New Roman"/>
                <w:b/>
                <w:bCs/>
                <w:color w:val="000000" w:themeColor="text1"/>
                <w:szCs w:val="24"/>
                <w:lang w:eastAsia="x-none"/>
              </w:rPr>
              <w:t xml:space="preserve">MADDE </w:t>
            </w:r>
            <w:r w:rsidRPr="00A23740">
              <w:rPr>
                <w:rFonts w:eastAsia="Times New Roman"/>
                <w:b/>
                <w:bCs/>
                <w:color w:val="0000FF"/>
                <w:szCs w:val="24"/>
                <w:lang w:eastAsia="x-none"/>
              </w:rPr>
              <w:t>492</w:t>
            </w:r>
            <w:r w:rsidR="00A46C6E" w:rsidRPr="00A23740">
              <w:rPr>
                <w:rFonts w:eastAsia="Times New Roman"/>
                <w:b/>
                <w:bCs/>
                <w:color w:val="0000FF"/>
                <w:szCs w:val="24"/>
                <w:lang w:eastAsia="x-none"/>
              </w:rPr>
              <w:t xml:space="preserve">- (1) Geminin maliki veya kiracısı </w:t>
            </w:r>
            <w:r w:rsidR="00A46C6E" w:rsidRPr="00A23740">
              <w:rPr>
                <w:rFonts w:eastAsia="Times New Roman"/>
                <w:szCs w:val="24"/>
              </w:rPr>
              <w:t xml:space="preserve">her aşamada teminat miktarının artırılmasını </w:t>
            </w:r>
            <w:r w:rsidR="00A46C6E" w:rsidRPr="00A23740">
              <w:rPr>
                <w:rFonts w:eastAsia="Times New Roman"/>
                <w:b/>
                <w:bCs/>
                <w:color w:val="0000FF"/>
                <w:szCs w:val="24"/>
                <w:lang w:eastAsia="x-none"/>
              </w:rPr>
              <w:t>talep edebilir. İhtiyati haciz dolayısıyla alacaklının sorumlu tutulabileceği bir zarara uğrayan veya uğrayabilecek olan üçüncü kişiler de teminatın artırılmasını talep edebilir.</w:t>
            </w:r>
            <w:r w:rsidR="00A46C6E" w:rsidRPr="00A23740">
              <w:rPr>
                <w:rFonts w:eastAsia="Times New Roman"/>
                <w:b/>
                <w:bCs/>
                <w:color w:val="0000FF"/>
                <w:szCs w:val="24"/>
                <w:lang w:eastAsia="tr-TR"/>
              </w:rPr>
              <w:t xml:space="preserve"> </w:t>
            </w:r>
          </w:p>
          <w:p w:rsidR="00A46C6E" w:rsidRPr="00A23740" w:rsidRDefault="00A46C6E" w:rsidP="009431FF">
            <w:pPr>
              <w:widowControl w:val="0"/>
              <w:rPr>
                <w:rFonts w:eastAsia="Times New Roman"/>
                <w:b/>
                <w:bCs/>
                <w:color w:val="0000FF"/>
                <w:szCs w:val="24"/>
                <w:lang w:eastAsia="tr-TR"/>
              </w:rPr>
            </w:pPr>
          </w:p>
          <w:p w:rsidR="00A46C6E" w:rsidRPr="00A23740" w:rsidRDefault="00A46C6E" w:rsidP="009431FF">
            <w:pPr>
              <w:widowControl w:val="0"/>
              <w:rPr>
                <w:rFonts w:eastAsia="Times New Roman"/>
                <w:szCs w:val="24"/>
              </w:rPr>
            </w:pPr>
            <w:r w:rsidRPr="00A23740">
              <w:rPr>
                <w:rFonts w:eastAsia="Times New Roman"/>
                <w:b/>
                <w:bCs/>
                <w:color w:val="0000FF"/>
                <w:szCs w:val="24"/>
                <w:lang w:eastAsia="tr-TR"/>
              </w:rPr>
              <w:t>(2) Teminat miktarının artırılması talebi, ihtiyati haciz sebebiyle geminin seferden alıkonulduğu süre boyunca, özellikle</w:t>
            </w:r>
            <w:r w:rsidRPr="00A23740">
              <w:rPr>
                <w:rFonts w:eastAsia="Times New Roman"/>
                <w:szCs w:val="24"/>
              </w:rPr>
              <w:t xml:space="preserve"> gemi için yapılan günlük işletme giderleri ve ihtiyati haciz dolayısıyla yoksun kalınan kazançlar dikkate alın</w:t>
            </w:r>
            <w:r w:rsidRPr="00A23740">
              <w:rPr>
                <w:rFonts w:eastAsia="Times New Roman"/>
                <w:b/>
                <w:bCs/>
                <w:color w:val="0000FF"/>
                <w:szCs w:val="24"/>
                <w:lang w:eastAsia="tr-TR"/>
              </w:rPr>
              <w:t xml:space="preserve">arak karara bağlanır. </w:t>
            </w:r>
            <w:r w:rsidRPr="00A23740">
              <w:rPr>
                <w:rFonts w:eastAsia="Times New Roman"/>
                <w:szCs w:val="24"/>
              </w:rPr>
              <w:t>Teminatın artırılması karar</w:t>
            </w:r>
            <w:r w:rsidRPr="00A23740">
              <w:rPr>
                <w:rFonts w:eastAsia="Times New Roman"/>
                <w:b/>
                <w:bCs/>
                <w:color w:val="0000FF"/>
                <w:szCs w:val="24"/>
                <w:lang w:eastAsia="tr-TR"/>
              </w:rPr>
              <w:t xml:space="preserve">ında, </w:t>
            </w:r>
            <w:r w:rsidRPr="00A23740">
              <w:rPr>
                <w:rFonts w:eastAsia="Times New Roman"/>
                <w:szCs w:val="24"/>
              </w:rPr>
              <w:t>ek teminatın yatırılacağı</w:t>
            </w:r>
            <w:r w:rsidRPr="00A23740">
              <w:rPr>
                <w:rFonts w:eastAsia="Times New Roman"/>
                <w:b/>
                <w:bCs/>
                <w:color w:val="0000FF"/>
                <w:szCs w:val="24"/>
                <w:lang w:eastAsia="tr-TR"/>
              </w:rPr>
              <w:t xml:space="preserve"> süre de kesin olarak belirlenir. </w:t>
            </w:r>
            <w:r w:rsidRPr="00A23740">
              <w:rPr>
                <w:rFonts w:eastAsia="Times New Roman"/>
                <w:szCs w:val="24"/>
              </w:rPr>
              <w:t>Ek teminat süresinde yatırılmazsa, ihtiyati haciz kararı kendiliğinden kalkar.</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p>
          <w:p w:rsidR="00993A1A" w:rsidRPr="00A23740" w:rsidRDefault="00993A1A" w:rsidP="009431FF">
            <w:pPr>
              <w:widowControl w:val="0"/>
              <w:rPr>
                <w:rFonts w:eastAsia="Times New Roman"/>
                <w:b/>
                <w:bCs/>
                <w:color w:val="0000FF"/>
                <w:szCs w:val="24"/>
                <w:lang w:eastAsia="tr-TR"/>
              </w:rPr>
            </w:pPr>
          </w:p>
          <w:p w:rsidR="00A46C6E" w:rsidRPr="00A23740" w:rsidRDefault="00A46C6E" w:rsidP="009431FF">
            <w:pPr>
              <w:widowControl w:val="0"/>
              <w:rPr>
                <w:rFonts w:eastAsia="Times New Roman"/>
                <w:b/>
                <w:bCs/>
                <w:szCs w:val="24"/>
                <w:lang w:eastAsia="tr-TR"/>
              </w:rPr>
            </w:pPr>
          </w:p>
          <w:p w:rsidR="00A46C6E" w:rsidRPr="00A23740" w:rsidRDefault="00A46C6E" w:rsidP="009431FF">
            <w:pPr>
              <w:widowControl w:val="0"/>
              <w:rPr>
                <w:rFonts w:eastAsia="Times New Roman"/>
                <w:szCs w:val="24"/>
              </w:rPr>
            </w:pPr>
            <w:r w:rsidRPr="00A23740">
              <w:rPr>
                <w:rFonts w:eastAsia="Times New Roman"/>
                <w:b/>
                <w:bCs/>
                <w:color w:val="0000FF"/>
                <w:szCs w:val="24"/>
                <w:lang w:eastAsia="tr-TR"/>
              </w:rPr>
              <w:t>(3)</w:t>
            </w:r>
            <w:r w:rsidRPr="00A23740">
              <w:rPr>
                <w:rFonts w:eastAsia="Times New Roman"/>
                <w:szCs w:val="24"/>
              </w:rPr>
              <w:t xml:space="preserve"> Alacaklı da mahkemeden</w:t>
            </w:r>
            <w:r w:rsidRPr="00A23740">
              <w:rPr>
                <w:rFonts w:eastAsia="Times New Roman"/>
                <w:b/>
                <w:bCs/>
                <w:color w:val="0000FF"/>
                <w:szCs w:val="24"/>
                <w:lang w:eastAsia="tr-TR"/>
              </w:rPr>
              <w:t xml:space="preserve"> her aşamada t</w:t>
            </w:r>
            <w:r w:rsidRPr="00A23740">
              <w:rPr>
                <w:rFonts w:eastAsia="Times New Roman"/>
                <w:szCs w:val="24"/>
              </w:rPr>
              <w:t>eminat miktarının azaltılmasını isteyebilir.</w:t>
            </w:r>
          </w:p>
          <w:p w:rsidR="00782C97" w:rsidRDefault="00782C97" w:rsidP="009431FF">
            <w:pPr>
              <w:widowControl w:val="0"/>
              <w:rPr>
                <w:rFonts w:eastAsia="Times New Roman"/>
                <w:szCs w:val="24"/>
                <w:lang w:eastAsia="tr-TR"/>
              </w:rPr>
            </w:pPr>
          </w:p>
          <w:p w:rsidR="009D25DD" w:rsidRPr="00A23740" w:rsidRDefault="009D25DD" w:rsidP="009431FF">
            <w:pPr>
              <w:widowControl w:val="0"/>
              <w:rPr>
                <w:rFonts w:eastAsia="Times New Roman"/>
                <w:szCs w:val="24"/>
                <w:lang w:eastAsia="tr-TR"/>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66" w:name="_Hlk134295615"/>
          </w:p>
          <w:p w:rsidR="00A46C6E" w:rsidRPr="00A23740" w:rsidRDefault="00993A1A" w:rsidP="009431FF">
            <w:pPr>
              <w:ind w:firstLine="709"/>
              <w:rPr>
                <w:rFonts w:eastAsia="Times New Roman"/>
                <w:b/>
                <w:bCs/>
                <w:color w:val="0000FF"/>
                <w:szCs w:val="24"/>
                <w:lang w:eastAsia="x-none"/>
              </w:rPr>
            </w:pPr>
            <w:r w:rsidRPr="00A23740">
              <w:rPr>
                <w:rFonts w:eastAsia="Times New Roman"/>
                <w:b/>
                <w:bCs/>
                <w:szCs w:val="24"/>
                <w:lang w:eastAsia="tr-TR"/>
              </w:rPr>
              <w:t>MADDE 492</w:t>
            </w:r>
            <w:r w:rsidR="00A46C6E" w:rsidRPr="00A23740">
              <w:rPr>
                <w:rFonts w:eastAsia="Times New Roman"/>
                <w:b/>
                <w:bCs/>
                <w:szCs w:val="24"/>
                <w:lang w:eastAsia="tr-TR"/>
              </w:rPr>
              <w:t xml:space="preserve">- </w:t>
            </w:r>
            <w:bookmarkStart w:id="67" w:name="_Hlk172876450"/>
            <w:r w:rsidR="00A46C6E" w:rsidRPr="00A23740">
              <w:rPr>
                <w:bCs/>
                <w:szCs w:val="24"/>
                <w:lang w:eastAsia="x-none"/>
              </w:rPr>
              <w:t xml:space="preserve">Maddeyle, </w:t>
            </w:r>
            <w:r w:rsidR="00A46C6E" w:rsidRPr="00A23740">
              <w:rPr>
                <w:rFonts w:eastAsia="Times New Roman"/>
                <w:szCs w:val="24"/>
                <w:lang w:eastAsia="tr-TR"/>
              </w:rPr>
              <w:t>teminat miktarının artırılması ve azaltılması taleplerine ilişkin</w:t>
            </w:r>
            <w:r w:rsidR="00A46C6E" w:rsidRPr="00A23740">
              <w:rPr>
                <w:bCs/>
                <w:szCs w:val="24"/>
                <w:lang w:eastAsia="x-none"/>
              </w:rPr>
              <w:t xml:space="preserve"> hususlar düzenlenmektedir.</w:t>
            </w:r>
            <w:bookmarkEnd w:id="67"/>
          </w:p>
          <w:p w:rsidR="00A46C6E" w:rsidRPr="00A23740" w:rsidRDefault="00A46C6E" w:rsidP="009431FF">
            <w:pPr>
              <w:ind w:firstLine="709"/>
              <w:rPr>
                <w:rFonts w:eastAsia="Times New Roman"/>
                <w:bCs/>
                <w:szCs w:val="24"/>
                <w:lang w:eastAsia="tr-TR"/>
              </w:rPr>
            </w:pPr>
            <w:r w:rsidRPr="00A23740">
              <w:rPr>
                <w:rFonts w:eastAsia="Times New Roman"/>
                <w:bCs/>
                <w:szCs w:val="24"/>
                <w:lang w:eastAsia="tr-TR"/>
              </w:rPr>
              <w:t>6102 sayılı Kanunun 1363 üncü maddesinin ikinci fıkrasının ikinci ve üçüncü cümleleri ile üçüncü fıkrasından, ihtiyati haciz kararı verildikten sonra her aşamada 10.000 Özel Çekme Hakkı tutarındaki teminatın talep üzerine artırılması veya azaltılması talepleri hakkında düzenleme getirildiği anlaşılmaktadır. Bu hususun “alacaklı tarafından teminat gösterilmesi” kenar başlığı altında düzenlenmesi uygun görülmemiş; teminat miktarının artırılması ve azaltılması taleplerinin ayrı bir maddede düzenlenmesine karar verilmiştir.</w:t>
            </w:r>
          </w:p>
          <w:p w:rsidR="00A46C6E" w:rsidRPr="00A23740" w:rsidRDefault="00A46C6E" w:rsidP="009431FF">
            <w:pPr>
              <w:ind w:firstLine="709"/>
              <w:rPr>
                <w:rFonts w:eastAsia="Times New Roman"/>
                <w:bCs/>
                <w:szCs w:val="24"/>
                <w:lang w:eastAsia="tr-TR"/>
              </w:rPr>
            </w:pPr>
            <w:r w:rsidRPr="00A23740">
              <w:rPr>
                <w:rFonts w:eastAsia="Times New Roman"/>
                <w:bCs/>
                <w:szCs w:val="24"/>
                <w:lang w:eastAsia="tr-TR"/>
              </w:rPr>
              <w:t xml:space="preserve">1999 </w:t>
            </w:r>
            <w:r w:rsidR="00BB1B5A" w:rsidRPr="006C062A">
              <w:rPr>
                <w:rFonts w:eastAsia="Times New Roman"/>
                <w:bCs/>
                <w:szCs w:val="24"/>
                <w:lang w:eastAsia="tr-TR"/>
              </w:rPr>
              <w:t>tarihli</w:t>
            </w:r>
            <w:r w:rsidR="00BB1B5A" w:rsidRPr="006C062A">
              <w:rPr>
                <w:rFonts w:eastAsia="Times New Roman"/>
                <w:b/>
                <w:szCs w:val="24"/>
                <w:lang w:eastAsia="tr-TR"/>
              </w:rPr>
              <w:t xml:space="preserve"> </w:t>
            </w:r>
            <w:r w:rsidR="00BB1B5A" w:rsidRPr="006C062A">
              <w:rPr>
                <w:rFonts w:eastAsia="Times New Roman"/>
                <w:bCs/>
                <w:szCs w:val="24"/>
                <w:lang w:eastAsia="tr-TR"/>
              </w:rPr>
              <w:t>Milletlerarası</w:t>
            </w:r>
            <w:r w:rsidR="00BB1B5A" w:rsidRPr="006C062A">
              <w:rPr>
                <w:rFonts w:eastAsia="Times New Roman"/>
                <w:b/>
                <w:szCs w:val="24"/>
                <w:lang w:eastAsia="tr-TR"/>
              </w:rPr>
              <w:t xml:space="preserve"> </w:t>
            </w:r>
            <w:r w:rsidR="00BB1B5A" w:rsidRPr="006C062A">
              <w:rPr>
                <w:rFonts w:eastAsia="Times New Roman"/>
                <w:bCs/>
                <w:szCs w:val="24"/>
                <w:lang w:eastAsia="tr-TR"/>
              </w:rPr>
              <w:t>Sözleşmenin</w:t>
            </w:r>
            <w:r w:rsidRPr="00A23740">
              <w:rPr>
                <w:rFonts w:eastAsia="Times New Roman"/>
                <w:bCs/>
                <w:szCs w:val="24"/>
                <w:lang w:eastAsia="tr-TR"/>
              </w:rPr>
              <w:t xml:space="preserve"> gemilerin ihtiyati haczinde alacaklının mahkemece belirlenecek miktarda ve türde teminat gösterilmesi zorunluluğu hakkındaki 6 ncı maddesinin kenar başlığı “ihtiyaten haczedilen gemilerin maliklerinin ve kiracılarının korunması” şeklinde olup, teminat gösterme zorunluluğu getirilmesinin amacı, esas </w:t>
            </w:r>
            <w:r w:rsidR="006151E0" w:rsidRPr="006C062A">
              <w:rPr>
                <w:rFonts w:eastAsia="Times New Roman"/>
                <w:bCs/>
                <w:szCs w:val="24"/>
                <w:lang w:eastAsia="tr-TR"/>
              </w:rPr>
              <w:t>itibarıyla</w:t>
            </w:r>
            <w:r w:rsidR="006151E0" w:rsidRPr="00A23740">
              <w:rPr>
                <w:rFonts w:eastAsia="Times New Roman"/>
                <w:bCs/>
                <w:szCs w:val="24"/>
                <w:lang w:eastAsia="tr-TR"/>
              </w:rPr>
              <w:t xml:space="preserve"> </w:t>
            </w:r>
            <w:r w:rsidRPr="00A23740">
              <w:rPr>
                <w:rFonts w:eastAsia="Times New Roman"/>
                <w:bCs/>
                <w:szCs w:val="24"/>
                <w:lang w:eastAsia="tr-TR"/>
              </w:rPr>
              <w:t>gemi maliki veya kiracısının haksız veya sebepsiz ihtiyati hacze karşı korunmasıdır. Bu nedenle 6102 sayılı Kanunun 1363 üncü maddesinin ikinci fıkrasının birinci cümlesinde yer alan “</w:t>
            </w:r>
            <w:r w:rsidRPr="00A23740">
              <w:rPr>
                <w:rFonts w:eastAsia="Times New Roman"/>
                <w:bCs/>
                <w:i/>
                <w:iCs/>
                <w:szCs w:val="24"/>
                <w:lang w:eastAsia="tr-TR"/>
              </w:rPr>
              <w:t>karşı taraf</w:t>
            </w:r>
            <w:r w:rsidRPr="00A23740">
              <w:rPr>
                <w:rFonts w:eastAsia="Times New Roman"/>
                <w:bCs/>
                <w:szCs w:val="24"/>
                <w:lang w:eastAsia="tr-TR"/>
              </w:rPr>
              <w:t>” ibaresi “</w:t>
            </w:r>
            <w:r w:rsidRPr="00A23740">
              <w:rPr>
                <w:rFonts w:eastAsia="Times New Roman"/>
                <w:bCs/>
                <w:i/>
                <w:iCs/>
                <w:szCs w:val="24"/>
                <w:lang w:eastAsia="tr-TR"/>
              </w:rPr>
              <w:t>geminin maliki veya kiracısı</w:t>
            </w:r>
            <w:r w:rsidRPr="00A23740">
              <w:rPr>
                <w:rFonts w:eastAsia="Times New Roman"/>
                <w:bCs/>
                <w:szCs w:val="24"/>
                <w:lang w:eastAsia="tr-TR"/>
              </w:rPr>
              <w:t>” şeklinde değiştirilmiştir. Söz konusu cümlede yer alan “</w:t>
            </w:r>
            <w:r w:rsidRPr="00A23740">
              <w:rPr>
                <w:rFonts w:eastAsia="Times New Roman"/>
                <w:bCs/>
                <w:i/>
                <w:iCs/>
                <w:szCs w:val="24"/>
                <w:lang w:eastAsia="tr-TR"/>
              </w:rPr>
              <w:t>aynı mahkemeden</w:t>
            </w:r>
            <w:r w:rsidRPr="00A23740">
              <w:rPr>
                <w:rFonts w:eastAsia="Times New Roman"/>
                <w:bCs/>
                <w:szCs w:val="24"/>
                <w:lang w:eastAsia="tr-TR"/>
              </w:rPr>
              <w:t xml:space="preserve">” ibaresi de Taslağın </w:t>
            </w:r>
            <w:r w:rsidR="00BB1B5A" w:rsidRPr="006C062A">
              <w:rPr>
                <w:rFonts w:eastAsia="Times New Roman"/>
                <w:bCs/>
                <w:szCs w:val="24"/>
                <w:lang w:eastAsia="tr-TR"/>
              </w:rPr>
              <w:t>496</w:t>
            </w:r>
            <w:r w:rsidR="00BB1B5A" w:rsidRPr="006C062A">
              <w:rPr>
                <w:rFonts w:eastAsia="Times New Roman"/>
                <w:b/>
                <w:szCs w:val="24"/>
                <w:lang w:eastAsia="tr-TR"/>
              </w:rPr>
              <w:t xml:space="preserve"> </w:t>
            </w:r>
            <w:r w:rsidR="00BB1B5A" w:rsidRPr="006C062A">
              <w:rPr>
                <w:rFonts w:eastAsia="Times New Roman"/>
                <w:bCs/>
                <w:szCs w:val="24"/>
                <w:lang w:eastAsia="tr-TR"/>
              </w:rPr>
              <w:t>ncı</w:t>
            </w:r>
            <w:r w:rsidR="00BB1B5A" w:rsidRPr="00A23740">
              <w:rPr>
                <w:rFonts w:eastAsia="Times New Roman"/>
                <w:bCs/>
                <w:szCs w:val="24"/>
                <w:lang w:eastAsia="tr-TR"/>
              </w:rPr>
              <w:t xml:space="preserve"> </w:t>
            </w:r>
            <w:r w:rsidRPr="00A23740">
              <w:rPr>
                <w:rFonts w:eastAsia="Times New Roman"/>
                <w:bCs/>
                <w:szCs w:val="24"/>
                <w:lang w:eastAsia="tr-TR"/>
              </w:rPr>
              <w:t xml:space="preserve">maddesinde “ihtiyatî haciz kararına itiraz ve kararın değiştirilmesi taleplerinde yetkili mahkeme” hakkında düzenleme getirildiğinden çıkarılmıştır. Ayrıca Taslağın </w:t>
            </w:r>
            <w:r w:rsidR="00BB1B5A" w:rsidRPr="006C062A">
              <w:rPr>
                <w:rFonts w:eastAsia="Times New Roman"/>
                <w:szCs w:val="24"/>
                <w:lang w:eastAsia="tr-TR"/>
              </w:rPr>
              <w:t>455</w:t>
            </w:r>
            <w:r w:rsidR="00BB1B5A" w:rsidRPr="00A23740">
              <w:rPr>
                <w:rStyle w:val="KonuBalChar"/>
                <w:rFonts w:eastAsia="Calibri"/>
              </w:rPr>
              <w:t xml:space="preserve"> </w:t>
            </w:r>
            <w:r w:rsidR="00BB1B5A" w:rsidRPr="006C062A">
              <w:rPr>
                <w:rFonts w:eastAsia="Times New Roman"/>
                <w:bCs/>
                <w:szCs w:val="24"/>
                <w:lang w:eastAsia="tr-TR"/>
              </w:rPr>
              <w:t>inci</w:t>
            </w:r>
            <w:r w:rsidR="00BB1B5A" w:rsidRPr="00A23740">
              <w:rPr>
                <w:rFonts w:eastAsia="Times New Roman"/>
                <w:szCs w:val="24"/>
                <w:lang w:eastAsia="tr-TR"/>
              </w:rPr>
              <w:t xml:space="preserve"> </w:t>
            </w:r>
            <w:r w:rsidRPr="00A23740">
              <w:rPr>
                <w:rFonts w:eastAsia="Times New Roman"/>
                <w:bCs/>
                <w:szCs w:val="24"/>
                <w:lang w:eastAsia="tr-TR"/>
              </w:rPr>
              <w:t>maddesinin birinci fıkrası dikkate alınarak maddenin bu fıkrasına ilave edilen ikinci cümle</w:t>
            </w:r>
            <w:r w:rsidR="00BB101D" w:rsidRPr="00A23740">
              <w:rPr>
                <w:rFonts w:eastAsia="Times New Roman"/>
                <w:bCs/>
                <w:szCs w:val="24"/>
                <w:lang w:eastAsia="tr-TR"/>
              </w:rPr>
              <w:t>yle</w:t>
            </w:r>
            <w:r w:rsidRPr="00A23740">
              <w:rPr>
                <w:rFonts w:eastAsia="Times New Roman"/>
                <w:bCs/>
                <w:szCs w:val="24"/>
                <w:lang w:eastAsia="tr-TR"/>
              </w:rPr>
              <w:t xml:space="preserve"> geminin ihtiyat</w:t>
            </w:r>
            <w:r w:rsidR="006151E0" w:rsidRPr="006C062A">
              <w:rPr>
                <w:rFonts w:eastAsia="Times New Roman"/>
                <w:bCs/>
                <w:lang w:eastAsia="tr-TR"/>
              </w:rPr>
              <w:t>i</w:t>
            </w:r>
            <w:r w:rsidRPr="00A23740">
              <w:rPr>
                <w:rFonts w:eastAsia="Times New Roman"/>
                <w:bCs/>
                <w:szCs w:val="24"/>
                <w:lang w:eastAsia="tr-TR"/>
              </w:rPr>
              <w:t xml:space="preserve"> haczini talep eden alacaklının sorumlu tutulabileceği bir zarara uğrayan ya da uğrama ihtimali bulunan üçüncü kişilere de teminatın artırılmasını talep hakkı tanınmıştır. </w:t>
            </w:r>
          </w:p>
          <w:p w:rsidR="00A46C6E" w:rsidRPr="00A23740" w:rsidRDefault="00A46C6E" w:rsidP="009431FF">
            <w:pPr>
              <w:ind w:firstLine="709"/>
              <w:rPr>
                <w:rFonts w:eastAsia="Times New Roman"/>
                <w:bCs/>
                <w:szCs w:val="24"/>
                <w:lang w:eastAsia="tr-TR"/>
              </w:rPr>
            </w:pPr>
            <w:r w:rsidRPr="00A23740">
              <w:rPr>
                <w:rFonts w:eastAsia="Times New Roman"/>
                <w:bCs/>
                <w:szCs w:val="24"/>
                <w:lang w:eastAsia="tr-TR"/>
              </w:rPr>
              <w:t>Maddenin ikinci fıkrasında teminatın arttırılması talebinin mahkemece karara bağlanmasında dikkate alı</w:t>
            </w:r>
            <w:r w:rsidR="00782C97" w:rsidRPr="006C062A">
              <w:rPr>
                <w:rFonts w:eastAsia="Times New Roman"/>
                <w:bCs/>
                <w:szCs w:val="24"/>
                <w:lang w:eastAsia="tr-TR"/>
              </w:rPr>
              <w:t>n</w:t>
            </w:r>
            <w:r w:rsidRPr="00A23740">
              <w:rPr>
                <w:rFonts w:eastAsia="Times New Roman"/>
                <w:bCs/>
                <w:szCs w:val="24"/>
                <w:lang w:eastAsia="tr-TR"/>
              </w:rPr>
              <w:t xml:space="preserve">acak hususlar, “… </w:t>
            </w:r>
            <w:r w:rsidRPr="00A23740">
              <w:rPr>
                <w:rFonts w:eastAsia="Times New Roman"/>
                <w:bCs/>
                <w:i/>
                <w:iCs/>
                <w:szCs w:val="24"/>
                <w:lang w:eastAsia="tr-TR"/>
              </w:rPr>
              <w:t>gemi için yapılan günlük işletme giderleri ve ihtiyati haciz dolayısıyla yoksun kalınan kazançlar</w:t>
            </w:r>
            <w:r w:rsidRPr="00A23740">
              <w:rPr>
                <w:rFonts w:eastAsia="Times New Roman"/>
                <w:bCs/>
                <w:szCs w:val="24"/>
                <w:lang w:eastAsia="tr-TR"/>
              </w:rPr>
              <w:t xml:space="preserve"> …” şeklinde belirtilmiş; ancak bu ibareden önce “özellikle” denilerek söz konusu ibarenin sınırlayıcı olmadığı belirtilmiştir. </w:t>
            </w:r>
          </w:p>
          <w:p w:rsidR="00A46C6E" w:rsidRDefault="00A46C6E" w:rsidP="002A27F8">
            <w:pPr>
              <w:ind w:firstLine="709"/>
              <w:rPr>
                <w:rFonts w:eastAsia="Times New Roman"/>
                <w:bCs/>
                <w:szCs w:val="24"/>
                <w:lang w:eastAsia="tr-TR"/>
              </w:rPr>
            </w:pPr>
            <w:r w:rsidRPr="00A23740">
              <w:rPr>
                <w:rFonts w:eastAsia="Times New Roman"/>
                <w:bCs/>
                <w:szCs w:val="24"/>
                <w:lang w:eastAsia="tr-TR"/>
              </w:rPr>
              <w:t xml:space="preserve">Taslağın </w:t>
            </w:r>
            <w:r w:rsidR="00BB1B5A" w:rsidRPr="006C062A">
              <w:rPr>
                <w:rFonts w:eastAsia="Times New Roman"/>
                <w:bCs/>
                <w:szCs w:val="24"/>
                <w:lang w:eastAsia="tr-TR"/>
              </w:rPr>
              <w:t>496</w:t>
            </w:r>
            <w:r w:rsidR="00BB1B5A" w:rsidRPr="006C062A">
              <w:rPr>
                <w:rFonts w:eastAsia="Times New Roman"/>
                <w:b/>
                <w:szCs w:val="24"/>
                <w:lang w:eastAsia="tr-TR"/>
              </w:rPr>
              <w:t xml:space="preserve"> </w:t>
            </w:r>
            <w:r w:rsidR="00BB1B5A" w:rsidRPr="006C062A">
              <w:rPr>
                <w:rFonts w:eastAsia="Times New Roman"/>
                <w:bCs/>
                <w:szCs w:val="24"/>
                <w:lang w:eastAsia="tr-TR"/>
              </w:rPr>
              <w:t>ncı</w:t>
            </w:r>
            <w:r w:rsidR="00BB1B5A" w:rsidRPr="00A23740">
              <w:rPr>
                <w:rFonts w:eastAsia="Times New Roman"/>
                <w:bCs/>
                <w:szCs w:val="24"/>
                <w:lang w:eastAsia="tr-TR"/>
              </w:rPr>
              <w:t xml:space="preserve"> </w:t>
            </w:r>
            <w:r w:rsidRPr="00A23740">
              <w:rPr>
                <w:rFonts w:eastAsia="Times New Roman"/>
                <w:bCs/>
                <w:szCs w:val="24"/>
                <w:lang w:eastAsia="tr-TR"/>
              </w:rPr>
              <w:t>maddesinde “ihtiyati haciz kararına itiraz ve kararın değiştirilmesi taleplerinde yetkili mahkeme” düzenlendiğinden, 6102 sayılı Kanunun 1363 üncü maddesinin dördüncü fıkrası, bu fıkrada yer alan “</w:t>
            </w:r>
            <w:r w:rsidRPr="00A23740">
              <w:rPr>
                <w:rFonts w:eastAsia="Times New Roman"/>
                <w:bCs/>
                <w:i/>
                <w:szCs w:val="24"/>
                <w:lang w:eastAsia="tr-TR"/>
              </w:rPr>
              <w:t>aynı mahkemeden</w:t>
            </w:r>
            <w:r w:rsidRPr="00A23740">
              <w:rPr>
                <w:rFonts w:eastAsia="Times New Roman"/>
                <w:bCs/>
                <w:szCs w:val="24"/>
                <w:lang w:eastAsia="tr-TR"/>
              </w:rPr>
              <w:t>” ibaresi çıkarılmak ve bu maddesinin birinci fıkrası</w:t>
            </w:r>
            <w:r w:rsidR="00BB101D" w:rsidRPr="00A23740">
              <w:rPr>
                <w:rFonts w:eastAsia="Times New Roman"/>
                <w:bCs/>
                <w:szCs w:val="24"/>
                <w:lang w:eastAsia="tr-TR"/>
              </w:rPr>
              <w:t>yla</w:t>
            </w:r>
            <w:r w:rsidRPr="00A23740">
              <w:rPr>
                <w:rFonts w:eastAsia="Times New Roman"/>
                <w:bCs/>
                <w:szCs w:val="24"/>
                <w:lang w:eastAsia="tr-TR"/>
              </w:rPr>
              <w:t xml:space="preserve"> uyumlu olarak “</w:t>
            </w:r>
            <w:r w:rsidRPr="00A23740">
              <w:rPr>
                <w:rFonts w:eastAsia="Times New Roman"/>
                <w:bCs/>
                <w:i/>
                <w:szCs w:val="24"/>
                <w:lang w:eastAsia="tr-TR"/>
              </w:rPr>
              <w:t>her aşamada</w:t>
            </w:r>
            <w:r w:rsidRPr="00A23740">
              <w:rPr>
                <w:rFonts w:eastAsia="Times New Roman"/>
                <w:bCs/>
                <w:szCs w:val="24"/>
                <w:lang w:eastAsia="tr-TR"/>
              </w:rPr>
              <w:t>” ibaresi eklenmek suretiyle madden</w:t>
            </w:r>
            <w:r w:rsidR="00BB1B5A" w:rsidRPr="00A23740">
              <w:rPr>
                <w:rFonts w:eastAsia="Times New Roman"/>
                <w:bCs/>
                <w:szCs w:val="24"/>
                <w:lang w:eastAsia="tr-TR"/>
              </w:rPr>
              <w:t>in üçüncü fıkrasına alınmıştır.</w:t>
            </w:r>
            <w:bookmarkEnd w:id="66"/>
          </w:p>
          <w:p w:rsidR="009D25DD" w:rsidRPr="002A27F8" w:rsidRDefault="009D25DD" w:rsidP="002A27F8">
            <w:pPr>
              <w:ind w:firstLine="709"/>
              <w:rPr>
                <w:rFonts w:eastAsia="Times New Roman"/>
                <w:bCs/>
                <w:szCs w:val="24"/>
                <w:lang w:eastAsia="tr-TR"/>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x-none"/>
              </w:rPr>
            </w:pPr>
            <w:r w:rsidRPr="00A23740">
              <w:rPr>
                <w:rFonts w:eastAsia="Times New Roman"/>
                <w:b/>
                <w:strike/>
                <w:color w:val="FF0000"/>
                <w:szCs w:val="24"/>
                <w:lang w:eastAsia="x-none"/>
              </w:rPr>
              <w:t>C) Gemiler hakkında</w:t>
            </w:r>
          </w:p>
          <w:p w:rsidR="00A46C6E" w:rsidRPr="00A23740" w:rsidRDefault="00A46C6E" w:rsidP="009431FF">
            <w:pPr>
              <w:rPr>
                <w:rFonts w:eastAsia="Times New Roman"/>
                <w:b/>
                <w:strike/>
                <w:color w:val="FF0000"/>
                <w:szCs w:val="24"/>
                <w:lang w:eastAsia="x-none"/>
              </w:rPr>
            </w:pPr>
            <w:r w:rsidRPr="00A23740">
              <w:rPr>
                <w:rFonts w:eastAsia="Times New Roman"/>
                <w:b/>
                <w:strike/>
                <w:color w:val="FF0000"/>
                <w:szCs w:val="24"/>
                <w:lang w:eastAsia="x-none"/>
              </w:rPr>
              <w:t>I - İhtiyati haciz</w:t>
            </w:r>
          </w:p>
          <w:p w:rsidR="00A46C6E" w:rsidRPr="00A23740" w:rsidRDefault="00A46C6E" w:rsidP="009431FF">
            <w:pPr>
              <w:rPr>
                <w:rFonts w:eastAsia="Times New Roman"/>
                <w:b/>
                <w:strike/>
                <w:color w:val="FF0000"/>
                <w:szCs w:val="24"/>
                <w:lang w:eastAsia="x-none"/>
              </w:rPr>
            </w:pPr>
            <w:r w:rsidRPr="00A23740">
              <w:rPr>
                <w:rFonts w:eastAsia="Times New Roman"/>
                <w:b/>
                <w:strike/>
                <w:color w:val="FF0000"/>
                <w:szCs w:val="24"/>
                <w:lang w:eastAsia="x-none"/>
              </w:rPr>
              <w:t xml:space="preserve">1. </w:t>
            </w:r>
            <w:r w:rsidRPr="00A23740">
              <w:rPr>
                <w:rFonts w:eastAsia="Times New Roman"/>
                <w:b/>
                <w:bCs/>
                <w:szCs w:val="24"/>
                <w:lang w:eastAsia="tr-TR"/>
              </w:rPr>
              <w:t>Deniz alacakları</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1352</w:t>
            </w:r>
            <w:r w:rsidRPr="00A23740">
              <w:rPr>
                <w:rFonts w:eastAsia="Times New Roman"/>
                <w:szCs w:val="24"/>
                <w:lang w:eastAsia="tr-TR"/>
              </w:rPr>
              <w:t xml:space="preserve">- (1) </w:t>
            </w:r>
            <w:r w:rsidRPr="00284A3E">
              <w:rPr>
                <w:rStyle w:val="KIRMIZIChar"/>
                <w:rFonts w:eastAsia="Calibri"/>
              </w:rPr>
              <w:t>“</w:t>
            </w:r>
            <w:r w:rsidRPr="00A23740">
              <w:rPr>
                <w:rFonts w:eastAsia="Times New Roman"/>
                <w:szCs w:val="24"/>
                <w:lang w:eastAsia="tr-TR"/>
              </w:rPr>
              <w:t>Deniz alacağı</w:t>
            </w:r>
            <w:r w:rsidRPr="00284A3E">
              <w:rPr>
                <w:rStyle w:val="KIRMIZIChar"/>
                <w:rFonts w:eastAsia="Calibri"/>
              </w:rPr>
              <w:t>”;</w:t>
            </w:r>
            <w:r w:rsidRPr="00A23740">
              <w:rPr>
                <w:rFonts w:eastAsia="Times New Roman"/>
                <w:szCs w:val="24"/>
                <w:lang w:eastAsia="tr-TR"/>
              </w:rPr>
              <w:t xml:space="preserve"> aşağıda sayılan hususların birinden veya birkaçından </w:t>
            </w:r>
            <w:r w:rsidRPr="00A23740">
              <w:rPr>
                <w:rFonts w:eastAsia="Times New Roman"/>
                <w:b/>
                <w:strike/>
                <w:color w:val="FF0000"/>
                <w:szCs w:val="24"/>
                <w:lang w:eastAsia="tr-TR"/>
              </w:rPr>
              <w:t>doğan istem</w:t>
            </w:r>
            <w:r w:rsidRPr="00A23740">
              <w:rPr>
                <w:rFonts w:eastAsia="Times New Roman"/>
                <w:szCs w:val="24"/>
                <w:lang w:eastAsia="tr-TR"/>
              </w:rPr>
              <w:t xml:space="preserve"> anlamına gelir: </w:t>
            </w:r>
          </w:p>
          <w:p w:rsidR="00A46C6E" w:rsidRPr="00A23740" w:rsidRDefault="00A46C6E" w:rsidP="009431FF">
            <w:pPr>
              <w:rPr>
                <w:rFonts w:eastAsia="Times New Roman"/>
                <w:szCs w:val="24"/>
                <w:lang w:eastAsia="tr-TR"/>
              </w:rPr>
            </w:pPr>
            <w:r w:rsidRPr="00A23740">
              <w:rPr>
                <w:rFonts w:eastAsia="Times New Roman"/>
                <w:szCs w:val="24"/>
                <w:lang w:eastAsia="tr-TR"/>
              </w:rPr>
              <w:t>a) Geminin işletilmesinin sebep olduğu zıya veya hasar.</w:t>
            </w:r>
          </w:p>
          <w:p w:rsidR="00A46C6E" w:rsidRPr="00A23740" w:rsidRDefault="00A46C6E" w:rsidP="009431FF">
            <w:pPr>
              <w:rPr>
                <w:rFonts w:eastAsia="Times New Roman"/>
                <w:szCs w:val="24"/>
                <w:lang w:eastAsia="tr-TR"/>
              </w:rPr>
            </w:pPr>
            <w:r w:rsidRPr="00A23740">
              <w:rPr>
                <w:rFonts w:eastAsia="Times New Roman"/>
                <w:szCs w:val="24"/>
                <w:lang w:eastAsia="tr-TR"/>
              </w:rPr>
              <w:t>b) Geminin işletilmesi ile doğrudan doğruya ilgili olarak karada veya suda meydana gelen can kaybı veya diğer bedensel zararlar.</w:t>
            </w:r>
          </w:p>
          <w:p w:rsidR="00A46C6E" w:rsidRPr="00A23740" w:rsidRDefault="00A46C6E" w:rsidP="009431FF">
            <w:pPr>
              <w:rPr>
                <w:rFonts w:eastAsia="Times New Roman"/>
                <w:szCs w:val="24"/>
                <w:lang w:eastAsia="tr-TR"/>
              </w:rPr>
            </w:pPr>
            <w:r w:rsidRPr="00A23740">
              <w:rPr>
                <w:rFonts w:eastAsia="Times New Roman"/>
                <w:szCs w:val="24"/>
                <w:lang w:eastAsia="tr-TR"/>
              </w:rPr>
              <w:t>c) Kurtarma faaliyeti veya her türlü kurtarma sözleşmesi, çevre zararı tehdidi oluşturan bir gemi veya gemideki eşya ile ilgili kurtarma faaliyeti için ödenecek özel tazminat.</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d)</w:t>
            </w:r>
            <w:r w:rsidRPr="00A23740">
              <w:rPr>
                <w:rFonts w:eastAsia="Times New Roman"/>
                <w:szCs w:val="24"/>
                <w:lang w:eastAsia="tr-TR"/>
              </w:rPr>
              <w:t xml:space="preserve"> Çevreye, kıyı şeridine veya bunlara ilişkin menfaatlere gemi</w:t>
            </w:r>
            <w:r w:rsidRPr="00A23740">
              <w:rPr>
                <w:rFonts w:eastAsia="Times New Roman"/>
                <w:b/>
                <w:color w:val="FF0000"/>
                <w:szCs w:val="24"/>
                <w:lang w:eastAsia="tr-TR"/>
              </w:rPr>
              <w:t xml:space="preserve"> </w:t>
            </w:r>
            <w:r w:rsidRPr="00A23740">
              <w:rPr>
                <w:rFonts w:eastAsia="Times New Roman"/>
                <w:b/>
                <w:strike/>
                <w:color w:val="FF0000"/>
                <w:szCs w:val="24"/>
                <w:lang w:eastAsia="tr-TR"/>
              </w:rPr>
              <w:t>ile</w:t>
            </w:r>
            <w:r w:rsidRPr="00A23740">
              <w:rPr>
                <w:rFonts w:eastAsia="Times New Roman"/>
                <w:szCs w:val="24"/>
                <w:lang w:eastAsia="tr-TR"/>
              </w:rPr>
              <w:t xml:space="preserve"> </w:t>
            </w:r>
            <w:r w:rsidRPr="00A23740">
              <w:rPr>
                <w:rFonts w:eastAsia="Times New Roman"/>
                <w:b/>
                <w:strike/>
                <w:color w:val="FF0000"/>
                <w:szCs w:val="24"/>
                <w:lang w:eastAsia="tr-TR"/>
              </w:rPr>
              <w:t>verilen</w:t>
            </w:r>
            <w:r w:rsidRPr="00A23740">
              <w:rPr>
                <w:rFonts w:eastAsia="Times New Roman"/>
                <w:szCs w:val="24"/>
                <w:lang w:eastAsia="tr-TR"/>
              </w:rPr>
              <w:t xml:space="preserve"> zarar ya da zarar verme tehdidi; </w:t>
            </w:r>
            <w:r w:rsidRPr="00A23740">
              <w:rPr>
                <w:rFonts w:eastAsia="Times New Roman"/>
                <w:b/>
                <w:strike/>
                <w:color w:val="FF0000"/>
                <w:szCs w:val="24"/>
                <w:lang w:eastAsia="tr-TR"/>
              </w:rPr>
              <w:t>bu zararı</w:t>
            </w:r>
            <w:r w:rsidRPr="00A23740">
              <w:rPr>
                <w:rFonts w:eastAsia="Times New Roman"/>
                <w:szCs w:val="24"/>
                <w:lang w:eastAsia="tr-TR"/>
              </w:rPr>
              <w:t xml:space="preserve"> önlemek, sınırlandırmak veya ortadan kaldırmak için alınan önlemler; bu zarar karşılığı ödenecek tazminat; çevrenin eski duruma getirilmesi için fiilen alınan veya alınacak olan makul önlemlerin giderleri; bu zarar ile bağlantılı olarak üçüncü kişilerin uğradığı veya uğrayabileceği kayıplar ve bu bentte belirtilenlere benzer nitelikteki zararlar, giderler veya kayıplar.</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e)</w:t>
            </w:r>
            <w:r w:rsidRPr="00A23740">
              <w:rPr>
                <w:rFonts w:eastAsia="Times New Roman"/>
                <w:szCs w:val="24"/>
                <w:lang w:eastAsia="tr-TR"/>
              </w:rPr>
              <w:t xml:space="preserve"> Geminin içinde bulunan veya bulunmuş olan şeyler de dâhil olmak üzere, batmış, enkaz hâline gelmiş, karaya oturmuş veya terkedilmiş olan bir geminin yüzdürülmesi, kaldırılması, çıkartılması, yok edilmesi veya zararsız hâle getirilmesi için yapılan giderler ve harcamalar ile terk edilmiş bir geminin korunması ve gemi adamlarının iaşesi ile ilgili giderler ve harcamalar.</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f)</w:t>
            </w:r>
            <w:r w:rsidRPr="00A23740">
              <w:rPr>
                <w:rFonts w:eastAsia="Times New Roman"/>
                <w:szCs w:val="24"/>
                <w:lang w:eastAsia="tr-TR"/>
              </w:rPr>
              <w:t xml:space="preserve"> Bir çarter parti düzenlenmiş olup olmadığına bakılmaksızın, geminin kullanılması veya kiralanması amacıyla yapılmış her türlü sözleşme.</w:t>
            </w:r>
          </w:p>
          <w:p w:rsidR="00A46C6E" w:rsidRPr="00A23740" w:rsidRDefault="00A46C6E" w:rsidP="009431FF">
            <w:pPr>
              <w:rPr>
                <w:rFonts w:eastAsia="Times New Roman"/>
                <w:szCs w:val="24"/>
                <w:lang w:eastAsia="tr-TR"/>
              </w:rPr>
            </w:pPr>
            <w:r w:rsidRPr="00A23740">
              <w:rPr>
                <w:rFonts w:eastAsia="Times New Roman"/>
                <w:szCs w:val="24"/>
                <w:lang w:eastAsia="tr-TR"/>
              </w:rPr>
              <w:t>g) Bir çarter parti düzenlenmiş olup olmadığına bakılmaksızın, gemide eşya veya yolcu taşınması amacıyla yapılmış her türlü sözleşme.</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h)</w:t>
            </w:r>
            <w:r w:rsidRPr="00A23740">
              <w:rPr>
                <w:rFonts w:eastAsia="Times New Roman"/>
                <w:szCs w:val="24"/>
                <w:lang w:eastAsia="tr-TR"/>
              </w:rPr>
              <w:t xml:space="preserve"> Gemide taşınan, bagaj dâhil, eşyaya gelen veya bu eşyaya ilişkin zıya veya hasar.</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i)</w:t>
            </w:r>
            <w:r w:rsidRPr="00A23740">
              <w:rPr>
                <w:rFonts w:eastAsia="Times New Roman"/>
                <w:szCs w:val="24"/>
                <w:lang w:eastAsia="tr-TR"/>
              </w:rPr>
              <w:t xml:space="preserve"> Müşterek avarya.</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j)</w:t>
            </w:r>
            <w:r w:rsidRPr="00A23740">
              <w:rPr>
                <w:rFonts w:eastAsia="Times New Roman"/>
                <w:szCs w:val="24"/>
                <w:lang w:eastAsia="tr-TR"/>
              </w:rPr>
              <w:t xml:space="preserve"> Römorkaj.</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k)</w:t>
            </w:r>
            <w:r w:rsidRPr="00A23740">
              <w:rPr>
                <w:rFonts w:eastAsia="Times New Roman"/>
                <w:szCs w:val="24"/>
                <w:lang w:eastAsia="tr-TR"/>
              </w:rPr>
              <w:t xml:space="preserve"> Kılavuzluk.</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l)</w:t>
            </w:r>
            <w:r w:rsidRPr="00A23740">
              <w:rPr>
                <w:rFonts w:eastAsia="Times New Roman"/>
                <w:szCs w:val="24"/>
                <w:lang w:eastAsia="tr-TR"/>
              </w:rPr>
              <w:t xml:space="preserve"> Geminin işletilmesi, yönetimi, korunması veya bakımı için sağlanan eşya, malzeme, kumanya, yakıt, konteynerler dâhil teçhizat ve bu amaçlarla verilen hizmetler.</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m)</w:t>
            </w:r>
            <w:r w:rsidRPr="00A23740">
              <w:rPr>
                <w:rFonts w:eastAsia="Times New Roman"/>
                <w:szCs w:val="24"/>
                <w:lang w:eastAsia="tr-TR"/>
              </w:rPr>
              <w:t xml:space="preserve"> Geminin yapımı, yeniden yapımı, onarımı, donatılması ya da geminin niteliğinde değişiklik yapılması.</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n)</w:t>
            </w:r>
            <w:r w:rsidRPr="00A23740">
              <w:rPr>
                <w:rFonts w:eastAsia="Times New Roman"/>
                <w:szCs w:val="24"/>
                <w:lang w:eastAsia="tr-TR"/>
              </w:rPr>
              <w:t xml:space="preserve"> Liman, kanal, dok, iskele ve rıhtım, diğer su yolları ile karantina için ödenecek resimlerle diğer paralar.</w:t>
            </w:r>
          </w:p>
          <w:p w:rsidR="00A46C6E" w:rsidRPr="00A23740" w:rsidRDefault="00A46C6E" w:rsidP="009431FF">
            <w:pPr>
              <w:rPr>
                <w:rFonts w:eastAsia="Times New Roman"/>
                <w:b/>
                <w:strike/>
                <w:color w:val="FF0000"/>
                <w:szCs w:val="24"/>
                <w:lang w:eastAsia="tr-TR"/>
              </w:rPr>
            </w:pPr>
            <w:r w:rsidRPr="00A23740">
              <w:rPr>
                <w:rFonts w:eastAsia="Times New Roman"/>
                <w:b/>
                <w:strike/>
                <w:color w:val="FF0000"/>
                <w:szCs w:val="24"/>
                <w:lang w:eastAsia="tr-TR"/>
              </w:rPr>
              <w:t>o)</w:t>
            </w:r>
            <w:r w:rsidRPr="00A23740">
              <w:rPr>
                <w:rFonts w:eastAsia="Times New Roman"/>
                <w:szCs w:val="24"/>
                <w:lang w:eastAsia="tr-TR"/>
              </w:rPr>
              <w:t xml:space="preserve"> Ülkelerine getirilme giderleri</w:t>
            </w:r>
            <w:r w:rsidRPr="00A23740">
              <w:rPr>
                <w:rFonts w:eastAsia="Times New Roman"/>
                <w:b/>
                <w:strike/>
                <w:color w:val="FF0000"/>
                <w:szCs w:val="24"/>
                <w:lang w:eastAsia="tr-TR"/>
              </w:rPr>
              <w:t>ni</w:t>
            </w:r>
            <w:r w:rsidRPr="00A23740">
              <w:rPr>
                <w:rFonts w:eastAsia="Times New Roman"/>
                <w:szCs w:val="24"/>
                <w:lang w:eastAsia="tr-TR"/>
              </w:rPr>
              <w:t xml:space="preserve"> ve onlar </w:t>
            </w:r>
            <w:r w:rsidRPr="00A23740">
              <w:rPr>
                <w:rFonts w:eastAsia="Times New Roman"/>
                <w:b/>
                <w:strike/>
                <w:color w:val="FF0000"/>
                <w:szCs w:val="24"/>
                <w:lang w:eastAsia="tr-TR"/>
              </w:rPr>
              <w:t>adına</w:t>
            </w:r>
            <w:r w:rsidRPr="00A23740">
              <w:rPr>
                <w:rFonts w:eastAsia="Times New Roman"/>
                <w:szCs w:val="24"/>
                <w:lang w:eastAsia="tr-TR"/>
              </w:rPr>
              <w:t xml:space="preserve"> ödenmesi gereken sosyal sigorta katılma payları</w:t>
            </w:r>
            <w:r w:rsidRPr="00A23740">
              <w:rPr>
                <w:rFonts w:eastAsia="Times New Roman"/>
                <w:b/>
                <w:strike/>
                <w:color w:val="FF0000"/>
                <w:szCs w:val="24"/>
                <w:lang w:eastAsia="tr-TR"/>
              </w:rPr>
              <w:t>nı</w:t>
            </w:r>
            <w:r w:rsidRPr="00A23740">
              <w:rPr>
                <w:rFonts w:eastAsia="Times New Roman"/>
                <w:szCs w:val="24"/>
                <w:lang w:eastAsia="tr-TR"/>
              </w:rPr>
              <w:t xml:space="preserve"> da </w:t>
            </w:r>
            <w:r w:rsidRPr="00A23740">
              <w:rPr>
                <w:rFonts w:eastAsia="Times New Roman"/>
                <w:b/>
                <w:strike/>
                <w:color w:val="FF0000"/>
                <w:szCs w:val="24"/>
                <w:lang w:eastAsia="tr-TR"/>
              </w:rPr>
              <w:t xml:space="preserve">içererek, gemi adamlarına, </w:t>
            </w:r>
            <w:r w:rsidRPr="00A23740">
              <w:rPr>
                <w:rFonts w:eastAsia="Times New Roman"/>
                <w:szCs w:val="24"/>
                <w:lang w:eastAsia="tr-TR"/>
              </w:rPr>
              <w:t>gemide çalışmaları dolayısıyla ödenecek ücretler</w:t>
            </w:r>
            <w:r w:rsidRPr="00A23740">
              <w:rPr>
                <w:rFonts w:eastAsia="Times New Roman"/>
                <w:b/>
                <w:strike/>
                <w:color w:val="FF0000"/>
                <w:szCs w:val="24"/>
                <w:lang w:eastAsia="tr-TR"/>
              </w:rPr>
              <w:t>le, onlara ödenmesi gereken</w:t>
            </w:r>
            <w:r w:rsidRPr="00A23740">
              <w:rPr>
                <w:rFonts w:eastAsia="Times New Roman"/>
                <w:szCs w:val="24"/>
                <w:lang w:eastAsia="tr-TR"/>
              </w:rPr>
              <w:t xml:space="preserve"> </w:t>
            </w:r>
            <w:r w:rsidRPr="00A23740">
              <w:rPr>
                <w:rFonts w:eastAsia="Times New Roman"/>
                <w:b/>
                <w:strike/>
                <w:color w:val="FF0000"/>
                <w:szCs w:val="24"/>
                <w:lang w:eastAsia="tr-TR"/>
              </w:rPr>
              <w:t>diğer tutarlara ilişkin istemler.</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p)</w:t>
            </w:r>
            <w:r w:rsidRPr="00A23740">
              <w:rPr>
                <w:rFonts w:eastAsia="Times New Roman"/>
                <w:szCs w:val="24"/>
                <w:lang w:eastAsia="tr-TR"/>
              </w:rPr>
              <w:t xml:space="preserve"> Gemi için </w:t>
            </w:r>
            <w:r w:rsidRPr="00A23740">
              <w:rPr>
                <w:rFonts w:eastAsia="Times New Roman"/>
                <w:b/>
                <w:strike/>
                <w:color w:val="FF0000"/>
                <w:szCs w:val="24"/>
                <w:lang w:eastAsia="tr-TR"/>
              </w:rPr>
              <w:t>alınmış krediler dâhil olmak üzere,</w:t>
            </w:r>
            <w:r w:rsidRPr="00A23740">
              <w:rPr>
                <w:rFonts w:eastAsia="Times New Roman"/>
                <w:szCs w:val="24"/>
                <w:lang w:eastAsia="tr-TR"/>
              </w:rPr>
              <w:t xml:space="preserve"> geminin veya malikinin </w:t>
            </w:r>
            <w:r w:rsidRPr="00A23740">
              <w:rPr>
                <w:rFonts w:eastAsia="Times New Roman"/>
                <w:b/>
                <w:strike/>
                <w:color w:val="FF0000"/>
                <w:szCs w:val="24"/>
                <w:lang w:eastAsia="tr-TR"/>
              </w:rPr>
              <w:t>adına</w:t>
            </w:r>
            <w:r w:rsidRPr="00A23740">
              <w:rPr>
                <w:rFonts w:eastAsia="Times New Roman"/>
                <w:szCs w:val="24"/>
                <w:lang w:eastAsia="tr-TR"/>
              </w:rPr>
              <w:t xml:space="preserve"> yapılmış </w:t>
            </w:r>
            <w:r w:rsidRPr="00A23740">
              <w:rPr>
                <w:rFonts w:eastAsia="Times New Roman"/>
                <w:b/>
                <w:strike/>
                <w:color w:val="FF0000"/>
                <w:szCs w:val="24"/>
                <w:lang w:eastAsia="tr-TR"/>
              </w:rPr>
              <w:t>harcamalar</w:t>
            </w:r>
            <w:r w:rsidRPr="00A23740">
              <w:rPr>
                <w:rFonts w:eastAsia="Times New Roman"/>
                <w:szCs w:val="24"/>
                <w:lang w:eastAsia="tr-TR"/>
              </w:rPr>
              <w:t>.</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r)</w:t>
            </w:r>
            <w:r w:rsidRPr="00A23740">
              <w:rPr>
                <w:rFonts w:eastAsia="Times New Roman"/>
                <w:szCs w:val="24"/>
                <w:lang w:eastAsia="tr-TR"/>
              </w:rPr>
              <w:t xml:space="preserve"> Geminin maliki tarafından </w:t>
            </w:r>
            <w:r w:rsidRPr="00A23740">
              <w:rPr>
                <w:rFonts w:eastAsia="Times New Roman"/>
                <w:b/>
                <w:strike/>
                <w:color w:val="FF0000"/>
                <w:szCs w:val="24"/>
                <w:lang w:eastAsia="tr-TR"/>
              </w:rPr>
              <w:t>veya onun</w:t>
            </w:r>
            <w:r w:rsidRPr="00A23740">
              <w:rPr>
                <w:rFonts w:eastAsia="Times New Roman"/>
                <w:szCs w:val="24"/>
                <w:lang w:eastAsia="tr-TR"/>
              </w:rPr>
              <w:t xml:space="preserve"> hesabına ödenecek, karşılıklı sigorta aidatları </w:t>
            </w:r>
            <w:r w:rsidRPr="00A23740">
              <w:rPr>
                <w:rFonts w:eastAsia="Times New Roman"/>
                <w:b/>
                <w:strike/>
                <w:color w:val="FF0000"/>
                <w:szCs w:val="24"/>
                <w:lang w:eastAsia="tr-TR"/>
              </w:rPr>
              <w:t xml:space="preserve">da dâhil </w:t>
            </w:r>
            <w:r w:rsidRPr="00A23740">
              <w:rPr>
                <w:rFonts w:eastAsia="Times New Roman"/>
                <w:szCs w:val="24"/>
                <w:lang w:eastAsia="tr-TR"/>
              </w:rPr>
              <w:t>sigorta primleri.</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s)</w:t>
            </w:r>
            <w:r w:rsidRPr="00A23740">
              <w:rPr>
                <w:rFonts w:eastAsia="Times New Roman"/>
                <w:szCs w:val="24"/>
                <w:lang w:eastAsia="tr-TR"/>
              </w:rPr>
              <w:t xml:space="preserve"> Geminin maliki tarafından </w:t>
            </w:r>
            <w:r w:rsidRPr="00A23740">
              <w:rPr>
                <w:rFonts w:eastAsia="Times New Roman"/>
                <w:b/>
                <w:strike/>
                <w:color w:val="FF0000"/>
                <w:szCs w:val="24"/>
                <w:lang w:eastAsia="tr-TR"/>
              </w:rPr>
              <w:t>veya onun</w:t>
            </w:r>
            <w:r w:rsidRPr="00A23740">
              <w:rPr>
                <w:rFonts w:eastAsia="Times New Roman"/>
                <w:szCs w:val="24"/>
                <w:lang w:eastAsia="tr-TR"/>
              </w:rPr>
              <w:t xml:space="preserve"> hesabına gemiye ilişkin olarak ödenecek her türlü komisyon, </w:t>
            </w:r>
            <w:r w:rsidRPr="00A23740">
              <w:rPr>
                <w:rFonts w:eastAsia="Times New Roman"/>
                <w:b/>
                <w:strike/>
                <w:color w:val="FF0000"/>
                <w:szCs w:val="24"/>
                <w:lang w:eastAsia="tr-TR"/>
              </w:rPr>
              <w:t>brokaj</w:t>
            </w:r>
            <w:r w:rsidRPr="00A23740">
              <w:rPr>
                <w:rFonts w:eastAsia="Times New Roman"/>
                <w:szCs w:val="24"/>
                <w:lang w:eastAsia="tr-TR"/>
              </w:rPr>
              <w:t xml:space="preserve"> veya acente ücretleri.</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t)</w:t>
            </w:r>
            <w:r w:rsidRPr="00A23740">
              <w:rPr>
                <w:rFonts w:eastAsia="Times New Roman"/>
                <w:szCs w:val="24"/>
                <w:lang w:eastAsia="tr-TR"/>
              </w:rPr>
              <w:t xml:space="preserve"> Geminin mülkiyeti veya zilyetliğine ilişkin her türlü uyuşmazlık.</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u)</w:t>
            </w:r>
            <w:r w:rsidRPr="00A23740">
              <w:rPr>
                <w:rFonts w:eastAsia="Times New Roman"/>
                <w:szCs w:val="24"/>
                <w:lang w:eastAsia="tr-TR"/>
              </w:rPr>
              <w:t xml:space="preserve"> Geminin ortak malikleri arasında çıkan, geminin işletilmesine ya da gemiden sağlanan hasılata ilişkin her türlü uyuşmazlık.</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v)</w:t>
            </w:r>
            <w:r w:rsidRPr="00A23740">
              <w:rPr>
                <w:rFonts w:eastAsia="Times New Roman"/>
                <w:szCs w:val="24"/>
                <w:lang w:eastAsia="tr-TR"/>
              </w:rPr>
              <w:t xml:space="preserve"> Gemi rehni, gemi ipoteği veya gemi üzerinde aynı nitelikteki ayni bir yükümlülük.</w:t>
            </w:r>
          </w:p>
          <w:p w:rsidR="00A46C6E" w:rsidRPr="00A23740" w:rsidRDefault="00A46C6E" w:rsidP="009431FF">
            <w:pPr>
              <w:rPr>
                <w:rFonts w:eastAsia="Times New Roman"/>
                <w:b/>
                <w:bCs/>
                <w:szCs w:val="24"/>
              </w:rPr>
            </w:pPr>
            <w:r w:rsidRPr="00A23740">
              <w:rPr>
                <w:rFonts w:eastAsia="Times New Roman"/>
                <w:b/>
                <w:strike/>
                <w:color w:val="FF0000"/>
                <w:szCs w:val="24"/>
                <w:lang w:eastAsia="tr-TR"/>
              </w:rPr>
              <w:t>y)</w:t>
            </w:r>
            <w:r w:rsidRPr="00A23740">
              <w:rPr>
                <w:rFonts w:eastAsia="Times New Roman"/>
                <w:szCs w:val="24"/>
                <w:lang w:eastAsia="tr-TR"/>
              </w:rPr>
              <w:t xml:space="preserve"> Geminin satışına ilişkin bir sözleşmeden kaynaklanan her türlü uyuşmazlık.</w:t>
            </w:r>
          </w:p>
        </w:tc>
        <w:tc>
          <w:tcPr>
            <w:tcW w:w="2500" w:type="pct"/>
            <w:shd w:val="clear" w:color="auto" w:fill="auto"/>
          </w:tcPr>
          <w:p w:rsidR="00A46C6E" w:rsidRPr="00A23740" w:rsidRDefault="00A46C6E" w:rsidP="009431FF">
            <w:pPr>
              <w:rPr>
                <w:rFonts w:eastAsia="Times New Roman"/>
                <w:b/>
                <w:bCs/>
                <w:szCs w:val="24"/>
              </w:rPr>
            </w:pPr>
          </w:p>
          <w:p w:rsidR="00A46C6E" w:rsidRPr="00A23740" w:rsidRDefault="00A46C6E" w:rsidP="009431FF">
            <w:pPr>
              <w:rPr>
                <w:rFonts w:eastAsia="Times New Roman"/>
                <w:b/>
                <w:bCs/>
                <w:szCs w:val="24"/>
                <w:lang w:eastAsia="tr-TR"/>
              </w:rPr>
            </w:pPr>
          </w:p>
          <w:p w:rsidR="00A46C6E" w:rsidRPr="00A23740" w:rsidRDefault="00A46C6E" w:rsidP="009431FF">
            <w:pPr>
              <w:rPr>
                <w:rFonts w:eastAsia="Times New Roman"/>
                <w:b/>
                <w:bCs/>
                <w:szCs w:val="24"/>
                <w:lang w:eastAsia="tr-TR"/>
              </w:rPr>
            </w:pPr>
            <w:r w:rsidRPr="00A23740">
              <w:rPr>
                <w:rFonts w:eastAsia="Times New Roman"/>
                <w:b/>
                <w:bCs/>
                <w:szCs w:val="24"/>
                <w:lang w:eastAsia="tr-TR"/>
              </w:rPr>
              <w:t>Deniz alacakları</w:t>
            </w:r>
          </w:p>
          <w:p w:rsidR="00A46C6E" w:rsidRPr="00A23740" w:rsidRDefault="00993A1A" w:rsidP="009431FF">
            <w:pPr>
              <w:rPr>
                <w:rFonts w:eastAsia="Times New Roman"/>
                <w:szCs w:val="24"/>
                <w:lang w:eastAsia="tr-TR"/>
              </w:rPr>
            </w:pPr>
            <w:r w:rsidRPr="00284A3E">
              <w:rPr>
                <w:rFonts w:eastAsia="Times New Roman"/>
                <w:b/>
                <w:bCs/>
                <w:color w:val="000000" w:themeColor="text1"/>
                <w:szCs w:val="24"/>
                <w:lang w:eastAsia="tr-TR"/>
              </w:rPr>
              <w:t xml:space="preserve">MADDE </w:t>
            </w:r>
            <w:r w:rsidRPr="00A23740">
              <w:rPr>
                <w:rFonts w:eastAsia="Times New Roman"/>
                <w:b/>
                <w:bCs/>
                <w:color w:val="0000FF"/>
                <w:szCs w:val="24"/>
                <w:lang w:eastAsia="tr-TR"/>
              </w:rPr>
              <w:t>493</w:t>
            </w:r>
            <w:r w:rsidR="00A46C6E" w:rsidRPr="00A23740">
              <w:rPr>
                <w:rFonts w:eastAsia="Times New Roman"/>
                <w:b/>
                <w:bCs/>
                <w:color w:val="0000FF"/>
                <w:szCs w:val="24"/>
                <w:lang w:eastAsia="tr-TR"/>
              </w:rPr>
              <w:t xml:space="preserve">- </w:t>
            </w:r>
            <w:r w:rsidR="00A46C6E" w:rsidRPr="00284A3E">
              <w:t>(1)</w:t>
            </w:r>
            <w:r w:rsidR="00A46C6E" w:rsidRPr="00A23740">
              <w:rPr>
                <w:rFonts w:eastAsia="Times New Roman"/>
                <w:szCs w:val="24"/>
                <w:lang w:eastAsia="tr-TR"/>
              </w:rPr>
              <w:t xml:space="preserve"> Deniz alacağı</w:t>
            </w:r>
            <w:r w:rsidR="00A46C6E" w:rsidRPr="00A23740">
              <w:rPr>
                <w:rFonts w:eastAsia="Times New Roman"/>
                <w:b/>
                <w:bCs/>
                <w:color w:val="0000FF"/>
                <w:lang w:eastAsia="tr-TR"/>
              </w:rPr>
              <w:t>,</w:t>
            </w:r>
            <w:r w:rsidR="00A46C6E" w:rsidRPr="00A23740">
              <w:rPr>
                <w:rFonts w:eastAsia="Times New Roman"/>
                <w:color w:val="0000FF"/>
                <w:lang w:eastAsia="tr-TR"/>
              </w:rPr>
              <w:t xml:space="preserve"> </w:t>
            </w:r>
            <w:r w:rsidR="00A46C6E" w:rsidRPr="00A23740">
              <w:rPr>
                <w:rFonts w:eastAsia="Times New Roman"/>
                <w:szCs w:val="24"/>
                <w:lang w:eastAsia="tr-TR"/>
              </w:rPr>
              <w:t xml:space="preserve">aşağıda sayılan hususların birinden veya birkaçından </w:t>
            </w:r>
            <w:r w:rsidR="00A46C6E" w:rsidRPr="00A23740">
              <w:rPr>
                <w:rFonts w:eastAsia="Times New Roman"/>
                <w:b/>
                <w:bCs/>
                <w:color w:val="0000FF"/>
                <w:szCs w:val="24"/>
                <w:lang w:eastAsia="tr-TR"/>
              </w:rPr>
              <w:t>kaynaklanan talep</w:t>
            </w:r>
            <w:r w:rsidR="00A46C6E" w:rsidRPr="00A23740">
              <w:rPr>
                <w:rFonts w:eastAsia="Times New Roman"/>
                <w:szCs w:val="24"/>
                <w:lang w:eastAsia="tr-TR"/>
              </w:rPr>
              <w:t xml:space="preserve"> anlamına gelir: </w:t>
            </w:r>
          </w:p>
          <w:p w:rsidR="00A46C6E" w:rsidRPr="00A23740" w:rsidRDefault="00A46C6E" w:rsidP="009431FF">
            <w:pPr>
              <w:rPr>
                <w:rFonts w:eastAsia="Times New Roman"/>
                <w:szCs w:val="24"/>
                <w:lang w:eastAsia="tr-TR"/>
              </w:rPr>
            </w:pPr>
            <w:r w:rsidRPr="00A23740">
              <w:rPr>
                <w:rFonts w:eastAsia="Times New Roman"/>
                <w:szCs w:val="24"/>
                <w:lang w:eastAsia="tr-TR"/>
              </w:rPr>
              <w:t>a) Geminin işletilmesinin sebep olduğu zıya veya hasar.</w:t>
            </w:r>
          </w:p>
          <w:p w:rsidR="00A46C6E" w:rsidRPr="00A23740" w:rsidRDefault="00A46C6E" w:rsidP="009431FF">
            <w:pPr>
              <w:rPr>
                <w:rFonts w:eastAsia="Times New Roman"/>
                <w:szCs w:val="24"/>
                <w:lang w:eastAsia="tr-TR"/>
              </w:rPr>
            </w:pPr>
            <w:r w:rsidRPr="00A23740">
              <w:rPr>
                <w:rFonts w:eastAsia="Times New Roman"/>
                <w:szCs w:val="24"/>
                <w:lang w:eastAsia="tr-TR"/>
              </w:rPr>
              <w:t>b) Geminin işletilmesi ile doğrudan doğruya ilgili olarak karada veya suda meydana gelen can kaybı veya diğer bedensel zararlar.</w:t>
            </w:r>
          </w:p>
          <w:p w:rsidR="00A46C6E" w:rsidRPr="00A23740" w:rsidRDefault="00A46C6E" w:rsidP="009431FF">
            <w:pPr>
              <w:rPr>
                <w:rFonts w:eastAsia="Times New Roman"/>
                <w:szCs w:val="24"/>
                <w:lang w:eastAsia="tr-TR"/>
              </w:rPr>
            </w:pPr>
            <w:r w:rsidRPr="00A23740">
              <w:rPr>
                <w:rFonts w:eastAsia="Times New Roman"/>
                <w:szCs w:val="24"/>
                <w:lang w:eastAsia="tr-TR"/>
              </w:rPr>
              <w:t>c) Kurtarma faaliyeti veya her türlü kurtarma sözleşmesi, çevre zararı tehdidi oluşturan bir gemi veya gemideki eşya ile ilgili kurtarma faaliyeti için ödenecek özel tazminat.</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ç)</w:t>
            </w:r>
            <w:r w:rsidRPr="00A23740">
              <w:rPr>
                <w:rFonts w:eastAsia="Times New Roman"/>
                <w:szCs w:val="24"/>
                <w:lang w:eastAsia="tr-TR"/>
              </w:rPr>
              <w:t xml:space="preserve"> Çevreye, kıyı şeridine veya bunlara ilişkin menfaatlere gemi</w:t>
            </w:r>
            <w:r w:rsidRPr="00A23740">
              <w:rPr>
                <w:rFonts w:eastAsia="Times New Roman"/>
                <w:b/>
                <w:bCs/>
                <w:color w:val="0000FF"/>
                <w:szCs w:val="24"/>
                <w:lang w:eastAsia="tr-TR"/>
              </w:rPr>
              <w:t xml:space="preserve">nin sebebiyet verdiği </w:t>
            </w:r>
            <w:r w:rsidRPr="00A23740">
              <w:rPr>
                <w:rFonts w:eastAsia="Times New Roman"/>
                <w:szCs w:val="24"/>
                <w:lang w:eastAsia="tr-TR"/>
              </w:rPr>
              <w:t xml:space="preserve">zarar ya da zarar verme tehdidi; </w:t>
            </w:r>
            <w:r w:rsidRPr="00A23740">
              <w:rPr>
                <w:rFonts w:eastAsia="Times New Roman"/>
                <w:b/>
                <w:bCs/>
                <w:color w:val="0000FF"/>
                <w:szCs w:val="24"/>
                <w:lang w:eastAsia="tr-TR"/>
              </w:rPr>
              <w:t>bunları</w:t>
            </w:r>
            <w:r w:rsidRPr="00A23740">
              <w:rPr>
                <w:rFonts w:eastAsia="Times New Roman"/>
                <w:szCs w:val="24"/>
                <w:lang w:eastAsia="tr-TR"/>
              </w:rPr>
              <w:t xml:space="preserve"> önlemek, sınırlandırmak veya ortadan kaldırmak için alınan önlemler; bu zarar karşılığı ödenecek tazminat; çevrenin eski duruma getirilmesi için fiilen alınan veya alınacak olan makul önlemlerin giderleri; bu zarar ile bağlantılı olarak üçüncü kişilerin uğradığı veya uğrayabileceği kayıplar ve bu bentte belirtilenlere benzer nitelikteki zararlar, giderler veya kayıplar.</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d)</w:t>
            </w:r>
            <w:r w:rsidRPr="00A23740">
              <w:rPr>
                <w:rFonts w:eastAsia="Times New Roman"/>
                <w:szCs w:val="24"/>
                <w:lang w:eastAsia="tr-TR"/>
              </w:rPr>
              <w:t xml:space="preserve"> Geminin içinde bulunan veya bulunmuş olan şeyler de dâhil olmak üzere, batmış, enkaz hâline gelmiş, karaya oturmuş veya terkedilmiş olan bir geminin yüzdürülmesi, kaldırılması, çıkartılması, yok edilmesi veya zararsız hâle getirilmesi için yapılan giderler ve harcamalar ile terk edilmiş bir geminin korunması ve gemi adamlarının iaşesi ile ilgili giderler ve harcamalar.</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e)</w:t>
            </w:r>
            <w:r w:rsidRPr="00A23740">
              <w:rPr>
                <w:rFonts w:eastAsia="Times New Roman"/>
                <w:szCs w:val="24"/>
                <w:lang w:eastAsia="tr-TR"/>
              </w:rPr>
              <w:t xml:space="preserve"> Bir çarter parti düzenlenmiş olup olmadığına bakılmaksızın, geminin kullanılması veya kiralanması amacıyla yapılmış her türlü sözleşme.</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f)</w:t>
            </w:r>
            <w:r w:rsidRPr="00A23740">
              <w:rPr>
                <w:rFonts w:eastAsia="Times New Roman"/>
                <w:szCs w:val="24"/>
                <w:lang w:eastAsia="tr-TR"/>
              </w:rPr>
              <w:t xml:space="preserve"> Bir çarter parti düzenlenmiş olup olmadığına bakılmaksızın, gemide eşya veya yolcu taşınması amacıyla yapılmış her türlü sözleşme.</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g)</w:t>
            </w:r>
            <w:r w:rsidRPr="00A23740">
              <w:rPr>
                <w:rFonts w:eastAsia="Times New Roman"/>
                <w:szCs w:val="24"/>
                <w:lang w:eastAsia="tr-TR"/>
              </w:rPr>
              <w:t xml:space="preserve"> Gemide taşınan, bagaj dâhil, eşyaya gelen veya bu eşyaya ilişkin zıya veya hasar.</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ğ)</w:t>
            </w:r>
            <w:r w:rsidRPr="00A23740">
              <w:rPr>
                <w:rFonts w:eastAsia="Times New Roman"/>
                <w:szCs w:val="24"/>
                <w:lang w:eastAsia="tr-TR"/>
              </w:rPr>
              <w:t xml:space="preserve"> Müşterek avarya.</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h)</w:t>
            </w:r>
            <w:r w:rsidRPr="00A23740">
              <w:rPr>
                <w:rFonts w:eastAsia="Times New Roman"/>
                <w:szCs w:val="24"/>
                <w:lang w:eastAsia="tr-TR"/>
              </w:rPr>
              <w:t xml:space="preserve"> Römorkaj.</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ı)</w:t>
            </w:r>
            <w:r w:rsidRPr="00A23740">
              <w:rPr>
                <w:rFonts w:eastAsia="Times New Roman"/>
                <w:szCs w:val="24"/>
                <w:lang w:eastAsia="tr-TR"/>
              </w:rPr>
              <w:t xml:space="preserve"> Kılavuzluk.</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i)</w:t>
            </w:r>
            <w:r w:rsidRPr="00A23740">
              <w:rPr>
                <w:rFonts w:eastAsia="Times New Roman"/>
                <w:szCs w:val="24"/>
                <w:lang w:eastAsia="tr-TR"/>
              </w:rPr>
              <w:t xml:space="preserve"> Geminin işletilmesi, yönetimi, korunması veya bakımı için sağlanan eşya, malzeme, kumanya, yakıt, konteynerler dâhil teçhizat ve bu amaçlarla verilen hizmetler.</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j)</w:t>
            </w:r>
            <w:r w:rsidRPr="00A23740">
              <w:rPr>
                <w:rFonts w:eastAsia="Times New Roman"/>
                <w:szCs w:val="24"/>
                <w:lang w:eastAsia="tr-TR"/>
              </w:rPr>
              <w:t xml:space="preserve"> Geminin yapımı, yeniden yapımı, onarımı, donatılması ya da geminin niteliğinde değişiklik yapılması.</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k)</w:t>
            </w:r>
            <w:r w:rsidRPr="00A23740">
              <w:rPr>
                <w:rFonts w:eastAsia="Times New Roman"/>
                <w:szCs w:val="24"/>
                <w:lang w:eastAsia="tr-TR"/>
              </w:rPr>
              <w:t xml:space="preserve"> Liman, kanal, dok, iskele ve rıhtım, diğer su yolları ile karantina için ödenecek resimlerle diğer paralar.</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l) Gemi adamlarına,</w:t>
            </w:r>
            <w:r w:rsidRPr="00A23740">
              <w:rPr>
                <w:rFonts w:eastAsia="Times New Roman"/>
                <w:szCs w:val="24"/>
                <w:lang w:eastAsia="tr-TR"/>
              </w:rPr>
              <w:t xml:space="preserve"> ülkelerine getirilme giderleri ve onlar </w:t>
            </w:r>
            <w:r w:rsidRPr="00A23740">
              <w:rPr>
                <w:rFonts w:eastAsia="Times New Roman"/>
                <w:b/>
                <w:bCs/>
                <w:color w:val="0000FF"/>
                <w:szCs w:val="24"/>
                <w:lang w:eastAsia="tr-TR"/>
              </w:rPr>
              <w:t>için</w:t>
            </w:r>
            <w:r w:rsidRPr="00A23740">
              <w:rPr>
                <w:rFonts w:eastAsia="Times New Roman"/>
                <w:szCs w:val="24"/>
                <w:lang w:eastAsia="tr-TR"/>
              </w:rPr>
              <w:t xml:space="preserve"> ödenmesi gereken sosyal sigorta katılma payları da</w:t>
            </w:r>
            <w:r w:rsidRPr="00A23740">
              <w:rPr>
                <w:rFonts w:eastAsia="Times New Roman"/>
                <w:b/>
                <w:bCs/>
                <w:color w:val="0000FF"/>
                <w:szCs w:val="24"/>
                <w:lang w:eastAsia="tr-TR"/>
              </w:rPr>
              <w:t xml:space="preserve"> dahil olmak üzere</w:t>
            </w:r>
            <w:r w:rsidRPr="00A23740">
              <w:rPr>
                <w:rFonts w:eastAsia="Times New Roman"/>
                <w:szCs w:val="24"/>
                <w:lang w:eastAsia="tr-TR"/>
              </w:rPr>
              <w:t xml:space="preserve"> gemide çalışmaları dolayısıyla ödenecek ücretler </w:t>
            </w:r>
            <w:r w:rsidRPr="00A23740">
              <w:rPr>
                <w:rFonts w:eastAsia="Times New Roman"/>
                <w:b/>
                <w:bCs/>
                <w:color w:val="0000FF"/>
                <w:szCs w:val="24"/>
                <w:lang w:eastAsia="tr-TR"/>
              </w:rPr>
              <w:t>ve</w:t>
            </w:r>
            <w:r w:rsidRPr="00A23740">
              <w:rPr>
                <w:rFonts w:eastAsia="Times New Roman"/>
                <w:szCs w:val="24"/>
                <w:lang w:eastAsia="tr-TR"/>
              </w:rPr>
              <w:t xml:space="preserve"> diğer tutarlar.</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m)</w:t>
            </w:r>
            <w:r w:rsidRPr="00A23740">
              <w:rPr>
                <w:rFonts w:eastAsia="Times New Roman"/>
                <w:szCs w:val="24"/>
                <w:lang w:eastAsia="tr-TR"/>
              </w:rPr>
              <w:t xml:space="preserve"> Gemi için </w:t>
            </w:r>
            <w:r w:rsidRPr="00A23740">
              <w:rPr>
                <w:rFonts w:eastAsia="Times New Roman"/>
                <w:b/>
                <w:bCs/>
                <w:color w:val="0000FF"/>
                <w:szCs w:val="24"/>
                <w:lang w:eastAsia="tr-TR"/>
              </w:rPr>
              <w:t>verilmiş krediler ile</w:t>
            </w:r>
            <w:r w:rsidRPr="00A23740">
              <w:rPr>
                <w:rFonts w:eastAsia="Times New Roman"/>
                <w:szCs w:val="24"/>
                <w:lang w:eastAsia="tr-TR"/>
              </w:rPr>
              <w:t xml:space="preserve"> geminin veya malikinin </w:t>
            </w:r>
            <w:r w:rsidRPr="00A23740">
              <w:rPr>
                <w:rFonts w:eastAsia="Times New Roman"/>
                <w:b/>
                <w:bCs/>
                <w:color w:val="0000FF"/>
                <w:szCs w:val="24"/>
                <w:lang w:eastAsia="tr-TR"/>
              </w:rPr>
              <w:t>hesabına</w:t>
            </w:r>
            <w:r w:rsidRPr="00A23740">
              <w:rPr>
                <w:rFonts w:eastAsia="Times New Roman"/>
                <w:szCs w:val="24"/>
                <w:lang w:eastAsia="tr-TR"/>
              </w:rPr>
              <w:t xml:space="preserve"> yapılmış </w:t>
            </w:r>
            <w:r w:rsidRPr="00A23740">
              <w:rPr>
                <w:rFonts w:eastAsia="Times New Roman"/>
                <w:b/>
                <w:bCs/>
                <w:color w:val="0000FF"/>
                <w:szCs w:val="24"/>
                <w:lang w:eastAsia="tr-TR"/>
              </w:rPr>
              <w:t>tüm ödemeler</w:t>
            </w:r>
            <w:r w:rsidRPr="00A23740">
              <w:rPr>
                <w:rFonts w:eastAsia="Times New Roman"/>
                <w:szCs w:val="24"/>
                <w:lang w:eastAsia="tr-TR"/>
              </w:rPr>
              <w:t>.</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n)</w:t>
            </w:r>
            <w:r w:rsidRPr="00A23740">
              <w:rPr>
                <w:rFonts w:eastAsia="Times New Roman"/>
                <w:szCs w:val="24"/>
                <w:lang w:eastAsia="tr-TR"/>
              </w:rPr>
              <w:t xml:space="preserve"> Geminin maliki </w:t>
            </w:r>
            <w:r w:rsidRPr="00A23740">
              <w:rPr>
                <w:rFonts w:eastAsia="Times New Roman"/>
                <w:b/>
                <w:bCs/>
                <w:color w:val="0000FF"/>
                <w:szCs w:val="24"/>
                <w:lang w:eastAsia="tr-TR"/>
              </w:rPr>
              <w:t>veya kiracısı</w:t>
            </w:r>
            <w:r w:rsidRPr="00A23740">
              <w:rPr>
                <w:rFonts w:eastAsia="Times New Roman"/>
                <w:szCs w:val="24"/>
                <w:lang w:eastAsia="tr-TR"/>
              </w:rPr>
              <w:t xml:space="preserve"> tarafından </w:t>
            </w:r>
            <w:r w:rsidRPr="00A23740">
              <w:rPr>
                <w:rFonts w:eastAsia="Times New Roman"/>
                <w:b/>
                <w:bCs/>
                <w:color w:val="0000FF"/>
                <w:szCs w:val="24"/>
                <w:lang w:eastAsia="tr-TR"/>
              </w:rPr>
              <w:t>ya da onların</w:t>
            </w:r>
            <w:r w:rsidRPr="00A23740">
              <w:rPr>
                <w:rFonts w:eastAsia="Times New Roman"/>
                <w:szCs w:val="24"/>
                <w:lang w:eastAsia="tr-TR"/>
              </w:rPr>
              <w:t xml:space="preserve"> hesabına ödenecek, karşılıklı sigorta aidatları </w:t>
            </w:r>
            <w:r w:rsidRPr="00A23740">
              <w:rPr>
                <w:rFonts w:eastAsia="Times New Roman"/>
                <w:b/>
                <w:bCs/>
                <w:color w:val="0000FF"/>
                <w:szCs w:val="24"/>
                <w:lang w:eastAsia="tr-TR"/>
              </w:rPr>
              <w:t>ve</w:t>
            </w:r>
            <w:r w:rsidRPr="00A23740">
              <w:rPr>
                <w:rFonts w:eastAsia="Times New Roman"/>
                <w:szCs w:val="24"/>
                <w:lang w:eastAsia="tr-TR"/>
              </w:rPr>
              <w:t xml:space="preserve"> sigorta primleri.</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o)</w:t>
            </w:r>
            <w:r w:rsidRPr="00A23740">
              <w:rPr>
                <w:rFonts w:eastAsia="Times New Roman"/>
                <w:szCs w:val="24"/>
                <w:lang w:eastAsia="tr-TR"/>
              </w:rPr>
              <w:t xml:space="preserve"> Geminin maliki </w:t>
            </w:r>
            <w:r w:rsidRPr="00A23740">
              <w:rPr>
                <w:rFonts w:eastAsia="Times New Roman"/>
                <w:b/>
                <w:bCs/>
                <w:color w:val="0000FF"/>
                <w:szCs w:val="24"/>
                <w:lang w:eastAsia="tr-TR"/>
              </w:rPr>
              <w:t>veya kiracısı</w:t>
            </w:r>
            <w:r w:rsidRPr="00A23740">
              <w:rPr>
                <w:rFonts w:eastAsia="Times New Roman"/>
                <w:szCs w:val="24"/>
                <w:lang w:eastAsia="tr-TR"/>
              </w:rPr>
              <w:t xml:space="preserve"> tarafından </w:t>
            </w:r>
            <w:r w:rsidRPr="00A23740">
              <w:rPr>
                <w:rFonts w:eastAsia="Times New Roman"/>
                <w:b/>
                <w:bCs/>
                <w:color w:val="0000FF"/>
                <w:szCs w:val="24"/>
                <w:lang w:eastAsia="tr-TR"/>
              </w:rPr>
              <w:t>ya da onların</w:t>
            </w:r>
            <w:r w:rsidRPr="00A23740">
              <w:rPr>
                <w:rFonts w:eastAsia="Times New Roman"/>
                <w:szCs w:val="24"/>
                <w:lang w:eastAsia="tr-TR"/>
              </w:rPr>
              <w:t xml:space="preserve"> hesabına gemiye ilişkin olarak ödenecek her türlü komisyon, </w:t>
            </w:r>
            <w:r w:rsidRPr="00A23740">
              <w:rPr>
                <w:rFonts w:eastAsia="Times New Roman"/>
                <w:b/>
                <w:bCs/>
                <w:color w:val="0000FF"/>
                <w:szCs w:val="24"/>
                <w:lang w:eastAsia="tr-TR"/>
              </w:rPr>
              <w:t>broker</w:t>
            </w:r>
            <w:r w:rsidRPr="00A23740">
              <w:rPr>
                <w:rFonts w:eastAsia="Times New Roman"/>
                <w:szCs w:val="24"/>
                <w:lang w:eastAsia="tr-TR"/>
              </w:rPr>
              <w:t xml:space="preserve"> veya acente ücretleri. </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ö)</w:t>
            </w:r>
            <w:r w:rsidRPr="00A23740">
              <w:rPr>
                <w:rFonts w:eastAsia="Times New Roman"/>
                <w:szCs w:val="24"/>
                <w:lang w:eastAsia="tr-TR"/>
              </w:rPr>
              <w:t xml:space="preserve"> Geminin mülkiyeti veya zilyetliğine ilişkin her türlü uyuşmazlık.</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p)</w:t>
            </w:r>
            <w:r w:rsidRPr="00A23740">
              <w:rPr>
                <w:rFonts w:eastAsia="Times New Roman"/>
                <w:szCs w:val="24"/>
                <w:lang w:eastAsia="tr-TR"/>
              </w:rPr>
              <w:t xml:space="preserve"> Geminin ortak malikleri arasında çıkan, geminin işletilmesine ya da gemiden sağlanan hasılata ilişkin her türlü uyuşmazlık.</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r)</w:t>
            </w:r>
            <w:r w:rsidRPr="00A23740">
              <w:rPr>
                <w:rFonts w:eastAsia="Times New Roman"/>
                <w:szCs w:val="24"/>
                <w:lang w:eastAsia="tr-TR"/>
              </w:rPr>
              <w:t xml:space="preserve"> Gemi rehni, gemi ipoteği veya gemi üzerinde aynı nitelikteki ayni bir yükümlülük.</w:t>
            </w:r>
          </w:p>
          <w:p w:rsidR="00A46C6E" w:rsidRPr="00A23740" w:rsidRDefault="00A46C6E" w:rsidP="009431FF">
            <w:pPr>
              <w:rPr>
                <w:rFonts w:eastAsia="Times New Roman"/>
                <w:szCs w:val="24"/>
                <w:lang w:eastAsia="tr-TR"/>
              </w:rPr>
            </w:pPr>
            <w:r w:rsidRPr="00A23740">
              <w:rPr>
                <w:rFonts w:eastAsia="Times New Roman"/>
                <w:b/>
                <w:bCs/>
                <w:color w:val="0000FF"/>
                <w:szCs w:val="24"/>
                <w:lang w:eastAsia="tr-TR"/>
              </w:rPr>
              <w:t>s)</w:t>
            </w:r>
            <w:r w:rsidRPr="00A23740">
              <w:rPr>
                <w:rFonts w:eastAsia="Times New Roman"/>
                <w:szCs w:val="24"/>
                <w:lang w:eastAsia="tr-TR"/>
              </w:rPr>
              <w:t xml:space="preserve"> Geminin satışına ilişkin bir sözleşmeden kaynaklanan her türlü uyuşmazlık.</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68" w:name="_Hlk134295395"/>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493</w:t>
            </w:r>
            <w:r w:rsidR="00A46C6E" w:rsidRPr="00A23740">
              <w:rPr>
                <w:rFonts w:eastAsia="Times New Roman"/>
                <w:b/>
                <w:bCs/>
                <w:szCs w:val="24"/>
                <w:lang w:eastAsia="tr-TR"/>
              </w:rPr>
              <w:t xml:space="preserve">- </w:t>
            </w:r>
            <w:bookmarkStart w:id="69" w:name="_Hlk172876484"/>
            <w:r w:rsidR="00A46C6E" w:rsidRPr="00A23740">
              <w:rPr>
                <w:bCs/>
                <w:szCs w:val="24"/>
                <w:lang w:eastAsia="x-none"/>
              </w:rPr>
              <w:t>Maddeyle, deniz alacakları düzenlenmektedir.</w:t>
            </w:r>
            <w:bookmarkEnd w:id="69"/>
          </w:p>
          <w:p w:rsidR="00A46C6E" w:rsidRPr="00A23740" w:rsidRDefault="00A46C6E" w:rsidP="009431FF">
            <w:pPr>
              <w:ind w:firstLine="709"/>
              <w:rPr>
                <w:rFonts w:eastAsia="Times New Roman"/>
                <w:bCs/>
                <w:szCs w:val="24"/>
              </w:rPr>
            </w:pPr>
            <w:bookmarkStart w:id="70" w:name="_Hlk172707629"/>
            <w:r w:rsidRPr="00A23740">
              <w:rPr>
                <w:rFonts w:eastAsia="Times New Roman"/>
                <w:bCs/>
                <w:szCs w:val="24"/>
              </w:rPr>
              <w:t xml:space="preserve">6102 sayılı Kanunun </w:t>
            </w:r>
            <w:bookmarkEnd w:id="70"/>
            <w:r w:rsidRPr="00A23740">
              <w:rPr>
                <w:rFonts w:eastAsia="Times New Roman"/>
                <w:bCs/>
                <w:szCs w:val="24"/>
              </w:rPr>
              <w:t xml:space="preserve">deniz alacaklarının sayıldığı 1352 nci maddesi, 1999 </w:t>
            </w:r>
            <w:r w:rsidR="00AD6460" w:rsidRPr="006C062A">
              <w:rPr>
                <w:rStyle w:val="KonuBalChar"/>
                <w:rFonts w:eastAsia="Calibri"/>
                <w:b w:val="0"/>
                <w:color w:val="auto"/>
              </w:rPr>
              <w:t>tarihli Milletlerarası Sözleşme</w:t>
            </w:r>
            <w:r w:rsidR="00AD6460" w:rsidRPr="006C062A">
              <w:rPr>
                <w:rStyle w:val="KonuBalChar"/>
                <w:rFonts w:eastAsia="Calibri"/>
                <w:b w:val="0"/>
                <w:color w:val="auto"/>
                <w:lang w:val="tr-TR"/>
              </w:rPr>
              <w:t>nin</w:t>
            </w:r>
            <w:r w:rsidR="00AD6460" w:rsidRPr="00A23740">
              <w:rPr>
                <w:rFonts w:eastAsia="Times New Roman"/>
                <w:szCs w:val="24"/>
              </w:rPr>
              <w:t xml:space="preserve"> </w:t>
            </w:r>
            <w:r w:rsidRPr="00A23740">
              <w:rPr>
                <w:rFonts w:eastAsia="Times New Roman"/>
                <w:bCs/>
                <w:szCs w:val="24"/>
              </w:rPr>
              <w:t xml:space="preserve">1 inci maddesinden alınmıştır. Anılan madde, bentler Türkçe alfabeye uygun şekilde teselsül ettirilmek ve maddenin ifadesi ve içeriğinde, kaynak düzenleme doğrultusunda gerekli görülen bazı değişiklikler yapılmak suretiyle Taslağın bu maddesine alınmıştır. Şöyle ki: </w:t>
            </w:r>
          </w:p>
          <w:p w:rsidR="00A46C6E" w:rsidRPr="00A23740" w:rsidRDefault="00A46C6E" w:rsidP="009431FF">
            <w:pPr>
              <w:ind w:firstLine="709"/>
              <w:rPr>
                <w:rFonts w:eastAsia="Times New Roman"/>
                <w:bCs/>
                <w:szCs w:val="24"/>
              </w:rPr>
            </w:pPr>
            <w:r w:rsidRPr="00A23740">
              <w:rPr>
                <w:rFonts w:eastAsia="Times New Roman"/>
                <w:bCs/>
                <w:szCs w:val="24"/>
              </w:rPr>
              <w:t xml:space="preserve">1999 </w:t>
            </w:r>
            <w:r w:rsidR="00AD6460" w:rsidRPr="006C062A">
              <w:rPr>
                <w:rStyle w:val="KonuBalChar"/>
                <w:rFonts w:eastAsia="Calibri"/>
                <w:b w:val="0"/>
                <w:color w:val="auto"/>
              </w:rPr>
              <w:t>tarihli Milletlerarası Sözleşme</w:t>
            </w:r>
            <w:r w:rsidR="00AD6460" w:rsidRPr="006C062A">
              <w:rPr>
                <w:rStyle w:val="KonuBalChar"/>
                <w:rFonts w:eastAsia="Calibri"/>
                <w:b w:val="0"/>
                <w:color w:val="auto"/>
                <w:lang w:val="tr-TR"/>
              </w:rPr>
              <w:t>nin</w:t>
            </w:r>
            <w:r w:rsidR="00AD6460" w:rsidRPr="00A23740">
              <w:rPr>
                <w:rFonts w:eastAsia="Times New Roman"/>
                <w:szCs w:val="24"/>
              </w:rPr>
              <w:t xml:space="preserve"> </w:t>
            </w:r>
            <w:r w:rsidRPr="00A23740">
              <w:rPr>
                <w:rFonts w:eastAsia="Times New Roman"/>
                <w:bCs/>
                <w:szCs w:val="24"/>
              </w:rPr>
              <w:t>1 inci maddesinin birinci fıkrasının (d) bendinde yer alan “… caused by ship …” ibaresinin karşılığı olarak 6102 sayılı Kanunun 1352 inci maddesinin (d) bendinde “… gemi il</w:t>
            </w:r>
            <w:r w:rsidR="00335C53" w:rsidRPr="00A23740">
              <w:rPr>
                <w:rFonts w:eastAsia="Times New Roman"/>
                <w:bCs/>
                <w:szCs w:val="24"/>
              </w:rPr>
              <w:t>e …” ibaresi kullanılmış ise de</w:t>
            </w:r>
            <w:r w:rsidRPr="00A23740">
              <w:rPr>
                <w:rFonts w:eastAsia="Times New Roman"/>
                <w:bCs/>
                <w:szCs w:val="24"/>
              </w:rPr>
              <w:t xml:space="preserve"> bu ibarenin Türkçeye doğru tercümesi “</w:t>
            </w:r>
            <w:r w:rsidRPr="00A23740">
              <w:rPr>
                <w:rFonts w:eastAsia="Times New Roman"/>
                <w:bCs/>
                <w:i/>
                <w:iCs/>
                <w:szCs w:val="24"/>
              </w:rPr>
              <w:t>geminin sebebiyet verdiği</w:t>
            </w:r>
            <w:r w:rsidRPr="00A23740">
              <w:rPr>
                <w:rFonts w:eastAsia="Times New Roman"/>
                <w:bCs/>
                <w:szCs w:val="24"/>
              </w:rPr>
              <w:t>” şeklindedir. Bu nedenle (d) bendinde yer alan “</w:t>
            </w:r>
            <w:r w:rsidRPr="00A23740">
              <w:rPr>
                <w:rFonts w:eastAsia="Times New Roman"/>
                <w:bCs/>
                <w:i/>
                <w:iCs/>
                <w:szCs w:val="24"/>
              </w:rPr>
              <w:t>gemi ile verilen</w:t>
            </w:r>
            <w:r w:rsidRPr="00A23740">
              <w:rPr>
                <w:rFonts w:eastAsia="Times New Roman"/>
                <w:bCs/>
                <w:szCs w:val="24"/>
              </w:rPr>
              <w:t>” ibaresi “</w:t>
            </w:r>
            <w:r w:rsidRPr="00A23740">
              <w:rPr>
                <w:rFonts w:eastAsia="Times New Roman"/>
                <w:bCs/>
                <w:i/>
                <w:iCs/>
                <w:szCs w:val="24"/>
              </w:rPr>
              <w:t>geminin sebebiyet verdiği</w:t>
            </w:r>
            <w:r w:rsidRPr="00A23740">
              <w:rPr>
                <w:rFonts w:eastAsia="Times New Roman"/>
                <w:bCs/>
                <w:szCs w:val="24"/>
              </w:rPr>
              <w:t xml:space="preserve">” şeklinde değiştirilerek bu maddenin (ç) bendine alınmıştır. Ayrıca 6102 sayılı Kanunun 1352 nci maddesinin (d) bendinde yer alan “… </w:t>
            </w:r>
            <w:r w:rsidRPr="00A23740">
              <w:rPr>
                <w:rFonts w:eastAsia="Times New Roman"/>
                <w:bCs/>
                <w:i/>
                <w:iCs/>
                <w:szCs w:val="24"/>
              </w:rPr>
              <w:t>zarar ya da zarar verme tehdidi</w:t>
            </w:r>
            <w:r w:rsidRPr="00A23740">
              <w:rPr>
                <w:rFonts w:eastAsia="Times New Roman"/>
                <w:bCs/>
                <w:szCs w:val="24"/>
              </w:rPr>
              <w:t>; …” ibaresinden sonra devamında kullanılan “</w:t>
            </w:r>
            <w:r w:rsidRPr="00A23740">
              <w:rPr>
                <w:rFonts w:eastAsia="Times New Roman"/>
                <w:bCs/>
                <w:i/>
                <w:iCs/>
                <w:szCs w:val="24"/>
              </w:rPr>
              <w:t>bu zararı önlemek, sınırlandırmak veya ortadan kaldırmak için alınan önlemler</w:t>
            </w:r>
            <w:r w:rsidRPr="00A23740">
              <w:rPr>
                <w:rFonts w:eastAsia="Times New Roman"/>
                <w:bCs/>
                <w:szCs w:val="24"/>
              </w:rPr>
              <w:t>” ibaresi, “</w:t>
            </w:r>
            <w:r w:rsidRPr="00A23740">
              <w:rPr>
                <w:rFonts w:eastAsia="Times New Roman"/>
                <w:bCs/>
                <w:i/>
                <w:iCs/>
                <w:szCs w:val="24"/>
              </w:rPr>
              <w:t>zarar verme tehdidi</w:t>
            </w:r>
            <w:r w:rsidRPr="00A23740">
              <w:rPr>
                <w:rFonts w:eastAsia="Times New Roman"/>
                <w:bCs/>
                <w:szCs w:val="24"/>
              </w:rPr>
              <w:t>” olgusunu kapsamadığından, “zarar ya da zarar verme tehdidi” olgularını kapsayıcı olması sebebiyle “</w:t>
            </w:r>
            <w:r w:rsidRPr="00A23740">
              <w:rPr>
                <w:rFonts w:eastAsia="Times New Roman"/>
                <w:bCs/>
                <w:i/>
                <w:iCs/>
                <w:szCs w:val="24"/>
              </w:rPr>
              <w:t>bu zararı</w:t>
            </w:r>
            <w:r w:rsidRPr="00A23740">
              <w:rPr>
                <w:rFonts w:eastAsia="Times New Roman"/>
                <w:bCs/>
                <w:szCs w:val="24"/>
              </w:rPr>
              <w:t>” ibaresi de “</w:t>
            </w:r>
            <w:r w:rsidRPr="00A23740">
              <w:rPr>
                <w:rFonts w:eastAsia="Times New Roman"/>
                <w:bCs/>
                <w:i/>
                <w:iCs/>
                <w:szCs w:val="24"/>
              </w:rPr>
              <w:t>bunları</w:t>
            </w:r>
            <w:r w:rsidRPr="00A23740">
              <w:rPr>
                <w:rFonts w:eastAsia="Times New Roman"/>
                <w:bCs/>
                <w:szCs w:val="24"/>
              </w:rPr>
              <w:t xml:space="preserve">” şeklinde değiştirilmiştir. </w:t>
            </w:r>
          </w:p>
          <w:p w:rsidR="00A46C6E" w:rsidRPr="00A23740" w:rsidRDefault="00A46C6E" w:rsidP="009431FF">
            <w:pPr>
              <w:ind w:firstLine="709"/>
              <w:rPr>
                <w:rFonts w:eastAsia="Times New Roman"/>
                <w:bCs/>
                <w:szCs w:val="24"/>
              </w:rPr>
            </w:pPr>
            <w:r w:rsidRPr="00A23740">
              <w:rPr>
                <w:rFonts w:eastAsia="Times New Roman"/>
                <w:bCs/>
                <w:szCs w:val="24"/>
              </w:rPr>
              <w:t xml:space="preserve">6102 sayılı Kanunun 1352 nci maddesinin (o) bendinde sözü edilen alacak, 6102 sayılı Kanunun 1320 nci maddesinin birinci fıkrasının (a) bendinde sözü edilen alacaktır. 6102 sayılı Kanunun 1352 nci maddesinin (o) bendi, Taslağın bu maddesinin (l) bendine alınırken alacağın daha anlaşılır bir şekilde ifade edilmesi amacıyla bent metninde değişiklik yapılmıştır. </w:t>
            </w:r>
          </w:p>
          <w:p w:rsidR="00A46C6E" w:rsidRPr="00A23740" w:rsidRDefault="00A46C6E" w:rsidP="009431FF">
            <w:pPr>
              <w:ind w:firstLine="709"/>
              <w:rPr>
                <w:rFonts w:eastAsia="Times New Roman"/>
                <w:bCs/>
                <w:szCs w:val="24"/>
              </w:rPr>
            </w:pPr>
            <w:r w:rsidRPr="00A23740">
              <w:rPr>
                <w:rFonts w:eastAsia="Times New Roman"/>
                <w:bCs/>
                <w:szCs w:val="24"/>
              </w:rPr>
              <w:t xml:space="preserve">1999 </w:t>
            </w:r>
            <w:r w:rsidR="00AD6460" w:rsidRPr="006C062A">
              <w:rPr>
                <w:rStyle w:val="KonuBalChar"/>
                <w:rFonts w:eastAsia="Calibri"/>
                <w:b w:val="0"/>
                <w:color w:val="auto"/>
              </w:rPr>
              <w:t>tarihli Milletlerarası Sözleşme</w:t>
            </w:r>
            <w:r w:rsidR="00AD6460" w:rsidRPr="006C062A">
              <w:rPr>
                <w:rStyle w:val="KonuBalChar"/>
                <w:rFonts w:eastAsia="Calibri"/>
                <w:b w:val="0"/>
                <w:color w:val="auto"/>
                <w:lang w:val="tr-TR"/>
              </w:rPr>
              <w:t>nin</w:t>
            </w:r>
            <w:r w:rsidR="00AD6460" w:rsidRPr="00A23740">
              <w:rPr>
                <w:rFonts w:eastAsia="Times New Roman"/>
                <w:szCs w:val="24"/>
              </w:rPr>
              <w:t xml:space="preserve"> </w:t>
            </w:r>
            <w:r w:rsidRPr="00A23740">
              <w:rPr>
                <w:rFonts w:eastAsia="Times New Roman"/>
                <w:bCs/>
                <w:szCs w:val="24"/>
              </w:rPr>
              <w:t>1 inci maddesinin birinci fıkrasının (q) bendi “</w:t>
            </w:r>
            <w:r w:rsidRPr="00A23740">
              <w:rPr>
                <w:rFonts w:eastAsia="Times New Roman"/>
                <w:bCs/>
                <w:i/>
                <w:iCs/>
                <w:szCs w:val="24"/>
              </w:rPr>
              <w:t>geminin maliki veya geminin kiracısı tarafından veya onların adına gemiye ilişkin olarak ödenecek sigorta primleri (karşılıklı sigorta aidatları dâhil)</w:t>
            </w:r>
            <w:r w:rsidRPr="00A23740">
              <w:rPr>
                <w:rFonts w:eastAsia="Times New Roman"/>
                <w:bCs/>
                <w:szCs w:val="24"/>
              </w:rPr>
              <w:t>” şeklinde ve (r) bendi “</w:t>
            </w:r>
            <w:r w:rsidRPr="00A23740">
              <w:rPr>
                <w:rFonts w:eastAsia="Times New Roman"/>
                <w:bCs/>
                <w:i/>
                <w:iCs/>
                <w:szCs w:val="24"/>
              </w:rPr>
              <w:t>geminin maliki veya geminin kiracısı tarafından veya onların adına gemiye ilişkin olarak ödenecek her türlü komisyon, brokaj veya acente ücretleri</w:t>
            </w:r>
            <w:r w:rsidRPr="00A23740">
              <w:rPr>
                <w:rFonts w:eastAsia="Times New Roman"/>
                <w:bCs/>
                <w:szCs w:val="24"/>
              </w:rPr>
              <w:t>” şeklindedir. Buna karşılık 6102 sayılı Kanunun 1352 nci maddesinin (r) bendinde “</w:t>
            </w:r>
            <w:r w:rsidRPr="00A23740">
              <w:rPr>
                <w:rFonts w:eastAsia="Times New Roman"/>
                <w:bCs/>
                <w:i/>
                <w:iCs/>
                <w:szCs w:val="24"/>
              </w:rPr>
              <w:t>geminin maliki tarafından veya onun hesabına ödenecek, karşılıklı sigorta aidatları da dâhil sigorta primleri</w:t>
            </w:r>
            <w:r w:rsidRPr="00A23740">
              <w:rPr>
                <w:rFonts w:eastAsia="Times New Roman"/>
                <w:bCs/>
                <w:szCs w:val="24"/>
              </w:rPr>
              <w:t>” ve (s) bendinde “</w:t>
            </w:r>
            <w:r w:rsidRPr="00A23740">
              <w:rPr>
                <w:rFonts w:eastAsia="Times New Roman"/>
                <w:bCs/>
                <w:i/>
                <w:iCs/>
                <w:szCs w:val="24"/>
              </w:rPr>
              <w:t>geminin maliki tarafından veya onun hesabına gemiye ilişkin olarak ödenecek her türlü komisyon, brokaj veya acente ücretleri</w:t>
            </w:r>
            <w:r w:rsidRPr="00A23740">
              <w:rPr>
                <w:rFonts w:eastAsia="Times New Roman"/>
                <w:bCs/>
                <w:szCs w:val="24"/>
              </w:rPr>
              <w:t xml:space="preserve">” denilmiştir. 6102 sayılı Kanunun 1352 nci maddesinin gerekçesinde 1999 </w:t>
            </w:r>
            <w:r w:rsidR="00AD6460" w:rsidRPr="006C062A">
              <w:rPr>
                <w:bCs/>
                <w:szCs w:val="52"/>
                <w:lang w:val="x-none" w:eastAsia="x-none"/>
              </w:rPr>
              <w:t>tarihli Milletlerarası Sözleşmen</w:t>
            </w:r>
            <w:r w:rsidR="00AD6460" w:rsidRPr="006C062A">
              <w:rPr>
                <w:bCs/>
                <w:szCs w:val="52"/>
                <w:lang w:eastAsia="x-none"/>
              </w:rPr>
              <w:t>den</w:t>
            </w:r>
            <w:r w:rsidR="00AD6460" w:rsidRPr="00A23740">
              <w:rPr>
                <w:rFonts w:eastAsia="Times New Roman"/>
                <w:szCs w:val="24"/>
              </w:rPr>
              <w:t xml:space="preserve"> </w:t>
            </w:r>
            <w:r w:rsidRPr="00A23740">
              <w:rPr>
                <w:rFonts w:eastAsia="Times New Roman"/>
                <w:bCs/>
                <w:szCs w:val="24"/>
              </w:rPr>
              <w:t>farklı olarak “geminin kiracısı” ibaresine neden yer verilmediği belirtilm</w:t>
            </w:r>
            <w:r w:rsidR="00335C53" w:rsidRPr="00A23740">
              <w:rPr>
                <w:rFonts w:eastAsia="Times New Roman"/>
                <w:bCs/>
                <w:szCs w:val="24"/>
              </w:rPr>
              <w:t>emiş ise de</w:t>
            </w:r>
            <w:r w:rsidR="00BB101D" w:rsidRPr="00A23740">
              <w:rPr>
                <w:rFonts w:eastAsia="Times New Roman"/>
                <w:bCs/>
                <w:szCs w:val="24"/>
              </w:rPr>
              <w:t>,</w:t>
            </w:r>
            <w:r w:rsidRPr="00A23740">
              <w:rPr>
                <w:rFonts w:eastAsia="Times New Roman"/>
                <w:bCs/>
                <w:szCs w:val="24"/>
              </w:rPr>
              <w:t xml:space="preserve"> 6102 sayılı Kanunun 1369 </w:t>
            </w:r>
            <w:r w:rsidR="00FA29EC" w:rsidRPr="006C062A">
              <w:rPr>
                <w:rStyle w:val="YELChar"/>
                <w:b w:val="0"/>
                <w:color w:val="auto"/>
              </w:rPr>
              <w:t>uncu</w:t>
            </w:r>
            <w:r w:rsidR="00FA29EC" w:rsidRPr="00A23740">
              <w:rPr>
                <w:rFonts w:eastAsia="Times New Roman"/>
                <w:bCs/>
                <w:szCs w:val="24"/>
              </w:rPr>
              <w:t xml:space="preserve"> </w:t>
            </w:r>
            <w:r w:rsidRPr="00A23740">
              <w:rPr>
                <w:rFonts w:eastAsia="Times New Roman"/>
                <w:bCs/>
                <w:szCs w:val="24"/>
              </w:rPr>
              <w:t xml:space="preserve">maddesinin gerekçesinde yapılan açıklamadan “Türk hukuku bakımından kiracının borcu için başkasının malik olduğu geminin ihtiyaten haczine olanak tanınmasının mümkün olmadığı” gerekçesiyle “geminin kiracısı” ibaresine yer verilmediği anlaşılmaktadır. Ancak 1999 </w:t>
            </w:r>
            <w:r w:rsidR="00AD6460" w:rsidRPr="006C062A">
              <w:rPr>
                <w:rStyle w:val="KonuBalChar"/>
                <w:rFonts w:eastAsia="Calibri"/>
                <w:b w:val="0"/>
                <w:color w:val="auto"/>
              </w:rPr>
              <w:t>tarihli Milletlerarası Sözleşme</w:t>
            </w:r>
            <w:r w:rsidR="00AD6460" w:rsidRPr="006C062A">
              <w:rPr>
                <w:rStyle w:val="KonuBalChar"/>
                <w:rFonts w:eastAsia="Calibri"/>
                <w:b w:val="0"/>
                <w:color w:val="auto"/>
                <w:lang w:val="tr-TR"/>
              </w:rPr>
              <w:t>nin</w:t>
            </w:r>
            <w:r w:rsidR="00AD6460" w:rsidRPr="00A23740">
              <w:rPr>
                <w:rFonts w:eastAsia="Times New Roman"/>
                <w:szCs w:val="24"/>
              </w:rPr>
              <w:t xml:space="preserve"> </w:t>
            </w:r>
            <w:r w:rsidRPr="00A23740">
              <w:rPr>
                <w:rFonts w:eastAsia="Times New Roman"/>
                <w:bCs/>
                <w:szCs w:val="24"/>
              </w:rPr>
              <w:t>3 üncü maddesinin</w:t>
            </w:r>
            <w:r w:rsidR="00FA29EC" w:rsidRPr="00A23740">
              <w:rPr>
                <w:rFonts w:eastAsia="Times New Roman"/>
                <w:bCs/>
                <w:szCs w:val="24"/>
              </w:rPr>
              <w:t xml:space="preserve"> </w:t>
            </w:r>
            <w:r w:rsidR="00FA29EC" w:rsidRPr="006C062A">
              <w:rPr>
                <w:rStyle w:val="YELChar"/>
                <w:b w:val="0"/>
                <w:color w:val="auto"/>
              </w:rPr>
              <w:t>ikinci</w:t>
            </w:r>
            <w:r w:rsidRPr="00A23740">
              <w:rPr>
                <w:rFonts w:eastAsia="Times New Roman"/>
                <w:bCs/>
                <w:szCs w:val="24"/>
              </w:rPr>
              <w:t xml:space="preserve"> fıkrası hükmüne ve bu hükmün alındığı 6102 sayılı Kanunun 1369 uncu maddesinin ikinci fıkrasına göre</w:t>
            </w:r>
            <w:r w:rsidR="00BB101D" w:rsidRPr="00A23740">
              <w:rPr>
                <w:rFonts w:eastAsia="Times New Roman"/>
                <w:bCs/>
                <w:szCs w:val="24"/>
              </w:rPr>
              <w:t>,</w:t>
            </w:r>
            <w:r w:rsidRPr="00A23740">
              <w:rPr>
                <w:rFonts w:eastAsia="Times New Roman"/>
                <w:bCs/>
                <w:szCs w:val="24"/>
              </w:rPr>
              <w:t xml:space="preserve"> borçlusu gemi kiracısı olan deniz alacağı için, kiracının mülkiyetindeki diğer bir geminin ihtiyatî haczi mümkündür. Bu nedenle 6102 sayılı Kanunun 1352 nci maddesinin (r) ve (s) bentlerinde “</w:t>
            </w:r>
            <w:r w:rsidRPr="00A23740">
              <w:rPr>
                <w:rFonts w:eastAsia="Times New Roman"/>
                <w:bCs/>
                <w:i/>
                <w:iCs/>
                <w:szCs w:val="24"/>
              </w:rPr>
              <w:t>gemi maliki</w:t>
            </w:r>
            <w:r w:rsidRPr="00A23740">
              <w:rPr>
                <w:rFonts w:eastAsia="Times New Roman"/>
                <w:bCs/>
                <w:szCs w:val="24"/>
              </w:rPr>
              <w:t>” ibaresinden sonra “</w:t>
            </w:r>
            <w:r w:rsidRPr="00A23740">
              <w:rPr>
                <w:rFonts w:eastAsia="Times New Roman"/>
                <w:bCs/>
                <w:i/>
                <w:iCs/>
                <w:szCs w:val="24"/>
              </w:rPr>
              <w:t>veya kiracısı</w:t>
            </w:r>
            <w:r w:rsidRPr="00A23740">
              <w:rPr>
                <w:rFonts w:eastAsia="Times New Roman"/>
                <w:bCs/>
                <w:szCs w:val="24"/>
              </w:rPr>
              <w:t>” ibaresine yer verilmesi uygun görülmüş; söz konusu bentler, belirtilen değişikliklerle Taslağın bu maddesinin (n) ve (o) bentlerine alınmıştır. Dolayısıyla bu bentlerde “</w:t>
            </w:r>
            <w:r w:rsidRPr="00A23740">
              <w:rPr>
                <w:rFonts w:eastAsia="Times New Roman"/>
                <w:bCs/>
                <w:i/>
                <w:szCs w:val="24"/>
              </w:rPr>
              <w:t>veya kiracısı</w:t>
            </w:r>
            <w:r w:rsidRPr="00A23740">
              <w:rPr>
                <w:rFonts w:eastAsia="Times New Roman"/>
                <w:bCs/>
                <w:szCs w:val="24"/>
              </w:rPr>
              <w:t xml:space="preserve">” ibaresinin eklenmesinin, kiracının borçlusu olduğu (n) ve (o) bentlerinde sözü edilen deniz alacakları için alacağın ilişkin olduğu (mülkiyeti kiracıya ait olmayan) geminin değil, kiracının maliki olduğu diğer bir geminin haczedilebileceğinden başka bir anlamı yoktur. Taslağın bu maddesinde sayılan bir deniz alacağı için hangi geminin haczedilebileceği Taslağın </w:t>
            </w:r>
            <w:r w:rsidR="003B5A79" w:rsidRPr="006C062A">
              <w:rPr>
                <w:rStyle w:val="KonuBalChar"/>
                <w:rFonts w:eastAsia="Calibri"/>
                <w:b w:val="0"/>
                <w:color w:val="auto"/>
              </w:rPr>
              <w:t>499 uncu</w:t>
            </w:r>
            <w:r w:rsidR="003B5A79" w:rsidRPr="00A23740">
              <w:rPr>
                <w:rFonts w:eastAsia="Times New Roman"/>
                <w:bCs/>
                <w:szCs w:val="24"/>
              </w:rPr>
              <w:t xml:space="preserve"> </w:t>
            </w:r>
            <w:r w:rsidRPr="00A23740">
              <w:rPr>
                <w:rFonts w:eastAsia="Times New Roman"/>
                <w:bCs/>
                <w:szCs w:val="24"/>
              </w:rPr>
              <w:t>maddesinde düzenlenmiş olduğundan, “</w:t>
            </w:r>
            <w:r w:rsidRPr="00A23740">
              <w:rPr>
                <w:rFonts w:eastAsia="Times New Roman"/>
                <w:bCs/>
                <w:i/>
                <w:szCs w:val="24"/>
              </w:rPr>
              <w:t>veya kiracısı</w:t>
            </w:r>
            <w:r w:rsidRPr="00A23740">
              <w:rPr>
                <w:rFonts w:eastAsia="Times New Roman"/>
                <w:bCs/>
                <w:szCs w:val="24"/>
              </w:rPr>
              <w:t xml:space="preserve">” ibaresinin eklenmesine farklı bir anlam verilemeyeceği açıktır. </w:t>
            </w:r>
          </w:p>
          <w:bookmarkEnd w:id="68"/>
          <w:p w:rsidR="003B5A79" w:rsidRPr="00A23740" w:rsidRDefault="003B5A79" w:rsidP="002A27F8">
            <w:pPr>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3. Yetkili mahkeme</w:t>
            </w: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a) İhtiyati haciz kararı bakımından</w:t>
            </w: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aa) Dava açılmadan önce</w:t>
            </w:r>
          </w:p>
          <w:p w:rsidR="00A46C6E" w:rsidRPr="00A23740" w:rsidRDefault="00A46C6E" w:rsidP="009431FF">
            <w:pPr>
              <w:widowControl w:val="0"/>
              <w:rPr>
                <w:rFonts w:eastAsia="Times New Roman"/>
                <w:bCs/>
                <w:strike/>
                <w:color w:val="FF0000"/>
                <w:szCs w:val="24"/>
                <w:lang w:eastAsia="tr-TR"/>
              </w:rPr>
            </w:pPr>
            <w:r w:rsidRPr="00A23740">
              <w:rPr>
                <w:rFonts w:eastAsia="Times New Roman"/>
                <w:b/>
                <w:strike/>
                <w:color w:val="FF0000"/>
                <w:szCs w:val="24"/>
                <w:lang w:eastAsia="x-none"/>
              </w:rPr>
              <w:t>aaa) Türk Bayraklı gemiler</w:t>
            </w:r>
          </w:p>
          <w:p w:rsidR="00A46C6E" w:rsidRPr="00A23740" w:rsidRDefault="00A46C6E" w:rsidP="009431FF">
            <w:pPr>
              <w:widowControl w:val="0"/>
              <w:rPr>
                <w:rFonts w:eastAsia="Times New Roman"/>
                <w:b/>
                <w:strike/>
                <w:color w:val="FF0000"/>
                <w:szCs w:val="24"/>
                <w:lang w:eastAsia="x-none"/>
              </w:rPr>
            </w:pPr>
            <w:r w:rsidRPr="00A23740">
              <w:rPr>
                <w:rFonts w:eastAsia="Times New Roman"/>
                <w:b/>
                <w:bCs/>
                <w:szCs w:val="24"/>
                <w:lang w:eastAsia="tr-TR"/>
              </w:rPr>
              <w:t xml:space="preserve">MADDE </w:t>
            </w:r>
            <w:r w:rsidRPr="00A23740">
              <w:rPr>
                <w:rFonts w:eastAsia="Times New Roman"/>
                <w:b/>
                <w:bCs/>
                <w:strike/>
                <w:color w:val="FF0000"/>
                <w:szCs w:val="24"/>
                <w:lang w:eastAsia="tr-TR"/>
              </w:rPr>
              <w:t>1354</w:t>
            </w:r>
            <w:r w:rsidRPr="00A23740">
              <w:rPr>
                <w:rFonts w:eastAsia="Times New Roman"/>
                <w:szCs w:val="24"/>
                <w:lang w:eastAsia="tr-TR"/>
              </w:rPr>
              <w:t>- (1) Türk Bayraklı gemiler hakkında ihtiyati haciz kararı sadece</w:t>
            </w:r>
            <w:r w:rsidRPr="00A23740">
              <w:rPr>
                <w:b/>
                <w:strike/>
                <w:color w:val="FF0000"/>
                <w:szCs w:val="24"/>
                <w:lang w:eastAsia="x-none"/>
              </w:rPr>
              <w:t>,</w:t>
            </w:r>
            <w:r w:rsidRPr="00A23740">
              <w:rPr>
                <w:rFonts w:eastAsia="Times New Roman"/>
                <w:szCs w:val="24"/>
                <w:lang w:eastAsia="tr-TR"/>
              </w:rPr>
              <w:t xml:space="preserve"> geminin </w:t>
            </w:r>
            <w:r w:rsidRPr="00A23740">
              <w:rPr>
                <w:b/>
                <w:strike/>
                <w:color w:val="FF0000"/>
                <w:szCs w:val="24"/>
                <w:lang w:eastAsia="x-none"/>
              </w:rPr>
              <w:t>demir attığı, şamandıraya veya tonoza bağlandığı, yanaştığı veya kızağa alındığı</w:t>
            </w:r>
            <w:r w:rsidRPr="00A23740">
              <w:rPr>
                <w:rFonts w:eastAsia="Times New Roman"/>
                <w:szCs w:val="24"/>
                <w:lang w:eastAsia="tr-TR"/>
              </w:rPr>
              <w:t xml:space="preserve"> yer mahkemesi </w:t>
            </w:r>
            <w:r w:rsidRPr="00A23740">
              <w:rPr>
                <w:rFonts w:eastAsia="Times New Roman"/>
                <w:b/>
                <w:strike/>
                <w:color w:val="FF0000"/>
                <w:szCs w:val="24"/>
                <w:lang w:eastAsia="x-none"/>
              </w:rPr>
              <w:t>ya da aşağıda gösterilen mahkemeler tarafından verilebilir:</w:t>
            </w:r>
          </w:p>
          <w:p w:rsidR="00A46C6E" w:rsidRPr="00A23740" w:rsidRDefault="00A46C6E" w:rsidP="009431FF">
            <w:pPr>
              <w:widowControl w:val="0"/>
              <w:rPr>
                <w:rFonts w:eastAsia="Times New Roman"/>
                <w:szCs w:val="24"/>
                <w:lang w:eastAsia="tr-TR"/>
              </w:rPr>
            </w:pPr>
            <w:r w:rsidRPr="00A23740">
              <w:rPr>
                <w:b/>
                <w:strike/>
                <w:color w:val="FF0000"/>
                <w:szCs w:val="24"/>
                <w:lang w:eastAsia="x-none"/>
              </w:rPr>
              <w:t>a)</w:t>
            </w:r>
            <w:r w:rsidRPr="00A23740">
              <w:rPr>
                <w:rFonts w:eastAsia="Times New Roman"/>
                <w:szCs w:val="24"/>
                <w:lang w:eastAsia="tr-TR"/>
              </w:rPr>
              <w:t xml:space="preserve"> Bir Türk Gemi Siciline kayıtlı gemilerde, sicil yeri mahkemesi</w:t>
            </w:r>
            <w:r w:rsidRPr="00A23740">
              <w:rPr>
                <w:rFonts w:eastAsia="Times New Roman"/>
                <w:b/>
                <w:strike/>
                <w:color w:val="FF0000"/>
                <w:szCs w:val="24"/>
                <w:lang w:eastAsia="x-none"/>
              </w:rPr>
              <w:t>.</w:t>
            </w:r>
          </w:p>
          <w:p w:rsidR="00A46C6E" w:rsidRPr="00A23740" w:rsidRDefault="00A46C6E" w:rsidP="009431FF">
            <w:pPr>
              <w:widowControl w:val="0"/>
              <w:rPr>
                <w:rFonts w:eastAsia="Times New Roman"/>
                <w:szCs w:val="24"/>
                <w:lang w:eastAsia="tr-TR"/>
              </w:rPr>
            </w:pPr>
            <w:r w:rsidRPr="00A23740">
              <w:rPr>
                <w:b/>
                <w:strike/>
                <w:color w:val="FF0000"/>
                <w:szCs w:val="24"/>
                <w:lang w:eastAsia="x-none"/>
              </w:rPr>
              <w:t>b)</w:t>
            </w:r>
            <w:r w:rsidRPr="00A23740">
              <w:rPr>
                <w:rFonts w:eastAsia="Times New Roman"/>
                <w:szCs w:val="24"/>
                <w:lang w:eastAsia="tr-TR"/>
              </w:rPr>
              <w:t xml:space="preserve"> Sicile kayıtlı olmayan gemilerde malikin yerleşim yeri mahkemesi</w:t>
            </w:r>
            <w:r w:rsidRPr="00A23740">
              <w:rPr>
                <w:rFonts w:eastAsia="Times New Roman"/>
                <w:b/>
                <w:strike/>
                <w:color w:val="FF0000"/>
                <w:szCs w:val="24"/>
                <w:lang w:eastAsia="x-none"/>
              </w:rPr>
              <w:t>.</w:t>
            </w:r>
          </w:p>
          <w:p w:rsidR="00A46C6E" w:rsidRPr="00A23740" w:rsidRDefault="00A46C6E" w:rsidP="009431FF">
            <w:pPr>
              <w:widowControl w:val="0"/>
              <w:rPr>
                <w:rFonts w:eastAsia="Times New Roman"/>
                <w:szCs w:val="24"/>
                <w:lang w:eastAsia="tr-TR"/>
              </w:rPr>
            </w:pPr>
            <w:r w:rsidRPr="00A23740">
              <w:rPr>
                <w:b/>
                <w:strike/>
                <w:color w:val="FF0000"/>
                <w:szCs w:val="24"/>
                <w:lang w:eastAsia="x-none"/>
              </w:rPr>
              <w:t>c)</w:t>
            </w:r>
            <w:r w:rsidRPr="00A23740">
              <w:rPr>
                <w:rFonts w:eastAsia="Times New Roman"/>
                <w:szCs w:val="24"/>
                <w:lang w:eastAsia="tr-TR"/>
              </w:rPr>
              <w:t xml:space="preserve"> 941 inci maddenin üçüncü fıkrası uyarınca tutulan özel sicile kayıtlı gemilerde kiracının yerleşim yeri mahkemesi.</w:t>
            </w:r>
          </w:p>
          <w:p w:rsidR="00A46C6E" w:rsidRPr="00A23740" w:rsidRDefault="00A46C6E" w:rsidP="009431FF">
            <w:pPr>
              <w:widowControl w:val="0"/>
              <w:jc w:val="left"/>
              <w:rPr>
                <w:rFonts w:eastAsia="Times New Roman"/>
                <w:b/>
                <w:bCs/>
                <w:szCs w:val="24"/>
                <w:lang w:eastAsia="tr-TR"/>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bbb) Yabancı bayraklı gemiler</w:t>
            </w:r>
          </w:p>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x-none"/>
              </w:rPr>
              <w:t xml:space="preserve">MADDE </w:t>
            </w:r>
            <w:r w:rsidRPr="00A23740">
              <w:rPr>
                <w:b/>
                <w:strike/>
                <w:color w:val="FF0000"/>
                <w:szCs w:val="24"/>
                <w:lang w:eastAsia="tr-TR"/>
              </w:rPr>
              <w:t>1355</w:t>
            </w:r>
            <w:r w:rsidRPr="00284A3E">
              <w:rPr>
                <w:rStyle w:val="KIRMIZIChar"/>
                <w:rFonts w:eastAsia="Calibri"/>
              </w:rPr>
              <w:t>- (1) Türkiye’de</w:t>
            </w:r>
            <w:r w:rsidRPr="00A23740">
              <w:rPr>
                <w:rFonts w:eastAsia="Times New Roman"/>
                <w:szCs w:val="24"/>
                <w:lang w:eastAsia="tr-TR"/>
              </w:rPr>
              <w:t xml:space="preserve"> yabancı bayraklı gemiler hakkında ihtiyati haciz kararı, sadece</w:t>
            </w:r>
            <w:r w:rsidRPr="00A23740">
              <w:rPr>
                <w:b/>
                <w:strike/>
                <w:color w:val="FF0000"/>
                <w:szCs w:val="24"/>
                <w:lang w:eastAsia="tr-TR"/>
              </w:rPr>
              <w:t>,</w:t>
            </w:r>
            <w:r w:rsidRPr="00A23740">
              <w:rPr>
                <w:rFonts w:eastAsia="Times New Roman"/>
                <w:szCs w:val="24"/>
                <w:lang w:eastAsia="tr-TR"/>
              </w:rPr>
              <w:t xml:space="preserve"> geminin </w:t>
            </w:r>
            <w:r w:rsidRPr="00A23740">
              <w:rPr>
                <w:b/>
                <w:strike/>
                <w:color w:val="FF0000"/>
                <w:szCs w:val="24"/>
                <w:lang w:eastAsia="tr-TR"/>
              </w:rPr>
              <w:t>demir attığı, şamandıraya veya tonoza bağlandığı, yanaştığı ya da kızağa alındığı</w:t>
            </w:r>
            <w:r w:rsidRPr="00A23740">
              <w:rPr>
                <w:rFonts w:eastAsia="Times New Roman"/>
                <w:szCs w:val="24"/>
                <w:lang w:eastAsia="tr-TR"/>
              </w:rPr>
              <w:t xml:space="preserve"> yer mahkemesi tarafından verilir.</w:t>
            </w:r>
          </w:p>
          <w:p w:rsidR="00A46C6E" w:rsidRPr="00A23740" w:rsidRDefault="00A46C6E" w:rsidP="009431FF">
            <w:pPr>
              <w:widowControl w:val="0"/>
              <w:rPr>
                <w:rFonts w:eastAsia="Times New Roman"/>
                <w:b/>
                <w:szCs w:val="24"/>
              </w:rPr>
            </w:pPr>
          </w:p>
          <w:p w:rsidR="00A46C6E" w:rsidRPr="00A23740" w:rsidRDefault="00A46C6E" w:rsidP="009431FF">
            <w:pPr>
              <w:widowControl w:val="0"/>
              <w:rPr>
                <w:rFonts w:eastAsia="Times New Roman"/>
                <w:b/>
                <w:szCs w:val="24"/>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ccc) Yetkiye, tahkime ve esasa uygulanacak hukuka ilişkin bir anlaşmanın varlığı hâlinde Türk mahkemesinin yetkisi</w:t>
            </w:r>
          </w:p>
          <w:p w:rsidR="00A46C6E" w:rsidRPr="00A23740" w:rsidRDefault="00A46C6E" w:rsidP="009431FF">
            <w:pPr>
              <w:widowControl w:val="0"/>
              <w:rPr>
                <w:rFonts w:eastAsia="Times New Roman"/>
                <w:szCs w:val="24"/>
                <w:lang w:eastAsia="tr-TR"/>
              </w:rPr>
            </w:pPr>
            <w:r w:rsidRPr="00A23740">
              <w:rPr>
                <w:rFonts w:eastAsia="Times New Roman"/>
                <w:b/>
                <w:szCs w:val="24"/>
                <w:lang w:eastAsia="tr-TR"/>
              </w:rPr>
              <w:t xml:space="preserve">MADDE </w:t>
            </w:r>
            <w:r w:rsidRPr="00A23740">
              <w:rPr>
                <w:b/>
                <w:strike/>
                <w:color w:val="FF0000"/>
                <w:szCs w:val="24"/>
                <w:lang w:eastAsia="tr-TR"/>
              </w:rPr>
              <w:t>1356</w:t>
            </w:r>
            <w:r w:rsidRPr="00A23740">
              <w:rPr>
                <w:rFonts w:eastAsia="Times New Roman"/>
                <w:b/>
                <w:szCs w:val="24"/>
                <w:lang w:eastAsia="tr-TR"/>
              </w:rPr>
              <w:t>-</w:t>
            </w:r>
            <w:r w:rsidRPr="00A23740">
              <w:rPr>
                <w:rFonts w:eastAsia="Times New Roman"/>
                <w:szCs w:val="24"/>
                <w:lang w:eastAsia="tr-TR"/>
              </w:rPr>
              <w:t xml:space="preserve"> </w:t>
            </w:r>
            <w:r w:rsidRPr="00A23740">
              <w:rPr>
                <w:b/>
                <w:strike/>
                <w:color w:val="FF0000"/>
                <w:szCs w:val="24"/>
                <w:lang w:eastAsia="tr-TR"/>
              </w:rPr>
              <w:t>(1) İlgili</w:t>
            </w:r>
            <w:r w:rsidRPr="00A23740">
              <w:rPr>
                <w:rFonts w:eastAsia="Times New Roman"/>
                <w:szCs w:val="24"/>
                <w:lang w:eastAsia="tr-TR"/>
              </w:rPr>
              <w:t xml:space="preserve"> sözleşme</w:t>
            </w:r>
            <w:r w:rsidRPr="00A23740">
              <w:rPr>
                <w:b/>
                <w:strike/>
                <w:color w:val="FF0000"/>
                <w:szCs w:val="24"/>
                <w:lang w:eastAsia="tr-TR"/>
              </w:rPr>
              <w:t>ye konulmuş bir</w:t>
            </w:r>
            <w:r w:rsidRPr="00A23740">
              <w:rPr>
                <w:rFonts w:eastAsia="Times New Roman"/>
                <w:szCs w:val="24"/>
                <w:lang w:eastAsia="tr-TR"/>
              </w:rPr>
              <w:t xml:space="preserve"> yetki veya tahkim kaydına ya da ayrıca yapılmış olan bir yetki yahut tahkim sözleşmesine göre</w:t>
            </w:r>
            <w:r w:rsidRPr="00A23740">
              <w:rPr>
                <w:b/>
                <w:strike/>
                <w:color w:val="FF0000"/>
                <w:szCs w:val="24"/>
                <w:lang w:eastAsia="tr-TR"/>
              </w:rPr>
              <w:t>,</w:t>
            </w:r>
            <w:r w:rsidRPr="00A23740">
              <w:rPr>
                <w:rFonts w:eastAsia="Times New Roman"/>
                <w:szCs w:val="24"/>
                <w:lang w:eastAsia="tr-TR"/>
              </w:rPr>
              <w:t xml:space="preserve"> </w:t>
            </w:r>
            <w:r w:rsidRPr="00A23740">
              <w:rPr>
                <w:b/>
                <w:strike/>
                <w:color w:val="FF0000"/>
                <w:szCs w:val="24"/>
                <w:lang w:eastAsia="tr-TR"/>
              </w:rPr>
              <w:t xml:space="preserve">hakkında ihtiyati haciz kararı uygulanacak olan </w:t>
            </w:r>
            <w:r w:rsidRPr="00A23740">
              <w:rPr>
                <w:rFonts w:eastAsia="Times New Roman"/>
                <w:szCs w:val="24"/>
                <w:lang w:eastAsia="tr-TR"/>
              </w:rPr>
              <w:t xml:space="preserve">deniz alacağının esası hakkında hüküm vermeye bir hakem kurulu veya yabancı mahkeme yetkili </w:t>
            </w:r>
            <w:r w:rsidRPr="00284A3E">
              <w:rPr>
                <w:rStyle w:val="KIRMIZIChar"/>
                <w:rFonts w:eastAsia="Calibri"/>
              </w:rPr>
              <w:t>olsa</w:t>
            </w:r>
            <w:r w:rsidRPr="00A23740">
              <w:rPr>
                <w:b/>
                <w:strike/>
                <w:color w:val="FF0000"/>
                <w:szCs w:val="24"/>
                <w:lang w:eastAsia="tr-TR"/>
              </w:rPr>
              <w:t xml:space="preserve"> yahut </w:t>
            </w:r>
            <w:r w:rsidRPr="00A23740">
              <w:rPr>
                <w:rFonts w:eastAsia="Times New Roman"/>
                <w:szCs w:val="24"/>
                <w:lang w:eastAsia="tr-TR"/>
              </w:rPr>
              <w:t xml:space="preserve">deniz alacağının esasına yabancı bir devletin hukuku </w:t>
            </w:r>
            <w:r w:rsidRPr="00284A3E">
              <w:rPr>
                <w:rStyle w:val="KIRMIZIChar"/>
                <w:rFonts w:eastAsia="Calibri"/>
              </w:rPr>
              <w:t>uygulansa</w:t>
            </w:r>
            <w:r w:rsidRPr="00A23740">
              <w:rPr>
                <w:b/>
                <w:strike/>
                <w:color w:val="FF0000"/>
                <w:szCs w:val="24"/>
                <w:lang w:eastAsia="tr-TR"/>
              </w:rPr>
              <w:t xml:space="preserve"> bile, 1354 ve 1355 inci maddelere göre yetkili olan mahkemeler, bir deniz alacağı için teminat elde edilmesini sağlamak üzere</w:t>
            </w:r>
            <w:r w:rsidRPr="00A23740">
              <w:rPr>
                <w:rFonts w:eastAsia="Times New Roman"/>
                <w:szCs w:val="24"/>
                <w:lang w:eastAsia="tr-TR"/>
              </w:rPr>
              <w:t xml:space="preserve"> ihtiyati haciz kararı vermeye yetkilidir.</w:t>
            </w:r>
          </w:p>
          <w:p w:rsidR="00A46C6E" w:rsidRPr="00A23740" w:rsidRDefault="00A46C6E" w:rsidP="009431FF">
            <w:pPr>
              <w:widowControl w:val="0"/>
              <w:rPr>
                <w:rFonts w:eastAsia="Times New Roman"/>
                <w:noProof/>
                <w:szCs w:val="24"/>
              </w:rPr>
            </w:pPr>
          </w:p>
        </w:tc>
        <w:tc>
          <w:tcPr>
            <w:tcW w:w="2500" w:type="pct"/>
            <w:shd w:val="clear" w:color="auto" w:fill="auto"/>
          </w:tcPr>
          <w:p w:rsidR="00A46C6E" w:rsidRPr="00A23740" w:rsidRDefault="00A46C6E" w:rsidP="009431FF">
            <w:pPr>
              <w:widowControl w:val="0"/>
              <w:rPr>
                <w:rFonts w:eastAsia="Times New Roman"/>
                <w:b/>
                <w:bCs/>
                <w:szCs w:val="24"/>
              </w:rPr>
            </w:pPr>
          </w:p>
          <w:p w:rsidR="00A46C6E" w:rsidRPr="00A23740" w:rsidRDefault="00A46C6E" w:rsidP="009431FF">
            <w:pPr>
              <w:widowControl w:val="0"/>
              <w:rPr>
                <w:rFonts w:eastAsia="Times New Roman"/>
                <w:b/>
                <w:bCs/>
                <w:szCs w:val="24"/>
              </w:rPr>
            </w:pPr>
          </w:p>
          <w:p w:rsidR="00A46C6E" w:rsidRPr="00A23740" w:rsidRDefault="00A46C6E" w:rsidP="009431FF">
            <w:pPr>
              <w:widowControl w:val="0"/>
              <w:rPr>
                <w:rFonts w:eastAsia="Times New Roman"/>
                <w:b/>
                <w:bCs/>
                <w:szCs w:val="24"/>
              </w:rPr>
            </w:pPr>
          </w:p>
          <w:p w:rsidR="00A46C6E" w:rsidRPr="00A23740" w:rsidRDefault="00A46C6E" w:rsidP="009431FF">
            <w:pPr>
              <w:widowControl w:val="0"/>
              <w:rPr>
                <w:rFonts w:eastAsia="Times New Roman"/>
                <w:b/>
                <w:bCs/>
                <w:color w:val="0000FF"/>
                <w:szCs w:val="24"/>
                <w:lang w:eastAsia="tr-TR"/>
              </w:rPr>
            </w:pPr>
            <w:r w:rsidRPr="00A23740">
              <w:rPr>
                <w:rFonts w:eastAsia="Times New Roman"/>
                <w:b/>
                <w:bCs/>
                <w:color w:val="0000FF"/>
                <w:szCs w:val="24"/>
                <w:lang w:eastAsia="tr-TR"/>
              </w:rPr>
              <w:t>Dava açılmadan önce yetkili mahkeme</w:t>
            </w:r>
          </w:p>
          <w:p w:rsidR="00A46C6E" w:rsidRPr="00A23740" w:rsidRDefault="00993A1A" w:rsidP="009431FF">
            <w:pPr>
              <w:widowControl w:val="0"/>
              <w:rPr>
                <w:rFonts w:eastAsia="Times New Roman"/>
                <w:szCs w:val="24"/>
                <w:lang w:eastAsia="tr-TR"/>
              </w:rPr>
            </w:pPr>
            <w:r w:rsidRPr="00284A3E">
              <w:rPr>
                <w:rFonts w:eastAsia="Times New Roman"/>
                <w:b/>
                <w:bCs/>
                <w:color w:val="000000" w:themeColor="text1"/>
                <w:szCs w:val="24"/>
                <w:lang w:eastAsia="tr-TR"/>
              </w:rPr>
              <w:t xml:space="preserve">MADDE </w:t>
            </w:r>
            <w:r w:rsidRPr="00A23740">
              <w:rPr>
                <w:rFonts w:eastAsia="Times New Roman"/>
                <w:b/>
                <w:bCs/>
                <w:color w:val="0000FF"/>
                <w:szCs w:val="24"/>
                <w:lang w:eastAsia="tr-TR"/>
              </w:rPr>
              <w:t>494</w:t>
            </w:r>
            <w:r w:rsidR="00A46C6E" w:rsidRPr="00A23740">
              <w:rPr>
                <w:rFonts w:eastAsia="Times New Roman"/>
                <w:b/>
                <w:bCs/>
                <w:color w:val="0000FF"/>
                <w:szCs w:val="24"/>
                <w:lang w:eastAsia="tr-TR"/>
              </w:rPr>
              <w:t>-</w:t>
            </w:r>
            <w:r w:rsidR="00A46C6E" w:rsidRPr="00A23740">
              <w:rPr>
                <w:rFonts w:eastAsia="Times New Roman"/>
                <w:b/>
                <w:color w:val="3333FF"/>
                <w:szCs w:val="24"/>
                <w:lang w:eastAsia="tr-TR"/>
              </w:rPr>
              <w:t xml:space="preserve"> </w:t>
            </w:r>
            <w:r w:rsidR="00A46C6E" w:rsidRPr="00284A3E">
              <w:t>(1)</w:t>
            </w:r>
            <w:r w:rsidR="00A46C6E" w:rsidRPr="00A23740">
              <w:rPr>
                <w:rFonts w:eastAsia="Times New Roman"/>
                <w:szCs w:val="24"/>
                <w:lang w:eastAsia="tr-TR"/>
              </w:rPr>
              <w:t xml:space="preserve"> Türk Bayraklı gemiler hakkında ihtiyati haciz kararı, sadece </w:t>
            </w:r>
            <w:r w:rsidR="00A46C6E" w:rsidRPr="00A23740">
              <w:rPr>
                <w:rFonts w:eastAsia="Times New Roman"/>
                <w:b/>
                <w:bCs/>
                <w:color w:val="0000FF"/>
                <w:szCs w:val="24"/>
                <w:lang w:eastAsia="tr-TR"/>
              </w:rPr>
              <w:t xml:space="preserve">Hukuk Muhakemeleri Kanununa göre deniz alacağının esası hakkında yetkili olan mahkeme veya </w:t>
            </w:r>
            <w:r w:rsidR="00A46C6E" w:rsidRPr="00A23740">
              <w:rPr>
                <w:rFonts w:eastAsia="Times New Roman"/>
                <w:szCs w:val="24"/>
                <w:lang w:eastAsia="tr-TR"/>
              </w:rPr>
              <w:t xml:space="preserve">geminin </w:t>
            </w:r>
            <w:r w:rsidR="00A46C6E" w:rsidRPr="00A23740">
              <w:rPr>
                <w:rFonts w:eastAsia="Times New Roman"/>
                <w:b/>
                <w:bCs/>
                <w:color w:val="0000FF"/>
                <w:szCs w:val="24"/>
                <w:lang w:eastAsia="x-none"/>
              </w:rPr>
              <w:t>Türk karasularında</w:t>
            </w:r>
            <w:r w:rsidR="00A46C6E" w:rsidRPr="00A23740">
              <w:rPr>
                <w:rFonts w:eastAsia="Times New Roman"/>
                <w:szCs w:val="24"/>
                <w:lang w:eastAsia="tr-TR"/>
              </w:rPr>
              <w:t xml:space="preserve"> </w:t>
            </w:r>
            <w:r w:rsidR="00A46C6E" w:rsidRPr="00A23740">
              <w:rPr>
                <w:rFonts w:eastAsia="Times New Roman"/>
                <w:b/>
                <w:bCs/>
                <w:color w:val="0000FF"/>
                <w:szCs w:val="24"/>
                <w:lang w:eastAsia="tr-TR"/>
              </w:rPr>
              <w:t>durduğu ya da duracağı bilinen</w:t>
            </w:r>
            <w:r w:rsidR="00A46C6E" w:rsidRPr="00A23740">
              <w:rPr>
                <w:rFonts w:eastAsia="Times New Roman"/>
                <w:szCs w:val="24"/>
                <w:lang w:eastAsia="tr-TR"/>
              </w:rPr>
              <w:t xml:space="preserve"> yer mahkemesi tarafından verilebilir. Bir Türk </w:t>
            </w:r>
            <w:r w:rsidR="00974DD1" w:rsidRPr="00A23740">
              <w:rPr>
                <w:rFonts w:eastAsia="Times New Roman"/>
                <w:szCs w:val="24"/>
                <w:lang w:eastAsia="tr-TR"/>
              </w:rPr>
              <w:t xml:space="preserve">gemi siciline </w:t>
            </w:r>
            <w:r w:rsidR="00A46C6E" w:rsidRPr="00A23740">
              <w:rPr>
                <w:rFonts w:eastAsia="Times New Roman"/>
                <w:szCs w:val="24"/>
                <w:lang w:eastAsia="tr-TR"/>
              </w:rPr>
              <w:t>kayıtlı gemilerde sicil yeri mahkemesi</w:t>
            </w:r>
            <w:r w:rsidR="00A46C6E" w:rsidRPr="00A23740">
              <w:rPr>
                <w:rFonts w:eastAsia="Times New Roman"/>
                <w:b/>
                <w:bCs/>
                <w:color w:val="0000FF"/>
                <w:szCs w:val="24"/>
                <w:lang w:eastAsia="tr-TR"/>
              </w:rPr>
              <w:t xml:space="preserve">; </w:t>
            </w:r>
            <w:r w:rsidR="00A46C6E" w:rsidRPr="00A23740">
              <w:rPr>
                <w:rFonts w:eastAsia="Times New Roman"/>
                <w:szCs w:val="24"/>
                <w:lang w:eastAsia="tr-TR"/>
              </w:rPr>
              <w:t xml:space="preserve">sicile kayıtlı olmayan gemilerde malikin yerleşim yeri mahkemesi </w:t>
            </w:r>
            <w:r w:rsidR="00A46C6E" w:rsidRPr="00A23740">
              <w:rPr>
                <w:rFonts w:eastAsia="Times New Roman"/>
                <w:b/>
                <w:bCs/>
                <w:color w:val="0000FF"/>
                <w:szCs w:val="24"/>
                <w:lang w:eastAsia="tr-TR"/>
              </w:rPr>
              <w:t>ve Türk Ticaret Kanununun</w:t>
            </w:r>
            <w:r w:rsidR="00A46C6E" w:rsidRPr="00A23740">
              <w:rPr>
                <w:rFonts w:eastAsia="Times New Roman"/>
                <w:szCs w:val="24"/>
                <w:lang w:eastAsia="tr-TR"/>
              </w:rPr>
              <w:t xml:space="preserve"> 941 inci maddesinin üçüncü fıkrası uyarınca tutulan özel sicile kayıtlı gemilerde ise kiracının yerleşim yeri mahkemesi </w:t>
            </w:r>
            <w:r w:rsidR="00A46C6E" w:rsidRPr="00A23740">
              <w:rPr>
                <w:rFonts w:eastAsia="Times New Roman"/>
                <w:b/>
                <w:bCs/>
                <w:color w:val="0000FF"/>
                <w:szCs w:val="24"/>
                <w:lang w:eastAsia="tr-TR"/>
              </w:rPr>
              <w:t>de ihtiyati haciz kararı vermeye yetkilidir</w:t>
            </w:r>
            <w:r w:rsidR="00A46C6E" w:rsidRPr="00A23740">
              <w:rPr>
                <w:rFonts w:eastAsia="Times New Roman"/>
                <w:szCs w:val="24"/>
                <w:lang w:eastAsia="tr-TR"/>
              </w:rPr>
              <w:t xml:space="preserve">. </w:t>
            </w:r>
          </w:p>
          <w:p w:rsidR="00A46C6E" w:rsidRPr="00A23740" w:rsidRDefault="00A46C6E" w:rsidP="009431FF">
            <w:pPr>
              <w:widowControl w:val="0"/>
              <w:rPr>
                <w:rFonts w:eastAsia="Times New Roman"/>
                <w:b/>
                <w:bCs/>
                <w:szCs w:val="24"/>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tr-TR"/>
              </w:rPr>
              <w:t>(2)</w:t>
            </w:r>
            <w:r w:rsidRPr="00A23740">
              <w:rPr>
                <w:rFonts w:eastAsia="Times New Roman"/>
                <w:szCs w:val="24"/>
                <w:lang w:eastAsia="tr-TR"/>
              </w:rPr>
              <w:t xml:space="preserve"> Yabancı bayraklı gemiler hakkında ihtiyati haciz kararı, sadece</w:t>
            </w:r>
            <w:r w:rsidRPr="00A23740">
              <w:rPr>
                <w:rFonts w:eastAsia="Times New Roman"/>
                <w:b/>
                <w:bCs/>
                <w:color w:val="0000FF"/>
                <w:szCs w:val="24"/>
                <w:lang w:eastAsia="tr-TR"/>
              </w:rPr>
              <w:t xml:space="preserve"> Hukuk Muhakemeleri Kanununa göre deniz alacağının esası hakkında yetkili olan Türk mahkemeleri ya da</w:t>
            </w:r>
            <w:r w:rsidRPr="00A23740">
              <w:rPr>
                <w:rFonts w:eastAsia="Times New Roman"/>
                <w:szCs w:val="24"/>
                <w:lang w:eastAsia="tr-TR"/>
              </w:rPr>
              <w:t xml:space="preserve"> geminin </w:t>
            </w:r>
            <w:r w:rsidRPr="00A23740">
              <w:rPr>
                <w:rFonts w:eastAsia="Times New Roman"/>
                <w:b/>
                <w:bCs/>
                <w:color w:val="0000FF"/>
                <w:szCs w:val="24"/>
                <w:lang w:eastAsia="tr-TR"/>
              </w:rPr>
              <w:t xml:space="preserve">Türk karasularında durduğu veya duracağı bilinen </w:t>
            </w:r>
            <w:r w:rsidRPr="00A23740">
              <w:rPr>
                <w:rFonts w:eastAsia="Times New Roman"/>
                <w:szCs w:val="24"/>
                <w:lang w:eastAsia="tr-TR"/>
              </w:rPr>
              <w:t>yer</w:t>
            </w:r>
            <w:r w:rsidRPr="00A23740">
              <w:rPr>
                <w:rFonts w:eastAsia="Times New Roman"/>
                <w:b/>
                <w:bCs/>
                <w:color w:val="0000FF"/>
                <w:szCs w:val="24"/>
                <w:lang w:eastAsia="tr-TR"/>
              </w:rPr>
              <w:t xml:space="preserve"> </w:t>
            </w:r>
            <w:r w:rsidRPr="00A23740">
              <w:rPr>
                <w:rFonts w:eastAsia="Times New Roman"/>
                <w:szCs w:val="24"/>
                <w:lang w:eastAsia="tr-TR"/>
              </w:rPr>
              <w:t xml:space="preserve">mahkemesi tarafından verilir. </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r w:rsidRPr="00A23740">
              <w:rPr>
                <w:rFonts w:eastAsia="Times New Roman"/>
                <w:b/>
                <w:bCs/>
                <w:color w:val="0000FF"/>
                <w:szCs w:val="24"/>
                <w:lang w:eastAsia="tr-TR"/>
              </w:rPr>
              <w:t xml:space="preserve">(3) Bu maddenin birinci ve ikinci fıkraları uyarınca yetkili olan mahkemeler, deniz alacağının kaynaklandığı </w:t>
            </w:r>
            <w:r w:rsidRPr="00284A3E">
              <w:t>sözleşme</w:t>
            </w:r>
            <w:r w:rsidRPr="00A23740">
              <w:rPr>
                <w:rFonts w:eastAsia="Times New Roman"/>
                <w:b/>
                <w:bCs/>
                <w:color w:val="0000FF"/>
                <w:szCs w:val="24"/>
                <w:lang w:eastAsia="tr-TR"/>
              </w:rPr>
              <w:t xml:space="preserve">de yer alan </w:t>
            </w:r>
            <w:r w:rsidRPr="00A23740">
              <w:rPr>
                <w:rFonts w:eastAsia="Times New Roman"/>
                <w:szCs w:val="24"/>
                <w:lang w:eastAsia="tr-TR"/>
              </w:rPr>
              <w:t>yetki veya tahkim kaydına ya da ayrıca yapılmış olan bir yetki yahut tahkim sözleşmesine göre deniz alacağının esası hakkında hüküm vermeye bir hakem kurulu</w:t>
            </w:r>
            <w:r w:rsidRPr="00A23740">
              <w:rPr>
                <w:rFonts w:eastAsia="Times New Roman"/>
                <w:b/>
                <w:bCs/>
                <w:color w:val="0000FF"/>
                <w:szCs w:val="24"/>
                <w:lang w:eastAsia="tr-TR"/>
              </w:rPr>
              <w:t>nun</w:t>
            </w:r>
            <w:r w:rsidRPr="00A23740">
              <w:rPr>
                <w:rFonts w:eastAsia="Times New Roman"/>
                <w:szCs w:val="24"/>
                <w:lang w:eastAsia="tr-TR"/>
              </w:rPr>
              <w:t xml:space="preserve"> veya yabancı mahkeme</w:t>
            </w:r>
            <w:r w:rsidRPr="00A23740">
              <w:rPr>
                <w:rFonts w:eastAsia="Times New Roman"/>
                <w:b/>
                <w:bCs/>
                <w:color w:val="0000FF"/>
                <w:szCs w:val="24"/>
                <w:lang w:eastAsia="tr-TR"/>
              </w:rPr>
              <w:t>nin</w:t>
            </w:r>
            <w:r w:rsidRPr="00A23740">
              <w:rPr>
                <w:rFonts w:eastAsia="Times New Roman"/>
                <w:szCs w:val="24"/>
                <w:lang w:eastAsia="tr-TR"/>
              </w:rPr>
              <w:t xml:space="preserve"> yetkili </w:t>
            </w:r>
            <w:r w:rsidRPr="00284A3E">
              <w:rPr>
                <w:rStyle w:val="Balk1Char"/>
                <w:rFonts w:eastAsia="Calibri"/>
              </w:rPr>
              <w:t>olması</w:t>
            </w:r>
            <w:r w:rsidRPr="00A23740">
              <w:rPr>
                <w:rFonts w:eastAsia="Times New Roman"/>
                <w:szCs w:val="24"/>
                <w:lang w:eastAsia="tr-TR"/>
              </w:rPr>
              <w:t xml:space="preserve"> </w:t>
            </w:r>
            <w:r w:rsidRPr="00284A3E">
              <w:rPr>
                <w:rStyle w:val="Balk1Char"/>
                <w:rFonts w:eastAsia="Calibri"/>
              </w:rPr>
              <w:t>ya da</w:t>
            </w:r>
            <w:r w:rsidRPr="00A23740">
              <w:rPr>
                <w:rFonts w:eastAsia="Times New Roman"/>
                <w:szCs w:val="24"/>
                <w:lang w:eastAsia="tr-TR"/>
              </w:rPr>
              <w:t xml:space="preserve"> deniz alacağının esasına yabancı bir devletin hukukunun </w:t>
            </w:r>
            <w:r w:rsidRPr="00284A3E">
              <w:rPr>
                <w:rStyle w:val="Balk1Char"/>
                <w:rFonts w:eastAsia="Calibri"/>
              </w:rPr>
              <w:t>uygulanması</w:t>
            </w:r>
            <w:r w:rsidRPr="00A23740">
              <w:rPr>
                <w:rFonts w:eastAsia="Times New Roman"/>
                <w:b/>
                <w:bCs/>
                <w:color w:val="0000FF"/>
                <w:szCs w:val="24"/>
                <w:lang w:eastAsia="tr-TR"/>
              </w:rPr>
              <w:t xml:space="preserve"> h</w:t>
            </w:r>
            <w:r w:rsidR="00027A5B" w:rsidRPr="00A23740">
              <w:rPr>
                <w:rFonts w:eastAsia="Times New Roman"/>
                <w:b/>
                <w:bCs/>
                <w:color w:val="0000FF"/>
                <w:szCs w:val="24"/>
                <w:lang w:eastAsia="tr-TR"/>
              </w:rPr>
              <w:t>â</w:t>
            </w:r>
            <w:r w:rsidRPr="00A23740">
              <w:rPr>
                <w:rFonts w:eastAsia="Times New Roman"/>
                <w:b/>
                <w:bCs/>
                <w:color w:val="0000FF"/>
                <w:szCs w:val="24"/>
                <w:lang w:eastAsia="tr-TR"/>
              </w:rPr>
              <w:t xml:space="preserve">linde de </w:t>
            </w:r>
            <w:r w:rsidRPr="00A23740">
              <w:rPr>
                <w:rFonts w:eastAsia="Times New Roman"/>
                <w:szCs w:val="24"/>
                <w:lang w:eastAsia="tr-TR"/>
              </w:rPr>
              <w:t>ihtiyati haciz kararı vermeye yetkilidir.</w:t>
            </w:r>
          </w:p>
          <w:p w:rsidR="00A46C6E" w:rsidRPr="00A23740" w:rsidRDefault="00A46C6E" w:rsidP="009431FF">
            <w:pPr>
              <w:widowControl w:val="0"/>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71" w:name="_Hlk134295329"/>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494</w:t>
            </w:r>
            <w:r w:rsidR="00A46C6E" w:rsidRPr="00A23740">
              <w:rPr>
                <w:rFonts w:eastAsia="Times New Roman"/>
                <w:b/>
                <w:bCs/>
                <w:szCs w:val="24"/>
                <w:lang w:eastAsia="tr-TR"/>
              </w:rPr>
              <w:t xml:space="preserve">- </w:t>
            </w:r>
            <w:bookmarkStart w:id="72" w:name="_Hlk172876532"/>
            <w:r w:rsidR="00A46C6E" w:rsidRPr="00A23740">
              <w:rPr>
                <w:bCs/>
                <w:szCs w:val="24"/>
                <w:lang w:eastAsia="x-none"/>
              </w:rPr>
              <w:t xml:space="preserve">Maddeyle, dava açılmadan önce </w:t>
            </w:r>
            <w:r w:rsidR="00A46C6E" w:rsidRPr="006C062A">
              <w:rPr>
                <w:rFonts w:eastAsia="Times New Roman"/>
                <w:szCs w:val="24"/>
              </w:rPr>
              <w:t>ihtiyati haciz kararı vermeye yetkili mahkemeler</w:t>
            </w:r>
            <w:r w:rsidR="00A46C6E" w:rsidRPr="00A23740">
              <w:rPr>
                <w:bCs/>
                <w:szCs w:val="24"/>
                <w:lang w:eastAsia="x-none"/>
              </w:rPr>
              <w:t xml:space="preserve"> düzenlenmektedir</w:t>
            </w:r>
            <w:bookmarkEnd w:id="72"/>
            <w:r w:rsidR="00A46C6E" w:rsidRPr="00A23740">
              <w:rPr>
                <w:bCs/>
                <w:szCs w:val="24"/>
                <w:lang w:eastAsia="x-none"/>
              </w:rPr>
              <w:t>.</w:t>
            </w:r>
          </w:p>
          <w:p w:rsidR="00A46C6E" w:rsidRPr="00A23740" w:rsidRDefault="00A46C6E" w:rsidP="009431FF">
            <w:pPr>
              <w:ind w:firstLine="709"/>
              <w:rPr>
                <w:rFonts w:eastAsia="Times New Roman"/>
                <w:szCs w:val="24"/>
              </w:rPr>
            </w:pPr>
            <w:r w:rsidRPr="00A23740">
              <w:rPr>
                <w:rFonts w:eastAsia="Times New Roman"/>
                <w:bCs/>
                <w:szCs w:val="24"/>
              </w:rPr>
              <w:t xml:space="preserve">6102 sayılı Kanunun </w:t>
            </w:r>
            <w:r w:rsidRPr="00A23740">
              <w:rPr>
                <w:rFonts w:eastAsia="Times New Roman"/>
                <w:szCs w:val="24"/>
              </w:rPr>
              <w:t xml:space="preserve">1354 üncü maddesi, </w:t>
            </w:r>
            <w:r w:rsidR="004275CA" w:rsidRPr="00A23740">
              <w:rPr>
                <w:rFonts w:eastAsia="Times New Roman"/>
                <w:szCs w:val="24"/>
              </w:rPr>
              <w:t xml:space="preserve">Tslağın bu </w:t>
            </w:r>
            <w:r w:rsidRPr="00A23740">
              <w:rPr>
                <w:rFonts w:eastAsia="Times New Roman"/>
                <w:szCs w:val="24"/>
              </w:rPr>
              <w:t>madde</w:t>
            </w:r>
            <w:r w:rsidR="004275CA" w:rsidRPr="00A23740">
              <w:rPr>
                <w:rFonts w:eastAsia="Times New Roman"/>
                <w:szCs w:val="24"/>
              </w:rPr>
              <w:t>si</w:t>
            </w:r>
            <w:r w:rsidRPr="00A23740">
              <w:rPr>
                <w:rFonts w:eastAsia="Times New Roman"/>
                <w:szCs w:val="24"/>
              </w:rPr>
              <w:t xml:space="preserve">nin birinci fıkrasına; </w:t>
            </w:r>
            <w:r w:rsidRPr="00A23740">
              <w:rPr>
                <w:rFonts w:eastAsia="Times New Roman"/>
                <w:bCs/>
                <w:szCs w:val="24"/>
              </w:rPr>
              <w:t>6102 sayılı Kanunun</w:t>
            </w:r>
            <w:r w:rsidRPr="00A23740">
              <w:rPr>
                <w:rFonts w:eastAsia="Times New Roman"/>
                <w:szCs w:val="24"/>
              </w:rPr>
              <w:t xml:space="preserve"> 1355 inci maddesi, </w:t>
            </w:r>
            <w:r w:rsidR="004275CA" w:rsidRPr="00A23740">
              <w:rPr>
                <w:rFonts w:eastAsia="Times New Roman"/>
                <w:szCs w:val="24"/>
              </w:rPr>
              <w:t xml:space="preserve">Taslağın bu </w:t>
            </w:r>
            <w:r w:rsidRPr="00A23740">
              <w:rPr>
                <w:rFonts w:eastAsia="Times New Roman"/>
                <w:szCs w:val="24"/>
              </w:rPr>
              <w:t>madde</w:t>
            </w:r>
            <w:r w:rsidR="004275CA" w:rsidRPr="00A23740">
              <w:rPr>
                <w:rFonts w:eastAsia="Times New Roman"/>
                <w:szCs w:val="24"/>
              </w:rPr>
              <w:t>si</w:t>
            </w:r>
            <w:r w:rsidRPr="00A23740">
              <w:rPr>
                <w:rFonts w:eastAsia="Times New Roman"/>
                <w:szCs w:val="24"/>
              </w:rPr>
              <w:t xml:space="preserve">nin ikinci fıkrasına ve </w:t>
            </w:r>
            <w:r w:rsidRPr="00A23740">
              <w:rPr>
                <w:rFonts w:eastAsia="Times New Roman"/>
                <w:bCs/>
                <w:szCs w:val="24"/>
              </w:rPr>
              <w:t>6102 sayılı Kanunun</w:t>
            </w:r>
            <w:r w:rsidRPr="00A23740">
              <w:rPr>
                <w:rFonts w:eastAsia="Times New Roman"/>
                <w:szCs w:val="24"/>
              </w:rPr>
              <w:t xml:space="preserve"> 1356 ıncı maddesi, </w:t>
            </w:r>
            <w:r w:rsidR="004275CA" w:rsidRPr="00A23740">
              <w:rPr>
                <w:rFonts w:eastAsia="Times New Roman"/>
                <w:szCs w:val="24"/>
              </w:rPr>
              <w:t xml:space="preserve">Tslağın bu </w:t>
            </w:r>
            <w:r w:rsidRPr="00A23740">
              <w:rPr>
                <w:rFonts w:eastAsia="Times New Roman"/>
                <w:szCs w:val="24"/>
              </w:rPr>
              <w:t>madde</w:t>
            </w:r>
            <w:r w:rsidR="004275CA" w:rsidRPr="00A23740">
              <w:rPr>
                <w:rFonts w:eastAsia="Times New Roman"/>
                <w:szCs w:val="24"/>
              </w:rPr>
              <w:t>si</w:t>
            </w:r>
            <w:r w:rsidRPr="00A23740">
              <w:rPr>
                <w:rFonts w:eastAsia="Times New Roman"/>
                <w:szCs w:val="24"/>
              </w:rPr>
              <w:t>nin üçüncü fıkrasına, gerekli görülen bazı ifade ve içerik değişiklikleriyle alınmış; maddenin kenar başlığı ise “</w:t>
            </w:r>
            <w:r w:rsidRPr="00A23740">
              <w:rPr>
                <w:rFonts w:eastAsia="Times New Roman"/>
                <w:i/>
                <w:iCs/>
                <w:szCs w:val="24"/>
              </w:rPr>
              <w:t>dava açılmadan önce yetkili mahkeme</w:t>
            </w:r>
            <w:r w:rsidRPr="00A23740">
              <w:rPr>
                <w:rFonts w:eastAsia="Times New Roman"/>
                <w:szCs w:val="24"/>
              </w:rPr>
              <w:t xml:space="preserve">” şeklinde belirlenmiştir. </w:t>
            </w:r>
          </w:p>
          <w:p w:rsidR="00A46C6E" w:rsidRPr="00A23740" w:rsidRDefault="00A46C6E" w:rsidP="009431FF">
            <w:pPr>
              <w:ind w:firstLine="709"/>
              <w:rPr>
                <w:rFonts w:eastAsia="Times New Roman"/>
                <w:szCs w:val="24"/>
              </w:rPr>
            </w:pPr>
            <w:r w:rsidRPr="00A23740">
              <w:rPr>
                <w:rFonts w:eastAsia="Times New Roman"/>
                <w:szCs w:val="24"/>
              </w:rPr>
              <w:t xml:space="preserve">Geminin demir atması, şamandıraya veya tonoza bağlanması, geminin durmasını ifade ettiğinden, </w:t>
            </w:r>
            <w:r w:rsidRPr="00A23740">
              <w:rPr>
                <w:rFonts w:eastAsia="Times New Roman"/>
                <w:bCs/>
                <w:szCs w:val="24"/>
              </w:rPr>
              <w:t xml:space="preserve">6102 sayılı Kanunun </w:t>
            </w:r>
            <w:r w:rsidRPr="00A23740">
              <w:rPr>
                <w:rFonts w:eastAsia="Times New Roman"/>
                <w:szCs w:val="24"/>
              </w:rPr>
              <w:t xml:space="preserve">1354 üncü ve 1355 inci maddelerinde “… </w:t>
            </w:r>
            <w:r w:rsidRPr="00A23740">
              <w:rPr>
                <w:rFonts w:eastAsia="Times New Roman"/>
                <w:i/>
                <w:iCs/>
                <w:szCs w:val="24"/>
              </w:rPr>
              <w:t>geminin demir attığı, şamandıraya veya tonoza bağlandığı, yanaştığı veya kızağa alındığı yer</w:t>
            </w:r>
            <w:r w:rsidRPr="00A23740">
              <w:rPr>
                <w:rFonts w:eastAsia="Times New Roman"/>
                <w:szCs w:val="24"/>
              </w:rPr>
              <w:t xml:space="preserve"> …” ibaresi yerine, maddenin Türk bayraklı gemilerin ihtiyati haczine karar vermeye yetkili mahkemelere dair birinci fıkrasında ve yabancı bayraklı gemilerin ihtiyati haczine karar vermeye yetkili mahkemelere dair ikinci fıkrasında “</w:t>
            </w:r>
            <w:r w:rsidRPr="00A23740">
              <w:rPr>
                <w:rFonts w:eastAsia="Times New Roman"/>
                <w:i/>
                <w:iCs/>
                <w:szCs w:val="24"/>
              </w:rPr>
              <w:t>geminin durduğu yer</w:t>
            </w:r>
            <w:r w:rsidRPr="00A23740">
              <w:rPr>
                <w:rFonts w:eastAsia="Times New Roman"/>
                <w:szCs w:val="24"/>
              </w:rPr>
              <w:t>” ibaresinin kullanılması tercih edilmiştir. Ayrıca Türk kara sularında bir limana sefer yapmakta olan geminin çok kısa bir süre içinde durduğu yerden ayrılabileceği, bu süre içinde ihtiyati haciz kararı alınmasının mümkün olmayabileceği dikkate alınarak, gemi seyir takip sisteminden tespit edilen geminin Türk kara sularında duracağı yer mahkemesinin de ihtiyati haciz karar</w:t>
            </w:r>
            <w:r w:rsidR="004275CA" w:rsidRPr="00A23740">
              <w:rPr>
                <w:rFonts w:eastAsia="Times New Roman"/>
                <w:szCs w:val="24"/>
              </w:rPr>
              <w:t>ı</w:t>
            </w:r>
            <w:r w:rsidRPr="00A23740">
              <w:rPr>
                <w:rFonts w:eastAsia="Times New Roman"/>
                <w:szCs w:val="24"/>
              </w:rPr>
              <w:t xml:space="preserve"> vermeye yetkili mahkemeler arasında sayılması gerekli görülmüştür. Bu nedenle her iki fıkraya da gemi seyir takip sistemlerinde yer alan bilgiye göre geminin seferi sonunda Türk kara sularında ulaşıp duracağı varış yerini ifade etmek üzere “</w:t>
            </w:r>
            <w:r w:rsidRPr="00A23740">
              <w:rPr>
                <w:rFonts w:eastAsia="Times New Roman"/>
                <w:i/>
                <w:iCs/>
                <w:szCs w:val="24"/>
              </w:rPr>
              <w:t>duracağı bilinen yer</w:t>
            </w:r>
            <w:r w:rsidRPr="00A23740">
              <w:rPr>
                <w:rFonts w:eastAsia="Times New Roman"/>
                <w:szCs w:val="24"/>
              </w:rPr>
              <w:t>” ibaresi de eklenmiştir. Dolayısıyla</w:t>
            </w:r>
            <w:r w:rsidR="004275CA" w:rsidRPr="00A23740">
              <w:rPr>
                <w:rFonts w:eastAsia="Times New Roman"/>
                <w:szCs w:val="24"/>
              </w:rPr>
              <w:t>,</w:t>
            </w:r>
            <w:r w:rsidRPr="00A23740">
              <w:rPr>
                <w:rFonts w:eastAsia="Times New Roman"/>
                <w:szCs w:val="24"/>
              </w:rPr>
              <w:t xml:space="preserve"> her iki fıkra düzenlemesi anlamında “</w:t>
            </w:r>
            <w:r w:rsidRPr="00A23740">
              <w:rPr>
                <w:rFonts w:eastAsia="Times New Roman"/>
                <w:i/>
                <w:iCs/>
                <w:szCs w:val="24"/>
              </w:rPr>
              <w:t>geminin durduğu yer</w:t>
            </w:r>
            <w:r w:rsidRPr="00A23740">
              <w:rPr>
                <w:rFonts w:eastAsia="Times New Roman"/>
                <w:szCs w:val="24"/>
              </w:rPr>
              <w:t>”, geminin Türk karasularında demir attığı, şamandıraya veya tonoza bağlandığı, yanaştığı veya kızağa alındığı yeri, “</w:t>
            </w:r>
            <w:r w:rsidRPr="00A23740">
              <w:rPr>
                <w:rFonts w:eastAsia="Times New Roman"/>
                <w:i/>
                <w:iCs/>
                <w:szCs w:val="24"/>
              </w:rPr>
              <w:t>geminin</w:t>
            </w:r>
            <w:r w:rsidRPr="00A23740">
              <w:rPr>
                <w:rFonts w:eastAsia="Times New Roman"/>
                <w:szCs w:val="24"/>
              </w:rPr>
              <w:t xml:space="preserve"> </w:t>
            </w:r>
            <w:r w:rsidRPr="00A23740">
              <w:rPr>
                <w:rFonts w:eastAsia="Times New Roman"/>
                <w:i/>
                <w:iCs/>
                <w:szCs w:val="24"/>
              </w:rPr>
              <w:t>duracağı bilinen yer</w:t>
            </w:r>
            <w:r w:rsidRPr="00A23740">
              <w:rPr>
                <w:rFonts w:eastAsia="Times New Roman"/>
                <w:szCs w:val="24"/>
              </w:rPr>
              <w:t>” ise gemi seyir takip sistemlerinde yer alan bilgiye göre geminin seferi sonunda Türk kara sularında duracağı varış yerini ifade eder. Gemi seyir takip sistemindeki bilginin aksine gemi Türk kara sularında durmazsa verilen ihtiyati haciz kararının gemi durdurulup uygulanamayacağı açıktır. Maddenin birinci ve ikinci fıkrasında öngörülen yetkili mahkemeler arasında 6100 sayılı</w:t>
            </w:r>
            <w:r w:rsidR="003E7FF9" w:rsidRPr="00A23740">
              <w:rPr>
                <w:rFonts w:eastAsia="Times New Roman"/>
                <w:szCs w:val="24"/>
              </w:rPr>
              <w:t xml:space="preserve"> </w:t>
            </w:r>
            <w:r w:rsidR="003E7FF9" w:rsidRPr="006C062A">
              <w:rPr>
                <w:rStyle w:val="KonuBalChar"/>
                <w:rFonts w:eastAsia="Calibri"/>
                <w:b w:val="0"/>
                <w:color w:val="auto"/>
              </w:rPr>
              <w:t>Kanuna</w:t>
            </w:r>
            <w:r w:rsidRPr="00A23740">
              <w:rPr>
                <w:rFonts w:eastAsia="Times New Roman"/>
                <w:szCs w:val="24"/>
              </w:rPr>
              <w:t xml:space="preserve"> göre deniz alacağının esası hakkında yetkili olan Türk mahkemelerinin de belirtilmesi gerekli görülerek her iki fıkraya da bu hususa dair ibare eklenmiştir. </w:t>
            </w:r>
          </w:p>
          <w:p w:rsidR="00A46C6E" w:rsidRPr="00A23740" w:rsidRDefault="00A46C6E" w:rsidP="009431FF">
            <w:pPr>
              <w:ind w:firstLine="709"/>
              <w:rPr>
                <w:rFonts w:eastAsia="Times New Roman"/>
                <w:szCs w:val="24"/>
              </w:rPr>
            </w:pPr>
            <w:r w:rsidRPr="00A23740">
              <w:rPr>
                <w:rFonts w:eastAsia="Times New Roman"/>
                <w:szCs w:val="24"/>
              </w:rPr>
              <w:t xml:space="preserve">Maddenin birinci fıkrası anlamında “Türk bayraklı gemi”, Türk gemisi olması sebebiyle Türk bayrağı çekebilen gemiler ile Türk gemisi olmamakla birlikte </w:t>
            </w:r>
            <w:r w:rsidRPr="00A23740">
              <w:rPr>
                <w:rFonts w:eastAsia="Times New Roman"/>
                <w:bCs/>
                <w:szCs w:val="24"/>
              </w:rPr>
              <w:t xml:space="preserve">6102 sayılı Kanunun </w:t>
            </w:r>
            <w:r w:rsidRPr="00A23740">
              <w:rPr>
                <w:rFonts w:eastAsia="Times New Roman"/>
                <w:szCs w:val="24"/>
              </w:rPr>
              <w:t xml:space="preserve">941 inci maddesinin ikinci fıkrası uyarınca Türk bayrağı çekmesine izin verilmiş olup da Türk bayrağı çekebilen gemileri ifade eder. </w:t>
            </w:r>
            <w:bookmarkStart w:id="73" w:name="_Hlk172707942"/>
            <w:r w:rsidRPr="00A23740">
              <w:rPr>
                <w:rFonts w:eastAsia="Times New Roman"/>
                <w:bCs/>
                <w:szCs w:val="24"/>
              </w:rPr>
              <w:t xml:space="preserve">6102 sayılı Kanunun </w:t>
            </w:r>
            <w:bookmarkEnd w:id="73"/>
            <w:r w:rsidRPr="00A23740">
              <w:rPr>
                <w:rFonts w:eastAsia="Times New Roman"/>
                <w:szCs w:val="24"/>
              </w:rPr>
              <w:t xml:space="preserve">941 inci maddesinin üçüncü fıkrasında sözü edilen “özel sicil”, Türk bayrağı çekmesine izin verilen gemilere ve verilen izne ilişkin bilgilerin işlendiği kayıt düzeni olup, </w:t>
            </w:r>
            <w:r w:rsidR="00624DA1" w:rsidRPr="006C062A">
              <w:rPr>
                <w:rStyle w:val="KonuBalChar"/>
                <w:rFonts w:eastAsia="Calibri"/>
                <w:b w:val="0"/>
                <w:color w:val="auto"/>
              </w:rPr>
              <w:t>4721 sayılı Kanunun</w:t>
            </w:r>
            <w:r w:rsidR="00624DA1" w:rsidRPr="00A23740">
              <w:rPr>
                <w:rStyle w:val="KonuBalChar"/>
                <w:rFonts w:eastAsia="Calibri"/>
              </w:rPr>
              <w:t xml:space="preserve"> </w:t>
            </w:r>
            <w:r w:rsidRPr="00A23740">
              <w:rPr>
                <w:rFonts w:eastAsia="Times New Roman"/>
                <w:szCs w:val="24"/>
              </w:rPr>
              <w:t>7</w:t>
            </w:r>
            <w:r w:rsidR="00624DA1" w:rsidRPr="00A23740">
              <w:rPr>
                <w:rFonts w:eastAsia="Times New Roman"/>
                <w:szCs w:val="24"/>
              </w:rPr>
              <w:t xml:space="preserve"> </w:t>
            </w:r>
            <w:r w:rsidR="00624DA1" w:rsidRPr="006C062A">
              <w:rPr>
                <w:rStyle w:val="KonuBalChar"/>
                <w:rFonts w:eastAsia="Calibri"/>
                <w:b w:val="0"/>
                <w:color w:val="auto"/>
              </w:rPr>
              <w:t>nci maddesi</w:t>
            </w:r>
            <w:r w:rsidRPr="00A23740">
              <w:rPr>
                <w:rFonts w:eastAsia="Times New Roman"/>
                <w:szCs w:val="24"/>
              </w:rPr>
              <w:t xml:space="preserve"> anlamında sicil olmamakla birlikte, </w:t>
            </w:r>
            <w:r w:rsidRPr="00A23740">
              <w:rPr>
                <w:rFonts w:eastAsia="Times New Roman"/>
                <w:bCs/>
                <w:szCs w:val="24"/>
              </w:rPr>
              <w:t xml:space="preserve">6102 sayılı Kanunun </w:t>
            </w:r>
            <w:r w:rsidRPr="00A23740">
              <w:rPr>
                <w:rFonts w:eastAsia="Times New Roman"/>
                <w:szCs w:val="24"/>
              </w:rPr>
              <w:t>941 inci maddesinin üçüncü fıkrası</w:t>
            </w:r>
            <w:r w:rsidR="004275CA" w:rsidRPr="00A23740">
              <w:rPr>
                <w:rFonts w:eastAsia="Times New Roman"/>
                <w:szCs w:val="24"/>
              </w:rPr>
              <w:t>yla</w:t>
            </w:r>
            <w:r w:rsidRPr="00A23740">
              <w:rPr>
                <w:rFonts w:eastAsia="Times New Roman"/>
                <w:szCs w:val="24"/>
              </w:rPr>
              <w:t xml:space="preserve"> ifade uyumu açısından bu fıkrada da özel sicil denilmiştir. Maddenin birinci fıkrasının ikinci cümlesinde Türk bayraklı gemilerin durduğu veya duracağı bilinen yer mahkemesi yanında Türk bayrağı çekmesine izin verilip özel sicile kaydedilmiş geminin kiracısının yerleşim yeri mahkemesinin de ihtiyati haciz kararı vermeye yetkili olduğu hüküm altına alınmıştır. </w:t>
            </w:r>
          </w:p>
          <w:p w:rsidR="00A46C6E" w:rsidRPr="00A23740" w:rsidRDefault="00A46C6E" w:rsidP="009431FF">
            <w:pPr>
              <w:ind w:firstLine="709"/>
              <w:rPr>
                <w:rFonts w:eastAsia="Times New Roman"/>
                <w:szCs w:val="24"/>
              </w:rPr>
            </w:pPr>
            <w:r w:rsidRPr="00A23740">
              <w:rPr>
                <w:rFonts w:eastAsia="Times New Roman"/>
                <w:szCs w:val="24"/>
              </w:rPr>
              <w:t xml:space="preserve">Maddenin üçüncü fıkrası, kaynak 1999 </w:t>
            </w:r>
            <w:r w:rsidR="00624DA1" w:rsidRPr="006C062A">
              <w:rPr>
                <w:rStyle w:val="KonuBalChar"/>
                <w:rFonts w:eastAsia="Calibri"/>
                <w:b w:val="0"/>
                <w:color w:val="auto"/>
              </w:rPr>
              <w:t>tarihli Milletlerarası Sözleşme</w:t>
            </w:r>
            <w:r w:rsidR="00624DA1" w:rsidRPr="006C062A">
              <w:rPr>
                <w:rStyle w:val="KonuBalChar"/>
                <w:rFonts w:eastAsia="Calibri"/>
                <w:b w:val="0"/>
                <w:color w:val="auto"/>
                <w:lang w:val="tr-TR"/>
              </w:rPr>
              <w:t>nin</w:t>
            </w:r>
            <w:r w:rsidRPr="00A23740">
              <w:rPr>
                <w:rFonts w:eastAsia="Times New Roman"/>
                <w:szCs w:val="24"/>
              </w:rPr>
              <w:t xml:space="preserve"> 2 nci maddesinin üçüncü fıkrası ve </w:t>
            </w:r>
            <w:r w:rsidRPr="00A23740">
              <w:rPr>
                <w:rFonts w:eastAsia="Times New Roman"/>
                <w:bCs/>
                <w:szCs w:val="24"/>
              </w:rPr>
              <w:t>6102 sayılı Kanunun</w:t>
            </w:r>
            <w:r w:rsidRPr="00A23740">
              <w:rPr>
                <w:rFonts w:eastAsia="Times New Roman"/>
                <w:szCs w:val="24"/>
              </w:rPr>
              <w:t xml:space="preserve"> 1356 ıncı maddesi dikkate alınarak, hükmün daha açık ve anlaşılabilir olması için gereken ifade değişiklikleri yapılmak suretiyle kaleme alınmıştır. Deniz alacağının esasına yabancı hukukun uygulanacak olmasının, ihtiyati haciz kararı vermeye yetkili mahkemenin belirlenmesine bir etkisi olmamakla birlikte, kaynak 1999 </w:t>
            </w:r>
            <w:r w:rsidR="00624DA1" w:rsidRPr="006C062A">
              <w:rPr>
                <w:rStyle w:val="KonuBalChar"/>
                <w:rFonts w:eastAsia="Calibri"/>
                <w:b w:val="0"/>
                <w:color w:val="auto"/>
              </w:rPr>
              <w:t>tarihli Milletlerarası Sözleşme</w:t>
            </w:r>
            <w:r w:rsidR="00624DA1" w:rsidRPr="006C062A">
              <w:rPr>
                <w:rStyle w:val="KonuBalChar"/>
                <w:rFonts w:eastAsia="Calibri"/>
                <w:b w:val="0"/>
                <w:color w:val="auto"/>
                <w:lang w:val="tr-TR"/>
              </w:rPr>
              <w:t>nin</w:t>
            </w:r>
            <w:r w:rsidRPr="00A23740">
              <w:rPr>
                <w:rFonts w:eastAsia="Times New Roman"/>
                <w:szCs w:val="24"/>
              </w:rPr>
              <w:t xml:space="preserve"> 2 nci maddesinin üçüncü fıkrasına uyum açısından “… </w:t>
            </w:r>
            <w:r w:rsidRPr="00A23740">
              <w:rPr>
                <w:rFonts w:eastAsia="Times New Roman"/>
                <w:i/>
                <w:iCs/>
                <w:szCs w:val="24"/>
              </w:rPr>
              <w:t>deniz alacağının esasına yabancı bir d</w:t>
            </w:r>
            <w:r w:rsidR="00535D4A" w:rsidRPr="00A23740">
              <w:rPr>
                <w:rFonts w:eastAsia="Times New Roman"/>
                <w:i/>
                <w:iCs/>
                <w:szCs w:val="24"/>
              </w:rPr>
              <w:t>evletin hukukunun uygulanması hâ</w:t>
            </w:r>
            <w:r w:rsidRPr="00A23740">
              <w:rPr>
                <w:rFonts w:eastAsia="Times New Roman"/>
                <w:i/>
                <w:iCs/>
                <w:szCs w:val="24"/>
              </w:rPr>
              <w:t>linde de</w:t>
            </w:r>
            <w:r w:rsidRPr="00A23740">
              <w:rPr>
                <w:rFonts w:eastAsia="Times New Roman"/>
                <w:szCs w:val="24"/>
              </w:rPr>
              <w:t xml:space="preserve"> …</w:t>
            </w:r>
            <w:r w:rsidR="00624DA1" w:rsidRPr="00A23740">
              <w:rPr>
                <w:rFonts w:eastAsia="Times New Roman"/>
                <w:szCs w:val="24"/>
              </w:rPr>
              <w:t xml:space="preserve">” ibaresi muhafaza edilmiştir. </w:t>
            </w:r>
          </w:p>
          <w:bookmarkEnd w:id="71"/>
          <w:p w:rsidR="00A46C6E" w:rsidRPr="00A23740" w:rsidRDefault="00A46C6E" w:rsidP="002A27F8">
            <w:pPr>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2A27F8">
            <w:pPr>
              <w:widowControl w:val="0"/>
              <w:rPr>
                <w:rFonts w:eastAsia="Times New Roman"/>
                <w:b/>
                <w:bCs/>
                <w:szCs w:val="24"/>
                <w:lang w:eastAsia="tr-TR"/>
              </w:rPr>
            </w:pPr>
            <w:r w:rsidRPr="00A23740">
              <w:rPr>
                <w:b/>
                <w:strike/>
                <w:color w:val="FF0000"/>
                <w:szCs w:val="24"/>
                <w:lang w:eastAsia="x-none"/>
              </w:rPr>
              <w:t>bb)</w:t>
            </w:r>
            <w:r w:rsidRPr="00A23740">
              <w:rPr>
                <w:rFonts w:eastAsia="Times New Roman"/>
                <w:b/>
                <w:bCs/>
                <w:szCs w:val="24"/>
                <w:lang w:eastAsia="tr-TR"/>
              </w:rPr>
              <w:t xml:space="preserve"> Dava açıldıktan sonra</w:t>
            </w:r>
          </w:p>
          <w:p w:rsidR="00A46C6E" w:rsidRPr="00A23740" w:rsidRDefault="00A46C6E" w:rsidP="002A27F8">
            <w:pPr>
              <w:widowControl w:val="0"/>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1357</w:t>
            </w:r>
            <w:r w:rsidRPr="00A23740">
              <w:rPr>
                <w:rFonts w:eastAsia="Times New Roman"/>
                <w:szCs w:val="24"/>
                <w:lang w:eastAsia="tr-TR"/>
              </w:rPr>
              <w:t xml:space="preserve">- (1) Bir deniz alacağı hakkında, </w:t>
            </w:r>
            <w:r w:rsidRPr="00A23740">
              <w:rPr>
                <w:rFonts w:eastAsia="Times New Roman"/>
                <w:b/>
                <w:strike/>
                <w:color w:val="FF0000"/>
                <w:szCs w:val="24"/>
                <w:lang w:eastAsia="tr-TR"/>
              </w:rPr>
              <w:t>yurt içinde</w:t>
            </w:r>
            <w:r w:rsidRPr="00A23740">
              <w:rPr>
                <w:rFonts w:eastAsia="Times New Roman"/>
                <w:szCs w:val="24"/>
                <w:lang w:eastAsia="tr-TR"/>
              </w:rPr>
              <w:t xml:space="preserve"> mahkemede dava açıldıktan sonra, ihtiyati haciz </w:t>
            </w:r>
            <w:r w:rsidRPr="00A23740">
              <w:rPr>
                <w:rFonts w:eastAsia="Times New Roman"/>
                <w:b/>
                <w:strike/>
                <w:color w:val="FF0000"/>
                <w:szCs w:val="24"/>
                <w:lang w:eastAsia="x-none"/>
              </w:rPr>
              <w:t>kararı,</w:t>
            </w:r>
            <w:r w:rsidRPr="00A23740">
              <w:rPr>
                <w:rFonts w:eastAsia="Times New Roman"/>
                <w:szCs w:val="24"/>
                <w:lang w:eastAsia="tr-TR"/>
              </w:rPr>
              <w:t xml:space="preserve"> sadece </w:t>
            </w:r>
            <w:r w:rsidRPr="00284A3E">
              <w:rPr>
                <w:rStyle w:val="KIRMIZIChar"/>
                <w:rFonts w:eastAsia="Calibri"/>
              </w:rPr>
              <w:t>davayı</w:t>
            </w:r>
            <w:r w:rsidRPr="00A23740">
              <w:rPr>
                <w:rFonts w:eastAsia="Times New Roman"/>
                <w:b/>
                <w:strike/>
                <w:color w:val="FF0000"/>
                <w:szCs w:val="24"/>
                <w:lang w:eastAsia="x-none"/>
              </w:rPr>
              <w:t xml:space="preserve"> gören </w:t>
            </w:r>
            <w:r w:rsidRPr="00A23740">
              <w:rPr>
                <w:rFonts w:eastAsia="Times New Roman"/>
                <w:szCs w:val="24"/>
                <w:lang w:eastAsia="tr-TR"/>
              </w:rPr>
              <w:t xml:space="preserve">mahkemeden </w:t>
            </w:r>
            <w:r w:rsidRPr="00A23740">
              <w:rPr>
                <w:rFonts w:eastAsia="Times New Roman"/>
                <w:b/>
                <w:strike/>
                <w:color w:val="FF0000"/>
                <w:szCs w:val="24"/>
                <w:lang w:eastAsia="tr-TR"/>
              </w:rPr>
              <w:t>istenebilir</w:t>
            </w:r>
            <w:r w:rsidRPr="00A23740">
              <w:rPr>
                <w:rFonts w:eastAsia="Times New Roman"/>
                <w:szCs w:val="24"/>
                <w:lang w:eastAsia="tr-TR"/>
              </w:rPr>
              <w:t>.</w:t>
            </w:r>
          </w:p>
          <w:p w:rsidR="00A46C6E" w:rsidRPr="00A23740" w:rsidRDefault="00A46C6E" w:rsidP="002A27F8">
            <w:pPr>
              <w:widowControl w:val="0"/>
              <w:rPr>
                <w:rFonts w:eastAsia="Times New Roman"/>
                <w:szCs w:val="24"/>
                <w:lang w:eastAsia="tr-TR"/>
              </w:rPr>
            </w:pPr>
          </w:p>
          <w:p w:rsidR="00A46C6E" w:rsidRPr="00A23740" w:rsidRDefault="00A46C6E" w:rsidP="002A27F8">
            <w:pPr>
              <w:widowControl w:val="0"/>
              <w:rPr>
                <w:rFonts w:eastAsia="Times New Roman"/>
                <w:bCs/>
                <w:szCs w:val="24"/>
              </w:rPr>
            </w:pPr>
            <w:r w:rsidRPr="00A23740">
              <w:rPr>
                <w:rFonts w:eastAsia="Times New Roman"/>
                <w:szCs w:val="24"/>
                <w:lang w:eastAsia="tr-TR"/>
              </w:rPr>
              <w:t xml:space="preserve">(2) </w:t>
            </w:r>
            <w:r w:rsidRPr="00A23740">
              <w:rPr>
                <w:rFonts w:eastAsia="Times New Roman"/>
                <w:b/>
                <w:strike/>
                <w:color w:val="FF0000"/>
                <w:szCs w:val="24"/>
                <w:lang w:eastAsia="tr-TR"/>
              </w:rPr>
              <w:t>Bir</w:t>
            </w:r>
            <w:r w:rsidRPr="00A23740">
              <w:rPr>
                <w:rFonts w:eastAsia="Times New Roman"/>
                <w:szCs w:val="24"/>
                <w:lang w:eastAsia="tr-TR"/>
              </w:rPr>
              <w:t xml:space="preserve"> deniz alacağı hakkında, </w:t>
            </w:r>
            <w:r w:rsidRPr="00A23740">
              <w:rPr>
                <w:rFonts w:eastAsia="Times New Roman"/>
                <w:b/>
                <w:strike/>
                <w:color w:val="FF0000"/>
                <w:szCs w:val="24"/>
                <w:lang w:eastAsia="tr-TR"/>
              </w:rPr>
              <w:t xml:space="preserve">hakem önünde veya yurt dışındaki </w:t>
            </w:r>
            <w:r w:rsidRPr="00A23740">
              <w:rPr>
                <w:rFonts w:eastAsia="Times New Roman"/>
                <w:szCs w:val="24"/>
                <w:lang w:eastAsia="tr-TR"/>
              </w:rPr>
              <w:t xml:space="preserve">bir </w:t>
            </w:r>
            <w:r w:rsidRPr="00284A3E">
              <w:rPr>
                <w:rStyle w:val="KIRMIZIChar"/>
                <w:rFonts w:eastAsia="Calibri"/>
              </w:rPr>
              <w:t>mahkemede</w:t>
            </w:r>
            <w:r w:rsidRPr="00A23740">
              <w:rPr>
                <w:rFonts w:eastAsia="Times New Roman"/>
                <w:szCs w:val="24"/>
                <w:lang w:eastAsia="tr-TR"/>
              </w:rPr>
              <w:t xml:space="preserve"> dava </w:t>
            </w:r>
            <w:r w:rsidRPr="00284A3E">
              <w:rPr>
                <w:rStyle w:val="KIRMIZIChar"/>
                <w:rFonts w:eastAsia="Calibri"/>
              </w:rPr>
              <w:t>açılmışsa</w:t>
            </w:r>
            <w:r w:rsidRPr="00A23740">
              <w:rPr>
                <w:rFonts w:eastAsia="Times New Roman"/>
                <w:b/>
                <w:strike/>
                <w:color w:val="FF0000"/>
                <w:szCs w:val="24"/>
                <w:lang w:eastAsia="tr-TR"/>
              </w:rPr>
              <w:t xml:space="preserve">, kesin hüküm verilinceye kadar </w:t>
            </w:r>
            <w:r w:rsidRPr="00A23740">
              <w:rPr>
                <w:rFonts w:eastAsia="Times New Roman"/>
                <w:szCs w:val="24"/>
                <w:lang w:eastAsia="tr-TR"/>
              </w:rPr>
              <w:t>ihtiyati haciz kararı</w:t>
            </w:r>
            <w:r w:rsidRPr="00A23740">
              <w:rPr>
                <w:rFonts w:eastAsia="Times New Roman"/>
                <w:b/>
                <w:strike/>
                <w:color w:val="FF0000"/>
                <w:szCs w:val="24"/>
                <w:lang w:eastAsia="tr-TR"/>
              </w:rPr>
              <w:t>,</w:t>
            </w:r>
            <w:r w:rsidRPr="00A23740">
              <w:rPr>
                <w:rFonts w:eastAsia="Times New Roman"/>
                <w:szCs w:val="24"/>
                <w:lang w:eastAsia="tr-TR"/>
              </w:rPr>
              <w:t xml:space="preserve"> sadece </w:t>
            </w:r>
            <w:r w:rsidRPr="00A23740">
              <w:rPr>
                <w:rFonts w:eastAsia="Times New Roman"/>
                <w:b/>
                <w:strike/>
                <w:color w:val="FF0000"/>
                <w:szCs w:val="24"/>
                <w:lang w:eastAsia="tr-TR"/>
              </w:rPr>
              <w:t>1354 ve 1355 inci maddelere göre yetkili olan</w:t>
            </w:r>
            <w:r w:rsidRPr="00A23740">
              <w:rPr>
                <w:rFonts w:eastAsia="Times New Roman"/>
                <w:szCs w:val="24"/>
                <w:lang w:eastAsia="tr-TR"/>
              </w:rPr>
              <w:t xml:space="preserve"> mahkeme</w:t>
            </w:r>
            <w:r w:rsidRPr="00A23740">
              <w:rPr>
                <w:rFonts w:eastAsia="Times New Roman"/>
                <w:b/>
                <w:strike/>
                <w:color w:val="FF0000"/>
                <w:szCs w:val="24"/>
                <w:lang w:eastAsia="tr-TR"/>
              </w:rPr>
              <w:t>den istenebilir.</w:t>
            </w:r>
          </w:p>
          <w:p w:rsidR="00A46C6E" w:rsidRDefault="00A46C6E" w:rsidP="002A27F8">
            <w:pPr>
              <w:widowControl w:val="0"/>
              <w:rPr>
                <w:rFonts w:eastAsia="Times New Roman"/>
                <w:b/>
                <w:bCs/>
                <w:szCs w:val="24"/>
              </w:rPr>
            </w:pPr>
          </w:p>
          <w:p w:rsidR="009D25DD" w:rsidRDefault="009D25DD" w:rsidP="002A27F8">
            <w:pPr>
              <w:widowControl w:val="0"/>
              <w:rPr>
                <w:rFonts w:eastAsia="Times New Roman"/>
                <w:b/>
                <w:bCs/>
                <w:szCs w:val="24"/>
              </w:rPr>
            </w:pPr>
          </w:p>
          <w:p w:rsidR="009D25DD" w:rsidRPr="00A23740" w:rsidRDefault="009D25DD" w:rsidP="002A27F8">
            <w:pPr>
              <w:widowControl w:val="0"/>
              <w:rPr>
                <w:rFonts w:eastAsia="Times New Roman"/>
                <w:b/>
                <w:bCs/>
                <w:szCs w:val="24"/>
              </w:rPr>
            </w:pPr>
          </w:p>
        </w:tc>
        <w:tc>
          <w:tcPr>
            <w:tcW w:w="2500" w:type="pct"/>
            <w:shd w:val="clear" w:color="auto" w:fill="auto"/>
          </w:tcPr>
          <w:p w:rsidR="00A46C6E" w:rsidRPr="00A23740" w:rsidRDefault="00A46C6E" w:rsidP="002A27F8">
            <w:pPr>
              <w:widowControl w:val="0"/>
              <w:rPr>
                <w:rFonts w:eastAsia="Times New Roman"/>
                <w:b/>
                <w:bCs/>
                <w:szCs w:val="24"/>
                <w:lang w:eastAsia="tr-TR"/>
              </w:rPr>
            </w:pPr>
            <w:r w:rsidRPr="00A23740">
              <w:rPr>
                <w:rFonts w:eastAsia="Times New Roman"/>
                <w:b/>
                <w:bCs/>
                <w:szCs w:val="24"/>
                <w:lang w:eastAsia="tr-TR"/>
              </w:rPr>
              <w:t xml:space="preserve">Dava açıldıktan sonra </w:t>
            </w:r>
            <w:r w:rsidRPr="00A23740">
              <w:rPr>
                <w:rFonts w:eastAsia="Times New Roman"/>
                <w:b/>
                <w:bCs/>
                <w:color w:val="0000FF"/>
                <w:szCs w:val="24"/>
                <w:lang w:eastAsia="tr-TR"/>
              </w:rPr>
              <w:t>yetkili mahkeme</w:t>
            </w:r>
          </w:p>
          <w:p w:rsidR="00A46C6E" w:rsidRPr="00A23740" w:rsidRDefault="00993A1A" w:rsidP="002A27F8">
            <w:pPr>
              <w:widowControl w:val="0"/>
              <w:rPr>
                <w:rFonts w:eastAsia="Times New Roman"/>
                <w:szCs w:val="24"/>
                <w:lang w:eastAsia="tr-TR"/>
              </w:rPr>
            </w:pPr>
            <w:r w:rsidRPr="00284A3E">
              <w:rPr>
                <w:rFonts w:eastAsia="Times New Roman"/>
                <w:b/>
                <w:bCs/>
                <w:color w:val="000000" w:themeColor="text1"/>
                <w:szCs w:val="24"/>
                <w:lang w:eastAsia="tr-TR"/>
              </w:rPr>
              <w:t xml:space="preserve">MADDE </w:t>
            </w:r>
            <w:r w:rsidRPr="00A23740">
              <w:rPr>
                <w:rFonts w:eastAsia="Times New Roman"/>
                <w:b/>
                <w:bCs/>
                <w:color w:val="0000FF"/>
                <w:szCs w:val="24"/>
                <w:lang w:eastAsia="tr-TR"/>
              </w:rPr>
              <w:t>495</w:t>
            </w:r>
            <w:r w:rsidR="00A46C6E" w:rsidRPr="00A23740">
              <w:rPr>
                <w:rFonts w:eastAsia="Times New Roman"/>
                <w:b/>
                <w:bCs/>
                <w:color w:val="0000FF"/>
                <w:szCs w:val="24"/>
                <w:lang w:eastAsia="tr-TR"/>
              </w:rPr>
              <w:t xml:space="preserve">- </w:t>
            </w:r>
            <w:r w:rsidR="00A46C6E" w:rsidRPr="00284A3E">
              <w:t>(1)</w:t>
            </w:r>
            <w:r w:rsidR="00A46C6E" w:rsidRPr="00A23740">
              <w:rPr>
                <w:rFonts w:eastAsia="Times New Roman"/>
                <w:szCs w:val="24"/>
                <w:lang w:eastAsia="tr-TR"/>
              </w:rPr>
              <w:t xml:space="preserve"> Bir deniz alacağı hakkında </w:t>
            </w:r>
            <w:r w:rsidR="00A46C6E" w:rsidRPr="00A23740">
              <w:rPr>
                <w:rFonts w:eastAsia="Times New Roman"/>
                <w:b/>
                <w:bCs/>
                <w:color w:val="0000FF"/>
                <w:szCs w:val="24"/>
                <w:lang w:eastAsia="tr-TR"/>
              </w:rPr>
              <w:t>Türkiye’de bir</w:t>
            </w:r>
            <w:r w:rsidR="00A46C6E" w:rsidRPr="00A23740">
              <w:rPr>
                <w:rFonts w:eastAsia="Times New Roman"/>
                <w:szCs w:val="24"/>
                <w:lang w:eastAsia="tr-TR"/>
              </w:rPr>
              <w:t xml:space="preserve"> mahkemede dava açıldıktan sonra, ihtiyati haciz sadece </w:t>
            </w:r>
            <w:r w:rsidR="00A46C6E" w:rsidRPr="00284A3E">
              <w:rPr>
                <w:rStyle w:val="Balk1Char"/>
                <w:rFonts w:eastAsia="Calibri"/>
              </w:rPr>
              <w:t>davaya</w:t>
            </w:r>
            <w:r w:rsidR="00A46C6E" w:rsidRPr="00A23740">
              <w:rPr>
                <w:rFonts w:eastAsia="Times New Roman"/>
                <w:b/>
                <w:bCs/>
                <w:color w:val="0000FF"/>
                <w:szCs w:val="24"/>
                <w:lang w:eastAsia="tr-TR"/>
              </w:rPr>
              <w:t xml:space="preserve"> bakan </w:t>
            </w:r>
            <w:r w:rsidR="00A46C6E" w:rsidRPr="00A23740">
              <w:rPr>
                <w:rFonts w:eastAsia="Times New Roman"/>
                <w:szCs w:val="24"/>
                <w:lang w:eastAsia="tr-TR"/>
              </w:rPr>
              <w:t xml:space="preserve">mahkemeden </w:t>
            </w:r>
            <w:r w:rsidR="00A46C6E" w:rsidRPr="00A23740">
              <w:rPr>
                <w:rFonts w:eastAsia="Times New Roman"/>
                <w:b/>
                <w:bCs/>
                <w:color w:val="0000FF"/>
                <w:szCs w:val="24"/>
                <w:lang w:eastAsia="tr-TR"/>
              </w:rPr>
              <w:t>talep edilebilir</w:t>
            </w:r>
            <w:r w:rsidR="00A46C6E" w:rsidRPr="00A23740">
              <w:rPr>
                <w:rFonts w:eastAsia="Times New Roman"/>
                <w:szCs w:val="24"/>
                <w:lang w:eastAsia="tr-TR"/>
              </w:rPr>
              <w:t xml:space="preserve">. </w:t>
            </w:r>
          </w:p>
          <w:p w:rsidR="00A46C6E" w:rsidRPr="00A23740" w:rsidRDefault="00A46C6E" w:rsidP="002A27F8">
            <w:pPr>
              <w:widowControl w:val="0"/>
              <w:rPr>
                <w:rFonts w:eastAsia="Times New Roman"/>
                <w:szCs w:val="24"/>
                <w:lang w:eastAsia="tr-TR"/>
              </w:rPr>
            </w:pPr>
          </w:p>
          <w:p w:rsidR="00A46C6E" w:rsidRPr="00A23740" w:rsidRDefault="00A46C6E" w:rsidP="002A27F8">
            <w:pPr>
              <w:widowControl w:val="0"/>
              <w:rPr>
                <w:rFonts w:eastAsia="Times New Roman"/>
                <w:szCs w:val="24"/>
              </w:rPr>
            </w:pPr>
            <w:r w:rsidRPr="00284A3E">
              <w:t>(2)</w:t>
            </w:r>
            <w:r w:rsidRPr="00A23740">
              <w:rPr>
                <w:rFonts w:eastAsia="Times New Roman"/>
                <w:szCs w:val="24"/>
                <w:lang w:eastAsia="tr-TR"/>
              </w:rPr>
              <w:t xml:space="preserve"> Deniz alacağı hakkında </w:t>
            </w:r>
            <w:r w:rsidRPr="00A23740">
              <w:rPr>
                <w:rFonts w:eastAsia="Times New Roman"/>
                <w:b/>
                <w:bCs/>
                <w:color w:val="0000FF"/>
                <w:szCs w:val="24"/>
                <w:lang w:eastAsia="tr-TR"/>
              </w:rPr>
              <w:t>tahkimde veya yabancı</w:t>
            </w:r>
            <w:r w:rsidRPr="00A23740">
              <w:rPr>
                <w:rFonts w:eastAsia="Times New Roman"/>
                <w:szCs w:val="24"/>
                <w:lang w:eastAsia="tr-TR"/>
              </w:rPr>
              <w:t xml:space="preserve"> bir</w:t>
            </w:r>
            <w:r w:rsidRPr="00A23740">
              <w:rPr>
                <w:rFonts w:eastAsia="Times New Roman"/>
                <w:b/>
                <w:bCs/>
                <w:color w:val="0000FF"/>
                <w:szCs w:val="24"/>
                <w:lang w:eastAsia="tr-TR"/>
              </w:rPr>
              <w:t xml:space="preserve"> devlet </w:t>
            </w:r>
            <w:r w:rsidRPr="00284A3E">
              <w:rPr>
                <w:rStyle w:val="Balk1Char"/>
                <w:rFonts w:eastAsia="Calibri"/>
              </w:rPr>
              <w:t>mahkemesinde</w:t>
            </w:r>
            <w:r w:rsidRPr="00A23740">
              <w:rPr>
                <w:rFonts w:eastAsia="Times New Roman"/>
                <w:szCs w:val="24"/>
                <w:lang w:eastAsia="tr-TR"/>
              </w:rPr>
              <w:t xml:space="preserve"> dava </w:t>
            </w:r>
            <w:r w:rsidRPr="00284A3E">
              <w:rPr>
                <w:rStyle w:val="Balk1Char"/>
                <w:rFonts w:eastAsia="Calibri"/>
              </w:rPr>
              <w:t>açıldıktan</w:t>
            </w:r>
            <w:r w:rsidRPr="00A23740">
              <w:rPr>
                <w:rFonts w:eastAsia="Times New Roman"/>
                <w:b/>
                <w:bCs/>
                <w:color w:val="0000FF"/>
                <w:szCs w:val="24"/>
                <w:lang w:eastAsia="tr-TR"/>
              </w:rPr>
              <w:t xml:space="preserve"> sonra</w:t>
            </w:r>
            <w:r w:rsidRPr="00A23740">
              <w:rPr>
                <w:rFonts w:eastAsia="Times New Roman"/>
                <w:szCs w:val="24"/>
                <w:lang w:eastAsia="tr-TR"/>
              </w:rPr>
              <w:t xml:space="preserve"> ihtiyati haciz kararı </w:t>
            </w:r>
            <w:r w:rsidRPr="00A23740">
              <w:rPr>
                <w:rFonts w:eastAsia="Times New Roman"/>
                <w:b/>
                <w:bCs/>
                <w:color w:val="0000FF"/>
                <w:szCs w:val="24"/>
                <w:lang w:eastAsia="tr-TR"/>
              </w:rPr>
              <w:t xml:space="preserve">vermeye, </w:t>
            </w:r>
            <w:r w:rsidRPr="00A23740">
              <w:rPr>
                <w:rFonts w:eastAsia="Times New Roman"/>
                <w:szCs w:val="24"/>
                <w:lang w:eastAsia="tr-TR"/>
              </w:rPr>
              <w:t xml:space="preserve">sadece </w:t>
            </w:r>
            <w:r w:rsidR="00225946" w:rsidRPr="006C062A">
              <w:rPr>
                <w:rStyle w:val="KonuBalChar"/>
                <w:rFonts w:eastAsia="Calibri"/>
                <w:color w:val="0000FF"/>
              </w:rPr>
              <w:t>494 üncü</w:t>
            </w:r>
            <w:r w:rsidR="00225946" w:rsidRPr="00A23740">
              <w:rPr>
                <w:rFonts w:eastAsia="Times New Roman"/>
                <w:szCs w:val="24"/>
                <w:lang w:eastAsia="tr-TR"/>
              </w:rPr>
              <w:t xml:space="preserve"> </w:t>
            </w:r>
            <w:r w:rsidRPr="00A23740">
              <w:rPr>
                <w:rFonts w:eastAsia="Times New Roman"/>
                <w:b/>
                <w:bCs/>
                <w:color w:val="0000FF"/>
                <w:szCs w:val="24"/>
                <w:lang w:eastAsia="tr-TR"/>
              </w:rPr>
              <w:t xml:space="preserve">maddenin birinci ve ikinci fıkralarında belirtilen </w:t>
            </w:r>
            <w:r w:rsidRPr="00A23740">
              <w:rPr>
                <w:rFonts w:eastAsia="Times New Roman"/>
                <w:szCs w:val="24"/>
                <w:lang w:eastAsia="tr-TR"/>
              </w:rPr>
              <w:t>mahkeme</w:t>
            </w:r>
            <w:r w:rsidRPr="00A23740">
              <w:rPr>
                <w:rFonts w:eastAsia="Times New Roman"/>
                <w:b/>
                <w:bCs/>
                <w:color w:val="0000FF"/>
                <w:szCs w:val="24"/>
                <w:lang w:eastAsia="tr-TR"/>
              </w:rPr>
              <w:t>ler yetkilidir.</w:t>
            </w: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74" w:name="_Hlk134295223"/>
          </w:p>
          <w:p w:rsidR="00A46C6E" w:rsidRPr="006C062A" w:rsidRDefault="00993A1A" w:rsidP="009431FF">
            <w:pPr>
              <w:ind w:firstLine="709"/>
              <w:rPr>
                <w:rFonts w:eastAsia="Times New Roman"/>
                <w:szCs w:val="24"/>
              </w:rPr>
            </w:pPr>
            <w:r w:rsidRPr="00A23740">
              <w:rPr>
                <w:rFonts w:eastAsia="Times New Roman"/>
                <w:b/>
                <w:bCs/>
                <w:szCs w:val="24"/>
                <w:lang w:eastAsia="tr-TR"/>
              </w:rPr>
              <w:t>MADDE 495</w:t>
            </w:r>
            <w:r w:rsidR="00A46C6E" w:rsidRPr="00A23740">
              <w:rPr>
                <w:rFonts w:eastAsia="Times New Roman"/>
                <w:b/>
                <w:bCs/>
                <w:szCs w:val="24"/>
                <w:lang w:eastAsia="tr-TR"/>
              </w:rPr>
              <w:t xml:space="preserve">- </w:t>
            </w:r>
            <w:bookmarkStart w:id="75" w:name="_Hlk172877032"/>
            <w:r w:rsidR="00A46C6E" w:rsidRPr="006C062A">
              <w:rPr>
                <w:rFonts w:eastAsia="Times New Roman"/>
                <w:szCs w:val="24"/>
              </w:rPr>
              <w:t>Maddeyle, deniz alacağı için bir Türk mahkemesi veya yabancı devlet mahkemesi ya da tahkimde dava açıldıktan sonra geminin bayrağına bakılmaksızın ihtiyati haciz kararı vermeye yetkili mahkemeler düzenlenmektedir</w:t>
            </w:r>
            <w:bookmarkEnd w:id="75"/>
            <w:r w:rsidR="00A46C6E" w:rsidRPr="006C062A">
              <w:rPr>
                <w:rFonts w:eastAsia="Times New Roman"/>
                <w:szCs w:val="24"/>
              </w:rPr>
              <w:t>.</w:t>
            </w:r>
          </w:p>
          <w:p w:rsidR="00A46C6E" w:rsidRPr="00A23740" w:rsidRDefault="00A46C6E" w:rsidP="009431FF">
            <w:pPr>
              <w:ind w:firstLine="709"/>
              <w:rPr>
                <w:rFonts w:eastAsia="Times New Roman"/>
                <w:szCs w:val="24"/>
              </w:rPr>
            </w:pPr>
            <w:r w:rsidRPr="00A23740">
              <w:rPr>
                <w:rFonts w:eastAsia="Times New Roman"/>
                <w:szCs w:val="24"/>
              </w:rPr>
              <w:t xml:space="preserve">Maddenin birinci fıkrasında </w:t>
            </w:r>
            <w:r w:rsidRPr="006C062A">
              <w:rPr>
                <w:rFonts w:eastAsia="Times New Roman"/>
                <w:szCs w:val="24"/>
              </w:rPr>
              <w:t>6100 sayılı Kanunun</w:t>
            </w:r>
            <w:r w:rsidRPr="00A23740">
              <w:rPr>
                <w:rFonts w:eastAsia="Times New Roman"/>
                <w:szCs w:val="24"/>
              </w:rPr>
              <w:t xml:space="preserve"> 390 ıncı maddesinin ikinci fıkrasında yer alan</w:t>
            </w:r>
            <w:r w:rsidR="00027A5B" w:rsidRPr="006C062A">
              <w:rPr>
                <w:rFonts w:eastAsia="Times New Roman"/>
              </w:rPr>
              <w:t>,</w:t>
            </w:r>
            <w:r w:rsidRPr="00A23740">
              <w:rPr>
                <w:rFonts w:eastAsia="Times New Roman"/>
                <w:szCs w:val="24"/>
              </w:rPr>
              <w:t xml:space="preserve"> “dava açıldıktan sonra ihtiyati tedbirin ancak asıl davanın görüldüğü mahkemeden talep edileceği” hükmüne ve Taslağın</w:t>
            </w:r>
            <w:r w:rsidR="00225946" w:rsidRPr="00A23740">
              <w:rPr>
                <w:rFonts w:eastAsia="Times New Roman"/>
                <w:szCs w:val="24"/>
              </w:rPr>
              <w:t xml:space="preserve"> </w:t>
            </w:r>
            <w:r w:rsidR="00225946" w:rsidRPr="006C062A">
              <w:rPr>
                <w:rFonts w:eastAsia="Times New Roman"/>
                <w:szCs w:val="24"/>
              </w:rPr>
              <w:t>454</w:t>
            </w:r>
            <w:r w:rsidR="00225946" w:rsidRPr="00A23740">
              <w:rPr>
                <w:rStyle w:val="KonuBalChar"/>
                <w:rFonts w:eastAsia="Calibri"/>
              </w:rPr>
              <w:t xml:space="preserve"> </w:t>
            </w:r>
            <w:r w:rsidR="00225946" w:rsidRPr="006C062A">
              <w:rPr>
                <w:rFonts w:eastAsia="Times New Roman"/>
                <w:szCs w:val="24"/>
              </w:rPr>
              <w:t>üncü</w:t>
            </w:r>
            <w:r w:rsidRPr="00A23740">
              <w:rPr>
                <w:rFonts w:eastAsia="Times New Roman"/>
                <w:szCs w:val="24"/>
              </w:rPr>
              <w:t xml:space="preserve"> maddesine uygun şekilde bir deniz alacağı hakkında Türkiye’de bir mahkemede dava açıldıktan sonra o deniz alacağı için ihtiyati haciz kararının sadece davaya bakan mahkemeden talep edilebileceği hüküm altına alınmıştır. Maddenin ikinci fıkrasında ise deniz alacağı hakkında tahkimde veya yabancı bir devlet mahkemesinde dava açıldıktan sonra ihtiyati haciz kararının, duruma göre </w:t>
            </w:r>
            <w:r w:rsidR="005D3274" w:rsidRPr="006C062A">
              <w:rPr>
                <w:rFonts w:eastAsia="Times New Roman"/>
                <w:szCs w:val="24"/>
              </w:rPr>
              <w:t>494</w:t>
            </w:r>
            <w:r w:rsidR="005D3274" w:rsidRPr="00A23740">
              <w:rPr>
                <w:rStyle w:val="KonuBalChar"/>
                <w:rFonts w:eastAsia="Calibri"/>
              </w:rPr>
              <w:t xml:space="preserve"> </w:t>
            </w:r>
            <w:r w:rsidR="005D3274" w:rsidRPr="006C062A">
              <w:rPr>
                <w:rFonts w:eastAsia="Times New Roman"/>
                <w:szCs w:val="24"/>
              </w:rPr>
              <w:t>üncü</w:t>
            </w:r>
            <w:r w:rsidR="005D3274" w:rsidRPr="00A23740">
              <w:rPr>
                <w:rFonts w:eastAsia="Times New Roman"/>
                <w:szCs w:val="24"/>
                <w:lang w:eastAsia="tr-TR"/>
              </w:rPr>
              <w:t xml:space="preserve"> </w:t>
            </w:r>
            <w:r w:rsidRPr="00A23740">
              <w:rPr>
                <w:rFonts w:eastAsia="Times New Roman"/>
                <w:szCs w:val="24"/>
              </w:rPr>
              <w:t xml:space="preserve">maddenin birinci veya ikinci fıkrasında belirtilen bir mahkemeden talep edileceği öngörülmüştür. Bu hükmün uygulanmasında tahkim yerinin Türkiye’de veya yabancı ülkede bulunmasının bir etkisi ve önemi yoktur. </w:t>
            </w:r>
          </w:p>
          <w:bookmarkEnd w:id="74"/>
          <w:p w:rsidR="00A46C6E" w:rsidRPr="00A23740" w:rsidRDefault="00A46C6E" w:rsidP="002A27F8">
            <w:pPr>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bCs/>
                <w:szCs w:val="24"/>
                <w:lang w:eastAsia="tr-TR"/>
              </w:rPr>
            </w:pPr>
            <w:r w:rsidRPr="00A23740">
              <w:rPr>
                <w:b/>
                <w:strike/>
                <w:color w:val="FF0000"/>
                <w:szCs w:val="24"/>
                <w:lang w:eastAsia="x-none"/>
              </w:rPr>
              <w:t>cc)</w:t>
            </w:r>
            <w:r w:rsidRPr="00A23740">
              <w:rPr>
                <w:rFonts w:eastAsia="Times New Roman"/>
                <w:b/>
                <w:strike/>
                <w:color w:val="FF0000"/>
                <w:szCs w:val="24"/>
                <w:lang w:eastAsia="tr-TR"/>
              </w:rPr>
              <w:t xml:space="preserve"> </w:t>
            </w:r>
            <w:r w:rsidRPr="00A23740">
              <w:rPr>
                <w:rFonts w:eastAsia="Times New Roman"/>
                <w:b/>
                <w:szCs w:val="24"/>
                <w:lang w:eastAsia="tr-TR"/>
              </w:rPr>
              <w:t>İtiraz</w:t>
            </w:r>
            <w:r w:rsidRPr="00A23740">
              <w:rPr>
                <w:rFonts w:eastAsia="Times New Roman"/>
                <w:b/>
                <w:strike/>
                <w:color w:val="FF0000"/>
                <w:szCs w:val="24"/>
                <w:lang w:eastAsia="tr-TR"/>
              </w:rPr>
              <w:t xml:space="preserve">lar ve </w:t>
            </w:r>
            <w:r w:rsidRPr="00284A3E">
              <w:rPr>
                <w:rStyle w:val="KIRMIZIChar"/>
                <w:rFonts w:eastAsia="Calibri"/>
              </w:rPr>
              <w:t>değişiklik</w:t>
            </w:r>
            <w:r w:rsidRPr="00A23740">
              <w:rPr>
                <w:rFonts w:eastAsia="Times New Roman"/>
                <w:b/>
                <w:strike/>
                <w:color w:val="FF0000"/>
                <w:szCs w:val="24"/>
                <w:lang w:eastAsia="tr-TR"/>
              </w:rPr>
              <w:t xml:space="preserve"> istemleri</w:t>
            </w:r>
          </w:p>
          <w:p w:rsidR="00A46C6E" w:rsidRPr="00A23740" w:rsidRDefault="00A46C6E" w:rsidP="009431FF">
            <w:pPr>
              <w:rPr>
                <w:rFonts w:eastAsia="Times New Roman"/>
                <w:b/>
                <w:bCs/>
                <w:szCs w:val="24"/>
                <w:lang w:eastAsia="tr-TR"/>
              </w:rPr>
            </w:pP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1358-</w:t>
            </w:r>
            <w:r w:rsidRPr="00A23740">
              <w:rPr>
                <w:rFonts w:eastAsia="Times New Roman"/>
                <w:szCs w:val="24"/>
                <w:lang w:eastAsia="tr-TR"/>
              </w:rPr>
              <w:t xml:space="preserve"> (1) </w:t>
            </w:r>
            <w:r w:rsidRPr="00A23740">
              <w:rPr>
                <w:rFonts w:eastAsia="Times New Roman"/>
                <w:b/>
                <w:strike/>
                <w:color w:val="FF0000"/>
                <w:szCs w:val="24"/>
                <w:lang w:eastAsia="tr-TR"/>
              </w:rPr>
              <w:t>Yokluğunda</w:t>
            </w:r>
            <w:r w:rsidRPr="00A23740">
              <w:rPr>
                <w:rFonts w:eastAsia="Times New Roman"/>
                <w:szCs w:val="24"/>
                <w:lang w:eastAsia="tr-TR"/>
              </w:rPr>
              <w:t xml:space="preserve"> ihtiyati haciz kararı veril</w:t>
            </w:r>
            <w:r w:rsidRPr="00A23740">
              <w:rPr>
                <w:rFonts w:eastAsia="Times New Roman"/>
                <w:b/>
                <w:strike/>
                <w:color w:val="FF0000"/>
                <w:szCs w:val="24"/>
                <w:lang w:eastAsia="tr-TR"/>
              </w:rPr>
              <w:t>miş</w:t>
            </w:r>
            <w:r w:rsidRPr="00A23740">
              <w:rPr>
                <w:rFonts w:eastAsia="Times New Roman"/>
                <w:szCs w:val="24"/>
                <w:lang w:eastAsia="tr-TR"/>
              </w:rPr>
              <w:t xml:space="preserve"> olan kişilerin itirazları hakkında karar vermeye;</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a)</w:t>
            </w:r>
            <w:r w:rsidRPr="00A23740">
              <w:rPr>
                <w:rFonts w:eastAsia="Times New Roman"/>
                <w:szCs w:val="24"/>
                <w:lang w:eastAsia="tr-TR"/>
              </w:rPr>
              <w:t xml:space="preserve"> Esas hakkında dava açılmadan önce, ihtiyati haciz kararını vermiş olan mahkeme</w:t>
            </w:r>
            <w:r w:rsidRPr="00A23740">
              <w:rPr>
                <w:rFonts w:eastAsia="Times New Roman"/>
                <w:b/>
                <w:strike/>
                <w:color w:val="FF0000"/>
                <w:szCs w:val="24"/>
                <w:lang w:eastAsia="tr-TR"/>
              </w:rPr>
              <w:t>,</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b)</w:t>
            </w:r>
            <w:r w:rsidRPr="00A23740">
              <w:rPr>
                <w:rFonts w:eastAsia="Times New Roman"/>
                <w:szCs w:val="24"/>
                <w:lang w:eastAsia="tr-TR"/>
              </w:rPr>
              <w:t xml:space="preserve"> Esas hakkında Türkiye’de dava açılmışsa, bu mahkeme</w:t>
            </w:r>
            <w:r w:rsidRPr="00A23740">
              <w:rPr>
                <w:rFonts w:eastAsia="Times New Roman"/>
                <w:b/>
                <w:strike/>
                <w:color w:val="FF0000"/>
                <w:szCs w:val="24"/>
                <w:lang w:eastAsia="tr-TR"/>
              </w:rPr>
              <w:t>,</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c)</w:t>
            </w:r>
            <w:r w:rsidRPr="00A23740">
              <w:rPr>
                <w:rFonts w:eastAsia="Times New Roman"/>
                <w:szCs w:val="24"/>
                <w:lang w:eastAsia="tr-TR"/>
              </w:rPr>
              <w:t xml:space="preserve"> </w:t>
            </w:r>
            <w:r w:rsidRPr="00A23740">
              <w:rPr>
                <w:rFonts w:eastAsia="Times New Roman"/>
                <w:b/>
                <w:strike/>
                <w:color w:val="FF0000"/>
                <w:szCs w:val="24"/>
                <w:lang w:eastAsia="tr-TR"/>
              </w:rPr>
              <w:t>Esas hakkında hakem önünde veya yurt dışındaki</w:t>
            </w:r>
            <w:r w:rsidRPr="00A23740">
              <w:rPr>
                <w:rFonts w:eastAsia="Times New Roman"/>
                <w:szCs w:val="24"/>
                <w:lang w:eastAsia="tr-TR"/>
              </w:rPr>
              <w:t xml:space="preserve"> bir mahkemede dava açılmışsa, ihtiyati haciz kararını veren mahkeme</w:t>
            </w:r>
            <w:r w:rsidRPr="00284A3E">
              <w:rPr>
                <w:rStyle w:val="KIRMIZIChar"/>
                <w:rFonts w:eastAsia="Calibri"/>
              </w:rPr>
              <w:t>,</w:t>
            </w:r>
          </w:p>
          <w:p w:rsidR="00A46C6E" w:rsidRPr="00A23740" w:rsidRDefault="00A46C6E" w:rsidP="009431FF">
            <w:pPr>
              <w:rPr>
                <w:rFonts w:eastAsia="Times New Roman"/>
                <w:szCs w:val="24"/>
                <w:lang w:eastAsia="tr-TR"/>
              </w:rPr>
            </w:pPr>
            <w:r w:rsidRPr="00A23740">
              <w:rPr>
                <w:rFonts w:eastAsia="Times New Roman"/>
                <w:szCs w:val="24"/>
                <w:lang w:eastAsia="tr-TR"/>
              </w:rPr>
              <w:t>yetkilidir.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A23740">
              <w:rPr>
                <w:rFonts w:eastAsia="Times New Roman"/>
                <w:szCs w:val="24"/>
                <w:lang w:eastAsia="tr-TR"/>
              </w:rPr>
              <w:t xml:space="preserve">(2) Birinci fıkrada </w:t>
            </w:r>
            <w:r w:rsidRPr="00A23740">
              <w:rPr>
                <w:rFonts w:eastAsia="Times New Roman"/>
                <w:b/>
                <w:strike/>
                <w:color w:val="FF0000"/>
                <w:szCs w:val="24"/>
                <w:lang w:eastAsia="tr-TR"/>
              </w:rPr>
              <w:t>sayılan</w:t>
            </w:r>
            <w:r w:rsidRPr="00A23740">
              <w:rPr>
                <w:rFonts w:eastAsia="Times New Roman"/>
                <w:szCs w:val="24"/>
                <w:lang w:eastAsia="tr-TR"/>
              </w:rPr>
              <w:t xml:space="preserve"> mahkemeler, ihtiyati haciz kararının değiştirilmesi, istihkak iddiaları, tarafların yatırdıkları teminatların artırılması veya azaltılması, türünün değiştirilmesi veya iptali hususlarında yapılacak başvurular hakkında karar vermeye de yetkilidir.</w:t>
            </w:r>
          </w:p>
        </w:tc>
        <w:tc>
          <w:tcPr>
            <w:tcW w:w="2500" w:type="pct"/>
            <w:shd w:val="clear" w:color="auto" w:fill="auto"/>
          </w:tcPr>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İhtiyati haciz kararına</w:t>
            </w:r>
            <w:r w:rsidRPr="00A23740">
              <w:rPr>
                <w:rFonts w:eastAsia="Times New Roman"/>
                <w:szCs w:val="24"/>
                <w:lang w:eastAsia="tr-TR"/>
              </w:rPr>
              <w:t xml:space="preserve"> </w:t>
            </w:r>
            <w:r w:rsidRPr="00A23740">
              <w:rPr>
                <w:rFonts w:eastAsia="Times New Roman"/>
                <w:b/>
                <w:szCs w:val="24"/>
                <w:lang w:eastAsia="tr-TR"/>
              </w:rPr>
              <w:t>itiraz</w:t>
            </w:r>
            <w:r w:rsidRPr="00A23740">
              <w:rPr>
                <w:rFonts w:eastAsia="Times New Roman"/>
                <w:szCs w:val="24"/>
                <w:lang w:eastAsia="tr-TR"/>
              </w:rPr>
              <w:t xml:space="preserve"> </w:t>
            </w:r>
            <w:r w:rsidRPr="00A23740">
              <w:rPr>
                <w:rFonts w:eastAsia="Times New Roman"/>
                <w:b/>
                <w:bCs/>
                <w:color w:val="0000FF"/>
                <w:szCs w:val="24"/>
                <w:lang w:eastAsia="tr-TR"/>
              </w:rPr>
              <w:t>ve kararın</w:t>
            </w:r>
            <w:r w:rsidRPr="00A23740">
              <w:rPr>
                <w:rFonts w:eastAsia="Times New Roman"/>
                <w:szCs w:val="24"/>
                <w:lang w:eastAsia="tr-TR"/>
              </w:rPr>
              <w:t xml:space="preserve"> </w:t>
            </w:r>
            <w:r w:rsidRPr="00284A3E">
              <w:rPr>
                <w:rStyle w:val="Balk1Char"/>
                <w:rFonts w:eastAsia="Calibri"/>
              </w:rPr>
              <w:t>değiştirilmesi</w:t>
            </w:r>
            <w:r w:rsidRPr="00A23740">
              <w:rPr>
                <w:rFonts w:eastAsia="Times New Roman"/>
                <w:b/>
                <w:bCs/>
                <w:color w:val="0000FF"/>
                <w:szCs w:val="24"/>
                <w:lang w:eastAsia="tr-TR"/>
              </w:rPr>
              <w:t xml:space="preserve"> taleplerinde yetkili mahkeme</w:t>
            </w:r>
          </w:p>
          <w:p w:rsidR="00A46C6E" w:rsidRPr="00A23740" w:rsidRDefault="00993A1A" w:rsidP="009431FF">
            <w:pPr>
              <w:rPr>
                <w:rFonts w:eastAsia="Times New Roman"/>
                <w:szCs w:val="24"/>
                <w:lang w:eastAsia="tr-TR"/>
              </w:rPr>
            </w:pPr>
            <w:r w:rsidRPr="00284A3E">
              <w:rPr>
                <w:rFonts w:eastAsia="Times New Roman"/>
                <w:b/>
                <w:bCs/>
                <w:color w:val="000000" w:themeColor="text1"/>
                <w:szCs w:val="24"/>
                <w:lang w:eastAsia="tr-TR"/>
              </w:rPr>
              <w:t xml:space="preserve">MADDE </w:t>
            </w:r>
            <w:r w:rsidRPr="00A23740">
              <w:rPr>
                <w:rFonts w:eastAsia="Times New Roman"/>
                <w:b/>
                <w:bCs/>
                <w:color w:val="0000FF"/>
                <w:szCs w:val="24"/>
                <w:lang w:eastAsia="tr-TR"/>
              </w:rPr>
              <w:t>496</w:t>
            </w:r>
            <w:r w:rsidR="00A46C6E" w:rsidRPr="00A23740">
              <w:rPr>
                <w:rFonts w:eastAsia="Times New Roman"/>
                <w:b/>
                <w:bCs/>
                <w:color w:val="0000FF"/>
                <w:szCs w:val="24"/>
                <w:lang w:eastAsia="tr-TR"/>
              </w:rPr>
              <w:t xml:space="preserve">- </w:t>
            </w:r>
            <w:r w:rsidR="00A46C6E" w:rsidRPr="00284A3E">
              <w:t>(1)</w:t>
            </w:r>
            <w:r w:rsidR="00A46C6E" w:rsidRPr="00A23740">
              <w:rPr>
                <w:rFonts w:eastAsia="Times New Roman"/>
                <w:szCs w:val="24"/>
                <w:lang w:eastAsia="tr-TR"/>
              </w:rPr>
              <w:t xml:space="preserve"> İhtiyati haciz kararı veril</w:t>
            </w:r>
            <w:r w:rsidR="00A46C6E" w:rsidRPr="00A23740">
              <w:rPr>
                <w:rFonts w:eastAsia="Times New Roman"/>
                <w:b/>
                <w:bCs/>
                <w:color w:val="0000FF"/>
                <w:szCs w:val="24"/>
                <w:lang w:eastAsia="tr-TR"/>
              </w:rPr>
              <w:t>irken dinlenmemiş</w:t>
            </w:r>
            <w:r w:rsidR="007E6661" w:rsidRPr="00A23740">
              <w:rPr>
                <w:rFonts w:eastAsia="Times New Roman"/>
                <w:b/>
                <w:bCs/>
                <w:color w:val="0000FF"/>
                <w:szCs w:val="24"/>
                <w:lang w:eastAsia="tr-TR"/>
              </w:rPr>
              <w:t xml:space="preserve"> </w:t>
            </w:r>
            <w:r w:rsidR="007E6661" w:rsidRPr="006C062A">
              <w:rPr>
                <w:rFonts w:eastAsia="Times New Roman"/>
                <w:b/>
                <w:bCs/>
                <w:color w:val="0000FF"/>
                <w:szCs w:val="24"/>
                <w:lang w:eastAsia="tr-TR"/>
              </w:rPr>
              <w:t>olan</w:t>
            </w:r>
            <w:r w:rsidR="00A46C6E" w:rsidRPr="00A23740">
              <w:rPr>
                <w:rFonts w:eastAsia="Times New Roman"/>
                <w:b/>
                <w:bCs/>
                <w:color w:val="0000FF"/>
                <w:szCs w:val="24"/>
                <w:lang w:eastAsia="tr-TR"/>
              </w:rPr>
              <w:t xml:space="preserve"> </w:t>
            </w:r>
            <w:r w:rsidR="00A46C6E" w:rsidRPr="00A23740">
              <w:rPr>
                <w:rFonts w:eastAsia="Times New Roman"/>
                <w:szCs w:val="24"/>
                <w:lang w:eastAsia="tr-TR"/>
              </w:rPr>
              <w:t>kişilerin itirazları hakkında karar vermeye, esas hakkında dava açılmadan önce, ihtiyati haciz kararını vermiş olan mahkeme</w:t>
            </w:r>
            <w:r w:rsidR="00A46C6E" w:rsidRPr="00A23740">
              <w:rPr>
                <w:rFonts w:eastAsia="Times New Roman"/>
                <w:b/>
                <w:bCs/>
                <w:color w:val="0000FF"/>
                <w:szCs w:val="24"/>
                <w:lang w:eastAsia="tr-TR"/>
              </w:rPr>
              <w:t>;</w:t>
            </w:r>
            <w:r w:rsidR="00A46C6E" w:rsidRPr="00A23740">
              <w:rPr>
                <w:rFonts w:eastAsia="Times New Roman"/>
                <w:szCs w:val="24"/>
                <w:lang w:eastAsia="tr-TR"/>
              </w:rPr>
              <w:t xml:space="preserve"> esas hakkında Türkiye’de dava açılmışsa, bu mahkeme; </w:t>
            </w:r>
            <w:r w:rsidR="00A46C6E" w:rsidRPr="00A23740">
              <w:rPr>
                <w:rFonts w:eastAsia="Times New Roman"/>
                <w:b/>
                <w:bCs/>
                <w:color w:val="0000FF"/>
                <w:szCs w:val="24"/>
                <w:lang w:eastAsia="tr-TR"/>
              </w:rPr>
              <w:t>tahkimde veya yabancı</w:t>
            </w:r>
            <w:r w:rsidR="00A46C6E" w:rsidRPr="00A23740">
              <w:rPr>
                <w:rFonts w:eastAsia="Times New Roman"/>
                <w:szCs w:val="24"/>
                <w:lang w:eastAsia="tr-TR"/>
              </w:rPr>
              <w:t xml:space="preserve"> bir </w:t>
            </w:r>
            <w:r w:rsidR="00A46C6E" w:rsidRPr="00A23740">
              <w:rPr>
                <w:rFonts w:eastAsia="Times New Roman"/>
                <w:b/>
                <w:bCs/>
                <w:color w:val="0000FF"/>
                <w:szCs w:val="24"/>
                <w:lang w:eastAsia="tr-TR"/>
              </w:rPr>
              <w:t xml:space="preserve">ülke </w:t>
            </w:r>
            <w:r w:rsidR="00A46C6E" w:rsidRPr="00A23740">
              <w:rPr>
                <w:rFonts w:eastAsia="Times New Roman"/>
                <w:szCs w:val="24"/>
                <w:lang w:eastAsia="tr-TR"/>
              </w:rPr>
              <w:t>mahkeme</w:t>
            </w:r>
            <w:r w:rsidR="00A46C6E" w:rsidRPr="00A23740">
              <w:rPr>
                <w:rFonts w:eastAsia="Times New Roman"/>
                <w:b/>
                <w:bCs/>
                <w:color w:val="0000FF"/>
                <w:szCs w:val="24"/>
                <w:lang w:eastAsia="tr-TR"/>
              </w:rPr>
              <w:t>sin</w:t>
            </w:r>
            <w:r w:rsidR="00A46C6E" w:rsidRPr="00A23740">
              <w:rPr>
                <w:rFonts w:eastAsia="Times New Roman"/>
                <w:szCs w:val="24"/>
                <w:lang w:eastAsia="tr-TR"/>
              </w:rPr>
              <w:t xml:space="preserve">de dava açılmışsa, ihtiyati haciz kararını veren mahkeme yetkilidir. </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r w:rsidRPr="00284A3E">
              <w:t>(2)</w:t>
            </w:r>
            <w:r w:rsidRPr="00A23740">
              <w:rPr>
                <w:rFonts w:eastAsia="Times New Roman"/>
                <w:szCs w:val="24"/>
                <w:lang w:eastAsia="tr-TR"/>
              </w:rPr>
              <w:t xml:space="preserve"> Birinci fıkrada </w:t>
            </w:r>
            <w:r w:rsidRPr="00A23740">
              <w:rPr>
                <w:rFonts w:eastAsia="Times New Roman"/>
                <w:b/>
                <w:bCs/>
                <w:color w:val="0000FF"/>
                <w:szCs w:val="24"/>
                <w:lang w:eastAsia="tr-TR"/>
              </w:rPr>
              <w:t>belirtilen</w:t>
            </w:r>
            <w:r w:rsidRPr="00A23740">
              <w:rPr>
                <w:rFonts w:eastAsia="Times New Roman"/>
                <w:szCs w:val="24"/>
                <w:lang w:eastAsia="tr-TR"/>
              </w:rPr>
              <w:t xml:space="preserve"> mahkemeler, </w:t>
            </w:r>
            <w:r w:rsidRPr="00A23740">
              <w:rPr>
                <w:rFonts w:eastAsia="Times New Roman"/>
                <w:b/>
                <w:bCs/>
                <w:color w:val="0000FF"/>
                <w:szCs w:val="24"/>
                <w:lang w:eastAsia="tr-TR"/>
              </w:rPr>
              <w:t>ayrıca</w:t>
            </w:r>
            <w:r w:rsidRPr="00A23740">
              <w:rPr>
                <w:rFonts w:eastAsia="Times New Roman"/>
                <w:szCs w:val="24"/>
                <w:lang w:eastAsia="tr-TR"/>
              </w:rPr>
              <w:t xml:space="preserve"> ihtiyati haciz kararının değiştirilmesi, istihkak iddiaları, tarafların yatırdıkları teminatların artırılması veya azaltılması, türünün değiştirilmesi veya iptali hususlarında yapılacak başvurular hakkında karar vermeye de yetkilidir.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76" w:name="_Hlk134295168"/>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496</w:t>
            </w:r>
            <w:r w:rsidR="00A46C6E" w:rsidRPr="00A23740">
              <w:rPr>
                <w:rFonts w:eastAsia="Times New Roman"/>
                <w:b/>
                <w:bCs/>
                <w:szCs w:val="24"/>
                <w:lang w:eastAsia="tr-TR"/>
              </w:rPr>
              <w:t xml:space="preserve">- </w:t>
            </w:r>
            <w:bookmarkStart w:id="77" w:name="_Hlk172877086"/>
            <w:r w:rsidR="00A46C6E" w:rsidRPr="00A23740">
              <w:rPr>
                <w:rFonts w:eastAsia="Times New Roman"/>
                <w:bCs/>
                <w:szCs w:val="24"/>
              </w:rPr>
              <w:t>Maddeyle, ihtiyati haciz kararına itiraz ve kararın değiştirilmesi taleplerinde yetkili mahkemeye ilişkin hususlar düzenlenmektedir.</w:t>
            </w:r>
            <w:bookmarkEnd w:id="77"/>
          </w:p>
          <w:p w:rsidR="00A46C6E" w:rsidRPr="00A23740" w:rsidRDefault="00A46C6E" w:rsidP="009431FF">
            <w:pPr>
              <w:ind w:firstLine="709"/>
              <w:rPr>
                <w:rFonts w:eastAsia="Times New Roman"/>
                <w:bCs/>
                <w:szCs w:val="24"/>
              </w:rPr>
            </w:pPr>
            <w:r w:rsidRPr="00A23740">
              <w:rPr>
                <w:rFonts w:eastAsia="Times New Roman"/>
                <w:bCs/>
                <w:szCs w:val="24"/>
              </w:rPr>
              <w:t>Maddenin birinci fıkrasında, 6102 sayılı Kanunun 1358 inci maddesinde düzenlenen husus, Taslağın ihtiyati haciz hakkındaki hükümleri de dikkate alınarak daha açık ve anlaşılır şekilde ifade edilmiştir. İhtiyati haciz</w:t>
            </w:r>
            <w:r w:rsidR="004275CA" w:rsidRPr="00A23740">
              <w:rPr>
                <w:rFonts w:eastAsia="Times New Roman"/>
                <w:bCs/>
                <w:szCs w:val="24"/>
              </w:rPr>
              <w:t>le</w:t>
            </w:r>
            <w:r w:rsidRPr="00A23740">
              <w:rPr>
                <w:rFonts w:eastAsia="Times New Roman"/>
                <w:bCs/>
                <w:szCs w:val="24"/>
              </w:rPr>
              <w:t xml:space="preserve"> menfaati ihlal edilen kişilerin ihtiyati haciz kararı verilirken dinle</w:t>
            </w:r>
            <w:r w:rsidR="00335C53" w:rsidRPr="00A23740">
              <w:rPr>
                <w:rFonts w:eastAsia="Times New Roman"/>
                <w:bCs/>
                <w:szCs w:val="24"/>
              </w:rPr>
              <w:t xml:space="preserve">nmesi </w:t>
            </w:r>
            <w:r w:rsidR="004275CA" w:rsidRPr="00A23740">
              <w:rPr>
                <w:rFonts w:eastAsia="Times New Roman"/>
                <w:bCs/>
                <w:szCs w:val="24"/>
              </w:rPr>
              <w:t xml:space="preserve">her zaman </w:t>
            </w:r>
            <w:r w:rsidR="00335C53" w:rsidRPr="00A23740">
              <w:rPr>
                <w:rFonts w:eastAsia="Times New Roman"/>
                <w:bCs/>
                <w:szCs w:val="24"/>
              </w:rPr>
              <w:t>söz konusu değil ise de</w:t>
            </w:r>
            <w:r w:rsidR="004275CA" w:rsidRPr="00A23740">
              <w:rPr>
                <w:rFonts w:eastAsia="Times New Roman"/>
                <w:bCs/>
                <w:szCs w:val="24"/>
              </w:rPr>
              <w:t>,</w:t>
            </w:r>
            <w:r w:rsidRPr="00A23740">
              <w:rPr>
                <w:rFonts w:eastAsia="Times New Roman"/>
                <w:bCs/>
                <w:szCs w:val="24"/>
              </w:rPr>
              <w:t xml:space="preserve"> Taslağın</w:t>
            </w:r>
            <w:r w:rsidR="005D3274" w:rsidRPr="00A23740">
              <w:rPr>
                <w:rFonts w:eastAsia="Times New Roman"/>
                <w:bCs/>
                <w:szCs w:val="24"/>
              </w:rPr>
              <w:t xml:space="preserve"> </w:t>
            </w:r>
            <w:r w:rsidR="005D3274" w:rsidRPr="006C062A">
              <w:rPr>
                <w:rFonts w:eastAsia="Times New Roman"/>
                <w:bCs/>
                <w:szCs w:val="24"/>
              </w:rPr>
              <w:t>460</w:t>
            </w:r>
            <w:r w:rsidR="005D3274" w:rsidRPr="006C062A">
              <w:rPr>
                <w:rFonts w:eastAsia="Times New Roman"/>
                <w:b/>
                <w:szCs w:val="24"/>
              </w:rPr>
              <w:t xml:space="preserve"> </w:t>
            </w:r>
            <w:r w:rsidR="005D3274" w:rsidRPr="006C062A">
              <w:rPr>
                <w:rFonts w:eastAsia="Times New Roman"/>
                <w:bCs/>
                <w:szCs w:val="24"/>
              </w:rPr>
              <w:t>ıncı</w:t>
            </w:r>
            <w:r w:rsidRPr="00A23740">
              <w:rPr>
                <w:rFonts w:eastAsia="Times New Roman"/>
                <w:bCs/>
                <w:szCs w:val="24"/>
              </w:rPr>
              <w:t xml:space="preserve"> maddesinin birinci fıkrası dikkate alınarak ihtiyati hacze itiraz edebilecek kişilerin “ihtiyati haciz kararı verilirken dinlenmemiş kişiler” şeklinde genel olarak ifade edilmesi daha isabetli görüldüğünden, 6102 sayılı Kanunun 1358 inci maddesinin birinci fıkrasında yer alan “</w:t>
            </w:r>
            <w:r w:rsidRPr="00A23740">
              <w:rPr>
                <w:rFonts w:eastAsia="Times New Roman"/>
                <w:bCs/>
                <w:i/>
                <w:iCs/>
                <w:szCs w:val="24"/>
              </w:rPr>
              <w:t>Yokluğunda ihtiyati haciz kararı verilmiş olan kişilerin</w:t>
            </w:r>
            <w:r w:rsidRPr="00A23740">
              <w:rPr>
                <w:rFonts w:eastAsia="Times New Roman"/>
                <w:bCs/>
                <w:szCs w:val="24"/>
              </w:rPr>
              <w:t xml:space="preserve">” ibaresi bu şekilde değiştirilmiştir. İhtiyati haciz kararına her aşamada itiraz edilmesine imkân tanınması gerekli görüldüğünden, Taslağın </w:t>
            </w:r>
            <w:r w:rsidR="005D3274" w:rsidRPr="006C062A">
              <w:rPr>
                <w:rFonts w:eastAsia="Times New Roman"/>
                <w:bCs/>
                <w:szCs w:val="24"/>
              </w:rPr>
              <w:t>460</w:t>
            </w:r>
            <w:r w:rsidR="005D3274" w:rsidRPr="006C062A">
              <w:rPr>
                <w:rFonts w:eastAsia="Times New Roman"/>
                <w:b/>
                <w:szCs w:val="24"/>
              </w:rPr>
              <w:t xml:space="preserve"> </w:t>
            </w:r>
            <w:r w:rsidR="005D3274" w:rsidRPr="006C062A">
              <w:rPr>
                <w:rFonts w:eastAsia="Times New Roman"/>
                <w:bCs/>
                <w:szCs w:val="24"/>
              </w:rPr>
              <w:t>ıncı</w:t>
            </w:r>
            <w:r w:rsidR="005D3274" w:rsidRPr="00A23740">
              <w:rPr>
                <w:rFonts w:eastAsia="Times New Roman"/>
                <w:bCs/>
                <w:szCs w:val="24"/>
              </w:rPr>
              <w:t xml:space="preserve"> </w:t>
            </w:r>
            <w:r w:rsidRPr="00A23740">
              <w:rPr>
                <w:rFonts w:eastAsia="Times New Roman"/>
                <w:bCs/>
                <w:szCs w:val="24"/>
              </w:rPr>
              <w:t>maddesinin birinci fıkrasından farklı olarak ihtiyati haciz kararına itiraz için bir süre öngörülmemiştir.</w:t>
            </w:r>
          </w:p>
          <w:p w:rsidR="00A46C6E" w:rsidRPr="00A23740" w:rsidRDefault="00A46C6E" w:rsidP="009431FF">
            <w:pPr>
              <w:ind w:firstLine="709"/>
              <w:rPr>
                <w:rFonts w:eastAsia="Times New Roman"/>
                <w:bCs/>
                <w:szCs w:val="24"/>
              </w:rPr>
            </w:pPr>
            <w:r w:rsidRPr="00A23740">
              <w:rPr>
                <w:rFonts w:eastAsia="Times New Roman"/>
                <w:bCs/>
                <w:szCs w:val="24"/>
              </w:rPr>
              <w:t>Maddenin ikinci fıkrasında ihtiyati haciz kararının değiştirilmesi, istihkak iddiaları, tarafların yatırdıkları teminatların artırılması veya azaltılması, türünün değiştirilmesi veya iptali hususlarında yapılacak başvurular hakkında karar vermeye yetkili mahkemelerin, bu maddenin birinci fıkrasında belirtilen mahkemeler olduğu hüküm altına alınmıştır. Bu fıkrada yer alan</w:t>
            </w:r>
            <w:r w:rsidR="00E24833" w:rsidRPr="00A23740">
              <w:rPr>
                <w:rFonts w:eastAsia="Times New Roman"/>
                <w:bCs/>
                <w:szCs w:val="24"/>
              </w:rPr>
              <w:t xml:space="preserve"> </w:t>
            </w:r>
            <w:r w:rsidR="00E24833" w:rsidRPr="006C062A">
              <w:rPr>
                <w:rFonts w:eastAsia="Times New Roman"/>
                <w:bCs/>
                <w:szCs w:val="24"/>
              </w:rPr>
              <w:t>ve</w:t>
            </w:r>
            <w:r w:rsidRPr="00A23740">
              <w:rPr>
                <w:rFonts w:eastAsia="Times New Roman"/>
                <w:bCs/>
                <w:szCs w:val="24"/>
              </w:rPr>
              <w:t xml:space="preserve"> “tarafların yatırdıkları teminatların artırılması veya azaltılması, türünün değiştirilmesi veya iptali” </w:t>
            </w:r>
            <w:r w:rsidR="00E24833" w:rsidRPr="006C062A">
              <w:rPr>
                <w:rFonts w:eastAsia="Times New Roman"/>
                <w:bCs/>
                <w:szCs w:val="24"/>
              </w:rPr>
              <w:t>şeklinde</w:t>
            </w:r>
            <w:r w:rsidR="00E24833" w:rsidRPr="006C062A">
              <w:rPr>
                <w:rFonts w:eastAsia="Times New Roman"/>
                <w:b/>
                <w:bCs/>
              </w:rPr>
              <w:t xml:space="preserve"> </w:t>
            </w:r>
            <w:r w:rsidR="00E24833" w:rsidRPr="006C062A">
              <w:rPr>
                <w:rFonts w:eastAsia="Times New Roman"/>
                <w:bCs/>
                <w:szCs w:val="24"/>
              </w:rPr>
              <w:t>olan</w:t>
            </w:r>
            <w:r w:rsidR="00E24833" w:rsidRPr="00A23740">
              <w:rPr>
                <w:rFonts w:eastAsia="Times New Roman"/>
                <w:bCs/>
                <w:szCs w:val="24"/>
              </w:rPr>
              <w:t xml:space="preserve"> </w:t>
            </w:r>
            <w:r w:rsidRPr="00A23740">
              <w:rPr>
                <w:rFonts w:eastAsia="Times New Roman"/>
                <w:bCs/>
                <w:szCs w:val="24"/>
              </w:rPr>
              <w:t>ibare, geminin serbest bırakılması için yatırılan teminatın artırılması veya azaltılması için yapılacak başvurular ile ihtiyati haciz kararı verilmesi için yatırılan teminatın artırılması veya azaltılması için yapıl</w:t>
            </w:r>
            <w:r w:rsidR="005D3274" w:rsidRPr="00A23740">
              <w:rPr>
                <w:rFonts w:eastAsia="Times New Roman"/>
                <w:bCs/>
                <w:szCs w:val="24"/>
              </w:rPr>
              <w:t>acak başvuruları da ifade eder.</w:t>
            </w:r>
          </w:p>
          <w:p w:rsidR="00A46C6E" w:rsidRPr="00A23740" w:rsidRDefault="00A46C6E" w:rsidP="009431FF">
            <w:pPr>
              <w:ind w:firstLine="709"/>
              <w:rPr>
                <w:rFonts w:eastAsia="Times New Roman"/>
                <w:bCs/>
                <w:szCs w:val="24"/>
              </w:rPr>
            </w:pPr>
            <w:r w:rsidRPr="00A23740">
              <w:rPr>
                <w:rFonts w:eastAsia="Times New Roman"/>
                <w:bCs/>
                <w:szCs w:val="24"/>
              </w:rPr>
              <w:t xml:space="preserve">Taslağın ihtiyati haciz düzenlemesinde “teminatın iptali” şeklinde bir başvuru yolu öngörülmemiştir. Ancak 1999 </w:t>
            </w:r>
            <w:r w:rsidR="005D3274" w:rsidRPr="006C062A">
              <w:rPr>
                <w:rFonts w:eastAsia="Times New Roman"/>
                <w:bCs/>
                <w:szCs w:val="24"/>
              </w:rPr>
              <w:t>tarihli</w:t>
            </w:r>
            <w:r w:rsidR="005D3274" w:rsidRPr="006C062A">
              <w:rPr>
                <w:rFonts w:eastAsia="Times New Roman"/>
                <w:b/>
                <w:szCs w:val="24"/>
              </w:rPr>
              <w:t xml:space="preserve"> </w:t>
            </w:r>
            <w:r w:rsidR="005D3274" w:rsidRPr="006C062A">
              <w:rPr>
                <w:rFonts w:eastAsia="Times New Roman"/>
                <w:bCs/>
                <w:szCs w:val="24"/>
              </w:rPr>
              <w:t>Milletlerarası</w:t>
            </w:r>
            <w:r w:rsidR="005D3274" w:rsidRPr="00A23740">
              <w:rPr>
                <w:rStyle w:val="KonuBalChar"/>
                <w:rFonts w:eastAsia="Calibri"/>
              </w:rPr>
              <w:t xml:space="preserve"> </w:t>
            </w:r>
            <w:r w:rsidR="005D3274" w:rsidRPr="006C062A">
              <w:rPr>
                <w:rFonts w:eastAsia="Times New Roman"/>
                <w:bCs/>
                <w:szCs w:val="24"/>
              </w:rPr>
              <w:t>Sözleşmenin</w:t>
            </w:r>
            <w:r w:rsidR="005D3274" w:rsidRPr="00A23740">
              <w:rPr>
                <w:rFonts w:eastAsia="Times New Roman"/>
                <w:szCs w:val="24"/>
              </w:rPr>
              <w:t xml:space="preserve"> </w:t>
            </w:r>
            <w:r w:rsidRPr="00A23740">
              <w:rPr>
                <w:rFonts w:eastAsia="Times New Roman"/>
                <w:bCs/>
                <w:szCs w:val="24"/>
              </w:rPr>
              <w:t>4 üncü maddesinin altıncı fıkrasında “</w:t>
            </w:r>
            <w:r w:rsidRPr="00A23740">
              <w:rPr>
                <w:rFonts w:eastAsia="Times New Roman"/>
                <w:bCs/>
                <w:i/>
                <w:iCs/>
                <w:szCs w:val="24"/>
              </w:rPr>
              <w:t xml:space="preserve">bu maddenin 1 inci fıkrası uyarınca teminat veren kişinin </w:t>
            </w:r>
            <w:r w:rsidRPr="00A23740">
              <w:rPr>
                <w:rFonts w:eastAsia="Times New Roman"/>
                <w:bCs/>
                <w:szCs w:val="24"/>
              </w:rPr>
              <w:t>(geminin serbest bırakılması için teminat verenin)</w:t>
            </w:r>
            <w:r w:rsidRPr="00A23740">
              <w:rPr>
                <w:rFonts w:eastAsia="Times New Roman"/>
                <w:bCs/>
                <w:i/>
                <w:iCs/>
                <w:szCs w:val="24"/>
              </w:rPr>
              <w:t xml:space="preserve"> teminat miktarının azaltılması, türünün değiştirilmesi veya iptali (cancel) için her zaman mahkemeye başvurabileceği</w:t>
            </w:r>
            <w:r w:rsidRPr="00A23740">
              <w:rPr>
                <w:rFonts w:eastAsia="Times New Roman"/>
                <w:bCs/>
                <w:szCs w:val="24"/>
              </w:rPr>
              <w:t xml:space="preserve">” öngörülmüş olup, bu hükümde “iptal” (cancel) ile kastedilen, geminin serbest bırakılması için teminat verilmesine gerek olmadığına ve yatırılan teminatın iadesine karar verilmesidir. 1999 </w:t>
            </w:r>
            <w:r w:rsidR="005D3274" w:rsidRPr="006C062A">
              <w:rPr>
                <w:rFonts w:eastAsia="Times New Roman"/>
                <w:bCs/>
                <w:szCs w:val="24"/>
              </w:rPr>
              <w:t>tarihli</w:t>
            </w:r>
            <w:r w:rsidR="005D3274" w:rsidRPr="006C062A">
              <w:rPr>
                <w:rFonts w:eastAsia="Times New Roman"/>
                <w:b/>
                <w:szCs w:val="24"/>
              </w:rPr>
              <w:t xml:space="preserve"> </w:t>
            </w:r>
            <w:r w:rsidR="005D3274" w:rsidRPr="006C062A">
              <w:rPr>
                <w:rFonts w:eastAsia="Times New Roman"/>
                <w:bCs/>
                <w:szCs w:val="24"/>
              </w:rPr>
              <w:t>Milletlerarası</w:t>
            </w:r>
            <w:r w:rsidR="005D3274" w:rsidRPr="006C062A">
              <w:rPr>
                <w:rFonts w:eastAsia="Times New Roman"/>
                <w:b/>
                <w:szCs w:val="24"/>
              </w:rPr>
              <w:t xml:space="preserve"> </w:t>
            </w:r>
            <w:r w:rsidR="005D3274" w:rsidRPr="006C062A">
              <w:rPr>
                <w:rFonts w:eastAsia="Times New Roman"/>
                <w:bCs/>
                <w:szCs w:val="24"/>
              </w:rPr>
              <w:t>Sözleşmenin</w:t>
            </w:r>
            <w:r w:rsidR="005D3274" w:rsidRPr="00A23740">
              <w:rPr>
                <w:rFonts w:eastAsia="Times New Roman"/>
                <w:szCs w:val="24"/>
              </w:rPr>
              <w:t xml:space="preserve"> </w:t>
            </w:r>
            <w:r w:rsidRPr="00A23740">
              <w:rPr>
                <w:rFonts w:eastAsia="Times New Roman"/>
                <w:bCs/>
                <w:szCs w:val="24"/>
              </w:rPr>
              <w:t xml:space="preserve">4 üncü maddesinin altıncı fıkrası ile uyum açısından Taslağın ihtiyati haciz düzenlemesinde mevcut olmayan “teminatın iptali” için başvuru, bu maddenin ikinci fıkrasına alınmıştır. Ancak 1999 </w:t>
            </w:r>
            <w:r w:rsidR="005D3274" w:rsidRPr="006C062A">
              <w:rPr>
                <w:rFonts w:eastAsia="Times New Roman"/>
                <w:bCs/>
                <w:szCs w:val="24"/>
              </w:rPr>
              <w:t>tarihli</w:t>
            </w:r>
            <w:r w:rsidR="005D3274" w:rsidRPr="006C062A">
              <w:rPr>
                <w:rFonts w:eastAsia="Times New Roman"/>
                <w:b/>
                <w:szCs w:val="24"/>
              </w:rPr>
              <w:t xml:space="preserve"> </w:t>
            </w:r>
            <w:r w:rsidR="005D3274" w:rsidRPr="006C062A">
              <w:rPr>
                <w:rFonts w:eastAsia="Times New Roman"/>
                <w:bCs/>
                <w:szCs w:val="24"/>
              </w:rPr>
              <w:t>Milletlerarası</w:t>
            </w:r>
            <w:r w:rsidR="005D3274" w:rsidRPr="006C062A">
              <w:rPr>
                <w:rFonts w:eastAsia="Times New Roman"/>
                <w:b/>
                <w:szCs w:val="24"/>
              </w:rPr>
              <w:t xml:space="preserve"> </w:t>
            </w:r>
            <w:r w:rsidR="005D3274" w:rsidRPr="006C062A">
              <w:rPr>
                <w:rFonts w:eastAsia="Times New Roman"/>
                <w:bCs/>
                <w:szCs w:val="24"/>
              </w:rPr>
              <w:t>Sözleşme</w:t>
            </w:r>
            <w:r w:rsidR="005D3274" w:rsidRPr="00A23740">
              <w:rPr>
                <w:rFonts w:eastAsia="Times New Roman"/>
                <w:bCs/>
                <w:szCs w:val="24"/>
              </w:rPr>
              <w:t xml:space="preserve"> </w:t>
            </w:r>
            <w:r w:rsidR="005D3274" w:rsidRPr="006C062A">
              <w:rPr>
                <w:rFonts w:eastAsia="Times New Roman"/>
                <w:bCs/>
                <w:szCs w:val="24"/>
              </w:rPr>
              <w:t>madde</w:t>
            </w:r>
            <w:r w:rsidR="005D3274" w:rsidRPr="00A23740">
              <w:rPr>
                <w:rFonts w:eastAsia="Times New Roman"/>
                <w:bCs/>
                <w:szCs w:val="24"/>
              </w:rPr>
              <w:t xml:space="preserve"> 4/</w:t>
            </w:r>
            <w:r w:rsidRPr="00A23740">
              <w:rPr>
                <w:rFonts w:eastAsia="Times New Roman"/>
                <w:bCs/>
                <w:szCs w:val="24"/>
              </w:rPr>
              <w:t xml:space="preserve">6 hükmünden farklı olarak maddenin ikinci fıkrasında “… </w:t>
            </w:r>
            <w:r w:rsidRPr="00A23740">
              <w:rPr>
                <w:rFonts w:eastAsia="Times New Roman"/>
                <w:bCs/>
                <w:i/>
                <w:iCs/>
                <w:szCs w:val="24"/>
              </w:rPr>
              <w:t>tarafların yatırdıkları teminatların artırılması veya azaltılması, türünün değiştirilmesi veya iptali hususlarında yapılacak başvurular</w:t>
            </w:r>
            <w:r w:rsidRPr="00A23740">
              <w:rPr>
                <w:rFonts w:eastAsia="Times New Roman"/>
                <w:bCs/>
                <w:szCs w:val="24"/>
              </w:rPr>
              <w:t xml:space="preserve"> …” denilerek teminat iptali için başvuru yolu, ihtiyaten haczine karar verilen geminin serbest bırakılması için yatırılan teminat yanında ihtiyati haciz kararı verilmesi için alacaklı tarafından yatırılan teminat için de kabul edilmiştir. </w:t>
            </w:r>
          </w:p>
          <w:bookmarkEnd w:id="76"/>
          <w:p w:rsidR="00E24833" w:rsidRPr="00A23740" w:rsidRDefault="00E24833" w:rsidP="002A27F8">
            <w:pPr>
              <w:rPr>
                <w:rFonts w:eastAsia="Times New Roman"/>
                <w:b/>
                <w:bCs/>
                <w:color w:val="0000FF"/>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b/>
                <w:strike/>
                <w:color w:val="FF0000"/>
                <w:szCs w:val="24"/>
                <w:lang w:eastAsia="tr-TR"/>
              </w:rPr>
            </w:pPr>
            <w:r w:rsidRPr="00A23740">
              <w:rPr>
                <w:rFonts w:eastAsia="Times New Roman"/>
                <w:b/>
                <w:strike/>
                <w:color w:val="FF0000"/>
                <w:szCs w:val="24"/>
                <w:lang w:eastAsia="tr-TR"/>
              </w:rPr>
              <w:t>b)</w:t>
            </w:r>
            <w:r w:rsidRPr="00A23740">
              <w:rPr>
                <w:rFonts w:eastAsia="Times New Roman"/>
                <w:b/>
                <w:szCs w:val="24"/>
                <w:lang w:eastAsia="tr-TR"/>
              </w:rPr>
              <w:t xml:space="preserve"> Esas hakkında</w:t>
            </w:r>
          </w:p>
          <w:p w:rsidR="00A46C6E" w:rsidRPr="00A23740" w:rsidRDefault="00A46C6E" w:rsidP="009431FF">
            <w:pPr>
              <w:rPr>
                <w:rFonts w:eastAsia="Times New Roman"/>
                <w:b/>
                <w:strike/>
                <w:color w:val="FF0000"/>
                <w:szCs w:val="24"/>
                <w:lang w:eastAsia="tr-TR"/>
              </w:rPr>
            </w:pP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1359</w:t>
            </w:r>
            <w:r w:rsidRPr="00A23740">
              <w:rPr>
                <w:rFonts w:ascii="Calibri" w:hAnsi="Calibri"/>
                <w:b/>
                <w:strike/>
                <w:sz w:val="22"/>
                <w:lang w:eastAsia="tr-TR"/>
              </w:rPr>
              <w:t>-</w:t>
            </w:r>
            <w:r w:rsidRPr="00A23740">
              <w:rPr>
                <w:rFonts w:eastAsia="Times New Roman"/>
                <w:szCs w:val="24"/>
                <w:lang w:eastAsia="tr-TR"/>
              </w:rPr>
              <w:t xml:space="preserve"> (1) </w:t>
            </w:r>
            <w:r w:rsidRPr="00A23740">
              <w:rPr>
                <w:b/>
                <w:strike/>
                <w:color w:val="FF0000"/>
                <w:szCs w:val="24"/>
                <w:lang w:eastAsia="tr-TR"/>
              </w:rPr>
              <w:t>1354 ve 1355 inci maddeler uyarınca deniz alacakları hakkında ihtiyati haciz kararı vermeye yetkili olan mahkeme, deniz alacağının esasına ilişkin olarak yapılmış bir yetki veya tahkim sözleşmesi yoksa,</w:t>
            </w:r>
            <w:r w:rsidRPr="00A23740">
              <w:rPr>
                <w:rFonts w:eastAsia="Times New Roman"/>
                <w:szCs w:val="24"/>
                <w:lang w:eastAsia="tr-TR"/>
              </w:rPr>
              <w:t xml:space="preserve"> ihtiyati haczi tamamlamak üzere</w:t>
            </w:r>
            <w:r w:rsidRPr="00A23740">
              <w:rPr>
                <w:b/>
                <w:strike/>
                <w:color w:val="FF0000"/>
                <w:szCs w:val="24"/>
                <w:lang w:eastAsia="tr-TR"/>
              </w:rPr>
              <w:t xml:space="preserve"> açılacak </w:t>
            </w:r>
            <w:r w:rsidRPr="00A23740">
              <w:rPr>
                <w:rFonts w:eastAsia="Times New Roman"/>
                <w:szCs w:val="24"/>
                <w:lang w:eastAsia="tr-TR"/>
              </w:rPr>
              <w:t xml:space="preserve">dava </w:t>
            </w:r>
            <w:r w:rsidRPr="00A23740">
              <w:rPr>
                <w:b/>
                <w:strike/>
                <w:color w:val="FF0000"/>
                <w:szCs w:val="24"/>
                <w:lang w:eastAsia="tr-TR"/>
              </w:rPr>
              <w:t>hakkında ve</w:t>
            </w:r>
            <w:r w:rsidRPr="00A23740">
              <w:rPr>
                <w:rFonts w:eastAsia="Times New Roman"/>
                <w:szCs w:val="24"/>
                <w:lang w:eastAsia="tr-TR"/>
              </w:rPr>
              <w:t xml:space="preserve"> ihtiyati haczi uygulayan icra dairesi de icra takibi hakkında yetkilidir.</w:t>
            </w:r>
          </w:p>
          <w:p w:rsidR="00A92634" w:rsidRPr="00A23740" w:rsidRDefault="00A92634" w:rsidP="009431FF">
            <w:pPr>
              <w:rPr>
                <w:rFonts w:eastAsia="Times New Roman"/>
                <w:szCs w:val="24"/>
              </w:rPr>
            </w:pPr>
          </w:p>
          <w:p w:rsidR="00A46C6E" w:rsidRPr="00A23740" w:rsidRDefault="00A46C6E" w:rsidP="009431FF">
            <w:pPr>
              <w:rPr>
                <w:rFonts w:eastAsia="Times New Roman"/>
                <w:b/>
                <w:strike/>
                <w:color w:val="FF0000"/>
                <w:szCs w:val="24"/>
                <w:lang w:eastAsia="tr-TR"/>
              </w:rPr>
            </w:pPr>
            <w:r w:rsidRPr="00A23740">
              <w:rPr>
                <w:rFonts w:eastAsia="Times New Roman"/>
                <w:b/>
                <w:strike/>
                <w:color w:val="FF0000"/>
                <w:szCs w:val="24"/>
                <w:lang w:eastAsia="tr-TR"/>
              </w:rPr>
              <w:t>c) Tenfiz hakkında</w:t>
            </w:r>
          </w:p>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MADDE 1360</w:t>
            </w:r>
            <w:r w:rsidRPr="00284A3E">
              <w:rPr>
                <w:rStyle w:val="KIRMIZIChar"/>
                <w:rFonts w:eastAsia="Calibri"/>
              </w:rPr>
              <w:t>- (1) Bir</w:t>
            </w:r>
            <w:r w:rsidRPr="00A23740">
              <w:rPr>
                <w:b/>
                <w:strike/>
                <w:color w:val="FF0000"/>
                <w:szCs w:val="24"/>
                <w:lang w:eastAsia="tr-TR"/>
              </w:rPr>
              <w:t xml:space="preserve"> deniz alacağı için ihtiyati haciz kararı vermiş olan Türk mahkemesi, o</w:t>
            </w:r>
            <w:r w:rsidRPr="00A23740">
              <w:rPr>
                <w:rFonts w:eastAsia="Times New Roman"/>
                <w:szCs w:val="24"/>
                <w:lang w:eastAsia="tr-TR"/>
              </w:rPr>
              <w:t xml:space="preserve"> deniz alacağının esası hakkında verilmiş bir yabancı mahkeme veya yabancı hakem kararının tenfizinde</w:t>
            </w:r>
            <w:r w:rsidRPr="00A23740">
              <w:rPr>
                <w:b/>
                <w:strike/>
                <w:color w:val="FF0000"/>
                <w:szCs w:val="24"/>
                <w:lang w:eastAsia="tr-TR"/>
              </w:rPr>
              <w:t>;</w:t>
            </w:r>
          </w:p>
          <w:p w:rsidR="00A46C6E" w:rsidRPr="00A23740" w:rsidRDefault="00A46C6E" w:rsidP="009431FF">
            <w:pPr>
              <w:rPr>
                <w:rFonts w:eastAsia="Times New Roman"/>
                <w:szCs w:val="24"/>
                <w:lang w:eastAsia="tr-TR"/>
              </w:rPr>
            </w:pPr>
            <w:r w:rsidRPr="00A23740">
              <w:rPr>
                <w:b/>
                <w:strike/>
                <w:color w:val="FF0000"/>
                <w:szCs w:val="24"/>
                <w:lang w:eastAsia="tr-TR"/>
              </w:rPr>
              <w:t>a)</w:t>
            </w:r>
            <w:r w:rsidRPr="00A23740">
              <w:rPr>
                <w:rFonts w:eastAsia="Times New Roman"/>
                <w:szCs w:val="24"/>
                <w:lang w:eastAsia="tr-TR"/>
              </w:rPr>
              <w:t xml:space="preserve"> </w:t>
            </w:r>
            <w:r w:rsidRPr="00A23740">
              <w:rPr>
                <w:b/>
                <w:strike/>
                <w:color w:val="FF0000"/>
                <w:szCs w:val="24"/>
                <w:lang w:eastAsia="tr-TR"/>
              </w:rPr>
              <w:t>Tenfiz isteminin yapıldığı tarihte geminin o Türk mahkemesinin yargı çevresinde bulunması veya</w:t>
            </w:r>
            <w:r w:rsidRPr="00A23740">
              <w:rPr>
                <w:rFonts w:eastAsia="Times New Roman"/>
                <w:szCs w:val="24"/>
                <w:lang w:eastAsia="tr-TR"/>
              </w:rPr>
              <w:t xml:space="preserve"> </w:t>
            </w:r>
          </w:p>
          <w:p w:rsidR="00A46C6E" w:rsidRPr="00A23740" w:rsidRDefault="00A46C6E" w:rsidP="009431FF">
            <w:pPr>
              <w:rPr>
                <w:rFonts w:eastAsia="Times New Roman"/>
                <w:szCs w:val="24"/>
                <w:lang w:eastAsia="tr-TR"/>
              </w:rPr>
            </w:pPr>
            <w:r w:rsidRPr="00A23740">
              <w:rPr>
                <w:b/>
                <w:strike/>
                <w:color w:val="FF0000"/>
                <w:szCs w:val="24"/>
                <w:lang w:eastAsia="tr-TR"/>
              </w:rPr>
              <w:t>b)</w:t>
            </w:r>
            <w:r w:rsidRPr="00A23740">
              <w:rPr>
                <w:rFonts w:eastAsia="Times New Roman"/>
                <w:szCs w:val="24"/>
                <w:lang w:eastAsia="tr-TR"/>
              </w:rPr>
              <w:t xml:space="preserve"> Geminin serbest bırakılması için </w:t>
            </w:r>
            <w:r w:rsidRPr="00A23740">
              <w:rPr>
                <w:b/>
                <w:strike/>
                <w:color w:val="FF0000"/>
                <w:szCs w:val="24"/>
                <w:lang w:eastAsia="tr-TR"/>
              </w:rPr>
              <w:t>1370 ilâ 1372 nci maddeler uyarınca</w:t>
            </w:r>
            <w:r w:rsidRPr="00A23740">
              <w:rPr>
                <w:rFonts w:eastAsia="Times New Roman"/>
                <w:szCs w:val="24"/>
                <w:lang w:eastAsia="tr-TR"/>
              </w:rPr>
              <w:t xml:space="preserve"> yatırılmış teminatın, </w:t>
            </w:r>
            <w:r w:rsidRPr="000F3FFB">
              <w:rPr>
                <w:rStyle w:val="KIRMIZIChar"/>
                <w:rFonts w:eastAsia="Calibri"/>
              </w:rPr>
              <w:t>tenfiz is</w:t>
            </w:r>
            <w:r w:rsidRPr="00A23740">
              <w:rPr>
                <w:b/>
                <w:strike/>
                <w:color w:val="FF0000"/>
                <w:szCs w:val="24"/>
                <w:lang w:eastAsia="x-none"/>
              </w:rPr>
              <w:t>teminin</w:t>
            </w:r>
            <w:r w:rsidRPr="00A23740">
              <w:rPr>
                <w:rFonts w:eastAsia="Times New Roman"/>
                <w:szCs w:val="24"/>
                <w:lang w:eastAsia="tr-TR"/>
              </w:rPr>
              <w:t xml:space="preserve"> </w:t>
            </w:r>
            <w:r w:rsidRPr="00A23740">
              <w:rPr>
                <w:b/>
                <w:strike/>
                <w:color w:val="FF0000"/>
                <w:szCs w:val="24"/>
                <w:lang w:eastAsia="x-none"/>
              </w:rPr>
              <w:t>yapıldığı</w:t>
            </w:r>
            <w:r w:rsidRPr="00A23740">
              <w:rPr>
                <w:rFonts w:eastAsia="Times New Roman"/>
                <w:szCs w:val="24"/>
                <w:lang w:eastAsia="tr-TR"/>
              </w:rPr>
              <w:t xml:space="preserve"> tarihte </w:t>
            </w:r>
            <w:r w:rsidRPr="000F3FFB">
              <w:rPr>
                <w:rStyle w:val="KIRMIZIChar"/>
                <w:rFonts w:eastAsia="Calibri"/>
              </w:rPr>
              <w:t>mahkeme k</w:t>
            </w:r>
            <w:r w:rsidRPr="00A23740">
              <w:rPr>
                <w:b/>
                <w:strike/>
                <w:color w:val="FF0000"/>
                <w:szCs w:val="24"/>
                <w:lang w:eastAsia="x-none"/>
              </w:rPr>
              <w:t>asasında</w:t>
            </w:r>
            <w:r w:rsidRPr="00A23740">
              <w:rPr>
                <w:rFonts w:eastAsia="Times New Roman"/>
                <w:szCs w:val="24"/>
                <w:lang w:eastAsia="tr-TR"/>
              </w:rPr>
              <w:t xml:space="preserve"> bulunması şartıyla,</w:t>
            </w:r>
          </w:p>
          <w:p w:rsidR="00A46C6E" w:rsidRDefault="00A46C6E" w:rsidP="009431FF">
            <w:pPr>
              <w:rPr>
                <w:rFonts w:eastAsia="Times New Roman"/>
                <w:szCs w:val="24"/>
                <w:lang w:eastAsia="tr-TR"/>
              </w:rPr>
            </w:pPr>
            <w:r w:rsidRPr="00A23740">
              <w:rPr>
                <w:rFonts w:eastAsia="Times New Roman"/>
                <w:szCs w:val="24"/>
                <w:lang w:eastAsia="tr-TR"/>
              </w:rPr>
              <w:t>yetkilidir.</w:t>
            </w:r>
          </w:p>
          <w:p w:rsidR="000F3FFB" w:rsidRPr="00A23740" w:rsidRDefault="000F3FFB" w:rsidP="009431FF">
            <w:pPr>
              <w:rPr>
                <w:rFonts w:eastAsia="Times New Roman"/>
                <w:b/>
                <w:bCs/>
                <w:szCs w:val="24"/>
              </w:rPr>
            </w:pPr>
          </w:p>
        </w:tc>
        <w:tc>
          <w:tcPr>
            <w:tcW w:w="2500" w:type="pct"/>
            <w:shd w:val="clear" w:color="auto" w:fill="auto"/>
          </w:tcPr>
          <w:p w:rsidR="00A46C6E" w:rsidRPr="00A23740" w:rsidRDefault="00A46C6E" w:rsidP="009431FF">
            <w:pPr>
              <w:rPr>
                <w:rFonts w:eastAsia="Times New Roman"/>
                <w:b/>
                <w:bCs/>
                <w:color w:val="0000FF"/>
                <w:szCs w:val="24"/>
                <w:lang w:eastAsia="tr-TR"/>
              </w:rPr>
            </w:pPr>
            <w:r w:rsidRPr="00A23740">
              <w:rPr>
                <w:rFonts w:eastAsia="Times New Roman"/>
                <w:b/>
                <w:bCs/>
                <w:color w:val="0000FF"/>
                <w:szCs w:val="24"/>
                <w:lang w:eastAsia="tr-TR"/>
              </w:rPr>
              <w:t xml:space="preserve">İhtiyati haciz kararı veren mahkeme </w:t>
            </w:r>
            <w:r w:rsidR="002B2E6D" w:rsidRPr="006C062A">
              <w:rPr>
                <w:rStyle w:val="YeniYeilChar"/>
                <w:rFonts w:eastAsia="Calibri"/>
                <w:color w:val="0000FF"/>
              </w:rPr>
              <w:t>ile bu kararı uygulayan icra</w:t>
            </w:r>
            <w:r w:rsidR="00B73523" w:rsidRPr="006C062A">
              <w:rPr>
                <w:b/>
                <w:color w:val="0000FF"/>
              </w:rPr>
              <w:t xml:space="preserve"> ve iflas</w:t>
            </w:r>
            <w:r w:rsidR="002B2E6D" w:rsidRPr="006C062A">
              <w:rPr>
                <w:rStyle w:val="YeniYeilChar"/>
                <w:rFonts w:eastAsia="Calibri"/>
                <w:color w:val="0000FF"/>
              </w:rPr>
              <w:t xml:space="preserve"> dairesinin</w:t>
            </w:r>
            <w:r w:rsidR="002B2E6D" w:rsidRPr="00A23740">
              <w:rPr>
                <w:rFonts w:eastAsia="Times New Roman"/>
                <w:b/>
                <w:bCs/>
                <w:color w:val="0000FF"/>
                <w:szCs w:val="24"/>
                <w:lang w:eastAsia="tr-TR"/>
              </w:rPr>
              <w:t xml:space="preserve"> </w:t>
            </w:r>
            <w:r w:rsidRPr="00A23740">
              <w:rPr>
                <w:rFonts w:eastAsia="Times New Roman"/>
                <w:b/>
                <w:bCs/>
                <w:color w:val="0000FF"/>
                <w:szCs w:val="24"/>
                <w:lang w:eastAsia="tr-TR"/>
              </w:rPr>
              <w:t xml:space="preserve">yetkisi </w:t>
            </w:r>
          </w:p>
          <w:p w:rsidR="00A46C6E" w:rsidRPr="00A23740" w:rsidRDefault="00993A1A" w:rsidP="009431FF">
            <w:pPr>
              <w:rPr>
                <w:rFonts w:eastAsia="Times New Roman"/>
                <w:b/>
                <w:bCs/>
                <w:color w:val="0000FF"/>
                <w:szCs w:val="24"/>
                <w:lang w:eastAsia="tr-TR"/>
              </w:rPr>
            </w:pPr>
            <w:r w:rsidRPr="00284A3E">
              <w:rPr>
                <w:rFonts w:eastAsia="Times New Roman"/>
                <w:b/>
                <w:bCs/>
                <w:color w:val="000000" w:themeColor="text1"/>
                <w:szCs w:val="24"/>
                <w:lang w:eastAsia="tr-TR"/>
              </w:rPr>
              <w:t xml:space="preserve">MADDE </w:t>
            </w:r>
            <w:r w:rsidRPr="00A23740">
              <w:rPr>
                <w:rFonts w:eastAsia="Times New Roman"/>
                <w:b/>
                <w:bCs/>
                <w:color w:val="0000FF"/>
                <w:szCs w:val="24"/>
                <w:lang w:eastAsia="tr-TR"/>
              </w:rPr>
              <w:t>497</w:t>
            </w:r>
            <w:r w:rsidR="00A46C6E" w:rsidRPr="00A23740">
              <w:rPr>
                <w:rFonts w:eastAsia="Times New Roman"/>
                <w:b/>
                <w:bCs/>
                <w:color w:val="0000FF"/>
                <w:szCs w:val="24"/>
                <w:lang w:eastAsia="tr-TR"/>
              </w:rPr>
              <w:t xml:space="preserve">- </w:t>
            </w:r>
            <w:r w:rsidR="00A46C6E" w:rsidRPr="00284A3E">
              <w:t>(1)</w:t>
            </w:r>
            <w:r w:rsidR="00A46C6E" w:rsidRPr="00A23740">
              <w:rPr>
                <w:rFonts w:eastAsia="Times New Roman"/>
                <w:b/>
                <w:bCs/>
                <w:color w:val="0000FF"/>
                <w:szCs w:val="24"/>
                <w:lang w:eastAsia="tr-TR"/>
              </w:rPr>
              <w:t xml:space="preserve"> Deniz </w:t>
            </w:r>
            <w:r w:rsidR="002B2E6D" w:rsidRPr="006C062A">
              <w:rPr>
                <w:rStyle w:val="YeniYeilChar"/>
                <w:rFonts w:eastAsia="Calibri"/>
                <w:color w:val="0000FF"/>
              </w:rPr>
              <w:t>alacağına</w:t>
            </w:r>
            <w:r w:rsidR="002B2E6D" w:rsidRPr="00A23740">
              <w:rPr>
                <w:rFonts w:eastAsia="Times New Roman"/>
                <w:b/>
                <w:bCs/>
                <w:color w:val="0000FF"/>
                <w:szCs w:val="24"/>
                <w:lang w:eastAsia="tr-TR"/>
              </w:rPr>
              <w:t xml:space="preserve"> </w:t>
            </w:r>
            <w:r w:rsidR="00A46C6E" w:rsidRPr="00A23740">
              <w:rPr>
                <w:rFonts w:eastAsia="Times New Roman"/>
                <w:b/>
                <w:bCs/>
                <w:color w:val="0000FF"/>
                <w:szCs w:val="24"/>
                <w:lang w:eastAsia="tr-TR"/>
              </w:rPr>
              <w:t>ilişkin yetki veya tahkim sözleşmesi yoksa</w:t>
            </w:r>
            <w:r w:rsidR="00A46C6E" w:rsidRPr="00A23740">
              <w:rPr>
                <w:rFonts w:eastAsia="Times New Roman"/>
                <w:szCs w:val="24"/>
                <w:lang w:eastAsia="tr-TR"/>
              </w:rPr>
              <w:t>, ihtiyati haczi tamamlamak üzere</w:t>
            </w:r>
            <w:r w:rsidR="00A46C6E" w:rsidRPr="00A23740">
              <w:rPr>
                <w:rFonts w:eastAsia="Times New Roman"/>
                <w:b/>
                <w:bCs/>
                <w:color w:val="0000FF"/>
                <w:szCs w:val="24"/>
                <w:lang w:eastAsia="tr-TR"/>
              </w:rPr>
              <w:t xml:space="preserve"> ihtiyati haciz kararı veren mahkemede de</w:t>
            </w:r>
            <w:r w:rsidR="00A46C6E" w:rsidRPr="00A23740">
              <w:rPr>
                <w:rFonts w:eastAsia="Times New Roman"/>
                <w:szCs w:val="24"/>
                <w:lang w:eastAsia="tr-TR"/>
              </w:rPr>
              <w:t xml:space="preserve"> dava </w:t>
            </w:r>
            <w:r w:rsidR="00A46C6E" w:rsidRPr="00A23740">
              <w:rPr>
                <w:rFonts w:eastAsia="Times New Roman"/>
                <w:b/>
                <w:bCs/>
                <w:color w:val="0000FF"/>
                <w:szCs w:val="24"/>
                <w:lang w:eastAsia="tr-TR"/>
              </w:rPr>
              <w:t>açılabilir. İhtiyati haczi tamamlamak üzere yapılacak</w:t>
            </w:r>
            <w:r w:rsidR="00A46C6E" w:rsidRPr="00A23740">
              <w:rPr>
                <w:rFonts w:eastAsia="Times New Roman"/>
                <w:szCs w:val="24"/>
                <w:lang w:eastAsia="tr-TR"/>
              </w:rPr>
              <w:t xml:space="preserve"> icra takibi</w:t>
            </w:r>
            <w:r w:rsidR="00A46C6E" w:rsidRPr="00A23740">
              <w:rPr>
                <w:rFonts w:eastAsia="Times New Roman"/>
                <w:b/>
                <w:bCs/>
                <w:color w:val="0000FF"/>
                <w:szCs w:val="24"/>
                <w:lang w:eastAsia="tr-TR"/>
              </w:rPr>
              <w:t>nde,</w:t>
            </w:r>
            <w:r w:rsidR="00A46C6E" w:rsidRPr="00A23740">
              <w:rPr>
                <w:rFonts w:eastAsia="Times New Roman"/>
                <w:szCs w:val="24"/>
                <w:lang w:eastAsia="tr-TR"/>
              </w:rPr>
              <w:t xml:space="preserve"> ihtiyati haczi uygulayan icra</w:t>
            </w:r>
            <w:r w:rsidR="00B73523" w:rsidRPr="00A23740">
              <w:rPr>
                <w:b/>
                <w:color w:val="538135"/>
              </w:rPr>
              <w:t xml:space="preserve"> </w:t>
            </w:r>
            <w:r w:rsidR="00B73523" w:rsidRPr="006C062A">
              <w:rPr>
                <w:b/>
                <w:color w:val="0000FF"/>
              </w:rPr>
              <w:t>ve iflas</w:t>
            </w:r>
            <w:r w:rsidR="00A46C6E" w:rsidRPr="00A23740">
              <w:rPr>
                <w:rFonts w:eastAsia="Times New Roman"/>
                <w:szCs w:val="24"/>
                <w:lang w:eastAsia="tr-TR"/>
              </w:rPr>
              <w:t xml:space="preserve"> dairesi de yetkilidir.</w:t>
            </w:r>
          </w:p>
          <w:p w:rsidR="002B2E6D" w:rsidRPr="00A23740" w:rsidRDefault="002B2E6D" w:rsidP="009431FF">
            <w:pPr>
              <w:rPr>
                <w:rFonts w:eastAsia="Times New Roman"/>
                <w:szCs w:val="24"/>
                <w:lang w:eastAsia="x-none"/>
              </w:rPr>
            </w:pPr>
          </w:p>
          <w:p w:rsidR="005468D1" w:rsidRDefault="005468D1" w:rsidP="009431FF">
            <w:pPr>
              <w:rPr>
                <w:rFonts w:eastAsia="Times New Roman"/>
                <w:b/>
                <w:bCs/>
                <w:color w:val="0000FF"/>
                <w:szCs w:val="24"/>
                <w:lang w:eastAsia="x-none"/>
              </w:rPr>
            </w:pPr>
          </w:p>
          <w:p w:rsidR="007F636D" w:rsidRPr="00A23740" w:rsidRDefault="007F636D" w:rsidP="009431FF">
            <w:pPr>
              <w:rPr>
                <w:rFonts w:eastAsia="Times New Roman"/>
                <w:b/>
                <w:bCs/>
                <w:color w:val="0000FF"/>
                <w:szCs w:val="24"/>
                <w:lang w:eastAsia="x-none"/>
              </w:rPr>
            </w:pPr>
          </w:p>
          <w:p w:rsidR="00A46C6E" w:rsidRPr="00A23740" w:rsidRDefault="00A46C6E" w:rsidP="009431FF">
            <w:pPr>
              <w:rPr>
                <w:rFonts w:eastAsia="Times New Roman"/>
                <w:szCs w:val="24"/>
                <w:lang w:eastAsia="tr-TR"/>
              </w:rPr>
            </w:pPr>
            <w:r w:rsidRPr="00A23740">
              <w:rPr>
                <w:rFonts w:eastAsia="Times New Roman"/>
                <w:b/>
                <w:bCs/>
                <w:color w:val="0000FF"/>
                <w:szCs w:val="24"/>
                <w:lang w:eastAsia="x-none"/>
              </w:rPr>
              <w:t>(2)</w:t>
            </w:r>
            <w:r w:rsidRPr="00A23740">
              <w:rPr>
                <w:rFonts w:eastAsia="Times New Roman"/>
                <w:color w:val="0000FF"/>
                <w:szCs w:val="24"/>
                <w:lang w:eastAsia="x-none"/>
              </w:rPr>
              <w:t xml:space="preserve"> </w:t>
            </w:r>
            <w:r w:rsidRPr="00A23740">
              <w:rPr>
                <w:rFonts w:eastAsia="Times New Roman"/>
                <w:szCs w:val="24"/>
                <w:lang w:eastAsia="tr-TR"/>
              </w:rPr>
              <w:t>Deniz alacağının esası hakkında verilmiş bir yabancı mahkeme veya yabancı hakem kararının tenfizinde</w:t>
            </w:r>
            <w:r w:rsidRPr="00A23740">
              <w:rPr>
                <w:rFonts w:eastAsia="Times New Roman"/>
                <w:b/>
                <w:bCs/>
                <w:color w:val="0000FF"/>
                <w:szCs w:val="24"/>
                <w:lang w:eastAsia="x-none"/>
              </w:rPr>
              <w:t>, karar konusu deniz alacağı için ihtiyati haciz kararı vermiş olan Türk mahkemes</w:t>
            </w:r>
            <w:r w:rsidR="00335C53" w:rsidRPr="00A23740">
              <w:rPr>
                <w:rFonts w:eastAsia="Times New Roman"/>
                <w:b/>
                <w:bCs/>
                <w:color w:val="0000FF"/>
                <w:szCs w:val="24"/>
                <w:lang w:eastAsia="x-none"/>
              </w:rPr>
              <w:t>i de</w:t>
            </w:r>
            <w:r w:rsidRPr="00A23740">
              <w:rPr>
                <w:rFonts w:eastAsia="Times New Roman"/>
                <w:b/>
                <w:bCs/>
                <w:color w:val="0000FF"/>
                <w:szCs w:val="24"/>
                <w:lang w:eastAsia="x-none"/>
              </w:rPr>
              <w:t xml:space="preserve"> </w:t>
            </w:r>
            <w:r w:rsidR="00A92634" w:rsidRPr="006C062A">
              <w:rPr>
                <w:rStyle w:val="YeniYeilChar"/>
                <w:rFonts w:eastAsia="Calibri"/>
                <w:color w:val="0000FF"/>
              </w:rPr>
              <w:t>tenfizin</w:t>
            </w:r>
            <w:r w:rsidR="00A92634" w:rsidRPr="00A23740">
              <w:rPr>
                <w:rStyle w:val="YeniYeilChar"/>
                <w:rFonts w:eastAsia="Calibri"/>
              </w:rPr>
              <w:t xml:space="preserve"> </w:t>
            </w:r>
            <w:r w:rsidR="00A92634" w:rsidRPr="006C062A">
              <w:rPr>
                <w:rStyle w:val="YeniYeilChar"/>
                <w:rFonts w:eastAsia="Calibri"/>
                <w:color w:val="0000FF"/>
              </w:rPr>
              <w:t>talep edildiği tarihte</w:t>
            </w:r>
            <w:r w:rsidR="00A92634" w:rsidRPr="00A23740">
              <w:rPr>
                <w:rFonts w:eastAsia="Times New Roman"/>
                <w:szCs w:val="24"/>
                <w:lang w:eastAsia="tr-TR"/>
              </w:rPr>
              <w:t xml:space="preserve"> </w:t>
            </w:r>
            <w:r w:rsidRPr="00A23740">
              <w:rPr>
                <w:rFonts w:eastAsia="Times New Roman"/>
                <w:szCs w:val="24"/>
                <w:lang w:eastAsia="tr-TR"/>
              </w:rPr>
              <w:t>geminin serbest bırakılması</w:t>
            </w:r>
            <w:r w:rsidRPr="00A23740">
              <w:rPr>
                <w:rFonts w:eastAsia="Times New Roman"/>
                <w:b/>
                <w:bCs/>
                <w:color w:val="0000FF"/>
                <w:szCs w:val="24"/>
                <w:lang w:eastAsia="x-none"/>
              </w:rPr>
              <w:t xml:space="preserve"> </w:t>
            </w:r>
            <w:r w:rsidRPr="00284A3E">
              <w:t>için</w:t>
            </w:r>
            <w:r w:rsidRPr="00A23740">
              <w:rPr>
                <w:rFonts w:eastAsia="Times New Roman"/>
                <w:b/>
                <w:bCs/>
                <w:color w:val="0000FF"/>
                <w:szCs w:val="24"/>
                <w:lang w:eastAsia="x-none"/>
              </w:rPr>
              <w:t xml:space="preserve"> </w:t>
            </w:r>
            <w:r w:rsidRPr="00A23740">
              <w:rPr>
                <w:rFonts w:eastAsia="Times New Roman"/>
                <w:szCs w:val="24"/>
                <w:lang w:eastAsia="tr-TR"/>
              </w:rPr>
              <w:t>yatırılmış teminatın</w:t>
            </w:r>
            <w:r w:rsidRPr="000F3FFB">
              <w:t>,</w:t>
            </w:r>
            <w:r w:rsidRPr="00A23740">
              <w:rPr>
                <w:rFonts w:eastAsia="Times New Roman"/>
                <w:szCs w:val="24"/>
                <w:lang w:eastAsia="tr-TR"/>
              </w:rPr>
              <w:t xml:space="preserve"> </w:t>
            </w:r>
            <w:r w:rsidRPr="000F3FFB">
              <w:rPr>
                <w:rStyle w:val="Balk1Char"/>
                <w:rFonts w:eastAsia="Calibri"/>
              </w:rPr>
              <w:t>bu</w:t>
            </w:r>
            <w:r w:rsidRPr="00A23740">
              <w:rPr>
                <w:rFonts w:eastAsia="Times New Roman"/>
                <w:szCs w:val="24"/>
                <w:lang w:eastAsia="tr-TR"/>
              </w:rPr>
              <w:t xml:space="preserve"> </w:t>
            </w:r>
            <w:r w:rsidRPr="000F3FFB">
              <w:rPr>
                <w:rStyle w:val="Balk1Char"/>
                <w:rFonts w:eastAsia="Calibri"/>
              </w:rPr>
              <w:t>mahkemenin</w:t>
            </w:r>
            <w:r w:rsidRPr="00A23740">
              <w:rPr>
                <w:rFonts w:eastAsia="Times New Roman"/>
                <w:b/>
                <w:bCs/>
                <w:color w:val="0000FF"/>
                <w:szCs w:val="24"/>
                <w:lang w:eastAsia="x-none"/>
              </w:rPr>
              <w:t xml:space="preserve"> nezdinde </w:t>
            </w:r>
            <w:r w:rsidRPr="00A23740">
              <w:rPr>
                <w:rFonts w:eastAsia="Times New Roman"/>
                <w:szCs w:val="24"/>
                <w:lang w:eastAsia="tr-TR"/>
              </w:rPr>
              <w:t>bulunması</w:t>
            </w:r>
            <w:r w:rsidRPr="00A23740">
              <w:rPr>
                <w:rFonts w:eastAsia="Times New Roman"/>
                <w:b/>
                <w:bCs/>
                <w:color w:val="0000FF"/>
                <w:szCs w:val="24"/>
                <w:lang w:eastAsia="x-none"/>
              </w:rPr>
              <w:t xml:space="preserve"> veya geminin bu mahkemenin yargı çevresinde olması </w:t>
            </w:r>
            <w:r w:rsidRPr="00A23740">
              <w:rPr>
                <w:rFonts w:eastAsia="Times New Roman"/>
                <w:szCs w:val="24"/>
                <w:lang w:eastAsia="tr-TR"/>
              </w:rPr>
              <w:t>şartıyla yetkilidir.</w:t>
            </w:r>
          </w:p>
          <w:p w:rsidR="00A46C6E" w:rsidRPr="00A23740" w:rsidRDefault="00A46C6E" w:rsidP="009431FF">
            <w:pPr>
              <w:rPr>
                <w:rFonts w:eastAsia="Times New Roman"/>
                <w:b/>
                <w:bCs/>
                <w:szCs w:val="24"/>
              </w:rPr>
            </w:pPr>
          </w:p>
          <w:p w:rsidR="00A46C6E" w:rsidRPr="00A23740" w:rsidRDefault="00A46C6E" w:rsidP="009431FF">
            <w:pPr>
              <w:rPr>
                <w:rFonts w:eastAsia="Times New Roman"/>
                <w:bCs/>
                <w:szCs w:val="24"/>
              </w:rPr>
            </w:pP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78" w:name="_Hlk134295118"/>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497</w:t>
            </w:r>
            <w:r w:rsidR="00A46C6E" w:rsidRPr="00A23740">
              <w:rPr>
                <w:rFonts w:eastAsia="Times New Roman"/>
                <w:b/>
                <w:bCs/>
                <w:szCs w:val="24"/>
                <w:lang w:eastAsia="tr-TR"/>
              </w:rPr>
              <w:t xml:space="preserve">- </w:t>
            </w:r>
            <w:bookmarkStart w:id="79" w:name="_Hlk172877109"/>
            <w:r w:rsidR="00A46C6E" w:rsidRPr="00A23740">
              <w:rPr>
                <w:bCs/>
                <w:szCs w:val="24"/>
                <w:lang w:eastAsia="x-none"/>
              </w:rPr>
              <w:t xml:space="preserve">Maddeyle, </w:t>
            </w:r>
            <w:r w:rsidR="00A46C6E" w:rsidRPr="00A23740">
              <w:rPr>
                <w:rFonts w:eastAsia="Times New Roman"/>
                <w:szCs w:val="24"/>
              </w:rPr>
              <w:t xml:space="preserve">ihtiyati haciz kararı veren </w:t>
            </w:r>
            <w:r w:rsidR="00E1498D" w:rsidRPr="006C062A">
              <w:rPr>
                <w:rFonts w:eastAsia="Times New Roman"/>
                <w:szCs w:val="24"/>
              </w:rPr>
              <w:t>mahkeme ile bu kararı uygulayan icra ve iflas dairesinin</w:t>
            </w:r>
            <w:r w:rsidR="00E1498D" w:rsidRPr="00A23740">
              <w:rPr>
                <w:rFonts w:eastAsia="Times New Roman"/>
                <w:color w:val="385623"/>
                <w:szCs w:val="24"/>
              </w:rPr>
              <w:t xml:space="preserve"> </w:t>
            </w:r>
            <w:r w:rsidR="00A46C6E" w:rsidRPr="00A23740">
              <w:rPr>
                <w:rFonts w:eastAsia="Times New Roman"/>
                <w:szCs w:val="24"/>
              </w:rPr>
              <w:t>yetkisine ilişkin hususlar düzenlenmektedir.</w:t>
            </w:r>
            <w:bookmarkEnd w:id="79"/>
          </w:p>
          <w:bookmarkEnd w:id="78"/>
          <w:p w:rsidR="00A46C6E" w:rsidRPr="00A23740" w:rsidRDefault="00A46C6E" w:rsidP="009431FF">
            <w:pPr>
              <w:ind w:firstLine="709"/>
              <w:rPr>
                <w:rFonts w:eastAsia="Times New Roman"/>
                <w:szCs w:val="24"/>
              </w:rPr>
            </w:pPr>
            <w:r w:rsidRPr="00A23740">
              <w:rPr>
                <w:rFonts w:eastAsia="Times New Roman"/>
                <w:bCs/>
                <w:szCs w:val="24"/>
              </w:rPr>
              <w:t>6102 sayılı Kanunun</w:t>
            </w:r>
            <w:r w:rsidRPr="00A23740">
              <w:rPr>
                <w:rFonts w:eastAsia="Times New Roman"/>
                <w:szCs w:val="24"/>
              </w:rPr>
              <w:t xml:space="preserve"> 1359 uncu maddesinin gerekçesinde maddenin 1999 </w:t>
            </w:r>
            <w:r w:rsidR="005D3274" w:rsidRPr="006C062A">
              <w:rPr>
                <w:rFonts w:eastAsia="Times New Roman"/>
                <w:szCs w:val="24"/>
              </w:rPr>
              <w:t>tarihli Milletlerarası Sözleşmenin</w:t>
            </w:r>
            <w:r w:rsidR="005D3274" w:rsidRPr="00A23740">
              <w:rPr>
                <w:rFonts w:eastAsia="Times New Roman"/>
                <w:szCs w:val="24"/>
              </w:rPr>
              <w:t xml:space="preserve"> </w:t>
            </w:r>
            <w:r w:rsidRPr="00A23740">
              <w:rPr>
                <w:rFonts w:eastAsia="Times New Roman"/>
                <w:szCs w:val="24"/>
              </w:rPr>
              <w:t>7 nci maddesinin birinci fıkrasından alındığı ve icra takibine ilişkin ekleme yapıldığı ifade edilmiştir. Ancak 1354 üncü maddede birden fazla mahkemenin ihtiyati haciz kararı vermeye yetkili olduğu belirtildiğinden, 1359 uncu maddede yer alan “</w:t>
            </w:r>
            <w:r w:rsidRPr="00A23740">
              <w:rPr>
                <w:rFonts w:eastAsia="Times New Roman"/>
                <w:i/>
                <w:iCs/>
                <w:szCs w:val="24"/>
              </w:rPr>
              <w:t>1354 ve 1355 inci maddeler uyarınca deniz alacakları hakkında ihtiyati haciz kararı vermeye yetkili olan mahkeme</w:t>
            </w:r>
            <w:r w:rsidRPr="00A23740">
              <w:rPr>
                <w:rFonts w:eastAsia="Times New Roman"/>
                <w:szCs w:val="24"/>
              </w:rPr>
              <w:t xml:space="preserve"> …” ibaresi, ihtiyati haciz kararı veren mahkeme dışında ihtiyati haciz kararı vermeye yetkili diğer bir mahkemenin de (yetki veya tahkim anlaşması yoksa) ihtiyati haczi tamamlamak üzere esas hakkında açılacak davada yetkili olduğu şeklinde anlaşılmaya elverişli görülmüştür. Öte yandan 1999 </w:t>
            </w:r>
            <w:r w:rsidR="005D3274" w:rsidRPr="006C062A">
              <w:rPr>
                <w:rFonts w:eastAsia="Times New Roman"/>
                <w:szCs w:val="24"/>
              </w:rPr>
              <w:t>tarihli Milletlerarası Sözleşmenin</w:t>
            </w:r>
            <w:r w:rsidR="005D3274" w:rsidRPr="00A23740">
              <w:rPr>
                <w:rFonts w:eastAsia="Times New Roman"/>
                <w:szCs w:val="24"/>
              </w:rPr>
              <w:t xml:space="preserve"> </w:t>
            </w:r>
            <w:r w:rsidRPr="00A23740">
              <w:rPr>
                <w:rFonts w:eastAsia="Times New Roman"/>
                <w:szCs w:val="24"/>
              </w:rPr>
              <w:t xml:space="preserve">7 nci maddesinin birinci fıkrasına göre taraflarca uyuşmazlığın çözümünde başka bir devletin mahkemesinin yetkili olduğu veya uyuşmazlığın tahkim yoluyla çözümleneceği hususunda anlaşma yapılmış olmadıkça, ihtiyati haczin uygulandığı veya geminin serbest bırakılması için teminatın verildiği mahkeme, davanın esası hakkında da karar vermeye yetkilidir. Bu nedenle Taslağın ihtiyati haciz kararı vermeye yetkili mahkemeleri belirleyen maddelerine atıfta bulunulmadan </w:t>
            </w:r>
            <w:r w:rsidRPr="00A23740">
              <w:rPr>
                <w:rFonts w:eastAsia="Times New Roman"/>
                <w:bCs/>
                <w:szCs w:val="24"/>
              </w:rPr>
              <w:t>6102 sayılı Kanunun</w:t>
            </w:r>
            <w:r w:rsidRPr="00A23740">
              <w:rPr>
                <w:rFonts w:eastAsia="Times New Roman"/>
                <w:szCs w:val="24"/>
              </w:rPr>
              <w:t xml:space="preserve"> 1359 uncu maddesinin birinci fıkrasında yer alan “</w:t>
            </w:r>
            <w:r w:rsidRPr="00A23740">
              <w:rPr>
                <w:rFonts w:eastAsia="Times New Roman"/>
                <w:i/>
                <w:iCs/>
                <w:szCs w:val="24"/>
              </w:rPr>
              <w:t>1354 ve 1355 inci maddeler uyarınca deniz alacakları hakkında ihtiyati haciz kararı vermeye yetkili olan mahkeme</w:t>
            </w:r>
            <w:r w:rsidRPr="00A23740">
              <w:rPr>
                <w:rFonts w:eastAsia="Times New Roman"/>
                <w:szCs w:val="24"/>
              </w:rPr>
              <w:t>” yerine “</w:t>
            </w:r>
            <w:r w:rsidRPr="00A23740">
              <w:rPr>
                <w:rFonts w:eastAsia="Times New Roman"/>
                <w:i/>
                <w:iCs/>
                <w:szCs w:val="24"/>
              </w:rPr>
              <w:t>deniz alacağı hakkında ihtiyati haciz kararı veren mahkeme</w:t>
            </w:r>
            <w:r w:rsidRPr="00A23740">
              <w:rPr>
                <w:rFonts w:eastAsia="Times New Roman"/>
                <w:szCs w:val="24"/>
              </w:rPr>
              <w:t xml:space="preserve">” ibaresi kullanılmıştır. Böylece </w:t>
            </w:r>
            <w:r w:rsidR="005D3274" w:rsidRPr="006C062A">
              <w:rPr>
                <w:rFonts w:eastAsia="Times New Roman"/>
                <w:szCs w:val="24"/>
              </w:rPr>
              <w:t>494</w:t>
            </w:r>
            <w:r w:rsidR="005D3274" w:rsidRPr="006C062A">
              <w:rPr>
                <w:rFonts w:eastAsia="Times New Roman"/>
                <w:b/>
                <w:bCs/>
                <w:szCs w:val="24"/>
              </w:rPr>
              <w:t xml:space="preserve"> </w:t>
            </w:r>
            <w:r w:rsidR="005D3274" w:rsidRPr="006C062A">
              <w:rPr>
                <w:rFonts w:eastAsia="Times New Roman"/>
                <w:szCs w:val="24"/>
              </w:rPr>
              <w:t>üncü</w:t>
            </w:r>
            <w:r w:rsidR="005D3274" w:rsidRPr="00A23740">
              <w:rPr>
                <w:rFonts w:eastAsia="Times New Roman"/>
                <w:szCs w:val="24"/>
              </w:rPr>
              <w:t xml:space="preserve"> </w:t>
            </w:r>
            <w:r w:rsidRPr="00A23740">
              <w:rPr>
                <w:rFonts w:eastAsia="Times New Roman"/>
                <w:szCs w:val="24"/>
              </w:rPr>
              <w:t>maddede belirtilen mahkemelerden hangisi ihtiyati haciz kararı vermişse o mahkemede de ihtiyati haczi tamamlamak üzere dava açılabileceği açıklığa kavuşturulmuştur. İhtiyati haciz kararının uygulanması</w:t>
            </w:r>
            <w:r w:rsidR="00F224AA" w:rsidRPr="00A23740">
              <w:rPr>
                <w:rFonts w:eastAsia="Times New Roman"/>
                <w:szCs w:val="24"/>
              </w:rPr>
              <w:t xml:space="preserve"> için</w:t>
            </w:r>
            <w:r w:rsidRPr="00A23740">
              <w:rPr>
                <w:rFonts w:eastAsia="Times New Roman"/>
                <w:szCs w:val="24"/>
              </w:rPr>
              <w:t xml:space="preserve"> geminin fiilen bulunduğu yer icra</w:t>
            </w:r>
            <w:r w:rsidR="00B73523" w:rsidRPr="006C062A">
              <w:rPr>
                <w:rFonts w:eastAsia="Times New Roman"/>
                <w:szCs w:val="24"/>
              </w:rPr>
              <w:t xml:space="preserve"> ve iflas</w:t>
            </w:r>
            <w:r w:rsidRPr="00A23740">
              <w:rPr>
                <w:rFonts w:eastAsia="Times New Roman"/>
                <w:szCs w:val="24"/>
              </w:rPr>
              <w:t xml:space="preserve"> dairesi istinabe edilmişse, ihtiyati haczi tamamlamak üzere yapılacak icra takibinde yetkili icra </w:t>
            </w:r>
            <w:r w:rsidR="00B73523" w:rsidRPr="006C062A">
              <w:rPr>
                <w:rFonts w:eastAsia="Times New Roman"/>
                <w:szCs w:val="24"/>
              </w:rPr>
              <w:t>ve</w:t>
            </w:r>
            <w:r w:rsidR="00B73523" w:rsidRPr="00A23740">
              <w:rPr>
                <w:b/>
                <w:color w:val="538135"/>
              </w:rPr>
              <w:t xml:space="preserve"> </w:t>
            </w:r>
            <w:r w:rsidR="00B73523" w:rsidRPr="006C062A">
              <w:rPr>
                <w:rFonts w:eastAsia="Times New Roman"/>
                <w:szCs w:val="24"/>
              </w:rPr>
              <w:t>iflas</w:t>
            </w:r>
            <w:r w:rsidR="00B73523" w:rsidRPr="00A23740">
              <w:rPr>
                <w:b/>
                <w:bCs/>
                <w:color w:val="0000FF"/>
                <w:szCs w:val="24"/>
                <w:lang w:val="x-none" w:eastAsia="x-none"/>
              </w:rPr>
              <w:t xml:space="preserve"> </w:t>
            </w:r>
            <w:r w:rsidRPr="00A23740">
              <w:rPr>
                <w:rFonts w:eastAsia="Times New Roman"/>
                <w:szCs w:val="24"/>
              </w:rPr>
              <w:t xml:space="preserve">dairesinin tespitinde, “istinabe eden icra </w:t>
            </w:r>
            <w:r w:rsidR="00B73523" w:rsidRPr="006C062A">
              <w:rPr>
                <w:rFonts w:eastAsia="Times New Roman"/>
                <w:szCs w:val="24"/>
              </w:rPr>
              <w:t>ve</w:t>
            </w:r>
            <w:r w:rsidR="00B73523" w:rsidRPr="00A23740">
              <w:rPr>
                <w:b/>
                <w:color w:val="538135"/>
              </w:rPr>
              <w:t xml:space="preserve"> </w:t>
            </w:r>
            <w:r w:rsidR="00B73523" w:rsidRPr="006C062A">
              <w:rPr>
                <w:rFonts w:eastAsia="Times New Roman"/>
                <w:szCs w:val="24"/>
              </w:rPr>
              <w:t>iflas</w:t>
            </w:r>
            <w:r w:rsidR="00B73523" w:rsidRPr="00A23740">
              <w:rPr>
                <w:b/>
                <w:bCs/>
                <w:color w:val="0000FF"/>
                <w:szCs w:val="24"/>
                <w:lang w:val="x-none" w:eastAsia="x-none"/>
              </w:rPr>
              <w:t xml:space="preserve"> </w:t>
            </w:r>
            <w:r w:rsidRPr="00A23740">
              <w:rPr>
                <w:rFonts w:eastAsia="Times New Roman"/>
                <w:szCs w:val="24"/>
              </w:rPr>
              <w:t>dairesi” Taslağın</w:t>
            </w:r>
            <w:r w:rsidR="00960956" w:rsidRPr="00A23740">
              <w:rPr>
                <w:rFonts w:eastAsia="Times New Roman"/>
                <w:szCs w:val="24"/>
              </w:rPr>
              <w:t xml:space="preserve"> </w:t>
            </w:r>
            <w:r w:rsidR="00960956" w:rsidRPr="006C062A">
              <w:rPr>
                <w:rFonts w:eastAsia="Times New Roman"/>
                <w:szCs w:val="24"/>
              </w:rPr>
              <w:t>497</w:t>
            </w:r>
            <w:r w:rsidR="00960956" w:rsidRPr="006C062A">
              <w:rPr>
                <w:rFonts w:eastAsia="Times New Roman"/>
                <w:b/>
                <w:bCs/>
                <w:szCs w:val="24"/>
              </w:rPr>
              <w:t xml:space="preserve"> </w:t>
            </w:r>
            <w:r w:rsidR="00960956" w:rsidRPr="006C062A">
              <w:rPr>
                <w:rFonts w:eastAsia="Times New Roman"/>
                <w:szCs w:val="24"/>
              </w:rPr>
              <w:t>nci</w:t>
            </w:r>
            <w:r w:rsidRPr="00A23740">
              <w:rPr>
                <w:rFonts w:eastAsia="Times New Roman"/>
                <w:szCs w:val="24"/>
              </w:rPr>
              <w:t xml:space="preserve"> maddesinin birinci fıkrası uyarınca “ihtiyati haczi uygulayan icra</w:t>
            </w:r>
            <w:r w:rsidR="00B73523" w:rsidRPr="00A23740">
              <w:rPr>
                <w:b/>
                <w:color w:val="538135"/>
              </w:rPr>
              <w:t xml:space="preserve"> </w:t>
            </w:r>
            <w:r w:rsidR="00B73523" w:rsidRPr="006C062A">
              <w:rPr>
                <w:rFonts w:eastAsia="Times New Roman"/>
                <w:szCs w:val="24"/>
              </w:rPr>
              <w:t>ve</w:t>
            </w:r>
            <w:r w:rsidR="00B73523" w:rsidRPr="00A23740">
              <w:rPr>
                <w:b/>
                <w:color w:val="538135"/>
              </w:rPr>
              <w:t xml:space="preserve"> </w:t>
            </w:r>
            <w:r w:rsidR="00B73523" w:rsidRPr="006C062A">
              <w:rPr>
                <w:rFonts w:eastAsia="Times New Roman"/>
                <w:szCs w:val="24"/>
              </w:rPr>
              <w:t>iflas</w:t>
            </w:r>
            <w:r w:rsidRPr="00A23740">
              <w:rPr>
                <w:rFonts w:eastAsia="Times New Roman"/>
                <w:szCs w:val="24"/>
              </w:rPr>
              <w:t xml:space="preserve"> dairesi” olarak kabul edilir.</w:t>
            </w:r>
          </w:p>
          <w:p w:rsidR="00A46C6E" w:rsidRPr="00A23740" w:rsidRDefault="00A46C6E" w:rsidP="009431FF">
            <w:pPr>
              <w:ind w:firstLine="709"/>
              <w:rPr>
                <w:rFonts w:eastAsia="Times New Roman"/>
                <w:bCs/>
                <w:szCs w:val="24"/>
              </w:rPr>
            </w:pPr>
            <w:r w:rsidRPr="00A23740">
              <w:rPr>
                <w:rFonts w:eastAsia="Times New Roman"/>
                <w:bCs/>
                <w:szCs w:val="24"/>
              </w:rPr>
              <w:t>5718 sayılı</w:t>
            </w:r>
            <w:r w:rsidR="008D0C3C" w:rsidRPr="00A23740">
              <w:rPr>
                <w:rFonts w:eastAsia="Times New Roman"/>
                <w:bCs/>
                <w:szCs w:val="24"/>
              </w:rPr>
              <w:t xml:space="preserve"> </w:t>
            </w:r>
            <w:r w:rsidR="008D0C3C" w:rsidRPr="006C062A">
              <w:rPr>
                <w:rFonts w:eastAsia="Times New Roman"/>
                <w:szCs w:val="24"/>
              </w:rPr>
              <w:t>Kanunun</w:t>
            </w:r>
            <w:r w:rsidRPr="00A23740">
              <w:rPr>
                <w:rFonts w:eastAsia="Times New Roman"/>
                <w:bCs/>
                <w:szCs w:val="24"/>
              </w:rPr>
              <w:t xml:space="preserve"> “</w:t>
            </w:r>
            <w:r w:rsidRPr="00A23740">
              <w:rPr>
                <w:rFonts w:eastAsia="Times New Roman"/>
                <w:szCs w:val="24"/>
              </w:rPr>
              <w:t xml:space="preserve">Yabancı Mahkeme ve Hakem Kararlarının Tenfizi ve Tanınması” başlıklı </w:t>
            </w:r>
            <w:r w:rsidR="00882845" w:rsidRPr="00A23740">
              <w:rPr>
                <w:rFonts w:eastAsia="Times New Roman"/>
                <w:szCs w:val="24"/>
              </w:rPr>
              <w:t xml:space="preserve">İkinci Bölümünde </w:t>
            </w:r>
            <w:r w:rsidRPr="00A23740">
              <w:rPr>
                <w:rFonts w:eastAsia="Times New Roman"/>
                <w:szCs w:val="24"/>
              </w:rPr>
              <w:t>tenfiz ve tanıma şartları düzenlenmiş olup, yabancı mahkeme ve hakem kararlarının tenfizi ve tanınması bu hükümlere t</w:t>
            </w:r>
            <w:r w:rsidR="00D81869" w:rsidRPr="00A23740">
              <w:rPr>
                <w:rFonts w:eastAsia="Times New Roman"/>
                <w:szCs w:val="24"/>
              </w:rPr>
              <w:t>a</w:t>
            </w:r>
            <w:r w:rsidRPr="00A23740">
              <w:rPr>
                <w:rFonts w:eastAsia="Times New Roman"/>
                <w:szCs w:val="24"/>
              </w:rPr>
              <w:t xml:space="preserve">bidir. </w:t>
            </w:r>
            <w:r w:rsidRPr="00A23740">
              <w:rPr>
                <w:rFonts w:eastAsia="Times New Roman"/>
                <w:bCs/>
                <w:szCs w:val="24"/>
              </w:rPr>
              <w:t xml:space="preserve">Maddenin ikinci fıkrasında deniz alacağının esası hakkındaki yabancı mahkeme veya yabancı hakem kararının tenfizinde, </w:t>
            </w:r>
            <w:r w:rsidR="00960956" w:rsidRPr="006C062A">
              <w:rPr>
                <w:rFonts w:eastAsia="Times New Roman"/>
                <w:szCs w:val="24"/>
              </w:rPr>
              <w:t>5718</w:t>
            </w:r>
            <w:r w:rsidR="00960956" w:rsidRPr="006C062A">
              <w:rPr>
                <w:rFonts w:eastAsia="Times New Roman"/>
                <w:b/>
                <w:bCs/>
                <w:szCs w:val="24"/>
              </w:rPr>
              <w:t xml:space="preserve"> </w:t>
            </w:r>
            <w:r w:rsidR="00960956" w:rsidRPr="006C062A">
              <w:rPr>
                <w:rFonts w:eastAsia="Times New Roman"/>
                <w:szCs w:val="24"/>
              </w:rPr>
              <w:t>sayılı</w:t>
            </w:r>
            <w:r w:rsidR="00960956" w:rsidRPr="006C062A">
              <w:rPr>
                <w:rFonts w:eastAsia="Times New Roman"/>
                <w:b/>
                <w:bCs/>
                <w:szCs w:val="24"/>
              </w:rPr>
              <w:t xml:space="preserve"> </w:t>
            </w:r>
            <w:r w:rsidR="00960956" w:rsidRPr="006C062A">
              <w:rPr>
                <w:rFonts w:eastAsia="Times New Roman"/>
                <w:szCs w:val="24"/>
              </w:rPr>
              <w:t>Kanunun</w:t>
            </w:r>
            <w:r w:rsidR="00960956" w:rsidRPr="00A23740">
              <w:rPr>
                <w:rFonts w:eastAsia="Times New Roman"/>
                <w:bCs/>
                <w:szCs w:val="24"/>
              </w:rPr>
              <w:t xml:space="preserve"> </w:t>
            </w:r>
            <w:r w:rsidRPr="00A23740">
              <w:rPr>
                <w:rFonts w:eastAsia="Times New Roman"/>
                <w:bCs/>
                <w:szCs w:val="24"/>
              </w:rPr>
              <w:t>51</w:t>
            </w:r>
            <w:r w:rsidR="00960956" w:rsidRPr="00A23740">
              <w:rPr>
                <w:rFonts w:eastAsia="Times New Roman"/>
                <w:bCs/>
                <w:szCs w:val="24"/>
              </w:rPr>
              <w:t xml:space="preserve"> </w:t>
            </w:r>
            <w:r w:rsidR="00960956" w:rsidRPr="006C062A">
              <w:rPr>
                <w:rFonts w:eastAsia="Times New Roman"/>
                <w:szCs w:val="24"/>
              </w:rPr>
              <w:t>inci</w:t>
            </w:r>
            <w:r w:rsidR="00960956" w:rsidRPr="00A23740">
              <w:rPr>
                <w:rStyle w:val="KonuBalChar"/>
                <w:rFonts w:eastAsia="Calibri"/>
              </w:rPr>
              <w:t xml:space="preserve"> </w:t>
            </w:r>
            <w:r w:rsidR="00960956" w:rsidRPr="006C062A">
              <w:rPr>
                <w:rFonts w:eastAsia="Times New Roman"/>
                <w:szCs w:val="24"/>
              </w:rPr>
              <w:t>maddesi</w:t>
            </w:r>
            <w:r w:rsidRPr="00A23740">
              <w:rPr>
                <w:rFonts w:eastAsia="Times New Roman"/>
                <w:bCs/>
                <w:szCs w:val="24"/>
              </w:rPr>
              <w:t xml:space="preserve"> uyarınca yetkili olan mahkemeler yanında, karar konusu deniz alacağı için ihtiyati haciz kararı vermiş ol</w:t>
            </w:r>
            <w:r w:rsidR="00335C53" w:rsidRPr="00A23740">
              <w:rPr>
                <w:rFonts w:eastAsia="Times New Roman"/>
                <w:bCs/>
                <w:szCs w:val="24"/>
              </w:rPr>
              <w:t>an mahkemenin de</w:t>
            </w:r>
            <w:r w:rsidRPr="00A23740">
              <w:rPr>
                <w:rFonts w:eastAsia="Times New Roman"/>
                <w:bCs/>
                <w:szCs w:val="24"/>
              </w:rPr>
              <w:t xml:space="preserve"> tenfizin talep edildiği tarihte geminin serbest bırakılması için yatırılan teminatın bu mahkeme nezdinde bulunması veya geminin bu mahkemenin yargı çevresinde olması koşuluyla</w:t>
            </w:r>
            <w:r w:rsidRPr="00A23740">
              <w:rPr>
                <w:rFonts w:eastAsia="Times New Roman"/>
                <w:b/>
                <w:bCs/>
                <w:szCs w:val="24"/>
              </w:rPr>
              <w:t xml:space="preserve"> </w:t>
            </w:r>
            <w:r w:rsidRPr="00A23740">
              <w:rPr>
                <w:rFonts w:eastAsia="Times New Roman"/>
                <w:bCs/>
                <w:szCs w:val="24"/>
              </w:rPr>
              <w:t>yetkili olduğu hüküm altına alınmıştır.</w:t>
            </w:r>
          </w:p>
          <w:p w:rsidR="00A46C6E" w:rsidRPr="00A23740" w:rsidRDefault="00A46C6E" w:rsidP="002A27F8">
            <w:pPr>
              <w:rPr>
                <w:rFonts w:eastAsia="Times New Roman"/>
                <w:b/>
                <w:bCs/>
                <w:color w:val="FF0000"/>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6. İhtiyati haczin yapılması</w:t>
            </w:r>
          </w:p>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tr-TR"/>
              </w:rPr>
              <w:t>a)</w:t>
            </w:r>
            <w:r w:rsidRPr="00A23740">
              <w:rPr>
                <w:rFonts w:eastAsia="Times New Roman"/>
                <w:b/>
                <w:bCs/>
                <w:szCs w:val="24"/>
                <w:lang w:eastAsia="tr-TR"/>
              </w:rPr>
              <w:t xml:space="preserve"> İhtiyati haciz kararının </w:t>
            </w:r>
            <w:r w:rsidRPr="00A23740">
              <w:rPr>
                <w:rFonts w:eastAsia="Times New Roman"/>
                <w:b/>
                <w:strike/>
                <w:color w:val="FF0000"/>
                <w:szCs w:val="24"/>
                <w:lang w:eastAsia="tr-TR"/>
              </w:rPr>
              <w:t>icrası</w:t>
            </w:r>
          </w:p>
          <w:p w:rsidR="00A46C6E" w:rsidRPr="00A23740" w:rsidRDefault="00A46C6E" w:rsidP="009431FF">
            <w:pPr>
              <w:widowControl w:val="0"/>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1364-</w:t>
            </w:r>
            <w:r w:rsidRPr="00A23740">
              <w:rPr>
                <w:rFonts w:eastAsia="Times New Roman"/>
                <w:szCs w:val="24"/>
                <w:lang w:eastAsia="tr-TR"/>
              </w:rPr>
              <w:t xml:space="preserve"> (1) Alacaklı, ihtiyati haciz kararının </w:t>
            </w:r>
            <w:r w:rsidRPr="000F3FFB">
              <w:rPr>
                <w:rStyle w:val="KIRMIZIChar"/>
                <w:rFonts w:eastAsia="Calibri"/>
              </w:rPr>
              <w:t>verildiği</w:t>
            </w:r>
            <w:r w:rsidRPr="00A23740">
              <w:rPr>
                <w:rFonts w:eastAsia="Times New Roman"/>
                <w:szCs w:val="24"/>
                <w:lang w:eastAsia="tr-TR"/>
              </w:rPr>
              <w:t xml:space="preserve"> tarihten itibaren </w:t>
            </w:r>
            <w:r w:rsidRPr="00A23740">
              <w:rPr>
                <w:rFonts w:eastAsia="Times New Roman"/>
                <w:b/>
                <w:strike/>
                <w:color w:val="FF0000"/>
                <w:szCs w:val="24"/>
                <w:lang w:eastAsia="tr-TR"/>
              </w:rPr>
              <w:t>üç iş günü</w:t>
            </w:r>
            <w:r w:rsidRPr="00A23740">
              <w:rPr>
                <w:rFonts w:eastAsia="Times New Roman"/>
                <w:szCs w:val="24"/>
                <w:lang w:eastAsia="tr-TR"/>
              </w:rPr>
              <w:t xml:space="preserve"> içinde kararı veren mahkemenin yargı çevresindeki veya geminin bulunduğu yerdeki icra dairesinden kararın infazını istemek zorundadır. </w:t>
            </w:r>
            <w:r w:rsidRPr="00A23740">
              <w:rPr>
                <w:rFonts w:eastAsia="Times New Roman"/>
                <w:b/>
                <w:strike/>
                <w:color w:val="FF0000"/>
                <w:szCs w:val="24"/>
                <w:lang w:eastAsia="tr-TR"/>
              </w:rPr>
              <w:t>Aksi hâlde,</w:t>
            </w:r>
            <w:r w:rsidRPr="00A23740">
              <w:rPr>
                <w:rFonts w:eastAsia="Times New Roman"/>
                <w:szCs w:val="24"/>
                <w:lang w:eastAsia="tr-TR"/>
              </w:rPr>
              <w:t xml:space="preserve"> ihtiyati haciz kararı kendiliğinden kalkar.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b) İhtiyati hacze başlama süresi</w:t>
            </w:r>
          </w:p>
          <w:p w:rsidR="00A46C6E" w:rsidRPr="00A23740" w:rsidRDefault="00A46C6E" w:rsidP="009431FF">
            <w:pPr>
              <w:widowControl w:val="0"/>
              <w:rPr>
                <w:rFonts w:eastAsia="Times New Roman"/>
                <w:strike/>
                <w:color w:val="FF0000"/>
                <w:szCs w:val="24"/>
                <w:lang w:eastAsia="tr-TR"/>
              </w:rPr>
            </w:pPr>
            <w:r w:rsidRPr="00A23740">
              <w:rPr>
                <w:rFonts w:eastAsia="Times New Roman"/>
                <w:b/>
                <w:strike/>
                <w:color w:val="FF0000"/>
                <w:szCs w:val="24"/>
                <w:lang w:eastAsia="x-none"/>
              </w:rPr>
              <w:t>MADDE 1365- (1)</w:t>
            </w:r>
            <w:r w:rsidRPr="00A23740">
              <w:rPr>
                <w:rFonts w:eastAsia="Times New Roman"/>
                <w:strike/>
                <w:color w:val="FF0000"/>
                <w:szCs w:val="24"/>
                <w:lang w:eastAsia="tr-TR"/>
              </w:rPr>
              <w:t xml:space="preserve"> </w:t>
            </w:r>
            <w:r w:rsidRPr="00A23740">
              <w:rPr>
                <w:rFonts w:eastAsia="Times New Roman"/>
                <w:szCs w:val="24"/>
                <w:lang w:eastAsia="tr-TR"/>
              </w:rPr>
              <w:t xml:space="preserve">İcra dairesi, </w:t>
            </w:r>
            <w:r w:rsidRPr="00A23740">
              <w:rPr>
                <w:rFonts w:eastAsia="Times New Roman"/>
                <w:b/>
                <w:strike/>
                <w:color w:val="FF0000"/>
                <w:szCs w:val="24"/>
                <w:lang w:eastAsia="x-none"/>
              </w:rPr>
              <w:t>istem</w:t>
            </w:r>
            <w:r w:rsidRPr="00A23740">
              <w:rPr>
                <w:rFonts w:eastAsia="Times New Roman"/>
                <w:szCs w:val="24"/>
                <w:lang w:eastAsia="tr-TR"/>
              </w:rPr>
              <w:t xml:space="preserve"> üzerine derhâl ihtiyati haczi uygular.</w:t>
            </w:r>
          </w:p>
          <w:p w:rsidR="00A46C6E" w:rsidRPr="00A23740" w:rsidRDefault="00A46C6E" w:rsidP="009431FF">
            <w:pPr>
              <w:widowControl w:val="0"/>
              <w:rPr>
                <w:rFonts w:eastAsia="Times New Roman"/>
                <w:szCs w:val="24"/>
                <w:lang w:eastAsia="tr-TR"/>
              </w:rPr>
            </w:pPr>
          </w:p>
          <w:p w:rsidR="00A46C6E" w:rsidRPr="000F3FFB" w:rsidRDefault="00A46C6E" w:rsidP="009431FF">
            <w:pPr>
              <w:widowControl w:val="0"/>
              <w:rPr>
                <w:rStyle w:val="KIRMIZIChar"/>
                <w:rFonts w:eastAsia="Calibri"/>
              </w:rPr>
            </w:pPr>
            <w:r w:rsidRPr="00A23740">
              <w:rPr>
                <w:rFonts w:eastAsia="Times New Roman"/>
                <w:b/>
                <w:strike/>
                <w:color w:val="FF0000"/>
                <w:szCs w:val="24"/>
                <w:lang w:eastAsia="x-none"/>
              </w:rPr>
              <w:t>(2)</w:t>
            </w:r>
            <w:r w:rsidRPr="00A23740">
              <w:rPr>
                <w:rFonts w:eastAsia="Times New Roman"/>
                <w:szCs w:val="24"/>
                <w:lang w:eastAsia="tr-TR"/>
              </w:rPr>
              <w:t xml:space="preserve"> İhtiyati haciz, </w:t>
            </w:r>
            <w:r w:rsidRPr="00A23740">
              <w:rPr>
                <w:rFonts w:eastAsia="Times New Roman"/>
                <w:b/>
                <w:strike/>
                <w:color w:val="FF0000"/>
                <w:szCs w:val="24"/>
                <w:lang w:eastAsia="x-none"/>
              </w:rPr>
              <w:t xml:space="preserve">İcra ve İflas </w:t>
            </w:r>
            <w:r w:rsidRPr="000F3FFB">
              <w:rPr>
                <w:rStyle w:val="KIRMIZIChar"/>
                <w:rFonts w:eastAsia="Calibri"/>
              </w:rPr>
              <w:t>Kanununa göre gece</w:t>
            </w:r>
            <w:r w:rsidRPr="00A23740">
              <w:rPr>
                <w:rFonts w:eastAsia="Times New Roman"/>
                <w:szCs w:val="24"/>
                <w:lang w:eastAsia="tr-TR"/>
              </w:rPr>
              <w:t xml:space="preserve"> ve </w:t>
            </w:r>
            <w:r w:rsidRPr="00A23740">
              <w:rPr>
                <w:rFonts w:eastAsia="Times New Roman"/>
                <w:b/>
                <w:strike/>
                <w:color w:val="FF0000"/>
                <w:szCs w:val="24"/>
                <w:lang w:eastAsia="x-none"/>
              </w:rPr>
              <w:t>resmî</w:t>
            </w:r>
            <w:r w:rsidRPr="00A23740">
              <w:rPr>
                <w:rFonts w:eastAsia="Times New Roman"/>
                <w:szCs w:val="24"/>
                <w:lang w:eastAsia="tr-TR"/>
              </w:rPr>
              <w:t xml:space="preserve"> tatil </w:t>
            </w:r>
            <w:r w:rsidRPr="00A23740">
              <w:rPr>
                <w:rFonts w:eastAsia="Times New Roman"/>
                <w:b/>
                <w:strike/>
                <w:color w:val="FF0000"/>
                <w:szCs w:val="24"/>
                <w:lang w:eastAsia="x-none"/>
              </w:rPr>
              <w:t xml:space="preserve">sayılan </w:t>
            </w:r>
            <w:r w:rsidRPr="000F3FFB">
              <w:rPr>
                <w:rStyle w:val="KIRMIZIChar"/>
                <w:rFonts w:eastAsia="Calibri"/>
              </w:rPr>
              <w:t>zamanlarda da yapılır.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tr-TR"/>
              </w:rPr>
            </w:pPr>
            <w:r w:rsidRPr="00A23740">
              <w:rPr>
                <w:rFonts w:eastAsia="Times New Roman"/>
                <w:b/>
                <w:bCs/>
                <w:strike/>
                <w:color w:val="FF0000"/>
                <w:szCs w:val="24"/>
                <w:lang w:eastAsia="tr-TR"/>
              </w:rPr>
              <w:t>c) Gemiye el konulması ve muhafaza tedbirleri</w:t>
            </w:r>
          </w:p>
          <w:p w:rsidR="00A46C6E" w:rsidRPr="00A23740" w:rsidRDefault="00A46C6E" w:rsidP="009431FF">
            <w:pPr>
              <w:widowControl w:val="0"/>
              <w:rPr>
                <w:rFonts w:eastAsia="Times New Roman"/>
                <w:szCs w:val="24"/>
                <w:lang w:eastAsia="tr-TR"/>
              </w:rPr>
            </w:pPr>
            <w:r w:rsidRPr="00A23740">
              <w:rPr>
                <w:rFonts w:eastAsia="Times New Roman"/>
                <w:b/>
                <w:bCs/>
                <w:strike/>
                <w:color w:val="FF0000"/>
                <w:szCs w:val="24"/>
                <w:lang w:eastAsia="tr-TR"/>
              </w:rPr>
              <w:t>MADDE 1366</w:t>
            </w:r>
            <w:r w:rsidRPr="00A23740">
              <w:rPr>
                <w:rFonts w:eastAsia="Times New Roman"/>
                <w:b/>
                <w:strike/>
                <w:color w:val="FF0000"/>
                <w:szCs w:val="24"/>
                <w:lang w:eastAsia="tr-TR"/>
              </w:rPr>
              <w:t>- (1)</w:t>
            </w:r>
            <w:r w:rsidRPr="00A23740">
              <w:rPr>
                <w:rFonts w:eastAsia="Times New Roman"/>
                <w:szCs w:val="24"/>
                <w:lang w:eastAsia="tr-TR"/>
              </w:rPr>
              <w:t xml:space="preserve"> İhtiyati </w:t>
            </w:r>
            <w:r w:rsidRPr="00A23740">
              <w:rPr>
                <w:rFonts w:eastAsia="Times New Roman"/>
                <w:b/>
                <w:strike/>
                <w:color w:val="FF0000"/>
                <w:szCs w:val="24"/>
                <w:lang w:eastAsia="tr-TR"/>
              </w:rPr>
              <w:t>haczine</w:t>
            </w:r>
            <w:r w:rsidRPr="00A23740">
              <w:rPr>
                <w:rFonts w:eastAsia="Times New Roman"/>
                <w:szCs w:val="24"/>
                <w:lang w:eastAsia="tr-TR"/>
              </w:rPr>
              <w:t xml:space="preserve"> karar </w:t>
            </w:r>
            <w:r w:rsidRPr="00A23740">
              <w:rPr>
                <w:rFonts w:eastAsia="Times New Roman"/>
                <w:b/>
                <w:strike/>
                <w:color w:val="FF0000"/>
                <w:szCs w:val="24"/>
                <w:lang w:eastAsia="tr-TR"/>
              </w:rPr>
              <w:t xml:space="preserve">verilen bütün gemiler, </w:t>
            </w:r>
            <w:r w:rsidRPr="00A23740">
              <w:rPr>
                <w:rFonts w:eastAsia="Times New Roman"/>
                <w:szCs w:val="24"/>
                <w:lang w:eastAsia="tr-TR"/>
              </w:rPr>
              <w:t>bayrağı ve hangi sicile kayıtlı oldukları dikkate alınmaksızın</w:t>
            </w:r>
            <w:r w:rsidRPr="00A23740">
              <w:rPr>
                <w:rFonts w:eastAsia="Times New Roman"/>
                <w:b/>
                <w:strike/>
                <w:color w:val="FF0000"/>
                <w:szCs w:val="24"/>
                <w:lang w:eastAsia="tr-TR"/>
              </w:rPr>
              <w:t xml:space="preserve">, </w:t>
            </w:r>
            <w:r w:rsidRPr="00A23740">
              <w:rPr>
                <w:rFonts w:eastAsia="Times New Roman"/>
                <w:szCs w:val="24"/>
                <w:lang w:eastAsia="tr-TR"/>
              </w:rPr>
              <w:t>icra müdürü tarafından seferden men</w:t>
            </w:r>
            <w:r w:rsidRPr="00A23740">
              <w:rPr>
                <w:rFonts w:eastAsia="Times New Roman"/>
                <w:b/>
                <w:strike/>
                <w:color w:val="FF0000"/>
                <w:szCs w:val="24"/>
                <w:lang w:eastAsia="tr-TR"/>
              </w:rPr>
              <w:t>edilerek muhafaza altına alınır</w:t>
            </w:r>
            <w:r w:rsidRPr="00A23740">
              <w:rPr>
                <w:rFonts w:eastAsia="Times New Roman"/>
                <w:szCs w:val="24"/>
                <w:lang w:eastAsia="tr-TR"/>
              </w:rPr>
              <w:t xml:space="preserve">. Geminin ihtiyaten </w:t>
            </w:r>
            <w:r w:rsidRPr="00A23740">
              <w:rPr>
                <w:rFonts w:eastAsia="Times New Roman"/>
                <w:b/>
                <w:strike/>
                <w:color w:val="FF0000"/>
                <w:szCs w:val="24"/>
                <w:lang w:eastAsia="tr-TR"/>
              </w:rPr>
              <w:t>haczedilerek</w:t>
            </w:r>
            <w:r w:rsidRPr="00A23740">
              <w:rPr>
                <w:rFonts w:eastAsia="Times New Roman"/>
                <w:szCs w:val="24"/>
                <w:lang w:eastAsia="tr-TR"/>
              </w:rPr>
              <w:t xml:space="preserve"> seferden men</w:t>
            </w:r>
            <w:r w:rsidRPr="00A23740">
              <w:rPr>
                <w:rFonts w:eastAsia="Times New Roman"/>
                <w:b/>
                <w:strike/>
                <w:color w:val="FF0000"/>
                <w:szCs w:val="24"/>
                <w:lang w:eastAsia="tr-TR"/>
              </w:rPr>
              <w:t>edildiği,</w:t>
            </w:r>
            <w:r w:rsidRPr="00A23740">
              <w:rPr>
                <w:rFonts w:eastAsia="Times New Roman"/>
                <w:szCs w:val="24"/>
                <w:lang w:eastAsia="tr-TR"/>
              </w:rPr>
              <w:t xml:space="preserve"> kaptana veya malike ya da </w:t>
            </w:r>
            <w:r w:rsidRPr="00A23740">
              <w:rPr>
                <w:rFonts w:eastAsia="Times New Roman"/>
                <w:b/>
                <w:strike/>
                <w:color w:val="FF0000"/>
                <w:szCs w:val="24"/>
                <w:lang w:eastAsia="tr-TR"/>
              </w:rPr>
              <w:t>malik olmayan donatana</w:t>
            </w:r>
            <w:r w:rsidRPr="00A23740">
              <w:rPr>
                <w:rFonts w:eastAsia="Times New Roman"/>
                <w:szCs w:val="24"/>
                <w:lang w:eastAsia="tr-TR"/>
              </w:rPr>
              <w:t xml:space="preserve"> yahut bunların bir temsilcisine tebliğ edilir. Gemi, </w:t>
            </w:r>
            <w:r w:rsidRPr="00A23740">
              <w:rPr>
                <w:rFonts w:eastAsia="Times New Roman"/>
                <w:b/>
                <w:strike/>
                <w:color w:val="FF0000"/>
                <w:szCs w:val="24"/>
                <w:lang w:eastAsia="tr-TR"/>
              </w:rPr>
              <w:t xml:space="preserve">tebligat yapılan kişiye </w:t>
            </w:r>
            <w:r w:rsidRPr="00A23740">
              <w:rPr>
                <w:rFonts w:eastAsia="Times New Roman"/>
                <w:szCs w:val="24"/>
                <w:lang w:eastAsia="tr-TR"/>
              </w:rPr>
              <w:t xml:space="preserve">yediemin sıfatıyla bırakılır. Yediemine, görevi ve Türk Ceza Kanununun 289 uncu maddesinden doğan cezai sorumluluk dâhil olmak üzere, kanuni sorumlulukları hatırlatılır. </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5468D1" w:rsidRPr="00A23740" w:rsidRDefault="005468D1" w:rsidP="009431FF">
            <w:pPr>
              <w:widowControl w:val="0"/>
              <w:rPr>
                <w:rFonts w:eastAsia="Times New Roman"/>
                <w:szCs w:val="24"/>
                <w:lang w:eastAsia="tr-TR"/>
              </w:rPr>
            </w:pPr>
          </w:p>
          <w:p w:rsidR="005468D1" w:rsidRPr="00A23740" w:rsidRDefault="005468D1"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0F3FFB">
              <w:rPr>
                <w:rStyle w:val="KIRMIZIChar"/>
                <w:rFonts w:eastAsia="Calibri"/>
              </w:rPr>
              <w:t>(2)</w:t>
            </w:r>
            <w:r w:rsidRPr="00A23740">
              <w:rPr>
                <w:rFonts w:eastAsia="Times New Roman"/>
                <w:szCs w:val="24"/>
                <w:lang w:eastAsia="tr-TR"/>
              </w:rPr>
              <w:t xml:space="preserve"> Haczi uygulayan memurun düzenleyeceği ihtiyati haciz tutanağında, geminin </w:t>
            </w:r>
            <w:r w:rsidRPr="00A23740">
              <w:rPr>
                <w:rFonts w:eastAsia="Times New Roman"/>
                <w:b/>
                <w:strike/>
                <w:color w:val="FF0000"/>
                <w:szCs w:val="24"/>
                <w:lang w:eastAsia="tr-TR"/>
              </w:rPr>
              <w:t>adıyla</w:t>
            </w:r>
            <w:r w:rsidRPr="00A23740">
              <w:rPr>
                <w:rFonts w:eastAsia="Times New Roman"/>
                <w:szCs w:val="24"/>
                <w:lang w:eastAsia="tr-TR"/>
              </w:rPr>
              <w:t xml:space="preserve"> belirtilmesi yeterli</w:t>
            </w:r>
            <w:r w:rsidRPr="00A23740">
              <w:rPr>
                <w:rFonts w:eastAsia="Times New Roman"/>
                <w:b/>
                <w:strike/>
                <w:color w:val="FF0000"/>
                <w:szCs w:val="24"/>
                <w:lang w:eastAsia="tr-TR"/>
              </w:rPr>
              <w:t>dir;</w:t>
            </w:r>
            <w:r w:rsidRPr="000F3FFB">
              <w:rPr>
                <w:rFonts w:eastAsia="Times New Roman"/>
                <w:b/>
                <w:color w:val="FF0000"/>
                <w:szCs w:val="24"/>
                <w:lang w:eastAsia="tr-TR"/>
              </w:rPr>
              <w:t xml:space="preserve"> </w:t>
            </w:r>
            <w:r w:rsidRPr="00A23740">
              <w:rPr>
                <w:rFonts w:eastAsia="Times New Roman"/>
                <w:szCs w:val="24"/>
                <w:lang w:eastAsia="tr-TR"/>
              </w:rPr>
              <w:t xml:space="preserve">değerinin yazılması gerekmez. Taraflardan birinin </w:t>
            </w:r>
            <w:r w:rsidRPr="00A23740">
              <w:rPr>
                <w:b/>
                <w:strike/>
                <w:color w:val="FF0000"/>
                <w:szCs w:val="24"/>
                <w:lang w:eastAsia="x-none"/>
              </w:rPr>
              <w:t>istemi</w:t>
            </w:r>
            <w:r w:rsidRPr="00A23740">
              <w:rPr>
                <w:rFonts w:eastAsia="Times New Roman"/>
                <w:szCs w:val="24"/>
                <w:lang w:eastAsia="tr-TR"/>
              </w:rPr>
              <w:t xml:space="preserve"> üzerine, geminin değeri icra mahkemesince </w:t>
            </w:r>
            <w:r w:rsidRPr="00A23740">
              <w:rPr>
                <w:b/>
                <w:strike/>
                <w:color w:val="FF0000"/>
                <w:szCs w:val="24"/>
                <w:lang w:eastAsia="x-none"/>
              </w:rPr>
              <w:t>saptanır; bu saptamaya dosyadan anlaşılan ilgililer çağırılır</w:t>
            </w:r>
            <w:r w:rsidRPr="00A23740">
              <w:rPr>
                <w:rFonts w:eastAsia="Times New Roman"/>
                <w:szCs w:val="24"/>
                <w:lang w:eastAsia="tr-TR"/>
              </w:rPr>
              <w:t>.</w:t>
            </w:r>
          </w:p>
          <w:p w:rsidR="00A46C6E" w:rsidRPr="00A23740" w:rsidRDefault="00A46C6E" w:rsidP="009431FF">
            <w:pPr>
              <w:widowControl w:val="0"/>
              <w:rPr>
                <w:rFonts w:eastAsia="Times New Roman"/>
                <w:szCs w:val="24"/>
                <w:lang w:eastAsia="tr-TR"/>
              </w:rPr>
            </w:pPr>
          </w:p>
          <w:p w:rsidR="00993A1A" w:rsidRPr="00A23740" w:rsidRDefault="00993A1A"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(3) İcra müdürü, ihtiyati haciz kararını derhâl,</w:t>
            </w:r>
            <w:r w:rsidRPr="000F3FFB">
              <w:rPr>
                <w:rFonts w:eastAsia="Times New Roman"/>
                <w:b/>
                <w:color w:val="FF0000"/>
                <w:szCs w:val="24"/>
                <w:lang w:eastAsia="x-none"/>
              </w:rPr>
              <w:t xml:space="preserve"> </w:t>
            </w:r>
            <w:r w:rsidRPr="00A23740">
              <w:rPr>
                <w:rFonts w:eastAsia="Times New Roman"/>
                <w:szCs w:val="24"/>
                <w:lang w:eastAsia="x-none"/>
              </w:rPr>
              <w:t>geminin bulunduğu bölgeden sorumlu sahil güvenlik komutanlığına veya emniyet teşkilatına, liman başkanlığına ve gümrük idaresine</w:t>
            </w:r>
            <w:r w:rsidRPr="000F3FFB">
              <w:rPr>
                <w:rFonts w:eastAsia="Times New Roman"/>
                <w:b/>
                <w:color w:val="FF0000"/>
                <w:szCs w:val="24"/>
                <w:lang w:eastAsia="x-none"/>
              </w:rPr>
              <w:t xml:space="preserve"> </w:t>
            </w:r>
            <w:r w:rsidRPr="00A23740">
              <w:rPr>
                <w:rFonts w:eastAsia="Times New Roman"/>
                <w:b/>
                <w:strike/>
                <w:color w:val="FF0000"/>
                <w:szCs w:val="24"/>
                <w:lang w:eastAsia="x-none"/>
              </w:rPr>
              <w:t>bildirir.</w:t>
            </w:r>
          </w:p>
          <w:p w:rsidR="00A46C6E" w:rsidRPr="00A23740" w:rsidRDefault="00A46C6E" w:rsidP="009431FF">
            <w:pPr>
              <w:widowControl w:val="0"/>
              <w:rPr>
                <w:rFonts w:eastAsia="Times New Roman"/>
                <w:b/>
                <w:strike/>
                <w:color w:val="FF0000"/>
                <w:szCs w:val="24"/>
                <w:lang w:eastAsia="x-none"/>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(4) İcra müdürü, ihtiyati haciz kararını, kararın uygulanmasını izleyen ilk iş gününde geminin kayıtlı olduğu sicile ve</w:t>
            </w:r>
            <w:r w:rsidRPr="000F3FFB">
              <w:rPr>
                <w:rFonts w:eastAsia="Times New Roman"/>
                <w:b/>
                <w:color w:val="FF0000"/>
                <w:szCs w:val="24"/>
                <w:lang w:eastAsia="x-none"/>
              </w:rPr>
              <w:t xml:space="preserve"> </w:t>
            </w:r>
            <w:r w:rsidRPr="00A23740">
              <w:rPr>
                <w:rFonts w:eastAsia="Times New Roman"/>
                <w:szCs w:val="24"/>
                <w:lang w:eastAsia="x-none"/>
              </w:rPr>
              <w:t>yabancı</w:t>
            </w:r>
            <w:r w:rsidRPr="00A23740">
              <w:rPr>
                <w:rFonts w:eastAsia="Times New Roman"/>
                <w:b/>
                <w:strike/>
                <w:color w:val="FF0000"/>
                <w:szCs w:val="24"/>
                <w:lang w:eastAsia="x-none"/>
              </w:rPr>
              <w:t xml:space="preserve"> bayraklı </w:t>
            </w:r>
            <w:r w:rsidRPr="00A23740">
              <w:rPr>
                <w:rFonts w:eastAsia="Times New Roman"/>
                <w:szCs w:val="24"/>
                <w:lang w:eastAsia="x-none"/>
              </w:rPr>
              <w:t>gemilerde</w:t>
            </w:r>
            <w:r w:rsidRPr="00A23740">
              <w:rPr>
                <w:rFonts w:eastAsia="Times New Roman"/>
                <w:b/>
                <w:strike/>
                <w:color w:val="FF0000"/>
                <w:szCs w:val="24"/>
                <w:lang w:eastAsia="x-none"/>
              </w:rPr>
              <w:t xml:space="preserve">, </w:t>
            </w:r>
            <w:r w:rsidRPr="00A23740">
              <w:rPr>
                <w:rFonts w:eastAsia="Times New Roman"/>
                <w:szCs w:val="24"/>
                <w:lang w:eastAsia="x-none"/>
              </w:rPr>
              <w:t>geminin bayrağını taşıdığı devletin en yakın konsolosluğuna bildiri</w:t>
            </w:r>
            <w:r w:rsidRPr="00A23740">
              <w:rPr>
                <w:rFonts w:eastAsia="Times New Roman"/>
                <w:b/>
                <w:strike/>
                <w:color w:val="FF0000"/>
                <w:szCs w:val="24"/>
                <w:lang w:eastAsia="x-none"/>
              </w:rPr>
              <w:t>r</w:t>
            </w:r>
            <w:r w:rsidRPr="00A23740">
              <w:rPr>
                <w:rFonts w:eastAsia="Times New Roman"/>
                <w:szCs w:val="24"/>
                <w:lang w:eastAsia="x-none"/>
              </w:rPr>
              <w:t>.</w:t>
            </w:r>
          </w:p>
          <w:p w:rsidR="00A46C6E" w:rsidRPr="00A23740" w:rsidRDefault="00A46C6E" w:rsidP="009431FF">
            <w:pPr>
              <w:widowControl w:val="0"/>
              <w:rPr>
                <w:rFonts w:eastAsia="Times New Roman"/>
                <w:b/>
                <w:strike/>
                <w:color w:val="FF0000"/>
                <w:szCs w:val="24"/>
                <w:lang w:eastAsia="x-none"/>
              </w:rPr>
            </w:pPr>
          </w:p>
        </w:tc>
        <w:tc>
          <w:tcPr>
            <w:tcW w:w="2500" w:type="pct"/>
            <w:shd w:val="clear" w:color="auto" w:fill="auto"/>
          </w:tcPr>
          <w:p w:rsidR="00A46C6E" w:rsidRPr="00A23740" w:rsidRDefault="00A46C6E" w:rsidP="009431FF">
            <w:pPr>
              <w:widowControl w:val="0"/>
              <w:rPr>
                <w:rFonts w:eastAsia="Times New Roman"/>
                <w:szCs w:val="24"/>
                <w:lang w:eastAsia="tr-TR"/>
              </w:rPr>
            </w:pPr>
            <w:r w:rsidRPr="00A23740">
              <w:rPr>
                <w:rFonts w:eastAsia="Times New Roman"/>
                <w:b/>
                <w:bCs/>
                <w:szCs w:val="24"/>
                <w:lang w:eastAsia="tr-TR"/>
              </w:rPr>
              <w:t xml:space="preserve">İhtiyati haciz kararının </w:t>
            </w:r>
            <w:r w:rsidRPr="00A23740">
              <w:rPr>
                <w:rFonts w:eastAsia="Times New Roman"/>
                <w:b/>
                <w:bCs/>
                <w:color w:val="0000FF"/>
                <w:szCs w:val="24"/>
                <w:lang w:eastAsia="tr-TR"/>
              </w:rPr>
              <w:t>uygulanması</w:t>
            </w:r>
          </w:p>
          <w:p w:rsidR="00A46C6E" w:rsidRPr="00A23740" w:rsidRDefault="00993A1A" w:rsidP="009431FF">
            <w:pPr>
              <w:widowControl w:val="0"/>
              <w:rPr>
                <w:rFonts w:eastAsia="Times New Roman"/>
                <w:szCs w:val="24"/>
                <w:lang w:eastAsia="tr-TR"/>
              </w:rPr>
            </w:pPr>
            <w:r w:rsidRPr="000F3FFB">
              <w:rPr>
                <w:rFonts w:eastAsia="Times New Roman"/>
                <w:b/>
                <w:bCs/>
                <w:color w:val="000000" w:themeColor="text1"/>
                <w:szCs w:val="24"/>
                <w:lang w:eastAsia="tr-TR"/>
              </w:rPr>
              <w:t xml:space="preserve">MADDE </w:t>
            </w:r>
            <w:r w:rsidRPr="00A23740">
              <w:rPr>
                <w:rFonts w:eastAsia="Times New Roman"/>
                <w:b/>
                <w:bCs/>
                <w:color w:val="0000FF"/>
                <w:szCs w:val="24"/>
                <w:lang w:eastAsia="tr-TR"/>
              </w:rPr>
              <w:t>498</w:t>
            </w:r>
            <w:r w:rsidR="00A46C6E" w:rsidRPr="00A23740">
              <w:rPr>
                <w:rFonts w:eastAsia="Times New Roman"/>
                <w:b/>
                <w:bCs/>
                <w:color w:val="0000FF"/>
                <w:szCs w:val="24"/>
                <w:lang w:eastAsia="tr-TR"/>
              </w:rPr>
              <w:t xml:space="preserve">- </w:t>
            </w:r>
            <w:r w:rsidR="00A46C6E" w:rsidRPr="000F3FFB">
              <w:t>(1)</w:t>
            </w:r>
            <w:r w:rsidR="00A46C6E" w:rsidRPr="00A23740">
              <w:rPr>
                <w:rFonts w:eastAsia="Times New Roman"/>
                <w:szCs w:val="24"/>
                <w:lang w:eastAsia="tr-TR"/>
              </w:rPr>
              <w:t xml:space="preserve"> Alacaklı, ihtiyati haciz kararının </w:t>
            </w:r>
            <w:r w:rsidR="00A46C6E" w:rsidRPr="00A23740">
              <w:rPr>
                <w:rFonts w:eastAsia="Times New Roman"/>
                <w:b/>
                <w:bCs/>
                <w:color w:val="0000FF"/>
                <w:szCs w:val="24"/>
                <w:lang w:eastAsia="tr-TR"/>
              </w:rPr>
              <w:t>kendisine tefhim</w:t>
            </w:r>
            <w:r w:rsidR="00A46C6E" w:rsidRPr="00A23740">
              <w:rPr>
                <w:b/>
                <w:color w:val="00CC00"/>
                <w:lang w:eastAsia="tr-TR"/>
              </w:rPr>
              <w:t xml:space="preserve"> </w:t>
            </w:r>
            <w:r w:rsidR="00A46C6E" w:rsidRPr="00A23740">
              <w:rPr>
                <w:rFonts w:eastAsia="Times New Roman"/>
                <w:b/>
                <w:bCs/>
                <w:color w:val="0000FF"/>
                <w:szCs w:val="24"/>
                <w:lang w:eastAsia="tr-TR"/>
              </w:rPr>
              <w:t>veya tebliğ edildiği</w:t>
            </w:r>
            <w:r w:rsidR="00A46C6E" w:rsidRPr="00A23740">
              <w:rPr>
                <w:rFonts w:eastAsia="Times New Roman"/>
                <w:szCs w:val="24"/>
                <w:lang w:eastAsia="tr-TR"/>
              </w:rPr>
              <w:t xml:space="preserve"> tarihten itibaren </w:t>
            </w:r>
            <w:r w:rsidR="00A46C6E" w:rsidRPr="00A23740">
              <w:rPr>
                <w:rFonts w:eastAsia="Times New Roman"/>
                <w:b/>
                <w:bCs/>
                <w:color w:val="0000FF"/>
                <w:szCs w:val="24"/>
                <w:lang w:eastAsia="tr-TR"/>
              </w:rPr>
              <w:t>bir hafta</w:t>
            </w:r>
            <w:r w:rsidR="00A46C6E" w:rsidRPr="00A23740">
              <w:rPr>
                <w:rFonts w:eastAsia="Times New Roman"/>
                <w:szCs w:val="24"/>
                <w:lang w:eastAsia="tr-TR"/>
              </w:rPr>
              <w:t xml:space="preserve"> içinde kararı veren mahkemenin yargı çevresindeki veya geminin bulunduğu yerdeki icra </w:t>
            </w:r>
            <w:r w:rsidR="00A46C6E" w:rsidRPr="00A23740">
              <w:rPr>
                <w:rFonts w:eastAsia="Times New Roman"/>
                <w:b/>
                <w:bCs/>
                <w:color w:val="0000FF"/>
                <w:szCs w:val="24"/>
                <w:lang w:eastAsia="tr-TR"/>
              </w:rPr>
              <w:t>ve</w:t>
            </w:r>
            <w:r w:rsidR="00A46C6E" w:rsidRPr="00A23740">
              <w:rPr>
                <w:rFonts w:eastAsia="Times New Roman"/>
                <w:bCs/>
                <w:color w:val="0000FF"/>
                <w:lang w:eastAsia="tr-TR"/>
              </w:rPr>
              <w:t xml:space="preserve"> </w:t>
            </w:r>
            <w:r w:rsidR="00A46C6E" w:rsidRPr="00A23740">
              <w:rPr>
                <w:rFonts w:eastAsia="Times New Roman"/>
                <w:b/>
                <w:bCs/>
                <w:color w:val="0000FF"/>
                <w:szCs w:val="24"/>
                <w:lang w:eastAsia="tr-TR"/>
              </w:rPr>
              <w:t>iflas</w:t>
            </w:r>
            <w:r w:rsidR="00A46C6E" w:rsidRPr="00A23740">
              <w:rPr>
                <w:rFonts w:eastAsia="Times New Roman"/>
                <w:szCs w:val="24"/>
                <w:lang w:eastAsia="tr-TR"/>
              </w:rPr>
              <w:t xml:space="preserve"> dairesinden kararın infazını istemek zorundadır. </w:t>
            </w:r>
            <w:r w:rsidR="00A46C6E" w:rsidRPr="00A23740">
              <w:rPr>
                <w:rFonts w:eastAsia="Times New Roman"/>
                <w:b/>
                <w:bCs/>
                <w:color w:val="0000FF"/>
                <w:szCs w:val="24"/>
                <w:lang w:eastAsia="tr-TR"/>
              </w:rPr>
              <w:t xml:space="preserve">Bu </w:t>
            </w:r>
            <w:r w:rsidR="00A46C6E" w:rsidRPr="00A23740">
              <w:rPr>
                <w:rFonts w:eastAsia="Times New Roman"/>
                <w:b/>
                <w:bCs/>
                <w:color w:val="0000FF"/>
                <w:szCs w:val="24"/>
                <w:lang w:eastAsia="x-none"/>
              </w:rPr>
              <w:t>süre içinde</w:t>
            </w:r>
            <w:r w:rsidR="00A46C6E" w:rsidRPr="00A23740">
              <w:rPr>
                <w:rFonts w:eastAsia="Times New Roman"/>
                <w:b/>
                <w:bCs/>
                <w:color w:val="0000FF"/>
                <w:szCs w:val="24"/>
                <w:lang w:eastAsia="tr-TR"/>
              </w:rPr>
              <w:t xml:space="preserve"> icrası talep edilmeyen</w:t>
            </w:r>
            <w:r w:rsidR="00A46C6E" w:rsidRPr="00A23740">
              <w:rPr>
                <w:rFonts w:eastAsia="Times New Roman"/>
                <w:szCs w:val="24"/>
                <w:lang w:eastAsia="tr-TR"/>
              </w:rPr>
              <w:t xml:space="preserve"> ihtiyati haciz kararı kendiliğinden kalkar.</w:t>
            </w:r>
          </w:p>
          <w:p w:rsidR="00A46C6E" w:rsidRPr="00A23740" w:rsidRDefault="00A46C6E" w:rsidP="009431FF">
            <w:pPr>
              <w:widowControl w:val="0"/>
              <w:rPr>
                <w:rFonts w:eastAsia="Times New Roman"/>
                <w:szCs w:val="24"/>
              </w:rPr>
            </w:pPr>
          </w:p>
          <w:p w:rsidR="00993A1A" w:rsidRDefault="00993A1A" w:rsidP="009431FF">
            <w:pPr>
              <w:widowControl w:val="0"/>
              <w:rPr>
                <w:rFonts w:eastAsia="Times New Roman"/>
                <w:szCs w:val="24"/>
              </w:rPr>
            </w:pPr>
          </w:p>
          <w:p w:rsidR="007F636D" w:rsidRPr="00A23740" w:rsidRDefault="007F636D" w:rsidP="009431FF">
            <w:pPr>
              <w:widowControl w:val="0"/>
              <w:rPr>
                <w:rFonts w:eastAsia="Times New Roman"/>
                <w:szCs w:val="24"/>
              </w:rPr>
            </w:pPr>
          </w:p>
          <w:p w:rsidR="00A46C6E" w:rsidRPr="00A23740" w:rsidRDefault="00A46C6E" w:rsidP="009431FF">
            <w:pPr>
              <w:widowControl w:val="0"/>
              <w:rPr>
                <w:rFonts w:eastAsia="Times New Roman"/>
                <w:b/>
                <w:bCs/>
                <w:color w:val="0000FF"/>
                <w:szCs w:val="24"/>
                <w:lang w:eastAsia="tr-TR"/>
              </w:rPr>
            </w:pPr>
            <w:r w:rsidRPr="00A23740">
              <w:rPr>
                <w:rFonts w:eastAsia="Times New Roman"/>
                <w:b/>
                <w:bCs/>
                <w:color w:val="0000FF"/>
                <w:szCs w:val="24"/>
                <w:lang w:eastAsia="tr-TR"/>
              </w:rPr>
              <w:t xml:space="preserve">(2) </w:t>
            </w:r>
            <w:r w:rsidRPr="00A23740">
              <w:rPr>
                <w:rFonts w:eastAsia="Times New Roman"/>
                <w:szCs w:val="24"/>
                <w:lang w:eastAsia="tr-TR"/>
              </w:rPr>
              <w:t xml:space="preserve">İcra </w:t>
            </w:r>
            <w:r w:rsidRPr="00A23740">
              <w:rPr>
                <w:rFonts w:eastAsia="Times New Roman"/>
                <w:b/>
                <w:bCs/>
                <w:color w:val="0000FF"/>
                <w:szCs w:val="24"/>
                <w:lang w:eastAsia="tr-TR"/>
              </w:rPr>
              <w:t>ve</w:t>
            </w:r>
            <w:r w:rsidRPr="00A23740">
              <w:rPr>
                <w:rFonts w:eastAsia="Times New Roman"/>
                <w:bCs/>
                <w:color w:val="0000FF"/>
                <w:lang w:eastAsia="tr-TR"/>
              </w:rPr>
              <w:t xml:space="preserve"> </w:t>
            </w:r>
            <w:r w:rsidRPr="00A23740">
              <w:rPr>
                <w:rFonts w:eastAsia="Times New Roman"/>
                <w:b/>
                <w:bCs/>
                <w:color w:val="0000FF"/>
                <w:szCs w:val="24"/>
                <w:lang w:eastAsia="tr-TR"/>
              </w:rPr>
              <w:t>iflas</w:t>
            </w:r>
            <w:r w:rsidRPr="00A23740">
              <w:rPr>
                <w:rFonts w:eastAsia="Times New Roman"/>
                <w:szCs w:val="24"/>
                <w:lang w:eastAsia="tr-TR"/>
              </w:rPr>
              <w:t xml:space="preserve"> dairesi, </w:t>
            </w:r>
            <w:r w:rsidRPr="00A23740">
              <w:rPr>
                <w:rFonts w:eastAsia="Times New Roman"/>
                <w:b/>
                <w:bCs/>
                <w:color w:val="0000FF"/>
                <w:szCs w:val="24"/>
                <w:lang w:eastAsia="tr-TR"/>
              </w:rPr>
              <w:t>talep</w:t>
            </w:r>
            <w:r w:rsidRPr="00A23740">
              <w:rPr>
                <w:rFonts w:eastAsia="Times New Roman"/>
                <w:szCs w:val="24"/>
                <w:lang w:eastAsia="tr-TR"/>
              </w:rPr>
              <w:t xml:space="preserve"> üzerine derhâl ihtiyati haczi uygular. İhtiyati haciz, </w:t>
            </w:r>
            <w:r w:rsidRPr="00A23740">
              <w:rPr>
                <w:b/>
                <w:bCs/>
                <w:color w:val="0000FF"/>
                <w:lang w:val="x-none" w:eastAsia="x-none"/>
              </w:rPr>
              <w:t>çalışma saatleri dışında</w:t>
            </w:r>
            <w:r w:rsidRPr="00A23740">
              <w:rPr>
                <w:rFonts w:eastAsia="Times New Roman"/>
                <w:szCs w:val="24"/>
                <w:lang w:eastAsia="tr-TR"/>
              </w:rPr>
              <w:t xml:space="preserve"> ve tatil</w:t>
            </w:r>
            <w:r w:rsidRPr="00A23740">
              <w:rPr>
                <w:rFonts w:eastAsia="Times New Roman"/>
                <w:b/>
                <w:bCs/>
                <w:color w:val="0000FF"/>
                <w:szCs w:val="24"/>
                <w:lang w:eastAsia="tr-TR"/>
              </w:rPr>
              <w:t xml:space="preserve"> günlerinde de uygulanabilir.</w:t>
            </w:r>
          </w:p>
          <w:p w:rsidR="00A46C6E" w:rsidRPr="00A23740" w:rsidRDefault="00A46C6E" w:rsidP="009431FF">
            <w:pPr>
              <w:widowControl w:val="0"/>
              <w:rPr>
                <w:rFonts w:eastAsia="Times New Roman"/>
                <w:b/>
                <w:bCs/>
                <w:color w:val="0000FF"/>
                <w:szCs w:val="24"/>
                <w:lang w:eastAsia="tr-TR"/>
              </w:rPr>
            </w:pPr>
          </w:p>
          <w:p w:rsidR="00A46C6E" w:rsidRPr="00A23740" w:rsidRDefault="00A46C6E" w:rsidP="009431FF">
            <w:pPr>
              <w:widowControl w:val="0"/>
              <w:rPr>
                <w:rFonts w:eastAsia="Times New Roman"/>
                <w:b/>
                <w:bCs/>
                <w:color w:val="0000FF"/>
                <w:szCs w:val="24"/>
                <w:lang w:eastAsia="tr-TR"/>
              </w:rPr>
            </w:pPr>
          </w:p>
          <w:p w:rsidR="005468D1" w:rsidRPr="00A23740" w:rsidRDefault="005468D1" w:rsidP="009431FF">
            <w:pPr>
              <w:widowControl w:val="0"/>
              <w:rPr>
                <w:rFonts w:eastAsia="Times New Roman"/>
                <w:b/>
                <w:color w:val="0000FF"/>
                <w:szCs w:val="24"/>
                <w:lang w:eastAsia="tr-TR"/>
              </w:rPr>
            </w:pPr>
          </w:p>
          <w:p w:rsidR="005468D1" w:rsidRPr="00A23740" w:rsidRDefault="005468D1" w:rsidP="009431FF">
            <w:pPr>
              <w:widowControl w:val="0"/>
              <w:rPr>
                <w:rFonts w:eastAsia="Times New Roman"/>
                <w:b/>
                <w:color w:val="0000FF"/>
                <w:szCs w:val="24"/>
                <w:lang w:eastAsia="tr-TR"/>
              </w:rPr>
            </w:pPr>
          </w:p>
          <w:p w:rsidR="00A46C6E" w:rsidRPr="00A23740" w:rsidRDefault="00A46C6E" w:rsidP="009431FF">
            <w:pPr>
              <w:widowControl w:val="0"/>
              <w:rPr>
                <w:rFonts w:eastAsia="Times New Roman"/>
                <w:b/>
                <w:strike/>
                <w:color w:val="FF0000"/>
                <w:szCs w:val="24"/>
                <w:lang w:eastAsia="tr-TR"/>
              </w:rPr>
            </w:pPr>
            <w:r w:rsidRPr="00A23740">
              <w:rPr>
                <w:rFonts w:eastAsia="Times New Roman"/>
                <w:b/>
                <w:color w:val="0000FF"/>
                <w:szCs w:val="24"/>
                <w:lang w:eastAsia="tr-TR"/>
              </w:rPr>
              <w:t>(3)</w:t>
            </w:r>
            <w:r w:rsidRPr="00A23740">
              <w:rPr>
                <w:rFonts w:eastAsia="Times New Roman"/>
                <w:szCs w:val="24"/>
                <w:lang w:eastAsia="tr-TR"/>
              </w:rPr>
              <w:t xml:space="preserve"> İhtiyati </w:t>
            </w:r>
            <w:r w:rsidRPr="00A23740">
              <w:rPr>
                <w:rFonts w:eastAsia="Times New Roman"/>
                <w:b/>
                <w:color w:val="0000FF"/>
                <w:szCs w:val="24"/>
                <w:lang w:eastAsia="tr-TR"/>
              </w:rPr>
              <w:t>haciz</w:t>
            </w:r>
            <w:r w:rsidRPr="00A23740">
              <w:rPr>
                <w:rFonts w:eastAsia="Times New Roman"/>
                <w:szCs w:val="24"/>
                <w:lang w:eastAsia="tr-TR"/>
              </w:rPr>
              <w:t xml:space="preserve"> karar</w:t>
            </w:r>
            <w:r w:rsidRPr="00A23740">
              <w:rPr>
                <w:rFonts w:eastAsia="Times New Roman"/>
                <w:b/>
                <w:color w:val="0000FF"/>
                <w:szCs w:val="24"/>
                <w:lang w:eastAsia="tr-TR"/>
              </w:rPr>
              <w:t>ı,</w:t>
            </w:r>
            <w:r w:rsidRPr="00A23740">
              <w:rPr>
                <w:rFonts w:eastAsia="Times New Roman"/>
                <w:szCs w:val="24"/>
                <w:lang w:eastAsia="tr-TR"/>
              </w:rPr>
              <w:t xml:space="preserve"> bayrağı ve sicile kayıtlı olup olmadıkları dikkate alınmaksızın icra </w:t>
            </w:r>
            <w:r w:rsidRPr="006C062A">
              <w:rPr>
                <w:rFonts w:eastAsia="Times New Roman"/>
                <w:b/>
                <w:bCs/>
                <w:color w:val="0000FF"/>
                <w:szCs w:val="24"/>
                <w:lang w:eastAsia="tr-TR"/>
              </w:rPr>
              <w:t>ve iflas</w:t>
            </w:r>
            <w:r w:rsidRPr="00A23740">
              <w:rPr>
                <w:rFonts w:eastAsia="Times New Roman"/>
                <w:szCs w:val="24"/>
                <w:lang w:eastAsia="tr-TR"/>
              </w:rPr>
              <w:t xml:space="preserve"> müdürü tarafından ihtiyaten haczine karar verilen gemi seferden men </w:t>
            </w:r>
            <w:r w:rsidRPr="00A23740">
              <w:rPr>
                <w:rFonts w:eastAsia="Times New Roman"/>
                <w:b/>
                <w:color w:val="0000FF"/>
                <w:szCs w:val="24"/>
                <w:lang w:eastAsia="tr-TR"/>
              </w:rPr>
              <w:t>edilmek suretiyle uygulanır.</w:t>
            </w:r>
            <w:r w:rsidRPr="00A23740">
              <w:rPr>
                <w:rFonts w:eastAsia="Times New Roman"/>
                <w:b/>
                <w:color w:val="FF0000"/>
                <w:szCs w:val="24"/>
                <w:lang w:eastAsia="tr-TR"/>
              </w:rPr>
              <w:t xml:space="preserve"> </w:t>
            </w:r>
            <w:r w:rsidRPr="00A23740">
              <w:rPr>
                <w:rFonts w:eastAsia="Times New Roman"/>
                <w:szCs w:val="24"/>
                <w:lang w:eastAsia="tr-TR"/>
              </w:rPr>
              <w:t xml:space="preserve">Geminin seferden men </w:t>
            </w:r>
            <w:r w:rsidRPr="00A23740">
              <w:rPr>
                <w:rFonts w:eastAsia="Times New Roman"/>
                <w:b/>
                <w:color w:val="0000FF"/>
                <w:szCs w:val="24"/>
                <w:lang w:eastAsia="tr-TR"/>
              </w:rPr>
              <w:t>edilmek suretiyle ihtiyaten haczedildiğine dair haciz tutanağı,</w:t>
            </w:r>
            <w:r w:rsidRPr="00A23740">
              <w:rPr>
                <w:rFonts w:eastAsia="Times New Roman"/>
                <w:b/>
                <w:color w:val="FF0000"/>
                <w:szCs w:val="24"/>
                <w:lang w:eastAsia="tr-TR"/>
              </w:rPr>
              <w:t xml:space="preserve"> </w:t>
            </w:r>
            <w:r w:rsidRPr="00A23740">
              <w:rPr>
                <w:rFonts w:eastAsia="Times New Roman"/>
                <w:szCs w:val="24"/>
                <w:lang w:eastAsia="tr-TR"/>
              </w:rPr>
              <w:t>kaptana veya malike ya da</w:t>
            </w:r>
            <w:r w:rsidRPr="00A23740">
              <w:rPr>
                <w:rFonts w:eastAsia="Times New Roman"/>
                <w:b/>
                <w:color w:val="FF0000"/>
                <w:szCs w:val="24"/>
                <w:lang w:eastAsia="tr-TR"/>
              </w:rPr>
              <w:t xml:space="preserve"> </w:t>
            </w:r>
            <w:r w:rsidRPr="00A23740">
              <w:rPr>
                <w:rFonts w:eastAsia="Times New Roman"/>
                <w:b/>
                <w:color w:val="0000FF"/>
                <w:szCs w:val="24"/>
                <w:lang w:eastAsia="tr-TR"/>
              </w:rPr>
              <w:t>işletene</w:t>
            </w:r>
            <w:r w:rsidRPr="00A23740">
              <w:rPr>
                <w:rFonts w:eastAsia="Times New Roman"/>
                <w:b/>
                <w:color w:val="FF0000"/>
                <w:szCs w:val="24"/>
                <w:lang w:eastAsia="tr-TR"/>
              </w:rPr>
              <w:t xml:space="preserve"> </w:t>
            </w:r>
            <w:r w:rsidRPr="00A23740">
              <w:rPr>
                <w:rFonts w:eastAsia="Times New Roman"/>
                <w:szCs w:val="24"/>
                <w:lang w:eastAsia="tr-TR"/>
              </w:rPr>
              <w:t xml:space="preserve">yahut bunların bir temsilcisine </w:t>
            </w:r>
            <w:r w:rsidRPr="00A23740">
              <w:rPr>
                <w:rFonts w:eastAsia="Times New Roman"/>
                <w:b/>
                <w:color w:val="0000FF"/>
                <w:szCs w:val="24"/>
                <w:lang w:eastAsia="tr-TR"/>
              </w:rPr>
              <w:t>ve haciz sırasında hazır bulunmayan alacaklıya</w:t>
            </w:r>
            <w:r w:rsidRPr="00A23740">
              <w:rPr>
                <w:rFonts w:eastAsia="Times New Roman"/>
                <w:b/>
                <w:color w:val="FF0000"/>
                <w:szCs w:val="24"/>
                <w:lang w:eastAsia="tr-TR"/>
              </w:rPr>
              <w:t xml:space="preserve"> </w:t>
            </w:r>
            <w:r w:rsidRPr="00A23740">
              <w:rPr>
                <w:rFonts w:eastAsia="Times New Roman"/>
                <w:szCs w:val="24"/>
                <w:lang w:eastAsia="tr-TR"/>
              </w:rPr>
              <w:t>tebliğ edilir.</w:t>
            </w:r>
            <w:r w:rsidRPr="00A23740">
              <w:rPr>
                <w:rFonts w:eastAsia="Times New Roman"/>
                <w:b/>
                <w:color w:val="FF0000"/>
                <w:szCs w:val="24"/>
                <w:lang w:eastAsia="tr-TR"/>
              </w:rPr>
              <w:t xml:space="preserve"> </w:t>
            </w:r>
            <w:r w:rsidRPr="00A23740">
              <w:rPr>
                <w:rFonts w:eastAsia="Times New Roman"/>
                <w:szCs w:val="24"/>
                <w:lang w:eastAsia="tr-TR"/>
              </w:rPr>
              <w:t xml:space="preserve">Gemi, </w:t>
            </w:r>
            <w:r w:rsidRPr="00A23740">
              <w:rPr>
                <w:rFonts w:eastAsia="Times New Roman"/>
                <w:b/>
                <w:color w:val="0000FF"/>
                <w:szCs w:val="24"/>
                <w:lang w:eastAsia="tr-TR"/>
              </w:rPr>
              <w:t>duruma göre kaptana veya işletene ya da borçtan şahsen sorumlu olan kişiye yahut bunların temsilcisine</w:t>
            </w:r>
            <w:r w:rsidRPr="00A23740">
              <w:rPr>
                <w:rFonts w:eastAsia="Times New Roman"/>
                <w:szCs w:val="24"/>
                <w:lang w:eastAsia="tr-TR"/>
              </w:rPr>
              <w:t xml:space="preserve"> yediemin sıfatıyla bırakılır </w:t>
            </w:r>
            <w:r w:rsidRPr="00A23740">
              <w:rPr>
                <w:b/>
                <w:bCs/>
                <w:color w:val="0000FF"/>
                <w:lang w:val="x-none" w:eastAsia="x-none"/>
              </w:rPr>
              <w:t>veyahut malikin yedinde muhafaza edilir.</w:t>
            </w:r>
            <w:r w:rsidRPr="00A23740">
              <w:rPr>
                <w:rFonts w:eastAsia="Times New Roman"/>
                <w:b/>
                <w:color w:val="0000FF"/>
                <w:szCs w:val="24"/>
                <w:lang w:eastAsia="tr-TR"/>
              </w:rPr>
              <w:t xml:space="preserve"> </w:t>
            </w:r>
            <w:r w:rsidRPr="00A23740">
              <w:rPr>
                <w:rFonts w:eastAsia="Times New Roman"/>
                <w:b/>
                <w:bCs/>
                <w:color w:val="0000FF"/>
                <w:szCs w:val="24"/>
                <w:lang w:eastAsia="tr-TR"/>
              </w:rPr>
              <w:t>Geminin belirtilen bu kişilere yediemin sıfatıyla bırakılması ya da malikin yedinde muhafaza edilmesi mümkün veya uygun olmadığı takdirde, icra</w:t>
            </w:r>
            <w:r w:rsidR="007E6661" w:rsidRPr="00A23740">
              <w:rPr>
                <w:rFonts w:eastAsia="Times New Roman"/>
                <w:b/>
                <w:bCs/>
                <w:color w:val="0000FF"/>
                <w:szCs w:val="24"/>
                <w:lang w:eastAsia="tr-TR"/>
              </w:rPr>
              <w:t xml:space="preserve"> </w:t>
            </w:r>
            <w:r w:rsidR="007E6661" w:rsidRPr="006C062A">
              <w:rPr>
                <w:rFonts w:eastAsia="Times New Roman"/>
                <w:b/>
                <w:bCs/>
                <w:color w:val="0000FF"/>
                <w:szCs w:val="24"/>
                <w:lang w:eastAsia="tr-TR"/>
              </w:rPr>
              <w:t>ve iflas</w:t>
            </w:r>
            <w:r w:rsidRPr="00A23740">
              <w:rPr>
                <w:rFonts w:eastAsia="Times New Roman"/>
                <w:b/>
                <w:bCs/>
                <w:color w:val="0000FF"/>
                <w:szCs w:val="24"/>
                <w:lang w:eastAsia="tr-TR"/>
              </w:rPr>
              <w:t xml:space="preserve"> müdürü, üçüncü bir kişiyi ya da talep etmesi h</w:t>
            </w:r>
            <w:r w:rsidR="00A92634" w:rsidRPr="00A23740">
              <w:rPr>
                <w:rFonts w:eastAsia="Times New Roman"/>
                <w:b/>
                <w:bCs/>
                <w:color w:val="0000FF"/>
                <w:szCs w:val="24"/>
                <w:lang w:eastAsia="tr-TR"/>
              </w:rPr>
              <w:t>â</w:t>
            </w:r>
            <w:r w:rsidRPr="00A23740">
              <w:rPr>
                <w:rFonts w:eastAsia="Times New Roman"/>
                <w:b/>
                <w:bCs/>
                <w:color w:val="0000FF"/>
                <w:szCs w:val="24"/>
                <w:lang w:eastAsia="tr-TR"/>
              </w:rPr>
              <w:t xml:space="preserve">linde alacaklıyı yediemin olarak atayabilir. </w:t>
            </w:r>
            <w:r w:rsidRPr="00A23740">
              <w:rPr>
                <w:rFonts w:eastAsia="Times New Roman"/>
                <w:szCs w:val="24"/>
                <w:lang w:eastAsia="tr-TR"/>
              </w:rPr>
              <w:t>Yediemine, görevi ve Türk Ceza Kanununun 289 uncu maddesinden doğan cezai sorumluluk dâhil olmak üzere kanuni sorumlulukları hatırlatılır.</w:t>
            </w:r>
          </w:p>
          <w:p w:rsidR="00A46C6E" w:rsidRPr="00A23740" w:rsidRDefault="00A46C6E" w:rsidP="009431FF">
            <w:pPr>
              <w:widowControl w:val="0"/>
              <w:rPr>
                <w:rFonts w:eastAsia="Times New Roman"/>
                <w:strike/>
                <w:szCs w:val="24"/>
                <w:lang w:eastAsia="x-none"/>
              </w:rPr>
            </w:pPr>
          </w:p>
          <w:p w:rsidR="00A46C6E" w:rsidRPr="00A23740" w:rsidRDefault="00A46C6E" w:rsidP="009431FF">
            <w:pPr>
              <w:widowControl w:val="0"/>
              <w:rPr>
                <w:rFonts w:eastAsia="Times New Roman"/>
                <w:szCs w:val="24"/>
                <w:lang w:eastAsia="x-none"/>
              </w:rPr>
            </w:pPr>
            <w:r w:rsidRPr="00A23740">
              <w:rPr>
                <w:rFonts w:eastAsia="Times New Roman"/>
                <w:b/>
                <w:bCs/>
                <w:color w:val="0000FF"/>
                <w:szCs w:val="24"/>
                <w:lang w:eastAsia="tr-TR"/>
              </w:rPr>
              <w:t>(4)</w:t>
            </w:r>
            <w:r w:rsidRPr="00A23740">
              <w:rPr>
                <w:rFonts w:eastAsia="Times New Roman"/>
                <w:szCs w:val="24"/>
                <w:lang w:eastAsia="tr-TR"/>
              </w:rPr>
              <w:t xml:space="preserve"> Haczi uygulayan memurun düzenleyeceği ihtiyati haciz tutanağında, geminin </w:t>
            </w:r>
            <w:r w:rsidRPr="00A23740">
              <w:rPr>
                <w:rFonts w:eastAsia="Times New Roman"/>
                <w:b/>
                <w:bCs/>
                <w:color w:val="0000FF"/>
                <w:szCs w:val="24"/>
                <w:lang w:eastAsia="tr-TR"/>
              </w:rPr>
              <w:t xml:space="preserve">adının ve varsa </w:t>
            </w:r>
            <w:r w:rsidR="00E91B54" w:rsidRPr="00E91B54">
              <w:rPr>
                <w:rFonts w:eastAsia="Times New Roman"/>
                <w:b/>
                <w:bCs/>
                <w:color w:val="0000FF"/>
                <w:lang w:eastAsia="tr-TR"/>
              </w:rPr>
              <w:t xml:space="preserve"> Uluslararası Denizcilik Örgütü Gemi Tanıtım Sistemi uyarınca gemilere verilen numaranın (</w:t>
            </w:r>
            <w:r w:rsidR="00E91B54">
              <w:rPr>
                <w:rFonts w:eastAsia="Times New Roman"/>
                <w:b/>
                <w:bCs/>
                <w:color w:val="0000FF"/>
                <w:lang w:eastAsia="tr-TR"/>
              </w:rPr>
              <w:t>I</w:t>
            </w:r>
            <w:r w:rsidR="00E91B54" w:rsidRPr="00E91B54">
              <w:rPr>
                <w:rFonts w:eastAsia="Times New Roman"/>
                <w:b/>
                <w:bCs/>
                <w:color w:val="0000FF"/>
                <w:lang w:eastAsia="tr-TR"/>
              </w:rPr>
              <w:t>MO)</w:t>
            </w:r>
            <w:r w:rsidR="00E91B54" w:rsidRPr="00E91B54">
              <w:rPr>
                <w:rFonts w:eastAsia="Times New Roman"/>
                <w:b/>
                <w:bCs/>
                <w:color w:val="0000FF"/>
                <w:szCs w:val="24"/>
                <w:lang w:eastAsia="tr-TR"/>
              </w:rPr>
              <w:t xml:space="preserve"> </w:t>
            </w:r>
            <w:r w:rsidRPr="000F3FFB">
              <w:t>belirtilmesi yeterli</w:t>
            </w:r>
            <w:r w:rsidRPr="00F257EC">
              <w:rPr>
                <w:rFonts w:eastAsia="Times New Roman"/>
                <w:color w:val="0000FF"/>
                <w:szCs w:val="24"/>
                <w:lang w:eastAsia="tr-TR"/>
              </w:rPr>
              <w:t xml:space="preserve"> </w:t>
            </w:r>
            <w:r w:rsidRPr="00F257EC">
              <w:rPr>
                <w:rFonts w:eastAsia="Times New Roman"/>
                <w:b/>
                <w:bCs/>
                <w:color w:val="0000FF"/>
                <w:szCs w:val="24"/>
                <w:lang w:eastAsia="tr-TR"/>
              </w:rPr>
              <w:t>olup</w:t>
            </w:r>
            <w:r w:rsidR="007E6661" w:rsidRPr="00F257EC">
              <w:rPr>
                <w:rFonts w:eastAsia="Times New Roman"/>
                <w:b/>
                <w:bCs/>
                <w:color w:val="0000FF"/>
                <w:szCs w:val="24"/>
                <w:lang w:eastAsia="tr-TR"/>
              </w:rPr>
              <w:t xml:space="preserve"> tutanağa geminin</w:t>
            </w:r>
            <w:r w:rsidRPr="00A23740">
              <w:rPr>
                <w:rFonts w:eastAsia="Times New Roman"/>
                <w:b/>
                <w:bCs/>
                <w:color w:val="0000FF"/>
                <w:szCs w:val="24"/>
                <w:lang w:eastAsia="tr-TR"/>
              </w:rPr>
              <w:t xml:space="preserve"> </w:t>
            </w:r>
            <w:r w:rsidRPr="00A23740">
              <w:rPr>
                <w:rFonts w:eastAsia="Times New Roman"/>
                <w:szCs w:val="24"/>
                <w:lang w:eastAsia="tr-TR"/>
              </w:rPr>
              <w:t xml:space="preserve">değerinin </w:t>
            </w:r>
            <w:r w:rsidRPr="00A23740">
              <w:rPr>
                <w:rFonts w:eastAsia="Times New Roman"/>
                <w:b/>
                <w:bCs/>
                <w:color w:val="0000FF"/>
                <w:szCs w:val="24"/>
                <w:lang w:eastAsia="tr-TR"/>
              </w:rPr>
              <w:t>de</w:t>
            </w:r>
            <w:r w:rsidRPr="00A23740">
              <w:rPr>
                <w:rFonts w:eastAsia="Times New Roman"/>
                <w:szCs w:val="24"/>
                <w:lang w:eastAsia="tr-TR"/>
              </w:rPr>
              <w:t xml:space="preserve"> yazılması gerekmez. </w:t>
            </w:r>
            <w:r w:rsidRPr="00A23740">
              <w:rPr>
                <w:rFonts w:eastAsia="Times New Roman"/>
                <w:b/>
                <w:bCs/>
                <w:color w:val="0000FF"/>
                <w:szCs w:val="24"/>
                <w:lang w:eastAsia="tr-TR"/>
              </w:rPr>
              <w:t xml:space="preserve">Ancak, </w:t>
            </w:r>
            <w:r w:rsidRPr="00A23740">
              <w:rPr>
                <w:rFonts w:eastAsia="Times New Roman"/>
                <w:szCs w:val="24"/>
                <w:lang w:eastAsia="tr-TR"/>
              </w:rPr>
              <w:t xml:space="preserve">taraflardan birinin </w:t>
            </w:r>
            <w:r w:rsidRPr="00A23740">
              <w:rPr>
                <w:rFonts w:eastAsia="Times New Roman"/>
                <w:b/>
                <w:bCs/>
                <w:color w:val="0000FF"/>
                <w:szCs w:val="24"/>
                <w:lang w:eastAsia="tr-TR"/>
              </w:rPr>
              <w:t>talep etmesi h</w:t>
            </w:r>
            <w:r w:rsidR="00A92634" w:rsidRPr="00A23740">
              <w:rPr>
                <w:rFonts w:eastAsia="Times New Roman"/>
                <w:b/>
                <w:bCs/>
                <w:color w:val="0000FF"/>
                <w:szCs w:val="24"/>
                <w:lang w:eastAsia="tr-TR"/>
              </w:rPr>
              <w:t>â</w:t>
            </w:r>
            <w:r w:rsidRPr="00A23740">
              <w:rPr>
                <w:rFonts w:eastAsia="Times New Roman"/>
                <w:b/>
                <w:bCs/>
                <w:color w:val="0000FF"/>
                <w:szCs w:val="24"/>
                <w:lang w:eastAsia="tr-TR"/>
              </w:rPr>
              <w:t>linde</w:t>
            </w:r>
            <w:r w:rsidRPr="00A23740">
              <w:rPr>
                <w:rFonts w:eastAsia="Times New Roman"/>
                <w:szCs w:val="24"/>
                <w:lang w:eastAsia="tr-TR"/>
              </w:rPr>
              <w:t xml:space="preserve"> geminin değeri icra </w:t>
            </w:r>
            <w:r w:rsidRPr="00A23740">
              <w:rPr>
                <w:rFonts w:eastAsia="Times New Roman"/>
                <w:b/>
                <w:bCs/>
                <w:color w:val="0000FF"/>
                <w:szCs w:val="24"/>
                <w:lang w:eastAsia="tr-TR"/>
              </w:rPr>
              <w:t>hukuk</w:t>
            </w:r>
            <w:r w:rsidRPr="00A23740">
              <w:rPr>
                <w:rFonts w:eastAsia="Times New Roman"/>
                <w:szCs w:val="24"/>
                <w:lang w:eastAsia="tr-TR"/>
              </w:rPr>
              <w:t xml:space="preserve"> mahkemesince </w:t>
            </w:r>
            <w:r w:rsidRPr="00A23740">
              <w:rPr>
                <w:rFonts w:eastAsia="Times New Roman"/>
                <w:b/>
                <w:bCs/>
                <w:color w:val="0000FF"/>
                <w:szCs w:val="24"/>
                <w:lang w:eastAsia="tr-TR"/>
              </w:rPr>
              <w:t xml:space="preserve">tespit edilir. </w:t>
            </w:r>
          </w:p>
          <w:p w:rsidR="00A46C6E" w:rsidRPr="00A23740" w:rsidRDefault="00A46C6E" w:rsidP="009431FF">
            <w:pPr>
              <w:widowControl w:val="0"/>
              <w:rPr>
                <w:rFonts w:eastAsia="Times New Roman"/>
                <w:szCs w:val="24"/>
                <w:lang w:eastAsia="x-none"/>
              </w:rPr>
            </w:pPr>
          </w:p>
          <w:p w:rsidR="00A46C6E" w:rsidRPr="00A23740" w:rsidRDefault="00A46C6E" w:rsidP="009431FF">
            <w:pPr>
              <w:widowControl w:val="0"/>
              <w:rPr>
                <w:rFonts w:eastAsia="Times New Roman"/>
                <w:szCs w:val="24"/>
              </w:rPr>
            </w:pPr>
            <w:r w:rsidRPr="00A23740">
              <w:rPr>
                <w:rFonts w:eastAsia="Times New Roman"/>
                <w:b/>
                <w:bCs/>
                <w:color w:val="0000FF"/>
                <w:szCs w:val="24"/>
                <w:lang w:eastAsia="tr-TR"/>
              </w:rPr>
              <w:t xml:space="preserve">(5) </w:t>
            </w:r>
            <w:r w:rsidRPr="00A23740">
              <w:rPr>
                <w:rFonts w:eastAsia="Times New Roman"/>
                <w:szCs w:val="24"/>
                <w:lang w:eastAsia="x-none"/>
              </w:rPr>
              <w:t>Geminin</w:t>
            </w:r>
            <w:r w:rsidRPr="00A23740">
              <w:rPr>
                <w:rFonts w:eastAsia="Times New Roman"/>
                <w:b/>
                <w:bCs/>
                <w:color w:val="0000FF"/>
                <w:szCs w:val="24"/>
                <w:lang w:eastAsia="tr-TR"/>
              </w:rPr>
              <w:t xml:space="preserve"> seferden men edilmek suretiyle ihtiyaten haczedildiği, </w:t>
            </w:r>
            <w:r w:rsidRPr="00A23740">
              <w:rPr>
                <w:rFonts w:eastAsia="Times New Roman"/>
                <w:szCs w:val="24"/>
                <w:lang w:eastAsia="x-none"/>
              </w:rPr>
              <w:t>bulunduğu bölgeden sorumlu sahil güvenlik komutanlığına veya emniyet teşkilatına, liman başkanlığına ve gümrük idaresine</w:t>
            </w:r>
            <w:r w:rsidRPr="00A23740">
              <w:rPr>
                <w:rFonts w:eastAsia="Times New Roman"/>
                <w:b/>
                <w:bCs/>
                <w:color w:val="0000FF"/>
                <w:szCs w:val="24"/>
                <w:lang w:eastAsia="tr-TR"/>
              </w:rPr>
              <w:t>,</w:t>
            </w:r>
            <w:r w:rsidRPr="00A23740">
              <w:rPr>
                <w:rFonts w:eastAsia="Times New Roman"/>
                <w:szCs w:val="24"/>
                <w:lang w:eastAsia="x-none"/>
              </w:rPr>
              <w:t xml:space="preserve"> </w:t>
            </w:r>
            <w:r w:rsidRPr="00A23740">
              <w:rPr>
                <w:rFonts w:eastAsia="Times New Roman"/>
                <w:b/>
                <w:bCs/>
                <w:color w:val="0000FF"/>
                <w:szCs w:val="24"/>
                <w:lang w:eastAsia="tr-TR"/>
              </w:rPr>
              <w:t>bir Türk gemi siciline kayıtlı gemilerde geminin kayıtlı olduğu sicil müdürlüğüne;</w:t>
            </w:r>
            <w:r w:rsidRPr="00A23740">
              <w:rPr>
                <w:rFonts w:eastAsia="Times New Roman"/>
                <w:szCs w:val="24"/>
                <w:lang w:eastAsia="x-none"/>
              </w:rPr>
              <w:t xml:space="preserve"> yabancı </w:t>
            </w:r>
            <w:r w:rsidRPr="00A23740">
              <w:rPr>
                <w:rFonts w:eastAsia="Times New Roman"/>
                <w:b/>
                <w:bCs/>
                <w:color w:val="0000FF"/>
                <w:szCs w:val="24"/>
                <w:lang w:eastAsia="tr-TR"/>
              </w:rPr>
              <w:t>bayraklı</w:t>
            </w:r>
            <w:r w:rsidRPr="00A23740">
              <w:rPr>
                <w:rFonts w:eastAsia="Times New Roman"/>
                <w:szCs w:val="24"/>
                <w:lang w:eastAsia="x-none"/>
              </w:rPr>
              <w:t xml:space="preserve"> gemilerde </w:t>
            </w:r>
            <w:r w:rsidRPr="00A23740">
              <w:rPr>
                <w:rFonts w:eastAsia="Times New Roman"/>
                <w:b/>
                <w:bCs/>
                <w:color w:val="0000FF"/>
                <w:szCs w:val="24"/>
                <w:lang w:eastAsia="tr-TR"/>
              </w:rPr>
              <w:t>ise mümkün olduğu takdirde</w:t>
            </w:r>
            <w:r w:rsidRPr="00A23740">
              <w:rPr>
                <w:rFonts w:eastAsia="Times New Roman"/>
                <w:szCs w:val="24"/>
                <w:lang w:eastAsia="x-none"/>
              </w:rPr>
              <w:t xml:space="preserve"> geminin bayrağını taşıdığı devletin en yakın konsolosluğuna </w:t>
            </w:r>
            <w:r w:rsidRPr="00A23740">
              <w:rPr>
                <w:rFonts w:eastAsia="Times New Roman"/>
                <w:b/>
                <w:bCs/>
                <w:color w:val="0000FF"/>
                <w:szCs w:val="24"/>
                <w:lang w:eastAsia="tr-TR"/>
              </w:rPr>
              <w:t>derh</w:t>
            </w:r>
            <w:r w:rsidR="00DF22A1" w:rsidRPr="00A23740">
              <w:rPr>
                <w:rFonts w:eastAsia="Times New Roman"/>
                <w:b/>
                <w:bCs/>
                <w:color w:val="0000FF"/>
                <w:szCs w:val="24"/>
                <w:lang w:eastAsia="tr-TR"/>
              </w:rPr>
              <w:t>â</w:t>
            </w:r>
            <w:r w:rsidRPr="00A23740">
              <w:rPr>
                <w:rFonts w:eastAsia="Times New Roman"/>
                <w:b/>
                <w:bCs/>
                <w:color w:val="0000FF"/>
                <w:szCs w:val="24"/>
                <w:lang w:eastAsia="tr-TR"/>
              </w:rPr>
              <w:t>l</w:t>
            </w:r>
            <w:r w:rsidRPr="00A23740">
              <w:rPr>
                <w:rFonts w:eastAsia="Times New Roman"/>
                <w:szCs w:val="24"/>
                <w:lang w:eastAsia="x-none"/>
              </w:rPr>
              <w:t xml:space="preserve"> bildiri</w:t>
            </w:r>
            <w:r w:rsidRPr="00A23740">
              <w:rPr>
                <w:rFonts w:eastAsia="Times New Roman"/>
                <w:b/>
                <w:bCs/>
                <w:color w:val="0000FF"/>
                <w:szCs w:val="24"/>
                <w:lang w:eastAsia="tr-TR"/>
              </w:rPr>
              <w:t>lir</w:t>
            </w:r>
            <w:r w:rsidRPr="00A23740">
              <w:rPr>
                <w:rFonts w:eastAsia="Times New Roman"/>
                <w:szCs w:val="24"/>
                <w:lang w:eastAsia="x-none"/>
              </w:rPr>
              <w:t>.</w:t>
            </w:r>
            <w:r w:rsidRPr="00A23740">
              <w:rPr>
                <w:rFonts w:eastAsia="Times New Roman"/>
                <w:b/>
                <w:bCs/>
                <w:color w:val="0000FF"/>
                <w:szCs w:val="24"/>
                <w:lang w:eastAsia="tr-TR"/>
              </w:rPr>
              <w:t xml:space="preserve"> Geminin ihtiyaten haczedildiği bildirilen Türk </w:t>
            </w:r>
            <w:r w:rsidR="00974DD1" w:rsidRPr="00A23740">
              <w:rPr>
                <w:rFonts w:eastAsia="Times New Roman"/>
                <w:b/>
                <w:bCs/>
                <w:color w:val="0000FF"/>
                <w:szCs w:val="24"/>
                <w:lang w:eastAsia="tr-TR"/>
              </w:rPr>
              <w:t xml:space="preserve">gemi sicili müdürlüğü </w:t>
            </w:r>
            <w:r w:rsidRPr="00A23740">
              <w:rPr>
                <w:rFonts w:eastAsia="Times New Roman"/>
                <w:b/>
                <w:bCs/>
                <w:color w:val="0000FF"/>
                <w:szCs w:val="24"/>
                <w:lang w:eastAsia="tr-TR"/>
              </w:rPr>
              <w:t>ihtiyati haczi gemi siciline kaydeder.</w:t>
            </w:r>
            <w:r w:rsidRPr="00A23740">
              <w:rPr>
                <w:rFonts w:eastAsia="Times New Roman"/>
                <w:szCs w:val="24"/>
                <w:lang w:eastAsia="tr-TR"/>
              </w:rPr>
              <w:t xml:space="preserve"> </w:t>
            </w:r>
          </w:p>
          <w:p w:rsidR="00A46C6E" w:rsidRPr="00A23740" w:rsidRDefault="00A46C6E" w:rsidP="009431FF">
            <w:pPr>
              <w:widowControl w:val="0"/>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80" w:name="_Hlk134338439"/>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498</w:t>
            </w:r>
            <w:r w:rsidR="00A46C6E" w:rsidRPr="00A23740">
              <w:rPr>
                <w:rFonts w:eastAsia="Times New Roman"/>
                <w:b/>
                <w:bCs/>
                <w:szCs w:val="24"/>
                <w:lang w:eastAsia="tr-TR"/>
              </w:rPr>
              <w:t xml:space="preserve">- </w:t>
            </w:r>
            <w:bookmarkStart w:id="81" w:name="_Hlk172877143"/>
            <w:r w:rsidR="00A46C6E" w:rsidRPr="00A23740">
              <w:rPr>
                <w:bCs/>
                <w:szCs w:val="24"/>
                <w:lang w:eastAsia="x-none"/>
              </w:rPr>
              <w:t xml:space="preserve">Maddeyle, </w:t>
            </w:r>
            <w:r w:rsidR="00A46C6E" w:rsidRPr="00A23740">
              <w:rPr>
                <w:rFonts w:eastAsia="Times New Roman"/>
                <w:szCs w:val="24"/>
              </w:rPr>
              <w:t>ihtiyati haciz kararının uygulanmasına ilişkin</w:t>
            </w:r>
            <w:r w:rsidR="00A46C6E" w:rsidRPr="00A23740">
              <w:rPr>
                <w:bCs/>
                <w:szCs w:val="24"/>
                <w:lang w:eastAsia="x-none"/>
              </w:rPr>
              <w:t xml:space="preserve"> hususlar düzenlenmektedir.</w:t>
            </w:r>
            <w:bookmarkEnd w:id="81"/>
          </w:p>
          <w:p w:rsidR="00A46C6E" w:rsidRPr="00A23740" w:rsidRDefault="00A46C6E" w:rsidP="009431FF">
            <w:pPr>
              <w:ind w:firstLine="709"/>
              <w:rPr>
                <w:rFonts w:eastAsia="Times New Roman"/>
                <w:szCs w:val="24"/>
              </w:rPr>
            </w:pPr>
            <w:r w:rsidRPr="00A23740">
              <w:rPr>
                <w:rFonts w:eastAsia="Times New Roman"/>
                <w:szCs w:val="24"/>
              </w:rPr>
              <w:t xml:space="preserve">Taslağın </w:t>
            </w:r>
            <w:r w:rsidR="00960956" w:rsidRPr="00F257EC">
              <w:rPr>
                <w:rFonts w:eastAsia="Times New Roman"/>
                <w:szCs w:val="24"/>
              </w:rPr>
              <w:t>457</w:t>
            </w:r>
            <w:r w:rsidR="00960956" w:rsidRPr="00F257EC">
              <w:rPr>
                <w:rFonts w:eastAsia="Times New Roman"/>
                <w:b/>
                <w:bCs/>
                <w:szCs w:val="24"/>
              </w:rPr>
              <w:t xml:space="preserve"> </w:t>
            </w:r>
            <w:r w:rsidR="00960956" w:rsidRPr="00F257EC">
              <w:rPr>
                <w:rFonts w:eastAsia="Times New Roman"/>
                <w:szCs w:val="24"/>
              </w:rPr>
              <w:t>nci</w:t>
            </w:r>
            <w:r w:rsidR="00960956" w:rsidRPr="00A23740">
              <w:rPr>
                <w:rFonts w:eastAsia="Times New Roman"/>
                <w:szCs w:val="24"/>
              </w:rPr>
              <w:t xml:space="preserve"> </w:t>
            </w:r>
            <w:r w:rsidRPr="00A23740">
              <w:rPr>
                <w:rFonts w:eastAsia="Times New Roman"/>
                <w:szCs w:val="24"/>
              </w:rPr>
              <w:t xml:space="preserve">maddesinde ihtiyati haciz kararının </w:t>
            </w:r>
            <w:r w:rsidR="00960956" w:rsidRPr="00F257EC">
              <w:rPr>
                <w:rFonts w:eastAsia="Times New Roman"/>
                <w:szCs w:val="24"/>
              </w:rPr>
              <w:t>uygulanmasının</w:t>
            </w:r>
            <w:r w:rsidRPr="00A23740">
              <w:rPr>
                <w:rFonts w:eastAsia="Times New Roman"/>
                <w:szCs w:val="24"/>
              </w:rPr>
              <w:t xml:space="preserve"> talebi için bir haftalık süre öngörülmüş iken, gemilerin ihtiyati haczinde bundan daha kısa bir sürenin öngörülmesini gerektiren makul bir sebep bulunmaması, özellikle de </w:t>
            </w:r>
            <w:r w:rsidRPr="00A23740">
              <w:rPr>
                <w:rFonts w:eastAsia="Times New Roman"/>
                <w:bCs/>
                <w:szCs w:val="24"/>
              </w:rPr>
              <w:t>6102 sayılı Kanunun</w:t>
            </w:r>
            <w:r w:rsidRPr="00A23740">
              <w:rPr>
                <w:rFonts w:eastAsia="Times New Roman"/>
                <w:szCs w:val="24"/>
              </w:rPr>
              <w:t xml:space="preserve"> 1364 üncü maddesinin gerekçesinde açıklanan </w:t>
            </w:r>
            <w:r w:rsidR="00F224AA" w:rsidRPr="00A23740">
              <w:rPr>
                <w:rFonts w:eastAsia="Times New Roman"/>
                <w:szCs w:val="24"/>
              </w:rPr>
              <w:t xml:space="preserve">ve </w:t>
            </w:r>
            <w:r w:rsidRPr="00A23740">
              <w:rPr>
                <w:rFonts w:eastAsia="Times New Roman"/>
                <w:szCs w:val="24"/>
              </w:rPr>
              <w:t xml:space="preserve">kararın infazını isteme süresini üç iş gününe (gerekçede üç güne) </w:t>
            </w:r>
            <w:r w:rsidR="00F224AA" w:rsidRPr="00A23740">
              <w:rPr>
                <w:rFonts w:eastAsia="Times New Roman"/>
                <w:szCs w:val="24"/>
              </w:rPr>
              <w:t xml:space="preserve">indiren </w:t>
            </w:r>
            <w:r w:rsidRPr="00A23740">
              <w:rPr>
                <w:rFonts w:eastAsia="Times New Roman"/>
                <w:szCs w:val="24"/>
              </w:rPr>
              <w:t xml:space="preserve">sebebin kabul edilebilir olmaması; ayrıca Taslağın dava açılmadan önce ihtiyati haciz kararı vermeye yetkili mahkemelere dair </w:t>
            </w:r>
            <w:r w:rsidR="00960956" w:rsidRPr="00F257EC">
              <w:rPr>
                <w:rFonts w:eastAsia="Times New Roman"/>
                <w:szCs w:val="24"/>
              </w:rPr>
              <w:t>494</w:t>
            </w:r>
            <w:r w:rsidR="00960956" w:rsidRPr="00F257EC">
              <w:rPr>
                <w:rFonts w:eastAsia="Times New Roman"/>
                <w:b/>
                <w:bCs/>
                <w:szCs w:val="24"/>
              </w:rPr>
              <w:t xml:space="preserve"> </w:t>
            </w:r>
            <w:r w:rsidR="00960956" w:rsidRPr="00F257EC">
              <w:rPr>
                <w:rFonts w:eastAsia="Times New Roman"/>
                <w:szCs w:val="24"/>
              </w:rPr>
              <w:t>üncü</w:t>
            </w:r>
            <w:r w:rsidR="00960956" w:rsidRPr="00A23740">
              <w:rPr>
                <w:rFonts w:eastAsia="Times New Roman"/>
                <w:szCs w:val="24"/>
              </w:rPr>
              <w:t xml:space="preserve"> </w:t>
            </w:r>
            <w:r w:rsidRPr="00A23740">
              <w:rPr>
                <w:rFonts w:eastAsia="Times New Roman"/>
                <w:szCs w:val="24"/>
              </w:rPr>
              <w:t>maddesinin ikinci fıkrasında gemi henüz Türk karasularında durmadan ihtiyati haciz kararı alınmasına imk</w:t>
            </w:r>
            <w:r w:rsidR="00BE53A8" w:rsidRPr="00A23740">
              <w:rPr>
                <w:rFonts w:eastAsia="Times New Roman"/>
                <w:szCs w:val="24"/>
              </w:rPr>
              <w:t>â</w:t>
            </w:r>
            <w:r w:rsidRPr="00A23740">
              <w:rPr>
                <w:rFonts w:eastAsia="Times New Roman"/>
                <w:szCs w:val="24"/>
              </w:rPr>
              <w:t>n tanınmış olması sebebiyle</w:t>
            </w:r>
            <w:r w:rsidR="00F224AA" w:rsidRPr="00A23740">
              <w:rPr>
                <w:rFonts w:eastAsia="Times New Roman"/>
                <w:szCs w:val="24"/>
              </w:rPr>
              <w:t>,</w:t>
            </w:r>
            <w:r w:rsidRPr="00A23740">
              <w:rPr>
                <w:rFonts w:eastAsia="Times New Roman"/>
                <w:szCs w:val="24"/>
              </w:rPr>
              <w:t xml:space="preserve"> Taslağın bu maddesinin birinci fıkrasında ihtiyati haciz kararının infazının istenebileceği süre bir hafta olarak belirlenmiştir.</w:t>
            </w:r>
          </w:p>
          <w:p w:rsidR="00A46C6E" w:rsidRPr="00A23740" w:rsidRDefault="00A46C6E" w:rsidP="009431FF">
            <w:pPr>
              <w:ind w:firstLine="709"/>
              <w:rPr>
                <w:rFonts w:eastAsia="Times New Roman"/>
                <w:szCs w:val="24"/>
              </w:rPr>
            </w:pPr>
            <w:r w:rsidRPr="00A23740">
              <w:rPr>
                <w:rFonts w:eastAsia="Times New Roman"/>
                <w:szCs w:val="24"/>
              </w:rPr>
              <w:t>Gemiler çok kısa sürede durdukları yerden ayrılıp Türk kara sularını terk edebileceklerinden, Taslağın 40 ıncı</w:t>
            </w:r>
            <w:r w:rsidR="00960956" w:rsidRPr="00A23740">
              <w:rPr>
                <w:rFonts w:eastAsia="Times New Roman"/>
                <w:szCs w:val="24"/>
              </w:rPr>
              <w:t xml:space="preserve"> </w:t>
            </w:r>
            <w:r w:rsidRPr="00A23740">
              <w:rPr>
                <w:rFonts w:eastAsia="Times New Roman"/>
                <w:szCs w:val="24"/>
              </w:rPr>
              <w:t>maddesi</w:t>
            </w:r>
            <w:r w:rsidR="00F224AA" w:rsidRPr="00A23740">
              <w:rPr>
                <w:rFonts w:eastAsia="Times New Roman"/>
                <w:szCs w:val="24"/>
              </w:rPr>
              <w:t>yle</w:t>
            </w:r>
            <w:r w:rsidRPr="00A23740">
              <w:rPr>
                <w:rFonts w:eastAsia="Times New Roman"/>
                <w:szCs w:val="24"/>
              </w:rPr>
              <w:t xml:space="preserve"> ifade uyumu da dikkate alınarak maddenin ikinci fıkrasında</w:t>
            </w:r>
            <w:r w:rsidR="00F224AA" w:rsidRPr="00A23740">
              <w:rPr>
                <w:rFonts w:eastAsia="Times New Roman"/>
                <w:szCs w:val="24"/>
              </w:rPr>
              <w:t>;</w:t>
            </w:r>
            <w:r w:rsidRPr="00A23740">
              <w:rPr>
                <w:rFonts w:eastAsia="Times New Roman"/>
                <w:szCs w:val="24"/>
              </w:rPr>
              <w:t xml:space="preserve"> “ihtiyati haczin, çalışma saatleri dışında ve tatil günlerinde de </w:t>
            </w:r>
            <w:r w:rsidR="00BA118F" w:rsidRPr="00F257EC">
              <w:rPr>
                <w:rFonts w:eastAsia="Times New Roman"/>
                <w:szCs w:val="24"/>
              </w:rPr>
              <w:t>uygulanacağı</w:t>
            </w:r>
            <w:r w:rsidRPr="00A23740">
              <w:rPr>
                <w:rFonts w:eastAsia="Times New Roman"/>
                <w:szCs w:val="24"/>
              </w:rPr>
              <w:t xml:space="preserve">” hüküm altına alınmıştır. </w:t>
            </w:r>
          </w:p>
          <w:p w:rsidR="00A46C6E" w:rsidRPr="00A23740" w:rsidRDefault="00A46C6E" w:rsidP="009431FF">
            <w:pPr>
              <w:ind w:firstLine="709"/>
              <w:rPr>
                <w:rFonts w:eastAsia="Times New Roman"/>
                <w:szCs w:val="24"/>
              </w:rPr>
            </w:pPr>
            <w:r w:rsidRPr="00A23740">
              <w:rPr>
                <w:rFonts w:eastAsia="Times New Roman"/>
                <w:szCs w:val="24"/>
              </w:rPr>
              <w:t xml:space="preserve">Maddenin üçüncü fıkrasının birinci cümlesinde ihtiyati haciz kararının, ihtiyati haczine karar verilen geminin seferden men edilmek suretiyle uygulanacağı; dolayısıyla icra ve iflas dairesince geminin bulunduğu liman başkanlığına geminin ihtiyati haczine karar verildiğine dair yazı gönderilmesinin yeterli olmadığı açıklığa kavuşturulmuştur. İcra </w:t>
            </w:r>
            <w:r w:rsidR="00F224AA" w:rsidRPr="00A23740">
              <w:rPr>
                <w:rFonts w:eastAsia="Times New Roman"/>
                <w:szCs w:val="24"/>
              </w:rPr>
              <w:t xml:space="preserve">ve iflas </w:t>
            </w:r>
            <w:r w:rsidRPr="00A23740">
              <w:rPr>
                <w:rFonts w:eastAsia="Times New Roman"/>
                <w:szCs w:val="24"/>
              </w:rPr>
              <w:t xml:space="preserve">müdürü tarafından geminin seferden men edilmek suretiyle ihtiyaten haczedildiğine dair haciz tutanağı düzenlenmesi ve bu tutanak gereği liman başkanlığının geminin limandan ayrılmasına izin vermemesi gerekmektedir. Maddenin üçüncü fıkrasının devamında haciz tutanağının tebliğ edileceği kişilere, bu kapsamda haciz sırasında hazır bulunmayan alacaklıya da tebligat yapılacağı belirtilmiştir. Haciz tutanağının tebliği ile yediemin olarak atanma arasında bir bağ bulunmadığından, </w:t>
            </w:r>
            <w:r w:rsidRPr="00A23740">
              <w:rPr>
                <w:rFonts w:eastAsia="Times New Roman"/>
                <w:bCs/>
                <w:szCs w:val="24"/>
              </w:rPr>
              <w:t>6102 sayılı Kanunun</w:t>
            </w:r>
            <w:r w:rsidRPr="00A23740">
              <w:rPr>
                <w:rFonts w:eastAsia="Times New Roman"/>
                <w:szCs w:val="24"/>
              </w:rPr>
              <w:t xml:space="preserve"> 1366 ncı maddesinin ikinci fıkrasında yer alan “</w:t>
            </w:r>
            <w:r w:rsidRPr="00A23740">
              <w:rPr>
                <w:rFonts w:eastAsia="Times New Roman"/>
                <w:i/>
                <w:iCs/>
                <w:szCs w:val="24"/>
              </w:rPr>
              <w:t>Gemi, tebligat yapılan kişiye yediemin sıfatıyla bırakılır</w:t>
            </w:r>
            <w:r w:rsidRPr="00A23740">
              <w:rPr>
                <w:rFonts w:eastAsia="Times New Roman"/>
                <w:szCs w:val="24"/>
              </w:rPr>
              <w:t>.” hükmü isabetli görülmemiş; seferden men edilmek suretiyle ihtiyaten haczedilen geminin yediemin sıfatıyla kaptana, malike, işletene veya borçtan şahsen sorumlu olan kişiye ya da bunların temsilcisine bırakılabileceği ifade edilmiştir. Kaptanın yediemin olarak atanmayı kabul etmemesi ya da yabancı bayraklı gemilerde malikin veya işletenin ya da bunların bir temsilcisinin Türkiye’de bulunmaması gibi hâllerde belirtilen kişilerin yediemin olarak atanmasının mümkün ya da uygun olmaması durumunda, icra ve iflas müdürünce üçüncü bir kişinin ve talep etmesi h</w:t>
            </w:r>
            <w:r w:rsidR="00BA118F" w:rsidRPr="00A23740">
              <w:rPr>
                <w:rFonts w:eastAsia="Times New Roman"/>
                <w:szCs w:val="24"/>
              </w:rPr>
              <w:t>â</w:t>
            </w:r>
            <w:r w:rsidRPr="00A23740">
              <w:rPr>
                <w:rFonts w:eastAsia="Times New Roman"/>
                <w:szCs w:val="24"/>
              </w:rPr>
              <w:t xml:space="preserve">linde alacaklının da yediemin olarak atanabileceği hüküm altına alınmış; ayrıca yediemine görev ve sorumluluğu hakkında hatırlatma yapılacağı ifade edilmiştir. </w:t>
            </w:r>
          </w:p>
          <w:p w:rsidR="00A46C6E" w:rsidRPr="00A23740" w:rsidRDefault="00A46C6E" w:rsidP="009431FF">
            <w:pPr>
              <w:ind w:firstLine="709"/>
              <w:rPr>
                <w:rFonts w:eastAsia="Times New Roman"/>
                <w:szCs w:val="24"/>
              </w:rPr>
            </w:pPr>
            <w:r w:rsidRPr="00A23740">
              <w:rPr>
                <w:rFonts w:eastAsia="Times New Roman"/>
                <w:szCs w:val="24"/>
              </w:rPr>
              <w:t xml:space="preserve">Maddenin dördüncü fıkrasında ihtiyati haciz kararını uygulayan memur tarafından düzenlenecek haciz tutanağına geminin adı ile varsa </w:t>
            </w:r>
            <w:r w:rsidR="00260E68" w:rsidRPr="00260E68">
              <w:rPr>
                <w:rFonts w:eastAsia="Times New Roman"/>
                <w:szCs w:val="24"/>
              </w:rPr>
              <w:t xml:space="preserve"> Uluslararası Denizcilik Örgütü Gemi Tanıtım Sistemi uyarınca gemilere verilen numaranın (IMO) </w:t>
            </w:r>
            <w:r w:rsidRPr="00A23740">
              <w:rPr>
                <w:rFonts w:eastAsia="Times New Roman"/>
                <w:szCs w:val="24"/>
              </w:rPr>
              <w:t>yazılmasının yeterli olduğu, değerinin yazılmasının gerekli olmadığı; taraflardan birinin talep etmesi h</w:t>
            </w:r>
            <w:r w:rsidR="00BA118F" w:rsidRPr="00A23740">
              <w:rPr>
                <w:rFonts w:eastAsia="Times New Roman"/>
                <w:szCs w:val="24"/>
              </w:rPr>
              <w:t>â</w:t>
            </w:r>
            <w:r w:rsidRPr="00A23740">
              <w:rPr>
                <w:rFonts w:eastAsia="Times New Roman"/>
                <w:szCs w:val="24"/>
              </w:rPr>
              <w:t xml:space="preserve">linde geminin değerinin icra hukuk mahkemesince tespit edileceği belirtilmiştir. </w:t>
            </w:r>
          </w:p>
          <w:p w:rsidR="00A46C6E" w:rsidRPr="00A23740" w:rsidRDefault="00A46C6E" w:rsidP="009431FF">
            <w:pPr>
              <w:ind w:firstLine="709"/>
              <w:rPr>
                <w:rFonts w:eastAsia="Times New Roman"/>
                <w:szCs w:val="24"/>
              </w:rPr>
            </w:pPr>
            <w:r w:rsidRPr="00A23740">
              <w:rPr>
                <w:rFonts w:eastAsia="Times New Roman"/>
                <w:szCs w:val="24"/>
              </w:rPr>
              <w:t xml:space="preserve">Maddenin beşinci fıkrası, </w:t>
            </w:r>
            <w:r w:rsidRPr="00A23740">
              <w:rPr>
                <w:rFonts w:eastAsia="Times New Roman"/>
                <w:bCs/>
                <w:szCs w:val="24"/>
              </w:rPr>
              <w:t>6102 sayılı Kanunun</w:t>
            </w:r>
            <w:r w:rsidRPr="00A23740">
              <w:rPr>
                <w:rFonts w:eastAsia="Times New Roman"/>
                <w:szCs w:val="24"/>
              </w:rPr>
              <w:t xml:space="preserve"> 1366 ncı maddesinin üçüncü ve dördüncü fıkraları değiştirilmek ve birleştirilmek suretiyle kaleme alınmış; bu kapsamda bayrağına bakılmaksızın geminin seferden men edilmek suretiyle ihtiyaten haczedildiği hususunun bildirileceği makamlar belirtilmiş; devamında gemi bir Türk gemi siciline kayıtlı ise, geminin kayıtlı olduğu gemi sicil müdürlüğüne </w:t>
            </w:r>
            <w:r w:rsidR="00DF22A1" w:rsidRPr="00A23740">
              <w:rPr>
                <w:szCs w:val="24"/>
              </w:rPr>
              <w:t xml:space="preserve">derhâl </w:t>
            </w:r>
            <w:r w:rsidRPr="00A23740">
              <w:rPr>
                <w:rFonts w:eastAsia="Times New Roman"/>
                <w:szCs w:val="24"/>
              </w:rPr>
              <w:t xml:space="preserve">bildirimde bulunulacağı ve sicil müdürlüğünün geminin ihtiyaten haczedildiğini sicile kaydedeceği hüküm altına alınmıştır. Yabancı bayraklı gemilerde geminin ihtiyaten haczedildiğinin, mümkün olması kaydıyla geminin bayrağını taşıdığı devletin en yakın konsolosluğuna bildirilmesi öngörülmüştür; </w:t>
            </w:r>
            <w:r w:rsidR="006B6579" w:rsidRPr="00A23740">
              <w:rPr>
                <w:rFonts w:eastAsia="Times New Roman"/>
                <w:szCs w:val="24"/>
              </w:rPr>
              <w:t xml:space="preserve">“mümkün olması kaydıyla” şeklinde bir çekince kullanılmasının nedeni, </w:t>
            </w:r>
            <w:r w:rsidRPr="00A23740">
              <w:rPr>
                <w:rFonts w:eastAsia="Times New Roman"/>
                <w:szCs w:val="24"/>
              </w:rPr>
              <w:t>konsoloslukların bu tür bildirimleri kabul etmekten imtina etmeleri sebebiyle çoğu durumda bildirim yapılması</w:t>
            </w:r>
            <w:r w:rsidR="006B6579" w:rsidRPr="00A23740">
              <w:rPr>
                <w:rFonts w:eastAsia="Times New Roman"/>
                <w:szCs w:val="24"/>
              </w:rPr>
              <w:t>nın</w:t>
            </w:r>
            <w:r w:rsidRPr="00A23740">
              <w:rPr>
                <w:rFonts w:eastAsia="Times New Roman"/>
                <w:szCs w:val="24"/>
              </w:rPr>
              <w:t xml:space="preserve"> mümkün </w:t>
            </w:r>
            <w:r w:rsidR="006B6579" w:rsidRPr="00A23740">
              <w:rPr>
                <w:rFonts w:eastAsia="Times New Roman"/>
                <w:szCs w:val="24"/>
              </w:rPr>
              <w:t xml:space="preserve">olamamasıdır </w:t>
            </w:r>
            <w:r w:rsidRPr="00A23740">
              <w:rPr>
                <w:rFonts w:eastAsia="Times New Roman"/>
                <w:szCs w:val="24"/>
              </w:rPr>
              <w:t xml:space="preserve">. </w:t>
            </w:r>
          </w:p>
          <w:bookmarkEnd w:id="80"/>
          <w:p w:rsidR="00A46C6E" w:rsidRPr="00A23740" w:rsidRDefault="00A46C6E" w:rsidP="002A27F8">
            <w:pPr>
              <w:ind w:firstLine="709"/>
              <w:rPr>
                <w:rFonts w:eastAsia="Times New Roman"/>
                <w:b/>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szCs w:val="24"/>
                <w:lang w:eastAsia="tr-TR"/>
              </w:rPr>
            </w:pPr>
            <w:r w:rsidRPr="00A23740">
              <w:rPr>
                <w:b/>
                <w:strike/>
                <w:color w:val="FF0000"/>
                <w:szCs w:val="24"/>
                <w:lang w:eastAsia="x-none"/>
              </w:rPr>
              <w:t>7.</w:t>
            </w:r>
            <w:r w:rsidRPr="00A23740">
              <w:rPr>
                <w:rFonts w:eastAsia="Times New Roman"/>
                <w:b/>
                <w:bCs/>
                <w:szCs w:val="24"/>
                <w:lang w:eastAsia="tr-TR"/>
              </w:rPr>
              <w:t xml:space="preserve"> </w:t>
            </w:r>
            <w:r w:rsidRPr="00A23740">
              <w:rPr>
                <w:b/>
                <w:strike/>
                <w:color w:val="FF0000"/>
                <w:szCs w:val="24"/>
                <w:lang w:eastAsia="x-none"/>
              </w:rPr>
              <w:t>İhtiyati haciz hakkının kullanılması</w:t>
            </w:r>
          </w:p>
          <w:p w:rsidR="00A46C6E" w:rsidRPr="00A23740" w:rsidRDefault="00A46C6E" w:rsidP="009431FF">
            <w:pPr>
              <w:widowControl w:val="0"/>
              <w:rPr>
                <w:rFonts w:eastAsia="Times New Roman"/>
                <w:szCs w:val="24"/>
                <w:lang w:eastAsia="tr-TR"/>
              </w:rPr>
            </w:pPr>
            <w:r w:rsidRPr="00A23740">
              <w:rPr>
                <w:rFonts w:eastAsia="Times New Roman"/>
                <w:b/>
                <w:bCs/>
                <w:szCs w:val="24"/>
                <w:lang w:eastAsia="tr-TR"/>
              </w:rPr>
              <w:t xml:space="preserve">MADDE </w:t>
            </w:r>
            <w:r w:rsidRPr="00A23740">
              <w:rPr>
                <w:b/>
                <w:strike/>
                <w:color w:val="FF0000"/>
                <w:szCs w:val="24"/>
                <w:lang w:eastAsia="x-none"/>
              </w:rPr>
              <w:t>1369-</w:t>
            </w:r>
            <w:r w:rsidRPr="00A23740">
              <w:rPr>
                <w:rFonts w:eastAsia="Times New Roman"/>
                <w:szCs w:val="24"/>
                <w:lang w:eastAsia="tr-TR"/>
              </w:rPr>
              <w:t xml:space="preserve"> (1) </w:t>
            </w:r>
            <w:r w:rsidRPr="00A23740">
              <w:rPr>
                <w:b/>
                <w:strike/>
                <w:color w:val="FF0000"/>
                <w:szCs w:val="24"/>
                <w:lang w:eastAsia="x-none"/>
              </w:rPr>
              <w:t>Hakkında</w:t>
            </w:r>
            <w:r w:rsidRPr="00A23740">
              <w:rPr>
                <w:rFonts w:eastAsia="Times New Roman"/>
                <w:szCs w:val="24"/>
                <w:lang w:eastAsia="tr-TR"/>
              </w:rPr>
              <w:t xml:space="preserve"> deniz alacağı ileri sürülen </w:t>
            </w:r>
            <w:r w:rsidRPr="00A23740">
              <w:rPr>
                <w:b/>
                <w:strike/>
                <w:color w:val="FF0000"/>
                <w:szCs w:val="24"/>
                <w:lang w:eastAsia="x-none"/>
              </w:rPr>
              <w:t>her</w:t>
            </w:r>
            <w:r w:rsidRPr="00A23740">
              <w:rPr>
                <w:rFonts w:eastAsia="Times New Roman"/>
                <w:szCs w:val="24"/>
                <w:lang w:eastAsia="tr-TR"/>
              </w:rPr>
              <w:t xml:space="preserve"> geminin </w:t>
            </w:r>
            <w:r w:rsidRPr="00A23740">
              <w:rPr>
                <w:b/>
                <w:strike/>
                <w:color w:val="FF0000"/>
                <w:szCs w:val="24"/>
                <w:lang w:eastAsia="x-none"/>
              </w:rPr>
              <w:t>ihtiyaten</w:t>
            </w:r>
            <w:r w:rsidRPr="00A23740">
              <w:rPr>
                <w:rFonts w:eastAsia="Times New Roman"/>
                <w:szCs w:val="24"/>
                <w:lang w:eastAsia="tr-TR"/>
              </w:rPr>
              <w:t xml:space="preserve"> haczi</w:t>
            </w:r>
            <w:r w:rsidRPr="00A23740">
              <w:rPr>
                <w:b/>
                <w:strike/>
                <w:color w:val="FF0000"/>
                <w:szCs w:val="24"/>
                <w:lang w:eastAsia="x-none"/>
              </w:rPr>
              <w:t>;</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a) Deniz alacağı doğduğu</w:t>
            </w:r>
            <w:r w:rsidRPr="00A23740">
              <w:rPr>
                <w:rFonts w:eastAsia="Times New Roman"/>
                <w:b/>
                <w:strike/>
                <w:color w:val="FF0000"/>
                <w:szCs w:val="24"/>
                <w:lang w:eastAsia="x-none"/>
              </w:rPr>
              <w:t>nda</w:t>
            </w:r>
            <w:r w:rsidRPr="00A23740">
              <w:rPr>
                <w:rFonts w:eastAsia="Times New Roman"/>
                <w:szCs w:val="24"/>
                <w:lang w:eastAsia="tr-TR"/>
              </w:rPr>
              <w:t xml:space="preserve"> </w:t>
            </w:r>
            <w:r w:rsidRPr="00A23740">
              <w:rPr>
                <w:b/>
                <w:strike/>
                <w:color w:val="FF0000"/>
                <w:szCs w:val="24"/>
                <w:lang w:eastAsia="x-none"/>
              </w:rPr>
              <w:t>geminin maliki olan kişi</w:t>
            </w:r>
            <w:r w:rsidRPr="00A23740">
              <w:rPr>
                <w:rFonts w:eastAsia="Times New Roman"/>
                <w:szCs w:val="24"/>
                <w:lang w:eastAsia="tr-TR"/>
              </w:rPr>
              <w:t xml:space="preserve">, ihtiyati haczin </w:t>
            </w:r>
            <w:r w:rsidRPr="00A23740">
              <w:rPr>
                <w:b/>
                <w:strike/>
                <w:color w:val="FF0000"/>
                <w:szCs w:val="24"/>
                <w:lang w:eastAsia="x-none"/>
              </w:rPr>
              <w:t>uygulandığı sırada da bu borçtan sorumlu olup</w:t>
            </w:r>
            <w:r w:rsidRPr="00A23740">
              <w:rPr>
                <w:rFonts w:eastAsia="Times New Roman"/>
                <w:szCs w:val="24"/>
                <w:lang w:eastAsia="tr-TR"/>
              </w:rPr>
              <w:t xml:space="preserve"> geminin maliki ise</w:t>
            </w:r>
            <w:r w:rsidRPr="00A23740">
              <w:rPr>
                <w:b/>
                <w:strike/>
                <w:color w:val="FF0000"/>
                <w:szCs w:val="24"/>
                <w:lang w:eastAsia="x-none"/>
              </w:rPr>
              <w:t>;</w:t>
            </w:r>
            <w:r w:rsidRPr="00A23740">
              <w:rPr>
                <w:rFonts w:eastAsia="Times New Roman"/>
                <w:szCs w:val="24"/>
                <w:lang w:eastAsia="tr-TR"/>
              </w:rPr>
              <w:t xml:space="preserve"> veya</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 xml:space="preserve">b) Deniz alacağı doğduğunda geminin kiracısı olan </w:t>
            </w:r>
            <w:r w:rsidRPr="00A23740">
              <w:rPr>
                <w:b/>
                <w:strike/>
                <w:color w:val="FF0000"/>
                <w:szCs w:val="24"/>
                <w:lang w:eastAsia="x-none"/>
              </w:rPr>
              <w:t>kişi</w:t>
            </w:r>
            <w:r w:rsidRPr="00A23740">
              <w:rPr>
                <w:rFonts w:eastAsia="Times New Roman"/>
                <w:szCs w:val="24"/>
                <w:lang w:eastAsia="tr-TR"/>
              </w:rPr>
              <w:t>, ihtiyati haczin uygulan</w:t>
            </w:r>
            <w:r w:rsidRPr="00A23740">
              <w:rPr>
                <w:b/>
                <w:strike/>
                <w:color w:val="FF0000"/>
                <w:szCs w:val="24"/>
                <w:lang w:eastAsia="x-none"/>
              </w:rPr>
              <w:t>dığı</w:t>
            </w:r>
            <w:r w:rsidRPr="00A23740">
              <w:rPr>
                <w:rFonts w:eastAsia="Times New Roman"/>
                <w:szCs w:val="24"/>
                <w:lang w:eastAsia="tr-TR"/>
              </w:rPr>
              <w:t xml:space="preserve"> </w:t>
            </w:r>
            <w:r w:rsidRPr="00A23740">
              <w:rPr>
                <w:b/>
                <w:strike/>
                <w:color w:val="FF0000"/>
                <w:szCs w:val="24"/>
                <w:lang w:eastAsia="x-none"/>
              </w:rPr>
              <w:t>sırada da bu borçtan sorumlu olup</w:t>
            </w:r>
            <w:r w:rsidRPr="00A23740">
              <w:rPr>
                <w:rFonts w:eastAsia="Times New Roman"/>
                <w:szCs w:val="24"/>
                <w:lang w:eastAsia="tr-TR"/>
              </w:rPr>
              <w:t xml:space="preserve"> geminin maliki ise</w:t>
            </w:r>
            <w:r w:rsidRPr="00A23740">
              <w:rPr>
                <w:b/>
                <w:strike/>
                <w:color w:val="FF0000"/>
                <w:szCs w:val="24"/>
                <w:lang w:eastAsia="x-none"/>
              </w:rPr>
              <w:t>;</w:t>
            </w:r>
            <w:r w:rsidRPr="00A23740">
              <w:rPr>
                <w:rFonts w:eastAsia="Times New Roman"/>
                <w:szCs w:val="24"/>
                <w:lang w:eastAsia="tr-TR"/>
              </w:rPr>
              <w:t xml:space="preserve"> veya</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c) Deniz alacağı gemi rehni, gemi ipoteği veya gemi üzerinde aynı nitelikteki bir ayni yükümlülük ile teminat altına alınmış ise</w:t>
            </w:r>
            <w:r w:rsidRPr="000F3FFB">
              <w:rPr>
                <w:rStyle w:val="KIRMIZIChar"/>
                <w:rFonts w:eastAsia="Calibri"/>
              </w:rPr>
              <w:t>; veya</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b/>
                <w:strike/>
                <w:color w:val="FF0000"/>
                <w:szCs w:val="24"/>
                <w:lang w:eastAsia="x-none"/>
              </w:rPr>
              <w:t>d) Uyuşmazlık</w:t>
            </w:r>
            <w:r w:rsidRPr="00A23740">
              <w:rPr>
                <w:rFonts w:eastAsia="Times New Roman"/>
                <w:szCs w:val="24"/>
                <w:lang w:eastAsia="tr-TR"/>
              </w:rPr>
              <w:t xml:space="preserve"> geminin mülkiyetine veya zilyetliğine ilişkin ise</w:t>
            </w:r>
            <w:r w:rsidRPr="00A23740">
              <w:rPr>
                <w:b/>
                <w:strike/>
                <w:color w:val="FF0000"/>
                <w:szCs w:val="24"/>
                <w:lang w:eastAsia="x-none"/>
              </w:rPr>
              <w:t xml:space="preserve">; </w:t>
            </w:r>
            <w:r w:rsidRPr="00A23740">
              <w:rPr>
                <w:rFonts w:eastAsia="Times New Roman"/>
                <w:szCs w:val="24"/>
                <w:lang w:eastAsia="tr-TR"/>
              </w:rPr>
              <w:t>veya</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b/>
                <w:strike/>
                <w:color w:val="FF0000"/>
                <w:szCs w:val="24"/>
                <w:lang w:eastAsia="x-none"/>
              </w:rPr>
              <w:t>e) Alacak,</w:t>
            </w:r>
            <w:r w:rsidRPr="00A23740">
              <w:rPr>
                <w:rFonts w:eastAsia="Times New Roman"/>
                <w:szCs w:val="24"/>
                <w:lang w:eastAsia="tr-TR"/>
              </w:rPr>
              <w:t xml:space="preserve"> 1320 nci madde uyarınca gemi alacaklısı hakkı </w:t>
            </w:r>
            <w:r w:rsidRPr="00A23740">
              <w:rPr>
                <w:b/>
                <w:strike/>
                <w:color w:val="FF0000"/>
                <w:szCs w:val="24"/>
                <w:lang w:eastAsia="x-none"/>
              </w:rPr>
              <w:t>veriyorsa,</w:t>
            </w:r>
          </w:p>
          <w:p w:rsidR="00AE323E" w:rsidRPr="00A23740" w:rsidRDefault="00AE323E" w:rsidP="009431FF">
            <w:pPr>
              <w:widowControl w:val="0"/>
              <w:rPr>
                <w:rFonts w:eastAsia="Times New Roman"/>
                <w:szCs w:val="24"/>
                <w:lang w:eastAsia="tr-TR"/>
              </w:rPr>
            </w:pPr>
          </w:p>
          <w:p w:rsidR="00AE323E" w:rsidRPr="00A23740" w:rsidRDefault="00AE323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mümkündür.</w:t>
            </w:r>
          </w:p>
          <w:p w:rsidR="00360FCB" w:rsidRPr="00A23740" w:rsidRDefault="00360FCB"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x-none"/>
              </w:rPr>
            </w:pPr>
            <w:r w:rsidRPr="000F3FFB">
              <w:t>(2)</w:t>
            </w:r>
            <w:r w:rsidRPr="000F3FFB">
              <w:rPr>
                <w:rFonts w:eastAsia="Times New Roman"/>
                <w:b/>
                <w:color w:val="FF0000"/>
                <w:szCs w:val="24"/>
                <w:lang w:eastAsia="x-none"/>
              </w:rPr>
              <w:t xml:space="preserve"> </w:t>
            </w:r>
            <w:r w:rsidRPr="00A23740">
              <w:rPr>
                <w:rFonts w:eastAsia="Times New Roman"/>
                <w:b/>
                <w:strike/>
                <w:color w:val="FF0000"/>
                <w:szCs w:val="24"/>
                <w:lang w:eastAsia="x-none"/>
              </w:rPr>
              <w:t xml:space="preserve">Birinci fıkrada sayılanların dışındaki </w:t>
            </w:r>
            <w:r w:rsidRPr="000F3FFB">
              <w:rPr>
                <w:rStyle w:val="KIRMIZIChar"/>
                <w:rFonts w:eastAsia="Calibri"/>
              </w:rPr>
              <w:t>gemilerin ihtiyati</w:t>
            </w:r>
            <w:r w:rsidRPr="00A23740">
              <w:rPr>
                <w:rFonts w:eastAsia="Times New Roman"/>
                <w:szCs w:val="24"/>
                <w:lang w:eastAsia="tr-TR"/>
              </w:rPr>
              <w:t xml:space="preserve"> haczi</w:t>
            </w:r>
            <w:r w:rsidRPr="00A23740">
              <w:rPr>
                <w:rFonts w:eastAsia="Times New Roman"/>
                <w:b/>
                <w:strike/>
                <w:color w:val="FF0000"/>
                <w:szCs w:val="24"/>
                <w:lang w:eastAsia="x-none"/>
              </w:rPr>
              <w:t xml:space="preserve">; </w:t>
            </w:r>
            <w:r w:rsidRPr="00A23740">
              <w:rPr>
                <w:rFonts w:eastAsia="Times New Roman"/>
                <w:szCs w:val="24"/>
                <w:lang w:eastAsia="tr-TR"/>
              </w:rPr>
              <w:t>haczin uygulan</w:t>
            </w:r>
            <w:r w:rsidRPr="00A23740">
              <w:rPr>
                <w:rFonts w:eastAsia="Times New Roman"/>
                <w:b/>
                <w:strike/>
                <w:color w:val="FF0000"/>
                <w:szCs w:val="24"/>
                <w:lang w:eastAsia="x-none"/>
              </w:rPr>
              <w:t xml:space="preserve">dığı </w:t>
            </w:r>
            <w:r w:rsidRPr="00A23740">
              <w:rPr>
                <w:rFonts w:eastAsia="Times New Roman"/>
                <w:szCs w:val="24"/>
                <w:lang w:eastAsia="tr-TR"/>
              </w:rPr>
              <w:t xml:space="preserve">sırada </w:t>
            </w:r>
            <w:r w:rsidRPr="00A23740">
              <w:rPr>
                <w:rFonts w:eastAsia="Times New Roman"/>
                <w:b/>
                <w:strike/>
                <w:color w:val="FF0000"/>
                <w:szCs w:val="24"/>
                <w:lang w:eastAsia="x-none"/>
              </w:rPr>
              <w:t>gemiler bu</w:t>
            </w:r>
            <w:r w:rsidRPr="00A23740">
              <w:rPr>
                <w:rFonts w:eastAsia="Times New Roman"/>
                <w:szCs w:val="24"/>
                <w:lang w:eastAsia="tr-TR"/>
              </w:rPr>
              <w:t xml:space="preserve"> deniz alacağın</w:t>
            </w:r>
            <w:r w:rsidRPr="00A23740">
              <w:rPr>
                <w:rFonts w:eastAsia="Times New Roman"/>
                <w:b/>
                <w:strike/>
                <w:color w:val="FF0000"/>
                <w:szCs w:val="24"/>
                <w:lang w:eastAsia="x-none"/>
              </w:rPr>
              <w:t>dan dolayı sorumlu olan bir kişiye ait ise ve alacak</w:t>
            </w:r>
            <w:r w:rsidRPr="00A23740">
              <w:rPr>
                <w:rFonts w:eastAsia="Times New Roman"/>
                <w:szCs w:val="24"/>
                <w:lang w:eastAsia="tr-TR"/>
              </w:rPr>
              <w:t xml:space="preserve"> doğduğunda </w:t>
            </w:r>
            <w:r w:rsidRPr="00A23740">
              <w:rPr>
                <w:rFonts w:eastAsia="Times New Roman"/>
                <w:b/>
                <w:strike/>
                <w:color w:val="FF0000"/>
                <w:szCs w:val="24"/>
                <w:lang w:eastAsia="x-none"/>
              </w:rPr>
              <w:t>bu kişi;</w:t>
            </w: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 xml:space="preserve">a) Üzerinde deniz alacağı doğmuş olan </w:t>
            </w:r>
            <w:r w:rsidRPr="00A23740">
              <w:rPr>
                <w:rFonts w:eastAsia="Times New Roman"/>
                <w:szCs w:val="24"/>
                <w:lang w:eastAsia="tr-TR"/>
              </w:rPr>
              <w:t xml:space="preserve">geminin maliki </w:t>
            </w:r>
            <w:r w:rsidRPr="00A23740">
              <w:rPr>
                <w:rFonts w:eastAsia="Times New Roman"/>
                <w:b/>
                <w:strike/>
                <w:color w:val="FF0000"/>
                <w:szCs w:val="24"/>
                <w:lang w:eastAsia="x-none"/>
              </w:rPr>
              <w:t>veya</w:t>
            </w:r>
          </w:p>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x-none"/>
              </w:rPr>
              <w:t>b)</w:t>
            </w:r>
            <w:r w:rsidRPr="00A23740">
              <w:rPr>
                <w:rFonts w:eastAsia="Times New Roman"/>
                <w:szCs w:val="24"/>
                <w:lang w:eastAsia="tr-TR"/>
              </w:rPr>
              <w:t xml:space="preserve"> Kiracısı veya tahsis olunanı ya da taşıtan</w:t>
            </w:r>
            <w:r w:rsidRPr="00A23740">
              <w:rPr>
                <w:rFonts w:eastAsia="Times New Roman"/>
                <w:b/>
                <w:strike/>
                <w:color w:val="FF0000"/>
                <w:szCs w:val="24"/>
                <w:lang w:eastAsia="x-none"/>
              </w:rPr>
              <w:t>ı</w:t>
            </w:r>
            <w:r w:rsidRPr="00A23740">
              <w:rPr>
                <w:rFonts w:eastAsia="Times New Roman"/>
                <w:szCs w:val="24"/>
                <w:lang w:eastAsia="tr-TR"/>
              </w:rPr>
              <w:t xml:space="preserve"> ise</w:t>
            </w:r>
            <w:r w:rsidRPr="00A23740">
              <w:rPr>
                <w:rFonts w:eastAsia="Times New Roman"/>
                <w:b/>
                <w:strike/>
                <w:color w:val="FF0000"/>
                <w:szCs w:val="24"/>
                <w:lang w:eastAsia="x-none"/>
              </w:rPr>
              <w:t>,</w:t>
            </w: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mümkündür.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(3) Geminin mülkiyetine veya zilyetliğine ilişkin uyuşmazlıklarda, sadece bu uyuşmazlığın konusu olan gemi hakkında ihtiyati haciz kararı verilebilir.</w:t>
            </w:r>
          </w:p>
          <w:p w:rsidR="00A46C6E" w:rsidRDefault="00A46C6E" w:rsidP="009431FF">
            <w:pPr>
              <w:widowControl w:val="0"/>
              <w:rPr>
                <w:rFonts w:eastAsia="Times New Roman"/>
                <w:b/>
                <w:color w:val="FF0000"/>
                <w:szCs w:val="24"/>
                <w:lang w:eastAsia="x-none"/>
              </w:rPr>
            </w:pPr>
          </w:p>
          <w:p w:rsidR="002A27F8" w:rsidRPr="00A23740" w:rsidRDefault="002A27F8" w:rsidP="009431FF">
            <w:pPr>
              <w:widowControl w:val="0"/>
              <w:rPr>
                <w:rFonts w:eastAsia="Times New Roman"/>
                <w:b/>
                <w:color w:val="FF0000"/>
                <w:szCs w:val="24"/>
                <w:lang w:eastAsia="x-none"/>
              </w:rPr>
            </w:pPr>
          </w:p>
        </w:tc>
        <w:tc>
          <w:tcPr>
            <w:tcW w:w="2500" w:type="pct"/>
            <w:shd w:val="clear" w:color="auto" w:fill="auto"/>
          </w:tcPr>
          <w:p w:rsidR="00A46C6E" w:rsidRPr="00A23740" w:rsidRDefault="00A46C6E" w:rsidP="009431FF">
            <w:pPr>
              <w:widowControl w:val="0"/>
              <w:rPr>
                <w:rFonts w:eastAsia="Times New Roman"/>
                <w:b/>
                <w:bCs/>
                <w:color w:val="0000FF"/>
                <w:szCs w:val="24"/>
                <w:lang w:eastAsia="x-none"/>
              </w:rPr>
            </w:pPr>
            <w:r w:rsidRPr="00A23740">
              <w:rPr>
                <w:rFonts w:eastAsia="Times New Roman"/>
                <w:b/>
                <w:bCs/>
                <w:color w:val="0000FF"/>
                <w:szCs w:val="24"/>
                <w:lang w:eastAsia="x-none"/>
              </w:rPr>
              <w:t>İhtiyaten haczedilebilecek gemi</w:t>
            </w:r>
          </w:p>
          <w:p w:rsidR="00A46C6E" w:rsidRPr="00A23740" w:rsidRDefault="00993A1A" w:rsidP="009431FF">
            <w:pPr>
              <w:widowControl w:val="0"/>
              <w:rPr>
                <w:rFonts w:eastAsia="Times New Roman"/>
                <w:b/>
                <w:color w:val="0000CC"/>
                <w:szCs w:val="24"/>
                <w:lang w:eastAsia="tr-TR"/>
              </w:rPr>
            </w:pPr>
            <w:r w:rsidRPr="000F3FFB">
              <w:rPr>
                <w:rFonts w:eastAsia="Times New Roman"/>
                <w:b/>
                <w:bCs/>
                <w:color w:val="000000" w:themeColor="text1"/>
                <w:szCs w:val="24"/>
                <w:lang w:eastAsia="x-none"/>
              </w:rPr>
              <w:t xml:space="preserve">MADDE </w:t>
            </w:r>
            <w:r w:rsidRPr="00A23740">
              <w:rPr>
                <w:rFonts w:eastAsia="Times New Roman"/>
                <w:b/>
                <w:bCs/>
                <w:color w:val="0000FF"/>
                <w:szCs w:val="24"/>
                <w:lang w:eastAsia="x-none"/>
              </w:rPr>
              <w:t>499</w:t>
            </w:r>
            <w:r w:rsidR="00A46C6E" w:rsidRPr="00A23740">
              <w:rPr>
                <w:rFonts w:eastAsia="Times New Roman"/>
                <w:b/>
                <w:bCs/>
                <w:color w:val="0000FF"/>
                <w:szCs w:val="24"/>
                <w:lang w:eastAsia="x-none"/>
              </w:rPr>
              <w:t xml:space="preserve">- </w:t>
            </w:r>
            <w:r w:rsidR="00A46C6E" w:rsidRPr="000F3FFB">
              <w:t>(1)</w:t>
            </w:r>
            <w:r w:rsidR="00A46C6E" w:rsidRPr="00A23740">
              <w:rPr>
                <w:rFonts w:eastAsia="Times New Roman"/>
                <w:szCs w:val="24"/>
              </w:rPr>
              <w:t xml:space="preserve"> </w:t>
            </w:r>
            <w:r w:rsidR="00A46C6E" w:rsidRPr="00A23740">
              <w:rPr>
                <w:rFonts w:eastAsia="Times New Roman"/>
                <w:szCs w:val="24"/>
                <w:lang w:eastAsia="tr-TR"/>
              </w:rPr>
              <w:t>Deniz alacağı</w:t>
            </w:r>
            <w:r w:rsidR="00A46C6E" w:rsidRPr="00A23740">
              <w:rPr>
                <w:rFonts w:eastAsia="Times New Roman"/>
                <w:b/>
                <w:bCs/>
                <w:color w:val="0000FF"/>
                <w:szCs w:val="24"/>
                <w:lang w:eastAsia="x-none"/>
              </w:rPr>
              <w:t xml:space="preserve">na sebebiyet verdiği </w:t>
            </w:r>
            <w:r w:rsidR="00A46C6E" w:rsidRPr="00A23740">
              <w:rPr>
                <w:rFonts w:eastAsia="Times New Roman"/>
                <w:szCs w:val="24"/>
                <w:lang w:eastAsia="tr-TR"/>
              </w:rPr>
              <w:t>ileri sürülen</w:t>
            </w:r>
            <w:r w:rsidR="00A46C6E" w:rsidRPr="00A23740">
              <w:rPr>
                <w:rFonts w:eastAsia="Times New Roman"/>
                <w:b/>
                <w:color w:val="0000CC"/>
                <w:szCs w:val="24"/>
                <w:lang w:eastAsia="tr-TR"/>
              </w:rPr>
              <w:t xml:space="preserve"> </w:t>
            </w:r>
            <w:r w:rsidR="00A46C6E" w:rsidRPr="00A23740">
              <w:rPr>
                <w:rFonts w:eastAsia="Times New Roman"/>
                <w:szCs w:val="24"/>
                <w:lang w:eastAsia="tr-TR"/>
              </w:rPr>
              <w:t>geminin</w:t>
            </w:r>
            <w:r w:rsidR="00A46C6E" w:rsidRPr="00A23740">
              <w:rPr>
                <w:rFonts w:eastAsia="Times New Roman"/>
                <w:b/>
                <w:color w:val="0000CC"/>
                <w:szCs w:val="24"/>
                <w:lang w:eastAsia="tr-TR"/>
              </w:rPr>
              <w:t xml:space="preserve"> </w:t>
            </w:r>
            <w:r w:rsidR="00A46C6E" w:rsidRPr="00A23740">
              <w:rPr>
                <w:rFonts w:eastAsia="Times New Roman"/>
                <w:b/>
                <w:bCs/>
                <w:color w:val="0000FF"/>
                <w:szCs w:val="24"/>
                <w:lang w:eastAsia="x-none"/>
              </w:rPr>
              <w:t xml:space="preserve">ihtiyati </w:t>
            </w:r>
            <w:r w:rsidR="00A46C6E" w:rsidRPr="00A23740">
              <w:rPr>
                <w:rFonts w:eastAsia="Times New Roman"/>
                <w:szCs w:val="24"/>
                <w:lang w:eastAsia="tr-TR"/>
              </w:rPr>
              <w:t>haczi</w:t>
            </w:r>
            <w:r w:rsidR="00A46C6E" w:rsidRPr="00A23740">
              <w:rPr>
                <w:rFonts w:eastAsia="Times New Roman"/>
                <w:b/>
                <w:bCs/>
                <w:color w:val="0000FF"/>
                <w:szCs w:val="24"/>
                <w:lang w:eastAsia="x-none"/>
              </w:rPr>
              <w:t xml:space="preserve">, </w:t>
            </w:r>
          </w:p>
          <w:p w:rsidR="00A46C6E" w:rsidRPr="00A23740" w:rsidRDefault="00A46C6E" w:rsidP="009431FF">
            <w:pPr>
              <w:widowControl w:val="0"/>
              <w:rPr>
                <w:rFonts w:eastAsia="Times New Roman"/>
                <w:b/>
                <w:color w:val="0000CC"/>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a)</w:t>
            </w:r>
            <w:r w:rsidRPr="00A23740">
              <w:rPr>
                <w:rFonts w:eastAsia="Times New Roman"/>
                <w:b/>
                <w:color w:val="0000CC"/>
                <w:szCs w:val="24"/>
                <w:lang w:eastAsia="tr-TR"/>
              </w:rPr>
              <w:t xml:space="preserve"> </w:t>
            </w:r>
            <w:r w:rsidRPr="00A23740">
              <w:rPr>
                <w:rFonts w:eastAsia="Times New Roman"/>
                <w:b/>
                <w:bCs/>
                <w:color w:val="0000FF"/>
                <w:szCs w:val="24"/>
                <w:lang w:eastAsia="x-none"/>
              </w:rPr>
              <w:t>Borçlu</w:t>
            </w:r>
            <w:r w:rsidRPr="00A23740">
              <w:rPr>
                <w:rFonts w:eastAsia="Times New Roman"/>
                <w:b/>
                <w:color w:val="0000CC"/>
                <w:szCs w:val="24"/>
                <w:lang w:eastAsia="tr-TR"/>
              </w:rPr>
              <w:t>,</w:t>
            </w:r>
            <w:r w:rsidRPr="00A23740">
              <w:rPr>
                <w:rFonts w:eastAsia="Times New Roman"/>
                <w:szCs w:val="24"/>
                <w:lang w:eastAsia="tr-TR"/>
              </w:rPr>
              <w:t xml:space="preserve"> deniz alacağı</w:t>
            </w:r>
            <w:r w:rsidRPr="00A23740">
              <w:rPr>
                <w:rFonts w:eastAsia="Times New Roman"/>
                <w:b/>
                <w:bCs/>
                <w:color w:val="0000FF"/>
                <w:szCs w:val="24"/>
                <w:lang w:eastAsia="x-none"/>
              </w:rPr>
              <w:t>nın</w:t>
            </w:r>
            <w:r w:rsidRPr="00A23740">
              <w:rPr>
                <w:rFonts w:eastAsia="Times New Roman"/>
                <w:szCs w:val="24"/>
                <w:lang w:eastAsia="tr-TR"/>
              </w:rPr>
              <w:t xml:space="preserve"> doğduğu</w:t>
            </w:r>
            <w:r w:rsidRPr="00A23740">
              <w:rPr>
                <w:rFonts w:eastAsia="Times New Roman"/>
                <w:b/>
                <w:color w:val="0000CC"/>
                <w:szCs w:val="24"/>
                <w:lang w:eastAsia="tr-TR"/>
              </w:rPr>
              <w:t xml:space="preserve"> </w:t>
            </w:r>
            <w:r w:rsidRPr="00A23740">
              <w:rPr>
                <w:rFonts w:eastAsia="Times New Roman"/>
                <w:b/>
                <w:bCs/>
                <w:color w:val="0000FF"/>
                <w:szCs w:val="24"/>
                <w:lang w:eastAsia="x-none"/>
              </w:rPr>
              <w:t>ve</w:t>
            </w:r>
            <w:r w:rsidRPr="00A23740">
              <w:rPr>
                <w:rFonts w:eastAsia="Times New Roman"/>
                <w:b/>
                <w:color w:val="0000CC"/>
                <w:szCs w:val="24"/>
                <w:lang w:eastAsia="tr-TR"/>
              </w:rPr>
              <w:t xml:space="preserve"> </w:t>
            </w:r>
            <w:r w:rsidRPr="00A23740">
              <w:rPr>
                <w:rFonts w:eastAsia="Times New Roman"/>
                <w:szCs w:val="24"/>
                <w:lang w:eastAsia="tr-TR"/>
              </w:rPr>
              <w:t xml:space="preserve">ihtiyati haczin </w:t>
            </w:r>
            <w:r w:rsidRPr="00A23740">
              <w:rPr>
                <w:rFonts w:eastAsia="Times New Roman"/>
                <w:b/>
                <w:bCs/>
                <w:color w:val="0000FF"/>
                <w:szCs w:val="24"/>
                <w:lang w:eastAsia="x-none"/>
              </w:rPr>
              <w:t>uygulanacağı</w:t>
            </w:r>
            <w:r w:rsidRPr="00A23740">
              <w:rPr>
                <w:rFonts w:eastAsia="Times New Roman"/>
                <w:b/>
                <w:color w:val="0000CC"/>
                <w:szCs w:val="24"/>
                <w:lang w:eastAsia="tr-TR"/>
              </w:rPr>
              <w:t xml:space="preserve"> </w:t>
            </w:r>
            <w:r w:rsidRPr="00A23740">
              <w:rPr>
                <w:rFonts w:eastAsia="Times New Roman"/>
                <w:b/>
                <w:bCs/>
                <w:color w:val="0000FF"/>
                <w:szCs w:val="24"/>
                <w:lang w:eastAsia="x-none"/>
              </w:rPr>
              <w:t>esnada</w:t>
            </w:r>
            <w:r w:rsidRPr="00A23740">
              <w:rPr>
                <w:rFonts w:eastAsia="Times New Roman"/>
                <w:szCs w:val="24"/>
                <w:lang w:eastAsia="tr-TR"/>
              </w:rPr>
              <w:t xml:space="preserve"> geminin maliki ise veya</w:t>
            </w:r>
          </w:p>
          <w:p w:rsidR="00A46C6E" w:rsidRPr="00A23740" w:rsidRDefault="00A46C6E" w:rsidP="009431FF">
            <w:pPr>
              <w:widowControl w:val="0"/>
              <w:rPr>
                <w:rFonts w:eastAsia="Times New Roman"/>
                <w:b/>
                <w:color w:val="0000CC"/>
                <w:szCs w:val="24"/>
                <w:lang w:eastAsia="tr-TR"/>
              </w:rPr>
            </w:pPr>
          </w:p>
          <w:p w:rsidR="00A46C6E" w:rsidRPr="00A23740" w:rsidRDefault="00A46C6E" w:rsidP="009431FF">
            <w:pPr>
              <w:widowControl w:val="0"/>
              <w:rPr>
                <w:rFonts w:eastAsia="Times New Roman"/>
                <w:b/>
                <w:color w:val="0000CC"/>
                <w:szCs w:val="24"/>
                <w:lang w:eastAsia="tr-TR"/>
              </w:rPr>
            </w:pPr>
          </w:p>
          <w:p w:rsidR="00A46C6E" w:rsidRPr="00A23740" w:rsidRDefault="00A46C6E" w:rsidP="009431FF">
            <w:pPr>
              <w:widowControl w:val="0"/>
              <w:rPr>
                <w:rFonts w:eastAsia="Times New Roman"/>
                <w:b/>
                <w:color w:val="0000CC"/>
                <w:szCs w:val="24"/>
                <w:lang w:eastAsia="tr-TR"/>
              </w:rPr>
            </w:pPr>
            <w:r w:rsidRPr="00A23740">
              <w:rPr>
                <w:rFonts w:eastAsia="Times New Roman"/>
                <w:szCs w:val="24"/>
                <w:lang w:eastAsia="tr-TR"/>
              </w:rPr>
              <w:t>b)</w:t>
            </w:r>
            <w:r w:rsidRPr="00A23740">
              <w:rPr>
                <w:rFonts w:eastAsia="Times New Roman"/>
                <w:b/>
                <w:color w:val="0000CC"/>
                <w:szCs w:val="24"/>
                <w:lang w:eastAsia="tr-TR"/>
              </w:rPr>
              <w:t xml:space="preserve"> </w:t>
            </w:r>
            <w:r w:rsidRPr="00A23740">
              <w:rPr>
                <w:rFonts w:eastAsia="Times New Roman"/>
                <w:szCs w:val="24"/>
                <w:lang w:eastAsia="tr-TR"/>
              </w:rPr>
              <w:t xml:space="preserve">Deniz alacağı doğduğunda geminin kiracısı olan </w:t>
            </w:r>
            <w:r w:rsidRPr="00A23740">
              <w:rPr>
                <w:rFonts w:eastAsia="Times New Roman"/>
                <w:b/>
                <w:bCs/>
                <w:color w:val="0000FF"/>
                <w:szCs w:val="24"/>
                <w:lang w:eastAsia="x-none"/>
              </w:rPr>
              <w:t>borçlu</w:t>
            </w:r>
            <w:r w:rsidRPr="00A23740">
              <w:rPr>
                <w:rFonts w:eastAsia="Times New Roman"/>
                <w:szCs w:val="24"/>
                <w:lang w:eastAsia="tr-TR"/>
              </w:rPr>
              <w:t>, ihtiyati haczin uygulan</w:t>
            </w:r>
            <w:r w:rsidRPr="00A23740">
              <w:rPr>
                <w:rFonts w:eastAsia="Times New Roman"/>
                <w:b/>
                <w:bCs/>
                <w:color w:val="0000FF"/>
                <w:szCs w:val="24"/>
                <w:lang w:eastAsia="x-none"/>
              </w:rPr>
              <w:t xml:space="preserve">acağı esnada </w:t>
            </w:r>
            <w:r w:rsidRPr="00A23740">
              <w:rPr>
                <w:rFonts w:eastAsia="Times New Roman"/>
                <w:szCs w:val="24"/>
                <w:lang w:eastAsia="tr-TR"/>
              </w:rPr>
              <w:t xml:space="preserve">geminin maliki ise </w:t>
            </w:r>
            <w:r w:rsidRPr="00A23740">
              <w:rPr>
                <w:rFonts w:eastAsia="Times New Roman"/>
                <w:b/>
                <w:bCs/>
                <w:color w:val="0000FF"/>
                <w:szCs w:val="24"/>
                <w:lang w:eastAsia="x-none"/>
              </w:rPr>
              <w:t>ya da</w:t>
            </w:r>
          </w:p>
          <w:p w:rsidR="00A46C6E" w:rsidRPr="00A23740" w:rsidRDefault="00A46C6E" w:rsidP="009431FF">
            <w:pPr>
              <w:widowControl w:val="0"/>
              <w:rPr>
                <w:rFonts w:eastAsia="Times New Roman"/>
                <w:b/>
                <w:color w:val="0000CC"/>
                <w:szCs w:val="24"/>
                <w:lang w:eastAsia="tr-TR"/>
              </w:rPr>
            </w:pPr>
          </w:p>
          <w:p w:rsidR="00A46C6E" w:rsidRPr="00A23740" w:rsidRDefault="00A46C6E" w:rsidP="009431FF">
            <w:pPr>
              <w:widowControl w:val="0"/>
              <w:rPr>
                <w:rFonts w:eastAsia="Times New Roman"/>
                <w:b/>
                <w:color w:val="0000CC"/>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c) Deniz alacağı gemi rehni, gemi ipoteği veya gemi üzerinde aynı nitelikte bir ayn</w:t>
            </w:r>
            <w:r w:rsidR="00AC45AD" w:rsidRPr="00A23740">
              <w:rPr>
                <w:rFonts w:eastAsia="Times New Roman"/>
                <w:szCs w:val="24"/>
                <w:lang w:eastAsia="tr-TR"/>
              </w:rPr>
              <w:t>i</w:t>
            </w:r>
            <w:r w:rsidRPr="00A23740">
              <w:rPr>
                <w:rFonts w:eastAsia="Times New Roman"/>
                <w:szCs w:val="24"/>
                <w:lang w:eastAsia="tr-TR"/>
              </w:rPr>
              <w:t xml:space="preserve"> yükümlülük ile teminat altına alınmış ise </w:t>
            </w:r>
            <w:r w:rsidRPr="00A23740">
              <w:rPr>
                <w:rFonts w:eastAsia="Times New Roman"/>
                <w:b/>
                <w:bCs/>
                <w:color w:val="0000FF"/>
                <w:szCs w:val="24"/>
                <w:lang w:eastAsia="x-none"/>
              </w:rPr>
              <w:t>yahut</w:t>
            </w:r>
          </w:p>
          <w:p w:rsidR="00A46C6E" w:rsidRPr="00A23740" w:rsidRDefault="00A46C6E" w:rsidP="009431FF">
            <w:pPr>
              <w:widowControl w:val="0"/>
              <w:rPr>
                <w:rFonts w:eastAsia="Times New Roman"/>
                <w:b/>
                <w:color w:val="0000CC"/>
                <w:szCs w:val="24"/>
                <w:lang w:eastAsia="tr-TR"/>
              </w:rPr>
            </w:pPr>
          </w:p>
          <w:p w:rsidR="00A46C6E" w:rsidRPr="00A23740" w:rsidRDefault="00A46C6E" w:rsidP="009431FF">
            <w:pPr>
              <w:widowControl w:val="0"/>
              <w:rPr>
                <w:rFonts w:eastAsia="Times New Roman"/>
                <w:b/>
                <w:color w:val="0000CC"/>
                <w:szCs w:val="24"/>
                <w:lang w:eastAsia="tr-TR"/>
              </w:rPr>
            </w:pPr>
            <w:r w:rsidRPr="00A23740">
              <w:rPr>
                <w:rFonts w:eastAsia="Times New Roman"/>
                <w:b/>
                <w:bCs/>
                <w:color w:val="0000FF"/>
                <w:szCs w:val="24"/>
                <w:lang w:eastAsia="x-none"/>
              </w:rPr>
              <w:t>ç) Deniz alacağı o</w:t>
            </w:r>
            <w:r w:rsidRPr="00A23740">
              <w:rPr>
                <w:rFonts w:eastAsia="Times New Roman"/>
                <w:szCs w:val="24"/>
                <w:lang w:eastAsia="tr-TR"/>
              </w:rPr>
              <w:t xml:space="preserve"> geminin mülkiyetine veya zilyetliğine ilişkin ise </w:t>
            </w:r>
            <w:r w:rsidRPr="00A23740">
              <w:rPr>
                <w:rFonts w:eastAsia="Times New Roman"/>
                <w:b/>
                <w:bCs/>
                <w:color w:val="0000FF"/>
                <w:szCs w:val="24"/>
                <w:lang w:eastAsia="x-none"/>
              </w:rPr>
              <w:t>veyahut</w:t>
            </w:r>
          </w:p>
          <w:p w:rsidR="00A46C6E" w:rsidRPr="00A23740" w:rsidRDefault="00A46C6E" w:rsidP="009431FF">
            <w:pPr>
              <w:widowControl w:val="0"/>
              <w:rPr>
                <w:rFonts w:eastAsia="Times New Roman"/>
                <w:b/>
                <w:color w:val="0000CC"/>
                <w:szCs w:val="24"/>
                <w:lang w:eastAsia="tr-TR"/>
              </w:rPr>
            </w:pPr>
          </w:p>
          <w:p w:rsidR="00BA405D" w:rsidRPr="00A23740" w:rsidRDefault="00A46C6E" w:rsidP="009431FF">
            <w:pPr>
              <w:widowControl w:val="0"/>
              <w:rPr>
                <w:rFonts w:eastAsia="Times New Roman"/>
                <w:b/>
                <w:bCs/>
                <w:color w:val="0000FF"/>
                <w:szCs w:val="24"/>
                <w:lang w:eastAsia="x-none"/>
              </w:rPr>
            </w:pPr>
            <w:r w:rsidRPr="00A23740">
              <w:rPr>
                <w:rFonts w:eastAsia="Times New Roman"/>
                <w:b/>
                <w:bCs/>
                <w:color w:val="0000FF"/>
                <w:szCs w:val="24"/>
                <w:lang w:eastAsia="x-none"/>
              </w:rPr>
              <w:t>d) Deniz alacaklısı Türk Ticaret Kanununun</w:t>
            </w:r>
            <w:r w:rsidRPr="00A23740">
              <w:rPr>
                <w:rFonts w:eastAsia="Times New Roman"/>
                <w:szCs w:val="24"/>
                <w:lang w:eastAsia="tr-TR"/>
              </w:rPr>
              <w:t xml:space="preserve"> 1320 nci madde</w:t>
            </w:r>
            <w:r w:rsidRPr="00A23740">
              <w:rPr>
                <w:rFonts w:eastAsia="Times New Roman"/>
                <w:b/>
                <w:bCs/>
                <w:color w:val="0000FF"/>
                <w:szCs w:val="24"/>
                <w:lang w:eastAsia="x-none"/>
              </w:rPr>
              <w:t>si</w:t>
            </w:r>
            <w:r w:rsidRPr="00A23740">
              <w:rPr>
                <w:rFonts w:eastAsia="Times New Roman"/>
                <w:b/>
                <w:color w:val="0000CC"/>
                <w:szCs w:val="24"/>
                <w:lang w:eastAsia="tr-TR"/>
              </w:rPr>
              <w:t xml:space="preserve"> </w:t>
            </w:r>
            <w:r w:rsidRPr="00A23740">
              <w:rPr>
                <w:rFonts w:eastAsia="Times New Roman"/>
                <w:szCs w:val="24"/>
                <w:lang w:eastAsia="tr-TR"/>
              </w:rPr>
              <w:t>uyarınca gemi alacaklısı hakkı</w:t>
            </w:r>
            <w:r w:rsidRPr="00A23740">
              <w:rPr>
                <w:rFonts w:eastAsia="Times New Roman"/>
                <w:b/>
                <w:bCs/>
                <w:color w:val="0000FF"/>
                <w:szCs w:val="24"/>
                <w:lang w:eastAsia="x-none"/>
              </w:rPr>
              <w:t>na sahip ise</w:t>
            </w:r>
          </w:p>
          <w:p w:rsidR="00A46C6E" w:rsidRPr="00A23740" w:rsidRDefault="00A46C6E" w:rsidP="009431FF">
            <w:pPr>
              <w:widowControl w:val="0"/>
              <w:rPr>
                <w:rFonts w:eastAsia="Times New Roman"/>
                <w:b/>
                <w:color w:val="0000CC"/>
                <w:szCs w:val="24"/>
                <w:lang w:eastAsia="tr-TR"/>
              </w:rPr>
            </w:pPr>
            <w:r w:rsidRPr="00A23740">
              <w:rPr>
                <w:rFonts w:eastAsia="Times New Roman"/>
                <w:b/>
                <w:bCs/>
                <w:color w:val="0000FF"/>
                <w:szCs w:val="24"/>
                <w:lang w:eastAsia="x-none"/>
              </w:rPr>
              <w:t xml:space="preserve"> </w:t>
            </w: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mümkündür.</w:t>
            </w:r>
          </w:p>
          <w:p w:rsidR="00A46C6E" w:rsidRPr="00A23740" w:rsidRDefault="00A46C6E" w:rsidP="009431FF">
            <w:pPr>
              <w:widowControl w:val="0"/>
              <w:rPr>
                <w:rFonts w:eastAsia="Times New Roman"/>
                <w:b/>
                <w:color w:val="0000CC"/>
                <w:szCs w:val="24"/>
                <w:lang w:eastAsia="tr-TR"/>
              </w:rPr>
            </w:pPr>
          </w:p>
          <w:p w:rsidR="00A46C6E" w:rsidRPr="00A23740" w:rsidRDefault="00A46C6E" w:rsidP="009431FF">
            <w:pPr>
              <w:widowControl w:val="0"/>
              <w:rPr>
                <w:rFonts w:eastAsia="Times New Roman"/>
                <w:b/>
                <w:color w:val="0000CC"/>
                <w:szCs w:val="24"/>
                <w:lang w:eastAsia="tr-TR"/>
              </w:rPr>
            </w:pPr>
            <w:r w:rsidRPr="000F3FFB">
              <w:t>(2)</w:t>
            </w:r>
            <w:r w:rsidRPr="00A23740">
              <w:rPr>
                <w:rFonts w:eastAsia="Times New Roman"/>
                <w:b/>
                <w:bCs/>
                <w:color w:val="0000FF"/>
                <w:szCs w:val="24"/>
                <w:lang w:eastAsia="x-none"/>
              </w:rPr>
              <w:t xml:space="preserve"> Deniz alacağına sebebiyet verdiği ileri sürülen gemiden başka bir geminin</w:t>
            </w:r>
            <w:r w:rsidRPr="00A23740">
              <w:rPr>
                <w:rFonts w:eastAsia="Times New Roman"/>
                <w:szCs w:val="24"/>
                <w:lang w:eastAsia="tr-TR"/>
              </w:rPr>
              <w:t xml:space="preserve"> </w:t>
            </w:r>
            <w:r w:rsidR="00BA405D" w:rsidRPr="00F257EC">
              <w:rPr>
                <w:rStyle w:val="YeniYeilChar"/>
                <w:rFonts w:eastAsia="Calibri"/>
                <w:color w:val="0000FF"/>
              </w:rPr>
              <w:t>ihtiyaten</w:t>
            </w:r>
            <w:r w:rsidR="00BA405D" w:rsidRPr="00A23740">
              <w:rPr>
                <w:rFonts w:eastAsia="Times New Roman"/>
                <w:szCs w:val="24"/>
                <w:lang w:eastAsia="tr-TR"/>
              </w:rPr>
              <w:t xml:space="preserve"> </w:t>
            </w:r>
            <w:r w:rsidRPr="00A23740">
              <w:rPr>
                <w:rFonts w:eastAsia="Times New Roman"/>
                <w:szCs w:val="24"/>
                <w:lang w:eastAsia="tr-TR"/>
              </w:rPr>
              <w:t>haczi</w:t>
            </w:r>
            <w:r w:rsidRPr="00A23740">
              <w:rPr>
                <w:rFonts w:eastAsia="Times New Roman"/>
                <w:b/>
                <w:bCs/>
                <w:color w:val="0000FF"/>
                <w:szCs w:val="24"/>
                <w:lang w:eastAsia="x-none"/>
              </w:rPr>
              <w:t xml:space="preserve">, deniz alacağının </w:t>
            </w:r>
            <w:r w:rsidRPr="000F3FFB">
              <w:rPr>
                <w:rStyle w:val="Balk1Char"/>
                <w:rFonts w:eastAsia="Calibri"/>
              </w:rPr>
              <w:t>borçlusu ihtiyati</w:t>
            </w:r>
            <w:r w:rsidRPr="00A23740">
              <w:rPr>
                <w:rFonts w:eastAsia="Times New Roman"/>
                <w:szCs w:val="24"/>
                <w:lang w:eastAsia="tr-TR"/>
              </w:rPr>
              <w:t xml:space="preserve"> haczi</w:t>
            </w:r>
            <w:r w:rsidRPr="00A23740">
              <w:rPr>
                <w:rFonts w:eastAsia="Times New Roman"/>
                <w:b/>
                <w:bCs/>
                <w:color w:val="0000FF"/>
                <w:szCs w:val="24"/>
                <w:lang w:eastAsia="x-none"/>
              </w:rPr>
              <w:t>n</w:t>
            </w:r>
            <w:r w:rsidRPr="00A23740">
              <w:rPr>
                <w:rFonts w:eastAsia="Times New Roman"/>
                <w:b/>
                <w:color w:val="0000CC"/>
                <w:szCs w:val="24"/>
                <w:lang w:eastAsia="tr-TR"/>
              </w:rPr>
              <w:t xml:space="preserve"> </w:t>
            </w:r>
            <w:r w:rsidRPr="00A23740">
              <w:rPr>
                <w:rFonts w:eastAsia="Times New Roman"/>
                <w:szCs w:val="24"/>
                <w:lang w:eastAsia="tr-TR"/>
              </w:rPr>
              <w:t>uygulan</w:t>
            </w:r>
            <w:r w:rsidRPr="00A23740">
              <w:rPr>
                <w:rFonts w:eastAsia="Times New Roman"/>
                <w:b/>
                <w:bCs/>
                <w:color w:val="0000FF"/>
                <w:szCs w:val="24"/>
                <w:lang w:eastAsia="x-none"/>
              </w:rPr>
              <w:t>acağı</w:t>
            </w:r>
            <w:r w:rsidRPr="00A23740">
              <w:rPr>
                <w:rFonts w:eastAsia="Times New Roman"/>
                <w:szCs w:val="24"/>
                <w:lang w:eastAsia="tr-TR"/>
              </w:rPr>
              <w:t xml:space="preserve"> sırada </w:t>
            </w:r>
            <w:r w:rsidRPr="00A23740">
              <w:rPr>
                <w:rFonts w:eastAsia="Times New Roman"/>
                <w:b/>
                <w:bCs/>
                <w:color w:val="0000FF"/>
                <w:szCs w:val="24"/>
                <w:lang w:eastAsia="x-none"/>
              </w:rPr>
              <w:t>bu geminin maliki ve</w:t>
            </w:r>
            <w:r w:rsidRPr="00A23740">
              <w:rPr>
                <w:rFonts w:eastAsia="Times New Roman"/>
                <w:szCs w:val="24"/>
                <w:lang w:eastAsia="tr-TR"/>
              </w:rPr>
              <w:t xml:space="preserve"> deniz alacağı doğduğunda</w:t>
            </w:r>
            <w:r w:rsidRPr="00A23740">
              <w:rPr>
                <w:rFonts w:eastAsia="Times New Roman"/>
                <w:b/>
                <w:color w:val="0000CC"/>
                <w:szCs w:val="24"/>
                <w:lang w:eastAsia="tr-TR"/>
              </w:rPr>
              <w:t xml:space="preserve"> </w:t>
            </w:r>
            <w:r w:rsidRPr="00A23740">
              <w:rPr>
                <w:rFonts w:eastAsia="Times New Roman"/>
                <w:b/>
                <w:bCs/>
                <w:color w:val="0000FF"/>
                <w:szCs w:val="24"/>
                <w:lang w:eastAsia="x-none"/>
              </w:rPr>
              <w:t>da alacağın doğumuna sebebiyet veren</w:t>
            </w:r>
            <w:r w:rsidRPr="00A23740">
              <w:rPr>
                <w:rFonts w:eastAsia="Times New Roman"/>
                <w:szCs w:val="24"/>
                <w:lang w:eastAsia="tr-TR"/>
              </w:rPr>
              <w:t xml:space="preserve"> geminin maliki, kiracısı veya tahsis olunanı ya da </w:t>
            </w:r>
            <w:r w:rsidRPr="00A23740">
              <w:rPr>
                <w:rFonts w:eastAsia="Times New Roman"/>
                <w:b/>
                <w:bCs/>
                <w:color w:val="0000FF"/>
                <w:szCs w:val="24"/>
                <w:lang w:eastAsia="x-none"/>
              </w:rPr>
              <w:t xml:space="preserve">yolculuk çarteri sözleşmesinde </w:t>
            </w:r>
            <w:r w:rsidRPr="000F3FFB">
              <w:t>taşıtan</w:t>
            </w:r>
            <w:r w:rsidRPr="00A23740">
              <w:rPr>
                <w:rFonts w:eastAsia="Times New Roman"/>
                <w:b/>
                <w:bCs/>
                <w:color w:val="0000FF"/>
                <w:szCs w:val="24"/>
                <w:lang w:eastAsia="x-none"/>
              </w:rPr>
              <w:t xml:space="preserve"> </w:t>
            </w:r>
            <w:r w:rsidRPr="000F3FFB">
              <w:t>ise</w:t>
            </w:r>
            <w:r w:rsidRPr="00A23740">
              <w:rPr>
                <w:rFonts w:eastAsia="Times New Roman"/>
                <w:szCs w:val="24"/>
                <w:lang w:eastAsia="tr-TR"/>
              </w:rPr>
              <w:t xml:space="preserve"> mümkündür.</w:t>
            </w:r>
            <w:r w:rsidRPr="00A23740">
              <w:rPr>
                <w:rFonts w:eastAsia="Times New Roman"/>
                <w:b/>
                <w:color w:val="0000CC"/>
                <w:szCs w:val="24"/>
                <w:lang w:eastAsia="tr-TR"/>
              </w:rPr>
              <w:t xml:space="preserve"> </w:t>
            </w:r>
            <w:r w:rsidRPr="00A23740">
              <w:rPr>
                <w:rFonts w:eastAsia="Times New Roman"/>
                <w:b/>
                <w:bCs/>
                <w:color w:val="0000FF"/>
                <w:szCs w:val="24"/>
                <w:lang w:eastAsia="x-none"/>
              </w:rPr>
              <w:t>Bu fıkra hükmü deniz alacağının geminin mülkiyetine veya zilyetliğine ilişkin olması h</w:t>
            </w:r>
            <w:r w:rsidR="00BA405D" w:rsidRPr="00A23740">
              <w:rPr>
                <w:rFonts w:eastAsia="Times New Roman"/>
                <w:b/>
                <w:bCs/>
                <w:color w:val="0000FF"/>
                <w:szCs w:val="24"/>
                <w:lang w:eastAsia="x-none"/>
              </w:rPr>
              <w:t>â</w:t>
            </w:r>
            <w:r w:rsidRPr="00A23740">
              <w:rPr>
                <w:rFonts w:eastAsia="Times New Roman"/>
                <w:b/>
                <w:bCs/>
                <w:color w:val="0000FF"/>
                <w:szCs w:val="24"/>
                <w:lang w:eastAsia="x-none"/>
              </w:rPr>
              <w:t>linde uygulanmaz.</w:t>
            </w:r>
          </w:p>
          <w:p w:rsidR="00A46C6E" w:rsidRPr="00A23740" w:rsidRDefault="00A46C6E" w:rsidP="009431FF">
            <w:pPr>
              <w:widowControl w:val="0"/>
              <w:rPr>
                <w:rFonts w:eastAsia="Times New Roman"/>
                <w:b/>
                <w:color w:val="FF0000"/>
                <w:szCs w:val="24"/>
                <w:lang w:eastAsia="tr-TR"/>
              </w:rPr>
            </w:pPr>
          </w:p>
          <w:p w:rsidR="00A46C6E" w:rsidRPr="00A23740" w:rsidRDefault="00A46C6E" w:rsidP="009431FF">
            <w:pPr>
              <w:widowControl w:val="0"/>
              <w:rPr>
                <w:rFonts w:eastAsia="Times New Roman"/>
                <w:b/>
                <w:bCs/>
                <w:szCs w:val="24"/>
                <w:lang w:eastAsia="x-none"/>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499</w:t>
            </w:r>
            <w:r w:rsidR="00A46C6E" w:rsidRPr="00A23740">
              <w:rPr>
                <w:rFonts w:eastAsia="Times New Roman"/>
                <w:b/>
                <w:bCs/>
                <w:szCs w:val="24"/>
                <w:lang w:eastAsia="tr-TR"/>
              </w:rPr>
              <w:t xml:space="preserve">- </w:t>
            </w:r>
            <w:bookmarkStart w:id="82" w:name="_Hlk172877178"/>
            <w:r w:rsidR="00A46C6E" w:rsidRPr="00A23740">
              <w:rPr>
                <w:bCs/>
                <w:szCs w:val="24"/>
                <w:lang w:eastAsia="x-none"/>
              </w:rPr>
              <w:t xml:space="preserve">Maddeyle, </w:t>
            </w:r>
            <w:r w:rsidR="00A46C6E" w:rsidRPr="00A23740">
              <w:rPr>
                <w:rFonts w:eastAsia="Times New Roman"/>
                <w:bCs/>
                <w:szCs w:val="24"/>
              </w:rPr>
              <w:t>ihtiyaten haczedilebilecek gemiye ilişkin</w:t>
            </w:r>
            <w:r w:rsidR="00A46C6E" w:rsidRPr="00A23740">
              <w:rPr>
                <w:bCs/>
                <w:szCs w:val="24"/>
                <w:lang w:eastAsia="x-none"/>
              </w:rPr>
              <w:t xml:space="preserve"> hususlar düzenlenmektedir.</w:t>
            </w:r>
          </w:p>
          <w:bookmarkEnd w:id="82"/>
          <w:p w:rsidR="00A46C6E" w:rsidRPr="00A23740" w:rsidRDefault="00A46C6E" w:rsidP="009431FF">
            <w:pPr>
              <w:ind w:firstLine="709"/>
              <w:rPr>
                <w:rFonts w:eastAsia="Times New Roman"/>
                <w:bCs/>
                <w:szCs w:val="24"/>
              </w:rPr>
            </w:pPr>
            <w:r w:rsidRPr="00A23740">
              <w:rPr>
                <w:rFonts w:eastAsia="Times New Roman"/>
                <w:bCs/>
                <w:szCs w:val="24"/>
              </w:rPr>
              <w:t xml:space="preserve">Taslağın </w:t>
            </w:r>
            <w:r w:rsidR="00360FCB" w:rsidRPr="00F257EC">
              <w:rPr>
                <w:rFonts w:eastAsia="Times New Roman"/>
                <w:szCs w:val="24"/>
              </w:rPr>
              <w:t>490 ve 491 inci</w:t>
            </w:r>
            <w:r w:rsidR="00360FCB" w:rsidRPr="00A23740">
              <w:rPr>
                <w:rFonts w:eastAsia="Times New Roman"/>
                <w:bCs/>
                <w:szCs w:val="24"/>
              </w:rPr>
              <w:t xml:space="preserve"> </w:t>
            </w:r>
            <w:r w:rsidRPr="00A23740">
              <w:rPr>
                <w:rFonts w:eastAsia="Times New Roman"/>
                <w:bCs/>
                <w:szCs w:val="24"/>
              </w:rPr>
              <w:t>maddeleri uyarınca mahkemece bir deniz alacağı dolayısıyla o deniz alacağına sebebiyet verdiği ileri sürülen geminin ihtiyati haczine karar verilebilmesi, geminin ihtiyati haczinin mümkün olmasına bağlıdır. 6102 sayılı Kanunda bir deniz alacağı için</w:t>
            </w:r>
            <w:r w:rsidR="00EC35EB" w:rsidRPr="00A23740">
              <w:rPr>
                <w:rFonts w:eastAsia="Times New Roman"/>
                <w:bCs/>
                <w:szCs w:val="24"/>
              </w:rPr>
              <w:t xml:space="preserve"> </w:t>
            </w:r>
            <w:r w:rsidR="00EC35EB" w:rsidRPr="00F257EC">
              <w:rPr>
                <w:rFonts w:eastAsia="Times New Roman"/>
                <w:bCs/>
                <w:szCs w:val="24"/>
              </w:rPr>
              <w:t>ihtiyaten haczi</w:t>
            </w:r>
            <w:r w:rsidRPr="00A23740">
              <w:rPr>
                <w:rFonts w:eastAsia="Times New Roman"/>
                <w:bCs/>
                <w:color w:val="385623"/>
                <w:szCs w:val="24"/>
              </w:rPr>
              <w:t xml:space="preserve"> </w:t>
            </w:r>
            <w:r w:rsidRPr="00A23740">
              <w:rPr>
                <w:rFonts w:eastAsia="Times New Roman"/>
                <w:bCs/>
                <w:szCs w:val="24"/>
              </w:rPr>
              <w:t xml:space="preserve">talep edilen geminin ihtiyaten haczinin mümkün olup olmadığı, 1999 </w:t>
            </w:r>
            <w:r w:rsidR="00360FCB" w:rsidRPr="00F257EC">
              <w:rPr>
                <w:rFonts w:eastAsia="Times New Roman"/>
                <w:bCs/>
                <w:szCs w:val="24"/>
              </w:rPr>
              <w:t>tarihli</w:t>
            </w:r>
            <w:r w:rsidR="00360FCB" w:rsidRPr="00F257EC">
              <w:rPr>
                <w:rFonts w:eastAsia="Times New Roman"/>
                <w:b/>
                <w:szCs w:val="24"/>
              </w:rPr>
              <w:t xml:space="preserve"> </w:t>
            </w:r>
            <w:r w:rsidR="00360FCB" w:rsidRPr="00F257EC">
              <w:rPr>
                <w:rFonts w:eastAsia="Times New Roman"/>
                <w:bCs/>
                <w:szCs w:val="24"/>
              </w:rPr>
              <w:t>Milletlerarası</w:t>
            </w:r>
            <w:r w:rsidR="00360FCB" w:rsidRPr="00F257EC">
              <w:rPr>
                <w:rFonts w:eastAsia="Times New Roman"/>
                <w:b/>
                <w:szCs w:val="24"/>
              </w:rPr>
              <w:t xml:space="preserve"> </w:t>
            </w:r>
            <w:r w:rsidR="00360FCB" w:rsidRPr="00F257EC">
              <w:rPr>
                <w:rFonts w:eastAsia="Times New Roman"/>
                <w:bCs/>
                <w:szCs w:val="24"/>
              </w:rPr>
              <w:t>Sözleşmenin</w:t>
            </w:r>
            <w:r w:rsidR="00360FCB" w:rsidRPr="00A23740">
              <w:rPr>
                <w:rFonts w:eastAsia="Times New Roman"/>
                <w:szCs w:val="24"/>
              </w:rPr>
              <w:t xml:space="preserve"> </w:t>
            </w:r>
            <w:r w:rsidRPr="00A23740">
              <w:rPr>
                <w:rFonts w:eastAsia="Times New Roman"/>
                <w:bCs/>
                <w:szCs w:val="24"/>
              </w:rPr>
              <w:t xml:space="preserve">3 üncü maddesinden alınan 1369 uncu maddende düzenlenmiştir. Ancak 1999 </w:t>
            </w:r>
            <w:r w:rsidR="00360FCB" w:rsidRPr="00F257EC">
              <w:rPr>
                <w:rFonts w:eastAsia="Times New Roman"/>
                <w:bCs/>
                <w:szCs w:val="24"/>
              </w:rPr>
              <w:t>tarihli</w:t>
            </w:r>
            <w:r w:rsidR="00360FCB" w:rsidRPr="00A23740">
              <w:rPr>
                <w:rStyle w:val="KonuBalChar"/>
                <w:rFonts w:eastAsia="Calibri"/>
              </w:rPr>
              <w:t xml:space="preserve"> </w:t>
            </w:r>
            <w:r w:rsidR="00360FCB" w:rsidRPr="00F257EC">
              <w:rPr>
                <w:rFonts w:eastAsia="Times New Roman"/>
                <w:bCs/>
                <w:szCs w:val="24"/>
              </w:rPr>
              <w:t>Milletlerarası</w:t>
            </w:r>
            <w:r w:rsidR="00360FCB" w:rsidRPr="00A23740">
              <w:rPr>
                <w:rStyle w:val="KonuBalChar"/>
                <w:rFonts w:eastAsia="Calibri"/>
              </w:rPr>
              <w:t xml:space="preserve"> </w:t>
            </w:r>
            <w:r w:rsidR="00360FCB" w:rsidRPr="00F257EC">
              <w:rPr>
                <w:rFonts w:eastAsia="Times New Roman"/>
                <w:bCs/>
                <w:szCs w:val="24"/>
              </w:rPr>
              <w:t>Sözleşmenin</w:t>
            </w:r>
            <w:r w:rsidR="00360FCB" w:rsidRPr="00A23740">
              <w:rPr>
                <w:rFonts w:eastAsia="Times New Roman"/>
                <w:szCs w:val="24"/>
              </w:rPr>
              <w:t xml:space="preserve"> </w:t>
            </w:r>
            <w:r w:rsidRPr="00A23740">
              <w:rPr>
                <w:rFonts w:eastAsia="Times New Roman"/>
                <w:bCs/>
                <w:szCs w:val="24"/>
              </w:rPr>
              <w:t>3 üncü ve 6102 sayılı Kanunun 1369 uncu maddelerinin “ihtiyati haciz hakkının kullanılması” şeklindeki kenar başlığı, madde metni</w:t>
            </w:r>
            <w:r w:rsidR="006B6579" w:rsidRPr="00A23740">
              <w:rPr>
                <w:rFonts w:eastAsia="Times New Roman"/>
                <w:bCs/>
                <w:szCs w:val="24"/>
              </w:rPr>
              <w:t>yle</w:t>
            </w:r>
            <w:r w:rsidRPr="00A23740">
              <w:rPr>
                <w:rFonts w:eastAsia="Times New Roman"/>
                <w:bCs/>
                <w:szCs w:val="24"/>
              </w:rPr>
              <w:t xml:space="preserve"> uyumlu görülmemiş; bu nedenle 6102 sayılı Kanunun 1369 uncu maddesinin değiştirilerek alındığı bu maddenin kenar başlığının “</w:t>
            </w:r>
            <w:r w:rsidRPr="00A23740">
              <w:rPr>
                <w:rFonts w:eastAsia="Times New Roman"/>
                <w:bCs/>
                <w:i/>
                <w:iCs/>
                <w:szCs w:val="24"/>
              </w:rPr>
              <w:t>ihtiyaten haczedilebilecek gemi</w:t>
            </w:r>
            <w:r w:rsidRPr="00A23740">
              <w:rPr>
                <w:rFonts w:eastAsia="Times New Roman"/>
                <w:bCs/>
                <w:szCs w:val="24"/>
              </w:rPr>
              <w:t>” şeklinde belirlenmesi gerekli görülmüştür.</w:t>
            </w:r>
          </w:p>
          <w:p w:rsidR="00A46C6E" w:rsidRPr="00A23740" w:rsidRDefault="00A46C6E" w:rsidP="009431FF">
            <w:pPr>
              <w:ind w:firstLine="709"/>
              <w:rPr>
                <w:rFonts w:eastAsia="Times New Roman"/>
                <w:bCs/>
                <w:szCs w:val="24"/>
              </w:rPr>
            </w:pPr>
            <w:r w:rsidRPr="00A23740">
              <w:rPr>
                <w:rFonts w:eastAsia="Times New Roman"/>
                <w:bCs/>
                <w:szCs w:val="24"/>
              </w:rPr>
              <w:t xml:space="preserve">6102 sayılı Kanunun 1369 uncu maddesinin birinci fıkrasının (a) bendi ve kaynak 1999 </w:t>
            </w:r>
            <w:r w:rsidR="00360FCB" w:rsidRPr="00F257EC">
              <w:rPr>
                <w:rFonts w:eastAsia="Times New Roman"/>
                <w:bCs/>
                <w:szCs w:val="24"/>
              </w:rPr>
              <w:t>tarihli</w:t>
            </w:r>
            <w:r w:rsidR="00360FCB" w:rsidRPr="00F257EC">
              <w:rPr>
                <w:rFonts w:eastAsia="Times New Roman"/>
                <w:b/>
                <w:szCs w:val="24"/>
              </w:rPr>
              <w:t xml:space="preserve"> </w:t>
            </w:r>
            <w:r w:rsidR="00360FCB" w:rsidRPr="00F257EC">
              <w:rPr>
                <w:rFonts w:eastAsia="Times New Roman"/>
                <w:bCs/>
                <w:szCs w:val="24"/>
              </w:rPr>
              <w:t>Milletlerarası</w:t>
            </w:r>
            <w:r w:rsidR="00360FCB" w:rsidRPr="00F257EC">
              <w:rPr>
                <w:rFonts w:eastAsia="Times New Roman"/>
                <w:b/>
                <w:szCs w:val="24"/>
              </w:rPr>
              <w:t xml:space="preserve"> </w:t>
            </w:r>
            <w:r w:rsidR="00360FCB" w:rsidRPr="00F257EC">
              <w:rPr>
                <w:rFonts w:eastAsia="Times New Roman"/>
                <w:bCs/>
                <w:szCs w:val="24"/>
              </w:rPr>
              <w:t>Sözleşmenin</w:t>
            </w:r>
            <w:r w:rsidR="00360FCB" w:rsidRPr="00A23740">
              <w:rPr>
                <w:rFonts w:eastAsia="Times New Roman"/>
                <w:szCs w:val="24"/>
              </w:rPr>
              <w:t xml:space="preserve"> </w:t>
            </w:r>
            <w:r w:rsidRPr="00A23740">
              <w:rPr>
                <w:rFonts w:eastAsia="Times New Roman"/>
                <w:bCs/>
                <w:szCs w:val="24"/>
              </w:rPr>
              <w:t>3 üncü maddesinin birinci fıkrasının (a) bendi</w:t>
            </w:r>
            <w:r w:rsidR="006B6579" w:rsidRPr="00A23740">
              <w:rPr>
                <w:rFonts w:eastAsia="Times New Roman"/>
                <w:bCs/>
                <w:szCs w:val="24"/>
              </w:rPr>
              <w:t>;</w:t>
            </w:r>
            <w:r w:rsidRPr="00A23740">
              <w:rPr>
                <w:rFonts w:eastAsia="Times New Roman"/>
                <w:bCs/>
                <w:szCs w:val="24"/>
              </w:rPr>
              <w:t xml:space="preserve"> “</w:t>
            </w:r>
            <w:r w:rsidRPr="00A23740">
              <w:rPr>
                <w:rFonts w:eastAsia="Times New Roman"/>
                <w:bCs/>
                <w:i/>
                <w:szCs w:val="24"/>
              </w:rPr>
              <w:t>Deniz alacağı doğduğunda geminin maliki olan kişi, ihtiyati haczin uygulandığı sırada da bu borçtan sorumlu olup geminin maliki ise</w:t>
            </w:r>
            <w:r w:rsidRPr="00A23740">
              <w:rPr>
                <w:rFonts w:eastAsia="Times New Roman"/>
                <w:bCs/>
                <w:szCs w:val="24"/>
              </w:rPr>
              <w:t>” şeklindedir. Bu bent metni, daha açık ve anlaşılır olması amacıyla</w:t>
            </w:r>
            <w:r w:rsidR="006B6579" w:rsidRPr="00A23740">
              <w:rPr>
                <w:rFonts w:eastAsia="Times New Roman"/>
                <w:bCs/>
                <w:szCs w:val="24"/>
              </w:rPr>
              <w:t>,</w:t>
            </w:r>
            <w:r w:rsidRPr="00A23740">
              <w:rPr>
                <w:rFonts w:eastAsia="Times New Roman"/>
                <w:bCs/>
                <w:szCs w:val="24"/>
              </w:rPr>
              <w:t xml:space="preserve"> “</w:t>
            </w:r>
            <w:r w:rsidRPr="00A23740">
              <w:rPr>
                <w:rFonts w:eastAsia="Times New Roman"/>
                <w:bCs/>
                <w:i/>
                <w:szCs w:val="24"/>
              </w:rPr>
              <w:t>Borçlu, deniz alacağının doğduğu ve ihtiyati haczin uygulandığı esnada geminin maliki ise</w:t>
            </w:r>
            <w:r w:rsidRPr="00A23740">
              <w:rPr>
                <w:rFonts w:eastAsia="Times New Roman"/>
                <w:bCs/>
                <w:szCs w:val="24"/>
              </w:rPr>
              <w:t>” şeklinde değiştirilerek</w:t>
            </w:r>
            <w:r w:rsidR="006B6579" w:rsidRPr="00A23740">
              <w:rPr>
                <w:rFonts w:eastAsia="Times New Roman"/>
                <w:bCs/>
                <w:szCs w:val="24"/>
              </w:rPr>
              <w:t>,</w:t>
            </w:r>
            <w:r w:rsidRPr="00A23740">
              <w:rPr>
                <w:rFonts w:eastAsia="Times New Roman"/>
                <w:bCs/>
                <w:szCs w:val="24"/>
              </w:rPr>
              <w:t xml:space="preserve"> </w:t>
            </w:r>
            <w:r w:rsidR="006B6579" w:rsidRPr="00A23740">
              <w:rPr>
                <w:rFonts w:eastAsia="Times New Roman"/>
                <w:bCs/>
                <w:szCs w:val="24"/>
              </w:rPr>
              <w:t xml:space="preserve">Taslağın </w:t>
            </w:r>
            <w:r w:rsidR="00360FCB" w:rsidRPr="00F257EC">
              <w:rPr>
                <w:rFonts w:eastAsia="Times New Roman"/>
                <w:bCs/>
                <w:szCs w:val="24"/>
              </w:rPr>
              <w:t>499</w:t>
            </w:r>
            <w:r w:rsidR="00360FCB" w:rsidRPr="00A23740">
              <w:rPr>
                <w:rStyle w:val="KonuBalChar"/>
                <w:rFonts w:eastAsia="Calibri"/>
              </w:rPr>
              <w:t xml:space="preserve"> </w:t>
            </w:r>
            <w:r w:rsidR="00360FCB" w:rsidRPr="00F257EC">
              <w:rPr>
                <w:rFonts w:eastAsia="Times New Roman"/>
                <w:bCs/>
                <w:szCs w:val="24"/>
              </w:rPr>
              <w:t>uncu</w:t>
            </w:r>
            <w:r w:rsidR="00360FCB" w:rsidRPr="00A23740">
              <w:rPr>
                <w:rFonts w:eastAsia="Times New Roman"/>
                <w:bCs/>
                <w:szCs w:val="24"/>
              </w:rPr>
              <w:t xml:space="preserve"> </w:t>
            </w:r>
            <w:r w:rsidRPr="00A23740">
              <w:rPr>
                <w:rFonts w:eastAsia="Times New Roman"/>
                <w:bCs/>
                <w:szCs w:val="24"/>
              </w:rPr>
              <w:t xml:space="preserve">maddenin birinci fıkrasının (a) bendine alınmıştır. </w:t>
            </w:r>
          </w:p>
          <w:p w:rsidR="00A46C6E" w:rsidRPr="00A23740" w:rsidRDefault="005610B8" w:rsidP="009431FF">
            <w:pPr>
              <w:ind w:firstLine="709"/>
              <w:rPr>
                <w:rFonts w:eastAsia="Times New Roman"/>
                <w:bCs/>
                <w:szCs w:val="24"/>
              </w:rPr>
            </w:pPr>
            <w:r w:rsidRPr="00F257EC">
              <w:rPr>
                <w:rFonts w:eastAsia="Times New Roman"/>
                <w:bCs/>
                <w:szCs w:val="24"/>
              </w:rPr>
              <w:t>1999</w:t>
            </w:r>
            <w:r w:rsidRPr="00A23740">
              <w:rPr>
                <w:rFonts w:eastAsia="Times New Roman"/>
                <w:bCs/>
                <w:szCs w:val="24"/>
              </w:rPr>
              <w:t xml:space="preserve"> </w:t>
            </w:r>
            <w:r w:rsidR="00360FCB" w:rsidRPr="00F257EC">
              <w:rPr>
                <w:rFonts w:eastAsia="Times New Roman"/>
                <w:bCs/>
                <w:szCs w:val="24"/>
              </w:rPr>
              <w:t>tarihli</w:t>
            </w:r>
            <w:r w:rsidR="00360FCB" w:rsidRPr="00F257EC">
              <w:rPr>
                <w:rFonts w:eastAsia="Times New Roman"/>
                <w:b/>
                <w:szCs w:val="24"/>
              </w:rPr>
              <w:t xml:space="preserve"> </w:t>
            </w:r>
            <w:r w:rsidR="00360FCB" w:rsidRPr="00F257EC">
              <w:rPr>
                <w:rFonts w:eastAsia="Times New Roman"/>
                <w:bCs/>
                <w:szCs w:val="24"/>
              </w:rPr>
              <w:t>Milletlerarası</w:t>
            </w:r>
            <w:r w:rsidR="00360FCB" w:rsidRPr="00F257EC">
              <w:rPr>
                <w:rFonts w:eastAsia="Times New Roman"/>
                <w:b/>
                <w:szCs w:val="24"/>
              </w:rPr>
              <w:t xml:space="preserve"> </w:t>
            </w:r>
            <w:r w:rsidR="00360FCB" w:rsidRPr="00F257EC">
              <w:rPr>
                <w:rFonts w:eastAsia="Times New Roman"/>
                <w:bCs/>
                <w:szCs w:val="24"/>
              </w:rPr>
              <w:t>Sözleşmenin</w:t>
            </w:r>
            <w:r w:rsidR="00360FCB" w:rsidRPr="00A23740">
              <w:rPr>
                <w:rFonts w:eastAsia="Times New Roman"/>
                <w:szCs w:val="24"/>
              </w:rPr>
              <w:t xml:space="preserve"> </w:t>
            </w:r>
            <w:r w:rsidR="00A46C6E" w:rsidRPr="00A23740">
              <w:rPr>
                <w:rFonts w:eastAsia="Times New Roman"/>
                <w:bCs/>
                <w:szCs w:val="24"/>
              </w:rPr>
              <w:t>3 üncü maddesinin birinci fıkrasının “</w:t>
            </w:r>
            <w:r w:rsidR="00A46C6E" w:rsidRPr="00A23740">
              <w:rPr>
                <w:rFonts w:eastAsia="Times New Roman"/>
                <w:bCs/>
                <w:i/>
                <w:iCs/>
                <w:szCs w:val="24"/>
              </w:rPr>
              <w:t>deniz alacağı doğduğunda geminin kiracısı olan borçlu, ihtiyati haczin uygulanacağı esnada geminin kiracısı veya maliki ise</w:t>
            </w:r>
            <w:r w:rsidR="00A46C6E" w:rsidRPr="00A23740">
              <w:rPr>
                <w:rFonts w:eastAsia="Times New Roman"/>
                <w:bCs/>
                <w:szCs w:val="24"/>
              </w:rPr>
              <w:t xml:space="preserve">” şeklindeki (b) bendi uyarınca kiracının borçlusu olduğu deniz alacağı için maliki olmadığı geminin ihtiyaten haczi mümkündür. Ancak 1999 </w:t>
            </w:r>
            <w:r w:rsidR="00360FCB" w:rsidRPr="00F257EC">
              <w:rPr>
                <w:rFonts w:eastAsia="Times New Roman"/>
                <w:bCs/>
                <w:szCs w:val="24"/>
              </w:rPr>
              <w:t>tarihli</w:t>
            </w:r>
            <w:r w:rsidR="00360FCB" w:rsidRPr="00F257EC">
              <w:rPr>
                <w:rFonts w:eastAsia="Times New Roman"/>
                <w:b/>
                <w:szCs w:val="24"/>
              </w:rPr>
              <w:t xml:space="preserve"> </w:t>
            </w:r>
            <w:r w:rsidR="00360FCB" w:rsidRPr="00F257EC">
              <w:rPr>
                <w:rFonts w:eastAsia="Times New Roman"/>
                <w:bCs/>
                <w:szCs w:val="24"/>
              </w:rPr>
              <w:t>Milletlerarası</w:t>
            </w:r>
            <w:r w:rsidR="00360FCB" w:rsidRPr="00F257EC">
              <w:rPr>
                <w:rFonts w:eastAsia="Times New Roman"/>
                <w:b/>
                <w:szCs w:val="24"/>
              </w:rPr>
              <w:t xml:space="preserve"> </w:t>
            </w:r>
            <w:r w:rsidR="00360FCB" w:rsidRPr="00F257EC">
              <w:rPr>
                <w:rFonts w:eastAsia="Times New Roman"/>
                <w:bCs/>
                <w:szCs w:val="24"/>
              </w:rPr>
              <w:t>Sözleşmenin</w:t>
            </w:r>
            <w:r w:rsidR="00360FCB" w:rsidRPr="00A23740">
              <w:rPr>
                <w:rFonts w:eastAsia="Times New Roman"/>
                <w:szCs w:val="24"/>
              </w:rPr>
              <w:t xml:space="preserve"> </w:t>
            </w:r>
            <w:r w:rsidR="00A46C6E" w:rsidRPr="00A23740">
              <w:rPr>
                <w:rFonts w:eastAsia="Times New Roman"/>
                <w:bCs/>
                <w:szCs w:val="24"/>
              </w:rPr>
              <w:t>3 üncü maddesinin üçüncü fıkrasına göre</w:t>
            </w:r>
            <w:r w:rsidR="006B6579" w:rsidRPr="00A23740">
              <w:rPr>
                <w:rFonts w:eastAsia="Times New Roman"/>
                <w:bCs/>
                <w:szCs w:val="24"/>
              </w:rPr>
              <w:t>,</w:t>
            </w:r>
            <w:r w:rsidR="00A46C6E" w:rsidRPr="00A23740">
              <w:rPr>
                <w:rFonts w:eastAsia="Times New Roman"/>
                <w:bCs/>
                <w:szCs w:val="24"/>
              </w:rPr>
              <w:t xml:space="preserve"> bir deniz alacağının borçlusuna ait olmayan geminin </w:t>
            </w:r>
            <w:r w:rsidR="006B6579" w:rsidRPr="00A23740">
              <w:rPr>
                <w:rFonts w:eastAsia="Times New Roman"/>
                <w:bCs/>
                <w:szCs w:val="24"/>
              </w:rPr>
              <w:t xml:space="preserve">ihtiyaten </w:t>
            </w:r>
            <w:r w:rsidR="00A46C6E" w:rsidRPr="00A23740">
              <w:rPr>
                <w:rFonts w:eastAsia="Times New Roman"/>
                <w:bCs/>
                <w:szCs w:val="24"/>
              </w:rPr>
              <w:t>haczi, yalnızca ihtiyati haciz için başvurulan devletin hukuku uyarınca o deniz alacağına ilişkin ilamın, geminin cebr</w:t>
            </w:r>
            <w:r w:rsidR="00A949BC" w:rsidRPr="00A23740">
              <w:rPr>
                <w:rFonts w:eastAsia="Times New Roman"/>
                <w:bCs/>
                <w:szCs w:val="24"/>
              </w:rPr>
              <w:t>î</w:t>
            </w:r>
            <w:r w:rsidR="00A46C6E" w:rsidRPr="00A23740">
              <w:rPr>
                <w:rFonts w:eastAsia="Times New Roman"/>
                <w:bCs/>
                <w:szCs w:val="24"/>
              </w:rPr>
              <w:t xml:space="preserve"> icra yoluyla satılarak uygulanabilir olması h</w:t>
            </w:r>
            <w:r w:rsidRPr="00A23740">
              <w:rPr>
                <w:rFonts w:eastAsia="Times New Roman"/>
                <w:bCs/>
                <w:szCs w:val="24"/>
              </w:rPr>
              <w:t>â</w:t>
            </w:r>
            <w:r w:rsidR="00A46C6E" w:rsidRPr="00A23740">
              <w:rPr>
                <w:rFonts w:eastAsia="Times New Roman"/>
                <w:bCs/>
                <w:szCs w:val="24"/>
              </w:rPr>
              <w:t>linde mümkündür. Türk hukukunda borçlunun maliki olmadığı geminin cebr</w:t>
            </w:r>
            <w:r w:rsidR="00A949BC" w:rsidRPr="00A23740">
              <w:rPr>
                <w:rFonts w:eastAsia="Times New Roman"/>
                <w:bCs/>
                <w:szCs w:val="24"/>
              </w:rPr>
              <w:t>î</w:t>
            </w:r>
            <w:r w:rsidR="00A46C6E" w:rsidRPr="00A23740">
              <w:rPr>
                <w:rFonts w:eastAsia="Times New Roman"/>
                <w:bCs/>
                <w:szCs w:val="24"/>
              </w:rPr>
              <w:t xml:space="preserve"> </w:t>
            </w:r>
            <w:r w:rsidRPr="00F257EC">
              <w:rPr>
                <w:rFonts w:eastAsia="Times New Roman"/>
                <w:bCs/>
                <w:szCs w:val="24"/>
              </w:rPr>
              <w:t>icra</w:t>
            </w:r>
            <w:r w:rsidRPr="00A23740">
              <w:rPr>
                <w:rFonts w:eastAsia="Times New Roman"/>
                <w:bCs/>
                <w:szCs w:val="24"/>
              </w:rPr>
              <w:t xml:space="preserve"> </w:t>
            </w:r>
            <w:r w:rsidR="00A46C6E" w:rsidRPr="00A23740">
              <w:rPr>
                <w:rFonts w:eastAsia="Times New Roman"/>
                <w:bCs/>
                <w:szCs w:val="24"/>
              </w:rPr>
              <w:t>yoluyla satılarak bedelinden alacağın tahsil edilmesi, bu alacağın akdi veya kanuni bir rehin hakkı</w:t>
            </w:r>
            <w:r w:rsidR="006B6579" w:rsidRPr="00A23740">
              <w:rPr>
                <w:rFonts w:eastAsia="Times New Roman"/>
                <w:bCs/>
                <w:szCs w:val="24"/>
              </w:rPr>
              <w:t>yla</w:t>
            </w:r>
            <w:r w:rsidR="00A46C6E" w:rsidRPr="00A23740">
              <w:rPr>
                <w:rFonts w:eastAsia="Times New Roman"/>
                <w:bCs/>
                <w:szCs w:val="24"/>
              </w:rPr>
              <w:t xml:space="preserve"> teminat altına alınmış olması h</w:t>
            </w:r>
            <w:r w:rsidRPr="00A23740">
              <w:rPr>
                <w:rFonts w:eastAsia="Times New Roman"/>
                <w:bCs/>
                <w:szCs w:val="24"/>
              </w:rPr>
              <w:t>â</w:t>
            </w:r>
            <w:r w:rsidR="00A46C6E" w:rsidRPr="00A23740">
              <w:rPr>
                <w:rFonts w:eastAsia="Times New Roman"/>
                <w:bCs/>
                <w:szCs w:val="24"/>
              </w:rPr>
              <w:t>linde mümkündür. Bunun dışında deniz alacağı doğduğunda geminin kiracısı ve borçlusu olan kişi, ihtiyati haczin uygulanacağı esnada o deniz alacağının ilişkili olduğu geminin maliki değilse</w:t>
            </w:r>
            <w:r w:rsidR="006B6579" w:rsidRPr="00A23740">
              <w:rPr>
                <w:rFonts w:eastAsia="Times New Roman"/>
                <w:bCs/>
                <w:szCs w:val="24"/>
              </w:rPr>
              <w:t>,</w:t>
            </w:r>
            <w:r w:rsidR="00A46C6E" w:rsidRPr="00A23740">
              <w:rPr>
                <w:rFonts w:eastAsia="Times New Roman"/>
                <w:bCs/>
                <w:szCs w:val="24"/>
              </w:rPr>
              <w:t xml:space="preserve"> bu geminin cebr</w:t>
            </w:r>
            <w:r w:rsidR="00A949BC" w:rsidRPr="00A23740">
              <w:rPr>
                <w:rFonts w:eastAsia="Times New Roman"/>
                <w:bCs/>
                <w:szCs w:val="24"/>
              </w:rPr>
              <w:t>î</w:t>
            </w:r>
            <w:r w:rsidR="00A46C6E" w:rsidRPr="00A23740">
              <w:rPr>
                <w:rFonts w:eastAsia="Times New Roman"/>
                <w:bCs/>
                <w:szCs w:val="24"/>
              </w:rPr>
              <w:t xml:space="preserve"> icra yoluyla sattırılıp bedelinden alacağın tahsili mümkün değildir. Bu nedenle 1999 </w:t>
            </w:r>
            <w:r w:rsidR="00360FCB" w:rsidRPr="00F257EC">
              <w:rPr>
                <w:rFonts w:eastAsia="Times New Roman"/>
                <w:bCs/>
                <w:szCs w:val="24"/>
              </w:rPr>
              <w:t>tarihli</w:t>
            </w:r>
            <w:r w:rsidR="00360FCB" w:rsidRPr="00F257EC">
              <w:rPr>
                <w:rFonts w:eastAsia="Times New Roman"/>
                <w:b/>
                <w:szCs w:val="24"/>
              </w:rPr>
              <w:t xml:space="preserve"> </w:t>
            </w:r>
            <w:r w:rsidR="00360FCB" w:rsidRPr="00F257EC">
              <w:rPr>
                <w:rFonts w:eastAsia="Times New Roman"/>
                <w:bCs/>
                <w:szCs w:val="24"/>
              </w:rPr>
              <w:t>Milletlerarası</w:t>
            </w:r>
            <w:r w:rsidR="00360FCB" w:rsidRPr="00F257EC">
              <w:rPr>
                <w:rFonts w:eastAsia="Times New Roman"/>
                <w:b/>
                <w:szCs w:val="24"/>
              </w:rPr>
              <w:t xml:space="preserve"> </w:t>
            </w:r>
            <w:r w:rsidR="00360FCB" w:rsidRPr="00F257EC">
              <w:rPr>
                <w:rFonts w:eastAsia="Times New Roman"/>
                <w:bCs/>
                <w:szCs w:val="24"/>
              </w:rPr>
              <w:t>Sözleşmenin</w:t>
            </w:r>
            <w:r w:rsidR="00360FCB" w:rsidRPr="00A23740">
              <w:rPr>
                <w:rFonts w:eastAsia="Times New Roman"/>
                <w:szCs w:val="24"/>
              </w:rPr>
              <w:t xml:space="preserve"> </w:t>
            </w:r>
            <w:r w:rsidR="00A46C6E" w:rsidRPr="00A23740">
              <w:rPr>
                <w:rFonts w:eastAsia="Times New Roman"/>
                <w:bCs/>
                <w:szCs w:val="24"/>
              </w:rPr>
              <w:t>3 üncü maddesinin birinci fıkrasının (b) bendinden farklı olarak 6102 sayılı Kanunun 1369 uncu maddesinin birinci fıkrasın</w:t>
            </w:r>
            <w:r w:rsidR="006B6579" w:rsidRPr="00A23740">
              <w:rPr>
                <w:rFonts w:eastAsia="Times New Roman"/>
                <w:bCs/>
                <w:szCs w:val="24"/>
              </w:rPr>
              <w:t>ın</w:t>
            </w:r>
            <w:r w:rsidR="00A46C6E" w:rsidRPr="00A23740">
              <w:rPr>
                <w:rFonts w:eastAsia="Times New Roman"/>
                <w:bCs/>
                <w:szCs w:val="24"/>
              </w:rPr>
              <w:t xml:space="preserve"> (b) bendinde, “Deniz alacağı doğduğunda geminin kiracısı olan kişi, ihtiyati haczin uygulandığı sırada da borçtan sorumlu olup geminin maliki ise” denilmiş; bu bent, ifadesi “Deniz alacağı doğduğunda geminin kiracısı olan borçlu, ihtiyati haczin uygulanacağı esnada geminin maliki ise” şeklinde değiştirilerek </w:t>
            </w:r>
            <w:r w:rsidR="006B6579" w:rsidRPr="00A23740">
              <w:rPr>
                <w:rFonts w:eastAsia="Times New Roman"/>
                <w:bCs/>
                <w:szCs w:val="24"/>
              </w:rPr>
              <w:t xml:space="preserve">Taslağın </w:t>
            </w:r>
            <w:r w:rsidR="00360FCB" w:rsidRPr="00F257EC">
              <w:rPr>
                <w:rFonts w:eastAsia="Times New Roman"/>
                <w:bCs/>
                <w:szCs w:val="24"/>
              </w:rPr>
              <w:t>499</w:t>
            </w:r>
            <w:r w:rsidR="00360FCB" w:rsidRPr="00F257EC">
              <w:rPr>
                <w:rFonts w:eastAsia="Times New Roman"/>
                <w:b/>
                <w:szCs w:val="24"/>
              </w:rPr>
              <w:t xml:space="preserve"> </w:t>
            </w:r>
            <w:r w:rsidR="00360FCB" w:rsidRPr="00F257EC">
              <w:rPr>
                <w:rFonts w:eastAsia="Times New Roman"/>
                <w:bCs/>
                <w:szCs w:val="24"/>
              </w:rPr>
              <w:t>uncu</w:t>
            </w:r>
            <w:r w:rsidR="00360FCB" w:rsidRPr="00A23740">
              <w:rPr>
                <w:rFonts w:eastAsia="Times New Roman"/>
                <w:bCs/>
                <w:szCs w:val="24"/>
              </w:rPr>
              <w:t xml:space="preserve"> </w:t>
            </w:r>
            <w:r w:rsidR="00A46C6E" w:rsidRPr="00A23740">
              <w:rPr>
                <w:rFonts w:eastAsia="Times New Roman"/>
                <w:bCs/>
                <w:szCs w:val="24"/>
              </w:rPr>
              <w:t>madde</w:t>
            </w:r>
            <w:r w:rsidR="006B6579" w:rsidRPr="00A23740">
              <w:rPr>
                <w:rFonts w:eastAsia="Times New Roman"/>
                <w:bCs/>
                <w:szCs w:val="24"/>
              </w:rPr>
              <w:t>si</w:t>
            </w:r>
            <w:r w:rsidR="00A46C6E" w:rsidRPr="00A23740">
              <w:rPr>
                <w:rFonts w:eastAsia="Times New Roman"/>
                <w:bCs/>
                <w:szCs w:val="24"/>
              </w:rPr>
              <w:t xml:space="preserve">nin birinci fıkrasının (b) bendine alınmıştır. </w:t>
            </w:r>
          </w:p>
          <w:p w:rsidR="00A46C6E" w:rsidRPr="00A23740" w:rsidRDefault="00A46C6E" w:rsidP="009431FF">
            <w:pPr>
              <w:ind w:firstLine="709"/>
              <w:rPr>
                <w:rFonts w:eastAsia="Times New Roman"/>
                <w:bCs/>
                <w:szCs w:val="24"/>
              </w:rPr>
            </w:pPr>
            <w:r w:rsidRPr="00A23740">
              <w:rPr>
                <w:rFonts w:eastAsia="Times New Roman"/>
                <w:bCs/>
                <w:szCs w:val="24"/>
              </w:rPr>
              <w:t>İhtiyati haciz talebine dayanak gösterilen deniz alacağı</w:t>
            </w:r>
            <w:r w:rsidR="006B6579" w:rsidRPr="00A23740">
              <w:rPr>
                <w:rFonts w:eastAsia="Times New Roman"/>
                <w:bCs/>
                <w:szCs w:val="24"/>
              </w:rPr>
              <w:t>;</w:t>
            </w:r>
            <w:r w:rsidRPr="00A23740">
              <w:rPr>
                <w:rFonts w:eastAsia="Times New Roman"/>
                <w:bCs/>
                <w:szCs w:val="24"/>
              </w:rPr>
              <w:t xml:space="preserve"> gemi rehni, gemi ipoteği veya aynı nitelikte bir ayn</w:t>
            </w:r>
            <w:r w:rsidR="00AC45AD" w:rsidRPr="00A23740">
              <w:rPr>
                <w:rFonts w:eastAsia="Times New Roman"/>
                <w:bCs/>
                <w:szCs w:val="24"/>
              </w:rPr>
              <w:t>i</w:t>
            </w:r>
            <w:r w:rsidRPr="00A23740">
              <w:rPr>
                <w:rFonts w:eastAsia="Times New Roman"/>
                <w:bCs/>
                <w:szCs w:val="24"/>
              </w:rPr>
              <w:t xml:space="preserve"> yükümlülük</w:t>
            </w:r>
            <w:r w:rsidR="006B6579" w:rsidRPr="00A23740">
              <w:rPr>
                <w:rFonts w:eastAsia="Times New Roman"/>
                <w:bCs/>
                <w:szCs w:val="24"/>
              </w:rPr>
              <w:t>le</w:t>
            </w:r>
            <w:r w:rsidRPr="00A23740">
              <w:rPr>
                <w:rFonts w:eastAsia="Times New Roman"/>
                <w:bCs/>
                <w:szCs w:val="24"/>
              </w:rPr>
              <w:t xml:space="preserve"> teminat altına alınmışsa, malikin deniz alacağının borçlusu olması aranmaz. Bu doğrultuda 6102 sayılı Kanunun 1369 uncu maddesinin birinci fıkrasının (c) bendi, 492 nci maddenin birinci fıkrasının (c) bendine aynen alınmıştır. </w:t>
            </w:r>
          </w:p>
          <w:p w:rsidR="00A46C6E" w:rsidRPr="00A23740" w:rsidRDefault="00A46C6E" w:rsidP="009431FF">
            <w:pPr>
              <w:ind w:firstLine="709"/>
              <w:rPr>
                <w:rFonts w:eastAsia="Times New Roman"/>
                <w:bCs/>
                <w:szCs w:val="24"/>
              </w:rPr>
            </w:pPr>
            <w:r w:rsidRPr="00A23740">
              <w:rPr>
                <w:rFonts w:eastAsia="Times New Roman"/>
                <w:bCs/>
                <w:szCs w:val="24"/>
              </w:rPr>
              <w:t xml:space="preserve">1999 </w:t>
            </w:r>
            <w:r w:rsidR="00360FCB" w:rsidRPr="00F257EC">
              <w:rPr>
                <w:rFonts w:eastAsia="Times New Roman"/>
                <w:szCs w:val="24"/>
              </w:rPr>
              <w:t>tarihli Milletlerarası Sözleşmenin</w:t>
            </w:r>
            <w:r w:rsidR="00360FCB" w:rsidRPr="00A23740">
              <w:rPr>
                <w:rFonts w:eastAsia="Times New Roman"/>
                <w:szCs w:val="24"/>
              </w:rPr>
              <w:t xml:space="preserve"> </w:t>
            </w:r>
            <w:r w:rsidR="005610B8" w:rsidRPr="00F257EC">
              <w:rPr>
                <w:rFonts w:eastAsia="Times New Roman"/>
                <w:bCs/>
                <w:szCs w:val="24"/>
              </w:rPr>
              <w:t>3</w:t>
            </w:r>
            <w:r w:rsidR="005610B8" w:rsidRPr="00F257EC">
              <w:rPr>
                <w:rFonts w:eastAsia="Times New Roman"/>
                <w:b/>
                <w:bCs/>
              </w:rPr>
              <w:t xml:space="preserve"> </w:t>
            </w:r>
            <w:r w:rsidR="005610B8" w:rsidRPr="00F257EC">
              <w:rPr>
                <w:rFonts w:eastAsia="Times New Roman"/>
                <w:bCs/>
                <w:szCs w:val="24"/>
              </w:rPr>
              <w:t>üncü</w:t>
            </w:r>
            <w:r w:rsidR="005610B8" w:rsidRPr="00A23740">
              <w:rPr>
                <w:rFonts w:eastAsia="Times New Roman"/>
                <w:bCs/>
                <w:szCs w:val="24"/>
              </w:rPr>
              <w:t xml:space="preserve"> </w:t>
            </w:r>
            <w:r w:rsidRPr="00A23740">
              <w:rPr>
                <w:rFonts w:eastAsia="Times New Roman"/>
                <w:bCs/>
                <w:szCs w:val="24"/>
              </w:rPr>
              <w:t>maddesinin birinci fıkrasının (d) bendi ve 6102 sayılı Kanunun 1369 uncu maddesinin birinci fıkrasının (d) bendine göre</w:t>
            </w:r>
            <w:r w:rsidR="006B6579" w:rsidRPr="00A23740">
              <w:rPr>
                <w:rFonts w:eastAsia="Times New Roman"/>
                <w:bCs/>
                <w:szCs w:val="24"/>
              </w:rPr>
              <w:t>,</w:t>
            </w:r>
            <w:r w:rsidRPr="00A23740">
              <w:rPr>
                <w:rFonts w:eastAsia="Times New Roman"/>
                <w:bCs/>
                <w:szCs w:val="24"/>
              </w:rPr>
              <w:t xml:space="preserve"> geminin mülkiyeti veya zilyetliğine ilişkin deniz alacakları için de gemi ihtiyaten haczedilebilir. Bu </w:t>
            </w:r>
            <w:r w:rsidR="006B6579" w:rsidRPr="00A23740">
              <w:rPr>
                <w:rFonts w:eastAsia="Times New Roman"/>
                <w:bCs/>
                <w:szCs w:val="24"/>
              </w:rPr>
              <w:t xml:space="preserve">hususa Taslağın </w:t>
            </w:r>
            <w:r w:rsidR="00360FCB" w:rsidRPr="00F257EC">
              <w:rPr>
                <w:rFonts w:eastAsia="Times New Roman"/>
                <w:bCs/>
              </w:rPr>
              <w:t>499</w:t>
            </w:r>
            <w:r w:rsidR="00360FCB" w:rsidRPr="00F257EC">
              <w:rPr>
                <w:rFonts w:eastAsia="Times New Roman"/>
                <w:b/>
                <w:szCs w:val="24"/>
              </w:rPr>
              <w:t xml:space="preserve"> </w:t>
            </w:r>
            <w:r w:rsidR="00360FCB" w:rsidRPr="00F257EC">
              <w:rPr>
                <w:rFonts w:eastAsia="Times New Roman"/>
                <w:bCs/>
                <w:szCs w:val="24"/>
              </w:rPr>
              <w:t>uncu</w:t>
            </w:r>
            <w:r w:rsidR="00360FCB" w:rsidRPr="00A23740">
              <w:rPr>
                <w:rFonts w:eastAsia="Times New Roman"/>
                <w:bCs/>
                <w:szCs w:val="24"/>
              </w:rPr>
              <w:t xml:space="preserve"> </w:t>
            </w:r>
            <w:r w:rsidRPr="00A23740">
              <w:rPr>
                <w:rFonts w:eastAsia="Times New Roman"/>
                <w:bCs/>
                <w:szCs w:val="24"/>
              </w:rPr>
              <w:t xml:space="preserve">maddenin birinci fıkrasının (ç) bendine yer verilmiştir. </w:t>
            </w:r>
          </w:p>
          <w:p w:rsidR="00A46C6E" w:rsidRPr="00A23740" w:rsidRDefault="00A46C6E" w:rsidP="009431FF">
            <w:pPr>
              <w:ind w:firstLine="709"/>
              <w:rPr>
                <w:rFonts w:eastAsia="Times New Roman"/>
                <w:bCs/>
              </w:rPr>
            </w:pPr>
            <w:r w:rsidRPr="00A23740">
              <w:rPr>
                <w:rFonts w:eastAsia="Times New Roman"/>
                <w:bCs/>
                <w:szCs w:val="24"/>
              </w:rPr>
              <w:t>6102 sayılı Kanunun 1320 nci maddesinin birinci fıkrasına göre geminin malikine, kiracısına, yöneticisine veya işletenine karşı doğmuş olan ve bu fıkrada belirtilen alacaklar</w:t>
            </w:r>
            <w:r w:rsidR="006B6579" w:rsidRPr="00A23740">
              <w:rPr>
                <w:rFonts w:eastAsia="Times New Roman"/>
                <w:bCs/>
                <w:szCs w:val="24"/>
              </w:rPr>
              <w:t>,</w:t>
            </w:r>
            <w:r w:rsidRPr="00A23740">
              <w:rPr>
                <w:rFonts w:eastAsia="Times New Roman"/>
                <w:bCs/>
                <w:szCs w:val="24"/>
              </w:rPr>
              <w:t xml:space="preserve"> sahiplerine</w:t>
            </w:r>
            <w:r w:rsidR="006B6579" w:rsidRPr="00A23740">
              <w:rPr>
                <w:rFonts w:eastAsia="Times New Roman"/>
                <w:bCs/>
                <w:szCs w:val="24"/>
              </w:rPr>
              <w:t>,</w:t>
            </w:r>
            <w:r w:rsidRPr="00A23740">
              <w:rPr>
                <w:rFonts w:eastAsia="Times New Roman"/>
                <w:bCs/>
                <w:szCs w:val="24"/>
              </w:rPr>
              <w:t xml:space="preserve"> “gemi alacaklısı hakkı” verir. Dolayısıyla alacaklısına gemi alacaklısı </w:t>
            </w:r>
            <w:r w:rsidR="005610B8" w:rsidRPr="00F257EC">
              <w:rPr>
                <w:rFonts w:eastAsia="Times New Roman"/>
                <w:bCs/>
              </w:rPr>
              <w:t>hakkı</w:t>
            </w:r>
            <w:r w:rsidR="005610B8" w:rsidRPr="00A23740">
              <w:rPr>
                <w:rFonts w:eastAsia="Times New Roman"/>
                <w:bCs/>
                <w:szCs w:val="24"/>
              </w:rPr>
              <w:t xml:space="preserve"> </w:t>
            </w:r>
            <w:r w:rsidRPr="00A23740">
              <w:rPr>
                <w:rFonts w:eastAsia="Times New Roman"/>
                <w:bCs/>
                <w:szCs w:val="24"/>
              </w:rPr>
              <w:t>veren deniz alacakları için borçlunun maliki olmadığı geminin cebr</w:t>
            </w:r>
            <w:r w:rsidR="00A949BC" w:rsidRPr="00A23740">
              <w:rPr>
                <w:rFonts w:eastAsia="Times New Roman"/>
                <w:bCs/>
                <w:szCs w:val="24"/>
              </w:rPr>
              <w:t>î</w:t>
            </w:r>
            <w:r w:rsidRPr="00A23740">
              <w:rPr>
                <w:rFonts w:eastAsia="Times New Roman"/>
                <w:bCs/>
                <w:szCs w:val="24"/>
              </w:rPr>
              <w:t xml:space="preserve"> icra yoluyla satılması mümkündür. 1999 </w:t>
            </w:r>
            <w:r w:rsidR="00360FCB" w:rsidRPr="00F257EC">
              <w:rPr>
                <w:rFonts w:eastAsia="Times New Roman"/>
                <w:bCs/>
                <w:szCs w:val="24"/>
              </w:rPr>
              <w:t>tarihli</w:t>
            </w:r>
            <w:r w:rsidR="00360FCB" w:rsidRPr="00F257EC">
              <w:rPr>
                <w:rFonts w:eastAsia="Times New Roman"/>
                <w:b/>
                <w:szCs w:val="24"/>
              </w:rPr>
              <w:t xml:space="preserve"> </w:t>
            </w:r>
            <w:r w:rsidR="00360FCB" w:rsidRPr="00F257EC">
              <w:rPr>
                <w:rFonts w:eastAsia="Times New Roman"/>
                <w:bCs/>
                <w:szCs w:val="24"/>
              </w:rPr>
              <w:t>Milletlerarası</w:t>
            </w:r>
            <w:r w:rsidR="00360FCB" w:rsidRPr="00F257EC">
              <w:rPr>
                <w:rFonts w:eastAsia="Times New Roman"/>
                <w:b/>
                <w:szCs w:val="24"/>
              </w:rPr>
              <w:t xml:space="preserve"> </w:t>
            </w:r>
            <w:r w:rsidR="00360FCB" w:rsidRPr="00F257EC">
              <w:rPr>
                <w:rFonts w:eastAsia="Times New Roman"/>
                <w:bCs/>
                <w:szCs w:val="24"/>
              </w:rPr>
              <w:t>Sözleşmenin</w:t>
            </w:r>
            <w:r w:rsidR="00360FCB" w:rsidRPr="00A23740">
              <w:rPr>
                <w:rFonts w:eastAsia="Times New Roman"/>
                <w:szCs w:val="24"/>
              </w:rPr>
              <w:t xml:space="preserve"> </w:t>
            </w:r>
            <w:r w:rsidRPr="00A23740">
              <w:rPr>
                <w:rFonts w:eastAsia="Times New Roman"/>
                <w:bCs/>
                <w:szCs w:val="24"/>
              </w:rPr>
              <w:t xml:space="preserve"> 3 üncü maddesinin birinci fıkrasının (e) bendinde </w:t>
            </w:r>
            <w:r w:rsidRPr="00A23740">
              <w:rPr>
                <w:rFonts w:eastAsia="Times New Roman"/>
                <w:bCs/>
              </w:rPr>
              <w:t>geminin malikine, kiracısına, yöneticisine veya işletenine karşı ileri sürülen alacağın, ihtiyati haciz için başvurulan devlet hukukuna göre gemi alacaklısı hakkı</w:t>
            </w:r>
            <w:r w:rsidR="006B6579" w:rsidRPr="00A23740">
              <w:rPr>
                <w:rFonts w:eastAsia="Times New Roman"/>
                <w:bCs/>
              </w:rPr>
              <w:t>yla</w:t>
            </w:r>
            <w:r w:rsidRPr="00A23740">
              <w:rPr>
                <w:rFonts w:eastAsia="Times New Roman"/>
                <w:bCs/>
              </w:rPr>
              <w:t xml:space="preserve"> teminat altına alınmış olmasından söz edilmektedir. Deniz alacağı, alacaklısına gemi üzerinde gemi alacaklısı hakkı veren alacaklardan ise, bu alacağın borçlusuna bakılmaksızın o geminin ihtiyati haczi mümkündür. </w:t>
            </w:r>
            <w:r w:rsidRPr="00A23740">
              <w:rPr>
                <w:rFonts w:eastAsia="Times New Roman"/>
                <w:bCs/>
                <w:szCs w:val="24"/>
              </w:rPr>
              <w:t xml:space="preserve">Bu nedenle 6102 sayılı Kanunun 1369 uncu maddesinin birinci fıkrasının (c) bendi, ifadesi değiştirilerek </w:t>
            </w:r>
            <w:r w:rsidR="00360FCB" w:rsidRPr="00F257EC">
              <w:rPr>
                <w:rFonts w:eastAsia="Times New Roman"/>
                <w:bCs/>
              </w:rPr>
              <w:t>499</w:t>
            </w:r>
            <w:r w:rsidR="00360FCB" w:rsidRPr="00A23740">
              <w:rPr>
                <w:rStyle w:val="KonuBalChar"/>
                <w:rFonts w:eastAsia="Calibri"/>
              </w:rPr>
              <w:t xml:space="preserve"> </w:t>
            </w:r>
            <w:r w:rsidR="00360FCB" w:rsidRPr="00F257EC">
              <w:rPr>
                <w:rFonts w:eastAsia="Times New Roman"/>
                <w:bCs/>
              </w:rPr>
              <w:t>uncu</w:t>
            </w:r>
            <w:r w:rsidR="00360FCB" w:rsidRPr="00A23740">
              <w:rPr>
                <w:rFonts w:eastAsia="Times New Roman"/>
                <w:bCs/>
                <w:szCs w:val="24"/>
              </w:rPr>
              <w:t xml:space="preserve"> </w:t>
            </w:r>
            <w:r w:rsidRPr="00A23740">
              <w:rPr>
                <w:rFonts w:eastAsia="Times New Roman"/>
                <w:bCs/>
                <w:szCs w:val="24"/>
              </w:rPr>
              <w:t>maddenin birinci fıkrasının (d) bendine alınmıştır</w:t>
            </w:r>
            <w:r w:rsidRPr="00A23740">
              <w:rPr>
                <w:rFonts w:eastAsia="Times New Roman"/>
                <w:bCs/>
              </w:rPr>
              <w:t xml:space="preserve">. </w:t>
            </w:r>
          </w:p>
          <w:p w:rsidR="00A46C6E" w:rsidRPr="00A23740" w:rsidRDefault="00A46C6E" w:rsidP="009431FF">
            <w:pPr>
              <w:ind w:firstLine="709"/>
              <w:rPr>
                <w:rFonts w:eastAsia="Times New Roman"/>
                <w:bCs/>
                <w:szCs w:val="24"/>
              </w:rPr>
            </w:pPr>
            <w:r w:rsidRPr="00A23740">
              <w:rPr>
                <w:rFonts w:eastAsia="Times New Roman"/>
                <w:bCs/>
                <w:szCs w:val="24"/>
              </w:rPr>
              <w:t xml:space="preserve">1999 </w:t>
            </w:r>
            <w:r w:rsidR="00360FCB" w:rsidRPr="00F257EC">
              <w:rPr>
                <w:rFonts w:eastAsia="Times New Roman"/>
                <w:bCs/>
              </w:rPr>
              <w:t>tarihli</w:t>
            </w:r>
            <w:r w:rsidR="00360FCB" w:rsidRPr="00F257EC">
              <w:rPr>
                <w:rFonts w:eastAsia="Times New Roman"/>
                <w:b/>
              </w:rPr>
              <w:t xml:space="preserve"> </w:t>
            </w:r>
            <w:r w:rsidR="00360FCB" w:rsidRPr="00F257EC">
              <w:rPr>
                <w:rFonts w:eastAsia="Times New Roman"/>
                <w:bCs/>
              </w:rPr>
              <w:t>Milletlerarası</w:t>
            </w:r>
            <w:r w:rsidR="00360FCB" w:rsidRPr="00F257EC">
              <w:rPr>
                <w:rFonts w:eastAsia="Times New Roman"/>
                <w:b/>
              </w:rPr>
              <w:t xml:space="preserve"> </w:t>
            </w:r>
            <w:r w:rsidR="00360FCB" w:rsidRPr="00F257EC">
              <w:rPr>
                <w:rFonts w:eastAsia="Times New Roman"/>
                <w:bCs/>
              </w:rPr>
              <w:t>Sözleşmenin</w:t>
            </w:r>
            <w:r w:rsidR="00360FCB" w:rsidRPr="00A23740">
              <w:rPr>
                <w:rFonts w:eastAsia="Times New Roman"/>
                <w:szCs w:val="24"/>
              </w:rPr>
              <w:t xml:space="preserve"> </w:t>
            </w:r>
            <w:r w:rsidRPr="00A23740">
              <w:rPr>
                <w:rFonts w:eastAsia="Times New Roman"/>
                <w:bCs/>
                <w:szCs w:val="24"/>
              </w:rPr>
              <w:t>3 üncü maddesinin ikinci fıkrası ve 6102 sayılı Kanunun 1369 uncu maddesinin ikinci fıkrasında deniz alacağının doğumuna sebebiyet veren gemiden başka bir geminin hangi hâlde ihtiyaten haczedilebileceği düzenlenmiştir. 6102 sayılı Kanunun 1369 uncu maddesinin ikinci fıkrasında yer alan “</w:t>
            </w:r>
            <w:r w:rsidRPr="00A23740">
              <w:rPr>
                <w:rFonts w:eastAsia="Times New Roman"/>
                <w:bCs/>
                <w:i/>
                <w:iCs/>
                <w:szCs w:val="24"/>
              </w:rPr>
              <w:t>Birinci fıkrada sayılanların dışındaki gemilerin ihtiyati haczi</w:t>
            </w:r>
            <w:r w:rsidRPr="00A23740">
              <w:rPr>
                <w:rFonts w:eastAsia="Times New Roman"/>
                <w:bCs/>
                <w:szCs w:val="24"/>
              </w:rPr>
              <w:t>, …” ibaresi, kaynak düzenleme doğrultusunda “</w:t>
            </w:r>
            <w:r w:rsidRPr="00A23740">
              <w:rPr>
                <w:rFonts w:eastAsia="Times New Roman"/>
                <w:bCs/>
                <w:i/>
                <w:iCs/>
                <w:szCs w:val="24"/>
              </w:rPr>
              <w:t>Deniz alacağına sebebiyet verdiği ileri sürülen gemiden başka bir geminin ihtiyati haczi</w:t>
            </w:r>
            <w:r w:rsidRPr="00A23740">
              <w:rPr>
                <w:rFonts w:eastAsia="Times New Roman"/>
                <w:bCs/>
                <w:szCs w:val="24"/>
              </w:rPr>
              <w:t>, …” şeklinde değiştirilmiştir. Devamında başka hangi geminin ihtiyaten haczedilebileceği hususunun daha açık ve anlaşılır şekilde ifade edilebilmesi için</w:t>
            </w:r>
            <w:r w:rsidR="00F149B4" w:rsidRPr="00F257EC">
              <w:rPr>
                <w:rFonts w:eastAsia="Times New Roman"/>
                <w:bCs/>
              </w:rPr>
              <w:t>,</w:t>
            </w:r>
            <w:r w:rsidRPr="00A23740">
              <w:rPr>
                <w:rFonts w:eastAsia="Times New Roman"/>
                <w:bCs/>
                <w:szCs w:val="24"/>
              </w:rPr>
              <w:t xml:space="preserve"> “</w:t>
            </w:r>
            <w:r w:rsidRPr="00A23740">
              <w:rPr>
                <w:rFonts w:eastAsia="Times New Roman"/>
                <w:bCs/>
                <w:i/>
                <w:iCs/>
                <w:szCs w:val="24"/>
              </w:rPr>
              <w:t>deniz alacağının borçlusu, ihtiyati haczin uygulanacağı sırada ihtiyaten haczedilecek geminin maliki ve deniz alacağı doğduğunda da alacağın doğumuna sebebiyet veren geminin maliki, kiracısı veya tahsis olunanı ya da yolculuk çarteri sözleşmesinde taşıtan ise</w:t>
            </w:r>
            <w:r w:rsidRPr="00A23740">
              <w:rPr>
                <w:rFonts w:eastAsia="Times New Roman"/>
                <w:bCs/>
                <w:szCs w:val="24"/>
              </w:rPr>
              <w:t xml:space="preserve"> …” denilmiştir. 6102 sayılı Kanunun 1369 uncu maddesinin üçüncü fıkrası, deniz alacağına sebebiyet verdiği ileri sürülen gemiden başka bir geminin ihtiyati haczi</w:t>
            </w:r>
            <w:r w:rsidR="006B6579" w:rsidRPr="00A23740">
              <w:rPr>
                <w:rFonts w:eastAsia="Times New Roman"/>
                <w:bCs/>
                <w:szCs w:val="24"/>
              </w:rPr>
              <w:t>yle</w:t>
            </w:r>
            <w:r w:rsidRPr="00A23740">
              <w:rPr>
                <w:rFonts w:eastAsia="Times New Roman"/>
                <w:bCs/>
                <w:szCs w:val="24"/>
              </w:rPr>
              <w:t xml:space="preserve"> bağlantılı olduğundan, söz konusu fıkra, “</w:t>
            </w:r>
            <w:r w:rsidRPr="00A23740">
              <w:rPr>
                <w:rFonts w:eastAsia="Times New Roman"/>
                <w:bCs/>
                <w:i/>
                <w:iCs/>
                <w:szCs w:val="24"/>
              </w:rPr>
              <w:t xml:space="preserve">Bu fıkra hükmü deniz alacağının geminin mülkiyetine veya zilyetliğine </w:t>
            </w:r>
            <w:r w:rsidR="00535D4A" w:rsidRPr="00A23740">
              <w:rPr>
                <w:rFonts w:eastAsia="Times New Roman"/>
                <w:bCs/>
                <w:i/>
                <w:iCs/>
                <w:szCs w:val="24"/>
              </w:rPr>
              <w:t>ilişkin olması hâ</w:t>
            </w:r>
            <w:r w:rsidRPr="00A23740">
              <w:rPr>
                <w:rFonts w:eastAsia="Times New Roman"/>
                <w:bCs/>
                <w:i/>
                <w:iCs/>
                <w:szCs w:val="24"/>
              </w:rPr>
              <w:t>linde uygulanmaz</w:t>
            </w:r>
            <w:r w:rsidRPr="00A23740">
              <w:rPr>
                <w:rFonts w:eastAsia="Times New Roman"/>
                <w:bCs/>
                <w:szCs w:val="24"/>
              </w:rPr>
              <w:t xml:space="preserve">.” şeklinde değiştirilmek suretiyle </w:t>
            </w:r>
            <w:r w:rsidR="006B6579" w:rsidRPr="00A23740">
              <w:rPr>
                <w:rFonts w:eastAsia="Times New Roman"/>
                <w:bCs/>
                <w:szCs w:val="24"/>
              </w:rPr>
              <w:t xml:space="preserve">Taslağın </w:t>
            </w:r>
            <w:r w:rsidR="00360FCB" w:rsidRPr="00F257EC">
              <w:rPr>
                <w:rFonts w:eastAsia="Times New Roman"/>
                <w:bCs/>
              </w:rPr>
              <w:t>499</w:t>
            </w:r>
            <w:r w:rsidR="00360FCB" w:rsidRPr="00A23740">
              <w:rPr>
                <w:rStyle w:val="KonuBalChar"/>
                <w:rFonts w:eastAsia="Calibri"/>
              </w:rPr>
              <w:t xml:space="preserve"> </w:t>
            </w:r>
            <w:r w:rsidR="00360FCB" w:rsidRPr="00F257EC">
              <w:rPr>
                <w:rFonts w:eastAsia="Times New Roman"/>
                <w:bCs/>
              </w:rPr>
              <w:t>uncu</w:t>
            </w:r>
            <w:r w:rsidR="00360FCB" w:rsidRPr="00A23740">
              <w:rPr>
                <w:rFonts w:eastAsia="Times New Roman"/>
                <w:bCs/>
                <w:szCs w:val="24"/>
              </w:rPr>
              <w:t xml:space="preserve"> </w:t>
            </w:r>
            <w:r w:rsidRPr="00A23740">
              <w:rPr>
                <w:rFonts w:eastAsia="Times New Roman"/>
                <w:bCs/>
                <w:szCs w:val="24"/>
              </w:rPr>
              <w:t>madde</w:t>
            </w:r>
            <w:r w:rsidR="006B6579" w:rsidRPr="00A23740">
              <w:rPr>
                <w:rFonts w:eastAsia="Times New Roman"/>
                <w:bCs/>
                <w:szCs w:val="24"/>
              </w:rPr>
              <w:t>si</w:t>
            </w:r>
            <w:r w:rsidRPr="00A23740">
              <w:rPr>
                <w:rFonts w:eastAsia="Times New Roman"/>
                <w:bCs/>
                <w:szCs w:val="24"/>
              </w:rPr>
              <w:t xml:space="preserve">nin ikinci fıkrasına alınmıştır. </w:t>
            </w:r>
          </w:p>
          <w:p w:rsidR="00A46C6E" w:rsidRPr="00A23740" w:rsidRDefault="00A46C6E" w:rsidP="002A27F8">
            <w:pPr>
              <w:rPr>
                <w:rFonts w:eastAsia="Times New Roman"/>
                <w:szCs w:val="24"/>
                <w:lang w:eastAsia="x-none"/>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tr-TR"/>
              </w:rPr>
              <w:t>d)</w:t>
            </w:r>
            <w:r w:rsidRPr="00A23740">
              <w:rPr>
                <w:rFonts w:eastAsia="Times New Roman"/>
                <w:b/>
                <w:bCs/>
                <w:szCs w:val="24"/>
                <w:lang w:eastAsia="tr-TR"/>
              </w:rPr>
              <w:t xml:space="preserve"> </w:t>
            </w:r>
            <w:r w:rsidRPr="00A23740">
              <w:rPr>
                <w:rFonts w:eastAsia="Times New Roman"/>
                <w:b/>
                <w:strike/>
                <w:color w:val="FF0000"/>
                <w:szCs w:val="24"/>
                <w:lang w:eastAsia="tr-TR"/>
              </w:rPr>
              <w:t>Geminin seferde olması</w:t>
            </w:r>
            <w:r w:rsidRPr="00A23740">
              <w:rPr>
                <w:rFonts w:eastAsia="Times New Roman"/>
                <w:b/>
                <w:bCs/>
                <w:szCs w:val="24"/>
                <w:lang w:eastAsia="tr-TR"/>
              </w:rPr>
              <w:t xml:space="preserve"> </w:t>
            </w:r>
          </w:p>
          <w:p w:rsidR="00A46C6E" w:rsidRPr="00A23740" w:rsidRDefault="00A46C6E" w:rsidP="009431FF">
            <w:pPr>
              <w:widowControl w:val="0"/>
              <w:rPr>
                <w:rFonts w:eastAsia="Times New Roman"/>
                <w:b/>
                <w:strike/>
                <w:color w:val="FF0000"/>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1367-</w:t>
            </w:r>
            <w:r w:rsidRPr="00A23740">
              <w:rPr>
                <w:rFonts w:eastAsia="Times New Roman"/>
                <w:szCs w:val="24"/>
                <w:lang w:eastAsia="tr-TR"/>
              </w:rPr>
              <w:t xml:space="preserve"> </w:t>
            </w:r>
            <w:r w:rsidRPr="00A23740">
              <w:rPr>
                <w:rFonts w:eastAsia="Times New Roman"/>
                <w:b/>
                <w:strike/>
                <w:color w:val="FF0000"/>
                <w:szCs w:val="24"/>
                <w:lang w:eastAsia="tr-TR"/>
              </w:rPr>
              <w:t>(1)</w:t>
            </w:r>
            <w:r w:rsidRPr="00A23740">
              <w:rPr>
                <w:rFonts w:eastAsia="Times New Roman"/>
                <w:bCs/>
                <w:szCs w:val="24"/>
                <w:lang w:eastAsia="x-none"/>
              </w:rPr>
              <w:t xml:space="preserve"> İhtiyati haciz kararı uygulan</w:t>
            </w:r>
            <w:r w:rsidRPr="00A23740">
              <w:rPr>
                <w:rFonts w:eastAsia="Times New Roman"/>
                <w:b/>
                <w:strike/>
                <w:color w:val="FF0000"/>
                <w:szCs w:val="24"/>
                <w:lang w:eastAsia="tr-TR"/>
              </w:rPr>
              <w:t>acağı sırada, gemi fiilen hareket etmiş veya seferde bulunuyorsa, 1366 ncı maddenin ikinci ilâ dördüncü fıkralarında öngörülen işlemlerden başka,</w:t>
            </w:r>
          </w:p>
          <w:p w:rsidR="00A46C6E" w:rsidRPr="00A23740" w:rsidRDefault="00A46C6E" w:rsidP="009431FF">
            <w:pPr>
              <w:widowControl w:val="0"/>
              <w:rPr>
                <w:rFonts w:eastAsia="Times New Roman"/>
                <w:b/>
                <w:strike/>
                <w:color w:val="FF0000"/>
                <w:szCs w:val="24"/>
                <w:lang w:eastAsia="tr-TR"/>
              </w:rPr>
            </w:pP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a) Türk Bayraklı gemilerde ihtiyati haciz kararı, malike, malik olmayan donatana ve borçtan şahsen sorumlu bulunan kişiye tebliğ edilir ve deniz alacağı için on gün içinde teminat verilmesi, aksi hâlde geminin izleyen ilk seferinde icra dairesine teslim olunması ihtar olunur, geminin teslim edilmemesi hâlinde, fail hakkında Türk Ceza Kanununun 289 uncu maddesine göre cezaya hükmolunur;</w:t>
            </w: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b) Yabancı bayraklı gemilerde ihtiyati haciz kararı, sahil güvenlik komutanlığının yardımı alınarak, gemi Türk karasularını terk edinceye kadar uygulanabilir.</w:t>
            </w:r>
          </w:p>
          <w:p w:rsidR="00A46C6E" w:rsidRPr="00A23740" w:rsidRDefault="00A46C6E" w:rsidP="009431FF">
            <w:pPr>
              <w:widowControl w:val="0"/>
              <w:rPr>
                <w:rFonts w:eastAsia="Times New Roman"/>
                <w:szCs w:val="24"/>
              </w:rPr>
            </w:pPr>
          </w:p>
        </w:tc>
        <w:tc>
          <w:tcPr>
            <w:tcW w:w="2500" w:type="pct"/>
            <w:shd w:val="clear" w:color="auto" w:fill="auto"/>
          </w:tcPr>
          <w:p w:rsidR="00A46C6E" w:rsidRPr="00A23740" w:rsidRDefault="00A46C6E" w:rsidP="009431FF">
            <w:pPr>
              <w:widowControl w:val="0"/>
              <w:rPr>
                <w:rFonts w:eastAsia="Times New Roman"/>
                <w:b/>
                <w:bCs/>
                <w:color w:val="0000FF"/>
                <w:szCs w:val="24"/>
                <w:lang w:eastAsia="tr-TR"/>
              </w:rPr>
            </w:pPr>
            <w:r w:rsidRPr="00A23740">
              <w:rPr>
                <w:rFonts w:eastAsia="Times New Roman"/>
                <w:b/>
                <w:bCs/>
                <w:color w:val="0000FF"/>
                <w:szCs w:val="24"/>
                <w:lang w:eastAsia="tr-TR"/>
              </w:rPr>
              <w:t>Yola çıkmış geminin ihtiyati haczi</w:t>
            </w:r>
          </w:p>
          <w:p w:rsidR="00A46C6E" w:rsidRPr="00A23740" w:rsidRDefault="00993A1A" w:rsidP="009431FF">
            <w:pPr>
              <w:widowControl w:val="0"/>
              <w:rPr>
                <w:rFonts w:eastAsia="Times New Roman"/>
                <w:szCs w:val="24"/>
                <w:lang w:eastAsia="tr-TR"/>
              </w:rPr>
            </w:pPr>
            <w:r w:rsidRPr="00A23740">
              <w:rPr>
                <w:rFonts w:eastAsia="Times New Roman"/>
                <w:b/>
                <w:bCs/>
                <w:color w:val="0000FF"/>
                <w:szCs w:val="24"/>
                <w:lang w:eastAsia="tr-TR"/>
              </w:rPr>
              <w:t>MADDE 500</w:t>
            </w:r>
            <w:r w:rsidR="00A46C6E" w:rsidRPr="00A23740">
              <w:rPr>
                <w:rFonts w:eastAsia="Times New Roman"/>
                <w:b/>
                <w:bCs/>
                <w:color w:val="0000FF"/>
                <w:szCs w:val="24"/>
                <w:lang w:eastAsia="tr-TR"/>
              </w:rPr>
              <w:t>- (1)</w:t>
            </w:r>
            <w:r w:rsidR="00A46C6E" w:rsidRPr="00A23740">
              <w:rPr>
                <w:rFonts w:eastAsia="Times New Roman"/>
                <w:bCs/>
                <w:szCs w:val="24"/>
                <w:lang w:eastAsia="x-none"/>
              </w:rPr>
              <w:t xml:space="preserve"> İhtiyati haciz kararı uygulan</w:t>
            </w:r>
            <w:r w:rsidR="00A46C6E" w:rsidRPr="00A23740">
              <w:rPr>
                <w:rFonts w:eastAsia="Times New Roman"/>
                <w:b/>
                <w:bCs/>
                <w:color w:val="0000FF"/>
                <w:szCs w:val="24"/>
                <w:lang w:eastAsia="tr-TR"/>
              </w:rPr>
              <w:t xml:space="preserve">madan önce durduğu yerden hareket edip yola çıkmış gemi, Türk karasularını terk edinceye kadar sahil güvenlik komutanlığının yardımı alınarak yolculuk sırasında ihtiyaten haczedilebilir. Bu geminin serbest bırakılmasında da </w:t>
            </w:r>
            <w:r w:rsidR="004F5573" w:rsidRPr="00F257EC">
              <w:rPr>
                <w:rStyle w:val="KonuBalChar"/>
                <w:rFonts w:eastAsia="Calibri"/>
                <w:color w:val="0000FF"/>
              </w:rPr>
              <w:t>502</w:t>
            </w:r>
            <w:r w:rsidR="004F5573" w:rsidRPr="00A23740">
              <w:rPr>
                <w:rStyle w:val="KonuBalChar"/>
                <w:rFonts w:eastAsia="Calibri"/>
              </w:rPr>
              <w:t xml:space="preserve"> </w:t>
            </w:r>
            <w:r w:rsidR="004F5573" w:rsidRPr="00F257EC">
              <w:rPr>
                <w:rStyle w:val="KonuBalChar"/>
                <w:rFonts w:eastAsia="Calibri"/>
                <w:color w:val="0000FF"/>
              </w:rPr>
              <w:t>nci</w:t>
            </w:r>
            <w:r w:rsidR="004F5573" w:rsidRPr="00A23740">
              <w:rPr>
                <w:rFonts w:eastAsia="Times New Roman"/>
                <w:b/>
                <w:bCs/>
                <w:color w:val="0000FF"/>
                <w:szCs w:val="24"/>
                <w:lang w:eastAsia="tr-TR"/>
              </w:rPr>
              <w:t xml:space="preserve"> </w:t>
            </w:r>
            <w:r w:rsidR="00A46C6E" w:rsidRPr="00A23740">
              <w:rPr>
                <w:b/>
                <w:bCs/>
                <w:color w:val="0000FF"/>
                <w:lang w:val="x-none" w:eastAsia="x-none"/>
              </w:rPr>
              <w:t>maddenin</w:t>
            </w:r>
            <w:r w:rsidR="00A46C6E" w:rsidRPr="00A23740">
              <w:rPr>
                <w:rFonts w:eastAsia="Times New Roman"/>
                <w:b/>
                <w:bCs/>
                <w:color w:val="0000FF"/>
                <w:szCs w:val="24"/>
                <w:lang w:eastAsia="tr-TR"/>
              </w:rPr>
              <w:t xml:space="preserve"> birinci ve ikinci fıkraları uygulanır.</w:t>
            </w:r>
          </w:p>
          <w:p w:rsidR="00A46C6E" w:rsidRPr="00A23740" w:rsidRDefault="00A46C6E" w:rsidP="009431FF">
            <w:pPr>
              <w:widowControl w:val="0"/>
              <w:rPr>
                <w:rFonts w:eastAsia="Times New Roman"/>
                <w:b/>
                <w:strike/>
                <w:color w:val="FF0000"/>
                <w:szCs w:val="24"/>
                <w:lang w:eastAsia="x-none"/>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83" w:name="_Hlk134341596"/>
          </w:p>
          <w:p w:rsidR="00A46C6E" w:rsidRPr="00A23740" w:rsidRDefault="00993A1A" w:rsidP="009431FF">
            <w:pPr>
              <w:ind w:firstLine="709"/>
              <w:rPr>
                <w:rFonts w:eastAsia="Times New Roman"/>
                <w:b/>
                <w:bCs/>
                <w:szCs w:val="24"/>
                <w:lang w:eastAsia="tr-TR"/>
              </w:rPr>
            </w:pPr>
            <w:r w:rsidRPr="00A23740">
              <w:rPr>
                <w:rFonts w:eastAsia="Times New Roman"/>
                <w:b/>
                <w:bCs/>
                <w:szCs w:val="24"/>
                <w:lang w:eastAsia="tr-TR"/>
              </w:rPr>
              <w:t>MADDE 500</w:t>
            </w:r>
            <w:r w:rsidR="00A46C6E" w:rsidRPr="00A23740">
              <w:rPr>
                <w:rFonts w:eastAsia="Times New Roman"/>
                <w:b/>
                <w:bCs/>
                <w:szCs w:val="24"/>
                <w:lang w:eastAsia="tr-TR"/>
              </w:rPr>
              <w:t xml:space="preserve">- </w:t>
            </w:r>
            <w:bookmarkStart w:id="84" w:name="_Hlk172877224"/>
            <w:r w:rsidR="00A46C6E" w:rsidRPr="00A23740">
              <w:rPr>
                <w:bCs/>
                <w:szCs w:val="24"/>
                <w:lang w:eastAsia="x-none"/>
              </w:rPr>
              <w:t xml:space="preserve">Maddeyle, </w:t>
            </w:r>
            <w:r w:rsidR="00A46C6E" w:rsidRPr="00A23740">
              <w:rPr>
                <w:rFonts w:eastAsia="Times New Roman"/>
                <w:szCs w:val="24"/>
                <w:lang w:eastAsia="x-none"/>
              </w:rPr>
              <w:t>yola çıkmış geminin ihtiyati haczine ilişkin</w:t>
            </w:r>
            <w:r w:rsidR="00A46C6E" w:rsidRPr="00A23740">
              <w:rPr>
                <w:bCs/>
                <w:szCs w:val="24"/>
                <w:lang w:eastAsia="x-none"/>
              </w:rPr>
              <w:t xml:space="preserve"> hususlar düzenlenmektedir</w:t>
            </w:r>
            <w:bookmarkEnd w:id="84"/>
            <w:r w:rsidR="00A46C6E" w:rsidRPr="00A23740">
              <w:rPr>
                <w:bCs/>
                <w:szCs w:val="24"/>
                <w:lang w:eastAsia="x-none"/>
              </w:rPr>
              <w:t>.</w:t>
            </w:r>
          </w:p>
          <w:bookmarkEnd w:id="83"/>
          <w:p w:rsidR="00A46C6E" w:rsidRPr="00A23740" w:rsidRDefault="00A46C6E" w:rsidP="009431FF">
            <w:pPr>
              <w:ind w:firstLine="709"/>
              <w:rPr>
                <w:rFonts w:eastAsia="Times New Roman"/>
                <w:szCs w:val="24"/>
              </w:rPr>
            </w:pPr>
            <w:r w:rsidRPr="00A23740">
              <w:rPr>
                <w:rFonts w:eastAsia="Times New Roman"/>
                <w:szCs w:val="24"/>
                <w:lang w:eastAsia="x-none"/>
              </w:rPr>
              <w:t xml:space="preserve">1999 </w:t>
            </w:r>
            <w:r w:rsidR="004F5573" w:rsidRPr="00F257EC">
              <w:rPr>
                <w:rFonts w:eastAsia="Times New Roman"/>
                <w:szCs w:val="24"/>
                <w:lang w:eastAsia="x-none"/>
              </w:rPr>
              <w:t>tarihli</w:t>
            </w:r>
            <w:r w:rsidR="004F5573" w:rsidRPr="00F257EC">
              <w:rPr>
                <w:rFonts w:eastAsia="Times New Roman"/>
                <w:b/>
                <w:bCs/>
                <w:szCs w:val="24"/>
              </w:rPr>
              <w:t xml:space="preserve"> </w:t>
            </w:r>
            <w:r w:rsidR="004F5573" w:rsidRPr="00F257EC">
              <w:rPr>
                <w:rFonts w:eastAsia="Times New Roman"/>
                <w:szCs w:val="24"/>
                <w:lang w:eastAsia="x-none"/>
              </w:rPr>
              <w:t>Milletlerarası</w:t>
            </w:r>
            <w:r w:rsidR="004F5573" w:rsidRPr="00F257EC">
              <w:rPr>
                <w:rFonts w:eastAsia="Times New Roman"/>
                <w:b/>
                <w:bCs/>
                <w:szCs w:val="24"/>
              </w:rPr>
              <w:t xml:space="preserve"> </w:t>
            </w:r>
            <w:r w:rsidR="004F5573" w:rsidRPr="00F257EC">
              <w:rPr>
                <w:rFonts w:eastAsia="Times New Roman"/>
                <w:szCs w:val="24"/>
                <w:lang w:eastAsia="x-none"/>
              </w:rPr>
              <w:t>Sözleşmesinde</w:t>
            </w:r>
            <w:r w:rsidR="004F5573" w:rsidRPr="00A23740">
              <w:rPr>
                <w:rFonts w:eastAsia="Times New Roman"/>
                <w:szCs w:val="24"/>
              </w:rPr>
              <w:t xml:space="preserve"> </w:t>
            </w:r>
            <w:r w:rsidRPr="00A23740">
              <w:rPr>
                <w:rFonts w:eastAsia="Times New Roman"/>
                <w:szCs w:val="24"/>
                <w:lang w:eastAsia="x-none"/>
              </w:rPr>
              <w:t>“durduğu yerden hareket edip yolculuğa başlamış olan seyir h</w:t>
            </w:r>
            <w:r w:rsidR="00F149B4" w:rsidRPr="00A23740">
              <w:rPr>
                <w:rFonts w:eastAsia="Times New Roman"/>
                <w:szCs w:val="24"/>
                <w:lang w:eastAsia="x-none"/>
              </w:rPr>
              <w:t>â</w:t>
            </w:r>
            <w:r w:rsidRPr="00A23740">
              <w:rPr>
                <w:rFonts w:eastAsia="Times New Roman"/>
                <w:szCs w:val="24"/>
                <w:lang w:eastAsia="x-none"/>
              </w:rPr>
              <w:t xml:space="preserve">lindeki geminin haczedilip haczedilemeyeceği” hakkında bir düzenleme getirilmemiş; dolaysıyla bu hususun düzenlenmesi ulusal hukuklara bırakılmıştır. Taslağın bu maddesinde düzenlenmesi gereken husus da </w:t>
            </w:r>
            <w:r w:rsidRPr="00A23740">
              <w:rPr>
                <w:rFonts w:eastAsia="Times New Roman"/>
                <w:szCs w:val="24"/>
              </w:rPr>
              <w:t>“</w:t>
            </w:r>
            <w:r w:rsidRPr="00A23740">
              <w:rPr>
                <w:rFonts w:eastAsia="Times New Roman"/>
                <w:i/>
                <w:iCs/>
                <w:szCs w:val="24"/>
              </w:rPr>
              <w:t>T</w:t>
            </w:r>
            <w:r w:rsidR="00F149B4" w:rsidRPr="00A23740">
              <w:rPr>
                <w:rFonts w:eastAsia="Times New Roman"/>
                <w:i/>
                <w:iCs/>
              </w:rPr>
              <w:t>ürk kara</w:t>
            </w:r>
            <w:r w:rsidRPr="00A23740">
              <w:rPr>
                <w:rFonts w:eastAsia="Times New Roman"/>
                <w:i/>
                <w:iCs/>
              </w:rPr>
              <w:t xml:space="preserve">sularında durmuş ve </w:t>
            </w:r>
            <w:r w:rsidRPr="00A23740">
              <w:rPr>
                <w:rFonts w:eastAsia="Times New Roman"/>
                <w:i/>
                <w:iCs/>
                <w:szCs w:val="24"/>
              </w:rPr>
              <w:t>durduğu yerden hareket edip yolculuğa ba</w:t>
            </w:r>
            <w:r w:rsidR="00535D4A" w:rsidRPr="00A23740">
              <w:rPr>
                <w:rFonts w:eastAsia="Times New Roman"/>
                <w:i/>
                <w:iCs/>
                <w:szCs w:val="24"/>
              </w:rPr>
              <w:t>şlamış olan seyir hâ</w:t>
            </w:r>
            <w:r w:rsidRPr="00A23740">
              <w:rPr>
                <w:rFonts w:eastAsia="Times New Roman"/>
                <w:i/>
                <w:iCs/>
                <w:szCs w:val="24"/>
              </w:rPr>
              <w:t>lindeki geminin Türk karasularını terk edinceye kadar haczedilip haczedilemeyeceği</w:t>
            </w:r>
            <w:r w:rsidRPr="00A23740">
              <w:rPr>
                <w:rFonts w:eastAsia="Times New Roman"/>
                <w:szCs w:val="24"/>
              </w:rPr>
              <w:t>” h</w:t>
            </w:r>
            <w:r w:rsidRPr="00A23740">
              <w:rPr>
                <w:rFonts w:eastAsia="Times New Roman"/>
              </w:rPr>
              <w:t xml:space="preserve">ususudur. Bu hususa dair </w:t>
            </w:r>
            <w:r w:rsidRPr="00A23740">
              <w:rPr>
                <w:rFonts w:eastAsia="Times New Roman"/>
                <w:bCs/>
                <w:szCs w:val="24"/>
                <w:lang w:eastAsia="x-none"/>
              </w:rPr>
              <w:t>6102 sayılı Kanunun</w:t>
            </w:r>
            <w:r w:rsidRPr="00A23740">
              <w:rPr>
                <w:rFonts w:eastAsia="Times New Roman"/>
                <w:szCs w:val="24"/>
                <w:lang w:eastAsia="x-none"/>
              </w:rPr>
              <w:t xml:space="preserve"> 1367 nci maddesinin “</w:t>
            </w:r>
            <w:r w:rsidRPr="00A23740">
              <w:rPr>
                <w:rFonts w:eastAsia="Times New Roman"/>
                <w:i/>
                <w:iCs/>
                <w:szCs w:val="24"/>
                <w:lang w:eastAsia="x-none"/>
              </w:rPr>
              <w:t>geminin seferde olması</w:t>
            </w:r>
            <w:r w:rsidRPr="00A23740">
              <w:rPr>
                <w:rFonts w:eastAsia="Times New Roman"/>
                <w:szCs w:val="24"/>
                <w:lang w:eastAsia="x-none"/>
              </w:rPr>
              <w:t xml:space="preserve">” şeklindeki başlığı, Türk </w:t>
            </w:r>
            <w:r w:rsidR="00F149B4" w:rsidRPr="00A23740">
              <w:rPr>
                <w:rFonts w:eastAsia="Times New Roman"/>
                <w:szCs w:val="24"/>
                <w:lang w:eastAsia="x-none"/>
              </w:rPr>
              <w:t>kara</w:t>
            </w:r>
            <w:r w:rsidRPr="00A23740">
              <w:rPr>
                <w:rFonts w:eastAsia="Times New Roman"/>
                <w:szCs w:val="24"/>
                <w:lang w:eastAsia="x-none"/>
              </w:rPr>
              <w:t>sularında durmamış</w:t>
            </w:r>
            <w:r w:rsidR="005173E5" w:rsidRPr="00A23740">
              <w:rPr>
                <w:rFonts w:eastAsia="Times New Roman"/>
                <w:szCs w:val="24"/>
                <w:lang w:eastAsia="x-none"/>
              </w:rPr>
              <w:t>,</w:t>
            </w:r>
            <w:r w:rsidRPr="00A23740">
              <w:rPr>
                <w:rFonts w:eastAsia="Times New Roman"/>
                <w:szCs w:val="24"/>
                <w:lang w:eastAsia="x-none"/>
              </w:rPr>
              <w:t xml:space="preserve"> seyir h</w:t>
            </w:r>
            <w:r w:rsidR="00F149B4" w:rsidRPr="00A23740">
              <w:rPr>
                <w:rFonts w:eastAsia="Times New Roman"/>
                <w:szCs w:val="24"/>
                <w:lang w:eastAsia="x-none"/>
              </w:rPr>
              <w:t>â</w:t>
            </w:r>
            <w:r w:rsidRPr="00A23740">
              <w:rPr>
                <w:rFonts w:eastAsia="Times New Roman"/>
                <w:szCs w:val="24"/>
                <w:lang w:eastAsia="x-none"/>
              </w:rPr>
              <w:t xml:space="preserve">lindeki bir geminin dahi ihtiyaten haczedilebileceği şeklinde yanlış anlaşılmaya elverişli görülmüştür. Bu nedenle </w:t>
            </w:r>
            <w:r w:rsidR="004F5573" w:rsidRPr="00F257EC">
              <w:rPr>
                <w:rFonts w:eastAsia="Times New Roman"/>
                <w:szCs w:val="24"/>
                <w:lang w:eastAsia="x-none"/>
              </w:rPr>
              <w:t>bu</w:t>
            </w:r>
            <w:r w:rsidR="004F5573" w:rsidRPr="00A23740">
              <w:rPr>
                <w:rStyle w:val="KIRMIZIChar"/>
                <w:rFonts w:eastAsia="Calibri"/>
                <w:strike w:val="0"/>
              </w:rPr>
              <w:t xml:space="preserve"> </w:t>
            </w:r>
            <w:r w:rsidRPr="00A23740">
              <w:rPr>
                <w:rFonts w:eastAsia="Times New Roman"/>
                <w:szCs w:val="24"/>
                <w:lang w:eastAsia="x-none"/>
              </w:rPr>
              <w:t xml:space="preserve">maddenin kenar başlığının, Türk </w:t>
            </w:r>
            <w:r w:rsidR="00F149B4" w:rsidRPr="00A23740">
              <w:rPr>
                <w:rFonts w:eastAsia="Times New Roman"/>
                <w:szCs w:val="24"/>
                <w:lang w:eastAsia="x-none"/>
              </w:rPr>
              <w:t>kara</w:t>
            </w:r>
            <w:r w:rsidRPr="00A23740">
              <w:rPr>
                <w:rFonts w:eastAsia="Times New Roman"/>
                <w:szCs w:val="24"/>
                <w:lang w:eastAsia="x-none"/>
              </w:rPr>
              <w:t>sularında durup yola çıkmış bir geminin ihtiyaten haczedilebileceğini daha doğru olarak ifade eden “</w:t>
            </w:r>
            <w:r w:rsidRPr="00A23740">
              <w:rPr>
                <w:rFonts w:eastAsia="Times New Roman"/>
                <w:i/>
                <w:iCs/>
                <w:szCs w:val="24"/>
                <w:lang w:eastAsia="x-none"/>
              </w:rPr>
              <w:t>yola çıkmış geminin ihtiyati haczi</w:t>
            </w:r>
            <w:r w:rsidRPr="00A23740">
              <w:rPr>
                <w:rFonts w:eastAsia="Times New Roman"/>
                <w:szCs w:val="24"/>
                <w:lang w:eastAsia="x-none"/>
              </w:rPr>
              <w:t xml:space="preserve">” şeklinde değiştirilmesi gerekmiştir. Aynı şekilde </w:t>
            </w:r>
            <w:r w:rsidRPr="00A23740">
              <w:rPr>
                <w:rFonts w:eastAsia="Times New Roman"/>
                <w:bCs/>
                <w:szCs w:val="24"/>
                <w:lang w:eastAsia="x-none"/>
              </w:rPr>
              <w:t>6102 sayılı Kanunun</w:t>
            </w:r>
            <w:r w:rsidRPr="00A23740">
              <w:rPr>
                <w:rFonts w:eastAsia="Times New Roman"/>
                <w:szCs w:val="24"/>
                <w:lang w:eastAsia="x-none"/>
              </w:rPr>
              <w:t xml:space="preserve"> 1367 nci maddesinde yer alan “… </w:t>
            </w:r>
            <w:r w:rsidRPr="00A23740">
              <w:rPr>
                <w:rFonts w:eastAsia="Times New Roman"/>
                <w:i/>
                <w:iCs/>
                <w:szCs w:val="24"/>
                <w:lang w:eastAsia="x-none"/>
              </w:rPr>
              <w:t>gemi … seferde bulunuyorsa …</w:t>
            </w:r>
            <w:r w:rsidRPr="00A23740">
              <w:rPr>
                <w:rFonts w:eastAsia="Times New Roman"/>
                <w:szCs w:val="24"/>
                <w:lang w:eastAsia="x-none"/>
              </w:rPr>
              <w:t xml:space="preserve">” ibaresi de </w:t>
            </w:r>
            <w:r w:rsidR="00F149B4" w:rsidRPr="00A23740">
              <w:rPr>
                <w:rFonts w:eastAsia="Times New Roman"/>
                <w:szCs w:val="24"/>
                <w:lang w:eastAsia="x-none"/>
              </w:rPr>
              <w:t>kara</w:t>
            </w:r>
            <w:r w:rsidRPr="00A23740">
              <w:rPr>
                <w:rFonts w:eastAsia="Times New Roman"/>
                <w:szCs w:val="24"/>
                <w:lang w:eastAsia="x-none"/>
              </w:rPr>
              <w:t xml:space="preserve">sularımızda durmamış bir geminin ihtiyaten </w:t>
            </w:r>
            <w:r w:rsidRPr="00A23740">
              <w:rPr>
                <w:rFonts w:eastAsia="Times New Roman"/>
                <w:szCs w:val="24"/>
              </w:rPr>
              <w:t xml:space="preserve">haczedilebileceği şeklinde yanlış anlaşılmaya elverişli </w:t>
            </w:r>
            <w:r w:rsidRPr="00A23740">
              <w:rPr>
                <w:rFonts w:eastAsia="Times New Roman"/>
              </w:rPr>
              <w:t xml:space="preserve">olduğundan, </w:t>
            </w:r>
            <w:r w:rsidRPr="00A23740">
              <w:rPr>
                <w:rFonts w:eastAsia="Times New Roman"/>
                <w:szCs w:val="24"/>
              </w:rPr>
              <w:t>bu ibare yerine  “</w:t>
            </w:r>
            <w:r w:rsidRPr="00A23740">
              <w:rPr>
                <w:rFonts w:eastAsia="Times New Roman"/>
                <w:i/>
                <w:iCs/>
                <w:szCs w:val="24"/>
              </w:rPr>
              <w:t xml:space="preserve">İhtiyati haciz kararı uygulanmadan önce durduğu yerden hareket edip yola çıkmış gemi, </w:t>
            </w:r>
            <w:r w:rsidRPr="00A23740">
              <w:rPr>
                <w:rFonts w:eastAsia="Times New Roman"/>
                <w:szCs w:val="24"/>
              </w:rPr>
              <w:t xml:space="preserve">…” ibaresinin kullanılması tercih edilmiştir. </w:t>
            </w:r>
          </w:p>
          <w:p w:rsidR="00A46C6E" w:rsidRPr="00A23740" w:rsidRDefault="00A46C6E" w:rsidP="009431FF">
            <w:pPr>
              <w:ind w:firstLine="709"/>
              <w:rPr>
                <w:rFonts w:eastAsia="Times New Roman"/>
                <w:szCs w:val="24"/>
                <w:lang w:eastAsia="x-none"/>
              </w:rPr>
            </w:pPr>
            <w:r w:rsidRPr="00A23740">
              <w:rPr>
                <w:rFonts w:eastAsia="Times New Roman"/>
                <w:szCs w:val="24"/>
              </w:rPr>
              <w:t xml:space="preserve">Bundan başka </w:t>
            </w:r>
            <w:r w:rsidRPr="00A23740">
              <w:rPr>
                <w:rFonts w:eastAsia="Times New Roman"/>
                <w:bCs/>
                <w:szCs w:val="24"/>
              </w:rPr>
              <w:t>6102 sayılı Kanunun</w:t>
            </w:r>
            <w:r w:rsidRPr="00A23740">
              <w:rPr>
                <w:rFonts w:eastAsia="Times New Roman"/>
                <w:szCs w:val="24"/>
              </w:rPr>
              <w:t xml:space="preserve"> 1367 nci maddesini</w:t>
            </w:r>
            <w:r w:rsidRPr="00A23740">
              <w:rPr>
                <w:rFonts w:eastAsia="Times New Roman"/>
              </w:rPr>
              <w:t>n (a) bendinde “</w:t>
            </w:r>
            <w:r w:rsidRPr="00A23740">
              <w:rPr>
                <w:rFonts w:eastAsia="Times New Roman"/>
                <w:szCs w:val="24"/>
              </w:rPr>
              <w:t>f</w:t>
            </w:r>
            <w:r w:rsidRPr="00A23740">
              <w:rPr>
                <w:rFonts w:eastAsia="Times New Roman"/>
                <w:szCs w:val="24"/>
                <w:lang w:eastAsia="x-none"/>
              </w:rPr>
              <w:t xml:space="preserve">iilen hareket etmiş veya seferde bulunan” Türk bayraklı gemilerin ihtiyati haczinde 2004 sayılı Kanunun 263 üncü maddesine paralel bir düzenleme kabul edilmiş; (b) bendinde ise </w:t>
            </w:r>
            <w:r w:rsidRPr="00A23740">
              <w:rPr>
                <w:rFonts w:eastAsia="Times New Roman"/>
                <w:szCs w:val="24"/>
              </w:rPr>
              <w:t xml:space="preserve">“fiilen hareket etmiş veya seferde bulunan” </w:t>
            </w:r>
            <w:r w:rsidRPr="00A23740">
              <w:rPr>
                <w:rFonts w:eastAsia="Times New Roman"/>
                <w:szCs w:val="24"/>
                <w:lang w:eastAsia="x-none"/>
              </w:rPr>
              <w:t xml:space="preserve">yabancı gemilerin ihtiyati haczinde ise bu tür bir düzenleme getirilmemiş; sadece “gemi Türk karasularını terk edinceye kadar ihtiyati haciz kararının uygulanabileceği” belirtilmiştir. Ancak gemilerin taşınır mal olması, mülkiyeti devir esasları, tek gemilik şirketlerin mevcudiyeti gibi hususlar dikkate alındığında, Türk bayraklı gemiler için 2004 sayılı Kanunun 263 üncü maddesine paralel bir düzenleme getirilmesinin, ihtiyati haciz yoluyla alacaklarının tahsilini temin edebilecek deniz alacaklılarının menfaatinin korunması açısından yetersiz ve isabetsiz olacağı açıktır. Bu nedenle bayrağına göre ayırım yapılmaksızın ihtiyaten haczedilen gemilerin serbest bırakılmasında </w:t>
            </w:r>
            <w:r w:rsidR="005173E5" w:rsidRPr="00A23740">
              <w:rPr>
                <w:rFonts w:eastAsia="Times New Roman"/>
                <w:szCs w:val="24"/>
                <w:lang w:eastAsia="x-none"/>
              </w:rPr>
              <w:t xml:space="preserve">Taslağın </w:t>
            </w:r>
            <w:r w:rsidR="004F5573" w:rsidRPr="00F257EC">
              <w:rPr>
                <w:rFonts w:eastAsia="Times New Roman"/>
                <w:szCs w:val="24"/>
                <w:lang w:eastAsia="x-none"/>
              </w:rPr>
              <w:t>502</w:t>
            </w:r>
            <w:r w:rsidR="004F5573" w:rsidRPr="00F257EC">
              <w:rPr>
                <w:rFonts w:eastAsia="Times New Roman"/>
                <w:b/>
                <w:bCs/>
                <w:szCs w:val="24"/>
              </w:rPr>
              <w:t xml:space="preserve"> </w:t>
            </w:r>
            <w:r w:rsidR="004F5573" w:rsidRPr="00F257EC">
              <w:rPr>
                <w:rFonts w:eastAsia="Times New Roman"/>
                <w:szCs w:val="24"/>
                <w:lang w:eastAsia="x-none"/>
              </w:rPr>
              <w:t>nci</w:t>
            </w:r>
            <w:r w:rsidR="004F5573" w:rsidRPr="00A23740">
              <w:rPr>
                <w:rFonts w:eastAsia="Times New Roman"/>
                <w:b/>
                <w:bCs/>
                <w:color w:val="0000FF"/>
                <w:szCs w:val="24"/>
                <w:lang w:eastAsia="tr-TR"/>
              </w:rPr>
              <w:t xml:space="preserve"> </w:t>
            </w:r>
            <w:r w:rsidR="004F5573" w:rsidRPr="00A23740">
              <w:rPr>
                <w:b/>
                <w:bCs/>
                <w:color w:val="0000FF"/>
                <w:lang w:val="x-none" w:eastAsia="x-none"/>
              </w:rPr>
              <w:t xml:space="preserve"> </w:t>
            </w:r>
            <w:r w:rsidRPr="00A23740">
              <w:rPr>
                <w:rFonts w:eastAsia="Times New Roman"/>
                <w:szCs w:val="24"/>
                <w:lang w:eastAsia="x-none"/>
              </w:rPr>
              <w:t>maddesinin uy</w:t>
            </w:r>
            <w:r w:rsidR="004F5573" w:rsidRPr="00A23740">
              <w:rPr>
                <w:rFonts w:eastAsia="Times New Roman"/>
                <w:szCs w:val="24"/>
                <w:lang w:eastAsia="x-none"/>
              </w:rPr>
              <w:t>gulanması esası benimsenmiştir.</w:t>
            </w:r>
          </w:p>
          <w:p w:rsidR="00A46C6E" w:rsidRPr="00A23740" w:rsidRDefault="00A46C6E" w:rsidP="009431FF">
            <w:pPr>
              <w:ind w:firstLine="709"/>
              <w:rPr>
                <w:rFonts w:eastAsia="Times New Roman"/>
                <w:szCs w:val="24"/>
                <w:lang w:eastAsia="x-none"/>
              </w:rPr>
            </w:pPr>
            <w:r w:rsidRPr="00A23740">
              <w:rPr>
                <w:rFonts w:eastAsia="Times New Roman"/>
                <w:szCs w:val="24"/>
                <w:lang w:eastAsia="x-none"/>
              </w:rPr>
              <w:t xml:space="preserve">Ayrıca </w:t>
            </w:r>
            <w:r w:rsidRPr="00A23740">
              <w:rPr>
                <w:rFonts w:eastAsia="Times New Roman"/>
                <w:bCs/>
                <w:szCs w:val="24"/>
                <w:lang w:eastAsia="x-none"/>
              </w:rPr>
              <w:t>6102 sayılı Kanunun</w:t>
            </w:r>
            <w:r w:rsidRPr="00A23740">
              <w:rPr>
                <w:rFonts w:eastAsia="Times New Roman"/>
                <w:szCs w:val="24"/>
                <w:lang w:eastAsia="x-none"/>
              </w:rPr>
              <w:t xml:space="preserve"> 1367 nci maddesinde sadece yabancı bayraklı gemilerin ihtiyati haczine dair kararın gemi Türk karasularını terk edinceye kadar uygu</w:t>
            </w:r>
            <w:r w:rsidR="00335C53" w:rsidRPr="00A23740">
              <w:rPr>
                <w:rFonts w:eastAsia="Times New Roman"/>
                <w:szCs w:val="24"/>
                <w:lang w:eastAsia="x-none"/>
              </w:rPr>
              <w:t>lanabileceğinin belirtilmesi de</w:t>
            </w:r>
            <w:r w:rsidR="005173E5" w:rsidRPr="00A23740">
              <w:rPr>
                <w:rFonts w:eastAsia="Times New Roman"/>
                <w:szCs w:val="24"/>
                <w:lang w:eastAsia="x-none"/>
              </w:rPr>
              <w:t>,</w:t>
            </w:r>
            <w:r w:rsidRPr="00A23740">
              <w:rPr>
                <w:rFonts w:eastAsia="Times New Roman"/>
                <w:szCs w:val="24"/>
                <w:lang w:eastAsia="x-none"/>
              </w:rPr>
              <w:t xml:space="preserve"> Türk bayraklı gemilerin Türk karasularını terk ettikten sonra dahi ihtiyaten haczedileceği şeklinde yanlış anlaşılmaya elverişli görülmüştür. Bir Türk mahkemesince verilen ihtiyati haciz kararının, gemi Türk bayraklı olsa da ancak ve sadece gemi Türk k</w:t>
            </w:r>
            <w:r w:rsidR="00F149B4" w:rsidRPr="00A23740">
              <w:rPr>
                <w:rFonts w:eastAsia="Times New Roman"/>
                <w:szCs w:val="24"/>
                <w:lang w:eastAsia="x-none"/>
              </w:rPr>
              <w:t>ara</w:t>
            </w:r>
            <w:r w:rsidRPr="00A23740">
              <w:rPr>
                <w:rFonts w:eastAsia="Times New Roman"/>
                <w:szCs w:val="24"/>
                <w:lang w:eastAsia="x-none"/>
              </w:rPr>
              <w:t>sularında iken uygulanabileceği; Türk mahkemelerinin yargı yetkisi alanı dışında çıkan gemi</w:t>
            </w:r>
            <w:r w:rsidR="005173E5" w:rsidRPr="00A23740">
              <w:rPr>
                <w:rFonts w:eastAsia="Times New Roman"/>
                <w:szCs w:val="24"/>
                <w:lang w:eastAsia="x-none"/>
              </w:rPr>
              <w:t>nin</w:t>
            </w:r>
            <w:r w:rsidRPr="00A23740">
              <w:rPr>
                <w:rFonts w:eastAsia="Times New Roman"/>
                <w:szCs w:val="24"/>
                <w:lang w:eastAsia="x-none"/>
              </w:rPr>
              <w:t xml:space="preserve"> Türk bayraklı da olsa ihtiyaten haczedilemeyeceği açıktır. Bu nedenle bayrağına göre ayrım yapılmaksızın, i</w:t>
            </w:r>
            <w:r w:rsidRPr="00A23740">
              <w:rPr>
                <w:rFonts w:eastAsia="Times New Roman"/>
                <w:szCs w:val="24"/>
              </w:rPr>
              <w:t>htiyati haciz kararı uygulanmadan önce durduğu yerden hareket edip yola çıkmış gemin</w:t>
            </w:r>
            <w:r w:rsidRPr="00A23740">
              <w:rPr>
                <w:rFonts w:eastAsia="Times New Roman"/>
              </w:rPr>
              <w:t>in</w:t>
            </w:r>
            <w:r w:rsidRPr="00A23740">
              <w:rPr>
                <w:rFonts w:eastAsia="Times New Roman"/>
                <w:i/>
                <w:iCs/>
              </w:rPr>
              <w:t xml:space="preserve"> Türk karasularını terk edinceye kadar </w:t>
            </w:r>
            <w:r w:rsidRPr="00A23740">
              <w:rPr>
                <w:rFonts w:eastAsia="Times New Roman"/>
                <w:szCs w:val="24"/>
                <w:lang w:eastAsia="x-none"/>
              </w:rPr>
              <w:t xml:space="preserve">ihtiyaten haczedilebileceğinin </w:t>
            </w:r>
            <w:r w:rsidR="005173E5" w:rsidRPr="00A23740">
              <w:rPr>
                <w:rFonts w:eastAsia="Times New Roman"/>
                <w:szCs w:val="24"/>
                <w:lang w:eastAsia="x-none"/>
              </w:rPr>
              <w:t xml:space="preserve">açıkça </w:t>
            </w:r>
            <w:r w:rsidRPr="00A23740">
              <w:rPr>
                <w:rFonts w:eastAsia="Times New Roman"/>
                <w:szCs w:val="24"/>
                <w:lang w:eastAsia="x-none"/>
              </w:rPr>
              <w:t xml:space="preserve">belirtilmesi gerekmiştir. </w:t>
            </w:r>
          </w:p>
          <w:p w:rsidR="00A46C6E" w:rsidRPr="00A23740" w:rsidRDefault="00A46C6E" w:rsidP="009431FF">
            <w:pPr>
              <w:ind w:firstLine="709"/>
              <w:rPr>
                <w:rFonts w:eastAsia="Times New Roman"/>
                <w:szCs w:val="24"/>
                <w:lang w:eastAsia="x-none"/>
              </w:rPr>
            </w:pPr>
            <w:r w:rsidRPr="00A23740">
              <w:rPr>
                <w:rFonts w:eastAsia="Times New Roman"/>
                <w:szCs w:val="24"/>
                <w:lang w:eastAsia="x-none"/>
              </w:rPr>
              <w:t xml:space="preserve">Belirtilen tüm bu nedenlerle </w:t>
            </w:r>
            <w:r w:rsidRPr="00A23740">
              <w:rPr>
                <w:rFonts w:eastAsia="Times New Roman"/>
                <w:bCs/>
                <w:szCs w:val="24"/>
                <w:lang w:eastAsia="x-none"/>
              </w:rPr>
              <w:t>6102 sayılı Kanunun</w:t>
            </w:r>
            <w:r w:rsidRPr="00A23740">
              <w:rPr>
                <w:rFonts w:eastAsia="Times New Roman"/>
                <w:szCs w:val="24"/>
                <w:lang w:eastAsia="x-none"/>
              </w:rPr>
              <w:t xml:space="preserve"> 1367 nci maddesi hükmü yerine yeni ve farklı bir düzenleme getirilmesine karar verilmiş ve “ihtiyati haciz kararı uygulanmadan önce durduğu yerden hareket edip yola çıkmış geminin, Türk karasularını terk edinceye kadar sahil güvenlik komutanlığının yardımı alınarak yolculuk sırasında ihtiyaten haczedilebileceği; bu geminin serbest bırakılmasında da </w:t>
            </w:r>
            <w:r w:rsidR="005173E5" w:rsidRPr="00A23740">
              <w:rPr>
                <w:rFonts w:eastAsia="Times New Roman"/>
                <w:szCs w:val="24"/>
                <w:lang w:eastAsia="x-none"/>
              </w:rPr>
              <w:t xml:space="preserve">Taslağın </w:t>
            </w:r>
            <w:r w:rsidR="004F5573" w:rsidRPr="00F257EC">
              <w:rPr>
                <w:rFonts w:eastAsia="Times New Roman"/>
                <w:szCs w:val="24"/>
                <w:lang w:eastAsia="x-none"/>
              </w:rPr>
              <w:t>502</w:t>
            </w:r>
            <w:r w:rsidR="004F5573" w:rsidRPr="00A23740">
              <w:rPr>
                <w:rStyle w:val="KonuBalChar"/>
                <w:rFonts w:eastAsia="Calibri"/>
              </w:rPr>
              <w:t xml:space="preserve"> </w:t>
            </w:r>
            <w:r w:rsidR="004F5573" w:rsidRPr="00F257EC">
              <w:rPr>
                <w:rFonts w:eastAsia="Times New Roman"/>
                <w:szCs w:val="24"/>
                <w:lang w:eastAsia="x-none"/>
              </w:rPr>
              <w:t>nci</w:t>
            </w:r>
            <w:r w:rsidR="004F5573" w:rsidRPr="00A23740">
              <w:rPr>
                <w:rFonts w:eastAsia="Times New Roman"/>
                <w:b/>
                <w:bCs/>
                <w:color w:val="0000FF"/>
                <w:szCs w:val="24"/>
                <w:lang w:eastAsia="tr-TR"/>
              </w:rPr>
              <w:t xml:space="preserve"> </w:t>
            </w:r>
            <w:r w:rsidRPr="00A23740">
              <w:rPr>
                <w:rFonts w:eastAsia="Times New Roman"/>
                <w:szCs w:val="24"/>
                <w:lang w:eastAsia="x-none"/>
              </w:rPr>
              <w:t>maddesinin birinci ve ikinci fıkralarının uygulanacağı” hüküm altına alınmıştır. B</w:t>
            </w:r>
            <w:r w:rsidRPr="00A23740">
              <w:rPr>
                <w:rFonts w:eastAsia="Times New Roman"/>
                <w:bCs/>
                <w:szCs w:val="24"/>
                <w:lang w:eastAsia="x-none"/>
              </w:rPr>
              <w:t xml:space="preserve">öylece yola çıkmış geminin ihtiyati haczi, daha açık, anlaşılır ve sade bir düzenlemeye kavuşturulmuştur. </w:t>
            </w:r>
          </w:p>
          <w:p w:rsidR="00A46C6E" w:rsidRPr="00A23740" w:rsidRDefault="00A46C6E" w:rsidP="009431FF">
            <w:pPr>
              <w:ind w:firstLine="709"/>
              <w:rPr>
                <w:rFonts w:eastAsia="Times New Roman"/>
                <w:szCs w:val="24"/>
                <w:lang w:eastAsia="x-none"/>
              </w:rPr>
            </w:pPr>
            <w:r w:rsidRPr="00A23740">
              <w:rPr>
                <w:rFonts w:eastAsia="Times New Roman"/>
                <w:szCs w:val="24"/>
                <w:lang w:eastAsia="x-none"/>
              </w:rPr>
              <w:t xml:space="preserve">Yola çıkmış geminin yolculuk sırasında ihtiyaten haczedilememesinde de </w:t>
            </w:r>
            <w:r w:rsidR="004F5573" w:rsidRPr="00A23740">
              <w:rPr>
                <w:rFonts w:eastAsia="Times New Roman"/>
                <w:szCs w:val="24"/>
                <w:lang w:eastAsia="x-none"/>
              </w:rPr>
              <w:t xml:space="preserve"> </w:t>
            </w:r>
            <w:r w:rsidR="004F5573" w:rsidRPr="00F257EC">
              <w:rPr>
                <w:rFonts w:eastAsia="Times New Roman"/>
                <w:szCs w:val="24"/>
                <w:lang w:eastAsia="x-none"/>
              </w:rPr>
              <w:t>498</w:t>
            </w:r>
            <w:r w:rsidR="004F5573" w:rsidRPr="00A23740">
              <w:rPr>
                <w:rStyle w:val="KonuBalChar"/>
                <w:rFonts w:eastAsia="Calibri"/>
              </w:rPr>
              <w:t xml:space="preserve"> </w:t>
            </w:r>
            <w:r w:rsidR="004F5573" w:rsidRPr="00F257EC">
              <w:rPr>
                <w:rFonts w:eastAsia="Times New Roman"/>
                <w:szCs w:val="24"/>
                <w:lang w:eastAsia="x-none"/>
              </w:rPr>
              <w:t>inci</w:t>
            </w:r>
            <w:r w:rsidR="004F5573" w:rsidRPr="00A23740">
              <w:rPr>
                <w:rFonts w:eastAsia="Times New Roman"/>
                <w:szCs w:val="24"/>
                <w:lang w:eastAsia="x-none"/>
              </w:rPr>
              <w:t xml:space="preserve"> </w:t>
            </w:r>
            <w:r w:rsidRPr="00A23740">
              <w:rPr>
                <w:rFonts w:eastAsia="Times New Roman"/>
                <w:szCs w:val="24"/>
                <w:lang w:eastAsia="x-none"/>
              </w:rPr>
              <w:t xml:space="preserve">maddenin uygulanacağı açıktır. Dolayısıyla gemi Türk kara sularını terk edinceye kadar ihtiyati haciz kararının </w:t>
            </w:r>
            <w:r w:rsidR="004F5573" w:rsidRPr="00F257EC">
              <w:rPr>
                <w:rFonts w:eastAsia="Times New Roman"/>
                <w:szCs w:val="24"/>
                <w:lang w:eastAsia="x-none"/>
              </w:rPr>
              <w:t>498</w:t>
            </w:r>
            <w:r w:rsidR="004F5573" w:rsidRPr="00A23740">
              <w:rPr>
                <w:rStyle w:val="KonuBalChar"/>
                <w:rFonts w:eastAsia="Calibri"/>
              </w:rPr>
              <w:t xml:space="preserve"> </w:t>
            </w:r>
            <w:r w:rsidR="004F5573" w:rsidRPr="00F257EC">
              <w:rPr>
                <w:rFonts w:eastAsia="Times New Roman"/>
                <w:szCs w:val="24"/>
                <w:lang w:eastAsia="x-none"/>
              </w:rPr>
              <w:t>inci</w:t>
            </w:r>
            <w:r w:rsidR="004F5573" w:rsidRPr="00A23740">
              <w:rPr>
                <w:rFonts w:eastAsia="Times New Roman"/>
                <w:szCs w:val="24"/>
                <w:lang w:eastAsia="x-none"/>
              </w:rPr>
              <w:t xml:space="preserve"> </w:t>
            </w:r>
            <w:r w:rsidRPr="00A23740">
              <w:rPr>
                <w:rFonts w:eastAsia="Times New Roman"/>
                <w:szCs w:val="24"/>
                <w:lang w:eastAsia="x-none"/>
              </w:rPr>
              <w:t xml:space="preserve">maddede belirtildiği şekilde uygulanması gerekmektedir. Bu hâlde de icra ve iflas dairesince geminin seferden men edilmek suretiyle ihtiyati haczine karar verildiğine ve kararın gereğinin yerine getirilmesine dair liman başkanlığına yazı yazılması, ihtiyati haciz kararının uygulanması anlamına gelmez; zira kaynak 1999 </w:t>
            </w:r>
            <w:r w:rsidR="004F5573" w:rsidRPr="00F257EC">
              <w:rPr>
                <w:rFonts w:eastAsia="Times New Roman"/>
                <w:szCs w:val="24"/>
                <w:lang w:eastAsia="x-none"/>
              </w:rPr>
              <w:t>tarihli</w:t>
            </w:r>
            <w:r w:rsidR="004F5573" w:rsidRPr="00F257EC">
              <w:rPr>
                <w:rFonts w:eastAsia="Times New Roman"/>
                <w:b/>
                <w:bCs/>
                <w:szCs w:val="24"/>
              </w:rPr>
              <w:t xml:space="preserve"> </w:t>
            </w:r>
            <w:r w:rsidR="004F5573" w:rsidRPr="00F257EC">
              <w:rPr>
                <w:rFonts w:eastAsia="Times New Roman"/>
                <w:szCs w:val="24"/>
                <w:lang w:eastAsia="x-none"/>
              </w:rPr>
              <w:t>Milletlerarası</w:t>
            </w:r>
            <w:r w:rsidR="004F5573" w:rsidRPr="00F257EC">
              <w:rPr>
                <w:rFonts w:eastAsia="Times New Roman"/>
                <w:b/>
                <w:bCs/>
                <w:szCs w:val="24"/>
              </w:rPr>
              <w:t xml:space="preserve"> </w:t>
            </w:r>
            <w:r w:rsidR="004F5573" w:rsidRPr="00F257EC">
              <w:rPr>
                <w:rFonts w:eastAsia="Times New Roman"/>
                <w:szCs w:val="24"/>
                <w:lang w:eastAsia="x-none"/>
              </w:rPr>
              <w:t>Sözleşme</w:t>
            </w:r>
            <w:r w:rsidR="004F5573" w:rsidRPr="00A23740">
              <w:rPr>
                <w:rFonts w:eastAsia="Times New Roman"/>
                <w:szCs w:val="24"/>
                <w:lang w:eastAsia="x-none"/>
              </w:rPr>
              <w:t xml:space="preserve"> </w:t>
            </w:r>
            <w:r w:rsidRPr="00A23740">
              <w:rPr>
                <w:rFonts w:eastAsia="Times New Roman"/>
                <w:szCs w:val="24"/>
                <w:lang w:eastAsia="x-none"/>
              </w:rPr>
              <w:t>anlamında ihtiyati haciz (arrest), geminin alıkonulması veya tutulması suretiyle sefere çıkmasına veya durduğu yerden ayrılıp seferine devam etmesine engel olunmasını ifade eder.</w:t>
            </w:r>
          </w:p>
          <w:p w:rsidR="00A46C6E" w:rsidRPr="00A23740" w:rsidRDefault="00A46C6E" w:rsidP="002A27F8">
            <w:pPr>
              <w:rPr>
                <w:rFonts w:eastAsia="Times New Roman"/>
                <w:szCs w:val="24"/>
                <w:lang w:eastAsia="x-none"/>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 xml:space="preserve">e) </w:t>
            </w:r>
            <w:r w:rsidRPr="00A23740">
              <w:rPr>
                <w:rFonts w:eastAsia="Times New Roman"/>
                <w:b/>
                <w:szCs w:val="24"/>
                <w:lang w:eastAsia="tr-TR"/>
              </w:rPr>
              <w:t>İhtiyati haczin kapsamı, geminin idaresi ve işletilmesi</w:t>
            </w:r>
          </w:p>
          <w:p w:rsidR="00A46C6E" w:rsidRPr="00A23740" w:rsidRDefault="00A46C6E" w:rsidP="009431FF">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tr-TR"/>
              </w:rPr>
              <w:t>1368-</w:t>
            </w:r>
            <w:r w:rsidRPr="00A23740">
              <w:rPr>
                <w:rFonts w:eastAsia="Times New Roman"/>
                <w:szCs w:val="24"/>
                <w:lang w:eastAsia="tr-TR"/>
              </w:rPr>
              <w:t xml:space="preserve"> (1) Bir geminin ihtiyati haczi, </w:t>
            </w:r>
            <w:r w:rsidRPr="00A23740">
              <w:rPr>
                <w:rFonts w:eastAsia="Times New Roman"/>
                <w:b/>
                <w:strike/>
                <w:color w:val="FF0000"/>
                <w:szCs w:val="24"/>
                <w:lang w:eastAsia="tr-TR"/>
              </w:rPr>
              <w:t>borçlunun o</w:t>
            </w:r>
            <w:r w:rsidRPr="00A23740">
              <w:rPr>
                <w:rFonts w:eastAsia="Times New Roman"/>
                <w:szCs w:val="24"/>
                <w:lang w:eastAsia="tr-TR"/>
              </w:rPr>
              <w:t xml:space="preserve"> geminin işletilmesinden </w:t>
            </w:r>
            <w:r w:rsidRPr="00A23740">
              <w:rPr>
                <w:rFonts w:eastAsia="Times New Roman"/>
                <w:b/>
                <w:strike/>
                <w:color w:val="FF0000"/>
                <w:szCs w:val="24"/>
                <w:lang w:eastAsia="tr-TR"/>
              </w:rPr>
              <w:t>elde ettiği</w:t>
            </w:r>
            <w:r w:rsidRPr="00A23740">
              <w:rPr>
                <w:rFonts w:eastAsia="Times New Roman"/>
                <w:szCs w:val="24"/>
                <w:lang w:eastAsia="tr-TR"/>
              </w:rPr>
              <w:t xml:space="preserve"> gelir</w:t>
            </w:r>
            <w:r w:rsidRPr="00A23740">
              <w:rPr>
                <w:rFonts w:eastAsia="Times New Roman"/>
                <w:b/>
                <w:strike/>
                <w:color w:val="FF0000"/>
                <w:szCs w:val="24"/>
                <w:lang w:eastAsia="tr-TR"/>
              </w:rPr>
              <w:t>i</w:t>
            </w:r>
            <w:r w:rsidRPr="00A23740">
              <w:rPr>
                <w:rFonts w:eastAsia="Times New Roman"/>
                <w:szCs w:val="24"/>
                <w:lang w:eastAsia="tr-TR"/>
              </w:rPr>
              <w:t xml:space="preserve"> ve menfaatleri de kapsar.</w:t>
            </w: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lang w:eastAsia="tr-TR"/>
              </w:rPr>
            </w:pPr>
          </w:p>
          <w:p w:rsidR="00A46C6E" w:rsidRPr="00A23740" w:rsidRDefault="00A46C6E" w:rsidP="009431FF">
            <w:pPr>
              <w:rPr>
                <w:rFonts w:eastAsia="Times New Roman"/>
                <w:szCs w:val="24"/>
              </w:rPr>
            </w:pPr>
            <w:r w:rsidRPr="00A23740">
              <w:rPr>
                <w:rFonts w:eastAsia="Times New Roman"/>
                <w:szCs w:val="24"/>
                <w:lang w:eastAsia="tr-TR"/>
              </w:rPr>
              <w:t xml:space="preserve">(2) İcra dairesi, geminin idaresi ve işletilmesi ile bakımı ve </w:t>
            </w:r>
            <w:r w:rsidRPr="00A23740">
              <w:rPr>
                <w:rFonts w:eastAsia="Times New Roman"/>
                <w:b/>
                <w:strike/>
                <w:color w:val="FF0000"/>
                <w:szCs w:val="24"/>
                <w:lang w:eastAsia="tr-TR"/>
              </w:rPr>
              <w:t>korunması</w:t>
            </w:r>
            <w:r w:rsidRPr="00A23740">
              <w:rPr>
                <w:rFonts w:eastAsia="Times New Roman"/>
                <w:szCs w:val="24"/>
                <w:lang w:eastAsia="tr-TR"/>
              </w:rPr>
              <w:t xml:space="preserve"> için gerekli </w:t>
            </w:r>
            <w:r w:rsidRPr="000F3FFB">
              <w:rPr>
                <w:rStyle w:val="KIRMIZIChar"/>
                <w:rFonts w:eastAsia="Calibri"/>
              </w:rPr>
              <w:t>her türde önlemi</w:t>
            </w:r>
            <w:r w:rsidRPr="00A23740">
              <w:rPr>
                <w:rFonts w:eastAsia="Times New Roman"/>
                <w:szCs w:val="24"/>
                <w:lang w:eastAsia="tr-TR"/>
              </w:rPr>
              <w:t xml:space="preserve"> alır.</w:t>
            </w:r>
          </w:p>
        </w:tc>
        <w:tc>
          <w:tcPr>
            <w:tcW w:w="2500" w:type="pct"/>
            <w:shd w:val="clear" w:color="auto" w:fill="auto"/>
          </w:tcPr>
          <w:p w:rsidR="00A46C6E" w:rsidRPr="00A23740" w:rsidRDefault="00A46C6E" w:rsidP="009431FF">
            <w:pPr>
              <w:rPr>
                <w:rFonts w:eastAsia="Times New Roman"/>
                <w:b/>
                <w:bCs/>
                <w:szCs w:val="24"/>
                <w:lang w:eastAsia="tr-TR"/>
              </w:rPr>
            </w:pPr>
            <w:r w:rsidRPr="00A23740">
              <w:rPr>
                <w:rFonts w:eastAsia="Times New Roman"/>
                <w:b/>
                <w:szCs w:val="24"/>
                <w:lang w:eastAsia="tr-TR"/>
              </w:rPr>
              <w:t>İhtiyati haczin kapsamı, geminin idaresi ve işletilmesi</w:t>
            </w:r>
          </w:p>
          <w:p w:rsidR="00A46C6E" w:rsidRPr="00A23740" w:rsidRDefault="00BC725A" w:rsidP="009431FF">
            <w:pPr>
              <w:rPr>
                <w:rFonts w:eastAsia="Times New Roman"/>
                <w:szCs w:val="24"/>
                <w:lang w:eastAsia="tr-TR"/>
              </w:rPr>
            </w:pPr>
            <w:r w:rsidRPr="000F3FFB">
              <w:rPr>
                <w:rFonts w:eastAsia="Times New Roman"/>
                <w:b/>
                <w:bCs/>
                <w:color w:val="000000" w:themeColor="text1"/>
                <w:szCs w:val="24"/>
                <w:lang w:eastAsia="tr-TR"/>
              </w:rPr>
              <w:t xml:space="preserve">MADDE </w:t>
            </w:r>
            <w:r w:rsidRPr="00A23740">
              <w:rPr>
                <w:rFonts w:eastAsia="Times New Roman"/>
                <w:b/>
                <w:bCs/>
                <w:color w:val="0000FF"/>
                <w:szCs w:val="24"/>
                <w:lang w:eastAsia="tr-TR"/>
              </w:rPr>
              <w:t>501</w:t>
            </w:r>
            <w:r w:rsidR="00A46C6E" w:rsidRPr="00A23740">
              <w:rPr>
                <w:rFonts w:eastAsia="Times New Roman"/>
                <w:b/>
                <w:bCs/>
                <w:color w:val="0000FF"/>
                <w:szCs w:val="24"/>
                <w:lang w:eastAsia="tr-TR"/>
              </w:rPr>
              <w:t xml:space="preserve">- </w:t>
            </w:r>
            <w:r w:rsidR="00A46C6E" w:rsidRPr="000F3FFB">
              <w:t>(1)</w:t>
            </w:r>
            <w:r w:rsidR="00A46C6E" w:rsidRPr="00A23740">
              <w:rPr>
                <w:rFonts w:eastAsia="Times New Roman"/>
                <w:szCs w:val="24"/>
                <w:lang w:eastAsia="tr-TR"/>
              </w:rPr>
              <w:t xml:space="preserve"> Bir geminin ihtiyaten haczi, </w:t>
            </w:r>
            <w:r w:rsidR="00A46C6E" w:rsidRPr="00A23740">
              <w:rPr>
                <w:rFonts w:eastAsia="Times New Roman"/>
                <w:b/>
                <w:bCs/>
                <w:color w:val="0000FF"/>
                <w:szCs w:val="24"/>
                <w:lang w:eastAsia="tr-TR"/>
              </w:rPr>
              <w:t>ihtiyaten haczedildiği tarihten sonra</w:t>
            </w:r>
            <w:r w:rsidR="00A46C6E" w:rsidRPr="00A23740">
              <w:rPr>
                <w:rFonts w:eastAsia="Times New Roman"/>
                <w:szCs w:val="24"/>
                <w:lang w:eastAsia="tr-TR"/>
              </w:rPr>
              <w:t xml:space="preserve"> geminin işletilmesinden </w:t>
            </w:r>
            <w:r w:rsidR="00A46C6E" w:rsidRPr="00A23740">
              <w:rPr>
                <w:rFonts w:eastAsia="Times New Roman"/>
                <w:b/>
                <w:bCs/>
                <w:color w:val="0000FF"/>
                <w:szCs w:val="24"/>
                <w:lang w:eastAsia="tr-TR"/>
              </w:rPr>
              <w:t>kaynaklanan</w:t>
            </w:r>
            <w:r w:rsidR="00A46C6E" w:rsidRPr="00A23740">
              <w:rPr>
                <w:rFonts w:eastAsia="Times New Roman"/>
                <w:szCs w:val="24"/>
                <w:lang w:eastAsia="tr-TR"/>
              </w:rPr>
              <w:t xml:space="preserve"> gelir </w:t>
            </w:r>
            <w:r w:rsidR="00A46C6E" w:rsidRPr="00A23740">
              <w:rPr>
                <w:rFonts w:eastAsia="Times New Roman"/>
                <w:b/>
                <w:bCs/>
                <w:color w:val="0000FF"/>
                <w:szCs w:val="24"/>
                <w:lang w:eastAsia="tr-TR"/>
              </w:rPr>
              <w:t xml:space="preserve">ile </w:t>
            </w:r>
            <w:r w:rsidR="00A46C6E" w:rsidRPr="00A23740">
              <w:rPr>
                <w:rFonts w:eastAsia="Times New Roman"/>
                <w:b/>
                <w:bCs/>
                <w:color w:val="0000FF"/>
                <w:szCs w:val="24"/>
                <w:lang w:eastAsia="x-none"/>
              </w:rPr>
              <w:t>tekn</w:t>
            </w:r>
            <w:r w:rsidR="00A46C6E" w:rsidRPr="00F257EC">
              <w:rPr>
                <w:rFonts w:eastAsia="Times New Roman"/>
                <w:b/>
                <w:bCs/>
                <w:color w:val="0000FF"/>
                <w:szCs w:val="24"/>
                <w:lang w:eastAsia="x-none"/>
              </w:rPr>
              <w:t>e</w:t>
            </w:r>
            <w:r w:rsidR="00A46C6E" w:rsidRPr="00A23740">
              <w:rPr>
                <w:rFonts w:eastAsia="Times New Roman"/>
                <w:b/>
                <w:bCs/>
                <w:color w:val="0000FF"/>
                <w:szCs w:val="24"/>
                <w:lang w:eastAsia="x-none"/>
              </w:rPr>
              <w:t xml:space="preserve"> sigorta</w:t>
            </w:r>
            <w:r w:rsidR="00A46C6E" w:rsidRPr="00F257EC">
              <w:rPr>
                <w:rFonts w:eastAsia="Times New Roman"/>
                <w:b/>
                <w:bCs/>
                <w:color w:val="0000FF"/>
                <w:szCs w:val="24"/>
                <w:lang w:eastAsia="x-none"/>
              </w:rPr>
              <w:t>sı</w:t>
            </w:r>
            <w:r w:rsidR="00A46C6E" w:rsidRPr="00A23740">
              <w:rPr>
                <w:rFonts w:eastAsia="Times New Roman"/>
                <w:b/>
                <w:bCs/>
                <w:color w:val="0000FF"/>
                <w:szCs w:val="24"/>
                <w:lang w:eastAsia="x-none"/>
              </w:rPr>
              <w:t xml:space="preserve"> sözleşmesi uyarınca ödenecek sigorta tazminatı veya geminin uğradığı zarar dolayısıyla zarar sorumlusunun ödeyeceği tazminat gibi gemiye ilişkin </w:t>
            </w:r>
            <w:r w:rsidR="00A46C6E" w:rsidRPr="00A23740">
              <w:rPr>
                <w:rFonts w:eastAsia="Times New Roman"/>
                <w:szCs w:val="24"/>
                <w:lang w:eastAsia="tr-TR"/>
              </w:rPr>
              <w:t>menfaatleri de kapsar.</w:t>
            </w:r>
          </w:p>
          <w:p w:rsidR="00A46C6E" w:rsidRPr="00A23740" w:rsidRDefault="00A46C6E" w:rsidP="009431FF">
            <w:pPr>
              <w:rPr>
                <w:rFonts w:eastAsia="Times New Roman"/>
                <w:szCs w:val="24"/>
              </w:rPr>
            </w:pPr>
          </w:p>
          <w:p w:rsidR="00A46C6E" w:rsidRPr="00A23740" w:rsidRDefault="00A46C6E" w:rsidP="009431FF">
            <w:pPr>
              <w:rPr>
                <w:rFonts w:eastAsia="Times New Roman"/>
                <w:szCs w:val="24"/>
                <w:lang w:eastAsia="tr-TR"/>
              </w:rPr>
            </w:pPr>
            <w:r w:rsidRPr="000F3FFB">
              <w:t>(2)</w:t>
            </w:r>
            <w:r w:rsidRPr="00A23740">
              <w:rPr>
                <w:rFonts w:eastAsia="Times New Roman"/>
                <w:szCs w:val="24"/>
                <w:lang w:eastAsia="tr-TR"/>
              </w:rPr>
              <w:t xml:space="preserve"> İcra </w:t>
            </w:r>
            <w:r w:rsidRPr="00A23740">
              <w:rPr>
                <w:rFonts w:eastAsia="Times New Roman"/>
                <w:b/>
                <w:bCs/>
                <w:color w:val="0000FF"/>
                <w:szCs w:val="24"/>
                <w:lang w:eastAsia="x-none"/>
              </w:rPr>
              <w:t>ve</w:t>
            </w:r>
            <w:r w:rsidRPr="00A23740">
              <w:rPr>
                <w:b/>
                <w:color w:val="00CC00"/>
                <w:lang w:eastAsia="tr-TR"/>
              </w:rPr>
              <w:t xml:space="preserve"> </w:t>
            </w:r>
            <w:r w:rsidRPr="00A23740">
              <w:rPr>
                <w:rFonts w:eastAsia="Times New Roman"/>
                <w:b/>
                <w:bCs/>
                <w:color w:val="0000FF"/>
                <w:szCs w:val="24"/>
                <w:lang w:eastAsia="x-none"/>
              </w:rPr>
              <w:t>iflas</w:t>
            </w:r>
            <w:r w:rsidRPr="00A23740">
              <w:rPr>
                <w:rFonts w:eastAsia="Times New Roman"/>
                <w:szCs w:val="24"/>
                <w:lang w:eastAsia="tr-TR"/>
              </w:rPr>
              <w:t xml:space="preserve"> dairesi, geminin idaresi ve işletilmesi ile bakımı ve </w:t>
            </w:r>
            <w:r w:rsidRPr="00A23740">
              <w:rPr>
                <w:rFonts w:eastAsia="Times New Roman"/>
                <w:b/>
                <w:bCs/>
                <w:color w:val="0000FF"/>
                <w:szCs w:val="24"/>
                <w:lang w:eastAsia="x-none"/>
              </w:rPr>
              <w:t>muhafazası</w:t>
            </w:r>
            <w:r w:rsidRPr="00A23740">
              <w:rPr>
                <w:rFonts w:eastAsia="Times New Roman"/>
                <w:szCs w:val="24"/>
                <w:lang w:eastAsia="tr-TR"/>
              </w:rPr>
              <w:t xml:space="preserve"> için gerekli </w:t>
            </w:r>
            <w:r w:rsidR="00027CBE" w:rsidRPr="00F257EC">
              <w:rPr>
                <w:rFonts w:eastAsia="Times New Roman"/>
                <w:b/>
                <w:color w:val="0000FF"/>
                <w:szCs w:val="24"/>
                <w:lang w:eastAsia="tr-TR"/>
              </w:rPr>
              <w:t>bütün</w:t>
            </w:r>
            <w:r w:rsidR="00027CBE" w:rsidRPr="00F257EC">
              <w:rPr>
                <w:rFonts w:eastAsia="Times New Roman"/>
                <w:color w:val="0000FF"/>
                <w:szCs w:val="24"/>
                <w:lang w:eastAsia="tr-TR"/>
              </w:rPr>
              <w:t xml:space="preserve"> </w:t>
            </w:r>
            <w:r w:rsidRPr="000F3FFB">
              <w:rPr>
                <w:rStyle w:val="Balk1Char"/>
                <w:rFonts w:eastAsia="Calibri"/>
              </w:rPr>
              <w:t>önlem</w:t>
            </w:r>
            <w:r w:rsidR="00027CBE" w:rsidRPr="000F3FFB">
              <w:rPr>
                <w:rStyle w:val="Balk1Char"/>
                <w:rFonts w:eastAsia="Calibri"/>
              </w:rPr>
              <w:t>ler</w:t>
            </w:r>
            <w:r w:rsidRPr="000F3FFB">
              <w:rPr>
                <w:rStyle w:val="Balk1Char"/>
                <w:rFonts w:eastAsia="Calibri"/>
              </w:rPr>
              <w:t>i</w:t>
            </w:r>
            <w:r w:rsidRPr="00A23740">
              <w:rPr>
                <w:rFonts w:eastAsia="Times New Roman"/>
                <w:szCs w:val="24"/>
                <w:lang w:eastAsia="tr-TR"/>
              </w:rPr>
              <w:t xml:space="preserve"> alır.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85" w:name="_Hlk134341731"/>
          </w:p>
          <w:p w:rsidR="00A46C6E" w:rsidRPr="00A23740" w:rsidRDefault="00BC725A" w:rsidP="009431FF">
            <w:pPr>
              <w:ind w:firstLine="709"/>
              <w:rPr>
                <w:rFonts w:eastAsia="Times New Roman"/>
                <w:b/>
                <w:bCs/>
                <w:szCs w:val="24"/>
                <w:lang w:eastAsia="tr-TR"/>
              </w:rPr>
            </w:pPr>
            <w:r w:rsidRPr="00A23740">
              <w:rPr>
                <w:rFonts w:eastAsia="Times New Roman"/>
                <w:b/>
                <w:bCs/>
                <w:szCs w:val="24"/>
                <w:lang w:eastAsia="tr-TR"/>
              </w:rPr>
              <w:t>MADDE 501</w:t>
            </w:r>
            <w:r w:rsidR="00A46C6E" w:rsidRPr="00A23740">
              <w:rPr>
                <w:rFonts w:eastAsia="Times New Roman"/>
                <w:b/>
                <w:bCs/>
                <w:szCs w:val="24"/>
                <w:lang w:eastAsia="tr-TR"/>
              </w:rPr>
              <w:t xml:space="preserve">- </w:t>
            </w:r>
            <w:bookmarkStart w:id="86" w:name="_Hlk172877292"/>
            <w:r w:rsidR="00A46C6E" w:rsidRPr="00A23740">
              <w:rPr>
                <w:bCs/>
                <w:szCs w:val="24"/>
                <w:lang w:eastAsia="x-none"/>
              </w:rPr>
              <w:t xml:space="preserve">Maddeyle, </w:t>
            </w:r>
            <w:r w:rsidR="00A46C6E" w:rsidRPr="00A23740">
              <w:rPr>
                <w:rFonts w:eastAsia="Times New Roman"/>
                <w:szCs w:val="24"/>
              </w:rPr>
              <w:t>ihtiyati haczin kapsamı, geminin idaresi ve işletilmesine ilişkin</w:t>
            </w:r>
            <w:r w:rsidR="00A46C6E" w:rsidRPr="00A23740">
              <w:rPr>
                <w:bCs/>
                <w:szCs w:val="24"/>
                <w:lang w:eastAsia="x-none"/>
              </w:rPr>
              <w:t xml:space="preserve"> hususlar düzenlenmektedir.</w:t>
            </w:r>
            <w:bookmarkEnd w:id="86"/>
          </w:p>
          <w:p w:rsidR="00A46C6E" w:rsidRPr="00A23740" w:rsidRDefault="00A46C6E" w:rsidP="009431FF">
            <w:pPr>
              <w:ind w:firstLine="709"/>
              <w:rPr>
                <w:rFonts w:eastAsia="Times New Roman"/>
                <w:szCs w:val="24"/>
              </w:rPr>
            </w:pPr>
            <w:r w:rsidRPr="00A23740">
              <w:rPr>
                <w:rFonts w:eastAsia="Times New Roman"/>
                <w:bCs/>
                <w:szCs w:val="24"/>
              </w:rPr>
              <w:t>6102 sayılı Kanunun</w:t>
            </w:r>
            <w:r w:rsidRPr="00A23740">
              <w:rPr>
                <w:rFonts w:eastAsia="Times New Roman"/>
                <w:szCs w:val="24"/>
              </w:rPr>
              <w:t xml:space="preserve"> 1368 inci maddesinin birinci fık</w:t>
            </w:r>
            <w:r w:rsidR="00605233" w:rsidRPr="00A23740">
              <w:rPr>
                <w:rFonts w:eastAsia="Times New Roman"/>
                <w:szCs w:val="24"/>
              </w:rPr>
              <w:t>rasının, bu fıkrada yer alan “…</w:t>
            </w:r>
            <w:r w:rsidRPr="00A23740">
              <w:rPr>
                <w:rFonts w:eastAsia="Times New Roman"/>
                <w:szCs w:val="24"/>
              </w:rPr>
              <w:t xml:space="preserve"> </w:t>
            </w:r>
            <w:r w:rsidRPr="00A23740">
              <w:rPr>
                <w:rFonts w:eastAsia="Times New Roman"/>
                <w:i/>
                <w:iCs/>
                <w:szCs w:val="24"/>
              </w:rPr>
              <w:t>borçlunun, o geminin işletilmesinden elde ettiği gelir</w:t>
            </w:r>
            <w:r w:rsidRPr="00A23740">
              <w:rPr>
                <w:rFonts w:eastAsia="Times New Roman"/>
                <w:szCs w:val="24"/>
              </w:rPr>
              <w:t xml:space="preserve"> …” ibaresi, kanun</w:t>
            </w:r>
            <w:r w:rsidR="00605233" w:rsidRPr="00A23740">
              <w:rPr>
                <w:rFonts w:eastAsia="Times New Roman"/>
                <w:szCs w:val="24"/>
              </w:rPr>
              <w:t>i</w:t>
            </w:r>
            <w:r w:rsidRPr="00A23740">
              <w:rPr>
                <w:rFonts w:eastAsia="Times New Roman"/>
                <w:szCs w:val="24"/>
              </w:rPr>
              <w:t xml:space="preserve"> veya akd</w:t>
            </w:r>
            <w:r w:rsidR="00605233" w:rsidRPr="00A23740">
              <w:rPr>
                <w:rFonts w:eastAsia="Times New Roman"/>
                <w:szCs w:val="24"/>
              </w:rPr>
              <w:t>i</w:t>
            </w:r>
            <w:r w:rsidRPr="00A23740">
              <w:rPr>
                <w:rFonts w:eastAsia="Times New Roman"/>
                <w:szCs w:val="24"/>
              </w:rPr>
              <w:t xml:space="preserve"> rehin hakkı ya da gemi alacaklısı hakkı</w:t>
            </w:r>
            <w:r w:rsidR="005173E5" w:rsidRPr="00A23740">
              <w:rPr>
                <w:rFonts w:eastAsia="Times New Roman"/>
                <w:szCs w:val="24"/>
              </w:rPr>
              <w:t>yla</w:t>
            </w:r>
            <w:r w:rsidRPr="00A23740">
              <w:rPr>
                <w:rFonts w:eastAsia="Times New Roman"/>
                <w:szCs w:val="24"/>
              </w:rPr>
              <w:t xml:space="preserve"> teminat altına alınmış deniz alacaklarında borçlunun aynı zamanda gemiyi işleten olmayabileceği dikkate alınarak</w:t>
            </w:r>
            <w:r w:rsidR="005173E5" w:rsidRPr="00A23740">
              <w:rPr>
                <w:rFonts w:eastAsia="Times New Roman"/>
                <w:szCs w:val="24"/>
              </w:rPr>
              <w:t>,</w:t>
            </w:r>
            <w:r w:rsidRPr="00A23740">
              <w:rPr>
                <w:rFonts w:eastAsia="Times New Roman"/>
                <w:szCs w:val="24"/>
              </w:rPr>
              <w:t xml:space="preserve"> “borçlu” </w:t>
            </w:r>
            <w:r w:rsidR="005173E5" w:rsidRPr="00A23740">
              <w:rPr>
                <w:rFonts w:eastAsia="Times New Roman"/>
                <w:szCs w:val="24"/>
              </w:rPr>
              <w:t xml:space="preserve">sözcüğü </w:t>
            </w:r>
            <w:r w:rsidRPr="00A23740">
              <w:rPr>
                <w:rFonts w:eastAsia="Times New Roman"/>
                <w:szCs w:val="24"/>
              </w:rPr>
              <w:t>çıkarılmak; ayrıca</w:t>
            </w:r>
            <w:r w:rsidR="005173E5" w:rsidRPr="00A23740">
              <w:rPr>
                <w:rFonts w:eastAsia="Times New Roman"/>
                <w:szCs w:val="24"/>
              </w:rPr>
              <w:t>,</w:t>
            </w:r>
            <w:r w:rsidRPr="00A23740">
              <w:rPr>
                <w:rFonts w:eastAsia="Times New Roman"/>
                <w:szCs w:val="24"/>
              </w:rPr>
              <w:t xml:space="preserve"> ihtiyati haczin hangi andan itibaren geminin işletilmesinden elde edilen geliri ve menfaatleri kapsayacağı hususuna açıklık getirilmesi gerektiği de dikkate alınarak bu yönde ibare eklenmek suretiyle değiştirilmesi kabul edilmiştir. Bu nedenle maddenin birinci fıkrasında bir geminin ihtiyati haczinin “ihtiyaten haczedildiği tarihten itibaren geminin işletilmesinden kaynaklanan gelir ile gemiye ilişkin menfaatleri kapsadığı” hüküm altına alınmıştır. Gemiye ilişkin menfaatler, duruma göre (örneğin geminin yanması ya da batması yüzünden) tekne sigortası sözleşmesi uyarınca ödenecek sigorta tazminatı veya çatma sonucu gemiye verilen zarar sebebiyle kusurlu gemi donatanı tarafından ödenecek tazminat alacağı gibi alacakları ifade eder. </w:t>
            </w:r>
          </w:p>
          <w:p w:rsidR="00A46C6E" w:rsidRPr="00A23740" w:rsidRDefault="00A46C6E" w:rsidP="009431FF">
            <w:pPr>
              <w:ind w:firstLine="709"/>
              <w:rPr>
                <w:rFonts w:eastAsia="Times New Roman"/>
                <w:szCs w:val="24"/>
              </w:rPr>
            </w:pPr>
            <w:r w:rsidRPr="00A23740">
              <w:rPr>
                <w:rFonts w:eastAsia="Times New Roman"/>
              </w:rPr>
              <w:t xml:space="preserve">Maddenin ikinci fıkrası, </w:t>
            </w:r>
            <w:r w:rsidRPr="00A23740">
              <w:rPr>
                <w:rFonts w:eastAsia="Times New Roman"/>
                <w:bCs/>
              </w:rPr>
              <w:t>6102 sayılı Kanunun</w:t>
            </w:r>
            <w:r w:rsidRPr="00A23740">
              <w:rPr>
                <w:rFonts w:eastAsia="Times New Roman"/>
              </w:rPr>
              <w:t xml:space="preserve"> 1368 inci maddesinin ikinci fıkrasından aynen alınmıştı</w:t>
            </w:r>
            <w:r w:rsidR="00796522" w:rsidRPr="00A23740">
              <w:rPr>
                <w:rFonts w:eastAsia="Times New Roman"/>
              </w:rPr>
              <w:t>r.</w:t>
            </w:r>
          </w:p>
          <w:bookmarkEnd w:id="85"/>
          <w:p w:rsidR="002A27F8" w:rsidRPr="00A23740" w:rsidRDefault="002A27F8" w:rsidP="002A27F8">
            <w:pPr>
              <w:rPr>
                <w:rFonts w:eastAsia="Times New Roman"/>
                <w:b/>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b/>
                <w:strike/>
                <w:color w:val="FF0000"/>
                <w:szCs w:val="24"/>
              </w:rPr>
            </w:pPr>
            <w:r w:rsidRPr="00A23740">
              <w:rPr>
                <w:b/>
                <w:strike/>
                <w:color w:val="FF0000"/>
                <w:szCs w:val="24"/>
              </w:rPr>
              <w:t>b) İhtiyati haczin kaldırılması</w:t>
            </w:r>
          </w:p>
          <w:p w:rsidR="00A46C6E" w:rsidRPr="00A23740" w:rsidRDefault="00A46C6E" w:rsidP="009431FF">
            <w:pPr>
              <w:widowControl w:val="0"/>
              <w:rPr>
                <w:b/>
                <w:strike/>
                <w:color w:val="FF0000"/>
                <w:szCs w:val="24"/>
              </w:rPr>
            </w:pPr>
            <w:r w:rsidRPr="00A23740">
              <w:rPr>
                <w:rFonts w:eastAsia="Times New Roman"/>
                <w:b/>
                <w:bCs/>
                <w:szCs w:val="24"/>
                <w:lang w:eastAsia="tr-TR"/>
              </w:rPr>
              <w:t xml:space="preserve">MADDE </w:t>
            </w:r>
            <w:r w:rsidRPr="00A23740">
              <w:rPr>
                <w:b/>
                <w:strike/>
                <w:color w:val="FF0000"/>
                <w:szCs w:val="24"/>
              </w:rPr>
              <w:t>1371-</w:t>
            </w:r>
            <w:r w:rsidRPr="000F3FFB">
              <w:rPr>
                <w:b/>
                <w:color w:val="FF0000"/>
                <w:szCs w:val="24"/>
              </w:rPr>
              <w:t xml:space="preserve"> </w:t>
            </w:r>
            <w:r w:rsidRPr="000F3FFB">
              <w:t>(1)</w:t>
            </w:r>
            <w:r w:rsidRPr="000F3FFB">
              <w:rPr>
                <w:b/>
                <w:color w:val="FF0000"/>
                <w:szCs w:val="24"/>
              </w:rPr>
              <w:t xml:space="preserve"> </w:t>
            </w:r>
            <w:r w:rsidRPr="00A23740">
              <w:rPr>
                <w:b/>
                <w:strike/>
                <w:color w:val="FF0000"/>
                <w:szCs w:val="24"/>
              </w:rPr>
              <w:t xml:space="preserve">Geminin maliki veya borçlu, geminin değerini geçmemek  kaydıyla, deniz alacağının tamamı, faizi ve giderler için </w:t>
            </w:r>
            <w:r w:rsidRPr="00A23740">
              <w:rPr>
                <w:rFonts w:eastAsia="Times New Roman"/>
                <w:szCs w:val="24"/>
                <w:lang w:eastAsia="tr-TR"/>
              </w:rPr>
              <w:t xml:space="preserve">yeterli teminat </w:t>
            </w:r>
            <w:r w:rsidRPr="00A23740">
              <w:rPr>
                <w:b/>
                <w:strike/>
                <w:color w:val="FF0000"/>
                <w:szCs w:val="24"/>
              </w:rPr>
              <w:t xml:space="preserve">göstererek, </w:t>
            </w:r>
            <w:r w:rsidRPr="00A23740">
              <w:rPr>
                <w:rFonts w:eastAsia="Times New Roman"/>
                <w:szCs w:val="24"/>
                <w:lang w:eastAsia="tr-TR"/>
              </w:rPr>
              <w:t>ihtiyati haczin kaldırılması</w:t>
            </w:r>
            <w:r w:rsidRPr="00A23740">
              <w:rPr>
                <w:b/>
                <w:strike/>
                <w:color w:val="FF0000"/>
                <w:szCs w:val="24"/>
              </w:rPr>
              <w:t>nı mahkemeden isteyebilir.</w:t>
            </w:r>
            <w:r w:rsidRPr="00A23740">
              <w:rPr>
                <w:rFonts w:eastAsia="Times New Roman"/>
                <w:szCs w:val="24"/>
                <w:lang w:eastAsia="tr-TR"/>
              </w:rPr>
              <w:t xml:space="preserve"> Takibe başlandıktan sonra </w:t>
            </w:r>
            <w:r w:rsidRPr="00A23740">
              <w:rPr>
                <w:b/>
                <w:strike/>
                <w:color w:val="FF0000"/>
                <w:szCs w:val="24"/>
              </w:rPr>
              <w:t>bu yetki, icra mahkemesine geçer.</w:t>
            </w:r>
          </w:p>
          <w:p w:rsidR="00A46C6E" w:rsidRPr="00A23740" w:rsidRDefault="00A46C6E" w:rsidP="009431FF">
            <w:pPr>
              <w:widowControl w:val="0"/>
              <w:rPr>
                <w:rFonts w:eastAsia="Times New Roman"/>
                <w:b/>
                <w:bCs/>
                <w:color w:val="FF0000"/>
                <w:szCs w:val="24"/>
              </w:rPr>
            </w:pPr>
          </w:p>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tr-TR"/>
              </w:rPr>
              <w:t>8. Geminin serbest bırakılması</w:t>
            </w: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a) Geminin değerinin depo edilmesi</w:t>
            </w:r>
          </w:p>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tr-TR"/>
              </w:rPr>
              <w:t>MADDE 1370- (1) İhtiyaten haczolunan gemi, istenildiği zaman icra dairesine teslim edilmek ve bunu sağlamak amacıyla geminin değeri depo edilmek veya icra memuru tarafından kabul edilecek taşınmaz rehni, gemi ipoteği veya itibarlı bir banka kefaleti gösterilmek şartıyla borçluya ve gemi üçüncü kişi elinde iken ihtiyaten haczolunmuşsa, bir taahhüt senedi alınarak, bu kişiye bırakılabilir.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a) Geminin değerinin depo edilmesi</w:t>
            </w: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MADDE 1370- (4) 1352 nci maddenin (t) ve (u) bentlerinde sayılan deniz alacaklarının birinden dolayı ihtiyaten haczedilmiş olan gemi hakkında, zilyedi olan kişinin yeterli teminatı vermesi durumunda, gemi bu kişiye bırakılabilir.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b/>
                <w:strike/>
                <w:color w:val="FF0000"/>
                <w:szCs w:val="24"/>
              </w:rPr>
            </w:pPr>
            <w:r w:rsidRPr="00A23740">
              <w:rPr>
                <w:b/>
                <w:bCs/>
                <w:strike/>
                <w:color w:val="FF0000"/>
                <w:szCs w:val="24"/>
              </w:rPr>
              <w:t>c) Tarafların anlaşması</w:t>
            </w:r>
          </w:p>
          <w:p w:rsidR="00A46C6E" w:rsidRPr="00A23740" w:rsidRDefault="00A46C6E" w:rsidP="009431FF">
            <w:pPr>
              <w:widowControl w:val="0"/>
              <w:rPr>
                <w:szCs w:val="24"/>
              </w:rPr>
            </w:pPr>
            <w:r w:rsidRPr="00A23740">
              <w:rPr>
                <w:b/>
                <w:bCs/>
                <w:strike/>
                <w:color w:val="FF0000"/>
                <w:szCs w:val="24"/>
              </w:rPr>
              <w:t>MADDE 1372</w:t>
            </w:r>
            <w:r w:rsidRPr="00A23740">
              <w:rPr>
                <w:b/>
                <w:strike/>
                <w:color w:val="FF0000"/>
                <w:szCs w:val="24"/>
              </w:rPr>
              <w:t xml:space="preserve">- (1) 1370 ve 1371 inci maddeler uyarınca verilecek </w:t>
            </w:r>
            <w:r w:rsidRPr="00A23740">
              <w:rPr>
                <w:szCs w:val="24"/>
              </w:rPr>
              <w:t>teminatın tür ve miktarı</w:t>
            </w:r>
            <w:r w:rsidRPr="00A23740">
              <w:rPr>
                <w:b/>
                <w:strike/>
                <w:color w:val="FF0000"/>
                <w:szCs w:val="24"/>
              </w:rPr>
              <w:t xml:space="preserve">, alacaklı ile geminin maliki veya maliki olmayan donatanı arasında serbestçe </w:t>
            </w:r>
            <w:r w:rsidRPr="00A23740">
              <w:rPr>
                <w:szCs w:val="24"/>
              </w:rPr>
              <w:t>kararlaştırılabilir.</w:t>
            </w:r>
          </w:p>
          <w:p w:rsidR="00A46C6E" w:rsidRPr="00A23740" w:rsidRDefault="00A46C6E" w:rsidP="009431FF">
            <w:pPr>
              <w:widowControl w:val="0"/>
              <w:rPr>
                <w:b/>
                <w:strike/>
                <w:color w:val="FF0000"/>
                <w:szCs w:val="24"/>
              </w:rPr>
            </w:pPr>
          </w:p>
          <w:p w:rsidR="00A46C6E" w:rsidRPr="00A23740" w:rsidRDefault="00A46C6E" w:rsidP="009431FF">
            <w:pPr>
              <w:widowControl w:val="0"/>
              <w:rPr>
                <w:b/>
                <w:strike/>
                <w:color w:val="FF0000"/>
                <w:szCs w:val="24"/>
              </w:rPr>
            </w:pPr>
          </w:p>
          <w:p w:rsidR="00A46C6E" w:rsidRPr="00A23740" w:rsidRDefault="00A46C6E" w:rsidP="009431FF">
            <w:pPr>
              <w:widowControl w:val="0"/>
              <w:rPr>
                <w:b/>
                <w:strike/>
                <w:color w:val="FF0000"/>
                <w:szCs w:val="24"/>
              </w:rPr>
            </w:pPr>
          </w:p>
          <w:p w:rsidR="00A46C6E" w:rsidRDefault="00A46C6E" w:rsidP="009431FF">
            <w:pPr>
              <w:widowControl w:val="0"/>
              <w:rPr>
                <w:b/>
                <w:strike/>
                <w:color w:val="FF0000"/>
                <w:szCs w:val="24"/>
              </w:rPr>
            </w:pPr>
          </w:p>
          <w:p w:rsidR="002A27F8" w:rsidRPr="00A23740" w:rsidRDefault="002A27F8" w:rsidP="009431FF">
            <w:pPr>
              <w:widowControl w:val="0"/>
              <w:rPr>
                <w:b/>
                <w:strike/>
                <w:color w:val="FF0000"/>
                <w:szCs w:val="24"/>
              </w:rPr>
            </w:pPr>
          </w:p>
          <w:p w:rsidR="00A46C6E" w:rsidRPr="00A23740" w:rsidRDefault="00A46C6E" w:rsidP="009431FF">
            <w:pPr>
              <w:widowControl w:val="0"/>
              <w:rPr>
                <w:b/>
                <w:strike/>
                <w:color w:val="FF0000"/>
                <w:szCs w:val="24"/>
              </w:rPr>
            </w:pPr>
            <w:r w:rsidRPr="00A23740">
              <w:rPr>
                <w:b/>
                <w:strike/>
                <w:color w:val="FF0000"/>
                <w:szCs w:val="24"/>
              </w:rPr>
              <w:t>b) İhtiyati haczin kaldırılması</w:t>
            </w:r>
          </w:p>
          <w:p w:rsidR="00A46C6E" w:rsidRPr="00A23740" w:rsidRDefault="00A46C6E" w:rsidP="009431FF">
            <w:pPr>
              <w:widowControl w:val="0"/>
              <w:rPr>
                <w:b/>
                <w:strike/>
                <w:color w:val="FF0000"/>
                <w:szCs w:val="24"/>
              </w:rPr>
            </w:pPr>
            <w:r w:rsidRPr="00A23740">
              <w:rPr>
                <w:b/>
                <w:bCs/>
                <w:strike/>
                <w:color w:val="FF0000"/>
                <w:szCs w:val="24"/>
              </w:rPr>
              <w:t xml:space="preserve">MADDE </w:t>
            </w:r>
            <w:r w:rsidRPr="00A23740">
              <w:rPr>
                <w:b/>
                <w:strike/>
                <w:color w:val="FF0000"/>
                <w:szCs w:val="24"/>
              </w:rPr>
              <w:t>1371- (3) İhtiyati haczin devamı için açılan davanın sonunda, teminatın alacaklıya ödenmesine karar verilmesi durumunda, bu</w:t>
            </w:r>
            <w:r w:rsidRPr="000F3FFB">
              <w:rPr>
                <w:b/>
                <w:color w:val="FF0000"/>
                <w:szCs w:val="24"/>
              </w:rPr>
              <w:t xml:space="preserve"> </w:t>
            </w:r>
            <w:r w:rsidRPr="00A23740">
              <w:rPr>
                <w:szCs w:val="24"/>
              </w:rPr>
              <w:t xml:space="preserve">teminat </w:t>
            </w:r>
            <w:r w:rsidRPr="00A23740">
              <w:rPr>
                <w:b/>
                <w:strike/>
                <w:color w:val="FF0000"/>
                <w:szCs w:val="24"/>
              </w:rPr>
              <w:t xml:space="preserve">üzerine diğer </w:t>
            </w:r>
            <w:r w:rsidRPr="000F3FFB">
              <w:rPr>
                <w:rStyle w:val="KIRMIZIChar"/>
                <w:rFonts w:eastAsia="Calibri"/>
              </w:rPr>
              <w:t>deniz alacaklıları haciz koyduramaz.</w:t>
            </w:r>
          </w:p>
          <w:p w:rsidR="005468D1" w:rsidRPr="00A23740" w:rsidRDefault="005468D1" w:rsidP="009431FF">
            <w:pPr>
              <w:widowControl w:val="0"/>
              <w:rPr>
                <w:b/>
                <w:bCs/>
                <w:strike/>
                <w:color w:val="FF0000"/>
                <w:szCs w:val="24"/>
              </w:rPr>
            </w:pPr>
          </w:p>
          <w:p w:rsidR="00A46C6E" w:rsidRPr="00A23740" w:rsidRDefault="00A46C6E" w:rsidP="009431FF">
            <w:pPr>
              <w:widowControl w:val="0"/>
              <w:rPr>
                <w:b/>
                <w:strike/>
                <w:color w:val="FF0000"/>
                <w:szCs w:val="24"/>
              </w:rPr>
            </w:pPr>
            <w:r w:rsidRPr="00A23740">
              <w:rPr>
                <w:b/>
                <w:bCs/>
                <w:strike/>
                <w:color w:val="FF0000"/>
                <w:szCs w:val="24"/>
              </w:rPr>
              <w:t>d) Saklı kalan haklar</w:t>
            </w:r>
          </w:p>
          <w:p w:rsidR="00A46C6E" w:rsidRPr="00A23740" w:rsidRDefault="00A46C6E" w:rsidP="009431FF">
            <w:pPr>
              <w:widowControl w:val="0"/>
              <w:rPr>
                <w:b/>
                <w:strike/>
                <w:color w:val="FF0000"/>
                <w:szCs w:val="24"/>
              </w:rPr>
            </w:pPr>
            <w:r w:rsidRPr="00A23740">
              <w:rPr>
                <w:b/>
                <w:bCs/>
                <w:strike/>
                <w:color w:val="FF0000"/>
                <w:szCs w:val="24"/>
              </w:rPr>
              <w:t>MADDE 1373</w:t>
            </w:r>
            <w:r w:rsidRPr="00A23740">
              <w:rPr>
                <w:b/>
                <w:strike/>
                <w:color w:val="FF0000"/>
                <w:szCs w:val="24"/>
              </w:rPr>
              <w:t>- (1)</w:t>
            </w:r>
            <w:r w:rsidRPr="000F3FFB">
              <w:rPr>
                <w:b/>
                <w:color w:val="FF0000"/>
                <w:szCs w:val="24"/>
              </w:rPr>
              <w:t xml:space="preserve"> </w:t>
            </w:r>
            <w:r w:rsidRPr="00A23740">
              <w:rPr>
                <w:szCs w:val="24"/>
              </w:rPr>
              <w:t>Geminin serbest bırakılması için teminat verilmesi</w:t>
            </w:r>
            <w:r w:rsidRPr="00A23740">
              <w:rPr>
                <w:b/>
                <w:strike/>
                <w:color w:val="FF0000"/>
                <w:szCs w:val="24"/>
              </w:rPr>
              <w:t xml:space="preserve">, </w:t>
            </w:r>
            <w:r w:rsidRPr="00A23740">
              <w:rPr>
                <w:szCs w:val="24"/>
              </w:rPr>
              <w:t>sorumluluğun kabul</w:t>
            </w:r>
            <w:r w:rsidRPr="00A23740">
              <w:rPr>
                <w:b/>
                <w:strike/>
                <w:color w:val="FF0000"/>
                <w:szCs w:val="24"/>
              </w:rPr>
              <w:t>ü</w:t>
            </w:r>
            <w:r w:rsidRPr="00A23740">
              <w:rPr>
                <w:szCs w:val="24"/>
              </w:rPr>
              <w:t xml:space="preserve"> veya herhangi bir </w:t>
            </w:r>
            <w:r w:rsidRPr="00A23740">
              <w:rPr>
                <w:b/>
                <w:strike/>
                <w:color w:val="FF0000"/>
                <w:szCs w:val="24"/>
              </w:rPr>
              <w:t xml:space="preserve">itiraz ve def’iden ya da </w:t>
            </w:r>
            <w:r w:rsidRPr="00A23740">
              <w:rPr>
                <w:szCs w:val="24"/>
              </w:rPr>
              <w:t xml:space="preserve">sorumluluğun sınırlandırılması hakkından </w:t>
            </w:r>
            <w:r w:rsidRPr="00A23740">
              <w:rPr>
                <w:b/>
                <w:strike/>
                <w:color w:val="FF0000"/>
                <w:szCs w:val="24"/>
              </w:rPr>
              <w:t>vazgeçilmesi şeklinde yorumlanamaz.</w:t>
            </w:r>
          </w:p>
          <w:p w:rsidR="00A46C6E" w:rsidRPr="00A23740" w:rsidRDefault="00A46C6E" w:rsidP="009431FF">
            <w:pPr>
              <w:widowControl w:val="0"/>
              <w:rPr>
                <w:rFonts w:eastAsia="Times New Roman"/>
                <w:b/>
                <w:bCs/>
                <w:szCs w:val="24"/>
                <w:lang w:eastAsia="tr-TR"/>
              </w:rPr>
            </w:pPr>
          </w:p>
          <w:p w:rsidR="00A46C6E" w:rsidRPr="00A23740" w:rsidRDefault="00A46C6E" w:rsidP="009431FF">
            <w:pPr>
              <w:widowControl w:val="0"/>
              <w:rPr>
                <w:b/>
                <w:strike/>
                <w:color w:val="FF0000"/>
                <w:szCs w:val="24"/>
              </w:rPr>
            </w:pPr>
            <w:r w:rsidRPr="00A23740">
              <w:rPr>
                <w:b/>
                <w:bCs/>
                <w:strike/>
                <w:color w:val="FF0000"/>
                <w:szCs w:val="24"/>
              </w:rPr>
              <w:t>e) Teminatın değiştirilmesi</w:t>
            </w:r>
          </w:p>
          <w:p w:rsidR="00A46C6E" w:rsidRPr="00A23740" w:rsidRDefault="00A46C6E" w:rsidP="009431FF">
            <w:pPr>
              <w:widowControl w:val="0"/>
              <w:rPr>
                <w:szCs w:val="24"/>
              </w:rPr>
            </w:pPr>
            <w:r w:rsidRPr="00A23740">
              <w:rPr>
                <w:b/>
                <w:bCs/>
                <w:strike/>
                <w:color w:val="FF0000"/>
                <w:szCs w:val="24"/>
              </w:rPr>
              <w:t>MADDE 1374</w:t>
            </w:r>
            <w:r w:rsidRPr="00A23740">
              <w:rPr>
                <w:b/>
                <w:strike/>
                <w:color w:val="FF0000"/>
                <w:szCs w:val="24"/>
              </w:rPr>
              <w:t>- (1)1370 ilâ 1372 nci maddeler</w:t>
            </w:r>
            <w:r w:rsidRPr="00A23740">
              <w:rPr>
                <w:szCs w:val="24"/>
              </w:rPr>
              <w:t xml:space="preserve"> uyarınca teminat veren kişi </w:t>
            </w:r>
            <w:r w:rsidRPr="00A23740">
              <w:rPr>
                <w:b/>
                <w:strike/>
                <w:color w:val="FF0000"/>
                <w:szCs w:val="24"/>
              </w:rPr>
              <w:t>her zaman,</w:t>
            </w:r>
            <w:r w:rsidRPr="00A23740">
              <w:rPr>
                <w:szCs w:val="24"/>
              </w:rPr>
              <w:t xml:space="preserve"> bu teminatın miktarının azaltılması, türünün değiştirilmesi veya</w:t>
            </w:r>
            <w:r w:rsidRPr="000F3FFB">
              <w:rPr>
                <w:b/>
                <w:color w:val="FF0000"/>
                <w:szCs w:val="24"/>
              </w:rPr>
              <w:t xml:space="preserve"> </w:t>
            </w:r>
            <w:r w:rsidRPr="00A23740">
              <w:rPr>
                <w:b/>
                <w:strike/>
                <w:color w:val="FF0000"/>
                <w:szCs w:val="24"/>
              </w:rPr>
              <w:t>iptali</w:t>
            </w:r>
            <w:r w:rsidRPr="000F3FFB">
              <w:rPr>
                <w:b/>
                <w:color w:val="FF0000"/>
                <w:szCs w:val="24"/>
              </w:rPr>
              <w:t xml:space="preserve"> </w:t>
            </w:r>
            <w:r w:rsidRPr="00A23740">
              <w:rPr>
                <w:szCs w:val="24"/>
              </w:rPr>
              <w:t>için mahkemeye başvurabilir.</w:t>
            </w:r>
          </w:p>
          <w:p w:rsidR="00A46C6E" w:rsidRPr="00A23740" w:rsidRDefault="00A46C6E" w:rsidP="009431FF">
            <w:pPr>
              <w:widowControl w:val="0"/>
              <w:rPr>
                <w:rFonts w:eastAsia="Times New Roman"/>
                <w:b/>
                <w:bCs/>
                <w:szCs w:val="24"/>
                <w:lang w:eastAsia="tr-TR"/>
              </w:rPr>
            </w:pPr>
          </w:p>
          <w:p w:rsidR="00A46C6E" w:rsidRPr="00A23740" w:rsidRDefault="00A46C6E" w:rsidP="009431FF">
            <w:pPr>
              <w:widowControl w:val="0"/>
              <w:rPr>
                <w:b/>
                <w:strike/>
                <w:color w:val="FF0000"/>
                <w:szCs w:val="24"/>
              </w:rPr>
            </w:pPr>
            <w:r w:rsidRPr="00A23740">
              <w:rPr>
                <w:b/>
                <w:strike/>
                <w:color w:val="FF0000"/>
                <w:szCs w:val="24"/>
              </w:rPr>
              <w:t>b) İhtiyati haczin kaldırılması</w:t>
            </w:r>
          </w:p>
          <w:p w:rsidR="00A46C6E" w:rsidRPr="00A23740" w:rsidRDefault="00A46C6E" w:rsidP="009431FF">
            <w:pPr>
              <w:widowControl w:val="0"/>
              <w:rPr>
                <w:b/>
                <w:strike/>
                <w:color w:val="FF0000"/>
                <w:szCs w:val="24"/>
              </w:rPr>
            </w:pPr>
            <w:r w:rsidRPr="00A23740">
              <w:rPr>
                <w:b/>
                <w:bCs/>
                <w:strike/>
                <w:color w:val="FF0000"/>
                <w:szCs w:val="24"/>
              </w:rPr>
              <w:t xml:space="preserve">MADDE </w:t>
            </w:r>
            <w:r w:rsidRPr="00A23740">
              <w:rPr>
                <w:b/>
                <w:strike/>
                <w:color w:val="FF0000"/>
                <w:szCs w:val="24"/>
              </w:rPr>
              <w:t>1371- (2)</w:t>
            </w:r>
            <w:r w:rsidRPr="00A23740">
              <w:rPr>
                <w:szCs w:val="24"/>
              </w:rPr>
              <w:t xml:space="preserve"> Geminin ihtiyati haczinin kaldırıldığı</w:t>
            </w:r>
            <w:r w:rsidRPr="005A4748">
              <w:rPr>
                <w:rStyle w:val="KIRMIZIChar"/>
                <w:rFonts w:eastAsia="Calibri"/>
              </w:rPr>
              <w:t>nın, 1</w:t>
            </w:r>
            <w:r w:rsidRPr="00A23740">
              <w:rPr>
                <w:b/>
                <w:strike/>
                <w:color w:val="FF0000"/>
                <w:szCs w:val="24"/>
              </w:rPr>
              <w:t>366 ncı maddede</w:t>
            </w:r>
            <w:r w:rsidRPr="00A23740">
              <w:rPr>
                <w:szCs w:val="24"/>
              </w:rPr>
              <w:t xml:space="preserve"> sayılan kurumlara bildirilmesi ve ihtiyati hacze dair sicil</w:t>
            </w:r>
            <w:r w:rsidRPr="005A4748">
              <w:rPr>
                <w:rStyle w:val="KIRMIZIChar"/>
                <w:rFonts w:eastAsia="Calibri"/>
              </w:rPr>
              <w:t xml:space="preserve">deki </w:t>
            </w:r>
            <w:r w:rsidRPr="005A4748">
              <w:t>kaydın</w:t>
            </w:r>
            <w:r w:rsidRPr="005A4748">
              <w:rPr>
                <w:rStyle w:val="KIRMIZIChar"/>
                <w:rFonts w:eastAsia="Calibri"/>
                <w:strike w:val="0"/>
              </w:rPr>
              <w:t xml:space="preserve"> </w:t>
            </w:r>
            <w:r w:rsidRPr="005A4748">
              <w:rPr>
                <w:rStyle w:val="KIRMIZIChar"/>
                <w:rFonts w:eastAsia="Calibri"/>
              </w:rPr>
              <w:t>silinmesi gereklidir.</w:t>
            </w:r>
          </w:p>
          <w:p w:rsidR="00A46C6E" w:rsidRPr="00A23740" w:rsidRDefault="00A46C6E" w:rsidP="009431FF">
            <w:pPr>
              <w:widowControl w:val="0"/>
              <w:rPr>
                <w:rFonts w:eastAsia="Times New Roman"/>
                <w:b/>
                <w:bCs/>
                <w:szCs w:val="24"/>
                <w:lang w:eastAsia="tr-TR"/>
              </w:rPr>
            </w:pPr>
          </w:p>
          <w:p w:rsidR="00A46C6E" w:rsidRPr="00A23740" w:rsidRDefault="00A46C6E" w:rsidP="009431FF">
            <w:pPr>
              <w:widowControl w:val="0"/>
              <w:rPr>
                <w:rFonts w:eastAsia="Times New Roman"/>
                <w:b/>
                <w:bCs/>
                <w:szCs w:val="24"/>
                <w:lang w:eastAsia="tr-TR"/>
              </w:rPr>
            </w:pPr>
          </w:p>
          <w:p w:rsidR="00A46C6E" w:rsidRPr="00A23740" w:rsidRDefault="00A46C6E" w:rsidP="009431FF">
            <w:pPr>
              <w:widowControl w:val="0"/>
              <w:rPr>
                <w:rFonts w:eastAsia="Times New Roman"/>
                <w:b/>
                <w:bCs/>
                <w:szCs w:val="24"/>
                <w:lang w:eastAsia="tr-TR"/>
              </w:rPr>
            </w:pP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a) Geminin değerinin depo edilmesi</w:t>
            </w: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MADDE 1370- (5) Bu Kitabın Yedinci Kısmı uyarınca uygulanması gereken milletlerarası sözleşmelerin hükümleri saklıdır.</w:t>
            </w:r>
          </w:p>
          <w:p w:rsidR="00A46C6E" w:rsidRPr="00A23740" w:rsidRDefault="00A46C6E" w:rsidP="009431FF">
            <w:pPr>
              <w:widowControl w:val="0"/>
              <w:rPr>
                <w:rFonts w:eastAsia="Times New Roman"/>
                <w:b/>
                <w:strike/>
                <w:color w:val="FF0000"/>
                <w:szCs w:val="24"/>
                <w:lang w:eastAsia="tr-TR"/>
              </w:rPr>
            </w:pPr>
          </w:p>
          <w:p w:rsidR="00A46C6E" w:rsidRPr="00A23740" w:rsidRDefault="00A46C6E" w:rsidP="009431FF">
            <w:pPr>
              <w:widowControl w:val="0"/>
              <w:rPr>
                <w:rFonts w:eastAsia="Times New Roman"/>
                <w:b/>
                <w:strike/>
                <w:color w:val="FF0000"/>
                <w:szCs w:val="24"/>
                <w:lang w:eastAsia="tr-TR"/>
              </w:rPr>
            </w:pPr>
            <w:r w:rsidRPr="00A23740">
              <w:rPr>
                <w:rFonts w:eastAsia="Times New Roman"/>
                <w:b/>
                <w:strike/>
                <w:color w:val="FF0000"/>
                <w:szCs w:val="24"/>
                <w:lang w:eastAsia="tr-TR"/>
              </w:rPr>
              <w:t>(2) Geminin, üzerindeki ihtiyati haciz devam etmek kaydıyla serbest bırakıldığının, 1366 ncı maddede sayılan kurumlara bildirilmesi ve sicildeki ihtiyati hacze dair kaydın korunması gereklidir.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b/>
                <w:strike/>
                <w:color w:val="FF0000"/>
                <w:szCs w:val="24"/>
                <w:lang w:eastAsia="tr-TR"/>
              </w:rPr>
              <w:t>(3) İhtiyati haczin devamı için açılan davanın sonunda, teminatın alacaklıya ödenmesine karar verilse bile, teminat olarak yatırılan para icra veznesinden çekilene kadar diğer deniz alacaklıları bu Kısım hükümlerine göre hacze katılabilir.</w:t>
            </w:r>
          </w:p>
        </w:tc>
        <w:tc>
          <w:tcPr>
            <w:tcW w:w="2500" w:type="pct"/>
            <w:shd w:val="clear" w:color="auto" w:fill="auto"/>
          </w:tcPr>
          <w:p w:rsidR="00A46C6E" w:rsidRPr="00A23740" w:rsidRDefault="00A46C6E" w:rsidP="009431FF">
            <w:pPr>
              <w:widowControl w:val="0"/>
              <w:tabs>
                <w:tab w:val="left" w:pos="567"/>
              </w:tabs>
              <w:rPr>
                <w:b/>
                <w:bCs/>
                <w:color w:val="0000FF"/>
                <w:szCs w:val="24"/>
                <w:lang w:eastAsia="x-none"/>
              </w:rPr>
            </w:pPr>
            <w:r w:rsidRPr="00A23740">
              <w:rPr>
                <w:b/>
                <w:bCs/>
                <w:color w:val="0000FF"/>
                <w:szCs w:val="24"/>
                <w:lang w:eastAsia="x-none"/>
              </w:rPr>
              <w:t xml:space="preserve">Geminin serbest bırakılması </w:t>
            </w:r>
          </w:p>
          <w:p w:rsidR="00A46C6E" w:rsidRPr="00A23740" w:rsidRDefault="00BC725A" w:rsidP="009431FF">
            <w:pPr>
              <w:widowControl w:val="0"/>
              <w:rPr>
                <w:rFonts w:eastAsia="Times New Roman"/>
                <w:szCs w:val="24"/>
                <w:lang w:eastAsia="tr-TR"/>
              </w:rPr>
            </w:pPr>
            <w:r w:rsidRPr="000F3FFB">
              <w:rPr>
                <w:rFonts w:eastAsia="Times New Roman"/>
                <w:b/>
                <w:bCs/>
                <w:color w:val="000000" w:themeColor="text1"/>
                <w:szCs w:val="24"/>
                <w:lang w:eastAsia="tr-TR"/>
              </w:rPr>
              <w:t xml:space="preserve">MADDE </w:t>
            </w:r>
            <w:r w:rsidRPr="00A23740">
              <w:rPr>
                <w:rFonts w:eastAsia="Times New Roman"/>
                <w:b/>
                <w:bCs/>
                <w:color w:val="0000FF"/>
                <w:szCs w:val="24"/>
                <w:lang w:eastAsia="tr-TR"/>
              </w:rPr>
              <w:t>502</w:t>
            </w:r>
            <w:r w:rsidR="00A46C6E" w:rsidRPr="00A23740">
              <w:rPr>
                <w:rFonts w:eastAsia="Times New Roman"/>
                <w:b/>
                <w:bCs/>
                <w:color w:val="0000FF"/>
                <w:szCs w:val="24"/>
                <w:lang w:eastAsia="tr-TR"/>
              </w:rPr>
              <w:t xml:space="preserve">- </w:t>
            </w:r>
            <w:r w:rsidR="00A46C6E" w:rsidRPr="000F3FFB">
              <w:t>(1)</w:t>
            </w:r>
            <w:r w:rsidR="00A46C6E" w:rsidRPr="00A23740">
              <w:rPr>
                <w:rFonts w:eastAsia="Times New Roman"/>
                <w:b/>
                <w:bCs/>
                <w:color w:val="0000FF"/>
                <w:szCs w:val="24"/>
                <w:lang w:eastAsia="tr-TR"/>
              </w:rPr>
              <w:t xml:space="preserve"> Bu maddenin ikinci fıkrasında düzenlenen hâller dışında</w:t>
            </w:r>
            <w:r w:rsidR="00A46C6E" w:rsidRPr="002E38C7">
              <w:rPr>
                <w:rStyle w:val="MaviChar"/>
              </w:rPr>
              <w:t>,</w:t>
            </w:r>
            <w:r w:rsidR="00A46C6E" w:rsidRPr="00A23740">
              <w:rPr>
                <w:rFonts w:eastAsia="Times New Roman"/>
                <w:b/>
                <w:bCs/>
                <w:color w:val="0000FF"/>
                <w:szCs w:val="24"/>
                <w:lang w:eastAsia="tr-TR"/>
              </w:rPr>
              <w:t xml:space="preserve"> uygun bir türde ve </w:t>
            </w:r>
            <w:r w:rsidR="00A46C6E" w:rsidRPr="00A23740">
              <w:rPr>
                <w:rFonts w:eastAsia="Times New Roman"/>
                <w:szCs w:val="24"/>
                <w:lang w:eastAsia="tr-TR"/>
              </w:rPr>
              <w:t>yeterli</w:t>
            </w:r>
            <w:r w:rsidR="00A46C6E" w:rsidRPr="00A23740">
              <w:rPr>
                <w:rFonts w:eastAsia="Times New Roman"/>
                <w:b/>
                <w:bCs/>
                <w:color w:val="0000FF"/>
                <w:szCs w:val="24"/>
                <w:lang w:eastAsia="tr-TR"/>
              </w:rPr>
              <w:t xml:space="preserve"> miktarda</w:t>
            </w:r>
            <w:r w:rsidR="00A46C6E" w:rsidRPr="00A23740">
              <w:rPr>
                <w:rFonts w:eastAsia="Times New Roman"/>
                <w:szCs w:val="24"/>
                <w:lang w:eastAsia="tr-TR"/>
              </w:rPr>
              <w:t xml:space="preserve"> teminat</w:t>
            </w:r>
            <w:r w:rsidR="00A46C6E" w:rsidRPr="00A23740">
              <w:rPr>
                <w:rFonts w:eastAsia="Times New Roman"/>
                <w:b/>
                <w:bCs/>
                <w:color w:val="0000FF"/>
                <w:szCs w:val="24"/>
                <w:lang w:eastAsia="tr-TR"/>
              </w:rPr>
              <w:t xml:space="preserve">ın verilmesi karşılığında mahkemece gemi üzerindeki </w:t>
            </w:r>
            <w:r w:rsidR="00A46C6E" w:rsidRPr="00A23740">
              <w:rPr>
                <w:rFonts w:eastAsia="Times New Roman"/>
                <w:szCs w:val="24"/>
                <w:lang w:eastAsia="tr-TR"/>
              </w:rPr>
              <w:t>ihtiyati haczin kaldırılması</w:t>
            </w:r>
            <w:r w:rsidR="00A46C6E" w:rsidRPr="00A23740">
              <w:rPr>
                <w:rFonts w:eastAsia="Times New Roman"/>
                <w:b/>
                <w:bCs/>
                <w:color w:val="0000FF"/>
                <w:szCs w:val="24"/>
                <w:lang w:eastAsia="tr-TR"/>
              </w:rPr>
              <w:t>na karar verilir.</w:t>
            </w:r>
            <w:r w:rsidR="00A46C6E" w:rsidRPr="00A23740">
              <w:rPr>
                <w:rFonts w:eastAsia="Times New Roman"/>
                <w:szCs w:val="24"/>
                <w:lang w:eastAsia="tr-TR"/>
              </w:rPr>
              <w:t xml:space="preserve"> Takibe başlandıktan sonra</w:t>
            </w:r>
            <w:r w:rsidR="00A46C6E" w:rsidRPr="00A23740">
              <w:rPr>
                <w:rFonts w:eastAsia="Times New Roman"/>
                <w:b/>
                <w:bCs/>
                <w:color w:val="0000FF"/>
                <w:szCs w:val="24"/>
                <w:lang w:eastAsia="tr-TR"/>
              </w:rPr>
              <w:t xml:space="preserve"> dahi bu yetki ihtiyati haciz kararı veren mahkemeye aittir.</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tr-TR"/>
              </w:rPr>
              <w:t xml:space="preserve">(2) </w:t>
            </w:r>
            <w:r w:rsidR="00027CBE" w:rsidRPr="00F257EC">
              <w:rPr>
                <w:rFonts w:eastAsia="Times New Roman"/>
                <w:b/>
                <w:bCs/>
                <w:color w:val="0000FF"/>
                <w:szCs w:val="24"/>
                <w:lang w:eastAsia="tr-TR"/>
              </w:rPr>
              <w:t>Bu Kanunun</w:t>
            </w:r>
            <w:r w:rsidRPr="00F257EC">
              <w:rPr>
                <w:rFonts w:eastAsia="Times New Roman"/>
                <w:b/>
                <w:bCs/>
                <w:color w:val="0000FF"/>
                <w:szCs w:val="24"/>
                <w:lang w:eastAsia="tr-TR"/>
              </w:rPr>
              <w:t xml:space="preserve"> </w:t>
            </w:r>
            <w:r w:rsidR="00796522" w:rsidRPr="00F257EC">
              <w:rPr>
                <w:rStyle w:val="KonuBalChar"/>
                <w:rFonts w:eastAsia="Calibri"/>
                <w:color w:val="0000FF"/>
              </w:rPr>
              <w:t>493 üncü</w:t>
            </w:r>
            <w:r w:rsidR="00796522" w:rsidRPr="00A23740">
              <w:rPr>
                <w:rFonts w:eastAsia="Times New Roman"/>
                <w:b/>
                <w:bCs/>
                <w:color w:val="0000FF"/>
                <w:szCs w:val="24"/>
                <w:lang w:eastAsia="tr-TR"/>
              </w:rPr>
              <w:t xml:space="preserve"> </w:t>
            </w:r>
            <w:r w:rsidRPr="00A23740">
              <w:rPr>
                <w:b/>
                <w:bCs/>
                <w:color w:val="0000FF"/>
                <w:lang w:val="x-none" w:eastAsia="x-none"/>
              </w:rPr>
              <w:t>maddenin</w:t>
            </w:r>
            <w:r w:rsidRPr="00A23740">
              <w:rPr>
                <w:rFonts w:eastAsia="Times New Roman"/>
                <w:b/>
                <w:bCs/>
                <w:color w:val="0000FF"/>
                <w:szCs w:val="24"/>
                <w:lang w:eastAsia="tr-TR"/>
              </w:rPr>
              <w:t xml:space="preserve"> birinci fıkrasının (ö) ve (p) bentlerinde sayılan deniz alacaklarından herhangi biri sebebiyle</w:t>
            </w:r>
            <w:r w:rsidR="00027CBE" w:rsidRPr="00A23740">
              <w:rPr>
                <w:rFonts w:eastAsia="Times New Roman"/>
                <w:b/>
                <w:bCs/>
                <w:color w:val="0000FF"/>
                <w:szCs w:val="24"/>
                <w:lang w:eastAsia="tr-TR"/>
              </w:rPr>
              <w:t xml:space="preserve"> </w:t>
            </w:r>
            <w:r w:rsidR="00027CBE" w:rsidRPr="00F257EC">
              <w:rPr>
                <w:rFonts w:eastAsia="Times New Roman"/>
                <w:b/>
                <w:bCs/>
                <w:color w:val="0000FF"/>
                <w:szCs w:val="24"/>
                <w:lang w:eastAsia="tr-TR"/>
              </w:rPr>
              <w:t>geminin</w:t>
            </w:r>
            <w:r w:rsidRPr="00A23740">
              <w:rPr>
                <w:rFonts w:eastAsia="Times New Roman"/>
                <w:b/>
                <w:bCs/>
                <w:color w:val="0000FF"/>
                <w:szCs w:val="24"/>
                <w:lang w:eastAsia="tr-TR"/>
              </w:rPr>
              <w:t xml:space="preserve"> ihtiyaten haczinde, geminin zilyedi olan kişinin yeterli teminat göstermesi h</w:t>
            </w:r>
            <w:r w:rsidR="00605233" w:rsidRPr="00A23740">
              <w:rPr>
                <w:rFonts w:eastAsia="Times New Roman"/>
                <w:b/>
                <w:bCs/>
                <w:color w:val="0000FF"/>
                <w:szCs w:val="24"/>
                <w:lang w:eastAsia="tr-TR"/>
              </w:rPr>
              <w:t>â</w:t>
            </w:r>
            <w:r w:rsidRPr="00A23740">
              <w:rPr>
                <w:rFonts w:eastAsia="Times New Roman"/>
                <w:b/>
                <w:bCs/>
                <w:color w:val="0000FF"/>
                <w:szCs w:val="24"/>
                <w:lang w:eastAsia="tr-TR"/>
              </w:rPr>
              <w:t>linde ve ihtiyati haciz saklı kalmak üzere geminin işletilmesi veya bir başka şekilde kullanılması için serbest bırakılmasına mahkemece karar verilebilir</w:t>
            </w:r>
            <w:r w:rsidRPr="00A23740">
              <w:rPr>
                <w:rFonts w:eastAsia="Times New Roman"/>
                <w:szCs w:val="24"/>
                <w:lang w:eastAsia="tr-TR"/>
              </w:rPr>
              <w:t>.</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Default="00A46C6E" w:rsidP="009431FF">
            <w:pPr>
              <w:widowControl w:val="0"/>
              <w:rPr>
                <w:rFonts w:eastAsia="Times New Roman"/>
                <w:szCs w:val="24"/>
                <w:lang w:eastAsia="tr-TR"/>
              </w:rPr>
            </w:pPr>
          </w:p>
          <w:p w:rsidR="00A46C6E" w:rsidRDefault="00A46C6E" w:rsidP="009431FF">
            <w:pPr>
              <w:widowControl w:val="0"/>
              <w:rPr>
                <w:rFonts w:eastAsia="Times New Roman"/>
                <w:szCs w:val="24"/>
                <w:lang w:eastAsia="tr-TR"/>
              </w:rPr>
            </w:pPr>
          </w:p>
          <w:p w:rsidR="00A5551D" w:rsidRPr="00A23740" w:rsidRDefault="00A5551D"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tr-TR"/>
              </w:rPr>
              <w:t>(3) Birinci ve ikinci fıkralar</w:t>
            </w:r>
            <w:r w:rsidRPr="00A23740">
              <w:rPr>
                <w:rFonts w:eastAsia="Times New Roman"/>
                <w:bCs/>
                <w:color w:val="0000FF"/>
                <w:lang w:eastAsia="tr-TR"/>
              </w:rPr>
              <w:t xml:space="preserve"> </w:t>
            </w:r>
            <w:r w:rsidRPr="00A23740">
              <w:rPr>
                <w:rFonts w:eastAsia="Times New Roman"/>
                <w:b/>
                <w:bCs/>
                <w:color w:val="0000FF"/>
                <w:szCs w:val="24"/>
                <w:lang w:eastAsia="tr-TR"/>
              </w:rPr>
              <w:t xml:space="preserve">uyarınca verilecek </w:t>
            </w:r>
            <w:r w:rsidRPr="00A23740">
              <w:rPr>
                <w:szCs w:val="24"/>
              </w:rPr>
              <w:t>teminatın tür</w:t>
            </w:r>
            <w:r w:rsidRPr="00A23740">
              <w:rPr>
                <w:rFonts w:eastAsia="Times New Roman"/>
                <w:b/>
                <w:bCs/>
                <w:color w:val="0000FF"/>
                <w:szCs w:val="24"/>
                <w:lang w:eastAsia="tr-TR"/>
              </w:rPr>
              <w:t>ü</w:t>
            </w:r>
            <w:r w:rsidRPr="00A23740">
              <w:rPr>
                <w:szCs w:val="24"/>
              </w:rPr>
              <w:t xml:space="preserve"> ve miktarı</w:t>
            </w:r>
            <w:r w:rsidRPr="00A23740">
              <w:rPr>
                <w:rFonts w:eastAsia="Times New Roman"/>
                <w:b/>
                <w:bCs/>
                <w:color w:val="0000FF"/>
                <w:szCs w:val="24"/>
                <w:lang w:eastAsia="tr-TR"/>
              </w:rPr>
              <w:t xml:space="preserve"> taraflarca</w:t>
            </w:r>
            <w:r w:rsidRPr="00A23740">
              <w:rPr>
                <w:szCs w:val="24"/>
              </w:rPr>
              <w:t xml:space="preserve"> kararlaştırılabilir. </w:t>
            </w:r>
            <w:r w:rsidRPr="00A23740">
              <w:rPr>
                <w:rFonts w:eastAsia="Times New Roman"/>
                <w:b/>
                <w:bCs/>
                <w:color w:val="0000FF"/>
                <w:szCs w:val="24"/>
                <w:lang w:eastAsia="tr-TR"/>
              </w:rPr>
              <w:t>Tarafların teminatın türü ve miktarı hakkında anlaşamaması hâlinde, mahkeme, ihtiyaten haczedilen geminin değerini geçmemek kaydıyla deniz alacağının tutarı, faizi ve giderleri toplamına göre teminatın miktarı ve türünü belirler.</w:t>
            </w:r>
          </w:p>
          <w:p w:rsidR="00A46C6E" w:rsidRDefault="00A46C6E" w:rsidP="009431FF">
            <w:pPr>
              <w:widowControl w:val="0"/>
              <w:rPr>
                <w:rFonts w:eastAsia="Times New Roman"/>
                <w:b/>
                <w:bCs/>
                <w:color w:val="0000FF"/>
                <w:szCs w:val="24"/>
                <w:lang w:eastAsia="tr-TR"/>
              </w:rPr>
            </w:pPr>
          </w:p>
          <w:p w:rsidR="002A27F8" w:rsidRPr="00A23740" w:rsidRDefault="002A27F8" w:rsidP="009431FF">
            <w:pPr>
              <w:widowControl w:val="0"/>
              <w:rPr>
                <w:rFonts w:eastAsia="Times New Roman"/>
                <w:b/>
                <w:bCs/>
                <w:color w:val="0000FF"/>
                <w:szCs w:val="24"/>
                <w:lang w:eastAsia="tr-TR"/>
              </w:rPr>
            </w:pPr>
          </w:p>
          <w:p w:rsidR="00A46C6E" w:rsidRPr="00A23740" w:rsidRDefault="00A46C6E" w:rsidP="009431FF">
            <w:pPr>
              <w:widowControl w:val="0"/>
              <w:rPr>
                <w:rFonts w:eastAsia="Times New Roman"/>
                <w:b/>
                <w:bCs/>
                <w:color w:val="0000FF"/>
                <w:szCs w:val="24"/>
                <w:lang w:eastAsia="tr-TR"/>
              </w:rPr>
            </w:pPr>
            <w:r w:rsidRPr="00A23740">
              <w:rPr>
                <w:rFonts w:eastAsia="Times New Roman"/>
                <w:b/>
                <w:bCs/>
                <w:color w:val="0000FF"/>
                <w:szCs w:val="24"/>
                <w:lang w:eastAsia="tr-TR"/>
              </w:rPr>
              <w:t xml:space="preserve">(4) Birinci ve ikinci fıkralar gereğince yatırılan </w:t>
            </w:r>
            <w:r w:rsidRPr="00A23740">
              <w:rPr>
                <w:szCs w:val="24"/>
              </w:rPr>
              <w:t>teminat</w:t>
            </w:r>
            <w:r w:rsidRPr="00A23740">
              <w:rPr>
                <w:rFonts w:eastAsia="Times New Roman"/>
                <w:b/>
                <w:bCs/>
                <w:color w:val="0000FF"/>
                <w:lang w:eastAsia="tr-TR"/>
              </w:rPr>
              <w:t>,</w:t>
            </w:r>
            <w:r w:rsidRPr="00A23740">
              <w:rPr>
                <w:szCs w:val="24"/>
              </w:rPr>
              <w:t xml:space="preserve"> </w:t>
            </w:r>
            <w:r w:rsidRPr="00A23740">
              <w:rPr>
                <w:rFonts w:eastAsia="Times New Roman"/>
                <w:b/>
                <w:bCs/>
                <w:color w:val="0000FF"/>
                <w:szCs w:val="24"/>
                <w:lang w:eastAsia="tr-TR"/>
              </w:rPr>
              <w:t>hiçbir</w:t>
            </w:r>
            <w:r w:rsidRPr="00A23740">
              <w:rPr>
                <w:szCs w:val="24"/>
              </w:rPr>
              <w:t xml:space="preserve"> </w:t>
            </w:r>
            <w:r w:rsidRPr="000F3FFB">
              <w:rPr>
                <w:rStyle w:val="Balk1Char"/>
                <w:rFonts w:eastAsia="Calibri"/>
              </w:rPr>
              <w:t>alacaklı tarafından haczettirilemez</w:t>
            </w:r>
            <w:r w:rsidRPr="00A23740">
              <w:rPr>
                <w:rFonts w:eastAsia="Times New Roman"/>
                <w:b/>
                <w:bCs/>
                <w:color w:val="0000FF"/>
                <w:szCs w:val="24"/>
                <w:lang w:eastAsia="tr-TR"/>
              </w:rPr>
              <w:t>.</w:t>
            </w:r>
          </w:p>
          <w:p w:rsidR="00A46C6E" w:rsidRPr="00A23740" w:rsidRDefault="00A46C6E" w:rsidP="009431FF">
            <w:pPr>
              <w:widowControl w:val="0"/>
              <w:rPr>
                <w:rFonts w:eastAsia="Times New Roman"/>
                <w:b/>
                <w:bCs/>
                <w:color w:val="FF0000"/>
                <w:szCs w:val="24"/>
                <w:lang w:eastAsia="tr-TR"/>
              </w:rPr>
            </w:pPr>
          </w:p>
          <w:p w:rsidR="005468D1" w:rsidRPr="00A23740" w:rsidRDefault="005468D1" w:rsidP="009431FF">
            <w:pPr>
              <w:widowControl w:val="0"/>
              <w:rPr>
                <w:rFonts w:eastAsia="Times New Roman"/>
                <w:b/>
                <w:bCs/>
                <w:color w:val="FF0000"/>
                <w:szCs w:val="24"/>
                <w:lang w:eastAsia="tr-TR"/>
              </w:rPr>
            </w:pPr>
          </w:p>
          <w:p w:rsidR="005468D1" w:rsidRDefault="005468D1" w:rsidP="009431FF">
            <w:pPr>
              <w:widowControl w:val="0"/>
              <w:rPr>
                <w:rFonts w:eastAsia="Times New Roman"/>
                <w:b/>
                <w:bCs/>
                <w:color w:val="0000FF"/>
                <w:szCs w:val="24"/>
                <w:lang w:eastAsia="tr-TR"/>
              </w:rPr>
            </w:pPr>
          </w:p>
          <w:p w:rsidR="002A27F8" w:rsidRDefault="002A27F8" w:rsidP="009431FF">
            <w:pPr>
              <w:widowControl w:val="0"/>
              <w:rPr>
                <w:rFonts w:eastAsia="Times New Roman"/>
                <w:b/>
                <w:bCs/>
                <w:color w:val="0000FF"/>
                <w:szCs w:val="24"/>
                <w:lang w:eastAsia="tr-TR"/>
              </w:rPr>
            </w:pPr>
          </w:p>
          <w:p w:rsidR="002A27F8" w:rsidRPr="00A23740" w:rsidRDefault="002A27F8" w:rsidP="009431FF">
            <w:pPr>
              <w:widowControl w:val="0"/>
              <w:rPr>
                <w:rFonts w:eastAsia="Times New Roman"/>
                <w:b/>
                <w:bCs/>
                <w:color w:val="0000FF"/>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tr-TR"/>
              </w:rPr>
              <w:t>(5) Bir</w:t>
            </w:r>
            <w:r w:rsidRPr="00A23740">
              <w:rPr>
                <w:szCs w:val="24"/>
              </w:rPr>
              <w:tab/>
              <w:t>geminin serbest bırakılması için teminat verilmesi</w:t>
            </w:r>
            <w:r w:rsidRPr="00A23740">
              <w:rPr>
                <w:rFonts w:eastAsia="Times New Roman"/>
                <w:b/>
                <w:bCs/>
                <w:color w:val="0000FF"/>
                <w:szCs w:val="24"/>
                <w:lang w:eastAsia="tr-TR"/>
              </w:rPr>
              <w:t>ne yönelik başvuru,</w:t>
            </w:r>
            <w:r w:rsidRPr="00A23740">
              <w:rPr>
                <w:szCs w:val="24"/>
              </w:rPr>
              <w:t xml:space="preserve"> sorumluluğun kabul </w:t>
            </w:r>
            <w:r w:rsidRPr="00A23740">
              <w:rPr>
                <w:rFonts w:eastAsia="Times New Roman"/>
                <w:b/>
                <w:bCs/>
                <w:color w:val="0000FF"/>
                <w:szCs w:val="24"/>
                <w:lang w:eastAsia="tr-TR"/>
              </w:rPr>
              <w:t xml:space="preserve">edilmesi </w:t>
            </w:r>
            <w:r w:rsidRPr="00A23740">
              <w:rPr>
                <w:szCs w:val="24"/>
              </w:rPr>
              <w:t>veya herhangi bir</w:t>
            </w:r>
            <w:r w:rsidRPr="00A23740">
              <w:rPr>
                <w:rFonts w:eastAsia="Times New Roman"/>
                <w:b/>
                <w:bCs/>
                <w:color w:val="0000FF"/>
                <w:szCs w:val="24"/>
                <w:lang w:eastAsia="tr-TR"/>
              </w:rPr>
              <w:t xml:space="preserve"> savunmadan ya da </w:t>
            </w:r>
            <w:r w:rsidRPr="00A23740">
              <w:rPr>
                <w:szCs w:val="24"/>
              </w:rPr>
              <w:t>sorumluluğun sınırlandırılması hakkından</w:t>
            </w:r>
            <w:r w:rsidRPr="00A23740">
              <w:rPr>
                <w:rFonts w:eastAsia="Times New Roman"/>
                <w:b/>
                <w:bCs/>
                <w:color w:val="0000FF"/>
                <w:szCs w:val="24"/>
                <w:lang w:eastAsia="tr-TR"/>
              </w:rPr>
              <w:t xml:space="preserve"> feragat edilmesi anlamına gelmez.</w:t>
            </w:r>
          </w:p>
          <w:p w:rsidR="00A46C6E" w:rsidRPr="00A23740" w:rsidRDefault="00A46C6E" w:rsidP="009431FF">
            <w:pPr>
              <w:widowControl w:val="0"/>
              <w:rPr>
                <w:rFonts w:eastAsia="Times New Roman"/>
                <w:b/>
                <w:strike/>
                <w:color w:val="FF0000"/>
                <w:szCs w:val="24"/>
                <w:lang w:eastAsia="tr-TR"/>
              </w:rPr>
            </w:pPr>
          </w:p>
          <w:p w:rsidR="00A46C6E" w:rsidRPr="00A23740" w:rsidRDefault="00A46C6E" w:rsidP="009431FF">
            <w:pPr>
              <w:widowControl w:val="0"/>
              <w:rPr>
                <w:rFonts w:eastAsia="Times New Roman"/>
                <w:b/>
                <w:bCs/>
                <w:color w:val="0000FF"/>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b/>
                <w:bCs/>
                <w:color w:val="0000FF"/>
                <w:szCs w:val="24"/>
                <w:lang w:eastAsia="tr-TR"/>
              </w:rPr>
              <w:t xml:space="preserve">(6) Birinci ve ikinci fıkralar </w:t>
            </w:r>
            <w:r w:rsidRPr="000F3FFB">
              <w:rPr>
                <w:rFonts w:eastAsia="Times New Roman"/>
                <w:bCs/>
                <w:color w:val="000000" w:themeColor="text1"/>
                <w:szCs w:val="24"/>
                <w:lang w:eastAsia="tr-TR"/>
              </w:rPr>
              <w:t>uyarınca</w:t>
            </w:r>
            <w:r w:rsidRPr="000F3FFB">
              <w:rPr>
                <w:rFonts w:eastAsia="Times New Roman"/>
                <w:b/>
                <w:bCs/>
                <w:color w:val="000000" w:themeColor="text1"/>
                <w:szCs w:val="24"/>
                <w:lang w:eastAsia="tr-TR"/>
              </w:rPr>
              <w:t xml:space="preserve"> </w:t>
            </w:r>
            <w:r w:rsidRPr="00A23740">
              <w:rPr>
                <w:szCs w:val="24"/>
              </w:rPr>
              <w:t>teminat veren kişi</w:t>
            </w:r>
            <w:r w:rsidRPr="00A23740">
              <w:rPr>
                <w:rFonts w:eastAsia="Times New Roman"/>
                <w:b/>
                <w:bCs/>
                <w:color w:val="0000FF"/>
                <w:szCs w:val="24"/>
                <w:lang w:eastAsia="tr-TR"/>
              </w:rPr>
              <w:t>,</w:t>
            </w:r>
            <w:r w:rsidRPr="00A23740">
              <w:rPr>
                <w:szCs w:val="24"/>
              </w:rPr>
              <w:t xml:space="preserve"> bu teminatın miktarının azaltılması, türünün değiştirilmesi veya</w:t>
            </w:r>
            <w:r w:rsidRPr="00A23740">
              <w:rPr>
                <w:rFonts w:eastAsia="Times New Roman"/>
                <w:b/>
                <w:bCs/>
                <w:color w:val="0000FF"/>
                <w:szCs w:val="24"/>
                <w:lang w:eastAsia="tr-TR"/>
              </w:rPr>
              <w:t xml:space="preserve"> kaldırılması </w:t>
            </w:r>
            <w:r w:rsidRPr="00A23740">
              <w:rPr>
                <w:szCs w:val="24"/>
              </w:rPr>
              <w:t xml:space="preserve">için </w:t>
            </w:r>
            <w:r w:rsidRPr="00A23740">
              <w:rPr>
                <w:rFonts w:eastAsia="Times New Roman"/>
                <w:b/>
                <w:bCs/>
                <w:color w:val="0000FF"/>
                <w:szCs w:val="24"/>
                <w:lang w:eastAsia="tr-TR"/>
              </w:rPr>
              <w:t>her zaman</w:t>
            </w:r>
            <w:r w:rsidRPr="00A23740">
              <w:rPr>
                <w:szCs w:val="24"/>
              </w:rPr>
              <w:t xml:space="preserve"> mahkemeye başvurabilir.</w:t>
            </w:r>
          </w:p>
          <w:p w:rsidR="00A46C6E" w:rsidRPr="00A23740" w:rsidRDefault="00A46C6E" w:rsidP="009431FF">
            <w:pPr>
              <w:widowControl w:val="0"/>
              <w:rPr>
                <w:rFonts w:eastAsia="Times New Roman"/>
                <w:b/>
                <w:bCs/>
                <w:color w:val="0000FF"/>
                <w:lang w:eastAsia="tr-TR"/>
              </w:rPr>
            </w:pPr>
          </w:p>
          <w:p w:rsidR="00A46C6E" w:rsidRPr="00A23740" w:rsidRDefault="00A46C6E" w:rsidP="009431FF">
            <w:pPr>
              <w:widowControl w:val="0"/>
              <w:rPr>
                <w:rFonts w:eastAsia="Times New Roman"/>
                <w:b/>
                <w:bCs/>
                <w:color w:val="0000FF"/>
                <w:lang w:eastAsia="tr-TR"/>
              </w:rPr>
            </w:pPr>
          </w:p>
          <w:p w:rsidR="00A46C6E" w:rsidRPr="00A23740" w:rsidRDefault="00A46C6E" w:rsidP="009431FF">
            <w:pPr>
              <w:widowControl w:val="0"/>
              <w:rPr>
                <w:szCs w:val="24"/>
              </w:rPr>
            </w:pPr>
            <w:r w:rsidRPr="00A23740">
              <w:rPr>
                <w:rFonts w:eastAsia="Times New Roman"/>
                <w:b/>
                <w:bCs/>
                <w:color w:val="0000FF"/>
                <w:szCs w:val="24"/>
                <w:lang w:eastAsia="tr-TR"/>
              </w:rPr>
              <w:t>(7)</w:t>
            </w:r>
            <w:r w:rsidRPr="00A23740">
              <w:rPr>
                <w:szCs w:val="24"/>
              </w:rPr>
              <w:t xml:space="preserve"> Geminin ihtiyati haczinin kaldırıldığı</w:t>
            </w:r>
            <w:r w:rsidRPr="00A23740">
              <w:rPr>
                <w:rFonts w:eastAsia="Times New Roman"/>
                <w:b/>
                <w:bCs/>
                <w:color w:val="0000FF"/>
                <w:szCs w:val="24"/>
                <w:lang w:eastAsia="tr-TR"/>
              </w:rPr>
              <w:t xml:space="preserve"> veya ihtiyati haciz devam etmek kaydıyla geminin serbest bırakıldığı</w:t>
            </w:r>
            <w:r w:rsidRPr="00A23740">
              <w:rPr>
                <w:rFonts w:eastAsia="Times New Roman"/>
                <w:b/>
                <w:bCs/>
                <w:color w:val="0000FF"/>
                <w:lang w:eastAsia="tr-TR"/>
              </w:rPr>
              <w:t>,</w:t>
            </w:r>
            <w:r w:rsidRPr="00A23740">
              <w:rPr>
                <w:b/>
                <w:bCs/>
                <w:color w:val="FF0000"/>
                <w:lang w:val="x-none" w:eastAsia="x-none"/>
              </w:rPr>
              <w:t xml:space="preserve"> </w:t>
            </w:r>
            <w:r w:rsidRPr="00A23740">
              <w:rPr>
                <w:rFonts w:eastAsia="Times New Roman"/>
                <w:b/>
                <w:bCs/>
                <w:color w:val="0000FF"/>
                <w:szCs w:val="24"/>
                <w:lang w:eastAsia="tr-TR"/>
              </w:rPr>
              <w:t xml:space="preserve">mahkemece </w:t>
            </w:r>
            <w:r w:rsidR="00796522" w:rsidRPr="00F257EC">
              <w:rPr>
                <w:rStyle w:val="KonuBalChar"/>
                <w:rFonts w:eastAsia="Calibri"/>
                <w:color w:val="0000FF"/>
              </w:rPr>
              <w:t>498 inci</w:t>
            </w:r>
            <w:r w:rsidR="00796522" w:rsidRPr="00A23740">
              <w:rPr>
                <w:rFonts w:eastAsia="Times New Roman"/>
                <w:b/>
                <w:bCs/>
                <w:color w:val="0000FF"/>
                <w:szCs w:val="24"/>
                <w:lang w:eastAsia="tr-TR"/>
              </w:rPr>
              <w:t xml:space="preserve"> </w:t>
            </w:r>
            <w:r w:rsidRPr="00A23740">
              <w:rPr>
                <w:rFonts w:eastAsia="Times New Roman"/>
                <w:b/>
                <w:bCs/>
                <w:color w:val="0000FF"/>
                <w:szCs w:val="24"/>
                <w:lang w:eastAsia="tr-TR"/>
              </w:rPr>
              <w:t xml:space="preserve">maddenin beşinci fıkrasında </w:t>
            </w:r>
            <w:r w:rsidRPr="00A23740">
              <w:rPr>
                <w:szCs w:val="24"/>
              </w:rPr>
              <w:t xml:space="preserve">sayılan kurumlara </w:t>
            </w:r>
            <w:r w:rsidRPr="00A23740">
              <w:rPr>
                <w:rFonts w:eastAsia="Times New Roman"/>
                <w:b/>
                <w:bCs/>
                <w:color w:val="0000FF"/>
                <w:szCs w:val="24"/>
                <w:lang w:eastAsia="tr-TR"/>
              </w:rPr>
              <w:t>derh</w:t>
            </w:r>
            <w:r w:rsidR="00DF22A1" w:rsidRPr="00A23740">
              <w:rPr>
                <w:rFonts w:eastAsia="Times New Roman"/>
                <w:b/>
                <w:bCs/>
                <w:color w:val="0000FF"/>
                <w:szCs w:val="24"/>
                <w:lang w:eastAsia="tr-TR"/>
              </w:rPr>
              <w:t>â</w:t>
            </w:r>
            <w:r w:rsidRPr="00A23740">
              <w:rPr>
                <w:rFonts w:eastAsia="Times New Roman"/>
                <w:b/>
                <w:bCs/>
                <w:color w:val="0000FF"/>
                <w:szCs w:val="24"/>
                <w:lang w:eastAsia="tr-TR"/>
              </w:rPr>
              <w:t>l bildirilir</w:t>
            </w:r>
            <w:r w:rsidRPr="00A23740">
              <w:rPr>
                <w:szCs w:val="24"/>
              </w:rPr>
              <w:t xml:space="preserve"> ve </w:t>
            </w:r>
            <w:r w:rsidRPr="00A23740">
              <w:rPr>
                <w:rFonts w:eastAsia="Times New Roman"/>
                <w:b/>
                <w:bCs/>
                <w:color w:val="0000FF"/>
                <w:szCs w:val="24"/>
                <w:lang w:eastAsia="tr-TR"/>
              </w:rPr>
              <w:t xml:space="preserve">ihtiyati haczin kaldırıldığına dair bildirim üzerine </w:t>
            </w:r>
            <w:r w:rsidRPr="00F257EC">
              <w:rPr>
                <w:rFonts w:eastAsia="Times New Roman"/>
                <w:b/>
                <w:bCs/>
                <w:color w:val="0000FF"/>
                <w:szCs w:val="24"/>
                <w:lang w:eastAsia="tr-TR"/>
              </w:rPr>
              <w:t>gemi</w:t>
            </w:r>
            <w:r w:rsidRPr="00A23740">
              <w:rPr>
                <w:rFonts w:eastAsia="Times New Roman"/>
                <w:b/>
                <w:bCs/>
                <w:color w:val="0000FF"/>
                <w:szCs w:val="24"/>
                <w:lang w:eastAsia="tr-TR"/>
              </w:rPr>
              <w:t xml:space="preserve"> sicil müdürlüğü </w:t>
            </w:r>
            <w:r w:rsidRPr="00A23740">
              <w:rPr>
                <w:szCs w:val="24"/>
              </w:rPr>
              <w:t xml:space="preserve">ihtiyati hacze dair </w:t>
            </w:r>
            <w:r w:rsidRPr="005A4748">
              <w:t>sicil</w:t>
            </w:r>
            <w:r w:rsidRPr="00A23740">
              <w:rPr>
                <w:rFonts w:eastAsia="Times New Roman"/>
                <w:bCs/>
                <w:color w:val="0000FF"/>
                <w:lang w:eastAsia="tr-TR"/>
              </w:rPr>
              <w:t xml:space="preserve"> </w:t>
            </w:r>
            <w:r w:rsidRPr="005A4748">
              <w:t>kaydın</w:t>
            </w:r>
            <w:r w:rsidRPr="00A23740">
              <w:rPr>
                <w:rFonts w:eastAsia="Times New Roman"/>
                <w:b/>
                <w:bCs/>
                <w:color w:val="0000FF"/>
                <w:szCs w:val="24"/>
                <w:lang w:eastAsia="tr-TR"/>
              </w:rPr>
              <w:t>ı</w:t>
            </w:r>
            <w:r w:rsidRPr="00A23740">
              <w:rPr>
                <w:rFonts w:eastAsia="Times New Roman"/>
                <w:bCs/>
                <w:color w:val="0000FF"/>
                <w:lang w:eastAsia="tr-TR"/>
              </w:rPr>
              <w:t xml:space="preserve"> </w:t>
            </w:r>
            <w:r w:rsidRPr="00A23740">
              <w:rPr>
                <w:rFonts w:eastAsia="Times New Roman"/>
                <w:b/>
                <w:bCs/>
                <w:color w:val="0000FF"/>
                <w:szCs w:val="24"/>
                <w:lang w:eastAsia="tr-TR"/>
              </w:rPr>
              <w:t>terkin</w:t>
            </w:r>
            <w:r w:rsidRPr="00A23740">
              <w:rPr>
                <w:rFonts w:eastAsia="Times New Roman"/>
                <w:bCs/>
                <w:color w:val="0000FF"/>
                <w:lang w:eastAsia="tr-TR"/>
              </w:rPr>
              <w:t xml:space="preserve"> </w:t>
            </w:r>
            <w:r w:rsidRPr="00A23740">
              <w:rPr>
                <w:rFonts w:eastAsia="Times New Roman"/>
                <w:b/>
                <w:bCs/>
                <w:color w:val="0000FF"/>
                <w:szCs w:val="24"/>
                <w:lang w:eastAsia="tr-TR"/>
              </w:rPr>
              <w:t xml:space="preserve">eder. </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bCs/>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87" w:name="_Hlk134342259"/>
          </w:p>
          <w:p w:rsidR="00A46C6E" w:rsidRPr="00A23740" w:rsidRDefault="00BC725A" w:rsidP="009431FF">
            <w:pPr>
              <w:ind w:firstLine="709"/>
              <w:rPr>
                <w:rFonts w:eastAsia="Times New Roman"/>
                <w:b/>
                <w:bCs/>
                <w:szCs w:val="24"/>
                <w:lang w:eastAsia="tr-TR"/>
              </w:rPr>
            </w:pPr>
            <w:r w:rsidRPr="00A23740">
              <w:rPr>
                <w:rFonts w:eastAsia="Times New Roman"/>
                <w:b/>
                <w:bCs/>
                <w:szCs w:val="24"/>
                <w:lang w:eastAsia="tr-TR"/>
              </w:rPr>
              <w:t>MADDE 502</w:t>
            </w:r>
            <w:r w:rsidR="00A46C6E" w:rsidRPr="00A23740">
              <w:rPr>
                <w:rFonts w:eastAsia="Times New Roman"/>
                <w:b/>
                <w:bCs/>
                <w:szCs w:val="24"/>
                <w:lang w:eastAsia="tr-TR"/>
              </w:rPr>
              <w:t xml:space="preserve">- </w:t>
            </w:r>
            <w:bookmarkStart w:id="88" w:name="_Hlk172877343"/>
            <w:r w:rsidR="00A46C6E" w:rsidRPr="00A23740">
              <w:rPr>
                <w:bCs/>
                <w:szCs w:val="24"/>
                <w:lang w:eastAsia="x-none"/>
              </w:rPr>
              <w:t>Maddeyle, ihtiyaten haczedilmiş geminin serbest bırakılmasına ilişkin hususlar düzenlenmektedir</w:t>
            </w:r>
            <w:bookmarkEnd w:id="88"/>
            <w:r w:rsidR="00A46C6E" w:rsidRPr="00A23740">
              <w:rPr>
                <w:bCs/>
                <w:szCs w:val="24"/>
                <w:lang w:eastAsia="x-none"/>
              </w:rPr>
              <w:t>.</w:t>
            </w:r>
          </w:p>
          <w:p w:rsidR="00A46C6E" w:rsidRPr="00A23740" w:rsidRDefault="00A46C6E" w:rsidP="009431FF">
            <w:pPr>
              <w:ind w:firstLine="709"/>
              <w:rPr>
                <w:rFonts w:eastAsia="Times New Roman"/>
                <w:szCs w:val="24"/>
                <w:lang w:eastAsia="tr-TR"/>
              </w:rPr>
            </w:pPr>
            <w:r w:rsidRPr="00A23740">
              <w:rPr>
                <w:rFonts w:eastAsia="Times New Roman"/>
                <w:bCs/>
                <w:szCs w:val="24"/>
                <w:lang w:eastAsia="tr-TR"/>
              </w:rPr>
              <w:t>6102 sayılı Kanunda</w:t>
            </w:r>
            <w:r w:rsidRPr="00A23740">
              <w:rPr>
                <w:rFonts w:eastAsia="Times New Roman"/>
                <w:szCs w:val="24"/>
                <w:lang w:eastAsia="tr-TR"/>
              </w:rPr>
              <w:t xml:space="preserve"> “</w:t>
            </w:r>
            <w:r w:rsidRPr="00A23740">
              <w:rPr>
                <w:rFonts w:eastAsia="Times New Roman"/>
                <w:i/>
                <w:iCs/>
                <w:szCs w:val="24"/>
                <w:lang w:eastAsia="tr-TR"/>
              </w:rPr>
              <w:t>Geminin serbest bırakılması</w:t>
            </w:r>
            <w:r w:rsidRPr="00A23740">
              <w:rPr>
                <w:rFonts w:eastAsia="Times New Roman"/>
                <w:szCs w:val="24"/>
                <w:lang w:eastAsia="tr-TR"/>
              </w:rPr>
              <w:t>” üst başlığı altında “</w:t>
            </w:r>
            <w:r w:rsidRPr="00A23740">
              <w:rPr>
                <w:rFonts w:eastAsia="Times New Roman"/>
                <w:i/>
                <w:iCs/>
                <w:szCs w:val="24"/>
                <w:lang w:eastAsia="tr-TR"/>
              </w:rPr>
              <w:t>geminin değerinin depo edilmesi</w:t>
            </w:r>
            <w:r w:rsidRPr="00A23740">
              <w:rPr>
                <w:rFonts w:eastAsia="Times New Roman"/>
                <w:szCs w:val="24"/>
                <w:lang w:eastAsia="tr-TR"/>
              </w:rPr>
              <w:t>” kenar başlıklı 1370 inci maddeye ve “</w:t>
            </w:r>
            <w:r w:rsidRPr="00A23740">
              <w:rPr>
                <w:rFonts w:eastAsia="Times New Roman"/>
                <w:i/>
                <w:iCs/>
                <w:szCs w:val="24"/>
                <w:lang w:eastAsia="tr-TR"/>
              </w:rPr>
              <w:t>ihtiyati haciz kararının kaldırılması</w:t>
            </w:r>
            <w:r w:rsidRPr="00A23740">
              <w:rPr>
                <w:rFonts w:eastAsia="Times New Roman"/>
                <w:szCs w:val="24"/>
                <w:lang w:eastAsia="tr-TR"/>
              </w:rPr>
              <w:t>” kenar başlıklı 1371 inci maddeye yer verilmiştir. Bu maddelerin gerekçesine göre 1370 inci maddede “</w:t>
            </w:r>
            <w:r w:rsidRPr="00A23740">
              <w:rPr>
                <w:rFonts w:eastAsia="Times New Roman"/>
                <w:i/>
                <w:iCs/>
                <w:szCs w:val="24"/>
                <w:lang w:eastAsia="tr-TR"/>
              </w:rPr>
              <w:t>güvencenin, geminin yerine kaim olmak üzere verilmesi</w:t>
            </w:r>
            <w:r w:rsidRPr="00A23740">
              <w:rPr>
                <w:rFonts w:eastAsia="Times New Roman"/>
                <w:szCs w:val="24"/>
                <w:lang w:eastAsia="tr-TR"/>
              </w:rPr>
              <w:t>” ihtimali, 2004 sayılı Kanunun 263 maddesinden uyarlanarak; 1371 inci maddesinde ise</w:t>
            </w:r>
            <w:r w:rsidRPr="00A23740">
              <w:rPr>
                <w:rFonts w:eastAsia="Times New Roman"/>
                <w:bCs/>
                <w:szCs w:val="24"/>
                <w:lang w:eastAsia="tr-TR"/>
              </w:rPr>
              <w:t xml:space="preserve"> “</w:t>
            </w:r>
            <w:r w:rsidRPr="00A23740">
              <w:rPr>
                <w:rFonts w:eastAsia="Times New Roman"/>
                <w:i/>
                <w:iCs/>
                <w:szCs w:val="24"/>
                <w:lang w:eastAsia="tr-TR"/>
              </w:rPr>
              <w:t>güvencenin, alacağı temin etmek üzere verilmesi</w:t>
            </w:r>
            <w:r w:rsidRPr="00A23740">
              <w:rPr>
                <w:rFonts w:eastAsia="Times New Roman"/>
                <w:szCs w:val="24"/>
                <w:lang w:eastAsia="tr-TR"/>
              </w:rPr>
              <w:t>” ihtimali 2004 sayılı Kanunun 266 ncı maddesinden uyarlanarak düzenlenmiştir. Ancak 1999</w:t>
            </w:r>
            <w:r w:rsidR="00796522" w:rsidRPr="00A23740">
              <w:rPr>
                <w:rStyle w:val="KonuBalChar"/>
                <w:rFonts w:eastAsia="Calibri"/>
              </w:rPr>
              <w:t xml:space="preserve"> </w:t>
            </w:r>
            <w:r w:rsidR="00796522" w:rsidRPr="00F257EC">
              <w:rPr>
                <w:rFonts w:eastAsia="Times New Roman"/>
                <w:szCs w:val="24"/>
                <w:lang w:eastAsia="tr-TR"/>
              </w:rPr>
              <w:t>tarihli</w:t>
            </w:r>
            <w:r w:rsidR="00796522" w:rsidRPr="00F257EC">
              <w:rPr>
                <w:rFonts w:eastAsia="Times New Roman"/>
                <w:b/>
                <w:bCs/>
                <w:szCs w:val="24"/>
                <w:lang w:eastAsia="tr-TR"/>
              </w:rPr>
              <w:t xml:space="preserve"> </w:t>
            </w:r>
            <w:r w:rsidR="00796522" w:rsidRPr="00F257EC">
              <w:rPr>
                <w:rFonts w:eastAsia="Times New Roman"/>
                <w:szCs w:val="24"/>
                <w:lang w:eastAsia="tr-TR"/>
              </w:rPr>
              <w:t>Milletlerarası</w:t>
            </w:r>
            <w:r w:rsidR="00796522" w:rsidRPr="00F257EC">
              <w:rPr>
                <w:rFonts w:eastAsia="Times New Roman"/>
                <w:b/>
                <w:bCs/>
                <w:szCs w:val="24"/>
                <w:lang w:eastAsia="tr-TR"/>
              </w:rPr>
              <w:t xml:space="preserve"> </w:t>
            </w:r>
            <w:r w:rsidR="00796522" w:rsidRPr="00F257EC">
              <w:rPr>
                <w:rFonts w:eastAsia="Times New Roman"/>
                <w:szCs w:val="24"/>
                <w:lang w:eastAsia="tr-TR"/>
              </w:rPr>
              <w:t>Sözleşmenin</w:t>
            </w:r>
            <w:r w:rsidR="00796522" w:rsidRPr="00A23740">
              <w:rPr>
                <w:rFonts w:eastAsia="Times New Roman"/>
                <w:szCs w:val="24"/>
              </w:rPr>
              <w:t xml:space="preserve"> </w:t>
            </w:r>
            <w:r w:rsidRPr="00A23740">
              <w:rPr>
                <w:rFonts w:eastAsia="Times New Roman"/>
                <w:szCs w:val="24"/>
                <w:lang w:eastAsia="tr-TR"/>
              </w:rPr>
              <w:t xml:space="preserve">“geminin serbest bırakılması” başlıklı 4 üncü maddesinde bu şekilde bir ayrım yapılmamıştır. 1999 </w:t>
            </w:r>
            <w:r w:rsidR="00796522" w:rsidRPr="00F257EC">
              <w:rPr>
                <w:rFonts w:eastAsia="Times New Roman"/>
                <w:szCs w:val="24"/>
                <w:lang w:eastAsia="tr-TR"/>
              </w:rPr>
              <w:t>tarihli</w:t>
            </w:r>
            <w:r w:rsidR="00796522" w:rsidRPr="00F257EC">
              <w:rPr>
                <w:rFonts w:eastAsia="Times New Roman"/>
                <w:b/>
                <w:bCs/>
                <w:szCs w:val="24"/>
                <w:lang w:eastAsia="tr-TR"/>
              </w:rPr>
              <w:t xml:space="preserve"> </w:t>
            </w:r>
            <w:r w:rsidR="00796522" w:rsidRPr="00F257EC">
              <w:rPr>
                <w:rFonts w:eastAsia="Times New Roman"/>
                <w:szCs w:val="24"/>
                <w:lang w:eastAsia="tr-TR"/>
              </w:rPr>
              <w:t>Milletlerarası</w:t>
            </w:r>
            <w:r w:rsidR="00796522" w:rsidRPr="00F257EC">
              <w:rPr>
                <w:rFonts w:eastAsia="Times New Roman"/>
                <w:b/>
                <w:bCs/>
                <w:szCs w:val="24"/>
                <w:lang w:eastAsia="tr-TR"/>
              </w:rPr>
              <w:t xml:space="preserve"> </w:t>
            </w:r>
            <w:r w:rsidR="00796522" w:rsidRPr="00F257EC">
              <w:rPr>
                <w:rFonts w:eastAsia="Times New Roman"/>
                <w:szCs w:val="24"/>
                <w:lang w:eastAsia="tr-TR"/>
              </w:rPr>
              <w:t>Sözleşmenin</w:t>
            </w:r>
            <w:r w:rsidR="00796522" w:rsidRPr="00A23740">
              <w:rPr>
                <w:rFonts w:eastAsia="Times New Roman"/>
                <w:szCs w:val="24"/>
              </w:rPr>
              <w:t xml:space="preserve"> </w:t>
            </w:r>
            <w:r w:rsidRPr="00A23740">
              <w:rPr>
                <w:rFonts w:eastAsia="Times New Roman"/>
                <w:szCs w:val="24"/>
                <w:lang w:eastAsia="tr-TR"/>
              </w:rPr>
              <w:t>4 üncü maddesinin birinci fıkrasında “ihtiyaten haczedilen geminin uygun bir türde ve yeterli teminat verilmesi hâlinde serbest bırakılacağı</w:t>
            </w:r>
            <w:r w:rsidR="005173E5" w:rsidRPr="00A23740">
              <w:rPr>
                <w:rFonts w:eastAsia="Times New Roman"/>
                <w:szCs w:val="24"/>
                <w:lang w:eastAsia="tr-TR"/>
              </w:rPr>
              <w:t>”</w:t>
            </w:r>
            <w:r w:rsidRPr="00A23740">
              <w:rPr>
                <w:rFonts w:eastAsia="Times New Roman"/>
                <w:szCs w:val="24"/>
                <w:lang w:eastAsia="tr-TR"/>
              </w:rPr>
              <w:t>; “geminin mülkiyeti veya zilyetliğine ilişkin her türlü uyuşmazlık” (m. 1 - (s) bendi) ve “geminin ortak malikleri arasında çıkan, geminin işletilmesine ya da gemiden sağlanan hasılata ilişkin her türlü uyuşmazlık” (m. 1 - (t) bendi) sebebiyle ihtiyaten haczedilmesi h</w:t>
            </w:r>
            <w:r w:rsidR="00605233" w:rsidRPr="00A23740">
              <w:rPr>
                <w:rFonts w:eastAsia="Times New Roman"/>
                <w:szCs w:val="24"/>
                <w:lang w:eastAsia="tr-TR"/>
              </w:rPr>
              <w:t>â</w:t>
            </w:r>
            <w:r w:rsidRPr="00A23740">
              <w:rPr>
                <w:rFonts w:eastAsia="Times New Roman"/>
                <w:szCs w:val="24"/>
                <w:lang w:eastAsia="tr-TR"/>
              </w:rPr>
              <w:t>linde</w:t>
            </w:r>
            <w:r w:rsidR="005173E5" w:rsidRPr="00A23740">
              <w:rPr>
                <w:rFonts w:eastAsia="Times New Roman"/>
                <w:szCs w:val="24"/>
                <w:lang w:eastAsia="tr-TR"/>
              </w:rPr>
              <w:t>,</w:t>
            </w:r>
            <w:r w:rsidRPr="00A23740">
              <w:rPr>
                <w:rFonts w:eastAsia="Times New Roman"/>
                <w:szCs w:val="24"/>
                <w:lang w:eastAsia="tr-TR"/>
              </w:rPr>
              <w:t xml:space="preserve"> geminin zilyedi olan kişinin yeterli teminat vermesi şartıyla gemiyi işletmeye devam etmesine veya ihtiyati haciz süresince başka şekilde kullanılmasına izin verilebileceği” öngörülmüş; ayrıca bu maddenin ikinci fıkrasında “tarafların teminatın türü ve miktarı hakkında anlaşma yapabilecekleri, anlaşamamaları h</w:t>
            </w:r>
            <w:r w:rsidR="008A1FDE" w:rsidRPr="00A23740">
              <w:rPr>
                <w:rFonts w:eastAsia="Times New Roman"/>
                <w:szCs w:val="24"/>
                <w:lang w:eastAsia="tr-TR"/>
              </w:rPr>
              <w:t>â</w:t>
            </w:r>
            <w:r w:rsidRPr="00A23740">
              <w:rPr>
                <w:rFonts w:eastAsia="Times New Roman"/>
                <w:szCs w:val="24"/>
                <w:lang w:eastAsia="tr-TR"/>
              </w:rPr>
              <w:t xml:space="preserve">linde mahkemece teminatın türü ve ihtiyaten haczedilen geminin değerini aşmamak kaydıyla miktarının belirleneceği” hüküm altına alınmıştır. 1999 </w:t>
            </w:r>
            <w:r w:rsidR="00796522" w:rsidRPr="00F257EC">
              <w:rPr>
                <w:rFonts w:eastAsia="Times New Roman"/>
                <w:szCs w:val="24"/>
                <w:lang w:eastAsia="tr-TR"/>
              </w:rPr>
              <w:t>tarihli</w:t>
            </w:r>
            <w:r w:rsidR="00796522" w:rsidRPr="00A23740">
              <w:rPr>
                <w:rStyle w:val="KonuBalChar"/>
                <w:rFonts w:eastAsia="Calibri"/>
              </w:rPr>
              <w:t xml:space="preserve"> </w:t>
            </w:r>
            <w:r w:rsidR="00796522" w:rsidRPr="00F257EC">
              <w:rPr>
                <w:rFonts w:eastAsia="Times New Roman"/>
                <w:szCs w:val="24"/>
                <w:lang w:eastAsia="tr-TR"/>
              </w:rPr>
              <w:t>Milletlerarası</w:t>
            </w:r>
            <w:r w:rsidR="00796522" w:rsidRPr="00A23740">
              <w:rPr>
                <w:rStyle w:val="KonuBalChar"/>
                <w:rFonts w:eastAsia="Calibri"/>
              </w:rPr>
              <w:t xml:space="preserve"> </w:t>
            </w:r>
            <w:r w:rsidR="00796522" w:rsidRPr="00F257EC">
              <w:rPr>
                <w:rFonts w:eastAsia="Times New Roman"/>
                <w:szCs w:val="24"/>
                <w:lang w:eastAsia="tr-TR"/>
              </w:rPr>
              <w:t>Sözleşmenin</w:t>
            </w:r>
            <w:r w:rsidR="00796522" w:rsidRPr="00A23740">
              <w:rPr>
                <w:rFonts w:eastAsia="Times New Roman"/>
                <w:szCs w:val="24"/>
              </w:rPr>
              <w:t xml:space="preserve"> </w:t>
            </w:r>
            <w:r w:rsidRPr="00A23740">
              <w:rPr>
                <w:rFonts w:eastAsia="Times New Roman"/>
                <w:szCs w:val="24"/>
                <w:lang w:eastAsia="tr-TR"/>
              </w:rPr>
              <w:t>bu düzenlemesi</w:t>
            </w:r>
            <w:r w:rsidR="00EF4B6D" w:rsidRPr="00A23740">
              <w:rPr>
                <w:rFonts w:eastAsia="Times New Roman"/>
                <w:szCs w:val="24"/>
                <w:lang w:eastAsia="tr-TR"/>
              </w:rPr>
              <w:t>yle</w:t>
            </w:r>
            <w:r w:rsidRPr="00A23740">
              <w:rPr>
                <w:rFonts w:eastAsia="Times New Roman"/>
                <w:szCs w:val="24"/>
                <w:lang w:eastAsia="tr-TR"/>
              </w:rPr>
              <w:t xml:space="preserve"> uyum sağlanması gerektiğinden, </w:t>
            </w:r>
            <w:r w:rsidRPr="00A23740">
              <w:rPr>
                <w:rFonts w:eastAsia="Times New Roman"/>
                <w:bCs/>
                <w:szCs w:val="24"/>
                <w:lang w:eastAsia="tr-TR"/>
              </w:rPr>
              <w:t>6102 sayılı Kanunun</w:t>
            </w:r>
            <w:r w:rsidRPr="00A23740">
              <w:rPr>
                <w:rFonts w:eastAsia="Times New Roman"/>
                <w:szCs w:val="24"/>
                <w:lang w:eastAsia="tr-TR"/>
              </w:rPr>
              <w:t xml:space="preserve"> 1370 inci ve 1371 inci maddeleri yerine 1999 </w:t>
            </w:r>
            <w:r w:rsidR="00796522" w:rsidRPr="00F257EC">
              <w:rPr>
                <w:rFonts w:eastAsia="Times New Roman"/>
                <w:szCs w:val="24"/>
                <w:lang w:eastAsia="tr-TR"/>
              </w:rPr>
              <w:t>tarihli</w:t>
            </w:r>
            <w:r w:rsidR="00796522" w:rsidRPr="00F257EC">
              <w:rPr>
                <w:rFonts w:eastAsia="Times New Roman"/>
                <w:b/>
                <w:bCs/>
                <w:szCs w:val="24"/>
                <w:lang w:eastAsia="tr-TR"/>
              </w:rPr>
              <w:t xml:space="preserve"> </w:t>
            </w:r>
            <w:r w:rsidR="00796522" w:rsidRPr="00F257EC">
              <w:rPr>
                <w:rFonts w:eastAsia="Times New Roman"/>
                <w:szCs w:val="24"/>
                <w:lang w:eastAsia="tr-TR"/>
              </w:rPr>
              <w:t>Milletlerarası</w:t>
            </w:r>
            <w:r w:rsidR="00796522" w:rsidRPr="00F257EC">
              <w:rPr>
                <w:rFonts w:eastAsia="Times New Roman"/>
                <w:b/>
                <w:bCs/>
                <w:szCs w:val="24"/>
                <w:lang w:eastAsia="tr-TR"/>
              </w:rPr>
              <w:t xml:space="preserve"> </w:t>
            </w:r>
            <w:r w:rsidR="00796522" w:rsidRPr="00F257EC">
              <w:rPr>
                <w:rFonts w:eastAsia="Times New Roman"/>
                <w:szCs w:val="24"/>
                <w:lang w:eastAsia="tr-TR"/>
              </w:rPr>
              <w:t>Sözleşmenin</w:t>
            </w:r>
            <w:r w:rsidRPr="00A23740">
              <w:rPr>
                <w:rFonts w:eastAsia="Times New Roman"/>
                <w:szCs w:val="24"/>
                <w:lang w:eastAsia="tr-TR"/>
              </w:rPr>
              <w:t xml:space="preserve"> 4 üncü maddesi doğrultusunda tek bir maddede düzenlenme</w:t>
            </w:r>
            <w:r w:rsidR="00796522" w:rsidRPr="00A23740">
              <w:rPr>
                <w:rFonts w:eastAsia="Times New Roman"/>
                <w:szCs w:val="24"/>
                <w:lang w:eastAsia="tr-TR"/>
              </w:rPr>
              <w:t xml:space="preserve"> getirilmesi kabul edilmiştir.</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 xml:space="preserve">Maddenin birinci fıkrasının birinci cümlesinde, kaynak 1999 </w:t>
            </w:r>
            <w:r w:rsidR="00796522" w:rsidRPr="00F257EC">
              <w:rPr>
                <w:rFonts w:eastAsia="Times New Roman"/>
                <w:szCs w:val="24"/>
                <w:lang w:eastAsia="tr-TR"/>
              </w:rPr>
              <w:t>tarihli</w:t>
            </w:r>
            <w:r w:rsidR="00796522" w:rsidRPr="00F257EC">
              <w:rPr>
                <w:rFonts w:eastAsia="Times New Roman"/>
                <w:b/>
                <w:bCs/>
                <w:szCs w:val="24"/>
                <w:lang w:eastAsia="tr-TR"/>
              </w:rPr>
              <w:t xml:space="preserve"> </w:t>
            </w:r>
            <w:r w:rsidR="00796522" w:rsidRPr="00F257EC">
              <w:rPr>
                <w:rFonts w:eastAsia="Times New Roman"/>
                <w:szCs w:val="24"/>
                <w:lang w:eastAsia="tr-TR"/>
              </w:rPr>
              <w:t>Milletlerarası</w:t>
            </w:r>
            <w:r w:rsidR="00796522" w:rsidRPr="00A23740">
              <w:rPr>
                <w:rStyle w:val="KonuBalChar"/>
                <w:rFonts w:eastAsia="Calibri"/>
              </w:rPr>
              <w:t xml:space="preserve"> </w:t>
            </w:r>
            <w:r w:rsidR="00796522" w:rsidRPr="00F257EC">
              <w:rPr>
                <w:rFonts w:eastAsia="Times New Roman"/>
                <w:szCs w:val="24"/>
                <w:lang w:eastAsia="tr-TR"/>
              </w:rPr>
              <w:t>Sözleşmenin</w:t>
            </w:r>
            <w:r w:rsidR="00796522" w:rsidRPr="00A23740">
              <w:rPr>
                <w:rFonts w:eastAsia="Times New Roman"/>
                <w:szCs w:val="24"/>
              </w:rPr>
              <w:t xml:space="preserve"> </w:t>
            </w:r>
            <w:r w:rsidRPr="00A23740">
              <w:rPr>
                <w:rFonts w:eastAsia="Times New Roman"/>
                <w:szCs w:val="24"/>
                <w:lang w:eastAsia="tr-TR"/>
              </w:rPr>
              <w:t xml:space="preserve">4 üncü maddesinin birinci fıkrasının birinci cümlesine uygun </w:t>
            </w:r>
            <w:r w:rsidR="00EF4B6D" w:rsidRPr="00A23740">
              <w:rPr>
                <w:rFonts w:eastAsia="Times New Roman"/>
                <w:szCs w:val="24"/>
                <w:lang w:eastAsia="tr-TR"/>
              </w:rPr>
              <w:t xml:space="preserve">şekilde </w:t>
            </w:r>
            <w:r w:rsidRPr="00A23740">
              <w:rPr>
                <w:rFonts w:eastAsia="Times New Roman"/>
                <w:szCs w:val="24"/>
                <w:lang w:eastAsia="tr-TR"/>
              </w:rPr>
              <w:t>düzenleme</w:t>
            </w:r>
            <w:r w:rsidR="00EF4B6D" w:rsidRPr="00A23740">
              <w:rPr>
                <w:rFonts w:eastAsia="Times New Roman"/>
                <w:szCs w:val="24"/>
                <w:lang w:eastAsia="tr-TR"/>
              </w:rPr>
              <w:t xml:space="preserve"> yapılmıştır</w:t>
            </w:r>
            <w:r w:rsidRPr="00A23740">
              <w:rPr>
                <w:rFonts w:eastAsia="Times New Roman"/>
                <w:szCs w:val="24"/>
                <w:lang w:eastAsia="tr-TR"/>
              </w:rPr>
              <w:t xml:space="preserve">. </w:t>
            </w:r>
            <w:r w:rsidRPr="00A23740">
              <w:rPr>
                <w:rFonts w:eastAsia="Times New Roman"/>
                <w:bCs/>
                <w:szCs w:val="24"/>
                <w:lang w:eastAsia="tr-TR"/>
              </w:rPr>
              <w:t>6102 sayılı Kanunun</w:t>
            </w:r>
            <w:r w:rsidRPr="00A23740">
              <w:rPr>
                <w:rFonts w:eastAsia="Times New Roman"/>
                <w:szCs w:val="24"/>
                <w:lang w:eastAsia="tr-TR"/>
              </w:rPr>
              <w:t xml:space="preserve"> 1371 inci maddesinin birinci fıkrasının ikinci cümlesinde yer alan “</w:t>
            </w:r>
            <w:r w:rsidRPr="00A23740">
              <w:rPr>
                <w:rFonts w:eastAsia="Times New Roman"/>
                <w:i/>
                <w:iCs/>
                <w:szCs w:val="24"/>
                <w:lang w:eastAsia="tr-TR"/>
              </w:rPr>
              <w:t>Takibe başlandıktan sonra bu yetki icra mahkemesine geçer</w:t>
            </w:r>
            <w:r w:rsidRPr="00A23740">
              <w:rPr>
                <w:rFonts w:eastAsia="Times New Roman"/>
                <w:szCs w:val="24"/>
                <w:lang w:eastAsia="tr-TR"/>
              </w:rPr>
              <w:t>.” hükmünün, icra mahkemelerinin iş yoğunluğu sebebiyle ihtiyati haczin kaldırılmasına ve geminin serbest bırakılmasına dair kararların alınmasında gecikmelere neden olabileceği; ayrıca ihtiyati haczin kaldırılması ve geminin serbest bırakılması başvurularının, takibe başlandıktan sonra dahi ihtiyati haciz kararı veren mahkeme tarafından değerlendirilmesinin isabetli ve yararlı olacağı dikkate alınarak</w:t>
            </w:r>
            <w:r w:rsidR="00EF4B6D" w:rsidRPr="00A23740">
              <w:rPr>
                <w:rFonts w:eastAsia="Times New Roman"/>
                <w:szCs w:val="24"/>
                <w:lang w:eastAsia="tr-TR"/>
              </w:rPr>
              <w:t>,</w:t>
            </w:r>
            <w:r w:rsidRPr="00A23740">
              <w:rPr>
                <w:rFonts w:eastAsia="Times New Roman"/>
                <w:szCs w:val="24"/>
                <w:lang w:eastAsia="tr-TR"/>
              </w:rPr>
              <w:t xml:space="preserve"> fıkranın ikinci cümlesinde “</w:t>
            </w:r>
            <w:r w:rsidRPr="00A23740">
              <w:rPr>
                <w:rFonts w:eastAsia="Times New Roman"/>
                <w:i/>
                <w:iCs/>
                <w:szCs w:val="24"/>
                <w:lang w:eastAsia="tr-TR"/>
              </w:rPr>
              <w:t>takibe başlandıktan sonra dahi ihtiyati haczin kaldırılması yetkisinin, ihtiyati haciz kararı veren mahkemeye ait olduğu</w:t>
            </w:r>
            <w:r w:rsidRPr="00A23740">
              <w:rPr>
                <w:rFonts w:eastAsia="Times New Roman"/>
                <w:szCs w:val="24"/>
                <w:lang w:eastAsia="tr-TR"/>
              </w:rPr>
              <w:t xml:space="preserve">” hüküm altına alınmış ve böylece ihtiyati hacze ilişkin </w:t>
            </w:r>
            <w:r w:rsidR="007F30E4" w:rsidRPr="00F257EC">
              <w:rPr>
                <w:rFonts w:eastAsia="Times New Roman"/>
                <w:szCs w:val="24"/>
                <w:lang w:eastAsia="tr-TR"/>
              </w:rPr>
              <w:t>461</w:t>
            </w:r>
            <w:r w:rsidR="007F30E4" w:rsidRPr="00A23740">
              <w:rPr>
                <w:rStyle w:val="KonuBalChar"/>
                <w:rFonts w:eastAsia="Calibri"/>
              </w:rPr>
              <w:t xml:space="preserve"> </w:t>
            </w:r>
            <w:r w:rsidR="007F30E4" w:rsidRPr="00F257EC">
              <w:rPr>
                <w:rFonts w:eastAsia="Times New Roman"/>
                <w:szCs w:val="24"/>
                <w:lang w:eastAsia="tr-TR"/>
              </w:rPr>
              <w:t>inci</w:t>
            </w:r>
            <w:r w:rsidR="007F30E4" w:rsidRPr="00A23740">
              <w:rPr>
                <w:rFonts w:eastAsia="Times New Roman"/>
                <w:szCs w:val="24"/>
                <w:lang w:eastAsia="tr-TR"/>
              </w:rPr>
              <w:t xml:space="preserve"> </w:t>
            </w:r>
            <w:r w:rsidRPr="00A23740">
              <w:rPr>
                <w:rFonts w:eastAsia="Times New Roman"/>
                <w:szCs w:val="24"/>
                <w:lang w:eastAsia="tr-TR"/>
              </w:rPr>
              <w:t>maddenin birinci fıkrası hükmünden ayrılınmıştır.</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 xml:space="preserve">Maddenin ikinci fıkrasında geminin </w:t>
            </w:r>
            <w:r w:rsidR="00EF4B6D" w:rsidRPr="00A23740">
              <w:rPr>
                <w:rFonts w:eastAsia="Times New Roman"/>
                <w:szCs w:val="24"/>
                <w:lang w:eastAsia="tr-TR"/>
              </w:rPr>
              <w:t xml:space="preserve">Taslağın </w:t>
            </w:r>
            <w:r w:rsidR="007F30E4" w:rsidRPr="00F257EC">
              <w:rPr>
                <w:rFonts w:eastAsia="Times New Roman"/>
                <w:szCs w:val="24"/>
                <w:lang w:eastAsia="tr-TR"/>
              </w:rPr>
              <w:t>493</w:t>
            </w:r>
            <w:r w:rsidR="007F30E4" w:rsidRPr="00A23740">
              <w:rPr>
                <w:rStyle w:val="KonuBalChar"/>
                <w:rFonts w:eastAsia="Calibri"/>
              </w:rPr>
              <w:t xml:space="preserve"> </w:t>
            </w:r>
            <w:r w:rsidR="007F30E4" w:rsidRPr="00F257EC">
              <w:rPr>
                <w:rFonts w:eastAsia="Times New Roman"/>
                <w:szCs w:val="24"/>
                <w:lang w:eastAsia="tr-TR"/>
              </w:rPr>
              <w:t>üncü</w:t>
            </w:r>
            <w:r w:rsidR="007F30E4" w:rsidRPr="00A23740">
              <w:rPr>
                <w:rFonts w:eastAsia="Times New Roman"/>
                <w:b/>
                <w:bCs/>
                <w:color w:val="0000FF"/>
                <w:szCs w:val="24"/>
                <w:lang w:eastAsia="tr-TR"/>
              </w:rPr>
              <w:t xml:space="preserve"> </w:t>
            </w:r>
            <w:r w:rsidRPr="00A23740">
              <w:rPr>
                <w:rFonts w:eastAsia="Times New Roman"/>
                <w:szCs w:val="24"/>
                <w:lang w:eastAsia="tr-TR"/>
              </w:rPr>
              <w:t>madde</w:t>
            </w:r>
            <w:r w:rsidR="00EF4B6D" w:rsidRPr="00A23740">
              <w:rPr>
                <w:rFonts w:eastAsia="Times New Roman"/>
                <w:szCs w:val="24"/>
                <w:lang w:eastAsia="tr-TR"/>
              </w:rPr>
              <w:t>si</w:t>
            </w:r>
            <w:r w:rsidRPr="00A23740">
              <w:rPr>
                <w:rFonts w:eastAsia="Times New Roman"/>
                <w:szCs w:val="24"/>
                <w:lang w:eastAsia="tr-TR"/>
              </w:rPr>
              <w:t>nin (ö) ve (p) bentlerinde belirtilen deniz alacaklarından biri sebebiyle ihtiyaten haczedilmiş olması hâlinde, yeterli teminat göstermesi koşuluyla geminin zilyedinin ihtiyati haciz süresince gemiyi işletmeye devam etmesine veya başka şekilde kullanmasına izin verilebileceği düzenlenmiş; bu hâlde ihtiyati haczin devam edeceğini belirtmek üzere “</w:t>
            </w:r>
            <w:r w:rsidRPr="00A23740">
              <w:rPr>
                <w:rFonts w:eastAsia="Times New Roman"/>
                <w:i/>
                <w:iCs/>
                <w:szCs w:val="24"/>
                <w:lang w:eastAsia="tr-TR"/>
              </w:rPr>
              <w:t>ihtiyati haciz saklı kalmak üzere</w:t>
            </w:r>
            <w:r w:rsidR="007F30E4" w:rsidRPr="00A23740">
              <w:rPr>
                <w:rFonts w:eastAsia="Times New Roman"/>
                <w:szCs w:val="24"/>
                <w:lang w:eastAsia="tr-TR"/>
              </w:rPr>
              <w:t>” ibaresine yer verilmiştir.</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 xml:space="preserve">Maddenin üçüncü fıkrasında </w:t>
            </w:r>
            <w:r w:rsidRPr="00A23740">
              <w:rPr>
                <w:rFonts w:eastAsia="Times New Roman"/>
                <w:bCs/>
                <w:szCs w:val="24"/>
                <w:lang w:eastAsia="tr-TR"/>
              </w:rPr>
              <w:t>6102 sayılı Kanunun</w:t>
            </w:r>
            <w:r w:rsidRPr="00A23740">
              <w:rPr>
                <w:rFonts w:eastAsia="Times New Roman"/>
                <w:szCs w:val="24"/>
                <w:lang w:eastAsia="tr-TR"/>
              </w:rPr>
              <w:t xml:space="preserve"> 1372 nci maddesinde yer alan “</w:t>
            </w:r>
            <w:r w:rsidRPr="00A23740">
              <w:rPr>
                <w:rFonts w:eastAsia="Times New Roman"/>
                <w:i/>
                <w:iCs/>
                <w:szCs w:val="24"/>
                <w:lang w:eastAsia="tr-TR"/>
              </w:rPr>
              <w:t>alacaklı ile geminin maliki veya maliki olmayan donatanı arasında</w:t>
            </w:r>
            <w:r w:rsidRPr="00A23740">
              <w:rPr>
                <w:rFonts w:eastAsia="Times New Roman"/>
                <w:szCs w:val="24"/>
                <w:lang w:eastAsia="tr-TR"/>
              </w:rPr>
              <w:t xml:space="preserve">” ibaresi yerine ihtiyati haczin taraflarını kapsayıcı olduğundan ve kaynak 1999 </w:t>
            </w:r>
            <w:r w:rsidR="00796522" w:rsidRPr="00F257EC">
              <w:rPr>
                <w:rFonts w:eastAsia="Times New Roman"/>
                <w:szCs w:val="24"/>
                <w:lang w:eastAsia="tr-TR"/>
              </w:rPr>
              <w:t>tarihli</w:t>
            </w:r>
            <w:r w:rsidR="00796522" w:rsidRPr="00F257EC">
              <w:rPr>
                <w:rFonts w:eastAsia="Times New Roman"/>
                <w:b/>
                <w:bCs/>
                <w:szCs w:val="24"/>
                <w:lang w:eastAsia="tr-TR"/>
              </w:rPr>
              <w:t xml:space="preserve"> </w:t>
            </w:r>
            <w:r w:rsidR="00796522" w:rsidRPr="00F257EC">
              <w:rPr>
                <w:rFonts w:eastAsia="Times New Roman"/>
                <w:szCs w:val="24"/>
                <w:lang w:eastAsia="tr-TR"/>
              </w:rPr>
              <w:t>Milletlerarası</w:t>
            </w:r>
            <w:r w:rsidR="00796522" w:rsidRPr="00F257EC">
              <w:rPr>
                <w:rFonts w:eastAsia="Times New Roman"/>
                <w:b/>
                <w:bCs/>
                <w:szCs w:val="24"/>
                <w:lang w:eastAsia="tr-TR"/>
              </w:rPr>
              <w:t xml:space="preserve"> </w:t>
            </w:r>
            <w:r w:rsidR="00796522" w:rsidRPr="00F257EC">
              <w:rPr>
                <w:rFonts w:eastAsia="Times New Roman"/>
                <w:szCs w:val="24"/>
                <w:lang w:eastAsia="tr-TR"/>
              </w:rPr>
              <w:t>Sözleşmenin</w:t>
            </w:r>
            <w:r w:rsidR="00796522" w:rsidRPr="00A23740">
              <w:rPr>
                <w:rFonts w:eastAsia="Times New Roman"/>
                <w:szCs w:val="24"/>
              </w:rPr>
              <w:t xml:space="preserve"> </w:t>
            </w:r>
            <w:r w:rsidRPr="00A23740">
              <w:rPr>
                <w:rFonts w:eastAsia="Times New Roman"/>
                <w:szCs w:val="24"/>
                <w:lang w:eastAsia="tr-TR"/>
              </w:rPr>
              <w:t>4 üncü maddesinde de bu terim kullanıldığından, “</w:t>
            </w:r>
            <w:r w:rsidRPr="00A23740">
              <w:rPr>
                <w:rFonts w:eastAsia="Times New Roman"/>
                <w:i/>
                <w:iCs/>
                <w:szCs w:val="24"/>
                <w:lang w:eastAsia="tr-TR"/>
              </w:rPr>
              <w:t>taraflar arasında</w:t>
            </w:r>
            <w:r w:rsidRPr="00A23740">
              <w:rPr>
                <w:rFonts w:eastAsia="Times New Roman"/>
                <w:szCs w:val="24"/>
                <w:lang w:eastAsia="tr-TR"/>
              </w:rPr>
              <w:t xml:space="preserve">” ibaresinin kullanılması tercih edilmiş; bu yönde ifade değişikliği yapılmıştır. </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Maddenin dördüncü fıkrasında,</w:t>
            </w:r>
            <w:r w:rsidRPr="00A23740">
              <w:rPr>
                <w:rFonts w:eastAsia="Times New Roman"/>
                <w:b/>
                <w:bCs/>
                <w:szCs w:val="24"/>
                <w:lang w:eastAsia="tr-TR"/>
              </w:rPr>
              <w:t xml:space="preserve"> </w:t>
            </w:r>
            <w:r w:rsidRPr="00A23740">
              <w:rPr>
                <w:rFonts w:eastAsia="Times New Roman"/>
                <w:bCs/>
                <w:szCs w:val="24"/>
                <w:lang w:eastAsia="tr-TR"/>
              </w:rPr>
              <w:t>6102 sayılı Kanunun</w:t>
            </w:r>
            <w:r w:rsidRPr="00A23740">
              <w:rPr>
                <w:rFonts w:eastAsia="Times New Roman"/>
                <w:szCs w:val="24"/>
                <w:lang w:eastAsia="tr-TR"/>
              </w:rPr>
              <w:t xml:space="preserve"> 1371 inci maddesinin üçüncü fıkrası yerine “birinci ve ikinci fıkralar gereğince yatırılan </w:t>
            </w:r>
            <w:r w:rsidRPr="00A23740">
              <w:rPr>
                <w:rFonts w:eastAsia="Times New Roman"/>
                <w:bCs/>
                <w:szCs w:val="24"/>
                <w:lang w:eastAsia="tr-TR"/>
              </w:rPr>
              <w:t>teminatın, hiçbir alacaklı tarafından haczettirilemeyeceği” hüküm altına</w:t>
            </w:r>
            <w:r w:rsidRPr="00A23740">
              <w:rPr>
                <w:rFonts w:eastAsia="Times New Roman"/>
                <w:szCs w:val="24"/>
                <w:lang w:eastAsia="tr-TR"/>
              </w:rPr>
              <w:t xml:space="preserve"> alınmış; böylece geminin ihtiyati haczini talep eden deniz alacaklısı dışındaki diğer deniz alacaklıları veya geminin ihtiyati haczini talep eden deniz alacaklısının kendi alacaklıları dahil alacaklıların söz konusu teminatı haczettiremeyeceği öngörülerek hükmün kapsamı genişletilmiştir. </w:t>
            </w:r>
          </w:p>
          <w:p w:rsidR="00A46C6E" w:rsidRPr="00A23740" w:rsidRDefault="00A46C6E" w:rsidP="009431FF">
            <w:pPr>
              <w:ind w:firstLine="709"/>
              <w:rPr>
                <w:rFonts w:eastAsia="Times New Roman"/>
                <w:szCs w:val="24"/>
                <w:lang w:eastAsia="tr-TR"/>
              </w:rPr>
            </w:pPr>
            <w:r w:rsidRPr="00A23740">
              <w:rPr>
                <w:rFonts w:eastAsia="Times New Roman"/>
                <w:szCs w:val="24"/>
                <w:lang w:eastAsia="tr-TR"/>
              </w:rPr>
              <w:t xml:space="preserve">Maddenin beşinci fıkrası, 1999 </w:t>
            </w:r>
            <w:r w:rsidR="00796522" w:rsidRPr="00F257EC">
              <w:rPr>
                <w:rFonts w:eastAsia="Times New Roman"/>
                <w:szCs w:val="24"/>
                <w:lang w:eastAsia="tr-TR"/>
              </w:rPr>
              <w:t>tarihli</w:t>
            </w:r>
            <w:r w:rsidR="00796522" w:rsidRPr="00A23740">
              <w:rPr>
                <w:rStyle w:val="KonuBalChar"/>
                <w:rFonts w:eastAsia="Calibri"/>
              </w:rPr>
              <w:t xml:space="preserve"> </w:t>
            </w:r>
            <w:r w:rsidR="00796522" w:rsidRPr="00F257EC">
              <w:rPr>
                <w:rFonts w:eastAsia="Times New Roman"/>
                <w:szCs w:val="24"/>
                <w:lang w:eastAsia="tr-TR"/>
              </w:rPr>
              <w:t>Milletlerarası</w:t>
            </w:r>
            <w:r w:rsidR="00796522" w:rsidRPr="00A23740">
              <w:rPr>
                <w:rStyle w:val="KonuBalChar"/>
                <w:rFonts w:eastAsia="Calibri"/>
              </w:rPr>
              <w:t xml:space="preserve"> </w:t>
            </w:r>
            <w:r w:rsidR="00796522" w:rsidRPr="00F257EC">
              <w:rPr>
                <w:rFonts w:eastAsia="Times New Roman"/>
                <w:szCs w:val="24"/>
                <w:lang w:eastAsia="tr-TR"/>
              </w:rPr>
              <w:t>Sözleşmenin</w:t>
            </w:r>
            <w:r w:rsidR="00796522" w:rsidRPr="00A23740">
              <w:rPr>
                <w:rFonts w:eastAsia="Times New Roman"/>
                <w:szCs w:val="24"/>
              </w:rPr>
              <w:t xml:space="preserve"> </w:t>
            </w:r>
            <w:r w:rsidRPr="00A23740">
              <w:rPr>
                <w:rFonts w:eastAsia="Times New Roman"/>
                <w:szCs w:val="24"/>
                <w:lang w:eastAsia="tr-TR"/>
              </w:rPr>
              <w:t>4 üncü maddesinin üçüncü fıkrası</w:t>
            </w:r>
            <w:r w:rsidR="00EF4B6D" w:rsidRPr="00A23740">
              <w:rPr>
                <w:rFonts w:eastAsia="Times New Roman"/>
                <w:szCs w:val="24"/>
                <w:lang w:eastAsia="tr-TR"/>
              </w:rPr>
              <w:t>yla</w:t>
            </w:r>
            <w:r w:rsidRPr="00A23740">
              <w:rPr>
                <w:rFonts w:eastAsia="Times New Roman"/>
                <w:szCs w:val="24"/>
                <w:lang w:eastAsia="tr-TR"/>
              </w:rPr>
              <w:t xml:space="preserve"> aynı içerikteki </w:t>
            </w:r>
            <w:r w:rsidRPr="00A23740">
              <w:rPr>
                <w:rFonts w:eastAsia="Times New Roman"/>
                <w:bCs/>
                <w:szCs w:val="24"/>
                <w:lang w:eastAsia="tr-TR"/>
              </w:rPr>
              <w:t>6102 sayılı Kanunun</w:t>
            </w:r>
            <w:r w:rsidRPr="00A23740">
              <w:rPr>
                <w:rFonts w:eastAsia="Times New Roman"/>
                <w:szCs w:val="24"/>
                <w:lang w:eastAsia="tr-TR"/>
              </w:rPr>
              <w:t xml:space="preserve"> 1373 üncü maddesinden alınmıştır. </w:t>
            </w:r>
          </w:p>
          <w:p w:rsidR="00A46C6E" w:rsidRPr="00A23740" w:rsidRDefault="00A46C6E" w:rsidP="009431FF">
            <w:pPr>
              <w:ind w:firstLine="709"/>
              <w:rPr>
                <w:rFonts w:eastAsia="Times New Roman"/>
                <w:bCs/>
                <w:szCs w:val="24"/>
              </w:rPr>
            </w:pPr>
            <w:r w:rsidRPr="00A23740">
              <w:rPr>
                <w:rFonts w:eastAsia="Times New Roman"/>
                <w:bCs/>
                <w:szCs w:val="24"/>
              </w:rPr>
              <w:t xml:space="preserve">Maddenin altıncı fıkrası, 6102 sayılı Kanunun 1374 üncü maddesinden, 1999 </w:t>
            </w:r>
            <w:r w:rsidR="00796522" w:rsidRPr="00F257EC">
              <w:rPr>
                <w:rFonts w:eastAsia="Times New Roman"/>
                <w:szCs w:val="24"/>
                <w:lang w:eastAsia="tr-TR"/>
              </w:rPr>
              <w:t>tarihli</w:t>
            </w:r>
            <w:r w:rsidR="00796522" w:rsidRPr="00F257EC">
              <w:rPr>
                <w:rFonts w:eastAsia="Times New Roman"/>
                <w:b/>
                <w:bCs/>
                <w:szCs w:val="24"/>
                <w:lang w:eastAsia="tr-TR"/>
              </w:rPr>
              <w:t xml:space="preserve"> </w:t>
            </w:r>
            <w:r w:rsidR="00796522" w:rsidRPr="00F257EC">
              <w:rPr>
                <w:rFonts w:eastAsia="Times New Roman"/>
                <w:szCs w:val="24"/>
                <w:lang w:eastAsia="tr-TR"/>
              </w:rPr>
              <w:t>Milletlerarası</w:t>
            </w:r>
            <w:r w:rsidR="00796522" w:rsidRPr="00F257EC">
              <w:rPr>
                <w:rFonts w:eastAsia="Times New Roman"/>
                <w:b/>
                <w:bCs/>
                <w:szCs w:val="24"/>
                <w:lang w:eastAsia="tr-TR"/>
              </w:rPr>
              <w:t xml:space="preserve"> </w:t>
            </w:r>
            <w:r w:rsidR="00796522" w:rsidRPr="00F257EC">
              <w:rPr>
                <w:rFonts w:eastAsia="Times New Roman"/>
                <w:szCs w:val="24"/>
                <w:lang w:eastAsia="tr-TR"/>
              </w:rPr>
              <w:t>Sözleşmenin</w:t>
            </w:r>
            <w:r w:rsidR="00796522" w:rsidRPr="00A23740">
              <w:rPr>
                <w:rFonts w:eastAsia="Times New Roman"/>
                <w:szCs w:val="24"/>
              </w:rPr>
              <w:t xml:space="preserve"> </w:t>
            </w:r>
            <w:r w:rsidRPr="00A23740">
              <w:rPr>
                <w:rFonts w:eastAsia="Times New Roman"/>
                <w:bCs/>
                <w:szCs w:val="24"/>
              </w:rPr>
              <w:t xml:space="preserve">4 üncü maddesinin altıncı fıkrasına uygun şekilde ifadesi değiştirilerek alınmıştır. </w:t>
            </w:r>
          </w:p>
          <w:p w:rsidR="00A46C6E" w:rsidRPr="00A23740" w:rsidRDefault="00A46C6E" w:rsidP="009431FF">
            <w:pPr>
              <w:ind w:firstLine="709"/>
              <w:rPr>
                <w:rFonts w:eastAsia="Times New Roman"/>
                <w:bCs/>
                <w:szCs w:val="24"/>
              </w:rPr>
            </w:pPr>
            <w:r w:rsidRPr="00A23740">
              <w:rPr>
                <w:rFonts w:eastAsia="Times New Roman"/>
                <w:bCs/>
                <w:szCs w:val="24"/>
              </w:rPr>
              <w:t>6102 sayılı Kanunun 1370 inci maddesinin “6102 sayılı Kanunun Deniz Ticareti Kitabının yedinci kısmı uyarınca uygulanması gereken sınırlı sorumluluğa dair milletlerarası sözleşme hükümlerinin saklı olduğu” yönündeki beşinci fıkrasında düzenlenen husus, ayrıca hüküm altına alınmasına gerek olmayacak şekilde açık olduğundan, söz konusu fıkra hükmü, Taslağın bu maddesine alınmamıştır.</w:t>
            </w:r>
          </w:p>
          <w:bookmarkEnd w:id="87"/>
          <w:p w:rsidR="008A1FDE" w:rsidRPr="00A23740" w:rsidRDefault="008A1FDE" w:rsidP="002A27F8">
            <w:pPr>
              <w:rPr>
                <w:rFonts w:eastAsia="Times New Roman"/>
                <w:b/>
                <w:bCs/>
                <w:szCs w:val="24"/>
                <w:lang w:eastAsia="x-none"/>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widowControl w:val="0"/>
              <w:rPr>
                <w:rFonts w:eastAsia="Times New Roman"/>
                <w:szCs w:val="24"/>
              </w:rPr>
            </w:pPr>
            <w:r w:rsidRPr="00A23740">
              <w:rPr>
                <w:rFonts w:eastAsia="Times New Roman"/>
                <w:b/>
                <w:strike/>
                <w:color w:val="FF0000"/>
                <w:szCs w:val="24"/>
                <w:lang w:eastAsia="tr-TR"/>
              </w:rPr>
              <w:t>9.</w:t>
            </w:r>
            <w:r w:rsidRPr="00A23740">
              <w:rPr>
                <w:rFonts w:eastAsia="Times New Roman"/>
                <w:b/>
                <w:bCs/>
                <w:szCs w:val="24"/>
              </w:rPr>
              <w:t xml:space="preserve"> Yeniden veya aynı alacak için ihtiyati haciz</w:t>
            </w:r>
          </w:p>
          <w:p w:rsidR="00A46C6E" w:rsidRPr="00A23740" w:rsidRDefault="00A46C6E" w:rsidP="009431FF">
            <w:pPr>
              <w:widowControl w:val="0"/>
              <w:rPr>
                <w:rFonts w:eastAsia="Times New Roman"/>
                <w:szCs w:val="24"/>
              </w:rPr>
            </w:pPr>
            <w:r w:rsidRPr="00A23740">
              <w:rPr>
                <w:rFonts w:eastAsia="Times New Roman"/>
                <w:b/>
                <w:bCs/>
                <w:szCs w:val="24"/>
              </w:rPr>
              <w:t xml:space="preserve">MADDE </w:t>
            </w:r>
            <w:r w:rsidRPr="00A23740">
              <w:rPr>
                <w:rFonts w:eastAsia="Times New Roman"/>
                <w:b/>
                <w:strike/>
                <w:color w:val="FF0000"/>
                <w:szCs w:val="24"/>
                <w:lang w:eastAsia="tr-TR"/>
              </w:rPr>
              <w:t>1375-</w:t>
            </w:r>
            <w:r w:rsidRPr="00A23740">
              <w:rPr>
                <w:rFonts w:eastAsia="Times New Roman"/>
                <w:szCs w:val="24"/>
              </w:rPr>
              <w:t xml:space="preserve"> </w:t>
            </w:r>
            <w:r w:rsidRPr="00B20094">
              <w:rPr>
                <w:bCs/>
              </w:rPr>
              <w:t>(1)</w:t>
            </w:r>
            <w:r w:rsidRPr="00A23740">
              <w:rPr>
                <w:rFonts w:eastAsia="Times New Roman"/>
                <w:szCs w:val="24"/>
              </w:rPr>
              <w:t xml:space="preserve"> Gemi, bir deniz alacağı için, yurt içinde veya yurt dışında ihtiyaten haczedilmiş ve serbest bırakılmışsa veya o gemiyle ilgili olarak teminat alınmışsa, </w:t>
            </w:r>
            <w:r w:rsidRPr="00A23740">
              <w:rPr>
                <w:rFonts w:eastAsia="Times New Roman"/>
                <w:b/>
                <w:strike/>
                <w:color w:val="FF0000"/>
                <w:szCs w:val="24"/>
                <w:lang w:eastAsia="x-none"/>
              </w:rPr>
              <w:t xml:space="preserve">aynı </w:t>
            </w:r>
            <w:r w:rsidRPr="00A23740">
              <w:rPr>
                <w:rFonts w:eastAsia="Times New Roman"/>
                <w:szCs w:val="24"/>
              </w:rPr>
              <w:t xml:space="preserve">geminin yeniden </w:t>
            </w:r>
            <w:r w:rsidRPr="00A23740">
              <w:rPr>
                <w:rFonts w:eastAsia="Times New Roman"/>
                <w:b/>
                <w:strike/>
                <w:color w:val="FF0000"/>
                <w:szCs w:val="24"/>
                <w:lang w:eastAsia="x-none"/>
              </w:rPr>
              <w:t>veya</w:t>
            </w:r>
            <w:r w:rsidRPr="00A23740">
              <w:rPr>
                <w:rFonts w:eastAsia="Times New Roman"/>
                <w:szCs w:val="24"/>
              </w:rPr>
              <w:t xml:space="preserve"> aynı alacak için ihtiyati haczi </w:t>
            </w:r>
            <w:r w:rsidRPr="00A23740">
              <w:rPr>
                <w:rFonts w:eastAsia="Times New Roman"/>
                <w:b/>
                <w:strike/>
                <w:color w:val="FF0000"/>
                <w:szCs w:val="24"/>
                <w:lang w:eastAsia="x-none"/>
              </w:rPr>
              <w:t>sadece;</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bCs/>
                <w:szCs w:val="24"/>
              </w:rPr>
            </w:pPr>
            <w:r w:rsidRPr="00A23740">
              <w:rPr>
                <w:rFonts w:eastAsia="Times New Roman"/>
                <w:szCs w:val="24"/>
              </w:rPr>
              <w:t xml:space="preserve">a) Elde edilecek toplam teminat miktarının, geminin değerini aşmaması şartıyla, </w:t>
            </w:r>
            <w:r w:rsidRPr="00A23740">
              <w:rPr>
                <w:rFonts w:eastAsia="Times New Roman"/>
                <w:b/>
                <w:strike/>
                <w:color w:val="FF0000"/>
                <w:szCs w:val="24"/>
                <w:lang w:eastAsia="x-none"/>
              </w:rPr>
              <w:t xml:space="preserve">ilk </w:t>
            </w:r>
            <w:r w:rsidRPr="00A23740">
              <w:rPr>
                <w:rFonts w:eastAsia="Times New Roman"/>
                <w:bCs/>
                <w:szCs w:val="24"/>
              </w:rPr>
              <w:t>teminat</w:t>
            </w:r>
            <w:r w:rsidRPr="00A23740">
              <w:rPr>
                <w:rFonts w:eastAsia="Times New Roman"/>
                <w:bCs/>
                <w:color w:val="FF0000"/>
                <w:szCs w:val="24"/>
                <w:lang w:eastAsia="x-none"/>
              </w:rPr>
              <w:t>ın</w:t>
            </w:r>
            <w:r w:rsidRPr="00A23740">
              <w:rPr>
                <w:rFonts w:eastAsia="Times New Roman"/>
                <w:bCs/>
                <w:szCs w:val="24"/>
              </w:rPr>
              <w:t xml:space="preserve"> tür veya miktar</w:t>
            </w:r>
            <w:r w:rsidRPr="00A23740">
              <w:rPr>
                <w:rFonts w:eastAsia="Times New Roman"/>
                <w:b/>
                <w:strike/>
                <w:color w:val="FF0000"/>
                <w:szCs w:val="24"/>
                <w:lang w:eastAsia="x-none"/>
              </w:rPr>
              <w:t>ı</w:t>
            </w:r>
            <w:r w:rsidRPr="00A23740">
              <w:rPr>
                <w:rFonts w:eastAsia="Times New Roman"/>
                <w:bCs/>
                <w:szCs w:val="24"/>
              </w:rPr>
              <w:t xml:space="preserve"> yetersiz ise</w:t>
            </w:r>
            <w:r w:rsidRPr="00A23740">
              <w:rPr>
                <w:rFonts w:eastAsia="Times New Roman"/>
                <w:b/>
                <w:strike/>
                <w:color w:val="FF0000"/>
                <w:szCs w:val="24"/>
                <w:lang w:eastAsia="x-none"/>
              </w:rPr>
              <w:t>; veya</w:t>
            </w:r>
          </w:p>
          <w:p w:rsidR="00A46C6E" w:rsidRPr="00A23740" w:rsidRDefault="00A46C6E" w:rsidP="009431FF">
            <w:pPr>
              <w:widowControl w:val="0"/>
              <w:rPr>
                <w:rFonts w:eastAsia="Times New Roman"/>
                <w:bCs/>
                <w:szCs w:val="24"/>
              </w:rPr>
            </w:pPr>
          </w:p>
          <w:p w:rsidR="005468D1" w:rsidRPr="00A23740" w:rsidRDefault="005468D1" w:rsidP="009431FF">
            <w:pPr>
              <w:widowControl w:val="0"/>
              <w:rPr>
                <w:rFonts w:eastAsia="Times New Roman"/>
                <w:bCs/>
                <w:szCs w:val="24"/>
              </w:rPr>
            </w:pPr>
          </w:p>
          <w:p w:rsidR="00A46C6E" w:rsidRPr="00A23740" w:rsidRDefault="00A46C6E" w:rsidP="009431FF">
            <w:pPr>
              <w:widowControl w:val="0"/>
              <w:rPr>
                <w:rFonts w:eastAsia="Times New Roman"/>
                <w:bCs/>
                <w:color w:val="FF0000"/>
                <w:szCs w:val="24"/>
                <w:lang w:eastAsia="x-none"/>
              </w:rPr>
            </w:pPr>
            <w:r w:rsidRPr="00A23740">
              <w:rPr>
                <w:rFonts w:eastAsia="Times New Roman"/>
                <w:bCs/>
                <w:szCs w:val="24"/>
              </w:rPr>
              <w:t xml:space="preserve">b) </w:t>
            </w:r>
            <w:r w:rsidRPr="00A23740">
              <w:rPr>
                <w:rFonts w:eastAsia="Times New Roman"/>
                <w:b/>
                <w:strike/>
                <w:color w:val="FF0000"/>
                <w:szCs w:val="24"/>
                <w:lang w:eastAsia="x-none"/>
              </w:rPr>
              <w:t>İlk</w:t>
            </w:r>
            <w:r w:rsidRPr="005A4748">
              <w:rPr>
                <w:rFonts w:eastAsia="Times New Roman"/>
                <w:b/>
                <w:color w:val="FF0000"/>
                <w:szCs w:val="24"/>
                <w:lang w:eastAsia="x-none"/>
              </w:rPr>
              <w:t xml:space="preserve"> </w:t>
            </w:r>
            <w:r w:rsidRPr="00A23740">
              <w:rPr>
                <w:rFonts w:eastAsia="Times New Roman"/>
                <w:bCs/>
                <w:szCs w:val="24"/>
              </w:rPr>
              <w:t>teminatı vermiş olan kişi</w:t>
            </w:r>
            <w:r w:rsidRPr="00A23740">
              <w:rPr>
                <w:rFonts w:eastAsia="Times New Roman"/>
                <w:b/>
                <w:strike/>
                <w:color w:val="FF0000"/>
                <w:szCs w:val="24"/>
                <w:lang w:eastAsia="x-none"/>
              </w:rPr>
              <w:t>, kendi</w:t>
            </w:r>
            <w:r w:rsidRPr="00A23740">
              <w:rPr>
                <w:rFonts w:eastAsia="Times New Roman"/>
                <w:bCs/>
                <w:szCs w:val="24"/>
              </w:rPr>
              <w:t xml:space="preserve"> borçlarını kısmen veya tamamen yerine </w:t>
            </w:r>
            <w:r w:rsidRPr="005A4748">
              <w:rPr>
                <w:rStyle w:val="KIRMIZIChar"/>
                <w:rFonts w:eastAsia="Calibri"/>
              </w:rPr>
              <w:t>getirmez</w:t>
            </w:r>
            <w:r w:rsidRPr="005A4748">
              <w:rPr>
                <w:rFonts w:eastAsia="Times New Roman"/>
                <w:b/>
                <w:color w:val="FF0000"/>
                <w:szCs w:val="24"/>
                <w:lang w:eastAsia="x-none"/>
              </w:rPr>
              <w:t xml:space="preserve"> </w:t>
            </w:r>
            <w:r w:rsidRPr="00A23740">
              <w:rPr>
                <w:rFonts w:eastAsia="Times New Roman"/>
                <w:bCs/>
                <w:szCs w:val="24"/>
              </w:rPr>
              <w:t xml:space="preserve">veya yerine </w:t>
            </w:r>
            <w:r w:rsidRPr="005A4748">
              <w:rPr>
                <w:rStyle w:val="KIRMIZIChar"/>
                <w:rFonts w:eastAsia="Calibri"/>
              </w:rPr>
              <w:t>getirmekten</w:t>
            </w:r>
            <w:r w:rsidRPr="00A23740">
              <w:rPr>
                <w:rFonts w:eastAsia="Times New Roman"/>
                <w:b/>
                <w:strike/>
                <w:color w:val="FF0000"/>
                <w:szCs w:val="24"/>
                <w:lang w:eastAsia="x-none"/>
              </w:rPr>
              <w:t xml:space="preserve"> âciz olursa; veya</w:t>
            </w:r>
          </w:p>
          <w:p w:rsidR="005468D1" w:rsidRPr="00A23740" w:rsidRDefault="005468D1" w:rsidP="009431FF">
            <w:pPr>
              <w:widowControl w:val="0"/>
              <w:rPr>
                <w:rFonts w:eastAsia="Times New Roman"/>
                <w:bCs/>
                <w:szCs w:val="24"/>
              </w:rPr>
            </w:pPr>
          </w:p>
          <w:p w:rsidR="00A46C6E" w:rsidRPr="00A23740" w:rsidRDefault="00A46C6E" w:rsidP="009431FF">
            <w:pPr>
              <w:widowControl w:val="0"/>
              <w:rPr>
                <w:rFonts w:eastAsia="Times New Roman"/>
                <w:bCs/>
                <w:szCs w:val="24"/>
              </w:rPr>
            </w:pPr>
            <w:r w:rsidRPr="00A23740">
              <w:rPr>
                <w:rFonts w:eastAsia="Times New Roman"/>
                <w:bCs/>
                <w:szCs w:val="24"/>
              </w:rPr>
              <w:t xml:space="preserve">c) İhtiyaten haczedilen gemi veya </w:t>
            </w:r>
            <w:r w:rsidRPr="00A23740">
              <w:rPr>
                <w:rFonts w:eastAsia="Times New Roman"/>
                <w:b/>
                <w:strike/>
                <w:color w:val="FF0000"/>
                <w:szCs w:val="24"/>
                <w:lang w:eastAsia="x-none"/>
              </w:rPr>
              <w:t>ilk</w:t>
            </w:r>
            <w:r w:rsidRPr="00A23740">
              <w:rPr>
                <w:rFonts w:eastAsia="Times New Roman"/>
                <w:bCs/>
                <w:szCs w:val="24"/>
              </w:rPr>
              <w:t xml:space="preserve"> teminat</w:t>
            </w:r>
            <w:r w:rsidRPr="00A23740">
              <w:rPr>
                <w:rFonts w:eastAsia="Times New Roman"/>
                <w:b/>
                <w:strike/>
                <w:color w:val="FF0000"/>
                <w:szCs w:val="24"/>
                <w:lang w:eastAsia="x-none"/>
              </w:rPr>
              <w:t>;</w:t>
            </w:r>
            <w:r w:rsidRPr="00A23740">
              <w:rPr>
                <w:rFonts w:eastAsia="Times New Roman"/>
                <w:bCs/>
                <w:szCs w:val="24"/>
              </w:rPr>
              <w:t xml:space="preserve"> makul sebepler</w:t>
            </w:r>
            <w:r w:rsidRPr="00A23740">
              <w:rPr>
                <w:rFonts w:eastAsia="Times New Roman"/>
                <w:b/>
                <w:strike/>
                <w:color w:val="FF0000"/>
                <w:szCs w:val="24"/>
                <w:lang w:eastAsia="x-none"/>
              </w:rPr>
              <w:t>e</w:t>
            </w:r>
            <w:r w:rsidRPr="00A23740">
              <w:rPr>
                <w:rFonts w:eastAsia="Times New Roman"/>
                <w:bCs/>
                <w:color w:val="FF0000"/>
                <w:szCs w:val="24"/>
                <w:lang w:eastAsia="x-none"/>
              </w:rPr>
              <w:t xml:space="preserve"> </w:t>
            </w:r>
            <w:r w:rsidRPr="00A23740">
              <w:rPr>
                <w:rFonts w:eastAsia="Times New Roman"/>
                <w:b/>
                <w:strike/>
                <w:color w:val="FF0000"/>
                <w:szCs w:val="24"/>
                <w:lang w:eastAsia="x-none"/>
              </w:rPr>
              <w:t>dayanarak</w:t>
            </w:r>
            <w:r w:rsidRPr="005A4748">
              <w:rPr>
                <w:rFonts w:eastAsia="Times New Roman"/>
                <w:b/>
                <w:color w:val="FF0000"/>
                <w:szCs w:val="24"/>
                <w:lang w:eastAsia="x-none"/>
              </w:rPr>
              <w:t xml:space="preserve"> </w:t>
            </w:r>
            <w:r w:rsidRPr="00A23740">
              <w:rPr>
                <w:rFonts w:eastAsia="Times New Roman"/>
                <w:bCs/>
                <w:szCs w:val="24"/>
              </w:rPr>
              <w:t xml:space="preserve">hareket eden alacaklının </w:t>
            </w:r>
            <w:r w:rsidRPr="00A23740">
              <w:rPr>
                <w:rFonts w:eastAsia="Times New Roman"/>
                <w:b/>
                <w:strike/>
                <w:color w:val="FF0000"/>
                <w:szCs w:val="24"/>
                <w:lang w:eastAsia="x-none"/>
              </w:rPr>
              <w:t>istemiyle</w:t>
            </w:r>
            <w:r w:rsidRPr="00A23740">
              <w:rPr>
                <w:rFonts w:eastAsia="Times New Roman"/>
                <w:bCs/>
                <w:szCs w:val="24"/>
              </w:rPr>
              <w:t xml:space="preserve"> veya onayıyla </w:t>
            </w:r>
            <w:r w:rsidRPr="00A23740">
              <w:rPr>
                <w:rFonts w:eastAsia="Times New Roman"/>
                <w:b/>
                <w:strike/>
                <w:color w:val="FF0000"/>
                <w:szCs w:val="24"/>
                <w:lang w:eastAsia="x-none"/>
              </w:rPr>
              <w:t>yahut</w:t>
            </w:r>
            <w:r w:rsidRPr="00A23740">
              <w:rPr>
                <w:rFonts w:eastAsia="Times New Roman"/>
                <w:bCs/>
                <w:szCs w:val="24"/>
              </w:rPr>
              <w:t xml:space="preserve"> alacaklının serbest bırakılmayı engelleyecek makul önlemleri alamaması sebebiyle serbest bırakılmış ise</w:t>
            </w:r>
            <w:r w:rsidRPr="00A23740">
              <w:rPr>
                <w:rFonts w:eastAsia="Times New Roman"/>
                <w:b/>
                <w:strike/>
                <w:color w:val="FF0000"/>
                <w:szCs w:val="24"/>
                <w:lang w:eastAsia="x-none"/>
              </w:rPr>
              <w:t>,</w:t>
            </w:r>
            <w:r w:rsidRPr="00A23740">
              <w:rPr>
                <w:rFonts w:eastAsia="Times New Roman"/>
                <w:bCs/>
                <w:szCs w:val="24"/>
              </w:rPr>
              <w:t xml:space="preserve"> </w:t>
            </w:r>
          </w:p>
          <w:p w:rsidR="00A46C6E" w:rsidRPr="00A23740" w:rsidRDefault="00A46C6E" w:rsidP="009431FF">
            <w:pPr>
              <w:widowControl w:val="0"/>
              <w:rPr>
                <w:rFonts w:eastAsia="Times New Roman"/>
                <w:b/>
                <w:strike/>
                <w:color w:val="FF0000"/>
                <w:szCs w:val="24"/>
                <w:lang w:eastAsia="x-none"/>
              </w:rPr>
            </w:pPr>
            <w:r w:rsidRPr="00A23740">
              <w:rPr>
                <w:rFonts w:eastAsia="Times New Roman"/>
                <w:b/>
                <w:strike/>
                <w:color w:val="FF0000"/>
                <w:szCs w:val="24"/>
                <w:lang w:eastAsia="x-none"/>
              </w:rPr>
              <w:t>mümkündür.</w:t>
            </w:r>
          </w:p>
          <w:p w:rsidR="00A46C6E" w:rsidRPr="00A23740" w:rsidRDefault="00A46C6E" w:rsidP="009431FF">
            <w:pPr>
              <w:widowControl w:val="0"/>
              <w:rPr>
                <w:rFonts w:eastAsia="Times New Roman"/>
                <w:bCs/>
                <w:szCs w:val="24"/>
              </w:rPr>
            </w:pPr>
          </w:p>
          <w:p w:rsidR="00A46C6E" w:rsidRPr="005A4748" w:rsidRDefault="00A46C6E" w:rsidP="009431FF">
            <w:pPr>
              <w:widowControl w:val="0"/>
              <w:rPr>
                <w:rStyle w:val="KIRMIZIChar"/>
                <w:rFonts w:eastAsia="Calibri"/>
              </w:rPr>
            </w:pPr>
            <w:r w:rsidRPr="00B20094">
              <w:rPr>
                <w:bCs/>
              </w:rPr>
              <w:t>(2)</w:t>
            </w:r>
            <w:r w:rsidRPr="00A23740">
              <w:rPr>
                <w:rFonts w:eastAsia="Times New Roman"/>
                <w:szCs w:val="24"/>
              </w:rPr>
              <w:t xml:space="preserve"> Aynı deniz alacağı için </w:t>
            </w:r>
            <w:r w:rsidRPr="005A4748">
              <w:rPr>
                <w:rStyle w:val="KIRMIZIChar"/>
                <w:rFonts w:eastAsia="Calibri"/>
              </w:rPr>
              <w:t>ihtiyati hacze konu olabilecek başka bir gemi;</w:t>
            </w:r>
          </w:p>
          <w:p w:rsidR="00A46C6E" w:rsidRPr="00A23740" w:rsidRDefault="00A46C6E" w:rsidP="009431FF">
            <w:pPr>
              <w:widowControl w:val="0"/>
              <w:rPr>
                <w:rFonts w:eastAsia="Times New Roman"/>
                <w:szCs w:val="24"/>
              </w:rPr>
            </w:pPr>
            <w:r w:rsidRPr="00A23740">
              <w:rPr>
                <w:rFonts w:eastAsia="Times New Roman"/>
                <w:b/>
                <w:strike/>
                <w:color w:val="FF0000"/>
                <w:szCs w:val="24"/>
                <w:lang w:eastAsia="x-none"/>
              </w:rPr>
              <w:t>a)</w:t>
            </w:r>
            <w:r w:rsidRPr="00A23740">
              <w:rPr>
                <w:rFonts w:eastAsia="Times New Roman"/>
                <w:szCs w:val="24"/>
              </w:rPr>
              <w:t xml:space="preserve"> Daha önce verilmiş olan teminat</w:t>
            </w:r>
            <w:r w:rsidRPr="00A23740">
              <w:rPr>
                <w:rFonts w:eastAsia="Times New Roman"/>
                <w:b/>
                <w:strike/>
                <w:color w:val="FF0000"/>
                <w:szCs w:val="24"/>
                <w:lang w:eastAsia="x-none"/>
              </w:rPr>
              <w:t>ın</w:t>
            </w:r>
            <w:r w:rsidRPr="00A23740">
              <w:rPr>
                <w:rFonts w:eastAsia="Times New Roman"/>
                <w:szCs w:val="24"/>
              </w:rPr>
              <w:t xml:space="preserve"> tür veya miktarı yetersiz</w:t>
            </w:r>
            <w:r w:rsidRPr="00A23740">
              <w:rPr>
                <w:rFonts w:eastAsia="Times New Roman"/>
                <w:b/>
                <w:strike/>
                <w:color w:val="FF0000"/>
                <w:szCs w:val="24"/>
                <w:lang w:eastAsia="x-none"/>
              </w:rPr>
              <w:t xml:space="preserve">se; </w:t>
            </w:r>
            <w:r w:rsidRPr="00A23740">
              <w:rPr>
                <w:rFonts w:eastAsia="Times New Roman"/>
                <w:szCs w:val="24"/>
              </w:rPr>
              <w:t xml:space="preserve">veya </w:t>
            </w:r>
          </w:p>
          <w:p w:rsidR="00A46C6E" w:rsidRPr="00A23740" w:rsidRDefault="00A46C6E" w:rsidP="009431FF">
            <w:pPr>
              <w:widowControl w:val="0"/>
              <w:rPr>
                <w:rFonts w:eastAsia="Times New Roman"/>
                <w:szCs w:val="24"/>
              </w:rPr>
            </w:pPr>
            <w:r w:rsidRPr="00A23740">
              <w:rPr>
                <w:rFonts w:eastAsia="Times New Roman"/>
                <w:b/>
                <w:strike/>
                <w:color w:val="FF0000"/>
                <w:szCs w:val="24"/>
                <w:lang w:eastAsia="x-none"/>
              </w:rPr>
              <w:t>b)</w:t>
            </w:r>
            <w:r w:rsidRPr="00A23740">
              <w:rPr>
                <w:rFonts w:eastAsia="Times New Roman"/>
                <w:szCs w:val="24"/>
              </w:rPr>
              <w:t xml:space="preserve"> Birinci fıkranın (b) veya (c) bentleri </w:t>
            </w:r>
            <w:r w:rsidRPr="00A23740">
              <w:rPr>
                <w:rFonts w:eastAsia="Times New Roman"/>
                <w:b/>
                <w:strike/>
                <w:color w:val="FF0000"/>
                <w:szCs w:val="24"/>
                <w:lang w:eastAsia="x-none"/>
              </w:rPr>
              <w:t>uygulama alanı buluyorsa,</w:t>
            </w:r>
          </w:p>
          <w:p w:rsidR="00A46C6E" w:rsidRPr="00A23740" w:rsidRDefault="00A46C6E" w:rsidP="009431FF">
            <w:pPr>
              <w:widowControl w:val="0"/>
              <w:rPr>
                <w:rFonts w:eastAsia="Times New Roman"/>
                <w:b/>
                <w:strike/>
                <w:color w:val="FF0000"/>
                <w:szCs w:val="24"/>
                <w:lang w:eastAsia="x-none"/>
              </w:rPr>
            </w:pPr>
            <w:r w:rsidRPr="00A23740">
              <w:rPr>
                <w:rFonts w:eastAsia="Times New Roman"/>
                <w:szCs w:val="24"/>
              </w:rPr>
              <w:t>ihtiyaten hacz</w:t>
            </w:r>
            <w:r w:rsidRPr="00A23740">
              <w:rPr>
                <w:rFonts w:eastAsia="Times New Roman"/>
                <w:b/>
                <w:strike/>
                <w:color w:val="FF0000"/>
                <w:szCs w:val="24"/>
                <w:lang w:eastAsia="x-none"/>
              </w:rPr>
              <w:t>edilebilir.</w:t>
            </w:r>
          </w:p>
          <w:p w:rsidR="00A46C6E" w:rsidRPr="00A23740" w:rsidRDefault="00A46C6E" w:rsidP="009431FF">
            <w:pPr>
              <w:widowControl w:val="0"/>
              <w:rPr>
                <w:rFonts w:eastAsia="Times New Roman"/>
                <w:b/>
                <w:strike/>
                <w:color w:val="FF0000"/>
                <w:szCs w:val="24"/>
                <w:lang w:eastAsia="x-none"/>
              </w:rPr>
            </w:pPr>
          </w:p>
          <w:p w:rsidR="00AE323E" w:rsidRPr="00A23740" w:rsidRDefault="00AE323E" w:rsidP="009431FF">
            <w:pPr>
              <w:widowControl w:val="0"/>
              <w:rPr>
                <w:rFonts w:eastAsia="Times New Roman"/>
                <w:szCs w:val="24"/>
              </w:rPr>
            </w:pPr>
          </w:p>
          <w:p w:rsidR="00A46C6E" w:rsidRPr="00A23740" w:rsidRDefault="00A46C6E" w:rsidP="009431FF">
            <w:pPr>
              <w:widowControl w:val="0"/>
              <w:rPr>
                <w:rFonts w:eastAsia="Times New Roman"/>
                <w:szCs w:val="24"/>
              </w:rPr>
            </w:pPr>
            <w:r w:rsidRPr="00B20094">
              <w:rPr>
                <w:bCs/>
              </w:rPr>
              <w:t>(3)</w:t>
            </w:r>
            <w:r w:rsidRPr="00A23740">
              <w:rPr>
                <w:rFonts w:eastAsia="Times New Roman"/>
                <w:szCs w:val="24"/>
              </w:rPr>
              <w:t xml:space="preserve"> Geminin hukuka aykırı yollarla, ihtiyati hacizden kurtulması veya kaçması hâllerinde, gemi, birinci ve ikinci fıkralar anlamında serbest bırakılmış sayılmaz.</w:t>
            </w:r>
          </w:p>
        </w:tc>
        <w:tc>
          <w:tcPr>
            <w:tcW w:w="2500" w:type="pct"/>
            <w:shd w:val="clear" w:color="auto" w:fill="auto"/>
          </w:tcPr>
          <w:p w:rsidR="00A46C6E" w:rsidRPr="00A23740" w:rsidRDefault="00A46C6E" w:rsidP="009431FF">
            <w:pPr>
              <w:widowControl w:val="0"/>
              <w:rPr>
                <w:rFonts w:eastAsia="Times New Roman"/>
                <w:b/>
                <w:bCs/>
                <w:szCs w:val="24"/>
                <w:lang w:eastAsia="tr-TR"/>
              </w:rPr>
            </w:pPr>
            <w:r w:rsidRPr="00A23740">
              <w:rPr>
                <w:rFonts w:eastAsia="Times New Roman"/>
                <w:b/>
                <w:bCs/>
                <w:szCs w:val="24"/>
                <w:lang w:eastAsia="tr-TR"/>
              </w:rPr>
              <w:t>Yeniden veya aynı alacak için ihtiyati haciz</w:t>
            </w:r>
          </w:p>
          <w:p w:rsidR="00A46C6E" w:rsidRPr="00A23740" w:rsidRDefault="00BC725A" w:rsidP="009431FF">
            <w:pPr>
              <w:widowControl w:val="0"/>
              <w:rPr>
                <w:rFonts w:eastAsia="Times New Roman"/>
                <w:b/>
                <w:bCs/>
                <w:color w:val="0000FF"/>
                <w:szCs w:val="24"/>
                <w:lang w:eastAsia="tr-TR"/>
              </w:rPr>
            </w:pPr>
            <w:r w:rsidRPr="005A4748">
              <w:rPr>
                <w:rFonts w:eastAsia="Times New Roman"/>
                <w:b/>
                <w:bCs/>
                <w:color w:val="000000" w:themeColor="text1"/>
                <w:szCs w:val="24"/>
                <w:lang w:eastAsia="tr-TR"/>
              </w:rPr>
              <w:t xml:space="preserve">MADDE </w:t>
            </w:r>
            <w:r w:rsidRPr="00A23740">
              <w:rPr>
                <w:rFonts w:eastAsia="Times New Roman"/>
                <w:b/>
                <w:bCs/>
                <w:color w:val="0000FF"/>
                <w:szCs w:val="24"/>
                <w:lang w:eastAsia="tr-TR"/>
              </w:rPr>
              <w:t>503</w:t>
            </w:r>
            <w:r w:rsidR="00A46C6E" w:rsidRPr="00A23740">
              <w:rPr>
                <w:rFonts w:eastAsia="Times New Roman"/>
                <w:b/>
                <w:bCs/>
                <w:color w:val="0000FF"/>
                <w:szCs w:val="24"/>
                <w:lang w:eastAsia="tr-TR"/>
              </w:rPr>
              <w:t xml:space="preserve">- </w:t>
            </w:r>
            <w:r w:rsidR="00A46C6E" w:rsidRPr="005A4748">
              <w:t>(1)</w:t>
            </w:r>
            <w:r w:rsidR="00A46C6E" w:rsidRPr="00A23740">
              <w:rPr>
                <w:rFonts w:eastAsia="Times New Roman"/>
                <w:szCs w:val="24"/>
                <w:lang w:eastAsia="tr-TR"/>
              </w:rPr>
              <w:t xml:space="preserve"> Gemi, bir deniz alacağı için yurt içinde veya yurt dışında ihtiyaten haczedilmiş ve serbest bırakılmışsa veya o gemiyle ilgili olarak teminat alınmışsa, aynı alacak için </w:t>
            </w:r>
            <w:r w:rsidR="00A46C6E" w:rsidRPr="00A23740">
              <w:rPr>
                <w:rFonts w:eastAsia="Times New Roman"/>
                <w:b/>
                <w:bCs/>
                <w:color w:val="0000FF"/>
                <w:szCs w:val="24"/>
                <w:lang w:eastAsia="tr-TR"/>
              </w:rPr>
              <w:t>o</w:t>
            </w:r>
            <w:r w:rsidR="00A46C6E" w:rsidRPr="00A23740">
              <w:rPr>
                <w:rFonts w:eastAsia="Times New Roman"/>
                <w:szCs w:val="24"/>
                <w:lang w:eastAsia="tr-TR"/>
              </w:rPr>
              <w:t xml:space="preserve"> geminin yeniden</w:t>
            </w:r>
            <w:r w:rsidR="00A46C6E" w:rsidRPr="00A23740">
              <w:rPr>
                <w:rFonts w:eastAsia="Times New Roman"/>
                <w:b/>
                <w:bCs/>
                <w:color w:val="0000FF"/>
                <w:szCs w:val="24"/>
                <w:lang w:eastAsia="tr-TR"/>
              </w:rPr>
              <w:t xml:space="preserve"> </w:t>
            </w:r>
            <w:r w:rsidR="003D3177" w:rsidRPr="00F257EC">
              <w:rPr>
                <w:rStyle w:val="YELChar"/>
                <w:color w:val="0000FF"/>
              </w:rPr>
              <w:t>ihtiyaten</w:t>
            </w:r>
            <w:r w:rsidR="003D3177" w:rsidRPr="00A23740">
              <w:rPr>
                <w:rFonts w:eastAsia="Times New Roman"/>
                <w:szCs w:val="24"/>
                <w:lang w:eastAsia="tr-TR"/>
              </w:rPr>
              <w:t xml:space="preserve"> </w:t>
            </w:r>
            <w:r w:rsidR="00A46C6E" w:rsidRPr="00A23740">
              <w:rPr>
                <w:rFonts w:eastAsia="Times New Roman"/>
                <w:szCs w:val="24"/>
                <w:lang w:eastAsia="tr-TR"/>
              </w:rPr>
              <w:t>haczi</w:t>
            </w:r>
            <w:r w:rsidR="00A46C6E" w:rsidRPr="00A23740">
              <w:rPr>
                <w:rFonts w:eastAsia="Times New Roman"/>
                <w:b/>
                <w:bCs/>
                <w:color w:val="0000FF"/>
                <w:szCs w:val="24"/>
                <w:lang w:eastAsia="tr-TR"/>
              </w:rPr>
              <w:t>ne karar verilemez. Ancak aşağıda belirtilen hâllerden birinin mevcudiyeti h</w:t>
            </w:r>
            <w:r w:rsidR="003D3177" w:rsidRPr="00A23740">
              <w:rPr>
                <w:rFonts w:eastAsia="Times New Roman"/>
                <w:b/>
                <w:bCs/>
                <w:color w:val="0000FF"/>
                <w:szCs w:val="24"/>
                <w:lang w:eastAsia="tr-TR"/>
              </w:rPr>
              <w:t>â</w:t>
            </w:r>
            <w:r w:rsidR="00A46C6E" w:rsidRPr="00A23740">
              <w:rPr>
                <w:rFonts w:eastAsia="Times New Roman"/>
                <w:b/>
                <w:bCs/>
                <w:color w:val="0000FF"/>
                <w:szCs w:val="24"/>
                <w:lang w:eastAsia="tr-TR"/>
              </w:rPr>
              <w:t xml:space="preserve">linde, geminin aynı alacak için yeniden </w:t>
            </w:r>
            <w:r w:rsidR="003D3177" w:rsidRPr="00F257EC">
              <w:rPr>
                <w:rStyle w:val="YELChar"/>
                <w:color w:val="0000FF"/>
              </w:rPr>
              <w:t>ihtiyaten</w:t>
            </w:r>
            <w:r w:rsidR="003D3177" w:rsidRPr="00A23740">
              <w:rPr>
                <w:rFonts w:eastAsia="Times New Roman"/>
                <w:b/>
                <w:bCs/>
                <w:color w:val="0000FF"/>
                <w:szCs w:val="24"/>
                <w:lang w:eastAsia="tr-TR"/>
              </w:rPr>
              <w:t xml:space="preserve"> </w:t>
            </w:r>
            <w:r w:rsidR="00A46C6E" w:rsidRPr="00A23740">
              <w:rPr>
                <w:rFonts w:eastAsia="Times New Roman"/>
                <w:b/>
                <w:bCs/>
                <w:color w:val="0000FF"/>
                <w:szCs w:val="24"/>
                <w:lang w:eastAsia="tr-TR"/>
              </w:rPr>
              <w:t>haczine karar verilmesi mümkündür:</w:t>
            </w:r>
          </w:p>
          <w:p w:rsidR="00A46C6E" w:rsidRPr="00A23740" w:rsidRDefault="00A46C6E"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 xml:space="preserve">a) </w:t>
            </w:r>
            <w:r w:rsidRPr="00A23740">
              <w:rPr>
                <w:rFonts w:eastAsia="Times New Roman"/>
                <w:b/>
                <w:bCs/>
                <w:color w:val="0000FF"/>
                <w:szCs w:val="24"/>
                <w:lang w:eastAsia="tr-TR"/>
              </w:rPr>
              <w:t>Alacak için</w:t>
            </w:r>
            <w:r w:rsidRPr="00A23740">
              <w:rPr>
                <w:rFonts w:eastAsia="Times New Roman"/>
                <w:szCs w:val="24"/>
                <w:lang w:eastAsia="tr-TR"/>
              </w:rPr>
              <w:t xml:space="preserve"> elde edilecek teminat miktar</w:t>
            </w:r>
            <w:r w:rsidRPr="00A23740">
              <w:rPr>
                <w:rFonts w:eastAsia="Times New Roman"/>
                <w:b/>
                <w:bCs/>
                <w:color w:val="0000FF"/>
                <w:szCs w:val="24"/>
                <w:lang w:eastAsia="tr-TR"/>
              </w:rPr>
              <w:t>lar</w:t>
            </w:r>
            <w:r w:rsidRPr="00A23740">
              <w:rPr>
                <w:rFonts w:eastAsia="Times New Roman"/>
                <w:szCs w:val="24"/>
                <w:lang w:eastAsia="tr-TR"/>
              </w:rPr>
              <w:t>ının toplam</w:t>
            </w:r>
            <w:r w:rsidRPr="00A23740">
              <w:rPr>
                <w:rFonts w:eastAsia="Times New Roman"/>
                <w:b/>
                <w:bCs/>
                <w:color w:val="0000FF"/>
                <w:szCs w:val="24"/>
                <w:lang w:eastAsia="tr-TR"/>
              </w:rPr>
              <w:t>ının</w:t>
            </w:r>
            <w:r w:rsidRPr="00A23740">
              <w:rPr>
                <w:rFonts w:eastAsia="Times New Roman"/>
                <w:szCs w:val="24"/>
                <w:lang w:eastAsia="tr-TR"/>
              </w:rPr>
              <w:t xml:space="preserve"> geminin değerini aşmaması şartıyla, </w:t>
            </w:r>
            <w:r w:rsidRPr="00A23740">
              <w:rPr>
                <w:rFonts w:eastAsia="Times New Roman"/>
                <w:b/>
                <w:bCs/>
                <w:color w:val="0000FF"/>
                <w:szCs w:val="24"/>
                <w:lang w:eastAsia="tr-TR"/>
              </w:rPr>
              <w:t>daha önce verilen</w:t>
            </w:r>
            <w:r w:rsidRPr="00A23740">
              <w:rPr>
                <w:rFonts w:eastAsia="Times New Roman"/>
                <w:szCs w:val="24"/>
                <w:lang w:eastAsia="tr-TR"/>
              </w:rPr>
              <w:t xml:space="preserve"> teminat tür veya miktar </w:t>
            </w:r>
            <w:r w:rsidRPr="00A23740">
              <w:rPr>
                <w:rFonts w:eastAsia="Times New Roman"/>
                <w:b/>
                <w:bCs/>
                <w:color w:val="0000FF"/>
                <w:szCs w:val="24"/>
                <w:lang w:eastAsia="tr-TR"/>
              </w:rPr>
              <w:t>bakımından</w:t>
            </w:r>
            <w:r w:rsidRPr="00A23740">
              <w:rPr>
                <w:rFonts w:eastAsia="Times New Roman"/>
                <w:szCs w:val="24"/>
                <w:lang w:eastAsia="tr-TR"/>
              </w:rPr>
              <w:t xml:space="preserve"> yetersiz </w:t>
            </w:r>
            <w:r w:rsidRPr="00A23740">
              <w:rPr>
                <w:rFonts w:eastAsia="Times New Roman"/>
                <w:b/>
                <w:bCs/>
                <w:color w:val="0000FF"/>
                <w:szCs w:val="24"/>
                <w:lang w:eastAsia="tr-TR"/>
              </w:rPr>
              <w:t>kalmışsa</w:t>
            </w:r>
            <w:r w:rsidR="003D3177" w:rsidRPr="00F257EC">
              <w:rPr>
                <w:rStyle w:val="YELChar"/>
                <w:color w:val="0000FF"/>
              </w:rPr>
              <w:t>.</w:t>
            </w:r>
          </w:p>
          <w:p w:rsidR="005468D1" w:rsidRPr="00A23740" w:rsidRDefault="005468D1"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 xml:space="preserve">b) Teminatı vermiş olan kişi borçlarını kısmen veya tamamen yerine </w:t>
            </w:r>
            <w:r w:rsidR="00027CBE" w:rsidRPr="00F257EC">
              <w:rPr>
                <w:rFonts w:eastAsia="Times New Roman"/>
                <w:b/>
                <w:color w:val="0000FF"/>
                <w:szCs w:val="24"/>
                <w:lang w:eastAsia="tr-TR"/>
              </w:rPr>
              <w:t>getirmezse</w:t>
            </w:r>
            <w:r w:rsidR="00027CBE" w:rsidRPr="00A23740">
              <w:rPr>
                <w:rFonts w:eastAsia="Times New Roman"/>
                <w:szCs w:val="24"/>
                <w:lang w:eastAsia="tr-TR"/>
              </w:rPr>
              <w:t xml:space="preserve"> </w:t>
            </w:r>
            <w:r w:rsidRPr="00A23740">
              <w:rPr>
                <w:rFonts w:eastAsia="Times New Roman"/>
                <w:szCs w:val="24"/>
                <w:lang w:eastAsia="tr-TR"/>
              </w:rPr>
              <w:t xml:space="preserve">veya yerine </w:t>
            </w:r>
            <w:r w:rsidRPr="005A4748">
              <w:rPr>
                <w:rStyle w:val="Balk1Char"/>
                <w:rFonts w:eastAsia="Calibri"/>
              </w:rPr>
              <w:t>getirmeyeceği</w:t>
            </w:r>
            <w:r w:rsidRPr="00A23740">
              <w:rPr>
                <w:rFonts w:eastAsia="Times New Roman"/>
                <w:b/>
                <w:bCs/>
                <w:color w:val="0000FF"/>
                <w:szCs w:val="24"/>
                <w:lang w:eastAsia="tr-TR"/>
              </w:rPr>
              <w:t xml:space="preserve"> kuvvetle muhtemel ise</w:t>
            </w:r>
            <w:r w:rsidR="003D3177" w:rsidRPr="002E38C7">
              <w:rPr>
                <w:rFonts w:eastAsia="Times New Roman"/>
                <w:bCs/>
                <w:color w:val="0000FF"/>
                <w:lang w:eastAsia="tr-TR"/>
              </w:rPr>
              <w:t>.</w:t>
            </w:r>
          </w:p>
          <w:p w:rsidR="002E38C7" w:rsidRPr="00A23740" w:rsidRDefault="002E38C7" w:rsidP="009431FF">
            <w:pPr>
              <w:widowControl w:val="0"/>
              <w:rPr>
                <w:rFonts w:eastAsia="Times New Roman"/>
                <w:szCs w:val="24"/>
                <w:lang w:eastAsia="tr-TR"/>
              </w:rPr>
            </w:pPr>
          </w:p>
          <w:p w:rsidR="00A46C6E" w:rsidRPr="00A23740" w:rsidRDefault="00A46C6E" w:rsidP="009431FF">
            <w:pPr>
              <w:widowControl w:val="0"/>
              <w:rPr>
                <w:rFonts w:eastAsia="Times New Roman"/>
                <w:szCs w:val="24"/>
                <w:lang w:eastAsia="tr-TR"/>
              </w:rPr>
            </w:pPr>
            <w:r w:rsidRPr="00A23740">
              <w:rPr>
                <w:rFonts w:eastAsia="Times New Roman"/>
                <w:szCs w:val="24"/>
                <w:lang w:eastAsia="tr-TR"/>
              </w:rPr>
              <w:t xml:space="preserve">c) İhtiyaten haczedilen gemi veya </w:t>
            </w:r>
            <w:r w:rsidRPr="00A23740">
              <w:rPr>
                <w:rFonts w:eastAsia="Times New Roman"/>
                <w:b/>
                <w:bCs/>
                <w:color w:val="0000FF"/>
                <w:szCs w:val="24"/>
                <w:lang w:eastAsia="tr-TR"/>
              </w:rPr>
              <w:t>daha önce verilen</w:t>
            </w:r>
            <w:r w:rsidRPr="00A23740">
              <w:rPr>
                <w:rFonts w:eastAsia="Times New Roman"/>
                <w:szCs w:val="24"/>
                <w:lang w:eastAsia="tr-TR"/>
              </w:rPr>
              <w:t xml:space="preserve"> teminat</w:t>
            </w:r>
            <w:r w:rsidRPr="00A23740">
              <w:rPr>
                <w:rFonts w:eastAsia="Times New Roman"/>
                <w:b/>
                <w:bCs/>
                <w:color w:val="0000FF"/>
                <w:szCs w:val="24"/>
                <w:lang w:eastAsia="tr-TR"/>
              </w:rPr>
              <w:t>,</w:t>
            </w:r>
            <w:r w:rsidRPr="00A23740">
              <w:rPr>
                <w:rFonts w:eastAsia="Times New Roman"/>
                <w:szCs w:val="24"/>
                <w:lang w:eastAsia="tr-TR"/>
              </w:rPr>
              <w:t xml:space="preserve"> makul sebepler</w:t>
            </w:r>
            <w:r w:rsidRPr="00A23740">
              <w:rPr>
                <w:rFonts w:eastAsia="Times New Roman"/>
                <w:b/>
                <w:bCs/>
                <w:color w:val="0000FF"/>
                <w:szCs w:val="24"/>
                <w:lang w:eastAsia="tr-TR"/>
              </w:rPr>
              <w:t>le</w:t>
            </w:r>
            <w:r w:rsidRPr="00A23740">
              <w:rPr>
                <w:rFonts w:eastAsia="Times New Roman"/>
                <w:szCs w:val="24"/>
                <w:lang w:eastAsia="tr-TR"/>
              </w:rPr>
              <w:t xml:space="preserve"> hareket eden alacaklının </w:t>
            </w:r>
            <w:r w:rsidRPr="00A23740">
              <w:rPr>
                <w:rFonts w:eastAsia="Times New Roman"/>
                <w:b/>
                <w:bCs/>
                <w:color w:val="0000FF"/>
                <w:szCs w:val="24"/>
                <w:lang w:eastAsia="tr-TR"/>
              </w:rPr>
              <w:t>talebi</w:t>
            </w:r>
            <w:r w:rsidRPr="00A23740">
              <w:rPr>
                <w:rFonts w:eastAsia="Times New Roman"/>
                <w:szCs w:val="24"/>
                <w:lang w:eastAsia="tr-TR"/>
              </w:rPr>
              <w:t xml:space="preserve"> veya onayıyla </w:t>
            </w:r>
            <w:r w:rsidRPr="00A23740">
              <w:rPr>
                <w:rFonts w:eastAsia="Times New Roman"/>
                <w:b/>
                <w:bCs/>
                <w:color w:val="0000FF"/>
                <w:szCs w:val="24"/>
                <w:lang w:eastAsia="tr-TR"/>
              </w:rPr>
              <w:t>ya da</w:t>
            </w:r>
            <w:r w:rsidRPr="00A23740">
              <w:rPr>
                <w:rFonts w:eastAsia="Times New Roman"/>
                <w:szCs w:val="24"/>
                <w:lang w:eastAsia="tr-TR"/>
              </w:rPr>
              <w:t xml:space="preserve"> alacaklının serbest bırakılmayı engelleyecek makul önlemleri alamaması sebebiyle serbest bırakılmış ise</w:t>
            </w:r>
            <w:r w:rsidRPr="00A23740">
              <w:rPr>
                <w:rFonts w:eastAsia="Times New Roman"/>
                <w:b/>
                <w:bCs/>
                <w:color w:val="0000FF"/>
                <w:szCs w:val="24"/>
                <w:lang w:eastAsia="tr-TR"/>
              </w:rPr>
              <w:t>.</w:t>
            </w:r>
          </w:p>
          <w:p w:rsidR="00A46C6E" w:rsidRPr="00A23740" w:rsidRDefault="00A46C6E" w:rsidP="009431FF">
            <w:pPr>
              <w:widowControl w:val="0"/>
              <w:rPr>
                <w:rFonts w:eastAsia="Times New Roman"/>
                <w:szCs w:val="24"/>
              </w:rPr>
            </w:pPr>
          </w:p>
          <w:p w:rsidR="00A46C6E" w:rsidRPr="00A23740" w:rsidRDefault="00A46C6E" w:rsidP="009431FF">
            <w:pPr>
              <w:widowControl w:val="0"/>
              <w:rPr>
                <w:rFonts w:eastAsia="Times New Roman"/>
                <w:szCs w:val="24"/>
              </w:rPr>
            </w:pPr>
          </w:p>
          <w:p w:rsidR="00D42869" w:rsidRPr="00A23740" w:rsidRDefault="00A46C6E" w:rsidP="009431FF">
            <w:pPr>
              <w:widowControl w:val="0"/>
              <w:rPr>
                <w:rFonts w:eastAsia="Times New Roman"/>
                <w:bCs/>
                <w:color w:val="0000FF"/>
                <w:lang w:eastAsia="tr-TR"/>
              </w:rPr>
            </w:pPr>
            <w:r w:rsidRPr="005A4748">
              <w:t>(2)</w:t>
            </w:r>
            <w:r w:rsidRPr="00A23740">
              <w:rPr>
                <w:rFonts w:eastAsia="Times New Roman"/>
                <w:b/>
                <w:bCs/>
                <w:color w:val="0000FF"/>
                <w:szCs w:val="24"/>
                <w:lang w:eastAsia="tr-TR"/>
              </w:rPr>
              <w:t xml:space="preserve"> </w:t>
            </w:r>
            <w:r w:rsidR="00D42869" w:rsidRPr="00F257EC">
              <w:rPr>
                <w:rStyle w:val="YELChar"/>
                <w:color w:val="0000FF"/>
              </w:rPr>
              <w:t xml:space="preserve">Geminin ihtiyaten haczinden sonra, </w:t>
            </w:r>
            <w:r w:rsidR="00D42869" w:rsidRPr="005A4748">
              <w:t>aynı deniz alacağı için</w:t>
            </w:r>
            <w:r w:rsidR="00D42869" w:rsidRPr="00F257EC">
              <w:rPr>
                <w:rStyle w:val="YELChar"/>
                <w:color w:val="0000FF"/>
              </w:rPr>
              <w:t xml:space="preserve"> başka bir gemi ihtiyaten haczedilemez.</w:t>
            </w:r>
            <w:r w:rsidR="00D42869" w:rsidRPr="00A23740">
              <w:rPr>
                <w:lang w:eastAsia="tr-TR"/>
              </w:rPr>
              <w:t xml:space="preserve"> </w:t>
            </w:r>
            <w:r w:rsidR="00D42869" w:rsidRPr="00A23740">
              <w:rPr>
                <w:rFonts w:eastAsia="Times New Roman"/>
                <w:b/>
                <w:bCs/>
                <w:color w:val="0000FF"/>
                <w:szCs w:val="24"/>
                <w:lang w:eastAsia="tr-TR"/>
              </w:rPr>
              <w:t>Ancak</w:t>
            </w:r>
            <w:r w:rsidR="00D42869" w:rsidRPr="00A23740">
              <w:rPr>
                <w:rFonts w:eastAsia="Times New Roman"/>
                <w:szCs w:val="24"/>
                <w:lang w:eastAsia="tr-TR"/>
              </w:rPr>
              <w:t xml:space="preserve"> daha önce verilmiş olan teminat tür veya miktar </w:t>
            </w:r>
            <w:r w:rsidR="00D42869" w:rsidRPr="00A23740">
              <w:rPr>
                <w:rFonts w:eastAsia="Times New Roman"/>
                <w:b/>
                <w:bCs/>
                <w:color w:val="0000FF"/>
                <w:szCs w:val="24"/>
                <w:lang w:eastAsia="tr-TR"/>
              </w:rPr>
              <w:t>bakımından</w:t>
            </w:r>
            <w:r w:rsidR="00D42869" w:rsidRPr="00A23740">
              <w:rPr>
                <w:rFonts w:eastAsia="Times New Roman"/>
                <w:szCs w:val="24"/>
                <w:lang w:eastAsia="tr-TR"/>
              </w:rPr>
              <w:t xml:space="preserve"> yetersiz </w:t>
            </w:r>
            <w:r w:rsidR="00D42869" w:rsidRPr="00F257EC">
              <w:rPr>
                <w:rStyle w:val="YELChar"/>
                <w:color w:val="0000FF"/>
              </w:rPr>
              <w:t>kalmışsa</w:t>
            </w:r>
            <w:r w:rsidR="00D42869" w:rsidRPr="00A23740">
              <w:rPr>
                <w:rFonts w:eastAsia="Times New Roman"/>
                <w:szCs w:val="24"/>
                <w:lang w:eastAsia="tr-TR"/>
              </w:rPr>
              <w:t xml:space="preserve"> veya birinci </w:t>
            </w:r>
            <w:r w:rsidR="00D42869" w:rsidRPr="005A4748">
              <w:t>fıkranın</w:t>
            </w:r>
            <w:r w:rsidR="00D42869" w:rsidRPr="00A23740">
              <w:rPr>
                <w:rFonts w:eastAsia="Times New Roman"/>
                <w:szCs w:val="24"/>
                <w:lang w:eastAsia="tr-TR"/>
              </w:rPr>
              <w:t xml:space="preserve"> (b) veya (c) bentleri</w:t>
            </w:r>
            <w:r w:rsidR="00D42869" w:rsidRPr="00A23740">
              <w:rPr>
                <w:rFonts w:eastAsia="Times New Roman"/>
                <w:b/>
                <w:bCs/>
                <w:color w:val="0000FF"/>
                <w:szCs w:val="24"/>
                <w:lang w:eastAsia="tr-TR"/>
              </w:rPr>
              <w:t xml:space="preserve">nde belirtilen hâller söz konusu ise ihtiyati hacze konu olabilecek başka geminin </w:t>
            </w:r>
            <w:r w:rsidR="00D42869" w:rsidRPr="00A23740">
              <w:rPr>
                <w:rFonts w:eastAsia="Times New Roman"/>
                <w:szCs w:val="24"/>
              </w:rPr>
              <w:t>ihtiyaten hacz</w:t>
            </w:r>
            <w:r w:rsidR="00D42869" w:rsidRPr="00A23740">
              <w:rPr>
                <w:rFonts w:eastAsia="Times New Roman"/>
                <w:b/>
                <w:bCs/>
                <w:color w:val="0000FF"/>
                <w:szCs w:val="24"/>
                <w:lang w:eastAsia="tr-TR"/>
              </w:rPr>
              <w:t>ine karar verilebilir</w:t>
            </w:r>
            <w:r w:rsidR="00D42869" w:rsidRPr="00A23740">
              <w:rPr>
                <w:rFonts w:eastAsia="Times New Roman"/>
                <w:bCs/>
                <w:color w:val="0000FF"/>
                <w:lang w:eastAsia="tr-TR"/>
              </w:rPr>
              <w:t>.</w:t>
            </w:r>
          </w:p>
          <w:p w:rsidR="00A46C6E" w:rsidRPr="00A23740" w:rsidRDefault="00A46C6E" w:rsidP="009431FF">
            <w:pPr>
              <w:widowControl w:val="0"/>
              <w:rPr>
                <w:rFonts w:eastAsia="Times New Roman"/>
                <w:b/>
                <w:color w:val="FF0000"/>
                <w:szCs w:val="24"/>
                <w:lang w:eastAsia="tr-TR"/>
              </w:rPr>
            </w:pPr>
          </w:p>
          <w:p w:rsidR="00A46C6E" w:rsidRPr="00A23740" w:rsidRDefault="00A46C6E" w:rsidP="009431FF">
            <w:pPr>
              <w:widowControl w:val="0"/>
              <w:rPr>
                <w:rFonts w:eastAsia="Times New Roman"/>
                <w:bCs/>
                <w:szCs w:val="24"/>
              </w:rPr>
            </w:pPr>
            <w:r w:rsidRPr="005A4748">
              <w:t>(3)</w:t>
            </w:r>
            <w:r w:rsidRPr="00A23740">
              <w:rPr>
                <w:rFonts w:eastAsia="Times New Roman"/>
                <w:szCs w:val="24"/>
                <w:lang w:eastAsia="tr-TR"/>
              </w:rPr>
              <w:t xml:space="preserve"> Geminin hukuka aykırı yollarla ihtiyati hacizden kurtulması veya kaçması hâllerinde gemi, birinci ve ikinci fıkralar anlamında serbest bırakılmış sayılmaz.</w:t>
            </w:r>
          </w:p>
          <w:p w:rsidR="00A46C6E" w:rsidRPr="00A23740" w:rsidRDefault="00A46C6E" w:rsidP="009431FF">
            <w:pPr>
              <w:widowControl w:val="0"/>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89" w:name="_Hlk134342393"/>
          </w:p>
          <w:p w:rsidR="00A46C6E" w:rsidRPr="00A23740" w:rsidRDefault="00BC725A" w:rsidP="009431FF">
            <w:pPr>
              <w:ind w:firstLine="709"/>
              <w:rPr>
                <w:rFonts w:eastAsia="Times New Roman"/>
                <w:b/>
                <w:bCs/>
                <w:color w:val="4EA72E"/>
                <w:szCs w:val="24"/>
                <w:lang w:eastAsia="tr-TR"/>
              </w:rPr>
            </w:pPr>
            <w:r w:rsidRPr="00A23740">
              <w:rPr>
                <w:rFonts w:eastAsia="Times New Roman"/>
                <w:b/>
                <w:bCs/>
                <w:szCs w:val="24"/>
                <w:lang w:eastAsia="tr-TR"/>
              </w:rPr>
              <w:t>MADDE 503</w:t>
            </w:r>
            <w:r w:rsidR="00A46C6E" w:rsidRPr="00A23740">
              <w:rPr>
                <w:rFonts w:eastAsia="Times New Roman"/>
                <w:b/>
                <w:bCs/>
                <w:szCs w:val="24"/>
                <w:lang w:eastAsia="tr-TR"/>
              </w:rPr>
              <w:t xml:space="preserve">- </w:t>
            </w:r>
            <w:bookmarkStart w:id="90" w:name="_Hlk172874968"/>
            <w:r w:rsidR="00A46C6E" w:rsidRPr="00A23740">
              <w:rPr>
                <w:bCs/>
                <w:szCs w:val="24"/>
                <w:lang w:eastAsia="x-none"/>
              </w:rPr>
              <w:t xml:space="preserve">Maddeyle, </w:t>
            </w:r>
            <w:r w:rsidR="00A46C6E" w:rsidRPr="00F257EC">
              <w:rPr>
                <w:rFonts w:eastAsia="Times New Roman"/>
                <w:bCs/>
                <w:szCs w:val="24"/>
              </w:rPr>
              <w:t>geminin</w:t>
            </w:r>
            <w:r w:rsidR="00A46C6E" w:rsidRPr="00F257EC">
              <w:rPr>
                <w:rFonts w:eastAsia="Times New Roman"/>
                <w:b/>
                <w:bCs/>
              </w:rPr>
              <w:t xml:space="preserve"> </w:t>
            </w:r>
            <w:r w:rsidR="00A46C6E" w:rsidRPr="00F257EC">
              <w:rPr>
                <w:rFonts w:eastAsia="Times New Roman"/>
                <w:bCs/>
                <w:szCs w:val="24"/>
              </w:rPr>
              <w:t xml:space="preserve">aynı deniz alacağı için yeniden </w:t>
            </w:r>
            <w:r w:rsidR="007520BF" w:rsidRPr="00F257EC">
              <w:rPr>
                <w:rFonts w:eastAsia="Times New Roman"/>
                <w:bCs/>
                <w:szCs w:val="24"/>
              </w:rPr>
              <w:t xml:space="preserve">ihtiyaten haczine </w:t>
            </w:r>
            <w:r w:rsidR="00A46C6E" w:rsidRPr="00F257EC">
              <w:rPr>
                <w:rFonts w:eastAsia="Times New Roman"/>
                <w:bCs/>
                <w:szCs w:val="24"/>
              </w:rPr>
              <w:t>veya aynı alacak için birden fazla geminin</w:t>
            </w:r>
            <w:r w:rsidR="00A46C6E" w:rsidRPr="00A23740">
              <w:rPr>
                <w:rFonts w:eastAsia="Times New Roman"/>
                <w:bCs/>
                <w:color w:val="4EA72E"/>
                <w:szCs w:val="24"/>
              </w:rPr>
              <w:t xml:space="preserve"> </w:t>
            </w:r>
            <w:r w:rsidR="007520BF" w:rsidRPr="00F257EC">
              <w:rPr>
                <w:rFonts w:eastAsia="Times New Roman"/>
                <w:bCs/>
                <w:szCs w:val="24"/>
              </w:rPr>
              <w:t>ihtiyaten</w:t>
            </w:r>
            <w:r w:rsidR="007520BF" w:rsidRPr="00F257EC">
              <w:rPr>
                <w:rFonts w:eastAsia="Times New Roman"/>
                <w:b/>
                <w:bCs/>
              </w:rPr>
              <w:t xml:space="preserve"> </w:t>
            </w:r>
            <w:r w:rsidR="00EF4B6D" w:rsidRPr="00F257EC">
              <w:rPr>
                <w:rFonts w:eastAsia="Times New Roman"/>
                <w:b/>
                <w:bCs/>
              </w:rPr>
              <w:t xml:space="preserve"> </w:t>
            </w:r>
            <w:r w:rsidR="00EF4B6D" w:rsidRPr="00F257EC">
              <w:rPr>
                <w:rFonts w:eastAsia="Times New Roman"/>
                <w:bCs/>
                <w:szCs w:val="24"/>
              </w:rPr>
              <w:t>haczedilmesine</w:t>
            </w:r>
            <w:r w:rsidR="00EF4B6D" w:rsidRPr="00F257EC">
              <w:rPr>
                <w:rFonts w:eastAsia="Times New Roman"/>
                <w:b/>
                <w:bCs/>
              </w:rPr>
              <w:t xml:space="preserve"> </w:t>
            </w:r>
            <w:r w:rsidR="00A46C6E" w:rsidRPr="00F257EC">
              <w:rPr>
                <w:rFonts w:eastAsia="Times New Roman"/>
                <w:bCs/>
                <w:szCs w:val="24"/>
              </w:rPr>
              <w:t>ilişkin</w:t>
            </w:r>
            <w:r w:rsidR="00A46C6E" w:rsidRPr="00F257EC">
              <w:rPr>
                <w:rFonts w:eastAsia="Times New Roman"/>
                <w:b/>
                <w:bCs/>
              </w:rPr>
              <w:t xml:space="preserve"> </w:t>
            </w:r>
            <w:r w:rsidR="00A46C6E" w:rsidRPr="00F257EC">
              <w:rPr>
                <w:rFonts w:eastAsia="Times New Roman"/>
                <w:bCs/>
                <w:szCs w:val="24"/>
              </w:rPr>
              <w:t>hususlar</w:t>
            </w:r>
            <w:r w:rsidR="00A46C6E" w:rsidRPr="00F257EC">
              <w:rPr>
                <w:rFonts w:eastAsia="Times New Roman"/>
                <w:b/>
                <w:bCs/>
              </w:rPr>
              <w:t xml:space="preserve"> </w:t>
            </w:r>
            <w:r w:rsidR="00A46C6E" w:rsidRPr="00F257EC">
              <w:rPr>
                <w:rFonts w:eastAsia="Times New Roman"/>
                <w:bCs/>
                <w:szCs w:val="24"/>
              </w:rPr>
              <w:t>düzenlenmektedir</w:t>
            </w:r>
            <w:r w:rsidR="00A46C6E" w:rsidRPr="00F257EC">
              <w:rPr>
                <w:rFonts w:eastAsia="Times New Roman"/>
                <w:b/>
                <w:bCs/>
              </w:rPr>
              <w:t>.</w:t>
            </w:r>
          </w:p>
          <w:bookmarkEnd w:id="90"/>
          <w:p w:rsidR="00A46C6E" w:rsidRPr="00A23740" w:rsidRDefault="00A46C6E" w:rsidP="009431FF">
            <w:pPr>
              <w:ind w:firstLine="709"/>
              <w:rPr>
                <w:rFonts w:eastAsia="Times New Roman"/>
                <w:bCs/>
                <w:szCs w:val="24"/>
              </w:rPr>
            </w:pPr>
            <w:r w:rsidRPr="00A23740">
              <w:rPr>
                <w:rFonts w:eastAsia="Times New Roman"/>
                <w:bCs/>
                <w:szCs w:val="24"/>
              </w:rPr>
              <w:t xml:space="preserve">Madde, kaynak 1999 </w:t>
            </w:r>
            <w:r w:rsidR="007F30E4" w:rsidRPr="00F257EC">
              <w:rPr>
                <w:rFonts w:eastAsia="Times New Roman"/>
                <w:bCs/>
                <w:szCs w:val="24"/>
              </w:rPr>
              <w:t>tarihli</w:t>
            </w:r>
            <w:r w:rsidR="007F30E4" w:rsidRPr="00F257EC">
              <w:rPr>
                <w:rFonts w:eastAsia="Times New Roman"/>
                <w:b/>
                <w:szCs w:val="24"/>
              </w:rPr>
              <w:t xml:space="preserve"> </w:t>
            </w:r>
            <w:r w:rsidR="007F30E4" w:rsidRPr="00F257EC">
              <w:rPr>
                <w:rFonts w:eastAsia="Times New Roman"/>
                <w:bCs/>
                <w:szCs w:val="24"/>
              </w:rPr>
              <w:t>Milletlerarası</w:t>
            </w:r>
            <w:r w:rsidR="007F30E4" w:rsidRPr="00F257EC">
              <w:rPr>
                <w:rFonts w:eastAsia="Times New Roman"/>
                <w:b/>
                <w:szCs w:val="24"/>
              </w:rPr>
              <w:t xml:space="preserve"> </w:t>
            </w:r>
            <w:r w:rsidR="007F30E4" w:rsidRPr="00F257EC">
              <w:rPr>
                <w:rFonts w:eastAsia="Times New Roman"/>
                <w:bCs/>
                <w:szCs w:val="24"/>
              </w:rPr>
              <w:t>Sözleşmenin</w:t>
            </w:r>
            <w:r w:rsidRPr="00A23740">
              <w:rPr>
                <w:rFonts w:eastAsia="Times New Roman"/>
                <w:bCs/>
                <w:szCs w:val="24"/>
              </w:rPr>
              <w:t xml:space="preserve"> 5 inci maddesi doğrultusunda ifadenin daha açık ve anlaşılır olması için gerekli görülen değişiklikler yapılmak suretiyle 6102 sayılı Kanunun 1375 inci maddesinden alınmıştır. </w:t>
            </w:r>
          </w:p>
          <w:p w:rsidR="00A46C6E" w:rsidRPr="00A23740" w:rsidRDefault="00A46C6E" w:rsidP="009431FF">
            <w:pPr>
              <w:ind w:firstLine="709"/>
              <w:rPr>
                <w:rFonts w:eastAsia="Times New Roman"/>
                <w:bCs/>
                <w:szCs w:val="24"/>
              </w:rPr>
            </w:pPr>
            <w:r w:rsidRPr="00A23740">
              <w:rPr>
                <w:rFonts w:eastAsia="Times New Roman"/>
                <w:bCs/>
                <w:szCs w:val="24"/>
              </w:rPr>
              <w:t>Maddenin birinci fıkrasının birinci cümlesinde</w:t>
            </w:r>
            <w:r w:rsidR="00EF4B6D" w:rsidRPr="00A23740">
              <w:rPr>
                <w:rFonts w:eastAsia="Times New Roman"/>
                <w:bCs/>
                <w:szCs w:val="24"/>
              </w:rPr>
              <w:t>,</w:t>
            </w:r>
            <w:r w:rsidRPr="00A23740">
              <w:rPr>
                <w:rFonts w:eastAsia="Times New Roman"/>
                <w:bCs/>
                <w:szCs w:val="24"/>
              </w:rPr>
              <w:t xml:space="preserve"> “geminin, bir deniz alacağı için yurt içinde veya yurt dışında ihtiyaten haczedilmiş ve serbest bırakılmış veya o gemiyle ilgili olarak teminat alınmış olması hâllerinde, aynı alacak için o geminin yeniden</w:t>
            </w:r>
            <w:r w:rsidR="00EC35EB" w:rsidRPr="00A23740">
              <w:rPr>
                <w:rFonts w:eastAsia="Times New Roman"/>
                <w:bCs/>
                <w:szCs w:val="24"/>
              </w:rPr>
              <w:t xml:space="preserve"> </w:t>
            </w:r>
            <w:r w:rsidR="00EC35EB" w:rsidRPr="00F257EC">
              <w:rPr>
                <w:rFonts w:eastAsia="Times New Roman"/>
                <w:bCs/>
                <w:szCs w:val="24"/>
              </w:rPr>
              <w:t>ihtiyaten</w:t>
            </w:r>
            <w:r w:rsidRPr="00A23740">
              <w:rPr>
                <w:rFonts w:eastAsia="Times New Roman"/>
                <w:bCs/>
                <w:color w:val="385623"/>
                <w:szCs w:val="24"/>
              </w:rPr>
              <w:t xml:space="preserve"> </w:t>
            </w:r>
            <w:r w:rsidRPr="00A23740">
              <w:rPr>
                <w:rFonts w:eastAsia="Times New Roman"/>
                <w:bCs/>
                <w:szCs w:val="24"/>
              </w:rPr>
              <w:t>haczine karar verilemeyeceği” kuralı hüküm altına alınmıştır. Birinci fıkranın birinci cümlesinde biri “geminin bir deniz alacağı için ihtiyaten haczedilip teminat karşılığı serbest bırakılmış olması”, diğeri “bir deniz alacağı için ihtiyaten haczedilebilecek geminin haczini önlemek için o deniz alacağının tahsilini teminat altına almak üzer</w:t>
            </w:r>
            <w:r w:rsidR="00D42869" w:rsidRPr="00F257EC">
              <w:rPr>
                <w:rFonts w:eastAsia="Times New Roman"/>
                <w:bCs/>
                <w:szCs w:val="24"/>
              </w:rPr>
              <w:t>e</w:t>
            </w:r>
            <w:r w:rsidRPr="00A23740">
              <w:rPr>
                <w:rFonts w:eastAsia="Times New Roman"/>
                <w:bCs/>
                <w:szCs w:val="24"/>
              </w:rPr>
              <w:t xml:space="preserve"> teminat verilmiş olması” olmak üzere iki ayrı durumdan söz edilmektedir. Dolayısıyla birinci h</w:t>
            </w:r>
            <w:r w:rsidR="00D42869" w:rsidRPr="00A23740">
              <w:rPr>
                <w:rFonts w:eastAsia="Times New Roman"/>
                <w:bCs/>
                <w:szCs w:val="24"/>
              </w:rPr>
              <w:t>â</w:t>
            </w:r>
            <w:r w:rsidRPr="00A23740">
              <w:rPr>
                <w:rFonts w:eastAsia="Times New Roman"/>
                <w:bCs/>
                <w:szCs w:val="24"/>
              </w:rPr>
              <w:t>lde geminin aynı alacak için yeniden ihtiyati haczi, ikinci h</w:t>
            </w:r>
            <w:r w:rsidR="00D42869" w:rsidRPr="00A23740">
              <w:rPr>
                <w:rFonts w:eastAsia="Times New Roman"/>
                <w:bCs/>
                <w:szCs w:val="24"/>
              </w:rPr>
              <w:t>â</w:t>
            </w:r>
            <w:r w:rsidRPr="00A23740">
              <w:rPr>
                <w:rFonts w:eastAsia="Times New Roman"/>
                <w:bCs/>
                <w:szCs w:val="24"/>
              </w:rPr>
              <w:t xml:space="preserve">lde ise gemi ihtiyaten haczedilmeksizin teminat verilmiş deniz alacağı için o geminin </w:t>
            </w:r>
            <w:r w:rsidR="00EC35EB" w:rsidRPr="00F257EC">
              <w:rPr>
                <w:rFonts w:eastAsia="Times New Roman"/>
                <w:bCs/>
                <w:szCs w:val="24"/>
              </w:rPr>
              <w:t>ihtiyaten</w:t>
            </w:r>
            <w:r w:rsidR="00EC35EB" w:rsidRPr="00A23740">
              <w:rPr>
                <w:rFonts w:eastAsia="Times New Roman"/>
                <w:bCs/>
                <w:color w:val="385623"/>
                <w:szCs w:val="24"/>
              </w:rPr>
              <w:t xml:space="preserve"> </w:t>
            </w:r>
            <w:r w:rsidRPr="00A23740">
              <w:rPr>
                <w:rFonts w:eastAsia="Times New Roman"/>
                <w:bCs/>
                <w:szCs w:val="24"/>
              </w:rPr>
              <w:t xml:space="preserve">haczi söz konusudur. Birinci fıkranın birinci cümlesi bu hâllerde geminin yeniden ihtiyaten </w:t>
            </w:r>
            <w:r w:rsidR="007520BF" w:rsidRPr="00F257EC">
              <w:rPr>
                <w:rFonts w:eastAsia="Times New Roman"/>
                <w:bCs/>
                <w:szCs w:val="24"/>
              </w:rPr>
              <w:t>haczedilemeyeceği</w:t>
            </w:r>
            <w:r w:rsidR="007520BF" w:rsidRPr="00A23740">
              <w:rPr>
                <w:rFonts w:eastAsia="Times New Roman"/>
                <w:bCs/>
                <w:szCs w:val="24"/>
              </w:rPr>
              <w:t xml:space="preserve"> </w:t>
            </w:r>
            <w:r w:rsidRPr="00A23740">
              <w:rPr>
                <w:rFonts w:eastAsia="Times New Roman"/>
                <w:bCs/>
                <w:szCs w:val="24"/>
              </w:rPr>
              <w:t xml:space="preserve">veya </w:t>
            </w:r>
            <w:r w:rsidR="00EC35EB" w:rsidRPr="00F257EC">
              <w:rPr>
                <w:rFonts w:eastAsia="Times New Roman"/>
                <w:bCs/>
                <w:szCs w:val="24"/>
              </w:rPr>
              <w:t>ihtiyaten</w:t>
            </w:r>
            <w:r w:rsidR="00EC35EB" w:rsidRPr="00A23740">
              <w:rPr>
                <w:rFonts w:eastAsia="Times New Roman"/>
                <w:bCs/>
                <w:color w:val="385623"/>
                <w:szCs w:val="24"/>
              </w:rPr>
              <w:t xml:space="preserve"> </w:t>
            </w:r>
            <w:r w:rsidRPr="00A23740">
              <w:rPr>
                <w:rFonts w:eastAsia="Times New Roman"/>
                <w:bCs/>
                <w:szCs w:val="24"/>
              </w:rPr>
              <w:t>haczine karar verilmeyeceği kuralını hüküm altına almaktadır. Bu fıkra anlamında “</w:t>
            </w:r>
            <w:r w:rsidRPr="00A23740">
              <w:rPr>
                <w:rFonts w:eastAsia="Times New Roman"/>
                <w:bCs/>
                <w:i/>
                <w:iCs/>
                <w:szCs w:val="24"/>
              </w:rPr>
              <w:t>serbest bırakılma</w:t>
            </w:r>
            <w:r w:rsidRPr="00A23740">
              <w:rPr>
                <w:rFonts w:eastAsia="Times New Roman"/>
                <w:bCs/>
                <w:szCs w:val="24"/>
              </w:rPr>
              <w:t xml:space="preserve">”, ihtiyaten haczedilen geminin teminat karşılığı serbest bırakılmış olmasını ifade eder; </w:t>
            </w:r>
            <w:r w:rsidR="00EF4B6D" w:rsidRPr="00A23740">
              <w:rPr>
                <w:rFonts w:eastAsia="Times New Roman"/>
                <w:bCs/>
                <w:szCs w:val="24"/>
              </w:rPr>
              <w:t xml:space="preserve">ihtiyati </w:t>
            </w:r>
            <w:r w:rsidRPr="00A23740">
              <w:rPr>
                <w:rFonts w:eastAsia="Times New Roman"/>
                <w:bCs/>
                <w:szCs w:val="24"/>
              </w:rPr>
              <w:t xml:space="preserve">haczi tamamlayıcı işlemlerin süresinde yapılmaması gibi bir sebeple </w:t>
            </w:r>
            <w:r w:rsidR="00EF4B6D" w:rsidRPr="00A23740">
              <w:rPr>
                <w:rFonts w:eastAsia="Times New Roman"/>
                <w:bCs/>
                <w:szCs w:val="24"/>
              </w:rPr>
              <w:t xml:space="preserve">ihtiyati </w:t>
            </w:r>
            <w:r w:rsidRPr="00A23740">
              <w:rPr>
                <w:rFonts w:eastAsia="Times New Roman"/>
                <w:bCs/>
                <w:szCs w:val="24"/>
              </w:rPr>
              <w:t xml:space="preserve">haczin hükümsüz kalması sonucu geminin serbest olması veya itiraz üzerine ihtiyati haczin kaldırılması sonucu serbest kalması bu kapsamda değildir. Fıkranın devamında birinci cümlede yer alan kuralın istisnaları olarak hangi hâllerde bir deniz alacağı için ihtiyaten haczedilip serbest bırakılmış </w:t>
            </w:r>
            <w:r w:rsidR="00EF4B6D" w:rsidRPr="00A23740">
              <w:rPr>
                <w:rFonts w:eastAsia="Times New Roman"/>
                <w:bCs/>
                <w:szCs w:val="24"/>
              </w:rPr>
              <w:t xml:space="preserve">olan </w:t>
            </w:r>
            <w:r w:rsidRPr="00A23740">
              <w:rPr>
                <w:rFonts w:eastAsia="Times New Roman"/>
                <w:bCs/>
                <w:szCs w:val="24"/>
              </w:rPr>
              <w:t xml:space="preserve">geminin aynı deniz alacağı </w:t>
            </w:r>
            <w:r w:rsidR="00EF4B6D" w:rsidRPr="00A23740">
              <w:rPr>
                <w:rFonts w:eastAsia="Times New Roman"/>
                <w:bCs/>
                <w:szCs w:val="24"/>
              </w:rPr>
              <w:t xml:space="preserve">için </w:t>
            </w:r>
            <w:r w:rsidRPr="00A23740">
              <w:rPr>
                <w:rFonts w:eastAsia="Times New Roman"/>
                <w:bCs/>
                <w:szCs w:val="24"/>
              </w:rPr>
              <w:t xml:space="preserve">yeniden ihtiyaten haczine veya bir deniz alacağı için alacaklısına teminat verilmiş olması sebebiyle ihtiyaten haczettirilmemiş geminin </w:t>
            </w:r>
            <w:r w:rsidR="00EC35EB" w:rsidRPr="00F257EC">
              <w:rPr>
                <w:rFonts w:eastAsia="Times New Roman"/>
                <w:bCs/>
                <w:szCs w:val="24"/>
              </w:rPr>
              <w:t>ihtiyaten</w:t>
            </w:r>
            <w:r w:rsidR="00EC35EB" w:rsidRPr="00A23740">
              <w:rPr>
                <w:rFonts w:eastAsia="Times New Roman"/>
                <w:bCs/>
                <w:color w:val="385623"/>
                <w:szCs w:val="24"/>
              </w:rPr>
              <w:t xml:space="preserve"> </w:t>
            </w:r>
            <w:r w:rsidRPr="00A23740">
              <w:rPr>
                <w:rFonts w:eastAsia="Times New Roman"/>
                <w:bCs/>
                <w:szCs w:val="24"/>
              </w:rPr>
              <w:t xml:space="preserve">haczine karar verilebileceği düzenlenmiştir. Geminin serbest bırakılması için teminat, geminin maliki veya zilyedi tarafından verilebileceği gibi, bunların sorumluluk sigortacısı tarafından da verilebileceğinden, fıkranın (b) bendinde “geminin maliki ya da zilyedi” ibaresi yerine “teminat vermiş olan kişi” ibaresinin kullanılması tercih edilmiştir. </w:t>
            </w:r>
          </w:p>
          <w:p w:rsidR="00A46C6E" w:rsidRPr="00A23740" w:rsidRDefault="00A46C6E" w:rsidP="009431FF">
            <w:pPr>
              <w:ind w:firstLine="709"/>
              <w:rPr>
                <w:rFonts w:eastAsia="Times New Roman"/>
                <w:szCs w:val="24"/>
              </w:rPr>
            </w:pPr>
            <w:r w:rsidRPr="00A23740">
              <w:rPr>
                <w:rFonts w:eastAsia="Times New Roman"/>
                <w:bCs/>
                <w:szCs w:val="24"/>
              </w:rPr>
              <w:t xml:space="preserve">Maddenin ikinci fıkrasında, bir deniz alacağı için ihtiyaten haczedilebilecek geminin </w:t>
            </w:r>
            <w:r w:rsidR="00EC35EB" w:rsidRPr="00F257EC">
              <w:rPr>
                <w:rFonts w:eastAsia="Times New Roman"/>
                <w:bCs/>
                <w:szCs w:val="24"/>
              </w:rPr>
              <w:t>ihtiyaten</w:t>
            </w:r>
            <w:r w:rsidR="00EC35EB" w:rsidRPr="00A23740">
              <w:rPr>
                <w:rFonts w:eastAsia="Times New Roman"/>
                <w:bCs/>
                <w:color w:val="385623"/>
                <w:szCs w:val="24"/>
              </w:rPr>
              <w:t xml:space="preserve"> </w:t>
            </w:r>
            <w:r w:rsidRPr="00A23740">
              <w:rPr>
                <w:rFonts w:eastAsia="Times New Roman"/>
                <w:bCs/>
                <w:szCs w:val="24"/>
              </w:rPr>
              <w:t xml:space="preserve">haczine karar verilmiş ve </w:t>
            </w:r>
            <w:r w:rsidR="00EF4B6D" w:rsidRPr="00A23740">
              <w:rPr>
                <w:rFonts w:eastAsia="Times New Roman"/>
                <w:bCs/>
                <w:szCs w:val="24"/>
              </w:rPr>
              <w:t xml:space="preserve">bu karar </w:t>
            </w:r>
            <w:r w:rsidRPr="00A23740">
              <w:rPr>
                <w:rFonts w:eastAsia="Times New Roman"/>
                <w:bCs/>
                <w:szCs w:val="24"/>
              </w:rPr>
              <w:t>uygulanmış</w:t>
            </w:r>
            <w:r w:rsidR="00EF4B6D" w:rsidRPr="00A23740">
              <w:rPr>
                <w:rFonts w:eastAsia="Times New Roman"/>
                <w:bCs/>
                <w:szCs w:val="24"/>
              </w:rPr>
              <w:t>sa</w:t>
            </w:r>
            <w:r w:rsidRPr="00A23740">
              <w:rPr>
                <w:rFonts w:eastAsia="Times New Roman"/>
                <w:bCs/>
                <w:szCs w:val="24"/>
              </w:rPr>
              <w:t xml:space="preserve">, aynı deniz alacağı için </w:t>
            </w:r>
            <w:r w:rsidR="00EF4B6D" w:rsidRPr="00A23740">
              <w:rPr>
                <w:rFonts w:eastAsia="Times New Roman"/>
                <w:bCs/>
                <w:szCs w:val="24"/>
              </w:rPr>
              <w:t xml:space="preserve">ihtiyati </w:t>
            </w:r>
            <w:r w:rsidRPr="00A23740">
              <w:rPr>
                <w:rFonts w:eastAsia="Times New Roman"/>
                <w:bCs/>
                <w:szCs w:val="24"/>
              </w:rPr>
              <w:t xml:space="preserve">hacze konu olabilecek başka bir geminin ihtiyaten haczine karar verilemeyeceği kuralı ve bu kurala istisna teşkil eden hâller, 1999 </w:t>
            </w:r>
            <w:r w:rsidR="007F30E4" w:rsidRPr="00F257EC">
              <w:rPr>
                <w:rFonts w:eastAsia="Times New Roman"/>
                <w:bCs/>
                <w:szCs w:val="24"/>
              </w:rPr>
              <w:t>tarihli Milletlerarası Sözleşmenin</w:t>
            </w:r>
            <w:r w:rsidR="007F30E4" w:rsidRPr="00A23740">
              <w:rPr>
                <w:rFonts w:eastAsia="Times New Roman"/>
                <w:szCs w:val="24"/>
              </w:rPr>
              <w:t xml:space="preserve"> </w:t>
            </w:r>
            <w:r w:rsidRPr="00A23740">
              <w:rPr>
                <w:rFonts w:eastAsia="Times New Roman"/>
                <w:bCs/>
                <w:szCs w:val="24"/>
              </w:rPr>
              <w:t>5 inci maddesinin ikinci fıkrası doğrultusunda 6102 sayılı Kanunun 1375 inci maddesinin ikinci fıkrasında değişiklik yapılmak suretiyle hüküm altına alınmıştır.</w:t>
            </w:r>
          </w:p>
          <w:p w:rsidR="00A46C6E" w:rsidRPr="00A23740" w:rsidRDefault="00A46C6E" w:rsidP="009431FF">
            <w:pPr>
              <w:ind w:firstLine="709"/>
              <w:rPr>
                <w:rFonts w:eastAsia="Times New Roman"/>
                <w:szCs w:val="24"/>
              </w:rPr>
            </w:pPr>
            <w:r w:rsidRPr="00A23740">
              <w:rPr>
                <w:rFonts w:eastAsia="Times New Roman"/>
                <w:szCs w:val="24"/>
              </w:rPr>
              <w:t xml:space="preserve">Maddenin üçüncü fıkrası, 1999 </w:t>
            </w:r>
            <w:r w:rsidR="007F30E4" w:rsidRPr="00F257EC">
              <w:rPr>
                <w:rFonts w:eastAsia="Times New Roman"/>
                <w:bCs/>
                <w:szCs w:val="24"/>
              </w:rPr>
              <w:t>tarihli Milletlerarası Sözleşmenin</w:t>
            </w:r>
            <w:r w:rsidR="007F30E4" w:rsidRPr="00A23740">
              <w:rPr>
                <w:rFonts w:eastAsia="Times New Roman"/>
                <w:szCs w:val="24"/>
              </w:rPr>
              <w:t xml:space="preserve"> </w:t>
            </w:r>
            <w:r w:rsidRPr="00A23740">
              <w:rPr>
                <w:rFonts w:eastAsia="Times New Roman"/>
                <w:szCs w:val="24"/>
              </w:rPr>
              <w:t>5 inci maddesinin üçüncü fıkrası hükmü</w:t>
            </w:r>
            <w:r w:rsidR="00EF4B6D" w:rsidRPr="00A23740">
              <w:rPr>
                <w:rFonts w:eastAsia="Times New Roman"/>
                <w:szCs w:val="24"/>
              </w:rPr>
              <w:t>yle</w:t>
            </w:r>
            <w:r w:rsidRPr="00A23740">
              <w:rPr>
                <w:rFonts w:eastAsia="Times New Roman"/>
                <w:szCs w:val="24"/>
              </w:rPr>
              <w:t xml:space="preserve">uyumlu olduğundan, </w:t>
            </w:r>
            <w:r w:rsidRPr="00A23740">
              <w:rPr>
                <w:rFonts w:eastAsia="Times New Roman"/>
                <w:bCs/>
                <w:szCs w:val="24"/>
              </w:rPr>
              <w:t xml:space="preserve">6102 sayılı Kanunun </w:t>
            </w:r>
            <w:r w:rsidRPr="00A23740">
              <w:rPr>
                <w:rFonts w:eastAsia="Times New Roman"/>
                <w:szCs w:val="24"/>
              </w:rPr>
              <w:t>1375 inci maddesinin üçüncü fıkrasından aynen alınmıştır.</w:t>
            </w:r>
          </w:p>
          <w:bookmarkEnd w:id="89"/>
          <w:p w:rsidR="00A46C6E" w:rsidRPr="00A23740" w:rsidRDefault="00A46C6E" w:rsidP="002A27F8">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6"/>
        </w:trPr>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strike/>
                <w:color w:val="FF0000"/>
                <w:szCs w:val="24"/>
                <w:lang w:eastAsia="tr-TR"/>
              </w:rPr>
              <w:t>10.</w:t>
            </w:r>
            <w:r w:rsidRPr="00A23740">
              <w:rPr>
                <w:rFonts w:eastAsia="Times New Roman"/>
                <w:b/>
                <w:bCs/>
                <w:szCs w:val="24"/>
                <w:lang w:eastAsia="tr-TR"/>
              </w:rPr>
              <w:t xml:space="preserve"> İhtiyati haczi tamamlayan işlemler</w:t>
            </w:r>
          </w:p>
          <w:p w:rsidR="00A46C6E" w:rsidRPr="00A23740" w:rsidRDefault="00A46C6E" w:rsidP="009431FF">
            <w:pPr>
              <w:rPr>
                <w:rFonts w:eastAsia="Times New Roman"/>
                <w:szCs w:val="24"/>
              </w:rPr>
            </w:pPr>
            <w:r w:rsidRPr="00A23740">
              <w:rPr>
                <w:rFonts w:eastAsia="Times New Roman"/>
                <w:b/>
                <w:bCs/>
                <w:szCs w:val="24"/>
                <w:lang w:eastAsia="tr-TR"/>
              </w:rPr>
              <w:t xml:space="preserve">MADDE </w:t>
            </w:r>
            <w:r w:rsidRPr="00A23740">
              <w:rPr>
                <w:rFonts w:eastAsia="Times New Roman"/>
                <w:b/>
                <w:strike/>
                <w:color w:val="FF0000"/>
                <w:szCs w:val="24"/>
                <w:lang w:eastAsia="tr-TR"/>
              </w:rPr>
              <w:t>1376</w:t>
            </w:r>
            <w:r w:rsidRPr="00A23740">
              <w:rPr>
                <w:rFonts w:eastAsia="Times New Roman"/>
                <w:szCs w:val="24"/>
                <w:lang w:eastAsia="tr-TR"/>
              </w:rPr>
              <w:t xml:space="preserve">- (1) </w:t>
            </w:r>
            <w:r w:rsidRPr="00A23740">
              <w:rPr>
                <w:rFonts w:eastAsia="Times New Roman"/>
                <w:b/>
                <w:strike/>
                <w:color w:val="FF0000"/>
                <w:szCs w:val="24"/>
                <w:lang w:eastAsia="tr-TR"/>
              </w:rPr>
              <w:t>İcra ve İflas Kanununun</w:t>
            </w:r>
            <w:r w:rsidRPr="00A23740">
              <w:rPr>
                <w:rFonts w:eastAsia="Times New Roman"/>
                <w:szCs w:val="24"/>
                <w:lang w:eastAsia="tr-TR"/>
              </w:rPr>
              <w:t xml:space="preserve"> </w:t>
            </w:r>
            <w:r w:rsidRPr="00A23740">
              <w:rPr>
                <w:rFonts w:eastAsia="Times New Roman"/>
                <w:b/>
                <w:strike/>
                <w:color w:val="FF0000"/>
                <w:szCs w:val="24"/>
                <w:lang w:eastAsia="tr-TR"/>
              </w:rPr>
              <w:t>264 üncü</w:t>
            </w:r>
            <w:r w:rsidRPr="00A23740">
              <w:rPr>
                <w:rFonts w:eastAsia="Times New Roman"/>
                <w:szCs w:val="24"/>
                <w:lang w:eastAsia="tr-TR"/>
              </w:rPr>
              <w:t xml:space="preserve"> madde</w:t>
            </w:r>
            <w:r w:rsidRPr="00A23740">
              <w:rPr>
                <w:b/>
                <w:bCs/>
                <w:strike/>
                <w:color w:val="FF0000"/>
                <w:lang w:val="x-none" w:eastAsia="x-none"/>
              </w:rPr>
              <w:t>si</w:t>
            </w:r>
            <w:r w:rsidRPr="00A23740">
              <w:rPr>
                <w:rFonts w:eastAsia="Times New Roman"/>
                <w:szCs w:val="24"/>
                <w:lang w:eastAsia="tr-TR"/>
              </w:rPr>
              <w:t>nin birinci ve ikinci fıkralarında öngörülen süreler, gemilerin ihtiyati haczinde bir ay olarak uygulanır.</w:t>
            </w:r>
          </w:p>
        </w:tc>
        <w:tc>
          <w:tcPr>
            <w:tcW w:w="2500" w:type="pct"/>
            <w:shd w:val="clear" w:color="auto" w:fill="auto"/>
          </w:tcPr>
          <w:p w:rsidR="00A46C6E" w:rsidRPr="00A23740" w:rsidRDefault="00A46C6E" w:rsidP="009431FF">
            <w:pPr>
              <w:rPr>
                <w:rFonts w:eastAsia="Times New Roman"/>
                <w:b/>
                <w:bCs/>
                <w:szCs w:val="24"/>
                <w:lang w:eastAsia="tr-TR"/>
              </w:rPr>
            </w:pPr>
            <w:r w:rsidRPr="00A23740">
              <w:rPr>
                <w:rFonts w:eastAsia="Times New Roman"/>
                <w:b/>
                <w:bCs/>
                <w:szCs w:val="24"/>
                <w:lang w:eastAsia="tr-TR"/>
              </w:rPr>
              <w:t>İhtiyati haczi tamamlayan işlemler</w:t>
            </w:r>
          </w:p>
          <w:p w:rsidR="00A46C6E" w:rsidRPr="00A23740" w:rsidRDefault="00BC725A" w:rsidP="009431FF">
            <w:pPr>
              <w:rPr>
                <w:rFonts w:eastAsia="Times New Roman"/>
                <w:szCs w:val="24"/>
                <w:lang w:eastAsia="tr-TR"/>
              </w:rPr>
            </w:pPr>
            <w:r w:rsidRPr="005A4748">
              <w:rPr>
                <w:rFonts w:eastAsia="Times New Roman"/>
                <w:b/>
                <w:bCs/>
                <w:color w:val="000000" w:themeColor="text1"/>
                <w:szCs w:val="24"/>
                <w:lang w:eastAsia="tr-TR"/>
              </w:rPr>
              <w:t xml:space="preserve">MADDE </w:t>
            </w:r>
            <w:r w:rsidRPr="00A23740">
              <w:rPr>
                <w:rFonts w:eastAsia="Times New Roman"/>
                <w:b/>
                <w:bCs/>
                <w:color w:val="0000FF"/>
                <w:szCs w:val="24"/>
                <w:lang w:eastAsia="tr-TR"/>
              </w:rPr>
              <w:t>504</w:t>
            </w:r>
            <w:r w:rsidR="00A46C6E" w:rsidRPr="00A23740">
              <w:rPr>
                <w:rFonts w:eastAsia="Times New Roman"/>
                <w:b/>
                <w:bCs/>
                <w:color w:val="0000FF"/>
                <w:szCs w:val="24"/>
                <w:lang w:eastAsia="tr-TR"/>
              </w:rPr>
              <w:t xml:space="preserve">- </w:t>
            </w:r>
            <w:r w:rsidR="00A46C6E" w:rsidRPr="005A4748">
              <w:rPr>
                <w:rFonts w:eastAsia="Times New Roman"/>
                <w:bCs/>
                <w:color w:val="000000" w:themeColor="text1"/>
                <w:szCs w:val="24"/>
                <w:lang w:eastAsia="tr-TR"/>
              </w:rPr>
              <w:t>(1)</w:t>
            </w:r>
            <w:r w:rsidR="00A46C6E" w:rsidRPr="00A23740">
              <w:rPr>
                <w:rFonts w:eastAsia="Times New Roman"/>
                <w:b/>
                <w:bCs/>
                <w:color w:val="0000FF"/>
                <w:szCs w:val="24"/>
                <w:lang w:eastAsia="tr-TR"/>
              </w:rPr>
              <w:t xml:space="preserve"> İhtiyati haczi tamamlayan işlemlere dair </w:t>
            </w:r>
            <w:r w:rsidR="006E0E46" w:rsidRPr="00F257EC">
              <w:rPr>
                <w:rStyle w:val="KonuBalChar"/>
                <w:rFonts w:eastAsia="Calibri"/>
                <w:color w:val="0000FF"/>
              </w:rPr>
              <w:t>459 uncu</w:t>
            </w:r>
            <w:r w:rsidR="006E0E46" w:rsidRPr="00A23740">
              <w:rPr>
                <w:rFonts w:eastAsia="Times New Roman"/>
                <w:b/>
                <w:bCs/>
                <w:color w:val="0000FF"/>
                <w:szCs w:val="24"/>
                <w:lang w:eastAsia="tr-TR"/>
              </w:rPr>
              <w:t xml:space="preserve"> </w:t>
            </w:r>
            <w:r w:rsidR="00A46C6E" w:rsidRPr="00A23740">
              <w:rPr>
                <w:rFonts w:eastAsia="Times New Roman"/>
                <w:szCs w:val="24"/>
                <w:lang w:eastAsia="tr-TR"/>
              </w:rPr>
              <w:t>maddenin birinci ve ikinci fıkralarında öngörülen süreler, gemilerin ihtiyati haczinde bir ay olarak uygulanır.</w:t>
            </w:r>
          </w:p>
          <w:p w:rsidR="005468D1" w:rsidRPr="00A23740" w:rsidRDefault="005468D1" w:rsidP="009431FF">
            <w:pPr>
              <w:rPr>
                <w:rFonts w:eastAsia="Times New Roman"/>
                <w:szCs w:val="24"/>
                <w:lang w:eastAsia="tr-TR"/>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91" w:name="_Hlk134342521"/>
          </w:p>
          <w:p w:rsidR="00A46C6E" w:rsidRPr="00A23740" w:rsidRDefault="00BC725A" w:rsidP="009431FF">
            <w:pPr>
              <w:ind w:firstLine="709"/>
              <w:rPr>
                <w:rFonts w:eastAsia="Times New Roman"/>
                <w:b/>
                <w:bCs/>
                <w:szCs w:val="24"/>
                <w:lang w:eastAsia="tr-TR"/>
              </w:rPr>
            </w:pPr>
            <w:r w:rsidRPr="00A23740">
              <w:rPr>
                <w:rFonts w:eastAsia="Times New Roman"/>
                <w:b/>
                <w:bCs/>
                <w:szCs w:val="24"/>
                <w:lang w:eastAsia="tr-TR"/>
              </w:rPr>
              <w:t>MADDE 504</w:t>
            </w:r>
            <w:r w:rsidR="00A46C6E" w:rsidRPr="00A23740">
              <w:rPr>
                <w:rFonts w:eastAsia="Times New Roman"/>
                <w:b/>
                <w:bCs/>
                <w:szCs w:val="24"/>
                <w:lang w:eastAsia="tr-TR"/>
              </w:rPr>
              <w:t xml:space="preserve">- </w:t>
            </w:r>
            <w:bookmarkStart w:id="92" w:name="_Hlk172877434"/>
            <w:r w:rsidR="00A46C6E" w:rsidRPr="00A23740">
              <w:rPr>
                <w:bCs/>
                <w:szCs w:val="24"/>
                <w:lang w:eastAsia="x-none"/>
              </w:rPr>
              <w:t>Maddeyle, ihtiyati haczi tamamlayan işlemlere ilişkin hususlar düzenlenmektedir.</w:t>
            </w:r>
            <w:bookmarkEnd w:id="92"/>
          </w:p>
          <w:p w:rsidR="00A46C6E" w:rsidRPr="00A23740" w:rsidRDefault="00A46C6E" w:rsidP="009431FF">
            <w:pPr>
              <w:ind w:firstLine="709"/>
              <w:rPr>
                <w:rFonts w:eastAsia="Times New Roman"/>
                <w:szCs w:val="24"/>
              </w:rPr>
            </w:pPr>
            <w:r w:rsidRPr="00A23740">
              <w:rPr>
                <w:rFonts w:eastAsia="Times New Roman"/>
                <w:szCs w:val="24"/>
              </w:rPr>
              <w:t>Maddede,</w:t>
            </w:r>
            <w:r w:rsidRPr="00A23740">
              <w:rPr>
                <w:rFonts w:eastAsia="Times New Roman"/>
                <w:color w:val="C00000"/>
                <w:szCs w:val="24"/>
              </w:rPr>
              <w:t xml:space="preserve"> </w:t>
            </w:r>
            <w:r w:rsidRPr="00A23740">
              <w:rPr>
                <w:rFonts w:eastAsia="Times New Roman"/>
                <w:szCs w:val="24"/>
              </w:rPr>
              <w:t xml:space="preserve">“ihtiyati haczi tamamlayan işlemler” başlıklı </w:t>
            </w:r>
            <w:r w:rsidR="006E0E46" w:rsidRPr="00F257EC">
              <w:rPr>
                <w:rFonts w:eastAsia="Times New Roman"/>
                <w:bCs/>
                <w:szCs w:val="24"/>
              </w:rPr>
              <w:t>459 uncu</w:t>
            </w:r>
            <w:r w:rsidR="006E0E46" w:rsidRPr="00A23740">
              <w:rPr>
                <w:rFonts w:eastAsia="Times New Roman"/>
                <w:b/>
                <w:bCs/>
                <w:color w:val="0000FF"/>
                <w:szCs w:val="24"/>
                <w:lang w:eastAsia="tr-TR"/>
              </w:rPr>
              <w:t xml:space="preserve"> </w:t>
            </w:r>
            <w:r w:rsidRPr="00A23740">
              <w:rPr>
                <w:rFonts w:eastAsia="Times New Roman"/>
                <w:szCs w:val="24"/>
              </w:rPr>
              <w:t>maddenin birinci ve ikinci fıkrasında öngörülen bir haftalık sürelerin, gemilerin ihtiyati haczinde bir ay olarak uygulanacağı hüküm altına alınmıştır. Buna göre dava açılmadan veya icra takibine başlanmadan önce gemiyi ihtiyaten haczettirmiş olan deniz alacağı alacaklısı, ihtiyati haciz tutanağının kendisine tebliğinden itibaren bir ay içinde takip talebinde bulunmak veya dava açmak zorundadır. Alacaklının ihtiyati haczi tamamlamak üzere icra takibi başlatması ve borçlunun ödeme emrine itiraz etmesi hâlinde ise alacaklı, itirazın kendisine tebliğinden itibaren bir ay içinde dava açmak zorundadır.</w:t>
            </w:r>
          </w:p>
          <w:bookmarkEnd w:id="91"/>
          <w:p w:rsidR="00A46C6E" w:rsidRPr="00A23740" w:rsidRDefault="00A46C6E" w:rsidP="002A27F8">
            <w:pPr>
              <w:rPr>
                <w:rFonts w:eastAsia="Times New Roman"/>
                <w:b/>
                <w:bCs/>
                <w:color w:val="0000FF"/>
                <w:szCs w:val="24"/>
                <w:lang w:eastAsia="x-none"/>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2A27F8">
            <w:pPr>
              <w:widowControl w:val="0"/>
              <w:rPr>
                <w:rFonts w:eastAsia="Times New Roman"/>
                <w:b/>
                <w:szCs w:val="24"/>
                <w:lang w:eastAsia="tr-TR"/>
              </w:rPr>
            </w:pPr>
            <w:r w:rsidRPr="00A23740">
              <w:rPr>
                <w:rFonts w:eastAsia="Times New Roman"/>
                <w:b/>
                <w:strike/>
                <w:color w:val="FF0000"/>
                <w:szCs w:val="24"/>
                <w:lang w:eastAsia="tr-TR"/>
              </w:rPr>
              <w:t>d)</w:t>
            </w:r>
            <w:r w:rsidRPr="00A23740">
              <w:rPr>
                <w:rFonts w:eastAsia="Times New Roman"/>
                <w:b/>
                <w:bCs/>
                <w:szCs w:val="24"/>
                <w:lang w:eastAsia="tr-TR"/>
              </w:rPr>
              <w:t xml:space="preserve"> Haksız ihtiyati haciz sebebiyle açılacak tazminat davası </w:t>
            </w:r>
            <w:r w:rsidRPr="00A23740">
              <w:rPr>
                <w:rFonts w:eastAsia="Times New Roman"/>
                <w:b/>
                <w:strike/>
                <w:color w:val="FF0000"/>
                <w:szCs w:val="24"/>
                <w:lang w:eastAsia="tr-TR"/>
              </w:rPr>
              <w:t>hakkında</w:t>
            </w:r>
          </w:p>
          <w:p w:rsidR="00A46C6E" w:rsidRPr="00A23740" w:rsidRDefault="00A46C6E" w:rsidP="002A27F8">
            <w:pPr>
              <w:widowControl w:val="0"/>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tr-TR"/>
              </w:rPr>
              <w:t>1361-</w:t>
            </w:r>
            <w:r w:rsidRPr="00A23740">
              <w:rPr>
                <w:rFonts w:eastAsia="Times New Roman"/>
                <w:b/>
                <w:color w:val="FF0000"/>
                <w:szCs w:val="24"/>
                <w:lang w:eastAsia="tr-TR"/>
              </w:rPr>
              <w:t xml:space="preserve"> </w:t>
            </w:r>
            <w:r w:rsidRPr="00A23740">
              <w:rPr>
                <w:rFonts w:eastAsia="Times New Roman"/>
                <w:szCs w:val="24"/>
                <w:lang w:eastAsia="tr-TR"/>
              </w:rPr>
              <w:t xml:space="preserve">(1) İhtiyati haciz kararı veren mahkeme, haksız </w:t>
            </w:r>
            <w:r w:rsidRPr="00A23740">
              <w:rPr>
                <w:b/>
                <w:strike/>
                <w:color w:val="FF0000"/>
                <w:szCs w:val="24"/>
                <w:lang w:eastAsia="x-none"/>
              </w:rPr>
              <w:t>çıkan alacaklı aleyhine</w:t>
            </w:r>
            <w:r w:rsidRPr="005A4748">
              <w:rPr>
                <w:b/>
                <w:color w:val="FF0000"/>
                <w:szCs w:val="24"/>
                <w:lang w:eastAsia="x-none"/>
              </w:rPr>
              <w:t xml:space="preserve"> </w:t>
            </w:r>
            <w:r w:rsidRPr="00A23740">
              <w:rPr>
                <w:rFonts w:eastAsia="Times New Roman"/>
                <w:szCs w:val="24"/>
                <w:lang w:eastAsia="tr-TR"/>
              </w:rPr>
              <w:t>açılacak tazminat davasını da görmeye yetkilidir.</w:t>
            </w:r>
          </w:p>
          <w:p w:rsidR="00A46C6E" w:rsidRPr="00A23740" w:rsidRDefault="00A46C6E" w:rsidP="002A27F8">
            <w:pPr>
              <w:widowControl w:val="0"/>
              <w:rPr>
                <w:rFonts w:eastAsia="Times New Roman"/>
                <w:szCs w:val="24"/>
                <w:lang w:eastAsia="tr-TR"/>
              </w:rPr>
            </w:pPr>
          </w:p>
          <w:p w:rsidR="00A46C6E" w:rsidRPr="00A23740" w:rsidRDefault="00A46C6E" w:rsidP="002A27F8">
            <w:pPr>
              <w:widowControl w:val="0"/>
              <w:rPr>
                <w:rFonts w:eastAsia="Times New Roman"/>
                <w:szCs w:val="24"/>
                <w:lang w:eastAsia="tr-TR"/>
              </w:rPr>
            </w:pPr>
          </w:p>
          <w:p w:rsidR="00A46C6E" w:rsidRPr="00A23740" w:rsidRDefault="00A46C6E" w:rsidP="002A27F8">
            <w:pPr>
              <w:widowControl w:val="0"/>
              <w:rPr>
                <w:rFonts w:eastAsia="Times New Roman"/>
                <w:szCs w:val="24"/>
                <w:lang w:eastAsia="tr-TR"/>
              </w:rPr>
            </w:pPr>
          </w:p>
          <w:p w:rsidR="00A46C6E" w:rsidRPr="00A23740" w:rsidRDefault="00A46C6E" w:rsidP="002A27F8">
            <w:pPr>
              <w:widowControl w:val="0"/>
              <w:rPr>
                <w:rFonts w:eastAsia="Times New Roman"/>
                <w:szCs w:val="24"/>
                <w:lang w:eastAsia="tr-TR"/>
              </w:rPr>
            </w:pPr>
          </w:p>
          <w:p w:rsidR="00A46C6E" w:rsidRPr="00A23740" w:rsidRDefault="00A46C6E" w:rsidP="002A27F8">
            <w:pPr>
              <w:widowControl w:val="0"/>
              <w:rPr>
                <w:rFonts w:eastAsia="Times New Roman"/>
                <w:szCs w:val="24"/>
                <w:lang w:eastAsia="tr-TR"/>
              </w:rPr>
            </w:pPr>
          </w:p>
          <w:p w:rsidR="003325BE" w:rsidRPr="00A23740" w:rsidRDefault="003325BE" w:rsidP="002A27F8">
            <w:pPr>
              <w:widowControl w:val="0"/>
              <w:rPr>
                <w:rFonts w:eastAsia="Times New Roman"/>
                <w:szCs w:val="24"/>
                <w:lang w:eastAsia="tr-TR"/>
              </w:rPr>
            </w:pPr>
          </w:p>
          <w:p w:rsidR="00A46C6E" w:rsidRPr="00A23740" w:rsidRDefault="00A46C6E" w:rsidP="002A27F8">
            <w:pPr>
              <w:widowControl w:val="0"/>
              <w:rPr>
                <w:b/>
                <w:strike/>
                <w:color w:val="FF0000"/>
                <w:szCs w:val="24"/>
                <w:lang w:eastAsia="x-none"/>
              </w:rPr>
            </w:pPr>
            <w:r w:rsidRPr="005A4748">
              <w:rPr>
                <w:rStyle w:val="KIRMIZIChar"/>
                <w:rFonts w:eastAsia="Calibri"/>
              </w:rPr>
              <w:t>(2)</w:t>
            </w:r>
            <w:r w:rsidRPr="00A23740">
              <w:rPr>
                <w:rFonts w:eastAsia="Times New Roman"/>
                <w:szCs w:val="24"/>
                <w:lang w:eastAsia="tr-TR"/>
              </w:rPr>
              <w:t xml:space="preserve"> Deniz alacağının esası hakkında </w:t>
            </w:r>
            <w:r w:rsidRPr="00A23740">
              <w:rPr>
                <w:b/>
                <w:strike/>
                <w:color w:val="FF0000"/>
                <w:szCs w:val="24"/>
                <w:lang w:eastAsia="x-none"/>
              </w:rPr>
              <w:t xml:space="preserve">yurtiçinde veya yurt dışında </w:t>
            </w:r>
            <w:r w:rsidRPr="00A23740">
              <w:rPr>
                <w:rFonts w:eastAsia="Times New Roman"/>
                <w:szCs w:val="24"/>
                <w:lang w:eastAsia="tr-TR"/>
              </w:rPr>
              <w:t xml:space="preserve">mahkemede veya </w:t>
            </w:r>
            <w:r w:rsidRPr="00A23740">
              <w:rPr>
                <w:b/>
                <w:strike/>
                <w:color w:val="FF0000"/>
                <w:szCs w:val="24"/>
                <w:lang w:eastAsia="x-none"/>
              </w:rPr>
              <w:t>hakem önünde</w:t>
            </w:r>
            <w:r w:rsidRPr="00A23740">
              <w:rPr>
                <w:rFonts w:eastAsia="Times New Roman"/>
                <w:szCs w:val="24"/>
                <w:lang w:eastAsia="tr-TR"/>
              </w:rPr>
              <w:t xml:space="preserve"> dava açılmışsa, </w:t>
            </w:r>
            <w:r w:rsidRPr="00A23740">
              <w:rPr>
                <w:b/>
                <w:strike/>
                <w:color w:val="FF0000"/>
                <w:szCs w:val="24"/>
                <w:lang w:eastAsia="x-none"/>
              </w:rPr>
              <w:t xml:space="preserve">bu davanın </w:t>
            </w:r>
            <w:r w:rsidRPr="00A23740">
              <w:rPr>
                <w:rFonts w:eastAsia="Times New Roman"/>
                <w:szCs w:val="24"/>
                <w:lang w:eastAsia="tr-TR"/>
              </w:rPr>
              <w:t>sonuçlanması</w:t>
            </w:r>
            <w:r w:rsidRPr="00A23740">
              <w:rPr>
                <w:b/>
                <w:strike/>
                <w:color w:val="FF0000"/>
                <w:szCs w:val="24"/>
                <w:lang w:eastAsia="x-none"/>
              </w:rPr>
              <w:t xml:space="preserve">, tazminat davası </w:t>
            </w:r>
            <w:r w:rsidRPr="005A4748">
              <w:rPr>
                <w:rStyle w:val="KIRMIZIChar"/>
                <w:rFonts w:eastAsia="Calibri"/>
              </w:rPr>
              <w:t>yönünden bekletici s</w:t>
            </w:r>
            <w:r w:rsidRPr="00A23740">
              <w:rPr>
                <w:b/>
                <w:strike/>
                <w:color w:val="FF0000"/>
                <w:szCs w:val="24"/>
                <w:lang w:eastAsia="x-none"/>
              </w:rPr>
              <w:t>orun oluşturur.</w:t>
            </w:r>
          </w:p>
          <w:p w:rsidR="00A46C6E" w:rsidRPr="00A23740" w:rsidRDefault="00A46C6E" w:rsidP="002A27F8">
            <w:pPr>
              <w:widowControl w:val="0"/>
              <w:rPr>
                <w:rFonts w:eastAsia="Times New Roman"/>
                <w:szCs w:val="24"/>
              </w:rPr>
            </w:pPr>
          </w:p>
          <w:p w:rsidR="00A46C6E" w:rsidRPr="00A23740" w:rsidRDefault="00A46C6E" w:rsidP="002A27F8">
            <w:pPr>
              <w:widowControl w:val="0"/>
              <w:rPr>
                <w:rFonts w:eastAsia="Times New Roman"/>
                <w:szCs w:val="24"/>
              </w:rPr>
            </w:pPr>
          </w:p>
        </w:tc>
        <w:tc>
          <w:tcPr>
            <w:tcW w:w="2500" w:type="pct"/>
            <w:shd w:val="clear" w:color="auto" w:fill="auto"/>
          </w:tcPr>
          <w:p w:rsidR="00A46C6E" w:rsidRPr="00A23740" w:rsidRDefault="00A46C6E" w:rsidP="002A27F8">
            <w:pPr>
              <w:widowControl w:val="0"/>
              <w:rPr>
                <w:rFonts w:eastAsia="Times New Roman"/>
                <w:b/>
                <w:szCs w:val="24"/>
                <w:lang w:eastAsia="tr-TR"/>
              </w:rPr>
            </w:pPr>
            <w:r w:rsidRPr="00A23740">
              <w:rPr>
                <w:rFonts w:eastAsia="Times New Roman"/>
                <w:b/>
                <w:bCs/>
                <w:szCs w:val="24"/>
                <w:lang w:eastAsia="tr-TR"/>
              </w:rPr>
              <w:t>Haksız ihtiyati haciz sebebiyle açılacak tazminat davası</w:t>
            </w:r>
          </w:p>
          <w:p w:rsidR="00A46C6E" w:rsidRPr="00A23740" w:rsidRDefault="00BC725A" w:rsidP="002A27F8">
            <w:pPr>
              <w:widowControl w:val="0"/>
              <w:rPr>
                <w:rFonts w:eastAsia="Times New Roman"/>
                <w:szCs w:val="24"/>
                <w:lang w:eastAsia="tr-TR"/>
              </w:rPr>
            </w:pPr>
            <w:r w:rsidRPr="005A4748">
              <w:rPr>
                <w:rFonts w:eastAsia="Times New Roman"/>
                <w:b/>
                <w:bCs/>
                <w:color w:val="000000" w:themeColor="text1"/>
                <w:szCs w:val="24"/>
                <w:lang w:eastAsia="tr-TR"/>
              </w:rPr>
              <w:t xml:space="preserve">MADDE </w:t>
            </w:r>
            <w:r w:rsidRPr="00A23740">
              <w:rPr>
                <w:rFonts w:eastAsia="Times New Roman"/>
                <w:b/>
                <w:bCs/>
                <w:color w:val="0000FF"/>
                <w:szCs w:val="24"/>
                <w:lang w:eastAsia="tr-TR"/>
              </w:rPr>
              <w:t>505</w:t>
            </w:r>
            <w:r w:rsidR="00A46C6E" w:rsidRPr="00A23740">
              <w:rPr>
                <w:rFonts w:eastAsia="Times New Roman"/>
                <w:b/>
                <w:bCs/>
                <w:color w:val="0000FF"/>
                <w:szCs w:val="24"/>
                <w:lang w:eastAsia="tr-TR"/>
              </w:rPr>
              <w:t xml:space="preserve">- </w:t>
            </w:r>
            <w:r w:rsidR="00A46C6E" w:rsidRPr="005A4748">
              <w:rPr>
                <w:rFonts w:eastAsia="Times New Roman"/>
                <w:bCs/>
                <w:color w:val="000000" w:themeColor="text1"/>
                <w:szCs w:val="24"/>
                <w:lang w:eastAsia="tr-TR"/>
              </w:rPr>
              <w:t>(1)</w:t>
            </w:r>
            <w:r w:rsidR="00A46C6E" w:rsidRPr="00A23740">
              <w:rPr>
                <w:rFonts w:eastAsia="Times New Roman"/>
                <w:szCs w:val="24"/>
                <w:lang w:eastAsia="tr-TR"/>
              </w:rPr>
              <w:t xml:space="preserve"> İhtiyati haciz kararı veren mahkeme, </w:t>
            </w:r>
            <w:r w:rsidR="00A46C6E" w:rsidRPr="00A23740">
              <w:rPr>
                <w:b/>
                <w:bCs/>
                <w:color w:val="0000FF"/>
                <w:szCs w:val="24"/>
                <w:lang w:eastAsia="x-none"/>
              </w:rPr>
              <w:t xml:space="preserve">ihtiyati haczin </w:t>
            </w:r>
            <w:r w:rsidR="00A46C6E" w:rsidRPr="00A23740">
              <w:rPr>
                <w:rFonts w:eastAsia="Times New Roman"/>
                <w:szCs w:val="24"/>
                <w:lang w:eastAsia="tr-TR"/>
              </w:rPr>
              <w:t xml:space="preserve">haksız </w:t>
            </w:r>
            <w:r w:rsidR="00A46C6E" w:rsidRPr="00A23740">
              <w:rPr>
                <w:b/>
                <w:bCs/>
                <w:color w:val="0000FF"/>
                <w:szCs w:val="24"/>
                <w:lang w:eastAsia="x-none"/>
              </w:rPr>
              <w:t xml:space="preserve">veya sebepsiz </w:t>
            </w:r>
            <w:r w:rsidR="00A46C6E" w:rsidRPr="00A23740">
              <w:rPr>
                <w:b/>
                <w:bCs/>
                <w:color w:val="0000FF"/>
                <w:szCs w:val="24"/>
                <w:lang w:eastAsia="tr-TR"/>
              </w:rPr>
              <w:t>olmasından</w:t>
            </w:r>
            <w:r w:rsidR="00A46C6E" w:rsidRPr="00A23740">
              <w:rPr>
                <w:rFonts w:eastAsia="Times New Roman"/>
                <w:b/>
                <w:bCs/>
                <w:color w:val="0000FF"/>
                <w:szCs w:val="24"/>
                <w:lang w:eastAsia="tr-TR"/>
              </w:rPr>
              <w:t xml:space="preserve"> ya </w:t>
            </w:r>
            <w:r w:rsidR="00A46C6E" w:rsidRPr="00A23740">
              <w:rPr>
                <w:b/>
                <w:bCs/>
                <w:color w:val="0000FF"/>
                <w:szCs w:val="24"/>
                <w:lang w:eastAsia="x-none"/>
              </w:rPr>
              <w:t>da</w:t>
            </w:r>
            <w:r w:rsidR="006E0E46" w:rsidRPr="00A23740">
              <w:rPr>
                <w:b/>
                <w:bCs/>
                <w:color w:val="0000FF"/>
                <w:szCs w:val="24"/>
                <w:lang w:eastAsia="x-none"/>
              </w:rPr>
              <w:t xml:space="preserve"> </w:t>
            </w:r>
            <w:r w:rsidR="006E0E46" w:rsidRPr="00F257EC">
              <w:rPr>
                <w:rStyle w:val="KonuBalChar"/>
                <w:rFonts w:eastAsia="Calibri"/>
                <w:color w:val="0000FF"/>
              </w:rPr>
              <w:t>502 nci</w:t>
            </w:r>
            <w:r w:rsidR="00A46C6E" w:rsidRPr="00A23740">
              <w:rPr>
                <w:b/>
                <w:bCs/>
                <w:color w:val="0000FF"/>
                <w:szCs w:val="24"/>
                <w:lang w:eastAsia="x-none"/>
              </w:rPr>
              <w:t xml:space="preserve"> madde</w:t>
            </w:r>
            <w:r w:rsidR="003325BE" w:rsidRPr="00F257EC">
              <w:rPr>
                <w:b/>
                <w:bCs/>
                <w:color w:val="0000FF"/>
                <w:szCs w:val="24"/>
                <w:lang w:eastAsia="x-none"/>
              </w:rPr>
              <w:t>ye göre</w:t>
            </w:r>
            <w:r w:rsidR="003325BE" w:rsidRPr="00A23740">
              <w:rPr>
                <w:b/>
                <w:bCs/>
                <w:color w:val="0000FF"/>
                <w:szCs w:val="24"/>
                <w:lang w:eastAsia="x-none"/>
              </w:rPr>
              <w:t xml:space="preserve"> </w:t>
            </w:r>
            <w:r w:rsidR="00A46C6E" w:rsidRPr="00A23740">
              <w:rPr>
                <w:b/>
                <w:bCs/>
                <w:color w:val="0000FF"/>
                <w:szCs w:val="24"/>
                <w:lang w:eastAsia="x-none"/>
              </w:rPr>
              <w:t>hükmedilen teminatın gereğinden fazla istenmiş ve verilmiş bulunmasından kaynaklananlar da dahil her türlü zarar nedeniyle</w:t>
            </w:r>
            <w:r w:rsidR="00A46C6E" w:rsidRPr="00A23740">
              <w:rPr>
                <w:rFonts w:eastAsia="Times New Roman"/>
                <w:szCs w:val="24"/>
                <w:lang w:eastAsia="tr-TR"/>
              </w:rPr>
              <w:t xml:space="preserve"> açılacak tazminat davalarını </w:t>
            </w:r>
            <w:r w:rsidR="00A46C6E" w:rsidRPr="00A23740">
              <w:rPr>
                <w:bCs/>
                <w:lang w:eastAsia="tr-TR"/>
              </w:rPr>
              <w:t>da</w:t>
            </w:r>
            <w:r w:rsidR="00A46C6E" w:rsidRPr="00A23740">
              <w:rPr>
                <w:rFonts w:eastAsia="Times New Roman"/>
                <w:szCs w:val="24"/>
                <w:lang w:eastAsia="tr-TR"/>
              </w:rPr>
              <w:t xml:space="preserve"> görmeye yetkilidir.</w:t>
            </w:r>
          </w:p>
          <w:p w:rsidR="00A46C6E" w:rsidRPr="00A23740" w:rsidRDefault="00A46C6E" w:rsidP="002A27F8">
            <w:pPr>
              <w:widowControl w:val="0"/>
              <w:rPr>
                <w:rFonts w:eastAsia="Times New Roman"/>
                <w:szCs w:val="24"/>
              </w:rPr>
            </w:pPr>
          </w:p>
          <w:p w:rsidR="00A46C6E" w:rsidRPr="00A23740" w:rsidRDefault="00A46C6E" w:rsidP="002A27F8">
            <w:pPr>
              <w:widowControl w:val="0"/>
              <w:rPr>
                <w:rFonts w:eastAsia="Times New Roman"/>
                <w:b/>
                <w:bCs/>
                <w:color w:val="0000FF"/>
                <w:szCs w:val="24"/>
                <w:lang w:eastAsia="tr-TR"/>
              </w:rPr>
            </w:pPr>
            <w:r w:rsidRPr="00A23740">
              <w:rPr>
                <w:rFonts w:eastAsia="Times New Roman"/>
                <w:b/>
                <w:bCs/>
                <w:color w:val="0000FF"/>
                <w:szCs w:val="24"/>
                <w:lang w:eastAsia="tr-TR"/>
              </w:rPr>
              <w:t>(2) Birinci fıkra uyarınca açılacak davada sorumluluğun şartları ve kapsamı Türk hukukuna t</w:t>
            </w:r>
            <w:r w:rsidR="00D81869" w:rsidRPr="00A23740">
              <w:rPr>
                <w:rFonts w:eastAsia="Times New Roman"/>
                <w:b/>
                <w:bCs/>
                <w:color w:val="0000FF"/>
                <w:szCs w:val="24"/>
                <w:lang w:eastAsia="tr-TR"/>
              </w:rPr>
              <w:t>a</w:t>
            </w:r>
            <w:r w:rsidRPr="00A23740">
              <w:rPr>
                <w:rFonts w:eastAsia="Times New Roman"/>
                <w:b/>
                <w:bCs/>
                <w:color w:val="0000FF"/>
                <w:szCs w:val="24"/>
                <w:lang w:eastAsia="tr-TR"/>
              </w:rPr>
              <w:t>bidir.</w:t>
            </w:r>
          </w:p>
          <w:p w:rsidR="00A46C6E" w:rsidRPr="00A23740" w:rsidRDefault="00A46C6E" w:rsidP="002A27F8">
            <w:pPr>
              <w:widowControl w:val="0"/>
              <w:rPr>
                <w:rFonts w:eastAsia="Times New Roman"/>
                <w:szCs w:val="24"/>
              </w:rPr>
            </w:pPr>
          </w:p>
          <w:p w:rsidR="00A46C6E" w:rsidRPr="00A23740" w:rsidRDefault="00A46C6E" w:rsidP="002A27F8">
            <w:pPr>
              <w:widowControl w:val="0"/>
              <w:rPr>
                <w:rFonts w:eastAsia="Times New Roman"/>
                <w:b/>
                <w:bCs/>
                <w:color w:val="0000FF"/>
                <w:szCs w:val="24"/>
                <w:lang w:eastAsia="tr-TR"/>
              </w:rPr>
            </w:pPr>
            <w:r w:rsidRPr="00A23740">
              <w:rPr>
                <w:rFonts w:eastAsia="Times New Roman"/>
                <w:b/>
                <w:bCs/>
                <w:color w:val="0000FF"/>
                <w:szCs w:val="24"/>
                <w:lang w:eastAsia="tr-TR"/>
              </w:rPr>
              <w:t xml:space="preserve">(3) </w:t>
            </w:r>
            <w:r w:rsidRPr="00A23740">
              <w:rPr>
                <w:rFonts w:eastAsia="Times New Roman"/>
                <w:szCs w:val="24"/>
                <w:lang w:eastAsia="tr-TR"/>
              </w:rPr>
              <w:t xml:space="preserve">Deniz alacağının esası hakkında mahkemede veya </w:t>
            </w:r>
            <w:r w:rsidRPr="00A23740">
              <w:rPr>
                <w:b/>
                <w:bCs/>
                <w:color w:val="0000FF"/>
                <w:szCs w:val="24"/>
                <w:lang w:eastAsia="x-none"/>
              </w:rPr>
              <w:t>hakem önünde</w:t>
            </w:r>
            <w:r w:rsidRPr="00A23740">
              <w:rPr>
                <w:rFonts w:eastAsia="Times New Roman"/>
                <w:b/>
                <w:bCs/>
                <w:color w:val="0000FF"/>
                <w:szCs w:val="24"/>
                <w:lang w:eastAsia="x-none"/>
              </w:rPr>
              <w:t xml:space="preserve"> </w:t>
            </w:r>
            <w:r w:rsidRPr="00A23740">
              <w:rPr>
                <w:rFonts w:eastAsia="Times New Roman"/>
                <w:szCs w:val="24"/>
                <w:lang w:eastAsia="tr-TR"/>
              </w:rPr>
              <w:t>dava açılmışsa,</w:t>
            </w:r>
            <w:r w:rsidRPr="00A23740">
              <w:rPr>
                <w:rFonts w:eastAsia="Times New Roman"/>
                <w:b/>
                <w:bCs/>
                <w:color w:val="0000FF"/>
                <w:szCs w:val="24"/>
                <w:lang w:eastAsia="tr-TR"/>
              </w:rPr>
              <w:t xml:space="preserve"> </w:t>
            </w:r>
            <w:r w:rsidRPr="00A23740">
              <w:rPr>
                <w:rFonts w:eastAsia="Times New Roman"/>
                <w:b/>
                <w:bCs/>
                <w:color w:val="0000FF"/>
                <w:szCs w:val="24"/>
                <w:lang w:eastAsia="x-none"/>
              </w:rPr>
              <w:t>bu maddenin birinci fıkrasında belirtilen sebeplerden kaynaklanan zararların tazmini için açılacak davalarda yargılama, deniz alacağının esasına ilişkin davanın</w:t>
            </w:r>
            <w:r w:rsidRPr="00A23740">
              <w:rPr>
                <w:rFonts w:eastAsia="Times New Roman"/>
                <w:szCs w:val="24"/>
                <w:lang w:eastAsia="tr-TR"/>
              </w:rPr>
              <w:t xml:space="preserve"> sonuçlanması</w:t>
            </w:r>
            <w:r w:rsidRPr="00A23740">
              <w:rPr>
                <w:rFonts w:eastAsia="Times New Roman"/>
                <w:b/>
                <w:bCs/>
                <w:color w:val="0000FF"/>
                <w:szCs w:val="24"/>
                <w:lang w:eastAsia="tr-TR"/>
              </w:rPr>
              <w:t xml:space="preserve">na </w:t>
            </w:r>
            <w:r w:rsidRPr="005A4748">
              <w:rPr>
                <w:rStyle w:val="Balk1Char"/>
                <w:rFonts w:eastAsia="Calibri"/>
              </w:rPr>
              <w:t>kadar bekletilir.</w:t>
            </w:r>
          </w:p>
          <w:p w:rsidR="00A46C6E" w:rsidRPr="00A23740" w:rsidRDefault="00A46C6E" w:rsidP="002A27F8">
            <w:pPr>
              <w:widowControl w:val="0"/>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93" w:name="_Hlk134342858"/>
          </w:p>
          <w:p w:rsidR="00A46C6E" w:rsidRPr="00A23740" w:rsidRDefault="00BC725A" w:rsidP="009431FF">
            <w:pPr>
              <w:ind w:firstLine="709"/>
              <w:rPr>
                <w:rFonts w:eastAsia="Times New Roman"/>
                <w:b/>
                <w:bCs/>
                <w:szCs w:val="24"/>
                <w:lang w:eastAsia="tr-TR"/>
              </w:rPr>
            </w:pPr>
            <w:r w:rsidRPr="00A23740">
              <w:rPr>
                <w:rFonts w:eastAsia="Times New Roman"/>
                <w:b/>
                <w:bCs/>
                <w:szCs w:val="24"/>
                <w:lang w:eastAsia="tr-TR"/>
              </w:rPr>
              <w:t>MADDE 505</w:t>
            </w:r>
            <w:r w:rsidR="00A46C6E" w:rsidRPr="00A23740">
              <w:rPr>
                <w:rFonts w:eastAsia="Times New Roman"/>
                <w:b/>
                <w:bCs/>
                <w:szCs w:val="24"/>
                <w:lang w:eastAsia="tr-TR"/>
              </w:rPr>
              <w:t xml:space="preserve">- </w:t>
            </w:r>
            <w:bookmarkStart w:id="94" w:name="_Hlk172877483"/>
            <w:r w:rsidR="00A46C6E" w:rsidRPr="00A23740">
              <w:rPr>
                <w:bCs/>
                <w:szCs w:val="24"/>
                <w:lang w:eastAsia="x-none"/>
              </w:rPr>
              <w:t xml:space="preserve">Maddeyle, </w:t>
            </w:r>
            <w:r w:rsidR="00A46C6E" w:rsidRPr="00A23740">
              <w:rPr>
                <w:rFonts w:eastAsia="Times New Roman"/>
                <w:szCs w:val="24"/>
              </w:rPr>
              <w:t>haksız ihtiyati haciz sebebiyle açılacak tazminat davasına ilişkin</w:t>
            </w:r>
            <w:r w:rsidR="00A46C6E" w:rsidRPr="00A23740">
              <w:rPr>
                <w:bCs/>
                <w:szCs w:val="24"/>
                <w:lang w:eastAsia="x-none"/>
              </w:rPr>
              <w:t xml:space="preserve"> hususlar düzenlenmektedir.</w:t>
            </w:r>
            <w:bookmarkEnd w:id="94"/>
          </w:p>
          <w:p w:rsidR="00A46C6E" w:rsidRPr="00A23740" w:rsidRDefault="00A46C6E" w:rsidP="009431FF">
            <w:pPr>
              <w:ind w:firstLine="709"/>
              <w:rPr>
                <w:rFonts w:eastAsia="Times New Roman"/>
                <w:szCs w:val="24"/>
              </w:rPr>
            </w:pPr>
            <w:r w:rsidRPr="00A23740">
              <w:rPr>
                <w:rFonts w:eastAsia="Times New Roman"/>
                <w:szCs w:val="24"/>
              </w:rPr>
              <w:t>Taslağın</w:t>
            </w:r>
            <w:r w:rsidR="00D04D70" w:rsidRPr="00A23740">
              <w:rPr>
                <w:rFonts w:eastAsia="Times New Roman"/>
                <w:szCs w:val="24"/>
              </w:rPr>
              <w:t xml:space="preserve"> </w:t>
            </w:r>
            <w:r w:rsidR="00D04D70" w:rsidRPr="00F257EC">
              <w:rPr>
                <w:rFonts w:eastAsia="Times New Roman"/>
                <w:szCs w:val="24"/>
              </w:rPr>
              <w:t>464</w:t>
            </w:r>
            <w:r w:rsidR="00D04D70" w:rsidRPr="00F257EC">
              <w:rPr>
                <w:rFonts w:eastAsia="Times New Roman"/>
                <w:b/>
                <w:bCs/>
                <w:szCs w:val="24"/>
              </w:rPr>
              <w:t xml:space="preserve"> </w:t>
            </w:r>
            <w:r w:rsidR="00D04D70" w:rsidRPr="00F257EC">
              <w:rPr>
                <w:rFonts w:eastAsia="Times New Roman"/>
                <w:szCs w:val="24"/>
              </w:rPr>
              <w:t>üncü</w:t>
            </w:r>
            <w:r w:rsidRPr="00A23740">
              <w:rPr>
                <w:rFonts w:eastAsia="Times New Roman"/>
                <w:szCs w:val="24"/>
              </w:rPr>
              <w:t xml:space="preserve"> maddesine göre alacaklı, ihtiyati haciz talebinde bulunduğu anda haksız olduğu anlaşılır veya ihtiyati haciz kararı hükümsüz kalır ya da itiraz üzerine kaldırılır</w:t>
            </w:r>
            <w:r w:rsidR="00B5296B" w:rsidRPr="00A23740">
              <w:rPr>
                <w:rFonts w:eastAsia="Times New Roman"/>
                <w:szCs w:val="24"/>
              </w:rPr>
              <w:t>sa,</w:t>
            </w:r>
            <w:r w:rsidRPr="00A23740">
              <w:rPr>
                <w:rFonts w:eastAsia="Times New Roman"/>
                <w:szCs w:val="24"/>
              </w:rPr>
              <w:t xml:space="preserve"> haksız ihtiyati haciz nedeniyle uğranılan zararı tazmin etmekle yükümlü olu</w:t>
            </w:r>
            <w:r w:rsidR="00B5296B" w:rsidRPr="00A23740">
              <w:rPr>
                <w:rFonts w:eastAsia="Times New Roman"/>
                <w:szCs w:val="24"/>
              </w:rPr>
              <w:t>r ve</w:t>
            </w:r>
            <w:r w:rsidRPr="00A23740">
              <w:rPr>
                <w:rFonts w:eastAsia="Times New Roman"/>
                <w:szCs w:val="24"/>
              </w:rPr>
              <w:t xml:space="preserve"> bu sebeple açılacak tazminat davasında ihtiyati haciz kararı veren mahkeme de yetkilidir. Bu maddenin üçüncü fıkrasına göre tazminat davası hükmün kesinleşmesinden veya ihtiyati haciz kararının kalkmasından it</w:t>
            </w:r>
            <w:r w:rsidR="00A448DF" w:rsidRPr="00A23740">
              <w:rPr>
                <w:rFonts w:eastAsia="Times New Roman"/>
                <w:szCs w:val="24"/>
              </w:rPr>
              <w:t>ibaren bir yıl geçmesiyle zaman</w:t>
            </w:r>
            <w:r w:rsidRPr="00A23740">
              <w:rPr>
                <w:rFonts w:eastAsia="Times New Roman"/>
                <w:szCs w:val="24"/>
              </w:rPr>
              <w:t xml:space="preserve">aşımına uğrar. 1999 </w:t>
            </w:r>
            <w:r w:rsidR="006E0E46" w:rsidRPr="00F257EC">
              <w:rPr>
                <w:rFonts w:eastAsia="Times New Roman"/>
                <w:szCs w:val="24"/>
              </w:rPr>
              <w:t>tarihli</w:t>
            </w:r>
            <w:r w:rsidR="006E0E46" w:rsidRPr="00A23740">
              <w:rPr>
                <w:b/>
                <w:bCs/>
                <w:color w:val="00B0F0"/>
                <w:szCs w:val="52"/>
                <w:lang w:val="x-none" w:eastAsia="x-none"/>
              </w:rPr>
              <w:t xml:space="preserve"> </w:t>
            </w:r>
            <w:r w:rsidR="006E0E46" w:rsidRPr="00F257EC">
              <w:rPr>
                <w:rFonts w:eastAsia="Times New Roman"/>
                <w:szCs w:val="24"/>
              </w:rPr>
              <w:t>Milletlerarası</w:t>
            </w:r>
            <w:r w:rsidR="006E0E46" w:rsidRPr="00A23740">
              <w:rPr>
                <w:b/>
                <w:bCs/>
                <w:color w:val="00B0F0"/>
                <w:szCs w:val="52"/>
                <w:lang w:val="x-none" w:eastAsia="x-none"/>
              </w:rPr>
              <w:t xml:space="preserve"> </w:t>
            </w:r>
            <w:r w:rsidR="006E0E46" w:rsidRPr="00F257EC">
              <w:rPr>
                <w:rFonts w:eastAsia="Times New Roman"/>
                <w:szCs w:val="24"/>
              </w:rPr>
              <w:t>Sözleşmenin</w:t>
            </w:r>
            <w:r w:rsidR="006E0E46" w:rsidRPr="00A23740">
              <w:rPr>
                <w:rFonts w:eastAsia="Times New Roman"/>
                <w:szCs w:val="24"/>
              </w:rPr>
              <w:t xml:space="preserve"> </w:t>
            </w:r>
            <w:r w:rsidRPr="00A23740">
              <w:rPr>
                <w:rFonts w:eastAsia="Times New Roman"/>
                <w:szCs w:val="24"/>
              </w:rPr>
              <w:t>6 ncı maddesinde yer alan “</w:t>
            </w:r>
            <w:r w:rsidRPr="00A23740">
              <w:rPr>
                <w:rFonts w:eastAsia="Times New Roman"/>
                <w:i/>
                <w:iCs/>
                <w:szCs w:val="24"/>
              </w:rPr>
              <w:t>wrongful</w:t>
            </w:r>
            <w:r w:rsidRPr="00A23740">
              <w:rPr>
                <w:rFonts w:eastAsia="Times New Roman"/>
                <w:szCs w:val="24"/>
              </w:rPr>
              <w:t>” ve “</w:t>
            </w:r>
            <w:r w:rsidRPr="00A23740">
              <w:rPr>
                <w:rFonts w:eastAsia="Times New Roman"/>
                <w:i/>
                <w:iCs/>
                <w:szCs w:val="24"/>
              </w:rPr>
              <w:t>unjustified</w:t>
            </w:r>
            <w:r w:rsidRPr="00A23740">
              <w:rPr>
                <w:rFonts w:eastAsia="Times New Roman"/>
                <w:szCs w:val="24"/>
              </w:rPr>
              <w:t xml:space="preserve">” terimlerinin karşılığı olarak bu </w:t>
            </w:r>
            <w:r w:rsidR="006E0E46" w:rsidRPr="00F257EC">
              <w:rPr>
                <w:rFonts w:eastAsia="Times New Roman"/>
                <w:szCs w:val="24"/>
              </w:rPr>
              <w:t>Milletlerarası</w:t>
            </w:r>
            <w:r w:rsidR="006E0E46" w:rsidRPr="00A23740">
              <w:rPr>
                <w:b/>
                <w:bCs/>
                <w:color w:val="00B0F0"/>
                <w:szCs w:val="52"/>
                <w:lang w:val="x-none" w:eastAsia="x-none"/>
              </w:rPr>
              <w:t xml:space="preserve"> </w:t>
            </w:r>
            <w:r w:rsidR="006E0E46" w:rsidRPr="00F257EC">
              <w:rPr>
                <w:rFonts w:eastAsia="Times New Roman"/>
                <w:szCs w:val="24"/>
              </w:rPr>
              <w:t>Sözleşmenin</w:t>
            </w:r>
            <w:r w:rsidR="006E0E46" w:rsidRPr="00A23740">
              <w:rPr>
                <w:rFonts w:eastAsia="Times New Roman"/>
                <w:szCs w:val="24"/>
              </w:rPr>
              <w:t xml:space="preserve"> </w:t>
            </w:r>
            <w:r w:rsidRPr="00A23740">
              <w:rPr>
                <w:rFonts w:eastAsia="Times New Roman"/>
                <w:szCs w:val="24"/>
              </w:rPr>
              <w:t>03.05.2019 tarihli Resm</w:t>
            </w:r>
            <w:r w:rsidR="00A448DF" w:rsidRPr="00A23740">
              <w:rPr>
                <w:rFonts w:eastAsia="Times New Roman"/>
                <w:szCs w:val="24"/>
              </w:rPr>
              <w:t>î</w:t>
            </w:r>
            <w:r w:rsidRPr="00A23740">
              <w:rPr>
                <w:rFonts w:eastAsia="Times New Roman"/>
                <w:szCs w:val="24"/>
              </w:rPr>
              <w:t xml:space="preserve"> Gazete’de yayımlanan Türkçe tercümesinde “</w:t>
            </w:r>
            <w:r w:rsidRPr="00A23740">
              <w:rPr>
                <w:rFonts w:eastAsia="Times New Roman"/>
                <w:i/>
                <w:iCs/>
                <w:szCs w:val="24"/>
              </w:rPr>
              <w:t>haksız</w:t>
            </w:r>
            <w:r w:rsidRPr="00A23740">
              <w:rPr>
                <w:rFonts w:eastAsia="Times New Roman"/>
                <w:szCs w:val="24"/>
              </w:rPr>
              <w:t>” ve “</w:t>
            </w:r>
            <w:r w:rsidRPr="00A23740">
              <w:rPr>
                <w:rFonts w:eastAsia="Times New Roman"/>
                <w:i/>
                <w:iCs/>
                <w:szCs w:val="24"/>
              </w:rPr>
              <w:t>sebepsiz</w:t>
            </w:r>
            <w:r w:rsidRPr="00A23740">
              <w:rPr>
                <w:rFonts w:eastAsia="Times New Roman"/>
                <w:szCs w:val="24"/>
              </w:rPr>
              <w:t>” terimleri kullanılmıştır. Anılan maddenin birinci fıkrasında “</w:t>
            </w:r>
            <w:r w:rsidRPr="00A23740">
              <w:rPr>
                <w:rFonts w:eastAsia="Times New Roman"/>
                <w:i/>
                <w:iCs/>
                <w:szCs w:val="24"/>
              </w:rPr>
              <w:t>ihtiyati haciz talep eden alacaklının, ihtiyati haczin haksız veya sebepsiz (wrongful or unjustified) olmasından veya teminatın gereğinden fazla istenmiş ve verilmiş olmasından kaynaklanan zararlar dahil geminin ihtiyati haczinin sebebiyet verdiği ve alacaklının sorumlu tutulabileceği zararlar için mahkeme tarafından belirlenecek tür ve miktarda teminat göstermekle yükümlü olduğu</w:t>
            </w:r>
            <w:r w:rsidRPr="00A23740">
              <w:rPr>
                <w:rFonts w:eastAsia="Times New Roman"/>
                <w:szCs w:val="24"/>
              </w:rPr>
              <w:t>”;</w:t>
            </w:r>
            <w:r w:rsidRPr="00A23740">
              <w:rPr>
                <w:rFonts w:eastAsia="Times New Roman"/>
                <w:i/>
                <w:iCs/>
                <w:szCs w:val="24"/>
              </w:rPr>
              <w:t xml:space="preserve"> </w:t>
            </w:r>
            <w:r w:rsidRPr="00A23740">
              <w:rPr>
                <w:rFonts w:eastAsia="Times New Roman"/>
                <w:szCs w:val="24"/>
              </w:rPr>
              <w:t>ikinci fıkrasında ise “</w:t>
            </w:r>
            <w:r w:rsidRPr="00A23740">
              <w:rPr>
                <w:rFonts w:eastAsia="Times New Roman"/>
                <w:i/>
                <w:iCs/>
                <w:szCs w:val="24"/>
              </w:rPr>
              <w:t>ihtiyati haczin uygulandığı devlet mahkemelerinin, ihtiyati haczin haksız veya sebepsiz olmasından veya teminatın gereğinden fazla istenmiş ve verilmiş olmasından kaynaklanan zararlar dahil geminin ihtiyati haczinin sebebiyet verdiği zararlardan alacaklının sorumlu olup olmadığı hakkında karar vermeye yetkili olduğu</w:t>
            </w:r>
            <w:r w:rsidRPr="00A23740">
              <w:rPr>
                <w:rFonts w:eastAsia="Times New Roman"/>
                <w:szCs w:val="24"/>
              </w:rPr>
              <w:t xml:space="preserve">” öngörülmüştür. Dolayısıyla 1999 </w:t>
            </w:r>
            <w:r w:rsidR="00D04D70" w:rsidRPr="00F257EC">
              <w:rPr>
                <w:rFonts w:eastAsia="Times New Roman"/>
                <w:szCs w:val="24"/>
              </w:rPr>
              <w:t>tarihli</w:t>
            </w:r>
            <w:r w:rsidR="00D04D70" w:rsidRPr="00A23740">
              <w:rPr>
                <w:b/>
                <w:bCs/>
                <w:color w:val="00B0F0"/>
                <w:szCs w:val="52"/>
                <w:lang w:val="x-none" w:eastAsia="x-none"/>
              </w:rPr>
              <w:t xml:space="preserve"> </w:t>
            </w:r>
            <w:r w:rsidR="00D04D70" w:rsidRPr="00F257EC">
              <w:rPr>
                <w:rFonts w:eastAsia="Times New Roman"/>
                <w:szCs w:val="24"/>
              </w:rPr>
              <w:t>Milletlerarası</w:t>
            </w:r>
            <w:r w:rsidR="00D04D70" w:rsidRPr="00A23740">
              <w:rPr>
                <w:b/>
                <w:bCs/>
                <w:color w:val="00B0F0"/>
                <w:szCs w:val="52"/>
                <w:lang w:val="x-none" w:eastAsia="x-none"/>
              </w:rPr>
              <w:t xml:space="preserve"> </w:t>
            </w:r>
            <w:r w:rsidR="00D04D70" w:rsidRPr="00F257EC">
              <w:rPr>
                <w:rFonts w:eastAsia="Times New Roman"/>
                <w:szCs w:val="24"/>
              </w:rPr>
              <w:t>Sözleşmenin</w:t>
            </w:r>
            <w:r w:rsidR="00D04D70" w:rsidRPr="00A23740">
              <w:rPr>
                <w:rFonts w:eastAsia="Times New Roman"/>
                <w:szCs w:val="24"/>
              </w:rPr>
              <w:t xml:space="preserve"> </w:t>
            </w:r>
            <w:r w:rsidRPr="00A23740">
              <w:rPr>
                <w:rFonts w:eastAsia="Times New Roman"/>
                <w:szCs w:val="24"/>
              </w:rPr>
              <w:t xml:space="preserve">6 ncı maddesinin ikinci fıkrasında Taslağın </w:t>
            </w:r>
            <w:r w:rsidR="00D04D70" w:rsidRPr="00F257EC">
              <w:rPr>
                <w:rFonts w:eastAsia="Times New Roman"/>
                <w:szCs w:val="24"/>
              </w:rPr>
              <w:t>464</w:t>
            </w:r>
            <w:r w:rsidR="00D04D70" w:rsidRPr="00F257EC">
              <w:rPr>
                <w:rFonts w:eastAsia="Times New Roman"/>
                <w:b/>
                <w:bCs/>
                <w:szCs w:val="24"/>
              </w:rPr>
              <w:t xml:space="preserve"> </w:t>
            </w:r>
            <w:r w:rsidR="00D04D70" w:rsidRPr="00F257EC">
              <w:rPr>
                <w:rFonts w:eastAsia="Times New Roman"/>
                <w:szCs w:val="24"/>
              </w:rPr>
              <w:t>üncü</w:t>
            </w:r>
            <w:r w:rsidR="00D04D70" w:rsidRPr="00A23740">
              <w:rPr>
                <w:rFonts w:eastAsia="Times New Roman"/>
                <w:szCs w:val="24"/>
              </w:rPr>
              <w:t xml:space="preserve"> </w:t>
            </w:r>
            <w:r w:rsidRPr="00A23740">
              <w:rPr>
                <w:rFonts w:eastAsia="Times New Roman"/>
                <w:szCs w:val="24"/>
              </w:rPr>
              <w:t>maddesinden farklı olarak ihtiyati haczin haksız olması yanında sebepsiz olması ve teminatın gereğinden fazla istenmiş ve verilmiş olması da alacaklının ihtiyati haciz</w:t>
            </w:r>
            <w:r w:rsidR="00B5296B" w:rsidRPr="00A23740">
              <w:rPr>
                <w:rFonts w:eastAsia="Times New Roman"/>
                <w:szCs w:val="24"/>
              </w:rPr>
              <w:t xml:space="preserve"> nedeniyle </w:t>
            </w:r>
            <w:r w:rsidRPr="00A23740">
              <w:rPr>
                <w:rFonts w:eastAsia="Times New Roman"/>
                <w:szCs w:val="24"/>
              </w:rPr>
              <w:t xml:space="preserve">sorumluluğunu doğuran sebepler olarak zikredilmiştir. </w:t>
            </w:r>
            <w:r w:rsidR="00B5296B" w:rsidRPr="00A23740">
              <w:rPr>
                <w:rFonts w:eastAsia="Times New Roman"/>
                <w:szCs w:val="24"/>
              </w:rPr>
              <w:t xml:space="preserve">Onun için, </w:t>
            </w:r>
            <w:r w:rsidRPr="00A23740">
              <w:rPr>
                <w:rFonts w:eastAsia="Times New Roman"/>
                <w:szCs w:val="24"/>
              </w:rPr>
              <w:t xml:space="preserve">maddenin birinci fıkrasında, Taslağın </w:t>
            </w:r>
            <w:r w:rsidR="00D04D70" w:rsidRPr="00F257EC">
              <w:rPr>
                <w:rFonts w:eastAsia="Times New Roman"/>
                <w:szCs w:val="24"/>
              </w:rPr>
              <w:t>464</w:t>
            </w:r>
            <w:r w:rsidR="00D04D70" w:rsidRPr="00F257EC">
              <w:rPr>
                <w:rFonts w:eastAsia="Times New Roman"/>
                <w:b/>
                <w:bCs/>
                <w:szCs w:val="24"/>
              </w:rPr>
              <w:t xml:space="preserve"> </w:t>
            </w:r>
            <w:r w:rsidR="00D04D70" w:rsidRPr="00F257EC">
              <w:rPr>
                <w:rFonts w:eastAsia="Times New Roman"/>
                <w:szCs w:val="24"/>
              </w:rPr>
              <w:t>üncü</w:t>
            </w:r>
            <w:r w:rsidR="00D04D70" w:rsidRPr="00A23740">
              <w:rPr>
                <w:rFonts w:eastAsia="Times New Roman"/>
                <w:szCs w:val="24"/>
              </w:rPr>
              <w:t xml:space="preserve"> </w:t>
            </w:r>
            <w:r w:rsidRPr="00A23740">
              <w:rPr>
                <w:rFonts w:eastAsia="Times New Roman"/>
                <w:szCs w:val="24"/>
              </w:rPr>
              <w:t xml:space="preserve">maddesi ve 1999 </w:t>
            </w:r>
            <w:r w:rsidR="006E0E46" w:rsidRPr="00F257EC">
              <w:rPr>
                <w:rFonts w:eastAsia="Times New Roman"/>
                <w:szCs w:val="24"/>
              </w:rPr>
              <w:t>tarihli</w:t>
            </w:r>
            <w:r w:rsidR="006E0E46" w:rsidRPr="00A23740">
              <w:rPr>
                <w:b/>
                <w:bCs/>
                <w:color w:val="00B0F0"/>
                <w:szCs w:val="52"/>
                <w:lang w:val="x-none" w:eastAsia="x-none"/>
              </w:rPr>
              <w:t xml:space="preserve"> </w:t>
            </w:r>
            <w:r w:rsidR="006E0E46" w:rsidRPr="00F257EC">
              <w:rPr>
                <w:rFonts w:eastAsia="Times New Roman"/>
                <w:szCs w:val="24"/>
              </w:rPr>
              <w:t>Milletlerarası</w:t>
            </w:r>
            <w:r w:rsidR="006E0E46" w:rsidRPr="00A23740">
              <w:rPr>
                <w:b/>
                <w:bCs/>
                <w:color w:val="00B0F0"/>
                <w:szCs w:val="52"/>
                <w:lang w:val="x-none" w:eastAsia="x-none"/>
              </w:rPr>
              <w:t xml:space="preserve"> </w:t>
            </w:r>
            <w:r w:rsidR="006E0E46" w:rsidRPr="00F257EC">
              <w:rPr>
                <w:rFonts w:eastAsia="Times New Roman"/>
                <w:szCs w:val="24"/>
              </w:rPr>
              <w:t>Sözleşmenin</w:t>
            </w:r>
            <w:r w:rsidR="006E0E46" w:rsidRPr="00A23740">
              <w:rPr>
                <w:rFonts w:eastAsia="Times New Roman"/>
                <w:szCs w:val="24"/>
              </w:rPr>
              <w:t xml:space="preserve"> </w:t>
            </w:r>
            <w:r w:rsidR="006E0E46" w:rsidRPr="00F257EC">
              <w:rPr>
                <w:rFonts w:eastAsia="Times New Roman"/>
                <w:szCs w:val="24"/>
              </w:rPr>
              <w:t>madde</w:t>
            </w:r>
            <w:r w:rsidR="006E0E46" w:rsidRPr="00A23740">
              <w:rPr>
                <w:rFonts w:eastAsia="Times New Roman"/>
                <w:szCs w:val="24"/>
              </w:rPr>
              <w:t xml:space="preserve"> 6/</w:t>
            </w:r>
            <w:r w:rsidRPr="00A23740">
              <w:rPr>
                <w:rFonts w:eastAsia="Times New Roman"/>
                <w:szCs w:val="24"/>
              </w:rPr>
              <w:t xml:space="preserve">2 hükümleri dikkate alınarak ihtiyati hacizden kaynaklanan sorumluluk sebepleri “ihtiyati haczin haksız veya sebepsiz olmasından ya da Taslağın </w:t>
            </w:r>
            <w:r w:rsidR="006E0E46" w:rsidRPr="00F257EC">
              <w:rPr>
                <w:rFonts w:eastAsia="Times New Roman"/>
                <w:szCs w:val="24"/>
              </w:rPr>
              <w:t>502</w:t>
            </w:r>
            <w:r w:rsidR="006E0E46" w:rsidRPr="00F257EC">
              <w:rPr>
                <w:rFonts w:eastAsia="Times New Roman"/>
                <w:b/>
                <w:bCs/>
                <w:szCs w:val="24"/>
              </w:rPr>
              <w:t xml:space="preserve"> </w:t>
            </w:r>
            <w:r w:rsidR="006E0E46" w:rsidRPr="00F257EC">
              <w:rPr>
                <w:rFonts w:eastAsia="Times New Roman"/>
                <w:szCs w:val="24"/>
              </w:rPr>
              <w:t>nci</w:t>
            </w:r>
            <w:r w:rsidR="006E0E46" w:rsidRPr="00A23740">
              <w:rPr>
                <w:b/>
                <w:bCs/>
                <w:color w:val="0000FF"/>
                <w:szCs w:val="24"/>
                <w:lang w:eastAsia="x-none"/>
              </w:rPr>
              <w:t xml:space="preserve"> </w:t>
            </w:r>
            <w:r w:rsidRPr="00A23740">
              <w:rPr>
                <w:rFonts w:eastAsia="Times New Roman"/>
                <w:szCs w:val="24"/>
              </w:rPr>
              <w:t>maddesi gereğince hükmedilen teminatın gereğinden fazla istenmiş ve verilmiş olması” şeklinde belirtilerek</w:t>
            </w:r>
            <w:r w:rsidR="00B5296B" w:rsidRPr="00A23740">
              <w:rPr>
                <w:rFonts w:eastAsia="Times New Roman"/>
                <w:szCs w:val="24"/>
              </w:rPr>
              <w:t>,</w:t>
            </w:r>
            <w:r w:rsidRPr="00A23740">
              <w:rPr>
                <w:rFonts w:eastAsia="Times New Roman"/>
                <w:szCs w:val="24"/>
              </w:rPr>
              <w:t xml:space="preserve"> bu sebeplerden kaynaklananlar dâhil ihtiyati haciz yüzünden uğranılan ve alacaklının sorumlu tutulabileceği tüm zararlar için açılacak tazminat davalarında ihtiyati haciz kararı veren mahkemenin de yetkili olduğu hüküm altına alınmıştır. Alacaklıya karşı açılacak davada, alacaklının sorumluluğunun tespitinde ihtiyati haczin haksız olması yanında bu maddenin birinci fıkrasında belirtilen sebeplerin de </w:t>
            </w:r>
            <w:r w:rsidR="00D04D70" w:rsidRPr="00A23740">
              <w:rPr>
                <w:rFonts w:eastAsia="Times New Roman"/>
                <w:szCs w:val="24"/>
              </w:rPr>
              <w:t>dikkate alınması gerekmektedir.</w:t>
            </w:r>
          </w:p>
          <w:p w:rsidR="00A46C6E" w:rsidRPr="00A23740" w:rsidRDefault="00A46C6E" w:rsidP="009431FF">
            <w:pPr>
              <w:ind w:firstLine="709"/>
              <w:rPr>
                <w:rFonts w:eastAsia="Times New Roman"/>
                <w:szCs w:val="24"/>
              </w:rPr>
            </w:pPr>
            <w:r w:rsidRPr="00A23740">
              <w:rPr>
                <w:rFonts w:eastAsia="Times New Roman"/>
                <w:szCs w:val="24"/>
              </w:rPr>
              <w:t xml:space="preserve">1999 </w:t>
            </w:r>
            <w:r w:rsidR="006E0E46" w:rsidRPr="00F257EC">
              <w:rPr>
                <w:rFonts w:eastAsia="Times New Roman"/>
                <w:szCs w:val="24"/>
              </w:rPr>
              <w:t>tarihli Milletlerarası Sözleşmenin</w:t>
            </w:r>
            <w:r w:rsidR="006E0E46" w:rsidRPr="00A23740">
              <w:rPr>
                <w:rFonts w:eastAsia="Times New Roman"/>
                <w:szCs w:val="24"/>
              </w:rPr>
              <w:t xml:space="preserve"> </w:t>
            </w:r>
            <w:r w:rsidRPr="00A23740">
              <w:rPr>
                <w:rFonts w:eastAsia="Times New Roman"/>
                <w:szCs w:val="24"/>
              </w:rPr>
              <w:t>6 ncı maddesinin üçüncü fıkrasında</w:t>
            </w:r>
            <w:r w:rsidR="00B5296B" w:rsidRPr="00A23740">
              <w:rPr>
                <w:rFonts w:eastAsia="Times New Roman"/>
                <w:szCs w:val="24"/>
              </w:rPr>
              <w:t>;</w:t>
            </w:r>
            <w:r w:rsidRPr="00A23740">
              <w:rPr>
                <w:rFonts w:eastAsia="Times New Roman"/>
                <w:szCs w:val="24"/>
              </w:rPr>
              <w:t xml:space="preserve"> “</w:t>
            </w:r>
            <w:r w:rsidRPr="00A23740">
              <w:rPr>
                <w:rFonts w:eastAsia="Times New Roman"/>
                <w:i/>
                <w:iCs/>
                <w:szCs w:val="24"/>
              </w:rPr>
              <w:t>alacaklının varsa haksız veya sebepsiz ihtiyati haciz dolayısıyla sorumluluğunun, ihtiyati haczi uygulayan devlet hukukuna tâbi olduğu</w:t>
            </w:r>
            <w:r w:rsidRPr="00A23740">
              <w:rPr>
                <w:rFonts w:eastAsia="Times New Roman"/>
                <w:szCs w:val="24"/>
              </w:rPr>
              <w:t xml:space="preserve">” öngörülmüştür. Bu hüküm doğrultusunda </w:t>
            </w:r>
            <w:r w:rsidR="00D04D70" w:rsidRPr="00F257EC">
              <w:rPr>
                <w:rFonts w:eastAsia="Times New Roman"/>
                <w:szCs w:val="24"/>
              </w:rPr>
              <w:t>505</w:t>
            </w:r>
            <w:r w:rsidR="00D04D70" w:rsidRPr="00F257EC">
              <w:rPr>
                <w:rFonts w:eastAsia="Times New Roman"/>
                <w:b/>
                <w:bCs/>
                <w:szCs w:val="24"/>
              </w:rPr>
              <w:t xml:space="preserve"> </w:t>
            </w:r>
            <w:r w:rsidR="00D04D70" w:rsidRPr="00F257EC">
              <w:rPr>
                <w:rFonts w:eastAsia="Times New Roman"/>
                <w:szCs w:val="24"/>
              </w:rPr>
              <w:t>inci</w:t>
            </w:r>
            <w:r w:rsidR="00D04D70" w:rsidRPr="00A23740">
              <w:rPr>
                <w:rFonts w:eastAsia="Times New Roman"/>
                <w:szCs w:val="24"/>
              </w:rPr>
              <w:t xml:space="preserve"> </w:t>
            </w:r>
            <w:r w:rsidRPr="00A23740">
              <w:rPr>
                <w:rFonts w:eastAsia="Times New Roman"/>
                <w:szCs w:val="24"/>
              </w:rPr>
              <w:t>maddenin ikinci fıkrasında “maddenin birinci fıkrası uyarınca açılacak davada alacaklının sorumluluk şartları ve kapsamının Türk hukukuna tâbi olduğu” hükmüne yer verilmiştir.</w:t>
            </w:r>
          </w:p>
          <w:p w:rsidR="00A46C6E" w:rsidRPr="009D25DD" w:rsidRDefault="00A46C6E" w:rsidP="009D25DD">
            <w:pPr>
              <w:ind w:firstLine="709"/>
              <w:rPr>
                <w:rFonts w:eastAsia="Times New Roman"/>
                <w:szCs w:val="24"/>
              </w:rPr>
            </w:pPr>
            <w:r w:rsidRPr="00A23740">
              <w:rPr>
                <w:rFonts w:eastAsia="Times New Roman"/>
                <w:szCs w:val="24"/>
              </w:rPr>
              <w:t xml:space="preserve">Maddenin üçüncü fıkrasındaki düzenleme, 1999 </w:t>
            </w:r>
            <w:r w:rsidR="006E0E46" w:rsidRPr="00F257EC">
              <w:rPr>
                <w:rFonts w:eastAsia="Times New Roman"/>
                <w:szCs w:val="24"/>
              </w:rPr>
              <w:t>tarihli Milletlerarası Sözleşmenin</w:t>
            </w:r>
            <w:r w:rsidRPr="00A23740">
              <w:rPr>
                <w:rFonts w:eastAsia="Times New Roman"/>
                <w:szCs w:val="24"/>
              </w:rPr>
              <w:t xml:space="preserve"> 6 ncı maddesinin dördüncü fıkrası ve </w:t>
            </w:r>
            <w:r w:rsidRPr="00A23740">
              <w:rPr>
                <w:rFonts w:eastAsia="Times New Roman"/>
                <w:bCs/>
                <w:szCs w:val="24"/>
              </w:rPr>
              <w:t>6100 sayılı Kanunun</w:t>
            </w:r>
            <w:r w:rsidRPr="00A23740">
              <w:rPr>
                <w:rFonts w:eastAsia="Times New Roman"/>
                <w:szCs w:val="24"/>
              </w:rPr>
              <w:t xml:space="preserve"> 165 inci maddesinin ikinci fıkrası dikkate alınarak getirilmiştir.</w:t>
            </w:r>
            <w:bookmarkEnd w:id="93"/>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strike/>
                <w:color w:val="FF0000"/>
                <w:szCs w:val="24"/>
                <w:lang w:eastAsia="x-none"/>
              </w:rPr>
              <w:t>D) Eşya hakkında</w:t>
            </w:r>
          </w:p>
          <w:p w:rsidR="00D84CCE" w:rsidRDefault="00D84CCE" w:rsidP="009431FF">
            <w:pPr>
              <w:rPr>
                <w:rFonts w:eastAsia="Times New Roman"/>
                <w:b/>
                <w:bCs/>
                <w:strike/>
                <w:color w:val="FF0000"/>
                <w:szCs w:val="24"/>
                <w:lang w:eastAsia="x-none"/>
              </w:rPr>
            </w:pPr>
          </w:p>
          <w:p w:rsidR="00D84CCE" w:rsidRDefault="00D84CCE" w:rsidP="009431FF">
            <w:pPr>
              <w:rPr>
                <w:rFonts w:eastAsia="Times New Roman"/>
                <w:b/>
                <w:bCs/>
                <w:strike/>
                <w:color w:val="FF0000"/>
                <w:szCs w:val="24"/>
                <w:lang w:eastAsia="x-none"/>
              </w:rPr>
            </w:pPr>
          </w:p>
          <w:p w:rsidR="00A46C6E" w:rsidRPr="00A23740" w:rsidRDefault="00A46C6E" w:rsidP="009431FF">
            <w:pPr>
              <w:rPr>
                <w:rFonts w:eastAsia="Times New Roman"/>
                <w:szCs w:val="24"/>
                <w:lang w:eastAsia="tr-TR"/>
              </w:rPr>
            </w:pPr>
            <w:r w:rsidRPr="00A23740">
              <w:rPr>
                <w:rFonts w:eastAsia="Times New Roman"/>
                <w:b/>
                <w:bCs/>
                <w:strike/>
                <w:color w:val="FF0000"/>
                <w:szCs w:val="24"/>
                <w:lang w:eastAsia="x-none"/>
              </w:rPr>
              <w:t>I -</w:t>
            </w:r>
            <w:r w:rsidRPr="00A23740">
              <w:rPr>
                <w:rFonts w:eastAsia="Times New Roman"/>
                <w:b/>
                <w:bCs/>
                <w:szCs w:val="24"/>
                <w:lang w:eastAsia="tr-TR"/>
              </w:rPr>
              <w:t xml:space="preserve"> Hapis hakkı </w:t>
            </w:r>
            <w:r w:rsidRPr="00A23740">
              <w:rPr>
                <w:rFonts w:eastAsia="Times New Roman"/>
                <w:b/>
                <w:bCs/>
                <w:strike/>
                <w:color w:val="FF0000"/>
                <w:szCs w:val="24"/>
                <w:lang w:eastAsia="x-none"/>
              </w:rPr>
              <w:t>için defter tutulması</w:t>
            </w:r>
          </w:p>
          <w:p w:rsidR="00A46C6E" w:rsidRPr="00A23740"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bCs/>
                <w:strike/>
                <w:color w:val="FF0000"/>
                <w:szCs w:val="24"/>
                <w:lang w:eastAsia="x-none"/>
              </w:rPr>
              <w:t>1398</w:t>
            </w:r>
            <w:r w:rsidRPr="00A23740">
              <w:rPr>
                <w:rFonts w:eastAsia="Times New Roman"/>
                <w:szCs w:val="24"/>
                <w:lang w:eastAsia="tr-TR"/>
              </w:rPr>
              <w:t xml:space="preserve">- (1) </w:t>
            </w:r>
            <w:r w:rsidRPr="00A23740">
              <w:rPr>
                <w:rFonts w:eastAsia="Times New Roman"/>
                <w:b/>
                <w:bCs/>
                <w:strike/>
                <w:color w:val="FF0000"/>
                <w:szCs w:val="24"/>
                <w:lang w:eastAsia="x-none"/>
              </w:rPr>
              <w:t xml:space="preserve">İcra ve İflas </w:t>
            </w:r>
            <w:r w:rsidRPr="005A4748">
              <w:rPr>
                <w:rStyle w:val="KIRMIZIChar"/>
                <w:rFonts w:eastAsia="Calibri"/>
              </w:rPr>
              <w:t>Kanununun 270 ve 271 inci maddeleri, b</w:t>
            </w:r>
            <w:r w:rsidRPr="00A23740">
              <w:rPr>
                <w:rFonts w:eastAsia="Times New Roman"/>
                <w:b/>
                <w:bCs/>
                <w:strike/>
                <w:color w:val="FF0000"/>
                <w:szCs w:val="24"/>
                <w:lang w:eastAsia="x-none"/>
              </w:rPr>
              <w:t>u Kanun</w:t>
            </w:r>
            <w:r w:rsidRPr="00A23740">
              <w:rPr>
                <w:rFonts w:eastAsia="Times New Roman"/>
                <w:szCs w:val="24"/>
                <w:lang w:eastAsia="tr-TR"/>
              </w:rPr>
              <w:t xml:space="preserve"> hükümleri uyarınca eşya üzerinde doğan hapis hak</w:t>
            </w:r>
            <w:r w:rsidRPr="00A23740">
              <w:rPr>
                <w:rFonts w:eastAsia="Times New Roman"/>
                <w:b/>
                <w:bCs/>
                <w:strike/>
                <w:color w:val="FF0000"/>
                <w:szCs w:val="24"/>
                <w:lang w:eastAsia="x-none"/>
              </w:rPr>
              <w:t>kının</w:t>
            </w:r>
            <w:r w:rsidRPr="00A23740">
              <w:rPr>
                <w:rFonts w:eastAsia="Times New Roman"/>
                <w:szCs w:val="24"/>
                <w:lang w:eastAsia="tr-TR"/>
              </w:rPr>
              <w:t xml:space="preserve"> </w:t>
            </w:r>
            <w:r w:rsidRPr="005A4748">
              <w:rPr>
                <w:rStyle w:val="KIRMIZIChar"/>
                <w:rFonts w:eastAsia="Calibri"/>
              </w:rPr>
              <w:t>paraya çevrilmesinde de uygulanır.</w:t>
            </w:r>
          </w:p>
          <w:p w:rsidR="00A46C6E" w:rsidRPr="00A23740" w:rsidRDefault="00A46C6E" w:rsidP="009431FF">
            <w:pPr>
              <w:rPr>
                <w:rFonts w:eastAsia="Times New Roman"/>
                <w:szCs w:val="24"/>
                <w:lang w:eastAsia="tr-TR"/>
              </w:rPr>
            </w:pPr>
          </w:p>
          <w:p w:rsidR="00A46C6E" w:rsidRPr="00A23740" w:rsidRDefault="00A46C6E"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(2) İcra ve İflas Kanununun 270 inci maddesinin üçüncü fıkrasında öngörülen süre, eşya üzerinde doğan hapis haklarının paraya çevrilmesinde onbeş gündür.</w:t>
            </w:r>
          </w:p>
          <w:p w:rsidR="00A46C6E" w:rsidRPr="00A23740" w:rsidRDefault="00A46C6E" w:rsidP="009431FF">
            <w:pPr>
              <w:tabs>
                <w:tab w:val="left" w:pos="567"/>
              </w:tabs>
              <w:rPr>
                <w:rFonts w:eastAsia="Times New Roman"/>
                <w:b/>
                <w:bCs/>
                <w:strike/>
                <w:color w:val="FF0000"/>
                <w:szCs w:val="24"/>
                <w:lang w:eastAsia="x-none"/>
              </w:rPr>
            </w:pPr>
          </w:p>
          <w:p w:rsidR="00A46C6E" w:rsidRPr="00A23740" w:rsidRDefault="00A46C6E" w:rsidP="009431FF">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(3) Eşya üzerinde doğan hapis hakları, teminat altına alınan alacaktan ayrı ve bağımsız olarak yargılama veya icra konusu yapılamaz.</w:t>
            </w:r>
          </w:p>
          <w:p w:rsidR="00A46C6E" w:rsidRPr="00A23740" w:rsidRDefault="00A46C6E" w:rsidP="009431FF">
            <w:pPr>
              <w:rPr>
                <w:rFonts w:eastAsia="Times New Roman"/>
                <w:szCs w:val="24"/>
              </w:rPr>
            </w:pPr>
          </w:p>
        </w:tc>
        <w:tc>
          <w:tcPr>
            <w:tcW w:w="2500" w:type="pct"/>
            <w:shd w:val="clear" w:color="auto" w:fill="auto"/>
          </w:tcPr>
          <w:p w:rsidR="00D84CCE" w:rsidRPr="00A23740" w:rsidRDefault="00D84CCE" w:rsidP="009431FF">
            <w:pPr>
              <w:jc w:val="center"/>
              <w:rPr>
                <w:rFonts w:eastAsia="Times New Roman"/>
                <w:b/>
                <w:bCs/>
                <w:color w:val="0000FF"/>
                <w:szCs w:val="24"/>
                <w:lang w:eastAsia="x-none"/>
              </w:rPr>
            </w:pPr>
            <w:r w:rsidRPr="00F257EC">
              <w:rPr>
                <w:rStyle w:val="KonuBalChar"/>
                <w:rFonts w:eastAsia="Calibri"/>
                <w:color w:val="0000FF"/>
              </w:rPr>
              <w:t>YEDİNCİ</w:t>
            </w:r>
            <w:r w:rsidRPr="00A23740">
              <w:rPr>
                <w:rFonts w:eastAsia="Times New Roman"/>
                <w:b/>
                <w:bCs/>
                <w:color w:val="0000FF"/>
                <w:szCs w:val="24"/>
                <w:lang w:eastAsia="x-none"/>
              </w:rPr>
              <w:t xml:space="preserve"> KISIM</w:t>
            </w:r>
          </w:p>
          <w:p w:rsidR="00D84CCE" w:rsidRPr="00A23740" w:rsidRDefault="00D84CCE" w:rsidP="009431FF">
            <w:pPr>
              <w:jc w:val="center"/>
              <w:rPr>
                <w:rFonts w:eastAsia="Times New Roman"/>
                <w:b/>
                <w:bCs/>
                <w:color w:val="0000FF"/>
                <w:szCs w:val="24"/>
                <w:lang w:eastAsia="x-none"/>
              </w:rPr>
            </w:pPr>
            <w:r w:rsidRPr="00A23740">
              <w:rPr>
                <w:rFonts w:eastAsia="Times New Roman"/>
                <w:b/>
                <w:bCs/>
                <w:color w:val="0000FF"/>
                <w:szCs w:val="24"/>
                <w:lang w:eastAsia="x-none"/>
              </w:rPr>
              <w:t>Eşya Üzerinde Hapis Hakkı</w:t>
            </w:r>
          </w:p>
          <w:p w:rsidR="00A46C6E" w:rsidRPr="00A23740" w:rsidRDefault="00A46C6E" w:rsidP="009431FF">
            <w:pPr>
              <w:rPr>
                <w:rFonts w:eastAsia="Times New Roman"/>
                <w:b/>
                <w:bCs/>
                <w:szCs w:val="24"/>
                <w:lang w:eastAsia="tr-TR"/>
              </w:rPr>
            </w:pPr>
          </w:p>
          <w:p w:rsidR="00A46C6E" w:rsidRPr="00A23740" w:rsidRDefault="00A46C6E" w:rsidP="009431FF">
            <w:pPr>
              <w:rPr>
                <w:rFonts w:eastAsia="Times New Roman"/>
                <w:b/>
                <w:bCs/>
                <w:szCs w:val="24"/>
                <w:lang w:eastAsia="tr-TR"/>
              </w:rPr>
            </w:pPr>
            <w:r w:rsidRPr="00A23740">
              <w:rPr>
                <w:rFonts w:eastAsia="Times New Roman"/>
                <w:b/>
                <w:bCs/>
                <w:szCs w:val="24"/>
                <w:lang w:eastAsia="tr-TR"/>
              </w:rPr>
              <w:t>Hapis hakkı</w:t>
            </w:r>
            <w:r w:rsidRPr="00A23740">
              <w:rPr>
                <w:rFonts w:eastAsia="Times New Roman"/>
                <w:b/>
                <w:bCs/>
                <w:color w:val="0000FF"/>
                <w:szCs w:val="24"/>
                <w:lang w:eastAsia="tr-TR"/>
              </w:rPr>
              <w:t>nın korunması ve takibi</w:t>
            </w:r>
          </w:p>
          <w:p w:rsidR="00A46C6E" w:rsidRPr="00A23740" w:rsidRDefault="00BC725A" w:rsidP="009431FF">
            <w:pPr>
              <w:rPr>
                <w:rFonts w:eastAsia="Times New Roman"/>
                <w:b/>
                <w:bCs/>
                <w:color w:val="0000FF"/>
                <w:szCs w:val="24"/>
                <w:lang w:eastAsia="tr-TR"/>
              </w:rPr>
            </w:pPr>
            <w:r w:rsidRPr="005A4748">
              <w:rPr>
                <w:rFonts w:eastAsia="Times New Roman"/>
                <w:b/>
                <w:bCs/>
                <w:color w:val="000000" w:themeColor="text1"/>
                <w:szCs w:val="24"/>
                <w:lang w:eastAsia="tr-TR"/>
              </w:rPr>
              <w:t xml:space="preserve">MADDE </w:t>
            </w:r>
            <w:r w:rsidRPr="00A23740">
              <w:rPr>
                <w:rFonts w:eastAsia="Times New Roman"/>
                <w:b/>
                <w:bCs/>
                <w:color w:val="0000FF"/>
                <w:szCs w:val="24"/>
                <w:lang w:eastAsia="tr-TR"/>
              </w:rPr>
              <w:t>506</w:t>
            </w:r>
            <w:r w:rsidR="00A46C6E" w:rsidRPr="00A23740">
              <w:rPr>
                <w:rFonts w:eastAsia="Times New Roman"/>
                <w:b/>
                <w:bCs/>
                <w:color w:val="0000FF"/>
                <w:szCs w:val="24"/>
                <w:lang w:eastAsia="tr-TR"/>
              </w:rPr>
              <w:t xml:space="preserve">- </w:t>
            </w:r>
            <w:r w:rsidR="00A46C6E" w:rsidRPr="005A4748">
              <w:t>(1)</w:t>
            </w:r>
            <w:r w:rsidR="00A46C6E" w:rsidRPr="00A23740">
              <w:rPr>
                <w:rFonts w:eastAsia="Times New Roman"/>
                <w:b/>
                <w:bCs/>
                <w:color w:val="0000FF"/>
                <w:szCs w:val="24"/>
                <w:lang w:eastAsia="tr-TR"/>
              </w:rPr>
              <w:t xml:space="preserve"> Türk Ticaret Kanununun </w:t>
            </w:r>
            <w:r w:rsidR="00A448DF" w:rsidRPr="00A23740">
              <w:rPr>
                <w:rFonts w:eastAsia="Times New Roman"/>
                <w:b/>
                <w:bCs/>
                <w:color w:val="0000FF"/>
                <w:szCs w:val="24"/>
                <w:lang w:eastAsia="tr-TR"/>
              </w:rPr>
              <w:t>B</w:t>
            </w:r>
            <w:r w:rsidR="00A46C6E" w:rsidRPr="00A23740">
              <w:rPr>
                <w:rFonts w:eastAsia="Times New Roman"/>
                <w:b/>
                <w:bCs/>
                <w:color w:val="0000FF"/>
                <w:szCs w:val="24"/>
                <w:lang w:eastAsia="tr-TR"/>
              </w:rPr>
              <w:t xml:space="preserve">eşinci </w:t>
            </w:r>
            <w:r w:rsidR="00A448DF" w:rsidRPr="00A23740">
              <w:rPr>
                <w:rFonts w:eastAsia="Times New Roman"/>
                <w:b/>
                <w:bCs/>
                <w:color w:val="0000FF"/>
                <w:szCs w:val="24"/>
                <w:lang w:eastAsia="tr-TR"/>
              </w:rPr>
              <w:t>K</w:t>
            </w:r>
            <w:r w:rsidR="00A46C6E" w:rsidRPr="00A23740">
              <w:rPr>
                <w:rFonts w:eastAsia="Times New Roman"/>
                <w:b/>
                <w:bCs/>
                <w:color w:val="0000FF"/>
                <w:szCs w:val="24"/>
                <w:lang w:eastAsia="tr-TR"/>
              </w:rPr>
              <w:t xml:space="preserve">itabı </w:t>
            </w:r>
            <w:r w:rsidR="00A46C6E" w:rsidRPr="00A23740">
              <w:rPr>
                <w:rFonts w:eastAsia="Times New Roman"/>
                <w:szCs w:val="24"/>
                <w:lang w:eastAsia="tr-TR"/>
              </w:rPr>
              <w:t xml:space="preserve">hükümleri uyarınca </w:t>
            </w:r>
            <w:r w:rsidR="00A46C6E" w:rsidRPr="00A23740">
              <w:rPr>
                <w:rFonts w:eastAsia="Times New Roman"/>
                <w:b/>
                <w:bCs/>
                <w:color w:val="0000FF"/>
                <w:szCs w:val="24"/>
                <w:lang w:eastAsia="tr-TR"/>
              </w:rPr>
              <w:t>alacaklıların</w:t>
            </w:r>
            <w:r w:rsidR="00A46C6E" w:rsidRPr="00A23740">
              <w:rPr>
                <w:rFonts w:eastAsia="Times New Roman"/>
                <w:szCs w:val="24"/>
                <w:lang w:eastAsia="tr-TR"/>
              </w:rPr>
              <w:t xml:space="preserve"> eşya üzerinde </w:t>
            </w:r>
            <w:r w:rsidR="00A46C6E" w:rsidRPr="00A23740">
              <w:rPr>
                <w:rFonts w:eastAsia="Times New Roman"/>
                <w:b/>
                <w:bCs/>
                <w:color w:val="0000FF"/>
                <w:szCs w:val="24"/>
                <w:lang w:eastAsia="tr-TR"/>
              </w:rPr>
              <w:t>sahip olduğu</w:t>
            </w:r>
            <w:r w:rsidR="00A46C6E" w:rsidRPr="00A23740">
              <w:rPr>
                <w:rFonts w:eastAsia="Times New Roman"/>
                <w:szCs w:val="24"/>
                <w:lang w:eastAsia="tr-TR"/>
              </w:rPr>
              <w:t xml:space="preserve"> hapis hak</w:t>
            </w:r>
            <w:r w:rsidR="00A46C6E" w:rsidRPr="00A23740">
              <w:rPr>
                <w:rFonts w:eastAsia="Times New Roman"/>
                <w:b/>
                <w:bCs/>
                <w:color w:val="0000FF"/>
                <w:szCs w:val="24"/>
                <w:lang w:eastAsia="tr-TR"/>
              </w:rPr>
              <w:t xml:space="preserve">ları, ancak teminat altına alınan alacakla birlikte dava veya takip edilebilir. Bu hapis haklarının korunması ve takibinde, taşınmaz kiralarında hapis hakkına ilişkin </w:t>
            </w:r>
            <w:r w:rsidR="00A127B1">
              <w:rPr>
                <w:rStyle w:val="KonuBalChar"/>
                <w:rFonts w:eastAsia="Calibri"/>
                <w:color w:val="0000FF"/>
              </w:rPr>
              <w:t>151 ila</w:t>
            </w:r>
            <w:r w:rsidR="00D04D70" w:rsidRPr="00F257EC">
              <w:rPr>
                <w:rStyle w:val="KonuBalChar"/>
                <w:rFonts w:eastAsia="Calibri"/>
                <w:color w:val="0000FF"/>
              </w:rPr>
              <w:t xml:space="preserve"> 15</w:t>
            </w:r>
            <w:r w:rsidR="00D04D70" w:rsidRPr="00F257EC">
              <w:rPr>
                <w:rStyle w:val="KonuBalChar"/>
                <w:rFonts w:eastAsia="Calibri"/>
                <w:color w:val="0000FF"/>
                <w:lang w:val="tr-TR"/>
              </w:rPr>
              <w:t>3 üncü</w:t>
            </w:r>
            <w:r w:rsidR="00D04D70" w:rsidRPr="00A23740">
              <w:rPr>
                <w:rFonts w:eastAsia="Times New Roman"/>
                <w:b/>
                <w:bCs/>
                <w:color w:val="0000FF"/>
                <w:szCs w:val="24"/>
                <w:lang w:eastAsia="tr-TR"/>
              </w:rPr>
              <w:t xml:space="preserve"> </w:t>
            </w:r>
            <w:r w:rsidR="00A46C6E" w:rsidRPr="00A23740">
              <w:rPr>
                <w:rFonts w:eastAsia="Times New Roman"/>
                <w:b/>
                <w:bCs/>
                <w:color w:val="0000FF"/>
                <w:szCs w:val="24"/>
                <w:lang w:eastAsia="tr-TR"/>
              </w:rPr>
              <w:t xml:space="preserve">maddeler kıyasen uygulanır. Şu kadar ki, bir icra takibi yapılmadan hapis hakkının geçici olarak korunması talebinde, </w:t>
            </w:r>
            <w:r w:rsidR="00D04D70" w:rsidRPr="00F257EC">
              <w:rPr>
                <w:rStyle w:val="KonuBalChar"/>
                <w:rFonts w:eastAsia="Calibri"/>
                <w:color w:val="0000FF"/>
              </w:rPr>
              <w:t>467</w:t>
            </w:r>
            <w:r w:rsidR="00D04D70" w:rsidRPr="00A23740">
              <w:rPr>
                <w:rStyle w:val="KonuBalChar"/>
                <w:rFonts w:eastAsia="Calibri"/>
              </w:rPr>
              <w:t xml:space="preserve"> </w:t>
            </w:r>
            <w:r w:rsidR="00D04D70" w:rsidRPr="00F257EC">
              <w:rPr>
                <w:rStyle w:val="KonuBalChar"/>
                <w:rFonts w:eastAsia="Calibri"/>
                <w:color w:val="0000FF"/>
              </w:rPr>
              <w:t>nci</w:t>
            </w:r>
            <w:r w:rsidR="00D04D70" w:rsidRPr="00A23740">
              <w:rPr>
                <w:rFonts w:eastAsia="Times New Roman"/>
                <w:b/>
                <w:bCs/>
                <w:color w:val="0000FF"/>
                <w:szCs w:val="24"/>
                <w:lang w:eastAsia="tr-TR"/>
              </w:rPr>
              <w:t xml:space="preserve"> </w:t>
            </w:r>
            <w:r w:rsidR="00A46C6E" w:rsidRPr="00A23740">
              <w:rPr>
                <w:rFonts w:eastAsia="Times New Roman"/>
                <w:b/>
                <w:bCs/>
                <w:color w:val="0000FF"/>
                <w:szCs w:val="24"/>
                <w:lang w:eastAsia="tr-TR"/>
              </w:rPr>
              <w:t>maddede belirtilen mahkemeler görevlidir.</w:t>
            </w:r>
          </w:p>
          <w:p w:rsidR="00A46C6E" w:rsidRPr="00A23740" w:rsidRDefault="00A46C6E" w:rsidP="009431FF">
            <w:pPr>
              <w:rPr>
                <w:rFonts w:eastAsia="Times New Roman"/>
                <w:b/>
                <w:bCs/>
                <w:color w:val="0000CC"/>
                <w:szCs w:val="24"/>
                <w:lang w:eastAsia="tr-TR"/>
              </w:rPr>
            </w:pPr>
          </w:p>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(2) Birinci fıkrada belirtilen hapis hakları</w:t>
            </w:r>
            <w:r w:rsidR="00742006" w:rsidRPr="00F257EC">
              <w:rPr>
                <w:rFonts w:eastAsia="Times New Roman"/>
                <w:b/>
                <w:bCs/>
                <w:color w:val="0000FF"/>
                <w:szCs w:val="24"/>
                <w:lang w:eastAsia="x-none"/>
              </w:rPr>
              <w:t>yla</w:t>
            </w:r>
            <w:r w:rsidRPr="00A23740">
              <w:rPr>
                <w:rFonts w:eastAsia="Times New Roman"/>
                <w:b/>
                <w:bCs/>
                <w:color w:val="0000FF"/>
                <w:szCs w:val="24"/>
                <w:lang w:eastAsia="x-none"/>
              </w:rPr>
              <w:t xml:space="preserve"> teminat altına alınan alacaklar, takip giderleri ve paraya çevirme tarihine kadar işlemiş faizleri</w:t>
            </w:r>
            <w:r w:rsidR="00742006" w:rsidRPr="00F257EC">
              <w:rPr>
                <w:rFonts w:eastAsia="Times New Roman"/>
                <w:b/>
                <w:bCs/>
                <w:color w:val="0000FF"/>
                <w:szCs w:val="24"/>
                <w:lang w:eastAsia="x-none"/>
              </w:rPr>
              <w:t>yle</w:t>
            </w:r>
            <w:r w:rsidRPr="00F257EC">
              <w:rPr>
                <w:rFonts w:eastAsia="Times New Roman"/>
                <w:b/>
                <w:bCs/>
                <w:color w:val="0000FF"/>
                <w:szCs w:val="24"/>
                <w:lang w:eastAsia="x-none"/>
              </w:rPr>
              <w:t xml:space="preserve"> </w:t>
            </w:r>
            <w:r w:rsidRPr="00A23740">
              <w:rPr>
                <w:rFonts w:eastAsia="Times New Roman"/>
                <w:b/>
                <w:bCs/>
                <w:color w:val="0000FF"/>
                <w:szCs w:val="24"/>
                <w:lang w:eastAsia="x-none"/>
              </w:rPr>
              <w:t>birlikte rüçhanlı alacak olup</w:t>
            </w:r>
            <w:r w:rsidRPr="00A23740">
              <w:rPr>
                <w:rFonts w:eastAsia="Times New Roman"/>
                <w:b/>
                <w:bCs/>
                <w:color w:val="0000FF"/>
                <w:szCs w:val="24"/>
                <w:lang w:eastAsia="tr-TR"/>
              </w:rPr>
              <w:t>, bu haklara konu olan eşyanın satış bedelinden diğer alacaklara gö</w:t>
            </w:r>
            <w:r w:rsidR="00D04D70" w:rsidRPr="00A23740">
              <w:rPr>
                <w:rFonts w:eastAsia="Times New Roman"/>
                <w:b/>
                <w:bCs/>
                <w:color w:val="0000FF"/>
                <w:szCs w:val="24"/>
                <w:lang w:eastAsia="x-none"/>
              </w:rPr>
              <w:t>re öncelikle ödenir.</w:t>
            </w:r>
          </w:p>
          <w:p w:rsidR="00A46C6E" w:rsidRPr="00A23740" w:rsidRDefault="00A46C6E" w:rsidP="009431FF">
            <w:pPr>
              <w:rPr>
                <w:rFonts w:eastAsia="Times New Roman"/>
                <w:b/>
                <w:bCs/>
                <w:color w:val="0000FF"/>
                <w:szCs w:val="24"/>
                <w:lang w:eastAsia="x-none"/>
              </w:rPr>
            </w:pPr>
          </w:p>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(3) Hapis hakkı için defter tutulduktan sonra eşyanın başka bir alacaklı tarafından yapılan takip sonucunda paraya çevrilmesi h</w:t>
            </w:r>
            <w:r w:rsidR="00A448DF" w:rsidRPr="00A23740">
              <w:rPr>
                <w:rFonts w:eastAsia="Times New Roman"/>
                <w:b/>
                <w:bCs/>
                <w:color w:val="0000FF"/>
                <w:szCs w:val="24"/>
                <w:lang w:eastAsia="x-none"/>
              </w:rPr>
              <w:t>â</w:t>
            </w:r>
            <w:r w:rsidRPr="00A23740">
              <w:rPr>
                <w:rFonts w:eastAsia="Times New Roman"/>
                <w:b/>
                <w:bCs/>
                <w:color w:val="0000FF"/>
                <w:szCs w:val="24"/>
                <w:lang w:eastAsia="x-none"/>
              </w:rPr>
              <w:t xml:space="preserve">linde, hapis </w:t>
            </w:r>
            <w:r w:rsidRPr="00F257EC">
              <w:rPr>
                <w:rFonts w:eastAsia="Times New Roman"/>
                <w:b/>
                <w:bCs/>
                <w:color w:val="0000FF"/>
                <w:szCs w:val="24"/>
                <w:lang w:eastAsia="x-none"/>
              </w:rPr>
              <w:t>hakkı</w:t>
            </w:r>
            <w:r w:rsidR="00742006" w:rsidRPr="00F257EC">
              <w:rPr>
                <w:rFonts w:eastAsia="Times New Roman"/>
                <w:b/>
                <w:bCs/>
                <w:color w:val="0000FF"/>
                <w:szCs w:val="24"/>
                <w:lang w:eastAsia="x-none"/>
              </w:rPr>
              <w:t>yla</w:t>
            </w:r>
            <w:r w:rsidRPr="00A23740">
              <w:rPr>
                <w:rFonts w:eastAsia="Times New Roman"/>
                <w:b/>
                <w:bCs/>
                <w:color w:val="0000FF"/>
                <w:szCs w:val="24"/>
                <w:lang w:eastAsia="x-none"/>
              </w:rPr>
              <w:t xml:space="preserve"> teminat altına alınmış alacak, </w:t>
            </w:r>
            <w:r w:rsidR="00D04D70" w:rsidRPr="00F257EC">
              <w:rPr>
                <w:rStyle w:val="KonuBalChar"/>
                <w:rFonts w:eastAsia="Calibri"/>
                <w:color w:val="0000FF"/>
              </w:rPr>
              <w:t>246</w:t>
            </w:r>
            <w:r w:rsidR="00D04D70" w:rsidRPr="00A23740">
              <w:rPr>
                <w:rStyle w:val="KonuBalChar"/>
                <w:rFonts w:eastAsia="Calibri"/>
              </w:rPr>
              <w:t xml:space="preserve"> </w:t>
            </w:r>
            <w:r w:rsidR="00D04D70" w:rsidRPr="00F257EC">
              <w:rPr>
                <w:rStyle w:val="KonuBalChar"/>
                <w:rFonts w:eastAsia="Calibri"/>
                <w:color w:val="0000FF"/>
              </w:rPr>
              <w:t>ncı</w:t>
            </w:r>
            <w:r w:rsidR="00D04D70" w:rsidRPr="00A23740">
              <w:rPr>
                <w:rFonts w:eastAsia="Times New Roman"/>
                <w:b/>
                <w:bCs/>
                <w:color w:val="0000FF"/>
                <w:szCs w:val="24"/>
                <w:lang w:eastAsia="x-none"/>
              </w:rPr>
              <w:t xml:space="preserve"> </w:t>
            </w:r>
            <w:r w:rsidRPr="00A23740">
              <w:rPr>
                <w:rFonts w:eastAsia="Times New Roman"/>
                <w:b/>
                <w:bCs/>
                <w:color w:val="0000FF"/>
                <w:szCs w:val="24"/>
                <w:lang w:eastAsia="x-none"/>
              </w:rPr>
              <w:t>maddedeki asgari ihale bedelinin belirlenmesinde dikkate alınmaz; ancak</w:t>
            </w:r>
            <w:r w:rsidR="00742006" w:rsidRPr="00A23740">
              <w:rPr>
                <w:rFonts w:eastAsia="Times New Roman"/>
                <w:b/>
                <w:bCs/>
                <w:color w:val="0000FF"/>
                <w:szCs w:val="24"/>
                <w:lang w:eastAsia="x-none"/>
              </w:rPr>
              <w:t xml:space="preserve"> </w:t>
            </w:r>
            <w:r w:rsidR="00742006" w:rsidRPr="00F257EC">
              <w:rPr>
                <w:rFonts w:eastAsia="Times New Roman"/>
                <w:b/>
                <w:bCs/>
                <w:color w:val="0000FF"/>
                <w:szCs w:val="24"/>
                <w:lang w:eastAsia="x-none"/>
              </w:rPr>
              <w:t>satış bedelinin</w:t>
            </w:r>
            <w:r w:rsidRPr="00F257EC">
              <w:rPr>
                <w:rFonts w:eastAsia="Times New Roman"/>
                <w:b/>
                <w:bCs/>
                <w:color w:val="0000FF"/>
                <w:szCs w:val="24"/>
                <w:lang w:eastAsia="x-none"/>
              </w:rPr>
              <w:t xml:space="preserve"> </w:t>
            </w:r>
            <w:r w:rsidR="00D04D70" w:rsidRPr="00F257EC">
              <w:rPr>
                <w:rStyle w:val="KonuBalChar"/>
                <w:rFonts w:eastAsia="Calibri"/>
                <w:color w:val="0000FF"/>
              </w:rPr>
              <w:t>259 uncu</w:t>
            </w:r>
            <w:r w:rsidR="00D04D70" w:rsidRPr="00A23740">
              <w:rPr>
                <w:rFonts w:eastAsia="Times New Roman"/>
                <w:b/>
                <w:bCs/>
                <w:color w:val="0000FF"/>
                <w:szCs w:val="24"/>
                <w:lang w:eastAsia="x-none"/>
              </w:rPr>
              <w:t xml:space="preserve"> </w:t>
            </w:r>
            <w:r w:rsidRPr="00F257EC">
              <w:rPr>
                <w:rFonts w:eastAsia="Times New Roman"/>
                <w:b/>
                <w:bCs/>
                <w:color w:val="0000FF"/>
                <w:szCs w:val="24"/>
                <w:lang w:eastAsia="x-none"/>
              </w:rPr>
              <w:t>madde</w:t>
            </w:r>
            <w:r w:rsidR="00742006" w:rsidRPr="00F257EC">
              <w:rPr>
                <w:rFonts w:eastAsia="Times New Roman"/>
                <w:b/>
                <w:bCs/>
                <w:color w:val="0000FF"/>
                <w:szCs w:val="24"/>
                <w:lang w:eastAsia="x-none"/>
              </w:rPr>
              <w:t>ye</w:t>
            </w:r>
            <w:r w:rsidR="00742006" w:rsidRPr="00A23740">
              <w:rPr>
                <w:rFonts w:eastAsia="Times New Roman"/>
                <w:b/>
                <w:bCs/>
                <w:color w:val="538135"/>
                <w:szCs w:val="24"/>
                <w:lang w:eastAsia="x-none"/>
              </w:rPr>
              <w:t xml:space="preserve"> </w:t>
            </w:r>
            <w:r w:rsidR="00742006" w:rsidRPr="00F257EC">
              <w:rPr>
                <w:rFonts w:eastAsia="Times New Roman"/>
                <w:b/>
                <w:bCs/>
                <w:color w:val="0000FF"/>
                <w:szCs w:val="24"/>
                <w:lang w:eastAsia="x-none"/>
              </w:rPr>
              <w:t>uygun</w:t>
            </w:r>
            <w:r w:rsidR="00742006" w:rsidRPr="00A23740">
              <w:rPr>
                <w:rFonts w:eastAsia="Times New Roman"/>
                <w:b/>
                <w:bCs/>
                <w:color w:val="538135"/>
                <w:szCs w:val="24"/>
                <w:lang w:eastAsia="x-none"/>
              </w:rPr>
              <w:t xml:space="preserve"> </w:t>
            </w:r>
            <w:r w:rsidR="00742006" w:rsidRPr="00F257EC">
              <w:rPr>
                <w:rFonts w:eastAsia="Times New Roman"/>
                <w:b/>
                <w:bCs/>
                <w:color w:val="0000FF"/>
                <w:szCs w:val="24"/>
                <w:lang w:eastAsia="x-none"/>
              </w:rPr>
              <w:t>şekilde</w:t>
            </w:r>
            <w:r w:rsidRPr="00A23740">
              <w:rPr>
                <w:rFonts w:eastAsia="Times New Roman"/>
                <w:b/>
                <w:bCs/>
                <w:color w:val="0000FF"/>
                <w:szCs w:val="24"/>
                <w:lang w:eastAsia="x-none"/>
              </w:rPr>
              <w:t xml:space="preserve"> paylaştırılmasında</w:t>
            </w:r>
            <w:r w:rsidR="00742006" w:rsidRPr="00A23740">
              <w:rPr>
                <w:rFonts w:eastAsia="Times New Roman"/>
                <w:b/>
                <w:bCs/>
                <w:color w:val="0000FF"/>
                <w:szCs w:val="24"/>
                <w:lang w:eastAsia="x-none"/>
              </w:rPr>
              <w:t xml:space="preserve"> </w:t>
            </w:r>
            <w:r w:rsidR="00D04D70" w:rsidRPr="00F257EC">
              <w:rPr>
                <w:rStyle w:val="KonuBalChar"/>
                <w:rFonts w:eastAsia="Calibri"/>
                <w:color w:val="0000FF"/>
              </w:rPr>
              <w:t>317</w:t>
            </w:r>
            <w:r w:rsidR="00D04D70" w:rsidRPr="00A23740">
              <w:rPr>
                <w:rStyle w:val="KonuBalChar"/>
                <w:rFonts w:eastAsia="Calibri"/>
              </w:rPr>
              <w:t xml:space="preserve"> </w:t>
            </w:r>
            <w:r w:rsidR="00D04D70" w:rsidRPr="00F257EC">
              <w:rPr>
                <w:rStyle w:val="KonuBalChar"/>
                <w:rFonts w:eastAsia="Calibri"/>
                <w:color w:val="0000FF"/>
              </w:rPr>
              <w:t>nci</w:t>
            </w:r>
            <w:r w:rsidR="00D04D70" w:rsidRPr="00A23740">
              <w:rPr>
                <w:rFonts w:eastAsia="Times New Roman"/>
                <w:b/>
                <w:bCs/>
                <w:color w:val="0000FF"/>
                <w:szCs w:val="24"/>
                <w:lang w:eastAsia="x-none"/>
              </w:rPr>
              <w:t xml:space="preserve"> </w:t>
            </w:r>
            <w:r w:rsidRPr="00A23740">
              <w:rPr>
                <w:rFonts w:eastAsia="Times New Roman"/>
                <w:b/>
                <w:bCs/>
                <w:color w:val="0000FF"/>
                <w:szCs w:val="24"/>
                <w:lang w:eastAsia="x-none"/>
              </w:rPr>
              <w:t>maddede belirtilen rehinli</w:t>
            </w:r>
            <w:r w:rsidR="00A448DF" w:rsidRPr="00A23740">
              <w:rPr>
                <w:rFonts w:eastAsia="Times New Roman"/>
                <w:b/>
                <w:bCs/>
                <w:color w:val="0000FF"/>
                <w:szCs w:val="24"/>
                <w:lang w:eastAsia="x-none"/>
              </w:rPr>
              <w:t xml:space="preserve"> </w:t>
            </w:r>
            <w:r w:rsidR="00A448DF" w:rsidRPr="00F257EC">
              <w:rPr>
                <w:rStyle w:val="YELChar"/>
                <w:color w:val="0000FF"/>
              </w:rPr>
              <w:t>alacaklı</w:t>
            </w:r>
            <w:r w:rsidR="00A448DF" w:rsidRPr="00A23740">
              <w:rPr>
                <w:rStyle w:val="YELChar"/>
              </w:rPr>
              <w:t xml:space="preserve"> </w:t>
            </w:r>
            <w:r w:rsidR="00A448DF" w:rsidRPr="00F257EC">
              <w:rPr>
                <w:rStyle w:val="YELChar"/>
                <w:color w:val="0000FF"/>
              </w:rPr>
              <w:t>olarak</w:t>
            </w:r>
            <w:r w:rsidRPr="00A23740">
              <w:rPr>
                <w:rFonts w:eastAsia="Times New Roman"/>
                <w:b/>
                <w:bCs/>
                <w:color w:val="0000FF"/>
                <w:szCs w:val="24"/>
                <w:lang w:eastAsia="x-none"/>
              </w:rPr>
              <w:t xml:space="preserve"> </w:t>
            </w:r>
            <w:r w:rsidR="00742006" w:rsidRPr="00F257EC">
              <w:rPr>
                <w:rFonts w:eastAsia="Times New Roman"/>
                <w:b/>
                <w:bCs/>
                <w:color w:val="0000FF"/>
                <w:szCs w:val="24"/>
                <w:lang w:eastAsia="x-none"/>
              </w:rPr>
              <w:t>aynı</w:t>
            </w:r>
            <w:r w:rsidR="00742006" w:rsidRPr="00A23740">
              <w:rPr>
                <w:rFonts w:eastAsia="Times New Roman"/>
                <w:b/>
                <w:bCs/>
                <w:color w:val="538135"/>
                <w:szCs w:val="24"/>
                <w:lang w:eastAsia="x-none"/>
              </w:rPr>
              <w:t xml:space="preserve"> </w:t>
            </w:r>
            <w:r w:rsidR="00742006" w:rsidRPr="00F257EC">
              <w:rPr>
                <w:rFonts w:eastAsia="Times New Roman"/>
                <w:b/>
                <w:bCs/>
                <w:color w:val="0000FF"/>
                <w:szCs w:val="24"/>
                <w:lang w:eastAsia="x-none"/>
              </w:rPr>
              <w:t>sıraya</w:t>
            </w:r>
            <w:r w:rsidR="00742006" w:rsidRPr="00A23740">
              <w:rPr>
                <w:rFonts w:eastAsia="Times New Roman"/>
                <w:b/>
                <w:bCs/>
                <w:color w:val="0000FF"/>
                <w:szCs w:val="24"/>
                <w:lang w:eastAsia="x-none"/>
              </w:rPr>
              <w:t xml:space="preserve"> </w:t>
            </w:r>
            <w:r w:rsidRPr="00A23740">
              <w:rPr>
                <w:rFonts w:eastAsia="Times New Roman"/>
                <w:b/>
                <w:bCs/>
                <w:color w:val="0000FF"/>
                <w:szCs w:val="24"/>
                <w:lang w:eastAsia="x-none"/>
              </w:rPr>
              <w:t>kaydedilir.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p>
          <w:p w:rsidR="00A46C6E" w:rsidRPr="00A23740" w:rsidRDefault="00BC725A" w:rsidP="009431FF">
            <w:pPr>
              <w:ind w:firstLine="709"/>
              <w:rPr>
                <w:rFonts w:eastAsia="Times New Roman"/>
                <w:b/>
                <w:bCs/>
                <w:szCs w:val="24"/>
                <w:lang w:eastAsia="tr-TR"/>
              </w:rPr>
            </w:pPr>
            <w:r w:rsidRPr="00A23740">
              <w:rPr>
                <w:rFonts w:eastAsia="Times New Roman"/>
                <w:b/>
                <w:bCs/>
                <w:szCs w:val="24"/>
                <w:lang w:eastAsia="tr-TR"/>
              </w:rPr>
              <w:t>MADDE 506</w:t>
            </w:r>
            <w:r w:rsidR="00A46C6E" w:rsidRPr="00A23740">
              <w:rPr>
                <w:rFonts w:eastAsia="Times New Roman"/>
                <w:b/>
                <w:bCs/>
                <w:szCs w:val="24"/>
                <w:lang w:eastAsia="tr-TR"/>
              </w:rPr>
              <w:t xml:space="preserve">- </w:t>
            </w:r>
            <w:bookmarkStart w:id="95" w:name="_Hlk172877519"/>
            <w:r w:rsidR="00A46C6E" w:rsidRPr="00A23740">
              <w:rPr>
                <w:bCs/>
                <w:szCs w:val="24"/>
                <w:lang w:eastAsia="x-none"/>
              </w:rPr>
              <w:t xml:space="preserve">Maddeyle, </w:t>
            </w:r>
            <w:r w:rsidR="00A46C6E" w:rsidRPr="00A23740">
              <w:rPr>
                <w:rFonts w:eastAsia="Times New Roman"/>
                <w:szCs w:val="24"/>
              </w:rPr>
              <w:t>hapis hakkının korunması ve takibine ilişkin</w:t>
            </w:r>
            <w:r w:rsidR="00A46C6E" w:rsidRPr="00A23740">
              <w:rPr>
                <w:bCs/>
                <w:szCs w:val="24"/>
                <w:lang w:eastAsia="x-none"/>
              </w:rPr>
              <w:t xml:space="preserve"> hususlar düzenlenmektedir.</w:t>
            </w:r>
          </w:p>
          <w:bookmarkEnd w:id="95"/>
          <w:p w:rsidR="00A46C6E" w:rsidRPr="00A23740" w:rsidRDefault="00A46C6E" w:rsidP="009431FF">
            <w:pPr>
              <w:ind w:firstLine="709"/>
              <w:rPr>
                <w:rFonts w:eastAsia="Times New Roman"/>
                <w:szCs w:val="24"/>
              </w:rPr>
            </w:pPr>
            <w:r w:rsidRPr="00A23740">
              <w:rPr>
                <w:rFonts w:eastAsia="Times New Roman"/>
                <w:bCs/>
                <w:szCs w:val="24"/>
              </w:rPr>
              <w:t>6102 sayılı Kanunun</w:t>
            </w:r>
            <w:r w:rsidRPr="00A23740">
              <w:rPr>
                <w:rFonts w:eastAsia="Times New Roman"/>
                <w:szCs w:val="24"/>
              </w:rPr>
              <w:t xml:space="preserve"> </w:t>
            </w:r>
            <w:r w:rsidR="00870D54" w:rsidRPr="00A23740">
              <w:rPr>
                <w:rFonts w:eastAsia="Times New Roman"/>
                <w:szCs w:val="24"/>
              </w:rPr>
              <w:t>B</w:t>
            </w:r>
            <w:r w:rsidRPr="00A23740">
              <w:rPr>
                <w:rFonts w:eastAsia="Times New Roman"/>
                <w:szCs w:val="24"/>
              </w:rPr>
              <w:t xml:space="preserve">eşinci </w:t>
            </w:r>
            <w:r w:rsidR="00870D54" w:rsidRPr="00A23740">
              <w:rPr>
                <w:rFonts w:eastAsia="Times New Roman"/>
                <w:szCs w:val="24"/>
              </w:rPr>
              <w:t>K</w:t>
            </w:r>
            <w:r w:rsidRPr="00A23740">
              <w:rPr>
                <w:rFonts w:eastAsia="Times New Roman"/>
                <w:szCs w:val="24"/>
              </w:rPr>
              <w:t>itabı hükümleri uyarınca eşya üzerinde hapis hakkına sahip olan alacaklılar, borç yerine getirilmez ve yeterli güvence de gösterilmez ise, borçluya önceden bildirimde bulunarak hapsettiği şeylerin teslime bağlı rehin hükümleri uyarınca paraya çevrilmesini isteyebilir (</w:t>
            </w:r>
            <w:r w:rsidR="00D04D70" w:rsidRPr="00F257EC">
              <w:rPr>
                <w:rFonts w:eastAsia="Times New Roman"/>
                <w:szCs w:val="24"/>
              </w:rPr>
              <w:t>4721</w:t>
            </w:r>
            <w:r w:rsidR="00D04D70" w:rsidRPr="00F257EC">
              <w:rPr>
                <w:rFonts w:eastAsia="Times New Roman"/>
                <w:b/>
                <w:bCs/>
                <w:szCs w:val="24"/>
              </w:rPr>
              <w:t xml:space="preserve"> </w:t>
            </w:r>
            <w:r w:rsidR="00D04D70" w:rsidRPr="00F257EC">
              <w:rPr>
                <w:rFonts w:eastAsia="Times New Roman"/>
                <w:szCs w:val="24"/>
              </w:rPr>
              <w:t>sayılı</w:t>
            </w:r>
            <w:r w:rsidR="00D04D70" w:rsidRPr="00F257EC">
              <w:rPr>
                <w:rFonts w:eastAsia="Times New Roman"/>
                <w:b/>
                <w:bCs/>
                <w:szCs w:val="24"/>
              </w:rPr>
              <w:t xml:space="preserve"> </w:t>
            </w:r>
            <w:r w:rsidR="00D04D70" w:rsidRPr="00F257EC">
              <w:rPr>
                <w:rFonts w:eastAsia="Times New Roman"/>
                <w:szCs w:val="24"/>
              </w:rPr>
              <w:t>Kanunun</w:t>
            </w:r>
            <w:r w:rsidR="00D04D70" w:rsidRPr="00A23740">
              <w:rPr>
                <w:rFonts w:eastAsia="Times New Roman"/>
                <w:szCs w:val="24"/>
              </w:rPr>
              <w:t xml:space="preserve"> </w:t>
            </w:r>
            <w:r w:rsidRPr="00A23740">
              <w:rPr>
                <w:rFonts w:eastAsia="Times New Roman"/>
                <w:szCs w:val="24"/>
              </w:rPr>
              <w:t>953</w:t>
            </w:r>
            <w:r w:rsidR="00D04D70" w:rsidRPr="00A23740">
              <w:rPr>
                <w:rFonts w:eastAsia="Times New Roman"/>
                <w:szCs w:val="24"/>
              </w:rPr>
              <w:t xml:space="preserve"> </w:t>
            </w:r>
            <w:r w:rsidR="00D04D70" w:rsidRPr="00F257EC">
              <w:rPr>
                <w:rFonts w:eastAsia="Times New Roman"/>
                <w:szCs w:val="24"/>
              </w:rPr>
              <w:t>üncü</w:t>
            </w:r>
            <w:r w:rsidR="00D04D70" w:rsidRPr="00A23740">
              <w:rPr>
                <w:rStyle w:val="KonuBalChar"/>
                <w:rFonts w:eastAsia="Calibri"/>
              </w:rPr>
              <w:t xml:space="preserve"> </w:t>
            </w:r>
            <w:r w:rsidR="00D04D70" w:rsidRPr="00F257EC">
              <w:rPr>
                <w:rFonts w:eastAsia="Times New Roman"/>
                <w:szCs w:val="24"/>
              </w:rPr>
              <w:t>maddesi</w:t>
            </w:r>
            <w:r w:rsidRPr="00A23740">
              <w:rPr>
                <w:rFonts w:eastAsia="Times New Roman"/>
                <w:szCs w:val="24"/>
              </w:rPr>
              <w:t>). Alacaklıya hapis hakkı tanınan bazı hâllerde alacaklı hapis hakkına konu eşyanın zilyedi olmadığından, rehnin paraya çevrilmesi yolu</w:t>
            </w:r>
            <w:r w:rsidR="00B5296B" w:rsidRPr="00A23740">
              <w:rPr>
                <w:rFonts w:eastAsia="Times New Roman"/>
                <w:szCs w:val="24"/>
              </w:rPr>
              <w:t>yla</w:t>
            </w:r>
            <w:r w:rsidRPr="00A23740">
              <w:rPr>
                <w:rFonts w:eastAsia="Times New Roman"/>
                <w:szCs w:val="24"/>
              </w:rPr>
              <w:t xml:space="preserve"> takip yapılmadan önce hapis hakkı kapsamındaki eşyanın tespiti ve elden çıkarılmasının önlenmesine yönelik geçici koruma tedbiri öngörülmesi gerekmektedir. Taslağın </w:t>
            </w:r>
            <w:r w:rsidR="00D04D70" w:rsidRPr="00F257EC">
              <w:rPr>
                <w:rFonts w:eastAsia="Times New Roman"/>
                <w:szCs w:val="24"/>
              </w:rPr>
              <w:t>151</w:t>
            </w:r>
            <w:r w:rsidR="00D04D70" w:rsidRPr="00F257EC">
              <w:rPr>
                <w:rFonts w:eastAsia="Times New Roman"/>
                <w:b/>
                <w:bCs/>
                <w:szCs w:val="24"/>
              </w:rPr>
              <w:t xml:space="preserve"> </w:t>
            </w:r>
            <w:r w:rsidR="00A127B1">
              <w:rPr>
                <w:rFonts w:eastAsia="Times New Roman"/>
                <w:szCs w:val="24"/>
              </w:rPr>
              <w:t>ila</w:t>
            </w:r>
            <w:r w:rsidR="00D04D70" w:rsidRPr="00F257EC">
              <w:rPr>
                <w:rFonts w:eastAsia="Times New Roman"/>
                <w:b/>
                <w:bCs/>
                <w:szCs w:val="24"/>
              </w:rPr>
              <w:t xml:space="preserve"> </w:t>
            </w:r>
            <w:r w:rsidR="00D04D70" w:rsidRPr="00F257EC">
              <w:rPr>
                <w:rFonts w:eastAsia="Times New Roman"/>
                <w:szCs w:val="24"/>
              </w:rPr>
              <w:t>153</w:t>
            </w:r>
            <w:r w:rsidR="00D04D70" w:rsidRPr="00F257EC">
              <w:rPr>
                <w:rFonts w:eastAsia="Times New Roman"/>
                <w:b/>
                <w:bCs/>
                <w:szCs w:val="24"/>
              </w:rPr>
              <w:t xml:space="preserve"> </w:t>
            </w:r>
            <w:r w:rsidR="00D04D70" w:rsidRPr="00F257EC">
              <w:rPr>
                <w:rFonts w:eastAsia="Times New Roman"/>
                <w:szCs w:val="24"/>
              </w:rPr>
              <w:t>üncü</w:t>
            </w:r>
            <w:r w:rsidR="00D04D70" w:rsidRPr="00A23740">
              <w:rPr>
                <w:rFonts w:eastAsia="Times New Roman"/>
                <w:b/>
                <w:bCs/>
                <w:color w:val="0000FF"/>
                <w:szCs w:val="24"/>
                <w:lang w:eastAsia="tr-TR"/>
              </w:rPr>
              <w:t xml:space="preserve"> </w:t>
            </w:r>
            <w:r w:rsidRPr="00A23740">
              <w:rPr>
                <w:rFonts w:eastAsia="Times New Roman"/>
                <w:szCs w:val="24"/>
              </w:rPr>
              <w:t xml:space="preserve">maddelerinde taşınmaz kiralarında kiraya verenin hapis hakkının korunması hakkında ayrıntılı düzenleme getirilmiş olup, bu hükümlerin </w:t>
            </w:r>
            <w:r w:rsidRPr="00A23740">
              <w:rPr>
                <w:rFonts w:eastAsia="Times New Roman"/>
                <w:bCs/>
                <w:szCs w:val="24"/>
              </w:rPr>
              <w:t>6102 sayılı Kanunun</w:t>
            </w:r>
            <w:r w:rsidRPr="00A23740">
              <w:rPr>
                <w:rFonts w:eastAsia="Times New Roman"/>
                <w:szCs w:val="24"/>
              </w:rPr>
              <w:t xml:space="preserve"> Deniz Ticareti Kitabında öngörülen hapis haklarına uygun </w:t>
            </w:r>
            <w:r w:rsidR="00870D54" w:rsidRPr="00F257EC">
              <w:rPr>
                <w:rFonts w:eastAsia="Times New Roman"/>
                <w:szCs w:val="24"/>
              </w:rPr>
              <w:t>düştüğü</w:t>
            </w:r>
            <w:r w:rsidR="00870D54" w:rsidRPr="00A23740">
              <w:rPr>
                <w:rFonts w:eastAsia="Times New Roman"/>
                <w:szCs w:val="24"/>
              </w:rPr>
              <w:t xml:space="preserve"> </w:t>
            </w:r>
            <w:r w:rsidRPr="00A23740">
              <w:rPr>
                <w:rFonts w:eastAsia="Times New Roman"/>
                <w:szCs w:val="24"/>
              </w:rPr>
              <w:t xml:space="preserve">ölçüde uygulanabilir olduğu kabul edilmiş; bu kabul doğrultusunda </w:t>
            </w:r>
            <w:r w:rsidRPr="00A23740">
              <w:rPr>
                <w:rFonts w:eastAsia="Times New Roman"/>
                <w:bCs/>
                <w:szCs w:val="24"/>
              </w:rPr>
              <w:t>6102 sayılı Kanunun</w:t>
            </w:r>
            <w:r w:rsidRPr="00A23740">
              <w:rPr>
                <w:rFonts w:eastAsia="Times New Roman"/>
                <w:szCs w:val="24"/>
              </w:rPr>
              <w:t xml:space="preserve"> 1398 inci maddesinin ifade ve içerik değişikliğiyle </w:t>
            </w:r>
            <w:r w:rsidR="00B5296B" w:rsidRPr="00A23740">
              <w:rPr>
                <w:rFonts w:eastAsia="Times New Roman"/>
                <w:szCs w:val="24"/>
              </w:rPr>
              <w:t xml:space="preserve">Taslağın </w:t>
            </w:r>
            <w:r w:rsidRPr="00A23740">
              <w:rPr>
                <w:rFonts w:eastAsia="Times New Roman"/>
                <w:szCs w:val="24"/>
              </w:rPr>
              <w:t>bu madde</w:t>
            </w:r>
            <w:r w:rsidR="00B5296B" w:rsidRPr="00A23740">
              <w:rPr>
                <w:rFonts w:eastAsia="Times New Roman"/>
                <w:szCs w:val="24"/>
              </w:rPr>
              <w:t>sin</w:t>
            </w:r>
            <w:r w:rsidRPr="00A23740">
              <w:rPr>
                <w:rFonts w:eastAsia="Times New Roman"/>
                <w:szCs w:val="24"/>
              </w:rPr>
              <w:t xml:space="preserve">e alınmasına karar verilmiştir. Bu kapsamda öncelikle </w:t>
            </w:r>
            <w:r w:rsidRPr="00A23740">
              <w:rPr>
                <w:rFonts w:eastAsia="Times New Roman"/>
                <w:bCs/>
                <w:szCs w:val="24"/>
              </w:rPr>
              <w:t>6102 sayılı Kanunun</w:t>
            </w:r>
            <w:r w:rsidRPr="00A23740">
              <w:rPr>
                <w:rFonts w:eastAsia="Times New Roman"/>
                <w:szCs w:val="24"/>
              </w:rPr>
              <w:t xml:space="preserve"> 1398 inci maddesinin “</w:t>
            </w:r>
            <w:r w:rsidRPr="00A23740">
              <w:rPr>
                <w:rFonts w:eastAsia="Times New Roman"/>
                <w:i/>
                <w:iCs/>
                <w:szCs w:val="24"/>
              </w:rPr>
              <w:t>hapis hakkı için defter tutulması</w:t>
            </w:r>
            <w:r w:rsidRPr="00A23740">
              <w:rPr>
                <w:rFonts w:eastAsia="Times New Roman"/>
                <w:szCs w:val="24"/>
              </w:rPr>
              <w:t>” şeklindeki kenar başlığının, bu maddede hapis hakkına konu eşyanın defterinin tutulması yanında hapis hakkının takibi de düzenlendiğinden</w:t>
            </w:r>
            <w:r w:rsidR="00B5296B" w:rsidRPr="00A23740">
              <w:rPr>
                <w:rFonts w:eastAsia="Times New Roman"/>
                <w:szCs w:val="24"/>
              </w:rPr>
              <w:t>,</w:t>
            </w:r>
            <w:r w:rsidRPr="00A23740">
              <w:rPr>
                <w:rFonts w:eastAsia="Times New Roman"/>
                <w:szCs w:val="24"/>
              </w:rPr>
              <w:t xml:space="preserve"> “</w:t>
            </w:r>
            <w:r w:rsidRPr="00A23740">
              <w:rPr>
                <w:rFonts w:eastAsia="Times New Roman"/>
                <w:i/>
                <w:iCs/>
                <w:szCs w:val="24"/>
              </w:rPr>
              <w:t>hapis hakkının korunması ve takibi</w:t>
            </w:r>
            <w:r w:rsidRPr="00A23740">
              <w:rPr>
                <w:rFonts w:eastAsia="Times New Roman"/>
                <w:szCs w:val="24"/>
              </w:rPr>
              <w:t xml:space="preserve">” şeklinde değiştirilmesi gerekli görülmüştür. </w:t>
            </w:r>
          </w:p>
          <w:p w:rsidR="00A46C6E" w:rsidRPr="00A23740" w:rsidRDefault="00A46C6E" w:rsidP="009431FF">
            <w:pPr>
              <w:ind w:firstLine="709"/>
              <w:rPr>
                <w:rFonts w:eastAsia="Times New Roman"/>
                <w:szCs w:val="24"/>
              </w:rPr>
            </w:pPr>
            <w:r w:rsidRPr="00A23740">
              <w:rPr>
                <w:rFonts w:eastAsia="Times New Roman"/>
                <w:bCs/>
                <w:szCs w:val="24"/>
              </w:rPr>
              <w:t>6102 sayılı Kanunun</w:t>
            </w:r>
            <w:r w:rsidRPr="00A23740">
              <w:rPr>
                <w:rFonts w:eastAsia="Times New Roman"/>
                <w:szCs w:val="24"/>
              </w:rPr>
              <w:t xml:space="preserve"> 1398 inci maddesinin üçüncü fıkrası, “Türk Ticaret Kanununun </w:t>
            </w:r>
            <w:r w:rsidR="00870D54" w:rsidRPr="00A23740">
              <w:rPr>
                <w:rFonts w:eastAsia="Times New Roman"/>
                <w:szCs w:val="24"/>
              </w:rPr>
              <w:t>Beşinci K</w:t>
            </w:r>
            <w:r w:rsidRPr="00A23740">
              <w:rPr>
                <w:rFonts w:eastAsia="Times New Roman"/>
                <w:szCs w:val="24"/>
              </w:rPr>
              <w:t>itabı hükümleri uyarınca alacaklıların eşya üzerinde sahip oldukları hapis haklarının, ancak teminat altına alınan alacakla birlikte dava veya takip edilebileceği” şeklinde değiştirilmek suretiyle maddenin birinci fıkrasının birinci cümlesine alınmıştır. Buna göre hapis hakkı</w:t>
            </w:r>
            <w:r w:rsidR="00B5296B" w:rsidRPr="00A23740">
              <w:rPr>
                <w:rFonts w:eastAsia="Times New Roman"/>
                <w:szCs w:val="24"/>
              </w:rPr>
              <w:t>yla</w:t>
            </w:r>
            <w:r w:rsidRPr="00A23740">
              <w:rPr>
                <w:rFonts w:eastAsia="Times New Roman"/>
                <w:szCs w:val="24"/>
              </w:rPr>
              <w:t xml:space="preserve"> teminat altına alınan alacak, hapis hakkından ayrı dava veya </w:t>
            </w:r>
            <w:r w:rsidR="00335C53" w:rsidRPr="00A23740">
              <w:rPr>
                <w:rFonts w:eastAsia="Times New Roman"/>
                <w:szCs w:val="24"/>
              </w:rPr>
              <w:t>takip konusu yapılabilir</w:t>
            </w:r>
            <w:r w:rsidR="00B5296B" w:rsidRPr="00A23740">
              <w:rPr>
                <w:rFonts w:eastAsia="Times New Roman"/>
                <w:szCs w:val="24"/>
              </w:rPr>
              <w:t>se</w:t>
            </w:r>
            <w:r w:rsidR="00335C53" w:rsidRPr="00A23740">
              <w:rPr>
                <w:rFonts w:eastAsia="Times New Roman"/>
                <w:szCs w:val="24"/>
              </w:rPr>
              <w:t xml:space="preserve"> de</w:t>
            </w:r>
            <w:r w:rsidR="00B5296B" w:rsidRPr="00A23740">
              <w:rPr>
                <w:rFonts w:eastAsia="Times New Roman"/>
                <w:szCs w:val="24"/>
              </w:rPr>
              <w:t>,</w:t>
            </w:r>
            <w:r w:rsidRPr="00A23740">
              <w:rPr>
                <w:rFonts w:eastAsia="Times New Roman"/>
                <w:szCs w:val="24"/>
              </w:rPr>
              <w:t xml:space="preserve"> hapis hakkının alacaktan ayrı dava veya takip konusu yapılması mümkün değildir. Maddenin birinci fıkrasının ikinci cümlesinde</w:t>
            </w:r>
            <w:r w:rsidR="005F5F0D" w:rsidRPr="00A23740">
              <w:rPr>
                <w:rFonts w:eastAsia="Times New Roman"/>
                <w:szCs w:val="24"/>
              </w:rPr>
              <w:t>,</w:t>
            </w:r>
            <w:r w:rsidRPr="00A23740">
              <w:rPr>
                <w:rFonts w:eastAsia="Times New Roman"/>
                <w:szCs w:val="24"/>
              </w:rPr>
              <w:t xml:space="preserve"> “hapis haklarının korunması ve takibinde, </w:t>
            </w:r>
            <w:r w:rsidR="00D04D70" w:rsidRPr="00F257EC">
              <w:rPr>
                <w:rFonts w:eastAsia="Times New Roman"/>
                <w:szCs w:val="24"/>
              </w:rPr>
              <w:t>151</w:t>
            </w:r>
            <w:r w:rsidR="00D04D70" w:rsidRPr="00F257EC">
              <w:rPr>
                <w:rFonts w:eastAsia="Times New Roman"/>
                <w:b/>
                <w:bCs/>
                <w:szCs w:val="24"/>
              </w:rPr>
              <w:t xml:space="preserve"> </w:t>
            </w:r>
            <w:r w:rsidR="00A127B1">
              <w:rPr>
                <w:rFonts w:eastAsia="Times New Roman"/>
                <w:szCs w:val="24"/>
              </w:rPr>
              <w:t>ila</w:t>
            </w:r>
            <w:r w:rsidR="00D04D70" w:rsidRPr="00F257EC">
              <w:rPr>
                <w:rFonts w:eastAsia="Times New Roman"/>
                <w:b/>
                <w:bCs/>
                <w:szCs w:val="24"/>
              </w:rPr>
              <w:t xml:space="preserve"> </w:t>
            </w:r>
            <w:r w:rsidR="00D04D70" w:rsidRPr="00F257EC">
              <w:rPr>
                <w:rFonts w:eastAsia="Times New Roman"/>
                <w:szCs w:val="24"/>
              </w:rPr>
              <w:t>153</w:t>
            </w:r>
            <w:r w:rsidR="00D04D70" w:rsidRPr="00F257EC">
              <w:rPr>
                <w:rFonts w:eastAsia="Times New Roman"/>
                <w:b/>
                <w:bCs/>
                <w:szCs w:val="24"/>
              </w:rPr>
              <w:t xml:space="preserve"> </w:t>
            </w:r>
            <w:r w:rsidR="00D04D70" w:rsidRPr="00F257EC">
              <w:rPr>
                <w:rFonts w:eastAsia="Times New Roman"/>
                <w:szCs w:val="24"/>
              </w:rPr>
              <w:t>üncü</w:t>
            </w:r>
            <w:r w:rsidR="00D04D70" w:rsidRPr="00A23740">
              <w:rPr>
                <w:rFonts w:eastAsia="Times New Roman"/>
                <w:b/>
                <w:bCs/>
                <w:color w:val="0000FF"/>
                <w:szCs w:val="24"/>
                <w:lang w:eastAsia="tr-TR"/>
              </w:rPr>
              <w:t xml:space="preserve"> </w:t>
            </w:r>
            <w:r w:rsidRPr="00A23740">
              <w:rPr>
                <w:rFonts w:eastAsia="Times New Roman"/>
                <w:szCs w:val="24"/>
              </w:rPr>
              <w:t xml:space="preserve">maddelerinin kıyasen uygulanacağı” hüküm altına alınmıştır. Bu kapsamda </w:t>
            </w:r>
            <w:r w:rsidRPr="00A23740">
              <w:rPr>
                <w:rFonts w:eastAsia="Times New Roman"/>
                <w:bCs/>
                <w:szCs w:val="24"/>
              </w:rPr>
              <w:t>6102 sayılı Kanunun</w:t>
            </w:r>
            <w:r w:rsidRPr="00A23740">
              <w:rPr>
                <w:rFonts w:eastAsia="Times New Roman"/>
                <w:szCs w:val="24"/>
              </w:rPr>
              <w:t xml:space="preserve"> 1398 inci maddesinin birinci fıkrasından farklı olarak “</w:t>
            </w:r>
            <w:r w:rsidRPr="00A23740">
              <w:rPr>
                <w:rFonts w:eastAsia="Times New Roman"/>
                <w:i/>
                <w:iCs/>
                <w:szCs w:val="24"/>
              </w:rPr>
              <w:t>paraya çevrilmesinde</w:t>
            </w:r>
            <w:r w:rsidRPr="00A23740">
              <w:rPr>
                <w:rFonts w:eastAsia="Times New Roman"/>
                <w:szCs w:val="24"/>
              </w:rPr>
              <w:t>” ibaresi yerine, uygulanacağı belirtilen hükümler dikkate alınarak “</w:t>
            </w:r>
            <w:r w:rsidRPr="00A23740">
              <w:rPr>
                <w:rFonts w:eastAsia="Times New Roman"/>
                <w:i/>
                <w:iCs/>
                <w:szCs w:val="24"/>
              </w:rPr>
              <w:t>korunması ve takibinde</w:t>
            </w:r>
            <w:r w:rsidRPr="00A23740">
              <w:rPr>
                <w:rFonts w:eastAsia="Times New Roman"/>
                <w:szCs w:val="24"/>
              </w:rPr>
              <w:t xml:space="preserve">” ibaresinin kullanılması tercih edilmiştir. Taslağın </w:t>
            </w:r>
            <w:r w:rsidR="00D04D70" w:rsidRPr="00F257EC">
              <w:rPr>
                <w:rFonts w:eastAsia="Times New Roman"/>
                <w:szCs w:val="24"/>
              </w:rPr>
              <w:t>151</w:t>
            </w:r>
            <w:r w:rsidR="00D04D70" w:rsidRPr="00F257EC">
              <w:rPr>
                <w:rFonts w:eastAsia="Times New Roman"/>
                <w:b/>
                <w:bCs/>
                <w:szCs w:val="24"/>
              </w:rPr>
              <w:t xml:space="preserve"> </w:t>
            </w:r>
            <w:r w:rsidR="00D04D70" w:rsidRPr="00F257EC">
              <w:rPr>
                <w:rFonts w:eastAsia="Times New Roman"/>
                <w:szCs w:val="24"/>
              </w:rPr>
              <w:t>inci</w:t>
            </w:r>
            <w:r w:rsidR="00D04D70" w:rsidRPr="00A23740">
              <w:rPr>
                <w:rStyle w:val="KonuBalChar"/>
                <w:rFonts w:eastAsia="Calibri"/>
              </w:rPr>
              <w:t xml:space="preserve"> </w:t>
            </w:r>
            <w:r w:rsidRPr="00A23740">
              <w:rPr>
                <w:rFonts w:eastAsia="Times New Roman"/>
                <w:szCs w:val="24"/>
              </w:rPr>
              <w:t>maddesinde hapis hakkına konu eşyanın defterinin tutulması talebinde görevli mahkemenin sulh mah</w:t>
            </w:r>
            <w:r w:rsidR="00335C53" w:rsidRPr="00A23740">
              <w:rPr>
                <w:rFonts w:eastAsia="Times New Roman"/>
                <w:szCs w:val="24"/>
              </w:rPr>
              <w:t>kemesi olduğu öngörülmüş</w:t>
            </w:r>
            <w:r w:rsidR="005F5F0D" w:rsidRPr="00A23740">
              <w:rPr>
                <w:rFonts w:eastAsia="Times New Roman"/>
                <w:szCs w:val="24"/>
              </w:rPr>
              <w:t>se</w:t>
            </w:r>
            <w:r w:rsidR="00335C53" w:rsidRPr="00A23740">
              <w:rPr>
                <w:rFonts w:eastAsia="Times New Roman"/>
                <w:szCs w:val="24"/>
              </w:rPr>
              <w:t xml:space="preserve"> de</w:t>
            </w:r>
            <w:r w:rsidR="005F5F0D" w:rsidRPr="00A23740">
              <w:rPr>
                <w:rFonts w:eastAsia="Times New Roman"/>
                <w:szCs w:val="24"/>
              </w:rPr>
              <w:t>,</w:t>
            </w:r>
            <w:r w:rsidRPr="00A23740">
              <w:rPr>
                <w:rFonts w:eastAsia="Times New Roman"/>
                <w:szCs w:val="24"/>
              </w:rPr>
              <w:t xml:space="preserve"> </w:t>
            </w:r>
            <w:r w:rsidRPr="00A23740">
              <w:rPr>
                <w:rFonts w:eastAsia="Times New Roman"/>
                <w:bCs/>
                <w:szCs w:val="24"/>
              </w:rPr>
              <w:t>6102 sayılı Kanunun</w:t>
            </w:r>
            <w:r w:rsidRPr="00A23740">
              <w:rPr>
                <w:rFonts w:eastAsia="Times New Roman"/>
                <w:szCs w:val="24"/>
              </w:rPr>
              <w:t xml:space="preserve"> Deniz Ticareti Kitabında öngörülen hapis hakları bakımından evvelce yapılması gereken icra takibi yapılmadan hapis hakkının geçici olarak korunması talebinde, </w:t>
            </w:r>
            <w:r w:rsidR="005F5F0D" w:rsidRPr="00A23740">
              <w:rPr>
                <w:rFonts w:eastAsia="Times New Roman"/>
                <w:szCs w:val="24"/>
              </w:rPr>
              <w:t xml:space="preserve">Taslağın </w:t>
            </w:r>
            <w:r w:rsidR="00D04D70" w:rsidRPr="00F257EC">
              <w:rPr>
                <w:rFonts w:eastAsia="Times New Roman"/>
                <w:szCs w:val="24"/>
              </w:rPr>
              <w:t>467</w:t>
            </w:r>
            <w:r w:rsidR="00D04D70" w:rsidRPr="00A23740">
              <w:rPr>
                <w:rStyle w:val="KonuBalChar"/>
                <w:rFonts w:eastAsia="Calibri"/>
              </w:rPr>
              <w:t xml:space="preserve"> </w:t>
            </w:r>
            <w:r w:rsidR="00D04D70" w:rsidRPr="00F257EC">
              <w:rPr>
                <w:rFonts w:eastAsia="Times New Roman"/>
                <w:szCs w:val="24"/>
              </w:rPr>
              <w:t>nci</w:t>
            </w:r>
            <w:r w:rsidR="00D04D70" w:rsidRPr="00A23740">
              <w:rPr>
                <w:rFonts w:eastAsia="Times New Roman"/>
                <w:b/>
                <w:bCs/>
                <w:color w:val="0000FF"/>
                <w:szCs w:val="24"/>
                <w:lang w:eastAsia="tr-TR"/>
              </w:rPr>
              <w:t xml:space="preserve"> </w:t>
            </w:r>
            <w:r w:rsidRPr="00A23740">
              <w:rPr>
                <w:rFonts w:eastAsia="Times New Roman"/>
                <w:szCs w:val="24"/>
              </w:rPr>
              <w:t>madde</w:t>
            </w:r>
            <w:r w:rsidR="005F5F0D" w:rsidRPr="00A23740">
              <w:rPr>
                <w:rFonts w:eastAsia="Times New Roman"/>
                <w:szCs w:val="24"/>
              </w:rPr>
              <w:t>sin</w:t>
            </w:r>
            <w:r w:rsidRPr="00A23740">
              <w:rPr>
                <w:rFonts w:eastAsia="Times New Roman"/>
                <w:szCs w:val="24"/>
              </w:rPr>
              <w:t>de belirtilen mahkemelerin görevli olması gerekli görülmüş; bu nedenle maddenin birinci fıkrasının üçüncü cümlesine yer verilmiştir.</w:t>
            </w:r>
          </w:p>
          <w:p w:rsidR="00A46C6E" w:rsidRPr="00A23740" w:rsidRDefault="00A46C6E" w:rsidP="009431FF">
            <w:pPr>
              <w:ind w:firstLine="709"/>
              <w:rPr>
                <w:rFonts w:eastAsia="Times New Roman"/>
                <w:bCs/>
                <w:szCs w:val="24"/>
              </w:rPr>
            </w:pPr>
            <w:r w:rsidRPr="00A23740">
              <w:rPr>
                <w:rFonts w:eastAsia="Times New Roman"/>
                <w:bCs/>
                <w:szCs w:val="24"/>
              </w:rPr>
              <w:t>Maddenin birinci fıkrasında belirtilen hapis hakkı sahibi alacaklıların alacaklarını tahsil edebilmeleri, deniz ticaretinin sürdürülebilirliği ve sorunsuz işleyişi bakımından önemlidir. Bu nedenle maddenin ikinci fıkrasında hapis hakkı konusu eşyanın satış bedelinin paylaştırılmasında hapis hakkı sahibi alacaklıların alacaklarının, takip masrafları ve paraya çevirme tarihine kadar işlemiş faizi</w:t>
            </w:r>
            <w:r w:rsidR="005F5F0D" w:rsidRPr="00A23740">
              <w:rPr>
                <w:rFonts w:eastAsia="Times New Roman"/>
                <w:bCs/>
                <w:szCs w:val="24"/>
              </w:rPr>
              <w:t>yle</w:t>
            </w:r>
            <w:r w:rsidRPr="00A23740">
              <w:rPr>
                <w:rFonts w:eastAsia="Times New Roman"/>
                <w:bCs/>
                <w:szCs w:val="24"/>
              </w:rPr>
              <w:t xml:space="preserve"> birlikte, diğer alacaklılara göre öncelikle ödeneceğinin hüküm altına alınması gerekmiştir.</w:t>
            </w:r>
          </w:p>
          <w:p w:rsidR="00A46C6E" w:rsidRPr="00A23740" w:rsidRDefault="00A46C6E" w:rsidP="009431FF">
            <w:pPr>
              <w:ind w:firstLine="709"/>
              <w:rPr>
                <w:rFonts w:eastAsia="Times New Roman"/>
                <w:szCs w:val="24"/>
              </w:rPr>
            </w:pPr>
            <w:r w:rsidRPr="00A23740">
              <w:rPr>
                <w:rFonts w:eastAsia="Times New Roman"/>
                <w:szCs w:val="24"/>
              </w:rPr>
              <w:t xml:space="preserve">Karşılama ilkesine istisna getiren üçüncü fıkra hükmü, icra </w:t>
            </w:r>
            <w:r w:rsidR="00DC6449" w:rsidRPr="00F257EC">
              <w:rPr>
                <w:rFonts w:eastAsia="Times New Roman"/>
                <w:szCs w:val="24"/>
              </w:rPr>
              <w:t>ve</w:t>
            </w:r>
            <w:r w:rsidR="00DC6449" w:rsidRPr="00A23740">
              <w:rPr>
                <w:rFonts w:eastAsia="Times New Roman"/>
                <w:b/>
                <w:color w:val="385623"/>
                <w:szCs w:val="24"/>
              </w:rPr>
              <w:t xml:space="preserve"> </w:t>
            </w:r>
            <w:r w:rsidR="00DC6449" w:rsidRPr="00F257EC">
              <w:rPr>
                <w:rFonts w:eastAsia="Times New Roman"/>
                <w:szCs w:val="24"/>
              </w:rPr>
              <w:t>iflas</w:t>
            </w:r>
            <w:r w:rsidR="00DC6449" w:rsidRPr="00A23740">
              <w:rPr>
                <w:rFonts w:eastAsia="Times New Roman"/>
                <w:color w:val="385623"/>
                <w:szCs w:val="24"/>
              </w:rPr>
              <w:t xml:space="preserve"> </w:t>
            </w:r>
            <w:r w:rsidRPr="00A23740">
              <w:rPr>
                <w:rFonts w:eastAsia="Times New Roman"/>
                <w:szCs w:val="24"/>
              </w:rPr>
              <w:t xml:space="preserve">dairelerinin pazarlık suretiyle satış yoluna başvurmakta çekingen davranması ve sıklıkla bu satış yöntemini uygulamaktan kaçınması sebebiyle satışın </w:t>
            </w:r>
            <w:r w:rsidR="00870D54" w:rsidRPr="00F257EC">
              <w:rPr>
                <w:rFonts w:eastAsia="Times New Roman"/>
                <w:szCs w:val="24"/>
              </w:rPr>
              <w:t>yapılabilmesini</w:t>
            </w:r>
            <w:r w:rsidR="00870D54" w:rsidRPr="00F257EC">
              <w:rPr>
                <w:rFonts w:eastAsia="Times New Roman"/>
                <w:b/>
              </w:rPr>
              <w:t xml:space="preserve"> </w:t>
            </w:r>
            <w:r w:rsidR="00870D54" w:rsidRPr="00F257EC">
              <w:rPr>
                <w:rFonts w:eastAsia="Times New Roman"/>
                <w:szCs w:val="24"/>
              </w:rPr>
              <w:t>kolaylaştırmak</w:t>
            </w:r>
            <w:r w:rsidR="00870D54" w:rsidRPr="00A23740">
              <w:rPr>
                <w:rFonts w:eastAsia="Times New Roman"/>
                <w:szCs w:val="24"/>
              </w:rPr>
              <w:t xml:space="preserve"> </w:t>
            </w:r>
            <w:r w:rsidRPr="00A23740">
              <w:rPr>
                <w:rFonts w:eastAsia="Times New Roman"/>
                <w:szCs w:val="24"/>
              </w:rPr>
              <w:t xml:space="preserve">amacıyla kabul edilmiştir. </w:t>
            </w:r>
          </w:p>
          <w:p w:rsidR="00A46C6E" w:rsidRPr="00A23740" w:rsidRDefault="00A46C6E" w:rsidP="002A27F8">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b/>
                <w:strike/>
                <w:color w:val="FF0000"/>
                <w:szCs w:val="24"/>
                <w:lang w:eastAsia="x-none"/>
              </w:rPr>
              <w:t>II -</w:t>
            </w:r>
            <w:r w:rsidRPr="00A23740">
              <w:rPr>
                <w:rFonts w:eastAsia="Times New Roman"/>
                <w:b/>
                <w:bCs/>
                <w:szCs w:val="24"/>
                <w:lang w:eastAsia="tr-TR"/>
              </w:rPr>
              <w:t xml:space="preserve"> İlamlı icra</w:t>
            </w:r>
          </w:p>
          <w:p w:rsidR="00A46C6E" w:rsidRPr="00A23740" w:rsidRDefault="00A46C6E" w:rsidP="009431FF">
            <w:pPr>
              <w:rPr>
                <w:rFonts w:eastAsia="Times New Roman"/>
                <w:szCs w:val="24"/>
              </w:rPr>
            </w:pPr>
            <w:r w:rsidRPr="00A23740">
              <w:rPr>
                <w:rFonts w:eastAsia="Times New Roman"/>
                <w:b/>
                <w:bCs/>
                <w:szCs w:val="24"/>
                <w:lang w:eastAsia="tr-TR"/>
              </w:rPr>
              <w:t xml:space="preserve">MADDE </w:t>
            </w:r>
            <w:r w:rsidRPr="00A23740">
              <w:rPr>
                <w:b/>
                <w:strike/>
                <w:color w:val="FF0000"/>
                <w:szCs w:val="24"/>
                <w:lang w:eastAsia="x-none"/>
              </w:rPr>
              <w:t>1399</w:t>
            </w:r>
            <w:r w:rsidRPr="00A23740">
              <w:rPr>
                <w:rFonts w:eastAsia="Times New Roman"/>
                <w:szCs w:val="24"/>
                <w:lang w:eastAsia="tr-TR"/>
              </w:rPr>
              <w:t xml:space="preserve">- (1) Hapis hakkıyla teminat altına alınan alacak, bir ilama veya ilam niteliğindeki belgeye dayanıyorsa, alacaklı, defterin tutulmasından başlayarak </w:t>
            </w:r>
            <w:r w:rsidRPr="00A23740">
              <w:rPr>
                <w:b/>
                <w:strike/>
                <w:color w:val="FF0000"/>
                <w:szCs w:val="24"/>
                <w:lang w:eastAsia="x-none"/>
              </w:rPr>
              <w:t>onbeş gün</w:t>
            </w:r>
            <w:r w:rsidRPr="00A23740">
              <w:rPr>
                <w:rFonts w:eastAsia="Times New Roman"/>
                <w:szCs w:val="24"/>
                <w:lang w:eastAsia="tr-TR"/>
              </w:rPr>
              <w:t xml:space="preserve"> içinde taşınır rehninin paraya çevrilmesi yoluyla ilamlı takip yapar. </w:t>
            </w:r>
            <w:r w:rsidRPr="00A23740">
              <w:rPr>
                <w:b/>
                <w:strike/>
                <w:color w:val="FF0000"/>
                <w:szCs w:val="24"/>
                <w:lang w:eastAsia="x-none"/>
              </w:rPr>
              <w:t>Şu kadar ki,</w:t>
            </w:r>
            <w:r w:rsidRPr="00A23740">
              <w:rPr>
                <w:rFonts w:eastAsia="Times New Roman"/>
                <w:szCs w:val="24"/>
                <w:lang w:eastAsia="tr-TR"/>
              </w:rPr>
              <w:t xml:space="preserve"> takip konusu ilamda veya ilam niteliğindeki belgede hapis hakkı da belirtilmemişse, borçlu hapis hakkına itiraz edebilir. </w:t>
            </w:r>
            <w:r w:rsidRPr="00A23740">
              <w:rPr>
                <w:b/>
                <w:strike/>
                <w:color w:val="FF0000"/>
                <w:szCs w:val="24"/>
                <w:lang w:eastAsia="x-none"/>
              </w:rPr>
              <w:t xml:space="preserve">Bu durumda, İcra ve İflas </w:t>
            </w:r>
            <w:r w:rsidRPr="00A23740">
              <w:rPr>
                <w:b/>
                <w:bCs/>
                <w:strike/>
                <w:color w:val="FF0000"/>
                <w:lang w:val="x-none" w:eastAsia="x-none"/>
              </w:rPr>
              <w:t>Kanunun</w:t>
            </w:r>
            <w:r w:rsidRPr="00A23740">
              <w:rPr>
                <w:b/>
                <w:strike/>
                <w:color w:val="FF0000"/>
                <w:szCs w:val="24"/>
                <w:lang w:eastAsia="x-none"/>
              </w:rPr>
              <w:t>un</w:t>
            </w:r>
            <w:r w:rsidRPr="00A23740">
              <w:rPr>
                <w:rFonts w:eastAsia="Times New Roman"/>
                <w:szCs w:val="24"/>
                <w:lang w:eastAsia="tr-TR"/>
              </w:rPr>
              <w:t xml:space="preserve"> </w:t>
            </w:r>
            <w:r w:rsidRPr="00A23740">
              <w:rPr>
                <w:b/>
                <w:bCs/>
                <w:strike/>
                <w:color w:val="FF0000"/>
                <w:lang w:val="x-none" w:eastAsia="x-none"/>
              </w:rPr>
              <w:t>147 nci</w:t>
            </w:r>
            <w:r w:rsidRPr="00A23740">
              <w:rPr>
                <w:rFonts w:eastAsia="Times New Roman"/>
                <w:szCs w:val="24"/>
                <w:lang w:eastAsia="tr-TR"/>
              </w:rPr>
              <w:t xml:space="preserve"> madde</w:t>
            </w:r>
            <w:r w:rsidRPr="00A23740">
              <w:rPr>
                <w:b/>
                <w:bCs/>
                <w:strike/>
                <w:color w:val="FF0000"/>
                <w:lang w:val="x-none" w:eastAsia="x-none"/>
              </w:rPr>
              <w:t>si</w:t>
            </w:r>
            <w:r w:rsidRPr="00A23740">
              <w:rPr>
                <w:rFonts w:eastAsia="Times New Roman"/>
                <w:szCs w:val="24"/>
                <w:lang w:eastAsia="tr-TR"/>
              </w:rPr>
              <w:t xml:space="preserve">nin </w:t>
            </w:r>
            <w:r w:rsidRPr="00A23740">
              <w:rPr>
                <w:b/>
                <w:bCs/>
                <w:strike/>
                <w:color w:val="FF0000"/>
                <w:lang w:val="x-none" w:eastAsia="x-none"/>
              </w:rPr>
              <w:t>birinci fıkrasının (2) numaralı bendi</w:t>
            </w:r>
            <w:r w:rsidRPr="00A23740">
              <w:rPr>
                <w:rFonts w:eastAsia="Times New Roman"/>
                <w:szCs w:val="24"/>
                <w:lang w:eastAsia="tr-TR"/>
              </w:rPr>
              <w:t xml:space="preserve"> uygulanır.</w:t>
            </w:r>
          </w:p>
        </w:tc>
        <w:tc>
          <w:tcPr>
            <w:tcW w:w="2500" w:type="pct"/>
            <w:shd w:val="clear" w:color="auto" w:fill="auto"/>
          </w:tcPr>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 xml:space="preserve">Hapis hakkının </w:t>
            </w:r>
            <w:r w:rsidRPr="00A23740">
              <w:rPr>
                <w:rFonts w:eastAsia="Times New Roman"/>
                <w:b/>
                <w:bCs/>
                <w:szCs w:val="24"/>
                <w:lang w:eastAsia="tr-TR"/>
              </w:rPr>
              <w:t>ilamlı icra</w:t>
            </w:r>
            <w:r w:rsidRPr="00A23740">
              <w:rPr>
                <w:rFonts w:eastAsia="Times New Roman"/>
                <w:b/>
                <w:bCs/>
                <w:color w:val="0000FF"/>
                <w:szCs w:val="24"/>
                <w:lang w:eastAsia="x-none"/>
              </w:rPr>
              <w:t xml:space="preserve"> yoluyla takibi</w:t>
            </w:r>
          </w:p>
          <w:p w:rsidR="00A46C6E" w:rsidRPr="00A23740" w:rsidRDefault="00BC725A" w:rsidP="009431FF">
            <w:pPr>
              <w:rPr>
                <w:rFonts w:eastAsia="Times New Roman"/>
                <w:b/>
                <w:bCs/>
                <w:color w:val="0000FF"/>
                <w:szCs w:val="24"/>
                <w:lang w:eastAsia="x-none"/>
              </w:rPr>
            </w:pPr>
            <w:r w:rsidRPr="005A4748">
              <w:rPr>
                <w:rFonts w:eastAsia="Times New Roman"/>
                <w:b/>
                <w:bCs/>
                <w:color w:val="000000" w:themeColor="text1"/>
                <w:szCs w:val="24"/>
                <w:lang w:eastAsia="tr-TR"/>
              </w:rPr>
              <w:t xml:space="preserve">MADDE </w:t>
            </w:r>
            <w:r w:rsidRPr="00A23740">
              <w:rPr>
                <w:rFonts w:eastAsia="Times New Roman"/>
                <w:b/>
                <w:bCs/>
                <w:color w:val="0000FF"/>
                <w:szCs w:val="24"/>
                <w:lang w:eastAsia="tr-TR"/>
              </w:rPr>
              <w:t>507</w:t>
            </w:r>
            <w:r w:rsidR="00A46C6E" w:rsidRPr="00A23740">
              <w:rPr>
                <w:rFonts w:eastAsia="Times New Roman"/>
                <w:b/>
                <w:bCs/>
                <w:color w:val="0000FF"/>
                <w:szCs w:val="24"/>
                <w:lang w:eastAsia="tr-TR"/>
              </w:rPr>
              <w:t xml:space="preserve">- </w:t>
            </w:r>
            <w:r w:rsidR="00A46C6E" w:rsidRPr="005A4748">
              <w:rPr>
                <w:rFonts w:eastAsia="Times New Roman"/>
                <w:bCs/>
                <w:color w:val="000000" w:themeColor="text1"/>
                <w:szCs w:val="24"/>
                <w:lang w:eastAsia="tr-TR"/>
              </w:rPr>
              <w:t>(1)</w:t>
            </w:r>
            <w:r w:rsidR="00A46C6E" w:rsidRPr="00A23740">
              <w:rPr>
                <w:rFonts w:eastAsia="Times New Roman"/>
                <w:szCs w:val="24"/>
                <w:lang w:eastAsia="tr-TR"/>
              </w:rPr>
              <w:t xml:space="preserve"> Hapis hakkıyla teminat altına alınan alacak</w:t>
            </w:r>
            <w:r w:rsidR="00AE5B12">
              <w:rPr>
                <w:rStyle w:val="KIRMIZIChar"/>
                <w:rFonts w:eastAsia="Calibri"/>
                <w:strike w:val="0"/>
              </w:rPr>
              <w:t xml:space="preserve"> </w:t>
            </w:r>
            <w:r w:rsidR="00A46C6E" w:rsidRPr="00A23740">
              <w:rPr>
                <w:rFonts w:eastAsia="Times New Roman"/>
                <w:szCs w:val="24"/>
                <w:lang w:eastAsia="tr-TR"/>
              </w:rPr>
              <w:t>bir ilama veya ilam niteliğindeki</w:t>
            </w:r>
            <w:r w:rsidR="00AE5B12">
              <w:rPr>
                <w:rFonts w:eastAsia="Times New Roman"/>
                <w:szCs w:val="24"/>
                <w:lang w:eastAsia="tr-TR"/>
              </w:rPr>
              <w:t xml:space="preserve"> belgeye dayanıyorsa, alacaklı, </w:t>
            </w:r>
            <w:r w:rsidR="00A46C6E" w:rsidRPr="00A23740">
              <w:rPr>
                <w:rFonts w:eastAsia="Times New Roman"/>
                <w:szCs w:val="24"/>
                <w:lang w:eastAsia="tr-TR"/>
              </w:rPr>
              <w:t xml:space="preserve">defterin tutulmasından itibaren </w:t>
            </w:r>
            <w:r w:rsidR="00A46C6E" w:rsidRPr="00A23740">
              <w:rPr>
                <w:rFonts w:eastAsia="Times New Roman"/>
                <w:b/>
                <w:bCs/>
                <w:color w:val="0000FF"/>
                <w:szCs w:val="24"/>
                <w:lang w:eastAsia="x-none"/>
              </w:rPr>
              <w:t>iki hafta</w:t>
            </w:r>
            <w:r w:rsidR="00A46C6E" w:rsidRPr="00A23740">
              <w:rPr>
                <w:rFonts w:eastAsia="Times New Roman"/>
                <w:b/>
                <w:bCs/>
                <w:color w:val="0000CC"/>
                <w:szCs w:val="24"/>
                <w:lang w:eastAsia="tr-TR"/>
              </w:rPr>
              <w:t xml:space="preserve"> </w:t>
            </w:r>
            <w:r w:rsidR="00A46C6E" w:rsidRPr="00A23740">
              <w:rPr>
                <w:rFonts w:eastAsia="Times New Roman"/>
                <w:szCs w:val="24"/>
                <w:lang w:eastAsia="tr-TR"/>
              </w:rPr>
              <w:t>içinde taşınır rehninin paraya çevrilmesi</w:t>
            </w:r>
            <w:r w:rsidR="00870D54" w:rsidRPr="00F257EC">
              <w:rPr>
                <w:rStyle w:val="YELChar"/>
                <w:color w:val="0000FF"/>
              </w:rPr>
              <w:t>ni</w:t>
            </w:r>
            <w:r w:rsidR="00A46C6E" w:rsidRPr="00F257EC">
              <w:rPr>
                <w:rFonts w:eastAsia="Times New Roman"/>
                <w:color w:val="0000FF"/>
                <w:szCs w:val="24"/>
                <w:lang w:eastAsia="tr-TR"/>
              </w:rPr>
              <w:t xml:space="preserve"> </w:t>
            </w:r>
            <w:r w:rsidR="00A46C6E" w:rsidRPr="00A23740">
              <w:rPr>
                <w:rFonts w:eastAsia="Times New Roman"/>
                <w:szCs w:val="24"/>
                <w:lang w:eastAsia="tr-TR"/>
              </w:rPr>
              <w:t>ilamlı takip</w:t>
            </w:r>
            <w:r w:rsidR="00870D54" w:rsidRPr="00A23740">
              <w:rPr>
                <w:rFonts w:eastAsia="Times New Roman"/>
                <w:szCs w:val="24"/>
                <w:lang w:eastAsia="tr-TR"/>
              </w:rPr>
              <w:t xml:space="preserve"> </w:t>
            </w:r>
            <w:r w:rsidR="00870D54" w:rsidRPr="00F257EC">
              <w:rPr>
                <w:rStyle w:val="YELChar"/>
                <w:color w:val="0000FF"/>
              </w:rPr>
              <w:t>yoluyla talep edebilir</w:t>
            </w:r>
            <w:r w:rsidR="00A46C6E" w:rsidRPr="00A23740">
              <w:rPr>
                <w:rFonts w:eastAsia="Times New Roman"/>
                <w:szCs w:val="24"/>
                <w:lang w:eastAsia="tr-TR"/>
              </w:rPr>
              <w:t>.</w:t>
            </w:r>
          </w:p>
          <w:p w:rsidR="00A46C6E" w:rsidRPr="00A23740" w:rsidRDefault="00A46C6E" w:rsidP="009431FF">
            <w:pPr>
              <w:rPr>
                <w:rFonts w:eastAsia="Times New Roman"/>
                <w:b/>
                <w:bCs/>
                <w:color w:val="0000FF"/>
                <w:szCs w:val="24"/>
                <w:lang w:eastAsia="x-none"/>
              </w:rPr>
            </w:pPr>
          </w:p>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(2)</w:t>
            </w:r>
            <w:r w:rsidRPr="00A23740">
              <w:rPr>
                <w:rFonts w:eastAsia="Times New Roman"/>
                <w:b/>
                <w:bCs/>
                <w:color w:val="0000CC"/>
                <w:szCs w:val="24"/>
                <w:lang w:eastAsia="tr-TR"/>
              </w:rPr>
              <w:t xml:space="preserve"> </w:t>
            </w:r>
            <w:r w:rsidRPr="00A23740">
              <w:rPr>
                <w:rFonts w:eastAsia="Times New Roman"/>
                <w:szCs w:val="24"/>
                <w:lang w:eastAsia="tr-TR"/>
              </w:rPr>
              <w:t>Takip konusu ilamda veya ilam niteliğindeki belgede hapis hakkı belirtilmemişse, borçlu hapis hakkına itiraz edebilir.</w:t>
            </w:r>
            <w:r w:rsidRPr="00A23740">
              <w:rPr>
                <w:rFonts w:eastAsia="Times New Roman"/>
                <w:b/>
                <w:bCs/>
                <w:color w:val="0000CC"/>
                <w:szCs w:val="24"/>
                <w:lang w:eastAsia="tr-TR"/>
              </w:rPr>
              <w:t xml:space="preserve"> </w:t>
            </w:r>
            <w:r w:rsidRPr="00A23740">
              <w:rPr>
                <w:rFonts w:eastAsia="Times New Roman"/>
                <w:b/>
                <w:bCs/>
                <w:color w:val="0000FF"/>
                <w:szCs w:val="24"/>
                <w:lang w:eastAsia="x-none"/>
              </w:rPr>
              <w:t>Borçlunun sadec</w:t>
            </w:r>
            <w:r w:rsidR="00535D4A" w:rsidRPr="00A23740">
              <w:rPr>
                <w:rFonts w:eastAsia="Times New Roman"/>
                <w:b/>
                <w:bCs/>
                <w:color w:val="0000FF"/>
                <w:szCs w:val="24"/>
                <w:lang w:eastAsia="x-none"/>
              </w:rPr>
              <w:t>e hapis hakkına itiraz etmesi hâ</w:t>
            </w:r>
            <w:r w:rsidRPr="00A23740">
              <w:rPr>
                <w:rFonts w:eastAsia="Times New Roman"/>
                <w:b/>
                <w:bCs/>
                <w:color w:val="0000FF"/>
                <w:szCs w:val="24"/>
                <w:lang w:eastAsia="x-none"/>
              </w:rPr>
              <w:t>linde</w:t>
            </w:r>
            <w:r w:rsidR="00742006" w:rsidRPr="00D84CCE">
              <w:rPr>
                <w:rFonts w:eastAsia="Times New Roman"/>
                <w:b/>
                <w:bCs/>
                <w:color w:val="0000FF"/>
                <w:szCs w:val="24"/>
                <w:lang w:eastAsia="x-none"/>
              </w:rPr>
              <w:t>,</w:t>
            </w:r>
            <w:r w:rsidRPr="00A23740">
              <w:rPr>
                <w:rFonts w:eastAsia="Times New Roman"/>
                <w:b/>
                <w:bCs/>
                <w:color w:val="0000FF"/>
                <w:szCs w:val="24"/>
                <w:lang w:eastAsia="x-none"/>
              </w:rPr>
              <w:t xml:space="preserve"> ödeme emrine itiraz hakkındaki </w:t>
            </w:r>
            <w:r w:rsidR="00D04D70" w:rsidRPr="00F257EC">
              <w:rPr>
                <w:rStyle w:val="KonuBalChar"/>
                <w:rFonts w:eastAsia="Calibri"/>
                <w:color w:val="0000FF"/>
              </w:rPr>
              <w:t>117</w:t>
            </w:r>
            <w:r w:rsidR="00D04D70" w:rsidRPr="00A23740">
              <w:rPr>
                <w:rStyle w:val="KonuBalChar"/>
                <w:rFonts w:eastAsia="Calibri"/>
              </w:rPr>
              <w:t xml:space="preserve"> </w:t>
            </w:r>
            <w:r w:rsidR="00D04D70" w:rsidRPr="00F257EC">
              <w:rPr>
                <w:rStyle w:val="KonuBalChar"/>
                <w:rFonts w:eastAsia="Calibri"/>
                <w:color w:val="0000FF"/>
              </w:rPr>
              <w:t>nci</w:t>
            </w:r>
            <w:r w:rsidR="00D04D70" w:rsidRPr="00A23740">
              <w:rPr>
                <w:rFonts w:eastAsia="Times New Roman"/>
                <w:b/>
                <w:bCs/>
                <w:color w:val="0000FF"/>
                <w:szCs w:val="24"/>
                <w:lang w:eastAsia="x-none"/>
              </w:rPr>
              <w:t xml:space="preserve"> </w:t>
            </w:r>
            <w:r w:rsidRPr="00A23740">
              <w:rPr>
                <w:rFonts w:eastAsia="Times New Roman"/>
                <w:szCs w:val="24"/>
                <w:lang w:eastAsia="tr-TR"/>
              </w:rPr>
              <w:t xml:space="preserve">maddenin </w:t>
            </w:r>
            <w:r w:rsidRPr="00A23740">
              <w:rPr>
                <w:b/>
                <w:bCs/>
                <w:color w:val="0000FF"/>
                <w:lang w:val="x-none" w:eastAsia="x-none"/>
              </w:rPr>
              <w:t>dördüncü fıkrası</w:t>
            </w:r>
            <w:r w:rsidRPr="00A23740">
              <w:rPr>
                <w:rFonts w:eastAsia="Times New Roman"/>
                <w:szCs w:val="24"/>
                <w:lang w:eastAsia="tr-TR"/>
              </w:rPr>
              <w:t xml:space="preserve"> uygulanır.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96" w:name="_Hlk134343369"/>
          </w:p>
          <w:p w:rsidR="00A46C6E" w:rsidRPr="00A23740" w:rsidRDefault="00BC725A" w:rsidP="009431FF">
            <w:pPr>
              <w:ind w:firstLine="709"/>
              <w:rPr>
                <w:rFonts w:eastAsia="Times New Roman"/>
                <w:b/>
                <w:bCs/>
                <w:szCs w:val="24"/>
                <w:lang w:eastAsia="tr-TR"/>
              </w:rPr>
            </w:pPr>
            <w:r w:rsidRPr="00A23740">
              <w:rPr>
                <w:rFonts w:eastAsia="Times New Roman"/>
                <w:b/>
                <w:bCs/>
                <w:szCs w:val="24"/>
                <w:lang w:eastAsia="tr-TR"/>
              </w:rPr>
              <w:t>MADDE 507</w:t>
            </w:r>
            <w:r w:rsidR="00A46C6E" w:rsidRPr="00A23740">
              <w:rPr>
                <w:rFonts w:eastAsia="Times New Roman"/>
                <w:b/>
                <w:bCs/>
                <w:szCs w:val="24"/>
                <w:lang w:eastAsia="tr-TR"/>
              </w:rPr>
              <w:t xml:space="preserve">- </w:t>
            </w:r>
            <w:bookmarkStart w:id="97" w:name="_Hlk172877541"/>
            <w:r w:rsidR="00A46C6E" w:rsidRPr="00A23740">
              <w:rPr>
                <w:bCs/>
                <w:szCs w:val="24"/>
                <w:lang w:eastAsia="x-none"/>
              </w:rPr>
              <w:t xml:space="preserve">Maddeyle, </w:t>
            </w:r>
            <w:r w:rsidR="00A46C6E" w:rsidRPr="00A23740">
              <w:rPr>
                <w:rFonts w:eastAsia="Times New Roman"/>
                <w:szCs w:val="24"/>
              </w:rPr>
              <w:t>hapis hakkının ilamlı icra yoluyla takibine ilişkin</w:t>
            </w:r>
            <w:r w:rsidR="00A46C6E" w:rsidRPr="00A23740">
              <w:rPr>
                <w:bCs/>
                <w:szCs w:val="24"/>
                <w:lang w:eastAsia="x-none"/>
              </w:rPr>
              <w:t xml:space="preserve"> hususlar düzenlenmektedir</w:t>
            </w:r>
            <w:bookmarkEnd w:id="97"/>
            <w:r w:rsidR="00A46C6E" w:rsidRPr="00A23740">
              <w:rPr>
                <w:bCs/>
                <w:szCs w:val="24"/>
                <w:lang w:eastAsia="x-none"/>
              </w:rPr>
              <w:t>.</w:t>
            </w:r>
          </w:p>
          <w:p w:rsidR="00A46C6E" w:rsidRPr="00A23740" w:rsidRDefault="00A46C6E" w:rsidP="009431FF">
            <w:pPr>
              <w:ind w:firstLine="709"/>
              <w:rPr>
                <w:rFonts w:eastAsia="Times New Roman"/>
                <w:bCs/>
                <w:szCs w:val="24"/>
                <w:lang w:eastAsia="x-none"/>
              </w:rPr>
            </w:pPr>
            <w:r w:rsidRPr="00A23740">
              <w:rPr>
                <w:rFonts w:eastAsia="Times New Roman"/>
                <w:bCs/>
                <w:szCs w:val="24"/>
                <w:lang w:eastAsia="x-none"/>
              </w:rPr>
              <w:t xml:space="preserve">6102 sayılı Kanunun 1399 uncu maddesinin “ilamlı icra” şeklindeki kenar başlığının “hapis hakkının ilamlı icra yoluyla takibi” şeklinde değiştirilmesi uygun görülmüştür. 6102 sayılı Kanunun 1399 uncu maddesinin birinci cümlesi, hapis hakkı konusu eşya için defter tutulması tarihinden itibaren rehnin paraya çevrilmesi yoluyla takip süresi iki hafta olarak belirlenmek suretiyle maddenin birinci fıkrasına alınmıştır. </w:t>
            </w:r>
          </w:p>
          <w:p w:rsidR="00A46C6E" w:rsidRPr="00A23740" w:rsidRDefault="00A46C6E" w:rsidP="009431FF">
            <w:pPr>
              <w:ind w:firstLine="709"/>
              <w:rPr>
                <w:rFonts w:eastAsia="Times New Roman"/>
                <w:bCs/>
                <w:szCs w:val="24"/>
                <w:lang w:eastAsia="x-none"/>
              </w:rPr>
            </w:pPr>
            <w:r w:rsidRPr="00A23740">
              <w:rPr>
                <w:rFonts w:eastAsia="Times New Roman"/>
                <w:bCs/>
                <w:szCs w:val="24"/>
                <w:lang w:eastAsia="x-none"/>
              </w:rPr>
              <w:t>Bu maddenin birinci fıkrasının birinci cümlesi uyarınca eşya üzerinde hapis hakkı</w:t>
            </w:r>
            <w:r w:rsidR="005F5F0D" w:rsidRPr="00A23740">
              <w:rPr>
                <w:rFonts w:eastAsia="Times New Roman"/>
                <w:bCs/>
                <w:szCs w:val="24"/>
                <w:lang w:eastAsia="x-none"/>
              </w:rPr>
              <w:t>yla</w:t>
            </w:r>
            <w:r w:rsidRPr="00A23740">
              <w:rPr>
                <w:rFonts w:eastAsia="Times New Roman"/>
                <w:bCs/>
                <w:szCs w:val="24"/>
                <w:lang w:eastAsia="x-none"/>
              </w:rPr>
              <w:t xml:space="preserve"> teminat altına alınan alacağın hapis hakkından ayrı olarak dava edilmesi mümkündür. Dolayısıyla hapis hakkı</w:t>
            </w:r>
            <w:r w:rsidR="005F5F0D" w:rsidRPr="00A23740">
              <w:rPr>
                <w:rFonts w:eastAsia="Times New Roman"/>
                <w:bCs/>
                <w:szCs w:val="24"/>
                <w:lang w:eastAsia="x-none"/>
              </w:rPr>
              <w:t>yla</w:t>
            </w:r>
            <w:r w:rsidRPr="00A23740">
              <w:rPr>
                <w:rFonts w:eastAsia="Times New Roman"/>
                <w:bCs/>
                <w:szCs w:val="24"/>
                <w:lang w:eastAsia="x-none"/>
              </w:rPr>
              <w:t xml:space="preserve"> teminat altına </w:t>
            </w:r>
            <w:r w:rsidR="005F5F0D" w:rsidRPr="00A23740">
              <w:rPr>
                <w:rFonts w:eastAsia="Times New Roman"/>
                <w:bCs/>
                <w:szCs w:val="24"/>
                <w:lang w:eastAsia="x-none"/>
              </w:rPr>
              <w:t xml:space="preserve">alınan </w:t>
            </w:r>
            <w:r w:rsidRPr="00A23740">
              <w:rPr>
                <w:rFonts w:eastAsia="Times New Roman"/>
                <w:bCs/>
                <w:szCs w:val="24"/>
                <w:lang w:eastAsia="x-none"/>
              </w:rPr>
              <w:t>alacak, hapis hakkı belirtilmeksizin ilam</w:t>
            </w:r>
            <w:r w:rsidR="005F5F0D" w:rsidRPr="00A23740">
              <w:rPr>
                <w:rFonts w:eastAsia="Times New Roman"/>
                <w:bCs/>
                <w:szCs w:val="24"/>
                <w:lang w:eastAsia="x-none"/>
              </w:rPr>
              <w:t>la</w:t>
            </w:r>
            <w:r w:rsidRPr="00A23740">
              <w:rPr>
                <w:rFonts w:eastAsia="Times New Roman"/>
                <w:bCs/>
                <w:szCs w:val="24"/>
                <w:lang w:eastAsia="x-none"/>
              </w:rPr>
              <w:t xml:space="preserve"> tespit edilmiş olabilir ya da sadece alacağa dair ilam niteliğinde bir belge mevcut olabilir. </w:t>
            </w:r>
            <w:r w:rsidR="005F5F0D" w:rsidRPr="00A23740">
              <w:rPr>
                <w:rFonts w:eastAsia="Times New Roman"/>
                <w:bCs/>
                <w:szCs w:val="24"/>
                <w:lang w:eastAsia="x-none"/>
              </w:rPr>
              <w:t xml:space="preserve">Taslağın bu  maddesinin </w:t>
            </w:r>
            <w:r w:rsidRPr="00A23740">
              <w:rPr>
                <w:rFonts w:eastAsia="Times New Roman"/>
                <w:bCs/>
                <w:szCs w:val="24"/>
                <w:lang w:eastAsia="x-none"/>
              </w:rPr>
              <w:t xml:space="preserve">6102 sayılı Kanunun 1399 </w:t>
            </w:r>
            <w:r w:rsidR="00870D54" w:rsidRPr="00F257EC">
              <w:rPr>
                <w:rFonts w:eastAsia="Times New Roman"/>
                <w:bCs/>
                <w:szCs w:val="24"/>
                <w:lang w:eastAsia="x-none"/>
              </w:rPr>
              <w:t>uncu</w:t>
            </w:r>
            <w:r w:rsidR="00870D54" w:rsidRPr="00A23740">
              <w:rPr>
                <w:rFonts w:eastAsia="Times New Roman"/>
                <w:bCs/>
                <w:szCs w:val="24"/>
                <w:lang w:eastAsia="x-none"/>
              </w:rPr>
              <w:t xml:space="preserve"> </w:t>
            </w:r>
            <w:r w:rsidRPr="00A23740">
              <w:rPr>
                <w:rFonts w:eastAsia="Times New Roman"/>
                <w:bCs/>
                <w:szCs w:val="24"/>
                <w:lang w:eastAsia="x-none"/>
              </w:rPr>
              <w:t>maddesinin ikinci cümlesinden (ifadesi değiştirilmek ve Taslak hükmüne atıfta bulunmak suretiyle) alınan ikinci fıkrasında hapis hakkı ile teminat altına alacağın tespit edildiği ilam veya ilam niteliğindeki belgede alacaklının hapis hakkı belirtilmemiş</w:t>
            </w:r>
            <w:r w:rsidR="005F5F0D" w:rsidRPr="00A23740">
              <w:rPr>
                <w:rFonts w:eastAsia="Times New Roman"/>
                <w:bCs/>
                <w:szCs w:val="24"/>
                <w:lang w:eastAsia="x-none"/>
              </w:rPr>
              <w:t>se</w:t>
            </w:r>
            <w:r w:rsidRPr="00A23740">
              <w:rPr>
                <w:rFonts w:eastAsia="Times New Roman"/>
                <w:bCs/>
                <w:szCs w:val="24"/>
                <w:lang w:eastAsia="x-none"/>
              </w:rPr>
              <w:t>, bu durumda borçlunun hapis hakkına itiraz edebileceği; borçlunun sadece hapis hakkına itiraz etmesi h</w:t>
            </w:r>
            <w:r w:rsidR="00870D54" w:rsidRPr="00A23740">
              <w:rPr>
                <w:rFonts w:eastAsia="Times New Roman"/>
                <w:bCs/>
                <w:szCs w:val="24"/>
                <w:lang w:eastAsia="x-none"/>
              </w:rPr>
              <w:t>â</w:t>
            </w:r>
            <w:r w:rsidRPr="00A23740">
              <w:rPr>
                <w:rFonts w:eastAsia="Times New Roman"/>
                <w:bCs/>
                <w:szCs w:val="24"/>
                <w:lang w:eastAsia="x-none"/>
              </w:rPr>
              <w:t>linde</w:t>
            </w:r>
            <w:r w:rsidR="005F5F0D" w:rsidRPr="00A23740">
              <w:rPr>
                <w:rFonts w:eastAsia="Times New Roman"/>
                <w:bCs/>
                <w:szCs w:val="24"/>
                <w:lang w:eastAsia="x-none"/>
              </w:rPr>
              <w:t>,</w:t>
            </w:r>
            <w:r w:rsidRPr="00A23740">
              <w:rPr>
                <w:rFonts w:eastAsia="Times New Roman"/>
                <w:bCs/>
                <w:szCs w:val="24"/>
                <w:lang w:eastAsia="x-none"/>
              </w:rPr>
              <w:t xml:space="preserve"> Taslağın </w:t>
            </w:r>
            <w:r w:rsidR="00D04D70" w:rsidRPr="00F257EC">
              <w:rPr>
                <w:rFonts w:eastAsia="Times New Roman"/>
                <w:bCs/>
                <w:szCs w:val="24"/>
                <w:lang w:eastAsia="x-none"/>
              </w:rPr>
              <w:t>117</w:t>
            </w:r>
            <w:r w:rsidR="00D04D70" w:rsidRPr="00F257EC">
              <w:rPr>
                <w:rFonts w:eastAsia="Times New Roman"/>
                <w:b/>
                <w:szCs w:val="24"/>
              </w:rPr>
              <w:t xml:space="preserve"> </w:t>
            </w:r>
            <w:r w:rsidR="00D04D70" w:rsidRPr="00F257EC">
              <w:rPr>
                <w:rFonts w:eastAsia="Times New Roman"/>
                <w:bCs/>
                <w:szCs w:val="24"/>
                <w:lang w:eastAsia="x-none"/>
              </w:rPr>
              <w:t>nci</w:t>
            </w:r>
            <w:r w:rsidR="00D04D70" w:rsidRPr="00A23740">
              <w:rPr>
                <w:rFonts w:eastAsia="Times New Roman"/>
                <w:b/>
                <w:bCs/>
                <w:color w:val="0000FF"/>
                <w:szCs w:val="24"/>
                <w:lang w:eastAsia="x-none"/>
              </w:rPr>
              <w:t xml:space="preserve"> </w:t>
            </w:r>
            <w:r w:rsidRPr="00A23740">
              <w:rPr>
                <w:rFonts w:eastAsia="Times New Roman"/>
                <w:bCs/>
                <w:szCs w:val="24"/>
                <w:lang w:eastAsia="x-none"/>
              </w:rPr>
              <w:t>maddesinin dördüncü fıkrasının uygulanacağı hüküm altına alınmıştır.</w:t>
            </w:r>
          </w:p>
          <w:bookmarkEnd w:id="96"/>
          <w:p w:rsidR="00A46C6E" w:rsidRPr="00A23740" w:rsidRDefault="00A46C6E" w:rsidP="002A27F8">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b/>
                <w:strike/>
                <w:color w:val="FF0000"/>
                <w:szCs w:val="24"/>
                <w:lang w:eastAsia="x-none"/>
              </w:rPr>
              <w:t>III -</w:t>
            </w:r>
            <w:r w:rsidRPr="00A23740">
              <w:rPr>
                <w:rFonts w:eastAsia="Times New Roman"/>
                <w:b/>
                <w:bCs/>
                <w:szCs w:val="24"/>
                <w:lang w:eastAsia="tr-TR"/>
              </w:rPr>
              <w:t xml:space="preserve"> İlamsız icra</w:t>
            </w:r>
          </w:p>
          <w:p w:rsidR="00A46C6E" w:rsidRPr="00A23740" w:rsidRDefault="00A46C6E" w:rsidP="009431FF">
            <w:pPr>
              <w:rPr>
                <w:rFonts w:eastAsia="Times New Roman"/>
                <w:szCs w:val="24"/>
              </w:rPr>
            </w:pPr>
            <w:r w:rsidRPr="00A23740">
              <w:rPr>
                <w:rFonts w:eastAsia="Times New Roman"/>
                <w:b/>
                <w:bCs/>
                <w:szCs w:val="24"/>
                <w:lang w:eastAsia="tr-TR"/>
              </w:rPr>
              <w:t xml:space="preserve">MADDE </w:t>
            </w:r>
            <w:r w:rsidRPr="00A23740">
              <w:rPr>
                <w:b/>
                <w:strike/>
                <w:color w:val="FF0000"/>
                <w:szCs w:val="24"/>
                <w:lang w:eastAsia="x-none"/>
              </w:rPr>
              <w:t>1400</w:t>
            </w:r>
            <w:r w:rsidRPr="00A23740">
              <w:rPr>
                <w:rFonts w:eastAsia="Times New Roman"/>
                <w:szCs w:val="24"/>
                <w:lang w:eastAsia="tr-TR"/>
              </w:rPr>
              <w:t xml:space="preserve">- (1) Hapis hakkıyla teminat altına alınan alacak, bir ilama veya ilam niteliğindeki belgeye dayanmıyorsa, alacaklı, defterin tutulmasından </w:t>
            </w:r>
            <w:r w:rsidRPr="00A23740">
              <w:rPr>
                <w:b/>
                <w:strike/>
                <w:color w:val="FF0000"/>
                <w:szCs w:val="24"/>
                <w:lang w:eastAsia="x-none"/>
              </w:rPr>
              <w:t>başlayarak onbeş gün</w:t>
            </w:r>
            <w:r w:rsidRPr="00A23740">
              <w:rPr>
                <w:rFonts w:eastAsia="Times New Roman"/>
                <w:szCs w:val="24"/>
                <w:lang w:eastAsia="tr-TR"/>
              </w:rPr>
              <w:t xml:space="preserve"> içinde taşınır rehninin paraya çevrilmesi yoluyla ilamsız takip yapar. Borçlu, alacağa veya hapis hakkına veya her ikisine birden itiraz edebilir. </w:t>
            </w:r>
            <w:r w:rsidRPr="00A23740">
              <w:rPr>
                <w:b/>
                <w:strike/>
                <w:color w:val="FF0000"/>
                <w:szCs w:val="24"/>
                <w:lang w:eastAsia="x-none"/>
              </w:rPr>
              <w:t>Bu</w:t>
            </w:r>
            <w:r w:rsidRPr="00A23740">
              <w:rPr>
                <w:rFonts w:eastAsia="Times New Roman"/>
                <w:szCs w:val="24"/>
                <w:lang w:eastAsia="tr-TR"/>
              </w:rPr>
              <w:t xml:space="preserve"> itiraz hakkında </w:t>
            </w:r>
            <w:r w:rsidRPr="00A23740">
              <w:rPr>
                <w:b/>
                <w:strike/>
                <w:color w:val="FF0000"/>
                <w:szCs w:val="24"/>
                <w:lang w:eastAsia="x-none"/>
              </w:rPr>
              <w:t>İcra ve İflas Kanununun</w:t>
            </w:r>
            <w:r w:rsidRPr="00A23740">
              <w:rPr>
                <w:rFonts w:eastAsia="Times New Roman"/>
                <w:szCs w:val="24"/>
                <w:lang w:eastAsia="tr-TR"/>
              </w:rPr>
              <w:t xml:space="preserve"> 147 </w:t>
            </w:r>
            <w:r w:rsidRPr="00A23740">
              <w:rPr>
                <w:b/>
                <w:strike/>
                <w:color w:val="FF0000"/>
                <w:szCs w:val="24"/>
                <w:lang w:eastAsia="x-none"/>
              </w:rPr>
              <w:t>nci</w:t>
            </w:r>
            <w:r w:rsidRPr="00A23740">
              <w:rPr>
                <w:rFonts w:eastAsia="Times New Roman"/>
                <w:szCs w:val="24"/>
                <w:lang w:eastAsia="tr-TR"/>
              </w:rPr>
              <w:t xml:space="preserve"> madde</w:t>
            </w:r>
            <w:r w:rsidRPr="00A23740">
              <w:rPr>
                <w:b/>
                <w:bCs/>
                <w:strike/>
                <w:color w:val="FF0000"/>
                <w:lang w:val="x-none" w:eastAsia="x-none"/>
              </w:rPr>
              <w:t>si</w:t>
            </w:r>
            <w:r w:rsidRPr="00A23740">
              <w:rPr>
                <w:rFonts w:eastAsia="Times New Roman"/>
                <w:szCs w:val="24"/>
                <w:lang w:eastAsia="tr-TR"/>
              </w:rPr>
              <w:t xml:space="preserve"> uygulanır</w:t>
            </w:r>
            <w:r w:rsidRPr="00A23740">
              <w:rPr>
                <w:rFonts w:eastAsia="Times New Roman"/>
                <w:szCs w:val="24"/>
              </w:rPr>
              <w:t>.</w:t>
            </w:r>
          </w:p>
          <w:p w:rsidR="00A46C6E" w:rsidRPr="00A23740" w:rsidRDefault="00A46C6E" w:rsidP="009431FF">
            <w:pPr>
              <w:rPr>
                <w:rFonts w:eastAsia="Times New Roman"/>
                <w:szCs w:val="24"/>
              </w:rPr>
            </w:pPr>
          </w:p>
        </w:tc>
        <w:tc>
          <w:tcPr>
            <w:tcW w:w="2500" w:type="pct"/>
            <w:shd w:val="clear" w:color="auto" w:fill="auto"/>
          </w:tcPr>
          <w:p w:rsidR="00A46C6E" w:rsidRPr="00A23740" w:rsidRDefault="00A46C6E" w:rsidP="009431FF">
            <w:pPr>
              <w:rPr>
                <w:rFonts w:eastAsia="Times New Roman"/>
                <w:b/>
                <w:bCs/>
                <w:color w:val="0000FF"/>
                <w:szCs w:val="24"/>
                <w:lang w:eastAsia="x-none"/>
              </w:rPr>
            </w:pPr>
            <w:r w:rsidRPr="00A23740">
              <w:rPr>
                <w:rFonts w:eastAsia="Times New Roman"/>
                <w:b/>
                <w:bCs/>
                <w:color w:val="0000FF"/>
                <w:szCs w:val="24"/>
                <w:lang w:eastAsia="x-none"/>
              </w:rPr>
              <w:t xml:space="preserve">Hapis hakkının </w:t>
            </w:r>
            <w:r w:rsidRPr="00A23740">
              <w:rPr>
                <w:rFonts w:eastAsia="Times New Roman"/>
                <w:b/>
                <w:szCs w:val="24"/>
                <w:lang w:eastAsia="tr-TR"/>
              </w:rPr>
              <w:t>ilamsız icra</w:t>
            </w:r>
            <w:r w:rsidRPr="00A23740">
              <w:rPr>
                <w:rFonts w:eastAsia="Times New Roman"/>
                <w:b/>
                <w:bCs/>
                <w:color w:val="0000FF"/>
                <w:szCs w:val="24"/>
                <w:lang w:eastAsia="x-none"/>
              </w:rPr>
              <w:t xml:space="preserve"> yoluyla takibi</w:t>
            </w:r>
          </w:p>
          <w:p w:rsidR="00A46C6E" w:rsidRPr="00A23740" w:rsidRDefault="00BC725A" w:rsidP="009431FF">
            <w:pPr>
              <w:rPr>
                <w:rFonts w:eastAsia="Times New Roman"/>
                <w:b/>
                <w:bCs/>
                <w:color w:val="0000FF"/>
                <w:szCs w:val="24"/>
                <w:lang w:eastAsia="x-none"/>
              </w:rPr>
            </w:pPr>
            <w:r w:rsidRPr="005A4748">
              <w:rPr>
                <w:rFonts w:eastAsia="Times New Roman"/>
                <w:b/>
                <w:bCs/>
                <w:color w:val="000000" w:themeColor="text1"/>
                <w:szCs w:val="24"/>
                <w:lang w:eastAsia="x-none"/>
              </w:rPr>
              <w:t xml:space="preserve">MADDE </w:t>
            </w:r>
            <w:r w:rsidRPr="00A23740">
              <w:rPr>
                <w:rFonts w:eastAsia="Times New Roman"/>
                <w:b/>
                <w:bCs/>
                <w:color w:val="0000FF"/>
                <w:szCs w:val="24"/>
                <w:lang w:eastAsia="x-none"/>
              </w:rPr>
              <w:t>508</w:t>
            </w:r>
            <w:r w:rsidR="00A46C6E" w:rsidRPr="00A23740">
              <w:rPr>
                <w:rFonts w:eastAsia="Times New Roman"/>
                <w:b/>
                <w:bCs/>
                <w:color w:val="0000FF"/>
                <w:szCs w:val="24"/>
                <w:lang w:eastAsia="x-none"/>
              </w:rPr>
              <w:t xml:space="preserve">- </w:t>
            </w:r>
            <w:r w:rsidR="00A46C6E" w:rsidRPr="005A4748">
              <w:rPr>
                <w:rFonts w:eastAsia="Times New Roman"/>
                <w:bCs/>
                <w:color w:val="000000" w:themeColor="text1"/>
                <w:szCs w:val="24"/>
                <w:lang w:eastAsia="x-none"/>
              </w:rPr>
              <w:t>(1)</w:t>
            </w:r>
            <w:r w:rsidR="00A46C6E" w:rsidRPr="00A23740">
              <w:rPr>
                <w:rFonts w:eastAsia="Times New Roman"/>
                <w:b/>
                <w:bCs/>
                <w:color w:val="0000FF"/>
                <w:szCs w:val="24"/>
                <w:lang w:eastAsia="x-none"/>
              </w:rPr>
              <w:t xml:space="preserve"> </w:t>
            </w:r>
            <w:r w:rsidR="00A46C6E" w:rsidRPr="00A23740">
              <w:rPr>
                <w:rFonts w:eastAsia="Times New Roman"/>
                <w:szCs w:val="24"/>
                <w:lang w:eastAsia="tr-TR"/>
              </w:rPr>
              <w:t xml:space="preserve">Hapis hakkıyla teminat altına alınan alacak, bir ilama veya ilam niteliğindeki belgeye dayanmıyorsa, alacaklı, defterin tutulmasından </w:t>
            </w:r>
            <w:r w:rsidR="00A46C6E" w:rsidRPr="00A23740">
              <w:rPr>
                <w:rFonts w:eastAsia="Times New Roman"/>
                <w:b/>
                <w:bCs/>
                <w:color w:val="0000FF"/>
                <w:szCs w:val="24"/>
                <w:lang w:eastAsia="x-none"/>
              </w:rPr>
              <w:t>itibaren iki hafta</w:t>
            </w:r>
            <w:r w:rsidR="00A46C6E" w:rsidRPr="00A23740">
              <w:rPr>
                <w:rFonts w:eastAsia="Times New Roman"/>
                <w:szCs w:val="24"/>
                <w:lang w:eastAsia="tr-TR"/>
              </w:rPr>
              <w:t xml:space="preserve"> içinde taşınır rehninin paraya çevrilmesi</w:t>
            </w:r>
            <w:r w:rsidR="00BC1058" w:rsidRPr="00F257EC">
              <w:rPr>
                <w:rStyle w:val="YELChar"/>
                <w:color w:val="0000FF"/>
              </w:rPr>
              <w:t>ni</w:t>
            </w:r>
            <w:r w:rsidR="00A46C6E" w:rsidRPr="00A23740">
              <w:rPr>
                <w:rFonts w:eastAsia="Times New Roman"/>
                <w:szCs w:val="24"/>
                <w:lang w:eastAsia="tr-TR"/>
              </w:rPr>
              <w:t xml:space="preserve"> ilamsız takip </w:t>
            </w:r>
            <w:r w:rsidR="00BC1058" w:rsidRPr="00F257EC">
              <w:rPr>
                <w:rStyle w:val="YELChar"/>
                <w:color w:val="0000FF"/>
              </w:rPr>
              <w:t>yoluyla talep edebilir</w:t>
            </w:r>
            <w:r w:rsidR="00A46C6E" w:rsidRPr="00A23740">
              <w:rPr>
                <w:rFonts w:eastAsia="Times New Roman"/>
                <w:szCs w:val="24"/>
                <w:lang w:eastAsia="tr-TR"/>
              </w:rPr>
              <w:t>. Borçlu, alacağa veya hapis hakkına ya da her ikisine birden itiraz edebilir.</w:t>
            </w:r>
            <w:r w:rsidR="00A46C6E" w:rsidRPr="00A23740">
              <w:rPr>
                <w:rFonts w:eastAsia="Times New Roman"/>
                <w:b/>
                <w:bCs/>
                <w:color w:val="0000FF"/>
                <w:szCs w:val="24"/>
                <w:lang w:eastAsia="x-none"/>
              </w:rPr>
              <w:t xml:space="preserve"> Borçlunun</w:t>
            </w:r>
            <w:r w:rsidR="00A46C6E" w:rsidRPr="00A23740">
              <w:rPr>
                <w:rFonts w:eastAsia="Times New Roman"/>
                <w:szCs w:val="24"/>
                <w:lang w:eastAsia="tr-TR"/>
              </w:rPr>
              <w:t xml:space="preserve"> itiraz</w:t>
            </w:r>
            <w:r w:rsidR="00A46C6E" w:rsidRPr="00A23740">
              <w:rPr>
                <w:rFonts w:eastAsia="Times New Roman"/>
                <w:b/>
                <w:bCs/>
                <w:color w:val="0000FF"/>
                <w:szCs w:val="24"/>
                <w:lang w:eastAsia="x-none"/>
              </w:rPr>
              <w:t xml:space="preserve">ı </w:t>
            </w:r>
            <w:r w:rsidR="00A46C6E" w:rsidRPr="00A23740">
              <w:rPr>
                <w:rFonts w:eastAsia="Times New Roman"/>
                <w:szCs w:val="24"/>
                <w:lang w:eastAsia="tr-TR"/>
              </w:rPr>
              <w:t xml:space="preserve">hakkında </w:t>
            </w:r>
            <w:r w:rsidR="00A46C6E" w:rsidRPr="00A23740">
              <w:rPr>
                <w:rFonts w:eastAsia="Times New Roman"/>
                <w:b/>
                <w:bCs/>
                <w:color w:val="0000FF"/>
                <w:szCs w:val="24"/>
                <w:lang w:eastAsia="x-none"/>
              </w:rPr>
              <w:t>ödeme emrine itiraza ilişkin</w:t>
            </w:r>
            <w:r w:rsidR="00A46C6E" w:rsidRPr="00A23740">
              <w:rPr>
                <w:rFonts w:eastAsia="Times New Roman"/>
                <w:szCs w:val="24"/>
                <w:lang w:eastAsia="tr-TR"/>
              </w:rPr>
              <w:t xml:space="preserve"> </w:t>
            </w:r>
            <w:r w:rsidR="00D04D70" w:rsidRPr="00F257EC">
              <w:rPr>
                <w:rStyle w:val="KonuBalChar"/>
                <w:rFonts w:eastAsia="Calibri"/>
                <w:color w:val="0000FF"/>
              </w:rPr>
              <w:t>117</w:t>
            </w:r>
            <w:r w:rsidR="00D04D70" w:rsidRPr="00A23740">
              <w:rPr>
                <w:rStyle w:val="KonuBalChar"/>
                <w:rFonts w:eastAsia="Calibri"/>
              </w:rPr>
              <w:t xml:space="preserve"> </w:t>
            </w:r>
            <w:r w:rsidR="00D04D70" w:rsidRPr="00F257EC">
              <w:rPr>
                <w:rStyle w:val="KonuBalChar"/>
                <w:rFonts w:eastAsia="Calibri"/>
                <w:color w:val="0000FF"/>
              </w:rPr>
              <w:t>nci</w:t>
            </w:r>
            <w:r w:rsidR="00D04D70" w:rsidRPr="00A23740">
              <w:rPr>
                <w:rFonts w:eastAsia="Times New Roman"/>
                <w:b/>
                <w:bCs/>
                <w:color w:val="0000FF"/>
                <w:szCs w:val="24"/>
                <w:lang w:eastAsia="x-none"/>
              </w:rPr>
              <w:t xml:space="preserve"> </w:t>
            </w:r>
            <w:r w:rsidR="00A46C6E" w:rsidRPr="00A23740">
              <w:rPr>
                <w:rFonts w:eastAsia="Times New Roman"/>
                <w:szCs w:val="24"/>
                <w:lang w:eastAsia="tr-TR"/>
              </w:rPr>
              <w:t>madde uygulanır.</w:t>
            </w:r>
          </w:p>
          <w:p w:rsidR="00A46C6E" w:rsidRPr="00A23740" w:rsidRDefault="00A46C6E"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98" w:name="_Hlk134343537"/>
          </w:p>
          <w:p w:rsidR="00A46C6E" w:rsidRPr="00A23740" w:rsidRDefault="00BC725A" w:rsidP="009431FF">
            <w:pPr>
              <w:ind w:firstLine="709"/>
              <w:rPr>
                <w:rFonts w:eastAsia="Times New Roman"/>
                <w:b/>
                <w:bCs/>
                <w:szCs w:val="24"/>
                <w:lang w:eastAsia="tr-TR"/>
              </w:rPr>
            </w:pPr>
            <w:r w:rsidRPr="00A23740">
              <w:rPr>
                <w:rFonts w:eastAsia="Times New Roman"/>
                <w:b/>
                <w:bCs/>
                <w:szCs w:val="24"/>
                <w:lang w:eastAsia="tr-TR"/>
              </w:rPr>
              <w:t>MADDE 508</w:t>
            </w:r>
            <w:r w:rsidR="00A46C6E" w:rsidRPr="00A23740">
              <w:rPr>
                <w:rFonts w:eastAsia="Times New Roman"/>
                <w:b/>
                <w:bCs/>
                <w:szCs w:val="24"/>
                <w:lang w:eastAsia="tr-TR"/>
              </w:rPr>
              <w:t xml:space="preserve">- </w:t>
            </w:r>
            <w:bookmarkStart w:id="99" w:name="_Hlk172877566"/>
            <w:r w:rsidR="00A46C6E" w:rsidRPr="00A23740">
              <w:rPr>
                <w:bCs/>
                <w:szCs w:val="24"/>
                <w:lang w:eastAsia="x-none"/>
              </w:rPr>
              <w:t xml:space="preserve">Maddeyle, </w:t>
            </w:r>
            <w:r w:rsidR="00A46C6E" w:rsidRPr="00A23740">
              <w:rPr>
                <w:rFonts w:eastAsia="Times New Roman"/>
                <w:szCs w:val="24"/>
              </w:rPr>
              <w:t>hapis hakkının ilamsız icra yoluyla takibine ilişkin</w:t>
            </w:r>
            <w:r w:rsidR="00A46C6E" w:rsidRPr="00A23740">
              <w:rPr>
                <w:bCs/>
                <w:szCs w:val="24"/>
                <w:lang w:eastAsia="x-none"/>
              </w:rPr>
              <w:t xml:space="preserve"> hususlar düzenlenmektedir.</w:t>
            </w:r>
          </w:p>
          <w:bookmarkEnd w:id="98"/>
          <w:bookmarkEnd w:id="99"/>
          <w:p w:rsidR="00A46C6E" w:rsidRPr="009D25DD" w:rsidRDefault="00A46C6E" w:rsidP="009D25DD">
            <w:pPr>
              <w:ind w:firstLine="709"/>
              <w:rPr>
                <w:rFonts w:eastAsia="Times New Roman"/>
                <w:bCs/>
                <w:szCs w:val="24"/>
                <w:lang w:eastAsia="x-none"/>
              </w:rPr>
            </w:pPr>
            <w:r w:rsidRPr="00A23740">
              <w:rPr>
                <w:rFonts w:eastAsia="Times New Roman"/>
                <w:bCs/>
                <w:szCs w:val="24"/>
                <w:lang w:eastAsia="x-none"/>
              </w:rPr>
              <w:t>6102 sayılı Kanunun 1400 üncü maddesi, “ilamsız icra” şeklindeki kenar başlığı “hapis hakkının ilamsız icra yoluyla takibi” şeklinde değiştirilmek; alacaklının, defterin tutulmasından itibaren taşınır rehninin paraya çevrilmesi yoluyla ilamsız takip yapma süresi iki hafta olarak belirlenmek ve borçlunun alacağa veya hapis hakkına ya da her ikisine birden itiraz etmesi h</w:t>
            </w:r>
            <w:r w:rsidR="00BC1058" w:rsidRPr="00A23740">
              <w:rPr>
                <w:rFonts w:eastAsia="Times New Roman"/>
                <w:bCs/>
                <w:szCs w:val="24"/>
                <w:lang w:eastAsia="x-none"/>
              </w:rPr>
              <w:t>â</w:t>
            </w:r>
            <w:r w:rsidRPr="00A23740">
              <w:rPr>
                <w:rFonts w:eastAsia="Times New Roman"/>
                <w:bCs/>
                <w:szCs w:val="24"/>
                <w:lang w:eastAsia="x-none"/>
              </w:rPr>
              <w:t xml:space="preserve">linde borçlunun itirazı hakkında Taslağın ödeme emrine itiraza ilişkin </w:t>
            </w:r>
            <w:r w:rsidR="00D04D70" w:rsidRPr="00F257EC">
              <w:rPr>
                <w:rFonts w:eastAsia="Times New Roman"/>
                <w:bCs/>
                <w:szCs w:val="24"/>
                <w:lang w:eastAsia="x-none"/>
              </w:rPr>
              <w:t>117</w:t>
            </w:r>
            <w:r w:rsidR="00D04D70" w:rsidRPr="00F257EC">
              <w:rPr>
                <w:rFonts w:eastAsia="Times New Roman"/>
                <w:b/>
                <w:szCs w:val="24"/>
              </w:rPr>
              <w:t xml:space="preserve"> </w:t>
            </w:r>
            <w:r w:rsidR="00D04D70" w:rsidRPr="00F257EC">
              <w:rPr>
                <w:rFonts w:eastAsia="Times New Roman"/>
                <w:bCs/>
                <w:szCs w:val="24"/>
                <w:lang w:eastAsia="x-none"/>
              </w:rPr>
              <w:t>nci</w:t>
            </w:r>
            <w:r w:rsidR="00D04D70" w:rsidRPr="00A23740">
              <w:rPr>
                <w:rFonts w:eastAsia="Times New Roman"/>
                <w:b/>
                <w:bCs/>
                <w:color w:val="0000FF"/>
                <w:szCs w:val="24"/>
                <w:lang w:eastAsia="x-none"/>
              </w:rPr>
              <w:t xml:space="preserve"> </w:t>
            </w:r>
            <w:r w:rsidRPr="00A23740">
              <w:rPr>
                <w:rFonts w:eastAsia="Times New Roman"/>
                <w:bCs/>
                <w:szCs w:val="24"/>
                <w:lang w:eastAsia="x-none"/>
              </w:rPr>
              <w:t xml:space="preserve">maddesinin uygulanacağı belirtilmek suretiyle maddeye alınmıştır. </w:t>
            </w: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500" w:type="pct"/>
            <w:shd w:val="clear" w:color="auto" w:fill="auto"/>
          </w:tcPr>
          <w:p w:rsidR="00A46C6E" w:rsidRPr="00A23740" w:rsidRDefault="00A46C6E" w:rsidP="009431FF">
            <w:pPr>
              <w:rPr>
                <w:rFonts w:eastAsia="Times New Roman"/>
                <w:szCs w:val="24"/>
                <w:lang w:eastAsia="tr-TR"/>
              </w:rPr>
            </w:pPr>
            <w:r w:rsidRPr="00A23740">
              <w:rPr>
                <w:rFonts w:eastAsia="Times New Roman"/>
                <w:b/>
                <w:bCs/>
                <w:strike/>
                <w:color w:val="FF0000"/>
                <w:szCs w:val="24"/>
                <w:lang w:eastAsia="x-none"/>
              </w:rPr>
              <w:t>D) Eşya hakkında</w:t>
            </w:r>
          </w:p>
          <w:p w:rsidR="00A46C6E" w:rsidRPr="00A23740" w:rsidRDefault="00A46C6E" w:rsidP="009431FF">
            <w:pPr>
              <w:rPr>
                <w:rFonts w:eastAsia="Times New Roman"/>
                <w:szCs w:val="24"/>
                <w:lang w:eastAsia="tr-TR"/>
              </w:rPr>
            </w:pPr>
            <w:r w:rsidRPr="00A23740">
              <w:rPr>
                <w:rFonts w:eastAsia="Times New Roman"/>
                <w:b/>
                <w:bCs/>
                <w:strike/>
                <w:color w:val="FF0000"/>
                <w:szCs w:val="24"/>
                <w:lang w:eastAsia="x-none"/>
              </w:rPr>
              <w:t>I -</w:t>
            </w:r>
            <w:r w:rsidRPr="00A23740">
              <w:rPr>
                <w:rFonts w:eastAsia="Times New Roman"/>
                <w:b/>
                <w:bCs/>
                <w:szCs w:val="24"/>
                <w:lang w:eastAsia="tr-TR"/>
              </w:rPr>
              <w:t xml:space="preserve"> Hapis hakkı </w:t>
            </w:r>
            <w:r w:rsidRPr="00A23740">
              <w:rPr>
                <w:rFonts w:eastAsia="Times New Roman"/>
                <w:b/>
                <w:bCs/>
                <w:strike/>
                <w:color w:val="FF0000"/>
                <w:szCs w:val="24"/>
                <w:lang w:eastAsia="x-none"/>
              </w:rPr>
              <w:t>için defter tutulması</w:t>
            </w:r>
          </w:p>
          <w:p w:rsidR="00A46C6E" w:rsidRDefault="00A46C6E" w:rsidP="009431FF">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bCs/>
                <w:strike/>
                <w:color w:val="FF0000"/>
                <w:szCs w:val="24"/>
                <w:lang w:eastAsia="x-none"/>
              </w:rPr>
              <w:t>1398</w:t>
            </w:r>
            <w:r w:rsidRPr="00A23740">
              <w:rPr>
                <w:rFonts w:eastAsia="Times New Roman"/>
                <w:szCs w:val="24"/>
                <w:lang w:eastAsia="tr-TR"/>
              </w:rPr>
              <w:t xml:space="preserve">- (1) </w:t>
            </w:r>
            <w:r w:rsidRPr="00B20094">
              <w:rPr>
                <w:rStyle w:val="KIRMIZIChar"/>
                <w:rFonts w:eastAsia="Calibri"/>
              </w:rPr>
              <w:t>İcra ve İflas Kanununun 270 ve 271 inci maddeleri, bu Kanun hükümleri uyarınca eşya üzerinde doğan hapis hakkının paraya çevrilmesinde de uygulanır.</w:t>
            </w:r>
          </w:p>
          <w:p w:rsidR="00D84CCE" w:rsidRPr="00A23740" w:rsidRDefault="00D84CCE" w:rsidP="009431FF">
            <w:pPr>
              <w:rPr>
                <w:rFonts w:eastAsia="Times New Roman"/>
                <w:szCs w:val="24"/>
                <w:lang w:eastAsia="tr-TR"/>
              </w:rPr>
            </w:pPr>
          </w:p>
        </w:tc>
        <w:tc>
          <w:tcPr>
            <w:tcW w:w="2500" w:type="pct"/>
            <w:shd w:val="clear" w:color="auto" w:fill="auto"/>
          </w:tcPr>
          <w:p w:rsidR="00A46C6E" w:rsidRPr="00A23740" w:rsidRDefault="00A46C6E" w:rsidP="009431FF">
            <w:pPr>
              <w:rPr>
                <w:rFonts w:eastAsia="Times New Roman"/>
                <w:b/>
                <w:bCs/>
                <w:color w:val="0000FF"/>
                <w:szCs w:val="24"/>
                <w:lang w:eastAsia="x-none"/>
              </w:rPr>
            </w:pPr>
            <w:r w:rsidRPr="00466739">
              <w:rPr>
                <w:rFonts w:eastAsia="Times New Roman"/>
                <w:b/>
                <w:bCs/>
                <w:color w:val="000000" w:themeColor="text1"/>
                <w:szCs w:val="24"/>
                <w:lang w:eastAsia="x-none"/>
              </w:rPr>
              <w:t xml:space="preserve">Hapis hakkı </w:t>
            </w:r>
            <w:r w:rsidRPr="00A23740">
              <w:rPr>
                <w:rFonts w:eastAsia="Times New Roman"/>
                <w:b/>
                <w:bCs/>
                <w:color w:val="0000FF"/>
                <w:szCs w:val="24"/>
                <w:lang w:eastAsia="x-none"/>
              </w:rPr>
              <w:t>hükümlerinin uygulanacağı diğer hâller</w:t>
            </w:r>
          </w:p>
          <w:p w:rsidR="00CA460F" w:rsidRPr="00F257EC" w:rsidRDefault="00BC725A" w:rsidP="009431FF">
            <w:pPr>
              <w:rPr>
                <w:rFonts w:eastAsia="Times New Roman"/>
                <w:b/>
                <w:color w:val="0000FF"/>
                <w:szCs w:val="24"/>
              </w:rPr>
            </w:pPr>
            <w:r w:rsidRPr="005A4748">
              <w:rPr>
                <w:rFonts w:eastAsia="Times New Roman"/>
                <w:b/>
                <w:bCs/>
                <w:color w:val="000000" w:themeColor="text1"/>
                <w:szCs w:val="24"/>
                <w:lang w:eastAsia="x-none"/>
              </w:rPr>
              <w:t xml:space="preserve">MADDE </w:t>
            </w:r>
            <w:r w:rsidRPr="00A23740">
              <w:rPr>
                <w:rFonts w:eastAsia="Times New Roman"/>
                <w:b/>
                <w:bCs/>
                <w:color w:val="0000FF"/>
                <w:szCs w:val="24"/>
                <w:lang w:eastAsia="x-none"/>
              </w:rPr>
              <w:t>509</w:t>
            </w:r>
            <w:r w:rsidR="00A46C6E" w:rsidRPr="00A23740">
              <w:rPr>
                <w:rFonts w:eastAsia="Times New Roman"/>
                <w:b/>
                <w:bCs/>
                <w:color w:val="0000FF"/>
                <w:szCs w:val="24"/>
                <w:lang w:eastAsia="x-none"/>
              </w:rPr>
              <w:t xml:space="preserve">- </w:t>
            </w:r>
            <w:r w:rsidR="00CA460F" w:rsidRPr="005A4748">
              <w:t>(1)</w:t>
            </w:r>
            <w:r w:rsidR="00CA460F" w:rsidRPr="00F257EC">
              <w:rPr>
                <w:rFonts w:eastAsia="Times New Roman"/>
                <w:b/>
                <w:color w:val="0000FF"/>
                <w:szCs w:val="24"/>
              </w:rPr>
              <w:t xml:space="preserve"> Bu kısım hükümleri, Türk Ticaret Kanunun Beşinci Kitabındaki düzenlemelerin dışında kalan hapis haklarının takibinde de uygulanır.</w:t>
            </w:r>
          </w:p>
          <w:p w:rsidR="00CA460F" w:rsidRPr="00A23740" w:rsidRDefault="00CA460F" w:rsidP="009431FF">
            <w:pPr>
              <w:rPr>
                <w:rFonts w:eastAsia="Times New Roman"/>
                <w:szCs w:val="24"/>
              </w:rPr>
            </w:pPr>
          </w:p>
        </w:tc>
      </w:tr>
      <w:tr w:rsidR="00A46C6E" w:rsidRPr="00A23740" w:rsidTr="009431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shd w:val="clear" w:color="auto" w:fill="DEEAF6"/>
          </w:tcPr>
          <w:p w:rsidR="00A46C6E" w:rsidRPr="00A23740" w:rsidRDefault="00A46C6E" w:rsidP="009431FF">
            <w:pPr>
              <w:ind w:firstLine="709"/>
              <w:rPr>
                <w:rFonts w:eastAsia="Times New Roman"/>
                <w:b/>
                <w:szCs w:val="24"/>
              </w:rPr>
            </w:pPr>
            <w:bookmarkStart w:id="100" w:name="_Hlk134343504"/>
          </w:p>
          <w:p w:rsidR="00A46C6E" w:rsidRPr="00F257EC" w:rsidRDefault="00BC725A" w:rsidP="009431FF">
            <w:pPr>
              <w:ind w:firstLine="709"/>
              <w:rPr>
                <w:rFonts w:eastAsia="Times New Roman"/>
                <w:b/>
                <w:bCs/>
                <w:szCs w:val="24"/>
                <w:lang w:eastAsia="x-none"/>
              </w:rPr>
            </w:pPr>
            <w:r w:rsidRPr="00A23740">
              <w:rPr>
                <w:rFonts w:eastAsia="Times New Roman"/>
                <w:b/>
                <w:bCs/>
                <w:szCs w:val="24"/>
                <w:lang w:eastAsia="tr-TR"/>
              </w:rPr>
              <w:t>MADDE 509</w:t>
            </w:r>
            <w:r w:rsidR="00A46C6E" w:rsidRPr="00A23740">
              <w:rPr>
                <w:rFonts w:eastAsia="Times New Roman"/>
                <w:b/>
                <w:bCs/>
                <w:szCs w:val="24"/>
                <w:lang w:eastAsia="tr-TR"/>
              </w:rPr>
              <w:t xml:space="preserve">- </w:t>
            </w:r>
            <w:bookmarkStart w:id="101" w:name="_Hlk172877712"/>
            <w:r w:rsidR="00A46C6E" w:rsidRPr="00F257EC">
              <w:rPr>
                <w:rStyle w:val="YELChar"/>
                <w:b w:val="0"/>
                <w:color w:val="auto"/>
              </w:rPr>
              <w:t>Maddeyle, 6102 sayılı Kanunun Beşinci Kitap dışındaki hükümleri uyarınca alacaklının sahip olduğu hapis haklarının takibinde uygulanacak hükümler düzenlenmektedir.</w:t>
            </w:r>
          </w:p>
          <w:bookmarkEnd w:id="101"/>
          <w:p w:rsidR="00A46C6E" w:rsidRPr="00A23740" w:rsidRDefault="00A46C6E" w:rsidP="009431FF">
            <w:pPr>
              <w:ind w:firstLine="709"/>
              <w:rPr>
                <w:rFonts w:eastAsia="Times New Roman"/>
                <w:bCs/>
                <w:szCs w:val="24"/>
                <w:lang w:eastAsia="x-none"/>
              </w:rPr>
            </w:pPr>
            <w:r w:rsidRPr="00A23740">
              <w:rPr>
                <w:rFonts w:eastAsia="Times New Roman"/>
                <w:bCs/>
                <w:szCs w:val="24"/>
                <w:lang w:eastAsia="x-none"/>
              </w:rPr>
              <w:t>6102 sayılı Kanunun Deniz Ticareti kitabındaki hükümler yanında “Taşıma İşleri” başlıklı Dör</w:t>
            </w:r>
            <w:r w:rsidR="00DA2416">
              <w:rPr>
                <w:rFonts w:eastAsia="Times New Roman"/>
                <w:bCs/>
                <w:szCs w:val="24"/>
                <w:lang w:eastAsia="x-none"/>
              </w:rPr>
              <w:t>düncü Kitabında yer alan 891 ila</w:t>
            </w:r>
            <w:r w:rsidRPr="00A23740">
              <w:rPr>
                <w:rFonts w:eastAsia="Times New Roman"/>
                <w:bCs/>
                <w:szCs w:val="24"/>
                <w:lang w:eastAsia="x-none"/>
              </w:rPr>
              <w:t xml:space="preserve"> 893 üncü maddeler, 913 üncü, 923 üncü ve 925 inci maddelerinde alacak</w:t>
            </w:r>
            <w:r w:rsidR="00BC1058" w:rsidRPr="00A23740">
              <w:rPr>
                <w:rFonts w:eastAsia="Times New Roman"/>
                <w:bCs/>
                <w:szCs w:val="24"/>
                <w:lang w:eastAsia="x-none"/>
              </w:rPr>
              <w:t xml:space="preserve">lının eşya üzerinde </w:t>
            </w:r>
            <w:r w:rsidR="000F4080" w:rsidRPr="00F257EC">
              <w:rPr>
                <w:rStyle w:val="KonuBalChar"/>
                <w:rFonts w:eastAsia="ヒラギノ明朝 Pro W3"/>
                <w:b w:val="0"/>
                <w:color w:val="auto"/>
              </w:rPr>
              <w:t>4721 sayılı Kanunun</w:t>
            </w:r>
            <w:r w:rsidR="00DA2416">
              <w:rPr>
                <w:rStyle w:val="YELChar"/>
                <w:b w:val="0"/>
                <w:color w:val="auto"/>
              </w:rPr>
              <w:t xml:space="preserve"> 950 ila</w:t>
            </w:r>
            <w:r w:rsidR="00BC1058" w:rsidRPr="00F257EC">
              <w:rPr>
                <w:rStyle w:val="YELChar"/>
                <w:b w:val="0"/>
                <w:color w:val="auto"/>
              </w:rPr>
              <w:t xml:space="preserve"> 953 üncü maddeleri</w:t>
            </w:r>
            <w:r w:rsidR="00BC1058" w:rsidRPr="00A23740">
              <w:rPr>
                <w:rFonts w:eastAsia="Times New Roman"/>
                <w:bCs/>
                <w:szCs w:val="24"/>
                <w:lang w:eastAsia="x-none"/>
              </w:rPr>
              <w:t xml:space="preserve"> </w:t>
            </w:r>
            <w:r w:rsidRPr="00A23740">
              <w:rPr>
                <w:rFonts w:eastAsia="Times New Roman"/>
                <w:bCs/>
                <w:szCs w:val="24"/>
                <w:lang w:eastAsia="x-none"/>
              </w:rPr>
              <w:t>uyarınca hapis hakkına sahip olduğu öngörülmüştür. Ayrıca 6102 sayılı Kanunun 119 uncu maddesinin birinci fıkrasına göre acentenin hangi alacakları için hangi eşya üzerinde hapis hakkına sahip olduğu düzenlenmiştir.</w:t>
            </w:r>
          </w:p>
          <w:p w:rsidR="00A46C6E" w:rsidRPr="002A27F8" w:rsidRDefault="00A46C6E" w:rsidP="002A27F8">
            <w:pPr>
              <w:ind w:firstLine="709"/>
              <w:rPr>
                <w:rFonts w:eastAsia="Times New Roman"/>
                <w:bCs/>
                <w:szCs w:val="24"/>
                <w:lang w:eastAsia="x-none"/>
              </w:rPr>
            </w:pPr>
            <w:r w:rsidRPr="00A23740">
              <w:rPr>
                <w:rFonts w:eastAsia="Times New Roman"/>
                <w:bCs/>
                <w:szCs w:val="24"/>
                <w:lang w:eastAsia="x-none"/>
              </w:rPr>
              <w:t>6102 sayılı Kanunun “Hapis hakkı için defter tutulması” kenar başlıklı 1398 inci maddesinin birinci fıkrasında</w:t>
            </w:r>
            <w:r w:rsidR="005F5F0D" w:rsidRPr="00A23740">
              <w:rPr>
                <w:rFonts w:eastAsia="Times New Roman"/>
                <w:bCs/>
                <w:szCs w:val="24"/>
                <w:lang w:eastAsia="x-none"/>
              </w:rPr>
              <w:t>,</w:t>
            </w:r>
            <w:r w:rsidRPr="00A23740">
              <w:rPr>
                <w:rFonts w:eastAsia="Times New Roman"/>
                <w:bCs/>
                <w:szCs w:val="24"/>
                <w:lang w:eastAsia="x-none"/>
              </w:rPr>
              <w:t xml:space="preserve"> “İcra ve İflas Kanununun 270 ve 271 inci maddeleri, bu Kanun hükümleri uyarınca eşya üzerinde doğan hapis hakkının paraya çevrilmesinde de uygulanır.” hükmü yer almaktadır. Bu hükümde “… </w:t>
            </w:r>
            <w:r w:rsidRPr="00A23740">
              <w:rPr>
                <w:rFonts w:eastAsia="Times New Roman"/>
                <w:bCs/>
                <w:i/>
                <w:iCs/>
                <w:szCs w:val="24"/>
                <w:lang w:eastAsia="x-none"/>
              </w:rPr>
              <w:t>bu Kitap hükümleri uyarınca</w:t>
            </w:r>
            <w:r w:rsidRPr="00A23740">
              <w:rPr>
                <w:rFonts w:eastAsia="Times New Roman"/>
                <w:bCs/>
                <w:szCs w:val="24"/>
                <w:lang w:eastAsia="x-none"/>
              </w:rPr>
              <w:t xml:space="preserve"> …” denilmesi gerekirken “… </w:t>
            </w:r>
            <w:r w:rsidRPr="00A23740">
              <w:rPr>
                <w:rFonts w:eastAsia="Times New Roman"/>
                <w:bCs/>
                <w:i/>
                <w:iCs/>
                <w:szCs w:val="24"/>
                <w:lang w:eastAsia="x-none"/>
              </w:rPr>
              <w:t>bu Kanun hükümleri uyarınca</w:t>
            </w:r>
            <w:r w:rsidRPr="00A23740">
              <w:rPr>
                <w:rFonts w:eastAsia="Times New Roman"/>
                <w:bCs/>
                <w:szCs w:val="24"/>
                <w:lang w:eastAsia="x-none"/>
              </w:rPr>
              <w:t xml:space="preserve"> …” denilmiş; böylece eşya üzerinde doğan hapis haklarına ilişkin “Deniz Ticareti” başlıklı Beşinci Kitabın düzenleme alanını aşan bir hüküm getirilmiştir. Taslağın Deniz İcra Kitabında eşya üzerinde hapis hakkına ilişkin düzenleme, olması gerektiği gibi 6102 sayılı Kanunun Deniz Ticareti Kitabı hükümleri</w:t>
            </w:r>
            <w:r w:rsidR="005F5F0D" w:rsidRPr="00A23740">
              <w:rPr>
                <w:rFonts w:eastAsia="Times New Roman"/>
                <w:bCs/>
                <w:szCs w:val="24"/>
                <w:lang w:eastAsia="x-none"/>
              </w:rPr>
              <w:t>yle</w:t>
            </w:r>
            <w:r w:rsidRPr="00A23740">
              <w:rPr>
                <w:rFonts w:eastAsia="Times New Roman"/>
                <w:bCs/>
                <w:szCs w:val="24"/>
                <w:lang w:eastAsia="x-none"/>
              </w:rPr>
              <w:t xml:space="preserve"> sınırlı tutulmuştur. Bu durum, 6102 sayılı Kanunun 119 uncu maddesinin birinci fıkrası</w:t>
            </w:r>
            <w:r w:rsidR="00BC1058" w:rsidRPr="00DA2416">
              <w:rPr>
                <w:rStyle w:val="YELChar"/>
                <w:b w:val="0"/>
                <w:color w:val="000000" w:themeColor="text1"/>
              </w:rPr>
              <w:t>,</w:t>
            </w:r>
            <w:r w:rsidR="00DA2416">
              <w:rPr>
                <w:rFonts w:eastAsia="Times New Roman"/>
                <w:bCs/>
                <w:szCs w:val="24"/>
                <w:lang w:eastAsia="x-none"/>
              </w:rPr>
              <w:t xml:space="preserve"> 891 ila</w:t>
            </w:r>
            <w:r w:rsidRPr="00A23740">
              <w:rPr>
                <w:rFonts w:eastAsia="Times New Roman"/>
                <w:bCs/>
                <w:szCs w:val="24"/>
                <w:lang w:eastAsia="x-none"/>
              </w:rPr>
              <w:t xml:space="preserve"> 893 üncü, 913 üncü, 923 üncü ve 925 inci maddeleri uyarınca alacaklının sahip olduğu hapis hakkının takibi hususunda boşluk yaratacağından</w:t>
            </w:r>
            <w:r w:rsidR="005F5F0D" w:rsidRPr="00A23740">
              <w:rPr>
                <w:rFonts w:eastAsia="Times New Roman"/>
                <w:bCs/>
                <w:szCs w:val="24"/>
                <w:lang w:eastAsia="x-none"/>
              </w:rPr>
              <w:t>,</w:t>
            </w:r>
            <w:r w:rsidRPr="00A23740">
              <w:rPr>
                <w:rFonts w:eastAsia="Times New Roman"/>
                <w:bCs/>
                <w:szCs w:val="24"/>
                <w:lang w:eastAsia="x-none"/>
              </w:rPr>
              <w:t xml:space="preserve"> “</w:t>
            </w:r>
            <w:r w:rsidR="00BC1058" w:rsidRPr="00A23740">
              <w:rPr>
                <w:rFonts w:eastAsia="Times New Roman"/>
                <w:bCs/>
                <w:i/>
                <w:szCs w:val="24"/>
                <w:lang w:eastAsia="x-none"/>
              </w:rPr>
              <w:t>Bu Kısım hükümleri, Türk Ticaret Kanununun Beşinci Kitabı dışındaki hükümlerinde düzenlenmiş olan hapis haklarının takibinde de uygulanır.</w:t>
            </w:r>
            <w:r w:rsidRPr="00A23740">
              <w:rPr>
                <w:rFonts w:eastAsia="Times New Roman"/>
                <w:bCs/>
                <w:szCs w:val="24"/>
                <w:lang w:eastAsia="x-none"/>
              </w:rPr>
              <w:t xml:space="preserve">” hükmüne yer verilmesi gerekli görülmüştür. </w:t>
            </w:r>
            <w:bookmarkEnd w:id="100"/>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6996"/>
      </w:tblGrid>
      <w:tr w:rsidR="00A043AD" w:rsidRPr="00A23740" w:rsidTr="00750F08">
        <w:tc>
          <w:tcPr>
            <w:tcW w:w="2500" w:type="pct"/>
          </w:tcPr>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Yükümlülüklerin yerine getirilmemesi:</w:t>
            </w:r>
          </w:p>
          <w:p w:rsidR="00A043AD" w:rsidRPr="00A23740" w:rsidRDefault="00A043AD" w:rsidP="00750F08">
            <w:pPr>
              <w:rPr>
                <w:rFonts w:eastAsia="Times New Roman"/>
                <w:color w:val="000000"/>
                <w:szCs w:val="24"/>
                <w:lang w:eastAsia="tr-TR"/>
              </w:rPr>
            </w:pPr>
            <w:r w:rsidRPr="00A23740">
              <w:rPr>
                <w:rFonts w:eastAsia="Times New Roman"/>
                <w:b/>
                <w:strike/>
                <w:color w:val="FF0000"/>
                <w:szCs w:val="24"/>
                <w:lang w:eastAsia="tr-TR"/>
              </w:rPr>
              <w:t>Madde 337- (1) (İptal birinci fıkra: Anayasa Mahkemesi’nin 28/2/2008 tarihli ve  E.: 2006/71, K.: 2008/69 sayılı Kararı ile.) İPTAL EDİLEN FIKRA: Müddeti içinde beyanda bulunmak üzere mazereti olmaksızın icra dairesine gelmeyen veya yazılı beyanda bulunmayan borçlu, alacaklının şikâyeti üzerine, on gün disiplin hapsi ile cezalandırılır. Alacaklının alacağını karşılayacak miktarda malın haczedilmesi veya borcun ödenmesi hâlinde, bu ceza düşer.</w:t>
            </w:r>
          </w:p>
          <w:p w:rsidR="00A043AD" w:rsidRPr="00A23740" w:rsidRDefault="00A043AD" w:rsidP="00750F08">
            <w:pPr>
              <w:rPr>
                <w:rFonts w:eastAsia="Times New Roman"/>
                <w:color w:val="000000"/>
                <w:szCs w:val="24"/>
                <w:lang w:eastAsia="tr-TR"/>
              </w:rPr>
            </w:pPr>
          </w:p>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Hapis ile tazyik:</w:t>
            </w:r>
          </w:p>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 xml:space="preserve">Madde 76 – </w:t>
            </w:r>
            <w:r w:rsidRPr="00A23740">
              <w:rPr>
                <w:rFonts w:eastAsia="Times New Roman"/>
                <w:b/>
                <w:bCs/>
                <w:strike/>
                <w:color w:val="FF0000"/>
                <w:szCs w:val="24"/>
                <w:lang w:eastAsia="x-none"/>
              </w:rPr>
              <w:t>(1)</w:t>
            </w:r>
            <w:r w:rsidRPr="00A23740">
              <w:rPr>
                <w:rFonts w:eastAsia="Times New Roman"/>
                <w:b/>
                <w:strike/>
                <w:color w:val="FF0000"/>
                <w:szCs w:val="24"/>
                <w:lang w:eastAsia="tr-TR"/>
              </w:rPr>
              <w:t xml:space="preserve"> (Değişik: 24/5/1962-51/ 1md.) Mal beyanında bulunmıyan borçlu, alacaklının talebi üzerine beyanda bulununcaya kadar icra mahkemesi hakimi tarafından bir defaya mahsus olmak üzere hapisle tazyik olunur. Ancak bu hapis üç ayı geçemez.</w:t>
            </w:r>
          </w:p>
          <w:p w:rsidR="00A043AD" w:rsidRPr="00A23740" w:rsidRDefault="00A043AD" w:rsidP="00750F08">
            <w:pPr>
              <w:rPr>
                <w:rFonts w:eastAsia="Times New Roman"/>
                <w:color w:val="000000"/>
                <w:szCs w:val="24"/>
                <w:lang w:eastAsia="tr-TR"/>
              </w:rPr>
            </w:pPr>
          </w:p>
          <w:p w:rsidR="00A043AD" w:rsidRPr="00A23740" w:rsidRDefault="00A043AD" w:rsidP="00750F08">
            <w:pPr>
              <w:rPr>
                <w:rFonts w:eastAsia="Times New Roman"/>
                <w:b/>
                <w:strike/>
                <w:color w:val="FF0000"/>
                <w:szCs w:val="24"/>
                <w:lang w:eastAsia="x-none"/>
              </w:rPr>
            </w:pPr>
            <w:r w:rsidRPr="00A23740">
              <w:rPr>
                <w:rFonts w:eastAsia="Times New Roman"/>
                <w:b/>
                <w:bCs/>
                <w:strike/>
                <w:color w:val="FF0000"/>
                <w:szCs w:val="24"/>
                <w:lang w:eastAsia="x-none"/>
              </w:rPr>
              <w:t>(2)</w:t>
            </w:r>
            <w:r w:rsidRPr="00A23740">
              <w:rPr>
                <w:rFonts w:eastAsia="Times New Roman"/>
                <w:b/>
                <w:strike/>
                <w:color w:val="FF0000"/>
                <w:szCs w:val="24"/>
                <w:lang w:eastAsia="tr-TR"/>
              </w:rPr>
              <w:t xml:space="preserve"> </w:t>
            </w:r>
            <w:r w:rsidRPr="00A23740">
              <w:rPr>
                <w:rFonts w:eastAsia="Times New Roman"/>
                <w:b/>
                <w:strike/>
                <w:color w:val="FF0000"/>
                <w:szCs w:val="24"/>
                <w:lang w:eastAsia="x-none"/>
              </w:rPr>
              <w:t>162, 209 ve 216 ncı maddeler hükümlerine muhalefet edenler hakkında da iflas idaresinin vereceği müzekkere üzerine, aynı ceza verilir. Bu maddelerde belirtilen yükümlülüklerin yerine getirilmesi hâlinde, verilen ceza düşer.</w:t>
            </w:r>
          </w:p>
          <w:p w:rsidR="00A043AD" w:rsidRPr="00A23740" w:rsidRDefault="00A043AD" w:rsidP="00750F08">
            <w:pPr>
              <w:tabs>
                <w:tab w:val="left" w:pos="567"/>
              </w:tabs>
              <w:rPr>
                <w:rFonts w:eastAsia="Times New Roman"/>
                <w:b/>
                <w:bCs/>
                <w:strike/>
                <w:color w:val="FF0000"/>
                <w:szCs w:val="24"/>
                <w:lang w:eastAsia="x-none"/>
              </w:rPr>
            </w:pPr>
          </w:p>
          <w:p w:rsidR="00A043AD" w:rsidRPr="00A23740" w:rsidRDefault="00A043AD" w:rsidP="00750F08">
            <w:pPr>
              <w:tabs>
                <w:tab w:val="left" w:pos="567"/>
              </w:tabs>
              <w:rPr>
                <w:rFonts w:eastAsia="Times New Roman"/>
                <w:b/>
                <w:bCs/>
                <w:strike/>
                <w:color w:val="FF0000"/>
                <w:szCs w:val="24"/>
                <w:lang w:eastAsia="x-none"/>
              </w:rPr>
            </w:pPr>
          </w:p>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Beyandan sonra mal ve kazançta olan tezayüdü bildirmeyen borçlunun cezası:</w:t>
            </w:r>
          </w:p>
          <w:p w:rsidR="00A043AD" w:rsidRPr="00A23740" w:rsidRDefault="00A043AD" w:rsidP="00750F08">
            <w:pPr>
              <w:tabs>
                <w:tab w:val="left" w:pos="567"/>
              </w:tabs>
              <w:rPr>
                <w:rFonts w:eastAsia="Times New Roman"/>
                <w:bCs/>
                <w:szCs w:val="24"/>
                <w:lang w:eastAsia="x-none"/>
              </w:rPr>
            </w:pPr>
            <w:r w:rsidRPr="00A23740">
              <w:rPr>
                <w:rFonts w:eastAsia="Times New Roman"/>
                <w:b/>
                <w:bCs/>
                <w:strike/>
                <w:color w:val="FF0000"/>
                <w:szCs w:val="24"/>
                <w:lang w:eastAsia="x-none"/>
              </w:rPr>
              <w:t>Madde 339 –</w:t>
            </w:r>
            <w:r w:rsidRPr="005A4748">
              <w:rPr>
                <w:rStyle w:val="KIRMIZIChar"/>
                <w:rFonts w:eastAsia="Calibri"/>
              </w:rPr>
              <w:t xml:space="preserve"> (1) (</w:t>
            </w:r>
            <w:r w:rsidRPr="00A23740">
              <w:rPr>
                <w:rFonts w:eastAsia="Times New Roman"/>
                <w:b/>
                <w:bCs/>
                <w:strike/>
                <w:color w:val="FF0000"/>
                <w:szCs w:val="24"/>
                <w:lang w:eastAsia="x-none"/>
              </w:rPr>
              <w:t>Değişik: 31/5/2005-5358/10 md.)</w:t>
            </w:r>
            <w:r w:rsidRPr="00A23740">
              <w:rPr>
                <w:rFonts w:eastAsia="Times New Roman"/>
                <w:b/>
                <w:bCs/>
                <w:color w:val="FF0000"/>
                <w:szCs w:val="24"/>
                <w:lang w:eastAsia="x-none"/>
              </w:rPr>
              <w:t xml:space="preserve"> </w:t>
            </w:r>
            <w:r w:rsidRPr="00A23740">
              <w:rPr>
                <w:rFonts w:eastAsia="Times New Roman"/>
                <w:bCs/>
                <w:szCs w:val="24"/>
                <w:lang w:eastAsia="x-none"/>
              </w:rPr>
              <w:t xml:space="preserve">Sonradan kazandığı malları veya kazancında ve gelirinde </w:t>
            </w:r>
            <w:r w:rsidRPr="00A23740">
              <w:rPr>
                <w:rFonts w:eastAsia="Times New Roman"/>
                <w:b/>
                <w:bCs/>
                <w:strike/>
                <w:color w:val="FF0000"/>
                <w:szCs w:val="24"/>
                <w:lang w:eastAsia="x-none"/>
              </w:rPr>
              <w:t>vaki tezayütleri bu Kanun mucibince bildirmeye mecbur</w:t>
            </w:r>
            <w:r w:rsidRPr="00A23740">
              <w:rPr>
                <w:rFonts w:eastAsia="Times New Roman"/>
                <w:b/>
                <w:bCs/>
                <w:color w:val="FF0000"/>
                <w:szCs w:val="24"/>
                <w:lang w:eastAsia="x-none"/>
              </w:rPr>
              <w:t xml:space="preserve"> </w:t>
            </w:r>
            <w:r w:rsidRPr="00D84CCE">
              <w:rPr>
                <w:rStyle w:val="KIRMIZIChar"/>
                <w:rFonts w:eastAsia="Calibri"/>
              </w:rPr>
              <w:t>olan borçlu</w:t>
            </w:r>
            <w:r w:rsidRPr="00D84CCE">
              <w:rPr>
                <w:rFonts w:eastAsia="Times New Roman"/>
                <w:b/>
                <w:bCs/>
                <w:color w:val="FF0000"/>
                <w:szCs w:val="24"/>
                <w:lang w:eastAsia="x-none"/>
              </w:rPr>
              <w:t xml:space="preserve"> </w:t>
            </w:r>
            <w:r w:rsidRPr="00A23740">
              <w:rPr>
                <w:rFonts w:eastAsia="Times New Roman"/>
                <w:b/>
                <w:bCs/>
                <w:strike/>
                <w:color w:val="FF0000"/>
                <w:szCs w:val="24"/>
                <w:lang w:eastAsia="x-none"/>
              </w:rPr>
              <w:t>makbul</w:t>
            </w:r>
            <w:r w:rsidRPr="00A23740">
              <w:rPr>
                <w:rFonts w:eastAsia="Times New Roman"/>
                <w:bCs/>
                <w:szCs w:val="24"/>
                <w:lang w:eastAsia="x-none"/>
              </w:rPr>
              <w:t xml:space="preserve"> bir mazereti olmaksızın </w:t>
            </w:r>
            <w:r w:rsidRPr="00A23740">
              <w:rPr>
                <w:rFonts w:eastAsia="Times New Roman"/>
                <w:b/>
                <w:bCs/>
                <w:strike/>
                <w:color w:val="FF0000"/>
                <w:szCs w:val="24"/>
                <w:lang w:eastAsia="x-none"/>
              </w:rPr>
              <w:t>yedi gün</w:t>
            </w:r>
            <w:r w:rsidRPr="00A23740">
              <w:rPr>
                <w:rFonts w:eastAsia="Times New Roman"/>
                <w:bCs/>
                <w:szCs w:val="24"/>
                <w:lang w:eastAsia="x-none"/>
              </w:rPr>
              <w:t xml:space="preserve"> içinde icra dairesine </w:t>
            </w:r>
            <w:r w:rsidRPr="00A23740">
              <w:rPr>
                <w:rFonts w:eastAsia="Times New Roman"/>
                <w:b/>
                <w:bCs/>
                <w:strike/>
                <w:color w:val="FF0000"/>
                <w:szCs w:val="24"/>
                <w:lang w:eastAsia="x-none"/>
              </w:rPr>
              <w:t>taahhütlü mektupla veya şifahi surette</w:t>
            </w:r>
            <w:r w:rsidRPr="00A23740">
              <w:rPr>
                <w:rFonts w:eastAsia="Times New Roman"/>
                <w:bCs/>
                <w:szCs w:val="24"/>
                <w:lang w:eastAsia="x-none"/>
              </w:rPr>
              <w:t xml:space="preserve"> bildirmezse</w:t>
            </w:r>
            <w:r w:rsidRPr="00A23740">
              <w:rPr>
                <w:rFonts w:eastAsia="Times New Roman"/>
                <w:b/>
                <w:bCs/>
                <w:color w:val="FF0000"/>
                <w:szCs w:val="24"/>
                <w:lang w:eastAsia="x-none"/>
              </w:rPr>
              <w:t xml:space="preserve"> </w:t>
            </w:r>
            <w:r w:rsidRPr="00A23740">
              <w:rPr>
                <w:rFonts w:eastAsia="Times New Roman"/>
                <w:b/>
                <w:bCs/>
                <w:strike/>
                <w:color w:val="FF0000"/>
                <w:szCs w:val="24"/>
                <w:lang w:eastAsia="x-none"/>
              </w:rPr>
              <w:t>ve bu mal veya kazancı asıl veya bedel itibariyle mevcut olduğu takdirde,</w:t>
            </w:r>
            <w:r w:rsidRPr="00A23740">
              <w:rPr>
                <w:rFonts w:eastAsia="Times New Roman"/>
                <w:b/>
                <w:bCs/>
                <w:color w:val="FF0000"/>
                <w:szCs w:val="24"/>
                <w:lang w:eastAsia="x-none"/>
              </w:rPr>
              <w:t xml:space="preserve"> </w:t>
            </w:r>
            <w:r w:rsidRPr="00A23740">
              <w:rPr>
                <w:rFonts w:eastAsia="Times New Roman"/>
                <w:szCs w:val="24"/>
                <w:lang w:eastAsia="x-none"/>
              </w:rPr>
              <w:t>on gün</w:t>
            </w:r>
            <w:r w:rsidRPr="00A23740">
              <w:rPr>
                <w:rFonts w:eastAsia="Times New Roman"/>
                <w:b/>
                <w:bCs/>
                <w:strike/>
                <w:color w:val="FF0000"/>
                <w:szCs w:val="24"/>
                <w:lang w:eastAsia="x-none"/>
              </w:rPr>
              <w:t>; mal veya kazancını asıl veya bedel itibariyle makbul bir sebep olmaksızın elden çıkarmışsa, bir aya kadar</w:t>
            </w:r>
            <w:r w:rsidRPr="00A23740">
              <w:rPr>
                <w:rFonts w:eastAsia="Times New Roman"/>
                <w:bCs/>
                <w:szCs w:val="24"/>
                <w:lang w:eastAsia="x-none"/>
              </w:rPr>
              <w:t xml:space="preserve"> disiplin </w:t>
            </w:r>
            <w:r w:rsidRPr="00A23740">
              <w:rPr>
                <w:rFonts w:eastAsia="Times New Roman"/>
                <w:b/>
                <w:bCs/>
                <w:strike/>
                <w:color w:val="FF0000"/>
                <w:szCs w:val="24"/>
                <w:lang w:eastAsia="x-none"/>
              </w:rPr>
              <w:t>hapsi ile</w:t>
            </w:r>
            <w:r w:rsidRPr="00A23740">
              <w:rPr>
                <w:rFonts w:eastAsia="Times New Roman"/>
                <w:bCs/>
                <w:szCs w:val="24"/>
                <w:lang w:eastAsia="x-none"/>
              </w:rPr>
              <w:t xml:space="preserve"> cezalandırılır.</w:t>
            </w:r>
          </w:p>
          <w:p w:rsidR="00A043AD" w:rsidRPr="00A23740" w:rsidRDefault="00A043AD" w:rsidP="00750F08">
            <w:pPr>
              <w:tabs>
                <w:tab w:val="left" w:pos="567"/>
              </w:tabs>
              <w:rPr>
                <w:rFonts w:eastAsia="Times New Roman"/>
                <w:bCs/>
                <w:szCs w:val="24"/>
                <w:lang w:eastAsia="x-none"/>
              </w:rPr>
            </w:pPr>
          </w:p>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(2) Bu cezalara</w:t>
            </w:r>
            <w:r w:rsidRPr="00A23740">
              <w:rPr>
                <w:rFonts w:eastAsia="Times New Roman"/>
                <w:b/>
                <w:bCs/>
                <w:color w:val="FF0000"/>
                <w:szCs w:val="24"/>
                <w:lang w:eastAsia="x-none"/>
              </w:rPr>
              <w:t xml:space="preserve"> </w:t>
            </w:r>
            <w:r w:rsidRPr="00A06764">
              <w:rPr>
                <w:rStyle w:val="KIRMIZIChar"/>
                <w:rFonts w:eastAsia="Calibri"/>
              </w:rPr>
              <w:t>alacaklının şikâyeti üzerine</w:t>
            </w:r>
            <w:r w:rsidRPr="00A23740">
              <w:rPr>
                <w:rFonts w:eastAsia="Times New Roman"/>
                <w:b/>
                <w:bCs/>
                <w:color w:val="000000"/>
                <w:szCs w:val="24"/>
                <w:lang w:eastAsia="x-none"/>
              </w:rPr>
              <w:t xml:space="preserve"> </w:t>
            </w:r>
            <w:r w:rsidRPr="00A23740">
              <w:rPr>
                <w:rFonts w:eastAsia="Times New Roman"/>
                <w:b/>
                <w:bCs/>
                <w:strike/>
                <w:color w:val="FF0000"/>
                <w:szCs w:val="24"/>
                <w:lang w:eastAsia="x-none"/>
              </w:rPr>
              <w:t>karar verilir. Kişi, icra takibine konu olan borcu tamamen ödediği takdirde, bu ceza düşer.</w:t>
            </w:r>
          </w:p>
          <w:p w:rsidR="00A043AD" w:rsidRPr="00A23740" w:rsidRDefault="00A043AD" w:rsidP="00750F08">
            <w:pPr>
              <w:tabs>
                <w:tab w:val="left" w:pos="567"/>
              </w:tabs>
              <w:rPr>
                <w:rFonts w:eastAsia="Times New Roman"/>
                <w:b/>
                <w:bCs/>
                <w:strike/>
                <w:color w:val="FF0000"/>
                <w:szCs w:val="24"/>
                <w:lang w:eastAsia="x-none"/>
              </w:rPr>
            </w:pPr>
          </w:p>
        </w:tc>
        <w:tc>
          <w:tcPr>
            <w:tcW w:w="2500" w:type="pct"/>
          </w:tcPr>
          <w:p w:rsidR="0092010F" w:rsidRPr="00A23740" w:rsidRDefault="0092010F" w:rsidP="000178F0">
            <w:pPr>
              <w:rPr>
                <w:rFonts w:eastAsia="Times New Roman"/>
                <w:b/>
                <w:bCs/>
                <w:color w:val="0000FF"/>
                <w:szCs w:val="24"/>
                <w:lang w:eastAsia="x-none"/>
              </w:rPr>
            </w:pPr>
          </w:p>
          <w:p w:rsidR="00A043AD" w:rsidRPr="00A23740" w:rsidRDefault="00A043AD" w:rsidP="00750F08">
            <w:pPr>
              <w:jc w:val="center"/>
              <w:rPr>
                <w:rFonts w:eastAsia="Times New Roman"/>
                <w:b/>
                <w:bCs/>
                <w:color w:val="0000FF"/>
                <w:szCs w:val="24"/>
                <w:lang w:eastAsia="x-none"/>
              </w:rPr>
            </w:pPr>
            <w:r w:rsidRPr="00A23740">
              <w:rPr>
                <w:rFonts w:eastAsia="Times New Roman"/>
                <w:b/>
                <w:bCs/>
                <w:color w:val="0000FF"/>
                <w:szCs w:val="24"/>
                <w:lang w:eastAsia="x-none"/>
              </w:rPr>
              <w:t>BEŞİNCİ KİTAP</w:t>
            </w:r>
          </w:p>
          <w:p w:rsidR="00A043AD" w:rsidRPr="00A23740" w:rsidRDefault="00A043AD" w:rsidP="00750F08">
            <w:pPr>
              <w:jc w:val="center"/>
              <w:rPr>
                <w:rFonts w:eastAsia="Times New Roman"/>
                <w:b/>
                <w:bCs/>
                <w:color w:val="0000FF"/>
                <w:szCs w:val="24"/>
                <w:lang w:eastAsia="x-none"/>
              </w:rPr>
            </w:pPr>
            <w:r w:rsidRPr="00A23740">
              <w:rPr>
                <w:rFonts w:eastAsia="Times New Roman"/>
                <w:b/>
                <w:bCs/>
                <w:color w:val="0000FF"/>
                <w:szCs w:val="24"/>
                <w:lang w:eastAsia="x-none"/>
              </w:rPr>
              <w:t>CEZA HÜKÜMLERİ</w:t>
            </w:r>
          </w:p>
          <w:p w:rsidR="00A043AD" w:rsidRPr="00A23740" w:rsidRDefault="00A043AD" w:rsidP="00750F08">
            <w:pPr>
              <w:jc w:val="left"/>
              <w:rPr>
                <w:rFonts w:eastAsia="Times New Roman"/>
                <w:b/>
                <w:bCs/>
                <w:color w:val="FF0000"/>
                <w:szCs w:val="24"/>
                <w:lang w:eastAsia="x-none"/>
              </w:rPr>
            </w:pPr>
          </w:p>
          <w:p w:rsidR="00A043AD" w:rsidRPr="00A23740" w:rsidRDefault="00A043AD" w:rsidP="00750F08">
            <w:pPr>
              <w:jc w:val="center"/>
              <w:rPr>
                <w:rFonts w:eastAsia="Times New Roman"/>
                <w:b/>
                <w:bCs/>
                <w:color w:val="0000FF"/>
                <w:szCs w:val="24"/>
                <w:lang w:eastAsia="x-none"/>
              </w:rPr>
            </w:pPr>
            <w:r w:rsidRPr="00A23740">
              <w:rPr>
                <w:rFonts w:eastAsia="Times New Roman"/>
                <w:b/>
                <w:bCs/>
                <w:color w:val="0000FF"/>
                <w:szCs w:val="24"/>
                <w:lang w:eastAsia="x-none"/>
              </w:rPr>
              <w:t>BİRİNCİ KISIM</w:t>
            </w:r>
          </w:p>
          <w:p w:rsidR="00A043AD" w:rsidRPr="00A23740" w:rsidRDefault="00A043AD" w:rsidP="00750F08">
            <w:pPr>
              <w:jc w:val="center"/>
              <w:rPr>
                <w:rFonts w:eastAsia="Times New Roman"/>
                <w:b/>
                <w:bCs/>
                <w:color w:val="0000FF"/>
                <w:szCs w:val="24"/>
                <w:lang w:eastAsia="x-none"/>
              </w:rPr>
            </w:pPr>
            <w:r w:rsidRPr="00F257EC">
              <w:rPr>
                <w:rStyle w:val="YELChar"/>
                <w:color w:val="0000FF"/>
              </w:rPr>
              <w:t>Cebrî İcrada</w:t>
            </w:r>
            <w:r w:rsidRPr="00A23740">
              <w:rPr>
                <w:rFonts w:eastAsia="Times New Roman"/>
                <w:b/>
                <w:bCs/>
                <w:color w:val="0000FF"/>
                <w:szCs w:val="24"/>
                <w:lang w:eastAsia="x-none"/>
              </w:rPr>
              <w:t xml:space="preserve"> Disipline Aykırı Fiiller ve Suçlar</w:t>
            </w:r>
          </w:p>
          <w:p w:rsidR="00A043AD" w:rsidRPr="00A23740" w:rsidRDefault="00A043AD" w:rsidP="00750F08">
            <w:pPr>
              <w:jc w:val="center"/>
              <w:rPr>
                <w:rFonts w:eastAsia="Times New Roman"/>
                <w:b/>
                <w:bCs/>
                <w:color w:val="0000FF"/>
                <w:szCs w:val="24"/>
                <w:lang w:eastAsia="x-none"/>
              </w:rPr>
            </w:pPr>
          </w:p>
          <w:p w:rsidR="00A043AD" w:rsidRPr="00A23740" w:rsidRDefault="00A043AD" w:rsidP="00750F08">
            <w:pPr>
              <w:jc w:val="center"/>
              <w:rPr>
                <w:rFonts w:eastAsia="Times New Roman"/>
                <w:b/>
                <w:bCs/>
                <w:color w:val="0000FF"/>
                <w:szCs w:val="24"/>
                <w:lang w:eastAsia="x-none"/>
              </w:rPr>
            </w:pPr>
            <w:r w:rsidRPr="00A23740">
              <w:rPr>
                <w:rFonts w:eastAsia="Times New Roman"/>
                <w:b/>
                <w:bCs/>
                <w:color w:val="0000FF"/>
                <w:szCs w:val="24"/>
                <w:lang w:eastAsia="x-none"/>
              </w:rPr>
              <w:t>BİRİNCİ BÖLÜM</w:t>
            </w:r>
          </w:p>
          <w:p w:rsidR="00A043AD" w:rsidRPr="00A23740" w:rsidRDefault="00A043AD" w:rsidP="00750F08">
            <w:pPr>
              <w:jc w:val="center"/>
              <w:rPr>
                <w:rFonts w:eastAsia="Times New Roman"/>
                <w:b/>
                <w:bCs/>
                <w:color w:val="0000FF"/>
                <w:szCs w:val="24"/>
                <w:lang w:eastAsia="x-none"/>
              </w:rPr>
            </w:pPr>
            <w:r w:rsidRPr="00A23740">
              <w:rPr>
                <w:rFonts w:eastAsia="Times New Roman"/>
                <w:b/>
                <w:bCs/>
                <w:color w:val="0000FF"/>
                <w:szCs w:val="24"/>
                <w:lang w:eastAsia="x-none"/>
              </w:rPr>
              <w:t>Disipline Aykırı Fiiller</w:t>
            </w:r>
          </w:p>
          <w:p w:rsidR="00A043AD" w:rsidRPr="00A23740" w:rsidRDefault="00A043AD" w:rsidP="00750F08">
            <w:pPr>
              <w:jc w:val="left"/>
              <w:rPr>
                <w:rFonts w:eastAsia="Times New Roman"/>
                <w:szCs w:val="24"/>
                <w:lang w:eastAsia="x-none"/>
              </w:rPr>
            </w:pP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Mal beyanında bulunmama</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MADDE 510- (1) 154 üncü</w:t>
            </w:r>
            <w:r w:rsidR="00AB7044" w:rsidRPr="00A23740">
              <w:rPr>
                <w:rFonts w:eastAsia="Times New Roman"/>
                <w:b/>
                <w:bCs/>
                <w:color w:val="0000FF"/>
                <w:szCs w:val="24"/>
                <w:lang w:eastAsia="x-none"/>
              </w:rPr>
              <w:t xml:space="preserve">  </w:t>
            </w:r>
            <w:r w:rsidRPr="00A23740">
              <w:rPr>
                <w:rFonts w:eastAsia="Times New Roman"/>
                <w:b/>
                <w:bCs/>
                <w:color w:val="0000FF"/>
                <w:szCs w:val="24"/>
                <w:lang w:eastAsia="x-none"/>
              </w:rPr>
              <w:t xml:space="preserve">maddenin birinci ve dördüncü fıkraları gereğince mal beyanında bulunma yükümlülüğünü geçerli bir mazereti olmaksızın süresi içinde yerine getirmeyen borçlu, alacaklının şikâyeti üzerine, on gün disiplin </w:t>
            </w:r>
            <w:r w:rsidR="001647D1" w:rsidRPr="00F257EC">
              <w:rPr>
                <w:rStyle w:val="MaviChar"/>
                <w:bCs w:val="0"/>
                <w:lang w:val="tr-TR"/>
              </w:rPr>
              <w:t>hapsiyle</w:t>
            </w:r>
            <w:r w:rsidRPr="00A23740">
              <w:rPr>
                <w:rFonts w:eastAsia="Times New Roman"/>
                <w:b/>
                <w:bCs/>
                <w:color w:val="0000FF"/>
                <w:szCs w:val="24"/>
                <w:lang w:eastAsia="x-none"/>
              </w:rPr>
              <w:t xml:space="preserve"> cezalandırılır.</w:t>
            </w:r>
          </w:p>
          <w:p w:rsidR="00A043AD" w:rsidRPr="00A23740" w:rsidRDefault="00A043AD" w:rsidP="00750F08">
            <w:pPr>
              <w:rPr>
                <w:rFonts w:eastAsia="Times New Roman"/>
                <w:szCs w:val="24"/>
                <w:lang w:eastAsia="tr-TR"/>
              </w:rPr>
            </w:pPr>
          </w:p>
          <w:p w:rsidR="00CA460F" w:rsidRPr="00A23740" w:rsidRDefault="00CA460F" w:rsidP="00750F08">
            <w:pPr>
              <w:tabs>
                <w:tab w:val="left" w:pos="567"/>
              </w:tabs>
              <w:rPr>
                <w:rFonts w:eastAsia="Times New Roman"/>
                <w:szCs w:val="24"/>
              </w:rPr>
            </w:pPr>
          </w:p>
          <w:p w:rsidR="005468D1" w:rsidRDefault="005468D1"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Default="00D84CCE" w:rsidP="00750F08">
            <w:pPr>
              <w:tabs>
                <w:tab w:val="left" w:pos="567"/>
              </w:tabs>
              <w:rPr>
                <w:rFonts w:eastAsia="Times New Roman"/>
                <w:b/>
                <w:bCs/>
                <w:color w:val="0000FF"/>
                <w:szCs w:val="24"/>
                <w:lang w:eastAsia="x-none"/>
              </w:rPr>
            </w:pPr>
          </w:p>
          <w:p w:rsidR="00D84CCE" w:rsidRPr="00A23740" w:rsidRDefault="00D84CCE" w:rsidP="00750F08">
            <w:pPr>
              <w:tabs>
                <w:tab w:val="left" w:pos="567"/>
              </w:tabs>
              <w:rPr>
                <w:rFonts w:eastAsia="Times New Roman"/>
                <w:b/>
                <w:bCs/>
                <w:color w:val="0000FF"/>
                <w:szCs w:val="24"/>
                <w:lang w:eastAsia="x-none"/>
              </w:rPr>
            </w:pPr>
          </w:p>
          <w:p w:rsidR="005468D1" w:rsidRPr="00A23740" w:rsidRDefault="005468D1" w:rsidP="00750F08">
            <w:pPr>
              <w:tabs>
                <w:tab w:val="left" w:pos="567"/>
              </w:tabs>
              <w:rPr>
                <w:rFonts w:eastAsia="Times New Roman"/>
                <w:b/>
                <w:bCs/>
                <w:color w:val="0000FF"/>
                <w:szCs w:val="24"/>
                <w:lang w:eastAsia="x-none"/>
              </w:rPr>
            </w:pPr>
          </w:p>
          <w:p w:rsidR="00A043AD" w:rsidRPr="00A23740" w:rsidRDefault="00A043AD" w:rsidP="00750F08">
            <w:pPr>
              <w:tabs>
                <w:tab w:val="left" w:pos="567"/>
              </w:tabs>
              <w:rPr>
                <w:rFonts w:eastAsia="Times New Roman"/>
                <w:spacing w:val="-5"/>
                <w:szCs w:val="24"/>
                <w:lang w:eastAsia="tr-TR"/>
              </w:rPr>
            </w:pPr>
            <w:r w:rsidRPr="00A23740">
              <w:rPr>
                <w:rFonts w:eastAsia="Times New Roman"/>
                <w:b/>
                <w:bCs/>
                <w:color w:val="0000FF"/>
                <w:szCs w:val="24"/>
                <w:lang w:eastAsia="x-none"/>
              </w:rPr>
              <w:t>(2)</w:t>
            </w:r>
            <w:r w:rsidRPr="00A23740">
              <w:rPr>
                <w:rFonts w:eastAsia="Times New Roman"/>
                <w:b/>
                <w:szCs w:val="24"/>
                <w:lang w:eastAsia="tr-TR"/>
              </w:rPr>
              <w:t xml:space="preserve"> </w:t>
            </w:r>
            <w:r w:rsidR="00AB7044" w:rsidRPr="00A23740">
              <w:rPr>
                <w:rFonts w:eastAsia="Times New Roman"/>
                <w:b/>
                <w:bCs/>
                <w:color w:val="0000FF"/>
                <w:szCs w:val="24"/>
                <w:lang w:eastAsia="x-none"/>
              </w:rPr>
              <w:t xml:space="preserve">154 üncü  </w:t>
            </w:r>
            <w:r w:rsidRPr="00A23740">
              <w:rPr>
                <w:rStyle w:val="MaviChar"/>
              </w:rPr>
              <w:t>maddenin beşinci fıkrası gereğince</w:t>
            </w:r>
            <w:r w:rsidRPr="00A23740">
              <w:rPr>
                <w:rFonts w:eastAsia="Times New Roman"/>
                <w:b/>
                <w:szCs w:val="24"/>
                <w:lang w:eastAsia="tr-TR"/>
              </w:rPr>
              <w:t xml:space="preserve"> </w:t>
            </w:r>
            <w:r w:rsidRPr="00A23740">
              <w:rPr>
                <w:rFonts w:eastAsia="Times New Roman"/>
                <w:b/>
                <w:bCs/>
                <w:color w:val="0000FF"/>
                <w:szCs w:val="24"/>
                <w:lang w:eastAsia="x-none"/>
              </w:rPr>
              <w:t xml:space="preserve">mal </w:t>
            </w:r>
            <w:r w:rsidRPr="00A23740">
              <w:rPr>
                <w:b/>
                <w:color w:val="0000FF"/>
                <w:szCs w:val="24"/>
                <w:lang w:val="x-none" w:eastAsia="x-none"/>
              </w:rPr>
              <w:t>beyanında</w:t>
            </w:r>
            <w:r w:rsidRPr="00A23740">
              <w:rPr>
                <w:rFonts w:eastAsia="Times New Roman"/>
                <w:b/>
                <w:bCs/>
                <w:color w:val="0000FF"/>
                <w:szCs w:val="24"/>
                <w:lang w:eastAsia="x-none"/>
              </w:rPr>
              <w:t xml:space="preserve"> bulunmayan veya </w:t>
            </w:r>
            <w:r w:rsidRPr="00A23740">
              <w:rPr>
                <w:rStyle w:val="MaviChar"/>
              </w:rPr>
              <w:t>bulunup da</w:t>
            </w:r>
            <w:r w:rsidRPr="00A23740">
              <w:rPr>
                <w:rFonts w:eastAsia="Times New Roman"/>
                <w:b/>
                <w:bCs/>
                <w:color w:val="0000FF"/>
                <w:szCs w:val="24"/>
                <w:lang w:eastAsia="x-none"/>
              </w:rPr>
              <w:t xml:space="preserve"> malı olmadığını beyan eden ya da borcuna yetecek miktarda mal göstermemiş</w:t>
            </w:r>
            <w:r w:rsidRPr="00A23740">
              <w:rPr>
                <w:rFonts w:eastAsia="Times New Roman"/>
                <w:spacing w:val="-5"/>
                <w:szCs w:val="24"/>
                <w:lang w:eastAsia="tr-TR"/>
              </w:rPr>
              <w:t xml:space="preserve"> </w:t>
            </w:r>
            <w:r w:rsidRPr="00D84CCE">
              <w:rPr>
                <w:rStyle w:val="MaviChar"/>
              </w:rPr>
              <w:t>olan borçlu,</w:t>
            </w:r>
            <w:r w:rsidRPr="00A23740">
              <w:rPr>
                <w:rFonts w:eastAsia="Times New Roman"/>
                <w:b/>
                <w:szCs w:val="24"/>
                <w:lang w:eastAsia="tr-TR"/>
              </w:rPr>
              <w:t xml:space="preserve"> </w:t>
            </w:r>
            <w:r w:rsidRPr="00A23740">
              <w:rPr>
                <w:rFonts w:eastAsia="Times New Roman"/>
                <w:spacing w:val="-5"/>
                <w:szCs w:val="24"/>
                <w:lang w:eastAsia="tr-TR"/>
              </w:rPr>
              <w:t>sonradan kazandığı malları veya kazancında ve gelirinde</w:t>
            </w:r>
            <w:r w:rsidRPr="00A23740">
              <w:rPr>
                <w:rFonts w:eastAsia="Times New Roman"/>
                <w:b/>
                <w:color w:val="0000FF"/>
                <w:szCs w:val="24"/>
              </w:rPr>
              <w:t>ki artışlara ilişkin mal beyanını,</w:t>
            </w:r>
            <w:r w:rsidRPr="00A23740">
              <w:rPr>
                <w:rFonts w:eastAsia="Times New Roman"/>
                <w:szCs w:val="24"/>
                <w:lang w:eastAsia="tr-TR"/>
              </w:rPr>
              <w:t xml:space="preserve"> </w:t>
            </w:r>
            <w:r w:rsidRPr="00A23740">
              <w:rPr>
                <w:rFonts w:eastAsia="Times New Roman"/>
                <w:b/>
                <w:bCs/>
                <w:color w:val="0000FF"/>
                <w:szCs w:val="24"/>
                <w:lang w:eastAsia="x-none"/>
              </w:rPr>
              <w:t>geçerli</w:t>
            </w:r>
            <w:r w:rsidRPr="00A23740">
              <w:rPr>
                <w:rFonts w:eastAsia="Times New Roman"/>
                <w:szCs w:val="24"/>
                <w:lang w:eastAsia="tr-TR"/>
              </w:rPr>
              <w:t xml:space="preserve"> bir </w:t>
            </w:r>
            <w:r w:rsidRPr="00A23740">
              <w:rPr>
                <w:rFonts w:eastAsia="Times New Roman"/>
                <w:bCs/>
                <w:szCs w:val="24"/>
                <w:lang w:eastAsia="x-none"/>
              </w:rPr>
              <w:t>mazereti</w:t>
            </w:r>
            <w:r w:rsidRPr="00A23740">
              <w:rPr>
                <w:rFonts w:eastAsia="Times New Roman"/>
                <w:szCs w:val="24"/>
                <w:lang w:eastAsia="tr-TR"/>
              </w:rPr>
              <w:t xml:space="preserve"> olmaksızın </w:t>
            </w:r>
            <w:r w:rsidRPr="00A23740">
              <w:rPr>
                <w:rFonts w:eastAsia="Times New Roman"/>
                <w:b/>
                <w:bCs/>
                <w:color w:val="0000FF"/>
                <w:szCs w:val="24"/>
                <w:lang w:eastAsia="x-none"/>
              </w:rPr>
              <w:t>süresi</w:t>
            </w:r>
            <w:r w:rsidRPr="00A23740">
              <w:rPr>
                <w:rFonts w:eastAsia="Times New Roman"/>
                <w:szCs w:val="24"/>
                <w:lang w:eastAsia="tr-TR"/>
              </w:rPr>
              <w:t xml:space="preserve"> içinde icra</w:t>
            </w:r>
            <w:r w:rsidR="00B73523" w:rsidRPr="00A23740">
              <w:rPr>
                <w:b/>
                <w:color w:val="538135"/>
              </w:rPr>
              <w:t xml:space="preserve"> </w:t>
            </w:r>
            <w:r w:rsidR="00B73523" w:rsidRPr="00F257EC">
              <w:rPr>
                <w:b/>
                <w:color w:val="0000FF"/>
              </w:rPr>
              <w:t>ve iflas</w:t>
            </w:r>
            <w:r w:rsidRPr="00A23740">
              <w:rPr>
                <w:rFonts w:eastAsia="Times New Roman"/>
                <w:szCs w:val="24"/>
                <w:lang w:eastAsia="tr-TR"/>
              </w:rPr>
              <w:t xml:space="preserve"> dairesine bildirmezse, </w:t>
            </w:r>
            <w:r w:rsidRPr="00A23740">
              <w:rPr>
                <w:rFonts w:eastAsia="Times New Roman"/>
                <w:b/>
                <w:bCs/>
                <w:color w:val="0000FF"/>
                <w:szCs w:val="24"/>
                <w:lang w:eastAsia="x-none"/>
              </w:rPr>
              <w:t>alacaklının şikâyeti üzerine,</w:t>
            </w:r>
            <w:r w:rsidRPr="00A23740">
              <w:rPr>
                <w:rFonts w:eastAsia="Times New Roman"/>
                <w:bCs/>
                <w:szCs w:val="24"/>
                <w:lang w:eastAsia="tr-TR"/>
              </w:rPr>
              <w:t xml:space="preserve"> on gün disiplin </w:t>
            </w:r>
            <w:r w:rsidR="001647D1" w:rsidRPr="00F257EC">
              <w:rPr>
                <w:rStyle w:val="MaviChar"/>
                <w:bCs w:val="0"/>
                <w:lang w:val="tr-TR"/>
              </w:rPr>
              <w:t>hapsiyle</w:t>
            </w:r>
            <w:r w:rsidR="001647D1" w:rsidRPr="00A23740">
              <w:rPr>
                <w:b/>
                <w:bCs/>
                <w:color w:val="0000FF"/>
                <w:szCs w:val="24"/>
                <w:lang w:eastAsia="x-none"/>
              </w:rPr>
              <w:t xml:space="preserve"> </w:t>
            </w:r>
            <w:r w:rsidRPr="00A23740">
              <w:rPr>
                <w:rFonts w:eastAsia="Times New Roman"/>
                <w:spacing w:val="-5"/>
                <w:szCs w:val="24"/>
                <w:lang w:eastAsia="tr-TR"/>
              </w:rPr>
              <w:t>cezalandırılır.</w:t>
            </w:r>
          </w:p>
          <w:p w:rsidR="00A043AD" w:rsidRPr="00A23740" w:rsidRDefault="00A043AD" w:rsidP="00750F08">
            <w:pPr>
              <w:pStyle w:val="AltKonuBal"/>
              <w:rPr>
                <w:color w:val="000000"/>
              </w:rPr>
            </w:pPr>
          </w:p>
          <w:p w:rsidR="00B20094" w:rsidRPr="00A23740" w:rsidRDefault="00B20094" w:rsidP="00750F08">
            <w:pPr>
              <w:rPr>
                <w:rFonts w:eastAsia="Times New Roman"/>
                <w:szCs w:val="24"/>
                <w:lang w:eastAsia="tr-TR"/>
              </w:rPr>
            </w:pP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(3) Alacaklının alacağını karşılayacak miktarda malın</w:t>
            </w:r>
            <w:r w:rsidR="00CA460F" w:rsidRPr="00F257EC">
              <w:rPr>
                <w:rFonts w:eastAsia="Times New Roman"/>
                <w:b/>
                <w:bCs/>
                <w:color w:val="0000FF"/>
                <w:szCs w:val="24"/>
                <w:lang w:eastAsia="x-none"/>
              </w:rPr>
              <w:t>ın</w:t>
            </w:r>
            <w:r w:rsidRPr="00F257EC">
              <w:rPr>
                <w:rFonts w:eastAsia="Times New Roman"/>
                <w:b/>
                <w:bCs/>
                <w:color w:val="0000FF"/>
                <w:szCs w:val="24"/>
                <w:lang w:eastAsia="x-none"/>
              </w:rPr>
              <w:t xml:space="preserve"> </w:t>
            </w:r>
            <w:r w:rsidRPr="00A23740">
              <w:rPr>
                <w:rFonts w:eastAsia="Times New Roman"/>
                <w:b/>
                <w:bCs/>
                <w:color w:val="0000FF"/>
                <w:szCs w:val="24"/>
                <w:lang w:eastAsia="x-none"/>
              </w:rPr>
              <w:t>haczedilmesi hâlinde, yukarıdaki fıkralar uyarınca açılan dava ve verilen ceza düşer.</w:t>
            </w:r>
          </w:p>
          <w:p w:rsidR="00A043AD" w:rsidRPr="00A23740" w:rsidRDefault="00A043AD" w:rsidP="005468D1">
            <w:pPr>
              <w:pStyle w:val="KIRMIZI"/>
              <w:rPr>
                <w:b w:val="0"/>
                <w:bCs w:val="0"/>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Times New Roman"/>
                <w:b/>
                <w:bCs/>
                <w:szCs w:val="24"/>
                <w:lang w:eastAsia="x-none"/>
              </w:rPr>
            </w:pPr>
          </w:p>
          <w:p w:rsidR="00A043AD" w:rsidRPr="00A23740" w:rsidRDefault="00A043AD" w:rsidP="00750F08">
            <w:pPr>
              <w:tabs>
                <w:tab w:val="left" w:pos="567"/>
              </w:tabs>
              <w:ind w:firstLine="709"/>
              <w:rPr>
                <w:rFonts w:eastAsia="Arial Unicode MS"/>
                <w:iCs/>
                <w:szCs w:val="24"/>
                <w:lang w:eastAsia="tr-TR"/>
              </w:rPr>
            </w:pPr>
            <w:r w:rsidRPr="00A23740">
              <w:rPr>
                <w:rFonts w:eastAsia="Times New Roman"/>
                <w:b/>
                <w:bCs/>
                <w:szCs w:val="24"/>
                <w:lang w:eastAsia="x-none"/>
              </w:rPr>
              <w:t>MADDE 510-</w:t>
            </w:r>
            <w:r w:rsidRPr="00A23740">
              <w:rPr>
                <w:rFonts w:eastAsia="Times New Roman"/>
                <w:bCs/>
                <w:szCs w:val="24"/>
                <w:lang w:eastAsia="x-none"/>
              </w:rPr>
              <w:t xml:space="preserve"> Maddeyle, mal beyanında bulunma yükü</w:t>
            </w:r>
            <w:r w:rsidR="00535D4A" w:rsidRPr="00A23740">
              <w:rPr>
                <w:rFonts w:eastAsia="Times New Roman"/>
                <w:bCs/>
                <w:szCs w:val="24"/>
                <w:lang w:eastAsia="x-none"/>
              </w:rPr>
              <w:t>mlülüğüne aykırı davranılması hâ</w:t>
            </w:r>
            <w:r w:rsidRPr="00A23740">
              <w:rPr>
                <w:rFonts w:eastAsia="Times New Roman"/>
                <w:bCs/>
                <w:szCs w:val="24"/>
                <w:lang w:eastAsia="x-none"/>
              </w:rPr>
              <w:t xml:space="preserve">linde uygulanacak cezai hükümler düzenlenmektedir. </w:t>
            </w:r>
            <w:r w:rsidRPr="00A23740">
              <w:rPr>
                <w:rFonts w:eastAsia="Arial Unicode MS"/>
                <w:iCs/>
                <w:szCs w:val="24"/>
                <w:lang w:eastAsia="tr-TR"/>
              </w:rPr>
              <w:t>Bu Kitabın Birinci Kısmında “Disipline Aykırı Fiill</w:t>
            </w:r>
            <w:r w:rsidR="00535D4A" w:rsidRPr="00A23740">
              <w:rPr>
                <w:rFonts w:eastAsia="Arial Unicode MS"/>
                <w:iCs/>
                <w:szCs w:val="24"/>
                <w:lang w:eastAsia="tr-TR"/>
              </w:rPr>
              <w:t>er” ve “Suçlar” ayrı bölümler hâ</w:t>
            </w:r>
            <w:r w:rsidRPr="00A23740">
              <w:rPr>
                <w:rFonts w:eastAsia="Arial Unicode MS"/>
                <w:iCs/>
                <w:szCs w:val="24"/>
                <w:lang w:eastAsia="tr-TR"/>
              </w:rPr>
              <w:t>linde, İkinci Kısmında “Şikâyet, Yargılama Usulü ve Kanun Yolları”, Üçüncü Kısmında ise “İtibarın İadesi” düzenlenmektedir.</w:t>
            </w:r>
            <w:r w:rsidRPr="00A23740">
              <w:rPr>
                <w:rFonts w:eastAsia="Times New Roman"/>
                <w:bCs/>
                <w:szCs w:val="24"/>
                <w:lang w:eastAsia="x-none"/>
              </w:rPr>
              <w:t xml:space="preserve"> </w:t>
            </w:r>
            <w:r w:rsidRPr="00A23740">
              <w:rPr>
                <w:rFonts w:eastAsia="Arial Unicode MS"/>
                <w:iCs/>
                <w:szCs w:val="24"/>
                <w:lang w:eastAsia="tr-TR"/>
              </w:rPr>
              <w:t>Bu Kitapta yer alan cezai hükümler, disipline aykırı fiilleri ve suçları kapsamaktadır. Disipline aykırı fiillerle ilgili yaptırımlar, disiplin hapsi ve tazyik hapsi, suçlarla ilgili yaptırımlar ise hapis ve adli para cezasıdır. Bu ayrımlara göre düzenlemeler yapılmaktadır.</w:t>
            </w:r>
          </w:p>
          <w:p w:rsidR="00A043AD" w:rsidRPr="00A23740" w:rsidRDefault="00A043AD" w:rsidP="00750F08">
            <w:pPr>
              <w:tabs>
                <w:tab w:val="left" w:pos="567"/>
              </w:tabs>
              <w:ind w:firstLine="709"/>
              <w:rPr>
                <w:rFonts w:eastAsia="Times New Roman"/>
                <w:bCs/>
                <w:szCs w:val="24"/>
                <w:lang w:eastAsia="x-none"/>
              </w:rPr>
            </w:pPr>
            <w:r w:rsidRPr="00A23740">
              <w:rPr>
                <w:rFonts w:eastAsia="Times New Roman"/>
                <w:bCs/>
                <w:szCs w:val="24"/>
                <w:lang w:eastAsia="x-none"/>
              </w:rPr>
              <w:t xml:space="preserve">2004 sayılı Kanunda mal beyanında bulunmama eyleminin cezası, 76 ncı maddede üç aya kadar tazyik hapsi, 337 nci maddenin birinci fıkrasında ise on gün disiplin hapsi olarak düzenlenmişti. Anayasa Mahkemesinin 28/2/2008 tarihli ve 2006/71 Esas ve 2008/69 Karar sayılı kararıyla (söz konusu 5358 sayılı Kanunun 7 nci maddesiyle değiştirilmiş) 337 nci maddenin birinci fıkrası iptal edilmişti. İptal kararının gerekçesinde; hukuk devleti ve ceza </w:t>
            </w:r>
            <w:r w:rsidRPr="00F257EC">
              <w:rPr>
                <w:rFonts w:eastAsia="Arial Unicode MS"/>
                <w:iCs/>
                <w:szCs w:val="24"/>
                <w:lang w:eastAsia="tr-TR"/>
              </w:rPr>
              <w:t>hukukunun</w:t>
            </w:r>
            <w:r w:rsidRPr="00A23740">
              <w:rPr>
                <w:rFonts w:eastAsia="Times New Roman"/>
                <w:bCs/>
                <w:szCs w:val="24"/>
                <w:lang w:eastAsia="x-none"/>
              </w:rPr>
              <w:t xml:space="preserve"> ilkeleri gereğince kişinin aynı eylem nedeniyle birden fazla yargılanmayacağı ve cezalandırılmayacağı, söz konusu kural uyarınca, müddeti içinde mazereti </w:t>
            </w:r>
            <w:r w:rsidRPr="00F257EC">
              <w:rPr>
                <w:rFonts w:eastAsia="Arial Unicode MS"/>
                <w:iCs/>
                <w:szCs w:val="24"/>
                <w:lang w:eastAsia="tr-TR"/>
              </w:rPr>
              <w:t>olmaksızın</w:t>
            </w:r>
            <w:r w:rsidRPr="00A23740">
              <w:rPr>
                <w:rFonts w:eastAsia="Times New Roman"/>
                <w:bCs/>
                <w:szCs w:val="24"/>
                <w:lang w:eastAsia="x-none"/>
              </w:rPr>
              <w:t xml:space="preserve"> </w:t>
            </w:r>
            <w:r w:rsidRPr="00F257EC">
              <w:rPr>
                <w:rFonts w:eastAsia="Arial Unicode MS"/>
                <w:iCs/>
                <w:szCs w:val="24"/>
                <w:lang w:eastAsia="tr-TR"/>
              </w:rPr>
              <w:t xml:space="preserve">icra </w:t>
            </w:r>
            <w:r w:rsidR="00B73523" w:rsidRPr="00F257EC">
              <w:rPr>
                <w:rFonts w:eastAsia="Arial Unicode MS"/>
                <w:iCs/>
                <w:szCs w:val="24"/>
                <w:lang w:eastAsia="tr-TR"/>
              </w:rPr>
              <w:t xml:space="preserve">ve iflas </w:t>
            </w:r>
            <w:r w:rsidRPr="00F257EC">
              <w:rPr>
                <w:rFonts w:eastAsia="Arial Unicode MS"/>
                <w:iCs/>
                <w:szCs w:val="24"/>
                <w:lang w:eastAsia="tr-TR"/>
              </w:rPr>
              <w:t>dairesine</w:t>
            </w:r>
            <w:r w:rsidRPr="00A23740">
              <w:rPr>
                <w:rFonts w:eastAsia="Times New Roman"/>
                <w:bCs/>
                <w:szCs w:val="24"/>
                <w:lang w:eastAsia="x-none"/>
              </w:rPr>
              <w:t xml:space="preserve"> gelmeyen veya yazılı olarak mal beyanında bulunmayan kimsenin disiplin hapsi cez</w:t>
            </w:r>
            <w:r w:rsidRPr="00F257EC">
              <w:rPr>
                <w:rFonts w:eastAsia="Arial Unicode MS"/>
                <w:iCs/>
                <w:szCs w:val="24"/>
                <w:lang w:eastAsia="tr-TR"/>
              </w:rPr>
              <w:t>ası</w:t>
            </w:r>
            <w:r w:rsidR="0005528D" w:rsidRPr="00F257EC">
              <w:rPr>
                <w:rFonts w:eastAsia="Arial Unicode MS"/>
                <w:iCs/>
                <w:szCs w:val="24"/>
                <w:lang w:eastAsia="tr-TR"/>
              </w:rPr>
              <w:t>yla</w:t>
            </w:r>
            <w:r w:rsidR="00A06764">
              <w:rPr>
                <w:rFonts w:eastAsia="Times New Roman"/>
                <w:bCs/>
                <w:szCs w:val="24"/>
                <w:lang w:eastAsia="x-none"/>
              </w:rPr>
              <w:t xml:space="preserve"> </w:t>
            </w:r>
            <w:r w:rsidRPr="00A23740">
              <w:rPr>
                <w:rFonts w:eastAsia="Times New Roman"/>
                <w:bCs/>
                <w:szCs w:val="24"/>
                <w:lang w:eastAsia="x-none"/>
              </w:rPr>
              <w:t>cezalandırılmasının yanı sıra, Kanunun 76 ncı maddesine göre de mal beyanında bulunmama eylemi nedeniyle tazyik hapsi cezas</w:t>
            </w:r>
            <w:r w:rsidRPr="00F257EC">
              <w:rPr>
                <w:rFonts w:eastAsia="Arial Unicode MS"/>
                <w:iCs/>
                <w:szCs w:val="24"/>
                <w:lang w:eastAsia="tr-TR"/>
              </w:rPr>
              <w:t>ı</w:t>
            </w:r>
            <w:r w:rsidR="0005528D" w:rsidRPr="00F257EC">
              <w:rPr>
                <w:rFonts w:eastAsia="Arial Unicode MS"/>
                <w:iCs/>
                <w:szCs w:val="24"/>
                <w:lang w:eastAsia="tr-TR"/>
              </w:rPr>
              <w:t>yla</w:t>
            </w:r>
            <w:r w:rsidRPr="00A23740">
              <w:rPr>
                <w:rFonts w:eastAsia="Times New Roman"/>
                <w:bCs/>
                <w:szCs w:val="24"/>
                <w:lang w:eastAsia="x-none"/>
              </w:rPr>
              <w:t xml:space="preserve"> cezalandırılabileceği ve böyle bir olasılığın varlığının 337 nci maddede öngörülen disiplin hapsi cezasını, Anayasanın hukuk devleti ilkesinin düzenlendiği 2 nci maddesine aykırı hâle getirdiği belirtilmiştir. Bu iptal kararından sonra anılan 76 ncı madde ve iptal edilen 337 nci maddenin birinci fıkrası ile ilgili herhangi bir kanuni düzenleme yapılmamıştır. </w:t>
            </w:r>
          </w:p>
          <w:p w:rsidR="00A043AD" w:rsidRPr="00A23740" w:rsidRDefault="00A043AD" w:rsidP="00750F08">
            <w:pPr>
              <w:tabs>
                <w:tab w:val="left" w:pos="567"/>
              </w:tabs>
              <w:ind w:firstLine="709"/>
              <w:rPr>
                <w:rFonts w:eastAsia="Times New Roman"/>
                <w:bCs/>
                <w:szCs w:val="24"/>
                <w:lang w:eastAsia="x-none"/>
              </w:rPr>
            </w:pPr>
            <w:r w:rsidRPr="00A23740">
              <w:rPr>
                <w:rFonts w:eastAsia="Times New Roman"/>
                <w:bCs/>
                <w:szCs w:val="24"/>
                <w:lang w:eastAsia="x-none"/>
              </w:rPr>
              <w:t>Mal beyanı, alacağın cebrî icra yoluyla tahsilinde önemli bir kurum olduğundan bu kurumun daha etkin bir şekilde uygulanabilmesi için anılan iptal kararı ile uygulamada ortaya çıkan sorunlar da dikkate alınarak mal beyanında bulunma yükümlülüğüne uymama fiili maddede muhafaza edilmekte ve yeniden düzenlenmektedir.</w:t>
            </w:r>
          </w:p>
          <w:p w:rsidR="00A043AD" w:rsidRPr="00A23740" w:rsidRDefault="00A043AD" w:rsidP="00750F08">
            <w:pPr>
              <w:tabs>
                <w:tab w:val="left" w:pos="567"/>
              </w:tabs>
              <w:ind w:firstLine="709"/>
              <w:rPr>
                <w:rFonts w:eastAsia="Times New Roman"/>
                <w:bCs/>
                <w:szCs w:val="24"/>
                <w:lang w:eastAsia="x-none"/>
              </w:rPr>
            </w:pPr>
            <w:r w:rsidRPr="00A23740">
              <w:rPr>
                <w:szCs w:val="24"/>
              </w:rPr>
              <w:t xml:space="preserve">Birinci fıkrayla, Taslağın “Borçlunun mal beyanında bulunma yükümlülüğü” başlıklı </w:t>
            </w:r>
            <w:r w:rsidR="00AB7044" w:rsidRPr="00A23740">
              <w:rPr>
                <w:szCs w:val="24"/>
              </w:rPr>
              <w:t>154 üncü</w:t>
            </w:r>
            <w:r w:rsidR="00A06764">
              <w:rPr>
                <w:rFonts w:eastAsia="Times New Roman"/>
                <w:b/>
                <w:bCs/>
                <w:color w:val="0000FF"/>
                <w:szCs w:val="24"/>
                <w:lang w:eastAsia="x-none"/>
              </w:rPr>
              <w:t xml:space="preserve"> </w:t>
            </w:r>
            <w:r w:rsidRPr="00A23740">
              <w:rPr>
                <w:szCs w:val="24"/>
              </w:rPr>
              <w:t xml:space="preserve">maddesinin birinci ve dördüncü fıkraları gereğince mal beyanında bulunma yükümlülüğünü geçerli bir mazereti olmaksızın süresi içinde yerine getirmeyen borçlunun, alacaklının şikâyeti üzerine, on gün disiplin </w:t>
            </w:r>
            <w:r w:rsidR="001647D1" w:rsidRPr="00F257EC">
              <w:rPr>
                <w:rFonts w:eastAsia="Arial Unicode MS"/>
                <w:iCs/>
                <w:szCs w:val="24"/>
                <w:lang w:eastAsia="tr-TR"/>
              </w:rPr>
              <w:t>hapsiyle</w:t>
            </w:r>
            <w:r w:rsidRPr="00A23740">
              <w:rPr>
                <w:szCs w:val="24"/>
              </w:rPr>
              <w:t xml:space="preserve"> cezalandırılacağı hükme bağlanmaktadır. 2004 sayılı Kanunun 76 ncı maddesinde ve iptal edilen 367 nci maddesinin birinci fıkrasında yer alan esaslar hükümde muhafaza edilmektedir. Taslağın </w:t>
            </w:r>
            <w:r w:rsidR="00AB7044" w:rsidRPr="00A23740">
              <w:rPr>
                <w:szCs w:val="24"/>
              </w:rPr>
              <w:t>154 üncü</w:t>
            </w:r>
            <w:r w:rsidR="00A06764">
              <w:rPr>
                <w:rFonts w:eastAsia="Times New Roman"/>
                <w:b/>
                <w:bCs/>
                <w:color w:val="0000FF"/>
                <w:szCs w:val="24"/>
                <w:lang w:eastAsia="x-none"/>
              </w:rPr>
              <w:t xml:space="preserve"> </w:t>
            </w:r>
            <w:r w:rsidRPr="00A23740">
              <w:rPr>
                <w:szCs w:val="24"/>
              </w:rPr>
              <w:t xml:space="preserve">maddesinde, borçlunun mal bildiriminde bulunma zorunluluğu üç farklı ihtimale göre düzenlenmektedir. Bunlar; </w:t>
            </w:r>
            <w:r w:rsidR="00AB7044" w:rsidRPr="00A23740">
              <w:rPr>
                <w:szCs w:val="24"/>
              </w:rPr>
              <w:t>154 üncü</w:t>
            </w:r>
            <w:r w:rsidR="00A06764">
              <w:rPr>
                <w:rFonts w:eastAsia="Times New Roman"/>
                <w:b/>
                <w:bCs/>
                <w:color w:val="0000FF"/>
                <w:szCs w:val="24"/>
                <w:lang w:eastAsia="x-none"/>
              </w:rPr>
              <w:t xml:space="preserve"> </w:t>
            </w:r>
            <w:r w:rsidRPr="00A23740">
              <w:rPr>
                <w:szCs w:val="24"/>
              </w:rPr>
              <w:t xml:space="preserve">maddenin birinci fıkrası uyarınca ödeme veya icra emri üzerine bildirilecek mal beyanı, dördüncü fıkrası uyarınca alacağın karşılanmaması hâlinde bildirilecek ek mal beyanı ve beşinci fıkrası uyarınca sonradan edinilen mallar ile kazanç ve gelire ilişkin bildirilecek mal beyanıdır. </w:t>
            </w:r>
            <w:r w:rsidR="004F2F79" w:rsidRPr="00A23740">
              <w:rPr>
                <w:szCs w:val="24"/>
              </w:rPr>
              <w:t xml:space="preserve">Şu halde, </w:t>
            </w:r>
            <w:r w:rsidRPr="00A23740">
              <w:rPr>
                <w:szCs w:val="24"/>
              </w:rPr>
              <w:t>borçlu, üç farklı ihtimale göre yönetmelikteki örneğe uygun olacak şekilde mal beyanında bulunmazsa</w:t>
            </w:r>
            <w:r w:rsidR="004F2F79" w:rsidRPr="00A23740">
              <w:rPr>
                <w:szCs w:val="24"/>
              </w:rPr>
              <w:t>,</w:t>
            </w:r>
            <w:r w:rsidRPr="00A23740">
              <w:rPr>
                <w:szCs w:val="24"/>
              </w:rPr>
              <w:t xml:space="preserve"> bu madde uyarınca cezalandırılır. Diğer taraftan hükümde, yükümlülüğün süresi içinde </w:t>
            </w:r>
            <w:r w:rsidR="004F2F79" w:rsidRPr="00A23740">
              <w:rPr>
                <w:szCs w:val="24"/>
              </w:rPr>
              <w:t xml:space="preserve">yerine getirilmesi </w:t>
            </w:r>
            <w:r w:rsidRPr="00A23740">
              <w:rPr>
                <w:szCs w:val="24"/>
              </w:rPr>
              <w:t xml:space="preserve">gerektiği ifade edilmektedir. Bu süre; Taslağın </w:t>
            </w:r>
            <w:r w:rsidRPr="00A23740">
              <w:rPr>
                <w:rFonts w:eastAsia="Times New Roman"/>
                <w:bCs/>
                <w:szCs w:val="24"/>
                <w:lang w:eastAsia="x-none"/>
              </w:rPr>
              <w:t xml:space="preserve">“Para borcunun ödenmesi ve teminatın verilmesine ilişkin ilamların icrası” başlıklı 68, “Ödeme emri” başlıklı 88, “İtirazın iptali” başlıklı 96, “Ödeme emri” başlıklı </w:t>
            </w:r>
            <w:r w:rsidR="00521F64" w:rsidRPr="00F257EC">
              <w:rPr>
                <w:rFonts w:eastAsia="Arial Unicode MS"/>
                <w:iCs/>
                <w:szCs w:val="24"/>
                <w:lang w:eastAsia="tr-TR"/>
              </w:rPr>
              <w:t>115</w:t>
            </w:r>
            <w:r w:rsidRPr="00A23740">
              <w:rPr>
                <w:rFonts w:eastAsia="Times New Roman"/>
                <w:bCs/>
                <w:szCs w:val="24"/>
                <w:lang w:eastAsia="x-none"/>
              </w:rPr>
              <w:t>, “Ödeme emrine itiraz” başlıklı</w:t>
            </w:r>
            <w:r w:rsidR="00521F64" w:rsidRPr="00A23740">
              <w:rPr>
                <w:rFonts w:eastAsia="Times New Roman"/>
                <w:bCs/>
                <w:szCs w:val="24"/>
                <w:lang w:eastAsia="x-none"/>
              </w:rPr>
              <w:t xml:space="preserve"> </w:t>
            </w:r>
            <w:r w:rsidR="00521F64" w:rsidRPr="00F257EC">
              <w:rPr>
                <w:rFonts w:eastAsia="Arial Unicode MS"/>
                <w:iCs/>
                <w:szCs w:val="24"/>
                <w:lang w:eastAsia="tr-TR"/>
              </w:rPr>
              <w:t>117</w:t>
            </w:r>
            <w:r w:rsidRPr="00A23740">
              <w:rPr>
                <w:rFonts w:eastAsia="Times New Roman"/>
                <w:bCs/>
                <w:szCs w:val="24"/>
                <w:lang w:eastAsia="x-none"/>
              </w:rPr>
              <w:t xml:space="preserve">, “Ödeme emri” başlıklı </w:t>
            </w:r>
            <w:r w:rsidR="00521F64" w:rsidRPr="00F257EC">
              <w:rPr>
                <w:rFonts w:eastAsia="Arial Unicode MS"/>
                <w:iCs/>
                <w:szCs w:val="24"/>
                <w:lang w:eastAsia="tr-TR"/>
              </w:rPr>
              <w:t>139</w:t>
            </w:r>
            <w:r w:rsidR="00521F64" w:rsidRPr="00A23740">
              <w:rPr>
                <w:rFonts w:eastAsia="Times New Roman"/>
                <w:bCs/>
                <w:szCs w:val="24"/>
                <w:lang w:eastAsia="x-none"/>
              </w:rPr>
              <w:t xml:space="preserve"> </w:t>
            </w:r>
            <w:r w:rsidRPr="00A23740">
              <w:rPr>
                <w:rFonts w:eastAsia="Times New Roman"/>
                <w:bCs/>
                <w:szCs w:val="24"/>
                <w:lang w:eastAsia="x-none"/>
              </w:rPr>
              <w:t xml:space="preserve">ve </w:t>
            </w:r>
            <w:r w:rsidRPr="00A23740">
              <w:rPr>
                <w:szCs w:val="24"/>
              </w:rPr>
              <w:t>“Borçlunun mal beyanında bulunma yükümlülüğü” başlıklı 154 üncü</w:t>
            </w:r>
            <w:r w:rsidR="00521F64" w:rsidRPr="00A23740">
              <w:rPr>
                <w:szCs w:val="24"/>
              </w:rPr>
              <w:t xml:space="preserve"> </w:t>
            </w:r>
            <w:r w:rsidRPr="00A23740">
              <w:rPr>
                <w:rFonts w:eastAsia="Times New Roman"/>
                <w:bCs/>
                <w:szCs w:val="24"/>
                <w:lang w:eastAsia="x-none"/>
              </w:rPr>
              <w:t xml:space="preserve">maddelerinde belirtildiği üzere iki haftadır. Ayrıca 2004 sayılı Kanunda yer alan </w:t>
            </w:r>
            <w:r w:rsidRPr="00A23740">
              <w:rPr>
                <w:rFonts w:eastAsia="Times New Roman"/>
                <w:szCs w:val="24"/>
                <w:lang w:eastAsia="tr-TR"/>
              </w:rPr>
              <w:t>“makbul bir mazeret”, “makbul bir sebep” ve “haklı bir sebep” ibareleri, yeknesaklığın sağlanması ve hükmün tereddüde mahal vermeyecek şekilde daha iyi uygulanması amacıyla Taslakta “geçerli bir mazeret” olarak düzenlenmektedir.</w:t>
            </w:r>
          </w:p>
          <w:p w:rsidR="00A043AD" w:rsidRPr="00A23740" w:rsidRDefault="00A043AD" w:rsidP="00750F08">
            <w:pPr>
              <w:tabs>
                <w:tab w:val="left" w:pos="567"/>
              </w:tabs>
              <w:ind w:firstLine="709"/>
              <w:rPr>
                <w:rFonts w:eastAsia="Times New Roman"/>
                <w:szCs w:val="24"/>
                <w:lang w:eastAsia="x-none"/>
              </w:rPr>
            </w:pPr>
            <w:r w:rsidRPr="00A23740">
              <w:rPr>
                <w:rFonts w:eastAsia="Times New Roman"/>
                <w:szCs w:val="24"/>
                <w:lang w:eastAsia="x-none"/>
              </w:rPr>
              <w:t xml:space="preserve">İkinci fıkrayla, </w:t>
            </w:r>
            <w:r w:rsidRPr="00A23740">
              <w:rPr>
                <w:szCs w:val="24"/>
              </w:rPr>
              <w:t>sonradan edinilen mallar ile kazanç ve gelire ilişkin bildirilecek mal beyanında bulunma yükümlülüğüne uymamanın yaptırımı düzenlenmektedir. Hükme göre, Taslağın 154 üncü</w:t>
            </w:r>
            <w:r w:rsidR="00521F64" w:rsidRPr="00A23740">
              <w:rPr>
                <w:szCs w:val="24"/>
              </w:rPr>
              <w:t xml:space="preserve"> </w:t>
            </w:r>
            <w:r w:rsidRPr="00A23740">
              <w:rPr>
                <w:szCs w:val="24"/>
              </w:rPr>
              <w:t xml:space="preserve"> maddesinin beşinci fıkrası gereğince </w:t>
            </w:r>
            <w:r w:rsidRPr="00A23740">
              <w:rPr>
                <w:rFonts w:eastAsia="Times New Roman"/>
                <w:szCs w:val="24"/>
                <w:lang w:eastAsia="x-none"/>
              </w:rPr>
              <w:t xml:space="preserve">mal beyanında bulunmayan veya bulunup da malı olmadığını beyan eden ya da borcuna yetecek miktarda malı göstermemiş olan borçlu, sonradan kazandığı malları veya kazancında ve gelirindeki artışlara ilişkin mal beyanını, geçerli bir mazereti olmaksızın iki hafta </w:t>
            </w:r>
            <w:r w:rsidRPr="00F257EC">
              <w:rPr>
                <w:rFonts w:eastAsia="Arial Unicode MS"/>
                <w:iCs/>
                <w:szCs w:val="24"/>
                <w:lang w:eastAsia="tr-TR"/>
              </w:rPr>
              <w:t>içinde</w:t>
            </w:r>
            <w:r w:rsidRPr="00A23740">
              <w:rPr>
                <w:rFonts w:eastAsia="Times New Roman"/>
                <w:szCs w:val="24"/>
                <w:lang w:eastAsia="x-none"/>
              </w:rPr>
              <w:t xml:space="preserve"> icra </w:t>
            </w:r>
            <w:r w:rsidR="00B73523" w:rsidRPr="00F257EC">
              <w:rPr>
                <w:rFonts w:eastAsia="Arial Unicode MS"/>
                <w:iCs/>
                <w:szCs w:val="24"/>
                <w:lang w:eastAsia="tr-TR"/>
              </w:rPr>
              <w:t>ve iflas</w:t>
            </w:r>
            <w:r w:rsidR="00B73523" w:rsidRPr="00A23740">
              <w:rPr>
                <w:b/>
                <w:bCs/>
                <w:color w:val="0000FF"/>
                <w:szCs w:val="24"/>
                <w:lang w:val="x-none" w:eastAsia="x-none"/>
              </w:rPr>
              <w:t xml:space="preserve"> </w:t>
            </w:r>
            <w:r w:rsidRPr="00A23740">
              <w:rPr>
                <w:rFonts w:eastAsia="Times New Roman"/>
                <w:szCs w:val="24"/>
                <w:lang w:eastAsia="x-none"/>
              </w:rPr>
              <w:t xml:space="preserve">dairesine bildirmezse, alacaklının şikâyeti üzerine, on gün disiplin </w:t>
            </w:r>
            <w:r w:rsidR="001647D1" w:rsidRPr="00F257EC">
              <w:rPr>
                <w:rFonts w:eastAsia="Arial Unicode MS"/>
                <w:iCs/>
                <w:szCs w:val="24"/>
                <w:lang w:eastAsia="tr-TR"/>
              </w:rPr>
              <w:t>hapsiyle</w:t>
            </w:r>
            <w:r w:rsidRPr="00F257EC">
              <w:rPr>
                <w:rFonts w:eastAsia="Arial Unicode MS"/>
                <w:iCs/>
                <w:szCs w:val="24"/>
                <w:lang w:eastAsia="tr-TR"/>
              </w:rPr>
              <w:t xml:space="preserve"> cezalandırılır. Mal beyanında bulunma yükümlülüğü, Taslağın</w:t>
            </w:r>
            <w:r w:rsidRPr="00A23740">
              <w:rPr>
                <w:rFonts w:eastAsia="Times New Roman"/>
                <w:szCs w:val="24"/>
                <w:lang w:eastAsia="x-none"/>
              </w:rPr>
              <w:t xml:space="preserve"> </w:t>
            </w:r>
            <w:r w:rsidRPr="00A23740">
              <w:rPr>
                <w:szCs w:val="24"/>
              </w:rPr>
              <w:t>154 üncü</w:t>
            </w:r>
            <w:r w:rsidR="00521F64" w:rsidRPr="00A23740">
              <w:rPr>
                <w:rFonts w:eastAsia="Times New Roman"/>
                <w:b/>
                <w:bCs/>
                <w:color w:val="0000FF"/>
                <w:szCs w:val="24"/>
                <w:lang w:eastAsia="x-none"/>
              </w:rPr>
              <w:t xml:space="preserve"> </w:t>
            </w:r>
            <w:r w:rsidRPr="00A23740">
              <w:rPr>
                <w:rFonts w:eastAsia="Times New Roman"/>
                <w:szCs w:val="24"/>
                <w:lang w:eastAsia="x-none"/>
              </w:rPr>
              <w:t xml:space="preserve">maddesinin beşinci fıkrasında düzenlenmektedir. Hüküm, 2004 sayılı Kanunun 339 uncu maddesinin birinci fıkrasına karşılık gelmektedir. 2004 sayılı Kanunun 339 uncu maddesi hükmünün, borçlunun mal veya kazancını asıl veya bedel itibarıyla makbul bir sebep olmaksızın elden çıkarılması hâlinde bir aya kadar disiplin </w:t>
            </w:r>
            <w:r w:rsidR="001647D1" w:rsidRPr="00F257EC">
              <w:rPr>
                <w:rFonts w:eastAsia="Arial Unicode MS"/>
                <w:iCs/>
                <w:szCs w:val="24"/>
                <w:lang w:eastAsia="tr-TR"/>
              </w:rPr>
              <w:t>hapsiyle</w:t>
            </w:r>
            <w:r w:rsidRPr="00A23740">
              <w:rPr>
                <w:rFonts w:eastAsia="Times New Roman"/>
                <w:szCs w:val="24"/>
                <w:lang w:eastAsia="x-none"/>
              </w:rPr>
              <w:t xml:space="preserve"> cezalandırılacağına ilişkin kısmı, Taslağın “Malvarlığının kasten eksiltilmesi” başlıklı 522 nci maddesinin birinci fıkrasında ve “Malvarlığının taksirle eksiltilmesi” başlıklı 523 üncü maddesinin birinci fıkrasında ayrı bir suç olarak düzenlendiğinden fıkrada muhafaza edilmemektedir. Ayrıca 2004 sayılı Kanunun 339 uncu maddesinde yer alan mal beyanının yazılı veya sözlü olarak bildirilmesi ile beyanda bulunma süresi, Taslağın </w:t>
            </w:r>
            <w:r w:rsidRPr="00A23740">
              <w:rPr>
                <w:szCs w:val="24"/>
              </w:rPr>
              <w:t>154 üncü</w:t>
            </w:r>
            <w:r w:rsidR="00521F64" w:rsidRPr="00A23740">
              <w:rPr>
                <w:szCs w:val="24"/>
              </w:rPr>
              <w:t xml:space="preserve"> </w:t>
            </w:r>
            <w:r w:rsidRPr="00A23740">
              <w:rPr>
                <w:rFonts w:eastAsia="Times New Roman"/>
                <w:szCs w:val="24"/>
                <w:lang w:eastAsia="x-none"/>
              </w:rPr>
              <w:t xml:space="preserve">maddesinde düzenlendiğinden fıkrada bu hususlara yer verilmemektedir. </w:t>
            </w:r>
          </w:p>
          <w:p w:rsidR="00A043AD" w:rsidRPr="00A23740" w:rsidRDefault="00A043AD" w:rsidP="00750F08">
            <w:pPr>
              <w:tabs>
                <w:tab w:val="left" w:pos="567"/>
              </w:tabs>
              <w:ind w:firstLine="709"/>
              <w:rPr>
                <w:rFonts w:eastAsia="Times New Roman"/>
                <w:szCs w:val="24"/>
                <w:lang w:eastAsia="x-none"/>
              </w:rPr>
            </w:pPr>
            <w:r w:rsidRPr="00A23740">
              <w:rPr>
                <w:rFonts w:eastAsia="Times New Roman"/>
                <w:szCs w:val="24"/>
                <w:lang w:eastAsia="x-none"/>
              </w:rPr>
              <w:t xml:space="preserve">Üçüncü </w:t>
            </w:r>
            <w:r w:rsidRPr="00A23740">
              <w:rPr>
                <w:rFonts w:eastAsia="Times New Roman"/>
                <w:bCs/>
                <w:szCs w:val="24"/>
                <w:lang w:eastAsia="x-none"/>
              </w:rPr>
              <w:t>fıkrayla, alacaklının alacağını karşılayacak miktarda borçlunun malının haczedilmesi hâlinde, açılan dava ve verilen cezanın düşeceği belirtilmektedir.</w:t>
            </w:r>
          </w:p>
          <w:p w:rsidR="00A043AD" w:rsidRDefault="00A043AD" w:rsidP="002A27F8">
            <w:pPr>
              <w:tabs>
                <w:tab w:val="left" w:pos="567"/>
              </w:tabs>
              <w:ind w:firstLine="709"/>
              <w:rPr>
                <w:rFonts w:eastAsia="Times New Roman"/>
                <w:szCs w:val="24"/>
                <w:lang w:eastAsia="x-none"/>
              </w:rPr>
            </w:pPr>
            <w:r w:rsidRPr="00A23740">
              <w:rPr>
                <w:rFonts w:eastAsia="Times New Roman"/>
                <w:szCs w:val="24"/>
                <w:lang w:eastAsia="x-none"/>
              </w:rPr>
              <w:t>Öte yandan, 2004 sayılı Kanunun 339 uncu maddesinin ikinci fıkrasında yer alan borcun tamamen ödenmesi hâlinde cezanın düşeceğine ilişkin hüküm Taslağın 538 inci maddesinde genel bir etkin pişmanlık hükmü olarak düzenlendiğinden</w:t>
            </w:r>
            <w:r w:rsidR="00DF423E" w:rsidRPr="00A23740">
              <w:rPr>
                <w:rFonts w:eastAsia="Times New Roman"/>
                <w:szCs w:val="24"/>
                <w:lang w:eastAsia="x-none"/>
              </w:rPr>
              <w:t>,</w:t>
            </w:r>
            <w:r w:rsidRPr="00A23740">
              <w:rPr>
                <w:rFonts w:eastAsia="Times New Roman"/>
                <w:szCs w:val="24"/>
                <w:lang w:eastAsia="x-none"/>
              </w:rPr>
              <w:t xml:space="preserve"> maddede bu hükme yer</w:t>
            </w:r>
            <w:r w:rsidR="00DF423E" w:rsidRPr="00A23740">
              <w:rPr>
                <w:rFonts w:eastAsia="Times New Roman"/>
                <w:szCs w:val="24"/>
                <w:lang w:eastAsia="x-none"/>
              </w:rPr>
              <w:t xml:space="preserve"> verilmemiştir</w:t>
            </w:r>
            <w:r w:rsidRPr="00A23740">
              <w:rPr>
                <w:rFonts w:eastAsia="Times New Roman"/>
                <w:szCs w:val="24"/>
                <w:lang w:eastAsia="x-none"/>
              </w:rPr>
              <w:t xml:space="preserve">. Ayrıca 2004 sayılı Kanunun 337 nci maddesinin ikinci </w:t>
            </w:r>
            <w:r w:rsidRPr="00F257EC">
              <w:rPr>
                <w:rFonts w:eastAsia="Arial Unicode MS"/>
                <w:iCs/>
                <w:szCs w:val="24"/>
                <w:lang w:eastAsia="tr-TR"/>
              </w:rPr>
              <w:t>fıkrası</w:t>
            </w:r>
            <w:r w:rsidR="00DF60C8" w:rsidRPr="00F257EC">
              <w:rPr>
                <w:rFonts w:eastAsia="Arial Unicode MS"/>
                <w:iCs/>
                <w:szCs w:val="24"/>
                <w:lang w:eastAsia="tr-TR"/>
              </w:rPr>
              <w:t>,</w:t>
            </w:r>
            <w:r w:rsidRPr="00A23740">
              <w:rPr>
                <w:rFonts w:eastAsia="Times New Roman"/>
                <w:szCs w:val="24"/>
                <w:lang w:eastAsia="x-none"/>
              </w:rPr>
              <w:t xml:space="preserve"> Taslağın</w:t>
            </w:r>
            <w:r w:rsidR="00DF60C8" w:rsidRPr="00A23740">
              <w:rPr>
                <w:rFonts w:eastAsia="Times New Roman"/>
                <w:szCs w:val="24"/>
                <w:lang w:eastAsia="x-none"/>
              </w:rPr>
              <w:t xml:space="preserve"> </w:t>
            </w:r>
            <w:r w:rsidR="00DF60C8" w:rsidRPr="00F257EC">
              <w:rPr>
                <w:rFonts w:eastAsia="Arial Unicode MS"/>
                <w:iCs/>
                <w:szCs w:val="24"/>
                <w:lang w:eastAsia="tr-TR"/>
              </w:rPr>
              <w:t>517</w:t>
            </w:r>
            <w:r w:rsidR="00DF60C8" w:rsidRPr="00F257EC">
              <w:rPr>
                <w:rFonts w:eastAsia="Arial Unicode MS"/>
                <w:b/>
                <w:bCs/>
                <w:iCs/>
                <w:szCs w:val="24"/>
                <w:lang w:eastAsia="tr-TR"/>
              </w:rPr>
              <w:t xml:space="preserve"> </w:t>
            </w:r>
            <w:r w:rsidR="00DF60C8" w:rsidRPr="00F257EC">
              <w:rPr>
                <w:rFonts w:eastAsia="Arial Unicode MS"/>
                <w:iCs/>
                <w:szCs w:val="24"/>
                <w:lang w:eastAsia="tr-TR"/>
              </w:rPr>
              <w:t>nci</w:t>
            </w:r>
            <w:r w:rsidRPr="00A23740">
              <w:rPr>
                <w:rFonts w:eastAsia="Times New Roman"/>
                <w:szCs w:val="24"/>
                <w:lang w:eastAsia="x-none"/>
              </w:rPr>
              <w:t xml:space="preserve"> </w:t>
            </w:r>
            <w:r w:rsidR="00DF60C8" w:rsidRPr="00F257EC">
              <w:rPr>
                <w:rFonts w:eastAsia="Arial Unicode MS"/>
                <w:iCs/>
                <w:szCs w:val="24"/>
                <w:lang w:eastAsia="tr-TR"/>
              </w:rPr>
              <w:t>maddesinin</w:t>
            </w:r>
            <w:r w:rsidR="00DF60C8" w:rsidRPr="00A23740">
              <w:rPr>
                <w:rStyle w:val="KonuBalChar"/>
                <w:rFonts w:eastAsia="Calibri"/>
              </w:rPr>
              <w:t xml:space="preserve"> </w:t>
            </w:r>
            <w:r w:rsidR="00DF60C8" w:rsidRPr="00F257EC">
              <w:rPr>
                <w:rFonts w:eastAsia="Arial Unicode MS"/>
                <w:iCs/>
                <w:szCs w:val="24"/>
                <w:lang w:eastAsia="tr-TR"/>
              </w:rPr>
              <w:t>üçüncü</w:t>
            </w:r>
            <w:r w:rsidR="00DF60C8" w:rsidRPr="00A23740">
              <w:rPr>
                <w:rStyle w:val="KonuBalChar"/>
                <w:rFonts w:eastAsia="Calibri"/>
              </w:rPr>
              <w:t xml:space="preserve"> </w:t>
            </w:r>
            <w:r w:rsidR="00DF60C8" w:rsidRPr="00F257EC">
              <w:rPr>
                <w:rFonts w:eastAsia="Arial Unicode MS"/>
                <w:iCs/>
                <w:szCs w:val="24"/>
                <w:lang w:eastAsia="tr-TR"/>
              </w:rPr>
              <w:t>fıkrasında</w:t>
            </w:r>
            <w:r w:rsidR="00DF60C8" w:rsidRPr="00A23740">
              <w:rPr>
                <w:rFonts w:eastAsia="Times New Roman"/>
                <w:szCs w:val="24"/>
                <w:lang w:eastAsia="x-none"/>
              </w:rPr>
              <w:t xml:space="preserve"> </w:t>
            </w:r>
            <w:r w:rsidRPr="00A23740">
              <w:rPr>
                <w:rFonts w:eastAsia="Times New Roman"/>
                <w:szCs w:val="24"/>
                <w:lang w:eastAsia="x-none"/>
              </w:rPr>
              <w:t>yeniden düzenlenmektedir.</w:t>
            </w:r>
          </w:p>
          <w:p w:rsidR="009D25DD" w:rsidRPr="002A27F8" w:rsidRDefault="009D25DD" w:rsidP="002A27F8">
            <w:pPr>
              <w:tabs>
                <w:tab w:val="left" w:pos="567"/>
              </w:tabs>
              <w:ind w:firstLine="709"/>
              <w:rPr>
                <w:rFonts w:eastAsia="Times New Roman"/>
                <w:szCs w:val="24"/>
                <w:lang w:eastAsia="x-none"/>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tr-TR"/>
              </w:rPr>
            </w:pPr>
            <w:r w:rsidRPr="00A23740">
              <w:br w:type="page"/>
            </w:r>
            <w:r w:rsidRPr="00A23740">
              <w:rPr>
                <w:rFonts w:eastAsia="Times New Roman"/>
                <w:b/>
                <w:strike/>
                <w:color w:val="FF0000"/>
                <w:szCs w:val="24"/>
                <w:lang w:eastAsia="tr-TR"/>
              </w:rPr>
              <w:t>Yükümlülüklerin yerine getirilmemesi:</w:t>
            </w:r>
          </w:p>
          <w:p w:rsidR="00A043AD" w:rsidRDefault="00A043AD" w:rsidP="00CA460F">
            <w:pPr>
              <w:rPr>
                <w:rFonts w:eastAsia="Times New Roman"/>
                <w:b/>
                <w:strike/>
                <w:color w:val="FF0000"/>
                <w:szCs w:val="24"/>
                <w:lang w:eastAsia="tr-TR"/>
              </w:rPr>
            </w:pPr>
            <w:r w:rsidRPr="005A4748">
              <w:rPr>
                <w:rStyle w:val="KIRMIZIChar"/>
                <w:rFonts w:eastAsia="Calibri"/>
              </w:rPr>
              <w:t>Madde 337</w:t>
            </w:r>
            <w:r w:rsidRPr="00466739">
              <w:rPr>
                <w:rStyle w:val="KIRMIZIChar"/>
                <w:rFonts w:eastAsia="Calibri"/>
              </w:rPr>
              <w:t>- (1)</w:t>
            </w:r>
            <w:r w:rsidRPr="00A23740">
              <w:rPr>
                <w:rFonts w:eastAsia="Times New Roman"/>
                <w:b/>
                <w:strike/>
                <w:color w:val="FF0000"/>
                <w:szCs w:val="24"/>
                <w:lang w:eastAsia="tr-TR"/>
              </w:rPr>
              <w:t xml:space="preserve"> (İptal birinci fıkra: Anayasa Mahkemesi’nin 28/2/2008 tarihli ve  E.: 2006/71, K.: 2008/69 sayılı Kararı ile.) İPTAL EDİLEN FIKRA: Müddeti içinde beyanda bulunmak üzere mazereti olmaksızın icra dairesine gelmeyen veya yazılı beyanda bulunmayan borçlu, alacaklının şikâyeti üzerine, on gün disiplin hapsi ile cezalandırılır. Alacaklının alacağını karşılayacak miktarda malın haczedilmesi veya borcun ödenmesi hâlinde, bu ceza düşer.</w:t>
            </w:r>
          </w:p>
          <w:p w:rsidR="00A42965" w:rsidRDefault="00A42965" w:rsidP="00CA460F">
            <w:pPr>
              <w:rPr>
                <w:rFonts w:eastAsia="Times New Roman"/>
                <w:b/>
                <w:bCs/>
                <w:strike/>
                <w:color w:val="FF0000"/>
                <w:szCs w:val="24"/>
                <w:lang w:eastAsia="x-none"/>
              </w:rPr>
            </w:pPr>
          </w:p>
          <w:p w:rsidR="009D25DD" w:rsidRPr="00A23740" w:rsidRDefault="009D25DD" w:rsidP="00CA460F">
            <w:pPr>
              <w:rPr>
                <w:rFonts w:eastAsia="Times New Roman"/>
                <w:b/>
                <w:bCs/>
                <w:strike/>
                <w:color w:val="FF0000"/>
                <w:szCs w:val="24"/>
                <w:lang w:eastAsia="x-none"/>
              </w:rPr>
            </w:pPr>
          </w:p>
        </w:tc>
        <w:tc>
          <w:tcPr>
            <w:tcW w:w="2500" w:type="pct"/>
          </w:tcPr>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Beyanda bulunmama</w:t>
            </w:r>
          </w:p>
          <w:p w:rsidR="00A043AD" w:rsidRPr="00A23740" w:rsidRDefault="00A043AD" w:rsidP="00750F08">
            <w:pPr>
              <w:rPr>
                <w:rFonts w:eastAsia="Times New Roman"/>
                <w:b/>
                <w:bCs/>
                <w:color w:val="0000FF"/>
                <w:szCs w:val="24"/>
                <w:lang w:eastAsia="x-none"/>
              </w:rPr>
            </w:pPr>
            <w:r w:rsidRPr="005A4748">
              <w:rPr>
                <w:rStyle w:val="Balk1Char"/>
                <w:rFonts w:eastAsia="Calibri"/>
              </w:rPr>
              <w:t>MADDE</w:t>
            </w:r>
            <w:r w:rsidRPr="005A4748">
              <w:rPr>
                <w:rFonts w:eastAsia="Times New Roman"/>
                <w:b/>
                <w:bCs/>
                <w:color w:val="000000" w:themeColor="text1"/>
                <w:szCs w:val="24"/>
                <w:lang w:eastAsia="x-none"/>
              </w:rPr>
              <w:t xml:space="preserve"> </w:t>
            </w:r>
            <w:r w:rsidRPr="00A23740">
              <w:rPr>
                <w:rFonts w:eastAsia="Times New Roman"/>
                <w:b/>
                <w:bCs/>
                <w:color w:val="0000FF"/>
                <w:szCs w:val="24"/>
                <w:lang w:eastAsia="x-none"/>
              </w:rPr>
              <w:t>511</w:t>
            </w:r>
            <w:r w:rsidRPr="00466739">
              <w:rPr>
                <w:rStyle w:val="Balk1Char"/>
                <w:rFonts w:eastAsia="Calibri"/>
              </w:rPr>
              <w:t xml:space="preserve">- (1) </w:t>
            </w:r>
            <w:r w:rsidRPr="00466739">
              <w:rPr>
                <w:rStyle w:val="Balk1Char"/>
                <w:rFonts w:eastAsia="ヒラギノ明朝 Pro W3"/>
              </w:rPr>
              <w:t>B</w:t>
            </w:r>
            <w:r w:rsidRPr="00F257EC">
              <w:rPr>
                <w:rStyle w:val="YELChar"/>
                <w:color w:val="0000FF"/>
              </w:rPr>
              <w:t>eyanda bulunma yükümlülüğünü</w:t>
            </w:r>
            <w:r w:rsidRPr="00A23740">
              <w:rPr>
                <w:rFonts w:eastAsia="Times New Roman"/>
                <w:b/>
                <w:bCs/>
                <w:color w:val="0000FF"/>
                <w:szCs w:val="24"/>
                <w:lang w:eastAsia="x-none"/>
              </w:rPr>
              <w:t xml:space="preserve"> 120, 123 ve</w:t>
            </w:r>
            <w:r w:rsidR="00BD6330" w:rsidRPr="00A23740">
              <w:rPr>
                <w:rFonts w:eastAsia="Times New Roman"/>
                <w:b/>
                <w:bCs/>
                <w:color w:val="0000FF"/>
                <w:szCs w:val="24"/>
                <w:lang w:eastAsia="x-none"/>
              </w:rPr>
              <w:t xml:space="preserve"> </w:t>
            </w:r>
            <w:r w:rsidR="00BD6330" w:rsidRPr="00F257EC">
              <w:rPr>
                <w:rStyle w:val="KonuBalChar"/>
                <w:rFonts w:eastAsia="Calibri"/>
                <w:color w:val="0000FF"/>
              </w:rPr>
              <w:t>264 üncü</w:t>
            </w:r>
            <w:r w:rsidRPr="00A23740">
              <w:rPr>
                <w:rFonts w:eastAsia="Times New Roman"/>
                <w:b/>
                <w:bCs/>
                <w:color w:val="0000FF"/>
                <w:szCs w:val="24"/>
                <w:lang w:eastAsia="x-none"/>
              </w:rPr>
              <w:t xml:space="preserve"> </w:t>
            </w:r>
            <w:r w:rsidRPr="00F257EC">
              <w:rPr>
                <w:rFonts w:eastAsia="Times New Roman"/>
                <w:b/>
                <w:bCs/>
                <w:color w:val="0000FF"/>
                <w:szCs w:val="24"/>
                <w:lang w:eastAsia="x-none"/>
              </w:rPr>
              <w:t>maddeler</w:t>
            </w:r>
            <w:r w:rsidR="00CA460F" w:rsidRPr="00F257EC">
              <w:rPr>
                <w:rFonts w:eastAsia="Times New Roman"/>
                <w:b/>
                <w:bCs/>
                <w:color w:val="0000FF"/>
                <w:szCs w:val="24"/>
                <w:lang w:eastAsia="x-none"/>
              </w:rPr>
              <w:t>e uygun şekilde</w:t>
            </w:r>
            <w:r w:rsidRPr="00A23740">
              <w:rPr>
                <w:rFonts w:eastAsia="Times New Roman"/>
                <w:b/>
                <w:bCs/>
                <w:color w:val="0000FF"/>
                <w:szCs w:val="24"/>
                <w:lang w:eastAsia="x-none"/>
              </w:rPr>
              <w:t xml:space="preserve"> geçerli bir mazereti olmaksızın süresi içinde yerine getirmeyen borçlu, alacaklının şikâyeti üzerine, on gün disiplin </w:t>
            </w:r>
            <w:r w:rsidR="001647D1" w:rsidRPr="00F257EC">
              <w:rPr>
                <w:b/>
                <w:color w:val="0000FF"/>
                <w:szCs w:val="24"/>
                <w:lang w:val="x-none" w:eastAsia="x-none"/>
              </w:rPr>
              <w:t>hapsiyle</w:t>
            </w:r>
            <w:r w:rsidRPr="00A23740">
              <w:rPr>
                <w:rFonts w:eastAsia="Times New Roman"/>
                <w:b/>
                <w:bCs/>
                <w:color w:val="0000FF"/>
                <w:szCs w:val="24"/>
                <w:lang w:eastAsia="x-none"/>
              </w:rPr>
              <w:t xml:space="preserve"> cezalandırılır.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bCs/>
                <w:color w:val="FF0000"/>
                <w:szCs w:val="24"/>
                <w:lang w:eastAsia="x-none"/>
              </w:rPr>
            </w:pPr>
          </w:p>
          <w:p w:rsidR="00A043AD" w:rsidRPr="00A23740" w:rsidRDefault="00A043AD" w:rsidP="00750F08">
            <w:pPr>
              <w:rPr>
                <w:rFonts w:eastAsia="Times New Roman"/>
                <w:b/>
                <w:bCs/>
                <w:color w:val="FF0000"/>
                <w:szCs w:val="24"/>
                <w:lang w:eastAsia="x-none"/>
              </w:rPr>
            </w:pPr>
          </w:p>
          <w:p w:rsidR="00A043AD" w:rsidRPr="00A23740" w:rsidRDefault="00A043AD" w:rsidP="00750F08">
            <w:pPr>
              <w:rPr>
                <w:rFonts w:eastAsia="Times New Roman"/>
                <w:b/>
                <w:bCs/>
                <w:color w:val="FF0000"/>
                <w:szCs w:val="24"/>
                <w:lang w:eastAsia="x-none"/>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851"/>
              <w:rPr>
                <w:rFonts w:eastAsia="Arial Unicode MS"/>
                <w:b/>
                <w:iCs/>
                <w:szCs w:val="24"/>
                <w:lang w:eastAsia="tr-TR"/>
              </w:rPr>
            </w:pPr>
          </w:p>
          <w:p w:rsidR="00A043AD" w:rsidRPr="00A23740" w:rsidRDefault="00A043AD" w:rsidP="00750F08">
            <w:pPr>
              <w:tabs>
                <w:tab w:val="left" w:pos="567"/>
              </w:tabs>
              <w:ind w:firstLine="709"/>
              <w:rPr>
                <w:rFonts w:eastAsia="Times New Roman"/>
                <w:bCs/>
                <w:szCs w:val="24"/>
                <w:lang w:eastAsia="x-none"/>
              </w:rPr>
            </w:pPr>
            <w:r w:rsidRPr="00A23740">
              <w:rPr>
                <w:rFonts w:eastAsia="Times New Roman"/>
                <w:b/>
                <w:bCs/>
                <w:szCs w:val="24"/>
                <w:lang w:eastAsia="x-none"/>
              </w:rPr>
              <w:t xml:space="preserve">MADDE 511- </w:t>
            </w:r>
            <w:r w:rsidRPr="00A23740">
              <w:rPr>
                <w:rFonts w:eastAsia="Times New Roman"/>
                <w:bCs/>
                <w:szCs w:val="24"/>
                <w:lang w:eastAsia="x-none"/>
              </w:rPr>
              <w:t>Maddeyle, beyanda bulunma yükümlülüğüne aykırı davranılması hâlinde uygulanacak cezai hükümler düzenlenmektedir. Bu madde içerik olarak 2004 sayılı Kanunun “Yükümlülüklerin yerine getirilmemesi” başlıklı 337 nci maddesinin Anayasa Mahkemesi tarafından iptal edilen birinci fıkrasına karşılık gelmektedir.</w:t>
            </w:r>
          </w:p>
          <w:p w:rsidR="00A043AD" w:rsidRPr="00A23740" w:rsidRDefault="00A043AD" w:rsidP="00750F08">
            <w:pPr>
              <w:tabs>
                <w:tab w:val="left" w:pos="567"/>
              </w:tabs>
              <w:ind w:firstLine="851"/>
              <w:rPr>
                <w:rFonts w:eastAsia="Times New Roman"/>
                <w:bCs/>
                <w:szCs w:val="24"/>
                <w:lang w:eastAsia="x-none"/>
              </w:rPr>
            </w:pPr>
            <w:r w:rsidRPr="00A23740">
              <w:rPr>
                <w:rFonts w:eastAsia="Times New Roman"/>
                <w:bCs/>
                <w:szCs w:val="24"/>
                <w:lang w:eastAsia="x-none"/>
              </w:rPr>
              <w:t>2004 sayılı Kanunda beyanda bulunmama eyleminin cezası, 337 nci maddenin birinci fıkrasında on gün disiplin hapsi olarak düzenlenmişti. Anayasa Mahkemesinin 28/2/2008 tarihli ve 2006/71 Esas, 2008/69 Karar sayılı kararıyla 337 nci maddenin birinci fıkrası iptal edilmişti. Bu iptal kararından sonra</w:t>
            </w:r>
            <w:r w:rsidR="00DF423E" w:rsidRPr="00A23740">
              <w:rPr>
                <w:rFonts w:eastAsia="Times New Roman"/>
                <w:bCs/>
                <w:szCs w:val="24"/>
                <w:lang w:eastAsia="x-none"/>
              </w:rPr>
              <w:t>,</w:t>
            </w:r>
            <w:r w:rsidRPr="00A23740">
              <w:rPr>
                <w:rFonts w:eastAsia="Times New Roman"/>
                <w:bCs/>
                <w:szCs w:val="24"/>
                <w:lang w:eastAsia="x-none"/>
              </w:rPr>
              <w:t xml:space="preserve"> anılan 337 nci maddenin birinci fıkrasıyla ilgili herhangi bir kanuni düzenleme yapılmamıştır. Beyanda bulunma, alacağın cebr</w:t>
            </w:r>
            <w:r w:rsidR="00A949BC" w:rsidRPr="00A23740">
              <w:rPr>
                <w:rFonts w:eastAsia="Times New Roman"/>
                <w:bCs/>
                <w:szCs w:val="24"/>
                <w:lang w:eastAsia="x-none"/>
              </w:rPr>
              <w:t>î</w:t>
            </w:r>
            <w:r w:rsidRPr="00A23740">
              <w:rPr>
                <w:rFonts w:eastAsia="Times New Roman"/>
                <w:bCs/>
                <w:szCs w:val="24"/>
                <w:lang w:eastAsia="x-none"/>
              </w:rPr>
              <w:t xml:space="preserve"> icra yoluyla tahsilinde önemli bir kurum olduğundan bu kurumun daha etkin bir şekilde uygulanabilmesi için anılan iptal kararı </w:t>
            </w:r>
            <w:r w:rsidR="00DF423E" w:rsidRPr="00A23740">
              <w:rPr>
                <w:rFonts w:eastAsia="Times New Roman"/>
                <w:bCs/>
                <w:szCs w:val="24"/>
                <w:lang w:eastAsia="x-none"/>
              </w:rPr>
              <w:t xml:space="preserve">sonucunda </w:t>
            </w:r>
            <w:r w:rsidRPr="00A23740">
              <w:rPr>
                <w:rFonts w:eastAsia="Times New Roman"/>
                <w:bCs/>
                <w:szCs w:val="24"/>
                <w:lang w:eastAsia="x-none"/>
              </w:rPr>
              <w:t>uygulamada ortaya çıkan sorunlar da dikkate alınarak</w:t>
            </w:r>
            <w:r w:rsidR="00DF423E" w:rsidRPr="00A23740">
              <w:rPr>
                <w:rFonts w:eastAsia="Times New Roman"/>
                <w:bCs/>
                <w:szCs w:val="24"/>
                <w:lang w:eastAsia="x-none"/>
              </w:rPr>
              <w:t>,</w:t>
            </w:r>
            <w:r w:rsidRPr="00A23740">
              <w:rPr>
                <w:rFonts w:eastAsia="Times New Roman"/>
                <w:bCs/>
                <w:szCs w:val="24"/>
                <w:lang w:eastAsia="x-none"/>
              </w:rPr>
              <w:t xml:space="preserve"> bir eyleme birden fazla yaptırım uygulanamayacağı ilkesinden hareketle beyanda bulunma yükümlülüğünün kapsamı açıkça belirlenerek yeniden düzenlenmektedir.</w:t>
            </w:r>
          </w:p>
          <w:p w:rsidR="00A043AD" w:rsidRPr="002A27F8" w:rsidRDefault="00A043AD" w:rsidP="002A27F8">
            <w:pPr>
              <w:tabs>
                <w:tab w:val="left" w:pos="567"/>
              </w:tabs>
              <w:ind w:firstLine="709"/>
              <w:rPr>
                <w:rFonts w:eastAsia="Times New Roman"/>
                <w:bCs/>
                <w:szCs w:val="24"/>
                <w:lang w:eastAsia="x-none"/>
              </w:rPr>
            </w:pPr>
            <w:r w:rsidRPr="00A23740">
              <w:rPr>
                <w:rFonts w:eastAsia="Times New Roman"/>
                <w:bCs/>
                <w:szCs w:val="24"/>
                <w:lang w:eastAsia="x-none"/>
              </w:rPr>
              <w:t>Birinci fıkrayla, Taslağın</w:t>
            </w:r>
            <w:r w:rsidR="00A06764" w:rsidRPr="00A06764">
              <w:rPr>
                <w:rStyle w:val="KIRMIZIChar"/>
                <w:rFonts w:eastAsia="Calibri"/>
                <w:strike w:val="0"/>
              </w:rPr>
              <w:t xml:space="preserve"> </w:t>
            </w:r>
            <w:r w:rsidR="00BD6330" w:rsidRPr="002E2E40">
              <w:rPr>
                <w:rStyle w:val="KonuBalChar"/>
                <w:rFonts w:eastAsia="Calibri"/>
                <w:b w:val="0"/>
                <w:color w:val="auto"/>
              </w:rPr>
              <w:t>“İpoteğin paraya çevrilmesine ilişkin icra emri”</w:t>
            </w:r>
            <w:r w:rsidR="00BD6330" w:rsidRPr="00A23740">
              <w:rPr>
                <w:rFonts w:eastAsia="Times New Roman"/>
                <w:bCs/>
                <w:szCs w:val="24"/>
                <w:lang w:eastAsia="x-none"/>
              </w:rPr>
              <w:t xml:space="preserve"> </w:t>
            </w:r>
            <w:r w:rsidRPr="00A23740">
              <w:rPr>
                <w:rFonts w:eastAsia="Times New Roman"/>
                <w:bCs/>
                <w:szCs w:val="24"/>
                <w:lang w:eastAsia="x-none"/>
              </w:rPr>
              <w:t xml:space="preserve">başlıklı 120, “İpoteğin paraya çevrilmesine ilişkin ödeme emri” başlıklı 123 ve “Kesin aciz belgesinin hüküm ve sonuçları” başlıklı </w:t>
            </w:r>
            <w:r w:rsidR="00A96579" w:rsidRPr="002E2E40">
              <w:rPr>
                <w:rStyle w:val="KonuBalChar"/>
                <w:rFonts w:eastAsia="Calibri"/>
                <w:b w:val="0"/>
                <w:color w:val="auto"/>
              </w:rPr>
              <w:t>264 üncü</w:t>
            </w:r>
            <w:r w:rsidR="00A96579" w:rsidRPr="00A23740">
              <w:rPr>
                <w:rFonts w:eastAsia="Times New Roman"/>
                <w:b/>
                <w:bCs/>
                <w:color w:val="0000FF"/>
                <w:szCs w:val="24"/>
                <w:lang w:eastAsia="x-none"/>
              </w:rPr>
              <w:t xml:space="preserve"> </w:t>
            </w:r>
            <w:r w:rsidRPr="00A23740">
              <w:rPr>
                <w:rFonts w:eastAsia="Times New Roman"/>
                <w:bCs/>
                <w:szCs w:val="24"/>
                <w:lang w:eastAsia="x-none"/>
              </w:rPr>
              <w:t xml:space="preserve">maddeleri gereğince beyanda bulunma yükümlülüğünü geçerli bir mazereti olmaksızın süresi içinde yerine getirmeyen borçlunun, alacaklının şikâyeti üzerine, on gün disiplin </w:t>
            </w:r>
            <w:r w:rsidR="001647D1" w:rsidRPr="002E2E40">
              <w:rPr>
                <w:rFonts w:eastAsia="Times New Roman"/>
                <w:bCs/>
                <w:szCs w:val="24"/>
                <w:lang w:eastAsia="x-none"/>
              </w:rPr>
              <w:t>hapsiyle</w:t>
            </w:r>
            <w:r w:rsidRPr="00A23740">
              <w:rPr>
                <w:rFonts w:eastAsia="Times New Roman"/>
                <w:bCs/>
                <w:szCs w:val="24"/>
                <w:lang w:eastAsia="x-none"/>
              </w:rPr>
              <w:t xml:space="preserve"> cezalandırılacağı hükme bağlanmaktadır. 2004 sayılı Kanunun 367 nci maddesinin birinci fıkrasında yer alan esaslar hükümde muhafaza edilmektedir. Ayrıca hükümde, yükümlülüğün süresi içinde </w:t>
            </w:r>
            <w:r w:rsidR="00DF423E" w:rsidRPr="00A23740">
              <w:rPr>
                <w:rFonts w:eastAsia="Times New Roman"/>
                <w:bCs/>
                <w:szCs w:val="24"/>
                <w:lang w:eastAsia="x-none"/>
              </w:rPr>
              <w:t xml:space="preserve">yerine getirilmesi </w:t>
            </w:r>
            <w:r w:rsidRPr="00A23740">
              <w:rPr>
                <w:rFonts w:eastAsia="Times New Roman"/>
                <w:bCs/>
                <w:szCs w:val="24"/>
                <w:lang w:eastAsia="x-none"/>
              </w:rPr>
              <w:t xml:space="preserve">gereği ifade edilmektedir. Bu süre, 120 ve 123 üncü maddelerde iki ay, </w:t>
            </w:r>
            <w:r w:rsidR="00A96579" w:rsidRPr="002E2E40">
              <w:rPr>
                <w:rStyle w:val="KonuBalChar"/>
                <w:rFonts w:eastAsia="Calibri"/>
                <w:b w:val="0"/>
                <w:color w:val="auto"/>
              </w:rPr>
              <w:t>264 üncü</w:t>
            </w:r>
            <w:r w:rsidR="00A96579" w:rsidRPr="00A23740">
              <w:rPr>
                <w:rFonts w:eastAsia="Times New Roman"/>
                <w:b/>
                <w:bCs/>
                <w:color w:val="0000FF"/>
                <w:szCs w:val="24"/>
                <w:lang w:eastAsia="x-none"/>
              </w:rPr>
              <w:t xml:space="preserve"> </w:t>
            </w:r>
            <w:r w:rsidRPr="00A23740">
              <w:rPr>
                <w:rFonts w:eastAsia="Times New Roman"/>
                <w:bCs/>
                <w:szCs w:val="24"/>
                <w:lang w:eastAsia="x-none"/>
              </w:rPr>
              <w:t xml:space="preserve">maddede ise iki hafta olarak düzenlenmektedir. Diğer taraftan </w:t>
            </w:r>
            <w:r w:rsidRPr="00A23740">
              <w:rPr>
                <w:rFonts w:eastAsia="Times New Roman"/>
                <w:szCs w:val="24"/>
                <w:lang w:eastAsia="tr-TR"/>
              </w:rPr>
              <w:t>bu Kitapta düzenlenen hükümlerde yer alan “makbul bir mazeret”, “makbul bir sebep” ve “haklı bir sebep” unsuru, yeknesaklığın sağlanması ve hükmün tereddüde mahal vermeyecek şekilde daha iyi uygulanması amacıyla “geçerli bir mazeret” olarak değiştirilmektedir.</w:t>
            </w:r>
          </w:p>
          <w:p w:rsidR="00A043AD" w:rsidRPr="00A23740" w:rsidRDefault="00A043AD" w:rsidP="00750F08">
            <w:pPr>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b/>
                <w:strike/>
                <w:color w:val="FF0000"/>
                <w:szCs w:val="24"/>
                <w:lang w:eastAsia="x-none"/>
              </w:rPr>
              <w:t xml:space="preserve">Borçlunun </w:t>
            </w:r>
            <w:r w:rsidRPr="00A23740">
              <w:rPr>
                <w:rFonts w:eastAsia="Times New Roman"/>
                <w:b/>
                <w:szCs w:val="24"/>
                <w:lang w:eastAsia="tr-TR"/>
              </w:rPr>
              <w:t xml:space="preserve">ödeme </w:t>
            </w:r>
            <w:r w:rsidRPr="00A23740">
              <w:rPr>
                <w:rFonts w:eastAsia="Times New Roman"/>
                <w:b/>
                <w:bCs/>
                <w:strike/>
                <w:color w:val="FF0000"/>
                <w:szCs w:val="24"/>
                <w:lang w:eastAsia="x-none"/>
              </w:rPr>
              <w:t>şartını</w:t>
            </w:r>
            <w:r w:rsidRPr="00A23740">
              <w:rPr>
                <w:rFonts w:eastAsia="Times New Roman"/>
                <w:b/>
                <w:szCs w:val="24"/>
                <w:lang w:eastAsia="tr-TR"/>
              </w:rPr>
              <w:t xml:space="preserve"> ihlal</w:t>
            </w:r>
            <w:r w:rsidRPr="00A23740">
              <w:rPr>
                <w:rFonts w:eastAsia="Times New Roman"/>
                <w:b/>
                <w:bCs/>
                <w:strike/>
                <w:color w:val="FF0000"/>
                <w:szCs w:val="24"/>
                <w:lang w:eastAsia="x-none"/>
              </w:rPr>
              <w:t>i halinde ceza:</w:t>
            </w:r>
          </w:p>
          <w:p w:rsidR="00A043AD" w:rsidRPr="00A23740" w:rsidRDefault="00A043AD" w:rsidP="00750F08">
            <w:pPr>
              <w:rPr>
                <w:b/>
                <w:bCs/>
                <w:strike/>
                <w:color w:val="FF0000"/>
                <w:szCs w:val="24"/>
              </w:rPr>
            </w:pPr>
            <w:r w:rsidRPr="005A4748">
              <w:rPr>
                <w:rStyle w:val="KIRMIZIChar"/>
                <w:rFonts w:eastAsia="Calibri"/>
              </w:rPr>
              <w:t>Madde 340</w:t>
            </w:r>
            <w:r w:rsidR="005A4748" w:rsidRPr="005A4748">
              <w:rPr>
                <w:rStyle w:val="KIRMIZIChar"/>
                <w:rFonts w:eastAsia="Calibri"/>
              </w:rPr>
              <w:t>-</w:t>
            </w:r>
            <w:r w:rsidRPr="005A4748">
              <w:rPr>
                <w:rStyle w:val="KIRMIZIChar"/>
                <w:rFonts w:eastAsia="Calibri"/>
              </w:rPr>
              <w:t xml:space="preserve"> (Değ</w:t>
            </w:r>
            <w:r w:rsidRPr="00A23740">
              <w:rPr>
                <w:rFonts w:eastAsia="Times New Roman"/>
                <w:b/>
                <w:strike/>
                <w:color w:val="FF0000"/>
                <w:szCs w:val="24"/>
                <w:lang w:eastAsia="x-none"/>
              </w:rPr>
              <w:t xml:space="preserve">işik: 31/5/2005-5358/11 </w:t>
            </w:r>
            <w:r w:rsidRPr="00466739">
              <w:rPr>
                <w:rStyle w:val="KIRMIZIChar"/>
                <w:rFonts w:eastAsia="Calibri"/>
              </w:rPr>
              <w:t>md.) (1) 1</w:t>
            </w:r>
            <w:r w:rsidRPr="00A23740">
              <w:rPr>
                <w:rFonts w:eastAsia="Times New Roman"/>
                <w:b/>
                <w:strike/>
                <w:color w:val="FF0000"/>
                <w:szCs w:val="24"/>
                <w:lang w:eastAsia="x-none"/>
              </w:rPr>
              <w:t xml:space="preserve">11 </w:t>
            </w:r>
            <w:r w:rsidRPr="005A4748">
              <w:rPr>
                <w:rStyle w:val="KIRMIZIChar"/>
                <w:rFonts w:eastAsia="Calibri"/>
              </w:rPr>
              <w:t>inci madde mucibince veya alacaklının muvafakati ile icra dairesinde kararlaştırılan borcu ödeme şartını, makbul bir sebep</w:t>
            </w:r>
            <w:r w:rsidRPr="00A23740">
              <w:rPr>
                <w:rFonts w:eastAsia="Times New Roman"/>
                <w:szCs w:val="24"/>
                <w:lang w:eastAsia="tr-TR"/>
              </w:rPr>
              <w:t xml:space="preserve"> olmaksızın ihlal eden borçlu</w:t>
            </w:r>
            <w:r w:rsidRPr="00A23740">
              <w:rPr>
                <w:rFonts w:eastAsia="Times New Roman"/>
                <w:b/>
                <w:strike/>
                <w:color w:val="FF0000"/>
                <w:szCs w:val="24"/>
                <w:lang w:eastAsia="x-none"/>
              </w:rPr>
              <w:t>nun</w:t>
            </w:r>
            <w:r w:rsidRPr="00A23740">
              <w:rPr>
                <w:rFonts w:eastAsia="Times New Roman"/>
                <w:szCs w:val="24"/>
                <w:lang w:eastAsia="tr-TR"/>
              </w:rPr>
              <w:t xml:space="preserve">, alacaklının şikâyeti üzerine, üç aya kadar tazyik hapsine karar verilir. </w:t>
            </w:r>
            <w:r w:rsidRPr="00A23740">
              <w:rPr>
                <w:b/>
                <w:bCs/>
                <w:strike/>
                <w:color w:val="FF0000"/>
                <w:szCs w:val="24"/>
              </w:rPr>
              <w:t>Hapsin tatbikine başlandıktan sonra borçlu borcun tamamını veya o tarihe kadar icra veznesine yatırmak zorunda olduğu meblağı öderse tahliye edilir; ödemelerini tekrar keserse, hakkında tazyik hapsine yeniden karar verilir. Ancak, bir borçtan dolayı tazyik hapsinin süresi üç ayı geçemez.</w:t>
            </w:r>
          </w:p>
          <w:p w:rsidR="00A043AD" w:rsidRDefault="00A42965" w:rsidP="00750F08">
            <w:pPr>
              <w:rPr>
                <w:rFonts w:eastAsia="Times New Roman"/>
                <w:szCs w:val="24"/>
                <w:lang w:eastAsia="tr-TR"/>
              </w:rPr>
            </w:pPr>
            <w:r>
              <w:rPr>
                <w:b/>
                <w:bCs/>
                <w:strike/>
                <w:color w:val="FF0000"/>
                <w:szCs w:val="24"/>
              </w:rPr>
              <w:t>(F1.C</w:t>
            </w:r>
            <w:r w:rsidR="00A043AD" w:rsidRPr="00A23740">
              <w:rPr>
                <w:b/>
                <w:bCs/>
                <w:strike/>
                <w:color w:val="FF0000"/>
                <w:szCs w:val="24"/>
              </w:rPr>
              <w:t>2</w:t>
            </w:r>
            <w:r w:rsidR="00A043AD" w:rsidRPr="00A23740">
              <w:rPr>
                <w:rStyle w:val="KIRMIZIChar"/>
                <w:rFonts w:eastAsia="Calibri"/>
              </w:rPr>
              <w:t xml:space="preserve">) </w:t>
            </w:r>
            <w:r w:rsidR="00A043AD" w:rsidRPr="005A4748">
              <w:rPr>
                <w:rStyle w:val="KIRMIZIChar"/>
                <w:rFonts w:eastAsia="Calibri"/>
              </w:rPr>
              <w:t>Hapsin tatbikine</w:t>
            </w:r>
            <w:r w:rsidR="00A043AD" w:rsidRPr="00A23740">
              <w:rPr>
                <w:rFonts w:eastAsia="Times New Roman"/>
                <w:szCs w:val="24"/>
                <w:lang w:eastAsia="tr-TR"/>
              </w:rPr>
              <w:t xml:space="preserve"> başlandıktan sonra borçlu borcun </w:t>
            </w:r>
            <w:r w:rsidR="00A043AD" w:rsidRPr="00A23740">
              <w:rPr>
                <w:rStyle w:val="KIRMIZIChar"/>
                <w:rFonts w:eastAsia="Calibri"/>
              </w:rPr>
              <w:t>tamamını veya</w:t>
            </w:r>
            <w:r w:rsidR="00A043AD" w:rsidRPr="00A23740">
              <w:rPr>
                <w:rFonts w:eastAsia="Times New Roman"/>
                <w:szCs w:val="24"/>
                <w:lang w:eastAsia="tr-TR"/>
              </w:rPr>
              <w:t xml:space="preserve"> </w:t>
            </w:r>
            <w:r w:rsidR="00A043AD" w:rsidRPr="00A23740">
              <w:rPr>
                <w:rStyle w:val="KIRMIZIChar"/>
                <w:rFonts w:eastAsia="Calibri"/>
              </w:rPr>
              <w:t>o</w:t>
            </w:r>
            <w:r w:rsidR="00A043AD" w:rsidRPr="00A23740">
              <w:rPr>
                <w:rFonts w:eastAsia="Times New Roman"/>
                <w:szCs w:val="24"/>
                <w:lang w:eastAsia="tr-TR"/>
              </w:rPr>
              <w:t xml:space="preserve"> tarihe kadar </w:t>
            </w:r>
            <w:r w:rsidR="00A043AD" w:rsidRPr="00A23740">
              <w:rPr>
                <w:rFonts w:eastAsia="Times New Roman"/>
                <w:b/>
                <w:bCs/>
                <w:strike/>
                <w:color w:val="FF0000"/>
                <w:szCs w:val="24"/>
                <w:lang w:eastAsia="x-none"/>
              </w:rPr>
              <w:t>icra veznesine</w:t>
            </w:r>
            <w:r w:rsidR="00A043AD" w:rsidRPr="00A23740">
              <w:rPr>
                <w:rFonts w:eastAsia="Times New Roman"/>
                <w:szCs w:val="24"/>
                <w:lang w:eastAsia="tr-TR"/>
              </w:rPr>
              <w:t xml:space="preserve"> yatırmak zorunda olduğu </w:t>
            </w:r>
            <w:r w:rsidR="00A043AD" w:rsidRPr="00A23740">
              <w:rPr>
                <w:rStyle w:val="KIRMIZIChar"/>
                <w:rFonts w:eastAsia="Calibri"/>
              </w:rPr>
              <w:t>meblağı</w:t>
            </w:r>
            <w:r w:rsidR="00A043AD" w:rsidRPr="00A23740">
              <w:rPr>
                <w:rFonts w:eastAsia="Times New Roman"/>
                <w:szCs w:val="24"/>
                <w:lang w:eastAsia="tr-TR"/>
              </w:rPr>
              <w:t xml:space="preserve"> öderse tahliye edilir; ödemelerini tekrar keserse, hakkında tazyik hapsine yeniden karar verilir. </w:t>
            </w:r>
          </w:p>
          <w:p w:rsidR="00A06764" w:rsidRPr="00A23740" w:rsidRDefault="00A06764"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42965" w:rsidP="00750F08">
            <w:pPr>
              <w:rPr>
                <w:rFonts w:eastAsia="Times New Roman"/>
                <w:szCs w:val="24"/>
                <w:lang w:eastAsia="tr-TR"/>
              </w:rPr>
            </w:pPr>
            <w:r>
              <w:rPr>
                <w:rFonts w:eastAsia="Times New Roman"/>
                <w:b/>
                <w:bCs/>
                <w:strike/>
                <w:color w:val="FF0000"/>
                <w:szCs w:val="24"/>
                <w:lang w:eastAsia="x-none"/>
              </w:rPr>
              <w:t>(F1.C</w:t>
            </w:r>
            <w:r w:rsidR="00A043AD" w:rsidRPr="00A23740">
              <w:rPr>
                <w:rFonts w:eastAsia="Times New Roman"/>
                <w:b/>
                <w:bCs/>
                <w:strike/>
                <w:color w:val="FF0000"/>
                <w:szCs w:val="24"/>
                <w:lang w:eastAsia="x-none"/>
              </w:rPr>
              <w:t>3) Ancak,</w:t>
            </w:r>
            <w:r w:rsidR="00A043AD" w:rsidRPr="00A23740">
              <w:rPr>
                <w:rFonts w:eastAsia="Times New Roman"/>
                <w:szCs w:val="24"/>
                <w:lang w:eastAsia="tr-TR"/>
              </w:rPr>
              <w:t xml:space="preserve"> </w:t>
            </w:r>
            <w:r w:rsidR="00A043AD" w:rsidRPr="005A4748">
              <w:t>bir</w:t>
            </w:r>
            <w:r w:rsidR="00A043AD" w:rsidRPr="00A23740">
              <w:rPr>
                <w:rFonts w:eastAsia="Times New Roman"/>
                <w:szCs w:val="24"/>
                <w:lang w:eastAsia="tr-TR"/>
              </w:rPr>
              <w:t xml:space="preserve"> borçtan dolayı tazyik </w:t>
            </w:r>
            <w:r w:rsidR="00A043AD" w:rsidRPr="005A4748">
              <w:rPr>
                <w:rStyle w:val="KIRMIZIChar"/>
                <w:rFonts w:eastAsia="Calibri"/>
              </w:rPr>
              <w:t>hapsinin</w:t>
            </w:r>
            <w:r w:rsidR="00A043AD" w:rsidRPr="00A23740">
              <w:rPr>
                <w:rFonts w:eastAsia="Times New Roman"/>
                <w:b/>
                <w:strike/>
                <w:color w:val="FF0000"/>
                <w:szCs w:val="24"/>
                <w:lang w:eastAsia="tr-TR"/>
              </w:rPr>
              <w:t xml:space="preserve"> süresi</w:t>
            </w:r>
            <w:r w:rsidR="00A043AD" w:rsidRPr="00A23740">
              <w:rPr>
                <w:rFonts w:eastAsia="Times New Roman"/>
                <w:szCs w:val="24"/>
                <w:lang w:eastAsia="tr-TR"/>
              </w:rPr>
              <w:t xml:space="preserve"> üç ay</w:t>
            </w:r>
            <w:r w:rsidR="00A043AD" w:rsidRPr="00A23740">
              <w:rPr>
                <w:rFonts w:eastAsia="Times New Roman"/>
                <w:b/>
                <w:strike/>
                <w:color w:val="FF0000"/>
                <w:szCs w:val="24"/>
                <w:lang w:eastAsia="tr-TR"/>
              </w:rPr>
              <w:t>ı geçemez.</w:t>
            </w:r>
          </w:p>
          <w:p w:rsidR="00A043AD" w:rsidRPr="00A23740" w:rsidRDefault="00A043AD" w:rsidP="00750F08">
            <w:pPr>
              <w:rPr>
                <w:rFonts w:eastAsia="Times New Roman"/>
                <w:szCs w:val="24"/>
                <w:lang w:eastAsia="x-none"/>
              </w:rPr>
            </w:pPr>
          </w:p>
        </w:tc>
        <w:tc>
          <w:tcPr>
            <w:tcW w:w="2500" w:type="pct"/>
          </w:tcPr>
          <w:p w:rsidR="00A043AD" w:rsidRPr="00A23740" w:rsidRDefault="00A043AD" w:rsidP="00750F08">
            <w:pPr>
              <w:rPr>
                <w:rFonts w:eastAsia="Times New Roman"/>
                <w:b/>
                <w:szCs w:val="24"/>
                <w:lang w:eastAsia="tr-TR"/>
              </w:rPr>
            </w:pPr>
            <w:r w:rsidRPr="00A23740">
              <w:rPr>
                <w:rFonts w:eastAsia="Times New Roman"/>
                <w:b/>
                <w:color w:val="0000FF"/>
                <w:szCs w:val="24"/>
              </w:rPr>
              <w:t>Taksitle ödeme yükümlülüğünün ihlali</w:t>
            </w:r>
          </w:p>
          <w:p w:rsidR="00A043AD" w:rsidRPr="00A23740" w:rsidRDefault="00A043AD" w:rsidP="00750F08">
            <w:pPr>
              <w:rPr>
                <w:rFonts w:eastAsia="Times New Roman"/>
                <w:szCs w:val="24"/>
                <w:lang w:eastAsia="tr-TR"/>
              </w:rPr>
            </w:pPr>
            <w:r w:rsidRPr="005A4748">
              <w:rPr>
                <w:rStyle w:val="Balk1Char"/>
                <w:rFonts w:eastAsia="Calibri"/>
              </w:rPr>
              <w:t>MADDE</w:t>
            </w:r>
            <w:r w:rsidRPr="005A4748">
              <w:rPr>
                <w:rFonts w:eastAsia="Times New Roman"/>
                <w:b/>
                <w:color w:val="000000" w:themeColor="text1"/>
                <w:szCs w:val="24"/>
              </w:rPr>
              <w:t xml:space="preserve"> </w:t>
            </w:r>
            <w:r w:rsidRPr="00A23740">
              <w:rPr>
                <w:rFonts w:eastAsia="Times New Roman"/>
                <w:b/>
                <w:color w:val="0000FF"/>
                <w:szCs w:val="24"/>
              </w:rPr>
              <w:t>512- (</w:t>
            </w:r>
            <w:r w:rsidRPr="00A23740">
              <w:rPr>
                <w:rFonts w:eastAsia="Times New Roman"/>
                <w:b/>
                <w:bCs/>
                <w:color w:val="0000FF"/>
                <w:szCs w:val="24"/>
                <w:lang w:eastAsia="x-none"/>
              </w:rPr>
              <w:t xml:space="preserve">1) </w:t>
            </w:r>
            <w:r w:rsidRPr="00A23740">
              <w:rPr>
                <w:rStyle w:val="MaviChar"/>
              </w:rPr>
              <w:t>Geçerli bir mazereti olmaksızın,</w:t>
            </w:r>
            <w:r w:rsidRPr="00A23740">
              <w:rPr>
                <w:rFonts w:eastAsia="Times New Roman"/>
                <w:b/>
                <w:bCs/>
                <w:color w:val="0000FF"/>
                <w:szCs w:val="24"/>
                <w:lang w:eastAsia="x-none"/>
              </w:rPr>
              <w:t xml:space="preserve"> </w:t>
            </w:r>
            <w:r w:rsidRPr="00A23740">
              <w:rPr>
                <w:rStyle w:val="MaviChar"/>
                <w:lang w:val="tr-TR"/>
              </w:rPr>
              <w:t>204 üncü</w:t>
            </w:r>
            <w:r w:rsidRPr="00A23740">
              <w:rPr>
                <w:rStyle w:val="MaviChar"/>
              </w:rPr>
              <w:t xml:space="preserve"> madde gereğince </w:t>
            </w:r>
            <w:r w:rsidRPr="00A23740">
              <w:rPr>
                <w:rStyle w:val="MaviChar"/>
                <w:lang w:val="tr-TR"/>
              </w:rPr>
              <w:t>t</w:t>
            </w:r>
            <w:r w:rsidRPr="00A23740">
              <w:rPr>
                <w:rFonts w:eastAsia="Times New Roman"/>
                <w:b/>
                <w:color w:val="0000FF"/>
                <w:szCs w:val="24"/>
              </w:rPr>
              <w:t xml:space="preserve">aksitle ödeme taahhüdünü veya </w:t>
            </w:r>
            <w:r w:rsidRPr="00A23740">
              <w:rPr>
                <w:rStyle w:val="MaviChar"/>
                <w:lang w:val="tr-TR"/>
              </w:rPr>
              <w:t xml:space="preserve">205 inci </w:t>
            </w:r>
            <w:r w:rsidRPr="00A23740">
              <w:rPr>
                <w:rStyle w:val="MaviChar"/>
              </w:rPr>
              <w:t>madde gereğince</w:t>
            </w:r>
            <w:r w:rsidRPr="00A23740">
              <w:rPr>
                <w:rFonts w:eastAsia="Times New Roman"/>
                <w:b/>
                <w:color w:val="0000FF"/>
                <w:szCs w:val="24"/>
              </w:rPr>
              <w:t xml:space="preserve"> taksit sözleşmesinden kaynaklanan ödeme yükümlülüğünü </w:t>
            </w:r>
            <w:r w:rsidRPr="00A23740">
              <w:rPr>
                <w:rFonts w:eastAsia="Times New Roman"/>
                <w:szCs w:val="24"/>
                <w:lang w:eastAsia="tr-TR"/>
              </w:rPr>
              <w:t xml:space="preserve">ihlal eden borçlu </w:t>
            </w:r>
            <w:r w:rsidRPr="00A23740">
              <w:rPr>
                <w:b/>
                <w:bCs/>
                <w:color w:val="0000FF"/>
                <w:szCs w:val="24"/>
                <w:lang w:eastAsia="x-none"/>
              </w:rPr>
              <w:t>hakkında</w:t>
            </w:r>
            <w:r w:rsidRPr="00A23740">
              <w:rPr>
                <w:rFonts w:eastAsia="Times New Roman"/>
                <w:szCs w:val="24"/>
                <w:lang w:eastAsia="tr-TR"/>
              </w:rPr>
              <w:t>, alacaklının şikâyeti üzerine, üç aya kadar tazyik hapsine karar verilir.</w:t>
            </w:r>
          </w:p>
          <w:p w:rsidR="00A043AD" w:rsidRPr="00A23740" w:rsidRDefault="00A043AD" w:rsidP="00750F08">
            <w:pPr>
              <w:jc w:val="left"/>
              <w:rPr>
                <w:rFonts w:eastAsia="Times New Roman"/>
                <w:szCs w:val="24"/>
                <w:lang w:eastAsia="tr-TR"/>
              </w:rPr>
            </w:pPr>
          </w:p>
          <w:p w:rsidR="00A043AD" w:rsidRPr="00A23740" w:rsidRDefault="00A043AD" w:rsidP="00750F08">
            <w:pPr>
              <w:jc w:val="left"/>
              <w:rPr>
                <w:rFonts w:eastAsia="Times New Roman"/>
                <w:szCs w:val="24"/>
                <w:lang w:eastAsia="tr-TR"/>
              </w:rPr>
            </w:pPr>
          </w:p>
          <w:p w:rsidR="00A043AD" w:rsidRPr="00A23740" w:rsidRDefault="00A043AD" w:rsidP="00750F08">
            <w:pPr>
              <w:jc w:val="left"/>
              <w:rPr>
                <w:rFonts w:eastAsia="Times New Roman"/>
                <w:szCs w:val="24"/>
                <w:lang w:eastAsia="tr-TR"/>
              </w:rPr>
            </w:pPr>
          </w:p>
          <w:p w:rsidR="00A043AD" w:rsidRPr="00A23740" w:rsidRDefault="00A043AD" w:rsidP="00750F08">
            <w:pPr>
              <w:jc w:val="left"/>
              <w:rPr>
                <w:rFonts w:eastAsia="Times New Roman"/>
                <w:szCs w:val="24"/>
                <w:lang w:eastAsia="tr-TR"/>
              </w:rPr>
            </w:pPr>
          </w:p>
          <w:p w:rsidR="00A043AD" w:rsidRPr="00A23740" w:rsidRDefault="00A043AD" w:rsidP="00750F08">
            <w:pPr>
              <w:rPr>
                <w:b/>
                <w:bCs/>
                <w:strike/>
                <w:color w:val="FF0000"/>
                <w:szCs w:val="24"/>
              </w:rPr>
            </w:pPr>
            <w:r w:rsidRPr="00A23740">
              <w:rPr>
                <w:rFonts w:eastAsia="Times New Roman"/>
                <w:b/>
                <w:bCs/>
                <w:color w:val="0000FF"/>
                <w:szCs w:val="24"/>
                <w:lang w:eastAsia="x-none"/>
              </w:rPr>
              <w:t>(2)</w:t>
            </w:r>
            <w:r w:rsidRPr="00A23740">
              <w:rPr>
                <w:rFonts w:eastAsia="Times New Roman"/>
                <w:szCs w:val="24"/>
                <w:lang w:eastAsia="tr-TR"/>
              </w:rPr>
              <w:t xml:space="preserve"> </w:t>
            </w:r>
            <w:r w:rsidRPr="005A4748">
              <w:rPr>
                <w:rStyle w:val="Balk1Char"/>
                <w:rFonts w:eastAsia="Calibri"/>
              </w:rPr>
              <w:t>Tazyik hapsinin</w:t>
            </w:r>
            <w:r w:rsidRPr="00A23740">
              <w:rPr>
                <w:rFonts w:eastAsia="Times New Roman"/>
                <w:szCs w:val="24"/>
                <w:lang w:eastAsia="tr-TR"/>
              </w:rPr>
              <w:t xml:space="preserve"> </w:t>
            </w:r>
            <w:r w:rsidRPr="00A23740">
              <w:rPr>
                <w:rStyle w:val="Balk1Char"/>
                <w:rFonts w:eastAsia="Calibri"/>
              </w:rPr>
              <w:t>infazına</w:t>
            </w:r>
            <w:r w:rsidRPr="00A23740">
              <w:rPr>
                <w:rFonts w:eastAsia="Times New Roman"/>
                <w:szCs w:val="24"/>
                <w:lang w:eastAsia="tr-TR"/>
              </w:rPr>
              <w:t xml:space="preserve"> başlandıktan sonra borçlu</w:t>
            </w:r>
            <w:r w:rsidRPr="00A23740">
              <w:rPr>
                <w:rFonts w:eastAsia="Times New Roman"/>
                <w:b/>
                <w:bCs/>
                <w:color w:val="0000FF"/>
                <w:szCs w:val="24"/>
                <w:lang w:eastAsia="x-none"/>
              </w:rPr>
              <w:t>,</w:t>
            </w:r>
            <w:r w:rsidRPr="00A23740">
              <w:rPr>
                <w:rFonts w:eastAsia="Times New Roman"/>
                <w:szCs w:val="24"/>
                <w:lang w:eastAsia="tr-TR"/>
              </w:rPr>
              <w:t xml:space="preserve"> borcun </w:t>
            </w:r>
            <w:r w:rsidRPr="00A23740">
              <w:rPr>
                <w:b/>
                <w:bCs/>
                <w:color w:val="0000FF"/>
                <w:szCs w:val="24"/>
                <w:lang w:val="x-none" w:eastAsia="x-none"/>
              </w:rPr>
              <w:t xml:space="preserve">hapsin </w:t>
            </w:r>
            <w:r w:rsidRPr="00A23740">
              <w:rPr>
                <w:b/>
                <w:bCs/>
                <w:color w:val="0000FF"/>
                <w:szCs w:val="24"/>
                <w:lang w:eastAsia="x-none"/>
              </w:rPr>
              <w:t xml:space="preserve">infazına </w:t>
            </w:r>
            <w:r w:rsidRPr="00A23740">
              <w:rPr>
                <w:b/>
                <w:bCs/>
                <w:color w:val="0000FF"/>
                <w:szCs w:val="24"/>
                <w:lang w:val="x-none" w:eastAsia="x-none"/>
              </w:rPr>
              <w:t>başlandığı</w:t>
            </w:r>
            <w:r w:rsidRPr="00A23740">
              <w:rPr>
                <w:rFonts w:eastAsia="Times New Roman"/>
                <w:szCs w:val="24"/>
                <w:lang w:eastAsia="tr-TR"/>
              </w:rPr>
              <w:t xml:space="preserve"> tarihe kadar yatırmak zorunda olduğu </w:t>
            </w:r>
            <w:r w:rsidRPr="00A23740">
              <w:rPr>
                <w:b/>
                <w:bCs/>
                <w:color w:val="0000FF"/>
                <w:szCs w:val="24"/>
                <w:lang w:val="x-none" w:eastAsia="x-none"/>
              </w:rPr>
              <w:t>taksitleri</w:t>
            </w:r>
            <w:r w:rsidRPr="00A23740">
              <w:rPr>
                <w:b/>
                <w:bCs/>
                <w:color w:val="0000FF"/>
                <w:szCs w:val="24"/>
                <w:lang w:eastAsia="x-none"/>
              </w:rPr>
              <w:t>ni</w:t>
            </w:r>
            <w:r w:rsidRPr="00A23740">
              <w:rPr>
                <w:rFonts w:eastAsia="Times New Roman"/>
                <w:szCs w:val="24"/>
                <w:lang w:eastAsia="tr-TR"/>
              </w:rPr>
              <w:t xml:space="preserve"> öderse tahliye edilir; ödemelerini tekrar keserse, </w:t>
            </w:r>
            <w:r w:rsidRPr="00A23740">
              <w:rPr>
                <w:rStyle w:val="Balk1Char"/>
                <w:rFonts w:eastAsia="Calibri"/>
              </w:rPr>
              <w:t>alacaklının</w:t>
            </w:r>
            <w:r w:rsidRPr="00A23740">
              <w:rPr>
                <w:rFonts w:eastAsia="Times New Roman"/>
                <w:szCs w:val="24"/>
                <w:lang w:eastAsia="tr-TR"/>
              </w:rPr>
              <w:t xml:space="preserve"> </w:t>
            </w:r>
            <w:r w:rsidRPr="00A23740">
              <w:rPr>
                <w:rStyle w:val="Balk1Char"/>
                <w:rFonts w:eastAsia="Calibri"/>
              </w:rPr>
              <w:t>şikâyeti üzerine</w:t>
            </w:r>
            <w:r w:rsidRPr="00A23740">
              <w:rPr>
                <w:rFonts w:eastAsia="Times New Roman"/>
                <w:szCs w:val="24"/>
                <w:lang w:eastAsia="tr-TR"/>
              </w:rPr>
              <w:t xml:space="preserve"> hakkında tazyik hapsine yeniden karar verilir.</w:t>
            </w:r>
          </w:p>
          <w:p w:rsidR="00A043AD" w:rsidRPr="00A23740" w:rsidRDefault="00A043AD" w:rsidP="00750F08">
            <w:pPr>
              <w:rPr>
                <w:rFonts w:eastAsia="Times New Roman"/>
                <w:szCs w:val="24"/>
                <w:lang w:eastAsia="tr-TR"/>
              </w:rPr>
            </w:pPr>
          </w:p>
          <w:p w:rsidR="00A043AD" w:rsidRPr="00A23740" w:rsidRDefault="00A043AD" w:rsidP="00750F08">
            <w:pPr>
              <w:rPr>
                <w:rFonts w:ascii="New York" w:eastAsia="Times New Roman" w:hAnsi="New York"/>
                <w:sz w:val="18"/>
                <w:szCs w:val="20"/>
                <w:lang w:eastAsia="x-none"/>
              </w:rPr>
            </w:pPr>
            <w:r w:rsidRPr="00A23740">
              <w:rPr>
                <w:rFonts w:eastAsia="Times New Roman"/>
                <w:b/>
                <w:bCs/>
                <w:color w:val="0000FF"/>
                <w:szCs w:val="24"/>
                <w:lang w:eastAsia="x-none"/>
              </w:rPr>
              <w:t>(3)</w:t>
            </w:r>
            <w:r w:rsidRPr="00A23740">
              <w:rPr>
                <w:rFonts w:eastAsia="Times New Roman"/>
                <w:szCs w:val="24"/>
                <w:lang w:eastAsia="tr-TR"/>
              </w:rPr>
              <w:t xml:space="preserve"> </w:t>
            </w:r>
            <w:r w:rsidRPr="005A4748">
              <w:t>Bir</w:t>
            </w:r>
            <w:r w:rsidRPr="00A23740">
              <w:rPr>
                <w:rFonts w:eastAsia="Times New Roman"/>
                <w:szCs w:val="24"/>
                <w:lang w:eastAsia="tr-TR"/>
              </w:rPr>
              <w:t xml:space="preserve"> borçtan dolayı </w:t>
            </w:r>
            <w:r w:rsidRPr="00A23740">
              <w:rPr>
                <w:rStyle w:val="MaviChar"/>
              </w:rPr>
              <w:t>bu maddede öngörülen yükümlülüğünü yerine getirmeyen</w:t>
            </w:r>
            <w:r w:rsidRPr="00A23740">
              <w:rPr>
                <w:b/>
                <w:color w:val="00CC00"/>
                <w:szCs w:val="24"/>
              </w:rPr>
              <w:t xml:space="preserve"> </w:t>
            </w:r>
            <w:r w:rsidRPr="00A23740">
              <w:rPr>
                <w:rFonts w:eastAsia="Times New Roman"/>
                <w:b/>
                <w:bCs/>
                <w:color w:val="0000FF"/>
                <w:szCs w:val="24"/>
                <w:lang w:eastAsia="x-none"/>
              </w:rPr>
              <w:t>borçlunun</w:t>
            </w:r>
            <w:r w:rsidRPr="00A23740">
              <w:rPr>
                <w:rFonts w:eastAsia="Times New Roman"/>
                <w:szCs w:val="24"/>
                <w:lang w:eastAsia="tr-TR"/>
              </w:rPr>
              <w:t xml:space="preserve"> tazyik </w:t>
            </w:r>
            <w:r w:rsidRPr="005A4748">
              <w:rPr>
                <w:rStyle w:val="Balk1Char"/>
                <w:rFonts w:eastAsia="Calibri"/>
              </w:rPr>
              <w:t>hapsinde</w:t>
            </w:r>
            <w:r w:rsidRPr="00A23740">
              <w:rPr>
                <w:rFonts w:eastAsia="Times New Roman"/>
                <w:b/>
                <w:bCs/>
                <w:color w:val="0000FF"/>
                <w:szCs w:val="24"/>
                <w:lang w:eastAsia="x-none"/>
              </w:rPr>
              <w:t xml:space="preserve"> geçireceği toplam süre</w:t>
            </w:r>
            <w:r w:rsidRPr="00A23740">
              <w:rPr>
                <w:rFonts w:eastAsia="Times New Roman"/>
                <w:szCs w:val="24"/>
                <w:lang w:eastAsia="tr-TR"/>
              </w:rPr>
              <w:t xml:space="preserve"> üç ay</w:t>
            </w:r>
            <w:r w:rsidRPr="00A23740">
              <w:rPr>
                <w:rFonts w:eastAsia="Times New Roman"/>
                <w:b/>
                <w:bCs/>
                <w:color w:val="0000FF"/>
                <w:szCs w:val="24"/>
                <w:lang w:eastAsia="x-none"/>
              </w:rPr>
              <w:t>dan fazla olamaz.</w:t>
            </w:r>
          </w:p>
          <w:p w:rsidR="00A043AD" w:rsidRPr="00A23740" w:rsidRDefault="00A043AD" w:rsidP="00750F08">
            <w:pPr>
              <w:rPr>
                <w:rFonts w:eastAsia="Times New Roman"/>
                <w:b/>
                <w:color w:val="FF0000"/>
                <w:szCs w:val="24"/>
                <w:lang w:eastAsia="tr-TR"/>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Arial Unicode MS"/>
                <w:b/>
                <w:iCs/>
                <w:szCs w:val="24"/>
                <w:lang w:eastAsia="tr-TR"/>
              </w:rPr>
            </w:pP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b/>
                <w:iCs/>
                <w:szCs w:val="24"/>
                <w:lang w:eastAsia="tr-TR"/>
              </w:rPr>
              <w:t>MADDE 512-</w:t>
            </w:r>
            <w:r w:rsidRPr="00A23740">
              <w:rPr>
                <w:rFonts w:eastAsia="Arial Unicode MS"/>
                <w:iCs/>
                <w:szCs w:val="24"/>
                <w:lang w:eastAsia="tr-TR"/>
              </w:rPr>
              <w:t xml:space="preserve"> Maddeyle, taksitle ödeme yükümlülüğünün ihlaline ilişkin esaslar düzenlenmektedir. Madde, 2004 sayılı Kanunun 340 ıncı maddesine karşılık gelmekte olup, dili sadeleştirilmek suretiyle muhafaza edilmektedir.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Birinci fıkrayla, Taslağın “Taksitle ödeme taahhüdünün şartları ve sonuçları” başlıklı </w:t>
            </w:r>
            <w:r w:rsidRPr="00A23740">
              <w:rPr>
                <w:rFonts w:eastAsia="Arial Unicode MS"/>
                <w:bCs/>
                <w:iCs/>
                <w:lang w:eastAsia="tr-TR"/>
              </w:rPr>
              <w:t>204 üncü maddesi gereğince t</w:t>
            </w:r>
            <w:r w:rsidRPr="00A23740">
              <w:rPr>
                <w:rFonts w:eastAsia="Arial Unicode MS"/>
                <w:iCs/>
                <w:szCs w:val="24"/>
                <w:lang w:eastAsia="tr-TR"/>
              </w:rPr>
              <w:t xml:space="preserve">aksitle ödeme taahhüdünü veya “Taksit sözleşmesinin şartları ve sonuçları” başlıklı </w:t>
            </w:r>
            <w:r w:rsidRPr="00A23740">
              <w:rPr>
                <w:rFonts w:eastAsia="Arial Unicode MS"/>
                <w:bCs/>
                <w:iCs/>
                <w:lang w:eastAsia="tr-TR"/>
              </w:rPr>
              <w:t>205 inci maddesi uyarınca</w:t>
            </w:r>
            <w:r w:rsidRPr="00A23740">
              <w:rPr>
                <w:rFonts w:eastAsia="Arial Unicode MS"/>
                <w:iCs/>
                <w:szCs w:val="24"/>
                <w:lang w:eastAsia="tr-TR"/>
              </w:rPr>
              <w:t xml:space="preserve"> taksit sözleşmesinden kaynaklanan ödeme yükümlülüğünü geçerli bir mazereti olmaksızın ihlal eden borçlu hakkında, alacaklının şikâyeti üzerine, üç aya kadar tazyik hapsine karar verileceği hükme bağlanmaktadır. Hükmün uygulanabilmesi için geçerli bir taksitle ödeme taahhüdünün veya taksit sözleşmesinin varlığı gerekmektedir. Ayrıca </w:t>
            </w:r>
            <w:r w:rsidRPr="00A23740">
              <w:rPr>
                <w:rFonts w:eastAsia="Times New Roman"/>
                <w:szCs w:val="24"/>
                <w:lang w:eastAsia="tr-TR"/>
              </w:rPr>
              <w:t>bu Kitapta düzenlenen hükümlerde yer alan “makbul bir mazeret”, “makbul bir sebep” ve “haklı bir sebep” unsuru, yeknesaklığın sağlanması ve hükmün tereddüde mahal vermeyecek şekilde daha iyi uygulanması amacıyla “geçerli bir mazeret” olarak değiştirilmektedir.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İkinci fıkrayla, hapsin uygulanmasına başlandıktan sonra borçlunun, borcun hapsin uygulanmasına başlandığı tarihe kadar yatırmak zorunda olduğu taksitlerini ödemesi hâlinde tahliye edileceği; ödemelerini tekrar kesmesi hâlinde, hakkında tazyik hapsine yeniden karar verileceği düzenlenmektedir. 2004 sayılı Kanunun 340 ıncı maddesinin birinci fıkrasının ikinci cümlesinde yer alan “o tarihe kadar” ibaresi, hükmün belirgin hâle getirilmesi amacıyla “hapsin uygulanmasına başlandığı tarihe kadar” şeklinde değiştirilmektedir. Öte yandan, 2004 sayılı Kanunun 340 ıncı maddesinin birinci fıkrasının ikinci cümlesinde yer alan </w:t>
            </w:r>
            <w:r w:rsidR="00535D4A" w:rsidRPr="00A23740">
              <w:rPr>
                <w:rFonts w:eastAsia="Arial Unicode MS"/>
                <w:iCs/>
                <w:szCs w:val="24"/>
                <w:lang w:eastAsia="tr-TR"/>
              </w:rPr>
              <w:t>“borcun tamamının ödenmesi” hâ</w:t>
            </w:r>
            <w:r w:rsidRPr="00A23740">
              <w:rPr>
                <w:rFonts w:eastAsia="Arial Unicode MS"/>
                <w:iCs/>
                <w:szCs w:val="24"/>
                <w:lang w:eastAsia="tr-TR"/>
              </w:rPr>
              <w:t>li, Taslağın</w:t>
            </w:r>
            <w:r w:rsidRPr="002E2E40">
              <w:rPr>
                <w:rFonts w:eastAsia="Arial Unicode MS"/>
                <w:iCs/>
                <w:szCs w:val="24"/>
                <w:lang w:eastAsia="tr-TR"/>
              </w:rPr>
              <w:t xml:space="preserve"> </w:t>
            </w:r>
            <w:r w:rsidR="00A96579" w:rsidRPr="002E2E40">
              <w:rPr>
                <w:rStyle w:val="KonuBalChar"/>
                <w:rFonts w:eastAsia="Arial Unicode MS"/>
                <w:b w:val="0"/>
                <w:color w:val="auto"/>
              </w:rPr>
              <w:t>538</w:t>
            </w:r>
            <w:r w:rsidR="00A96579" w:rsidRPr="002E2E40">
              <w:rPr>
                <w:rStyle w:val="KonuBalChar"/>
                <w:rFonts w:eastAsia="Arial Unicode MS"/>
                <w:color w:val="auto"/>
              </w:rPr>
              <w:t xml:space="preserve"> </w:t>
            </w:r>
            <w:r w:rsidR="00A96579" w:rsidRPr="002E2E40">
              <w:rPr>
                <w:rStyle w:val="KonuBalChar"/>
                <w:rFonts w:eastAsia="Arial Unicode MS"/>
                <w:b w:val="0"/>
                <w:color w:val="auto"/>
              </w:rPr>
              <w:t>inci</w:t>
            </w:r>
            <w:r w:rsidR="00A96579" w:rsidRPr="00A23740">
              <w:rPr>
                <w:rFonts w:eastAsia="Arial Unicode MS"/>
                <w:iCs/>
                <w:szCs w:val="24"/>
                <w:lang w:eastAsia="tr-TR"/>
              </w:rPr>
              <w:t xml:space="preserve"> </w:t>
            </w:r>
            <w:r w:rsidRPr="00A23740">
              <w:rPr>
                <w:rFonts w:eastAsia="Arial Unicode MS"/>
                <w:iCs/>
                <w:szCs w:val="24"/>
                <w:lang w:eastAsia="tr-TR"/>
              </w:rPr>
              <w:t>maddesinde genel bir etkin pişmanlık hükmü olarak düzenlendiğinden fıkrada bu ibareye yer verilmemektedir.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Üçüncü fıkrayla, bir</w:t>
            </w:r>
            <w:r w:rsidRPr="00A23740">
              <w:rPr>
                <w:rFonts w:eastAsia="Times New Roman"/>
                <w:szCs w:val="24"/>
                <w:lang w:eastAsia="tr-TR"/>
              </w:rPr>
              <w:t xml:space="preserve"> borçtan dolayı </w:t>
            </w:r>
            <w:r w:rsidRPr="00A23740">
              <w:rPr>
                <w:rFonts w:eastAsia="Arial Unicode MS"/>
                <w:iCs/>
                <w:szCs w:val="24"/>
                <w:lang w:eastAsia="tr-TR"/>
              </w:rPr>
              <w:t xml:space="preserve">maddede öngörülen yükümlülüğünü yerine getirmeyen borçlunun tazyik hapsinde geçireceği toplam sürenin üç aydan fazla olamayacağı belirtilmektedir. Hükümle, disipline aykırı fiil ile müeyyidesi arasındaki ölçülülüğün sağlanması ve hapiste geçirilecek sürenin üst sınırıyla ilgili </w:t>
            </w:r>
            <w:r w:rsidR="003E0550" w:rsidRPr="00A23740">
              <w:rPr>
                <w:rFonts w:eastAsia="Arial Unicode MS"/>
                <w:iCs/>
                <w:szCs w:val="24"/>
                <w:lang w:eastAsia="tr-TR"/>
              </w:rPr>
              <w:t xml:space="preserve">olarak </w:t>
            </w:r>
            <w:r w:rsidRPr="00A23740">
              <w:rPr>
                <w:rFonts w:eastAsia="Arial Unicode MS"/>
                <w:iCs/>
                <w:szCs w:val="24"/>
                <w:lang w:eastAsia="tr-TR"/>
              </w:rPr>
              <w:t>uygulamada oluşabilecek tereddütlerin giderilmesi amaçlanmaktadır.</w:t>
            </w:r>
          </w:p>
          <w:p w:rsidR="00A043AD" w:rsidRPr="00A23740" w:rsidRDefault="00A043AD" w:rsidP="002A27F8">
            <w:pPr>
              <w:tabs>
                <w:tab w:val="left" w:pos="567"/>
              </w:tabs>
              <w:rPr>
                <w:rFonts w:eastAsia="Arial Unicode MS"/>
                <w:b/>
                <w:iCs/>
                <w:szCs w:val="24"/>
                <w:lang w:eastAsia="tr-TR"/>
              </w:rPr>
            </w:pPr>
          </w:p>
        </w:tc>
      </w:tr>
      <w:tr w:rsidR="00A043AD" w:rsidRPr="00A23740" w:rsidTr="00750F08">
        <w:tc>
          <w:tcPr>
            <w:tcW w:w="2500" w:type="pct"/>
          </w:tcPr>
          <w:p w:rsidR="00A043AD" w:rsidRPr="00A23740" w:rsidRDefault="00A043AD" w:rsidP="002A27F8">
            <w:pPr>
              <w:widowControl w:val="0"/>
              <w:rPr>
                <w:rFonts w:eastAsia="Times New Roman"/>
                <w:b/>
                <w:strike/>
                <w:color w:val="FF0000"/>
                <w:szCs w:val="24"/>
                <w:lang w:eastAsia="x-none"/>
              </w:rPr>
            </w:pPr>
            <w:r w:rsidRPr="00A23740">
              <w:rPr>
                <w:rFonts w:eastAsia="Times New Roman"/>
                <w:b/>
                <w:strike/>
                <w:color w:val="FF0000"/>
                <w:szCs w:val="24"/>
                <w:lang w:eastAsia="x-none"/>
              </w:rPr>
              <w:t>30 ve 31 inci maddeler hükmüne muhalefet edenlerin cezası:</w:t>
            </w:r>
          </w:p>
          <w:p w:rsidR="00A043AD" w:rsidRPr="00A23740" w:rsidRDefault="00A043AD" w:rsidP="002A27F8">
            <w:pPr>
              <w:widowControl w:val="0"/>
              <w:rPr>
                <w:rFonts w:eastAsia="Times New Roman"/>
                <w:szCs w:val="24"/>
                <w:lang w:eastAsia="x-none"/>
              </w:rPr>
            </w:pPr>
            <w:r w:rsidRPr="005A4748">
              <w:rPr>
                <w:rStyle w:val="KIRMIZIChar"/>
                <w:rFonts w:eastAsia="Calibri"/>
              </w:rPr>
              <w:t xml:space="preserve">Madde </w:t>
            </w:r>
            <w:r w:rsidRPr="00466739">
              <w:rPr>
                <w:rStyle w:val="KIRMIZIChar"/>
                <w:rFonts w:eastAsia="Calibri"/>
              </w:rPr>
              <w:t>343 – (1) (Deği</w:t>
            </w:r>
            <w:r w:rsidRPr="00A23740">
              <w:rPr>
                <w:rFonts w:eastAsia="Times New Roman"/>
                <w:b/>
                <w:strike/>
                <w:color w:val="FF0000"/>
                <w:szCs w:val="24"/>
                <w:lang w:eastAsia="x-none"/>
              </w:rPr>
              <w:t>şik: 31/5/2005-5358/14 md.)</w:t>
            </w:r>
            <w:r w:rsidRPr="00A23740">
              <w:rPr>
                <w:rFonts w:eastAsia="Times New Roman"/>
                <w:szCs w:val="24"/>
                <w:lang w:eastAsia="x-none"/>
              </w:rPr>
              <w:t xml:space="preserve"> Yalnız kendisi tarafından </w:t>
            </w:r>
            <w:r w:rsidRPr="00A23740">
              <w:rPr>
                <w:rFonts w:eastAsia="Times New Roman"/>
                <w:b/>
                <w:strike/>
                <w:color w:val="FF0000"/>
                <w:szCs w:val="24"/>
                <w:lang w:eastAsia="x-none"/>
              </w:rPr>
              <w:t xml:space="preserve">yapılacak olan bir işin yapılması veya bir işin yapılmaması yahut </w:t>
            </w:r>
            <w:r w:rsidRPr="00A23740">
              <w:rPr>
                <w:rFonts w:eastAsia="Times New Roman"/>
                <w:szCs w:val="24"/>
                <w:lang w:eastAsia="x-none"/>
              </w:rPr>
              <w:t xml:space="preserve">bir irtifak hakkının </w:t>
            </w:r>
            <w:r w:rsidRPr="00A23740">
              <w:rPr>
                <w:rFonts w:eastAsia="Times New Roman"/>
                <w:b/>
                <w:strike/>
                <w:color w:val="FF0000"/>
                <w:szCs w:val="24"/>
                <w:lang w:eastAsia="x-none"/>
              </w:rPr>
              <w:t>tesisi</w:t>
            </w:r>
            <w:r w:rsidRPr="00A23740">
              <w:rPr>
                <w:rFonts w:eastAsia="Times New Roman"/>
                <w:szCs w:val="24"/>
                <w:lang w:eastAsia="x-none"/>
              </w:rPr>
              <w:t xml:space="preserve"> veya </w:t>
            </w:r>
            <w:r w:rsidRPr="00A23740">
              <w:rPr>
                <w:rFonts w:eastAsia="Times New Roman"/>
                <w:b/>
                <w:strike/>
                <w:color w:val="FF0000"/>
                <w:szCs w:val="24"/>
                <w:lang w:eastAsia="x-none"/>
              </w:rPr>
              <w:t>kaldırılması</w:t>
            </w:r>
            <w:r w:rsidRPr="00A23740">
              <w:rPr>
                <w:rFonts w:eastAsia="Times New Roman"/>
                <w:szCs w:val="24"/>
                <w:lang w:eastAsia="x-none"/>
              </w:rPr>
              <w:t xml:space="preserve"> hakkındaki ilâm </w:t>
            </w:r>
            <w:r w:rsidRPr="005A4748">
              <w:rPr>
                <w:rStyle w:val="KIRMIZIChar"/>
                <w:rFonts w:eastAsia="Calibri"/>
              </w:rPr>
              <w:t>hükümlerine</w:t>
            </w:r>
            <w:r w:rsidRPr="00A23740">
              <w:rPr>
                <w:rFonts w:eastAsia="Times New Roman"/>
                <w:szCs w:val="24"/>
                <w:lang w:eastAsia="x-none"/>
              </w:rPr>
              <w:t xml:space="preserve"> </w:t>
            </w:r>
            <w:r w:rsidRPr="00A23740">
              <w:rPr>
                <w:rFonts w:eastAsia="Times New Roman"/>
                <w:b/>
                <w:strike/>
                <w:color w:val="FF0000"/>
                <w:szCs w:val="24"/>
                <w:lang w:eastAsia="x-none"/>
              </w:rPr>
              <w:t>makbul</w:t>
            </w:r>
            <w:r w:rsidRPr="00A23740">
              <w:rPr>
                <w:rFonts w:eastAsia="Times New Roman"/>
                <w:szCs w:val="24"/>
                <w:lang w:eastAsia="x-none"/>
              </w:rPr>
              <w:t xml:space="preserve"> mazeret</w:t>
            </w:r>
            <w:r w:rsidRPr="00A23740">
              <w:rPr>
                <w:rFonts w:eastAsia="Times New Roman"/>
                <w:b/>
                <w:strike/>
                <w:color w:val="FF0000"/>
                <w:szCs w:val="24"/>
                <w:lang w:eastAsia="x-none"/>
              </w:rPr>
              <w:t>e</w:t>
            </w:r>
            <w:r w:rsidRPr="00A23740">
              <w:rPr>
                <w:rFonts w:eastAsia="Times New Roman"/>
                <w:szCs w:val="24"/>
                <w:lang w:eastAsia="x-none"/>
              </w:rPr>
              <w:t xml:space="preserve"> </w:t>
            </w:r>
            <w:r w:rsidRPr="00A23740">
              <w:rPr>
                <w:rFonts w:eastAsia="Times New Roman"/>
                <w:b/>
                <w:strike/>
                <w:color w:val="FF0000"/>
                <w:szCs w:val="24"/>
                <w:lang w:eastAsia="x-none"/>
              </w:rPr>
              <w:t>müstenit</w:t>
            </w:r>
            <w:r w:rsidRPr="00A23740">
              <w:rPr>
                <w:rFonts w:eastAsia="Times New Roman"/>
                <w:szCs w:val="24"/>
                <w:lang w:eastAsia="x-none"/>
              </w:rPr>
              <w:t xml:space="preserve"> olma</w:t>
            </w:r>
            <w:r w:rsidRPr="00A23740">
              <w:rPr>
                <w:rFonts w:eastAsia="Times New Roman"/>
                <w:b/>
                <w:strike/>
                <w:color w:val="FF0000"/>
                <w:szCs w:val="24"/>
                <w:lang w:eastAsia="x-none"/>
              </w:rPr>
              <w:t>yarak</w:t>
            </w:r>
            <w:r w:rsidRPr="00A23740">
              <w:rPr>
                <w:rFonts w:eastAsia="Times New Roman"/>
                <w:szCs w:val="24"/>
                <w:lang w:eastAsia="x-none"/>
              </w:rPr>
              <w:t xml:space="preserve"> </w:t>
            </w:r>
            <w:r w:rsidRPr="00A23740">
              <w:rPr>
                <w:rFonts w:eastAsia="Times New Roman"/>
                <w:b/>
                <w:strike/>
                <w:color w:val="FF0000"/>
                <w:szCs w:val="24"/>
                <w:lang w:eastAsia="x-none"/>
              </w:rPr>
              <w:t>muhalefet eden</w:t>
            </w:r>
            <w:r w:rsidRPr="00A23740">
              <w:rPr>
                <w:rFonts w:eastAsia="Times New Roman"/>
                <w:szCs w:val="24"/>
                <w:lang w:eastAsia="x-none"/>
              </w:rPr>
              <w:t xml:space="preserve"> borçlu</w:t>
            </w:r>
            <w:r w:rsidRPr="00A23740">
              <w:rPr>
                <w:rFonts w:eastAsia="Times New Roman"/>
                <w:b/>
                <w:strike/>
                <w:color w:val="FF0000"/>
                <w:szCs w:val="24"/>
                <w:lang w:eastAsia="x-none"/>
              </w:rPr>
              <w:t>ların</w:t>
            </w:r>
            <w:r w:rsidRPr="00A23740">
              <w:rPr>
                <w:rFonts w:eastAsia="Times New Roman"/>
                <w:szCs w:val="24"/>
                <w:lang w:eastAsia="x-none"/>
              </w:rPr>
              <w:t xml:space="preserve">, </w:t>
            </w:r>
            <w:r w:rsidRPr="00A23740">
              <w:rPr>
                <w:rFonts w:eastAsia="Times New Roman"/>
                <w:b/>
                <w:strike/>
                <w:color w:val="FF0000"/>
                <w:szCs w:val="24"/>
                <w:lang w:eastAsia="x-none"/>
              </w:rPr>
              <w:t>lehine hüküm verilmiş kimsenin</w:t>
            </w:r>
            <w:r w:rsidRPr="00A23740">
              <w:rPr>
                <w:rFonts w:eastAsia="Times New Roman"/>
                <w:szCs w:val="24"/>
                <w:lang w:eastAsia="x-none"/>
              </w:rPr>
              <w:t xml:space="preserve"> şikâyeti üzerine</w:t>
            </w:r>
            <w:r w:rsidRPr="00A23740">
              <w:rPr>
                <w:rFonts w:eastAsia="Times New Roman"/>
                <w:b/>
                <w:strike/>
                <w:color w:val="FF0000"/>
                <w:szCs w:val="24"/>
                <w:lang w:eastAsia="x-none"/>
              </w:rPr>
              <w:t>,</w:t>
            </w:r>
            <w:r w:rsidRPr="00A23740">
              <w:rPr>
                <w:rFonts w:eastAsia="Times New Roman"/>
                <w:szCs w:val="24"/>
                <w:lang w:eastAsia="x-none"/>
              </w:rPr>
              <w:t xml:space="preserve"> üç aya kadar tazyik hapsine karar verilir. </w:t>
            </w:r>
            <w:r w:rsidRPr="00A23740">
              <w:rPr>
                <w:b/>
                <w:bCs/>
                <w:strike/>
                <w:color w:val="FF0000"/>
                <w:szCs w:val="24"/>
              </w:rPr>
              <w:t>Hapsin tatbikine başlandıktan sonra ilâmın gereği yerine getirilirse, borçlu tahliye edilir.</w:t>
            </w:r>
          </w:p>
          <w:p w:rsidR="00A043AD" w:rsidRPr="00A23740" w:rsidRDefault="00A043AD" w:rsidP="002A27F8">
            <w:pPr>
              <w:widowControl w:val="0"/>
              <w:rPr>
                <w:rFonts w:eastAsia="Times New Roman"/>
                <w:szCs w:val="24"/>
                <w:lang w:eastAsia="x-none"/>
              </w:rPr>
            </w:pPr>
          </w:p>
          <w:p w:rsidR="00A043AD" w:rsidRPr="00A23740" w:rsidRDefault="00A043AD" w:rsidP="002A27F8">
            <w:pPr>
              <w:widowControl w:val="0"/>
              <w:rPr>
                <w:rFonts w:eastAsia="Times New Roman"/>
                <w:szCs w:val="24"/>
                <w:lang w:eastAsia="x-none"/>
              </w:rPr>
            </w:pPr>
          </w:p>
          <w:p w:rsidR="00A043AD" w:rsidRPr="00A23740" w:rsidRDefault="00A42965" w:rsidP="002A27F8">
            <w:pPr>
              <w:widowControl w:val="0"/>
              <w:rPr>
                <w:rFonts w:eastAsia="Times New Roman"/>
                <w:szCs w:val="24"/>
                <w:lang w:eastAsia="tr-TR"/>
              </w:rPr>
            </w:pPr>
            <w:r w:rsidRPr="00466739">
              <w:rPr>
                <w:rStyle w:val="KIRMIZIChar"/>
                <w:rFonts w:eastAsia="Calibri"/>
              </w:rPr>
              <w:t>(F1.C</w:t>
            </w:r>
            <w:r w:rsidR="00A043AD" w:rsidRPr="00466739">
              <w:rPr>
                <w:rStyle w:val="KIRMIZIChar"/>
                <w:rFonts w:eastAsia="Calibri"/>
              </w:rPr>
              <w:t>2)</w:t>
            </w:r>
            <w:r w:rsidR="00A043AD" w:rsidRPr="00A23740">
              <w:rPr>
                <w:rFonts w:eastAsia="Times New Roman"/>
                <w:szCs w:val="24"/>
                <w:lang w:eastAsia="x-none"/>
              </w:rPr>
              <w:t xml:space="preserve"> Hapsin </w:t>
            </w:r>
            <w:r w:rsidR="00A043AD" w:rsidRPr="00A23740">
              <w:rPr>
                <w:rFonts w:eastAsia="Times New Roman"/>
                <w:b/>
                <w:strike/>
                <w:color w:val="FF0000"/>
                <w:szCs w:val="24"/>
                <w:lang w:eastAsia="x-none"/>
              </w:rPr>
              <w:t>tatbikine</w:t>
            </w:r>
            <w:r w:rsidR="00A043AD" w:rsidRPr="00A23740">
              <w:rPr>
                <w:rFonts w:eastAsia="Times New Roman"/>
                <w:szCs w:val="24"/>
                <w:lang w:eastAsia="x-none"/>
              </w:rPr>
              <w:t xml:space="preserve"> başlandıktan sonra ilâmın gereği yerine getirilirse, borçlu tahliye edilir.</w:t>
            </w:r>
          </w:p>
          <w:p w:rsidR="00A043AD" w:rsidRPr="00A23740" w:rsidRDefault="00A043AD" w:rsidP="002A27F8">
            <w:pPr>
              <w:widowControl w:val="0"/>
              <w:jc w:val="center"/>
              <w:rPr>
                <w:rFonts w:eastAsia="Times New Roman"/>
                <w:b/>
                <w:bCs/>
                <w:color w:val="FF0066"/>
                <w:szCs w:val="24"/>
                <w:lang w:eastAsia="tr-TR"/>
              </w:rPr>
            </w:pPr>
          </w:p>
          <w:p w:rsidR="00A043AD" w:rsidRPr="00A23740" w:rsidRDefault="00A043AD" w:rsidP="002A27F8">
            <w:pPr>
              <w:widowControl w:val="0"/>
              <w:rPr>
                <w:rFonts w:eastAsia="Times New Roman"/>
                <w:szCs w:val="24"/>
                <w:lang w:eastAsia="tr-TR"/>
              </w:rPr>
            </w:pPr>
          </w:p>
        </w:tc>
        <w:tc>
          <w:tcPr>
            <w:tcW w:w="2500" w:type="pct"/>
          </w:tcPr>
          <w:p w:rsidR="00A043AD" w:rsidRPr="00A23740" w:rsidRDefault="00A043AD" w:rsidP="002A27F8">
            <w:pPr>
              <w:widowControl w:val="0"/>
              <w:rPr>
                <w:rFonts w:eastAsia="Times New Roman"/>
                <w:b/>
                <w:bCs/>
                <w:color w:val="0000FF"/>
                <w:szCs w:val="24"/>
                <w:lang w:eastAsia="x-none"/>
              </w:rPr>
            </w:pPr>
            <w:r w:rsidRPr="00A23740">
              <w:rPr>
                <w:rFonts w:eastAsia="Times New Roman"/>
                <w:b/>
                <w:bCs/>
                <w:color w:val="0000FF"/>
                <w:szCs w:val="24"/>
                <w:lang w:eastAsia="x-none"/>
              </w:rPr>
              <w:t>Yapma veya yapmama borcuna ilişkin ilamlara aykırı davranma</w:t>
            </w:r>
          </w:p>
          <w:p w:rsidR="00A043AD" w:rsidRPr="00A23740" w:rsidRDefault="00A043AD" w:rsidP="002A27F8">
            <w:pPr>
              <w:widowControl w:val="0"/>
              <w:rPr>
                <w:rFonts w:eastAsia="Times New Roman"/>
                <w:szCs w:val="24"/>
                <w:lang w:eastAsia="tr-TR"/>
              </w:rPr>
            </w:pPr>
            <w:r w:rsidRPr="00A23740">
              <w:rPr>
                <w:rFonts w:eastAsia="Times New Roman"/>
                <w:b/>
                <w:bCs/>
                <w:color w:val="0000FF"/>
                <w:szCs w:val="24"/>
                <w:lang w:eastAsia="x-none"/>
              </w:rPr>
              <w:t xml:space="preserve">MADDE </w:t>
            </w:r>
            <w:r w:rsidRPr="00466739">
              <w:rPr>
                <w:rStyle w:val="Balk1Char"/>
                <w:rFonts w:eastAsia="Calibri"/>
              </w:rPr>
              <w:t>513- (1)</w:t>
            </w:r>
            <w:r w:rsidRPr="00A23740">
              <w:rPr>
                <w:rFonts w:eastAsia="Times New Roman"/>
                <w:b/>
                <w:bCs/>
                <w:color w:val="0000FF"/>
                <w:szCs w:val="24"/>
                <w:lang w:eastAsia="x-none"/>
              </w:rPr>
              <w:t xml:space="preserve"> </w:t>
            </w:r>
            <w:r w:rsidRPr="00A23740">
              <w:rPr>
                <w:rFonts w:eastAsia="Times New Roman"/>
                <w:szCs w:val="24"/>
                <w:lang w:eastAsia="tr-TR"/>
              </w:rPr>
              <w:t>Yalnız kendisi tarafından</w:t>
            </w:r>
            <w:r w:rsidRPr="00A23740">
              <w:rPr>
                <w:rFonts w:eastAsia="Times New Roman"/>
                <w:b/>
                <w:bCs/>
                <w:color w:val="0000FF"/>
                <w:szCs w:val="24"/>
                <w:lang w:eastAsia="x-none"/>
              </w:rPr>
              <w:t xml:space="preserve"> yerine getirilecek yapma borcunu içeren </w:t>
            </w:r>
            <w:r w:rsidRPr="00A23740">
              <w:rPr>
                <w:rFonts w:eastAsia="Times New Roman"/>
                <w:bCs/>
                <w:szCs w:val="24"/>
                <w:lang w:eastAsia="tr-TR"/>
              </w:rPr>
              <w:t xml:space="preserve">ilam </w:t>
            </w:r>
            <w:r w:rsidRPr="005A4748">
              <w:rPr>
                <w:rStyle w:val="Balk1Char"/>
                <w:rFonts w:eastAsia="Calibri"/>
              </w:rPr>
              <w:t>hükmüne</w:t>
            </w:r>
            <w:r w:rsidRPr="00A23740">
              <w:rPr>
                <w:rFonts w:eastAsia="Times New Roman"/>
                <w:b/>
                <w:bCs/>
                <w:color w:val="0000FF"/>
                <w:szCs w:val="24"/>
                <w:lang w:eastAsia="x-none"/>
              </w:rPr>
              <w:t xml:space="preserve"> geçerli bir </w:t>
            </w:r>
            <w:r w:rsidRPr="00A23740">
              <w:rPr>
                <w:rFonts w:eastAsia="Times New Roman"/>
                <w:bCs/>
                <w:szCs w:val="24"/>
                <w:lang w:eastAsia="tr-TR"/>
              </w:rPr>
              <w:t>mazeret</w:t>
            </w:r>
            <w:r w:rsidRPr="00A23740">
              <w:rPr>
                <w:rFonts w:eastAsia="Times New Roman"/>
                <w:b/>
                <w:bCs/>
                <w:color w:val="0000FF"/>
                <w:szCs w:val="24"/>
                <w:lang w:eastAsia="x-none"/>
              </w:rPr>
              <w:t xml:space="preserve">i </w:t>
            </w:r>
            <w:r w:rsidRPr="00A23740">
              <w:rPr>
                <w:rFonts w:eastAsia="Times New Roman"/>
                <w:bCs/>
                <w:szCs w:val="24"/>
                <w:lang w:eastAsia="tr-TR"/>
              </w:rPr>
              <w:t>olma</w:t>
            </w:r>
            <w:r w:rsidRPr="00A23740">
              <w:rPr>
                <w:rFonts w:eastAsia="Times New Roman"/>
                <w:b/>
                <w:bCs/>
                <w:color w:val="0000FF"/>
                <w:szCs w:val="24"/>
                <w:lang w:eastAsia="x-none"/>
              </w:rPr>
              <w:t xml:space="preserve">ksızın aykırı davranan </w:t>
            </w:r>
            <w:r w:rsidRPr="00A23740">
              <w:rPr>
                <w:rFonts w:eastAsia="Times New Roman"/>
                <w:bCs/>
                <w:szCs w:val="24"/>
                <w:lang w:eastAsia="x-none"/>
              </w:rPr>
              <w:t xml:space="preserve">borçlu </w:t>
            </w:r>
            <w:r w:rsidRPr="00A23740">
              <w:rPr>
                <w:b/>
                <w:bCs/>
                <w:color w:val="0000FF"/>
                <w:szCs w:val="24"/>
                <w:lang w:eastAsia="x-none"/>
              </w:rPr>
              <w:t>hakkında</w:t>
            </w:r>
            <w:r w:rsidRPr="00A23740">
              <w:rPr>
                <w:rFonts w:eastAsia="Times New Roman"/>
                <w:bCs/>
                <w:szCs w:val="24"/>
                <w:lang w:eastAsia="x-none"/>
              </w:rPr>
              <w:t>,</w:t>
            </w:r>
            <w:r w:rsidRPr="00A23740">
              <w:rPr>
                <w:rFonts w:eastAsia="Times New Roman"/>
                <w:b/>
                <w:bCs/>
                <w:color w:val="0000FF"/>
                <w:szCs w:val="24"/>
                <w:lang w:eastAsia="x-none"/>
              </w:rPr>
              <w:t xml:space="preserve"> alacaklının</w:t>
            </w:r>
            <w:r w:rsidRPr="00A23740">
              <w:rPr>
                <w:rFonts w:eastAsia="Times New Roman"/>
                <w:b/>
                <w:bCs/>
                <w:szCs w:val="24"/>
                <w:lang w:eastAsia="tr-TR"/>
              </w:rPr>
              <w:t xml:space="preserve"> </w:t>
            </w:r>
            <w:r w:rsidRPr="00A23740">
              <w:rPr>
                <w:rFonts w:eastAsia="Times New Roman"/>
                <w:bCs/>
                <w:szCs w:val="24"/>
                <w:lang w:eastAsia="tr-TR"/>
              </w:rPr>
              <w:t xml:space="preserve">şikâyeti üzerine, üç aya kadar </w:t>
            </w:r>
            <w:r w:rsidRPr="00A23740">
              <w:rPr>
                <w:rFonts w:eastAsia="Times New Roman"/>
                <w:bCs/>
                <w:szCs w:val="24"/>
                <w:lang w:eastAsia="x-none"/>
              </w:rPr>
              <w:t>tazyik</w:t>
            </w:r>
            <w:r w:rsidRPr="00A23740">
              <w:rPr>
                <w:rFonts w:eastAsia="Times New Roman"/>
                <w:bCs/>
                <w:szCs w:val="24"/>
                <w:lang w:eastAsia="tr-TR"/>
              </w:rPr>
              <w:t xml:space="preserve"> </w:t>
            </w:r>
            <w:r w:rsidRPr="00A23740">
              <w:rPr>
                <w:rFonts w:eastAsia="Times New Roman"/>
                <w:szCs w:val="24"/>
                <w:lang w:eastAsia="tr-TR"/>
              </w:rPr>
              <w:t>hapsine karar verilir.</w:t>
            </w:r>
          </w:p>
          <w:p w:rsidR="00A043AD" w:rsidRPr="00A23740" w:rsidRDefault="00A043AD" w:rsidP="002A27F8">
            <w:pPr>
              <w:widowControl w:val="0"/>
              <w:rPr>
                <w:rFonts w:eastAsia="Times New Roman"/>
                <w:szCs w:val="24"/>
                <w:lang w:eastAsia="tr-TR"/>
              </w:rPr>
            </w:pPr>
          </w:p>
          <w:p w:rsidR="00A043AD" w:rsidRPr="00A23740" w:rsidRDefault="00A043AD" w:rsidP="002A27F8">
            <w:pPr>
              <w:widowControl w:val="0"/>
              <w:rPr>
                <w:b/>
                <w:bCs/>
                <w:color w:val="0000FF"/>
                <w:szCs w:val="24"/>
                <w:lang w:eastAsia="x-none"/>
              </w:rPr>
            </w:pPr>
            <w:r w:rsidRPr="00A23740">
              <w:rPr>
                <w:rFonts w:eastAsia="Times New Roman"/>
                <w:b/>
                <w:bCs/>
                <w:color w:val="0000FF"/>
                <w:szCs w:val="24"/>
                <w:lang w:eastAsia="x-none"/>
              </w:rPr>
              <w:t>(2)</w:t>
            </w:r>
            <w:r w:rsidRPr="00A23740">
              <w:rPr>
                <w:rFonts w:eastAsia="Times New Roman"/>
                <w:szCs w:val="24"/>
                <w:lang w:eastAsia="tr-TR"/>
              </w:rPr>
              <w:t xml:space="preserve"> Bir irtifak hakkının </w:t>
            </w:r>
            <w:r w:rsidRPr="00A23740">
              <w:rPr>
                <w:rFonts w:eastAsia="Times New Roman"/>
                <w:b/>
                <w:bCs/>
                <w:color w:val="0000FF"/>
                <w:szCs w:val="24"/>
                <w:lang w:eastAsia="x-none"/>
              </w:rPr>
              <w:t>kurulması</w:t>
            </w:r>
            <w:r w:rsidRPr="00A23740">
              <w:rPr>
                <w:rFonts w:eastAsia="Times New Roman"/>
                <w:szCs w:val="24"/>
                <w:lang w:eastAsia="tr-TR"/>
              </w:rPr>
              <w:t xml:space="preserve"> veya </w:t>
            </w:r>
            <w:r w:rsidRPr="00A23740">
              <w:rPr>
                <w:rFonts w:eastAsia="Times New Roman"/>
                <w:b/>
                <w:bCs/>
                <w:color w:val="0000FF"/>
                <w:szCs w:val="24"/>
                <w:lang w:eastAsia="x-none"/>
              </w:rPr>
              <w:t xml:space="preserve">terkini </w:t>
            </w:r>
            <w:r w:rsidRPr="00A23740">
              <w:rPr>
                <w:rFonts w:eastAsia="Times New Roman"/>
                <w:szCs w:val="24"/>
                <w:lang w:eastAsia="tr-TR"/>
              </w:rPr>
              <w:t>hakkındaki ilam hük</w:t>
            </w:r>
            <w:r w:rsidRPr="00A23740">
              <w:rPr>
                <w:rFonts w:eastAsia="Times New Roman"/>
                <w:b/>
                <w:bCs/>
                <w:color w:val="0000FF"/>
                <w:szCs w:val="24"/>
                <w:lang w:eastAsia="x-none"/>
              </w:rPr>
              <w:t>müne</w:t>
            </w:r>
            <w:r w:rsidRPr="00A23740">
              <w:rPr>
                <w:rFonts w:eastAsia="Times New Roman"/>
                <w:szCs w:val="24"/>
                <w:lang w:eastAsia="tr-TR"/>
              </w:rPr>
              <w:t xml:space="preserve"> </w:t>
            </w:r>
            <w:r w:rsidRPr="00A23740">
              <w:rPr>
                <w:rFonts w:eastAsia="Times New Roman"/>
                <w:b/>
                <w:bCs/>
                <w:color w:val="0000FF"/>
                <w:szCs w:val="24"/>
                <w:lang w:eastAsia="x-none"/>
              </w:rPr>
              <w:t>geçerli bir mazereti olmaksızın aykırı davranan borçlu hakkında, alacaklının şikâyeti üzerine üç aya kadar tazyik hapsi</w:t>
            </w:r>
            <w:r w:rsidRPr="00A23740">
              <w:rPr>
                <w:b/>
                <w:bCs/>
                <w:color w:val="0000FF"/>
                <w:szCs w:val="24"/>
                <w:lang w:eastAsia="x-none"/>
              </w:rPr>
              <w:t>ne karar verilir.</w:t>
            </w:r>
          </w:p>
          <w:p w:rsidR="00A043AD" w:rsidRPr="00A23740" w:rsidRDefault="00A043AD" w:rsidP="002A27F8">
            <w:pPr>
              <w:widowControl w:val="0"/>
              <w:rPr>
                <w:b/>
                <w:bCs/>
                <w:color w:val="0000FF"/>
                <w:szCs w:val="24"/>
                <w:lang w:eastAsia="x-none"/>
              </w:rPr>
            </w:pPr>
            <w:r w:rsidRPr="00A23740">
              <w:rPr>
                <w:b/>
                <w:bCs/>
                <w:color w:val="0000FF"/>
                <w:szCs w:val="24"/>
                <w:lang w:eastAsia="x-none"/>
              </w:rPr>
              <w:t xml:space="preserve"> </w:t>
            </w:r>
          </w:p>
          <w:p w:rsidR="00A043AD" w:rsidRPr="00A23740" w:rsidRDefault="00A043AD" w:rsidP="002A27F8">
            <w:pPr>
              <w:widowControl w:val="0"/>
              <w:rPr>
                <w:rFonts w:eastAsia="Times New Roman"/>
                <w:b/>
                <w:bCs/>
                <w:color w:val="0000FF"/>
                <w:szCs w:val="24"/>
                <w:lang w:eastAsia="x-none"/>
              </w:rPr>
            </w:pPr>
            <w:r w:rsidRPr="00A23740">
              <w:rPr>
                <w:rFonts w:eastAsia="Times New Roman"/>
                <w:b/>
                <w:bCs/>
                <w:color w:val="0000FF"/>
                <w:szCs w:val="24"/>
                <w:lang w:eastAsia="x-none"/>
              </w:rPr>
              <w:t>(3) Yukarıdaki fıkralar uyarınca verilen</w:t>
            </w:r>
            <w:r w:rsidRPr="00A23740">
              <w:rPr>
                <w:rFonts w:eastAsia="Times New Roman"/>
                <w:bCs/>
                <w:szCs w:val="24"/>
                <w:lang w:eastAsia="tr-TR"/>
              </w:rPr>
              <w:t xml:space="preserve"> h</w:t>
            </w:r>
            <w:r w:rsidRPr="00A23740">
              <w:rPr>
                <w:rFonts w:eastAsia="Times New Roman"/>
                <w:szCs w:val="24"/>
                <w:lang w:eastAsia="tr-TR"/>
              </w:rPr>
              <w:t xml:space="preserve">apsin </w:t>
            </w:r>
            <w:r w:rsidRPr="00A23740">
              <w:rPr>
                <w:rFonts w:eastAsia="Times New Roman"/>
                <w:b/>
                <w:bCs/>
                <w:color w:val="0000FF"/>
                <w:szCs w:val="24"/>
                <w:lang w:eastAsia="x-none"/>
              </w:rPr>
              <w:t>infazına</w:t>
            </w:r>
            <w:r w:rsidRPr="00A23740">
              <w:rPr>
                <w:rFonts w:eastAsia="Times New Roman"/>
                <w:szCs w:val="24"/>
                <w:lang w:eastAsia="tr-TR"/>
              </w:rPr>
              <w:t xml:space="preserve"> başlandıktan sonra ilamın gereği yerine getirilirse, borçlu tahliye edilir.</w:t>
            </w:r>
          </w:p>
          <w:p w:rsidR="00A043AD" w:rsidRPr="00A23740" w:rsidRDefault="00A043AD" w:rsidP="002A27F8">
            <w:pPr>
              <w:widowControl w:val="0"/>
              <w:rPr>
                <w:rFonts w:eastAsia="Times New Roman"/>
                <w:b/>
                <w:bCs/>
                <w:color w:val="0000FF"/>
                <w:szCs w:val="24"/>
                <w:lang w:eastAsia="x-none"/>
              </w:rPr>
            </w:pPr>
          </w:p>
          <w:p w:rsidR="00A043AD" w:rsidRPr="00A23740" w:rsidRDefault="00A043AD" w:rsidP="002A27F8">
            <w:pPr>
              <w:widowControl w:val="0"/>
              <w:rPr>
                <w:rFonts w:eastAsia="Times New Roman"/>
                <w:b/>
                <w:bCs/>
                <w:color w:val="0000FF"/>
                <w:szCs w:val="24"/>
                <w:lang w:eastAsia="x-none"/>
              </w:rPr>
            </w:pPr>
            <w:r w:rsidRPr="00A23740">
              <w:rPr>
                <w:rFonts w:eastAsia="Times New Roman"/>
                <w:b/>
                <w:bCs/>
                <w:color w:val="0000FF"/>
                <w:szCs w:val="24"/>
                <w:lang w:eastAsia="x-none"/>
              </w:rPr>
              <w:t xml:space="preserve">(4) </w:t>
            </w:r>
            <w:r w:rsidRPr="00466739">
              <w:rPr>
                <w:rStyle w:val="Balk1Char"/>
                <w:rFonts w:eastAsia="Calibri"/>
              </w:rPr>
              <w:t>Yalnız kendisi tarafından y</w:t>
            </w:r>
            <w:r w:rsidRPr="00A23740">
              <w:rPr>
                <w:rFonts w:eastAsia="Times New Roman"/>
                <w:b/>
                <w:bCs/>
                <w:color w:val="0000FF"/>
                <w:szCs w:val="24"/>
                <w:lang w:eastAsia="x-none"/>
              </w:rPr>
              <w:t xml:space="preserve">erine getirilecek yapmama borcunu içeren ilam hükmüne geçerli bir mazereti olmaksızın aykırı davranan borçlu, alacaklının şikâyeti üzerine, </w:t>
            </w:r>
            <w:r w:rsidRPr="00A23740">
              <w:rPr>
                <w:b/>
                <w:bCs/>
                <w:color w:val="0000FF"/>
                <w:szCs w:val="24"/>
                <w:lang w:eastAsia="x-none"/>
              </w:rPr>
              <w:t>on gün</w:t>
            </w:r>
            <w:r w:rsidRPr="00A23740">
              <w:rPr>
                <w:rFonts w:eastAsia="Times New Roman"/>
                <w:b/>
                <w:bCs/>
                <w:color w:val="0000FF"/>
                <w:szCs w:val="24"/>
                <w:lang w:eastAsia="x-none"/>
              </w:rPr>
              <w:t xml:space="preserve"> disiplin </w:t>
            </w:r>
            <w:r w:rsidR="001647D1" w:rsidRPr="00466739">
              <w:rPr>
                <w:rStyle w:val="Balk1Char"/>
                <w:rFonts w:eastAsia="Calibri"/>
              </w:rPr>
              <w:t>hapsiyle</w:t>
            </w:r>
            <w:r w:rsidRPr="00466739">
              <w:rPr>
                <w:rStyle w:val="Balk1Char"/>
                <w:rFonts w:eastAsia="Calibri"/>
              </w:rPr>
              <w:t xml:space="preserve"> cezalandırılır</w:t>
            </w:r>
            <w:r w:rsidRPr="00A23740">
              <w:rPr>
                <w:rFonts w:eastAsia="Times New Roman"/>
                <w:b/>
                <w:bCs/>
                <w:color w:val="0000FF"/>
                <w:szCs w:val="24"/>
                <w:lang w:eastAsia="x-none"/>
              </w:rPr>
              <w:t>.</w:t>
            </w:r>
          </w:p>
          <w:p w:rsidR="00A043AD" w:rsidRPr="00A23740" w:rsidRDefault="00A043AD" w:rsidP="002A27F8">
            <w:pPr>
              <w:widowControl w:val="0"/>
              <w:rPr>
                <w:rFonts w:eastAsia="Times New Roman"/>
                <w:b/>
                <w:bCs/>
                <w:color w:val="0000FF"/>
                <w:szCs w:val="24"/>
                <w:lang w:eastAsia="x-none"/>
              </w:rPr>
            </w:pPr>
          </w:p>
          <w:p w:rsidR="00A043AD" w:rsidRPr="00A23740" w:rsidRDefault="00A043AD" w:rsidP="002A27F8">
            <w:pPr>
              <w:widowControl w:val="0"/>
              <w:rPr>
                <w:rFonts w:eastAsia="Times New Roman"/>
                <w:b/>
                <w:strike/>
                <w:color w:val="FF0000"/>
                <w:szCs w:val="24"/>
                <w:lang w:eastAsia="x-none"/>
              </w:rPr>
            </w:pPr>
            <w:r w:rsidRPr="00A23740">
              <w:rPr>
                <w:b/>
                <w:bCs/>
                <w:color w:val="0000FF"/>
                <w:szCs w:val="24"/>
                <w:lang w:eastAsia="x-none"/>
              </w:rPr>
              <w:t xml:space="preserve">(5) Bu maddeye göre bir ilamın yerine getirilmesi çerçevesinde borçlunun tazyik veya disiplin hapsinde geçireceği toplam süre </w:t>
            </w:r>
            <w:r w:rsidRPr="00A23740">
              <w:rPr>
                <w:b/>
                <w:bCs/>
                <w:color w:val="0000FF"/>
                <w:szCs w:val="24"/>
                <w:lang w:val="x-none" w:eastAsia="x-none"/>
              </w:rPr>
              <w:t>üç</w:t>
            </w:r>
            <w:r w:rsidRPr="00A23740">
              <w:rPr>
                <w:b/>
                <w:bCs/>
                <w:color w:val="0000FF"/>
                <w:szCs w:val="24"/>
                <w:lang w:eastAsia="x-none"/>
              </w:rPr>
              <w:t xml:space="preserve"> aydan fazla olamaz.</w:t>
            </w:r>
          </w:p>
          <w:p w:rsidR="002A27F8" w:rsidRPr="00A23740" w:rsidRDefault="002A27F8" w:rsidP="002A27F8">
            <w:pPr>
              <w:widowControl w:val="0"/>
              <w:tabs>
                <w:tab w:val="left" w:pos="567"/>
              </w:tabs>
              <w:rPr>
                <w:rFonts w:eastAsia="Times New Roman"/>
                <w:b/>
                <w:color w:val="FF0000"/>
                <w:szCs w:val="24"/>
                <w:lang w:eastAsia="x-none"/>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Arial Unicode MS"/>
                <w:iCs/>
                <w:szCs w:val="24"/>
                <w:lang w:eastAsia="tr-TR"/>
              </w:rPr>
            </w:pPr>
            <w:r w:rsidRPr="00A23740">
              <w:rPr>
                <w:rFonts w:eastAsia="Arial Unicode MS"/>
                <w:b/>
                <w:iCs/>
                <w:szCs w:val="24"/>
                <w:lang w:eastAsia="tr-TR"/>
              </w:rPr>
              <w:t>MADDE 513-</w:t>
            </w:r>
            <w:r w:rsidRPr="00A23740">
              <w:rPr>
                <w:rFonts w:eastAsia="Arial Unicode MS"/>
                <w:iCs/>
                <w:szCs w:val="24"/>
                <w:lang w:eastAsia="tr-TR"/>
              </w:rPr>
              <w:t xml:space="preserve"> Maddeyle, yapma veya yapmama borcuna ilişkin ilamlara aykırı davranılmasının müeyyidesi düzenlenmektedir. Madde, 2004 sayılı Kanunun 343 üncü maddesine karşılık gelmekte olup hüküm sadeleştirilmekte, yapma ve yapmama borcuna ilişkin ilamlar ile irtifak hakkının kurulması veya kaldırılması hakkındaki ilamlara göre ayrı ayrı fıkralarda yeniden düzenlenmektedir.</w:t>
            </w:r>
          </w:p>
          <w:p w:rsidR="00A043AD" w:rsidRPr="00A23740" w:rsidRDefault="00A043AD" w:rsidP="00750F08">
            <w:pPr>
              <w:ind w:firstLine="709"/>
              <w:rPr>
                <w:rFonts w:eastAsia="Arial Unicode MS"/>
                <w:iCs/>
                <w:szCs w:val="24"/>
                <w:lang w:eastAsia="tr-TR"/>
              </w:rPr>
            </w:pPr>
            <w:r w:rsidRPr="00A23740">
              <w:rPr>
                <w:rFonts w:eastAsia="Arial Unicode MS"/>
                <w:iCs/>
                <w:szCs w:val="24"/>
                <w:lang w:eastAsia="tr-TR"/>
              </w:rPr>
              <w:t>Taslağın 76 ve 77 nci maddelerine göre, söz konusu madde sebebiyle borçlunun cezalandırılması yoluna gidilebilmesi için yapma veya yapmama borcunu içeren ilamın icra takibine konulmuş ve borçluya icra emri tebliğ edilerek takibin kesinleşmiş olması gerekmektedir. Gönderilecek icra emrinde yapılacak işin ilamda gösterilen süre içinde, ilamda süre belirlenmemişse işin niteliğine göre icra</w:t>
            </w:r>
            <w:r w:rsidR="007D74DD" w:rsidRPr="00A23740">
              <w:rPr>
                <w:rFonts w:eastAsia="Arial Unicode MS"/>
                <w:iCs/>
                <w:szCs w:val="24"/>
                <w:lang w:eastAsia="tr-TR"/>
              </w:rPr>
              <w:t xml:space="preserve"> </w:t>
            </w:r>
            <w:r w:rsidR="007D74DD" w:rsidRPr="002A27F8">
              <w:rPr>
                <w:color w:val="000000" w:themeColor="text1"/>
              </w:rPr>
              <w:t>ve iflas</w:t>
            </w:r>
            <w:r w:rsidRPr="00A23740">
              <w:rPr>
                <w:rFonts w:eastAsia="Arial Unicode MS"/>
                <w:iCs/>
                <w:szCs w:val="24"/>
                <w:lang w:eastAsia="tr-TR"/>
              </w:rPr>
              <w:t xml:space="preserve"> </w:t>
            </w:r>
            <w:r w:rsidR="003E0550" w:rsidRPr="00A23740">
              <w:rPr>
                <w:rFonts w:eastAsia="Arial Unicode MS"/>
                <w:iCs/>
                <w:szCs w:val="24"/>
                <w:lang w:eastAsia="tr-TR"/>
              </w:rPr>
              <w:t xml:space="preserve">dairesi </w:t>
            </w:r>
            <w:r w:rsidRPr="00A23740">
              <w:rPr>
                <w:rFonts w:eastAsia="Arial Unicode MS"/>
                <w:iCs/>
                <w:szCs w:val="24"/>
                <w:lang w:eastAsia="tr-TR"/>
              </w:rPr>
              <w:t>müdürünce hükmolunan işin başlama ve bitirme zamanları da gösterilerek belirlenen süre içinde işin yapılması gerekmektedir. Özellikle ilamda yapılması hükme bağlanan işin, bizzat borçlusu tarafından yerine getirilmesi gereken bir iş olması durumunda, işin yapılması için ilamda bir süre belirlenmiş</w:t>
            </w:r>
            <w:r w:rsidR="003E0550" w:rsidRPr="00A23740">
              <w:rPr>
                <w:rFonts w:eastAsia="Arial Unicode MS"/>
                <w:iCs/>
                <w:szCs w:val="24"/>
                <w:lang w:eastAsia="tr-TR"/>
              </w:rPr>
              <w:t>se</w:t>
            </w:r>
            <w:r w:rsidRPr="00A23740">
              <w:rPr>
                <w:rFonts w:eastAsia="Arial Unicode MS"/>
                <w:iCs/>
                <w:szCs w:val="24"/>
                <w:lang w:eastAsia="tr-TR"/>
              </w:rPr>
              <w:t xml:space="preserve"> bu süre, ilamda bir süre belirlenmemiş</w:t>
            </w:r>
            <w:r w:rsidR="003E0550" w:rsidRPr="00A23740">
              <w:rPr>
                <w:rFonts w:eastAsia="Arial Unicode MS"/>
                <w:iCs/>
                <w:szCs w:val="24"/>
                <w:lang w:eastAsia="tr-TR"/>
              </w:rPr>
              <w:t>se</w:t>
            </w:r>
            <w:r w:rsidRPr="00A23740">
              <w:rPr>
                <w:rFonts w:eastAsia="Arial Unicode MS"/>
                <w:iCs/>
                <w:szCs w:val="24"/>
                <w:lang w:eastAsia="tr-TR"/>
              </w:rPr>
              <w:t xml:space="preserve"> </w:t>
            </w:r>
            <w:r w:rsidRPr="002E2E40">
              <w:rPr>
                <w:rFonts w:eastAsia="Arial Unicode MS"/>
                <w:iCs/>
                <w:szCs w:val="24"/>
                <w:lang w:eastAsia="tr-TR"/>
              </w:rPr>
              <w:t xml:space="preserve">icra </w:t>
            </w:r>
            <w:r w:rsidR="007D74DD" w:rsidRPr="002E2E40">
              <w:t xml:space="preserve">ve iflas </w:t>
            </w:r>
            <w:r w:rsidR="003E0550" w:rsidRPr="002E2E40">
              <w:t>dairesi</w:t>
            </w:r>
            <w:r w:rsidR="003E0550" w:rsidRPr="00A23740">
              <w:rPr>
                <w:b/>
                <w:color w:val="385623"/>
              </w:rPr>
              <w:t xml:space="preserve"> </w:t>
            </w:r>
            <w:r w:rsidRPr="00A23740">
              <w:rPr>
                <w:rFonts w:eastAsia="Arial Unicode MS"/>
                <w:iCs/>
                <w:szCs w:val="24"/>
                <w:lang w:eastAsia="tr-TR"/>
              </w:rPr>
              <w:t xml:space="preserve">müdürünce belirlenen süre içinde yapılmaması hâlinde </w:t>
            </w:r>
            <w:r w:rsidR="003E0550" w:rsidRPr="00A23740">
              <w:rPr>
                <w:rFonts w:eastAsia="Arial Unicode MS"/>
                <w:iCs/>
                <w:szCs w:val="24"/>
                <w:lang w:eastAsia="tr-TR"/>
              </w:rPr>
              <w:t xml:space="preserve">fiil </w:t>
            </w:r>
            <w:r w:rsidRPr="00A23740">
              <w:rPr>
                <w:rFonts w:eastAsia="Arial Unicode MS"/>
                <w:iCs/>
                <w:szCs w:val="24"/>
                <w:lang w:eastAsia="tr-TR"/>
              </w:rPr>
              <w:t xml:space="preserve">gerçekleşmiş olur. </w:t>
            </w:r>
          </w:p>
          <w:p w:rsidR="00634DC7" w:rsidRPr="00A23740" w:rsidRDefault="00A043AD" w:rsidP="00634DC7">
            <w:pPr>
              <w:tabs>
                <w:tab w:val="left" w:pos="567"/>
              </w:tabs>
              <w:ind w:firstLine="709"/>
              <w:rPr>
                <w:rFonts w:eastAsia="Times New Roman"/>
                <w:szCs w:val="24"/>
                <w:lang w:eastAsia="tr-TR"/>
              </w:rPr>
            </w:pPr>
            <w:r w:rsidRPr="00A23740">
              <w:rPr>
                <w:rFonts w:eastAsia="Arial Unicode MS"/>
                <w:iCs/>
                <w:szCs w:val="24"/>
                <w:lang w:eastAsia="tr-TR"/>
              </w:rPr>
              <w:t xml:space="preserve">Birinci fıkrayla, yapma borcunu içeren ilam hükümlerine aykırı davranılmasının müeyyidesi düzenlenmektedir. Buna göre, yalnızca ilamda belirlenen borçlusu tarafından yapılması gereken; örneğin, bir ressamın resim yapması, bir mimarın mimari proje hazırlaması, bir heykeltıraşın heykel yapması gibi; yapma borcunu içeren ilam hükmünü geçerli bir mazereti olmaksızın yerine getirmeyen borçlu, alacaklının şikâyeti üzerine üç aya kadar tazyik </w:t>
            </w:r>
            <w:r w:rsidR="001647D1" w:rsidRPr="002E2E40">
              <w:rPr>
                <w:szCs w:val="24"/>
                <w:lang w:val="x-none" w:eastAsia="x-none"/>
              </w:rPr>
              <w:t>hapsiyle</w:t>
            </w:r>
            <w:r w:rsidRPr="00A23740">
              <w:rPr>
                <w:rFonts w:eastAsia="Arial Unicode MS"/>
                <w:iCs/>
                <w:szCs w:val="24"/>
                <w:lang w:eastAsia="tr-TR"/>
              </w:rPr>
              <w:t xml:space="preserve"> cezalandırılır. Diğer taraftan, Taslağın 76 ncı</w:t>
            </w:r>
            <w:r w:rsidR="00634DC7" w:rsidRPr="00A23740">
              <w:rPr>
                <w:rFonts w:eastAsia="Arial Unicode MS"/>
                <w:iCs/>
                <w:szCs w:val="24"/>
                <w:lang w:eastAsia="tr-TR"/>
              </w:rPr>
              <w:t xml:space="preserve"> </w:t>
            </w:r>
            <w:r w:rsidRPr="00A23740">
              <w:rPr>
                <w:rFonts w:eastAsia="Arial Unicode MS"/>
                <w:iCs/>
                <w:szCs w:val="24"/>
                <w:lang w:eastAsia="tr-TR"/>
              </w:rPr>
              <w:t xml:space="preserve">maddesinin birinci fıkrasının (e) bendinde belirtildiği üzere, </w:t>
            </w:r>
            <w:r w:rsidRPr="00A23740">
              <w:t>bir işin yapılmasına ilişkin ilam hükmü yerine getirildikten sonra ilamın sonuçlarını ortadan kaldıracak şekilde eylemde bulunulması hâlinde de borçlu birinci fıkra uyarınca cezalandırılır. Bizzat borçlusu tarafından yerine getirilecek yapma borcunun, niteliği itibarıyla zorla yerine getirmeye elverişli görülmesi nedeniyle fıkrada borçluyu, edimini ifaya zorlamak amacıyla müeyyide olarak tazyik hapsi tercih edilmektedir. Borçlu, ilamın gereğini yerine getirirse</w:t>
            </w:r>
            <w:r w:rsidR="003E0550" w:rsidRPr="00A23740">
              <w:t>,</w:t>
            </w:r>
            <w:r w:rsidRPr="00A23740">
              <w:t xml:space="preserve"> maddenin üçüncü fıkrası uyarınca tahliye edilir. Ayrıca </w:t>
            </w:r>
            <w:r w:rsidRPr="00A23740">
              <w:rPr>
                <w:rFonts w:eastAsia="Times New Roman"/>
                <w:szCs w:val="24"/>
                <w:lang w:eastAsia="tr-TR"/>
              </w:rPr>
              <w:t xml:space="preserve">bu </w:t>
            </w:r>
            <w:r w:rsidR="003E0550" w:rsidRPr="00A23740">
              <w:rPr>
                <w:rFonts w:eastAsia="Times New Roman"/>
                <w:szCs w:val="24"/>
                <w:lang w:eastAsia="tr-TR"/>
              </w:rPr>
              <w:t>K</w:t>
            </w:r>
            <w:r w:rsidRPr="00A23740">
              <w:rPr>
                <w:rFonts w:eastAsia="Times New Roman"/>
                <w:szCs w:val="24"/>
                <w:lang w:eastAsia="tr-TR"/>
              </w:rPr>
              <w:t>itapta düzenlenen hükümlerde yer alan “makbul bir mazeret”, “makbul bir sebep” ve “haklı bir sebep” unsuru, yeknesaklığın sağlanması ve hükmün tereddüde mahal vermeyecek şekilde daha iyi uygulanması amacıyla “geçerli bir mazeret” olarak değiştirilmektedir.</w:t>
            </w:r>
            <w:r w:rsidR="00634DC7" w:rsidRPr="00A23740">
              <w:rPr>
                <w:rFonts w:eastAsia="Times New Roman"/>
                <w:szCs w:val="24"/>
                <w:lang w:eastAsia="tr-TR"/>
              </w:rPr>
              <w:t xml:space="preserve"> </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İkinci fıkrayla, bir irtifak hakkının kurulması veya terkini hakkındaki ilam hükmüne geçerli bir mazereti olmaksızın aykırı davranan borçlunun tazyik </w:t>
            </w:r>
            <w:r w:rsidR="001647D1" w:rsidRPr="002E2E40">
              <w:rPr>
                <w:szCs w:val="24"/>
                <w:lang w:val="x-none" w:eastAsia="x-none"/>
              </w:rPr>
              <w:t>hapsiyle</w:t>
            </w:r>
            <w:r w:rsidRPr="00A23740">
              <w:rPr>
                <w:rFonts w:eastAsia="Arial Unicode MS"/>
                <w:iCs/>
                <w:szCs w:val="24"/>
                <w:lang w:eastAsia="tr-TR"/>
              </w:rPr>
              <w:t xml:space="preserve"> cezalandırılacağı düzenlenmektedir. İrtifak haklarına </w:t>
            </w:r>
            <w:r w:rsidRPr="00A23740">
              <w:rPr>
                <w:rFonts w:eastAsia="Arial Unicode MS"/>
                <w:bCs/>
                <w:iCs/>
                <w:lang w:eastAsia="tr-TR"/>
              </w:rPr>
              <w:t>ilişkin</w:t>
            </w:r>
            <w:r w:rsidRPr="00A23740">
              <w:rPr>
                <w:rFonts w:eastAsia="Arial Unicode MS"/>
                <w:iCs/>
                <w:szCs w:val="24"/>
                <w:lang w:eastAsia="tr-TR"/>
              </w:rPr>
              <w:t xml:space="preserve"> ilamlar</w:t>
            </w:r>
            <w:r w:rsidRPr="00A23740">
              <w:rPr>
                <w:rFonts w:eastAsia="Arial Unicode MS"/>
                <w:bCs/>
                <w:iCs/>
                <w:lang w:eastAsia="tr-TR"/>
              </w:rPr>
              <w:t>ın icrasına dair hükümler, Taslağın 75 inci maddesinde ayrıntılı olarak düzenlenmektedir.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Üçüncü fıkrayla, birinci ve ikinci fıkralar uyarınca hapis cezasının uygulanmasına başlandıktan sonra ilamın gereğinin yerine getirilmesi hâlinde borçlunun tahliye edileceği düzenlenmektedir. Bu hüküm, 2004 sayılı Kanunun 343 üncü maddesinin birinci fıkrasının son cümlesine karşılık gelmekte olup, Bilim Komisyonu çalışmaları sırasında borçlunun tazyik </w:t>
            </w:r>
            <w:r w:rsidR="001647D1" w:rsidRPr="002E2E40">
              <w:rPr>
                <w:szCs w:val="24"/>
                <w:lang w:val="x-none" w:eastAsia="x-none"/>
              </w:rPr>
              <w:t>hapsiyle</w:t>
            </w:r>
            <w:r w:rsidRPr="00A23740">
              <w:rPr>
                <w:rFonts w:eastAsia="Arial Unicode MS"/>
                <w:iCs/>
                <w:szCs w:val="24"/>
                <w:lang w:eastAsia="tr-TR"/>
              </w:rPr>
              <w:t xml:space="preserve"> yerine getirmeye zorlanacağı </w:t>
            </w:r>
            <w:r w:rsidR="003E0550" w:rsidRPr="00A23740">
              <w:rPr>
                <w:rFonts w:eastAsia="Arial Unicode MS"/>
                <w:iCs/>
                <w:szCs w:val="24"/>
                <w:lang w:eastAsia="tr-TR"/>
              </w:rPr>
              <w:t xml:space="preserve">olumlu </w:t>
            </w:r>
            <w:r w:rsidRPr="00A23740">
              <w:rPr>
                <w:rFonts w:eastAsia="Arial Unicode MS"/>
                <w:iCs/>
                <w:szCs w:val="24"/>
                <w:lang w:eastAsia="tr-TR"/>
              </w:rPr>
              <w:t>bir edimin bulunmadığı kabul edilerek</w:t>
            </w:r>
            <w:r w:rsidR="003E0550" w:rsidRPr="00A23740">
              <w:rPr>
                <w:rFonts w:eastAsia="Arial Unicode MS"/>
                <w:iCs/>
                <w:szCs w:val="24"/>
                <w:lang w:eastAsia="tr-TR"/>
              </w:rPr>
              <w:t>,</w:t>
            </w:r>
            <w:r w:rsidRPr="00A23740">
              <w:rPr>
                <w:rFonts w:eastAsia="Arial Unicode MS"/>
                <w:iCs/>
                <w:szCs w:val="24"/>
                <w:lang w:eastAsia="tr-TR"/>
              </w:rPr>
              <w:t xml:space="preserve"> yapmama borcunu içeren ilamlar fıkranın kapsamına</w:t>
            </w:r>
            <w:r w:rsidR="003E0550" w:rsidRPr="00A23740">
              <w:rPr>
                <w:rFonts w:eastAsia="Arial Unicode MS"/>
                <w:iCs/>
                <w:szCs w:val="24"/>
                <w:lang w:eastAsia="tr-TR"/>
              </w:rPr>
              <w:t xml:space="preserve"> alınmamıştır</w:t>
            </w:r>
            <w:r w:rsidRPr="00A23740">
              <w:rPr>
                <w:rFonts w:eastAsia="Arial Unicode MS"/>
                <w:iCs/>
                <w:szCs w:val="24"/>
                <w:lang w:eastAsia="tr-TR"/>
              </w:rPr>
              <w:t>.</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Dördüncü fıkrayla, yalnız kendisi tarafından yerine getirilecek yapmama borcunu içeren ilam hükümlerine geçerli bir mazereti olmaksızın aykırı davranan borçlunun, alacaklının şikâyeti üzerine on gün disiplin </w:t>
            </w:r>
            <w:r w:rsidR="001647D1" w:rsidRPr="002E2E40">
              <w:rPr>
                <w:szCs w:val="24"/>
                <w:lang w:val="x-none" w:eastAsia="x-none"/>
              </w:rPr>
              <w:t>hapsiyle</w:t>
            </w:r>
            <w:r w:rsidRPr="00A23740">
              <w:rPr>
                <w:rFonts w:eastAsia="Arial Unicode MS"/>
                <w:iCs/>
                <w:szCs w:val="24"/>
                <w:lang w:eastAsia="tr-TR"/>
              </w:rPr>
              <w:t xml:space="preserve"> cezalandırılacağı hükme bağlanmaktadır. Diğer taraftan, Taslağın 77 nci maddesinin birinci fıkrasının (ç) bendinde belirtildiği üzer</w:t>
            </w:r>
            <w:r w:rsidRPr="00A06764">
              <w:rPr>
                <w:rFonts w:eastAsia="Arial Unicode MS"/>
                <w:iCs/>
                <w:szCs w:val="24"/>
                <w:lang w:eastAsia="tr-TR"/>
              </w:rPr>
              <w:t>e</w:t>
            </w:r>
            <w:r w:rsidR="00634DC7" w:rsidRPr="00A06764">
              <w:rPr>
                <w:bCs/>
                <w:iCs/>
                <w:szCs w:val="24"/>
                <w:lang w:eastAsia="tr-TR"/>
              </w:rPr>
              <w:t>,</w:t>
            </w:r>
            <w:r w:rsidRPr="00A23740">
              <w:rPr>
                <w:rFonts w:eastAsia="Arial Unicode MS"/>
                <w:iCs/>
                <w:szCs w:val="24"/>
                <w:lang w:eastAsia="tr-TR"/>
              </w:rPr>
              <w:t xml:space="preserve"> bir işin yapılmamasına ilişkin ilam hükmü yerine getirildikten sonra ila</w:t>
            </w:r>
            <w:r w:rsidR="00535D4A" w:rsidRPr="00A23740">
              <w:rPr>
                <w:rFonts w:eastAsia="Arial Unicode MS"/>
                <w:iCs/>
                <w:szCs w:val="24"/>
                <w:lang w:eastAsia="tr-TR"/>
              </w:rPr>
              <w:t>m hükmüne aykırı davranılması hâ</w:t>
            </w:r>
            <w:r w:rsidRPr="00A23740">
              <w:rPr>
                <w:rFonts w:eastAsia="Arial Unicode MS"/>
                <w:iCs/>
                <w:szCs w:val="24"/>
                <w:lang w:eastAsia="tr-TR"/>
              </w:rPr>
              <w:t xml:space="preserve">linde de borçlu cezalandırılır. Fıkrada, yapma borcuna ilişkin ilamlardan farklı olarak müeyyide tazyik değil disiplin hapsi olarak belirlenmektedir. Zira yapmama borcuna aykırı davranışla ihlal gerçekleşmiş bulunmaktadır ve yapmama borcuna ilişkin ilamlar borçlunun tazyik </w:t>
            </w:r>
            <w:r w:rsidR="001647D1" w:rsidRPr="002E2E40">
              <w:rPr>
                <w:szCs w:val="24"/>
                <w:lang w:val="x-none" w:eastAsia="x-none"/>
              </w:rPr>
              <w:t>hapsiyle</w:t>
            </w:r>
            <w:r w:rsidRPr="00A23740">
              <w:rPr>
                <w:rFonts w:eastAsia="Arial Unicode MS"/>
                <w:iCs/>
                <w:szCs w:val="24"/>
                <w:lang w:eastAsia="tr-TR"/>
              </w:rPr>
              <w:t xml:space="preserve"> yerine getirmeye zorlanacağı </w:t>
            </w:r>
            <w:r w:rsidR="003E0550" w:rsidRPr="00A23740">
              <w:rPr>
                <w:rFonts w:eastAsia="Arial Unicode MS"/>
                <w:iCs/>
                <w:szCs w:val="24"/>
                <w:lang w:eastAsia="tr-TR"/>
              </w:rPr>
              <w:t xml:space="preserve">olumlu </w:t>
            </w:r>
            <w:r w:rsidRPr="00A23740">
              <w:rPr>
                <w:rFonts w:eastAsia="Arial Unicode MS"/>
                <w:iCs/>
                <w:szCs w:val="24"/>
                <w:lang w:eastAsia="tr-TR"/>
              </w:rPr>
              <w:t xml:space="preserve">bir edim içermemektedir. 2004 sayılı Kanunda fiilin yaptırımı üç aya kadar tazyik hapsi iken yapmama borçlarına dair ilamda yükümlülüğün bir işin yapılmamasının emredildiği dikkate alındığında, borçlu yapmaması gereken bir davranışı yaparak yükümlülüğü ihlal ettiği, bu nedenle yapma borçlarına dair ilamdan farklı olarak burada borçlunun ayrıca tazyik edilerek yerine getirmesi gereken bir yükümlülüğü bulunmadığı için müeyyide disiplin hapsi olarak değiştirilmektedir. </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Beşinci fıkrayla, bir yenilik olarak bir ilamın yerine getirilmesi çerçevesinde borçlunun tazyik veya disiplin hapsinde geçireceği toplam sürenin </w:t>
            </w:r>
            <w:r w:rsidRPr="00A23740">
              <w:rPr>
                <w:rFonts w:eastAsia="Arial Unicode MS"/>
                <w:iCs/>
                <w:lang w:eastAsia="tr-TR"/>
              </w:rPr>
              <w:t>üç</w:t>
            </w:r>
            <w:r w:rsidRPr="00A23740">
              <w:rPr>
                <w:rFonts w:eastAsia="Arial Unicode MS"/>
                <w:iCs/>
                <w:szCs w:val="24"/>
                <w:lang w:eastAsia="tr-TR"/>
              </w:rPr>
              <w:t xml:space="preserve"> aydan fazla olamayacağı düzenlenmektedir. Hükümle, disipline aykırı fiil ile müeyyidesi arasındaki ölçülülüğün sağlanması ve hapiste geçirilecek sürenin üst sınırıyla ilgili </w:t>
            </w:r>
            <w:r w:rsidR="00BC74CB" w:rsidRPr="00A23740">
              <w:rPr>
                <w:rFonts w:eastAsia="Arial Unicode MS"/>
                <w:iCs/>
                <w:szCs w:val="24"/>
                <w:lang w:eastAsia="tr-TR"/>
              </w:rPr>
              <w:t xml:space="preserve">olarak </w:t>
            </w:r>
            <w:r w:rsidRPr="00A23740">
              <w:rPr>
                <w:rFonts w:eastAsia="Arial Unicode MS"/>
                <w:iCs/>
                <w:szCs w:val="24"/>
                <w:lang w:eastAsia="tr-TR"/>
              </w:rPr>
              <w:t>uygulamada oluşabilecek tereddütlerin giderilmesi amaçlanmaktadır.</w:t>
            </w:r>
          </w:p>
          <w:p w:rsidR="00A043AD" w:rsidRPr="00A23740" w:rsidRDefault="00A043AD" w:rsidP="002A27F8">
            <w:pPr>
              <w:tabs>
                <w:tab w:val="left" w:pos="567"/>
              </w:tabs>
              <w:rPr>
                <w:rFonts w:eastAsia="Arial Unicode MS"/>
                <w:bCs/>
                <w:iCs/>
                <w:strike/>
                <w:color w:val="FF0000"/>
                <w:szCs w:val="24"/>
                <w:lang w:eastAsia="x-none"/>
              </w:rPr>
            </w:pPr>
          </w:p>
        </w:tc>
      </w:tr>
      <w:tr w:rsidR="00A043AD" w:rsidRPr="00A23740" w:rsidTr="00750F08">
        <w:tc>
          <w:tcPr>
            <w:tcW w:w="2500" w:type="pct"/>
          </w:tcPr>
          <w:p w:rsidR="00A043AD" w:rsidRPr="00A23740" w:rsidRDefault="00A043AD" w:rsidP="00466739">
            <w:pPr>
              <w:widowControl w:val="0"/>
              <w:rPr>
                <w:rFonts w:eastAsia="Times New Roman"/>
                <w:b/>
                <w:szCs w:val="24"/>
                <w:vertAlign w:val="superscript"/>
                <w:lang w:eastAsia="tr-TR"/>
              </w:rPr>
            </w:pPr>
            <w:r w:rsidRPr="00A23740">
              <w:rPr>
                <w:rFonts w:eastAsia="Times New Roman"/>
                <w:b/>
                <w:szCs w:val="24"/>
                <w:lang w:eastAsia="tr-TR"/>
              </w:rPr>
              <w:t xml:space="preserve">Nafakaya ilişkin kararlara </w:t>
            </w:r>
            <w:r w:rsidRPr="00A23740">
              <w:rPr>
                <w:rFonts w:eastAsia="Times New Roman"/>
                <w:b/>
                <w:bCs/>
                <w:strike/>
                <w:color w:val="FF0000"/>
                <w:szCs w:val="24"/>
                <w:lang w:eastAsia="tr-TR"/>
              </w:rPr>
              <w:t>uymayanların cezası</w:t>
            </w:r>
            <w:r w:rsidRPr="00A23740">
              <w:rPr>
                <w:rFonts w:eastAsia="Times New Roman"/>
                <w:b/>
                <w:bCs/>
                <w:i/>
                <w:strike/>
                <w:color w:val="FF0000"/>
                <w:szCs w:val="24"/>
                <w:lang w:eastAsia="tr-TR"/>
              </w:rPr>
              <w:t>:</w:t>
            </w:r>
          </w:p>
          <w:p w:rsidR="00A043AD" w:rsidRPr="00A23740" w:rsidRDefault="00A043AD" w:rsidP="00466739">
            <w:pPr>
              <w:widowControl w:val="0"/>
              <w:rPr>
                <w:b/>
                <w:bCs/>
                <w:strike/>
                <w:color w:val="FF0000"/>
                <w:szCs w:val="24"/>
              </w:rPr>
            </w:pPr>
            <w:r w:rsidRPr="00466739">
              <w:rPr>
                <w:rStyle w:val="KIRMIZIChar"/>
                <w:rFonts w:eastAsia="Calibri"/>
              </w:rPr>
              <w:t>Madde 344 – (</w:t>
            </w:r>
            <w:r w:rsidRPr="00A23740">
              <w:rPr>
                <w:rFonts w:eastAsia="Times New Roman"/>
                <w:b/>
                <w:bCs/>
                <w:strike/>
                <w:color w:val="FF0000"/>
                <w:szCs w:val="24"/>
                <w:lang w:eastAsia="tr-TR"/>
              </w:rPr>
              <w:t xml:space="preserve">Değişik: 31/5/2005-5358/15 md.) </w:t>
            </w:r>
            <w:r w:rsidRPr="00A23740">
              <w:rPr>
                <w:rFonts w:eastAsia="Times New Roman"/>
                <w:b/>
                <w:bCs/>
                <w:color w:val="FF0000"/>
                <w:szCs w:val="24"/>
              </w:rPr>
              <w:t>(1)</w:t>
            </w:r>
            <w:r w:rsidRPr="00A23740">
              <w:rPr>
                <w:rFonts w:eastAsia="Times New Roman"/>
                <w:b/>
                <w:szCs w:val="24"/>
                <w:lang w:eastAsia="tr-TR"/>
              </w:rPr>
              <w:t xml:space="preserve"> </w:t>
            </w:r>
            <w:r w:rsidRPr="00A23740">
              <w:rPr>
                <w:rFonts w:eastAsia="Times New Roman"/>
                <w:szCs w:val="24"/>
                <w:lang w:eastAsia="tr-TR"/>
              </w:rPr>
              <w:t>Nafakaya ilişkin kararların gereğini yerine getirmeyen borçlu</w:t>
            </w:r>
            <w:r w:rsidRPr="00A23740">
              <w:rPr>
                <w:rFonts w:eastAsia="Times New Roman"/>
                <w:b/>
                <w:bCs/>
                <w:strike/>
                <w:color w:val="FF0000"/>
                <w:szCs w:val="24"/>
                <w:lang w:eastAsia="tr-TR"/>
              </w:rPr>
              <w:t>nun,</w:t>
            </w:r>
            <w:r w:rsidRPr="00A23740">
              <w:rPr>
                <w:rFonts w:eastAsia="Times New Roman"/>
                <w:szCs w:val="24"/>
                <w:lang w:eastAsia="tr-TR"/>
              </w:rPr>
              <w:t xml:space="preserve"> alacaklının şikâyeti üzerine, üç aya kadar tazyik hapsine karar verilir. </w:t>
            </w:r>
            <w:r w:rsidRPr="00A23740">
              <w:rPr>
                <w:b/>
                <w:bCs/>
                <w:strike/>
                <w:color w:val="FF0000"/>
                <w:szCs w:val="24"/>
              </w:rPr>
              <w:t>Hapsin tatbikine başlandıktan sonra kararın gereği yerine getirilirse, borçlu tahliye edilir.</w:t>
            </w:r>
          </w:p>
          <w:p w:rsidR="00A043AD" w:rsidRPr="00A23740" w:rsidRDefault="00A043AD" w:rsidP="00466739">
            <w:pPr>
              <w:widowControl w:val="0"/>
              <w:rPr>
                <w:b/>
                <w:bCs/>
                <w:strike/>
                <w:color w:val="FF0000"/>
                <w:szCs w:val="24"/>
              </w:rPr>
            </w:pPr>
          </w:p>
          <w:p w:rsidR="00A043AD" w:rsidRPr="00A23740" w:rsidRDefault="00A043AD" w:rsidP="00466739">
            <w:pPr>
              <w:widowControl w:val="0"/>
              <w:rPr>
                <w:rFonts w:eastAsia="Times New Roman"/>
                <w:szCs w:val="24"/>
                <w:lang w:eastAsia="tr-TR"/>
              </w:rPr>
            </w:pPr>
            <w:r w:rsidRPr="00466739">
              <w:t>(2)</w:t>
            </w:r>
            <w:r w:rsidRPr="00A23740">
              <w:rPr>
                <w:rFonts w:eastAsia="Times New Roman"/>
                <w:szCs w:val="24"/>
                <w:lang w:eastAsia="tr-TR"/>
              </w:rPr>
              <w:t xml:space="preserve"> Borçlunun, nafakanın kaldırılması veya azaltılmas</w:t>
            </w:r>
            <w:r w:rsidR="00535D4A" w:rsidRPr="00A23740">
              <w:rPr>
                <w:rFonts w:eastAsia="Times New Roman"/>
                <w:szCs w:val="24"/>
                <w:lang w:eastAsia="tr-TR"/>
              </w:rPr>
              <w:t>ı talebiyle dava açmış olması ha</w:t>
            </w:r>
            <w:r w:rsidRPr="00A23740">
              <w:rPr>
                <w:rFonts w:eastAsia="Times New Roman"/>
                <w:szCs w:val="24"/>
                <w:lang w:eastAsia="tr-TR"/>
              </w:rPr>
              <w:t xml:space="preserve">linde, ileri sürdüğü sebepler göz önünde bulundurularak, </w:t>
            </w:r>
            <w:r w:rsidRPr="00A23740">
              <w:rPr>
                <w:rFonts w:eastAsia="Times New Roman"/>
                <w:b/>
                <w:bCs/>
                <w:strike/>
                <w:color w:val="FF0000"/>
                <w:szCs w:val="24"/>
                <w:lang w:eastAsia="tr-TR"/>
              </w:rPr>
              <w:t>tazyik hapsinin</w:t>
            </w:r>
            <w:r w:rsidRPr="00A23740">
              <w:rPr>
                <w:rFonts w:eastAsia="Times New Roman"/>
                <w:szCs w:val="24"/>
                <w:lang w:eastAsia="tr-TR"/>
              </w:rPr>
              <w:t xml:space="preserve"> uygulanması bu davanın sonuna bırakılabilir.</w:t>
            </w:r>
          </w:p>
          <w:p w:rsidR="00A043AD" w:rsidRPr="00A23740" w:rsidRDefault="00A043AD" w:rsidP="00466739">
            <w:pPr>
              <w:widowControl w:val="0"/>
              <w:rPr>
                <w:rFonts w:eastAsia="Times New Roman"/>
                <w:szCs w:val="24"/>
                <w:lang w:eastAsia="tr-TR"/>
              </w:rPr>
            </w:pPr>
          </w:p>
          <w:p w:rsidR="00A043AD" w:rsidRPr="00A23740" w:rsidRDefault="00A043AD" w:rsidP="00466739">
            <w:pPr>
              <w:widowControl w:val="0"/>
              <w:rPr>
                <w:rFonts w:eastAsia="Times New Roman"/>
                <w:szCs w:val="24"/>
                <w:lang w:eastAsia="tr-TR"/>
              </w:rPr>
            </w:pPr>
          </w:p>
          <w:p w:rsidR="00A043AD" w:rsidRPr="00A23740" w:rsidRDefault="00A043AD" w:rsidP="00466739">
            <w:pPr>
              <w:widowControl w:val="0"/>
              <w:rPr>
                <w:rFonts w:eastAsia="Times New Roman"/>
                <w:szCs w:val="24"/>
                <w:lang w:eastAsia="tr-TR"/>
              </w:rPr>
            </w:pPr>
          </w:p>
          <w:p w:rsidR="00A043AD" w:rsidRPr="00A23740" w:rsidRDefault="00A043AD" w:rsidP="00466739">
            <w:pPr>
              <w:widowControl w:val="0"/>
              <w:rPr>
                <w:rFonts w:eastAsia="Times New Roman"/>
                <w:szCs w:val="24"/>
                <w:lang w:eastAsia="tr-TR"/>
              </w:rPr>
            </w:pPr>
          </w:p>
          <w:p w:rsidR="00A043AD" w:rsidRDefault="00A043AD" w:rsidP="00466739">
            <w:pPr>
              <w:widowControl w:val="0"/>
              <w:rPr>
                <w:rFonts w:eastAsia="Times New Roman"/>
                <w:szCs w:val="24"/>
                <w:lang w:eastAsia="tr-TR"/>
              </w:rPr>
            </w:pPr>
          </w:p>
          <w:p w:rsidR="00B20094" w:rsidRPr="00A23740" w:rsidRDefault="00B20094" w:rsidP="00466739">
            <w:pPr>
              <w:widowControl w:val="0"/>
              <w:rPr>
                <w:rFonts w:eastAsia="Times New Roman"/>
                <w:szCs w:val="24"/>
                <w:lang w:eastAsia="tr-TR"/>
              </w:rPr>
            </w:pPr>
          </w:p>
          <w:p w:rsidR="00A043AD" w:rsidRPr="00A23740" w:rsidRDefault="00A42965" w:rsidP="00466739">
            <w:pPr>
              <w:widowControl w:val="0"/>
              <w:rPr>
                <w:rFonts w:eastAsia="Times New Roman"/>
                <w:szCs w:val="24"/>
                <w:lang w:eastAsia="tr-TR"/>
              </w:rPr>
            </w:pPr>
            <w:r w:rsidRPr="00466739">
              <w:rPr>
                <w:rStyle w:val="KIRMIZIChar"/>
                <w:rFonts w:eastAsia="Calibri"/>
              </w:rPr>
              <w:t>(F1.C</w:t>
            </w:r>
            <w:r w:rsidR="00A043AD" w:rsidRPr="00466739">
              <w:rPr>
                <w:rStyle w:val="KIRMIZIChar"/>
                <w:rFonts w:eastAsia="Calibri"/>
              </w:rPr>
              <w:t>2) H</w:t>
            </w:r>
            <w:r w:rsidR="00A043AD" w:rsidRPr="00A23740">
              <w:rPr>
                <w:rFonts w:eastAsia="Times New Roman"/>
                <w:b/>
                <w:bCs/>
                <w:strike/>
                <w:color w:val="FF0000"/>
                <w:szCs w:val="24"/>
                <w:lang w:eastAsia="tr-TR"/>
              </w:rPr>
              <w:t>apsin tatbikine</w:t>
            </w:r>
            <w:r w:rsidR="00A043AD" w:rsidRPr="00A23740">
              <w:rPr>
                <w:rFonts w:eastAsia="Times New Roman"/>
                <w:szCs w:val="24"/>
                <w:lang w:eastAsia="tr-TR"/>
              </w:rPr>
              <w:t xml:space="preserve"> başlandıktan sonra kararın gereği yerine getirilirse, borçlu tahliye edilir.</w:t>
            </w:r>
          </w:p>
          <w:p w:rsidR="00A043AD" w:rsidRPr="00A23740" w:rsidRDefault="00A043AD" w:rsidP="00466739">
            <w:pPr>
              <w:widowControl w:val="0"/>
              <w:rPr>
                <w:rFonts w:eastAsia="Times New Roman"/>
                <w:szCs w:val="24"/>
                <w:lang w:eastAsia="tr-TR"/>
              </w:rPr>
            </w:pPr>
          </w:p>
        </w:tc>
        <w:tc>
          <w:tcPr>
            <w:tcW w:w="2500" w:type="pct"/>
          </w:tcPr>
          <w:p w:rsidR="00A043AD" w:rsidRPr="00A23740" w:rsidRDefault="00A043AD" w:rsidP="00466739">
            <w:pPr>
              <w:widowControl w:val="0"/>
              <w:rPr>
                <w:rFonts w:eastAsia="Times New Roman"/>
                <w:b/>
                <w:szCs w:val="24"/>
                <w:vertAlign w:val="superscript"/>
                <w:lang w:eastAsia="tr-TR"/>
              </w:rPr>
            </w:pPr>
            <w:r w:rsidRPr="00A23740">
              <w:rPr>
                <w:rFonts w:eastAsia="Times New Roman"/>
                <w:b/>
                <w:szCs w:val="24"/>
                <w:lang w:eastAsia="tr-TR"/>
              </w:rPr>
              <w:t xml:space="preserve">Nafakaya ilişkin kararlara </w:t>
            </w:r>
            <w:r w:rsidRPr="00A23740">
              <w:rPr>
                <w:rFonts w:eastAsia="Times New Roman"/>
                <w:b/>
                <w:bCs/>
                <w:color w:val="0000FF"/>
                <w:szCs w:val="24"/>
                <w:lang w:eastAsia="x-none"/>
              </w:rPr>
              <w:t>aykırı davranma</w:t>
            </w:r>
          </w:p>
          <w:p w:rsidR="00A043AD" w:rsidRPr="00A23740" w:rsidRDefault="00A043AD" w:rsidP="00466739">
            <w:pPr>
              <w:widowControl w:val="0"/>
              <w:rPr>
                <w:b/>
                <w:bCs/>
                <w:color w:val="0000FF"/>
                <w:szCs w:val="24"/>
                <w:lang w:eastAsia="x-none"/>
              </w:rPr>
            </w:pPr>
            <w:r w:rsidRPr="00A23740">
              <w:rPr>
                <w:rFonts w:eastAsia="Times New Roman"/>
                <w:b/>
                <w:color w:val="0000FF"/>
                <w:szCs w:val="24"/>
              </w:rPr>
              <w:t>MADDE 514- (1)</w:t>
            </w:r>
            <w:r w:rsidRPr="00A23740">
              <w:rPr>
                <w:rFonts w:eastAsia="Times New Roman"/>
                <w:b/>
                <w:szCs w:val="24"/>
                <w:lang w:eastAsia="tr-TR"/>
              </w:rPr>
              <w:t xml:space="preserve"> </w:t>
            </w:r>
            <w:r w:rsidRPr="00A23740">
              <w:rPr>
                <w:rFonts w:eastAsia="Times New Roman"/>
                <w:szCs w:val="24"/>
                <w:lang w:eastAsia="tr-TR"/>
              </w:rPr>
              <w:t xml:space="preserve">Nafakaya ilişkin kararların gereğini </w:t>
            </w:r>
            <w:r w:rsidRPr="00A23740">
              <w:rPr>
                <w:rFonts w:eastAsia="Times New Roman"/>
                <w:b/>
                <w:bCs/>
                <w:color w:val="0000FF"/>
                <w:szCs w:val="24"/>
                <w:lang w:eastAsia="x-none"/>
              </w:rPr>
              <w:t>geçerli bir mazereti olmaksızın</w:t>
            </w:r>
            <w:r w:rsidRPr="00A23740">
              <w:rPr>
                <w:rFonts w:eastAsia="Times New Roman"/>
                <w:b/>
                <w:bCs/>
                <w:color w:val="FF0066"/>
                <w:szCs w:val="24"/>
                <w:lang w:eastAsia="tr-TR"/>
              </w:rPr>
              <w:t xml:space="preserve"> </w:t>
            </w:r>
            <w:r w:rsidRPr="00A23740">
              <w:rPr>
                <w:rFonts w:eastAsia="Times New Roman"/>
                <w:szCs w:val="24"/>
                <w:lang w:eastAsia="tr-TR"/>
              </w:rPr>
              <w:t xml:space="preserve">yerine getirmeyen borçlu </w:t>
            </w:r>
            <w:r w:rsidRPr="00A23740">
              <w:rPr>
                <w:b/>
                <w:bCs/>
                <w:color w:val="0000FF"/>
                <w:szCs w:val="24"/>
                <w:lang w:eastAsia="x-none"/>
              </w:rPr>
              <w:t>hakkında</w:t>
            </w:r>
            <w:r w:rsidRPr="00A23740">
              <w:rPr>
                <w:rFonts w:eastAsia="Times New Roman"/>
                <w:szCs w:val="24"/>
                <w:lang w:eastAsia="tr-TR"/>
              </w:rPr>
              <w:t>, alacaklının şikâyeti üzerine, üç aya kadar tazyik hapsine karar verilir</w:t>
            </w:r>
            <w:r w:rsidRPr="002A27F8">
              <w:rPr>
                <w:bCs/>
                <w:color w:val="000000" w:themeColor="text1"/>
                <w:szCs w:val="24"/>
                <w:lang w:eastAsia="x-none"/>
              </w:rPr>
              <w:t>.</w:t>
            </w:r>
          </w:p>
          <w:p w:rsidR="00A043AD" w:rsidRPr="00A23740" w:rsidRDefault="00A043AD" w:rsidP="00466739">
            <w:pPr>
              <w:widowControl w:val="0"/>
              <w:rPr>
                <w:b/>
                <w:bCs/>
                <w:color w:val="0000FF"/>
                <w:szCs w:val="24"/>
                <w:lang w:eastAsia="x-none"/>
              </w:rPr>
            </w:pPr>
          </w:p>
          <w:p w:rsidR="00A043AD" w:rsidRPr="00A23740" w:rsidRDefault="00A043AD" w:rsidP="00466739">
            <w:pPr>
              <w:widowControl w:val="0"/>
              <w:rPr>
                <w:b/>
                <w:bCs/>
                <w:color w:val="0000FF"/>
                <w:szCs w:val="24"/>
                <w:lang w:eastAsia="x-none"/>
              </w:rPr>
            </w:pPr>
          </w:p>
          <w:p w:rsidR="00A043AD" w:rsidRPr="00A23740" w:rsidRDefault="00A043AD" w:rsidP="00466739">
            <w:pPr>
              <w:widowControl w:val="0"/>
              <w:rPr>
                <w:b/>
                <w:bCs/>
                <w:color w:val="0000FF"/>
                <w:szCs w:val="24"/>
                <w:lang w:eastAsia="x-none"/>
              </w:rPr>
            </w:pPr>
          </w:p>
          <w:p w:rsidR="00A043AD" w:rsidRPr="00A23740" w:rsidRDefault="00A043AD" w:rsidP="00466739">
            <w:pPr>
              <w:widowControl w:val="0"/>
              <w:rPr>
                <w:rFonts w:eastAsia="Times New Roman"/>
                <w:b/>
                <w:strike/>
                <w:color w:val="FF0000"/>
                <w:szCs w:val="24"/>
                <w:lang w:eastAsia="x-none"/>
              </w:rPr>
            </w:pPr>
            <w:r w:rsidRPr="00466739">
              <w:t>(2)</w:t>
            </w:r>
            <w:r w:rsidRPr="00A23740">
              <w:rPr>
                <w:rFonts w:eastAsia="Times New Roman"/>
                <w:szCs w:val="24"/>
                <w:lang w:eastAsia="tr-TR"/>
              </w:rPr>
              <w:t xml:space="preserve"> Borçlunun, nafakanın kaldırılması veya azaltılmas</w:t>
            </w:r>
            <w:r w:rsidR="00535D4A" w:rsidRPr="00A23740">
              <w:rPr>
                <w:rFonts w:eastAsia="Times New Roman"/>
                <w:szCs w:val="24"/>
                <w:lang w:eastAsia="tr-TR"/>
              </w:rPr>
              <w:t>ı talebiyle dava açmış olması hâ</w:t>
            </w:r>
            <w:r w:rsidRPr="00A23740">
              <w:rPr>
                <w:rFonts w:eastAsia="Times New Roman"/>
                <w:szCs w:val="24"/>
                <w:lang w:eastAsia="tr-TR"/>
              </w:rPr>
              <w:t xml:space="preserve">linde, ileri sürdüğü sebepler göz önünde bulundurularak, </w:t>
            </w:r>
            <w:r w:rsidRPr="00A23740">
              <w:rPr>
                <w:b/>
                <w:bCs/>
                <w:color w:val="0000FF"/>
                <w:szCs w:val="24"/>
                <w:lang w:eastAsia="x-none"/>
              </w:rPr>
              <w:t>birinci fıkranın</w:t>
            </w:r>
            <w:r w:rsidRPr="00A23740">
              <w:rPr>
                <w:rFonts w:eastAsia="Times New Roman"/>
                <w:szCs w:val="24"/>
                <w:lang w:eastAsia="tr-TR"/>
              </w:rPr>
              <w:t xml:space="preserve"> uygulanması bu davanın sonuna bırakılabilir.</w:t>
            </w:r>
          </w:p>
          <w:p w:rsidR="00A043AD" w:rsidRPr="00A23740" w:rsidRDefault="00A043AD" w:rsidP="00466739">
            <w:pPr>
              <w:widowControl w:val="0"/>
              <w:rPr>
                <w:rFonts w:eastAsia="Times New Roman"/>
                <w:szCs w:val="24"/>
                <w:lang w:eastAsia="tr-TR"/>
              </w:rPr>
            </w:pPr>
          </w:p>
          <w:p w:rsidR="00A043AD" w:rsidRPr="00A23740" w:rsidRDefault="00A043AD" w:rsidP="00466739">
            <w:pPr>
              <w:widowControl w:val="0"/>
              <w:rPr>
                <w:rFonts w:eastAsia="Times New Roman"/>
                <w:b/>
                <w:bCs/>
                <w:color w:val="0000FF"/>
                <w:szCs w:val="24"/>
                <w:lang w:eastAsia="x-none"/>
              </w:rPr>
            </w:pPr>
            <w:r w:rsidRPr="00A23740">
              <w:rPr>
                <w:rFonts w:eastAsia="Times New Roman"/>
                <w:b/>
                <w:bCs/>
                <w:color w:val="0000FF"/>
                <w:szCs w:val="24"/>
                <w:lang w:eastAsia="x-none"/>
              </w:rPr>
              <w:t>(3) Tazyik hapsinin infazı süresince işleyen ve nafaka yükümlüsünün başka geliri olmaması nedeniyle ödenemeyen nafaka borcundan dolayı borçlu hakkında ayrıca tazyik hapsine hükmolunmaz.</w:t>
            </w:r>
          </w:p>
          <w:p w:rsidR="00466739" w:rsidRPr="00A23740" w:rsidRDefault="00466739" w:rsidP="00466739">
            <w:pPr>
              <w:widowControl w:val="0"/>
              <w:rPr>
                <w:rFonts w:eastAsia="Times New Roman"/>
                <w:szCs w:val="24"/>
                <w:lang w:eastAsia="tr-TR"/>
              </w:rPr>
            </w:pPr>
          </w:p>
          <w:p w:rsidR="00A043AD" w:rsidRPr="00A23740" w:rsidRDefault="00A043AD" w:rsidP="00466739">
            <w:pPr>
              <w:widowControl w:val="0"/>
              <w:rPr>
                <w:rFonts w:eastAsia="Times New Roman"/>
                <w:szCs w:val="24"/>
                <w:lang w:eastAsia="tr-TR"/>
              </w:rPr>
            </w:pPr>
            <w:r w:rsidRPr="00A23740">
              <w:rPr>
                <w:rFonts w:eastAsia="Times New Roman"/>
                <w:b/>
                <w:bCs/>
                <w:color w:val="0000FF"/>
                <w:szCs w:val="24"/>
                <w:lang w:eastAsia="x-none"/>
              </w:rPr>
              <w:t>(4) Tazyik hapsinin infazına</w:t>
            </w:r>
            <w:r w:rsidRPr="00A23740">
              <w:rPr>
                <w:rFonts w:eastAsia="Times New Roman"/>
                <w:szCs w:val="24"/>
                <w:lang w:eastAsia="tr-TR"/>
              </w:rPr>
              <w:t xml:space="preserve"> başlandıktan sonra kararın gereği yerine getirilirse, borçlu tahliye edilir.</w:t>
            </w:r>
          </w:p>
          <w:p w:rsidR="00A043AD" w:rsidRPr="00A23740" w:rsidRDefault="00A043AD" w:rsidP="00466739">
            <w:pPr>
              <w:widowControl w:val="0"/>
              <w:rPr>
                <w:rFonts w:eastAsia="Times New Roman"/>
                <w:b/>
                <w:bCs/>
                <w:color w:val="FF0066"/>
                <w:szCs w:val="24"/>
                <w:lang w:eastAsia="tr-TR"/>
              </w:rPr>
            </w:pPr>
          </w:p>
          <w:p w:rsidR="00A043AD" w:rsidRDefault="00A043AD" w:rsidP="00466739">
            <w:pPr>
              <w:widowControl w:val="0"/>
              <w:rPr>
                <w:rFonts w:eastAsia="Times New Roman"/>
                <w:b/>
                <w:bCs/>
                <w:color w:val="0000FF"/>
                <w:szCs w:val="24"/>
                <w:lang w:eastAsia="x-none"/>
              </w:rPr>
            </w:pPr>
            <w:r w:rsidRPr="00A23740">
              <w:rPr>
                <w:rFonts w:eastAsia="Times New Roman"/>
                <w:b/>
                <w:bCs/>
                <w:color w:val="0000FF"/>
                <w:szCs w:val="24"/>
                <w:lang w:eastAsia="x-none"/>
              </w:rPr>
              <w:t>(5) Nafakaya ilişkin bir kararın gereğinin yerine getirilmesi kapsamında, borçlunun tazyik hapsinde geçireceği toplam süre bir yıldan fazla olamaz.</w:t>
            </w:r>
          </w:p>
          <w:p w:rsidR="009D25DD" w:rsidRPr="002A27F8" w:rsidRDefault="009D25DD" w:rsidP="00466739">
            <w:pPr>
              <w:widowControl w:val="0"/>
              <w:rPr>
                <w:rFonts w:eastAsia="Times New Roman"/>
                <w:b/>
                <w:bCs/>
                <w:color w:val="0000FF"/>
                <w:szCs w:val="24"/>
                <w:lang w:eastAsia="x-none"/>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Arial Unicode MS"/>
                <w:iCs/>
                <w:szCs w:val="24"/>
                <w:lang w:eastAsia="tr-TR"/>
              </w:rPr>
            </w:pPr>
            <w:r w:rsidRPr="00A23740">
              <w:rPr>
                <w:rFonts w:eastAsia="Arial Unicode MS"/>
                <w:b/>
                <w:iCs/>
                <w:szCs w:val="24"/>
                <w:lang w:eastAsia="tr-TR"/>
              </w:rPr>
              <w:t>MADDE 514-</w:t>
            </w:r>
            <w:r w:rsidRPr="00A23740">
              <w:rPr>
                <w:rFonts w:eastAsia="Arial Unicode MS"/>
                <w:iCs/>
                <w:szCs w:val="24"/>
                <w:lang w:eastAsia="tr-TR"/>
              </w:rPr>
              <w:t xml:space="preserve"> Maddeyle, nafakaya ilişkin kararlara aykırı davranılmasının müeyyidesi düzenlenmektedir.</w:t>
            </w:r>
            <w:r w:rsidRPr="00A23740">
              <w:rPr>
                <w:rFonts w:eastAsia="Times New Roman"/>
                <w:szCs w:val="24"/>
                <w:lang w:eastAsia="tr-TR"/>
              </w:rPr>
              <w:t xml:space="preserve"> Madde,</w:t>
            </w:r>
            <w:r w:rsidRPr="00A23740">
              <w:rPr>
                <w:rFonts w:eastAsia="Times New Roman"/>
                <w:b/>
                <w:szCs w:val="24"/>
                <w:vertAlign w:val="superscript"/>
                <w:lang w:eastAsia="tr-TR"/>
              </w:rPr>
              <w:t xml:space="preserve"> </w:t>
            </w:r>
            <w:r w:rsidRPr="00A23740">
              <w:rPr>
                <w:rFonts w:eastAsia="Arial Unicode MS"/>
                <w:iCs/>
                <w:szCs w:val="24"/>
                <w:lang w:eastAsia="tr-TR"/>
              </w:rPr>
              <w:t>2004 sayılı Kanunun 344 üncü maddesine karşılık gelmekte olup hüküm sadeleştirilerek yeniden kaleme alınmaktadır.</w:t>
            </w:r>
          </w:p>
          <w:p w:rsidR="00A043AD" w:rsidRPr="00A23740" w:rsidRDefault="00A043AD" w:rsidP="00750F08">
            <w:pPr>
              <w:ind w:firstLine="709"/>
              <w:rPr>
                <w:rFonts w:eastAsia="Arial Unicode MS"/>
                <w:iCs/>
                <w:szCs w:val="24"/>
                <w:lang w:eastAsia="tr-TR"/>
              </w:rPr>
            </w:pPr>
            <w:r w:rsidRPr="00A23740">
              <w:rPr>
                <w:rFonts w:eastAsia="Arial Unicode MS"/>
                <w:iCs/>
                <w:szCs w:val="24"/>
                <w:lang w:eastAsia="tr-TR"/>
              </w:rPr>
              <w:t>Birinci fıkrayla, nafakaya ilişkin kararların gereğini geçerli bir mazereti olmaksızın yerine getirmeyen borçlunun, alacaklının şikâyeti üzerine üç aya kadar tazyik hapsiyle cezalandırılacağı düzenlenmektedir.</w:t>
            </w:r>
            <w:r w:rsidRPr="00A23740">
              <w:rPr>
                <w:rFonts w:eastAsia="Times New Roman"/>
                <w:szCs w:val="24"/>
                <w:lang w:eastAsia="tr-TR"/>
              </w:rPr>
              <w:t xml:space="preserve"> Fıkrada geçen</w:t>
            </w:r>
            <w:r w:rsidRPr="00A23740">
              <w:rPr>
                <w:rFonts w:eastAsia="Times New Roman"/>
                <w:b/>
                <w:szCs w:val="24"/>
                <w:lang w:eastAsia="tr-TR"/>
              </w:rPr>
              <w:t xml:space="preserve"> </w:t>
            </w:r>
            <w:r w:rsidRPr="00A23740">
              <w:rPr>
                <w:rFonts w:eastAsia="Times New Roman"/>
                <w:szCs w:val="24"/>
                <w:lang w:eastAsia="tr-TR"/>
              </w:rPr>
              <w:t>“nafakaya ilişkin kararlar” ibaresi, tüm nafaka türlerinde verilen ilamlar veya ara kararlar ile müstakilen verilen tedbir kararlarının bütününü kapsamaktadır. Bu kararların gereğinin yerine</w:t>
            </w:r>
            <w:r w:rsidR="00535D4A" w:rsidRPr="00A23740">
              <w:rPr>
                <w:rFonts w:eastAsia="Times New Roman"/>
                <w:szCs w:val="24"/>
                <w:lang w:eastAsia="tr-TR"/>
              </w:rPr>
              <w:t xml:space="preserve"> getirilmemesi hâ</w:t>
            </w:r>
            <w:r w:rsidRPr="00A23740">
              <w:rPr>
                <w:rFonts w:eastAsia="Times New Roman"/>
                <w:szCs w:val="24"/>
                <w:lang w:eastAsia="tr-TR"/>
              </w:rPr>
              <w:t xml:space="preserve">linde </w:t>
            </w:r>
            <w:r w:rsidRPr="00A23740">
              <w:rPr>
                <w:rFonts w:eastAsia="Arial Unicode MS"/>
                <w:iCs/>
                <w:szCs w:val="24"/>
                <w:lang w:eastAsia="tr-TR"/>
              </w:rPr>
              <w:t>müeyyide uygulanabilmesi için</w:t>
            </w:r>
            <w:r w:rsidR="00BC74CB" w:rsidRPr="00A23740">
              <w:rPr>
                <w:rFonts w:eastAsia="Arial Unicode MS"/>
                <w:iCs/>
                <w:szCs w:val="24"/>
                <w:lang w:eastAsia="tr-TR"/>
              </w:rPr>
              <w:t>,</w:t>
            </w:r>
            <w:r w:rsidRPr="00A23740">
              <w:rPr>
                <w:rFonts w:eastAsia="Arial Unicode MS"/>
                <w:iCs/>
                <w:szCs w:val="24"/>
                <w:lang w:eastAsia="tr-TR"/>
              </w:rPr>
              <w:t xml:space="preserve"> ilam veya kararların kesinleşmesi aranmaz. Tazyik hapsiyle cezalandırmaya karar verilebilmesi için nafaka kararına ilişkin takibin kesinleşmesi ile şikâyet tarihi arasında bir aylık nafaka borcunun doğması veya </w:t>
            </w:r>
            <w:r w:rsidR="00B65310" w:rsidRPr="002E2E40">
              <w:rPr>
                <w:rFonts w:eastAsia="Times New Roman"/>
                <w:szCs w:val="24"/>
                <w:lang w:eastAsia="tr-TR"/>
              </w:rPr>
              <w:t>takip eden</w:t>
            </w:r>
            <w:r w:rsidR="00B65310" w:rsidRPr="00A23740">
              <w:rPr>
                <w:rFonts w:eastAsia="Arial Unicode MS"/>
                <w:iCs/>
                <w:szCs w:val="24"/>
                <w:lang w:eastAsia="tr-TR"/>
              </w:rPr>
              <w:t xml:space="preserve"> </w:t>
            </w:r>
            <w:r w:rsidRPr="00A23740">
              <w:rPr>
                <w:rFonts w:eastAsia="Arial Unicode MS"/>
                <w:iCs/>
                <w:szCs w:val="24"/>
                <w:lang w:eastAsia="tr-TR"/>
              </w:rPr>
              <w:t>dönemde herhangi bir aya ait nafaka borcunun ödenmemiş olması gerekmektedir. Nafakaya ilişkin kararlara uymayanların cezai müeyyide</w:t>
            </w:r>
            <w:r w:rsidR="00BC74CB" w:rsidRPr="00A23740">
              <w:rPr>
                <w:rFonts w:eastAsia="Arial Unicode MS"/>
                <w:iCs/>
                <w:szCs w:val="24"/>
                <w:lang w:eastAsia="tr-TR"/>
              </w:rPr>
              <w:t>ye</w:t>
            </w:r>
            <w:r w:rsidRPr="00A23740">
              <w:rPr>
                <w:rFonts w:eastAsia="Arial Unicode MS"/>
                <w:iCs/>
                <w:szCs w:val="24"/>
                <w:lang w:eastAsia="tr-TR"/>
              </w:rPr>
              <w:t xml:space="preserve"> muhatap olacakları nazara alındığında, icra takibine konu edilen ilam veya kararın gereğinin yerine getirilmesi için gönderilecek ve tazyik hapsi uygulanacağı ihtaratını içeren icra veya ödeme emrinin borçluya usulüne uygun olarak tebliğ edilmesi şarttır. Hükümde, müeyyide olarak tazyik hapsi tercih edilerek borçlunun nafaka borcunu ödemeye zorlanması amaçlanmaktadır. Ayrıca </w:t>
            </w:r>
            <w:r w:rsidRPr="00A23740">
              <w:rPr>
                <w:rFonts w:eastAsia="Times New Roman"/>
                <w:szCs w:val="24"/>
                <w:lang w:eastAsia="tr-TR"/>
              </w:rPr>
              <w:t>bu Kitapta düzenlenen hükümlerde yer alan “makbul bir mazeret”, “makbul bir sebep” ve “haklı bir sebep” unsuru, yeknesaklığın sağlanması ve hükmün tereddüde mahal vermeyecek şekilde daha iyi uygulanması amacıyla “geçerli bir mazeret” olarak değiştirilmektedir.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İkinci fıkrayla, borçlunun, nafakanın kaldırılması veya azaltılmas</w:t>
            </w:r>
            <w:r w:rsidR="00535D4A" w:rsidRPr="00A23740">
              <w:rPr>
                <w:rFonts w:eastAsia="Arial Unicode MS"/>
                <w:iCs/>
                <w:szCs w:val="24"/>
                <w:lang w:eastAsia="tr-TR"/>
              </w:rPr>
              <w:t>ı talebiyle dava açmış olması hâ</w:t>
            </w:r>
            <w:r w:rsidRPr="00A23740">
              <w:rPr>
                <w:rFonts w:eastAsia="Arial Unicode MS"/>
                <w:iCs/>
                <w:szCs w:val="24"/>
                <w:lang w:eastAsia="tr-TR"/>
              </w:rPr>
              <w:t>linde, ileri sürdüğü sebepler göz önünde bulundurularak, birinci fıkraya konu yargılamanın bu davanın sonuna bırakılabileceği hükme bağlanmaktadır.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Üçüncü fıkrayla, tazyik hapsinin infazı süresince işleyen ve nafaka yükümlüsünün başka geliri olmaması nedeniyle ödenemeyen nafaka borcundan dolayı borçlu hakkında ayrıca tazyik hapsine hükmolunmayacağı düzenlenmektedir. Bu ihtimalde yükümlünün nafaka borcunu ödememek kastının bulunmadığı kabul edilerek tazyik hapsinin verilmemesi öngörülmektedir.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Dördüncü fıkrayla,</w:t>
            </w:r>
            <w:r w:rsidRPr="00A23740">
              <w:rPr>
                <w:rFonts w:eastAsia="Times New Roman"/>
                <w:b/>
                <w:bCs/>
                <w:color w:val="0000FF"/>
                <w:szCs w:val="24"/>
                <w:lang w:eastAsia="x-none"/>
              </w:rPr>
              <w:t xml:space="preserve"> </w:t>
            </w:r>
            <w:r w:rsidRPr="00A23740">
              <w:rPr>
                <w:rFonts w:eastAsia="Times New Roman"/>
                <w:szCs w:val="24"/>
                <w:lang w:eastAsia="tr-TR"/>
              </w:rPr>
              <w:t>tazyik hapsinin infazına başlandıktan sonra kararın</w:t>
            </w:r>
            <w:r w:rsidR="00535D4A" w:rsidRPr="00A23740">
              <w:rPr>
                <w:rFonts w:eastAsia="Times New Roman"/>
                <w:szCs w:val="24"/>
                <w:lang w:eastAsia="tr-TR"/>
              </w:rPr>
              <w:t xml:space="preserve"> gereğinin yerine getirilmesi hâ</w:t>
            </w:r>
            <w:r w:rsidRPr="00A23740">
              <w:rPr>
                <w:rFonts w:eastAsia="Times New Roman"/>
                <w:szCs w:val="24"/>
                <w:lang w:eastAsia="tr-TR"/>
              </w:rPr>
              <w:t>linde, borçlunun tahliye edileceği hükme bağlanmaktadır.</w:t>
            </w:r>
            <w:r w:rsidRPr="00A23740">
              <w:rPr>
                <w:rFonts w:eastAsia="Arial Unicode MS"/>
                <w:iCs/>
                <w:szCs w:val="24"/>
                <w:lang w:eastAsia="tr-TR"/>
              </w:rPr>
              <w:t xml:space="preserve"> Bu durumda ödenecek tutar, şikâyet edilen dönem</w:t>
            </w:r>
            <w:r w:rsidR="00BC74CB" w:rsidRPr="00A23740">
              <w:rPr>
                <w:rFonts w:eastAsia="Arial Unicode MS"/>
                <w:iCs/>
                <w:szCs w:val="24"/>
                <w:lang w:eastAsia="tr-TR"/>
              </w:rPr>
              <w:t>le</w:t>
            </w:r>
            <w:r w:rsidRPr="00A23740">
              <w:rPr>
                <w:rFonts w:eastAsia="Arial Unicode MS"/>
                <w:iCs/>
                <w:szCs w:val="24"/>
                <w:lang w:eastAsia="tr-TR"/>
              </w:rPr>
              <w:t xml:space="preserve"> sınırlıdır.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Beşinci fıkrayla, borçlunun tazyik hapsinde geçireceği toplam süre belirlenmektedir. Buna göre, bir nafakaya ilişkin kararın gereğini yerine getirme kapsamında, borçlunun tazyik hapsinde geçireceği toplam süre bir yıldan fazla olamaz. Hükümle, disipline aykırı fiil ile müeyyidesi arasındaki ölçülülüğün sağlanması ve hapiste geçirilecek sürenin üst sınırıyla ilgili </w:t>
            </w:r>
            <w:r w:rsidR="00BC74CB" w:rsidRPr="00A23740">
              <w:rPr>
                <w:rFonts w:eastAsia="Arial Unicode MS"/>
                <w:iCs/>
                <w:szCs w:val="24"/>
                <w:lang w:eastAsia="tr-TR"/>
              </w:rPr>
              <w:t xml:space="preserve">olarak </w:t>
            </w:r>
            <w:r w:rsidRPr="00A23740">
              <w:rPr>
                <w:rFonts w:eastAsia="Arial Unicode MS"/>
                <w:iCs/>
                <w:szCs w:val="24"/>
                <w:lang w:eastAsia="tr-TR"/>
              </w:rPr>
              <w:t>uygulamada oluşabilecek tereddütlerin giderilmesi amaçlanmaktadır.</w:t>
            </w:r>
          </w:p>
          <w:p w:rsidR="00A043AD" w:rsidRPr="00A23740" w:rsidRDefault="00A043AD" w:rsidP="002A27F8">
            <w:pPr>
              <w:tabs>
                <w:tab w:val="left" w:pos="567"/>
              </w:tabs>
              <w:rPr>
                <w:rFonts w:eastAsia="Arial Unicode MS"/>
                <w:b/>
                <w:iCs/>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Çocuk teslimi emrine muhalefetin cezası:</w:t>
            </w:r>
          </w:p>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Madde 341 – (Değişik: 31/5/2005-5358/12 md.) (Mülga:24/11/2021-7343/32 md.)</w:t>
            </w:r>
          </w:p>
          <w:p w:rsidR="00A043AD" w:rsidRDefault="00A043AD" w:rsidP="00750F08">
            <w:pPr>
              <w:tabs>
                <w:tab w:val="left" w:pos="567"/>
              </w:tabs>
              <w:rPr>
                <w:rFonts w:eastAsia="Times New Roman"/>
                <w:b/>
                <w:bCs/>
                <w:strike/>
                <w:color w:val="FF0000"/>
                <w:szCs w:val="24"/>
                <w:lang w:eastAsia="x-none"/>
              </w:rPr>
            </w:pPr>
          </w:p>
          <w:p w:rsidR="002A27F8" w:rsidRPr="00A23740" w:rsidRDefault="002A27F8" w:rsidP="00750F08">
            <w:pPr>
              <w:tabs>
                <w:tab w:val="left" w:pos="567"/>
              </w:tabs>
              <w:rPr>
                <w:rFonts w:eastAsia="Times New Roman"/>
                <w:b/>
                <w:bCs/>
                <w:strike/>
                <w:color w:val="FF0000"/>
                <w:szCs w:val="24"/>
                <w:lang w:eastAsia="x-none"/>
              </w:rPr>
            </w:pPr>
          </w:p>
        </w:tc>
        <w:tc>
          <w:tcPr>
            <w:tcW w:w="2500" w:type="pct"/>
          </w:tcPr>
          <w:p w:rsidR="00A043AD" w:rsidRPr="00A23740" w:rsidRDefault="00A043AD" w:rsidP="00750F08">
            <w:pPr>
              <w:rPr>
                <w:rFonts w:eastAsia="Times New Roman"/>
                <w:b/>
                <w:color w:val="FF0000"/>
                <w:szCs w:val="24"/>
                <w:lang w:eastAsia="tr-TR"/>
              </w:rPr>
            </w:pPr>
          </w:p>
          <w:p w:rsidR="00A043AD" w:rsidRPr="00A23740" w:rsidRDefault="00A043AD" w:rsidP="00750F08">
            <w:pPr>
              <w:tabs>
                <w:tab w:val="left" w:pos="567"/>
              </w:tabs>
              <w:rPr>
                <w:rFonts w:eastAsia="Times New Roman"/>
                <w:b/>
                <w:bCs/>
                <w:strike/>
                <w:color w:val="FF0000"/>
                <w:szCs w:val="24"/>
                <w:lang w:eastAsia="x-none"/>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Hakikata muhalif beyanda bulunanların cezası</w:t>
            </w:r>
            <w:r w:rsidRPr="00A23740">
              <w:rPr>
                <w:rFonts w:eastAsia="Times New Roman"/>
                <w:color w:val="FF0000"/>
                <w:szCs w:val="24"/>
                <w:lang w:eastAsia="x-none"/>
              </w:rPr>
              <w:t>:</w:t>
            </w:r>
          </w:p>
          <w:p w:rsidR="00A043AD" w:rsidRPr="00A23740" w:rsidRDefault="00A043AD" w:rsidP="00750F08">
            <w:pPr>
              <w:rPr>
                <w:rFonts w:eastAsia="Times New Roman"/>
                <w:szCs w:val="24"/>
                <w:lang w:eastAsia="tr-TR"/>
              </w:rPr>
            </w:pPr>
            <w:r w:rsidRPr="00A23740">
              <w:rPr>
                <w:rFonts w:eastAsia="Times New Roman"/>
                <w:b/>
                <w:strike/>
                <w:color w:val="FF0000"/>
                <w:szCs w:val="24"/>
                <w:lang w:eastAsia="x-none"/>
              </w:rPr>
              <w:t xml:space="preserve">Madde 338 </w:t>
            </w:r>
            <w:r w:rsidRPr="00466739">
              <w:rPr>
                <w:rStyle w:val="KIRMIZIChar"/>
                <w:rFonts w:eastAsia="Calibri"/>
              </w:rPr>
              <w:t>–  … (2) Hakkınd</w:t>
            </w:r>
            <w:r w:rsidRPr="00A23740">
              <w:rPr>
                <w:rFonts w:eastAsia="Times New Roman"/>
                <w:b/>
                <w:strike/>
                <w:color w:val="FF0000"/>
                <w:szCs w:val="24"/>
                <w:lang w:eastAsia="x-none"/>
              </w:rPr>
              <w:t>a aciz vesikası alınmış borçlu, asgari ücretin üstünde bir geçim sürdürdüğü, aciz vesikası hamili alacaklının alacağının aciz vesikasına bağlanmasından en geç beş sene içinde müracaatı üzerine sabit olursa, asgari ücretin üstünde kalan gelirlerinden icra mahkemesinin dörtte birden az olmamak üzere tespit edeceği kısmını icra mahkemesi kararının kesinleşmesinden itibaren en geç bir ay içinde ve aciz vesikasındaki borcun ödenmesine kadar her ay icra dairesine yatırmaya mecburdur. Bu mükellefiyeti yerine getirmeyen borçlu hakkında bir yıla</w:t>
            </w:r>
            <w:r w:rsidRPr="00A23740">
              <w:rPr>
                <w:rFonts w:eastAsia="Times New Roman"/>
                <w:b/>
                <w:color w:val="FF0000"/>
                <w:szCs w:val="24"/>
                <w:lang w:eastAsia="x-none"/>
              </w:rPr>
              <w:t xml:space="preserve"> </w:t>
            </w:r>
            <w:r w:rsidRPr="00A23740">
              <w:rPr>
                <w:rFonts w:eastAsia="Times New Roman"/>
                <w:szCs w:val="24"/>
                <w:lang w:eastAsia="tr-TR"/>
              </w:rPr>
              <w:t xml:space="preserve">kadar tazyik hapsine karar verilir. </w:t>
            </w:r>
            <w:r w:rsidRPr="00A23740">
              <w:rPr>
                <w:rFonts w:eastAsia="Times New Roman"/>
                <w:b/>
                <w:strike/>
                <w:color w:val="FF0000"/>
                <w:szCs w:val="24"/>
                <w:lang w:eastAsia="x-none"/>
              </w:rPr>
              <w:t>Hapsin tatbikine başlandıktan sonra borçlu borcun tamamını veya o tarihe kadar icra veznesine yatırmak zorunda olduğu meblağı öderse tahliye edilir; ödemelerini tekrar keserse, hakkında tazyik hapsine yeniden karar verilir. Ancak, bir borçtan dolayı tazyik hapsinin süresi bir yılı geçemez.</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Fonts w:eastAsia="Times New Roman"/>
                <w:b/>
                <w:strike/>
                <w:color w:val="FF0000"/>
                <w:szCs w:val="24"/>
                <w:lang w:eastAsia="x-none"/>
              </w:rPr>
              <w:t>(1) (Değişik: 31/5/2005-5358/9 md.) Bu Kanuna göre istenen beyanı, hakikate aykırı surette yapan kimse, alacaklının şikâyeti üzerine, üç aydan bir yıla kadar hapis cezası ile cezalandırılır.</w:t>
            </w:r>
          </w:p>
          <w:p w:rsidR="00A043AD" w:rsidRPr="00A23740" w:rsidRDefault="00A043AD" w:rsidP="00750F08">
            <w:pPr>
              <w:rPr>
                <w:rFonts w:eastAsia="Times New Roman"/>
                <w:szCs w:val="24"/>
                <w:lang w:eastAsia="tr-TR"/>
              </w:rPr>
            </w:pPr>
          </w:p>
          <w:p w:rsidR="00A043AD" w:rsidRPr="00A23740" w:rsidRDefault="00A42965" w:rsidP="00750F08">
            <w:pPr>
              <w:rPr>
                <w:rFonts w:eastAsia="Times New Roman"/>
                <w:szCs w:val="24"/>
                <w:lang w:eastAsia="tr-TR"/>
              </w:rPr>
            </w:pPr>
            <w:r w:rsidRPr="00466739">
              <w:rPr>
                <w:rStyle w:val="KIRMIZIChar"/>
                <w:rFonts w:eastAsia="Calibri"/>
              </w:rPr>
              <w:t>(F1.C-3-</w:t>
            </w:r>
            <w:r w:rsidR="00A043AD" w:rsidRPr="00466739">
              <w:rPr>
                <w:rStyle w:val="KIRMIZIChar"/>
                <w:rFonts w:eastAsia="Calibri"/>
              </w:rPr>
              <w:t>4)</w:t>
            </w:r>
            <w:r w:rsidR="00A043AD" w:rsidRPr="00A23740">
              <w:rPr>
                <w:rFonts w:eastAsia="Times New Roman"/>
                <w:szCs w:val="24"/>
                <w:lang w:eastAsia="tr-TR"/>
              </w:rPr>
              <w:t xml:space="preserve"> Hapsin </w:t>
            </w:r>
            <w:r w:rsidR="00A043AD" w:rsidRPr="00A23740">
              <w:rPr>
                <w:rFonts w:eastAsia="Times New Roman"/>
                <w:b/>
                <w:strike/>
                <w:color w:val="FF0000"/>
                <w:szCs w:val="24"/>
                <w:lang w:eastAsia="x-none"/>
              </w:rPr>
              <w:t>tatbikine</w:t>
            </w:r>
            <w:r w:rsidR="00A043AD" w:rsidRPr="00A23740">
              <w:rPr>
                <w:rFonts w:eastAsia="Times New Roman"/>
                <w:b/>
                <w:color w:val="FF0000"/>
                <w:szCs w:val="24"/>
                <w:lang w:eastAsia="x-none"/>
              </w:rPr>
              <w:t xml:space="preserve"> </w:t>
            </w:r>
            <w:r w:rsidR="00A043AD" w:rsidRPr="00A23740">
              <w:rPr>
                <w:rFonts w:eastAsia="Times New Roman"/>
                <w:szCs w:val="24"/>
                <w:lang w:eastAsia="tr-TR"/>
              </w:rPr>
              <w:t xml:space="preserve">başlandıktan sonra borçlu </w:t>
            </w:r>
            <w:r w:rsidR="00A043AD" w:rsidRPr="00A23740">
              <w:rPr>
                <w:rFonts w:eastAsia="Times New Roman"/>
                <w:b/>
                <w:strike/>
                <w:color w:val="FF0000"/>
                <w:szCs w:val="24"/>
                <w:lang w:eastAsia="x-none"/>
              </w:rPr>
              <w:t>borcun tamamını veya</w:t>
            </w:r>
            <w:r w:rsidR="00A043AD" w:rsidRPr="00A23740">
              <w:rPr>
                <w:rStyle w:val="KIRMIZIChar"/>
                <w:rFonts w:eastAsia="Calibri"/>
              </w:rPr>
              <w:t xml:space="preserve"> o</w:t>
            </w:r>
            <w:r w:rsidR="00A043AD" w:rsidRPr="00A23740">
              <w:rPr>
                <w:rFonts w:eastAsia="Times New Roman"/>
                <w:szCs w:val="24"/>
                <w:lang w:eastAsia="tr-TR"/>
              </w:rPr>
              <w:t xml:space="preserve"> tarihe kadar </w:t>
            </w:r>
            <w:r w:rsidR="00A043AD" w:rsidRPr="00A23740">
              <w:rPr>
                <w:rFonts w:eastAsia="Times New Roman"/>
                <w:b/>
                <w:strike/>
                <w:color w:val="FF0000"/>
                <w:szCs w:val="24"/>
                <w:lang w:eastAsia="x-none"/>
              </w:rPr>
              <w:t>icra veznesine</w:t>
            </w:r>
            <w:r w:rsidR="00A043AD" w:rsidRPr="00A23740">
              <w:rPr>
                <w:rFonts w:eastAsia="Times New Roman"/>
                <w:szCs w:val="24"/>
                <w:lang w:eastAsia="tr-TR"/>
              </w:rPr>
              <w:t xml:space="preserve"> yatırmak zorunda olduğu </w:t>
            </w:r>
            <w:r w:rsidR="00A043AD" w:rsidRPr="00A23740">
              <w:rPr>
                <w:rStyle w:val="KIRMIZIChar"/>
                <w:rFonts w:eastAsia="Calibri"/>
              </w:rPr>
              <w:t>meblağı</w:t>
            </w:r>
            <w:r w:rsidR="00A043AD" w:rsidRPr="00A23740">
              <w:rPr>
                <w:rFonts w:eastAsia="Times New Roman"/>
                <w:szCs w:val="24"/>
                <w:lang w:eastAsia="tr-TR"/>
              </w:rPr>
              <w:t xml:space="preserve"> öderse tahliye edilir; ödemelerini tekrar keserse, hakkında tazyik hapsine yeniden karar verilir. </w:t>
            </w:r>
            <w:r w:rsidR="00A043AD" w:rsidRPr="00A23740">
              <w:rPr>
                <w:rStyle w:val="KIRMIZIChar"/>
                <w:rFonts w:eastAsia="Calibri"/>
              </w:rPr>
              <w:t>Ancak,</w:t>
            </w:r>
            <w:r w:rsidR="00A043AD" w:rsidRPr="00A23740">
              <w:rPr>
                <w:rFonts w:eastAsia="Times New Roman"/>
                <w:szCs w:val="24"/>
                <w:lang w:eastAsia="tr-TR"/>
              </w:rPr>
              <w:t xml:space="preserve"> </w:t>
            </w:r>
            <w:r w:rsidR="00A043AD" w:rsidRPr="00A23740">
              <w:rPr>
                <w:rStyle w:val="KIRMIZIChar"/>
                <w:rFonts w:eastAsia="Calibri"/>
              </w:rPr>
              <w:t>b</w:t>
            </w:r>
            <w:r w:rsidR="00A043AD" w:rsidRPr="00A23740">
              <w:rPr>
                <w:rFonts w:eastAsia="Times New Roman"/>
                <w:szCs w:val="24"/>
                <w:lang w:eastAsia="tr-TR"/>
              </w:rPr>
              <w:t>ir borçtan dolayı tazyik hapsin</w:t>
            </w:r>
            <w:r w:rsidR="00A043AD" w:rsidRPr="00A23740">
              <w:rPr>
                <w:rStyle w:val="KIRMIZIChar"/>
                <w:rFonts w:eastAsia="Calibri"/>
              </w:rPr>
              <w:t>in</w:t>
            </w:r>
            <w:r w:rsidR="00A043AD" w:rsidRPr="00A23740">
              <w:rPr>
                <w:rFonts w:eastAsia="Times New Roman"/>
                <w:szCs w:val="24"/>
                <w:lang w:eastAsia="tr-TR"/>
              </w:rPr>
              <w:t xml:space="preserve"> </w:t>
            </w:r>
            <w:r w:rsidR="00A043AD" w:rsidRPr="00A23740">
              <w:rPr>
                <w:rStyle w:val="KIRMIZIChar"/>
                <w:rFonts w:eastAsia="Calibri"/>
              </w:rPr>
              <w:t>süresi</w:t>
            </w:r>
            <w:r w:rsidR="00A043AD" w:rsidRPr="00A23740">
              <w:rPr>
                <w:rFonts w:eastAsia="Times New Roman"/>
                <w:szCs w:val="24"/>
                <w:lang w:eastAsia="tr-TR"/>
              </w:rPr>
              <w:t xml:space="preserve"> bir yıl</w:t>
            </w:r>
            <w:r w:rsidR="00A043AD" w:rsidRPr="00A23740">
              <w:rPr>
                <w:rStyle w:val="KIRMIZIChar"/>
                <w:rFonts w:eastAsia="Calibri"/>
              </w:rPr>
              <w:t>ı geçemez</w:t>
            </w:r>
            <w:r w:rsidR="00A043AD" w:rsidRPr="00A23740">
              <w:rPr>
                <w:rFonts w:eastAsia="Times New Roman"/>
                <w:szCs w:val="24"/>
                <w:lang w:eastAsia="tr-TR"/>
              </w:rPr>
              <w:t>.</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tabs>
                <w:tab w:val="left" w:pos="4470"/>
              </w:tabs>
              <w:rPr>
                <w:rFonts w:eastAsia="Times New Roman"/>
                <w:szCs w:val="24"/>
                <w:lang w:eastAsia="tr-TR"/>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(3) Borçlunun nafaka borçluları dahil üçüncü şahıstan yardım görmesi, asgari ücretin üstünde eline geçen para ve menfaatlerin icra mahkemesi kararı ile belirlenecek kısmını, icra veznesine yatırmak mükellefiyetini ortadan kaldırmaz.</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Fonts w:eastAsia="Times New Roman"/>
                <w:b/>
                <w:strike/>
                <w:color w:val="FF0000"/>
                <w:szCs w:val="24"/>
                <w:lang w:eastAsia="tr-TR"/>
              </w:rPr>
              <w:t>(4) İki</w:t>
            </w:r>
            <w:r w:rsidRPr="00A23740">
              <w:rPr>
                <w:rStyle w:val="KIRMIZIChar"/>
                <w:rFonts w:eastAsia="Calibri"/>
              </w:rPr>
              <w:t>nci fıkradaki hükmün tatbikini birden fazla aciz vesikası hamili alacaklı talep etmiş ise, bunlar talep tarihi sırasıyla öncelik hakkını haizdir.</w:t>
            </w:r>
          </w:p>
          <w:p w:rsidR="00A043AD" w:rsidRPr="00A23740" w:rsidRDefault="00A043AD" w:rsidP="00750F08">
            <w:pPr>
              <w:rPr>
                <w:rFonts w:eastAsia="Times New Roman"/>
                <w:b/>
                <w:szCs w:val="24"/>
                <w:lang w:eastAsia="tr-TR"/>
              </w:rPr>
            </w:pPr>
          </w:p>
        </w:tc>
        <w:tc>
          <w:tcPr>
            <w:tcW w:w="2500" w:type="pct"/>
          </w:tcPr>
          <w:p w:rsidR="00A043AD" w:rsidRPr="00A23740" w:rsidRDefault="00A043AD" w:rsidP="00750F08">
            <w:pPr>
              <w:tabs>
                <w:tab w:val="left" w:pos="567"/>
              </w:tabs>
              <w:rPr>
                <w:b/>
                <w:bCs/>
                <w:color w:val="0000FF"/>
                <w:szCs w:val="24"/>
                <w:lang w:eastAsia="x-none"/>
              </w:rPr>
            </w:pPr>
            <w:r w:rsidRPr="00A23740">
              <w:rPr>
                <w:b/>
                <w:bCs/>
                <w:color w:val="0000FF"/>
                <w:szCs w:val="24"/>
                <w:lang w:eastAsia="x-none"/>
              </w:rPr>
              <w:t>Hakkında kesin aciz belgesi düzenlenen borçlunun yükümlülüğüne aykırı davranması</w:t>
            </w:r>
          </w:p>
          <w:p w:rsidR="00A043AD" w:rsidRPr="00466739" w:rsidRDefault="00A043AD" w:rsidP="00750F08">
            <w:pPr>
              <w:tabs>
                <w:tab w:val="left" w:pos="567"/>
              </w:tabs>
              <w:rPr>
                <w:bCs/>
                <w:color w:val="000000" w:themeColor="text1"/>
                <w:szCs w:val="24"/>
                <w:lang w:eastAsia="x-none"/>
              </w:rPr>
            </w:pPr>
            <w:r w:rsidRPr="00A23740">
              <w:rPr>
                <w:b/>
                <w:bCs/>
                <w:color w:val="0000FF"/>
                <w:szCs w:val="24"/>
                <w:lang w:eastAsia="x-none"/>
              </w:rPr>
              <w:t xml:space="preserve">MADDE 515- (1) </w:t>
            </w:r>
            <w:r w:rsidRPr="002E2E40">
              <w:rPr>
                <w:rStyle w:val="YELChar"/>
                <w:color w:val="0000FF"/>
              </w:rPr>
              <w:t>Asgari ücretin üstündeki gelirin ödenmesine ilişkin kararın gereğini</w:t>
            </w:r>
            <w:r w:rsidRPr="002E2E40">
              <w:rPr>
                <w:b/>
                <w:bCs/>
                <w:color w:val="0000FF"/>
                <w:szCs w:val="24"/>
                <w:lang w:eastAsia="x-none"/>
              </w:rPr>
              <w:t xml:space="preserve"> </w:t>
            </w:r>
            <w:r w:rsidR="00122C8F" w:rsidRPr="002E2E40">
              <w:rPr>
                <w:rStyle w:val="KonuBalChar"/>
                <w:rFonts w:eastAsia="Calibri"/>
                <w:color w:val="0000FF"/>
              </w:rPr>
              <w:t>265 inci</w:t>
            </w:r>
            <w:r w:rsidR="00122C8F" w:rsidRPr="00A23740">
              <w:rPr>
                <w:b/>
                <w:bCs/>
                <w:color w:val="0000FF"/>
                <w:szCs w:val="24"/>
                <w:lang w:eastAsia="x-none"/>
              </w:rPr>
              <w:t xml:space="preserve"> </w:t>
            </w:r>
            <w:r w:rsidRPr="002E2E40">
              <w:rPr>
                <w:b/>
                <w:bCs/>
                <w:color w:val="0000FF"/>
                <w:szCs w:val="24"/>
                <w:lang w:eastAsia="x-none"/>
              </w:rPr>
              <w:t>madde</w:t>
            </w:r>
            <w:r w:rsidR="002048C1" w:rsidRPr="002E2E40">
              <w:rPr>
                <w:b/>
                <w:bCs/>
                <w:color w:val="0000FF"/>
                <w:szCs w:val="24"/>
                <w:lang w:eastAsia="x-none"/>
              </w:rPr>
              <w:t>yle öngörülen</w:t>
            </w:r>
            <w:r w:rsidRPr="00A23740">
              <w:rPr>
                <w:b/>
                <w:bCs/>
                <w:color w:val="0000FF"/>
                <w:szCs w:val="24"/>
                <w:lang w:eastAsia="x-none"/>
              </w:rPr>
              <w:t xml:space="preserve"> süre içinde yerine getirmeyen borçlu hakkında, kesin aciz belgesi alan alacaklının şik</w:t>
            </w:r>
            <w:r w:rsidR="008D1615" w:rsidRPr="00A23740">
              <w:rPr>
                <w:b/>
                <w:bCs/>
                <w:color w:val="0000FF"/>
                <w:szCs w:val="24"/>
                <w:lang w:eastAsia="x-none"/>
              </w:rPr>
              <w:t>â</w:t>
            </w:r>
            <w:r w:rsidRPr="00A23740">
              <w:rPr>
                <w:b/>
                <w:bCs/>
                <w:color w:val="0000FF"/>
                <w:szCs w:val="24"/>
                <w:lang w:eastAsia="x-none"/>
              </w:rPr>
              <w:t xml:space="preserve">yeti üzerine, üç aya </w:t>
            </w:r>
            <w:r w:rsidRPr="00466739">
              <w:rPr>
                <w:bCs/>
                <w:color w:val="000000" w:themeColor="text1"/>
                <w:szCs w:val="24"/>
                <w:lang w:eastAsia="x-none"/>
              </w:rPr>
              <w:t>kadar tazyik hapsine karar verilir.</w:t>
            </w:r>
          </w:p>
          <w:p w:rsidR="00A043AD" w:rsidRPr="00A23740" w:rsidRDefault="00A043AD" w:rsidP="00750F08">
            <w:pPr>
              <w:tabs>
                <w:tab w:val="left" w:pos="567"/>
              </w:tabs>
              <w:rPr>
                <w:rFonts w:eastAsia="Times New Roman"/>
                <w:szCs w:val="24"/>
                <w:lang w:eastAsia="tr-TR"/>
              </w:rPr>
            </w:pPr>
          </w:p>
          <w:p w:rsidR="00A043AD" w:rsidRPr="00A23740" w:rsidRDefault="00A043AD" w:rsidP="00750F08">
            <w:pPr>
              <w:pStyle w:val="KIRMIZI"/>
            </w:pPr>
          </w:p>
          <w:p w:rsidR="00A043AD" w:rsidRPr="00A23740" w:rsidRDefault="00A043AD" w:rsidP="00750F08">
            <w:pPr>
              <w:pStyle w:val="KIRMIZI"/>
            </w:pPr>
          </w:p>
          <w:p w:rsidR="00A043AD" w:rsidRPr="00A23740" w:rsidRDefault="00A043AD" w:rsidP="00750F08">
            <w:pPr>
              <w:pStyle w:val="KIRMIZI"/>
            </w:pPr>
          </w:p>
          <w:p w:rsidR="00A043AD" w:rsidRPr="00A23740" w:rsidRDefault="00A043AD" w:rsidP="00750F08">
            <w:pPr>
              <w:pStyle w:val="KIRMIZI"/>
            </w:pPr>
          </w:p>
          <w:p w:rsidR="00A043AD" w:rsidRPr="00A23740" w:rsidRDefault="00A043AD" w:rsidP="00750F08">
            <w:pPr>
              <w:pStyle w:val="KIRMIZI"/>
            </w:pPr>
          </w:p>
          <w:p w:rsidR="00A043AD" w:rsidRPr="00A23740" w:rsidRDefault="00A043AD" w:rsidP="00750F08">
            <w:pPr>
              <w:pStyle w:val="KIRMIZI"/>
            </w:pPr>
          </w:p>
          <w:p w:rsidR="00A043AD" w:rsidRPr="00A23740" w:rsidRDefault="00A043AD" w:rsidP="00750F08">
            <w:pPr>
              <w:tabs>
                <w:tab w:val="left" w:pos="567"/>
              </w:tabs>
              <w:rPr>
                <w:rFonts w:eastAsia="Times New Roman"/>
                <w:szCs w:val="24"/>
                <w:lang w:eastAsia="tr-TR"/>
              </w:rPr>
            </w:pPr>
          </w:p>
          <w:p w:rsidR="001C3ADB" w:rsidRPr="00A23740" w:rsidRDefault="001C3ADB" w:rsidP="00750F08">
            <w:pPr>
              <w:tabs>
                <w:tab w:val="left" w:pos="567"/>
              </w:tabs>
              <w:rPr>
                <w:rFonts w:eastAsia="Times New Roman"/>
                <w:szCs w:val="24"/>
                <w:lang w:eastAsia="tr-TR"/>
              </w:rPr>
            </w:pPr>
          </w:p>
          <w:p w:rsidR="001C3ADB" w:rsidRPr="00A23740" w:rsidRDefault="001C3ADB" w:rsidP="00750F08">
            <w:pPr>
              <w:tabs>
                <w:tab w:val="left" w:pos="567"/>
              </w:tabs>
              <w:rPr>
                <w:rFonts w:eastAsia="Times New Roman"/>
                <w:szCs w:val="24"/>
                <w:lang w:eastAsia="tr-TR"/>
              </w:rPr>
            </w:pPr>
          </w:p>
          <w:p w:rsidR="001C3ADB" w:rsidRDefault="001C3ADB" w:rsidP="00750F08">
            <w:pPr>
              <w:tabs>
                <w:tab w:val="left" w:pos="567"/>
              </w:tabs>
              <w:rPr>
                <w:rFonts w:eastAsia="Times New Roman"/>
                <w:szCs w:val="24"/>
                <w:lang w:eastAsia="tr-TR"/>
              </w:rPr>
            </w:pPr>
          </w:p>
          <w:p w:rsidR="00A06764" w:rsidRPr="00A23740" w:rsidRDefault="00A06764" w:rsidP="00750F08">
            <w:pPr>
              <w:tabs>
                <w:tab w:val="left" w:pos="567"/>
              </w:tabs>
              <w:rPr>
                <w:rFonts w:eastAsia="Times New Roman"/>
                <w:szCs w:val="24"/>
                <w:lang w:eastAsia="tr-TR"/>
              </w:rPr>
            </w:pPr>
          </w:p>
          <w:p w:rsidR="001C3ADB" w:rsidRDefault="001C3ADB" w:rsidP="00750F08">
            <w:pPr>
              <w:tabs>
                <w:tab w:val="left" w:pos="567"/>
              </w:tabs>
              <w:rPr>
                <w:rFonts w:eastAsia="Times New Roman"/>
                <w:szCs w:val="24"/>
                <w:lang w:eastAsia="tr-TR"/>
              </w:rPr>
            </w:pPr>
          </w:p>
          <w:p w:rsidR="00B20094" w:rsidRDefault="00B20094" w:rsidP="00750F08">
            <w:pPr>
              <w:tabs>
                <w:tab w:val="left" w:pos="567"/>
              </w:tabs>
              <w:rPr>
                <w:rFonts w:eastAsia="Times New Roman"/>
                <w:szCs w:val="24"/>
                <w:lang w:eastAsia="tr-TR"/>
              </w:rPr>
            </w:pPr>
          </w:p>
          <w:p w:rsidR="00B20094" w:rsidRPr="00A23740" w:rsidRDefault="00B20094" w:rsidP="00750F08">
            <w:pPr>
              <w:tabs>
                <w:tab w:val="left" w:pos="567"/>
              </w:tabs>
              <w:rPr>
                <w:rFonts w:eastAsia="Times New Roman"/>
                <w:szCs w:val="24"/>
                <w:lang w:eastAsia="tr-TR"/>
              </w:rPr>
            </w:pPr>
          </w:p>
          <w:p w:rsidR="00A043AD" w:rsidRPr="00A23740" w:rsidRDefault="00A043AD" w:rsidP="00750F08">
            <w:pPr>
              <w:tabs>
                <w:tab w:val="left" w:pos="567"/>
              </w:tabs>
              <w:rPr>
                <w:rFonts w:eastAsia="Times New Roman"/>
                <w:szCs w:val="24"/>
                <w:lang w:eastAsia="tr-TR"/>
              </w:rPr>
            </w:pPr>
            <w:r w:rsidRPr="00A23740">
              <w:rPr>
                <w:b/>
                <w:bCs/>
                <w:color w:val="0000FF"/>
                <w:szCs w:val="24"/>
                <w:lang w:eastAsia="x-none"/>
              </w:rPr>
              <w:t>(2)</w:t>
            </w:r>
            <w:r w:rsidRPr="00A23740">
              <w:rPr>
                <w:rFonts w:eastAsia="Times New Roman"/>
                <w:szCs w:val="24"/>
                <w:lang w:eastAsia="tr-TR"/>
              </w:rPr>
              <w:t xml:space="preserve"> Hapsin</w:t>
            </w:r>
            <w:r w:rsidRPr="00A23740">
              <w:rPr>
                <w:b/>
                <w:bCs/>
                <w:color w:val="0000FF"/>
                <w:szCs w:val="24"/>
                <w:lang w:eastAsia="x-none"/>
              </w:rPr>
              <w:t xml:space="preserve"> uygulanmasına </w:t>
            </w:r>
            <w:r w:rsidRPr="00A23740">
              <w:rPr>
                <w:rFonts w:eastAsia="Times New Roman"/>
                <w:szCs w:val="24"/>
                <w:lang w:eastAsia="tr-TR"/>
              </w:rPr>
              <w:t>başlandıktan sonra borçlu</w:t>
            </w:r>
            <w:r w:rsidRPr="00A23740">
              <w:rPr>
                <w:rStyle w:val="MaviChar"/>
              </w:rPr>
              <w:t>,</w:t>
            </w:r>
            <w:r w:rsidRPr="00A23740">
              <w:rPr>
                <w:rFonts w:eastAsia="Times New Roman"/>
                <w:szCs w:val="24"/>
                <w:lang w:eastAsia="tr-TR"/>
              </w:rPr>
              <w:t xml:space="preserve"> </w:t>
            </w:r>
            <w:r w:rsidRPr="00A23740">
              <w:rPr>
                <w:rStyle w:val="MaviChar"/>
              </w:rPr>
              <w:t>hapsin uygulanmasına başlandığı</w:t>
            </w:r>
            <w:r w:rsidRPr="00A23740">
              <w:rPr>
                <w:rFonts w:eastAsia="Times New Roman"/>
                <w:szCs w:val="24"/>
                <w:lang w:eastAsia="tr-TR"/>
              </w:rPr>
              <w:t xml:space="preserve"> tarihe kadar yatırmak zorunda olduğu </w:t>
            </w:r>
            <w:r w:rsidRPr="00A23740">
              <w:rPr>
                <w:rStyle w:val="MaviChar"/>
              </w:rPr>
              <w:t>tutarı</w:t>
            </w:r>
            <w:r w:rsidRPr="00A23740">
              <w:rPr>
                <w:rFonts w:eastAsia="Times New Roman"/>
                <w:szCs w:val="24"/>
                <w:lang w:eastAsia="tr-TR"/>
              </w:rPr>
              <w:t xml:space="preserve"> öderse</w:t>
            </w:r>
            <w:r w:rsidRPr="00A23740">
              <w:rPr>
                <w:b/>
                <w:bCs/>
                <w:color w:val="0000FF"/>
                <w:szCs w:val="24"/>
                <w:lang w:eastAsia="x-none"/>
              </w:rPr>
              <w:t>,</w:t>
            </w:r>
            <w:r w:rsidRPr="00A23740">
              <w:rPr>
                <w:rFonts w:eastAsia="Times New Roman"/>
                <w:szCs w:val="24"/>
                <w:lang w:eastAsia="tr-TR"/>
              </w:rPr>
              <w:t xml:space="preserve"> tahliye edilir; ödemelerini tekrar keserse, hakkında tazyik hapsine yeniden karar verilir.</w:t>
            </w:r>
          </w:p>
          <w:p w:rsidR="00A043AD" w:rsidRPr="00A23740" w:rsidRDefault="00A043AD" w:rsidP="00750F08">
            <w:pPr>
              <w:tabs>
                <w:tab w:val="left" w:pos="567"/>
              </w:tabs>
              <w:rPr>
                <w:rFonts w:eastAsia="Times New Roman"/>
                <w:szCs w:val="24"/>
                <w:lang w:eastAsia="tr-TR"/>
              </w:rPr>
            </w:pPr>
          </w:p>
          <w:p w:rsidR="00A043AD" w:rsidRPr="00A23740" w:rsidRDefault="00A043AD" w:rsidP="00750F08">
            <w:pPr>
              <w:tabs>
                <w:tab w:val="left" w:pos="567"/>
              </w:tabs>
              <w:rPr>
                <w:rFonts w:ascii="New York" w:eastAsia="Times New Roman" w:hAnsi="New York"/>
                <w:sz w:val="18"/>
                <w:szCs w:val="20"/>
                <w:lang w:eastAsia="x-none"/>
              </w:rPr>
            </w:pPr>
            <w:r w:rsidRPr="00A23740">
              <w:rPr>
                <w:rFonts w:eastAsia="Times New Roman"/>
                <w:b/>
                <w:bCs/>
                <w:color w:val="0000FF"/>
                <w:szCs w:val="24"/>
                <w:lang w:eastAsia="x-none"/>
              </w:rPr>
              <w:t xml:space="preserve">(3) </w:t>
            </w:r>
            <w:r w:rsidRPr="00A23740">
              <w:rPr>
                <w:rStyle w:val="MaviChar"/>
              </w:rPr>
              <w:t>B</w:t>
            </w:r>
            <w:r w:rsidRPr="00A23740">
              <w:rPr>
                <w:rFonts w:eastAsia="Times New Roman"/>
                <w:szCs w:val="24"/>
                <w:lang w:eastAsia="tr-TR"/>
              </w:rPr>
              <w:t xml:space="preserve">ir borçtan dolayı </w:t>
            </w:r>
            <w:r w:rsidRPr="00A23740">
              <w:rPr>
                <w:rStyle w:val="MaviChar"/>
              </w:rPr>
              <w:t>bu maddede öngörülen yükümlülüğünü yerine getirmeyen</w:t>
            </w:r>
            <w:r w:rsidRPr="00A23740">
              <w:rPr>
                <w:b/>
                <w:color w:val="00CC00"/>
                <w:szCs w:val="24"/>
              </w:rPr>
              <w:t xml:space="preserve"> </w:t>
            </w:r>
            <w:r w:rsidRPr="00A23740">
              <w:rPr>
                <w:rFonts w:eastAsia="Times New Roman"/>
                <w:b/>
                <w:bCs/>
                <w:color w:val="0000FF"/>
                <w:szCs w:val="24"/>
                <w:lang w:eastAsia="x-none"/>
              </w:rPr>
              <w:t>borçlunun</w:t>
            </w:r>
            <w:r w:rsidRPr="00A23740">
              <w:rPr>
                <w:rFonts w:eastAsia="Times New Roman"/>
                <w:szCs w:val="24"/>
                <w:lang w:eastAsia="tr-TR"/>
              </w:rPr>
              <w:t xml:space="preserve"> tazyik hapsin</w:t>
            </w:r>
            <w:r w:rsidRPr="00A23740">
              <w:rPr>
                <w:rFonts w:eastAsia="Times New Roman"/>
                <w:b/>
                <w:bCs/>
                <w:color w:val="0000FF"/>
                <w:szCs w:val="24"/>
                <w:lang w:eastAsia="x-none"/>
              </w:rPr>
              <w:t>de geçireceği toplam süre</w:t>
            </w:r>
            <w:r w:rsidRPr="00A23740">
              <w:rPr>
                <w:rFonts w:eastAsia="Times New Roman"/>
                <w:szCs w:val="24"/>
                <w:lang w:eastAsia="tr-TR"/>
              </w:rPr>
              <w:t xml:space="preserve"> bir yıl</w:t>
            </w:r>
            <w:r w:rsidRPr="00A23740">
              <w:rPr>
                <w:rStyle w:val="MaviChar"/>
              </w:rPr>
              <w:t>dan</w:t>
            </w:r>
            <w:r w:rsidRPr="00A23740">
              <w:rPr>
                <w:rFonts w:eastAsia="Times New Roman"/>
                <w:b/>
                <w:bCs/>
                <w:color w:val="0000FF"/>
                <w:szCs w:val="24"/>
                <w:lang w:eastAsia="x-none"/>
              </w:rPr>
              <w:t xml:space="preserve"> fazla olamaz.</w:t>
            </w:r>
          </w:p>
          <w:p w:rsidR="00A043AD" w:rsidRPr="00A23740" w:rsidRDefault="00A043AD" w:rsidP="00750F08">
            <w:pPr>
              <w:rPr>
                <w:rFonts w:eastAsia="Times New Roman"/>
                <w:b/>
                <w:color w:val="FF0000"/>
                <w:szCs w:val="24"/>
                <w:lang w:eastAsia="tr-TR"/>
              </w:rPr>
            </w:pPr>
          </w:p>
          <w:p w:rsidR="001C3ADB" w:rsidRPr="00A23740" w:rsidRDefault="001C3ADB" w:rsidP="00750F08">
            <w:pPr>
              <w:rPr>
                <w:rFonts w:eastAsia="Times New Roman"/>
                <w:b/>
                <w:bCs/>
                <w:color w:val="0000FF"/>
                <w:szCs w:val="24"/>
                <w:lang w:eastAsia="x-none"/>
              </w:rPr>
            </w:pPr>
          </w:p>
          <w:p w:rsidR="001C3ADB" w:rsidRPr="00A23740" w:rsidRDefault="001C3ADB" w:rsidP="00750F08">
            <w:pPr>
              <w:rPr>
                <w:rFonts w:eastAsia="Times New Roman"/>
                <w:b/>
                <w:bCs/>
                <w:color w:val="0000FF"/>
                <w:szCs w:val="24"/>
                <w:lang w:eastAsia="x-none"/>
              </w:rPr>
            </w:pPr>
          </w:p>
          <w:p w:rsidR="001C3ADB" w:rsidRPr="00A23740" w:rsidRDefault="001C3ADB" w:rsidP="00750F08">
            <w:pPr>
              <w:rPr>
                <w:rFonts w:eastAsia="Times New Roman"/>
                <w:b/>
                <w:bCs/>
                <w:color w:val="0000FF"/>
                <w:szCs w:val="24"/>
                <w:lang w:eastAsia="x-none"/>
              </w:rPr>
            </w:pPr>
          </w:p>
          <w:p w:rsidR="001C3ADB" w:rsidRPr="00A23740" w:rsidRDefault="001C3ADB" w:rsidP="00750F08">
            <w:pPr>
              <w:rPr>
                <w:rFonts w:eastAsia="Times New Roman"/>
                <w:b/>
                <w:bCs/>
                <w:color w:val="0000FF"/>
                <w:szCs w:val="24"/>
                <w:lang w:eastAsia="x-none"/>
              </w:rPr>
            </w:pP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 xml:space="preserve">(4) Birinci fıkradaki </w:t>
            </w:r>
            <w:r w:rsidRPr="00A23740">
              <w:rPr>
                <w:rStyle w:val="MaviChar"/>
                <w:lang w:val="tr-TR"/>
              </w:rPr>
              <w:t>h</w:t>
            </w:r>
            <w:r w:rsidRPr="00A23740">
              <w:rPr>
                <w:rStyle w:val="MaviChar"/>
              </w:rPr>
              <w:t xml:space="preserve">ükmün uygulanmasını kesin aciz belgesi alan birden fazla alacaklı </w:t>
            </w:r>
            <w:r w:rsidRPr="00A23740">
              <w:rPr>
                <w:rStyle w:val="MaviChar"/>
                <w:lang w:val="tr-TR"/>
              </w:rPr>
              <w:t>talep etmişse</w:t>
            </w:r>
            <w:r w:rsidRPr="00A23740">
              <w:rPr>
                <w:rStyle w:val="MaviChar"/>
              </w:rPr>
              <w:t>, bunlar talep tarihi sırasıyla öncelikli olarak şik</w:t>
            </w:r>
            <w:r w:rsidRPr="00A23740">
              <w:rPr>
                <w:rStyle w:val="MaviChar"/>
                <w:lang w:val="tr-TR"/>
              </w:rPr>
              <w:t>â</w:t>
            </w:r>
            <w:r w:rsidRPr="00A23740">
              <w:rPr>
                <w:rStyle w:val="MaviChar"/>
              </w:rPr>
              <w:t>yet hakkına sahiptir.</w:t>
            </w:r>
          </w:p>
          <w:p w:rsidR="00A043AD" w:rsidRPr="00A23740" w:rsidRDefault="00A043AD" w:rsidP="00750F08">
            <w:pPr>
              <w:tabs>
                <w:tab w:val="left" w:pos="567"/>
              </w:tabs>
              <w:rPr>
                <w:rFonts w:eastAsia="Times New Roman"/>
                <w:b/>
                <w:bCs/>
                <w:strike/>
                <w:color w:val="FF0000"/>
                <w:szCs w:val="24"/>
                <w:lang w:eastAsia="x-none"/>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Arial Unicode MS"/>
                <w:b/>
                <w:iCs/>
                <w:szCs w:val="24"/>
                <w:lang w:eastAsia="tr-TR"/>
              </w:rPr>
            </w:pP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b/>
                <w:iCs/>
                <w:szCs w:val="24"/>
                <w:lang w:eastAsia="tr-TR"/>
              </w:rPr>
              <w:t>MADDE 515-</w:t>
            </w:r>
            <w:r w:rsidRPr="00A23740">
              <w:rPr>
                <w:rFonts w:eastAsia="Arial Unicode MS"/>
                <w:iCs/>
                <w:szCs w:val="24"/>
                <w:lang w:eastAsia="tr-TR"/>
              </w:rPr>
              <w:t xml:space="preserve"> Maddeyle, hakkında kesin aciz belgesi düzenlenen borçlunun yükümlülüğüne aykırı davranmasının müeyyidesi düzenlenmektedir. Madde, 2004 sayılı Kanunun 338 inci maddesinin ikinci, üçüncü ve dördüncü fıkralarına karşılık gelmekte olup hüküm sadeleştirilerek yeniden kaleme alınmaktadır.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Birinci fıkrayla, Taslağın</w:t>
            </w:r>
            <w:r w:rsidR="001E06D8" w:rsidRPr="00A23740">
              <w:rPr>
                <w:rFonts w:eastAsia="Arial Unicode MS"/>
                <w:iCs/>
                <w:szCs w:val="24"/>
                <w:lang w:eastAsia="tr-TR"/>
              </w:rPr>
              <w:t xml:space="preserve"> borçlunun </w:t>
            </w:r>
            <w:r w:rsidR="00122C8F" w:rsidRPr="002E2E40">
              <w:rPr>
                <w:rStyle w:val="KonuBalChar"/>
                <w:rFonts w:eastAsia="Calibri"/>
                <w:b w:val="0"/>
                <w:color w:val="auto"/>
              </w:rPr>
              <w:t>265 inci</w:t>
            </w:r>
            <w:r w:rsidR="00122C8F" w:rsidRPr="00A23740">
              <w:rPr>
                <w:b/>
                <w:bCs/>
                <w:color w:val="0000FF"/>
                <w:szCs w:val="24"/>
                <w:lang w:eastAsia="x-none"/>
              </w:rPr>
              <w:t xml:space="preserve"> </w:t>
            </w:r>
            <w:r w:rsidRPr="00A23740">
              <w:rPr>
                <w:rFonts w:eastAsia="Arial Unicode MS"/>
                <w:iCs/>
                <w:szCs w:val="24"/>
                <w:lang w:eastAsia="tr-TR"/>
              </w:rPr>
              <w:t>maddesi gereğince asgari ücretin üstündeki gelirin ödenmesine ilişkin kararın gereğini süresi içinde yerine getirmeyen borçlu hakkında, kesin aciz belgesi alan alacaklının şikâyeti üzerine, üç aya kadar tazyik hapsine karar verileceği hükme bağlanmaktadır. Bu fıkranın uygulanabilmesi için</w:t>
            </w:r>
            <w:r w:rsidR="00BC74CB" w:rsidRPr="00A23740">
              <w:rPr>
                <w:rFonts w:eastAsia="Arial Unicode MS"/>
                <w:iCs/>
                <w:szCs w:val="24"/>
                <w:lang w:eastAsia="tr-TR"/>
              </w:rPr>
              <w:t>,</w:t>
            </w:r>
            <w:r w:rsidRPr="00A23740">
              <w:rPr>
                <w:rFonts w:eastAsia="Arial Unicode MS"/>
                <w:iCs/>
                <w:szCs w:val="24"/>
                <w:lang w:eastAsia="tr-TR"/>
              </w:rPr>
              <w:t xml:space="preserve"> öncelikle borçlu hakkında aciz vesikası düzenlenmiş olması gerekmektedir. Taslağın </w:t>
            </w:r>
            <w:r w:rsidR="00122C8F" w:rsidRPr="002E2E40">
              <w:rPr>
                <w:rStyle w:val="KonuBalChar"/>
                <w:rFonts w:eastAsia="Calibri"/>
                <w:b w:val="0"/>
                <w:color w:val="auto"/>
              </w:rPr>
              <w:t>265 inci</w:t>
            </w:r>
            <w:r w:rsidR="00122C8F" w:rsidRPr="002E2E40">
              <w:rPr>
                <w:b/>
                <w:bCs/>
                <w:szCs w:val="24"/>
                <w:lang w:eastAsia="x-none"/>
              </w:rPr>
              <w:t xml:space="preserve"> </w:t>
            </w:r>
            <w:r w:rsidRPr="00A23740">
              <w:rPr>
                <w:rFonts w:eastAsia="Arial Unicode MS"/>
                <w:iCs/>
                <w:szCs w:val="24"/>
                <w:lang w:eastAsia="tr-TR"/>
              </w:rPr>
              <w:t>maddesine göre, hakkında aciz vesikası düzenlenen borçlunun asgari ücretin üstünde bir yaşam tarzı sürdürdüğü, aciz vesikası hamili alacaklı tarafından alacağının aciz vesikasına bağlandığı tarihten itibaren en geç beş sene içinde ileri sürülebilir. Borçlunun asgari ücreti aşan gelir elde ettiği sübuta ererse, icra hukuk mahkemesi borçluyu, asgari ücretin üstünde kalan gelirlerinin onda ikisinden az olmamak üzere tespit edeceği kısmını ödemeye mahkûm eder. Borçlu, bu kararın kesinleşmesinden itibaren en geç bir ay içinde ve aciz vesikasına bağlanan borcun ödenmesine kadar her ay icra</w:t>
            </w:r>
            <w:r w:rsidR="00B73523" w:rsidRPr="00A23740">
              <w:rPr>
                <w:b/>
                <w:color w:val="538135"/>
              </w:rPr>
              <w:t xml:space="preserve"> </w:t>
            </w:r>
            <w:r w:rsidR="00B73523" w:rsidRPr="002E2E40">
              <w:t>ve iflas</w:t>
            </w:r>
            <w:r w:rsidRPr="002E2E40">
              <w:rPr>
                <w:rFonts w:eastAsia="Arial Unicode MS"/>
                <w:iCs/>
                <w:szCs w:val="24"/>
                <w:lang w:eastAsia="tr-TR"/>
              </w:rPr>
              <w:t xml:space="preserve"> </w:t>
            </w:r>
            <w:r w:rsidRPr="00A23740">
              <w:rPr>
                <w:rFonts w:eastAsia="Arial Unicode MS"/>
                <w:iCs/>
                <w:szCs w:val="24"/>
                <w:lang w:eastAsia="tr-TR"/>
              </w:rPr>
              <w:t>dairesine belirlenen tutarı yatırmak zorundadır. Aksi taktirde bu borçlu hakkında üç aya kadar tazyik hapsine karar verilir. Diğer taraftan, borçlunun nafaka borçluları dâhil üçüncü kişilerden yardım görmesi</w:t>
            </w:r>
            <w:r w:rsidR="00BC74CB" w:rsidRPr="00A23740">
              <w:rPr>
                <w:rFonts w:eastAsia="Arial Unicode MS"/>
                <w:iCs/>
                <w:szCs w:val="24"/>
                <w:lang w:eastAsia="tr-TR"/>
              </w:rPr>
              <w:t>nin</w:t>
            </w:r>
            <w:r w:rsidRPr="00A23740">
              <w:rPr>
                <w:rFonts w:eastAsia="Arial Unicode MS"/>
                <w:iCs/>
                <w:szCs w:val="24"/>
                <w:lang w:eastAsia="tr-TR"/>
              </w:rPr>
              <w:t xml:space="preserve"> de bu hüküm kapsamında değerlendirilmesi gerekmektedir. Buna göre borçlunun nafaka borçluları dahil üçüncü kişiden yardım görmesi, asgari ücretin üstünde eline geçen para ve menfaatlerin icra hukuk mahkemesi kararı</w:t>
            </w:r>
            <w:r w:rsidR="00BC74CB" w:rsidRPr="00A23740">
              <w:rPr>
                <w:rFonts w:eastAsia="Arial Unicode MS"/>
                <w:iCs/>
                <w:szCs w:val="24"/>
                <w:lang w:eastAsia="tr-TR"/>
              </w:rPr>
              <w:t>yla</w:t>
            </w:r>
            <w:r w:rsidRPr="00A23740">
              <w:rPr>
                <w:rFonts w:eastAsia="Arial Unicode MS"/>
                <w:iCs/>
                <w:szCs w:val="24"/>
                <w:lang w:eastAsia="tr-TR"/>
              </w:rPr>
              <w:t xml:space="preserve"> belirlenecek kısmını, icra veznesine yatırmak mükellefiyetini ortadan kaldırmaz. 2004 sayılı Kanunun 338 inci maddesinin ikinci fıkrasında filin cezası bir yıla kadar tazyik hapsi iken</w:t>
            </w:r>
            <w:r w:rsidR="00BC74CB" w:rsidRPr="00A23740">
              <w:rPr>
                <w:rFonts w:eastAsia="Arial Unicode MS"/>
                <w:iCs/>
                <w:szCs w:val="24"/>
                <w:lang w:eastAsia="tr-TR"/>
              </w:rPr>
              <w:t>,</w:t>
            </w:r>
            <w:r w:rsidRPr="00A23740">
              <w:rPr>
                <w:rFonts w:eastAsia="Arial Unicode MS"/>
                <w:iCs/>
                <w:szCs w:val="24"/>
                <w:lang w:eastAsia="tr-TR"/>
              </w:rPr>
              <w:t xml:space="preserve"> ölçülülük ilkesi dikkate alınarak tazyik hapsinin süresi üç ay olarak belirlenmektedir. </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İkinci fıkrayla, hapsin uygulanmasına başlandıktan sonra borçlunun hapsin uygulanmasına başlandığı tarihe kadar yatırmak zorunda olduğu tutarı</w:t>
            </w:r>
            <w:r w:rsidR="00535D4A" w:rsidRPr="00A23740">
              <w:rPr>
                <w:rFonts w:eastAsia="Arial Unicode MS"/>
                <w:iCs/>
                <w:szCs w:val="24"/>
                <w:lang w:eastAsia="tr-TR"/>
              </w:rPr>
              <w:t xml:space="preserve"> ödemesi hâ</w:t>
            </w:r>
            <w:r w:rsidRPr="00A23740">
              <w:rPr>
                <w:rFonts w:eastAsia="Arial Unicode MS"/>
                <w:iCs/>
                <w:szCs w:val="24"/>
                <w:lang w:eastAsia="tr-TR"/>
              </w:rPr>
              <w:t>linde tahliye edileceği; ödemelerini tekrar kes</w:t>
            </w:r>
            <w:r w:rsidR="00535D4A" w:rsidRPr="00A23740">
              <w:rPr>
                <w:rFonts w:eastAsia="Arial Unicode MS"/>
                <w:iCs/>
                <w:szCs w:val="24"/>
                <w:lang w:eastAsia="tr-TR"/>
              </w:rPr>
              <w:t>mesi hâ</w:t>
            </w:r>
            <w:r w:rsidRPr="00A23740">
              <w:rPr>
                <w:rFonts w:eastAsia="Arial Unicode MS"/>
                <w:iCs/>
                <w:szCs w:val="24"/>
                <w:lang w:eastAsia="tr-TR"/>
              </w:rPr>
              <w:t>linde ise</w:t>
            </w:r>
            <w:r w:rsidR="00BC74CB" w:rsidRPr="00A23740">
              <w:rPr>
                <w:rFonts w:eastAsia="Arial Unicode MS"/>
                <w:iCs/>
                <w:szCs w:val="24"/>
                <w:lang w:eastAsia="tr-TR"/>
              </w:rPr>
              <w:t>,</w:t>
            </w:r>
            <w:r w:rsidRPr="00A23740">
              <w:rPr>
                <w:rFonts w:eastAsia="Arial Unicode MS"/>
                <w:iCs/>
                <w:szCs w:val="24"/>
                <w:lang w:eastAsia="tr-TR"/>
              </w:rPr>
              <w:t xml:space="preserve"> hakkında tazyik hapsine yeniden karar verileceği düzenlenmektedir. 2004 sayılı Kanunun 338 inci maddesinin ikinci fıkrasının üçüncü cümlesinde yer alan “o tarihe ka</w:t>
            </w:r>
            <w:r w:rsidR="00535D4A" w:rsidRPr="00A23740">
              <w:rPr>
                <w:rFonts w:eastAsia="Arial Unicode MS"/>
                <w:iCs/>
                <w:szCs w:val="24"/>
                <w:lang w:eastAsia="tr-TR"/>
              </w:rPr>
              <w:t>dar” ibaresi, hükmün belirgin hâ</w:t>
            </w:r>
            <w:r w:rsidRPr="00A23740">
              <w:rPr>
                <w:rFonts w:eastAsia="Arial Unicode MS"/>
                <w:iCs/>
                <w:szCs w:val="24"/>
                <w:lang w:eastAsia="tr-TR"/>
              </w:rPr>
              <w:t xml:space="preserve">le getirilmesi amacıyla “hapsin uygulanmasına başlandığı tarihe kadar” şeklinde değiştirilmektedir. Öte yandan, 2004 sayılı Kanunun 338 inci maddesinin ikinci fıkrasının üçüncü cümlesinde yer alan </w:t>
            </w:r>
            <w:r w:rsidR="00535D4A" w:rsidRPr="00A23740">
              <w:rPr>
                <w:rFonts w:eastAsia="Arial Unicode MS"/>
                <w:iCs/>
                <w:szCs w:val="24"/>
                <w:lang w:eastAsia="tr-TR"/>
              </w:rPr>
              <w:t>“borcun tamamının ödenmesi” hâ</w:t>
            </w:r>
            <w:r w:rsidRPr="00A23740">
              <w:rPr>
                <w:rFonts w:eastAsia="Arial Unicode MS"/>
                <w:iCs/>
                <w:szCs w:val="24"/>
                <w:lang w:eastAsia="tr-TR"/>
              </w:rPr>
              <w:t xml:space="preserve">li, Taslağın </w:t>
            </w:r>
            <w:r w:rsidR="00122C8F" w:rsidRPr="002E2E40">
              <w:rPr>
                <w:rStyle w:val="KonuBalChar"/>
                <w:rFonts w:eastAsia="Arial Unicode MS"/>
                <w:b w:val="0"/>
                <w:color w:val="auto"/>
              </w:rPr>
              <w:t>538 inci</w:t>
            </w:r>
            <w:r w:rsidR="00122C8F" w:rsidRPr="002E2E40">
              <w:rPr>
                <w:rFonts w:eastAsia="Arial Unicode MS"/>
                <w:b/>
                <w:iCs/>
                <w:szCs w:val="24"/>
                <w:lang w:eastAsia="tr-TR"/>
              </w:rPr>
              <w:t xml:space="preserve"> </w:t>
            </w:r>
            <w:r w:rsidRPr="00A23740">
              <w:rPr>
                <w:rFonts w:eastAsia="Arial Unicode MS"/>
                <w:iCs/>
                <w:szCs w:val="24"/>
                <w:lang w:eastAsia="tr-TR"/>
              </w:rPr>
              <w:t>maddesinde genel bir etkin pişmanlık hükmü olarak düzenlendiğinden fıkrada bu ibareye yer verilmemektedir.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Üçüncü fıkrayla, bir borçtan dolayı bu maddede öngörülen yükümlülüğünü yerine getirmeyen borçlunun tazyik hapsinde geçireceği toplam sürenin bir yıldan fazla olamayacağı kabul edilmektedir. Hükümle, disipline aykırı fiil ile müeyyidesi arasındaki ölçülülüğün sağlanması ve hapiste geçirilecek sürenin üst sınırıyla ilgili </w:t>
            </w:r>
            <w:r w:rsidR="001A3CDE" w:rsidRPr="00A23740">
              <w:rPr>
                <w:rFonts w:eastAsia="Arial Unicode MS"/>
                <w:iCs/>
                <w:szCs w:val="24"/>
                <w:lang w:eastAsia="tr-TR"/>
              </w:rPr>
              <w:t xml:space="preserve">olarak </w:t>
            </w:r>
            <w:r w:rsidRPr="00A23740">
              <w:rPr>
                <w:rFonts w:eastAsia="Arial Unicode MS"/>
                <w:iCs/>
                <w:szCs w:val="24"/>
                <w:lang w:eastAsia="tr-TR"/>
              </w:rPr>
              <w:t>uygulamada oluşabilecek tereddütlerin giderilmesi amaçlanmaktadır.</w:t>
            </w:r>
          </w:p>
          <w:p w:rsidR="00122C8F"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Dördüncü fıkrayla, birinci fıkranın uygulanmasını kesin aciz belgesi alan birden fazla ala</w:t>
            </w:r>
            <w:r w:rsidR="00535D4A" w:rsidRPr="00A23740">
              <w:rPr>
                <w:rFonts w:eastAsia="Arial Unicode MS"/>
                <w:iCs/>
                <w:szCs w:val="24"/>
                <w:lang w:eastAsia="tr-TR"/>
              </w:rPr>
              <w:t>caklının talep etmesi hâ</w:t>
            </w:r>
            <w:r w:rsidR="00122C8F" w:rsidRPr="00A23740">
              <w:rPr>
                <w:rFonts w:eastAsia="Arial Unicode MS"/>
                <w:iCs/>
                <w:szCs w:val="24"/>
                <w:lang w:eastAsia="tr-TR"/>
              </w:rPr>
              <w:t xml:space="preserve">linde, </w:t>
            </w:r>
            <w:r w:rsidRPr="00A23740">
              <w:rPr>
                <w:rFonts w:eastAsia="Arial Unicode MS"/>
                <w:iCs/>
                <w:szCs w:val="24"/>
                <w:lang w:eastAsia="tr-TR"/>
              </w:rPr>
              <w:t>bunların talep tarihi sırasıyla öncelikli olarak şikâyet hakkına sahip olduğu belirtilmektedir.</w:t>
            </w:r>
            <w:r w:rsidRPr="00A23740">
              <w:rPr>
                <w:rStyle w:val="YELChar"/>
              </w:rPr>
              <w:t xml:space="preserve"> </w:t>
            </w:r>
            <w:r w:rsidRPr="002E2E40">
              <w:rPr>
                <w:rStyle w:val="YELChar"/>
                <w:b w:val="0"/>
                <w:color w:val="auto"/>
              </w:rPr>
              <w:t>Burada kastedilen, borçlunun birden fazla alacaklısının sadece bazılarına öde</w:t>
            </w:r>
            <w:r w:rsidR="00535D4A" w:rsidRPr="002E2E40">
              <w:rPr>
                <w:rStyle w:val="YELChar"/>
                <w:b w:val="0"/>
                <w:color w:val="auto"/>
              </w:rPr>
              <w:t>me yapma kabiliyeti bulunması hâ</w:t>
            </w:r>
            <w:r w:rsidRPr="002E2E40">
              <w:rPr>
                <w:rStyle w:val="YELChar"/>
                <w:b w:val="0"/>
                <w:color w:val="auto"/>
              </w:rPr>
              <w:t>linde yalnızca bu alacaklıların şikâyet hakkına sahip oldukları hususudur.</w:t>
            </w:r>
            <w:r w:rsidRPr="00A23740">
              <w:rPr>
                <w:rFonts w:eastAsia="Arial Unicode MS"/>
                <w:iCs/>
                <w:szCs w:val="24"/>
                <w:lang w:eastAsia="tr-TR"/>
              </w:rPr>
              <w:t xml:space="preserve"> 2004 sayılı Kanunun 338 inci maddesinin dördüncü fıkrasına karşılık gelen bu hüküm, sadeleştirilmekte ve birden fazla alacaklının şikâyet hakkının sırasının belirlenmesi bakımından yeniden düzenlenmektedir.</w:t>
            </w:r>
          </w:p>
          <w:p w:rsidR="00A043AD" w:rsidRPr="00A23740" w:rsidRDefault="00A043AD" w:rsidP="002A27F8">
            <w:pPr>
              <w:tabs>
                <w:tab w:val="left" w:pos="567"/>
              </w:tabs>
              <w:rPr>
                <w:rFonts w:eastAsia="Times New Roman"/>
                <w:b/>
                <w:bCs/>
                <w:strike/>
                <w:color w:val="FF0000"/>
                <w:szCs w:val="24"/>
                <w:lang w:eastAsia="x-none"/>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Müflisin mallarını </w:t>
            </w:r>
            <w:r w:rsidRPr="00A23740">
              <w:rPr>
                <w:b/>
                <w:bCs/>
                <w:strike/>
                <w:color w:val="FF0000"/>
                <w:szCs w:val="24"/>
              </w:rPr>
              <w:t>vermeyenler hakkındaki cezalar:</w:t>
            </w:r>
          </w:p>
          <w:p w:rsidR="00A043AD" w:rsidRPr="00A23740" w:rsidRDefault="00A043AD" w:rsidP="00750F08">
            <w:pPr>
              <w:rPr>
                <w:rFonts w:eastAsia="Times New Roman"/>
                <w:szCs w:val="24"/>
                <w:lang w:eastAsia="tr-TR"/>
              </w:rPr>
            </w:pPr>
            <w:r w:rsidRPr="00466739">
              <w:rPr>
                <w:rStyle w:val="KIRMIZIChar"/>
                <w:rFonts w:eastAsia="Calibri"/>
              </w:rPr>
              <w:t>Madde 336 – (1) (D</w:t>
            </w:r>
            <w:r w:rsidRPr="00A23740">
              <w:rPr>
                <w:rFonts w:eastAsia="Times New Roman"/>
                <w:b/>
                <w:strike/>
                <w:color w:val="FF0000"/>
                <w:szCs w:val="24"/>
                <w:lang w:eastAsia="x-none"/>
              </w:rPr>
              <w:t>eğişik: 31/5/2005-5358/6 md.)</w:t>
            </w:r>
            <w:r w:rsidRPr="00A23740">
              <w:rPr>
                <w:rFonts w:eastAsia="Times New Roman"/>
                <w:i/>
                <w:szCs w:val="24"/>
                <w:lang w:eastAsia="tr-TR"/>
              </w:rPr>
              <w:t xml:space="preserve"> </w:t>
            </w:r>
            <w:r w:rsidRPr="00A23740">
              <w:rPr>
                <w:rFonts w:eastAsia="Times New Roman"/>
                <w:szCs w:val="24"/>
                <w:lang w:eastAsia="tr-TR"/>
              </w:rPr>
              <w:t xml:space="preserve">Müflisin mallarını </w:t>
            </w:r>
            <w:r w:rsidRPr="00A23740">
              <w:rPr>
                <w:b/>
                <w:bCs/>
                <w:strike/>
                <w:color w:val="FF0000"/>
                <w:szCs w:val="24"/>
              </w:rPr>
              <w:t>ellerinde</w:t>
            </w:r>
            <w:r w:rsidRPr="00A23740">
              <w:rPr>
                <w:rFonts w:eastAsia="Times New Roman"/>
                <w:szCs w:val="24"/>
                <w:lang w:eastAsia="tr-TR"/>
              </w:rPr>
              <w:t xml:space="preserve"> bulunduran veya müflise borçlu olan üçüncü </w:t>
            </w:r>
            <w:r w:rsidRPr="00A23740">
              <w:rPr>
                <w:rFonts w:eastAsia="Times New Roman"/>
                <w:b/>
                <w:strike/>
                <w:color w:val="FF0000"/>
                <w:szCs w:val="24"/>
                <w:lang w:eastAsia="x-none"/>
              </w:rPr>
              <w:t>şahıslar</w:t>
            </w:r>
            <w:r w:rsidRPr="00A23740">
              <w:rPr>
                <w:rFonts w:eastAsia="Times New Roman"/>
                <w:szCs w:val="24"/>
                <w:lang w:eastAsia="tr-TR"/>
              </w:rPr>
              <w:t>, iflasın açıldığına dair ilan</w:t>
            </w:r>
            <w:r w:rsidRPr="00A23740">
              <w:rPr>
                <w:rFonts w:eastAsia="Times New Roman"/>
                <w:b/>
                <w:strike/>
                <w:color w:val="FF0000"/>
                <w:szCs w:val="24"/>
                <w:lang w:eastAsia="x-none"/>
              </w:rPr>
              <w:t>a</w:t>
            </w:r>
            <w:r w:rsidRPr="00A23740">
              <w:rPr>
                <w:rFonts w:eastAsia="Times New Roman"/>
                <w:szCs w:val="24"/>
                <w:lang w:eastAsia="tr-TR"/>
              </w:rPr>
              <w:t xml:space="preserve"> </w:t>
            </w:r>
            <w:r w:rsidRPr="00A23740">
              <w:rPr>
                <w:rFonts w:eastAsia="Times New Roman"/>
                <w:b/>
                <w:strike/>
                <w:color w:val="FF0000"/>
                <w:szCs w:val="24"/>
                <w:lang w:eastAsia="x-none"/>
              </w:rPr>
              <w:t>muttali oldukları</w:t>
            </w:r>
            <w:r w:rsidRPr="00A23740">
              <w:rPr>
                <w:rFonts w:eastAsia="Times New Roman"/>
                <w:szCs w:val="24"/>
                <w:lang w:eastAsia="tr-TR"/>
              </w:rPr>
              <w:t xml:space="preserve"> tarihten itibaren bir ay içinde </w:t>
            </w:r>
            <w:r w:rsidRPr="00A23740">
              <w:rPr>
                <w:rFonts w:eastAsia="Times New Roman"/>
                <w:b/>
                <w:strike/>
                <w:color w:val="FF0000"/>
                <w:szCs w:val="24"/>
                <w:lang w:eastAsia="x-none"/>
              </w:rPr>
              <w:t>makbul</w:t>
            </w:r>
            <w:r w:rsidRPr="00A23740">
              <w:rPr>
                <w:rFonts w:eastAsia="Times New Roman"/>
                <w:szCs w:val="24"/>
                <w:lang w:eastAsia="tr-TR"/>
              </w:rPr>
              <w:t xml:space="preserve"> bir mazeret olmaksızın o malları iflas idaresi emrine </w:t>
            </w:r>
            <w:r w:rsidRPr="00A23740">
              <w:rPr>
                <w:rFonts w:eastAsia="Times New Roman"/>
                <w:b/>
                <w:strike/>
                <w:color w:val="FF0000"/>
                <w:szCs w:val="24"/>
                <w:lang w:eastAsia="x-none"/>
              </w:rPr>
              <w:t>vermezler</w:t>
            </w:r>
            <w:r w:rsidRPr="00A23740">
              <w:rPr>
                <w:rFonts w:eastAsia="Times New Roman"/>
                <w:szCs w:val="24"/>
                <w:lang w:eastAsia="tr-TR"/>
              </w:rPr>
              <w:t xml:space="preserve"> veya borçlarını bildirmezlerse, </w:t>
            </w:r>
            <w:r w:rsidRPr="00A23740">
              <w:rPr>
                <w:rFonts w:eastAsia="Times New Roman"/>
                <w:b/>
                <w:strike/>
                <w:color w:val="FF0000"/>
                <w:szCs w:val="24"/>
                <w:lang w:eastAsia="x-none"/>
              </w:rPr>
              <w:t>doksan güne</w:t>
            </w:r>
            <w:r w:rsidRPr="00A23740">
              <w:rPr>
                <w:rFonts w:eastAsia="Times New Roman"/>
                <w:szCs w:val="24"/>
                <w:lang w:eastAsia="tr-TR"/>
              </w:rPr>
              <w:t xml:space="preserve"> kadar </w:t>
            </w:r>
            <w:r w:rsidRPr="00A23740">
              <w:rPr>
                <w:rFonts w:eastAsia="Times New Roman"/>
                <w:b/>
                <w:strike/>
                <w:color w:val="FF0000"/>
                <w:szCs w:val="24"/>
                <w:lang w:eastAsia="x-none"/>
              </w:rPr>
              <w:t>adlî para cezası ile cezalandırılır</w:t>
            </w:r>
            <w:r w:rsidRPr="00A23740">
              <w:rPr>
                <w:rFonts w:eastAsia="Times New Roman"/>
                <w:szCs w:val="24"/>
                <w:lang w:eastAsia="tr-TR"/>
              </w:rPr>
              <w:t>.</w:t>
            </w:r>
          </w:p>
          <w:p w:rsidR="00A043AD" w:rsidRPr="00A23740" w:rsidRDefault="00A043AD" w:rsidP="00750F08">
            <w:pPr>
              <w:tabs>
                <w:tab w:val="left" w:pos="567"/>
              </w:tabs>
              <w:rPr>
                <w:rFonts w:eastAsia="Times New Roman"/>
                <w:szCs w:val="24"/>
                <w:lang w:eastAsia="tr-TR"/>
              </w:rPr>
            </w:pPr>
          </w:p>
          <w:p w:rsidR="00A043AD" w:rsidRPr="00A23740" w:rsidRDefault="00A043AD" w:rsidP="00750F08">
            <w:pPr>
              <w:jc w:val="left"/>
              <w:rPr>
                <w:rFonts w:eastAsia="Times New Roman"/>
                <w:szCs w:val="24"/>
                <w:lang w:eastAsia="tr-TR"/>
              </w:rPr>
            </w:pPr>
          </w:p>
          <w:p w:rsidR="00A043AD" w:rsidRPr="00A23740" w:rsidRDefault="00A043AD" w:rsidP="00750F08">
            <w:pPr>
              <w:tabs>
                <w:tab w:val="left" w:pos="567"/>
              </w:tabs>
              <w:rPr>
                <w:rFonts w:eastAsia="Times New Roman"/>
                <w:szCs w:val="24"/>
                <w:lang w:eastAsia="tr-TR"/>
              </w:rPr>
            </w:pPr>
          </w:p>
        </w:tc>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Müflisin mallarını </w:t>
            </w:r>
            <w:r w:rsidRPr="00A23740">
              <w:rPr>
                <w:rFonts w:eastAsia="Times New Roman"/>
                <w:b/>
                <w:bCs/>
                <w:color w:val="0000FF"/>
                <w:szCs w:val="24"/>
                <w:lang w:eastAsia="x-none"/>
              </w:rPr>
              <w:t>teslim yükümlülüğünün ihlali</w:t>
            </w:r>
            <w:r w:rsidRPr="00A23740">
              <w:rPr>
                <w:rFonts w:eastAsia="Times New Roman"/>
                <w:b/>
                <w:szCs w:val="24"/>
                <w:lang w:eastAsia="tr-TR"/>
              </w:rPr>
              <w:t xml:space="preserve"> </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MADDE 516</w:t>
            </w:r>
            <w:r w:rsidRPr="00466739">
              <w:rPr>
                <w:rStyle w:val="Balk1Char"/>
                <w:rFonts w:eastAsia="Calibri"/>
              </w:rPr>
              <w:t>- (1)</w:t>
            </w:r>
            <w:r w:rsidRPr="00A23740">
              <w:rPr>
                <w:rFonts w:eastAsia="Times New Roman"/>
                <w:b/>
                <w:bCs/>
                <w:color w:val="0000FF"/>
                <w:szCs w:val="24"/>
                <w:lang w:eastAsia="x-none"/>
              </w:rPr>
              <w:t xml:space="preserve"> </w:t>
            </w:r>
            <w:r w:rsidRPr="00A23740">
              <w:rPr>
                <w:rFonts w:eastAsia="Times New Roman"/>
                <w:szCs w:val="24"/>
                <w:lang w:eastAsia="tr-TR"/>
              </w:rPr>
              <w:t xml:space="preserve">Müflisin mallarını </w:t>
            </w:r>
            <w:r w:rsidRPr="00A23740">
              <w:rPr>
                <w:rStyle w:val="MaviChar"/>
              </w:rPr>
              <w:t>elinde</w:t>
            </w:r>
            <w:r w:rsidRPr="00A23740">
              <w:rPr>
                <w:rFonts w:eastAsia="Times New Roman"/>
                <w:szCs w:val="24"/>
                <w:lang w:eastAsia="tr-TR"/>
              </w:rPr>
              <w:t xml:space="preserve"> bulunduran veya müflise borçlu olan üçüncü </w:t>
            </w:r>
            <w:r w:rsidRPr="00A23740">
              <w:rPr>
                <w:rFonts w:eastAsia="Times New Roman"/>
                <w:b/>
                <w:bCs/>
                <w:color w:val="0000FF"/>
                <w:szCs w:val="24"/>
                <w:lang w:eastAsia="x-none"/>
              </w:rPr>
              <w:t>kişiler</w:t>
            </w:r>
            <w:r w:rsidRPr="00A23740">
              <w:rPr>
                <w:rFonts w:eastAsia="Times New Roman"/>
                <w:szCs w:val="24"/>
                <w:lang w:eastAsia="tr-TR"/>
              </w:rPr>
              <w:t>, iflasın açıldığına dair ilan</w:t>
            </w:r>
            <w:r w:rsidRPr="00A23740">
              <w:rPr>
                <w:rFonts w:eastAsia="Times New Roman"/>
                <w:b/>
                <w:bCs/>
                <w:color w:val="0000FF"/>
                <w:szCs w:val="24"/>
                <w:lang w:eastAsia="x-none"/>
              </w:rPr>
              <w:t>ı</w:t>
            </w:r>
            <w:r w:rsidRPr="00A23740">
              <w:rPr>
                <w:rFonts w:eastAsia="Times New Roman"/>
                <w:szCs w:val="24"/>
                <w:lang w:eastAsia="tr-TR"/>
              </w:rPr>
              <w:t xml:space="preserve"> </w:t>
            </w:r>
            <w:r w:rsidRPr="00A23740">
              <w:rPr>
                <w:rFonts w:eastAsia="Times New Roman"/>
                <w:b/>
                <w:bCs/>
                <w:color w:val="0000FF"/>
                <w:szCs w:val="24"/>
                <w:lang w:eastAsia="x-none"/>
              </w:rPr>
              <w:t>öğrendikleri</w:t>
            </w:r>
            <w:r w:rsidRPr="00A23740">
              <w:rPr>
                <w:rFonts w:eastAsia="Times New Roman"/>
                <w:szCs w:val="24"/>
                <w:lang w:eastAsia="tr-TR"/>
              </w:rPr>
              <w:t xml:space="preserve"> tarihten itibaren </w:t>
            </w:r>
            <w:r w:rsidRPr="002E2E40">
              <w:rPr>
                <w:rStyle w:val="YELChar"/>
                <w:color w:val="0000FF"/>
              </w:rPr>
              <w:t>330 uncu</w:t>
            </w:r>
            <w:r w:rsidRPr="00A23740">
              <w:rPr>
                <w:rStyle w:val="YELChar"/>
              </w:rPr>
              <w:t xml:space="preserve"> </w:t>
            </w:r>
            <w:r w:rsidRPr="002E2E40">
              <w:rPr>
                <w:rStyle w:val="YELChar"/>
                <w:color w:val="0000FF"/>
              </w:rPr>
              <w:t>madde gereğince</w:t>
            </w:r>
            <w:r w:rsidRPr="00A23740">
              <w:rPr>
                <w:rFonts w:eastAsia="Times New Roman"/>
                <w:szCs w:val="24"/>
                <w:lang w:eastAsia="tr-TR"/>
              </w:rPr>
              <w:t xml:space="preserve"> bir ay içinde </w:t>
            </w:r>
            <w:r w:rsidRPr="00A23740">
              <w:rPr>
                <w:rFonts w:eastAsia="Times New Roman"/>
                <w:b/>
                <w:bCs/>
                <w:color w:val="0000FF"/>
                <w:szCs w:val="24"/>
                <w:lang w:eastAsia="x-none"/>
              </w:rPr>
              <w:t>geçerli</w:t>
            </w:r>
            <w:r w:rsidRPr="00A23740">
              <w:rPr>
                <w:rFonts w:eastAsia="Times New Roman"/>
                <w:szCs w:val="24"/>
                <w:lang w:eastAsia="tr-TR"/>
              </w:rPr>
              <w:t xml:space="preserve"> bir mazeret</w:t>
            </w:r>
            <w:r w:rsidRPr="00A23740">
              <w:rPr>
                <w:rFonts w:eastAsia="Times New Roman"/>
                <w:b/>
                <w:bCs/>
                <w:color w:val="0000FF"/>
                <w:szCs w:val="24"/>
                <w:lang w:eastAsia="x-none"/>
              </w:rPr>
              <w:t>i</w:t>
            </w:r>
            <w:r w:rsidRPr="00A23740">
              <w:rPr>
                <w:rFonts w:eastAsia="Times New Roman"/>
                <w:szCs w:val="24"/>
                <w:lang w:eastAsia="tr-TR"/>
              </w:rPr>
              <w:t xml:space="preserve"> olmaksızın o malları iflas idaresi emrine </w:t>
            </w:r>
            <w:r w:rsidRPr="00A23740">
              <w:rPr>
                <w:rFonts w:eastAsia="Times New Roman"/>
                <w:b/>
                <w:bCs/>
                <w:color w:val="0000FF"/>
                <w:szCs w:val="24"/>
                <w:lang w:eastAsia="x-none"/>
              </w:rPr>
              <w:t>teslim etmez, teslim etmeye hazır bulundurmaz</w:t>
            </w:r>
            <w:r w:rsidRPr="00A23740">
              <w:rPr>
                <w:rFonts w:eastAsia="Times New Roman"/>
                <w:szCs w:val="24"/>
                <w:lang w:eastAsia="tr-TR"/>
              </w:rPr>
              <w:t xml:space="preserve"> veya borçlarını bildirmezlerse, </w:t>
            </w:r>
            <w:r w:rsidRPr="00A23740">
              <w:rPr>
                <w:rStyle w:val="MaviChar"/>
              </w:rPr>
              <w:t>ilgililerin</w:t>
            </w:r>
            <w:r w:rsidRPr="00A23740">
              <w:rPr>
                <w:rFonts w:eastAsia="Times New Roman"/>
                <w:szCs w:val="24"/>
                <w:lang w:eastAsia="tr-TR"/>
              </w:rPr>
              <w:t xml:space="preserve"> </w:t>
            </w:r>
            <w:r w:rsidRPr="00A23740">
              <w:rPr>
                <w:rFonts w:eastAsia="Times New Roman"/>
                <w:b/>
                <w:bCs/>
                <w:color w:val="0000FF"/>
                <w:szCs w:val="24"/>
                <w:lang w:eastAsia="x-none"/>
              </w:rPr>
              <w:t xml:space="preserve">şikâyeti üzerine </w:t>
            </w:r>
            <w:r w:rsidRPr="002E2E40">
              <w:rPr>
                <w:rStyle w:val="YELChar"/>
                <w:color w:val="0000FF"/>
              </w:rPr>
              <w:t>haklarında</w:t>
            </w:r>
            <w:r w:rsidRPr="00A23740">
              <w:rPr>
                <w:rFonts w:eastAsia="Times New Roman"/>
                <w:b/>
                <w:bCs/>
                <w:color w:val="0000FF"/>
                <w:szCs w:val="24"/>
                <w:lang w:eastAsia="x-none"/>
              </w:rPr>
              <w:t xml:space="preserve"> üç aya </w:t>
            </w:r>
            <w:r w:rsidRPr="00A23740">
              <w:rPr>
                <w:rFonts w:eastAsia="Times New Roman"/>
                <w:bCs/>
                <w:szCs w:val="24"/>
                <w:lang w:eastAsia="tr-TR"/>
              </w:rPr>
              <w:t>kadar</w:t>
            </w:r>
            <w:r w:rsidRPr="00A23740">
              <w:rPr>
                <w:rFonts w:eastAsia="Times New Roman"/>
                <w:b/>
                <w:bCs/>
                <w:color w:val="0000FF"/>
                <w:szCs w:val="24"/>
                <w:lang w:eastAsia="x-none"/>
              </w:rPr>
              <w:t xml:space="preserve"> tazyik hapsine karar verilir.</w:t>
            </w:r>
          </w:p>
          <w:p w:rsidR="00A043AD" w:rsidRPr="00A23740" w:rsidRDefault="00A043AD" w:rsidP="00750F08">
            <w:pPr>
              <w:jc w:val="left"/>
              <w:rPr>
                <w:rFonts w:eastAsia="Times New Roman"/>
                <w:szCs w:val="24"/>
                <w:lang w:eastAsia="tr-TR"/>
              </w:rPr>
            </w:pP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 xml:space="preserve">(2) </w:t>
            </w:r>
            <w:r w:rsidRPr="002E2E40">
              <w:rPr>
                <w:rStyle w:val="YELChar"/>
                <w:color w:val="0000FF"/>
              </w:rPr>
              <w:t>Yükümlülük</w:t>
            </w:r>
            <w:r w:rsidRPr="00A23740">
              <w:rPr>
                <w:rFonts w:eastAsia="Times New Roman"/>
                <w:b/>
                <w:bCs/>
                <w:color w:val="0000FF"/>
                <w:szCs w:val="24"/>
                <w:lang w:eastAsia="x-none"/>
              </w:rPr>
              <w:t xml:space="preserve"> yerine </w:t>
            </w:r>
            <w:r w:rsidRPr="002E2E40">
              <w:rPr>
                <w:rStyle w:val="YELChar"/>
                <w:color w:val="0000FF"/>
              </w:rPr>
              <w:t>getirildiği</w:t>
            </w:r>
            <w:r w:rsidRPr="00A23740">
              <w:rPr>
                <w:rFonts w:eastAsia="Times New Roman"/>
                <w:b/>
                <w:bCs/>
                <w:color w:val="0000FF"/>
                <w:szCs w:val="24"/>
                <w:lang w:eastAsia="x-none"/>
              </w:rPr>
              <w:t xml:space="preserve"> takdirde dava veya ceza düşer.</w:t>
            </w:r>
          </w:p>
          <w:p w:rsidR="00A043AD" w:rsidRPr="00A23740" w:rsidRDefault="00A043AD" w:rsidP="00750F08">
            <w:pPr>
              <w:rPr>
                <w:lang w:val="x-none" w:eastAsia="x-none"/>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Arial Unicode MS"/>
                <w:iCs/>
                <w:szCs w:val="24"/>
                <w:lang w:eastAsia="tr-TR"/>
              </w:rPr>
            </w:pPr>
            <w:r w:rsidRPr="00A23740">
              <w:rPr>
                <w:rFonts w:eastAsia="Arial Unicode MS"/>
                <w:b/>
                <w:iCs/>
                <w:szCs w:val="24"/>
                <w:lang w:eastAsia="tr-TR"/>
              </w:rPr>
              <w:t>MADDE 516-</w:t>
            </w:r>
            <w:r w:rsidRPr="00A23740">
              <w:rPr>
                <w:rFonts w:eastAsia="Arial Unicode MS"/>
                <w:iCs/>
                <w:szCs w:val="24"/>
                <w:lang w:eastAsia="tr-TR"/>
              </w:rPr>
              <w:t xml:space="preserve"> Maddeyle, üçüncü kişilerin müflisin mallarını teslim yükümlülüğüne aykırı davranmasının müeyyidesi düzenlenmektedir. Madde, 2004 sayılı Kanunun 336 ncı maddesine karşılık gelmektedir. Maddenin içeriği dikkate alınarak başlık “Müflisin mallarını teslim yükümlülüğünün ihlali” olarak kabul edilmekte ve daha iyi anlaşılması ve etkin kılınması amacıyla hükümde bazı değişiklikler yapılmaktadır. Özellikle 2004 sayılı Kanunda adli para cezası olan müeyyide, haksızlığın niteliği gözetilerek tazyik hapsi olarak belirlenmektedir. Böylece Taslağın </w:t>
            </w:r>
            <w:r w:rsidR="00122C8F" w:rsidRPr="002E2E40">
              <w:rPr>
                <w:rStyle w:val="KonuBalChar"/>
                <w:rFonts w:eastAsia="Arial Unicode MS"/>
                <w:b w:val="0"/>
                <w:color w:val="auto"/>
              </w:rPr>
              <w:t>330 uncu</w:t>
            </w:r>
            <w:r w:rsidR="00122C8F" w:rsidRPr="00A23740">
              <w:rPr>
                <w:rFonts w:eastAsia="Arial Unicode MS"/>
                <w:iCs/>
                <w:szCs w:val="24"/>
                <w:lang w:eastAsia="tr-TR"/>
              </w:rPr>
              <w:t xml:space="preserve"> </w:t>
            </w:r>
            <w:r w:rsidRPr="00A23740">
              <w:rPr>
                <w:rFonts w:eastAsia="Arial Unicode MS"/>
                <w:iCs/>
                <w:szCs w:val="24"/>
                <w:lang w:eastAsia="tr-TR"/>
              </w:rPr>
              <w:t>maddesinde belirlenen ve maddeyle ihlalinin müeyyideye bağlandığı yükümlülüklerin tazyiken yerine getirilmesinin sağlanmasıyla tasfiyenin daha etkin ve hızlı bir şekilde yapılabilmesi amaçlanmaktadır.</w:t>
            </w:r>
          </w:p>
          <w:p w:rsidR="00A043AD" w:rsidRPr="00A23740" w:rsidRDefault="00A043AD" w:rsidP="00750F08">
            <w:pPr>
              <w:ind w:firstLine="709"/>
              <w:rPr>
                <w:rFonts w:eastAsia="Arial Unicode MS"/>
                <w:iCs/>
                <w:szCs w:val="24"/>
                <w:lang w:eastAsia="tr-TR"/>
              </w:rPr>
            </w:pPr>
            <w:r w:rsidRPr="00A23740">
              <w:rPr>
                <w:rFonts w:eastAsia="Arial Unicode MS"/>
                <w:iCs/>
                <w:szCs w:val="24"/>
                <w:lang w:eastAsia="tr-TR"/>
              </w:rPr>
              <w:t xml:space="preserve">Birinci fıkrayla, Taslağın </w:t>
            </w:r>
            <w:r w:rsidR="00122C8F" w:rsidRPr="002E2E40">
              <w:rPr>
                <w:rStyle w:val="KonuBalChar"/>
                <w:rFonts w:eastAsia="Arial Unicode MS"/>
                <w:b w:val="0"/>
                <w:color w:val="auto"/>
              </w:rPr>
              <w:t>330 uncu</w:t>
            </w:r>
            <w:r w:rsidR="00122C8F" w:rsidRPr="00A23740">
              <w:rPr>
                <w:rFonts w:eastAsia="Arial Unicode MS"/>
                <w:iCs/>
                <w:szCs w:val="24"/>
                <w:lang w:eastAsia="tr-TR"/>
              </w:rPr>
              <w:t xml:space="preserve"> </w:t>
            </w:r>
            <w:r w:rsidRPr="00A23740">
              <w:rPr>
                <w:rFonts w:eastAsia="Arial Unicode MS"/>
                <w:iCs/>
                <w:szCs w:val="24"/>
                <w:lang w:eastAsia="tr-TR"/>
              </w:rPr>
              <w:t xml:space="preserve">maddesi gereğince müflisin mallarını elinde bulunduran veya müflise borçlu olan üçüncü kişilerin, iflasın açıldığına dair ilanı öğrendikleri tarihten itibaren bir ay içinde geçerli bir mazereti olmaksızın o malları iflas idaresi emrine teslim etmemesi, teslim etmeye hazır bulundurmaması veya borçlarını bildirmemesi durumunda, ilgililerin şikâyet üzerine üç aya kadar tazyik </w:t>
            </w:r>
            <w:r w:rsidR="001647D1" w:rsidRPr="002E2E40">
              <w:rPr>
                <w:szCs w:val="24"/>
                <w:lang w:val="x-none" w:eastAsia="x-none"/>
              </w:rPr>
              <w:t>hapsiyle</w:t>
            </w:r>
            <w:r w:rsidRPr="00A23740">
              <w:rPr>
                <w:rFonts w:eastAsia="Arial Unicode MS"/>
                <w:iCs/>
                <w:szCs w:val="24"/>
                <w:lang w:eastAsia="tr-TR"/>
              </w:rPr>
              <w:t xml:space="preserve"> cezalandırılması kabul edilmektedir. Taslağın “Olağan tasfiye” başlıklı </w:t>
            </w:r>
            <w:r w:rsidR="003466E7" w:rsidRPr="002E2E40">
              <w:rPr>
                <w:rStyle w:val="KonuBalChar"/>
                <w:rFonts w:eastAsia="Arial Unicode MS"/>
                <w:b w:val="0"/>
                <w:color w:val="auto"/>
              </w:rPr>
              <w:t>330 uncu</w:t>
            </w:r>
            <w:r w:rsidR="003466E7" w:rsidRPr="00A23740">
              <w:rPr>
                <w:rFonts w:eastAsia="Arial Unicode MS"/>
                <w:iCs/>
                <w:szCs w:val="24"/>
                <w:lang w:eastAsia="tr-TR"/>
              </w:rPr>
              <w:t xml:space="preserve"> </w:t>
            </w:r>
            <w:r w:rsidRPr="00A23740">
              <w:rPr>
                <w:rFonts w:eastAsia="Arial Unicode MS"/>
                <w:iCs/>
                <w:szCs w:val="24"/>
                <w:lang w:eastAsia="tr-TR"/>
              </w:rPr>
              <w:t xml:space="preserve">maddesi gereğince iflas dairesinin yapacağı ilanda (ikinci fıkranın “c” bendi) müflise borçlu olanların bir aylık süre içinde borçlarını bildirmeleri, aksi takdirde cezalandırılacakları ve (ikinci fıkranın “ç” bendi) müflisin mallarını her ne sıfatla olursa olsun elinde bulunduranların o mallar üzerindeki hakları saklı kalmak şartıyla, bunları bir aylık süre içinde daire emrine teslim etmeleri veya teslim etmeye hazır bulunduklarını bildirmeleri, geçerli mazereti bulunmaksızın bildirmedikleri takdirde tazyik </w:t>
            </w:r>
            <w:r w:rsidR="001647D1" w:rsidRPr="002E2E40">
              <w:rPr>
                <w:szCs w:val="24"/>
                <w:lang w:val="x-none" w:eastAsia="x-none"/>
              </w:rPr>
              <w:t>hapsiyle</w:t>
            </w:r>
            <w:r w:rsidRPr="00A23740">
              <w:rPr>
                <w:rFonts w:eastAsia="Arial Unicode MS"/>
                <w:iCs/>
                <w:szCs w:val="24"/>
                <w:lang w:eastAsia="tr-TR"/>
              </w:rPr>
              <w:t xml:space="preserve"> cezalandırılacakları ve rüçhan haklarından mahrum kalacakları bildirilmesi gerekmektedir. İşte buradaki cezalandırılma ihtarının karşılığını bu hüküm oluşturmaktadır. Eylemin maddi unsurlarının tespitinde Taslağın </w:t>
            </w:r>
            <w:r w:rsidR="003466E7" w:rsidRPr="002E2E40">
              <w:rPr>
                <w:rStyle w:val="KonuBalChar"/>
                <w:rFonts w:eastAsia="Arial Unicode MS"/>
                <w:b w:val="0"/>
                <w:color w:val="auto"/>
              </w:rPr>
              <w:t>330 uncu</w:t>
            </w:r>
            <w:r w:rsidR="003466E7" w:rsidRPr="00A23740">
              <w:rPr>
                <w:rFonts w:eastAsia="Arial Unicode MS"/>
                <w:iCs/>
                <w:szCs w:val="24"/>
                <w:lang w:eastAsia="tr-TR"/>
              </w:rPr>
              <w:t xml:space="preserve"> </w:t>
            </w:r>
            <w:r w:rsidRPr="00A23740">
              <w:rPr>
                <w:rFonts w:eastAsia="Arial Unicode MS"/>
                <w:iCs/>
                <w:szCs w:val="24"/>
                <w:lang w:eastAsia="tr-TR"/>
              </w:rPr>
              <w:t xml:space="preserve">maddesi gözetilerek yeknesaklık sağlanmaktadır. Ayrıca iflasın açıldığına dair ilanın yapılmış olması müeyyidenin uygulanması için yeterli olmayıp üçüncü kişilerin bu ilanı öğrenmeleri gerektiği hükümde açıkça ifade edilmektedir. </w:t>
            </w:r>
            <w:r w:rsidR="001A3CDE" w:rsidRPr="00A23740">
              <w:rPr>
                <w:rFonts w:eastAsia="Arial Unicode MS"/>
                <w:iCs/>
                <w:szCs w:val="24"/>
                <w:lang w:eastAsia="tr-TR"/>
              </w:rPr>
              <w:t xml:space="preserve">Öte yandan, </w:t>
            </w:r>
            <w:r w:rsidRPr="00A23740">
              <w:rPr>
                <w:rFonts w:eastAsia="Times New Roman"/>
                <w:szCs w:val="24"/>
                <w:lang w:eastAsia="tr-TR"/>
              </w:rPr>
              <w:t xml:space="preserve">bu Kitapta düzenlenen hükümlerde yer alan “makbul bir mazeret”, “makbul bir sebep” ve “haklı bir sebep” unsuru, yeknesaklığın sağlanması ve hükmün tereddüde mahal vermeyecek şekilde daha iyi uygulanması amacıyla “geçerli bir mazeret” olarak değiştirilmektedir. </w:t>
            </w:r>
            <w:r w:rsidRPr="00A23740">
              <w:rPr>
                <w:rFonts w:eastAsia="Arial Unicode MS"/>
                <w:iCs/>
                <w:szCs w:val="24"/>
                <w:lang w:eastAsia="tr-TR"/>
              </w:rPr>
              <w:t>2004 sayılı Kanunun 336 ncı maddesinin birinci fıkrasında filin cezası doksan güne kadar adli para cezası iken</w:t>
            </w:r>
            <w:r w:rsidR="001A3CDE" w:rsidRPr="00A23740">
              <w:rPr>
                <w:rFonts w:eastAsia="Arial Unicode MS"/>
                <w:iCs/>
                <w:szCs w:val="24"/>
                <w:lang w:eastAsia="tr-TR"/>
              </w:rPr>
              <w:t>,</w:t>
            </w:r>
            <w:r w:rsidRPr="00A23740">
              <w:rPr>
                <w:rFonts w:eastAsia="Arial Unicode MS"/>
                <w:iCs/>
                <w:szCs w:val="24"/>
                <w:lang w:eastAsia="tr-TR"/>
              </w:rPr>
              <w:t xml:space="preserve"> ölçülülük ilkesi ve fiilin niteliği dikkate alınarak müeyyide üç aya kadar tazyik hapsi olarak belirlenmektedir.</w:t>
            </w:r>
          </w:p>
          <w:p w:rsidR="00A043AD" w:rsidRPr="00A23740" w:rsidRDefault="00A043AD" w:rsidP="00750F08">
            <w:pPr>
              <w:ind w:firstLine="709"/>
              <w:rPr>
                <w:rFonts w:eastAsia="Arial Unicode MS"/>
                <w:iCs/>
                <w:szCs w:val="24"/>
                <w:lang w:eastAsia="tr-TR"/>
              </w:rPr>
            </w:pPr>
            <w:r w:rsidRPr="00A23740">
              <w:rPr>
                <w:rFonts w:eastAsia="Arial Unicode MS"/>
                <w:iCs/>
                <w:szCs w:val="24"/>
                <w:lang w:eastAsia="tr-TR"/>
              </w:rPr>
              <w:t xml:space="preserve">İkinci fıkrayla, bir yenilik olarak etkin pişmanlık hükmü kabul edilmektedir. Hükme göre </w:t>
            </w:r>
            <w:r w:rsidRPr="002E2E40">
              <w:rPr>
                <w:rStyle w:val="YELChar"/>
                <w:b w:val="0"/>
                <w:color w:val="auto"/>
              </w:rPr>
              <w:t>yükümlülüğün yerine getirilmesi durumunda</w:t>
            </w:r>
            <w:r w:rsidRPr="00A23740">
              <w:rPr>
                <w:rFonts w:eastAsia="Arial Unicode MS"/>
                <w:iCs/>
                <w:szCs w:val="24"/>
                <w:lang w:eastAsia="tr-TR"/>
              </w:rPr>
              <w:t xml:space="preserve"> dava ve tazyik hapsine dair ceza düşer.</w:t>
            </w:r>
          </w:p>
          <w:p w:rsidR="00A043AD" w:rsidRPr="00A23740" w:rsidRDefault="00A043AD" w:rsidP="002A27F8">
            <w:pPr>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Kendisine teslim edilen malları vermeyenler hakkındaki cezalar:</w:t>
            </w:r>
          </w:p>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Madde 336/a- (Ek: 17/7/2003-4949/93 md.; Mülga: 31/5/2005-5358/23 md.)</w:t>
            </w:r>
          </w:p>
          <w:p w:rsidR="00A043AD" w:rsidRPr="00A23740" w:rsidRDefault="00A043AD" w:rsidP="00750F08">
            <w:pPr>
              <w:rPr>
                <w:rFonts w:eastAsia="Times New Roman"/>
                <w:szCs w:val="24"/>
                <w:lang w:eastAsia="tr-TR"/>
              </w:rPr>
            </w:pPr>
          </w:p>
        </w:tc>
        <w:tc>
          <w:tcPr>
            <w:tcW w:w="2500" w:type="pct"/>
          </w:tcPr>
          <w:p w:rsidR="00A043AD" w:rsidRPr="00A23740" w:rsidRDefault="00A043AD" w:rsidP="001C3ADB">
            <w:pPr>
              <w:pStyle w:val="KIRMIZI"/>
              <w:rPr>
                <w:b w:val="0"/>
                <w:color w:val="0000FF"/>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Yükümlülüklerin yerine getirilmemesi:</w:t>
            </w:r>
          </w:p>
          <w:p w:rsidR="00A043AD" w:rsidRPr="00A23740" w:rsidRDefault="00A043AD" w:rsidP="00466739">
            <w:pPr>
              <w:pStyle w:val="KIRMIZI"/>
            </w:pPr>
            <w:r w:rsidRPr="00A23740">
              <w:t>Madde 337- …</w:t>
            </w:r>
          </w:p>
          <w:p w:rsidR="00A043AD" w:rsidRPr="00A23740" w:rsidRDefault="00A42965" w:rsidP="00750F08">
            <w:pPr>
              <w:rPr>
                <w:rFonts w:eastAsia="Times New Roman"/>
                <w:color w:val="000000"/>
                <w:szCs w:val="24"/>
                <w:lang w:eastAsia="tr-TR"/>
              </w:rPr>
            </w:pPr>
            <w:r w:rsidRPr="00466739">
              <w:rPr>
                <w:rStyle w:val="KIRMIZIChar"/>
                <w:rFonts w:eastAsia="Calibri"/>
              </w:rPr>
              <w:t>(F2.C</w:t>
            </w:r>
            <w:r w:rsidR="00A043AD" w:rsidRPr="00466739">
              <w:rPr>
                <w:rStyle w:val="KIRMIZIChar"/>
                <w:rFonts w:eastAsia="Calibri"/>
              </w:rPr>
              <w:t>1) 162,</w:t>
            </w:r>
            <w:r w:rsidR="00A043AD" w:rsidRPr="00A23740">
              <w:rPr>
                <w:rFonts w:eastAsia="Times New Roman"/>
                <w:b/>
                <w:strike/>
                <w:color w:val="FF0000"/>
                <w:szCs w:val="24"/>
                <w:lang w:eastAsia="x-none"/>
              </w:rPr>
              <w:t xml:space="preserve"> 209 ve 216 ncı maddeler</w:t>
            </w:r>
            <w:r w:rsidR="00A043AD" w:rsidRPr="00A23740">
              <w:rPr>
                <w:rFonts w:eastAsia="Times New Roman"/>
                <w:b/>
                <w:color w:val="000000"/>
                <w:szCs w:val="24"/>
                <w:lang w:eastAsia="tr-TR"/>
              </w:rPr>
              <w:t xml:space="preserve"> </w:t>
            </w:r>
            <w:r w:rsidR="00A043AD" w:rsidRPr="00A23740">
              <w:rPr>
                <w:rFonts w:eastAsia="Times New Roman"/>
                <w:b/>
                <w:strike/>
                <w:color w:val="FF0000"/>
                <w:szCs w:val="24"/>
                <w:lang w:eastAsia="x-none"/>
              </w:rPr>
              <w:t>hükümlerine</w:t>
            </w:r>
            <w:r w:rsidR="00A043AD" w:rsidRPr="00A23740">
              <w:rPr>
                <w:rFonts w:eastAsia="Times New Roman"/>
                <w:color w:val="000000"/>
                <w:szCs w:val="24"/>
                <w:lang w:eastAsia="tr-TR"/>
              </w:rPr>
              <w:t xml:space="preserve"> </w:t>
            </w:r>
            <w:r w:rsidR="00A043AD" w:rsidRPr="00A23740">
              <w:rPr>
                <w:rFonts w:eastAsia="Times New Roman"/>
                <w:b/>
                <w:strike/>
                <w:color w:val="FF0000"/>
                <w:szCs w:val="24"/>
                <w:lang w:eastAsia="x-none"/>
              </w:rPr>
              <w:t>muhalefet</w:t>
            </w:r>
            <w:r w:rsidR="00A043AD" w:rsidRPr="00A23740">
              <w:rPr>
                <w:rFonts w:eastAsia="Times New Roman"/>
                <w:color w:val="000000"/>
                <w:szCs w:val="24"/>
                <w:lang w:eastAsia="tr-TR"/>
              </w:rPr>
              <w:t xml:space="preserve"> </w:t>
            </w:r>
            <w:r w:rsidR="00A043AD" w:rsidRPr="00A23740">
              <w:rPr>
                <w:rFonts w:eastAsia="Times New Roman"/>
                <w:b/>
                <w:strike/>
                <w:color w:val="FF0000"/>
                <w:szCs w:val="24"/>
                <w:lang w:eastAsia="x-none"/>
              </w:rPr>
              <w:t>edenler hakkında da</w:t>
            </w:r>
            <w:r w:rsidR="00A043AD" w:rsidRPr="00A23740">
              <w:rPr>
                <w:rFonts w:eastAsia="Times New Roman"/>
                <w:color w:val="000000"/>
                <w:szCs w:val="24"/>
                <w:lang w:eastAsia="tr-TR"/>
              </w:rPr>
              <w:t xml:space="preserve"> iflas idaresinin </w:t>
            </w:r>
            <w:r w:rsidR="00A043AD" w:rsidRPr="00A23740">
              <w:rPr>
                <w:rFonts w:eastAsia="Times New Roman"/>
                <w:b/>
                <w:strike/>
                <w:color w:val="FF0000"/>
                <w:szCs w:val="24"/>
                <w:lang w:eastAsia="x-none"/>
              </w:rPr>
              <w:t>vereceği müzekkere</w:t>
            </w:r>
            <w:r w:rsidR="00A043AD" w:rsidRPr="00A23740">
              <w:rPr>
                <w:rFonts w:eastAsia="Times New Roman"/>
                <w:color w:val="000000"/>
                <w:szCs w:val="24"/>
                <w:lang w:eastAsia="tr-TR"/>
              </w:rPr>
              <w:t xml:space="preserve"> üzerine</w:t>
            </w:r>
            <w:r w:rsidR="00A043AD" w:rsidRPr="00A23740">
              <w:rPr>
                <w:rFonts w:eastAsia="Times New Roman"/>
                <w:b/>
                <w:strike/>
                <w:color w:val="FF0000"/>
                <w:szCs w:val="24"/>
                <w:lang w:eastAsia="x-none"/>
              </w:rPr>
              <w:t>,</w:t>
            </w:r>
            <w:r w:rsidR="00A043AD" w:rsidRPr="00A23740">
              <w:rPr>
                <w:rFonts w:eastAsia="Times New Roman"/>
                <w:color w:val="000000"/>
                <w:szCs w:val="24"/>
                <w:lang w:eastAsia="tr-TR"/>
              </w:rPr>
              <w:t xml:space="preserve"> </w:t>
            </w:r>
            <w:r w:rsidR="00A043AD" w:rsidRPr="00A23740">
              <w:rPr>
                <w:rFonts w:eastAsia="Times New Roman"/>
                <w:b/>
                <w:strike/>
                <w:color w:val="FF0000"/>
                <w:szCs w:val="24"/>
                <w:lang w:eastAsia="x-none"/>
              </w:rPr>
              <w:t>aynı ceza verilir</w:t>
            </w:r>
            <w:r w:rsidR="00A043AD" w:rsidRPr="00A23740">
              <w:rPr>
                <w:rFonts w:eastAsia="Times New Roman"/>
                <w:color w:val="000000"/>
                <w:szCs w:val="24"/>
                <w:lang w:eastAsia="tr-TR"/>
              </w:rPr>
              <w:t>.</w:t>
            </w:r>
          </w:p>
          <w:p w:rsidR="00A043AD" w:rsidRPr="00A23740" w:rsidRDefault="00A043AD" w:rsidP="00750F08">
            <w:pPr>
              <w:rPr>
                <w:rFonts w:eastAsia="Times New Roman"/>
                <w:color w:val="000000"/>
                <w:szCs w:val="24"/>
                <w:lang w:eastAsia="tr-TR"/>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A043AD" w:rsidRPr="00A23740" w:rsidRDefault="00A043AD" w:rsidP="00750F08">
            <w:pPr>
              <w:tabs>
                <w:tab w:val="left" w:pos="567"/>
              </w:tabs>
              <w:rPr>
                <w:b/>
                <w:color w:val="0000FF"/>
                <w:szCs w:val="24"/>
              </w:rPr>
            </w:pPr>
          </w:p>
          <w:p w:rsidR="005661AD" w:rsidRPr="00A23740" w:rsidRDefault="005661AD" w:rsidP="00750F08">
            <w:pPr>
              <w:tabs>
                <w:tab w:val="left" w:pos="567"/>
              </w:tabs>
              <w:rPr>
                <w:b/>
                <w:color w:val="0000FF"/>
                <w:szCs w:val="24"/>
              </w:rPr>
            </w:pPr>
          </w:p>
          <w:p w:rsidR="002435A3" w:rsidRPr="00A23740" w:rsidRDefault="002435A3" w:rsidP="00750F08">
            <w:pPr>
              <w:tabs>
                <w:tab w:val="left" w:pos="567"/>
              </w:tabs>
              <w:rPr>
                <w:b/>
                <w:color w:val="0000FF"/>
                <w:szCs w:val="24"/>
              </w:rPr>
            </w:pPr>
          </w:p>
          <w:p w:rsidR="00A043AD" w:rsidRPr="00A23740" w:rsidRDefault="00A043AD" w:rsidP="00750F08">
            <w:pPr>
              <w:rPr>
                <w:rFonts w:eastAsia="Times New Roman"/>
                <w:color w:val="000000"/>
                <w:szCs w:val="24"/>
                <w:lang w:eastAsia="tr-TR"/>
              </w:rPr>
            </w:pPr>
          </w:p>
          <w:p w:rsidR="00A043AD" w:rsidRPr="00A23740" w:rsidRDefault="00A043AD" w:rsidP="00750F08">
            <w:pPr>
              <w:rPr>
                <w:rFonts w:eastAsia="Times New Roman"/>
                <w:color w:val="000000"/>
                <w:szCs w:val="24"/>
                <w:lang w:eastAsia="tr-TR"/>
              </w:rPr>
            </w:pPr>
          </w:p>
          <w:p w:rsidR="00A043AD" w:rsidRPr="00A23740" w:rsidRDefault="00A043AD" w:rsidP="00750F08">
            <w:pPr>
              <w:rPr>
                <w:rFonts w:eastAsia="Times New Roman"/>
                <w:color w:val="000000"/>
                <w:szCs w:val="24"/>
                <w:lang w:eastAsia="tr-TR"/>
              </w:rPr>
            </w:pPr>
          </w:p>
          <w:p w:rsidR="00A043AD" w:rsidRDefault="00A42965" w:rsidP="00A06764">
            <w:pPr>
              <w:rPr>
                <w:rFonts w:eastAsia="Times New Roman"/>
                <w:color w:val="000000"/>
                <w:szCs w:val="24"/>
                <w:lang w:eastAsia="tr-TR"/>
              </w:rPr>
            </w:pPr>
            <w:r>
              <w:rPr>
                <w:rFonts w:eastAsia="Times New Roman"/>
                <w:b/>
                <w:color w:val="FF0000"/>
                <w:szCs w:val="24"/>
                <w:lang w:eastAsia="tr-TR"/>
              </w:rPr>
              <w:t>(F2.C</w:t>
            </w:r>
            <w:r w:rsidR="00A043AD" w:rsidRPr="00A23740">
              <w:rPr>
                <w:rFonts w:eastAsia="Times New Roman"/>
                <w:b/>
                <w:color w:val="FF0000"/>
                <w:szCs w:val="24"/>
                <w:lang w:eastAsia="tr-TR"/>
              </w:rPr>
              <w:t>2)</w:t>
            </w:r>
            <w:r w:rsidR="00A043AD" w:rsidRPr="00A23740">
              <w:rPr>
                <w:rFonts w:eastAsia="Times New Roman"/>
                <w:color w:val="000000"/>
                <w:szCs w:val="24"/>
                <w:lang w:eastAsia="tr-TR"/>
              </w:rPr>
              <w:t xml:space="preserve"> </w:t>
            </w:r>
            <w:r w:rsidR="00A043AD" w:rsidRPr="00A23740">
              <w:rPr>
                <w:rFonts w:eastAsia="Times New Roman"/>
                <w:b/>
                <w:strike/>
                <w:color w:val="FF0000"/>
                <w:szCs w:val="24"/>
                <w:lang w:eastAsia="x-none"/>
              </w:rPr>
              <w:t>Bu maddelerde</w:t>
            </w:r>
            <w:r w:rsidR="00A043AD" w:rsidRPr="00A23740">
              <w:rPr>
                <w:rFonts w:eastAsia="Times New Roman"/>
                <w:b/>
                <w:color w:val="FF0000"/>
                <w:szCs w:val="24"/>
                <w:lang w:eastAsia="x-none"/>
              </w:rPr>
              <w:t xml:space="preserve"> </w:t>
            </w:r>
            <w:r w:rsidR="00A043AD" w:rsidRPr="00A23740">
              <w:rPr>
                <w:rFonts w:eastAsia="Times New Roman"/>
                <w:color w:val="000000"/>
                <w:szCs w:val="24"/>
                <w:lang w:eastAsia="tr-TR"/>
              </w:rPr>
              <w:t xml:space="preserve">belirtilen yükümlülüklerin yerine getirilmesi hâlinde, </w:t>
            </w:r>
            <w:r w:rsidR="00A043AD" w:rsidRPr="00A23740">
              <w:rPr>
                <w:rFonts w:eastAsia="Times New Roman"/>
                <w:b/>
                <w:strike/>
                <w:color w:val="FF0000"/>
                <w:szCs w:val="24"/>
                <w:lang w:eastAsia="x-none"/>
              </w:rPr>
              <w:t>verilen</w:t>
            </w:r>
            <w:r w:rsidR="00A043AD" w:rsidRPr="00A23740">
              <w:rPr>
                <w:rFonts w:eastAsia="Times New Roman"/>
                <w:color w:val="000000"/>
                <w:szCs w:val="24"/>
                <w:lang w:eastAsia="tr-TR"/>
              </w:rPr>
              <w:t xml:space="preserve"> ceza düşer.</w:t>
            </w:r>
          </w:p>
          <w:p w:rsidR="00A42965" w:rsidRPr="00A23740" w:rsidRDefault="00A42965" w:rsidP="00A06764">
            <w:pPr>
              <w:rPr>
                <w:rFonts w:eastAsia="Times New Roman"/>
                <w:b/>
                <w:szCs w:val="24"/>
                <w:lang w:eastAsia="tr-TR"/>
              </w:rPr>
            </w:pPr>
          </w:p>
        </w:tc>
        <w:tc>
          <w:tcPr>
            <w:tcW w:w="2500" w:type="pct"/>
          </w:tcPr>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Müflisin yükümlülüklerini ihlali</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 xml:space="preserve">MADDE 517- (1) </w:t>
            </w:r>
            <w:r w:rsidRPr="002E2E40">
              <w:rPr>
                <w:rStyle w:val="YELChar"/>
                <w:color w:val="0000FF"/>
              </w:rPr>
              <w:t>Müflis,</w:t>
            </w:r>
            <w:r w:rsidR="002841B1" w:rsidRPr="002E2E40">
              <w:rPr>
                <w:rStyle w:val="YELChar"/>
                <w:color w:val="0000FF"/>
              </w:rPr>
              <w:t xml:space="preserve"> </w:t>
            </w:r>
            <w:r w:rsidR="002841B1" w:rsidRPr="002E2E40">
              <w:rPr>
                <w:rStyle w:val="KonuBalChar"/>
                <w:rFonts w:eastAsia="ヒラギノ明朝 Pro W3"/>
                <w:color w:val="0000FF"/>
              </w:rPr>
              <w:t>280 inci</w:t>
            </w:r>
            <w:r w:rsidRPr="00A23740">
              <w:rPr>
                <w:rFonts w:eastAsia="Times New Roman"/>
                <w:b/>
                <w:bCs/>
                <w:color w:val="0000FF"/>
                <w:szCs w:val="24"/>
                <w:lang w:eastAsia="x-none"/>
              </w:rPr>
              <w:t>,</w:t>
            </w:r>
            <w:r w:rsidR="002841B1" w:rsidRPr="00A23740">
              <w:rPr>
                <w:rFonts w:eastAsia="Times New Roman"/>
                <w:b/>
                <w:bCs/>
                <w:color w:val="0000FF"/>
                <w:szCs w:val="24"/>
                <w:lang w:eastAsia="x-none"/>
              </w:rPr>
              <w:t xml:space="preserve"> </w:t>
            </w:r>
            <w:r w:rsidR="002841B1" w:rsidRPr="002E2E40">
              <w:rPr>
                <w:rStyle w:val="KonuBalChar"/>
                <w:rFonts w:eastAsia="Calibri"/>
                <w:color w:val="0000FF"/>
              </w:rPr>
              <w:t>320 nci</w:t>
            </w:r>
            <w:r w:rsidRPr="00A23740">
              <w:rPr>
                <w:rFonts w:eastAsia="Times New Roman"/>
                <w:b/>
                <w:bCs/>
                <w:color w:val="0000FF"/>
                <w:szCs w:val="24"/>
                <w:lang w:eastAsia="x-none"/>
              </w:rPr>
              <w:t xml:space="preserve"> </w:t>
            </w:r>
            <w:r w:rsidR="003A3DCD" w:rsidRPr="00A23740">
              <w:rPr>
                <w:rFonts w:eastAsia="Times New Roman"/>
                <w:b/>
                <w:bCs/>
                <w:color w:val="0000FF"/>
                <w:szCs w:val="24"/>
                <w:lang w:eastAsia="x-none"/>
              </w:rPr>
              <w:t>ve</w:t>
            </w:r>
            <w:r w:rsidR="002841B1" w:rsidRPr="00A23740">
              <w:rPr>
                <w:rFonts w:eastAsia="Times New Roman"/>
                <w:b/>
                <w:bCs/>
                <w:color w:val="0000FF"/>
                <w:szCs w:val="24"/>
                <w:lang w:eastAsia="x-none"/>
              </w:rPr>
              <w:t xml:space="preserve"> </w:t>
            </w:r>
            <w:r w:rsidR="002841B1" w:rsidRPr="002E2E40">
              <w:rPr>
                <w:rStyle w:val="KonuBalChar"/>
                <w:rFonts w:eastAsia="Calibri"/>
                <w:color w:val="0000FF"/>
              </w:rPr>
              <w:t>327 nci</w:t>
            </w:r>
            <w:r w:rsidR="005661AD" w:rsidRPr="00A23740">
              <w:rPr>
                <w:rFonts w:eastAsia="Times New Roman"/>
                <w:b/>
                <w:bCs/>
                <w:color w:val="0000FF"/>
                <w:szCs w:val="24"/>
                <w:lang w:eastAsia="x-none"/>
              </w:rPr>
              <w:t xml:space="preserve"> </w:t>
            </w:r>
            <w:r w:rsidRPr="00A23740">
              <w:rPr>
                <w:rFonts w:eastAsia="Times New Roman"/>
                <w:b/>
                <w:bCs/>
                <w:color w:val="0000FF"/>
                <w:szCs w:val="24"/>
                <w:lang w:eastAsia="x-none"/>
              </w:rPr>
              <w:t>maddeler</w:t>
            </w:r>
            <w:r w:rsidR="002048C1" w:rsidRPr="002E2E40">
              <w:rPr>
                <w:rFonts w:eastAsia="Times New Roman"/>
                <w:b/>
                <w:bCs/>
                <w:color w:val="0000FF"/>
                <w:szCs w:val="24"/>
                <w:lang w:eastAsia="x-none"/>
              </w:rPr>
              <w:t>e</w:t>
            </w:r>
            <w:r w:rsidR="002048C1" w:rsidRPr="00A23740">
              <w:rPr>
                <w:rFonts w:eastAsia="Times New Roman"/>
                <w:b/>
                <w:bCs/>
                <w:color w:val="538135"/>
                <w:szCs w:val="24"/>
                <w:lang w:eastAsia="x-none"/>
              </w:rPr>
              <w:t xml:space="preserve"> </w:t>
            </w:r>
            <w:r w:rsidR="002048C1" w:rsidRPr="002E2E40">
              <w:rPr>
                <w:rFonts w:eastAsia="Times New Roman"/>
                <w:b/>
                <w:bCs/>
                <w:color w:val="0000FF"/>
                <w:szCs w:val="24"/>
                <w:lang w:eastAsia="x-none"/>
              </w:rPr>
              <w:t>uygun</w:t>
            </w:r>
            <w:r w:rsidR="002048C1" w:rsidRPr="00A23740">
              <w:rPr>
                <w:rFonts w:eastAsia="Times New Roman"/>
                <w:b/>
                <w:bCs/>
                <w:color w:val="538135"/>
                <w:szCs w:val="24"/>
                <w:lang w:eastAsia="x-none"/>
              </w:rPr>
              <w:t xml:space="preserve"> </w:t>
            </w:r>
            <w:r w:rsidR="002048C1" w:rsidRPr="002E2E40">
              <w:rPr>
                <w:rFonts w:eastAsia="Times New Roman"/>
                <w:b/>
                <w:bCs/>
                <w:color w:val="0000FF"/>
                <w:szCs w:val="24"/>
                <w:lang w:eastAsia="x-none"/>
              </w:rPr>
              <w:t>olarak</w:t>
            </w:r>
            <w:r w:rsidRPr="00A23740">
              <w:rPr>
                <w:rFonts w:eastAsia="Times New Roman"/>
                <w:b/>
                <w:bCs/>
                <w:color w:val="0000FF"/>
                <w:szCs w:val="24"/>
                <w:lang w:eastAsia="x-none"/>
              </w:rPr>
              <w:t>;</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a) Defteri tutulan malları aynen veya istenildiği zamanki kıymetiyle verme,</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b) Defter tutulurken hazır bulunma, malları hakkında iflas dairesine bilgi verme, mallarını iflas dairesine gösterme veya iflas dairesinin emrine hazır bulundurma,</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c) Kilitli yerleri ve depoları açma,</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ç) Tasfiyenin devamı süresince iflas idaresinin emri altında bulunma,</w:t>
            </w:r>
          </w:p>
          <w:p w:rsidR="00A043AD" w:rsidRPr="00A23740" w:rsidRDefault="00A043AD" w:rsidP="00750F08">
            <w:pPr>
              <w:tabs>
                <w:tab w:val="left" w:pos="567"/>
              </w:tabs>
              <w:rPr>
                <w:b/>
                <w:color w:val="0000FF"/>
                <w:szCs w:val="24"/>
                <w:lang w:eastAsia="x-none"/>
              </w:rPr>
            </w:pPr>
            <w:r w:rsidRPr="00A23740">
              <w:rPr>
                <w:b/>
                <w:color w:val="0000FF"/>
                <w:szCs w:val="24"/>
                <w:lang w:eastAsia="x-none"/>
              </w:rPr>
              <w:t xml:space="preserve">yükümlülüklerini yerine getirmezse iflas dairesi, </w:t>
            </w:r>
            <w:r w:rsidRPr="00A23740">
              <w:rPr>
                <w:rFonts w:eastAsia="Times New Roman"/>
                <w:color w:val="000000"/>
                <w:szCs w:val="24"/>
                <w:lang w:eastAsia="tr-TR"/>
              </w:rPr>
              <w:t xml:space="preserve">iflas idaresi </w:t>
            </w:r>
            <w:r w:rsidRPr="00A23740">
              <w:rPr>
                <w:rStyle w:val="MaviChar"/>
              </w:rPr>
              <w:t>veya</w:t>
            </w:r>
            <w:r w:rsidRPr="00A23740">
              <w:rPr>
                <w:rFonts w:eastAsia="Times New Roman"/>
                <w:color w:val="000000"/>
                <w:szCs w:val="24"/>
                <w:lang w:eastAsia="tr-TR"/>
              </w:rPr>
              <w:t xml:space="preserve"> </w:t>
            </w:r>
            <w:r w:rsidRPr="00A23740">
              <w:rPr>
                <w:b/>
                <w:color w:val="0000FF"/>
                <w:szCs w:val="24"/>
                <w:lang w:eastAsia="x-none"/>
              </w:rPr>
              <w:t>alacaklının şikâyeti</w:t>
            </w:r>
            <w:r w:rsidRPr="00A23740">
              <w:rPr>
                <w:rFonts w:eastAsia="Times New Roman"/>
                <w:color w:val="000000"/>
                <w:szCs w:val="24"/>
                <w:lang w:eastAsia="tr-TR"/>
              </w:rPr>
              <w:t xml:space="preserve"> üzerine</w:t>
            </w:r>
            <w:r w:rsidRPr="00A23740">
              <w:rPr>
                <w:rStyle w:val="MaviChar"/>
              </w:rPr>
              <w:t>,</w:t>
            </w:r>
            <w:r w:rsidRPr="00A23740">
              <w:rPr>
                <w:rFonts w:eastAsia="Times New Roman"/>
                <w:color w:val="000000"/>
                <w:szCs w:val="24"/>
                <w:lang w:eastAsia="tr-TR"/>
              </w:rPr>
              <w:t xml:space="preserve"> </w:t>
            </w:r>
            <w:r w:rsidRPr="00A23740">
              <w:rPr>
                <w:b/>
                <w:color w:val="0000FF"/>
                <w:szCs w:val="24"/>
                <w:lang w:eastAsia="x-none"/>
              </w:rPr>
              <w:t xml:space="preserve">on gün disiplin </w:t>
            </w:r>
            <w:r w:rsidR="001647D1" w:rsidRPr="002E2E40">
              <w:rPr>
                <w:b/>
                <w:color w:val="0000FF"/>
                <w:szCs w:val="24"/>
                <w:lang w:val="x-none" w:eastAsia="x-none"/>
              </w:rPr>
              <w:t>hapsiyle</w:t>
            </w:r>
            <w:r w:rsidRPr="00A23740">
              <w:rPr>
                <w:b/>
                <w:color w:val="0000FF"/>
                <w:szCs w:val="24"/>
                <w:lang w:eastAsia="x-none"/>
              </w:rPr>
              <w:t xml:space="preserve"> cezalandırılır.</w:t>
            </w:r>
          </w:p>
          <w:p w:rsidR="00A043AD" w:rsidRPr="00A23740" w:rsidRDefault="00A043AD" w:rsidP="00750F08">
            <w:pPr>
              <w:tabs>
                <w:tab w:val="left" w:pos="567"/>
              </w:tabs>
              <w:rPr>
                <w:b/>
                <w:color w:val="0000FF"/>
                <w:szCs w:val="24"/>
                <w:lang w:eastAsia="x-none"/>
              </w:rPr>
            </w:pPr>
          </w:p>
          <w:p w:rsidR="00A043AD" w:rsidRPr="00A23740" w:rsidRDefault="00A043AD" w:rsidP="00750F08">
            <w:pPr>
              <w:tabs>
                <w:tab w:val="left" w:pos="567"/>
              </w:tabs>
              <w:rPr>
                <w:b/>
                <w:color w:val="0000FF"/>
                <w:szCs w:val="24"/>
                <w:lang w:eastAsia="x-none"/>
              </w:rPr>
            </w:pPr>
            <w:r w:rsidRPr="00A23740">
              <w:rPr>
                <w:b/>
                <w:color w:val="0000FF"/>
                <w:szCs w:val="24"/>
                <w:lang w:eastAsia="x-none"/>
              </w:rPr>
              <w:t>(2) Birinci fıkranın (b) ve (c) bentlerinde gösterilen yükümlülüklerin müflisin birlikte yaşadığı ayırt etme gücüne sahip ergin kişiler; (b) bendinde gösterilen bilgi verme ve malvarlığını teslim yükümlülüğünü</w:t>
            </w:r>
            <w:r w:rsidRPr="00A23740">
              <w:rPr>
                <w:b/>
                <w:color w:val="0000FF"/>
                <w:szCs w:val="24"/>
              </w:rPr>
              <w:t xml:space="preserve"> müflisin malvarlığını elinde bulunduran</w:t>
            </w:r>
            <w:r w:rsidRPr="00A23740">
              <w:rPr>
                <w:b/>
                <w:color w:val="0000FF"/>
                <w:szCs w:val="24"/>
                <w:lang w:eastAsia="x-none"/>
              </w:rPr>
              <w:t xml:space="preserve"> üçüncü kişiler tarafından ihlal </w:t>
            </w:r>
            <w:r w:rsidR="00535D4A" w:rsidRPr="00A23740">
              <w:rPr>
                <w:b/>
                <w:color w:val="0000FF"/>
                <w:szCs w:val="24"/>
                <w:lang w:eastAsia="x-none"/>
              </w:rPr>
              <w:t>edilmesi hâ</w:t>
            </w:r>
            <w:r w:rsidRPr="00A23740">
              <w:rPr>
                <w:b/>
                <w:color w:val="0000FF"/>
                <w:szCs w:val="24"/>
                <w:lang w:eastAsia="x-none"/>
              </w:rPr>
              <w:t>linde bu kişilere de aynı ceza verilir.</w:t>
            </w:r>
          </w:p>
          <w:p w:rsidR="00A043AD" w:rsidRPr="00A23740" w:rsidRDefault="00A043AD" w:rsidP="00750F08">
            <w:pPr>
              <w:tabs>
                <w:tab w:val="left" w:pos="567"/>
              </w:tabs>
              <w:rPr>
                <w:b/>
                <w:color w:val="0000FF"/>
                <w:szCs w:val="24"/>
                <w:lang w:eastAsia="x-none"/>
              </w:rPr>
            </w:pPr>
          </w:p>
          <w:p w:rsidR="00A043AD" w:rsidRPr="00A23740" w:rsidRDefault="00A043AD" w:rsidP="00A06764">
            <w:pPr>
              <w:tabs>
                <w:tab w:val="left" w:pos="567"/>
              </w:tabs>
              <w:rPr>
                <w:lang w:val="x-none" w:eastAsia="x-none"/>
              </w:rPr>
            </w:pPr>
            <w:r w:rsidRPr="00A23740">
              <w:rPr>
                <w:b/>
                <w:color w:val="0000FF"/>
                <w:szCs w:val="24"/>
                <w:lang w:eastAsia="x-none"/>
              </w:rPr>
              <w:t xml:space="preserve">(3) </w:t>
            </w:r>
            <w:r w:rsidRPr="00A23740">
              <w:rPr>
                <w:b/>
                <w:color w:val="0000FF"/>
                <w:szCs w:val="24"/>
                <w:lang w:eastAsia="tr-TR"/>
              </w:rPr>
              <w:t>Yukarıda</w:t>
            </w:r>
            <w:r w:rsidRPr="00A23740">
              <w:rPr>
                <w:rFonts w:eastAsia="Times New Roman"/>
                <w:b/>
                <w:bCs/>
                <w:color w:val="000000"/>
                <w:szCs w:val="24"/>
                <w:lang w:eastAsia="tr-TR"/>
              </w:rPr>
              <w:t xml:space="preserve"> </w:t>
            </w:r>
            <w:r w:rsidRPr="00A23740">
              <w:rPr>
                <w:rFonts w:eastAsia="Times New Roman"/>
                <w:color w:val="000000"/>
                <w:szCs w:val="24"/>
                <w:lang w:eastAsia="tr-TR"/>
              </w:rPr>
              <w:t xml:space="preserve">belirtilen yükümlülüklerin yerine getirilmesi hâlinde, </w:t>
            </w:r>
            <w:r w:rsidRPr="00A23740">
              <w:rPr>
                <w:b/>
                <w:color w:val="0000FF"/>
                <w:szCs w:val="24"/>
                <w:lang w:eastAsia="tr-TR"/>
              </w:rPr>
              <w:t xml:space="preserve">dava veya </w:t>
            </w:r>
            <w:r w:rsidRPr="00A23740">
              <w:rPr>
                <w:rFonts w:eastAsia="Times New Roman"/>
                <w:color w:val="000000"/>
                <w:szCs w:val="24"/>
                <w:lang w:eastAsia="tr-TR"/>
              </w:rPr>
              <w:t>ceza düşer.</w:t>
            </w: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x-none"/>
              </w:rPr>
            </w:pPr>
            <w:r w:rsidRPr="00A23740">
              <w:rPr>
                <w:rFonts w:eastAsia="Times New Roman"/>
                <w:b/>
                <w:szCs w:val="24"/>
                <w:lang w:eastAsia="x-none"/>
              </w:rPr>
              <w:t>MADDE 517-</w:t>
            </w:r>
            <w:r w:rsidRPr="00A23740">
              <w:rPr>
                <w:rFonts w:eastAsia="Times New Roman"/>
                <w:szCs w:val="24"/>
                <w:lang w:eastAsia="x-none"/>
              </w:rPr>
              <w:t xml:space="preserve"> </w:t>
            </w:r>
            <w:r w:rsidRPr="00A23740">
              <w:rPr>
                <w:rFonts w:eastAsia="Arial Unicode MS"/>
                <w:iCs/>
                <w:szCs w:val="24"/>
                <w:lang w:eastAsia="tr-TR"/>
              </w:rPr>
              <w:t xml:space="preserve">Maddeyle, müflisin yükümlülüklerini ihlal etmesinin müeyyidesi düzenlenmektedir. </w:t>
            </w:r>
            <w:r w:rsidRPr="00A23740">
              <w:rPr>
                <w:rFonts w:eastAsia="Times New Roman"/>
                <w:szCs w:val="24"/>
                <w:lang w:eastAsia="x-none"/>
              </w:rPr>
              <w:t xml:space="preserve">Madde, 2004 sayılı Kanunun 337 nci maddesinin ikinci fıkrasına karşılık gelmektedir. </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 xml:space="preserve">Birinci fıkrayla, müflisin </w:t>
            </w:r>
            <w:r w:rsidR="00535D4A" w:rsidRPr="00A23740">
              <w:rPr>
                <w:rFonts w:eastAsia="Times New Roman"/>
                <w:szCs w:val="24"/>
                <w:lang w:eastAsia="x-none"/>
              </w:rPr>
              <w:t>bazı yükümlülüklerine bentler hâ</w:t>
            </w:r>
            <w:r w:rsidRPr="00A23740">
              <w:rPr>
                <w:rFonts w:eastAsia="Times New Roman"/>
                <w:szCs w:val="24"/>
                <w:lang w:eastAsia="x-none"/>
              </w:rPr>
              <w:t xml:space="preserve">linde yer verilerek bu </w:t>
            </w:r>
            <w:r w:rsidR="001A3CDE" w:rsidRPr="00A23740">
              <w:rPr>
                <w:rFonts w:eastAsia="Times New Roman"/>
                <w:szCs w:val="24"/>
                <w:lang w:eastAsia="x-none"/>
              </w:rPr>
              <w:t xml:space="preserve"> yükümlülüklerin </w:t>
            </w:r>
            <w:r w:rsidRPr="00A23740">
              <w:rPr>
                <w:rFonts w:eastAsia="Times New Roman"/>
                <w:szCs w:val="24"/>
                <w:lang w:eastAsia="x-none"/>
              </w:rPr>
              <w:t>yerine getirilmemesi yaptırıma bağlanmaktadır. Müflisin yükümlülükleri, 2004 sayılı Kanunun 337 nci maddesinde, 162, 209 ve 216 ncı maddelerine atıf yapılmak suretiyle belirlenmişken, fıkrada bu yüküml</w:t>
            </w:r>
            <w:r w:rsidR="00535D4A" w:rsidRPr="00A23740">
              <w:rPr>
                <w:rFonts w:eastAsia="Times New Roman"/>
                <w:szCs w:val="24"/>
                <w:lang w:eastAsia="x-none"/>
              </w:rPr>
              <w:t>ülükler, hükmün daha belirgin hâ</w:t>
            </w:r>
            <w:r w:rsidRPr="00A23740">
              <w:rPr>
                <w:rFonts w:eastAsia="Times New Roman"/>
                <w:szCs w:val="24"/>
                <w:lang w:eastAsia="x-none"/>
              </w:rPr>
              <w:t>le getirilmesi ve uygulama kolaylığının sa</w:t>
            </w:r>
            <w:r w:rsidR="00535D4A" w:rsidRPr="00A23740">
              <w:rPr>
                <w:rFonts w:eastAsia="Times New Roman"/>
                <w:szCs w:val="24"/>
                <w:lang w:eastAsia="x-none"/>
              </w:rPr>
              <w:t>ğlanması düşüncesiyle bentler hâ</w:t>
            </w:r>
            <w:r w:rsidRPr="00A23740">
              <w:rPr>
                <w:rFonts w:eastAsia="Times New Roman"/>
                <w:szCs w:val="24"/>
                <w:lang w:eastAsia="x-none"/>
              </w:rPr>
              <w:t>linde açıkça ifade edilmektedir.</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 xml:space="preserve">(a) bendinde, müflisin </w:t>
            </w:r>
            <w:r w:rsidRPr="00A23740">
              <w:t>defteri tutulan malları aynen veya istenildiği zamanki kıymetiyle vermesi yükümlülüğü yer almaktadır.</w:t>
            </w:r>
            <w:r w:rsidRPr="00A23740">
              <w:rPr>
                <w:rFonts w:eastAsia="Times New Roman"/>
                <w:b/>
                <w:bCs/>
                <w:color w:val="0000FF"/>
                <w:szCs w:val="24"/>
                <w:lang w:eastAsia="x-none"/>
              </w:rPr>
              <w:t xml:space="preserve"> </w:t>
            </w:r>
            <w:r w:rsidRPr="00A23740">
              <w:rPr>
                <w:rFonts w:eastAsia="Times New Roman"/>
                <w:szCs w:val="24"/>
                <w:lang w:eastAsia="x-none"/>
              </w:rPr>
              <w:t xml:space="preserve">Taslağın iflasa ilişkin “Defter tutulması” başlıklı </w:t>
            </w:r>
            <w:r w:rsidR="002435A3" w:rsidRPr="002E2E40">
              <w:rPr>
                <w:rStyle w:val="KonuBalChar"/>
                <w:rFonts w:eastAsia="ヒラギノ明朝 Pro W3"/>
                <w:b w:val="0"/>
                <w:color w:val="auto"/>
              </w:rPr>
              <w:t>280 inci</w:t>
            </w:r>
            <w:r w:rsidR="003A3DCD" w:rsidRPr="00A23740">
              <w:rPr>
                <w:rFonts w:eastAsia="Times New Roman"/>
                <w:b/>
                <w:bCs/>
                <w:color w:val="0000FF"/>
                <w:szCs w:val="24"/>
                <w:lang w:eastAsia="x-none"/>
              </w:rPr>
              <w:t xml:space="preserve"> </w:t>
            </w:r>
            <w:r w:rsidRPr="00A23740">
              <w:rPr>
                <w:rFonts w:eastAsia="Times New Roman"/>
                <w:szCs w:val="24"/>
                <w:lang w:eastAsia="x-none"/>
              </w:rPr>
              <w:t>maddesinin dördüncü fıkrası, 2004 sayılı Kanunun 162 nci maddesini karşılamaktadır. Anılan hükme göre, i</w:t>
            </w:r>
            <w:r w:rsidRPr="00A23740">
              <w:rPr>
                <w:rFonts w:eastAsia="Times New Roman"/>
                <w:bCs/>
                <w:szCs w:val="24"/>
                <w:lang w:eastAsia="x-none"/>
              </w:rPr>
              <w:t>flas dairesince borçlunun kendisinin veya ailesinin geçinmeleri için gerekli olduğundan borçluya bırakılmış olan m</w:t>
            </w:r>
            <w:r w:rsidRPr="00A23740">
              <w:rPr>
                <w:rFonts w:eastAsia="Times New Roman"/>
                <w:szCs w:val="24"/>
                <w:lang w:eastAsia="x-none"/>
              </w:rPr>
              <w:t>allar hariç olmak üzere, borçlu</w:t>
            </w:r>
            <w:r w:rsidR="001A3CDE" w:rsidRPr="00A23740">
              <w:rPr>
                <w:rFonts w:eastAsia="Times New Roman"/>
                <w:szCs w:val="24"/>
                <w:lang w:eastAsia="x-none"/>
              </w:rPr>
              <w:t>nun</w:t>
            </w:r>
            <w:r w:rsidRPr="00A23740">
              <w:rPr>
                <w:rFonts w:eastAsia="Times New Roman"/>
                <w:szCs w:val="24"/>
                <w:lang w:eastAsia="x-none"/>
              </w:rPr>
              <w:t xml:space="preserve"> defteri tutulan malları istenildiği zaman aynen veya değeri</w:t>
            </w:r>
            <w:r w:rsidR="001A3CDE" w:rsidRPr="00A23740">
              <w:rPr>
                <w:rFonts w:eastAsia="Times New Roman"/>
                <w:szCs w:val="24"/>
                <w:lang w:eastAsia="x-none"/>
              </w:rPr>
              <w:t>yle</w:t>
            </w:r>
            <w:r w:rsidRPr="00A23740">
              <w:rPr>
                <w:rFonts w:eastAsia="Times New Roman"/>
                <w:szCs w:val="24"/>
                <w:lang w:eastAsia="x-none"/>
              </w:rPr>
              <w:t xml:space="preserve"> iflas dairesine vermek zorunda olduğu, </w:t>
            </w:r>
            <w:r w:rsidR="00535D4A" w:rsidRPr="00A23740">
              <w:rPr>
                <w:rFonts w:eastAsia="Times New Roman"/>
                <w:szCs w:val="24"/>
                <w:lang w:eastAsia="x-none"/>
              </w:rPr>
              <w:t>aksi hâ</w:t>
            </w:r>
            <w:r w:rsidRPr="00A23740">
              <w:rPr>
                <w:rFonts w:eastAsia="Times New Roman"/>
                <w:szCs w:val="24"/>
                <w:lang w:eastAsia="x-none"/>
              </w:rPr>
              <w:t>lde cezai müeyyide açısından bu maddenin uygulanacağı hüküm altına alınmaktadır</w:t>
            </w:r>
            <w:r w:rsidRPr="002E2E40">
              <w:rPr>
                <w:rStyle w:val="YELChar"/>
                <w:b w:val="0"/>
                <w:color w:val="auto"/>
              </w:rPr>
              <w:t>;</w:t>
            </w:r>
            <w:r w:rsidRPr="00A23740">
              <w:rPr>
                <w:rFonts w:eastAsia="Times New Roman"/>
                <w:szCs w:val="24"/>
                <w:lang w:eastAsia="x-none"/>
              </w:rPr>
              <w:t xml:space="preserve"> (a) bendinde düzenlenen eylem bu yükümlülüğü karşılamaktadır. </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(b) bendinde, müflisin defter tutulurken hazır bulunma, malları hakkında iflas dairesine bilgi verme, mallarını iflas dairesine gösterme veya iflas dairesinin emrine hazır bulundurma yükümlülüğü yer almaktadır.</w:t>
            </w:r>
            <w:r w:rsidR="001A3CDE" w:rsidRPr="00A23740">
              <w:rPr>
                <w:rFonts w:eastAsia="Times New Roman"/>
                <w:szCs w:val="24"/>
                <w:lang w:eastAsia="x-none"/>
              </w:rPr>
              <w:t xml:space="preserve"> </w:t>
            </w:r>
            <w:r w:rsidRPr="00A23740">
              <w:rPr>
                <w:rFonts w:eastAsia="Times New Roman"/>
                <w:szCs w:val="24"/>
                <w:lang w:eastAsia="x-none"/>
              </w:rPr>
              <w:t xml:space="preserve">Taslağın “Müflisin görevleri” başlıklı </w:t>
            </w:r>
            <w:r w:rsidR="002435A3" w:rsidRPr="002E2E40">
              <w:rPr>
                <w:rFonts w:eastAsia="Times New Roman"/>
                <w:szCs w:val="24"/>
                <w:lang w:eastAsia="x-none"/>
              </w:rPr>
              <w:t>320</w:t>
            </w:r>
            <w:r w:rsidR="002435A3" w:rsidRPr="00A23740">
              <w:rPr>
                <w:rStyle w:val="KonuBalChar"/>
                <w:rFonts w:eastAsia="Calibri"/>
              </w:rPr>
              <w:t xml:space="preserve"> </w:t>
            </w:r>
            <w:r w:rsidR="002435A3" w:rsidRPr="002E2E40">
              <w:rPr>
                <w:rFonts w:eastAsia="Times New Roman"/>
                <w:szCs w:val="24"/>
                <w:lang w:eastAsia="x-none"/>
              </w:rPr>
              <w:t>nci</w:t>
            </w:r>
            <w:r w:rsidRPr="00A23740">
              <w:rPr>
                <w:rFonts w:eastAsia="Times New Roman"/>
                <w:szCs w:val="24"/>
                <w:lang w:eastAsia="x-none"/>
              </w:rPr>
              <w:t>, 2004 sayılı Kanunun 209 uncu maddesini karşılamaktadır. Bu maddeye göre müflis, defter tutulurken hazır bulunarak mallarını iflas dairesine göstermekle ve onun emrine hazır bulundurmakla yükümlüdür. Müflisi hazır bulundurmak mümkün olmazsa bu yükümlülüğün onunla bir arada yaşayan ayırt etme gücüne sahip ergin kişiler tarafından yerine getirilmesi gerekmektedir</w:t>
            </w:r>
            <w:r w:rsidR="002E2E40">
              <w:rPr>
                <w:rFonts w:eastAsia="Times New Roman"/>
                <w:szCs w:val="24"/>
                <w:lang w:eastAsia="x-none"/>
              </w:rPr>
              <w:t>;</w:t>
            </w:r>
            <w:r w:rsidRPr="00A23740">
              <w:rPr>
                <w:rFonts w:eastAsia="Times New Roman"/>
                <w:szCs w:val="24"/>
                <w:lang w:eastAsia="x-none"/>
              </w:rPr>
              <w:t xml:space="preserve"> (b) bendinde düzenlenen eylem bu yükümlülüğü karşılamaktadır.</w:t>
            </w:r>
          </w:p>
          <w:p w:rsidR="00A043AD" w:rsidRPr="00A23740" w:rsidRDefault="00A043AD" w:rsidP="00750F08">
            <w:pPr>
              <w:ind w:firstLine="709"/>
              <w:rPr>
                <w:rFonts w:eastAsia="Times New Roman"/>
                <w:b/>
                <w:bCs/>
                <w:color w:val="0000FF"/>
                <w:szCs w:val="24"/>
                <w:lang w:eastAsia="x-none"/>
              </w:rPr>
            </w:pPr>
            <w:r w:rsidRPr="00A23740">
              <w:rPr>
                <w:rFonts w:eastAsia="Times New Roman"/>
                <w:szCs w:val="24"/>
                <w:lang w:eastAsia="x-none"/>
              </w:rPr>
              <w:t xml:space="preserve">(c) bendinde, müflisin </w:t>
            </w:r>
            <w:r w:rsidRPr="00A23740">
              <w:t>kilitli yerleri ve depoları açma yükümlülüğü yer almaktadır.</w:t>
            </w:r>
            <w:r w:rsidRPr="00A23740">
              <w:rPr>
                <w:rFonts w:eastAsia="Times New Roman"/>
                <w:b/>
                <w:bCs/>
                <w:color w:val="0000FF"/>
                <w:szCs w:val="24"/>
                <w:lang w:eastAsia="x-none"/>
              </w:rPr>
              <w:t xml:space="preserve"> </w:t>
            </w:r>
            <w:r w:rsidRPr="00A23740">
              <w:t>Müflisin bu görevine</w:t>
            </w:r>
            <w:r w:rsidRPr="00A23740">
              <w:rPr>
                <w:rFonts w:eastAsia="Times New Roman"/>
                <w:b/>
                <w:bCs/>
                <w:color w:val="0000FF"/>
                <w:szCs w:val="24"/>
                <w:lang w:eastAsia="x-none"/>
              </w:rPr>
              <w:t xml:space="preserve"> </w:t>
            </w:r>
            <w:r w:rsidRPr="00A23740">
              <w:rPr>
                <w:rFonts w:eastAsia="Times New Roman"/>
                <w:szCs w:val="24"/>
                <w:lang w:eastAsia="x-none"/>
              </w:rPr>
              <w:t xml:space="preserve">Taslağın “Defter tutulması” başlıklı </w:t>
            </w:r>
            <w:r w:rsidR="002435A3" w:rsidRPr="002E2E40">
              <w:rPr>
                <w:rFonts w:eastAsia="Times New Roman"/>
                <w:szCs w:val="24"/>
                <w:lang w:eastAsia="x-none"/>
              </w:rPr>
              <w:t>280</w:t>
            </w:r>
            <w:r w:rsidR="002435A3" w:rsidRPr="002E2E40">
              <w:rPr>
                <w:rFonts w:eastAsia="Times New Roman"/>
                <w:b/>
                <w:bCs/>
                <w:szCs w:val="24"/>
              </w:rPr>
              <w:t xml:space="preserve"> </w:t>
            </w:r>
            <w:r w:rsidR="002435A3" w:rsidRPr="002E2E40">
              <w:rPr>
                <w:rFonts w:eastAsia="Times New Roman"/>
                <w:szCs w:val="24"/>
                <w:lang w:eastAsia="x-none"/>
              </w:rPr>
              <w:t>inci</w:t>
            </w:r>
            <w:r w:rsidR="002435A3" w:rsidRPr="00A23740">
              <w:rPr>
                <w:rFonts w:eastAsia="Times New Roman"/>
                <w:b/>
                <w:bCs/>
                <w:color w:val="0000FF"/>
                <w:szCs w:val="24"/>
                <w:lang w:eastAsia="x-none"/>
              </w:rPr>
              <w:t xml:space="preserve"> </w:t>
            </w:r>
            <w:r w:rsidRPr="00A23740">
              <w:rPr>
                <w:rFonts w:eastAsia="Times New Roman"/>
                <w:szCs w:val="24"/>
                <w:lang w:eastAsia="x-none"/>
              </w:rPr>
              <w:t xml:space="preserve">maddesinin üçüncü fıkrası ile “Müflisin görevleri” başlıklı </w:t>
            </w:r>
            <w:r w:rsidR="002435A3" w:rsidRPr="002E2E40">
              <w:rPr>
                <w:rFonts w:eastAsia="Times New Roman"/>
                <w:szCs w:val="24"/>
                <w:lang w:eastAsia="x-none"/>
              </w:rPr>
              <w:t>320</w:t>
            </w:r>
            <w:r w:rsidR="002435A3" w:rsidRPr="00A23740">
              <w:rPr>
                <w:rStyle w:val="KonuBalChar"/>
                <w:rFonts w:eastAsia="Calibri"/>
              </w:rPr>
              <w:t xml:space="preserve"> </w:t>
            </w:r>
            <w:r w:rsidR="002435A3" w:rsidRPr="002E2E40">
              <w:rPr>
                <w:rFonts w:eastAsia="Times New Roman"/>
                <w:szCs w:val="24"/>
                <w:lang w:eastAsia="x-none"/>
              </w:rPr>
              <w:t>nci</w:t>
            </w:r>
            <w:r w:rsidR="002435A3" w:rsidRPr="00A23740">
              <w:rPr>
                <w:rFonts w:eastAsia="Times New Roman"/>
                <w:b/>
                <w:bCs/>
                <w:color w:val="0000FF"/>
                <w:szCs w:val="24"/>
                <w:lang w:eastAsia="x-none"/>
              </w:rPr>
              <w:t xml:space="preserve"> </w:t>
            </w:r>
            <w:r w:rsidRPr="00A23740">
              <w:rPr>
                <w:rFonts w:eastAsia="Times New Roman"/>
                <w:szCs w:val="24"/>
                <w:lang w:eastAsia="x-none"/>
              </w:rPr>
              <w:t>maddesinin üçüncü fıkrasında yer verilmektedir. Bu hükümler uyarınca, müflis ve onunla bir arada yaşayan ayırt etme gücüne sahip ergin kişiler, iflas dairesinin talebiyle kilitli yerleri ve depoları açmak zorundadır</w:t>
            </w:r>
            <w:r w:rsidRPr="002E2E40">
              <w:rPr>
                <w:rFonts w:eastAsia="Times New Roman"/>
                <w:szCs w:val="24"/>
                <w:lang w:eastAsia="x-none"/>
              </w:rPr>
              <w:t>;</w:t>
            </w:r>
            <w:r w:rsidRPr="00A23740">
              <w:rPr>
                <w:rFonts w:eastAsia="Times New Roman"/>
                <w:szCs w:val="24"/>
                <w:lang w:eastAsia="x-none"/>
              </w:rPr>
              <w:t xml:space="preserve"> (c) bendinde düzenlenen eylem bu yükümlülüğü karşılamaktadır.</w:t>
            </w:r>
          </w:p>
          <w:p w:rsidR="00A043AD" w:rsidRPr="00A23740" w:rsidRDefault="00A043AD" w:rsidP="002E2E40">
            <w:pPr>
              <w:ind w:firstLine="709"/>
              <w:rPr>
                <w:rFonts w:eastAsia="Times New Roman"/>
                <w:szCs w:val="24"/>
                <w:lang w:eastAsia="x-none"/>
              </w:rPr>
            </w:pPr>
            <w:r w:rsidRPr="00A23740">
              <w:rPr>
                <w:rFonts w:eastAsia="Times New Roman"/>
                <w:szCs w:val="24"/>
                <w:lang w:eastAsia="x-none"/>
              </w:rPr>
              <w:t xml:space="preserve">(ç) bendinde, müflisin </w:t>
            </w:r>
            <w:r w:rsidRPr="00A23740">
              <w:t xml:space="preserve">tasfiyenin devamı süresince iflas idaresinin emri altında bulunması yükümlülüğü yer almaktadır. </w:t>
            </w:r>
            <w:r w:rsidRPr="00A23740">
              <w:rPr>
                <w:rFonts w:eastAsia="Times New Roman"/>
                <w:szCs w:val="24"/>
                <w:lang w:eastAsia="x-none"/>
              </w:rPr>
              <w:t xml:space="preserve">Taslağın “Müflisin yükümlülüğü” başlıklı </w:t>
            </w:r>
            <w:r w:rsidR="002435A3" w:rsidRPr="002E2E40">
              <w:rPr>
                <w:rFonts w:eastAsia="Times New Roman"/>
                <w:szCs w:val="24"/>
                <w:lang w:eastAsia="x-none"/>
              </w:rPr>
              <w:t>327</w:t>
            </w:r>
            <w:r w:rsidR="002435A3" w:rsidRPr="00A23740">
              <w:rPr>
                <w:rStyle w:val="KonuBalChar"/>
                <w:rFonts w:eastAsia="Calibri"/>
              </w:rPr>
              <w:t xml:space="preserve"> </w:t>
            </w:r>
            <w:r w:rsidR="002435A3" w:rsidRPr="002E2E40">
              <w:rPr>
                <w:rFonts w:eastAsia="Times New Roman"/>
                <w:szCs w:val="24"/>
                <w:lang w:eastAsia="x-none"/>
              </w:rPr>
              <w:t>nci</w:t>
            </w:r>
            <w:r w:rsidR="002435A3" w:rsidRPr="00A23740">
              <w:rPr>
                <w:rFonts w:eastAsia="Times New Roman"/>
                <w:b/>
                <w:bCs/>
                <w:color w:val="0000FF"/>
                <w:szCs w:val="24"/>
                <w:lang w:eastAsia="x-none"/>
              </w:rPr>
              <w:t xml:space="preserve"> </w:t>
            </w:r>
            <w:r w:rsidRPr="00A23740">
              <w:rPr>
                <w:rFonts w:eastAsia="Times New Roman"/>
                <w:szCs w:val="24"/>
                <w:lang w:eastAsia="x-none"/>
              </w:rPr>
              <w:t>maddesi, 2004 sayılı Kanunun 216 ncı maddesini karşılamaktadır. Kendisine ayrıca izin verilmeyen müflis, tasfiye süresince iflas idaresinin emri altında bulunmakla yükümlüdür. Bu husus, (ç) bendinde düzenlenmektedir.</w:t>
            </w:r>
          </w:p>
          <w:p w:rsidR="00A043AD" w:rsidRPr="00A23740" w:rsidRDefault="00A043AD" w:rsidP="002E2E40">
            <w:pPr>
              <w:ind w:firstLine="709"/>
              <w:rPr>
                <w:rFonts w:eastAsia="Times New Roman"/>
                <w:szCs w:val="24"/>
                <w:lang w:eastAsia="x-none"/>
              </w:rPr>
            </w:pPr>
            <w:r w:rsidRPr="00A23740">
              <w:rPr>
                <w:rFonts w:eastAsia="Times New Roman"/>
                <w:szCs w:val="24"/>
                <w:lang w:eastAsia="x-none"/>
              </w:rPr>
              <w:t xml:space="preserve">Birinci fıkrada belirtilen bu yükümlülüklerini </w:t>
            </w:r>
            <w:r w:rsidR="00B93DE7" w:rsidRPr="00A23740">
              <w:rPr>
                <w:rFonts w:eastAsia="Times New Roman"/>
                <w:szCs w:val="24"/>
                <w:lang w:eastAsia="x-none"/>
              </w:rPr>
              <w:t xml:space="preserve">müflisin </w:t>
            </w:r>
            <w:r w:rsidRPr="00A23740">
              <w:rPr>
                <w:rFonts w:eastAsia="Times New Roman"/>
                <w:szCs w:val="24"/>
                <w:lang w:eastAsia="x-none"/>
              </w:rPr>
              <w:t>yerine getirmemesi durumunda, iflas dairesi, iflas idaresi veya alacaklının şikâyeti üzerine, müflis on gün disiplin hapsi cezası</w:t>
            </w:r>
            <w:r w:rsidR="0005528D" w:rsidRPr="002E2E40">
              <w:rPr>
                <w:rFonts w:eastAsia="Times New Roman"/>
                <w:szCs w:val="24"/>
                <w:lang w:eastAsia="x-none"/>
              </w:rPr>
              <w:t>yla</w:t>
            </w:r>
            <w:r w:rsidRPr="00A23740">
              <w:rPr>
                <w:rFonts w:eastAsia="Times New Roman"/>
                <w:szCs w:val="24"/>
                <w:lang w:eastAsia="x-none"/>
              </w:rPr>
              <w:t xml:space="preserve"> cezalandırılır. Ayrıca, 2004 sayılı Kanundan farklı olarak hükümde, tereddütlerin giderilmesi amacıyla iflas organlarının şikâyet hakkının bulunduğu açıkça ifade edilmektedir. </w:t>
            </w:r>
          </w:p>
          <w:p w:rsidR="00A043AD" w:rsidRPr="00A23740" w:rsidRDefault="00A043AD" w:rsidP="002E2E40">
            <w:pPr>
              <w:ind w:firstLine="709"/>
              <w:rPr>
                <w:rFonts w:eastAsia="Times New Roman"/>
                <w:szCs w:val="24"/>
                <w:lang w:eastAsia="x-none"/>
              </w:rPr>
            </w:pPr>
            <w:r w:rsidRPr="00A23740">
              <w:rPr>
                <w:rFonts w:eastAsia="Times New Roman"/>
                <w:szCs w:val="24"/>
                <w:lang w:eastAsia="x-none"/>
              </w:rPr>
              <w:t xml:space="preserve">İkinci fıkrayla, diğer kişiler hakkında uygulanacak yaptırım düzenlenmektedir. Hükme göre, birinci fıkranın (b) ve (c) bentlerinde gösterilen yükümlülüklerin müflisin birlikte yaşadığı </w:t>
            </w:r>
            <w:r w:rsidR="00B93DE7" w:rsidRPr="00A23740">
              <w:rPr>
                <w:rFonts w:eastAsia="Times New Roman"/>
                <w:szCs w:val="24"/>
                <w:lang w:eastAsia="x-none"/>
              </w:rPr>
              <w:t xml:space="preserve">ve </w:t>
            </w:r>
            <w:r w:rsidRPr="00A23740">
              <w:rPr>
                <w:rFonts w:eastAsia="Times New Roman"/>
                <w:szCs w:val="24"/>
                <w:lang w:eastAsia="x-none"/>
              </w:rPr>
              <w:t xml:space="preserve">ayırt etme gücüne sahip </w:t>
            </w:r>
            <w:r w:rsidR="00B93DE7" w:rsidRPr="00A23740">
              <w:rPr>
                <w:rFonts w:eastAsia="Times New Roman"/>
                <w:szCs w:val="24"/>
                <w:lang w:eastAsia="x-none"/>
              </w:rPr>
              <w:t xml:space="preserve">olan </w:t>
            </w:r>
            <w:r w:rsidRPr="00A23740">
              <w:rPr>
                <w:rFonts w:eastAsia="Times New Roman"/>
                <w:szCs w:val="24"/>
                <w:lang w:eastAsia="x-none"/>
              </w:rPr>
              <w:t>ergin kişiler; (b) bendinde gösterilen bilgi verme ve malvarlığını teslim yükümlülüğünü</w:t>
            </w:r>
            <w:r w:rsidR="00B93DE7" w:rsidRPr="00A23740">
              <w:rPr>
                <w:rFonts w:eastAsia="Times New Roman"/>
                <w:szCs w:val="24"/>
                <w:lang w:eastAsia="x-none"/>
              </w:rPr>
              <w:t>n</w:t>
            </w:r>
            <w:r w:rsidRPr="00A23740">
              <w:rPr>
                <w:rFonts w:eastAsia="Times New Roman"/>
                <w:szCs w:val="24"/>
                <w:lang w:eastAsia="x-none"/>
              </w:rPr>
              <w:t xml:space="preserve"> müflisin malvarlığını elinde bulunduran üçüncü kişi</w:t>
            </w:r>
            <w:r w:rsidR="00535D4A" w:rsidRPr="00A23740">
              <w:rPr>
                <w:rFonts w:eastAsia="Times New Roman"/>
                <w:szCs w:val="24"/>
                <w:lang w:eastAsia="x-none"/>
              </w:rPr>
              <w:t>ler tarafından ihlal edilmesi hâ</w:t>
            </w:r>
            <w:r w:rsidRPr="00A23740">
              <w:rPr>
                <w:rFonts w:eastAsia="Times New Roman"/>
                <w:szCs w:val="24"/>
                <w:lang w:eastAsia="x-none"/>
              </w:rPr>
              <w:t>linde</w:t>
            </w:r>
            <w:r w:rsidR="00B93DE7" w:rsidRPr="00A23740">
              <w:rPr>
                <w:rFonts w:eastAsia="Times New Roman"/>
                <w:szCs w:val="24"/>
                <w:lang w:eastAsia="x-none"/>
              </w:rPr>
              <w:t>,</w:t>
            </w:r>
            <w:r w:rsidRPr="00A23740">
              <w:rPr>
                <w:rFonts w:eastAsia="Times New Roman"/>
                <w:szCs w:val="24"/>
                <w:lang w:eastAsia="x-none"/>
              </w:rPr>
              <w:t xml:space="preserve"> </w:t>
            </w:r>
            <w:r w:rsidR="00B93DE7" w:rsidRPr="00A23740">
              <w:rPr>
                <w:rFonts w:eastAsia="Times New Roman"/>
                <w:szCs w:val="24"/>
                <w:lang w:eastAsia="x-none"/>
              </w:rPr>
              <w:t xml:space="preserve">bütün </w:t>
            </w:r>
            <w:r w:rsidRPr="00A23740">
              <w:rPr>
                <w:rFonts w:eastAsia="Times New Roman"/>
                <w:szCs w:val="24"/>
                <w:lang w:eastAsia="x-none"/>
              </w:rPr>
              <w:t xml:space="preserve">bu kişilere de </w:t>
            </w:r>
            <w:r w:rsidRPr="002E2E40">
              <w:rPr>
                <w:rFonts w:eastAsia="Times New Roman"/>
                <w:szCs w:val="24"/>
                <w:lang w:eastAsia="x-none"/>
              </w:rPr>
              <w:t>aynı</w:t>
            </w:r>
            <w:r w:rsidRPr="002E2E40">
              <w:rPr>
                <w:rFonts w:eastAsia="Times New Roman"/>
                <w:b/>
                <w:lang w:eastAsia="x-none"/>
              </w:rPr>
              <w:t xml:space="preserve"> </w:t>
            </w:r>
            <w:r w:rsidRPr="002E2E40">
              <w:rPr>
                <w:rFonts w:eastAsia="Times New Roman"/>
                <w:szCs w:val="24"/>
                <w:lang w:eastAsia="x-none"/>
              </w:rPr>
              <w:t>şekilde</w:t>
            </w:r>
            <w:r w:rsidRPr="00A23740">
              <w:rPr>
                <w:rFonts w:eastAsia="Times New Roman"/>
                <w:szCs w:val="24"/>
                <w:lang w:eastAsia="x-none"/>
              </w:rPr>
              <w:t xml:space="preserve"> </w:t>
            </w:r>
            <w:r w:rsidRPr="002E2E40">
              <w:rPr>
                <w:rFonts w:eastAsia="Times New Roman"/>
                <w:szCs w:val="24"/>
                <w:lang w:eastAsia="x-none"/>
              </w:rPr>
              <w:t>on</w:t>
            </w:r>
            <w:r w:rsidRPr="00A23740">
              <w:rPr>
                <w:rFonts w:eastAsia="Times New Roman"/>
                <w:szCs w:val="24"/>
                <w:lang w:eastAsia="x-none"/>
              </w:rPr>
              <w:t xml:space="preserve"> gün disiplin hapsi verilir. Nitekim, Taslağın “Müflisin görevleri” başlıklı </w:t>
            </w:r>
            <w:r w:rsidR="002435A3" w:rsidRPr="002E2E40">
              <w:rPr>
                <w:rFonts w:eastAsia="Times New Roman"/>
                <w:szCs w:val="24"/>
                <w:lang w:eastAsia="x-none"/>
              </w:rPr>
              <w:t>320</w:t>
            </w:r>
            <w:r w:rsidR="002435A3" w:rsidRPr="00A23740">
              <w:rPr>
                <w:rStyle w:val="KonuBalChar"/>
                <w:rFonts w:eastAsia="Calibri"/>
              </w:rPr>
              <w:t xml:space="preserve"> </w:t>
            </w:r>
            <w:r w:rsidR="002435A3" w:rsidRPr="002E2E40">
              <w:rPr>
                <w:rFonts w:eastAsia="Times New Roman"/>
                <w:szCs w:val="24"/>
                <w:lang w:eastAsia="x-none"/>
              </w:rPr>
              <w:t>nci</w:t>
            </w:r>
            <w:r w:rsidR="002435A3" w:rsidRPr="00A23740">
              <w:rPr>
                <w:rFonts w:eastAsia="Times New Roman"/>
                <w:b/>
                <w:bCs/>
                <w:color w:val="0000FF"/>
                <w:szCs w:val="24"/>
                <w:lang w:eastAsia="x-none"/>
              </w:rPr>
              <w:t xml:space="preserve"> </w:t>
            </w:r>
            <w:r w:rsidRPr="00A23740">
              <w:rPr>
                <w:rFonts w:eastAsia="Times New Roman"/>
                <w:szCs w:val="24"/>
                <w:lang w:eastAsia="x-none"/>
              </w:rPr>
              <w:t xml:space="preserve">maddesinde, müflisle bir arada yaşayan </w:t>
            </w:r>
            <w:r w:rsidR="00B93DE7" w:rsidRPr="00A23740">
              <w:rPr>
                <w:rFonts w:eastAsia="Times New Roman"/>
                <w:szCs w:val="24"/>
                <w:lang w:eastAsia="x-none"/>
              </w:rPr>
              <w:t xml:space="preserve">ve </w:t>
            </w:r>
            <w:r w:rsidRPr="00A23740">
              <w:rPr>
                <w:rFonts w:eastAsia="Times New Roman"/>
                <w:szCs w:val="24"/>
                <w:lang w:eastAsia="x-none"/>
              </w:rPr>
              <w:t xml:space="preserve">ayırt etme gücüne sahip </w:t>
            </w:r>
            <w:r w:rsidR="00B93DE7" w:rsidRPr="00A23740">
              <w:rPr>
                <w:rFonts w:eastAsia="Times New Roman"/>
                <w:szCs w:val="24"/>
                <w:lang w:eastAsia="x-none"/>
              </w:rPr>
              <w:t xml:space="preserve">olan </w:t>
            </w:r>
            <w:r w:rsidRPr="00A23740">
              <w:rPr>
                <w:rFonts w:eastAsia="Times New Roman"/>
                <w:szCs w:val="24"/>
                <w:lang w:eastAsia="x-none"/>
              </w:rPr>
              <w:t>ergin kişiler ile müflisin malvarlığı</w:t>
            </w:r>
            <w:r w:rsidRPr="002E2E40">
              <w:rPr>
                <w:rFonts w:eastAsia="Times New Roman"/>
                <w:szCs w:val="24"/>
                <w:lang w:eastAsia="x-none"/>
              </w:rPr>
              <w:t>nı</w:t>
            </w:r>
            <w:r w:rsidRPr="00A23740">
              <w:rPr>
                <w:rFonts w:eastAsia="Times New Roman"/>
                <w:szCs w:val="24"/>
                <w:lang w:eastAsia="x-none"/>
              </w:rPr>
              <w:t xml:space="preserve"> elinde bulunduran üçüncü kişilere de anılan yükümlülüklerin iflas dairesi tarafından ihtar edileceği düzenlenmektedir.</w:t>
            </w:r>
          </w:p>
          <w:p w:rsidR="00A043AD" w:rsidRPr="00A23740" w:rsidRDefault="00A043AD" w:rsidP="00750F08">
            <w:pPr>
              <w:tabs>
                <w:tab w:val="left" w:pos="567"/>
              </w:tabs>
              <w:ind w:firstLine="709"/>
              <w:rPr>
                <w:rFonts w:eastAsia="Times New Roman"/>
                <w:szCs w:val="24"/>
                <w:lang w:eastAsia="x-none"/>
              </w:rPr>
            </w:pPr>
            <w:r w:rsidRPr="00A23740">
              <w:rPr>
                <w:rFonts w:eastAsia="Times New Roman"/>
                <w:szCs w:val="24"/>
                <w:lang w:eastAsia="x-none"/>
              </w:rPr>
              <w:t>Üçüncü fıkrayla, birinci ve ikinci fıkrada belirtilen yüküm</w:t>
            </w:r>
            <w:r w:rsidR="00535D4A" w:rsidRPr="00A23740">
              <w:rPr>
                <w:rFonts w:eastAsia="Times New Roman"/>
                <w:szCs w:val="24"/>
                <w:lang w:eastAsia="x-none"/>
              </w:rPr>
              <w:t>lülüklerin yerine getirilmesi hâ</w:t>
            </w:r>
            <w:r w:rsidRPr="00A23740">
              <w:rPr>
                <w:rFonts w:eastAsia="Times New Roman"/>
                <w:szCs w:val="24"/>
                <w:lang w:eastAsia="x-none"/>
              </w:rPr>
              <w:t>linde dava veya hükmedilen disiplin hapsi cezasının düşeceği kabul edilmektedir. Zira bu maddedeki müeyyidenin amacı</w:t>
            </w:r>
            <w:r w:rsidRPr="00AE5B12">
              <w:t xml:space="preserve">, </w:t>
            </w:r>
            <w:r w:rsidRPr="00A23740">
              <w:rPr>
                <w:rFonts w:eastAsia="Times New Roman"/>
                <w:szCs w:val="24"/>
                <w:lang w:eastAsia="x-none"/>
              </w:rPr>
              <w:t>yükümlülüğün yerine getirilmesini sağlamaktır. Bu nedenle yükümlülük yerine getirildiğinde, diğer bir ifadeyle amaç hasıl olduğunda, dava veya cezanın düşmesi hem iflas sistemine hem de ceza adaletine uygun düşmektedir.</w:t>
            </w:r>
          </w:p>
          <w:p w:rsidR="00A043AD" w:rsidRDefault="00A043AD" w:rsidP="002A27F8">
            <w:pPr>
              <w:rPr>
                <w:rFonts w:eastAsia="Arial Unicode MS"/>
                <w:b/>
                <w:iCs/>
                <w:szCs w:val="24"/>
                <w:lang w:eastAsia="tr-TR"/>
              </w:rPr>
            </w:pPr>
          </w:p>
          <w:p w:rsidR="009D25DD" w:rsidRPr="00A23740" w:rsidRDefault="009D25DD" w:rsidP="002A27F8">
            <w:pPr>
              <w:rPr>
                <w:rFonts w:eastAsia="Arial Unicode MS"/>
                <w:b/>
                <w:iCs/>
                <w:szCs w:val="24"/>
                <w:lang w:eastAsia="tr-TR"/>
              </w:rPr>
            </w:pPr>
          </w:p>
        </w:tc>
      </w:tr>
      <w:tr w:rsidR="00A043AD" w:rsidRPr="00A23740" w:rsidTr="00750F08">
        <w:tc>
          <w:tcPr>
            <w:tcW w:w="2500" w:type="pct"/>
          </w:tcPr>
          <w:p w:rsidR="00A043AD" w:rsidRPr="00A23740" w:rsidRDefault="00A043AD" w:rsidP="00750F08">
            <w:pPr>
              <w:jc w:val="left"/>
              <w:rPr>
                <w:rFonts w:eastAsia="Times New Roman"/>
                <w:b/>
                <w:szCs w:val="24"/>
                <w:lang w:eastAsia="tr-TR"/>
              </w:rPr>
            </w:pPr>
          </w:p>
          <w:p w:rsidR="00A043AD" w:rsidRPr="00A23740" w:rsidRDefault="00A043AD" w:rsidP="00750F08">
            <w:pPr>
              <w:jc w:val="left"/>
              <w:rPr>
                <w:rFonts w:eastAsia="Times New Roman"/>
                <w:b/>
                <w:szCs w:val="24"/>
                <w:lang w:eastAsia="tr-TR"/>
              </w:rPr>
            </w:pPr>
          </w:p>
          <w:p w:rsidR="00A043AD" w:rsidRPr="00A23740" w:rsidRDefault="00A043AD" w:rsidP="00750F08">
            <w:pPr>
              <w:jc w:val="left"/>
              <w:rPr>
                <w:rFonts w:eastAsia="Times New Roman"/>
                <w:b/>
                <w:szCs w:val="24"/>
                <w:lang w:eastAsia="tr-TR"/>
              </w:rPr>
            </w:pPr>
          </w:p>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Hakikata muhalif</w:t>
            </w:r>
            <w:r w:rsidRPr="00A23740">
              <w:rPr>
                <w:rFonts w:eastAsia="Times New Roman"/>
                <w:szCs w:val="24"/>
                <w:lang w:eastAsia="tr-TR"/>
              </w:rPr>
              <w:t xml:space="preserve"> beyanda bulun</w:t>
            </w:r>
            <w:r w:rsidRPr="00A23740">
              <w:rPr>
                <w:rFonts w:eastAsia="Times New Roman"/>
                <w:b/>
                <w:strike/>
                <w:color w:val="FF0000"/>
                <w:szCs w:val="24"/>
                <w:lang w:eastAsia="x-none"/>
              </w:rPr>
              <w:t>anların cezası:</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338</w:t>
            </w:r>
            <w:r w:rsidRPr="00A23740">
              <w:rPr>
                <w:rFonts w:eastAsia="Times New Roman"/>
                <w:b/>
                <w:szCs w:val="24"/>
                <w:lang w:eastAsia="tr-TR"/>
              </w:rPr>
              <w:t xml:space="preserve"> </w:t>
            </w:r>
            <w:r w:rsidRPr="00A23740">
              <w:rPr>
                <w:b/>
                <w:bCs/>
                <w:strike/>
                <w:color w:val="FF0000"/>
                <w:szCs w:val="24"/>
              </w:rPr>
              <w:t>– (1)</w:t>
            </w:r>
            <w:r w:rsidRPr="00A23740">
              <w:rPr>
                <w:rFonts w:eastAsia="Times New Roman"/>
                <w:b/>
                <w:szCs w:val="24"/>
                <w:lang w:eastAsia="tr-TR"/>
              </w:rPr>
              <w:t xml:space="preserve"> </w:t>
            </w:r>
            <w:r w:rsidRPr="00A23740">
              <w:rPr>
                <w:rFonts w:eastAsia="Times New Roman"/>
                <w:b/>
                <w:strike/>
                <w:color w:val="FF0000"/>
                <w:szCs w:val="24"/>
                <w:lang w:eastAsia="x-none"/>
              </w:rPr>
              <w:t>(Değişik: 31/5/2005-5358/9 md.)</w:t>
            </w:r>
            <w:r w:rsidRPr="00A23740">
              <w:rPr>
                <w:rFonts w:eastAsia="Times New Roman"/>
                <w:szCs w:val="24"/>
                <w:lang w:eastAsia="tr-TR"/>
              </w:rPr>
              <w:t xml:space="preserve"> Bu Kanuna göre istenen beyanı, </w:t>
            </w:r>
            <w:r w:rsidRPr="00A23740">
              <w:rPr>
                <w:rFonts w:eastAsia="Times New Roman"/>
                <w:b/>
                <w:strike/>
                <w:color w:val="FF0000"/>
                <w:szCs w:val="24"/>
                <w:lang w:eastAsia="x-none"/>
              </w:rPr>
              <w:t>hakikate</w:t>
            </w:r>
            <w:r w:rsidRPr="00A23740">
              <w:rPr>
                <w:rFonts w:eastAsia="Times New Roman"/>
                <w:szCs w:val="24"/>
                <w:lang w:eastAsia="tr-TR"/>
              </w:rPr>
              <w:t xml:space="preserve"> aykırı surette yapan kimse, alacaklının şikâyeti üzerine, üç aydan bir yıla kadar hapis cezası ile cezalandırılır.</w:t>
            </w:r>
          </w:p>
          <w:p w:rsidR="00A043AD" w:rsidRPr="00A23740" w:rsidRDefault="00A043AD" w:rsidP="00750F08">
            <w:pPr>
              <w:tabs>
                <w:tab w:val="left" w:pos="567"/>
              </w:tabs>
              <w:rPr>
                <w:rFonts w:eastAsia="Times New Roman"/>
                <w:b/>
                <w:bCs/>
                <w:color w:val="FF0000"/>
                <w:szCs w:val="24"/>
                <w:lang w:val="x-none" w:eastAsia="x-none"/>
              </w:rPr>
            </w:pPr>
            <w:r w:rsidRPr="00A23740">
              <w:rPr>
                <w:rFonts w:eastAsia="Times New Roman"/>
                <w:b/>
                <w:bCs/>
                <w:color w:val="FF0000"/>
                <w:szCs w:val="24"/>
                <w:lang w:val="x-none" w:eastAsia="x-none"/>
              </w:rPr>
              <w:t>…</w:t>
            </w:r>
          </w:p>
          <w:p w:rsidR="001C3ADB" w:rsidRPr="00A23740" w:rsidRDefault="001C3ADB" w:rsidP="00750F08">
            <w:pPr>
              <w:tabs>
                <w:tab w:val="left" w:pos="567"/>
              </w:tabs>
              <w:rPr>
                <w:rFonts w:eastAsia="Times New Roman"/>
                <w:b/>
                <w:bCs/>
                <w:color w:val="FF0000"/>
                <w:szCs w:val="24"/>
                <w:lang w:val="x-none" w:eastAsia="x-none"/>
              </w:rPr>
            </w:pPr>
          </w:p>
        </w:tc>
        <w:tc>
          <w:tcPr>
            <w:tcW w:w="2500" w:type="pct"/>
          </w:tcPr>
          <w:p w:rsidR="00A043AD" w:rsidRPr="00A23740" w:rsidRDefault="00A043AD" w:rsidP="00750F08">
            <w:pPr>
              <w:jc w:val="center"/>
              <w:rPr>
                <w:rFonts w:eastAsia="Times New Roman"/>
                <w:b/>
                <w:bCs/>
                <w:color w:val="0000FF"/>
                <w:szCs w:val="24"/>
                <w:lang w:eastAsia="x-none"/>
              </w:rPr>
            </w:pPr>
            <w:r w:rsidRPr="00A23740">
              <w:rPr>
                <w:rFonts w:eastAsia="Times New Roman"/>
                <w:b/>
                <w:bCs/>
                <w:color w:val="0000FF"/>
                <w:szCs w:val="24"/>
                <w:lang w:eastAsia="x-none"/>
              </w:rPr>
              <w:t>İKİNCİ BÖLÜM</w:t>
            </w:r>
          </w:p>
          <w:p w:rsidR="00A043AD" w:rsidRPr="002E2E40" w:rsidRDefault="00A043AD" w:rsidP="00750F08">
            <w:pPr>
              <w:jc w:val="center"/>
              <w:rPr>
                <w:rFonts w:eastAsia="Times New Roman"/>
                <w:b/>
                <w:bCs/>
                <w:color w:val="0000FF"/>
                <w:szCs w:val="24"/>
                <w:lang w:eastAsia="x-none"/>
              </w:rPr>
            </w:pPr>
            <w:r w:rsidRPr="002E2E40">
              <w:rPr>
                <w:rStyle w:val="YELChar"/>
                <w:color w:val="0000FF"/>
              </w:rPr>
              <w:t>Cebrî İcra</w:t>
            </w:r>
            <w:r w:rsidRPr="002E2E40">
              <w:rPr>
                <w:rFonts w:eastAsia="Times New Roman"/>
                <w:b/>
                <w:bCs/>
                <w:color w:val="0000FF"/>
                <w:szCs w:val="24"/>
                <w:lang w:eastAsia="x-none"/>
              </w:rPr>
              <w:t xml:space="preserve"> Suçlar</w:t>
            </w:r>
            <w:r w:rsidRPr="002E2E40">
              <w:rPr>
                <w:rStyle w:val="YELChar"/>
                <w:color w:val="0000FF"/>
              </w:rPr>
              <w:t>ı</w:t>
            </w:r>
          </w:p>
          <w:p w:rsidR="00A043AD" w:rsidRPr="00A23740" w:rsidRDefault="00A043AD" w:rsidP="00750F08">
            <w:pPr>
              <w:tabs>
                <w:tab w:val="left" w:pos="567"/>
              </w:tabs>
              <w:rPr>
                <w:b/>
                <w:bCs/>
                <w:color w:val="0000FF"/>
                <w:szCs w:val="24"/>
                <w:lang w:eastAsia="x-none"/>
              </w:rPr>
            </w:pPr>
          </w:p>
          <w:p w:rsidR="00A043AD" w:rsidRPr="00A23740" w:rsidRDefault="00A043AD" w:rsidP="00750F08">
            <w:pPr>
              <w:tabs>
                <w:tab w:val="left" w:pos="567"/>
              </w:tabs>
              <w:rPr>
                <w:b/>
                <w:bCs/>
                <w:color w:val="FF0066"/>
                <w:szCs w:val="24"/>
                <w:lang w:eastAsia="x-none"/>
              </w:rPr>
            </w:pPr>
            <w:r w:rsidRPr="00A23740">
              <w:rPr>
                <w:rFonts w:eastAsia="Times New Roman"/>
                <w:b/>
                <w:bCs/>
                <w:color w:val="0000FF"/>
                <w:szCs w:val="24"/>
                <w:lang w:eastAsia="x-none"/>
              </w:rPr>
              <w:t>Gerçeğe aykırı</w:t>
            </w:r>
            <w:r w:rsidRPr="00A23740">
              <w:rPr>
                <w:rFonts w:eastAsia="Times New Roman"/>
                <w:szCs w:val="24"/>
                <w:lang w:eastAsia="tr-TR"/>
              </w:rPr>
              <w:t xml:space="preserve"> </w:t>
            </w:r>
            <w:r w:rsidRPr="00A23740">
              <w:rPr>
                <w:rFonts w:eastAsia="Times New Roman"/>
                <w:b/>
                <w:szCs w:val="24"/>
                <w:lang w:eastAsia="tr-TR"/>
              </w:rPr>
              <w:t>beyanda bulun</w:t>
            </w:r>
            <w:r w:rsidRPr="00A23740">
              <w:rPr>
                <w:rFonts w:eastAsia="Times New Roman"/>
                <w:b/>
                <w:bCs/>
                <w:color w:val="0000FF"/>
                <w:szCs w:val="24"/>
                <w:lang w:eastAsia="x-none"/>
              </w:rPr>
              <w:t>ma</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MADDE 518- (1)</w:t>
            </w:r>
            <w:r w:rsidRPr="00A23740">
              <w:rPr>
                <w:rFonts w:eastAsia="Times New Roman"/>
                <w:b/>
                <w:szCs w:val="24"/>
                <w:lang w:eastAsia="tr-TR"/>
              </w:rPr>
              <w:t xml:space="preserve"> </w:t>
            </w:r>
            <w:r w:rsidRPr="00A23740">
              <w:rPr>
                <w:rFonts w:eastAsia="Times New Roman"/>
                <w:szCs w:val="24"/>
                <w:lang w:eastAsia="tr-TR"/>
              </w:rPr>
              <w:t xml:space="preserve">Bu Kanuna göre istenen beyanı, </w:t>
            </w:r>
            <w:r w:rsidRPr="00A23740">
              <w:rPr>
                <w:rFonts w:eastAsia="Times New Roman"/>
                <w:b/>
                <w:bCs/>
                <w:color w:val="0000FF"/>
                <w:szCs w:val="24"/>
                <w:lang w:eastAsia="x-none"/>
              </w:rPr>
              <w:t>gerçeğe</w:t>
            </w:r>
            <w:r w:rsidRPr="00A23740">
              <w:rPr>
                <w:rFonts w:eastAsia="Times New Roman"/>
                <w:szCs w:val="24"/>
                <w:lang w:eastAsia="tr-TR"/>
              </w:rPr>
              <w:t xml:space="preserve"> aykırı surette yapan kimse, alacaklının şikâyeti üzerine, üç aydan bir yıla kadar hapis </w:t>
            </w:r>
            <w:r w:rsidRPr="00A23740">
              <w:rPr>
                <w:rStyle w:val="MaviChar"/>
              </w:rPr>
              <w:t>ve bin güne kadar adli para</w:t>
            </w:r>
            <w:r w:rsidRPr="00A23740">
              <w:rPr>
                <w:rFonts w:eastAsia="Times New Roman"/>
                <w:szCs w:val="24"/>
                <w:lang w:eastAsia="tr-TR"/>
              </w:rPr>
              <w:t xml:space="preserve"> cezası</w:t>
            </w:r>
            <w:r w:rsidR="002048C1" w:rsidRPr="002E2E40">
              <w:rPr>
                <w:rFonts w:eastAsia="Times New Roman"/>
                <w:b/>
                <w:color w:val="0000FF"/>
                <w:szCs w:val="24"/>
                <w:lang w:eastAsia="tr-TR"/>
              </w:rPr>
              <w:t>yla</w:t>
            </w:r>
            <w:r w:rsidRPr="00A23740">
              <w:rPr>
                <w:rFonts w:eastAsia="Times New Roman"/>
                <w:szCs w:val="24"/>
                <w:lang w:eastAsia="tr-TR"/>
              </w:rPr>
              <w:t xml:space="preserve"> cezalandırılır.</w:t>
            </w:r>
          </w:p>
          <w:p w:rsidR="00A043AD" w:rsidRPr="00A23740" w:rsidRDefault="00A043AD" w:rsidP="001C3ADB">
            <w:pPr>
              <w:pStyle w:val="KIRMIZI"/>
              <w:rPr>
                <w:b w:val="0"/>
                <w:lang w:eastAsia="tr-TR"/>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Arial Unicode MS"/>
                <w:b/>
                <w:iCs/>
                <w:szCs w:val="24"/>
                <w:lang w:eastAsia="tr-TR"/>
              </w:rPr>
            </w:pPr>
          </w:p>
          <w:p w:rsidR="00A043AD" w:rsidRPr="00A23740" w:rsidRDefault="00A043AD" w:rsidP="00750F08">
            <w:pPr>
              <w:tabs>
                <w:tab w:val="left" w:pos="567"/>
              </w:tabs>
              <w:ind w:firstLine="709"/>
              <w:rPr>
                <w:rFonts w:eastAsia="Arial Unicode MS"/>
                <w:bCs/>
                <w:iCs/>
                <w:lang w:eastAsia="tr-TR"/>
              </w:rPr>
            </w:pPr>
            <w:r w:rsidRPr="00A23740">
              <w:rPr>
                <w:rFonts w:eastAsia="Arial Unicode MS"/>
                <w:b/>
                <w:iCs/>
                <w:szCs w:val="24"/>
                <w:lang w:eastAsia="tr-TR"/>
              </w:rPr>
              <w:t>MADDE 518-</w:t>
            </w:r>
            <w:r w:rsidRPr="00A23740">
              <w:rPr>
                <w:rFonts w:eastAsia="Arial Unicode MS"/>
                <w:iCs/>
                <w:szCs w:val="24"/>
                <w:lang w:eastAsia="tr-TR"/>
              </w:rPr>
              <w:t xml:space="preserve"> Maddeyle, gerçeğe aykırı beyanda bulunma suçu düzenlenmektedir. Hüküm, 2004 sayılı Kanunun 338 inci maddesinin birinci fıkrasına karşılık gelmektedir.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Birinci fıkrayla, Kanuna göre istenen beyanı, gerçeğe aykırı surette yapan kimsenin, alacaklının şikâyeti üzerine, üç aydan bir yıla kadar hapis ve bin güne kadar adli para cezası</w:t>
            </w:r>
            <w:r w:rsidR="001E06D8" w:rsidRPr="002E2E40">
              <w:rPr>
                <w:rFonts w:eastAsia="Arial Unicode MS"/>
                <w:iCs/>
                <w:szCs w:val="24"/>
                <w:lang w:eastAsia="tr-TR"/>
              </w:rPr>
              <w:t>yla</w:t>
            </w:r>
            <w:r w:rsidRPr="00A23740">
              <w:rPr>
                <w:rFonts w:eastAsia="Arial Unicode MS"/>
                <w:iCs/>
                <w:szCs w:val="24"/>
                <w:lang w:eastAsia="tr-TR"/>
              </w:rPr>
              <w:t xml:space="preserve"> cezalandırılacağı hükme bağlanmaktadır. Yapılması istenen beyanlar, Kanunun muhtelif maddelerinde düzenlenmektedir. </w:t>
            </w:r>
            <w:r w:rsidR="007F0E7B" w:rsidRPr="002E2E40">
              <w:rPr>
                <w:rFonts w:eastAsia="Arial Unicode MS"/>
                <w:iCs/>
                <w:szCs w:val="24"/>
                <w:lang w:eastAsia="tr-TR"/>
              </w:rPr>
              <w:t>Örneğin</w:t>
            </w:r>
            <w:r w:rsidR="007F0E7B" w:rsidRPr="00A23740">
              <w:rPr>
                <w:rFonts w:eastAsia="Arial Unicode MS"/>
                <w:iCs/>
                <w:szCs w:val="24"/>
                <w:lang w:eastAsia="tr-TR"/>
              </w:rPr>
              <w:t xml:space="preserve"> </w:t>
            </w:r>
            <w:r w:rsidRPr="00A23740">
              <w:rPr>
                <w:rFonts w:eastAsia="Arial Unicode MS"/>
                <w:iCs/>
                <w:szCs w:val="24"/>
                <w:lang w:eastAsia="tr-TR"/>
              </w:rPr>
              <w:t>Taslağın</w:t>
            </w:r>
            <w:r w:rsidR="007F0E7B" w:rsidRPr="00A23740">
              <w:rPr>
                <w:rFonts w:eastAsia="Arial Unicode MS"/>
                <w:iCs/>
                <w:szCs w:val="24"/>
                <w:lang w:eastAsia="tr-TR"/>
              </w:rPr>
              <w:t xml:space="preserve"> </w:t>
            </w:r>
            <w:r w:rsidRPr="00A23740">
              <w:rPr>
                <w:rFonts w:eastAsia="Arial Unicode MS"/>
                <w:iCs/>
                <w:szCs w:val="24"/>
                <w:lang w:eastAsia="tr-TR"/>
              </w:rPr>
              <w:t>68, 88,</w:t>
            </w:r>
            <w:r w:rsidR="000B06E1" w:rsidRPr="00A23740">
              <w:rPr>
                <w:rFonts w:eastAsia="Arial Unicode MS"/>
                <w:iCs/>
                <w:szCs w:val="24"/>
                <w:lang w:eastAsia="tr-TR"/>
              </w:rPr>
              <w:t xml:space="preserve"> </w:t>
            </w:r>
            <w:r w:rsidRPr="00A23740">
              <w:rPr>
                <w:rFonts w:eastAsia="Arial Unicode MS"/>
                <w:iCs/>
                <w:szCs w:val="24"/>
                <w:lang w:eastAsia="tr-TR"/>
              </w:rPr>
              <w:t xml:space="preserve"> 108, 113, 116, 133</w:t>
            </w:r>
            <w:r w:rsidR="000B06E1" w:rsidRPr="00A23740">
              <w:rPr>
                <w:rFonts w:eastAsia="Arial Unicode MS"/>
                <w:iCs/>
                <w:szCs w:val="24"/>
                <w:lang w:eastAsia="tr-TR"/>
              </w:rPr>
              <w:t xml:space="preserve"> </w:t>
            </w:r>
            <w:r w:rsidRPr="00A23740">
              <w:rPr>
                <w:rFonts w:eastAsia="Arial Unicode MS"/>
                <w:iCs/>
                <w:szCs w:val="24"/>
                <w:lang w:eastAsia="tr-TR"/>
              </w:rPr>
              <w:t xml:space="preserve">ve 256 ncı maddelerinde yer verilen beyanda bulunma yükümlülüğünün ifasında beyanın içeriğinin gerçeğe aykırı olmasına dair fikrî sahtecilik cezalandırılmaktadır. Hükümde, beyanda bulunma yükümlülüğünün gerçeğe aykırı </w:t>
            </w:r>
            <w:r w:rsidR="00B93DE7" w:rsidRPr="00A23740">
              <w:rPr>
                <w:rFonts w:eastAsia="Arial Unicode MS"/>
                <w:iCs/>
                <w:szCs w:val="24"/>
                <w:lang w:eastAsia="tr-TR"/>
              </w:rPr>
              <w:t xml:space="preserve">olacak şekilde </w:t>
            </w:r>
            <w:r w:rsidRPr="00A23740">
              <w:rPr>
                <w:rFonts w:eastAsia="Arial Unicode MS"/>
                <w:iCs/>
                <w:szCs w:val="24"/>
                <w:lang w:eastAsia="tr-TR"/>
              </w:rPr>
              <w:t xml:space="preserve">yerine getirilmesi, hiç yerine getirilmemesine nazaran haksızlık içeriği itibarıyla daha ağır görüldüğünden suç olarak kabul edilmektedir. Bu suçun oluşabilmesi için </w:t>
            </w:r>
            <w:r w:rsidRPr="00A23740">
              <w:rPr>
                <w:rFonts w:eastAsia="Arial Unicode MS"/>
                <w:szCs w:val="24"/>
                <w:lang w:eastAsia="tr-TR"/>
              </w:rPr>
              <w:t xml:space="preserve">“kanun gereği” </w:t>
            </w:r>
            <w:r w:rsidRPr="00A23740">
              <w:rPr>
                <w:rFonts w:eastAsia="Arial Unicode MS"/>
                <w:iCs/>
                <w:szCs w:val="24"/>
                <w:lang w:eastAsia="tr-TR"/>
              </w:rPr>
              <w:t>istenen beyanın gerçeğe aykırı olarak yapılmış olması gerekir. Dolayısıyla k</w:t>
            </w:r>
            <w:r w:rsidR="00535D4A" w:rsidRPr="00A23740">
              <w:rPr>
                <w:rFonts w:eastAsia="Arial Unicode MS"/>
                <w:iCs/>
                <w:szCs w:val="24"/>
                <w:lang w:eastAsia="tr-TR"/>
              </w:rPr>
              <w:t>anuni bir zorunluluk olmadığı hâ</w:t>
            </w:r>
            <w:r w:rsidRPr="00A23740">
              <w:rPr>
                <w:rFonts w:eastAsia="Arial Unicode MS"/>
                <w:iCs/>
                <w:szCs w:val="24"/>
                <w:lang w:eastAsia="tr-TR"/>
              </w:rPr>
              <w:t xml:space="preserve">lde yapılan beyanın “gerçeğe aykırı olduğu” ileri sürülerek borçlu hakkında mahkûmiyet kararı verilemez. </w:t>
            </w:r>
            <w:r w:rsidRPr="00A23740">
              <w:rPr>
                <w:rFonts w:eastAsia="Arial Unicode MS"/>
                <w:bCs/>
                <w:iCs/>
                <w:szCs w:val="24"/>
                <w:lang w:eastAsia="tr-TR"/>
              </w:rPr>
              <w:t>Bu kapsamda örneğin borçlu, kanun gereği mal beyanında bulunmak zorunda olduğundan</w:t>
            </w:r>
            <w:r w:rsidR="00B93DE7" w:rsidRPr="00A23740">
              <w:rPr>
                <w:rFonts w:eastAsia="Arial Unicode MS"/>
                <w:bCs/>
                <w:iCs/>
                <w:szCs w:val="24"/>
                <w:lang w:eastAsia="tr-TR"/>
              </w:rPr>
              <w:t>,</w:t>
            </w:r>
            <w:r w:rsidRPr="00A23740">
              <w:rPr>
                <w:rFonts w:eastAsia="Arial Unicode MS"/>
                <w:bCs/>
                <w:iCs/>
                <w:szCs w:val="24"/>
                <w:lang w:eastAsia="tr-TR"/>
              </w:rPr>
              <w:t xml:space="preserve"> “başkasına ait mal, alacak ve hakları kendisine aitmiş gibi göstermesi” veya “kendisine ait mal,</w:t>
            </w:r>
            <w:r w:rsidR="00535D4A" w:rsidRPr="00A23740">
              <w:rPr>
                <w:rFonts w:eastAsia="Arial Unicode MS"/>
                <w:bCs/>
                <w:iCs/>
                <w:szCs w:val="24"/>
                <w:lang w:eastAsia="tr-TR"/>
              </w:rPr>
              <w:t xml:space="preserve"> alacak ve hakları gizlemesi” hâ</w:t>
            </w:r>
            <w:r w:rsidRPr="00A23740">
              <w:rPr>
                <w:rFonts w:eastAsia="Arial Unicode MS"/>
                <w:bCs/>
                <w:iCs/>
                <w:szCs w:val="24"/>
                <w:lang w:eastAsia="tr-TR"/>
              </w:rPr>
              <w:t>linde cezalandırılır. Diğer taraftan beyan, Kanunda belirlenen usule uygun olarak yapılmamışsa</w:t>
            </w:r>
            <w:r w:rsidR="00B93DE7" w:rsidRPr="00A23740">
              <w:rPr>
                <w:rFonts w:eastAsia="Arial Unicode MS"/>
                <w:bCs/>
                <w:iCs/>
                <w:szCs w:val="24"/>
                <w:lang w:eastAsia="tr-TR"/>
              </w:rPr>
              <w:t>,</w:t>
            </w:r>
            <w:r w:rsidRPr="00A23740">
              <w:rPr>
                <w:rFonts w:eastAsia="Arial Unicode MS"/>
                <w:bCs/>
                <w:iCs/>
                <w:szCs w:val="24"/>
                <w:lang w:eastAsia="tr-TR"/>
              </w:rPr>
              <w:t xml:space="preserve"> gerçeğe aykırı beyanda bulunma suçu oluşmaz. Örneğin mal beyanı</w:t>
            </w:r>
            <w:r w:rsidRPr="00A23740">
              <w:rPr>
                <w:rStyle w:val="YELChar"/>
              </w:rPr>
              <w:t>,</w:t>
            </w:r>
            <w:r w:rsidRPr="00A23740">
              <w:rPr>
                <w:rFonts w:eastAsia="Arial Unicode MS"/>
                <w:bCs/>
                <w:iCs/>
                <w:szCs w:val="24"/>
                <w:lang w:eastAsia="tr-TR"/>
              </w:rPr>
              <w:t xml:space="preserve"> Kanunda belirlenen usule göre yapılmamışsa “</w:t>
            </w:r>
            <w:r w:rsidRPr="00A23740">
              <w:rPr>
                <w:rFonts w:eastAsia="Arial Unicode MS"/>
                <w:szCs w:val="24"/>
                <w:lang w:eastAsia="tr-TR"/>
              </w:rPr>
              <w:t>gerçeğe aykırı beyanda bulunma”</w:t>
            </w:r>
            <w:r w:rsidRPr="00A23740">
              <w:rPr>
                <w:rFonts w:eastAsia="Arial Unicode MS"/>
                <w:iCs/>
                <w:szCs w:val="24"/>
                <w:lang w:eastAsia="tr-TR"/>
              </w:rPr>
              <w:t xml:space="preserve"> değil</w:t>
            </w:r>
            <w:r w:rsidR="00B93DE7" w:rsidRPr="00A23740">
              <w:rPr>
                <w:rFonts w:eastAsia="Arial Unicode MS"/>
                <w:iCs/>
                <w:szCs w:val="24"/>
                <w:lang w:eastAsia="tr-TR"/>
              </w:rPr>
              <w:t>,</w:t>
            </w:r>
            <w:r w:rsidRPr="00A23740">
              <w:rPr>
                <w:rFonts w:eastAsia="Arial Unicode MS"/>
                <w:iCs/>
                <w:szCs w:val="24"/>
                <w:lang w:eastAsia="tr-TR"/>
              </w:rPr>
              <w:t xml:space="preserve"> “</w:t>
            </w:r>
            <w:r w:rsidRPr="00A23740">
              <w:rPr>
                <w:rFonts w:eastAsia="Arial Unicode MS"/>
                <w:szCs w:val="24"/>
                <w:lang w:eastAsia="tr-TR"/>
              </w:rPr>
              <w:t>mal beyanında bulunmama”</w:t>
            </w:r>
            <w:r w:rsidRPr="00A23740">
              <w:rPr>
                <w:rFonts w:eastAsia="Arial Unicode MS"/>
                <w:iCs/>
                <w:szCs w:val="24"/>
                <w:lang w:eastAsia="tr-TR"/>
              </w:rPr>
              <w:t> fiili oluşur. Ayrıca ifade etmek gerekir ki</w:t>
            </w:r>
            <w:r w:rsidRPr="00A23740">
              <w:rPr>
                <w:rStyle w:val="YELChar"/>
              </w:rPr>
              <w:t>,</w:t>
            </w:r>
            <w:r w:rsidRPr="00A23740">
              <w:rPr>
                <w:rFonts w:eastAsia="Arial Unicode MS"/>
                <w:iCs/>
                <w:szCs w:val="24"/>
                <w:lang w:eastAsia="tr-TR"/>
              </w:rPr>
              <w:t xml:space="preserve"> beyanda bulunma yükümlülüğü bizzat borçluya ait olduğu için bu beyanın vekil tarafından yapılması mümkün olamayacağından</w:t>
            </w:r>
            <w:r w:rsidR="00B93DE7" w:rsidRPr="00A23740">
              <w:rPr>
                <w:rFonts w:eastAsia="Arial Unicode MS"/>
                <w:iCs/>
                <w:szCs w:val="24"/>
                <w:lang w:eastAsia="tr-TR"/>
              </w:rPr>
              <w:t>,</w:t>
            </w:r>
            <w:r w:rsidRPr="00A23740">
              <w:rPr>
                <w:rFonts w:eastAsia="Arial Unicode MS"/>
                <w:iCs/>
                <w:szCs w:val="24"/>
                <w:lang w:eastAsia="tr-TR"/>
              </w:rPr>
              <w:t xml:space="preserve"> vekilin beyanından borçlunun sorumlu olması beklenemez. 2004 sayılı Kanundan farklı olarak caydırıcılığın sağlanabilmesi için hapis cezasına ilave olarak hükme adli para cezası da eklenmektedir.</w:t>
            </w:r>
          </w:p>
          <w:p w:rsidR="00A043AD" w:rsidRPr="00A23740" w:rsidRDefault="00A043AD" w:rsidP="002A27F8">
            <w:pPr>
              <w:rPr>
                <w:rFonts w:eastAsia="Arial Unicode MS"/>
                <w:b/>
                <w:iCs/>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Kiracının cezalandırılacağı haller:</w:t>
            </w:r>
          </w:p>
          <w:p w:rsidR="00A043AD" w:rsidRPr="00A23740" w:rsidRDefault="00A043AD" w:rsidP="00750F08">
            <w:pPr>
              <w:rPr>
                <w:rFonts w:eastAsia="Times New Roman"/>
                <w:b/>
                <w:strike/>
                <w:color w:val="FF0000"/>
                <w:szCs w:val="24"/>
                <w:lang w:eastAsia="x-none"/>
              </w:rPr>
            </w:pPr>
            <w:r w:rsidRPr="00A23740">
              <w:rPr>
                <w:rFonts w:eastAsia="Times New Roman"/>
                <w:b/>
                <w:szCs w:val="24"/>
                <w:lang w:eastAsia="tr-TR"/>
              </w:rPr>
              <w:t xml:space="preserve">Madde </w:t>
            </w:r>
            <w:r w:rsidRPr="00A23740">
              <w:rPr>
                <w:rFonts w:eastAsia="Times New Roman"/>
                <w:b/>
                <w:strike/>
                <w:color w:val="FF0000"/>
                <w:szCs w:val="24"/>
                <w:lang w:eastAsia="x-none"/>
              </w:rPr>
              <w:t>335</w:t>
            </w:r>
            <w:r w:rsidRPr="00A23740">
              <w:rPr>
                <w:rFonts w:eastAsia="Times New Roman"/>
                <w:b/>
                <w:szCs w:val="24"/>
                <w:lang w:eastAsia="tr-TR"/>
              </w:rPr>
              <w:t xml:space="preserve"> – (1) </w:t>
            </w:r>
            <w:r w:rsidRPr="00A23740">
              <w:rPr>
                <w:rFonts w:eastAsia="Times New Roman"/>
                <w:szCs w:val="24"/>
                <w:lang w:eastAsia="tr-TR"/>
              </w:rPr>
              <w:t>Üzer</w:t>
            </w:r>
            <w:r w:rsidRPr="00A23740">
              <w:rPr>
                <w:rFonts w:eastAsia="Times New Roman"/>
                <w:b/>
                <w:strike/>
                <w:color w:val="FF0000"/>
                <w:szCs w:val="24"/>
                <w:lang w:eastAsia="x-none"/>
              </w:rPr>
              <w:t>ler</w:t>
            </w:r>
            <w:r w:rsidRPr="00A23740">
              <w:rPr>
                <w:rFonts w:eastAsia="Times New Roman"/>
                <w:szCs w:val="24"/>
                <w:lang w:eastAsia="tr-TR"/>
              </w:rPr>
              <w:t>inde kiralayan</w:t>
            </w:r>
            <w:r w:rsidRPr="00A23740">
              <w:rPr>
                <w:rFonts w:eastAsia="Times New Roman"/>
                <w:b/>
                <w:strike/>
                <w:color w:val="FF0000"/>
                <w:szCs w:val="24"/>
                <w:lang w:eastAsia="x-none"/>
              </w:rPr>
              <w:t>ın</w:t>
            </w:r>
            <w:r w:rsidRPr="00A23740">
              <w:rPr>
                <w:rFonts w:eastAsia="Times New Roman"/>
                <w:szCs w:val="24"/>
                <w:lang w:eastAsia="tr-TR"/>
              </w:rPr>
              <w:t xml:space="preserve"> hapis hakkı tanın</w:t>
            </w:r>
            <w:r w:rsidRPr="00A23740">
              <w:rPr>
                <w:rFonts w:eastAsia="Times New Roman"/>
                <w:b/>
                <w:strike/>
                <w:color w:val="FF0000"/>
                <w:szCs w:val="24"/>
                <w:lang w:eastAsia="x-none"/>
              </w:rPr>
              <w:t>mış</w:t>
            </w:r>
            <w:r w:rsidRPr="00A23740">
              <w:rPr>
                <w:rFonts w:eastAsia="Times New Roman"/>
                <w:szCs w:val="24"/>
                <w:lang w:eastAsia="tr-TR"/>
              </w:rPr>
              <w:t xml:space="preserve"> ve </w:t>
            </w:r>
            <w:r w:rsidRPr="00A23740">
              <w:rPr>
                <w:b/>
                <w:bCs/>
                <w:strike/>
                <w:color w:val="FF0000"/>
                <w:szCs w:val="24"/>
              </w:rPr>
              <w:t>270 inci</w:t>
            </w:r>
            <w:r w:rsidRPr="00A23740">
              <w:rPr>
                <w:rFonts w:eastAsia="Times New Roman"/>
                <w:szCs w:val="24"/>
                <w:lang w:eastAsia="tr-TR"/>
              </w:rPr>
              <w:t xml:space="preserve"> madde </w:t>
            </w:r>
            <w:r w:rsidRPr="00A23740">
              <w:rPr>
                <w:rFonts w:eastAsia="Times New Roman"/>
                <w:b/>
                <w:strike/>
                <w:color w:val="FF0000"/>
                <w:szCs w:val="24"/>
                <w:lang w:eastAsia="x-none"/>
              </w:rPr>
              <w:t>mucibince</w:t>
            </w:r>
            <w:r w:rsidRPr="00A23740">
              <w:rPr>
                <w:rFonts w:eastAsia="Times New Roman"/>
                <w:szCs w:val="24"/>
                <w:lang w:eastAsia="tr-TR"/>
              </w:rPr>
              <w:t xml:space="preserve"> defteri </w:t>
            </w:r>
            <w:r w:rsidRPr="00A23740">
              <w:rPr>
                <w:rFonts w:eastAsia="Times New Roman"/>
                <w:b/>
                <w:strike/>
                <w:color w:val="FF0000"/>
                <w:szCs w:val="24"/>
                <w:lang w:eastAsia="x-none"/>
              </w:rPr>
              <w:t>yapılmış</w:t>
            </w:r>
            <w:r w:rsidRPr="00A23740">
              <w:rPr>
                <w:rFonts w:eastAsia="Times New Roman"/>
                <w:szCs w:val="24"/>
                <w:lang w:eastAsia="tr-TR"/>
              </w:rPr>
              <w:t xml:space="preserve"> eşyayı kaçıran veya gizleyen borçlu </w:t>
            </w:r>
            <w:r w:rsidRPr="00A23740">
              <w:rPr>
                <w:rFonts w:eastAsia="Times New Roman"/>
                <w:b/>
                <w:strike/>
                <w:color w:val="FF0000"/>
                <w:szCs w:val="24"/>
                <w:lang w:eastAsia="x-none"/>
              </w:rPr>
              <w:t>ile</w:t>
            </w:r>
            <w:r w:rsidRPr="00A23740">
              <w:rPr>
                <w:rFonts w:eastAsia="Times New Roman"/>
                <w:b/>
                <w:color w:val="FF0000"/>
                <w:szCs w:val="24"/>
                <w:lang w:eastAsia="x-none"/>
              </w:rPr>
              <w:t xml:space="preserve"> </w:t>
            </w:r>
            <w:r w:rsidRPr="00A23740">
              <w:rPr>
                <w:rFonts w:eastAsia="Times New Roman"/>
                <w:b/>
                <w:bCs/>
                <w:strike/>
                <w:color w:val="FF0000"/>
                <w:szCs w:val="24"/>
                <w:lang w:eastAsia="tr-TR"/>
              </w:rPr>
              <w:t xml:space="preserve">tahliyesi emrolunan yeri kiralayana zarar vermek maksadiyle işgal ettiren </w:t>
            </w:r>
            <w:r w:rsidRPr="00A23740">
              <w:rPr>
                <w:b/>
                <w:bCs/>
                <w:strike/>
                <w:color w:val="FF0000"/>
                <w:szCs w:val="24"/>
              </w:rPr>
              <w:t>şahıs Türk Ceza Kanununun (276) ncı maddesine göre</w:t>
            </w:r>
            <w:r w:rsidRPr="00A23740">
              <w:rPr>
                <w:rFonts w:eastAsia="Times New Roman"/>
                <w:szCs w:val="24"/>
                <w:lang w:eastAsia="tr-TR"/>
              </w:rPr>
              <w:t xml:space="preserve"> cezalandırılır.</w:t>
            </w:r>
          </w:p>
          <w:p w:rsidR="00A043AD" w:rsidRPr="00A23740" w:rsidRDefault="00A043AD" w:rsidP="00750F08">
            <w:pPr>
              <w:rPr>
                <w:rFonts w:eastAsia="Times New Roman"/>
                <w:szCs w:val="24"/>
                <w:lang w:eastAsia="tr-TR"/>
              </w:rPr>
            </w:pPr>
          </w:p>
          <w:p w:rsidR="00A043AD" w:rsidRPr="00A23740" w:rsidRDefault="00A043AD" w:rsidP="00750F08">
            <w:pPr>
              <w:rPr>
                <w:color w:val="000000"/>
              </w:rPr>
            </w:pP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Defteri tutulmuş eşyanın kaçırılması veya gizlenmesi</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MADDE 519- (1)</w:t>
            </w:r>
            <w:r w:rsidRPr="00A23740">
              <w:rPr>
                <w:rFonts w:eastAsia="Times New Roman"/>
                <w:b/>
                <w:szCs w:val="24"/>
                <w:lang w:eastAsia="tr-TR"/>
              </w:rPr>
              <w:t xml:space="preserve"> </w:t>
            </w:r>
            <w:r w:rsidRPr="002E2E40">
              <w:rPr>
                <w:rStyle w:val="YELChar"/>
                <w:color w:val="0000FF"/>
              </w:rPr>
              <w:t>Kiraya verene</w:t>
            </w:r>
            <w:r w:rsidRPr="002E2E40">
              <w:rPr>
                <w:rFonts w:eastAsia="Times New Roman"/>
                <w:b/>
                <w:color w:val="0000FF"/>
                <w:szCs w:val="24"/>
                <w:lang w:eastAsia="tr-TR"/>
              </w:rPr>
              <w:t xml:space="preserve"> </w:t>
            </w:r>
            <w:r w:rsidRPr="00A23740">
              <w:rPr>
                <w:rFonts w:eastAsia="Times New Roman"/>
                <w:szCs w:val="24"/>
                <w:lang w:eastAsia="tr-TR"/>
              </w:rPr>
              <w:t>üzerinde hapis hakkı tanın</w:t>
            </w:r>
            <w:r w:rsidRPr="00A23740">
              <w:rPr>
                <w:rFonts w:eastAsia="Times New Roman"/>
                <w:b/>
                <w:color w:val="0000FF"/>
                <w:szCs w:val="24"/>
              </w:rPr>
              <w:t>an</w:t>
            </w:r>
            <w:r w:rsidRPr="00A23740">
              <w:rPr>
                <w:rFonts w:eastAsia="Times New Roman"/>
                <w:szCs w:val="24"/>
                <w:lang w:eastAsia="tr-TR"/>
              </w:rPr>
              <w:t xml:space="preserve"> ve </w:t>
            </w:r>
            <w:r w:rsidR="007F0E7B" w:rsidRPr="002E2E40">
              <w:rPr>
                <w:rStyle w:val="KonuBalChar"/>
                <w:rFonts w:eastAsia="Calibri"/>
                <w:color w:val="0000FF"/>
              </w:rPr>
              <w:t>151 inci</w:t>
            </w:r>
            <w:r w:rsidR="007F0E7B" w:rsidRPr="002E2E40">
              <w:rPr>
                <w:rFonts w:eastAsia="Times New Roman"/>
                <w:color w:val="0000FF"/>
                <w:szCs w:val="24"/>
                <w:lang w:eastAsia="tr-TR"/>
              </w:rPr>
              <w:t xml:space="preserve"> </w:t>
            </w:r>
            <w:r w:rsidRPr="00A23740">
              <w:rPr>
                <w:rFonts w:eastAsia="Times New Roman"/>
                <w:szCs w:val="24"/>
                <w:lang w:eastAsia="tr-TR"/>
              </w:rPr>
              <w:t xml:space="preserve">madde </w:t>
            </w:r>
            <w:r w:rsidRPr="00A23740">
              <w:rPr>
                <w:rFonts w:eastAsia="Times New Roman"/>
                <w:b/>
                <w:bCs/>
                <w:color w:val="0000FF"/>
                <w:szCs w:val="24"/>
                <w:lang w:eastAsia="x-none"/>
              </w:rPr>
              <w:t>gereğince</w:t>
            </w:r>
            <w:r w:rsidRPr="00A23740">
              <w:rPr>
                <w:rFonts w:eastAsia="Times New Roman"/>
                <w:szCs w:val="24"/>
                <w:lang w:eastAsia="tr-TR"/>
              </w:rPr>
              <w:t xml:space="preserve"> defteri </w:t>
            </w:r>
            <w:r w:rsidRPr="00A23740">
              <w:rPr>
                <w:rFonts w:eastAsia="Times New Roman"/>
                <w:b/>
                <w:bCs/>
                <w:color w:val="0000FF"/>
                <w:szCs w:val="24"/>
                <w:lang w:eastAsia="x-none"/>
              </w:rPr>
              <w:t>tutulmuş</w:t>
            </w:r>
            <w:r w:rsidRPr="00A23740">
              <w:rPr>
                <w:rFonts w:eastAsia="Times New Roman"/>
                <w:szCs w:val="24"/>
                <w:lang w:eastAsia="tr-TR"/>
              </w:rPr>
              <w:t xml:space="preserve"> eşyayı kaçıran veya gizleyen borçlu</w:t>
            </w:r>
            <w:r w:rsidRPr="00A23740">
              <w:rPr>
                <w:b/>
                <w:bCs/>
                <w:color w:val="0000FF"/>
                <w:szCs w:val="24"/>
                <w:lang w:eastAsia="x-none"/>
              </w:rPr>
              <w:t xml:space="preserve">, </w:t>
            </w:r>
            <w:r w:rsidRPr="002E2E40">
              <w:rPr>
                <w:rStyle w:val="YELChar"/>
                <w:color w:val="0000FF"/>
              </w:rPr>
              <w:t>kiraya verenin</w:t>
            </w:r>
            <w:r w:rsidRPr="002E2E40">
              <w:rPr>
                <w:b/>
                <w:bCs/>
                <w:color w:val="0000FF"/>
                <w:szCs w:val="24"/>
                <w:lang w:eastAsia="x-none"/>
              </w:rPr>
              <w:t xml:space="preserve"> </w:t>
            </w:r>
            <w:r w:rsidRPr="00A23740">
              <w:rPr>
                <w:b/>
                <w:bCs/>
                <w:color w:val="0000FF"/>
                <w:szCs w:val="24"/>
                <w:lang w:eastAsia="x-none"/>
              </w:rPr>
              <w:t>şikâyeti üzerine, altı aydan iki yıla kadar hapis ve üç bin güne kadar adli para cezası</w:t>
            </w:r>
            <w:r w:rsidR="0005528D" w:rsidRPr="002E2E40">
              <w:rPr>
                <w:b/>
                <w:bCs/>
                <w:color w:val="0000FF"/>
                <w:szCs w:val="24"/>
                <w:lang w:eastAsia="x-none"/>
              </w:rPr>
              <w:t>yla</w:t>
            </w:r>
            <w:r w:rsidRPr="00A23740">
              <w:rPr>
                <w:b/>
                <w:bCs/>
                <w:color w:val="0000FF"/>
                <w:szCs w:val="24"/>
                <w:lang w:eastAsia="x-none"/>
              </w:rPr>
              <w:t xml:space="preserve"> </w:t>
            </w:r>
            <w:r w:rsidRPr="00A23740">
              <w:rPr>
                <w:rFonts w:eastAsia="Times New Roman"/>
                <w:szCs w:val="24"/>
                <w:lang w:eastAsia="tr-TR"/>
              </w:rPr>
              <w:t>cezalandırılır.</w:t>
            </w:r>
          </w:p>
          <w:p w:rsidR="00A043AD" w:rsidRPr="00A23740" w:rsidRDefault="00A043AD" w:rsidP="00750F08">
            <w:pPr>
              <w:tabs>
                <w:tab w:val="left" w:pos="567"/>
              </w:tabs>
              <w:rPr>
                <w:rFonts w:eastAsia="Times New Roman"/>
                <w:bCs/>
                <w:strike/>
                <w:szCs w:val="24"/>
                <w:lang w:eastAsia="tr-TR"/>
              </w:rPr>
            </w:pPr>
          </w:p>
          <w:p w:rsidR="00A043AD" w:rsidRPr="00A23740" w:rsidRDefault="00A043AD" w:rsidP="00750F08">
            <w:pPr>
              <w:rPr>
                <w:rFonts w:eastAsia="Times New Roman"/>
                <w:b/>
                <w:bCs/>
                <w:szCs w:val="24"/>
                <w:lang w:eastAsia="tr-TR"/>
              </w:rPr>
            </w:pPr>
            <w:r w:rsidRPr="00A23740">
              <w:rPr>
                <w:b/>
                <w:bCs/>
                <w:color w:val="0000FF"/>
                <w:szCs w:val="24"/>
                <w:lang w:eastAsia="x-none"/>
              </w:rPr>
              <w:t>(2) Bu suçun konusunu oluşturan eşyayı hüküm verilmeden önce geri veren veya bunun mümkün olmaması hâlinde bedelini ödeyen borçlu hakkında, verilecek ceza yarı oranında indirilir.</w:t>
            </w:r>
          </w:p>
        </w:tc>
      </w:tr>
      <w:tr w:rsidR="00A043AD" w:rsidRPr="00A23740" w:rsidTr="00750F08">
        <w:tc>
          <w:tcPr>
            <w:tcW w:w="5000" w:type="pct"/>
            <w:gridSpan w:val="2"/>
            <w:shd w:val="clear" w:color="auto" w:fill="DEEAF6"/>
          </w:tcPr>
          <w:p w:rsidR="00A043AD" w:rsidRPr="00A23740" w:rsidRDefault="00A043AD" w:rsidP="00750F08">
            <w:pPr>
              <w:ind w:firstLine="708"/>
              <w:rPr>
                <w:rFonts w:eastAsia="Arial Unicode MS"/>
                <w:b/>
                <w:iCs/>
                <w:szCs w:val="24"/>
                <w:lang w:eastAsia="tr-TR"/>
              </w:rPr>
            </w:pPr>
          </w:p>
          <w:p w:rsidR="00A043AD" w:rsidRPr="00A23740" w:rsidRDefault="00A043AD" w:rsidP="00750F08">
            <w:pPr>
              <w:ind w:firstLine="708"/>
              <w:rPr>
                <w:rFonts w:eastAsia="Times New Roman"/>
                <w:szCs w:val="24"/>
                <w:lang w:eastAsia="tr-TR"/>
              </w:rPr>
            </w:pPr>
            <w:r w:rsidRPr="00A23740">
              <w:rPr>
                <w:rFonts w:eastAsia="Times New Roman"/>
                <w:b/>
                <w:szCs w:val="24"/>
                <w:lang w:eastAsia="tr-TR"/>
              </w:rPr>
              <w:t xml:space="preserve">MADDE 519- </w:t>
            </w:r>
            <w:r w:rsidRPr="00A23740">
              <w:rPr>
                <w:rFonts w:eastAsia="Times New Roman"/>
                <w:szCs w:val="24"/>
                <w:lang w:eastAsia="tr-TR"/>
              </w:rPr>
              <w:t>Maddeyle, defteri tutulmuş eşyanın kaçırılması veya gizlenmesi suçu düzenlenmektedir.</w:t>
            </w:r>
            <w:r w:rsidRPr="00A23740">
              <w:rPr>
                <w:rFonts w:eastAsia="Times New Roman"/>
                <w:b/>
                <w:szCs w:val="24"/>
                <w:lang w:eastAsia="tr-TR"/>
              </w:rPr>
              <w:t xml:space="preserve"> </w:t>
            </w:r>
            <w:r w:rsidRPr="00A23740">
              <w:rPr>
                <w:rFonts w:eastAsia="Times New Roman"/>
                <w:szCs w:val="24"/>
                <w:lang w:eastAsia="tr-TR"/>
              </w:rPr>
              <w:t xml:space="preserve">Hüküm, 2004 sayılı Kanunun 335 inci maddesine karşılık gelmektedir. Eksik ceza normu niteliğinde olan mevcut hükmün dili sadeleştirilmekte ve </w:t>
            </w:r>
            <w:r w:rsidR="00B93DE7" w:rsidRPr="00A23740">
              <w:rPr>
                <w:rFonts w:eastAsia="Times New Roman"/>
                <w:szCs w:val="24"/>
                <w:lang w:eastAsia="tr-TR"/>
              </w:rPr>
              <w:t xml:space="preserve">hüküm </w:t>
            </w:r>
            <w:r w:rsidRPr="00A23740">
              <w:rPr>
                <w:rFonts w:eastAsia="Times New Roman"/>
                <w:szCs w:val="24"/>
                <w:lang w:eastAsia="tr-TR"/>
              </w:rPr>
              <w:t>ceza yaptırımını da içerecek şekilde yeniden kaleme alınmaktadır.</w:t>
            </w:r>
          </w:p>
          <w:p w:rsidR="00A043AD" w:rsidRPr="00A23740" w:rsidRDefault="00A043AD" w:rsidP="00750F08">
            <w:pPr>
              <w:ind w:firstLine="708"/>
              <w:rPr>
                <w:rFonts w:eastAsia="Times New Roman"/>
                <w:szCs w:val="24"/>
                <w:lang w:eastAsia="tr-TR"/>
              </w:rPr>
            </w:pPr>
            <w:r w:rsidRPr="00A23740">
              <w:rPr>
                <w:rFonts w:eastAsia="Times New Roman"/>
                <w:szCs w:val="24"/>
                <w:lang w:eastAsia="tr-TR"/>
              </w:rPr>
              <w:t>Birinci fıkrayla,</w:t>
            </w:r>
            <w:r w:rsidRPr="00A23740">
              <w:rPr>
                <w:rStyle w:val="YELChar"/>
              </w:rPr>
              <w:t xml:space="preserve"> </w:t>
            </w:r>
            <w:r w:rsidRPr="002E2E40">
              <w:rPr>
                <w:rStyle w:val="YELChar"/>
                <w:b w:val="0"/>
                <w:color w:val="auto"/>
              </w:rPr>
              <w:t>kiraya verene</w:t>
            </w:r>
            <w:r w:rsidRPr="00A23740">
              <w:rPr>
                <w:rFonts w:eastAsia="Times New Roman"/>
                <w:szCs w:val="24"/>
                <w:lang w:eastAsia="tr-TR"/>
              </w:rPr>
              <w:t xml:space="preserve"> üzerinde hapis hakkı tanınan ve Taslağın </w:t>
            </w:r>
            <w:r w:rsidR="007F0E7B" w:rsidRPr="002E2E40">
              <w:rPr>
                <w:rStyle w:val="KonuBalChar"/>
                <w:rFonts w:eastAsia="Calibri"/>
                <w:b w:val="0"/>
                <w:color w:val="auto"/>
              </w:rPr>
              <w:t>151</w:t>
            </w:r>
            <w:r w:rsidR="007F0E7B" w:rsidRPr="00A23740">
              <w:rPr>
                <w:rStyle w:val="KonuBalChar"/>
                <w:rFonts w:eastAsia="Calibri"/>
              </w:rPr>
              <w:t xml:space="preserve"> </w:t>
            </w:r>
            <w:r w:rsidR="007F0E7B" w:rsidRPr="002E2E40">
              <w:rPr>
                <w:rStyle w:val="KonuBalChar"/>
                <w:rFonts w:eastAsia="Calibri"/>
                <w:b w:val="0"/>
                <w:color w:val="auto"/>
              </w:rPr>
              <w:t>inci</w:t>
            </w:r>
            <w:r w:rsidRPr="00A23740">
              <w:rPr>
                <w:rFonts w:eastAsia="Times New Roman"/>
                <w:b/>
                <w:bCs/>
                <w:lang w:eastAsia="tr-TR"/>
              </w:rPr>
              <w:t xml:space="preserve"> </w:t>
            </w:r>
            <w:r w:rsidRPr="00A23740">
              <w:rPr>
                <w:rFonts w:eastAsia="Times New Roman"/>
                <w:szCs w:val="24"/>
                <w:lang w:eastAsia="tr-TR"/>
              </w:rPr>
              <w:t xml:space="preserve">maddesi gereğince defteri tutulmuş eşyayı kaçıran veya gizleyen borçlunun, </w:t>
            </w:r>
            <w:r w:rsidRPr="002E2E40">
              <w:rPr>
                <w:rStyle w:val="YELChar"/>
                <w:b w:val="0"/>
                <w:color w:val="auto"/>
              </w:rPr>
              <w:t>kiraya</w:t>
            </w:r>
            <w:r w:rsidRPr="00A23740">
              <w:rPr>
                <w:rStyle w:val="YELChar"/>
              </w:rPr>
              <w:t xml:space="preserve"> </w:t>
            </w:r>
            <w:r w:rsidRPr="002E2E40">
              <w:rPr>
                <w:rStyle w:val="YELChar"/>
                <w:b w:val="0"/>
                <w:color w:val="auto"/>
              </w:rPr>
              <w:t>verenin</w:t>
            </w:r>
            <w:r w:rsidRPr="00A23740">
              <w:rPr>
                <w:rFonts w:eastAsia="Times New Roman"/>
                <w:szCs w:val="24"/>
                <w:lang w:eastAsia="tr-TR"/>
              </w:rPr>
              <w:t xml:space="preserve"> şikâyeti üzerine, altı aydan iki yıla kadar hapis ve üç bin güne kadar adli para cezası</w:t>
            </w:r>
            <w:r w:rsidR="0005528D" w:rsidRPr="002E2E40">
              <w:rPr>
                <w:rFonts w:eastAsia="Times New Roman"/>
                <w:szCs w:val="24"/>
                <w:lang w:eastAsia="tr-TR"/>
              </w:rPr>
              <w:t>yla</w:t>
            </w:r>
            <w:r w:rsidRPr="00A23740">
              <w:rPr>
                <w:rFonts w:eastAsia="Times New Roman"/>
                <w:szCs w:val="24"/>
                <w:lang w:eastAsia="tr-TR"/>
              </w:rPr>
              <w:t xml:space="preserve"> cezalandırılacağı hükme bağlanmaktadır. 2004 sayılı Kanundan farklı olarak hükme, </w:t>
            </w:r>
            <w:r w:rsidRPr="002E2E40">
              <w:rPr>
                <w:rStyle w:val="YELChar"/>
                <w:b w:val="0"/>
                <w:color w:val="auto"/>
              </w:rPr>
              <w:t>kiraya</w:t>
            </w:r>
            <w:r w:rsidRPr="00A23740">
              <w:rPr>
                <w:rStyle w:val="YELChar"/>
              </w:rPr>
              <w:t xml:space="preserve"> </w:t>
            </w:r>
            <w:r w:rsidRPr="002E2E40">
              <w:rPr>
                <w:rStyle w:val="YELChar"/>
                <w:b w:val="0"/>
                <w:color w:val="auto"/>
              </w:rPr>
              <w:t>verenin</w:t>
            </w:r>
            <w:r w:rsidRPr="00A23740">
              <w:rPr>
                <w:rFonts w:eastAsia="Times New Roman"/>
                <w:szCs w:val="24"/>
                <w:lang w:eastAsia="tr-TR"/>
              </w:rPr>
              <w:t xml:space="preserve"> şikâyet hakkı eklenmektedir. 2004 sayılı Kanunun 335 inci maddesinin birinci fıkrasında suçun yaptırımı,</w:t>
            </w:r>
            <w:r w:rsidR="001F7CA8" w:rsidRPr="00A23740">
              <w:rPr>
                <w:rFonts w:eastAsia="Times New Roman"/>
                <w:szCs w:val="24"/>
                <w:lang w:eastAsia="tr-TR"/>
              </w:rPr>
              <w:t xml:space="preserve"> </w:t>
            </w:r>
            <w:r w:rsidR="001F7CA8" w:rsidRPr="002E2E40">
              <w:rPr>
                <w:rStyle w:val="KonuBalChar"/>
                <w:rFonts w:eastAsia="Calibri"/>
                <w:b w:val="0"/>
                <w:color w:val="auto"/>
              </w:rPr>
              <w:t>mülga</w:t>
            </w:r>
            <w:r w:rsidR="004B4ED4" w:rsidRPr="00A23740">
              <w:rPr>
                <w:rStyle w:val="KonuBalChar"/>
                <w:rFonts w:eastAsia="Calibri"/>
                <w:lang w:val="tr-TR"/>
              </w:rPr>
              <w:t xml:space="preserve"> </w:t>
            </w:r>
            <w:r w:rsidRPr="00A23740">
              <w:rPr>
                <w:rFonts w:eastAsia="Times New Roman"/>
                <w:szCs w:val="24"/>
                <w:lang w:eastAsia="tr-TR"/>
              </w:rPr>
              <w:t>765 sayılı Türk Ceza Kanununun 276 ncı maddesinin karşılığı olan 5237 sayılı</w:t>
            </w:r>
            <w:r w:rsidR="001F7CA8" w:rsidRPr="00A23740">
              <w:rPr>
                <w:rFonts w:eastAsia="Times New Roman"/>
                <w:szCs w:val="24"/>
                <w:lang w:eastAsia="tr-TR"/>
              </w:rPr>
              <w:t xml:space="preserve"> </w:t>
            </w:r>
            <w:r w:rsidR="001F7CA8" w:rsidRPr="002E2E40">
              <w:rPr>
                <w:rStyle w:val="KonuBalChar"/>
                <w:rFonts w:eastAsia="Calibri"/>
                <w:b w:val="0"/>
                <w:color w:val="auto"/>
              </w:rPr>
              <w:t>Kanunun</w:t>
            </w:r>
            <w:r w:rsidRPr="00A23740">
              <w:rPr>
                <w:rFonts w:eastAsia="Times New Roman"/>
                <w:szCs w:val="24"/>
                <w:lang w:eastAsia="tr-TR"/>
              </w:rPr>
              <w:t xml:space="preserve"> 289 uncu maddesine atıf yapılmak suretiyle belirlenmiş; anılan 289 uncu maddenin birinci fıkrasında ise fiilin yaptırımı “üç aydan iki yıla kadar hapis ve üçbin güne kadar adli para cezası” olarak </w:t>
            </w:r>
            <w:r w:rsidR="00B93DE7" w:rsidRPr="00A23740">
              <w:rPr>
                <w:rFonts w:eastAsia="Times New Roman"/>
                <w:szCs w:val="24"/>
                <w:lang w:eastAsia="tr-TR"/>
              </w:rPr>
              <w:t xml:space="preserve"> belirlenmiştir</w:t>
            </w:r>
            <w:r w:rsidRPr="00A23740">
              <w:rPr>
                <w:rFonts w:eastAsia="Times New Roman"/>
                <w:szCs w:val="24"/>
                <w:lang w:eastAsia="tr-TR"/>
              </w:rPr>
              <w:t xml:space="preserve">. </w:t>
            </w:r>
            <w:r w:rsidRPr="00A23740">
              <w:rPr>
                <w:rFonts w:eastAsia="Arial Unicode MS"/>
                <w:iCs/>
                <w:szCs w:val="24"/>
                <w:lang w:eastAsia="tr-TR"/>
              </w:rPr>
              <w:t>Caydırıcılığın sağlanabilmesi için hapis cezasının alt sınırı artırılmaktadır.</w:t>
            </w:r>
          </w:p>
          <w:p w:rsidR="00A043AD" w:rsidRPr="00A23740" w:rsidRDefault="00A043AD" w:rsidP="00750F08">
            <w:pPr>
              <w:ind w:firstLine="708"/>
              <w:rPr>
                <w:rFonts w:eastAsia="Times New Roman"/>
                <w:szCs w:val="24"/>
                <w:lang w:eastAsia="tr-TR"/>
              </w:rPr>
            </w:pPr>
            <w:r w:rsidRPr="00A23740">
              <w:rPr>
                <w:rFonts w:eastAsia="Times New Roman"/>
                <w:szCs w:val="24"/>
                <w:lang w:eastAsia="tr-TR"/>
              </w:rPr>
              <w:t>İkinci fıkrayla, bir yenilik olarak</w:t>
            </w:r>
            <w:r w:rsidR="00B93DE7" w:rsidRPr="00A23740">
              <w:rPr>
                <w:rFonts w:eastAsia="Times New Roman"/>
                <w:szCs w:val="24"/>
                <w:lang w:eastAsia="tr-TR"/>
              </w:rPr>
              <w:t>,</w:t>
            </w:r>
            <w:r w:rsidRPr="00A23740">
              <w:rPr>
                <w:rFonts w:eastAsia="Times New Roman"/>
                <w:szCs w:val="24"/>
                <w:lang w:eastAsia="tr-TR"/>
              </w:rPr>
              <w:t xml:space="preserve"> etkin pişmanlık hükmü kabul edilmektedir. Hükme göre defteri tutulmuş eşyanın kaçırılması veya gizlenmesi suçunun konusunu oluşturan eşyayı</w:t>
            </w:r>
            <w:r w:rsidRPr="002A27F8">
              <w:rPr>
                <w:rStyle w:val="YELChar"/>
                <w:b w:val="0"/>
                <w:color w:val="000000" w:themeColor="text1"/>
              </w:rPr>
              <w:t>,</w:t>
            </w:r>
            <w:r w:rsidRPr="00A23740">
              <w:rPr>
                <w:rFonts w:eastAsia="Times New Roman"/>
                <w:szCs w:val="24"/>
                <w:lang w:eastAsia="tr-TR"/>
              </w:rPr>
              <w:t xml:space="preserve"> hüküm verilmeden önce geri veren veya bunun mümkün olmaması hâlinde bedelini ödeyen borçlu hakkında verilecek ceza yarı oranında indirilir.</w:t>
            </w:r>
          </w:p>
          <w:p w:rsidR="00A32053" w:rsidRPr="002A27F8" w:rsidRDefault="00A043AD" w:rsidP="002A27F8">
            <w:pPr>
              <w:tabs>
                <w:tab w:val="left" w:pos="567"/>
              </w:tabs>
              <w:ind w:firstLine="709"/>
              <w:rPr>
                <w:rFonts w:eastAsia="Arial Unicode MS"/>
                <w:iCs/>
                <w:szCs w:val="24"/>
                <w:lang w:eastAsia="tr-TR"/>
              </w:rPr>
            </w:pPr>
            <w:r w:rsidRPr="00A23740">
              <w:rPr>
                <w:rFonts w:eastAsia="Times New Roman"/>
                <w:szCs w:val="24"/>
                <w:lang w:eastAsia="tr-TR"/>
              </w:rPr>
              <w:tab/>
              <w:t xml:space="preserve"> </w:t>
            </w: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Kiracının cezalandırılacağı haller:</w:t>
            </w:r>
          </w:p>
          <w:p w:rsidR="00A043AD" w:rsidRPr="00A23740" w:rsidRDefault="00A043AD" w:rsidP="00750F08">
            <w:pPr>
              <w:rPr>
                <w:rFonts w:eastAsia="Times New Roman"/>
                <w:b/>
                <w:strike/>
                <w:color w:val="FF0000"/>
                <w:szCs w:val="24"/>
                <w:lang w:eastAsia="x-none"/>
              </w:rPr>
            </w:pPr>
            <w:r w:rsidRPr="00A23740">
              <w:rPr>
                <w:rFonts w:eastAsia="Times New Roman"/>
                <w:b/>
                <w:szCs w:val="24"/>
                <w:lang w:eastAsia="tr-TR"/>
              </w:rPr>
              <w:t xml:space="preserve">Madde </w:t>
            </w:r>
            <w:r w:rsidRPr="00A23740">
              <w:rPr>
                <w:rFonts w:eastAsia="Times New Roman"/>
                <w:b/>
                <w:bCs/>
                <w:strike/>
                <w:color w:val="FF0000"/>
                <w:szCs w:val="24"/>
                <w:lang w:eastAsia="tr-TR"/>
              </w:rPr>
              <w:t>335</w:t>
            </w:r>
            <w:r w:rsidRPr="00A23740">
              <w:rPr>
                <w:rFonts w:eastAsia="Times New Roman"/>
                <w:b/>
                <w:szCs w:val="24"/>
                <w:lang w:eastAsia="tr-TR"/>
              </w:rPr>
              <w:t xml:space="preserve"> </w:t>
            </w:r>
            <w:r w:rsidRPr="00A23740">
              <w:rPr>
                <w:rFonts w:eastAsia="Times New Roman"/>
                <w:b/>
                <w:bCs/>
                <w:strike/>
                <w:color w:val="FF0000"/>
                <w:szCs w:val="24"/>
                <w:lang w:eastAsia="tr-TR"/>
              </w:rPr>
              <w:t>– (1)</w:t>
            </w:r>
            <w:r w:rsidRPr="00A23740">
              <w:rPr>
                <w:rFonts w:eastAsia="Times New Roman"/>
                <w:b/>
                <w:szCs w:val="24"/>
                <w:lang w:eastAsia="tr-TR"/>
              </w:rPr>
              <w:t xml:space="preserve"> </w:t>
            </w:r>
            <w:r w:rsidRPr="00A23740">
              <w:rPr>
                <w:rFonts w:eastAsia="Times New Roman"/>
                <w:b/>
                <w:bCs/>
                <w:strike/>
                <w:color w:val="FF0000"/>
                <w:szCs w:val="24"/>
                <w:lang w:eastAsia="tr-TR"/>
              </w:rPr>
              <w:t>Üzerlerinde kiralayanın hapis hakkı tanınmış ve 270 inci madde mucibince defteri yapılmış eşyayı kaçıran veya gizleyen borçlu ile</w:t>
            </w:r>
            <w:r w:rsidRPr="00A23740">
              <w:rPr>
                <w:rFonts w:eastAsia="Times New Roman"/>
                <w:b/>
                <w:color w:val="FF0000"/>
                <w:szCs w:val="24"/>
                <w:lang w:eastAsia="x-none"/>
              </w:rPr>
              <w:t xml:space="preserve"> </w:t>
            </w:r>
            <w:r w:rsidRPr="00A23740">
              <w:rPr>
                <w:rFonts w:eastAsia="Times New Roman"/>
                <w:szCs w:val="24"/>
                <w:lang w:eastAsia="tr-TR"/>
              </w:rPr>
              <w:t xml:space="preserve">tahliyesi </w:t>
            </w:r>
            <w:r w:rsidRPr="00A23740">
              <w:rPr>
                <w:b/>
                <w:bCs/>
                <w:strike/>
                <w:color w:val="FF0000"/>
                <w:szCs w:val="24"/>
              </w:rPr>
              <w:t>emrolunan</w:t>
            </w:r>
            <w:r w:rsidRPr="00A23740">
              <w:rPr>
                <w:rFonts w:eastAsia="Times New Roman"/>
                <w:szCs w:val="24"/>
                <w:lang w:eastAsia="tr-TR"/>
              </w:rPr>
              <w:t xml:space="preserve"> yeri kiralayana zarar vermek</w:t>
            </w:r>
            <w:r w:rsidRPr="00A23740">
              <w:rPr>
                <w:rFonts w:eastAsia="Times New Roman"/>
                <w:b/>
                <w:color w:val="FF0000"/>
                <w:szCs w:val="24"/>
                <w:lang w:eastAsia="x-none"/>
              </w:rPr>
              <w:t xml:space="preserve"> </w:t>
            </w:r>
            <w:r w:rsidRPr="00A23740">
              <w:rPr>
                <w:rFonts w:eastAsia="Times New Roman"/>
                <w:szCs w:val="24"/>
                <w:lang w:eastAsia="tr-TR"/>
              </w:rPr>
              <w:t>maksad</w:t>
            </w:r>
            <w:r w:rsidRPr="00A23740">
              <w:rPr>
                <w:rFonts w:eastAsia="Times New Roman"/>
                <w:b/>
                <w:bCs/>
                <w:strike/>
                <w:color w:val="FF0000"/>
                <w:szCs w:val="24"/>
                <w:lang w:eastAsia="tr-TR"/>
              </w:rPr>
              <w:t>i</w:t>
            </w:r>
            <w:r w:rsidRPr="00A23740">
              <w:rPr>
                <w:rFonts w:eastAsia="Times New Roman"/>
                <w:szCs w:val="24"/>
                <w:lang w:eastAsia="tr-TR"/>
              </w:rPr>
              <w:t>yl</w:t>
            </w:r>
            <w:r w:rsidRPr="00A23740">
              <w:rPr>
                <w:rFonts w:eastAsia="Times New Roman"/>
                <w:b/>
                <w:bCs/>
                <w:strike/>
                <w:color w:val="FF0000"/>
                <w:szCs w:val="24"/>
                <w:lang w:eastAsia="tr-TR"/>
              </w:rPr>
              <w:t>e</w:t>
            </w:r>
            <w:r w:rsidRPr="00A23740">
              <w:rPr>
                <w:rFonts w:eastAsia="Times New Roman"/>
                <w:szCs w:val="24"/>
                <w:lang w:eastAsia="tr-TR"/>
              </w:rPr>
              <w:t xml:space="preserve"> işgal </w:t>
            </w:r>
            <w:r w:rsidRPr="00A23740">
              <w:rPr>
                <w:b/>
                <w:bCs/>
                <w:strike/>
                <w:color w:val="FF0000"/>
                <w:szCs w:val="24"/>
              </w:rPr>
              <w:t>ettiren</w:t>
            </w:r>
            <w:r w:rsidRPr="00A23740">
              <w:rPr>
                <w:rFonts w:eastAsia="Times New Roman"/>
                <w:szCs w:val="24"/>
                <w:lang w:eastAsia="tr-TR"/>
              </w:rPr>
              <w:t xml:space="preserve"> </w:t>
            </w:r>
            <w:r w:rsidRPr="00A23740">
              <w:rPr>
                <w:rFonts w:eastAsia="Times New Roman"/>
                <w:b/>
                <w:strike/>
                <w:color w:val="FF0000"/>
                <w:szCs w:val="24"/>
                <w:lang w:eastAsia="x-none"/>
              </w:rPr>
              <w:t>şahıs</w:t>
            </w:r>
            <w:r w:rsidRPr="00A23740">
              <w:rPr>
                <w:rFonts w:eastAsia="Times New Roman"/>
                <w:szCs w:val="24"/>
                <w:lang w:eastAsia="tr-TR"/>
              </w:rPr>
              <w:t xml:space="preserve"> </w:t>
            </w:r>
            <w:r w:rsidRPr="00A23740">
              <w:rPr>
                <w:rFonts w:eastAsia="Times New Roman"/>
                <w:b/>
                <w:bCs/>
                <w:strike/>
                <w:color w:val="FF0000"/>
                <w:szCs w:val="24"/>
                <w:lang w:eastAsia="tr-TR"/>
              </w:rPr>
              <w:t>Türk Ceza Kanununun (</w:t>
            </w:r>
            <w:r w:rsidRPr="00A23740">
              <w:rPr>
                <w:rFonts w:eastAsia="Times New Roman"/>
                <w:b/>
                <w:strike/>
                <w:color w:val="FF0000"/>
                <w:szCs w:val="24"/>
                <w:lang w:eastAsia="x-none"/>
              </w:rPr>
              <w:t>276) ncı</w:t>
            </w:r>
            <w:r w:rsidRPr="00A23740">
              <w:rPr>
                <w:rFonts w:eastAsia="Times New Roman"/>
                <w:b/>
                <w:color w:val="FF0000"/>
                <w:szCs w:val="24"/>
                <w:lang w:eastAsia="x-none"/>
              </w:rPr>
              <w:t xml:space="preserve"> </w:t>
            </w:r>
            <w:r w:rsidRPr="00A23740">
              <w:rPr>
                <w:rFonts w:eastAsia="Times New Roman"/>
                <w:b/>
                <w:strike/>
                <w:color w:val="FF0000"/>
                <w:szCs w:val="24"/>
                <w:lang w:eastAsia="x-none"/>
              </w:rPr>
              <w:t>maddesine göre</w:t>
            </w:r>
            <w:r w:rsidRPr="00A23740">
              <w:rPr>
                <w:rFonts w:eastAsia="Times New Roman"/>
                <w:szCs w:val="24"/>
                <w:lang w:eastAsia="tr-TR"/>
              </w:rPr>
              <w:t xml:space="preserve"> cezalandırılır.</w:t>
            </w:r>
          </w:p>
          <w:p w:rsidR="00A043AD" w:rsidRPr="00A23740" w:rsidRDefault="00A043AD" w:rsidP="00750F08">
            <w:pPr>
              <w:rPr>
                <w:rFonts w:eastAsia="Times New Roman"/>
                <w:i/>
                <w:szCs w:val="24"/>
                <w:lang w:eastAsia="tr-TR"/>
              </w:rPr>
            </w:pPr>
          </w:p>
          <w:p w:rsidR="00A043AD" w:rsidRPr="00A23740" w:rsidRDefault="00A043AD" w:rsidP="00750F08">
            <w:pPr>
              <w:tabs>
                <w:tab w:val="left" w:pos="567"/>
              </w:tabs>
              <w:rPr>
                <w:rFonts w:ascii="New York" w:eastAsia="Times New Roman" w:hAnsi="New York"/>
                <w:sz w:val="18"/>
                <w:szCs w:val="20"/>
                <w:lang w:eastAsia="tr-TR"/>
              </w:rPr>
            </w:pPr>
          </w:p>
        </w:tc>
        <w:tc>
          <w:tcPr>
            <w:tcW w:w="2500" w:type="pct"/>
          </w:tcPr>
          <w:p w:rsidR="00A043AD" w:rsidRPr="00A23740" w:rsidRDefault="00A043AD" w:rsidP="00750F08">
            <w:pPr>
              <w:tabs>
                <w:tab w:val="left" w:pos="567"/>
              </w:tabs>
              <w:rPr>
                <w:b/>
                <w:bCs/>
                <w:color w:val="0000FF"/>
                <w:szCs w:val="24"/>
                <w:lang w:eastAsia="x-none"/>
              </w:rPr>
            </w:pPr>
            <w:r w:rsidRPr="00A23740">
              <w:rPr>
                <w:b/>
                <w:bCs/>
                <w:color w:val="0000FF"/>
                <w:szCs w:val="24"/>
                <w:lang w:eastAsia="x-none"/>
              </w:rPr>
              <w:t>Tahliyesi emredilen yerin işgal edilmesi</w:t>
            </w:r>
          </w:p>
          <w:p w:rsidR="00A043AD" w:rsidRPr="00A23740" w:rsidRDefault="00A043AD" w:rsidP="00750F08">
            <w:pPr>
              <w:tabs>
                <w:tab w:val="left" w:pos="567"/>
              </w:tabs>
              <w:rPr>
                <w:rFonts w:eastAsia="Times New Roman"/>
                <w:szCs w:val="24"/>
                <w:lang w:eastAsia="tr-TR"/>
              </w:rPr>
            </w:pPr>
            <w:r w:rsidRPr="00A23740">
              <w:rPr>
                <w:b/>
                <w:bCs/>
                <w:color w:val="0000FF"/>
                <w:szCs w:val="24"/>
                <w:lang w:eastAsia="x-none"/>
              </w:rPr>
              <w:t>MADDE 520- (1)</w:t>
            </w:r>
            <w:r w:rsidRPr="00A23740">
              <w:rPr>
                <w:bCs/>
                <w:color w:val="0000FF"/>
                <w:szCs w:val="24"/>
                <w:lang w:eastAsia="x-none"/>
              </w:rPr>
              <w:t xml:space="preserve"> </w:t>
            </w:r>
            <w:r w:rsidRPr="00A23740">
              <w:rPr>
                <w:rFonts w:eastAsia="Times New Roman"/>
                <w:szCs w:val="24"/>
                <w:lang w:eastAsia="tr-TR"/>
              </w:rPr>
              <w:t xml:space="preserve">Tahliyesi </w:t>
            </w:r>
            <w:r w:rsidRPr="00A23740">
              <w:rPr>
                <w:b/>
                <w:bCs/>
                <w:color w:val="0000FF"/>
                <w:szCs w:val="24"/>
                <w:lang w:eastAsia="x-none"/>
              </w:rPr>
              <w:t>emredilen</w:t>
            </w:r>
            <w:r w:rsidRPr="00A23740">
              <w:rPr>
                <w:rFonts w:eastAsia="Times New Roman"/>
                <w:szCs w:val="24"/>
                <w:lang w:eastAsia="tr-TR"/>
              </w:rPr>
              <w:t xml:space="preserve"> yeri</w:t>
            </w:r>
            <w:r w:rsidR="002048C1" w:rsidRPr="00A06764">
              <w:rPr>
                <w:rStyle w:val="MaviChar"/>
              </w:rPr>
              <w:t>,</w:t>
            </w:r>
            <w:r w:rsidRPr="00A23740">
              <w:rPr>
                <w:rFonts w:eastAsia="Times New Roman"/>
                <w:szCs w:val="24"/>
                <w:lang w:eastAsia="tr-TR"/>
              </w:rPr>
              <w:t xml:space="preserve"> </w:t>
            </w:r>
            <w:r w:rsidRPr="002E2E40">
              <w:rPr>
                <w:rStyle w:val="YELChar"/>
                <w:color w:val="0000FF"/>
              </w:rPr>
              <w:t>kiraya verene</w:t>
            </w:r>
            <w:r w:rsidRPr="002E2E40">
              <w:rPr>
                <w:rFonts w:eastAsia="Times New Roman"/>
                <w:color w:val="0000FF"/>
                <w:szCs w:val="24"/>
                <w:lang w:eastAsia="tr-TR"/>
              </w:rPr>
              <w:t xml:space="preserve"> </w:t>
            </w:r>
            <w:r w:rsidRPr="00A23740">
              <w:rPr>
                <w:rFonts w:eastAsia="Times New Roman"/>
                <w:szCs w:val="24"/>
                <w:lang w:eastAsia="tr-TR"/>
              </w:rPr>
              <w:t xml:space="preserve">zarar vermek </w:t>
            </w:r>
            <w:r w:rsidRPr="00A23740">
              <w:rPr>
                <w:b/>
                <w:bCs/>
                <w:color w:val="0000FF"/>
                <w:szCs w:val="24"/>
                <w:lang w:eastAsia="x-none"/>
              </w:rPr>
              <w:t xml:space="preserve">maksadıyla </w:t>
            </w:r>
            <w:r w:rsidRPr="00A23740">
              <w:rPr>
                <w:rFonts w:eastAsia="Times New Roman"/>
                <w:szCs w:val="24"/>
                <w:lang w:eastAsia="tr-TR"/>
              </w:rPr>
              <w:t xml:space="preserve">işgal </w:t>
            </w:r>
            <w:r w:rsidRPr="00A23740">
              <w:rPr>
                <w:b/>
                <w:bCs/>
                <w:color w:val="0000FF"/>
                <w:szCs w:val="24"/>
                <w:lang w:eastAsia="x-none"/>
              </w:rPr>
              <w:t>eden veya</w:t>
            </w:r>
            <w:r w:rsidRPr="00A23740">
              <w:rPr>
                <w:b/>
                <w:bCs/>
                <w:color w:val="FF0066"/>
                <w:szCs w:val="24"/>
                <w:lang w:eastAsia="x-none"/>
              </w:rPr>
              <w:t xml:space="preserve"> </w:t>
            </w:r>
            <w:r w:rsidRPr="00A23740">
              <w:rPr>
                <w:rFonts w:eastAsia="Times New Roman"/>
                <w:szCs w:val="24"/>
                <w:lang w:eastAsia="tr-TR"/>
              </w:rPr>
              <w:t xml:space="preserve">ettiren </w:t>
            </w:r>
            <w:r w:rsidRPr="00A23740">
              <w:rPr>
                <w:b/>
                <w:bCs/>
                <w:color w:val="0000FF"/>
                <w:szCs w:val="24"/>
                <w:lang w:eastAsia="x-none"/>
              </w:rPr>
              <w:t xml:space="preserve">kişi, </w:t>
            </w:r>
            <w:r w:rsidRPr="002E2E40">
              <w:rPr>
                <w:rStyle w:val="YELChar"/>
                <w:color w:val="0000FF"/>
              </w:rPr>
              <w:t>kiraya verenin</w:t>
            </w:r>
            <w:r w:rsidRPr="002E2E40">
              <w:rPr>
                <w:b/>
                <w:bCs/>
                <w:color w:val="0000FF"/>
                <w:szCs w:val="24"/>
                <w:lang w:eastAsia="x-none"/>
              </w:rPr>
              <w:t xml:space="preserve"> </w:t>
            </w:r>
            <w:r w:rsidRPr="00A23740">
              <w:rPr>
                <w:b/>
                <w:bCs/>
                <w:color w:val="0000FF"/>
                <w:szCs w:val="24"/>
                <w:lang w:eastAsia="x-none"/>
              </w:rPr>
              <w:t>şikâyeti üzerine, altı aydan iki yıla kadar hapis ve üç bin güne kadar adli para cezası</w:t>
            </w:r>
            <w:r w:rsidR="002048C1" w:rsidRPr="002E2E40">
              <w:rPr>
                <w:b/>
                <w:bCs/>
                <w:color w:val="0000FF"/>
                <w:szCs w:val="24"/>
                <w:lang w:eastAsia="x-none"/>
              </w:rPr>
              <w:t>yla</w:t>
            </w:r>
            <w:r w:rsidRPr="00A23740">
              <w:rPr>
                <w:b/>
                <w:bCs/>
                <w:color w:val="0000FF"/>
                <w:szCs w:val="24"/>
                <w:lang w:eastAsia="x-none"/>
              </w:rPr>
              <w:t xml:space="preserve"> </w:t>
            </w:r>
            <w:r w:rsidRPr="00A23740">
              <w:rPr>
                <w:rFonts w:eastAsia="Times New Roman"/>
                <w:szCs w:val="24"/>
                <w:lang w:eastAsia="tr-TR"/>
              </w:rPr>
              <w:t>cezalandırılır.</w:t>
            </w:r>
          </w:p>
          <w:p w:rsidR="00A043AD" w:rsidRPr="00A23740" w:rsidRDefault="00A043AD" w:rsidP="00750F08">
            <w:pPr>
              <w:tabs>
                <w:tab w:val="left" w:pos="567"/>
              </w:tabs>
              <w:rPr>
                <w:rFonts w:eastAsia="Times New Roman"/>
                <w:szCs w:val="24"/>
                <w:lang w:eastAsia="tr-TR"/>
              </w:rPr>
            </w:pPr>
          </w:p>
          <w:p w:rsidR="00A043AD" w:rsidRPr="00A23740" w:rsidRDefault="00A043AD" w:rsidP="00750F08">
            <w:pPr>
              <w:tabs>
                <w:tab w:val="left" w:pos="567"/>
              </w:tabs>
              <w:rPr>
                <w:b/>
                <w:bCs/>
                <w:color w:val="0000FF"/>
                <w:szCs w:val="24"/>
                <w:lang w:eastAsia="x-none"/>
              </w:rPr>
            </w:pPr>
            <w:r w:rsidRPr="00A23740">
              <w:rPr>
                <w:b/>
                <w:bCs/>
                <w:color w:val="0000FF"/>
                <w:szCs w:val="24"/>
                <w:lang w:eastAsia="x-none"/>
              </w:rPr>
              <w:t xml:space="preserve">(2) Hüküm verilmeden önce </w:t>
            </w:r>
            <w:r w:rsidRPr="00A23740">
              <w:rPr>
                <w:b/>
                <w:bCs/>
                <w:color w:val="0000FF"/>
                <w:szCs w:val="24"/>
                <w:lang w:val="x-none" w:eastAsia="x-none"/>
              </w:rPr>
              <w:t>tahliyesi emredilen</w:t>
            </w:r>
            <w:r w:rsidRPr="00A23740">
              <w:rPr>
                <w:b/>
                <w:bCs/>
                <w:color w:val="0000FF"/>
                <w:szCs w:val="24"/>
                <w:lang w:eastAsia="x-none"/>
              </w:rPr>
              <w:t xml:space="preserve"> yerin teslim edilmesi hâlinde</w:t>
            </w:r>
            <w:r w:rsidR="002048C1" w:rsidRPr="00AE5B12">
              <w:rPr>
                <w:rStyle w:val="MaviChar"/>
              </w:rPr>
              <w:t>,</w:t>
            </w:r>
            <w:r w:rsidRPr="00A23740">
              <w:rPr>
                <w:b/>
                <w:bCs/>
                <w:color w:val="0000FF"/>
                <w:szCs w:val="24"/>
                <w:lang w:eastAsia="x-none"/>
              </w:rPr>
              <w:t xml:space="preserve"> verilecek ceza yarı oranında indirilir.</w:t>
            </w:r>
          </w:p>
          <w:p w:rsidR="00A043AD" w:rsidRPr="00A23740" w:rsidRDefault="00A043AD" w:rsidP="00750F08">
            <w:pPr>
              <w:tabs>
                <w:tab w:val="left" w:pos="567"/>
              </w:tabs>
              <w:rPr>
                <w:rFonts w:eastAsia="Times New Roman"/>
                <w:szCs w:val="24"/>
                <w:lang w:eastAsia="tr-TR"/>
              </w:rPr>
            </w:pPr>
          </w:p>
        </w:tc>
      </w:tr>
      <w:tr w:rsidR="00A043AD" w:rsidRPr="00A23740" w:rsidTr="00750F08">
        <w:tc>
          <w:tcPr>
            <w:tcW w:w="5000" w:type="pct"/>
            <w:gridSpan w:val="2"/>
            <w:shd w:val="clear" w:color="auto" w:fill="DEEAF6"/>
          </w:tcPr>
          <w:p w:rsidR="00A043AD" w:rsidRPr="00A23740" w:rsidRDefault="00A043AD" w:rsidP="00750F08">
            <w:pPr>
              <w:tabs>
                <w:tab w:val="left" w:pos="567"/>
              </w:tabs>
              <w:rPr>
                <w:rFonts w:eastAsia="Times New Roman"/>
                <w:b/>
                <w:szCs w:val="24"/>
                <w:lang w:eastAsia="tr-TR"/>
              </w:rPr>
            </w:pPr>
          </w:p>
          <w:p w:rsidR="00A043AD" w:rsidRPr="00A23740" w:rsidRDefault="00A043AD" w:rsidP="00750F08">
            <w:pPr>
              <w:tabs>
                <w:tab w:val="left" w:pos="567"/>
              </w:tabs>
              <w:rPr>
                <w:rFonts w:eastAsia="Times New Roman"/>
                <w:szCs w:val="24"/>
                <w:lang w:eastAsia="tr-TR"/>
              </w:rPr>
            </w:pPr>
            <w:r w:rsidRPr="00A23740">
              <w:rPr>
                <w:rFonts w:eastAsia="Times New Roman"/>
                <w:b/>
                <w:szCs w:val="24"/>
                <w:lang w:eastAsia="tr-TR"/>
              </w:rPr>
              <w:tab/>
              <w:t xml:space="preserve">MADDE 520- </w:t>
            </w:r>
            <w:r w:rsidRPr="00A23740">
              <w:rPr>
                <w:rFonts w:eastAsia="Times New Roman"/>
                <w:szCs w:val="24"/>
                <w:lang w:eastAsia="tr-TR"/>
              </w:rPr>
              <w:t>Maddeyle, tahliyesi emredilen yerin işgal edilmesi suçu düzenlenmektedir.</w:t>
            </w:r>
            <w:r w:rsidRPr="00A23740">
              <w:rPr>
                <w:rFonts w:eastAsia="Times New Roman"/>
                <w:b/>
                <w:szCs w:val="24"/>
                <w:lang w:eastAsia="tr-TR"/>
              </w:rPr>
              <w:t xml:space="preserve"> </w:t>
            </w:r>
            <w:r w:rsidRPr="00A23740">
              <w:rPr>
                <w:rFonts w:eastAsia="Times New Roman"/>
                <w:szCs w:val="24"/>
                <w:lang w:eastAsia="tr-TR"/>
              </w:rPr>
              <w:t xml:space="preserve">Hüküm, 2004 sayılı Kanunun 335 inci maddesine karşılık gelmektedir. Eksik ceza normu niteliğinde olan mevcut hükmün, dili sadeleştirilmekte ve </w:t>
            </w:r>
            <w:r w:rsidR="00B93DE7" w:rsidRPr="00A23740">
              <w:rPr>
                <w:rFonts w:eastAsia="Times New Roman"/>
                <w:szCs w:val="24"/>
                <w:lang w:eastAsia="tr-TR"/>
              </w:rPr>
              <w:t xml:space="preserve">hüküm </w:t>
            </w:r>
            <w:r w:rsidRPr="00A23740">
              <w:rPr>
                <w:rFonts w:eastAsia="Times New Roman"/>
                <w:szCs w:val="24"/>
                <w:lang w:eastAsia="tr-TR"/>
              </w:rPr>
              <w:t>ceza yaptırımını da içerecek şekilde yeniden kaleme alınmaktadır.</w:t>
            </w:r>
          </w:p>
          <w:p w:rsidR="00A043AD" w:rsidRPr="00A23740" w:rsidRDefault="00A043AD" w:rsidP="00750F08">
            <w:pPr>
              <w:tabs>
                <w:tab w:val="left" w:pos="567"/>
              </w:tabs>
              <w:rPr>
                <w:rFonts w:eastAsia="Times New Roman"/>
                <w:szCs w:val="24"/>
                <w:lang w:eastAsia="tr-TR"/>
              </w:rPr>
            </w:pPr>
            <w:r w:rsidRPr="00A23740">
              <w:rPr>
                <w:rFonts w:eastAsia="Times New Roman"/>
                <w:szCs w:val="24"/>
                <w:lang w:eastAsia="tr-TR"/>
              </w:rPr>
              <w:tab/>
              <w:t xml:space="preserve">Birinci fıkrayla, tahliyesi emredilen yeri </w:t>
            </w:r>
            <w:r w:rsidRPr="002E2E40">
              <w:rPr>
                <w:rFonts w:eastAsia="Times New Roman"/>
                <w:szCs w:val="24"/>
                <w:lang w:eastAsia="tr-TR"/>
              </w:rPr>
              <w:t>kiraya</w:t>
            </w:r>
            <w:r w:rsidRPr="002E2E40">
              <w:rPr>
                <w:rFonts w:eastAsia="Times New Roman"/>
                <w:b/>
                <w:lang w:eastAsia="tr-TR"/>
              </w:rPr>
              <w:t xml:space="preserve"> </w:t>
            </w:r>
            <w:r w:rsidRPr="002E2E40">
              <w:rPr>
                <w:rFonts w:eastAsia="Times New Roman"/>
                <w:szCs w:val="24"/>
                <w:lang w:eastAsia="tr-TR"/>
              </w:rPr>
              <w:t>verene</w:t>
            </w:r>
            <w:r w:rsidRPr="00A23740">
              <w:rPr>
                <w:rFonts w:eastAsia="Times New Roman"/>
                <w:szCs w:val="24"/>
                <w:lang w:eastAsia="tr-TR"/>
              </w:rPr>
              <w:t xml:space="preserve"> zarar vermek maksadıyla (bilerek ve isteyerek) işgal eden veya ettiren kişinin, </w:t>
            </w:r>
            <w:r w:rsidRPr="002E2E40">
              <w:rPr>
                <w:rFonts w:eastAsia="Times New Roman"/>
                <w:szCs w:val="24"/>
                <w:lang w:eastAsia="tr-TR"/>
              </w:rPr>
              <w:t>kiraya</w:t>
            </w:r>
            <w:r w:rsidRPr="002E2E40">
              <w:rPr>
                <w:rFonts w:eastAsia="Times New Roman"/>
                <w:b/>
                <w:lang w:eastAsia="tr-TR"/>
              </w:rPr>
              <w:t xml:space="preserve"> </w:t>
            </w:r>
            <w:r w:rsidRPr="002E2E40">
              <w:rPr>
                <w:rFonts w:eastAsia="Times New Roman"/>
                <w:szCs w:val="24"/>
                <w:lang w:eastAsia="tr-TR"/>
              </w:rPr>
              <w:t>verenin</w:t>
            </w:r>
            <w:r w:rsidRPr="00A23740">
              <w:rPr>
                <w:rFonts w:eastAsia="Times New Roman"/>
                <w:szCs w:val="24"/>
                <w:lang w:eastAsia="tr-TR"/>
              </w:rPr>
              <w:t xml:space="preserve"> şikâyeti üzerine, altı aydan iki yıla kadar hapis ve üç bin güne kadar adli para cezası</w:t>
            </w:r>
            <w:r w:rsidR="0005528D" w:rsidRPr="002E2E40">
              <w:rPr>
                <w:rFonts w:eastAsia="Times New Roman"/>
                <w:szCs w:val="24"/>
                <w:lang w:eastAsia="tr-TR"/>
              </w:rPr>
              <w:t>yla</w:t>
            </w:r>
            <w:r w:rsidRPr="00A23740">
              <w:rPr>
                <w:rFonts w:eastAsia="Times New Roman"/>
                <w:szCs w:val="24"/>
                <w:lang w:eastAsia="tr-TR"/>
              </w:rPr>
              <w:t xml:space="preserve"> cezalandırılacağı hükme bağlanmaktadır. Burada suçun oluşması için genel kast yeterli olmayıp, “</w:t>
            </w:r>
            <w:r w:rsidRPr="002E2E40">
              <w:rPr>
                <w:rFonts w:eastAsia="Times New Roman"/>
                <w:szCs w:val="24"/>
                <w:lang w:eastAsia="tr-TR"/>
              </w:rPr>
              <w:t>kiraya</w:t>
            </w:r>
            <w:r w:rsidRPr="00A23740">
              <w:rPr>
                <w:rStyle w:val="YELChar"/>
              </w:rPr>
              <w:t xml:space="preserve"> </w:t>
            </w:r>
            <w:r w:rsidRPr="002E2E40">
              <w:rPr>
                <w:rFonts w:eastAsia="Times New Roman"/>
                <w:szCs w:val="24"/>
                <w:lang w:eastAsia="tr-TR"/>
              </w:rPr>
              <w:t>verene</w:t>
            </w:r>
            <w:r w:rsidRPr="00A23740">
              <w:rPr>
                <w:rFonts w:eastAsia="Times New Roman"/>
                <w:szCs w:val="24"/>
                <w:lang w:eastAsia="tr-TR"/>
              </w:rPr>
              <w:t xml:space="preserve"> zarar verme özel kasdı”nın da bulunması gerekir. 2004 sayılı Kanundan farklı olarak hükme, </w:t>
            </w:r>
            <w:r w:rsidRPr="002E2E40">
              <w:rPr>
                <w:rFonts w:eastAsia="Times New Roman"/>
                <w:szCs w:val="24"/>
                <w:lang w:eastAsia="tr-TR"/>
              </w:rPr>
              <w:t>kiraya</w:t>
            </w:r>
            <w:r w:rsidRPr="002E2E40">
              <w:rPr>
                <w:rFonts w:eastAsia="Times New Roman"/>
                <w:b/>
                <w:lang w:eastAsia="tr-TR"/>
              </w:rPr>
              <w:t xml:space="preserve"> </w:t>
            </w:r>
            <w:r w:rsidRPr="002E2E40">
              <w:rPr>
                <w:rFonts w:eastAsia="Times New Roman"/>
                <w:szCs w:val="24"/>
                <w:lang w:eastAsia="tr-TR"/>
              </w:rPr>
              <w:t>verenin</w:t>
            </w:r>
            <w:r w:rsidRPr="00A23740">
              <w:rPr>
                <w:rFonts w:eastAsia="Times New Roman"/>
                <w:szCs w:val="24"/>
                <w:lang w:eastAsia="tr-TR"/>
              </w:rPr>
              <w:t xml:space="preserve"> şikâyet hakkı eklenmektedir. Bu suçun oluşabilmesi için, taraflar arasında bir kira sözleşmesi mevcut olmalıdır. 2004 sayılı Kanunun 335 inci maddesinin birinci fıkrasında suçun yaptırımı,</w:t>
            </w:r>
            <w:r w:rsidR="004B4ED4" w:rsidRPr="00A23740">
              <w:rPr>
                <w:rFonts w:eastAsia="Times New Roman"/>
                <w:szCs w:val="24"/>
                <w:lang w:eastAsia="tr-TR"/>
              </w:rPr>
              <w:t xml:space="preserve"> </w:t>
            </w:r>
            <w:r w:rsidR="004B4ED4" w:rsidRPr="002E2E40">
              <w:rPr>
                <w:rFonts w:eastAsia="Times New Roman"/>
                <w:szCs w:val="24"/>
                <w:lang w:eastAsia="tr-TR"/>
              </w:rPr>
              <w:t>mülga</w:t>
            </w:r>
            <w:r w:rsidRPr="00A23740">
              <w:rPr>
                <w:rFonts w:eastAsia="Times New Roman"/>
                <w:szCs w:val="24"/>
                <w:lang w:eastAsia="tr-TR"/>
              </w:rPr>
              <w:t xml:space="preserve"> 765 sayılı</w:t>
            </w:r>
            <w:r w:rsidR="004B4ED4" w:rsidRPr="00A23740">
              <w:rPr>
                <w:rFonts w:eastAsia="Times New Roman"/>
                <w:szCs w:val="24"/>
                <w:lang w:eastAsia="tr-TR"/>
              </w:rPr>
              <w:t xml:space="preserve"> </w:t>
            </w:r>
            <w:r w:rsidR="004B4ED4" w:rsidRPr="002E2E40">
              <w:rPr>
                <w:rFonts w:eastAsia="Times New Roman"/>
                <w:szCs w:val="24"/>
                <w:lang w:eastAsia="tr-TR"/>
              </w:rPr>
              <w:t>Kanunun</w:t>
            </w:r>
            <w:r w:rsidRPr="00A23740">
              <w:rPr>
                <w:rFonts w:eastAsia="Times New Roman"/>
                <w:szCs w:val="24"/>
                <w:lang w:eastAsia="tr-TR"/>
              </w:rPr>
              <w:t xml:space="preserve"> 276 ncı maddesinin karşılığı olan 5237 sayılı</w:t>
            </w:r>
            <w:r w:rsidR="001F7CA8" w:rsidRPr="00A23740">
              <w:rPr>
                <w:rFonts w:eastAsia="Times New Roman"/>
                <w:szCs w:val="24"/>
                <w:lang w:eastAsia="tr-TR"/>
              </w:rPr>
              <w:t xml:space="preserve"> </w:t>
            </w:r>
            <w:r w:rsidR="001F7CA8" w:rsidRPr="002E2E40">
              <w:rPr>
                <w:rFonts w:eastAsia="Times New Roman"/>
                <w:szCs w:val="24"/>
                <w:lang w:eastAsia="tr-TR"/>
              </w:rPr>
              <w:t>Kanunun</w:t>
            </w:r>
            <w:r w:rsidRPr="00A23740">
              <w:rPr>
                <w:rFonts w:eastAsia="Times New Roman"/>
                <w:szCs w:val="24"/>
                <w:lang w:eastAsia="tr-TR"/>
              </w:rPr>
              <w:t xml:space="preserve"> 289 uncu maddesine atıf yapılmak suretiyle belirlenmiş; anılan 289 uncu maddenin birinci fıkrasında ise fiilin </w:t>
            </w:r>
            <w:r w:rsidR="00B93DE7" w:rsidRPr="00A23740">
              <w:rPr>
                <w:rFonts w:eastAsia="Times New Roman"/>
                <w:szCs w:val="24"/>
                <w:lang w:eastAsia="tr-TR"/>
              </w:rPr>
              <w:t xml:space="preserve">müeyyidesi </w:t>
            </w:r>
            <w:r w:rsidRPr="00A23740">
              <w:rPr>
                <w:rFonts w:eastAsia="Times New Roman"/>
                <w:szCs w:val="24"/>
                <w:lang w:eastAsia="tr-TR"/>
              </w:rPr>
              <w:t xml:space="preserve">“üç aydan iki yıla kadar hapis ve üçbin güne kadar adli para cezası” olarak tayin edilmiştir. </w:t>
            </w:r>
            <w:r w:rsidRPr="00A23740">
              <w:rPr>
                <w:rFonts w:eastAsia="Arial Unicode MS"/>
                <w:iCs/>
                <w:szCs w:val="24"/>
                <w:lang w:eastAsia="tr-TR"/>
              </w:rPr>
              <w:t>Caydırıcılığın sağlanabilmesi için hapis cezasının alt sınırı artırılmaktadır.</w:t>
            </w:r>
          </w:p>
          <w:p w:rsidR="00A043AD" w:rsidRPr="00A23740" w:rsidRDefault="00A043AD" w:rsidP="00750F08">
            <w:pPr>
              <w:tabs>
                <w:tab w:val="left" w:pos="567"/>
              </w:tabs>
              <w:rPr>
                <w:rFonts w:eastAsia="Times New Roman"/>
                <w:szCs w:val="24"/>
                <w:lang w:eastAsia="tr-TR"/>
              </w:rPr>
            </w:pPr>
            <w:r w:rsidRPr="00A23740">
              <w:rPr>
                <w:rFonts w:eastAsia="Times New Roman"/>
                <w:szCs w:val="24"/>
                <w:lang w:eastAsia="tr-TR"/>
              </w:rPr>
              <w:tab/>
              <w:t>İkinci fıkrayla, bir yenilik olarak etkin pişmanlık hükmü düzenlenmektedir. Buna göre, hüküm verilmeden önce tahliyesi emredilen yerin teslim edilmesi hâlinde verilecek ceza yarı oranında indirilir.</w:t>
            </w:r>
          </w:p>
          <w:p w:rsidR="00A043AD" w:rsidRPr="00A23740" w:rsidRDefault="00A043AD" w:rsidP="002A27F8">
            <w:pPr>
              <w:rPr>
                <w:rFonts w:eastAsia="Arial Unicode MS"/>
                <w:iCs/>
                <w:color w:val="FF0000"/>
                <w:szCs w:val="24"/>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İcra dairesince</w:t>
            </w:r>
            <w:r w:rsidRPr="00A23740">
              <w:rPr>
                <w:rFonts w:eastAsia="Times New Roman"/>
                <w:szCs w:val="24"/>
                <w:lang w:eastAsia="tr-TR"/>
              </w:rPr>
              <w:t xml:space="preserve"> teslim edilen taşınmaz veya gemiye tekrar gir</w:t>
            </w:r>
            <w:r w:rsidRPr="00A23740">
              <w:rPr>
                <w:rFonts w:eastAsia="Times New Roman"/>
                <w:b/>
                <w:bCs/>
                <w:strike/>
                <w:color w:val="FF0000"/>
                <w:szCs w:val="24"/>
                <w:lang w:eastAsia="x-none"/>
              </w:rPr>
              <w:t>enlerin cezası:</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342</w:t>
            </w:r>
            <w:r w:rsidRPr="00A23740">
              <w:rPr>
                <w:rFonts w:eastAsia="Times New Roman"/>
                <w:b/>
                <w:szCs w:val="24"/>
                <w:lang w:eastAsia="tr-TR"/>
              </w:rPr>
              <w:t xml:space="preserve"> – (1) </w:t>
            </w:r>
            <w:r w:rsidRPr="00A23740">
              <w:rPr>
                <w:rFonts w:eastAsia="Times New Roman"/>
                <w:b/>
                <w:strike/>
                <w:color w:val="FF0000"/>
                <w:szCs w:val="24"/>
                <w:lang w:eastAsia="x-none"/>
              </w:rPr>
              <w:t>(Değişik: 31/5/2005-5358/13 md.)</w:t>
            </w:r>
            <w:r w:rsidRPr="00A23740">
              <w:rPr>
                <w:rFonts w:eastAsia="Times New Roman"/>
                <w:b/>
                <w:szCs w:val="24"/>
                <w:lang w:eastAsia="tr-TR"/>
              </w:rPr>
              <w:t xml:space="preserve"> </w:t>
            </w:r>
            <w:r w:rsidRPr="00A23740">
              <w:rPr>
                <w:rFonts w:eastAsia="Times New Roman"/>
                <w:szCs w:val="24"/>
                <w:lang w:eastAsia="tr-TR"/>
              </w:rPr>
              <w:t xml:space="preserve">İcra dairesi marifetiyle alacaklıya veya alıcıya teslim edilen bir taşınmaza veya gemiye haklı bir sebep olmaksızın tekrar giren borçlu, </w:t>
            </w:r>
            <w:r w:rsidRPr="00A23740">
              <w:rPr>
                <w:rFonts w:eastAsia="Times New Roman"/>
                <w:b/>
                <w:strike/>
                <w:color w:val="FF0000"/>
                <w:szCs w:val="24"/>
                <w:lang w:eastAsia="tr-TR"/>
              </w:rPr>
              <w:t>5237 sayılı Türk Ceza Kanununun 290 ıncı maddesi mucibince umumi hükümler dairesinde</w:t>
            </w:r>
            <w:r w:rsidRPr="00A23740">
              <w:rPr>
                <w:rFonts w:eastAsia="Times New Roman"/>
                <w:szCs w:val="24"/>
                <w:lang w:eastAsia="tr-TR"/>
              </w:rPr>
              <w:t xml:space="preserve"> cezalandırılır.</w:t>
            </w:r>
          </w:p>
          <w:p w:rsidR="00A043AD" w:rsidRPr="00A23740" w:rsidRDefault="00A043AD" w:rsidP="00750F08">
            <w:pPr>
              <w:tabs>
                <w:tab w:val="left" w:pos="567"/>
              </w:tabs>
              <w:rPr>
                <w:rFonts w:ascii="New York" w:eastAsia="Times New Roman" w:hAnsi="New York"/>
                <w:sz w:val="18"/>
                <w:szCs w:val="20"/>
                <w:lang w:eastAsia="tr-TR"/>
              </w:rPr>
            </w:pPr>
          </w:p>
        </w:tc>
        <w:tc>
          <w:tcPr>
            <w:tcW w:w="2500" w:type="pct"/>
          </w:tcPr>
          <w:p w:rsidR="00A043AD" w:rsidRPr="00A23740" w:rsidRDefault="00A043AD" w:rsidP="00750F08">
            <w:pPr>
              <w:rPr>
                <w:rFonts w:eastAsia="Times New Roman"/>
                <w:b/>
                <w:bCs/>
                <w:color w:val="0000FF"/>
                <w:szCs w:val="24"/>
                <w:lang w:eastAsia="x-none"/>
              </w:rPr>
            </w:pPr>
            <w:r w:rsidRPr="00A23740">
              <w:rPr>
                <w:rFonts w:eastAsia="Times New Roman"/>
                <w:b/>
                <w:szCs w:val="24"/>
                <w:lang w:eastAsia="tr-TR"/>
              </w:rPr>
              <w:t>Teslim edilen taşınmaza veya gemiye tekrar gir</w:t>
            </w:r>
            <w:r w:rsidRPr="00A23740">
              <w:rPr>
                <w:rFonts w:eastAsia="Times New Roman"/>
                <w:b/>
                <w:bCs/>
                <w:color w:val="0000FF"/>
                <w:szCs w:val="24"/>
                <w:lang w:eastAsia="x-none"/>
              </w:rPr>
              <w:t>ilmesi</w:t>
            </w:r>
          </w:p>
          <w:p w:rsidR="00A043AD" w:rsidRPr="00A23740" w:rsidRDefault="00A043AD" w:rsidP="00750F08">
            <w:pPr>
              <w:rPr>
                <w:rFonts w:eastAsia="Times New Roman"/>
                <w:b/>
                <w:bCs/>
                <w:color w:val="0000FF"/>
                <w:szCs w:val="24"/>
                <w:lang w:eastAsia="x-none"/>
              </w:rPr>
            </w:pPr>
          </w:p>
          <w:p w:rsidR="00A043AD" w:rsidRPr="00A23740" w:rsidRDefault="00A043AD" w:rsidP="00750F08">
            <w:pPr>
              <w:rPr>
                <w:rFonts w:eastAsia="Times New Roman"/>
                <w:szCs w:val="24"/>
                <w:lang w:eastAsia="tr-TR"/>
              </w:rPr>
            </w:pPr>
            <w:r w:rsidRPr="00A23740">
              <w:rPr>
                <w:b/>
                <w:bCs/>
                <w:color w:val="0000FF"/>
                <w:szCs w:val="24"/>
                <w:lang w:eastAsia="x-none"/>
              </w:rPr>
              <w:t>MADDE 521- (1)</w:t>
            </w:r>
            <w:r w:rsidRPr="00A23740">
              <w:rPr>
                <w:bCs/>
                <w:color w:val="0000FF"/>
                <w:szCs w:val="24"/>
                <w:lang w:eastAsia="x-none"/>
              </w:rPr>
              <w:t xml:space="preserve"> </w:t>
            </w:r>
            <w:r w:rsidRPr="00A23740">
              <w:rPr>
                <w:rFonts w:eastAsia="Times New Roman"/>
                <w:szCs w:val="24"/>
                <w:lang w:eastAsia="tr-TR"/>
              </w:rPr>
              <w:t xml:space="preserve">İcra dairesi marifetiyle alacaklıya veya alıcıya teslim edilen bir taşınmaza veya gemiye </w:t>
            </w:r>
            <w:r w:rsidRPr="00A23740">
              <w:rPr>
                <w:b/>
                <w:bCs/>
                <w:color w:val="0000FF"/>
                <w:szCs w:val="24"/>
                <w:lang w:eastAsia="x-none"/>
              </w:rPr>
              <w:t>geçerli bir mazeret</w:t>
            </w:r>
            <w:r w:rsidRPr="00A23740">
              <w:rPr>
                <w:rFonts w:eastAsia="Times New Roman"/>
                <w:szCs w:val="24"/>
                <w:lang w:eastAsia="tr-TR"/>
              </w:rPr>
              <w:t xml:space="preserve"> olmaksızın tekrar giren borçlu, </w:t>
            </w:r>
            <w:r w:rsidRPr="00A23740">
              <w:rPr>
                <w:b/>
                <w:bCs/>
                <w:color w:val="0000FF"/>
                <w:szCs w:val="24"/>
                <w:lang w:eastAsia="x-none"/>
              </w:rPr>
              <w:t>alacaklı veya alıcının şikâyeti üzerine, altı aydan iki yıla kadar hapis ve üç bin güne kadar adli para cezası</w:t>
            </w:r>
            <w:r w:rsidR="002048C1" w:rsidRPr="002E2E40">
              <w:rPr>
                <w:b/>
                <w:bCs/>
                <w:color w:val="0000FF"/>
                <w:szCs w:val="24"/>
                <w:lang w:eastAsia="x-none"/>
              </w:rPr>
              <w:t>yla</w:t>
            </w:r>
            <w:r w:rsidRPr="00A23740">
              <w:rPr>
                <w:b/>
                <w:bCs/>
                <w:color w:val="0000FF"/>
                <w:szCs w:val="24"/>
                <w:lang w:eastAsia="x-none"/>
              </w:rPr>
              <w:t xml:space="preserve"> </w:t>
            </w:r>
            <w:r w:rsidRPr="00A23740">
              <w:rPr>
                <w:rFonts w:eastAsia="Times New Roman"/>
                <w:szCs w:val="24"/>
                <w:lang w:eastAsia="tr-TR"/>
              </w:rPr>
              <w:t>cezalandırılır.</w:t>
            </w:r>
          </w:p>
          <w:p w:rsidR="00A043AD" w:rsidRPr="00A23740" w:rsidRDefault="00A043AD" w:rsidP="00750F08">
            <w:pPr>
              <w:rPr>
                <w:rFonts w:eastAsia="Times New Roman"/>
                <w:szCs w:val="24"/>
                <w:lang w:eastAsia="tr-TR"/>
              </w:rPr>
            </w:pPr>
          </w:p>
          <w:p w:rsidR="00A043AD" w:rsidRPr="00A23740" w:rsidRDefault="00A043AD" w:rsidP="00750F08">
            <w:pPr>
              <w:rPr>
                <w:b/>
                <w:bCs/>
                <w:color w:val="0000FF"/>
                <w:szCs w:val="24"/>
                <w:lang w:eastAsia="x-none"/>
              </w:rPr>
            </w:pPr>
            <w:r w:rsidRPr="00A23740">
              <w:rPr>
                <w:b/>
                <w:bCs/>
                <w:color w:val="0000FF"/>
                <w:szCs w:val="24"/>
                <w:lang w:eastAsia="x-none"/>
              </w:rPr>
              <w:t>(2) Hüküm verilmeden önce taşınmazın veya geminin terk edilerek alacaklıya veya alıcıya teslim edilmesi hâlinde verilecek ceza yarı oranında indirilir.</w:t>
            </w:r>
          </w:p>
          <w:p w:rsidR="00A043AD" w:rsidRPr="00A23740" w:rsidRDefault="00A043AD" w:rsidP="00750F08">
            <w:pPr>
              <w:tabs>
                <w:tab w:val="left" w:pos="567"/>
              </w:tabs>
              <w:rPr>
                <w:rFonts w:eastAsia="Times New Roman"/>
                <w:bCs/>
                <w:strike/>
                <w:szCs w:val="24"/>
                <w:lang w:eastAsia="tr-TR"/>
              </w:rPr>
            </w:pPr>
          </w:p>
        </w:tc>
      </w:tr>
      <w:tr w:rsidR="00A043AD" w:rsidRPr="00A23740" w:rsidTr="00750F08">
        <w:tc>
          <w:tcPr>
            <w:tcW w:w="5000" w:type="pct"/>
            <w:gridSpan w:val="2"/>
            <w:shd w:val="clear" w:color="auto" w:fill="DEEAF6"/>
          </w:tcPr>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szCs w:val="24"/>
                <w:lang w:eastAsia="tr-TR"/>
              </w:rPr>
            </w:pPr>
            <w:r w:rsidRPr="00A23740">
              <w:rPr>
                <w:rFonts w:eastAsia="Times New Roman"/>
                <w:b/>
                <w:szCs w:val="24"/>
                <w:lang w:eastAsia="tr-TR"/>
              </w:rPr>
              <w:tab/>
              <w:t>MADDE 521-</w:t>
            </w:r>
            <w:r w:rsidRPr="00A23740">
              <w:rPr>
                <w:rFonts w:eastAsia="Times New Roman"/>
                <w:szCs w:val="24"/>
                <w:lang w:eastAsia="tr-TR"/>
              </w:rPr>
              <w:t xml:space="preserve"> Maddeyle, teslim edilen taşınmaza veya gemiye tekrar girilmesi suçu düzenlenmektedir.</w:t>
            </w:r>
            <w:r w:rsidRPr="00A23740">
              <w:rPr>
                <w:rFonts w:eastAsia="Times New Roman"/>
                <w:b/>
                <w:szCs w:val="24"/>
                <w:lang w:eastAsia="tr-TR"/>
              </w:rPr>
              <w:t xml:space="preserve"> </w:t>
            </w:r>
            <w:r w:rsidRPr="00A23740">
              <w:rPr>
                <w:rFonts w:eastAsia="Times New Roman"/>
                <w:szCs w:val="24"/>
                <w:lang w:eastAsia="tr-TR"/>
              </w:rPr>
              <w:t xml:space="preserve">Hüküm, 2004 sayılı Kanunun 342 nci maddesine karşılık gelmektedir. Eksik ceza normu niteliğinde olan mevcut hükmün dili sadeleştirilmekte ve </w:t>
            </w:r>
            <w:r w:rsidR="00826592" w:rsidRPr="00A23740">
              <w:rPr>
                <w:rFonts w:eastAsia="Times New Roman"/>
                <w:szCs w:val="24"/>
                <w:lang w:eastAsia="tr-TR"/>
              </w:rPr>
              <w:t xml:space="preserve">hüküm </w:t>
            </w:r>
            <w:r w:rsidRPr="00A23740">
              <w:rPr>
                <w:rFonts w:eastAsia="Times New Roman"/>
                <w:szCs w:val="24"/>
                <w:lang w:eastAsia="tr-TR"/>
              </w:rPr>
              <w:t xml:space="preserve">ceza </w:t>
            </w:r>
            <w:r w:rsidR="00826592" w:rsidRPr="00A23740">
              <w:rPr>
                <w:rFonts w:eastAsia="Times New Roman"/>
                <w:szCs w:val="24"/>
                <w:lang w:eastAsia="tr-TR"/>
              </w:rPr>
              <w:t xml:space="preserve"> müeyyidesini de </w:t>
            </w:r>
            <w:r w:rsidRPr="00A23740">
              <w:rPr>
                <w:rFonts w:eastAsia="Times New Roman"/>
                <w:szCs w:val="24"/>
                <w:lang w:eastAsia="tr-TR"/>
              </w:rPr>
              <w:t>içerecek şekilde yeniden kaleme alınmaktadır.</w:t>
            </w:r>
          </w:p>
          <w:p w:rsidR="00A043AD" w:rsidRPr="00A23740" w:rsidRDefault="00A043AD" w:rsidP="00750F08">
            <w:pPr>
              <w:rPr>
                <w:rFonts w:eastAsia="Times New Roman"/>
                <w:szCs w:val="24"/>
                <w:lang w:eastAsia="tr-TR"/>
              </w:rPr>
            </w:pPr>
            <w:r w:rsidRPr="00A23740">
              <w:rPr>
                <w:rFonts w:eastAsia="Times New Roman"/>
                <w:szCs w:val="24"/>
                <w:lang w:eastAsia="tr-TR"/>
              </w:rPr>
              <w:tab/>
              <w:t xml:space="preserve">Birinci fıkrayla, icra </w:t>
            </w:r>
            <w:r w:rsidR="00B73523" w:rsidRPr="002E2E40">
              <w:rPr>
                <w:rFonts w:eastAsia="Times New Roman"/>
                <w:szCs w:val="24"/>
                <w:lang w:eastAsia="tr-TR"/>
              </w:rPr>
              <w:t xml:space="preserve">ve iflas </w:t>
            </w:r>
            <w:r w:rsidRPr="00A23740">
              <w:rPr>
                <w:rFonts w:eastAsia="Times New Roman"/>
                <w:szCs w:val="24"/>
                <w:lang w:eastAsia="tr-TR"/>
              </w:rPr>
              <w:t>dairesi marifetiyle alacaklıya veya alıcıya teslim edilen bir taşınmaza veya gemiye geçerli bir mazeret olmaksızın tekrar giren borçlunun, alacaklı veya alıcının</w:t>
            </w:r>
            <w:r w:rsidRPr="00A23740">
              <w:rPr>
                <w:b/>
                <w:bCs/>
                <w:color w:val="0000FF"/>
                <w:szCs w:val="24"/>
                <w:lang w:eastAsia="x-none"/>
              </w:rPr>
              <w:t xml:space="preserve"> </w:t>
            </w:r>
            <w:r w:rsidRPr="00A23740">
              <w:rPr>
                <w:rFonts w:eastAsia="Times New Roman"/>
                <w:szCs w:val="24"/>
                <w:lang w:eastAsia="tr-TR"/>
              </w:rPr>
              <w:t>şikâyeti üzerine, altı aydan iki yıla kadar hapis ve üç bin güne kadar adli para cezası</w:t>
            </w:r>
            <w:r w:rsidR="0005528D" w:rsidRPr="00A06764">
              <w:rPr>
                <w:rFonts w:eastAsia="Times New Roman"/>
                <w:szCs w:val="24"/>
                <w:lang w:eastAsia="tr-TR"/>
              </w:rPr>
              <w:t>yla</w:t>
            </w:r>
            <w:r w:rsidRPr="00A23740">
              <w:rPr>
                <w:b/>
                <w:bCs/>
                <w:color w:val="0000FF"/>
                <w:szCs w:val="24"/>
                <w:lang w:eastAsia="x-none"/>
              </w:rPr>
              <w:t xml:space="preserve"> </w:t>
            </w:r>
            <w:r w:rsidRPr="00A23740">
              <w:rPr>
                <w:rFonts w:eastAsia="Times New Roman"/>
                <w:szCs w:val="24"/>
                <w:lang w:eastAsia="tr-TR"/>
              </w:rPr>
              <w:t xml:space="preserve">cezalandırılacağı kabul edilmektedir. Teslim edilen taşınmaz veya gemiye borçlunun tekrar girmesi nedeniyle taşınmaz veya geminin tahliyesine ilişkin hükümler Kanunda düzenlenmektedir. Taslağın “Taşınmazın tahliye ve teslimine ilişkin ilamların icrası” başlıklı 71 inci maddesinin birinci fıkrasının (c) bendinde, alacaklıya teslim olunan taşınmaza haklı bir sebep olmaksızın tekrar giren borçlunun ayrıca mahkeme hükmüne gerek olmaksızın icra </w:t>
            </w:r>
            <w:r w:rsidR="00B73523" w:rsidRPr="002E2E40">
              <w:rPr>
                <w:rFonts w:eastAsia="Times New Roman"/>
                <w:szCs w:val="24"/>
                <w:lang w:eastAsia="tr-TR"/>
              </w:rPr>
              <w:t>ve iflas</w:t>
            </w:r>
            <w:r w:rsidR="00B73523" w:rsidRPr="00A23740">
              <w:rPr>
                <w:b/>
                <w:bCs/>
                <w:color w:val="0000FF"/>
                <w:szCs w:val="24"/>
                <w:lang w:val="x-none" w:eastAsia="x-none"/>
              </w:rPr>
              <w:t xml:space="preserve"> </w:t>
            </w:r>
            <w:r w:rsidRPr="00A23740">
              <w:rPr>
                <w:rFonts w:eastAsia="Times New Roman"/>
                <w:szCs w:val="24"/>
                <w:lang w:eastAsia="tr-TR"/>
              </w:rPr>
              <w:t>dairesince taşınmazdan zorla çıkarılacağı ve ayrıca bu madde uyarınca hapis cezası</w:t>
            </w:r>
            <w:r w:rsidR="0005528D" w:rsidRPr="00A06764">
              <w:rPr>
                <w:rFonts w:eastAsia="Times New Roman"/>
                <w:szCs w:val="24"/>
                <w:lang w:eastAsia="tr-TR"/>
              </w:rPr>
              <w:t>yla</w:t>
            </w:r>
            <w:r w:rsidRPr="00A23740">
              <w:rPr>
                <w:rFonts w:eastAsia="Times New Roman"/>
                <w:szCs w:val="24"/>
                <w:lang w:eastAsia="tr-TR"/>
              </w:rPr>
              <w:t xml:space="preserve"> cezalandırılacağı; “Taşınmaz ihalesinde tahliye” başlıklı </w:t>
            </w:r>
            <w:r w:rsidR="007F0E7B" w:rsidRPr="002E2E40">
              <w:rPr>
                <w:rFonts w:eastAsia="Times New Roman"/>
                <w:szCs w:val="24"/>
                <w:lang w:eastAsia="tr-TR"/>
              </w:rPr>
              <w:t>253</w:t>
            </w:r>
            <w:r w:rsidR="007F0E7B" w:rsidRPr="002E2E40">
              <w:rPr>
                <w:rFonts w:eastAsia="Times New Roman"/>
                <w:b/>
                <w:bCs/>
                <w:szCs w:val="24"/>
                <w:lang w:eastAsia="tr-TR"/>
              </w:rPr>
              <w:t xml:space="preserve"> </w:t>
            </w:r>
            <w:r w:rsidR="007F0E7B" w:rsidRPr="002E2E40">
              <w:rPr>
                <w:rFonts w:eastAsia="Times New Roman"/>
                <w:szCs w:val="24"/>
                <w:lang w:eastAsia="tr-TR"/>
              </w:rPr>
              <w:t>üncü</w:t>
            </w:r>
            <w:r w:rsidR="007F0E7B" w:rsidRPr="00A23740">
              <w:rPr>
                <w:rFonts w:eastAsia="Times New Roman"/>
                <w:szCs w:val="24"/>
                <w:lang w:eastAsia="tr-TR"/>
              </w:rPr>
              <w:t xml:space="preserve"> </w:t>
            </w:r>
            <w:r w:rsidRPr="00A23740">
              <w:rPr>
                <w:rFonts w:eastAsia="Times New Roman"/>
                <w:szCs w:val="24"/>
                <w:lang w:eastAsia="tr-TR"/>
              </w:rPr>
              <w:t xml:space="preserve">maddesinin ikinci fıkrasında tahliye emrine, alıcıya teslim olunan taşınmaza haklı bir sebep olmaksızın tekrar giren borçlunun veya üçüncü kişinin ayrıca mahkeme hükmüne gerek olmaksızın icra ve iflas dairesince zorla çıkarılacağı, aksi takdirde </w:t>
            </w:r>
            <w:r w:rsidR="007F0E7B" w:rsidRPr="002E2E40">
              <w:rPr>
                <w:rFonts w:eastAsia="Times New Roman"/>
                <w:szCs w:val="24"/>
                <w:lang w:eastAsia="tr-TR"/>
              </w:rPr>
              <w:t>521 inci</w:t>
            </w:r>
            <w:r w:rsidR="007F0E7B" w:rsidRPr="00A23740">
              <w:rPr>
                <w:rFonts w:eastAsia="Times New Roman"/>
                <w:szCs w:val="24"/>
                <w:lang w:eastAsia="tr-TR"/>
              </w:rPr>
              <w:t xml:space="preserve"> </w:t>
            </w:r>
            <w:r w:rsidRPr="00A23740">
              <w:rPr>
                <w:rFonts w:eastAsia="Times New Roman"/>
                <w:szCs w:val="24"/>
                <w:lang w:eastAsia="tr-TR"/>
              </w:rPr>
              <w:t>madde gereğince hasip cezası</w:t>
            </w:r>
            <w:r w:rsidR="0005528D" w:rsidRPr="002E2E40">
              <w:rPr>
                <w:rFonts w:eastAsia="Times New Roman"/>
                <w:szCs w:val="24"/>
                <w:lang w:eastAsia="tr-TR"/>
              </w:rPr>
              <w:t>yla</w:t>
            </w:r>
            <w:r w:rsidRPr="00A23740">
              <w:rPr>
                <w:rFonts w:eastAsia="Times New Roman"/>
                <w:szCs w:val="24"/>
                <w:lang w:eastAsia="tr-TR"/>
              </w:rPr>
              <w:t xml:space="preserve"> cezalandırılacağı; “Gemilerin tahliye veya teslimine ilişkin ilamlar” başlıklı </w:t>
            </w:r>
            <w:r w:rsidR="007F0E7B" w:rsidRPr="002E2E40">
              <w:rPr>
                <w:rFonts w:eastAsia="Times New Roman"/>
                <w:szCs w:val="24"/>
                <w:lang w:eastAsia="tr-TR"/>
              </w:rPr>
              <w:t>469</w:t>
            </w:r>
            <w:r w:rsidR="007F0E7B" w:rsidRPr="00A23740">
              <w:rPr>
                <w:rStyle w:val="KonuBalChar"/>
                <w:rFonts w:eastAsia="Calibri"/>
              </w:rPr>
              <w:t xml:space="preserve"> </w:t>
            </w:r>
            <w:r w:rsidR="007F0E7B" w:rsidRPr="002E2E40">
              <w:rPr>
                <w:rFonts w:eastAsia="Times New Roman"/>
                <w:szCs w:val="24"/>
                <w:lang w:eastAsia="tr-TR"/>
              </w:rPr>
              <w:t>uncu</w:t>
            </w:r>
            <w:r w:rsidR="007F0E7B" w:rsidRPr="00A23740">
              <w:rPr>
                <w:rFonts w:eastAsia="Times New Roman"/>
                <w:szCs w:val="24"/>
                <w:lang w:eastAsia="tr-TR"/>
              </w:rPr>
              <w:t xml:space="preserve"> </w:t>
            </w:r>
            <w:r w:rsidRPr="00A23740">
              <w:rPr>
                <w:rFonts w:eastAsia="Times New Roman"/>
                <w:szCs w:val="24"/>
                <w:lang w:eastAsia="tr-TR"/>
              </w:rPr>
              <w:t xml:space="preserve">maddesinin birinci fıkrasında, alacaklıya teslim olunan gemiye haklı bir sebep olmaksızın tekrar giren borçlunun ayrıca mahkeme hükmüne gerek olmaksızın icra </w:t>
            </w:r>
            <w:r w:rsidR="00B73523" w:rsidRPr="002E2E40">
              <w:rPr>
                <w:rFonts w:eastAsia="Times New Roman"/>
                <w:szCs w:val="24"/>
                <w:lang w:eastAsia="tr-TR"/>
              </w:rPr>
              <w:t>ve</w:t>
            </w:r>
            <w:r w:rsidR="00B73523" w:rsidRPr="00A23740">
              <w:rPr>
                <w:b/>
                <w:color w:val="538135"/>
              </w:rPr>
              <w:t xml:space="preserve"> </w:t>
            </w:r>
            <w:r w:rsidR="00B73523" w:rsidRPr="002E2E40">
              <w:rPr>
                <w:rFonts w:eastAsia="Times New Roman"/>
                <w:szCs w:val="24"/>
                <w:lang w:eastAsia="tr-TR"/>
              </w:rPr>
              <w:t>iflas</w:t>
            </w:r>
            <w:r w:rsidR="00B73523" w:rsidRPr="00A23740">
              <w:rPr>
                <w:b/>
                <w:bCs/>
                <w:color w:val="0000FF"/>
                <w:szCs w:val="24"/>
                <w:lang w:val="x-none" w:eastAsia="x-none"/>
              </w:rPr>
              <w:t xml:space="preserve"> </w:t>
            </w:r>
            <w:r w:rsidRPr="00A23740">
              <w:rPr>
                <w:rFonts w:eastAsia="Times New Roman"/>
                <w:szCs w:val="24"/>
                <w:lang w:eastAsia="tr-TR"/>
              </w:rPr>
              <w:t xml:space="preserve">dairesince gemiden zorla çıkarılacağı ve bu madde uyarınca </w:t>
            </w:r>
            <w:r w:rsidR="00826592" w:rsidRPr="00A23740">
              <w:rPr>
                <w:rFonts w:eastAsia="Times New Roman"/>
                <w:szCs w:val="24"/>
                <w:lang w:eastAsia="tr-TR"/>
              </w:rPr>
              <w:t xml:space="preserve">hapis </w:t>
            </w:r>
            <w:r w:rsidRPr="00A23740">
              <w:rPr>
                <w:rFonts w:eastAsia="Times New Roman"/>
                <w:szCs w:val="24"/>
                <w:lang w:eastAsia="tr-TR"/>
              </w:rPr>
              <w:t>cezası</w:t>
            </w:r>
            <w:r w:rsidR="0005528D" w:rsidRPr="002E2E40">
              <w:rPr>
                <w:rFonts w:eastAsia="Times New Roman"/>
                <w:szCs w:val="24"/>
                <w:lang w:eastAsia="tr-TR"/>
              </w:rPr>
              <w:t>yla</w:t>
            </w:r>
            <w:r w:rsidRPr="00A23740">
              <w:rPr>
                <w:rFonts w:eastAsia="Times New Roman"/>
                <w:szCs w:val="24"/>
                <w:lang w:eastAsia="tr-TR"/>
              </w:rPr>
              <w:t xml:space="preserve"> cezalandırılacağı hükmü yer almaktadır. Bu </w:t>
            </w:r>
            <w:r w:rsidR="00535D4A" w:rsidRPr="00A23740">
              <w:rPr>
                <w:rFonts w:eastAsia="Times New Roman"/>
                <w:szCs w:val="24"/>
                <w:lang w:eastAsia="tr-TR"/>
              </w:rPr>
              <w:t>hâ</w:t>
            </w:r>
            <w:r w:rsidRPr="00A23740">
              <w:rPr>
                <w:rFonts w:eastAsia="Times New Roman"/>
                <w:szCs w:val="24"/>
                <w:lang w:eastAsia="tr-TR"/>
              </w:rPr>
              <w:t xml:space="preserve">llerde birinci fıkra uygulanır. Bu suçun oluşabilmesi için teslimin icra </w:t>
            </w:r>
            <w:r w:rsidR="00B73523" w:rsidRPr="002E2E40">
              <w:rPr>
                <w:rFonts w:eastAsia="Times New Roman"/>
                <w:szCs w:val="24"/>
                <w:lang w:eastAsia="tr-TR"/>
              </w:rPr>
              <w:t>ve iflas</w:t>
            </w:r>
            <w:r w:rsidR="00B73523" w:rsidRPr="00A23740">
              <w:rPr>
                <w:b/>
                <w:bCs/>
                <w:color w:val="0000FF"/>
                <w:szCs w:val="24"/>
                <w:lang w:val="x-none" w:eastAsia="x-none"/>
              </w:rPr>
              <w:t xml:space="preserve"> </w:t>
            </w:r>
            <w:r w:rsidRPr="00A23740">
              <w:rPr>
                <w:rFonts w:eastAsia="Times New Roman"/>
                <w:szCs w:val="24"/>
                <w:lang w:eastAsia="tr-TR"/>
              </w:rPr>
              <w:t xml:space="preserve">dairesi marifetiyle usulüne uygun olarak yapılması ve borçlunun geçerli bir mazereti olmaksızın taşınmaz veya gemiye girmesi gerekir. 2004 sayılı Kanunun ceza hükümlerinde yer alan “makbul bir mazeret”, “makbul bir sebep” ve “haklı bir sebep” ifadeleri, yeknesaklığın sağlanması amacıyla “geçerli bir mazeret” olarak değiştirilmektedir. 2004 sayılı Kanunda resen soruşturulan bir suç olan </w:t>
            </w:r>
            <w:r w:rsidR="00826592" w:rsidRPr="00A23740">
              <w:rPr>
                <w:rFonts w:eastAsia="Times New Roman"/>
                <w:szCs w:val="24"/>
                <w:lang w:eastAsia="tr-TR"/>
              </w:rPr>
              <w:t xml:space="preserve">fiil, </w:t>
            </w:r>
            <w:r w:rsidRPr="00A23740">
              <w:rPr>
                <w:rFonts w:eastAsia="Times New Roman"/>
                <w:szCs w:val="24"/>
                <w:lang w:eastAsia="tr-TR"/>
              </w:rPr>
              <w:t>Tasla</w:t>
            </w:r>
            <w:r w:rsidR="00535D4A" w:rsidRPr="00A23740">
              <w:rPr>
                <w:rFonts w:eastAsia="Times New Roman"/>
                <w:szCs w:val="24"/>
                <w:lang w:eastAsia="tr-TR"/>
              </w:rPr>
              <w:t>kta takibi şikâyete bağlı suç hâ</w:t>
            </w:r>
            <w:r w:rsidRPr="00A23740">
              <w:rPr>
                <w:rFonts w:eastAsia="Times New Roman"/>
                <w:szCs w:val="24"/>
                <w:lang w:eastAsia="tr-TR"/>
              </w:rPr>
              <w:t xml:space="preserve">line getirilmekte ve şikâyet hakkının alacaklı veya alıcıya ait olduğu tasrih edilmektedir. 2004 sayılı Kanunun 342 nci maddesinin birinci fıkrasında suçun </w:t>
            </w:r>
            <w:r w:rsidR="00826592" w:rsidRPr="00A23740">
              <w:rPr>
                <w:rFonts w:eastAsia="Times New Roman"/>
                <w:szCs w:val="24"/>
                <w:lang w:eastAsia="tr-TR"/>
              </w:rPr>
              <w:t>müeyyidesi</w:t>
            </w:r>
            <w:r w:rsidRPr="00A23740">
              <w:rPr>
                <w:rFonts w:eastAsia="Times New Roman"/>
                <w:szCs w:val="24"/>
                <w:lang w:eastAsia="tr-TR"/>
              </w:rPr>
              <w:t xml:space="preserve">, 5237 sayılı </w:t>
            </w:r>
            <w:r w:rsidR="001F7CA8" w:rsidRPr="002E2E40">
              <w:rPr>
                <w:rFonts w:eastAsia="Times New Roman"/>
                <w:szCs w:val="24"/>
                <w:lang w:eastAsia="tr-TR"/>
              </w:rPr>
              <w:t>Kanunun</w:t>
            </w:r>
            <w:r w:rsidR="001F7CA8" w:rsidRPr="00A23740">
              <w:rPr>
                <w:rFonts w:eastAsia="Times New Roman"/>
                <w:szCs w:val="24"/>
                <w:lang w:eastAsia="tr-TR"/>
              </w:rPr>
              <w:t xml:space="preserve"> </w:t>
            </w:r>
            <w:r w:rsidRPr="00A23740">
              <w:rPr>
                <w:rFonts w:eastAsia="Times New Roman"/>
                <w:szCs w:val="24"/>
                <w:lang w:eastAsia="tr-TR"/>
              </w:rPr>
              <w:t xml:space="preserve">290 ıncı maddesine atıf yapılmak suretiyle belirlenmiş; anılan 290 ıncı maddenin birinci fıkrasında ise fiilin </w:t>
            </w:r>
            <w:r w:rsidR="00826592" w:rsidRPr="00A23740">
              <w:rPr>
                <w:rFonts w:eastAsia="Times New Roman"/>
                <w:szCs w:val="24"/>
                <w:lang w:eastAsia="tr-TR"/>
              </w:rPr>
              <w:t xml:space="preserve">müeyyidesi </w:t>
            </w:r>
            <w:r w:rsidRPr="00A23740">
              <w:rPr>
                <w:rFonts w:eastAsia="Times New Roman"/>
                <w:szCs w:val="24"/>
                <w:lang w:eastAsia="tr-TR"/>
              </w:rPr>
              <w:t xml:space="preserve">“üç aydan bir yıla kadar hapis cezası” olarak tayin edilmiştir. </w:t>
            </w:r>
            <w:r w:rsidRPr="00A23740">
              <w:rPr>
                <w:rFonts w:eastAsia="Arial Unicode MS"/>
                <w:iCs/>
                <w:szCs w:val="24"/>
                <w:lang w:eastAsia="tr-TR"/>
              </w:rPr>
              <w:t>Caydırıcılığın sağlanabilmesi için hapis cezasının alt sınırı artırılmakta ve ilave olarak hükme adli para cezası eklenmektedir.</w:t>
            </w:r>
          </w:p>
          <w:p w:rsidR="00A043AD" w:rsidRPr="00A23740" w:rsidRDefault="00A043AD" w:rsidP="00750F08">
            <w:pPr>
              <w:rPr>
                <w:rFonts w:eastAsia="Times New Roman"/>
                <w:szCs w:val="24"/>
                <w:lang w:eastAsia="tr-TR"/>
              </w:rPr>
            </w:pPr>
            <w:r w:rsidRPr="00A23740">
              <w:rPr>
                <w:rFonts w:eastAsia="Times New Roman"/>
                <w:szCs w:val="24"/>
                <w:lang w:eastAsia="tr-TR"/>
              </w:rPr>
              <w:tab/>
              <w:t>İkinci fıkrayla, bir yenilik olarak etkin pişmanlık hükmü kabul edilmektedir. Buna göre hüküm verilmeden önce taşınmazın veya geminin terk edilerek alacaklıya</w:t>
            </w:r>
            <w:r w:rsidR="00535D4A" w:rsidRPr="00A23740">
              <w:rPr>
                <w:rFonts w:eastAsia="Times New Roman"/>
                <w:szCs w:val="24"/>
                <w:lang w:eastAsia="tr-TR"/>
              </w:rPr>
              <w:t xml:space="preserve"> veya alıcıya teslim edilmesi hâ</w:t>
            </w:r>
            <w:r w:rsidRPr="00A23740">
              <w:rPr>
                <w:rFonts w:eastAsia="Times New Roman"/>
                <w:szCs w:val="24"/>
                <w:lang w:eastAsia="tr-TR"/>
              </w:rPr>
              <w:t>linde verilecek ceza yarı oranında indirilir.</w:t>
            </w:r>
          </w:p>
          <w:p w:rsidR="000C3326" w:rsidRPr="00A23740" w:rsidRDefault="000C3326" w:rsidP="002A27F8">
            <w:pPr>
              <w:rPr>
                <w:rFonts w:eastAsia="Arial Unicode MS"/>
                <w:iCs/>
                <w:strike/>
                <w:color w:val="FF0000"/>
                <w:szCs w:val="24"/>
              </w:rPr>
            </w:pPr>
          </w:p>
        </w:tc>
      </w:tr>
      <w:tr w:rsidR="00A043AD" w:rsidRPr="00A23740" w:rsidTr="00750F08">
        <w:tc>
          <w:tcPr>
            <w:tcW w:w="2500" w:type="pct"/>
          </w:tcPr>
          <w:p w:rsidR="00A043AD" w:rsidRPr="00A23740" w:rsidRDefault="00A043AD" w:rsidP="00750F08">
            <w:pPr>
              <w:tabs>
                <w:tab w:val="left" w:pos="567"/>
              </w:tabs>
              <w:rPr>
                <w:rFonts w:eastAsia="Arial Unicode MS"/>
                <w:b/>
                <w:bCs/>
                <w:strike/>
                <w:color w:val="FF0000"/>
                <w:szCs w:val="24"/>
                <w:lang w:val="x-none" w:eastAsia="x-none"/>
              </w:rPr>
            </w:pPr>
            <w:r w:rsidRPr="00A23740">
              <w:rPr>
                <w:rFonts w:eastAsia="Arial Unicode MS"/>
                <w:b/>
                <w:bCs/>
                <w:strike/>
                <w:color w:val="FF0000"/>
                <w:szCs w:val="24"/>
                <w:lang w:val="x-none" w:eastAsia="x-none"/>
              </w:rPr>
              <w:t>Artırmadan çekilme :</w:t>
            </w:r>
          </w:p>
          <w:p w:rsidR="00A043AD" w:rsidRPr="00A23740" w:rsidRDefault="00A043AD" w:rsidP="00750F08">
            <w:pPr>
              <w:tabs>
                <w:tab w:val="left" w:pos="567"/>
              </w:tabs>
              <w:rPr>
                <w:rFonts w:eastAsia="Arial Unicode MS"/>
                <w:b/>
                <w:bCs/>
                <w:strike/>
                <w:color w:val="FF0000"/>
                <w:szCs w:val="24"/>
                <w:lang w:val="x-none" w:eastAsia="tr-TR"/>
              </w:rPr>
            </w:pPr>
            <w:r w:rsidRPr="00A23740">
              <w:rPr>
                <w:rFonts w:eastAsia="Arial Unicode MS"/>
                <w:b/>
                <w:bCs/>
                <w:strike/>
                <w:color w:val="FF0000"/>
                <w:szCs w:val="24"/>
                <w:lang w:val="x-none" w:eastAsia="tr-TR"/>
              </w:rPr>
              <w:t xml:space="preserve">Madde 345/b – (1) </w:t>
            </w:r>
            <w:r w:rsidRPr="00A23740">
              <w:rPr>
                <w:rFonts w:eastAsia="Times New Roman"/>
                <w:b/>
                <w:bCs/>
                <w:strike/>
                <w:color w:val="FF0000"/>
                <w:szCs w:val="24"/>
                <w:lang w:val="x-none" w:eastAsia="tr-TR"/>
              </w:rPr>
              <w:t xml:space="preserve">(Ek: 9/11/1988-3494/59 md.; Değişik: 31/5/2005-5358/17 md.) </w:t>
            </w:r>
            <w:r w:rsidRPr="00A23740">
              <w:rPr>
                <w:rFonts w:eastAsia="Arial Unicode MS"/>
                <w:b/>
                <w:bCs/>
                <w:strike/>
                <w:color w:val="FF0000"/>
                <w:szCs w:val="24"/>
                <w:lang w:val="x-none" w:eastAsia="tr-TR"/>
              </w:rPr>
              <w:t xml:space="preserve">Bu Kanuna göre yapılan ihalelerde kendisine veya başkasına vaat olunan veya sağlanan yarar karşılığında artırmadan çekilen veya artırmaya katılmayan </w:t>
            </w:r>
            <w:r w:rsidRPr="00A23740">
              <w:rPr>
                <w:rFonts w:eastAsia="Times New Roman"/>
                <w:b/>
                <w:bCs/>
                <w:strike/>
                <w:color w:val="FF0000"/>
                <w:szCs w:val="24"/>
                <w:lang w:val="x-none" w:eastAsia="tr-TR"/>
              </w:rPr>
              <w:t>kimseye bir yıla kadar hapis ve bin güne kadar adlî para cezası verilir.</w:t>
            </w:r>
          </w:p>
          <w:p w:rsidR="00A043AD" w:rsidRPr="00A23740" w:rsidRDefault="00A043AD" w:rsidP="00750F08">
            <w:pPr>
              <w:tabs>
                <w:tab w:val="left" w:pos="567"/>
              </w:tabs>
              <w:rPr>
                <w:rFonts w:eastAsia="Times New Roman"/>
                <w:b/>
                <w:bCs/>
                <w:strike/>
                <w:color w:val="FF0000"/>
                <w:szCs w:val="24"/>
                <w:lang w:val="x-none" w:eastAsia="tr-TR"/>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(2) Aracılara da aynı ceza verilir.</w:t>
            </w:r>
          </w:p>
          <w:p w:rsidR="00A043AD" w:rsidRPr="00A23740" w:rsidRDefault="00A043AD" w:rsidP="00750F08">
            <w:pPr>
              <w:tabs>
                <w:tab w:val="left" w:pos="567"/>
              </w:tabs>
              <w:rPr>
                <w:b/>
                <w:bCs/>
                <w:color w:val="FF0000"/>
                <w:szCs w:val="24"/>
                <w:lang w:eastAsia="x-none"/>
              </w:rPr>
            </w:pPr>
          </w:p>
        </w:tc>
        <w:tc>
          <w:tcPr>
            <w:tcW w:w="2500" w:type="pct"/>
          </w:tcPr>
          <w:p w:rsidR="00A043AD" w:rsidRPr="00A23740" w:rsidRDefault="00A043AD" w:rsidP="001C3ADB">
            <w:pPr>
              <w:pStyle w:val="KIRMIZI"/>
              <w:rPr>
                <w:b w:val="0"/>
                <w:color w:val="FF0066"/>
                <w:lang w:eastAsia="tr-TR"/>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I. Cezai hükümler</w:t>
            </w:r>
          </w:p>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Alacaklısını zarara sokmak kasdiyle mevcudunu eksilten borçluların cezası:</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331</w:t>
            </w:r>
            <w:r w:rsidRPr="00A23740">
              <w:rPr>
                <w:rFonts w:eastAsia="Times New Roman"/>
                <w:b/>
                <w:szCs w:val="24"/>
                <w:lang w:eastAsia="tr-TR"/>
              </w:rPr>
              <w:t xml:space="preserve">- </w:t>
            </w:r>
            <w:r w:rsidRPr="00A23740">
              <w:rPr>
                <w:rFonts w:eastAsia="Times New Roman"/>
                <w:b/>
                <w:strike/>
                <w:color w:val="FF0000"/>
                <w:szCs w:val="24"/>
                <w:lang w:eastAsia="tr-TR"/>
              </w:rPr>
              <w:t>(1)</w:t>
            </w:r>
            <w:r w:rsidRPr="00A23740">
              <w:rPr>
                <w:rFonts w:eastAsia="Times New Roman"/>
                <w:b/>
                <w:szCs w:val="24"/>
                <w:lang w:eastAsia="tr-TR"/>
              </w:rPr>
              <w:t xml:space="preserve"> </w:t>
            </w:r>
            <w:r w:rsidRPr="00A23740">
              <w:rPr>
                <w:rFonts w:eastAsia="Times New Roman"/>
                <w:b/>
                <w:strike/>
                <w:color w:val="FF0000"/>
                <w:szCs w:val="24"/>
                <w:lang w:eastAsia="x-none"/>
              </w:rPr>
              <w:t>(Değişik: 31/5/2005-5358/1 md.)</w:t>
            </w:r>
            <w:r w:rsidRPr="00A23740">
              <w:rPr>
                <w:rFonts w:eastAsia="Times New Roman"/>
                <w:szCs w:val="24"/>
                <w:lang w:eastAsia="tr-TR"/>
              </w:rPr>
              <w:t xml:space="preserve"> Haciz yolu </w:t>
            </w:r>
            <w:r w:rsidRPr="00A23740">
              <w:rPr>
                <w:rFonts w:eastAsia="Times New Roman"/>
                <w:b/>
                <w:strike/>
                <w:color w:val="FF0000"/>
                <w:szCs w:val="24"/>
                <w:lang w:eastAsia="x-none"/>
              </w:rPr>
              <w:t>ile</w:t>
            </w:r>
            <w:r w:rsidRPr="00A23740">
              <w:rPr>
                <w:rFonts w:eastAsia="Times New Roman"/>
                <w:szCs w:val="24"/>
                <w:lang w:eastAsia="tr-TR"/>
              </w:rPr>
              <w:t xml:space="preserve"> takip</w:t>
            </w:r>
            <w:r w:rsidRPr="00A23740">
              <w:rPr>
                <w:rFonts w:eastAsia="Times New Roman"/>
                <w:b/>
                <w:strike/>
                <w:color w:val="FF0000"/>
                <w:szCs w:val="24"/>
                <w:lang w:eastAsia="x-none"/>
              </w:rPr>
              <w:t xml:space="preserve"> </w:t>
            </w:r>
            <w:r w:rsidRPr="00A23740">
              <w:rPr>
                <w:rFonts w:eastAsia="Times New Roman"/>
                <w:szCs w:val="24"/>
                <w:lang w:eastAsia="tr-TR"/>
              </w:rPr>
              <w:t xml:space="preserve">talebinden sonra </w:t>
            </w:r>
            <w:r w:rsidRPr="00A23740">
              <w:rPr>
                <w:rFonts w:eastAsia="Times New Roman"/>
                <w:b/>
                <w:strike/>
                <w:color w:val="FF0000"/>
                <w:szCs w:val="24"/>
                <w:lang w:eastAsia="x-none"/>
              </w:rPr>
              <w:t>veya</w:t>
            </w:r>
            <w:r w:rsidRPr="00A23740">
              <w:rPr>
                <w:rFonts w:eastAsia="Times New Roman"/>
                <w:szCs w:val="24"/>
                <w:lang w:eastAsia="tr-TR"/>
              </w:rPr>
              <w:t xml:space="preserve"> bu talep</w:t>
            </w:r>
            <w:r w:rsidRPr="00A23740">
              <w:rPr>
                <w:rFonts w:eastAsia="Times New Roman"/>
                <w:b/>
                <w:strike/>
                <w:color w:val="FF0000"/>
                <w:szCs w:val="24"/>
                <w:lang w:eastAsia="x-none"/>
              </w:rPr>
              <w:t>ten</w:t>
            </w:r>
            <w:r w:rsidRPr="00A23740">
              <w:rPr>
                <w:rFonts w:eastAsia="Times New Roman"/>
                <w:b/>
                <w:color w:val="FF0000"/>
                <w:szCs w:val="24"/>
                <w:lang w:eastAsia="x-none"/>
              </w:rPr>
              <w:t xml:space="preserve"> </w:t>
            </w:r>
            <w:r w:rsidRPr="00A23740">
              <w:rPr>
                <w:rFonts w:eastAsia="Times New Roman"/>
                <w:szCs w:val="24"/>
                <w:lang w:eastAsia="tr-TR"/>
              </w:rPr>
              <w:t>önceki iki yıl içinde borçlu</w:t>
            </w:r>
            <w:r w:rsidRPr="00A23740">
              <w:rPr>
                <w:rFonts w:eastAsia="Times New Roman"/>
                <w:b/>
                <w:strike/>
                <w:color w:val="FF0000"/>
                <w:szCs w:val="24"/>
                <w:lang w:eastAsia="x-none"/>
              </w:rPr>
              <w:t>;</w:t>
            </w:r>
            <w:r w:rsidRPr="00A23740">
              <w:rPr>
                <w:rFonts w:eastAsia="Times New Roman"/>
                <w:szCs w:val="24"/>
                <w:lang w:eastAsia="x-none"/>
              </w:rPr>
              <w:t xml:space="preserve"> </w:t>
            </w:r>
            <w:r w:rsidRPr="00A23740">
              <w:rPr>
                <w:rFonts w:eastAsia="Times New Roman"/>
                <w:szCs w:val="24"/>
                <w:lang w:eastAsia="tr-TR"/>
              </w:rPr>
              <w:t xml:space="preserve">alacaklısını zarara </w:t>
            </w:r>
            <w:r w:rsidRPr="00A23740">
              <w:rPr>
                <w:b/>
                <w:bCs/>
                <w:strike/>
                <w:color w:val="FF0000"/>
                <w:szCs w:val="24"/>
              </w:rPr>
              <w:t>sokmak</w:t>
            </w:r>
            <w:r w:rsidRPr="00A23740">
              <w:rPr>
                <w:rFonts w:eastAsia="Times New Roman"/>
                <w:szCs w:val="24"/>
                <w:lang w:eastAsia="tr-TR"/>
              </w:rPr>
              <w:t xml:space="preserve"> maksadıyla</w:t>
            </w:r>
            <w:r w:rsidRPr="00A23740">
              <w:rPr>
                <w:rFonts w:eastAsia="Times New Roman"/>
                <w:b/>
                <w:strike/>
                <w:color w:val="FF0000"/>
                <w:szCs w:val="24"/>
                <w:lang w:eastAsia="tr-TR"/>
              </w:rPr>
              <w:t>,</w:t>
            </w:r>
            <w:r w:rsidRPr="00A23740">
              <w:rPr>
                <w:rFonts w:eastAsia="Times New Roman"/>
                <w:b/>
                <w:strike/>
                <w:color w:val="FF0000"/>
                <w:szCs w:val="24"/>
                <w:lang w:eastAsia="x-none"/>
              </w:rPr>
              <w:t xml:space="preserve"> mallarını veya bunlardan bir kısmını mülkünden çıkararak, telef ederek veya kıymetten düşürerek hakiki surette yahut gizleyerek muvazaa yoluyla başkasının uhdesine geçirerek veya asıl olmayan borçlar ikrar ederek mevcudunu suni surette</w:t>
            </w:r>
            <w:r w:rsidRPr="00A23740">
              <w:rPr>
                <w:rFonts w:eastAsia="Times New Roman"/>
                <w:szCs w:val="24"/>
                <w:lang w:eastAsia="tr-TR"/>
              </w:rPr>
              <w:t xml:space="preserve"> eksiltirse, </w:t>
            </w:r>
            <w:r w:rsidRPr="00A23740">
              <w:rPr>
                <w:rFonts w:eastAsia="Times New Roman"/>
                <w:b/>
                <w:strike/>
                <w:color w:val="FF0000"/>
                <w:szCs w:val="24"/>
                <w:lang w:eastAsia="x-none"/>
              </w:rPr>
              <w:t>aleyhine</w:t>
            </w:r>
            <w:r w:rsidRPr="00A23740">
              <w:rPr>
                <w:rFonts w:eastAsia="Times New Roman"/>
                <w:b/>
                <w:color w:val="FF0000"/>
                <w:szCs w:val="24"/>
                <w:lang w:eastAsia="x-none"/>
              </w:rPr>
              <w:t xml:space="preserve"> </w:t>
            </w:r>
            <w:r w:rsidRPr="00A23740">
              <w:rPr>
                <w:rFonts w:eastAsia="Times New Roman"/>
                <w:szCs w:val="24"/>
                <w:lang w:eastAsia="x-none"/>
              </w:rPr>
              <w:t>aciz belgesi</w:t>
            </w:r>
            <w:r w:rsidRPr="00A23740">
              <w:rPr>
                <w:rFonts w:eastAsia="Times New Roman"/>
                <w:b/>
                <w:strike/>
                <w:color w:val="FF0000"/>
                <w:szCs w:val="24"/>
                <w:lang w:eastAsia="x-none"/>
              </w:rPr>
              <w:t xml:space="preserve"> aldığını veya alacaklı</w:t>
            </w:r>
            <w:r w:rsidRPr="00A23740">
              <w:rPr>
                <w:rFonts w:eastAsia="Times New Roman"/>
                <w:b/>
                <w:color w:val="FF0000"/>
                <w:szCs w:val="24"/>
                <w:lang w:eastAsia="x-none"/>
              </w:rPr>
              <w:t xml:space="preserve"> </w:t>
            </w:r>
            <w:r w:rsidRPr="00A23740">
              <w:rPr>
                <w:rFonts w:eastAsia="Times New Roman"/>
                <w:szCs w:val="24"/>
                <w:lang w:eastAsia="x-none"/>
              </w:rPr>
              <w:t>alacağını alamadığını ispat</w:t>
            </w:r>
            <w:r w:rsidRPr="00A23740">
              <w:rPr>
                <w:rFonts w:eastAsia="Times New Roman"/>
                <w:b/>
                <w:color w:val="FF0000"/>
                <w:szCs w:val="24"/>
                <w:lang w:eastAsia="x-none"/>
              </w:rPr>
              <w:t xml:space="preserve"> </w:t>
            </w:r>
            <w:r w:rsidRPr="00A23740">
              <w:rPr>
                <w:rFonts w:eastAsia="Times New Roman"/>
                <w:b/>
                <w:strike/>
                <w:color w:val="FF0000"/>
                <w:szCs w:val="24"/>
                <w:lang w:eastAsia="x-none"/>
              </w:rPr>
              <w:t>ettiği takdirde, altı aydan üç</w:t>
            </w:r>
            <w:r w:rsidRPr="00A23740">
              <w:rPr>
                <w:rFonts w:eastAsia="Times New Roman"/>
                <w:szCs w:val="24"/>
                <w:lang w:eastAsia="tr-TR"/>
              </w:rPr>
              <w:t xml:space="preserve"> yıla kadar hapis ve bin güne kadar adlî para cezası ile</w:t>
            </w:r>
            <w:r w:rsidRPr="00A23740">
              <w:rPr>
                <w:rFonts w:eastAsia="Times New Roman"/>
                <w:b/>
                <w:strike/>
                <w:color w:val="FF0000"/>
                <w:szCs w:val="24"/>
                <w:lang w:eastAsia="x-none"/>
              </w:rPr>
              <w:t xml:space="preserve"> </w:t>
            </w:r>
            <w:r w:rsidRPr="00A23740">
              <w:rPr>
                <w:rFonts w:eastAsia="Times New Roman"/>
                <w:szCs w:val="24"/>
                <w:lang w:eastAsia="tr-TR"/>
              </w:rPr>
              <w:t>cezalandırılır.</w:t>
            </w:r>
          </w:p>
          <w:p w:rsidR="00A043AD" w:rsidRPr="00A23740" w:rsidRDefault="00A043AD" w:rsidP="00750F08">
            <w:pPr>
              <w:rPr>
                <w:rFonts w:eastAsia="Times New Roman"/>
                <w:szCs w:val="24"/>
                <w:lang w:eastAsia="tr-TR"/>
              </w:rPr>
            </w:pPr>
          </w:p>
          <w:p w:rsidR="007F0E7B" w:rsidRPr="00A23740" w:rsidRDefault="007F0E7B"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Fonts w:eastAsia="Times New Roman"/>
                <w:b/>
                <w:strike/>
                <w:color w:val="FF0000"/>
                <w:szCs w:val="24"/>
                <w:lang w:eastAsia="tr-TR"/>
              </w:rPr>
              <w:t>(2)</w:t>
            </w:r>
            <w:r w:rsidRPr="00A23740">
              <w:rPr>
                <w:rFonts w:eastAsia="Times New Roman"/>
                <w:szCs w:val="24"/>
                <w:lang w:eastAsia="tr-TR"/>
              </w:rPr>
              <w:t xml:space="preserve"> İflas takibinden veya doğrudan doğruya iflas hallerinde iflas talebinden önce birinci fıkradaki fiilleri işleyen borçlu hakkında da bu</w:t>
            </w:r>
            <w:r w:rsidRPr="00A23740">
              <w:rPr>
                <w:rFonts w:eastAsia="Times New Roman"/>
                <w:b/>
                <w:strike/>
                <w:color w:val="FF0000"/>
                <w:szCs w:val="24"/>
                <w:lang w:eastAsia="tr-TR"/>
              </w:rPr>
              <w:t xml:space="preserve"> fiiller başka bir suç oluştursa dahi</w:t>
            </w:r>
            <w:r w:rsidRPr="00A23740">
              <w:rPr>
                <w:rFonts w:eastAsia="Times New Roman"/>
                <w:szCs w:val="24"/>
                <w:lang w:eastAsia="tr-TR"/>
              </w:rPr>
              <w:t xml:space="preserve"> bu hükümler uygulanır.</w:t>
            </w:r>
          </w:p>
          <w:p w:rsidR="00A043AD" w:rsidRPr="00A23740" w:rsidRDefault="00A043AD" w:rsidP="00750F08">
            <w:pPr>
              <w:rPr>
                <w:rFonts w:eastAsia="Times New Roman"/>
                <w:szCs w:val="24"/>
                <w:lang w:eastAsia="tr-TR"/>
              </w:rPr>
            </w:pPr>
          </w:p>
          <w:p w:rsidR="00A043AD" w:rsidRPr="00A23740" w:rsidRDefault="00A043AD" w:rsidP="00750F08">
            <w:pPr>
              <w:tabs>
                <w:tab w:val="left" w:pos="567"/>
              </w:tabs>
              <w:rPr>
                <w:rFonts w:eastAsia="Times New Roman"/>
                <w:b/>
                <w:bCs/>
                <w:strike/>
                <w:color w:val="FF0000"/>
                <w:szCs w:val="24"/>
                <w:lang w:eastAsia="x-none"/>
              </w:rPr>
            </w:pPr>
            <w:r w:rsidRPr="00A23740">
              <w:rPr>
                <w:rFonts w:eastAsia="Times New Roman"/>
                <w:b/>
                <w:bCs/>
                <w:strike/>
                <w:color w:val="FF0000"/>
                <w:szCs w:val="24"/>
                <w:lang w:eastAsia="x-none"/>
              </w:rPr>
              <w:t>(3) Konkordato mühleti veya iflasın ertelenmesi talebinden önceki iki yıl içinde ya da konkordato mühleti talebi veya iflasın ertelenmesi süresinden sonra birinci fıkradaki fiilleri işleyen borçlu hakkında da bu hükümler uygulanır.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Fonts w:eastAsia="Times New Roman"/>
                <w:b/>
                <w:bCs/>
                <w:strike/>
                <w:color w:val="FF0000"/>
                <w:szCs w:val="24"/>
                <w:lang w:eastAsia="x-none"/>
              </w:rPr>
              <w:t>(4)</w:t>
            </w:r>
            <w:r w:rsidRPr="00A23740">
              <w:rPr>
                <w:rFonts w:eastAsia="Times New Roman"/>
                <w:szCs w:val="24"/>
                <w:lang w:eastAsia="tr-TR"/>
              </w:rPr>
              <w:t xml:space="preserve"> Taşınmaz rehni kapsamında bulunan eklenti</w:t>
            </w:r>
            <w:r w:rsidRPr="00A23740">
              <w:rPr>
                <w:rFonts w:eastAsia="Times New Roman"/>
                <w:b/>
                <w:strike/>
                <w:color w:val="FF0000"/>
                <w:szCs w:val="24"/>
                <w:lang w:eastAsia="x-none"/>
              </w:rPr>
              <w:t>nin</w:t>
            </w:r>
            <w:r w:rsidRPr="00A23740">
              <w:rPr>
                <w:rFonts w:eastAsia="Times New Roman"/>
                <w:szCs w:val="24"/>
                <w:lang w:eastAsia="tr-TR"/>
              </w:rPr>
              <w:t xml:space="preserve"> rehin alacaklısına zarar vermek kastı ile taşınmaz dışına çıkar</w:t>
            </w:r>
            <w:r w:rsidRPr="00A23740">
              <w:rPr>
                <w:rFonts w:eastAsia="Times New Roman"/>
                <w:b/>
                <w:strike/>
                <w:color w:val="FF0000"/>
                <w:szCs w:val="24"/>
                <w:lang w:eastAsia="x-none"/>
              </w:rPr>
              <w:t>ılması halinde, eklentinin zilyedi</w:t>
            </w:r>
            <w:r w:rsidRPr="00A23740">
              <w:rPr>
                <w:rFonts w:eastAsia="Times New Roman"/>
                <w:szCs w:val="24"/>
                <w:lang w:eastAsia="tr-TR"/>
              </w:rPr>
              <w:t xml:space="preserve"> iki yıldan </w:t>
            </w:r>
            <w:r w:rsidRPr="00A23740">
              <w:rPr>
                <w:rFonts w:eastAsia="Times New Roman"/>
                <w:b/>
                <w:strike/>
                <w:color w:val="FF0000"/>
                <w:szCs w:val="24"/>
                <w:lang w:eastAsia="x-none"/>
              </w:rPr>
              <w:t>dört</w:t>
            </w:r>
            <w:r w:rsidRPr="00A23740">
              <w:rPr>
                <w:rFonts w:eastAsia="Times New Roman"/>
                <w:szCs w:val="24"/>
                <w:lang w:eastAsia="tr-TR"/>
              </w:rPr>
              <w:t xml:space="preserve"> yıla kadar hapis ve bin güne kadar adlî para cezası ile cezalandırılır.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strike/>
                <w:color w:val="FF0000"/>
                <w:szCs w:val="24"/>
                <w:lang w:eastAsia="x-none"/>
              </w:rPr>
            </w:pPr>
            <w:r w:rsidRPr="00A23740">
              <w:rPr>
                <w:rFonts w:eastAsia="Times New Roman"/>
                <w:b/>
                <w:bCs/>
                <w:strike/>
                <w:color w:val="FF0000"/>
                <w:szCs w:val="24"/>
                <w:lang w:eastAsia="x-none"/>
              </w:rPr>
              <w:t>(5</w:t>
            </w:r>
            <w:r w:rsidRPr="00A23740">
              <w:rPr>
                <w:rFonts w:eastAsia="Times New Roman"/>
                <w:b/>
                <w:strike/>
                <w:color w:val="FF0000"/>
                <w:szCs w:val="24"/>
                <w:lang w:eastAsia="x-none"/>
              </w:rPr>
              <w:t>) Bu suçlar alacaklının şikâyeti üzerine takip olunur.</w:t>
            </w: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tabs>
                <w:tab w:val="left" w:pos="567"/>
              </w:tabs>
              <w:rPr>
                <w:b/>
                <w:bCs/>
                <w:color w:val="0000FF"/>
                <w:szCs w:val="24"/>
                <w:lang w:eastAsia="x-none"/>
              </w:rPr>
            </w:pPr>
            <w:r w:rsidRPr="00A23740">
              <w:rPr>
                <w:b/>
                <w:bCs/>
                <w:color w:val="0000FF"/>
                <w:szCs w:val="24"/>
                <w:lang w:eastAsia="x-none"/>
              </w:rPr>
              <w:t>Malvarlığının kasten eksiltilmesi</w:t>
            </w:r>
          </w:p>
          <w:p w:rsidR="00A043AD" w:rsidRPr="00A23740" w:rsidRDefault="00A043AD" w:rsidP="00750F08">
            <w:pPr>
              <w:rPr>
                <w:b/>
                <w:bCs/>
                <w:color w:val="0000FF"/>
                <w:szCs w:val="24"/>
                <w:lang w:eastAsia="x-none"/>
              </w:rPr>
            </w:pPr>
            <w:r w:rsidRPr="00A23740">
              <w:rPr>
                <w:b/>
                <w:bCs/>
                <w:color w:val="0000FF"/>
                <w:szCs w:val="24"/>
                <w:lang w:eastAsia="x-none"/>
              </w:rPr>
              <w:t>MADDE 522- (1)</w:t>
            </w:r>
            <w:r w:rsidRPr="00A23740">
              <w:rPr>
                <w:bCs/>
                <w:szCs w:val="24"/>
                <w:lang w:eastAsia="x-none"/>
              </w:rPr>
              <w:t xml:space="preserve"> Haciz </w:t>
            </w:r>
            <w:r w:rsidRPr="00A23740">
              <w:rPr>
                <w:b/>
                <w:bCs/>
                <w:color w:val="0000FF"/>
                <w:szCs w:val="24"/>
                <w:lang w:eastAsia="x-none"/>
              </w:rPr>
              <w:t xml:space="preserve">veya taşınır rehninin paraya çevrilmesi </w:t>
            </w:r>
            <w:r w:rsidRPr="00A23740">
              <w:rPr>
                <w:bCs/>
                <w:szCs w:val="24"/>
                <w:lang w:eastAsia="x-none"/>
              </w:rPr>
              <w:t>yolu</w:t>
            </w:r>
            <w:r w:rsidRPr="00A23740">
              <w:rPr>
                <w:b/>
                <w:bCs/>
                <w:color w:val="0000FF"/>
                <w:szCs w:val="24"/>
                <w:lang w:eastAsia="x-none"/>
              </w:rPr>
              <w:t>yla</w:t>
            </w:r>
            <w:r w:rsidRPr="00A23740">
              <w:rPr>
                <w:bCs/>
                <w:szCs w:val="24"/>
                <w:lang w:eastAsia="x-none"/>
              </w:rPr>
              <w:t xml:space="preserve"> takip </w:t>
            </w:r>
            <w:r w:rsidRPr="00A23740">
              <w:rPr>
                <w:b/>
                <w:bCs/>
                <w:color w:val="0000FF"/>
                <w:szCs w:val="24"/>
                <w:lang w:eastAsia="x-none"/>
              </w:rPr>
              <w:t>ya da konkordato</w:t>
            </w:r>
            <w:r w:rsidRPr="00A23740">
              <w:rPr>
                <w:bCs/>
                <w:szCs w:val="24"/>
                <w:lang w:eastAsia="x-none"/>
              </w:rPr>
              <w:t xml:space="preserve"> talebinden sonra </w:t>
            </w:r>
            <w:r w:rsidRPr="00A23740">
              <w:rPr>
                <w:b/>
                <w:bCs/>
                <w:color w:val="0000FF"/>
                <w:szCs w:val="24"/>
                <w:lang w:eastAsia="x-none"/>
              </w:rPr>
              <w:t>yahut</w:t>
            </w:r>
            <w:r w:rsidRPr="00A23740">
              <w:rPr>
                <w:bCs/>
                <w:szCs w:val="24"/>
                <w:lang w:eastAsia="x-none"/>
              </w:rPr>
              <w:t xml:space="preserve"> bu talep</w:t>
            </w:r>
            <w:r w:rsidRPr="00A23740">
              <w:rPr>
                <w:b/>
                <w:bCs/>
                <w:color w:val="0000FF"/>
                <w:szCs w:val="24"/>
                <w:lang w:eastAsia="x-none"/>
              </w:rPr>
              <w:t xml:space="preserve">lerden </w:t>
            </w:r>
            <w:r w:rsidRPr="00A23740">
              <w:rPr>
                <w:bCs/>
                <w:szCs w:val="24"/>
                <w:lang w:eastAsia="x-none"/>
              </w:rPr>
              <w:t>önceki iki yıl içinde borçlu</w:t>
            </w:r>
            <w:r w:rsidRPr="00A23740">
              <w:rPr>
                <w:b/>
                <w:bCs/>
                <w:color w:val="0000FF"/>
                <w:szCs w:val="24"/>
                <w:lang w:eastAsia="x-none"/>
              </w:rPr>
              <w:t>,</w:t>
            </w:r>
            <w:r w:rsidRPr="00A23740">
              <w:rPr>
                <w:bCs/>
                <w:szCs w:val="24"/>
                <w:lang w:eastAsia="x-none"/>
              </w:rPr>
              <w:t xml:space="preserve"> alacaklısını zarara </w:t>
            </w:r>
            <w:r w:rsidRPr="00A23740">
              <w:rPr>
                <w:b/>
                <w:bCs/>
                <w:color w:val="0000FF"/>
                <w:szCs w:val="24"/>
                <w:lang w:val="x-none" w:eastAsia="x-none"/>
              </w:rPr>
              <w:t>uğratmak</w:t>
            </w:r>
            <w:r w:rsidRPr="00A23740">
              <w:rPr>
                <w:bCs/>
                <w:szCs w:val="24"/>
                <w:lang w:eastAsia="x-none"/>
              </w:rPr>
              <w:t xml:space="preserve"> maksadıyla</w:t>
            </w:r>
            <w:r w:rsidRPr="00A23740">
              <w:rPr>
                <w:b/>
                <w:bCs/>
                <w:color w:val="0000FF"/>
                <w:szCs w:val="24"/>
                <w:lang w:eastAsia="x-none"/>
              </w:rPr>
              <w:t xml:space="preserve"> malvarlığını kasten</w:t>
            </w:r>
            <w:r w:rsidRPr="00A23740">
              <w:rPr>
                <w:bCs/>
                <w:szCs w:val="24"/>
                <w:lang w:eastAsia="x-none"/>
              </w:rPr>
              <w:t xml:space="preserve"> eksiltirse, </w:t>
            </w:r>
            <w:r w:rsidRPr="00A23740">
              <w:rPr>
                <w:b/>
                <w:bCs/>
                <w:color w:val="0000FF"/>
                <w:szCs w:val="24"/>
                <w:lang w:eastAsia="x-none"/>
              </w:rPr>
              <w:t>fiil daha ağır cezayı gerektiren başka bir suç oluşturmadığı takdirde,</w:t>
            </w:r>
            <w:r w:rsidRPr="00A23740">
              <w:rPr>
                <w:b/>
                <w:bCs/>
                <w:color w:val="0000FF"/>
                <w:szCs w:val="24"/>
                <w:lang w:eastAsia="tr-TR"/>
              </w:rPr>
              <w:t xml:space="preserve"> alacaklının şikâyeti üzerine,</w:t>
            </w:r>
            <w:r w:rsidRPr="00A23740">
              <w:rPr>
                <w:b/>
                <w:bCs/>
                <w:color w:val="0000FF"/>
                <w:szCs w:val="24"/>
                <w:lang w:eastAsia="x-none"/>
              </w:rPr>
              <w:t xml:space="preserve"> bir yıldan dört </w:t>
            </w:r>
            <w:r w:rsidRPr="00A23740">
              <w:rPr>
                <w:bCs/>
                <w:szCs w:val="24"/>
                <w:lang w:eastAsia="x-none"/>
              </w:rPr>
              <w:t xml:space="preserve">yıla kadar hapis ve </w:t>
            </w:r>
            <w:r w:rsidRPr="00A23740">
              <w:rPr>
                <w:b/>
                <w:bCs/>
                <w:color w:val="0000FF"/>
                <w:szCs w:val="24"/>
                <w:lang w:eastAsia="x-none"/>
              </w:rPr>
              <w:t xml:space="preserve">üç bin </w:t>
            </w:r>
            <w:r w:rsidR="0005528D" w:rsidRPr="00A23740">
              <w:rPr>
                <w:bCs/>
                <w:szCs w:val="24"/>
                <w:lang w:eastAsia="x-none"/>
              </w:rPr>
              <w:t>güne kadar adli</w:t>
            </w:r>
            <w:r w:rsidRPr="00A23740">
              <w:rPr>
                <w:bCs/>
                <w:szCs w:val="24"/>
                <w:lang w:eastAsia="x-none"/>
              </w:rPr>
              <w:t xml:space="preserve"> para cezası</w:t>
            </w:r>
            <w:r w:rsidR="002048C1" w:rsidRPr="002E2E40">
              <w:rPr>
                <w:b/>
                <w:bCs/>
                <w:color w:val="0000FF"/>
                <w:szCs w:val="24"/>
                <w:lang w:eastAsia="x-none"/>
              </w:rPr>
              <w:t>yla</w:t>
            </w:r>
            <w:r w:rsidRPr="00A23740">
              <w:rPr>
                <w:bCs/>
                <w:szCs w:val="24"/>
                <w:lang w:eastAsia="x-none"/>
              </w:rPr>
              <w:t xml:space="preserve"> cezalandırılır. </w:t>
            </w:r>
            <w:r w:rsidRPr="00A23740">
              <w:rPr>
                <w:b/>
                <w:bCs/>
                <w:color w:val="0000FF"/>
                <w:szCs w:val="24"/>
                <w:lang w:eastAsia="x-none"/>
              </w:rPr>
              <w:t xml:space="preserve">Ancak bu fiilden dolayı failin cezalandırılabilmesi için alacaklının kesin </w:t>
            </w:r>
            <w:r w:rsidRPr="00A23740">
              <w:rPr>
                <w:bCs/>
                <w:szCs w:val="24"/>
                <w:lang w:eastAsia="x-none"/>
              </w:rPr>
              <w:t>aciz belgesi</w:t>
            </w:r>
            <w:r w:rsidRPr="00A23740">
              <w:rPr>
                <w:b/>
                <w:bCs/>
                <w:color w:val="0000FF"/>
                <w:szCs w:val="24"/>
                <w:lang w:eastAsia="x-none"/>
              </w:rPr>
              <w:t xml:space="preserve"> alması veya </w:t>
            </w:r>
            <w:r w:rsidRPr="00A23740">
              <w:rPr>
                <w:bCs/>
                <w:szCs w:val="24"/>
                <w:lang w:eastAsia="x-none"/>
              </w:rPr>
              <w:t>alacağını alamadığını</w:t>
            </w:r>
            <w:r w:rsidRPr="00A23740">
              <w:rPr>
                <w:b/>
                <w:bCs/>
                <w:color w:val="0000FF"/>
                <w:szCs w:val="24"/>
                <w:lang w:eastAsia="x-none"/>
              </w:rPr>
              <w:t xml:space="preserve"> </w:t>
            </w:r>
            <w:r w:rsidRPr="00A23740">
              <w:rPr>
                <w:bCs/>
                <w:szCs w:val="24"/>
                <w:lang w:eastAsia="x-none"/>
              </w:rPr>
              <w:t>ispat</w:t>
            </w:r>
            <w:r w:rsidRPr="00A23740">
              <w:rPr>
                <w:b/>
                <w:bCs/>
                <w:color w:val="0000FF"/>
                <w:szCs w:val="24"/>
                <w:lang w:eastAsia="x-none"/>
              </w:rPr>
              <w:t xml:space="preserve"> etmesi gerekir. Malvarlığının kasten eksiltilmesi için;</w:t>
            </w:r>
          </w:p>
          <w:p w:rsidR="00A043AD" w:rsidRPr="00A23740" w:rsidRDefault="00A043AD" w:rsidP="00750F08">
            <w:pPr>
              <w:rPr>
                <w:b/>
                <w:bCs/>
                <w:color w:val="0000FF"/>
                <w:szCs w:val="24"/>
                <w:lang w:eastAsia="x-none"/>
              </w:rPr>
            </w:pPr>
            <w:r w:rsidRPr="00A23740">
              <w:rPr>
                <w:b/>
                <w:bCs/>
                <w:color w:val="0000FF"/>
                <w:szCs w:val="24"/>
                <w:lang w:eastAsia="x-none"/>
              </w:rPr>
              <w:t>a) Malvarlığının tamamen veya kısmen mülkiyetinden çıkarılması,</w:t>
            </w:r>
          </w:p>
          <w:p w:rsidR="00A043AD" w:rsidRPr="00A23740" w:rsidRDefault="00A043AD" w:rsidP="00750F08">
            <w:pPr>
              <w:rPr>
                <w:b/>
                <w:bCs/>
                <w:color w:val="0000FF"/>
                <w:szCs w:val="24"/>
                <w:lang w:eastAsia="x-none"/>
              </w:rPr>
            </w:pPr>
            <w:r w:rsidRPr="00A23740">
              <w:rPr>
                <w:b/>
                <w:bCs/>
                <w:color w:val="0000FF"/>
                <w:szCs w:val="24"/>
                <w:lang w:eastAsia="x-none"/>
              </w:rPr>
              <w:t>b) Malvarlığının yok edilmesi veya değerinin azaltılması,</w:t>
            </w:r>
          </w:p>
          <w:p w:rsidR="00A043AD" w:rsidRPr="00A23740" w:rsidRDefault="00A043AD" w:rsidP="00750F08">
            <w:pPr>
              <w:rPr>
                <w:b/>
                <w:bCs/>
                <w:color w:val="0000FF"/>
                <w:szCs w:val="24"/>
                <w:lang w:eastAsia="x-none"/>
              </w:rPr>
            </w:pPr>
            <w:r w:rsidRPr="00A23740">
              <w:rPr>
                <w:b/>
                <w:bCs/>
                <w:color w:val="0000FF"/>
                <w:szCs w:val="24"/>
                <w:lang w:eastAsia="x-none"/>
              </w:rPr>
              <w:t xml:space="preserve">c) Malvarlığının muvazaa yoluyla başkasının uhdesine geçirilmesi, </w:t>
            </w:r>
          </w:p>
          <w:p w:rsidR="00A043AD" w:rsidRPr="00A23740" w:rsidRDefault="00A043AD" w:rsidP="00750F08">
            <w:pPr>
              <w:rPr>
                <w:b/>
                <w:bCs/>
                <w:color w:val="0000FF"/>
                <w:szCs w:val="24"/>
                <w:lang w:eastAsia="x-none"/>
              </w:rPr>
            </w:pPr>
            <w:r w:rsidRPr="00A23740">
              <w:rPr>
                <w:b/>
                <w:bCs/>
                <w:color w:val="0000FF"/>
                <w:szCs w:val="24"/>
                <w:lang w:eastAsia="x-none"/>
              </w:rPr>
              <w:t xml:space="preserve">ç) Gerçeğe aykırı borç ikrarında bulunulması, </w:t>
            </w:r>
          </w:p>
          <w:p w:rsidR="00A043AD" w:rsidRPr="00A23740" w:rsidRDefault="00A043AD" w:rsidP="00750F08">
            <w:pPr>
              <w:rPr>
                <w:b/>
                <w:bCs/>
                <w:color w:val="0000FF"/>
                <w:szCs w:val="24"/>
                <w:lang w:eastAsia="x-none"/>
              </w:rPr>
            </w:pPr>
            <w:r w:rsidRPr="00A23740">
              <w:rPr>
                <w:b/>
                <w:bCs/>
                <w:color w:val="0000FF"/>
                <w:szCs w:val="24"/>
                <w:lang w:eastAsia="x-none"/>
              </w:rPr>
              <w:t>gerekir.</w:t>
            </w:r>
          </w:p>
          <w:p w:rsidR="00A043AD" w:rsidRPr="00A23740" w:rsidRDefault="00A043AD" w:rsidP="00750F08">
            <w:pPr>
              <w:tabs>
                <w:tab w:val="left" w:pos="567"/>
              </w:tabs>
              <w:rPr>
                <w:b/>
                <w:bCs/>
                <w:color w:val="0000FF"/>
                <w:szCs w:val="24"/>
                <w:lang w:eastAsia="x-none"/>
              </w:rPr>
            </w:pPr>
          </w:p>
          <w:p w:rsidR="00A043AD" w:rsidRPr="00A23740" w:rsidRDefault="00A043AD" w:rsidP="00750F08">
            <w:pPr>
              <w:tabs>
                <w:tab w:val="left" w:pos="567"/>
              </w:tabs>
              <w:rPr>
                <w:b/>
                <w:bCs/>
                <w:color w:val="FF33CC"/>
                <w:szCs w:val="24"/>
                <w:lang w:eastAsia="x-none"/>
              </w:rPr>
            </w:pPr>
            <w:r w:rsidRPr="00A23740">
              <w:rPr>
                <w:b/>
                <w:bCs/>
                <w:color w:val="0000FF"/>
                <w:szCs w:val="24"/>
                <w:lang w:eastAsia="x-none"/>
              </w:rPr>
              <w:t xml:space="preserve">(2) </w:t>
            </w:r>
            <w:r w:rsidRPr="00A23740">
              <w:rPr>
                <w:rFonts w:eastAsia="Times New Roman"/>
                <w:szCs w:val="24"/>
                <w:lang w:eastAsia="tr-TR"/>
              </w:rPr>
              <w:t>İflas takibinden veya doğrudan doğruya iflas h</w:t>
            </w:r>
            <w:r w:rsidR="00DA1932" w:rsidRPr="00A23740">
              <w:rPr>
                <w:rFonts w:eastAsia="Times New Roman"/>
                <w:szCs w:val="24"/>
                <w:lang w:eastAsia="tr-TR"/>
              </w:rPr>
              <w:t>â</w:t>
            </w:r>
            <w:r w:rsidRPr="00A23740">
              <w:rPr>
                <w:rFonts w:eastAsia="Times New Roman"/>
                <w:szCs w:val="24"/>
                <w:lang w:eastAsia="tr-TR"/>
              </w:rPr>
              <w:t>llerinde iflas talebinden önce,</w:t>
            </w:r>
            <w:r w:rsidRPr="00A23740">
              <w:rPr>
                <w:b/>
                <w:bCs/>
                <w:color w:val="0000FF"/>
                <w:szCs w:val="24"/>
                <w:lang w:eastAsia="x-none"/>
              </w:rPr>
              <w:t xml:space="preserve"> </w:t>
            </w:r>
            <w:r w:rsidRPr="00A23740">
              <w:rPr>
                <w:rFonts w:eastAsia="Times New Roman"/>
                <w:szCs w:val="24"/>
                <w:lang w:eastAsia="tr-TR"/>
              </w:rPr>
              <w:t>birinci fıkradaki fiilleri işleyen borçlu</w:t>
            </w:r>
            <w:r w:rsidRPr="00A23740">
              <w:rPr>
                <w:b/>
                <w:bCs/>
                <w:color w:val="0000FF"/>
                <w:szCs w:val="24"/>
                <w:lang w:eastAsia="x-none"/>
              </w:rPr>
              <w:t>, alacaklının şikâyeti üzerine, bu fıkra uyarınca cezalandırılır.</w:t>
            </w:r>
          </w:p>
          <w:p w:rsidR="00A043AD" w:rsidRPr="00A23740" w:rsidRDefault="00A043AD" w:rsidP="00750F08">
            <w:pPr>
              <w:tabs>
                <w:tab w:val="left" w:pos="567"/>
              </w:tabs>
              <w:rPr>
                <w:b/>
                <w:bCs/>
                <w:color w:val="0000FF"/>
                <w:szCs w:val="24"/>
                <w:lang w:eastAsia="x-none"/>
              </w:rPr>
            </w:pPr>
          </w:p>
          <w:p w:rsidR="00A043AD" w:rsidRPr="00A23740" w:rsidRDefault="00A043AD" w:rsidP="00750F08">
            <w:pPr>
              <w:tabs>
                <w:tab w:val="left" w:pos="567"/>
              </w:tabs>
              <w:rPr>
                <w:b/>
                <w:bCs/>
                <w:color w:val="0000FF"/>
                <w:szCs w:val="24"/>
                <w:lang w:eastAsia="x-none"/>
              </w:rPr>
            </w:pPr>
          </w:p>
          <w:p w:rsidR="00A043AD" w:rsidRPr="00A23740" w:rsidRDefault="00A043AD" w:rsidP="00750F08">
            <w:pPr>
              <w:tabs>
                <w:tab w:val="left" w:pos="567"/>
              </w:tabs>
              <w:rPr>
                <w:b/>
                <w:bCs/>
                <w:color w:val="0000FF"/>
                <w:szCs w:val="24"/>
                <w:lang w:eastAsia="x-none"/>
              </w:rPr>
            </w:pPr>
          </w:p>
          <w:p w:rsidR="00A043AD" w:rsidRPr="00A23740" w:rsidRDefault="00A043AD" w:rsidP="00750F08">
            <w:pPr>
              <w:tabs>
                <w:tab w:val="left" w:pos="567"/>
              </w:tabs>
              <w:rPr>
                <w:b/>
                <w:bCs/>
                <w:color w:val="0000FF"/>
                <w:szCs w:val="24"/>
                <w:lang w:eastAsia="x-none"/>
              </w:rPr>
            </w:pPr>
          </w:p>
          <w:p w:rsidR="001C3ADB" w:rsidRDefault="001C3ADB" w:rsidP="00750F08">
            <w:pPr>
              <w:tabs>
                <w:tab w:val="left" w:pos="567"/>
              </w:tabs>
              <w:rPr>
                <w:b/>
                <w:bCs/>
                <w:color w:val="0000FF"/>
                <w:szCs w:val="24"/>
                <w:lang w:eastAsia="x-none"/>
              </w:rPr>
            </w:pPr>
          </w:p>
          <w:p w:rsidR="00B20094" w:rsidRDefault="00B20094" w:rsidP="00750F08">
            <w:pPr>
              <w:tabs>
                <w:tab w:val="left" w:pos="567"/>
              </w:tabs>
              <w:rPr>
                <w:b/>
                <w:bCs/>
                <w:color w:val="0000FF"/>
                <w:szCs w:val="24"/>
                <w:lang w:eastAsia="x-none"/>
              </w:rPr>
            </w:pPr>
          </w:p>
          <w:p w:rsidR="000C3326" w:rsidRDefault="000C3326" w:rsidP="00750F08">
            <w:pPr>
              <w:tabs>
                <w:tab w:val="left" w:pos="567"/>
              </w:tabs>
              <w:rPr>
                <w:b/>
                <w:bCs/>
                <w:color w:val="0000FF"/>
                <w:szCs w:val="24"/>
                <w:lang w:eastAsia="x-none"/>
              </w:rPr>
            </w:pPr>
          </w:p>
          <w:p w:rsidR="00A043AD" w:rsidRPr="00A23740" w:rsidRDefault="00A043AD" w:rsidP="00750F08">
            <w:pPr>
              <w:tabs>
                <w:tab w:val="left" w:pos="567"/>
              </w:tabs>
              <w:rPr>
                <w:rFonts w:eastAsia="Times New Roman"/>
                <w:szCs w:val="24"/>
                <w:lang w:eastAsia="tr-TR"/>
              </w:rPr>
            </w:pPr>
            <w:r w:rsidRPr="00A23740">
              <w:rPr>
                <w:b/>
                <w:bCs/>
                <w:color w:val="0000FF"/>
                <w:szCs w:val="24"/>
                <w:lang w:eastAsia="x-none"/>
              </w:rPr>
              <w:t>(3)</w:t>
            </w:r>
            <w:r w:rsidRPr="00A23740">
              <w:rPr>
                <w:bCs/>
                <w:color w:val="0000FF"/>
                <w:szCs w:val="24"/>
                <w:lang w:eastAsia="x-none"/>
              </w:rPr>
              <w:t xml:space="preserve"> </w:t>
            </w:r>
            <w:r w:rsidRPr="00A23740">
              <w:rPr>
                <w:rFonts w:eastAsia="Times New Roman"/>
                <w:szCs w:val="24"/>
                <w:lang w:eastAsia="tr-TR"/>
              </w:rPr>
              <w:t xml:space="preserve">Taşınmaz rehni kapsamında bulunan </w:t>
            </w:r>
            <w:r w:rsidRPr="002E2E40">
              <w:rPr>
                <w:rStyle w:val="YELChar"/>
                <w:color w:val="0000FF"/>
              </w:rPr>
              <w:t>eklentileri</w:t>
            </w:r>
            <w:r w:rsidRPr="002E2E40">
              <w:rPr>
                <w:b/>
                <w:bCs/>
                <w:color w:val="0000FF"/>
                <w:szCs w:val="24"/>
                <w:lang w:eastAsia="tr-TR"/>
              </w:rPr>
              <w:t xml:space="preserve"> </w:t>
            </w:r>
            <w:r w:rsidRPr="002E2E40">
              <w:rPr>
                <w:rStyle w:val="YELChar"/>
                <w:color w:val="0000FF"/>
              </w:rPr>
              <w:t>rehinli alacaklıya</w:t>
            </w:r>
            <w:r w:rsidRPr="002E2E40">
              <w:rPr>
                <w:rFonts w:eastAsia="Times New Roman"/>
                <w:color w:val="0000FF"/>
                <w:szCs w:val="24"/>
                <w:lang w:eastAsia="tr-TR"/>
              </w:rPr>
              <w:t xml:space="preserve"> </w:t>
            </w:r>
            <w:r w:rsidRPr="00A23740">
              <w:rPr>
                <w:rFonts w:eastAsia="Times New Roman"/>
                <w:szCs w:val="24"/>
                <w:lang w:eastAsia="tr-TR"/>
              </w:rPr>
              <w:t>zarar vermek kastı</w:t>
            </w:r>
            <w:r w:rsidR="002048C1" w:rsidRPr="002E2E40">
              <w:rPr>
                <w:rFonts w:eastAsia="Times New Roman"/>
                <w:b/>
                <w:color w:val="0000FF"/>
                <w:szCs w:val="24"/>
                <w:lang w:eastAsia="tr-TR"/>
              </w:rPr>
              <w:t>yla</w:t>
            </w:r>
            <w:r w:rsidRPr="00A23740">
              <w:rPr>
                <w:rFonts w:eastAsia="Times New Roman"/>
                <w:szCs w:val="24"/>
                <w:lang w:eastAsia="tr-TR"/>
              </w:rPr>
              <w:t xml:space="preserve"> taşınmaz dışına</w:t>
            </w:r>
            <w:r w:rsidRPr="00A23740">
              <w:rPr>
                <w:b/>
                <w:bCs/>
                <w:color w:val="0000FF"/>
                <w:szCs w:val="24"/>
                <w:lang w:eastAsia="tr-TR"/>
              </w:rPr>
              <w:t xml:space="preserve"> </w:t>
            </w:r>
            <w:r w:rsidRPr="00A23740">
              <w:rPr>
                <w:rFonts w:eastAsia="Times New Roman"/>
                <w:szCs w:val="24"/>
                <w:lang w:eastAsia="tr-TR"/>
              </w:rPr>
              <w:t>çıkar</w:t>
            </w:r>
            <w:r w:rsidRPr="00A23740">
              <w:rPr>
                <w:b/>
                <w:bCs/>
                <w:color w:val="0000FF"/>
                <w:szCs w:val="24"/>
                <w:lang w:eastAsia="tr-TR"/>
              </w:rPr>
              <w:t xml:space="preserve">an kimse, alacaklının şikâyeti üzerine, </w:t>
            </w:r>
            <w:r w:rsidRPr="00A23740">
              <w:rPr>
                <w:rFonts w:eastAsia="Times New Roman"/>
                <w:szCs w:val="24"/>
                <w:lang w:eastAsia="tr-TR"/>
              </w:rPr>
              <w:t>iki yıldan</w:t>
            </w:r>
            <w:r w:rsidRPr="00A23740">
              <w:rPr>
                <w:b/>
                <w:bCs/>
                <w:color w:val="0000FF"/>
                <w:szCs w:val="24"/>
                <w:lang w:eastAsia="tr-TR"/>
              </w:rPr>
              <w:t xml:space="preserve"> beş </w:t>
            </w:r>
            <w:r w:rsidRPr="00A23740">
              <w:rPr>
                <w:rFonts w:eastAsia="Times New Roman"/>
                <w:szCs w:val="24"/>
                <w:lang w:eastAsia="tr-TR"/>
              </w:rPr>
              <w:t>yıla kadar hapis ve</w:t>
            </w:r>
            <w:r w:rsidRPr="00A23740">
              <w:rPr>
                <w:b/>
                <w:bCs/>
                <w:color w:val="0000FF"/>
                <w:szCs w:val="24"/>
                <w:lang w:eastAsia="tr-TR"/>
              </w:rPr>
              <w:t xml:space="preserve"> </w:t>
            </w:r>
            <w:r w:rsidRPr="00A23740">
              <w:rPr>
                <w:b/>
                <w:color w:val="0000FF"/>
                <w:szCs w:val="24"/>
                <w:lang w:eastAsia="tr-TR"/>
              </w:rPr>
              <w:t xml:space="preserve">üç bin </w:t>
            </w:r>
            <w:r w:rsidRPr="00A23740">
              <w:rPr>
                <w:rFonts w:eastAsia="Times New Roman"/>
                <w:szCs w:val="24"/>
                <w:lang w:eastAsia="tr-TR"/>
              </w:rPr>
              <w:t xml:space="preserve">güne kadar </w:t>
            </w:r>
            <w:r w:rsidRPr="002E2E40">
              <w:rPr>
                <w:rStyle w:val="YELChar"/>
                <w:color w:val="0000FF"/>
              </w:rPr>
              <w:t>adli</w:t>
            </w:r>
            <w:r w:rsidRPr="002E2E40">
              <w:rPr>
                <w:rFonts w:eastAsia="Times New Roman"/>
                <w:color w:val="0000FF"/>
                <w:szCs w:val="24"/>
                <w:lang w:eastAsia="tr-TR"/>
              </w:rPr>
              <w:t xml:space="preserve"> </w:t>
            </w:r>
            <w:r w:rsidRPr="00A23740">
              <w:rPr>
                <w:rFonts w:eastAsia="Times New Roman"/>
                <w:szCs w:val="24"/>
                <w:lang w:eastAsia="tr-TR"/>
              </w:rPr>
              <w:t>para cezası</w:t>
            </w:r>
            <w:r w:rsidR="002048C1" w:rsidRPr="002E2E40">
              <w:rPr>
                <w:rFonts w:eastAsia="Times New Roman"/>
                <w:b/>
                <w:color w:val="0000FF"/>
                <w:szCs w:val="24"/>
                <w:lang w:eastAsia="tr-TR"/>
              </w:rPr>
              <w:t>yla</w:t>
            </w:r>
            <w:r w:rsidRPr="00A23740">
              <w:rPr>
                <w:rFonts w:eastAsia="Times New Roman"/>
                <w:szCs w:val="24"/>
                <w:lang w:eastAsia="tr-TR"/>
              </w:rPr>
              <w:t xml:space="preserve"> cezalandırılır.</w:t>
            </w:r>
          </w:p>
          <w:p w:rsidR="00A043AD" w:rsidRPr="00A23740" w:rsidRDefault="00A043AD" w:rsidP="00750F08">
            <w:pPr>
              <w:tabs>
                <w:tab w:val="left" w:pos="567"/>
              </w:tabs>
              <w:rPr>
                <w:b/>
                <w:bCs/>
                <w:color w:val="0000FF"/>
                <w:szCs w:val="24"/>
                <w:lang w:eastAsia="x-none"/>
              </w:rPr>
            </w:pPr>
          </w:p>
          <w:p w:rsidR="00A043AD" w:rsidRPr="00A23740" w:rsidRDefault="00A043AD" w:rsidP="00750F08">
            <w:pPr>
              <w:jc w:val="left"/>
              <w:rPr>
                <w:rFonts w:eastAsia="Times New Roman"/>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Times New Roman"/>
                <w:b/>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MADDE 522-</w:t>
            </w:r>
            <w:r w:rsidRPr="00A23740">
              <w:rPr>
                <w:rFonts w:eastAsia="Times New Roman"/>
                <w:szCs w:val="24"/>
                <w:lang w:eastAsia="tr-TR"/>
              </w:rPr>
              <w:t xml:space="preserve"> Maddeyle, malvarlığının kasten eksiltilmesi suçu düzenlenmektedir. 2004 sayılı Kanunun 331 inci maddesine karşılık gelen bu hüküm, dili sadeleştirilmek ve metnin içeriğine uygun olarak madde başlığı değiştirilmek suretiyle muhafaza edilmektedir.</w:t>
            </w:r>
          </w:p>
          <w:p w:rsidR="00A043AD" w:rsidRPr="00A23740" w:rsidRDefault="00A043AD" w:rsidP="00750F08">
            <w:pPr>
              <w:ind w:firstLine="709"/>
              <w:rPr>
                <w:rFonts w:eastAsia="Arial Unicode MS"/>
                <w:iCs/>
                <w:szCs w:val="24"/>
                <w:lang w:eastAsia="tr-TR"/>
              </w:rPr>
            </w:pPr>
            <w:r w:rsidRPr="00A23740">
              <w:rPr>
                <w:rFonts w:eastAsia="Times New Roman"/>
                <w:szCs w:val="24"/>
                <w:lang w:eastAsia="tr-TR"/>
              </w:rPr>
              <w:t>Birinci fıkrayla, h</w:t>
            </w:r>
            <w:r w:rsidRPr="00A23740">
              <w:rPr>
                <w:bCs/>
                <w:szCs w:val="24"/>
                <w:lang w:eastAsia="tr-TR"/>
              </w:rPr>
              <w:t xml:space="preserve">aciz veya taşınır rehninin paraya çevrilmesi yoluyla takip ya da konkordato talebinden sonra yahut bu taleplerden önceki iki yıl içinde borçlunun, alacaklısını zarara sokmak maksadıyla malvarlığını kasten eksiltmesi suç olarak düzenlenmekte ve fiilin daha ağır cezayı gerektiren başka bir suç </w:t>
            </w:r>
            <w:r w:rsidRPr="00A23740">
              <w:rPr>
                <w:rFonts w:eastAsia="Times New Roman"/>
                <w:bCs/>
                <w:szCs w:val="24"/>
                <w:lang w:eastAsia="tr-TR"/>
              </w:rPr>
              <w:t>oluşturmaması hâlinde, alacaklının şikâyeti üzerine, failin bir yıldan dört yıla kadar hapis ve ü</w:t>
            </w:r>
            <w:r w:rsidR="0005528D" w:rsidRPr="00A23740">
              <w:rPr>
                <w:rFonts w:eastAsia="Times New Roman"/>
                <w:bCs/>
                <w:szCs w:val="24"/>
                <w:lang w:eastAsia="tr-TR"/>
              </w:rPr>
              <w:t>ç bin güne kadar adli</w:t>
            </w:r>
            <w:r w:rsidRPr="00A23740">
              <w:rPr>
                <w:rFonts w:eastAsia="Times New Roman"/>
                <w:bCs/>
                <w:szCs w:val="24"/>
                <w:lang w:eastAsia="tr-TR"/>
              </w:rPr>
              <w:t xml:space="preserve"> para cezası</w:t>
            </w:r>
            <w:r w:rsidR="0005528D" w:rsidRPr="002E2E40">
              <w:rPr>
                <w:rFonts w:eastAsia="Times New Roman"/>
                <w:bCs/>
                <w:szCs w:val="24"/>
                <w:lang w:eastAsia="tr-TR"/>
              </w:rPr>
              <w:t>yla</w:t>
            </w:r>
            <w:r w:rsidRPr="00A23740">
              <w:rPr>
                <w:rFonts w:eastAsia="Times New Roman"/>
                <w:bCs/>
                <w:szCs w:val="24"/>
                <w:lang w:eastAsia="tr-TR"/>
              </w:rPr>
              <w:t xml:space="preserve"> cezalandırılacağı hükme bağlanmaktadır. Ayrıca hükümde, malvarlığının kasten eksiltilmesi kabul ed</w:t>
            </w:r>
            <w:r w:rsidR="00535D4A" w:rsidRPr="00A23740">
              <w:rPr>
                <w:rFonts w:eastAsia="Times New Roman"/>
                <w:bCs/>
                <w:szCs w:val="24"/>
                <w:lang w:eastAsia="tr-TR"/>
              </w:rPr>
              <w:t>ilen seçenek eylemler bentler hâ</w:t>
            </w:r>
            <w:r w:rsidRPr="00A23740">
              <w:rPr>
                <w:rFonts w:eastAsia="Times New Roman"/>
                <w:bCs/>
                <w:szCs w:val="24"/>
                <w:lang w:eastAsia="tr-TR"/>
              </w:rPr>
              <w:t>linde sayılmakta ve bir yenilik olarak taşınır rehninin paraya çevrilmesi yoluyla takip de metne eklenmektedir. Buna göre, malvarlığının tamamen veya kısmen mülkiyetinden çıkarılması, malvarlığının yok edilmesi veya değerinin azaltılması, malvarlığının muvazaa yoluyla başkasının uhdesine geçirilmesi ve gerçeğe aykırı borç ikrarında bulunulması, malv</w:t>
            </w:r>
            <w:r w:rsidR="00535D4A" w:rsidRPr="00A23740">
              <w:rPr>
                <w:rFonts w:eastAsia="Times New Roman"/>
                <w:bCs/>
                <w:szCs w:val="24"/>
                <w:lang w:eastAsia="tr-TR"/>
              </w:rPr>
              <w:t>arlığının kasten eksiltildiği hâ</w:t>
            </w:r>
            <w:r w:rsidRPr="00A23740">
              <w:rPr>
                <w:rFonts w:eastAsia="Times New Roman"/>
                <w:bCs/>
                <w:szCs w:val="24"/>
                <w:lang w:eastAsia="tr-TR"/>
              </w:rPr>
              <w:t xml:space="preserve">ller olarak kabul edilmektedir. Hükümle, alacaklıların takip hukukundan kaynaklanan haklarının korunması ve kötü niyetli borçluların cezalandırılması amaçlanmaktadır. Bu kapsamda failin cezalandırılabilmesi, alacaklının kesin aciz belgesi alması veya alacağını alamadığını ispat etmesi şartına bağlanmaktadır. Alacağın alınamadığı, Taslağın </w:t>
            </w:r>
            <w:r w:rsidR="00D543B6" w:rsidRPr="002E2E40">
              <w:rPr>
                <w:rFonts w:eastAsia="Times New Roman"/>
                <w:bCs/>
                <w:szCs w:val="24"/>
                <w:lang w:eastAsia="tr-TR"/>
              </w:rPr>
              <w:t>203</w:t>
            </w:r>
            <w:r w:rsidR="00D543B6" w:rsidRPr="002E2E40">
              <w:rPr>
                <w:rFonts w:eastAsia="Times New Roman"/>
                <w:b/>
                <w:szCs w:val="24"/>
                <w:lang w:eastAsia="tr-TR"/>
              </w:rPr>
              <w:t xml:space="preserve"> </w:t>
            </w:r>
            <w:r w:rsidR="00D543B6" w:rsidRPr="002E2E40">
              <w:rPr>
                <w:rFonts w:eastAsia="Times New Roman"/>
                <w:bCs/>
                <w:szCs w:val="24"/>
                <w:lang w:eastAsia="tr-TR"/>
              </w:rPr>
              <w:t>üncü</w:t>
            </w:r>
            <w:r w:rsidR="00D543B6" w:rsidRPr="00A23740">
              <w:rPr>
                <w:rFonts w:eastAsia="Times New Roman"/>
                <w:bCs/>
                <w:szCs w:val="24"/>
                <w:lang w:eastAsia="tr-TR"/>
              </w:rPr>
              <w:t xml:space="preserve"> </w:t>
            </w:r>
            <w:r w:rsidRPr="00A23740">
              <w:rPr>
                <w:rFonts w:eastAsia="Times New Roman"/>
                <w:bCs/>
                <w:szCs w:val="24"/>
                <w:lang w:eastAsia="tr-TR"/>
              </w:rPr>
              <w:t xml:space="preserve">maddesinin birinci fıkrası uyarınca düzenlenen kesin aciz belgesi hükmünde olan belgeyle de ispatlanacağı hususunda tereddüt bulunmamaktadır. Ayrıca Taslağın </w:t>
            </w:r>
            <w:r w:rsidR="00D543B6" w:rsidRPr="002E2E40">
              <w:rPr>
                <w:rFonts w:eastAsia="Times New Roman"/>
                <w:bCs/>
                <w:szCs w:val="24"/>
                <w:lang w:eastAsia="tr-TR"/>
              </w:rPr>
              <w:t>203</w:t>
            </w:r>
            <w:r w:rsidR="00D543B6" w:rsidRPr="002E2E40">
              <w:rPr>
                <w:rFonts w:eastAsia="Times New Roman"/>
                <w:b/>
                <w:szCs w:val="24"/>
                <w:lang w:eastAsia="tr-TR"/>
              </w:rPr>
              <w:t xml:space="preserve"> </w:t>
            </w:r>
            <w:r w:rsidR="00D543B6" w:rsidRPr="002E2E40">
              <w:rPr>
                <w:rFonts w:eastAsia="Times New Roman"/>
                <w:bCs/>
                <w:szCs w:val="24"/>
                <w:lang w:eastAsia="tr-TR"/>
              </w:rPr>
              <w:t>üncü</w:t>
            </w:r>
            <w:r w:rsidR="00D543B6" w:rsidRPr="00A23740">
              <w:rPr>
                <w:rFonts w:eastAsia="Times New Roman"/>
                <w:bCs/>
                <w:szCs w:val="24"/>
                <w:lang w:eastAsia="tr-TR"/>
              </w:rPr>
              <w:t xml:space="preserve"> </w:t>
            </w:r>
            <w:r w:rsidRPr="00A23740">
              <w:rPr>
                <w:rFonts w:eastAsia="Times New Roman"/>
                <w:bCs/>
                <w:szCs w:val="24"/>
                <w:lang w:eastAsia="tr-TR"/>
              </w:rPr>
              <w:t>maddesinin ikinci fıkrası gereğince düzenlenen geçici aciz belgesi, haczedilen malların takdir edilen kıymetinin borcu karşılayıp karşılamayacağı bu belgenin düzenlendiği tarih itibarıyla belli olmadığı için</w:t>
            </w:r>
            <w:r w:rsidR="00826592" w:rsidRPr="00A23740">
              <w:rPr>
                <w:rFonts w:eastAsia="Times New Roman"/>
                <w:bCs/>
                <w:szCs w:val="24"/>
                <w:lang w:eastAsia="tr-TR"/>
              </w:rPr>
              <w:t>,</w:t>
            </w:r>
            <w:r w:rsidRPr="00A23740">
              <w:rPr>
                <w:rFonts w:eastAsia="Times New Roman"/>
                <w:bCs/>
                <w:szCs w:val="24"/>
                <w:lang w:eastAsia="tr-TR"/>
              </w:rPr>
              <w:t xml:space="preserve"> alacağın alınamadığının ispatında dikkate alınmaz. </w:t>
            </w:r>
            <w:r w:rsidRPr="00A23740">
              <w:rPr>
                <w:rFonts w:eastAsia="Arial Unicode MS"/>
                <w:iCs/>
                <w:szCs w:val="24"/>
                <w:lang w:eastAsia="tr-TR"/>
              </w:rPr>
              <w:t>Fıkrada yer alan “fiil daha ağır cezayı gerektiren</w:t>
            </w:r>
            <w:r w:rsidR="00535D4A" w:rsidRPr="00A23740">
              <w:rPr>
                <w:rFonts w:eastAsia="Arial Unicode MS"/>
                <w:iCs/>
                <w:szCs w:val="24"/>
                <w:lang w:eastAsia="tr-TR"/>
              </w:rPr>
              <w:t xml:space="preserve"> başka bir suç oluşturmaması” hâ</w:t>
            </w:r>
            <w:r w:rsidRPr="00A23740">
              <w:rPr>
                <w:rFonts w:eastAsia="Arial Unicode MS"/>
                <w:iCs/>
                <w:szCs w:val="24"/>
                <w:lang w:eastAsia="tr-TR"/>
              </w:rPr>
              <w:t>li, tereddütlerin giderilmesi amacıyla hükme eklenmektedir. 2004 sayılı Kanundan farklı olarak caydırıcılığın sağlanabilmesi için hapis cezasının alt ve üst sınırı ile adli para cezasının üst sınırı artırılmaktadır.</w:t>
            </w:r>
          </w:p>
          <w:p w:rsidR="00A043AD" w:rsidRPr="00A23740" w:rsidRDefault="00A043AD" w:rsidP="00750F08">
            <w:pPr>
              <w:ind w:firstLine="709"/>
              <w:rPr>
                <w:rFonts w:eastAsia="Times New Roman"/>
                <w:bCs/>
                <w:szCs w:val="24"/>
                <w:lang w:eastAsia="tr-TR"/>
              </w:rPr>
            </w:pPr>
            <w:r w:rsidRPr="00A23740">
              <w:rPr>
                <w:rFonts w:eastAsia="Arial Unicode MS"/>
                <w:iCs/>
                <w:szCs w:val="24"/>
                <w:lang w:eastAsia="tr-TR"/>
              </w:rPr>
              <w:t>İkinci fıkrayla, iflas takibinde</w:t>
            </w:r>
            <w:r w:rsidR="00535D4A" w:rsidRPr="00A23740">
              <w:rPr>
                <w:rFonts w:eastAsia="Arial Unicode MS"/>
                <w:iCs/>
                <w:szCs w:val="24"/>
                <w:lang w:eastAsia="tr-TR"/>
              </w:rPr>
              <w:t>n veya doğrudan doğruya iflas hâ</w:t>
            </w:r>
            <w:r w:rsidRPr="00A23740">
              <w:rPr>
                <w:rFonts w:eastAsia="Arial Unicode MS"/>
                <w:iCs/>
                <w:szCs w:val="24"/>
                <w:lang w:eastAsia="tr-TR"/>
              </w:rPr>
              <w:t>llerinde</w:t>
            </w:r>
            <w:r w:rsidRPr="00A23740">
              <w:rPr>
                <w:rFonts w:eastAsia="Times New Roman"/>
                <w:bCs/>
                <w:szCs w:val="24"/>
                <w:lang w:eastAsia="tr-TR"/>
              </w:rPr>
              <w:t xml:space="preserve"> iflas talebinden önce birinci fıkradaki fiilleri işleyen borçlunun, alacaklının şik</w:t>
            </w:r>
            <w:r w:rsidR="008D1615" w:rsidRPr="00A23740">
              <w:rPr>
                <w:rFonts w:eastAsia="Times New Roman"/>
                <w:bCs/>
                <w:szCs w:val="24"/>
                <w:lang w:eastAsia="tr-TR"/>
              </w:rPr>
              <w:t>â</w:t>
            </w:r>
            <w:r w:rsidRPr="00A23740">
              <w:rPr>
                <w:rFonts w:eastAsia="Times New Roman"/>
                <w:bCs/>
                <w:szCs w:val="24"/>
                <w:lang w:eastAsia="tr-TR"/>
              </w:rPr>
              <w:t>yeti üzerine, bu fıkra uyarınca cezalandırılacağı hükme bağlanmaktadır. 2004 sayılı Kanunun 331 inci maddesinin ikinci fıkrasında yer alan “fiillerin başka bir suç oluştur</w:t>
            </w:r>
            <w:r w:rsidR="00535D4A" w:rsidRPr="00A23740">
              <w:rPr>
                <w:rFonts w:eastAsia="Times New Roman"/>
                <w:bCs/>
                <w:szCs w:val="24"/>
                <w:lang w:eastAsia="tr-TR"/>
              </w:rPr>
              <w:t>ması” hâ</w:t>
            </w:r>
            <w:r w:rsidRPr="00A23740">
              <w:rPr>
                <w:rFonts w:eastAsia="Times New Roman"/>
                <w:bCs/>
                <w:szCs w:val="24"/>
                <w:lang w:eastAsia="tr-TR"/>
              </w:rPr>
              <w:t>line, birinci fıkrada “fiil daha ağır cezayı gerektiren başka bir suç oluşturmaması” şeklinde düzenlendiği için hükümde yer verilmemektedir.</w:t>
            </w:r>
          </w:p>
          <w:p w:rsidR="00A043AD" w:rsidRPr="00A23740" w:rsidRDefault="00A043AD" w:rsidP="00750F08">
            <w:pPr>
              <w:ind w:firstLine="709"/>
              <w:rPr>
                <w:rFonts w:eastAsia="Times New Roman"/>
                <w:bCs/>
                <w:szCs w:val="24"/>
                <w:lang w:eastAsia="tr-TR"/>
              </w:rPr>
            </w:pPr>
            <w:r w:rsidRPr="00A23740">
              <w:rPr>
                <w:rFonts w:eastAsia="Times New Roman"/>
                <w:bCs/>
                <w:szCs w:val="24"/>
                <w:lang w:eastAsia="tr-TR"/>
              </w:rPr>
              <w:t xml:space="preserve">Üçüncü fıkrayla, taşınmaz rehni kapsamında bulunan </w:t>
            </w:r>
            <w:r w:rsidRPr="002E2E40">
              <w:rPr>
                <w:rFonts w:eastAsia="Times New Roman"/>
                <w:bCs/>
                <w:szCs w:val="24"/>
                <w:lang w:eastAsia="tr-TR"/>
              </w:rPr>
              <w:t>eklentileri</w:t>
            </w:r>
            <w:r w:rsidRPr="00A23740">
              <w:rPr>
                <w:rFonts w:eastAsia="Times New Roman"/>
                <w:bCs/>
                <w:szCs w:val="24"/>
                <w:lang w:eastAsia="tr-TR"/>
              </w:rPr>
              <w:t xml:space="preserve"> </w:t>
            </w:r>
            <w:r w:rsidRPr="002E2E40">
              <w:rPr>
                <w:rFonts w:eastAsia="Times New Roman"/>
                <w:bCs/>
                <w:szCs w:val="24"/>
                <w:lang w:eastAsia="tr-TR"/>
              </w:rPr>
              <w:t>rehinli</w:t>
            </w:r>
            <w:r w:rsidRPr="00A23740">
              <w:rPr>
                <w:rStyle w:val="YELChar"/>
              </w:rPr>
              <w:t xml:space="preserve"> </w:t>
            </w:r>
            <w:r w:rsidRPr="002E2E40">
              <w:rPr>
                <w:rFonts w:eastAsia="Times New Roman"/>
                <w:bCs/>
                <w:szCs w:val="24"/>
                <w:lang w:eastAsia="tr-TR"/>
              </w:rPr>
              <w:t>alacaklıya</w:t>
            </w:r>
            <w:r w:rsidRPr="00A23740">
              <w:rPr>
                <w:rFonts w:eastAsia="Times New Roman"/>
                <w:bCs/>
                <w:szCs w:val="24"/>
                <w:lang w:eastAsia="tr-TR"/>
              </w:rPr>
              <w:t xml:space="preserve"> zarar vermek kastı</w:t>
            </w:r>
            <w:r w:rsidR="00826592" w:rsidRPr="00A23740">
              <w:rPr>
                <w:rFonts w:eastAsia="Times New Roman"/>
                <w:bCs/>
                <w:szCs w:val="24"/>
                <w:lang w:eastAsia="tr-TR"/>
              </w:rPr>
              <w:t>yla</w:t>
            </w:r>
            <w:r w:rsidRPr="00A23740">
              <w:rPr>
                <w:rFonts w:eastAsia="Times New Roman"/>
                <w:bCs/>
                <w:szCs w:val="24"/>
                <w:lang w:eastAsia="tr-TR"/>
              </w:rPr>
              <w:t xml:space="preserve"> taşınmaz dışına çıkaran kimsenin, alacaklının şikâyeti üzerine, iki yıldan beş yıla kadar</w:t>
            </w:r>
            <w:r w:rsidR="0005528D" w:rsidRPr="00A23740">
              <w:rPr>
                <w:rFonts w:eastAsia="Times New Roman"/>
                <w:bCs/>
                <w:szCs w:val="24"/>
                <w:lang w:eastAsia="tr-TR"/>
              </w:rPr>
              <w:t xml:space="preserve"> hapis ve üç bin güne kadar adli</w:t>
            </w:r>
            <w:r w:rsidRPr="00A23740">
              <w:rPr>
                <w:rFonts w:eastAsia="Times New Roman"/>
                <w:bCs/>
                <w:szCs w:val="24"/>
                <w:lang w:eastAsia="tr-TR"/>
              </w:rPr>
              <w:t xml:space="preserve"> para cezası</w:t>
            </w:r>
            <w:r w:rsidR="0005528D" w:rsidRPr="00A06764">
              <w:rPr>
                <w:rFonts w:eastAsia="Times New Roman"/>
                <w:bCs/>
                <w:szCs w:val="24"/>
                <w:lang w:eastAsia="tr-TR"/>
              </w:rPr>
              <w:t>yla</w:t>
            </w:r>
            <w:r w:rsidRPr="00A23740">
              <w:rPr>
                <w:rFonts w:eastAsia="Times New Roman"/>
                <w:bCs/>
                <w:szCs w:val="24"/>
                <w:lang w:eastAsia="tr-TR"/>
              </w:rPr>
              <w:t xml:space="preserve"> cezalandırılacağı düzenlenmektedir. Caydırıcılığın sağlanabilmesi için suçun cezası artırılmaktadır. </w:t>
            </w:r>
            <w:r w:rsidRPr="00A23740">
              <w:rPr>
                <w:rFonts w:eastAsia="Arial Unicode MS"/>
                <w:iCs/>
                <w:szCs w:val="24"/>
                <w:lang w:eastAsia="tr-TR"/>
              </w:rPr>
              <w:t>2004 sayılı Kanundan farklı olarak caydırıcılığın sağlanabilmesi için hapis ve adli para cezasının üst sınırı artırılmaktadır.</w:t>
            </w:r>
          </w:p>
          <w:p w:rsidR="00A043AD" w:rsidRPr="00A23740" w:rsidRDefault="00A043AD" w:rsidP="00750F08">
            <w:pPr>
              <w:ind w:firstLine="709"/>
              <w:rPr>
                <w:rFonts w:eastAsia="Times New Roman"/>
                <w:bCs/>
                <w:szCs w:val="24"/>
                <w:lang w:eastAsia="tr-TR"/>
              </w:rPr>
            </w:pPr>
            <w:r w:rsidRPr="00A23740">
              <w:rPr>
                <w:rFonts w:eastAsia="Times New Roman"/>
                <w:bCs/>
                <w:szCs w:val="24"/>
                <w:lang w:eastAsia="tr-TR"/>
              </w:rPr>
              <w:t>Öte yandan, 2004 sayılı Kanunun 331 inci maddesinin üçüncü fıkrası içerik olarak birinci fıkrada, dördüncü fıkrasında yer alan şikâyet unsuru ise birinci ve ikinci fıkralarda düzenlendiği için maddede ayrıca bu hususlara yer verilmemektedir.</w:t>
            </w:r>
          </w:p>
          <w:p w:rsidR="00A043AD" w:rsidRPr="00A23740" w:rsidRDefault="00A043AD" w:rsidP="000C3326">
            <w:pPr>
              <w:rPr>
                <w:rFonts w:eastAsia="Times New Roman"/>
                <w:b/>
                <w:szCs w:val="24"/>
                <w:lang w:eastAsia="tr-TR"/>
              </w:rPr>
            </w:pPr>
          </w:p>
        </w:tc>
      </w:tr>
      <w:tr w:rsidR="00A043AD" w:rsidRPr="00A23740" w:rsidTr="00750F08">
        <w:tc>
          <w:tcPr>
            <w:tcW w:w="2500" w:type="pct"/>
          </w:tcPr>
          <w:p w:rsidR="00A043AD" w:rsidRPr="00A23740" w:rsidRDefault="00A043AD" w:rsidP="009D25DD">
            <w:pPr>
              <w:widowControl w:val="0"/>
              <w:rPr>
                <w:rFonts w:eastAsia="Times New Roman"/>
                <w:b/>
                <w:strike/>
                <w:color w:val="FF0000"/>
                <w:szCs w:val="24"/>
                <w:lang w:eastAsia="x-none"/>
              </w:rPr>
            </w:pPr>
            <w:r w:rsidRPr="00A23740">
              <w:rPr>
                <w:rFonts w:eastAsia="Times New Roman"/>
                <w:b/>
                <w:strike/>
                <w:color w:val="FF0000"/>
                <w:szCs w:val="24"/>
                <w:lang w:eastAsia="x-none"/>
              </w:rPr>
              <w:t>Aczine kendi fiiliyle sebebiyet veren veya vaziyetinin fenalığını bilerek ağırlaştıran borçlunun cezası:</w:t>
            </w:r>
          </w:p>
          <w:p w:rsidR="00A043AD" w:rsidRPr="00A23740" w:rsidRDefault="00A043AD" w:rsidP="009D25DD">
            <w:pPr>
              <w:widowControl w:val="0"/>
              <w:rPr>
                <w:rFonts w:eastAsia="Times New Roman"/>
                <w:szCs w:val="24"/>
                <w:lang w:eastAsia="x-none"/>
              </w:rPr>
            </w:pPr>
            <w:r w:rsidRPr="00A23740">
              <w:rPr>
                <w:rFonts w:eastAsia="Times New Roman"/>
                <w:b/>
                <w:szCs w:val="24"/>
                <w:lang w:eastAsia="x-none"/>
              </w:rPr>
              <w:t xml:space="preserve">Madde </w:t>
            </w:r>
            <w:r w:rsidRPr="00A23740">
              <w:rPr>
                <w:rFonts w:eastAsia="Times New Roman"/>
                <w:b/>
                <w:strike/>
                <w:color w:val="FF0000"/>
                <w:szCs w:val="24"/>
                <w:lang w:eastAsia="x-none"/>
              </w:rPr>
              <w:t>332</w:t>
            </w:r>
            <w:r w:rsidRPr="00A23740">
              <w:rPr>
                <w:rFonts w:eastAsia="Times New Roman"/>
                <w:b/>
                <w:szCs w:val="24"/>
                <w:lang w:eastAsia="x-none"/>
              </w:rPr>
              <w:t xml:space="preserve"> –</w:t>
            </w:r>
            <w:r w:rsidRPr="00A23740">
              <w:rPr>
                <w:rFonts w:eastAsia="Times New Roman"/>
                <w:szCs w:val="24"/>
                <w:lang w:eastAsia="x-none"/>
              </w:rPr>
              <w:t xml:space="preserve"> </w:t>
            </w:r>
            <w:r w:rsidRPr="00A23740">
              <w:rPr>
                <w:rFonts w:eastAsia="Times New Roman"/>
                <w:b/>
                <w:szCs w:val="24"/>
                <w:lang w:eastAsia="x-none"/>
              </w:rPr>
              <w:t xml:space="preserve">(1) </w:t>
            </w:r>
            <w:r w:rsidRPr="00A23740">
              <w:rPr>
                <w:rFonts w:eastAsia="Times New Roman"/>
                <w:b/>
                <w:strike/>
                <w:color w:val="FF0000"/>
                <w:szCs w:val="24"/>
                <w:lang w:eastAsia="x-none"/>
              </w:rPr>
              <w:t>(Değişik: 31/5/2005-5358/2 md.)</w:t>
            </w:r>
            <w:r w:rsidRPr="00A23740">
              <w:rPr>
                <w:rFonts w:eastAsia="Times New Roman"/>
                <w:szCs w:val="24"/>
                <w:lang w:eastAsia="x-none"/>
              </w:rPr>
              <w:t xml:space="preserve"> Haciz yolu </w:t>
            </w:r>
            <w:r w:rsidRPr="00A23740">
              <w:rPr>
                <w:rFonts w:eastAsia="Times New Roman"/>
                <w:b/>
                <w:strike/>
                <w:color w:val="FF0000"/>
                <w:szCs w:val="24"/>
                <w:lang w:eastAsia="x-none"/>
              </w:rPr>
              <w:t>ile</w:t>
            </w:r>
            <w:r w:rsidRPr="00A23740">
              <w:rPr>
                <w:rFonts w:eastAsia="Times New Roman"/>
                <w:szCs w:val="24"/>
                <w:lang w:eastAsia="x-none"/>
              </w:rPr>
              <w:t xml:space="preserve"> takip talebinden sonra </w:t>
            </w:r>
            <w:r w:rsidRPr="00A23740">
              <w:rPr>
                <w:rFonts w:eastAsia="Times New Roman"/>
                <w:b/>
                <w:strike/>
                <w:color w:val="FF0000"/>
                <w:szCs w:val="24"/>
                <w:lang w:eastAsia="x-none"/>
              </w:rPr>
              <w:t>veya bu</w:t>
            </w:r>
            <w:r w:rsidRPr="00A23740">
              <w:rPr>
                <w:rFonts w:eastAsia="Times New Roman"/>
                <w:szCs w:val="24"/>
                <w:lang w:eastAsia="x-none"/>
              </w:rPr>
              <w:t xml:space="preserve"> talep</w:t>
            </w:r>
            <w:r w:rsidRPr="00A23740">
              <w:rPr>
                <w:rFonts w:eastAsia="Times New Roman"/>
                <w:b/>
                <w:strike/>
                <w:color w:val="FF0000"/>
                <w:szCs w:val="24"/>
                <w:lang w:eastAsia="x-none"/>
              </w:rPr>
              <w:t xml:space="preserve">ten </w:t>
            </w:r>
            <w:r w:rsidRPr="00A23740">
              <w:rPr>
                <w:rFonts w:eastAsia="Times New Roman"/>
                <w:szCs w:val="24"/>
                <w:lang w:eastAsia="x-none"/>
              </w:rPr>
              <w:t>önceki iki yıl içinde borçlu, adet üzere</w:t>
            </w:r>
            <w:r w:rsidRPr="00A23740">
              <w:rPr>
                <w:rFonts w:eastAsia="Times New Roman"/>
                <w:b/>
                <w:strike/>
                <w:color w:val="FF0000"/>
                <w:szCs w:val="24"/>
                <w:lang w:eastAsia="x-none"/>
              </w:rPr>
              <w:t xml:space="preserve"> tecviz edilemiyecek bir hiffetle</w:t>
            </w:r>
            <w:r w:rsidRPr="00A23740">
              <w:rPr>
                <w:rFonts w:eastAsia="Times New Roman"/>
                <w:szCs w:val="24"/>
                <w:lang w:eastAsia="x-none"/>
              </w:rPr>
              <w:t xml:space="preserve"> hareket </w:t>
            </w:r>
            <w:r w:rsidRPr="00A23740">
              <w:rPr>
                <w:rFonts w:eastAsia="Times New Roman"/>
                <w:b/>
                <w:strike/>
                <w:color w:val="FF0000"/>
                <w:szCs w:val="24"/>
                <w:lang w:eastAsia="x-none"/>
              </w:rPr>
              <w:t>ederek veya haddinden ziyade</w:t>
            </w:r>
            <w:r w:rsidRPr="00A23740">
              <w:rPr>
                <w:rFonts w:eastAsia="Times New Roman"/>
                <w:szCs w:val="24"/>
                <w:lang w:eastAsia="x-none"/>
              </w:rPr>
              <w:t xml:space="preserve"> </w:t>
            </w:r>
            <w:r w:rsidRPr="00A23740">
              <w:rPr>
                <w:b/>
                <w:bCs/>
                <w:strike/>
                <w:color w:val="FF0000"/>
                <w:szCs w:val="24"/>
              </w:rPr>
              <w:t>masraflar</w:t>
            </w:r>
            <w:r w:rsidRPr="00A23740">
              <w:rPr>
                <w:rFonts w:eastAsia="Times New Roman"/>
                <w:szCs w:val="24"/>
                <w:lang w:eastAsia="x-none"/>
              </w:rPr>
              <w:t xml:space="preserve"> </w:t>
            </w:r>
            <w:r w:rsidRPr="00A23740">
              <w:rPr>
                <w:rFonts w:eastAsia="Times New Roman"/>
                <w:b/>
                <w:strike/>
                <w:color w:val="FF0000"/>
                <w:szCs w:val="24"/>
                <w:lang w:eastAsia="x-none"/>
              </w:rPr>
              <w:t>yaparak yahut</w:t>
            </w:r>
            <w:r w:rsidRPr="00A23740">
              <w:rPr>
                <w:rFonts w:eastAsia="Times New Roman"/>
                <w:strike/>
                <w:color w:val="FF0000"/>
                <w:szCs w:val="24"/>
                <w:lang w:eastAsia="x-none"/>
              </w:rPr>
              <w:t xml:space="preserve"> </w:t>
            </w:r>
            <w:r w:rsidRPr="00A23740">
              <w:rPr>
                <w:rFonts w:eastAsia="Times New Roman"/>
                <w:b/>
                <w:strike/>
                <w:color w:val="FF0000"/>
                <w:szCs w:val="24"/>
                <w:lang w:eastAsia="x-none"/>
              </w:rPr>
              <w:t>cüretli talih</w:t>
            </w:r>
            <w:r w:rsidRPr="00A23740">
              <w:rPr>
                <w:rFonts w:eastAsia="Times New Roman"/>
                <w:szCs w:val="24"/>
                <w:lang w:eastAsia="x-none"/>
              </w:rPr>
              <w:t xml:space="preserve"> oyunlarına veya </w:t>
            </w:r>
            <w:r w:rsidRPr="00A23740">
              <w:rPr>
                <w:rFonts w:eastAsia="Times New Roman"/>
                <w:b/>
                <w:strike/>
                <w:color w:val="FF0000"/>
                <w:szCs w:val="24"/>
                <w:lang w:eastAsia="x-none"/>
              </w:rPr>
              <w:t>basiretsizce spekülasyonlara girişerek yahut</w:t>
            </w:r>
            <w:r w:rsidRPr="00A23740">
              <w:rPr>
                <w:rFonts w:eastAsia="Times New Roman"/>
                <w:szCs w:val="24"/>
                <w:lang w:eastAsia="x-none"/>
              </w:rPr>
              <w:t xml:space="preserve"> işlerinde ağır ihmallerde bulun</w:t>
            </w:r>
            <w:r w:rsidRPr="00A23740">
              <w:rPr>
                <w:rFonts w:eastAsia="Times New Roman"/>
                <w:b/>
                <w:strike/>
                <w:color w:val="FF0000"/>
                <w:szCs w:val="24"/>
                <w:lang w:eastAsia="x-none"/>
              </w:rPr>
              <w:t>arak aczine kendi fiili ile</w:t>
            </w:r>
            <w:r w:rsidRPr="00A23740">
              <w:rPr>
                <w:rFonts w:eastAsia="Times New Roman"/>
                <w:szCs w:val="24"/>
                <w:lang w:eastAsia="x-none"/>
              </w:rPr>
              <w:t xml:space="preserve"> sebebiyet ver</w:t>
            </w:r>
            <w:r w:rsidRPr="00A23740">
              <w:rPr>
                <w:rFonts w:eastAsia="Times New Roman"/>
                <w:b/>
                <w:strike/>
                <w:color w:val="FF0000"/>
                <w:szCs w:val="24"/>
                <w:lang w:eastAsia="x-none"/>
              </w:rPr>
              <w:t>ir yahut vaziyetinin fenalığını</w:t>
            </w:r>
            <w:r w:rsidRPr="00A23740">
              <w:rPr>
                <w:rFonts w:eastAsia="Times New Roman"/>
                <w:szCs w:val="24"/>
                <w:lang w:eastAsia="x-none"/>
              </w:rPr>
              <w:t xml:space="preserve"> bildiği halde </w:t>
            </w:r>
            <w:r w:rsidRPr="00A23740">
              <w:rPr>
                <w:rFonts w:eastAsia="Times New Roman"/>
                <w:b/>
                <w:strike/>
                <w:color w:val="FF0000"/>
                <w:szCs w:val="24"/>
                <w:lang w:eastAsia="x-none"/>
              </w:rPr>
              <w:t xml:space="preserve">o gibi hareketlerle bu fenalığı </w:t>
            </w:r>
            <w:r w:rsidRPr="00A23740">
              <w:rPr>
                <w:rFonts w:eastAsia="Times New Roman"/>
                <w:szCs w:val="24"/>
                <w:lang w:eastAsia="x-none"/>
              </w:rPr>
              <w:t>ağırlaştır</w:t>
            </w:r>
            <w:r w:rsidRPr="00A23740">
              <w:rPr>
                <w:rFonts w:eastAsia="Times New Roman"/>
                <w:b/>
                <w:strike/>
                <w:color w:val="FF0000"/>
                <w:szCs w:val="24"/>
                <w:lang w:eastAsia="x-none"/>
              </w:rPr>
              <w:t>ırsa</w:t>
            </w:r>
            <w:r w:rsidRPr="00A23740">
              <w:rPr>
                <w:rFonts w:eastAsia="Times New Roman"/>
                <w:szCs w:val="24"/>
                <w:lang w:eastAsia="x-none"/>
              </w:rPr>
              <w:t>, aleyhine aciz belgesi</w:t>
            </w:r>
            <w:r w:rsidRPr="00A23740">
              <w:rPr>
                <w:rFonts w:eastAsia="Times New Roman"/>
                <w:b/>
                <w:strike/>
                <w:color w:val="FF0000"/>
                <w:szCs w:val="24"/>
                <w:lang w:eastAsia="x-none"/>
              </w:rPr>
              <w:t xml:space="preserve"> istihsal edildiği</w:t>
            </w:r>
            <w:r w:rsidRPr="00A23740">
              <w:rPr>
                <w:rFonts w:eastAsia="Times New Roman"/>
                <w:szCs w:val="24"/>
                <w:lang w:eastAsia="x-none"/>
              </w:rPr>
              <w:t xml:space="preserve"> veya alacaklı alacağını</w:t>
            </w:r>
            <w:r w:rsidRPr="00A23740">
              <w:rPr>
                <w:rFonts w:eastAsia="Times New Roman"/>
                <w:b/>
                <w:color w:val="FF0000"/>
                <w:szCs w:val="24"/>
                <w:lang w:eastAsia="x-none"/>
              </w:rPr>
              <w:t xml:space="preserve"> </w:t>
            </w:r>
            <w:r w:rsidRPr="00A23740">
              <w:rPr>
                <w:rFonts w:eastAsia="Times New Roman"/>
                <w:b/>
                <w:strike/>
                <w:color w:val="FF0000"/>
                <w:szCs w:val="24"/>
                <w:lang w:eastAsia="x-none"/>
              </w:rPr>
              <w:t>istifa edemediğini</w:t>
            </w:r>
            <w:r w:rsidRPr="00A23740">
              <w:rPr>
                <w:rFonts w:eastAsia="Times New Roman"/>
                <w:b/>
                <w:color w:val="FF0000"/>
                <w:szCs w:val="24"/>
                <w:lang w:eastAsia="x-none"/>
              </w:rPr>
              <w:t xml:space="preserve"> </w:t>
            </w:r>
            <w:r w:rsidRPr="00A23740">
              <w:rPr>
                <w:rFonts w:eastAsia="Times New Roman"/>
                <w:szCs w:val="24"/>
                <w:lang w:eastAsia="x-none"/>
              </w:rPr>
              <w:t>ispat</w:t>
            </w:r>
            <w:r w:rsidRPr="00A23740">
              <w:rPr>
                <w:rFonts w:eastAsia="Times New Roman"/>
                <w:b/>
                <w:color w:val="FF0000"/>
                <w:szCs w:val="24"/>
                <w:lang w:eastAsia="x-none"/>
              </w:rPr>
              <w:t xml:space="preserve"> </w:t>
            </w:r>
            <w:r w:rsidRPr="00A23740">
              <w:rPr>
                <w:rFonts w:eastAsia="Times New Roman"/>
                <w:b/>
                <w:strike/>
                <w:color w:val="FF0000"/>
                <w:szCs w:val="24"/>
                <w:lang w:eastAsia="x-none"/>
              </w:rPr>
              <w:t>ettiği takdirde,</w:t>
            </w:r>
            <w:r w:rsidRPr="00A23740">
              <w:rPr>
                <w:rFonts w:eastAsia="Times New Roman"/>
                <w:szCs w:val="24"/>
                <w:lang w:eastAsia="x-none"/>
              </w:rPr>
              <w:t xml:space="preserve"> </w:t>
            </w:r>
            <w:r w:rsidRPr="00A23740">
              <w:rPr>
                <w:rFonts w:eastAsia="Times New Roman"/>
                <w:b/>
                <w:strike/>
                <w:color w:val="FF0000"/>
                <w:szCs w:val="24"/>
                <w:lang w:eastAsia="x-none"/>
              </w:rPr>
              <w:t>onbeş günden altı aya</w:t>
            </w:r>
            <w:r w:rsidRPr="00A23740">
              <w:rPr>
                <w:rFonts w:eastAsia="Times New Roman"/>
                <w:szCs w:val="24"/>
                <w:lang w:eastAsia="x-none"/>
              </w:rPr>
              <w:t xml:space="preserve"> kadar hapis cezas</w:t>
            </w:r>
            <w:r w:rsidRPr="00A23740">
              <w:rPr>
                <w:rFonts w:eastAsia="Times New Roman"/>
                <w:b/>
                <w:strike/>
                <w:color w:val="FF0000"/>
                <w:szCs w:val="24"/>
                <w:lang w:eastAsia="x-none"/>
              </w:rPr>
              <w:t>i</w:t>
            </w:r>
            <w:r w:rsidRPr="00A23740">
              <w:rPr>
                <w:rFonts w:eastAsia="Times New Roman"/>
                <w:szCs w:val="24"/>
                <w:lang w:eastAsia="x-none"/>
              </w:rPr>
              <w:t>yl</w:t>
            </w:r>
            <w:r w:rsidRPr="00A23740">
              <w:rPr>
                <w:rFonts w:eastAsia="Times New Roman"/>
                <w:b/>
                <w:strike/>
                <w:color w:val="FF0000"/>
                <w:szCs w:val="24"/>
                <w:lang w:eastAsia="x-none"/>
              </w:rPr>
              <w:t>e</w:t>
            </w:r>
            <w:r w:rsidRPr="00A23740">
              <w:rPr>
                <w:rFonts w:eastAsia="Times New Roman"/>
                <w:szCs w:val="24"/>
                <w:lang w:eastAsia="x-none"/>
              </w:rPr>
              <w:t xml:space="preserve"> cezalandırılır.</w:t>
            </w:r>
          </w:p>
          <w:p w:rsidR="00A043AD" w:rsidRPr="00A23740" w:rsidRDefault="00A043AD" w:rsidP="009D25DD">
            <w:pPr>
              <w:widowControl w:val="0"/>
              <w:rPr>
                <w:rFonts w:eastAsia="Times New Roman"/>
                <w:szCs w:val="24"/>
                <w:lang w:eastAsia="tr-TR"/>
              </w:rPr>
            </w:pPr>
          </w:p>
          <w:p w:rsidR="00A043AD" w:rsidRPr="00A23740" w:rsidRDefault="00A043AD" w:rsidP="009D25DD">
            <w:pPr>
              <w:widowControl w:val="0"/>
              <w:rPr>
                <w:rFonts w:eastAsia="Times New Roman"/>
                <w:szCs w:val="24"/>
                <w:lang w:eastAsia="tr-TR"/>
              </w:rPr>
            </w:pPr>
          </w:p>
          <w:p w:rsidR="00A043AD" w:rsidRPr="00A23740" w:rsidRDefault="00A043AD" w:rsidP="009D25DD">
            <w:pPr>
              <w:widowControl w:val="0"/>
              <w:rPr>
                <w:rFonts w:eastAsia="Times New Roman"/>
                <w:szCs w:val="24"/>
                <w:lang w:eastAsia="tr-TR"/>
              </w:rPr>
            </w:pPr>
          </w:p>
          <w:p w:rsidR="00A043AD" w:rsidRPr="00A23740" w:rsidRDefault="00A043AD" w:rsidP="009D25DD">
            <w:pPr>
              <w:widowControl w:val="0"/>
              <w:rPr>
                <w:rFonts w:eastAsia="Times New Roman"/>
                <w:szCs w:val="24"/>
                <w:lang w:eastAsia="tr-TR"/>
              </w:rPr>
            </w:pPr>
          </w:p>
          <w:p w:rsidR="00A043AD" w:rsidRPr="00A23740" w:rsidRDefault="00A043AD" w:rsidP="009D25DD">
            <w:pPr>
              <w:widowControl w:val="0"/>
              <w:rPr>
                <w:rFonts w:eastAsia="Times New Roman"/>
                <w:szCs w:val="24"/>
                <w:lang w:eastAsia="tr-TR"/>
              </w:rPr>
            </w:pPr>
          </w:p>
          <w:p w:rsidR="00A043AD" w:rsidRPr="00A23740" w:rsidRDefault="00A043AD" w:rsidP="009D25DD">
            <w:pPr>
              <w:widowControl w:val="0"/>
              <w:rPr>
                <w:rFonts w:eastAsia="Times New Roman"/>
                <w:szCs w:val="24"/>
                <w:lang w:eastAsia="tr-TR"/>
              </w:rPr>
            </w:pPr>
          </w:p>
          <w:p w:rsidR="001C3ADB" w:rsidRPr="00A23740" w:rsidRDefault="001C3ADB" w:rsidP="009D25DD">
            <w:pPr>
              <w:widowControl w:val="0"/>
              <w:rPr>
                <w:rFonts w:eastAsia="Times New Roman"/>
                <w:szCs w:val="24"/>
                <w:lang w:eastAsia="tr-TR"/>
              </w:rPr>
            </w:pPr>
          </w:p>
          <w:p w:rsidR="001C3ADB" w:rsidRPr="00A23740" w:rsidRDefault="001C3ADB" w:rsidP="009D25DD">
            <w:pPr>
              <w:widowControl w:val="0"/>
              <w:rPr>
                <w:rFonts w:eastAsia="Times New Roman"/>
                <w:szCs w:val="24"/>
                <w:lang w:eastAsia="tr-TR"/>
              </w:rPr>
            </w:pPr>
          </w:p>
          <w:p w:rsidR="00A043AD" w:rsidRPr="00A23740" w:rsidRDefault="00A043AD" w:rsidP="009D25DD">
            <w:pPr>
              <w:widowControl w:val="0"/>
              <w:rPr>
                <w:rFonts w:eastAsia="Times New Roman"/>
                <w:szCs w:val="24"/>
                <w:lang w:eastAsia="tr-TR"/>
              </w:rPr>
            </w:pPr>
          </w:p>
          <w:p w:rsidR="00A043AD" w:rsidRPr="00A23740" w:rsidRDefault="00A043AD" w:rsidP="009D25DD">
            <w:pPr>
              <w:widowControl w:val="0"/>
              <w:rPr>
                <w:rFonts w:eastAsia="Times New Roman"/>
                <w:szCs w:val="24"/>
                <w:lang w:eastAsia="tr-TR"/>
              </w:rPr>
            </w:pPr>
          </w:p>
          <w:p w:rsidR="00A043AD" w:rsidRPr="00A23740" w:rsidRDefault="00A043AD" w:rsidP="009D25DD">
            <w:pPr>
              <w:widowControl w:val="0"/>
              <w:rPr>
                <w:rFonts w:eastAsia="Times New Roman"/>
                <w:b/>
                <w:strike/>
                <w:color w:val="FF0000"/>
                <w:szCs w:val="24"/>
                <w:lang w:eastAsia="x-none"/>
              </w:rPr>
            </w:pPr>
            <w:r w:rsidRPr="00A23740">
              <w:rPr>
                <w:rFonts w:eastAsia="Times New Roman"/>
                <w:b/>
                <w:strike/>
                <w:color w:val="FF0000"/>
                <w:szCs w:val="24"/>
                <w:lang w:eastAsia="x-none"/>
              </w:rPr>
              <w:t>(2) Konkordato mühleti talebinden önceki iki yıl içinde birinci fıkradaki fiilleri işleyen borçlu hakkında da bu hükümler uygulanır.</w:t>
            </w:r>
          </w:p>
          <w:p w:rsidR="00A32053" w:rsidRPr="00A23740" w:rsidRDefault="00A32053" w:rsidP="009D25DD">
            <w:pPr>
              <w:widowControl w:val="0"/>
              <w:rPr>
                <w:rFonts w:eastAsia="Times New Roman"/>
                <w:b/>
                <w:strike/>
                <w:color w:val="FF0000"/>
                <w:szCs w:val="24"/>
                <w:lang w:eastAsia="x-none"/>
              </w:rPr>
            </w:pPr>
          </w:p>
          <w:p w:rsidR="00A043AD" w:rsidRPr="00A23740" w:rsidRDefault="00A043AD" w:rsidP="009D25DD">
            <w:pPr>
              <w:widowControl w:val="0"/>
              <w:rPr>
                <w:rFonts w:eastAsia="Times New Roman"/>
                <w:szCs w:val="24"/>
                <w:lang w:eastAsia="x-none"/>
              </w:rPr>
            </w:pPr>
            <w:r w:rsidRPr="00A23740">
              <w:rPr>
                <w:rStyle w:val="KIRMIZIChar"/>
                <w:rFonts w:eastAsia="Calibri"/>
              </w:rPr>
              <w:t>(3)</w:t>
            </w:r>
            <w:r w:rsidRPr="00A23740">
              <w:rPr>
                <w:rFonts w:eastAsia="Times New Roman"/>
                <w:szCs w:val="24"/>
                <w:lang w:eastAsia="x-none"/>
              </w:rPr>
              <w:t xml:space="preserve"> Bu suç alacaklının şikâyeti üzerine </w:t>
            </w:r>
            <w:r w:rsidRPr="00A23740">
              <w:rPr>
                <w:rFonts w:eastAsia="Times New Roman"/>
                <w:b/>
                <w:bCs/>
                <w:strike/>
                <w:color w:val="FF0000"/>
                <w:szCs w:val="24"/>
                <w:lang w:eastAsia="x-none"/>
              </w:rPr>
              <w:t>takip olunur</w:t>
            </w:r>
            <w:r w:rsidRPr="00A23740">
              <w:rPr>
                <w:rFonts w:eastAsia="Times New Roman"/>
                <w:szCs w:val="24"/>
                <w:lang w:eastAsia="x-none"/>
              </w:rPr>
              <w:t xml:space="preserve">. Borçluyu fazla borç altına girmeye </w:t>
            </w:r>
            <w:r w:rsidRPr="00A23740">
              <w:rPr>
                <w:rFonts w:eastAsia="Times New Roman"/>
                <w:b/>
                <w:strike/>
                <w:color w:val="FF0000"/>
                <w:szCs w:val="24"/>
                <w:lang w:eastAsia="x-none"/>
              </w:rPr>
              <w:t>veya</w:t>
            </w:r>
            <w:r w:rsidRPr="00A23740">
              <w:rPr>
                <w:rFonts w:eastAsia="Times New Roman"/>
                <w:szCs w:val="24"/>
                <w:lang w:eastAsia="x-none"/>
              </w:rPr>
              <w:t xml:space="preserve"> </w:t>
            </w:r>
            <w:r w:rsidRPr="00A23740">
              <w:rPr>
                <w:rFonts w:eastAsia="Times New Roman"/>
                <w:b/>
                <w:strike/>
                <w:color w:val="FF0000"/>
                <w:szCs w:val="24"/>
                <w:lang w:eastAsia="x-none"/>
              </w:rPr>
              <w:t>talih</w:t>
            </w:r>
            <w:r w:rsidRPr="00A23740">
              <w:rPr>
                <w:rFonts w:eastAsia="Times New Roman"/>
                <w:szCs w:val="24"/>
                <w:lang w:eastAsia="x-none"/>
              </w:rPr>
              <w:t xml:space="preserve"> oyunu </w:t>
            </w:r>
            <w:r w:rsidRPr="00A23740">
              <w:rPr>
                <w:rFonts w:eastAsia="Times New Roman"/>
                <w:b/>
                <w:bCs/>
                <w:strike/>
                <w:color w:val="FF0000"/>
                <w:szCs w:val="24"/>
                <w:lang w:eastAsia="x-none"/>
              </w:rPr>
              <w:t>ile</w:t>
            </w:r>
            <w:r w:rsidRPr="00A23740">
              <w:rPr>
                <w:rFonts w:eastAsia="Times New Roman"/>
                <w:szCs w:val="24"/>
                <w:lang w:eastAsia="x-none"/>
              </w:rPr>
              <w:t xml:space="preserve"> spekülasyonlarda bulunmaya sevk etmiş </w:t>
            </w:r>
            <w:r w:rsidRPr="00A23740">
              <w:rPr>
                <w:rFonts w:eastAsia="Times New Roman"/>
                <w:b/>
                <w:strike/>
                <w:color w:val="FF0000"/>
                <w:szCs w:val="24"/>
                <w:lang w:eastAsia="x-none"/>
              </w:rPr>
              <w:t>yahut</w:t>
            </w:r>
            <w:r w:rsidRPr="00A23740">
              <w:rPr>
                <w:rFonts w:eastAsia="Times New Roman"/>
                <w:szCs w:val="24"/>
                <w:lang w:eastAsia="x-none"/>
              </w:rPr>
              <w:t xml:space="preserve"> ağır faiz almak suretiyle zaafından istifade etmiş olan alacaklı</w:t>
            </w:r>
            <w:r w:rsidRPr="00A23740">
              <w:rPr>
                <w:rFonts w:eastAsia="Times New Roman"/>
                <w:b/>
                <w:bCs/>
                <w:strike/>
                <w:color w:val="FF0000"/>
                <w:szCs w:val="24"/>
                <w:lang w:eastAsia="x-none"/>
              </w:rPr>
              <w:t>ların</w:t>
            </w:r>
            <w:r w:rsidRPr="00A23740">
              <w:rPr>
                <w:rFonts w:eastAsia="Times New Roman"/>
                <w:szCs w:val="24"/>
                <w:lang w:eastAsia="x-none"/>
              </w:rPr>
              <w:t xml:space="preserve"> şikâyet hakkı yoktur.</w:t>
            </w:r>
          </w:p>
        </w:tc>
        <w:tc>
          <w:tcPr>
            <w:tcW w:w="2500" w:type="pct"/>
          </w:tcPr>
          <w:p w:rsidR="00A043AD" w:rsidRPr="00A23740" w:rsidRDefault="00A043AD" w:rsidP="009D25DD">
            <w:pPr>
              <w:widowControl w:val="0"/>
              <w:tabs>
                <w:tab w:val="left" w:pos="567"/>
              </w:tabs>
              <w:rPr>
                <w:b/>
                <w:color w:val="0000FF"/>
                <w:szCs w:val="24"/>
              </w:rPr>
            </w:pPr>
            <w:r w:rsidRPr="00A23740">
              <w:rPr>
                <w:b/>
                <w:color w:val="0000FF"/>
                <w:szCs w:val="24"/>
              </w:rPr>
              <w:t>Malvarlığının taksirle eksiltilmesi</w:t>
            </w:r>
          </w:p>
          <w:p w:rsidR="00A043AD" w:rsidRPr="00A23740" w:rsidRDefault="00A043AD" w:rsidP="009D25DD">
            <w:pPr>
              <w:widowControl w:val="0"/>
              <w:rPr>
                <w:rFonts w:eastAsia="Times New Roman"/>
                <w:b/>
                <w:bCs/>
                <w:color w:val="0000FF"/>
                <w:szCs w:val="24"/>
                <w:lang w:eastAsia="x-none"/>
              </w:rPr>
            </w:pPr>
            <w:r w:rsidRPr="00A23740">
              <w:rPr>
                <w:rFonts w:eastAsia="Times New Roman"/>
                <w:b/>
                <w:bCs/>
                <w:color w:val="0000FF"/>
                <w:szCs w:val="24"/>
                <w:lang w:eastAsia="tr-TR"/>
              </w:rPr>
              <w:t>MADDE 523- (1)</w:t>
            </w:r>
            <w:r w:rsidRPr="00A23740">
              <w:rPr>
                <w:rFonts w:eastAsia="Times New Roman"/>
                <w:szCs w:val="24"/>
                <w:lang w:eastAsia="x-none"/>
              </w:rPr>
              <w:t xml:space="preserve"> Haciz </w:t>
            </w:r>
            <w:r w:rsidRPr="00A23740">
              <w:rPr>
                <w:rFonts w:eastAsia="Times New Roman"/>
                <w:b/>
                <w:bCs/>
                <w:color w:val="0000FF"/>
                <w:szCs w:val="24"/>
                <w:lang w:eastAsia="x-none"/>
              </w:rPr>
              <w:t xml:space="preserve">veya taşınır rehninin paraya çevrilmesi </w:t>
            </w:r>
            <w:r w:rsidRPr="00A23740">
              <w:rPr>
                <w:rFonts w:eastAsia="Times New Roman"/>
                <w:szCs w:val="24"/>
                <w:lang w:eastAsia="x-none"/>
              </w:rPr>
              <w:t>yolu</w:t>
            </w:r>
            <w:r w:rsidRPr="00A23740">
              <w:rPr>
                <w:rFonts w:eastAsia="Times New Roman"/>
                <w:b/>
                <w:bCs/>
                <w:color w:val="0000FF"/>
                <w:szCs w:val="24"/>
                <w:lang w:eastAsia="x-none"/>
              </w:rPr>
              <w:t>yla</w:t>
            </w:r>
            <w:r w:rsidRPr="00A23740">
              <w:rPr>
                <w:rFonts w:eastAsia="Times New Roman"/>
                <w:szCs w:val="24"/>
                <w:lang w:eastAsia="x-none"/>
              </w:rPr>
              <w:t xml:space="preserve"> takip </w:t>
            </w:r>
            <w:r w:rsidRPr="00A23740">
              <w:rPr>
                <w:rFonts w:eastAsia="Times New Roman"/>
                <w:b/>
                <w:bCs/>
                <w:color w:val="0000FF"/>
                <w:szCs w:val="24"/>
                <w:lang w:eastAsia="x-none"/>
              </w:rPr>
              <w:t>ya da konkordato</w:t>
            </w:r>
            <w:r w:rsidRPr="00A23740">
              <w:rPr>
                <w:rFonts w:eastAsia="Times New Roman"/>
                <w:szCs w:val="24"/>
                <w:lang w:eastAsia="x-none"/>
              </w:rPr>
              <w:t xml:space="preserve"> talebinden sonra </w:t>
            </w:r>
            <w:r w:rsidRPr="00A23740">
              <w:rPr>
                <w:rFonts w:eastAsia="Times New Roman"/>
                <w:b/>
                <w:color w:val="0000FF"/>
                <w:szCs w:val="24"/>
              </w:rPr>
              <w:t>yahut</w:t>
            </w:r>
            <w:r w:rsidRPr="00A23740">
              <w:rPr>
                <w:rFonts w:eastAsia="Times New Roman"/>
                <w:szCs w:val="24"/>
                <w:lang w:eastAsia="x-none"/>
              </w:rPr>
              <w:t xml:space="preserve"> bu talep</w:t>
            </w:r>
            <w:r w:rsidRPr="00A23740">
              <w:rPr>
                <w:rFonts w:eastAsia="Times New Roman"/>
                <w:b/>
                <w:color w:val="0000FF"/>
                <w:szCs w:val="24"/>
              </w:rPr>
              <w:t>lerden</w:t>
            </w:r>
            <w:r w:rsidRPr="00A23740">
              <w:rPr>
                <w:rFonts w:eastAsia="Times New Roman"/>
                <w:szCs w:val="24"/>
                <w:lang w:eastAsia="x-none"/>
              </w:rPr>
              <w:t xml:space="preserve"> önceki iki yıl içinde </w:t>
            </w:r>
            <w:r w:rsidRPr="00A23740">
              <w:rPr>
                <w:rFonts w:eastAsia="Times New Roman"/>
                <w:b/>
                <w:bCs/>
                <w:color w:val="0000FF"/>
                <w:szCs w:val="24"/>
                <w:lang w:eastAsia="x-none"/>
              </w:rPr>
              <w:t>dikkat ve özen yükümlülüğüne aykırı davranmak suretiyle malvarlığının borçlarını karşılamayacak derecede azalmasına</w:t>
            </w:r>
            <w:r w:rsidRPr="00A23740">
              <w:rPr>
                <w:rFonts w:eastAsia="Times New Roman"/>
                <w:szCs w:val="24"/>
                <w:lang w:eastAsia="x-none"/>
              </w:rPr>
              <w:t xml:space="preserve"> sebebiyet ver</w:t>
            </w:r>
            <w:r w:rsidRPr="00A23740">
              <w:rPr>
                <w:rFonts w:eastAsia="Times New Roman"/>
                <w:b/>
                <w:bCs/>
                <w:color w:val="0000FF"/>
                <w:szCs w:val="24"/>
                <w:lang w:eastAsia="x-none"/>
              </w:rPr>
              <w:t>en</w:t>
            </w:r>
            <w:r w:rsidRPr="00A23740">
              <w:rPr>
                <w:rFonts w:eastAsia="Times New Roman"/>
                <w:szCs w:val="24"/>
                <w:lang w:eastAsia="x-none"/>
              </w:rPr>
              <w:t xml:space="preserve"> borçlu</w:t>
            </w:r>
            <w:r w:rsidRPr="00A23740">
              <w:rPr>
                <w:rFonts w:eastAsia="Times New Roman"/>
                <w:b/>
                <w:bCs/>
                <w:color w:val="0000FF"/>
                <w:szCs w:val="24"/>
                <w:lang w:eastAsia="x-none"/>
              </w:rPr>
              <w:t>, fiil daha ağır cezayı gerektiren başka bir suç oluşturmadığı takdirde, üç aydan bir yıla</w:t>
            </w:r>
            <w:r w:rsidRPr="00A23740">
              <w:rPr>
                <w:rFonts w:eastAsia="Times New Roman"/>
                <w:szCs w:val="24"/>
                <w:lang w:eastAsia="x-none"/>
              </w:rPr>
              <w:t xml:space="preserve"> kadar hapis cezasıyla cezalandırılır. </w:t>
            </w:r>
            <w:r w:rsidRPr="00A23740">
              <w:rPr>
                <w:rFonts w:eastAsia="Times New Roman"/>
                <w:b/>
                <w:bCs/>
                <w:color w:val="0000FF"/>
                <w:szCs w:val="24"/>
                <w:lang w:eastAsia="x-none"/>
              </w:rPr>
              <w:t>Ancak bu fiilden dolayı failin cezalandırılabilmesi için</w:t>
            </w:r>
            <w:r w:rsidRPr="00A23740">
              <w:rPr>
                <w:rFonts w:eastAsia="Times New Roman"/>
                <w:szCs w:val="24"/>
                <w:lang w:eastAsia="x-none"/>
              </w:rPr>
              <w:t xml:space="preserve"> alacaklı</w:t>
            </w:r>
            <w:r w:rsidRPr="00A23740">
              <w:rPr>
                <w:rFonts w:eastAsia="Times New Roman"/>
                <w:b/>
                <w:bCs/>
                <w:color w:val="0000FF"/>
                <w:szCs w:val="24"/>
                <w:lang w:eastAsia="x-none"/>
              </w:rPr>
              <w:t>nın</w:t>
            </w:r>
            <w:r w:rsidRPr="00A23740">
              <w:rPr>
                <w:rFonts w:eastAsia="Times New Roman"/>
                <w:szCs w:val="24"/>
                <w:lang w:eastAsia="x-none"/>
              </w:rPr>
              <w:t xml:space="preserve"> </w:t>
            </w:r>
            <w:r w:rsidRPr="00A23740">
              <w:rPr>
                <w:rFonts w:eastAsia="Times New Roman"/>
                <w:b/>
                <w:bCs/>
                <w:color w:val="0000FF"/>
                <w:szCs w:val="24"/>
                <w:lang w:eastAsia="x-none"/>
              </w:rPr>
              <w:t>kesin</w:t>
            </w:r>
            <w:r w:rsidRPr="00A23740">
              <w:rPr>
                <w:rFonts w:eastAsia="Times New Roman"/>
                <w:szCs w:val="24"/>
                <w:lang w:eastAsia="x-none"/>
              </w:rPr>
              <w:t xml:space="preserve"> aciz belgesi </w:t>
            </w:r>
            <w:r w:rsidRPr="00A23740">
              <w:rPr>
                <w:rFonts w:eastAsia="Times New Roman"/>
                <w:b/>
                <w:bCs/>
                <w:color w:val="0000FF"/>
                <w:szCs w:val="24"/>
                <w:lang w:eastAsia="x-none"/>
              </w:rPr>
              <w:t>alması</w:t>
            </w:r>
            <w:r w:rsidRPr="00A23740">
              <w:rPr>
                <w:rFonts w:eastAsia="Times New Roman"/>
                <w:szCs w:val="24"/>
                <w:lang w:eastAsia="x-none"/>
              </w:rPr>
              <w:t xml:space="preserve"> veya alacağını </w:t>
            </w:r>
            <w:r w:rsidRPr="00A23740">
              <w:rPr>
                <w:rFonts w:eastAsia="Times New Roman"/>
                <w:b/>
                <w:bCs/>
                <w:color w:val="0000FF"/>
                <w:szCs w:val="24"/>
                <w:lang w:eastAsia="x-none"/>
              </w:rPr>
              <w:t>alamadığını</w:t>
            </w:r>
            <w:r w:rsidRPr="00A23740">
              <w:rPr>
                <w:rFonts w:eastAsia="Times New Roman"/>
                <w:szCs w:val="24"/>
                <w:lang w:eastAsia="x-none"/>
              </w:rPr>
              <w:t xml:space="preserve"> ispat </w:t>
            </w:r>
            <w:r w:rsidRPr="00A23740">
              <w:rPr>
                <w:rFonts w:eastAsia="Times New Roman"/>
                <w:b/>
                <w:bCs/>
                <w:color w:val="0000FF"/>
                <w:szCs w:val="24"/>
                <w:lang w:eastAsia="x-none"/>
              </w:rPr>
              <w:t xml:space="preserve">etmesi gerekir. Malvarlığının taksirle eksiltilmesi için; </w:t>
            </w:r>
          </w:p>
          <w:p w:rsidR="00A043AD" w:rsidRPr="00A23740" w:rsidRDefault="00A043AD" w:rsidP="009D25DD">
            <w:pPr>
              <w:pStyle w:val="KIRMIZI"/>
              <w:widowControl w:val="0"/>
            </w:pPr>
          </w:p>
          <w:p w:rsidR="00A043AD" w:rsidRPr="00A23740" w:rsidRDefault="00D543B6" w:rsidP="009D25DD">
            <w:pPr>
              <w:widowControl w:val="0"/>
              <w:rPr>
                <w:rFonts w:eastAsia="Times New Roman"/>
                <w:b/>
                <w:bCs/>
                <w:color w:val="0000FF"/>
                <w:szCs w:val="24"/>
                <w:lang w:eastAsia="x-none"/>
              </w:rPr>
            </w:pPr>
            <w:r w:rsidRPr="002E2E40">
              <w:rPr>
                <w:rStyle w:val="KonuBalChar"/>
                <w:rFonts w:eastAsia="Calibri"/>
                <w:color w:val="0000FF"/>
              </w:rPr>
              <w:t>a)</w:t>
            </w:r>
            <w:r w:rsidRPr="00A23740">
              <w:rPr>
                <w:rStyle w:val="KIRMIZIChar"/>
                <w:rFonts w:eastAsia="Calibri"/>
                <w:strike w:val="0"/>
              </w:rPr>
              <w:t xml:space="preserve"> </w:t>
            </w:r>
            <w:r w:rsidR="00A043AD" w:rsidRPr="00A23740">
              <w:rPr>
                <w:rFonts w:eastAsia="Times New Roman"/>
                <w:b/>
                <w:bCs/>
                <w:color w:val="0000FF"/>
                <w:szCs w:val="24"/>
                <w:lang w:eastAsia="x-none"/>
              </w:rPr>
              <w:t>Gereğinden fazla</w:t>
            </w:r>
            <w:r w:rsidR="00A043AD" w:rsidRPr="00A23740">
              <w:rPr>
                <w:rFonts w:eastAsia="Times New Roman"/>
                <w:szCs w:val="24"/>
                <w:lang w:eastAsia="x-none"/>
              </w:rPr>
              <w:t xml:space="preserve"> </w:t>
            </w:r>
            <w:r w:rsidR="00A043AD" w:rsidRPr="00A23740">
              <w:rPr>
                <w:rFonts w:eastAsia="Times New Roman"/>
                <w:b/>
                <w:bCs/>
                <w:color w:val="0000FF"/>
                <w:szCs w:val="24"/>
                <w:lang w:eastAsia="x-none"/>
              </w:rPr>
              <w:t>harcama yapılması,</w:t>
            </w:r>
          </w:p>
          <w:p w:rsidR="001C3ADB" w:rsidRPr="00A23740" w:rsidRDefault="001C3ADB" w:rsidP="009D25DD">
            <w:pPr>
              <w:widowControl w:val="0"/>
              <w:rPr>
                <w:rFonts w:eastAsia="Times New Roman"/>
                <w:b/>
                <w:bCs/>
                <w:color w:val="0000FF"/>
                <w:szCs w:val="24"/>
                <w:lang w:eastAsia="x-none"/>
              </w:rPr>
            </w:pPr>
          </w:p>
          <w:p w:rsidR="00A043AD" w:rsidRPr="00A23740" w:rsidRDefault="00D543B6" w:rsidP="009D25DD">
            <w:pPr>
              <w:widowControl w:val="0"/>
              <w:rPr>
                <w:rFonts w:eastAsia="Times New Roman"/>
                <w:b/>
                <w:bCs/>
                <w:color w:val="0000FF"/>
                <w:szCs w:val="24"/>
                <w:lang w:eastAsia="x-none"/>
              </w:rPr>
            </w:pPr>
            <w:r w:rsidRPr="002E2E40">
              <w:rPr>
                <w:rStyle w:val="KonuBalChar"/>
                <w:rFonts w:eastAsia="Calibri"/>
                <w:color w:val="0000FF"/>
              </w:rPr>
              <w:t>b)</w:t>
            </w:r>
            <w:r w:rsidRPr="00A23740">
              <w:rPr>
                <w:rStyle w:val="KIRMIZIChar"/>
                <w:rFonts w:eastAsia="Calibri"/>
                <w:strike w:val="0"/>
              </w:rPr>
              <w:t xml:space="preserve"> </w:t>
            </w:r>
            <w:r w:rsidR="00A043AD" w:rsidRPr="00A23740">
              <w:rPr>
                <w:rFonts w:eastAsia="Times New Roman"/>
                <w:szCs w:val="24"/>
                <w:lang w:eastAsia="x-none"/>
              </w:rPr>
              <w:t xml:space="preserve">Aşırı miktarda şans oyunlarına veya basiretsizce spekülasyonlara </w:t>
            </w:r>
            <w:r w:rsidR="00A043AD" w:rsidRPr="00A23740">
              <w:rPr>
                <w:rFonts w:eastAsia="Times New Roman"/>
                <w:b/>
                <w:bCs/>
                <w:color w:val="0000FF"/>
                <w:szCs w:val="24"/>
                <w:lang w:eastAsia="x-none"/>
              </w:rPr>
              <w:t>girişilmesi,</w:t>
            </w:r>
          </w:p>
          <w:p w:rsidR="001C3ADB" w:rsidRPr="00A23740" w:rsidRDefault="001C3ADB" w:rsidP="009D25DD">
            <w:pPr>
              <w:widowControl w:val="0"/>
              <w:rPr>
                <w:rFonts w:eastAsia="Times New Roman"/>
                <w:szCs w:val="24"/>
                <w:lang w:eastAsia="x-none"/>
              </w:rPr>
            </w:pPr>
          </w:p>
          <w:p w:rsidR="00A043AD" w:rsidRPr="00A23740" w:rsidRDefault="00D543B6" w:rsidP="009D25DD">
            <w:pPr>
              <w:widowControl w:val="0"/>
              <w:rPr>
                <w:rFonts w:eastAsia="Times New Roman"/>
                <w:b/>
                <w:bCs/>
                <w:color w:val="0000FF"/>
                <w:szCs w:val="24"/>
                <w:lang w:eastAsia="x-none"/>
              </w:rPr>
            </w:pPr>
            <w:r w:rsidRPr="002E2E40">
              <w:rPr>
                <w:rStyle w:val="KonuBalChar"/>
                <w:rFonts w:eastAsia="Calibri"/>
                <w:color w:val="0000FF"/>
              </w:rPr>
              <w:t>c)</w:t>
            </w:r>
            <w:r w:rsidRPr="00A23740">
              <w:rPr>
                <w:rStyle w:val="KIRMIZIChar"/>
                <w:rFonts w:eastAsia="Calibri"/>
                <w:strike w:val="0"/>
              </w:rPr>
              <w:t xml:space="preserve"> </w:t>
            </w:r>
            <w:r w:rsidR="00A043AD" w:rsidRPr="00A23740">
              <w:rPr>
                <w:rFonts w:eastAsia="Times New Roman"/>
                <w:szCs w:val="24"/>
                <w:lang w:eastAsia="x-none"/>
              </w:rPr>
              <w:t xml:space="preserve">İşlerinde ağır ihmallerde </w:t>
            </w:r>
            <w:r w:rsidR="00A043AD" w:rsidRPr="00A23740">
              <w:rPr>
                <w:rFonts w:eastAsia="Times New Roman"/>
                <w:b/>
                <w:bCs/>
                <w:color w:val="0000FF"/>
                <w:szCs w:val="24"/>
                <w:lang w:eastAsia="x-none"/>
              </w:rPr>
              <w:t>bulunulması,</w:t>
            </w:r>
          </w:p>
          <w:p w:rsidR="001C3ADB" w:rsidRPr="00A23740" w:rsidRDefault="001C3ADB" w:rsidP="009D25DD">
            <w:pPr>
              <w:widowControl w:val="0"/>
              <w:rPr>
                <w:rFonts w:eastAsia="Times New Roman"/>
                <w:szCs w:val="24"/>
                <w:lang w:eastAsia="x-none"/>
              </w:rPr>
            </w:pPr>
          </w:p>
          <w:p w:rsidR="00A043AD" w:rsidRPr="00A23740" w:rsidRDefault="00D543B6" w:rsidP="009D25DD">
            <w:pPr>
              <w:widowControl w:val="0"/>
              <w:rPr>
                <w:rFonts w:eastAsia="Times New Roman"/>
                <w:b/>
                <w:bCs/>
                <w:color w:val="0000FF"/>
                <w:szCs w:val="24"/>
                <w:lang w:eastAsia="x-none"/>
              </w:rPr>
            </w:pPr>
            <w:r w:rsidRPr="002E2E40">
              <w:rPr>
                <w:rStyle w:val="KonuBalChar"/>
                <w:rFonts w:eastAsia="Calibri"/>
                <w:color w:val="0000FF"/>
              </w:rPr>
              <w:t>ç)</w:t>
            </w:r>
            <w:r w:rsidRPr="00A23740">
              <w:rPr>
                <w:rStyle w:val="KIRMIZIChar"/>
                <w:rFonts w:eastAsia="Calibri"/>
                <w:strike w:val="0"/>
              </w:rPr>
              <w:t xml:space="preserve"> </w:t>
            </w:r>
            <w:r w:rsidR="00A043AD" w:rsidRPr="00A23740">
              <w:rPr>
                <w:b/>
                <w:bCs/>
                <w:color w:val="0000FF"/>
                <w:szCs w:val="24"/>
                <w:lang w:eastAsia="x-none"/>
              </w:rPr>
              <w:t xml:space="preserve">Malvarlığına ilişkin </w:t>
            </w:r>
            <w:r w:rsidR="00535D4A" w:rsidRPr="00A23740">
              <w:rPr>
                <w:b/>
                <w:bCs/>
                <w:color w:val="0000FF"/>
                <w:szCs w:val="24"/>
                <w:lang w:eastAsia="x-none"/>
              </w:rPr>
              <w:t>durumun kötüleştiğini bildiği hâ</w:t>
            </w:r>
            <w:r w:rsidR="00A043AD" w:rsidRPr="00A23740">
              <w:rPr>
                <w:b/>
                <w:bCs/>
                <w:color w:val="0000FF"/>
                <w:szCs w:val="24"/>
                <w:lang w:eastAsia="x-none"/>
              </w:rPr>
              <w:t xml:space="preserve">lde bunu daha da ağırlaştıracak davranışlarda </w:t>
            </w:r>
            <w:r w:rsidR="00A043AD" w:rsidRPr="00A23740">
              <w:rPr>
                <w:rFonts w:eastAsia="Times New Roman"/>
                <w:b/>
                <w:bCs/>
                <w:color w:val="0000FF"/>
                <w:szCs w:val="24"/>
                <w:lang w:eastAsia="x-none"/>
              </w:rPr>
              <w:t>bulunulması,</w:t>
            </w:r>
          </w:p>
          <w:p w:rsidR="00A043AD" w:rsidRPr="00A23740" w:rsidRDefault="00A043AD" w:rsidP="009D25DD">
            <w:pPr>
              <w:widowControl w:val="0"/>
              <w:rPr>
                <w:rFonts w:eastAsia="Times New Roman"/>
                <w:b/>
                <w:bCs/>
                <w:color w:val="0000FF"/>
                <w:szCs w:val="24"/>
                <w:lang w:eastAsia="x-none"/>
              </w:rPr>
            </w:pPr>
            <w:r w:rsidRPr="00A23740">
              <w:rPr>
                <w:rFonts w:eastAsia="Times New Roman"/>
                <w:b/>
                <w:bCs/>
                <w:color w:val="0000FF"/>
                <w:szCs w:val="24"/>
                <w:lang w:eastAsia="x-none"/>
              </w:rPr>
              <w:t xml:space="preserve">gerekir. </w:t>
            </w:r>
          </w:p>
          <w:p w:rsidR="00A043AD" w:rsidRPr="00A23740" w:rsidRDefault="00A043AD" w:rsidP="009D25DD">
            <w:pPr>
              <w:widowControl w:val="0"/>
              <w:rPr>
                <w:rFonts w:eastAsia="Times New Roman"/>
                <w:b/>
                <w:bCs/>
                <w:color w:val="0000FF"/>
                <w:szCs w:val="24"/>
                <w:lang w:eastAsia="tr-TR"/>
              </w:rPr>
            </w:pPr>
          </w:p>
          <w:p w:rsidR="00A043AD" w:rsidRPr="00A23740" w:rsidRDefault="00A043AD" w:rsidP="009D25DD">
            <w:pPr>
              <w:widowControl w:val="0"/>
              <w:rPr>
                <w:rFonts w:eastAsia="Times New Roman"/>
                <w:b/>
                <w:bCs/>
                <w:color w:val="0000FF"/>
                <w:szCs w:val="24"/>
                <w:lang w:eastAsia="tr-TR"/>
              </w:rPr>
            </w:pPr>
          </w:p>
          <w:p w:rsidR="001C3ADB" w:rsidRPr="00A23740" w:rsidRDefault="001C3ADB" w:rsidP="009D25DD">
            <w:pPr>
              <w:widowControl w:val="0"/>
              <w:rPr>
                <w:rFonts w:eastAsia="Times New Roman"/>
                <w:b/>
                <w:bCs/>
                <w:color w:val="0000FF"/>
                <w:szCs w:val="24"/>
                <w:lang w:eastAsia="tr-TR"/>
              </w:rPr>
            </w:pPr>
          </w:p>
          <w:p w:rsidR="001C3ADB" w:rsidRPr="00A23740" w:rsidRDefault="001C3ADB" w:rsidP="009D25DD">
            <w:pPr>
              <w:widowControl w:val="0"/>
              <w:rPr>
                <w:rFonts w:eastAsia="Times New Roman"/>
                <w:b/>
                <w:bCs/>
                <w:color w:val="0000FF"/>
                <w:szCs w:val="24"/>
                <w:lang w:eastAsia="tr-TR"/>
              </w:rPr>
            </w:pPr>
          </w:p>
          <w:p w:rsidR="00A043AD" w:rsidRPr="00A23740" w:rsidRDefault="00A043AD" w:rsidP="009D25DD">
            <w:pPr>
              <w:widowControl w:val="0"/>
              <w:rPr>
                <w:rFonts w:eastAsia="Times New Roman"/>
                <w:szCs w:val="24"/>
                <w:lang w:eastAsia="x-none"/>
              </w:rPr>
            </w:pPr>
            <w:r w:rsidRPr="00A23740">
              <w:rPr>
                <w:rFonts w:eastAsia="Times New Roman"/>
                <w:b/>
                <w:bCs/>
                <w:color w:val="0000FF"/>
                <w:szCs w:val="24"/>
                <w:lang w:eastAsia="tr-TR"/>
              </w:rPr>
              <w:t>(2)</w:t>
            </w:r>
            <w:r w:rsidRPr="00A23740">
              <w:rPr>
                <w:rFonts w:eastAsia="Times New Roman"/>
                <w:szCs w:val="24"/>
                <w:lang w:eastAsia="x-none"/>
              </w:rPr>
              <w:t xml:space="preserve"> Bu suç alacaklının şikâyeti üzerine </w:t>
            </w:r>
            <w:r w:rsidRPr="00A23740">
              <w:rPr>
                <w:b/>
                <w:bCs/>
                <w:color w:val="0000FF"/>
                <w:szCs w:val="24"/>
                <w:lang w:eastAsia="x-none"/>
              </w:rPr>
              <w:t>kovuşturulur</w:t>
            </w:r>
            <w:r w:rsidRPr="00A23740">
              <w:rPr>
                <w:rFonts w:eastAsia="Times New Roman"/>
                <w:szCs w:val="24"/>
                <w:lang w:eastAsia="tr-TR"/>
              </w:rPr>
              <w:t>.</w:t>
            </w:r>
            <w:r w:rsidRPr="00A23740">
              <w:rPr>
                <w:rFonts w:eastAsia="Times New Roman"/>
                <w:b/>
                <w:color w:val="FF0000"/>
                <w:szCs w:val="24"/>
                <w:lang w:eastAsia="x-none"/>
              </w:rPr>
              <w:t xml:space="preserve"> </w:t>
            </w:r>
            <w:r w:rsidRPr="00A23740">
              <w:rPr>
                <w:rFonts w:eastAsia="Times New Roman"/>
                <w:b/>
                <w:bCs/>
                <w:color w:val="0000FF"/>
                <w:szCs w:val="24"/>
                <w:lang w:eastAsia="x-none"/>
              </w:rPr>
              <w:t>Ancak</w:t>
            </w:r>
            <w:r w:rsidRPr="00A23740">
              <w:rPr>
                <w:rFonts w:eastAsia="Times New Roman"/>
                <w:szCs w:val="24"/>
                <w:lang w:eastAsia="x-none"/>
              </w:rPr>
              <w:t xml:space="preserve"> borçluyu fazla borç altına girmeye</w:t>
            </w:r>
            <w:r w:rsidRPr="00A23740">
              <w:rPr>
                <w:rFonts w:eastAsia="Times New Roman"/>
                <w:b/>
                <w:bCs/>
                <w:color w:val="0000FF"/>
                <w:szCs w:val="24"/>
                <w:lang w:eastAsia="x-none"/>
              </w:rPr>
              <w:t>,</w:t>
            </w:r>
            <w:r w:rsidRPr="00A23740">
              <w:rPr>
                <w:rFonts w:eastAsia="Times New Roman"/>
                <w:szCs w:val="24"/>
                <w:lang w:eastAsia="x-none"/>
              </w:rPr>
              <w:t xml:space="preserve"> </w:t>
            </w:r>
            <w:r w:rsidRPr="00A23740">
              <w:rPr>
                <w:rFonts w:eastAsia="Times New Roman"/>
                <w:b/>
                <w:bCs/>
                <w:color w:val="0000FF"/>
                <w:szCs w:val="24"/>
                <w:lang w:eastAsia="x-none"/>
              </w:rPr>
              <w:t>şans</w:t>
            </w:r>
            <w:r w:rsidRPr="00A23740">
              <w:rPr>
                <w:rFonts w:eastAsia="Times New Roman"/>
                <w:szCs w:val="24"/>
                <w:lang w:eastAsia="x-none"/>
              </w:rPr>
              <w:t xml:space="preserve"> oyunu </w:t>
            </w:r>
            <w:r w:rsidRPr="00A23740">
              <w:rPr>
                <w:rFonts w:eastAsia="Times New Roman"/>
                <w:b/>
                <w:color w:val="0000FF"/>
                <w:szCs w:val="24"/>
              </w:rPr>
              <w:t>oynamaya veya</w:t>
            </w:r>
            <w:r w:rsidRPr="00A23740">
              <w:rPr>
                <w:rFonts w:eastAsia="Times New Roman"/>
                <w:szCs w:val="24"/>
                <w:lang w:eastAsia="x-none"/>
              </w:rPr>
              <w:t xml:space="preserve"> spekülasyonlarda bulunmaya sevk etmiş </w:t>
            </w:r>
            <w:r w:rsidRPr="00A23740">
              <w:rPr>
                <w:rFonts w:eastAsia="Times New Roman"/>
                <w:b/>
                <w:bCs/>
                <w:color w:val="0000FF"/>
                <w:szCs w:val="24"/>
                <w:lang w:eastAsia="x-none"/>
              </w:rPr>
              <w:t>ya da</w:t>
            </w:r>
            <w:r w:rsidRPr="00A23740">
              <w:rPr>
                <w:rFonts w:eastAsia="Times New Roman"/>
                <w:szCs w:val="24"/>
                <w:lang w:eastAsia="x-none"/>
              </w:rPr>
              <w:t xml:space="preserve"> ağır faiz almak suretiyle zaafından istifade etmiş olan alacaklı</w:t>
            </w:r>
            <w:r w:rsidRPr="00A23740">
              <w:rPr>
                <w:rFonts w:eastAsia="Times New Roman"/>
                <w:b/>
                <w:bCs/>
                <w:color w:val="0000FF"/>
                <w:szCs w:val="24"/>
                <w:lang w:eastAsia="x-none"/>
              </w:rPr>
              <w:t>nın</w:t>
            </w:r>
            <w:r w:rsidRPr="00A23740">
              <w:rPr>
                <w:rFonts w:eastAsia="Times New Roman"/>
                <w:szCs w:val="24"/>
                <w:lang w:eastAsia="x-none"/>
              </w:rPr>
              <w:t xml:space="preserve"> şikâyet hakkı yoktur.</w:t>
            </w:r>
          </w:p>
          <w:p w:rsidR="00A043AD" w:rsidRPr="00A23740" w:rsidRDefault="00A043AD" w:rsidP="009D25DD">
            <w:pPr>
              <w:widowControl w:val="0"/>
              <w:rPr>
                <w:rFonts w:eastAsia="Times New Roman"/>
                <w:szCs w:val="24"/>
                <w:lang w:eastAsia="x-none"/>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b/>
                <w:szCs w:val="24"/>
              </w:rPr>
            </w:pPr>
          </w:p>
          <w:p w:rsidR="00A043AD" w:rsidRPr="00A23740" w:rsidRDefault="00A043AD" w:rsidP="00750F08">
            <w:pPr>
              <w:tabs>
                <w:tab w:val="left" w:pos="567"/>
              </w:tabs>
              <w:ind w:firstLine="709"/>
              <w:rPr>
                <w:rFonts w:eastAsia="Times New Roman"/>
                <w:szCs w:val="24"/>
                <w:lang w:eastAsia="tr-TR"/>
              </w:rPr>
            </w:pPr>
            <w:r w:rsidRPr="00A23740">
              <w:rPr>
                <w:b/>
                <w:szCs w:val="24"/>
              </w:rPr>
              <w:t>MADDE 523-</w:t>
            </w:r>
            <w:r w:rsidRPr="00A23740">
              <w:rPr>
                <w:szCs w:val="24"/>
              </w:rPr>
              <w:t xml:space="preserve"> </w:t>
            </w:r>
            <w:r w:rsidRPr="00A23740">
              <w:rPr>
                <w:rFonts w:eastAsia="Times New Roman"/>
                <w:szCs w:val="24"/>
                <w:lang w:eastAsia="tr-TR"/>
              </w:rPr>
              <w:t>Maddeyle, malvarlığının taksirle eksiltilmesi suçu düzenlenmektedir. 2004 sayılı Kanunun 332 nci maddesine karşılık gelen bu hüküm, dili sadeleştirilmek ve metnin içeriğine uygun olarak madde başlığı değiştirilmek suretiyle muhafaza edilmektedir.</w:t>
            </w:r>
          </w:p>
          <w:p w:rsidR="00A043AD" w:rsidRPr="00A23740" w:rsidRDefault="00A043AD" w:rsidP="00750F08">
            <w:pPr>
              <w:ind w:firstLine="709"/>
              <w:rPr>
                <w:rFonts w:eastAsia="Times New Roman"/>
                <w:bCs/>
                <w:szCs w:val="24"/>
                <w:lang w:eastAsia="tr-TR"/>
              </w:rPr>
            </w:pPr>
            <w:r w:rsidRPr="00A23740">
              <w:rPr>
                <w:rFonts w:eastAsia="Times New Roman"/>
                <w:szCs w:val="24"/>
                <w:lang w:eastAsia="tr-TR"/>
              </w:rPr>
              <w:t xml:space="preserve">Birinci fıkrayla, haciz veya taşınır rehninin paraya çevrilmesi yoluyla takip ya da konkordato talebinden sonra yahut bu taleplerden önceki iki yıl içinde dikkat ve özen yükümlülüğüne aykırı davranmak suretiyle malvarlığının borçlarını karşılamayacak derecede azalmasına sebebiyet verilmesi suç olarak düzenlenmekte ve fiil daha ağır cezayı gerektiren başka bir suç oluşturmadığı takdirde, </w:t>
            </w:r>
            <w:r w:rsidRPr="00A23740">
              <w:t>borçlunun üç aydan</w:t>
            </w:r>
            <w:r w:rsidRPr="00A23740">
              <w:rPr>
                <w:rFonts w:eastAsia="Times New Roman"/>
                <w:b/>
                <w:bCs/>
                <w:color w:val="0000FF"/>
                <w:szCs w:val="24"/>
                <w:lang w:eastAsia="x-none"/>
              </w:rPr>
              <w:t xml:space="preserve"> </w:t>
            </w:r>
            <w:r w:rsidRPr="00A23740">
              <w:rPr>
                <w:rFonts w:eastAsia="Times New Roman"/>
                <w:szCs w:val="24"/>
                <w:lang w:eastAsia="tr-TR"/>
              </w:rPr>
              <w:t xml:space="preserve">bir yıla kadar hapis cezasıyla </w:t>
            </w:r>
            <w:r w:rsidR="009B742A" w:rsidRPr="00A23740">
              <w:rPr>
                <w:rFonts w:eastAsia="Times New Roman"/>
                <w:szCs w:val="24"/>
                <w:lang w:eastAsia="tr-TR"/>
              </w:rPr>
              <w:t xml:space="preserve">cezalandırılması </w:t>
            </w:r>
            <w:r w:rsidRPr="00A23740">
              <w:rPr>
                <w:rFonts w:eastAsia="Times New Roman"/>
                <w:szCs w:val="24"/>
                <w:lang w:eastAsia="tr-TR"/>
              </w:rPr>
              <w:t>hükme bağlanmaktadır. Ayrıca hükümde, malvarlığının taksirle eksiltilmesi kabul ed</w:t>
            </w:r>
            <w:r w:rsidR="00535D4A" w:rsidRPr="00A23740">
              <w:rPr>
                <w:rFonts w:eastAsia="Times New Roman"/>
                <w:szCs w:val="24"/>
                <w:lang w:eastAsia="tr-TR"/>
              </w:rPr>
              <w:t>ilen seçenek eylemler bentler hâ</w:t>
            </w:r>
            <w:r w:rsidRPr="00A23740">
              <w:rPr>
                <w:rFonts w:eastAsia="Times New Roman"/>
                <w:szCs w:val="24"/>
                <w:lang w:eastAsia="tr-TR"/>
              </w:rPr>
              <w:t>linde sayılmakta ve bir yenilik olarak taşınır rehninin paraya çevrilmesi yoluyla takip</w:t>
            </w:r>
            <w:r w:rsidRPr="00A23740">
              <w:rPr>
                <w:rStyle w:val="KIRMIZIChar"/>
                <w:rFonts w:eastAsia="Calibri"/>
                <w:strike w:val="0"/>
              </w:rPr>
              <w:t xml:space="preserve"> </w:t>
            </w:r>
            <w:r w:rsidRPr="002E2E40">
              <w:rPr>
                <w:rFonts w:eastAsia="Times New Roman"/>
                <w:szCs w:val="24"/>
                <w:lang w:eastAsia="tr-TR"/>
              </w:rPr>
              <w:t>de</w:t>
            </w:r>
            <w:r w:rsidRPr="00A23740">
              <w:rPr>
                <w:rFonts w:eastAsia="Times New Roman"/>
                <w:szCs w:val="24"/>
                <w:lang w:eastAsia="tr-TR"/>
              </w:rPr>
              <w:t xml:space="preserve"> metne eklenmektedir. Buna göre, gereğinden fazla harcama yapılması, aşırı miktarda şans oyunlarına veya basiretsizce spekülasyonlara girişilmesi, işlerinde ağır ihmallerde bulunulması ve malvarlığına ilişkin </w:t>
            </w:r>
            <w:r w:rsidR="00535D4A" w:rsidRPr="00A23740">
              <w:rPr>
                <w:rFonts w:eastAsia="Times New Roman"/>
                <w:szCs w:val="24"/>
                <w:lang w:eastAsia="tr-TR"/>
              </w:rPr>
              <w:t>durumun kötüleştiğini bildiği hâ</w:t>
            </w:r>
            <w:r w:rsidRPr="00A23740">
              <w:rPr>
                <w:rFonts w:eastAsia="Times New Roman"/>
                <w:szCs w:val="24"/>
                <w:lang w:eastAsia="tr-TR"/>
              </w:rPr>
              <w:t>lde bunu daha da ağırlaştıracak davranışlarda bulunulması malvar</w:t>
            </w:r>
            <w:r w:rsidR="00535D4A" w:rsidRPr="00A23740">
              <w:rPr>
                <w:rFonts w:eastAsia="Times New Roman"/>
                <w:szCs w:val="24"/>
                <w:lang w:eastAsia="tr-TR"/>
              </w:rPr>
              <w:t>lığının taksirle eksiltildiği hâ</w:t>
            </w:r>
            <w:r w:rsidRPr="00A23740">
              <w:rPr>
                <w:rFonts w:eastAsia="Times New Roman"/>
                <w:szCs w:val="24"/>
                <w:lang w:eastAsia="tr-TR"/>
              </w:rPr>
              <w:t xml:space="preserve">ller olarak kabul edilmektedir. </w:t>
            </w:r>
            <w:r w:rsidRPr="00A23740">
              <w:rPr>
                <w:rFonts w:eastAsia="Times New Roman"/>
                <w:bCs/>
                <w:szCs w:val="24"/>
                <w:lang w:eastAsia="tr-TR"/>
              </w:rPr>
              <w:t xml:space="preserve">Hükümle, alacaklıların takip hukukundan kaynaklanan haklarının korunması ve dikkat ve özen yükümlülüğüne aykırı eylemleri nedeniyle bu hakları ihlal eden borçluların cezalandırılması amaçlanmaktadır. Bu kapsamda failin cezalandırılabilmesi, alacaklının kesin aciz belgesi alması veya alacağını alamadığını ispat etmesi şartına bağlanmaktadır. Alacağın alınamadığı, Taslağın </w:t>
            </w:r>
            <w:r w:rsidR="00D543B6" w:rsidRPr="002E2E40">
              <w:rPr>
                <w:rFonts w:eastAsia="Times New Roman"/>
                <w:szCs w:val="24"/>
                <w:lang w:eastAsia="tr-TR"/>
              </w:rPr>
              <w:t>203</w:t>
            </w:r>
            <w:r w:rsidR="00D543B6" w:rsidRPr="00A23740">
              <w:rPr>
                <w:rStyle w:val="KonuBalChar"/>
                <w:rFonts w:eastAsia="Calibri"/>
              </w:rPr>
              <w:t xml:space="preserve"> </w:t>
            </w:r>
            <w:r w:rsidR="00D543B6" w:rsidRPr="002E2E40">
              <w:rPr>
                <w:rFonts w:eastAsia="Times New Roman"/>
                <w:szCs w:val="24"/>
                <w:lang w:eastAsia="tr-TR"/>
              </w:rPr>
              <w:t>üncü</w:t>
            </w:r>
            <w:r w:rsidR="00D543B6" w:rsidRPr="00A23740">
              <w:rPr>
                <w:rFonts w:eastAsia="Times New Roman"/>
                <w:bCs/>
                <w:szCs w:val="24"/>
                <w:lang w:eastAsia="tr-TR"/>
              </w:rPr>
              <w:t xml:space="preserve"> </w:t>
            </w:r>
            <w:r w:rsidRPr="00A23740">
              <w:rPr>
                <w:rFonts w:eastAsia="Times New Roman"/>
                <w:bCs/>
                <w:szCs w:val="24"/>
                <w:lang w:eastAsia="tr-TR"/>
              </w:rPr>
              <w:t xml:space="preserve">maddesinin birinci fıkrası uyarınca düzenlenen kesin aciz belgesi hükmünde olan belgeyle de ispatlanacağı hususunda tereddüt bulunmamaktadır. Ayrıca Taslağın </w:t>
            </w:r>
            <w:r w:rsidR="00D543B6" w:rsidRPr="002E2E40">
              <w:rPr>
                <w:rFonts w:eastAsia="Times New Roman"/>
                <w:szCs w:val="24"/>
                <w:lang w:eastAsia="tr-TR"/>
              </w:rPr>
              <w:t>203</w:t>
            </w:r>
            <w:r w:rsidR="00D543B6" w:rsidRPr="002E2E40">
              <w:rPr>
                <w:rFonts w:eastAsia="Times New Roman"/>
                <w:b/>
                <w:bCs/>
                <w:szCs w:val="24"/>
                <w:lang w:eastAsia="tr-TR"/>
              </w:rPr>
              <w:t xml:space="preserve"> </w:t>
            </w:r>
            <w:r w:rsidR="00D543B6" w:rsidRPr="002E2E40">
              <w:rPr>
                <w:rFonts w:eastAsia="Times New Roman"/>
                <w:szCs w:val="24"/>
                <w:lang w:eastAsia="tr-TR"/>
              </w:rPr>
              <w:t>üncü</w:t>
            </w:r>
            <w:r w:rsidR="00D543B6" w:rsidRPr="00A23740">
              <w:rPr>
                <w:rFonts w:eastAsia="Times New Roman"/>
                <w:bCs/>
                <w:szCs w:val="24"/>
                <w:lang w:eastAsia="tr-TR"/>
              </w:rPr>
              <w:t xml:space="preserve"> </w:t>
            </w:r>
            <w:r w:rsidRPr="00A23740">
              <w:rPr>
                <w:rFonts w:eastAsia="Times New Roman"/>
                <w:bCs/>
                <w:szCs w:val="24"/>
                <w:lang w:eastAsia="tr-TR"/>
              </w:rPr>
              <w:t>maddesinin ikinci fıkrası gereğince düzenlenen geçici aciz belgesi, haczedilen malların takdir edilen kıymetinin borcu karşılayıp karşılamayacağı bu belgenin düzenlendiği tarih itibarıyla belli olmadığı için</w:t>
            </w:r>
            <w:r w:rsidR="009B742A" w:rsidRPr="00A23740">
              <w:rPr>
                <w:rFonts w:eastAsia="Times New Roman"/>
                <w:bCs/>
                <w:szCs w:val="24"/>
                <w:lang w:eastAsia="tr-TR"/>
              </w:rPr>
              <w:t>,</w:t>
            </w:r>
            <w:r w:rsidRPr="00A23740">
              <w:rPr>
                <w:rFonts w:eastAsia="Times New Roman"/>
                <w:bCs/>
                <w:szCs w:val="24"/>
                <w:lang w:eastAsia="tr-TR"/>
              </w:rPr>
              <w:t xml:space="preserve"> alacağın alınamadığının ispatında dikkate alınmaz. Fıkrada yer alan “fiil daha ağır cezayı gerektiren</w:t>
            </w:r>
            <w:r w:rsidR="00535D4A" w:rsidRPr="00A23740">
              <w:rPr>
                <w:rFonts w:eastAsia="Times New Roman"/>
                <w:bCs/>
                <w:szCs w:val="24"/>
                <w:lang w:eastAsia="tr-TR"/>
              </w:rPr>
              <w:t xml:space="preserve"> başka bir suç oluşturmaması” hâ</w:t>
            </w:r>
            <w:r w:rsidRPr="00A23740">
              <w:rPr>
                <w:rFonts w:eastAsia="Times New Roman"/>
                <w:bCs/>
                <w:szCs w:val="24"/>
                <w:lang w:eastAsia="tr-TR"/>
              </w:rPr>
              <w:t xml:space="preserve">li, tereddütlerin giderilmesi amacıyla hükme eklenmektedir. </w:t>
            </w:r>
            <w:r w:rsidRPr="00A23740">
              <w:rPr>
                <w:rFonts w:eastAsia="Arial Unicode MS"/>
                <w:iCs/>
                <w:szCs w:val="24"/>
                <w:lang w:eastAsia="tr-TR"/>
              </w:rPr>
              <w:t>2004 sayılı Kanundan farklı olarak</w:t>
            </w:r>
            <w:r w:rsidR="009B742A" w:rsidRPr="00A23740">
              <w:rPr>
                <w:rFonts w:eastAsia="Arial Unicode MS"/>
                <w:iCs/>
                <w:szCs w:val="24"/>
                <w:lang w:eastAsia="tr-TR"/>
              </w:rPr>
              <w:t>,</w:t>
            </w:r>
            <w:r w:rsidRPr="00A23740">
              <w:rPr>
                <w:rFonts w:eastAsia="Arial Unicode MS"/>
                <w:iCs/>
                <w:szCs w:val="24"/>
                <w:lang w:eastAsia="tr-TR"/>
              </w:rPr>
              <w:t xml:space="preserve"> caydırıcılığın sağlanabilmesi için hapis cezasının alt ve üst sınırı artırılmaktadır.</w:t>
            </w:r>
          </w:p>
          <w:p w:rsidR="00A043AD" w:rsidRPr="00A23740" w:rsidRDefault="00A043AD" w:rsidP="00750F08">
            <w:pPr>
              <w:ind w:firstLine="709"/>
              <w:rPr>
                <w:rFonts w:eastAsia="Times New Roman"/>
                <w:bCs/>
                <w:szCs w:val="24"/>
                <w:lang w:eastAsia="tr-TR"/>
              </w:rPr>
            </w:pPr>
            <w:r w:rsidRPr="00A23740">
              <w:rPr>
                <w:rFonts w:eastAsia="Times New Roman"/>
                <w:szCs w:val="24"/>
                <w:lang w:eastAsia="tr-TR"/>
              </w:rPr>
              <w:t xml:space="preserve">İkinci fıkrayla, malvarlığının taksirle eksiltilmesi </w:t>
            </w:r>
            <w:r w:rsidRPr="00A23740">
              <w:rPr>
                <w:rFonts w:eastAsia="Times New Roman"/>
                <w:bCs/>
                <w:szCs w:val="24"/>
                <w:lang w:eastAsia="tr-TR"/>
              </w:rPr>
              <w:t>suçunun alacaklının şikâyeti üzerine kovuşturulacağı hükme bağlanmaktadır. Ancak borçluyu fazla borç altına girmeye, şans oyunu oynamaya veya spekülasyonlarda bulunmaya sevk etmiş ya da ağır faiz almak suretiyle zaafından istifade etmiş olan alacaklının şikâyet hakkı bulunmamaktadır.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Öte yandan, 2004 sayılı Kanunun 332 nci maddesinin ikinci fıkrası içerik olarak birinci fıkrada düzenlendiği için</w:t>
            </w:r>
            <w:r w:rsidR="009B742A" w:rsidRPr="00A23740">
              <w:rPr>
                <w:rFonts w:eastAsia="Times New Roman"/>
                <w:szCs w:val="24"/>
                <w:lang w:eastAsia="tr-TR"/>
              </w:rPr>
              <w:t>,</w:t>
            </w:r>
            <w:r w:rsidRPr="00A23740">
              <w:rPr>
                <w:rFonts w:eastAsia="Times New Roman"/>
                <w:szCs w:val="24"/>
                <w:lang w:eastAsia="tr-TR"/>
              </w:rPr>
              <w:t xml:space="preserve"> maddede ayrıca bu hükme yer verilmemektedir.</w:t>
            </w:r>
          </w:p>
          <w:p w:rsidR="000C3326" w:rsidRPr="00A23740" w:rsidRDefault="000C3326" w:rsidP="000C3326">
            <w:pPr>
              <w:rPr>
                <w:rFonts w:eastAsia="Arial Unicode MS"/>
                <w:iCs/>
                <w:strike/>
                <w:color w:val="FF0000"/>
                <w:szCs w:val="24"/>
                <w:lang w:eastAsia="x-none"/>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Ticar</w:t>
            </w:r>
            <w:r w:rsidRPr="00A23740">
              <w:rPr>
                <w:rFonts w:eastAsia="Times New Roman"/>
                <w:b/>
                <w:strike/>
                <w:color w:val="FF0000"/>
                <w:szCs w:val="24"/>
                <w:lang w:eastAsia="x-none"/>
              </w:rPr>
              <w:t>i işletmede</w:t>
            </w:r>
            <w:r w:rsidRPr="00A23740">
              <w:rPr>
                <w:rFonts w:eastAsia="Times New Roman"/>
                <w:b/>
                <w:bCs/>
                <w:strike/>
                <w:color w:val="FF0000"/>
                <w:szCs w:val="24"/>
                <w:lang w:eastAsia="tr-TR"/>
              </w:rPr>
              <w:t xml:space="preserve"> yöneticinin</w:t>
            </w:r>
            <w:r w:rsidRPr="00A23740">
              <w:rPr>
                <w:rFonts w:eastAsia="Times New Roman"/>
                <w:bCs/>
                <w:strike/>
                <w:color w:val="FF0000"/>
                <w:szCs w:val="24"/>
                <w:lang w:eastAsia="tr-TR"/>
              </w:rPr>
              <w:t xml:space="preserve"> </w:t>
            </w:r>
            <w:r w:rsidRPr="00A23740">
              <w:rPr>
                <w:rFonts w:eastAsia="Times New Roman"/>
                <w:b/>
                <w:bCs/>
                <w:strike/>
                <w:color w:val="FF0000"/>
                <w:szCs w:val="24"/>
                <w:lang w:eastAsia="tr-TR"/>
              </w:rPr>
              <w:t>sorumluluğu:</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333/a</w:t>
            </w:r>
            <w:r w:rsidRPr="00A23740">
              <w:rPr>
                <w:rFonts w:eastAsia="Times New Roman"/>
                <w:b/>
                <w:szCs w:val="24"/>
                <w:lang w:eastAsia="tr-TR"/>
              </w:rPr>
              <w:t>- (1)</w:t>
            </w:r>
            <w:r w:rsidRPr="00A23740">
              <w:rPr>
                <w:rFonts w:eastAsia="Times New Roman"/>
                <w:b/>
                <w:color w:val="FF0000"/>
                <w:szCs w:val="24"/>
                <w:lang w:eastAsia="x-none"/>
              </w:rPr>
              <w:t xml:space="preserve"> </w:t>
            </w:r>
            <w:r w:rsidRPr="00A23740">
              <w:rPr>
                <w:rFonts w:eastAsia="Times New Roman"/>
                <w:b/>
                <w:strike/>
                <w:color w:val="FF0000"/>
                <w:szCs w:val="24"/>
                <w:lang w:eastAsia="x-none"/>
              </w:rPr>
              <w:t>(Ek: 17/7/2003-4949/90 md.; Değişik: 31/5/2005-5358/4 md.)</w:t>
            </w:r>
            <w:r w:rsidRPr="00A23740">
              <w:rPr>
                <w:rFonts w:eastAsia="Times New Roman"/>
                <w:b/>
                <w:color w:val="FF0000"/>
                <w:szCs w:val="24"/>
                <w:lang w:eastAsia="x-none"/>
              </w:rPr>
              <w:t xml:space="preserve"> </w:t>
            </w:r>
            <w:r w:rsidRPr="00A23740">
              <w:rPr>
                <w:rFonts w:eastAsia="Times New Roman"/>
                <w:szCs w:val="24"/>
                <w:lang w:eastAsia="tr-TR"/>
              </w:rPr>
              <w:t>Ticaret şirketlerinde hukuken veya fiilen yönetim yetkisine sahip olanlar</w:t>
            </w:r>
            <w:r w:rsidRPr="00A23740">
              <w:rPr>
                <w:rFonts w:eastAsia="Times New Roman"/>
                <w:b/>
                <w:bCs/>
                <w:strike/>
                <w:color w:val="FF0000"/>
                <w:szCs w:val="24"/>
                <w:lang w:eastAsia="tr-TR"/>
              </w:rPr>
              <w:t>ın</w:t>
            </w:r>
            <w:r w:rsidRPr="00A23740">
              <w:rPr>
                <w:rFonts w:eastAsia="Times New Roman"/>
                <w:szCs w:val="24"/>
                <w:lang w:eastAsia="tr-TR"/>
              </w:rPr>
              <w:t xml:space="preserve"> alacaklıları zarara uğratmak </w:t>
            </w:r>
            <w:r w:rsidRPr="00A23740">
              <w:rPr>
                <w:rFonts w:eastAsia="Times New Roman"/>
                <w:b/>
                <w:strike/>
                <w:color w:val="FF0000"/>
                <w:szCs w:val="24"/>
                <w:lang w:eastAsia="x-none"/>
              </w:rPr>
              <w:t>kastıyla</w:t>
            </w:r>
            <w:r w:rsidRPr="00A23740">
              <w:rPr>
                <w:rFonts w:eastAsia="Times New Roman"/>
                <w:szCs w:val="24"/>
                <w:lang w:eastAsia="tr-TR"/>
              </w:rPr>
              <w:t xml:space="preserve"> ticar</w:t>
            </w:r>
            <w:r w:rsidRPr="00A23740">
              <w:rPr>
                <w:b/>
                <w:bCs/>
                <w:strike/>
                <w:color w:val="FF0000"/>
                <w:szCs w:val="24"/>
              </w:rPr>
              <w:t>î</w:t>
            </w:r>
            <w:r w:rsidRPr="00A23740">
              <w:rPr>
                <w:rFonts w:eastAsia="Times New Roman"/>
                <w:szCs w:val="24"/>
                <w:lang w:eastAsia="tr-TR"/>
              </w:rPr>
              <w:t xml:space="preserve"> işletmenin borçlarını kısmen veya tamamen ödeme</w:t>
            </w:r>
            <w:r w:rsidRPr="00A23740">
              <w:rPr>
                <w:rFonts w:eastAsia="Times New Roman"/>
                <w:b/>
                <w:strike/>
                <w:color w:val="FF0000"/>
                <w:szCs w:val="24"/>
                <w:lang w:eastAsia="x-none"/>
              </w:rPr>
              <w:t>yerek alacaklıları zarara soktukları takdirde</w:t>
            </w:r>
            <w:r w:rsidRPr="00A23740">
              <w:rPr>
                <w:rFonts w:eastAsia="Times New Roman"/>
                <w:szCs w:val="24"/>
                <w:lang w:eastAsia="tr-TR"/>
              </w:rPr>
              <w:t xml:space="preserve">, </w:t>
            </w:r>
            <w:r w:rsidRPr="00A23740">
              <w:rPr>
                <w:rFonts w:eastAsia="Times New Roman"/>
                <w:b/>
                <w:strike/>
                <w:color w:val="FF0000"/>
                <w:szCs w:val="24"/>
                <w:lang w:eastAsia="x-none"/>
              </w:rPr>
              <w:t>bu işlem ve eylemlerin</w:t>
            </w:r>
            <w:r w:rsidRPr="00A23740">
              <w:rPr>
                <w:rFonts w:eastAsia="Times New Roman"/>
                <w:szCs w:val="24"/>
                <w:lang w:eastAsia="tr-TR"/>
              </w:rPr>
              <w:t xml:space="preserve"> başka bir suç oluşturma</w:t>
            </w:r>
            <w:r w:rsidRPr="00A23740">
              <w:rPr>
                <w:rFonts w:eastAsia="Times New Roman"/>
                <w:b/>
                <w:strike/>
                <w:color w:val="FF0000"/>
                <w:szCs w:val="24"/>
                <w:lang w:eastAsia="x-none"/>
              </w:rPr>
              <w:t>ması hâlinde,</w:t>
            </w:r>
            <w:r w:rsidRPr="00A23740">
              <w:rPr>
                <w:rFonts w:eastAsia="Times New Roman"/>
                <w:szCs w:val="24"/>
                <w:lang w:eastAsia="tr-TR"/>
              </w:rPr>
              <w:t xml:space="preserve"> alacaklının şikâyeti üzerine, </w:t>
            </w:r>
            <w:r w:rsidRPr="00A23740">
              <w:rPr>
                <w:rFonts w:eastAsia="Times New Roman"/>
                <w:b/>
                <w:strike/>
                <w:color w:val="FF0000"/>
                <w:szCs w:val="24"/>
                <w:lang w:eastAsia="x-none"/>
              </w:rPr>
              <w:t>altı aydan iki</w:t>
            </w:r>
            <w:r w:rsidRPr="00A23740">
              <w:rPr>
                <w:rFonts w:eastAsia="Times New Roman"/>
                <w:b/>
                <w:color w:val="FF0000"/>
                <w:szCs w:val="24"/>
                <w:lang w:eastAsia="x-none"/>
              </w:rPr>
              <w:t xml:space="preserve"> </w:t>
            </w:r>
            <w:r w:rsidRPr="00A23740">
              <w:rPr>
                <w:rFonts w:eastAsia="Times New Roman"/>
                <w:szCs w:val="24"/>
                <w:lang w:eastAsia="tr-TR"/>
              </w:rPr>
              <w:t>yıla kadar hapis ve beşbin güne kadar adlî para cezası ile cezalandırılır.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strike/>
                <w:color w:val="FF0000"/>
                <w:szCs w:val="24"/>
                <w:lang w:eastAsia="x-none"/>
              </w:rPr>
            </w:pPr>
            <w:r w:rsidRPr="00A23740">
              <w:rPr>
                <w:rFonts w:eastAsia="Times New Roman"/>
                <w:b/>
                <w:szCs w:val="24"/>
                <w:lang w:eastAsia="x-none"/>
              </w:rPr>
              <w:t>(2)</w:t>
            </w:r>
            <w:r w:rsidRPr="00A23740">
              <w:rPr>
                <w:rFonts w:eastAsia="Times New Roman"/>
                <w:b/>
                <w:color w:val="FF0000"/>
                <w:szCs w:val="24"/>
                <w:lang w:eastAsia="x-none"/>
              </w:rPr>
              <w:t xml:space="preserve"> </w:t>
            </w:r>
            <w:r w:rsidRPr="00A23740">
              <w:t>Birinci fıkradaki suç taksirle işlendiği takdirde,</w:t>
            </w:r>
            <w:r w:rsidRPr="00A23740">
              <w:rPr>
                <w:rFonts w:eastAsia="Times New Roman"/>
                <w:b/>
                <w:color w:val="FF0000"/>
                <w:szCs w:val="24"/>
                <w:lang w:eastAsia="x-none"/>
              </w:rPr>
              <w:t xml:space="preserve"> </w:t>
            </w:r>
            <w:r w:rsidRPr="00A23740">
              <w:rPr>
                <w:rFonts w:eastAsia="Times New Roman"/>
                <w:szCs w:val="24"/>
                <w:lang w:eastAsia="tr-TR"/>
              </w:rPr>
              <w:t xml:space="preserve">alacaklının şikâyeti üzerine, </w:t>
            </w:r>
            <w:r w:rsidRPr="00A23740">
              <w:rPr>
                <w:rFonts w:eastAsia="Times New Roman"/>
                <w:b/>
                <w:strike/>
                <w:color w:val="FF0000"/>
                <w:szCs w:val="24"/>
                <w:lang w:eastAsia="x-none"/>
              </w:rPr>
              <w:t>fail hakkında zararın ağırlığına göre ikibin güne</w:t>
            </w:r>
            <w:r w:rsidRPr="00A23740">
              <w:rPr>
                <w:rFonts w:eastAsia="Times New Roman"/>
                <w:szCs w:val="24"/>
                <w:lang w:eastAsia="tr-TR"/>
              </w:rPr>
              <w:t xml:space="preserve"> kadar adlî para cezası</w:t>
            </w:r>
            <w:r w:rsidRPr="00A23740">
              <w:rPr>
                <w:rFonts w:eastAsia="Times New Roman"/>
                <w:b/>
                <w:strike/>
                <w:color w:val="FF0000"/>
                <w:szCs w:val="24"/>
                <w:lang w:eastAsia="x-none"/>
              </w:rPr>
              <w:t>na hükmolunur</w:t>
            </w:r>
            <w:r w:rsidRPr="00A23740">
              <w:rPr>
                <w:rFonts w:eastAsia="Times New Roman"/>
                <w:szCs w:val="24"/>
                <w:lang w:eastAsia="tr-TR"/>
              </w:rPr>
              <w:t>.</w:t>
            </w: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Ticar</w:t>
            </w:r>
            <w:r w:rsidRPr="00A23740">
              <w:rPr>
                <w:rFonts w:eastAsia="Times New Roman"/>
                <w:b/>
                <w:bCs/>
                <w:color w:val="0000FF"/>
                <w:szCs w:val="24"/>
                <w:lang w:eastAsia="x-none"/>
              </w:rPr>
              <w:t>et şirketlerinde borcun ödenmemesi</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MADDE 524- (1)</w:t>
            </w:r>
            <w:r w:rsidRPr="00A23740">
              <w:rPr>
                <w:rFonts w:eastAsia="Times New Roman"/>
                <w:b/>
                <w:szCs w:val="24"/>
                <w:lang w:eastAsia="tr-TR"/>
              </w:rPr>
              <w:t xml:space="preserve"> </w:t>
            </w:r>
            <w:r w:rsidRPr="00A23740">
              <w:rPr>
                <w:rFonts w:eastAsia="Times New Roman"/>
                <w:szCs w:val="24"/>
                <w:lang w:eastAsia="tr-TR"/>
              </w:rPr>
              <w:t>Ticaret şirketlerinde hukuken veya fiilen yönetim yetkisine sahip olanlar</w:t>
            </w:r>
            <w:r w:rsidRPr="00A23740">
              <w:rPr>
                <w:rFonts w:eastAsia="Times New Roman"/>
                <w:b/>
                <w:bCs/>
                <w:color w:val="0000FF"/>
                <w:szCs w:val="24"/>
                <w:lang w:eastAsia="x-none"/>
              </w:rPr>
              <w:t>,</w:t>
            </w:r>
            <w:r w:rsidRPr="00A23740">
              <w:rPr>
                <w:rFonts w:eastAsia="Times New Roman"/>
                <w:szCs w:val="24"/>
                <w:lang w:eastAsia="tr-TR"/>
              </w:rPr>
              <w:t xml:space="preserve"> alacaklıları zarara uğratmak </w:t>
            </w:r>
            <w:r w:rsidRPr="00A23740">
              <w:rPr>
                <w:rStyle w:val="MaviChar"/>
              </w:rPr>
              <w:t>kastıyla</w:t>
            </w:r>
            <w:r w:rsidRPr="00A23740">
              <w:rPr>
                <w:rFonts w:eastAsia="Times New Roman"/>
                <w:szCs w:val="24"/>
                <w:lang w:eastAsia="tr-TR"/>
              </w:rPr>
              <w:t xml:space="preserve"> ticar</w:t>
            </w:r>
            <w:r w:rsidRPr="00A23740">
              <w:rPr>
                <w:b/>
                <w:bCs/>
                <w:color w:val="0000FF"/>
                <w:szCs w:val="24"/>
                <w:lang w:val="x-none" w:eastAsia="x-none"/>
              </w:rPr>
              <w:t>i</w:t>
            </w:r>
            <w:r w:rsidRPr="00A23740">
              <w:rPr>
                <w:rFonts w:eastAsia="Times New Roman"/>
                <w:szCs w:val="24"/>
                <w:lang w:eastAsia="tr-TR"/>
              </w:rPr>
              <w:t xml:space="preserve"> işletmenin </w:t>
            </w:r>
            <w:r w:rsidRPr="002E2E40">
              <w:rPr>
                <w:rStyle w:val="YELChar"/>
                <w:color w:val="0000FF"/>
              </w:rPr>
              <w:t>veya kooperatifin</w:t>
            </w:r>
            <w:r w:rsidRPr="002E2E40">
              <w:rPr>
                <w:rFonts w:eastAsia="Times New Roman"/>
                <w:color w:val="0000FF"/>
                <w:szCs w:val="24"/>
                <w:lang w:eastAsia="tr-TR"/>
              </w:rPr>
              <w:t xml:space="preserve"> </w:t>
            </w:r>
            <w:r w:rsidRPr="00A23740">
              <w:rPr>
                <w:rFonts w:eastAsia="Times New Roman"/>
                <w:szCs w:val="24"/>
                <w:lang w:eastAsia="tr-TR"/>
              </w:rPr>
              <w:t>borçlarını kısmen veya tamamen ödeme</w:t>
            </w:r>
            <w:r w:rsidRPr="00A23740">
              <w:rPr>
                <w:b/>
                <w:bCs/>
                <w:color w:val="0000FF"/>
                <w:szCs w:val="24"/>
                <w:lang w:eastAsia="x-none"/>
              </w:rPr>
              <w:t>z</w:t>
            </w:r>
            <w:r w:rsidR="002048C1" w:rsidRPr="002E2E40">
              <w:rPr>
                <w:b/>
                <w:bCs/>
                <w:color w:val="0000FF"/>
                <w:szCs w:val="24"/>
                <w:lang w:eastAsia="x-none"/>
              </w:rPr>
              <w:t>ler</w:t>
            </w:r>
            <w:r w:rsidRPr="00A23740">
              <w:rPr>
                <w:b/>
                <w:bCs/>
                <w:color w:val="0000FF"/>
                <w:szCs w:val="24"/>
                <w:lang w:eastAsia="x-none"/>
              </w:rPr>
              <w:t>se</w:t>
            </w:r>
            <w:r w:rsidRPr="00A23740">
              <w:rPr>
                <w:rFonts w:eastAsia="Times New Roman"/>
                <w:b/>
                <w:bCs/>
                <w:color w:val="0000FF"/>
                <w:szCs w:val="24"/>
                <w:lang w:eastAsia="x-none"/>
              </w:rPr>
              <w:t>, fiil daha ağır cezayı gerektiren</w:t>
            </w:r>
            <w:r w:rsidRPr="00A23740">
              <w:rPr>
                <w:rFonts w:eastAsia="Times New Roman"/>
                <w:szCs w:val="24"/>
                <w:lang w:eastAsia="tr-TR"/>
              </w:rPr>
              <w:t xml:space="preserve"> başka bir suç oluşturma</w:t>
            </w:r>
            <w:r w:rsidRPr="00A23740">
              <w:rPr>
                <w:rFonts w:eastAsia="Times New Roman"/>
                <w:b/>
                <w:bCs/>
                <w:color w:val="0000FF"/>
                <w:szCs w:val="24"/>
                <w:lang w:eastAsia="x-none"/>
              </w:rPr>
              <w:t>dığı takdirde</w:t>
            </w:r>
            <w:r w:rsidRPr="00A23740">
              <w:rPr>
                <w:rFonts w:eastAsia="Times New Roman"/>
                <w:szCs w:val="24"/>
                <w:lang w:eastAsia="tr-TR"/>
              </w:rPr>
              <w:t xml:space="preserve">, alacaklının şikâyeti üzerine, </w:t>
            </w:r>
            <w:r w:rsidRPr="00A23740">
              <w:rPr>
                <w:rFonts w:eastAsia="Times New Roman"/>
                <w:b/>
                <w:color w:val="0000FF"/>
                <w:szCs w:val="24"/>
              </w:rPr>
              <w:t>bir yıldan üç</w:t>
            </w:r>
            <w:r w:rsidRPr="00A23740">
              <w:rPr>
                <w:rFonts w:eastAsia="Times New Roman"/>
                <w:szCs w:val="24"/>
                <w:lang w:eastAsia="tr-TR"/>
              </w:rPr>
              <w:t xml:space="preserve"> yıla kadar hapis ve beşbin güne kadar </w:t>
            </w:r>
            <w:r w:rsidRPr="002E2E40">
              <w:rPr>
                <w:rStyle w:val="YELChar"/>
                <w:color w:val="0000FF"/>
              </w:rPr>
              <w:t>adli</w:t>
            </w:r>
            <w:r w:rsidRPr="002E2E40">
              <w:rPr>
                <w:rFonts w:eastAsia="Times New Roman"/>
                <w:color w:val="0000FF"/>
                <w:szCs w:val="24"/>
                <w:lang w:eastAsia="tr-TR"/>
              </w:rPr>
              <w:t xml:space="preserve"> </w:t>
            </w:r>
            <w:r w:rsidRPr="00A23740">
              <w:rPr>
                <w:rFonts w:eastAsia="Times New Roman"/>
                <w:szCs w:val="24"/>
                <w:lang w:eastAsia="tr-TR"/>
              </w:rPr>
              <w:t>para cezası</w:t>
            </w:r>
            <w:r w:rsidR="002048C1" w:rsidRPr="002E2E40">
              <w:rPr>
                <w:rFonts w:eastAsia="Times New Roman"/>
                <w:b/>
                <w:color w:val="0000FF"/>
                <w:szCs w:val="24"/>
                <w:lang w:eastAsia="tr-TR"/>
              </w:rPr>
              <w:t>yla</w:t>
            </w:r>
            <w:r w:rsidRPr="00A23740">
              <w:rPr>
                <w:rFonts w:eastAsia="Times New Roman"/>
                <w:szCs w:val="24"/>
                <w:lang w:eastAsia="tr-TR"/>
              </w:rPr>
              <w:t xml:space="preserve"> cezalandırılır.</w:t>
            </w:r>
          </w:p>
          <w:p w:rsidR="00A043AD" w:rsidRDefault="00A043AD" w:rsidP="00750F08">
            <w:pPr>
              <w:tabs>
                <w:tab w:val="left" w:pos="567"/>
              </w:tabs>
              <w:rPr>
                <w:b/>
                <w:color w:val="FF33CC"/>
                <w:szCs w:val="24"/>
              </w:rPr>
            </w:pPr>
          </w:p>
          <w:p w:rsidR="00A06764" w:rsidRPr="00A23740" w:rsidRDefault="00A06764" w:rsidP="00750F08">
            <w:pPr>
              <w:tabs>
                <w:tab w:val="left" w:pos="567"/>
              </w:tabs>
              <w:rPr>
                <w:b/>
                <w:color w:val="FF33CC"/>
                <w:szCs w:val="24"/>
              </w:rPr>
            </w:pPr>
          </w:p>
          <w:p w:rsidR="00A043AD" w:rsidRPr="00A23740" w:rsidRDefault="00A043AD" w:rsidP="00A06764">
            <w:pPr>
              <w:rPr>
                <w:rFonts w:eastAsia="Times New Roman"/>
                <w:szCs w:val="24"/>
                <w:lang w:eastAsia="tr-TR"/>
              </w:rPr>
            </w:pPr>
            <w:r w:rsidRPr="00A23740">
              <w:rPr>
                <w:rFonts w:eastAsia="Times New Roman"/>
                <w:b/>
                <w:color w:val="0000FF"/>
                <w:szCs w:val="24"/>
              </w:rPr>
              <w:t xml:space="preserve">(2) </w:t>
            </w:r>
            <w:r w:rsidRPr="00A23740">
              <w:t>Birinci fıkradaki suç taksirle işlendiği takdirde,</w:t>
            </w:r>
            <w:r w:rsidRPr="00A23740">
              <w:rPr>
                <w:rFonts w:eastAsia="Times New Roman"/>
                <w:b/>
                <w:color w:val="FF0000"/>
                <w:szCs w:val="24"/>
                <w:lang w:eastAsia="x-none"/>
              </w:rPr>
              <w:t xml:space="preserve"> </w:t>
            </w:r>
            <w:r w:rsidRPr="00A23740">
              <w:rPr>
                <w:rFonts w:eastAsia="Times New Roman"/>
                <w:szCs w:val="24"/>
                <w:lang w:eastAsia="tr-TR"/>
              </w:rPr>
              <w:t xml:space="preserve">alacaklının şikâyeti üzerine </w:t>
            </w:r>
            <w:r w:rsidRPr="00A23740">
              <w:rPr>
                <w:rStyle w:val="MaviChar"/>
              </w:rPr>
              <w:t>üç aydan bir yıla kadar hapis cezası</w:t>
            </w:r>
            <w:r w:rsidR="002048C1" w:rsidRPr="002E2E40">
              <w:rPr>
                <w:rStyle w:val="MaviChar"/>
                <w:lang w:val="tr-TR"/>
              </w:rPr>
              <w:t>yla</w:t>
            </w:r>
            <w:r w:rsidRPr="00A23740">
              <w:rPr>
                <w:rStyle w:val="MaviChar"/>
              </w:rPr>
              <w:t xml:space="preserve"> </w:t>
            </w:r>
            <w:r w:rsidRPr="00A23740">
              <w:rPr>
                <w:rFonts w:eastAsia="Times New Roman"/>
                <w:b/>
                <w:color w:val="0000FF"/>
                <w:szCs w:val="24"/>
              </w:rPr>
              <w:t>cezalandırılır</w:t>
            </w:r>
            <w:r w:rsidRPr="00A23740">
              <w:rPr>
                <w:rFonts w:eastAsia="Times New Roman"/>
                <w:szCs w:val="24"/>
                <w:lang w:eastAsia="tr-TR"/>
              </w:rPr>
              <w:t>.</w:t>
            </w: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 w:val="center" w:pos="7002"/>
              </w:tabs>
              <w:jc w:val="left"/>
              <w:rPr>
                <w:rFonts w:eastAsia="Arial Unicode MS"/>
                <w:b/>
                <w:iCs/>
                <w:szCs w:val="24"/>
                <w:lang w:eastAsia="tr-TR"/>
              </w:rPr>
            </w:pPr>
            <w:r w:rsidRPr="00A23740">
              <w:rPr>
                <w:rFonts w:eastAsia="Arial Unicode MS"/>
                <w:b/>
                <w:iCs/>
                <w:szCs w:val="24"/>
                <w:lang w:eastAsia="tr-TR"/>
              </w:rPr>
              <w:tab/>
            </w:r>
            <w:r w:rsidRPr="00A23740">
              <w:rPr>
                <w:rFonts w:eastAsia="Arial Unicode MS"/>
                <w:b/>
                <w:iCs/>
                <w:szCs w:val="24"/>
                <w:lang w:eastAsia="tr-TR"/>
              </w:rPr>
              <w:tab/>
            </w: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 xml:space="preserve">MADDE 524- </w:t>
            </w:r>
            <w:r w:rsidRPr="00A23740">
              <w:rPr>
                <w:rFonts w:eastAsia="Times New Roman"/>
                <w:szCs w:val="24"/>
                <w:lang w:eastAsia="tr-TR"/>
              </w:rPr>
              <w:t>Maddeyle, ticaret şirketlerinde borcun ödenmemesi suçu düzenlenmektedir. 2004 sayılı Kanunun 333/a maddesine karşılık gelen hükmün, dili sadeleştirilmekte ve içeriği muhafaza edilmektedir.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Birinci fıkrayla, ticaret şirketlerinde hukuken veya fiilen yönetim yetkisine sahip olanların, alacaklıları zarara uğratmak kastıyla ticari işletmenin </w:t>
            </w:r>
            <w:r w:rsidRPr="002E2E40">
              <w:rPr>
                <w:rFonts w:eastAsia="Times New Roman"/>
                <w:szCs w:val="24"/>
                <w:lang w:eastAsia="tr-TR"/>
              </w:rPr>
              <w:t>veya</w:t>
            </w:r>
            <w:r w:rsidRPr="002E2E40">
              <w:rPr>
                <w:rFonts w:eastAsia="Times New Roman"/>
                <w:b/>
                <w:lang w:eastAsia="tr-TR"/>
              </w:rPr>
              <w:t xml:space="preserve"> </w:t>
            </w:r>
            <w:r w:rsidRPr="002E2E40">
              <w:rPr>
                <w:rFonts w:eastAsia="Times New Roman"/>
                <w:szCs w:val="24"/>
                <w:lang w:eastAsia="tr-TR"/>
              </w:rPr>
              <w:t>kooperatifin</w:t>
            </w:r>
            <w:r w:rsidRPr="00A23740">
              <w:rPr>
                <w:rFonts w:eastAsia="Times New Roman"/>
                <w:szCs w:val="24"/>
                <w:lang w:eastAsia="tr-TR"/>
              </w:rPr>
              <w:t xml:space="preserve"> borçlarını </w:t>
            </w:r>
            <w:r w:rsidR="00535D4A" w:rsidRPr="00A23740">
              <w:rPr>
                <w:rFonts w:eastAsia="Times New Roman"/>
                <w:szCs w:val="24"/>
                <w:lang w:eastAsia="tr-TR"/>
              </w:rPr>
              <w:t>kısmen veya tamamen ödememesi hâ</w:t>
            </w:r>
            <w:r w:rsidRPr="00A23740">
              <w:rPr>
                <w:rFonts w:eastAsia="Times New Roman"/>
                <w:szCs w:val="24"/>
                <w:lang w:eastAsia="tr-TR"/>
              </w:rPr>
              <w:t xml:space="preserve">linde, fiil daha ağır cezayı gerektiren başka bir suç oluşturmadığı takdirde, </w:t>
            </w:r>
            <w:r w:rsidR="009B742A" w:rsidRPr="00A23740">
              <w:rPr>
                <w:rFonts w:eastAsia="Times New Roman"/>
                <w:szCs w:val="24"/>
                <w:lang w:eastAsia="tr-TR"/>
              </w:rPr>
              <w:t xml:space="preserve">bu durumun </w:t>
            </w:r>
            <w:r w:rsidRPr="00A23740">
              <w:rPr>
                <w:rFonts w:eastAsia="Times New Roman"/>
                <w:szCs w:val="24"/>
                <w:lang w:eastAsia="tr-TR"/>
              </w:rPr>
              <w:t>alacaklının şikâyeti üzerine, bir yıldan üç yıla kadar</w:t>
            </w:r>
            <w:r w:rsidR="0005528D" w:rsidRPr="00A23740">
              <w:rPr>
                <w:rFonts w:eastAsia="Times New Roman"/>
                <w:szCs w:val="24"/>
                <w:lang w:eastAsia="tr-TR"/>
              </w:rPr>
              <w:t xml:space="preserve"> hapis ve beşbin güne kadar adli</w:t>
            </w:r>
            <w:r w:rsidRPr="00A23740">
              <w:rPr>
                <w:rFonts w:eastAsia="Times New Roman"/>
                <w:szCs w:val="24"/>
                <w:lang w:eastAsia="tr-TR"/>
              </w:rPr>
              <w:t xml:space="preserve"> para cezası</w:t>
            </w:r>
            <w:r w:rsidR="0005528D" w:rsidRPr="002E2E40">
              <w:rPr>
                <w:rFonts w:eastAsia="Times New Roman"/>
                <w:szCs w:val="24"/>
                <w:lang w:eastAsia="tr-TR"/>
              </w:rPr>
              <w:t>yla</w:t>
            </w:r>
            <w:r w:rsidRPr="00A23740">
              <w:rPr>
                <w:rFonts w:eastAsia="Times New Roman"/>
                <w:szCs w:val="24"/>
                <w:lang w:eastAsia="tr-TR"/>
              </w:rPr>
              <w:t xml:space="preserve"> cezalandırılacağı hükme bağlanmaktadır. Suçun oluşabilmesi için, 6102 sayılı Kanun hükümlerine göre kurulmuş bir ticaret şirketinin mevcut olması, suçun işlendiği sırad</w:t>
            </w:r>
            <w:r w:rsidR="00AD7D81" w:rsidRPr="00A23740">
              <w:rPr>
                <w:rFonts w:eastAsia="Times New Roman"/>
                <w:szCs w:val="24"/>
                <w:lang w:eastAsia="tr-TR"/>
              </w:rPr>
              <w:t>a şirketin faaliyetlerinin resmî</w:t>
            </w:r>
            <w:r w:rsidRPr="00A23740">
              <w:rPr>
                <w:rFonts w:eastAsia="Times New Roman"/>
                <w:szCs w:val="24"/>
                <w:lang w:eastAsia="tr-TR"/>
              </w:rPr>
              <w:t xml:space="preserve"> olarak sonlandırılmamış olması ve şirketin ödeme gücünün bulunmasına rağmen kasten alacaklıya ödeme yapılmamış olması gerekmektedir. Ticaret şirketlerinin türleri, 6102 sayılı Kanunun 124 üncü maddesinde sayılmıştır. Maddeye göre, ticaret şirketleri</w:t>
            </w:r>
            <w:r w:rsidR="009B742A" w:rsidRPr="00A23740">
              <w:rPr>
                <w:rFonts w:eastAsia="Times New Roman"/>
                <w:szCs w:val="24"/>
                <w:lang w:eastAsia="tr-TR"/>
              </w:rPr>
              <w:t>;</w:t>
            </w:r>
            <w:r w:rsidRPr="00A23740">
              <w:rPr>
                <w:rFonts w:eastAsia="Times New Roman"/>
                <w:szCs w:val="24"/>
                <w:lang w:eastAsia="tr-TR"/>
              </w:rPr>
              <w:t xml:space="preserve"> kollektif, komandit, anonim, limited ve kooperatif şirketlerinden ibarettir. Hükme konu suçun faili şirkette hukuken veya fiilen yönetici sıfatına sahip kimsedir. Diğer bir deyişle, hükümde bir özgü suç düzenlemesine yer verildiğinden bu sıfata sahip kimseler dışında kalanların bu suçun asli faili olmaları mümkün olmayıp, ancak 5237 sayılı </w:t>
            </w:r>
            <w:r w:rsidR="001F7CA8" w:rsidRPr="002E2E40">
              <w:rPr>
                <w:rFonts w:eastAsia="Times New Roman"/>
                <w:szCs w:val="24"/>
                <w:lang w:eastAsia="tr-TR"/>
              </w:rPr>
              <w:t>Kanunun</w:t>
            </w:r>
            <w:r w:rsidR="001F7CA8" w:rsidRPr="00A23740">
              <w:rPr>
                <w:rFonts w:eastAsia="Times New Roman"/>
                <w:szCs w:val="24"/>
                <w:lang w:eastAsia="tr-TR"/>
              </w:rPr>
              <w:t xml:space="preserve"> </w:t>
            </w:r>
            <w:r w:rsidRPr="00A23740">
              <w:rPr>
                <w:rFonts w:eastAsia="Times New Roman"/>
                <w:szCs w:val="24"/>
                <w:lang w:eastAsia="tr-TR"/>
              </w:rPr>
              <w:t xml:space="preserve">“Bağlılık kuralı” başlıklı 40 ıncı maddesinin ikinci fıkrası uyarınca sorumlu tutulmaları mümkündür. Caydırıcılığın sağlanabilmesi için bu suçun cezası, artırılmaktadır. Öte yandan, 2004 sayılı Kanunun 333/a maddesinde yer alan, “alacaklıları zarara uğratma” unsuru, ticari işletmenin borçlarının kısmen veya tamamen ödenmemesi ile aynı sonucu doğuracağı için hükme alınmamaktadır. </w:t>
            </w:r>
            <w:r w:rsidRPr="00A23740">
              <w:rPr>
                <w:rFonts w:eastAsia="Arial Unicode MS"/>
                <w:iCs/>
                <w:szCs w:val="24"/>
                <w:lang w:eastAsia="tr-TR"/>
              </w:rPr>
              <w:t>2004 sayılı Kanundan farklı olarak caydırıcılığın sağlanabilmesi için hapis cezasının alt ve üst sınırı artırılmaktadır.</w:t>
            </w:r>
          </w:p>
          <w:p w:rsidR="00A043AD" w:rsidRPr="00A23740" w:rsidRDefault="00A043AD" w:rsidP="00750F08">
            <w:pPr>
              <w:ind w:firstLine="709"/>
              <w:rPr>
                <w:rFonts w:eastAsia="Arial Unicode MS"/>
                <w:iCs/>
                <w:szCs w:val="24"/>
                <w:lang w:eastAsia="tr-TR"/>
              </w:rPr>
            </w:pPr>
            <w:r w:rsidRPr="00A23740">
              <w:rPr>
                <w:rFonts w:eastAsia="Times New Roman"/>
                <w:szCs w:val="24"/>
                <w:lang w:eastAsia="tr-TR"/>
              </w:rPr>
              <w:t>İkinci fıkrayla, birinci fıkra</w:t>
            </w:r>
            <w:r w:rsidR="00535D4A" w:rsidRPr="00A23740">
              <w:rPr>
                <w:rFonts w:eastAsia="Times New Roman"/>
                <w:szCs w:val="24"/>
                <w:lang w:eastAsia="tr-TR"/>
              </w:rPr>
              <w:t>daki suçun taksirle işlenmesi hâ</w:t>
            </w:r>
            <w:r w:rsidRPr="00A23740">
              <w:rPr>
                <w:rFonts w:eastAsia="Times New Roman"/>
                <w:szCs w:val="24"/>
                <w:lang w:eastAsia="tr-TR"/>
              </w:rPr>
              <w:t>linde uygulanacak yaptırım düzenlenmektedir. Buna göre, bu suçun taksirle işlenmesi durumunda alacaklının şik</w:t>
            </w:r>
            <w:r w:rsidR="008D1615" w:rsidRPr="00A23740">
              <w:rPr>
                <w:rFonts w:eastAsia="Times New Roman"/>
                <w:szCs w:val="24"/>
                <w:lang w:eastAsia="tr-TR"/>
              </w:rPr>
              <w:t>â</w:t>
            </w:r>
            <w:r w:rsidRPr="00A23740">
              <w:rPr>
                <w:rFonts w:eastAsia="Times New Roman"/>
                <w:szCs w:val="24"/>
                <w:lang w:eastAsia="tr-TR"/>
              </w:rPr>
              <w:t xml:space="preserve">yeti üzerine, ticaret şirketlerinde hukuken veya fiilen yönetim yetkisine sahip olanlar, </w:t>
            </w:r>
            <w:r w:rsidRPr="00A23740">
              <w:t xml:space="preserve">üç aydan bir yıla kadar hapis </w:t>
            </w:r>
            <w:r w:rsidRPr="002E2E40">
              <w:rPr>
                <w:rFonts w:eastAsia="Times New Roman"/>
                <w:szCs w:val="24"/>
                <w:lang w:eastAsia="tr-TR"/>
              </w:rPr>
              <w:t>cezası</w:t>
            </w:r>
            <w:r w:rsidR="0005528D" w:rsidRPr="002E2E40">
              <w:rPr>
                <w:rFonts w:eastAsia="Times New Roman"/>
                <w:szCs w:val="24"/>
                <w:lang w:eastAsia="tr-TR"/>
              </w:rPr>
              <w:t>yla</w:t>
            </w:r>
            <w:r w:rsidRPr="00A23740">
              <w:t xml:space="preserve"> </w:t>
            </w:r>
            <w:r w:rsidRPr="00A23740">
              <w:rPr>
                <w:rFonts w:eastAsia="Times New Roman"/>
                <w:szCs w:val="24"/>
                <w:lang w:eastAsia="tr-TR"/>
              </w:rPr>
              <w:t xml:space="preserve">cezalandırılır. Diğer taraftan, 2004 sayılı Kanunun 333/a maddesinin ikinci fıkrasında yer alan “zararın ağırlığı” unsuru birinci fıkrada yapılan değişikliğe bağlı olarak kaldırılmaktadır. </w:t>
            </w:r>
            <w:r w:rsidRPr="00A23740">
              <w:rPr>
                <w:rFonts w:eastAsia="Arial Unicode MS"/>
                <w:iCs/>
                <w:szCs w:val="24"/>
                <w:lang w:eastAsia="tr-TR"/>
              </w:rPr>
              <w:t xml:space="preserve">2004 sayılı Kanundan farklı olarak caydırıcılığın sağlanabilmesi için suçun yaptırımı hapis </w:t>
            </w:r>
            <w:r w:rsidR="00D543B6" w:rsidRPr="00A23740">
              <w:rPr>
                <w:rFonts w:eastAsia="Arial Unicode MS"/>
                <w:iCs/>
                <w:szCs w:val="24"/>
                <w:lang w:eastAsia="tr-TR"/>
              </w:rPr>
              <w:t>cezası olarak belirlenmektedir.</w:t>
            </w:r>
          </w:p>
          <w:p w:rsidR="00A043AD" w:rsidRPr="00A23740" w:rsidRDefault="00A043AD" w:rsidP="000C3326">
            <w:pPr>
              <w:rPr>
                <w:rFonts w:eastAsia="Arial Unicode MS"/>
                <w:bCs/>
                <w:iCs/>
                <w:color w:val="0000FF"/>
                <w:szCs w:val="24"/>
                <w:lang w:eastAsia="x-none"/>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Konkordato komiserinin sorumluluğu:</w:t>
            </w:r>
          </w:p>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Madde 334/a- (Ek: 17/7/2003-4949/92 md.; Mülga: 31/5/2005-5358/23 md.)</w:t>
            </w:r>
          </w:p>
          <w:p w:rsidR="00A043AD" w:rsidRPr="00A23740" w:rsidRDefault="00A043AD" w:rsidP="00750F08">
            <w:pPr>
              <w:rPr>
                <w:rFonts w:eastAsia="Times New Roman"/>
                <w:b/>
                <w:szCs w:val="24"/>
                <w:lang w:eastAsia="tr-TR"/>
              </w:rPr>
            </w:pPr>
          </w:p>
        </w:tc>
        <w:tc>
          <w:tcPr>
            <w:tcW w:w="2500" w:type="pct"/>
          </w:tcPr>
          <w:p w:rsidR="00A043AD" w:rsidRPr="00A23740" w:rsidRDefault="00A043AD" w:rsidP="00750F08">
            <w:pPr>
              <w:rPr>
                <w:rFonts w:eastAsia="Times New Roman"/>
                <w:szCs w:val="24"/>
                <w:lang w:eastAsia="tr-TR"/>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Ticareti terk edenlerin </w:t>
            </w:r>
            <w:r w:rsidRPr="00A23740">
              <w:rPr>
                <w:rFonts w:eastAsia="Times New Roman"/>
                <w:b/>
                <w:bCs/>
                <w:strike/>
                <w:color w:val="FF0000"/>
                <w:szCs w:val="24"/>
                <w:lang w:eastAsia="x-none"/>
              </w:rPr>
              <w:t>cezası:</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337/a</w:t>
            </w:r>
            <w:r w:rsidRPr="00A23740">
              <w:rPr>
                <w:rFonts w:eastAsia="Times New Roman"/>
                <w:b/>
                <w:szCs w:val="24"/>
                <w:lang w:eastAsia="tr-TR"/>
              </w:rPr>
              <w:t xml:space="preserve"> – </w:t>
            </w:r>
            <w:r w:rsidRPr="00A23740">
              <w:rPr>
                <w:rStyle w:val="KIRMIZIChar"/>
                <w:rFonts w:eastAsia="Calibri"/>
              </w:rPr>
              <w:t>(1)</w:t>
            </w:r>
            <w:r w:rsidRPr="00A23740">
              <w:rPr>
                <w:rFonts w:eastAsia="Times New Roman"/>
                <w:b/>
                <w:szCs w:val="24"/>
                <w:lang w:eastAsia="tr-TR"/>
              </w:rPr>
              <w:t xml:space="preserve"> </w:t>
            </w:r>
            <w:r w:rsidRPr="00A23740">
              <w:rPr>
                <w:rFonts w:eastAsia="Times New Roman"/>
                <w:b/>
                <w:strike/>
                <w:color w:val="FF0000"/>
                <w:szCs w:val="24"/>
                <w:lang w:eastAsia="x-none"/>
              </w:rPr>
              <w:t xml:space="preserve">(Ek: 18/2/1965-538/133 md.; Değişik: 31/5/2005-5358/8 md.) </w:t>
            </w:r>
            <w:r w:rsidRPr="00A23740">
              <w:rPr>
                <w:rFonts w:eastAsia="Times New Roman"/>
                <w:szCs w:val="24"/>
                <w:lang w:eastAsia="tr-TR"/>
              </w:rPr>
              <w:t>44 üncü madde</w:t>
            </w:r>
            <w:r w:rsidRPr="00A23740">
              <w:rPr>
                <w:rFonts w:eastAsia="Times New Roman"/>
                <w:b/>
                <w:strike/>
                <w:color w:val="FF0000"/>
                <w:szCs w:val="24"/>
                <w:lang w:eastAsia="x-none"/>
              </w:rPr>
              <w:t>ye göre</w:t>
            </w:r>
            <w:r w:rsidRPr="00A23740">
              <w:rPr>
                <w:rFonts w:eastAsia="Times New Roman"/>
                <w:b/>
                <w:color w:val="FF0000"/>
                <w:szCs w:val="24"/>
                <w:lang w:eastAsia="x-none"/>
              </w:rPr>
              <w:t xml:space="preserve"> </w:t>
            </w:r>
            <w:r w:rsidRPr="00A23740">
              <w:rPr>
                <w:rFonts w:eastAsia="Times New Roman"/>
                <w:szCs w:val="24"/>
                <w:lang w:eastAsia="tr-TR"/>
              </w:rPr>
              <w:t xml:space="preserve">mal </w:t>
            </w:r>
            <w:r w:rsidRPr="00A23740">
              <w:rPr>
                <w:rFonts w:eastAsia="Times New Roman"/>
                <w:b/>
                <w:strike/>
                <w:color w:val="FF0000"/>
                <w:szCs w:val="24"/>
                <w:lang w:eastAsia="x-none"/>
              </w:rPr>
              <w:t>beyanında</w:t>
            </w:r>
            <w:r w:rsidRPr="00A23740">
              <w:rPr>
                <w:rFonts w:eastAsia="Times New Roman"/>
                <w:szCs w:val="24"/>
                <w:lang w:eastAsia="tr-TR"/>
              </w:rPr>
              <w:t xml:space="preserve"> bulunmayan</w:t>
            </w:r>
            <w:r w:rsidRPr="00A23740">
              <w:rPr>
                <w:rFonts w:eastAsia="Times New Roman"/>
                <w:b/>
                <w:color w:val="FF0000"/>
                <w:szCs w:val="24"/>
                <w:lang w:eastAsia="x-none"/>
              </w:rPr>
              <w:t xml:space="preserve"> </w:t>
            </w:r>
            <w:r w:rsidRPr="00A23740">
              <w:rPr>
                <w:rFonts w:eastAsia="Times New Roman"/>
                <w:b/>
                <w:strike/>
                <w:color w:val="FF0000"/>
                <w:szCs w:val="24"/>
                <w:lang w:eastAsia="x-none"/>
              </w:rPr>
              <w:t>veya</w:t>
            </w:r>
            <w:r w:rsidRPr="00A23740">
              <w:rPr>
                <w:rFonts w:eastAsia="Times New Roman"/>
                <w:szCs w:val="24"/>
                <w:lang w:eastAsia="tr-TR"/>
              </w:rPr>
              <w:t xml:space="preserve"> </w:t>
            </w:r>
            <w:r w:rsidRPr="00A23740">
              <w:rPr>
                <w:rFonts w:eastAsia="Times New Roman"/>
                <w:b/>
                <w:strike/>
                <w:color w:val="FF0000"/>
                <w:szCs w:val="24"/>
                <w:lang w:eastAsia="x-none"/>
              </w:rPr>
              <w:t>beyanında</w:t>
            </w:r>
            <w:r w:rsidRPr="00A23740">
              <w:rPr>
                <w:rFonts w:eastAsia="Times New Roman"/>
                <w:szCs w:val="24"/>
                <w:lang w:eastAsia="tr-TR"/>
              </w:rPr>
              <w:t xml:space="preserve"> mevcudunu eksik gösteren </w:t>
            </w:r>
            <w:r w:rsidRPr="00A23740">
              <w:rPr>
                <w:rFonts w:eastAsia="Times New Roman"/>
                <w:b/>
                <w:strike/>
                <w:color w:val="FF0000"/>
                <w:szCs w:val="24"/>
                <w:lang w:eastAsia="x-none"/>
              </w:rPr>
              <w:t>veya</w:t>
            </w:r>
            <w:r w:rsidRPr="00A23740">
              <w:rPr>
                <w:rFonts w:eastAsia="Times New Roman"/>
                <w:szCs w:val="24"/>
                <w:lang w:eastAsia="tr-TR"/>
              </w:rPr>
              <w:t xml:space="preserve"> aktifinde yer almış malı veya yerine kaim olan değerini haciz veya iflas </w:t>
            </w:r>
            <w:r w:rsidRPr="00A23740">
              <w:rPr>
                <w:rStyle w:val="KIRMIZIChar"/>
                <w:rFonts w:eastAsia="Calibri"/>
              </w:rPr>
              <w:t>sırasında</w:t>
            </w:r>
            <w:r w:rsidRPr="00A23740">
              <w:rPr>
                <w:rFonts w:eastAsia="Times New Roman"/>
                <w:szCs w:val="24"/>
                <w:lang w:eastAsia="tr-TR"/>
              </w:rPr>
              <w:t xml:space="preserve"> göstermeyen </w:t>
            </w:r>
            <w:r w:rsidRPr="00A23740">
              <w:rPr>
                <w:rFonts w:eastAsia="Times New Roman"/>
                <w:b/>
                <w:strike/>
                <w:color w:val="FF0000"/>
                <w:szCs w:val="24"/>
                <w:lang w:eastAsia="x-none"/>
              </w:rPr>
              <w:t>veya</w:t>
            </w:r>
            <w:r w:rsidRPr="00A23740">
              <w:rPr>
                <w:rFonts w:eastAsia="Times New Roman"/>
                <w:b/>
                <w:bCs/>
                <w:strike/>
                <w:color w:val="FF0000"/>
                <w:szCs w:val="24"/>
                <w:lang w:eastAsia="x-none"/>
              </w:rPr>
              <w:t xml:space="preserve"> beyanından</w:t>
            </w:r>
            <w:r w:rsidRPr="00A23740">
              <w:rPr>
                <w:rFonts w:eastAsia="Times New Roman"/>
                <w:szCs w:val="24"/>
                <w:lang w:eastAsia="tr-TR"/>
              </w:rPr>
              <w:t xml:space="preserve"> sonra </w:t>
            </w:r>
            <w:r w:rsidRPr="00A23740">
              <w:rPr>
                <w:rFonts w:eastAsia="Times New Roman"/>
                <w:b/>
                <w:strike/>
                <w:color w:val="FF0000"/>
                <w:szCs w:val="24"/>
                <w:lang w:eastAsia="x-none"/>
              </w:rPr>
              <w:t>bu</w:t>
            </w:r>
            <w:r w:rsidRPr="00A23740">
              <w:rPr>
                <w:rFonts w:eastAsia="Times New Roman"/>
                <w:szCs w:val="24"/>
                <w:lang w:eastAsia="tr-TR"/>
              </w:rPr>
              <w:t xml:space="preserve"> malları üzerinde tasarruf eden borçlu, </w:t>
            </w:r>
            <w:r w:rsidRPr="00A23740">
              <w:rPr>
                <w:rFonts w:eastAsia="Times New Roman"/>
                <w:b/>
                <w:strike/>
                <w:color w:val="FF0000"/>
                <w:szCs w:val="24"/>
                <w:lang w:eastAsia="x-none"/>
              </w:rPr>
              <w:t>bundan</w:t>
            </w:r>
            <w:r w:rsidRPr="00A23740">
              <w:rPr>
                <w:rFonts w:eastAsia="Times New Roman"/>
                <w:szCs w:val="24"/>
                <w:lang w:eastAsia="tr-TR"/>
              </w:rPr>
              <w:t xml:space="preserve"> zarar </w:t>
            </w:r>
            <w:r w:rsidRPr="00A23740">
              <w:rPr>
                <w:rFonts w:eastAsia="Times New Roman"/>
                <w:b/>
                <w:strike/>
                <w:color w:val="FF0000"/>
                <w:szCs w:val="24"/>
                <w:lang w:eastAsia="x-none"/>
              </w:rPr>
              <w:t>gören</w:t>
            </w:r>
            <w:r w:rsidRPr="00A23740">
              <w:rPr>
                <w:rFonts w:eastAsia="Times New Roman"/>
                <w:b/>
                <w:color w:val="FF0000"/>
                <w:szCs w:val="24"/>
                <w:lang w:eastAsia="x-none"/>
              </w:rPr>
              <w:t xml:space="preserve"> </w:t>
            </w:r>
            <w:r w:rsidRPr="00A23740">
              <w:rPr>
                <w:rFonts w:eastAsia="Times New Roman"/>
                <w:szCs w:val="24"/>
                <w:lang w:eastAsia="tr-TR"/>
              </w:rPr>
              <w:t xml:space="preserve">alacaklının şikâyeti üzerine, </w:t>
            </w:r>
            <w:r w:rsidRPr="00A23740">
              <w:rPr>
                <w:rFonts w:eastAsia="Times New Roman"/>
                <w:b/>
                <w:strike/>
                <w:color w:val="FF0000"/>
                <w:szCs w:val="24"/>
              </w:rPr>
              <w:t>üç aydan bir yıla</w:t>
            </w:r>
            <w:r w:rsidRPr="00A23740">
              <w:rPr>
                <w:rFonts w:eastAsia="Times New Roman"/>
                <w:szCs w:val="24"/>
                <w:lang w:eastAsia="tr-TR"/>
              </w:rPr>
              <w:t xml:space="preserve"> kadar hapis cezası ile cezalandırılır.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Style w:val="KIRMIZIChar"/>
                <w:rFonts w:eastAsia="Calibri"/>
              </w:rPr>
            </w:pPr>
            <w:r w:rsidRPr="00A23740">
              <w:rPr>
                <w:rStyle w:val="KIRMIZIChar"/>
                <w:rFonts w:eastAsia="Calibri"/>
              </w:rPr>
              <w:t>(2)</w:t>
            </w:r>
            <w:r w:rsidRPr="00A23740">
              <w:rPr>
                <w:rFonts w:eastAsia="Times New Roman"/>
                <w:szCs w:val="24"/>
                <w:lang w:eastAsia="tr-TR"/>
              </w:rPr>
              <w:t xml:space="preserve"> </w:t>
            </w:r>
            <w:r w:rsidRPr="00A23740">
              <w:rPr>
                <w:rStyle w:val="KIRMIZIChar"/>
                <w:rFonts w:eastAsia="Calibri"/>
                <w:lang w:eastAsia="tr-TR"/>
              </w:rPr>
              <w:t>Birinci fıkradaki fiillerin işlenmesinden alacaklının zarar görmediğini ispat eden borçluya ceza verilmez.</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Style w:val="KIRMIZIChar"/>
                <w:rFonts w:eastAsia="Calibri"/>
              </w:rPr>
              <w:t xml:space="preserve">(3) </w:t>
            </w:r>
            <w:r w:rsidRPr="00A23740">
              <w:rPr>
                <w:rStyle w:val="KIRMIZIChar"/>
                <w:rFonts w:eastAsia="Calibri"/>
                <w:lang w:eastAsia="tr-TR"/>
              </w:rPr>
              <w:t>Borçlunun iflası halinde, birinci fıkradaki durum ayrıca taksiratlı iflas hali sayılır.</w:t>
            </w:r>
          </w:p>
          <w:p w:rsidR="00A043AD" w:rsidRPr="00A23740" w:rsidRDefault="00A043AD" w:rsidP="00750F08">
            <w:pPr>
              <w:jc w:val="left"/>
              <w:rPr>
                <w:rFonts w:eastAsia="Times New Roman"/>
                <w:szCs w:val="24"/>
                <w:lang w:eastAsia="tr-TR"/>
              </w:rPr>
            </w:pPr>
          </w:p>
          <w:p w:rsidR="00A043AD" w:rsidRPr="00A23740" w:rsidRDefault="00A043AD" w:rsidP="00750F08">
            <w:pPr>
              <w:rPr>
                <w:rFonts w:eastAsia="Times New Roman"/>
                <w:b/>
                <w:strike/>
                <w:color w:val="FF0000"/>
                <w:szCs w:val="24"/>
                <w:lang w:eastAsia="x-none"/>
              </w:rPr>
            </w:pPr>
          </w:p>
        </w:tc>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Ticareti terk edenlerin </w:t>
            </w:r>
            <w:r w:rsidRPr="00A23740">
              <w:rPr>
                <w:rFonts w:eastAsia="Times New Roman"/>
                <w:b/>
                <w:bCs/>
                <w:color w:val="0000FF"/>
                <w:szCs w:val="24"/>
                <w:lang w:eastAsia="x-none"/>
              </w:rPr>
              <w:t>yükümlülüklerini ihlal</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 xml:space="preserve">MADDE 525-  (1) </w:t>
            </w:r>
            <w:r w:rsidR="00A93855" w:rsidRPr="002E2E40">
              <w:rPr>
                <w:rStyle w:val="YELChar"/>
                <w:color w:val="0000FF"/>
              </w:rPr>
              <w:t>Ticareti terk edenler hakkı</w:t>
            </w:r>
            <w:r w:rsidRPr="002E2E40">
              <w:rPr>
                <w:rStyle w:val="YELChar"/>
                <w:color w:val="0000FF"/>
              </w:rPr>
              <w:t>ndaki</w:t>
            </w:r>
            <w:r w:rsidRPr="00A23740">
              <w:rPr>
                <w:rFonts w:eastAsia="Times New Roman"/>
                <w:b/>
                <w:bCs/>
                <w:color w:val="0000FF"/>
                <w:szCs w:val="24"/>
                <w:lang w:eastAsia="x-none"/>
              </w:rPr>
              <w:t xml:space="preserve"> </w:t>
            </w:r>
            <w:r w:rsidRPr="00A23740">
              <w:rPr>
                <w:b/>
                <w:bCs/>
                <w:color w:val="0000FF"/>
                <w:szCs w:val="24"/>
                <w:lang w:val="x-none" w:eastAsia="x-none"/>
              </w:rPr>
              <w:t xml:space="preserve">81 inci </w:t>
            </w:r>
            <w:r w:rsidRPr="00A23740">
              <w:rPr>
                <w:rFonts w:eastAsia="Times New Roman"/>
                <w:szCs w:val="24"/>
                <w:lang w:eastAsia="tr-TR"/>
              </w:rPr>
              <w:t>madde</w:t>
            </w:r>
            <w:r w:rsidRPr="00A23740">
              <w:rPr>
                <w:rFonts w:eastAsia="Times New Roman"/>
                <w:b/>
                <w:bCs/>
                <w:color w:val="0000FF"/>
                <w:szCs w:val="24"/>
                <w:lang w:eastAsia="x-none"/>
              </w:rPr>
              <w:t>ye göre;</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 xml:space="preserve">a) Ticareti </w:t>
            </w:r>
            <w:r w:rsidRPr="002E2E40">
              <w:rPr>
                <w:rStyle w:val="YELChar"/>
                <w:color w:val="0000FF"/>
              </w:rPr>
              <w:t>terk ettiği</w:t>
            </w:r>
            <w:r w:rsidRPr="002E2E40">
              <w:rPr>
                <w:rFonts w:eastAsia="Times New Roman"/>
                <w:b/>
                <w:bCs/>
                <w:color w:val="0000FF"/>
                <w:szCs w:val="24"/>
                <w:lang w:eastAsia="x-none"/>
              </w:rPr>
              <w:t xml:space="preserve"> </w:t>
            </w:r>
            <w:r w:rsidRPr="00A23740">
              <w:rPr>
                <w:rFonts w:eastAsia="Times New Roman"/>
                <w:b/>
                <w:bCs/>
                <w:color w:val="0000FF"/>
                <w:szCs w:val="24"/>
                <w:lang w:eastAsia="x-none"/>
              </w:rPr>
              <w:t>h</w:t>
            </w:r>
            <w:r w:rsidR="00A93855" w:rsidRPr="00A23740">
              <w:rPr>
                <w:rFonts w:eastAsia="Times New Roman"/>
                <w:b/>
                <w:bCs/>
                <w:color w:val="0000FF"/>
                <w:szCs w:val="24"/>
                <w:lang w:eastAsia="x-none"/>
              </w:rPr>
              <w:t>â</w:t>
            </w:r>
            <w:r w:rsidRPr="00A23740">
              <w:rPr>
                <w:rFonts w:eastAsia="Times New Roman"/>
                <w:b/>
                <w:bCs/>
                <w:color w:val="0000FF"/>
                <w:szCs w:val="24"/>
                <w:lang w:eastAsia="x-none"/>
              </w:rPr>
              <w:t xml:space="preserve">lde durumu kayıtlı bulunduğu ticaret sicili </w:t>
            </w:r>
            <w:r w:rsidRPr="00A23740">
              <w:rPr>
                <w:b/>
                <w:bCs/>
                <w:color w:val="0000FF"/>
                <w:szCs w:val="24"/>
                <w:lang w:val="x-none" w:eastAsia="x-none"/>
              </w:rPr>
              <w:t>müdürlüğüne</w:t>
            </w:r>
            <w:r w:rsidRPr="00A23740">
              <w:rPr>
                <w:rFonts w:eastAsia="Times New Roman"/>
                <w:b/>
                <w:bCs/>
                <w:color w:val="0000FF"/>
                <w:szCs w:val="24"/>
                <w:lang w:eastAsia="x-none"/>
              </w:rPr>
              <w:t xml:space="preserve"> bildirmeyen,</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b) Süresi içinde</w:t>
            </w:r>
            <w:r w:rsidRPr="00A23740">
              <w:rPr>
                <w:rFonts w:eastAsia="Times New Roman"/>
                <w:szCs w:val="24"/>
                <w:lang w:eastAsia="tr-TR"/>
              </w:rPr>
              <w:t xml:space="preserve"> mal </w:t>
            </w:r>
            <w:r w:rsidRPr="00A23740">
              <w:rPr>
                <w:b/>
                <w:color w:val="0000FF"/>
                <w:szCs w:val="24"/>
                <w:lang w:val="x-none" w:eastAsia="x-none"/>
              </w:rPr>
              <w:t>beyanında</w:t>
            </w:r>
            <w:r w:rsidRPr="00A23740">
              <w:rPr>
                <w:rFonts w:eastAsia="Times New Roman"/>
                <w:szCs w:val="24"/>
                <w:lang w:eastAsia="tr-TR"/>
              </w:rPr>
              <w:t xml:space="preserve"> bulunmayan</w:t>
            </w:r>
            <w:r w:rsidRPr="00A23740">
              <w:rPr>
                <w:rFonts w:eastAsia="Times New Roman"/>
                <w:b/>
                <w:bCs/>
                <w:color w:val="0000FF"/>
                <w:szCs w:val="24"/>
                <w:lang w:eastAsia="x-none"/>
              </w:rPr>
              <w:t>,</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c)</w:t>
            </w:r>
            <w:r w:rsidRPr="00A23740">
              <w:rPr>
                <w:rFonts w:eastAsia="Times New Roman"/>
                <w:szCs w:val="24"/>
                <w:lang w:eastAsia="tr-TR"/>
              </w:rPr>
              <w:t xml:space="preserve"> </w:t>
            </w:r>
            <w:r w:rsidRPr="00A23740">
              <w:rPr>
                <w:rFonts w:eastAsia="Times New Roman"/>
                <w:b/>
                <w:bCs/>
                <w:color w:val="0000FF"/>
                <w:szCs w:val="24"/>
                <w:lang w:eastAsia="x-none"/>
              </w:rPr>
              <w:t xml:space="preserve">Mal </w:t>
            </w:r>
            <w:r w:rsidRPr="00A23740">
              <w:rPr>
                <w:b/>
                <w:color w:val="0000FF"/>
                <w:szCs w:val="24"/>
                <w:lang w:val="x-none" w:eastAsia="x-none"/>
              </w:rPr>
              <w:t>beyanında</w:t>
            </w:r>
            <w:r w:rsidRPr="00A23740">
              <w:rPr>
                <w:rFonts w:eastAsia="Times New Roman"/>
                <w:szCs w:val="24"/>
                <w:lang w:eastAsia="tr-TR"/>
              </w:rPr>
              <w:t xml:space="preserve"> mevcudunu eksik gösteren</w:t>
            </w:r>
            <w:r w:rsidRPr="00A23740">
              <w:rPr>
                <w:rFonts w:eastAsia="Times New Roman"/>
                <w:b/>
                <w:bCs/>
                <w:color w:val="0000FF"/>
                <w:szCs w:val="24"/>
                <w:lang w:eastAsia="x-none"/>
              </w:rPr>
              <w:t>,</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 xml:space="preserve">ç) Ticaret sicili </w:t>
            </w:r>
            <w:r w:rsidRPr="00A23740">
              <w:rPr>
                <w:b/>
                <w:bCs/>
                <w:color w:val="0000FF"/>
                <w:szCs w:val="24"/>
                <w:lang w:val="x-none" w:eastAsia="x-none"/>
              </w:rPr>
              <w:t>müdürlüğüne</w:t>
            </w:r>
            <w:r w:rsidRPr="00A23740">
              <w:rPr>
                <w:rFonts w:eastAsia="Times New Roman"/>
                <w:b/>
                <w:bCs/>
                <w:color w:val="0000FF"/>
                <w:szCs w:val="24"/>
                <w:lang w:eastAsia="x-none"/>
              </w:rPr>
              <w:t xml:space="preserve"> bildirdiği ve</w:t>
            </w:r>
            <w:r w:rsidRPr="00A23740">
              <w:rPr>
                <w:rFonts w:eastAsia="Times New Roman"/>
                <w:szCs w:val="24"/>
                <w:lang w:eastAsia="tr-TR"/>
              </w:rPr>
              <w:t xml:space="preserve"> aktifinde yer almış malı veya yerine kaim olan değerini haciz veya iflas </w:t>
            </w:r>
            <w:r w:rsidRPr="00A23740">
              <w:rPr>
                <w:rStyle w:val="MaviChar"/>
              </w:rPr>
              <w:t>takibinde</w:t>
            </w:r>
            <w:r w:rsidRPr="00A23740">
              <w:rPr>
                <w:rFonts w:eastAsia="Times New Roman"/>
                <w:szCs w:val="24"/>
                <w:lang w:eastAsia="tr-TR"/>
              </w:rPr>
              <w:t xml:space="preserve"> göstermeyen</w:t>
            </w:r>
            <w:r w:rsidRPr="00A23740">
              <w:rPr>
                <w:rFonts w:eastAsia="Times New Roman"/>
                <w:b/>
                <w:bCs/>
                <w:color w:val="0000FF"/>
                <w:szCs w:val="24"/>
                <w:lang w:eastAsia="x-none"/>
              </w:rPr>
              <w:t>,</w:t>
            </w: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 xml:space="preserve">d) Mal </w:t>
            </w:r>
            <w:r w:rsidRPr="00A23740">
              <w:rPr>
                <w:b/>
                <w:color w:val="0000FF"/>
                <w:szCs w:val="24"/>
                <w:lang w:val="x-none" w:eastAsia="x-none"/>
              </w:rPr>
              <w:t>beyanında</w:t>
            </w:r>
            <w:r w:rsidRPr="00A23740">
              <w:rPr>
                <w:b/>
                <w:color w:val="0000FF"/>
                <w:szCs w:val="24"/>
                <w:lang w:eastAsia="x-none"/>
              </w:rPr>
              <w:t>n</w:t>
            </w:r>
            <w:r w:rsidRPr="00A23740">
              <w:rPr>
                <w:rFonts w:eastAsia="Times New Roman"/>
                <w:szCs w:val="24"/>
                <w:lang w:eastAsia="tr-TR"/>
              </w:rPr>
              <w:t xml:space="preserve"> sonra </w:t>
            </w:r>
            <w:r w:rsidRPr="00A23740">
              <w:rPr>
                <w:rFonts w:eastAsia="Times New Roman"/>
                <w:b/>
                <w:bCs/>
                <w:color w:val="0000FF"/>
                <w:szCs w:val="24"/>
                <w:lang w:eastAsia="x-none"/>
              </w:rPr>
              <w:t>beyan ettiği</w:t>
            </w:r>
            <w:r w:rsidRPr="00A23740">
              <w:rPr>
                <w:rFonts w:eastAsia="Times New Roman"/>
                <w:szCs w:val="24"/>
                <w:lang w:eastAsia="tr-TR"/>
              </w:rPr>
              <w:t xml:space="preserve"> mallar</w:t>
            </w:r>
            <w:r w:rsidR="00A06764" w:rsidRPr="00A06764">
              <w:rPr>
                <w:rStyle w:val="KIRMIZIChar"/>
                <w:rFonts w:eastAsia="Calibri"/>
                <w:strike w:val="0"/>
              </w:rPr>
              <w:t xml:space="preserve"> </w:t>
            </w:r>
            <w:r w:rsidRPr="00A23740">
              <w:rPr>
                <w:rFonts w:eastAsia="Times New Roman"/>
                <w:szCs w:val="24"/>
                <w:lang w:eastAsia="tr-TR"/>
              </w:rPr>
              <w:t xml:space="preserve">üzerinde tasarruf eden borçlu, </w:t>
            </w:r>
            <w:r w:rsidRPr="00A23740">
              <w:rPr>
                <w:rFonts w:eastAsia="Times New Roman"/>
                <w:bCs/>
                <w:lang w:eastAsia="tr-TR"/>
              </w:rPr>
              <w:t>alacaklının</w:t>
            </w:r>
            <w:r w:rsidRPr="00A23740">
              <w:rPr>
                <w:rFonts w:eastAsia="ヒラギノ明朝 Pro W3"/>
                <w:b/>
                <w:color w:val="339933"/>
                <w:szCs w:val="24"/>
              </w:rPr>
              <w:t xml:space="preserve"> </w:t>
            </w:r>
            <w:r w:rsidRPr="00A23740">
              <w:rPr>
                <w:rFonts w:eastAsia="Times New Roman"/>
                <w:lang w:eastAsia="tr-TR"/>
              </w:rPr>
              <w:t>zarar</w:t>
            </w:r>
            <w:r w:rsidRPr="00A23740">
              <w:rPr>
                <w:b/>
                <w:bCs/>
                <w:color w:val="0000FF"/>
                <w:szCs w:val="24"/>
                <w:lang w:val="x-none" w:eastAsia="x-none"/>
              </w:rPr>
              <w:t xml:space="preserve">a uğramasına sebebiyet verirse, alacaklının </w:t>
            </w:r>
            <w:r w:rsidRPr="00A23740">
              <w:rPr>
                <w:rFonts w:eastAsia="Times New Roman"/>
                <w:szCs w:val="24"/>
                <w:lang w:eastAsia="tr-TR"/>
              </w:rPr>
              <w:t xml:space="preserve">şikâyeti üzerine, </w:t>
            </w:r>
            <w:r w:rsidRPr="00A23740">
              <w:rPr>
                <w:rStyle w:val="MaviChar"/>
              </w:rPr>
              <w:t>bir yıldan üç yıla</w:t>
            </w:r>
            <w:r w:rsidRPr="00A23740">
              <w:rPr>
                <w:rFonts w:eastAsia="Times New Roman"/>
                <w:szCs w:val="24"/>
                <w:lang w:eastAsia="tr-TR"/>
              </w:rPr>
              <w:t xml:space="preserve"> kadar hapis </w:t>
            </w:r>
            <w:r w:rsidRPr="00A23740">
              <w:rPr>
                <w:rFonts w:eastAsia="Times New Roman"/>
                <w:b/>
                <w:bCs/>
                <w:color w:val="0000FF"/>
                <w:szCs w:val="24"/>
                <w:lang w:eastAsia="x-none"/>
              </w:rPr>
              <w:t xml:space="preserve">ve üç </w:t>
            </w:r>
            <w:r w:rsidRPr="00A23740">
              <w:rPr>
                <w:rStyle w:val="MaviChar"/>
              </w:rPr>
              <w:t>bin</w:t>
            </w:r>
            <w:r w:rsidRPr="00A23740">
              <w:rPr>
                <w:rFonts w:eastAsia="Times New Roman"/>
                <w:b/>
                <w:bCs/>
                <w:color w:val="0000FF"/>
                <w:szCs w:val="24"/>
                <w:lang w:eastAsia="x-none"/>
              </w:rPr>
              <w:t xml:space="preserve"> güne kadar adli para</w:t>
            </w:r>
            <w:r w:rsidRPr="00A23740">
              <w:rPr>
                <w:rFonts w:eastAsia="Times New Roman"/>
                <w:szCs w:val="24"/>
                <w:lang w:eastAsia="tr-TR"/>
              </w:rPr>
              <w:t xml:space="preserve"> cezası</w:t>
            </w:r>
            <w:r w:rsidR="002048C1" w:rsidRPr="002E2E40">
              <w:rPr>
                <w:rFonts w:eastAsia="Times New Roman"/>
                <w:b/>
                <w:color w:val="0000FF"/>
                <w:szCs w:val="24"/>
                <w:lang w:eastAsia="tr-TR"/>
              </w:rPr>
              <w:t>yla</w:t>
            </w:r>
            <w:r w:rsidRPr="00A23740">
              <w:rPr>
                <w:rFonts w:eastAsia="Times New Roman"/>
                <w:szCs w:val="24"/>
                <w:lang w:eastAsia="tr-TR"/>
              </w:rPr>
              <w:t xml:space="preserve"> cezalandırılır.</w:t>
            </w:r>
          </w:p>
          <w:p w:rsidR="00A043AD" w:rsidRPr="00A23740" w:rsidRDefault="00A043AD" w:rsidP="00750F08">
            <w:pPr>
              <w:tabs>
                <w:tab w:val="left" w:pos="567"/>
              </w:tabs>
              <w:rPr>
                <w:b/>
                <w:bCs/>
                <w:color w:val="0000FF"/>
                <w:szCs w:val="24"/>
                <w:lang w:eastAsia="x-none"/>
              </w:rPr>
            </w:pP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 xml:space="preserve">(2) Birinci fıkrada tanımlanan suçtan dolayı mahkûmiyet kararı verilmesi, hükümlü gerçek kişiye ait ticari işletmenin kaydının silinmesi sebebi sayılır. Karar kesinleştiğinde bir sureti ilgili ticaret </w:t>
            </w:r>
            <w:r w:rsidRPr="00A23740">
              <w:rPr>
                <w:b/>
                <w:bCs/>
                <w:color w:val="0000FF"/>
                <w:szCs w:val="24"/>
                <w:lang w:val="x-none" w:eastAsia="x-none"/>
              </w:rPr>
              <w:t>sicili</w:t>
            </w:r>
            <w:r w:rsidRPr="00A23740">
              <w:rPr>
                <w:rFonts w:eastAsia="Times New Roman"/>
                <w:b/>
                <w:bCs/>
                <w:color w:val="0000FF"/>
                <w:szCs w:val="24"/>
                <w:lang w:eastAsia="x-none"/>
              </w:rPr>
              <w:t xml:space="preserve"> müdürlüğüne gönderilir.</w:t>
            </w:r>
          </w:p>
          <w:p w:rsidR="00A043AD" w:rsidRPr="00A23740" w:rsidRDefault="00A043AD" w:rsidP="00750F08">
            <w:pPr>
              <w:jc w:val="left"/>
              <w:rPr>
                <w:rFonts w:eastAsia="Times New Roman"/>
                <w:szCs w:val="24"/>
                <w:lang w:eastAsia="tr-TR"/>
              </w:rPr>
            </w:pPr>
          </w:p>
          <w:p w:rsidR="00A043AD" w:rsidRDefault="00A043AD" w:rsidP="00AE5B12">
            <w:pPr>
              <w:rPr>
                <w:b/>
                <w:bCs/>
                <w:color w:val="0000FF"/>
                <w:szCs w:val="24"/>
                <w:lang w:eastAsia="x-none"/>
              </w:rPr>
            </w:pPr>
            <w:r w:rsidRPr="00A23740">
              <w:rPr>
                <w:b/>
                <w:bCs/>
                <w:color w:val="0000FF"/>
                <w:szCs w:val="24"/>
                <w:lang w:eastAsia="x-none"/>
              </w:rPr>
              <w:t xml:space="preserve">(3) Birinci fıkrada tanımlanan suçtan dolayı mahkûmiyet kararı verilmesi, ilgili ticaret şirketi bakımından sona erme sebebi sayılır. Karar kesinleştiğinde bir </w:t>
            </w:r>
            <w:r w:rsidRPr="00A23740">
              <w:rPr>
                <w:rFonts w:eastAsia="Times New Roman"/>
                <w:b/>
                <w:bCs/>
                <w:color w:val="0000FF"/>
                <w:szCs w:val="24"/>
                <w:lang w:eastAsia="x-none"/>
              </w:rPr>
              <w:t>sureti</w:t>
            </w:r>
            <w:r w:rsidRPr="00A23740">
              <w:rPr>
                <w:b/>
                <w:bCs/>
                <w:color w:val="0000FF"/>
                <w:szCs w:val="24"/>
                <w:lang w:eastAsia="x-none"/>
              </w:rPr>
              <w:t xml:space="preserve"> şirket ile ticaret sicili </w:t>
            </w:r>
            <w:r w:rsidRPr="00A23740">
              <w:rPr>
                <w:b/>
                <w:bCs/>
                <w:color w:val="0000FF"/>
                <w:szCs w:val="24"/>
                <w:lang w:val="x-none" w:eastAsia="x-none"/>
              </w:rPr>
              <w:t>müdürlüğüne</w:t>
            </w:r>
            <w:r w:rsidRPr="00A23740">
              <w:rPr>
                <w:b/>
                <w:bCs/>
                <w:color w:val="0000FF"/>
                <w:szCs w:val="24"/>
                <w:lang w:eastAsia="x-none"/>
              </w:rPr>
              <w:t xml:space="preserve"> gönderilir.</w:t>
            </w:r>
          </w:p>
          <w:p w:rsidR="000C3326" w:rsidRPr="00A23740" w:rsidRDefault="000C3326" w:rsidP="00AE5B12">
            <w:pPr>
              <w:rPr>
                <w:b/>
                <w:bCs/>
                <w:color w:val="0000FF"/>
                <w:szCs w:val="24"/>
                <w:lang w:eastAsia="x-none"/>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Times New Roman"/>
                <w:b/>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MADDE 525-</w:t>
            </w:r>
            <w:r w:rsidRPr="00A23740">
              <w:rPr>
                <w:rFonts w:eastAsia="Times New Roman"/>
                <w:szCs w:val="24"/>
                <w:lang w:eastAsia="tr-TR"/>
              </w:rPr>
              <w:t xml:space="preserve"> Maddeyle, ticareti terk edenlerin yükümlülüklerini ihlal suçu düzenlenmektedir. 2004 sayılı Kanunun 337/a maddesine karşılık gelen bu hüküm, dili sadeleştirilmek ve uygulamada ortaya çıkan sorunlara çözüm bulunması amacıyla yeniden kaleme alınmaktadır.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Birinci fıkrayla, Taslağın 81 </w:t>
            </w:r>
            <w:r w:rsidR="00DE05B8" w:rsidRPr="00A23740">
              <w:rPr>
                <w:rFonts w:eastAsia="Times New Roman"/>
                <w:szCs w:val="24"/>
                <w:lang w:eastAsia="tr-TR"/>
              </w:rPr>
              <w:t>inci</w:t>
            </w:r>
            <w:r w:rsidR="00DE05B8" w:rsidRPr="00A23740">
              <w:rPr>
                <w:rStyle w:val="KIRMIZIChar"/>
                <w:rFonts w:eastAsia="Calibri"/>
                <w:strike w:val="0"/>
              </w:rPr>
              <w:t xml:space="preserve"> </w:t>
            </w:r>
            <w:r w:rsidRPr="00A23740">
              <w:rPr>
                <w:rFonts w:eastAsia="Times New Roman"/>
                <w:szCs w:val="24"/>
                <w:lang w:eastAsia="tr-TR"/>
              </w:rPr>
              <w:t xml:space="preserve">maddesinde yer verilen </w:t>
            </w:r>
            <w:r w:rsidR="00986D17" w:rsidRPr="00A23740">
              <w:rPr>
                <w:rFonts w:eastAsia="Times New Roman"/>
                <w:szCs w:val="24"/>
                <w:lang w:eastAsia="tr-TR"/>
              </w:rPr>
              <w:t xml:space="preserve">ve </w:t>
            </w:r>
            <w:r w:rsidRPr="00A23740">
              <w:rPr>
                <w:rFonts w:eastAsia="Times New Roman"/>
                <w:szCs w:val="24"/>
                <w:lang w:eastAsia="tr-TR"/>
              </w:rPr>
              <w:t>ticareti terk edenlerin yükümlülükleri</w:t>
            </w:r>
            <w:r w:rsidR="00986D17" w:rsidRPr="00A23740">
              <w:rPr>
                <w:rFonts w:eastAsia="Times New Roman"/>
                <w:szCs w:val="24"/>
                <w:lang w:eastAsia="tr-TR"/>
              </w:rPr>
              <w:t xml:space="preserve">ne ilişkin olan hükümler </w:t>
            </w:r>
            <w:r w:rsidRPr="00A23740">
              <w:rPr>
                <w:rFonts w:eastAsia="Times New Roman"/>
                <w:szCs w:val="24"/>
                <w:lang w:eastAsia="tr-TR"/>
              </w:rPr>
              <w:t xml:space="preserve"> esas alınarak, suçun seçimlik hareketleri düzenlenmektedir. B</w:t>
            </w:r>
            <w:r w:rsidR="00535D4A" w:rsidRPr="00A23740">
              <w:rPr>
                <w:rFonts w:eastAsia="Times New Roman"/>
                <w:szCs w:val="24"/>
                <w:lang w:eastAsia="tr-TR"/>
              </w:rPr>
              <w:t>una göre, ticareti terkettiği hâ</w:t>
            </w:r>
            <w:r w:rsidRPr="00A23740">
              <w:rPr>
                <w:rFonts w:eastAsia="Times New Roman"/>
                <w:szCs w:val="24"/>
                <w:lang w:eastAsia="tr-TR"/>
              </w:rPr>
              <w:t xml:space="preserve">lde durumu kayıtlı bulunduğu ticaret sicili </w:t>
            </w:r>
            <w:r w:rsidRPr="00A23740">
              <w:rPr>
                <w:rFonts w:eastAsia="Times New Roman"/>
                <w:bCs/>
                <w:lang w:eastAsia="tr-TR"/>
              </w:rPr>
              <w:t>müdürlüğüne</w:t>
            </w:r>
            <w:r w:rsidRPr="00A23740">
              <w:rPr>
                <w:rFonts w:eastAsia="Times New Roman"/>
                <w:szCs w:val="24"/>
                <w:lang w:eastAsia="tr-TR"/>
              </w:rPr>
              <w:t xml:space="preserve"> bildirmeyen, süresi içinde mal </w:t>
            </w:r>
            <w:r w:rsidRPr="00A23740">
              <w:rPr>
                <w:rFonts w:eastAsia="Times New Roman"/>
                <w:lang w:eastAsia="tr-TR"/>
              </w:rPr>
              <w:t>beyanında</w:t>
            </w:r>
            <w:r w:rsidRPr="00A23740">
              <w:rPr>
                <w:rFonts w:eastAsia="Times New Roman"/>
                <w:szCs w:val="24"/>
                <w:lang w:eastAsia="tr-TR"/>
              </w:rPr>
              <w:t xml:space="preserve"> bulunmayan, mal </w:t>
            </w:r>
            <w:r w:rsidRPr="00A23740">
              <w:rPr>
                <w:rFonts w:eastAsia="Times New Roman"/>
                <w:lang w:eastAsia="tr-TR"/>
              </w:rPr>
              <w:t>beyanında</w:t>
            </w:r>
            <w:r w:rsidRPr="00A23740">
              <w:rPr>
                <w:rFonts w:eastAsia="Times New Roman"/>
                <w:szCs w:val="24"/>
                <w:lang w:eastAsia="tr-TR"/>
              </w:rPr>
              <w:t xml:space="preserve"> mevcudunu eksik gösteren, ticaret sicili </w:t>
            </w:r>
            <w:r w:rsidRPr="00A23740">
              <w:rPr>
                <w:rFonts w:eastAsia="Times New Roman"/>
                <w:bCs/>
                <w:lang w:eastAsia="tr-TR"/>
              </w:rPr>
              <w:t>müdürlüğüne</w:t>
            </w:r>
            <w:r w:rsidRPr="00A23740">
              <w:rPr>
                <w:rFonts w:eastAsia="Times New Roman"/>
                <w:szCs w:val="24"/>
                <w:lang w:eastAsia="tr-TR"/>
              </w:rPr>
              <w:t xml:space="preserve"> bildirdiği ve aktifinde yer almış malı veya yerine kaim olan değerini haciz veya iflas sırasında göstermeyen, mal </w:t>
            </w:r>
            <w:r w:rsidRPr="00A23740">
              <w:rPr>
                <w:rFonts w:eastAsia="Times New Roman"/>
                <w:lang w:eastAsia="tr-TR"/>
              </w:rPr>
              <w:t>beyanından</w:t>
            </w:r>
            <w:r w:rsidRPr="00A23740">
              <w:rPr>
                <w:rFonts w:eastAsia="Times New Roman"/>
                <w:szCs w:val="24"/>
                <w:lang w:eastAsia="tr-TR"/>
              </w:rPr>
              <w:t xml:space="preserve"> sonra beyan ettiği malları üzerinde tasarruf eden borçlu</w:t>
            </w:r>
            <w:r w:rsidR="00986D17" w:rsidRPr="00A23740">
              <w:rPr>
                <w:rFonts w:eastAsia="Times New Roman"/>
                <w:szCs w:val="24"/>
                <w:lang w:eastAsia="tr-TR"/>
              </w:rPr>
              <w:t>,</w:t>
            </w:r>
            <w:r w:rsidRPr="00A23740">
              <w:rPr>
                <w:rFonts w:eastAsia="Times New Roman"/>
                <w:szCs w:val="24"/>
                <w:lang w:eastAsia="tr-TR"/>
              </w:rPr>
              <w:t xml:space="preserve"> </w:t>
            </w:r>
            <w:r w:rsidR="00986D17" w:rsidRPr="00A23740">
              <w:rPr>
                <w:rFonts w:eastAsia="Times New Roman"/>
                <w:szCs w:val="24"/>
                <w:lang w:eastAsia="tr-TR"/>
              </w:rPr>
              <w:t xml:space="preserve">bu suretle </w:t>
            </w:r>
            <w:r w:rsidRPr="00A23740">
              <w:rPr>
                <w:rFonts w:eastAsia="Times New Roman"/>
                <w:szCs w:val="24"/>
                <w:lang w:eastAsia="tr-TR"/>
              </w:rPr>
              <w:t>alacak</w:t>
            </w:r>
            <w:r w:rsidR="00986D17" w:rsidRPr="00A23740">
              <w:rPr>
                <w:rFonts w:eastAsia="Times New Roman"/>
                <w:szCs w:val="24"/>
                <w:lang w:eastAsia="tr-TR"/>
              </w:rPr>
              <w:t>lı</w:t>
            </w:r>
            <w:r w:rsidRPr="00A23740">
              <w:rPr>
                <w:rFonts w:eastAsia="Times New Roman"/>
                <w:szCs w:val="24"/>
                <w:lang w:eastAsia="tr-TR"/>
              </w:rPr>
              <w:t>larının zarara uğramasına sebebiyet verme</w:t>
            </w:r>
            <w:r w:rsidR="00535D4A" w:rsidRPr="00A23740">
              <w:rPr>
                <w:rFonts w:eastAsia="Times New Roman"/>
                <w:szCs w:val="24"/>
                <w:lang w:eastAsia="tr-TR"/>
              </w:rPr>
              <w:t>si hâ</w:t>
            </w:r>
            <w:r w:rsidRPr="00A23740">
              <w:rPr>
                <w:rFonts w:eastAsia="Times New Roman"/>
                <w:szCs w:val="24"/>
                <w:lang w:eastAsia="tr-TR"/>
              </w:rPr>
              <w:t>linde, alacaklının şik</w:t>
            </w:r>
            <w:r w:rsidR="008D1615" w:rsidRPr="00A23740">
              <w:rPr>
                <w:rFonts w:eastAsia="Times New Roman"/>
                <w:szCs w:val="24"/>
                <w:lang w:eastAsia="tr-TR"/>
              </w:rPr>
              <w:t>â</w:t>
            </w:r>
            <w:r w:rsidRPr="00A23740">
              <w:rPr>
                <w:rFonts w:eastAsia="Times New Roman"/>
                <w:szCs w:val="24"/>
                <w:lang w:eastAsia="tr-TR"/>
              </w:rPr>
              <w:t>yeti üzerine, borçlu,</w:t>
            </w:r>
            <w:r w:rsidRPr="00A23740">
              <w:rPr>
                <w:rFonts w:eastAsia="Times New Roman"/>
                <w:bCs/>
                <w:lang w:eastAsia="tr-TR"/>
              </w:rPr>
              <w:t xml:space="preserve"> </w:t>
            </w:r>
            <w:r w:rsidRPr="00A23740">
              <w:rPr>
                <w:rFonts w:eastAsia="Times New Roman"/>
                <w:lang w:eastAsia="tr-TR"/>
              </w:rPr>
              <w:t>bir yıldan üç yıla</w:t>
            </w:r>
            <w:r w:rsidRPr="00A23740">
              <w:rPr>
                <w:rFonts w:eastAsia="Times New Roman"/>
                <w:szCs w:val="24"/>
                <w:lang w:eastAsia="tr-TR"/>
              </w:rPr>
              <w:t xml:space="preserve"> kadar hapis ve üç </w:t>
            </w:r>
            <w:r w:rsidRPr="00A23740">
              <w:rPr>
                <w:rFonts w:eastAsia="Times New Roman"/>
                <w:lang w:eastAsia="tr-TR"/>
              </w:rPr>
              <w:t>bin</w:t>
            </w:r>
            <w:r w:rsidRPr="00A23740">
              <w:rPr>
                <w:rFonts w:eastAsia="Times New Roman"/>
                <w:szCs w:val="24"/>
                <w:lang w:eastAsia="tr-TR"/>
              </w:rPr>
              <w:t xml:space="preserve"> güne kadar adli para cezası</w:t>
            </w:r>
            <w:r w:rsidR="0005528D" w:rsidRPr="002E2E40">
              <w:rPr>
                <w:rFonts w:eastAsia="Times New Roman"/>
                <w:szCs w:val="24"/>
                <w:lang w:eastAsia="tr-TR"/>
              </w:rPr>
              <w:t>yla</w:t>
            </w:r>
            <w:r w:rsidRPr="00A23740">
              <w:rPr>
                <w:rFonts w:eastAsia="Times New Roman"/>
                <w:szCs w:val="24"/>
                <w:lang w:eastAsia="tr-TR"/>
              </w:rPr>
              <w:t xml:space="preserve"> cezalandırılır. Ticareti terk edenlerin yükümlülükleri, Taslağın </w:t>
            </w:r>
            <w:r w:rsidR="00DE05B8" w:rsidRPr="00A23740">
              <w:rPr>
                <w:rFonts w:eastAsia="Times New Roman"/>
                <w:szCs w:val="24"/>
                <w:lang w:eastAsia="tr-TR"/>
              </w:rPr>
              <w:t>81 inci</w:t>
            </w:r>
            <w:r w:rsidR="00DE05B8" w:rsidRPr="00A23740">
              <w:rPr>
                <w:rStyle w:val="KIRMIZIChar"/>
                <w:rFonts w:eastAsia="Calibri"/>
                <w:strike w:val="0"/>
              </w:rPr>
              <w:t xml:space="preserve"> </w:t>
            </w:r>
            <w:r w:rsidR="00DE05B8" w:rsidRPr="00A23740">
              <w:rPr>
                <w:rFonts w:eastAsia="Times New Roman"/>
                <w:szCs w:val="24"/>
                <w:lang w:eastAsia="tr-TR"/>
              </w:rPr>
              <w:t xml:space="preserve"> </w:t>
            </w:r>
            <w:r w:rsidRPr="00A23740">
              <w:rPr>
                <w:rFonts w:eastAsia="Times New Roman"/>
                <w:szCs w:val="24"/>
                <w:lang w:eastAsia="tr-TR"/>
              </w:rPr>
              <w:t xml:space="preserve">maddesinde ayrıntılı olarak düzenlenmektedir. 2004 sayılı Kanundan farklı olarak, ticaretin terk edildiğine ilişkin bildirimin ticaret sicili müdürlüğüne yapılması da açıkça düzenlenmektedir. 2004 sayılı Kanunun 337/a maddesinin ikinci fıkrasında yer alan </w:t>
            </w:r>
            <w:r w:rsidR="00986D17" w:rsidRPr="00A23740">
              <w:rPr>
                <w:rFonts w:eastAsia="Times New Roman"/>
                <w:szCs w:val="24"/>
                <w:lang w:eastAsia="tr-TR"/>
              </w:rPr>
              <w:t xml:space="preserve">durumda, yani </w:t>
            </w:r>
            <w:r w:rsidRPr="00A23740">
              <w:rPr>
                <w:rFonts w:eastAsia="Times New Roman"/>
                <w:szCs w:val="24"/>
                <w:lang w:eastAsia="tr-TR"/>
              </w:rPr>
              <w:t>alacaklının zarar görmediğinin borçlu tarafından</w:t>
            </w:r>
            <w:r w:rsidR="00535D4A" w:rsidRPr="00A23740">
              <w:rPr>
                <w:rFonts w:eastAsia="Times New Roman"/>
                <w:szCs w:val="24"/>
                <w:lang w:eastAsia="tr-TR"/>
              </w:rPr>
              <w:t xml:space="preserve"> ispat edilmesi hâ</w:t>
            </w:r>
            <w:r w:rsidRPr="00A23740">
              <w:rPr>
                <w:rFonts w:eastAsia="Times New Roman"/>
                <w:szCs w:val="24"/>
                <w:lang w:eastAsia="tr-TR"/>
              </w:rPr>
              <w:t xml:space="preserve">linde ceza verilmeyeceğine ilişkin hüküm, birinci fıkrada </w:t>
            </w:r>
            <w:r w:rsidR="00535D4A" w:rsidRPr="00A23740">
              <w:rPr>
                <w:rFonts w:eastAsia="Times New Roman"/>
                <w:szCs w:val="24"/>
                <w:lang w:eastAsia="tr-TR"/>
              </w:rPr>
              <w:t>“alacaklının zarara uğraması” hâ</w:t>
            </w:r>
            <w:r w:rsidRPr="00A23740">
              <w:rPr>
                <w:rFonts w:eastAsia="Times New Roman"/>
                <w:szCs w:val="24"/>
                <w:lang w:eastAsia="tr-TR"/>
              </w:rPr>
              <w:t>li olarak düzenlendiğinden</w:t>
            </w:r>
            <w:r w:rsidR="00986D17" w:rsidRPr="00A23740">
              <w:rPr>
                <w:rFonts w:eastAsia="Times New Roman"/>
                <w:szCs w:val="24"/>
                <w:lang w:eastAsia="tr-TR"/>
              </w:rPr>
              <w:t>,</w:t>
            </w:r>
            <w:r w:rsidRPr="00A23740">
              <w:rPr>
                <w:rFonts w:eastAsia="Times New Roman"/>
                <w:szCs w:val="24"/>
                <w:lang w:eastAsia="tr-TR"/>
              </w:rPr>
              <w:t xml:space="preserve"> ayrıca maddede bu hükme yer verilmemektedir. </w:t>
            </w:r>
            <w:r w:rsidRPr="00A23740">
              <w:rPr>
                <w:rFonts w:eastAsia="Arial Unicode MS"/>
                <w:iCs/>
                <w:szCs w:val="24"/>
                <w:lang w:eastAsia="tr-TR"/>
              </w:rPr>
              <w:t>2004 sayılı Kanundan farklı olarak caydırıcılığın sağlanabilmesi için hapis cezasının alt ve üst sınırı artırılmakta ve hükme adli para cezası da eklenmektedir.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İkinci fıkrayla, bir yenilik olarak, birinci fıkrada tanımlanan suçtan dolayı mahkûmiyet kararı verilmesi, hükümlü gerçek kişiye ait ticari işletmenin kaydının silinmesi sebebi sayılmaktadır. Mahk</w:t>
            </w:r>
            <w:r w:rsidR="00506C64" w:rsidRPr="00A23740">
              <w:rPr>
                <w:rFonts w:eastAsia="Times New Roman"/>
                <w:szCs w:val="24"/>
                <w:lang w:eastAsia="tr-TR"/>
              </w:rPr>
              <w:t>û</w:t>
            </w:r>
            <w:r w:rsidRPr="00A23740">
              <w:rPr>
                <w:rFonts w:eastAsia="Times New Roman"/>
                <w:szCs w:val="24"/>
                <w:lang w:eastAsia="tr-TR"/>
              </w:rPr>
              <w:t xml:space="preserve">miyet kararı kesinleştiğinde, kararın bir sureti gerçek kişilere ait ticari işletmenin kaydının silinmesi için ilgili ticaret </w:t>
            </w:r>
            <w:r w:rsidRPr="00A23740">
              <w:rPr>
                <w:rFonts w:eastAsia="Times New Roman"/>
                <w:bCs/>
                <w:lang w:eastAsia="tr-TR"/>
              </w:rPr>
              <w:t>sicili</w:t>
            </w:r>
            <w:r w:rsidRPr="00A23740">
              <w:rPr>
                <w:rFonts w:eastAsia="Times New Roman"/>
                <w:szCs w:val="24"/>
                <w:lang w:eastAsia="tr-TR"/>
              </w:rPr>
              <w:t xml:space="preserve"> müdürlüğüne gönderilir. Ticari işletmenin kaydının silinmesi, 6102 sayılı</w:t>
            </w:r>
            <w:r w:rsidR="00B36EAC" w:rsidRPr="00A23740">
              <w:rPr>
                <w:rFonts w:eastAsia="Times New Roman"/>
                <w:szCs w:val="24"/>
                <w:lang w:eastAsia="tr-TR"/>
              </w:rPr>
              <w:t xml:space="preserve"> </w:t>
            </w:r>
            <w:r w:rsidR="00B36EAC" w:rsidRPr="002E2E40">
              <w:rPr>
                <w:rFonts w:eastAsia="Times New Roman"/>
                <w:szCs w:val="24"/>
                <w:lang w:eastAsia="tr-TR"/>
              </w:rPr>
              <w:t>Kanunun</w:t>
            </w:r>
            <w:r w:rsidRPr="00A23740">
              <w:rPr>
                <w:rFonts w:eastAsia="Times New Roman"/>
                <w:szCs w:val="24"/>
                <w:lang w:eastAsia="tr-TR"/>
              </w:rPr>
              <w:t xml:space="preserve"> 27 ve devamı maddeleri gereğince tescil işlemlerinin bildirim üz</w:t>
            </w:r>
            <w:r w:rsidR="00535D4A" w:rsidRPr="00A23740">
              <w:rPr>
                <w:rFonts w:eastAsia="Times New Roman"/>
                <w:szCs w:val="24"/>
                <w:lang w:eastAsia="tr-TR"/>
              </w:rPr>
              <w:t>erine resen yapılması gereken hâ</w:t>
            </w:r>
            <w:r w:rsidRPr="00A23740">
              <w:rPr>
                <w:rFonts w:eastAsia="Times New Roman"/>
                <w:szCs w:val="24"/>
                <w:lang w:eastAsia="tr-TR"/>
              </w:rPr>
              <w:t>llerden biri olarak kabul edildiğinden, buna göre ilgili ticaret sicili müdürlüğünce ticari işletmenin kaydı silinir. Bu hüküm, gerçek kişi tacirlerin t</w:t>
            </w:r>
            <w:r w:rsidR="00535D4A" w:rsidRPr="00A23740">
              <w:rPr>
                <w:rFonts w:eastAsia="Times New Roman"/>
                <w:szCs w:val="24"/>
                <w:lang w:eastAsia="tr-TR"/>
              </w:rPr>
              <w:t>icareti terk etme hâ</w:t>
            </w:r>
            <w:r w:rsidRPr="00A23740">
              <w:rPr>
                <w:rFonts w:eastAsia="Times New Roman"/>
                <w:szCs w:val="24"/>
                <w:lang w:eastAsia="tr-TR"/>
              </w:rPr>
              <w:t>llerinden biri olarak düzenlendiği için</w:t>
            </w:r>
            <w:r w:rsidR="00986D17" w:rsidRPr="00A23740">
              <w:rPr>
                <w:rFonts w:eastAsia="Times New Roman"/>
                <w:szCs w:val="24"/>
                <w:lang w:eastAsia="tr-TR"/>
              </w:rPr>
              <w:t>,</w:t>
            </w:r>
            <w:r w:rsidRPr="00A23740">
              <w:rPr>
                <w:rFonts w:eastAsia="Times New Roman"/>
                <w:szCs w:val="24"/>
                <w:lang w:eastAsia="tr-TR"/>
              </w:rPr>
              <w:t xml:space="preserve"> ceza hukuku bakımından cari olan bir güvenlik tedbiri olmadığı hususunda tereddüt bulunmamaktadır.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Üçüncü fıkrayla, bir yenilik olarak, birinci fıkrada tanımlanan suçtan dolayı mahkûmiyet kararı verilmesinin, ilgili ticaret şirketi bakımından sona erme sebebi sayılacağı düzenlenmektedir. Mahk</w:t>
            </w:r>
            <w:r w:rsidR="00506C64" w:rsidRPr="00A23740">
              <w:rPr>
                <w:rFonts w:eastAsia="Times New Roman"/>
                <w:szCs w:val="24"/>
                <w:lang w:eastAsia="tr-TR"/>
              </w:rPr>
              <w:t>û</w:t>
            </w:r>
            <w:r w:rsidRPr="00A23740">
              <w:rPr>
                <w:rFonts w:eastAsia="Times New Roman"/>
                <w:szCs w:val="24"/>
                <w:lang w:eastAsia="tr-TR"/>
              </w:rPr>
              <w:t xml:space="preserve">miyet kararı kesinleştiğinde, kararın bir sureti ticaret sicili </w:t>
            </w:r>
            <w:r w:rsidRPr="00A23740">
              <w:rPr>
                <w:rFonts w:eastAsia="Times New Roman"/>
                <w:bCs/>
                <w:lang w:eastAsia="tr-TR"/>
              </w:rPr>
              <w:t>müdürlüğüne</w:t>
            </w:r>
            <w:r w:rsidRPr="00A23740">
              <w:rPr>
                <w:rFonts w:eastAsia="Times New Roman"/>
                <w:szCs w:val="24"/>
                <w:lang w:eastAsia="tr-TR"/>
              </w:rPr>
              <w:t xml:space="preserve"> gönderilir. Fıkradaki düzenleme, 6102 sayılı</w:t>
            </w:r>
            <w:r w:rsidR="00B36EAC" w:rsidRPr="00A23740">
              <w:rPr>
                <w:rFonts w:eastAsia="Times New Roman"/>
                <w:szCs w:val="24"/>
                <w:lang w:eastAsia="tr-TR"/>
              </w:rPr>
              <w:t xml:space="preserve"> </w:t>
            </w:r>
            <w:r w:rsidR="00B36EAC" w:rsidRPr="002E2E40">
              <w:rPr>
                <w:rFonts w:eastAsia="Times New Roman"/>
                <w:szCs w:val="24"/>
                <w:lang w:eastAsia="tr-TR"/>
              </w:rPr>
              <w:t>Kanunun</w:t>
            </w:r>
            <w:r w:rsidRPr="00A23740">
              <w:rPr>
                <w:rFonts w:eastAsia="Times New Roman"/>
                <w:szCs w:val="24"/>
                <w:lang w:eastAsia="tr-TR"/>
              </w:rPr>
              <w:t xml:space="preserve"> şirketlerin sona erme sebeplerinin düzenlendiği hükümlere bir ilave </w:t>
            </w:r>
            <w:r w:rsidR="00986D17" w:rsidRPr="00A23740">
              <w:rPr>
                <w:rFonts w:eastAsia="Times New Roman"/>
                <w:szCs w:val="24"/>
                <w:lang w:eastAsia="tr-TR"/>
              </w:rPr>
              <w:t xml:space="preserve">niteliğinde </w:t>
            </w:r>
            <w:r w:rsidRPr="00A23740">
              <w:rPr>
                <w:rFonts w:eastAsia="Times New Roman"/>
                <w:szCs w:val="24"/>
                <w:lang w:eastAsia="tr-TR"/>
              </w:rPr>
              <w:t>olduğundan</w:t>
            </w:r>
            <w:r w:rsidR="00986D17" w:rsidRPr="00A23740">
              <w:rPr>
                <w:rFonts w:eastAsia="Times New Roman"/>
                <w:szCs w:val="24"/>
                <w:lang w:eastAsia="tr-TR"/>
              </w:rPr>
              <w:t>,</w:t>
            </w:r>
            <w:r w:rsidRPr="00A23740">
              <w:rPr>
                <w:rFonts w:eastAsia="Times New Roman"/>
                <w:szCs w:val="24"/>
                <w:lang w:eastAsia="tr-TR"/>
              </w:rPr>
              <w:t xml:space="preserve"> ceza hukuku bakımından cari olan bir güvenlik tedbiri olmadığı hususunda tereddüt bulunmamaktadır.</w:t>
            </w:r>
          </w:p>
          <w:p w:rsidR="00A043AD" w:rsidRPr="00A23740" w:rsidRDefault="00A043AD" w:rsidP="000C3326">
            <w:pPr>
              <w:rPr>
                <w:rFonts w:eastAsia="Arial Unicode MS"/>
                <w:iCs/>
                <w:strike/>
                <w:color w:val="FF0000"/>
                <w:szCs w:val="24"/>
                <w:lang w:eastAsia="x-none"/>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x-none"/>
              </w:rPr>
            </w:pPr>
            <w:r w:rsidRPr="00A23740">
              <w:rPr>
                <w:rFonts w:eastAsia="Times New Roman"/>
                <w:b/>
                <w:szCs w:val="24"/>
                <w:lang w:eastAsia="tr-TR"/>
              </w:rPr>
              <w:t>Sermaye şirket</w:t>
            </w:r>
            <w:r w:rsidRPr="00A23740">
              <w:rPr>
                <w:rFonts w:eastAsia="Times New Roman"/>
                <w:b/>
                <w:strike/>
                <w:color w:val="FF0000"/>
                <w:szCs w:val="24"/>
                <w:lang w:eastAsia="x-none"/>
              </w:rPr>
              <w:t>lerinin</w:t>
            </w:r>
            <w:r w:rsidRPr="00A23740">
              <w:rPr>
                <w:rFonts w:eastAsia="Times New Roman"/>
                <w:b/>
                <w:szCs w:val="24"/>
                <w:lang w:eastAsia="tr-TR"/>
              </w:rPr>
              <w:t xml:space="preserve"> iflasını istemek </w:t>
            </w:r>
            <w:r w:rsidRPr="00A23740">
              <w:rPr>
                <w:rFonts w:eastAsia="Times New Roman"/>
                <w:b/>
                <w:strike/>
                <w:color w:val="FF0000"/>
                <w:szCs w:val="24"/>
                <w:lang w:eastAsia="x-none"/>
              </w:rPr>
              <w:t>mecburiyetinde olanların cezası :</w:t>
            </w:r>
          </w:p>
          <w:p w:rsidR="00A043AD" w:rsidRPr="00A23740" w:rsidRDefault="00A043AD" w:rsidP="00750F08">
            <w:pPr>
              <w:rPr>
                <w:rFonts w:eastAsia="Times New Roman"/>
                <w:i/>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345/a</w:t>
            </w:r>
            <w:r w:rsidRPr="00A23740">
              <w:rPr>
                <w:rFonts w:eastAsia="Times New Roman"/>
                <w:b/>
                <w:szCs w:val="24"/>
                <w:lang w:eastAsia="tr-TR"/>
              </w:rPr>
              <w:t xml:space="preserve"> – (1) </w:t>
            </w:r>
            <w:r w:rsidRPr="00A23740">
              <w:rPr>
                <w:rFonts w:eastAsia="Times New Roman"/>
                <w:b/>
                <w:strike/>
                <w:color w:val="FF0000"/>
                <w:szCs w:val="24"/>
                <w:lang w:eastAsia="x-none"/>
              </w:rPr>
              <w:t>(Ek: 18/2/1965-538/137 md.; Değişik: 31/5/2005-5358/16 md.) İdare</w:t>
            </w:r>
            <w:r w:rsidRPr="00A23740">
              <w:rPr>
                <w:rFonts w:eastAsia="Times New Roman"/>
                <w:szCs w:val="24"/>
                <w:lang w:eastAsia="tr-TR"/>
              </w:rPr>
              <w:t xml:space="preserve"> ve temsil ile görevlendirilmiş kimseler veya tasfiye memurları, 179 uncu maddeye göre şirketin mevcudunun borçlarını karşılamadığını bildirerek şirketin iflasını istemezlerse, alacaklılardan birinin şikâyeti üzerine, </w:t>
            </w:r>
            <w:r w:rsidRPr="00A23740">
              <w:rPr>
                <w:rFonts w:eastAsia="Times New Roman"/>
                <w:b/>
                <w:strike/>
                <w:color w:val="FF0000"/>
                <w:szCs w:val="24"/>
                <w:lang w:eastAsia="x-none"/>
              </w:rPr>
              <w:t>on günden</w:t>
            </w:r>
            <w:r w:rsidRPr="00A23740">
              <w:rPr>
                <w:rFonts w:eastAsia="Times New Roman"/>
                <w:szCs w:val="24"/>
                <w:lang w:eastAsia="tr-TR"/>
              </w:rPr>
              <w:t xml:space="preserve"> üç ay</w:t>
            </w:r>
            <w:r w:rsidRPr="00A23740">
              <w:rPr>
                <w:rFonts w:eastAsia="Times New Roman"/>
                <w:b/>
                <w:strike/>
                <w:color w:val="FF0000"/>
                <w:szCs w:val="24"/>
                <w:lang w:eastAsia="x-none"/>
              </w:rPr>
              <w:t>a</w:t>
            </w:r>
            <w:r w:rsidRPr="00A23740">
              <w:rPr>
                <w:rFonts w:eastAsia="Times New Roman"/>
                <w:szCs w:val="24"/>
                <w:lang w:eastAsia="tr-TR"/>
              </w:rPr>
              <w:t xml:space="preserve"> kadar hapis</w:t>
            </w:r>
            <w:r w:rsidRPr="00A23740">
              <w:rPr>
                <w:rFonts w:eastAsia="Times New Roman"/>
                <w:b/>
                <w:strike/>
                <w:color w:val="FF0000"/>
                <w:szCs w:val="24"/>
                <w:lang w:eastAsia="x-none"/>
              </w:rPr>
              <w:t xml:space="preserve"> </w:t>
            </w:r>
            <w:r w:rsidRPr="00A23740">
              <w:rPr>
                <w:rFonts w:eastAsia="Times New Roman"/>
                <w:szCs w:val="24"/>
                <w:lang w:eastAsia="tr-TR"/>
              </w:rPr>
              <w:t>cezası ile cezalandırılır.</w:t>
            </w: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rPr>
                <w:rFonts w:eastAsia="Times New Roman"/>
                <w:szCs w:val="24"/>
                <w:lang w:eastAsia="tr-TR"/>
              </w:rPr>
            </w:pPr>
            <w:r w:rsidRPr="00A23740">
              <w:rPr>
                <w:rFonts w:eastAsia="Times New Roman"/>
                <w:b/>
                <w:szCs w:val="24"/>
                <w:lang w:eastAsia="tr-TR"/>
              </w:rPr>
              <w:t xml:space="preserve">Sermaye şirketi </w:t>
            </w:r>
            <w:r w:rsidRPr="00A23740">
              <w:rPr>
                <w:rFonts w:eastAsia="Times New Roman"/>
                <w:b/>
                <w:bCs/>
                <w:color w:val="0000FF"/>
                <w:szCs w:val="24"/>
                <w:lang w:eastAsia="x-none"/>
              </w:rPr>
              <w:t>ve kooperatifin</w:t>
            </w:r>
            <w:r w:rsidRPr="00A23740">
              <w:rPr>
                <w:rFonts w:eastAsia="Times New Roman"/>
                <w:b/>
                <w:szCs w:val="24"/>
                <w:lang w:eastAsia="tr-TR"/>
              </w:rPr>
              <w:t xml:space="preserve"> iflasını iste</w:t>
            </w:r>
            <w:r w:rsidRPr="00A23740">
              <w:rPr>
                <w:rFonts w:eastAsia="Times New Roman"/>
                <w:b/>
                <w:bCs/>
                <w:color w:val="0000FF"/>
                <w:szCs w:val="24"/>
                <w:lang w:eastAsia="x-none"/>
              </w:rPr>
              <w:t>me yükümlülüğünü ihlal</w:t>
            </w:r>
          </w:p>
          <w:p w:rsidR="00A043AD" w:rsidRPr="000C3326" w:rsidRDefault="00A043AD" w:rsidP="000C3326">
            <w:pPr>
              <w:rPr>
                <w:rFonts w:eastAsia="Times New Roman"/>
                <w:szCs w:val="24"/>
                <w:lang w:eastAsia="tr-TR"/>
              </w:rPr>
            </w:pPr>
            <w:r w:rsidRPr="00A23740">
              <w:rPr>
                <w:rFonts w:eastAsia="Times New Roman"/>
                <w:b/>
                <w:color w:val="0000FF"/>
                <w:szCs w:val="24"/>
              </w:rPr>
              <w:t>MADDE 526- (1) Yönetim</w:t>
            </w:r>
            <w:r w:rsidRPr="00A23740">
              <w:rPr>
                <w:rFonts w:eastAsia="Times New Roman"/>
                <w:b/>
                <w:szCs w:val="24"/>
                <w:lang w:eastAsia="tr-TR"/>
              </w:rPr>
              <w:t xml:space="preserve"> </w:t>
            </w:r>
            <w:r w:rsidRPr="00A23740">
              <w:rPr>
                <w:rFonts w:eastAsia="Times New Roman"/>
                <w:szCs w:val="24"/>
                <w:lang w:eastAsia="tr-TR"/>
              </w:rPr>
              <w:t>ve</w:t>
            </w:r>
            <w:r w:rsidRPr="00A23740">
              <w:rPr>
                <w:rFonts w:eastAsia="Times New Roman"/>
                <w:b/>
                <w:bCs/>
                <w:color w:val="0000FF"/>
                <w:szCs w:val="24"/>
                <w:lang w:eastAsia="x-none"/>
              </w:rPr>
              <w:t>ya</w:t>
            </w:r>
            <w:r w:rsidRPr="00A23740">
              <w:rPr>
                <w:rFonts w:eastAsia="Times New Roman"/>
                <w:szCs w:val="24"/>
                <w:lang w:eastAsia="tr-TR"/>
              </w:rPr>
              <w:t xml:space="preserve"> temsil ile görevlendirilmiş kimseler veya tasfiye memurları, </w:t>
            </w:r>
            <w:r w:rsidRPr="00A23740">
              <w:rPr>
                <w:rFonts w:eastAsia="Times New Roman"/>
                <w:b/>
                <w:color w:val="0000FF"/>
                <w:szCs w:val="24"/>
              </w:rPr>
              <w:t>sermaye şirketleri ve kooperatiflerin iflası hakkındaki</w:t>
            </w:r>
            <w:r w:rsidRPr="00A23740">
              <w:rPr>
                <w:rFonts w:eastAsia="Times New Roman"/>
                <w:szCs w:val="24"/>
                <w:lang w:eastAsia="tr-TR"/>
              </w:rPr>
              <w:t xml:space="preserve"> </w:t>
            </w:r>
            <w:r w:rsidR="00DE05B8" w:rsidRPr="002E2E40">
              <w:rPr>
                <w:rStyle w:val="KonuBalChar"/>
                <w:rFonts w:eastAsia="Calibri"/>
                <w:color w:val="0000FF"/>
              </w:rPr>
              <w:t>287 nci</w:t>
            </w:r>
            <w:r w:rsidR="00DE05B8" w:rsidRPr="00A23740">
              <w:rPr>
                <w:rFonts w:eastAsia="Times New Roman"/>
                <w:szCs w:val="24"/>
                <w:lang w:eastAsia="tr-TR"/>
              </w:rPr>
              <w:t xml:space="preserve"> </w:t>
            </w:r>
            <w:r w:rsidRPr="00A23740">
              <w:rPr>
                <w:rFonts w:eastAsia="Times New Roman"/>
                <w:szCs w:val="24"/>
                <w:lang w:eastAsia="tr-TR"/>
              </w:rPr>
              <w:t xml:space="preserve">maddeye göre şirketin </w:t>
            </w:r>
            <w:r w:rsidRPr="00A23740">
              <w:rPr>
                <w:rFonts w:eastAsia="Times New Roman"/>
                <w:b/>
                <w:bCs/>
                <w:color w:val="0000FF"/>
                <w:szCs w:val="24"/>
                <w:lang w:eastAsia="x-none"/>
              </w:rPr>
              <w:t>veya kooperatifin</w:t>
            </w:r>
            <w:r w:rsidRPr="00A23740">
              <w:rPr>
                <w:rFonts w:eastAsia="Times New Roman"/>
                <w:szCs w:val="24"/>
                <w:lang w:eastAsia="tr-TR"/>
              </w:rPr>
              <w:t xml:space="preserve"> iflasını istemez </w:t>
            </w:r>
            <w:r w:rsidRPr="002E2E40">
              <w:rPr>
                <w:rStyle w:val="YELChar"/>
                <w:color w:val="0000FF"/>
              </w:rPr>
              <w:t>ve</w:t>
            </w:r>
            <w:r w:rsidRPr="002E2E40">
              <w:rPr>
                <w:rFonts w:eastAsia="Times New Roman"/>
                <w:b/>
                <w:color w:val="0000FF"/>
                <w:szCs w:val="24"/>
              </w:rPr>
              <w:t xml:space="preserve"> </w:t>
            </w:r>
            <w:r w:rsidRPr="00A23740">
              <w:rPr>
                <w:rFonts w:eastAsia="Times New Roman"/>
                <w:b/>
                <w:color w:val="0000FF"/>
                <w:szCs w:val="24"/>
              </w:rPr>
              <w:t xml:space="preserve">konkordato </w:t>
            </w:r>
            <w:r w:rsidRPr="002E2E40">
              <w:rPr>
                <w:rStyle w:val="YELChar"/>
                <w:color w:val="0000FF"/>
              </w:rPr>
              <w:t>da</w:t>
            </w:r>
            <w:r w:rsidRPr="002E2E40">
              <w:rPr>
                <w:rFonts w:eastAsia="Times New Roman"/>
                <w:b/>
                <w:color w:val="0000FF"/>
                <w:szCs w:val="24"/>
              </w:rPr>
              <w:t xml:space="preserve"> </w:t>
            </w:r>
            <w:r w:rsidRPr="00A23740">
              <w:rPr>
                <w:rFonts w:eastAsia="Times New Roman"/>
                <w:b/>
                <w:color w:val="0000FF"/>
                <w:szCs w:val="24"/>
              </w:rPr>
              <w:t>talep etmezse</w:t>
            </w:r>
            <w:r w:rsidRPr="00A23740">
              <w:rPr>
                <w:rFonts w:eastAsia="Times New Roman"/>
                <w:szCs w:val="24"/>
                <w:lang w:eastAsia="tr-TR"/>
              </w:rPr>
              <w:t xml:space="preserve"> alacaklılardan birinin şikâyeti üzerine, </w:t>
            </w:r>
            <w:r w:rsidRPr="00A23740">
              <w:rPr>
                <w:rFonts w:eastAsia="Times New Roman"/>
                <w:b/>
                <w:color w:val="0000FF"/>
                <w:szCs w:val="24"/>
              </w:rPr>
              <w:t>altı</w:t>
            </w:r>
            <w:r w:rsidRPr="00A23740">
              <w:rPr>
                <w:rFonts w:eastAsia="Times New Roman"/>
                <w:szCs w:val="24"/>
                <w:lang w:eastAsia="tr-TR"/>
              </w:rPr>
              <w:t xml:space="preserve"> ay</w:t>
            </w:r>
            <w:r w:rsidRPr="00A23740">
              <w:rPr>
                <w:rFonts w:eastAsia="Times New Roman"/>
                <w:b/>
                <w:color w:val="0000FF"/>
                <w:szCs w:val="24"/>
              </w:rPr>
              <w:t>dan iki yıla</w:t>
            </w:r>
            <w:r w:rsidRPr="00A23740">
              <w:rPr>
                <w:rFonts w:eastAsia="Times New Roman"/>
                <w:szCs w:val="24"/>
                <w:lang w:eastAsia="tr-TR"/>
              </w:rPr>
              <w:t xml:space="preserve"> kadar hapis </w:t>
            </w:r>
            <w:r w:rsidRPr="00A23740">
              <w:rPr>
                <w:rFonts w:eastAsia="Times New Roman"/>
                <w:b/>
                <w:color w:val="0000FF"/>
                <w:szCs w:val="24"/>
              </w:rPr>
              <w:t>ve üç bin güne kadar adli para</w:t>
            </w:r>
            <w:r w:rsidRPr="00A23740">
              <w:rPr>
                <w:rFonts w:eastAsia="Times New Roman"/>
                <w:szCs w:val="24"/>
                <w:lang w:eastAsia="tr-TR"/>
              </w:rPr>
              <w:t xml:space="preserve"> cezası</w:t>
            </w:r>
            <w:r w:rsidR="002F55D4" w:rsidRPr="002E2E40">
              <w:rPr>
                <w:rFonts w:eastAsia="Times New Roman"/>
                <w:b/>
                <w:color w:val="0000FF"/>
                <w:szCs w:val="24"/>
                <w:lang w:eastAsia="tr-TR"/>
              </w:rPr>
              <w:t>yla</w:t>
            </w:r>
            <w:r w:rsidR="000C3326">
              <w:rPr>
                <w:rFonts w:eastAsia="Times New Roman"/>
                <w:szCs w:val="24"/>
                <w:lang w:eastAsia="tr-TR"/>
              </w:rPr>
              <w:t xml:space="preserve"> cezalandırılır.</w:t>
            </w:r>
          </w:p>
        </w:tc>
      </w:tr>
      <w:tr w:rsidR="00A043AD" w:rsidRPr="00A23740" w:rsidTr="00750F08">
        <w:tc>
          <w:tcPr>
            <w:tcW w:w="5000" w:type="pct"/>
            <w:gridSpan w:val="2"/>
            <w:shd w:val="clear" w:color="auto" w:fill="DEEAF6"/>
          </w:tcPr>
          <w:p w:rsidR="00A043AD" w:rsidRPr="00A23740" w:rsidRDefault="00A043AD" w:rsidP="00750F08">
            <w:pPr>
              <w:ind w:firstLine="709"/>
              <w:rPr>
                <w:rFonts w:eastAsia="Times New Roman"/>
                <w:b/>
                <w:szCs w:val="24"/>
                <w:lang w:eastAsia="tr-TR"/>
              </w:rPr>
            </w:pPr>
          </w:p>
          <w:p w:rsidR="00A043AD" w:rsidRPr="00A23740" w:rsidRDefault="00A043AD" w:rsidP="00750F08">
            <w:pPr>
              <w:ind w:firstLine="709"/>
              <w:rPr>
                <w:rFonts w:eastAsia="Arial Unicode MS"/>
                <w:iCs/>
                <w:szCs w:val="24"/>
                <w:lang w:eastAsia="tr-TR"/>
              </w:rPr>
            </w:pPr>
            <w:r w:rsidRPr="00A23740">
              <w:rPr>
                <w:rFonts w:eastAsia="Times New Roman"/>
                <w:b/>
                <w:szCs w:val="24"/>
                <w:lang w:eastAsia="tr-TR"/>
              </w:rPr>
              <w:t xml:space="preserve">MADDE 526- </w:t>
            </w:r>
            <w:r w:rsidRPr="00A23740">
              <w:rPr>
                <w:rFonts w:eastAsia="Times New Roman"/>
                <w:szCs w:val="24"/>
                <w:lang w:eastAsia="tr-TR"/>
              </w:rPr>
              <w:t xml:space="preserve">Maddeyle, sermaye şirketi ve kooperatifin iflasını isteme yükümlülüğünü ihlal suçu düzenlenmektedir. 2004 sayılı Kanunun 345/a maddesine karşılık gelen bu hüküm, dili sadeleştirilmek ve </w:t>
            </w:r>
            <w:r w:rsidRPr="00A23740">
              <w:rPr>
                <w:rFonts w:eastAsia="Arial Unicode MS"/>
                <w:iCs/>
                <w:szCs w:val="24"/>
                <w:lang w:eastAsia="tr-TR"/>
              </w:rPr>
              <w:t>içeriği</w:t>
            </w:r>
            <w:r w:rsidR="00986D17" w:rsidRPr="00A23740">
              <w:rPr>
                <w:rFonts w:eastAsia="Arial Unicode MS"/>
                <w:iCs/>
                <w:szCs w:val="24"/>
                <w:lang w:eastAsia="tr-TR"/>
              </w:rPr>
              <w:t>yle</w:t>
            </w:r>
            <w:r w:rsidRPr="00A23740">
              <w:rPr>
                <w:rFonts w:eastAsia="Arial Unicode MS"/>
                <w:iCs/>
                <w:szCs w:val="24"/>
                <w:lang w:eastAsia="tr-TR"/>
              </w:rPr>
              <w:t xml:space="preserve"> uyumlu olması açısından başlığı değiştirilmek suretiyle muhafaza edilmektedir.</w:t>
            </w:r>
          </w:p>
          <w:p w:rsidR="00A043AD" w:rsidRPr="00A23740" w:rsidRDefault="00A043AD" w:rsidP="00750F08">
            <w:pPr>
              <w:ind w:firstLine="709"/>
              <w:rPr>
                <w:szCs w:val="24"/>
              </w:rPr>
            </w:pPr>
            <w:r w:rsidRPr="00A23740">
              <w:rPr>
                <w:rFonts w:eastAsia="Arial Unicode MS"/>
                <w:iCs/>
                <w:szCs w:val="24"/>
                <w:lang w:eastAsia="tr-TR"/>
              </w:rPr>
              <w:t xml:space="preserve">Birinci fıkrayla, iflas isteme yükümlülüğünün ihlali suçuyla ilgili esaslar belirlenmektedir. Hükme göre, </w:t>
            </w:r>
            <w:r w:rsidRPr="00A23740">
              <w:rPr>
                <w:rFonts w:eastAsia="Times New Roman"/>
                <w:szCs w:val="24"/>
                <w:lang w:eastAsia="tr-TR"/>
              </w:rPr>
              <w:t>yönetim veya temsil</w:t>
            </w:r>
            <w:r w:rsidR="00986D17" w:rsidRPr="00A23740">
              <w:rPr>
                <w:rFonts w:eastAsia="Times New Roman"/>
                <w:szCs w:val="24"/>
                <w:lang w:eastAsia="tr-TR"/>
              </w:rPr>
              <w:t>le</w:t>
            </w:r>
            <w:r w:rsidRPr="00A23740">
              <w:rPr>
                <w:rFonts w:eastAsia="Times New Roman"/>
                <w:szCs w:val="24"/>
                <w:lang w:eastAsia="tr-TR"/>
              </w:rPr>
              <w:t xml:space="preserve"> görevlendirilmiş kimseler veya tasfiye memurları, </w:t>
            </w:r>
            <w:r w:rsidR="00986D17" w:rsidRPr="00A23740">
              <w:rPr>
                <w:rFonts w:eastAsia="Times New Roman"/>
                <w:szCs w:val="24"/>
                <w:lang w:eastAsia="tr-TR"/>
              </w:rPr>
              <w:t xml:space="preserve">Taslağın </w:t>
            </w:r>
            <w:r w:rsidRPr="00A23740">
              <w:rPr>
                <w:rFonts w:eastAsia="Times New Roman"/>
                <w:szCs w:val="24"/>
                <w:lang w:eastAsia="tr-TR"/>
              </w:rPr>
              <w:t xml:space="preserve">sermaye şirketleri ve kooperatiflerin iflası hakkındaki </w:t>
            </w:r>
            <w:r w:rsidR="00DE05B8" w:rsidRPr="002E2E40">
              <w:rPr>
                <w:rFonts w:eastAsia="Times New Roman"/>
                <w:szCs w:val="24"/>
                <w:lang w:eastAsia="tr-TR"/>
              </w:rPr>
              <w:t>287</w:t>
            </w:r>
            <w:r w:rsidR="00DE05B8" w:rsidRPr="00A23740">
              <w:rPr>
                <w:rStyle w:val="KonuBalChar"/>
                <w:rFonts w:eastAsia="Calibri"/>
              </w:rPr>
              <w:t xml:space="preserve"> </w:t>
            </w:r>
            <w:r w:rsidR="00DE05B8" w:rsidRPr="002E2E40">
              <w:rPr>
                <w:rFonts w:eastAsia="Times New Roman"/>
                <w:szCs w:val="24"/>
                <w:lang w:eastAsia="tr-TR"/>
              </w:rPr>
              <w:t>nci</w:t>
            </w:r>
            <w:r w:rsidR="00DE05B8" w:rsidRPr="00A23740">
              <w:rPr>
                <w:rFonts w:eastAsia="Times New Roman"/>
                <w:szCs w:val="24"/>
                <w:lang w:eastAsia="tr-TR"/>
              </w:rPr>
              <w:t xml:space="preserve"> </w:t>
            </w:r>
            <w:r w:rsidRPr="00A23740">
              <w:rPr>
                <w:rFonts w:eastAsia="Times New Roman"/>
                <w:szCs w:val="24"/>
                <w:lang w:eastAsia="tr-TR"/>
              </w:rPr>
              <w:t xml:space="preserve">maddesine göre sermaye şirketinin veya kooperatifin mevcudunun borçlarını karşılamadığını bildirerek şirketin veya kooperatifin iflasını istemez </w:t>
            </w:r>
            <w:r w:rsidRPr="002E2E40">
              <w:rPr>
                <w:rFonts w:eastAsia="Times New Roman"/>
                <w:szCs w:val="24"/>
                <w:lang w:eastAsia="tr-TR"/>
              </w:rPr>
              <w:t>ve yönetim ve temsille görevlendirilmiş kimseler</w:t>
            </w:r>
            <w:r w:rsidRPr="00A23740">
              <w:rPr>
                <w:rFonts w:eastAsia="Times New Roman"/>
                <w:szCs w:val="24"/>
                <w:lang w:eastAsia="tr-TR"/>
              </w:rPr>
              <w:t xml:space="preserve"> konkordato </w:t>
            </w:r>
            <w:r w:rsidRPr="002E2E40">
              <w:rPr>
                <w:rFonts w:eastAsia="Times New Roman"/>
                <w:szCs w:val="24"/>
                <w:lang w:eastAsia="tr-TR"/>
              </w:rPr>
              <w:t>da</w:t>
            </w:r>
            <w:r w:rsidRPr="00A23740">
              <w:rPr>
                <w:rFonts w:eastAsia="Times New Roman"/>
                <w:szCs w:val="24"/>
                <w:lang w:eastAsia="tr-TR"/>
              </w:rPr>
              <w:t xml:space="preserve"> talep etmez</w:t>
            </w:r>
            <w:r w:rsidR="00986D17" w:rsidRPr="00A23740">
              <w:rPr>
                <w:rFonts w:eastAsia="Times New Roman"/>
                <w:szCs w:val="24"/>
                <w:lang w:eastAsia="tr-TR"/>
              </w:rPr>
              <w:t>se,</w:t>
            </w:r>
            <w:r w:rsidRPr="00A23740">
              <w:rPr>
                <w:rFonts w:eastAsia="Times New Roman"/>
                <w:szCs w:val="24"/>
                <w:lang w:eastAsia="tr-TR"/>
              </w:rPr>
              <w:t xml:space="preserve"> alacaklılardan birinin şikâyeti üzerine, altı aydan iki yıla kadar hapis ve üç bin güne kadar adli para cezası</w:t>
            </w:r>
            <w:r w:rsidR="0005528D" w:rsidRPr="002E2E40">
              <w:rPr>
                <w:rFonts w:eastAsia="Times New Roman"/>
                <w:szCs w:val="24"/>
                <w:lang w:eastAsia="tr-TR"/>
              </w:rPr>
              <w:t>yla</w:t>
            </w:r>
            <w:r w:rsidRPr="00A23740">
              <w:rPr>
                <w:rFonts w:eastAsia="Times New Roman"/>
                <w:szCs w:val="24"/>
                <w:lang w:eastAsia="tr-TR"/>
              </w:rPr>
              <w:t xml:space="preserve"> cezalandırılır. </w:t>
            </w:r>
            <w:r w:rsidR="00986D17" w:rsidRPr="00A23740">
              <w:rPr>
                <w:rFonts w:eastAsia="Times New Roman"/>
                <w:szCs w:val="24"/>
                <w:lang w:eastAsia="tr-TR"/>
              </w:rPr>
              <w:t xml:space="preserve">Taslağın </w:t>
            </w:r>
            <w:r w:rsidRPr="00A23740">
              <w:rPr>
                <w:szCs w:val="24"/>
              </w:rPr>
              <w:t xml:space="preserve">2004 sayılı Kanunun 179 uncu maddesine karşılık gelen </w:t>
            </w:r>
            <w:r w:rsidR="00DE05B8" w:rsidRPr="00A23740">
              <w:rPr>
                <w:bCs/>
                <w:szCs w:val="24"/>
              </w:rPr>
              <w:t>287 nci</w:t>
            </w:r>
            <w:r w:rsidR="00DE05B8" w:rsidRPr="00A23740">
              <w:rPr>
                <w:szCs w:val="24"/>
              </w:rPr>
              <w:t xml:space="preserve"> </w:t>
            </w:r>
            <w:r w:rsidRPr="00A23740">
              <w:rPr>
                <w:szCs w:val="24"/>
              </w:rPr>
              <w:t>maddesi, sermaye şirketleri ile kooperatiflerin ifl</w:t>
            </w:r>
            <w:r w:rsidR="005A3987" w:rsidRPr="00A23740">
              <w:rPr>
                <w:szCs w:val="24"/>
              </w:rPr>
              <w:t>a</w:t>
            </w:r>
            <w:r w:rsidRPr="00A23740">
              <w:rPr>
                <w:szCs w:val="24"/>
              </w:rPr>
              <w:t>sını düzenlemektedir. Bu maddeye göre sermaye şirketleri ile kooperatiflerin doğrudan doğruya ifl</w:t>
            </w:r>
            <w:r w:rsidR="005A3987" w:rsidRPr="00A23740">
              <w:rPr>
                <w:szCs w:val="24"/>
              </w:rPr>
              <w:t>a</w:t>
            </w:r>
            <w:r w:rsidRPr="00A23740">
              <w:rPr>
                <w:szCs w:val="24"/>
              </w:rPr>
              <w:t>sı hakkında, 6102 sayılı</w:t>
            </w:r>
            <w:r w:rsidR="00B36EAC" w:rsidRPr="00A23740">
              <w:rPr>
                <w:szCs w:val="24"/>
              </w:rPr>
              <w:t xml:space="preserve"> </w:t>
            </w:r>
            <w:r w:rsidR="00B36EAC" w:rsidRPr="002E2E40">
              <w:rPr>
                <w:rFonts w:eastAsia="Times New Roman"/>
                <w:szCs w:val="24"/>
                <w:lang w:eastAsia="tr-TR"/>
              </w:rPr>
              <w:t>Kanunun</w:t>
            </w:r>
            <w:r w:rsidRPr="00A23740">
              <w:rPr>
                <w:szCs w:val="24"/>
              </w:rPr>
              <w:t xml:space="preserve"> 376 ncı maddesinin üçüncü fıkrası ile 377 nci ve 634 üncü maddeleri ve 1163 sayılı Kooperatifler Kanununun 63 üncü maddesi uygulanır. Ancak iflas talebi, şirket ya da kooperatif tasfiye hâlinde ise tasfiye memurları veya önceden takibe gerek kalmaksızın bir alacaklı tarafından da yapılabilir. Anılan hükümlerde, doğrudan doğruya iflas veya konkordato talep edilme şartları ayrıntılı olarak düzenlenmiştir. Bu yükümlülükleri yerine getirmeyen yönetim veya temsil ile görevlendirilmiş kişiler veya tasfiye memurları cezalandırılır.</w:t>
            </w:r>
            <w:r w:rsidRPr="00A23740">
              <w:rPr>
                <w:rStyle w:val="MaviChar"/>
                <w:lang w:val="tr-TR"/>
              </w:rPr>
              <w:t xml:space="preserve"> </w:t>
            </w:r>
            <w:r w:rsidRPr="00A23740">
              <w:rPr>
                <w:szCs w:val="24"/>
              </w:rPr>
              <w:t>Böyle bir müeyyide hükmü, hukukumuza 18/2/1965 tarihli ve 538 sayılı Kanunla girmiştir. Bu tarihe kadar 2004 sayılı Kanunun 179 uncu maddesine riayet edilmemesinin bi</w:t>
            </w:r>
            <w:r w:rsidR="00535D4A" w:rsidRPr="00A23740">
              <w:rPr>
                <w:szCs w:val="24"/>
              </w:rPr>
              <w:t>r müeyyidesi bulunmamaktaydı. Hâ</w:t>
            </w:r>
            <w:r w:rsidRPr="00A23740">
              <w:rPr>
                <w:szCs w:val="24"/>
              </w:rPr>
              <w:t>lbuki bir takipsiz iflas yolu olarak düzenlenmiş bu hüküm, ekonomik ve ticari hayatın aktörleri olan şirketlerin sağlıklı, yani yeterli bir sermaye yapısıyla ticari hayatta var olmalarını,</w:t>
            </w:r>
            <w:r w:rsidR="00535D4A" w:rsidRPr="00A23740">
              <w:rPr>
                <w:szCs w:val="24"/>
              </w:rPr>
              <w:t xml:space="preserve"> aksi hâ</w:t>
            </w:r>
            <w:r w:rsidRPr="00A23740">
              <w:rPr>
                <w:szCs w:val="24"/>
              </w:rPr>
              <w:t xml:space="preserve">lde ticari hayattan ayrılmalarını amaçlamaktadır. Zira şirketlerin yeterli sermaye yapısı olmadan üçüncü kişilerle sözleşme yapmaları hâlinde, yükümlülüklerini yerine getirememesi, bu sözleşmenin diğer tarafının da ekonomik olarak </w:t>
            </w:r>
            <w:r w:rsidRPr="002E2E40">
              <w:rPr>
                <w:rFonts w:eastAsia="Times New Roman"/>
                <w:szCs w:val="24"/>
                <w:lang w:eastAsia="tr-TR"/>
              </w:rPr>
              <w:t>yıkımına</w:t>
            </w:r>
            <w:r w:rsidRPr="00A23740">
              <w:rPr>
                <w:szCs w:val="24"/>
              </w:rPr>
              <w:t xml:space="preserve"> sebep olabilmektedir. Söz konusu olumsuz etkinin oluşmasının önlenmesi için</w:t>
            </w:r>
            <w:r w:rsidR="00986D17" w:rsidRPr="00A23740">
              <w:rPr>
                <w:szCs w:val="24"/>
              </w:rPr>
              <w:t>,</w:t>
            </w:r>
            <w:r w:rsidRPr="00A23740">
              <w:rPr>
                <w:szCs w:val="24"/>
              </w:rPr>
              <w:t xml:space="preserve"> ticari sistemde bulunmaması gereken ve sınırlı sorumluluk ilkesini haiz sermaye şirketlerinin de sistemden elenmesi gerekmektedir. Bunun için de şirketlerin ekonomik yapısını en iyi bildiği düşünülen ve maddede sayılan kişilerin, bu şirketlerin iflasını istemeleri gerektiği kabul edilmektedir. Ancak bu hükmün </w:t>
            </w:r>
            <w:r w:rsidRPr="002E2E40">
              <w:rPr>
                <w:rFonts w:eastAsia="Times New Roman"/>
                <w:szCs w:val="24"/>
                <w:lang w:eastAsia="tr-TR"/>
              </w:rPr>
              <w:t>etkinliğinin</w:t>
            </w:r>
            <w:r w:rsidRPr="00A23740">
              <w:rPr>
                <w:rStyle w:val="YELChar"/>
              </w:rPr>
              <w:t xml:space="preserve"> </w:t>
            </w:r>
            <w:r w:rsidRPr="002E2E40">
              <w:rPr>
                <w:rFonts w:eastAsia="Times New Roman"/>
                <w:szCs w:val="24"/>
                <w:lang w:eastAsia="tr-TR"/>
              </w:rPr>
              <w:t>artırılması</w:t>
            </w:r>
            <w:r w:rsidRPr="00A23740">
              <w:rPr>
                <w:rStyle w:val="YELChar"/>
              </w:rPr>
              <w:t xml:space="preserve"> </w:t>
            </w:r>
            <w:r w:rsidRPr="00A23740">
              <w:rPr>
                <w:szCs w:val="24"/>
              </w:rPr>
              <w:t>için 1965 yılında cezai bir müeyyideyle desteklenmesi gerektiği tespit edilerek, anılan cezai müeyyide kanuna dercedilmiştir. Bu nedenlerle, hükme Taslakta de yer verilmektedir. Görüldüğü gibi yeni hükümde esas yönden önemli bir değişiklik olmamaktadır</w:t>
            </w:r>
            <w:r w:rsidRPr="00A23740">
              <w:rPr>
                <w:rFonts w:eastAsia="Times New Roman"/>
                <w:szCs w:val="24"/>
                <w:lang w:eastAsia="tr-TR"/>
              </w:rPr>
              <w:t>.</w:t>
            </w:r>
            <w:r w:rsidRPr="00A23740">
              <w:rPr>
                <w:szCs w:val="24"/>
              </w:rPr>
              <w:t xml:space="preserve"> Ayrıca 2004 sayılı Kanundan farklı olarak konkordato talep etme yükümlülüğü ile tereddütlerin giderilmesi amacıyla kooperatifler de metne eklenmektedir. </w:t>
            </w:r>
            <w:r w:rsidRPr="00A23740">
              <w:rPr>
                <w:rFonts w:eastAsia="Arial Unicode MS"/>
                <w:iCs/>
                <w:szCs w:val="24"/>
                <w:lang w:eastAsia="tr-TR"/>
              </w:rPr>
              <w:t>2004 sayılı Kanundan farklı olarak</w:t>
            </w:r>
            <w:r w:rsidR="00876547" w:rsidRPr="00A23740">
              <w:rPr>
                <w:rFonts w:eastAsia="Arial Unicode MS"/>
                <w:iCs/>
                <w:szCs w:val="24"/>
                <w:lang w:eastAsia="tr-TR"/>
              </w:rPr>
              <w:t>,</w:t>
            </w:r>
            <w:r w:rsidRPr="00A23740">
              <w:rPr>
                <w:rFonts w:eastAsia="Arial Unicode MS"/>
                <w:iCs/>
                <w:szCs w:val="24"/>
                <w:lang w:eastAsia="tr-TR"/>
              </w:rPr>
              <w:t xml:space="preserve"> caydırıcılığın sağlanabilmesi için hapis cezasının alt ve üst sınırı artırılmakta ve hükme adli para cezası da eklenmektedir.</w:t>
            </w:r>
          </w:p>
          <w:p w:rsidR="000C3326" w:rsidRPr="00A23740" w:rsidRDefault="000C3326" w:rsidP="000C3326">
            <w:pPr>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x-none"/>
              </w:rPr>
            </w:pPr>
            <w:r w:rsidRPr="00A23740">
              <w:rPr>
                <w:rFonts w:eastAsia="Times New Roman"/>
                <w:b/>
                <w:szCs w:val="24"/>
                <w:lang w:eastAsia="tr-TR"/>
              </w:rPr>
              <w:t xml:space="preserve">İflas ve konkordato işlerinde </w:t>
            </w:r>
            <w:r w:rsidRPr="00A23740">
              <w:rPr>
                <w:rFonts w:eastAsia="Times New Roman"/>
                <w:b/>
                <w:strike/>
                <w:color w:val="FF0000"/>
                <w:szCs w:val="24"/>
                <w:lang w:eastAsia="x-none"/>
              </w:rPr>
              <w:t>hususi</w:t>
            </w:r>
            <w:r w:rsidRPr="00A23740">
              <w:rPr>
                <w:rFonts w:eastAsia="Times New Roman"/>
                <w:b/>
                <w:szCs w:val="24"/>
                <w:lang w:eastAsia="tr-TR"/>
              </w:rPr>
              <w:t xml:space="preserve"> menfaat temin </w:t>
            </w:r>
            <w:r w:rsidRPr="00A23740">
              <w:rPr>
                <w:rFonts w:eastAsia="Times New Roman"/>
                <w:b/>
                <w:strike/>
                <w:color w:val="FF0000"/>
                <w:szCs w:val="24"/>
                <w:lang w:eastAsia="x-none"/>
              </w:rPr>
              <w:t>edenlerin cezası:</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333</w:t>
            </w:r>
            <w:r w:rsidRPr="00A23740">
              <w:rPr>
                <w:rFonts w:eastAsia="Times New Roman"/>
                <w:b/>
                <w:szCs w:val="24"/>
                <w:lang w:eastAsia="tr-TR"/>
              </w:rPr>
              <w:t xml:space="preserve"> – </w:t>
            </w:r>
            <w:r w:rsidRPr="00AE183E">
              <w:rPr>
                <w:rStyle w:val="KIRMIZIChar"/>
                <w:rFonts w:eastAsia="Calibri"/>
              </w:rPr>
              <w:t>(1)</w:t>
            </w:r>
            <w:r w:rsidRPr="00A23740">
              <w:rPr>
                <w:rFonts w:eastAsia="Times New Roman"/>
                <w:b/>
                <w:szCs w:val="24"/>
                <w:lang w:eastAsia="tr-TR"/>
              </w:rPr>
              <w:t xml:space="preserve"> </w:t>
            </w:r>
            <w:r w:rsidRPr="00A23740">
              <w:rPr>
                <w:rFonts w:eastAsia="Times New Roman"/>
                <w:b/>
                <w:strike/>
                <w:color w:val="FF0000"/>
                <w:szCs w:val="24"/>
                <w:lang w:eastAsia="x-none"/>
              </w:rPr>
              <w:t>(Değişik: 31/5/2005-5358/3 md.) Her kim</w:t>
            </w:r>
            <w:r w:rsidRPr="00A23740">
              <w:rPr>
                <w:rFonts w:eastAsia="Times New Roman"/>
                <w:szCs w:val="24"/>
                <w:lang w:eastAsia="x-none"/>
              </w:rPr>
              <w:t xml:space="preserve"> iflas</w:t>
            </w:r>
            <w:r w:rsidRPr="00A23740">
              <w:rPr>
                <w:rFonts w:eastAsia="Times New Roman"/>
                <w:b/>
                <w:color w:val="FF0000"/>
                <w:szCs w:val="24"/>
                <w:lang w:eastAsia="x-none"/>
              </w:rPr>
              <w:t xml:space="preserve"> </w:t>
            </w:r>
            <w:r w:rsidRPr="00A23740">
              <w:rPr>
                <w:rFonts w:eastAsia="Times New Roman"/>
                <w:b/>
                <w:strike/>
                <w:color w:val="FF0000"/>
                <w:szCs w:val="24"/>
                <w:lang w:eastAsia="x-none"/>
              </w:rPr>
              <w:t>bürosu veya idaresinin yahut</w:t>
            </w:r>
            <w:r w:rsidRPr="00A23740">
              <w:rPr>
                <w:rFonts w:eastAsia="Times New Roman"/>
                <w:szCs w:val="24"/>
                <w:lang w:eastAsia="x-none"/>
              </w:rPr>
              <w:t xml:space="preserve"> bir alacaklının veya </w:t>
            </w:r>
            <w:r w:rsidRPr="00A23740">
              <w:rPr>
                <w:rFonts w:eastAsia="Times New Roman"/>
                <w:b/>
                <w:strike/>
                <w:color w:val="FF0000"/>
                <w:szCs w:val="24"/>
                <w:lang w:eastAsia="x-none"/>
              </w:rPr>
              <w:t>alacaklılar toplanmasındaki mümessilinin reyini yahut konkordatoya muvafakatini kazanmak için ona hususi bir menfaat temin veya vaat ederse altı aydan iki seneye</w:t>
            </w:r>
            <w:r w:rsidRPr="00A23740">
              <w:rPr>
                <w:rFonts w:eastAsia="Times New Roman"/>
                <w:szCs w:val="24"/>
                <w:lang w:eastAsia="x-none"/>
              </w:rPr>
              <w:t xml:space="preserve"> kadar hapis cezası ile cezalandırılır.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strike/>
                <w:color w:val="FF0000"/>
                <w:szCs w:val="24"/>
                <w:lang w:eastAsia="x-none"/>
              </w:rPr>
            </w:pPr>
            <w:r w:rsidRPr="00AE183E">
              <w:rPr>
                <w:rStyle w:val="KIRMIZIChar"/>
                <w:rFonts w:eastAsia="Calibri"/>
              </w:rPr>
              <w:t>(2)</w:t>
            </w:r>
            <w:r w:rsidRPr="00A23740">
              <w:rPr>
                <w:rFonts w:eastAsia="Times New Roman"/>
                <w:b/>
                <w:color w:val="FF0000"/>
                <w:szCs w:val="24"/>
                <w:lang w:eastAsia="x-none"/>
              </w:rPr>
              <w:t xml:space="preserve"> </w:t>
            </w:r>
            <w:r w:rsidRPr="00A23740">
              <w:rPr>
                <w:rFonts w:eastAsia="Times New Roman"/>
                <w:szCs w:val="24"/>
                <w:lang w:eastAsia="x-none"/>
              </w:rPr>
              <w:t xml:space="preserve">Menfaat </w:t>
            </w:r>
            <w:r w:rsidRPr="00A23740">
              <w:rPr>
                <w:rFonts w:eastAsia="Times New Roman"/>
                <w:b/>
                <w:strike/>
                <w:color w:val="FF0000"/>
                <w:szCs w:val="24"/>
                <w:lang w:eastAsia="x-none"/>
              </w:rPr>
              <w:t>temin eden</w:t>
            </w:r>
            <w:r w:rsidRPr="00A23740">
              <w:rPr>
                <w:rFonts w:eastAsia="Times New Roman"/>
                <w:szCs w:val="24"/>
                <w:lang w:eastAsia="x-none"/>
              </w:rPr>
              <w:t xml:space="preserve"> alacaklı </w:t>
            </w:r>
            <w:r w:rsidRPr="00A23740">
              <w:rPr>
                <w:rFonts w:eastAsia="Times New Roman"/>
                <w:b/>
                <w:strike/>
                <w:color w:val="FF0000"/>
                <w:szCs w:val="24"/>
                <w:lang w:eastAsia="x-none"/>
              </w:rPr>
              <w:t>yahut mümessili de aynı ceza ile</w:t>
            </w:r>
            <w:r w:rsidRPr="00A23740">
              <w:rPr>
                <w:rFonts w:eastAsia="Times New Roman"/>
                <w:szCs w:val="24"/>
                <w:lang w:eastAsia="x-none"/>
              </w:rPr>
              <w:t xml:space="preserve"> cezalandırılır.</w:t>
            </w: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szCs w:val="24"/>
                <w:lang w:eastAsia="tr-TR"/>
              </w:rPr>
            </w:pPr>
            <w:r w:rsidRPr="00A23740">
              <w:rPr>
                <w:rFonts w:eastAsia="Times New Roman"/>
                <w:b/>
                <w:strike/>
                <w:color w:val="FF0000"/>
                <w:szCs w:val="24"/>
                <w:lang w:eastAsia="x-none"/>
              </w:rPr>
              <w:t>(3) Suçun iflas bürosu veya idaresi üyesi tarafından işlenmesi halinde, ceza yarı oranında artırılır.</w:t>
            </w: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rPr>
                <w:rFonts w:eastAsia="Times New Roman"/>
                <w:b/>
                <w:bCs/>
                <w:color w:val="0000FF"/>
                <w:szCs w:val="24"/>
                <w:lang w:eastAsia="x-none"/>
              </w:rPr>
            </w:pPr>
            <w:r w:rsidRPr="00A23740">
              <w:rPr>
                <w:rFonts w:eastAsia="Times New Roman"/>
                <w:b/>
                <w:szCs w:val="24"/>
                <w:lang w:eastAsia="tr-TR"/>
              </w:rPr>
              <w:t xml:space="preserve">İflas ve konkordato işlerinde menfaat temin </w:t>
            </w:r>
            <w:r w:rsidRPr="00A23740">
              <w:rPr>
                <w:rFonts w:eastAsia="Times New Roman"/>
                <w:b/>
                <w:bCs/>
                <w:color w:val="0000FF"/>
                <w:szCs w:val="24"/>
                <w:lang w:eastAsia="x-none"/>
              </w:rPr>
              <w:t>etmek</w:t>
            </w:r>
          </w:p>
          <w:p w:rsidR="00A043AD" w:rsidRPr="00A23740" w:rsidRDefault="00A043AD" w:rsidP="00750F08">
            <w:pPr>
              <w:rPr>
                <w:rFonts w:eastAsia="Times New Roman"/>
                <w:bCs/>
                <w:color w:val="0000FF"/>
                <w:szCs w:val="24"/>
                <w:lang w:eastAsia="x-none"/>
              </w:rPr>
            </w:pPr>
            <w:r w:rsidRPr="00A23740">
              <w:rPr>
                <w:rFonts w:eastAsia="Times New Roman"/>
                <w:b/>
                <w:bCs/>
                <w:color w:val="0000FF"/>
                <w:szCs w:val="24"/>
                <w:lang w:eastAsia="x-none"/>
              </w:rPr>
              <w:t>MADDE 527- (1)</w:t>
            </w:r>
            <w:r w:rsidRPr="00A23740">
              <w:rPr>
                <w:rFonts w:eastAsia="Times New Roman"/>
                <w:szCs w:val="24"/>
                <w:lang w:eastAsia="x-none"/>
              </w:rPr>
              <w:t xml:space="preserve"> İflas</w:t>
            </w:r>
            <w:r w:rsidRPr="00A23740">
              <w:rPr>
                <w:rFonts w:eastAsia="Times New Roman"/>
                <w:b/>
                <w:bCs/>
                <w:color w:val="0000FF"/>
                <w:szCs w:val="24"/>
                <w:lang w:eastAsia="x-none"/>
              </w:rPr>
              <w:t>ta veya konkordatoda</w:t>
            </w:r>
            <w:r w:rsidRPr="00A23740">
              <w:rPr>
                <w:rFonts w:eastAsia="Times New Roman"/>
                <w:szCs w:val="24"/>
                <w:lang w:eastAsia="x-none"/>
              </w:rPr>
              <w:t xml:space="preserve"> bir alacaklının veya</w:t>
            </w:r>
            <w:r w:rsidRPr="00A23740">
              <w:rPr>
                <w:rFonts w:eastAsia="Times New Roman"/>
                <w:b/>
                <w:bCs/>
                <w:color w:val="0000FF"/>
                <w:szCs w:val="24"/>
                <w:lang w:eastAsia="x-none"/>
              </w:rPr>
              <w:t xml:space="preserve"> temsilcisinin oyunu almak amacıyla ona veya göstereceği başka bir kişiye doğrudan veya aracılar vasıtasıyla </w:t>
            </w:r>
            <w:r w:rsidRPr="00A23740">
              <w:rPr>
                <w:rFonts w:eastAsia="Times New Roman"/>
                <w:bCs/>
                <w:szCs w:val="24"/>
                <w:lang w:eastAsia="x-none"/>
              </w:rPr>
              <w:t xml:space="preserve">menfaat </w:t>
            </w:r>
            <w:r w:rsidRPr="00A23740">
              <w:rPr>
                <w:rFonts w:eastAsia="Times New Roman"/>
                <w:b/>
                <w:bCs/>
                <w:color w:val="0000FF"/>
                <w:szCs w:val="24"/>
                <w:lang w:eastAsia="x-none"/>
              </w:rPr>
              <w:t>sağlayan kişi, fiil daha ağır cezayı gerektiren başka bir suç oluşturmadığı takdirde, alacaklının şikâyeti üzerine bir yıldan dört yıla</w:t>
            </w:r>
            <w:r w:rsidRPr="00A23740">
              <w:rPr>
                <w:rFonts w:eastAsia="Times New Roman"/>
                <w:szCs w:val="24"/>
                <w:lang w:eastAsia="x-none"/>
              </w:rPr>
              <w:t xml:space="preserve"> kadar hapis </w:t>
            </w:r>
            <w:r w:rsidRPr="00A23740">
              <w:rPr>
                <w:rFonts w:eastAsia="Times New Roman"/>
                <w:b/>
                <w:bCs/>
                <w:color w:val="0000FF"/>
                <w:szCs w:val="24"/>
                <w:lang w:eastAsia="x-none"/>
              </w:rPr>
              <w:t xml:space="preserve">ve üç bin güne kadar </w:t>
            </w:r>
            <w:r w:rsidRPr="002E2E40">
              <w:rPr>
                <w:rStyle w:val="YELChar"/>
                <w:color w:val="0000FF"/>
              </w:rPr>
              <w:t>adli</w:t>
            </w:r>
            <w:r w:rsidRPr="00A23740">
              <w:rPr>
                <w:rFonts w:eastAsia="Times New Roman"/>
                <w:b/>
                <w:bCs/>
                <w:color w:val="0000FF"/>
                <w:szCs w:val="24"/>
                <w:lang w:eastAsia="x-none"/>
              </w:rPr>
              <w:t xml:space="preserve"> para </w:t>
            </w:r>
            <w:r w:rsidRPr="00A23740">
              <w:rPr>
                <w:rFonts w:eastAsia="Times New Roman"/>
                <w:bCs/>
                <w:szCs w:val="24"/>
                <w:lang w:eastAsia="x-none"/>
              </w:rPr>
              <w:t>cezası</w:t>
            </w:r>
            <w:r w:rsidR="002F55D4" w:rsidRPr="002E2E40">
              <w:rPr>
                <w:rFonts w:eastAsia="Times New Roman"/>
                <w:b/>
                <w:bCs/>
                <w:color w:val="0000FF"/>
                <w:szCs w:val="24"/>
                <w:lang w:eastAsia="x-none"/>
              </w:rPr>
              <w:t>yla</w:t>
            </w:r>
            <w:r w:rsidRPr="00A23740">
              <w:rPr>
                <w:rFonts w:eastAsia="Times New Roman"/>
                <w:bCs/>
                <w:szCs w:val="24"/>
                <w:lang w:eastAsia="x-none"/>
              </w:rPr>
              <w:t xml:space="preserve"> cezalandırılır.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rPr>
                <w:rFonts w:eastAsia="Times New Roman"/>
                <w:szCs w:val="24"/>
                <w:lang w:eastAsia="x-none"/>
              </w:rPr>
            </w:pPr>
            <w:r w:rsidRPr="00A23740">
              <w:rPr>
                <w:rFonts w:eastAsia="Times New Roman"/>
                <w:b/>
                <w:bCs/>
                <w:color w:val="0000FF"/>
                <w:szCs w:val="24"/>
                <w:lang w:eastAsia="x-none"/>
              </w:rPr>
              <w:t xml:space="preserve">(2) İflasta veya konkordatoda oyunu belli bir yönde kullanması amacıyla doğrudan veya aracılar vasıtasıyla kendisine ya da göstereceği başka </w:t>
            </w:r>
            <w:r w:rsidRPr="002E2E40">
              <w:rPr>
                <w:rStyle w:val="YELChar"/>
                <w:color w:val="0000FF"/>
              </w:rPr>
              <w:t>bir</w:t>
            </w:r>
            <w:r w:rsidRPr="00A23740">
              <w:rPr>
                <w:rFonts w:eastAsia="Times New Roman"/>
                <w:b/>
                <w:bCs/>
                <w:color w:val="0000FF"/>
                <w:szCs w:val="24"/>
                <w:lang w:eastAsia="x-none"/>
              </w:rPr>
              <w:t xml:space="preserve"> kişiye</w:t>
            </w:r>
            <w:r w:rsidRPr="00A23740">
              <w:rPr>
                <w:rFonts w:eastAsia="Times New Roman"/>
                <w:b/>
                <w:bCs/>
                <w:color w:val="FF33CC"/>
                <w:szCs w:val="24"/>
                <w:lang w:eastAsia="x-none"/>
              </w:rPr>
              <w:t xml:space="preserve"> </w:t>
            </w:r>
            <w:r w:rsidRPr="00A23740">
              <w:rPr>
                <w:rFonts w:eastAsia="Times New Roman"/>
                <w:szCs w:val="24"/>
                <w:lang w:eastAsia="x-none"/>
              </w:rPr>
              <w:t xml:space="preserve">menfaat </w:t>
            </w:r>
            <w:r w:rsidRPr="00A23740">
              <w:rPr>
                <w:rFonts w:eastAsia="Times New Roman"/>
                <w:b/>
                <w:bCs/>
                <w:color w:val="0000FF"/>
                <w:szCs w:val="24"/>
                <w:lang w:eastAsia="x-none"/>
              </w:rPr>
              <w:t>temin</w:t>
            </w:r>
            <w:r w:rsidRPr="00A23740">
              <w:rPr>
                <w:b/>
                <w:color w:val="00CC00"/>
                <w:szCs w:val="24"/>
              </w:rPr>
              <w:t xml:space="preserve"> </w:t>
            </w:r>
            <w:r w:rsidRPr="00A23740">
              <w:rPr>
                <w:rFonts w:eastAsia="Times New Roman"/>
                <w:b/>
                <w:bCs/>
                <w:color w:val="0000FF"/>
                <w:szCs w:val="24"/>
                <w:lang w:eastAsia="x-none"/>
              </w:rPr>
              <w:t>eden</w:t>
            </w:r>
            <w:r w:rsidRPr="00A23740">
              <w:rPr>
                <w:rFonts w:eastAsia="Times New Roman"/>
                <w:szCs w:val="24"/>
                <w:lang w:eastAsia="x-none"/>
              </w:rPr>
              <w:t xml:space="preserve"> alacaklı </w:t>
            </w:r>
            <w:r w:rsidRPr="00A23740">
              <w:rPr>
                <w:rFonts w:eastAsia="Times New Roman"/>
                <w:b/>
                <w:bCs/>
                <w:color w:val="0000FF"/>
                <w:szCs w:val="24"/>
                <w:lang w:eastAsia="x-none"/>
              </w:rPr>
              <w:t>veya temsilcisi de alacaklının şikâyeti üzerine, birinci fıkraya göre</w:t>
            </w:r>
            <w:r w:rsidRPr="00A23740">
              <w:rPr>
                <w:rFonts w:eastAsia="Times New Roman"/>
                <w:b/>
                <w:bCs/>
                <w:color w:val="FF33CC"/>
                <w:szCs w:val="24"/>
                <w:lang w:eastAsia="x-none"/>
              </w:rPr>
              <w:t xml:space="preserve"> </w:t>
            </w:r>
            <w:r w:rsidRPr="00A23740">
              <w:rPr>
                <w:rFonts w:eastAsia="Times New Roman"/>
                <w:szCs w:val="24"/>
                <w:lang w:eastAsia="x-none"/>
              </w:rPr>
              <w:t>cezalandırılır.</w:t>
            </w:r>
          </w:p>
          <w:p w:rsidR="00A043AD" w:rsidRPr="00A23740" w:rsidRDefault="00A043AD" w:rsidP="00750F08">
            <w:pPr>
              <w:rPr>
                <w:rFonts w:eastAsia="Times New Roman"/>
                <w:szCs w:val="24"/>
                <w:lang w:eastAsia="x-none"/>
              </w:rPr>
            </w:pPr>
          </w:p>
          <w:p w:rsidR="00A043AD" w:rsidRPr="00A23740" w:rsidRDefault="00A043AD" w:rsidP="00AE5B12">
            <w:pPr>
              <w:rPr>
                <w:rFonts w:eastAsia="Times New Roman"/>
                <w:b/>
                <w:bCs/>
                <w:strike/>
                <w:color w:val="FF0000"/>
                <w:szCs w:val="24"/>
                <w:lang w:val="x-none" w:eastAsia="x-none"/>
              </w:rPr>
            </w:pPr>
            <w:r w:rsidRPr="00A23740">
              <w:rPr>
                <w:rFonts w:eastAsia="Times New Roman"/>
                <w:b/>
                <w:bCs/>
                <w:color w:val="0000FF"/>
                <w:szCs w:val="24"/>
                <w:lang w:eastAsia="x-none"/>
              </w:rPr>
              <w:t>(3) Menfaat sağlama konusunda anlaşmaya varılması h</w:t>
            </w:r>
            <w:r w:rsidR="00A93855" w:rsidRPr="00A23740">
              <w:rPr>
                <w:rFonts w:eastAsia="Times New Roman"/>
                <w:b/>
                <w:bCs/>
                <w:color w:val="0000FF"/>
                <w:szCs w:val="24"/>
                <w:lang w:eastAsia="x-none"/>
              </w:rPr>
              <w:t>â</w:t>
            </w:r>
            <w:r w:rsidRPr="00A23740">
              <w:rPr>
                <w:rFonts w:eastAsia="Times New Roman"/>
                <w:b/>
                <w:bCs/>
                <w:color w:val="0000FF"/>
                <w:szCs w:val="24"/>
                <w:lang w:eastAsia="x-none"/>
              </w:rPr>
              <w:t>linde suç tamamlanmış gibi cezaya hükmolunur.</w:t>
            </w:r>
          </w:p>
          <w:p w:rsidR="00A043AD" w:rsidRPr="00A23740" w:rsidRDefault="00A043AD" w:rsidP="00AE183E">
            <w:pPr>
              <w:pStyle w:val="KIRMIZI"/>
              <w:rPr>
                <w:b w:val="0"/>
                <w:bCs w:val="0"/>
                <w:color w:val="0000FF"/>
              </w:rPr>
            </w:pP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s>
              <w:ind w:firstLine="851"/>
              <w:rPr>
                <w:b/>
                <w:szCs w:val="24"/>
                <w:lang w:eastAsia="tr-TR"/>
              </w:rPr>
            </w:pPr>
          </w:p>
          <w:p w:rsidR="00A043AD" w:rsidRPr="00A23740" w:rsidRDefault="00A043AD" w:rsidP="00750F08">
            <w:pPr>
              <w:widowControl w:val="0"/>
              <w:suppressLineNumbers/>
              <w:tabs>
                <w:tab w:val="left" w:pos="540"/>
              </w:tabs>
              <w:ind w:firstLine="851"/>
              <w:rPr>
                <w:szCs w:val="24"/>
                <w:lang w:eastAsia="tr-TR"/>
              </w:rPr>
            </w:pPr>
            <w:r w:rsidRPr="00A23740">
              <w:rPr>
                <w:b/>
                <w:szCs w:val="24"/>
                <w:lang w:eastAsia="tr-TR"/>
              </w:rPr>
              <w:t>MADDE 527-</w:t>
            </w:r>
            <w:r w:rsidRPr="00A23740">
              <w:rPr>
                <w:szCs w:val="24"/>
                <w:lang w:eastAsia="tr-TR"/>
              </w:rPr>
              <w:t xml:space="preserve"> Maddeyle, iflas ve konkordato işlerinde menfaat temin etmek suçu düzenlenmektedir. 2004 sayılı Kanunun 333 üncü maddesine karşılık gelen bu hüküm, dili sadeleştirilmek ve Taslağın iflas ve konkordato ile 5237 sayılı </w:t>
            </w:r>
            <w:r w:rsidR="001F7CA8" w:rsidRPr="002E2E40">
              <w:rPr>
                <w:szCs w:val="24"/>
                <w:lang w:eastAsia="tr-TR"/>
              </w:rPr>
              <w:t>Kanun</w:t>
            </w:r>
            <w:r w:rsidR="001F7CA8" w:rsidRPr="00A23740">
              <w:rPr>
                <w:rFonts w:eastAsia="Times New Roman"/>
                <w:szCs w:val="24"/>
                <w:lang w:eastAsia="tr-TR"/>
              </w:rPr>
              <w:t xml:space="preserve"> </w:t>
            </w:r>
            <w:r w:rsidRPr="00A23740">
              <w:rPr>
                <w:szCs w:val="24"/>
                <w:lang w:eastAsia="tr-TR"/>
              </w:rPr>
              <w:t>hükümleri dikkate alınarak değişiklik yapılmak suretiyle muhafaza edilmektedir.</w:t>
            </w:r>
          </w:p>
          <w:p w:rsidR="00A043AD" w:rsidRPr="00A23740" w:rsidRDefault="00A043AD" w:rsidP="00750F08">
            <w:pPr>
              <w:widowControl w:val="0"/>
              <w:suppressLineNumbers/>
              <w:tabs>
                <w:tab w:val="left" w:pos="540"/>
              </w:tabs>
              <w:ind w:firstLine="851"/>
              <w:rPr>
                <w:szCs w:val="24"/>
                <w:lang w:eastAsia="tr-TR"/>
              </w:rPr>
            </w:pPr>
            <w:r w:rsidRPr="00A23740">
              <w:rPr>
                <w:szCs w:val="24"/>
                <w:lang w:eastAsia="tr-TR"/>
              </w:rPr>
              <w:t xml:space="preserve">Birinci </w:t>
            </w:r>
            <w:r w:rsidRPr="002E2E40">
              <w:rPr>
                <w:szCs w:val="24"/>
                <w:lang w:eastAsia="tr-TR"/>
              </w:rPr>
              <w:t>fıkraya</w:t>
            </w:r>
            <w:r w:rsidRPr="00A23740">
              <w:rPr>
                <w:szCs w:val="24"/>
                <w:lang w:eastAsia="tr-TR"/>
              </w:rPr>
              <w:t xml:space="preserve"> göre, </w:t>
            </w:r>
            <w:r w:rsidRPr="00A23740">
              <w:rPr>
                <w:rFonts w:eastAsia="Times New Roman"/>
                <w:szCs w:val="24"/>
                <w:lang w:eastAsia="x-none"/>
              </w:rPr>
              <w:t>iflas</w:t>
            </w:r>
            <w:r w:rsidRPr="00A23740">
              <w:rPr>
                <w:szCs w:val="24"/>
                <w:lang w:eastAsia="tr-TR"/>
              </w:rPr>
              <w:t xml:space="preserve">ta veya konkordatoda bir alacaklının veya temsilcisinin oyunu almak amacıyla ona veya göstereceği başka bir kişiye doğrudan veya aracılar vasıtasıyla menfaat sağlayan kişi, fiil daha ağır cezayı gerektiren başka bir suç oluşturmadığı takdirde, alacaklının şikâyeti üzerine, bir yıldan dört yıla kadar hapis ve üç bin güne kadar </w:t>
            </w:r>
            <w:r w:rsidRPr="002E2E40">
              <w:rPr>
                <w:szCs w:val="24"/>
                <w:lang w:eastAsia="tr-TR"/>
              </w:rPr>
              <w:t>adli</w:t>
            </w:r>
            <w:r w:rsidRPr="00A23740">
              <w:rPr>
                <w:szCs w:val="24"/>
                <w:lang w:eastAsia="tr-TR"/>
              </w:rPr>
              <w:t xml:space="preserve"> para cezası</w:t>
            </w:r>
            <w:r w:rsidR="00E319A1" w:rsidRPr="002E2E40">
              <w:rPr>
                <w:szCs w:val="24"/>
                <w:lang w:eastAsia="tr-TR"/>
              </w:rPr>
              <w:t>yla</w:t>
            </w:r>
            <w:r w:rsidRPr="00A23740">
              <w:rPr>
                <w:szCs w:val="24"/>
                <w:lang w:eastAsia="tr-TR"/>
              </w:rPr>
              <w:t xml:space="preserve"> cezalandırılır. </w:t>
            </w:r>
            <w:r w:rsidRPr="00A23740">
              <w:rPr>
                <w:rFonts w:eastAsia="Arial Unicode MS"/>
                <w:iCs/>
                <w:szCs w:val="24"/>
                <w:lang w:eastAsia="tr-TR"/>
              </w:rPr>
              <w:t>2004 sayılı Kanundan farklı olarak caydırıcılığın sağlanabilmesi için</w:t>
            </w:r>
            <w:r w:rsidR="00876547" w:rsidRPr="00A23740">
              <w:rPr>
                <w:rFonts w:eastAsia="Arial Unicode MS"/>
                <w:iCs/>
                <w:szCs w:val="24"/>
                <w:lang w:eastAsia="tr-TR"/>
              </w:rPr>
              <w:t>,</w:t>
            </w:r>
            <w:r w:rsidRPr="00A23740">
              <w:rPr>
                <w:rFonts w:eastAsia="Arial Unicode MS"/>
                <w:iCs/>
                <w:szCs w:val="24"/>
                <w:lang w:eastAsia="tr-TR"/>
              </w:rPr>
              <w:t xml:space="preserve"> hapis cezasının alt ve üst sınırı artırılmakta ve hükme adli para cezası da eklenmektedir.</w:t>
            </w:r>
          </w:p>
          <w:p w:rsidR="00A043AD" w:rsidRPr="00A23740" w:rsidRDefault="00A043AD" w:rsidP="00750F08">
            <w:pPr>
              <w:widowControl w:val="0"/>
              <w:suppressLineNumbers/>
              <w:tabs>
                <w:tab w:val="left" w:pos="540"/>
              </w:tabs>
              <w:ind w:firstLine="851"/>
              <w:rPr>
                <w:rFonts w:eastAsia="Times New Roman"/>
                <w:szCs w:val="24"/>
                <w:lang w:eastAsia="x-none"/>
              </w:rPr>
            </w:pPr>
            <w:r w:rsidRPr="00A23740">
              <w:rPr>
                <w:rFonts w:eastAsia="Times New Roman"/>
                <w:szCs w:val="24"/>
                <w:lang w:eastAsia="tr-TR"/>
              </w:rPr>
              <w:t>İkinci fıkrayla, iflas ve konkordatoda menfaat temin etme suçu hükme bağlanmaktadır. Buna göre</w:t>
            </w:r>
            <w:r w:rsidRPr="00A23740">
              <w:rPr>
                <w:rFonts w:eastAsia="Times New Roman"/>
                <w:szCs w:val="24"/>
                <w:lang w:eastAsia="x-none"/>
              </w:rPr>
              <w:t>, iflasta veya konkordatoda oyunu belli bir yönde kullanması amacıyla doğrudan veya aracılar vasıtasıyla kendisine ya da göstereceği bir başka kişiye menfaat temin eden alacaklı veya temsilcisi de alacaklının şikâyeti üzerine, birinci fıkra hükmüne göre cezalandırılır. Benzer bir düzenleme olan 5237 sayılı Kanunun rüşvet suçuna dair 252 nci maddesinde, rüşvet verilmesinin yanında alınması da suç olarak düzenlenmiştir. İflas ve konkordato işlerinde menfaat temin etme suçunda da bu yönde tercihte bulunularak, birinci fıkrada cezalandırılan menfaat sağlayan kişinin yanı sıra, kendisine veyahut göstereceği bir başka kişiye menfaat temin eden alacaklı</w:t>
            </w:r>
            <w:r w:rsidR="00876547" w:rsidRPr="00A23740">
              <w:rPr>
                <w:rFonts w:eastAsia="Times New Roman"/>
                <w:szCs w:val="24"/>
                <w:lang w:eastAsia="x-none"/>
              </w:rPr>
              <w:t>nın</w:t>
            </w:r>
            <w:r w:rsidRPr="00A23740">
              <w:rPr>
                <w:rFonts w:eastAsia="Times New Roman"/>
                <w:szCs w:val="24"/>
                <w:lang w:eastAsia="x-none"/>
              </w:rPr>
              <w:t xml:space="preserve"> ya da temsilcisi</w:t>
            </w:r>
            <w:r w:rsidR="00876547" w:rsidRPr="00A23740">
              <w:rPr>
                <w:rFonts w:eastAsia="Times New Roman"/>
                <w:szCs w:val="24"/>
                <w:lang w:eastAsia="x-none"/>
              </w:rPr>
              <w:t>nin</w:t>
            </w:r>
            <w:r w:rsidRPr="00A23740">
              <w:rPr>
                <w:rFonts w:eastAsia="Times New Roman"/>
                <w:szCs w:val="24"/>
                <w:lang w:eastAsia="x-none"/>
              </w:rPr>
              <w:t xml:space="preserve"> de aynı şekilde cezalandırılacağı kabul edilmektedir.</w:t>
            </w:r>
          </w:p>
          <w:p w:rsidR="00A043AD" w:rsidRPr="00A23740" w:rsidRDefault="00A043AD" w:rsidP="00750F08">
            <w:pPr>
              <w:widowControl w:val="0"/>
              <w:suppressLineNumbers/>
              <w:tabs>
                <w:tab w:val="left" w:pos="540"/>
              </w:tabs>
              <w:ind w:firstLine="851"/>
              <w:rPr>
                <w:rFonts w:eastAsia="Times New Roman"/>
                <w:szCs w:val="24"/>
                <w:lang w:eastAsia="x-none"/>
              </w:rPr>
            </w:pPr>
            <w:r w:rsidRPr="00A23740">
              <w:rPr>
                <w:rFonts w:eastAsia="Times New Roman"/>
                <w:szCs w:val="24"/>
                <w:lang w:eastAsia="x-none"/>
              </w:rPr>
              <w:t xml:space="preserve">Üçüncü fıkrayla, uygulamada oluşabilecek tereddütlerin giderilmesi amacıyla bir yenilik olarak tarafların menfaat sağlama </w:t>
            </w:r>
            <w:r w:rsidR="00535D4A" w:rsidRPr="00A23740">
              <w:rPr>
                <w:rFonts w:eastAsia="Times New Roman"/>
                <w:szCs w:val="24"/>
                <w:lang w:eastAsia="x-none"/>
              </w:rPr>
              <w:t>konusunda anlaşmaya varmaları hâ</w:t>
            </w:r>
            <w:r w:rsidRPr="00A23740">
              <w:rPr>
                <w:rFonts w:eastAsia="Times New Roman"/>
                <w:szCs w:val="24"/>
                <w:lang w:eastAsia="x-none"/>
              </w:rPr>
              <w:t>linde</w:t>
            </w:r>
            <w:r w:rsidR="00876547" w:rsidRPr="00A23740">
              <w:rPr>
                <w:rFonts w:eastAsia="Times New Roman"/>
                <w:szCs w:val="24"/>
                <w:lang w:eastAsia="x-none"/>
              </w:rPr>
              <w:t>,</w:t>
            </w:r>
            <w:r w:rsidRPr="00A23740">
              <w:rPr>
                <w:rFonts w:eastAsia="Times New Roman"/>
                <w:szCs w:val="24"/>
                <w:lang w:eastAsia="x-none"/>
              </w:rPr>
              <w:t xml:space="preserve"> suç tamamlanmış gibi cezaya hükmolunacağı kabul edilmektedir. </w:t>
            </w:r>
          </w:p>
          <w:p w:rsidR="00A043AD" w:rsidRPr="00A23740" w:rsidRDefault="00A043AD" w:rsidP="00750F08">
            <w:pPr>
              <w:widowControl w:val="0"/>
              <w:suppressLineNumbers/>
              <w:tabs>
                <w:tab w:val="left" w:pos="540"/>
              </w:tabs>
              <w:ind w:firstLine="851"/>
              <w:rPr>
                <w:rFonts w:eastAsia="Times New Roman"/>
                <w:szCs w:val="24"/>
                <w:lang w:eastAsia="x-none"/>
              </w:rPr>
            </w:pPr>
            <w:r w:rsidRPr="00A23740">
              <w:rPr>
                <w:rFonts w:eastAsia="Times New Roman"/>
                <w:szCs w:val="24"/>
                <w:lang w:eastAsia="x-none"/>
              </w:rPr>
              <w:t>Öte yandan, 2004 sayılı Kanunun 333 üncü maddesinin birinci fıkrasında yer alan suçun iflas bürosu veya iflas idare</w:t>
            </w:r>
            <w:r w:rsidR="00535D4A" w:rsidRPr="00A23740">
              <w:rPr>
                <w:rFonts w:eastAsia="Times New Roman"/>
                <w:szCs w:val="24"/>
                <w:lang w:eastAsia="x-none"/>
              </w:rPr>
              <w:t>si üyesi tarafından işlenmesi hâ</w:t>
            </w:r>
            <w:r w:rsidRPr="00A23740">
              <w:rPr>
                <w:rFonts w:eastAsia="Times New Roman"/>
                <w:szCs w:val="24"/>
                <w:lang w:eastAsia="x-none"/>
              </w:rPr>
              <w:t>linde</w:t>
            </w:r>
            <w:r w:rsidR="00876547" w:rsidRPr="00A23740">
              <w:rPr>
                <w:rFonts w:eastAsia="Times New Roman"/>
                <w:szCs w:val="24"/>
                <w:lang w:eastAsia="x-none"/>
              </w:rPr>
              <w:t>,</w:t>
            </w:r>
            <w:r w:rsidRPr="00A23740">
              <w:rPr>
                <w:rFonts w:eastAsia="Times New Roman"/>
                <w:szCs w:val="24"/>
                <w:lang w:eastAsia="x-none"/>
              </w:rPr>
              <w:t xml:space="preserve"> cezanın yarı oranında </w:t>
            </w:r>
            <w:r w:rsidR="00535D4A" w:rsidRPr="00A23740">
              <w:rPr>
                <w:rFonts w:eastAsia="Times New Roman"/>
                <w:szCs w:val="24"/>
                <w:lang w:eastAsia="x-none"/>
              </w:rPr>
              <w:t>artırılacağına dair nitelikli hâ</w:t>
            </w:r>
            <w:r w:rsidRPr="00A23740">
              <w:rPr>
                <w:rFonts w:eastAsia="Times New Roman"/>
                <w:szCs w:val="24"/>
                <w:lang w:eastAsia="x-none"/>
              </w:rPr>
              <w:t>li, suçun anılan kişiler tarafından işlenmesi durumunda birinci fıkra uyarınca alt sınırdan uzaklaşılmak suretiyle ceza verilebileceği için maddede muhafaza edilmemektedir.</w:t>
            </w:r>
          </w:p>
          <w:p w:rsidR="00A043AD" w:rsidRPr="00A23740" w:rsidRDefault="00A043AD" w:rsidP="000C3326">
            <w:pPr>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szCs w:val="24"/>
                <w:lang w:eastAsia="tr-TR"/>
              </w:rPr>
              <w:t>Konkordatoda</w:t>
            </w:r>
            <w:r w:rsidRPr="00A23740">
              <w:rPr>
                <w:rFonts w:eastAsia="Times New Roman"/>
                <w:b/>
                <w:szCs w:val="24"/>
                <w:lang w:eastAsia="tr-TR"/>
              </w:rPr>
              <w:t xml:space="preserve"> </w:t>
            </w:r>
            <w:r w:rsidRPr="00A23740">
              <w:rPr>
                <w:rFonts w:eastAsia="Times New Roman"/>
                <w:b/>
                <w:strike/>
                <w:color w:val="FF0000"/>
                <w:szCs w:val="24"/>
                <w:lang w:eastAsia="x-none"/>
              </w:rPr>
              <w:t>veya</w:t>
            </w:r>
            <w:r w:rsidRPr="00A23740">
              <w:rPr>
                <w:rFonts w:eastAsia="Times New Roman"/>
                <w:b/>
                <w:szCs w:val="24"/>
                <w:lang w:eastAsia="tr-TR"/>
              </w:rPr>
              <w:t xml:space="preserve"> </w:t>
            </w:r>
            <w:r w:rsidRPr="00A23740">
              <w:rPr>
                <w:rFonts w:eastAsia="Times New Roman"/>
                <w:b/>
                <w:strike/>
                <w:color w:val="FF0000"/>
                <w:szCs w:val="24"/>
                <w:lang w:eastAsia="x-none"/>
              </w:rPr>
              <w:t>sermaye şirketleri ile kooperatiflerin uzlaşma yoluyla yeniden yapılandırılmasında yetkili kimseleri hataya düşüren ya da konkordato veya uzlaşma yoluyla</w:t>
            </w:r>
            <w:r w:rsidRPr="00A23740">
              <w:rPr>
                <w:rFonts w:eastAsia="Times New Roman"/>
                <w:b/>
                <w:szCs w:val="24"/>
                <w:lang w:eastAsia="tr-TR"/>
              </w:rPr>
              <w:t xml:space="preserve"> </w:t>
            </w:r>
            <w:r w:rsidRPr="00A23740">
              <w:rPr>
                <w:rFonts w:eastAsia="Times New Roman"/>
                <w:b/>
                <w:strike/>
                <w:color w:val="FF0000"/>
                <w:szCs w:val="24"/>
                <w:lang w:eastAsia="x-none"/>
              </w:rPr>
              <w:t>yeniden yapılandırma koşullarına</w:t>
            </w:r>
            <w:r w:rsidRPr="00A23740">
              <w:rPr>
                <w:rFonts w:eastAsia="Times New Roman"/>
                <w:szCs w:val="24"/>
                <w:lang w:eastAsia="tr-TR"/>
              </w:rPr>
              <w:t xml:space="preserve"> uyma</w:t>
            </w:r>
            <w:r w:rsidRPr="00A23740">
              <w:rPr>
                <w:rFonts w:eastAsia="Times New Roman"/>
                <w:b/>
                <w:strike/>
                <w:color w:val="FF0000"/>
                <w:szCs w:val="24"/>
                <w:lang w:eastAsia="x-none"/>
              </w:rPr>
              <w:t>yan borçlunun cezası:</w:t>
            </w:r>
            <w:r w:rsidRPr="00A23740">
              <w:rPr>
                <w:rFonts w:eastAsia="Times New Roman"/>
                <w:b/>
                <w:szCs w:val="24"/>
                <w:lang w:eastAsia="tr-TR"/>
              </w:rPr>
              <w:t xml:space="preserve"> </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334-</w:t>
            </w:r>
            <w:r w:rsidRPr="00A23740">
              <w:rPr>
                <w:rFonts w:eastAsia="Times New Roman"/>
                <w:b/>
                <w:szCs w:val="24"/>
                <w:lang w:eastAsia="tr-TR"/>
              </w:rPr>
              <w:t xml:space="preserve"> (1) (Değişik: 31/5/2005-5358/5 md.)</w:t>
            </w:r>
            <w:r w:rsidRPr="00A23740">
              <w:rPr>
                <w:rFonts w:eastAsia="Times New Roman"/>
                <w:szCs w:val="24"/>
                <w:lang w:eastAsia="tr-TR"/>
              </w:rPr>
              <w:t xml:space="preserve"> Konkordato mühlet</w:t>
            </w:r>
            <w:r w:rsidRPr="00A23740">
              <w:rPr>
                <w:rFonts w:eastAsia="Times New Roman"/>
                <w:b/>
                <w:strike/>
                <w:color w:val="FF0000"/>
                <w:szCs w:val="24"/>
                <w:lang w:eastAsia="x-none"/>
              </w:rPr>
              <w:t>i</w:t>
            </w:r>
            <w:r w:rsidRPr="00A23740">
              <w:rPr>
                <w:rFonts w:eastAsia="Times New Roman"/>
                <w:szCs w:val="24"/>
                <w:lang w:eastAsia="tr-TR"/>
              </w:rPr>
              <w:t xml:space="preserve"> elde etmek </w:t>
            </w:r>
            <w:r w:rsidRPr="00A23740">
              <w:rPr>
                <w:rFonts w:eastAsia="Times New Roman"/>
                <w:b/>
                <w:strike/>
                <w:color w:val="FF0000"/>
                <w:szCs w:val="24"/>
                <w:lang w:eastAsia="x-none"/>
              </w:rPr>
              <w:t>veya</w:t>
            </w:r>
            <w:r w:rsidRPr="00A23740">
              <w:rPr>
                <w:rFonts w:eastAsia="Times New Roman"/>
                <w:szCs w:val="24"/>
                <w:lang w:eastAsia="tr-TR"/>
              </w:rPr>
              <w:t xml:space="preserve"> konkordato </w:t>
            </w:r>
            <w:r w:rsidRPr="00A23740">
              <w:rPr>
                <w:rFonts w:eastAsia="Times New Roman"/>
                <w:b/>
                <w:bCs/>
                <w:strike/>
                <w:color w:val="FF0000"/>
                <w:szCs w:val="24"/>
                <w:lang w:eastAsia="tr-TR"/>
              </w:rPr>
              <w:t>veya sermaye şirketleri ile kooperatiflerin uzlaşma yoluyla yeniden yapılandırma</w:t>
            </w:r>
            <w:r w:rsidRPr="00A23740">
              <w:rPr>
                <w:rFonts w:eastAsia="Times New Roman"/>
                <w:szCs w:val="24"/>
                <w:lang w:eastAsia="tr-TR"/>
              </w:rPr>
              <w:t xml:space="preserve"> projesini tasdik ettirmek için hileli </w:t>
            </w:r>
            <w:r w:rsidRPr="00A23740">
              <w:rPr>
                <w:rFonts w:eastAsia="Times New Roman"/>
                <w:b/>
                <w:bCs/>
                <w:strike/>
                <w:color w:val="FF0000"/>
                <w:szCs w:val="24"/>
                <w:lang w:eastAsia="tr-TR"/>
              </w:rPr>
              <w:t>tutum ve</w:t>
            </w:r>
            <w:r w:rsidRPr="00A23740">
              <w:rPr>
                <w:rFonts w:eastAsia="Times New Roman"/>
                <w:szCs w:val="24"/>
                <w:lang w:eastAsia="tr-TR"/>
              </w:rPr>
              <w:t xml:space="preserve"> davranışlarıyla malî durumu hakkında alacaklıları, komiseri</w:t>
            </w:r>
            <w:r w:rsidRPr="00A23740">
              <w:rPr>
                <w:rFonts w:eastAsia="Times New Roman"/>
                <w:b/>
                <w:bCs/>
                <w:strike/>
                <w:color w:val="FF0000"/>
                <w:szCs w:val="24"/>
                <w:lang w:eastAsia="tr-TR"/>
              </w:rPr>
              <w:t>,</w:t>
            </w:r>
            <w:r w:rsidRPr="00A23740">
              <w:rPr>
                <w:rFonts w:eastAsia="Times New Roman"/>
                <w:szCs w:val="24"/>
                <w:lang w:eastAsia="tr-TR"/>
              </w:rPr>
              <w:t xml:space="preserve"> </w:t>
            </w:r>
            <w:r w:rsidRPr="00A23740">
              <w:rPr>
                <w:rFonts w:eastAsia="Times New Roman"/>
                <w:b/>
                <w:bCs/>
                <w:strike/>
                <w:color w:val="FF0000"/>
                <w:szCs w:val="24"/>
                <w:lang w:eastAsia="tr-TR"/>
              </w:rPr>
              <w:t>ara dönem denetçisini veya</w:t>
            </w:r>
            <w:r w:rsidRPr="00A23740">
              <w:rPr>
                <w:rFonts w:eastAsia="Times New Roman"/>
                <w:szCs w:val="24"/>
                <w:lang w:eastAsia="tr-TR"/>
              </w:rPr>
              <w:t xml:space="preserve"> </w:t>
            </w:r>
            <w:r w:rsidRPr="00A23740">
              <w:rPr>
                <w:rFonts w:eastAsia="Times New Roman"/>
                <w:b/>
                <w:bCs/>
                <w:strike/>
                <w:color w:val="FF0000"/>
                <w:szCs w:val="24"/>
                <w:lang w:eastAsia="tr-TR"/>
              </w:rPr>
              <w:t>yetkili memuru</w:t>
            </w:r>
            <w:r w:rsidRPr="00A23740">
              <w:rPr>
                <w:rFonts w:eastAsia="Times New Roman"/>
                <w:szCs w:val="24"/>
                <w:lang w:eastAsia="tr-TR"/>
              </w:rPr>
              <w:t xml:space="preserve"> hataya düşür</w:t>
            </w:r>
            <w:r w:rsidRPr="00A23740">
              <w:rPr>
                <w:rFonts w:eastAsia="Times New Roman"/>
                <w:b/>
                <w:strike/>
                <w:color w:val="FF0000"/>
                <w:szCs w:val="24"/>
                <w:lang w:eastAsia="x-none"/>
              </w:rPr>
              <w:t xml:space="preserve">mek </w:t>
            </w:r>
            <w:r w:rsidRPr="00A23740">
              <w:rPr>
                <w:rFonts w:eastAsia="Times New Roman"/>
                <w:b/>
                <w:bCs/>
                <w:strike/>
                <w:color w:val="FF0000"/>
                <w:szCs w:val="24"/>
                <w:lang w:eastAsia="tr-TR"/>
              </w:rPr>
              <w:t xml:space="preserve">veya </w:t>
            </w:r>
            <w:r w:rsidRPr="00A23740">
              <w:rPr>
                <w:rFonts w:eastAsia="Times New Roman"/>
                <w:szCs w:val="24"/>
                <w:lang w:eastAsia="tr-TR"/>
              </w:rPr>
              <w:t xml:space="preserve">konkordato projesine </w:t>
            </w:r>
            <w:r w:rsidRPr="00A23740">
              <w:rPr>
                <w:rFonts w:eastAsia="Times New Roman"/>
                <w:b/>
                <w:bCs/>
                <w:strike/>
                <w:color w:val="FF0000"/>
                <w:szCs w:val="24"/>
                <w:lang w:eastAsia="tr-TR"/>
              </w:rPr>
              <w:t>ya da sermaye şirketleri ve kooperatiflerin uzlaşma yoluyla yeniden yapılandırılması projesine</w:t>
            </w:r>
            <w:r w:rsidRPr="00A23740">
              <w:rPr>
                <w:rFonts w:eastAsia="Times New Roman"/>
                <w:szCs w:val="24"/>
                <w:lang w:eastAsia="tr-TR"/>
              </w:rPr>
              <w:t xml:space="preserve"> uymamak </w:t>
            </w:r>
            <w:r w:rsidRPr="00A23740">
              <w:rPr>
                <w:rFonts w:eastAsia="Times New Roman"/>
                <w:b/>
                <w:strike/>
                <w:color w:val="FF0000"/>
                <w:szCs w:val="24"/>
                <w:lang w:eastAsia="x-none"/>
              </w:rPr>
              <w:t>yoluyla</w:t>
            </w:r>
            <w:r w:rsidRPr="00A23740">
              <w:rPr>
                <w:rFonts w:eastAsia="Times New Roman"/>
                <w:szCs w:val="24"/>
                <w:lang w:eastAsia="tr-TR"/>
              </w:rPr>
              <w:t xml:space="preserve"> kasten zarara sebebiyet veren borçlu, ilgilinin şikâyeti üzerine </w:t>
            </w:r>
            <w:r w:rsidRPr="00A23740">
              <w:rPr>
                <w:rFonts w:eastAsia="Times New Roman"/>
                <w:b/>
                <w:strike/>
                <w:color w:val="FF0000"/>
                <w:szCs w:val="24"/>
                <w:lang w:eastAsia="x-none"/>
              </w:rPr>
              <w:t>altı aydan bir</w:t>
            </w:r>
            <w:r w:rsidRPr="00A23740">
              <w:rPr>
                <w:rFonts w:eastAsia="Times New Roman"/>
                <w:szCs w:val="24"/>
                <w:lang w:eastAsia="tr-TR"/>
              </w:rPr>
              <w:t xml:space="preserve"> yıla kadar hapis cezası ile cezalandırılır.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color w:val="FF0000"/>
                <w:szCs w:val="24"/>
                <w:lang w:eastAsia="tr-TR"/>
              </w:rPr>
            </w:pPr>
          </w:p>
        </w:tc>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Konkordatoda </w:t>
            </w:r>
            <w:r w:rsidRPr="00A23740">
              <w:rPr>
                <w:rFonts w:eastAsia="Times New Roman"/>
                <w:b/>
                <w:bCs/>
                <w:color w:val="0000FF"/>
                <w:szCs w:val="24"/>
                <w:lang w:eastAsia="x-none"/>
              </w:rPr>
              <w:t>yanıltıcı bilgi verme veya projeye</w:t>
            </w:r>
            <w:r w:rsidRPr="00A23740">
              <w:rPr>
                <w:rFonts w:eastAsia="Times New Roman"/>
                <w:szCs w:val="24"/>
                <w:lang w:eastAsia="tr-TR"/>
              </w:rPr>
              <w:t xml:space="preserve"> </w:t>
            </w:r>
            <w:r w:rsidRPr="00A23740">
              <w:rPr>
                <w:rFonts w:eastAsia="Times New Roman"/>
                <w:b/>
                <w:szCs w:val="24"/>
                <w:lang w:eastAsia="tr-TR"/>
              </w:rPr>
              <w:t>uyma</w:t>
            </w:r>
            <w:r w:rsidRPr="00A23740">
              <w:rPr>
                <w:rFonts w:eastAsia="Times New Roman"/>
                <w:b/>
                <w:bCs/>
                <w:color w:val="0000FF"/>
                <w:szCs w:val="24"/>
                <w:lang w:eastAsia="x-none"/>
              </w:rPr>
              <w:t>ma</w:t>
            </w: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 </w:t>
            </w: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MADDE 528- (1)</w:t>
            </w:r>
            <w:r w:rsidRPr="00A23740">
              <w:rPr>
                <w:rFonts w:eastAsia="Times New Roman"/>
                <w:szCs w:val="24"/>
                <w:lang w:eastAsia="tr-TR"/>
              </w:rPr>
              <w:t xml:space="preserve"> Konkordato</w:t>
            </w:r>
            <w:r w:rsidRPr="00A23740">
              <w:rPr>
                <w:rFonts w:eastAsia="Times New Roman"/>
                <w:b/>
                <w:bCs/>
                <w:color w:val="0000FF"/>
                <w:szCs w:val="24"/>
                <w:lang w:eastAsia="x-none"/>
              </w:rPr>
              <w:t>da geçici veya kesin</w:t>
            </w:r>
            <w:r w:rsidRPr="00A23740">
              <w:rPr>
                <w:rFonts w:eastAsia="Times New Roman"/>
                <w:szCs w:val="24"/>
                <w:lang w:eastAsia="tr-TR"/>
              </w:rPr>
              <w:t xml:space="preserve"> mühlet elde etmek veya konkordato projesini tasdik ettirmek için hileli davranışlarıyla alacaklıları, </w:t>
            </w:r>
            <w:r w:rsidRPr="00A23740">
              <w:rPr>
                <w:rFonts w:eastAsia="Times New Roman"/>
                <w:b/>
                <w:bCs/>
                <w:color w:val="0000FF"/>
                <w:szCs w:val="24"/>
                <w:lang w:eastAsia="x-none"/>
              </w:rPr>
              <w:t>konkordato</w:t>
            </w:r>
            <w:r w:rsidRPr="00A23740">
              <w:rPr>
                <w:rFonts w:eastAsia="Times New Roman"/>
                <w:szCs w:val="24"/>
                <w:lang w:eastAsia="tr-TR"/>
              </w:rPr>
              <w:t xml:space="preserve"> komiseri</w:t>
            </w:r>
            <w:r w:rsidRPr="00A23740">
              <w:rPr>
                <w:rFonts w:eastAsia="Times New Roman"/>
                <w:b/>
                <w:bCs/>
                <w:color w:val="0000FF"/>
                <w:szCs w:val="24"/>
                <w:lang w:eastAsia="x-none"/>
              </w:rPr>
              <w:t>ni</w:t>
            </w:r>
            <w:r w:rsidRPr="00A23740">
              <w:rPr>
                <w:rFonts w:eastAsia="Times New Roman"/>
                <w:szCs w:val="24"/>
                <w:lang w:eastAsia="tr-TR"/>
              </w:rPr>
              <w:t xml:space="preserve"> </w:t>
            </w:r>
            <w:r w:rsidRPr="00A23740">
              <w:rPr>
                <w:rFonts w:eastAsia="Times New Roman"/>
                <w:b/>
                <w:bCs/>
                <w:color w:val="0000FF"/>
                <w:szCs w:val="24"/>
                <w:lang w:eastAsia="x-none"/>
              </w:rPr>
              <w:t>veya</w:t>
            </w:r>
            <w:r w:rsidRPr="00A23740">
              <w:rPr>
                <w:rFonts w:eastAsia="Times New Roman"/>
                <w:szCs w:val="24"/>
                <w:lang w:eastAsia="tr-TR"/>
              </w:rPr>
              <w:t xml:space="preserve"> </w:t>
            </w:r>
            <w:r w:rsidRPr="00A23740">
              <w:rPr>
                <w:rFonts w:eastAsia="Times New Roman"/>
                <w:b/>
                <w:bCs/>
                <w:color w:val="0000FF"/>
                <w:szCs w:val="24"/>
                <w:lang w:eastAsia="x-none"/>
              </w:rPr>
              <w:t xml:space="preserve">mahkemeyi </w:t>
            </w:r>
            <w:r w:rsidRPr="002E2E40">
              <w:rPr>
                <w:rStyle w:val="YELChar"/>
                <w:color w:val="0000FF"/>
              </w:rPr>
              <w:t>mali</w:t>
            </w:r>
            <w:r w:rsidRPr="002E2E40">
              <w:rPr>
                <w:rFonts w:eastAsia="Times New Roman"/>
                <w:color w:val="0000FF"/>
                <w:szCs w:val="24"/>
                <w:lang w:eastAsia="tr-TR"/>
              </w:rPr>
              <w:t xml:space="preserve"> </w:t>
            </w:r>
            <w:r w:rsidRPr="002E2E40">
              <w:rPr>
                <w:rStyle w:val="YELChar"/>
                <w:color w:val="0000FF"/>
              </w:rPr>
              <w:t>durumu hakkında</w:t>
            </w:r>
            <w:r w:rsidRPr="002E2E40">
              <w:rPr>
                <w:rFonts w:eastAsia="Times New Roman"/>
                <w:color w:val="0000FF"/>
                <w:szCs w:val="24"/>
                <w:lang w:eastAsia="tr-TR"/>
              </w:rPr>
              <w:t xml:space="preserve"> </w:t>
            </w:r>
            <w:r w:rsidRPr="00A23740">
              <w:rPr>
                <w:rFonts w:eastAsia="Times New Roman"/>
                <w:szCs w:val="24"/>
                <w:lang w:eastAsia="tr-TR"/>
              </w:rPr>
              <w:t>hataya düşür</w:t>
            </w:r>
            <w:r w:rsidRPr="00A23740">
              <w:rPr>
                <w:rFonts w:eastAsia="Times New Roman"/>
                <w:b/>
                <w:bCs/>
                <w:color w:val="0000FF"/>
                <w:szCs w:val="24"/>
                <w:lang w:eastAsia="x-none"/>
              </w:rPr>
              <w:t>en</w:t>
            </w:r>
            <w:r w:rsidRPr="00A23740">
              <w:rPr>
                <w:rFonts w:eastAsia="Times New Roman"/>
                <w:szCs w:val="24"/>
                <w:lang w:eastAsia="tr-TR"/>
              </w:rPr>
              <w:t xml:space="preserve"> borçlu, ilgilinin şikâyeti üzerine </w:t>
            </w:r>
            <w:r w:rsidRPr="00A23740">
              <w:rPr>
                <w:rFonts w:eastAsia="Times New Roman"/>
                <w:b/>
                <w:bCs/>
                <w:color w:val="0000FF"/>
                <w:szCs w:val="24"/>
                <w:lang w:eastAsia="x-none"/>
              </w:rPr>
              <w:t>bir yıldan üç</w:t>
            </w:r>
            <w:r w:rsidRPr="00A23740">
              <w:rPr>
                <w:rFonts w:eastAsia="Times New Roman"/>
                <w:szCs w:val="24"/>
                <w:lang w:eastAsia="tr-TR"/>
              </w:rPr>
              <w:t xml:space="preserve"> yıla kadar hapis </w:t>
            </w:r>
            <w:r w:rsidRPr="00A23740">
              <w:rPr>
                <w:rStyle w:val="MaviChar"/>
              </w:rPr>
              <w:t>ve üç bin güne kadar adli para</w:t>
            </w:r>
            <w:r w:rsidRPr="00A23740">
              <w:rPr>
                <w:rFonts w:eastAsia="Times New Roman"/>
                <w:szCs w:val="24"/>
                <w:lang w:eastAsia="tr-TR"/>
              </w:rPr>
              <w:t xml:space="preserve"> cezası</w:t>
            </w:r>
            <w:r w:rsidR="002F55D4" w:rsidRPr="002E2E40">
              <w:rPr>
                <w:rFonts w:eastAsia="Times New Roman"/>
                <w:b/>
                <w:color w:val="0000FF"/>
                <w:szCs w:val="24"/>
                <w:lang w:eastAsia="tr-TR"/>
              </w:rPr>
              <w:t>yla</w:t>
            </w:r>
            <w:r w:rsidRPr="00A23740">
              <w:rPr>
                <w:rFonts w:eastAsia="Times New Roman"/>
                <w:szCs w:val="24"/>
                <w:lang w:eastAsia="tr-TR"/>
              </w:rPr>
              <w:t xml:space="preserve"> cezalandırılır.</w:t>
            </w:r>
          </w:p>
          <w:p w:rsidR="00A043AD" w:rsidRDefault="00A043AD" w:rsidP="00750F08">
            <w:pPr>
              <w:rPr>
                <w:rFonts w:eastAsia="Times New Roman"/>
                <w:b/>
                <w:bCs/>
                <w:color w:val="0000FF"/>
                <w:szCs w:val="24"/>
                <w:lang w:eastAsia="x-none"/>
              </w:rPr>
            </w:pPr>
          </w:p>
          <w:p w:rsidR="00AE183E" w:rsidRDefault="00AE183E" w:rsidP="00750F08">
            <w:pPr>
              <w:rPr>
                <w:rFonts w:eastAsia="Times New Roman"/>
                <w:b/>
                <w:bCs/>
                <w:color w:val="0000FF"/>
                <w:szCs w:val="24"/>
                <w:lang w:eastAsia="x-none"/>
              </w:rPr>
            </w:pPr>
          </w:p>
          <w:p w:rsidR="000C3326" w:rsidRDefault="000C3326" w:rsidP="00750F08">
            <w:pPr>
              <w:rPr>
                <w:rFonts w:eastAsia="Times New Roman"/>
                <w:b/>
                <w:bCs/>
                <w:color w:val="0000FF"/>
                <w:szCs w:val="24"/>
                <w:lang w:eastAsia="x-none"/>
              </w:rPr>
            </w:pPr>
          </w:p>
          <w:p w:rsidR="00AE183E" w:rsidRPr="00A23740" w:rsidRDefault="00AE183E" w:rsidP="00750F08">
            <w:pPr>
              <w:rPr>
                <w:rFonts w:eastAsia="Times New Roman"/>
                <w:b/>
                <w:bCs/>
                <w:color w:val="0000FF"/>
                <w:szCs w:val="24"/>
                <w:lang w:eastAsia="x-none"/>
              </w:rPr>
            </w:pP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(2) Konkordato projesinin tasdikinden sonra</w:t>
            </w:r>
            <w:r w:rsidR="002F55D4" w:rsidRPr="00A23740">
              <w:rPr>
                <w:rFonts w:eastAsia="Times New Roman"/>
                <w:b/>
                <w:bCs/>
                <w:color w:val="538135"/>
                <w:szCs w:val="24"/>
                <w:lang w:eastAsia="x-none"/>
              </w:rPr>
              <w:t>,</w:t>
            </w:r>
            <w:r w:rsidRPr="00A23740">
              <w:rPr>
                <w:rFonts w:eastAsia="Times New Roman"/>
                <w:b/>
                <w:bCs/>
                <w:color w:val="0000FF"/>
                <w:szCs w:val="24"/>
                <w:lang w:eastAsia="x-none"/>
              </w:rPr>
              <w:t xml:space="preserve"> tayin edilen proje denetçisini hileli davranışlarla gözetim, yönetim ve tasfiye tedbirlerini alma göreviyle ilgili olarak hataya düşüren kimse, ilgilinin şikâyeti üzerine birinci fıkraya göre cezalandırılır.</w:t>
            </w:r>
          </w:p>
          <w:p w:rsidR="00A043AD" w:rsidRPr="00A23740" w:rsidRDefault="00A043AD" w:rsidP="00750F08">
            <w:pPr>
              <w:rPr>
                <w:rFonts w:eastAsia="Times New Roman"/>
                <w:b/>
                <w:bCs/>
                <w:color w:val="0000FF"/>
                <w:szCs w:val="24"/>
                <w:lang w:eastAsia="x-none"/>
              </w:rPr>
            </w:pPr>
          </w:p>
          <w:p w:rsidR="00A043AD" w:rsidRDefault="00A043AD" w:rsidP="00750F08">
            <w:pPr>
              <w:rPr>
                <w:rFonts w:eastAsia="Times New Roman"/>
                <w:b/>
                <w:bCs/>
                <w:color w:val="0000FF"/>
                <w:szCs w:val="24"/>
                <w:lang w:eastAsia="x-none"/>
              </w:rPr>
            </w:pPr>
            <w:r w:rsidRPr="00A23740">
              <w:rPr>
                <w:rFonts w:eastAsia="Times New Roman"/>
                <w:b/>
                <w:bCs/>
                <w:color w:val="0000FF"/>
                <w:szCs w:val="24"/>
                <w:lang w:eastAsia="x-none"/>
              </w:rPr>
              <w:t>(3)</w:t>
            </w:r>
            <w:r w:rsidRPr="00A23740">
              <w:rPr>
                <w:rFonts w:eastAsia="Times New Roman"/>
                <w:szCs w:val="24"/>
                <w:lang w:eastAsia="tr-TR"/>
              </w:rPr>
              <w:t xml:space="preserve"> </w:t>
            </w:r>
            <w:r w:rsidRPr="00A23740">
              <w:rPr>
                <w:rFonts w:eastAsia="Times New Roman"/>
                <w:b/>
                <w:bCs/>
                <w:color w:val="0000FF"/>
                <w:szCs w:val="24"/>
                <w:lang w:eastAsia="x-none"/>
              </w:rPr>
              <w:t>Tasdik edilen</w:t>
            </w:r>
            <w:r w:rsidRPr="00A23740">
              <w:rPr>
                <w:rFonts w:eastAsia="Times New Roman"/>
                <w:szCs w:val="24"/>
                <w:lang w:eastAsia="tr-TR"/>
              </w:rPr>
              <w:t xml:space="preserve"> konkordato projesine </w:t>
            </w:r>
            <w:r w:rsidRPr="002E2E40">
              <w:rPr>
                <w:rStyle w:val="YELChar"/>
                <w:color w:val="0000FF"/>
              </w:rPr>
              <w:t>uymayarak</w:t>
            </w:r>
            <w:r w:rsidRPr="00A23740">
              <w:rPr>
                <w:rFonts w:eastAsia="Times New Roman"/>
                <w:szCs w:val="24"/>
                <w:lang w:eastAsia="tr-TR"/>
              </w:rPr>
              <w:t xml:space="preserve"> kasten zarara sebebiyet veren borçlu, </w:t>
            </w:r>
            <w:r w:rsidRPr="00A23740">
              <w:rPr>
                <w:rFonts w:eastAsia="Times New Roman"/>
                <w:b/>
                <w:bCs/>
                <w:color w:val="0000FF"/>
                <w:szCs w:val="24"/>
                <w:lang w:eastAsia="x-none"/>
              </w:rPr>
              <w:t>ilgilinin şikâyeti üzerine birinci fıkraya göre cezalandırılır.</w:t>
            </w:r>
          </w:p>
          <w:p w:rsidR="00A043AD" w:rsidRPr="00A23740" w:rsidRDefault="00A043AD" w:rsidP="00750F08">
            <w:pPr>
              <w:rPr>
                <w:rFonts w:eastAsia="Times New Roman"/>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Times New Roman"/>
                <w:b/>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MADDE 528-</w:t>
            </w:r>
            <w:r w:rsidRPr="00A23740">
              <w:rPr>
                <w:rFonts w:eastAsia="Times New Roman"/>
                <w:szCs w:val="24"/>
                <w:lang w:eastAsia="tr-TR"/>
              </w:rPr>
              <w:t xml:space="preserve"> Maddeyle,  konkordatoda yanıltıcı bilgi verme veya projeye uymama suçu düzenlenmektedir. 2004 sayılı Kanunun 334 üncü maddesine karşılık gelen bu hüküm, dili sadeleştirilmek ve içeriğiyle uyumlu olacak şekilde başlığı değiştirilmek suretiyle muhafaza edilmektedir.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Birinci fıkrayla, konkordatoda geçici veya kesin mühlet elde etmek veya konkordato projesini tasdik ettirmek için hileli davranışlarıyla </w:t>
            </w:r>
            <w:r w:rsidRPr="002E2E40">
              <w:rPr>
                <w:rFonts w:eastAsia="Times New Roman"/>
                <w:szCs w:val="24"/>
                <w:lang w:eastAsia="tr-TR"/>
              </w:rPr>
              <w:t>mali</w:t>
            </w:r>
            <w:r w:rsidRPr="00A23740">
              <w:rPr>
                <w:rFonts w:eastAsia="Times New Roman"/>
                <w:szCs w:val="24"/>
                <w:lang w:eastAsia="tr-TR"/>
              </w:rPr>
              <w:t xml:space="preserve"> durumu hakkında alacaklıları, konkordato komiserini veya mahkemeyi hataya düşüren borçlunun, ilgilinin şikâyeti üzerine, bir yıldan üç yıla kadar hapis </w:t>
            </w:r>
            <w:r w:rsidRPr="00A23740">
              <w:t xml:space="preserve">ve üç bin güne kadar adli para </w:t>
            </w:r>
            <w:r w:rsidRPr="002E2E40">
              <w:rPr>
                <w:rFonts w:eastAsia="Times New Roman"/>
                <w:szCs w:val="24"/>
                <w:lang w:eastAsia="tr-TR"/>
              </w:rPr>
              <w:t>cezası</w:t>
            </w:r>
            <w:r w:rsidR="0005528D" w:rsidRPr="002E2E40">
              <w:rPr>
                <w:rFonts w:eastAsia="Times New Roman"/>
                <w:szCs w:val="24"/>
                <w:lang w:eastAsia="tr-TR"/>
              </w:rPr>
              <w:t>yla</w:t>
            </w:r>
            <w:r w:rsidRPr="00A23740">
              <w:rPr>
                <w:rFonts w:eastAsia="Times New Roman"/>
                <w:szCs w:val="24"/>
                <w:lang w:eastAsia="tr-TR"/>
              </w:rPr>
              <w:t xml:space="preserve"> </w:t>
            </w:r>
            <w:r w:rsidR="00876547" w:rsidRPr="00A23740">
              <w:rPr>
                <w:rFonts w:eastAsia="Times New Roman"/>
                <w:szCs w:val="24"/>
                <w:lang w:eastAsia="tr-TR"/>
              </w:rPr>
              <w:t xml:space="preserve">cezalandırılması </w:t>
            </w:r>
            <w:r w:rsidRPr="00A23740">
              <w:rPr>
                <w:rFonts w:eastAsia="Times New Roman"/>
                <w:szCs w:val="24"/>
                <w:lang w:eastAsia="tr-TR"/>
              </w:rPr>
              <w:t xml:space="preserve">kabul edilmektedir. </w:t>
            </w:r>
            <w:r w:rsidR="00876547" w:rsidRPr="00A23740">
              <w:rPr>
                <w:rFonts w:eastAsia="Times New Roman"/>
                <w:szCs w:val="24"/>
                <w:lang w:eastAsia="tr-TR"/>
              </w:rPr>
              <w:t xml:space="preserve">Ağırlıklı olarak </w:t>
            </w:r>
            <w:r w:rsidRPr="00A23740">
              <w:rPr>
                <w:rFonts w:eastAsia="Times New Roman"/>
                <w:szCs w:val="24"/>
                <w:lang w:eastAsia="tr-TR"/>
              </w:rPr>
              <w:t xml:space="preserve">7101 sayılı Kanunla icra ve iflas hukukumuza girmiş olan geçici ve kesin konkordato mühleti müesseseleri Taslakta da benimsendiğinden, metinde bu husus açıkça yazılmaktadır. Böylece konkordatoda geçici ve kesin mühlet </w:t>
            </w:r>
            <w:r w:rsidRPr="002E2E40">
              <w:rPr>
                <w:rFonts w:eastAsia="Times New Roman"/>
                <w:szCs w:val="24"/>
                <w:lang w:eastAsia="tr-TR"/>
              </w:rPr>
              <w:t>verilmesi</w:t>
            </w:r>
            <w:r w:rsidRPr="00A23740">
              <w:rPr>
                <w:rFonts w:eastAsia="Times New Roman"/>
                <w:szCs w:val="24"/>
                <w:lang w:eastAsia="tr-TR"/>
              </w:rPr>
              <w:t xml:space="preserve"> ile tasdik kararı hususunda mahkemeyi yanıltan borçlu hakkında da </w:t>
            </w:r>
            <w:r w:rsidRPr="002E2E40">
              <w:rPr>
                <w:rFonts w:eastAsia="Times New Roman"/>
                <w:szCs w:val="24"/>
                <w:lang w:eastAsia="tr-TR"/>
              </w:rPr>
              <w:t>bu hüküm</w:t>
            </w:r>
            <w:r w:rsidRPr="002E2E40">
              <w:rPr>
                <w:rFonts w:eastAsia="Times New Roman"/>
                <w:b/>
                <w:lang w:eastAsia="tr-TR"/>
              </w:rPr>
              <w:t xml:space="preserve"> </w:t>
            </w:r>
            <w:r w:rsidRPr="002E2E40">
              <w:rPr>
                <w:rFonts w:eastAsia="Times New Roman"/>
                <w:szCs w:val="24"/>
                <w:lang w:eastAsia="tr-TR"/>
              </w:rPr>
              <w:t>uygulanabilecektir</w:t>
            </w:r>
            <w:r w:rsidRPr="00A23740">
              <w:rPr>
                <w:rFonts w:eastAsia="Times New Roman"/>
                <w:szCs w:val="24"/>
                <w:lang w:eastAsia="tr-TR"/>
              </w:rPr>
              <w:t>. Ayrıca borçlunun yanıltma eyleminin muhatapları</w:t>
            </w:r>
            <w:r w:rsidR="00876547" w:rsidRPr="00A23740">
              <w:rPr>
                <w:rFonts w:eastAsia="Times New Roman"/>
                <w:szCs w:val="24"/>
                <w:lang w:eastAsia="tr-TR"/>
              </w:rPr>
              <w:t>;</w:t>
            </w:r>
            <w:r w:rsidRPr="00A23740">
              <w:rPr>
                <w:rFonts w:eastAsia="Times New Roman"/>
                <w:szCs w:val="24"/>
                <w:lang w:eastAsia="tr-TR"/>
              </w:rPr>
              <w:t xml:space="preserve"> alacaklılar, konkordato komiseri </w:t>
            </w:r>
            <w:r w:rsidRPr="002E2E40">
              <w:rPr>
                <w:rFonts w:eastAsia="Times New Roman"/>
                <w:szCs w:val="24"/>
                <w:lang w:eastAsia="tr-TR"/>
              </w:rPr>
              <w:t>veya</w:t>
            </w:r>
            <w:r w:rsidRPr="00A23740">
              <w:rPr>
                <w:rFonts w:eastAsia="Times New Roman"/>
                <w:szCs w:val="24"/>
                <w:lang w:eastAsia="tr-TR"/>
              </w:rPr>
              <w:t xml:space="preserve"> mahkeme de </w:t>
            </w:r>
            <w:r w:rsidRPr="002E2E40">
              <w:rPr>
                <w:rFonts w:eastAsia="Times New Roman"/>
                <w:szCs w:val="24"/>
                <w:lang w:eastAsia="tr-TR"/>
              </w:rPr>
              <w:t>olabilir</w:t>
            </w:r>
            <w:r w:rsidRPr="00A23740">
              <w:rPr>
                <w:rFonts w:eastAsia="Times New Roman"/>
                <w:szCs w:val="24"/>
                <w:lang w:eastAsia="tr-TR"/>
              </w:rPr>
              <w:t>. Yine bir yenilik olarak 2004 sayılı Kanunda öngörülen hapis cezasının miktarı Taslakla artırılmaktadır. Zira konkordat</w:t>
            </w:r>
            <w:r w:rsidRPr="00AE183E">
              <w:rPr>
                <w:rFonts w:eastAsia="Times New Roman"/>
                <w:szCs w:val="24"/>
                <w:lang w:eastAsia="tr-TR"/>
              </w:rPr>
              <w:t>o</w:t>
            </w:r>
            <w:r w:rsidRPr="00AE183E">
              <w:rPr>
                <w:rFonts w:eastAsia="Times New Roman"/>
                <w:lang w:eastAsia="tr-TR"/>
              </w:rPr>
              <w:t>,</w:t>
            </w:r>
            <w:r w:rsidRPr="00A23740">
              <w:rPr>
                <w:rFonts w:eastAsia="Times New Roman"/>
                <w:szCs w:val="24"/>
                <w:lang w:eastAsia="tr-TR"/>
              </w:rPr>
              <w:t xml:space="preserve"> icra ve iflas hukukuna ilişkin bir müessese olmasının ötesinde ekonomiyi, istihdamı ve finansal sistemi doğrudan etkilemektedir. Bu itibarla yanıltıcı davranışlarda bulunan borçlunun eyleminin içeriği de nazara alınarak suç için öngörülen ceza artırılmak suretiyle konkordato müessesesinin ve bu süreçte alacaklıların haklarını</w:t>
            </w:r>
            <w:r w:rsidR="002457AC" w:rsidRPr="00A23740">
              <w:rPr>
                <w:rFonts w:eastAsia="Times New Roman"/>
                <w:szCs w:val="24"/>
                <w:lang w:eastAsia="tr-TR"/>
              </w:rPr>
              <w:t>n</w:t>
            </w:r>
            <w:r w:rsidRPr="00A23740">
              <w:rPr>
                <w:rFonts w:eastAsia="Times New Roman"/>
                <w:szCs w:val="24"/>
                <w:lang w:eastAsia="tr-TR"/>
              </w:rPr>
              <w:t xml:space="preserve"> daha etkin şekilde korunmaı amaçlanmaktadır. Ayrıca Taslakta sermaye şirketleri ile kooperatiflerin uzlaşma yoluyla yeniden yapılandırılması </w:t>
            </w:r>
            <w:r w:rsidRPr="002E2E40">
              <w:rPr>
                <w:rFonts w:eastAsia="Times New Roman"/>
                <w:szCs w:val="24"/>
                <w:lang w:eastAsia="tr-TR"/>
              </w:rPr>
              <w:t>hakkındaki hükümlere yer verilmediğinden</w:t>
            </w:r>
            <w:r w:rsidR="002457AC" w:rsidRPr="002E2E40">
              <w:rPr>
                <w:rFonts w:eastAsia="Times New Roman"/>
                <w:szCs w:val="24"/>
                <w:lang w:eastAsia="tr-TR"/>
              </w:rPr>
              <w:t>,</w:t>
            </w:r>
            <w:r w:rsidRPr="002E2E40">
              <w:rPr>
                <w:rFonts w:eastAsia="Times New Roman"/>
                <w:szCs w:val="24"/>
                <w:lang w:eastAsia="tr-TR"/>
              </w:rPr>
              <w:t xml:space="preserve"> ceza hükmünü içeren bu maddede söz konusu husus düzenlenmemiştir.</w:t>
            </w:r>
            <w:r w:rsidRPr="00A23740">
              <w:rPr>
                <w:rFonts w:eastAsia="Times New Roman"/>
                <w:szCs w:val="24"/>
                <w:lang w:eastAsia="tr-TR"/>
              </w:rPr>
              <w:t xml:space="preserve"> </w:t>
            </w:r>
            <w:r w:rsidRPr="00A23740">
              <w:rPr>
                <w:rFonts w:eastAsia="Arial Unicode MS"/>
                <w:iCs/>
                <w:szCs w:val="24"/>
                <w:lang w:eastAsia="tr-TR"/>
              </w:rPr>
              <w:t>2004 sayılı Kanundan farklı olarak caydırıcılığın sağlanabilmesi için</w:t>
            </w:r>
            <w:r w:rsidR="002457AC" w:rsidRPr="00A23740">
              <w:rPr>
                <w:rFonts w:eastAsia="Arial Unicode MS"/>
                <w:iCs/>
                <w:szCs w:val="24"/>
                <w:lang w:eastAsia="tr-TR"/>
              </w:rPr>
              <w:t>,</w:t>
            </w:r>
            <w:r w:rsidRPr="00A23740">
              <w:rPr>
                <w:rFonts w:eastAsia="Arial Unicode MS"/>
                <w:iCs/>
                <w:szCs w:val="24"/>
                <w:lang w:eastAsia="tr-TR"/>
              </w:rPr>
              <w:t xml:space="preserve"> hapis cezasının alt ve üst sınırı artırılmakta ve hükme adli para cezası da eklenmektedir.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İkinci fıkrayla, konkordato projesinin tasdikinden sonra tayin edilen proje denetçisini gözetim, yönetim ve tasfiye tedbirlerini alma göreviyle ilgili hususlarda hileli davranışlarıyla hataya düşüren kimsenin, ilgilinin şikâyeti üzerine birinci fıkraya göre cezalandırılacağı düzenlenmektedir. Bu hükümle, konkordatonun tasdik edilmesinden sonra da proje denetçisi marifetiyle konkordatonun, dolayısıyla sistemin ve alacaklıların menfaatlerinin korunması amaçlanmaktadır. İşte bu hizmeti ifa eden kişinin hataya düşürülmesi de hükümle cezai bir müeyyideye bağlanmaktadır.</w:t>
            </w:r>
          </w:p>
          <w:p w:rsidR="00A043AD" w:rsidRDefault="00A043AD" w:rsidP="00750F08">
            <w:pPr>
              <w:ind w:firstLine="709"/>
              <w:rPr>
                <w:rFonts w:eastAsia="Times New Roman"/>
                <w:szCs w:val="24"/>
                <w:lang w:eastAsia="tr-TR"/>
              </w:rPr>
            </w:pPr>
            <w:r w:rsidRPr="00A23740">
              <w:rPr>
                <w:rFonts w:eastAsia="Times New Roman"/>
                <w:szCs w:val="24"/>
                <w:lang w:eastAsia="tr-TR"/>
              </w:rPr>
              <w:t xml:space="preserve">  Üçüncü fıkrayla, tasdik edilen konkordato projesine </w:t>
            </w:r>
            <w:r w:rsidRPr="002E2E40">
              <w:rPr>
                <w:rFonts w:eastAsia="Times New Roman"/>
                <w:szCs w:val="24"/>
                <w:lang w:eastAsia="tr-TR"/>
              </w:rPr>
              <w:t>uymayarak</w:t>
            </w:r>
            <w:r w:rsidRPr="00A23740">
              <w:rPr>
                <w:rFonts w:eastAsia="Times New Roman"/>
                <w:szCs w:val="24"/>
                <w:lang w:eastAsia="tr-TR"/>
              </w:rPr>
              <w:t xml:space="preserve"> kasten zarara sebebiyet veren borçlunun ilgilinin şikâyeti üzerine birinci fıkraya göre cezalandırılacağı hüküm altına alınmaktadır.</w:t>
            </w:r>
          </w:p>
          <w:p w:rsidR="009D25DD" w:rsidRDefault="009D25DD" w:rsidP="000C3326">
            <w:pPr>
              <w:widowControl w:val="0"/>
              <w:suppressLineNumbers/>
              <w:tabs>
                <w:tab w:val="left" w:pos="540"/>
              </w:tabs>
              <w:rPr>
                <w:rFonts w:eastAsia="Times New Roman"/>
                <w:b/>
                <w:color w:val="FF0000"/>
                <w:szCs w:val="24"/>
                <w:lang w:eastAsia="tr-TR"/>
              </w:rPr>
            </w:pPr>
          </w:p>
          <w:p w:rsidR="00AB59DC" w:rsidRPr="00A23740" w:rsidRDefault="00AB59DC" w:rsidP="000C3326">
            <w:pPr>
              <w:widowControl w:val="0"/>
              <w:suppressLineNumbers/>
              <w:tabs>
                <w:tab w:val="left" w:pos="540"/>
              </w:tabs>
              <w:rPr>
                <w:rFonts w:eastAsia="Times New Roman"/>
                <w:b/>
                <w:color w:val="FF0000"/>
                <w:szCs w:val="24"/>
                <w:lang w:eastAsia="tr-TR"/>
              </w:rPr>
            </w:pPr>
          </w:p>
        </w:tc>
      </w:tr>
      <w:tr w:rsidR="00A043AD" w:rsidRPr="00A23740" w:rsidTr="00750F08">
        <w:tc>
          <w:tcPr>
            <w:tcW w:w="2500" w:type="pct"/>
          </w:tcPr>
          <w:p w:rsidR="00A043AD" w:rsidRPr="00A23740" w:rsidRDefault="00A043AD" w:rsidP="00750F08">
            <w:pPr>
              <w:rPr>
                <w:rFonts w:eastAsia="Times New Roman"/>
                <w:i/>
                <w:iCs/>
                <w:color w:val="000000"/>
                <w:szCs w:val="24"/>
                <w:lang w:eastAsia="tr-TR"/>
              </w:rPr>
            </w:pPr>
          </w:p>
          <w:p w:rsidR="00A043AD" w:rsidRPr="00A23740" w:rsidRDefault="00A043AD" w:rsidP="00750F08">
            <w:pPr>
              <w:rPr>
                <w:rFonts w:eastAsia="Times New Roman"/>
                <w:i/>
                <w:iCs/>
                <w:color w:val="000000"/>
                <w:szCs w:val="24"/>
                <w:lang w:eastAsia="tr-TR"/>
              </w:rPr>
            </w:pPr>
          </w:p>
          <w:p w:rsidR="00A043AD" w:rsidRPr="00A23740" w:rsidRDefault="00A043AD" w:rsidP="00750F08">
            <w:pPr>
              <w:rPr>
                <w:rFonts w:eastAsia="Times New Roman"/>
                <w:i/>
                <w:iCs/>
                <w:color w:val="000000"/>
                <w:szCs w:val="24"/>
                <w:lang w:eastAsia="tr-TR"/>
              </w:rPr>
            </w:pPr>
          </w:p>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Hükmi şahısların muamelelerinde kimlerin</w:t>
            </w:r>
            <w:r w:rsidRPr="00A23740">
              <w:rPr>
                <w:rFonts w:eastAsia="Times New Roman"/>
                <w:szCs w:val="24"/>
                <w:lang w:eastAsia="tr-TR"/>
              </w:rPr>
              <w:t xml:space="preserve"> ceza </w:t>
            </w:r>
            <w:r w:rsidRPr="00A23740">
              <w:rPr>
                <w:rFonts w:eastAsia="Times New Roman"/>
                <w:b/>
                <w:strike/>
                <w:color w:val="FF0000"/>
                <w:szCs w:val="24"/>
                <w:lang w:eastAsia="x-none"/>
              </w:rPr>
              <w:t>göreceği :</w:t>
            </w:r>
          </w:p>
          <w:p w:rsidR="00A043AD" w:rsidRPr="00A23740" w:rsidRDefault="00A043AD" w:rsidP="00750F08">
            <w:pPr>
              <w:rPr>
                <w:rFonts w:eastAsia="Times New Roman"/>
                <w:szCs w:val="24"/>
                <w:lang w:eastAsia="tr-TR"/>
              </w:rPr>
            </w:pPr>
            <w:r w:rsidRPr="00A23740">
              <w:rPr>
                <w:rFonts w:eastAsia="Times New Roman"/>
                <w:b/>
                <w:bCs/>
                <w:color w:val="000000"/>
                <w:szCs w:val="24"/>
                <w:lang w:eastAsia="tr-TR"/>
              </w:rPr>
              <w:t xml:space="preserve">Madde </w:t>
            </w:r>
            <w:r w:rsidRPr="00A23740">
              <w:rPr>
                <w:rFonts w:eastAsia="Times New Roman"/>
                <w:b/>
                <w:strike/>
                <w:color w:val="FF0000"/>
                <w:szCs w:val="24"/>
                <w:lang w:eastAsia="x-none"/>
              </w:rPr>
              <w:t>345</w:t>
            </w:r>
            <w:r w:rsidRPr="00A23740">
              <w:rPr>
                <w:rFonts w:eastAsia="Times New Roman"/>
                <w:b/>
                <w:bCs/>
                <w:color w:val="000000"/>
                <w:szCs w:val="24"/>
                <w:lang w:eastAsia="tr-TR"/>
              </w:rPr>
              <w:t xml:space="preserve"> </w:t>
            </w:r>
            <w:r w:rsidRPr="00A23740">
              <w:rPr>
                <w:rFonts w:eastAsia="Times New Roman"/>
                <w:b/>
                <w:strike/>
                <w:color w:val="FF0000"/>
                <w:szCs w:val="24"/>
                <w:lang w:eastAsia="x-none"/>
              </w:rPr>
              <w:t>– (1)</w:t>
            </w:r>
            <w:r w:rsidRPr="00A23740">
              <w:rPr>
                <w:rFonts w:eastAsia="Times New Roman"/>
                <w:b/>
                <w:bCs/>
                <w:color w:val="000000"/>
                <w:szCs w:val="24"/>
                <w:lang w:eastAsia="tr-TR"/>
              </w:rPr>
              <w:t xml:space="preserve"> </w:t>
            </w:r>
            <w:r w:rsidRPr="00A23740">
              <w:rPr>
                <w:rFonts w:eastAsia="Times New Roman"/>
                <w:szCs w:val="24"/>
                <w:lang w:eastAsia="tr-TR"/>
              </w:rPr>
              <w:t xml:space="preserve">Bu </w:t>
            </w:r>
            <w:r w:rsidRPr="00A23740">
              <w:rPr>
                <w:rFonts w:eastAsia="Times New Roman"/>
                <w:b/>
                <w:strike/>
                <w:color w:val="FF0000"/>
                <w:szCs w:val="24"/>
                <w:lang w:eastAsia="x-none"/>
              </w:rPr>
              <w:t>k</w:t>
            </w:r>
            <w:r w:rsidRPr="00A23740">
              <w:rPr>
                <w:rFonts w:eastAsia="Times New Roman"/>
                <w:szCs w:val="24"/>
                <w:lang w:eastAsia="tr-TR"/>
              </w:rPr>
              <w:t xml:space="preserve">anunda </w:t>
            </w:r>
            <w:r w:rsidRPr="00A23740">
              <w:rPr>
                <w:rFonts w:eastAsia="Times New Roman"/>
                <w:b/>
                <w:strike/>
                <w:color w:val="FF0000"/>
                <w:szCs w:val="24"/>
                <w:lang w:eastAsia="x-none"/>
              </w:rPr>
              <w:t>yazılı</w:t>
            </w:r>
            <w:r w:rsidRPr="00A23740">
              <w:rPr>
                <w:rFonts w:eastAsia="Times New Roman"/>
                <w:szCs w:val="24"/>
                <w:lang w:eastAsia="tr-TR"/>
              </w:rPr>
              <w:t xml:space="preserve"> suçlar, </w:t>
            </w:r>
            <w:r w:rsidRPr="00A23740">
              <w:rPr>
                <w:rFonts w:eastAsia="Times New Roman"/>
                <w:b/>
                <w:strike/>
                <w:color w:val="FF0000"/>
                <w:szCs w:val="24"/>
                <w:lang w:eastAsia="x-none"/>
              </w:rPr>
              <w:t>hükmi</w:t>
            </w:r>
            <w:r w:rsidRPr="00A23740">
              <w:rPr>
                <w:rFonts w:eastAsia="Times New Roman"/>
                <w:szCs w:val="24"/>
                <w:lang w:eastAsia="tr-TR"/>
              </w:rPr>
              <w:t xml:space="preserve"> bir </w:t>
            </w:r>
            <w:r w:rsidRPr="00A23740">
              <w:rPr>
                <w:rFonts w:eastAsia="Times New Roman"/>
                <w:b/>
                <w:strike/>
                <w:color w:val="FF0000"/>
                <w:szCs w:val="24"/>
                <w:lang w:eastAsia="x-none"/>
              </w:rPr>
              <w:t>şahsın</w:t>
            </w:r>
            <w:r w:rsidRPr="00A23740">
              <w:rPr>
                <w:rFonts w:eastAsia="Times New Roman"/>
                <w:szCs w:val="24"/>
                <w:lang w:eastAsia="tr-TR"/>
              </w:rPr>
              <w:t xml:space="preserve"> </w:t>
            </w:r>
            <w:r w:rsidRPr="00A23740">
              <w:rPr>
                <w:rFonts w:eastAsia="Times New Roman"/>
                <w:b/>
                <w:strike/>
                <w:color w:val="FF0000"/>
                <w:szCs w:val="24"/>
                <w:lang w:eastAsia="x-none"/>
              </w:rPr>
              <w:t>idare</w:t>
            </w:r>
            <w:r w:rsidRPr="00A23740">
              <w:rPr>
                <w:rFonts w:eastAsia="Times New Roman"/>
                <w:szCs w:val="24"/>
                <w:lang w:eastAsia="tr-TR"/>
              </w:rPr>
              <w:t xml:space="preserve"> veya </w:t>
            </w:r>
            <w:r w:rsidRPr="00A23740">
              <w:rPr>
                <w:rFonts w:eastAsia="Times New Roman"/>
                <w:b/>
                <w:strike/>
                <w:color w:val="FF0000"/>
                <w:szCs w:val="24"/>
                <w:lang w:eastAsia="x-none"/>
              </w:rPr>
              <w:t>muamelelerini</w:t>
            </w:r>
            <w:r w:rsidRPr="00A23740">
              <w:rPr>
                <w:rFonts w:eastAsia="Times New Roman"/>
                <w:szCs w:val="24"/>
                <w:lang w:eastAsia="tr-TR"/>
              </w:rPr>
              <w:t xml:space="preserve"> ifa sırasında işlenm</w:t>
            </w:r>
            <w:r w:rsidRPr="00A23740">
              <w:rPr>
                <w:rFonts w:eastAsia="Times New Roman"/>
                <w:b/>
                <w:strike/>
                <w:color w:val="FF0000"/>
                <w:szCs w:val="24"/>
                <w:lang w:eastAsia="x-none"/>
              </w:rPr>
              <w:t>iş</w:t>
            </w:r>
            <w:r w:rsidRPr="00A23740">
              <w:rPr>
                <w:rFonts w:eastAsia="Times New Roman"/>
                <w:szCs w:val="24"/>
                <w:lang w:eastAsia="tr-TR"/>
              </w:rPr>
              <w:t xml:space="preserve"> </w:t>
            </w:r>
            <w:r w:rsidRPr="00A23740">
              <w:rPr>
                <w:rFonts w:eastAsia="Times New Roman"/>
                <w:b/>
                <w:strike/>
                <w:color w:val="FF0000"/>
                <w:szCs w:val="24"/>
                <w:lang w:eastAsia="x-none"/>
              </w:rPr>
              <w:t>ise</w:t>
            </w:r>
            <w:r w:rsidRPr="00A23740">
              <w:rPr>
                <w:rFonts w:eastAsia="Times New Roman"/>
                <w:szCs w:val="24"/>
                <w:lang w:eastAsia="tr-TR"/>
              </w:rPr>
              <w:t xml:space="preserve"> ceza o </w:t>
            </w:r>
            <w:r w:rsidRPr="00A23740">
              <w:rPr>
                <w:rFonts w:eastAsia="Times New Roman"/>
                <w:b/>
                <w:strike/>
                <w:color w:val="FF0000"/>
                <w:szCs w:val="24"/>
                <w:lang w:eastAsia="x-none"/>
              </w:rPr>
              <w:t>hükmi şahsın müdürlerinden, mümessil ve vekillerinden, tasfiye memurlarından, idare meclisi reis ve azasından veya murakıp ve müfettişlerinden</w:t>
            </w:r>
            <w:r w:rsidRPr="00A23740">
              <w:rPr>
                <w:rFonts w:eastAsia="Times New Roman"/>
                <w:szCs w:val="24"/>
                <w:lang w:eastAsia="tr-TR"/>
              </w:rPr>
              <w:t xml:space="preserve"> fiili </w:t>
            </w:r>
            <w:r w:rsidRPr="00A23740">
              <w:rPr>
                <w:rFonts w:eastAsia="Times New Roman"/>
                <w:b/>
                <w:strike/>
                <w:color w:val="FF0000"/>
                <w:szCs w:val="24"/>
                <w:lang w:eastAsia="x-none"/>
              </w:rPr>
              <w:t>yapmış</w:t>
            </w:r>
            <w:r w:rsidRPr="00A23740">
              <w:rPr>
                <w:rFonts w:eastAsia="Times New Roman"/>
                <w:szCs w:val="24"/>
                <w:lang w:eastAsia="tr-TR"/>
              </w:rPr>
              <w:t xml:space="preserve"> </w:t>
            </w:r>
            <w:r w:rsidRPr="00A23740">
              <w:rPr>
                <w:rFonts w:eastAsia="Times New Roman"/>
                <w:b/>
                <w:strike/>
                <w:color w:val="FF0000"/>
                <w:szCs w:val="24"/>
                <w:lang w:eastAsia="x-none"/>
              </w:rPr>
              <w:t>olan</w:t>
            </w:r>
            <w:r w:rsidRPr="00A23740">
              <w:rPr>
                <w:rFonts w:eastAsia="Times New Roman"/>
                <w:szCs w:val="24"/>
                <w:lang w:eastAsia="tr-TR"/>
              </w:rPr>
              <w:t xml:space="preserve"> hakkında hükm</w:t>
            </w:r>
            <w:r w:rsidRPr="00A23740">
              <w:rPr>
                <w:rFonts w:eastAsia="Times New Roman"/>
                <w:b/>
                <w:strike/>
                <w:color w:val="FF0000"/>
                <w:szCs w:val="24"/>
                <w:lang w:eastAsia="x-none"/>
              </w:rPr>
              <w:t>olunur</w:t>
            </w:r>
            <w:r w:rsidRPr="00A23740">
              <w:rPr>
                <w:rFonts w:eastAsia="Times New Roman"/>
                <w:szCs w:val="24"/>
                <w:lang w:eastAsia="tr-TR"/>
              </w:rPr>
              <w:t>.</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strike/>
                <w:color w:val="FF0000"/>
                <w:szCs w:val="24"/>
                <w:lang w:eastAsia="x-none"/>
              </w:rPr>
            </w:pPr>
            <w:r w:rsidRPr="00A23740">
              <w:rPr>
                <w:rFonts w:eastAsia="Times New Roman"/>
                <w:b/>
                <w:strike/>
                <w:color w:val="FF0000"/>
                <w:szCs w:val="24"/>
                <w:lang w:eastAsia="x-none"/>
              </w:rPr>
              <w:t>(İkinci fıkra mülga: 29/6/1956-6763/42 md.)</w:t>
            </w:r>
          </w:p>
          <w:p w:rsidR="00A043AD" w:rsidRPr="00A23740" w:rsidRDefault="00A043AD" w:rsidP="00750F08">
            <w:pPr>
              <w:rPr>
                <w:rFonts w:eastAsia="Times New Roman"/>
                <w:b/>
                <w:szCs w:val="24"/>
                <w:lang w:eastAsia="tr-TR"/>
              </w:rPr>
            </w:pPr>
          </w:p>
        </w:tc>
        <w:tc>
          <w:tcPr>
            <w:tcW w:w="2500" w:type="pct"/>
          </w:tcPr>
          <w:p w:rsidR="00A043AD" w:rsidRPr="00A23740" w:rsidRDefault="00A043AD" w:rsidP="00750F08">
            <w:pPr>
              <w:tabs>
                <w:tab w:val="left" w:pos="567"/>
              </w:tabs>
              <w:jc w:val="center"/>
              <w:rPr>
                <w:b/>
                <w:bCs/>
                <w:color w:val="0000FF"/>
                <w:szCs w:val="24"/>
                <w:lang w:eastAsia="x-none"/>
              </w:rPr>
            </w:pPr>
            <w:r w:rsidRPr="00A23740">
              <w:rPr>
                <w:b/>
                <w:bCs/>
                <w:color w:val="0000FF"/>
                <w:szCs w:val="24"/>
                <w:lang w:eastAsia="x-none"/>
              </w:rPr>
              <w:t>ÜÇÜNCÜ BÖLÜM</w:t>
            </w:r>
          </w:p>
          <w:p w:rsidR="00A043AD" w:rsidRPr="00A23740" w:rsidRDefault="00A043AD" w:rsidP="00750F08">
            <w:pPr>
              <w:tabs>
                <w:tab w:val="left" w:pos="567"/>
              </w:tabs>
              <w:jc w:val="center"/>
              <w:rPr>
                <w:b/>
                <w:bCs/>
                <w:color w:val="0000FF"/>
                <w:szCs w:val="24"/>
                <w:lang w:eastAsia="x-none"/>
              </w:rPr>
            </w:pPr>
            <w:r w:rsidRPr="00A23740">
              <w:rPr>
                <w:b/>
                <w:bCs/>
                <w:color w:val="0000FF"/>
                <w:szCs w:val="24"/>
                <w:lang w:eastAsia="x-none"/>
              </w:rPr>
              <w:t>Müşterek Hükümler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Tüzel kişilerde</w:t>
            </w:r>
            <w:r w:rsidRPr="00A23740">
              <w:rPr>
                <w:rFonts w:eastAsia="Times New Roman"/>
                <w:szCs w:val="24"/>
                <w:lang w:eastAsia="tr-TR"/>
              </w:rPr>
              <w:t xml:space="preserve"> </w:t>
            </w:r>
            <w:r w:rsidRPr="00A23740">
              <w:rPr>
                <w:rFonts w:eastAsia="Times New Roman"/>
                <w:b/>
                <w:szCs w:val="24"/>
                <w:lang w:eastAsia="tr-TR"/>
              </w:rPr>
              <w:t>ceza</w:t>
            </w:r>
            <w:r w:rsidRPr="00A23740">
              <w:rPr>
                <w:rFonts w:eastAsia="Times New Roman"/>
                <w:szCs w:val="24"/>
                <w:lang w:eastAsia="tr-TR"/>
              </w:rPr>
              <w:t xml:space="preserve"> </w:t>
            </w:r>
            <w:r w:rsidRPr="00A23740">
              <w:rPr>
                <w:rFonts w:eastAsia="Times New Roman"/>
                <w:b/>
                <w:bCs/>
                <w:color w:val="0000FF"/>
                <w:szCs w:val="24"/>
                <w:lang w:eastAsia="x-none"/>
              </w:rPr>
              <w:t>sorumluluğu</w:t>
            </w:r>
          </w:p>
          <w:p w:rsidR="00A043AD" w:rsidRPr="00A23740" w:rsidRDefault="00A043AD" w:rsidP="00750F08">
            <w:pPr>
              <w:rPr>
                <w:rFonts w:eastAsia="Times New Roman"/>
                <w:b/>
                <w:bCs/>
                <w:szCs w:val="24"/>
                <w:lang w:eastAsia="x-none"/>
              </w:rPr>
            </w:pPr>
            <w:r w:rsidRPr="00A23740">
              <w:rPr>
                <w:rFonts w:eastAsia="Times New Roman"/>
                <w:b/>
                <w:bCs/>
                <w:color w:val="0000FF"/>
                <w:szCs w:val="24"/>
                <w:lang w:eastAsia="x-none"/>
              </w:rPr>
              <w:t>MADDE 529-</w:t>
            </w:r>
            <w:r w:rsidRPr="00A23740">
              <w:rPr>
                <w:b/>
                <w:bCs/>
                <w:color w:val="0000FF"/>
                <w:szCs w:val="24"/>
                <w:lang w:eastAsia="x-none"/>
              </w:rPr>
              <w:t xml:space="preserve"> (1)</w:t>
            </w:r>
            <w:r w:rsidRPr="00A23740">
              <w:rPr>
                <w:rFonts w:eastAsia="Times New Roman"/>
                <w:szCs w:val="24"/>
                <w:lang w:eastAsia="tr-TR"/>
              </w:rPr>
              <w:t xml:space="preserve"> Bu </w:t>
            </w:r>
            <w:r w:rsidRPr="00A23740">
              <w:rPr>
                <w:b/>
                <w:bCs/>
                <w:color w:val="0000FF"/>
                <w:szCs w:val="24"/>
                <w:lang w:eastAsia="x-none"/>
              </w:rPr>
              <w:t>Kanunda</w:t>
            </w:r>
            <w:r w:rsidRPr="00A23740">
              <w:rPr>
                <w:rFonts w:eastAsia="Times New Roman"/>
                <w:szCs w:val="24"/>
                <w:lang w:eastAsia="tr-TR"/>
              </w:rPr>
              <w:t xml:space="preserve"> </w:t>
            </w:r>
            <w:r w:rsidRPr="00A23740">
              <w:rPr>
                <w:b/>
                <w:bCs/>
                <w:color w:val="0000FF"/>
                <w:szCs w:val="24"/>
                <w:lang w:eastAsia="x-none"/>
              </w:rPr>
              <w:t>düzenlen</w:t>
            </w:r>
            <w:r w:rsidR="002F55D4" w:rsidRPr="00620564">
              <w:rPr>
                <w:b/>
                <w:bCs/>
                <w:color w:val="0000FF"/>
                <w:szCs w:val="24"/>
                <w:lang w:eastAsia="x-none"/>
              </w:rPr>
              <w:t>ip</w:t>
            </w:r>
            <w:r w:rsidRPr="00A23740">
              <w:rPr>
                <w:rFonts w:eastAsia="Times New Roman"/>
                <w:szCs w:val="24"/>
                <w:lang w:eastAsia="tr-TR"/>
              </w:rPr>
              <w:t xml:space="preserve"> </w:t>
            </w:r>
            <w:r w:rsidRPr="00A23740">
              <w:rPr>
                <w:rFonts w:eastAsia="Times New Roman"/>
                <w:b/>
                <w:bCs/>
                <w:color w:val="0000FF"/>
                <w:szCs w:val="24"/>
                <w:lang w:eastAsia="x-none"/>
              </w:rPr>
              <w:t>disiplin hapsini gerektiren fiiller ile</w:t>
            </w:r>
            <w:r w:rsidRPr="00A23740">
              <w:rPr>
                <w:rFonts w:eastAsia="Times New Roman"/>
                <w:szCs w:val="24"/>
                <w:lang w:eastAsia="tr-TR"/>
              </w:rPr>
              <w:t xml:space="preserve"> suçlar</w:t>
            </w:r>
            <w:r w:rsidRPr="00A23740">
              <w:rPr>
                <w:rFonts w:eastAsia="Times New Roman"/>
                <w:b/>
                <w:bCs/>
                <w:color w:val="0000FF"/>
                <w:szCs w:val="24"/>
                <w:lang w:eastAsia="x-none"/>
              </w:rPr>
              <w:t>ın</w:t>
            </w:r>
            <w:r w:rsidRPr="00A23740">
              <w:rPr>
                <w:rFonts w:eastAsia="Times New Roman"/>
                <w:szCs w:val="24"/>
                <w:lang w:eastAsia="tr-TR"/>
              </w:rPr>
              <w:t xml:space="preserve"> bir </w:t>
            </w:r>
            <w:r w:rsidRPr="00A23740">
              <w:rPr>
                <w:rFonts w:eastAsia="Times New Roman"/>
                <w:b/>
                <w:bCs/>
                <w:color w:val="0000FF"/>
                <w:szCs w:val="24"/>
                <w:lang w:eastAsia="x-none"/>
              </w:rPr>
              <w:t>tüzel kişinin organı, temsilcisi veya bu tüzel kişinin faaliyeti çerçevesinde görev üstlenen bir kişi tarafından, o tüzel kişinin iş ve işlemlerinin yerine getirilmesi</w:t>
            </w:r>
            <w:r w:rsidRPr="00A23740">
              <w:rPr>
                <w:rFonts w:eastAsia="Times New Roman"/>
                <w:szCs w:val="24"/>
                <w:lang w:eastAsia="tr-TR"/>
              </w:rPr>
              <w:t xml:space="preserve"> sırasında işlenm</w:t>
            </w:r>
            <w:r w:rsidRPr="00A23740">
              <w:rPr>
                <w:rFonts w:eastAsia="Times New Roman"/>
                <w:b/>
                <w:bCs/>
                <w:color w:val="0000FF"/>
                <w:szCs w:val="24"/>
                <w:lang w:eastAsia="x-none"/>
              </w:rPr>
              <w:t>esi hâlinde,</w:t>
            </w:r>
            <w:r w:rsidRPr="00A23740">
              <w:rPr>
                <w:rFonts w:eastAsia="Times New Roman"/>
                <w:szCs w:val="24"/>
                <w:lang w:eastAsia="tr-TR"/>
              </w:rPr>
              <w:t xml:space="preserve"> </w:t>
            </w:r>
            <w:r w:rsidRPr="00A23740">
              <w:rPr>
                <w:rFonts w:eastAsia="Times New Roman"/>
                <w:b/>
                <w:bCs/>
                <w:color w:val="0000FF"/>
                <w:szCs w:val="24"/>
                <w:lang w:eastAsia="x-none"/>
              </w:rPr>
              <w:t>o</w:t>
            </w:r>
            <w:r w:rsidRPr="00A23740">
              <w:rPr>
                <w:rFonts w:eastAsia="Times New Roman"/>
                <w:szCs w:val="24"/>
                <w:lang w:eastAsia="tr-TR"/>
              </w:rPr>
              <w:t xml:space="preserve"> fiili </w:t>
            </w:r>
            <w:r w:rsidRPr="00A23740">
              <w:rPr>
                <w:rFonts w:eastAsia="Times New Roman"/>
                <w:b/>
                <w:bCs/>
                <w:color w:val="0000FF"/>
                <w:szCs w:val="24"/>
                <w:lang w:eastAsia="x-none"/>
              </w:rPr>
              <w:t>veya suçu</w:t>
            </w:r>
            <w:r w:rsidRPr="00A23740">
              <w:rPr>
                <w:rFonts w:eastAsia="Times New Roman"/>
                <w:szCs w:val="24"/>
                <w:lang w:eastAsia="tr-TR"/>
              </w:rPr>
              <w:t xml:space="preserve"> </w:t>
            </w:r>
            <w:r w:rsidRPr="00A23740">
              <w:rPr>
                <w:rFonts w:eastAsia="Times New Roman"/>
                <w:b/>
                <w:bCs/>
                <w:color w:val="0000FF"/>
                <w:szCs w:val="24"/>
                <w:lang w:eastAsia="x-none"/>
              </w:rPr>
              <w:t>işleyen kişi</w:t>
            </w:r>
            <w:r w:rsidRPr="00A23740">
              <w:rPr>
                <w:rFonts w:eastAsia="Times New Roman"/>
                <w:szCs w:val="24"/>
                <w:lang w:eastAsia="tr-TR"/>
              </w:rPr>
              <w:t xml:space="preserve"> hakkında </w:t>
            </w:r>
            <w:r w:rsidRPr="00620564">
              <w:rPr>
                <w:rStyle w:val="YELChar"/>
                <w:color w:val="0000FF"/>
              </w:rPr>
              <w:t>cezaya</w:t>
            </w:r>
            <w:r w:rsidRPr="00620564">
              <w:rPr>
                <w:rFonts w:eastAsia="Times New Roman"/>
                <w:color w:val="0000FF"/>
                <w:szCs w:val="24"/>
                <w:lang w:eastAsia="tr-TR"/>
              </w:rPr>
              <w:t xml:space="preserve"> </w:t>
            </w:r>
            <w:r w:rsidRPr="00A23740">
              <w:rPr>
                <w:rFonts w:eastAsia="Times New Roman"/>
                <w:szCs w:val="24"/>
                <w:lang w:eastAsia="tr-TR"/>
              </w:rPr>
              <w:t>hükm</w:t>
            </w:r>
            <w:r w:rsidRPr="00A23740">
              <w:rPr>
                <w:rFonts w:eastAsia="Times New Roman"/>
                <w:b/>
                <w:bCs/>
                <w:color w:val="0000FF"/>
                <w:szCs w:val="24"/>
                <w:lang w:eastAsia="x-none"/>
              </w:rPr>
              <w:t>edilir</w:t>
            </w:r>
            <w:r w:rsidRPr="00A23740">
              <w:rPr>
                <w:rFonts w:eastAsia="Times New Roman"/>
                <w:szCs w:val="24"/>
                <w:lang w:eastAsia="tr-TR"/>
              </w:rPr>
              <w:t>.</w:t>
            </w:r>
          </w:p>
          <w:p w:rsidR="00A043AD" w:rsidRPr="00A23740" w:rsidRDefault="00A043AD" w:rsidP="00750F08">
            <w:pPr>
              <w:rPr>
                <w:rFonts w:eastAsia="Times New Roman"/>
                <w:b/>
                <w:color w:val="FF0000"/>
                <w:szCs w:val="24"/>
                <w:lang w:eastAsia="x-none"/>
              </w:rPr>
            </w:pPr>
          </w:p>
          <w:p w:rsidR="00A043AD" w:rsidRPr="00A23740" w:rsidRDefault="00A043AD" w:rsidP="00750F08">
            <w:pPr>
              <w:rPr>
                <w:b/>
                <w:bCs/>
                <w:color w:val="0000FF"/>
                <w:szCs w:val="24"/>
                <w:lang w:eastAsia="x-none"/>
              </w:rPr>
            </w:pPr>
          </w:p>
        </w:tc>
      </w:tr>
      <w:tr w:rsidR="00A043AD" w:rsidRPr="00A23740" w:rsidTr="00750F08">
        <w:tc>
          <w:tcPr>
            <w:tcW w:w="5000" w:type="pct"/>
            <w:gridSpan w:val="2"/>
            <w:shd w:val="clear" w:color="auto" w:fill="DEEAF6"/>
          </w:tcPr>
          <w:p w:rsidR="00A043AD" w:rsidRPr="00A23740" w:rsidRDefault="00A043AD" w:rsidP="00750F08">
            <w:pPr>
              <w:ind w:firstLine="709"/>
              <w:jc w:val="center"/>
              <w:rPr>
                <w:rFonts w:eastAsia="Times New Roman"/>
                <w:b/>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MADDE 529-</w:t>
            </w:r>
            <w:r w:rsidRPr="00A23740">
              <w:rPr>
                <w:rFonts w:eastAsia="Times New Roman"/>
                <w:szCs w:val="24"/>
                <w:lang w:eastAsia="tr-TR"/>
              </w:rPr>
              <w:t xml:space="preserve"> Maddeyle, tüzel kişilerde ceza sorumluluğu düzenlenmektedir. 2004 sayılı Kanunun 345 inci maddesine karşılık gelmekte olan hüküm, dili sadeleştirilmek ve içeriği ile uyumlu olacak şekilde başlığı değiştirilmek suretiyle muhafaza edilmektedir.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Birinci fıkrayla, Kanunda düzenlenen disiplin hapsini gerektiren fiiller ile suçların bir tüzel kişinin organı, temsilcisi veya bu tüzel kişinin faaliyeti çerçevesinde görev üstlenen bir kişi tarafından, o tüzel kişinin iş ve işlemlerinin yerine getirilmesi sırasında işlenmesi hâlinde, cezanın, o fiili veya suçu işleyen kişi hakkında hükmedileceği kabul edilmektedir. 2004 sayılı Kanunda tüzel kişinin temsilcileri sayma suretiyle düzenlenmiş</w:t>
            </w:r>
            <w:r w:rsidR="002457AC" w:rsidRPr="00A23740">
              <w:rPr>
                <w:rFonts w:eastAsia="Times New Roman"/>
                <w:szCs w:val="24"/>
                <w:lang w:eastAsia="tr-TR"/>
              </w:rPr>
              <w:t>se</w:t>
            </w:r>
            <w:r w:rsidRPr="00A23740">
              <w:rPr>
                <w:rFonts w:eastAsia="Times New Roman"/>
                <w:szCs w:val="24"/>
                <w:lang w:eastAsia="tr-TR"/>
              </w:rPr>
              <w:t xml:space="preserve"> de</w:t>
            </w:r>
            <w:r w:rsidR="002457AC" w:rsidRPr="00A23740">
              <w:rPr>
                <w:rFonts w:eastAsia="Times New Roman"/>
                <w:szCs w:val="24"/>
                <w:lang w:eastAsia="tr-TR"/>
              </w:rPr>
              <w:t>,</w:t>
            </w:r>
            <w:r w:rsidRPr="00A23740">
              <w:rPr>
                <w:rFonts w:eastAsia="Times New Roman"/>
                <w:szCs w:val="24"/>
                <w:lang w:eastAsia="tr-TR"/>
              </w:rPr>
              <w:t xml:space="preserve"> bu sayma usulünün tüzel kişinin türüne göre organları ile bu organlarda görev yapanların yönetim ve temsil yetkisinin farklılaşabileceği ve bu durumda hükmün bazı kişiler bakımından uygulanamayacağı değerlendirilerek, yeni hükümde, sayma yöntemi yerine tüzel kişinin organ veya temsilcisi ya da tüzel kişinin faaliyeti çerçevesinde görev alan kişiler genel olarak ifade</w:t>
            </w:r>
            <w:r w:rsidR="002457AC" w:rsidRPr="00A23740">
              <w:rPr>
                <w:rFonts w:eastAsia="Times New Roman"/>
                <w:szCs w:val="24"/>
                <w:lang w:eastAsia="tr-TR"/>
              </w:rPr>
              <w:t xml:space="preserve"> edilmiştir</w:t>
            </w:r>
            <w:r w:rsidRPr="00A23740">
              <w:rPr>
                <w:rFonts w:eastAsia="Times New Roman"/>
                <w:szCs w:val="24"/>
                <w:lang w:eastAsia="tr-TR"/>
              </w:rPr>
              <w:t>.</w:t>
            </w:r>
          </w:p>
          <w:p w:rsidR="00A043AD" w:rsidRPr="00A23740" w:rsidRDefault="00A043AD" w:rsidP="000C3326">
            <w:pPr>
              <w:widowControl w:val="0"/>
              <w:suppressLineNumbers/>
              <w:tabs>
                <w:tab w:val="left" w:pos="540"/>
              </w:tabs>
              <w:rPr>
                <w:b/>
                <w:bCs/>
                <w:color w:val="0000FF"/>
                <w:szCs w:val="24"/>
                <w:lang w:eastAsia="x-none"/>
              </w:rPr>
            </w:pPr>
          </w:p>
        </w:tc>
      </w:tr>
      <w:tr w:rsidR="00A043AD" w:rsidRPr="00A23740" w:rsidTr="00750F08">
        <w:tc>
          <w:tcPr>
            <w:tcW w:w="2500" w:type="pct"/>
          </w:tcPr>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vertAlign w:val="superscript"/>
                <w:lang w:eastAsia="tr-TR"/>
              </w:rPr>
            </w:pPr>
            <w:r w:rsidRPr="00A23740">
              <w:rPr>
                <w:rFonts w:eastAsia="Times New Roman"/>
                <w:b/>
                <w:szCs w:val="24"/>
                <w:lang w:eastAsia="tr-TR"/>
              </w:rPr>
              <w:t xml:space="preserve">Görev </w:t>
            </w:r>
            <w:r w:rsidRPr="00A23740">
              <w:rPr>
                <w:rFonts w:eastAsia="Times New Roman"/>
                <w:b/>
                <w:bCs/>
                <w:strike/>
                <w:color w:val="FF0000"/>
                <w:szCs w:val="24"/>
                <w:lang w:eastAsia="tr-TR"/>
              </w:rPr>
              <w:t>ve birleştirilme yasağı:</w:t>
            </w:r>
          </w:p>
          <w:p w:rsidR="00A043AD" w:rsidRPr="00A23740" w:rsidRDefault="00A043AD" w:rsidP="00750F08">
            <w:pPr>
              <w:rPr>
                <w:rFonts w:eastAsia="Times New Roman"/>
                <w:b/>
                <w:strike/>
                <w:color w:val="FF0000"/>
                <w:szCs w:val="24"/>
              </w:rPr>
            </w:pPr>
            <w:r w:rsidRPr="00A23740">
              <w:rPr>
                <w:rFonts w:eastAsia="Times New Roman"/>
                <w:b/>
                <w:szCs w:val="24"/>
                <w:lang w:eastAsia="tr-TR"/>
              </w:rPr>
              <w:t xml:space="preserve">Madde </w:t>
            </w:r>
            <w:r w:rsidRPr="00A23740">
              <w:rPr>
                <w:rFonts w:eastAsia="Times New Roman"/>
                <w:b/>
                <w:strike/>
                <w:color w:val="FF0000"/>
                <w:szCs w:val="24"/>
                <w:lang w:eastAsia="x-none"/>
              </w:rPr>
              <w:t>346</w:t>
            </w:r>
            <w:r w:rsidRPr="00A23740">
              <w:rPr>
                <w:rFonts w:eastAsia="Times New Roman"/>
                <w:b/>
                <w:szCs w:val="24"/>
                <w:lang w:eastAsia="tr-TR"/>
              </w:rPr>
              <w:t xml:space="preserve"> – (1) </w:t>
            </w:r>
            <w:r w:rsidRPr="00A23740">
              <w:rPr>
                <w:rFonts w:eastAsia="Times New Roman"/>
                <w:b/>
                <w:strike/>
                <w:color w:val="FF0000"/>
                <w:szCs w:val="24"/>
                <w:lang w:eastAsia="x-none"/>
              </w:rPr>
              <w:t xml:space="preserve">(Değişik: 31/5/2005-5358/18 md.) </w:t>
            </w:r>
            <w:r w:rsidRPr="00A23740">
              <w:rPr>
                <w:rFonts w:eastAsia="Times New Roman"/>
                <w:szCs w:val="24"/>
                <w:lang w:eastAsia="tr-TR"/>
              </w:rPr>
              <w:t xml:space="preserve">Bu Kanun </w:t>
            </w:r>
            <w:r w:rsidRPr="00A23740">
              <w:rPr>
                <w:rFonts w:eastAsia="Times New Roman"/>
                <w:b/>
                <w:strike/>
                <w:color w:val="FF0000"/>
                <w:szCs w:val="24"/>
              </w:rPr>
              <w:t>hükümlerine göre</w:t>
            </w:r>
            <w:r w:rsidRPr="00A23740">
              <w:rPr>
                <w:rFonts w:eastAsia="Times New Roman"/>
                <w:szCs w:val="24"/>
                <w:lang w:eastAsia="tr-TR"/>
              </w:rPr>
              <w:t xml:space="preserve"> disiplin veya tazyik hapsi</w:t>
            </w:r>
            <w:r w:rsidRPr="00A23740">
              <w:rPr>
                <w:rFonts w:eastAsia="Times New Roman"/>
                <w:b/>
                <w:strike/>
                <w:color w:val="FF0000"/>
                <w:szCs w:val="24"/>
              </w:rPr>
              <w:t>ne icra mahkemesi karar verir.</w:t>
            </w:r>
          </w:p>
          <w:p w:rsidR="00A043AD" w:rsidRPr="00A23740" w:rsidRDefault="00A043AD" w:rsidP="00750F08">
            <w:pPr>
              <w:tabs>
                <w:tab w:val="left" w:pos="567"/>
              </w:tabs>
              <w:rPr>
                <w:rFonts w:eastAsia="Times New Roman"/>
                <w:szCs w:val="24"/>
                <w:lang w:eastAsia="tr-TR"/>
              </w:rPr>
            </w:pP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szCs w:val="24"/>
                <w:lang w:eastAsia="tr-TR"/>
              </w:rPr>
            </w:pPr>
            <w:r w:rsidRPr="00AB59DC">
              <w:rPr>
                <w:rFonts w:eastAsia="Times New Roman"/>
                <w:szCs w:val="24"/>
                <w:lang w:eastAsia="tr-TR"/>
              </w:rPr>
              <w:t>(2)</w:t>
            </w:r>
            <w:r w:rsidRPr="00A23740">
              <w:rPr>
                <w:rFonts w:eastAsia="Times New Roman"/>
                <w:szCs w:val="24"/>
                <w:lang w:eastAsia="tr-TR"/>
              </w:rPr>
              <w:t xml:space="preserve"> İcra mahkemesinin görevine giren </w:t>
            </w:r>
            <w:r w:rsidRPr="00A23740">
              <w:rPr>
                <w:rFonts w:eastAsia="Times New Roman"/>
                <w:b/>
                <w:strike/>
                <w:color w:val="FF0000"/>
                <w:szCs w:val="24"/>
              </w:rPr>
              <w:t>bu</w:t>
            </w:r>
            <w:r w:rsidRPr="00A23740">
              <w:rPr>
                <w:rFonts w:eastAsia="Times New Roman"/>
                <w:b/>
                <w:color w:val="FF0000"/>
                <w:szCs w:val="24"/>
              </w:rPr>
              <w:t xml:space="preserve"> </w:t>
            </w:r>
            <w:r w:rsidRPr="00A23740">
              <w:rPr>
                <w:rFonts w:eastAsia="Times New Roman"/>
                <w:b/>
                <w:strike/>
                <w:color w:val="FF0000"/>
                <w:szCs w:val="24"/>
              </w:rPr>
              <w:t>işler</w:t>
            </w:r>
            <w:r w:rsidRPr="00A23740">
              <w:rPr>
                <w:rFonts w:eastAsia="Times New Roman"/>
                <w:szCs w:val="24"/>
                <w:lang w:eastAsia="tr-TR"/>
              </w:rPr>
              <w:t>, diğer mahkemelerde görülen ceza davaları ile birleştirilemez.</w:t>
            </w:r>
          </w:p>
          <w:p w:rsidR="00A043AD" w:rsidRPr="00A23740" w:rsidRDefault="00A043AD" w:rsidP="00750F08">
            <w:pPr>
              <w:rPr>
                <w:rFonts w:eastAsia="Times New Roman"/>
                <w:szCs w:val="24"/>
                <w:lang w:eastAsia="tr-TR"/>
              </w:rPr>
            </w:pPr>
          </w:p>
          <w:p w:rsidR="00A043AD" w:rsidRPr="00A23740" w:rsidRDefault="00A043AD" w:rsidP="00750F08">
            <w:pPr>
              <w:tabs>
                <w:tab w:val="left" w:pos="567"/>
              </w:tabs>
              <w:rPr>
                <w:b/>
                <w:strike/>
                <w:color w:val="FF0000"/>
                <w:szCs w:val="24"/>
              </w:rPr>
            </w:pPr>
            <w:r w:rsidRPr="00A23740">
              <w:rPr>
                <w:b/>
                <w:strike/>
                <w:color w:val="FF0000"/>
                <w:szCs w:val="24"/>
              </w:rPr>
              <w:t>(3) Bu Bapta yer alan suçlarla ilgili davalara, icra mahkemesinde bakılır.</w:t>
            </w:r>
          </w:p>
          <w:p w:rsidR="00A043AD" w:rsidRPr="00A23740" w:rsidRDefault="00A043AD" w:rsidP="00750F08">
            <w:pPr>
              <w:tabs>
                <w:tab w:val="left" w:pos="567"/>
              </w:tabs>
              <w:rPr>
                <w:b/>
                <w:strike/>
                <w:color w:val="FF0000"/>
                <w:szCs w:val="24"/>
              </w:rPr>
            </w:pPr>
          </w:p>
        </w:tc>
        <w:tc>
          <w:tcPr>
            <w:tcW w:w="2500" w:type="pct"/>
          </w:tcPr>
          <w:p w:rsidR="00A043AD" w:rsidRPr="00A23740" w:rsidRDefault="00A043AD" w:rsidP="00750F08">
            <w:pPr>
              <w:tabs>
                <w:tab w:val="left" w:pos="567"/>
              </w:tabs>
              <w:jc w:val="center"/>
              <w:rPr>
                <w:b/>
                <w:bCs/>
                <w:color w:val="0000FF"/>
                <w:szCs w:val="24"/>
                <w:lang w:eastAsia="x-none"/>
              </w:rPr>
            </w:pPr>
            <w:r w:rsidRPr="00A23740">
              <w:rPr>
                <w:b/>
                <w:bCs/>
                <w:color w:val="0000FF"/>
                <w:szCs w:val="24"/>
                <w:lang w:eastAsia="x-none"/>
              </w:rPr>
              <w:t>İKİNCİ KISIM</w:t>
            </w:r>
          </w:p>
          <w:p w:rsidR="00A043AD" w:rsidRPr="00A23740" w:rsidRDefault="00A043AD" w:rsidP="00750F08">
            <w:pPr>
              <w:tabs>
                <w:tab w:val="left" w:pos="567"/>
              </w:tabs>
              <w:jc w:val="center"/>
              <w:rPr>
                <w:b/>
                <w:bCs/>
                <w:color w:val="0000FF"/>
                <w:szCs w:val="24"/>
                <w:lang w:eastAsia="x-none"/>
              </w:rPr>
            </w:pPr>
            <w:r w:rsidRPr="00620564">
              <w:rPr>
                <w:rStyle w:val="YELChar"/>
                <w:color w:val="0000FF"/>
              </w:rPr>
              <w:t>Disipline Aykırı Fiiller ve Suçlarda</w:t>
            </w:r>
            <w:r w:rsidRPr="00A23740">
              <w:rPr>
                <w:b/>
                <w:bCs/>
                <w:color w:val="0000FF"/>
                <w:szCs w:val="24"/>
                <w:lang w:eastAsia="x-none"/>
              </w:rPr>
              <w:t xml:space="preserve"> Şikâyet, Yargılama Usulü ve Kanun Yolları</w:t>
            </w:r>
          </w:p>
          <w:p w:rsidR="00A043AD" w:rsidRPr="00A23740" w:rsidRDefault="00A043AD" w:rsidP="00750F08">
            <w:pPr>
              <w:tabs>
                <w:tab w:val="left" w:pos="567"/>
              </w:tabs>
              <w:rPr>
                <w:rFonts w:ascii="New York" w:eastAsia="Times New Roman" w:hAnsi="New York"/>
                <w:sz w:val="18"/>
                <w:szCs w:val="20"/>
                <w:lang w:eastAsia="tr-TR"/>
              </w:rPr>
            </w:pPr>
          </w:p>
          <w:p w:rsidR="00A043AD" w:rsidRPr="00A23740" w:rsidRDefault="00A043AD" w:rsidP="00750F08">
            <w:pPr>
              <w:rPr>
                <w:rFonts w:eastAsia="Times New Roman"/>
                <w:b/>
                <w:szCs w:val="24"/>
                <w:lang w:eastAsia="tr-TR"/>
              </w:rPr>
            </w:pPr>
            <w:r w:rsidRPr="00A23740">
              <w:rPr>
                <w:rFonts w:eastAsia="Times New Roman"/>
                <w:b/>
                <w:szCs w:val="24"/>
                <w:lang w:eastAsia="tr-TR"/>
              </w:rPr>
              <w:t>Görev</w:t>
            </w:r>
          </w:p>
          <w:p w:rsidR="00A043AD" w:rsidRPr="00A23740" w:rsidRDefault="00A043AD" w:rsidP="00750F08">
            <w:pPr>
              <w:rPr>
                <w:rFonts w:eastAsia="Times New Roman"/>
                <w:i/>
                <w:szCs w:val="24"/>
                <w:lang w:eastAsia="tr-TR"/>
              </w:rPr>
            </w:pPr>
            <w:r w:rsidRPr="00A23740">
              <w:rPr>
                <w:rFonts w:eastAsia="Times New Roman"/>
                <w:b/>
                <w:color w:val="0000FF"/>
                <w:szCs w:val="24"/>
              </w:rPr>
              <w:t>MADDE 530- (1)</w:t>
            </w:r>
            <w:r w:rsidRPr="00A23740">
              <w:rPr>
                <w:rFonts w:eastAsia="Times New Roman"/>
                <w:b/>
                <w:szCs w:val="24"/>
                <w:lang w:eastAsia="tr-TR"/>
              </w:rPr>
              <w:t xml:space="preserve"> </w:t>
            </w:r>
            <w:r w:rsidRPr="00A23740">
              <w:rPr>
                <w:rFonts w:eastAsia="Times New Roman"/>
                <w:szCs w:val="24"/>
                <w:lang w:eastAsia="tr-TR"/>
              </w:rPr>
              <w:t>Bu Kanun</w:t>
            </w:r>
            <w:r w:rsidRPr="00A23740">
              <w:rPr>
                <w:b/>
                <w:color w:val="0000FF"/>
                <w:szCs w:val="24"/>
              </w:rPr>
              <w:t>da düzenlen</w:t>
            </w:r>
            <w:r w:rsidR="002F55D4" w:rsidRPr="00620564">
              <w:rPr>
                <w:b/>
                <w:color w:val="0000FF"/>
                <w:szCs w:val="24"/>
              </w:rPr>
              <w:t>ip</w:t>
            </w:r>
            <w:r w:rsidR="00AE183E">
              <w:rPr>
                <w:b/>
                <w:color w:val="0000FF"/>
                <w:szCs w:val="24"/>
              </w:rPr>
              <w:t xml:space="preserve"> </w:t>
            </w:r>
            <w:r w:rsidRPr="00A23740">
              <w:rPr>
                <w:bCs/>
                <w:szCs w:val="24"/>
                <w:lang w:eastAsia="x-none"/>
              </w:rPr>
              <w:t>disiplin veya tazyik hapsi</w:t>
            </w:r>
            <w:r w:rsidRPr="00A23740">
              <w:rPr>
                <w:b/>
                <w:bCs/>
                <w:color w:val="0000FF"/>
                <w:szCs w:val="24"/>
                <w:lang w:eastAsia="x-none"/>
              </w:rPr>
              <w:t xml:space="preserve">ni gerektiren fiiller </w:t>
            </w:r>
            <w:r w:rsidRPr="00620564">
              <w:rPr>
                <w:rStyle w:val="YELChar"/>
                <w:color w:val="0000FF"/>
              </w:rPr>
              <w:t>ile suçlar</w:t>
            </w:r>
            <w:r w:rsidRPr="00620564">
              <w:rPr>
                <w:b/>
                <w:bCs/>
                <w:color w:val="0000FF"/>
                <w:szCs w:val="24"/>
                <w:lang w:eastAsia="x-none"/>
              </w:rPr>
              <w:t xml:space="preserve"> </w:t>
            </w:r>
            <w:r w:rsidRPr="00A23740">
              <w:rPr>
                <w:b/>
                <w:bCs/>
                <w:color w:val="0000FF"/>
                <w:szCs w:val="24"/>
                <w:lang w:eastAsia="x-none"/>
              </w:rPr>
              <w:t>nedeniyle açılan davalar</w:t>
            </w:r>
            <w:r w:rsidRPr="00A23740">
              <w:rPr>
                <w:b/>
                <w:bCs/>
                <w:color w:val="0000FF"/>
                <w:szCs w:val="24"/>
                <w:lang w:val="x-none" w:eastAsia="x-none"/>
              </w:rPr>
              <w:t>,</w:t>
            </w:r>
            <w:r w:rsidRPr="00A23740">
              <w:rPr>
                <w:b/>
                <w:bCs/>
                <w:color w:val="0000FF"/>
                <w:szCs w:val="24"/>
                <w:lang w:eastAsia="x-none"/>
              </w:rPr>
              <w:t xml:space="preserve"> icra ceza mahkemesinde görülür.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color w:val="0000FF"/>
                <w:szCs w:val="24"/>
              </w:rPr>
            </w:pPr>
          </w:p>
          <w:p w:rsidR="00A043AD" w:rsidRPr="00A23740" w:rsidRDefault="00A043AD" w:rsidP="00750F08">
            <w:pPr>
              <w:rPr>
                <w:rFonts w:eastAsia="Times New Roman"/>
                <w:szCs w:val="24"/>
                <w:lang w:eastAsia="tr-TR"/>
              </w:rPr>
            </w:pPr>
            <w:r w:rsidRPr="00A23740">
              <w:rPr>
                <w:rFonts w:eastAsia="Times New Roman"/>
                <w:b/>
                <w:color w:val="0000FF"/>
                <w:szCs w:val="24"/>
              </w:rPr>
              <w:t>(2)</w:t>
            </w:r>
            <w:r w:rsidRPr="00A23740">
              <w:rPr>
                <w:rFonts w:eastAsia="Times New Roman"/>
                <w:szCs w:val="24"/>
                <w:lang w:eastAsia="tr-TR"/>
              </w:rPr>
              <w:t xml:space="preserve"> İcra </w:t>
            </w:r>
            <w:r w:rsidRPr="00A23740">
              <w:rPr>
                <w:rFonts w:eastAsia="Times New Roman"/>
                <w:b/>
                <w:bCs/>
                <w:color w:val="0000FF"/>
                <w:szCs w:val="24"/>
                <w:lang w:eastAsia="x-none"/>
              </w:rPr>
              <w:t>ceza</w:t>
            </w:r>
            <w:r w:rsidRPr="00A23740">
              <w:rPr>
                <w:rFonts w:eastAsia="Times New Roman"/>
                <w:szCs w:val="24"/>
                <w:lang w:eastAsia="tr-TR"/>
              </w:rPr>
              <w:t xml:space="preserve"> mahkemesinin görevine giren </w:t>
            </w:r>
            <w:r w:rsidRPr="00A23740">
              <w:rPr>
                <w:rFonts w:eastAsia="Times New Roman"/>
                <w:b/>
                <w:bCs/>
                <w:color w:val="0000FF"/>
                <w:szCs w:val="24"/>
                <w:lang w:eastAsia="x-none"/>
              </w:rPr>
              <w:t>davalar</w:t>
            </w:r>
            <w:r w:rsidRPr="00A23740">
              <w:rPr>
                <w:rFonts w:eastAsia="Times New Roman"/>
                <w:szCs w:val="24"/>
                <w:lang w:eastAsia="tr-TR"/>
              </w:rPr>
              <w:t>, diğer mahkemelerde görülen ceza davaları</w:t>
            </w:r>
            <w:r w:rsidR="00D3194D" w:rsidRPr="00620564">
              <w:rPr>
                <w:rFonts w:eastAsia="Times New Roman"/>
                <w:b/>
                <w:color w:val="0000FF"/>
                <w:szCs w:val="24"/>
                <w:lang w:eastAsia="tr-TR"/>
              </w:rPr>
              <w:t>yla</w:t>
            </w:r>
            <w:r w:rsidRPr="00A23740">
              <w:rPr>
                <w:rFonts w:eastAsia="Times New Roman"/>
                <w:szCs w:val="24"/>
                <w:lang w:eastAsia="tr-TR"/>
              </w:rPr>
              <w:t xml:space="preserve"> birleştirilemez.</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strike/>
                <w:color w:val="FF0000"/>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MADDE 530-</w:t>
            </w:r>
            <w:r w:rsidRPr="00A23740">
              <w:rPr>
                <w:rFonts w:eastAsia="Times New Roman"/>
                <w:szCs w:val="24"/>
                <w:lang w:eastAsia="tr-TR"/>
              </w:rPr>
              <w:t xml:space="preserve"> Maddeyle, icra ceza mahkemelerinin görevi düzenlenmektedir. Bu hüküm, 2004 sayılı Kanunun 346 ncı maddesine karşılık gelmektedir.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Birinci fıkrayla, bu Kanunda düzenlenen </w:t>
            </w:r>
            <w:r w:rsidR="002457AC" w:rsidRPr="00A23740">
              <w:rPr>
                <w:rFonts w:eastAsia="Times New Roman"/>
                <w:szCs w:val="24"/>
                <w:lang w:eastAsia="tr-TR"/>
              </w:rPr>
              <w:t xml:space="preserve">ve </w:t>
            </w:r>
            <w:r w:rsidRPr="00A23740">
              <w:rPr>
                <w:rFonts w:eastAsia="Times New Roman"/>
                <w:szCs w:val="24"/>
                <w:lang w:eastAsia="tr-TR"/>
              </w:rPr>
              <w:t xml:space="preserve">disiplin veya tazyik hapsini gerektiren fiiller </w:t>
            </w:r>
            <w:r w:rsidRPr="00620564">
              <w:rPr>
                <w:rFonts w:eastAsia="Times New Roman"/>
                <w:szCs w:val="24"/>
                <w:lang w:eastAsia="tr-TR"/>
              </w:rPr>
              <w:t>ile</w:t>
            </w:r>
            <w:r w:rsidRPr="00A23740">
              <w:rPr>
                <w:rStyle w:val="YELChar"/>
              </w:rPr>
              <w:t xml:space="preserve"> </w:t>
            </w:r>
            <w:r w:rsidRPr="00620564">
              <w:rPr>
                <w:rFonts w:eastAsia="Times New Roman"/>
                <w:szCs w:val="24"/>
                <w:lang w:eastAsia="tr-TR"/>
              </w:rPr>
              <w:t>suçlar</w:t>
            </w:r>
            <w:r w:rsidRPr="00A23740">
              <w:rPr>
                <w:rFonts w:eastAsia="Times New Roman"/>
                <w:szCs w:val="24"/>
                <w:lang w:eastAsia="tr-TR"/>
              </w:rPr>
              <w:t xml:space="preserve"> nedeniyle açılan davaların, icra ceza mahkemesinde görüleceği hükme bağlanmaktadır. İcra ceza mahkemelerinin kuruluşu ve yargı çevresine ilişkin hükümler İcra </w:t>
            </w:r>
            <w:r w:rsidRPr="00A23740">
              <w:t>Mahkemeleri</w:t>
            </w:r>
            <w:r w:rsidRPr="00A23740">
              <w:rPr>
                <w:b/>
              </w:rPr>
              <w:t xml:space="preserve"> </w:t>
            </w:r>
            <w:r w:rsidRPr="00A23740">
              <w:rPr>
                <w:rFonts w:eastAsia="Times New Roman"/>
                <w:szCs w:val="24"/>
                <w:lang w:eastAsia="tr-TR"/>
              </w:rPr>
              <w:t xml:space="preserve">ve İflas Mahkemeleri ile İcra Teşkilatı Hakkında Kanun Teklifi Taslağında düzenlenmektedir. Bu kapsamda, 2004 sayılı Kanunun 346 ncı maddesinin üçüncü fıkrası birinci fıkraya içerik olarak eklenmektedir. </w:t>
            </w:r>
            <w:r w:rsidRPr="00A23740">
              <w:rPr>
                <w:rFonts w:eastAsia="Arial Unicode MS"/>
                <w:iCs/>
                <w:szCs w:val="24"/>
                <w:lang w:eastAsia="tr-TR"/>
              </w:rPr>
              <w:t>Bu Kitapta yer alan cezai hükümler, disipline aykırı fiilleri ve suçları kapsamaktadır. Disipline aykırı fiillerle ilgili</w:t>
            </w:r>
            <w:r w:rsidR="00955D60">
              <w:rPr>
                <w:rFonts w:eastAsia="Arial Unicode MS"/>
                <w:iCs/>
                <w:szCs w:val="24"/>
                <w:lang w:eastAsia="tr-TR"/>
              </w:rPr>
              <w:t xml:space="preserve"> </w:t>
            </w:r>
            <w:r w:rsidR="002457AC" w:rsidRPr="00A23740">
              <w:rPr>
                <w:rFonts w:eastAsia="Arial Unicode MS"/>
                <w:iCs/>
                <w:szCs w:val="24"/>
                <w:lang w:eastAsia="tr-TR"/>
              </w:rPr>
              <w:t>müeyyideler</w:t>
            </w:r>
            <w:r w:rsidRPr="00A23740">
              <w:rPr>
                <w:rFonts w:eastAsia="Arial Unicode MS"/>
                <w:iCs/>
                <w:szCs w:val="24"/>
                <w:lang w:eastAsia="tr-TR"/>
              </w:rPr>
              <w:t>, disiplin hapsi ve tazyik hapsi</w:t>
            </w:r>
            <w:r w:rsidR="002457AC" w:rsidRPr="00A23740">
              <w:rPr>
                <w:rFonts w:eastAsia="Arial Unicode MS"/>
                <w:iCs/>
                <w:szCs w:val="24"/>
                <w:lang w:eastAsia="tr-TR"/>
              </w:rPr>
              <w:t>;</w:t>
            </w:r>
            <w:r w:rsidRPr="00A23740">
              <w:rPr>
                <w:rFonts w:eastAsia="Arial Unicode MS"/>
                <w:iCs/>
                <w:szCs w:val="24"/>
                <w:lang w:eastAsia="tr-TR"/>
              </w:rPr>
              <w:t xml:space="preserve"> suçlarla ilgili yaptırımlar ise hapis ve adli para cezasıdır. Disipline aykırı fiiller</w:t>
            </w:r>
            <w:r w:rsidR="00955D60">
              <w:rPr>
                <w:rFonts w:eastAsia="Arial Unicode MS"/>
                <w:iCs/>
                <w:szCs w:val="24"/>
                <w:lang w:eastAsia="tr-TR"/>
              </w:rPr>
              <w:t xml:space="preserve"> </w:t>
            </w:r>
            <w:r w:rsidR="002457AC" w:rsidRPr="00A23740">
              <w:rPr>
                <w:rFonts w:eastAsia="Arial Unicode MS"/>
                <w:iCs/>
                <w:szCs w:val="24"/>
                <w:lang w:eastAsia="tr-TR"/>
              </w:rPr>
              <w:t xml:space="preserve">nedeniyle </w:t>
            </w:r>
            <w:r w:rsidRPr="00A23740">
              <w:rPr>
                <w:rFonts w:eastAsia="Arial Unicode MS"/>
                <w:iCs/>
                <w:szCs w:val="24"/>
                <w:lang w:eastAsia="tr-TR"/>
              </w:rPr>
              <w:t>hakkında dava açılan kişiler “şikâyet edilen”</w:t>
            </w:r>
            <w:r w:rsidR="002457AC" w:rsidRPr="00A23740">
              <w:rPr>
                <w:rFonts w:eastAsia="Arial Unicode MS"/>
                <w:iCs/>
                <w:szCs w:val="24"/>
                <w:lang w:eastAsia="tr-TR"/>
              </w:rPr>
              <w:t>;</w:t>
            </w:r>
            <w:r w:rsidRPr="00A23740">
              <w:rPr>
                <w:rFonts w:eastAsia="Arial Unicode MS"/>
                <w:iCs/>
                <w:szCs w:val="24"/>
                <w:lang w:eastAsia="tr-TR"/>
              </w:rPr>
              <w:t xml:space="preserve"> suçlarla ilgili </w:t>
            </w:r>
            <w:r w:rsidR="002457AC" w:rsidRPr="00A23740">
              <w:rPr>
                <w:rFonts w:eastAsia="Arial Unicode MS"/>
                <w:iCs/>
                <w:szCs w:val="24"/>
                <w:lang w:eastAsia="tr-TR"/>
              </w:rPr>
              <w:t xml:space="preserve">olarak </w:t>
            </w:r>
            <w:r w:rsidRPr="00A23740">
              <w:rPr>
                <w:rFonts w:eastAsia="Arial Unicode MS"/>
                <w:iCs/>
                <w:szCs w:val="24"/>
                <w:lang w:eastAsia="tr-TR"/>
              </w:rPr>
              <w:t>hakkında dava açılan kişiler ise “sanık” olarak kabu</w:t>
            </w:r>
            <w:r w:rsidR="00DE05B8" w:rsidRPr="00A23740">
              <w:rPr>
                <w:rFonts w:eastAsia="Arial Unicode MS"/>
                <w:iCs/>
                <w:szCs w:val="24"/>
                <w:lang w:eastAsia="tr-TR"/>
              </w:rPr>
              <w:t>l edilmektedir.</w:t>
            </w:r>
          </w:p>
          <w:p w:rsidR="00A043AD" w:rsidRPr="00A23740" w:rsidRDefault="00A043AD" w:rsidP="00750F08">
            <w:pPr>
              <w:ind w:firstLine="709"/>
              <w:rPr>
                <w:rFonts w:eastAsia="Arial Unicode MS"/>
                <w:b/>
                <w:iCs/>
                <w:szCs w:val="24"/>
                <w:lang w:eastAsia="tr-TR"/>
              </w:rPr>
            </w:pPr>
            <w:r w:rsidRPr="00A23740">
              <w:rPr>
                <w:rFonts w:eastAsia="Times New Roman"/>
                <w:szCs w:val="24"/>
                <w:lang w:eastAsia="tr-TR"/>
              </w:rPr>
              <w:t>İkinci fıkrayla, icra ceza mahkemesinin görevine giren davaların, diğer mahkemelerde görülen ceza davalarıyla birleştirilemeyeceği hüküm altına alınmaktadır.</w:t>
            </w:r>
          </w:p>
          <w:p w:rsidR="00A043AD" w:rsidRPr="00A23740" w:rsidRDefault="00A043AD" w:rsidP="000C3326">
            <w:pPr>
              <w:widowControl w:val="0"/>
              <w:suppressLineNumbers/>
              <w:tabs>
                <w:tab w:val="left" w:pos="540"/>
              </w:tabs>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Yetki </w:t>
            </w:r>
            <w:r w:rsidRPr="00A23740">
              <w:rPr>
                <w:rFonts w:eastAsia="Times New Roman"/>
                <w:b/>
                <w:strike/>
                <w:color w:val="FF0000"/>
                <w:szCs w:val="24"/>
                <w:lang w:eastAsia="x-none"/>
              </w:rPr>
              <w:t>:</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348</w:t>
            </w:r>
            <w:r w:rsidRPr="00A23740">
              <w:rPr>
                <w:rFonts w:eastAsia="Times New Roman"/>
                <w:b/>
                <w:szCs w:val="24"/>
                <w:lang w:eastAsia="tr-TR"/>
              </w:rPr>
              <w:t xml:space="preserve"> – </w:t>
            </w:r>
            <w:r w:rsidRPr="00A23740">
              <w:rPr>
                <w:rFonts w:eastAsia="Times New Roman"/>
                <w:b/>
                <w:szCs w:val="24"/>
                <w:lang w:eastAsia="x-none"/>
              </w:rPr>
              <w:t>(1)</w:t>
            </w:r>
            <w:r w:rsidRPr="00A23740">
              <w:rPr>
                <w:rFonts w:eastAsia="Times New Roman"/>
                <w:b/>
                <w:i/>
                <w:szCs w:val="24"/>
                <w:lang w:eastAsia="x-none"/>
              </w:rPr>
              <w:t xml:space="preserve"> </w:t>
            </w:r>
            <w:r w:rsidRPr="00A23740">
              <w:rPr>
                <w:rFonts w:eastAsia="Times New Roman"/>
                <w:b/>
                <w:strike/>
                <w:color w:val="FF0000"/>
                <w:szCs w:val="24"/>
                <w:lang w:eastAsia="x-none"/>
              </w:rPr>
              <w:t>(Değişik: 31/5/2005-5358/20 md.)</w:t>
            </w:r>
          </w:p>
          <w:p w:rsidR="00A043AD" w:rsidRPr="00A23740" w:rsidRDefault="00A043AD" w:rsidP="00750F08">
            <w:pPr>
              <w:rPr>
                <w:rFonts w:eastAsia="Times New Roman"/>
                <w:b/>
                <w:strike/>
                <w:color w:val="FF0000"/>
                <w:szCs w:val="24"/>
                <w:lang w:eastAsia="x-none"/>
              </w:rPr>
            </w:pPr>
            <w:r w:rsidRPr="00A23740">
              <w:rPr>
                <w:rFonts w:eastAsia="Arial Unicode MS"/>
                <w:iCs/>
                <w:szCs w:val="24"/>
                <w:lang w:eastAsia="tr-TR"/>
              </w:rPr>
              <w:t xml:space="preserve">Bu </w:t>
            </w:r>
            <w:r w:rsidRPr="00A23740">
              <w:rPr>
                <w:rFonts w:eastAsia="Times New Roman"/>
                <w:b/>
                <w:strike/>
                <w:color w:val="FF0000"/>
                <w:szCs w:val="24"/>
                <w:lang w:eastAsia="x-none"/>
              </w:rPr>
              <w:t>Bapta yer alan</w:t>
            </w:r>
            <w:r w:rsidRPr="00A23740">
              <w:rPr>
                <w:rFonts w:eastAsia="Arial Unicode MS"/>
                <w:iCs/>
                <w:szCs w:val="24"/>
                <w:lang w:eastAsia="tr-TR"/>
              </w:rPr>
              <w:t xml:space="preserve"> fiiller</w:t>
            </w:r>
            <w:r w:rsidRPr="00A23740">
              <w:rPr>
                <w:rFonts w:eastAsia="Times New Roman"/>
                <w:b/>
                <w:strike/>
                <w:color w:val="FF0000"/>
                <w:szCs w:val="24"/>
                <w:lang w:eastAsia="x-none"/>
              </w:rPr>
              <w:t>den dolayı</w:t>
            </w:r>
            <w:r w:rsidRPr="00A23740">
              <w:rPr>
                <w:rFonts w:eastAsia="Arial Unicode MS"/>
                <w:iCs/>
                <w:szCs w:val="24"/>
                <w:lang w:eastAsia="tr-TR"/>
              </w:rPr>
              <w:t xml:space="preserve"> yetki</w:t>
            </w:r>
            <w:r w:rsidRPr="00A23740">
              <w:rPr>
                <w:rFonts w:eastAsia="Times New Roman"/>
                <w:b/>
                <w:strike/>
                <w:color w:val="FF0000"/>
                <w:szCs w:val="24"/>
                <w:lang w:eastAsia="x-none"/>
              </w:rPr>
              <w:t>li icra mahkemesi,</w:t>
            </w:r>
            <w:r w:rsidRPr="00A23740">
              <w:rPr>
                <w:rFonts w:eastAsia="Arial Unicode MS"/>
                <w:iCs/>
                <w:szCs w:val="24"/>
                <w:lang w:eastAsia="tr-TR"/>
              </w:rPr>
              <w:t xml:space="preserve"> icra takibinin yapıldığı yer</w:t>
            </w:r>
            <w:r w:rsidRPr="00A23740">
              <w:rPr>
                <w:rFonts w:eastAsia="Times New Roman"/>
                <w:b/>
                <w:strike/>
                <w:color w:val="FF0000"/>
                <w:szCs w:val="24"/>
                <w:lang w:eastAsia="x-none"/>
              </w:rPr>
              <w:t>deki</w:t>
            </w:r>
            <w:r w:rsidRPr="00A23740">
              <w:rPr>
                <w:rFonts w:eastAsia="Arial Unicode MS"/>
                <w:iCs/>
                <w:szCs w:val="24"/>
                <w:lang w:eastAsia="tr-TR"/>
              </w:rPr>
              <w:t xml:space="preserve"> mahkeme</w:t>
            </w:r>
            <w:r w:rsidRPr="00A23740">
              <w:rPr>
                <w:rFonts w:eastAsia="Times New Roman"/>
                <w:b/>
                <w:strike/>
                <w:color w:val="FF0000"/>
                <w:szCs w:val="24"/>
                <w:lang w:eastAsia="x-none"/>
              </w:rPr>
              <w:t>dir.</w:t>
            </w: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Yetki</w:t>
            </w:r>
          </w:p>
          <w:p w:rsidR="00A043AD" w:rsidRPr="00A23740" w:rsidRDefault="00A043AD" w:rsidP="00750F08">
            <w:pPr>
              <w:rPr>
                <w:rFonts w:eastAsia="Times New Roman"/>
                <w:b/>
                <w:color w:val="0000FF"/>
                <w:szCs w:val="24"/>
              </w:rPr>
            </w:pPr>
            <w:r w:rsidRPr="00A23740">
              <w:rPr>
                <w:rFonts w:eastAsia="Times New Roman"/>
                <w:b/>
                <w:color w:val="0000FF"/>
                <w:szCs w:val="24"/>
              </w:rPr>
              <w:t>MADDE 531- (1)</w:t>
            </w:r>
            <w:r w:rsidRPr="00A23740">
              <w:rPr>
                <w:rFonts w:eastAsia="Arial Unicode MS"/>
                <w:iCs/>
                <w:szCs w:val="24"/>
                <w:lang w:eastAsia="tr-TR"/>
              </w:rPr>
              <w:t xml:space="preserve"> Bu</w:t>
            </w:r>
            <w:r w:rsidRPr="00A23740">
              <w:rPr>
                <w:rFonts w:eastAsia="Times New Roman"/>
                <w:b/>
                <w:color w:val="0000FF"/>
                <w:szCs w:val="24"/>
              </w:rPr>
              <w:t xml:space="preserve"> Kanun</w:t>
            </w:r>
            <w:r w:rsidR="00D3194D" w:rsidRPr="00620564">
              <w:rPr>
                <w:rFonts w:eastAsia="Times New Roman"/>
                <w:b/>
                <w:color w:val="0000FF"/>
                <w:szCs w:val="24"/>
              </w:rPr>
              <w:t>a</w:t>
            </w:r>
            <w:r w:rsidRPr="00A23740">
              <w:rPr>
                <w:rFonts w:eastAsia="Times New Roman"/>
                <w:b/>
                <w:color w:val="0000FF"/>
                <w:szCs w:val="24"/>
              </w:rPr>
              <w:t xml:space="preserve"> </w:t>
            </w:r>
            <w:r w:rsidR="00D3194D" w:rsidRPr="00620564">
              <w:rPr>
                <w:rFonts w:eastAsia="Times New Roman"/>
                <w:b/>
                <w:color w:val="0000FF"/>
                <w:szCs w:val="24"/>
              </w:rPr>
              <w:t>göre</w:t>
            </w:r>
            <w:r w:rsidR="00D3194D" w:rsidRPr="00A23740">
              <w:rPr>
                <w:rFonts w:eastAsia="Times New Roman"/>
                <w:b/>
                <w:color w:val="0000FF"/>
                <w:szCs w:val="24"/>
              </w:rPr>
              <w:t xml:space="preserve"> </w:t>
            </w:r>
            <w:r w:rsidRPr="00A23740">
              <w:rPr>
                <w:rFonts w:eastAsia="Times New Roman"/>
                <w:b/>
                <w:color w:val="0000FF"/>
                <w:szCs w:val="24"/>
              </w:rPr>
              <w:t xml:space="preserve">disiplin veya tazyik hapsini </w:t>
            </w:r>
            <w:r w:rsidRPr="00A23740">
              <w:rPr>
                <w:rFonts w:eastAsia="Times New Roman"/>
                <w:b/>
                <w:bCs/>
                <w:color w:val="0000FF"/>
                <w:szCs w:val="24"/>
                <w:lang w:eastAsia="x-none"/>
              </w:rPr>
              <w:t>gerektiren</w:t>
            </w:r>
            <w:r w:rsidRPr="00A23740">
              <w:rPr>
                <w:rFonts w:eastAsia="Arial Unicode MS"/>
                <w:iCs/>
                <w:szCs w:val="24"/>
                <w:lang w:eastAsia="tr-TR"/>
              </w:rPr>
              <w:t xml:space="preserve"> fiiller </w:t>
            </w:r>
            <w:r w:rsidRPr="00620564">
              <w:rPr>
                <w:rStyle w:val="YELChar"/>
                <w:color w:val="0000FF"/>
              </w:rPr>
              <w:t>ile suçlar</w:t>
            </w:r>
            <w:r w:rsidRPr="00A23740">
              <w:rPr>
                <w:rFonts w:eastAsia="Arial Unicode MS"/>
                <w:iCs/>
                <w:szCs w:val="24"/>
                <w:lang w:eastAsia="tr-TR"/>
              </w:rPr>
              <w:t xml:space="preserve"> </w:t>
            </w:r>
            <w:r w:rsidRPr="00A23740">
              <w:rPr>
                <w:rFonts w:eastAsia="Times New Roman"/>
                <w:b/>
                <w:color w:val="0000FF"/>
                <w:szCs w:val="24"/>
              </w:rPr>
              <w:t xml:space="preserve">nedeniyle açılacak </w:t>
            </w:r>
            <w:r w:rsidRPr="00620564">
              <w:rPr>
                <w:rStyle w:val="YELChar"/>
                <w:color w:val="0000FF"/>
              </w:rPr>
              <w:t>davalarda</w:t>
            </w:r>
            <w:r w:rsidRPr="00A23740">
              <w:rPr>
                <w:rFonts w:eastAsia="Times New Roman"/>
                <w:b/>
                <w:color w:val="0000FF"/>
                <w:szCs w:val="24"/>
              </w:rPr>
              <w:t xml:space="preserve"> </w:t>
            </w:r>
            <w:r w:rsidRPr="00620564">
              <w:rPr>
                <w:rStyle w:val="YELChar"/>
                <w:color w:val="0000FF"/>
              </w:rPr>
              <w:t>takibin</w:t>
            </w:r>
            <w:r w:rsidRPr="00A23740">
              <w:rPr>
                <w:rFonts w:eastAsia="Arial Unicode MS"/>
                <w:iCs/>
                <w:szCs w:val="24"/>
                <w:lang w:eastAsia="tr-TR"/>
              </w:rPr>
              <w:t xml:space="preserve"> yapıldığı yer </w:t>
            </w:r>
            <w:r w:rsidRPr="00620564">
              <w:rPr>
                <w:rStyle w:val="YELChar"/>
                <w:color w:val="0000FF"/>
              </w:rPr>
              <w:t>mahkemesi yetkilidir</w:t>
            </w:r>
            <w:r w:rsidRPr="00A23740">
              <w:rPr>
                <w:rFonts w:eastAsia="Times New Roman"/>
                <w:b/>
                <w:color w:val="0000FF"/>
                <w:szCs w:val="24"/>
              </w:rPr>
              <w:t>.</w:t>
            </w:r>
          </w:p>
          <w:p w:rsidR="00A043AD" w:rsidRPr="00A23740" w:rsidRDefault="00A043AD" w:rsidP="00750F08">
            <w:pPr>
              <w:tabs>
                <w:tab w:val="left" w:pos="567"/>
              </w:tabs>
              <w:rPr>
                <w:rFonts w:eastAsia="Times New Roman"/>
                <w:b/>
                <w:color w:val="0000FF"/>
                <w:szCs w:val="24"/>
              </w:rPr>
            </w:pP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 xml:space="preserve">(2) Takip </w:t>
            </w:r>
            <w:r w:rsidRPr="00A23740">
              <w:rPr>
                <w:b/>
                <w:bCs/>
                <w:color w:val="0000FF"/>
                <w:szCs w:val="24"/>
                <w:lang w:val="x-none" w:eastAsia="x-none"/>
              </w:rPr>
              <w:t>yapılmayan h</w:t>
            </w:r>
            <w:r w:rsidR="0081540B" w:rsidRPr="00A23740">
              <w:rPr>
                <w:b/>
                <w:bCs/>
                <w:color w:val="0000FF"/>
                <w:szCs w:val="24"/>
                <w:lang w:eastAsia="x-none"/>
              </w:rPr>
              <w:t>â</w:t>
            </w:r>
            <w:r w:rsidRPr="00A23740">
              <w:rPr>
                <w:b/>
                <w:bCs/>
                <w:color w:val="0000FF"/>
                <w:szCs w:val="24"/>
                <w:lang w:val="x-none" w:eastAsia="x-none"/>
              </w:rPr>
              <w:t>llerde, suçun veya</w:t>
            </w:r>
            <w:r w:rsidRPr="00A23740">
              <w:rPr>
                <w:rFonts w:eastAsia="Times New Roman"/>
                <w:b/>
                <w:bCs/>
                <w:color w:val="0000FF"/>
                <w:szCs w:val="24"/>
                <w:lang w:eastAsia="x-none"/>
              </w:rPr>
              <w:t xml:space="preserve"> fiilin işlendiği yer mahkemesi </w:t>
            </w:r>
            <w:r w:rsidRPr="00A23740">
              <w:rPr>
                <w:b/>
                <w:bCs/>
                <w:color w:val="0000FF"/>
                <w:szCs w:val="24"/>
                <w:lang w:val="x-none" w:eastAsia="x-none"/>
              </w:rPr>
              <w:t>yetkilidir.</w:t>
            </w:r>
          </w:p>
          <w:p w:rsidR="00A043AD" w:rsidRPr="00A23740" w:rsidRDefault="00A043AD" w:rsidP="00750F08">
            <w:pPr>
              <w:tabs>
                <w:tab w:val="left" w:pos="567"/>
              </w:tabs>
              <w:rPr>
                <w:rFonts w:eastAsia="Times New Roman"/>
                <w:bCs/>
                <w:strike/>
                <w:color w:val="FF0000"/>
                <w:szCs w:val="24"/>
                <w:lang w:eastAsia="x-none"/>
              </w:rPr>
            </w:pP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s>
              <w:ind w:firstLine="709"/>
              <w:rPr>
                <w:rFonts w:eastAsia="Arial Unicode MS"/>
                <w:b/>
                <w:iCs/>
                <w:szCs w:val="24"/>
                <w:lang w:eastAsia="tr-TR"/>
              </w:rPr>
            </w:pPr>
          </w:p>
          <w:p w:rsidR="00A043AD" w:rsidRPr="00A23740" w:rsidRDefault="00A043AD" w:rsidP="00750F08">
            <w:pPr>
              <w:widowControl w:val="0"/>
              <w:suppressLineNumbers/>
              <w:tabs>
                <w:tab w:val="left" w:pos="540"/>
              </w:tabs>
              <w:ind w:firstLine="709"/>
              <w:rPr>
                <w:rFonts w:eastAsia="Times New Roman"/>
                <w:szCs w:val="24"/>
                <w:lang w:eastAsia="tr-TR"/>
              </w:rPr>
            </w:pPr>
            <w:r w:rsidRPr="00A23740">
              <w:rPr>
                <w:rFonts w:eastAsia="Arial Unicode MS"/>
                <w:b/>
                <w:iCs/>
                <w:szCs w:val="24"/>
                <w:lang w:eastAsia="tr-TR"/>
              </w:rPr>
              <w:t>MADDE 531-</w:t>
            </w:r>
            <w:r w:rsidRPr="00A23740">
              <w:rPr>
                <w:rFonts w:eastAsia="Arial Unicode MS"/>
                <w:iCs/>
                <w:szCs w:val="24"/>
                <w:lang w:eastAsia="tr-TR"/>
              </w:rPr>
              <w:t xml:space="preserve"> </w:t>
            </w:r>
            <w:r w:rsidRPr="00A23740">
              <w:rPr>
                <w:rFonts w:eastAsia="Times New Roman"/>
                <w:szCs w:val="24"/>
                <w:lang w:eastAsia="tr-TR"/>
              </w:rPr>
              <w:t xml:space="preserve">Maddeyle, icra ceza mahkemesinin yetkisi düzenlenmektedir. Bu hüküm, 2004 sayılı Kanunun 348 inci maddesine karşılık gelmektedir. </w:t>
            </w:r>
          </w:p>
          <w:p w:rsidR="00A043AD" w:rsidRPr="00A23740" w:rsidRDefault="00A043AD" w:rsidP="00750F08">
            <w:pPr>
              <w:widowControl w:val="0"/>
              <w:suppressLineNumbers/>
              <w:tabs>
                <w:tab w:val="left" w:pos="540"/>
              </w:tabs>
              <w:ind w:firstLine="709"/>
              <w:rPr>
                <w:rFonts w:eastAsia="Times New Roman"/>
                <w:szCs w:val="24"/>
                <w:lang w:eastAsia="tr-TR"/>
              </w:rPr>
            </w:pPr>
            <w:r w:rsidRPr="00A23740">
              <w:rPr>
                <w:rFonts w:eastAsia="Times New Roman"/>
                <w:szCs w:val="24"/>
                <w:lang w:eastAsia="tr-TR"/>
              </w:rPr>
              <w:t xml:space="preserve">Birinci fıkrayla, bu Kanunda düzenlenen </w:t>
            </w:r>
            <w:r w:rsidR="002457AC" w:rsidRPr="00A23740">
              <w:rPr>
                <w:rFonts w:eastAsia="Times New Roman"/>
                <w:szCs w:val="24"/>
                <w:lang w:eastAsia="tr-TR"/>
              </w:rPr>
              <w:t xml:space="preserve">ve </w:t>
            </w:r>
            <w:r w:rsidRPr="00A23740">
              <w:rPr>
                <w:rFonts w:eastAsia="Times New Roman"/>
                <w:szCs w:val="24"/>
                <w:lang w:eastAsia="tr-TR"/>
              </w:rPr>
              <w:t xml:space="preserve">disiplin veya tazyik hapsini gerektiren fiiller </w:t>
            </w:r>
            <w:r w:rsidRPr="00620564">
              <w:rPr>
                <w:rFonts w:eastAsia="Times New Roman"/>
                <w:szCs w:val="24"/>
                <w:lang w:eastAsia="tr-TR"/>
              </w:rPr>
              <w:t>ile suçlar</w:t>
            </w:r>
            <w:r w:rsidRPr="00A23740">
              <w:rPr>
                <w:rFonts w:eastAsia="Times New Roman"/>
                <w:szCs w:val="24"/>
                <w:lang w:eastAsia="tr-TR"/>
              </w:rPr>
              <w:t xml:space="preserve"> nedeniyle açılacak </w:t>
            </w:r>
            <w:r w:rsidRPr="00620564">
              <w:rPr>
                <w:rFonts w:eastAsia="Times New Roman"/>
                <w:szCs w:val="24"/>
                <w:lang w:eastAsia="tr-TR"/>
              </w:rPr>
              <w:t>davalarda</w:t>
            </w:r>
            <w:r w:rsidRPr="00A23740">
              <w:rPr>
                <w:rFonts w:eastAsia="Times New Roman"/>
                <w:szCs w:val="24"/>
                <w:lang w:eastAsia="tr-TR"/>
              </w:rPr>
              <w:t xml:space="preserve"> takibin yapıldığı yer </w:t>
            </w:r>
            <w:r w:rsidRPr="00620564">
              <w:rPr>
                <w:rFonts w:eastAsia="Times New Roman"/>
                <w:szCs w:val="24"/>
                <w:lang w:eastAsia="tr-TR"/>
              </w:rPr>
              <w:t>mahkemesi</w:t>
            </w:r>
            <w:r w:rsidR="002457AC" w:rsidRPr="00620564">
              <w:rPr>
                <w:rFonts w:eastAsia="Times New Roman"/>
                <w:szCs w:val="24"/>
                <w:lang w:eastAsia="tr-TR"/>
              </w:rPr>
              <w:t>nin</w:t>
            </w:r>
            <w:r w:rsidRPr="00620564">
              <w:rPr>
                <w:rFonts w:eastAsia="Times New Roman"/>
                <w:szCs w:val="24"/>
                <w:lang w:eastAsia="tr-TR"/>
              </w:rPr>
              <w:t xml:space="preserve"> yetkili</w:t>
            </w:r>
            <w:r w:rsidRPr="00620564">
              <w:rPr>
                <w:rFonts w:eastAsia="Times New Roman"/>
                <w:b/>
                <w:lang w:eastAsia="tr-TR"/>
              </w:rPr>
              <w:t xml:space="preserve"> </w:t>
            </w:r>
            <w:r w:rsidRPr="00A23740">
              <w:rPr>
                <w:rFonts w:eastAsia="Times New Roman"/>
                <w:szCs w:val="24"/>
                <w:lang w:eastAsia="tr-TR"/>
              </w:rPr>
              <w:t>olduğu hükme bağlanmaktadır. 2004 sayılı Kanunda yer alan “fiiller” ibaresi uygulamada tereddüt oluşmaması amacıyla “suçlar ile disiplin veya tazyik hapsini gerektiren fiiller” olarak açıklığa kavuşturulmaktadır. Ayrıca</w:t>
            </w:r>
            <w:r w:rsidRPr="00A23740">
              <w:rPr>
                <w:rStyle w:val="YELChar"/>
              </w:rPr>
              <w:t xml:space="preserve"> </w:t>
            </w:r>
            <w:r w:rsidRPr="00620564">
              <w:rPr>
                <w:rFonts w:eastAsia="Times New Roman"/>
                <w:szCs w:val="24"/>
                <w:lang w:eastAsia="tr-TR"/>
              </w:rPr>
              <w:t>hükümde genel olarak “takip” kavramı kullanılarak, iflas takiplerinin de bu kapsamda</w:t>
            </w:r>
            <w:r w:rsidRPr="00A23740">
              <w:rPr>
                <w:rStyle w:val="YELChar"/>
              </w:rPr>
              <w:t xml:space="preserve"> </w:t>
            </w:r>
            <w:r w:rsidRPr="00620564">
              <w:rPr>
                <w:rFonts w:eastAsia="Times New Roman"/>
                <w:szCs w:val="24"/>
                <w:lang w:eastAsia="tr-TR"/>
              </w:rPr>
              <w:t>olduğu kabul edilmiştir</w:t>
            </w:r>
            <w:r w:rsidRPr="00A23740">
              <w:rPr>
                <w:rFonts w:eastAsia="Times New Roman"/>
                <w:szCs w:val="24"/>
                <w:lang w:eastAsia="tr-TR"/>
              </w:rPr>
              <w:t xml:space="preserve">. </w:t>
            </w:r>
            <w:r w:rsidR="002457AC" w:rsidRPr="00A23740">
              <w:rPr>
                <w:rFonts w:eastAsia="Times New Roman"/>
                <w:szCs w:val="24"/>
                <w:lang w:eastAsia="tr-TR"/>
              </w:rPr>
              <w:t>İ</w:t>
            </w:r>
            <w:r w:rsidRPr="00A23740">
              <w:rPr>
                <w:rFonts w:eastAsia="Times New Roman"/>
                <w:szCs w:val="24"/>
                <w:lang w:eastAsia="tr-TR"/>
              </w:rPr>
              <w:t>flas takibinin yapıldığı yer mahkemesinin de yetkili olduğu kabul edilmektedir.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Times New Roman"/>
                <w:szCs w:val="24"/>
                <w:lang w:eastAsia="tr-TR"/>
              </w:rPr>
              <w:t>İkinci fıkrayla, bir yenilik olarak</w:t>
            </w:r>
            <w:r w:rsidR="002457AC" w:rsidRPr="00A23740">
              <w:rPr>
                <w:rFonts w:eastAsia="Times New Roman"/>
                <w:szCs w:val="24"/>
                <w:lang w:eastAsia="tr-TR"/>
              </w:rPr>
              <w:t>,</w:t>
            </w:r>
            <w:r w:rsidRPr="00A23740">
              <w:rPr>
                <w:rFonts w:eastAsia="Times New Roman"/>
                <w:szCs w:val="24"/>
                <w:lang w:eastAsia="tr-TR"/>
              </w:rPr>
              <w:t xml:space="preserve"> </w:t>
            </w:r>
            <w:r w:rsidR="00535D4A" w:rsidRPr="00A23740">
              <w:rPr>
                <w:rFonts w:eastAsia="Times New Roman"/>
                <w:szCs w:val="24"/>
                <w:lang w:eastAsia="tr-TR"/>
              </w:rPr>
              <w:t>takip yapılmayan hâ</w:t>
            </w:r>
            <w:r w:rsidRPr="00A23740">
              <w:rPr>
                <w:rFonts w:eastAsia="Times New Roman"/>
                <w:szCs w:val="24"/>
                <w:lang w:eastAsia="tr-TR"/>
              </w:rPr>
              <w:t xml:space="preserve">llerde, birinci fıkra kapsamındaki davalarda suçun veya fiilin işlendiği yer mahkemesinin yetkili olduğu hüküm altına alınmaktadır. Böylece </w:t>
            </w:r>
            <w:r w:rsidRPr="00A23740">
              <w:rPr>
                <w:rFonts w:eastAsia="Arial Unicode MS"/>
                <w:iCs/>
                <w:szCs w:val="24"/>
                <w:lang w:eastAsia="tr-TR"/>
              </w:rPr>
              <w:t>takip yapılmay</w:t>
            </w:r>
            <w:r w:rsidR="00535D4A" w:rsidRPr="00A23740">
              <w:rPr>
                <w:rFonts w:eastAsia="Arial Unicode MS"/>
                <w:iCs/>
                <w:szCs w:val="24"/>
                <w:lang w:eastAsia="tr-TR"/>
              </w:rPr>
              <w:t>an</w:t>
            </w:r>
            <w:r w:rsidR="002457AC" w:rsidRPr="00A23740">
              <w:rPr>
                <w:rFonts w:eastAsia="Arial Unicode MS"/>
                <w:iCs/>
                <w:szCs w:val="24"/>
                <w:lang w:eastAsia="tr-TR"/>
              </w:rPr>
              <w:t>,</w:t>
            </w:r>
            <w:r w:rsidR="00535D4A" w:rsidRPr="00A23740">
              <w:rPr>
                <w:rFonts w:eastAsia="Arial Unicode MS"/>
                <w:iCs/>
                <w:szCs w:val="24"/>
                <w:lang w:eastAsia="tr-TR"/>
              </w:rPr>
              <w:t xml:space="preserve"> ancak suç oluşturan bazı hâ</w:t>
            </w:r>
            <w:r w:rsidRPr="00A23740">
              <w:rPr>
                <w:rFonts w:eastAsia="Arial Unicode MS"/>
                <w:iCs/>
                <w:szCs w:val="24"/>
                <w:lang w:eastAsia="tr-TR"/>
              </w:rPr>
              <w:t>llere ilişkin yetki kuralı belirlenmektedir.</w:t>
            </w:r>
          </w:p>
          <w:p w:rsidR="00A043AD" w:rsidRPr="00A23740" w:rsidRDefault="00A043AD" w:rsidP="00955D60">
            <w:pPr>
              <w:widowControl w:val="0"/>
              <w:suppressLineNumbers/>
              <w:tabs>
                <w:tab w:val="left" w:pos="540"/>
              </w:tabs>
              <w:rPr>
                <w:rFonts w:eastAsia="Arial Unicode MS"/>
                <w:iCs/>
                <w:szCs w:val="24"/>
                <w:lang w:eastAsia="tr-TR"/>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x-none"/>
              </w:rPr>
            </w:pPr>
            <w:r w:rsidRPr="00A23740">
              <w:rPr>
                <w:rFonts w:eastAsia="Times New Roman"/>
                <w:b/>
                <w:szCs w:val="24"/>
                <w:lang w:eastAsia="x-none"/>
              </w:rPr>
              <w:t>Şikayet süresi</w:t>
            </w:r>
            <w:r w:rsidRPr="00A23740">
              <w:rPr>
                <w:rFonts w:eastAsia="Times New Roman"/>
                <w:b/>
                <w:color w:val="FF0000"/>
                <w:szCs w:val="24"/>
                <w:lang w:eastAsia="x-none"/>
              </w:rPr>
              <w:t xml:space="preserve"> </w:t>
            </w:r>
            <w:r w:rsidRPr="00A23740">
              <w:rPr>
                <w:rFonts w:eastAsia="Times New Roman"/>
                <w:b/>
                <w:strike/>
                <w:color w:val="FF0000"/>
                <w:szCs w:val="24"/>
                <w:lang w:eastAsia="x-none"/>
              </w:rPr>
              <w:t>:</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tr-TR"/>
              </w:rPr>
              <w:t>347</w:t>
            </w:r>
            <w:r w:rsidRPr="00A23740">
              <w:rPr>
                <w:rFonts w:eastAsia="Times New Roman"/>
                <w:b/>
                <w:szCs w:val="24"/>
                <w:lang w:eastAsia="tr-TR"/>
              </w:rPr>
              <w:t xml:space="preserve"> – (1) </w:t>
            </w:r>
            <w:r w:rsidRPr="00A23740">
              <w:rPr>
                <w:rFonts w:eastAsia="Times New Roman"/>
                <w:szCs w:val="24"/>
                <w:lang w:eastAsia="tr-TR"/>
              </w:rPr>
              <w:t xml:space="preserve">Bu </w:t>
            </w:r>
            <w:r w:rsidRPr="00A23740">
              <w:rPr>
                <w:rFonts w:eastAsia="Times New Roman"/>
                <w:b/>
                <w:strike/>
                <w:color w:val="FF0000"/>
                <w:szCs w:val="24"/>
                <w:lang w:eastAsia="tr-TR"/>
              </w:rPr>
              <w:t>Bapta</w:t>
            </w:r>
            <w:r w:rsidRPr="00A23740">
              <w:rPr>
                <w:rFonts w:eastAsia="Times New Roman"/>
                <w:szCs w:val="24"/>
                <w:lang w:eastAsia="tr-TR"/>
              </w:rPr>
              <w:t xml:space="preserve"> yer alan fiillerden dolayı şikâyet hakkı, fiilin öğrenildiği </w:t>
            </w:r>
            <w:r w:rsidRPr="00A23740">
              <w:rPr>
                <w:rFonts w:eastAsia="Times New Roman"/>
                <w:b/>
                <w:strike/>
                <w:color w:val="FF0000"/>
                <w:szCs w:val="24"/>
                <w:lang w:eastAsia="tr-TR"/>
              </w:rPr>
              <w:t>tarihten</w:t>
            </w:r>
            <w:r w:rsidRPr="00A23740">
              <w:rPr>
                <w:rFonts w:eastAsia="Times New Roman"/>
                <w:szCs w:val="24"/>
                <w:lang w:eastAsia="tr-TR"/>
              </w:rPr>
              <w:t xml:space="preserve"> itibaren </w:t>
            </w:r>
            <w:r w:rsidRPr="00A23740">
              <w:rPr>
                <w:rFonts w:eastAsia="Times New Roman"/>
                <w:b/>
                <w:strike/>
                <w:color w:val="FF0000"/>
                <w:szCs w:val="24"/>
                <w:lang w:eastAsia="tr-TR"/>
              </w:rPr>
              <w:t>üç</w:t>
            </w:r>
            <w:r w:rsidRPr="00A23740">
              <w:rPr>
                <w:rFonts w:eastAsia="Times New Roman"/>
                <w:b/>
                <w:szCs w:val="24"/>
                <w:lang w:eastAsia="tr-TR"/>
              </w:rPr>
              <w:t xml:space="preserve"> </w:t>
            </w:r>
            <w:r w:rsidRPr="00A23740">
              <w:rPr>
                <w:rFonts w:eastAsia="Times New Roman"/>
                <w:szCs w:val="24"/>
                <w:lang w:eastAsia="tr-TR"/>
              </w:rPr>
              <w:t xml:space="preserve">ay ve her halde fiilin işlendiği </w:t>
            </w:r>
            <w:r w:rsidRPr="00A23740">
              <w:rPr>
                <w:rFonts w:eastAsia="Times New Roman"/>
                <w:b/>
                <w:strike/>
                <w:color w:val="FF0000"/>
                <w:szCs w:val="24"/>
                <w:lang w:eastAsia="tr-TR"/>
              </w:rPr>
              <w:t>tarihten</w:t>
            </w:r>
            <w:r w:rsidRPr="00A23740">
              <w:rPr>
                <w:rFonts w:eastAsia="Times New Roman"/>
                <w:szCs w:val="24"/>
                <w:lang w:eastAsia="tr-TR"/>
              </w:rPr>
              <w:t xml:space="preserve"> itibaren bir yıl geçmekle düşer.</w:t>
            </w:r>
          </w:p>
          <w:p w:rsidR="00A043AD" w:rsidRPr="00A23740" w:rsidRDefault="00A043AD" w:rsidP="00750F08">
            <w:pPr>
              <w:rPr>
                <w:rFonts w:eastAsia="Times New Roman"/>
                <w:szCs w:val="24"/>
                <w:lang w:eastAsia="tr-TR"/>
              </w:rPr>
            </w:pPr>
          </w:p>
          <w:p w:rsidR="00A043AD" w:rsidRPr="00A23740" w:rsidRDefault="00A043AD" w:rsidP="00750F08">
            <w:pPr>
              <w:rPr>
                <w:rFonts w:ascii="New York" w:eastAsia="Times New Roman" w:hAnsi="New York"/>
                <w:b/>
                <w:sz w:val="18"/>
                <w:szCs w:val="20"/>
                <w:lang w:eastAsia="tr-TR"/>
              </w:rPr>
            </w:pPr>
          </w:p>
        </w:tc>
        <w:tc>
          <w:tcPr>
            <w:tcW w:w="2500" w:type="pct"/>
          </w:tcPr>
          <w:p w:rsidR="00A043AD" w:rsidRPr="00A23740" w:rsidRDefault="00A043AD" w:rsidP="00750F08">
            <w:pPr>
              <w:rPr>
                <w:rFonts w:eastAsia="Times New Roman"/>
                <w:b/>
                <w:color w:val="0000FF"/>
                <w:szCs w:val="24"/>
              </w:rPr>
            </w:pPr>
            <w:r w:rsidRPr="00A23740">
              <w:rPr>
                <w:rFonts w:eastAsia="Times New Roman"/>
                <w:b/>
                <w:szCs w:val="24"/>
                <w:lang w:eastAsia="x-none"/>
              </w:rPr>
              <w:t>Şikâyet süresi</w:t>
            </w:r>
          </w:p>
          <w:p w:rsidR="00A043AD" w:rsidRPr="00A23740" w:rsidRDefault="00A043AD" w:rsidP="00750F08">
            <w:pPr>
              <w:rPr>
                <w:rFonts w:eastAsia="Times New Roman"/>
                <w:szCs w:val="24"/>
              </w:rPr>
            </w:pPr>
            <w:r w:rsidRPr="00A23740">
              <w:rPr>
                <w:rFonts w:eastAsia="Times New Roman"/>
                <w:b/>
                <w:color w:val="0000FF"/>
                <w:szCs w:val="24"/>
              </w:rPr>
              <w:t xml:space="preserve">MADDE 532- (1) </w:t>
            </w:r>
            <w:r w:rsidRPr="00A23740">
              <w:rPr>
                <w:rFonts w:eastAsia="Times New Roman"/>
                <w:szCs w:val="24"/>
                <w:lang w:eastAsia="tr-TR"/>
              </w:rPr>
              <w:t>Bu</w:t>
            </w:r>
            <w:r w:rsidRPr="00A23740">
              <w:rPr>
                <w:rFonts w:eastAsia="Times New Roman"/>
                <w:b/>
                <w:color w:val="0000FF"/>
                <w:szCs w:val="24"/>
              </w:rPr>
              <w:t xml:space="preserve"> </w:t>
            </w:r>
            <w:r w:rsidRPr="00A23740">
              <w:rPr>
                <w:rFonts w:eastAsia="Times New Roman"/>
                <w:b/>
                <w:bCs/>
                <w:color w:val="0000FF"/>
                <w:szCs w:val="24"/>
              </w:rPr>
              <w:t>Kanunda</w:t>
            </w:r>
            <w:r w:rsidRPr="00A23740">
              <w:rPr>
                <w:rFonts w:eastAsia="Times New Roman"/>
                <w:b/>
                <w:color w:val="0000FF"/>
                <w:szCs w:val="24"/>
              </w:rPr>
              <w:t xml:space="preserve"> </w:t>
            </w:r>
            <w:r w:rsidRPr="00A23740">
              <w:rPr>
                <w:rFonts w:eastAsia="Times New Roman"/>
                <w:szCs w:val="24"/>
              </w:rPr>
              <w:t>yer alan</w:t>
            </w:r>
            <w:r w:rsidRPr="00A23740">
              <w:rPr>
                <w:rFonts w:eastAsia="Times New Roman"/>
                <w:b/>
                <w:color w:val="0000FF"/>
                <w:szCs w:val="24"/>
              </w:rPr>
              <w:t xml:space="preserve"> </w:t>
            </w:r>
            <w:r w:rsidRPr="00A23740">
              <w:rPr>
                <w:rFonts w:eastAsia="Times New Roman"/>
                <w:b/>
                <w:bCs/>
                <w:color w:val="0000FF"/>
                <w:szCs w:val="24"/>
              </w:rPr>
              <w:t>disiplin veya tazyik hapsini gerektiren</w:t>
            </w:r>
            <w:r w:rsidRPr="00A23740">
              <w:rPr>
                <w:rFonts w:eastAsia="Times New Roman"/>
                <w:b/>
                <w:color w:val="0000FF"/>
                <w:szCs w:val="24"/>
              </w:rPr>
              <w:t xml:space="preserve"> </w:t>
            </w:r>
            <w:r w:rsidRPr="00A23740">
              <w:rPr>
                <w:rFonts w:eastAsia="Times New Roman"/>
                <w:szCs w:val="24"/>
              </w:rPr>
              <w:t xml:space="preserve">fiiller </w:t>
            </w:r>
            <w:r w:rsidRPr="00620564">
              <w:rPr>
                <w:rStyle w:val="YELChar"/>
                <w:color w:val="0000FF"/>
              </w:rPr>
              <w:t>ile suçlardan</w:t>
            </w:r>
            <w:r w:rsidRPr="00A23740">
              <w:rPr>
                <w:rFonts w:eastAsia="Times New Roman"/>
                <w:szCs w:val="24"/>
              </w:rPr>
              <w:t xml:space="preserve"> dolayı</w:t>
            </w:r>
            <w:r w:rsidRPr="00A23740">
              <w:rPr>
                <w:rFonts w:eastAsia="Times New Roman"/>
                <w:b/>
                <w:color w:val="0000FF"/>
                <w:szCs w:val="24"/>
              </w:rPr>
              <w:t xml:space="preserve"> </w:t>
            </w:r>
            <w:r w:rsidRPr="00A23740">
              <w:rPr>
                <w:rFonts w:eastAsia="Times New Roman"/>
                <w:szCs w:val="24"/>
              </w:rPr>
              <w:t>şikâyet hakkı,</w:t>
            </w:r>
            <w:r w:rsidRPr="00A23740">
              <w:rPr>
                <w:rFonts w:eastAsia="Times New Roman"/>
                <w:b/>
                <w:color w:val="0000FF"/>
                <w:szCs w:val="24"/>
              </w:rPr>
              <w:t xml:space="preserve"> </w:t>
            </w:r>
            <w:r w:rsidRPr="00A23740">
              <w:rPr>
                <w:rFonts w:eastAsia="Times New Roman"/>
                <w:szCs w:val="24"/>
              </w:rPr>
              <w:t xml:space="preserve">fiilin </w:t>
            </w:r>
            <w:r w:rsidRPr="00A23740">
              <w:rPr>
                <w:rFonts w:eastAsia="Times New Roman"/>
                <w:b/>
                <w:color w:val="0000FF"/>
                <w:szCs w:val="24"/>
              </w:rPr>
              <w:t xml:space="preserve">ve failin </w:t>
            </w:r>
            <w:r w:rsidRPr="00A23740">
              <w:rPr>
                <w:rFonts w:eastAsia="Times New Roman"/>
                <w:szCs w:val="24"/>
              </w:rPr>
              <w:t xml:space="preserve">öğrenildiği </w:t>
            </w:r>
            <w:r w:rsidRPr="00A23740">
              <w:rPr>
                <w:rFonts w:eastAsia="Times New Roman"/>
                <w:b/>
                <w:bCs/>
                <w:color w:val="0000FF"/>
                <w:szCs w:val="24"/>
              </w:rPr>
              <w:t>günden</w:t>
            </w:r>
            <w:r w:rsidRPr="00A23740">
              <w:rPr>
                <w:rFonts w:eastAsia="Times New Roman"/>
                <w:szCs w:val="24"/>
              </w:rPr>
              <w:t xml:space="preserve"> itibaren </w:t>
            </w:r>
            <w:r w:rsidRPr="00A23740">
              <w:rPr>
                <w:rFonts w:eastAsia="Times New Roman"/>
                <w:b/>
                <w:bCs/>
                <w:color w:val="0000FF"/>
                <w:szCs w:val="24"/>
              </w:rPr>
              <w:t>altı</w:t>
            </w:r>
            <w:r w:rsidRPr="00A23740">
              <w:rPr>
                <w:rFonts w:eastAsia="Times New Roman"/>
                <w:b/>
                <w:color w:val="FF0066"/>
                <w:szCs w:val="24"/>
              </w:rPr>
              <w:t xml:space="preserve"> </w:t>
            </w:r>
            <w:r w:rsidR="00F96839" w:rsidRPr="00A23740">
              <w:rPr>
                <w:rFonts w:eastAsia="Times New Roman"/>
                <w:szCs w:val="24"/>
              </w:rPr>
              <w:t>ay ve her hâ</w:t>
            </w:r>
            <w:r w:rsidRPr="00A23740">
              <w:rPr>
                <w:rFonts w:eastAsia="Times New Roman"/>
                <w:szCs w:val="24"/>
              </w:rPr>
              <w:t xml:space="preserve">lde fiilin işlendiği </w:t>
            </w:r>
            <w:r w:rsidRPr="00A23740">
              <w:rPr>
                <w:rFonts w:eastAsia="Times New Roman"/>
                <w:b/>
                <w:bCs/>
                <w:color w:val="0000FF"/>
                <w:szCs w:val="24"/>
              </w:rPr>
              <w:t>günden</w:t>
            </w:r>
            <w:r w:rsidRPr="00A23740">
              <w:rPr>
                <w:rFonts w:eastAsia="Times New Roman"/>
                <w:szCs w:val="24"/>
              </w:rPr>
              <w:t xml:space="preserve"> itibaren bir yıl geçmekle düşer.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bCs/>
                <w:color w:val="0000FF"/>
                <w:szCs w:val="24"/>
              </w:rPr>
            </w:pPr>
            <w:r w:rsidRPr="00A23740">
              <w:rPr>
                <w:rFonts w:eastAsia="Times New Roman"/>
                <w:b/>
                <w:bCs/>
                <w:color w:val="0000FF"/>
                <w:szCs w:val="24"/>
              </w:rPr>
              <w:t>(2) Birinci fıkrada belirtilen bir yıllık süre, malvarlığının kasten veya taksirle eksiltilmesi suçları bakımından üç yıl olarak uygulanır.</w:t>
            </w:r>
          </w:p>
          <w:p w:rsidR="00A043AD" w:rsidRPr="00A23740" w:rsidRDefault="00A043AD" w:rsidP="00750F08">
            <w:pPr>
              <w:jc w:val="left"/>
              <w:rPr>
                <w:rFonts w:eastAsia="Times New Roman"/>
                <w:b/>
                <w:color w:val="FF33CC"/>
                <w:szCs w:val="24"/>
              </w:rPr>
            </w:pP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s>
              <w:ind w:firstLine="709"/>
              <w:rPr>
                <w:rFonts w:eastAsia="Arial Unicode MS"/>
                <w:b/>
                <w:iCs/>
                <w:szCs w:val="24"/>
                <w:lang w:eastAsia="tr-TR"/>
              </w:rPr>
            </w:pPr>
          </w:p>
          <w:p w:rsidR="00A043AD" w:rsidRPr="00A23740" w:rsidRDefault="00A043AD" w:rsidP="00750F08">
            <w:pPr>
              <w:widowControl w:val="0"/>
              <w:suppressLineNumbers/>
              <w:tabs>
                <w:tab w:val="left" w:pos="540"/>
              </w:tabs>
              <w:ind w:firstLine="709"/>
              <w:rPr>
                <w:rFonts w:eastAsia="Times New Roman"/>
                <w:szCs w:val="24"/>
                <w:lang w:eastAsia="tr-TR"/>
              </w:rPr>
            </w:pPr>
            <w:r w:rsidRPr="00A23740">
              <w:rPr>
                <w:rFonts w:eastAsia="Arial Unicode MS"/>
                <w:b/>
                <w:iCs/>
                <w:szCs w:val="24"/>
                <w:lang w:eastAsia="tr-TR"/>
              </w:rPr>
              <w:t>MADDE 532-</w:t>
            </w:r>
            <w:r w:rsidRPr="00A23740">
              <w:rPr>
                <w:rFonts w:eastAsia="Arial Unicode MS"/>
                <w:iCs/>
                <w:szCs w:val="24"/>
                <w:lang w:eastAsia="tr-TR"/>
              </w:rPr>
              <w:t xml:space="preserve"> </w:t>
            </w:r>
            <w:r w:rsidRPr="00A23740">
              <w:rPr>
                <w:rFonts w:eastAsia="Times New Roman"/>
                <w:szCs w:val="24"/>
                <w:lang w:eastAsia="tr-TR"/>
              </w:rPr>
              <w:t>Maddeyle, şikâyet süresi düzenlenmektedir. Bu hüküm, 2004 sayılı Kanunun 347 nci maddesine karşılık gelmektedir.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Birinci fıkrayla, bu Kanunda yer alan suçlar ile disiplin veya tazyik hapsini gerektiren fiillerden dolayı şikâyet hakkının, fiilin ve failin öğrenildiği günden</w:t>
            </w:r>
            <w:r w:rsidR="00F96839" w:rsidRPr="00A23740">
              <w:rPr>
                <w:rFonts w:eastAsia="Arial Unicode MS"/>
                <w:iCs/>
                <w:szCs w:val="24"/>
                <w:lang w:eastAsia="tr-TR"/>
              </w:rPr>
              <w:t xml:space="preserve"> itibaren altı ay ve her hâ</w:t>
            </w:r>
            <w:r w:rsidRPr="00A23740">
              <w:rPr>
                <w:rFonts w:eastAsia="Arial Unicode MS"/>
                <w:iCs/>
                <w:szCs w:val="24"/>
                <w:lang w:eastAsia="tr-TR"/>
              </w:rPr>
              <w:t>lde fiilin işlendiği günden itibaren bir yıl geçmekle düşeceği hükme bağlanmaktadır. Bu süre, hak düşürücü süre niteliğinde olduğundan</w:t>
            </w:r>
            <w:r w:rsidR="002457AC" w:rsidRPr="00A23740">
              <w:rPr>
                <w:rFonts w:eastAsia="Arial Unicode MS"/>
                <w:iCs/>
                <w:szCs w:val="24"/>
                <w:lang w:eastAsia="tr-TR"/>
              </w:rPr>
              <w:t>,</w:t>
            </w:r>
            <w:r w:rsidRPr="00A23740">
              <w:rPr>
                <w:rFonts w:eastAsia="Arial Unicode MS"/>
                <w:iCs/>
                <w:szCs w:val="24"/>
                <w:lang w:eastAsia="tr-TR"/>
              </w:rPr>
              <w:t xml:space="preserve"> mahkemece resen gözetilir. Fiilin ve failin öğrenilmesi anı</w:t>
            </w:r>
            <w:r w:rsidR="002457AC" w:rsidRPr="00A23740">
              <w:rPr>
                <w:rFonts w:eastAsia="Arial Unicode MS"/>
                <w:iCs/>
                <w:szCs w:val="24"/>
                <w:lang w:eastAsia="tr-TR"/>
              </w:rPr>
              <w:t>nın</w:t>
            </w:r>
            <w:r w:rsidRPr="00A23740">
              <w:rPr>
                <w:rFonts w:eastAsia="Arial Unicode MS"/>
                <w:iCs/>
                <w:szCs w:val="24"/>
                <w:lang w:eastAsia="tr-TR"/>
              </w:rPr>
              <w:t>, somut olayın özelliklerine göre belirlenmesi gerekir. 2004 sayılı Kanun</w:t>
            </w:r>
            <w:r w:rsidR="002457AC" w:rsidRPr="00A23740">
              <w:rPr>
                <w:rFonts w:eastAsia="Arial Unicode MS"/>
                <w:iCs/>
                <w:szCs w:val="24"/>
                <w:lang w:eastAsia="tr-TR"/>
              </w:rPr>
              <w:t>da</w:t>
            </w:r>
            <w:r w:rsidRPr="00A23740">
              <w:rPr>
                <w:rFonts w:eastAsia="Arial Unicode MS"/>
                <w:iCs/>
                <w:szCs w:val="24"/>
                <w:lang w:eastAsia="tr-TR"/>
              </w:rPr>
              <w:t xml:space="preserve"> üç aylık ve bir yıllık süreler düzenlenmekteydi. Ancak üç aylık sürenin </w:t>
            </w:r>
            <w:r w:rsidR="002457AC" w:rsidRPr="00A23740">
              <w:rPr>
                <w:rFonts w:eastAsia="Arial Unicode MS"/>
                <w:iCs/>
                <w:szCs w:val="24"/>
                <w:lang w:eastAsia="tr-TR"/>
              </w:rPr>
              <w:t xml:space="preserve">başlaması </w:t>
            </w:r>
            <w:r w:rsidRPr="00A23740">
              <w:rPr>
                <w:rFonts w:eastAsia="Arial Unicode MS"/>
                <w:iCs/>
                <w:szCs w:val="24"/>
                <w:lang w:eastAsia="tr-TR"/>
              </w:rPr>
              <w:t xml:space="preserve">için fiilin </w:t>
            </w:r>
            <w:r w:rsidR="002457AC" w:rsidRPr="00A23740">
              <w:rPr>
                <w:rFonts w:eastAsia="Arial Unicode MS"/>
                <w:iCs/>
                <w:szCs w:val="24"/>
                <w:lang w:eastAsia="tr-TR"/>
              </w:rPr>
              <w:t xml:space="preserve">öğrenildiği </w:t>
            </w:r>
            <w:r w:rsidRPr="00A23740">
              <w:rPr>
                <w:rFonts w:eastAsia="Arial Unicode MS"/>
                <w:iCs/>
                <w:szCs w:val="24"/>
                <w:lang w:eastAsia="tr-TR"/>
              </w:rPr>
              <w:t xml:space="preserve">tarih yeterli kabul edilmekteydi. Taslakta ise 5237 sayılı </w:t>
            </w:r>
            <w:r w:rsidR="001F7CA8" w:rsidRPr="005D4042">
              <w:rPr>
                <w:rFonts w:eastAsia="Arial Unicode MS"/>
                <w:iCs/>
                <w:szCs w:val="24"/>
                <w:lang w:eastAsia="tr-TR"/>
              </w:rPr>
              <w:t>Kanunun</w:t>
            </w:r>
            <w:r w:rsidR="001F7CA8" w:rsidRPr="00A23740">
              <w:rPr>
                <w:rFonts w:eastAsia="Times New Roman"/>
                <w:szCs w:val="24"/>
                <w:lang w:eastAsia="tr-TR"/>
              </w:rPr>
              <w:t xml:space="preserve"> </w:t>
            </w:r>
            <w:r w:rsidRPr="00A23740">
              <w:rPr>
                <w:rFonts w:eastAsia="Arial Unicode MS"/>
                <w:iCs/>
                <w:szCs w:val="24"/>
                <w:lang w:eastAsia="tr-TR"/>
              </w:rPr>
              <w:t xml:space="preserve">73 üncü maddesinin ikinci fıkrasında olduğu gibi, şikâyet süresi altı aya çıkarılmakta ve </w:t>
            </w:r>
            <w:r w:rsidR="002457AC" w:rsidRPr="00A23740">
              <w:rPr>
                <w:rFonts w:eastAsia="Arial Unicode MS"/>
                <w:iCs/>
                <w:szCs w:val="24"/>
                <w:lang w:eastAsia="tr-TR"/>
              </w:rPr>
              <w:t xml:space="preserve">şikayet süresinin </w:t>
            </w:r>
            <w:r w:rsidRPr="00A23740">
              <w:rPr>
                <w:rFonts w:eastAsia="Arial Unicode MS"/>
                <w:iCs/>
                <w:szCs w:val="24"/>
                <w:lang w:eastAsia="tr-TR"/>
              </w:rPr>
              <w:t xml:space="preserve">fiilin ve failin öğrenildiği </w:t>
            </w:r>
            <w:r w:rsidR="00A31934" w:rsidRPr="005D4042">
              <w:rPr>
                <w:rFonts w:eastAsia="Arial Unicode MS"/>
                <w:iCs/>
                <w:szCs w:val="24"/>
                <w:lang w:eastAsia="tr-TR"/>
              </w:rPr>
              <w:t>günden</w:t>
            </w:r>
            <w:r w:rsidR="00A31934" w:rsidRPr="00A23740">
              <w:rPr>
                <w:rFonts w:eastAsia="Arial Unicode MS"/>
                <w:iCs/>
                <w:szCs w:val="24"/>
                <w:lang w:eastAsia="tr-TR"/>
              </w:rPr>
              <w:t xml:space="preserve"> </w:t>
            </w:r>
            <w:r w:rsidRPr="00A23740">
              <w:rPr>
                <w:rFonts w:eastAsia="Arial Unicode MS"/>
                <w:iCs/>
                <w:szCs w:val="24"/>
                <w:lang w:eastAsia="tr-TR"/>
              </w:rPr>
              <w:t xml:space="preserve">itibaren </w:t>
            </w:r>
            <w:r w:rsidR="002457AC" w:rsidRPr="00A23740">
              <w:rPr>
                <w:rFonts w:eastAsia="Arial Unicode MS"/>
                <w:iCs/>
                <w:szCs w:val="24"/>
                <w:lang w:eastAsia="tr-TR"/>
              </w:rPr>
              <w:t xml:space="preserve">işlemeye </w:t>
            </w:r>
            <w:r w:rsidRPr="00A23740">
              <w:rPr>
                <w:rFonts w:eastAsia="Arial Unicode MS"/>
                <w:iCs/>
                <w:szCs w:val="24"/>
                <w:lang w:eastAsia="tr-TR"/>
              </w:rPr>
              <w:t>başlayacağı kabul edilmektedir. Fiilin işlendiği tarihten itibaren bir yıllık sürenin sonunda şikâyet hakkının düşmesi kuralı ise muhafaza edilmektedir. Fiil</w:t>
            </w:r>
            <w:r w:rsidR="002457AC" w:rsidRPr="00A23740">
              <w:rPr>
                <w:rFonts w:eastAsia="Arial Unicode MS"/>
                <w:iCs/>
                <w:szCs w:val="24"/>
                <w:lang w:eastAsia="tr-TR"/>
              </w:rPr>
              <w:t>in</w:t>
            </w:r>
            <w:r w:rsidRPr="00A23740">
              <w:rPr>
                <w:rFonts w:eastAsia="Arial Unicode MS"/>
                <w:iCs/>
                <w:szCs w:val="24"/>
                <w:lang w:eastAsia="tr-TR"/>
              </w:rPr>
              <w:t xml:space="preserve"> ve failin öğrenildiği </w:t>
            </w:r>
            <w:r w:rsidR="002457AC" w:rsidRPr="00A23740">
              <w:rPr>
                <w:rFonts w:eastAsia="Arial Unicode MS"/>
                <w:iCs/>
                <w:szCs w:val="24"/>
                <w:lang w:eastAsia="tr-TR"/>
              </w:rPr>
              <w:t xml:space="preserve">tarih </w:t>
            </w:r>
            <w:r w:rsidRPr="00A23740">
              <w:rPr>
                <w:rFonts w:eastAsia="Arial Unicode MS"/>
                <w:iCs/>
                <w:szCs w:val="24"/>
                <w:lang w:eastAsia="tr-TR"/>
              </w:rPr>
              <w:t>tespit edilemiyorsa</w:t>
            </w:r>
            <w:r w:rsidR="002457AC" w:rsidRPr="00A23740">
              <w:rPr>
                <w:rFonts w:eastAsia="Arial Unicode MS"/>
                <w:iCs/>
                <w:szCs w:val="24"/>
                <w:lang w:eastAsia="tr-TR"/>
              </w:rPr>
              <w:t>,</w:t>
            </w:r>
            <w:r w:rsidRPr="00A23740">
              <w:rPr>
                <w:rFonts w:eastAsia="Arial Unicode MS"/>
                <w:iCs/>
                <w:szCs w:val="24"/>
                <w:lang w:eastAsia="tr-TR"/>
              </w:rPr>
              <w:t xml:space="preserve"> </w:t>
            </w:r>
            <w:r w:rsidR="002457AC" w:rsidRPr="00A23740">
              <w:rPr>
                <w:rFonts w:eastAsia="Arial Unicode MS"/>
                <w:iCs/>
                <w:szCs w:val="24"/>
                <w:lang w:eastAsia="tr-TR"/>
              </w:rPr>
              <w:t xml:space="preserve">şikayet hakkı </w:t>
            </w:r>
            <w:r w:rsidRPr="00A23740">
              <w:rPr>
                <w:rFonts w:eastAsia="Arial Unicode MS"/>
                <w:iCs/>
                <w:szCs w:val="24"/>
                <w:lang w:eastAsia="tr-TR"/>
              </w:rPr>
              <w:t>bu bir yıllık süreye göre belirlenir. Şikâyet hakkı, suçlar ile disiplin ve tazyik hapsine ilişkin hükümlerde fiilin niteliğine göre belirlendiğinden, burada ayrıca bir düzenleme yapılmamaktadır. Diğer taraftan</w:t>
            </w:r>
            <w:r w:rsidR="00C33806" w:rsidRPr="00A23740">
              <w:rPr>
                <w:rFonts w:eastAsia="Arial Unicode MS"/>
                <w:iCs/>
                <w:szCs w:val="24"/>
                <w:lang w:eastAsia="tr-TR"/>
              </w:rPr>
              <w:t>,</w:t>
            </w:r>
            <w:r w:rsidRPr="00A23740">
              <w:rPr>
                <w:rFonts w:eastAsia="Arial Unicode MS"/>
                <w:iCs/>
                <w:szCs w:val="24"/>
                <w:lang w:eastAsia="tr-TR"/>
              </w:rPr>
              <w:t xml:space="preserve"> alacaklının şikâyet hakkı alacağa bağlı olarak kul</w:t>
            </w:r>
            <w:r w:rsidR="00F96839" w:rsidRPr="00A23740">
              <w:rPr>
                <w:rFonts w:eastAsia="Arial Unicode MS"/>
                <w:iCs/>
                <w:szCs w:val="24"/>
                <w:lang w:eastAsia="tr-TR"/>
              </w:rPr>
              <w:t>lanıldığı için</w:t>
            </w:r>
            <w:r w:rsidR="00C33806" w:rsidRPr="00A23740">
              <w:rPr>
                <w:rFonts w:eastAsia="Arial Unicode MS"/>
                <w:iCs/>
                <w:szCs w:val="24"/>
                <w:lang w:eastAsia="tr-TR"/>
              </w:rPr>
              <w:t>,</w:t>
            </w:r>
            <w:r w:rsidR="00F96839" w:rsidRPr="00A23740">
              <w:rPr>
                <w:rFonts w:eastAsia="Arial Unicode MS"/>
                <w:iCs/>
                <w:szCs w:val="24"/>
                <w:lang w:eastAsia="tr-TR"/>
              </w:rPr>
              <w:t xml:space="preserve"> alacağın devri hâ</w:t>
            </w:r>
            <w:r w:rsidRPr="00A23740">
              <w:rPr>
                <w:rFonts w:eastAsia="Arial Unicode MS"/>
                <w:iCs/>
                <w:szCs w:val="24"/>
                <w:lang w:eastAsia="tr-TR"/>
              </w:rPr>
              <w:t>linde bu alacağa bağlı şikâyet hakkının da alacağı devralan yeni alacaklıya geçeceği hususunda bir tereddüt bulunmamaktadır.</w:t>
            </w:r>
          </w:p>
          <w:p w:rsidR="00A043AD" w:rsidRPr="00A23740" w:rsidRDefault="00A043AD" w:rsidP="00750F08">
            <w:pPr>
              <w:widowControl w:val="0"/>
              <w:suppressLineNumbers/>
              <w:tabs>
                <w:tab w:val="left" w:pos="540"/>
              </w:tabs>
              <w:ind w:firstLine="709"/>
              <w:rPr>
                <w:bCs/>
                <w:szCs w:val="24"/>
                <w:lang w:eastAsia="x-none"/>
              </w:rPr>
            </w:pPr>
            <w:r w:rsidRPr="00A23740">
              <w:rPr>
                <w:rFonts w:eastAsia="Arial Unicode MS"/>
                <w:iCs/>
                <w:szCs w:val="24"/>
                <w:lang w:eastAsia="tr-TR"/>
              </w:rPr>
              <w:t>İkinci fıkrayla, birinci fıkrada belirtilen bir yıllık sürenin, malvarlığının kasten veya taksirle eksiltilmesi suçları bakımından üç yıl olarak uygulanacağı düzenlenmektedir. Zira bu iki suçun haciz veya taşınır rehninin paraya çevrilmesi yoluyla takip ya da konkordato talebinden önceki iki yıl içinde işlenmesi mümkündür.</w:t>
            </w:r>
            <w:r w:rsidRPr="00A23740">
              <w:rPr>
                <w:bCs/>
                <w:szCs w:val="24"/>
                <w:lang w:eastAsia="x-none"/>
              </w:rPr>
              <w:t xml:space="preserve"> Bu itibarla, fiilin işlendiği tarihten itibaren üç yıllık sürenin tanınmasının hakkaniyete uygun olacağı kabul edilmektedir.</w:t>
            </w:r>
          </w:p>
          <w:p w:rsidR="00A043AD" w:rsidRPr="00A23740" w:rsidRDefault="00A043AD" w:rsidP="00955D60">
            <w:pPr>
              <w:widowControl w:val="0"/>
              <w:suppressLineNumbers/>
              <w:tabs>
                <w:tab w:val="left" w:pos="540"/>
              </w:tabs>
              <w:rPr>
                <w:rFonts w:eastAsia="Arial Unicode MS"/>
                <w:iCs/>
                <w:szCs w:val="24"/>
                <w:lang w:eastAsia="tr-TR"/>
              </w:rPr>
            </w:pPr>
          </w:p>
        </w:tc>
      </w:tr>
      <w:tr w:rsidR="00A043AD" w:rsidRPr="00A23740" w:rsidTr="00750F08">
        <w:tc>
          <w:tcPr>
            <w:tcW w:w="2500" w:type="pct"/>
          </w:tcPr>
          <w:p w:rsidR="00A043AD" w:rsidRPr="00A23740" w:rsidRDefault="00A043AD" w:rsidP="00955D60">
            <w:pPr>
              <w:widowControl w:val="0"/>
              <w:rPr>
                <w:rFonts w:eastAsia="Times New Roman"/>
                <w:b/>
                <w:bCs/>
                <w:i/>
                <w:strike/>
                <w:color w:val="FF0000"/>
                <w:szCs w:val="24"/>
                <w:lang w:eastAsia="tr-TR"/>
              </w:rPr>
            </w:pPr>
            <w:r w:rsidRPr="00A23740">
              <w:rPr>
                <w:rFonts w:eastAsia="Times New Roman"/>
                <w:b/>
                <w:bCs/>
                <w:strike/>
                <w:color w:val="FF0000"/>
                <w:szCs w:val="24"/>
                <w:lang w:eastAsia="tr-TR"/>
              </w:rPr>
              <w:t>Yargılama usulü :</w:t>
            </w:r>
          </w:p>
          <w:p w:rsidR="00A043AD" w:rsidRPr="00A23740" w:rsidRDefault="00A043AD" w:rsidP="00955D60">
            <w:pPr>
              <w:widowControl w:val="0"/>
              <w:rPr>
                <w:rFonts w:eastAsia="Times New Roman"/>
                <w:b/>
                <w:bCs/>
                <w:strike/>
                <w:color w:val="FF0000"/>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349</w:t>
            </w:r>
            <w:r w:rsidRPr="00A23740">
              <w:rPr>
                <w:rFonts w:eastAsia="Times New Roman"/>
                <w:b/>
                <w:szCs w:val="24"/>
                <w:lang w:eastAsia="tr-TR"/>
              </w:rPr>
              <w:t xml:space="preserve"> – (1) </w:t>
            </w:r>
            <w:r w:rsidRPr="00A23740">
              <w:rPr>
                <w:rStyle w:val="KIRMIZIChar"/>
                <w:rFonts w:eastAsia="Arial Unicode MS"/>
              </w:rPr>
              <w:t>Şikayet dilekçe</w:t>
            </w:r>
            <w:r w:rsidRPr="00A23740">
              <w:rPr>
                <w:rStyle w:val="KIRMIZIChar"/>
                <w:rFonts w:eastAsia="Calibri"/>
              </w:rPr>
              <w:t xml:space="preserve"> ile</w:t>
            </w:r>
            <w:r w:rsidRPr="00A23740">
              <w:rPr>
                <w:rFonts w:eastAsia="Times New Roman"/>
                <w:b/>
                <w:bCs/>
                <w:strike/>
                <w:color w:val="FF0000"/>
                <w:szCs w:val="24"/>
                <w:lang w:eastAsia="tr-TR"/>
              </w:rPr>
              <w:t xml:space="preserve"> veya şifahi beyanla yapılır. Dilekçeyi veya dava beyanını alan icra mahkemesi duruşma için hemen bir gün tayin edip şikayetçinin imzasını alır ve maznuna celpname gönderir. Şahit gösterilmişse o da celbolunur.</w:t>
            </w: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b/>
                <w:strike/>
                <w:color w:val="FF0000"/>
                <w:szCs w:val="24"/>
                <w:lang w:eastAsia="x-none"/>
              </w:rPr>
            </w:pPr>
          </w:p>
          <w:p w:rsidR="00A043AD" w:rsidRPr="00A23740" w:rsidRDefault="00A043AD" w:rsidP="00955D60">
            <w:pPr>
              <w:widowControl w:val="0"/>
              <w:jc w:val="left"/>
              <w:rPr>
                <w:rFonts w:eastAsia="Times New Roman"/>
                <w:szCs w:val="24"/>
                <w:lang w:eastAsia="x-none"/>
              </w:rPr>
            </w:pPr>
          </w:p>
          <w:p w:rsidR="00A043AD" w:rsidRPr="00A23740" w:rsidRDefault="00A043AD" w:rsidP="00955D60">
            <w:pPr>
              <w:widowControl w:val="0"/>
              <w:jc w:val="left"/>
              <w:rPr>
                <w:rFonts w:eastAsia="Times New Roman"/>
                <w:szCs w:val="24"/>
                <w:lang w:eastAsia="x-none"/>
              </w:rPr>
            </w:pPr>
          </w:p>
          <w:p w:rsidR="00A043AD" w:rsidRPr="00A23740" w:rsidRDefault="00A043AD" w:rsidP="00955D60">
            <w:pPr>
              <w:widowControl w:val="0"/>
              <w:jc w:val="left"/>
              <w:rPr>
                <w:rFonts w:eastAsia="Times New Roman"/>
                <w:szCs w:val="24"/>
                <w:lang w:eastAsia="x-none"/>
              </w:rPr>
            </w:pPr>
          </w:p>
          <w:p w:rsidR="00A043AD" w:rsidRPr="00A23740" w:rsidRDefault="00A043AD" w:rsidP="00955D60">
            <w:pPr>
              <w:widowControl w:val="0"/>
              <w:jc w:val="left"/>
              <w:rPr>
                <w:rFonts w:eastAsia="Times New Roman"/>
                <w:szCs w:val="24"/>
                <w:lang w:eastAsia="x-none"/>
              </w:rPr>
            </w:pPr>
          </w:p>
          <w:p w:rsidR="00A043AD" w:rsidRPr="00A23740" w:rsidRDefault="00A043AD" w:rsidP="00955D60">
            <w:pPr>
              <w:widowControl w:val="0"/>
              <w:jc w:val="left"/>
              <w:rPr>
                <w:rFonts w:eastAsia="Times New Roman"/>
                <w:szCs w:val="24"/>
                <w:lang w:eastAsia="x-none"/>
              </w:rPr>
            </w:pPr>
          </w:p>
          <w:p w:rsidR="00A043AD" w:rsidRPr="00A23740" w:rsidRDefault="00A043AD" w:rsidP="00955D60">
            <w:pPr>
              <w:widowControl w:val="0"/>
              <w:jc w:val="left"/>
              <w:rPr>
                <w:rFonts w:eastAsia="Times New Roman"/>
                <w:szCs w:val="24"/>
                <w:lang w:eastAsia="x-none"/>
              </w:rPr>
            </w:pPr>
          </w:p>
          <w:p w:rsidR="00A043AD" w:rsidRPr="00A23740" w:rsidRDefault="00A043AD" w:rsidP="00955D60">
            <w:pPr>
              <w:widowControl w:val="0"/>
              <w:jc w:val="left"/>
              <w:rPr>
                <w:rFonts w:eastAsia="Times New Roman"/>
                <w:szCs w:val="24"/>
                <w:lang w:eastAsia="x-none"/>
              </w:rPr>
            </w:pPr>
          </w:p>
          <w:p w:rsidR="00A043AD" w:rsidRPr="00A23740" w:rsidRDefault="00A043AD" w:rsidP="00955D60">
            <w:pPr>
              <w:widowControl w:val="0"/>
              <w:rPr>
                <w:rFonts w:eastAsia="Times New Roman"/>
                <w:szCs w:val="24"/>
                <w:lang w:eastAsia="tr-TR"/>
              </w:rPr>
            </w:pPr>
          </w:p>
          <w:p w:rsidR="00A043AD" w:rsidRPr="00A23740" w:rsidRDefault="00A043AD" w:rsidP="00955D60">
            <w:pPr>
              <w:widowControl w:val="0"/>
              <w:rPr>
                <w:rFonts w:eastAsia="Times New Roman"/>
                <w:b/>
                <w:strike/>
                <w:color w:val="FF0000"/>
                <w:szCs w:val="24"/>
                <w:lang w:eastAsia="x-none"/>
              </w:rPr>
            </w:pPr>
          </w:p>
          <w:p w:rsidR="001C3ADB" w:rsidRPr="00A23740" w:rsidRDefault="001C3ADB" w:rsidP="00955D60">
            <w:pPr>
              <w:widowControl w:val="0"/>
              <w:rPr>
                <w:rFonts w:eastAsia="Times New Roman"/>
                <w:b/>
                <w:strike/>
                <w:color w:val="FF0000"/>
                <w:szCs w:val="24"/>
                <w:lang w:eastAsia="x-none"/>
              </w:rPr>
            </w:pPr>
          </w:p>
          <w:p w:rsidR="001C3ADB" w:rsidRPr="00A23740" w:rsidRDefault="001C3ADB" w:rsidP="00955D60">
            <w:pPr>
              <w:widowControl w:val="0"/>
              <w:rPr>
                <w:rFonts w:eastAsia="Times New Roman"/>
                <w:b/>
                <w:strike/>
                <w:color w:val="FF0000"/>
                <w:szCs w:val="24"/>
                <w:lang w:eastAsia="x-none"/>
              </w:rPr>
            </w:pPr>
          </w:p>
          <w:p w:rsidR="001C3ADB" w:rsidRPr="00A23740" w:rsidRDefault="001C3ADB" w:rsidP="00955D60">
            <w:pPr>
              <w:widowControl w:val="0"/>
              <w:rPr>
                <w:rFonts w:eastAsia="Times New Roman"/>
                <w:b/>
                <w:strike/>
                <w:color w:val="FF0000"/>
                <w:szCs w:val="24"/>
                <w:lang w:eastAsia="x-none"/>
              </w:rPr>
            </w:pPr>
          </w:p>
          <w:p w:rsidR="001C3ADB" w:rsidRPr="00A23740" w:rsidRDefault="001C3ADB" w:rsidP="00955D60">
            <w:pPr>
              <w:widowControl w:val="0"/>
              <w:rPr>
                <w:rFonts w:eastAsia="Times New Roman"/>
                <w:b/>
                <w:strike/>
                <w:color w:val="FF0000"/>
                <w:szCs w:val="24"/>
                <w:lang w:eastAsia="x-none"/>
              </w:rPr>
            </w:pPr>
          </w:p>
          <w:p w:rsidR="001C3ADB" w:rsidRPr="00A23740" w:rsidRDefault="001C3ADB" w:rsidP="00955D60">
            <w:pPr>
              <w:widowControl w:val="0"/>
              <w:rPr>
                <w:rFonts w:eastAsia="Times New Roman"/>
                <w:b/>
                <w:strike/>
                <w:color w:val="FF0000"/>
                <w:szCs w:val="24"/>
                <w:lang w:eastAsia="x-none"/>
              </w:rPr>
            </w:pPr>
          </w:p>
          <w:p w:rsidR="001C3ADB" w:rsidRDefault="001C3ADB" w:rsidP="00955D60">
            <w:pPr>
              <w:widowControl w:val="0"/>
              <w:rPr>
                <w:rFonts w:eastAsia="Times New Roman"/>
                <w:b/>
                <w:strike/>
                <w:color w:val="FF0000"/>
                <w:szCs w:val="24"/>
                <w:lang w:eastAsia="x-none"/>
              </w:rPr>
            </w:pPr>
          </w:p>
          <w:p w:rsidR="00AE5B12" w:rsidRPr="00A23740" w:rsidRDefault="00AE5B12" w:rsidP="00955D60">
            <w:pPr>
              <w:widowControl w:val="0"/>
              <w:rPr>
                <w:rFonts w:eastAsia="Times New Roman"/>
                <w:b/>
                <w:strike/>
                <w:color w:val="FF0000"/>
                <w:szCs w:val="24"/>
                <w:lang w:eastAsia="x-none"/>
              </w:rPr>
            </w:pPr>
          </w:p>
          <w:p w:rsidR="00A043AD" w:rsidRPr="00A23740" w:rsidRDefault="00A043AD" w:rsidP="00955D60">
            <w:pPr>
              <w:widowControl w:val="0"/>
              <w:rPr>
                <w:rFonts w:eastAsia="Times New Roman"/>
                <w:b/>
                <w:strike/>
                <w:color w:val="FF0000"/>
                <w:szCs w:val="24"/>
                <w:lang w:eastAsia="x-none"/>
              </w:rPr>
            </w:pPr>
          </w:p>
          <w:p w:rsidR="00A043AD" w:rsidRPr="00A23740" w:rsidRDefault="00A043AD" w:rsidP="00955D60">
            <w:pPr>
              <w:widowControl w:val="0"/>
              <w:rPr>
                <w:rFonts w:eastAsia="Times New Roman"/>
                <w:b/>
                <w:strike/>
                <w:color w:val="FF0000"/>
                <w:szCs w:val="24"/>
                <w:lang w:eastAsia="x-none"/>
              </w:rPr>
            </w:pPr>
            <w:r w:rsidRPr="00A23740">
              <w:rPr>
                <w:rFonts w:eastAsia="Times New Roman"/>
                <w:b/>
                <w:strike/>
                <w:color w:val="FF0000"/>
                <w:szCs w:val="24"/>
                <w:lang w:eastAsia="x-none"/>
              </w:rPr>
              <w:t>Tahkikat:</w:t>
            </w:r>
          </w:p>
          <w:p w:rsidR="00A043AD" w:rsidRPr="00A23740" w:rsidRDefault="00A043AD" w:rsidP="00955D60">
            <w:pPr>
              <w:widowControl w:val="0"/>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351</w:t>
            </w:r>
            <w:r w:rsidRPr="00A23740">
              <w:rPr>
                <w:rFonts w:eastAsia="Times New Roman"/>
                <w:b/>
                <w:szCs w:val="24"/>
                <w:lang w:eastAsia="tr-TR"/>
              </w:rPr>
              <w:t xml:space="preserve"> – (1) </w:t>
            </w:r>
            <w:r w:rsidRPr="00A23740">
              <w:rPr>
                <w:rFonts w:eastAsia="Times New Roman"/>
                <w:b/>
                <w:strike/>
                <w:color w:val="FF0000"/>
                <w:szCs w:val="24"/>
                <w:lang w:eastAsia="x-none"/>
              </w:rPr>
              <w:t>Şikayetçi</w:t>
            </w:r>
            <w:r w:rsidRPr="00A23740">
              <w:rPr>
                <w:rFonts w:eastAsia="Times New Roman"/>
                <w:szCs w:val="24"/>
                <w:lang w:eastAsia="tr-TR"/>
              </w:rPr>
              <w:t xml:space="preserve"> dilekçe </w:t>
            </w:r>
            <w:r w:rsidRPr="00A23740">
              <w:rPr>
                <w:rFonts w:eastAsia="Times New Roman"/>
                <w:b/>
                <w:strike/>
                <w:color w:val="FF0000"/>
                <w:szCs w:val="24"/>
                <w:lang w:eastAsia="x-none"/>
              </w:rPr>
              <w:t>veya</w:t>
            </w:r>
            <w:r w:rsidRPr="00A23740">
              <w:rPr>
                <w:rFonts w:eastAsia="Times New Roman"/>
                <w:b/>
                <w:i/>
                <w:strike/>
                <w:color w:val="FF0000"/>
                <w:szCs w:val="24"/>
                <w:lang w:eastAsia="x-none"/>
              </w:rPr>
              <w:t xml:space="preserve"> </w:t>
            </w:r>
            <w:r w:rsidRPr="00A23740">
              <w:rPr>
                <w:rFonts w:eastAsia="Times New Roman"/>
                <w:b/>
                <w:strike/>
                <w:color w:val="FF0000"/>
                <w:szCs w:val="24"/>
                <w:lang w:eastAsia="x-none"/>
              </w:rPr>
              <w:t>beyanında</w:t>
            </w:r>
            <w:r w:rsidRPr="00A23740">
              <w:rPr>
                <w:rFonts w:eastAsia="Times New Roman"/>
                <w:szCs w:val="24"/>
                <w:lang w:eastAsia="tr-TR"/>
              </w:rPr>
              <w:t xml:space="preserve"> göster</w:t>
            </w:r>
            <w:r w:rsidRPr="00A23740">
              <w:rPr>
                <w:rFonts w:eastAsia="Times New Roman"/>
                <w:b/>
                <w:strike/>
                <w:color w:val="FF0000"/>
                <w:szCs w:val="24"/>
                <w:lang w:eastAsia="x-none"/>
              </w:rPr>
              <w:t>ilmiş</w:t>
            </w:r>
            <w:r w:rsidRPr="00A23740">
              <w:rPr>
                <w:rFonts w:eastAsia="Times New Roman"/>
                <w:szCs w:val="24"/>
                <w:lang w:eastAsia="tr-TR"/>
              </w:rPr>
              <w:t xml:space="preserve"> olduğu delillerle bağlıdır.</w:t>
            </w:r>
          </w:p>
          <w:p w:rsidR="00A043AD" w:rsidRPr="00A23740" w:rsidRDefault="00A043AD" w:rsidP="00955D60">
            <w:pPr>
              <w:widowControl w:val="0"/>
              <w:tabs>
                <w:tab w:val="left" w:pos="567"/>
              </w:tabs>
              <w:rPr>
                <w:rFonts w:eastAsia="Times New Roman"/>
                <w:b/>
                <w:szCs w:val="24"/>
                <w:lang w:eastAsia="tr-TR"/>
              </w:rPr>
            </w:pPr>
          </w:p>
          <w:p w:rsidR="00A043AD" w:rsidRPr="00A23740" w:rsidRDefault="00A043AD" w:rsidP="00955D60">
            <w:pPr>
              <w:widowControl w:val="0"/>
              <w:rPr>
                <w:rFonts w:eastAsia="Times New Roman"/>
                <w:b/>
                <w:strike/>
                <w:color w:val="FF0000"/>
                <w:szCs w:val="24"/>
                <w:lang w:eastAsia="x-none"/>
              </w:rPr>
            </w:pPr>
            <w:r w:rsidRPr="00A23740">
              <w:rPr>
                <w:rFonts w:eastAsia="Times New Roman"/>
                <w:b/>
                <w:strike/>
                <w:color w:val="FF0000"/>
                <w:szCs w:val="24"/>
                <w:lang w:eastAsia="x-none"/>
              </w:rPr>
              <w:t>(2) Maznun müdafası için tahkikatın tevsiini ancak bir kere istiyebilir.</w:t>
            </w:r>
          </w:p>
          <w:p w:rsidR="00A043AD" w:rsidRPr="00A23740" w:rsidRDefault="00A043AD" w:rsidP="00955D60">
            <w:pPr>
              <w:widowControl w:val="0"/>
              <w:rPr>
                <w:rFonts w:eastAsia="Times New Roman"/>
                <w:b/>
                <w:bCs/>
                <w:color w:val="FF0000"/>
                <w:szCs w:val="24"/>
                <w:lang w:eastAsia="x-none"/>
              </w:rPr>
            </w:pPr>
          </w:p>
        </w:tc>
        <w:tc>
          <w:tcPr>
            <w:tcW w:w="2500" w:type="pct"/>
          </w:tcPr>
          <w:p w:rsidR="00A043AD" w:rsidRPr="00A23740" w:rsidRDefault="00A043AD" w:rsidP="00955D60">
            <w:pPr>
              <w:pStyle w:val="Mavi"/>
              <w:widowControl w:val="0"/>
            </w:pPr>
            <w:r w:rsidRPr="00A23740">
              <w:t>Davanın açılması</w:t>
            </w:r>
          </w:p>
          <w:p w:rsidR="00A043AD" w:rsidRPr="00A23740" w:rsidRDefault="00A043AD" w:rsidP="00955D60">
            <w:pPr>
              <w:widowControl w:val="0"/>
              <w:tabs>
                <w:tab w:val="left" w:pos="567"/>
              </w:tabs>
              <w:rPr>
                <w:b/>
                <w:bCs/>
                <w:strike/>
                <w:color w:val="FF0000"/>
                <w:szCs w:val="24"/>
                <w:lang w:eastAsia="x-none"/>
              </w:rPr>
            </w:pPr>
            <w:r w:rsidRPr="00A23740">
              <w:rPr>
                <w:rFonts w:eastAsia="Times New Roman"/>
                <w:b/>
                <w:color w:val="0000FF"/>
                <w:szCs w:val="24"/>
              </w:rPr>
              <w:t>MADDE 533- (1)</w:t>
            </w:r>
            <w:r w:rsidRPr="00A23740">
              <w:rPr>
                <w:b/>
                <w:bCs/>
                <w:color w:val="0000FF"/>
                <w:szCs w:val="24"/>
                <w:lang w:eastAsia="x-none"/>
              </w:rPr>
              <w:t xml:space="preserve"> Bu Kanun</w:t>
            </w:r>
            <w:r w:rsidR="00AE7A9F" w:rsidRPr="005D4042">
              <w:rPr>
                <w:b/>
                <w:bCs/>
                <w:color w:val="0000FF"/>
                <w:szCs w:val="24"/>
                <w:lang w:eastAsia="x-none"/>
              </w:rPr>
              <w:t>a</w:t>
            </w:r>
            <w:r w:rsidR="00AE7A9F" w:rsidRPr="00A23740">
              <w:rPr>
                <w:rStyle w:val="KIRMIZIChar"/>
                <w:rFonts w:eastAsia="Calibri"/>
                <w:strike w:val="0"/>
                <w:color w:val="538135"/>
              </w:rPr>
              <w:t xml:space="preserve"> </w:t>
            </w:r>
            <w:r w:rsidR="00AE7A9F" w:rsidRPr="005D4042">
              <w:rPr>
                <w:rStyle w:val="KIRMIZIChar"/>
                <w:rFonts w:eastAsia="Calibri"/>
                <w:strike w:val="0"/>
                <w:color w:val="0000FF"/>
              </w:rPr>
              <w:t>göre</w:t>
            </w:r>
            <w:r w:rsidRPr="00A23740">
              <w:rPr>
                <w:b/>
                <w:bCs/>
                <w:color w:val="0000FF"/>
                <w:szCs w:val="24"/>
                <w:lang w:eastAsia="x-none"/>
              </w:rPr>
              <w:t xml:space="preserve"> </w:t>
            </w:r>
            <w:r w:rsidRPr="00A23740">
              <w:rPr>
                <w:b/>
                <w:bCs/>
                <w:color w:val="0000FF"/>
                <w:szCs w:val="24"/>
                <w:lang w:val="x-none" w:eastAsia="x-none"/>
              </w:rPr>
              <w:t>disiplin veya tazyik hapsini gerektiren</w:t>
            </w:r>
            <w:r w:rsidRPr="00A23740">
              <w:rPr>
                <w:b/>
                <w:bCs/>
                <w:color w:val="0000FF"/>
                <w:szCs w:val="24"/>
                <w:lang w:eastAsia="x-none"/>
              </w:rPr>
              <w:t xml:space="preserve"> </w:t>
            </w:r>
            <w:r w:rsidRPr="005D4042">
              <w:rPr>
                <w:rStyle w:val="YELChar"/>
                <w:color w:val="0000FF"/>
              </w:rPr>
              <w:t>fiiller ile suçlardan</w:t>
            </w:r>
            <w:r w:rsidRPr="00A23740">
              <w:rPr>
                <w:b/>
                <w:bCs/>
                <w:color w:val="0000FF"/>
                <w:szCs w:val="24"/>
                <w:lang w:eastAsia="x-none"/>
              </w:rPr>
              <w:t xml:space="preserve"> dolayı dava, şikâyet hakkına sahip kişi tarafından verilecek bir</w:t>
            </w:r>
            <w:r w:rsidRPr="00A23740">
              <w:rPr>
                <w:rFonts w:eastAsia="Arial Unicode MS"/>
                <w:iCs/>
                <w:szCs w:val="24"/>
                <w:lang w:eastAsia="tr-TR"/>
              </w:rPr>
              <w:t xml:space="preserve"> </w:t>
            </w:r>
            <w:r w:rsidRPr="00A23740">
              <w:rPr>
                <w:rStyle w:val="MaviChar"/>
              </w:rPr>
              <w:t>dilekçeyl</w:t>
            </w:r>
            <w:r w:rsidRPr="00A23740">
              <w:rPr>
                <w:b/>
                <w:bCs/>
                <w:color w:val="0000FF"/>
                <w:szCs w:val="24"/>
                <w:lang w:eastAsia="x-none"/>
              </w:rPr>
              <w:t xml:space="preserve">e </w:t>
            </w:r>
            <w:r w:rsidRPr="00A23740">
              <w:rPr>
                <w:b/>
                <w:bCs/>
                <w:color w:val="0000FF"/>
                <w:szCs w:val="24"/>
                <w:lang w:val="x-none" w:eastAsia="x-none"/>
              </w:rPr>
              <w:t>açılır</w:t>
            </w:r>
            <w:r w:rsidRPr="00A23740">
              <w:rPr>
                <w:b/>
                <w:bCs/>
                <w:color w:val="0000FF"/>
                <w:szCs w:val="24"/>
                <w:lang w:eastAsia="x-none"/>
              </w:rPr>
              <w:t>.</w:t>
            </w:r>
          </w:p>
          <w:p w:rsidR="00A043AD" w:rsidRPr="00A23740" w:rsidRDefault="00A043AD" w:rsidP="00955D60">
            <w:pPr>
              <w:widowControl w:val="0"/>
              <w:jc w:val="left"/>
              <w:rPr>
                <w:rFonts w:eastAsia="Times New Roman"/>
                <w:szCs w:val="24"/>
                <w:lang w:eastAsia="tr-TR"/>
              </w:rPr>
            </w:pPr>
          </w:p>
          <w:p w:rsidR="00A043AD" w:rsidRPr="00A23740" w:rsidRDefault="00A043AD" w:rsidP="00955D60">
            <w:pPr>
              <w:widowControl w:val="0"/>
              <w:rPr>
                <w:rFonts w:eastAsia="Times New Roman"/>
                <w:b/>
                <w:color w:val="0000FF"/>
                <w:szCs w:val="24"/>
              </w:rPr>
            </w:pPr>
            <w:r w:rsidRPr="00A23740">
              <w:rPr>
                <w:rFonts w:eastAsia="Times New Roman"/>
                <w:b/>
                <w:color w:val="0000FF"/>
                <w:szCs w:val="24"/>
              </w:rPr>
              <w:t>(2) Şikâyet dilekçesinde aşağıdaki hususlar bulunur:</w:t>
            </w:r>
          </w:p>
          <w:p w:rsidR="00A043AD" w:rsidRPr="00A23740" w:rsidRDefault="00A043AD" w:rsidP="00955D60">
            <w:pPr>
              <w:widowControl w:val="0"/>
              <w:rPr>
                <w:rFonts w:eastAsia="Times New Roman"/>
                <w:b/>
                <w:color w:val="0000FF"/>
                <w:szCs w:val="24"/>
              </w:rPr>
            </w:pPr>
            <w:r w:rsidRPr="00A23740">
              <w:rPr>
                <w:rFonts w:eastAsia="Times New Roman"/>
                <w:b/>
                <w:color w:val="0000FF"/>
                <w:szCs w:val="24"/>
              </w:rPr>
              <w:t xml:space="preserve">a) </w:t>
            </w:r>
            <w:r w:rsidRPr="00A23740">
              <w:rPr>
                <w:rStyle w:val="MaviChar"/>
              </w:rPr>
              <w:t>Görevli ve</w:t>
            </w:r>
            <w:r w:rsidRPr="00A23740">
              <w:rPr>
                <w:rFonts w:eastAsia="Times New Roman"/>
                <w:b/>
                <w:color w:val="0000FF"/>
                <w:szCs w:val="24"/>
              </w:rPr>
              <w:t xml:space="preserve"> yetkili mahkemenin adı.</w:t>
            </w:r>
          </w:p>
          <w:p w:rsidR="001C3ADB" w:rsidRPr="00A23740" w:rsidRDefault="001C3ADB" w:rsidP="00955D60">
            <w:pPr>
              <w:widowControl w:val="0"/>
              <w:rPr>
                <w:rFonts w:eastAsia="Times New Roman"/>
                <w:i/>
                <w:szCs w:val="24"/>
              </w:rPr>
            </w:pPr>
          </w:p>
          <w:p w:rsidR="00A043AD" w:rsidRPr="00A23740" w:rsidRDefault="00A043AD" w:rsidP="00955D60">
            <w:pPr>
              <w:widowControl w:val="0"/>
              <w:tabs>
                <w:tab w:val="left" w:pos="567"/>
              </w:tabs>
              <w:rPr>
                <w:rFonts w:eastAsia="Times New Roman"/>
                <w:b/>
                <w:color w:val="0000FF"/>
                <w:szCs w:val="24"/>
              </w:rPr>
            </w:pPr>
            <w:r w:rsidRPr="00A23740">
              <w:rPr>
                <w:rFonts w:eastAsia="Times New Roman"/>
                <w:b/>
                <w:color w:val="0000FF"/>
                <w:szCs w:val="24"/>
              </w:rPr>
              <w:t xml:space="preserve">b) Müştekinin ve varsa kanuni temsilcisinin adı, soyadı, Türkiye Cumhuriyeti kimlik numarası ve adresi; </w:t>
            </w:r>
            <w:r w:rsidR="00330FCE" w:rsidRPr="00A23740">
              <w:rPr>
                <w:rFonts w:eastAsia="Times New Roman"/>
                <w:b/>
                <w:color w:val="0000FF"/>
                <w:szCs w:val="24"/>
              </w:rPr>
              <w:t>müşteki tüzel kişi ise ticaret ü</w:t>
            </w:r>
            <w:r w:rsidRPr="00A23740">
              <w:rPr>
                <w:rFonts w:eastAsia="Times New Roman"/>
                <w:b/>
                <w:color w:val="0000FF"/>
                <w:szCs w:val="24"/>
              </w:rPr>
              <w:t>nvanı, ticaret sicil numarası, adresi ve iletişim bilgileri.</w:t>
            </w:r>
          </w:p>
          <w:p w:rsidR="001C3ADB" w:rsidRPr="00A23740" w:rsidRDefault="001C3ADB" w:rsidP="00955D60">
            <w:pPr>
              <w:widowControl w:val="0"/>
              <w:tabs>
                <w:tab w:val="left" w:pos="567"/>
              </w:tabs>
              <w:rPr>
                <w:rFonts w:eastAsia="Times New Roman"/>
                <w:b/>
                <w:color w:val="0000FF"/>
                <w:szCs w:val="24"/>
              </w:rPr>
            </w:pPr>
          </w:p>
          <w:p w:rsidR="00A043AD" w:rsidRPr="00A23740" w:rsidRDefault="00A043AD" w:rsidP="00955D60">
            <w:pPr>
              <w:widowControl w:val="0"/>
              <w:tabs>
                <w:tab w:val="left" w:pos="567"/>
              </w:tabs>
              <w:rPr>
                <w:rFonts w:eastAsia="Times New Roman"/>
                <w:b/>
                <w:color w:val="0000FF"/>
                <w:szCs w:val="24"/>
              </w:rPr>
            </w:pPr>
            <w:r w:rsidRPr="00A23740">
              <w:rPr>
                <w:rFonts w:eastAsia="Times New Roman"/>
                <w:b/>
                <w:color w:val="0000FF"/>
                <w:szCs w:val="24"/>
              </w:rPr>
              <w:t>c) Varsa müşteki vekilinin adı, soyadı ve adresi.</w:t>
            </w:r>
          </w:p>
          <w:p w:rsidR="001C3ADB" w:rsidRPr="00A23740" w:rsidRDefault="001C3ADB" w:rsidP="00955D60">
            <w:pPr>
              <w:widowControl w:val="0"/>
              <w:tabs>
                <w:tab w:val="left" w:pos="567"/>
              </w:tabs>
              <w:rPr>
                <w:rFonts w:eastAsia="Times New Roman"/>
                <w:b/>
                <w:color w:val="0000FF"/>
                <w:szCs w:val="24"/>
              </w:rPr>
            </w:pPr>
          </w:p>
          <w:p w:rsidR="00A043AD" w:rsidRPr="00A23740" w:rsidRDefault="00A043AD" w:rsidP="00955D60">
            <w:pPr>
              <w:widowControl w:val="0"/>
              <w:tabs>
                <w:tab w:val="left" w:pos="567"/>
              </w:tabs>
              <w:rPr>
                <w:rStyle w:val="YELChar"/>
              </w:rPr>
            </w:pPr>
            <w:r w:rsidRPr="00A23740">
              <w:rPr>
                <w:rFonts w:eastAsia="Times New Roman"/>
                <w:b/>
                <w:color w:val="0000FF"/>
                <w:szCs w:val="24"/>
              </w:rPr>
              <w:t>ç) Şikâyet edilenin adı, soyadı ve adresi</w:t>
            </w:r>
            <w:r w:rsidRPr="005D4042">
              <w:rPr>
                <w:rStyle w:val="YELChar"/>
                <w:color w:val="0000FF"/>
              </w:rPr>
              <w:t xml:space="preserve">; </w:t>
            </w:r>
            <w:r w:rsidR="00A31934" w:rsidRPr="005D4042">
              <w:rPr>
                <w:rStyle w:val="KonuBalChar"/>
                <w:rFonts w:eastAsia="ヒラギノ明朝 Pro W3"/>
                <w:color w:val="0000FF"/>
              </w:rPr>
              <w:t>529 uncu</w:t>
            </w:r>
            <w:r w:rsidR="00A31934" w:rsidRPr="00A23740">
              <w:rPr>
                <w:rStyle w:val="YELChar"/>
              </w:rPr>
              <w:t xml:space="preserve"> </w:t>
            </w:r>
            <w:r w:rsidRPr="005D4042">
              <w:rPr>
                <w:rStyle w:val="YELChar"/>
                <w:color w:val="0000FF"/>
              </w:rPr>
              <w:t>madde</w:t>
            </w:r>
            <w:r w:rsidR="00AE7A9F" w:rsidRPr="005D4042">
              <w:rPr>
                <w:rStyle w:val="YELChar"/>
                <w:color w:val="0000FF"/>
              </w:rPr>
              <w:t>ye göre</w:t>
            </w:r>
            <w:r w:rsidRPr="00A23740">
              <w:rPr>
                <w:rStyle w:val="YELChar"/>
              </w:rPr>
              <w:t xml:space="preserve"> </w:t>
            </w:r>
            <w:r w:rsidRPr="005D4042">
              <w:rPr>
                <w:rStyle w:val="YELChar"/>
                <w:color w:val="0000FF"/>
              </w:rPr>
              <w:t>yapılan şikâyetlerde tüzel kişinin ünvanı, varsa ticaret sicil numarası.</w:t>
            </w:r>
          </w:p>
          <w:p w:rsidR="001C3ADB" w:rsidRPr="00A23740" w:rsidRDefault="001C3ADB" w:rsidP="00955D60">
            <w:pPr>
              <w:widowControl w:val="0"/>
              <w:tabs>
                <w:tab w:val="left" w:pos="567"/>
              </w:tabs>
              <w:rPr>
                <w:rFonts w:eastAsia="Times New Roman"/>
                <w:b/>
                <w:color w:val="0000FF"/>
                <w:szCs w:val="24"/>
              </w:rPr>
            </w:pPr>
          </w:p>
          <w:p w:rsidR="00A043AD" w:rsidRPr="00A23740" w:rsidRDefault="00A043AD" w:rsidP="00955D60">
            <w:pPr>
              <w:widowControl w:val="0"/>
              <w:tabs>
                <w:tab w:val="left" w:pos="567"/>
              </w:tabs>
              <w:rPr>
                <w:rFonts w:eastAsia="Times New Roman"/>
                <w:b/>
                <w:color w:val="0000FF"/>
                <w:szCs w:val="24"/>
              </w:rPr>
            </w:pPr>
            <w:r w:rsidRPr="00A23740">
              <w:rPr>
                <w:rFonts w:eastAsia="Times New Roman"/>
                <w:b/>
                <w:color w:val="0000FF"/>
                <w:szCs w:val="24"/>
              </w:rPr>
              <w:t>d) Şikâyet tarihi ile şikâyet konusu fiilin işlendiği tarih ve yer.</w:t>
            </w:r>
          </w:p>
          <w:p w:rsidR="001C3ADB" w:rsidRPr="00A23740" w:rsidRDefault="001C3ADB" w:rsidP="00955D60">
            <w:pPr>
              <w:widowControl w:val="0"/>
              <w:tabs>
                <w:tab w:val="left" w:pos="567"/>
              </w:tabs>
              <w:rPr>
                <w:rFonts w:eastAsia="Times New Roman"/>
                <w:b/>
                <w:color w:val="0000FF"/>
                <w:szCs w:val="24"/>
              </w:rPr>
            </w:pPr>
          </w:p>
          <w:p w:rsidR="00A043AD" w:rsidRPr="00A23740" w:rsidRDefault="00A043AD" w:rsidP="00955D60">
            <w:pPr>
              <w:widowControl w:val="0"/>
              <w:tabs>
                <w:tab w:val="left" w:pos="567"/>
              </w:tabs>
              <w:rPr>
                <w:rFonts w:eastAsia="Times New Roman"/>
                <w:b/>
                <w:color w:val="0000FF"/>
                <w:szCs w:val="24"/>
              </w:rPr>
            </w:pPr>
            <w:r w:rsidRPr="00A23740">
              <w:rPr>
                <w:rFonts w:eastAsia="Times New Roman"/>
                <w:b/>
                <w:color w:val="0000FF"/>
                <w:szCs w:val="24"/>
              </w:rPr>
              <w:t>e) Şikâyet konusu fiilin ne olduğu.</w:t>
            </w:r>
          </w:p>
          <w:p w:rsidR="001C3ADB" w:rsidRPr="00A23740" w:rsidRDefault="001C3ADB" w:rsidP="00955D60">
            <w:pPr>
              <w:widowControl w:val="0"/>
              <w:tabs>
                <w:tab w:val="left" w:pos="567"/>
              </w:tabs>
              <w:rPr>
                <w:rFonts w:eastAsia="Times New Roman"/>
                <w:b/>
                <w:color w:val="0000FF"/>
                <w:szCs w:val="24"/>
              </w:rPr>
            </w:pPr>
          </w:p>
          <w:p w:rsidR="00A043AD" w:rsidRPr="00A23740" w:rsidRDefault="00A043AD" w:rsidP="00955D60">
            <w:pPr>
              <w:widowControl w:val="0"/>
              <w:tabs>
                <w:tab w:val="left" w:pos="567"/>
              </w:tabs>
              <w:rPr>
                <w:rFonts w:eastAsia="Times New Roman"/>
                <w:b/>
                <w:color w:val="0000FF"/>
                <w:szCs w:val="24"/>
              </w:rPr>
            </w:pPr>
            <w:r w:rsidRPr="00A23740">
              <w:rPr>
                <w:rFonts w:eastAsia="Times New Roman"/>
                <w:b/>
                <w:color w:val="0000FF"/>
                <w:szCs w:val="24"/>
              </w:rPr>
              <w:t>f) Şikâyet konusu fiile ilişkin deliller ve takip dosya numarası.</w:t>
            </w:r>
          </w:p>
          <w:p w:rsidR="001C3ADB" w:rsidRPr="00A23740" w:rsidRDefault="001C3ADB" w:rsidP="00955D60">
            <w:pPr>
              <w:widowControl w:val="0"/>
              <w:tabs>
                <w:tab w:val="left" w:pos="567"/>
              </w:tabs>
              <w:rPr>
                <w:rFonts w:eastAsia="Times New Roman"/>
                <w:b/>
                <w:color w:val="0000FF"/>
                <w:szCs w:val="24"/>
              </w:rPr>
            </w:pPr>
          </w:p>
          <w:p w:rsidR="00A043AD" w:rsidRPr="00A23740" w:rsidRDefault="00A043AD" w:rsidP="00955D60">
            <w:pPr>
              <w:widowControl w:val="0"/>
              <w:tabs>
                <w:tab w:val="left" w:pos="567"/>
              </w:tabs>
              <w:rPr>
                <w:rFonts w:eastAsia="Times New Roman"/>
                <w:b/>
                <w:color w:val="0000FF"/>
                <w:szCs w:val="24"/>
              </w:rPr>
            </w:pPr>
            <w:r w:rsidRPr="00A23740">
              <w:rPr>
                <w:rFonts w:eastAsia="Times New Roman"/>
                <w:b/>
                <w:color w:val="0000FF"/>
                <w:szCs w:val="24"/>
              </w:rPr>
              <w:t>g) Gider avansının yatırıldığına ilişkin belge.</w:t>
            </w:r>
          </w:p>
          <w:p w:rsidR="00A043AD" w:rsidRPr="00A23740" w:rsidRDefault="00A043AD" w:rsidP="00955D60">
            <w:pPr>
              <w:widowControl w:val="0"/>
              <w:jc w:val="left"/>
              <w:rPr>
                <w:rFonts w:eastAsia="Times New Roman"/>
                <w:szCs w:val="24"/>
              </w:rPr>
            </w:pPr>
          </w:p>
          <w:p w:rsidR="00A043AD" w:rsidRPr="00A23740" w:rsidRDefault="00A043AD" w:rsidP="00955D60">
            <w:pPr>
              <w:widowControl w:val="0"/>
              <w:rPr>
                <w:rFonts w:eastAsia="Times New Roman"/>
                <w:b/>
                <w:color w:val="0000FF"/>
                <w:szCs w:val="24"/>
              </w:rPr>
            </w:pPr>
            <w:r w:rsidRPr="00A23740">
              <w:rPr>
                <w:rFonts w:eastAsia="Times New Roman"/>
                <w:b/>
                <w:color w:val="0000FF"/>
                <w:szCs w:val="24"/>
              </w:rPr>
              <w:t>(3) Mahkeme, şikâyet dilekçesini inceler ve ikinci fıkranın (a) bendi hariç diğer bentlerinde belirtilen hususlardan birinin eksik olduğunu görürse</w:t>
            </w:r>
            <w:r w:rsidRPr="00A23740">
              <w:rPr>
                <w:rStyle w:val="MaviChar"/>
              </w:rPr>
              <w:t xml:space="preserve">, </w:t>
            </w:r>
            <w:r w:rsidRPr="00A23740">
              <w:rPr>
                <w:rFonts w:eastAsia="Times New Roman"/>
                <w:b/>
                <w:color w:val="0000FF"/>
                <w:szCs w:val="24"/>
              </w:rPr>
              <w:t>müştekiye eksikliği gidermesi için bir haftalık kesin süre verir. Bu süre içinde eksiklik giderilmezs</w:t>
            </w:r>
            <w:r w:rsidRPr="00A23740">
              <w:rPr>
                <w:rStyle w:val="MaviChar"/>
              </w:rPr>
              <w:t>e,</w:t>
            </w:r>
            <w:r w:rsidRPr="00A23740">
              <w:rPr>
                <w:rFonts w:eastAsia="Times New Roman"/>
                <w:b/>
                <w:color w:val="0000FF"/>
                <w:szCs w:val="24"/>
              </w:rPr>
              <w:t xml:space="preserve"> şikâyet dilekçesinin reddine karar verilir. Bu ret kararına itiraz edilebilir. </w:t>
            </w:r>
          </w:p>
          <w:p w:rsidR="00A043AD" w:rsidRPr="00A23740" w:rsidRDefault="00A043AD" w:rsidP="00955D60">
            <w:pPr>
              <w:widowControl w:val="0"/>
              <w:rPr>
                <w:rFonts w:eastAsia="Times New Roman"/>
                <w:b/>
                <w:color w:val="0000FF"/>
                <w:szCs w:val="24"/>
              </w:rPr>
            </w:pPr>
            <w:r w:rsidRPr="00A23740">
              <w:rPr>
                <w:rFonts w:eastAsia="Times New Roman"/>
                <w:b/>
                <w:color w:val="0000FF"/>
                <w:szCs w:val="24"/>
              </w:rPr>
              <w:t xml:space="preserve"> </w:t>
            </w:r>
          </w:p>
          <w:p w:rsidR="00A043AD" w:rsidRPr="00A23740" w:rsidRDefault="00A043AD" w:rsidP="00955D60">
            <w:pPr>
              <w:widowControl w:val="0"/>
              <w:rPr>
                <w:rFonts w:eastAsia="Times New Roman"/>
                <w:b/>
                <w:i/>
                <w:color w:val="0000FF"/>
                <w:szCs w:val="24"/>
              </w:rPr>
            </w:pPr>
            <w:r w:rsidRPr="00A23740">
              <w:rPr>
                <w:rFonts w:eastAsia="Times New Roman"/>
                <w:b/>
                <w:color w:val="0000FF"/>
                <w:szCs w:val="24"/>
              </w:rPr>
              <w:t xml:space="preserve">(4) Müşteki, </w:t>
            </w:r>
            <w:r w:rsidRPr="00A23740">
              <w:rPr>
                <w:rFonts w:eastAsia="Times New Roman"/>
                <w:szCs w:val="24"/>
                <w:lang w:eastAsia="tr-TR"/>
              </w:rPr>
              <w:t>dilekçe</w:t>
            </w:r>
            <w:r w:rsidRPr="00A23740">
              <w:rPr>
                <w:rFonts w:eastAsia="Times New Roman"/>
                <w:b/>
                <w:color w:val="0000FF"/>
                <w:szCs w:val="24"/>
              </w:rPr>
              <w:t>sinde</w:t>
            </w:r>
            <w:r w:rsidRPr="00A23740">
              <w:rPr>
                <w:rFonts w:eastAsia="Times New Roman"/>
                <w:szCs w:val="24"/>
                <w:lang w:eastAsia="tr-TR"/>
              </w:rPr>
              <w:t xml:space="preserve"> göster</w:t>
            </w:r>
            <w:r w:rsidRPr="00A23740">
              <w:rPr>
                <w:rFonts w:eastAsia="Times New Roman"/>
                <w:b/>
                <w:bCs/>
                <w:color w:val="0000FF"/>
                <w:szCs w:val="24"/>
              </w:rPr>
              <w:t>miş</w:t>
            </w:r>
            <w:r w:rsidRPr="00A23740">
              <w:rPr>
                <w:rFonts w:eastAsia="Times New Roman"/>
                <w:b/>
                <w:i/>
                <w:color w:val="0000FF"/>
                <w:szCs w:val="24"/>
              </w:rPr>
              <w:t xml:space="preserve"> </w:t>
            </w:r>
            <w:r w:rsidRPr="00A23740">
              <w:rPr>
                <w:rFonts w:eastAsia="Times New Roman"/>
                <w:szCs w:val="24"/>
                <w:lang w:eastAsia="tr-TR"/>
              </w:rPr>
              <w:t>olduğu delillerle</w:t>
            </w:r>
            <w:r w:rsidRPr="00A23740">
              <w:rPr>
                <w:rFonts w:ascii="New York" w:eastAsia="Times New Roman" w:hAnsi="New York"/>
                <w:b/>
                <w:sz w:val="18"/>
                <w:szCs w:val="20"/>
                <w:lang w:eastAsia="tr-TR"/>
              </w:rPr>
              <w:t xml:space="preserve"> </w:t>
            </w:r>
            <w:r w:rsidRPr="00A23740">
              <w:rPr>
                <w:rFonts w:eastAsia="Times New Roman"/>
                <w:szCs w:val="24"/>
                <w:lang w:eastAsia="tr-TR"/>
              </w:rPr>
              <w:t>bağlıdır.</w:t>
            </w:r>
          </w:p>
          <w:p w:rsidR="00A043AD" w:rsidRPr="00A23740" w:rsidRDefault="00A043AD" w:rsidP="00955D60">
            <w:pPr>
              <w:widowControl w:val="0"/>
              <w:rPr>
                <w:rFonts w:eastAsia="Times New Roman"/>
                <w:b/>
                <w:color w:val="0000FF"/>
                <w:szCs w:val="24"/>
              </w:rPr>
            </w:pPr>
          </w:p>
          <w:p w:rsidR="00A043AD" w:rsidRPr="00A23740" w:rsidRDefault="00A043AD" w:rsidP="00955D60">
            <w:pPr>
              <w:widowControl w:val="0"/>
              <w:rPr>
                <w:rFonts w:eastAsia="Times New Roman"/>
                <w:szCs w:val="24"/>
                <w:lang w:eastAsia="tr-TR"/>
              </w:rPr>
            </w:pP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s>
              <w:ind w:firstLine="709"/>
              <w:rPr>
                <w:rFonts w:eastAsia="Arial Unicode MS"/>
                <w:b/>
                <w:iCs/>
                <w:szCs w:val="24"/>
                <w:lang w:eastAsia="tr-TR"/>
              </w:rPr>
            </w:pPr>
          </w:p>
          <w:p w:rsidR="00A043AD" w:rsidRPr="00A23740" w:rsidRDefault="00A043AD" w:rsidP="00750F08">
            <w:pPr>
              <w:widowControl w:val="0"/>
              <w:suppressLineNumbers/>
              <w:tabs>
                <w:tab w:val="left" w:pos="540"/>
              </w:tabs>
              <w:ind w:firstLine="709"/>
              <w:rPr>
                <w:rFonts w:eastAsia="Arial Unicode MS"/>
                <w:b/>
                <w:iCs/>
                <w:szCs w:val="24"/>
                <w:lang w:eastAsia="tr-TR"/>
              </w:rPr>
            </w:pPr>
            <w:r w:rsidRPr="00A23740">
              <w:rPr>
                <w:rFonts w:eastAsia="Arial Unicode MS"/>
                <w:b/>
                <w:iCs/>
                <w:szCs w:val="24"/>
                <w:lang w:eastAsia="tr-TR"/>
              </w:rPr>
              <w:t>MADDE 533-</w:t>
            </w:r>
            <w:r w:rsidRPr="00A23740">
              <w:rPr>
                <w:rFonts w:eastAsia="Arial Unicode MS"/>
                <w:iCs/>
                <w:szCs w:val="24"/>
                <w:lang w:eastAsia="tr-TR"/>
              </w:rPr>
              <w:t xml:space="preserve"> </w:t>
            </w:r>
            <w:r w:rsidRPr="00A23740">
              <w:rPr>
                <w:rFonts w:eastAsia="Times New Roman"/>
                <w:szCs w:val="24"/>
                <w:lang w:eastAsia="tr-TR"/>
              </w:rPr>
              <w:t xml:space="preserve">Maddeyle, davanın açılmasına ilişkin hususlar düzenlenmektedir. Bu hüküm, 2004 sayılı Kanunun 349 ve 351 inci maddelerine karşılık gelmektedir. </w:t>
            </w:r>
          </w:p>
          <w:p w:rsidR="00A043AD" w:rsidRPr="00A23740" w:rsidRDefault="00A043AD" w:rsidP="00750F08">
            <w:pPr>
              <w:widowControl w:val="0"/>
              <w:suppressLineNumbers/>
              <w:tabs>
                <w:tab w:val="left" w:pos="540"/>
              </w:tabs>
              <w:ind w:firstLine="709"/>
              <w:rPr>
                <w:rFonts w:eastAsia="Times New Roman"/>
                <w:szCs w:val="24"/>
                <w:lang w:eastAsia="tr-TR"/>
              </w:rPr>
            </w:pPr>
            <w:r w:rsidRPr="00A23740">
              <w:rPr>
                <w:rFonts w:eastAsia="Times New Roman"/>
                <w:szCs w:val="24"/>
                <w:lang w:eastAsia="tr-TR"/>
              </w:rPr>
              <w:t xml:space="preserve">Birinci fıkrayla, bu Kanunda yer alan disiplin veya tazyik hapsini gerektiren </w:t>
            </w:r>
            <w:r w:rsidRPr="005D4042">
              <w:rPr>
                <w:rFonts w:eastAsia="Times New Roman"/>
                <w:szCs w:val="24"/>
                <w:lang w:eastAsia="tr-TR"/>
              </w:rPr>
              <w:t>fiiller ile suçlardan</w:t>
            </w:r>
            <w:r w:rsidRPr="00A23740">
              <w:rPr>
                <w:rFonts w:eastAsia="Times New Roman"/>
                <w:szCs w:val="24"/>
                <w:lang w:eastAsia="tr-TR"/>
              </w:rPr>
              <w:t xml:space="preserve"> dolayı, şikâyet hakkına sahip kişi tarafından verilecek bir dilekçeyle dava açılabileceği düzenlenmektedir. </w:t>
            </w:r>
            <w:r w:rsidRPr="00A23740">
              <w:rPr>
                <w:rFonts w:eastAsia="Arial Unicode MS"/>
                <w:iCs/>
                <w:szCs w:val="24"/>
                <w:lang w:eastAsia="tr-TR"/>
              </w:rPr>
              <w:t xml:space="preserve">2004 sayılı Kanunun 349 uncu </w:t>
            </w:r>
            <w:r w:rsidRPr="005D4042">
              <w:rPr>
                <w:rFonts w:eastAsia="Times New Roman"/>
                <w:szCs w:val="24"/>
                <w:lang w:eastAsia="tr-TR"/>
              </w:rPr>
              <w:t>maddesinin</w:t>
            </w:r>
            <w:r w:rsidRPr="00A23740">
              <w:rPr>
                <w:rFonts w:eastAsia="Arial Unicode MS"/>
                <w:iCs/>
                <w:szCs w:val="24"/>
                <w:lang w:eastAsia="tr-TR"/>
              </w:rPr>
              <w:t xml:space="preserve"> birinci fıkrasında yer alan şikâyetin sözlü olarak yapılabilmesine ilişkin hüküm, dilekçe usulünün kabul edilmesi nedeniyle metne alınmamaktadır.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Times New Roman"/>
                <w:szCs w:val="24"/>
                <w:lang w:eastAsia="tr-TR"/>
              </w:rPr>
              <w:t>İkinci fıkrayla, bir yenilik olarak şikâyet dilekçesinde yer alması</w:t>
            </w:r>
            <w:r w:rsidR="00F96839" w:rsidRPr="00A23740">
              <w:rPr>
                <w:rFonts w:eastAsia="Times New Roman"/>
                <w:szCs w:val="24"/>
                <w:lang w:eastAsia="tr-TR"/>
              </w:rPr>
              <w:t xml:space="preserve"> gereken hususlar bentler hâ</w:t>
            </w:r>
            <w:r w:rsidRPr="00A23740">
              <w:rPr>
                <w:rFonts w:eastAsia="Times New Roman"/>
                <w:szCs w:val="24"/>
                <w:lang w:eastAsia="tr-TR"/>
              </w:rPr>
              <w:t>linde düzenlenmektedir. 2004 sayılı Kanunun şahsi dava müessesesinin bir örneği olan hükümler</w:t>
            </w:r>
            <w:r w:rsidR="00C33806" w:rsidRPr="00A23740">
              <w:rPr>
                <w:rFonts w:eastAsia="Times New Roman"/>
                <w:szCs w:val="24"/>
                <w:lang w:eastAsia="tr-TR"/>
              </w:rPr>
              <w:t>i</w:t>
            </w:r>
            <w:r w:rsidRPr="00A23740">
              <w:rPr>
                <w:rFonts w:eastAsia="Times New Roman"/>
                <w:szCs w:val="24"/>
                <w:lang w:eastAsia="tr-TR"/>
              </w:rPr>
              <w:t xml:space="preserve"> genel </w:t>
            </w:r>
            <w:r w:rsidR="00C33806" w:rsidRPr="00A23740">
              <w:rPr>
                <w:rFonts w:eastAsia="Times New Roman"/>
                <w:szCs w:val="24"/>
                <w:lang w:eastAsia="tr-TR"/>
              </w:rPr>
              <w:t xml:space="preserve">olarak </w:t>
            </w:r>
            <w:r w:rsidRPr="00A23740">
              <w:rPr>
                <w:rFonts w:eastAsia="Times New Roman"/>
                <w:szCs w:val="24"/>
                <w:lang w:eastAsia="tr-TR"/>
              </w:rPr>
              <w:t xml:space="preserve">bu Kanunda muhafaza edilmektedir. Buna göre, Kanunda yer verilen disiplin ve tazyik hapisleri </w:t>
            </w:r>
            <w:r w:rsidRPr="005D4042">
              <w:rPr>
                <w:rFonts w:eastAsia="Times New Roman"/>
                <w:szCs w:val="24"/>
                <w:lang w:eastAsia="tr-TR"/>
              </w:rPr>
              <w:t>ile</w:t>
            </w:r>
            <w:r w:rsidRPr="005D4042">
              <w:rPr>
                <w:rFonts w:eastAsia="Times New Roman"/>
                <w:b/>
                <w:lang w:eastAsia="tr-TR"/>
              </w:rPr>
              <w:t xml:space="preserve"> </w:t>
            </w:r>
            <w:r w:rsidRPr="005D4042">
              <w:rPr>
                <w:rFonts w:eastAsia="Times New Roman"/>
                <w:szCs w:val="24"/>
                <w:lang w:eastAsia="tr-TR"/>
              </w:rPr>
              <w:t>suçlar</w:t>
            </w:r>
            <w:r w:rsidRPr="00A23740">
              <w:rPr>
                <w:rFonts w:eastAsia="Times New Roman"/>
                <w:szCs w:val="24"/>
                <w:lang w:eastAsia="tr-TR"/>
              </w:rPr>
              <w:t xml:space="preserve"> nedeniyle failin yargılanması müştekinin şikâyetinin bir sonucudur. Diğer bir deyişle, 5271 sayılı Ceza Muhakemesi Kanunundaki düzenlemelerin aksine, bu Kanun kapsamında iddia makamı olan Cumhuriyet savcısına görev verilmemekte, yani fail hakkında iddianame yerine şikâyet dilekçesiyle doğrudan dava</w:t>
            </w:r>
            <w:r w:rsidR="00C33806" w:rsidRPr="00A23740">
              <w:rPr>
                <w:rFonts w:eastAsia="Times New Roman"/>
                <w:szCs w:val="24"/>
                <w:lang w:eastAsia="tr-TR"/>
              </w:rPr>
              <w:t xml:space="preserve"> açılabilmektedir</w:t>
            </w:r>
            <w:r w:rsidRPr="00A23740">
              <w:rPr>
                <w:rFonts w:eastAsia="Times New Roman"/>
                <w:szCs w:val="24"/>
                <w:lang w:eastAsia="tr-TR"/>
              </w:rPr>
              <w:t xml:space="preserve">. Ancak </w:t>
            </w:r>
            <w:r w:rsidRPr="00A23740">
              <w:rPr>
                <w:rFonts w:eastAsia="Arial Unicode MS"/>
                <w:iCs/>
                <w:szCs w:val="24"/>
                <w:lang w:eastAsia="tr-TR"/>
              </w:rPr>
              <w:t>2004 sayılı Kanuna göre uygulamada icra ceza mahkemesine sunulan dilekçelerde genellikle şikâyet konusunun ortaya konulmadığı, gerekli bilgilerin bulunmadığı ve soyut bir şikâyet beyanıyla yetinildiği görülmektedir. Bu durum da yargılamanın gereksiz yere uzamasına sebep olmaktadır. İşte bu gibi olumsuzlukların ortaya çıkmasının ve dolayısıyla yargılamaların uzamasının engellenmesi amacıyla şikâyet dilekçesinde bulunması gereken hususlar hükümde açıkça belirlenmektedir. Bu belirleme yapılırken, dava dilekçesi açısından 6100 sayılı</w:t>
            </w:r>
            <w:r w:rsidR="003E7FF9" w:rsidRPr="00A23740">
              <w:rPr>
                <w:rFonts w:eastAsia="Arial Unicode MS"/>
                <w:iCs/>
                <w:szCs w:val="24"/>
                <w:lang w:eastAsia="tr-TR"/>
              </w:rPr>
              <w:t xml:space="preserve"> </w:t>
            </w:r>
            <w:r w:rsidR="003E7FF9" w:rsidRPr="005D4042">
              <w:rPr>
                <w:rFonts w:eastAsia="Times New Roman"/>
                <w:szCs w:val="24"/>
                <w:lang w:eastAsia="tr-TR"/>
              </w:rPr>
              <w:t>Kanunun</w:t>
            </w:r>
            <w:r w:rsidRPr="00A23740">
              <w:rPr>
                <w:rFonts w:eastAsia="Arial Unicode MS"/>
                <w:iCs/>
                <w:szCs w:val="24"/>
                <w:lang w:eastAsia="tr-TR"/>
              </w:rPr>
              <w:t xml:space="preserve"> 119 uncu maddesi, iddiname açısından ise 5271 sayılı Ceza Muhakemesi Kanununun 170 inci maddesinde yer alan düzenlemeler gözetilmekte ve niteliğine uygun düşen hükümler metne alınmaktadır. Hüküm bu yönüyle icra ceza hukuku yargılamasına tamamen yeni ve faydalı bir usul getirmektedir. </w:t>
            </w:r>
            <w:r w:rsidRPr="00A23740">
              <w:rPr>
                <w:rFonts w:eastAsia="Times New Roman"/>
                <w:szCs w:val="24"/>
                <w:lang w:eastAsia="tr-TR"/>
              </w:rPr>
              <w:t>Şikâyet dilekçesinin asgari unsurlarının açıkça belirlenmesi sayesinde, hapis cezası</w:t>
            </w:r>
            <w:r w:rsidR="00E319A1" w:rsidRPr="007F1EBD">
              <w:rPr>
                <w:rFonts w:eastAsia="Times New Roman"/>
                <w:szCs w:val="24"/>
                <w:lang w:eastAsia="tr-TR"/>
              </w:rPr>
              <w:t>yla</w:t>
            </w:r>
            <w:r w:rsidRPr="00A23740">
              <w:rPr>
                <w:rFonts w:eastAsia="Times New Roman"/>
                <w:szCs w:val="24"/>
                <w:lang w:eastAsia="tr-TR"/>
              </w:rPr>
              <w:t xml:space="preserve"> cezalandırılabilecek eylemler isnat olunan failin lekelenmeme hakkının temininin yanında</w:t>
            </w:r>
            <w:r w:rsidR="00C33806" w:rsidRPr="00A23740">
              <w:rPr>
                <w:rFonts w:eastAsia="Times New Roman"/>
                <w:szCs w:val="24"/>
                <w:lang w:eastAsia="tr-TR"/>
              </w:rPr>
              <w:t>,</w:t>
            </w:r>
            <w:r w:rsidRPr="00A23740">
              <w:rPr>
                <w:rFonts w:eastAsia="Times New Roman"/>
                <w:szCs w:val="24"/>
                <w:lang w:eastAsia="tr-TR"/>
              </w:rPr>
              <w:t xml:space="preserve"> aynı zamanda uygulamadaki pek çok sorunun da giderilmesi hedeflenmektedir. Öte yandan, </w:t>
            </w:r>
            <w:r w:rsidRPr="00A23740">
              <w:rPr>
                <w:rFonts w:eastAsia="Arial Unicode MS"/>
                <w:iCs/>
                <w:szCs w:val="24"/>
                <w:lang w:eastAsia="tr-TR"/>
              </w:rPr>
              <w:t xml:space="preserve">bir yenilik olarak, </w:t>
            </w:r>
            <w:r w:rsidRPr="00A23740">
              <w:rPr>
                <w:rFonts w:eastAsia="Times New Roman"/>
                <w:szCs w:val="24"/>
                <w:lang w:eastAsia="tr-TR"/>
              </w:rPr>
              <w:t>Taslağın</w:t>
            </w:r>
            <w:r w:rsidRPr="00A23740">
              <w:rPr>
                <w:rFonts w:eastAsia="Arial Unicode MS"/>
                <w:iCs/>
                <w:szCs w:val="24"/>
                <w:lang w:eastAsia="tr-TR"/>
              </w:rPr>
              <w:t xml:space="preserve"> “Yargılama giderleri” başlıklı </w:t>
            </w:r>
            <w:r w:rsidR="00A31934" w:rsidRPr="005D4042">
              <w:rPr>
                <w:rFonts w:eastAsia="Times New Roman"/>
                <w:szCs w:val="24"/>
                <w:lang w:eastAsia="tr-TR"/>
              </w:rPr>
              <w:t>536</w:t>
            </w:r>
            <w:r w:rsidR="00A31934" w:rsidRPr="005D4042">
              <w:rPr>
                <w:rFonts w:eastAsia="Times New Roman"/>
                <w:b/>
                <w:bCs/>
                <w:szCs w:val="24"/>
                <w:lang w:eastAsia="tr-TR"/>
              </w:rPr>
              <w:t xml:space="preserve"> </w:t>
            </w:r>
            <w:r w:rsidR="00A31934" w:rsidRPr="005D4042">
              <w:rPr>
                <w:rFonts w:eastAsia="Times New Roman"/>
                <w:szCs w:val="24"/>
                <w:lang w:eastAsia="tr-TR"/>
              </w:rPr>
              <w:t>ncı</w:t>
            </w:r>
            <w:r w:rsidR="00A31934" w:rsidRPr="00A23740">
              <w:rPr>
                <w:rFonts w:eastAsia="Arial Unicode MS"/>
                <w:iCs/>
                <w:szCs w:val="24"/>
                <w:lang w:eastAsia="tr-TR"/>
              </w:rPr>
              <w:t xml:space="preserve"> </w:t>
            </w:r>
            <w:r w:rsidRPr="00A23740">
              <w:rPr>
                <w:rFonts w:eastAsia="Arial Unicode MS"/>
                <w:iCs/>
                <w:szCs w:val="24"/>
                <w:lang w:eastAsia="tr-TR"/>
              </w:rPr>
              <w:t xml:space="preserve">maddesinde gider avansına ilişkin hususlar düzenlenmektedir. Buna göre, dava için başvurunun yapıldığı anda şikâyetçi, her yıl Adalet Bakanlığınca çıkarılacak Gider Avansı Tarifesinde belirlenecek tutarı mahkeme veznesine yatırmak zorundadır. Bu kapsamda, </w:t>
            </w:r>
            <w:r w:rsidRPr="00A23740">
              <w:rPr>
                <w:rFonts w:eastAsia="Times New Roman"/>
                <w:szCs w:val="24"/>
                <w:lang w:eastAsia="tr-TR"/>
              </w:rPr>
              <w:t xml:space="preserve">gider avansının yatırıldığına ilişkin belgenin </w:t>
            </w:r>
            <w:r w:rsidRPr="00A23740">
              <w:rPr>
                <w:rFonts w:eastAsia="Arial Unicode MS"/>
                <w:iCs/>
                <w:szCs w:val="24"/>
                <w:lang w:eastAsia="tr-TR"/>
              </w:rPr>
              <w:t>de şikâyet dilekçesi</w:t>
            </w:r>
            <w:r w:rsidR="00C33806" w:rsidRPr="00A23740">
              <w:rPr>
                <w:rFonts w:eastAsia="Arial Unicode MS"/>
                <w:iCs/>
                <w:szCs w:val="24"/>
                <w:lang w:eastAsia="tr-TR"/>
              </w:rPr>
              <w:t>yle</w:t>
            </w:r>
            <w:r w:rsidR="00F96839" w:rsidRPr="00A23740">
              <w:rPr>
                <w:rFonts w:eastAsia="Arial Unicode MS"/>
                <w:iCs/>
                <w:szCs w:val="24"/>
                <w:lang w:eastAsia="tr-TR"/>
              </w:rPr>
              <w:t xml:space="preserve"> birlikte sunulması zorunlu hâ</w:t>
            </w:r>
            <w:r w:rsidRPr="00A23740">
              <w:rPr>
                <w:rFonts w:eastAsia="Arial Unicode MS"/>
                <w:iCs/>
                <w:szCs w:val="24"/>
                <w:lang w:eastAsia="tr-TR"/>
              </w:rPr>
              <w:t>le getirilmektedir.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Üçüncü fıkrayla, önemli bir yenilik olarak şikâyet dilekçesinin verilmesi üzerine mahkemenin yapacağı ilk inceleme ve eksikliklerin giderilmesine ilişkin hususlara yer verilmektedir. Buna göre, birinci ve ikinci fıkralar gereğince icra ceza mahkemesine sunulan dilekçe mahkemece incelenir ve ikinci fıkranın (b), (c), (ç), (d), (e), (f) ve (g) bentlerinde belirtilen hususların eksik olduğunun anlaşılması hâlinde müştekiye eksikliği gidermesi için bir haftalık kesin süre verilir. Bu süre içinde müşteki eksiklikleri gidermezse, mahkemece şikâyet dilekçesinin reddine karar verilir.</w:t>
            </w:r>
            <w:r w:rsidRPr="007F1EBD">
              <w:rPr>
                <w:rStyle w:val="KIRMIZIChar"/>
                <w:rFonts w:eastAsia="Arial Unicode MS"/>
                <w:strike w:val="0"/>
              </w:rPr>
              <w:t xml:space="preserve"> </w:t>
            </w:r>
            <w:r w:rsidRPr="00A23740">
              <w:rPr>
                <w:rFonts w:eastAsia="Arial Unicode MS"/>
                <w:iCs/>
                <w:szCs w:val="24"/>
                <w:lang w:eastAsia="tr-TR"/>
              </w:rPr>
              <w:t xml:space="preserve">Böylece kanuna uygun olmayan başvuruların sürüncemede kalması ve yargılamaların her iki tarafın da aleyhine olacak şekilde gereksiz yere uzaması önlenebilecektir. Bu ret kararına karşı Taslağın </w:t>
            </w:r>
            <w:r w:rsidR="00A31934" w:rsidRPr="005D4042">
              <w:rPr>
                <w:rFonts w:eastAsia="Times New Roman"/>
                <w:szCs w:val="24"/>
                <w:lang w:eastAsia="tr-TR"/>
              </w:rPr>
              <w:t>539</w:t>
            </w:r>
            <w:r w:rsidR="00A31934" w:rsidRPr="00A23740">
              <w:rPr>
                <w:rStyle w:val="KonuBalChar"/>
                <w:rFonts w:eastAsia="Arial Unicode MS"/>
              </w:rPr>
              <w:t xml:space="preserve"> </w:t>
            </w:r>
            <w:r w:rsidR="00A31934" w:rsidRPr="005D4042">
              <w:rPr>
                <w:rFonts w:eastAsia="Times New Roman"/>
                <w:szCs w:val="24"/>
                <w:lang w:eastAsia="tr-TR"/>
              </w:rPr>
              <w:t>uncu</w:t>
            </w:r>
            <w:r w:rsidR="00A31934" w:rsidRPr="00A23740">
              <w:rPr>
                <w:rFonts w:eastAsia="Arial Unicode MS"/>
                <w:iCs/>
                <w:szCs w:val="24"/>
                <w:lang w:eastAsia="tr-TR"/>
              </w:rPr>
              <w:t xml:space="preserve"> </w:t>
            </w:r>
            <w:r w:rsidRPr="00A23740">
              <w:rPr>
                <w:rFonts w:eastAsia="Arial Unicode MS"/>
                <w:iCs/>
                <w:szCs w:val="24"/>
                <w:lang w:eastAsia="tr-TR"/>
              </w:rPr>
              <w:t xml:space="preserve">maddesi uyarınca itiraz kanun yoluna başvurulabilir. </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 xml:space="preserve">Dördüncü fıkrayla, müştekinin şikâyet dilekçesinde göstermiş </w:t>
            </w:r>
            <w:r w:rsidR="00C33806" w:rsidRPr="00A23740">
              <w:rPr>
                <w:rFonts w:eastAsia="Arial Unicode MS"/>
                <w:iCs/>
                <w:szCs w:val="24"/>
                <w:lang w:eastAsia="tr-TR"/>
              </w:rPr>
              <w:t xml:space="preserve">bulunduğu </w:t>
            </w:r>
            <w:r w:rsidRPr="00A23740">
              <w:rPr>
                <w:rFonts w:eastAsia="Arial Unicode MS"/>
                <w:iCs/>
                <w:szCs w:val="24"/>
                <w:lang w:eastAsia="tr-TR"/>
              </w:rPr>
              <w:t xml:space="preserve">delillerle bağlı olduğu düzenlenmektedir. </w:t>
            </w:r>
            <w:r w:rsidRPr="00A23740">
              <w:t>Bu fıkra, 2004 sayılı Kanunun “Tahkikat” başlıklı 351 inci maddesindeki “Şikâyetçi dilekçe veya beyanında gösterilmiş olduğu delillerle bağlıdır.” hükmüne karşılık gelmektedir. Hükümle, şikâyetçinin, şikâyet dilekçesini iyi bir hazırlık sürecinden sonra sunmasının sağlanması amaçlanmaktadır.</w:t>
            </w:r>
          </w:p>
          <w:p w:rsidR="00A043AD" w:rsidRPr="00A23740" w:rsidRDefault="00A043AD" w:rsidP="00955D60">
            <w:pPr>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Yargılama usulü</w:t>
            </w:r>
            <w:r w:rsidRPr="00A23740">
              <w:rPr>
                <w:rFonts w:eastAsia="Times New Roman"/>
                <w:b/>
                <w:strike/>
                <w:color w:val="FF0000"/>
                <w:szCs w:val="24"/>
                <w:lang w:eastAsia="x-none"/>
              </w:rPr>
              <w:t xml:space="preserve"> :</w:t>
            </w:r>
          </w:p>
          <w:p w:rsidR="00A043AD" w:rsidRPr="00A23740" w:rsidRDefault="00A043AD" w:rsidP="00750F08">
            <w:pPr>
              <w:rPr>
                <w:rFonts w:eastAsia="Times New Roman"/>
                <w:b/>
                <w:bCs/>
                <w:strike/>
                <w:color w:val="FF0000"/>
                <w:szCs w:val="24"/>
                <w:lang w:eastAsia="tr-TR"/>
              </w:rPr>
            </w:pPr>
            <w:r w:rsidRPr="00A23740">
              <w:rPr>
                <w:rFonts w:eastAsia="Times New Roman"/>
                <w:b/>
                <w:szCs w:val="24"/>
                <w:lang w:eastAsia="tr-TR"/>
              </w:rPr>
              <w:t xml:space="preserve">Madde </w:t>
            </w:r>
            <w:r w:rsidRPr="00A23740">
              <w:rPr>
                <w:rFonts w:eastAsia="Times New Roman"/>
                <w:b/>
                <w:bCs/>
                <w:strike/>
                <w:color w:val="FF0000"/>
                <w:szCs w:val="24"/>
                <w:lang w:eastAsia="tr-TR"/>
              </w:rPr>
              <w:t>349</w:t>
            </w:r>
            <w:r w:rsidRPr="00A23740">
              <w:rPr>
                <w:rFonts w:eastAsia="Times New Roman"/>
                <w:b/>
                <w:szCs w:val="24"/>
                <w:lang w:eastAsia="tr-TR"/>
              </w:rPr>
              <w:t xml:space="preserve"> </w:t>
            </w:r>
            <w:r w:rsidRPr="00A23740">
              <w:rPr>
                <w:rFonts w:eastAsia="Times New Roman"/>
                <w:b/>
                <w:bCs/>
                <w:strike/>
                <w:color w:val="FF0000"/>
                <w:szCs w:val="24"/>
                <w:lang w:eastAsia="tr-TR"/>
              </w:rPr>
              <w:t>– (1)</w:t>
            </w:r>
            <w:r w:rsidRPr="00A23740">
              <w:rPr>
                <w:rFonts w:eastAsia="Times New Roman"/>
                <w:b/>
                <w:szCs w:val="24"/>
                <w:lang w:eastAsia="tr-TR"/>
              </w:rPr>
              <w:t xml:space="preserve"> </w:t>
            </w:r>
            <w:r w:rsidRPr="00A23740">
              <w:rPr>
                <w:rFonts w:eastAsia="Times New Roman"/>
                <w:b/>
                <w:bCs/>
                <w:strike/>
                <w:color w:val="FF0000"/>
                <w:szCs w:val="24"/>
                <w:lang w:eastAsia="tr-TR"/>
              </w:rPr>
              <w:t>Şikayet dilekçe ile veya şifahi beyanla yapılır. Dilekçeyi veya dava beyanını alan icra mahkemesi duruşma için hemen bir gün tayin edip şikayetçinin imzasını alır ve maznuna celpname gönderir. Şahit gösterilmişse o da celbolunur.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E7A9F" w:rsidRDefault="00AE7A9F" w:rsidP="00750F08">
            <w:pPr>
              <w:rPr>
                <w:rFonts w:eastAsia="Times New Roman"/>
                <w:szCs w:val="24"/>
                <w:lang w:eastAsia="tr-TR"/>
              </w:rPr>
            </w:pPr>
          </w:p>
          <w:p w:rsidR="00AB59DC" w:rsidRPr="00A23740" w:rsidRDefault="00AB59DC"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bCs/>
                <w:i/>
                <w:strike/>
                <w:color w:val="FF0000"/>
                <w:szCs w:val="24"/>
                <w:lang w:eastAsia="tr-TR"/>
              </w:rPr>
            </w:pPr>
            <w:r w:rsidRPr="00A23740">
              <w:rPr>
                <w:rFonts w:eastAsia="Times New Roman"/>
                <w:b/>
                <w:szCs w:val="24"/>
                <w:lang w:eastAsia="tr-TR"/>
              </w:rPr>
              <w:t>(2)</w:t>
            </w:r>
            <w:r w:rsidRPr="00A23740">
              <w:rPr>
                <w:rFonts w:eastAsia="Times New Roman"/>
                <w:b/>
                <w:strike/>
                <w:color w:val="FF0000"/>
                <w:szCs w:val="24"/>
              </w:rPr>
              <w:t xml:space="preserve"> İki taraf</w:t>
            </w:r>
            <w:r w:rsidRPr="00A23740">
              <w:rPr>
                <w:rFonts w:eastAsia="Times New Roman"/>
                <w:szCs w:val="24"/>
                <w:lang w:eastAsia="tr-TR"/>
              </w:rPr>
              <w:t xml:space="preserve"> </w:t>
            </w:r>
            <w:r w:rsidRPr="00A23740">
              <w:rPr>
                <w:rFonts w:eastAsia="Times New Roman"/>
                <w:b/>
                <w:strike/>
                <w:color w:val="FF0000"/>
                <w:szCs w:val="24"/>
              </w:rPr>
              <w:t>tayin</w:t>
            </w:r>
            <w:r w:rsidRPr="00A23740">
              <w:rPr>
                <w:rFonts w:eastAsia="Times New Roman"/>
                <w:szCs w:val="24"/>
                <w:lang w:eastAsia="tr-TR"/>
              </w:rPr>
              <w:t xml:space="preserve"> </w:t>
            </w:r>
            <w:r w:rsidRPr="00A23740">
              <w:rPr>
                <w:rFonts w:eastAsia="Times New Roman"/>
                <w:b/>
                <w:strike/>
                <w:color w:val="FF0000"/>
                <w:szCs w:val="24"/>
              </w:rPr>
              <w:t>olunan</w:t>
            </w:r>
            <w:r w:rsidRPr="00A23740">
              <w:rPr>
                <w:rFonts w:eastAsia="Times New Roman"/>
                <w:szCs w:val="24"/>
                <w:lang w:eastAsia="tr-TR"/>
              </w:rPr>
              <w:t xml:space="preserve"> gün ve saatte </w:t>
            </w:r>
            <w:r w:rsidRPr="00A23740">
              <w:rPr>
                <w:rFonts w:eastAsia="Times New Roman"/>
                <w:b/>
                <w:bCs/>
                <w:strike/>
                <w:color w:val="FF0000"/>
                <w:szCs w:val="24"/>
                <w:lang w:eastAsia="tr-TR"/>
              </w:rPr>
              <w:t>icra</w:t>
            </w:r>
            <w:r w:rsidRPr="00A23740">
              <w:rPr>
                <w:rFonts w:eastAsia="Times New Roman"/>
                <w:szCs w:val="24"/>
                <w:lang w:eastAsia="tr-TR"/>
              </w:rPr>
              <w:t xml:space="preserve"> mahkeme</w:t>
            </w:r>
            <w:r w:rsidRPr="00A23740">
              <w:rPr>
                <w:rFonts w:eastAsia="Times New Roman"/>
                <w:b/>
                <w:bCs/>
                <w:strike/>
                <w:color w:val="FF0000"/>
                <w:szCs w:val="24"/>
                <w:lang w:eastAsia="tr-TR"/>
              </w:rPr>
              <w:t>sinin</w:t>
            </w:r>
            <w:r w:rsidRPr="00A23740">
              <w:rPr>
                <w:rFonts w:eastAsia="Times New Roman"/>
                <w:szCs w:val="24"/>
                <w:lang w:eastAsia="tr-TR"/>
              </w:rPr>
              <w:t xml:space="preserve"> </w:t>
            </w:r>
            <w:r w:rsidRPr="00A23740">
              <w:rPr>
                <w:rFonts w:eastAsia="Times New Roman"/>
                <w:b/>
                <w:bCs/>
                <w:strike/>
                <w:color w:val="FF0000"/>
                <w:szCs w:val="24"/>
                <w:lang w:eastAsia="tr-TR"/>
              </w:rPr>
              <w:t>huzuruna</w:t>
            </w:r>
            <w:r w:rsidRPr="00A23740">
              <w:rPr>
                <w:rFonts w:eastAsia="Times New Roman"/>
                <w:szCs w:val="24"/>
                <w:lang w:eastAsia="tr-TR"/>
              </w:rPr>
              <w:t xml:space="preserve"> </w:t>
            </w:r>
            <w:r w:rsidRPr="00A23740">
              <w:rPr>
                <w:rFonts w:eastAsia="Times New Roman"/>
                <w:b/>
                <w:bCs/>
                <w:strike/>
                <w:color w:val="FF0000"/>
                <w:szCs w:val="24"/>
                <w:lang w:eastAsia="tr-TR"/>
              </w:rPr>
              <w:t>gelmeğe</w:t>
            </w:r>
            <w:r w:rsidRPr="00A23740">
              <w:rPr>
                <w:rFonts w:eastAsia="Times New Roman"/>
                <w:szCs w:val="24"/>
                <w:lang w:eastAsia="tr-TR"/>
              </w:rPr>
              <w:t xml:space="preserve"> veya vekil gönderme</w:t>
            </w:r>
            <w:r w:rsidRPr="00A23740">
              <w:rPr>
                <w:rFonts w:eastAsia="Times New Roman"/>
                <w:b/>
                <w:bCs/>
                <w:strike/>
                <w:color w:val="FF0000"/>
                <w:szCs w:val="24"/>
                <w:lang w:eastAsia="tr-TR"/>
              </w:rPr>
              <w:t>ğ</w:t>
            </w:r>
            <w:r w:rsidRPr="00A23740">
              <w:rPr>
                <w:b/>
                <w:bCs/>
                <w:strike/>
                <w:color w:val="FF0000"/>
                <w:szCs w:val="24"/>
              </w:rPr>
              <w:t>e mecburdurlar</w:t>
            </w:r>
            <w:r w:rsidRPr="00A23740">
              <w:rPr>
                <w:rFonts w:eastAsia="Times New Roman"/>
                <w:szCs w:val="24"/>
                <w:lang w:eastAsia="tr-TR"/>
              </w:rPr>
              <w:t>.</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strike/>
                <w:color w:val="FF0000"/>
                <w:szCs w:val="24"/>
              </w:rPr>
            </w:pPr>
            <w:r w:rsidRPr="00A23740">
              <w:rPr>
                <w:rFonts w:eastAsia="Times New Roman"/>
                <w:b/>
                <w:szCs w:val="24"/>
                <w:lang w:eastAsia="tr-TR"/>
              </w:rPr>
              <w:t>(6)</w:t>
            </w:r>
            <w:r w:rsidRPr="00A23740">
              <w:rPr>
                <w:rFonts w:eastAsia="Times New Roman"/>
                <w:b/>
                <w:strike/>
                <w:color w:val="FF0000"/>
                <w:szCs w:val="24"/>
              </w:rPr>
              <w:t xml:space="preserve"> Şikayetçi muayyen zamanda</w:t>
            </w:r>
            <w:r w:rsidRPr="00A23740">
              <w:rPr>
                <w:rFonts w:ascii="New York" w:eastAsia="Times New Roman" w:hAnsi="New York"/>
                <w:b/>
                <w:sz w:val="18"/>
                <w:szCs w:val="20"/>
                <w:lang w:eastAsia="tr-TR"/>
              </w:rPr>
              <w:t xml:space="preserve"> </w:t>
            </w:r>
            <w:r w:rsidRPr="00A23740">
              <w:rPr>
                <w:rFonts w:eastAsia="Times New Roman"/>
                <w:szCs w:val="24"/>
                <w:lang w:eastAsia="tr-TR"/>
              </w:rPr>
              <w:t>gelmez</w:t>
            </w:r>
            <w:r w:rsidRPr="00A23740">
              <w:rPr>
                <w:rFonts w:eastAsia="Times New Roman"/>
                <w:b/>
                <w:color w:val="FF0000"/>
                <w:szCs w:val="24"/>
              </w:rPr>
              <w:t xml:space="preserve"> </w:t>
            </w:r>
            <w:r w:rsidRPr="00A23740">
              <w:rPr>
                <w:rFonts w:eastAsia="Times New Roman"/>
                <w:b/>
                <w:strike/>
                <w:color w:val="FF0000"/>
                <w:szCs w:val="24"/>
              </w:rPr>
              <w:t>ve</w:t>
            </w:r>
            <w:r w:rsidRPr="00A23740">
              <w:rPr>
                <w:rFonts w:eastAsia="Times New Roman"/>
                <w:b/>
                <w:color w:val="FF0000"/>
                <w:szCs w:val="24"/>
              </w:rPr>
              <w:t xml:space="preserve"> </w:t>
            </w:r>
            <w:r w:rsidRPr="00A23740">
              <w:rPr>
                <w:rFonts w:eastAsia="Times New Roman"/>
                <w:szCs w:val="24"/>
                <w:lang w:eastAsia="tr-TR"/>
              </w:rPr>
              <w:t>vekil</w:t>
            </w:r>
            <w:r w:rsidRPr="00A23740">
              <w:rPr>
                <w:rFonts w:eastAsia="Times New Roman"/>
                <w:b/>
                <w:color w:val="FF0000"/>
                <w:szCs w:val="24"/>
              </w:rPr>
              <w:t xml:space="preserve"> </w:t>
            </w:r>
            <w:r w:rsidRPr="00A23740">
              <w:rPr>
                <w:rFonts w:eastAsia="Times New Roman"/>
                <w:b/>
                <w:strike/>
                <w:color w:val="FF0000"/>
                <w:szCs w:val="24"/>
              </w:rPr>
              <w:t xml:space="preserve">de göndermezse </w:t>
            </w:r>
            <w:r w:rsidRPr="00A23740">
              <w:rPr>
                <w:rFonts w:eastAsia="Times New Roman"/>
                <w:szCs w:val="24"/>
                <w:lang w:eastAsia="tr-TR"/>
              </w:rPr>
              <w:t xml:space="preserve">şikayet </w:t>
            </w:r>
            <w:r w:rsidRPr="00A23740">
              <w:rPr>
                <w:rFonts w:eastAsia="Times New Roman"/>
                <w:b/>
                <w:strike/>
                <w:color w:val="FF0000"/>
                <w:szCs w:val="24"/>
              </w:rPr>
              <w:t>hakkı düşer.</w:t>
            </w:r>
            <w:r w:rsidRPr="00A23740">
              <w:rPr>
                <w:rFonts w:eastAsia="Times New Roman"/>
                <w:b/>
                <w:bCs/>
                <w:i/>
                <w:strike/>
                <w:color w:val="FF0000"/>
                <w:szCs w:val="24"/>
                <w:lang w:val="x-none" w:eastAsia="tr-TR"/>
              </w:rPr>
              <w:t xml:space="preserve"> </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i/>
                <w:szCs w:val="24"/>
                <w:lang w:eastAsia="tr-TR"/>
              </w:rPr>
            </w:pPr>
            <w:r w:rsidRPr="00A23740">
              <w:rPr>
                <w:rFonts w:eastAsia="Times New Roman"/>
                <w:b/>
                <w:bCs/>
                <w:strike/>
                <w:color w:val="FF0000"/>
                <w:szCs w:val="24"/>
                <w:lang w:eastAsia="tr-TR"/>
              </w:rPr>
              <w:t>(3)</w:t>
            </w:r>
            <w:r w:rsidRPr="00A23740">
              <w:rPr>
                <w:rFonts w:eastAsia="Times New Roman"/>
                <w:b/>
                <w:strike/>
                <w:color w:val="FF0000"/>
                <w:szCs w:val="24"/>
              </w:rPr>
              <w:t xml:space="preserve"> </w:t>
            </w:r>
            <w:r w:rsidRPr="00A23740">
              <w:rPr>
                <w:rFonts w:eastAsia="Times New Roman"/>
                <w:b/>
                <w:bCs/>
                <w:strike/>
                <w:color w:val="FF0000"/>
                <w:szCs w:val="24"/>
                <w:lang w:eastAsia="tr-TR"/>
              </w:rPr>
              <w:t>İcabında icra mahkemesi, tarafların bizzat hazır bulunmasını emredebilir.</w:t>
            </w:r>
          </w:p>
          <w:p w:rsidR="00A043AD" w:rsidRPr="00A23740" w:rsidRDefault="00A043AD" w:rsidP="00750F08">
            <w:pPr>
              <w:rPr>
                <w:rFonts w:eastAsia="Times New Roman"/>
                <w:szCs w:val="24"/>
                <w:lang w:eastAsia="tr-TR"/>
              </w:rPr>
            </w:pPr>
            <w:r w:rsidRPr="00A23740">
              <w:rPr>
                <w:rFonts w:eastAsia="Times New Roman"/>
                <w:b/>
                <w:szCs w:val="24"/>
                <w:lang w:eastAsia="tr-TR"/>
              </w:rPr>
              <w:t>(5)</w:t>
            </w:r>
            <w:r w:rsidRPr="00A23740">
              <w:rPr>
                <w:rFonts w:eastAsia="Times New Roman"/>
                <w:b/>
                <w:color w:val="FF0000"/>
                <w:szCs w:val="24"/>
                <w:lang w:eastAsia="x-none"/>
              </w:rPr>
              <w:t xml:space="preserve"> </w:t>
            </w:r>
            <w:r w:rsidRPr="00A23740">
              <w:rPr>
                <w:rFonts w:eastAsia="Times New Roman"/>
                <w:b/>
                <w:strike/>
                <w:color w:val="FF0000"/>
                <w:szCs w:val="24"/>
                <w:lang w:eastAsia="x-none"/>
              </w:rPr>
              <w:t>Maznun</w:t>
            </w:r>
            <w:r w:rsidRPr="00AE5B12">
              <w:rPr>
                <w:rStyle w:val="KIRMIZIChar"/>
                <w:rFonts w:eastAsia="Calibri"/>
              </w:rPr>
              <w:t>, şikayeti alan veya istinabe edilen icra mahkemesinin huzuruna gelmez veya müdafi göndermezse yahut bizzat bulunmasına lüzum görülürse zabıta marifetiyle getirilir. Bu suretle de bulundurulamazsa muhakeme gıyabında görülür.</w:t>
            </w:r>
          </w:p>
          <w:p w:rsidR="00A043AD" w:rsidRPr="00A23740" w:rsidRDefault="00A043AD" w:rsidP="00750F08">
            <w:pPr>
              <w:rPr>
                <w:rFonts w:eastAsia="Times New Roman"/>
                <w:szCs w:val="24"/>
                <w:lang w:eastAsia="tr-TR"/>
              </w:rPr>
            </w:pPr>
          </w:p>
          <w:p w:rsidR="00A043AD" w:rsidRPr="00A23740" w:rsidRDefault="00A043AD" w:rsidP="00750F08">
            <w:pPr>
              <w:tabs>
                <w:tab w:val="left" w:pos="567"/>
              </w:tabs>
              <w:rPr>
                <w:rFonts w:eastAsia="Times New Roman"/>
                <w:szCs w:val="24"/>
                <w:lang w:eastAsia="x-none"/>
              </w:rPr>
            </w:pPr>
            <w:r w:rsidRPr="00A23740">
              <w:rPr>
                <w:rFonts w:eastAsia="Times New Roman"/>
                <w:b/>
                <w:bCs/>
                <w:strike/>
                <w:color w:val="FF0000"/>
                <w:szCs w:val="24"/>
                <w:lang w:eastAsia="tr-TR"/>
              </w:rPr>
              <w:t>(4)</w:t>
            </w:r>
            <w:r w:rsidRPr="00A23740">
              <w:rPr>
                <w:rFonts w:eastAsia="Times New Roman"/>
                <w:szCs w:val="24"/>
                <w:lang w:eastAsia="x-none"/>
              </w:rPr>
              <w:t xml:space="preserve"> </w:t>
            </w:r>
            <w:r w:rsidRPr="00A23740">
              <w:rPr>
                <w:rFonts w:eastAsia="Times New Roman"/>
                <w:b/>
                <w:bCs/>
                <w:strike/>
                <w:color w:val="FF0000"/>
                <w:szCs w:val="24"/>
                <w:lang w:eastAsia="tr-TR"/>
              </w:rPr>
              <w:t>Maznun başka yerde ikamet ediyorsa istinabe yoliyle sorguya çekilir.</w:t>
            </w:r>
          </w:p>
          <w:p w:rsidR="00A043AD" w:rsidRPr="00A23740" w:rsidRDefault="00A043AD" w:rsidP="00750F08">
            <w:pPr>
              <w:jc w:val="left"/>
              <w:rPr>
                <w:rFonts w:eastAsia="Times New Roman"/>
                <w:szCs w:val="24"/>
                <w:lang w:eastAsia="x-none"/>
              </w:rPr>
            </w:pPr>
          </w:p>
          <w:p w:rsidR="00A043AD" w:rsidRPr="00A23740" w:rsidRDefault="00A043AD" w:rsidP="00750F08">
            <w:pPr>
              <w:rPr>
                <w:rFonts w:ascii="New York" w:eastAsia="Times New Roman" w:hAnsi="New York"/>
                <w:i/>
                <w:sz w:val="18"/>
                <w:szCs w:val="20"/>
                <w:lang w:eastAsia="tr-TR"/>
              </w:rPr>
            </w:pPr>
            <w:r w:rsidRPr="00A23740">
              <w:rPr>
                <w:rFonts w:eastAsia="Times New Roman"/>
                <w:b/>
                <w:strike/>
                <w:color w:val="FF0000"/>
                <w:szCs w:val="24"/>
                <w:lang w:eastAsia="x-none"/>
              </w:rPr>
              <w:t>(7) Gelmeyen şahitler</w:t>
            </w:r>
            <w:r w:rsidRPr="00A23740">
              <w:rPr>
                <w:rFonts w:eastAsia="Times New Roman"/>
                <w:b/>
                <w:color w:val="FF0000"/>
                <w:szCs w:val="24"/>
                <w:lang w:eastAsia="x-none"/>
              </w:rPr>
              <w:t>e</w:t>
            </w:r>
            <w:r w:rsidRPr="00A23740">
              <w:rPr>
                <w:rFonts w:eastAsia="Times New Roman"/>
                <w:b/>
                <w:strike/>
                <w:color w:val="FF0000"/>
                <w:szCs w:val="24"/>
                <w:lang w:eastAsia="x-none"/>
              </w:rPr>
              <w:t xml:space="preserve"> yapılacak muamele ile borçlunun gıyabında verilen karara karşı eski hale getirme talebi hakkında Ceza Muhakemeleri Usulü Kanununda yazılı hükümler tatbik olunur.</w:t>
            </w:r>
          </w:p>
          <w:p w:rsidR="00A043AD" w:rsidRPr="00A23740" w:rsidRDefault="00A043AD" w:rsidP="00750F08">
            <w:pPr>
              <w:rPr>
                <w:rFonts w:eastAsia="Times New Roman"/>
                <w:szCs w:val="24"/>
                <w:lang w:eastAsia="x-none"/>
              </w:rPr>
            </w:pPr>
          </w:p>
        </w:tc>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Yargılama usulü</w:t>
            </w: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MADDE 534- (1) Şikâyet dilekçesinin usulüne uygun olması h</w:t>
            </w:r>
            <w:r w:rsidR="0081540B" w:rsidRPr="00A23740">
              <w:rPr>
                <w:rFonts w:eastAsia="Times New Roman"/>
                <w:b/>
                <w:bCs/>
                <w:color w:val="0000FF"/>
                <w:szCs w:val="24"/>
                <w:lang w:eastAsia="x-none"/>
              </w:rPr>
              <w:t>â</w:t>
            </w:r>
            <w:r w:rsidRPr="00A23740">
              <w:rPr>
                <w:rFonts w:eastAsia="Times New Roman"/>
                <w:b/>
                <w:bCs/>
                <w:color w:val="0000FF"/>
                <w:szCs w:val="24"/>
                <w:lang w:eastAsia="x-none"/>
              </w:rPr>
              <w:t xml:space="preserve">linde mahkeme, duruşma için bir gün tayin eder. Duruşma günü müştekiye, sanığa veya şikâyet edilene davetiyeyle bildirilir. Sanığa veya şikâyet edilene gönderilen davetiyeye şikâyet dilekçesi eklenir. Taraflarca gösterilen tanıklar da duruşmaya </w:t>
            </w:r>
            <w:r w:rsidRPr="005D4042">
              <w:rPr>
                <w:rFonts w:eastAsia="Times New Roman"/>
                <w:b/>
                <w:bCs/>
                <w:color w:val="0000FF"/>
                <w:szCs w:val="24"/>
                <w:lang w:eastAsia="x-none"/>
              </w:rPr>
              <w:t>davetiye</w:t>
            </w:r>
            <w:r w:rsidR="00AE7A9F" w:rsidRPr="005D4042">
              <w:rPr>
                <w:rFonts w:eastAsia="Times New Roman"/>
                <w:b/>
                <w:bCs/>
                <w:color w:val="0000FF"/>
                <w:szCs w:val="24"/>
                <w:lang w:eastAsia="x-none"/>
              </w:rPr>
              <w:t>yle</w:t>
            </w:r>
            <w:r w:rsidRPr="005D4042">
              <w:rPr>
                <w:rFonts w:eastAsia="Times New Roman"/>
                <w:b/>
                <w:bCs/>
                <w:color w:val="0000FF"/>
                <w:szCs w:val="24"/>
                <w:lang w:eastAsia="x-none"/>
              </w:rPr>
              <w:t xml:space="preserve"> </w:t>
            </w:r>
            <w:r w:rsidRPr="00A23740">
              <w:rPr>
                <w:rFonts w:eastAsia="Times New Roman"/>
                <w:b/>
                <w:bCs/>
                <w:color w:val="0000FF"/>
                <w:szCs w:val="24"/>
                <w:lang w:eastAsia="x-none"/>
              </w:rPr>
              <w:t>çağrılır.</w:t>
            </w:r>
          </w:p>
          <w:p w:rsidR="00A043AD" w:rsidRPr="00A23740" w:rsidRDefault="00A043AD" w:rsidP="00750F08">
            <w:pPr>
              <w:rPr>
                <w:rFonts w:eastAsia="Times New Roman"/>
                <w:b/>
                <w:bCs/>
                <w:color w:val="0000FF"/>
                <w:szCs w:val="24"/>
                <w:lang w:eastAsia="x-none"/>
              </w:rPr>
            </w:pPr>
          </w:p>
          <w:p w:rsidR="00A043AD" w:rsidRPr="00A23740" w:rsidRDefault="00A043AD" w:rsidP="00750F08">
            <w:pPr>
              <w:rPr>
                <w:rFonts w:eastAsia="Times New Roman"/>
                <w:b/>
                <w:bCs/>
                <w:strike/>
                <w:color w:val="FF0000"/>
                <w:szCs w:val="24"/>
                <w:lang w:val="x-none" w:eastAsia="x-none"/>
              </w:rPr>
            </w:pPr>
            <w:r w:rsidRPr="00A23740">
              <w:rPr>
                <w:rFonts w:eastAsia="Times New Roman"/>
                <w:b/>
                <w:bCs/>
                <w:color w:val="0000FF"/>
                <w:szCs w:val="24"/>
                <w:lang w:eastAsia="x-none"/>
              </w:rPr>
              <w:t>(2) Sanığa veya şikâyet edilene gönderilen davetiye</w:t>
            </w:r>
            <w:r w:rsidR="00AE7A9F" w:rsidRPr="005D4042">
              <w:rPr>
                <w:rFonts w:eastAsia="Times New Roman"/>
                <w:b/>
                <w:bCs/>
                <w:color w:val="0000FF"/>
                <w:szCs w:val="24"/>
                <w:lang w:eastAsia="x-none"/>
              </w:rPr>
              <w:t>ye</w:t>
            </w:r>
            <w:r w:rsidRPr="00A23740">
              <w:rPr>
                <w:rFonts w:eastAsia="Times New Roman"/>
                <w:b/>
                <w:bCs/>
                <w:color w:val="0000FF"/>
                <w:szCs w:val="24"/>
                <w:lang w:eastAsia="x-none"/>
              </w:rPr>
              <w:t xml:space="preserve"> duruşmaya gelmedikleri takdirde yokluklarında yargılama yapılarak karar verileceği yazılır. Müştekiye gönderilen davetiye</w:t>
            </w:r>
            <w:r w:rsidR="00AE7A9F" w:rsidRPr="005D4042">
              <w:rPr>
                <w:rFonts w:eastAsia="Times New Roman"/>
                <w:b/>
                <w:bCs/>
                <w:color w:val="0000FF"/>
                <w:szCs w:val="24"/>
                <w:lang w:eastAsia="x-none"/>
              </w:rPr>
              <w:t>ye</w:t>
            </w:r>
            <w:r w:rsidRPr="00A23740">
              <w:rPr>
                <w:rFonts w:eastAsia="Times New Roman"/>
                <w:b/>
                <w:bCs/>
                <w:color w:val="0000FF"/>
                <w:szCs w:val="24"/>
                <w:lang w:eastAsia="x-none"/>
              </w:rPr>
              <w:t xml:space="preserve"> ise duruşmaya gelmediği takdirde </w:t>
            </w:r>
            <w:r w:rsidRPr="00A23740">
              <w:rPr>
                <w:rStyle w:val="MaviChar"/>
              </w:rPr>
              <w:t>şik</w:t>
            </w:r>
            <w:r w:rsidRPr="00A23740">
              <w:rPr>
                <w:rStyle w:val="MaviChar"/>
                <w:lang w:val="tr-TR"/>
              </w:rPr>
              <w:t>â</w:t>
            </w:r>
            <w:r w:rsidRPr="00A23740">
              <w:rPr>
                <w:rStyle w:val="MaviChar"/>
              </w:rPr>
              <w:t>yetinden</w:t>
            </w:r>
            <w:r w:rsidRPr="00A23740">
              <w:rPr>
                <w:rFonts w:eastAsia="Times New Roman"/>
                <w:b/>
                <w:bCs/>
                <w:color w:val="0000FF"/>
                <w:szCs w:val="24"/>
                <w:lang w:eastAsia="x-none"/>
              </w:rPr>
              <w:t xml:space="preserve"> vazgeçmiş sayılacağı yazılır. </w:t>
            </w:r>
            <w:r w:rsidRPr="00A23740">
              <w:rPr>
                <w:rFonts w:eastAsia="Times New Roman"/>
                <w:b/>
                <w:bCs/>
                <w:strike/>
                <w:color w:val="FF0000"/>
                <w:szCs w:val="24"/>
                <w:lang w:val="x-none" w:eastAsia="x-none"/>
              </w:rPr>
              <w:t xml:space="preserve"> </w:t>
            </w:r>
          </w:p>
          <w:p w:rsidR="00A043AD" w:rsidRPr="00A23740" w:rsidRDefault="00A043AD" w:rsidP="00750F08">
            <w:pPr>
              <w:rPr>
                <w:rFonts w:eastAsia="Times New Roman"/>
                <w:b/>
                <w:color w:val="0000FF"/>
                <w:szCs w:val="24"/>
              </w:rPr>
            </w:pPr>
          </w:p>
          <w:p w:rsidR="00A043AD" w:rsidRPr="00A23740" w:rsidRDefault="00A043AD" w:rsidP="00750F08">
            <w:pPr>
              <w:rPr>
                <w:rFonts w:eastAsia="Times New Roman"/>
                <w:b/>
                <w:color w:val="0000FF"/>
                <w:szCs w:val="24"/>
              </w:rPr>
            </w:pPr>
            <w:r w:rsidRPr="00A23740">
              <w:rPr>
                <w:rFonts w:eastAsia="Times New Roman"/>
                <w:b/>
                <w:color w:val="0000FF"/>
                <w:szCs w:val="24"/>
              </w:rPr>
              <w:t>(3</w:t>
            </w:r>
            <w:r w:rsidRPr="00A23740">
              <w:rPr>
                <w:rFonts w:eastAsia="Times New Roman"/>
                <w:b/>
                <w:bCs/>
                <w:color w:val="0000FF"/>
                <w:szCs w:val="24"/>
                <w:lang w:eastAsia="x-none"/>
              </w:rPr>
              <w:t>) Taraflar</w:t>
            </w:r>
            <w:r w:rsidRPr="00A23740">
              <w:rPr>
                <w:rFonts w:eastAsia="Times New Roman"/>
                <w:szCs w:val="24"/>
                <w:lang w:eastAsia="tr-TR"/>
              </w:rPr>
              <w:t xml:space="preserve"> </w:t>
            </w:r>
            <w:r w:rsidRPr="00A23740">
              <w:rPr>
                <w:rFonts w:eastAsia="Times New Roman"/>
                <w:b/>
                <w:bCs/>
                <w:color w:val="0000FF"/>
                <w:szCs w:val="24"/>
                <w:lang w:eastAsia="x-none"/>
              </w:rPr>
              <w:t>belirlenen</w:t>
            </w:r>
            <w:r w:rsidRPr="00A23740">
              <w:rPr>
                <w:rFonts w:eastAsia="Times New Roman"/>
                <w:szCs w:val="24"/>
                <w:lang w:eastAsia="tr-TR"/>
              </w:rPr>
              <w:t xml:space="preserve"> gün ve saatte mahkeme</w:t>
            </w:r>
            <w:r w:rsidRPr="00A23740">
              <w:rPr>
                <w:rFonts w:eastAsia="Times New Roman"/>
                <w:b/>
                <w:bCs/>
                <w:color w:val="0000FF"/>
                <w:szCs w:val="24"/>
                <w:lang w:eastAsia="x-none"/>
              </w:rPr>
              <w:t>de hazır bulunmak</w:t>
            </w:r>
            <w:r w:rsidRPr="00A23740">
              <w:rPr>
                <w:rFonts w:eastAsia="Times New Roman"/>
                <w:szCs w:val="24"/>
                <w:lang w:eastAsia="tr-TR"/>
              </w:rPr>
              <w:t xml:space="preserve"> veya vekil </w:t>
            </w:r>
            <w:r w:rsidRPr="00A23740">
              <w:rPr>
                <w:rFonts w:eastAsia="Times New Roman"/>
                <w:b/>
                <w:bCs/>
                <w:color w:val="0000FF"/>
                <w:szCs w:val="24"/>
                <w:lang w:eastAsia="x-none"/>
              </w:rPr>
              <w:t>ya da müdafi</w:t>
            </w:r>
            <w:r w:rsidRPr="00A23740">
              <w:rPr>
                <w:rFonts w:eastAsia="Times New Roman"/>
                <w:szCs w:val="24"/>
                <w:lang w:eastAsia="tr-TR"/>
              </w:rPr>
              <w:t xml:space="preserve"> gönderme</w:t>
            </w:r>
            <w:r w:rsidRPr="00A23740">
              <w:rPr>
                <w:b/>
                <w:bCs/>
                <w:color w:val="0000FF"/>
                <w:szCs w:val="24"/>
                <w:lang w:val="x-none" w:eastAsia="x-none"/>
              </w:rPr>
              <w:t>k zorundadır</w:t>
            </w:r>
            <w:r w:rsidRPr="00A23740">
              <w:rPr>
                <w:rFonts w:eastAsia="Times New Roman"/>
                <w:szCs w:val="24"/>
                <w:lang w:eastAsia="tr-TR"/>
              </w:rPr>
              <w:t xml:space="preserve">. </w:t>
            </w:r>
            <w:r w:rsidRPr="00A23740">
              <w:rPr>
                <w:b/>
                <w:bCs/>
                <w:color w:val="0000FF"/>
                <w:szCs w:val="24"/>
                <w:lang w:eastAsia="x-none"/>
              </w:rPr>
              <w:t xml:space="preserve">Sanık veya şikâyet edilen ya da bunların </w:t>
            </w:r>
            <w:r w:rsidRPr="00A23740">
              <w:rPr>
                <w:rStyle w:val="MaviChar"/>
              </w:rPr>
              <w:t>vekili veya</w:t>
            </w:r>
            <w:r w:rsidRPr="00A23740">
              <w:rPr>
                <w:b/>
                <w:bCs/>
                <w:color w:val="0000FF"/>
                <w:szCs w:val="24"/>
                <w:lang w:eastAsia="x-none"/>
              </w:rPr>
              <w:t xml:space="preserve"> müdafi duruşmaya gelmediği takdirde</w:t>
            </w:r>
            <w:r w:rsidR="00AE7A9F" w:rsidRPr="007F1EBD">
              <w:rPr>
                <w:b/>
                <w:bCs/>
                <w:color w:val="0000FF"/>
                <w:szCs w:val="24"/>
                <w:lang w:eastAsia="x-none"/>
              </w:rPr>
              <w:t>,</w:t>
            </w:r>
            <w:r w:rsidRPr="00A23740">
              <w:rPr>
                <w:b/>
                <w:bCs/>
                <w:color w:val="0000FF"/>
                <w:szCs w:val="24"/>
                <w:lang w:eastAsia="x-none"/>
              </w:rPr>
              <w:t xml:space="preserve"> yokluklarında yargılama yapılarak karar verilir. </w:t>
            </w:r>
            <w:r w:rsidRPr="00A23740">
              <w:rPr>
                <w:rFonts w:eastAsia="Times New Roman"/>
                <w:b/>
                <w:color w:val="0000FF"/>
                <w:szCs w:val="24"/>
              </w:rPr>
              <w:t>Müşteki, duruşmaya</w:t>
            </w:r>
            <w:r w:rsidRPr="00A23740">
              <w:rPr>
                <w:rFonts w:eastAsia="Times New Roman"/>
                <w:szCs w:val="24"/>
                <w:lang w:eastAsia="tr-TR"/>
              </w:rPr>
              <w:t xml:space="preserve"> gelmez</w:t>
            </w:r>
            <w:r w:rsidRPr="00A23740">
              <w:rPr>
                <w:rFonts w:eastAsia="Times New Roman"/>
                <w:b/>
                <w:color w:val="0000FF"/>
                <w:szCs w:val="24"/>
              </w:rPr>
              <w:t xml:space="preserve"> veya</w:t>
            </w:r>
            <w:r w:rsidRPr="00A23740">
              <w:rPr>
                <w:rFonts w:eastAsia="Times New Roman"/>
                <w:szCs w:val="24"/>
                <w:lang w:eastAsia="tr-TR"/>
              </w:rPr>
              <w:t xml:space="preserve"> vekil </w:t>
            </w:r>
            <w:r w:rsidRPr="00A23740">
              <w:rPr>
                <w:rFonts w:eastAsia="Times New Roman"/>
                <w:b/>
                <w:color w:val="0000FF"/>
                <w:szCs w:val="24"/>
              </w:rPr>
              <w:t>ile kendisini temsil ettirmezse</w:t>
            </w:r>
            <w:r w:rsidRPr="00A23740">
              <w:rPr>
                <w:rFonts w:eastAsia="Times New Roman"/>
                <w:szCs w:val="24"/>
                <w:lang w:eastAsia="tr-TR"/>
              </w:rPr>
              <w:t xml:space="preserve"> şikâyet</w:t>
            </w:r>
            <w:r w:rsidRPr="00A23740">
              <w:rPr>
                <w:rFonts w:eastAsia="Times New Roman"/>
                <w:b/>
                <w:color w:val="0000FF"/>
                <w:szCs w:val="24"/>
              </w:rPr>
              <w:t>inden vazgeçmiş sayılır.</w:t>
            </w:r>
          </w:p>
          <w:p w:rsidR="00E6631F" w:rsidRPr="00A23740" w:rsidRDefault="00E6631F" w:rsidP="00E6631F">
            <w:pPr>
              <w:pStyle w:val="KIRMIZI"/>
              <w:rPr>
                <w:b w:val="0"/>
                <w:bCs w:val="0"/>
                <w:strike w:val="0"/>
              </w:rPr>
            </w:pPr>
          </w:p>
          <w:p w:rsidR="0070662C" w:rsidRPr="005D4042" w:rsidRDefault="00E6631F" w:rsidP="00750F08">
            <w:pPr>
              <w:tabs>
                <w:tab w:val="left" w:pos="567"/>
              </w:tabs>
              <w:rPr>
                <w:rFonts w:eastAsia="Times New Roman"/>
                <w:b/>
                <w:bCs/>
                <w:color w:val="0000FF"/>
                <w:szCs w:val="24"/>
                <w:lang w:eastAsia="x-none"/>
              </w:rPr>
            </w:pPr>
            <w:r w:rsidRPr="005D4042">
              <w:rPr>
                <w:rFonts w:eastAsia="Times New Roman"/>
                <w:b/>
                <w:bCs/>
                <w:color w:val="0000FF"/>
                <w:szCs w:val="24"/>
                <w:lang w:eastAsia="x-none"/>
              </w:rPr>
              <w:t>(4) Sanık veya şikâyet edilen, duruşmaya şahsen gelmek veya bir vekil ya da müdafi göndermek zorundadır. Mahkeme sanık veya şikayet edilenin duruşmaya bizzat gelmesine de karar verebilir. Bu hükümlere uyulmadığı takdirde sanık veya şikayet edilen zorla getirilir; zorla getirilmesi mümkün olmazsa, yargılama yokluğunda görülür.</w:t>
            </w:r>
          </w:p>
          <w:p w:rsidR="0070662C" w:rsidRPr="00A23740" w:rsidRDefault="0070662C" w:rsidP="00750F08">
            <w:pPr>
              <w:tabs>
                <w:tab w:val="left" w:pos="567"/>
              </w:tabs>
              <w:rPr>
                <w:rFonts w:eastAsia="Times New Roman"/>
                <w:b/>
                <w:bCs/>
                <w:strike/>
                <w:color w:val="FF0000"/>
                <w:szCs w:val="24"/>
                <w:lang w:eastAsia="x-none"/>
              </w:rPr>
            </w:pPr>
          </w:p>
          <w:p w:rsidR="00A043AD" w:rsidRPr="00A23740" w:rsidRDefault="00A043AD" w:rsidP="00750F08">
            <w:pPr>
              <w:rPr>
                <w:rFonts w:eastAsia="Times New Roman"/>
                <w:b/>
                <w:color w:val="0000FF"/>
                <w:szCs w:val="24"/>
              </w:rPr>
            </w:pPr>
            <w:r w:rsidRPr="00A23740">
              <w:rPr>
                <w:rFonts w:eastAsia="Times New Roman"/>
                <w:b/>
                <w:color w:val="0000FF"/>
                <w:szCs w:val="24"/>
              </w:rPr>
              <w:t xml:space="preserve">(5) Sanık, şikâyet edilen veya müştekinin mahkemenin yargı yetkisi dışındaki bir yerde oturması ve bulunduğu yerde aynı anda ses ve görüntü nakledilmesi </w:t>
            </w:r>
            <w:r w:rsidRPr="005D4042">
              <w:rPr>
                <w:rFonts w:eastAsia="Times New Roman"/>
                <w:b/>
                <w:color w:val="0000FF"/>
                <w:szCs w:val="24"/>
              </w:rPr>
              <w:t>yolu</w:t>
            </w:r>
            <w:r w:rsidR="00E6631F" w:rsidRPr="005D4042">
              <w:rPr>
                <w:rFonts w:eastAsia="Times New Roman"/>
                <w:b/>
                <w:color w:val="0000FF"/>
                <w:szCs w:val="24"/>
              </w:rPr>
              <w:t>yla</w:t>
            </w:r>
            <w:r w:rsidRPr="00A23740">
              <w:rPr>
                <w:rFonts w:eastAsia="Times New Roman"/>
                <w:b/>
                <w:color w:val="0000FF"/>
                <w:szCs w:val="24"/>
              </w:rPr>
              <w:t xml:space="preserve"> şikâyete karşı savunmasının veya beyanının alınması mümkün değilse, </w:t>
            </w:r>
            <w:r w:rsidRPr="00A23740">
              <w:rPr>
                <w:rStyle w:val="MaviChar"/>
              </w:rPr>
              <w:t>savunması veya beyanı</w:t>
            </w:r>
            <w:r w:rsidRPr="00A23740">
              <w:rPr>
                <w:rFonts w:eastAsia="Times New Roman"/>
                <w:b/>
                <w:color w:val="0000FF"/>
                <w:szCs w:val="24"/>
              </w:rPr>
              <w:t xml:space="preserve"> istinabe yoluyla alınabilir.</w:t>
            </w:r>
          </w:p>
          <w:p w:rsidR="00A043AD" w:rsidRPr="00A23740" w:rsidRDefault="00A043AD" w:rsidP="00750F08">
            <w:pPr>
              <w:rPr>
                <w:rFonts w:eastAsia="Times New Roman"/>
                <w:b/>
                <w:color w:val="0000FF"/>
                <w:szCs w:val="24"/>
              </w:rPr>
            </w:pPr>
            <w:r w:rsidRPr="00A23740">
              <w:rPr>
                <w:rFonts w:eastAsia="Times New Roman"/>
                <w:b/>
                <w:color w:val="0000FF"/>
                <w:szCs w:val="24"/>
              </w:rPr>
              <w:t xml:space="preserve"> </w:t>
            </w:r>
          </w:p>
          <w:p w:rsidR="00A043AD" w:rsidRPr="00A23740" w:rsidRDefault="00A043AD" w:rsidP="00663097">
            <w:pPr>
              <w:rPr>
                <w:rFonts w:eastAsia="Times New Roman"/>
                <w:b/>
                <w:color w:val="0000FF"/>
                <w:szCs w:val="24"/>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Arial Unicode MS"/>
                <w:b/>
                <w:iCs/>
                <w:szCs w:val="24"/>
                <w:lang w:eastAsia="tr-TR"/>
              </w:rPr>
            </w:pPr>
          </w:p>
          <w:p w:rsidR="00A043AD" w:rsidRPr="00A23740" w:rsidRDefault="00A043AD" w:rsidP="00750F08">
            <w:pPr>
              <w:tabs>
                <w:tab w:val="left" w:pos="567"/>
              </w:tabs>
              <w:ind w:firstLine="709"/>
              <w:rPr>
                <w:rFonts w:eastAsia="Times New Roman"/>
                <w:szCs w:val="24"/>
                <w:lang w:eastAsia="tr-TR"/>
              </w:rPr>
            </w:pPr>
            <w:r w:rsidRPr="00A23740">
              <w:rPr>
                <w:rFonts w:eastAsia="Arial Unicode MS"/>
                <w:b/>
                <w:iCs/>
                <w:szCs w:val="24"/>
                <w:lang w:eastAsia="tr-TR"/>
              </w:rPr>
              <w:t xml:space="preserve">MADDE 534- </w:t>
            </w:r>
            <w:r w:rsidRPr="00A23740">
              <w:rPr>
                <w:rFonts w:eastAsia="Times New Roman"/>
                <w:szCs w:val="24"/>
                <w:lang w:eastAsia="tr-TR"/>
              </w:rPr>
              <w:t xml:space="preserve">Maddeyle, </w:t>
            </w:r>
            <w:r w:rsidRPr="00A23740">
              <w:t>bu Kanunda yer alan suçlar ile disiplin veya tazyik hapsini gerektiren fiiller hakkında açılacak davalarda uygulanacak yargılama usulü</w:t>
            </w:r>
            <w:r w:rsidRPr="00A23740">
              <w:rPr>
                <w:rFonts w:eastAsia="Times New Roman"/>
                <w:szCs w:val="24"/>
                <w:lang w:eastAsia="tr-TR"/>
              </w:rPr>
              <w:t xml:space="preserve"> düzenlenmektedir. Hüküm, 2004 sayılı Kanunun 349 uncu maddesine karşılık gelmektedir.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Birinci fıkrayla, şikâyet dilekçesi üzerine mahkemece yapılacak işlemler belirlenmektedir. 2004 sayılı Kanunun 349 uncu maddesinin birinci fıkrasında düzenlenen usul muhafaza edilmekle birlikte hükümde detaylandırılmaktadır. Şikâyet, Taslağı</w:t>
            </w:r>
            <w:r w:rsidRPr="005D4042">
              <w:rPr>
                <w:rFonts w:eastAsia="Arial Unicode MS"/>
                <w:iCs/>
                <w:szCs w:val="24"/>
                <w:lang w:eastAsia="tr-TR"/>
              </w:rPr>
              <w:t xml:space="preserve">n </w:t>
            </w:r>
            <w:r w:rsidR="007F084A" w:rsidRPr="005D4042">
              <w:rPr>
                <w:rFonts w:eastAsia="Arial Unicode MS"/>
                <w:iCs/>
                <w:szCs w:val="24"/>
                <w:lang w:eastAsia="tr-TR"/>
              </w:rPr>
              <w:t>533</w:t>
            </w:r>
            <w:r w:rsidR="007F084A" w:rsidRPr="005D4042">
              <w:rPr>
                <w:bCs/>
                <w:iCs/>
                <w:szCs w:val="24"/>
                <w:lang w:eastAsia="tr-TR"/>
              </w:rPr>
              <w:t xml:space="preserve"> üncü</w:t>
            </w:r>
            <w:r w:rsidR="003E11ED" w:rsidRPr="00A23740">
              <w:rPr>
                <w:rFonts w:eastAsia="Arial Unicode MS"/>
                <w:iCs/>
                <w:szCs w:val="24"/>
                <w:lang w:eastAsia="tr-TR"/>
              </w:rPr>
              <w:t xml:space="preserve"> </w:t>
            </w:r>
            <w:r w:rsidRPr="00A23740">
              <w:rPr>
                <w:rFonts w:eastAsia="Arial Unicode MS"/>
                <w:iCs/>
                <w:szCs w:val="24"/>
                <w:lang w:eastAsia="tr-TR"/>
              </w:rPr>
              <w:t>maddesinde belirtilen hususları içeren dilekçeyle yapılır. Şikâyet dile</w:t>
            </w:r>
            <w:r w:rsidR="00F96839" w:rsidRPr="00A23740">
              <w:rPr>
                <w:rFonts w:eastAsia="Arial Unicode MS"/>
                <w:iCs/>
                <w:szCs w:val="24"/>
                <w:lang w:eastAsia="tr-TR"/>
              </w:rPr>
              <w:t>kçesinin usulüne uygun olması hâ</w:t>
            </w:r>
            <w:r w:rsidRPr="00A23740">
              <w:rPr>
                <w:rFonts w:eastAsia="Arial Unicode MS"/>
                <w:iCs/>
                <w:szCs w:val="24"/>
                <w:lang w:eastAsia="tr-TR"/>
              </w:rPr>
              <w:t xml:space="preserve">linde mahkeme, duruşma için bir gün tayin eder ve duruşma gününü müştekiye, sanığa veya şikâyet edilene davetiyeyle bildirir. Sanığa veya şikâyet edilene gönderilen bu davetiyeye şikâyet dilekçesi eklenir. Mahkemece, taraflarca gösterilen tanıkların da duruşmaya davetiyle çağrılması gerekmektedir. Disipline aykırı fiillerle ilgili </w:t>
            </w:r>
            <w:r w:rsidR="00C33806" w:rsidRPr="00A23740">
              <w:rPr>
                <w:rFonts w:eastAsia="Arial Unicode MS"/>
                <w:iCs/>
                <w:szCs w:val="24"/>
                <w:lang w:eastAsia="tr-TR"/>
              </w:rPr>
              <w:t xml:space="preserve">olarak </w:t>
            </w:r>
            <w:r w:rsidRPr="00A23740">
              <w:rPr>
                <w:rFonts w:eastAsia="Arial Unicode MS"/>
                <w:iCs/>
                <w:szCs w:val="24"/>
                <w:lang w:eastAsia="tr-TR"/>
              </w:rPr>
              <w:t>hakkında dava açılan kişiler “şik</w:t>
            </w:r>
            <w:r w:rsidR="008D1615" w:rsidRPr="00A23740">
              <w:rPr>
                <w:rFonts w:eastAsia="Arial Unicode MS"/>
                <w:iCs/>
                <w:szCs w:val="24"/>
                <w:lang w:eastAsia="tr-TR"/>
              </w:rPr>
              <w:t>â</w:t>
            </w:r>
            <w:r w:rsidRPr="00A23740">
              <w:rPr>
                <w:rFonts w:eastAsia="Arial Unicode MS"/>
                <w:iCs/>
                <w:szCs w:val="24"/>
                <w:lang w:eastAsia="tr-TR"/>
              </w:rPr>
              <w:t xml:space="preserve">yet edilen”, suçlarla ilgili </w:t>
            </w:r>
            <w:r w:rsidR="00C33806" w:rsidRPr="00A23740">
              <w:rPr>
                <w:rFonts w:eastAsia="Arial Unicode MS"/>
                <w:iCs/>
                <w:szCs w:val="24"/>
                <w:lang w:eastAsia="tr-TR"/>
              </w:rPr>
              <w:t xml:space="preserve">olarak </w:t>
            </w:r>
            <w:r w:rsidRPr="00A23740">
              <w:rPr>
                <w:rFonts w:eastAsia="Arial Unicode MS"/>
                <w:iCs/>
                <w:szCs w:val="24"/>
                <w:lang w:eastAsia="tr-TR"/>
              </w:rPr>
              <w:t xml:space="preserve">hakkında dava açılan kişiler ise “sanık” olarak kabul edilmektedir. </w:t>
            </w:r>
            <w:r w:rsidR="00C33806" w:rsidRPr="00A23740">
              <w:rPr>
                <w:rFonts w:eastAsia="Arial Unicode MS"/>
                <w:iCs/>
                <w:szCs w:val="24"/>
                <w:lang w:eastAsia="tr-TR"/>
              </w:rPr>
              <w:t>Hükümde, b</w:t>
            </w:r>
            <w:r w:rsidRPr="00A23740">
              <w:rPr>
                <w:rFonts w:eastAsia="Arial Unicode MS"/>
                <w:iCs/>
                <w:szCs w:val="24"/>
                <w:lang w:eastAsia="tr-TR"/>
              </w:rPr>
              <w:t xml:space="preserve">u ayrıma uygun </w:t>
            </w:r>
            <w:r w:rsidR="00E256C4" w:rsidRPr="00A23740">
              <w:rPr>
                <w:rFonts w:eastAsia="Arial Unicode MS"/>
                <w:iCs/>
                <w:szCs w:val="24"/>
                <w:lang w:eastAsia="tr-TR"/>
              </w:rPr>
              <w:t xml:space="preserve"> şekilde </w:t>
            </w:r>
            <w:r w:rsidR="007F084A" w:rsidRPr="00A23740">
              <w:rPr>
                <w:rFonts w:eastAsia="Arial Unicode MS"/>
                <w:iCs/>
                <w:szCs w:val="24"/>
                <w:lang w:eastAsia="tr-TR"/>
              </w:rPr>
              <w:t>belirleme yapılmaktadır.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İkinci fıkrayla, birinci fıkra uyarınca sanığa veya şik</w:t>
            </w:r>
            <w:r w:rsidR="008D1615" w:rsidRPr="00A23740">
              <w:rPr>
                <w:rFonts w:eastAsia="Arial Unicode MS"/>
                <w:iCs/>
                <w:szCs w:val="24"/>
                <w:lang w:eastAsia="tr-TR"/>
              </w:rPr>
              <w:t>â</w:t>
            </w:r>
            <w:r w:rsidRPr="00A23740">
              <w:rPr>
                <w:rFonts w:eastAsia="Arial Unicode MS"/>
                <w:iCs/>
                <w:szCs w:val="24"/>
                <w:lang w:eastAsia="tr-TR"/>
              </w:rPr>
              <w:t>yet edilene ya da müştekiye gönderilecek davetiyede yer alacak ihtar ve sonucuna yer verilmektedir. Buna göre sanığa veya şikâyet edilene gönderilen davetiyeye, duruşmaya gelmediği takdirde yokluğunda karar verileceği ihtarı eklenecektir. Müştekiye gönderilen davetiyede ise</w:t>
            </w:r>
            <w:r w:rsidR="00E256C4" w:rsidRPr="00A23740">
              <w:rPr>
                <w:rFonts w:eastAsia="Arial Unicode MS"/>
                <w:iCs/>
                <w:szCs w:val="24"/>
                <w:lang w:eastAsia="tr-TR"/>
              </w:rPr>
              <w:t>,</w:t>
            </w:r>
            <w:r w:rsidRPr="00A23740">
              <w:rPr>
                <w:rFonts w:eastAsia="Arial Unicode MS"/>
                <w:iCs/>
                <w:szCs w:val="24"/>
                <w:lang w:eastAsia="tr-TR"/>
              </w:rPr>
              <w:t xml:space="preserve"> duruşmaya gelmediği takdirde şik</w:t>
            </w:r>
            <w:r w:rsidR="008D1615" w:rsidRPr="00A23740">
              <w:rPr>
                <w:rFonts w:eastAsia="Arial Unicode MS"/>
                <w:iCs/>
                <w:szCs w:val="24"/>
                <w:lang w:eastAsia="tr-TR"/>
              </w:rPr>
              <w:t>â</w:t>
            </w:r>
            <w:r w:rsidRPr="00A23740">
              <w:rPr>
                <w:rFonts w:eastAsia="Arial Unicode MS"/>
                <w:iCs/>
                <w:szCs w:val="24"/>
                <w:lang w:eastAsia="tr-TR"/>
              </w:rPr>
              <w:t>yetinden vazgeçmiş sayılacağı yazılacaktır.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Üçüncü fıkrayla, duruşmada hazır bulunmamanın taraflar bakımından sonuçları düzenlenmektedir. 2004 sayılı Kanunun 349 uncu maddesinin ikinci ve altıncı fıkralarında yer alan esaslar hükümde aynen muhafaza edilmektedir. Hükme göre, tarafların duruşma için belirlenen gün ve saatte mahkemenin huzuruna gelmesi veya vekil ya da müdafi ile kendilerini temsil ettirmeleri gerekmektedir. Tarafların bu hükme uymamasının bir takım hukuki sonuçları vardır. Buna göre</w:t>
            </w:r>
            <w:r w:rsidR="00E256C4" w:rsidRPr="00A23740">
              <w:rPr>
                <w:rFonts w:eastAsia="Arial Unicode MS"/>
                <w:iCs/>
                <w:szCs w:val="24"/>
                <w:lang w:eastAsia="tr-TR"/>
              </w:rPr>
              <w:t>,</w:t>
            </w:r>
            <w:r w:rsidRPr="00A23740">
              <w:rPr>
                <w:rFonts w:eastAsia="Arial Unicode MS"/>
                <w:iCs/>
                <w:szCs w:val="24"/>
                <w:lang w:eastAsia="tr-TR"/>
              </w:rPr>
              <w:t xml:space="preserve"> sanık veya şikâyet edilen ya da bunların vekili yahut müdafi duruşmaya gelmediği takdirde</w:t>
            </w:r>
            <w:r w:rsidR="00E256C4" w:rsidRPr="00A23740">
              <w:rPr>
                <w:rFonts w:eastAsia="Arial Unicode MS"/>
                <w:iCs/>
                <w:szCs w:val="24"/>
                <w:lang w:eastAsia="tr-TR"/>
              </w:rPr>
              <w:t>,</w:t>
            </w:r>
            <w:r w:rsidRPr="00A23740">
              <w:rPr>
                <w:rFonts w:eastAsia="Arial Unicode MS"/>
                <w:iCs/>
                <w:szCs w:val="24"/>
                <w:lang w:eastAsia="tr-TR"/>
              </w:rPr>
              <w:t xml:space="preserve"> yokluklarında yargılama yapılarak karar verilir. Müştekinin duruşmaya gelmemesi veya </w:t>
            </w:r>
            <w:r w:rsidR="00E256C4" w:rsidRPr="00A23740">
              <w:rPr>
                <w:rFonts w:eastAsia="Arial Unicode MS"/>
                <w:iCs/>
                <w:szCs w:val="24"/>
                <w:lang w:eastAsia="tr-TR"/>
              </w:rPr>
              <w:t xml:space="preserve">kendisini </w:t>
            </w:r>
            <w:r w:rsidRPr="00A23740">
              <w:rPr>
                <w:rFonts w:eastAsia="Arial Unicode MS"/>
                <w:iCs/>
                <w:szCs w:val="24"/>
                <w:lang w:eastAsia="tr-TR"/>
              </w:rPr>
              <w:t>vekil</w:t>
            </w:r>
            <w:r w:rsidR="00E256C4" w:rsidRPr="00A23740">
              <w:rPr>
                <w:rFonts w:eastAsia="Arial Unicode MS"/>
                <w:iCs/>
                <w:szCs w:val="24"/>
                <w:lang w:eastAsia="tr-TR"/>
              </w:rPr>
              <w:t>le</w:t>
            </w:r>
            <w:r w:rsidR="00F96839" w:rsidRPr="00A23740">
              <w:rPr>
                <w:rFonts w:eastAsia="Arial Unicode MS"/>
                <w:iCs/>
                <w:szCs w:val="24"/>
                <w:lang w:eastAsia="tr-TR"/>
              </w:rPr>
              <w:t xml:space="preserve"> temsil ettirmemesi hâ</w:t>
            </w:r>
            <w:r w:rsidRPr="00A23740">
              <w:rPr>
                <w:rFonts w:eastAsia="Arial Unicode MS"/>
                <w:iCs/>
                <w:szCs w:val="24"/>
                <w:lang w:eastAsia="tr-TR"/>
              </w:rPr>
              <w:t>linde ise</w:t>
            </w:r>
            <w:r w:rsidR="00E256C4" w:rsidRPr="00A23740">
              <w:rPr>
                <w:rFonts w:eastAsia="Arial Unicode MS"/>
                <w:iCs/>
                <w:szCs w:val="24"/>
                <w:lang w:eastAsia="tr-TR"/>
              </w:rPr>
              <w:t>,</w:t>
            </w:r>
            <w:r w:rsidRPr="00A23740">
              <w:rPr>
                <w:rFonts w:eastAsia="Arial Unicode MS"/>
                <w:iCs/>
                <w:szCs w:val="24"/>
                <w:lang w:eastAsia="tr-TR"/>
              </w:rPr>
              <w:t xml:space="preserve"> müşteki şikâyetinden vazgeçmiş sayılır ve bu sebeple davanın düşmesine karar verilir.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Dördüncü fıkrayla, sanık veya şikâyet edilenin, mahkemenin huzuruna gelmemesi veya bir müdafi ya da vekil de göndermemesi yahut bizza</w:t>
            </w:r>
            <w:r w:rsidR="00F96839" w:rsidRPr="00A23740">
              <w:rPr>
                <w:rFonts w:eastAsia="Arial Unicode MS"/>
                <w:iCs/>
                <w:szCs w:val="24"/>
                <w:lang w:eastAsia="tr-TR"/>
              </w:rPr>
              <w:t>t bulunmasına lüzum görülmesi hâ</w:t>
            </w:r>
            <w:r w:rsidRPr="00A23740">
              <w:rPr>
                <w:rFonts w:eastAsia="Arial Unicode MS"/>
                <w:iCs/>
                <w:szCs w:val="24"/>
                <w:lang w:eastAsia="tr-TR"/>
              </w:rPr>
              <w:t>linde zorla geti</w:t>
            </w:r>
            <w:r w:rsidR="00F96839" w:rsidRPr="00A23740">
              <w:rPr>
                <w:rFonts w:eastAsia="Arial Unicode MS"/>
                <w:iCs/>
                <w:szCs w:val="24"/>
                <w:lang w:eastAsia="tr-TR"/>
              </w:rPr>
              <w:t>rileceği düzenlenmektedir. Bu hâ</w:t>
            </w:r>
            <w:r w:rsidRPr="00A23740">
              <w:rPr>
                <w:rFonts w:eastAsia="Arial Unicode MS"/>
                <w:iCs/>
                <w:szCs w:val="24"/>
                <w:lang w:eastAsia="tr-TR"/>
              </w:rPr>
              <w:t>lde de sanık ve şikâyet edilen mahkemede hazır bulundurulamazsa</w:t>
            </w:r>
            <w:r w:rsidR="00E256C4" w:rsidRPr="00A23740">
              <w:rPr>
                <w:rFonts w:eastAsia="Arial Unicode MS"/>
                <w:iCs/>
                <w:szCs w:val="24"/>
                <w:lang w:eastAsia="tr-TR"/>
              </w:rPr>
              <w:t>,</w:t>
            </w:r>
            <w:r w:rsidRPr="00A23740">
              <w:rPr>
                <w:rFonts w:eastAsia="Arial Unicode MS"/>
                <w:iCs/>
                <w:szCs w:val="24"/>
                <w:lang w:eastAsia="tr-TR"/>
              </w:rPr>
              <w:t xml:space="preserve"> yargılama yokluğunda görülür.</w:t>
            </w:r>
            <w:r w:rsidR="007F084A" w:rsidRPr="00A23740">
              <w:rPr>
                <w:rFonts w:eastAsia="Arial Unicode MS"/>
                <w:iCs/>
                <w:szCs w:val="24"/>
                <w:lang w:eastAsia="tr-TR"/>
              </w:rPr>
              <w:t xml:space="preserve"> Cebrî</w:t>
            </w:r>
            <w:r w:rsidRPr="00A23740">
              <w:rPr>
                <w:rFonts w:eastAsia="Arial Unicode MS"/>
                <w:iCs/>
                <w:szCs w:val="24"/>
                <w:lang w:eastAsia="tr-TR"/>
              </w:rPr>
              <w:t xml:space="preserve"> İcra Kanununun özel bir kanun olması ve kendine özgü bazı gereklere (takibin süratli bir şekilde sonuçlandırılması gibi) sahip olması nedeniyle zorla get</w:t>
            </w:r>
            <w:r w:rsidR="00F96839" w:rsidRPr="00A23740">
              <w:rPr>
                <w:rFonts w:eastAsia="Arial Unicode MS"/>
                <w:iCs/>
                <w:szCs w:val="24"/>
                <w:lang w:eastAsia="tr-TR"/>
              </w:rPr>
              <w:t>irme kararı</w:t>
            </w:r>
            <w:r w:rsidR="00E256C4" w:rsidRPr="00A23740">
              <w:rPr>
                <w:rFonts w:eastAsia="Arial Unicode MS"/>
                <w:iCs/>
                <w:szCs w:val="24"/>
                <w:lang w:eastAsia="tr-TR"/>
              </w:rPr>
              <w:t>nın</w:t>
            </w:r>
            <w:r w:rsidR="00F96839" w:rsidRPr="00A23740">
              <w:rPr>
                <w:rFonts w:eastAsia="Arial Unicode MS"/>
                <w:iCs/>
                <w:szCs w:val="24"/>
                <w:lang w:eastAsia="tr-TR"/>
              </w:rPr>
              <w:t xml:space="preserve"> infaz edilememesi hâ</w:t>
            </w:r>
            <w:r w:rsidRPr="00A23740">
              <w:rPr>
                <w:rFonts w:eastAsia="Arial Unicode MS"/>
                <w:iCs/>
                <w:szCs w:val="24"/>
                <w:lang w:eastAsia="tr-TR"/>
              </w:rPr>
              <w:t>linde, sanık veya şik</w:t>
            </w:r>
            <w:r w:rsidR="008D1615" w:rsidRPr="00A23740">
              <w:rPr>
                <w:rFonts w:eastAsia="Arial Unicode MS"/>
                <w:iCs/>
                <w:szCs w:val="24"/>
                <w:lang w:eastAsia="tr-TR"/>
              </w:rPr>
              <w:t>â</w:t>
            </w:r>
            <w:r w:rsidRPr="00A23740">
              <w:rPr>
                <w:rFonts w:eastAsia="Arial Unicode MS"/>
                <w:iCs/>
                <w:szCs w:val="24"/>
                <w:lang w:eastAsia="tr-TR"/>
              </w:rPr>
              <w:t>yet edilen hakkında ayrıca yakalama kararının çıkarılmayacağı ve dosyanın mevcut durumuna göre karar verileceği usulü kabul edilmektedir. 2004 sayılı Kanunun 349 uncu maddesinin üçüncü ve beşinci fıkralarındaki esaslar hükümde muhafaza edilmektedir.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Beşinci fıkrayla, istinabe usulü düzenlenmektedir. Buna göre sanık, şikâyet edilen veya müştekinin mahkemenin yargı yetkisi</w:t>
            </w:r>
            <w:r w:rsidR="00F96839" w:rsidRPr="00A23740">
              <w:rPr>
                <w:rFonts w:eastAsia="Arial Unicode MS"/>
                <w:iCs/>
                <w:szCs w:val="24"/>
                <w:lang w:eastAsia="tr-TR"/>
              </w:rPr>
              <w:t xml:space="preserve"> dışındaki bir yerde oturması hâ</w:t>
            </w:r>
            <w:r w:rsidRPr="00A23740">
              <w:rPr>
                <w:rFonts w:eastAsia="Arial Unicode MS"/>
                <w:iCs/>
                <w:szCs w:val="24"/>
                <w:lang w:eastAsia="tr-TR"/>
              </w:rPr>
              <w:t xml:space="preserve">linde, bulundukları yerde aynı anda ses ve görüntü nakledilmesi </w:t>
            </w:r>
            <w:r w:rsidR="00E256C4" w:rsidRPr="00A23740">
              <w:rPr>
                <w:rFonts w:eastAsia="Arial Unicode MS"/>
                <w:iCs/>
                <w:szCs w:val="24"/>
                <w:lang w:eastAsia="tr-TR"/>
              </w:rPr>
              <w:t xml:space="preserve">imkanı mevcutsa </w:t>
            </w:r>
            <w:r w:rsidRPr="00A23740">
              <w:rPr>
                <w:rFonts w:eastAsia="Arial Unicode MS"/>
                <w:iCs/>
                <w:szCs w:val="24"/>
                <w:lang w:eastAsia="tr-TR"/>
              </w:rPr>
              <w:t xml:space="preserve">şikâyete karşı savunmasının veya beyanının </w:t>
            </w:r>
            <w:r w:rsidR="00E256C4" w:rsidRPr="00A23740">
              <w:rPr>
                <w:rFonts w:eastAsia="Arial Unicode MS"/>
                <w:iCs/>
                <w:szCs w:val="24"/>
                <w:lang w:eastAsia="tr-TR"/>
              </w:rPr>
              <w:t xml:space="preserve">bu yolla </w:t>
            </w:r>
            <w:r w:rsidRPr="00A23740">
              <w:rPr>
                <w:rFonts w:eastAsia="Arial Unicode MS"/>
                <w:iCs/>
                <w:szCs w:val="24"/>
                <w:lang w:eastAsia="tr-TR"/>
              </w:rPr>
              <w:t xml:space="preserve">alınması </w:t>
            </w:r>
            <w:r w:rsidR="00E256C4" w:rsidRPr="00A23740">
              <w:rPr>
                <w:rFonts w:eastAsia="Arial Unicode MS"/>
                <w:iCs/>
                <w:szCs w:val="24"/>
                <w:lang w:eastAsia="tr-TR"/>
              </w:rPr>
              <w:t xml:space="preserve">mümkündür; bu imkan mevcut değilse, </w:t>
            </w:r>
            <w:r w:rsidRPr="00A23740">
              <w:rPr>
                <w:rFonts w:eastAsia="Arial Unicode MS"/>
                <w:iCs/>
                <w:szCs w:val="24"/>
                <w:lang w:eastAsia="tr-TR"/>
              </w:rPr>
              <w:t xml:space="preserve">savunması veya beyanı </w:t>
            </w:r>
            <w:r w:rsidR="00E256C4" w:rsidRPr="00A23740">
              <w:rPr>
                <w:rFonts w:eastAsia="Arial Unicode MS"/>
                <w:iCs/>
                <w:szCs w:val="24"/>
                <w:lang w:eastAsia="tr-TR"/>
              </w:rPr>
              <w:t>istanabe yoluyla  alınabilecektir</w:t>
            </w:r>
            <w:r w:rsidRPr="00A23740">
              <w:rPr>
                <w:rFonts w:eastAsia="Arial Unicode MS"/>
                <w:iCs/>
                <w:szCs w:val="24"/>
                <w:lang w:eastAsia="tr-TR"/>
              </w:rPr>
              <w:t>. 2004 sayılı Kanunun 349 uncu maddesinin dördüncü ve yedinci fıkralarında yer alan esaslar aynen muhfaza edilmekle birlikte, hükümde ses ve görüntü nakledilmesi yoluyla beyanların alınması usulü açıkça düzenlenmektedir.</w:t>
            </w:r>
          </w:p>
          <w:p w:rsidR="00A043AD" w:rsidRPr="00A23740" w:rsidRDefault="00A043AD" w:rsidP="005D4042">
            <w:pPr>
              <w:tabs>
                <w:tab w:val="left" w:pos="567"/>
              </w:tabs>
              <w:ind w:firstLine="709"/>
              <w:rPr>
                <w:rFonts w:eastAsia="Arial Unicode MS"/>
                <w:iCs/>
                <w:szCs w:val="24"/>
                <w:lang w:eastAsia="tr-TR"/>
              </w:rPr>
            </w:pPr>
            <w:r w:rsidRPr="00A23740">
              <w:rPr>
                <w:rFonts w:eastAsia="Arial Unicode MS"/>
                <w:iCs/>
                <w:szCs w:val="24"/>
                <w:lang w:eastAsia="tr-TR"/>
              </w:rPr>
              <w:t>2004 sayılı Kanunun 344 üncü maddesinin son fıkrasın</w:t>
            </w:r>
            <w:r w:rsidR="00F96839" w:rsidRPr="00A23740">
              <w:rPr>
                <w:rFonts w:eastAsia="Arial Unicode MS"/>
                <w:iCs/>
                <w:szCs w:val="24"/>
                <w:lang w:eastAsia="tr-TR"/>
              </w:rPr>
              <w:t xml:space="preserve">da yer </w:t>
            </w:r>
            <w:r w:rsidR="00E256C4" w:rsidRPr="00A23740">
              <w:rPr>
                <w:rFonts w:eastAsia="Arial Unicode MS"/>
                <w:iCs/>
                <w:szCs w:val="24"/>
                <w:lang w:eastAsia="tr-TR"/>
              </w:rPr>
              <w:t xml:space="preserve">alıp </w:t>
            </w:r>
            <w:r w:rsidR="00F96839" w:rsidRPr="00A23740">
              <w:rPr>
                <w:rFonts w:eastAsia="Arial Unicode MS"/>
                <w:iCs/>
                <w:szCs w:val="24"/>
                <w:lang w:eastAsia="tr-TR"/>
              </w:rPr>
              <w:t>tanıklığa ve eski hâ</w:t>
            </w:r>
            <w:r w:rsidRPr="00A23740">
              <w:rPr>
                <w:rFonts w:eastAsia="Arial Unicode MS"/>
                <w:iCs/>
                <w:szCs w:val="24"/>
                <w:lang w:eastAsia="tr-TR"/>
              </w:rPr>
              <w:t xml:space="preserve">le getirmeye ilişkin </w:t>
            </w:r>
            <w:r w:rsidR="00E256C4" w:rsidRPr="00A23740">
              <w:rPr>
                <w:rFonts w:eastAsia="Arial Unicode MS"/>
                <w:iCs/>
                <w:szCs w:val="24"/>
                <w:lang w:eastAsia="tr-TR"/>
              </w:rPr>
              <w:t xml:space="preserve">olan </w:t>
            </w:r>
            <w:r w:rsidRPr="00A23740">
              <w:rPr>
                <w:rFonts w:eastAsia="Arial Unicode MS"/>
                <w:iCs/>
                <w:szCs w:val="24"/>
                <w:lang w:eastAsia="tr-TR"/>
              </w:rPr>
              <w:t>hususlar, Taslağın</w:t>
            </w:r>
            <w:r w:rsidR="007F084A" w:rsidRPr="00A23740">
              <w:rPr>
                <w:rFonts w:eastAsia="Arial Unicode MS"/>
                <w:iCs/>
                <w:szCs w:val="24"/>
                <w:lang w:eastAsia="tr-TR"/>
              </w:rPr>
              <w:t xml:space="preserve"> </w:t>
            </w:r>
            <w:r w:rsidR="007F084A" w:rsidRPr="005D4042">
              <w:rPr>
                <w:rFonts w:eastAsia="Arial Unicode MS"/>
                <w:iCs/>
                <w:szCs w:val="24"/>
                <w:lang w:eastAsia="tr-TR"/>
              </w:rPr>
              <w:t>537</w:t>
            </w:r>
            <w:r w:rsidR="007F084A" w:rsidRPr="005D4042">
              <w:rPr>
                <w:b/>
                <w:bCs/>
                <w:iCs/>
                <w:szCs w:val="24"/>
                <w:lang w:eastAsia="tr-TR"/>
              </w:rPr>
              <w:t xml:space="preserve"> </w:t>
            </w:r>
            <w:r w:rsidR="007F084A" w:rsidRPr="005D4042">
              <w:rPr>
                <w:rFonts w:eastAsia="Arial Unicode MS"/>
                <w:iCs/>
                <w:szCs w:val="24"/>
                <w:lang w:eastAsia="tr-TR"/>
              </w:rPr>
              <w:t>nci</w:t>
            </w:r>
            <w:r w:rsidR="007F084A" w:rsidRPr="00A23740">
              <w:rPr>
                <w:rStyle w:val="KonuBalChar"/>
                <w:rFonts w:eastAsia="Arial Unicode MS"/>
              </w:rPr>
              <w:t xml:space="preserve"> </w:t>
            </w:r>
            <w:r w:rsidRPr="00A23740">
              <w:rPr>
                <w:rFonts w:eastAsia="Arial Unicode MS"/>
                <w:iCs/>
                <w:szCs w:val="24"/>
                <w:lang w:eastAsia="tr-TR"/>
              </w:rPr>
              <w:t>maddesinde 5271 sayılı Ceza Muhakemesi Kanununa atıf yapılması sebebiyle maddede düzenlenmemektedir.</w:t>
            </w:r>
          </w:p>
          <w:p w:rsidR="00955D60" w:rsidRPr="00A23740" w:rsidRDefault="00955D60" w:rsidP="00955D60">
            <w:pPr>
              <w:rPr>
                <w:rFonts w:eastAsia="Arial Unicode MS"/>
                <w:b/>
                <w:iCs/>
                <w:szCs w:val="24"/>
                <w:lang w:eastAsia="tr-TR"/>
              </w:rPr>
            </w:pPr>
          </w:p>
        </w:tc>
      </w:tr>
      <w:tr w:rsidR="00A043AD" w:rsidRPr="00A23740" w:rsidTr="00750F08">
        <w:tc>
          <w:tcPr>
            <w:tcW w:w="2500" w:type="pct"/>
          </w:tcPr>
          <w:p w:rsidR="00A043AD" w:rsidRPr="00A23740" w:rsidRDefault="00A043AD" w:rsidP="00AB59DC">
            <w:pPr>
              <w:widowControl w:val="0"/>
              <w:rPr>
                <w:rFonts w:eastAsia="Times New Roman"/>
                <w:b/>
                <w:szCs w:val="24"/>
                <w:lang w:eastAsia="tr-TR"/>
              </w:rPr>
            </w:pPr>
            <w:r w:rsidRPr="00A23740">
              <w:rPr>
                <w:rFonts w:eastAsia="Times New Roman"/>
                <w:b/>
                <w:szCs w:val="24"/>
                <w:lang w:eastAsia="tr-TR"/>
              </w:rPr>
              <w:t xml:space="preserve">Duruşma </w:t>
            </w:r>
            <w:r w:rsidRPr="00A23740">
              <w:rPr>
                <w:rFonts w:eastAsia="Times New Roman"/>
                <w:b/>
                <w:bCs/>
                <w:strike/>
                <w:color w:val="FF0000"/>
                <w:szCs w:val="24"/>
                <w:lang w:eastAsia="tr-TR"/>
              </w:rPr>
              <w:t>:</w:t>
            </w:r>
          </w:p>
          <w:p w:rsidR="00A043AD" w:rsidRPr="00A23740" w:rsidRDefault="00A043AD" w:rsidP="00AB59DC">
            <w:pPr>
              <w:widowControl w:val="0"/>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350</w:t>
            </w:r>
            <w:r w:rsidRPr="00A23740">
              <w:rPr>
                <w:rFonts w:eastAsia="Times New Roman"/>
                <w:b/>
                <w:szCs w:val="24"/>
                <w:lang w:eastAsia="tr-TR"/>
              </w:rPr>
              <w:t xml:space="preserve"> – (1) </w:t>
            </w:r>
            <w:r w:rsidRPr="00A23740">
              <w:rPr>
                <w:rFonts w:eastAsia="Times New Roman"/>
                <w:b/>
                <w:bCs/>
                <w:strike/>
                <w:color w:val="FF0000"/>
                <w:szCs w:val="24"/>
                <w:lang w:eastAsia="tr-TR"/>
              </w:rPr>
              <w:t>İcra</w:t>
            </w:r>
            <w:r w:rsidRPr="00A23740">
              <w:rPr>
                <w:rFonts w:eastAsia="Times New Roman"/>
                <w:szCs w:val="24"/>
                <w:lang w:eastAsia="tr-TR"/>
              </w:rPr>
              <w:t xml:space="preserve"> mahkeme</w:t>
            </w:r>
            <w:r w:rsidRPr="00A23740">
              <w:rPr>
                <w:rFonts w:eastAsia="Times New Roman"/>
                <w:b/>
                <w:bCs/>
                <w:strike/>
                <w:color w:val="FF0000"/>
                <w:szCs w:val="24"/>
                <w:lang w:eastAsia="tr-TR"/>
              </w:rPr>
              <w:t>si</w:t>
            </w:r>
            <w:r w:rsidRPr="00A23740">
              <w:rPr>
                <w:rFonts w:eastAsia="Times New Roman"/>
                <w:szCs w:val="24"/>
                <w:lang w:eastAsia="tr-TR"/>
              </w:rPr>
              <w:t xml:space="preserve"> </w:t>
            </w:r>
            <w:r w:rsidRPr="00A23740">
              <w:rPr>
                <w:rFonts w:eastAsia="Times New Roman"/>
                <w:b/>
                <w:strike/>
                <w:color w:val="FF0000"/>
                <w:szCs w:val="24"/>
                <w:lang w:eastAsia="x-none"/>
              </w:rPr>
              <w:t>iki tarafı</w:t>
            </w:r>
            <w:r w:rsidRPr="00A23740">
              <w:rPr>
                <w:rFonts w:eastAsia="Times New Roman"/>
                <w:b/>
                <w:i/>
                <w:strike/>
                <w:color w:val="FF0000"/>
                <w:szCs w:val="24"/>
                <w:lang w:eastAsia="x-none"/>
              </w:rPr>
              <w:t xml:space="preserve"> </w:t>
            </w:r>
            <w:r w:rsidRPr="00A23740">
              <w:rPr>
                <w:rFonts w:eastAsia="Times New Roman"/>
                <w:b/>
                <w:strike/>
                <w:color w:val="FF0000"/>
                <w:szCs w:val="24"/>
                <w:lang w:eastAsia="x-none"/>
              </w:rPr>
              <w:t>ve</w:t>
            </w:r>
            <w:r w:rsidRPr="00A23740">
              <w:rPr>
                <w:rFonts w:eastAsia="Times New Roman"/>
                <w:szCs w:val="24"/>
                <w:lang w:eastAsia="tr-TR"/>
              </w:rPr>
              <w:t xml:space="preserve"> delillerini dinler </w:t>
            </w:r>
            <w:r w:rsidRPr="00A23740">
              <w:rPr>
                <w:rFonts w:eastAsia="Times New Roman"/>
                <w:b/>
                <w:strike/>
                <w:color w:val="FF0000"/>
                <w:szCs w:val="24"/>
                <w:lang w:eastAsia="x-none"/>
              </w:rPr>
              <w:t>ve</w:t>
            </w:r>
            <w:r w:rsidRPr="00A23740">
              <w:rPr>
                <w:rFonts w:eastAsia="Times New Roman"/>
                <w:szCs w:val="24"/>
                <w:lang w:eastAsia="tr-TR"/>
              </w:rPr>
              <w:t xml:space="preserve"> </w:t>
            </w:r>
            <w:r w:rsidRPr="00A23740">
              <w:rPr>
                <w:rFonts w:eastAsia="Times New Roman"/>
                <w:b/>
                <w:strike/>
                <w:color w:val="FF0000"/>
                <w:szCs w:val="24"/>
                <w:lang w:eastAsia="x-none"/>
              </w:rPr>
              <w:t>gerek</w:t>
            </w:r>
            <w:r w:rsidRPr="00A23740">
              <w:rPr>
                <w:rFonts w:eastAsia="Times New Roman"/>
                <w:szCs w:val="24"/>
                <w:lang w:eastAsia="tr-TR"/>
              </w:rPr>
              <w:t xml:space="preserve"> tarafların </w:t>
            </w:r>
            <w:r w:rsidRPr="00A23740">
              <w:rPr>
                <w:rFonts w:eastAsia="Times New Roman"/>
                <w:b/>
                <w:strike/>
                <w:color w:val="FF0000"/>
                <w:szCs w:val="24"/>
                <w:lang w:eastAsia="x-none"/>
              </w:rPr>
              <w:t>gerek</w:t>
            </w:r>
            <w:r w:rsidRPr="00A23740">
              <w:rPr>
                <w:rFonts w:eastAsia="Times New Roman"/>
                <w:b/>
                <w:i/>
                <w:strike/>
                <w:color w:val="FF0000"/>
                <w:szCs w:val="24"/>
                <w:lang w:eastAsia="x-none"/>
              </w:rPr>
              <w:t xml:space="preserve"> </w:t>
            </w:r>
            <w:r w:rsidRPr="00A23740">
              <w:rPr>
                <w:rFonts w:eastAsia="Times New Roman"/>
                <w:b/>
                <w:strike/>
                <w:color w:val="FF0000"/>
                <w:szCs w:val="24"/>
                <w:lang w:eastAsia="x-none"/>
              </w:rPr>
              <w:t>şahitlerin ifadelerini duruşma</w:t>
            </w:r>
            <w:r w:rsidRPr="00A23740">
              <w:rPr>
                <w:rFonts w:eastAsia="Times New Roman"/>
                <w:szCs w:val="24"/>
                <w:lang w:eastAsia="tr-TR"/>
              </w:rPr>
              <w:t xml:space="preserve"> tutanağına geçirir.</w:t>
            </w:r>
          </w:p>
          <w:p w:rsidR="00A043AD" w:rsidRPr="00A23740" w:rsidRDefault="00A043AD" w:rsidP="00AB59DC">
            <w:pPr>
              <w:widowControl w:val="0"/>
              <w:rPr>
                <w:rFonts w:eastAsia="Times New Roman"/>
                <w:szCs w:val="24"/>
                <w:lang w:eastAsia="tr-TR"/>
              </w:rPr>
            </w:pPr>
            <w:r w:rsidRPr="00A23740">
              <w:rPr>
                <w:rFonts w:eastAsia="Times New Roman"/>
                <w:szCs w:val="24"/>
                <w:lang w:eastAsia="tr-TR"/>
              </w:rPr>
              <w:t>…</w:t>
            </w:r>
          </w:p>
          <w:p w:rsidR="00A043AD" w:rsidRPr="00A23740" w:rsidRDefault="00A043AD" w:rsidP="00AB59DC">
            <w:pPr>
              <w:widowControl w:val="0"/>
              <w:rPr>
                <w:rFonts w:eastAsia="Times New Roman"/>
                <w:b/>
                <w:strike/>
                <w:color w:val="FF0000"/>
                <w:szCs w:val="24"/>
                <w:lang w:eastAsia="x-none"/>
              </w:rPr>
            </w:pPr>
            <w:r w:rsidRPr="00A23740">
              <w:rPr>
                <w:rFonts w:eastAsia="Times New Roman"/>
                <w:b/>
                <w:strike/>
                <w:color w:val="FF0000"/>
                <w:szCs w:val="24"/>
                <w:lang w:eastAsia="x-none"/>
              </w:rPr>
              <w:t>Tahkikat:</w:t>
            </w:r>
          </w:p>
          <w:p w:rsidR="00A043AD" w:rsidRPr="00A23740" w:rsidRDefault="00A043AD" w:rsidP="00AB59DC">
            <w:pPr>
              <w:widowControl w:val="0"/>
              <w:rPr>
                <w:rFonts w:eastAsia="Times New Roman"/>
                <w:i/>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351</w:t>
            </w:r>
            <w:r w:rsidRPr="00A23740">
              <w:rPr>
                <w:rFonts w:eastAsia="Times New Roman"/>
                <w:b/>
                <w:szCs w:val="24"/>
                <w:lang w:eastAsia="tr-TR"/>
              </w:rPr>
              <w:t xml:space="preserve"> – …</w:t>
            </w:r>
          </w:p>
          <w:p w:rsidR="00A043AD" w:rsidRPr="00A23740" w:rsidRDefault="00A043AD" w:rsidP="00AB59DC">
            <w:pPr>
              <w:widowControl w:val="0"/>
              <w:rPr>
                <w:rFonts w:eastAsia="Times New Roman"/>
                <w:szCs w:val="24"/>
                <w:lang w:eastAsia="tr-TR"/>
              </w:rPr>
            </w:pPr>
            <w:r w:rsidRPr="00A23740">
              <w:rPr>
                <w:rFonts w:eastAsia="Times New Roman"/>
                <w:b/>
                <w:szCs w:val="24"/>
                <w:lang w:eastAsia="x-none"/>
              </w:rPr>
              <w:t xml:space="preserve">(2) </w:t>
            </w:r>
            <w:r w:rsidRPr="00A23740">
              <w:rPr>
                <w:rFonts w:eastAsia="Times New Roman"/>
                <w:b/>
                <w:strike/>
                <w:color w:val="FF0000"/>
                <w:szCs w:val="24"/>
                <w:lang w:eastAsia="x-none"/>
              </w:rPr>
              <w:t>Maznun müdafası</w:t>
            </w:r>
            <w:r w:rsidRPr="00A23740">
              <w:rPr>
                <w:rFonts w:eastAsia="Times New Roman"/>
                <w:szCs w:val="24"/>
                <w:lang w:eastAsia="tr-TR"/>
              </w:rPr>
              <w:t xml:space="preserve"> için </w:t>
            </w:r>
            <w:r w:rsidRPr="00A23740">
              <w:rPr>
                <w:rFonts w:eastAsia="Times New Roman"/>
                <w:b/>
                <w:strike/>
                <w:color w:val="FF0000"/>
                <w:szCs w:val="24"/>
                <w:lang w:eastAsia="x-none"/>
              </w:rPr>
              <w:t>tahkikatın tevsiini</w:t>
            </w:r>
            <w:r w:rsidRPr="00A23740">
              <w:rPr>
                <w:rFonts w:eastAsia="Times New Roman"/>
                <w:szCs w:val="24"/>
                <w:lang w:eastAsia="tr-TR"/>
              </w:rPr>
              <w:t xml:space="preserve"> ancak bir kere ist</w:t>
            </w:r>
            <w:r w:rsidRPr="00A23740">
              <w:rPr>
                <w:rFonts w:eastAsia="Times New Roman"/>
                <w:b/>
                <w:strike/>
                <w:color w:val="FF0000"/>
                <w:szCs w:val="24"/>
                <w:lang w:eastAsia="x-none"/>
              </w:rPr>
              <w:t>i</w:t>
            </w:r>
            <w:r w:rsidRPr="00A23740">
              <w:rPr>
                <w:rFonts w:eastAsia="Times New Roman"/>
                <w:szCs w:val="24"/>
                <w:lang w:eastAsia="tr-TR"/>
              </w:rPr>
              <w:t>yebilir.</w:t>
            </w:r>
          </w:p>
          <w:p w:rsidR="00A043AD" w:rsidRPr="00A23740" w:rsidRDefault="00A043AD" w:rsidP="00AB59DC">
            <w:pPr>
              <w:widowControl w:val="0"/>
              <w:rPr>
                <w:rFonts w:eastAsia="Times New Roman"/>
                <w:b/>
                <w:szCs w:val="24"/>
                <w:lang w:eastAsia="tr-TR"/>
              </w:rPr>
            </w:pPr>
            <w:r w:rsidRPr="00A23740">
              <w:rPr>
                <w:rFonts w:eastAsia="Times New Roman"/>
                <w:b/>
                <w:szCs w:val="24"/>
                <w:lang w:eastAsia="tr-TR"/>
              </w:rPr>
              <w:t>Karar:</w:t>
            </w:r>
          </w:p>
          <w:p w:rsidR="00A043AD" w:rsidRPr="00A23740" w:rsidRDefault="00A043AD" w:rsidP="00AB59DC">
            <w:pPr>
              <w:widowControl w:val="0"/>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352</w:t>
            </w:r>
            <w:r w:rsidRPr="00A23740">
              <w:rPr>
                <w:rFonts w:eastAsia="Times New Roman"/>
                <w:b/>
                <w:szCs w:val="24"/>
                <w:lang w:eastAsia="tr-TR"/>
              </w:rPr>
              <w:t xml:space="preserve"> – (1) </w:t>
            </w:r>
            <w:r w:rsidRPr="00A23740">
              <w:rPr>
                <w:rFonts w:eastAsia="Times New Roman"/>
                <w:b/>
                <w:bCs/>
                <w:strike/>
                <w:color w:val="FF0000"/>
                <w:szCs w:val="24"/>
                <w:lang w:eastAsia="tr-TR"/>
              </w:rPr>
              <w:t>İcra</w:t>
            </w:r>
            <w:r w:rsidRPr="00A23740">
              <w:rPr>
                <w:rFonts w:eastAsia="Times New Roman"/>
                <w:bCs/>
                <w:szCs w:val="24"/>
                <w:lang w:eastAsia="tr-TR"/>
              </w:rPr>
              <w:t xml:space="preserve"> mahkeme</w:t>
            </w:r>
            <w:r w:rsidRPr="00A23740">
              <w:rPr>
                <w:rFonts w:eastAsia="Times New Roman"/>
                <w:b/>
                <w:bCs/>
                <w:strike/>
                <w:color w:val="FF0000"/>
                <w:szCs w:val="24"/>
                <w:lang w:eastAsia="tr-TR"/>
              </w:rPr>
              <w:t>si iki</w:t>
            </w:r>
            <w:r w:rsidRPr="00A23740">
              <w:rPr>
                <w:rFonts w:eastAsia="Times New Roman"/>
                <w:bCs/>
                <w:szCs w:val="24"/>
                <w:lang w:eastAsia="tr-TR"/>
              </w:rPr>
              <w:t xml:space="preserve"> taraf</w:t>
            </w:r>
            <w:r w:rsidRPr="00A23740">
              <w:rPr>
                <w:rFonts w:eastAsia="Times New Roman"/>
                <w:b/>
                <w:bCs/>
                <w:strike/>
                <w:color w:val="FF0000"/>
                <w:szCs w:val="24"/>
                <w:lang w:eastAsia="tr-TR"/>
              </w:rPr>
              <w:t xml:space="preserve">ın ifadelerini ve bütün </w:t>
            </w:r>
            <w:r w:rsidRPr="00A23740">
              <w:rPr>
                <w:rFonts w:eastAsia="Times New Roman"/>
                <w:bCs/>
                <w:szCs w:val="24"/>
                <w:lang w:eastAsia="tr-TR"/>
              </w:rPr>
              <w:t>delilleri</w:t>
            </w:r>
            <w:r w:rsidRPr="00A23740">
              <w:rPr>
                <w:rFonts w:eastAsia="Times New Roman"/>
                <w:b/>
                <w:bCs/>
                <w:strike/>
                <w:color w:val="FF0000"/>
                <w:szCs w:val="24"/>
                <w:lang w:eastAsia="tr-TR"/>
              </w:rPr>
              <w:t>ni ve iddia ve müdafaalarını</w:t>
            </w:r>
            <w:r w:rsidRPr="00A23740">
              <w:rPr>
                <w:rFonts w:eastAsia="Times New Roman"/>
                <w:bCs/>
                <w:szCs w:val="24"/>
                <w:lang w:eastAsia="tr-TR"/>
              </w:rPr>
              <w:t xml:space="preserve"> </w:t>
            </w:r>
            <w:r w:rsidRPr="00A23740">
              <w:rPr>
                <w:rFonts w:eastAsia="Times New Roman"/>
                <w:b/>
                <w:strike/>
                <w:color w:val="FF0000"/>
                <w:szCs w:val="24"/>
                <w:lang w:eastAsia="x-none"/>
              </w:rPr>
              <w:t>dinledikten</w:t>
            </w:r>
            <w:r w:rsidRPr="00A23740">
              <w:rPr>
                <w:rFonts w:eastAsia="Times New Roman"/>
                <w:b/>
                <w:szCs w:val="24"/>
                <w:lang w:eastAsia="tr-TR"/>
              </w:rPr>
              <w:t xml:space="preserve"> </w:t>
            </w:r>
            <w:r w:rsidRPr="00A23740">
              <w:rPr>
                <w:rFonts w:eastAsia="Times New Roman"/>
                <w:szCs w:val="24"/>
                <w:lang w:eastAsia="tr-TR"/>
              </w:rPr>
              <w:t xml:space="preserve">sonra </w:t>
            </w:r>
            <w:r w:rsidRPr="00A23740">
              <w:rPr>
                <w:rFonts w:eastAsia="Times New Roman"/>
                <w:b/>
                <w:bCs/>
                <w:strike/>
                <w:color w:val="FF0000"/>
                <w:szCs w:val="24"/>
                <w:lang w:eastAsia="tr-TR"/>
              </w:rPr>
              <w:t>nihayet beş gün içinde</w:t>
            </w:r>
            <w:r w:rsidRPr="00A23740">
              <w:rPr>
                <w:rFonts w:eastAsia="Times New Roman"/>
                <w:szCs w:val="24"/>
                <w:lang w:eastAsia="tr-TR"/>
              </w:rPr>
              <w:t xml:space="preserve"> kararını verir </w:t>
            </w:r>
            <w:r w:rsidRPr="00A23740">
              <w:rPr>
                <w:rFonts w:eastAsia="Times New Roman"/>
                <w:b/>
                <w:strike/>
                <w:color w:val="FF0000"/>
                <w:szCs w:val="24"/>
                <w:lang w:eastAsia="x-none"/>
              </w:rPr>
              <w:t>ve</w:t>
            </w:r>
            <w:r w:rsidRPr="00A23740">
              <w:rPr>
                <w:rFonts w:eastAsia="Times New Roman"/>
                <w:szCs w:val="24"/>
                <w:lang w:eastAsia="tr-TR"/>
              </w:rPr>
              <w:t xml:space="preserve"> </w:t>
            </w:r>
            <w:r w:rsidRPr="00A23740">
              <w:rPr>
                <w:rFonts w:eastAsia="Times New Roman"/>
                <w:b/>
                <w:bCs/>
                <w:strike/>
                <w:color w:val="FF0000"/>
                <w:szCs w:val="24"/>
                <w:lang w:eastAsia="tr-TR"/>
              </w:rPr>
              <w:t xml:space="preserve">hulasasını </w:t>
            </w:r>
            <w:r w:rsidRPr="00A23740">
              <w:rPr>
                <w:rFonts w:eastAsia="Times New Roman"/>
                <w:szCs w:val="24"/>
                <w:lang w:eastAsia="tr-TR"/>
              </w:rPr>
              <w:t>Cumhuriyet Savcısına bildirir.</w:t>
            </w: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b/>
                <w:bCs/>
                <w:strike/>
                <w:color w:val="FF0000"/>
                <w:szCs w:val="24"/>
                <w:lang w:val="x-none" w:eastAsia="x-none"/>
              </w:rPr>
            </w:pPr>
          </w:p>
          <w:p w:rsidR="00A043AD" w:rsidRPr="00A23740" w:rsidRDefault="00A043AD" w:rsidP="00AB59DC">
            <w:pPr>
              <w:widowControl w:val="0"/>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Davanın ve cezanın düşmesi ile ceza verilemeyecek hâller:</w:t>
            </w:r>
          </w:p>
          <w:p w:rsidR="00A043AD" w:rsidRPr="00A23740" w:rsidRDefault="00A043AD" w:rsidP="00AB59DC">
            <w:pPr>
              <w:widowControl w:val="0"/>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354 – . . .</w:t>
            </w:r>
          </w:p>
          <w:p w:rsidR="00A043AD" w:rsidRPr="00A23740" w:rsidRDefault="00A043AD" w:rsidP="00AB59DC">
            <w:pPr>
              <w:widowControl w:val="0"/>
              <w:tabs>
                <w:tab w:val="left" w:pos="567"/>
              </w:tabs>
              <w:rPr>
                <w:rFonts w:eastAsia="Times New Roman"/>
                <w:szCs w:val="24"/>
                <w:lang w:eastAsia="tr-TR"/>
              </w:rPr>
            </w:pPr>
            <w:r w:rsidRPr="00A23740">
              <w:rPr>
                <w:rFonts w:eastAsia="Times New Roman"/>
                <w:b/>
                <w:bCs/>
                <w:strike/>
                <w:color w:val="FF0000"/>
                <w:szCs w:val="24"/>
                <w:lang w:val="x-none" w:eastAsia="x-none"/>
              </w:rPr>
              <w:t xml:space="preserve">(4) (Ek fıkra: 31/3/2011-6217/6 md.) </w:t>
            </w:r>
            <w:r w:rsidRPr="00A23740">
              <w:rPr>
                <w:rFonts w:eastAsia="Times New Roman"/>
                <w:szCs w:val="24"/>
                <w:lang w:eastAsia="tr-TR"/>
              </w:rPr>
              <w:t>Nafaka alacaklarına ilişkin takipler hariç, alacak miktarı Asgari Ücret Tespit Komisyonu tarafından her yıl belirlenen aylık en yüksek brüt asgari ücret tutarının altında kalan takiplerde bu Kanunda öngörülen disiplin ve tazyik hapsi uygulanmaz.</w:t>
            </w: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rPr>
                <w:rFonts w:eastAsia="Times New Roman"/>
                <w:b/>
                <w:szCs w:val="24"/>
                <w:lang w:eastAsia="tr-TR"/>
              </w:rPr>
            </w:pPr>
            <w:r w:rsidRPr="00A23740">
              <w:rPr>
                <w:rFonts w:eastAsia="Times New Roman"/>
                <w:b/>
                <w:szCs w:val="24"/>
                <w:lang w:eastAsia="tr-TR"/>
              </w:rPr>
              <w:t>Karar:</w:t>
            </w:r>
          </w:p>
          <w:p w:rsidR="00A043AD" w:rsidRPr="00A23740" w:rsidRDefault="00A043AD" w:rsidP="00AB59DC">
            <w:pPr>
              <w:widowControl w:val="0"/>
              <w:tabs>
                <w:tab w:val="left" w:pos="567"/>
              </w:tabs>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352</w:t>
            </w:r>
            <w:r w:rsidRPr="00A23740">
              <w:rPr>
                <w:rFonts w:eastAsia="Times New Roman"/>
                <w:b/>
                <w:szCs w:val="24"/>
                <w:lang w:eastAsia="tr-TR"/>
              </w:rPr>
              <w:t xml:space="preserve"> – </w:t>
            </w:r>
            <w:r w:rsidRPr="00A23740">
              <w:rPr>
                <w:b/>
                <w:bCs/>
                <w:strike/>
                <w:color w:val="FF0000"/>
                <w:szCs w:val="24"/>
              </w:rPr>
              <w:t>…</w:t>
            </w:r>
          </w:p>
          <w:p w:rsidR="00A043AD" w:rsidRPr="00A23740" w:rsidRDefault="00A043AD" w:rsidP="00AB59DC">
            <w:pPr>
              <w:widowControl w:val="0"/>
              <w:rPr>
                <w:rFonts w:eastAsia="Times New Roman"/>
                <w:szCs w:val="24"/>
                <w:lang w:eastAsia="tr-TR"/>
              </w:rPr>
            </w:pPr>
            <w:r w:rsidRPr="00A23740">
              <w:rPr>
                <w:rFonts w:eastAsia="Times New Roman"/>
                <w:b/>
                <w:szCs w:val="24"/>
                <w:lang w:eastAsia="tr-TR"/>
              </w:rPr>
              <w:t>(2)</w:t>
            </w:r>
            <w:r w:rsidRPr="00A23740">
              <w:rPr>
                <w:rFonts w:eastAsia="Times New Roman"/>
                <w:b/>
                <w:color w:val="FF0000"/>
                <w:szCs w:val="24"/>
                <w:lang w:eastAsia="x-none"/>
              </w:rPr>
              <w:t xml:space="preserve"> </w:t>
            </w:r>
            <w:r w:rsidRPr="00A23740">
              <w:rPr>
                <w:rFonts w:eastAsia="Times New Roman"/>
                <w:b/>
                <w:strike/>
                <w:color w:val="FF0000"/>
                <w:szCs w:val="24"/>
                <w:lang w:eastAsia="x-none"/>
              </w:rPr>
              <w:t>(Ek fıkra: 17/7/2003-4949/99 md.)</w:t>
            </w:r>
            <w:r w:rsidRPr="00A23740">
              <w:rPr>
                <w:rFonts w:eastAsia="Times New Roman"/>
                <w:b/>
                <w:szCs w:val="24"/>
                <w:lang w:eastAsia="tr-TR"/>
              </w:rPr>
              <w:t xml:space="preserve"> </w:t>
            </w:r>
            <w:r w:rsidRPr="00A23740">
              <w:rPr>
                <w:rFonts w:eastAsia="Times New Roman"/>
                <w:b/>
                <w:bCs/>
                <w:strike/>
                <w:color w:val="FF0000"/>
                <w:szCs w:val="24"/>
                <w:lang w:eastAsia="tr-TR"/>
              </w:rPr>
              <w:t>Takibi şikâyete bağlı</w:t>
            </w:r>
            <w:r w:rsidRPr="00A23740">
              <w:rPr>
                <w:rFonts w:eastAsia="Times New Roman"/>
                <w:szCs w:val="24"/>
                <w:lang w:eastAsia="tr-TR"/>
              </w:rPr>
              <w:t xml:space="preserve"> </w:t>
            </w:r>
            <w:r w:rsidRPr="00A23740">
              <w:rPr>
                <w:rFonts w:eastAsia="Times New Roman"/>
                <w:b/>
                <w:bCs/>
                <w:strike/>
                <w:color w:val="FF0000"/>
                <w:szCs w:val="24"/>
                <w:lang w:eastAsia="tr-TR"/>
              </w:rPr>
              <w:t>suçlarda</w:t>
            </w:r>
            <w:r w:rsidRPr="00A23740">
              <w:rPr>
                <w:rFonts w:eastAsia="Times New Roman"/>
                <w:szCs w:val="24"/>
                <w:lang w:eastAsia="tr-TR"/>
              </w:rPr>
              <w:t xml:space="preserve"> dava ve cezanın </w:t>
            </w:r>
            <w:r w:rsidRPr="00A23740">
              <w:rPr>
                <w:rFonts w:eastAsia="Times New Roman"/>
                <w:b/>
                <w:bCs/>
                <w:strike/>
                <w:color w:val="FF0000"/>
                <w:szCs w:val="24"/>
                <w:lang w:eastAsia="tr-TR"/>
              </w:rPr>
              <w:t>354 üncü</w:t>
            </w:r>
            <w:r w:rsidRPr="00A23740">
              <w:rPr>
                <w:rFonts w:eastAsia="Times New Roman"/>
                <w:szCs w:val="24"/>
                <w:lang w:eastAsia="tr-TR"/>
              </w:rPr>
              <w:t xml:space="preserve"> maddede yazılı sebeplerle düşeceği </w:t>
            </w:r>
            <w:r w:rsidRPr="00A23740">
              <w:rPr>
                <w:rFonts w:eastAsia="Times New Roman"/>
                <w:b/>
                <w:bCs/>
                <w:strike/>
                <w:color w:val="FF0000"/>
                <w:szCs w:val="24"/>
                <w:lang w:eastAsia="tr-TR"/>
              </w:rPr>
              <w:t>kararda</w:t>
            </w:r>
            <w:r w:rsidRPr="00A23740">
              <w:rPr>
                <w:rFonts w:eastAsia="Times New Roman"/>
                <w:szCs w:val="24"/>
                <w:lang w:eastAsia="tr-TR"/>
              </w:rPr>
              <w:t xml:space="preserve"> belirtilir.</w:t>
            </w:r>
          </w:p>
          <w:p w:rsidR="00A043AD" w:rsidRPr="00A23740" w:rsidRDefault="00A043AD" w:rsidP="00AB59DC">
            <w:pPr>
              <w:widowControl w:val="0"/>
              <w:rPr>
                <w:rFonts w:eastAsia="Times New Roman"/>
                <w:szCs w:val="24"/>
                <w:lang w:eastAsia="tr-TR"/>
              </w:rPr>
            </w:pPr>
          </w:p>
          <w:p w:rsidR="00A043AD" w:rsidRPr="00A23740" w:rsidRDefault="00A043AD" w:rsidP="00AB59DC">
            <w:pPr>
              <w:widowControl w:val="0"/>
              <w:rPr>
                <w:rFonts w:eastAsia="Times New Roman"/>
                <w:b/>
                <w:szCs w:val="24"/>
                <w:lang w:eastAsia="tr-TR"/>
              </w:rPr>
            </w:pPr>
            <w:r w:rsidRPr="00A23740">
              <w:rPr>
                <w:rFonts w:eastAsia="Times New Roman"/>
                <w:b/>
                <w:szCs w:val="24"/>
                <w:lang w:eastAsia="tr-TR"/>
              </w:rPr>
              <w:t xml:space="preserve">Duruşma </w:t>
            </w:r>
            <w:r w:rsidRPr="00A23740">
              <w:rPr>
                <w:rFonts w:eastAsia="Times New Roman"/>
                <w:b/>
                <w:bCs/>
                <w:strike/>
                <w:color w:val="FF0000"/>
                <w:szCs w:val="24"/>
                <w:lang w:eastAsia="tr-TR"/>
              </w:rPr>
              <w:t>:</w:t>
            </w:r>
          </w:p>
          <w:p w:rsidR="00A043AD" w:rsidRPr="00A23740" w:rsidRDefault="00A043AD" w:rsidP="00AB59DC">
            <w:pPr>
              <w:widowControl w:val="0"/>
              <w:rPr>
                <w:rFonts w:eastAsia="Times New Roman"/>
                <w:szCs w:val="24"/>
                <w:lang w:eastAsia="tr-TR"/>
              </w:rPr>
            </w:pPr>
            <w:r w:rsidRPr="00A23740">
              <w:rPr>
                <w:rFonts w:eastAsia="Times New Roman"/>
                <w:b/>
                <w:szCs w:val="24"/>
                <w:lang w:eastAsia="tr-TR"/>
              </w:rPr>
              <w:t xml:space="preserve">Madde </w:t>
            </w:r>
            <w:r w:rsidRPr="00A23740">
              <w:rPr>
                <w:rFonts w:eastAsia="Times New Roman"/>
                <w:b/>
                <w:bCs/>
                <w:strike/>
                <w:color w:val="FF0000"/>
                <w:szCs w:val="24"/>
                <w:lang w:eastAsia="tr-TR"/>
              </w:rPr>
              <w:t>350</w:t>
            </w:r>
            <w:r w:rsidRPr="00A23740">
              <w:rPr>
                <w:rFonts w:eastAsia="Times New Roman"/>
                <w:b/>
                <w:szCs w:val="24"/>
                <w:lang w:eastAsia="tr-TR"/>
              </w:rPr>
              <w:t xml:space="preserve"> – (F2)</w:t>
            </w:r>
            <w:r w:rsidRPr="00A23740">
              <w:rPr>
                <w:rFonts w:eastAsia="Times New Roman"/>
                <w:szCs w:val="24"/>
                <w:lang w:eastAsia="tr-TR"/>
              </w:rPr>
              <w:t xml:space="preserve"> Cumhuriyet Savcısı hazır bulundurulmaz.</w:t>
            </w:r>
          </w:p>
          <w:p w:rsidR="00A043AD" w:rsidRPr="00A23740" w:rsidRDefault="00A043AD" w:rsidP="00AB59DC">
            <w:pPr>
              <w:widowControl w:val="0"/>
              <w:rPr>
                <w:rFonts w:eastAsia="Times New Roman"/>
                <w:b/>
                <w:szCs w:val="24"/>
                <w:lang w:eastAsia="tr-TR"/>
              </w:rPr>
            </w:pPr>
            <w:r w:rsidRPr="00A23740">
              <w:rPr>
                <w:rFonts w:eastAsia="Times New Roman"/>
                <w:b/>
                <w:szCs w:val="24"/>
                <w:lang w:eastAsia="tr-TR"/>
              </w:rPr>
              <w:t>Karar:</w:t>
            </w:r>
          </w:p>
          <w:p w:rsidR="00A043AD" w:rsidRPr="00A23740" w:rsidRDefault="00A043AD" w:rsidP="00AB59DC">
            <w:pPr>
              <w:widowControl w:val="0"/>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x-none"/>
              </w:rPr>
              <w:t>352</w:t>
            </w:r>
            <w:r w:rsidRPr="00A23740">
              <w:rPr>
                <w:rFonts w:eastAsia="Times New Roman"/>
                <w:b/>
                <w:szCs w:val="24"/>
                <w:lang w:eastAsia="tr-TR"/>
              </w:rPr>
              <w:t xml:space="preserve"> – (1) </w:t>
            </w:r>
            <w:r w:rsidRPr="00A23740">
              <w:rPr>
                <w:rFonts w:eastAsia="Times New Roman"/>
                <w:b/>
                <w:bCs/>
                <w:strike/>
                <w:color w:val="FF0000"/>
                <w:szCs w:val="24"/>
                <w:lang w:eastAsia="tr-TR"/>
              </w:rPr>
              <w:t>İcra</w:t>
            </w:r>
            <w:r w:rsidRPr="00A23740">
              <w:rPr>
                <w:rFonts w:eastAsia="Times New Roman"/>
                <w:bCs/>
                <w:szCs w:val="24"/>
                <w:lang w:eastAsia="tr-TR"/>
              </w:rPr>
              <w:t xml:space="preserve"> mahkeme</w:t>
            </w:r>
            <w:r w:rsidRPr="00A23740">
              <w:rPr>
                <w:rFonts w:eastAsia="Times New Roman"/>
                <w:b/>
                <w:bCs/>
                <w:strike/>
                <w:color w:val="FF0000"/>
                <w:szCs w:val="24"/>
                <w:lang w:eastAsia="tr-TR"/>
              </w:rPr>
              <w:t>si iki</w:t>
            </w:r>
            <w:r w:rsidRPr="00A23740">
              <w:rPr>
                <w:rFonts w:eastAsia="Times New Roman"/>
                <w:bCs/>
                <w:szCs w:val="24"/>
                <w:lang w:eastAsia="tr-TR"/>
              </w:rPr>
              <w:t xml:space="preserve"> taraf</w:t>
            </w:r>
            <w:r w:rsidRPr="00A23740">
              <w:rPr>
                <w:rFonts w:eastAsia="Times New Roman"/>
                <w:b/>
                <w:bCs/>
                <w:strike/>
                <w:color w:val="FF0000"/>
                <w:szCs w:val="24"/>
                <w:lang w:eastAsia="tr-TR"/>
              </w:rPr>
              <w:t xml:space="preserve">ın ifadelerini ve bütün </w:t>
            </w:r>
            <w:r w:rsidRPr="00A23740">
              <w:rPr>
                <w:rFonts w:eastAsia="Times New Roman"/>
                <w:bCs/>
                <w:szCs w:val="24"/>
                <w:lang w:eastAsia="tr-TR"/>
              </w:rPr>
              <w:t>delilleri</w:t>
            </w:r>
            <w:r w:rsidRPr="00A23740">
              <w:rPr>
                <w:rFonts w:eastAsia="Times New Roman"/>
                <w:b/>
                <w:bCs/>
                <w:strike/>
                <w:color w:val="FF0000"/>
                <w:szCs w:val="24"/>
                <w:lang w:eastAsia="tr-TR"/>
              </w:rPr>
              <w:t>ni ve iddia ve müdafaalarını</w:t>
            </w:r>
            <w:r w:rsidRPr="00A23740">
              <w:rPr>
                <w:rFonts w:eastAsia="Times New Roman"/>
                <w:bCs/>
                <w:szCs w:val="24"/>
                <w:lang w:eastAsia="tr-TR"/>
              </w:rPr>
              <w:t xml:space="preserve"> </w:t>
            </w:r>
            <w:r w:rsidRPr="00A23740">
              <w:rPr>
                <w:rFonts w:eastAsia="Times New Roman"/>
                <w:b/>
                <w:strike/>
                <w:color w:val="FF0000"/>
                <w:szCs w:val="24"/>
                <w:lang w:eastAsia="x-none"/>
              </w:rPr>
              <w:t>dinledikten</w:t>
            </w:r>
            <w:r w:rsidRPr="00A23740">
              <w:rPr>
                <w:rFonts w:eastAsia="Times New Roman"/>
                <w:b/>
                <w:szCs w:val="24"/>
                <w:lang w:eastAsia="tr-TR"/>
              </w:rPr>
              <w:t xml:space="preserve"> </w:t>
            </w:r>
            <w:r w:rsidRPr="00A23740">
              <w:rPr>
                <w:rFonts w:eastAsia="Times New Roman"/>
                <w:szCs w:val="24"/>
                <w:lang w:eastAsia="tr-TR"/>
              </w:rPr>
              <w:t xml:space="preserve">sonra </w:t>
            </w:r>
            <w:r w:rsidRPr="00A23740">
              <w:rPr>
                <w:rFonts w:eastAsia="Times New Roman"/>
                <w:b/>
                <w:bCs/>
                <w:strike/>
                <w:color w:val="FF0000"/>
                <w:szCs w:val="24"/>
                <w:lang w:eastAsia="tr-TR"/>
              </w:rPr>
              <w:t>nihayet beş gün içinde</w:t>
            </w:r>
            <w:r w:rsidRPr="00A23740">
              <w:rPr>
                <w:rFonts w:eastAsia="Times New Roman"/>
                <w:szCs w:val="24"/>
                <w:lang w:eastAsia="tr-TR"/>
              </w:rPr>
              <w:t xml:space="preserve"> kararını verir </w:t>
            </w:r>
            <w:r w:rsidRPr="00A23740">
              <w:rPr>
                <w:rFonts w:eastAsia="Times New Roman"/>
                <w:b/>
                <w:strike/>
                <w:color w:val="FF0000"/>
                <w:szCs w:val="24"/>
                <w:lang w:eastAsia="x-none"/>
              </w:rPr>
              <w:t>ve</w:t>
            </w:r>
            <w:r w:rsidRPr="00A23740">
              <w:rPr>
                <w:rFonts w:eastAsia="Times New Roman"/>
                <w:szCs w:val="24"/>
                <w:lang w:eastAsia="tr-TR"/>
              </w:rPr>
              <w:t xml:space="preserve"> </w:t>
            </w:r>
            <w:r w:rsidRPr="00A23740">
              <w:rPr>
                <w:rFonts w:eastAsia="Times New Roman"/>
                <w:b/>
                <w:bCs/>
                <w:strike/>
                <w:color w:val="FF0000"/>
                <w:szCs w:val="24"/>
                <w:lang w:eastAsia="tr-TR"/>
              </w:rPr>
              <w:t xml:space="preserve">hulasasını </w:t>
            </w:r>
            <w:r w:rsidRPr="00A23740">
              <w:rPr>
                <w:rFonts w:eastAsia="Times New Roman"/>
                <w:szCs w:val="24"/>
                <w:lang w:eastAsia="tr-TR"/>
              </w:rPr>
              <w:t>Cumhuriyet Savcısına bildirir.</w:t>
            </w:r>
          </w:p>
          <w:p w:rsidR="00A043AD" w:rsidRPr="00A23740" w:rsidRDefault="00A043AD" w:rsidP="00AB59DC">
            <w:pPr>
              <w:widowControl w:val="0"/>
              <w:rPr>
                <w:rFonts w:eastAsia="Times New Roman"/>
                <w:szCs w:val="24"/>
                <w:lang w:eastAsia="tr-TR"/>
              </w:rPr>
            </w:pPr>
          </w:p>
        </w:tc>
        <w:tc>
          <w:tcPr>
            <w:tcW w:w="2500" w:type="pct"/>
          </w:tcPr>
          <w:p w:rsidR="00A043AD" w:rsidRPr="00A23740" w:rsidRDefault="00A043AD" w:rsidP="00AB59DC">
            <w:pPr>
              <w:widowControl w:val="0"/>
              <w:rPr>
                <w:rFonts w:eastAsia="Times New Roman"/>
                <w:b/>
                <w:szCs w:val="24"/>
                <w:lang w:eastAsia="tr-TR"/>
              </w:rPr>
            </w:pPr>
            <w:r w:rsidRPr="00A23740">
              <w:rPr>
                <w:rFonts w:eastAsia="Times New Roman"/>
                <w:b/>
                <w:szCs w:val="24"/>
                <w:lang w:eastAsia="tr-TR"/>
              </w:rPr>
              <w:t xml:space="preserve">Duruşma </w:t>
            </w:r>
            <w:r w:rsidRPr="00A23740">
              <w:rPr>
                <w:rFonts w:eastAsia="Times New Roman"/>
                <w:b/>
                <w:bCs/>
                <w:color w:val="0000FF"/>
                <w:szCs w:val="24"/>
                <w:lang w:eastAsia="x-none"/>
              </w:rPr>
              <w:t>ve karar</w:t>
            </w:r>
          </w:p>
          <w:p w:rsidR="00A043AD" w:rsidRPr="00A23740" w:rsidRDefault="00A043AD" w:rsidP="00AB59DC">
            <w:pPr>
              <w:widowControl w:val="0"/>
              <w:rPr>
                <w:rFonts w:eastAsia="Times New Roman"/>
                <w:szCs w:val="24"/>
                <w:lang w:eastAsia="tr-TR"/>
              </w:rPr>
            </w:pPr>
            <w:r w:rsidRPr="00A23740">
              <w:rPr>
                <w:rFonts w:eastAsia="Times New Roman"/>
                <w:b/>
                <w:color w:val="0000FF"/>
                <w:szCs w:val="24"/>
              </w:rPr>
              <w:t>MADDE 535- (1</w:t>
            </w:r>
            <w:r w:rsidRPr="00A23740">
              <w:rPr>
                <w:rFonts w:eastAsia="Times New Roman"/>
                <w:b/>
                <w:bCs/>
                <w:color w:val="0000FF"/>
                <w:szCs w:val="24"/>
                <w:lang w:eastAsia="x-none"/>
              </w:rPr>
              <w:t>)</w:t>
            </w:r>
            <w:r w:rsidRPr="00A23740">
              <w:rPr>
                <w:rFonts w:eastAsia="Times New Roman"/>
                <w:b/>
                <w:szCs w:val="24"/>
                <w:lang w:eastAsia="tr-TR"/>
              </w:rPr>
              <w:t xml:space="preserve"> </w:t>
            </w:r>
            <w:r w:rsidRPr="00A23740">
              <w:rPr>
                <w:rFonts w:eastAsia="Times New Roman"/>
                <w:szCs w:val="24"/>
                <w:lang w:eastAsia="tr-TR"/>
              </w:rPr>
              <w:t xml:space="preserve">Mahkeme </w:t>
            </w:r>
            <w:r w:rsidRPr="00A23740">
              <w:rPr>
                <w:rFonts w:eastAsia="Times New Roman"/>
                <w:b/>
                <w:bCs/>
                <w:color w:val="0000FF"/>
                <w:szCs w:val="24"/>
                <w:lang w:eastAsia="x-none"/>
              </w:rPr>
              <w:t>duruşmada tarafları</w:t>
            </w:r>
            <w:r w:rsidRPr="00A23740">
              <w:rPr>
                <w:rFonts w:eastAsia="Times New Roman"/>
                <w:szCs w:val="24"/>
                <w:lang w:eastAsia="tr-TR"/>
              </w:rPr>
              <w:t xml:space="preserve"> dinler</w:t>
            </w:r>
            <w:r w:rsidRPr="00A23740">
              <w:rPr>
                <w:rFonts w:eastAsia="Times New Roman"/>
                <w:b/>
                <w:color w:val="0000FF"/>
                <w:szCs w:val="24"/>
              </w:rPr>
              <w:t>,</w:t>
            </w:r>
            <w:r w:rsidRPr="00A23740">
              <w:rPr>
                <w:rFonts w:eastAsia="Times New Roman"/>
                <w:szCs w:val="24"/>
                <w:lang w:eastAsia="tr-TR"/>
              </w:rPr>
              <w:t xml:space="preserve"> </w:t>
            </w:r>
            <w:r w:rsidRPr="005D4042">
              <w:rPr>
                <w:rStyle w:val="YELChar"/>
                <w:color w:val="0000FF"/>
              </w:rPr>
              <w:t>delilleri</w:t>
            </w:r>
            <w:r w:rsidRPr="005D4042">
              <w:rPr>
                <w:rFonts w:eastAsia="Times New Roman"/>
                <w:color w:val="0000FF"/>
                <w:szCs w:val="24"/>
                <w:lang w:eastAsia="tr-TR"/>
              </w:rPr>
              <w:t xml:space="preserve"> </w:t>
            </w:r>
            <w:r w:rsidRPr="00A23740">
              <w:rPr>
                <w:rFonts w:eastAsia="Times New Roman"/>
                <w:b/>
                <w:bCs/>
                <w:color w:val="0000FF"/>
                <w:szCs w:val="24"/>
                <w:lang w:eastAsia="x-none"/>
              </w:rPr>
              <w:t xml:space="preserve">inceler, </w:t>
            </w:r>
            <w:r w:rsidRPr="00A23740">
              <w:rPr>
                <w:rFonts w:eastAsia="Times New Roman"/>
                <w:szCs w:val="24"/>
                <w:lang w:eastAsia="tr-TR"/>
              </w:rPr>
              <w:t xml:space="preserve">tarafların </w:t>
            </w:r>
            <w:r w:rsidRPr="00A23740">
              <w:rPr>
                <w:rFonts w:eastAsia="Times New Roman"/>
                <w:b/>
                <w:bCs/>
                <w:color w:val="0000FF"/>
                <w:szCs w:val="24"/>
                <w:lang w:eastAsia="x-none"/>
              </w:rPr>
              <w:t>ve tanıkların beyanlarını</w:t>
            </w:r>
            <w:r w:rsidRPr="00A23740">
              <w:rPr>
                <w:rFonts w:eastAsia="Times New Roman"/>
                <w:szCs w:val="24"/>
                <w:lang w:eastAsia="tr-TR"/>
              </w:rPr>
              <w:t xml:space="preserve"> tutanağa geçirir.</w:t>
            </w: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tabs>
                <w:tab w:val="left" w:pos="567"/>
              </w:tabs>
              <w:rPr>
                <w:rFonts w:eastAsia="Times New Roman"/>
                <w:szCs w:val="24"/>
                <w:lang w:eastAsia="tr-TR"/>
              </w:rPr>
            </w:pPr>
          </w:p>
          <w:p w:rsidR="00A043AD" w:rsidRPr="00A23740" w:rsidRDefault="00A043AD" w:rsidP="00AB59DC">
            <w:pPr>
              <w:widowControl w:val="0"/>
              <w:rPr>
                <w:rFonts w:eastAsia="Times New Roman"/>
                <w:szCs w:val="24"/>
                <w:lang w:eastAsia="tr-TR"/>
              </w:rPr>
            </w:pPr>
            <w:r w:rsidRPr="00A23740">
              <w:rPr>
                <w:rFonts w:eastAsia="Times New Roman"/>
                <w:b/>
                <w:bCs/>
                <w:color w:val="0000FF"/>
                <w:szCs w:val="24"/>
                <w:lang w:eastAsia="x-none"/>
              </w:rPr>
              <w:t>(2)</w:t>
            </w:r>
            <w:r w:rsidRPr="00A23740">
              <w:rPr>
                <w:rFonts w:eastAsia="Times New Roman"/>
                <w:szCs w:val="24"/>
                <w:lang w:eastAsia="tr-TR"/>
              </w:rPr>
              <w:t xml:space="preserve"> </w:t>
            </w:r>
            <w:r w:rsidRPr="00A23740">
              <w:rPr>
                <w:rFonts w:eastAsia="Times New Roman"/>
                <w:b/>
                <w:color w:val="0000FF"/>
                <w:szCs w:val="24"/>
              </w:rPr>
              <w:t>Sanık veya şikâyet edilen, savunması</w:t>
            </w:r>
            <w:r w:rsidRPr="00A23740">
              <w:rPr>
                <w:rFonts w:eastAsia="Times New Roman"/>
                <w:bCs/>
                <w:szCs w:val="24"/>
                <w:lang w:eastAsia="x-none"/>
              </w:rPr>
              <w:t xml:space="preserve"> için </w:t>
            </w:r>
            <w:r w:rsidRPr="00A23740">
              <w:rPr>
                <w:rFonts w:eastAsia="Times New Roman"/>
                <w:b/>
                <w:bCs/>
                <w:color w:val="0000FF"/>
                <w:szCs w:val="24"/>
              </w:rPr>
              <w:t>kovuşturmanın genişletilmesini</w:t>
            </w:r>
            <w:r w:rsidRPr="00A23740">
              <w:rPr>
                <w:rFonts w:eastAsia="Times New Roman"/>
                <w:bCs/>
                <w:szCs w:val="24"/>
                <w:lang w:eastAsia="x-none"/>
              </w:rPr>
              <w:t xml:space="preserve"> ancak bir kere ist</w:t>
            </w:r>
            <w:r w:rsidRPr="00A23740">
              <w:rPr>
                <w:b/>
                <w:bCs/>
                <w:color w:val="0000FF"/>
                <w:szCs w:val="24"/>
                <w:lang w:eastAsia="x-none"/>
              </w:rPr>
              <w:t>e</w:t>
            </w:r>
            <w:r w:rsidRPr="00A23740">
              <w:rPr>
                <w:rFonts w:eastAsia="Times New Roman"/>
                <w:bCs/>
                <w:szCs w:val="24"/>
                <w:lang w:eastAsia="x-none"/>
              </w:rPr>
              <w:t>yebilir.</w:t>
            </w:r>
          </w:p>
          <w:p w:rsidR="00A043AD" w:rsidRPr="00A23740" w:rsidRDefault="00A043AD" w:rsidP="00AB59DC">
            <w:pPr>
              <w:widowControl w:val="0"/>
              <w:rPr>
                <w:rFonts w:eastAsia="Times New Roman"/>
                <w:szCs w:val="24"/>
                <w:lang w:eastAsia="tr-TR"/>
              </w:rPr>
            </w:pPr>
          </w:p>
          <w:p w:rsidR="00A043AD" w:rsidRPr="00A23740" w:rsidRDefault="00A043AD" w:rsidP="00AB59DC">
            <w:pPr>
              <w:widowControl w:val="0"/>
              <w:rPr>
                <w:rFonts w:eastAsia="Times New Roman"/>
                <w:b/>
                <w:bCs/>
                <w:color w:val="0000FF"/>
                <w:szCs w:val="24"/>
                <w:lang w:eastAsia="x-none"/>
              </w:rPr>
            </w:pPr>
            <w:r w:rsidRPr="00A23740">
              <w:rPr>
                <w:rFonts w:eastAsia="Times New Roman"/>
                <w:b/>
                <w:bCs/>
                <w:color w:val="0000FF"/>
                <w:szCs w:val="24"/>
                <w:lang w:eastAsia="x-none"/>
              </w:rPr>
              <w:t>(3)</w:t>
            </w:r>
            <w:r w:rsidRPr="00A23740">
              <w:rPr>
                <w:rFonts w:eastAsia="Times New Roman"/>
                <w:bCs/>
                <w:szCs w:val="24"/>
                <w:lang w:eastAsia="tr-TR"/>
              </w:rPr>
              <w:t xml:space="preserve"> Mahkeme</w:t>
            </w:r>
            <w:r w:rsidRPr="00A23740">
              <w:rPr>
                <w:rFonts w:eastAsia="Times New Roman"/>
                <w:b/>
                <w:bCs/>
                <w:color w:val="0000FF"/>
                <w:szCs w:val="24"/>
                <w:lang w:eastAsia="x-none"/>
              </w:rPr>
              <w:t>,</w:t>
            </w:r>
            <w:r w:rsidRPr="00A23740">
              <w:rPr>
                <w:rFonts w:eastAsia="Times New Roman"/>
                <w:bCs/>
                <w:szCs w:val="24"/>
                <w:lang w:eastAsia="tr-TR"/>
              </w:rPr>
              <w:t xml:space="preserve"> taraf</w:t>
            </w:r>
            <w:r w:rsidRPr="00A23740">
              <w:rPr>
                <w:rFonts w:eastAsia="Times New Roman"/>
                <w:b/>
                <w:bCs/>
                <w:color w:val="0000FF"/>
                <w:szCs w:val="24"/>
                <w:lang w:eastAsia="x-none"/>
              </w:rPr>
              <w:t xml:space="preserve">ların iddia ve </w:t>
            </w:r>
            <w:r w:rsidRPr="005D4042">
              <w:rPr>
                <w:rStyle w:val="YELChar"/>
                <w:color w:val="0000FF"/>
              </w:rPr>
              <w:t>savunmalarını</w:t>
            </w:r>
            <w:r w:rsidRPr="005D4042">
              <w:rPr>
                <w:rFonts w:eastAsia="Times New Roman"/>
                <w:b/>
                <w:bCs/>
                <w:color w:val="0000FF"/>
                <w:szCs w:val="24"/>
                <w:lang w:eastAsia="x-none"/>
              </w:rPr>
              <w:t xml:space="preserve"> </w:t>
            </w:r>
            <w:r w:rsidRPr="00A23740">
              <w:rPr>
                <w:rFonts w:eastAsia="Times New Roman"/>
                <w:bCs/>
                <w:szCs w:val="24"/>
                <w:lang w:eastAsia="x-none"/>
              </w:rPr>
              <w:t xml:space="preserve">dinledikten </w:t>
            </w:r>
            <w:r w:rsidRPr="00A23740">
              <w:rPr>
                <w:rFonts w:eastAsia="Times New Roman"/>
                <w:b/>
                <w:bCs/>
                <w:color w:val="0000FF"/>
                <w:szCs w:val="24"/>
                <w:lang w:eastAsia="x-none"/>
              </w:rPr>
              <w:t xml:space="preserve">ve tüm </w:t>
            </w:r>
            <w:r w:rsidRPr="00A23740">
              <w:rPr>
                <w:rFonts w:eastAsia="Times New Roman"/>
                <w:bCs/>
                <w:szCs w:val="24"/>
                <w:lang w:eastAsia="tr-TR"/>
              </w:rPr>
              <w:t xml:space="preserve">delilleri </w:t>
            </w:r>
            <w:r w:rsidRPr="00A23740">
              <w:rPr>
                <w:rFonts w:eastAsia="Times New Roman"/>
                <w:b/>
                <w:bCs/>
                <w:color w:val="0000FF"/>
                <w:szCs w:val="24"/>
                <w:lang w:eastAsia="x-none"/>
              </w:rPr>
              <w:t>değerlendirdikten</w:t>
            </w:r>
            <w:r w:rsidRPr="00A23740">
              <w:rPr>
                <w:rFonts w:eastAsia="Times New Roman"/>
                <w:bCs/>
                <w:szCs w:val="24"/>
                <w:lang w:eastAsia="x-none"/>
              </w:rPr>
              <w:t xml:space="preserve"> sonra kararını verir</w:t>
            </w:r>
            <w:r w:rsidRPr="00A23740">
              <w:rPr>
                <w:rFonts w:eastAsia="Times New Roman"/>
                <w:b/>
                <w:bCs/>
                <w:color w:val="0000FF"/>
                <w:szCs w:val="24"/>
                <w:lang w:eastAsia="x-none"/>
              </w:rPr>
              <w:t>. Yargılamanın</w:t>
            </w:r>
            <w:r w:rsidR="001A590D" w:rsidRPr="00A23740">
              <w:rPr>
                <w:rFonts w:eastAsia="Times New Roman"/>
                <w:b/>
                <w:bCs/>
                <w:color w:val="0000FF"/>
                <w:szCs w:val="24"/>
                <w:lang w:eastAsia="x-none"/>
              </w:rPr>
              <w:t xml:space="preserve"> </w:t>
            </w:r>
            <w:r w:rsidR="001A590D" w:rsidRPr="005D4042">
              <w:rPr>
                <w:rFonts w:eastAsia="Times New Roman"/>
                <w:b/>
                <w:bCs/>
                <w:color w:val="0000FF"/>
                <w:szCs w:val="24"/>
                <w:lang w:eastAsia="x-none"/>
              </w:rPr>
              <w:t>konusunun</w:t>
            </w:r>
            <w:r w:rsidRPr="005D4042">
              <w:rPr>
                <w:rFonts w:eastAsia="Times New Roman"/>
                <w:b/>
                <w:bCs/>
                <w:color w:val="0000FF"/>
                <w:szCs w:val="24"/>
                <w:lang w:eastAsia="x-none"/>
              </w:rPr>
              <w:t xml:space="preserve"> </w:t>
            </w:r>
            <w:r w:rsidRPr="00A23740">
              <w:rPr>
                <w:rFonts w:eastAsia="Times New Roman"/>
                <w:b/>
                <w:bCs/>
                <w:color w:val="0000FF"/>
                <w:szCs w:val="24"/>
                <w:lang w:eastAsia="x-none"/>
              </w:rPr>
              <w:t>bu Kanunda tanımlanan suçlara ilişkin olması hâlinde, Ceza Muhakemesi Kanununun 223 üncü maddesinde belirtilen hükümlerden biri verilir. Yargılamanın</w:t>
            </w:r>
            <w:r w:rsidR="001A590D" w:rsidRPr="00A23740">
              <w:rPr>
                <w:rFonts w:eastAsia="Times New Roman"/>
                <w:b/>
                <w:bCs/>
                <w:color w:val="0000FF"/>
                <w:szCs w:val="24"/>
                <w:lang w:eastAsia="x-none"/>
              </w:rPr>
              <w:t xml:space="preserve"> </w:t>
            </w:r>
            <w:r w:rsidR="001A590D" w:rsidRPr="005D4042">
              <w:rPr>
                <w:rFonts w:eastAsia="Times New Roman"/>
                <w:b/>
                <w:bCs/>
                <w:color w:val="0000FF"/>
                <w:szCs w:val="24"/>
                <w:lang w:eastAsia="x-none"/>
              </w:rPr>
              <w:t>konusunun</w:t>
            </w:r>
            <w:r w:rsidRPr="005D4042">
              <w:rPr>
                <w:rFonts w:eastAsia="Times New Roman"/>
                <w:b/>
                <w:bCs/>
                <w:color w:val="0000FF"/>
                <w:szCs w:val="24"/>
                <w:lang w:eastAsia="x-none"/>
              </w:rPr>
              <w:t xml:space="preserve"> </w:t>
            </w:r>
            <w:r w:rsidRPr="00A23740">
              <w:rPr>
                <w:rFonts w:eastAsia="Times New Roman"/>
                <w:b/>
                <w:bCs/>
                <w:color w:val="0000FF"/>
                <w:szCs w:val="24"/>
                <w:lang w:eastAsia="x-none"/>
              </w:rPr>
              <w:t xml:space="preserve">disipline aykırı fiiller olması hâlinde; bu </w:t>
            </w:r>
            <w:r w:rsidRPr="005D4042">
              <w:rPr>
                <w:rFonts w:eastAsia="Times New Roman"/>
                <w:b/>
                <w:bCs/>
                <w:color w:val="0000FF"/>
                <w:szCs w:val="24"/>
                <w:lang w:eastAsia="x-none"/>
              </w:rPr>
              <w:t>fiil</w:t>
            </w:r>
            <w:r w:rsidR="001A590D" w:rsidRPr="005D4042">
              <w:rPr>
                <w:rFonts w:eastAsia="Times New Roman"/>
                <w:b/>
                <w:bCs/>
                <w:color w:val="0000FF"/>
                <w:szCs w:val="24"/>
                <w:lang w:eastAsia="x-none"/>
              </w:rPr>
              <w:t>ler</w:t>
            </w:r>
            <w:r w:rsidRPr="005D4042">
              <w:rPr>
                <w:rFonts w:eastAsia="Times New Roman"/>
                <w:b/>
                <w:bCs/>
                <w:color w:val="0000FF"/>
                <w:szCs w:val="24"/>
                <w:lang w:eastAsia="x-none"/>
              </w:rPr>
              <w:t xml:space="preserve">in </w:t>
            </w:r>
            <w:r w:rsidRPr="00A23740">
              <w:rPr>
                <w:rFonts w:eastAsia="Times New Roman"/>
                <w:b/>
                <w:bCs/>
                <w:color w:val="0000FF"/>
                <w:szCs w:val="24"/>
                <w:lang w:eastAsia="x-none"/>
              </w:rPr>
              <w:t xml:space="preserve">işlendiğinin sabit olması durumunda şikâyet edilenin disiplin veya tazyik hapsiyle cezalandırılmasına, </w:t>
            </w:r>
            <w:r w:rsidRPr="005D4042">
              <w:rPr>
                <w:rFonts w:eastAsia="Times New Roman"/>
                <w:b/>
                <w:bCs/>
                <w:color w:val="0000FF"/>
                <w:szCs w:val="24"/>
                <w:lang w:eastAsia="x-none"/>
              </w:rPr>
              <w:t>fiil</w:t>
            </w:r>
            <w:r w:rsidR="001A590D" w:rsidRPr="005D4042">
              <w:rPr>
                <w:rFonts w:eastAsia="Times New Roman"/>
                <w:b/>
                <w:bCs/>
                <w:color w:val="0000FF"/>
                <w:szCs w:val="24"/>
                <w:lang w:eastAsia="x-none"/>
              </w:rPr>
              <w:t>ler</w:t>
            </w:r>
            <w:r w:rsidRPr="005D4042">
              <w:rPr>
                <w:rFonts w:eastAsia="Times New Roman"/>
                <w:b/>
                <w:bCs/>
                <w:color w:val="0000FF"/>
                <w:szCs w:val="24"/>
                <w:lang w:eastAsia="x-none"/>
              </w:rPr>
              <w:t xml:space="preserve">in </w:t>
            </w:r>
            <w:r w:rsidRPr="00A23740">
              <w:rPr>
                <w:rFonts w:eastAsia="Times New Roman"/>
                <w:b/>
                <w:bCs/>
                <w:color w:val="0000FF"/>
                <w:szCs w:val="24"/>
                <w:lang w:eastAsia="x-none"/>
              </w:rPr>
              <w:t>işlendiğinin sabit olmaması veya işlenmediğinin sabit olması hâlinde şikâ</w:t>
            </w:r>
            <w:r w:rsidR="00F96839" w:rsidRPr="00A23740">
              <w:rPr>
                <w:rFonts w:eastAsia="Times New Roman"/>
                <w:b/>
                <w:bCs/>
                <w:color w:val="0000FF"/>
                <w:szCs w:val="24"/>
                <w:lang w:eastAsia="x-none"/>
              </w:rPr>
              <w:t>yetin reddine</w:t>
            </w:r>
            <w:r w:rsidR="00392609" w:rsidRPr="00A23740">
              <w:rPr>
                <w:rFonts w:eastAsia="Times New Roman"/>
                <w:b/>
                <w:bCs/>
                <w:color w:val="0000FF"/>
                <w:szCs w:val="24"/>
                <w:lang w:eastAsia="x-none"/>
              </w:rPr>
              <w:t xml:space="preserve"> </w:t>
            </w:r>
            <w:r w:rsidR="00392609" w:rsidRPr="005D4042">
              <w:rPr>
                <w:rFonts w:eastAsia="Times New Roman"/>
                <w:b/>
                <w:bCs/>
                <w:color w:val="0000FF"/>
                <w:szCs w:val="24"/>
                <w:lang w:eastAsia="x-none"/>
              </w:rPr>
              <w:t>karar verilir.</w:t>
            </w:r>
            <w:r w:rsidR="00F96839" w:rsidRPr="00A23740">
              <w:rPr>
                <w:rFonts w:eastAsia="Times New Roman"/>
                <w:b/>
                <w:bCs/>
                <w:color w:val="0000FF"/>
                <w:szCs w:val="24"/>
                <w:lang w:eastAsia="x-none"/>
              </w:rPr>
              <w:t xml:space="preserve"> </w:t>
            </w:r>
            <w:r w:rsidR="00392609" w:rsidRPr="00A23740">
              <w:rPr>
                <w:rFonts w:eastAsia="Times New Roman"/>
                <w:b/>
                <w:bCs/>
                <w:color w:val="0000FF"/>
                <w:szCs w:val="24"/>
                <w:lang w:eastAsia="x-none"/>
              </w:rPr>
              <w:t xml:space="preserve">Diğer </w:t>
            </w:r>
            <w:r w:rsidR="00F96839" w:rsidRPr="00A23740">
              <w:rPr>
                <w:rFonts w:eastAsia="Times New Roman"/>
                <w:b/>
                <w:bCs/>
                <w:color w:val="0000FF"/>
                <w:szCs w:val="24"/>
                <w:lang w:eastAsia="x-none"/>
              </w:rPr>
              <w:t>hâ</w:t>
            </w:r>
            <w:r w:rsidRPr="00A23740">
              <w:rPr>
                <w:rFonts w:eastAsia="Times New Roman"/>
                <w:b/>
                <w:bCs/>
                <w:color w:val="0000FF"/>
                <w:szCs w:val="24"/>
                <w:lang w:eastAsia="x-none"/>
              </w:rPr>
              <w:t>llerde ise Ceza Muhakemesi Kanununun 223 üncü maddesinde belirtilen ve durumun niteliğine uygun olan kararlardan biri verilir.</w:t>
            </w:r>
          </w:p>
          <w:p w:rsidR="00A043AD" w:rsidRPr="00A23740" w:rsidRDefault="00A043AD" w:rsidP="00AB59DC">
            <w:pPr>
              <w:widowControl w:val="0"/>
              <w:rPr>
                <w:rFonts w:eastAsia="Times New Roman"/>
                <w:b/>
                <w:bCs/>
                <w:color w:val="0000FF"/>
                <w:szCs w:val="24"/>
                <w:lang w:eastAsia="x-none"/>
              </w:rPr>
            </w:pPr>
          </w:p>
          <w:p w:rsidR="00A043AD" w:rsidRPr="00A23740" w:rsidRDefault="00A043AD" w:rsidP="00AB59DC">
            <w:pPr>
              <w:widowControl w:val="0"/>
              <w:rPr>
                <w:rFonts w:eastAsia="Times New Roman"/>
                <w:b/>
                <w:bCs/>
                <w:color w:val="0000FF"/>
                <w:szCs w:val="24"/>
                <w:lang w:eastAsia="x-none"/>
              </w:rPr>
            </w:pPr>
            <w:r w:rsidRPr="00A23740">
              <w:rPr>
                <w:rFonts w:eastAsia="Times New Roman"/>
                <w:b/>
                <w:bCs/>
                <w:color w:val="0000FF"/>
                <w:szCs w:val="24"/>
                <w:lang w:eastAsia="x-none"/>
              </w:rPr>
              <w:t xml:space="preserve">(4) </w:t>
            </w:r>
            <w:r w:rsidRPr="00A23740">
              <w:rPr>
                <w:rFonts w:eastAsia="Times New Roman"/>
                <w:szCs w:val="24"/>
                <w:lang w:eastAsia="tr-TR"/>
              </w:rPr>
              <w:t>Nafaka alacaklarına ilişkin takipler hariç, alacak miktarı Asgari Ücret Tespit Komisyonu tarafından her yıl belirlenen aylık en yüksek brüt asgari ücret tutarının altında kalan takiplerde</w:t>
            </w:r>
            <w:r w:rsidRPr="00A23740">
              <w:rPr>
                <w:rFonts w:eastAsia="Times New Roman"/>
                <w:b/>
                <w:bCs/>
                <w:color w:val="0000FF"/>
                <w:szCs w:val="24"/>
                <w:lang w:eastAsia="x-none"/>
              </w:rPr>
              <w:t>,</w:t>
            </w:r>
            <w:r w:rsidRPr="00A23740">
              <w:rPr>
                <w:rFonts w:eastAsia="Times New Roman"/>
                <w:szCs w:val="24"/>
                <w:lang w:eastAsia="tr-TR"/>
              </w:rPr>
              <w:t xml:space="preserve"> bu Kanunda öngörülen disiplin ve tazyik hapsi uygulanmaz.</w:t>
            </w:r>
            <w:r w:rsidRPr="00A23740">
              <w:rPr>
                <w:rFonts w:eastAsia="Times New Roman"/>
                <w:b/>
                <w:bCs/>
                <w:color w:val="0000FF"/>
                <w:szCs w:val="24"/>
                <w:lang w:eastAsia="x-none"/>
              </w:rPr>
              <w:t xml:space="preserve"> Bu durumda fiilin haksızlık içeriğinin azlığı nedeniyle disiplin veya tazyik hapsi cezası verilmesine yer </w:t>
            </w:r>
            <w:r w:rsidRPr="005D4042">
              <w:rPr>
                <w:rFonts w:eastAsia="Times New Roman"/>
                <w:b/>
                <w:bCs/>
                <w:color w:val="0000FF"/>
                <w:szCs w:val="24"/>
                <w:lang w:eastAsia="x-none"/>
              </w:rPr>
              <w:t>olmadığı</w:t>
            </w:r>
            <w:r w:rsidR="00392609" w:rsidRPr="005D4042">
              <w:rPr>
                <w:rFonts w:eastAsia="Times New Roman"/>
                <w:b/>
                <w:bCs/>
                <w:color w:val="0000FF"/>
                <w:szCs w:val="24"/>
                <w:lang w:eastAsia="x-none"/>
              </w:rPr>
              <w:t>na</w:t>
            </w:r>
            <w:r w:rsidRPr="00A23740">
              <w:rPr>
                <w:rFonts w:eastAsia="Times New Roman"/>
                <w:b/>
                <w:bCs/>
                <w:color w:val="0000FF"/>
                <w:szCs w:val="24"/>
                <w:lang w:eastAsia="x-none"/>
              </w:rPr>
              <w:t xml:space="preserve"> karar verilir.</w:t>
            </w:r>
          </w:p>
          <w:p w:rsidR="00A043AD" w:rsidRPr="00A23740" w:rsidRDefault="00A043AD" w:rsidP="00AB59DC">
            <w:pPr>
              <w:widowControl w:val="0"/>
              <w:tabs>
                <w:tab w:val="left" w:pos="567"/>
              </w:tabs>
              <w:rPr>
                <w:rFonts w:eastAsia="Times New Roman"/>
                <w:b/>
                <w:color w:val="FF0066"/>
                <w:szCs w:val="24"/>
              </w:rPr>
            </w:pPr>
          </w:p>
          <w:p w:rsidR="00A043AD" w:rsidRPr="00A23740" w:rsidRDefault="00A043AD" w:rsidP="00AB59DC">
            <w:pPr>
              <w:widowControl w:val="0"/>
              <w:tabs>
                <w:tab w:val="left" w:pos="567"/>
              </w:tabs>
              <w:rPr>
                <w:rFonts w:eastAsia="Times New Roman"/>
                <w:b/>
                <w:color w:val="FF0066"/>
                <w:szCs w:val="24"/>
              </w:rPr>
            </w:pPr>
          </w:p>
          <w:p w:rsidR="00A043AD" w:rsidRPr="00A23740" w:rsidRDefault="00A043AD" w:rsidP="00AB59DC">
            <w:pPr>
              <w:widowControl w:val="0"/>
              <w:tabs>
                <w:tab w:val="left" w:pos="567"/>
              </w:tabs>
              <w:rPr>
                <w:rFonts w:eastAsia="Times New Roman"/>
                <w:szCs w:val="24"/>
                <w:lang w:eastAsia="tr-TR"/>
              </w:rPr>
            </w:pPr>
            <w:r w:rsidRPr="00A23740">
              <w:rPr>
                <w:rFonts w:eastAsia="Times New Roman"/>
                <w:b/>
                <w:bCs/>
                <w:color w:val="0000FF"/>
                <w:szCs w:val="24"/>
                <w:lang w:eastAsia="x-none"/>
              </w:rPr>
              <w:t>(5) Sanık veya şikâyet edilen hakkında verilen mahkûmiyet kararlarında,</w:t>
            </w:r>
            <w:r w:rsidRPr="00A23740">
              <w:rPr>
                <w:b/>
                <w:color w:val="00CC00"/>
                <w:szCs w:val="24"/>
              </w:rPr>
              <w:t xml:space="preserve"> </w:t>
            </w:r>
            <w:r w:rsidRPr="00A23740">
              <w:rPr>
                <w:rFonts w:eastAsia="Times New Roman"/>
                <w:szCs w:val="24"/>
                <w:lang w:eastAsia="tr-TR"/>
              </w:rPr>
              <w:t>dava ve cezanın</w:t>
            </w:r>
            <w:r w:rsidR="007F084A" w:rsidRPr="00A23740">
              <w:rPr>
                <w:rFonts w:eastAsia="Times New Roman"/>
                <w:szCs w:val="24"/>
                <w:lang w:eastAsia="tr-TR"/>
              </w:rPr>
              <w:t xml:space="preserve"> </w:t>
            </w:r>
            <w:r w:rsidR="007F084A" w:rsidRPr="005D4042">
              <w:rPr>
                <w:rStyle w:val="KonuBalChar"/>
                <w:rFonts w:eastAsia="Calibri"/>
                <w:color w:val="0000FF"/>
              </w:rPr>
              <w:t>538 inci</w:t>
            </w:r>
            <w:r w:rsidRPr="00A23740">
              <w:rPr>
                <w:rFonts w:eastAsia="Times New Roman"/>
                <w:szCs w:val="24"/>
                <w:lang w:eastAsia="tr-TR"/>
              </w:rPr>
              <w:t xml:space="preserve"> maddede yazılı sebeplerle düşeceği belirtilir.</w:t>
            </w:r>
          </w:p>
          <w:p w:rsidR="00A043AD" w:rsidRPr="00A23740" w:rsidRDefault="00A043AD" w:rsidP="00AB59DC">
            <w:pPr>
              <w:widowControl w:val="0"/>
              <w:jc w:val="left"/>
              <w:rPr>
                <w:rFonts w:eastAsia="Times New Roman"/>
                <w:szCs w:val="24"/>
                <w:lang w:eastAsia="tr-TR"/>
              </w:rPr>
            </w:pPr>
          </w:p>
          <w:p w:rsidR="00A043AD" w:rsidRPr="00A23740" w:rsidRDefault="00A043AD" w:rsidP="00AB59DC">
            <w:pPr>
              <w:widowControl w:val="0"/>
              <w:jc w:val="left"/>
              <w:rPr>
                <w:rFonts w:eastAsia="Times New Roman"/>
                <w:szCs w:val="24"/>
                <w:lang w:eastAsia="tr-TR"/>
              </w:rPr>
            </w:pPr>
          </w:p>
          <w:p w:rsidR="00A043AD" w:rsidRPr="00A23740" w:rsidRDefault="00A043AD" w:rsidP="00AB59DC">
            <w:pPr>
              <w:widowControl w:val="0"/>
              <w:tabs>
                <w:tab w:val="left" w:pos="567"/>
              </w:tabs>
              <w:rPr>
                <w:b/>
                <w:bCs/>
                <w:color w:val="0000FF"/>
                <w:szCs w:val="24"/>
                <w:lang w:eastAsia="x-none"/>
              </w:rPr>
            </w:pPr>
            <w:r w:rsidRPr="00A23740">
              <w:rPr>
                <w:b/>
                <w:bCs/>
                <w:color w:val="0000FF"/>
                <w:szCs w:val="24"/>
                <w:lang w:eastAsia="x-none"/>
              </w:rPr>
              <w:t>(6)</w:t>
            </w:r>
            <w:r w:rsidRPr="00A23740">
              <w:rPr>
                <w:rFonts w:eastAsia="Times New Roman"/>
                <w:szCs w:val="24"/>
                <w:lang w:eastAsia="tr-TR"/>
              </w:rPr>
              <w:t xml:space="preserve"> Cumhuriyet savcısı</w:t>
            </w:r>
            <w:r w:rsidRPr="00A23740">
              <w:rPr>
                <w:b/>
                <w:bCs/>
                <w:color w:val="0000FF"/>
                <w:szCs w:val="24"/>
                <w:lang w:eastAsia="x-none"/>
              </w:rPr>
              <w:t xml:space="preserve"> </w:t>
            </w:r>
            <w:r w:rsidRPr="00A23740">
              <w:rPr>
                <w:b/>
                <w:color w:val="0000FF"/>
                <w:szCs w:val="24"/>
                <w:lang w:eastAsia="x-none"/>
              </w:rPr>
              <w:t>duruşmada</w:t>
            </w:r>
            <w:r w:rsidRPr="00A23740">
              <w:rPr>
                <w:b/>
                <w:bCs/>
                <w:color w:val="0000FF"/>
                <w:szCs w:val="24"/>
                <w:lang w:eastAsia="x-none"/>
              </w:rPr>
              <w:t xml:space="preserve"> </w:t>
            </w:r>
            <w:r w:rsidRPr="00A23740">
              <w:rPr>
                <w:rFonts w:eastAsia="Times New Roman"/>
                <w:szCs w:val="24"/>
                <w:lang w:eastAsia="tr-TR"/>
              </w:rPr>
              <w:t>hazır bulundurulmaz.</w:t>
            </w:r>
            <w:r w:rsidRPr="00A23740">
              <w:rPr>
                <w:b/>
                <w:bCs/>
                <w:color w:val="0000FF"/>
                <w:szCs w:val="24"/>
                <w:lang w:eastAsia="x-none"/>
              </w:rPr>
              <w:t xml:space="preserve"> Ancak üçüncü fıkra gereğince verilen kararlar Cumhuriyet savcısına bildirilir.</w:t>
            </w: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Arial Unicode MS"/>
                <w:b/>
                <w:iCs/>
                <w:szCs w:val="24"/>
                <w:lang w:eastAsia="tr-TR"/>
              </w:rPr>
            </w:pP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b/>
                <w:iCs/>
                <w:szCs w:val="24"/>
                <w:lang w:eastAsia="tr-TR"/>
              </w:rPr>
              <w:t>MADDE 535-</w:t>
            </w:r>
            <w:r w:rsidRPr="00A23740">
              <w:rPr>
                <w:rFonts w:eastAsia="Arial Unicode MS"/>
                <w:iCs/>
                <w:szCs w:val="24"/>
                <w:lang w:eastAsia="tr-TR"/>
              </w:rPr>
              <w:t xml:space="preserve"> </w:t>
            </w:r>
            <w:r w:rsidRPr="005D4042">
              <w:rPr>
                <w:rFonts w:eastAsia="Arial Unicode MS"/>
                <w:iCs/>
                <w:szCs w:val="24"/>
                <w:lang w:eastAsia="tr-TR"/>
              </w:rPr>
              <w:t xml:space="preserve">Maddeyle, duruşma usulü </w:t>
            </w:r>
            <w:r w:rsidR="00511437" w:rsidRPr="005D4042">
              <w:rPr>
                <w:rFonts w:eastAsia="Arial Unicode MS"/>
                <w:iCs/>
                <w:szCs w:val="24"/>
                <w:lang w:eastAsia="tr-TR"/>
              </w:rPr>
              <w:t xml:space="preserve">ve </w:t>
            </w:r>
            <w:r w:rsidRPr="005D4042">
              <w:rPr>
                <w:rFonts w:eastAsia="Arial Unicode MS"/>
                <w:iCs/>
                <w:szCs w:val="24"/>
                <w:lang w:eastAsia="tr-TR"/>
              </w:rPr>
              <w:t xml:space="preserve">verilecek karara ilişkin hususlar düzenlenmektedir. Hüküm, 2004 sayılı Kanunun duruşmaya ilişkin 350 nci, tahkikata ilişkin 351 inci, karara ilişkin 352 nci ve davanın veya cezanın </w:t>
            </w:r>
            <w:r w:rsidR="00F96839" w:rsidRPr="005D4042">
              <w:rPr>
                <w:rFonts w:eastAsia="Arial Unicode MS"/>
                <w:iCs/>
                <w:szCs w:val="24"/>
                <w:lang w:eastAsia="tr-TR"/>
              </w:rPr>
              <w:t>düşmesiyle ceza verilemeyecek hâ</w:t>
            </w:r>
            <w:r w:rsidRPr="005D4042">
              <w:rPr>
                <w:rFonts w:eastAsia="Arial Unicode MS"/>
                <w:iCs/>
                <w:szCs w:val="24"/>
                <w:lang w:eastAsia="tr-TR"/>
              </w:rPr>
              <w:t>llere ilişkin 354</w:t>
            </w:r>
            <w:r w:rsidR="007F084A" w:rsidRPr="005D4042">
              <w:rPr>
                <w:rFonts w:eastAsia="Arial Unicode MS"/>
                <w:iCs/>
                <w:szCs w:val="24"/>
                <w:lang w:eastAsia="tr-TR"/>
              </w:rPr>
              <w:t xml:space="preserve"> üncü </w:t>
            </w:r>
            <w:r w:rsidRPr="005D4042">
              <w:rPr>
                <w:rFonts w:eastAsia="Arial Unicode MS"/>
                <w:iCs/>
                <w:szCs w:val="24"/>
                <w:lang w:eastAsia="tr-TR"/>
              </w:rPr>
              <w:t>maddelerine</w:t>
            </w:r>
            <w:r w:rsidRPr="00A23740">
              <w:rPr>
                <w:rFonts w:eastAsia="Times New Roman"/>
                <w:szCs w:val="24"/>
                <w:lang w:eastAsia="tr-TR"/>
              </w:rPr>
              <w:t xml:space="preserve"> karşılık gelmektedir.</w:t>
            </w:r>
          </w:p>
          <w:p w:rsidR="00A043AD" w:rsidRPr="00A23740" w:rsidRDefault="00A043AD" w:rsidP="00750F08">
            <w:pPr>
              <w:tabs>
                <w:tab w:val="left" w:pos="567"/>
              </w:tabs>
              <w:ind w:firstLine="709"/>
              <w:rPr>
                <w:rFonts w:eastAsia="Times New Roman"/>
                <w:szCs w:val="24"/>
                <w:lang w:eastAsia="tr-TR"/>
              </w:rPr>
            </w:pPr>
            <w:r w:rsidRPr="00A23740">
              <w:rPr>
                <w:rFonts w:eastAsia="Arial Unicode MS"/>
                <w:iCs/>
                <w:szCs w:val="24"/>
                <w:lang w:eastAsia="tr-TR"/>
              </w:rPr>
              <w:t xml:space="preserve">Birinci fıkrayla, mahkemenin duruşmada yapacağı işlemler düzenlenmektedir. Buna göre </w:t>
            </w:r>
            <w:r w:rsidRPr="00A23740">
              <w:rPr>
                <w:rFonts w:eastAsia="Times New Roman"/>
                <w:szCs w:val="24"/>
                <w:lang w:eastAsia="tr-TR"/>
              </w:rPr>
              <w:t xml:space="preserve">mahkeme, duruşmada tarafları dinler, delillerini inceler, tarafların ve tanıkların beyanlarını tutanağa geçirir. </w:t>
            </w:r>
            <w:r w:rsidRPr="00A23740">
              <w:rPr>
                <w:rFonts w:eastAsia="Arial Unicode MS"/>
                <w:iCs/>
                <w:szCs w:val="24"/>
                <w:lang w:eastAsia="tr-TR"/>
              </w:rPr>
              <w:t>2004 sayılı Kanunun 350 inci maddesinin birinci fıkrasında yer alan esaslar hüküm</w:t>
            </w:r>
            <w:r w:rsidR="007F084A" w:rsidRPr="00A23740">
              <w:rPr>
                <w:rFonts w:eastAsia="Arial Unicode MS"/>
                <w:iCs/>
                <w:szCs w:val="24"/>
                <w:lang w:eastAsia="tr-TR"/>
              </w:rPr>
              <w:t>de aynen muhafaza edilmektedir.</w:t>
            </w:r>
          </w:p>
          <w:p w:rsidR="00A043AD" w:rsidRPr="00A23740" w:rsidRDefault="00A043AD" w:rsidP="00750F08">
            <w:pPr>
              <w:tabs>
                <w:tab w:val="left" w:pos="567"/>
              </w:tabs>
              <w:ind w:firstLine="709"/>
              <w:rPr>
                <w:rFonts w:eastAsia="Times New Roman"/>
                <w:bCs/>
                <w:szCs w:val="24"/>
                <w:lang w:eastAsia="x-none"/>
              </w:rPr>
            </w:pPr>
            <w:r w:rsidRPr="00A23740">
              <w:rPr>
                <w:rFonts w:eastAsia="Times New Roman"/>
                <w:szCs w:val="24"/>
                <w:lang w:eastAsia="tr-TR"/>
              </w:rPr>
              <w:t xml:space="preserve">İkinci fıkrayla, </w:t>
            </w:r>
            <w:r w:rsidRPr="00A23740">
              <w:rPr>
                <w:rFonts w:eastAsia="Times New Roman"/>
                <w:bCs/>
                <w:szCs w:val="24"/>
                <w:lang w:eastAsia="x-none"/>
              </w:rPr>
              <w:t xml:space="preserve">sanık veya şikâyet edilenin, savunması için kovuşturmanın genişletilmesini ancak bir kere isteyebileceği düzenlenmektedir. </w:t>
            </w:r>
            <w:r w:rsidRPr="00A23740">
              <w:rPr>
                <w:rFonts w:eastAsia="Arial Unicode MS"/>
                <w:iCs/>
                <w:szCs w:val="24"/>
                <w:lang w:eastAsia="tr-TR"/>
              </w:rPr>
              <w:t>2004 sayılı Kanunun 351 inci maddesinin ikinci fıkrasında yer alan esaslar hükümde aynen muhafaza edilmektedir.</w:t>
            </w:r>
          </w:p>
          <w:p w:rsidR="00A043AD" w:rsidRPr="00A23740" w:rsidRDefault="00A043AD" w:rsidP="00750F08">
            <w:pPr>
              <w:tabs>
                <w:tab w:val="left" w:pos="567"/>
              </w:tabs>
              <w:ind w:firstLine="709"/>
              <w:rPr>
                <w:rFonts w:eastAsia="Times New Roman"/>
                <w:bCs/>
                <w:szCs w:val="24"/>
                <w:lang w:eastAsia="x-none"/>
              </w:rPr>
            </w:pPr>
            <w:r w:rsidRPr="00A23740">
              <w:rPr>
                <w:rFonts w:eastAsia="Arial Unicode MS"/>
                <w:iCs/>
                <w:szCs w:val="24"/>
                <w:lang w:eastAsia="tr-TR"/>
              </w:rPr>
              <w:t>Üçüncü fıkrayla, mahkemece verilecek karara ilişkin hususlar belirlenmektedir</w:t>
            </w:r>
            <w:r w:rsidRPr="00A23740">
              <w:rPr>
                <w:rFonts w:eastAsia="Times New Roman"/>
                <w:bCs/>
                <w:szCs w:val="24"/>
                <w:lang w:eastAsia="x-none"/>
              </w:rPr>
              <w:t>. Buna göre mahkeme, tarafların iddia ve savunmasını dinledikten ve tüm delilleri değerlendirdikten sonra kararını verir. Yargılamanın bu Kanunda tanımlanan suçlara ilişkin olması hâlinde, 5271 sayılı Ceza Muhakemesi Kanununun 223 üncü maddesinde belirtilen hükümlerden birinin verilmesi gerekir. Yargılamanın disipline a</w:t>
            </w:r>
            <w:r w:rsidR="00F96839" w:rsidRPr="00A23740">
              <w:rPr>
                <w:rFonts w:eastAsia="Times New Roman"/>
                <w:bCs/>
                <w:szCs w:val="24"/>
                <w:lang w:eastAsia="x-none"/>
              </w:rPr>
              <w:t>ykırı fiillere ilişkin olması hâ</w:t>
            </w:r>
            <w:r w:rsidRPr="00A23740">
              <w:rPr>
                <w:rFonts w:eastAsia="Times New Roman"/>
                <w:bCs/>
                <w:szCs w:val="24"/>
                <w:lang w:eastAsia="x-none"/>
              </w:rPr>
              <w:t>linde ise</w:t>
            </w:r>
            <w:r w:rsidR="00511437" w:rsidRPr="00A23740">
              <w:rPr>
                <w:rFonts w:eastAsia="Times New Roman"/>
                <w:bCs/>
                <w:szCs w:val="24"/>
                <w:lang w:eastAsia="x-none"/>
              </w:rPr>
              <w:t>,</w:t>
            </w:r>
            <w:r w:rsidRPr="00A23740">
              <w:rPr>
                <w:rFonts w:eastAsia="Times New Roman"/>
                <w:bCs/>
                <w:szCs w:val="24"/>
                <w:lang w:eastAsia="x-none"/>
              </w:rPr>
              <w:t xml:space="preserve"> bu fiilin işlendiğinin sabit olması durumunda şik</w:t>
            </w:r>
            <w:r w:rsidR="008D1615" w:rsidRPr="00A23740">
              <w:rPr>
                <w:rFonts w:eastAsia="Times New Roman"/>
                <w:bCs/>
                <w:szCs w:val="24"/>
                <w:lang w:eastAsia="x-none"/>
              </w:rPr>
              <w:t>â</w:t>
            </w:r>
            <w:r w:rsidRPr="00A23740">
              <w:rPr>
                <w:rFonts w:eastAsia="Times New Roman"/>
                <w:bCs/>
                <w:szCs w:val="24"/>
                <w:lang w:eastAsia="x-none"/>
              </w:rPr>
              <w:t>yet edilenin disiplin veya tazyik hapsiyle cezalandırılmasına, fiilin işlendiğinin sabit olmaması veya işlenmediğinin sabit olması hâlinde şikâ</w:t>
            </w:r>
            <w:r w:rsidR="00F96839" w:rsidRPr="00A23740">
              <w:rPr>
                <w:rFonts w:eastAsia="Times New Roman"/>
                <w:bCs/>
                <w:szCs w:val="24"/>
                <w:lang w:eastAsia="x-none"/>
              </w:rPr>
              <w:t>yetin reddine, diğer hâ</w:t>
            </w:r>
            <w:r w:rsidRPr="00A23740">
              <w:rPr>
                <w:rFonts w:eastAsia="Times New Roman"/>
                <w:bCs/>
                <w:szCs w:val="24"/>
                <w:lang w:eastAsia="x-none"/>
              </w:rPr>
              <w:t xml:space="preserve">llerde </w:t>
            </w:r>
            <w:r w:rsidRPr="00A23740">
              <w:rPr>
                <w:rFonts w:eastAsia="Times New Roman"/>
                <w:bCs/>
                <w:lang w:eastAsia="x-none"/>
              </w:rPr>
              <w:t>ise</w:t>
            </w:r>
            <w:r w:rsidRPr="00A23740">
              <w:rPr>
                <w:rFonts w:eastAsia="Times New Roman"/>
                <w:bCs/>
                <w:szCs w:val="24"/>
                <w:lang w:eastAsia="x-none"/>
              </w:rPr>
              <w:t xml:space="preserve"> 5271 sayılı Ceza Muhakemesi Kanununun 223 üncü maddesinde belirtilen ve durumun </w:t>
            </w:r>
            <w:r w:rsidRPr="00A23740">
              <w:rPr>
                <w:rFonts w:eastAsia="Times New Roman"/>
                <w:bCs/>
                <w:lang w:eastAsia="x-none"/>
              </w:rPr>
              <w:t>niteliğine</w:t>
            </w:r>
            <w:r w:rsidRPr="00A23740">
              <w:rPr>
                <w:rFonts w:eastAsia="Times New Roman"/>
                <w:bCs/>
                <w:szCs w:val="24"/>
                <w:lang w:eastAsia="x-none"/>
              </w:rPr>
              <w:t xml:space="preserve"> uygun olan kararlardan birine hükmedilmesi gerekmektedir. Hüküm, 2004 sayılı Kanunun 352 nci maddesinin birinci fıkrasına kısmen karşılık gelmektedir.</w:t>
            </w:r>
          </w:p>
          <w:p w:rsidR="00A043AD" w:rsidRPr="00A23740" w:rsidRDefault="00A043AD" w:rsidP="00750F08">
            <w:pPr>
              <w:tabs>
                <w:tab w:val="left" w:pos="567"/>
              </w:tabs>
              <w:ind w:firstLine="709"/>
              <w:rPr>
                <w:rFonts w:eastAsia="Times New Roman"/>
                <w:b/>
                <w:bCs/>
                <w:color w:val="0000FF"/>
                <w:szCs w:val="24"/>
                <w:lang w:eastAsia="x-none"/>
              </w:rPr>
            </w:pPr>
            <w:r w:rsidRPr="00A23740">
              <w:rPr>
                <w:rFonts w:eastAsia="Times New Roman"/>
                <w:bCs/>
                <w:szCs w:val="24"/>
                <w:lang w:eastAsia="x-none"/>
              </w:rPr>
              <w:t>Dördüncü fıkrayla, disiplin ve ta</w:t>
            </w:r>
            <w:r w:rsidR="00F96839" w:rsidRPr="00A23740">
              <w:rPr>
                <w:rFonts w:eastAsia="Times New Roman"/>
                <w:bCs/>
                <w:szCs w:val="24"/>
                <w:lang w:eastAsia="x-none"/>
              </w:rPr>
              <w:t>zyik hapsinin uygulanmayacağı hâ</w:t>
            </w:r>
            <w:r w:rsidRPr="00A23740">
              <w:rPr>
                <w:rFonts w:eastAsia="Times New Roman"/>
                <w:bCs/>
                <w:szCs w:val="24"/>
                <w:lang w:eastAsia="x-none"/>
              </w:rPr>
              <w:t>ller düzenlenmektedir.</w:t>
            </w:r>
            <w:r w:rsidRPr="00A23740">
              <w:t xml:space="preserve"> Buna göre, </w:t>
            </w:r>
            <w:r w:rsidRPr="00A23740">
              <w:rPr>
                <w:rFonts w:eastAsia="Times New Roman"/>
                <w:bCs/>
                <w:szCs w:val="24"/>
                <w:lang w:eastAsia="x-none"/>
              </w:rPr>
              <w:t xml:space="preserve">alacak miktarı Asgari Ücret Tespit Komisyonu tarafından her yıl belirlenen aylık en yüksek brüt asgari ücret tutarının altında kalan takiplerde, bu Kanunda öngörülen disiplin ve tazyik hapsi uygulanamaz. Bu durumda fiilin haksızlık içeriğinin azlığı nedeniyle disiplin veya tazyik hapsi cezası verilmesine yer olmadığına dair karar verilir. Ancak nafaka alacaklarına ilişkin takipler bu hükmün kapsamı dışında tutulmaktadır. </w:t>
            </w:r>
            <w:r w:rsidRPr="00A23740">
              <w:rPr>
                <w:rFonts w:eastAsia="Arial Unicode MS"/>
                <w:iCs/>
                <w:szCs w:val="24"/>
                <w:lang w:eastAsia="tr-TR"/>
              </w:rPr>
              <w:t>2004 sayılı Kanunun 354 üncü maddesinin dördüncü fıkrasında yer alan esaslar hükümde aynen muhafaza edilmektedir.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Beşinci fıkrayla, </w:t>
            </w:r>
            <w:r w:rsidRPr="00A23740">
              <w:rPr>
                <w:rFonts w:eastAsia="Times New Roman"/>
                <w:lang w:eastAsia="tr-TR"/>
              </w:rPr>
              <w:t xml:space="preserve">sanık veya şikâyet edilen hakkında verilen mahkûmiyet kararlarında, </w:t>
            </w:r>
            <w:r w:rsidRPr="00A23740">
              <w:rPr>
                <w:rFonts w:eastAsia="Times New Roman"/>
                <w:szCs w:val="24"/>
                <w:lang w:eastAsia="tr-TR"/>
              </w:rPr>
              <w:t xml:space="preserve">dava ve cezanın Taslağın </w:t>
            </w:r>
            <w:r w:rsidR="007F084A" w:rsidRPr="005D4042">
              <w:rPr>
                <w:rFonts w:eastAsia="Arial Unicode MS"/>
                <w:iCs/>
                <w:szCs w:val="24"/>
                <w:lang w:eastAsia="tr-TR"/>
              </w:rPr>
              <w:t>538</w:t>
            </w:r>
            <w:r w:rsidR="007F084A" w:rsidRPr="005D4042">
              <w:rPr>
                <w:rFonts w:eastAsia="Arial Unicode MS"/>
                <w:b/>
                <w:bCs/>
                <w:iCs/>
                <w:szCs w:val="24"/>
                <w:lang w:eastAsia="tr-TR"/>
              </w:rPr>
              <w:t xml:space="preserve"> </w:t>
            </w:r>
            <w:r w:rsidR="007F084A" w:rsidRPr="005D4042">
              <w:rPr>
                <w:rFonts w:eastAsia="Arial Unicode MS"/>
                <w:iCs/>
                <w:szCs w:val="24"/>
                <w:lang w:eastAsia="tr-TR"/>
              </w:rPr>
              <w:t>inci</w:t>
            </w:r>
            <w:r w:rsidR="007F084A" w:rsidRPr="00A23740">
              <w:rPr>
                <w:rFonts w:eastAsia="Times New Roman"/>
                <w:szCs w:val="24"/>
                <w:lang w:eastAsia="tr-TR"/>
              </w:rPr>
              <w:t xml:space="preserve"> </w:t>
            </w:r>
            <w:r w:rsidRPr="00A23740">
              <w:rPr>
                <w:rFonts w:eastAsia="Times New Roman"/>
                <w:szCs w:val="24"/>
                <w:lang w:eastAsia="tr-TR"/>
              </w:rPr>
              <w:t>maddesinde yazılı sebeplerle düşeceğinin belirtileceği hükme bağlanmaktadır. 2</w:t>
            </w:r>
            <w:r w:rsidRPr="00A23740">
              <w:rPr>
                <w:rFonts w:eastAsia="Arial Unicode MS"/>
                <w:iCs/>
                <w:szCs w:val="24"/>
                <w:lang w:eastAsia="tr-TR"/>
              </w:rPr>
              <w:t>004 sayılı Kanunun 352 nci maddesinin ikinci fıkrasında yer alan esaslar hükümde aynen muhafaza edilmektedir.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Altıncı fıkrayla, icra ceza mahkemelerinde yapılan duruşmalarda Cumhuriyet savcısının hazır bulundurulmayacağı, ancak üçüncü fıkra gereğince verilen kararların Cumhuriyet savcısına bildirileceği düzenlenmektedir.</w:t>
            </w:r>
            <w:r w:rsidRPr="00A23740">
              <w:rPr>
                <w:rFonts w:eastAsia="Times New Roman"/>
                <w:bCs/>
                <w:szCs w:val="24"/>
                <w:lang w:eastAsia="x-none"/>
              </w:rPr>
              <w:t xml:space="preserve"> Hüküm, 2004 sayılı Kanunun 350 nci maddesinin ikinci fıkrası ile 352 nci maddesinin birinci fıkrasına karşılık gelmektedir.</w:t>
            </w:r>
          </w:p>
          <w:p w:rsidR="00A043AD" w:rsidRPr="00A23740" w:rsidRDefault="00A043AD" w:rsidP="00955D60">
            <w:pPr>
              <w:rPr>
                <w:b/>
                <w:color w:val="FF0000"/>
                <w:szCs w:val="24"/>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 xml:space="preserve">Ceza kararnamesi: </w:t>
            </w:r>
          </w:p>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Madde 352/a- (Ek: 17/7/2003-4949/100 md.; Mülga: 31/5/2005-5358/23 md.)</w:t>
            </w:r>
          </w:p>
          <w:p w:rsidR="00A043AD" w:rsidRPr="00A23740" w:rsidRDefault="00A043AD" w:rsidP="00750F08">
            <w:pPr>
              <w:rPr>
                <w:rFonts w:eastAsia="Times New Roman"/>
                <w:b/>
                <w:strike/>
                <w:color w:val="FF0000"/>
                <w:szCs w:val="24"/>
                <w:lang w:eastAsia="tr-TR"/>
              </w:rPr>
            </w:pPr>
          </w:p>
          <w:p w:rsidR="00A043AD" w:rsidRPr="00A23740" w:rsidRDefault="00A043AD" w:rsidP="00750F08">
            <w:pPr>
              <w:rPr>
                <w:rFonts w:eastAsia="Times New Roman"/>
                <w:strike/>
                <w:color w:val="FF0000"/>
                <w:szCs w:val="24"/>
                <w:lang w:eastAsia="tr-TR"/>
              </w:rPr>
            </w:pPr>
          </w:p>
        </w:tc>
        <w:tc>
          <w:tcPr>
            <w:tcW w:w="2500" w:type="pct"/>
          </w:tcPr>
          <w:p w:rsidR="00A043AD" w:rsidRPr="00A23740" w:rsidRDefault="00A043AD" w:rsidP="00750F08">
            <w:pPr>
              <w:rPr>
                <w:rFonts w:eastAsia="Times New Roman"/>
                <w:strike/>
                <w:color w:val="FF0000"/>
                <w:szCs w:val="24"/>
                <w:lang w:eastAsia="tr-TR"/>
              </w:rPr>
            </w:pPr>
          </w:p>
        </w:tc>
      </w:tr>
      <w:tr w:rsidR="00A043AD" w:rsidRPr="00A23740" w:rsidTr="00750F08">
        <w:tc>
          <w:tcPr>
            <w:tcW w:w="2500" w:type="pct"/>
          </w:tcPr>
          <w:p w:rsidR="00A043AD" w:rsidRPr="00A23740" w:rsidRDefault="00A043AD" w:rsidP="00750F08">
            <w:pPr>
              <w:rPr>
                <w:rFonts w:eastAsia="Times New Roman"/>
                <w:b/>
                <w:strike/>
                <w:color w:val="FF0000"/>
                <w:szCs w:val="24"/>
                <w:lang w:eastAsia="tr-TR"/>
              </w:rPr>
            </w:pPr>
            <w:r w:rsidRPr="00A23740">
              <w:rPr>
                <w:rFonts w:eastAsia="Times New Roman"/>
                <w:b/>
                <w:strike/>
                <w:color w:val="FF0000"/>
                <w:szCs w:val="24"/>
                <w:lang w:eastAsia="tr-TR"/>
              </w:rPr>
              <w:t>Madde 352/b – (Ek: 6/6/1985-3222/44 md.; Mülga: 31/5/2005-5358/23 md.)</w:t>
            </w:r>
          </w:p>
        </w:tc>
        <w:tc>
          <w:tcPr>
            <w:tcW w:w="2500" w:type="pct"/>
          </w:tcPr>
          <w:p w:rsidR="00A043AD" w:rsidRPr="00A23740" w:rsidRDefault="00A043AD" w:rsidP="00750F08">
            <w:pPr>
              <w:rPr>
                <w:rFonts w:eastAsia="Times New Roman"/>
                <w:szCs w:val="24"/>
                <w:lang w:eastAsia="tr-TR"/>
              </w:rPr>
            </w:pPr>
          </w:p>
        </w:tc>
      </w:tr>
      <w:tr w:rsidR="00A043AD" w:rsidRPr="00A23740" w:rsidTr="00750F08">
        <w:tc>
          <w:tcPr>
            <w:tcW w:w="2500" w:type="pct"/>
          </w:tcPr>
          <w:p w:rsidR="00A043AD" w:rsidRPr="00A23740" w:rsidRDefault="00A043AD" w:rsidP="00AB59DC">
            <w:pPr>
              <w:widowControl w:val="0"/>
              <w:tabs>
                <w:tab w:val="left" w:pos="567"/>
              </w:tabs>
              <w:rPr>
                <w:b/>
                <w:bCs/>
                <w:color w:val="FF0000"/>
                <w:szCs w:val="24"/>
                <w:lang w:eastAsia="tr-TR"/>
              </w:rPr>
            </w:pPr>
          </w:p>
        </w:tc>
        <w:tc>
          <w:tcPr>
            <w:tcW w:w="2500" w:type="pct"/>
          </w:tcPr>
          <w:p w:rsidR="00A043AD" w:rsidRPr="00A23740" w:rsidRDefault="00A043AD" w:rsidP="00AB59DC">
            <w:pPr>
              <w:pStyle w:val="Mavi"/>
              <w:widowControl w:val="0"/>
              <w:rPr>
                <w:b w:val="0"/>
                <w:color w:val="auto"/>
                <w:lang w:val="tr-TR"/>
              </w:rPr>
            </w:pPr>
            <w:r w:rsidRPr="00A23740">
              <w:t>Yargılama giderleri</w:t>
            </w:r>
            <w:r w:rsidRPr="00A23740">
              <w:cr/>
              <w:t>MADDE 536- (1) Müşteki,</w:t>
            </w:r>
            <w:r w:rsidRPr="00A23740">
              <w:rPr>
                <w:lang w:val="tr-TR"/>
              </w:rPr>
              <w:t xml:space="preserve"> </w:t>
            </w:r>
            <w:r w:rsidRPr="005D4042">
              <w:rPr>
                <w:rStyle w:val="YELChar"/>
                <w:b/>
                <w:color w:val="0000FF"/>
              </w:rPr>
              <w:t>icra ceza mahkemesine</w:t>
            </w:r>
            <w:r w:rsidRPr="00A23740">
              <w:t xml:space="preserve"> suçlar ile disiplin veya tazyik hapsini gerektiren </w:t>
            </w:r>
            <w:r w:rsidRPr="005D4042">
              <w:rPr>
                <w:rStyle w:val="YELChar"/>
                <w:b/>
                <w:color w:val="0000FF"/>
              </w:rPr>
              <w:t>fiiller hakkında</w:t>
            </w:r>
            <w:r w:rsidRPr="00A23740">
              <w:t xml:space="preserve"> şikâyette bulunurken, gider avansı tarifesinde belirlenecek tutarı mahkeme veznesine yatırmak zorundadır.</w:t>
            </w:r>
          </w:p>
          <w:p w:rsidR="00A043AD" w:rsidRPr="00A23740" w:rsidRDefault="00A043AD" w:rsidP="00AB59DC">
            <w:pPr>
              <w:pStyle w:val="Mavi"/>
              <w:widowControl w:val="0"/>
            </w:pPr>
          </w:p>
          <w:p w:rsidR="00A043AD" w:rsidRPr="00A23740" w:rsidRDefault="00A043AD" w:rsidP="00AB59DC">
            <w:pPr>
              <w:pStyle w:val="Mavi"/>
              <w:widowControl w:val="0"/>
            </w:pPr>
            <w:r w:rsidRPr="00A23740">
              <w:t>(2) Müşteki ve sanığın ikamesini talep ettiği delil için yapılacak giderler, ileride haksız çıkan taraftan alınmak üzere Adalet Bakanlığı bütçesinden karşılanır.</w:t>
            </w:r>
          </w:p>
          <w:p w:rsidR="00A043AD" w:rsidRPr="00A23740" w:rsidRDefault="00A043AD" w:rsidP="00AB59DC">
            <w:pPr>
              <w:pStyle w:val="Mavi"/>
              <w:widowControl w:val="0"/>
            </w:pPr>
          </w:p>
          <w:p w:rsidR="00A043AD" w:rsidRPr="00A23740" w:rsidRDefault="00A043AD" w:rsidP="00AB59DC">
            <w:pPr>
              <w:pStyle w:val="Mavi"/>
              <w:widowControl w:val="0"/>
            </w:pPr>
            <w:r w:rsidRPr="00A23740">
              <w:t>(3) Suçlar ile disiplin veya tazyik hapsini gerektiren fiiller bakımından yapılan yargılama giderleri, mahkûmiyet, disiplin veya tazyik hapsiyle cezalandırma ve borcun ödenmesi nedeniyle davanın düşmesi h</w:t>
            </w:r>
            <w:r w:rsidR="003D770C" w:rsidRPr="00A23740">
              <w:rPr>
                <w:lang w:val="tr-TR"/>
              </w:rPr>
              <w:t>â</w:t>
            </w:r>
            <w:r w:rsidRPr="00A23740">
              <w:t>llerinde, şikâyet edilenden veya sanıktan; diğer h</w:t>
            </w:r>
            <w:r w:rsidR="00B41F95" w:rsidRPr="00A23740">
              <w:rPr>
                <w:lang w:val="tr-TR"/>
              </w:rPr>
              <w:t>â</w:t>
            </w:r>
            <w:r w:rsidRPr="00A23740">
              <w:t>llerde ise müştekiden tahsil edilir.</w:t>
            </w:r>
          </w:p>
          <w:p w:rsidR="00A043AD" w:rsidRPr="00A23740" w:rsidRDefault="00A043AD" w:rsidP="00AB59DC">
            <w:pPr>
              <w:widowControl w:val="0"/>
              <w:tabs>
                <w:tab w:val="left" w:pos="567"/>
              </w:tabs>
              <w:rPr>
                <w:rFonts w:eastAsia="Times New Roman"/>
                <w:b/>
                <w:color w:val="FF0066"/>
                <w:szCs w:val="24"/>
              </w:rPr>
            </w:pP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s>
              <w:ind w:firstLine="709"/>
              <w:rPr>
                <w:rFonts w:eastAsia="Arial Unicode MS"/>
                <w:b/>
                <w:iCs/>
                <w:szCs w:val="24"/>
                <w:lang w:eastAsia="tr-TR"/>
              </w:rPr>
            </w:pP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b/>
                <w:iCs/>
                <w:szCs w:val="24"/>
                <w:lang w:eastAsia="tr-TR"/>
              </w:rPr>
              <w:t>MADDE 536-</w:t>
            </w:r>
            <w:r w:rsidRPr="00A23740">
              <w:rPr>
                <w:rFonts w:eastAsia="Arial Unicode MS"/>
                <w:iCs/>
                <w:szCs w:val="24"/>
                <w:lang w:eastAsia="tr-TR"/>
              </w:rPr>
              <w:t xml:space="preserve"> Maddeyle, yargılama giderlerine ilişkin hususlar düzenlenmektedir. 2004 sayılı Kanunda, ceza yargılamalarında yapılacak giderlere ilişkin bir hüküm bulunmaması, uygulamada bazı sorunlara yol açmakta</w:t>
            </w:r>
            <w:r w:rsidR="00511437" w:rsidRPr="00A23740">
              <w:rPr>
                <w:rFonts w:eastAsia="Arial Unicode MS"/>
                <w:iCs/>
                <w:szCs w:val="24"/>
                <w:lang w:eastAsia="tr-TR"/>
              </w:rPr>
              <w:t>ydı</w:t>
            </w:r>
            <w:r w:rsidRPr="00A23740">
              <w:rPr>
                <w:rFonts w:eastAsia="Arial Unicode MS"/>
                <w:iCs/>
                <w:szCs w:val="24"/>
                <w:lang w:eastAsia="tr-TR"/>
              </w:rPr>
              <w:t xml:space="preserve">. Bu sorunların çözülmesi ve yeknesak bir uygulamanın </w:t>
            </w:r>
            <w:r w:rsidR="00511437" w:rsidRPr="00A23740">
              <w:rPr>
                <w:rFonts w:eastAsia="Arial Unicode MS"/>
                <w:iCs/>
                <w:szCs w:val="24"/>
                <w:lang w:eastAsia="tr-TR"/>
              </w:rPr>
              <w:t xml:space="preserve">sağlanması </w:t>
            </w:r>
            <w:r w:rsidRPr="00A23740">
              <w:rPr>
                <w:rFonts w:eastAsia="Arial Unicode MS"/>
                <w:iCs/>
                <w:szCs w:val="24"/>
                <w:lang w:eastAsia="tr-TR"/>
              </w:rPr>
              <w:t xml:space="preserve"> amacıyla</w:t>
            </w:r>
            <w:r w:rsidR="00511437" w:rsidRPr="00A23740">
              <w:rPr>
                <w:rFonts w:eastAsia="Arial Unicode MS"/>
                <w:iCs/>
                <w:szCs w:val="24"/>
                <w:lang w:eastAsia="tr-TR"/>
              </w:rPr>
              <w:t>,</w:t>
            </w:r>
            <w:r w:rsidRPr="00A23740">
              <w:rPr>
                <w:rFonts w:eastAsia="Arial Unicode MS"/>
                <w:iCs/>
                <w:szCs w:val="24"/>
                <w:lang w:eastAsia="tr-TR"/>
              </w:rPr>
              <w:t xml:space="preserve"> bir yenilik olarak, Taslakla bu konuya ilişkin özel bir hüküm ihdas edilmektedir.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 xml:space="preserve">Birinci fıkrayla, şikâyetçinin talepte bulunurken icra ceza mahkemeleri için çıkarılacak gider avansı tarifesinde belirlenecek tutarı mahkeme veznesine yatırmak zorunda olduğu düzenlenmektedir. Taslağın “Davanın açılması” başlıklı </w:t>
            </w:r>
            <w:r w:rsidR="007F084A" w:rsidRPr="005D4042">
              <w:rPr>
                <w:rFonts w:eastAsia="Arial Unicode MS"/>
                <w:iCs/>
                <w:szCs w:val="24"/>
                <w:lang w:eastAsia="tr-TR"/>
              </w:rPr>
              <w:t>533</w:t>
            </w:r>
            <w:r w:rsidR="007F084A" w:rsidRPr="005D4042">
              <w:rPr>
                <w:b/>
                <w:bCs/>
                <w:iCs/>
                <w:szCs w:val="24"/>
                <w:lang w:eastAsia="tr-TR"/>
              </w:rPr>
              <w:t xml:space="preserve"> </w:t>
            </w:r>
            <w:r w:rsidR="007F084A" w:rsidRPr="005D4042">
              <w:rPr>
                <w:rFonts w:eastAsia="Arial Unicode MS"/>
                <w:iCs/>
                <w:szCs w:val="24"/>
                <w:lang w:eastAsia="tr-TR"/>
              </w:rPr>
              <w:t>üncü</w:t>
            </w:r>
            <w:r w:rsidR="007F084A" w:rsidRPr="00A23740">
              <w:rPr>
                <w:rFonts w:eastAsia="Arial Unicode MS"/>
                <w:iCs/>
                <w:szCs w:val="24"/>
                <w:lang w:eastAsia="tr-TR"/>
              </w:rPr>
              <w:t xml:space="preserve"> </w:t>
            </w:r>
            <w:r w:rsidRPr="00A23740">
              <w:rPr>
                <w:rFonts w:eastAsia="Arial Unicode MS"/>
                <w:iCs/>
                <w:szCs w:val="24"/>
                <w:lang w:eastAsia="tr-TR"/>
              </w:rPr>
              <w:t>maddesinin ikinci fıkrasının (g) bendine göre</w:t>
            </w:r>
            <w:r w:rsidR="00511437" w:rsidRPr="00A23740">
              <w:rPr>
                <w:rFonts w:eastAsia="Arial Unicode MS"/>
                <w:iCs/>
                <w:szCs w:val="24"/>
                <w:lang w:eastAsia="tr-TR"/>
              </w:rPr>
              <w:t>,</w:t>
            </w:r>
            <w:r w:rsidRPr="00A23740">
              <w:rPr>
                <w:rFonts w:eastAsia="Arial Unicode MS"/>
                <w:iCs/>
                <w:szCs w:val="24"/>
                <w:lang w:eastAsia="tr-TR"/>
              </w:rPr>
              <w:t xml:space="preserve"> dava açılırken şikâyetçinin gider avansının yatırıldığına ilişkin belgeyi şikâyet dilekçesinin ekinde mahk</w:t>
            </w:r>
            <w:r w:rsidR="00F96839" w:rsidRPr="00A23740">
              <w:rPr>
                <w:rFonts w:eastAsia="Arial Unicode MS"/>
                <w:iCs/>
                <w:szCs w:val="24"/>
                <w:lang w:eastAsia="tr-TR"/>
              </w:rPr>
              <w:t>emeye sunması gerektiği, aksi hâ</w:t>
            </w:r>
            <w:r w:rsidRPr="00A23740">
              <w:rPr>
                <w:rFonts w:eastAsia="Arial Unicode MS"/>
                <w:iCs/>
                <w:szCs w:val="24"/>
                <w:lang w:eastAsia="tr-TR"/>
              </w:rPr>
              <w:t>lde müştekiye verilen bir haftalık süre içinde eksiklik giderilmezse şikâyet dilekçesinin reddine karar verileceği düzenlenmektedir. İşte anılan hüküm uyarınca ödenmesi gereken gider avansı bu fıkraya göre belirlenmektedir. İcra ceza yargılaması için de</w:t>
            </w:r>
            <w:r w:rsidR="00511437" w:rsidRPr="00A23740">
              <w:rPr>
                <w:rFonts w:eastAsia="Arial Unicode MS"/>
                <w:iCs/>
                <w:szCs w:val="24"/>
                <w:lang w:eastAsia="tr-TR"/>
              </w:rPr>
              <w:t>,</w:t>
            </w:r>
            <w:r w:rsidRPr="00A23740">
              <w:rPr>
                <w:rFonts w:eastAsia="Arial Unicode MS"/>
                <w:iCs/>
                <w:szCs w:val="24"/>
                <w:lang w:eastAsia="tr-TR"/>
              </w:rPr>
              <w:t xml:space="preserve"> 6100 sayılı</w:t>
            </w:r>
            <w:r w:rsidR="003E7FF9" w:rsidRPr="00A23740">
              <w:rPr>
                <w:rFonts w:eastAsia="Arial Unicode MS"/>
                <w:iCs/>
                <w:szCs w:val="24"/>
                <w:lang w:eastAsia="tr-TR"/>
              </w:rPr>
              <w:t xml:space="preserve"> </w:t>
            </w:r>
            <w:r w:rsidR="003E7FF9" w:rsidRPr="005D4042">
              <w:rPr>
                <w:rFonts w:eastAsia="Arial Unicode MS"/>
                <w:iCs/>
                <w:szCs w:val="24"/>
                <w:lang w:eastAsia="tr-TR"/>
              </w:rPr>
              <w:t>Kanunda</w:t>
            </w:r>
            <w:r w:rsidRPr="00A23740">
              <w:rPr>
                <w:rFonts w:eastAsia="Arial Unicode MS"/>
                <w:iCs/>
                <w:szCs w:val="24"/>
                <w:lang w:eastAsia="tr-TR"/>
              </w:rPr>
              <w:t xml:space="preserve"> olduğu gibi</w:t>
            </w:r>
            <w:r w:rsidRPr="00A23740">
              <w:rPr>
                <w:b/>
              </w:rPr>
              <w:t xml:space="preserve"> </w:t>
            </w:r>
            <w:r w:rsidRPr="00A23740">
              <w:t xml:space="preserve">bu tarife, </w:t>
            </w:r>
            <w:r w:rsidRPr="00A23740">
              <w:rPr>
                <w:rFonts w:eastAsia="Times New Roman"/>
                <w:bCs/>
                <w:lang w:eastAsia="tr-TR"/>
              </w:rPr>
              <w:t xml:space="preserve">Taslağın </w:t>
            </w:r>
            <w:r w:rsidR="00B64C4F" w:rsidRPr="005D4042">
              <w:rPr>
                <w:rFonts w:eastAsia="Arial Unicode MS"/>
                <w:iCs/>
                <w:szCs w:val="24"/>
                <w:lang w:eastAsia="tr-TR"/>
              </w:rPr>
              <w:t>548</w:t>
            </w:r>
            <w:r w:rsidR="00B64C4F" w:rsidRPr="005D4042">
              <w:rPr>
                <w:rFonts w:eastAsia="Arial Unicode MS"/>
                <w:b/>
                <w:bCs/>
                <w:iCs/>
                <w:szCs w:val="24"/>
                <w:lang w:eastAsia="tr-TR"/>
              </w:rPr>
              <w:t xml:space="preserve"> </w:t>
            </w:r>
            <w:r w:rsidR="00B64C4F" w:rsidRPr="005D4042">
              <w:rPr>
                <w:rFonts w:eastAsia="Arial Unicode MS"/>
                <w:iCs/>
                <w:szCs w:val="24"/>
                <w:lang w:eastAsia="tr-TR"/>
              </w:rPr>
              <w:t>inci</w:t>
            </w:r>
            <w:r w:rsidR="00B64C4F" w:rsidRPr="00A23740">
              <w:rPr>
                <w:rFonts w:eastAsia="Times New Roman"/>
                <w:bCs/>
                <w:lang w:eastAsia="tr-TR"/>
              </w:rPr>
              <w:t xml:space="preserve"> </w:t>
            </w:r>
            <w:r w:rsidRPr="00A23740">
              <w:rPr>
                <w:rFonts w:eastAsia="Times New Roman"/>
                <w:bCs/>
                <w:lang w:eastAsia="tr-TR"/>
              </w:rPr>
              <w:t xml:space="preserve">maddesinin ikinci fıkrasında düzenlendiği üzere Adalet Bakanlığı tarafından çıkarılacak ve her takvim yılı başında yürürlüğe konulacaktır. </w:t>
            </w:r>
            <w:r w:rsidRPr="00A23740">
              <w:rPr>
                <w:rFonts w:eastAsia="Arial Unicode MS"/>
                <w:iCs/>
                <w:szCs w:val="24"/>
                <w:lang w:eastAsia="tr-TR"/>
              </w:rPr>
              <w:t xml:space="preserve">Böylece dava dosyasında </w:t>
            </w:r>
            <w:r w:rsidR="00511437" w:rsidRPr="00A23740">
              <w:rPr>
                <w:rFonts w:eastAsia="Arial Unicode MS"/>
                <w:iCs/>
                <w:szCs w:val="24"/>
                <w:lang w:eastAsia="tr-TR"/>
              </w:rPr>
              <w:t xml:space="preserve">para </w:t>
            </w:r>
            <w:r w:rsidRPr="00A23740">
              <w:rPr>
                <w:rFonts w:eastAsia="Arial Unicode MS"/>
                <w:iCs/>
                <w:szCs w:val="24"/>
                <w:lang w:eastAsia="tr-TR"/>
              </w:rPr>
              <w:t>bulunmaması sebebiyle yerine getirilmesi gereken işlemlerin sürüncemede kalması önlenmiş olacak ve davaların makul sürede bitirilmesi sağlanacaktır.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 xml:space="preserve">İkinci fıkrayla, müşteki ve sanığın ikamesini talep ettiği delil için yapılacak giderlerin, ileride haksız çıkan taraftan alınmak üzere Adalet Bakanlığı bütçesinden </w:t>
            </w:r>
            <w:r w:rsidR="00511437" w:rsidRPr="00A23740">
              <w:rPr>
                <w:rFonts w:eastAsia="Arial Unicode MS"/>
                <w:iCs/>
                <w:szCs w:val="24"/>
                <w:lang w:eastAsia="tr-TR"/>
              </w:rPr>
              <w:t xml:space="preserve">karşılanması </w:t>
            </w:r>
            <w:r w:rsidRPr="00A23740">
              <w:rPr>
                <w:rFonts w:eastAsia="Arial Unicode MS"/>
                <w:iCs/>
                <w:szCs w:val="24"/>
                <w:lang w:eastAsia="tr-TR"/>
              </w:rPr>
              <w:t>düzenlenmektedir.</w:t>
            </w:r>
          </w:p>
          <w:p w:rsidR="00A043AD" w:rsidRPr="00A23740" w:rsidRDefault="00A043AD" w:rsidP="00750F08">
            <w:pPr>
              <w:widowControl w:val="0"/>
              <w:suppressLineNumbers/>
              <w:tabs>
                <w:tab w:val="left" w:pos="540"/>
              </w:tabs>
              <w:ind w:firstLine="709"/>
              <w:rPr>
                <w:rFonts w:eastAsia="Arial Unicode MS"/>
                <w:iCs/>
                <w:szCs w:val="24"/>
                <w:lang w:eastAsia="tr-TR"/>
              </w:rPr>
            </w:pPr>
            <w:r w:rsidRPr="00A23740">
              <w:rPr>
                <w:rFonts w:eastAsia="Arial Unicode MS"/>
                <w:iCs/>
                <w:szCs w:val="24"/>
                <w:lang w:eastAsia="tr-TR"/>
              </w:rPr>
              <w:t>Üçüncü fıkrayla, davanın sonunda yargılama giderlerinden kimin sorumlu olacağı düzenlenmektedir. Buna göre mahkûmiyet, disiplin veya tazyik hapsiyle cezalandırma ve borcun ödenm</w:t>
            </w:r>
            <w:r w:rsidR="00F96839" w:rsidRPr="00A23740">
              <w:rPr>
                <w:rFonts w:eastAsia="Arial Unicode MS"/>
                <w:iCs/>
                <w:szCs w:val="24"/>
                <w:lang w:eastAsia="tr-TR"/>
              </w:rPr>
              <w:t>esi nedeniyle davanın düşmesi hâ</w:t>
            </w:r>
            <w:r w:rsidRPr="00A23740">
              <w:rPr>
                <w:rFonts w:eastAsia="Arial Unicode MS"/>
                <w:iCs/>
                <w:szCs w:val="24"/>
                <w:lang w:eastAsia="tr-TR"/>
              </w:rPr>
              <w:t>llerinde</w:t>
            </w:r>
            <w:r w:rsidRPr="00A23740">
              <w:rPr>
                <w:rFonts w:eastAsia="Arial Unicode MS"/>
                <w:iCs/>
                <w:lang w:eastAsia="tr-TR"/>
              </w:rPr>
              <w:t>,</w:t>
            </w:r>
            <w:r w:rsidRPr="00A23740">
              <w:rPr>
                <w:rFonts w:eastAsia="Arial Unicode MS"/>
                <w:b/>
                <w:iCs/>
                <w:lang w:eastAsia="tr-TR"/>
              </w:rPr>
              <w:t xml:space="preserve"> </w:t>
            </w:r>
            <w:r w:rsidRPr="00A23740">
              <w:rPr>
                <w:rFonts w:eastAsia="Arial Unicode MS"/>
                <w:iCs/>
                <w:lang w:eastAsia="tr-TR"/>
              </w:rPr>
              <w:t>yargılama giderleri,</w:t>
            </w:r>
            <w:r w:rsidRPr="00A23740">
              <w:rPr>
                <w:rFonts w:eastAsia="Arial Unicode MS"/>
                <w:iCs/>
                <w:szCs w:val="24"/>
                <w:lang w:eastAsia="tr-TR"/>
              </w:rPr>
              <w:t xml:space="preserve"> şikâyet edilen veya sanığa yükletiletilir. Şikâyetin reddine veya sa</w:t>
            </w:r>
            <w:r w:rsidR="00F96839" w:rsidRPr="00A23740">
              <w:rPr>
                <w:rFonts w:eastAsia="Arial Unicode MS"/>
                <w:iCs/>
                <w:szCs w:val="24"/>
                <w:lang w:eastAsia="tr-TR"/>
              </w:rPr>
              <w:t>ir kararlara hükmedilen diğer hâ</w:t>
            </w:r>
            <w:r w:rsidRPr="00A23740">
              <w:rPr>
                <w:rFonts w:eastAsia="Arial Unicode MS"/>
                <w:iCs/>
                <w:szCs w:val="24"/>
                <w:lang w:eastAsia="tr-TR"/>
              </w:rPr>
              <w:t>llerde ise yargılama giderleri müştekiden tahsil edilir.</w:t>
            </w:r>
          </w:p>
          <w:p w:rsidR="00A043AD" w:rsidRPr="00A23740" w:rsidRDefault="00A043AD" w:rsidP="00955D60">
            <w:pPr>
              <w:rPr>
                <w:rFonts w:eastAsia="Arial Unicode MS"/>
                <w:bCs/>
                <w:iCs/>
                <w:strike/>
                <w:color w:val="FF0000"/>
                <w:szCs w:val="24"/>
                <w:lang w:eastAsia="x-none"/>
              </w:rPr>
            </w:pPr>
          </w:p>
        </w:tc>
      </w:tr>
      <w:tr w:rsidR="00A043AD" w:rsidRPr="00A23740" w:rsidTr="00750F08">
        <w:tc>
          <w:tcPr>
            <w:tcW w:w="2500" w:type="pct"/>
          </w:tcPr>
          <w:p w:rsidR="00A043AD" w:rsidRPr="00A23740" w:rsidRDefault="00A043AD" w:rsidP="00AB59DC">
            <w:pPr>
              <w:widowControl w:val="0"/>
              <w:rPr>
                <w:rFonts w:eastAsia="Times New Roman"/>
                <w:b/>
                <w:strike/>
                <w:color w:val="FF0000"/>
                <w:szCs w:val="24"/>
                <w:lang w:eastAsia="x-none"/>
              </w:rPr>
            </w:pPr>
          </w:p>
          <w:p w:rsidR="00A043AD" w:rsidRPr="00A23740" w:rsidRDefault="00A043AD" w:rsidP="00AB59DC">
            <w:pPr>
              <w:widowControl w:val="0"/>
              <w:tabs>
                <w:tab w:val="left" w:pos="567"/>
              </w:tabs>
              <w:rPr>
                <w:rFonts w:eastAsia="Times New Roman"/>
                <w:szCs w:val="24"/>
                <w:lang w:eastAsia="x-none"/>
              </w:rPr>
            </w:pPr>
          </w:p>
          <w:p w:rsidR="00A043AD" w:rsidRPr="00A23740" w:rsidRDefault="00A043AD" w:rsidP="00AB59DC">
            <w:pPr>
              <w:widowControl w:val="0"/>
              <w:jc w:val="left"/>
              <w:rPr>
                <w:rFonts w:eastAsia="Times New Roman"/>
                <w:szCs w:val="24"/>
                <w:lang w:eastAsia="x-none"/>
              </w:rPr>
            </w:pPr>
          </w:p>
        </w:tc>
        <w:tc>
          <w:tcPr>
            <w:tcW w:w="2500" w:type="pct"/>
          </w:tcPr>
          <w:p w:rsidR="00A043AD" w:rsidRPr="00A23740" w:rsidRDefault="00A043AD" w:rsidP="00AB59DC">
            <w:pPr>
              <w:widowControl w:val="0"/>
              <w:tabs>
                <w:tab w:val="left" w:pos="567"/>
              </w:tabs>
              <w:rPr>
                <w:b/>
                <w:bCs/>
                <w:color w:val="0000FF"/>
                <w:szCs w:val="24"/>
                <w:lang w:eastAsia="x-none"/>
              </w:rPr>
            </w:pPr>
            <w:r w:rsidRPr="00A23740">
              <w:rPr>
                <w:b/>
                <w:bCs/>
                <w:color w:val="0000FF"/>
                <w:szCs w:val="24"/>
                <w:lang w:eastAsia="x-none"/>
              </w:rPr>
              <w:t>Uygulanacak diğer hükümler</w:t>
            </w:r>
          </w:p>
          <w:p w:rsidR="00A043AD" w:rsidRPr="00A23740" w:rsidRDefault="00A043AD" w:rsidP="00AB59DC">
            <w:pPr>
              <w:pStyle w:val="Mavi"/>
              <w:widowControl w:val="0"/>
            </w:pPr>
            <w:r w:rsidRPr="00A23740">
              <w:t>MADDE 537- (1) Bu Kitapta hüküm bulunmayan h</w:t>
            </w:r>
            <w:r w:rsidR="00B41F95" w:rsidRPr="00A23740">
              <w:rPr>
                <w:lang w:val="tr-TR"/>
              </w:rPr>
              <w:t>â</w:t>
            </w:r>
            <w:r w:rsidRPr="00A23740">
              <w:t xml:space="preserve">llerde </w:t>
            </w:r>
            <w:r w:rsidR="00B41F95" w:rsidRPr="005D4042">
              <w:rPr>
                <w:rStyle w:val="KonuBalChar"/>
                <w:rFonts w:eastAsia="Calibri"/>
                <w:b/>
                <w:color w:val="0000FF"/>
              </w:rPr>
              <w:t>4/12/2004 tarihli ve 5271 sayılı</w:t>
            </w:r>
            <w:r w:rsidR="00B41F95" w:rsidRPr="00A23740">
              <w:rPr>
                <w:lang w:val="tr-TR"/>
              </w:rPr>
              <w:t xml:space="preserve"> </w:t>
            </w:r>
            <w:r w:rsidRPr="00A23740">
              <w:t>Ceza Muhakemesi Kanunu hükümleri uygulanır.</w:t>
            </w:r>
          </w:p>
          <w:p w:rsidR="00A043AD" w:rsidRPr="00A23740" w:rsidRDefault="00A043AD" w:rsidP="00AB59DC">
            <w:pPr>
              <w:pStyle w:val="Mavi"/>
              <w:widowControl w:val="0"/>
            </w:pPr>
          </w:p>
          <w:p w:rsidR="00A043AD" w:rsidRPr="00A23740" w:rsidRDefault="00A043AD" w:rsidP="00AB59DC">
            <w:pPr>
              <w:pStyle w:val="Mavi"/>
              <w:widowControl w:val="0"/>
            </w:pPr>
            <w:r w:rsidRPr="00A23740">
              <w:t xml:space="preserve">(2) Bu </w:t>
            </w:r>
            <w:r w:rsidRPr="00A23740">
              <w:rPr>
                <w:lang w:val="tr-TR"/>
              </w:rPr>
              <w:t>Kitapta</w:t>
            </w:r>
            <w:r w:rsidRPr="00A23740">
              <w:t xml:space="preserve"> yer alan tazyik ve disiplin hapsini gerektiren fiiller bakımından önödeme, uzlaştırma, hükmün açıklanmasının geri bırakılması, seçenek yaptırımlara çevirme, hapis cezasının ertelenmesi, tekerrür, koşullu salıverme ve özel infaz usullerine ilişkin hükümler uygulanmaz.</w:t>
            </w:r>
          </w:p>
          <w:p w:rsidR="00A043AD" w:rsidRPr="00A23740" w:rsidRDefault="00A043AD" w:rsidP="00AB59DC">
            <w:pPr>
              <w:pStyle w:val="Mavi"/>
              <w:widowControl w:val="0"/>
            </w:pPr>
          </w:p>
          <w:p w:rsidR="00A043AD" w:rsidRPr="00A23740" w:rsidRDefault="00A043AD" w:rsidP="00AB59DC">
            <w:pPr>
              <w:pStyle w:val="Mavi"/>
              <w:widowControl w:val="0"/>
            </w:pPr>
            <w:r w:rsidRPr="00A23740">
              <w:t xml:space="preserve">(3) Bu </w:t>
            </w:r>
            <w:r w:rsidRPr="00A23740">
              <w:rPr>
                <w:lang w:val="tr-TR"/>
              </w:rPr>
              <w:t>Kitapta</w:t>
            </w:r>
            <w:r w:rsidRPr="00A23740">
              <w:t xml:space="preserve"> yer alan suçlarda, önödeme</w:t>
            </w:r>
            <w:r w:rsidRPr="00A23740">
              <w:rPr>
                <w:lang w:val="tr-TR"/>
              </w:rPr>
              <w:t>,</w:t>
            </w:r>
            <w:r w:rsidRPr="00A23740">
              <w:t xml:space="preserve"> uzlaştırma ve basit yargılamaya ilişkin hükümler uygulanmaz.</w:t>
            </w:r>
          </w:p>
          <w:p w:rsidR="00A043AD" w:rsidRPr="00A23740" w:rsidRDefault="00A043AD" w:rsidP="00AB59DC">
            <w:pPr>
              <w:widowControl w:val="0"/>
              <w:tabs>
                <w:tab w:val="left" w:pos="567"/>
              </w:tabs>
              <w:rPr>
                <w:b/>
                <w:bCs/>
                <w:color w:val="0000FF"/>
                <w:szCs w:val="24"/>
                <w:lang w:eastAsia="x-none"/>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MADDE 537-</w:t>
            </w:r>
            <w:r w:rsidRPr="00A23740">
              <w:rPr>
                <w:rFonts w:eastAsia="Times New Roman"/>
                <w:szCs w:val="24"/>
                <w:lang w:eastAsia="tr-TR"/>
              </w:rPr>
              <w:t xml:space="preserve"> Maddeyle, bu Kitap kapsamında uygulanacak diğer hükümler düzenlenmektedir. </w:t>
            </w:r>
          </w:p>
          <w:p w:rsidR="00A043AD" w:rsidRPr="00A23740" w:rsidRDefault="00A043AD" w:rsidP="00750F08">
            <w:pPr>
              <w:ind w:firstLine="709"/>
              <w:rPr>
                <w:rFonts w:eastAsia="Times New Roman"/>
                <w:bCs/>
                <w:szCs w:val="24"/>
                <w:lang w:eastAsia="tr-TR"/>
              </w:rPr>
            </w:pPr>
            <w:r w:rsidRPr="00A23740">
              <w:rPr>
                <w:rFonts w:eastAsia="Times New Roman"/>
                <w:szCs w:val="24"/>
                <w:lang w:eastAsia="tr-TR"/>
              </w:rPr>
              <w:t>Birinci fıkrayla, Kanunun “Cezai Hükümler” başlıklı Beşinci Kitabında hüküm bulunmayan h</w:t>
            </w:r>
            <w:r w:rsidR="00B41F95" w:rsidRPr="00A23740">
              <w:rPr>
                <w:rFonts w:eastAsia="Times New Roman"/>
                <w:szCs w:val="24"/>
                <w:lang w:eastAsia="tr-TR"/>
              </w:rPr>
              <w:t>â</w:t>
            </w:r>
            <w:r w:rsidRPr="00A23740">
              <w:rPr>
                <w:rFonts w:eastAsia="Times New Roman"/>
                <w:szCs w:val="24"/>
                <w:lang w:eastAsia="tr-TR"/>
              </w:rPr>
              <w:t xml:space="preserve">llerde 5271 sayılı </w:t>
            </w:r>
            <w:r w:rsidRPr="00A23740">
              <w:rPr>
                <w:rFonts w:eastAsia="Times New Roman"/>
                <w:bCs/>
                <w:szCs w:val="24"/>
                <w:lang w:eastAsia="tr-TR"/>
              </w:rPr>
              <w:t xml:space="preserve">Ceza Muhakemesi Kanunu hükümlerinin uygulanacağına yönelik </w:t>
            </w:r>
            <w:r w:rsidRPr="005D4042">
              <w:rPr>
                <w:rFonts w:eastAsia="Times New Roman"/>
                <w:bCs/>
                <w:szCs w:val="24"/>
                <w:lang w:eastAsia="tr-TR"/>
              </w:rPr>
              <w:t>genel</w:t>
            </w:r>
            <w:r w:rsidRPr="00A23740">
              <w:rPr>
                <w:rFonts w:eastAsia="Times New Roman"/>
                <w:bCs/>
                <w:szCs w:val="24"/>
                <w:lang w:eastAsia="tr-TR"/>
              </w:rPr>
              <w:t xml:space="preserve"> bir atıf yapılmaktadır.</w:t>
            </w:r>
          </w:p>
          <w:p w:rsidR="00A043AD" w:rsidRPr="00A23740" w:rsidRDefault="00A043AD" w:rsidP="00750F08">
            <w:pPr>
              <w:ind w:firstLine="709"/>
              <w:rPr>
                <w:rFonts w:eastAsia="Times New Roman"/>
                <w:bCs/>
                <w:szCs w:val="24"/>
                <w:lang w:eastAsia="tr-TR"/>
              </w:rPr>
            </w:pPr>
            <w:r w:rsidRPr="00A23740">
              <w:rPr>
                <w:rFonts w:eastAsia="Times New Roman"/>
                <w:bCs/>
                <w:szCs w:val="24"/>
                <w:lang w:eastAsia="tr-TR"/>
              </w:rPr>
              <w:t xml:space="preserve">İkinci fıkrayla, nitelikleri dikkate alınarak bu Kitapta yer alan tazyik ve disiplin hapsini gerektiren fiiller bakımından önödeme, uzlaştırma, hükmün açıklanmasının geri bırakılması, seçenek yaptırımlara çevirme, hapis cezasının ertelenmesi, tekerrür, koşullu salıverme </w:t>
            </w:r>
            <w:r w:rsidRPr="00A23740">
              <w:rPr>
                <w:rFonts w:eastAsia="Times New Roman"/>
                <w:bCs/>
                <w:lang w:eastAsia="tr-TR"/>
              </w:rPr>
              <w:t>ve</w:t>
            </w:r>
            <w:r w:rsidRPr="00A23740">
              <w:rPr>
                <w:rFonts w:eastAsia="Times New Roman"/>
                <w:bCs/>
                <w:szCs w:val="24"/>
                <w:lang w:eastAsia="tr-TR"/>
              </w:rPr>
              <w:t xml:space="preserve"> özel infaz usullerine ilişkin hükümlerin uygulanmayacağı düzenlenmektedir.</w:t>
            </w:r>
          </w:p>
          <w:p w:rsidR="00A043AD" w:rsidRPr="00A23740" w:rsidRDefault="00A043AD" w:rsidP="00750F08">
            <w:pPr>
              <w:ind w:firstLine="709"/>
              <w:rPr>
                <w:rFonts w:eastAsia="Times New Roman"/>
                <w:bCs/>
                <w:szCs w:val="24"/>
                <w:lang w:eastAsia="tr-TR"/>
              </w:rPr>
            </w:pPr>
            <w:r w:rsidRPr="00A23740">
              <w:rPr>
                <w:rFonts w:eastAsia="Times New Roman"/>
                <w:bCs/>
                <w:szCs w:val="24"/>
                <w:lang w:eastAsia="tr-TR"/>
              </w:rPr>
              <w:t>Üçüncü fıkrayla, bu Kitapta yer alan suçlarda, önödeme, uzlaştırma ve basit yargılamaya ilişkin hükümlerin uygulanmayacağı hükme bağlanmaktadır. Bu kapsamda 5271 sayılı Ceza Muhakemesi Kanununun 251 ve 252 nci maddelerinde düzenlenen basit yargılama usulü uygulanmaz.</w:t>
            </w:r>
          </w:p>
          <w:p w:rsidR="00A043AD" w:rsidRPr="00A23740" w:rsidRDefault="00A043AD" w:rsidP="00955D60">
            <w:pPr>
              <w:rPr>
                <w:rFonts w:eastAsia="Arial Unicode MS"/>
                <w:bCs/>
                <w:iCs/>
                <w:strike/>
                <w:color w:val="FF0000"/>
                <w:szCs w:val="24"/>
                <w:lang w:eastAsia="x-none"/>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eastAsia="tr-TR"/>
              </w:rPr>
            </w:pPr>
            <w:r w:rsidRPr="00A23740">
              <w:rPr>
                <w:rFonts w:eastAsia="Times New Roman"/>
                <w:szCs w:val="24"/>
                <w:lang w:eastAsia="tr-TR"/>
              </w:rPr>
              <w:t>Davanın ve cezanın düşmesi</w:t>
            </w:r>
            <w:r w:rsidRPr="00A23740">
              <w:rPr>
                <w:rFonts w:eastAsia="Times New Roman"/>
                <w:b/>
                <w:bCs/>
                <w:color w:val="FF0000"/>
                <w:szCs w:val="24"/>
                <w:lang w:eastAsia="tr-TR"/>
              </w:rPr>
              <w:t xml:space="preserve"> </w:t>
            </w:r>
            <w:r w:rsidRPr="00A23740">
              <w:rPr>
                <w:rFonts w:eastAsia="Times New Roman"/>
                <w:b/>
                <w:bCs/>
                <w:strike/>
                <w:color w:val="FF0000"/>
                <w:szCs w:val="24"/>
                <w:lang w:eastAsia="tr-TR"/>
              </w:rPr>
              <w:t>ile ceza verilemeyecek hâller:</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bCs/>
                <w:strike/>
                <w:color w:val="FF0000"/>
                <w:szCs w:val="24"/>
                <w:lang w:eastAsia="x-none"/>
              </w:rPr>
              <w:t>354</w:t>
            </w:r>
            <w:r w:rsidRPr="00A23740">
              <w:rPr>
                <w:rFonts w:eastAsia="Times New Roman"/>
                <w:b/>
                <w:szCs w:val="24"/>
                <w:lang w:eastAsia="tr-TR"/>
              </w:rPr>
              <w:t xml:space="preserve"> – (1) </w:t>
            </w:r>
            <w:r w:rsidRPr="00A23740">
              <w:rPr>
                <w:rFonts w:eastAsia="Times New Roman"/>
                <w:b/>
                <w:strike/>
                <w:color w:val="FF0000"/>
                <w:szCs w:val="24"/>
                <w:lang w:eastAsia="x-none"/>
              </w:rPr>
              <w:t>Kanunun bu babında yazılı</w:t>
            </w:r>
            <w:r w:rsidRPr="00A23740">
              <w:rPr>
                <w:rFonts w:eastAsia="Times New Roman"/>
                <w:szCs w:val="24"/>
                <w:lang w:eastAsia="tr-TR"/>
              </w:rPr>
              <w:t xml:space="preserve"> </w:t>
            </w:r>
            <w:r w:rsidRPr="00A23740">
              <w:rPr>
                <w:rStyle w:val="KIRMIZIChar"/>
                <w:rFonts w:eastAsia="Calibri"/>
              </w:rPr>
              <w:t>s</w:t>
            </w:r>
            <w:r w:rsidRPr="00A23740">
              <w:rPr>
                <w:rFonts w:eastAsia="Times New Roman"/>
                <w:szCs w:val="24"/>
                <w:lang w:eastAsia="tr-TR"/>
              </w:rPr>
              <w:t>uçlar</w:t>
            </w:r>
            <w:r w:rsidRPr="00A23740">
              <w:rPr>
                <w:rFonts w:eastAsia="Times New Roman"/>
                <w:b/>
                <w:bCs/>
                <w:strike/>
                <w:color w:val="FF0000"/>
                <w:szCs w:val="24"/>
                <w:lang w:eastAsia="tr-TR"/>
              </w:rPr>
              <w:t>dan takibi şikayete bağlı olanların</w:t>
            </w:r>
            <w:r w:rsidRPr="00A23740">
              <w:rPr>
                <w:rFonts w:eastAsia="Times New Roman"/>
                <w:b/>
                <w:bCs/>
                <w:color w:val="FF0000"/>
                <w:szCs w:val="24"/>
                <w:lang w:eastAsia="tr-TR"/>
              </w:rPr>
              <w:t xml:space="preserve"> </w:t>
            </w:r>
            <w:r w:rsidRPr="00A23740">
              <w:rPr>
                <w:rFonts w:eastAsia="Times New Roman"/>
                <w:szCs w:val="24"/>
                <w:lang w:eastAsia="tr-TR"/>
              </w:rPr>
              <w:t xml:space="preserve">müştekisi </w:t>
            </w:r>
            <w:r w:rsidRPr="00A23740">
              <w:rPr>
                <w:rFonts w:eastAsia="Times New Roman"/>
                <w:b/>
                <w:bCs/>
                <w:strike/>
                <w:color w:val="FF0000"/>
                <w:szCs w:val="24"/>
                <w:lang w:eastAsia="tr-TR"/>
              </w:rPr>
              <w:t>feragat eder</w:t>
            </w:r>
            <w:r w:rsidRPr="00A23740">
              <w:rPr>
                <w:rFonts w:eastAsia="Times New Roman"/>
                <w:szCs w:val="24"/>
                <w:lang w:eastAsia="tr-TR"/>
              </w:rPr>
              <w:t xml:space="preserve"> </w:t>
            </w:r>
            <w:r w:rsidRPr="00A23740">
              <w:rPr>
                <w:rStyle w:val="KIRMIZIChar"/>
                <w:rFonts w:eastAsia="Calibri"/>
              </w:rPr>
              <w:t>veya borcun itfa edildiği sabit olursa</w:t>
            </w:r>
            <w:r w:rsidRPr="00A23740">
              <w:rPr>
                <w:rFonts w:eastAsia="Times New Roman"/>
                <w:szCs w:val="24"/>
                <w:lang w:eastAsia="tr-TR"/>
              </w:rPr>
              <w:t xml:space="preserve"> dava ve bütün neticeleriyle beraber ceza düşer.</w:t>
            </w:r>
          </w:p>
          <w:p w:rsidR="00A043AD" w:rsidRPr="00A23740" w:rsidRDefault="00A043AD" w:rsidP="00750F08">
            <w:pPr>
              <w:tabs>
                <w:tab w:val="left" w:pos="567"/>
              </w:tabs>
              <w:rPr>
                <w:rFonts w:eastAsia="Times New Roman"/>
                <w:szCs w:val="24"/>
                <w:lang w:eastAsia="tr-TR"/>
              </w:rPr>
            </w:pPr>
          </w:p>
          <w:p w:rsidR="00A043AD" w:rsidRPr="00A23740" w:rsidRDefault="00A043AD" w:rsidP="00750F08">
            <w:pPr>
              <w:tabs>
                <w:tab w:val="left" w:pos="567"/>
              </w:tabs>
              <w:rPr>
                <w:rFonts w:eastAsia="Times New Roman"/>
                <w:b/>
                <w:bCs/>
                <w:strike/>
                <w:color w:val="FF0000"/>
                <w:szCs w:val="24"/>
                <w:lang w:eastAsia="tr-TR"/>
              </w:rPr>
            </w:pPr>
            <w:r w:rsidRPr="00A23740">
              <w:rPr>
                <w:rFonts w:eastAsia="Times New Roman"/>
                <w:b/>
                <w:bCs/>
                <w:strike/>
                <w:color w:val="FF0000"/>
                <w:szCs w:val="24"/>
                <w:lang w:eastAsia="tr-TR"/>
              </w:rPr>
              <w:t>(2) (Mülga ikinci fıkra: 17/7/2003-4949/103 md.)</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b/>
                <w:color w:val="FF0066"/>
                <w:szCs w:val="24"/>
                <w:lang w:eastAsia="tr-TR"/>
              </w:rPr>
            </w:pPr>
          </w:p>
          <w:p w:rsidR="00A043AD" w:rsidRPr="00A23740" w:rsidRDefault="00A043AD" w:rsidP="00750F08">
            <w:pPr>
              <w:rPr>
                <w:rFonts w:eastAsia="Times New Roman"/>
                <w:b/>
                <w:color w:val="FF0066"/>
                <w:szCs w:val="24"/>
                <w:lang w:eastAsia="tr-TR"/>
              </w:rPr>
            </w:pPr>
          </w:p>
          <w:p w:rsidR="00A043AD" w:rsidRPr="00A23740" w:rsidRDefault="00A043AD" w:rsidP="00750F08">
            <w:pPr>
              <w:rPr>
                <w:rFonts w:eastAsia="Times New Roman"/>
                <w:b/>
                <w:color w:val="FF0066"/>
                <w:szCs w:val="24"/>
                <w:lang w:eastAsia="tr-TR"/>
              </w:rPr>
            </w:pPr>
          </w:p>
          <w:p w:rsidR="00A043AD" w:rsidRPr="00A23740" w:rsidRDefault="00A043AD" w:rsidP="00750F08">
            <w:pPr>
              <w:rPr>
                <w:rFonts w:eastAsia="Times New Roman"/>
                <w:szCs w:val="24"/>
                <w:lang w:eastAsia="tr-TR"/>
              </w:rPr>
            </w:pPr>
          </w:p>
          <w:p w:rsidR="0042569B" w:rsidRPr="00A23740" w:rsidRDefault="0042569B" w:rsidP="00750F08">
            <w:pPr>
              <w:rPr>
                <w:rFonts w:eastAsia="Times New Roman"/>
                <w:szCs w:val="24"/>
                <w:lang w:eastAsia="tr-TR"/>
              </w:rPr>
            </w:pPr>
          </w:p>
          <w:p w:rsidR="0042569B" w:rsidRPr="00A23740" w:rsidRDefault="0042569B" w:rsidP="00750F08">
            <w:pPr>
              <w:rPr>
                <w:rFonts w:eastAsia="Times New Roman"/>
                <w:szCs w:val="24"/>
                <w:lang w:eastAsia="tr-TR"/>
              </w:rPr>
            </w:pPr>
          </w:p>
          <w:p w:rsidR="005872B4" w:rsidRPr="00A23740" w:rsidRDefault="005872B4" w:rsidP="00750F08">
            <w:pPr>
              <w:rPr>
                <w:rFonts w:eastAsia="Times New Roman"/>
                <w:szCs w:val="24"/>
                <w:lang w:eastAsia="tr-TR"/>
              </w:rPr>
            </w:pPr>
          </w:p>
          <w:p w:rsidR="0042569B" w:rsidRPr="00A23740" w:rsidRDefault="0042569B" w:rsidP="00750F08">
            <w:pPr>
              <w:rPr>
                <w:rFonts w:eastAsia="Times New Roman"/>
                <w:szCs w:val="24"/>
                <w:lang w:eastAsia="tr-TR"/>
              </w:rPr>
            </w:pP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Fonts w:eastAsia="Times New Roman"/>
                <w:b/>
                <w:szCs w:val="24"/>
                <w:lang w:eastAsia="tr-TR"/>
              </w:rPr>
              <w:t>(3)</w:t>
            </w:r>
            <w:r w:rsidRPr="00A23740">
              <w:rPr>
                <w:rFonts w:eastAsia="Times New Roman"/>
                <w:b/>
                <w:bCs/>
                <w:strike/>
                <w:color w:val="FF0000"/>
                <w:szCs w:val="24"/>
                <w:lang w:eastAsia="tr-TR"/>
              </w:rPr>
              <w:t xml:space="preserve"> (Ek fıkra: 31/5/2005-5358/22 md.)</w:t>
            </w:r>
            <w:r w:rsidRPr="00A23740">
              <w:rPr>
                <w:rFonts w:eastAsia="Times New Roman"/>
                <w:szCs w:val="24"/>
                <w:lang w:eastAsia="tr-TR"/>
              </w:rPr>
              <w:t xml:space="preserve">İcra mahkemesinin </w:t>
            </w:r>
            <w:r w:rsidRPr="00A23740">
              <w:rPr>
                <w:rStyle w:val="KIRMIZIChar"/>
                <w:rFonts w:eastAsia="Calibri"/>
              </w:rPr>
              <w:t>bu Bap hükümlerine göre verdiği</w:t>
            </w:r>
            <w:r w:rsidRPr="00A23740">
              <w:rPr>
                <w:rFonts w:eastAsia="Times New Roman"/>
                <w:szCs w:val="24"/>
                <w:lang w:eastAsia="tr-TR"/>
              </w:rPr>
              <w:t xml:space="preserve"> tazyik veya disiplin hapsine ilişkin karar, kesinleştiği tarihten itibaren </w:t>
            </w:r>
            <w:r w:rsidRPr="00A23740">
              <w:rPr>
                <w:rFonts w:eastAsia="Times New Roman"/>
                <w:b/>
                <w:strike/>
                <w:color w:val="FF0000"/>
                <w:szCs w:val="24"/>
                <w:lang w:eastAsia="x-none"/>
              </w:rPr>
              <w:t>iki</w:t>
            </w:r>
            <w:r w:rsidRPr="00A23740">
              <w:rPr>
                <w:rFonts w:eastAsia="Times New Roman"/>
                <w:szCs w:val="24"/>
                <w:lang w:eastAsia="tr-TR"/>
              </w:rPr>
              <w:t xml:space="preserve"> yıl geçtikten sonra yerine getirilmez.</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7F1EBD">
              <w:rPr>
                <w:rStyle w:val="KIRMIZIChar"/>
                <w:rFonts w:eastAsia="Calibri"/>
              </w:rPr>
              <w:t>(4) (</w:t>
            </w:r>
            <w:r w:rsidRPr="00A23740">
              <w:rPr>
                <w:rFonts w:eastAsia="Times New Roman"/>
                <w:b/>
                <w:bCs/>
                <w:strike/>
                <w:color w:val="FF0000"/>
                <w:szCs w:val="24"/>
                <w:lang w:eastAsia="tr-TR"/>
              </w:rPr>
              <w:t>Ek fıkra: 31/3/2011-6217/6 md.) Nafaka alacaklarına ilişkin takipler hariç, alacak miktarı Asgari Ücret Tespit Komisyonu tarafından her yıl belirlenen aylık en yüksek brüt asgari ücret tutarının altında kalan takiplerde bu Kanunda öngörülen disiplin ve tazyik hapsi uygulanmaz.</w:t>
            </w: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tabs>
                <w:tab w:val="left" w:pos="567"/>
              </w:tabs>
              <w:rPr>
                <w:rFonts w:eastAsia="Times New Roman"/>
                <w:b/>
                <w:szCs w:val="24"/>
                <w:lang w:eastAsia="tr-TR"/>
              </w:rPr>
            </w:pPr>
            <w:r w:rsidRPr="00A23740">
              <w:rPr>
                <w:rFonts w:eastAsia="Times New Roman"/>
                <w:b/>
                <w:szCs w:val="24"/>
                <w:lang w:eastAsia="tr-TR"/>
              </w:rPr>
              <w:t xml:space="preserve">Davanın ve cezanın düşmesi </w:t>
            </w:r>
          </w:p>
          <w:p w:rsidR="00A043AD" w:rsidRPr="00A23740" w:rsidRDefault="00A043AD" w:rsidP="00750F08">
            <w:pPr>
              <w:rPr>
                <w:rFonts w:eastAsia="Times New Roman"/>
                <w:szCs w:val="24"/>
                <w:lang w:eastAsia="tr-TR"/>
              </w:rPr>
            </w:pPr>
            <w:r w:rsidRPr="00A23740">
              <w:rPr>
                <w:rFonts w:eastAsia="Times New Roman"/>
                <w:b/>
                <w:color w:val="0000FF"/>
                <w:szCs w:val="24"/>
              </w:rPr>
              <w:t>MADDE 538- (1)</w:t>
            </w:r>
            <w:r w:rsidRPr="00A23740">
              <w:rPr>
                <w:rFonts w:eastAsia="Times New Roman"/>
                <w:szCs w:val="24"/>
                <w:lang w:eastAsia="tr-TR"/>
              </w:rPr>
              <w:t xml:space="preserve"> </w:t>
            </w:r>
            <w:r w:rsidRPr="00A23740">
              <w:rPr>
                <w:rStyle w:val="MaviChar"/>
              </w:rPr>
              <w:t>S</w:t>
            </w:r>
            <w:r w:rsidRPr="00A23740">
              <w:rPr>
                <w:rFonts w:eastAsia="Times New Roman"/>
                <w:szCs w:val="24"/>
                <w:lang w:eastAsia="tr-TR"/>
              </w:rPr>
              <w:t>uçlar</w:t>
            </w:r>
            <w:r w:rsidRPr="00A23740">
              <w:rPr>
                <w:rFonts w:eastAsia="Times New Roman"/>
                <w:b/>
                <w:bCs/>
                <w:color w:val="0000FF"/>
                <w:szCs w:val="24"/>
                <w:lang w:eastAsia="x-none"/>
              </w:rPr>
              <w:t>ın veya disipline aykırı fiillerin</w:t>
            </w:r>
            <w:r w:rsidRPr="00A23740">
              <w:rPr>
                <w:rFonts w:eastAsia="Times New Roman"/>
                <w:szCs w:val="24"/>
                <w:lang w:eastAsia="tr-TR"/>
              </w:rPr>
              <w:t xml:space="preserve"> müştekisi </w:t>
            </w:r>
            <w:r w:rsidRPr="00A23740">
              <w:rPr>
                <w:rFonts w:eastAsia="Times New Roman"/>
                <w:b/>
                <w:bCs/>
                <w:color w:val="0000FF"/>
                <w:szCs w:val="24"/>
                <w:lang w:eastAsia="x-none"/>
              </w:rPr>
              <w:t xml:space="preserve">şikâyetinden vazgeçerse, </w:t>
            </w:r>
            <w:r w:rsidRPr="005D4042">
              <w:rPr>
                <w:rStyle w:val="YELChar"/>
                <w:color w:val="0000FF"/>
              </w:rPr>
              <w:t>dava düşer ve hükmolunan cezalar bütün sonuçlarıyla birlikte ortadan kalkar.</w:t>
            </w:r>
            <w:r w:rsidRPr="00A23740">
              <w:rPr>
                <w:rFonts w:eastAsia="Times New Roman"/>
                <w:szCs w:val="24"/>
                <w:lang w:eastAsia="tr-TR"/>
              </w:rPr>
              <w:t xml:space="preserve">  </w:t>
            </w:r>
          </w:p>
          <w:p w:rsidR="00392609" w:rsidRPr="00A23740" w:rsidRDefault="00392609" w:rsidP="00750F08">
            <w:pPr>
              <w:rPr>
                <w:rFonts w:eastAsia="Times New Roman"/>
                <w:b/>
                <w:bCs/>
                <w:color w:val="0000FF"/>
                <w:szCs w:val="24"/>
                <w:lang w:eastAsia="x-none"/>
              </w:rPr>
            </w:pPr>
          </w:p>
          <w:p w:rsidR="00392609" w:rsidRPr="005D4042" w:rsidRDefault="00392609" w:rsidP="00750F08">
            <w:pPr>
              <w:rPr>
                <w:rFonts w:eastAsia="Times New Roman"/>
                <w:b/>
                <w:bCs/>
                <w:color w:val="0000FF"/>
                <w:szCs w:val="24"/>
                <w:lang w:eastAsia="x-none"/>
              </w:rPr>
            </w:pPr>
            <w:r w:rsidRPr="005D4042">
              <w:rPr>
                <w:rFonts w:eastAsia="Times New Roman"/>
                <w:b/>
                <w:bCs/>
                <w:color w:val="0000FF"/>
                <w:szCs w:val="24"/>
                <w:lang w:eastAsia="x-none"/>
              </w:rPr>
              <w:t>(2) Bu Kanunun 518, 519, 520 ve 527 nci maddelerinde düzenlenen suçlarda, şikâyetten ancak hüküm kesinleşinceye kadar vazgeçilebilir.</w:t>
            </w:r>
          </w:p>
          <w:p w:rsidR="00A043AD" w:rsidRPr="00A23740" w:rsidRDefault="00A043AD" w:rsidP="00750F08">
            <w:pPr>
              <w:rPr>
                <w:rFonts w:eastAsia="Times New Roman"/>
                <w:b/>
                <w:bCs/>
                <w:color w:val="0000FF"/>
                <w:szCs w:val="24"/>
                <w:lang w:eastAsia="x-none"/>
              </w:rPr>
            </w:pPr>
          </w:p>
          <w:p w:rsidR="00A043AD" w:rsidRPr="00A23740" w:rsidRDefault="00A043AD" w:rsidP="00750F08">
            <w:pPr>
              <w:rPr>
                <w:rFonts w:eastAsia="Times New Roman"/>
                <w:b/>
                <w:bCs/>
                <w:color w:val="0000FF"/>
                <w:szCs w:val="24"/>
                <w:lang w:eastAsia="x-none"/>
              </w:rPr>
            </w:pPr>
            <w:r w:rsidRPr="00A23740">
              <w:rPr>
                <w:rFonts w:eastAsia="Times New Roman"/>
                <w:b/>
                <w:bCs/>
                <w:color w:val="0000FF"/>
                <w:szCs w:val="24"/>
                <w:lang w:eastAsia="x-none"/>
              </w:rPr>
              <w:t>(3) Şikâyetten vazgeçme, şikâyet edilenin kabulüne bağlı değildir.</w:t>
            </w:r>
          </w:p>
          <w:p w:rsidR="00A043AD" w:rsidRPr="00A23740" w:rsidRDefault="00A043AD" w:rsidP="00750F08">
            <w:pPr>
              <w:rPr>
                <w:rFonts w:eastAsia="Times New Roman"/>
                <w:b/>
                <w:bCs/>
                <w:color w:val="0000FF"/>
                <w:szCs w:val="24"/>
                <w:lang w:eastAsia="x-none"/>
              </w:rPr>
            </w:pPr>
          </w:p>
          <w:p w:rsidR="00A043AD" w:rsidRPr="00A23740" w:rsidRDefault="00A043AD" w:rsidP="00750F08">
            <w:pPr>
              <w:rPr>
                <w:rStyle w:val="KIRMIZIChar"/>
                <w:rFonts w:eastAsia="Calibri"/>
              </w:rPr>
            </w:pPr>
            <w:r w:rsidRPr="00A23740">
              <w:rPr>
                <w:rFonts w:eastAsia="Times New Roman"/>
                <w:b/>
                <w:bCs/>
                <w:color w:val="0000FF"/>
                <w:szCs w:val="24"/>
                <w:lang w:eastAsia="x-none"/>
              </w:rPr>
              <w:t xml:space="preserve">(4) </w:t>
            </w:r>
            <w:r w:rsidR="00365927" w:rsidRPr="005D4042">
              <w:rPr>
                <w:rStyle w:val="KonuBalChar"/>
                <w:rFonts w:eastAsia="Calibri"/>
                <w:color w:val="0000FF"/>
              </w:rPr>
              <w:t>518</w:t>
            </w:r>
            <w:r w:rsidRPr="00A23740">
              <w:rPr>
                <w:rFonts w:eastAsia="Times New Roman"/>
                <w:b/>
                <w:bCs/>
                <w:color w:val="0000FF"/>
                <w:szCs w:val="24"/>
                <w:lang w:eastAsia="x-none"/>
              </w:rPr>
              <w:t xml:space="preserve">, </w:t>
            </w:r>
            <w:r w:rsidR="00365927" w:rsidRPr="005D4042">
              <w:rPr>
                <w:rStyle w:val="KonuBalChar"/>
                <w:rFonts w:eastAsia="Calibri"/>
                <w:color w:val="0000FF"/>
              </w:rPr>
              <w:t>519</w:t>
            </w:r>
            <w:r w:rsidRPr="00A23740">
              <w:rPr>
                <w:rFonts w:eastAsia="Times New Roman"/>
                <w:b/>
                <w:bCs/>
                <w:color w:val="0000FF"/>
                <w:szCs w:val="24"/>
                <w:lang w:eastAsia="x-none"/>
              </w:rPr>
              <w:t xml:space="preserve">, </w:t>
            </w:r>
            <w:r w:rsidR="00365927" w:rsidRPr="005D4042">
              <w:rPr>
                <w:rStyle w:val="KonuBalChar"/>
                <w:rFonts w:eastAsia="Calibri"/>
                <w:color w:val="0000FF"/>
              </w:rPr>
              <w:t>521</w:t>
            </w:r>
            <w:r w:rsidR="00365927" w:rsidRPr="00A23740">
              <w:rPr>
                <w:rFonts w:eastAsia="Times New Roman"/>
                <w:b/>
                <w:bCs/>
                <w:color w:val="0000FF"/>
                <w:szCs w:val="24"/>
                <w:lang w:eastAsia="x-none"/>
              </w:rPr>
              <w:t xml:space="preserve"> </w:t>
            </w:r>
            <w:r w:rsidRPr="00A23740">
              <w:rPr>
                <w:rFonts w:eastAsia="Times New Roman"/>
                <w:b/>
                <w:bCs/>
                <w:color w:val="0000FF"/>
                <w:szCs w:val="24"/>
                <w:lang w:eastAsia="x-none"/>
              </w:rPr>
              <w:t xml:space="preserve">ve </w:t>
            </w:r>
            <w:r w:rsidR="00365927" w:rsidRPr="005D4042">
              <w:rPr>
                <w:rStyle w:val="KonuBalChar"/>
                <w:rFonts w:eastAsia="Calibri"/>
                <w:color w:val="0000FF"/>
              </w:rPr>
              <w:t>528 inci</w:t>
            </w:r>
            <w:r w:rsidR="00365927" w:rsidRPr="00A23740">
              <w:rPr>
                <w:rFonts w:eastAsia="Times New Roman"/>
                <w:b/>
                <w:bCs/>
                <w:color w:val="0000FF"/>
                <w:szCs w:val="24"/>
                <w:lang w:eastAsia="x-none"/>
              </w:rPr>
              <w:t xml:space="preserve"> </w:t>
            </w:r>
            <w:r w:rsidRPr="00A23740">
              <w:rPr>
                <w:rFonts w:eastAsia="Times New Roman"/>
                <w:b/>
                <w:bCs/>
                <w:color w:val="0000FF"/>
                <w:szCs w:val="24"/>
                <w:lang w:eastAsia="x-none"/>
              </w:rPr>
              <w:t xml:space="preserve">maddelerde düzenlenen suçlar hariç, diğer suçlar ile disipline aykırı fiiller bakımından borcun ödendiği sabit olursa, </w:t>
            </w:r>
            <w:r w:rsidRPr="005D4042">
              <w:rPr>
                <w:rStyle w:val="YELChar"/>
                <w:color w:val="0000FF"/>
              </w:rPr>
              <w:t>dava düşer ve hükmolunan cezalar bütün sonuçlarıyla birlikte ortadan kalkar.</w:t>
            </w:r>
          </w:p>
          <w:p w:rsidR="00A043AD" w:rsidRPr="00A23740" w:rsidRDefault="00A043AD" w:rsidP="00750F08">
            <w:pPr>
              <w:rPr>
                <w:rFonts w:ascii="New York" w:eastAsia="Times New Roman" w:hAnsi="New York"/>
                <w:i/>
                <w:sz w:val="18"/>
                <w:szCs w:val="20"/>
                <w:lang w:eastAsia="tr-TR"/>
              </w:rPr>
            </w:pPr>
          </w:p>
          <w:p w:rsidR="00A043AD" w:rsidRPr="00A23740" w:rsidRDefault="00A043AD" w:rsidP="007F1EBD">
            <w:pPr>
              <w:rPr>
                <w:rFonts w:ascii="New York" w:hAnsi="New York"/>
                <w:b/>
                <w:sz w:val="18"/>
                <w:szCs w:val="20"/>
                <w:lang w:eastAsia="tr-TR"/>
              </w:rPr>
            </w:pPr>
            <w:r w:rsidRPr="00A23740">
              <w:rPr>
                <w:rFonts w:eastAsia="Times New Roman"/>
                <w:b/>
                <w:bCs/>
                <w:color w:val="0000FF"/>
                <w:szCs w:val="24"/>
                <w:lang w:eastAsia="x-none"/>
              </w:rPr>
              <w:t>(5)</w:t>
            </w:r>
            <w:r w:rsidRPr="00A23740">
              <w:rPr>
                <w:rFonts w:eastAsia="Times New Roman"/>
                <w:szCs w:val="24"/>
                <w:lang w:eastAsia="tr-TR"/>
              </w:rPr>
              <w:t xml:space="preserve"> İcra </w:t>
            </w:r>
            <w:r w:rsidRPr="00A23740">
              <w:rPr>
                <w:rFonts w:eastAsia="Times New Roman"/>
                <w:b/>
                <w:color w:val="0000FF"/>
                <w:szCs w:val="24"/>
              </w:rPr>
              <w:t>ceza</w:t>
            </w:r>
            <w:r w:rsidRPr="00A23740">
              <w:rPr>
                <w:rFonts w:eastAsia="Times New Roman"/>
                <w:szCs w:val="24"/>
                <w:lang w:eastAsia="tr-TR"/>
              </w:rPr>
              <w:t xml:space="preserve"> mahkemesinin tazyik veya disiplin hapsine ilişkin karar</w:t>
            </w:r>
            <w:r w:rsidRPr="00A23740">
              <w:rPr>
                <w:rFonts w:eastAsia="Times New Roman"/>
                <w:b/>
                <w:bCs/>
                <w:color w:val="0000FF"/>
                <w:szCs w:val="24"/>
                <w:lang w:eastAsia="x-none"/>
              </w:rPr>
              <w:t>ları</w:t>
            </w:r>
            <w:r w:rsidRPr="00A23740">
              <w:rPr>
                <w:rFonts w:eastAsia="Times New Roman"/>
                <w:szCs w:val="24"/>
                <w:lang w:eastAsia="tr-TR"/>
              </w:rPr>
              <w:t xml:space="preserve">, </w:t>
            </w:r>
            <w:r w:rsidRPr="005D4042">
              <w:rPr>
                <w:rStyle w:val="YELChar"/>
                <w:color w:val="0000FF"/>
              </w:rPr>
              <w:t>kesinleşme tarihinden</w:t>
            </w:r>
            <w:r w:rsidRPr="00A23740">
              <w:rPr>
                <w:rFonts w:eastAsia="Times New Roman"/>
                <w:szCs w:val="24"/>
                <w:lang w:eastAsia="tr-TR"/>
              </w:rPr>
              <w:t xml:space="preserve"> itibaren </w:t>
            </w:r>
            <w:r w:rsidRPr="00A23740">
              <w:rPr>
                <w:rFonts w:eastAsia="Times New Roman"/>
                <w:b/>
                <w:bCs/>
                <w:color w:val="0000FF"/>
                <w:szCs w:val="24"/>
                <w:lang w:eastAsia="x-none"/>
              </w:rPr>
              <w:t>üç</w:t>
            </w:r>
            <w:r w:rsidRPr="00A23740">
              <w:rPr>
                <w:rFonts w:eastAsia="Times New Roman"/>
                <w:szCs w:val="24"/>
                <w:lang w:eastAsia="tr-TR"/>
              </w:rPr>
              <w:t xml:space="preserve"> yıl geçtikten sonra yerine getirilmez.</w:t>
            </w: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Arial Unicode MS"/>
                <w:b/>
                <w:iCs/>
                <w:szCs w:val="24"/>
                <w:lang w:eastAsia="tr-TR"/>
              </w:rPr>
            </w:pP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b/>
                <w:iCs/>
                <w:szCs w:val="24"/>
                <w:lang w:eastAsia="tr-TR"/>
              </w:rPr>
              <w:t>MADDE 538-</w:t>
            </w:r>
            <w:r w:rsidRPr="00A23740">
              <w:rPr>
                <w:rFonts w:eastAsia="Arial Unicode MS"/>
                <w:iCs/>
                <w:szCs w:val="24"/>
                <w:lang w:eastAsia="tr-TR"/>
              </w:rPr>
              <w:t xml:space="preserve"> Maddeyle, dava ve cezanın düşmesine ilişkin hususlar düzenlenmektedir. Hüküm, 2004 sayılı Kanunun 354 üncü maddesine karşılık gelmektedir. </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Birinci fıkrayla, bu Kanunda düzenlen</w:t>
            </w:r>
            <w:r w:rsidR="00511437" w:rsidRPr="00A23740">
              <w:rPr>
                <w:rFonts w:eastAsia="Arial Unicode MS"/>
                <w:iCs/>
                <w:szCs w:val="24"/>
                <w:lang w:eastAsia="tr-TR"/>
              </w:rPr>
              <w:t>ip</w:t>
            </w:r>
            <w:r w:rsidRPr="00A23740">
              <w:rPr>
                <w:rFonts w:eastAsia="Arial Unicode MS"/>
                <w:iCs/>
                <w:szCs w:val="24"/>
                <w:lang w:eastAsia="tr-TR"/>
              </w:rPr>
              <w:t xml:space="preserve"> takibi şikâyete bağlı olan suçların veya disipline aykırı fiillerin müştekisinin şikâyetinden vazgeçmesi hâlinde, </w:t>
            </w:r>
            <w:r w:rsidRPr="005D4042">
              <w:rPr>
                <w:rFonts w:eastAsia="Arial Unicode MS"/>
                <w:iCs/>
                <w:szCs w:val="24"/>
                <w:lang w:eastAsia="tr-TR"/>
              </w:rPr>
              <w:t>davanın</w:t>
            </w:r>
            <w:r w:rsidRPr="00A23740">
              <w:rPr>
                <w:rFonts w:eastAsia="Arial Unicode MS"/>
                <w:iCs/>
                <w:szCs w:val="24"/>
                <w:lang w:eastAsia="tr-TR"/>
              </w:rPr>
              <w:t xml:space="preserve"> </w:t>
            </w:r>
            <w:r w:rsidRPr="005D4042">
              <w:rPr>
                <w:rFonts w:eastAsia="Arial Unicode MS"/>
                <w:iCs/>
                <w:szCs w:val="24"/>
                <w:lang w:eastAsia="tr-TR"/>
              </w:rPr>
              <w:t>düşeceği ve hükmolunan cezaların bütün sonuçlarıyla birlikte ortadan kalkacağı</w:t>
            </w:r>
            <w:r w:rsidRPr="00A23740">
              <w:rPr>
                <w:rStyle w:val="YELChar"/>
              </w:rPr>
              <w:t xml:space="preserve"> </w:t>
            </w:r>
            <w:r w:rsidRPr="005D4042">
              <w:rPr>
                <w:rFonts w:eastAsia="Arial Unicode MS"/>
                <w:iCs/>
                <w:szCs w:val="24"/>
                <w:lang w:eastAsia="tr-TR"/>
              </w:rPr>
              <w:t>hükme</w:t>
            </w:r>
            <w:r w:rsidRPr="005D4042">
              <w:rPr>
                <w:rFonts w:eastAsia="Arial Unicode MS"/>
                <w:b/>
                <w:iCs/>
                <w:lang w:eastAsia="tr-TR"/>
              </w:rPr>
              <w:t xml:space="preserve"> </w:t>
            </w:r>
            <w:r w:rsidRPr="005D4042">
              <w:rPr>
                <w:rFonts w:eastAsia="Arial Unicode MS"/>
                <w:iCs/>
                <w:szCs w:val="24"/>
                <w:lang w:eastAsia="tr-TR"/>
              </w:rPr>
              <w:t>bağlanmaktadır</w:t>
            </w:r>
            <w:r w:rsidRPr="00A23740">
              <w:rPr>
                <w:rFonts w:eastAsia="Arial Unicode MS"/>
                <w:iCs/>
                <w:szCs w:val="24"/>
                <w:lang w:eastAsia="tr-TR"/>
              </w:rPr>
              <w:t>. Buna göre, devam eden yargılamalarda veya kararın verilmesinden ya da kesinleşmesinden ve nihayet cezanın infazı tamamlanıncaya kadar her aşamada şikâyetten vazgeçilmesi, dava ve bütün neticeleri</w:t>
            </w:r>
            <w:r w:rsidR="00511437" w:rsidRPr="00A23740">
              <w:rPr>
                <w:rFonts w:eastAsia="Arial Unicode MS"/>
                <w:iCs/>
                <w:szCs w:val="24"/>
                <w:lang w:eastAsia="tr-TR"/>
              </w:rPr>
              <w:t>yle</w:t>
            </w:r>
            <w:r w:rsidRPr="00A23740">
              <w:rPr>
                <w:rFonts w:eastAsia="Arial Unicode MS"/>
                <w:iCs/>
                <w:szCs w:val="24"/>
                <w:lang w:eastAsia="tr-TR"/>
              </w:rPr>
              <w:t xml:space="preserve"> beraber cezanın düşmesi sonucunu doğurmaktadır. Bu hükümle, söz konusu suçların ve disipline aykırı fiillerin niteliği gözetilerek, 5237 sayılı </w:t>
            </w:r>
            <w:r w:rsidR="001F7CA8" w:rsidRPr="005D4042">
              <w:rPr>
                <w:rFonts w:eastAsia="Arial Unicode MS"/>
                <w:iCs/>
                <w:szCs w:val="24"/>
                <w:lang w:eastAsia="tr-TR"/>
              </w:rPr>
              <w:t>Kanunun</w:t>
            </w:r>
            <w:r w:rsidR="001F7CA8" w:rsidRPr="00A23740">
              <w:rPr>
                <w:rFonts w:eastAsia="Times New Roman"/>
                <w:szCs w:val="24"/>
                <w:lang w:eastAsia="tr-TR"/>
              </w:rPr>
              <w:t xml:space="preserve"> </w:t>
            </w:r>
            <w:r w:rsidRPr="00A23740">
              <w:rPr>
                <w:rFonts w:eastAsia="Arial Unicode MS"/>
                <w:iCs/>
                <w:szCs w:val="24"/>
                <w:lang w:eastAsia="tr-TR"/>
              </w:rPr>
              <w:t xml:space="preserve">73 üncü maddesinde yer verilen şikâyete bağlı suçlarda </w:t>
            </w:r>
            <w:r w:rsidR="00422B02" w:rsidRPr="00A23740">
              <w:rPr>
                <w:rFonts w:eastAsia="Arial Unicode MS"/>
                <w:iCs/>
                <w:szCs w:val="24"/>
                <w:lang w:eastAsia="tr-TR"/>
              </w:rPr>
              <w:t xml:space="preserve">hükmün kesinleşmesinden </w:t>
            </w:r>
            <w:r w:rsidRPr="00A23740">
              <w:rPr>
                <w:rFonts w:eastAsia="Arial Unicode MS"/>
                <w:iCs/>
                <w:szCs w:val="24"/>
                <w:lang w:eastAsia="tr-TR"/>
              </w:rPr>
              <w:t xml:space="preserve">sonraki vazgeçmenin cezanın infazına engel olmayacağına </w:t>
            </w:r>
            <w:r w:rsidR="00422B02" w:rsidRPr="00A23740">
              <w:rPr>
                <w:rFonts w:eastAsia="Arial Unicode MS"/>
                <w:iCs/>
                <w:szCs w:val="24"/>
                <w:lang w:eastAsia="tr-TR"/>
              </w:rPr>
              <w:t xml:space="preserve">ilişkin </w:t>
            </w:r>
            <w:r w:rsidRPr="00A23740">
              <w:rPr>
                <w:rFonts w:eastAsia="Arial Unicode MS"/>
                <w:iCs/>
                <w:szCs w:val="24"/>
                <w:lang w:eastAsia="tr-TR"/>
              </w:rPr>
              <w:t xml:space="preserve">kuralın aksine bir düzenleme yapılmaktadır. Diğer taraftan, 2004 sayılı Kanunun 354 üncü maddesinin birinci fıkrasında “feragat” ibaresi kullanılmışken hükümde, 5237 sayılı </w:t>
            </w:r>
            <w:r w:rsidR="001F7CA8" w:rsidRPr="005D4042">
              <w:rPr>
                <w:rFonts w:eastAsia="Arial Unicode MS"/>
                <w:iCs/>
                <w:szCs w:val="24"/>
                <w:lang w:eastAsia="tr-TR"/>
              </w:rPr>
              <w:t>Kanunun</w:t>
            </w:r>
            <w:r w:rsidR="001F7CA8" w:rsidRPr="00A23740">
              <w:rPr>
                <w:rFonts w:eastAsia="Times New Roman"/>
                <w:szCs w:val="24"/>
                <w:lang w:eastAsia="tr-TR"/>
              </w:rPr>
              <w:t xml:space="preserve"> </w:t>
            </w:r>
            <w:r w:rsidRPr="00A23740">
              <w:rPr>
                <w:rFonts w:eastAsia="Arial Unicode MS"/>
                <w:iCs/>
                <w:szCs w:val="24"/>
                <w:lang w:eastAsia="tr-TR"/>
              </w:rPr>
              <w:t>73 üncü maddesine uygun olarak “vazgeçme” ibaresi tercih edilmektedir.</w:t>
            </w:r>
          </w:p>
          <w:p w:rsidR="00A043AD" w:rsidRPr="00A23740" w:rsidRDefault="00A043AD" w:rsidP="00750F08">
            <w:pPr>
              <w:tabs>
                <w:tab w:val="left" w:pos="567"/>
              </w:tabs>
              <w:ind w:firstLine="709"/>
              <w:rPr>
                <w:rFonts w:eastAsia="Times New Roman"/>
                <w:b/>
                <w:bCs/>
                <w:color w:val="0000FF"/>
                <w:szCs w:val="24"/>
                <w:lang w:eastAsia="x-none"/>
              </w:rPr>
            </w:pPr>
            <w:r w:rsidRPr="00A23740">
              <w:rPr>
                <w:rFonts w:eastAsia="Arial Unicode MS"/>
                <w:iCs/>
                <w:szCs w:val="24"/>
                <w:lang w:eastAsia="tr-TR"/>
              </w:rPr>
              <w:t xml:space="preserve">İkinci fıkrayla, Taslağın </w:t>
            </w:r>
            <w:r w:rsidR="005872B4" w:rsidRPr="005D4042">
              <w:rPr>
                <w:rFonts w:eastAsia="Arial Unicode MS"/>
                <w:iCs/>
                <w:szCs w:val="24"/>
                <w:lang w:eastAsia="tr-TR"/>
              </w:rPr>
              <w:t>gerçeğe aykırı beyanda bulunmaya ilişkin 518,</w:t>
            </w:r>
            <w:r w:rsidR="005872B4" w:rsidRPr="00A23740">
              <w:rPr>
                <w:rFonts w:eastAsia="Times New Roman"/>
                <w:szCs w:val="24"/>
                <w:lang w:eastAsia="tr-TR"/>
              </w:rPr>
              <w:t xml:space="preserve"> </w:t>
            </w:r>
            <w:r w:rsidR="005872B4" w:rsidRPr="005D4042">
              <w:rPr>
                <w:rFonts w:eastAsia="Arial Unicode MS"/>
                <w:iCs/>
                <w:szCs w:val="24"/>
                <w:lang w:eastAsia="tr-TR"/>
              </w:rPr>
              <w:t>defteri</w:t>
            </w:r>
            <w:r w:rsidR="005872B4" w:rsidRPr="005D4042">
              <w:rPr>
                <w:rFonts w:eastAsia="Arial Unicode MS"/>
                <w:b/>
                <w:iCs/>
                <w:lang w:eastAsia="tr-TR"/>
              </w:rPr>
              <w:t xml:space="preserve"> </w:t>
            </w:r>
            <w:r w:rsidR="005872B4" w:rsidRPr="005D4042">
              <w:rPr>
                <w:rFonts w:eastAsia="Arial Unicode MS"/>
                <w:iCs/>
                <w:szCs w:val="24"/>
                <w:lang w:eastAsia="tr-TR"/>
              </w:rPr>
              <w:t>tutulmuş eşyanın kaçırılmasına</w:t>
            </w:r>
            <w:r w:rsidR="005872B4" w:rsidRPr="00A23740">
              <w:rPr>
                <w:rStyle w:val="YELChar"/>
              </w:rPr>
              <w:t xml:space="preserve"> </w:t>
            </w:r>
            <w:r w:rsidR="005872B4" w:rsidRPr="005D4042">
              <w:rPr>
                <w:rFonts w:eastAsia="Arial Unicode MS"/>
                <w:iCs/>
                <w:szCs w:val="24"/>
                <w:lang w:eastAsia="tr-TR"/>
              </w:rPr>
              <w:t>ilişkin</w:t>
            </w:r>
            <w:r w:rsidR="005872B4" w:rsidRPr="00A23740">
              <w:rPr>
                <w:rFonts w:eastAsia="Times New Roman"/>
                <w:b/>
                <w:bCs/>
                <w:color w:val="0000FF"/>
                <w:szCs w:val="24"/>
                <w:lang w:eastAsia="x-none"/>
              </w:rPr>
              <w:t xml:space="preserve"> </w:t>
            </w:r>
            <w:r w:rsidR="005872B4" w:rsidRPr="005D4042">
              <w:rPr>
                <w:rFonts w:eastAsia="Arial Unicode MS"/>
                <w:iCs/>
                <w:szCs w:val="24"/>
                <w:lang w:eastAsia="tr-TR"/>
              </w:rPr>
              <w:t>519,</w:t>
            </w:r>
            <w:r w:rsidR="005872B4" w:rsidRPr="00A23740">
              <w:rPr>
                <w:rStyle w:val="KonuBalChar"/>
                <w:rFonts w:eastAsia="Calibri"/>
              </w:rPr>
              <w:t xml:space="preserve"> </w:t>
            </w:r>
            <w:r w:rsidR="005872B4" w:rsidRPr="005D4042">
              <w:rPr>
                <w:rFonts w:eastAsia="Arial Unicode MS"/>
                <w:iCs/>
                <w:szCs w:val="24"/>
                <w:lang w:eastAsia="tr-TR"/>
              </w:rPr>
              <w:t>tahliyesi</w:t>
            </w:r>
            <w:r w:rsidR="005872B4" w:rsidRPr="00A23740">
              <w:rPr>
                <w:rStyle w:val="KonuBalChar"/>
                <w:rFonts w:eastAsia="ヒラギノ明朝 Pro W3"/>
              </w:rPr>
              <w:t xml:space="preserve"> </w:t>
            </w:r>
            <w:r w:rsidR="005872B4" w:rsidRPr="005D4042">
              <w:rPr>
                <w:rFonts w:eastAsia="Arial Unicode MS"/>
                <w:iCs/>
                <w:szCs w:val="24"/>
                <w:lang w:eastAsia="tr-TR"/>
              </w:rPr>
              <w:t>emredilen yerin işgal edilmesine ilişkin 520</w:t>
            </w:r>
            <w:r w:rsidR="005872B4" w:rsidRPr="00A23740">
              <w:rPr>
                <w:rStyle w:val="KonuBalChar"/>
                <w:rFonts w:eastAsia="Calibri"/>
              </w:rPr>
              <w:t xml:space="preserve"> </w:t>
            </w:r>
            <w:r w:rsidR="005872B4" w:rsidRPr="00A23740">
              <w:rPr>
                <w:rFonts w:eastAsia="Arial Unicode MS"/>
                <w:bCs/>
                <w:iCs/>
                <w:szCs w:val="24"/>
                <w:lang w:eastAsia="tr-TR"/>
              </w:rPr>
              <w:t xml:space="preserve">ve </w:t>
            </w:r>
            <w:r w:rsidR="005872B4" w:rsidRPr="005D4042">
              <w:rPr>
                <w:rFonts w:eastAsia="Arial Unicode MS"/>
                <w:iCs/>
                <w:szCs w:val="24"/>
                <w:lang w:eastAsia="tr-TR"/>
              </w:rPr>
              <w:t xml:space="preserve">iflas ve konkordato işlerinde menfaat temin etmeye ilişkin 527 nci </w:t>
            </w:r>
            <w:r w:rsidRPr="00A23740">
              <w:rPr>
                <w:rFonts w:eastAsia="Arial Unicode MS"/>
                <w:iCs/>
                <w:szCs w:val="24"/>
                <w:lang w:eastAsia="tr-TR"/>
              </w:rPr>
              <w:t>maddelerinde düzenlenen suçlar bakımından, bu suçların niteliği gözetilmek suretiyle ancak hüküm kesinleşinceye kadar şikâyetten vazgeçilebileceği hükme bağlanmaktadır.</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Üçüncü fıkrayla, şikâyetten vazgeçmenin şikâyet edilenin kabulüne bağlı olmadığı düzenlenmektedir. Bu hükümle, 5237 sayılı </w:t>
            </w:r>
            <w:r w:rsidR="001F7CA8" w:rsidRPr="005D4042">
              <w:rPr>
                <w:rFonts w:eastAsia="Arial Unicode MS"/>
                <w:iCs/>
                <w:szCs w:val="24"/>
                <w:lang w:eastAsia="tr-TR"/>
              </w:rPr>
              <w:t>Kanunun</w:t>
            </w:r>
            <w:r w:rsidR="001F7CA8" w:rsidRPr="00A23740">
              <w:rPr>
                <w:rFonts w:eastAsia="Times New Roman"/>
                <w:szCs w:val="24"/>
                <w:lang w:eastAsia="tr-TR"/>
              </w:rPr>
              <w:t xml:space="preserve"> </w:t>
            </w:r>
            <w:r w:rsidRPr="00A23740">
              <w:rPr>
                <w:rFonts w:eastAsia="Arial Unicode MS"/>
                <w:iCs/>
                <w:szCs w:val="24"/>
                <w:lang w:eastAsia="tr-TR"/>
              </w:rPr>
              <w:t>73 üncü maddesinin altıncı fıkrasındaki vazgeçmenin onu kabul etmeyen sanığı etkilemeyeceğine dair kuralın aksine bir tercihte bulunulmaktadır.</w:t>
            </w:r>
          </w:p>
          <w:p w:rsidR="00A043AD" w:rsidRPr="00A23740" w:rsidRDefault="00A043AD" w:rsidP="00750F08">
            <w:pPr>
              <w:tabs>
                <w:tab w:val="left" w:pos="567"/>
              </w:tabs>
              <w:ind w:firstLine="709"/>
              <w:rPr>
                <w:rFonts w:eastAsia="Times New Roman"/>
                <w:b/>
                <w:bCs/>
                <w:color w:val="0000FF"/>
                <w:szCs w:val="24"/>
                <w:lang w:eastAsia="x-none"/>
              </w:rPr>
            </w:pPr>
            <w:r w:rsidRPr="00A23740">
              <w:rPr>
                <w:rFonts w:eastAsia="Arial Unicode MS"/>
                <w:iCs/>
                <w:szCs w:val="24"/>
                <w:lang w:eastAsia="tr-TR"/>
              </w:rPr>
              <w:t>Dördüncü fıkrayla, bo</w:t>
            </w:r>
            <w:r w:rsidR="00F96839" w:rsidRPr="00A23740">
              <w:rPr>
                <w:rFonts w:eastAsia="Arial Unicode MS"/>
                <w:iCs/>
                <w:szCs w:val="24"/>
                <w:lang w:eastAsia="tr-TR"/>
              </w:rPr>
              <w:t>rcun ödendiğinin sabit olması hâ</w:t>
            </w:r>
            <w:r w:rsidRPr="00A23740">
              <w:rPr>
                <w:rFonts w:eastAsia="Arial Unicode MS"/>
                <w:iCs/>
                <w:szCs w:val="24"/>
                <w:lang w:eastAsia="tr-TR"/>
              </w:rPr>
              <w:t xml:space="preserve">linde dava  ve cezanın düşmesine ilişkin hususlar düzenlenmektedir. Buna göre, Taslağın </w:t>
            </w:r>
            <w:r w:rsidR="005872B4" w:rsidRPr="005D4042">
              <w:rPr>
                <w:rFonts w:eastAsia="Arial Unicode MS"/>
                <w:iCs/>
                <w:szCs w:val="24"/>
                <w:lang w:eastAsia="tr-TR"/>
              </w:rPr>
              <w:t>518,</w:t>
            </w:r>
            <w:r w:rsidR="005872B4" w:rsidRPr="00A23740">
              <w:rPr>
                <w:rFonts w:eastAsia="Times New Roman"/>
                <w:b/>
                <w:bCs/>
                <w:color w:val="0000FF"/>
                <w:szCs w:val="24"/>
                <w:lang w:eastAsia="x-none"/>
              </w:rPr>
              <w:t xml:space="preserve"> </w:t>
            </w:r>
            <w:r w:rsidR="005872B4" w:rsidRPr="005D4042">
              <w:rPr>
                <w:rFonts w:eastAsia="Arial Unicode MS"/>
                <w:iCs/>
                <w:szCs w:val="24"/>
                <w:lang w:eastAsia="tr-TR"/>
              </w:rPr>
              <w:t>519, 521</w:t>
            </w:r>
            <w:r w:rsidR="005872B4" w:rsidRPr="00A23740">
              <w:rPr>
                <w:rFonts w:eastAsia="Times New Roman"/>
                <w:b/>
                <w:bCs/>
                <w:color w:val="0000FF"/>
                <w:szCs w:val="24"/>
                <w:lang w:eastAsia="x-none"/>
              </w:rPr>
              <w:t xml:space="preserve"> </w:t>
            </w:r>
            <w:r w:rsidR="005872B4" w:rsidRPr="00A23740">
              <w:rPr>
                <w:rFonts w:eastAsia="Arial Unicode MS"/>
                <w:iCs/>
                <w:szCs w:val="24"/>
                <w:lang w:eastAsia="tr-TR"/>
              </w:rPr>
              <w:t>ve</w:t>
            </w:r>
            <w:r w:rsidR="005872B4" w:rsidRPr="00A23740">
              <w:rPr>
                <w:rFonts w:eastAsia="Times New Roman"/>
                <w:b/>
                <w:bCs/>
                <w:color w:val="0000FF"/>
                <w:szCs w:val="24"/>
                <w:lang w:eastAsia="x-none"/>
              </w:rPr>
              <w:t xml:space="preserve"> </w:t>
            </w:r>
            <w:r w:rsidR="005872B4" w:rsidRPr="005D4042">
              <w:rPr>
                <w:rFonts w:eastAsia="Arial Unicode MS"/>
                <w:iCs/>
                <w:szCs w:val="24"/>
                <w:lang w:eastAsia="tr-TR"/>
              </w:rPr>
              <w:t>528</w:t>
            </w:r>
            <w:r w:rsidR="005872B4" w:rsidRPr="00A23740">
              <w:rPr>
                <w:rStyle w:val="KonuBalChar"/>
                <w:rFonts w:eastAsia="Calibri"/>
              </w:rPr>
              <w:t xml:space="preserve"> </w:t>
            </w:r>
            <w:r w:rsidR="005872B4" w:rsidRPr="005D4042">
              <w:rPr>
                <w:rFonts w:eastAsia="Arial Unicode MS"/>
                <w:iCs/>
                <w:szCs w:val="24"/>
                <w:lang w:eastAsia="tr-TR"/>
              </w:rPr>
              <w:t>inci</w:t>
            </w:r>
            <w:r w:rsidR="005872B4" w:rsidRPr="00A23740">
              <w:rPr>
                <w:rFonts w:eastAsia="Times New Roman"/>
                <w:b/>
                <w:bCs/>
                <w:color w:val="0000FF"/>
                <w:szCs w:val="24"/>
                <w:lang w:eastAsia="x-none"/>
              </w:rPr>
              <w:t xml:space="preserve"> </w:t>
            </w:r>
            <w:r w:rsidRPr="00A23740">
              <w:rPr>
                <w:rFonts w:eastAsia="Arial Unicode MS"/>
                <w:iCs/>
                <w:szCs w:val="24"/>
                <w:lang w:eastAsia="tr-TR"/>
              </w:rPr>
              <w:t>maddelerinde düzenlenen suçlar dışında kalan diğer suçlar ile disipline aykırı fiiller bakımından bo</w:t>
            </w:r>
            <w:r w:rsidR="00F96839" w:rsidRPr="00A23740">
              <w:rPr>
                <w:rFonts w:eastAsia="Arial Unicode MS"/>
                <w:iCs/>
                <w:szCs w:val="24"/>
                <w:lang w:eastAsia="tr-TR"/>
              </w:rPr>
              <w:t>rcun ödendiğinin sabit olması hâ</w:t>
            </w:r>
            <w:r w:rsidRPr="00A23740">
              <w:rPr>
                <w:rFonts w:eastAsia="Arial Unicode MS"/>
                <w:iCs/>
                <w:szCs w:val="24"/>
                <w:lang w:eastAsia="tr-TR"/>
              </w:rPr>
              <w:t>linde</w:t>
            </w:r>
            <w:r w:rsidRPr="00A23740">
              <w:rPr>
                <w:rFonts w:eastAsia="Arial Unicode MS"/>
                <w:iCs/>
                <w:lang w:eastAsia="tr-TR"/>
              </w:rPr>
              <w:t>,</w:t>
            </w:r>
            <w:r w:rsidRPr="00A23740">
              <w:rPr>
                <w:rFonts w:eastAsia="Arial Unicode MS"/>
                <w:iCs/>
                <w:szCs w:val="24"/>
                <w:lang w:eastAsia="tr-TR"/>
              </w:rPr>
              <w:t xml:space="preserve"> </w:t>
            </w:r>
            <w:r w:rsidRPr="005D4042">
              <w:rPr>
                <w:rStyle w:val="YELChar"/>
                <w:b w:val="0"/>
                <w:color w:val="auto"/>
              </w:rPr>
              <w:t>davanın</w:t>
            </w:r>
            <w:r w:rsidRPr="005D4042">
              <w:rPr>
                <w:rFonts w:eastAsia="Arial Unicode MS"/>
                <w:b/>
                <w:iCs/>
                <w:szCs w:val="24"/>
                <w:lang w:eastAsia="tr-TR"/>
              </w:rPr>
              <w:t xml:space="preserve"> </w:t>
            </w:r>
            <w:r w:rsidRPr="005D4042">
              <w:rPr>
                <w:rStyle w:val="YELChar"/>
                <w:b w:val="0"/>
                <w:color w:val="auto"/>
              </w:rPr>
              <w:t>düşeceği ve hükmolunan cezaların bütün sonuçlarıyla birlikte ortadan kalkacağı</w:t>
            </w:r>
            <w:r w:rsidRPr="00A23740">
              <w:rPr>
                <w:rFonts w:eastAsia="Arial Unicode MS"/>
                <w:iCs/>
                <w:szCs w:val="24"/>
                <w:lang w:eastAsia="tr-TR"/>
              </w:rPr>
              <w:t xml:space="preserve"> hüküm altına alınmaktadır. Fıkrada istisna tutulan suçlardan </w:t>
            </w:r>
            <w:r w:rsidR="005872B4" w:rsidRPr="005D4042">
              <w:rPr>
                <w:rStyle w:val="KonuBalChar"/>
                <w:rFonts w:eastAsia="Arial Unicode MS"/>
                <w:b w:val="0"/>
                <w:color w:val="auto"/>
              </w:rPr>
              <w:t>518</w:t>
            </w:r>
            <w:r w:rsidR="005872B4" w:rsidRPr="00A23740">
              <w:rPr>
                <w:rFonts w:eastAsia="Arial Unicode MS"/>
                <w:iCs/>
                <w:szCs w:val="24"/>
                <w:lang w:eastAsia="tr-TR"/>
              </w:rPr>
              <w:t xml:space="preserve"> </w:t>
            </w:r>
            <w:r w:rsidRPr="00A23740">
              <w:rPr>
                <w:rFonts w:eastAsia="Arial Unicode MS"/>
                <w:iCs/>
                <w:szCs w:val="24"/>
                <w:lang w:eastAsia="tr-TR"/>
              </w:rPr>
              <w:t xml:space="preserve">inci maddenin ikinci fıkrasında, </w:t>
            </w:r>
            <w:r w:rsidR="005872B4" w:rsidRPr="005D4042">
              <w:rPr>
                <w:rStyle w:val="KonuBalChar"/>
                <w:rFonts w:eastAsia="Arial Unicode MS"/>
                <w:b w:val="0"/>
                <w:color w:val="auto"/>
              </w:rPr>
              <w:t>519 uncu</w:t>
            </w:r>
            <w:r w:rsidR="005872B4" w:rsidRPr="00A23740">
              <w:rPr>
                <w:rFonts w:eastAsia="Arial Unicode MS"/>
                <w:iCs/>
                <w:szCs w:val="24"/>
                <w:lang w:eastAsia="tr-TR"/>
              </w:rPr>
              <w:t xml:space="preserve"> </w:t>
            </w:r>
            <w:r w:rsidRPr="00A23740">
              <w:rPr>
                <w:rFonts w:eastAsia="Arial Unicode MS"/>
                <w:iCs/>
                <w:szCs w:val="24"/>
                <w:lang w:eastAsia="tr-TR"/>
              </w:rPr>
              <w:t xml:space="preserve">maddenin ikinci fıkrasında ve </w:t>
            </w:r>
            <w:r w:rsidR="005872B4" w:rsidRPr="005D4042">
              <w:rPr>
                <w:rStyle w:val="KonuBalChar"/>
                <w:rFonts w:eastAsia="Calibri"/>
                <w:b w:val="0"/>
                <w:color w:val="auto"/>
              </w:rPr>
              <w:t>521</w:t>
            </w:r>
            <w:r w:rsidR="005872B4" w:rsidRPr="00A23740">
              <w:rPr>
                <w:rStyle w:val="KonuBalChar"/>
                <w:rFonts w:eastAsia="Calibri"/>
                <w:lang w:val="tr-TR"/>
              </w:rPr>
              <w:t xml:space="preserve"> </w:t>
            </w:r>
            <w:r w:rsidR="005872B4" w:rsidRPr="005D4042">
              <w:rPr>
                <w:rStyle w:val="KonuBalChar"/>
                <w:rFonts w:eastAsia="Calibri"/>
                <w:b w:val="0"/>
                <w:color w:val="auto"/>
                <w:lang w:val="tr-TR"/>
              </w:rPr>
              <w:t>inci</w:t>
            </w:r>
            <w:r w:rsidR="005872B4" w:rsidRPr="00A23740">
              <w:rPr>
                <w:rFonts w:eastAsia="Times New Roman"/>
                <w:b/>
                <w:bCs/>
                <w:color w:val="0000FF"/>
                <w:szCs w:val="24"/>
                <w:lang w:eastAsia="x-none"/>
              </w:rPr>
              <w:t xml:space="preserve"> </w:t>
            </w:r>
            <w:r w:rsidRPr="00A23740">
              <w:rPr>
                <w:rFonts w:eastAsia="Arial Unicode MS"/>
                <w:iCs/>
                <w:szCs w:val="24"/>
                <w:lang w:eastAsia="tr-TR"/>
              </w:rPr>
              <w:t xml:space="preserve">maddenin ikinci fıkrasında etkin pişmanlığa ilişkin düzenlemelere özel olarak yer verilmektedir. </w:t>
            </w:r>
          </w:p>
          <w:p w:rsidR="00A043AD" w:rsidRPr="00A23740" w:rsidRDefault="00A043AD" w:rsidP="00750F08">
            <w:pPr>
              <w:tabs>
                <w:tab w:val="left" w:pos="567"/>
              </w:tabs>
              <w:ind w:firstLine="709"/>
              <w:rPr>
                <w:rFonts w:eastAsia="Arial Unicode MS"/>
                <w:iCs/>
                <w:szCs w:val="24"/>
                <w:lang w:eastAsia="tr-TR"/>
              </w:rPr>
            </w:pPr>
            <w:r w:rsidRPr="00A23740">
              <w:rPr>
                <w:rFonts w:eastAsia="Arial Unicode MS"/>
                <w:iCs/>
                <w:szCs w:val="24"/>
                <w:lang w:eastAsia="tr-TR"/>
              </w:rPr>
              <w:t xml:space="preserve">Beşinci fıkrayla, tazyik ve disiplin hapsine ilişkin ceza zamanaşımı düzenlenmektedir. Buna göre, icra ceza mahkemesinin bu Kanun hükümlerine göre verdiği tazyik veya disiplin hapsine ilişkin kararlar, </w:t>
            </w:r>
            <w:r w:rsidRPr="005D4042">
              <w:rPr>
                <w:rStyle w:val="YELChar"/>
                <w:b w:val="0"/>
                <w:color w:val="auto"/>
              </w:rPr>
              <w:t>kesinleşme</w:t>
            </w:r>
            <w:r w:rsidRPr="00A23740">
              <w:rPr>
                <w:rFonts w:eastAsia="Arial Unicode MS"/>
                <w:iCs/>
                <w:szCs w:val="24"/>
                <w:lang w:eastAsia="tr-TR"/>
              </w:rPr>
              <w:t xml:space="preserve"> tarihten itibaren üç yıl geçtikten sonra yerine getirilmez. 2004 sayılı Kanunun 354 üncü maddesinin üçüncü fıkrasında düzenlenen iki yıllık yerine getirme süresi, hükümde infazın daha etkin bir şekilde yapılabilmesi için üç yıla çıkarılmaktadır.</w:t>
            </w:r>
          </w:p>
          <w:p w:rsidR="00955D60" w:rsidRPr="00A23740" w:rsidRDefault="00955D60" w:rsidP="00955D60">
            <w:pPr>
              <w:rPr>
                <w:rFonts w:eastAsia="Arial Unicode MS"/>
                <w:bCs/>
                <w:iCs/>
                <w:strike/>
                <w:color w:val="FF0000"/>
                <w:szCs w:val="24"/>
                <w:lang w:eastAsia="x-none"/>
              </w:rPr>
            </w:pPr>
          </w:p>
        </w:tc>
      </w:tr>
      <w:tr w:rsidR="00A043AD" w:rsidRPr="00A23740" w:rsidTr="00750F08">
        <w:tc>
          <w:tcPr>
            <w:tcW w:w="2500" w:type="pct"/>
          </w:tcPr>
          <w:p w:rsidR="00A043AD" w:rsidRPr="00A23740" w:rsidRDefault="00A043AD" w:rsidP="00750F08">
            <w:pPr>
              <w:rPr>
                <w:rFonts w:eastAsia="Times New Roman"/>
                <w:b/>
                <w:bCs/>
                <w:strike/>
                <w:color w:val="FF0000"/>
                <w:szCs w:val="24"/>
                <w:lang w:eastAsia="tr-TR"/>
              </w:rPr>
            </w:pPr>
            <w:r w:rsidRPr="00A23740">
              <w:rPr>
                <w:rFonts w:eastAsia="Times New Roman"/>
                <w:b/>
                <w:bCs/>
                <w:strike/>
                <w:color w:val="FF0000"/>
                <w:szCs w:val="24"/>
                <w:lang w:eastAsia="tr-TR"/>
              </w:rPr>
              <w:t>İtiraz:</w:t>
            </w:r>
          </w:p>
          <w:p w:rsidR="00A043AD" w:rsidRPr="00A23740" w:rsidRDefault="00A043AD" w:rsidP="00750F08">
            <w:pPr>
              <w:rPr>
                <w:rFonts w:eastAsia="Times New Roman"/>
                <w:szCs w:val="24"/>
                <w:lang w:eastAsia="tr-TR"/>
              </w:rPr>
            </w:pPr>
            <w:r w:rsidRPr="00A23740">
              <w:rPr>
                <w:rFonts w:eastAsia="Times New Roman"/>
                <w:b/>
                <w:bCs/>
                <w:szCs w:val="24"/>
                <w:lang w:eastAsia="tr-TR"/>
              </w:rPr>
              <w:t xml:space="preserve">Madde </w:t>
            </w:r>
            <w:r w:rsidRPr="00A23740">
              <w:rPr>
                <w:rFonts w:eastAsia="Times New Roman"/>
                <w:b/>
                <w:strike/>
                <w:color w:val="FF0000"/>
                <w:szCs w:val="24"/>
                <w:lang w:eastAsia="x-none"/>
              </w:rPr>
              <w:t>353</w:t>
            </w:r>
            <w:r w:rsidRPr="00A23740">
              <w:rPr>
                <w:rFonts w:eastAsia="Times New Roman"/>
                <w:b/>
                <w:bCs/>
                <w:szCs w:val="24"/>
                <w:lang w:eastAsia="tr-TR"/>
              </w:rPr>
              <w:t xml:space="preserve"> – (1) </w:t>
            </w:r>
            <w:r w:rsidRPr="00A23740">
              <w:rPr>
                <w:rFonts w:eastAsia="Times New Roman"/>
                <w:b/>
                <w:bCs/>
                <w:strike/>
                <w:color w:val="FF0000"/>
                <w:szCs w:val="24"/>
                <w:lang w:eastAsia="tr-TR"/>
              </w:rPr>
              <w:t xml:space="preserve">(Değişik: 31/5/2005-5358/21 md.) (Değişik birinci fıkra: 31/3/2011-6217/5 md.) </w:t>
            </w:r>
            <w:r w:rsidRPr="00A23740">
              <w:rPr>
                <w:rFonts w:eastAsia="Times New Roman"/>
                <w:szCs w:val="24"/>
                <w:lang w:eastAsia="tr-TR"/>
              </w:rPr>
              <w:t>İcra mahkemesinin verdiği tazyik ve disiplin hapsine ilişkin kararlara karşı, tebliğ tarihinden itibaren iki</w:t>
            </w:r>
            <w:r w:rsidRPr="00A23740">
              <w:rPr>
                <w:rFonts w:eastAsia="Times New Roman"/>
                <w:b/>
                <w:bCs/>
                <w:strike/>
                <w:color w:val="FF0000"/>
                <w:szCs w:val="24"/>
                <w:lang w:eastAsia="tr-TR"/>
              </w:rPr>
              <w:t xml:space="preserve"> </w:t>
            </w:r>
            <w:r w:rsidRPr="00A23740">
              <w:rPr>
                <w:rFonts w:eastAsia="Times New Roman"/>
                <w:szCs w:val="24"/>
                <w:lang w:eastAsia="tr-TR"/>
              </w:rPr>
              <w:t xml:space="preserve">hafta içinde itiraz edilebilir. Mahkeme itirazı incelemesi için dosyayı o yerde icra mahkemesinin birden fazla dairesinin bulunması hâlinde, numara olarak kendisini izleyen daireye, son numaralı daire için birinci daireye, o yerde icra mahkemesinin tek dairesi bulunması hâlinde asliye ceza mahkemesine, icra mahkemesi hâkimi ile asliye ceza mahkemesi hâkiminin aynı hâkim olması hâlinde ise en yakın asliye ceza mahkemesine gönderir. İtiraz </w:t>
            </w:r>
            <w:r w:rsidRPr="00A23740">
              <w:rPr>
                <w:rFonts w:eastAsia="Times New Roman"/>
                <w:b/>
                <w:strike/>
                <w:color w:val="FF0000"/>
                <w:szCs w:val="24"/>
                <w:lang w:eastAsia="x-none"/>
              </w:rPr>
              <w:t>incelemesi neticesinde</w:t>
            </w:r>
            <w:r w:rsidRPr="00A23740">
              <w:rPr>
                <w:rFonts w:eastAsia="Times New Roman"/>
                <w:szCs w:val="24"/>
                <w:lang w:eastAsia="tr-TR"/>
              </w:rPr>
              <w:t xml:space="preserve"> verilen karar kesindir.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Style w:val="KIRMIZIChar"/>
                <w:rFonts w:eastAsia="Calibri"/>
              </w:rPr>
              <w:t>(2)</w:t>
            </w:r>
            <w:r w:rsidRPr="00A23740">
              <w:rPr>
                <w:rFonts w:eastAsia="Times New Roman"/>
                <w:szCs w:val="24"/>
                <w:lang w:eastAsia="tr-TR"/>
              </w:rPr>
              <w:t xml:space="preserve"> İcra mahkemesinin bu </w:t>
            </w:r>
            <w:r w:rsidRPr="00A23740">
              <w:rPr>
                <w:rFonts w:eastAsia="Times New Roman"/>
                <w:b/>
                <w:bCs/>
                <w:strike/>
                <w:color w:val="FF0000"/>
                <w:szCs w:val="24"/>
                <w:lang w:eastAsia="tr-TR"/>
              </w:rPr>
              <w:t>Bapta</w:t>
            </w:r>
            <w:r w:rsidRPr="00A23740">
              <w:rPr>
                <w:rFonts w:eastAsia="Times New Roman"/>
                <w:szCs w:val="24"/>
                <w:lang w:eastAsia="tr-TR"/>
              </w:rPr>
              <w:t xml:space="preserve"> yer alan suçlardan dolayı verdiği hükümlerle ilgili olarak </w:t>
            </w:r>
            <w:r w:rsidRPr="00A23740">
              <w:rPr>
                <w:rFonts w:eastAsia="Times New Roman"/>
                <w:b/>
                <w:bCs/>
                <w:strike/>
                <w:color w:val="FF0000"/>
                <w:szCs w:val="24"/>
                <w:lang w:eastAsia="tr-TR"/>
              </w:rPr>
              <w:t>4.12.2004 tarihli ve 5271</w:t>
            </w:r>
            <w:r w:rsidRPr="00A23740">
              <w:rPr>
                <w:rFonts w:eastAsia="Times New Roman"/>
                <w:szCs w:val="24"/>
                <w:lang w:eastAsia="tr-TR"/>
              </w:rPr>
              <w:t xml:space="preserve"> sayılı Ceza Muhakemesi Kanununun kanun yollarına ilişkin hükümleri uygulanır.</w:t>
            </w:r>
          </w:p>
        </w:tc>
        <w:tc>
          <w:tcPr>
            <w:tcW w:w="2500" w:type="pct"/>
          </w:tcPr>
          <w:p w:rsidR="00A043AD" w:rsidRPr="00A23740" w:rsidRDefault="00A043AD" w:rsidP="00750F08">
            <w:pPr>
              <w:tabs>
                <w:tab w:val="left" w:pos="567"/>
              </w:tabs>
              <w:rPr>
                <w:b/>
                <w:color w:val="0000FF"/>
                <w:szCs w:val="24"/>
                <w:vertAlign w:val="superscript"/>
              </w:rPr>
            </w:pPr>
            <w:r w:rsidRPr="00A23740">
              <w:rPr>
                <w:b/>
                <w:color w:val="0000FF"/>
                <w:szCs w:val="24"/>
              </w:rPr>
              <w:t>Kanun yolları</w:t>
            </w:r>
          </w:p>
          <w:p w:rsidR="00A043AD" w:rsidRPr="00A23740" w:rsidRDefault="00A043AD" w:rsidP="00750F08">
            <w:pPr>
              <w:rPr>
                <w:rFonts w:eastAsia="Times New Roman"/>
                <w:szCs w:val="24"/>
                <w:lang w:eastAsia="tr-TR"/>
              </w:rPr>
            </w:pPr>
            <w:r w:rsidRPr="00A23740">
              <w:rPr>
                <w:rFonts w:eastAsia="Times New Roman"/>
                <w:b/>
                <w:color w:val="0000FF"/>
                <w:szCs w:val="24"/>
              </w:rPr>
              <w:t>MADDE 539- (1)</w:t>
            </w:r>
            <w:r w:rsidRPr="00A23740">
              <w:rPr>
                <w:rFonts w:eastAsia="Times New Roman"/>
                <w:b/>
                <w:szCs w:val="24"/>
                <w:lang w:eastAsia="tr-TR"/>
              </w:rPr>
              <w:t xml:space="preserve"> </w:t>
            </w:r>
            <w:r w:rsidRPr="00A23740">
              <w:rPr>
                <w:rFonts w:eastAsia="Times New Roman"/>
                <w:szCs w:val="24"/>
                <w:lang w:eastAsia="tr-TR"/>
              </w:rPr>
              <w:t xml:space="preserve">İcra </w:t>
            </w:r>
            <w:r w:rsidRPr="00A23740">
              <w:rPr>
                <w:rFonts w:eastAsia="Times New Roman"/>
                <w:b/>
                <w:bCs/>
                <w:color w:val="0000FF"/>
                <w:szCs w:val="24"/>
                <w:lang w:eastAsia="x-none"/>
              </w:rPr>
              <w:t>ceza</w:t>
            </w:r>
            <w:r w:rsidRPr="00A23740">
              <w:rPr>
                <w:rFonts w:eastAsia="Times New Roman"/>
                <w:szCs w:val="24"/>
                <w:lang w:eastAsia="tr-TR"/>
              </w:rPr>
              <w:t xml:space="preserve"> mahkemesinin verdiği tazyik ve</w:t>
            </w:r>
            <w:r w:rsidRPr="00A23740">
              <w:rPr>
                <w:rFonts w:eastAsia="Times New Roman"/>
                <w:b/>
                <w:bCs/>
                <w:color w:val="0000FF"/>
                <w:szCs w:val="24"/>
                <w:lang w:eastAsia="x-none"/>
              </w:rPr>
              <w:t xml:space="preserve">ya </w:t>
            </w:r>
            <w:r w:rsidRPr="00A23740">
              <w:rPr>
                <w:rFonts w:eastAsia="Times New Roman"/>
                <w:szCs w:val="24"/>
                <w:lang w:eastAsia="tr-TR"/>
              </w:rPr>
              <w:t xml:space="preserve">disiplin hapsine ilişkin </w:t>
            </w:r>
            <w:r w:rsidRPr="00A23740">
              <w:rPr>
                <w:rFonts w:eastAsia="Times New Roman"/>
                <w:b/>
                <w:bCs/>
                <w:color w:val="0000FF"/>
                <w:szCs w:val="24"/>
                <w:lang w:eastAsia="x-none"/>
              </w:rPr>
              <w:t>kararlar ile itiraza tabi olduğu belirtilen</w:t>
            </w:r>
            <w:r w:rsidRPr="00A23740">
              <w:rPr>
                <w:rFonts w:eastAsia="Times New Roman"/>
                <w:szCs w:val="24"/>
                <w:lang w:eastAsia="tr-TR"/>
              </w:rPr>
              <w:t xml:space="preserve"> kararlara karşı, tebliğ tarihinden itibaren iki</w:t>
            </w:r>
            <w:r w:rsidRPr="00A23740">
              <w:rPr>
                <w:rFonts w:eastAsia="Times New Roman"/>
                <w:b/>
                <w:bCs/>
                <w:color w:val="0000FF"/>
                <w:szCs w:val="24"/>
                <w:lang w:eastAsia="x-none"/>
              </w:rPr>
              <w:t xml:space="preserve"> </w:t>
            </w:r>
            <w:r w:rsidRPr="00A23740">
              <w:rPr>
                <w:rFonts w:eastAsia="Times New Roman"/>
                <w:szCs w:val="24"/>
                <w:lang w:eastAsia="tr-TR"/>
              </w:rPr>
              <w:t>hafta içinde itiraz edilebilir.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Style w:val="MaviChar"/>
              </w:rPr>
              <w:t>(2)</w:t>
            </w:r>
            <w:r w:rsidRPr="00A23740">
              <w:rPr>
                <w:rFonts w:eastAsia="Times New Roman"/>
                <w:szCs w:val="24"/>
                <w:lang w:eastAsia="tr-TR"/>
              </w:rPr>
              <w:t xml:space="preserve"> </w:t>
            </w:r>
            <w:r w:rsidRPr="00A23740">
              <w:rPr>
                <w:rFonts w:eastAsia="Times New Roman"/>
                <w:b/>
                <w:bCs/>
                <w:color w:val="0000FF"/>
                <w:szCs w:val="24"/>
                <w:lang w:eastAsia="x-none"/>
              </w:rPr>
              <w:t>İcra ceza mahkemesi,</w:t>
            </w:r>
            <w:r w:rsidRPr="00A23740">
              <w:rPr>
                <w:rFonts w:eastAsia="Times New Roman"/>
                <w:szCs w:val="24"/>
                <w:lang w:eastAsia="tr-TR"/>
              </w:rPr>
              <w:t xml:space="preserve"> itirazı incelemesi için dosyayı o yerde icra </w:t>
            </w:r>
            <w:r w:rsidRPr="00A23740">
              <w:rPr>
                <w:rFonts w:eastAsia="Times New Roman"/>
                <w:b/>
                <w:bCs/>
                <w:color w:val="0000FF"/>
                <w:szCs w:val="24"/>
                <w:lang w:eastAsia="x-none"/>
              </w:rPr>
              <w:t>ceza</w:t>
            </w:r>
            <w:r w:rsidRPr="00A23740">
              <w:rPr>
                <w:rFonts w:eastAsia="Times New Roman"/>
                <w:szCs w:val="24"/>
                <w:lang w:eastAsia="tr-TR"/>
              </w:rPr>
              <w:t xml:space="preserve"> mahkemesinin birden fazla dairesinin bulunması hâlinde, numara olarak kendisini izleyen daireye, son numaralı daire için birinci daireye, o yerde icra </w:t>
            </w:r>
            <w:r w:rsidRPr="00A23740">
              <w:rPr>
                <w:rFonts w:eastAsia="Times New Roman"/>
                <w:b/>
                <w:bCs/>
                <w:color w:val="0000FF"/>
                <w:szCs w:val="24"/>
                <w:lang w:eastAsia="x-none"/>
              </w:rPr>
              <w:t>ceza</w:t>
            </w:r>
            <w:r w:rsidRPr="00A23740">
              <w:rPr>
                <w:rFonts w:eastAsia="Times New Roman"/>
                <w:szCs w:val="24"/>
                <w:lang w:eastAsia="tr-TR"/>
              </w:rPr>
              <w:t xml:space="preserve"> mahkemesinin tek dairesi bulunması hâlinde asliye ceza mahkemesine, icra </w:t>
            </w:r>
            <w:r w:rsidRPr="00A23740">
              <w:rPr>
                <w:rFonts w:eastAsia="Times New Roman"/>
                <w:b/>
                <w:color w:val="0000FF"/>
                <w:szCs w:val="24"/>
              </w:rPr>
              <w:t>ceza</w:t>
            </w:r>
            <w:r w:rsidRPr="00A23740">
              <w:rPr>
                <w:rFonts w:eastAsia="Times New Roman"/>
                <w:szCs w:val="24"/>
                <w:lang w:eastAsia="tr-TR"/>
              </w:rPr>
              <w:t xml:space="preserve"> mahkemesi hâkimi ile asliye ceza mahkemesi hâkiminin aynı hâkim olması hâlinde ise en yakın asliye ceza mahkemesine gönderir. İtiraz </w:t>
            </w:r>
            <w:r w:rsidRPr="00A23740">
              <w:rPr>
                <w:rFonts w:eastAsia="Times New Roman"/>
                <w:b/>
                <w:color w:val="0000FF"/>
                <w:szCs w:val="24"/>
              </w:rPr>
              <w:t>üzerine</w:t>
            </w:r>
            <w:r w:rsidRPr="00A23740">
              <w:rPr>
                <w:rFonts w:eastAsia="Times New Roman"/>
                <w:szCs w:val="24"/>
                <w:lang w:eastAsia="tr-TR"/>
              </w:rPr>
              <w:t xml:space="preserve"> verilen karar</w:t>
            </w:r>
            <w:r w:rsidRPr="00A23740">
              <w:rPr>
                <w:rFonts w:eastAsia="Times New Roman"/>
                <w:b/>
                <w:bCs/>
                <w:color w:val="0000FF"/>
                <w:szCs w:val="24"/>
                <w:lang w:eastAsia="x-none"/>
              </w:rPr>
              <w:t>lar</w:t>
            </w:r>
            <w:r w:rsidRPr="00A23740">
              <w:rPr>
                <w:rFonts w:eastAsia="Times New Roman"/>
                <w:szCs w:val="24"/>
                <w:lang w:eastAsia="tr-TR"/>
              </w:rPr>
              <w:t xml:space="preserve"> kesindir.</w:t>
            </w:r>
          </w:p>
          <w:p w:rsidR="00A043AD" w:rsidRPr="00A23740" w:rsidRDefault="00A043AD" w:rsidP="00750F08">
            <w:pPr>
              <w:rPr>
                <w:rFonts w:eastAsia="Times New Roman"/>
                <w:szCs w:val="24"/>
                <w:lang w:eastAsia="tr-TR"/>
              </w:rPr>
            </w:pPr>
          </w:p>
          <w:p w:rsidR="00A043AD" w:rsidRPr="00A23740" w:rsidRDefault="00A043AD" w:rsidP="00750F08">
            <w:pPr>
              <w:rPr>
                <w:rFonts w:eastAsia="Times New Roman"/>
                <w:szCs w:val="24"/>
                <w:lang w:eastAsia="tr-TR"/>
              </w:rPr>
            </w:pPr>
            <w:r w:rsidRPr="00A23740">
              <w:rPr>
                <w:rFonts w:eastAsia="Times New Roman"/>
                <w:b/>
                <w:bCs/>
                <w:color w:val="0000FF"/>
                <w:szCs w:val="24"/>
                <w:lang w:eastAsia="x-none"/>
              </w:rPr>
              <w:t>(3)</w:t>
            </w:r>
            <w:r w:rsidRPr="00A23740">
              <w:rPr>
                <w:rFonts w:eastAsia="Times New Roman"/>
                <w:szCs w:val="24"/>
                <w:lang w:eastAsia="tr-TR"/>
              </w:rPr>
              <w:t xml:space="preserve"> İcra </w:t>
            </w:r>
            <w:r w:rsidRPr="00A23740">
              <w:rPr>
                <w:rFonts w:eastAsia="Times New Roman"/>
                <w:b/>
                <w:bCs/>
                <w:color w:val="0000FF"/>
                <w:szCs w:val="24"/>
                <w:lang w:eastAsia="x-none"/>
              </w:rPr>
              <w:t>ceza</w:t>
            </w:r>
            <w:r w:rsidRPr="00A23740">
              <w:rPr>
                <w:rFonts w:eastAsia="Times New Roman"/>
                <w:szCs w:val="24"/>
                <w:lang w:eastAsia="tr-TR"/>
              </w:rPr>
              <w:t xml:space="preserve"> mahkemesinin bu </w:t>
            </w:r>
            <w:r w:rsidRPr="00A23740">
              <w:rPr>
                <w:rFonts w:eastAsia="Times New Roman"/>
                <w:b/>
                <w:bCs/>
                <w:color w:val="0000FF"/>
                <w:szCs w:val="24"/>
                <w:lang w:eastAsia="x-none"/>
              </w:rPr>
              <w:t>Kanunda</w:t>
            </w:r>
            <w:r w:rsidRPr="00A23740">
              <w:rPr>
                <w:rFonts w:eastAsia="Times New Roman"/>
                <w:szCs w:val="24"/>
                <w:lang w:eastAsia="tr-TR"/>
              </w:rPr>
              <w:t xml:space="preserve"> yer alan suçlardan dolayı verdiği hükümlerle ilgili olarak Ceza Muhakemesi Kanununun kanun yollarına ilişkin hükümleri uygulanır.</w:t>
            </w:r>
          </w:p>
          <w:p w:rsidR="00A043AD" w:rsidRPr="00A23740" w:rsidRDefault="00A043AD" w:rsidP="00750F08">
            <w:pPr>
              <w:rPr>
                <w:rFonts w:eastAsia="Times New Roman"/>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tr-TR"/>
              </w:rPr>
              <w:t>MADDE 539-</w:t>
            </w:r>
            <w:r w:rsidRPr="00A23740">
              <w:rPr>
                <w:rFonts w:eastAsia="Times New Roman"/>
                <w:szCs w:val="24"/>
                <w:lang w:eastAsia="tr-TR"/>
              </w:rPr>
              <w:t xml:space="preserve"> Maddeyle, </w:t>
            </w:r>
            <w:r w:rsidRPr="005D4042">
              <w:rPr>
                <w:rStyle w:val="YELChar"/>
                <w:b w:val="0"/>
                <w:color w:val="auto"/>
              </w:rPr>
              <w:t xml:space="preserve">Taslağın ceza hükümlerine ilişkin </w:t>
            </w:r>
            <w:r w:rsidR="00422B02" w:rsidRPr="005D4042">
              <w:rPr>
                <w:rStyle w:val="YELChar"/>
                <w:b w:val="0"/>
                <w:color w:val="auto"/>
              </w:rPr>
              <w:t>B</w:t>
            </w:r>
            <w:r w:rsidRPr="005D4042">
              <w:rPr>
                <w:rStyle w:val="YELChar"/>
                <w:b w:val="0"/>
                <w:color w:val="auto"/>
              </w:rPr>
              <w:t xml:space="preserve">eşinci </w:t>
            </w:r>
            <w:r w:rsidR="00422B02" w:rsidRPr="005D4042">
              <w:rPr>
                <w:rStyle w:val="YELChar"/>
                <w:b w:val="0"/>
                <w:color w:val="auto"/>
              </w:rPr>
              <w:t>K</w:t>
            </w:r>
            <w:r w:rsidRPr="005D4042">
              <w:rPr>
                <w:rStyle w:val="YELChar"/>
                <w:b w:val="0"/>
                <w:color w:val="auto"/>
              </w:rPr>
              <w:t xml:space="preserve">itabı </w:t>
            </w:r>
            <w:r w:rsidRPr="005D4042">
              <w:rPr>
                <w:rFonts w:eastAsia="Times New Roman"/>
                <w:szCs w:val="24"/>
                <w:lang w:eastAsia="tr-TR"/>
              </w:rPr>
              <w:t>k</w:t>
            </w:r>
            <w:r w:rsidRPr="00A23740">
              <w:rPr>
                <w:rFonts w:eastAsia="Times New Roman"/>
                <w:szCs w:val="24"/>
                <w:lang w:eastAsia="tr-TR"/>
              </w:rPr>
              <w:t>apsamındaki yargılamalar neticesinde verilen hükümlere karşı başvurulabilecek kanun yolları düzenlenmektedir. Hüküm, 2004 sayılı Kanunun 353 üncü maddesine karşılık gelmektedir.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Birinci fıkrayla, icra </w:t>
            </w:r>
            <w:r w:rsidRPr="00A23740">
              <w:rPr>
                <w:rFonts w:eastAsia="Times New Roman"/>
                <w:bCs/>
                <w:szCs w:val="24"/>
                <w:lang w:eastAsia="tr-TR"/>
              </w:rPr>
              <w:t>ceza</w:t>
            </w:r>
            <w:r w:rsidRPr="00A23740">
              <w:rPr>
                <w:rFonts w:eastAsia="Times New Roman"/>
                <w:szCs w:val="24"/>
                <w:lang w:eastAsia="tr-TR"/>
              </w:rPr>
              <w:t xml:space="preserve"> mahkemesinin verdiği tazyik ve</w:t>
            </w:r>
            <w:r w:rsidRPr="00A23740">
              <w:rPr>
                <w:rFonts w:eastAsia="Times New Roman"/>
                <w:bCs/>
                <w:szCs w:val="24"/>
                <w:lang w:eastAsia="tr-TR"/>
              </w:rPr>
              <w:t xml:space="preserve">ya </w:t>
            </w:r>
            <w:r w:rsidRPr="00A23740">
              <w:rPr>
                <w:rFonts w:eastAsia="Times New Roman"/>
                <w:szCs w:val="24"/>
                <w:lang w:eastAsia="tr-TR"/>
              </w:rPr>
              <w:t xml:space="preserve">disiplin hapsine ilişkin </w:t>
            </w:r>
            <w:r w:rsidRPr="00A23740">
              <w:rPr>
                <w:rFonts w:eastAsia="Times New Roman"/>
                <w:bCs/>
                <w:szCs w:val="24"/>
                <w:lang w:eastAsia="tr-TR"/>
              </w:rPr>
              <w:t>kararlar ile itiraza tabi olduğu belirtilen</w:t>
            </w:r>
            <w:r w:rsidRPr="00A23740">
              <w:rPr>
                <w:rFonts w:eastAsia="Times New Roman"/>
                <w:szCs w:val="24"/>
                <w:lang w:eastAsia="tr-TR"/>
              </w:rPr>
              <w:t xml:space="preserve"> kararlara karşı, tebliğ tarihinden itibaren </w:t>
            </w:r>
            <w:r w:rsidRPr="00A23740">
              <w:rPr>
                <w:rFonts w:eastAsia="Times New Roman"/>
                <w:bCs/>
                <w:szCs w:val="24"/>
                <w:lang w:eastAsia="tr-TR"/>
              </w:rPr>
              <w:t>iki hafta</w:t>
            </w:r>
            <w:r w:rsidRPr="00A23740">
              <w:rPr>
                <w:rFonts w:eastAsia="Times New Roman"/>
                <w:szCs w:val="24"/>
                <w:lang w:eastAsia="tr-TR"/>
              </w:rPr>
              <w:t xml:space="preserve"> içinde itiraz </w:t>
            </w:r>
            <w:r w:rsidR="00422B02" w:rsidRPr="00A23740">
              <w:rPr>
                <w:rFonts w:eastAsia="Times New Roman"/>
                <w:szCs w:val="24"/>
                <w:lang w:eastAsia="tr-TR"/>
              </w:rPr>
              <w:t xml:space="preserve">edilebilmesi </w:t>
            </w:r>
            <w:r w:rsidRPr="00A23740">
              <w:rPr>
                <w:rFonts w:eastAsia="Times New Roman"/>
                <w:szCs w:val="24"/>
                <w:lang w:eastAsia="tr-TR"/>
              </w:rPr>
              <w:t>düzenlenmektedir.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İkinci fıkrayla, itirazı inceleyecek mahkeme belirlenmekte ve itiraz üzerine verilen kararın kesin olduğu belirtilmektedir.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Üçüncü fıkrayla, icra </w:t>
            </w:r>
            <w:r w:rsidRPr="00A23740">
              <w:rPr>
                <w:rFonts w:eastAsia="Times New Roman"/>
                <w:bCs/>
                <w:szCs w:val="24"/>
                <w:lang w:eastAsia="tr-TR"/>
              </w:rPr>
              <w:t>ceza</w:t>
            </w:r>
            <w:r w:rsidRPr="00A23740">
              <w:rPr>
                <w:rFonts w:eastAsia="Times New Roman"/>
                <w:szCs w:val="24"/>
                <w:lang w:eastAsia="tr-TR"/>
              </w:rPr>
              <w:t xml:space="preserve"> mahkemesinin bu </w:t>
            </w:r>
            <w:r w:rsidRPr="00A23740">
              <w:rPr>
                <w:rFonts w:eastAsia="Times New Roman"/>
                <w:bCs/>
                <w:szCs w:val="24"/>
                <w:lang w:eastAsia="tr-TR"/>
              </w:rPr>
              <w:t>Kanunda</w:t>
            </w:r>
            <w:r w:rsidRPr="00A23740">
              <w:rPr>
                <w:rFonts w:eastAsia="Times New Roman"/>
                <w:szCs w:val="24"/>
                <w:lang w:eastAsia="tr-TR"/>
              </w:rPr>
              <w:t xml:space="preserve"> yer alan suçlardan dolayı verdiği hükümlerle ilgili olarak 5271 sayılı Ceza Muhakemesi Kanununun kanun yollarına ilişkin hükümlerinin uygulanacağına yönelik atıf düzenlenmektedir.</w:t>
            </w:r>
          </w:p>
          <w:p w:rsidR="00A043AD" w:rsidRPr="00A23740" w:rsidRDefault="00A043AD" w:rsidP="00955D60">
            <w:pPr>
              <w:rPr>
                <w:rFonts w:eastAsia="Arial Unicode MS"/>
                <w:b/>
                <w:iCs/>
                <w:color w:val="FF0000"/>
                <w:szCs w:val="24"/>
                <w:lang w:eastAsia="tr-TR"/>
              </w:rPr>
            </w:pPr>
          </w:p>
        </w:tc>
      </w:tr>
      <w:tr w:rsidR="00A043AD" w:rsidRPr="00A23740" w:rsidTr="00750F08">
        <w:tc>
          <w:tcPr>
            <w:tcW w:w="2500" w:type="pct"/>
          </w:tcPr>
          <w:p w:rsidR="00A043AD" w:rsidRPr="00A23740" w:rsidRDefault="00A043AD" w:rsidP="00750F08">
            <w:pPr>
              <w:tabs>
                <w:tab w:val="left" w:pos="567"/>
              </w:tabs>
              <w:jc w:val="center"/>
              <w:rPr>
                <w:rFonts w:eastAsia="Times New Roman"/>
                <w:b/>
                <w:bCs/>
                <w:strike/>
                <w:color w:val="FF0000"/>
                <w:szCs w:val="24"/>
                <w:lang w:eastAsia="tr-TR"/>
              </w:rPr>
            </w:pPr>
            <w:r w:rsidRPr="00A23740">
              <w:rPr>
                <w:rFonts w:eastAsia="Times New Roman"/>
                <w:b/>
                <w:bCs/>
                <w:strike/>
                <w:color w:val="FF0000"/>
                <w:szCs w:val="24"/>
                <w:lang w:eastAsia="tr-TR"/>
              </w:rPr>
              <w:t>ON DÖRDÜNCÜ BAP</w:t>
            </w:r>
          </w:p>
          <w:p w:rsidR="00A043AD" w:rsidRPr="00A23740" w:rsidRDefault="00A043AD" w:rsidP="00750F08">
            <w:pPr>
              <w:tabs>
                <w:tab w:val="left" w:pos="567"/>
              </w:tabs>
              <w:jc w:val="center"/>
              <w:rPr>
                <w:rFonts w:eastAsia="Times New Roman"/>
                <w:b/>
                <w:bCs/>
                <w:strike/>
                <w:color w:val="FF0000"/>
                <w:szCs w:val="24"/>
                <w:lang w:eastAsia="tr-TR"/>
              </w:rPr>
            </w:pPr>
            <w:r w:rsidRPr="00A23740">
              <w:rPr>
                <w:rFonts w:eastAsia="Times New Roman"/>
                <w:b/>
                <w:bCs/>
                <w:strike/>
                <w:color w:val="FF0000"/>
                <w:szCs w:val="24"/>
                <w:lang w:eastAsia="tr-TR"/>
              </w:rPr>
              <w:t>İtibarın yerine gelmesi</w:t>
            </w: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r w:rsidRPr="00A23740">
              <w:rPr>
                <w:rFonts w:eastAsia="Times New Roman"/>
                <w:b/>
                <w:szCs w:val="24"/>
                <w:lang w:eastAsia="tr-TR"/>
              </w:rPr>
              <w:t>İtibarın yerine gelmesi:</w:t>
            </w:r>
          </w:p>
          <w:p w:rsidR="00A043AD" w:rsidRPr="00A23740" w:rsidRDefault="00A043AD" w:rsidP="00750F08">
            <w:pPr>
              <w:rPr>
                <w:rFonts w:eastAsia="Times New Roman"/>
                <w:b/>
                <w:szCs w:val="24"/>
                <w:lang w:eastAsia="tr-TR"/>
              </w:rPr>
            </w:pPr>
            <w:r w:rsidRPr="00A23740">
              <w:rPr>
                <w:rFonts w:eastAsia="Times New Roman"/>
                <w:b/>
                <w:bCs/>
                <w:i/>
                <w:strike/>
                <w:color w:val="FF0000"/>
                <w:szCs w:val="24"/>
                <w:lang w:eastAsia="tr-TR"/>
              </w:rPr>
              <w:t>A –</w:t>
            </w:r>
            <w:r w:rsidRPr="00A23740">
              <w:rPr>
                <w:rFonts w:eastAsia="Times New Roman"/>
                <w:b/>
                <w:szCs w:val="24"/>
                <w:lang w:eastAsia="tr-TR"/>
              </w:rPr>
              <w:t xml:space="preserve"> Hileli müflis</w:t>
            </w:r>
            <w:r w:rsidRPr="00A23740">
              <w:rPr>
                <w:rFonts w:eastAsia="Times New Roman"/>
                <w:b/>
                <w:bCs/>
                <w:i/>
                <w:strike/>
                <w:color w:val="FF0000"/>
                <w:szCs w:val="24"/>
                <w:lang w:eastAsia="tr-TR"/>
              </w:rPr>
              <w:t>:</w:t>
            </w:r>
          </w:p>
          <w:p w:rsidR="00A043AD" w:rsidRPr="00A23740" w:rsidRDefault="00A043AD" w:rsidP="00750F08">
            <w:pPr>
              <w:rPr>
                <w:rFonts w:ascii="New York" w:eastAsia="Times New Roman" w:hAnsi="New York"/>
                <w:sz w:val="18"/>
                <w:szCs w:val="20"/>
                <w:lang w:eastAsia="x-none"/>
              </w:rPr>
            </w:pPr>
            <w:r w:rsidRPr="00A23740">
              <w:rPr>
                <w:rFonts w:eastAsia="Times New Roman"/>
                <w:b/>
                <w:szCs w:val="24"/>
                <w:lang w:eastAsia="tr-TR"/>
              </w:rPr>
              <w:t xml:space="preserve">Madde </w:t>
            </w:r>
            <w:r w:rsidRPr="00A23740">
              <w:rPr>
                <w:rFonts w:eastAsia="Times New Roman"/>
                <w:b/>
                <w:strike/>
                <w:color w:val="FF0000"/>
                <w:szCs w:val="24"/>
                <w:lang w:eastAsia="tr-TR"/>
              </w:rPr>
              <w:t>312</w:t>
            </w:r>
            <w:r w:rsidRPr="00A23740">
              <w:rPr>
                <w:rFonts w:eastAsia="Times New Roman"/>
                <w:b/>
                <w:szCs w:val="24"/>
                <w:lang w:eastAsia="tr-TR"/>
              </w:rPr>
              <w:t xml:space="preserve"> – (1) </w:t>
            </w:r>
            <w:r w:rsidRPr="00A23740">
              <w:rPr>
                <w:rFonts w:eastAsia="Times New Roman"/>
                <w:szCs w:val="24"/>
                <w:lang w:eastAsia="tr-TR"/>
              </w:rPr>
              <w:t xml:space="preserve">Hileli müflis itibarının </w:t>
            </w:r>
            <w:r w:rsidRPr="00A23740">
              <w:rPr>
                <w:rFonts w:eastAsia="Times New Roman"/>
                <w:b/>
                <w:strike/>
                <w:color w:val="FF0000"/>
                <w:szCs w:val="24"/>
              </w:rPr>
              <w:t>yerine</w:t>
            </w:r>
            <w:r w:rsidRPr="00A23740">
              <w:rPr>
                <w:rFonts w:eastAsia="Times New Roman"/>
                <w:szCs w:val="24"/>
                <w:lang w:eastAsia="tr-TR"/>
              </w:rPr>
              <w:t xml:space="preserve"> </w:t>
            </w:r>
            <w:r w:rsidRPr="00A23740">
              <w:rPr>
                <w:rFonts w:eastAsia="Times New Roman"/>
                <w:b/>
                <w:strike/>
                <w:color w:val="FF0000"/>
                <w:szCs w:val="24"/>
                <w:lang w:eastAsia="tr-TR"/>
              </w:rPr>
              <w:t>gelmesini Ceza Muhakemeleri Usulü Kanununun memnu hakların iadesine dair faslındaki hükümlere göre elde edebilir. Ancak mezkür fasılda yazılı şartların ifasından başka dilekçesine, masaya kabul edilmiş bütün alacaklıların alacakları tamamen itfa edildiğine dair makbuzlarını veya sair vesikalarını raptetmesi lazımdır.</w:t>
            </w:r>
          </w:p>
          <w:p w:rsidR="00A043AD" w:rsidRPr="00A23740" w:rsidRDefault="00A043AD" w:rsidP="00750F08">
            <w:pPr>
              <w:rPr>
                <w:rFonts w:eastAsia="Times New Roman"/>
                <w:szCs w:val="24"/>
                <w:lang w:eastAsia="tr-TR"/>
              </w:rPr>
            </w:pPr>
          </w:p>
        </w:tc>
        <w:tc>
          <w:tcPr>
            <w:tcW w:w="2500" w:type="pct"/>
          </w:tcPr>
          <w:p w:rsidR="00A043AD" w:rsidRPr="00A23740" w:rsidRDefault="00A043AD" w:rsidP="00750F08">
            <w:pPr>
              <w:tabs>
                <w:tab w:val="left" w:pos="567"/>
              </w:tabs>
              <w:jc w:val="center"/>
              <w:rPr>
                <w:b/>
                <w:bCs/>
                <w:color w:val="0000FF"/>
                <w:szCs w:val="24"/>
                <w:lang w:eastAsia="x-none"/>
              </w:rPr>
            </w:pPr>
            <w:r w:rsidRPr="00A23740">
              <w:rPr>
                <w:b/>
                <w:bCs/>
                <w:color w:val="0000FF"/>
                <w:szCs w:val="24"/>
                <w:lang w:eastAsia="x-none"/>
              </w:rPr>
              <w:t>ÜÇÜNCÜ KISIM</w:t>
            </w:r>
          </w:p>
          <w:p w:rsidR="00A043AD" w:rsidRPr="00A23740" w:rsidRDefault="00A043AD" w:rsidP="00750F08">
            <w:pPr>
              <w:tabs>
                <w:tab w:val="left" w:pos="567"/>
              </w:tabs>
              <w:jc w:val="center"/>
              <w:rPr>
                <w:b/>
                <w:bCs/>
                <w:color w:val="0000FF"/>
                <w:szCs w:val="24"/>
                <w:lang w:eastAsia="x-none"/>
              </w:rPr>
            </w:pPr>
            <w:r w:rsidRPr="00A23740">
              <w:rPr>
                <w:b/>
                <w:bCs/>
                <w:color w:val="0000FF"/>
                <w:szCs w:val="24"/>
                <w:lang w:eastAsia="x-none"/>
              </w:rPr>
              <w:t>İtibarın İadesi</w:t>
            </w: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p>
          <w:p w:rsidR="00A043AD" w:rsidRPr="00A23740" w:rsidRDefault="00A043AD" w:rsidP="00750F08">
            <w:pPr>
              <w:rPr>
                <w:rFonts w:eastAsia="Times New Roman"/>
                <w:b/>
                <w:szCs w:val="24"/>
                <w:lang w:eastAsia="tr-TR"/>
              </w:rPr>
            </w:pPr>
            <w:r w:rsidRPr="00A23740">
              <w:rPr>
                <w:rFonts w:eastAsia="Times New Roman"/>
                <w:b/>
                <w:szCs w:val="24"/>
                <w:lang w:eastAsia="tr-TR"/>
              </w:rPr>
              <w:t>Hileli müflis</w:t>
            </w:r>
            <w:r w:rsidRPr="00A23740">
              <w:rPr>
                <w:rFonts w:eastAsia="Times New Roman"/>
                <w:b/>
                <w:bCs/>
                <w:color w:val="0000FF"/>
                <w:szCs w:val="24"/>
                <w:lang w:eastAsia="x-none"/>
              </w:rPr>
              <w:t>in itibarının iade edilmesi</w:t>
            </w:r>
          </w:p>
          <w:p w:rsidR="00A043AD" w:rsidRPr="00A23740" w:rsidRDefault="00A043AD" w:rsidP="00750F08">
            <w:pPr>
              <w:rPr>
                <w:rFonts w:eastAsia="Times New Roman"/>
                <w:b/>
                <w:bCs/>
                <w:color w:val="0000FF"/>
                <w:szCs w:val="24"/>
                <w:lang w:eastAsia="tr-TR"/>
              </w:rPr>
            </w:pPr>
            <w:r w:rsidRPr="00A23740">
              <w:rPr>
                <w:rFonts w:eastAsia="Times New Roman"/>
                <w:b/>
                <w:color w:val="0000FF"/>
                <w:szCs w:val="24"/>
              </w:rPr>
              <w:t>MADDE 540- (1)</w:t>
            </w:r>
            <w:r w:rsidRPr="00A23740">
              <w:rPr>
                <w:rFonts w:eastAsia="Times New Roman"/>
                <w:b/>
                <w:szCs w:val="24"/>
                <w:lang w:eastAsia="tr-TR"/>
              </w:rPr>
              <w:t xml:space="preserve"> </w:t>
            </w:r>
            <w:r w:rsidRPr="00A23740">
              <w:rPr>
                <w:rFonts w:eastAsia="Times New Roman"/>
                <w:szCs w:val="24"/>
                <w:lang w:eastAsia="tr-TR"/>
              </w:rPr>
              <w:t>Hileli müflis</w:t>
            </w:r>
            <w:r w:rsidRPr="00A23740">
              <w:rPr>
                <w:rFonts w:eastAsia="Times New Roman"/>
                <w:b/>
                <w:color w:val="0000FF"/>
                <w:szCs w:val="24"/>
              </w:rPr>
              <w:t>, 25/5/2005 tarihli ve 5352 sayılı</w:t>
            </w:r>
            <w:r w:rsidRPr="00A23740">
              <w:rPr>
                <w:rFonts w:eastAsia="Times New Roman"/>
                <w:szCs w:val="24"/>
                <w:lang w:eastAsia="tr-TR"/>
              </w:rPr>
              <w:t xml:space="preserve"> </w:t>
            </w:r>
            <w:r w:rsidRPr="00A23740">
              <w:rPr>
                <w:rFonts w:eastAsia="Times New Roman"/>
                <w:b/>
                <w:bCs/>
                <w:color w:val="0000FF"/>
                <w:szCs w:val="24"/>
                <w:lang w:eastAsia="tr-TR"/>
              </w:rPr>
              <w:t xml:space="preserve">Adli Sicil Kanununun yasaklanmış hakların geri verilmesine ilişkin </w:t>
            </w:r>
            <w:r w:rsidRPr="005D4042">
              <w:rPr>
                <w:rStyle w:val="YELChar"/>
                <w:color w:val="0000FF"/>
              </w:rPr>
              <w:t>13/A maddesi</w:t>
            </w:r>
            <w:r w:rsidRPr="00A23740">
              <w:rPr>
                <w:rStyle w:val="YELChar"/>
              </w:rPr>
              <w:t xml:space="preserve"> </w:t>
            </w:r>
            <w:r w:rsidRPr="005D4042">
              <w:rPr>
                <w:rStyle w:val="YELChar"/>
                <w:color w:val="0000FF"/>
              </w:rPr>
              <w:t>hükümlerine</w:t>
            </w:r>
            <w:r w:rsidRPr="00A23740">
              <w:rPr>
                <w:rFonts w:eastAsia="Times New Roman"/>
                <w:b/>
                <w:bCs/>
                <w:color w:val="0000FF"/>
                <w:szCs w:val="24"/>
                <w:lang w:eastAsia="tr-TR"/>
              </w:rPr>
              <w:t xml:space="preserve"> göre </w:t>
            </w:r>
            <w:r w:rsidRPr="005D4042">
              <w:rPr>
                <w:rStyle w:val="YELChar"/>
                <w:color w:val="0000FF"/>
              </w:rPr>
              <w:t>itibarının iade edilmesini</w:t>
            </w:r>
            <w:r w:rsidRPr="00A23740">
              <w:rPr>
                <w:rFonts w:eastAsia="Times New Roman"/>
                <w:b/>
                <w:bCs/>
                <w:color w:val="0000FF"/>
                <w:szCs w:val="24"/>
                <w:lang w:eastAsia="tr-TR"/>
              </w:rPr>
              <w:t xml:space="preserve"> iflas kararını veren mahkemeden talep edebilir.</w:t>
            </w:r>
          </w:p>
          <w:p w:rsidR="00A043AD" w:rsidRPr="00A23740" w:rsidRDefault="00A043AD" w:rsidP="00750F08">
            <w:pPr>
              <w:rPr>
                <w:rFonts w:eastAsia="Times New Roman"/>
                <w:b/>
                <w:bCs/>
                <w:color w:val="0000FF"/>
                <w:szCs w:val="24"/>
                <w:lang w:eastAsia="tr-TR"/>
              </w:rPr>
            </w:pPr>
          </w:p>
          <w:p w:rsidR="00A043AD" w:rsidRPr="00A23740" w:rsidRDefault="00A043AD" w:rsidP="00750F08">
            <w:pPr>
              <w:rPr>
                <w:rFonts w:eastAsia="Times New Roman"/>
                <w:b/>
                <w:bCs/>
                <w:color w:val="0000FF"/>
                <w:szCs w:val="24"/>
                <w:lang w:eastAsia="tr-TR"/>
              </w:rPr>
            </w:pPr>
            <w:r w:rsidRPr="00A23740">
              <w:rPr>
                <w:rFonts w:eastAsia="Times New Roman"/>
                <w:b/>
                <w:bCs/>
                <w:color w:val="0000FF"/>
                <w:szCs w:val="24"/>
                <w:lang w:eastAsia="tr-TR"/>
              </w:rPr>
              <w:t xml:space="preserve">(2) İtibarın iade edilmesi kararı verilebilmesi için müflisin, ayrıca masaya kabul edilmiş bütün alacakların </w:t>
            </w:r>
            <w:r w:rsidRPr="005D4042">
              <w:rPr>
                <w:rStyle w:val="YELChar"/>
                <w:color w:val="0000FF"/>
              </w:rPr>
              <w:t>itfa edildiğine</w:t>
            </w:r>
            <w:r w:rsidRPr="00A23740">
              <w:rPr>
                <w:rFonts w:eastAsia="Times New Roman"/>
                <w:b/>
                <w:bCs/>
                <w:color w:val="0000FF"/>
                <w:szCs w:val="24"/>
                <w:lang w:eastAsia="tr-TR"/>
              </w:rPr>
              <w:t xml:space="preserve"> dair makbuz veya belgeleri ibraz etmesi zorunludur.</w:t>
            </w:r>
          </w:p>
          <w:p w:rsidR="00A043AD" w:rsidRPr="00A23740" w:rsidRDefault="00A043AD" w:rsidP="00750F08">
            <w:pPr>
              <w:rPr>
                <w:rFonts w:eastAsia="Times New Roman"/>
                <w:b/>
                <w:bCs/>
                <w:strike/>
                <w:color w:val="FF0000"/>
                <w:szCs w:val="24"/>
                <w:lang w:eastAsia="x-none"/>
              </w:rPr>
            </w:pP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s>
              <w:ind w:firstLine="709"/>
              <w:rPr>
                <w:rFonts w:eastAsia="Arial Unicode MS"/>
                <w:b/>
                <w:iCs/>
                <w:szCs w:val="24"/>
                <w:lang w:eastAsia="tr-TR"/>
              </w:rPr>
            </w:pPr>
          </w:p>
          <w:p w:rsidR="00A043AD" w:rsidRPr="00A23740" w:rsidRDefault="00A043AD" w:rsidP="00750F08">
            <w:pPr>
              <w:widowControl w:val="0"/>
              <w:suppressLineNumbers/>
              <w:tabs>
                <w:tab w:val="left" w:pos="540"/>
              </w:tabs>
              <w:ind w:firstLine="709"/>
              <w:rPr>
                <w:rFonts w:eastAsia="Times New Roman"/>
                <w:szCs w:val="24"/>
                <w:lang w:eastAsia="tr-TR"/>
              </w:rPr>
            </w:pPr>
            <w:r w:rsidRPr="00A23740">
              <w:rPr>
                <w:rFonts w:eastAsia="Times New Roman"/>
                <w:b/>
                <w:szCs w:val="24"/>
                <w:lang w:eastAsia="tr-TR"/>
              </w:rPr>
              <w:t>MADDE 540-</w:t>
            </w:r>
            <w:r w:rsidRPr="00A23740">
              <w:rPr>
                <w:rFonts w:eastAsia="Times New Roman"/>
                <w:szCs w:val="24"/>
                <w:lang w:eastAsia="tr-TR"/>
              </w:rPr>
              <w:t xml:space="preserve"> Maddeyle, hileli müflisin itibarının iade edilmesine ilişkin hususlar düzenlenmektedir. Hüküm, 2004 sayılı Kanunun 312 nci maddesine karşılık gelmektedir.</w:t>
            </w:r>
          </w:p>
          <w:p w:rsidR="00A043AD" w:rsidRPr="00A23740" w:rsidRDefault="00A043AD" w:rsidP="00750F08">
            <w:pPr>
              <w:widowControl w:val="0"/>
              <w:suppressLineNumbers/>
              <w:tabs>
                <w:tab w:val="left" w:pos="540"/>
              </w:tabs>
              <w:ind w:firstLine="709"/>
              <w:rPr>
                <w:rFonts w:eastAsia="Times New Roman"/>
                <w:szCs w:val="24"/>
                <w:lang w:eastAsia="tr-TR"/>
              </w:rPr>
            </w:pPr>
            <w:r w:rsidRPr="00A23740">
              <w:rPr>
                <w:rFonts w:eastAsia="Times New Roman"/>
                <w:szCs w:val="24"/>
                <w:lang w:eastAsia="tr-TR"/>
              </w:rPr>
              <w:t xml:space="preserve">Bu Ayrımda, </w:t>
            </w:r>
            <w:r w:rsidR="00422B02" w:rsidRPr="00A23740">
              <w:rPr>
                <w:rFonts w:eastAsia="Times New Roman"/>
                <w:szCs w:val="24"/>
                <w:lang w:eastAsia="tr-TR"/>
              </w:rPr>
              <w:t xml:space="preserve">kurumu </w:t>
            </w:r>
            <w:r w:rsidRPr="00A23740">
              <w:rPr>
                <w:rFonts w:eastAsia="Times New Roman"/>
                <w:szCs w:val="24"/>
                <w:lang w:eastAsia="tr-TR"/>
              </w:rPr>
              <w:t>daha iyi ifade eden “itibarın yerine gelmesi” ibaresi yerine</w:t>
            </w:r>
            <w:r w:rsidR="00422B02" w:rsidRPr="00A23740">
              <w:rPr>
                <w:rFonts w:eastAsia="Times New Roman"/>
                <w:szCs w:val="24"/>
                <w:lang w:eastAsia="tr-TR"/>
              </w:rPr>
              <w:t>,</w:t>
            </w:r>
            <w:r w:rsidRPr="00A23740">
              <w:rPr>
                <w:rFonts w:eastAsia="Times New Roman"/>
                <w:szCs w:val="24"/>
                <w:lang w:eastAsia="tr-TR"/>
              </w:rPr>
              <w:t xml:space="preserve"> “itibarın iadesi” ibaresi tercih edilmektedir. İflasın tasfiyesi, paraların iflas organlarınca dağıtılmasıyla sona ermektedir. Mahkemece iflasın kapanmasına karar verilmiş olsa dahi, müflisin “müflis sıfatı” devam ettiğinden, müflis olmaya bağlı olarak ilgili kanunlarda yer alan kamu görevine atanma, seçme ve seçilme gibi kullanılamayan hakların kullanılabilmesi için itibarın iade edilmesi gerekmektedir. İşte bu hakların iadesi için “itibarın iadesi” kurumuna ihtiyaç bulunmaktadır. Bu kurum, hileli, taksirli ve adi iflas bakımından farklı esaslara tabi olduğundan ayrı ayrı düzenlenmektedir. Ancak farklı </w:t>
            </w:r>
            <w:r w:rsidR="00422B02" w:rsidRPr="00A23740">
              <w:rPr>
                <w:rFonts w:eastAsia="Times New Roman"/>
                <w:szCs w:val="24"/>
                <w:lang w:eastAsia="tr-TR"/>
              </w:rPr>
              <w:t xml:space="preserve">nitelikteki </w:t>
            </w:r>
            <w:r w:rsidRPr="00A23740">
              <w:rPr>
                <w:rFonts w:eastAsia="Times New Roman"/>
                <w:szCs w:val="24"/>
                <w:lang w:eastAsia="tr-TR"/>
              </w:rPr>
              <w:t xml:space="preserve">bu hükümler için ortak olan husus, itibarın yerine getirilmesini talep edebilmek için bütün iflas alacaklarının </w:t>
            </w:r>
            <w:r w:rsidRPr="005D4042">
              <w:rPr>
                <w:rStyle w:val="YELChar"/>
                <w:b w:val="0"/>
                <w:color w:val="auto"/>
              </w:rPr>
              <w:t>itfa edilmiş</w:t>
            </w:r>
            <w:r w:rsidRPr="00A23740">
              <w:rPr>
                <w:rFonts w:eastAsia="Times New Roman"/>
                <w:szCs w:val="24"/>
                <w:lang w:eastAsia="tr-TR"/>
              </w:rPr>
              <w:t xml:space="preserve"> olması</w:t>
            </w:r>
            <w:r w:rsidR="00422B02" w:rsidRPr="00A23740">
              <w:rPr>
                <w:rFonts w:eastAsia="Times New Roman"/>
                <w:szCs w:val="24"/>
                <w:lang w:eastAsia="tr-TR"/>
              </w:rPr>
              <w:t>dır</w:t>
            </w:r>
            <w:r w:rsidRPr="00A23740">
              <w:rPr>
                <w:rFonts w:eastAsia="Times New Roman"/>
                <w:szCs w:val="24"/>
                <w:lang w:eastAsia="tr-TR"/>
              </w:rPr>
              <w:t>.</w:t>
            </w:r>
          </w:p>
          <w:p w:rsidR="00A043AD" w:rsidRPr="00A23740" w:rsidRDefault="00A043AD" w:rsidP="00750F08">
            <w:pPr>
              <w:widowControl w:val="0"/>
              <w:suppressLineNumbers/>
              <w:tabs>
                <w:tab w:val="left" w:pos="540"/>
              </w:tabs>
              <w:ind w:firstLine="709"/>
              <w:rPr>
                <w:rFonts w:eastAsia="Times New Roman"/>
                <w:szCs w:val="24"/>
                <w:lang w:eastAsia="tr-TR"/>
              </w:rPr>
            </w:pPr>
            <w:r w:rsidRPr="00A23740">
              <w:rPr>
                <w:rFonts w:eastAsia="Times New Roman"/>
                <w:szCs w:val="24"/>
                <w:lang w:eastAsia="tr-TR"/>
              </w:rPr>
              <w:t xml:space="preserve">Birinci fıkrayla, hileli müflisin itibarının iade edilmesinde uygulanacak hükümler ile görevli ve yetkili mahkeme belirlenmektedir. </w:t>
            </w:r>
            <w:r w:rsidR="00BB13E0" w:rsidRPr="00A23740">
              <w:rPr>
                <w:rFonts w:eastAsia="Times New Roman"/>
                <w:szCs w:val="24"/>
                <w:lang w:eastAsia="tr-TR"/>
              </w:rPr>
              <w:t xml:space="preserve">Buna </w:t>
            </w:r>
            <w:r w:rsidRPr="00A23740">
              <w:rPr>
                <w:rFonts w:eastAsia="Times New Roman"/>
                <w:szCs w:val="24"/>
                <w:lang w:eastAsia="tr-TR"/>
              </w:rPr>
              <w:t>göre,</w:t>
            </w:r>
            <w:r w:rsidRPr="00A23740">
              <w:t xml:space="preserve"> </w:t>
            </w:r>
            <w:r w:rsidRPr="00A23740">
              <w:rPr>
                <w:rFonts w:eastAsia="Times New Roman"/>
                <w:szCs w:val="24"/>
                <w:lang w:eastAsia="tr-TR"/>
              </w:rPr>
              <w:t xml:space="preserve">hileli müflis, itibarının iade edilmesini 5352 sayılı Adli Sicil Kanununun 13/A maddesi gereğince yasaklanmış hakların geri verilmesine ilişkin hükümler uyarınca iflas kararını veren mahkemeden talep edebilir. 5352 sayılı Kanunun 13/A maddesine göre, hak yoksunluğunun giderilmesi için 5237 sayılı </w:t>
            </w:r>
            <w:r w:rsidR="001F7CA8" w:rsidRPr="005D4042">
              <w:rPr>
                <w:rStyle w:val="KonuBalChar"/>
                <w:rFonts w:eastAsia="Calibri"/>
                <w:b w:val="0"/>
                <w:color w:val="auto"/>
              </w:rPr>
              <w:t>Kanunun</w:t>
            </w:r>
            <w:r w:rsidR="001F7CA8" w:rsidRPr="00A23740">
              <w:rPr>
                <w:rFonts w:eastAsia="Times New Roman"/>
                <w:szCs w:val="24"/>
                <w:lang w:eastAsia="tr-TR"/>
              </w:rPr>
              <w:t xml:space="preserve"> </w:t>
            </w:r>
            <w:r w:rsidRPr="00A23740">
              <w:rPr>
                <w:rFonts w:eastAsia="Times New Roman"/>
                <w:szCs w:val="24"/>
                <w:lang w:eastAsia="tr-TR"/>
              </w:rPr>
              <w:t>53 üncü maddesinin beşinci ve altıncı fıkraları saklı kalmak kaydıyla, mahkûm olunan cezanın infazının tamamlandığı tarihten itibaren üç yıllık bir sürenin geçmiş olması, bu süre zarfında yeni bir suç işlenmemiş olması ve hay</w:t>
            </w:r>
            <w:r w:rsidR="00F96839" w:rsidRPr="00A23740">
              <w:rPr>
                <w:rFonts w:eastAsia="Times New Roman"/>
                <w:szCs w:val="24"/>
                <w:lang w:eastAsia="tr-TR"/>
              </w:rPr>
              <w:t>atın iyi hâ</w:t>
            </w:r>
            <w:r w:rsidRPr="00A23740">
              <w:rPr>
                <w:rFonts w:eastAsia="Times New Roman"/>
                <w:szCs w:val="24"/>
                <w:lang w:eastAsia="tr-TR"/>
              </w:rPr>
              <w:t xml:space="preserve">lli olarak sürdürüldüğü hususunda mahkemede olumlu bir kanaat oluşması gerekmektedir. 2004 sayılı Kanunun 312 nci maddesinde talebin, hileli iflas suçundan mahkûmiyet kararını veren ceza mahkemesine yapılması düzenlenmişken </w:t>
            </w:r>
            <w:r w:rsidRPr="005D4042">
              <w:rPr>
                <w:rStyle w:val="YELChar"/>
                <w:b w:val="0"/>
                <w:color w:val="auto"/>
              </w:rPr>
              <w:t>Taslakta,</w:t>
            </w:r>
            <w:r w:rsidRPr="00A23740">
              <w:rPr>
                <w:rFonts w:eastAsia="Times New Roman"/>
                <w:szCs w:val="24"/>
                <w:lang w:eastAsia="tr-TR"/>
              </w:rPr>
              <w:t xml:space="preserve"> müflisin itibarının iade edilmesi iflasın sonuçlarının ortadan kaldırılması için gerekli olduğunda</w:t>
            </w:r>
            <w:r w:rsidRPr="00FB2916">
              <w:rPr>
                <w:rFonts w:eastAsia="Times New Roman"/>
                <w:szCs w:val="24"/>
                <w:lang w:eastAsia="tr-TR"/>
              </w:rPr>
              <w:t>n</w:t>
            </w:r>
            <w:r w:rsidRPr="00FB2916">
              <w:rPr>
                <w:rFonts w:eastAsia="Times New Roman"/>
                <w:lang w:eastAsia="tr-TR"/>
              </w:rPr>
              <w:t>,</w:t>
            </w:r>
            <w:r w:rsidRPr="00A23740">
              <w:rPr>
                <w:rFonts w:eastAsia="Times New Roman"/>
                <w:szCs w:val="24"/>
                <w:lang w:eastAsia="tr-TR"/>
              </w:rPr>
              <w:t xml:space="preserve"> itibarın iade edilmesine ilişkin talebin iflas kararını veren mahkemeye yapılması esası</w:t>
            </w:r>
            <w:r w:rsidR="00BB13E0" w:rsidRPr="00A23740">
              <w:rPr>
                <w:rFonts w:eastAsia="Times New Roman"/>
                <w:szCs w:val="24"/>
                <w:lang w:eastAsia="tr-TR"/>
              </w:rPr>
              <w:t>benimsenmiştir</w:t>
            </w:r>
            <w:r w:rsidRPr="00A23740">
              <w:rPr>
                <w:rFonts w:eastAsia="Times New Roman"/>
                <w:szCs w:val="24"/>
                <w:lang w:eastAsia="tr-TR"/>
              </w:rPr>
              <w:t xml:space="preserve">. Öte yandan, 5237 sayılı </w:t>
            </w:r>
            <w:r w:rsidR="001F7CA8" w:rsidRPr="005D4042">
              <w:rPr>
                <w:rStyle w:val="KonuBalChar"/>
                <w:rFonts w:eastAsia="Calibri"/>
                <w:b w:val="0"/>
                <w:color w:val="auto"/>
              </w:rPr>
              <w:t>Kanunun</w:t>
            </w:r>
            <w:r w:rsidR="001F7CA8" w:rsidRPr="00A23740">
              <w:rPr>
                <w:rFonts w:eastAsia="Times New Roman"/>
                <w:szCs w:val="24"/>
                <w:lang w:eastAsia="tr-TR"/>
              </w:rPr>
              <w:t xml:space="preserve"> </w:t>
            </w:r>
            <w:r w:rsidRPr="00A23740">
              <w:rPr>
                <w:rFonts w:eastAsia="Times New Roman"/>
                <w:szCs w:val="24"/>
                <w:lang w:eastAsia="tr-TR"/>
              </w:rPr>
              <w:t>161 inci maddesi uyarınca hileli iflas suçundan verilen mahkûmiyet kararı bakımından ceza mahkemesinden, mahkûmiyetin ceza hukukuyla ilgili sonuçlarının ortadan kaldırılması için 5352 sayılı Kanunun 13/A maddesi uyarınca yasaklanmış hakların geri verilmesinin talep edilebileceği hususunda tereddüt bulunmamaktadır.</w:t>
            </w:r>
          </w:p>
          <w:p w:rsidR="00A043AD" w:rsidRDefault="00A043AD" w:rsidP="00955D60">
            <w:pPr>
              <w:widowControl w:val="0"/>
              <w:suppressLineNumbers/>
              <w:tabs>
                <w:tab w:val="left" w:pos="540"/>
              </w:tabs>
              <w:ind w:firstLine="709"/>
              <w:rPr>
                <w:rFonts w:eastAsia="Times New Roman"/>
                <w:bCs/>
                <w:szCs w:val="24"/>
                <w:lang w:eastAsia="tr-TR"/>
              </w:rPr>
            </w:pPr>
            <w:r w:rsidRPr="00A23740">
              <w:rPr>
                <w:rFonts w:eastAsia="Times New Roman"/>
                <w:bCs/>
                <w:szCs w:val="24"/>
                <w:lang w:eastAsia="tr-TR"/>
              </w:rPr>
              <w:t xml:space="preserve">İkinci fıkrayla, itibarın iade edilmesi kararı verilebilmesi için müflisin, masaya kabul edilmiş bütün alacaklıların alacaklarının </w:t>
            </w:r>
            <w:r w:rsidRPr="005D4042">
              <w:rPr>
                <w:rStyle w:val="YELChar"/>
                <w:b w:val="0"/>
                <w:color w:val="auto"/>
              </w:rPr>
              <w:t>itfa edildiğine</w:t>
            </w:r>
            <w:r w:rsidRPr="00A23740">
              <w:rPr>
                <w:rFonts w:eastAsia="Times New Roman"/>
                <w:bCs/>
                <w:szCs w:val="24"/>
                <w:lang w:eastAsia="tr-TR"/>
              </w:rPr>
              <w:t xml:space="preserve"> dair makbuz veya belgeleri ibraz etmek zorunda olduğu düzenlenmektedir. Alacaklılara yapılacak ödemede uygulanacak faiz, Taslağın 306 ncı maddesi uyarınca kanuni faiz olup, ödeme buna göre yapılır.</w:t>
            </w:r>
          </w:p>
          <w:p w:rsidR="00AB59DC" w:rsidRPr="00955D60" w:rsidRDefault="00AB59DC" w:rsidP="00955D60">
            <w:pPr>
              <w:widowControl w:val="0"/>
              <w:suppressLineNumbers/>
              <w:tabs>
                <w:tab w:val="left" w:pos="540"/>
              </w:tabs>
              <w:ind w:firstLine="709"/>
              <w:rPr>
                <w:rFonts w:eastAsia="Times New Roman"/>
                <w:bCs/>
                <w:szCs w:val="24"/>
                <w:lang w:eastAsia="tr-TR"/>
              </w:rPr>
            </w:pPr>
          </w:p>
        </w:tc>
      </w:tr>
      <w:tr w:rsidR="00A043AD" w:rsidRPr="00A23740" w:rsidTr="00750F08">
        <w:tc>
          <w:tcPr>
            <w:tcW w:w="2500" w:type="pct"/>
          </w:tcPr>
          <w:p w:rsidR="00A043AD" w:rsidRPr="00A23740" w:rsidRDefault="00A043AD" w:rsidP="00750F08">
            <w:pPr>
              <w:rPr>
                <w:rFonts w:eastAsia="Times New Roman"/>
                <w:b/>
                <w:i/>
                <w:szCs w:val="24"/>
                <w:lang w:eastAsia="tr-TR"/>
              </w:rPr>
            </w:pPr>
            <w:r w:rsidRPr="00A23740">
              <w:rPr>
                <w:rFonts w:eastAsia="Times New Roman"/>
                <w:b/>
                <w:bCs/>
                <w:strike/>
                <w:color w:val="FF0000"/>
                <w:szCs w:val="24"/>
                <w:lang w:eastAsia="x-none"/>
              </w:rPr>
              <w:t>B -</w:t>
            </w:r>
            <w:r w:rsidRPr="00A23740">
              <w:rPr>
                <w:rFonts w:eastAsia="Times New Roman"/>
                <w:b/>
                <w:i/>
                <w:szCs w:val="24"/>
                <w:lang w:eastAsia="tr-TR"/>
              </w:rPr>
              <w:t xml:space="preserve"> </w:t>
            </w:r>
            <w:r w:rsidRPr="00A23740">
              <w:rPr>
                <w:rFonts w:eastAsia="Times New Roman"/>
                <w:b/>
                <w:strike/>
                <w:color w:val="FF0000"/>
                <w:szCs w:val="24"/>
                <w:lang w:eastAsia="tr-TR"/>
              </w:rPr>
              <w:t>Taksiratlı</w:t>
            </w:r>
            <w:r w:rsidRPr="00A23740">
              <w:rPr>
                <w:rFonts w:eastAsia="Times New Roman"/>
                <w:b/>
                <w:i/>
                <w:szCs w:val="24"/>
                <w:lang w:eastAsia="tr-TR"/>
              </w:rPr>
              <w:t xml:space="preserve"> müflis</w:t>
            </w:r>
            <w:r w:rsidRPr="00A23740">
              <w:rPr>
                <w:rFonts w:eastAsia="Times New Roman"/>
                <w:strike/>
                <w:color w:val="FF0000"/>
                <w:szCs w:val="24"/>
                <w:lang w:eastAsia="tr-TR"/>
              </w:rPr>
              <w:t>:</w:t>
            </w:r>
          </w:p>
          <w:p w:rsidR="00A043AD" w:rsidRPr="00A23740" w:rsidRDefault="00A043AD" w:rsidP="00750F08">
            <w:pPr>
              <w:rPr>
                <w:rFonts w:eastAsia="Times New Roman"/>
                <w:b/>
                <w:strike/>
                <w:color w:val="FF0000"/>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tr-TR"/>
              </w:rPr>
              <w:t>313</w:t>
            </w:r>
            <w:r w:rsidRPr="00A23740">
              <w:rPr>
                <w:rFonts w:eastAsia="Times New Roman"/>
                <w:b/>
                <w:szCs w:val="24"/>
                <w:lang w:eastAsia="tr-TR"/>
              </w:rPr>
              <w:t xml:space="preserve"> – (1) </w:t>
            </w:r>
            <w:r w:rsidRPr="00A23740">
              <w:rPr>
                <w:rFonts w:eastAsia="Times New Roman"/>
                <w:b/>
                <w:strike/>
                <w:color w:val="FF0000"/>
                <w:szCs w:val="24"/>
                <w:lang w:eastAsia="tr-TR"/>
              </w:rPr>
              <w:t>Taksiratlı</w:t>
            </w:r>
            <w:r w:rsidRPr="00A23740">
              <w:rPr>
                <w:rFonts w:eastAsia="Times New Roman"/>
                <w:szCs w:val="24"/>
                <w:lang w:eastAsia="tr-TR"/>
              </w:rPr>
              <w:t xml:space="preserve"> müflis </w:t>
            </w:r>
            <w:r w:rsidRPr="00A23740">
              <w:rPr>
                <w:rFonts w:eastAsia="Times New Roman"/>
                <w:b/>
                <w:strike/>
                <w:color w:val="FF0000"/>
                <w:szCs w:val="24"/>
                <w:lang w:eastAsia="tr-TR"/>
              </w:rPr>
              <w:t>infazı lazımgelen cezasını çektikten</w:t>
            </w:r>
            <w:r w:rsidRPr="00A23740">
              <w:rPr>
                <w:rFonts w:eastAsia="Times New Roman"/>
                <w:szCs w:val="24"/>
                <w:lang w:eastAsia="tr-TR"/>
              </w:rPr>
              <w:t xml:space="preserve"> veya kanuni sebeplerle ceza </w:t>
            </w:r>
            <w:r w:rsidRPr="00A23740">
              <w:rPr>
                <w:rFonts w:eastAsia="Times New Roman"/>
                <w:b/>
                <w:strike/>
                <w:color w:val="FF0000"/>
                <w:szCs w:val="24"/>
                <w:lang w:eastAsia="tr-TR"/>
              </w:rPr>
              <w:t>düştükten sonra</w:t>
            </w:r>
            <w:r w:rsidRPr="00A23740">
              <w:rPr>
                <w:rFonts w:eastAsia="Times New Roman"/>
                <w:szCs w:val="24"/>
                <w:lang w:eastAsia="tr-TR"/>
              </w:rPr>
              <w:t xml:space="preserve"> iflas kararını veren mahkeme</w:t>
            </w:r>
            <w:r w:rsidRPr="00A23740">
              <w:rPr>
                <w:rFonts w:eastAsia="Times New Roman"/>
                <w:b/>
                <w:strike/>
                <w:color w:val="FF0000"/>
                <w:szCs w:val="24"/>
                <w:lang w:eastAsia="tr-TR"/>
              </w:rPr>
              <w:t>ye arzuhal ile müracaat ederek</w:t>
            </w:r>
            <w:r w:rsidRPr="00A23740">
              <w:rPr>
                <w:rFonts w:eastAsia="Times New Roman"/>
                <w:szCs w:val="24"/>
                <w:lang w:eastAsia="tr-TR"/>
              </w:rPr>
              <w:t xml:space="preserve"> itibarının </w:t>
            </w:r>
            <w:r w:rsidRPr="00A23740">
              <w:rPr>
                <w:rFonts w:eastAsia="Times New Roman"/>
                <w:b/>
                <w:strike/>
                <w:color w:val="FF0000"/>
                <w:szCs w:val="24"/>
              </w:rPr>
              <w:t>yerine gelmesini</w:t>
            </w:r>
            <w:r w:rsidRPr="00A23740">
              <w:rPr>
                <w:rFonts w:eastAsia="Times New Roman"/>
                <w:szCs w:val="24"/>
                <w:lang w:eastAsia="tr-TR"/>
              </w:rPr>
              <w:t xml:space="preserve"> talep edebilir.</w:t>
            </w:r>
            <w:r w:rsidRPr="00A23740">
              <w:rPr>
                <w:rFonts w:eastAsia="Times New Roman"/>
                <w:b/>
                <w:szCs w:val="24"/>
                <w:lang w:eastAsia="tr-TR"/>
              </w:rPr>
              <w:t xml:space="preserve"> </w:t>
            </w:r>
            <w:r w:rsidRPr="00A23740">
              <w:rPr>
                <w:rFonts w:eastAsia="Times New Roman"/>
                <w:b/>
                <w:strike/>
                <w:color w:val="FF0000"/>
                <w:szCs w:val="24"/>
                <w:lang w:eastAsia="tr-TR"/>
              </w:rPr>
              <w:t>İstida</w:t>
            </w:r>
            <w:r w:rsidRPr="00A23740">
              <w:rPr>
                <w:rFonts w:eastAsia="Times New Roman"/>
                <w:b/>
                <w:szCs w:val="24"/>
                <w:lang w:eastAsia="x-none"/>
              </w:rPr>
              <w:t xml:space="preserve"> </w:t>
            </w:r>
            <w:r w:rsidRPr="00A23740">
              <w:rPr>
                <w:rFonts w:eastAsia="Times New Roman"/>
                <w:szCs w:val="24"/>
                <w:lang w:eastAsia="tr-TR"/>
              </w:rPr>
              <w:t xml:space="preserve">masaya kabul edilmiş bütün </w:t>
            </w:r>
            <w:r w:rsidRPr="00A23740">
              <w:rPr>
                <w:rFonts w:eastAsia="Times New Roman"/>
                <w:b/>
                <w:strike/>
                <w:color w:val="FF0000"/>
                <w:szCs w:val="24"/>
              </w:rPr>
              <w:t>alacaklıların alacaklarını</w:t>
            </w:r>
            <w:r w:rsidRPr="00A23740">
              <w:rPr>
                <w:rFonts w:eastAsia="Times New Roman"/>
                <w:b/>
                <w:strike/>
                <w:color w:val="FF0000"/>
                <w:szCs w:val="24"/>
                <w:lang w:eastAsia="tr-TR"/>
              </w:rPr>
              <w:t xml:space="preserve"> gösteren iflas dairesinden alınmış bir defterle bu borçların tamamen itfa edildiğine</w:t>
            </w:r>
            <w:r w:rsidRPr="00A23740">
              <w:rPr>
                <w:rFonts w:eastAsia="Times New Roman"/>
                <w:szCs w:val="24"/>
                <w:lang w:eastAsia="tr-TR"/>
              </w:rPr>
              <w:t xml:space="preserve"> dair makbuz</w:t>
            </w:r>
            <w:r w:rsidRPr="00A23740">
              <w:rPr>
                <w:rFonts w:eastAsia="Times New Roman"/>
                <w:b/>
                <w:strike/>
                <w:color w:val="FF0000"/>
                <w:szCs w:val="24"/>
                <w:lang w:eastAsia="tr-TR"/>
              </w:rPr>
              <w:t>lar</w:t>
            </w:r>
            <w:r w:rsidRPr="00A23740">
              <w:rPr>
                <w:rFonts w:eastAsia="Times New Roman"/>
                <w:szCs w:val="24"/>
                <w:lang w:eastAsia="tr-TR"/>
              </w:rPr>
              <w:t xml:space="preserve"> veya</w:t>
            </w:r>
            <w:r w:rsidRPr="00A23740">
              <w:rPr>
                <w:rFonts w:eastAsia="Times New Roman"/>
                <w:b/>
                <w:strike/>
                <w:color w:val="FF0000"/>
                <w:szCs w:val="24"/>
                <w:lang w:eastAsia="tr-TR"/>
              </w:rPr>
              <w:t xml:space="preserve"> sair ispat edici evrak ile tevsik edilir.</w:t>
            </w:r>
          </w:p>
          <w:p w:rsidR="00A043AD" w:rsidRPr="00A23740" w:rsidRDefault="00A043AD" w:rsidP="00750F08">
            <w:pPr>
              <w:rPr>
                <w:rFonts w:eastAsia="Times New Roman"/>
                <w:szCs w:val="24"/>
                <w:lang w:eastAsia="x-none"/>
              </w:rPr>
            </w:pPr>
          </w:p>
        </w:tc>
        <w:tc>
          <w:tcPr>
            <w:tcW w:w="2500" w:type="pct"/>
          </w:tcPr>
          <w:p w:rsidR="00A043AD" w:rsidRPr="00A23740" w:rsidRDefault="00A043AD" w:rsidP="00750F08">
            <w:pPr>
              <w:rPr>
                <w:rFonts w:eastAsia="Times New Roman"/>
                <w:b/>
                <w:szCs w:val="24"/>
                <w:lang w:eastAsia="tr-TR"/>
              </w:rPr>
            </w:pPr>
            <w:r w:rsidRPr="00A23740">
              <w:rPr>
                <w:rFonts w:eastAsia="Times New Roman"/>
                <w:b/>
                <w:bCs/>
                <w:color w:val="0000FF"/>
                <w:szCs w:val="24"/>
                <w:lang w:eastAsia="x-none"/>
              </w:rPr>
              <w:t>Taksirli</w:t>
            </w:r>
            <w:r w:rsidRPr="00A23740">
              <w:rPr>
                <w:rFonts w:eastAsia="Times New Roman"/>
                <w:b/>
                <w:szCs w:val="24"/>
                <w:lang w:eastAsia="tr-TR"/>
              </w:rPr>
              <w:t xml:space="preserve"> müflis</w:t>
            </w:r>
            <w:r w:rsidRPr="00A23740">
              <w:rPr>
                <w:rFonts w:eastAsia="Times New Roman"/>
                <w:b/>
                <w:bCs/>
                <w:color w:val="0000FF"/>
                <w:szCs w:val="24"/>
                <w:lang w:eastAsia="x-none"/>
              </w:rPr>
              <w:t>in itibarının iade edilmesi</w:t>
            </w:r>
          </w:p>
          <w:p w:rsidR="00A043AD" w:rsidRPr="00A23740" w:rsidRDefault="00A043AD" w:rsidP="00750F08">
            <w:pPr>
              <w:rPr>
                <w:rFonts w:eastAsia="Times New Roman"/>
                <w:szCs w:val="24"/>
                <w:lang w:eastAsia="tr-TR"/>
              </w:rPr>
            </w:pPr>
            <w:r w:rsidRPr="00A23740">
              <w:rPr>
                <w:rFonts w:eastAsia="Times New Roman"/>
                <w:b/>
                <w:color w:val="0000FF"/>
                <w:szCs w:val="24"/>
              </w:rPr>
              <w:t>MADDE 541- (1)</w:t>
            </w:r>
            <w:r w:rsidRPr="00A23740">
              <w:rPr>
                <w:rFonts w:eastAsia="Times New Roman"/>
                <w:b/>
                <w:bCs/>
                <w:color w:val="0000FF"/>
                <w:szCs w:val="24"/>
                <w:lang w:eastAsia="tr-TR"/>
              </w:rPr>
              <w:t xml:space="preserve"> Taksirli</w:t>
            </w:r>
            <w:r w:rsidRPr="00A23740">
              <w:rPr>
                <w:rFonts w:eastAsia="Times New Roman"/>
                <w:szCs w:val="24"/>
                <w:lang w:eastAsia="tr-TR"/>
              </w:rPr>
              <w:t xml:space="preserve"> müflis</w:t>
            </w:r>
            <w:r w:rsidRPr="00A23740">
              <w:rPr>
                <w:rFonts w:eastAsia="Times New Roman"/>
                <w:b/>
                <w:bCs/>
                <w:color w:val="0000FF"/>
                <w:szCs w:val="24"/>
                <w:lang w:eastAsia="tr-TR"/>
              </w:rPr>
              <w:t>,</w:t>
            </w:r>
            <w:r w:rsidRPr="00A23740">
              <w:rPr>
                <w:rFonts w:eastAsia="Times New Roman"/>
                <w:szCs w:val="24"/>
                <w:lang w:eastAsia="tr-TR"/>
              </w:rPr>
              <w:t xml:space="preserve"> </w:t>
            </w:r>
            <w:r w:rsidRPr="00A23740">
              <w:rPr>
                <w:rFonts w:eastAsia="Times New Roman"/>
                <w:b/>
                <w:bCs/>
                <w:color w:val="0000FF"/>
                <w:szCs w:val="24"/>
                <w:lang w:eastAsia="tr-TR"/>
              </w:rPr>
              <w:t xml:space="preserve">cezasının infaz edilmesinden </w:t>
            </w:r>
            <w:r w:rsidRPr="00A23740">
              <w:rPr>
                <w:rFonts w:eastAsia="Times New Roman"/>
                <w:szCs w:val="24"/>
                <w:lang w:eastAsia="tr-TR"/>
              </w:rPr>
              <w:t>veya kanuni sebeplerle ceza</w:t>
            </w:r>
            <w:r w:rsidRPr="00A23740">
              <w:rPr>
                <w:rFonts w:eastAsia="Times New Roman"/>
                <w:b/>
                <w:bCs/>
                <w:color w:val="0000FF"/>
                <w:szCs w:val="24"/>
                <w:lang w:eastAsia="tr-TR"/>
              </w:rPr>
              <w:t>nın düşmesinden sonra</w:t>
            </w:r>
            <w:r w:rsidRPr="00A23740">
              <w:rPr>
                <w:rFonts w:eastAsia="Times New Roman"/>
                <w:szCs w:val="24"/>
                <w:lang w:eastAsia="tr-TR"/>
              </w:rPr>
              <w:t xml:space="preserve"> iflas kararını veren mahkeme</w:t>
            </w:r>
            <w:r w:rsidRPr="00A23740">
              <w:rPr>
                <w:b/>
                <w:bCs/>
                <w:color w:val="0000FF"/>
                <w:szCs w:val="24"/>
                <w:lang w:eastAsia="x-none"/>
              </w:rPr>
              <w:t>den</w:t>
            </w:r>
            <w:r w:rsidRPr="00A23740">
              <w:rPr>
                <w:rFonts w:eastAsia="Times New Roman"/>
                <w:szCs w:val="24"/>
                <w:lang w:eastAsia="tr-TR"/>
              </w:rPr>
              <w:t xml:space="preserve"> itibarının </w:t>
            </w:r>
            <w:r w:rsidRPr="00A23740">
              <w:rPr>
                <w:rFonts w:eastAsia="Times New Roman"/>
                <w:b/>
                <w:color w:val="0000FF"/>
                <w:szCs w:val="24"/>
              </w:rPr>
              <w:t>iadesini</w:t>
            </w:r>
            <w:r w:rsidRPr="00A23740">
              <w:rPr>
                <w:rFonts w:eastAsia="Times New Roman"/>
                <w:szCs w:val="24"/>
                <w:lang w:eastAsia="tr-TR"/>
              </w:rPr>
              <w:t xml:space="preserve"> talep edebilir.</w:t>
            </w:r>
          </w:p>
          <w:p w:rsidR="00A043AD" w:rsidRPr="00A23740" w:rsidRDefault="00A043AD" w:rsidP="00750F08">
            <w:pPr>
              <w:jc w:val="left"/>
              <w:rPr>
                <w:rFonts w:eastAsia="Times New Roman"/>
                <w:szCs w:val="24"/>
                <w:lang w:eastAsia="tr-TR"/>
              </w:rPr>
            </w:pPr>
          </w:p>
          <w:p w:rsidR="00A043AD" w:rsidRPr="00A23740" w:rsidRDefault="00A043AD" w:rsidP="00FB2916">
            <w:pPr>
              <w:rPr>
                <w:rFonts w:eastAsia="Times New Roman"/>
                <w:szCs w:val="24"/>
                <w:lang w:eastAsia="tr-TR"/>
              </w:rPr>
            </w:pPr>
            <w:r w:rsidRPr="00A23740">
              <w:rPr>
                <w:rFonts w:eastAsia="Times New Roman"/>
                <w:b/>
                <w:bCs/>
                <w:color w:val="0000FF"/>
                <w:szCs w:val="24"/>
                <w:lang w:eastAsia="tr-TR"/>
              </w:rPr>
              <w:t xml:space="preserve">(2) İtibarın iade edilmesi kararı verilebilmesi için müflisin, ayrıca </w:t>
            </w:r>
            <w:r w:rsidRPr="00A23740">
              <w:rPr>
                <w:rFonts w:eastAsia="Times New Roman"/>
                <w:szCs w:val="24"/>
                <w:lang w:eastAsia="tr-TR"/>
              </w:rPr>
              <w:t>masaya kabul edilmiş</w:t>
            </w:r>
            <w:r w:rsidRPr="00A23740">
              <w:rPr>
                <w:rFonts w:eastAsia="Times New Roman"/>
                <w:bCs/>
                <w:szCs w:val="24"/>
                <w:lang w:eastAsia="x-none"/>
              </w:rPr>
              <w:t xml:space="preserve"> bütün </w:t>
            </w:r>
            <w:r w:rsidRPr="00A23740">
              <w:rPr>
                <w:rFonts w:eastAsia="Times New Roman"/>
                <w:b/>
                <w:color w:val="0000FF"/>
                <w:szCs w:val="24"/>
              </w:rPr>
              <w:t>alacakların</w:t>
            </w:r>
            <w:r w:rsidRPr="00A23740">
              <w:rPr>
                <w:rFonts w:eastAsia="Times New Roman"/>
                <w:bCs/>
                <w:szCs w:val="24"/>
                <w:lang w:eastAsia="x-none"/>
              </w:rPr>
              <w:t xml:space="preserve"> </w:t>
            </w:r>
            <w:r w:rsidRPr="005D4042">
              <w:rPr>
                <w:rStyle w:val="YELChar"/>
                <w:color w:val="0000FF"/>
              </w:rPr>
              <w:t>itfa edildiğine</w:t>
            </w:r>
            <w:r w:rsidRPr="00A23740">
              <w:rPr>
                <w:rFonts w:eastAsia="Times New Roman"/>
                <w:b/>
                <w:bCs/>
                <w:color w:val="0000FF"/>
                <w:szCs w:val="24"/>
                <w:lang w:eastAsia="tr-TR"/>
              </w:rPr>
              <w:t xml:space="preserve"> </w:t>
            </w:r>
            <w:r w:rsidRPr="00A23740">
              <w:rPr>
                <w:rFonts w:eastAsia="Times New Roman"/>
                <w:bCs/>
                <w:szCs w:val="24"/>
                <w:lang w:eastAsia="x-none"/>
              </w:rPr>
              <w:t>dair makbuz veya</w:t>
            </w:r>
            <w:r w:rsidRPr="00A23740">
              <w:rPr>
                <w:rFonts w:eastAsia="Times New Roman"/>
                <w:b/>
                <w:bCs/>
                <w:color w:val="0000FF"/>
                <w:szCs w:val="24"/>
                <w:lang w:eastAsia="tr-TR"/>
              </w:rPr>
              <w:t xml:space="preserve"> belgeleri ibraz etmesi zorunludur.</w:t>
            </w: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x-none"/>
              </w:rPr>
              <w:t>MADDE 541-</w:t>
            </w:r>
            <w:r w:rsidRPr="00A23740">
              <w:rPr>
                <w:rFonts w:eastAsia="Times New Roman"/>
                <w:szCs w:val="24"/>
                <w:lang w:eastAsia="x-none"/>
              </w:rPr>
              <w:t xml:space="preserve"> </w:t>
            </w:r>
            <w:r w:rsidRPr="00A23740">
              <w:rPr>
                <w:rFonts w:eastAsia="Times New Roman"/>
                <w:szCs w:val="24"/>
                <w:lang w:eastAsia="tr-TR"/>
              </w:rPr>
              <w:t>Maddeyle, taksirli müflisin itibarının iade edilmesine ilişkin hususlar düzenlenmektedir. Hüküm, 2004 sayılı Kanunun 313 üncü maddesine karşılık gelmektedir.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Birinci fıkrayla, taksirli müflisin itibarının iade edilmesinde uygulanacak hükümler ile görevli ve yetkili mahkeme belirlenmektedir. Buna göre, taksirli müflis, cezasının infaz edilmesinden veya kanuni sebeplerle cezasının düşmesinden sonra iflas kararını veren mahkemeden itibarının iadesini talep </w:t>
            </w:r>
            <w:r w:rsidR="00BB13E0" w:rsidRPr="00A23740">
              <w:rPr>
                <w:rFonts w:eastAsia="Times New Roman"/>
                <w:szCs w:val="24"/>
                <w:lang w:eastAsia="tr-TR"/>
              </w:rPr>
              <w:t xml:space="preserve"> edebilecektir</w:t>
            </w:r>
            <w:r w:rsidRPr="00A23740">
              <w:rPr>
                <w:rFonts w:eastAsia="Times New Roman"/>
                <w:szCs w:val="24"/>
                <w:lang w:eastAsia="tr-TR"/>
              </w:rPr>
              <w:t>.</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İkinci fıkrayla, itibarın iade edilmesi kararı verilebilmesi için müflisin, ayrıca masaya kabul edilmiş bütün alacakların </w:t>
            </w:r>
            <w:r w:rsidRPr="005D4042">
              <w:rPr>
                <w:rStyle w:val="YELChar"/>
                <w:b w:val="0"/>
                <w:color w:val="auto"/>
              </w:rPr>
              <w:t>itfa edildiğine</w:t>
            </w:r>
            <w:r w:rsidRPr="00A23740">
              <w:rPr>
                <w:rFonts w:eastAsia="Times New Roman"/>
                <w:szCs w:val="24"/>
                <w:lang w:eastAsia="tr-TR"/>
              </w:rPr>
              <w:t xml:space="preserve"> dair makbuz veya belgeleri ibraz etmesinin zorunlu olduğu düzenlenmektedir. </w:t>
            </w:r>
            <w:r w:rsidRPr="00A23740">
              <w:rPr>
                <w:rFonts w:eastAsia="Times New Roman"/>
                <w:bCs/>
                <w:szCs w:val="24"/>
                <w:lang w:eastAsia="tr-TR"/>
              </w:rPr>
              <w:t>Alacaklılara yapılacak ödemede uygulanacak faiz, Taslağın 306 ncı maddesi uyarınca kanuni faiz olup, ödeme buna göre yapılır.</w:t>
            </w:r>
          </w:p>
          <w:p w:rsidR="00A043AD" w:rsidRPr="00A23740" w:rsidRDefault="00A043AD" w:rsidP="00955D60">
            <w:pPr>
              <w:rPr>
                <w:rFonts w:eastAsia="Arial Unicode MS"/>
                <w:b/>
                <w:iCs/>
                <w:szCs w:val="24"/>
                <w:lang w:eastAsia="tr-TR"/>
              </w:rPr>
            </w:pPr>
          </w:p>
        </w:tc>
      </w:tr>
      <w:tr w:rsidR="00A043AD" w:rsidRPr="00A23740" w:rsidTr="00750F08">
        <w:tc>
          <w:tcPr>
            <w:tcW w:w="2500" w:type="pct"/>
          </w:tcPr>
          <w:p w:rsidR="00A043AD" w:rsidRPr="00A23740" w:rsidRDefault="00A043AD" w:rsidP="00B41F95">
            <w:pPr>
              <w:widowControl w:val="0"/>
              <w:rPr>
                <w:rFonts w:eastAsia="Times New Roman"/>
                <w:b/>
                <w:szCs w:val="24"/>
                <w:lang w:eastAsia="tr-TR"/>
              </w:rPr>
            </w:pPr>
            <w:r w:rsidRPr="00A23740">
              <w:rPr>
                <w:rFonts w:eastAsia="Times New Roman"/>
                <w:b/>
                <w:bCs/>
                <w:strike/>
                <w:color w:val="FF0000"/>
                <w:szCs w:val="24"/>
                <w:lang w:eastAsia="tr-TR"/>
              </w:rPr>
              <w:t>C –</w:t>
            </w:r>
            <w:r w:rsidRPr="00A23740">
              <w:rPr>
                <w:rFonts w:eastAsia="Times New Roman"/>
                <w:b/>
                <w:szCs w:val="24"/>
                <w:lang w:eastAsia="tr-TR"/>
              </w:rPr>
              <w:t xml:space="preserve"> Adi müflis</w:t>
            </w:r>
            <w:r w:rsidRPr="00A23740">
              <w:rPr>
                <w:rFonts w:eastAsia="Times New Roman"/>
                <w:b/>
                <w:i/>
                <w:strike/>
                <w:color w:val="FF0000"/>
                <w:szCs w:val="24"/>
                <w:lang w:eastAsia="x-none"/>
              </w:rPr>
              <w:t>:</w:t>
            </w:r>
          </w:p>
          <w:p w:rsidR="00A043AD" w:rsidRPr="00A23740" w:rsidRDefault="00A043AD" w:rsidP="00B41F95">
            <w:pPr>
              <w:widowControl w:val="0"/>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tr-TR"/>
              </w:rPr>
              <w:t>314</w:t>
            </w:r>
            <w:r w:rsidRPr="00A23740">
              <w:rPr>
                <w:rFonts w:eastAsia="Times New Roman"/>
                <w:b/>
                <w:szCs w:val="24"/>
                <w:lang w:eastAsia="tr-TR"/>
              </w:rPr>
              <w:t xml:space="preserve"> – (1) </w:t>
            </w:r>
            <w:r w:rsidRPr="00A23740">
              <w:rPr>
                <w:rFonts w:eastAsia="Times New Roman"/>
                <w:szCs w:val="24"/>
                <w:lang w:eastAsia="tr-TR"/>
              </w:rPr>
              <w:t xml:space="preserve">Adi müflis masaya kabul edilmiş bütün </w:t>
            </w:r>
            <w:r w:rsidRPr="00A23740">
              <w:rPr>
                <w:rFonts w:eastAsia="Times New Roman"/>
                <w:b/>
                <w:strike/>
                <w:color w:val="FF0000"/>
                <w:szCs w:val="24"/>
              </w:rPr>
              <w:t xml:space="preserve">alacaklıların alacaklarını </w:t>
            </w:r>
            <w:r w:rsidRPr="00A23740">
              <w:rPr>
                <w:rFonts w:eastAsia="Times New Roman"/>
                <w:b/>
                <w:strike/>
                <w:color w:val="FF0000"/>
                <w:szCs w:val="24"/>
                <w:lang w:eastAsia="tr-TR"/>
              </w:rPr>
              <w:t>itfa ettiğine</w:t>
            </w:r>
            <w:r w:rsidRPr="00A23740">
              <w:rPr>
                <w:rFonts w:eastAsia="Times New Roman"/>
                <w:szCs w:val="24"/>
                <w:lang w:eastAsia="tr-TR"/>
              </w:rPr>
              <w:t xml:space="preserve"> dair makbuz veya </w:t>
            </w:r>
            <w:r w:rsidRPr="00A23740">
              <w:rPr>
                <w:rFonts w:eastAsia="Times New Roman"/>
                <w:b/>
                <w:strike/>
                <w:color w:val="FF0000"/>
                <w:szCs w:val="24"/>
                <w:lang w:eastAsia="tr-TR"/>
              </w:rPr>
              <w:t>vesikaları</w:t>
            </w:r>
            <w:r w:rsidRPr="00A23740">
              <w:rPr>
                <w:rFonts w:eastAsia="Times New Roman"/>
                <w:szCs w:val="24"/>
                <w:lang w:eastAsia="tr-TR"/>
              </w:rPr>
              <w:t xml:space="preserve"> </w:t>
            </w:r>
            <w:r w:rsidRPr="00A23740">
              <w:rPr>
                <w:rFonts w:eastAsia="Times New Roman"/>
                <w:b/>
                <w:strike/>
                <w:color w:val="FF0000"/>
                <w:szCs w:val="24"/>
              </w:rPr>
              <w:t>göstererek</w:t>
            </w:r>
            <w:r w:rsidRPr="00A23740">
              <w:rPr>
                <w:rFonts w:eastAsia="Times New Roman"/>
                <w:szCs w:val="24"/>
                <w:lang w:eastAsia="tr-TR"/>
              </w:rPr>
              <w:t xml:space="preserve"> iflasa karar veren mahkemeden itibarının </w:t>
            </w:r>
            <w:r w:rsidRPr="00A23740">
              <w:rPr>
                <w:rFonts w:eastAsia="Times New Roman"/>
                <w:b/>
                <w:bCs/>
                <w:strike/>
                <w:color w:val="FF0000"/>
                <w:szCs w:val="24"/>
                <w:lang w:eastAsia="x-none"/>
              </w:rPr>
              <w:t>yerine gelmesini</w:t>
            </w:r>
            <w:r w:rsidRPr="00A23740">
              <w:rPr>
                <w:rFonts w:eastAsia="Times New Roman"/>
                <w:szCs w:val="24"/>
                <w:lang w:eastAsia="tr-TR"/>
              </w:rPr>
              <w:t xml:space="preserve"> isteyebilir.</w:t>
            </w:r>
          </w:p>
          <w:p w:rsidR="00A043AD" w:rsidRPr="00A23740" w:rsidRDefault="00A043AD" w:rsidP="00B41F95">
            <w:pPr>
              <w:widowControl w:val="0"/>
              <w:jc w:val="left"/>
              <w:rPr>
                <w:rFonts w:eastAsia="Times New Roman"/>
                <w:szCs w:val="24"/>
                <w:lang w:eastAsia="tr-TR"/>
              </w:rPr>
            </w:pPr>
          </w:p>
        </w:tc>
        <w:tc>
          <w:tcPr>
            <w:tcW w:w="2500" w:type="pct"/>
          </w:tcPr>
          <w:p w:rsidR="00A043AD" w:rsidRPr="00A23740" w:rsidRDefault="00A043AD" w:rsidP="00B41F95">
            <w:pPr>
              <w:widowControl w:val="0"/>
              <w:rPr>
                <w:rFonts w:eastAsia="Times New Roman"/>
                <w:b/>
                <w:szCs w:val="24"/>
                <w:lang w:eastAsia="tr-TR"/>
              </w:rPr>
            </w:pPr>
            <w:r w:rsidRPr="00A23740">
              <w:rPr>
                <w:rFonts w:eastAsia="Times New Roman"/>
                <w:b/>
                <w:szCs w:val="24"/>
                <w:lang w:eastAsia="tr-TR"/>
              </w:rPr>
              <w:t>Adi müflis</w:t>
            </w:r>
            <w:r w:rsidRPr="00A23740">
              <w:rPr>
                <w:rFonts w:eastAsia="Times New Roman"/>
                <w:b/>
                <w:bCs/>
                <w:color w:val="0000FF"/>
                <w:szCs w:val="24"/>
                <w:lang w:eastAsia="x-none"/>
              </w:rPr>
              <w:t>in itibarının iade edilmesi</w:t>
            </w:r>
          </w:p>
          <w:p w:rsidR="00A043AD" w:rsidRPr="00A23740" w:rsidRDefault="00A043AD" w:rsidP="00B41F95">
            <w:pPr>
              <w:widowControl w:val="0"/>
              <w:rPr>
                <w:rFonts w:eastAsia="Times New Roman"/>
                <w:szCs w:val="24"/>
                <w:lang w:eastAsia="tr-TR"/>
              </w:rPr>
            </w:pPr>
            <w:r w:rsidRPr="00A23740">
              <w:rPr>
                <w:rFonts w:eastAsia="Times New Roman"/>
                <w:b/>
                <w:color w:val="0000FF"/>
                <w:szCs w:val="24"/>
              </w:rPr>
              <w:t>MADDE 542- (1)</w:t>
            </w:r>
            <w:r w:rsidRPr="00A23740">
              <w:rPr>
                <w:rFonts w:eastAsia="Times New Roman"/>
                <w:b/>
                <w:szCs w:val="24"/>
                <w:lang w:eastAsia="tr-TR"/>
              </w:rPr>
              <w:t xml:space="preserve"> </w:t>
            </w:r>
            <w:r w:rsidRPr="00A23740">
              <w:rPr>
                <w:rFonts w:eastAsia="Times New Roman"/>
                <w:szCs w:val="24"/>
                <w:lang w:eastAsia="tr-TR"/>
              </w:rPr>
              <w:t>Adi müflis</w:t>
            </w:r>
            <w:r w:rsidRPr="00A23740">
              <w:rPr>
                <w:b/>
                <w:bCs/>
                <w:color w:val="0000FF"/>
                <w:szCs w:val="24"/>
                <w:lang w:val="x-none" w:eastAsia="x-none"/>
              </w:rPr>
              <w:t>,</w:t>
            </w:r>
            <w:r w:rsidRPr="00A23740">
              <w:rPr>
                <w:rFonts w:eastAsia="Times New Roman"/>
                <w:szCs w:val="24"/>
                <w:lang w:eastAsia="tr-TR"/>
              </w:rPr>
              <w:t xml:space="preserve"> iflasa karar veren mahkemeden itibarının </w:t>
            </w:r>
            <w:r w:rsidRPr="00A23740">
              <w:rPr>
                <w:rFonts w:eastAsia="Times New Roman"/>
                <w:b/>
                <w:bCs/>
                <w:color w:val="0000FF"/>
                <w:szCs w:val="24"/>
                <w:lang w:eastAsia="x-none"/>
              </w:rPr>
              <w:t>iade edilmesini</w:t>
            </w:r>
            <w:r w:rsidRPr="00A23740">
              <w:rPr>
                <w:rFonts w:eastAsia="Times New Roman"/>
                <w:szCs w:val="24"/>
                <w:lang w:eastAsia="tr-TR"/>
              </w:rPr>
              <w:t xml:space="preserve"> isteyebilir.</w:t>
            </w:r>
          </w:p>
          <w:p w:rsidR="00AB59DC" w:rsidRDefault="00AB59DC" w:rsidP="00B41F95">
            <w:pPr>
              <w:widowControl w:val="0"/>
              <w:rPr>
                <w:rFonts w:eastAsia="Times New Roman"/>
                <w:szCs w:val="24"/>
                <w:lang w:eastAsia="tr-TR"/>
              </w:rPr>
            </w:pPr>
          </w:p>
          <w:p w:rsidR="00A043AD" w:rsidRPr="00A23740" w:rsidRDefault="00A043AD" w:rsidP="00B41F95">
            <w:pPr>
              <w:widowControl w:val="0"/>
              <w:rPr>
                <w:rFonts w:eastAsia="Times New Roman"/>
                <w:szCs w:val="24"/>
                <w:lang w:eastAsia="tr-TR"/>
              </w:rPr>
            </w:pPr>
            <w:r w:rsidRPr="00A23740">
              <w:rPr>
                <w:rFonts w:eastAsia="Times New Roman"/>
                <w:b/>
                <w:bCs/>
                <w:color w:val="0000FF"/>
                <w:szCs w:val="24"/>
                <w:lang w:eastAsia="x-none"/>
              </w:rPr>
              <w:t xml:space="preserve">(2) İtibarın iade edilmesi kararı verilebilmesi için müflisin, </w:t>
            </w:r>
            <w:r w:rsidRPr="00A23740">
              <w:rPr>
                <w:rFonts w:eastAsia="Times New Roman"/>
                <w:szCs w:val="24"/>
                <w:lang w:eastAsia="tr-TR"/>
              </w:rPr>
              <w:t xml:space="preserve">masaya kabul edilmiş bütün </w:t>
            </w:r>
            <w:r w:rsidRPr="00A23740">
              <w:rPr>
                <w:rFonts w:eastAsia="Times New Roman"/>
                <w:b/>
                <w:color w:val="0000FF"/>
                <w:szCs w:val="24"/>
              </w:rPr>
              <w:t>alacakları</w:t>
            </w:r>
            <w:r w:rsidRPr="00A23740">
              <w:rPr>
                <w:rFonts w:eastAsia="Times New Roman"/>
                <w:szCs w:val="24"/>
                <w:lang w:eastAsia="tr-TR"/>
              </w:rPr>
              <w:t xml:space="preserve"> </w:t>
            </w:r>
            <w:r w:rsidRPr="005D4042">
              <w:rPr>
                <w:rStyle w:val="YELChar"/>
                <w:color w:val="0000FF"/>
              </w:rPr>
              <w:t>itfa ettiğine</w:t>
            </w:r>
            <w:r w:rsidRPr="00A23740">
              <w:rPr>
                <w:rFonts w:eastAsia="Times New Roman"/>
                <w:szCs w:val="24"/>
                <w:lang w:eastAsia="tr-TR"/>
              </w:rPr>
              <w:t xml:space="preserve"> dair makbuz veya </w:t>
            </w:r>
            <w:r w:rsidRPr="00A23740">
              <w:rPr>
                <w:rFonts w:eastAsia="Times New Roman"/>
                <w:b/>
                <w:bCs/>
                <w:color w:val="0000FF"/>
                <w:szCs w:val="24"/>
                <w:lang w:eastAsia="tr-TR"/>
              </w:rPr>
              <w:t>belgeleri</w:t>
            </w:r>
            <w:r w:rsidRPr="00A23740">
              <w:rPr>
                <w:rFonts w:eastAsia="Times New Roman"/>
                <w:szCs w:val="24"/>
                <w:lang w:eastAsia="tr-TR"/>
              </w:rPr>
              <w:t xml:space="preserve"> </w:t>
            </w:r>
            <w:r w:rsidRPr="00A23740">
              <w:rPr>
                <w:rFonts w:eastAsia="Times New Roman"/>
                <w:b/>
                <w:bCs/>
                <w:color w:val="0000FF"/>
                <w:szCs w:val="24"/>
                <w:lang w:eastAsia="x-none"/>
              </w:rPr>
              <w:t>ibraz etmesi zorunludur.</w:t>
            </w:r>
          </w:p>
          <w:p w:rsidR="00A043AD" w:rsidRPr="00A23740" w:rsidRDefault="00A043AD" w:rsidP="00B41F95">
            <w:pPr>
              <w:widowControl w:val="0"/>
              <w:rPr>
                <w:rFonts w:eastAsia="Times New Roman"/>
                <w:b/>
                <w:bCs/>
                <w:color w:val="0000FF"/>
                <w:szCs w:val="24"/>
                <w:lang w:eastAsia="x-none"/>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x-none"/>
              </w:rPr>
              <w:t>MADDE 542-</w:t>
            </w:r>
            <w:r w:rsidRPr="00A23740">
              <w:rPr>
                <w:rFonts w:eastAsia="Times New Roman"/>
                <w:szCs w:val="24"/>
                <w:lang w:eastAsia="x-none"/>
              </w:rPr>
              <w:t xml:space="preserve"> </w:t>
            </w:r>
            <w:r w:rsidRPr="00A23740">
              <w:rPr>
                <w:rFonts w:eastAsia="Times New Roman"/>
                <w:szCs w:val="24"/>
                <w:lang w:eastAsia="tr-TR"/>
              </w:rPr>
              <w:t>Maddeyle, adi müflisin itibarının iade edilmesine ilişkin hususlar düzenlenmektedir. Hüküm, 2004 sayılı Kanunun 314 üncü maddesine karşılık gelmektedir.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Birinci</w:t>
            </w:r>
            <w:r w:rsidR="00BB13E0" w:rsidRPr="00A23740">
              <w:rPr>
                <w:rFonts w:eastAsia="Times New Roman"/>
                <w:szCs w:val="24"/>
                <w:lang w:eastAsia="tr-TR"/>
              </w:rPr>
              <w:t>fıkrada</w:t>
            </w:r>
            <w:r w:rsidRPr="00A23740">
              <w:rPr>
                <w:rFonts w:eastAsia="Times New Roman"/>
                <w:szCs w:val="24"/>
                <w:lang w:eastAsia="tr-TR"/>
              </w:rPr>
              <w:t xml:space="preserve">, adi müflisin, iflasa karar veren mahkemeden itibarının iade edilmesini isteyebileceği </w:t>
            </w:r>
            <w:r w:rsidR="00BB13E0" w:rsidRPr="00A23740">
              <w:rPr>
                <w:rFonts w:eastAsia="Times New Roman"/>
                <w:szCs w:val="24"/>
                <w:lang w:eastAsia="tr-TR"/>
              </w:rPr>
              <w:t>açıklanmaktadır</w:t>
            </w:r>
            <w:r w:rsidRPr="00A23740">
              <w:rPr>
                <w:rFonts w:eastAsia="Times New Roman"/>
                <w:szCs w:val="24"/>
                <w:lang w:eastAsia="tr-TR"/>
              </w:rPr>
              <w:t>.</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İkinci fıkra</w:t>
            </w:r>
            <w:r w:rsidR="00BB13E0" w:rsidRPr="00A23740">
              <w:rPr>
                <w:rFonts w:eastAsia="Times New Roman"/>
                <w:szCs w:val="24"/>
                <w:lang w:eastAsia="tr-TR"/>
              </w:rPr>
              <w:t>da</w:t>
            </w:r>
            <w:r w:rsidRPr="00A23740">
              <w:rPr>
                <w:rFonts w:eastAsia="Times New Roman"/>
                <w:szCs w:val="24"/>
                <w:lang w:eastAsia="tr-TR"/>
              </w:rPr>
              <w:t xml:space="preserve">, itibarın iade edilmesi kararı verilebilmesi için müflisin, masaya kabul edilmiş bütün alacakların </w:t>
            </w:r>
            <w:r w:rsidRPr="005D4042">
              <w:rPr>
                <w:rStyle w:val="YELChar"/>
                <w:b w:val="0"/>
                <w:color w:val="auto"/>
              </w:rPr>
              <w:t>itfa edildiğine</w:t>
            </w:r>
            <w:r w:rsidRPr="005D4042">
              <w:rPr>
                <w:rFonts w:eastAsia="Times New Roman"/>
                <w:b/>
                <w:szCs w:val="24"/>
                <w:lang w:eastAsia="tr-TR"/>
              </w:rPr>
              <w:t xml:space="preserve"> </w:t>
            </w:r>
            <w:r w:rsidRPr="00A23740">
              <w:rPr>
                <w:rFonts w:eastAsia="Times New Roman"/>
                <w:szCs w:val="24"/>
                <w:lang w:eastAsia="tr-TR"/>
              </w:rPr>
              <w:t xml:space="preserve">dair makbuz veya belgeleri ibraz etmesinin zorunlu olduğu düzenlenmektedir. </w:t>
            </w:r>
            <w:r w:rsidRPr="00A23740">
              <w:rPr>
                <w:rFonts w:eastAsia="Times New Roman"/>
                <w:bCs/>
                <w:szCs w:val="24"/>
                <w:lang w:eastAsia="tr-TR"/>
              </w:rPr>
              <w:t>Alacaklılara yapılacak ödemede uygulanacak faiz, Taslağın 306 ncı maddesi uyarınca kanuni faiz olup, ödeme buna göre yapılır.</w:t>
            </w:r>
          </w:p>
          <w:p w:rsidR="00A043AD" w:rsidRPr="00A23740" w:rsidRDefault="00A043AD" w:rsidP="00955D60">
            <w:pPr>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Ölümden sonra itibarın </w:t>
            </w:r>
            <w:r w:rsidRPr="00A23740">
              <w:rPr>
                <w:rFonts w:eastAsia="Times New Roman"/>
                <w:b/>
                <w:bCs/>
                <w:strike/>
                <w:color w:val="FF0000"/>
                <w:szCs w:val="24"/>
                <w:lang w:eastAsia="tr-TR"/>
              </w:rPr>
              <w:t>yerine gelmesi:</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tr-TR"/>
              </w:rPr>
              <w:t>316</w:t>
            </w:r>
            <w:r w:rsidRPr="00A23740">
              <w:rPr>
                <w:rFonts w:eastAsia="Times New Roman"/>
                <w:b/>
                <w:szCs w:val="24"/>
                <w:lang w:eastAsia="tr-TR"/>
              </w:rPr>
              <w:t xml:space="preserve"> – (1) </w:t>
            </w:r>
            <w:r w:rsidRPr="00A23740">
              <w:rPr>
                <w:rFonts w:eastAsia="Times New Roman"/>
                <w:szCs w:val="24"/>
                <w:lang w:eastAsia="tr-TR"/>
              </w:rPr>
              <w:t>Hileli veya taksir</w:t>
            </w:r>
            <w:r w:rsidRPr="00A23740">
              <w:rPr>
                <w:rFonts w:eastAsia="Times New Roman"/>
                <w:b/>
                <w:strike/>
                <w:color w:val="FF0000"/>
                <w:szCs w:val="24"/>
                <w:lang w:eastAsia="tr-TR"/>
              </w:rPr>
              <w:t>atlı yahut</w:t>
            </w:r>
            <w:r w:rsidRPr="00A23740">
              <w:rPr>
                <w:rFonts w:eastAsia="Times New Roman"/>
                <w:szCs w:val="24"/>
                <w:lang w:eastAsia="tr-TR"/>
              </w:rPr>
              <w:t xml:space="preserve"> adi müflisin </w:t>
            </w:r>
            <w:r w:rsidRPr="00A23740">
              <w:rPr>
                <w:rFonts w:eastAsia="Times New Roman"/>
                <w:b/>
                <w:strike/>
                <w:color w:val="FF0000"/>
                <w:szCs w:val="24"/>
                <w:lang w:eastAsia="tr-TR"/>
              </w:rPr>
              <w:t>itibarının yerine gelmesine</w:t>
            </w:r>
            <w:r w:rsidRPr="00A23740">
              <w:rPr>
                <w:rFonts w:eastAsia="Times New Roman"/>
                <w:bCs/>
                <w:szCs w:val="24"/>
                <w:lang w:eastAsia="x-none"/>
              </w:rPr>
              <w:t xml:space="preserve"> ölümü</w:t>
            </w:r>
            <w:r w:rsidRPr="00A23740">
              <w:rPr>
                <w:rFonts w:eastAsia="Times New Roman"/>
                <w:b/>
                <w:strike/>
                <w:color w:val="FF0000"/>
                <w:szCs w:val="24"/>
                <w:lang w:eastAsia="tr-TR"/>
              </w:rPr>
              <w:t>nden sonra</w:t>
            </w:r>
            <w:r w:rsidRPr="00A23740">
              <w:rPr>
                <w:rFonts w:eastAsia="Times New Roman"/>
                <w:bCs/>
                <w:szCs w:val="24"/>
                <w:lang w:eastAsia="x-none"/>
              </w:rPr>
              <w:t xml:space="preserve"> mirasçılarından</w:t>
            </w:r>
            <w:r w:rsidRPr="00A23740">
              <w:rPr>
                <w:rFonts w:eastAsia="Times New Roman"/>
                <w:szCs w:val="24"/>
                <w:lang w:eastAsia="x-none"/>
              </w:rPr>
              <w:t xml:space="preserve"> biri</w:t>
            </w:r>
            <w:r w:rsidRPr="00A23740">
              <w:rPr>
                <w:rFonts w:eastAsia="Times New Roman"/>
                <w:b/>
                <w:strike/>
                <w:color w:val="FF0000"/>
                <w:szCs w:val="24"/>
                <w:lang w:eastAsia="tr-TR"/>
              </w:rPr>
              <w:t>nin talebiyle de hükmolunabilir.</w:t>
            </w:r>
          </w:p>
          <w:p w:rsidR="00A043AD" w:rsidRPr="00A23740" w:rsidRDefault="00A043AD" w:rsidP="00750F08">
            <w:pPr>
              <w:rPr>
                <w:rFonts w:eastAsia="Times New Roman"/>
                <w:i/>
                <w:szCs w:val="24"/>
                <w:lang w:eastAsia="tr-TR"/>
              </w:rPr>
            </w:pPr>
          </w:p>
        </w:tc>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 xml:space="preserve">Ölümden sonra itibarın </w:t>
            </w:r>
            <w:r w:rsidRPr="00A23740">
              <w:rPr>
                <w:rFonts w:eastAsia="Times New Roman"/>
                <w:b/>
                <w:bCs/>
                <w:color w:val="0000FF"/>
                <w:szCs w:val="24"/>
                <w:lang w:eastAsia="x-none"/>
              </w:rPr>
              <w:t>iade edilmesi</w:t>
            </w:r>
          </w:p>
          <w:p w:rsidR="00A043AD" w:rsidRPr="00A23740" w:rsidRDefault="00A043AD" w:rsidP="00750F08">
            <w:pPr>
              <w:rPr>
                <w:rFonts w:eastAsia="Times New Roman"/>
                <w:szCs w:val="24"/>
                <w:lang w:eastAsia="tr-TR"/>
              </w:rPr>
            </w:pPr>
            <w:r w:rsidRPr="00A23740">
              <w:rPr>
                <w:rFonts w:eastAsia="Times New Roman"/>
                <w:b/>
                <w:color w:val="0000FF"/>
                <w:szCs w:val="24"/>
              </w:rPr>
              <w:t>MADDE 543- (1)</w:t>
            </w:r>
            <w:r w:rsidRPr="00A23740">
              <w:rPr>
                <w:rFonts w:eastAsia="Times New Roman"/>
                <w:b/>
                <w:szCs w:val="24"/>
                <w:lang w:eastAsia="tr-TR"/>
              </w:rPr>
              <w:t xml:space="preserve"> </w:t>
            </w:r>
            <w:r w:rsidRPr="00A23740">
              <w:rPr>
                <w:rFonts w:eastAsia="Times New Roman"/>
                <w:szCs w:val="24"/>
                <w:lang w:eastAsia="tr-TR"/>
              </w:rPr>
              <w:t>Hileli veya taksir</w:t>
            </w:r>
            <w:r w:rsidRPr="00A23740">
              <w:rPr>
                <w:rFonts w:eastAsia="Times New Roman"/>
                <w:b/>
                <w:bCs/>
                <w:color w:val="0000FF"/>
                <w:szCs w:val="24"/>
                <w:lang w:eastAsia="tr-TR"/>
              </w:rPr>
              <w:t>li ya da</w:t>
            </w:r>
            <w:r w:rsidRPr="00A23740">
              <w:rPr>
                <w:rFonts w:eastAsia="Times New Roman"/>
                <w:szCs w:val="24"/>
                <w:lang w:eastAsia="tr-TR"/>
              </w:rPr>
              <w:t xml:space="preserve"> adi müflisin </w:t>
            </w:r>
            <w:r w:rsidRPr="00A23740">
              <w:rPr>
                <w:rFonts w:eastAsia="Times New Roman"/>
                <w:bCs/>
                <w:szCs w:val="24"/>
                <w:lang w:eastAsia="x-none"/>
              </w:rPr>
              <w:t>ölümü</w:t>
            </w:r>
            <w:r w:rsidRPr="00A23740">
              <w:rPr>
                <w:rFonts w:eastAsia="Times New Roman"/>
                <w:b/>
                <w:bCs/>
                <w:color w:val="0000FF"/>
                <w:szCs w:val="24"/>
                <w:lang w:eastAsia="tr-TR"/>
              </w:rPr>
              <w:t xml:space="preserve"> hâlinde </w:t>
            </w:r>
            <w:r w:rsidRPr="00A23740">
              <w:rPr>
                <w:rFonts w:eastAsia="Times New Roman"/>
                <w:szCs w:val="24"/>
                <w:lang w:eastAsia="tr-TR"/>
              </w:rPr>
              <w:t>mirasçıları</w:t>
            </w:r>
            <w:r w:rsidRPr="00A23740">
              <w:rPr>
                <w:rFonts w:eastAsia="Times New Roman"/>
                <w:szCs w:val="24"/>
                <w:lang w:eastAsia="x-none"/>
              </w:rPr>
              <w:t>ndan</w:t>
            </w:r>
            <w:r w:rsidRPr="00A23740">
              <w:rPr>
                <w:rFonts w:ascii="New York" w:eastAsia="Times New Roman" w:hAnsi="New York"/>
                <w:b/>
                <w:bCs/>
                <w:sz w:val="18"/>
                <w:szCs w:val="20"/>
                <w:lang w:eastAsia="x-none"/>
              </w:rPr>
              <w:t xml:space="preserve"> </w:t>
            </w:r>
            <w:r w:rsidRPr="00A23740">
              <w:rPr>
                <w:rFonts w:eastAsia="Times New Roman"/>
                <w:szCs w:val="24"/>
                <w:lang w:eastAsia="tr-TR"/>
              </w:rPr>
              <w:t>biri</w:t>
            </w:r>
            <w:r w:rsidRPr="00A23740">
              <w:rPr>
                <w:rFonts w:eastAsia="Times New Roman"/>
                <w:b/>
                <w:bCs/>
                <w:color w:val="0000FF"/>
                <w:szCs w:val="24"/>
                <w:lang w:eastAsia="tr-TR"/>
              </w:rPr>
              <w:t>, yukarıdaki maddelere göre miras bırakanın itibarının iade edilmesini ilgili mahkemeden talep edebilir.</w:t>
            </w:r>
          </w:p>
          <w:p w:rsidR="00A043AD" w:rsidRPr="00A23740" w:rsidRDefault="00A043AD" w:rsidP="00750F08">
            <w:pPr>
              <w:rPr>
                <w:rFonts w:eastAsia="Times New Roman"/>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x-none"/>
              </w:rPr>
            </w:pPr>
            <w:r w:rsidRPr="00A23740">
              <w:rPr>
                <w:rFonts w:eastAsia="Times New Roman"/>
                <w:b/>
                <w:szCs w:val="24"/>
                <w:lang w:eastAsia="x-none"/>
              </w:rPr>
              <w:t>MADDE 543-</w:t>
            </w:r>
            <w:r w:rsidRPr="00A23740">
              <w:rPr>
                <w:rFonts w:eastAsia="Times New Roman"/>
                <w:szCs w:val="24"/>
                <w:lang w:eastAsia="x-none"/>
              </w:rPr>
              <w:t xml:space="preserve"> </w:t>
            </w:r>
            <w:r w:rsidRPr="00A23740">
              <w:rPr>
                <w:rFonts w:eastAsia="Times New Roman"/>
                <w:szCs w:val="24"/>
                <w:lang w:eastAsia="tr-TR"/>
              </w:rPr>
              <w:t xml:space="preserve">Maddeyle, müflisin </w:t>
            </w:r>
            <w:r w:rsidR="00BB13E0" w:rsidRPr="00A23740">
              <w:rPr>
                <w:rFonts w:eastAsia="Times New Roman"/>
                <w:szCs w:val="24"/>
                <w:lang w:eastAsia="tr-TR"/>
              </w:rPr>
              <w:t xml:space="preserve">itibarının </w:t>
            </w:r>
            <w:r w:rsidRPr="00A23740">
              <w:rPr>
                <w:rFonts w:eastAsia="Times New Roman"/>
                <w:szCs w:val="24"/>
                <w:lang w:eastAsia="tr-TR"/>
              </w:rPr>
              <w:t>ölümünden sonra iade edilmesine ilişkin hususlar düzenlenmektedir. Hüküm, 2004 sayılı Kanunun</w:t>
            </w:r>
            <w:r w:rsidRPr="00A23740">
              <w:rPr>
                <w:rFonts w:eastAsia="Times New Roman"/>
                <w:szCs w:val="24"/>
                <w:lang w:eastAsia="x-none"/>
              </w:rPr>
              <w:t xml:space="preserve"> 316 ncı </w:t>
            </w:r>
            <w:r w:rsidRPr="00A23740">
              <w:rPr>
                <w:rFonts w:eastAsia="Times New Roman"/>
                <w:szCs w:val="24"/>
                <w:lang w:eastAsia="tr-TR"/>
              </w:rPr>
              <w:t>maddesine karşılık gelmektedir.</w:t>
            </w:r>
          </w:p>
          <w:p w:rsidR="00A043AD" w:rsidRPr="00A23740" w:rsidRDefault="00A043AD" w:rsidP="00750F08">
            <w:pPr>
              <w:ind w:firstLine="709"/>
              <w:rPr>
                <w:rFonts w:eastAsia="Times New Roman"/>
                <w:bCs/>
                <w:szCs w:val="24"/>
                <w:lang w:eastAsia="x-none"/>
              </w:rPr>
            </w:pPr>
            <w:r w:rsidRPr="00A23740">
              <w:rPr>
                <w:rFonts w:eastAsia="Times New Roman"/>
                <w:szCs w:val="24"/>
                <w:lang w:eastAsia="x-none"/>
              </w:rPr>
              <w:t xml:space="preserve">Birinci fıkrayla, hileli veya </w:t>
            </w:r>
            <w:r w:rsidRPr="00A23740">
              <w:rPr>
                <w:rFonts w:eastAsia="Times New Roman"/>
                <w:bCs/>
                <w:szCs w:val="24"/>
                <w:lang w:eastAsia="x-none"/>
              </w:rPr>
              <w:t>taksirli ya da</w:t>
            </w:r>
            <w:r w:rsidRPr="00A23740">
              <w:rPr>
                <w:rFonts w:eastAsia="Times New Roman"/>
                <w:szCs w:val="24"/>
                <w:lang w:eastAsia="x-none"/>
              </w:rPr>
              <w:t xml:space="preserve"> adi müflisin ölümü hâlinde ilgili hükümlerde belirtilen koşulların yerine getirilmesi şartıyla </w:t>
            </w:r>
            <w:r w:rsidRPr="00A23740">
              <w:rPr>
                <w:rFonts w:eastAsia="Times New Roman"/>
                <w:bCs/>
                <w:szCs w:val="24"/>
                <w:lang w:eastAsia="x-none"/>
              </w:rPr>
              <w:t xml:space="preserve">mirasçılarından birinin, müflisin itibarının iade edilmesini talep </w:t>
            </w:r>
            <w:r w:rsidRPr="005D4042">
              <w:rPr>
                <w:rFonts w:eastAsia="Times New Roman"/>
                <w:bCs/>
                <w:szCs w:val="24"/>
                <w:lang w:eastAsia="x-none"/>
              </w:rPr>
              <w:t>edebileceği</w:t>
            </w:r>
            <w:r w:rsidRPr="00A23740">
              <w:rPr>
                <w:rFonts w:eastAsia="Times New Roman"/>
                <w:bCs/>
                <w:szCs w:val="24"/>
                <w:lang w:eastAsia="x-none"/>
              </w:rPr>
              <w:t xml:space="preserve"> hüküm altına alınmaktadır.</w:t>
            </w:r>
          </w:p>
          <w:p w:rsidR="00A043AD" w:rsidRPr="00A23740" w:rsidRDefault="00A043AD" w:rsidP="00955D60">
            <w:pPr>
              <w:rPr>
                <w:rFonts w:eastAsia="Arial Unicode MS"/>
                <w:b/>
                <w:iCs/>
                <w:szCs w:val="24"/>
                <w:lang w:eastAsia="tr-TR"/>
              </w:rPr>
            </w:pPr>
          </w:p>
        </w:tc>
      </w:tr>
      <w:tr w:rsidR="00A043AD" w:rsidRPr="00A23740" w:rsidTr="00750F08">
        <w:tc>
          <w:tcPr>
            <w:tcW w:w="2500" w:type="pct"/>
          </w:tcPr>
          <w:p w:rsidR="00A043AD" w:rsidRPr="00A23740" w:rsidRDefault="00A043AD" w:rsidP="00750F08">
            <w:pPr>
              <w:rPr>
                <w:rFonts w:eastAsia="Times New Roman"/>
                <w:b/>
                <w:szCs w:val="24"/>
                <w:lang w:eastAsia="tr-TR"/>
              </w:rPr>
            </w:pPr>
            <w:r w:rsidRPr="00A23740">
              <w:rPr>
                <w:rFonts w:eastAsia="Times New Roman"/>
                <w:b/>
                <w:szCs w:val="24"/>
                <w:lang w:eastAsia="tr-TR"/>
              </w:rPr>
              <w:t>İlan</w:t>
            </w:r>
            <w:r w:rsidRPr="00A23740">
              <w:rPr>
                <w:rFonts w:eastAsia="Times New Roman"/>
                <w:b/>
                <w:i/>
                <w:strike/>
                <w:color w:val="FF0000"/>
                <w:szCs w:val="24"/>
                <w:lang w:eastAsia="x-none"/>
              </w:rPr>
              <w:t>:</w:t>
            </w:r>
          </w:p>
          <w:p w:rsidR="00A043AD" w:rsidRPr="00A23740" w:rsidRDefault="00A043AD" w:rsidP="00750F08">
            <w:pPr>
              <w:rPr>
                <w:rFonts w:eastAsia="Times New Roman"/>
                <w:szCs w:val="24"/>
                <w:lang w:eastAsia="tr-TR"/>
              </w:rPr>
            </w:pPr>
            <w:r w:rsidRPr="00A23740">
              <w:rPr>
                <w:rFonts w:eastAsia="Times New Roman"/>
                <w:b/>
                <w:szCs w:val="24"/>
                <w:lang w:eastAsia="tr-TR"/>
              </w:rPr>
              <w:t xml:space="preserve">Madde </w:t>
            </w:r>
            <w:r w:rsidRPr="00A23740">
              <w:rPr>
                <w:rFonts w:eastAsia="Times New Roman"/>
                <w:b/>
                <w:strike/>
                <w:color w:val="FF0000"/>
                <w:szCs w:val="24"/>
                <w:lang w:eastAsia="tr-TR"/>
              </w:rPr>
              <w:t>315</w:t>
            </w:r>
            <w:r w:rsidRPr="00A23740">
              <w:rPr>
                <w:rFonts w:eastAsia="Times New Roman"/>
                <w:b/>
                <w:szCs w:val="24"/>
                <w:lang w:eastAsia="tr-TR"/>
              </w:rPr>
              <w:t xml:space="preserve"> – (1) </w:t>
            </w:r>
            <w:r w:rsidRPr="00A23740">
              <w:rPr>
                <w:rFonts w:eastAsia="Times New Roman"/>
                <w:b/>
                <w:strike/>
                <w:color w:val="FF0000"/>
                <w:szCs w:val="24"/>
                <w:lang w:eastAsia="tr-TR"/>
              </w:rPr>
              <w:t>Yukarki maddelere göre talebin kabulü üzerine verilen hüküm,</w:t>
            </w:r>
            <w:r w:rsidRPr="00A23740">
              <w:rPr>
                <w:rFonts w:eastAsia="Times New Roman"/>
                <w:szCs w:val="24"/>
                <w:lang w:eastAsia="tr-TR"/>
              </w:rPr>
              <w:t xml:space="preserve"> Resmi Gazete ile ilan </w:t>
            </w:r>
            <w:r w:rsidRPr="00A23740">
              <w:rPr>
                <w:b/>
                <w:bCs/>
                <w:strike/>
                <w:color w:val="FF0000"/>
                <w:szCs w:val="24"/>
              </w:rPr>
              <w:t>olunur</w:t>
            </w:r>
            <w:r w:rsidRPr="00A23740">
              <w:rPr>
                <w:rFonts w:eastAsia="Times New Roman"/>
                <w:szCs w:val="24"/>
                <w:lang w:eastAsia="tr-TR"/>
              </w:rPr>
              <w:t>.</w:t>
            </w:r>
          </w:p>
          <w:p w:rsidR="00A043AD" w:rsidRPr="00A23740" w:rsidRDefault="00A043AD" w:rsidP="00750F08">
            <w:pPr>
              <w:ind w:firstLine="567"/>
              <w:rPr>
                <w:rFonts w:eastAsia="Times New Roman"/>
                <w:i/>
                <w:szCs w:val="24"/>
                <w:lang w:eastAsia="tr-TR"/>
              </w:rPr>
            </w:pPr>
          </w:p>
          <w:p w:rsidR="00A043AD" w:rsidRPr="00A23740" w:rsidRDefault="00A043AD" w:rsidP="00750F08">
            <w:pPr>
              <w:rPr>
                <w:rFonts w:eastAsia="Times New Roman"/>
                <w:szCs w:val="24"/>
                <w:lang w:eastAsia="x-none"/>
              </w:rPr>
            </w:pPr>
          </w:p>
        </w:tc>
        <w:tc>
          <w:tcPr>
            <w:tcW w:w="2500" w:type="pct"/>
          </w:tcPr>
          <w:p w:rsidR="00A043AD" w:rsidRPr="00A23740" w:rsidRDefault="00A043AD" w:rsidP="00750F08">
            <w:pPr>
              <w:rPr>
                <w:rFonts w:eastAsia="Times New Roman"/>
                <w:b/>
                <w:szCs w:val="24"/>
                <w:lang w:eastAsia="tr-TR"/>
              </w:rPr>
            </w:pPr>
            <w:r w:rsidRPr="00A23740">
              <w:rPr>
                <w:rFonts w:eastAsia="Times New Roman"/>
                <w:b/>
                <w:color w:val="0000FF"/>
                <w:szCs w:val="24"/>
              </w:rPr>
              <w:t>İtibarın iadesi kararının sonuçları ve</w:t>
            </w:r>
            <w:r w:rsidRPr="00A23740">
              <w:rPr>
                <w:rFonts w:eastAsia="Times New Roman"/>
                <w:b/>
                <w:szCs w:val="24"/>
                <w:lang w:eastAsia="tr-TR"/>
              </w:rPr>
              <w:t xml:space="preserve"> ilan</w:t>
            </w:r>
            <w:r w:rsidRPr="00A23740">
              <w:rPr>
                <w:rFonts w:eastAsia="Times New Roman"/>
                <w:b/>
                <w:color w:val="0000FF"/>
                <w:szCs w:val="24"/>
              </w:rPr>
              <w:t>ı</w:t>
            </w:r>
          </w:p>
          <w:p w:rsidR="00A043AD" w:rsidRPr="00A23740" w:rsidRDefault="00A043AD" w:rsidP="00750F08">
            <w:pPr>
              <w:rPr>
                <w:rFonts w:eastAsia="Times New Roman"/>
                <w:b/>
                <w:color w:val="0000FF"/>
                <w:szCs w:val="24"/>
              </w:rPr>
            </w:pPr>
            <w:r w:rsidRPr="00A23740">
              <w:rPr>
                <w:rFonts w:eastAsia="Times New Roman"/>
                <w:b/>
                <w:color w:val="0000FF"/>
                <w:szCs w:val="24"/>
              </w:rPr>
              <w:t>MADDE 544- (1) İtibarın iadesi hakkındaki mahkeme kararının kesinleşmesiyle müflisin müflis sıfatı kalkar.</w:t>
            </w:r>
          </w:p>
          <w:p w:rsidR="00A043AD" w:rsidRPr="00A23740" w:rsidRDefault="00A043AD" w:rsidP="00750F08">
            <w:pPr>
              <w:rPr>
                <w:rFonts w:eastAsia="Times New Roman"/>
                <w:b/>
                <w:color w:val="0000FF"/>
                <w:szCs w:val="24"/>
              </w:rPr>
            </w:pPr>
          </w:p>
          <w:p w:rsidR="00A043AD" w:rsidRPr="00A23740" w:rsidRDefault="00A043AD" w:rsidP="00750F08">
            <w:pPr>
              <w:rPr>
                <w:rFonts w:eastAsia="Times New Roman"/>
                <w:b/>
                <w:bCs/>
                <w:color w:val="0000FF"/>
                <w:szCs w:val="24"/>
                <w:lang w:eastAsia="tr-TR"/>
              </w:rPr>
            </w:pPr>
            <w:r w:rsidRPr="00A23740">
              <w:rPr>
                <w:rFonts w:eastAsia="Times New Roman"/>
                <w:b/>
                <w:color w:val="0000FF"/>
                <w:szCs w:val="24"/>
              </w:rPr>
              <w:t>(2)</w:t>
            </w:r>
            <w:r w:rsidRPr="00A23740">
              <w:rPr>
                <w:rFonts w:eastAsia="Times New Roman"/>
                <w:b/>
                <w:bCs/>
                <w:color w:val="0000FF"/>
                <w:szCs w:val="24"/>
                <w:lang w:eastAsia="tr-TR"/>
              </w:rPr>
              <w:t xml:space="preserve"> İtibarın iadesine ilişkin kararlar </w:t>
            </w:r>
            <w:r w:rsidRPr="00A23740">
              <w:rPr>
                <w:rFonts w:eastAsia="Times New Roman"/>
                <w:szCs w:val="24"/>
                <w:lang w:eastAsia="x-none"/>
              </w:rPr>
              <w:t>Resmî Gazete</w:t>
            </w:r>
            <w:r w:rsidRPr="00A23740">
              <w:rPr>
                <w:rFonts w:eastAsia="Times New Roman"/>
                <w:b/>
                <w:bCs/>
                <w:color w:val="0000FF"/>
                <w:szCs w:val="24"/>
                <w:lang w:eastAsia="tr-TR"/>
              </w:rPr>
              <w:t xml:space="preserve">’de </w:t>
            </w:r>
            <w:r w:rsidRPr="00A23740">
              <w:rPr>
                <w:rFonts w:eastAsia="Times New Roman"/>
                <w:szCs w:val="24"/>
                <w:lang w:eastAsia="x-none"/>
              </w:rPr>
              <w:t xml:space="preserve">ilan </w:t>
            </w:r>
            <w:r w:rsidRPr="00A23740">
              <w:rPr>
                <w:b/>
                <w:bCs/>
                <w:color w:val="0000FF"/>
                <w:szCs w:val="24"/>
                <w:lang w:val="x-none" w:eastAsia="x-none"/>
              </w:rPr>
              <w:t>edilir</w:t>
            </w:r>
            <w:r w:rsidRPr="00A23740">
              <w:rPr>
                <w:rFonts w:eastAsia="Times New Roman"/>
                <w:szCs w:val="24"/>
                <w:lang w:eastAsia="x-none"/>
              </w:rPr>
              <w:t>.</w:t>
            </w:r>
            <w:r w:rsidRPr="00A23740">
              <w:rPr>
                <w:rFonts w:eastAsia="Times New Roman"/>
                <w:b/>
                <w:bCs/>
                <w:color w:val="0000FF"/>
                <w:szCs w:val="24"/>
                <w:lang w:eastAsia="tr-TR"/>
              </w:rPr>
              <w:t xml:space="preserve"> </w:t>
            </w:r>
          </w:p>
          <w:p w:rsidR="00A043AD" w:rsidRPr="00A23740" w:rsidRDefault="00A043AD" w:rsidP="00750F08">
            <w:pPr>
              <w:rPr>
                <w:rFonts w:eastAsia="Times New Roman"/>
                <w:b/>
                <w:bCs/>
                <w:color w:val="0000FF"/>
                <w:szCs w:val="24"/>
                <w:lang w:eastAsia="tr-TR"/>
              </w:rPr>
            </w:pPr>
          </w:p>
          <w:p w:rsidR="00A043AD" w:rsidRDefault="00A043AD" w:rsidP="00FB2916">
            <w:pPr>
              <w:rPr>
                <w:rStyle w:val="KIRMIZIChar"/>
                <w:rFonts w:eastAsia="Calibri"/>
              </w:rPr>
            </w:pPr>
            <w:r w:rsidRPr="00A23740">
              <w:rPr>
                <w:rFonts w:eastAsia="Times New Roman"/>
                <w:b/>
                <w:bCs/>
                <w:color w:val="0000FF"/>
                <w:szCs w:val="24"/>
                <w:lang w:eastAsia="tr-TR"/>
              </w:rPr>
              <w:t xml:space="preserve">(3) </w:t>
            </w:r>
            <w:r w:rsidR="00392609" w:rsidRPr="005D4042">
              <w:rPr>
                <w:rFonts w:eastAsia="Times New Roman"/>
                <w:b/>
                <w:bCs/>
                <w:color w:val="0000FF"/>
                <w:szCs w:val="24"/>
                <w:lang w:eastAsia="tr-TR"/>
              </w:rPr>
              <w:t>Kesinleşen</w:t>
            </w:r>
            <w:r w:rsidR="00392609" w:rsidRPr="00A23740">
              <w:rPr>
                <w:rFonts w:eastAsia="Times New Roman"/>
                <w:b/>
                <w:bCs/>
                <w:color w:val="538135"/>
                <w:szCs w:val="24"/>
                <w:lang w:eastAsia="tr-TR"/>
              </w:rPr>
              <w:t xml:space="preserve"> </w:t>
            </w:r>
            <w:r w:rsidR="00392609" w:rsidRPr="00A23740">
              <w:rPr>
                <w:rFonts w:eastAsia="Times New Roman"/>
                <w:b/>
                <w:bCs/>
                <w:color w:val="0000FF"/>
                <w:szCs w:val="24"/>
                <w:lang w:eastAsia="tr-TR"/>
              </w:rPr>
              <w:t xml:space="preserve">itibarın </w:t>
            </w:r>
            <w:r w:rsidRPr="00A23740">
              <w:rPr>
                <w:rFonts w:eastAsia="Times New Roman"/>
                <w:b/>
                <w:bCs/>
                <w:color w:val="0000FF"/>
                <w:szCs w:val="24"/>
                <w:lang w:eastAsia="tr-TR"/>
              </w:rPr>
              <w:t>iadesi kararlar</w:t>
            </w:r>
            <w:r w:rsidR="00392609" w:rsidRPr="005D4042">
              <w:rPr>
                <w:rFonts w:eastAsia="Times New Roman"/>
                <w:b/>
                <w:bCs/>
                <w:color w:val="0000FF"/>
                <w:szCs w:val="24"/>
                <w:lang w:eastAsia="tr-TR"/>
              </w:rPr>
              <w:t>ı</w:t>
            </w:r>
            <w:r w:rsidRPr="00A23740">
              <w:rPr>
                <w:rFonts w:eastAsia="Times New Roman"/>
                <w:b/>
                <w:bCs/>
                <w:color w:val="0000FF"/>
                <w:szCs w:val="24"/>
                <w:lang w:eastAsia="tr-TR"/>
              </w:rPr>
              <w:t xml:space="preserve">, </w:t>
            </w:r>
            <w:r w:rsidRPr="005D4042">
              <w:rPr>
                <w:rStyle w:val="YELChar"/>
                <w:color w:val="0000FF"/>
              </w:rPr>
              <w:t>talep</w:t>
            </w:r>
            <w:r w:rsidRPr="00A23740">
              <w:rPr>
                <w:rStyle w:val="YELChar"/>
              </w:rPr>
              <w:t xml:space="preserve"> </w:t>
            </w:r>
            <w:r w:rsidRPr="005D4042">
              <w:rPr>
                <w:rStyle w:val="YELChar"/>
                <w:color w:val="0000FF"/>
              </w:rPr>
              <w:t>hâlinde</w:t>
            </w:r>
            <w:r w:rsidRPr="00A23740">
              <w:rPr>
                <w:rFonts w:eastAsia="Times New Roman"/>
                <w:b/>
                <w:bCs/>
                <w:color w:val="0000FF"/>
                <w:szCs w:val="24"/>
                <w:lang w:eastAsia="tr-TR"/>
              </w:rPr>
              <w:t xml:space="preserve"> </w:t>
            </w:r>
            <w:r w:rsidRPr="00A23740">
              <w:rPr>
                <w:rFonts w:eastAsia="Times New Roman"/>
                <w:b/>
                <w:color w:val="0000FF"/>
                <w:szCs w:val="24"/>
              </w:rPr>
              <w:t>iflas</w:t>
            </w:r>
            <w:r w:rsidRPr="00A23740">
              <w:rPr>
                <w:b/>
                <w:color w:val="00CC00"/>
                <w:szCs w:val="24"/>
              </w:rPr>
              <w:t xml:space="preserve"> </w:t>
            </w:r>
            <w:r w:rsidRPr="00A23740">
              <w:rPr>
                <w:rFonts w:eastAsia="Times New Roman"/>
                <w:b/>
                <w:color w:val="0000FF"/>
                <w:szCs w:val="24"/>
              </w:rPr>
              <w:t>kararının</w:t>
            </w:r>
            <w:r w:rsidRPr="00A23740">
              <w:rPr>
                <w:b/>
                <w:color w:val="00CC00"/>
                <w:szCs w:val="24"/>
              </w:rPr>
              <w:t xml:space="preserve"> </w:t>
            </w:r>
            <w:r w:rsidRPr="00A23740">
              <w:rPr>
                <w:rFonts w:eastAsia="Times New Roman"/>
                <w:b/>
                <w:color w:val="0000FF"/>
                <w:szCs w:val="24"/>
              </w:rPr>
              <w:t>ilanına</w:t>
            </w:r>
            <w:r w:rsidRPr="00A23740">
              <w:rPr>
                <w:b/>
                <w:color w:val="00CC00"/>
                <w:szCs w:val="24"/>
              </w:rPr>
              <w:t xml:space="preserve"> </w:t>
            </w:r>
            <w:r w:rsidRPr="00A23740">
              <w:rPr>
                <w:rFonts w:eastAsia="Times New Roman"/>
                <w:b/>
                <w:color w:val="0000FF"/>
                <w:szCs w:val="24"/>
              </w:rPr>
              <w:t>ilişkin</w:t>
            </w:r>
            <w:r w:rsidRPr="00A23740">
              <w:rPr>
                <w:rFonts w:eastAsia="Times New Roman"/>
                <w:b/>
                <w:bCs/>
                <w:color w:val="0000FF"/>
                <w:szCs w:val="24"/>
                <w:lang w:eastAsia="tr-TR"/>
              </w:rPr>
              <w:t xml:space="preserve"> </w:t>
            </w:r>
            <w:r w:rsidR="009929CA" w:rsidRPr="005D4042">
              <w:rPr>
                <w:rStyle w:val="KonuBalChar"/>
                <w:rFonts w:eastAsia="Calibri"/>
                <w:color w:val="0000FF"/>
              </w:rPr>
              <w:t>283 üncü</w:t>
            </w:r>
            <w:r w:rsidR="009929CA" w:rsidRPr="00A23740">
              <w:rPr>
                <w:rFonts w:eastAsia="Times New Roman"/>
                <w:b/>
                <w:bCs/>
                <w:color w:val="0000FF"/>
                <w:szCs w:val="24"/>
                <w:lang w:eastAsia="tr-TR"/>
              </w:rPr>
              <w:t xml:space="preserve"> </w:t>
            </w:r>
            <w:r w:rsidRPr="00A23740">
              <w:rPr>
                <w:rFonts w:eastAsia="Times New Roman"/>
                <w:b/>
                <w:bCs/>
                <w:color w:val="0000FF"/>
                <w:szCs w:val="24"/>
                <w:lang w:eastAsia="tr-TR"/>
              </w:rPr>
              <w:t>maddeye göre</w:t>
            </w:r>
            <w:r w:rsidR="00DC3274" w:rsidRPr="00A23740">
              <w:rPr>
                <w:rFonts w:eastAsia="Times New Roman"/>
                <w:b/>
                <w:bCs/>
                <w:color w:val="0000FF"/>
                <w:szCs w:val="24"/>
                <w:lang w:eastAsia="tr-TR"/>
              </w:rPr>
              <w:t xml:space="preserve"> </w:t>
            </w:r>
            <w:r w:rsidR="00DC3274" w:rsidRPr="005D4042">
              <w:rPr>
                <w:rFonts w:eastAsia="Times New Roman"/>
                <w:b/>
                <w:bCs/>
                <w:color w:val="0000FF"/>
                <w:szCs w:val="24"/>
                <w:lang w:eastAsia="tr-TR"/>
              </w:rPr>
              <w:t>ilan edilir ve</w:t>
            </w:r>
            <w:r w:rsidRPr="00A23740">
              <w:rPr>
                <w:rFonts w:eastAsia="Times New Roman"/>
                <w:b/>
                <w:bCs/>
                <w:color w:val="0000FF"/>
                <w:szCs w:val="24"/>
                <w:lang w:eastAsia="tr-TR"/>
              </w:rPr>
              <w:t xml:space="preserve"> ilgili yerlere bildirilir</w:t>
            </w:r>
            <w:r w:rsidR="00DC3274" w:rsidRPr="00A23740">
              <w:rPr>
                <w:rFonts w:eastAsia="Times New Roman"/>
                <w:b/>
                <w:bCs/>
                <w:color w:val="0000FF"/>
                <w:szCs w:val="24"/>
                <w:lang w:eastAsia="tr-TR"/>
              </w:rPr>
              <w:t>.</w:t>
            </w:r>
          </w:p>
          <w:p w:rsidR="0056552F" w:rsidRPr="00A23740" w:rsidRDefault="0056552F" w:rsidP="00FB2916">
            <w:pPr>
              <w:rPr>
                <w:rFonts w:eastAsia="Times New Roman"/>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x-none"/>
              </w:rPr>
            </w:pPr>
            <w:r w:rsidRPr="00A23740">
              <w:rPr>
                <w:rFonts w:eastAsia="Times New Roman"/>
                <w:b/>
                <w:szCs w:val="24"/>
                <w:lang w:eastAsia="x-none"/>
              </w:rPr>
              <w:t>MADDE 544-</w:t>
            </w:r>
            <w:r w:rsidRPr="00A23740">
              <w:rPr>
                <w:rFonts w:eastAsia="Times New Roman"/>
                <w:szCs w:val="24"/>
                <w:lang w:eastAsia="x-none"/>
              </w:rPr>
              <w:t xml:space="preserve"> </w:t>
            </w:r>
            <w:r w:rsidRPr="00A23740">
              <w:rPr>
                <w:rFonts w:eastAsia="Times New Roman"/>
                <w:szCs w:val="24"/>
                <w:lang w:eastAsia="tr-TR"/>
              </w:rPr>
              <w:t xml:space="preserve">Maddeyle, müflisin itibarının iadesi kararının sonuçları ve ilanına ilişkin hususlar düzenlenmektedir. Hüküm, 2004 sayılı Kanunun </w:t>
            </w:r>
            <w:r w:rsidRPr="00A23740">
              <w:rPr>
                <w:rFonts w:eastAsia="Times New Roman"/>
                <w:szCs w:val="24"/>
                <w:lang w:eastAsia="x-none"/>
              </w:rPr>
              <w:t xml:space="preserve">315 inci maddesine kısmen karşılık gelmektedir. </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 xml:space="preserve">Birinci fıkrayla, bir yenilik olarak </w:t>
            </w:r>
            <w:r w:rsidRPr="00A23740">
              <w:rPr>
                <w:rFonts w:eastAsia="Times New Roman"/>
                <w:lang w:eastAsia="x-none"/>
              </w:rPr>
              <w:t>itibarın iadesi hakkındaki mahkeme kararının kesinleşmesiyle, müflisin müflis sıfatının kalkacağı açıkça hükme bağlanmaktadır.</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 xml:space="preserve">İkinci fıkrayla, </w:t>
            </w:r>
            <w:r w:rsidRPr="00A23740">
              <w:rPr>
                <w:rFonts w:eastAsia="Times New Roman"/>
                <w:bCs/>
                <w:szCs w:val="24"/>
                <w:lang w:eastAsia="x-none"/>
              </w:rPr>
              <w:t xml:space="preserve">itibarın iadesine ilişkin kabul kararlarının, </w:t>
            </w:r>
            <w:r w:rsidRPr="00A23740">
              <w:rPr>
                <w:rFonts w:eastAsia="Times New Roman"/>
                <w:szCs w:val="24"/>
                <w:lang w:eastAsia="x-none"/>
              </w:rPr>
              <w:t>Resmî Gazete</w:t>
            </w:r>
            <w:r w:rsidRPr="00A23740">
              <w:rPr>
                <w:rFonts w:eastAsia="Times New Roman"/>
                <w:bCs/>
                <w:szCs w:val="24"/>
                <w:lang w:eastAsia="x-none"/>
              </w:rPr>
              <w:t xml:space="preserve">’de </w:t>
            </w:r>
            <w:r w:rsidRPr="00A23740">
              <w:rPr>
                <w:rFonts w:eastAsia="Times New Roman"/>
                <w:szCs w:val="24"/>
                <w:lang w:eastAsia="x-none"/>
              </w:rPr>
              <w:t>ilan olunacağı düzenlenmektedir.</w:t>
            </w:r>
          </w:p>
          <w:p w:rsidR="00A043AD" w:rsidRPr="00A23740" w:rsidRDefault="00A043AD" w:rsidP="00750F08">
            <w:pPr>
              <w:ind w:firstLine="709"/>
              <w:rPr>
                <w:rFonts w:eastAsia="Times New Roman"/>
                <w:bCs/>
                <w:szCs w:val="24"/>
                <w:lang w:eastAsia="x-none"/>
              </w:rPr>
            </w:pPr>
            <w:r w:rsidRPr="00A23740">
              <w:rPr>
                <w:rFonts w:eastAsia="Times New Roman"/>
                <w:szCs w:val="24"/>
                <w:lang w:eastAsia="x-none"/>
              </w:rPr>
              <w:t>Üçüncü fıkrayla, aleniyetin sağlanması açısından yararlı görüldüğünden, bir yenilik olarak</w:t>
            </w:r>
            <w:r w:rsidR="00BB13E0" w:rsidRPr="00A23740">
              <w:rPr>
                <w:rFonts w:eastAsia="Times New Roman"/>
                <w:szCs w:val="24"/>
                <w:lang w:eastAsia="x-none"/>
              </w:rPr>
              <w:t>,</w:t>
            </w:r>
            <w:r w:rsidRPr="00A23740">
              <w:rPr>
                <w:rFonts w:eastAsia="Times New Roman"/>
                <w:szCs w:val="24"/>
                <w:lang w:eastAsia="x-none"/>
              </w:rPr>
              <w:t xml:space="preserve"> </w:t>
            </w:r>
            <w:r w:rsidRPr="00A23740">
              <w:rPr>
                <w:rFonts w:eastAsia="Times New Roman"/>
                <w:bCs/>
                <w:szCs w:val="24"/>
                <w:lang w:eastAsia="x-none"/>
              </w:rPr>
              <w:t>talep h</w:t>
            </w:r>
            <w:r w:rsidR="005D3278" w:rsidRPr="00A23740">
              <w:rPr>
                <w:rFonts w:eastAsia="Times New Roman"/>
                <w:bCs/>
                <w:szCs w:val="24"/>
                <w:lang w:eastAsia="x-none"/>
              </w:rPr>
              <w:t>â</w:t>
            </w:r>
            <w:r w:rsidRPr="00A23740">
              <w:rPr>
                <w:rFonts w:eastAsia="Times New Roman"/>
                <w:bCs/>
                <w:szCs w:val="24"/>
                <w:lang w:eastAsia="x-none"/>
              </w:rPr>
              <w:t xml:space="preserve">linde itibarın iadesine ilişkin kesinleşen kararların, Taslağın </w:t>
            </w:r>
            <w:r w:rsidR="009929CA" w:rsidRPr="005D4042">
              <w:rPr>
                <w:rStyle w:val="KonuBalChar"/>
                <w:rFonts w:eastAsia="Calibri"/>
                <w:b w:val="0"/>
                <w:color w:val="auto"/>
              </w:rPr>
              <w:t>283 üncü</w:t>
            </w:r>
            <w:r w:rsidR="009929CA" w:rsidRPr="005D4042">
              <w:rPr>
                <w:rFonts w:eastAsia="Times New Roman"/>
                <w:b/>
                <w:bCs/>
                <w:szCs w:val="24"/>
                <w:lang w:eastAsia="tr-TR"/>
              </w:rPr>
              <w:t xml:space="preserve"> </w:t>
            </w:r>
            <w:r w:rsidRPr="00A23740">
              <w:rPr>
                <w:rFonts w:eastAsia="Times New Roman"/>
                <w:bCs/>
                <w:szCs w:val="24"/>
                <w:lang w:eastAsia="x-none"/>
              </w:rPr>
              <w:t>maddesine göre ilgili yerlere bildirileceği ve ilan edileceği düzenlenmektedir.</w:t>
            </w:r>
          </w:p>
          <w:p w:rsidR="00A043AD" w:rsidRPr="00A23740" w:rsidRDefault="00A043AD" w:rsidP="00955D60">
            <w:pPr>
              <w:rPr>
                <w:rFonts w:eastAsia="Arial Unicode MS"/>
                <w:szCs w:val="24"/>
                <w:lang w:eastAsia="x-none"/>
              </w:rPr>
            </w:pPr>
          </w:p>
        </w:tc>
      </w:tr>
      <w:tr w:rsidR="00A043AD" w:rsidRPr="00A23740" w:rsidTr="00750F08">
        <w:tc>
          <w:tcPr>
            <w:tcW w:w="2500" w:type="pct"/>
          </w:tcPr>
          <w:p w:rsidR="00A043AD" w:rsidRPr="00A23740" w:rsidRDefault="00A043AD" w:rsidP="00750F08">
            <w:pPr>
              <w:tabs>
                <w:tab w:val="left" w:pos="567"/>
              </w:tabs>
              <w:jc w:val="center"/>
              <w:rPr>
                <w:rFonts w:eastAsia="Times New Roman"/>
                <w:b/>
                <w:bCs/>
                <w:strike/>
                <w:color w:val="FF0000"/>
                <w:szCs w:val="24"/>
                <w:lang w:val="x-none" w:eastAsia="x-none"/>
              </w:rPr>
            </w:pPr>
            <w:r w:rsidRPr="00A23740">
              <w:rPr>
                <w:rFonts w:eastAsia="Times New Roman"/>
                <w:b/>
                <w:bCs/>
                <w:strike/>
                <w:color w:val="FF0000"/>
                <w:szCs w:val="24"/>
                <w:lang w:val="x-none" w:eastAsia="x-none"/>
              </w:rPr>
              <w:t>ON BEŞİNCİ BAP</w:t>
            </w:r>
          </w:p>
          <w:p w:rsidR="00A043AD" w:rsidRPr="00A23740" w:rsidRDefault="00A043AD" w:rsidP="00750F08">
            <w:pPr>
              <w:tabs>
                <w:tab w:val="left" w:pos="567"/>
              </w:tabs>
              <w:jc w:val="center"/>
              <w:rPr>
                <w:rFonts w:eastAsia="Times New Roman"/>
                <w:b/>
                <w:bCs/>
                <w:strike/>
                <w:color w:val="FF0000"/>
                <w:szCs w:val="24"/>
                <w:lang w:val="x-none" w:eastAsia="x-none"/>
              </w:rPr>
            </w:pPr>
            <w:r w:rsidRPr="00A23740">
              <w:rPr>
                <w:rFonts w:eastAsia="Times New Roman"/>
                <w:b/>
                <w:bCs/>
                <w:strike/>
                <w:color w:val="FF0000"/>
                <w:szCs w:val="24"/>
                <w:lang w:val="x-none" w:eastAsia="x-none"/>
              </w:rPr>
              <w:t>Fevkalade hallerde mühlet ve tatil</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 – FEVKALADE MÜHLET</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Bu babın tatbiki şartları:</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317 – Fevkalade hallerde hususile devamlı iktisadi buhranlarda Cumhurbaşkanı  318 den 329 uncuya kadar olan maddeler hükümlerinin muayyen bir müddet için bu hallerden müteessir olan mıntaka borçlularına tatbik edilmesine karar verebilir.</w:t>
            </w:r>
          </w:p>
          <w:p w:rsidR="00A043AD" w:rsidRPr="00A23740" w:rsidRDefault="00A043AD" w:rsidP="00750F08">
            <w:pPr>
              <w:tabs>
                <w:tab w:val="left" w:pos="567"/>
              </w:tabs>
              <w:rPr>
                <w:rFonts w:eastAsia="Times New Roman"/>
                <w:b/>
                <w:bCs/>
                <w:strike/>
                <w:color w:val="FF0000"/>
                <w:szCs w:val="24"/>
                <w:lang w:val="x-none" w:eastAsia="x-none"/>
              </w:rPr>
            </w:pPr>
          </w:p>
        </w:tc>
        <w:tc>
          <w:tcPr>
            <w:tcW w:w="2500" w:type="pct"/>
          </w:tcPr>
          <w:p w:rsidR="00A043AD" w:rsidRPr="00A23740" w:rsidRDefault="00A043AD" w:rsidP="00750F08">
            <w:pPr>
              <w:tabs>
                <w:tab w:val="left" w:pos="567"/>
              </w:tabs>
              <w:rPr>
                <w:rFonts w:eastAsia="Times New Roman"/>
                <w:b/>
                <w:color w:val="FF0000"/>
                <w:szCs w:val="24"/>
                <w:lang w:eastAsia="x-none"/>
              </w:rPr>
            </w:pPr>
          </w:p>
          <w:p w:rsidR="00A043AD" w:rsidRPr="00A23740" w:rsidRDefault="00A043AD" w:rsidP="00750F08">
            <w:pPr>
              <w:tabs>
                <w:tab w:val="left" w:pos="567"/>
              </w:tabs>
              <w:rPr>
                <w:rFonts w:eastAsia="Times New Roman"/>
                <w:b/>
                <w:color w:val="FF0000"/>
                <w:szCs w:val="24"/>
                <w:lang w:eastAsia="x-none"/>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Fevkalade mühletin kabulü, borçlunun dilekçesi:</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318 – Cumhurbaşkanınca bu suretle tayin edilen mıntakalarda 317 nci maddede gösterilen haller sebebiyle kusuru olmaksızın taahhütlerini ifa edemiyen borçlu mühletin hitamında borçlarını tamamen tediye edebileceğini ahval ümit ettiriyorsa icra mahkemesinden nihayet altı ayı geçmemek üzere fevkalade bir mühlet istiyebilir.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Borçlu dilekçesine mali vaziyetini gösteren vesikaları, alacaklıların listesini raptetmeğe ve icra mahkemesi tarafından talep olunan bütün malümatı vermeğe ve kendisinden istenebilecek evrakın hepsini göstermeğe mecburdur. Borçlu iflas yoliyle takibe tabi ise dilekçesine fazla olarak bilanço ve defterlerini de rapteder.</w:t>
            </w:r>
          </w:p>
          <w:p w:rsidR="00A043AD" w:rsidRPr="00A23740" w:rsidRDefault="00A043AD" w:rsidP="00750F08">
            <w:pPr>
              <w:tabs>
                <w:tab w:val="left" w:pos="567"/>
              </w:tabs>
              <w:rPr>
                <w:rFonts w:eastAsia="Times New Roman"/>
                <w:b/>
                <w:bCs/>
                <w:strike/>
                <w:color w:val="FF0000"/>
                <w:szCs w:val="24"/>
                <w:lang w:val="x-none" w:eastAsia="x-none"/>
              </w:rPr>
            </w:pPr>
          </w:p>
          <w:p w:rsidR="00A043AD" w:rsidRPr="00955D60" w:rsidRDefault="00A043AD" w:rsidP="00955D60">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(Ek fıkra: 17/7/2003-4949/85 md.) Dilekçenin verilmesinden sonra icra mahkemesi, 326 ncı maddede öngörülen alacaklar hariç, tedbir yoluyla derdest takipleri durdurabilir. İcra mahkemesi, takiplerin durdurulması süresinin fevkalâde mühletten indirilip indirilmeyeceğini ve indirilecekse ne ölçüde indirileceğini belirler.</w:t>
            </w: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İcra mahkemesince yapılacak tetkikler:</w:t>
            </w:r>
          </w:p>
          <w:p w:rsidR="00A043AD" w:rsidRPr="00A23740" w:rsidRDefault="00A043AD" w:rsidP="00750F08">
            <w:pPr>
              <w:tabs>
                <w:tab w:val="left" w:pos="567"/>
              </w:tabs>
              <w:rPr>
                <w:rFonts w:ascii="New York" w:eastAsia="Times New Roman" w:hAnsi="New York"/>
                <w:b/>
                <w:bCs/>
                <w:strike/>
                <w:color w:val="FF0000"/>
                <w:szCs w:val="24"/>
                <w:lang w:val="x-none" w:eastAsia="x-none"/>
              </w:rPr>
            </w:pPr>
            <w:r w:rsidRPr="00A23740">
              <w:rPr>
                <w:rFonts w:eastAsia="Times New Roman"/>
                <w:b/>
                <w:bCs/>
                <w:strike/>
                <w:color w:val="FF0000"/>
                <w:szCs w:val="24"/>
                <w:lang w:val="x-none" w:eastAsia="x-none"/>
              </w:rPr>
              <w:t>Madde 319 – İcra mahkemesi lüzum gördüğü tahkikleri de yaptıktan sonra mühlet talebi ilk bakışta esassız gibi görünmezse bir gün tayin ve o gün için ilan tarikiyle bütün alacaklıları davet ve icabında ehli hibreye de müracaat eyler.</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Alacaklılar tayin olunan günden evvel dosyayı tetkik edebilirler; alacaklıların mühlet talebine karşı tahriri itirazlarını dermeyan etmek yetkileri de vardır.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İcra mahkemesi kısa bir müddette kararını verir; mühlet vermekle beraber borçluyu bir veya mütaaddit taksitlerle ödemeğe de mecbur edebilir.</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İstinaf yoluna başvurma</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320- (Değişik: 2/3/2005-5311/20 md.)</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 xml:space="preserve">Karar hakkında tebliğ tarihinden itibaren </w:t>
            </w:r>
            <w:r w:rsidRPr="00A23740">
              <w:rPr>
                <w:rFonts w:eastAsia="Times New Roman"/>
                <w:b/>
                <w:bCs/>
                <w:strike/>
                <w:color w:val="FF0000"/>
                <w:szCs w:val="24"/>
                <w:lang w:eastAsia="x-none"/>
              </w:rPr>
              <w:t>iki hafta</w:t>
            </w:r>
            <w:r w:rsidRPr="00A23740">
              <w:rPr>
                <w:rFonts w:eastAsia="Times New Roman"/>
                <w:b/>
                <w:bCs/>
                <w:strike/>
                <w:color w:val="FF0000"/>
                <w:szCs w:val="24"/>
                <w:lang w:val="x-none" w:eastAsia="x-none"/>
              </w:rPr>
              <w:t xml:space="preserve"> içinde borçlu ile alacaklılardan her biri istinaf yoluna başvurabilir.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İcra mahkemesi tarafından verilmiş olan fevkalâde mühletin hükmü, bölge adliye mahkemesinin kesin kararına kadar geçerlidir.</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Defter tanzimi, komiser:</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321 – İcra mahkemesi, mühlet kararını vermezden evvel veya verirken defter tutulmasını emreder ve alacaklıların haklarını korumak maksadiyle diğer bütün tedbirleri alır.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i/>
                <w:iCs/>
                <w:strike/>
                <w:color w:val="000000"/>
                <w:szCs w:val="24"/>
                <w:lang w:val="x-none" w:eastAsia="tr-TR"/>
              </w:rPr>
            </w:pPr>
            <w:r w:rsidRPr="00A23740">
              <w:rPr>
                <w:rFonts w:eastAsia="Times New Roman"/>
                <w:b/>
                <w:bCs/>
                <w:strike/>
                <w:color w:val="FF0000"/>
                <w:szCs w:val="24"/>
                <w:lang w:val="x-none" w:eastAsia="x-none"/>
              </w:rPr>
              <w:t>İcra mahkemesi mühlet vermekle beraber borçlunun muamelelerine nezaret etmek üzere bir komiser tayin edebilir.</w:t>
            </w: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Kararın tebliği:</w:t>
            </w:r>
          </w:p>
          <w:p w:rsidR="00A043AD" w:rsidRPr="00955D60" w:rsidRDefault="00A043AD" w:rsidP="00955D60">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322 – Mühlet kararı katileşince icra dairesine tebliğ ve hemen ilan olunur.</w:t>
            </w: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Neticeler, takipler ve müddetler:</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323 – (Değişik: 17/7/2003-4949/86 md.)</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Mühlet içinde borçluya karşı takip yapılabilir ve bu takiplere hacze veya depo emrine kadar devam edilebilir. Haczedilen ücretler mühlet sırasında da tahsil edilir; mühlet sırasında veya mühletten önce başlatılmış bir takip çerçevesinde aynî teminat kapsamına girdiği takdirde kiralar için de aynı kural geçerlidir. Buna mukabil, rehnin paraya çevrilmesi talebi, haciz veya depo emri mühletin verilmesinden önce vuku bulmuş olsa bile, satış yapılamaz veya  iflâsa  karar verilemez.</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106, 150/e, 156, 206, 278, 279 ve 280 inci maddelerde öngörülen süreler mühlet süresince uzatılır. Aynı kural, aynî teminatlarda, taşınmaz rehni ile temin edilmiş alacakların faizleri için de geçerlidir.</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pStyle w:val="KIRMIZI"/>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Borçlunun tasarruf hakları:</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A – Umumiyetle:</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324 – Borçlu işlerine devam edebilir. Ancak mühletin devamınca alacaklıların kanuni menfaatlerine dokunacak yahut alacaklılardan bir kısmını diğerlerinin zararına olarak tercih suretiyle yapılacak muameleler memnudur.</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 – Yetkili makam tarafından alınan hususi tedbirler hakkında:</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325 – İcra mahkemesi fevkalade mühleti verirken komiserin, yoksa bizzat icra mahkemesinin muvafakati olmaksızın borçlunun taşınmazlarını temlik yahut bunlar üzerinde ayni haklar tesis, rehinler ihdas, ivazsız tasarruflar icra etmiyeceğine ve fevkalade mühletten evvel doğmuş borçlara karşı ödemeler yapamıyacağına ve kefalet edemiyeceğine ve ederse hükümsüz olacağına karar verebilir.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Ancak 206 ncı maddede mezkür ikinci ve üçüncü sıradaki borçların ödenmesi ve 319 uncu maddenin üçüncü fıkrasında bahsolunan taksitlerin tediyesi için muvafakat almağa lüzum yoktur.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Fevkalade mühlet kararında yukardaki kayıtlar bulunursa bunlar da ilana yazılır ve fevkalade mühlet tapu siciline temlik hakkının tahdidi suretiyle geçirilir.</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Fevkalade mühlete tabi olmıyan alacaklar:</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326 – (Değişik birinci fıkra: 17/7/2003-4949/87 md.) Mühlet, beşyüzmilyon liradan aşağı alacaklara ve 206 ncı maddenin birinci sırasındaki alacaklara uygulanmaz.</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Bu alacaklar, borçlu iflas yoliyle takibe tabi bulunmuş olsa bile fevkalade mühlet esnasında ancak haciz yoliyle yahut rehinin paraya çevrilmesi suretiyle takip olunabilir.</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Uzatma:</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327 – 317 nci madde hükümlerine göre tayin olunan müddet içinde borçlunun dilekçesi üzerine icra mahkemesi tarafından verilen fevkalade mühlet; bunu icap ettiren sebepler borçlunun kusuru olmaksızın devam ediyorsa nihayet dört ay uzatılabilir.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Borçlu dilekçesine alacaklıların mütemmim bir listesini ve eğer iflas yoliyle takibe tabi ise mütemmim bir bilanço raptetmeğe mecburdur.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İcra mahkemesi alacaklıların itirazlarını yazı ile bildirmeleri için bir müddet tayin ederek uzatma talebini ilanla tebliğ eder.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Bir komiser tayin edilmiş ise o da rapor vermeğe davet olunur.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vertAlign w:val="superscript"/>
                <w:lang w:val="x-none" w:eastAsia="x-none"/>
              </w:rPr>
            </w:pPr>
            <w:r w:rsidRPr="00A23740">
              <w:rPr>
                <w:rFonts w:eastAsia="Times New Roman"/>
                <w:b/>
                <w:bCs/>
                <w:strike/>
                <w:color w:val="FF0000"/>
                <w:szCs w:val="24"/>
                <w:lang w:val="x-none" w:eastAsia="x-none"/>
              </w:rPr>
              <w:t>Müddet bittikten sonra icra mahkemesi kararını verir ve bu karar aynı şartlara göre ilan olunur. Fevkalade mühlette olduğu gibi bu karar hakkında da istinaf yoluna başvurulabilir.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vertAlign w:val="superscript"/>
                <w:lang w:val="x-none" w:eastAsia="x-none"/>
              </w:rPr>
            </w:pPr>
            <w:r w:rsidRPr="00A23740">
              <w:rPr>
                <w:rFonts w:eastAsia="Times New Roman"/>
                <w:b/>
                <w:bCs/>
                <w:strike/>
                <w:color w:val="FF0000"/>
                <w:szCs w:val="24"/>
                <w:lang w:val="x-none" w:eastAsia="x-none"/>
              </w:rPr>
              <w:t>Bölge adliye mahkemesi bu halde dosya üzerine kararını verir.</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Refi:</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328 – İcra mahkemesi aşağıdaki hallerde alacaklılardan birinin veya komiserin talebi üzerine mühletin kalkmasına karar verebilir:</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1 – Borçlu tayin olunan taksitleri vaktinde ödemezse;</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2 – Borçlu komiserin talimatı hilafına hareket eder ve alacakların kanuni menfaatlerini ihlal yahut bazılarını diğerlerinin zararına olarak iltizam eylerse;</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3 – Borçlunun icra mahkemesine verdiği malümatın hakikata muhalif olduğunu yahut borçlunun bütün taahütlerini ifaya muktedir bulunduğunu alacaklılardan biri ispat ederse.</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Borçlu dinlenmeğe yahut itirazlarını yazı ile bildirmeğe davet olunur. İcra mahkemesi icabı halinde mütemmim malümat elde ettikten sonra dosya üzerine kararını verir. Müracaat vukuunda bölge adliye mahkemesi de aynı veçhile hareket eder. Refi kararı mühlet kararının tabi olduğu şartlar dairesinde ilan olunur.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Refi kararı ikinci ve üçüncü numaralara göre verilmiş ise borçluya konkordato mühleti veya yeni bir fevkalade mühlet verilemez.</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Fevkalade mühlet içinde kondordato ve yeniden mühlet verilmemesi:</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329 – Fevkalade mühletin devamı esnasında konkordato talep etmek arzusunda bulunan borçlu vesikalarını ve komiserin mütalaanamesiyle birlikte kondordato projesini mühletin bitmesinden evvel vermeğe mecburdur.</w:t>
            </w: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Fevkalade müddetin bitmesinden sonra başlıyan altı ay içinde konkordato mühleti verilemiyeceği gibi yeniden fevkalade mühlet de verilemez.</w:t>
            </w:r>
          </w:p>
          <w:p w:rsidR="00A043AD" w:rsidRPr="00A23740" w:rsidRDefault="00A043AD" w:rsidP="00750F08">
            <w:pPr>
              <w:jc w:val="center"/>
              <w:rPr>
                <w:rFonts w:eastAsia="Times New Roman"/>
                <w:i/>
                <w:iCs/>
                <w:color w:val="000000"/>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İflâsın ertelenmesi ile ilişki:</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329/a- (Ek: 17/7/2003-4949/88 md.; Mülga: 28/2/2018-7101/65 md.)</w:t>
            </w:r>
          </w:p>
        </w:tc>
        <w:tc>
          <w:tcPr>
            <w:tcW w:w="2500" w:type="pct"/>
          </w:tcPr>
          <w:p w:rsidR="00A043AD" w:rsidRPr="00A23740" w:rsidRDefault="00A043AD" w:rsidP="00750F08">
            <w:pPr>
              <w:jc w:val="center"/>
              <w:rPr>
                <w:rFonts w:eastAsia="Times New Roman"/>
                <w:b/>
                <w:bCs/>
                <w:color w:val="0000FF"/>
                <w:szCs w:val="24"/>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II – FEVKALADE HALLERDE TATİL</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İcra takiplerinin durdurulması halleri:</w:t>
            </w: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Madde 330 – Salgın hastalık,umumi bir musibet veya harb halinde Cumhurbaşkanı karariyle memleketin bir kısmında veya bazı iktisadi zümreler lehine muayyen bir müddet için icra takipleri durdurulabilir.</w:t>
            </w:r>
          </w:p>
          <w:p w:rsidR="00A043AD" w:rsidRDefault="00A043AD" w:rsidP="00750F08">
            <w:pPr>
              <w:tabs>
                <w:tab w:val="left" w:pos="567"/>
              </w:tabs>
              <w:rPr>
                <w:rFonts w:eastAsia="Times New Roman"/>
                <w:b/>
                <w:bCs/>
                <w:strike/>
                <w:color w:val="FF0000"/>
                <w:szCs w:val="24"/>
                <w:lang w:val="x-none" w:eastAsia="x-none"/>
              </w:rPr>
            </w:pPr>
          </w:p>
          <w:p w:rsidR="00AB59DC" w:rsidRPr="00A23740" w:rsidRDefault="00AB59DC" w:rsidP="00750F08">
            <w:pPr>
              <w:tabs>
                <w:tab w:val="left" w:pos="567"/>
              </w:tabs>
              <w:rPr>
                <w:rFonts w:eastAsia="Times New Roman"/>
                <w:b/>
                <w:bCs/>
                <w:strike/>
                <w:color w:val="FF0000"/>
                <w:szCs w:val="24"/>
                <w:lang w:val="x-none" w:eastAsia="x-none"/>
              </w:rPr>
            </w:pPr>
          </w:p>
        </w:tc>
        <w:tc>
          <w:tcPr>
            <w:tcW w:w="2500" w:type="pct"/>
          </w:tcPr>
          <w:p w:rsidR="00A043AD" w:rsidRPr="00A23740" w:rsidRDefault="00A043AD" w:rsidP="00750F08">
            <w:pPr>
              <w:pStyle w:val="KIRMIZI"/>
            </w:pPr>
          </w:p>
        </w:tc>
      </w:tr>
      <w:tr w:rsidR="00A043AD" w:rsidRPr="00A23740" w:rsidTr="00750F08">
        <w:tc>
          <w:tcPr>
            <w:tcW w:w="2500" w:type="pct"/>
          </w:tcPr>
          <w:p w:rsidR="00A043AD" w:rsidRPr="00A23740" w:rsidRDefault="00A043AD" w:rsidP="00750F08">
            <w:pPr>
              <w:rPr>
                <w:rFonts w:eastAsia="Times New Roman"/>
                <w:i/>
                <w:iCs/>
                <w:color w:val="000000"/>
                <w:szCs w:val="24"/>
                <w:lang w:eastAsia="tr-TR"/>
              </w:rPr>
            </w:pPr>
          </w:p>
          <w:p w:rsidR="00A043AD" w:rsidRPr="00A23740" w:rsidRDefault="00A043AD" w:rsidP="00750F08">
            <w:pPr>
              <w:tabs>
                <w:tab w:val="left" w:pos="567"/>
              </w:tabs>
              <w:rPr>
                <w:rFonts w:eastAsia="Times New Roman"/>
                <w:b/>
                <w:bCs/>
                <w:strike/>
                <w:color w:val="FF0000"/>
                <w:szCs w:val="24"/>
                <w:lang w:val="x-none" w:eastAsia="x-none"/>
              </w:rPr>
            </w:pPr>
          </w:p>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Cumhuriyet savcılığınca takip</w:t>
            </w:r>
            <w:r w:rsidRPr="00A23740">
              <w:rPr>
                <w:rFonts w:eastAsia="Times New Roman"/>
                <w:color w:val="FF0000"/>
                <w:szCs w:val="24"/>
                <w:lang w:val="x-none" w:eastAsia="tr-TR"/>
              </w:rPr>
              <w:t>:</w:t>
            </w:r>
          </w:p>
          <w:p w:rsidR="00A043AD" w:rsidRPr="00A23740" w:rsidRDefault="00A043AD" w:rsidP="00750F08">
            <w:pPr>
              <w:rPr>
                <w:rFonts w:eastAsia="Times New Roman"/>
                <w:color w:val="000000"/>
                <w:szCs w:val="24"/>
                <w:lang w:eastAsia="tr-TR"/>
              </w:rPr>
            </w:pPr>
            <w:r w:rsidRPr="00A23740">
              <w:rPr>
                <w:b/>
                <w:bCs/>
                <w:strike/>
                <w:color w:val="FF0000"/>
                <w:szCs w:val="24"/>
                <w:lang w:eastAsia="tr-TR"/>
              </w:rPr>
              <w:t>Madde 357 – (1)</w:t>
            </w:r>
            <w:r w:rsidRPr="00A23740">
              <w:rPr>
                <w:rFonts w:eastAsia="Times New Roman"/>
                <w:b/>
                <w:bCs/>
                <w:color w:val="000000"/>
                <w:szCs w:val="24"/>
                <w:lang w:eastAsia="tr-TR"/>
              </w:rPr>
              <w:t xml:space="preserve"> </w:t>
            </w:r>
            <w:r w:rsidRPr="00A23740">
              <w:rPr>
                <w:rFonts w:eastAsia="Times New Roman"/>
                <w:color w:val="000000"/>
                <w:szCs w:val="24"/>
                <w:lang w:eastAsia="tr-TR"/>
              </w:rPr>
              <w:t>İcra dairesince kanuna göre yapılan tebliğ ve emirleri derhal yapma</w:t>
            </w:r>
            <w:r w:rsidRPr="00A23740">
              <w:rPr>
                <w:b/>
                <w:bCs/>
                <w:strike/>
                <w:color w:val="FF0000"/>
                <w:szCs w:val="24"/>
                <w:lang w:eastAsia="tr-TR"/>
              </w:rPr>
              <w:t>ğa</w:t>
            </w:r>
            <w:r w:rsidRPr="00A23740">
              <w:rPr>
                <w:rFonts w:eastAsia="Times New Roman"/>
                <w:color w:val="000000"/>
                <w:szCs w:val="24"/>
                <w:lang w:eastAsia="tr-TR"/>
              </w:rPr>
              <w:t xml:space="preserve"> ve neticesini geciktirmeksizin icra daire</w:t>
            </w:r>
            <w:r w:rsidRPr="00A23740">
              <w:rPr>
                <w:b/>
                <w:bCs/>
                <w:strike/>
                <w:color w:val="FF0000"/>
                <w:szCs w:val="24"/>
                <w:lang w:eastAsia="tr-TR"/>
              </w:rPr>
              <w:t>sine</w:t>
            </w:r>
            <w:r w:rsidRPr="00A23740">
              <w:rPr>
                <w:rFonts w:eastAsia="Times New Roman"/>
                <w:color w:val="000000"/>
                <w:szCs w:val="24"/>
                <w:lang w:eastAsia="tr-TR"/>
              </w:rPr>
              <w:t xml:space="preserve"> bildirme</w:t>
            </w:r>
            <w:r w:rsidRPr="00A23740">
              <w:rPr>
                <w:b/>
                <w:bCs/>
                <w:strike/>
                <w:color w:val="FF0000"/>
                <w:szCs w:val="24"/>
                <w:lang w:eastAsia="tr-TR"/>
              </w:rPr>
              <w:t>ğe</w:t>
            </w:r>
            <w:r w:rsidRPr="00A23740">
              <w:rPr>
                <w:rFonts w:eastAsia="Times New Roman"/>
                <w:color w:val="000000"/>
                <w:szCs w:val="24"/>
                <w:lang w:eastAsia="tr-TR"/>
              </w:rPr>
              <w:t xml:space="preserve"> </w:t>
            </w:r>
            <w:r w:rsidRPr="00A23740">
              <w:rPr>
                <w:b/>
                <w:bCs/>
                <w:strike/>
                <w:color w:val="FF0000"/>
                <w:szCs w:val="24"/>
                <w:lang w:eastAsia="tr-TR"/>
              </w:rPr>
              <w:t>alakadarlar</w:t>
            </w:r>
            <w:r w:rsidRPr="00A23740">
              <w:rPr>
                <w:rFonts w:eastAsia="Times New Roman"/>
                <w:color w:val="000000"/>
                <w:szCs w:val="24"/>
                <w:lang w:eastAsia="tr-TR"/>
              </w:rPr>
              <w:t xml:space="preserve"> </w:t>
            </w:r>
            <w:r w:rsidRPr="00A23740">
              <w:rPr>
                <w:b/>
                <w:bCs/>
                <w:strike/>
                <w:color w:val="FF0000"/>
                <w:szCs w:val="24"/>
                <w:lang w:eastAsia="tr-TR"/>
              </w:rPr>
              <w:t>mecburdur</w:t>
            </w:r>
            <w:r w:rsidRPr="00A23740">
              <w:rPr>
                <w:rFonts w:eastAsia="Times New Roman"/>
                <w:color w:val="000000"/>
                <w:szCs w:val="24"/>
                <w:lang w:eastAsia="tr-TR"/>
              </w:rPr>
              <w:t xml:space="preserve">. </w:t>
            </w:r>
            <w:r w:rsidRPr="00A23740">
              <w:rPr>
                <w:b/>
                <w:bCs/>
                <w:strike/>
                <w:color w:val="FF0000"/>
                <w:szCs w:val="24"/>
                <w:lang w:eastAsia="tr-TR"/>
              </w:rPr>
              <w:t>Makbul sebep haricinde tebliğ ve emirleri yapmıyanlar hakkında ait olduğu dairece tahkikatı evveliyeye hacet kalmaksızın Cumhuriyet Savcılığınca doğrudan doğruya takibat yapılır.</w:t>
            </w:r>
          </w:p>
          <w:p w:rsidR="00A043AD" w:rsidRPr="00A23740" w:rsidRDefault="00A043AD" w:rsidP="00750F08">
            <w:pPr>
              <w:rPr>
                <w:rFonts w:eastAsia="Times New Roman"/>
                <w:color w:val="000000"/>
                <w:szCs w:val="24"/>
                <w:lang w:eastAsia="tr-TR"/>
              </w:rPr>
            </w:pPr>
          </w:p>
          <w:p w:rsidR="00A043AD" w:rsidRPr="00A23740" w:rsidRDefault="00A42965" w:rsidP="00750F08">
            <w:pPr>
              <w:rPr>
                <w:rFonts w:eastAsia="Times New Roman"/>
                <w:color w:val="000000"/>
                <w:szCs w:val="24"/>
                <w:lang w:eastAsia="tr-TR"/>
              </w:rPr>
            </w:pPr>
            <w:r>
              <w:rPr>
                <w:b/>
                <w:bCs/>
                <w:strike/>
                <w:color w:val="FF0000"/>
                <w:szCs w:val="24"/>
                <w:lang w:eastAsia="tr-TR"/>
              </w:rPr>
              <w:t>(F1.</w:t>
            </w:r>
            <w:r w:rsidR="00A043AD" w:rsidRPr="00A23740">
              <w:rPr>
                <w:b/>
                <w:bCs/>
                <w:strike/>
                <w:color w:val="FF0000"/>
                <w:szCs w:val="24"/>
                <w:lang w:eastAsia="tr-TR"/>
              </w:rPr>
              <w:t>C2) Makbul</w:t>
            </w:r>
            <w:r w:rsidR="00A043AD" w:rsidRPr="00A23740">
              <w:rPr>
                <w:rFonts w:eastAsia="Times New Roman"/>
                <w:color w:val="000000"/>
                <w:szCs w:val="24"/>
                <w:lang w:eastAsia="tr-TR"/>
              </w:rPr>
              <w:t xml:space="preserve"> sebep </w:t>
            </w:r>
            <w:r w:rsidR="00A043AD" w:rsidRPr="00A23740">
              <w:rPr>
                <w:b/>
                <w:bCs/>
                <w:strike/>
                <w:color w:val="FF0000"/>
                <w:szCs w:val="24"/>
                <w:lang w:eastAsia="tr-TR"/>
              </w:rPr>
              <w:t>haricinde</w:t>
            </w:r>
            <w:r w:rsidR="00A043AD" w:rsidRPr="00A23740">
              <w:rPr>
                <w:rFonts w:eastAsia="Times New Roman"/>
                <w:color w:val="000000"/>
                <w:szCs w:val="24"/>
                <w:lang w:eastAsia="tr-TR"/>
              </w:rPr>
              <w:t xml:space="preserve"> tebliğ </w:t>
            </w:r>
            <w:r w:rsidR="00A043AD" w:rsidRPr="00A23740">
              <w:rPr>
                <w:b/>
                <w:bCs/>
                <w:strike/>
                <w:color w:val="FF0000"/>
                <w:szCs w:val="24"/>
                <w:lang w:eastAsia="tr-TR"/>
              </w:rPr>
              <w:t>ve</w:t>
            </w:r>
            <w:r w:rsidR="00A043AD" w:rsidRPr="00A23740">
              <w:rPr>
                <w:rFonts w:eastAsia="Times New Roman"/>
                <w:color w:val="000000"/>
                <w:szCs w:val="24"/>
                <w:lang w:eastAsia="tr-TR"/>
              </w:rPr>
              <w:t xml:space="preserve"> emirleri </w:t>
            </w:r>
            <w:r w:rsidR="00A043AD" w:rsidRPr="00A23740">
              <w:rPr>
                <w:b/>
                <w:bCs/>
                <w:strike/>
                <w:color w:val="FF0000"/>
                <w:szCs w:val="24"/>
                <w:lang w:eastAsia="tr-TR"/>
              </w:rPr>
              <w:t>yapmıyanlar hakkında ait olduğu</w:t>
            </w:r>
            <w:r w:rsidR="00A043AD" w:rsidRPr="00A23740">
              <w:rPr>
                <w:rFonts w:eastAsia="Times New Roman"/>
                <w:color w:val="000000"/>
                <w:szCs w:val="24"/>
                <w:lang w:eastAsia="tr-TR"/>
              </w:rPr>
              <w:t xml:space="preserve"> </w:t>
            </w:r>
            <w:r w:rsidR="00A043AD" w:rsidRPr="00A23740">
              <w:rPr>
                <w:b/>
                <w:bCs/>
                <w:strike/>
                <w:color w:val="FF0000"/>
                <w:szCs w:val="24"/>
                <w:lang w:eastAsia="tr-TR"/>
              </w:rPr>
              <w:t>dairece tahkikatı evveliyeye hacet kalmaksızın</w:t>
            </w:r>
            <w:r w:rsidR="00A043AD" w:rsidRPr="00A23740">
              <w:rPr>
                <w:rFonts w:eastAsia="Times New Roman"/>
                <w:color w:val="000000"/>
                <w:szCs w:val="24"/>
                <w:lang w:eastAsia="tr-TR"/>
              </w:rPr>
              <w:t xml:space="preserve"> Cumhuriyet Savcılığınca doğrudan </w:t>
            </w:r>
            <w:r w:rsidR="00A043AD" w:rsidRPr="00A23740">
              <w:rPr>
                <w:b/>
                <w:bCs/>
                <w:strike/>
                <w:color w:val="FF0000"/>
                <w:szCs w:val="24"/>
                <w:lang w:eastAsia="tr-TR"/>
              </w:rPr>
              <w:t>doğruya takibat yapılır</w:t>
            </w:r>
            <w:r w:rsidR="00A043AD" w:rsidRPr="00A23740">
              <w:rPr>
                <w:rFonts w:eastAsia="Times New Roman"/>
                <w:color w:val="000000"/>
                <w:szCs w:val="24"/>
                <w:lang w:eastAsia="tr-TR"/>
              </w:rPr>
              <w:t>.</w:t>
            </w:r>
          </w:p>
          <w:p w:rsidR="00A043AD" w:rsidRPr="00A23740" w:rsidRDefault="00A043AD" w:rsidP="00750F08">
            <w:pPr>
              <w:rPr>
                <w:rFonts w:eastAsia="Times New Roman"/>
                <w:b/>
                <w:szCs w:val="24"/>
                <w:lang w:eastAsia="tr-TR"/>
              </w:rPr>
            </w:pPr>
          </w:p>
        </w:tc>
        <w:tc>
          <w:tcPr>
            <w:tcW w:w="2500" w:type="pct"/>
          </w:tcPr>
          <w:p w:rsidR="00A043AD" w:rsidRPr="00A23740" w:rsidRDefault="00A043AD" w:rsidP="00750F08">
            <w:pPr>
              <w:jc w:val="center"/>
              <w:rPr>
                <w:rFonts w:eastAsia="Times New Roman"/>
                <w:b/>
                <w:bCs/>
                <w:color w:val="0000FF"/>
                <w:szCs w:val="24"/>
                <w:lang w:eastAsia="tr-TR"/>
              </w:rPr>
            </w:pPr>
            <w:r w:rsidRPr="00A23740">
              <w:rPr>
                <w:rFonts w:eastAsia="Times New Roman"/>
                <w:b/>
                <w:bCs/>
                <w:color w:val="0000FF"/>
                <w:szCs w:val="24"/>
                <w:lang w:eastAsia="tr-TR"/>
              </w:rPr>
              <w:t>SON HÜKÜMLER</w:t>
            </w:r>
          </w:p>
          <w:p w:rsidR="00A043AD" w:rsidRPr="00A23740" w:rsidRDefault="00A043AD" w:rsidP="00750F08">
            <w:pPr>
              <w:jc w:val="center"/>
              <w:rPr>
                <w:rFonts w:eastAsia="Times New Roman"/>
                <w:b/>
                <w:bCs/>
                <w:color w:val="0000FF"/>
                <w:szCs w:val="24"/>
                <w:lang w:eastAsia="tr-TR"/>
              </w:rPr>
            </w:pPr>
          </w:p>
          <w:p w:rsidR="00A043AD" w:rsidRPr="00A23740" w:rsidRDefault="00A043AD" w:rsidP="00750F08">
            <w:pPr>
              <w:tabs>
                <w:tab w:val="left" w:pos="567"/>
              </w:tabs>
              <w:rPr>
                <w:b/>
                <w:bCs/>
                <w:color w:val="0000FF"/>
                <w:szCs w:val="24"/>
                <w:lang w:val="x-none" w:eastAsia="x-none"/>
              </w:rPr>
            </w:pPr>
            <w:r w:rsidRPr="00A23740">
              <w:rPr>
                <w:b/>
                <w:bCs/>
                <w:color w:val="0000FF"/>
                <w:szCs w:val="24"/>
                <w:lang w:eastAsia="x-none"/>
              </w:rPr>
              <w:t>Tebliğ ve emirlerin yerine getirilmesi</w:t>
            </w:r>
            <w:r w:rsidRPr="00A23740">
              <w:rPr>
                <w:b/>
                <w:bCs/>
                <w:color w:val="0000FF"/>
                <w:szCs w:val="24"/>
                <w:lang w:val="x-none" w:eastAsia="x-none"/>
              </w:rPr>
              <w:t xml:space="preserve"> </w:t>
            </w:r>
          </w:p>
          <w:p w:rsidR="00A043AD" w:rsidRPr="00A23740" w:rsidRDefault="00A043AD" w:rsidP="00750F08">
            <w:pPr>
              <w:rPr>
                <w:rFonts w:eastAsia="Times New Roman"/>
                <w:color w:val="000000"/>
                <w:szCs w:val="24"/>
                <w:lang w:eastAsia="tr-TR"/>
              </w:rPr>
            </w:pPr>
            <w:r w:rsidRPr="00A23740">
              <w:rPr>
                <w:b/>
                <w:bCs/>
                <w:color w:val="0000FF"/>
                <w:szCs w:val="24"/>
                <w:lang w:val="x-none" w:eastAsia="x-none"/>
              </w:rPr>
              <w:t>MADDE</w:t>
            </w:r>
            <w:r w:rsidRPr="00A23740">
              <w:rPr>
                <w:b/>
                <w:bCs/>
                <w:color w:val="0000FF"/>
                <w:szCs w:val="24"/>
                <w:lang w:val="x-none" w:eastAsia="tr-TR"/>
              </w:rPr>
              <w:t xml:space="preserve"> </w:t>
            </w:r>
            <w:r w:rsidRPr="00A23740">
              <w:rPr>
                <w:b/>
                <w:bCs/>
                <w:color w:val="0000FF"/>
                <w:szCs w:val="24"/>
                <w:lang w:val="x-none" w:eastAsia="x-none"/>
              </w:rPr>
              <w:t>545-</w:t>
            </w:r>
            <w:r w:rsidRPr="00A23740">
              <w:rPr>
                <w:rFonts w:eastAsia="Times New Roman"/>
                <w:b/>
                <w:bCs/>
                <w:color w:val="000000"/>
                <w:szCs w:val="24"/>
                <w:lang w:eastAsia="tr-TR"/>
              </w:rPr>
              <w:t xml:space="preserve"> </w:t>
            </w:r>
            <w:r w:rsidRPr="00A23740">
              <w:rPr>
                <w:b/>
                <w:bCs/>
                <w:color w:val="0000FF"/>
                <w:szCs w:val="24"/>
                <w:lang w:val="x-none" w:eastAsia="x-none"/>
              </w:rPr>
              <w:t>(1)</w:t>
            </w:r>
            <w:r w:rsidRPr="00A23740">
              <w:rPr>
                <w:rFonts w:eastAsia="Times New Roman"/>
                <w:b/>
                <w:bCs/>
                <w:color w:val="000000"/>
                <w:szCs w:val="24"/>
                <w:lang w:eastAsia="tr-TR"/>
              </w:rPr>
              <w:t xml:space="preserve"> </w:t>
            </w:r>
            <w:r w:rsidRPr="00A23740">
              <w:rPr>
                <w:rFonts w:eastAsia="Times New Roman"/>
                <w:color w:val="000000"/>
                <w:szCs w:val="24"/>
                <w:lang w:eastAsia="tr-TR"/>
              </w:rPr>
              <w:t xml:space="preserve">İcra </w:t>
            </w:r>
            <w:r w:rsidRPr="00A23740">
              <w:rPr>
                <w:rStyle w:val="MaviChar"/>
              </w:rPr>
              <w:t xml:space="preserve">ve iflas </w:t>
            </w:r>
            <w:r w:rsidRPr="00A23740">
              <w:rPr>
                <w:rFonts w:eastAsia="Times New Roman"/>
                <w:color w:val="000000"/>
                <w:szCs w:val="24"/>
                <w:lang w:eastAsia="tr-TR"/>
              </w:rPr>
              <w:t xml:space="preserve">dairesince kanuna göre yapılan </w:t>
            </w:r>
            <w:r w:rsidRPr="005D4042">
              <w:rPr>
                <w:rStyle w:val="YELChar"/>
                <w:color w:val="0000FF"/>
              </w:rPr>
              <w:t>tebliğleri</w:t>
            </w:r>
            <w:r w:rsidRPr="00A23740">
              <w:rPr>
                <w:rFonts w:eastAsia="Times New Roman"/>
                <w:color w:val="000000"/>
                <w:szCs w:val="24"/>
                <w:lang w:eastAsia="tr-TR"/>
              </w:rPr>
              <w:t xml:space="preserve"> ve </w:t>
            </w:r>
            <w:r w:rsidRPr="00A23740">
              <w:rPr>
                <w:rStyle w:val="MaviChar"/>
              </w:rPr>
              <w:t xml:space="preserve">verilen </w:t>
            </w:r>
            <w:r w:rsidRPr="00A23740">
              <w:rPr>
                <w:rFonts w:eastAsia="Times New Roman"/>
                <w:color w:val="000000"/>
                <w:szCs w:val="24"/>
                <w:lang w:eastAsia="tr-TR"/>
              </w:rPr>
              <w:t>emirleri</w:t>
            </w:r>
            <w:r w:rsidRPr="00A23740">
              <w:rPr>
                <w:b/>
                <w:bCs/>
                <w:color w:val="0000FF"/>
                <w:szCs w:val="24"/>
                <w:lang w:val="x-none" w:eastAsia="x-none"/>
              </w:rPr>
              <w:t>,</w:t>
            </w:r>
            <w:r w:rsidRPr="00A23740">
              <w:rPr>
                <w:rFonts w:eastAsia="Times New Roman"/>
                <w:color w:val="000000"/>
                <w:szCs w:val="24"/>
                <w:lang w:eastAsia="tr-TR"/>
              </w:rPr>
              <w:t xml:space="preserve"> </w:t>
            </w:r>
            <w:r w:rsidRPr="00A23740">
              <w:rPr>
                <w:b/>
                <w:bCs/>
                <w:color w:val="0000FF"/>
                <w:szCs w:val="24"/>
                <w:lang w:val="x-none" w:eastAsia="x-none"/>
              </w:rPr>
              <w:t>ilgililer</w:t>
            </w:r>
            <w:r w:rsidRPr="00A23740">
              <w:rPr>
                <w:rFonts w:eastAsia="Times New Roman"/>
                <w:color w:val="000000"/>
                <w:szCs w:val="24"/>
                <w:lang w:eastAsia="tr-TR"/>
              </w:rPr>
              <w:t xml:space="preserve"> </w:t>
            </w:r>
            <w:r w:rsidR="00DF22A1" w:rsidRPr="00A23740">
              <w:rPr>
                <w:szCs w:val="24"/>
              </w:rPr>
              <w:t xml:space="preserve">derhâl </w:t>
            </w:r>
            <w:r w:rsidRPr="00A23740">
              <w:rPr>
                <w:rStyle w:val="MaviChar"/>
              </w:rPr>
              <w:t xml:space="preserve">yerine getirmek </w:t>
            </w:r>
            <w:r w:rsidRPr="00A23740">
              <w:rPr>
                <w:rFonts w:eastAsia="Times New Roman"/>
                <w:color w:val="000000"/>
                <w:szCs w:val="24"/>
                <w:lang w:eastAsia="tr-TR"/>
              </w:rPr>
              <w:t xml:space="preserve">ve </w:t>
            </w:r>
            <w:r w:rsidRPr="005D4042">
              <w:rPr>
                <w:rStyle w:val="YELChar"/>
                <w:color w:val="0000FF"/>
              </w:rPr>
              <w:t>sonucunu</w:t>
            </w:r>
            <w:r w:rsidRPr="00A23740">
              <w:rPr>
                <w:rFonts w:eastAsia="Times New Roman"/>
                <w:color w:val="000000"/>
                <w:szCs w:val="24"/>
                <w:lang w:eastAsia="tr-TR"/>
              </w:rPr>
              <w:t xml:space="preserve"> geciktirmeksizin </w:t>
            </w:r>
            <w:r w:rsidRPr="00A23740">
              <w:rPr>
                <w:rStyle w:val="MaviChar"/>
              </w:rPr>
              <w:t xml:space="preserve">icra ve iflas dairesine </w:t>
            </w:r>
            <w:r w:rsidRPr="00A23740">
              <w:rPr>
                <w:rFonts w:eastAsia="Times New Roman"/>
                <w:color w:val="000000"/>
                <w:szCs w:val="24"/>
                <w:lang w:eastAsia="tr-TR"/>
              </w:rPr>
              <w:t>bildirme</w:t>
            </w:r>
            <w:r w:rsidRPr="00A23740">
              <w:rPr>
                <w:b/>
                <w:bCs/>
                <w:color w:val="0000FF"/>
                <w:szCs w:val="24"/>
                <w:lang w:val="x-none" w:eastAsia="x-none"/>
              </w:rPr>
              <w:t>k</w:t>
            </w:r>
            <w:r w:rsidRPr="00A23740">
              <w:rPr>
                <w:rFonts w:eastAsia="Times New Roman"/>
                <w:color w:val="000000"/>
                <w:szCs w:val="24"/>
                <w:lang w:eastAsia="tr-TR"/>
              </w:rPr>
              <w:t xml:space="preserve"> </w:t>
            </w:r>
            <w:r w:rsidRPr="00A23740">
              <w:rPr>
                <w:b/>
                <w:bCs/>
                <w:color w:val="0000FF"/>
                <w:szCs w:val="24"/>
                <w:lang w:val="x-none" w:eastAsia="x-none"/>
              </w:rPr>
              <w:t>zorundadır</w:t>
            </w:r>
            <w:r w:rsidRPr="00A23740">
              <w:rPr>
                <w:rFonts w:eastAsia="Times New Roman"/>
                <w:color w:val="000000"/>
                <w:szCs w:val="24"/>
                <w:lang w:eastAsia="tr-TR"/>
              </w:rPr>
              <w:t>.</w:t>
            </w:r>
          </w:p>
          <w:p w:rsidR="00A043AD" w:rsidRPr="00A23740" w:rsidRDefault="00A043AD" w:rsidP="00750F08">
            <w:pPr>
              <w:rPr>
                <w:rFonts w:eastAsia="Times New Roman"/>
                <w:color w:val="000000"/>
                <w:szCs w:val="24"/>
                <w:lang w:eastAsia="tr-TR"/>
              </w:rPr>
            </w:pPr>
          </w:p>
          <w:p w:rsidR="00A043AD" w:rsidRPr="00A23740" w:rsidRDefault="00A043AD" w:rsidP="00750F08">
            <w:pPr>
              <w:rPr>
                <w:rFonts w:eastAsia="Times New Roman"/>
                <w:color w:val="000000"/>
                <w:szCs w:val="24"/>
                <w:lang w:eastAsia="tr-TR"/>
              </w:rPr>
            </w:pPr>
          </w:p>
          <w:p w:rsidR="00A043AD" w:rsidRPr="00A23740" w:rsidRDefault="00A043AD" w:rsidP="00750F08">
            <w:pPr>
              <w:pStyle w:val="Mavi"/>
            </w:pPr>
          </w:p>
          <w:p w:rsidR="00A043AD" w:rsidRPr="00A23740" w:rsidRDefault="00A043AD" w:rsidP="00750F08">
            <w:pPr>
              <w:pStyle w:val="Mavi"/>
            </w:pPr>
            <w:r w:rsidRPr="00A23740">
              <w:t xml:space="preserve">(2) Kabul edilebilir bir </w:t>
            </w:r>
            <w:r w:rsidRPr="00A23740">
              <w:rPr>
                <w:b w:val="0"/>
                <w:color w:val="000000"/>
              </w:rPr>
              <w:t>sebep</w:t>
            </w:r>
            <w:r w:rsidRPr="00A23740">
              <w:t xml:space="preserve"> olmaksızın </w:t>
            </w:r>
            <w:r w:rsidRPr="00A23740">
              <w:rPr>
                <w:b w:val="0"/>
                <w:color w:val="000000"/>
              </w:rPr>
              <w:t>tebliğ</w:t>
            </w:r>
            <w:r w:rsidRPr="00A23740">
              <w:t xml:space="preserve">in veya </w:t>
            </w:r>
            <w:r w:rsidRPr="00A23740">
              <w:rPr>
                <w:b w:val="0"/>
                <w:color w:val="000000"/>
              </w:rPr>
              <w:t>emirleri</w:t>
            </w:r>
            <w:r w:rsidRPr="00A23740">
              <w:t xml:space="preserve">n gereklerini yerine getirmeyen ve tabi olduğu </w:t>
            </w:r>
            <w:r w:rsidRPr="005D4042">
              <w:rPr>
                <w:rStyle w:val="YELChar"/>
                <w:b/>
                <w:color w:val="0000FF"/>
              </w:rPr>
              <w:t>kanun</w:t>
            </w:r>
            <w:r w:rsidRPr="005D4042">
              <w:rPr>
                <w:lang w:val="tr-TR"/>
              </w:rPr>
              <w:t xml:space="preserve"> </w:t>
            </w:r>
            <w:r w:rsidRPr="005D4042">
              <w:rPr>
                <w:rStyle w:val="YELChar"/>
                <w:b/>
                <w:color w:val="0000FF"/>
              </w:rPr>
              <w:t>hükümlerine</w:t>
            </w:r>
            <w:r w:rsidRPr="00A23740">
              <w:t xml:space="preserve"> göre soruşturma yapılması izin veya karar alınmasına bağlı bulunan kişiler hakkında</w:t>
            </w:r>
            <w:r w:rsidRPr="00A23740">
              <w:rPr>
                <w:lang w:val="tr-TR"/>
              </w:rPr>
              <w:t xml:space="preserve">, </w:t>
            </w:r>
            <w:r w:rsidRPr="005D4042">
              <w:rPr>
                <w:rStyle w:val="YELChar"/>
                <w:b/>
                <w:color w:val="0000FF"/>
              </w:rPr>
              <w:t>izin ve</w:t>
            </w:r>
            <w:r w:rsidRPr="005D4042">
              <w:rPr>
                <w:rStyle w:val="YELChar"/>
                <w:b/>
                <w:color w:val="0000FF"/>
                <w:lang w:val="tr-TR"/>
              </w:rPr>
              <w:t>ya</w:t>
            </w:r>
            <w:r w:rsidRPr="005D4042">
              <w:rPr>
                <w:rStyle w:val="YELChar"/>
                <w:b/>
                <w:color w:val="0000FF"/>
              </w:rPr>
              <w:t xml:space="preserve"> karar</w:t>
            </w:r>
            <w:r w:rsidRPr="00A23740">
              <w:rPr>
                <w:rStyle w:val="YELChar"/>
                <w:b/>
              </w:rPr>
              <w:t xml:space="preserve"> </w:t>
            </w:r>
            <w:r w:rsidRPr="005D4042">
              <w:rPr>
                <w:rStyle w:val="YELChar"/>
                <w:b/>
                <w:color w:val="0000FF"/>
              </w:rPr>
              <w:t>alınmasına gerek olmaksızın</w:t>
            </w:r>
            <w:r w:rsidRPr="00A23740">
              <w:t xml:space="preserve"> </w:t>
            </w:r>
            <w:r w:rsidRPr="00A23740">
              <w:rPr>
                <w:b w:val="0"/>
                <w:color w:val="000000"/>
              </w:rPr>
              <w:t xml:space="preserve">Cumhuriyet </w:t>
            </w:r>
            <w:r w:rsidRPr="00A23740">
              <w:t>s</w:t>
            </w:r>
            <w:r w:rsidRPr="00A23740">
              <w:rPr>
                <w:b w:val="0"/>
                <w:color w:val="000000"/>
              </w:rPr>
              <w:t>avcılığınca</w:t>
            </w:r>
            <w:r w:rsidRPr="00A23740">
              <w:t xml:space="preserve"> </w:t>
            </w:r>
            <w:r w:rsidRPr="00A23740">
              <w:rPr>
                <w:b w:val="0"/>
                <w:color w:val="000000"/>
              </w:rPr>
              <w:t>doğrudan</w:t>
            </w:r>
            <w:r w:rsidRPr="00A23740">
              <w:t xml:space="preserve"> soruşturma başlatılır.</w:t>
            </w:r>
          </w:p>
          <w:p w:rsidR="00A043AD" w:rsidRPr="00A23740" w:rsidRDefault="00A043AD" w:rsidP="00750F08">
            <w:pPr>
              <w:rPr>
                <w:rFonts w:eastAsia="Times New Roman"/>
                <w:b/>
                <w:bCs/>
                <w:color w:val="0000FF"/>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x-none"/>
              </w:rPr>
              <w:t>MADDE 545-</w:t>
            </w:r>
            <w:r w:rsidRPr="00A23740">
              <w:rPr>
                <w:rFonts w:eastAsia="Times New Roman"/>
                <w:szCs w:val="24"/>
                <w:lang w:eastAsia="x-none"/>
              </w:rPr>
              <w:t xml:space="preserve"> </w:t>
            </w:r>
            <w:r w:rsidRPr="00A23740">
              <w:rPr>
                <w:rFonts w:eastAsia="Times New Roman"/>
                <w:szCs w:val="24"/>
                <w:lang w:eastAsia="tr-TR"/>
              </w:rPr>
              <w:t>Maddeyle,</w:t>
            </w:r>
            <w:r w:rsidRPr="00A23740">
              <w:t xml:space="preserve"> </w:t>
            </w:r>
            <w:r w:rsidRPr="00A23740">
              <w:rPr>
                <w:rFonts w:eastAsia="Times New Roman"/>
                <w:szCs w:val="24"/>
                <w:lang w:eastAsia="tr-TR"/>
              </w:rPr>
              <w:t xml:space="preserve">tebliğ ve emirlerin yerine getirilmesine ilişkin hususlar düzenlenmektedir. Hüküm, 2004 sayılı Kanunun </w:t>
            </w:r>
            <w:r w:rsidRPr="00A23740">
              <w:rPr>
                <w:rFonts w:eastAsia="Times New Roman"/>
                <w:szCs w:val="24"/>
                <w:lang w:eastAsia="x-none"/>
              </w:rPr>
              <w:t>357 nci maddesine karşılık gelmektedir.</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Birinci fıkrayla,</w:t>
            </w:r>
            <w:r w:rsidRPr="00A23740">
              <w:t xml:space="preserve"> </w:t>
            </w:r>
            <w:r w:rsidRPr="00A23740">
              <w:rPr>
                <w:rFonts w:eastAsia="Times New Roman"/>
                <w:szCs w:val="24"/>
                <w:lang w:eastAsia="x-none"/>
              </w:rPr>
              <w:t>icra ve iflas dairesince kanuna göre yapılan tebliğ</w:t>
            </w:r>
            <w:r w:rsidR="00E319A1" w:rsidRPr="00955D60">
              <w:rPr>
                <w:rFonts w:eastAsia="Times New Roman"/>
                <w:color w:val="000000" w:themeColor="text1"/>
                <w:szCs w:val="24"/>
                <w:lang w:eastAsia="x-none"/>
              </w:rPr>
              <w:t>leri</w:t>
            </w:r>
            <w:r w:rsidRPr="00955D60">
              <w:rPr>
                <w:rFonts w:eastAsia="Times New Roman"/>
                <w:color w:val="000000" w:themeColor="text1"/>
                <w:szCs w:val="24"/>
                <w:lang w:eastAsia="x-none"/>
              </w:rPr>
              <w:t xml:space="preserve"> </w:t>
            </w:r>
            <w:r w:rsidRPr="00A23740">
              <w:rPr>
                <w:rFonts w:eastAsia="Times New Roman"/>
                <w:szCs w:val="24"/>
                <w:lang w:eastAsia="x-none"/>
              </w:rPr>
              <w:t>ve verilen emirleri, ilgililerin derh</w:t>
            </w:r>
            <w:r w:rsidR="00DF22A1" w:rsidRPr="00A23740">
              <w:rPr>
                <w:rFonts w:eastAsia="Times New Roman"/>
                <w:szCs w:val="24"/>
                <w:lang w:eastAsia="x-none"/>
              </w:rPr>
              <w:t>â</w:t>
            </w:r>
            <w:r w:rsidRPr="00A23740">
              <w:rPr>
                <w:rFonts w:eastAsia="Times New Roman"/>
                <w:szCs w:val="24"/>
                <w:lang w:eastAsia="x-none"/>
              </w:rPr>
              <w:t xml:space="preserve">l yerine getirmek ve </w:t>
            </w:r>
            <w:r w:rsidRPr="005D4042">
              <w:rPr>
                <w:rFonts w:eastAsia="Times New Roman"/>
                <w:szCs w:val="24"/>
                <w:lang w:eastAsia="x-none"/>
              </w:rPr>
              <w:t>sonucunu</w:t>
            </w:r>
            <w:r w:rsidRPr="00A23740">
              <w:rPr>
                <w:rFonts w:eastAsia="Times New Roman"/>
                <w:szCs w:val="24"/>
                <w:lang w:eastAsia="x-none"/>
              </w:rPr>
              <w:t xml:space="preserve"> geciktirmeksizin icra ve iflas dairesine bildirmek zorunda oldukları hükme bağlanmaktadır.</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 xml:space="preserve">İkinci fıkrayla, Cumhuriyet savcılığınca doğrudan soruşturma başlatılmasına ilişkin esaslar belirlenmektedir. Buna göre, kabul edilebilir bir sebep olmaksızın tebliğin veya emirlerin gereklerini yerine getirmeyen ve tabi olduğu </w:t>
            </w:r>
            <w:r w:rsidRPr="005D4042">
              <w:rPr>
                <w:rFonts w:eastAsia="Times New Roman"/>
                <w:szCs w:val="24"/>
                <w:lang w:eastAsia="x-none"/>
              </w:rPr>
              <w:t>kanun hükümlerine</w:t>
            </w:r>
            <w:r w:rsidRPr="00A23740">
              <w:rPr>
                <w:rFonts w:eastAsia="Times New Roman"/>
                <w:szCs w:val="24"/>
                <w:lang w:eastAsia="x-none"/>
              </w:rPr>
              <w:t xml:space="preserve"> göre soruşturma yapılması izin veya karar alınmasına bağlı bulunan kişiler hakkında,</w:t>
            </w:r>
            <w:r w:rsidRPr="005D4042">
              <w:rPr>
                <w:rFonts w:eastAsia="Times New Roman"/>
                <w:szCs w:val="24"/>
                <w:lang w:eastAsia="x-none"/>
              </w:rPr>
              <w:t xml:space="preserve"> izin veya karar alınmasına gerek olmaksızın</w:t>
            </w:r>
            <w:r w:rsidRPr="00A23740">
              <w:rPr>
                <w:rFonts w:eastAsia="Times New Roman"/>
                <w:szCs w:val="24"/>
                <w:lang w:eastAsia="x-none"/>
              </w:rPr>
              <w:t xml:space="preserve"> Cumhuriyet savcılığınca doğrudan soruşturma başlatılır.</w:t>
            </w:r>
          </w:p>
          <w:p w:rsidR="00A043AD" w:rsidRPr="00955D60" w:rsidRDefault="00A043AD" w:rsidP="00955D60">
            <w:pPr>
              <w:tabs>
                <w:tab w:val="left" w:pos="567"/>
              </w:tabs>
              <w:ind w:firstLine="709"/>
              <w:rPr>
                <w:rFonts w:eastAsia="Arial Unicode MS"/>
                <w:iCs/>
                <w:szCs w:val="24"/>
                <w:lang w:eastAsia="tr-TR"/>
              </w:rPr>
            </w:pPr>
            <w:r w:rsidRPr="00A23740">
              <w:rPr>
                <w:rFonts w:eastAsia="Times New Roman"/>
                <w:szCs w:val="24"/>
                <w:lang w:eastAsia="x-none"/>
              </w:rPr>
              <w:t xml:space="preserve"> </w:t>
            </w:r>
          </w:p>
        </w:tc>
      </w:tr>
      <w:tr w:rsidR="00A043AD" w:rsidRPr="00A23740" w:rsidTr="00750F08">
        <w:tc>
          <w:tcPr>
            <w:tcW w:w="2500" w:type="pct"/>
          </w:tcPr>
          <w:p w:rsidR="00A043AD" w:rsidRPr="00A23740" w:rsidRDefault="00A043AD" w:rsidP="00750F08">
            <w:pPr>
              <w:rPr>
                <w:rFonts w:eastAsia="Times New Roman"/>
                <w:i/>
                <w:iCs/>
                <w:color w:val="000000"/>
                <w:szCs w:val="24"/>
                <w:lang w:eastAsia="tr-TR"/>
              </w:rPr>
            </w:pPr>
            <w:r w:rsidRPr="00A23740">
              <w:rPr>
                <w:rFonts w:eastAsia="Times New Roman"/>
                <w:i/>
                <w:iCs/>
                <w:color w:val="000000"/>
                <w:szCs w:val="24"/>
                <w:lang w:eastAsia="tr-TR"/>
              </w:rPr>
              <w:t xml:space="preserve">Üçüncü </w:t>
            </w:r>
            <w:r w:rsidRPr="00A23740">
              <w:rPr>
                <w:b/>
                <w:bCs/>
                <w:strike/>
                <w:color w:val="FF0000"/>
                <w:szCs w:val="24"/>
                <w:lang w:eastAsia="tr-TR"/>
              </w:rPr>
              <w:t>şahsa</w:t>
            </w:r>
            <w:r w:rsidRPr="00A23740">
              <w:rPr>
                <w:rFonts w:eastAsia="Times New Roman"/>
                <w:i/>
                <w:iCs/>
                <w:color w:val="000000"/>
                <w:szCs w:val="24"/>
                <w:lang w:eastAsia="tr-TR"/>
              </w:rPr>
              <w:t xml:space="preserve"> bırakılan mallar</w:t>
            </w:r>
            <w:r w:rsidRPr="00A23740">
              <w:rPr>
                <w:b/>
                <w:bCs/>
                <w:strike/>
                <w:color w:val="FF0000"/>
                <w:szCs w:val="24"/>
                <w:lang w:eastAsia="tr-TR"/>
              </w:rPr>
              <w:t>:</w:t>
            </w:r>
          </w:p>
          <w:p w:rsidR="00A043AD" w:rsidRPr="00A23740" w:rsidRDefault="00A043AD" w:rsidP="00750F08">
            <w:pPr>
              <w:rPr>
                <w:rFonts w:eastAsia="Times New Roman"/>
                <w:color w:val="000000"/>
                <w:szCs w:val="24"/>
                <w:lang w:eastAsia="tr-TR"/>
              </w:rPr>
            </w:pPr>
            <w:r w:rsidRPr="00A23740">
              <w:rPr>
                <w:b/>
                <w:bCs/>
                <w:strike/>
                <w:color w:val="FF0000"/>
                <w:szCs w:val="24"/>
                <w:lang w:eastAsia="tr-TR"/>
              </w:rPr>
              <w:t>Madde 358 –</w:t>
            </w:r>
            <w:r w:rsidRPr="00A23740">
              <w:rPr>
                <w:rFonts w:eastAsia="Times New Roman"/>
                <w:b/>
                <w:bCs/>
                <w:color w:val="000000"/>
                <w:szCs w:val="24"/>
                <w:lang w:eastAsia="tr-TR"/>
              </w:rPr>
              <w:t> </w:t>
            </w:r>
            <w:r w:rsidRPr="00A23740">
              <w:rPr>
                <w:rFonts w:eastAsia="Times New Roman"/>
                <w:color w:val="000000"/>
                <w:szCs w:val="24"/>
                <w:lang w:eastAsia="tr-TR"/>
              </w:rPr>
              <w:t xml:space="preserve">Üçüncü </w:t>
            </w:r>
            <w:r w:rsidRPr="00A23740">
              <w:rPr>
                <w:b/>
                <w:bCs/>
                <w:strike/>
                <w:color w:val="FF0000"/>
                <w:szCs w:val="24"/>
                <w:lang w:eastAsia="tr-TR"/>
              </w:rPr>
              <w:t>şahıs</w:t>
            </w:r>
            <w:r w:rsidRPr="00A23740">
              <w:rPr>
                <w:rFonts w:eastAsia="Times New Roman"/>
                <w:color w:val="000000"/>
                <w:szCs w:val="24"/>
                <w:lang w:eastAsia="tr-TR"/>
              </w:rPr>
              <w:t xml:space="preserve"> </w:t>
            </w:r>
            <w:r w:rsidRPr="00A23740">
              <w:rPr>
                <w:b/>
                <w:bCs/>
                <w:strike/>
                <w:color w:val="FF0000"/>
                <w:szCs w:val="24"/>
                <w:lang w:eastAsia="tr-TR"/>
              </w:rPr>
              <w:t>icraca</w:t>
            </w:r>
            <w:r w:rsidRPr="00A23740">
              <w:rPr>
                <w:rFonts w:eastAsia="Times New Roman"/>
                <w:color w:val="000000"/>
                <w:szCs w:val="24"/>
                <w:lang w:eastAsia="tr-TR"/>
              </w:rPr>
              <w:t xml:space="preserve"> </w:t>
            </w:r>
            <w:r w:rsidRPr="00A23740">
              <w:rPr>
                <w:b/>
                <w:bCs/>
                <w:strike/>
                <w:color w:val="FF0000"/>
                <w:szCs w:val="24"/>
                <w:lang w:eastAsia="tr-TR"/>
              </w:rPr>
              <w:t>haczolunup</w:t>
            </w:r>
            <w:r w:rsidRPr="00A23740">
              <w:rPr>
                <w:rFonts w:eastAsia="Times New Roman"/>
                <w:color w:val="000000"/>
                <w:szCs w:val="24"/>
                <w:lang w:eastAsia="tr-TR"/>
              </w:rPr>
              <w:t xml:space="preserve"> kendisine bırakılan malları icra dairesin</w:t>
            </w:r>
            <w:r w:rsidRPr="00A23740">
              <w:rPr>
                <w:b/>
                <w:bCs/>
                <w:strike/>
                <w:color w:val="FF0000"/>
                <w:szCs w:val="24"/>
                <w:lang w:eastAsia="tr-TR"/>
              </w:rPr>
              <w:t>den</w:t>
            </w:r>
            <w:r w:rsidRPr="00A23740">
              <w:rPr>
                <w:rFonts w:eastAsia="Times New Roman"/>
                <w:color w:val="000000"/>
                <w:szCs w:val="24"/>
                <w:lang w:eastAsia="tr-TR"/>
              </w:rPr>
              <w:t xml:space="preserve"> istendiği anda </w:t>
            </w:r>
            <w:r w:rsidRPr="00A23740">
              <w:rPr>
                <w:b/>
                <w:bCs/>
                <w:strike/>
                <w:color w:val="FF0000"/>
                <w:szCs w:val="24"/>
                <w:lang w:eastAsia="tr-TR"/>
              </w:rPr>
              <w:t>evvelki</w:t>
            </w:r>
            <w:r w:rsidRPr="00A23740">
              <w:rPr>
                <w:rFonts w:eastAsia="Times New Roman"/>
                <w:color w:val="000000"/>
                <w:szCs w:val="24"/>
                <w:lang w:eastAsia="tr-TR"/>
              </w:rPr>
              <w:t xml:space="preserve"> </w:t>
            </w:r>
            <w:r w:rsidRPr="00A23740">
              <w:rPr>
                <w:b/>
                <w:bCs/>
                <w:strike/>
                <w:color w:val="FF0000"/>
                <w:szCs w:val="24"/>
                <w:lang w:eastAsia="tr-TR"/>
              </w:rPr>
              <w:t>vaziyetinde</w:t>
            </w:r>
            <w:r w:rsidRPr="00A23740">
              <w:rPr>
                <w:rFonts w:eastAsia="Times New Roman"/>
                <w:color w:val="000000"/>
                <w:szCs w:val="24"/>
                <w:lang w:eastAsia="tr-TR"/>
              </w:rPr>
              <w:t xml:space="preserve"> iade </w:t>
            </w:r>
            <w:r w:rsidRPr="00A23740">
              <w:rPr>
                <w:b/>
                <w:bCs/>
                <w:strike/>
                <w:color w:val="FF0000"/>
                <w:szCs w:val="24"/>
                <w:lang w:eastAsia="tr-TR"/>
              </w:rPr>
              <w:t>ile mükelleftir</w:t>
            </w:r>
            <w:r w:rsidRPr="00A23740">
              <w:rPr>
                <w:rFonts w:eastAsia="Times New Roman"/>
                <w:color w:val="000000"/>
                <w:szCs w:val="24"/>
                <w:lang w:eastAsia="tr-TR"/>
              </w:rPr>
              <w:t>.</w:t>
            </w:r>
          </w:p>
          <w:p w:rsidR="00A043AD" w:rsidRPr="00A23740" w:rsidRDefault="00A043AD" w:rsidP="00750F08">
            <w:pPr>
              <w:rPr>
                <w:rFonts w:eastAsia="Times New Roman"/>
                <w:color w:val="000000"/>
                <w:szCs w:val="24"/>
                <w:lang w:eastAsia="tr-TR"/>
              </w:rPr>
            </w:pPr>
          </w:p>
          <w:p w:rsidR="00A043AD" w:rsidRPr="00A23740" w:rsidRDefault="00A043AD" w:rsidP="00750F08">
            <w:pPr>
              <w:rPr>
                <w:rFonts w:eastAsia="Times New Roman"/>
                <w:color w:val="000000"/>
                <w:szCs w:val="24"/>
                <w:lang w:eastAsia="tr-TR"/>
              </w:rPr>
            </w:pPr>
            <w:r w:rsidRPr="00A23740">
              <w:rPr>
                <w:bCs/>
                <w:color w:val="000000"/>
                <w:lang w:eastAsia="tr-TR"/>
              </w:rPr>
              <w:t>Bu</w:t>
            </w:r>
            <w:r w:rsidRPr="00A23740">
              <w:rPr>
                <w:b/>
                <w:bCs/>
                <w:color w:val="FF0000"/>
                <w:szCs w:val="24"/>
              </w:rPr>
              <w:t xml:space="preserve"> </w:t>
            </w:r>
            <w:r w:rsidRPr="00A23740">
              <w:rPr>
                <w:b/>
                <w:bCs/>
                <w:strike/>
                <w:color w:val="FF0000"/>
                <w:szCs w:val="24"/>
              </w:rPr>
              <w:t>suretle</w:t>
            </w:r>
            <w:r w:rsidRPr="00A23740">
              <w:rPr>
                <w:rFonts w:eastAsia="Times New Roman"/>
                <w:color w:val="000000"/>
                <w:szCs w:val="24"/>
                <w:lang w:eastAsia="tr-TR"/>
              </w:rPr>
              <w:t xml:space="preserve"> </w:t>
            </w:r>
            <w:r w:rsidRPr="00A23740">
              <w:rPr>
                <w:b/>
                <w:bCs/>
                <w:strike/>
                <w:color w:val="FF0000"/>
                <w:szCs w:val="24"/>
              </w:rPr>
              <w:t>eline</w:t>
            </w:r>
            <w:r w:rsidRPr="00A23740">
              <w:rPr>
                <w:rFonts w:eastAsia="Times New Roman"/>
                <w:color w:val="000000"/>
                <w:szCs w:val="24"/>
                <w:lang w:eastAsia="tr-TR"/>
              </w:rPr>
              <w:t xml:space="preserve"> bırakılan malların kendisin</w:t>
            </w:r>
            <w:r w:rsidRPr="00A23740">
              <w:rPr>
                <w:b/>
                <w:bCs/>
                <w:strike/>
                <w:color w:val="FF0000"/>
                <w:szCs w:val="24"/>
                <w:lang w:eastAsia="tr-TR"/>
              </w:rPr>
              <w:t>e atfolunamıyacak</w:t>
            </w:r>
            <w:r w:rsidRPr="00A23740">
              <w:rPr>
                <w:b/>
                <w:bCs/>
                <w:color w:val="FF0000"/>
                <w:szCs w:val="24"/>
                <w:lang w:eastAsia="tr-TR"/>
              </w:rPr>
              <w:t xml:space="preserve"> </w:t>
            </w:r>
            <w:r w:rsidRPr="00A23740">
              <w:rPr>
                <w:rFonts w:eastAsia="Times New Roman"/>
                <w:color w:val="000000"/>
                <w:szCs w:val="24"/>
                <w:lang w:eastAsia="tr-TR"/>
              </w:rPr>
              <w:t xml:space="preserve">bir sebepten dolayı </w:t>
            </w:r>
            <w:r w:rsidRPr="00A23740">
              <w:rPr>
                <w:b/>
                <w:bCs/>
                <w:strike/>
                <w:color w:val="FF0000"/>
                <w:szCs w:val="24"/>
                <w:lang w:eastAsia="tr-TR"/>
              </w:rPr>
              <w:t>telef</w:t>
            </w:r>
            <w:r w:rsidRPr="00A23740">
              <w:rPr>
                <w:rFonts w:eastAsia="Times New Roman"/>
                <w:color w:val="000000"/>
                <w:szCs w:val="24"/>
                <w:lang w:eastAsia="tr-TR"/>
              </w:rPr>
              <w:t xml:space="preserve"> veya </w:t>
            </w:r>
            <w:r w:rsidRPr="00A23740">
              <w:rPr>
                <w:b/>
                <w:bCs/>
                <w:strike/>
                <w:color w:val="FF0000"/>
                <w:szCs w:val="24"/>
                <w:lang w:eastAsia="tr-TR"/>
              </w:rPr>
              <w:t>ziyaını</w:t>
            </w:r>
            <w:r w:rsidRPr="00A23740">
              <w:rPr>
                <w:rFonts w:eastAsia="Times New Roman"/>
                <w:color w:val="000000"/>
                <w:szCs w:val="24"/>
                <w:lang w:eastAsia="tr-TR"/>
              </w:rPr>
              <w:t xml:space="preserve"> ispat edem</w:t>
            </w:r>
            <w:r w:rsidRPr="00A23740">
              <w:rPr>
                <w:b/>
                <w:bCs/>
                <w:strike/>
                <w:color w:val="FF0000"/>
                <w:szCs w:val="24"/>
                <w:lang w:eastAsia="tr-TR"/>
              </w:rPr>
              <w:t>i</w:t>
            </w:r>
            <w:r w:rsidRPr="00A23740">
              <w:rPr>
                <w:rFonts w:eastAsia="Times New Roman"/>
                <w:color w:val="000000"/>
                <w:szCs w:val="24"/>
                <w:lang w:eastAsia="tr-TR"/>
              </w:rPr>
              <w:t xml:space="preserve">yen üçüncü </w:t>
            </w:r>
            <w:r w:rsidRPr="00A23740">
              <w:rPr>
                <w:b/>
                <w:bCs/>
                <w:strike/>
                <w:color w:val="FF0000"/>
                <w:szCs w:val="24"/>
                <w:lang w:eastAsia="tr-TR"/>
              </w:rPr>
              <w:t>şahıs</w:t>
            </w:r>
            <w:r w:rsidRPr="00A23740">
              <w:rPr>
                <w:rFonts w:eastAsia="Times New Roman"/>
                <w:color w:val="000000"/>
                <w:szCs w:val="24"/>
                <w:lang w:eastAsia="tr-TR"/>
              </w:rPr>
              <w:t xml:space="preserve"> </w:t>
            </w:r>
            <w:r w:rsidRPr="00A23740">
              <w:rPr>
                <w:b/>
                <w:bCs/>
                <w:strike/>
                <w:color w:val="FF0000"/>
                <w:szCs w:val="24"/>
              </w:rPr>
              <w:t>hakkında</w:t>
            </w:r>
            <w:r w:rsidRPr="00A23740">
              <w:rPr>
                <w:rFonts w:eastAsia="Times New Roman"/>
                <w:color w:val="000000"/>
                <w:szCs w:val="24"/>
                <w:lang w:eastAsia="tr-TR"/>
              </w:rPr>
              <w:t xml:space="preserve"> </w:t>
            </w:r>
            <w:r w:rsidRPr="00A23740">
              <w:rPr>
                <w:b/>
                <w:bCs/>
                <w:strike/>
                <w:color w:val="FF0000"/>
                <w:szCs w:val="24"/>
              </w:rPr>
              <w:t>ceza</w:t>
            </w:r>
            <w:r w:rsidRPr="00A23740">
              <w:rPr>
                <w:rFonts w:eastAsia="Times New Roman"/>
                <w:color w:val="000000"/>
                <w:szCs w:val="24"/>
                <w:lang w:eastAsia="tr-TR"/>
              </w:rPr>
              <w:t xml:space="preserve"> </w:t>
            </w:r>
            <w:r w:rsidRPr="00A23740">
              <w:rPr>
                <w:b/>
                <w:bCs/>
                <w:strike/>
                <w:color w:val="FF0000"/>
                <w:szCs w:val="24"/>
                <w:lang w:eastAsia="tr-TR"/>
              </w:rPr>
              <w:t>takibinden</w:t>
            </w:r>
            <w:r w:rsidRPr="00A23740">
              <w:rPr>
                <w:rFonts w:eastAsia="Times New Roman"/>
                <w:color w:val="000000"/>
                <w:szCs w:val="24"/>
                <w:lang w:eastAsia="tr-TR"/>
              </w:rPr>
              <w:t xml:space="preserve"> </w:t>
            </w:r>
            <w:r w:rsidRPr="00A23740">
              <w:rPr>
                <w:b/>
                <w:bCs/>
                <w:strike/>
                <w:color w:val="FF0000"/>
                <w:szCs w:val="24"/>
                <w:lang w:eastAsia="tr-TR"/>
              </w:rPr>
              <w:t>başka evvelce</w:t>
            </w:r>
            <w:r w:rsidRPr="00A23740">
              <w:rPr>
                <w:rFonts w:eastAsia="Times New Roman"/>
                <w:color w:val="000000"/>
                <w:szCs w:val="24"/>
                <w:lang w:eastAsia="tr-TR"/>
              </w:rPr>
              <w:t xml:space="preserve"> tesbit edilmiş olan </w:t>
            </w:r>
            <w:r w:rsidRPr="00A23740">
              <w:rPr>
                <w:b/>
                <w:bCs/>
                <w:strike/>
                <w:color w:val="FF0000"/>
                <w:szCs w:val="24"/>
                <w:lang w:eastAsia="tr-TR"/>
              </w:rPr>
              <w:t>kıymetler</w:t>
            </w:r>
            <w:r w:rsidRPr="00A23740">
              <w:rPr>
                <w:rFonts w:eastAsia="Times New Roman"/>
                <w:color w:val="000000"/>
                <w:szCs w:val="24"/>
                <w:lang w:eastAsia="tr-TR"/>
              </w:rPr>
              <w:t xml:space="preserve">, hükme </w:t>
            </w:r>
            <w:r w:rsidRPr="00A23740">
              <w:rPr>
                <w:b/>
                <w:bCs/>
                <w:strike/>
                <w:color w:val="FF0000"/>
                <w:szCs w:val="24"/>
                <w:lang w:eastAsia="tr-TR"/>
              </w:rPr>
              <w:t>hacet</w:t>
            </w:r>
            <w:r w:rsidRPr="00A23740">
              <w:rPr>
                <w:rFonts w:eastAsia="Times New Roman"/>
                <w:color w:val="000000"/>
                <w:szCs w:val="24"/>
                <w:lang w:eastAsia="tr-TR"/>
              </w:rPr>
              <w:t xml:space="preserve"> kalmaksızın icra dairesince re</w:t>
            </w:r>
            <w:r w:rsidRPr="00A23740">
              <w:rPr>
                <w:b/>
                <w:bCs/>
                <w:strike/>
                <w:color w:val="FF0000"/>
                <w:szCs w:val="24"/>
                <w:lang w:eastAsia="tr-TR"/>
              </w:rPr>
              <w:t>’</w:t>
            </w:r>
            <w:r w:rsidRPr="00A23740">
              <w:rPr>
                <w:rFonts w:eastAsia="Times New Roman"/>
                <w:color w:val="000000"/>
                <w:szCs w:val="24"/>
                <w:lang w:eastAsia="tr-TR"/>
              </w:rPr>
              <w:t>sen tazmin ettirilir.</w:t>
            </w:r>
          </w:p>
          <w:p w:rsidR="00A043AD" w:rsidRPr="00A23740" w:rsidRDefault="00A043AD" w:rsidP="00750F08">
            <w:pPr>
              <w:rPr>
                <w:rFonts w:eastAsia="Times New Roman"/>
                <w:color w:val="000000"/>
                <w:szCs w:val="24"/>
                <w:lang w:eastAsia="tr-TR"/>
              </w:rPr>
            </w:pPr>
          </w:p>
          <w:p w:rsidR="00A043AD" w:rsidRDefault="00A043AD" w:rsidP="00750F08">
            <w:pPr>
              <w:rPr>
                <w:rFonts w:eastAsia="Times New Roman"/>
                <w:color w:val="000000"/>
                <w:szCs w:val="24"/>
                <w:lang w:eastAsia="tr-TR"/>
              </w:rPr>
            </w:pPr>
            <w:r w:rsidRPr="00A23740">
              <w:rPr>
                <w:rFonts w:eastAsia="Times New Roman"/>
                <w:color w:val="000000"/>
                <w:szCs w:val="24"/>
                <w:lang w:eastAsia="tr-TR"/>
              </w:rPr>
              <w:t xml:space="preserve">Bu </w:t>
            </w:r>
            <w:r w:rsidRPr="00A23740">
              <w:rPr>
                <w:b/>
                <w:bCs/>
                <w:strike/>
                <w:color w:val="FF0000"/>
                <w:szCs w:val="24"/>
                <w:lang w:eastAsia="tr-TR"/>
              </w:rPr>
              <w:t>kıymetleri</w:t>
            </w:r>
            <w:r w:rsidRPr="00A23740">
              <w:rPr>
                <w:rFonts w:eastAsia="Times New Roman"/>
                <w:color w:val="000000"/>
                <w:szCs w:val="24"/>
                <w:lang w:eastAsia="tr-TR"/>
              </w:rPr>
              <w:t xml:space="preserve"> tazmin </w:t>
            </w:r>
            <w:r w:rsidRPr="00A23740">
              <w:rPr>
                <w:b/>
                <w:bCs/>
                <w:strike/>
                <w:color w:val="FF0000"/>
                <w:szCs w:val="24"/>
                <w:lang w:eastAsia="tr-TR"/>
              </w:rPr>
              <w:t>ile mükellef</w:t>
            </w:r>
            <w:r w:rsidRPr="00A23740">
              <w:rPr>
                <w:rFonts w:eastAsia="Times New Roman"/>
                <w:color w:val="000000"/>
                <w:szCs w:val="24"/>
                <w:lang w:eastAsia="tr-TR"/>
              </w:rPr>
              <w:t xml:space="preserve"> olanlar, icra dairesinin </w:t>
            </w:r>
            <w:r w:rsidRPr="00A23740">
              <w:rPr>
                <w:b/>
                <w:bCs/>
                <w:strike/>
                <w:color w:val="FF0000"/>
                <w:szCs w:val="24"/>
                <w:lang w:eastAsia="tr-TR"/>
              </w:rPr>
              <w:t>bu baptaki talep ve</w:t>
            </w:r>
            <w:r w:rsidRPr="00A23740">
              <w:rPr>
                <w:rFonts w:eastAsia="Times New Roman"/>
                <w:color w:val="000000"/>
                <w:szCs w:val="24"/>
                <w:lang w:eastAsia="tr-TR"/>
              </w:rPr>
              <w:t xml:space="preserve"> kararına karşı icra mahkemesine, </w:t>
            </w:r>
            <w:r w:rsidRPr="00A23740">
              <w:rPr>
                <w:b/>
                <w:bCs/>
                <w:strike/>
                <w:color w:val="FF0000"/>
                <w:szCs w:val="24"/>
                <w:lang w:eastAsia="tr-TR"/>
              </w:rPr>
              <w:t>16 ncı</w:t>
            </w:r>
            <w:r w:rsidRPr="00A23740">
              <w:rPr>
                <w:rFonts w:eastAsia="Times New Roman"/>
                <w:color w:val="000000"/>
                <w:szCs w:val="24"/>
                <w:lang w:eastAsia="tr-TR"/>
              </w:rPr>
              <w:t xml:space="preserve"> </w:t>
            </w:r>
            <w:r w:rsidRPr="00A23740">
              <w:rPr>
                <w:b/>
                <w:bCs/>
                <w:strike/>
                <w:color w:val="FF0000"/>
                <w:szCs w:val="24"/>
                <w:lang w:eastAsia="tr-TR"/>
              </w:rPr>
              <w:t>maddede tayin edilen müddet</w:t>
            </w:r>
            <w:r w:rsidRPr="00A23740">
              <w:rPr>
                <w:rFonts w:eastAsia="Times New Roman"/>
                <w:color w:val="000000"/>
                <w:szCs w:val="24"/>
                <w:lang w:eastAsia="tr-TR"/>
              </w:rPr>
              <w:t xml:space="preserve"> içinde şikayette bulunabilir</w:t>
            </w:r>
            <w:r w:rsidRPr="00A23740">
              <w:rPr>
                <w:b/>
                <w:bCs/>
                <w:strike/>
                <w:color w:val="FF0000"/>
                <w:szCs w:val="24"/>
                <w:lang w:eastAsia="tr-TR"/>
              </w:rPr>
              <w:t>ler</w:t>
            </w:r>
            <w:r w:rsidRPr="00A23740">
              <w:rPr>
                <w:rFonts w:eastAsia="Times New Roman"/>
                <w:color w:val="000000"/>
                <w:szCs w:val="24"/>
                <w:lang w:eastAsia="tr-TR"/>
              </w:rPr>
              <w:t>.</w:t>
            </w:r>
          </w:p>
          <w:p w:rsidR="00A42965" w:rsidRPr="00A23740" w:rsidRDefault="00A42965" w:rsidP="00750F08">
            <w:pPr>
              <w:rPr>
                <w:rFonts w:eastAsia="Times New Roman"/>
                <w:color w:val="000000"/>
                <w:szCs w:val="24"/>
                <w:lang w:eastAsia="tr-TR"/>
              </w:rPr>
            </w:pPr>
          </w:p>
        </w:tc>
        <w:tc>
          <w:tcPr>
            <w:tcW w:w="2500" w:type="pct"/>
          </w:tcPr>
          <w:p w:rsidR="00A043AD" w:rsidRPr="00A23740" w:rsidRDefault="00A043AD" w:rsidP="00750F08">
            <w:pPr>
              <w:rPr>
                <w:rFonts w:eastAsia="Times New Roman"/>
                <w:b/>
                <w:iCs/>
                <w:color w:val="000000"/>
                <w:szCs w:val="24"/>
                <w:lang w:eastAsia="tr-TR"/>
              </w:rPr>
            </w:pPr>
            <w:r w:rsidRPr="00A23740">
              <w:rPr>
                <w:rFonts w:eastAsia="Times New Roman"/>
                <w:b/>
                <w:iCs/>
                <w:color w:val="000000"/>
                <w:szCs w:val="24"/>
                <w:lang w:eastAsia="tr-TR"/>
              </w:rPr>
              <w:t xml:space="preserve">Üçüncü </w:t>
            </w:r>
            <w:r w:rsidRPr="00A23740">
              <w:rPr>
                <w:b/>
                <w:bCs/>
                <w:color w:val="0000FF"/>
                <w:kern w:val="32"/>
                <w:szCs w:val="32"/>
              </w:rPr>
              <w:t>kişilere</w:t>
            </w:r>
            <w:r w:rsidRPr="00A23740">
              <w:rPr>
                <w:rFonts w:eastAsia="Times New Roman"/>
                <w:b/>
                <w:iCs/>
                <w:color w:val="000000"/>
                <w:szCs w:val="24"/>
                <w:lang w:eastAsia="tr-TR"/>
              </w:rPr>
              <w:t xml:space="preserve"> bırakılan mallar</w:t>
            </w:r>
          </w:p>
          <w:p w:rsidR="00A043AD" w:rsidRPr="00A23740" w:rsidRDefault="00A043AD" w:rsidP="00750F08">
            <w:pPr>
              <w:rPr>
                <w:rFonts w:eastAsia="Times New Roman"/>
                <w:color w:val="000000"/>
                <w:szCs w:val="24"/>
                <w:lang w:eastAsia="tr-TR"/>
              </w:rPr>
            </w:pPr>
            <w:r w:rsidRPr="00A23740">
              <w:rPr>
                <w:b/>
                <w:bCs/>
                <w:color w:val="0000FF"/>
                <w:szCs w:val="24"/>
                <w:lang w:val="x-none" w:eastAsia="x-none"/>
              </w:rPr>
              <w:t>MADDE</w:t>
            </w:r>
            <w:r w:rsidRPr="00A23740">
              <w:rPr>
                <w:b/>
                <w:bCs/>
                <w:color w:val="0000FF"/>
                <w:szCs w:val="24"/>
                <w:lang w:val="x-none" w:eastAsia="tr-TR"/>
              </w:rPr>
              <w:t xml:space="preserve"> </w:t>
            </w:r>
            <w:r w:rsidRPr="00A23740">
              <w:rPr>
                <w:b/>
                <w:bCs/>
                <w:color w:val="0000FF"/>
                <w:szCs w:val="24"/>
                <w:lang w:val="x-none" w:eastAsia="x-none"/>
              </w:rPr>
              <w:t>546-</w:t>
            </w:r>
            <w:r w:rsidRPr="00A23740">
              <w:rPr>
                <w:rFonts w:eastAsia="Times New Roman"/>
                <w:b/>
                <w:bCs/>
                <w:color w:val="000000"/>
                <w:szCs w:val="24"/>
                <w:lang w:eastAsia="tr-TR"/>
              </w:rPr>
              <w:t xml:space="preserve"> </w:t>
            </w:r>
            <w:r w:rsidRPr="00A23740">
              <w:rPr>
                <w:b/>
                <w:bCs/>
                <w:color w:val="0000FF"/>
                <w:szCs w:val="24"/>
                <w:lang w:val="x-none" w:eastAsia="x-none"/>
              </w:rPr>
              <w:t>(1)</w:t>
            </w:r>
            <w:r w:rsidRPr="00A23740">
              <w:rPr>
                <w:rFonts w:eastAsia="Times New Roman"/>
                <w:b/>
                <w:bCs/>
                <w:color w:val="000000"/>
                <w:szCs w:val="24"/>
                <w:lang w:eastAsia="tr-TR"/>
              </w:rPr>
              <w:t xml:space="preserve"> </w:t>
            </w:r>
            <w:r w:rsidRPr="00A23740">
              <w:rPr>
                <w:rFonts w:eastAsia="Times New Roman"/>
                <w:color w:val="000000"/>
                <w:szCs w:val="24"/>
                <w:lang w:eastAsia="tr-TR"/>
              </w:rPr>
              <w:t xml:space="preserve">Üçüncü </w:t>
            </w:r>
            <w:r w:rsidRPr="00A23740">
              <w:rPr>
                <w:b/>
                <w:bCs/>
                <w:color w:val="0000FF"/>
                <w:szCs w:val="24"/>
                <w:lang w:val="x-none" w:eastAsia="x-none"/>
              </w:rPr>
              <w:t>kişi</w:t>
            </w:r>
            <w:r w:rsidRPr="00A23740">
              <w:rPr>
                <w:b/>
                <w:bCs/>
                <w:color w:val="0000FF"/>
                <w:szCs w:val="24"/>
                <w:lang w:eastAsia="x-none"/>
              </w:rPr>
              <w:t>,</w:t>
            </w:r>
            <w:r w:rsidRPr="00A23740">
              <w:rPr>
                <w:rFonts w:eastAsia="Times New Roman"/>
                <w:color w:val="000000"/>
                <w:szCs w:val="24"/>
                <w:lang w:eastAsia="tr-TR"/>
              </w:rPr>
              <w:t xml:space="preserve"> </w:t>
            </w:r>
            <w:r w:rsidRPr="00A23740">
              <w:rPr>
                <w:b/>
                <w:bCs/>
                <w:color w:val="0000FF"/>
                <w:szCs w:val="24"/>
                <w:lang w:val="x-none" w:eastAsia="x-none"/>
              </w:rPr>
              <w:t>haczedilerek</w:t>
            </w:r>
            <w:r w:rsidRPr="00A23740">
              <w:rPr>
                <w:rFonts w:eastAsia="Times New Roman"/>
                <w:color w:val="000000"/>
                <w:szCs w:val="24"/>
                <w:lang w:eastAsia="tr-TR"/>
              </w:rPr>
              <w:t xml:space="preserve"> kendisine bırakılan malları icra </w:t>
            </w:r>
            <w:r w:rsidRPr="00A23740">
              <w:rPr>
                <w:b/>
                <w:bCs/>
                <w:color w:val="0000FF"/>
                <w:szCs w:val="24"/>
                <w:lang w:val="x-none" w:eastAsia="x-none"/>
              </w:rPr>
              <w:t>ve</w:t>
            </w:r>
            <w:r w:rsidRPr="00A23740">
              <w:rPr>
                <w:b/>
                <w:color w:val="00CC00"/>
                <w:szCs w:val="24"/>
              </w:rPr>
              <w:t xml:space="preserve"> </w:t>
            </w:r>
            <w:r w:rsidRPr="00A23740">
              <w:rPr>
                <w:b/>
                <w:bCs/>
                <w:color w:val="0000FF"/>
                <w:szCs w:val="24"/>
                <w:lang w:val="x-none" w:eastAsia="x-none"/>
              </w:rPr>
              <w:t>iflas</w:t>
            </w:r>
            <w:r w:rsidRPr="00A23740">
              <w:rPr>
                <w:rFonts w:eastAsia="Times New Roman"/>
                <w:color w:val="000000"/>
                <w:szCs w:val="24"/>
                <w:lang w:eastAsia="tr-TR"/>
              </w:rPr>
              <w:t xml:space="preserve"> dairesin</w:t>
            </w:r>
            <w:r w:rsidRPr="00A23740">
              <w:rPr>
                <w:b/>
                <w:bCs/>
                <w:color w:val="0000FF"/>
                <w:szCs w:val="24"/>
                <w:lang w:val="x-none" w:eastAsia="x-none"/>
              </w:rPr>
              <w:t>ce</w:t>
            </w:r>
            <w:r w:rsidRPr="00A23740">
              <w:rPr>
                <w:rFonts w:eastAsia="Times New Roman"/>
                <w:color w:val="000000"/>
                <w:szCs w:val="24"/>
                <w:lang w:eastAsia="tr-TR"/>
              </w:rPr>
              <w:t xml:space="preserve"> istendiği anda</w:t>
            </w:r>
            <w:r w:rsidRPr="005D4042">
              <w:rPr>
                <w:rStyle w:val="YELChar"/>
                <w:color w:val="0000FF"/>
              </w:rPr>
              <w:t>,</w:t>
            </w:r>
            <w:r w:rsidRPr="00A23740">
              <w:rPr>
                <w:rFonts w:eastAsia="Times New Roman"/>
                <w:color w:val="000000"/>
                <w:szCs w:val="24"/>
                <w:lang w:eastAsia="tr-TR"/>
              </w:rPr>
              <w:t xml:space="preserve"> </w:t>
            </w:r>
            <w:r w:rsidRPr="00A23740">
              <w:rPr>
                <w:b/>
                <w:bCs/>
                <w:color w:val="0000FF"/>
                <w:szCs w:val="24"/>
                <w:lang w:val="x-none" w:eastAsia="x-none"/>
              </w:rPr>
              <w:t>teslim edilen</w:t>
            </w:r>
            <w:r w:rsidRPr="00A23740">
              <w:rPr>
                <w:b/>
                <w:bCs/>
                <w:color w:val="0000FF"/>
                <w:szCs w:val="24"/>
                <w:lang w:eastAsia="x-none"/>
              </w:rPr>
              <w:t xml:space="preserve"> </w:t>
            </w:r>
            <w:r w:rsidRPr="00A23740">
              <w:rPr>
                <w:b/>
                <w:bCs/>
                <w:color w:val="0000FF"/>
                <w:szCs w:val="24"/>
                <w:lang w:val="x-none" w:eastAsia="x-none"/>
              </w:rPr>
              <w:t>h</w:t>
            </w:r>
            <w:r w:rsidR="005D3278" w:rsidRPr="00A23740">
              <w:rPr>
                <w:b/>
                <w:bCs/>
                <w:color w:val="0000FF"/>
                <w:szCs w:val="24"/>
                <w:lang w:eastAsia="x-none"/>
              </w:rPr>
              <w:t>â</w:t>
            </w:r>
            <w:r w:rsidRPr="00A23740">
              <w:rPr>
                <w:b/>
                <w:bCs/>
                <w:color w:val="0000FF"/>
                <w:szCs w:val="24"/>
                <w:lang w:val="x-none" w:eastAsia="x-none"/>
              </w:rPr>
              <w:t>liyle</w:t>
            </w:r>
            <w:r w:rsidRPr="00A23740">
              <w:rPr>
                <w:rFonts w:eastAsia="Times New Roman"/>
                <w:color w:val="000000"/>
                <w:szCs w:val="24"/>
                <w:lang w:eastAsia="tr-TR"/>
              </w:rPr>
              <w:t xml:space="preserve"> iade </w:t>
            </w:r>
            <w:r w:rsidRPr="00A23740">
              <w:rPr>
                <w:b/>
                <w:bCs/>
                <w:color w:val="0000FF"/>
                <w:szCs w:val="24"/>
                <w:lang w:val="x-none" w:eastAsia="x-none"/>
              </w:rPr>
              <w:t>etmek zorundadır</w:t>
            </w:r>
            <w:r w:rsidRPr="00A23740">
              <w:rPr>
                <w:rFonts w:eastAsia="Times New Roman"/>
                <w:color w:val="000000"/>
                <w:szCs w:val="24"/>
                <w:lang w:eastAsia="tr-TR"/>
              </w:rPr>
              <w:t>.</w:t>
            </w:r>
          </w:p>
          <w:p w:rsidR="00A043AD" w:rsidRPr="00A23740" w:rsidRDefault="00A043AD" w:rsidP="00750F08">
            <w:pPr>
              <w:rPr>
                <w:rFonts w:eastAsia="Times New Roman"/>
                <w:color w:val="000000"/>
                <w:szCs w:val="24"/>
                <w:lang w:eastAsia="tr-TR"/>
              </w:rPr>
            </w:pPr>
          </w:p>
          <w:p w:rsidR="00A043AD" w:rsidRPr="00A23740" w:rsidRDefault="00A043AD" w:rsidP="00750F08">
            <w:pPr>
              <w:rPr>
                <w:rFonts w:eastAsia="Times New Roman"/>
                <w:color w:val="000000"/>
                <w:szCs w:val="24"/>
                <w:lang w:eastAsia="tr-TR"/>
              </w:rPr>
            </w:pPr>
            <w:r w:rsidRPr="00A23740">
              <w:rPr>
                <w:b/>
                <w:bCs/>
                <w:color w:val="0000FF"/>
                <w:szCs w:val="24"/>
                <w:lang w:val="x-none" w:eastAsia="x-none"/>
              </w:rPr>
              <w:t>(2)</w:t>
            </w:r>
            <w:r w:rsidRPr="00A23740">
              <w:rPr>
                <w:rFonts w:eastAsia="Times New Roman"/>
                <w:color w:val="000000"/>
                <w:szCs w:val="24"/>
                <w:lang w:eastAsia="tr-TR"/>
              </w:rPr>
              <w:t xml:space="preserve"> Bu </w:t>
            </w:r>
            <w:r w:rsidRPr="00A23740">
              <w:rPr>
                <w:b/>
                <w:bCs/>
                <w:color w:val="0000FF"/>
                <w:szCs w:val="24"/>
                <w:lang w:val="x-none" w:eastAsia="x-none"/>
              </w:rPr>
              <w:t>şekilde</w:t>
            </w:r>
            <w:r w:rsidRPr="00A23740">
              <w:rPr>
                <w:rFonts w:eastAsia="Times New Roman"/>
                <w:color w:val="000000"/>
                <w:szCs w:val="24"/>
                <w:lang w:eastAsia="tr-TR"/>
              </w:rPr>
              <w:t xml:space="preserve"> bırakılan malların</w:t>
            </w:r>
            <w:r w:rsidRPr="00FB2916">
              <w:rPr>
                <w:rStyle w:val="MaviChar"/>
              </w:rPr>
              <w:t>,</w:t>
            </w:r>
            <w:r w:rsidRPr="00A23740">
              <w:rPr>
                <w:rFonts w:eastAsia="Times New Roman"/>
                <w:color w:val="000000"/>
                <w:szCs w:val="24"/>
                <w:lang w:eastAsia="tr-TR"/>
              </w:rPr>
              <w:t xml:space="preserve"> kendisin</w:t>
            </w:r>
            <w:r w:rsidRPr="00A23740">
              <w:rPr>
                <w:b/>
                <w:bCs/>
                <w:color w:val="0000FF"/>
                <w:szCs w:val="24"/>
                <w:lang w:val="x-none" w:eastAsia="x-none"/>
              </w:rPr>
              <w:t>den kaynaklanmayan</w:t>
            </w:r>
            <w:r w:rsidRPr="00A23740">
              <w:rPr>
                <w:b/>
                <w:bCs/>
                <w:color w:val="0000FF"/>
                <w:szCs w:val="24"/>
                <w:lang w:val="x-none" w:eastAsia="tr-TR"/>
              </w:rPr>
              <w:t xml:space="preserve"> </w:t>
            </w:r>
            <w:r w:rsidRPr="00A23740">
              <w:rPr>
                <w:rFonts w:eastAsia="Times New Roman"/>
                <w:color w:val="000000"/>
                <w:szCs w:val="24"/>
                <w:lang w:eastAsia="tr-TR"/>
              </w:rPr>
              <w:t xml:space="preserve">bir sebepten dolayı </w:t>
            </w:r>
            <w:r w:rsidRPr="00A23740">
              <w:rPr>
                <w:b/>
                <w:bCs/>
                <w:color w:val="0000FF"/>
                <w:szCs w:val="24"/>
                <w:lang w:val="x-none" w:eastAsia="x-none"/>
              </w:rPr>
              <w:t xml:space="preserve">yok </w:t>
            </w:r>
            <w:r w:rsidRPr="00A23740">
              <w:rPr>
                <w:b/>
                <w:bCs/>
                <w:color w:val="0000FF"/>
                <w:szCs w:val="24"/>
                <w:lang w:eastAsia="x-none"/>
              </w:rPr>
              <w:t>olduğu</w:t>
            </w:r>
            <w:r w:rsidRPr="00A23740">
              <w:rPr>
                <w:rFonts w:eastAsia="Times New Roman"/>
                <w:color w:val="000000"/>
                <w:szCs w:val="24"/>
                <w:lang w:eastAsia="tr-TR"/>
              </w:rPr>
              <w:t xml:space="preserve"> veya </w:t>
            </w:r>
            <w:r w:rsidRPr="00A23740">
              <w:rPr>
                <w:b/>
                <w:bCs/>
                <w:color w:val="0000FF"/>
                <w:szCs w:val="24"/>
                <w:lang w:val="x-none" w:eastAsia="x-none"/>
              </w:rPr>
              <w:t xml:space="preserve">zarara </w:t>
            </w:r>
            <w:r w:rsidRPr="00A23740">
              <w:rPr>
                <w:b/>
                <w:bCs/>
                <w:color w:val="0000FF"/>
                <w:szCs w:val="24"/>
                <w:lang w:eastAsia="x-none"/>
              </w:rPr>
              <w:t>uğradığını</w:t>
            </w:r>
            <w:r w:rsidRPr="00A23740">
              <w:rPr>
                <w:rFonts w:eastAsia="Times New Roman"/>
                <w:color w:val="000000"/>
                <w:szCs w:val="24"/>
                <w:lang w:eastAsia="tr-TR"/>
              </w:rPr>
              <w:t xml:space="preserve"> ispat edem</w:t>
            </w:r>
            <w:r w:rsidRPr="00A23740">
              <w:rPr>
                <w:b/>
                <w:bCs/>
                <w:color w:val="0000FF"/>
                <w:szCs w:val="24"/>
                <w:lang w:val="x-none" w:eastAsia="x-none"/>
              </w:rPr>
              <w:t>e</w:t>
            </w:r>
            <w:r w:rsidRPr="00A23740">
              <w:rPr>
                <w:rFonts w:eastAsia="Times New Roman"/>
                <w:color w:val="000000"/>
                <w:szCs w:val="24"/>
                <w:lang w:eastAsia="tr-TR"/>
              </w:rPr>
              <w:t xml:space="preserve">yen üçüncü </w:t>
            </w:r>
            <w:r w:rsidRPr="00A23740">
              <w:rPr>
                <w:b/>
                <w:bCs/>
                <w:color w:val="0000FF"/>
                <w:szCs w:val="24"/>
                <w:lang w:val="x-none" w:eastAsia="x-none"/>
              </w:rPr>
              <w:t>kişi</w:t>
            </w:r>
            <w:r w:rsidRPr="00A23740">
              <w:rPr>
                <w:b/>
                <w:bCs/>
                <w:color w:val="0000FF"/>
                <w:szCs w:val="24"/>
                <w:lang w:eastAsia="x-none"/>
              </w:rPr>
              <w:t>den</w:t>
            </w:r>
            <w:r w:rsidRPr="00A23740">
              <w:rPr>
                <w:b/>
                <w:bCs/>
                <w:color w:val="0000FF"/>
                <w:szCs w:val="24"/>
                <w:lang w:val="x-none" w:eastAsia="x-none"/>
              </w:rPr>
              <w:t>,</w:t>
            </w:r>
            <w:r w:rsidRPr="00A23740">
              <w:rPr>
                <w:rFonts w:eastAsia="Times New Roman"/>
                <w:color w:val="000000"/>
                <w:szCs w:val="24"/>
                <w:lang w:eastAsia="tr-TR"/>
              </w:rPr>
              <w:t xml:space="preserve"> </w:t>
            </w:r>
            <w:r w:rsidRPr="00A23740">
              <w:rPr>
                <w:b/>
                <w:bCs/>
                <w:color w:val="0000FF"/>
                <w:szCs w:val="24"/>
                <w:lang w:val="x-none" w:eastAsia="x-none"/>
              </w:rPr>
              <w:t>malın</w:t>
            </w:r>
            <w:r w:rsidRPr="00A23740">
              <w:rPr>
                <w:rFonts w:eastAsia="Times New Roman"/>
                <w:color w:val="000000"/>
                <w:szCs w:val="24"/>
                <w:lang w:eastAsia="tr-TR"/>
              </w:rPr>
              <w:t xml:space="preserve"> </w:t>
            </w:r>
            <w:r w:rsidRPr="00A23740">
              <w:rPr>
                <w:b/>
                <w:bCs/>
                <w:color w:val="0000FF"/>
                <w:szCs w:val="24"/>
                <w:lang w:val="x-none" w:eastAsia="x-none"/>
              </w:rPr>
              <w:t>daha önce</w:t>
            </w:r>
            <w:r w:rsidRPr="00A23740">
              <w:rPr>
                <w:rFonts w:eastAsia="Times New Roman"/>
                <w:color w:val="000000"/>
                <w:szCs w:val="24"/>
                <w:lang w:eastAsia="tr-TR"/>
              </w:rPr>
              <w:t xml:space="preserve"> </w:t>
            </w:r>
            <w:r w:rsidRPr="005D4042">
              <w:rPr>
                <w:rStyle w:val="YELChar"/>
                <w:color w:val="0000FF"/>
              </w:rPr>
              <w:t>tespit</w:t>
            </w:r>
            <w:r w:rsidRPr="00A23740">
              <w:rPr>
                <w:rFonts w:eastAsia="Times New Roman"/>
                <w:color w:val="000000"/>
                <w:szCs w:val="24"/>
                <w:lang w:eastAsia="tr-TR"/>
              </w:rPr>
              <w:t xml:space="preserve"> edilmiş olan </w:t>
            </w:r>
            <w:r w:rsidRPr="00A23740">
              <w:rPr>
                <w:b/>
                <w:bCs/>
                <w:color w:val="0000FF"/>
                <w:szCs w:val="24"/>
                <w:lang w:val="x-none" w:eastAsia="x-none"/>
              </w:rPr>
              <w:t>değeri</w:t>
            </w:r>
            <w:r w:rsidRPr="00A23740">
              <w:rPr>
                <w:rFonts w:eastAsia="Times New Roman"/>
                <w:color w:val="000000"/>
                <w:szCs w:val="24"/>
                <w:lang w:eastAsia="tr-TR"/>
              </w:rPr>
              <w:t xml:space="preserve">, hükme </w:t>
            </w:r>
            <w:r w:rsidRPr="00A23740">
              <w:rPr>
                <w:b/>
                <w:bCs/>
                <w:color w:val="0000FF"/>
                <w:szCs w:val="24"/>
                <w:lang w:val="x-none" w:eastAsia="x-none"/>
              </w:rPr>
              <w:t>gerek</w:t>
            </w:r>
            <w:r w:rsidRPr="00A23740">
              <w:rPr>
                <w:rFonts w:eastAsia="Times New Roman"/>
                <w:color w:val="000000"/>
                <w:szCs w:val="24"/>
                <w:lang w:eastAsia="tr-TR"/>
              </w:rPr>
              <w:t xml:space="preserve"> kalmaksızın icra </w:t>
            </w:r>
            <w:r w:rsidRPr="00A23740">
              <w:rPr>
                <w:b/>
                <w:bCs/>
                <w:color w:val="0000FF"/>
                <w:szCs w:val="24"/>
                <w:lang w:val="x-none" w:eastAsia="x-none"/>
              </w:rPr>
              <w:t>ve</w:t>
            </w:r>
            <w:r w:rsidRPr="00A23740">
              <w:rPr>
                <w:b/>
                <w:color w:val="00CC00"/>
                <w:szCs w:val="24"/>
              </w:rPr>
              <w:t xml:space="preserve"> </w:t>
            </w:r>
            <w:r w:rsidRPr="00A23740">
              <w:rPr>
                <w:b/>
                <w:bCs/>
                <w:color w:val="0000FF"/>
                <w:szCs w:val="24"/>
                <w:lang w:val="x-none" w:eastAsia="x-none"/>
              </w:rPr>
              <w:t>iflas</w:t>
            </w:r>
            <w:r w:rsidRPr="00A23740">
              <w:rPr>
                <w:rFonts w:eastAsia="Times New Roman"/>
                <w:color w:val="000000"/>
                <w:szCs w:val="24"/>
                <w:lang w:eastAsia="tr-TR"/>
              </w:rPr>
              <w:t xml:space="preserve"> dairesince resen tazmin ettirilir.</w:t>
            </w:r>
          </w:p>
          <w:p w:rsidR="00B20094" w:rsidRPr="00A23740" w:rsidRDefault="00B20094" w:rsidP="00750F08">
            <w:pPr>
              <w:rPr>
                <w:rFonts w:eastAsia="Times New Roman"/>
                <w:color w:val="000000"/>
                <w:szCs w:val="24"/>
                <w:lang w:eastAsia="tr-TR"/>
              </w:rPr>
            </w:pPr>
          </w:p>
          <w:p w:rsidR="00A043AD" w:rsidRPr="00A23740" w:rsidRDefault="00A043AD" w:rsidP="00750F08">
            <w:pPr>
              <w:rPr>
                <w:b/>
                <w:bCs/>
                <w:color w:val="0000FF"/>
                <w:szCs w:val="24"/>
                <w:lang w:val="x-none" w:eastAsia="x-none"/>
              </w:rPr>
            </w:pPr>
          </w:p>
          <w:p w:rsidR="00A043AD" w:rsidRPr="00A23740" w:rsidRDefault="00A043AD" w:rsidP="001C3ADB">
            <w:pPr>
              <w:rPr>
                <w:rFonts w:eastAsia="Times New Roman"/>
                <w:b/>
                <w:szCs w:val="24"/>
                <w:lang w:eastAsia="tr-TR"/>
              </w:rPr>
            </w:pPr>
            <w:r w:rsidRPr="00A23740">
              <w:rPr>
                <w:b/>
                <w:bCs/>
                <w:color w:val="0000FF"/>
                <w:szCs w:val="24"/>
                <w:lang w:val="x-none" w:eastAsia="x-none"/>
              </w:rPr>
              <w:t>(3)</w:t>
            </w:r>
            <w:r w:rsidRPr="00A23740">
              <w:rPr>
                <w:rFonts w:eastAsia="Times New Roman"/>
                <w:color w:val="000000"/>
                <w:szCs w:val="24"/>
                <w:lang w:eastAsia="tr-TR"/>
              </w:rPr>
              <w:t xml:space="preserve"> Bu </w:t>
            </w:r>
            <w:r w:rsidRPr="00A23740">
              <w:rPr>
                <w:b/>
                <w:bCs/>
                <w:color w:val="0000FF"/>
                <w:szCs w:val="24"/>
                <w:lang w:val="x-none" w:eastAsia="x-none"/>
              </w:rPr>
              <w:t>değeri</w:t>
            </w:r>
            <w:r w:rsidRPr="00A23740">
              <w:rPr>
                <w:rFonts w:eastAsia="Times New Roman"/>
                <w:color w:val="000000"/>
                <w:szCs w:val="24"/>
                <w:lang w:eastAsia="tr-TR"/>
              </w:rPr>
              <w:t xml:space="preserve"> tazmin </w:t>
            </w:r>
            <w:r w:rsidRPr="00A23740">
              <w:rPr>
                <w:b/>
                <w:bCs/>
                <w:color w:val="0000FF"/>
                <w:szCs w:val="24"/>
                <w:lang w:val="x-none" w:eastAsia="x-none"/>
              </w:rPr>
              <w:t>etmekle yükümlü</w:t>
            </w:r>
            <w:r w:rsidRPr="00A23740">
              <w:rPr>
                <w:rFonts w:eastAsia="Times New Roman"/>
                <w:color w:val="000000"/>
                <w:szCs w:val="24"/>
                <w:lang w:eastAsia="tr-TR"/>
              </w:rPr>
              <w:t xml:space="preserve"> olanlar, icra </w:t>
            </w:r>
            <w:r w:rsidRPr="00A23740">
              <w:rPr>
                <w:b/>
                <w:bCs/>
                <w:color w:val="0000FF"/>
                <w:szCs w:val="24"/>
                <w:lang w:val="x-none" w:eastAsia="x-none"/>
              </w:rPr>
              <w:t>ve</w:t>
            </w:r>
            <w:r w:rsidRPr="00A23740">
              <w:rPr>
                <w:b/>
                <w:color w:val="00CC00"/>
                <w:szCs w:val="24"/>
              </w:rPr>
              <w:t xml:space="preserve"> </w:t>
            </w:r>
            <w:r w:rsidRPr="00A23740">
              <w:rPr>
                <w:b/>
                <w:bCs/>
                <w:color w:val="0000FF"/>
                <w:szCs w:val="24"/>
                <w:lang w:val="x-none" w:eastAsia="x-none"/>
              </w:rPr>
              <w:t>iflas</w:t>
            </w:r>
            <w:r w:rsidRPr="00A23740">
              <w:rPr>
                <w:rFonts w:eastAsia="Times New Roman"/>
                <w:color w:val="000000"/>
                <w:szCs w:val="24"/>
                <w:lang w:eastAsia="tr-TR"/>
              </w:rPr>
              <w:t xml:space="preserve"> dairesinin kararına karşı icra </w:t>
            </w:r>
            <w:r w:rsidRPr="00A23740">
              <w:rPr>
                <w:b/>
                <w:bCs/>
                <w:color w:val="0000FF"/>
                <w:szCs w:val="24"/>
                <w:lang w:val="x-none" w:eastAsia="x-none"/>
              </w:rPr>
              <w:t>hukuk</w:t>
            </w:r>
            <w:r w:rsidRPr="00A23740">
              <w:rPr>
                <w:rFonts w:eastAsia="Times New Roman"/>
                <w:color w:val="000000"/>
                <w:szCs w:val="24"/>
                <w:lang w:eastAsia="tr-TR"/>
              </w:rPr>
              <w:t xml:space="preserve"> mahkemesine, süresi içinde şikâyette </w:t>
            </w:r>
            <w:r w:rsidRPr="005D4042">
              <w:rPr>
                <w:rStyle w:val="YELChar"/>
                <w:color w:val="0000FF"/>
              </w:rPr>
              <w:t>bulunabilirler</w:t>
            </w:r>
            <w:r w:rsidRPr="00A23740">
              <w:rPr>
                <w:rFonts w:eastAsia="Times New Roman"/>
                <w:color w:val="000000"/>
                <w:szCs w:val="24"/>
                <w:lang w:eastAsia="tr-TR"/>
              </w:rPr>
              <w:t>.</w:t>
            </w:r>
          </w:p>
          <w:p w:rsidR="00A043AD" w:rsidRPr="00A23740" w:rsidRDefault="00A043AD" w:rsidP="00663097">
            <w:pPr>
              <w:widowControl w:val="0"/>
              <w:suppressLineNumbers/>
              <w:tabs>
                <w:tab w:val="left" w:pos="540"/>
              </w:tabs>
              <w:rPr>
                <w:rFonts w:eastAsia="Times New Roman"/>
                <w:b/>
                <w:color w:val="FF0000"/>
                <w:szCs w:val="24"/>
                <w:lang w:eastAsia="tr-TR"/>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x-none"/>
              </w:rPr>
              <w:t>MADDE 546-</w:t>
            </w:r>
            <w:r w:rsidRPr="00A23740">
              <w:rPr>
                <w:rFonts w:eastAsia="Times New Roman"/>
                <w:szCs w:val="24"/>
                <w:lang w:eastAsia="x-none"/>
              </w:rPr>
              <w:t xml:space="preserve"> </w:t>
            </w:r>
            <w:r w:rsidRPr="00A23740">
              <w:rPr>
                <w:rFonts w:eastAsia="Times New Roman"/>
                <w:szCs w:val="24"/>
                <w:lang w:eastAsia="tr-TR"/>
              </w:rPr>
              <w:t xml:space="preserve">Maddeyle, üçüncü kişilere bırakılan mallara ilişkin hususlar düzenlenmektedir. Hüküm, 2004 sayılı Kanunun </w:t>
            </w:r>
            <w:r w:rsidRPr="00A23740">
              <w:rPr>
                <w:rFonts w:eastAsia="Times New Roman"/>
                <w:szCs w:val="24"/>
                <w:lang w:eastAsia="x-none"/>
              </w:rPr>
              <w:t>358 inci maddesine karşılık gelmektedir.</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Birinci fıkrayla, üçüncü kişinin, haczedilerek kendisine bırakılan malları icra ve iflas dairesince</w:t>
            </w:r>
            <w:r w:rsidR="00F96839" w:rsidRPr="00A23740">
              <w:rPr>
                <w:rFonts w:eastAsia="Times New Roman"/>
                <w:szCs w:val="24"/>
                <w:lang w:eastAsia="x-none"/>
              </w:rPr>
              <w:t xml:space="preserve"> istendiği anda teslim edilen hâ</w:t>
            </w:r>
            <w:r w:rsidRPr="00A23740">
              <w:rPr>
                <w:rFonts w:eastAsia="Times New Roman"/>
                <w:szCs w:val="24"/>
                <w:lang w:eastAsia="x-none"/>
              </w:rPr>
              <w:t>liyle iade etmek zorunda olduğu düzenlenmektedir.</w:t>
            </w:r>
          </w:p>
          <w:p w:rsidR="00A043AD" w:rsidRPr="00A23740" w:rsidRDefault="00A043AD" w:rsidP="00750F08">
            <w:pPr>
              <w:ind w:firstLine="709"/>
              <w:rPr>
                <w:rFonts w:eastAsia="Times New Roman"/>
                <w:szCs w:val="24"/>
                <w:lang w:eastAsia="x-none"/>
              </w:rPr>
            </w:pPr>
            <w:r w:rsidRPr="00A23740">
              <w:rPr>
                <w:rFonts w:eastAsia="Times New Roman"/>
                <w:szCs w:val="24"/>
                <w:lang w:eastAsia="x-none"/>
              </w:rPr>
              <w:t>İkinci fıkrayla, birinci fıkra uyarınca haczedilen mallar kendisine bırakılan üçüncü kişinin hukuki sorumluluğu hükme bağlanmaktadır. Buna göre, malların kendisinden kaynaklanmayan bir sebepten dolayı yok olduğunu veya zarara uğradığını ispat edemeyen üçüncü kişiden, malın daha önce tespit edilmiş olan değeri, hükme gerek kalmaksızın icra ve iflas dairesince resen tazmin ettirilir.</w:t>
            </w:r>
          </w:p>
          <w:p w:rsidR="00A043AD" w:rsidRPr="00A23740" w:rsidRDefault="00A043AD" w:rsidP="00750F08">
            <w:pPr>
              <w:ind w:firstLine="709"/>
              <w:rPr>
                <w:rFonts w:eastAsia="Times New Roman"/>
                <w:szCs w:val="24"/>
                <w:lang w:eastAsia="tr-TR"/>
              </w:rPr>
            </w:pPr>
            <w:r w:rsidRPr="00A23740">
              <w:rPr>
                <w:rFonts w:eastAsia="Times New Roman"/>
                <w:szCs w:val="24"/>
                <w:lang w:eastAsia="x-none"/>
              </w:rPr>
              <w:t xml:space="preserve">Üçüncü fıkrayla, ikinci fıkra uyarınca malın değerini tazmin etmekle yükümlü olanların, icra ve iflas dairesinin kararına karşı icra hukuk mahkemesine, süresi içinde şikâyette </w:t>
            </w:r>
            <w:r w:rsidRPr="005D4042">
              <w:rPr>
                <w:rFonts w:eastAsia="Times New Roman"/>
                <w:szCs w:val="24"/>
                <w:lang w:eastAsia="x-none"/>
              </w:rPr>
              <w:t>bulunabilecekleri</w:t>
            </w:r>
            <w:r w:rsidRPr="00A23740">
              <w:rPr>
                <w:rFonts w:eastAsia="Times New Roman"/>
                <w:szCs w:val="24"/>
                <w:lang w:eastAsia="x-none"/>
              </w:rPr>
              <w:t xml:space="preserve"> belirtilmektedir.</w:t>
            </w:r>
          </w:p>
          <w:p w:rsidR="00A043AD" w:rsidRPr="00A23740" w:rsidRDefault="00A043AD" w:rsidP="00955D60">
            <w:pPr>
              <w:rPr>
                <w:rFonts w:eastAsia="Arial Unicode MS"/>
                <w:szCs w:val="24"/>
                <w:lang w:eastAsia="x-none"/>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İcra dairelerinin muhabereleri</w:t>
            </w:r>
            <w:r w:rsidRPr="00A23740">
              <w:rPr>
                <w:b/>
                <w:bCs/>
                <w:strike/>
                <w:color w:val="FF0000"/>
                <w:szCs w:val="24"/>
                <w:lang w:val="x-none" w:eastAsia="x-none"/>
              </w:rPr>
              <w:t>:</w:t>
            </w:r>
          </w:p>
          <w:p w:rsidR="00A043AD" w:rsidRPr="00A23740" w:rsidRDefault="00A043AD" w:rsidP="00750F08">
            <w:pPr>
              <w:tabs>
                <w:tab w:val="left" w:pos="567"/>
              </w:tabs>
              <w:rPr>
                <w:rFonts w:eastAsia="Times New Roman"/>
                <w:b/>
                <w:bCs/>
                <w:i/>
                <w:iCs/>
                <w:strike/>
                <w:color w:val="000000"/>
                <w:szCs w:val="24"/>
                <w:lang w:val="x-none" w:eastAsia="tr-TR"/>
              </w:rPr>
            </w:pPr>
            <w:r w:rsidRPr="00A23740">
              <w:rPr>
                <w:b/>
                <w:bCs/>
                <w:strike/>
                <w:color w:val="FF0000"/>
                <w:szCs w:val="24"/>
                <w:lang w:val="x-none" w:eastAsia="x-none"/>
              </w:rPr>
              <w:t>Madde 359 –</w:t>
            </w:r>
            <w:r w:rsidRPr="00A23740">
              <w:rPr>
                <w:rFonts w:eastAsia="Times New Roman"/>
                <w:b/>
                <w:bCs/>
                <w:strike/>
                <w:color w:val="FF0000"/>
                <w:szCs w:val="24"/>
                <w:lang w:val="x-none" w:eastAsia="x-none"/>
              </w:rPr>
              <w:t> İcra memurları yaptıkları muameleden dolayı her daire ve makam ile doğrudan doğruya muhabere edebilirler.</w:t>
            </w:r>
          </w:p>
          <w:p w:rsidR="00A043AD" w:rsidRPr="00A23740" w:rsidRDefault="00A043AD" w:rsidP="00750F08">
            <w:pPr>
              <w:rPr>
                <w:rFonts w:eastAsia="Times New Roman"/>
                <w:b/>
                <w:szCs w:val="24"/>
                <w:lang w:eastAsia="tr-TR"/>
              </w:rPr>
            </w:pPr>
          </w:p>
        </w:tc>
        <w:tc>
          <w:tcPr>
            <w:tcW w:w="2500" w:type="pct"/>
          </w:tcPr>
          <w:p w:rsidR="00A043AD" w:rsidRPr="00A23740" w:rsidRDefault="00A043AD" w:rsidP="00750F08">
            <w:pPr>
              <w:pStyle w:val="KIRMIZI"/>
              <w:rPr>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Haczedilen malların istinabe suretiyle satışı</w:t>
            </w:r>
            <w:r w:rsidRPr="00A23740">
              <w:rPr>
                <w:b/>
                <w:bCs/>
                <w:strike/>
                <w:color w:val="FF0000"/>
                <w:szCs w:val="24"/>
                <w:lang w:val="x-none" w:eastAsia="x-none"/>
              </w:rPr>
              <w:t>:</w:t>
            </w:r>
          </w:p>
          <w:p w:rsidR="00A043AD" w:rsidRPr="00A23740" w:rsidRDefault="00A043AD" w:rsidP="00750F08">
            <w:pPr>
              <w:tabs>
                <w:tab w:val="left" w:pos="567"/>
              </w:tabs>
              <w:rPr>
                <w:rFonts w:eastAsia="Times New Roman"/>
                <w:b/>
                <w:bCs/>
                <w:strike/>
                <w:color w:val="FF0000"/>
                <w:szCs w:val="24"/>
                <w:lang w:val="x-none" w:eastAsia="x-none"/>
              </w:rPr>
            </w:pPr>
            <w:r w:rsidRPr="00A23740">
              <w:rPr>
                <w:b/>
                <w:bCs/>
                <w:strike/>
                <w:color w:val="FF0000"/>
                <w:szCs w:val="24"/>
                <w:lang w:val="x-none" w:eastAsia="x-none"/>
              </w:rPr>
              <w:t>Madde 360 –</w:t>
            </w:r>
            <w:r w:rsidRPr="00A23740">
              <w:rPr>
                <w:rFonts w:eastAsia="Times New Roman"/>
                <w:b/>
                <w:bCs/>
                <w:strike/>
                <w:color w:val="FF0000"/>
                <w:szCs w:val="24"/>
                <w:lang w:val="x-none" w:eastAsia="x-none"/>
              </w:rPr>
              <w:t> Haczedilen mallar başka bir yerde bulunduğu takdirde satış, istinabe suretiyle yapılır. Artırma ve ihaleye mütedair ihtilaflar istinabe olunan icra dairesinin tabi bulunduğu icra mahkemesince hallolunur.</w:t>
            </w:r>
          </w:p>
          <w:p w:rsidR="00A043AD" w:rsidRPr="00A23740" w:rsidRDefault="00A043AD" w:rsidP="00750F08">
            <w:pPr>
              <w:widowControl w:val="0"/>
              <w:suppressLineNumbers/>
              <w:tabs>
                <w:tab w:val="left" w:pos="540"/>
              </w:tabs>
              <w:rPr>
                <w:rFonts w:eastAsia="Times New Roman"/>
                <w:b/>
                <w:szCs w:val="24"/>
                <w:lang w:eastAsia="tr-TR"/>
              </w:rPr>
            </w:pPr>
          </w:p>
        </w:tc>
        <w:tc>
          <w:tcPr>
            <w:tcW w:w="2500" w:type="pct"/>
          </w:tcPr>
          <w:p w:rsidR="00A043AD" w:rsidRPr="00A23740" w:rsidRDefault="00A043AD" w:rsidP="00750F08">
            <w:pPr>
              <w:pStyle w:val="KIRMIZI"/>
              <w:rPr>
                <w:lang w:eastAsia="tr-TR"/>
              </w:rPr>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Fazla verilen paranın geri alınması</w:t>
            </w:r>
            <w:r w:rsidRPr="00A23740">
              <w:rPr>
                <w:b/>
                <w:bCs/>
                <w:strike/>
                <w:color w:val="FF0000"/>
                <w:szCs w:val="24"/>
                <w:lang w:val="x-none" w:eastAsia="x-none"/>
              </w:rPr>
              <w:t>:</w:t>
            </w:r>
          </w:p>
          <w:p w:rsidR="00A043AD" w:rsidRPr="00A23740" w:rsidRDefault="00A043AD" w:rsidP="00750F08">
            <w:pPr>
              <w:tabs>
                <w:tab w:val="left" w:pos="567"/>
              </w:tabs>
              <w:rPr>
                <w:rFonts w:eastAsia="Times New Roman"/>
                <w:b/>
                <w:bCs/>
                <w:strike/>
                <w:color w:val="FF0000"/>
                <w:szCs w:val="24"/>
                <w:lang w:eastAsia="x-none"/>
              </w:rPr>
            </w:pPr>
            <w:r w:rsidRPr="00A23740">
              <w:rPr>
                <w:b/>
                <w:bCs/>
                <w:strike/>
                <w:color w:val="FF0000"/>
                <w:szCs w:val="24"/>
                <w:lang w:val="x-none" w:eastAsia="x-none"/>
              </w:rPr>
              <w:t>Madde 361 –</w:t>
            </w:r>
            <w:r w:rsidRPr="00A23740">
              <w:rPr>
                <w:rFonts w:eastAsia="Times New Roman"/>
                <w:b/>
                <w:bCs/>
                <w:strike/>
                <w:color w:val="FF0000"/>
                <w:szCs w:val="24"/>
                <w:lang w:val="x-none" w:eastAsia="x-none"/>
              </w:rPr>
              <w:t> İcra dairelerince borçludan fazla para tahsil olunarak alacaklıya verildiği yahut yanlışlıkla bir tarafa para tediye olunduğu hesap neticesinde anlaşılırsa verilen para ayrıca hükme hacet kalmaksızın o kimseden geri alınır.</w:t>
            </w:r>
          </w:p>
          <w:p w:rsidR="00A043AD" w:rsidRPr="00A23740" w:rsidRDefault="00A043AD" w:rsidP="00750F08">
            <w:pPr>
              <w:rPr>
                <w:rFonts w:eastAsia="Times New Roman"/>
                <w:i/>
                <w:iCs/>
                <w:color w:val="000000"/>
                <w:szCs w:val="24"/>
                <w:lang w:eastAsia="tr-TR"/>
              </w:rPr>
            </w:pPr>
          </w:p>
        </w:tc>
        <w:tc>
          <w:tcPr>
            <w:tcW w:w="2500" w:type="pct"/>
          </w:tcPr>
          <w:p w:rsidR="00A043AD" w:rsidRPr="00A23740" w:rsidRDefault="00A043AD" w:rsidP="00750F08">
            <w:pPr>
              <w:pStyle w:val="KIRMIZI"/>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Emanetler hakkında zamanaşımı</w:t>
            </w:r>
            <w:r w:rsidRPr="00A23740">
              <w:rPr>
                <w:b/>
                <w:bCs/>
                <w:strike/>
                <w:color w:val="FF0000"/>
                <w:szCs w:val="24"/>
                <w:lang w:val="x-none" w:eastAsia="x-none"/>
              </w:rPr>
              <w:t>:</w:t>
            </w:r>
          </w:p>
          <w:p w:rsidR="00A043AD" w:rsidRDefault="00A043AD" w:rsidP="00750F08">
            <w:pPr>
              <w:tabs>
                <w:tab w:val="left" w:pos="567"/>
              </w:tabs>
              <w:rPr>
                <w:rFonts w:eastAsia="Times New Roman"/>
                <w:b/>
                <w:bCs/>
                <w:strike/>
                <w:color w:val="FF0000"/>
                <w:szCs w:val="24"/>
                <w:lang w:val="x-none" w:eastAsia="x-none"/>
              </w:rPr>
            </w:pPr>
            <w:r w:rsidRPr="00A23740">
              <w:rPr>
                <w:b/>
                <w:bCs/>
                <w:strike/>
                <w:color w:val="FF0000"/>
                <w:szCs w:val="24"/>
                <w:lang w:val="x-none" w:eastAsia="x-none"/>
              </w:rPr>
              <w:t>Madde 362 –</w:t>
            </w:r>
            <w:r w:rsidRPr="00A23740">
              <w:rPr>
                <w:rFonts w:eastAsia="Times New Roman"/>
                <w:b/>
                <w:bCs/>
                <w:strike/>
                <w:color w:val="FF0000"/>
                <w:szCs w:val="24"/>
                <w:lang w:val="x-none" w:eastAsia="x-none"/>
              </w:rPr>
              <w:t> İcra veznesine tevdi yahut dairece tahsil olunan para veya icra muamelesi sebebiyle hıfzedilmekte olan eşya tevdi veya tahsil yahut hıfız tarihinden itibaren on seneye kadar alakadarları tarafından müracaat olunmazsa talep hakkı Hazine lehine düşer.</w:t>
            </w:r>
          </w:p>
          <w:p w:rsidR="00955D60" w:rsidRPr="00A23740" w:rsidRDefault="00955D60" w:rsidP="00750F08">
            <w:pPr>
              <w:tabs>
                <w:tab w:val="left" w:pos="567"/>
              </w:tabs>
              <w:rPr>
                <w:rFonts w:eastAsia="Times New Roman"/>
                <w:b/>
                <w:bCs/>
                <w:strike/>
                <w:color w:val="FF0000"/>
                <w:szCs w:val="24"/>
                <w:lang w:val="x-none" w:eastAsia="x-none"/>
              </w:rPr>
            </w:pPr>
          </w:p>
        </w:tc>
        <w:tc>
          <w:tcPr>
            <w:tcW w:w="2500" w:type="pct"/>
          </w:tcPr>
          <w:p w:rsidR="00A043AD" w:rsidRPr="00A23740" w:rsidRDefault="00A043AD" w:rsidP="00750F08">
            <w:pPr>
              <w:pStyle w:val="KIRMIZI"/>
              <w:rPr>
                <w:i/>
                <w:iCs/>
                <w:color w:val="000000"/>
                <w:lang w:eastAsia="tr-TR"/>
              </w:rPr>
            </w:pPr>
          </w:p>
        </w:tc>
      </w:tr>
      <w:tr w:rsidR="00A043AD" w:rsidRPr="00A23740" w:rsidTr="00750F08">
        <w:tc>
          <w:tcPr>
            <w:tcW w:w="2500" w:type="pct"/>
          </w:tcPr>
          <w:p w:rsidR="00A043AD" w:rsidRPr="00A23740" w:rsidRDefault="00A043AD" w:rsidP="00955D60">
            <w:pPr>
              <w:widowControl w:val="0"/>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Ek Madde 2- (Ek: 6/2/2014-6518/2 md.)</w:t>
            </w:r>
          </w:p>
          <w:p w:rsidR="00A043AD" w:rsidRPr="00A23740" w:rsidRDefault="00A043AD" w:rsidP="00955D60">
            <w:pPr>
              <w:widowControl w:val="0"/>
              <w:tabs>
                <w:tab w:val="left" w:pos="567"/>
              </w:tabs>
              <w:rPr>
                <w:rFonts w:eastAsia="Times New Roman"/>
                <w:b/>
                <w:bCs/>
                <w:strike/>
                <w:color w:val="FF0000"/>
                <w:szCs w:val="24"/>
                <w:lang w:eastAsia="x-none"/>
              </w:rPr>
            </w:pPr>
            <w:r w:rsidRPr="00A23740">
              <w:rPr>
                <w:rFonts w:eastAsia="Times New Roman"/>
                <w:b/>
                <w:bCs/>
                <w:strike/>
                <w:color w:val="FF0000"/>
                <w:szCs w:val="24"/>
                <w:lang w:val="x-none" w:eastAsia="x-none"/>
              </w:rPr>
              <w:t>Türkiye Cumhuriyeti adına 16/11/2001 tarihinde Cape Town’da imzalanan ve 10/3/2011 tarihli ve 6192 sayılı Kanunla onaylanması uygun bulunan “Taşınır Donanım Üzerindeki Uluslararası Teminatlar Hakkında Sözleşme” ve “Taşınır Donanım Üzerindeki Uluslararası Teminatlar Hakkında Sözleşmeye İlişkin Hava Aracı Donanımına Özgü Konulara Dair Protokol” çerçevesinde, “Taşınır Donanım Üzerindeki Uluslararası Teminatlar Hakkında Sözleşme”nin 8 inci maddesinin birinci fıkrasının (a) bendi kapsamında haklarını kullanan güvence lehtarı ve 10 uncu maddesinin birinci fıkrasının (a) bendi kapsamında haklarını kullanan şartlı satıcı veya kiralayan, herhangi bir yargı kararı aranmaksızın, hak sahibi olduğunu gösteren ve Sivil Havacılık Genel Müdürlüğü tarafından düzenlenecek tescil belgesiyle Ankara İcra Dairesine başvurarak, tercih ettiği hakkın yerine getirilmesini talep edebilir.</w:t>
            </w:r>
          </w:p>
          <w:p w:rsidR="00A043AD" w:rsidRPr="00A23740" w:rsidRDefault="00A043AD" w:rsidP="00955D60">
            <w:pPr>
              <w:widowControl w:val="0"/>
              <w:tabs>
                <w:tab w:val="left" w:pos="567"/>
              </w:tabs>
              <w:rPr>
                <w:rFonts w:eastAsia="Times New Roman"/>
                <w:b/>
                <w:bCs/>
                <w:strike/>
                <w:color w:val="FF0000"/>
                <w:szCs w:val="24"/>
                <w:lang w:val="x-none" w:eastAsia="x-none"/>
              </w:rPr>
            </w:pPr>
          </w:p>
          <w:p w:rsidR="00A043AD" w:rsidRPr="00A23740" w:rsidRDefault="00A043AD" w:rsidP="00955D60">
            <w:pPr>
              <w:widowControl w:val="0"/>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Talep üzerine icra müdürü tarafından başkaca herhangi bir araştırma yapılmaksızın, hak sahibi lehine üzerinde güvence tesis edilen nesnenin zilyetliği veya kontrolünün devrine ilişkin karar verilir ve karar borçluya tebliğ edilir. Tebliğ tarihinden itibaren üç iş günü içinde borçlu taraf, bu emri yerine getirmezse icra müdürü, Sözleşme’nin anılan 8 inci ve 10 uncu maddeleri çerçevesinde gereğini yerine getirmesi için almış olduğu kararı Sivil Havacılık Genel Müdürlüğüne gönderir.</w:t>
            </w:r>
          </w:p>
          <w:p w:rsidR="00A043AD" w:rsidRPr="00A23740" w:rsidRDefault="00A043AD" w:rsidP="00955D60">
            <w:pPr>
              <w:widowControl w:val="0"/>
              <w:tabs>
                <w:tab w:val="left" w:pos="567"/>
              </w:tabs>
              <w:rPr>
                <w:rFonts w:eastAsia="Times New Roman"/>
                <w:b/>
                <w:bCs/>
                <w:strike/>
                <w:color w:val="FF0000"/>
                <w:szCs w:val="24"/>
                <w:lang w:val="x-none" w:eastAsia="x-none"/>
              </w:rPr>
            </w:pPr>
          </w:p>
          <w:p w:rsidR="00A043AD" w:rsidRPr="00A23740" w:rsidRDefault="00A043AD" w:rsidP="00955D60">
            <w:pPr>
              <w:widowControl w:val="0"/>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Bu madde gereğince İcra Dairesince yapılan işlemler nedeniyle, 492 sayılı Harçlar Kanununun hükümlerine göre 10.000 Türk Lirası maktu harç dışında herhangi bir vergi, resim ve harç alınmaz. Harç ve giderler, talep edene aittir.</w:t>
            </w:r>
          </w:p>
          <w:p w:rsidR="00A043AD" w:rsidRPr="00A23740" w:rsidRDefault="00A043AD" w:rsidP="00955D60">
            <w:pPr>
              <w:widowControl w:val="0"/>
              <w:tabs>
                <w:tab w:val="left" w:pos="567"/>
              </w:tabs>
              <w:rPr>
                <w:rFonts w:eastAsia="Times New Roman"/>
                <w:b/>
                <w:bCs/>
                <w:strike/>
                <w:color w:val="FF0000"/>
                <w:szCs w:val="24"/>
                <w:lang w:val="x-none" w:eastAsia="x-none"/>
              </w:rPr>
            </w:pPr>
          </w:p>
          <w:p w:rsidR="00A043AD" w:rsidRPr="00A23740" w:rsidRDefault="00A043AD" w:rsidP="00955D60">
            <w:pPr>
              <w:widowControl w:val="0"/>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İcra Dairesince, Sözleşme ve Protokol çerçevesinde yapılacak iş ve işlemler ile takibe ilişkin esas ve usuller Adalet Bakanlığı ile Ulaştırma, Denizcilik ve Haberleşme Bakanlığı tarafından çıkarılacak yönetmelikle düzenlenir.</w:t>
            </w:r>
          </w:p>
          <w:p w:rsidR="00A043AD" w:rsidRPr="00A23740" w:rsidRDefault="00A043AD" w:rsidP="00955D60">
            <w:pPr>
              <w:widowControl w:val="0"/>
              <w:tabs>
                <w:tab w:val="left" w:pos="567"/>
              </w:tabs>
              <w:rPr>
                <w:rFonts w:eastAsia="Times New Roman"/>
                <w:b/>
                <w:bCs/>
                <w:strike/>
                <w:color w:val="FF0000"/>
                <w:szCs w:val="24"/>
                <w:lang w:val="x-none" w:eastAsia="x-none"/>
              </w:rPr>
            </w:pPr>
          </w:p>
        </w:tc>
        <w:tc>
          <w:tcPr>
            <w:tcW w:w="2500" w:type="pct"/>
          </w:tcPr>
          <w:p w:rsidR="00A043AD" w:rsidRPr="00A23740" w:rsidRDefault="00A043AD" w:rsidP="00955D60">
            <w:pPr>
              <w:pStyle w:val="KIRMIZI"/>
              <w:widowControl w:val="0"/>
            </w:pPr>
          </w:p>
          <w:p w:rsidR="00A043AD" w:rsidRPr="00A23740" w:rsidRDefault="00A043AD" w:rsidP="00955D60">
            <w:pPr>
              <w:pStyle w:val="KIRMIZI"/>
              <w:widowControl w:val="0"/>
            </w:pPr>
          </w:p>
        </w:tc>
      </w:tr>
      <w:tr w:rsidR="00A043AD" w:rsidRPr="00A23740" w:rsidTr="00750F08">
        <w:tc>
          <w:tcPr>
            <w:tcW w:w="2500" w:type="pct"/>
          </w:tcPr>
          <w:p w:rsidR="00A043AD" w:rsidRPr="00A23740" w:rsidRDefault="00A043AD" w:rsidP="00750F08">
            <w:pPr>
              <w:tabs>
                <w:tab w:val="left" w:pos="567"/>
              </w:tabs>
              <w:rPr>
                <w:rFonts w:eastAsia="Times New Roman"/>
                <w:b/>
                <w:bCs/>
                <w:strike/>
                <w:color w:val="FF0000"/>
                <w:szCs w:val="24"/>
                <w:lang w:val="x-none" w:eastAsia="x-none"/>
              </w:rPr>
            </w:pPr>
            <w:r w:rsidRPr="00A23740">
              <w:rPr>
                <w:rFonts w:eastAsia="Times New Roman"/>
                <w:b/>
                <w:bCs/>
                <w:strike/>
                <w:color w:val="FF0000"/>
                <w:szCs w:val="24"/>
                <w:lang w:val="x-none" w:eastAsia="x-none"/>
              </w:rPr>
              <w:t>Ek Madde 3- (Ek: 3/11/2016-6754/19 md.)</w:t>
            </w:r>
          </w:p>
          <w:p w:rsidR="00A043AD" w:rsidRPr="00A23740" w:rsidRDefault="00A043AD" w:rsidP="00750F08">
            <w:pPr>
              <w:rPr>
                <w:rFonts w:eastAsia="Times New Roman"/>
                <w:color w:val="000000"/>
                <w:szCs w:val="24"/>
                <w:lang w:eastAsia="tr-TR"/>
              </w:rPr>
            </w:pPr>
            <w:r w:rsidRPr="00A23740">
              <w:rPr>
                <w:rFonts w:eastAsia="Times New Roman"/>
                <w:color w:val="000000"/>
                <w:szCs w:val="24"/>
                <w:lang w:eastAsia="tr-TR"/>
              </w:rPr>
              <w:t>Bu Kanun uyarınca görevlendirilecek bilirkişiler, bilirkişilik bölge kurulları tarafından hazırlanan listelerden seçilir ve bunlar hakkında Bilirkişilik Kanunu ve ilgili diğer kanun hükümleri uygulanır.</w:t>
            </w:r>
          </w:p>
          <w:p w:rsidR="00A043AD" w:rsidRPr="00A23740" w:rsidRDefault="00A043AD" w:rsidP="00750F08">
            <w:pPr>
              <w:tabs>
                <w:tab w:val="left" w:pos="567"/>
              </w:tabs>
              <w:ind w:firstLine="709"/>
              <w:rPr>
                <w:rFonts w:eastAsia="Times New Roman"/>
                <w:b/>
                <w:bCs/>
                <w:strike/>
                <w:color w:val="FF0000"/>
                <w:szCs w:val="24"/>
                <w:lang w:val="x-none" w:eastAsia="x-none"/>
              </w:rPr>
            </w:pPr>
          </w:p>
        </w:tc>
        <w:tc>
          <w:tcPr>
            <w:tcW w:w="2500" w:type="pct"/>
          </w:tcPr>
          <w:p w:rsidR="00A043AD" w:rsidRPr="00A23740" w:rsidRDefault="00A043AD" w:rsidP="00750F08">
            <w:pPr>
              <w:tabs>
                <w:tab w:val="left" w:pos="567"/>
              </w:tabs>
              <w:rPr>
                <w:b/>
                <w:bCs/>
                <w:color w:val="0000FF"/>
                <w:szCs w:val="24"/>
                <w:lang w:val="x-none" w:eastAsia="x-none"/>
              </w:rPr>
            </w:pPr>
            <w:r w:rsidRPr="00A23740">
              <w:rPr>
                <w:b/>
                <w:bCs/>
                <w:color w:val="0000FF"/>
                <w:szCs w:val="24"/>
                <w:lang w:val="x-none" w:eastAsia="x-none"/>
              </w:rPr>
              <w:t xml:space="preserve">Bilirkişi görevlendirmesi </w:t>
            </w:r>
          </w:p>
          <w:p w:rsidR="00A043AD" w:rsidRPr="00A23740" w:rsidRDefault="00A043AD" w:rsidP="00750F08">
            <w:pPr>
              <w:tabs>
                <w:tab w:val="left" w:pos="567"/>
              </w:tabs>
              <w:rPr>
                <w:rFonts w:eastAsia="Times New Roman"/>
                <w:color w:val="000000"/>
                <w:szCs w:val="24"/>
                <w:lang w:eastAsia="tr-TR"/>
              </w:rPr>
            </w:pPr>
            <w:r w:rsidRPr="00A23740">
              <w:rPr>
                <w:b/>
                <w:bCs/>
                <w:color w:val="0000FF"/>
                <w:szCs w:val="24"/>
                <w:lang w:val="x-none" w:eastAsia="x-none"/>
              </w:rPr>
              <w:t xml:space="preserve">MADDE 547- (1) </w:t>
            </w:r>
            <w:r w:rsidRPr="00A23740">
              <w:rPr>
                <w:rFonts w:eastAsia="Times New Roman"/>
                <w:color w:val="000000"/>
                <w:szCs w:val="24"/>
                <w:lang w:eastAsia="tr-TR"/>
              </w:rPr>
              <w:t>Bu Kanun uyarınca görevlendirilecek bilirkişiler, bilirkişilik bölge kurulları tarafından hazırlanan listelerden seçilir ve bunlar hakkında Bilirkişilik Kanunu ve ilgili diğer kanun hükümleri uygulanır.</w:t>
            </w:r>
          </w:p>
          <w:p w:rsidR="00A043AD" w:rsidRPr="00A23740" w:rsidRDefault="00A043AD" w:rsidP="00750F08">
            <w:pPr>
              <w:tabs>
                <w:tab w:val="left" w:pos="567"/>
              </w:tabs>
              <w:rPr>
                <w:rFonts w:eastAsia="Times New Roman"/>
                <w:b/>
                <w:bCs/>
                <w:strike/>
                <w:color w:val="FF0000"/>
                <w:szCs w:val="24"/>
                <w:lang w:val="x-none" w:eastAsia="x-none"/>
              </w:rPr>
            </w:pPr>
          </w:p>
        </w:tc>
      </w:tr>
      <w:tr w:rsidR="00A043AD" w:rsidRPr="00A23740" w:rsidTr="00750F08">
        <w:tc>
          <w:tcPr>
            <w:tcW w:w="5000" w:type="pct"/>
            <w:gridSpan w:val="2"/>
            <w:shd w:val="clear" w:color="auto" w:fill="DEEAF6"/>
          </w:tcPr>
          <w:p w:rsidR="00A043AD" w:rsidRPr="00A23740" w:rsidRDefault="00A043AD" w:rsidP="00750F08">
            <w:pPr>
              <w:ind w:firstLine="709"/>
              <w:rPr>
                <w:rFonts w:eastAsia="Arial Unicode MS"/>
                <w:b/>
                <w:iCs/>
                <w:szCs w:val="24"/>
                <w:lang w:eastAsia="tr-TR"/>
              </w:rPr>
            </w:pPr>
          </w:p>
          <w:p w:rsidR="00A043AD" w:rsidRPr="00A23740" w:rsidRDefault="00A043AD" w:rsidP="00750F08">
            <w:pPr>
              <w:ind w:firstLine="709"/>
              <w:rPr>
                <w:rFonts w:eastAsia="Times New Roman"/>
                <w:szCs w:val="24"/>
                <w:lang w:eastAsia="tr-TR"/>
              </w:rPr>
            </w:pPr>
            <w:r w:rsidRPr="00A23740">
              <w:rPr>
                <w:rFonts w:eastAsia="Times New Roman"/>
                <w:b/>
                <w:szCs w:val="24"/>
                <w:lang w:eastAsia="x-none"/>
              </w:rPr>
              <w:t>MADDE 547-</w:t>
            </w:r>
            <w:r w:rsidRPr="00A23740">
              <w:rPr>
                <w:rFonts w:eastAsia="Times New Roman"/>
                <w:szCs w:val="24"/>
                <w:lang w:eastAsia="x-none"/>
              </w:rPr>
              <w:t xml:space="preserve"> </w:t>
            </w:r>
            <w:r w:rsidRPr="00A23740">
              <w:rPr>
                <w:rFonts w:eastAsia="Times New Roman"/>
                <w:szCs w:val="24"/>
                <w:lang w:eastAsia="tr-TR"/>
              </w:rPr>
              <w:t>Maddeyle, bilirkişi görevlendirilmesine ilişkin hususlar düzenlenmektedir. Hüküm, 2004 sayılı Kanunun ek 3 üncü maddesine karşılık gelmektedir.</w:t>
            </w:r>
          </w:p>
          <w:p w:rsidR="00A043AD" w:rsidRPr="00A23740" w:rsidRDefault="00A043AD" w:rsidP="00750F08">
            <w:pPr>
              <w:ind w:firstLine="709"/>
              <w:rPr>
                <w:rFonts w:eastAsia="Times New Roman"/>
                <w:szCs w:val="24"/>
                <w:lang w:eastAsia="tr-TR"/>
              </w:rPr>
            </w:pPr>
            <w:r w:rsidRPr="00A23740">
              <w:rPr>
                <w:rFonts w:eastAsia="Times New Roman"/>
                <w:szCs w:val="24"/>
                <w:lang w:eastAsia="tr-TR"/>
              </w:rPr>
              <w:t xml:space="preserve">Birinci fıkrayla, </w:t>
            </w:r>
            <w:r w:rsidRPr="005D4042">
              <w:rPr>
                <w:rFonts w:eastAsia="Times New Roman"/>
                <w:color w:val="000000"/>
                <w:szCs w:val="24"/>
                <w:lang w:eastAsia="tr-TR"/>
              </w:rPr>
              <w:t>Taslak</w:t>
            </w:r>
            <w:r w:rsidRPr="00A23740">
              <w:rPr>
                <w:rFonts w:eastAsia="Times New Roman"/>
                <w:color w:val="000000"/>
                <w:szCs w:val="24"/>
                <w:lang w:eastAsia="tr-TR"/>
              </w:rPr>
              <w:t xml:space="preserve"> uyarınca</w:t>
            </w:r>
            <w:r w:rsidRPr="00A23740">
              <w:rPr>
                <w:rFonts w:eastAsia="Times New Roman"/>
                <w:b/>
                <w:color w:val="000000"/>
                <w:lang w:eastAsia="tr-TR"/>
              </w:rPr>
              <w:t xml:space="preserve"> </w:t>
            </w:r>
            <w:r w:rsidRPr="00A23740">
              <w:rPr>
                <w:rFonts w:eastAsia="Times New Roman"/>
                <w:color w:val="000000"/>
                <w:szCs w:val="24"/>
                <w:lang w:eastAsia="tr-TR"/>
              </w:rPr>
              <w:t>görevlendirilecek bilirkişilerin, bilirkişilik bölge kurulları tarafından hazırlanan listelerden seçileceği ve bunlar hakkında Bilirkişilik Kanunu ve ilgili diğer kanun hükümlerinin uygulanacağı hükme bağlanmaktadır.</w:t>
            </w:r>
          </w:p>
          <w:p w:rsidR="00A043AD" w:rsidRPr="00A23740" w:rsidRDefault="00A043AD" w:rsidP="00955D60">
            <w:pPr>
              <w:rPr>
                <w:rFonts w:eastAsia="Arial Unicode MS"/>
                <w:szCs w:val="24"/>
                <w:lang w:eastAsia="x-none"/>
              </w:rPr>
            </w:pPr>
          </w:p>
        </w:tc>
      </w:tr>
      <w:tr w:rsidR="00A043AD" w:rsidRPr="00A23740" w:rsidTr="00750F08">
        <w:tc>
          <w:tcPr>
            <w:tcW w:w="2500" w:type="pct"/>
          </w:tcPr>
          <w:p w:rsidR="00A043AD" w:rsidRPr="00A23740" w:rsidRDefault="00A043AD" w:rsidP="00750F08">
            <w:pPr>
              <w:widowControl w:val="0"/>
              <w:suppressLineNumbers/>
              <w:tabs>
                <w:tab w:val="left" w:pos="540"/>
              </w:tabs>
              <w:rPr>
                <w:rFonts w:eastAsia="Times New Roman"/>
                <w:b/>
                <w:szCs w:val="24"/>
                <w:lang w:eastAsia="tr-TR"/>
              </w:rPr>
            </w:pPr>
          </w:p>
        </w:tc>
        <w:tc>
          <w:tcPr>
            <w:tcW w:w="2500" w:type="pct"/>
          </w:tcPr>
          <w:p w:rsidR="00A043AD" w:rsidRPr="00A23740" w:rsidRDefault="00A043AD" w:rsidP="00750F08">
            <w:pPr>
              <w:tabs>
                <w:tab w:val="left" w:pos="567"/>
              </w:tabs>
              <w:rPr>
                <w:b/>
                <w:bCs/>
                <w:color w:val="0000FF"/>
                <w:szCs w:val="24"/>
                <w:lang w:val="x-none" w:eastAsia="x-none"/>
              </w:rPr>
            </w:pPr>
            <w:r w:rsidRPr="00A23740">
              <w:rPr>
                <w:b/>
                <w:bCs/>
                <w:color w:val="0000FF"/>
                <w:szCs w:val="24"/>
                <w:lang w:val="x-none" w:eastAsia="x-none"/>
              </w:rPr>
              <w:t>Yönetmelik ve tarifeler</w:t>
            </w:r>
          </w:p>
          <w:p w:rsidR="00A043AD" w:rsidRPr="00A23740" w:rsidRDefault="00A043AD" w:rsidP="00750F08">
            <w:pPr>
              <w:tabs>
                <w:tab w:val="left" w:pos="567"/>
              </w:tabs>
              <w:rPr>
                <w:b/>
                <w:bCs/>
                <w:color w:val="0000FF"/>
                <w:szCs w:val="24"/>
                <w:lang w:eastAsia="x-none"/>
              </w:rPr>
            </w:pPr>
            <w:r w:rsidRPr="00A23740">
              <w:rPr>
                <w:b/>
                <w:bCs/>
                <w:color w:val="0000FF"/>
                <w:szCs w:val="24"/>
                <w:lang w:val="x-none" w:eastAsia="x-none"/>
              </w:rPr>
              <w:t>MADDE 548-  (1)</w:t>
            </w:r>
            <w:r w:rsidR="00B64C4F" w:rsidRPr="00A23740">
              <w:rPr>
                <w:b/>
                <w:bCs/>
                <w:color w:val="0000FF"/>
                <w:szCs w:val="24"/>
                <w:lang w:eastAsia="x-none"/>
              </w:rPr>
              <w:t xml:space="preserve"> </w:t>
            </w:r>
            <w:r w:rsidR="00B64C4F" w:rsidRPr="00A23740">
              <w:rPr>
                <w:b/>
                <w:bCs/>
                <w:color w:val="0000FF"/>
                <w:szCs w:val="24"/>
                <w:lang w:val="x-none" w:eastAsia="x-none"/>
              </w:rPr>
              <w:t xml:space="preserve">Bu Kanunun uygulanmasıyla </w:t>
            </w:r>
            <w:r w:rsidRPr="00A23740">
              <w:rPr>
                <w:b/>
                <w:bCs/>
                <w:color w:val="0000FF"/>
                <w:szCs w:val="24"/>
                <w:lang w:val="x-none" w:eastAsia="x-none"/>
              </w:rPr>
              <w:t>ilgili</w:t>
            </w:r>
            <w:r w:rsidR="00B64C4F" w:rsidRPr="00A23740">
              <w:rPr>
                <w:b/>
                <w:bCs/>
                <w:color w:val="0000FF"/>
                <w:szCs w:val="24"/>
                <w:lang w:eastAsia="x-none"/>
              </w:rPr>
              <w:t xml:space="preserve"> </w:t>
            </w:r>
            <w:r w:rsidRPr="00A23740">
              <w:rPr>
                <w:b/>
                <w:bCs/>
                <w:color w:val="0000FF"/>
                <w:szCs w:val="24"/>
                <w:lang w:val="x-none" w:eastAsia="x-none"/>
              </w:rPr>
              <w:t>yönetmelikler</w:t>
            </w:r>
            <w:r w:rsidRPr="00A23740">
              <w:rPr>
                <w:b/>
                <w:bCs/>
                <w:color w:val="0000FF"/>
                <w:szCs w:val="24"/>
                <w:lang w:eastAsia="x-none"/>
              </w:rPr>
              <w:t>,</w:t>
            </w:r>
            <w:r w:rsidR="00B64C4F" w:rsidRPr="00A23740">
              <w:rPr>
                <w:b/>
                <w:bCs/>
                <w:color w:val="0000FF"/>
                <w:szCs w:val="24"/>
                <w:lang w:eastAsia="x-none"/>
              </w:rPr>
              <w:t xml:space="preserve"> </w:t>
            </w:r>
            <w:r w:rsidRPr="00A23740">
              <w:rPr>
                <w:b/>
                <w:bCs/>
                <w:color w:val="0000FF"/>
                <w:szCs w:val="24"/>
                <w:lang w:val="x-none" w:eastAsia="x-none"/>
              </w:rPr>
              <w:t>Adalet Bakanlığı tarafından</w:t>
            </w:r>
            <w:r w:rsidRPr="00A23740">
              <w:rPr>
                <w:b/>
                <w:bCs/>
                <w:color w:val="0000FF"/>
                <w:szCs w:val="24"/>
                <w:lang w:eastAsia="x-none"/>
              </w:rPr>
              <w:t xml:space="preserve"> çıkarılır.</w:t>
            </w:r>
          </w:p>
          <w:p w:rsidR="00A043AD" w:rsidRPr="00A23740" w:rsidRDefault="00A043AD" w:rsidP="00750F08">
            <w:pPr>
              <w:tabs>
                <w:tab w:val="left" w:pos="567"/>
              </w:tabs>
              <w:rPr>
                <w:b/>
                <w:bCs/>
                <w:color w:val="0000FF"/>
                <w:szCs w:val="24"/>
                <w:lang w:eastAsia="x-none"/>
              </w:rPr>
            </w:pPr>
          </w:p>
          <w:p w:rsidR="00A043AD" w:rsidRPr="00A23740" w:rsidRDefault="00A043AD" w:rsidP="00750F08">
            <w:pPr>
              <w:tabs>
                <w:tab w:val="left" w:pos="567"/>
              </w:tabs>
              <w:rPr>
                <w:b/>
                <w:bCs/>
                <w:color w:val="0000FF"/>
                <w:szCs w:val="24"/>
                <w:lang w:eastAsia="x-none"/>
              </w:rPr>
            </w:pPr>
            <w:r w:rsidRPr="00A23740">
              <w:rPr>
                <w:b/>
                <w:bCs/>
                <w:color w:val="0000FF"/>
                <w:szCs w:val="24"/>
                <w:lang w:eastAsia="x-none"/>
              </w:rPr>
              <w:t xml:space="preserve">(2) Bu Kanunun uygulanmasıyla ilgili tarifeler, Adalet Bakanlığı tarafından çıkarılır ve her takvim yılı başında </w:t>
            </w:r>
            <w:r w:rsidR="00537904" w:rsidRPr="00A23740">
              <w:rPr>
                <w:b/>
                <w:bCs/>
                <w:color w:val="0000FF"/>
                <w:szCs w:val="24"/>
                <w:lang w:eastAsia="x-none"/>
              </w:rPr>
              <w:t xml:space="preserve">yenilenerek </w:t>
            </w:r>
            <w:r w:rsidRPr="00A23740">
              <w:rPr>
                <w:b/>
                <w:bCs/>
                <w:color w:val="0000FF"/>
                <w:szCs w:val="24"/>
                <w:lang w:eastAsia="x-none"/>
              </w:rPr>
              <w:t>yürürlüğe konulur.</w:t>
            </w:r>
          </w:p>
          <w:p w:rsidR="00A043AD" w:rsidRPr="00A23740" w:rsidRDefault="00A043AD" w:rsidP="00750F08">
            <w:pPr>
              <w:tabs>
                <w:tab w:val="left" w:pos="567"/>
              </w:tabs>
              <w:rPr>
                <w:b/>
                <w:bCs/>
                <w:color w:val="0000FF"/>
                <w:szCs w:val="24"/>
                <w:lang w:val="x-none" w:eastAsia="x-none"/>
              </w:rPr>
            </w:pPr>
          </w:p>
        </w:tc>
      </w:tr>
      <w:tr w:rsidR="00A043AD" w:rsidRPr="00A23740" w:rsidTr="00750F08">
        <w:tc>
          <w:tcPr>
            <w:tcW w:w="5000" w:type="pct"/>
            <w:gridSpan w:val="2"/>
            <w:shd w:val="clear" w:color="auto" w:fill="DEEAF6"/>
          </w:tcPr>
          <w:p w:rsidR="00A043AD" w:rsidRPr="00A23740" w:rsidRDefault="00A043AD" w:rsidP="00750F08">
            <w:pPr>
              <w:tabs>
                <w:tab w:val="left" w:pos="567"/>
              </w:tabs>
              <w:ind w:firstLine="709"/>
              <w:rPr>
                <w:rFonts w:eastAsia="Times New Roman"/>
                <w:b/>
                <w:szCs w:val="24"/>
                <w:lang w:eastAsia="tr-TR"/>
              </w:rPr>
            </w:pPr>
          </w:p>
          <w:p w:rsidR="00A043AD" w:rsidRPr="00A23740" w:rsidRDefault="00A043AD" w:rsidP="00750F08">
            <w:pPr>
              <w:tabs>
                <w:tab w:val="left" w:pos="567"/>
              </w:tabs>
              <w:ind w:firstLine="709"/>
              <w:rPr>
                <w:rFonts w:eastAsia="Times New Roman"/>
                <w:szCs w:val="24"/>
                <w:lang w:eastAsia="tr-TR"/>
              </w:rPr>
            </w:pPr>
            <w:r w:rsidRPr="00A23740">
              <w:rPr>
                <w:rFonts w:eastAsia="Times New Roman"/>
                <w:b/>
                <w:szCs w:val="24"/>
                <w:lang w:eastAsia="tr-TR"/>
              </w:rPr>
              <w:t>MADDE 548</w:t>
            </w:r>
            <w:r w:rsidRPr="00A23740">
              <w:rPr>
                <w:rFonts w:eastAsia="Times New Roman"/>
                <w:szCs w:val="24"/>
                <w:lang w:eastAsia="tr-TR"/>
              </w:rPr>
              <w:t>- Maddeyle, yönetmelikler ve tarifelerle ilgili hususlar düzenlenmektedir.</w:t>
            </w:r>
          </w:p>
          <w:p w:rsidR="00A043AD" w:rsidRPr="00A23740" w:rsidRDefault="00A043AD" w:rsidP="00750F08">
            <w:pPr>
              <w:tabs>
                <w:tab w:val="left" w:pos="567"/>
              </w:tabs>
              <w:ind w:firstLine="709"/>
              <w:rPr>
                <w:rFonts w:eastAsia="Times New Roman"/>
                <w:szCs w:val="24"/>
                <w:lang w:eastAsia="tr-TR"/>
              </w:rPr>
            </w:pPr>
            <w:r w:rsidRPr="00A23740">
              <w:rPr>
                <w:rFonts w:eastAsia="Times New Roman"/>
                <w:szCs w:val="24"/>
                <w:lang w:eastAsia="tr-TR"/>
              </w:rPr>
              <w:t xml:space="preserve">Birinci fıkrayla, Adalet Bakanlığına yönetmelik çıkarma yetkisi verilmektedir. Taslağın muhtelif maddelerinde Bakanlığın </w:t>
            </w:r>
            <w:r w:rsidR="00537904" w:rsidRPr="00A23740">
              <w:rPr>
                <w:rFonts w:eastAsia="Times New Roman"/>
                <w:szCs w:val="24"/>
                <w:lang w:eastAsia="tr-TR"/>
              </w:rPr>
              <w:t xml:space="preserve">özel </w:t>
            </w:r>
            <w:r w:rsidRPr="00A23740">
              <w:rPr>
                <w:rFonts w:eastAsia="Times New Roman"/>
                <w:szCs w:val="24"/>
                <w:lang w:eastAsia="tr-TR"/>
              </w:rPr>
              <w:t>olarak yönetmelik çıkarma görev ve yetkisi bulunduğu belirtilmekle birlikte, hükümle genel olarak Kanunun uygulanmasıyla ilgili ihtiyaç duyulan sair konularda da Bakanlığın yönetmelik çıkarma yetkisinin olduğu açıkça vurgulanmaktadır.</w:t>
            </w:r>
          </w:p>
          <w:p w:rsidR="00A043AD" w:rsidRPr="00A23740" w:rsidRDefault="00A043AD" w:rsidP="00750F08">
            <w:pPr>
              <w:tabs>
                <w:tab w:val="left" w:pos="567"/>
              </w:tabs>
              <w:ind w:firstLine="709"/>
              <w:rPr>
                <w:rFonts w:eastAsia="Times New Roman"/>
                <w:szCs w:val="24"/>
                <w:lang w:eastAsia="tr-TR"/>
              </w:rPr>
            </w:pPr>
            <w:r w:rsidRPr="00A23740">
              <w:rPr>
                <w:rFonts w:eastAsia="Times New Roman"/>
                <w:szCs w:val="24"/>
                <w:lang w:eastAsia="tr-TR"/>
              </w:rPr>
              <w:t xml:space="preserve">İkinci fıkrayla, bu </w:t>
            </w:r>
            <w:r w:rsidR="00803DCC" w:rsidRPr="005D4042">
              <w:rPr>
                <w:rFonts w:eastAsia="Times New Roman"/>
                <w:szCs w:val="24"/>
                <w:lang w:eastAsia="tr-TR"/>
              </w:rPr>
              <w:t>Taslağın</w:t>
            </w:r>
            <w:r w:rsidR="00803DCC" w:rsidRPr="00A23740">
              <w:rPr>
                <w:rFonts w:eastAsia="Times New Roman"/>
                <w:szCs w:val="24"/>
                <w:lang w:eastAsia="tr-TR"/>
              </w:rPr>
              <w:t xml:space="preserve"> </w:t>
            </w:r>
            <w:r w:rsidRPr="00A23740">
              <w:rPr>
                <w:rFonts w:eastAsia="Times New Roman"/>
                <w:szCs w:val="24"/>
                <w:lang w:eastAsia="tr-TR"/>
              </w:rPr>
              <w:t xml:space="preserve">uygulanmasıyla ilgili tarifeleri çıkarma yetkisi de Adalet Bakanlığına verilmekte ve bu tarifelerin ekonomik koşullara göre güncellenmesi ve uygulama kolaylığının sağlanması için her takvim yılı başında </w:t>
            </w:r>
            <w:r w:rsidR="00537904" w:rsidRPr="00A23740">
              <w:rPr>
                <w:rFonts w:eastAsia="Times New Roman"/>
                <w:szCs w:val="24"/>
                <w:lang w:eastAsia="tr-TR"/>
              </w:rPr>
              <w:t xml:space="preserve">yenilenerek </w:t>
            </w:r>
            <w:r w:rsidRPr="00A23740">
              <w:rPr>
                <w:rFonts w:eastAsia="Times New Roman"/>
                <w:szCs w:val="24"/>
                <w:lang w:eastAsia="tr-TR"/>
              </w:rPr>
              <w:t>yürürlüğe konulması gerektiği açıkça düzenlenmektedir.</w:t>
            </w:r>
          </w:p>
          <w:p w:rsidR="00A043AD" w:rsidRDefault="00A043AD" w:rsidP="00955D60">
            <w:pPr>
              <w:rPr>
                <w:rFonts w:eastAsia="Arial Unicode MS"/>
                <w:iCs/>
                <w:szCs w:val="24"/>
                <w:lang w:eastAsia="tr-TR"/>
              </w:rPr>
            </w:pPr>
          </w:p>
          <w:p w:rsidR="00955D60" w:rsidRPr="00A23740" w:rsidRDefault="00955D60" w:rsidP="00955D60">
            <w:pPr>
              <w:rPr>
                <w:b/>
                <w:bCs/>
                <w:color w:val="0000FF"/>
                <w:szCs w:val="24"/>
                <w:lang w:eastAsia="x-none"/>
              </w:rPr>
            </w:pPr>
          </w:p>
        </w:tc>
      </w:tr>
      <w:tr w:rsidR="00A043AD" w:rsidRPr="00A23740" w:rsidTr="00750F08">
        <w:tc>
          <w:tcPr>
            <w:tcW w:w="2500" w:type="pct"/>
          </w:tcPr>
          <w:p w:rsidR="00A043AD" w:rsidRPr="00A23740" w:rsidRDefault="00A043AD" w:rsidP="00750F08">
            <w:pPr>
              <w:rPr>
                <w:rFonts w:eastAsia="Times New Roman"/>
                <w:b/>
                <w:szCs w:val="24"/>
                <w:lang w:eastAsia="tr-TR"/>
              </w:rPr>
            </w:pPr>
          </w:p>
        </w:tc>
        <w:tc>
          <w:tcPr>
            <w:tcW w:w="2500" w:type="pct"/>
          </w:tcPr>
          <w:p w:rsidR="00A043AD" w:rsidRPr="00A23740" w:rsidRDefault="00A043AD" w:rsidP="00750F08">
            <w:pPr>
              <w:rPr>
                <w:rFonts w:eastAsia="Times New Roman"/>
                <w:b/>
                <w:bCs/>
                <w:color w:val="0000FF"/>
                <w:szCs w:val="24"/>
                <w:lang w:eastAsia="tr-TR"/>
              </w:rPr>
            </w:pPr>
            <w:r w:rsidRPr="00A23740">
              <w:rPr>
                <w:rFonts w:eastAsia="Times New Roman"/>
                <w:b/>
                <w:bCs/>
                <w:color w:val="0000FF"/>
                <w:szCs w:val="24"/>
                <w:lang w:eastAsia="tr-TR"/>
              </w:rPr>
              <w:t>Yürürlükten kaldırılan hükümler</w:t>
            </w:r>
          </w:p>
          <w:p w:rsidR="00A043AD" w:rsidRPr="00A23740" w:rsidRDefault="00A043AD" w:rsidP="00750F08">
            <w:pPr>
              <w:rPr>
                <w:rFonts w:eastAsia="Times New Roman"/>
                <w:b/>
                <w:bCs/>
                <w:color w:val="0000FF"/>
                <w:szCs w:val="24"/>
                <w:lang w:eastAsia="tr-TR"/>
              </w:rPr>
            </w:pPr>
            <w:r w:rsidRPr="00A23740">
              <w:rPr>
                <w:rFonts w:eastAsia="Times New Roman"/>
                <w:b/>
                <w:bCs/>
                <w:color w:val="0000FF"/>
                <w:szCs w:val="24"/>
                <w:lang w:eastAsia="tr-TR"/>
              </w:rPr>
              <w:t>MADDE 549- (1) 9/6/1932 tarihli ve 2004 sayılı İcra ve İflas Kanunu yürürlükten kaldırılmıştır.</w:t>
            </w:r>
          </w:p>
          <w:p w:rsidR="00A043AD" w:rsidRPr="00A23740" w:rsidRDefault="00A043AD" w:rsidP="00750F08">
            <w:pPr>
              <w:rPr>
                <w:rFonts w:eastAsia="Times New Roman"/>
                <w:b/>
                <w:bCs/>
                <w:color w:val="0000FF"/>
                <w:szCs w:val="24"/>
                <w:lang w:eastAsia="tr-TR"/>
              </w:rPr>
            </w:pPr>
          </w:p>
        </w:tc>
      </w:tr>
      <w:tr w:rsidR="00A043AD" w:rsidRPr="00A23740" w:rsidTr="00750F08">
        <w:tc>
          <w:tcPr>
            <w:tcW w:w="5000" w:type="pct"/>
            <w:gridSpan w:val="2"/>
            <w:shd w:val="clear" w:color="auto" w:fill="DEEAF6"/>
          </w:tcPr>
          <w:p w:rsidR="00A043AD" w:rsidRPr="00A23740" w:rsidRDefault="00A043AD" w:rsidP="00750F08">
            <w:pPr>
              <w:widowControl w:val="0"/>
              <w:suppressLineNumbers/>
              <w:tabs>
                <w:tab w:val="left" w:pos="540"/>
              </w:tabs>
              <w:ind w:firstLine="709"/>
              <w:rPr>
                <w:rFonts w:eastAsia="Times New Roman"/>
                <w:b/>
                <w:szCs w:val="24"/>
                <w:lang w:eastAsia="tr-TR"/>
              </w:rPr>
            </w:pPr>
          </w:p>
          <w:p w:rsidR="00A043AD" w:rsidRPr="00A23740" w:rsidRDefault="00A043AD" w:rsidP="00750F08">
            <w:pPr>
              <w:widowControl w:val="0"/>
              <w:suppressLineNumbers/>
              <w:tabs>
                <w:tab w:val="left" w:pos="540"/>
              </w:tabs>
              <w:ind w:firstLine="709"/>
              <w:rPr>
                <w:rFonts w:eastAsia="Times New Roman"/>
                <w:b/>
                <w:szCs w:val="24"/>
                <w:lang w:eastAsia="tr-TR"/>
              </w:rPr>
            </w:pPr>
            <w:r w:rsidRPr="00A23740">
              <w:rPr>
                <w:rFonts w:eastAsia="Times New Roman"/>
                <w:b/>
                <w:szCs w:val="24"/>
                <w:lang w:eastAsia="tr-TR"/>
              </w:rPr>
              <w:t xml:space="preserve">MADDE 549- </w:t>
            </w:r>
            <w:r w:rsidRPr="00A23740">
              <w:rPr>
                <w:rFonts w:eastAsia="Times New Roman"/>
                <w:szCs w:val="24"/>
                <w:lang w:eastAsia="tr-TR"/>
              </w:rPr>
              <w:t>Maddeyle, 2004 sayılı Kanun yürürlükten kaldırılmaktadır.</w:t>
            </w:r>
          </w:p>
          <w:p w:rsidR="00A043AD" w:rsidRPr="00A23740" w:rsidRDefault="00A043AD" w:rsidP="00750F08">
            <w:pPr>
              <w:widowControl w:val="0"/>
              <w:suppressLineNumbers/>
              <w:tabs>
                <w:tab w:val="left" w:pos="540"/>
              </w:tabs>
              <w:ind w:firstLine="709"/>
              <w:rPr>
                <w:rFonts w:eastAsia="Arial Unicode MS"/>
                <w:b/>
                <w:iCs/>
                <w:szCs w:val="24"/>
                <w:lang w:eastAsia="tr-TR"/>
              </w:rPr>
            </w:pPr>
          </w:p>
        </w:tc>
      </w:tr>
      <w:tr w:rsidR="00A043AD" w:rsidRPr="00A23740" w:rsidTr="00750F08">
        <w:tblPrEx>
          <w:tblLook w:val="01E0" w:firstRow="1" w:lastRow="1" w:firstColumn="1" w:lastColumn="1" w:noHBand="0" w:noVBand="0"/>
        </w:tblPrEx>
        <w:tc>
          <w:tcPr>
            <w:tcW w:w="2500" w:type="pct"/>
            <w:shd w:val="clear" w:color="auto" w:fill="auto"/>
            <w:vAlign w:val="center"/>
          </w:tcPr>
          <w:p w:rsidR="00A043AD" w:rsidRPr="00A23740" w:rsidRDefault="00A043AD" w:rsidP="00750F08">
            <w:pPr>
              <w:tabs>
                <w:tab w:val="left" w:pos="567"/>
              </w:tabs>
              <w:jc w:val="center"/>
              <w:rPr>
                <w:b/>
                <w:color w:val="FF0000"/>
                <w:szCs w:val="24"/>
              </w:rPr>
            </w:pPr>
          </w:p>
        </w:tc>
        <w:tc>
          <w:tcPr>
            <w:tcW w:w="2500" w:type="pct"/>
            <w:shd w:val="clear" w:color="auto" w:fill="auto"/>
            <w:vAlign w:val="center"/>
          </w:tcPr>
          <w:p w:rsidR="00A043AD" w:rsidRPr="00A23740" w:rsidRDefault="00A043AD" w:rsidP="00750F08">
            <w:pPr>
              <w:pStyle w:val="Mavi"/>
            </w:pPr>
            <w:r w:rsidRPr="00A23740">
              <w:t>Yürürlük</w:t>
            </w:r>
          </w:p>
          <w:p w:rsidR="00A043AD" w:rsidRPr="00A23740" w:rsidRDefault="00A043AD" w:rsidP="00750F08">
            <w:pPr>
              <w:pStyle w:val="Mavi"/>
            </w:pPr>
            <w:r w:rsidRPr="00A23740">
              <w:t>MADDE 550- (1) Bu Kanun …</w:t>
            </w:r>
            <w:r w:rsidRPr="00A23740">
              <w:rPr>
                <w:lang w:val="tr-TR"/>
              </w:rPr>
              <w:t xml:space="preserve"> </w:t>
            </w:r>
            <w:r w:rsidRPr="00A23740">
              <w:t>tarihinde yürürlüğe girer.</w:t>
            </w:r>
          </w:p>
          <w:p w:rsidR="00A043AD" w:rsidRPr="00A23740" w:rsidRDefault="00A043AD" w:rsidP="00750F08">
            <w:pPr>
              <w:pStyle w:val="Mavi"/>
              <w:rPr>
                <w:rFonts w:eastAsia="Times New Roman"/>
              </w:rPr>
            </w:pPr>
          </w:p>
        </w:tc>
      </w:tr>
      <w:tr w:rsidR="00A043AD" w:rsidRPr="00A23740" w:rsidTr="00750F08">
        <w:tblPrEx>
          <w:tblLook w:val="01E0" w:firstRow="1" w:lastRow="1" w:firstColumn="1" w:lastColumn="1" w:noHBand="0" w:noVBand="0"/>
        </w:tblPrEx>
        <w:tc>
          <w:tcPr>
            <w:tcW w:w="5000" w:type="pct"/>
            <w:gridSpan w:val="2"/>
            <w:shd w:val="clear" w:color="auto" w:fill="DEEAF6"/>
            <w:vAlign w:val="center"/>
          </w:tcPr>
          <w:p w:rsidR="00A043AD" w:rsidRPr="00A23740" w:rsidRDefault="00A043AD" w:rsidP="00750F08">
            <w:pPr>
              <w:ind w:firstLine="709"/>
              <w:rPr>
                <w:rFonts w:eastAsia="Times New Roman"/>
                <w:b/>
                <w:bCs/>
                <w:color w:val="000000"/>
                <w:szCs w:val="24"/>
                <w:lang w:eastAsia="tr-TR"/>
              </w:rPr>
            </w:pPr>
          </w:p>
          <w:p w:rsidR="00A043AD" w:rsidRPr="00A23740" w:rsidRDefault="00A043AD" w:rsidP="00750F08">
            <w:pPr>
              <w:ind w:firstLine="709"/>
              <w:rPr>
                <w:rFonts w:eastAsia="Times New Roman"/>
                <w:b/>
                <w:bCs/>
                <w:color w:val="000000"/>
                <w:szCs w:val="24"/>
                <w:lang w:eastAsia="tr-TR"/>
              </w:rPr>
            </w:pPr>
            <w:r w:rsidRPr="00A23740">
              <w:rPr>
                <w:rFonts w:eastAsia="Times New Roman"/>
                <w:b/>
                <w:bCs/>
                <w:color w:val="000000"/>
                <w:szCs w:val="24"/>
                <w:lang w:eastAsia="tr-TR"/>
              </w:rPr>
              <w:t>Yürürlük</w:t>
            </w:r>
          </w:p>
          <w:p w:rsidR="00A043AD" w:rsidRPr="00A23740" w:rsidRDefault="00A043AD" w:rsidP="00750F08">
            <w:pPr>
              <w:ind w:firstLine="709"/>
              <w:rPr>
                <w:rFonts w:eastAsia="Times New Roman"/>
                <w:bCs/>
                <w:color w:val="000000"/>
                <w:szCs w:val="24"/>
                <w:lang w:eastAsia="tr-TR"/>
              </w:rPr>
            </w:pPr>
            <w:r w:rsidRPr="00A23740">
              <w:rPr>
                <w:rFonts w:eastAsia="Times New Roman"/>
                <w:b/>
                <w:bCs/>
                <w:color w:val="000000"/>
                <w:szCs w:val="24"/>
                <w:lang w:eastAsia="tr-TR"/>
              </w:rPr>
              <w:t>MADDE 550-</w:t>
            </w:r>
            <w:r w:rsidRPr="00A23740">
              <w:rPr>
                <w:rFonts w:eastAsia="Times New Roman"/>
                <w:bCs/>
                <w:color w:val="000000"/>
                <w:szCs w:val="24"/>
                <w:lang w:eastAsia="tr-TR"/>
              </w:rPr>
              <w:t> (1) Bu Kanun … tarihinde yürürlüğe girer.</w:t>
            </w:r>
          </w:p>
          <w:p w:rsidR="00A043AD" w:rsidRPr="00A23740" w:rsidRDefault="00A043AD" w:rsidP="00750F08">
            <w:pPr>
              <w:ind w:firstLine="709"/>
              <w:rPr>
                <w:rFonts w:eastAsia="Times New Roman"/>
                <w:b/>
                <w:bCs/>
                <w:color w:val="000000"/>
                <w:szCs w:val="24"/>
                <w:lang w:eastAsia="tr-TR"/>
              </w:rPr>
            </w:pPr>
          </w:p>
        </w:tc>
      </w:tr>
      <w:tr w:rsidR="00A043AD" w:rsidRPr="00A23740" w:rsidTr="00750F08">
        <w:tblPrEx>
          <w:tblLook w:val="01E0" w:firstRow="1" w:lastRow="1" w:firstColumn="1" w:lastColumn="1" w:noHBand="0" w:noVBand="0"/>
        </w:tblPrEx>
        <w:tc>
          <w:tcPr>
            <w:tcW w:w="5000" w:type="pct"/>
            <w:gridSpan w:val="2"/>
            <w:shd w:val="clear" w:color="auto" w:fill="DEEAF6"/>
            <w:vAlign w:val="center"/>
          </w:tcPr>
          <w:p w:rsidR="00A043AD" w:rsidRPr="00A23740" w:rsidRDefault="00A043AD" w:rsidP="00750F08">
            <w:pPr>
              <w:ind w:firstLine="709"/>
              <w:rPr>
                <w:rFonts w:eastAsia="Times New Roman"/>
                <w:b/>
                <w:bCs/>
                <w:color w:val="000000"/>
                <w:szCs w:val="24"/>
                <w:lang w:eastAsia="tr-TR"/>
              </w:rPr>
            </w:pPr>
          </w:p>
          <w:p w:rsidR="00A043AD" w:rsidRPr="00A23740" w:rsidRDefault="00A043AD" w:rsidP="00750F08">
            <w:pPr>
              <w:ind w:firstLine="709"/>
              <w:rPr>
                <w:rFonts w:eastAsia="Times New Roman"/>
                <w:bCs/>
                <w:color w:val="000000"/>
                <w:szCs w:val="24"/>
                <w:lang w:eastAsia="tr-TR"/>
              </w:rPr>
            </w:pPr>
            <w:r w:rsidRPr="00A23740">
              <w:rPr>
                <w:rFonts w:eastAsia="Times New Roman"/>
                <w:b/>
                <w:bCs/>
                <w:color w:val="000000"/>
                <w:szCs w:val="24"/>
                <w:lang w:eastAsia="tr-TR"/>
              </w:rPr>
              <w:t xml:space="preserve">MADDE 550- </w:t>
            </w:r>
            <w:r w:rsidRPr="00A23740">
              <w:rPr>
                <w:rFonts w:eastAsia="Times New Roman"/>
                <w:bCs/>
                <w:color w:val="000000"/>
                <w:szCs w:val="24"/>
                <w:lang w:eastAsia="tr-TR"/>
              </w:rPr>
              <w:t xml:space="preserve">Yürürlük maddesidir. </w:t>
            </w:r>
            <w:r w:rsidRPr="00A23740">
              <w:rPr>
                <w:rStyle w:val="MaviChar"/>
                <w:lang w:val="tr-TR"/>
              </w:rPr>
              <w:t xml:space="preserve"> </w:t>
            </w:r>
          </w:p>
          <w:p w:rsidR="00A043AD" w:rsidRDefault="00A043AD" w:rsidP="00750F08">
            <w:pPr>
              <w:ind w:firstLine="709"/>
              <w:rPr>
                <w:rFonts w:eastAsia="Times New Roman"/>
                <w:b/>
                <w:bCs/>
                <w:color w:val="000000"/>
                <w:szCs w:val="24"/>
                <w:lang w:eastAsia="tr-TR"/>
              </w:rPr>
            </w:pPr>
          </w:p>
          <w:p w:rsidR="00DB6930" w:rsidRPr="00A23740" w:rsidRDefault="00DB6930" w:rsidP="00750F08">
            <w:pPr>
              <w:ind w:firstLine="709"/>
              <w:rPr>
                <w:rFonts w:eastAsia="Times New Roman"/>
                <w:b/>
                <w:bCs/>
                <w:color w:val="000000"/>
                <w:szCs w:val="24"/>
                <w:lang w:eastAsia="tr-TR"/>
              </w:rPr>
            </w:pPr>
          </w:p>
        </w:tc>
      </w:tr>
      <w:tr w:rsidR="00A043AD" w:rsidRPr="00A23740" w:rsidTr="00750F08">
        <w:tblPrEx>
          <w:tblLook w:val="01E0" w:firstRow="1" w:lastRow="1" w:firstColumn="1" w:lastColumn="1" w:noHBand="0" w:noVBand="0"/>
        </w:tblPrEx>
        <w:tc>
          <w:tcPr>
            <w:tcW w:w="2500" w:type="pct"/>
            <w:shd w:val="clear" w:color="auto" w:fill="auto"/>
            <w:vAlign w:val="center"/>
          </w:tcPr>
          <w:p w:rsidR="00A043AD" w:rsidRPr="00A23740" w:rsidRDefault="00A043AD" w:rsidP="00750F08">
            <w:pPr>
              <w:tabs>
                <w:tab w:val="left" w:pos="567"/>
              </w:tabs>
              <w:jc w:val="center"/>
              <w:rPr>
                <w:b/>
                <w:color w:val="FF0000"/>
                <w:szCs w:val="24"/>
              </w:rPr>
            </w:pPr>
          </w:p>
        </w:tc>
        <w:tc>
          <w:tcPr>
            <w:tcW w:w="2500" w:type="pct"/>
            <w:shd w:val="clear" w:color="auto" w:fill="auto"/>
            <w:vAlign w:val="center"/>
          </w:tcPr>
          <w:p w:rsidR="00A043AD" w:rsidRPr="00A23740" w:rsidRDefault="00A043AD" w:rsidP="00750F08">
            <w:pPr>
              <w:pStyle w:val="Mavi"/>
            </w:pPr>
            <w:r w:rsidRPr="00A23740">
              <w:t>Yürütme</w:t>
            </w:r>
          </w:p>
          <w:p w:rsidR="00A043AD" w:rsidRPr="00A23740" w:rsidRDefault="00A043AD" w:rsidP="00750F08">
            <w:pPr>
              <w:pStyle w:val="Mavi"/>
            </w:pPr>
            <w:r w:rsidRPr="00A23740">
              <w:t xml:space="preserve">MADDE 551- (1) Bu Kanun hükümlerini </w:t>
            </w:r>
            <w:r w:rsidRPr="00A23740">
              <w:rPr>
                <w:lang w:val="tr-TR"/>
              </w:rPr>
              <w:t>Cumhurbaşkanı</w:t>
            </w:r>
            <w:r w:rsidRPr="00A23740">
              <w:t xml:space="preserve"> yürütür.</w:t>
            </w:r>
          </w:p>
          <w:p w:rsidR="00A043AD" w:rsidRPr="00A23740" w:rsidRDefault="00A043AD" w:rsidP="00750F08">
            <w:pPr>
              <w:pStyle w:val="Mavi"/>
            </w:pPr>
          </w:p>
        </w:tc>
      </w:tr>
      <w:tr w:rsidR="00A043AD" w:rsidRPr="00A23740" w:rsidTr="00750F08">
        <w:tblPrEx>
          <w:tblLook w:val="01E0" w:firstRow="1" w:lastRow="1" w:firstColumn="1" w:lastColumn="1" w:noHBand="0" w:noVBand="0"/>
        </w:tblPrEx>
        <w:tc>
          <w:tcPr>
            <w:tcW w:w="5000" w:type="pct"/>
            <w:gridSpan w:val="2"/>
            <w:shd w:val="clear" w:color="auto" w:fill="DEEAF6"/>
            <w:vAlign w:val="center"/>
          </w:tcPr>
          <w:p w:rsidR="00A043AD" w:rsidRPr="00A23740" w:rsidRDefault="00A043AD" w:rsidP="00750F08">
            <w:pPr>
              <w:ind w:firstLine="709"/>
              <w:rPr>
                <w:rFonts w:eastAsia="Times New Roman"/>
                <w:b/>
                <w:bCs/>
                <w:color w:val="000000"/>
                <w:szCs w:val="24"/>
                <w:lang w:eastAsia="tr-TR"/>
              </w:rPr>
            </w:pPr>
          </w:p>
          <w:p w:rsidR="00A043AD" w:rsidRPr="00A23740" w:rsidRDefault="00A043AD" w:rsidP="00750F08">
            <w:pPr>
              <w:ind w:firstLine="709"/>
              <w:rPr>
                <w:rFonts w:eastAsia="Times New Roman"/>
                <w:b/>
                <w:bCs/>
                <w:color w:val="000000"/>
                <w:szCs w:val="24"/>
                <w:lang w:eastAsia="tr-TR"/>
              </w:rPr>
            </w:pPr>
            <w:r w:rsidRPr="00A23740">
              <w:rPr>
                <w:rFonts w:eastAsia="Times New Roman"/>
                <w:b/>
                <w:bCs/>
                <w:color w:val="000000"/>
                <w:szCs w:val="24"/>
                <w:lang w:eastAsia="tr-TR"/>
              </w:rPr>
              <w:t>Yürütme</w:t>
            </w:r>
          </w:p>
          <w:p w:rsidR="00A043AD" w:rsidRPr="00A23740" w:rsidRDefault="00A043AD" w:rsidP="00750F08">
            <w:pPr>
              <w:ind w:firstLine="709"/>
              <w:rPr>
                <w:rFonts w:eastAsia="Times New Roman"/>
                <w:bCs/>
                <w:color w:val="000000"/>
                <w:szCs w:val="24"/>
                <w:lang w:eastAsia="tr-TR"/>
              </w:rPr>
            </w:pPr>
            <w:r w:rsidRPr="00A23740">
              <w:rPr>
                <w:rFonts w:eastAsia="Times New Roman"/>
                <w:b/>
                <w:bCs/>
                <w:color w:val="000000"/>
                <w:szCs w:val="24"/>
                <w:lang w:eastAsia="tr-TR"/>
              </w:rPr>
              <w:t>MADDE 551-</w:t>
            </w:r>
            <w:r w:rsidRPr="00A23740">
              <w:rPr>
                <w:rFonts w:eastAsia="Times New Roman"/>
                <w:bCs/>
                <w:color w:val="000000"/>
                <w:szCs w:val="24"/>
                <w:lang w:eastAsia="tr-TR"/>
              </w:rPr>
              <w:t> (1) Bu Kanun hükümlerini Cumhurbaşkanı yürütür.</w:t>
            </w:r>
          </w:p>
          <w:p w:rsidR="00A043AD" w:rsidRPr="00A23740" w:rsidRDefault="00A043AD" w:rsidP="00750F08">
            <w:pPr>
              <w:ind w:firstLine="709"/>
              <w:rPr>
                <w:rFonts w:eastAsia="Times New Roman"/>
                <w:b/>
                <w:bCs/>
                <w:color w:val="000000"/>
                <w:szCs w:val="24"/>
                <w:lang w:eastAsia="tr-TR"/>
              </w:rPr>
            </w:pPr>
          </w:p>
        </w:tc>
      </w:tr>
      <w:tr w:rsidR="00A043AD" w:rsidRPr="00A23740" w:rsidTr="00750F08">
        <w:tblPrEx>
          <w:tblLook w:val="01E0" w:firstRow="1" w:lastRow="1" w:firstColumn="1" w:lastColumn="1" w:noHBand="0" w:noVBand="0"/>
        </w:tblPrEx>
        <w:tc>
          <w:tcPr>
            <w:tcW w:w="5000" w:type="pct"/>
            <w:gridSpan w:val="2"/>
            <w:shd w:val="clear" w:color="auto" w:fill="DEEAF6"/>
            <w:vAlign w:val="center"/>
          </w:tcPr>
          <w:p w:rsidR="00A043AD" w:rsidRPr="00A23740" w:rsidRDefault="00A043AD" w:rsidP="00750F08">
            <w:pPr>
              <w:ind w:firstLine="709"/>
              <w:rPr>
                <w:rFonts w:eastAsia="Times New Roman"/>
                <w:b/>
                <w:bCs/>
                <w:color w:val="000000"/>
                <w:szCs w:val="24"/>
                <w:lang w:eastAsia="tr-TR"/>
              </w:rPr>
            </w:pPr>
          </w:p>
          <w:p w:rsidR="00A043AD" w:rsidRPr="00A23740" w:rsidRDefault="00A043AD" w:rsidP="00750F08">
            <w:pPr>
              <w:ind w:firstLine="709"/>
              <w:rPr>
                <w:rFonts w:eastAsia="Times New Roman"/>
                <w:bCs/>
                <w:color w:val="000000"/>
                <w:szCs w:val="24"/>
                <w:lang w:eastAsia="tr-TR"/>
              </w:rPr>
            </w:pPr>
            <w:r w:rsidRPr="00A23740">
              <w:rPr>
                <w:rFonts w:eastAsia="Times New Roman"/>
                <w:b/>
                <w:bCs/>
                <w:color w:val="000000"/>
                <w:szCs w:val="24"/>
                <w:lang w:eastAsia="tr-TR"/>
              </w:rPr>
              <w:t xml:space="preserve">MADDE 551- </w:t>
            </w:r>
            <w:r w:rsidRPr="00A23740">
              <w:rPr>
                <w:rFonts w:eastAsia="Times New Roman"/>
                <w:bCs/>
                <w:color w:val="000000"/>
                <w:szCs w:val="24"/>
                <w:lang w:eastAsia="tr-TR"/>
              </w:rPr>
              <w:t xml:space="preserve">Yürütme maddesidir. </w:t>
            </w:r>
            <w:r w:rsidRPr="00A23740">
              <w:rPr>
                <w:rStyle w:val="MaviChar"/>
                <w:lang w:val="tr-TR"/>
              </w:rPr>
              <w:t xml:space="preserve"> </w:t>
            </w:r>
          </w:p>
          <w:p w:rsidR="00A043AD" w:rsidRPr="00A23740" w:rsidRDefault="00A043AD" w:rsidP="00750F08">
            <w:pPr>
              <w:ind w:firstLine="709"/>
              <w:rPr>
                <w:rFonts w:eastAsia="Times New Roman"/>
                <w:b/>
                <w:bCs/>
                <w:color w:val="000000"/>
                <w:szCs w:val="24"/>
                <w:lang w:eastAsia="tr-TR"/>
              </w:rPr>
            </w:pPr>
          </w:p>
        </w:tc>
      </w:tr>
    </w:tbl>
    <w:p w:rsidR="00F5782D" w:rsidRPr="00DF598E" w:rsidRDefault="00F5782D" w:rsidP="007662C2"/>
    <w:sectPr w:rsidR="00F5782D" w:rsidRPr="00DF598E" w:rsidSect="00286987">
      <w:footerReference w:type="default" r:id="rId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368" w:rsidRDefault="00513368" w:rsidP="005F5E3D">
      <w:r>
        <w:separator/>
      </w:r>
    </w:p>
  </w:endnote>
  <w:endnote w:type="continuationSeparator" w:id="0">
    <w:p w:rsidR="00513368" w:rsidRDefault="00513368" w:rsidP="005F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New York">
    <w:panose1 w:val="02020502060305060204"/>
    <w:charset w:val="00"/>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ヒラギノ明朝 Pro W3">
    <w:altName w:val="Yu Gothic UI"/>
    <w:panose1 w:val="00000000000000000000"/>
    <w:charset w:val="80"/>
    <w:family w:val="auto"/>
    <w:notTrueType/>
    <w:pitch w:val="variable"/>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ArnoPro">
    <w:altName w:val="Cambria"/>
    <w:panose1 w:val="00000000000000000000"/>
    <w:charset w:val="00"/>
    <w:family w:val="roman"/>
    <w:notTrueType/>
    <w:pitch w:val="default"/>
  </w:font>
  <w:font w:name="Helvetica">
    <w:panose1 w:val="020B0504020202030204"/>
    <w:charset w:val="A2"/>
    <w:family w:val="swiss"/>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5DD" w:rsidRDefault="009D25DD">
    <w:pPr>
      <w:pStyle w:val="Altbilgi"/>
      <w:jc w:val="right"/>
    </w:pPr>
    <w:r>
      <w:rPr>
        <w:b/>
        <w:bCs/>
        <w:sz w:val="24"/>
        <w:szCs w:val="24"/>
      </w:rPr>
      <w:fldChar w:fldCharType="begin"/>
    </w:r>
    <w:r>
      <w:rPr>
        <w:b/>
        <w:bCs/>
      </w:rPr>
      <w:instrText>PAGE</w:instrText>
    </w:r>
    <w:r>
      <w:rPr>
        <w:b/>
        <w:bCs/>
        <w:sz w:val="24"/>
        <w:szCs w:val="24"/>
      </w:rPr>
      <w:fldChar w:fldCharType="separate"/>
    </w:r>
    <w:r w:rsidR="005F69B1">
      <w:rPr>
        <w:b/>
        <w:bCs/>
        <w:noProof/>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5F69B1">
      <w:rPr>
        <w:b/>
        <w:bCs/>
        <w:noProof/>
      </w:rPr>
      <w:t>143</w:t>
    </w:r>
    <w:r>
      <w:rPr>
        <w:b/>
        <w:bCs/>
        <w:sz w:val="24"/>
        <w:szCs w:val="24"/>
      </w:rPr>
      <w:fldChar w:fldCharType="end"/>
    </w:r>
  </w:p>
  <w:p w:rsidR="009D25DD" w:rsidRDefault="009D25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368" w:rsidRDefault="00513368" w:rsidP="005F5E3D">
      <w:r>
        <w:separator/>
      </w:r>
    </w:p>
  </w:footnote>
  <w:footnote w:type="continuationSeparator" w:id="0">
    <w:p w:rsidR="00513368" w:rsidRDefault="00513368" w:rsidP="005F5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026"/>
    <w:multiLevelType w:val="hybridMultilevel"/>
    <w:tmpl w:val="281C48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164568"/>
    <w:multiLevelType w:val="hybridMultilevel"/>
    <w:tmpl w:val="94ECA1B2"/>
    <w:lvl w:ilvl="0" w:tplc="2A3A3B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C54FB"/>
    <w:multiLevelType w:val="hybridMultilevel"/>
    <w:tmpl w:val="7270C650"/>
    <w:lvl w:ilvl="0" w:tplc="94203A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9F0F3F"/>
    <w:multiLevelType w:val="hybridMultilevel"/>
    <w:tmpl w:val="0F9898FE"/>
    <w:lvl w:ilvl="0" w:tplc="B4EC395C">
      <w:start w:val="1"/>
      <w:numFmt w:val="bullet"/>
      <w:lvlText w:val=""/>
      <w:lvlJc w:val="left"/>
      <w:pPr>
        <w:ind w:left="1568" w:hanging="360"/>
      </w:pPr>
      <w:rPr>
        <w:rFonts w:ascii="Wingdings" w:hAnsi="Wingdings" w:hint="default"/>
        <w:color w:val="auto"/>
      </w:rPr>
    </w:lvl>
    <w:lvl w:ilvl="1" w:tplc="041F0003" w:tentative="1">
      <w:start w:val="1"/>
      <w:numFmt w:val="bullet"/>
      <w:lvlText w:val="o"/>
      <w:lvlJc w:val="left"/>
      <w:pPr>
        <w:ind w:left="2288" w:hanging="360"/>
      </w:pPr>
      <w:rPr>
        <w:rFonts w:ascii="Courier New" w:hAnsi="Courier New" w:cs="Courier New" w:hint="default"/>
      </w:rPr>
    </w:lvl>
    <w:lvl w:ilvl="2" w:tplc="041F0005" w:tentative="1">
      <w:start w:val="1"/>
      <w:numFmt w:val="bullet"/>
      <w:lvlText w:val=""/>
      <w:lvlJc w:val="left"/>
      <w:pPr>
        <w:ind w:left="3008" w:hanging="360"/>
      </w:pPr>
      <w:rPr>
        <w:rFonts w:ascii="Wingdings" w:hAnsi="Wingdings" w:hint="default"/>
      </w:rPr>
    </w:lvl>
    <w:lvl w:ilvl="3" w:tplc="041F0001" w:tentative="1">
      <w:start w:val="1"/>
      <w:numFmt w:val="bullet"/>
      <w:lvlText w:val=""/>
      <w:lvlJc w:val="left"/>
      <w:pPr>
        <w:ind w:left="3728" w:hanging="360"/>
      </w:pPr>
      <w:rPr>
        <w:rFonts w:ascii="Symbol" w:hAnsi="Symbol" w:hint="default"/>
      </w:rPr>
    </w:lvl>
    <w:lvl w:ilvl="4" w:tplc="041F0003" w:tentative="1">
      <w:start w:val="1"/>
      <w:numFmt w:val="bullet"/>
      <w:lvlText w:val="o"/>
      <w:lvlJc w:val="left"/>
      <w:pPr>
        <w:ind w:left="4448" w:hanging="360"/>
      </w:pPr>
      <w:rPr>
        <w:rFonts w:ascii="Courier New" w:hAnsi="Courier New" w:cs="Courier New" w:hint="default"/>
      </w:rPr>
    </w:lvl>
    <w:lvl w:ilvl="5" w:tplc="041F0005" w:tentative="1">
      <w:start w:val="1"/>
      <w:numFmt w:val="bullet"/>
      <w:lvlText w:val=""/>
      <w:lvlJc w:val="left"/>
      <w:pPr>
        <w:ind w:left="5168" w:hanging="360"/>
      </w:pPr>
      <w:rPr>
        <w:rFonts w:ascii="Wingdings" w:hAnsi="Wingdings" w:hint="default"/>
      </w:rPr>
    </w:lvl>
    <w:lvl w:ilvl="6" w:tplc="041F0001" w:tentative="1">
      <w:start w:val="1"/>
      <w:numFmt w:val="bullet"/>
      <w:lvlText w:val=""/>
      <w:lvlJc w:val="left"/>
      <w:pPr>
        <w:ind w:left="5888" w:hanging="360"/>
      </w:pPr>
      <w:rPr>
        <w:rFonts w:ascii="Symbol" w:hAnsi="Symbol" w:hint="default"/>
      </w:rPr>
    </w:lvl>
    <w:lvl w:ilvl="7" w:tplc="041F0003" w:tentative="1">
      <w:start w:val="1"/>
      <w:numFmt w:val="bullet"/>
      <w:lvlText w:val="o"/>
      <w:lvlJc w:val="left"/>
      <w:pPr>
        <w:ind w:left="6608" w:hanging="360"/>
      </w:pPr>
      <w:rPr>
        <w:rFonts w:ascii="Courier New" w:hAnsi="Courier New" w:cs="Courier New" w:hint="default"/>
      </w:rPr>
    </w:lvl>
    <w:lvl w:ilvl="8" w:tplc="041F0005" w:tentative="1">
      <w:start w:val="1"/>
      <w:numFmt w:val="bullet"/>
      <w:lvlText w:val=""/>
      <w:lvlJc w:val="left"/>
      <w:pPr>
        <w:ind w:left="7328" w:hanging="360"/>
      </w:pPr>
      <w:rPr>
        <w:rFonts w:ascii="Wingdings" w:hAnsi="Wingdings" w:hint="default"/>
      </w:rPr>
    </w:lvl>
  </w:abstractNum>
  <w:abstractNum w:abstractNumId="4" w15:restartNumberingAfterBreak="0">
    <w:nsid w:val="13072CE9"/>
    <w:multiLevelType w:val="hybridMultilevel"/>
    <w:tmpl w:val="2976E180"/>
    <w:lvl w:ilvl="0" w:tplc="69322A26">
      <w:start w:val="1"/>
      <w:numFmt w:val="bullet"/>
      <w:lvlText w:val=""/>
      <w:lvlJc w:val="left"/>
      <w:pPr>
        <w:tabs>
          <w:tab w:val="num" w:pos="720"/>
        </w:tabs>
        <w:ind w:left="720" w:hanging="360"/>
      </w:pPr>
      <w:rPr>
        <w:rFonts w:ascii="Wingdings" w:hAnsi="Wingdings" w:hint="default"/>
      </w:rPr>
    </w:lvl>
    <w:lvl w:ilvl="1" w:tplc="81EA696C">
      <w:start w:val="2498"/>
      <w:numFmt w:val="bullet"/>
      <w:lvlText w:val="→"/>
      <w:lvlJc w:val="left"/>
      <w:pPr>
        <w:tabs>
          <w:tab w:val="num" w:pos="1440"/>
        </w:tabs>
        <w:ind w:left="1440" w:hanging="360"/>
      </w:pPr>
      <w:rPr>
        <w:rFonts w:ascii="Calibri" w:hAnsi="Calibri" w:hint="default"/>
      </w:rPr>
    </w:lvl>
    <w:lvl w:ilvl="2" w:tplc="CAE09362">
      <w:start w:val="2498"/>
      <w:numFmt w:val="bullet"/>
      <w:lvlText w:val="•"/>
      <w:lvlJc w:val="left"/>
      <w:pPr>
        <w:tabs>
          <w:tab w:val="num" w:pos="2160"/>
        </w:tabs>
        <w:ind w:left="2160" w:hanging="360"/>
      </w:pPr>
      <w:rPr>
        <w:rFonts w:ascii="Arial" w:hAnsi="Arial" w:hint="default"/>
      </w:rPr>
    </w:lvl>
    <w:lvl w:ilvl="3" w:tplc="7F30CE66" w:tentative="1">
      <w:start w:val="1"/>
      <w:numFmt w:val="bullet"/>
      <w:lvlText w:val=""/>
      <w:lvlJc w:val="left"/>
      <w:pPr>
        <w:tabs>
          <w:tab w:val="num" w:pos="2880"/>
        </w:tabs>
        <w:ind w:left="2880" w:hanging="360"/>
      </w:pPr>
      <w:rPr>
        <w:rFonts w:ascii="Wingdings" w:hAnsi="Wingdings" w:hint="default"/>
      </w:rPr>
    </w:lvl>
    <w:lvl w:ilvl="4" w:tplc="BB26293C" w:tentative="1">
      <w:start w:val="1"/>
      <w:numFmt w:val="bullet"/>
      <w:lvlText w:val=""/>
      <w:lvlJc w:val="left"/>
      <w:pPr>
        <w:tabs>
          <w:tab w:val="num" w:pos="3600"/>
        </w:tabs>
        <w:ind w:left="3600" w:hanging="360"/>
      </w:pPr>
      <w:rPr>
        <w:rFonts w:ascii="Wingdings" w:hAnsi="Wingdings" w:hint="default"/>
      </w:rPr>
    </w:lvl>
    <w:lvl w:ilvl="5" w:tplc="2D604766" w:tentative="1">
      <w:start w:val="1"/>
      <w:numFmt w:val="bullet"/>
      <w:lvlText w:val=""/>
      <w:lvlJc w:val="left"/>
      <w:pPr>
        <w:tabs>
          <w:tab w:val="num" w:pos="4320"/>
        </w:tabs>
        <w:ind w:left="4320" w:hanging="360"/>
      </w:pPr>
      <w:rPr>
        <w:rFonts w:ascii="Wingdings" w:hAnsi="Wingdings" w:hint="default"/>
      </w:rPr>
    </w:lvl>
    <w:lvl w:ilvl="6" w:tplc="9586C2D2" w:tentative="1">
      <w:start w:val="1"/>
      <w:numFmt w:val="bullet"/>
      <w:lvlText w:val=""/>
      <w:lvlJc w:val="left"/>
      <w:pPr>
        <w:tabs>
          <w:tab w:val="num" w:pos="5040"/>
        </w:tabs>
        <w:ind w:left="5040" w:hanging="360"/>
      </w:pPr>
      <w:rPr>
        <w:rFonts w:ascii="Wingdings" w:hAnsi="Wingdings" w:hint="default"/>
      </w:rPr>
    </w:lvl>
    <w:lvl w:ilvl="7" w:tplc="69D45F8E" w:tentative="1">
      <w:start w:val="1"/>
      <w:numFmt w:val="bullet"/>
      <w:lvlText w:val=""/>
      <w:lvlJc w:val="left"/>
      <w:pPr>
        <w:tabs>
          <w:tab w:val="num" w:pos="5760"/>
        </w:tabs>
        <w:ind w:left="5760" w:hanging="360"/>
      </w:pPr>
      <w:rPr>
        <w:rFonts w:ascii="Wingdings" w:hAnsi="Wingdings" w:hint="default"/>
      </w:rPr>
    </w:lvl>
    <w:lvl w:ilvl="8" w:tplc="43BCF4A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055A95"/>
    <w:multiLevelType w:val="hybridMultilevel"/>
    <w:tmpl w:val="D95AFF28"/>
    <w:lvl w:ilvl="0" w:tplc="72F8339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170B38"/>
    <w:multiLevelType w:val="hybridMultilevel"/>
    <w:tmpl w:val="679E82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BDC732A"/>
    <w:multiLevelType w:val="hybridMultilevel"/>
    <w:tmpl w:val="3EBC0494"/>
    <w:lvl w:ilvl="0" w:tplc="1C1810E8">
      <w:start w:val="1"/>
      <w:numFmt w:val="bullet"/>
      <w:lvlText w:val=""/>
      <w:lvlJc w:val="left"/>
      <w:pPr>
        <w:ind w:left="1571" w:hanging="360"/>
      </w:pPr>
      <w:rPr>
        <w:rFonts w:ascii="Wingdings" w:hAnsi="Wingdings" w:hint="default"/>
        <w:color w:val="auto"/>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8" w15:restartNumberingAfterBreak="0">
    <w:nsid w:val="1F8616B0"/>
    <w:multiLevelType w:val="hybridMultilevel"/>
    <w:tmpl w:val="36CA552A"/>
    <w:lvl w:ilvl="0" w:tplc="A1EA3B64">
      <w:start w:val="1"/>
      <w:numFmt w:val="bullet"/>
      <w:lvlText w:val=""/>
      <w:lvlJc w:val="left"/>
      <w:pPr>
        <w:tabs>
          <w:tab w:val="num" w:pos="720"/>
        </w:tabs>
        <w:ind w:left="720" w:hanging="360"/>
      </w:pPr>
      <w:rPr>
        <w:rFonts w:ascii="Wingdings" w:hAnsi="Wingdings" w:hint="default"/>
      </w:rPr>
    </w:lvl>
    <w:lvl w:ilvl="1" w:tplc="E14CD78E">
      <w:start w:val="2564"/>
      <w:numFmt w:val="bullet"/>
      <w:lvlText w:val="→"/>
      <w:lvlJc w:val="left"/>
      <w:pPr>
        <w:tabs>
          <w:tab w:val="num" w:pos="1440"/>
        </w:tabs>
        <w:ind w:left="1440" w:hanging="360"/>
      </w:pPr>
      <w:rPr>
        <w:rFonts w:ascii="Calibri" w:hAnsi="Calibri" w:hint="default"/>
      </w:rPr>
    </w:lvl>
    <w:lvl w:ilvl="2" w:tplc="FE8873A8">
      <w:start w:val="2564"/>
      <w:numFmt w:val="bullet"/>
      <w:lvlText w:val="•"/>
      <w:lvlJc w:val="left"/>
      <w:pPr>
        <w:tabs>
          <w:tab w:val="num" w:pos="2160"/>
        </w:tabs>
        <w:ind w:left="2160" w:hanging="360"/>
      </w:pPr>
      <w:rPr>
        <w:rFonts w:ascii="Arial" w:hAnsi="Arial" w:hint="default"/>
      </w:rPr>
    </w:lvl>
    <w:lvl w:ilvl="3" w:tplc="9656E5FA" w:tentative="1">
      <w:start w:val="1"/>
      <w:numFmt w:val="bullet"/>
      <w:lvlText w:val=""/>
      <w:lvlJc w:val="left"/>
      <w:pPr>
        <w:tabs>
          <w:tab w:val="num" w:pos="2880"/>
        </w:tabs>
        <w:ind w:left="2880" w:hanging="360"/>
      </w:pPr>
      <w:rPr>
        <w:rFonts w:ascii="Wingdings" w:hAnsi="Wingdings" w:hint="default"/>
      </w:rPr>
    </w:lvl>
    <w:lvl w:ilvl="4" w:tplc="2F2622A0" w:tentative="1">
      <w:start w:val="1"/>
      <w:numFmt w:val="bullet"/>
      <w:lvlText w:val=""/>
      <w:lvlJc w:val="left"/>
      <w:pPr>
        <w:tabs>
          <w:tab w:val="num" w:pos="3600"/>
        </w:tabs>
        <w:ind w:left="3600" w:hanging="360"/>
      </w:pPr>
      <w:rPr>
        <w:rFonts w:ascii="Wingdings" w:hAnsi="Wingdings" w:hint="default"/>
      </w:rPr>
    </w:lvl>
    <w:lvl w:ilvl="5" w:tplc="B4220F46" w:tentative="1">
      <w:start w:val="1"/>
      <w:numFmt w:val="bullet"/>
      <w:lvlText w:val=""/>
      <w:lvlJc w:val="left"/>
      <w:pPr>
        <w:tabs>
          <w:tab w:val="num" w:pos="4320"/>
        </w:tabs>
        <w:ind w:left="4320" w:hanging="360"/>
      </w:pPr>
      <w:rPr>
        <w:rFonts w:ascii="Wingdings" w:hAnsi="Wingdings" w:hint="default"/>
      </w:rPr>
    </w:lvl>
    <w:lvl w:ilvl="6" w:tplc="460EEB78" w:tentative="1">
      <w:start w:val="1"/>
      <w:numFmt w:val="bullet"/>
      <w:lvlText w:val=""/>
      <w:lvlJc w:val="left"/>
      <w:pPr>
        <w:tabs>
          <w:tab w:val="num" w:pos="5040"/>
        </w:tabs>
        <w:ind w:left="5040" w:hanging="360"/>
      </w:pPr>
      <w:rPr>
        <w:rFonts w:ascii="Wingdings" w:hAnsi="Wingdings" w:hint="default"/>
      </w:rPr>
    </w:lvl>
    <w:lvl w:ilvl="7" w:tplc="E1AC05EA" w:tentative="1">
      <w:start w:val="1"/>
      <w:numFmt w:val="bullet"/>
      <w:lvlText w:val=""/>
      <w:lvlJc w:val="left"/>
      <w:pPr>
        <w:tabs>
          <w:tab w:val="num" w:pos="5760"/>
        </w:tabs>
        <w:ind w:left="5760" w:hanging="360"/>
      </w:pPr>
      <w:rPr>
        <w:rFonts w:ascii="Wingdings" w:hAnsi="Wingdings" w:hint="default"/>
      </w:rPr>
    </w:lvl>
    <w:lvl w:ilvl="8" w:tplc="449808A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9C3B8D"/>
    <w:multiLevelType w:val="hybridMultilevel"/>
    <w:tmpl w:val="81CE23BE"/>
    <w:lvl w:ilvl="0" w:tplc="FF7E29D0">
      <w:start w:val="1"/>
      <w:numFmt w:val="decimal"/>
      <w:lvlText w:val="(%1)"/>
      <w:lvlJc w:val="left"/>
      <w:pPr>
        <w:ind w:left="1099" w:hanging="39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15:restartNumberingAfterBreak="0">
    <w:nsid w:val="22960ADB"/>
    <w:multiLevelType w:val="hybridMultilevel"/>
    <w:tmpl w:val="C6BEE0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4E1CE8"/>
    <w:multiLevelType w:val="hybridMultilevel"/>
    <w:tmpl w:val="185A9420"/>
    <w:lvl w:ilvl="0" w:tplc="F084C16E">
      <w:start w:val="1"/>
      <w:numFmt w:val="decimal"/>
      <w:lvlText w:val="(%1)"/>
      <w:lvlJc w:val="left"/>
      <w:pPr>
        <w:ind w:left="810" w:hanging="45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D6754E"/>
    <w:multiLevelType w:val="hybridMultilevel"/>
    <w:tmpl w:val="85C2F0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91551C6"/>
    <w:multiLevelType w:val="hybridMultilevel"/>
    <w:tmpl w:val="EC506F76"/>
    <w:lvl w:ilvl="0" w:tplc="F1ECAF9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B05179F"/>
    <w:multiLevelType w:val="hybridMultilevel"/>
    <w:tmpl w:val="06683D5E"/>
    <w:lvl w:ilvl="0" w:tplc="D8C6DFE6">
      <w:start w:val="1"/>
      <w:numFmt w:val="upperRoman"/>
      <w:lvlText w:val="%1."/>
      <w:lvlJc w:val="left"/>
      <w:pPr>
        <w:ind w:left="1428" w:hanging="72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2B6202DF"/>
    <w:multiLevelType w:val="hybridMultilevel"/>
    <w:tmpl w:val="30F0F44E"/>
    <w:lvl w:ilvl="0" w:tplc="2696C2F2">
      <w:start w:val="1"/>
      <w:numFmt w:val="upperRoman"/>
      <w:lvlText w:val="%1)"/>
      <w:lvlJc w:val="left"/>
      <w:pPr>
        <w:ind w:left="1080" w:hanging="720"/>
      </w:pPr>
      <w:rPr>
        <w:rFonts w:eastAsia="Calibri"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8B32E6"/>
    <w:multiLevelType w:val="hybridMultilevel"/>
    <w:tmpl w:val="E53CAAB2"/>
    <w:lvl w:ilvl="0" w:tplc="677C58AA">
      <w:start w:val="1"/>
      <w:numFmt w:val="lowerLetter"/>
      <w:lvlText w:val="(%1)"/>
      <w:lvlJc w:val="left"/>
      <w:pPr>
        <w:ind w:left="987" w:hanging="360"/>
      </w:pPr>
      <w:rPr>
        <w:rFonts w:hint="default"/>
      </w:rPr>
    </w:lvl>
    <w:lvl w:ilvl="1" w:tplc="041F0019" w:tentative="1">
      <w:start w:val="1"/>
      <w:numFmt w:val="lowerLetter"/>
      <w:lvlText w:val="%2."/>
      <w:lvlJc w:val="left"/>
      <w:pPr>
        <w:ind w:left="1707" w:hanging="360"/>
      </w:pPr>
    </w:lvl>
    <w:lvl w:ilvl="2" w:tplc="041F001B" w:tentative="1">
      <w:start w:val="1"/>
      <w:numFmt w:val="lowerRoman"/>
      <w:lvlText w:val="%3."/>
      <w:lvlJc w:val="right"/>
      <w:pPr>
        <w:ind w:left="2427" w:hanging="180"/>
      </w:pPr>
    </w:lvl>
    <w:lvl w:ilvl="3" w:tplc="041F000F" w:tentative="1">
      <w:start w:val="1"/>
      <w:numFmt w:val="decimal"/>
      <w:lvlText w:val="%4."/>
      <w:lvlJc w:val="left"/>
      <w:pPr>
        <w:ind w:left="3147" w:hanging="360"/>
      </w:pPr>
    </w:lvl>
    <w:lvl w:ilvl="4" w:tplc="041F0019" w:tentative="1">
      <w:start w:val="1"/>
      <w:numFmt w:val="lowerLetter"/>
      <w:lvlText w:val="%5."/>
      <w:lvlJc w:val="left"/>
      <w:pPr>
        <w:ind w:left="3867" w:hanging="360"/>
      </w:pPr>
    </w:lvl>
    <w:lvl w:ilvl="5" w:tplc="041F001B" w:tentative="1">
      <w:start w:val="1"/>
      <w:numFmt w:val="lowerRoman"/>
      <w:lvlText w:val="%6."/>
      <w:lvlJc w:val="right"/>
      <w:pPr>
        <w:ind w:left="4587" w:hanging="180"/>
      </w:pPr>
    </w:lvl>
    <w:lvl w:ilvl="6" w:tplc="041F000F" w:tentative="1">
      <w:start w:val="1"/>
      <w:numFmt w:val="decimal"/>
      <w:lvlText w:val="%7."/>
      <w:lvlJc w:val="left"/>
      <w:pPr>
        <w:ind w:left="5307" w:hanging="360"/>
      </w:pPr>
    </w:lvl>
    <w:lvl w:ilvl="7" w:tplc="041F0019" w:tentative="1">
      <w:start w:val="1"/>
      <w:numFmt w:val="lowerLetter"/>
      <w:lvlText w:val="%8."/>
      <w:lvlJc w:val="left"/>
      <w:pPr>
        <w:ind w:left="6027" w:hanging="360"/>
      </w:pPr>
    </w:lvl>
    <w:lvl w:ilvl="8" w:tplc="041F001B" w:tentative="1">
      <w:start w:val="1"/>
      <w:numFmt w:val="lowerRoman"/>
      <w:lvlText w:val="%9."/>
      <w:lvlJc w:val="right"/>
      <w:pPr>
        <w:ind w:left="6747" w:hanging="180"/>
      </w:pPr>
    </w:lvl>
  </w:abstractNum>
  <w:abstractNum w:abstractNumId="17" w15:restartNumberingAfterBreak="0">
    <w:nsid w:val="34D46722"/>
    <w:multiLevelType w:val="hybridMultilevel"/>
    <w:tmpl w:val="9B8CF0D8"/>
    <w:lvl w:ilvl="0" w:tplc="4EE87DFE">
      <w:start w:val="1"/>
      <w:numFmt w:val="bullet"/>
      <w:lvlText w:val=""/>
      <w:lvlJc w:val="left"/>
      <w:pPr>
        <w:tabs>
          <w:tab w:val="num" w:pos="720"/>
        </w:tabs>
        <w:ind w:left="720" w:hanging="360"/>
      </w:pPr>
      <w:rPr>
        <w:rFonts w:ascii="Wingdings" w:hAnsi="Wingdings" w:hint="default"/>
      </w:rPr>
    </w:lvl>
    <w:lvl w:ilvl="1" w:tplc="FD1C9E40">
      <w:start w:val="696"/>
      <w:numFmt w:val="bullet"/>
      <w:lvlText w:val="→"/>
      <w:lvlJc w:val="left"/>
      <w:pPr>
        <w:tabs>
          <w:tab w:val="num" w:pos="1440"/>
        </w:tabs>
        <w:ind w:left="1440" w:hanging="360"/>
      </w:pPr>
      <w:rPr>
        <w:rFonts w:ascii="Calibri" w:hAnsi="Calibri" w:hint="default"/>
      </w:rPr>
    </w:lvl>
    <w:lvl w:ilvl="2" w:tplc="9B20B436">
      <w:start w:val="696"/>
      <w:numFmt w:val="bullet"/>
      <w:lvlText w:val="•"/>
      <w:lvlJc w:val="left"/>
      <w:pPr>
        <w:tabs>
          <w:tab w:val="num" w:pos="2160"/>
        </w:tabs>
        <w:ind w:left="2160" w:hanging="360"/>
      </w:pPr>
      <w:rPr>
        <w:rFonts w:ascii="Arial" w:hAnsi="Arial" w:hint="default"/>
      </w:rPr>
    </w:lvl>
    <w:lvl w:ilvl="3" w:tplc="E9A400DC" w:tentative="1">
      <w:start w:val="1"/>
      <w:numFmt w:val="bullet"/>
      <w:lvlText w:val=""/>
      <w:lvlJc w:val="left"/>
      <w:pPr>
        <w:tabs>
          <w:tab w:val="num" w:pos="2880"/>
        </w:tabs>
        <w:ind w:left="2880" w:hanging="360"/>
      </w:pPr>
      <w:rPr>
        <w:rFonts w:ascii="Wingdings" w:hAnsi="Wingdings" w:hint="default"/>
      </w:rPr>
    </w:lvl>
    <w:lvl w:ilvl="4" w:tplc="398869C0" w:tentative="1">
      <w:start w:val="1"/>
      <w:numFmt w:val="bullet"/>
      <w:lvlText w:val=""/>
      <w:lvlJc w:val="left"/>
      <w:pPr>
        <w:tabs>
          <w:tab w:val="num" w:pos="3600"/>
        </w:tabs>
        <w:ind w:left="3600" w:hanging="360"/>
      </w:pPr>
      <w:rPr>
        <w:rFonts w:ascii="Wingdings" w:hAnsi="Wingdings" w:hint="default"/>
      </w:rPr>
    </w:lvl>
    <w:lvl w:ilvl="5" w:tplc="4C1C4A04" w:tentative="1">
      <w:start w:val="1"/>
      <w:numFmt w:val="bullet"/>
      <w:lvlText w:val=""/>
      <w:lvlJc w:val="left"/>
      <w:pPr>
        <w:tabs>
          <w:tab w:val="num" w:pos="4320"/>
        </w:tabs>
        <w:ind w:left="4320" w:hanging="360"/>
      </w:pPr>
      <w:rPr>
        <w:rFonts w:ascii="Wingdings" w:hAnsi="Wingdings" w:hint="default"/>
      </w:rPr>
    </w:lvl>
    <w:lvl w:ilvl="6" w:tplc="1302AEB4" w:tentative="1">
      <w:start w:val="1"/>
      <w:numFmt w:val="bullet"/>
      <w:lvlText w:val=""/>
      <w:lvlJc w:val="left"/>
      <w:pPr>
        <w:tabs>
          <w:tab w:val="num" w:pos="5040"/>
        </w:tabs>
        <w:ind w:left="5040" w:hanging="360"/>
      </w:pPr>
      <w:rPr>
        <w:rFonts w:ascii="Wingdings" w:hAnsi="Wingdings" w:hint="default"/>
      </w:rPr>
    </w:lvl>
    <w:lvl w:ilvl="7" w:tplc="CA026484" w:tentative="1">
      <w:start w:val="1"/>
      <w:numFmt w:val="bullet"/>
      <w:lvlText w:val=""/>
      <w:lvlJc w:val="left"/>
      <w:pPr>
        <w:tabs>
          <w:tab w:val="num" w:pos="5760"/>
        </w:tabs>
        <w:ind w:left="5760" w:hanging="360"/>
      </w:pPr>
      <w:rPr>
        <w:rFonts w:ascii="Wingdings" w:hAnsi="Wingdings" w:hint="default"/>
      </w:rPr>
    </w:lvl>
    <w:lvl w:ilvl="8" w:tplc="83B66F8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2E68B6"/>
    <w:multiLevelType w:val="hybridMultilevel"/>
    <w:tmpl w:val="48D468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ACC6050"/>
    <w:multiLevelType w:val="hybridMultilevel"/>
    <w:tmpl w:val="529EDD9C"/>
    <w:lvl w:ilvl="0" w:tplc="63C4AFEE">
      <w:start w:val="1"/>
      <w:numFmt w:val="bullet"/>
      <w:lvlText w:val=""/>
      <w:lvlJc w:val="left"/>
      <w:pPr>
        <w:tabs>
          <w:tab w:val="num" w:pos="720"/>
        </w:tabs>
        <w:ind w:left="720" w:hanging="360"/>
      </w:pPr>
      <w:rPr>
        <w:rFonts w:ascii="Wingdings" w:hAnsi="Wingdings" w:hint="default"/>
      </w:rPr>
    </w:lvl>
    <w:lvl w:ilvl="1" w:tplc="D3282280">
      <w:start w:val="2083"/>
      <w:numFmt w:val="bullet"/>
      <w:lvlText w:val="→"/>
      <w:lvlJc w:val="left"/>
      <w:pPr>
        <w:tabs>
          <w:tab w:val="num" w:pos="1440"/>
        </w:tabs>
        <w:ind w:left="1440" w:hanging="360"/>
      </w:pPr>
      <w:rPr>
        <w:rFonts w:ascii="Calibri" w:hAnsi="Calibri" w:hint="default"/>
      </w:rPr>
    </w:lvl>
    <w:lvl w:ilvl="2" w:tplc="DA988DA6">
      <w:start w:val="2083"/>
      <w:numFmt w:val="bullet"/>
      <w:lvlText w:val="•"/>
      <w:lvlJc w:val="left"/>
      <w:pPr>
        <w:tabs>
          <w:tab w:val="num" w:pos="2160"/>
        </w:tabs>
        <w:ind w:left="2160" w:hanging="360"/>
      </w:pPr>
      <w:rPr>
        <w:rFonts w:ascii="Arial" w:hAnsi="Arial" w:hint="default"/>
      </w:rPr>
    </w:lvl>
    <w:lvl w:ilvl="3" w:tplc="7F520BD2" w:tentative="1">
      <w:start w:val="1"/>
      <w:numFmt w:val="bullet"/>
      <w:lvlText w:val=""/>
      <w:lvlJc w:val="left"/>
      <w:pPr>
        <w:tabs>
          <w:tab w:val="num" w:pos="2880"/>
        </w:tabs>
        <w:ind w:left="2880" w:hanging="360"/>
      </w:pPr>
      <w:rPr>
        <w:rFonts w:ascii="Wingdings" w:hAnsi="Wingdings" w:hint="default"/>
      </w:rPr>
    </w:lvl>
    <w:lvl w:ilvl="4" w:tplc="E4DC5A02" w:tentative="1">
      <w:start w:val="1"/>
      <w:numFmt w:val="bullet"/>
      <w:lvlText w:val=""/>
      <w:lvlJc w:val="left"/>
      <w:pPr>
        <w:tabs>
          <w:tab w:val="num" w:pos="3600"/>
        </w:tabs>
        <w:ind w:left="3600" w:hanging="360"/>
      </w:pPr>
      <w:rPr>
        <w:rFonts w:ascii="Wingdings" w:hAnsi="Wingdings" w:hint="default"/>
      </w:rPr>
    </w:lvl>
    <w:lvl w:ilvl="5" w:tplc="737CFF02" w:tentative="1">
      <w:start w:val="1"/>
      <w:numFmt w:val="bullet"/>
      <w:lvlText w:val=""/>
      <w:lvlJc w:val="left"/>
      <w:pPr>
        <w:tabs>
          <w:tab w:val="num" w:pos="4320"/>
        </w:tabs>
        <w:ind w:left="4320" w:hanging="360"/>
      </w:pPr>
      <w:rPr>
        <w:rFonts w:ascii="Wingdings" w:hAnsi="Wingdings" w:hint="default"/>
      </w:rPr>
    </w:lvl>
    <w:lvl w:ilvl="6" w:tplc="8078E5DC" w:tentative="1">
      <w:start w:val="1"/>
      <w:numFmt w:val="bullet"/>
      <w:lvlText w:val=""/>
      <w:lvlJc w:val="left"/>
      <w:pPr>
        <w:tabs>
          <w:tab w:val="num" w:pos="5040"/>
        </w:tabs>
        <w:ind w:left="5040" w:hanging="360"/>
      </w:pPr>
      <w:rPr>
        <w:rFonts w:ascii="Wingdings" w:hAnsi="Wingdings" w:hint="default"/>
      </w:rPr>
    </w:lvl>
    <w:lvl w:ilvl="7" w:tplc="E0D258FA" w:tentative="1">
      <w:start w:val="1"/>
      <w:numFmt w:val="bullet"/>
      <w:lvlText w:val=""/>
      <w:lvlJc w:val="left"/>
      <w:pPr>
        <w:tabs>
          <w:tab w:val="num" w:pos="5760"/>
        </w:tabs>
        <w:ind w:left="5760" w:hanging="360"/>
      </w:pPr>
      <w:rPr>
        <w:rFonts w:ascii="Wingdings" w:hAnsi="Wingdings" w:hint="default"/>
      </w:rPr>
    </w:lvl>
    <w:lvl w:ilvl="8" w:tplc="D4C62FA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54A7A"/>
    <w:multiLevelType w:val="hybridMultilevel"/>
    <w:tmpl w:val="DAA80F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FC620C"/>
    <w:multiLevelType w:val="hybridMultilevel"/>
    <w:tmpl w:val="1C6A8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B16609"/>
    <w:multiLevelType w:val="hybridMultilevel"/>
    <w:tmpl w:val="279838FC"/>
    <w:lvl w:ilvl="0" w:tplc="BA20D0C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765235A"/>
    <w:multiLevelType w:val="hybridMultilevel"/>
    <w:tmpl w:val="E3968F3A"/>
    <w:lvl w:ilvl="0" w:tplc="C3A640F8">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4" w15:restartNumberingAfterBreak="0">
    <w:nsid w:val="4AE205AD"/>
    <w:multiLevelType w:val="hybridMultilevel"/>
    <w:tmpl w:val="7BF83762"/>
    <w:lvl w:ilvl="0" w:tplc="7396C02A">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5" w15:restartNumberingAfterBreak="0">
    <w:nsid w:val="4E751AFD"/>
    <w:multiLevelType w:val="hybridMultilevel"/>
    <w:tmpl w:val="F5DC8D48"/>
    <w:lvl w:ilvl="0" w:tplc="950EAA9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6" w15:restartNumberingAfterBreak="0">
    <w:nsid w:val="503F4FC2"/>
    <w:multiLevelType w:val="hybridMultilevel"/>
    <w:tmpl w:val="18D0554E"/>
    <w:lvl w:ilvl="0" w:tplc="D30624B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51531C25"/>
    <w:multiLevelType w:val="hybridMultilevel"/>
    <w:tmpl w:val="0456AE82"/>
    <w:lvl w:ilvl="0" w:tplc="ECBA514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15:restartNumberingAfterBreak="0">
    <w:nsid w:val="58805DEE"/>
    <w:multiLevelType w:val="hybridMultilevel"/>
    <w:tmpl w:val="0C4E8904"/>
    <w:lvl w:ilvl="0" w:tplc="F482D2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8A74847"/>
    <w:multiLevelType w:val="hybridMultilevel"/>
    <w:tmpl w:val="4A28597E"/>
    <w:lvl w:ilvl="0" w:tplc="68F86D66">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0" w15:restartNumberingAfterBreak="0">
    <w:nsid w:val="5997312F"/>
    <w:multiLevelType w:val="hybridMultilevel"/>
    <w:tmpl w:val="D92E3F40"/>
    <w:lvl w:ilvl="0" w:tplc="2D2429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AC918AF"/>
    <w:multiLevelType w:val="hybridMultilevel"/>
    <w:tmpl w:val="EEB8CA08"/>
    <w:lvl w:ilvl="0" w:tplc="9DE272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F8C5AE1"/>
    <w:multiLevelType w:val="hybridMultilevel"/>
    <w:tmpl w:val="925099B2"/>
    <w:lvl w:ilvl="0" w:tplc="4E52276A">
      <w:start w:val="15"/>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3" w15:restartNumberingAfterBreak="0">
    <w:nsid w:val="648A5916"/>
    <w:multiLevelType w:val="hybridMultilevel"/>
    <w:tmpl w:val="A1CE0C90"/>
    <w:lvl w:ilvl="0" w:tplc="5D749BFC">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ABE46F0"/>
    <w:multiLevelType w:val="hybridMultilevel"/>
    <w:tmpl w:val="9F90F72A"/>
    <w:lvl w:ilvl="0" w:tplc="1E3419B6">
      <w:start w:val="1"/>
      <w:numFmt w:val="lowerLetter"/>
      <w:lvlText w:val="(%1)"/>
      <w:lvlJc w:val="left"/>
      <w:pPr>
        <w:ind w:left="720" w:hanging="360"/>
      </w:pPr>
      <w:rPr>
        <w:rFonts w:hint="default"/>
        <w:color w:val="00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0B8174A"/>
    <w:multiLevelType w:val="hybridMultilevel"/>
    <w:tmpl w:val="784A31E8"/>
    <w:lvl w:ilvl="0" w:tplc="CC28A6E0">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15:restartNumberingAfterBreak="0">
    <w:nsid w:val="75C25AB5"/>
    <w:multiLevelType w:val="hybridMultilevel"/>
    <w:tmpl w:val="F6387EB4"/>
    <w:lvl w:ilvl="0" w:tplc="217257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FF06E33"/>
    <w:multiLevelType w:val="hybridMultilevel"/>
    <w:tmpl w:val="F3129C8E"/>
    <w:lvl w:ilvl="0" w:tplc="81C02F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7"/>
  </w:num>
  <w:num w:numId="3">
    <w:abstractNumId w:val="27"/>
  </w:num>
  <w:num w:numId="4">
    <w:abstractNumId w:val="14"/>
  </w:num>
  <w:num w:numId="5">
    <w:abstractNumId w:val="10"/>
  </w:num>
  <w:num w:numId="6">
    <w:abstractNumId w:val="18"/>
  </w:num>
  <w:num w:numId="7">
    <w:abstractNumId w:val="6"/>
  </w:num>
  <w:num w:numId="8">
    <w:abstractNumId w:val="12"/>
  </w:num>
  <w:num w:numId="9">
    <w:abstractNumId w:val="13"/>
  </w:num>
  <w:num w:numId="10">
    <w:abstractNumId w:val="30"/>
  </w:num>
  <w:num w:numId="11">
    <w:abstractNumId w:val="2"/>
  </w:num>
  <w:num w:numId="12">
    <w:abstractNumId w:val="19"/>
  </w:num>
  <w:num w:numId="13">
    <w:abstractNumId w:val="4"/>
  </w:num>
  <w:num w:numId="14">
    <w:abstractNumId w:val="7"/>
  </w:num>
  <w:num w:numId="15">
    <w:abstractNumId w:val="8"/>
  </w:num>
  <w:num w:numId="16">
    <w:abstractNumId w:val="17"/>
  </w:num>
  <w:num w:numId="17">
    <w:abstractNumId w:val="3"/>
  </w:num>
  <w:num w:numId="18">
    <w:abstractNumId w:val="32"/>
  </w:num>
  <w:num w:numId="19">
    <w:abstractNumId w:val="28"/>
  </w:num>
  <w:num w:numId="20">
    <w:abstractNumId w:val="24"/>
  </w:num>
  <w:num w:numId="21">
    <w:abstractNumId w:val="15"/>
  </w:num>
  <w:num w:numId="22">
    <w:abstractNumId w:val="35"/>
  </w:num>
  <w:num w:numId="23">
    <w:abstractNumId w:val="26"/>
  </w:num>
  <w:num w:numId="24">
    <w:abstractNumId w:val="11"/>
  </w:num>
  <w:num w:numId="25">
    <w:abstractNumId w:val="1"/>
  </w:num>
  <w:num w:numId="26">
    <w:abstractNumId w:val="20"/>
  </w:num>
  <w:num w:numId="27">
    <w:abstractNumId w:val="0"/>
  </w:num>
  <w:num w:numId="28">
    <w:abstractNumId w:val="21"/>
  </w:num>
  <w:num w:numId="29">
    <w:abstractNumId w:val="36"/>
  </w:num>
  <w:num w:numId="30">
    <w:abstractNumId w:val="25"/>
  </w:num>
  <w:num w:numId="31">
    <w:abstractNumId w:val="34"/>
  </w:num>
  <w:num w:numId="32">
    <w:abstractNumId w:val="22"/>
  </w:num>
  <w:num w:numId="33">
    <w:abstractNumId w:val="29"/>
  </w:num>
  <w:num w:numId="34">
    <w:abstractNumId w:val="31"/>
  </w:num>
  <w:num w:numId="35">
    <w:abstractNumId w:val="9"/>
  </w:num>
  <w:num w:numId="36">
    <w:abstractNumId w:val="23"/>
  </w:num>
  <w:num w:numId="37">
    <w:abstractNumId w:val="3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ctiveWritingStyle w:appName="MSWord" w:lang="en-GB"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029"/>
    <w:rsid w:val="00000054"/>
    <w:rsid w:val="00000057"/>
    <w:rsid w:val="000000D5"/>
    <w:rsid w:val="000003CC"/>
    <w:rsid w:val="000007A1"/>
    <w:rsid w:val="00000B6C"/>
    <w:rsid w:val="00001156"/>
    <w:rsid w:val="00001224"/>
    <w:rsid w:val="0000122A"/>
    <w:rsid w:val="00001482"/>
    <w:rsid w:val="000018EF"/>
    <w:rsid w:val="00001998"/>
    <w:rsid w:val="00001AA5"/>
    <w:rsid w:val="00001ABF"/>
    <w:rsid w:val="00001DC0"/>
    <w:rsid w:val="00001DC7"/>
    <w:rsid w:val="00002253"/>
    <w:rsid w:val="00002464"/>
    <w:rsid w:val="0000275C"/>
    <w:rsid w:val="000029D6"/>
    <w:rsid w:val="00002AC8"/>
    <w:rsid w:val="00002B42"/>
    <w:rsid w:val="00002BC5"/>
    <w:rsid w:val="00002D7C"/>
    <w:rsid w:val="0000314C"/>
    <w:rsid w:val="00003486"/>
    <w:rsid w:val="00003494"/>
    <w:rsid w:val="000034BD"/>
    <w:rsid w:val="000035AF"/>
    <w:rsid w:val="00003743"/>
    <w:rsid w:val="00004222"/>
    <w:rsid w:val="000043E0"/>
    <w:rsid w:val="000043F6"/>
    <w:rsid w:val="000045C3"/>
    <w:rsid w:val="0000484E"/>
    <w:rsid w:val="000049CA"/>
    <w:rsid w:val="00004B7E"/>
    <w:rsid w:val="00004DD8"/>
    <w:rsid w:val="0000510C"/>
    <w:rsid w:val="000052B5"/>
    <w:rsid w:val="000052FB"/>
    <w:rsid w:val="0000548D"/>
    <w:rsid w:val="00005734"/>
    <w:rsid w:val="00005A25"/>
    <w:rsid w:val="00005A95"/>
    <w:rsid w:val="00005B51"/>
    <w:rsid w:val="00005E84"/>
    <w:rsid w:val="00005F9B"/>
    <w:rsid w:val="00005FFC"/>
    <w:rsid w:val="0000601D"/>
    <w:rsid w:val="000064EC"/>
    <w:rsid w:val="000066F0"/>
    <w:rsid w:val="000069A4"/>
    <w:rsid w:val="00006BF9"/>
    <w:rsid w:val="00006C3E"/>
    <w:rsid w:val="00006CA8"/>
    <w:rsid w:val="00006DB6"/>
    <w:rsid w:val="00006E46"/>
    <w:rsid w:val="0000724E"/>
    <w:rsid w:val="000072D5"/>
    <w:rsid w:val="000075D7"/>
    <w:rsid w:val="00007A18"/>
    <w:rsid w:val="00007A22"/>
    <w:rsid w:val="00007AA2"/>
    <w:rsid w:val="00007C28"/>
    <w:rsid w:val="00007C8D"/>
    <w:rsid w:val="00007EE9"/>
    <w:rsid w:val="00007F26"/>
    <w:rsid w:val="00010336"/>
    <w:rsid w:val="00010566"/>
    <w:rsid w:val="000109E0"/>
    <w:rsid w:val="00010C09"/>
    <w:rsid w:val="00010D40"/>
    <w:rsid w:val="00010E10"/>
    <w:rsid w:val="00010F5A"/>
    <w:rsid w:val="000110F1"/>
    <w:rsid w:val="00011280"/>
    <w:rsid w:val="0001137F"/>
    <w:rsid w:val="00011413"/>
    <w:rsid w:val="00011726"/>
    <w:rsid w:val="00011854"/>
    <w:rsid w:val="000118D8"/>
    <w:rsid w:val="00011917"/>
    <w:rsid w:val="00011CC3"/>
    <w:rsid w:val="00011E17"/>
    <w:rsid w:val="00011F5E"/>
    <w:rsid w:val="00012028"/>
    <w:rsid w:val="000123F5"/>
    <w:rsid w:val="00012575"/>
    <w:rsid w:val="00012767"/>
    <w:rsid w:val="00012AC3"/>
    <w:rsid w:val="00012BAD"/>
    <w:rsid w:val="00012C8C"/>
    <w:rsid w:val="00012E48"/>
    <w:rsid w:val="00012EB3"/>
    <w:rsid w:val="00012ECA"/>
    <w:rsid w:val="00012EE6"/>
    <w:rsid w:val="00013047"/>
    <w:rsid w:val="000132BF"/>
    <w:rsid w:val="00013303"/>
    <w:rsid w:val="0001346B"/>
    <w:rsid w:val="0001352C"/>
    <w:rsid w:val="000135C3"/>
    <w:rsid w:val="00013674"/>
    <w:rsid w:val="000139FE"/>
    <w:rsid w:val="00013AF3"/>
    <w:rsid w:val="00013C95"/>
    <w:rsid w:val="00013E04"/>
    <w:rsid w:val="00013FC9"/>
    <w:rsid w:val="00014386"/>
    <w:rsid w:val="00014588"/>
    <w:rsid w:val="000145E6"/>
    <w:rsid w:val="00014752"/>
    <w:rsid w:val="00014824"/>
    <w:rsid w:val="00014D88"/>
    <w:rsid w:val="00014E4E"/>
    <w:rsid w:val="00015582"/>
    <w:rsid w:val="0001611F"/>
    <w:rsid w:val="000165DB"/>
    <w:rsid w:val="000168EC"/>
    <w:rsid w:val="00016A92"/>
    <w:rsid w:val="00016AF8"/>
    <w:rsid w:val="00016BA4"/>
    <w:rsid w:val="00016CB6"/>
    <w:rsid w:val="00017056"/>
    <w:rsid w:val="00017184"/>
    <w:rsid w:val="0001730B"/>
    <w:rsid w:val="000178F0"/>
    <w:rsid w:val="0001798F"/>
    <w:rsid w:val="00017A2F"/>
    <w:rsid w:val="00017B2C"/>
    <w:rsid w:val="00017C32"/>
    <w:rsid w:val="00017E66"/>
    <w:rsid w:val="00020501"/>
    <w:rsid w:val="0002084D"/>
    <w:rsid w:val="00020986"/>
    <w:rsid w:val="00020EC8"/>
    <w:rsid w:val="0002111E"/>
    <w:rsid w:val="00021267"/>
    <w:rsid w:val="00021856"/>
    <w:rsid w:val="00021ACE"/>
    <w:rsid w:val="0002209B"/>
    <w:rsid w:val="00022805"/>
    <w:rsid w:val="00022C15"/>
    <w:rsid w:val="00022C85"/>
    <w:rsid w:val="00022D19"/>
    <w:rsid w:val="00022E0E"/>
    <w:rsid w:val="0002326B"/>
    <w:rsid w:val="000232FE"/>
    <w:rsid w:val="00023374"/>
    <w:rsid w:val="0002391B"/>
    <w:rsid w:val="00023AF8"/>
    <w:rsid w:val="0002404B"/>
    <w:rsid w:val="0002408F"/>
    <w:rsid w:val="00024135"/>
    <w:rsid w:val="00024545"/>
    <w:rsid w:val="0002468D"/>
    <w:rsid w:val="00024A2F"/>
    <w:rsid w:val="00024A31"/>
    <w:rsid w:val="00024B54"/>
    <w:rsid w:val="00024BAC"/>
    <w:rsid w:val="000250E7"/>
    <w:rsid w:val="0002524F"/>
    <w:rsid w:val="0002550A"/>
    <w:rsid w:val="000258B1"/>
    <w:rsid w:val="00025A43"/>
    <w:rsid w:val="00025C93"/>
    <w:rsid w:val="00025E32"/>
    <w:rsid w:val="00025EE5"/>
    <w:rsid w:val="00025FD7"/>
    <w:rsid w:val="00026233"/>
    <w:rsid w:val="000263BA"/>
    <w:rsid w:val="0002657D"/>
    <w:rsid w:val="000267DF"/>
    <w:rsid w:val="00026878"/>
    <w:rsid w:val="00026D47"/>
    <w:rsid w:val="00026D5F"/>
    <w:rsid w:val="00026DA4"/>
    <w:rsid w:val="00026EF2"/>
    <w:rsid w:val="000271F1"/>
    <w:rsid w:val="000274EE"/>
    <w:rsid w:val="0002754B"/>
    <w:rsid w:val="00027643"/>
    <w:rsid w:val="00027781"/>
    <w:rsid w:val="00027874"/>
    <w:rsid w:val="000278C0"/>
    <w:rsid w:val="000279F3"/>
    <w:rsid w:val="00027A5B"/>
    <w:rsid w:val="00027AA3"/>
    <w:rsid w:val="00027B9F"/>
    <w:rsid w:val="00027CBE"/>
    <w:rsid w:val="00027F85"/>
    <w:rsid w:val="000302ED"/>
    <w:rsid w:val="00030471"/>
    <w:rsid w:val="0003094B"/>
    <w:rsid w:val="00030A15"/>
    <w:rsid w:val="00030A3F"/>
    <w:rsid w:val="00030E4A"/>
    <w:rsid w:val="00030EEF"/>
    <w:rsid w:val="00031175"/>
    <w:rsid w:val="0003128B"/>
    <w:rsid w:val="0003132B"/>
    <w:rsid w:val="0003163D"/>
    <w:rsid w:val="000316DF"/>
    <w:rsid w:val="00031AD8"/>
    <w:rsid w:val="00031AFC"/>
    <w:rsid w:val="00031C9C"/>
    <w:rsid w:val="00031D36"/>
    <w:rsid w:val="00031F84"/>
    <w:rsid w:val="00032023"/>
    <w:rsid w:val="000323D9"/>
    <w:rsid w:val="00032515"/>
    <w:rsid w:val="000326A2"/>
    <w:rsid w:val="00032832"/>
    <w:rsid w:val="00032A3F"/>
    <w:rsid w:val="00032ADE"/>
    <w:rsid w:val="00032CA9"/>
    <w:rsid w:val="00032EBE"/>
    <w:rsid w:val="00032F8E"/>
    <w:rsid w:val="000334D1"/>
    <w:rsid w:val="00033610"/>
    <w:rsid w:val="00033A3B"/>
    <w:rsid w:val="00034704"/>
    <w:rsid w:val="00034A82"/>
    <w:rsid w:val="000351C4"/>
    <w:rsid w:val="0003520A"/>
    <w:rsid w:val="000354AB"/>
    <w:rsid w:val="00035AAE"/>
    <w:rsid w:val="00035EDE"/>
    <w:rsid w:val="000360EF"/>
    <w:rsid w:val="000369EF"/>
    <w:rsid w:val="00037205"/>
    <w:rsid w:val="00037482"/>
    <w:rsid w:val="000376F1"/>
    <w:rsid w:val="0003770E"/>
    <w:rsid w:val="00037723"/>
    <w:rsid w:val="0003798C"/>
    <w:rsid w:val="00037E3D"/>
    <w:rsid w:val="00037F65"/>
    <w:rsid w:val="000400C3"/>
    <w:rsid w:val="0004013B"/>
    <w:rsid w:val="00040219"/>
    <w:rsid w:val="000405EB"/>
    <w:rsid w:val="00040754"/>
    <w:rsid w:val="00040A8D"/>
    <w:rsid w:val="00040D7F"/>
    <w:rsid w:val="00041282"/>
    <w:rsid w:val="000417A7"/>
    <w:rsid w:val="00041907"/>
    <w:rsid w:val="00041C2D"/>
    <w:rsid w:val="00041F6B"/>
    <w:rsid w:val="00041FF4"/>
    <w:rsid w:val="0004212A"/>
    <w:rsid w:val="00042682"/>
    <w:rsid w:val="000428F2"/>
    <w:rsid w:val="0004296A"/>
    <w:rsid w:val="00042998"/>
    <w:rsid w:val="00042D86"/>
    <w:rsid w:val="00042F4D"/>
    <w:rsid w:val="000431FD"/>
    <w:rsid w:val="00043404"/>
    <w:rsid w:val="000439D4"/>
    <w:rsid w:val="00043A14"/>
    <w:rsid w:val="00043AD9"/>
    <w:rsid w:val="00043B01"/>
    <w:rsid w:val="00043D1D"/>
    <w:rsid w:val="00043EFD"/>
    <w:rsid w:val="00044068"/>
    <w:rsid w:val="00044298"/>
    <w:rsid w:val="000442B4"/>
    <w:rsid w:val="0004440E"/>
    <w:rsid w:val="00044B6F"/>
    <w:rsid w:val="00044C70"/>
    <w:rsid w:val="00044F5E"/>
    <w:rsid w:val="0004510A"/>
    <w:rsid w:val="000451B5"/>
    <w:rsid w:val="0004541E"/>
    <w:rsid w:val="000455D7"/>
    <w:rsid w:val="000455FA"/>
    <w:rsid w:val="0004572F"/>
    <w:rsid w:val="0004590B"/>
    <w:rsid w:val="00045A5D"/>
    <w:rsid w:val="00045ADD"/>
    <w:rsid w:val="00045BD9"/>
    <w:rsid w:val="00045DAC"/>
    <w:rsid w:val="00045E3F"/>
    <w:rsid w:val="00046020"/>
    <w:rsid w:val="00046430"/>
    <w:rsid w:val="0004670E"/>
    <w:rsid w:val="00046D35"/>
    <w:rsid w:val="00046F79"/>
    <w:rsid w:val="00047325"/>
    <w:rsid w:val="00047399"/>
    <w:rsid w:val="00047663"/>
    <w:rsid w:val="00047841"/>
    <w:rsid w:val="000500F5"/>
    <w:rsid w:val="000507BC"/>
    <w:rsid w:val="000507C6"/>
    <w:rsid w:val="000508FF"/>
    <w:rsid w:val="00050C04"/>
    <w:rsid w:val="00050D65"/>
    <w:rsid w:val="00050D99"/>
    <w:rsid w:val="00050E09"/>
    <w:rsid w:val="00050E6C"/>
    <w:rsid w:val="00050F7B"/>
    <w:rsid w:val="00050FBB"/>
    <w:rsid w:val="0005103C"/>
    <w:rsid w:val="000511F5"/>
    <w:rsid w:val="000512EE"/>
    <w:rsid w:val="000513CD"/>
    <w:rsid w:val="00051502"/>
    <w:rsid w:val="00051515"/>
    <w:rsid w:val="000516D8"/>
    <w:rsid w:val="00051A00"/>
    <w:rsid w:val="00051D3F"/>
    <w:rsid w:val="00051E31"/>
    <w:rsid w:val="00051FDE"/>
    <w:rsid w:val="00052489"/>
    <w:rsid w:val="00052777"/>
    <w:rsid w:val="00052782"/>
    <w:rsid w:val="000527D8"/>
    <w:rsid w:val="0005293A"/>
    <w:rsid w:val="00052A29"/>
    <w:rsid w:val="00052DC0"/>
    <w:rsid w:val="00053627"/>
    <w:rsid w:val="00053A31"/>
    <w:rsid w:val="00053A43"/>
    <w:rsid w:val="00053B23"/>
    <w:rsid w:val="00053D29"/>
    <w:rsid w:val="00053D77"/>
    <w:rsid w:val="00053DD2"/>
    <w:rsid w:val="00053F43"/>
    <w:rsid w:val="00053F4E"/>
    <w:rsid w:val="00054035"/>
    <w:rsid w:val="000541D2"/>
    <w:rsid w:val="00054279"/>
    <w:rsid w:val="0005435E"/>
    <w:rsid w:val="0005445B"/>
    <w:rsid w:val="000547C7"/>
    <w:rsid w:val="000548D3"/>
    <w:rsid w:val="00054AC6"/>
    <w:rsid w:val="00054B84"/>
    <w:rsid w:val="0005528D"/>
    <w:rsid w:val="0005554F"/>
    <w:rsid w:val="00055BCE"/>
    <w:rsid w:val="00055D56"/>
    <w:rsid w:val="0005609B"/>
    <w:rsid w:val="000560E1"/>
    <w:rsid w:val="00056214"/>
    <w:rsid w:val="0005622E"/>
    <w:rsid w:val="0005629C"/>
    <w:rsid w:val="000564DC"/>
    <w:rsid w:val="00056C3C"/>
    <w:rsid w:val="00056CC2"/>
    <w:rsid w:val="00056FAF"/>
    <w:rsid w:val="0005714A"/>
    <w:rsid w:val="00057441"/>
    <w:rsid w:val="00057795"/>
    <w:rsid w:val="00057ABA"/>
    <w:rsid w:val="00057C36"/>
    <w:rsid w:val="00057C50"/>
    <w:rsid w:val="00057E2B"/>
    <w:rsid w:val="00057EFE"/>
    <w:rsid w:val="00057F84"/>
    <w:rsid w:val="00060393"/>
    <w:rsid w:val="000605ED"/>
    <w:rsid w:val="0006093C"/>
    <w:rsid w:val="00060AD6"/>
    <w:rsid w:val="00060B91"/>
    <w:rsid w:val="00060F23"/>
    <w:rsid w:val="00061342"/>
    <w:rsid w:val="000615B1"/>
    <w:rsid w:val="000617D7"/>
    <w:rsid w:val="00061979"/>
    <w:rsid w:val="00061B50"/>
    <w:rsid w:val="000620A4"/>
    <w:rsid w:val="000627CE"/>
    <w:rsid w:val="00062BC2"/>
    <w:rsid w:val="00062E81"/>
    <w:rsid w:val="00062EAC"/>
    <w:rsid w:val="0006319A"/>
    <w:rsid w:val="000633E0"/>
    <w:rsid w:val="000635F6"/>
    <w:rsid w:val="00063825"/>
    <w:rsid w:val="00063B5F"/>
    <w:rsid w:val="0006401E"/>
    <w:rsid w:val="0006435B"/>
    <w:rsid w:val="0006436A"/>
    <w:rsid w:val="000649A2"/>
    <w:rsid w:val="000649F6"/>
    <w:rsid w:val="000650AD"/>
    <w:rsid w:val="00065460"/>
    <w:rsid w:val="00065558"/>
    <w:rsid w:val="000655BB"/>
    <w:rsid w:val="0006579F"/>
    <w:rsid w:val="000658CD"/>
    <w:rsid w:val="0006597A"/>
    <w:rsid w:val="00065B88"/>
    <w:rsid w:val="00065C21"/>
    <w:rsid w:val="00065CC7"/>
    <w:rsid w:val="00065D6E"/>
    <w:rsid w:val="00065D7C"/>
    <w:rsid w:val="000662FE"/>
    <w:rsid w:val="0006639B"/>
    <w:rsid w:val="000664F8"/>
    <w:rsid w:val="0006664F"/>
    <w:rsid w:val="00066733"/>
    <w:rsid w:val="00066BC3"/>
    <w:rsid w:val="0006716D"/>
    <w:rsid w:val="00067309"/>
    <w:rsid w:val="000674B9"/>
    <w:rsid w:val="00067759"/>
    <w:rsid w:val="000677D4"/>
    <w:rsid w:val="00067A84"/>
    <w:rsid w:val="00070052"/>
    <w:rsid w:val="00070384"/>
    <w:rsid w:val="000703D1"/>
    <w:rsid w:val="0007075F"/>
    <w:rsid w:val="00070789"/>
    <w:rsid w:val="00070994"/>
    <w:rsid w:val="0007107A"/>
    <w:rsid w:val="00071245"/>
    <w:rsid w:val="00071AEA"/>
    <w:rsid w:val="00071B6F"/>
    <w:rsid w:val="00071C5C"/>
    <w:rsid w:val="0007228B"/>
    <w:rsid w:val="0007236B"/>
    <w:rsid w:val="000727F1"/>
    <w:rsid w:val="000729AB"/>
    <w:rsid w:val="000730C9"/>
    <w:rsid w:val="000730CC"/>
    <w:rsid w:val="00073308"/>
    <w:rsid w:val="00073676"/>
    <w:rsid w:val="00073881"/>
    <w:rsid w:val="00073E29"/>
    <w:rsid w:val="00074095"/>
    <w:rsid w:val="00074109"/>
    <w:rsid w:val="00074180"/>
    <w:rsid w:val="0007419D"/>
    <w:rsid w:val="000741A6"/>
    <w:rsid w:val="0007421E"/>
    <w:rsid w:val="00074318"/>
    <w:rsid w:val="000743F5"/>
    <w:rsid w:val="0007459B"/>
    <w:rsid w:val="0007486B"/>
    <w:rsid w:val="000748FC"/>
    <w:rsid w:val="00074919"/>
    <w:rsid w:val="000749E2"/>
    <w:rsid w:val="00074B7E"/>
    <w:rsid w:val="00074DAB"/>
    <w:rsid w:val="0007501D"/>
    <w:rsid w:val="000752A2"/>
    <w:rsid w:val="00075435"/>
    <w:rsid w:val="00075665"/>
    <w:rsid w:val="000756F3"/>
    <w:rsid w:val="00075A70"/>
    <w:rsid w:val="000761AB"/>
    <w:rsid w:val="00076771"/>
    <w:rsid w:val="0007682C"/>
    <w:rsid w:val="0007692F"/>
    <w:rsid w:val="00076BF5"/>
    <w:rsid w:val="00076C21"/>
    <w:rsid w:val="00076D20"/>
    <w:rsid w:val="00076F6A"/>
    <w:rsid w:val="0007735F"/>
    <w:rsid w:val="000774A8"/>
    <w:rsid w:val="00077576"/>
    <w:rsid w:val="00077593"/>
    <w:rsid w:val="0007770E"/>
    <w:rsid w:val="00077844"/>
    <w:rsid w:val="00077891"/>
    <w:rsid w:val="00077916"/>
    <w:rsid w:val="000779D1"/>
    <w:rsid w:val="00077ED2"/>
    <w:rsid w:val="00077F27"/>
    <w:rsid w:val="00080022"/>
    <w:rsid w:val="000802A0"/>
    <w:rsid w:val="0008031D"/>
    <w:rsid w:val="000809DB"/>
    <w:rsid w:val="00080D5D"/>
    <w:rsid w:val="00080DA9"/>
    <w:rsid w:val="00080ED4"/>
    <w:rsid w:val="00080F9A"/>
    <w:rsid w:val="00081D4F"/>
    <w:rsid w:val="00081D74"/>
    <w:rsid w:val="00081E8D"/>
    <w:rsid w:val="00081F8F"/>
    <w:rsid w:val="00082146"/>
    <w:rsid w:val="00082196"/>
    <w:rsid w:val="000827E0"/>
    <w:rsid w:val="00082A25"/>
    <w:rsid w:val="000830CF"/>
    <w:rsid w:val="00083786"/>
    <w:rsid w:val="00083972"/>
    <w:rsid w:val="00083B70"/>
    <w:rsid w:val="00083C1B"/>
    <w:rsid w:val="00083C2D"/>
    <w:rsid w:val="00083C63"/>
    <w:rsid w:val="00083DE5"/>
    <w:rsid w:val="0008401B"/>
    <w:rsid w:val="00084226"/>
    <w:rsid w:val="0008430B"/>
    <w:rsid w:val="00084BCD"/>
    <w:rsid w:val="00084C38"/>
    <w:rsid w:val="00084CD8"/>
    <w:rsid w:val="00084FD2"/>
    <w:rsid w:val="00085006"/>
    <w:rsid w:val="000850E5"/>
    <w:rsid w:val="0008516B"/>
    <w:rsid w:val="00085441"/>
    <w:rsid w:val="00085484"/>
    <w:rsid w:val="00085BD9"/>
    <w:rsid w:val="00085C28"/>
    <w:rsid w:val="00085C72"/>
    <w:rsid w:val="000860A9"/>
    <w:rsid w:val="000860DA"/>
    <w:rsid w:val="000860FA"/>
    <w:rsid w:val="0008624B"/>
    <w:rsid w:val="000863C6"/>
    <w:rsid w:val="000866F0"/>
    <w:rsid w:val="00086A87"/>
    <w:rsid w:val="00087041"/>
    <w:rsid w:val="00087849"/>
    <w:rsid w:val="00087EDE"/>
    <w:rsid w:val="000900F3"/>
    <w:rsid w:val="00090249"/>
    <w:rsid w:val="0009038F"/>
    <w:rsid w:val="000904A6"/>
    <w:rsid w:val="000906D4"/>
    <w:rsid w:val="00090891"/>
    <w:rsid w:val="00090A79"/>
    <w:rsid w:val="00090CD0"/>
    <w:rsid w:val="00090DC6"/>
    <w:rsid w:val="00090E91"/>
    <w:rsid w:val="000910B7"/>
    <w:rsid w:val="000911E7"/>
    <w:rsid w:val="0009122E"/>
    <w:rsid w:val="000914D5"/>
    <w:rsid w:val="00092076"/>
    <w:rsid w:val="000920FD"/>
    <w:rsid w:val="000922A7"/>
    <w:rsid w:val="000922F8"/>
    <w:rsid w:val="000923C5"/>
    <w:rsid w:val="00092606"/>
    <w:rsid w:val="0009263E"/>
    <w:rsid w:val="00092B2C"/>
    <w:rsid w:val="00092B9D"/>
    <w:rsid w:val="00092C5B"/>
    <w:rsid w:val="00092C62"/>
    <w:rsid w:val="00092FAF"/>
    <w:rsid w:val="00093096"/>
    <w:rsid w:val="000930B4"/>
    <w:rsid w:val="000931D6"/>
    <w:rsid w:val="00093237"/>
    <w:rsid w:val="000935A6"/>
    <w:rsid w:val="00093A54"/>
    <w:rsid w:val="00093BFB"/>
    <w:rsid w:val="00093C3A"/>
    <w:rsid w:val="00093DF0"/>
    <w:rsid w:val="00093E31"/>
    <w:rsid w:val="00094016"/>
    <w:rsid w:val="0009422A"/>
    <w:rsid w:val="00094375"/>
    <w:rsid w:val="000944FA"/>
    <w:rsid w:val="00094607"/>
    <w:rsid w:val="000946E6"/>
    <w:rsid w:val="0009480A"/>
    <w:rsid w:val="0009484E"/>
    <w:rsid w:val="000948B3"/>
    <w:rsid w:val="00094919"/>
    <w:rsid w:val="0009492E"/>
    <w:rsid w:val="000949F1"/>
    <w:rsid w:val="00094D74"/>
    <w:rsid w:val="00094EDB"/>
    <w:rsid w:val="00094F7C"/>
    <w:rsid w:val="00095141"/>
    <w:rsid w:val="000951AA"/>
    <w:rsid w:val="00095334"/>
    <w:rsid w:val="0009539A"/>
    <w:rsid w:val="0009544E"/>
    <w:rsid w:val="00095476"/>
    <w:rsid w:val="000954D9"/>
    <w:rsid w:val="0009582C"/>
    <w:rsid w:val="00095ACB"/>
    <w:rsid w:val="00095AD3"/>
    <w:rsid w:val="00095F7B"/>
    <w:rsid w:val="000963F4"/>
    <w:rsid w:val="000967A3"/>
    <w:rsid w:val="000968F4"/>
    <w:rsid w:val="00096BF0"/>
    <w:rsid w:val="000975BC"/>
    <w:rsid w:val="0009768B"/>
    <w:rsid w:val="00097928"/>
    <w:rsid w:val="00097A82"/>
    <w:rsid w:val="00097E4F"/>
    <w:rsid w:val="00097F3C"/>
    <w:rsid w:val="000A0047"/>
    <w:rsid w:val="000A035D"/>
    <w:rsid w:val="000A04A9"/>
    <w:rsid w:val="000A04B9"/>
    <w:rsid w:val="000A0A26"/>
    <w:rsid w:val="000A0A30"/>
    <w:rsid w:val="000A0A6E"/>
    <w:rsid w:val="000A0AAC"/>
    <w:rsid w:val="000A0D2D"/>
    <w:rsid w:val="000A0FA0"/>
    <w:rsid w:val="000A0FFE"/>
    <w:rsid w:val="000A1031"/>
    <w:rsid w:val="000A1205"/>
    <w:rsid w:val="000A142F"/>
    <w:rsid w:val="000A17C5"/>
    <w:rsid w:val="000A19BB"/>
    <w:rsid w:val="000A1ACF"/>
    <w:rsid w:val="000A1B8B"/>
    <w:rsid w:val="000A1C67"/>
    <w:rsid w:val="000A1E71"/>
    <w:rsid w:val="000A1EDF"/>
    <w:rsid w:val="000A20F1"/>
    <w:rsid w:val="000A2276"/>
    <w:rsid w:val="000A26FB"/>
    <w:rsid w:val="000A2887"/>
    <w:rsid w:val="000A2E89"/>
    <w:rsid w:val="000A2F67"/>
    <w:rsid w:val="000A2F6D"/>
    <w:rsid w:val="000A3079"/>
    <w:rsid w:val="000A3153"/>
    <w:rsid w:val="000A3157"/>
    <w:rsid w:val="000A3332"/>
    <w:rsid w:val="000A3414"/>
    <w:rsid w:val="000A369C"/>
    <w:rsid w:val="000A39FE"/>
    <w:rsid w:val="000A3ED3"/>
    <w:rsid w:val="000A3F8D"/>
    <w:rsid w:val="000A417D"/>
    <w:rsid w:val="000A41BB"/>
    <w:rsid w:val="000A433C"/>
    <w:rsid w:val="000A43EF"/>
    <w:rsid w:val="000A470D"/>
    <w:rsid w:val="000A49FB"/>
    <w:rsid w:val="000A4DAE"/>
    <w:rsid w:val="000A4FB3"/>
    <w:rsid w:val="000A5152"/>
    <w:rsid w:val="000A517F"/>
    <w:rsid w:val="000A531A"/>
    <w:rsid w:val="000A53A0"/>
    <w:rsid w:val="000A547B"/>
    <w:rsid w:val="000A5519"/>
    <w:rsid w:val="000A587C"/>
    <w:rsid w:val="000A59A3"/>
    <w:rsid w:val="000A5ACC"/>
    <w:rsid w:val="000A5AE4"/>
    <w:rsid w:val="000A5B6D"/>
    <w:rsid w:val="000A5F5C"/>
    <w:rsid w:val="000A60FD"/>
    <w:rsid w:val="000A621A"/>
    <w:rsid w:val="000A66D9"/>
    <w:rsid w:val="000A6773"/>
    <w:rsid w:val="000A67DE"/>
    <w:rsid w:val="000A6D30"/>
    <w:rsid w:val="000A70F9"/>
    <w:rsid w:val="000A74CC"/>
    <w:rsid w:val="000A750D"/>
    <w:rsid w:val="000A7947"/>
    <w:rsid w:val="000B0203"/>
    <w:rsid w:val="000B06E1"/>
    <w:rsid w:val="000B072C"/>
    <w:rsid w:val="000B0858"/>
    <w:rsid w:val="000B08CB"/>
    <w:rsid w:val="000B093D"/>
    <w:rsid w:val="000B0B74"/>
    <w:rsid w:val="000B0C43"/>
    <w:rsid w:val="000B0EAE"/>
    <w:rsid w:val="000B110B"/>
    <w:rsid w:val="000B11A0"/>
    <w:rsid w:val="000B15E7"/>
    <w:rsid w:val="000B1891"/>
    <w:rsid w:val="000B18CD"/>
    <w:rsid w:val="000B1957"/>
    <w:rsid w:val="000B1D45"/>
    <w:rsid w:val="000B1DA7"/>
    <w:rsid w:val="000B21D1"/>
    <w:rsid w:val="000B2579"/>
    <w:rsid w:val="000B25C8"/>
    <w:rsid w:val="000B28A7"/>
    <w:rsid w:val="000B2DEE"/>
    <w:rsid w:val="000B3275"/>
    <w:rsid w:val="000B381B"/>
    <w:rsid w:val="000B396B"/>
    <w:rsid w:val="000B3DAB"/>
    <w:rsid w:val="000B3F1E"/>
    <w:rsid w:val="000B404B"/>
    <w:rsid w:val="000B4117"/>
    <w:rsid w:val="000B417D"/>
    <w:rsid w:val="000B42DE"/>
    <w:rsid w:val="000B4426"/>
    <w:rsid w:val="000B44AF"/>
    <w:rsid w:val="000B44EC"/>
    <w:rsid w:val="000B47B0"/>
    <w:rsid w:val="000B4ACC"/>
    <w:rsid w:val="000B5018"/>
    <w:rsid w:val="000B582B"/>
    <w:rsid w:val="000B58CC"/>
    <w:rsid w:val="000B595D"/>
    <w:rsid w:val="000B5D66"/>
    <w:rsid w:val="000B60EC"/>
    <w:rsid w:val="000B60FD"/>
    <w:rsid w:val="000B6113"/>
    <w:rsid w:val="000B61F0"/>
    <w:rsid w:val="000B6369"/>
    <w:rsid w:val="000B63D6"/>
    <w:rsid w:val="000B640A"/>
    <w:rsid w:val="000B6451"/>
    <w:rsid w:val="000B6619"/>
    <w:rsid w:val="000B663F"/>
    <w:rsid w:val="000B679F"/>
    <w:rsid w:val="000B6816"/>
    <w:rsid w:val="000B69E3"/>
    <w:rsid w:val="000B6AA3"/>
    <w:rsid w:val="000B7063"/>
    <w:rsid w:val="000B706B"/>
    <w:rsid w:val="000B73A6"/>
    <w:rsid w:val="000B7495"/>
    <w:rsid w:val="000B74BF"/>
    <w:rsid w:val="000B781B"/>
    <w:rsid w:val="000B7873"/>
    <w:rsid w:val="000B7A3E"/>
    <w:rsid w:val="000B7BE4"/>
    <w:rsid w:val="000B7CF3"/>
    <w:rsid w:val="000B7D25"/>
    <w:rsid w:val="000B7F08"/>
    <w:rsid w:val="000C038B"/>
    <w:rsid w:val="000C049E"/>
    <w:rsid w:val="000C0515"/>
    <w:rsid w:val="000C065E"/>
    <w:rsid w:val="000C083D"/>
    <w:rsid w:val="000C0A5B"/>
    <w:rsid w:val="000C0B47"/>
    <w:rsid w:val="000C0BF3"/>
    <w:rsid w:val="000C0C5A"/>
    <w:rsid w:val="000C0EB2"/>
    <w:rsid w:val="000C120D"/>
    <w:rsid w:val="000C13A0"/>
    <w:rsid w:val="000C14D5"/>
    <w:rsid w:val="000C19AC"/>
    <w:rsid w:val="000C1C18"/>
    <w:rsid w:val="000C2097"/>
    <w:rsid w:val="000C20F6"/>
    <w:rsid w:val="000C230F"/>
    <w:rsid w:val="000C23B9"/>
    <w:rsid w:val="000C2452"/>
    <w:rsid w:val="000C24EA"/>
    <w:rsid w:val="000C2534"/>
    <w:rsid w:val="000C282A"/>
    <w:rsid w:val="000C291E"/>
    <w:rsid w:val="000C2A4F"/>
    <w:rsid w:val="000C2C93"/>
    <w:rsid w:val="000C2CBE"/>
    <w:rsid w:val="000C301C"/>
    <w:rsid w:val="000C30E9"/>
    <w:rsid w:val="000C314D"/>
    <w:rsid w:val="000C3207"/>
    <w:rsid w:val="000C3244"/>
    <w:rsid w:val="000C3326"/>
    <w:rsid w:val="000C3351"/>
    <w:rsid w:val="000C37DC"/>
    <w:rsid w:val="000C38A7"/>
    <w:rsid w:val="000C3D1E"/>
    <w:rsid w:val="000C3E05"/>
    <w:rsid w:val="000C3EC3"/>
    <w:rsid w:val="000C420E"/>
    <w:rsid w:val="000C461C"/>
    <w:rsid w:val="000C46FB"/>
    <w:rsid w:val="000C4918"/>
    <w:rsid w:val="000C4A98"/>
    <w:rsid w:val="000C4BE5"/>
    <w:rsid w:val="000C4CD0"/>
    <w:rsid w:val="000C4EBB"/>
    <w:rsid w:val="000C4FF0"/>
    <w:rsid w:val="000C5035"/>
    <w:rsid w:val="000C511E"/>
    <w:rsid w:val="000C54FA"/>
    <w:rsid w:val="000C58DE"/>
    <w:rsid w:val="000C5D75"/>
    <w:rsid w:val="000C5E4E"/>
    <w:rsid w:val="000C5FEA"/>
    <w:rsid w:val="000C60BD"/>
    <w:rsid w:val="000C62D9"/>
    <w:rsid w:val="000C6365"/>
    <w:rsid w:val="000C639F"/>
    <w:rsid w:val="000C63CD"/>
    <w:rsid w:val="000C6775"/>
    <w:rsid w:val="000C677A"/>
    <w:rsid w:val="000C6990"/>
    <w:rsid w:val="000C6ADA"/>
    <w:rsid w:val="000C6BB5"/>
    <w:rsid w:val="000C6FB4"/>
    <w:rsid w:val="000C6FC6"/>
    <w:rsid w:val="000C711A"/>
    <w:rsid w:val="000C739C"/>
    <w:rsid w:val="000C7650"/>
    <w:rsid w:val="000C7A1E"/>
    <w:rsid w:val="000C7E6E"/>
    <w:rsid w:val="000C7F35"/>
    <w:rsid w:val="000C7FA4"/>
    <w:rsid w:val="000D0061"/>
    <w:rsid w:val="000D00EB"/>
    <w:rsid w:val="000D010E"/>
    <w:rsid w:val="000D02A1"/>
    <w:rsid w:val="000D02FB"/>
    <w:rsid w:val="000D0A37"/>
    <w:rsid w:val="000D1251"/>
    <w:rsid w:val="000D141D"/>
    <w:rsid w:val="000D14FC"/>
    <w:rsid w:val="000D1504"/>
    <w:rsid w:val="000D15B1"/>
    <w:rsid w:val="000D163B"/>
    <w:rsid w:val="000D1C52"/>
    <w:rsid w:val="000D1C5A"/>
    <w:rsid w:val="000D1DB2"/>
    <w:rsid w:val="000D242E"/>
    <w:rsid w:val="000D2486"/>
    <w:rsid w:val="000D2686"/>
    <w:rsid w:val="000D26DB"/>
    <w:rsid w:val="000D27FE"/>
    <w:rsid w:val="000D2913"/>
    <w:rsid w:val="000D350F"/>
    <w:rsid w:val="000D35D5"/>
    <w:rsid w:val="000D376C"/>
    <w:rsid w:val="000D3AF0"/>
    <w:rsid w:val="000D3F4B"/>
    <w:rsid w:val="000D3F54"/>
    <w:rsid w:val="000D3FA3"/>
    <w:rsid w:val="000D41F2"/>
    <w:rsid w:val="000D4331"/>
    <w:rsid w:val="000D45F4"/>
    <w:rsid w:val="000D46DB"/>
    <w:rsid w:val="000D4C5C"/>
    <w:rsid w:val="000D4EBF"/>
    <w:rsid w:val="000D4F7B"/>
    <w:rsid w:val="000D50D2"/>
    <w:rsid w:val="000D52A3"/>
    <w:rsid w:val="000D5341"/>
    <w:rsid w:val="000D5964"/>
    <w:rsid w:val="000D5C7A"/>
    <w:rsid w:val="000D5EF0"/>
    <w:rsid w:val="000D5F8F"/>
    <w:rsid w:val="000D66CF"/>
    <w:rsid w:val="000D6816"/>
    <w:rsid w:val="000D68BF"/>
    <w:rsid w:val="000D691A"/>
    <w:rsid w:val="000D69C5"/>
    <w:rsid w:val="000D6BE5"/>
    <w:rsid w:val="000D6FC7"/>
    <w:rsid w:val="000D7190"/>
    <w:rsid w:val="000D731C"/>
    <w:rsid w:val="000D743E"/>
    <w:rsid w:val="000D7E90"/>
    <w:rsid w:val="000E01C4"/>
    <w:rsid w:val="000E0A74"/>
    <w:rsid w:val="000E1138"/>
    <w:rsid w:val="000E11D9"/>
    <w:rsid w:val="000E13E5"/>
    <w:rsid w:val="000E1540"/>
    <w:rsid w:val="000E1571"/>
    <w:rsid w:val="000E1AAA"/>
    <w:rsid w:val="000E1EDD"/>
    <w:rsid w:val="000E20B7"/>
    <w:rsid w:val="000E2179"/>
    <w:rsid w:val="000E25E5"/>
    <w:rsid w:val="000E28FE"/>
    <w:rsid w:val="000E2904"/>
    <w:rsid w:val="000E2987"/>
    <w:rsid w:val="000E2B05"/>
    <w:rsid w:val="000E2B29"/>
    <w:rsid w:val="000E2E7B"/>
    <w:rsid w:val="000E2EDE"/>
    <w:rsid w:val="000E3300"/>
    <w:rsid w:val="000E3782"/>
    <w:rsid w:val="000E382A"/>
    <w:rsid w:val="000E3B35"/>
    <w:rsid w:val="000E3CB4"/>
    <w:rsid w:val="000E3F90"/>
    <w:rsid w:val="000E41D3"/>
    <w:rsid w:val="000E4264"/>
    <w:rsid w:val="000E46CA"/>
    <w:rsid w:val="000E4839"/>
    <w:rsid w:val="000E484E"/>
    <w:rsid w:val="000E52A3"/>
    <w:rsid w:val="000E533F"/>
    <w:rsid w:val="000E5467"/>
    <w:rsid w:val="000E564F"/>
    <w:rsid w:val="000E56A3"/>
    <w:rsid w:val="000E579E"/>
    <w:rsid w:val="000E59C6"/>
    <w:rsid w:val="000E5C60"/>
    <w:rsid w:val="000E5CC4"/>
    <w:rsid w:val="000E5CD6"/>
    <w:rsid w:val="000E6170"/>
    <w:rsid w:val="000E623C"/>
    <w:rsid w:val="000E629D"/>
    <w:rsid w:val="000E6620"/>
    <w:rsid w:val="000E6645"/>
    <w:rsid w:val="000E6739"/>
    <w:rsid w:val="000E67D4"/>
    <w:rsid w:val="000E6C83"/>
    <w:rsid w:val="000E6DCB"/>
    <w:rsid w:val="000E6F1F"/>
    <w:rsid w:val="000E716B"/>
    <w:rsid w:val="000E765A"/>
    <w:rsid w:val="000E76FD"/>
    <w:rsid w:val="000E79D2"/>
    <w:rsid w:val="000F00C6"/>
    <w:rsid w:val="000F019A"/>
    <w:rsid w:val="000F057B"/>
    <w:rsid w:val="000F069B"/>
    <w:rsid w:val="000F074E"/>
    <w:rsid w:val="000F0896"/>
    <w:rsid w:val="000F0972"/>
    <w:rsid w:val="000F09DE"/>
    <w:rsid w:val="000F0C22"/>
    <w:rsid w:val="000F0DEF"/>
    <w:rsid w:val="000F0EF6"/>
    <w:rsid w:val="000F0FE7"/>
    <w:rsid w:val="000F13FF"/>
    <w:rsid w:val="000F183D"/>
    <w:rsid w:val="000F1BC5"/>
    <w:rsid w:val="000F1FF8"/>
    <w:rsid w:val="000F2103"/>
    <w:rsid w:val="000F2260"/>
    <w:rsid w:val="000F2287"/>
    <w:rsid w:val="000F2792"/>
    <w:rsid w:val="000F2ABA"/>
    <w:rsid w:val="000F309C"/>
    <w:rsid w:val="000F312D"/>
    <w:rsid w:val="000F328D"/>
    <w:rsid w:val="000F32DB"/>
    <w:rsid w:val="000F332E"/>
    <w:rsid w:val="000F3455"/>
    <w:rsid w:val="000F3984"/>
    <w:rsid w:val="000F3D78"/>
    <w:rsid w:val="000F3E9A"/>
    <w:rsid w:val="000F3EFF"/>
    <w:rsid w:val="000F3FFB"/>
    <w:rsid w:val="000F4080"/>
    <w:rsid w:val="000F41B5"/>
    <w:rsid w:val="000F4210"/>
    <w:rsid w:val="000F462A"/>
    <w:rsid w:val="000F476E"/>
    <w:rsid w:val="000F4A4F"/>
    <w:rsid w:val="000F4C71"/>
    <w:rsid w:val="000F4D34"/>
    <w:rsid w:val="000F4D9F"/>
    <w:rsid w:val="000F4DC6"/>
    <w:rsid w:val="000F4E93"/>
    <w:rsid w:val="000F5003"/>
    <w:rsid w:val="000F52C0"/>
    <w:rsid w:val="000F5329"/>
    <w:rsid w:val="000F5758"/>
    <w:rsid w:val="000F5876"/>
    <w:rsid w:val="000F5A4B"/>
    <w:rsid w:val="000F5AB5"/>
    <w:rsid w:val="000F5B88"/>
    <w:rsid w:val="000F5CA7"/>
    <w:rsid w:val="000F5E6C"/>
    <w:rsid w:val="000F6122"/>
    <w:rsid w:val="000F6410"/>
    <w:rsid w:val="000F641B"/>
    <w:rsid w:val="000F64BE"/>
    <w:rsid w:val="000F66A8"/>
    <w:rsid w:val="000F68F6"/>
    <w:rsid w:val="000F6A1B"/>
    <w:rsid w:val="000F6AC9"/>
    <w:rsid w:val="000F6AD4"/>
    <w:rsid w:val="000F7101"/>
    <w:rsid w:val="000F71CC"/>
    <w:rsid w:val="000F726C"/>
    <w:rsid w:val="000F7361"/>
    <w:rsid w:val="000F78C3"/>
    <w:rsid w:val="000F7AA0"/>
    <w:rsid w:val="000F7BC3"/>
    <w:rsid w:val="000F7C59"/>
    <w:rsid w:val="000F7ECA"/>
    <w:rsid w:val="0010037D"/>
    <w:rsid w:val="001005E7"/>
    <w:rsid w:val="00100603"/>
    <w:rsid w:val="00100713"/>
    <w:rsid w:val="001007B4"/>
    <w:rsid w:val="00100A5D"/>
    <w:rsid w:val="00100E4B"/>
    <w:rsid w:val="00100F2B"/>
    <w:rsid w:val="0010109E"/>
    <w:rsid w:val="001012E1"/>
    <w:rsid w:val="0010132B"/>
    <w:rsid w:val="001015C7"/>
    <w:rsid w:val="00101837"/>
    <w:rsid w:val="001018AD"/>
    <w:rsid w:val="001018DB"/>
    <w:rsid w:val="00101F18"/>
    <w:rsid w:val="001020DE"/>
    <w:rsid w:val="001023F8"/>
    <w:rsid w:val="00102429"/>
    <w:rsid w:val="00102701"/>
    <w:rsid w:val="00102D8E"/>
    <w:rsid w:val="00102F4C"/>
    <w:rsid w:val="00102F89"/>
    <w:rsid w:val="001031C6"/>
    <w:rsid w:val="0010391B"/>
    <w:rsid w:val="00103929"/>
    <w:rsid w:val="001040F7"/>
    <w:rsid w:val="00104426"/>
    <w:rsid w:val="001048BA"/>
    <w:rsid w:val="0010493B"/>
    <w:rsid w:val="00104AB2"/>
    <w:rsid w:val="00104D45"/>
    <w:rsid w:val="00104D6E"/>
    <w:rsid w:val="00104E2D"/>
    <w:rsid w:val="00105003"/>
    <w:rsid w:val="001050DE"/>
    <w:rsid w:val="0010523F"/>
    <w:rsid w:val="001053A2"/>
    <w:rsid w:val="00105619"/>
    <w:rsid w:val="00105847"/>
    <w:rsid w:val="001058DA"/>
    <w:rsid w:val="001059E0"/>
    <w:rsid w:val="00105BC1"/>
    <w:rsid w:val="00105BEB"/>
    <w:rsid w:val="00105C9A"/>
    <w:rsid w:val="00105DA5"/>
    <w:rsid w:val="0010619D"/>
    <w:rsid w:val="00106501"/>
    <w:rsid w:val="00106AF2"/>
    <w:rsid w:val="00106D22"/>
    <w:rsid w:val="00106D2E"/>
    <w:rsid w:val="0010707B"/>
    <w:rsid w:val="001073C6"/>
    <w:rsid w:val="001074B1"/>
    <w:rsid w:val="001076E0"/>
    <w:rsid w:val="001076EE"/>
    <w:rsid w:val="0010772B"/>
    <w:rsid w:val="00107EC1"/>
    <w:rsid w:val="0011029A"/>
    <w:rsid w:val="001104AC"/>
    <w:rsid w:val="00110712"/>
    <w:rsid w:val="001108A3"/>
    <w:rsid w:val="00110D5A"/>
    <w:rsid w:val="00110DC8"/>
    <w:rsid w:val="00111100"/>
    <w:rsid w:val="001113E4"/>
    <w:rsid w:val="00111940"/>
    <w:rsid w:val="00111986"/>
    <w:rsid w:val="00111CB0"/>
    <w:rsid w:val="00111CC6"/>
    <w:rsid w:val="00111CEE"/>
    <w:rsid w:val="00111E20"/>
    <w:rsid w:val="00112190"/>
    <w:rsid w:val="00112496"/>
    <w:rsid w:val="00112650"/>
    <w:rsid w:val="001127BF"/>
    <w:rsid w:val="00112A00"/>
    <w:rsid w:val="00112B5F"/>
    <w:rsid w:val="00112DA7"/>
    <w:rsid w:val="00112FBC"/>
    <w:rsid w:val="0011327A"/>
    <w:rsid w:val="0011345A"/>
    <w:rsid w:val="0011346D"/>
    <w:rsid w:val="0011347F"/>
    <w:rsid w:val="001134CF"/>
    <w:rsid w:val="001134DD"/>
    <w:rsid w:val="0011362D"/>
    <w:rsid w:val="001137AE"/>
    <w:rsid w:val="00113F12"/>
    <w:rsid w:val="00114354"/>
    <w:rsid w:val="001144EA"/>
    <w:rsid w:val="00114582"/>
    <w:rsid w:val="001145C8"/>
    <w:rsid w:val="00114613"/>
    <w:rsid w:val="00114B6A"/>
    <w:rsid w:val="00114B7B"/>
    <w:rsid w:val="00114DA8"/>
    <w:rsid w:val="001150BF"/>
    <w:rsid w:val="001150CF"/>
    <w:rsid w:val="00115155"/>
    <w:rsid w:val="00115167"/>
    <w:rsid w:val="001153CA"/>
    <w:rsid w:val="00115575"/>
    <w:rsid w:val="0011580B"/>
    <w:rsid w:val="0011597D"/>
    <w:rsid w:val="00115CF5"/>
    <w:rsid w:val="00115EAA"/>
    <w:rsid w:val="001160FE"/>
    <w:rsid w:val="0011623C"/>
    <w:rsid w:val="00116392"/>
    <w:rsid w:val="001167D3"/>
    <w:rsid w:val="001167F0"/>
    <w:rsid w:val="001168B4"/>
    <w:rsid w:val="00116BF8"/>
    <w:rsid w:val="00116D4D"/>
    <w:rsid w:val="00117030"/>
    <w:rsid w:val="001170AD"/>
    <w:rsid w:val="0011712E"/>
    <w:rsid w:val="001171CE"/>
    <w:rsid w:val="001175BD"/>
    <w:rsid w:val="00117600"/>
    <w:rsid w:val="00117708"/>
    <w:rsid w:val="001178DA"/>
    <w:rsid w:val="00117AB0"/>
    <w:rsid w:val="00117BA6"/>
    <w:rsid w:val="00117C4A"/>
    <w:rsid w:val="00117D3D"/>
    <w:rsid w:val="00117DB1"/>
    <w:rsid w:val="00117E1E"/>
    <w:rsid w:val="00117EE2"/>
    <w:rsid w:val="0012005A"/>
    <w:rsid w:val="001204E1"/>
    <w:rsid w:val="001205A1"/>
    <w:rsid w:val="001206B6"/>
    <w:rsid w:val="00120D5B"/>
    <w:rsid w:val="00120F28"/>
    <w:rsid w:val="001212AF"/>
    <w:rsid w:val="001213E9"/>
    <w:rsid w:val="001214FE"/>
    <w:rsid w:val="00121511"/>
    <w:rsid w:val="001216CE"/>
    <w:rsid w:val="001216DE"/>
    <w:rsid w:val="0012176C"/>
    <w:rsid w:val="001219EC"/>
    <w:rsid w:val="00121D4A"/>
    <w:rsid w:val="00121E42"/>
    <w:rsid w:val="00121F3F"/>
    <w:rsid w:val="00121F7D"/>
    <w:rsid w:val="00122196"/>
    <w:rsid w:val="001222D3"/>
    <w:rsid w:val="0012242D"/>
    <w:rsid w:val="001224ED"/>
    <w:rsid w:val="00122595"/>
    <w:rsid w:val="001226F6"/>
    <w:rsid w:val="00122A2E"/>
    <w:rsid w:val="00122A78"/>
    <w:rsid w:val="00122AF6"/>
    <w:rsid w:val="00122B00"/>
    <w:rsid w:val="00122B4F"/>
    <w:rsid w:val="00122B8C"/>
    <w:rsid w:val="00122C8F"/>
    <w:rsid w:val="00122D0E"/>
    <w:rsid w:val="00123129"/>
    <w:rsid w:val="00123138"/>
    <w:rsid w:val="001238D3"/>
    <w:rsid w:val="00123FA6"/>
    <w:rsid w:val="00123FDC"/>
    <w:rsid w:val="001240A1"/>
    <w:rsid w:val="00124115"/>
    <w:rsid w:val="001241C3"/>
    <w:rsid w:val="0012452F"/>
    <w:rsid w:val="00124530"/>
    <w:rsid w:val="001245F2"/>
    <w:rsid w:val="00124A43"/>
    <w:rsid w:val="00124CDD"/>
    <w:rsid w:val="00124D8F"/>
    <w:rsid w:val="00125136"/>
    <w:rsid w:val="00125291"/>
    <w:rsid w:val="0012556C"/>
    <w:rsid w:val="00125698"/>
    <w:rsid w:val="001257BD"/>
    <w:rsid w:val="00125AE5"/>
    <w:rsid w:val="00125C69"/>
    <w:rsid w:val="00125EEA"/>
    <w:rsid w:val="00126168"/>
    <w:rsid w:val="001261BC"/>
    <w:rsid w:val="0012625E"/>
    <w:rsid w:val="00126376"/>
    <w:rsid w:val="001263FC"/>
    <w:rsid w:val="00126826"/>
    <w:rsid w:val="00126B1D"/>
    <w:rsid w:val="00126EFF"/>
    <w:rsid w:val="00127084"/>
    <w:rsid w:val="001271FE"/>
    <w:rsid w:val="001272C2"/>
    <w:rsid w:val="001273E7"/>
    <w:rsid w:val="001273F3"/>
    <w:rsid w:val="0012742C"/>
    <w:rsid w:val="001274D4"/>
    <w:rsid w:val="0012754D"/>
    <w:rsid w:val="00127665"/>
    <w:rsid w:val="001276D3"/>
    <w:rsid w:val="001276DA"/>
    <w:rsid w:val="001277D9"/>
    <w:rsid w:val="00127B30"/>
    <w:rsid w:val="00127B50"/>
    <w:rsid w:val="00127BAF"/>
    <w:rsid w:val="00127D57"/>
    <w:rsid w:val="00127E42"/>
    <w:rsid w:val="00127F97"/>
    <w:rsid w:val="0013007D"/>
    <w:rsid w:val="00130141"/>
    <w:rsid w:val="00130175"/>
    <w:rsid w:val="001302FF"/>
    <w:rsid w:val="001303BA"/>
    <w:rsid w:val="00130447"/>
    <w:rsid w:val="00130793"/>
    <w:rsid w:val="0013080F"/>
    <w:rsid w:val="0013083D"/>
    <w:rsid w:val="001308B5"/>
    <w:rsid w:val="00130A2E"/>
    <w:rsid w:val="00130A6F"/>
    <w:rsid w:val="00130ADB"/>
    <w:rsid w:val="00130D30"/>
    <w:rsid w:val="00130E9A"/>
    <w:rsid w:val="00130F11"/>
    <w:rsid w:val="001310A1"/>
    <w:rsid w:val="00131203"/>
    <w:rsid w:val="0013122D"/>
    <w:rsid w:val="0013129A"/>
    <w:rsid w:val="00131478"/>
    <w:rsid w:val="001317A5"/>
    <w:rsid w:val="00131845"/>
    <w:rsid w:val="00131B72"/>
    <w:rsid w:val="00131BCA"/>
    <w:rsid w:val="00131E48"/>
    <w:rsid w:val="001320AF"/>
    <w:rsid w:val="00132273"/>
    <w:rsid w:val="001322FE"/>
    <w:rsid w:val="0013271D"/>
    <w:rsid w:val="001328AC"/>
    <w:rsid w:val="001329A4"/>
    <w:rsid w:val="001329D2"/>
    <w:rsid w:val="00132A20"/>
    <w:rsid w:val="00132A26"/>
    <w:rsid w:val="00132A64"/>
    <w:rsid w:val="00132C21"/>
    <w:rsid w:val="0013306B"/>
    <w:rsid w:val="00133166"/>
    <w:rsid w:val="0013325B"/>
    <w:rsid w:val="001333DB"/>
    <w:rsid w:val="0013360F"/>
    <w:rsid w:val="00133648"/>
    <w:rsid w:val="001337CC"/>
    <w:rsid w:val="00133944"/>
    <w:rsid w:val="00133E8B"/>
    <w:rsid w:val="001341BF"/>
    <w:rsid w:val="00134444"/>
    <w:rsid w:val="00134575"/>
    <w:rsid w:val="00134588"/>
    <w:rsid w:val="001347FE"/>
    <w:rsid w:val="00134A42"/>
    <w:rsid w:val="001351B9"/>
    <w:rsid w:val="0013577F"/>
    <w:rsid w:val="00135939"/>
    <w:rsid w:val="00135C39"/>
    <w:rsid w:val="00135CB0"/>
    <w:rsid w:val="00135E4E"/>
    <w:rsid w:val="00136343"/>
    <w:rsid w:val="00136401"/>
    <w:rsid w:val="001364AF"/>
    <w:rsid w:val="001368B0"/>
    <w:rsid w:val="001369EE"/>
    <w:rsid w:val="00136B11"/>
    <w:rsid w:val="00136C24"/>
    <w:rsid w:val="00136E3A"/>
    <w:rsid w:val="00136EBC"/>
    <w:rsid w:val="00136FEF"/>
    <w:rsid w:val="001372F4"/>
    <w:rsid w:val="001374CA"/>
    <w:rsid w:val="00137DAB"/>
    <w:rsid w:val="001400A7"/>
    <w:rsid w:val="00140216"/>
    <w:rsid w:val="0014061B"/>
    <w:rsid w:val="00140896"/>
    <w:rsid w:val="001408E1"/>
    <w:rsid w:val="00140D10"/>
    <w:rsid w:val="00140E81"/>
    <w:rsid w:val="0014127D"/>
    <w:rsid w:val="00141305"/>
    <w:rsid w:val="00141358"/>
    <w:rsid w:val="001413CE"/>
    <w:rsid w:val="00141721"/>
    <w:rsid w:val="0014192C"/>
    <w:rsid w:val="00141B7C"/>
    <w:rsid w:val="00141B96"/>
    <w:rsid w:val="00141C37"/>
    <w:rsid w:val="00141C8F"/>
    <w:rsid w:val="00142102"/>
    <w:rsid w:val="001421E9"/>
    <w:rsid w:val="00142328"/>
    <w:rsid w:val="001426B4"/>
    <w:rsid w:val="001427B9"/>
    <w:rsid w:val="00142BED"/>
    <w:rsid w:val="00142BF3"/>
    <w:rsid w:val="00142C18"/>
    <w:rsid w:val="00142C7D"/>
    <w:rsid w:val="00142C88"/>
    <w:rsid w:val="00142CC4"/>
    <w:rsid w:val="00142DE4"/>
    <w:rsid w:val="00142E50"/>
    <w:rsid w:val="00142ED8"/>
    <w:rsid w:val="00142F5F"/>
    <w:rsid w:val="00142FC4"/>
    <w:rsid w:val="001431C0"/>
    <w:rsid w:val="001437A5"/>
    <w:rsid w:val="00143A74"/>
    <w:rsid w:val="00143F89"/>
    <w:rsid w:val="001442CD"/>
    <w:rsid w:val="0014442C"/>
    <w:rsid w:val="001444F8"/>
    <w:rsid w:val="00144563"/>
    <w:rsid w:val="001447CE"/>
    <w:rsid w:val="00144930"/>
    <w:rsid w:val="00144A2A"/>
    <w:rsid w:val="00144B3E"/>
    <w:rsid w:val="00145078"/>
    <w:rsid w:val="001451C3"/>
    <w:rsid w:val="0014528B"/>
    <w:rsid w:val="001452D8"/>
    <w:rsid w:val="0014549F"/>
    <w:rsid w:val="00145688"/>
    <w:rsid w:val="0014585D"/>
    <w:rsid w:val="00145C11"/>
    <w:rsid w:val="00145CF0"/>
    <w:rsid w:val="00145DF1"/>
    <w:rsid w:val="00146046"/>
    <w:rsid w:val="0014609B"/>
    <w:rsid w:val="00146311"/>
    <w:rsid w:val="001463C6"/>
    <w:rsid w:val="001463E7"/>
    <w:rsid w:val="00146453"/>
    <w:rsid w:val="001467A6"/>
    <w:rsid w:val="00146AA7"/>
    <w:rsid w:val="001472C1"/>
    <w:rsid w:val="00147373"/>
    <w:rsid w:val="001476A8"/>
    <w:rsid w:val="001477D0"/>
    <w:rsid w:val="001479B2"/>
    <w:rsid w:val="00147A43"/>
    <w:rsid w:val="00147CFC"/>
    <w:rsid w:val="0015009D"/>
    <w:rsid w:val="0015020F"/>
    <w:rsid w:val="001503E8"/>
    <w:rsid w:val="0015041E"/>
    <w:rsid w:val="00150ED2"/>
    <w:rsid w:val="001510BD"/>
    <w:rsid w:val="001511A1"/>
    <w:rsid w:val="001512B8"/>
    <w:rsid w:val="0015139C"/>
    <w:rsid w:val="00151797"/>
    <w:rsid w:val="001518C8"/>
    <w:rsid w:val="00151A58"/>
    <w:rsid w:val="00151ED1"/>
    <w:rsid w:val="00151F3D"/>
    <w:rsid w:val="0015239D"/>
    <w:rsid w:val="00152911"/>
    <w:rsid w:val="00152912"/>
    <w:rsid w:val="0015298B"/>
    <w:rsid w:val="00152B0D"/>
    <w:rsid w:val="001532F1"/>
    <w:rsid w:val="00153316"/>
    <w:rsid w:val="0015379B"/>
    <w:rsid w:val="001537E4"/>
    <w:rsid w:val="001537FF"/>
    <w:rsid w:val="001538C4"/>
    <w:rsid w:val="001538CC"/>
    <w:rsid w:val="0015391B"/>
    <w:rsid w:val="00153A3B"/>
    <w:rsid w:val="00153C22"/>
    <w:rsid w:val="00153CBE"/>
    <w:rsid w:val="001541C7"/>
    <w:rsid w:val="0015422B"/>
    <w:rsid w:val="00154658"/>
    <w:rsid w:val="0015475D"/>
    <w:rsid w:val="00154A13"/>
    <w:rsid w:val="00154B0C"/>
    <w:rsid w:val="00154CDB"/>
    <w:rsid w:val="001550DE"/>
    <w:rsid w:val="001551F6"/>
    <w:rsid w:val="001553C3"/>
    <w:rsid w:val="00155604"/>
    <w:rsid w:val="001556F2"/>
    <w:rsid w:val="001557D2"/>
    <w:rsid w:val="001557F5"/>
    <w:rsid w:val="00155AF4"/>
    <w:rsid w:val="00155B50"/>
    <w:rsid w:val="00155EC5"/>
    <w:rsid w:val="001560F0"/>
    <w:rsid w:val="00156385"/>
    <w:rsid w:val="00156571"/>
    <w:rsid w:val="00156629"/>
    <w:rsid w:val="00156734"/>
    <w:rsid w:val="001568FF"/>
    <w:rsid w:val="0015695A"/>
    <w:rsid w:val="00156ADE"/>
    <w:rsid w:val="00156AF4"/>
    <w:rsid w:val="00156B93"/>
    <w:rsid w:val="00156B9E"/>
    <w:rsid w:val="0015714C"/>
    <w:rsid w:val="00157177"/>
    <w:rsid w:val="001572D6"/>
    <w:rsid w:val="00157472"/>
    <w:rsid w:val="00157476"/>
    <w:rsid w:val="001574F7"/>
    <w:rsid w:val="00157CAC"/>
    <w:rsid w:val="00157D89"/>
    <w:rsid w:val="00157E08"/>
    <w:rsid w:val="00157F12"/>
    <w:rsid w:val="00160085"/>
    <w:rsid w:val="00160342"/>
    <w:rsid w:val="0016080C"/>
    <w:rsid w:val="00160811"/>
    <w:rsid w:val="00160975"/>
    <w:rsid w:val="00160AFD"/>
    <w:rsid w:val="00160C1A"/>
    <w:rsid w:val="00160F21"/>
    <w:rsid w:val="001610A3"/>
    <w:rsid w:val="0016146B"/>
    <w:rsid w:val="0016150D"/>
    <w:rsid w:val="00161665"/>
    <w:rsid w:val="00161A04"/>
    <w:rsid w:val="00161AC4"/>
    <w:rsid w:val="00161B6A"/>
    <w:rsid w:val="00161D0E"/>
    <w:rsid w:val="001624B4"/>
    <w:rsid w:val="00162526"/>
    <w:rsid w:val="00162543"/>
    <w:rsid w:val="00162644"/>
    <w:rsid w:val="00162A7F"/>
    <w:rsid w:val="00162B98"/>
    <w:rsid w:val="00163052"/>
    <w:rsid w:val="00163107"/>
    <w:rsid w:val="0016377F"/>
    <w:rsid w:val="00163839"/>
    <w:rsid w:val="001638D3"/>
    <w:rsid w:val="00163955"/>
    <w:rsid w:val="00163C44"/>
    <w:rsid w:val="00163C5A"/>
    <w:rsid w:val="00163C97"/>
    <w:rsid w:val="00163E5A"/>
    <w:rsid w:val="00164036"/>
    <w:rsid w:val="0016405C"/>
    <w:rsid w:val="0016406B"/>
    <w:rsid w:val="001640C0"/>
    <w:rsid w:val="00164298"/>
    <w:rsid w:val="00164555"/>
    <w:rsid w:val="0016460E"/>
    <w:rsid w:val="001647A2"/>
    <w:rsid w:val="001647D1"/>
    <w:rsid w:val="001649A4"/>
    <w:rsid w:val="00164AE4"/>
    <w:rsid w:val="00164B67"/>
    <w:rsid w:val="00164B87"/>
    <w:rsid w:val="00164CAA"/>
    <w:rsid w:val="00164E3F"/>
    <w:rsid w:val="00165023"/>
    <w:rsid w:val="00165028"/>
    <w:rsid w:val="001652D2"/>
    <w:rsid w:val="001656A9"/>
    <w:rsid w:val="001657C6"/>
    <w:rsid w:val="00165990"/>
    <w:rsid w:val="0016599F"/>
    <w:rsid w:val="00165A0E"/>
    <w:rsid w:val="00165DF3"/>
    <w:rsid w:val="00165E21"/>
    <w:rsid w:val="00165E4A"/>
    <w:rsid w:val="00165ED8"/>
    <w:rsid w:val="001663DF"/>
    <w:rsid w:val="00166491"/>
    <w:rsid w:val="001664A0"/>
    <w:rsid w:val="00166579"/>
    <w:rsid w:val="00166723"/>
    <w:rsid w:val="0016673E"/>
    <w:rsid w:val="001669F0"/>
    <w:rsid w:val="00166D72"/>
    <w:rsid w:val="00166EAB"/>
    <w:rsid w:val="0016700D"/>
    <w:rsid w:val="00167139"/>
    <w:rsid w:val="00167356"/>
    <w:rsid w:val="001674DF"/>
    <w:rsid w:val="00167677"/>
    <w:rsid w:val="00167936"/>
    <w:rsid w:val="00167A26"/>
    <w:rsid w:val="00167A55"/>
    <w:rsid w:val="00167BC0"/>
    <w:rsid w:val="00170038"/>
    <w:rsid w:val="0017004E"/>
    <w:rsid w:val="00170193"/>
    <w:rsid w:val="0017022D"/>
    <w:rsid w:val="00170392"/>
    <w:rsid w:val="001704EB"/>
    <w:rsid w:val="00170653"/>
    <w:rsid w:val="0017086E"/>
    <w:rsid w:val="001708BB"/>
    <w:rsid w:val="00170996"/>
    <w:rsid w:val="001709BB"/>
    <w:rsid w:val="001709D5"/>
    <w:rsid w:val="00170A4E"/>
    <w:rsid w:val="00170AA7"/>
    <w:rsid w:val="00170C1C"/>
    <w:rsid w:val="00170D28"/>
    <w:rsid w:val="00170DDD"/>
    <w:rsid w:val="00170DFB"/>
    <w:rsid w:val="0017111F"/>
    <w:rsid w:val="001712FD"/>
    <w:rsid w:val="001717F1"/>
    <w:rsid w:val="00171ABE"/>
    <w:rsid w:val="00171C98"/>
    <w:rsid w:val="00171F77"/>
    <w:rsid w:val="00172330"/>
    <w:rsid w:val="00172450"/>
    <w:rsid w:val="0017266F"/>
    <w:rsid w:val="001728AC"/>
    <w:rsid w:val="001729A6"/>
    <w:rsid w:val="00172CE3"/>
    <w:rsid w:val="00172F8D"/>
    <w:rsid w:val="001730A2"/>
    <w:rsid w:val="001731C0"/>
    <w:rsid w:val="001731FA"/>
    <w:rsid w:val="001738E9"/>
    <w:rsid w:val="00173A25"/>
    <w:rsid w:val="00174009"/>
    <w:rsid w:val="00174029"/>
    <w:rsid w:val="00174032"/>
    <w:rsid w:val="0017418E"/>
    <w:rsid w:val="001742E3"/>
    <w:rsid w:val="0017435A"/>
    <w:rsid w:val="001743DE"/>
    <w:rsid w:val="001743FA"/>
    <w:rsid w:val="0017448E"/>
    <w:rsid w:val="001744EF"/>
    <w:rsid w:val="0017470C"/>
    <w:rsid w:val="001747B0"/>
    <w:rsid w:val="0017490F"/>
    <w:rsid w:val="00174FBA"/>
    <w:rsid w:val="0017514D"/>
    <w:rsid w:val="001752F6"/>
    <w:rsid w:val="0017565F"/>
    <w:rsid w:val="00175668"/>
    <w:rsid w:val="0017570C"/>
    <w:rsid w:val="001758B6"/>
    <w:rsid w:val="00175DFB"/>
    <w:rsid w:val="00175EA5"/>
    <w:rsid w:val="00175FD5"/>
    <w:rsid w:val="00176096"/>
    <w:rsid w:val="001762B0"/>
    <w:rsid w:val="0017676D"/>
    <w:rsid w:val="001767F3"/>
    <w:rsid w:val="0017689E"/>
    <w:rsid w:val="001768CC"/>
    <w:rsid w:val="00176B1A"/>
    <w:rsid w:val="00176FB6"/>
    <w:rsid w:val="0017728A"/>
    <w:rsid w:val="001773EC"/>
    <w:rsid w:val="0017758A"/>
    <w:rsid w:val="001779E5"/>
    <w:rsid w:val="00177E21"/>
    <w:rsid w:val="00180115"/>
    <w:rsid w:val="001802D9"/>
    <w:rsid w:val="0018036B"/>
    <w:rsid w:val="00180433"/>
    <w:rsid w:val="00180B2E"/>
    <w:rsid w:val="00180C40"/>
    <w:rsid w:val="00180C56"/>
    <w:rsid w:val="00180F0D"/>
    <w:rsid w:val="00180F66"/>
    <w:rsid w:val="00181110"/>
    <w:rsid w:val="00181171"/>
    <w:rsid w:val="0018123F"/>
    <w:rsid w:val="001812E2"/>
    <w:rsid w:val="001813A7"/>
    <w:rsid w:val="00181502"/>
    <w:rsid w:val="00181521"/>
    <w:rsid w:val="00181677"/>
    <w:rsid w:val="001817E6"/>
    <w:rsid w:val="001817F6"/>
    <w:rsid w:val="00181A43"/>
    <w:rsid w:val="00181BAB"/>
    <w:rsid w:val="00182060"/>
    <w:rsid w:val="0018226F"/>
    <w:rsid w:val="001822AF"/>
    <w:rsid w:val="00182807"/>
    <w:rsid w:val="00182AFF"/>
    <w:rsid w:val="00182BA3"/>
    <w:rsid w:val="0018348D"/>
    <w:rsid w:val="0018368F"/>
    <w:rsid w:val="0018379E"/>
    <w:rsid w:val="0018394C"/>
    <w:rsid w:val="00183BF9"/>
    <w:rsid w:val="001841AF"/>
    <w:rsid w:val="001841CD"/>
    <w:rsid w:val="00184290"/>
    <w:rsid w:val="001845AD"/>
    <w:rsid w:val="0018467C"/>
    <w:rsid w:val="00184948"/>
    <w:rsid w:val="00184DBA"/>
    <w:rsid w:val="00184DD8"/>
    <w:rsid w:val="00184ED2"/>
    <w:rsid w:val="001850C9"/>
    <w:rsid w:val="001851DA"/>
    <w:rsid w:val="0018548A"/>
    <w:rsid w:val="0018561F"/>
    <w:rsid w:val="00185707"/>
    <w:rsid w:val="00185763"/>
    <w:rsid w:val="0018590C"/>
    <w:rsid w:val="0018591F"/>
    <w:rsid w:val="00185F0D"/>
    <w:rsid w:val="00185F7F"/>
    <w:rsid w:val="00186510"/>
    <w:rsid w:val="001869B4"/>
    <w:rsid w:val="00186A6B"/>
    <w:rsid w:val="00186ACB"/>
    <w:rsid w:val="00186E43"/>
    <w:rsid w:val="00186E89"/>
    <w:rsid w:val="00187261"/>
    <w:rsid w:val="0018733B"/>
    <w:rsid w:val="0018736C"/>
    <w:rsid w:val="0018753E"/>
    <w:rsid w:val="0018764D"/>
    <w:rsid w:val="00187856"/>
    <w:rsid w:val="00187AEA"/>
    <w:rsid w:val="00187B1D"/>
    <w:rsid w:val="00190119"/>
    <w:rsid w:val="001903E4"/>
    <w:rsid w:val="00190654"/>
    <w:rsid w:val="00190850"/>
    <w:rsid w:val="00190C57"/>
    <w:rsid w:val="00190D62"/>
    <w:rsid w:val="00190F79"/>
    <w:rsid w:val="001910E1"/>
    <w:rsid w:val="001912DD"/>
    <w:rsid w:val="00191441"/>
    <w:rsid w:val="0019159C"/>
    <w:rsid w:val="00191729"/>
    <w:rsid w:val="0019180F"/>
    <w:rsid w:val="00191FBF"/>
    <w:rsid w:val="001922D7"/>
    <w:rsid w:val="00192392"/>
    <w:rsid w:val="00192689"/>
    <w:rsid w:val="00192734"/>
    <w:rsid w:val="00192741"/>
    <w:rsid w:val="00192A15"/>
    <w:rsid w:val="00192E69"/>
    <w:rsid w:val="00192FD8"/>
    <w:rsid w:val="00192FE1"/>
    <w:rsid w:val="00193120"/>
    <w:rsid w:val="0019323B"/>
    <w:rsid w:val="001932BA"/>
    <w:rsid w:val="001932EA"/>
    <w:rsid w:val="00193451"/>
    <w:rsid w:val="00193725"/>
    <w:rsid w:val="00193876"/>
    <w:rsid w:val="00193A9F"/>
    <w:rsid w:val="00193B1A"/>
    <w:rsid w:val="00193B49"/>
    <w:rsid w:val="00193D72"/>
    <w:rsid w:val="00193D98"/>
    <w:rsid w:val="00193F82"/>
    <w:rsid w:val="00194118"/>
    <w:rsid w:val="0019422E"/>
    <w:rsid w:val="00194608"/>
    <w:rsid w:val="00194B74"/>
    <w:rsid w:val="00194DD1"/>
    <w:rsid w:val="00194E97"/>
    <w:rsid w:val="00195478"/>
    <w:rsid w:val="0019549A"/>
    <w:rsid w:val="0019557A"/>
    <w:rsid w:val="00195DFD"/>
    <w:rsid w:val="00196116"/>
    <w:rsid w:val="00196217"/>
    <w:rsid w:val="001962B8"/>
    <w:rsid w:val="001963E9"/>
    <w:rsid w:val="00196409"/>
    <w:rsid w:val="00196486"/>
    <w:rsid w:val="00196690"/>
    <w:rsid w:val="00196A28"/>
    <w:rsid w:val="00196ABA"/>
    <w:rsid w:val="00196AE4"/>
    <w:rsid w:val="00196BC0"/>
    <w:rsid w:val="00196F18"/>
    <w:rsid w:val="00196FF7"/>
    <w:rsid w:val="001971CE"/>
    <w:rsid w:val="001974DE"/>
    <w:rsid w:val="00197645"/>
    <w:rsid w:val="0019776F"/>
    <w:rsid w:val="00197A30"/>
    <w:rsid w:val="00197E47"/>
    <w:rsid w:val="001A012F"/>
    <w:rsid w:val="001A019A"/>
    <w:rsid w:val="001A01AE"/>
    <w:rsid w:val="001A031C"/>
    <w:rsid w:val="001A04DD"/>
    <w:rsid w:val="001A0810"/>
    <w:rsid w:val="001A09D3"/>
    <w:rsid w:val="001A0AE0"/>
    <w:rsid w:val="001A0BE9"/>
    <w:rsid w:val="001A0F7B"/>
    <w:rsid w:val="001A10B9"/>
    <w:rsid w:val="001A10E5"/>
    <w:rsid w:val="001A1264"/>
    <w:rsid w:val="001A166E"/>
    <w:rsid w:val="001A177A"/>
    <w:rsid w:val="001A19B3"/>
    <w:rsid w:val="001A19DB"/>
    <w:rsid w:val="001A1A45"/>
    <w:rsid w:val="001A1A6E"/>
    <w:rsid w:val="001A1A95"/>
    <w:rsid w:val="001A2061"/>
    <w:rsid w:val="001A223D"/>
    <w:rsid w:val="001A22B8"/>
    <w:rsid w:val="001A231E"/>
    <w:rsid w:val="001A23FE"/>
    <w:rsid w:val="001A2552"/>
    <w:rsid w:val="001A2E32"/>
    <w:rsid w:val="001A2FA0"/>
    <w:rsid w:val="001A2FE4"/>
    <w:rsid w:val="001A32CD"/>
    <w:rsid w:val="001A352E"/>
    <w:rsid w:val="001A37BC"/>
    <w:rsid w:val="001A3AB5"/>
    <w:rsid w:val="001A3B73"/>
    <w:rsid w:val="001A3BBD"/>
    <w:rsid w:val="001A3BFC"/>
    <w:rsid w:val="001A3CDE"/>
    <w:rsid w:val="001A3D68"/>
    <w:rsid w:val="001A3E0C"/>
    <w:rsid w:val="001A46FE"/>
    <w:rsid w:val="001A48BD"/>
    <w:rsid w:val="001A48C4"/>
    <w:rsid w:val="001A4AD8"/>
    <w:rsid w:val="001A4E0E"/>
    <w:rsid w:val="001A5282"/>
    <w:rsid w:val="001A5591"/>
    <w:rsid w:val="001A563E"/>
    <w:rsid w:val="001A590D"/>
    <w:rsid w:val="001A5A66"/>
    <w:rsid w:val="001A5F2A"/>
    <w:rsid w:val="001A61C9"/>
    <w:rsid w:val="001A624C"/>
    <w:rsid w:val="001A63AA"/>
    <w:rsid w:val="001A6925"/>
    <w:rsid w:val="001A6D5A"/>
    <w:rsid w:val="001A6DC0"/>
    <w:rsid w:val="001A6FDF"/>
    <w:rsid w:val="001A7120"/>
    <w:rsid w:val="001A716F"/>
    <w:rsid w:val="001A717A"/>
    <w:rsid w:val="001A7205"/>
    <w:rsid w:val="001A747C"/>
    <w:rsid w:val="001A750E"/>
    <w:rsid w:val="001A756F"/>
    <w:rsid w:val="001A7622"/>
    <w:rsid w:val="001A7731"/>
    <w:rsid w:val="001A7DC9"/>
    <w:rsid w:val="001B0227"/>
    <w:rsid w:val="001B034E"/>
    <w:rsid w:val="001B04B0"/>
    <w:rsid w:val="001B054D"/>
    <w:rsid w:val="001B06F7"/>
    <w:rsid w:val="001B08DE"/>
    <w:rsid w:val="001B092B"/>
    <w:rsid w:val="001B0D1B"/>
    <w:rsid w:val="001B1299"/>
    <w:rsid w:val="001B136D"/>
    <w:rsid w:val="001B1376"/>
    <w:rsid w:val="001B1435"/>
    <w:rsid w:val="001B15DA"/>
    <w:rsid w:val="001B17AA"/>
    <w:rsid w:val="001B1ADE"/>
    <w:rsid w:val="001B1C61"/>
    <w:rsid w:val="001B1CD0"/>
    <w:rsid w:val="001B1D58"/>
    <w:rsid w:val="001B1F41"/>
    <w:rsid w:val="001B232B"/>
    <w:rsid w:val="001B2358"/>
    <w:rsid w:val="001B2625"/>
    <w:rsid w:val="001B263C"/>
    <w:rsid w:val="001B26C1"/>
    <w:rsid w:val="001B31BF"/>
    <w:rsid w:val="001B3316"/>
    <w:rsid w:val="001B3317"/>
    <w:rsid w:val="001B33F1"/>
    <w:rsid w:val="001B34F7"/>
    <w:rsid w:val="001B358F"/>
    <w:rsid w:val="001B35DB"/>
    <w:rsid w:val="001B3679"/>
    <w:rsid w:val="001B3A09"/>
    <w:rsid w:val="001B3A32"/>
    <w:rsid w:val="001B4380"/>
    <w:rsid w:val="001B43B1"/>
    <w:rsid w:val="001B490E"/>
    <w:rsid w:val="001B4F54"/>
    <w:rsid w:val="001B5022"/>
    <w:rsid w:val="001B5326"/>
    <w:rsid w:val="001B58CD"/>
    <w:rsid w:val="001B5A27"/>
    <w:rsid w:val="001B5BED"/>
    <w:rsid w:val="001B5FE8"/>
    <w:rsid w:val="001B6249"/>
    <w:rsid w:val="001B6281"/>
    <w:rsid w:val="001B63EB"/>
    <w:rsid w:val="001B6801"/>
    <w:rsid w:val="001B68EE"/>
    <w:rsid w:val="001B6A3B"/>
    <w:rsid w:val="001B6D00"/>
    <w:rsid w:val="001B6DE1"/>
    <w:rsid w:val="001B7289"/>
    <w:rsid w:val="001B72B5"/>
    <w:rsid w:val="001B74AB"/>
    <w:rsid w:val="001B76F2"/>
    <w:rsid w:val="001B7B44"/>
    <w:rsid w:val="001B7B7C"/>
    <w:rsid w:val="001B7CA1"/>
    <w:rsid w:val="001B7D6C"/>
    <w:rsid w:val="001C0192"/>
    <w:rsid w:val="001C02ED"/>
    <w:rsid w:val="001C03D2"/>
    <w:rsid w:val="001C0875"/>
    <w:rsid w:val="001C09A5"/>
    <w:rsid w:val="001C0A4B"/>
    <w:rsid w:val="001C10CB"/>
    <w:rsid w:val="001C113E"/>
    <w:rsid w:val="001C1249"/>
    <w:rsid w:val="001C1493"/>
    <w:rsid w:val="001C15EA"/>
    <w:rsid w:val="001C174B"/>
    <w:rsid w:val="001C17CA"/>
    <w:rsid w:val="001C19E3"/>
    <w:rsid w:val="001C1BDE"/>
    <w:rsid w:val="001C1E82"/>
    <w:rsid w:val="001C2009"/>
    <w:rsid w:val="001C208A"/>
    <w:rsid w:val="001C20BD"/>
    <w:rsid w:val="001C242B"/>
    <w:rsid w:val="001C29FF"/>
    <w:rsid w:val="001C2DF9"/>
    <w:rsid w:val="001C2E9A"/>
    <w:rsid w:val="001C2EB8"/>
    <w:rsid w:val="001C2FFB"/>
    <w:rsid w:val="001C309D"/>
    <w:rsid w:val="001C32A1"/>
    <w:rsid w:val="001C371C"/>
    <w:rsid w:val="001C384F"/>
    <w:rsid w:val="001C386F"/>
    <w:rsid w:val="001C3A4D"/>
    <w:rsid w:val="001C3ADB"/>
    <w:rsid w:val="001C3BAA"/>
    <w:rsid w:val="001C3CDC"/>
    <w:rsid w:val="001C416B"/>
    <w:rsid w:val="001C4327"/>
    <w:rsid w:val="001C4394"/>
    <w:rsid w:val="001C446A"/>
    <w:rsid w:val="001C4A31"/>
    <w:rsid w:val="001C4AEE"/>
    <w:rsid w:val="001C4C78"/>
    <w:rsid w:val="001C503A"/>
    <w:rsid w:val="001C5902"/>
    <w:rsid w:val="001C59B3"/>
    <w:rsid w:val="001C5A60"/>
    <w:rsid w:val="001C6067"/>
    <w:rsid w:val="001C607D"/>
    <w:rsid w:val="001C612D"/>
    <w:rsid w:val="001C61DC"/>
    <w:rsid w:val="001C62D2"/>
    <w:rsid w:val="001C63B4"/>
    <w:rsid w:val="001C693A"/>
    <w:rsid w:val="001C6955"/>
    <w:rsid w:val="001C6C62"/>
    <w:rsid w:val="001C6FE4"/>
    <w:rsid w:val="001C726E"/>
    <w:rsid w:val="001C759C"/>
    <w:rsid w:val="001C788E"/>
    <w:rsid w:val="001C7A2D"/>
    <w:rsid w:val="001C7E6B"/>
    <w:rsid w:val="001C7F0B"/>
    <w:rsid w:val="001D0288"/>
    <w:rsid w:val="001D02A7"/>
    <w:rsid w:val="001D04C7"/>
    <w:rsid w:val="001D04E9"/>
    <w:rsid w:val="001D05A8"/>
    <w:rsid w:val="001D05C6"/>
    <w:rsid w:val="001D0917"/>
    <w:rsid w:val="001D0977"/>
    <w:rsid w:val="001D0B5A"/>
    <w:rsid w:val="001D0BB7"/>
    <w:rsid w:val="001D0BD4"/>
    <w:rsid w:val="001D0C2A"/>
    <w:rsid w:val="001D0CAB"/>
    <w:rsid w:val="001D0EAA"/>
    <w:rsid w:val="001D1138"/>
    <w:rsid w:val="001D1208"/>
    <w:rsid w:val="001D1273"/>
    <w:rsid w:val="001D16D5"/>
    <w:rsid w:val="001D198D"/>
    <w:rsid w:val="001D1C48"/>
    <w:rsid w:val="001D21AA"/>
    <w:rsid w:val="001D22B0"/>
    <w:rsid w:val="001D2512"/>
    <w:rsid w:val="001D272D"/>
    <w:rsid w:val="001D2761"/>
    <w:rsid w:val="001D2B69"/>
    <w:rsid w:val="001D2B6D"/>
    <w:rsid w:val="001D2EAD"/>
    <w:rsid w:val="001D3169"/>
    <w:rsid w:val="001D333E"/>
    <w:rsid w:val="001D34CD"/>
    <w:rsid w:val="001D34E8"/>
    <w:rsid w:val="001D3761"/>
    <w:rsid w:val="001D38A7"/>
    <w:rsid w:val="001D405E"/>
    <w:rsid w:val="001D4073"/>
    <w:rsid w:val="001D414B"/>
    <w:rsid w:val="001D445D"/>
    <w:rsid w:val="001D49EA"/>
    <w:rsid w:val="001D4A02"/>
    <w:rsid w:val="001D4CA0"/>
    <w:rsid w:val="001D5140"/>
    <w:rsid w:val="001D523E"/>
    <w:rsid w:val="001D53CE"/>
    <w:rsid w:val="001D54F4"/>
    <w:rsid w:val="001D5585"/>
    <w:rsid w:val="001D5A74"/>
    <w:rsid w:val="001D5DEF"/>
    <w:rsid w:val="001D607B"/>
    <w:rsid w:val="001D631C"/>
    <w:rsid w:val="001D66B7"/>
    <w:rsid w:val="001D674C"/>
    <w:rsid w:val="001D6780"/>
    <w:rsid w:val="001D685E"/>
    <w:rsid w:val="001D68CF"/>
    <w:rsid w:val="001D69D5"/>
    <w:rsid w:val="001D7041"/>
    <w:rsid w:val="001D70A5"/>
    <w:rsid w:val="001D7254"/>
    <w:rsid w:val="001D7392"/>
    <w:rsid w:val="001D7BBB"/>
    <w:rsid w:val="001D7BDA"/>
    <w:rsid w:val="001D7D44"/>
    <w:rsid w:val="001E035D"/>
    <w:rsid w:val="001E03D6"/>
    <w:rsid w:val="001E06D8"/>
    <w:rsid w:val="001E07C3"/>
    <w:rsid w:val="001E0955"/>
    <w:rsid w:val="001E09A9"/>
    <w:rsid w:val="001E0B23"/>
    <w:rsid w:val="001E0C7C"/>
    <w:rsid w:val="001E0C83"/>
    <w:rsid w:val="001E121E"/>
    <w:rsid w:val="001E1326"/>
    <w:rsid w:val="001E132C"/>
    <w:rsid w:val="001E16B5"/>
    <w:rsid w:val="001E186F"/>
    <w:rsid w:val="001E1A0C"/>
    <w:rsid w:val="001E1AB2"/>
    <w:rsid w:val="001E1B4D"/>
    <w:rsid w:val="001E1BDA"/>
    <w:rsid w:val="001E1CC0"/>
    <w:rsid w:val="001E1CC6"/>
    <w:rsid w:val="001E1D6F"/>
    <w:rsid w:val="001E1EA4"/>
    <w:rsid w:val="001E20E9"/>
    <w:rsid w:val="001E22A5"/>
    <w:rsid w:val="001E2597"/>
    <w:rsid w:val="001E29A3"/>
    <w:rsid w:val="001E2EE7"/>
    <w:rsid w:val="001E308C"/>
    <w:rsid w:val="001E3186"/>
    <w:rsid w:val="001E342A"/>
    <w:rsid w:val="001E36AB"/>
    <w:rsid w:val="001E3898"/>
    <w:rsid w:val="001E38C3"/>
    <w:rsid w:val="001E3C71"/>
    <w:rsid w:val="001E3DD6"/>
    <w:rsid w:val="001E3E33"/>
    <w:rsid w:val="001E3E91"/>
    <w:rsid w:val="001E4206"/>
    <w:rsid w:val="001E4247"/>
    <w:rsid w:val="001E4323"/>
    <w:rsid w:val="001E479F"/>
    <w:rsid w:val="001E47DD"/>
    <w:rsid w:val="001E4A13"/>
    <w:rsid w:val="001E4F30"/>
    <w:rsid w:val="001E4F6F"/>
    <w:rsid w:val="001E5498"/>
    <w:rsid w:val="001E56E4"/>
    <w:rsid w:val="001E5A42"/>
    <w:rsid w:val="001E5C81"/>
    <w:rsid w:val="001E5FCF"/>
    <w:rsid w:val="001E64A4"/>
    <w:rsid w:val="001E66DB"/>
    <w:rsid w:val="001E68A4"/>
    <w:rsid w:val="001E6A4E"/>
    <w:rsid w:val="001E6AAC"/>
    <w:rsid w:val="001E6E57"/>
    <w:rsid w:val="001E7633"/>
    <w:rsid w:val="001E772E"/>
    <w:rsid w:val="001E7745"/>
    <w:rsid w:val="001E77C4"/>
    <w:rsid w:val="001E78A6"/>
    <w:rsid w:val="001E7F52"/>
    <w:rsid w:val="001F0357"/>
    <w:rsid w:val="001F0B4C"/>
    <w:rsid w:val="001F0EA1"/>
    <w:rsid w:val="001F11B8"/>
    <w:rsid w:val="001F12A3"/>
    <w:rsid w:val="001F131E"/>
    <w:rsid w:val="001F1478"/>
    <w:rsid w:val="001F1557"/>
    <w:rsid w:val="001F1746"/>
    <w:rsid w:val="001F1980"/>
    <w:rsid w:val="001F1A12"/>
    <w:rsid w:val="001F1C70"/>
    <w:rsid w:val="001F1D92"/>
    <w:rsid w:val="001F2657"/>
    <w:rsid w:val="001F2A5B"/>
    <w:rsid w:val="001F2D38"/>
    <w:rsid w:val="001F2E96"/>
    <w:rsid w:val="001F2ED2"/>
    <w:rsid w:val="001F2ED3"/>
    <w:rsid w:val="001F3314"/>
    <w:rsid w:val="001F332A"/>
    <w:rsid w:val="001F3463"/>
    <w:rsid w:val="001F3945"/>
    <w:rsid w:val="001F3D8E"/>
    <w:rsid w:val="001F3EA7"/>
    <w:rsid w:val="001F3EC3"/>
    <w:rsid w:val="001F43AB"/>
    <w:rsid w:val="001F477C"/>
    <w:rsid w:val="001F4AC6"/>
    <w:rsid w:val="001F4CC0"/>
    <w:rsid w:val="001F4CCD"/>
    <w:rsid w:val="001F5057"/>
    <w:rsid w:val="001F56D9"/>
    <w:rsid w:val="001F5822"/>
    <w:rsid w:val="001F5890"/>
    <w:rsid w:val="001F5A01"/>
    <w:rsid w:val="001F5BDF"/>
    <w:rsid w:val="001F61C6"/>
    <w:rsid w:val="001F6221"/>
    <w:rsid w:val="001F64A7"/>
    <w:rsid w:val="001F69FB"/>
    <w:rsid w:val="001F6D4C"/>
    <w:rsid w:val="001F767A"/>
    <w:rsid w:val="001F77F8"/>
    <w:rsid w:val="001F7AA1"/>
    <w:rsid w:val="001F7CA8"/>
    <w:rsid w:val="002001BE"/>
    <w:rsid w:val="002001C4"/>
    <w:rsid w:val="00200A53"/>
    <w:rsid w:val="00200D29"/>
    <w:rsid w:val="0020111E"/>
    <w:rsid w:val="002011C9"/>
    <w:rsid w:val="00201513"/>
    <w:rsid w:val="0020164C"/>
    <w:rsid w:val="00201CAD"/>
    <w:rsid w:val="00201D99"/>
    <w:rsid w:val="00201E08"/>
    <w:rsid w:val="00201E68"/>
    <w:rsid w:val="0020213C"/>
    <w:rsid w:val="00202153"/>
    <w:rsid w:val="002022AB"/>
    <w:rsid w:val="0020232F"/>
    <w:rsid w:val="0020244B"/>
    <w:rsid w:val="00202593"/>
    <w:rsid w:val="00202DF4"/>
    <w:rsid w:val="00202E25"/>
    <w:rsid w:val="00202E6E"/>
    <w:rsid w:val="00202EFC"/>
    <w:rsid w:val="00203434"/>
    <w:rsid w:val="002034C6"/>
    <w:rsid w:val="00203597"/>
    <w:rsid w:val="002036C0"/>
    <w:rsid w:val="0020383F"/>
    <w:rsid w:val="00203938"/>
    <w:rsid w:val="00203C51"/>
    <w:rsid w:val="00203C7B"/>
    <w:rsid w:val="00204042"/>
    <w:rsid w:val="002041A7"/>
    <w:rsid w:val="002041AD"/>
    <w:rsid w:val="002041DA"/>
    <w:rsid w:val="0020463C"/>
    <w:rsid w:val="00204777"/>
    <w:rsid w:val="002048C1"/>
    <w:rsid w:val="00204AC8"/>
    <w:rsid w:val="00204B1A"/>
    <w:rsid w:val="00204B9C"/>
    <w:rsid w:val="00204C1D"/>
    <w:rsid w:val="00204CF5"/>
    <w:rsid w:val="00204F73"/>
    <w:rsid w:val="002053C3"/>
    <w:rsid w:val="00205429"/>
    <w:rsid w:val="002054B2"/>
    <w:rsid w:val="002054D5"/>
    <w:rsid w:val="002054FB"/>
    <w:rsid w:val="00205729"/>
    <w:rsid w:val="0020572C"/>
    <w:rsid w:val="002058E2"/>
    <w:rsid w:val="00205ACB"/>
    <w:rsid w:val="00205DE8"/>
    <w:rsid w:val="00205EA2"/>
    <w:rsid w:val="00205FF9"/>
    <w:rsid w:val="002060A9"/>
    <w:rsid w:val="002061D2"/>
    <w:rsid w:val="0020624F"/>
    <w:rsid w:val="00206560"/>
    <w:rsid w:val="0020661B"/>
    <w:rsid w:val="002068F1"/>
    <w:rsid w:val="00206976"/>
    <w:rsid w:val="00206997"/>
    <w:rsid w:val="002069F0"/>
    <w:rsid w:val="00206AD6"/>
    <w:rsid w:val="002072CA"/>
    <w:rsid w:val="00207548"/>
    <w:rsid w:val="00207644"/>
    <w:rsid w:val="0020774B"/>
    <w:rsid w:val="0020775D"/>
    <w:rsid w:val="0020785E"/>
    <w:rsid w:val="00207871"/>
    <w:rsid w:val="00207C9D"/>
    <w:rsid w:val="00207EA2"/>
    <w:rsid w:val="00207F8F"/>
    <w:rsid w:val="0021006D"/>
    <w:rsid w:val="002103A1"/>
    <w:rsid w:val="00210441"/>
    <w:rsid w:val="002105D8"/>
    <w:rsid w:val="002107EB"/>
    <w:rsid w:val="00210B42"/>
    <w:rsid w:val="00210C94"/>
    <w:rsid w:val="00210ED7"/>
    <w:rsid w:val="00210FA5"/>
    <w:rsid w:val="0021121F"/>
    <w:rsid w:val="00211533"/>
    <w:rsid w:val="00211719"/>
    <w:rsid w:val="0021187A"/>
    <w:rsid w:val="00211A5E"/>
    <w:rsid w:val="00211AC3"/>
    <w:rsid w:val="00211E9D"/>
    <w:rsid w:val="00212585"/>
    <w:rsid w:val="00212738"/>
    <w:rsid w:val="00212BDF"/>
    <w:rsid w:val="00212D0D"/>
    <w:rsid w:val="00212E18"/>
    <w:rsid w:val="00212F2B"/>
    <w:rsid w:val="002130F7"/>
    <w:rsid w:val="00213314"/>
    <w:rsid w:val="00213317"/>
    <w:rsid w:val="00213BE0"/>
    <w:rsid w:val="00213CD6"/>
    <w:rsid w:val="00214303"/>
    <w:rsid w:val="002144D4"/>
    <w:rsid w:val="0021459B"/>
    <w:rsid w:val="002145A8"/>
    <w:rsid w:val="00214B8E"/>
    <w:rsid w:val="00214CB5"/>
    <w:rsid w:val="00214F20"/>
    <w:rsid w:val="002156DE"/>
    <w:rsid w:val="002157D1"/>
    <w:rsid w:val="00215A73"/>
    <w:rsid w:val="00215B60"/>
    <w:rsid w:val="00215C66"/>
    <w:rsid w:val="00215D5F"/>
    <w:rsid w:val="00215FB1"/>
    <w:rsid w:val="002162E7"/>
    <w:rsid w:val="002163A0"/>
    <w:rsid w:val="002164F7"/>
    <w:rsid w:val="002167CC"/>
    <w:rsid w:val="00216865"/>
    <w:rsid w:val="002168A6"/>
    <w:rsid w:val="00216C91"/>
    <w:rsid w:val="00216CC0"/>
    <w:rsid w:val="00216E86"/>
    <w:rsid w:val="00216FCB"/>
    <w:rsid w:val="00217935"/>
    <w:rsid w:val="0021797A"/>
    <w:rsid w:val="00217988"/>
    <w:rsid w:val="00217B41"/>
    <w:rsid w:val="002204BE"/>
    <w:rsid w:val="0022051E"/>
    <w:rsid w:val="0022053C"/>
    <w:rsid w:val="00220823"/>
    <w:rsid w:val="00220BE6"/>
    <w:rsid w:val="00220C43"/>
    <w:rsid w:val="00220E41"/>
    <w:rsid w:val="002215B6"/>
    <w:rsid w:val="0022176F"/>
    <w:rsid w:val="00221A71"/>
    <w:rsid w:val="00221B5E"/>
    <w:rsid w:val="00221C60"/>
    <w:rsid w:val="00222122"/>
    <w:rsid w:val="00222161"/>
    <w:rsid w:val="00222533"/>
    <w:rsid w:val="00222697"/>
    <w:rsid w:val="00222BC4"/>
    <w:rsid w:val="00222E46"/>
    <w:rsid w:val="00223253"/>
    <w:rsid w:val="0022343B"/>
    <w:rsid w:val="002234C2"/>
    <w:rsid w:val="00223B43"/>
    <w:rsid w:val="00223FA6"/>
    <w:rsid w:val="00223FE0"/>
    <w:rsid w:val="002241E7"/>
    <w:rsid w:val="0022469C"/>
    <w:rsid w:val="00224944"/>
    <w:rsid w:val="00224AB8"/>
    <w:rsid w:val="00224AF8"/>
    <w:rsid w:val="00224B5E"/>
    <w:rsid w:val="00224D78"/>
    <w:rsid w:val="00224F31"/>
    <w:rsid w:val="00224FD0"/>
    <w:rsid w:val="00225080"/>
    <w:rsid w:val="0022537A"/>
    <w:rsid w:val="002253AB"/>
    <w:rsid w:val="002253D8"/>
    <w:rsid w:val="00225408"/>
    <w:rsid w:val="0022547D"/>
    <w:rsid w:val="00225483"/>
    <w:rsid w:val="0022589A"/>
    <w:rsid w:val="00225946"/>
    <w:rsid w:val="00225B18"/>
    <w:rsid w:val="00225B39"/>
    <w:rsid w:val="00225F6F"/>
    <w:rsid w:val="0022611B"/>
    <w:rsid w:val="0022630A"/>
    <w:rsid w:val="002266B4"/>
    <w:rsid w:val="002268AD"/>
    <w:rsid w:val="00226991"/>
    <w:rsid w:val="00226D54"/>
    <w:rsid w:val="00227212"/>
    <w:rsid w:val="002276DF"/>
    <w:rsid w:val="00227709"/>
    <w:rsid w:val="00227DFE"/>
    <w:rsid w:val="00227E92"/>
    <w:rsid w:val="00230319"/>
    <w:rsid w:val="00230660"/>
    <w:rsid w:val="00230700"/>
    <w:rsid w:val="002307D7"/>
    <w:rsid w:val="00230D6C"/>
    <w:rsid w:val="00230D94"/>
    <w:rsid w:val="00230F59"/>
    <w:rsid w:val="00231066"/>
    <w:rsid w:val="002312D0"/>
    <w:rsid w:val="00231313"/>
    <w:rsid w:val="00231372"/>
    <w:rsid w:val="002313CB"/>
    <w:rsid w:val="00231628"/>
    <w:rsid w:val="002317C2"/>
    <w:rsid w:val="00231928"/>
    <w:rsid w:val="00231ACA"/>
    <w:rsid w:val="00231B02"/>
    <w:rsid w:val="00231E48"/>
    <w:rsid w:val="00231EA5"/>
    <w:rsid w:val="00232416"/>
    <w:rsid w:val="00232626"/>
    <w:rsid w:val="0023270E"/>
    <w:rsid w:val="00232884"/>
    <w:rsid w:val="00232C76"/>
    <w:rsid w:val="00232D99"/>
    <w:rsid w:val="00232F72"/>
    <w:rsid w:val="00233687"/>
    <w:rsid w:val="002336CB"/>
    <w:rsid w:val="002337EA"/>
    <w:rsid w:val="002338D3"/>
    <w:rsid w:val="0023394F"/>
    <w:rsid w:val="00233A3C"/>
    <w:rsid w:val="00233A76"/>
    <w:rsid w:val="00233C87"/>
    <w:rsid w:val="00233E11"/>
    <w:rsid w:val="00233F24"/>
    <w:rsid w:val="002340DF"/>
    <w:rsid w:val="0023434F"/>
    <w:rsid w:val="002344EF"/>
    <w:rsid w:val="0023455C"/>
    <w:rsid w:val="00234568"/>
    <w:rsid w:val="00234C03"/>
    <w:rsid w:val="00234D11"/>
    <w:rsid w:val="002350C9"/>
    <w:rsid w:val="002351A3"/>
    <w:rsid w:val="00235215"/>
    <w:rsid w:val="00235284"/>
    <w:rsid w:val="00235361"/>
    <w:rsid w:val="0023541B"/>
    <w:rsid w:val="00235784"/>
    <w:rsid w:val="00235825"/>
    <w:rsid w:val="00235975"/>
    <w:rsid w:val="00235AEF"/>
    <w:rsid w:val="00235E26"/>
    <w:rsid w:val="00235F3F"/>
    <w:rsid w:val="0023602D"/>
    <w:rsid w:val="00236030"/>
    <w:rsid w:val="00236087"/>
    <w:rsid w:val="0023636C"/>
    <w:rsid w:val="002363D9"/>
    <w:rsid w:val="0023654A"/>
    <w:rsid w:val="00236697"/>
    <w:rsid w:val="002369DF"/>
    <w:rsid w:val="00236F59"/>
    <w:rsid w:val="00237377"/>
    <w:rsid w:val="00237B2C"/>
    <w:rsid w:val="00237BE3"/>
    <w:rsid w:val="00237EAA"/>
    <w:rsid w:val="00237F33"/>
    <w:rsid w:val="002400D9"/>
    <w:rsid w:val="00240343"/>
    <w:rsid w:val="002405AE"/>
    <w:rsid w:val="0024068A"/>
    <w:rsid w:val="002408CF"/>
    <w:rsid w:val="002408EF"/>
    <w:rsid w:val="00240A0C"/>
    <w:rsid w:val="00240DA6"/>
    <w:rsid w:val="00240E31"/>
    <w:rsid w:val="00240EBF"/>
    <w:rsid w:val="00240FBC"/>
    <w:rsid w:val="00240FCC"/>
    <w:rsid w:val="00241042"/>
    <w:rsid w:val="00241145"/>
    <w:rsid w:val="00241330"/>
    <w:rsid w:val="002413D9"/>
    <w:rsid w:val="0024140B"/>
    <w:rsid w:val="0024164B"/>
    <w:rsid w:val="002418EF"/>
    <w:rsid w:val="00241B7D"/>
    <w:rsid w:val="00241EFC"/>
    <w:rsid w:val="00242016"/>
    <w:rsid w:val="00242067"/>
    <w:rsid w:val="002425EB"/>
    <w:rsid w:val="00242670"/>
    <w:rsid w:val="002426F7"/>
    <w:rsid w:val="0024279F"/>
    <w:rsid w:val="002427F3"/>
    <w:rsid w:val="00242943"/>
    <w:rsid w:val="00242969"/>
    <w:rsid w:val="00242A2E"/>
    <w:rsid w:val="0024309D"/>
    <w:rsid w:val="002435A3"/>
    <w:rsid w:val="0024390C"/>
    <w:rsid w:val="002439B5"/>
    <w:rsid w:val="00243BBC"/>
    <w:rsid w:val="00243D66"/>
    <w:rsid w:val="00243E6A"/>
    <w:rsid w:val="00244127"/>
    <w:rsid w:val="00244324"/>
    <w:rsid w:val="00244567"/>
    <w:rsid w:val="00244E56"/>
    <w:rsid w:val="00244E67"/>
    <w:rsid w:val="0024572A"/>
    <w:rsid w:val="00245760"/>
    <w:rsid w:val="002457AC"/>
    <w:rsid w:val="00245959"/>
    <w:rsid w:val="002459B3"/>
    <w:rsid w:val="002459F9"/>
    <w:rsid w:val="00245CBE"/>
    <w:rsid w:val="00245E98"/>
    <w:rsid w:val="00246316"/>
    <w:rsid w:val="002466AD"/>
    <w:rsid w:val="002468FA"/>
    <w:rsid w:val="002469CC"/>
    <w:rsid w:val="00246D5B"/>
    <w:rsid w:val="00246D6D"/>
    <w:rsid w:val="00246E29"/>
    <w:rsid w:val="00246E46"/>
    <w:rsid w:val="00247078"/>
    <w:rsid w:val="002472FD"/>
    <w:rsid w:val="00247401"/>
    <w:rsid w:val="002475E9"/>
    <w:rsid w:val="00247612"/>
    <w:rsid w:val="002478D4"/>
    <w:rsid w:val="00247C3A"/>
    <w:rsid w:val="00247F05"/>
    <w:rsid w:val="0025000D"/>
    <w:rsid w:val="00250025"/>
    <w:rsid w:val="002501EA"/>
    <w:rsid w:val="0025055D"/>
    <w:rsid w:val="002505E0"/>
    <w:rsid w:val="00250A89"/>
    <w:rsid w:val="00250AB3"/>
    <w:rsid w:val="00250BBF"/>
    <w:rsid w:val="00250BDF"/>
    <w:rsid w:val="00250BF5"/>
    <w:rsid w:val="00250CF9"/>
    <w:rsid w:val="00250E50"/>
    <w:rsid w:val="00250EC7"/>
    <w:rsid w:val="0025104F"/>
    <w:rsid w:val="002510E3"/>
    <w:rsid w:val="00251232"/>
    <w:rsid w:val="00251634"/>
    <w:rsid w:val="002517C3"/>
    <w:rsid w:val="0025183F"/>
    <w:rsid w:val="00251C6C"/>
    <w:rsid w:val="0025220B"/>
    <w:rsid w:val="00252216"/>
    <w:rsid w:val="002525CC"/>
    <w:rsid w:val="002526CC"/>
    <w:rsid w:val="0025270C"/>
    <w:rsid w:val="00252762"/>
    <w:rsid w:val="00252B00"/>
    <w:rsid w:val="00252B79"/>
    <w:rsid w:val="002531ED"/>
    <w:rsid w:val="002535C2"/>
    <w:rsid w:val="00253619"/>
    <w:rsid w:val="0025361F"/>
    <w:rsid w:val="00253853"/>
    <w:rsid w:val="00253886"/>
    <w:rsid w:val="00253AEA"/>
    <w:rsid w:val="00253D60"/>
    <w:rsid w:val="00253EE4"/>
    <w:rsid w:val="00253FB9"/>
    <w:rsid w:val="0025400A"/>
    <w:rsid w:val="002540CF"/>
    <w:rsid w:val="00254198"/>
    <w:rsid w:val="002545EC"/>
    <w:rsid w:val="00254BE6"/>
    <w:rsid w:val="00254C9D"/>
    <w:rsid w:val="00254ED1"/>
    <w:rsid w:val="00254FBC"/>
    <w:rsid w:val="002554F3"/>
    <w:rsid w:val="0025555A"/>
    <w:rsid w:val="0025555B"/>
    <w:rsid w:val="00255940"/>
    <w:rsid w:val="00255CF5"/>
    <w:rsid w:val="00255F62"/>
    <w:rsid w:val="00255FA7"/>
    <w:rsid w:val="002562F0"/>
    <w:rsid w:val="002565CE"/>
    <w:rsid w:val="0025669E"/>
    <w:rsid w:val="0025687A"/>
    <w:rsid w:val="002569DD"/>
    <w:rsid w:val="00256BDC"/>
    <w:rsid w:val="00256E18"/>
    <w:rsid w:val="00256FF6"/>
    <w:rsid w:val="002570B6"/>
    <w:rsid w:val="00257134"/>
    <w:rsid w:val="00257151"/>
    <w:rsid w:val="0025717C"/>
    <w:rsid w:val="00257198"/>
    <w:rsid w:val="0025719F"/>
    <w:rsid w:val="002571A4"/>
    <w:rsid w:val="00257348"/>
    <w:rsid w:val="00257634"/>
    <w:rsid w:val="00257800"/>
    <w:rsid w:val="00257849"/>
    <w:rsid w:val="0025794C"/>
    <w:rsid w:val="00257B2D"/>
    <w:rsid w:val="00260089"/>
    <w:rsid w:val="0026071C"/>
    <w:rsid w:val="00260837"/>
    <w:rsid w:val="0026089F"/>
    <w:rsid w:val="00260A1E"/>
    <w:rsid w:val="00260BB8"/>
    <w:rsid w:val="00260BD2"/>
    <w:rsid w:val="00260E68"/>
    <w:rsid w:val="0026173A"/>
    <w:rsid w:val="00261850"/>
    <w:rsid w:val="002619B4"/>
    <w:rsid w:val="00261AED"/>
    <w:rsid w:val="00261DB0"/>
    <w:rsid w:val="0026209C"/>
    <w:rsid w:val="002625AC"/>
    <w:rsid w:val="002627D5"/>
    <w:rsid w:val="00262912"/>
    <w:rsid w:val="00262AB8"/>
    <w:rsid w:val="00262AF7"/>
    <w:rsid w:val="00262C9C"/>
    <w:rsid w:val="00262D7A"/>
    <w:rsid w:val="00263036"/>
    <w:rsid w:val="002632AA"/>
    <w:rsid w:val="002634FE"/>
    <w:rsid w:val="002636A4"/>
    <w:rsid w:val="00263C1F"/>
    <w:rsid w:val="00263CC5"/>
    <w:rsid w:val="002641EB"/>
    <w:rsid w:val="002642A7"/>
    <w:rsid w:val="002644C4"/>
    <w:rsid w:val="00264674"/>
    <w:rsid w:val="002646F4"/>
    <w:rsid w:val="00264866"/>
    <w:rsid w:val="002649A5"/>
    <w:rsid w:val="00264D4C"/>
    <w:rsid w:val="00264E94"/>
    <w:rsid w:val="00265182"/>
    <w:rsid w:val="002652E4"/>
    <w:rsid w:val="002654C8"/>
    <w:rsid w:val="0026587E"/>
    <w:rsid w:val="00265885"/>
    <w:rsid w:val="00265E23"/>
    <w:rsid w:val="00265F2A"/>
    <w:rsid w:val="002660E6"/>
    <w:rsid w:val="002664B9"/>
    <w:rsid w:val="00266551"/>
    <w:rsid w:val="00266943"/>
    <w:rsid w:val="00266BAE"/>
    <w:rsid w:val="00266C65"/>
    <w:rsid w:val="00266E4B"/>
    <w:rsid w:val="00266EE3"/>
    <w:rsid w:val="00266F0F"/>
    <w:rsid w:val="00267263"/>
    <w:rsid w:val="00267641"/>
    <w:rsid w:val="002676E3"/>
    <w:rsid w:val="002679F9"/>
    <w:rsid w:val="00267AA7"/>
    <w:rsid w:val="00267EFD"/>
    <w:rsid w:val="002700A0"/>
    <w:rsid w:val="002704B0"/>
    <w:rsid w:val="0027084F"/>
    <w:rsid w:val="00270C30"/>
    <w:rsid w:val="00270C86"/>
    <w:rsid w:val="00270E44"/>
    <w:rsid w:val="00270EC7"/>
    <w:rsid w:val="0027185C"/>
    <w:rsid w:val="0027190B"/>
    <w:rsid w:val="00271B2A"/>
    <w:rsid w:val="00271EB5"/>
    <w:rsid w:val="00271FCA"/>
    <w:rsid w:val="00272617"/>
    <w:rsid w:val="00272678"/>
    <w:rsid w:val="00272879"/>
    <w:rsid w:val="00272971"/>
    <w:rsid w:val="002729D7"/>
    <w:rsid w:val="00272A91"/>
    <w:rsid w:val="00272CC7"/>
    <w:rsid w:val="00273289"/>
    <w:rsid w:val="002734C4"/>
    <w:rsid w:val="0027359C"/>
    <w:rsid w:val="002735E8"/>
    <w:rsid w:val="002738A2"/>
    <w:rsid w:val="00273AFE"/>
    <w:rsid w:val="00273D43"/>
    <w:rsid w:val="00273DEA"/>
    <w:rsid w:val="002740C7"/>
    <w:rsid w:val="002740EC"/>
    <w:rsid w:val="00274504"/>
    <w:rsid w:val="00274748"/>
    <w:rsid w:val="002749BA"/>
    <w:rsid w:val="002755A4"/>
    <w:rsid w:val="0027568B"/>
    <w:rsid w:val="0027600A"/>
    <w:rsid w:val="00276240"/>
    <w:rsid w:val="00276291"/>
    <w:rsid w:val="002762C5"/>
    <w:rsid w:val="00276582"/>
    <w:rsid w:val="00276C66"/>
    <w:rsid w:val="00276DA8"/>
    <w:rsid w:val="00276EEB"/>
    <w:rsid w:val="00276FBF"/>
    <w:rsid w:val="00277039"/>
    <w:rsid w:val="002775B6"/>
    <w:rsid w:val="00277907"/>
    <w:rsid w:val="0027790B"/>
    <w:rsid w:val="00277A2E"/>
    <w:rsid w:val="00277AF4"/>
    <w:rsid w:val="00277CED"/>
    <w:rsid w:val="00277EDA"/>
    <w:rsid w:val="00280042"/>
    <w:rsid w:val="00280182"/>
    <w:rsid w:val="00280219"/>
    <w:rsid w:val="00280320"/>
    <w:rsid w:val="00280328"/>
    <w:rsid w:val="002805B6"/>
    <w:rsid w:val="00280602"/>
    <w:rsid w:val="00280650"/>
    <w:rsid w:val="00280689"/>
    <w:rsid w:val="002806CC"/>
    <w:rsid w:val="00280917"/>
    <w:rsid w:val="00280B92"/>
    <w:rsid w:val="00280D33"/>
    <w:rsid w:val="00281204"/>
    <w:rsid w:val="00281342"/>
    <w:rsid w:val="00281600"/>
    <w:rsid w:val="00281AD6"/>
    <w:rsid w:val="00281B36"/>
    <w:rsid w:val="00281F16"/>
    <w:rsid w:val="00281F77"/>
    <w:rsid w:val="0028216E"/>
    <w:rsid w:val="00282320"/>
    <w:rsid w:val="002824C1"/>
    <w:rsid w:val="002824D5"/>
    <w:rsid w:val="002824D6"/>
    <w:rsid w:val="002829D8"/>
    <w:rsid w:val="00282C0A"/>
    <w:rsid w:val="0028332F"/>
    <w:rsid w:val="00283387"/>
    <w:rsid w:val="002836F7"/>
    <w:rsid w:val="0028384B"/>
    <w:rsid w:val="002838AF"/>
    <w:rsid w:val="00283BF6"/>
    <w:rsid w:val="00283CC4"/>
    <w:rsid w:val="00283E1E"/>
    <w:rsid w:val="00283F5E"/>
    <w:rsid w:val="00283F9C"/>
    <w:rsid w:val="00283FA4"/>
    <w:rsid w:val="002841B1"/>
    <w:rsid w:val="002842A1"/>
    <w:rsid w:val="0028468F"/>
    <w:rsid w:val="002848A9"/>
    <w:rsid w:val="002849C6"/>
    <w:rsid w:val="00284A3E"/>
    <w:rsid w:val="00284C2B"/>
    <w:rsid w:val="00284D2B"/>
    <w:rsid w:val="00284EC6"/>
    <w:rsid w:val="0028536E"/>
    <w:rsid w:val="002853AA"/>
    <w:rsid w:val="0028554D"/>
    <w:rsid w:val="0028574A"/>
    <w:rsid w:val="002857FA"/>
    <w:rsid w:val="00285AFF"/>
    <w:rsid w:val="00285C7C"/>
    <w:rsid w:val="00285F60"/>
    <w:rsid w:val="0028613D"/>
    <w:rsid w:val="0028618E"/>
    <w:rsid w:val="002862A8"/>
    <w:rsid w:val="00286800"/>
    <w:rsid w:val="00286876"/>
    <w:rsid w:val="00286987"/>
    <w:rsid w:val="00286993"/>
    <w:rsid w:val="00286A86"/>
    <w:rsid w:val="00286E27"/>
    <w:rsid w:val="00286EC7"/>
    <w:rsid w:val="00286FDE"/>
    <w:rsid w:val="0028722F"/>
    <w:rsid w:val="0028725B"/>
    <w:rsid w:val="00287296"/>
    <w:rsid w:val="0028757D"/>
    <w:rsid w:val="002875C6"/>
    <w:rsid w:val="0028764E"/>
    <w:rsid w:val="00287689"/>
    <w:rsid w:val="002877C7"/>
    <w:rsid w:val="002878EE"/>
    <w:rsid w:val="00287AFE"/>
    <w:rsid w:val="00287D0D"/>
    <w:rsid w:val="00287E39"/>
    <w:rsid w:val="00290053"/>
    <w:rsid w:val="002901D7"/>
    <w:rsid w:val="002902A8"/>
    <w:rsid w:val="0029040F"/>
    <w:rsid w:val="00290639"/>
    <w:rsid w:val="00290A92"/>
    <w:rsid w:val="00290BE0"/>
    <w:rsid w:val="00290D0D"/>
    <w:rsid w:val="00290E8C"/>
    <w:rsid w:val="00290FB4"/>
    <w:rsid w:val="00291036"/>
    <w:rsid w:val="0029115E"/>
    <w:rsid w:val="002911AA"/>
    <w:rsid w:val="0029127B"/>
    <w:rsid w:val="0029154A"/>
    <w:rsid w:val="002918C6"/>
    <w:rsid w:val="002919BE"/>
    <w:rsid w:val="00291B21"/>
    <w:rsid w:val="00291C18"/>
    <w:rsid w:val="00291CA3"/>
    <w:rsid w:val="00291CD5"/>
    <w:rsid w:val="00291FEB"/>
    <w:rsid w:val="002920EE"/>
    <w:rsid w:val="002921B1"/>
    <w:rsid w:val="0029223F"/>
    <w:rsid w:val="00292560"/>
    <w:rsid w:val="0029258B"/>
    <w:rsid w:val="002928D3"/>
    <w:rsid w:val="00292981"/>
    <w:rsid w:val="00292AF9"/>
    <w:rsid w:val="00292CF2"/>
    <w:rsid w:val="00292D0D"/>
    <w:rsid w:val="00292DF1"/>
    <w:rsid w:val="00292EDC"/>
    <w:rsid w:val="00293116"/>
    <w:rsid w:val="002937A4"/>
    <w:rsid w:val="002937C3"/>
    <w:rsid w:val="002938EB"/>
    <w:rsid w:val="002939E2"/>
    <w:rsid w:val="00293AEC"/>
    <w:rsid w:val="00293C30"/>
    <w:rsid w:val="00293E2A"/>
    <w:rsid w:val="0029420A"/>
    <w:rsid w:val="00294360"/>
    <w:rsid w:val="0029455E"/>
    <w:rsid w:val="00294D74"/>
    <w:rsid w:val="00295106"/>
    <w:rsid w:val="00295155"/>
    <w:rsid w:val="00295405"/>
    <w:rsid w:val="00295628"/>
    <w:rsid w:val="0029566E"/>
    <w:rsid w:val="00295C20"/>
    <w:rsid w:val="00296054"/>
    <w:rsid w:val="0029616E"/>
    <w:rsid w:val="0029628B"/>
    <w:rsid w:val="002963E8"/>
    <w:rsid w:val="002965FB"/>
    <w:rsid w:val="00296607"/>
    <w:rsid w:val="0029660C"/>
    <w:rsid w:val="0029667F"/>
    <w:rsid w:val="002968FB"/>
    <w:rsid w:val="002969F1"/>
    <w:rsid w:val="00296B94"/>
    <w:rsid w:val="00296F25"/>
    <w:rsid w:val="002977C9"/>
    <w:rsid w:val="002977D8"/>
    <w:rsid w:val="00297A57"/>
    <w:rsid w:val="00297B09"/>
    <w:rsid w:val="00297B6E"/>
    <w:rsid w:val="00297F37"/>
    <w:rsid w:val="002A0165"/>
    <w:rsid w:val="002A02AB"/>
    <w:rsid w:val="002A02BE"/>
    <w:rsid w:val="002A0324"/>
    <w:rsid w:val="002A0448"/>
    <w:rsid w:val="002A066E"/>
    <w:rsid w:val="002A06E0"/>
    <w:rsid w:val="002A08DA"/>
    <w:rsid w:val="002A0B7C"/>
    <w:rsid w:val="002A0F75"/>
    <w:rsid w:val="002A14FD"/>
    <w:rsid w:val="002A181D"/>
    <w:rsid w:val="002A188D"/>
    <w:rsid w:val="002A1B2C"/>
    <w:rsid w:val="002A1D38"/>
    <w:rsid w:val="002A1DB0"/>
    <w:rsid w:val="002A222F"/>
    <w:rsid w:val="002A22F1"/>
    <w:rsid w:val="002A258D"/>
    <w:rsid w:val="002A26CA"/>
    <w:rsid w:val="002A275D"/>
    <w:rsid w:val="002A27D3"/>
    <w:rsid w:val="002A27F8"/>
    <w:rsid w:val="002A2E58"/>
    <w:rsid w:val="002A2F35"/>
    <w:rsid w:val="002A3035"/>
    <w:rsid w:val="002A3109"/>
    <w:rsid w:val="002A36B5"/>
    <w:rsid w:val="002A38D5"/>
    <w:rsid w:val="002A3902"/>
    <w:rsid w:val="002A3971"/>
    <w:rsid w:val="002A3A62"/>
    <w:rsid w:val="002A4347"/>
    <w:rsid w:val="002A467C"/>
    <w:rsid w:val="002A47F5"/>
    <w:rsid w:val="002A4803"/>
    <w:rsid w:val="002A4924"/>
    <w:rsid w:val="002A4929"/>
    <w:rsid w:val="002A49D6"/>
    <w:rsid w:val="002A4B43"/>
    <w:rsid w:val="002A4C5A"/>
    <w:rsid w:val="002A4D27"/>
    <w:rsid w:val="002A4D60"/>
    <w:rsid w:val="002A4FE8"/>
    <w:rsid w:val="002A502C"/>
    <w:rsid w:val="002A508A"/>
    <w:rsid w:val="002A5157"/>
    <w:rsid w:val="002A5186"/>
    <w:rsid w:val="002A54BE"/>
    <w:rsid w:val="002A54FF"/>
    <w:rsid w:val="002A55EF"/>
    <w:rsid w:val="002A5974"/>
    <w:rsid w:val="002A5B19"/>
    <w:rsid w:val="002A5B71"/>
    <w:rsid w:val="002A6016"/>
    <w:rsid w:val="002A6483"/>
    <w:rsid w:val="002A6962"/>
    <w:rsid w:val="002A6BB9"/>
    <w:rsid w:val="002A6D13"/>
    <w:rsid w:val="002A6D74"/>
    <w:rsid w:val="002A6F8F"/>
    <w:rsid w:val="002A7002"/>
    <w:rsid w:val="002A704D"/>
    <w:rsid w:val="002A70CF"/>
    <w:rsid w:val="002A7361"/>
    <w:rsid w:val="002A74FC"/>
    <w:rsid w:val="002A75A9"/>
    <w:rsid w:val="002A7687"/>
    <w:rsid w:val="002A78E3"/>
    <w:rsid w:val="002A79A4"/>
    <w:rsid w:val="002A79B2"/>
    <w:rsid w:val="002A7A12"/>
    <w:rsid w:val="002A7DE0"/>
    <w:rsid w:val="002A7FF2"/>
    <w:rsid w:val="002B025B"/>
    <w:rsid w:val="002B03E1"/>
    <w:rsid w:val="002B0746"/>
    <w:rsid w:val="002B096C"/>
    <w:rsid w:val="002B09A6"/>
    <w:rsid w:val="002B0B52"/>
    <w:rsid w:val="002B0B53"/>
    <w:rsid w:val="002B0B6B"/>
    <w:rsid w:val="002B0D73"/>
    <w:rsid w:val="002B0D78"/>
    <w:rsid w:val="002B0D86"/>
    <w:rsid w:val="002B0EF3"/>
    <w:rsid w:val="002B10E2"/>
    <w:rsid w:val="002B12C9"/>
    <w:rsid w:val="002B138B"/>
    <w:rsid w:val="002B147D"/>
    <w:rsid w:val="002B1902"/>
    <w:rsid w:val="002B19BB"/>
    <w:rsid w:val="002B245D"/>
    <w:rsid w:val="002B269D"/>
    <w:rsid w:val="002B26ED"/>
    <w:rsid w:val="002B26FC"/>
    <w:rsid w:val="002B271D"/>
    <w:rsid w:val="002B293B"/>
    <w:rsid w:val="002B2BD2"/>
    <w:rsid w:val="002B2D03"/>
    <w:rsid w:val="002B2D94"/>
    <w:rsid w:val="002B2E6D"/>
    <w:rsid w:val="002B2FA8"/>
    <w:rsid w:val="002B3099"/>
    <w:rsid w:val="002B31F5"/>
    <w:rsid w:val="002B36DE"/>
    <w:rsid w:val="002B392F"/>
    <w:rsid w:val="002B3C1E"/>
    <w:rsid w:val="002B3C6E"/>
    <w:rsid w:val="002B3DFD"/>
    <w:rsid w:val="002B3FD1"/>
    <w:rsid w:val="002B4183"/>
    <w:rsid w:val="002B4670"/>
    <w:rsid w:val="002B476C"/>
    <w:rsid w:val="002B479E"/>
    <w:rsid w:val="002B483E"/>
    <w:rsid w:val="002B4A1C"/>
    <w:rsid w:val="002B4B32"/>
    <w:rsid w:val="002B4C3E"/>
    <w:rsid w:val="002B5142"/>
    <w:rsid w:val="002B5167"/>
    <w:rsid w:val="002B51A6"/>
    <w:rsid w:val="002B5785"/>
    <w:rsid w:val="002B5B1B"/>
    <w:rsid w:val="002B5B31"/>
    <w:rsid w:val="002B6070"/>
    <w:rsid w:val="002B6271"/>
    <w:rsid w:val="002B63ED"/>
    <w:rsid w:val="002B6487"/>
    <w:rsid w:val="002B679E"/>
    <w:rsid w:val="002B6913"/>
    <w:rsid w:val="002B697A"/>
    <w:rsid w:val="002B69F3"/>
    <w:rsid w:val="002B6AB9"/>
    <w:rsid w:val="002B6C6C"/>
    <w:rsid w:val="002B6D5B"/>
    <w:rsid w:val="002B6E0A"/>
    <w:rsid w:val="002B715B"/>
    <w:rsid w:val="002B747E"/>
    <w:rsid w:val="002B7667"/>
    <w:rsid w:val="002B7688"/>
    <w:rsid w:val="002B77D6"/>
    <w:rsid w:val="002B7B96"/>
    <w:rsid w:val="002B7D7D"/>
    <w:rsid w:val="002B7E2D"/>
    <w:rsid w:val="002C02BD"/>
    <w:rsid w:val="002C038E"/>
    <w:rsid w:val="002C0397"/>
    <w:rsid w:val="002C0A69"/>
    <w:rsid w:val="002C0CCD"/>
    <w:rsid w:val="002C0D77"/>
    <w:rsid w:val="002C0F66"/>
    <w:rsid w:val="002C1252"/>
    <w:rsid w:val="002C1A4F"/>
    <w:rsid w:val="002C1A75"/>
    <w:rsid w:val="002C21BD"/>
    <w:rsid w:val="002C2946"/>
    <w:rsid w:val="002C2B12"/>
    <w:rsid w:val="002C2D9B"/>
    <w:rsid w:val="002C2EF1"/>
    <w:rsid w:val="002C323B"/>
    <w:rsid w:val="002C35AA"/>
    <w:rsid w:val="002C37A1"/>
    <w:rsid w:val="002C37D7"/>
    <w:rsid w:val="002C3A37"/>
    <w:rsid w:val="002C41C9"/>
    <w:rsid w:val="002C4571"/>
    <w:rsid w:val="002C45F4"/>
    <w:rsid w:val="002C4737"/>
    <w:rsid w:val="002C4785"/>
    <w:rsid w:val="002C47F0"/>
    <w:rsid w:val="002C4A48"/>
    <w:rsid w:val="002C4C5F"/>
    <w:rsid w:val="002C4F17"/>
    <w:rsid w:val="002C5055"/>
    <w:rsid w:val="002C51A3"/>
    <w:rsid w:val="002C5216"/>
    <w:rsid w:val="002C53EE"/>
    <w:rsid w:val="002C57D0"/>
    <w:rsid w:val="002C5CC3"/>
    <w:rsid w:val="002C5D00"/>
    <w:rsid w:val="002C64BC"/>
    <w:rsid w:val="002C686C"/>
    <w:rsid w:val="002C6B4A"/>
    <w:rsid w:val="002C6B4F"/>
    <w:rsid w:val="002C6C8D"/>
    <w:rsid w:val="002C6D63"/>
    <w:rsid w:val="002C6DF8"/>
    <w:rsid w:val="002C70B3"/>
    <w:rsid w:val="002C79FC"/>
    <w:rsid w:val="002C7D47"/>
    <w:rsid w:val="002C7D4A"/>
    <w:rsid w:val="002C7EE8"/>
    <w:rsid w:val="002C7F39"/>
    <w:rsid w:val="002C7F57"/>
    <w:rsid w:val="002D0349"/>
    <w:rsid w:val="002D03ED"/>
    <w:rsid w:val="002D0688"/>
    <w:rsid w:val="002D06E1"/>
    <w:rsid w:val="002D0D5A"/>
    <w:rsid w:val="002D0EA8"/>
    <w:rsid w:val="002D0EE8"/>
    <w:rsid w:val="002D0F6B"/>
    <w:rsid w:val="002D0F83"/>
    <w:rsid w:val="002D10E1"/>
    <w:rsid w:val="002D1495"/>
    <w:rsid w:val="002D16DC"/>
    <w:rsid w:val="002D1864"/>
    <w:rsid w:val="002D1E93"/>
    <w:rsid w:val="002D203E"/>
    <w:rsid w:val="002D23AC"/>
    <w:rsid w:val="002D2588"/>
    <w:rsid w:val="002D275C"/>
    <w:rsid w:val="002D2777"/>
    <w:rsid w:val="002D2865"/>
    <w:rsid w:val="002D2959"/>
    <w:rsid w:val="002D3083"/>
    <w:rsid w:val="002D32AD"/>
    <w:rsid w:val="002D3427"/>
    <w:rsid w:val="002D36B3"/>
    <w:rsid w:val="002D3C7D"/>
    <w:rsid w:val="002D4149"/>
    <w:rsid w:val="002D4158"/>
    <w:rsid w:val="002D42F7"/>
    <w:rsid w:val="002D451D"/>
    <w:rsid w:val="002D464B"/>
    <w:rsid w:val="002D4827"/>
    <w:rsid w:val="002D4915"/>
    <w:rsid w:val="002D4B90"/>
    <w:rsid w:val="002D4C1F"/>
    <w:rsid w:val="002D5130"/>
    <w:rsid w:val="002D5237"/>
    <w:rsid w:val="002D569A"/>
    <w:rsid w:val="002D56F1"/>
    <w:rsid w:val="002D5740"/>
    <w:rsid w:val="002D5828"/>
    <w:rsid w:val="002D5B1D"/>
    <w:rsid w:val="002D5CCC"/>
    <w:rsid w:val="002D5E32"/>
    <w:rsid w:val="002D6208"/>
    <w:rsid w:val="002D6233"/>
    <w:rsid w:val="002D649B"/>
    <w:rsid w:val="002D656F"/>
    <w:rsid w:val="002D67E5"/>
    <w:rsid w:val="002D67FA"/>
    <w:rsid w:val="002D6869"/>
    <w:rsid w:val="002D6A21"/>
    <w:rsid w:val="002D6A79"/>
    <w:rsid w:val="002D6AA7"/>
    <w:rsid w:val="002D6C23"/>
    <w:rsid w:val="002D6F9A"/>
    <w:rsid w:val="002D7675"/>
    <w:rsid w:val="002D7C73"/>
    <w:rsid w:val="002D7EE0"/>
    <w:rsid w:val="002E0173"/>
    <w:rsid w:val="002E0382"/>
    <w:rsid w:val="002E03F5"/>
    <w:rsid w:val="002E0466"/>
    <w:rsid w:val="002E0D23"/>
    <w:rsid w:val="002E0D7A"/>
    <w:rsid w:val="002E0EAA"/>
    <w:rsid w:val="002E135C"/>
    <w:rsid w:val="002E1560"/>
    <w:rsid w:val="002E186F"/>
    <w:rsid w:val="002E1926"/>
    <w:rsid w:val="002E1A98"/>
    <w:rsid w:val="002E2045"/>
    <w:rsid w:val="002E222F"/>
    <w:rsid w:val="002E2360"/>
    <w:rsid w:val="002E28BA"/>
    <w:rsid w:val="002E28D1"/>
    <w:rsid w:val="002E2A1A"/>
    <w:rsid w:val="002E2E40"/>
    <w:rsid w:val="002E2E93"/>
    <w:rsid w:val="002E3318"/>
    <w:rsid w:val="002E3441"/>
    <w:rsid w:val="002E3885"/>
    <w:rsid w:val="002E38C7"/>
    <w:rsid w:val="002E39D5"/>
    <w:rsid w:val="002E3F51"/>
    <w:rsid w:val="002E3F53"/>
    <w:rsid w:val="002E3F94"/>
    <w:rsid w:val="002E43F1"/>
    <w:rsid w:val="002E4573"/>
    <w:rsid w:val="002E45B0"/>
    <w:rsid w:val="002E4794"/>
    <w:rsid w:val="002E486C"/>
    <w:rsid w:val="002E487B"/>
    <w:rsid w:val="002E512C"/>
    <w:rsid w:val="002E5373"/>
    <w:rsid w:val="002E5549"/>
    <w:rsid w:val="002E56A6"/>
    <w:rsid w:val="002E5753"/>
    <w:rsid w:val="002E59C3"/>
    <w:rsid w:val="002E5AC8"/>
    <w:rsid w:val="002E5BD9"/>
    <w:rsid w:val="002E5D7B"/>
    <w:rsid w:val="002E5EF9"/>
    <w:rsid w:val="002E6195"/>
    <w:rsid w:val="002E6258"/>
    <w:rsid w:val="002E62DB"/>
    <w:rsid w:val="002E668A"/>
    <w:rsid w:val="002E673E"/>
    <w:rsid w:val="002E6A7E"/>
    <w:rsid w:val="002E6AB2"/>
    <w:rsid w:val="002E6ACF"/>
    <w:rsid w:val="002E6B2B"/>
    <w:rsid w:val="002E6DCE"/>
    <w:rsid w:val="002E6DF0"/>
    <w:rsid w:val="002E6E2C"/>
    <w:rsid w:val="002E6E3D"/>
    <w:rsid w:val="002E709B"/>
    <w:rsid w:val="002E71C3"/>
    <w:rsid w:val="002E730F"/>
    <w:rsid w:val="002E75E9"/>
    <w:rsid w:val="002E77C1"/>
    <w:rsid w:val="002E7CBA"/>
    <w:rsid w:val="002E7E4B"/>
    <w:rsid w:val="002F026A"/>
    <w:rsid w:val="002F0294"/>
    <w:rsid w:val="002F02D6"/>
    <w:rsid w:val="002F0531"/>
    <w:rsid w:val="002F05D0"/>
    <w:rsid w:val="002F06F4"/>
    <w:rsid w:val="002F081A"/>
    <w:rsid w:val="002F083B"/>
    <w:rsid w:val="002F0D3E"/>
    <w:rsid w:val="002F0E19"/>
    <w:rsid w:val="002F0E31"/>
    <w:rsid w:val="002F12C6"/>
    <w:rsid w:val="002F1401"/>
    <w:rsid w:val="002F1416"/>
    <w:rsid w:val="002F20B6"/>
    <w:rsid w:val="002F2186"/>
    <w:rsid w:val="002F236D"/>
    <w:rsid w:val="002F2516"/>
    <w:rsid w:val="002F2983"/>
    <w:rsid w:val="002F2BAA"/>
    <w:rsid w:val="002F2CDD"/>
    <w:rsid w:val="002F2D72"/>
    <w:rsid w:val="002F2E01"/>
    <w:rsid w:val="002F2F2C"/>
    <w:rsid w:val="002F3002"/>
    <w:rsid w:val="002F35F7"/>
    <w:rsid w:val="002F392A"/>
    <w:rsid w:val="002F3A24"/>
    <w:rsid w:val="002F3AF3"/>
    <w:rsid w:val="002F3C4B"/>
    <w:rsid w:val="002F3D50"/>
    <w:rsid w:val="002F3E18"/>
    <w:rsid w:val="002F406F"/>
    <w:rsid w:val="002F42A5"/>
    <w:rsid w:val="002F443A"/>
    <w:rsid w:val="002F4669"/>
    <w:rsid w:val="002F46FD"/>
    <w:rsid w:val="002F4AB5"/>
    <w:rsid w:val="002F4AF8"/>
    <w:rsid w:val="002F4B7A"/>
    <w:rsid w:val="002F4DAA"/>
    <w:rsid w:val="002F503D"/>
    <w:rsid w:val="002F513A"/>
    <w:rsid w:val="002F5166"/>
    <w:rsid w:val="002F55D4"/>
    <w:rsid w:val="002F5761"/>
    <w:rsid w:val="002F57FD"/>
    <w:rsid w:val="002F592E"/>
    <w:rsid w:val="002F5A4B"/>
    <w:rsid w:val="002F5AD4"/>
    <w:rsid w:val="002F5BCB"/>
    <w:rsid w:val="002F5C00"/>
    <w:rsid w:val="002F5D58"/>
    <w:rsid w:val="002F6179"/>
    <w:rsid w:val="002F639C"/>
    <w:rsid w:val="002F64B0"/>
    <w:rsid w:val="002F665F"/>
    <w:rsid w:val="002F6835"/>
    <w:rsid w:val="002F68F8"/>
    <w:rsid w:val="002F6F08"/>
    <w:rsid w:val="002F7074"/>
    <w:rsid w:val="002F728E"/>
    <w:rsid w:val="002F75A1"/>
    <w:rsid w:val="002F7809"/>
    <w:rsid w:val="002F7836"/>
    <w:rsid w:val="002F78DE"/>
    <w:rsid w:val="002F7918"/>
    <w:rsid w:val="002F792F"/>
    <w:rsid w:val="002F796B"/>
    <w:rsid w:val="002F798A"/>
    <w:rsid w:val="002F79C0"/>
    <w:rsid w:val="002F7CA4"/>
    <w:rsid w:val="002F7DD3"/>
    <w:rsid w:val="002F7F2F"/>
    <w:rsid w:val="00300018"/>
    <w:rsid w:val="0030043C"/>
    <w:rsid w:val="003007FC"/>
    <w:rsid w:val="0030080D"/>
    <w:rsid w:val="00300A32"/>
    <w:rsid w:val="003011E1"/>
    <w:rsid w:val="003013DC"/>
    <w:rsid w:val="003014EA"/>
    <w:rsid w:val="0030156E"/>
    <w:rsid w:val="003018DA"/>
    <w:rsid w:val="00301EA6"/>
    <w:rsid w:val="00301EBC"/>
    <w:rsid w:val="00301EF3"/>
    <w:rsid w:val="003020A6"/>
    <w:rsid w:val="00302217"/>
    <w:rsid w:val="00302448"/>
    <w:rsid w:val="0030247D"/>
    <w:rsid w:val="003025CC"/>
    <w:rsid w:val="0030278D"/>
    <w:rsid w:val="0030285F"/>
    <w:rsid w:val="00302A76"/>
    <w:rsid w:val="00302AB9"/>
    <w:rsid w:val="00302C8A"/>
    <w:rsid w:val="00303106"/>
    <w:rsid w:val="00303236"/>
    <w:rsid w:val="00303837"/>
    <w:rsid w:val="00303D4F"/>
    <w:rsid w:val="00303FD5"/>
    <w:rsid w:val="00304154"/>
    <w:rsid w:val="00304692"/>
    <w:rsid w:val="003046BF"/>
    <w:rsid w:val="003047A5"/>
    <w:rsid w:val="003049D7"/>
    <w:rsid w:val="00304C6C"/>
    <w:rsid w:val="00304D03"/>
    <w:rsid w:val="00304F74"/>
    <w:rsid w:val="003052A5"/>
    <w:rsid w:val="00305824"/>
    <w:rsid w:val="003058B7"/>
    <w:rsid w:val="00305C2E"/>
    <w:rsid w:val="00305F70"/>
    <w:rsid w:val="00306088"/>
    <w:rsid w:val="0030608F"/>
    <w:rsid w:val="00306235"/>
    <w:rsid w:val="00306337"/>
    <w:rsid w:val="003064C5"/>
    <w:rsid w:val="003065E4"/>
    <w:rsid w:val="0030660B"/>
    <w:rsid w:val="0030673A"/>
    <w:rsid w:val="00306740"/>
    <w:rsid w:val="0030695F"/>
    <w:rsid w:val="00306B00"/>
    <w:rsid w:val="00306DFD"/>
    <w:rsid w:val="00306E2D"/>
    <w:rsid w:val="00307228"/>
    <w:rsid w:val="003076B1"/>
    <w:rsid w:val="00307BE4"/>
    <w:rsid w:val="00307CCF"/>
    <w:rsid w:val="00310432"/>
    <w:rsid w:val="0031047B"/>
    <w:rsid w:val="00310525"/>
    <w:rsid w:val="0031067C"/>
    <w:rsid w:val="00310732"/>
    <w:rsid w:val="0031090A"/>
    <w:rsid w:val="00310CE9"/>
    <w:rsid w:val="00311475"/>
    <w:rsid w:val="00311521"/>
    <w:rsid w:val="0031158B"/>
    <w:rsid w:val="003115CB"/>
    <w:rsid w:val="003116D6"/>
    <w:rsid w:val="00311921"/>
    <w:rsid w:val="00311A62"/>
    <w:rsid w:val="00311ABC"/>
    <w:rsid w:val="00311BD6"/>
    <w:rsid w:val="00311D0F"/>
    <w:rsid w:val="003120FD"/>
    <w:rsid w:val="0031273A"/>
    <w:rsid w:val="00312AE3"/>
    <w:rsid w:val="003132CB"/>
    <w:rsid w:val="003132FE"/>
    <w:rsid w:val="00313576"/>
    <w:rsid w:val="0031357A"/>
    <w:rsid w:val="00313961"/>
    <w:rsid w:val="00313A54"/>
    <w:rsid w:val="00313FB5"/>
    <w:rsid w:val="003140FA"/>
    <w:rsid w:val="00314243"/>
    <w:rsid w:val="0031431C"/>
    <w:rsid w:val="00314335"/>
    <w:rsid w:val="00314653"/>
    <w:rsid w:val="003146EE"/>
    <w:rsid w:val="00314881"/>
    <w:rsid w:val="00314893"/>
    <w:rsid w:val="00314A05"/>
    <w:rsid w:val="00314ABE"/>
    <w:rsid w:val="00314EE3"/>
    <w:rsid w:val="0031530D"/>
    <w:rsid w:val="003155C6"/>
    <w:rsid w:val="00315665"/>
    <w:rsid w:val="00315825"/>
    <w:rsid w:val="00315C17"/>
    <w:rsid w:val="00315D36"/>
    <w:rsid w:val="0031625B"/>
    <w:rsid w:val="003166A8"/>
    <w:rsid w:val="003166D0"/>
    <w:rsid w:val="00316C16"/>
    <w:rsid w:val="00316C3B"/>
    <w:rsid w:val="00316D06"/>
    <w:rsid w:val="00316D3C"/>
    <w:rsid w:val="00316D46"/>
    <w:rsid w:val="00316F26"/>
    <w:rsid w:val="00316F6C"/>
    <w:rsid w:val="00317025"/>
    <w:rsid w:val="0031722F"/>
    <w:rsid w:val="003174B5"/>
    <w:rsid w:val="003175F3"/>
    <w:rsid w:val="00317CA1"/>
    <w:rsid w:val="00317D99"/>
    <w:rsid w:val="00317DF4"/>
    <w:rsid w:val="00317DFE"/>
    <w:rsid w:val="00317F08"/>
    <w:rsid w:val="003200B6"/>
    <w:rsid w:val="0032043A"/>
    <w:rsid w:val="003205AA"/>
    <w:rsid w:val="003205E9"/>
    <w:rsid w:val="0032075F"/>
    <w:rsid w:val="00320901"/>
    <w:rsid w:val="00320A68"/>
    <w:rsid w:val="00320BD6"/>
    <w:rsid w:val="00320BE3"/>
    <w:rsid w:val="00320D17"/>
    <w:rsid w:val="00320EEE"/>
    <w:rsid w:val="003215A0"/>
    <w:rsid w:val="003216F9"/>
    <w:rsid w:val="00321760"/>
    <w:rsid w:val="003219B2"/>
    <w:rsid w:val="00321B85"/>
    <w:rsid w:val="00321BB0"/>
    <w:rsid w:val="00321D73"/>
    <w:rsid w:val="003221DA"/>
    <w:rsid w:val="00322353"/>
    <w:rsid w:val="0032279D"/>
    <w:rsid w:val="00322808"/>
    <w:rsid w:val="0032285B"/>
    <w:rsid w:val="003229DF"/>
    <w:rsid w:val="00322C4F"/>
    <w:rsid w:val="00322CB4"/>
    <w:rsid w:val="00322E90"/>
    <w:rsid w:val="0032303B"/>
    <w:rsid w:val="003230A7"/>
    <w:rsid w:val="00323943"/>
    <w:rsid w:val="00323ABA"/>
    <w:rsid w:val="00323B5D"/>
    <w:rsid w:val="00323B6B"/>
    <w:rsid w:val="00323CAA"/>
    <w:rsid w:val="00323D0A"/>
    <w:rsid w:val="00323F5B"/>
    <w:rsid w:val="003241D7"/>
    <w:rsid w:val="003244E9"/>
    <w:rsid w:val="0032465A"/>
    <w:rsid w:val="003248B0"/>
    <w:rsid w:val="00324A5C"/>
    <w:rsid w:val="00324F31"/>
    <w:rsid w:val="003250E3"/>
    <w:rsid w:val="00325280"/>
    <w:rsid w:val="003252A1"/>
    <w:rsid w:val="003259A6"/>
    <w:rsid w:val="00325B0F"/>
    <w:rsid w:val="00325CF9"/>
    <w:rsid w:val="00325F4D"/>
    <w:rsid w:val="003261A3"/>
    <w:rsid w:val="003262A8"/>
    <w:rsid w:val="00326331"/>
    <w:rsid w:val="003265A0"/>
    <w:rsid w:val="00326752"/>
    <w:rsid w:val="00326861"/>
    <w:rsid w:val="003268C3"/>
    <w:rsid w:val="00326AE3"/>
    <w:rsid w:val="00326B55"/>
    <w:rsid w:val="00326D6E"/>
    <w:rsid w:val="00326FEB"/>
    <w:rsid w:val="00327176"/>
    <w:rsid w:val="003276ED"/>
    <w:rsid w:val="00327BEA"/>
    <w:rsid w:val="00327CD9"/>
    <w:rsid w:val="00327FAD"/>
    <w:rsid w:val="003301B4"/>
    <w:rsid w:val="003306BE"/>
    <w:rsid w:val="00330CF0"/>
    <w:rsid w:val="00330D75"/>
    <w:rsid w:val="00330D83"/>
    <w:rsid w:val="00330F60"/>
    <w:rsid w:val="00330F89"/>
    <w:rsid w:val="00330FCE"/>
    <w:rsid w:val="003312AF"/>
    <w:rsid w:val="00331908"/>
    <w:rsid w:val="00331ACF"/>
    <w:rsid w:val="00331E33"/>
    <w:rsid w:val="00331E55"/>
    <w:rsid w:val="00331EA1"/>
    <w:rsid w:val="00332296"/>
    <w:rsid w:val="00332346"/>
    <w:rsid w:val="003325BE"/>
    <w:rsid w:val="00332750"/>
    <w:rsid w:val="003329E8"/>
    <w:rsid w:val="00332D9B"/>
    <w:rsid w:val="003332E0"/>
    <w:rsid w:val="003335B8"/>
    <w:rsid w:val="003337BA"/>
    <w:rsid w:val="00333897"/>
    <w:rsid w:val="00333A0D"/>
    <w:rsid w:val="00333A5B"/>
    <w:rsid w:val="00333ADB"/>
    <w:rsid w:val="00333CEC"/>
    <w:rsid w:val="0033444F"/>
    <w:rsid w:val="003348F1"/>
    <w:rsid w:val="00334AC3"/>
    <w:rsid w:val="0033504D"/>
    <w:rsid w:val="00335527"/>
    <w:rsid w:val="0033557A"/>
    <w:rsid w:val="003355B7"/>
    <w:rsid w:val="00335789"/>
    <w:rsid w:val="00335C53"/>
    <w:rsid w:val="00335C6E"/>
    <w:rsid w:val="00335C81"/>
    <w:rsid w:val="00335F59"/>
    <w:rsid w:val="003366EC"/>
    <w:rsid w:val="00336BD5"/>
    <w:rsid w:val="003371CC"/>
    <w:rsid w:val="003378AB"/>
    <w:rsid w:val="003378E0"/>
    <w:rsid w:val="0033799C"/>
    <w:rsid w:val="00337BD1"/>
    <w:rsid w:val="00337D4D"/>
    <w:rsid w:val="00337D59"/>
    <w:rsid w:val="00340000"/>
    <w:rsid w:val="003400D6"/>
    <w:rsid w:val="0034026A"/>
    <w:rsid w:val="0034050A"/>
    <w:rsid w:val="003406C3"/>
    <w:rsid w:val="00340726"/>
    <w:rsid w:val="00340970"/>
    <w:rsid w:val="00340D2E"/>
    <w:rsid w:val="00340D6B"/>
    <w:rsid w:val="00340E94"/>
    <w:rsid w:val="00340F01"/>
    <w:rsid w:val="0034119C"/>
    <w:rsid w:val="003414AE"/>
    <w:rsid w:val="00341843"/>
    <w:rsid w:val="00341D78"/>
    <w:rsid w:val="00341DA3"/>
    <w:rsid w:val="00341ED4"/>
    <w:rsid w:val="0034205E"/>
    <w:rsid w:val="003420AA"/>
    <w:rsid w:val="00342170"/>
    <w:rsid w:val="003421EC"/>
    <w:rsid w:val="00342305"/>
    <w:rsid w:val="0034236C"/>
    <w:rsid w:val="003423D3"/>
    <w:rsid w:val="0034261D"/>
    <w:rsid w:val="003426A3"/>
    <w:rsid w:val="00342891"/>
    <w:rsid w:val="003428B4"/>
    <w:rsid w:val="00342A3F"/>
    <w:rsid w:val="00342D51"/>
    <w:rsid w:val="0034303E"/>
    <w:rsid w:val="00343466"/>
    <w:rsid w:val="0034349F"/>
    <w:rsid w:val="003437F0"/>
    <w:rsid w:val="0034397B"/>
    <w:rsid w:val="00343E18"/>
    <w:rsid w:val="00343EF9"/>
    <w:rsid w:val="00343F21"/>
    <w:rsid w:val="00344022"/>
    <w:rsid w:val="00344348"/>
    <w:rsid w:val="003444AA"/>
    <w:rsid w:val="00344AF4"/>
    <w:rsid w:val="00344F26"/>
    <w:rsid w:val="00345251"/>
    <w:rsid w:val="00345360"/>
    <w:rsid w:val="003455CA"/>
    <w:rsid w:val="00345C26"/>
    <w:rsid w:val="00345CE3"/>
    <w:rsid w:val="00345EA7"/>
    <w:rsid w:val="0034606F"/>
    <w:rsid w:val="0034631D"/>
    <w:rsid w:val="003466E7"/>
    <w:rsid w:val="003469E9"/>
    <w:rsid w:val="00346B94"/>
    <w:rsid w:val="00346D7C"/>
    <w:rsid w:val="00346E17"/>
    <w:rsid w:val="00346E6E"/>
    <w:rsid w:val="00346F02"/>
    <w:rsid w:val="00346FD0"/>
    <w:rsid w:val="00347281"/>
    <w:rsid w:val="0034734B"/>
    <w:rsid w:val="00347684"/>
    <w:rsid w:val="00347748"/>
    <w:rsid w:val="00347874"/>
    <w:rsid w:val="0034797F"/>
    <w:rsid w:val="003479C5"/>
    <w:rsid w:val="00347AFA"/>
    <w:rsid w:val="00350279"/>
    <w:rsid w:val="00350590"/>
    <w:rsid w:val="003508F9"/>
    <w:rsid w:val="00350AED"/>
    <w:rsid w:val="00350E53"/>
    <w:rsid w:val="00350F6A"/>
    <w:rsid w:val="00351229"/>
    <w:rsid w:val="003512D3"/>
    <w:rsid w:val="003514F8"/>
    <w:rsid w:val="00351717"/>
    <w:rsid w:val="00351B98"/>
    <w:rsid w:val="00351BA3"/>
    <w:rsid w:val="00351EB9"/>
    <w:rsid w:val="00351F61"/>
    <w:rsid w:val="00352213"/>
    <w:rsid w:val="00352217"/>
    <w:rsid w:val="0035236C"/>
    <w:rsid w:val="003525E4"/>
    <w:rsid w:val="003526F6"/>
    <w:rsid w:val="003527B9"/>
    <w:rsid w:val="00352B1D"/>
    <w:rsid w:val="00352E0E"/>
    <w:rsid w:val="00353167"/>
    <w:rsid w:val="003531BD"/>
    <w:rsid w:val="00353225"/>
    <w:rsid w:val="003532ED"/>
    <w:rsid w:val="00353400"/>
    <w:rsid w:val="00353631"/>
    <w:rsid w:val="003537C2"/>
    <w:rsid w:val="00353AFC"/>
    <w:rsid w:val="0035406F"/>
    <w:rsid w:val="003545E9"/>
    <w:rsid w:val="00354A83"/>
    <w:rsid w:val="00355045"/>
    <w:rsid w:val="00355593"/>
    <w:rsid w:val="003556C8"/>
    <w:rsid w:val="003556C9"/>
    <w:rsid w:val="00355826"/>
    <w:rsid w:val="00355B7F"/>
    <w:rsid w:val="00355DA2"/>
    <w:rsid w:val="003560D4"/>
    <w:rsid w:val="003561B4"/>
    <w:rsid w:val="00356249"/>
    <w:rsid w:val="003566AD"/>
    <w:rsid w:val="003567B2"/>
    <w:rsid w:val="0035680B"/>
    <w:rsid w:val="00356838"/>
    <w:rsid w:val="00356F1E"/>
    <w:rsid w:val="003570B0"/>
    <w:rsid w:val="00357611"/>
    <w:rsid w:val="003579AF"/>
    <w:rsid w:val="00357F81"/>
    <w:rsid w:val="003601A7"/>
    <w:rsid w:val="00360374"/>
    <w:rsid w:val="00360632"/>
    <w:rsid w:val="003607BC"/>
    <w:rsid w:val="003608EC"/>
    <w:rsid w:val="00360C2F"/>
    <w:rsid w:val="00360FCB"/>
    <w:rsid w:val="003610D7"/>
    <w:rsid w:val="003612B9"/>
    <w:rsid w:val="003614E5"/>
    <w:rsid w:val="00361BB5"/>
    <w:rsid w:val="00361F7A"/>
    <w:rsid w:val="00361FAF"/>
    <w:rsid w:val="003623C3"/>
    <w:rsid w:val="003624A4"/>
    <w:rsid w:val="003629CD"/>
    <w:rsid w:val="00362B01"/>
    <w:rsid w:val="00362B4C"/>
    <w:rsid w:val="00362BC4"/>
    <w:rsid w:val="0036302A"/>
    <w:rsid w:val="00363170"/>
    <w:rsid w:val="003631B8"/>
    <w:rsid w:val="0036323C"/>
    <w:rsid w:val="003633C7"/>
    <w:rsid w:val="003634D5"/>
    <w:rsid w:val="003634E8"/>
    <w:rsid w:val="0036391A"/>
    <w:rsid w:val="00363DC9"/>
    <w:rsid w:val="00363F66"/>
    <w:rsid w:val="003641B6"/>
    <w:rsid w:val="0036429A"/>
    <w:rsid w:val="003643A0"/>
    <w:rsid w:val="003643F9"/>
    <w:rsid w:val="00364628"/>
    <w:rsid w:val="0036469E"/>
    <w:rsid w:val="003646DA"/>
    <w:rsid w:val="00364767"/>
    <w:rsid w:val="0036482D"/>
    <w:rsid w:val="003648F5"/>
    <w:rsid w:val="0036495C"/>
    <w:rsid w:val="00364C79"/>
    <w:rsid w:val="003654D5"/>
    <w:rsid w:val="0036584E"/>
    <w:rsid w:val="0036585C"/>
    <w:rsid w:val="00365927"/>
    <w:rsid w:val="00365B9E"/>
    <w:rsid w:val="00365BBC"/>
    <w:rsid w:val="00366163"/>
    <w:rsid w:val="003669E3"/>
    <w:rsid w:val="00366DBB"/>
    <w:rsid w:val="00366F6B"/>
    <w:rsid w:val="00366FC3"/>
    <w:rsid w:val="00366FF5"/>
    <w:rsid w:val="003670AB"/>
    <w:rsid w:val="00367394"/>
    <w:rsid w:val="003674A3"/>
    <w:rsid w:val="00367673"/>
    <w:rsid w:val="003676A0"/>
    <w:rsid w:val="003676A1"/>
    <w:rsid w:val="003676A5"/>
    <w:rsid w:val="00367AE3"/>
    <w:rsid w:val="00367AE6"/>
    <w:rsid w:val="00367CB5"/>
    <w:rsid w:val="0037049F"/>
    <w:rsid w:val="00370DC5"/>
    <w:rsid w:val="00371300"/>
    <w:rsid w:val="003713AD"/>
    <w:rsid w:val="00371479"/>
    <w:rsid w:val="003714B9"/>
    <w:rsid w:val="00371593"/>
    <w:rsid w:val="003718E1"/>
    <w:rsid w:val="0037193E"/>
    <w:rsid w:val="00371D52"/>
    <w:rsid w:val="00371FD7"/>
    <w:rsid w:val="003724DD"/>
    <w:rsid w:val="003726F2"/>
    <w:rsid w:val="003726FC"/>
    <w:rsid w:val="00372868"/>
    <w:rsid w:val="00372975"/>
    <w:rsid w:val="00372AD7"/>
    <w:rsid w:val="00372D02"/>
    <w:rsid w:val="00372FF6"/>
    <w:rsid w:val="00373072"/>
    <w:rsid w:val="0037344E"/>
    <w:rsid w:val="003738B2"/>
    <w:rsid w:val="003738D2"/>
    <w:rsid w:val="00373995"/>
    <w:rsid w:val="003739E3"/>
    <w:rsid w:val="00373E35"/>
    <w:rsid w:val="00374148"/>
    <w:rsid w:val="0037429B"/>
    <w:rsid w:val="003744EB"/>
    <w:rsid w:val="00374505"/>
    <w:rsid w:val="00374F01"/>
    <w:rsid w:val="00375192"/>
    <w:rsid w:val="003751B2"/>
    <w:rsid w:val="00375609"/>
    <w:rsid w:val="00375762"/>
    <w:rsid w:val="003758B1"/>
    <w:rsid w:val="00375A7A"/>
    <w:rsid w:val="00375AA2"/>
    <w:rsid w:val="00375ABD"/>
    <w:rsid w:val="00375DA1"/>
    <w:rsid w:val="00375ECE"/>
    <w:rsid w:val="00376582"/>
    <w:rsid w:val="00376870"/>
    <w:rsid w:val="0037695B"/>
    <w:rsid w:val="0037696C"/>
    <w:rsid w:val="00376994"/>
    <w:rsid w:val="00376AC2"/>
    <w:rsid w:val="00376B35"/>
    <w:rsid w:val="0037744E"/>
    <w:rsid w:val="003777AB"/>
    <w:rsid w:val="003778AB"/>
    <w:rsid w:val="00377A64"/>
    <w:rsid w:val="00377A9B"/>
    <w:rsid w:val="00377B59"/>
    <w:rsid w:val="00377CDC"/>
    <w:rsid w:val="0038037E"/>
    <w:rsid w:val="003804A4"/>
    <w:rsid w:val="003805CB"/>
    <w:rsid w:val="00380FA9"/>
    <w:rsid w:val="0038111B"/>
    <w:rsid w:val="0038177E"/>
    <w:rsid w:val="003817DA"/>
    <w:rsid w:val="00381860"/>
    <w:rsid w:val="0038186F"/>
    <w:rsid w:val="003818BD"/>
    <w:rsid w:val="003819B0"/>
    <w:rsid w:val="00381B95"/>
    <w:rsid w:val="00381C8D"/>
    <w:rsid w:val="003821B2"/>
    <w:rsid w:val="00382246"/>
    <w:rsid w:val="00382941"/>
    <w:rsid w:val="00382CF3"/>
    <w:rsid w:val="00382EF4"/>
    <w:rsid w:val="00383579"/>
    <w:rsid w:val="00383836"/>
    <w:rsid w:val="00383890"/>
    <w:rsid w:val="00383895"/>
    <w:rsid w:val="00383D39"/>
    <w:rsid w:val="00383D4E"/>
    <w:rsid w:val="00383DDF"/>
    <w:rsid w:val="00383EDF"/>
    <w:rsid w:val="0038404E"/>
    <w:rsid w:val="00384063"/>
    <w:rsid w:val="00384199"/>
    <w:rsid w:val="003844C4"/>
    <w:rsid w:val="00384514"/>
    <w:rsid w:val="00384621"/>
    <w:rsid w:val="003847F3"/>
    <w:rsid w:val="00384A5F"/>
    <w:rsid w:val="00385752"/>
    <w:rsid w:val="003857BA"/>
    <w:rsid w:val="00385861"/>
    <w:rsid w:val="00385A40"/>
    <w:rsid w:val="00385C50"/>
    <w:rsid w:val="00385CF6"/>
    <w:rsid w:val="00386071"/>
    <w:rsid w:val="003860F2"/>
    <w:rsid w:val="00386106"/>
    <w:rsid w:val="00386334"/>
    <w:rsid w:val="003864C5"/>
    <w:rsid w:val="003864FD"/>
    <w:rsid w:val="003869C0"/>
    <w:rsid w:val="00386A69"/>
    <w:rsid w:val="00386B4A"/>
    <w:rsid w:val="00386B88"/>
    <w:rsid w:val="00386E8A"/>
    <w:rsid w:val="003871F4"/>
    <w:rsid w:val="003876FE"/>
    <w:rsid w:val="00387D60"/>
    <w:rsid w:val="00387EB3"/>
    <w:rsid w:val="00387EC3"/>
    <w:rsid w:val="00387FB8"/>
    <w:rsid w:val="003904E0"/>
    <w:rsid w:val="00390528"/>
    <w:rsid w:val="00390707"/>
    <w:rsid w:val="00390C1A"/>
    <w:rsid w:val="00390CEC"/>
    <w:rsid w:val="00390D14"/>
    <w:rsid w:val="003911BE"/>
    <w:rsid w:val="00391406"/>
    <w:rsid w:val="00391537"/>
    <w:rsid w:val="0039173F"/>
    <w:rsid w:val="00391A14"/>
    <w:rsid w:val="00391E47"/>
    <w:rsid w:val="00391FA4"/>
    <w:rsid w:val="00392450"/>
    <w:rsid w:val="00392526"/>
    <w:rsid w:val="00392609"/>
    <w:rsid w:val="0039267C"/>
    <w:rsid w:val="003926B6"/>
    <w:rsid w:val="00392717"/>
    <w:rsid w:val="003927BA"/>
    <w:rsid w:val="00392958"/>
    <w:rsid w:val="00392D49"/>
    <w:rsid w:val="00392F55"/>
    <w:rsid w:val="0039322F"/>
    <w:rsid w:val="00393307"/>
    <w:rsid w:val="00393811"/>
    <w:rsid w:val="0039382D"/>
    <w:rsid w:val="0039385C"/>
    <w:rsid w:val="0039392A"/>
    <w:rsid w:val="00393D4F"/>
    <w:rsid w:val="00393D8A"/>
    <w:rsid w:val="00393DE4"/>
    <w:rsid w:val="00394149"/>
    <w:rsid w:val="00394345"/>
    <w:rsid w:val="003943B9"/>
    <w:rsid w:val="003943BD"/>
    <w:rsid w:val="003943E9"/>
    <w:rsid w:val="00394433"/>
    <w:rsid w:val="0039466D"/>
    <w:rsid w:val="003946C2"/>
    <w:rsid w:val="00394891"/>
    <w:rsid w:val="00394AF6"/>
    <w:rsid w:val="003951A5"/>
    <w:rsid w:val="00395501"/>
    <w:rsid w:val="003957D7"/>
    <w:rsid w:val="003958F4"/>
    <w:rsid w:val="0039590A"/>
    <w:rsid w:val="00395D30"/>
    <w:rsid w:val="00396035"/>
    <w:rsid w:val="00396131"/>
    <w:rsid w:val="003962B5"/>
    <w:rsid w:val="0039657A"/>
    <w:rsid w:val="003966D9"/>
    <w:rsid w:val="0039673B"/>
    <w:rsid w:val="00396768"/>
    <w:rsid w:val="00396AB6"/>
    <w:rsid w:val="003970D6"/>
    <w:rsid w:val="003976D5"/>
    <w:rsid w:val="003978B3"/>
    <w:rsid w:val="003978EC"/>
    <w:rsid w:val="00397A02"/>
    <w:rsid w:val="00397A66"/>
    <w:rsid w:val="00397B37"/>
    <w:rsid w:val="00397D66"/>
    <w:rsid w:val="00397E4C"/>
    <w:rsid w:val="00397EF8"/>
    <w:rsid w:val="003A01CB"/>
    <w:rsid w:val="003A043A"/>
    <w:rsid w:val="003A04B7"/>
    <w:rsid w:val="003A09C3"/>
    <w:rsid w:val="003A0B3E"/>
    <w:rsid w:val="003A0C65"/>
    <w:rsid w:val="003A0CD2"/>
    <w:rsid w:val="003A0F62"/>
    <w:rsid w:val="003A1060"/>
    <w:rsid w:val="003A109F"/>
    <w:rsid w:val="003A1109"/>
    <w:rsid w:val="003A110F"/>
    <w:rsid w:val="003A124C"/>
    <w:rsid w:val="003A12D9"/>
    <w:rsid w:val="003A13A9"/>
    <w:rsid w:val="003A1467"/>
    <w:rsid w:val="003A1613"/>
    <w:rsid w:val="003A195C"/>
    <w:rsid w:val="003A1A22"/>
    <w:rsid w:val="003A1B70"/>
    <w:rsid w:val="003A1C91"/>
    <w:rsid w:val="003A1F68"/>
    <w:rsid w:val="003A217D"/>
    <w:rsid w:val="003A2AE6"/>
    <w:rsid w:val="003A2DFF"/>
    <w:rsid w:val="003A2EFE"/>
    <w:rsid w:val="003A2F91"/>
    <w:rsid w:val="003A3161"/>
    <w:rsid w:val="003A341B"/>
    <w:rsid w:val="003A389C"/>
    <w:rsid w:val="003A3DCD"/>
    <w:rsid w:val="003A44D9"/>
    <w:rsid w:val="003A4541"/>
    <w:rsid w:val="003A4585"/>
    <w:rsid w:val="003A45F5"/>
    <w:rsid w:val="003A470C"/>
    <w:rsid w:val="003A4875"/>
    <w:rsid w:val="003A4DE2"/>
    <w:rsid w:val="003A51C7"/>
    <w:rsid w:val="003A53B9"/>
    <w:rsid w:val="003A5935"/>
    <w:rsid w:val="003A596C"/>
    <w:rsid w:val="003A5CC4"/>
    <w:rsid w:val="003A5E3A"/>
    <w:rsid w:val="003A6175"/>
    <w:rsid w:val="003A6542"/>
    <w:rsid w:val="003A659E"/>
    <w:rsid w:val="003A680F"/>
    <w:rsid w:val="003A6C5D"/>
    <w:rsid w:val="003A6F03"/>
    <w:rsid w:val="003A70C1"/>
    <w:rsid w:val="003A7972"/>
    <w:rsid w:val="003A79CF"/>
    <w:rsid w:val="003A7EF8"/>
    <w:rsid w:val="003A7F11"/>
    <w:rsid w:val="003B017B"/>
    <w:rsid w:val="003B032E"/>
    <w:rsid w:val="003B0693"/>
    <w:rsid w:val="003B06A7"/>
    <w:rsid w:val="003B06F6"/>
    <w:rsid w:val="003B07C3"/>
    <w:rsid w:val="003B0D5B"/>
    <w:rsid w:val="003B0E45"/>
    <w:rsid w:val="003B0E61"/>
    <w:rsid w:val="003B0EDA"/>
    <w:rsid w:val="003B104B"/>
    <w:rsid w:val="003B1129"/>
    <w:rsid w:val="003B119B"/>
    <w:rsid w:val="003B1249"/>
    <w:rsid w:val="003B12E3"/>
    <w:rsid w:val="003B1305"/>
    <w:rsid w:val="003B1662"/>
    <w:rsid w:val="003B1C27"/>
    <w:rsid w:val="003B1CB4"/>
    <w:rsid w:val="003B1DAB"/>
    <w:rsid w:val="003B2071"/>
    <w:rsid w:val="003B20D6"/>
    <w:rsid w:val="003B21A3"/>
    <w:rsid w:val="003B2226"/>
    <w:rsid w:val="003B22D9"/>
    <w:rsid w:val="003B26FC"/>
    <w:rsid w:val="003B3065"/>
    <w:rsid w:val="003B39A1"/>
    <w:rsid w:val="003B3D94"/>
    <w:rsid w:val="003B3DBB"/>
    <w:rsid w:val="003B3EBB"/>
    <w:rsid w:val="003B4572"/>
    <w:rsid w:val="003B45F4"/>
    <w:rsid w:val="003B460A"/>
    <w:rsid w:val="003B461C"/>
    <w:rsid w:val="003B46B7"/>
    <w:rsid w:val="003B4794"/>
    <w:rsid w:val="003B47E1"/>
    <w:rsid w:val="003B483C"/>
    <w:rsid w:val="003B484F"/>
    <w:rsid w:val="003B4856"/>
    <w:rsid w:val="003B48C9"/>
    <w:rsid w:val="003B4D71"/>
    <w:rsid w:val="003B4DF3"/>
    <w:rsid w:val="003B54AE"/>
    <w:rsid w:val="003B5652"/>
    <w:rsid w:val="003B5A79"/>
    <w:rsid w:val="003B5C95"/>
    <w:rsid w:val="003B5E0D"/>
    <w:rsid w:val="003B63A4"/>
    <w:rsid w:val="003B69E5"/>
    <w:rsid w:val="003B6A0D"/>
    <w:rsid w:val="003B6C65"/>
    <w:rsid w:val="003B7002"/>
    <w:rsid w:val="003B700B"/>
    <w:rsid w:val="003B7067"/>
    <w:rsid w:val="003B7328"/>
    <w:rsid w:val="003B737B"/>
    <w:rsid w:val="003B77A0"/>
    <w:rsid w:val="003B77F2"/>
    <w:rsid w:val="003B7822"/>
    <w:rsid w:val="003B7D8F"/>
    <w:rsid w:val="003B7DDD"/>
    <w:rsid w:val="003C028A"/>
    <w:rsid w:val="003C02C7"/>
    <w:rsid w:val="003C0484"/>
    <w:rsid w:val="003C04A7"/>
    <w:rsid w:val="003C0595"/>
    <w:rsid w:val="003C05CE"/>
    <w:rsid w:val="003C066C"/>
    <w:rsid w:val="003C087B"/>
    <w:rsid w:val="003C0BF3"/>
    <w:rsid w:val="003C13FE"/>
    <w:rsid w:val="003C1533"/>
    <w:rsid w:val="003C15A7"/>
    <w:rsid w:val="003C1603"/>
    <w:rsid w:val="003C1674"/>
    <w:rsid w:val="003C16A9"/>
    <w:rsid w:val="003C1866"/>
    <w:rsid w:val="003C19D1"/>
    <w:rsid w:val="003C1B9F"/>
    <w:rsid w:val="003C1C46"/>
    <w:rsid w:val="003C2051"/>
    <w:rsid w:val="003C2751"/>
    <w:rsid w:val="003C2A9E"/>
    <w:rsid w:val="003C2B62"/>
    <w:rsid w:val="003C2CDF"/>
    <w:rsid w:val="003C2E2E"/>
    <w:rsid w:val="003C2F4C"/>
    <w:rsid w:val="003C2FB5"/>
    <w:rsid w:val="003C3030"/>
    <w:rsid w:val="003C30F8"/>
    <w:rsid w:val="003C3213"/>
    <w:rsid w:val="003C3771"/>
    <w:rsid w:val="003C37D0"/>
    <w:rsid w:val="003C3B8D"/>
    <w:rsid w:val="003C3E5E"/>
    <w:rsid w:val="003C3E85"/>
    <w:rsid w:val="003C3F7A"/>
    <w:rsid w:val="003C3FC3"/>
    <w:rsid w:val="003C3FD2"/>
    <w:rsid w:val="003C4034"/>
    <w:rsid w:val="003C41D0"/>
    <w:rsid w:val="003C4232"/>
    <w:rsid w:val="003C42CD"/>
    <w:rsid w:val="003C4389"/>
    <w:rsid w:val="003C449F"/>
    <w:rsid w:val="003C4751"/>
    <w:rsid w:val="003C4B02"/>
    <w:rsid w:val="003C4D94"/>
    <w:rsid w:val="003C4DC6"/>
    <w:rsid w:val="003C4E54"/>
    <w:rsid w:val="003C4E64"/>
    <w:rsid w:val="003C4F92"/>
    <w:rsid w:val="003C5103"/>
    <w:rsid w:val="003C5447"/>
    <w:rsid w:val="003C571C"/>
    <w:rsid w:val="003C5D5D"/>
    <w:rsid w:val="003C5D78"/>
    <w:rsid w:val="003C6117"/>
    <w:rsid w:val="003C6846"/>
    <w:rsid w:val="003C6982"/>
    <w:rsid w:val="003C6988"/>
    <w:rsid w:val="003C6A26"/>
    <w:rsid w:val="003C6B45"/>
    <w:rsid w:val="003C6CE0"/>
    <w:rsid w:val="003C6D86"/>
    <w:rsid w:val="003C6E06"/>
    <w:rsid w:val="003C6F6A"/>
    <w:rsid w:val="003C74D0"/>
    <w:rsid w:val="003C7550"/>
    <w:rsid w:val="003C7F4A"/>
    <w:rsid w:val="003D00AB"/>
    <w:rsid w:val="003D04A5"/>
    <w:rsid w:val="003D05B0"/>
    <w:rsid w:val="003D05BC"/>
    <w:rsid w:val="003D0636"/>
    <w:rsid w:val="003D0720"/>
    <w:rsid w:val="003D0798"/>
    <w:rsid w:val="003D0A7E"/>
    <w:rsid w:val="003D0AB9"/>
    <w:rsid w:val="003D0CAB"/>
    <w:rsid w:val="003D0D0A"/>
    <w:rsid w:val="003D0EF7"/>
    <w:rsid w:val="003D17CF"/>
    <w:rsid w:val="003D1AA7"/>
    <w:rsid w:val="003D1FAB"/>
    <w:rsid w:val="003D1FDC"/>
    <w:rsid w:val="003D2407"/>
    <w:rsid w:val="003D2507"/>
    <w:rsid w:val="003D273F"/>
    <w:rsid w:val="003D2781"/>
    <w:rsid w:val="003D2847"/>
    <w:rsid w:val="003D28A9"/>
    <w:rsid w:val="003D290C"/>
    <w:rsid w:val="003D2A4F"/>
    <w:rsid w:val="003D2A75"/>
    <w:rsid w:val="003D2E44"/>
    <w:rsid w:val="003D2E58"/>
    <w:rsid w:val="003D3177"/>
    <w:rsid w:val="003D380F"/>
    <w:rsid w:val="003D3C39"/>
    <w:rsid w:val="003D3D70"/>
    <w:rsid w:val="003D3E3C"/>
    <w:rsid w:val="003D3F18"/>
    <w:rsid w:val="003D418B"/>
    <w:rsid w:val="003D4219"/>
    <w:rsid w:val="003D4448"/>
    <w:rsid w:val="003D48C3"/>
    <w:rsid w:val="003D48EC"/>
    <w:rsid w:val="003D49F9"/>
    <w:rsid w:val="003D4B4E"/>
    <w:rsid w:val="003D4F54"/>
    <w:rsid w:val="003D4FFA"/>
    <w:rsid w:val="003D55B1"/>
    <w:rsid w:val="003D562C"/>
    <w:rsid w:val="003D57BA"/>
    <w:rsid w:val="003D586C"/>
    <w:rsid w:val="003D5CE1"/>
    <w:rsid w:val="003D5D54"/>
    <w:rsid w:val="003D5D7A"/>
    <w:rsid w:val="003D5E56"/>
    <w:rsid w:val="003D5E5E"/>
    <w:rsid w:val="003D6384"/>
    <w:rsid w:val="003D6A73"/>
    <w:rsid w:val="003D6F5C"/>
    <w:rsid w:val="003D7097"/>
    <w:rsid w:val="003D70A9"/>
    <w:rsid w:val="003D736B"/>
    <w:rsid w:val="003D743C"/>
    <w:rsid w:val="003D7472"/>
    <w:rsid w:val="003D747A"/>
    <w:rsid w:val="003D770C"/>
    <w:rsid w:val="003D78A8"/>
    <w:rsid w:val="003D78B0"/>
    <w:rsid w:val="003D7A5A"/>
    <w:rsid w:val="003D7EE2"/>
    <w:rsid w:val="003E0550"/>
    <w:rsid w:val="003E0713"/>
    <w:rsid w:val="003E0836"/>
    <w:rsid w:val="003E091D"/>
    <w:rsid w:val="003E09BB"/>
    <w:rsid w:val="003E09C3"/>
    <w:rsid w:val="003E09E3"/>
    <w:rsid w:val="003E0E17"/>
    <w:rsid w:val="003E0ECD"/>
    <w:rsid w:val="003E100F"/>
    <w:rsid w:val="003E11ED"/>
    <w:rsid w:val="003E1237"/>
    <w:rsid w:val="003E1260"/>
    <w:rsid w:val="003E13E5"/>
    <w:rsid w:val="003E149F"/>
    <w:rsid w:val="003E1D2A"/>
    <w:rsid w:val="003E1D84"/>
    <w:rsid w:val="003E1EBE"/>
    <w:rsid w:val="003E1F08"/>
    <w:rsid w:val="003E212E"/>
    <w:rsid w:val="003E218D"/>
    <w:rsid w:val="003E239C"/>
    <w:rsid w:val="003E25E4"/>
    <w:rsid w:val="003E26D0"/>
    <w:rsid w:val="003E275B"/>
    <w:rsid w:val="003E2A48"/>
    <w:rsid w:val="003E2C35"/>
    <w:rsid w:val="003E2F57"/>
    <w:rsid w:val="003E3039"/>
    <w:rsid w:val="003E3281"/>
    <w:rsid w:val="003E3358"/>
    <w:rsid w:val="003E380B"/>
    <w:rsid w:val="003E3AC9"/>
    <w:rsid w:val="003E3C1C"/>
    <w:rsid w:val="003E3C71"/>
    <w:rsid w:val="003E3C7E"/>
    <w:rsid w:val="003E3E45"/>
    <w:rsid w:val="003E4190"/>
    <w:rsid w:val="003E43F0"/>
    <w:rsid w:val="003E488B"/>
    <w:rsid w:val="003E49A5"/>
    <w:rsid w:val="003E49E8"/>
    <w:rsid w:val="003E4BF5"/>
    <w:rsid w:val="003E5126"/>
    <w:rsid w:val="003E527E"/>
    <w:rsid w:val="003E5BD3"/>
    <w:rsid w:val="003E5F1E"/>
    <w:rsid w:val="003E6026"/>
    <w:rsid w:val="003E6729"/>
    <w:rsid w:val="003E6776"/>
    <w:rsid w:val="003E680D"/>
    <w:rsid w:val="003E684C"/>
    <w:rsid w:val="003E6C95"/>
    <w:rsid w:val="003E6F80"/>
    <w:rsid w:val="003E7056"/>
    <w:rsid w:val="003E7066"/>
    <w:rsid w:val="003E7480"/>
    <w:rsid w:val="003E7540"/>
    <w:rsid w:val="003E768D"/>
    <w:rsid w:val="003E787F"/>
    <w:rsid w:val="003E79ED"/>
    <w:rsid w:val="003E7A3A"/>
    <w:rsid w:val="003E7B38"/>
    <w:rsid w:val="003E7F9A"/>
    <w:rsid w:val="003E7FF9"/>
    <w:rsid w:val="003E7FFE"/>
    <w:rsid w:val="003F0035"/>
    <w:rsid w:val="003F00C6"/>
    <w:rsid w:val="003F0240"/>
    <w:rsid w:val="003F03A2"/>
    <w:rsid w:val="003F05F2"/>
    <w:rsid w:val="003F0734"/>
    <w:rsid w:val="003F0930"/>
    <w:rsid w:val="003F0AB1"/>
    <w:rsid w:val="003F0AF1"/>
    <w:rsid w:val="003F0B5D"/>
    <w:rsid w:val="003F0B90"/>
    <w:rsid w:val="003F0BF5"/>
    <w:rsid w:val="003F0DBE"/>
    <w:rsid w:val="003F10EF"/>
    <w:rsid w:val="003F1229"/>
    <w:rsid w:val="003F160E"/>
    <w:rsid w:val="003F1775"/>
    <w:rsid w:val="003F1C30"/>
    <w:rsid w:val="003F1E55"/>
    <w:rsid w:val="003F1F5A"/>
    <w:rsid w:val="003F2612"/>
    <w:rsid w:val="003F2639"/>
    <w:rsid w:val="003F27FC"/>
    <w:rsid w:val="003F288A"/>
    <w:rsid w:val="003F2A12"/>
    <w:rsid w:val="003F2F47"/>
    <w:rsid w:val="003F30A8"/>
    <w:rsid w:val="003F353C"/>
    <w:rsid w:val="003F4111"/>
    <w:rsid w:val="003F4309"/>
    <w:rsid w:val="003F4580"/>
    <w:rsid w:val="003F45CB"/>
    <w:rsid w:val="003F48A3"/>
    <w:rsid w:val="003F4A9E"/>
    <w:rsid w:val="003F4D1D"/>
    <w:rsid w:val="003F4E69"/>
    <w:rsid w:val="003F5020"/>
    <w:rsid w:val="003F50CA"/>
    <w:rsid w:val="003F5107"/>
    <w:rsid w:val="003F5315"/>
    <w:rsid w:val="003F5442"/>
    <w:rsid w:val="003F55B5"/>
    <w:rsid w:val="003F5664"/>
    <w:rsid w:val="003F5940"/>
    <w:rsid w:val="003F59B7"/>
    <w:rsid w:val="003F5AE4"/>
    <w:rsid w:val="003F5C0C"/>
    <w:rsid w:val="003F5D68"/>
    <w:rsid w:val="003F5DD4"/>
    <w:rsid w:val="003F5E10"/>
    <w:rsid w:val="003F5F19"/>
    <w:rsid w:val="003F605E"/>
    <w:rsid w:val="003F60F0"/>
    <w:rsid w:val="003F6157"/>
    <w:rsid w:val="003F647A"/>
    <w:rsid w:val="003F68BE"/>
    <w:rsid w:val="003F6963"/>
    <w:rsid w:val="003F6AA8"/>
    <w:rsid w:val="003F6B09"/>
    <w:rsid w:val="003F6CA4"/>
    <w:rsid w:val="003F724B"/>
    <w:rsid w:val="003F7291"/>
    <w:rsid w:val="003F731C"/>
    <w:rsid w:val="0040040F"/>
    <w:rsid w:val="0040082A"/>
    <w:rsid w:val="00400C32"/>
    <w:rsid w:val="00400DCD"/>
    <w:rsid w:val="00401069"/>
    <w:rsid w:val="00401261"/>
    <w:rsid w:val="00401547"/>
    <w:rsid w:val="00401567"/>
    <w:rsid w:val="004016B7"/>
    <w:rsid w:val="004019D8"/>
    <w:rsid w:val="00401A13"/>
    <w:rsid w:val="004021D9"/>
    <w:rsid w:val="00402489"/>
    <w:rsid w:val="00402687"/>
    <w:rsid w:val="004029A0"/>
    <w:rsid w:val="00402DCF"/>
    <w:rsid w:val="00402EAC"/>
    <w:rsid w:val="00403361"/>
    <w:rsid w:val="004034CC"/>
    <w:rsid w:val="0040363D"/>
    <w:rsid w:val="00403673"/>
    <w:rsid w:val="00403730"/>
    <w:rsid w:val="0040387B"/>
    <w:rsid w:val="00403985"/>
    <w:rsid w:val="00403A69"/>
    <w:rsid w:val="00403B77"/>
    <w:rsid w:val="00403BA5"/>
    <w:rsid w:val="00403C7D"/>
    <w:rsid w:val="00403D41"/>
    <w:rsid w:val="00403FEB"/>
    <w:rsid w:val="00404324"/>
    <w:rsid w:val="00404327"/>
    <w:rsid w:val="00404525"/>
    <w:rsid w:val="00404669"/>
    <w:rsid w:val="004047E1"/>
    <w:rsid w:val="00404BAC"/>
    <w:rsid w:val="00404DD2"/>
    <w:rsid w:val="00404F68"/>
    <w:rsid w:val="0040531F"/>
    <w:rsid w:val="004053D4"/>
    <w:rsid w:val="0040542B"/>
    <w:rsid w:val="004054D8"/>
    <w:rsid w:val="0040563C"/>
    <w:rsid w:val="00405672"/>
    <w:rsid w:val="00405B5F"/>
    <w:rsid w:val="00405B9E"/>
    <w:rsid w:val="00405D24"/>
    <w:rsid w:val="00405D60"/>
    <w:rsid w:val="00405FC2"/>
    <w:rsid w:val="0040600E"/>
    <w:rsid w:val="00406663"/>
    <w:rsid w:val="0040682B"/>
    <w:rsid w:val="00406A5C"/>
    <w:rsid w:val="00406BAE"/>
    <w:rsid w:val="00406ED0"/>
    <w:rsid w:val="00406EDB"/>
    <w:rsid w:val="004072DC"/>
    <w:rsid w:val="00407703"/>
    <w:rsid w:val="0040791A"/>
    <w:rsid w:val="00407C95"/>
    <w:rsid w:val="00407D97"/>
    <w:rsid w:val="00407F06"/>
    <w:rsid w:val="0041001E"/>
    <w:rsid w:val="0041031C"/>
    <w:rsid w:val="00410497"/>
    <w:rsid w:val="004104A3"/>
    <w:rsid w:val="00410713"/>
    <w:rsid w:val="00410768"/>
    <w:rsid w:val="004107A2"/>
    <w:rsid w:val="00410CDA"/>
    <w:rsid w:val="00410E9B"/>
    <w:rsid w:val="004113E0"/>
    <w:rsid w:val="004117A4"/>
    <w:rsid w:val="004117FD"/>
    <w:rsid w:val="0041186F"/>
    <w:rsid w:val="0041190F"/>
    <w:rsid w:val="00411969"/>
    <w:rsid w:val="00411B65"/>
    <w:rsid w:val="00411C31"/>
    <w:rsid w:val="00411E99"/>
    <w:rsid w:val="00412406"/>
    <w:rsid w:val="00412533"/>
    <w:rsid w:val="00412894"/>
    <w:rsid w:val="00412A41"/>
    <w:rsid w:val="00412C4B"/>
    <w:rsid w:val="00412CAA"/>
    <w:rsid w:val="00412FA3"/>
    <w:rsid w:val="0041320E"/>
    <w:rsid w:val="00413278"/>
    <w:rsid w:val="004134A3"/>
    <w:rsid w:val="004134C3"/>
    <w:rsid w:val="00413781"/>
    <w:rsid w:val="00413A96"/>
    <w:rsid w:val="00413B93"/>
    <w:rsid w:val="00413C6E"/>
    <w:rsid w:val="00413EA3"/>
    <w:rsid w:val="00414688"/>
    <w:rsid w:val="00414870"/>
    <w:rsid w:val="004148EA"/>
    <w:rsid w:val="00414AA5"/>
    <w:rsid w:val="00414D53"/>
    <w:rsid w:val="00414E7A"/>
    <w:rsid w:val="00414EF4"/>
    <w:rsid w:val="00414F75"/>
    <w:rsid w:val="00415320"/>
    <w:rsid w:val="00415676"/>
    <w:rsid w:val="004157DD"/>
    <w:rsid w:val="004158E7"/>
    <w:rsid w:val="00415C1F"/>
    <w:rsid w:val="00415FA1"/>
    <w:rsid w:val="0041606E"/>
    <w:rsid w:val="0041612C"/>
    <w:rsid w:val="0041639F"/>
    <w:rsid w:val="004163D8"/>
    <w:rsid w:val="00416586"/>
    <w:rsid w:val="00416A74"/>
    <w:rsid w:val="00416DFB"/>
    <w:rsid w:val="00416E01"/>
    <w:rsid w:val="00416F41"/>
    <w:rsid w:val="0041709C"/>
    <w:rsid w:val="004170E5"/>
    <w:rsid w:val="004172EF"/>
    <w:rsid w:val="0041770A"/>
    <w:rsid w:val="00417857"/>
    <w:rsid w:val="00417950"/>
    <w:rsid w:val="00417CA1"/>
    <w:rsid w:val="00417F0C"/>
    <w:rsid w:val="00417F5F"/>
    <w:rsid w:val="004200B6"/>
    <w:rsid w:val="00420106"/>
    <w:rsid w:val="00420234"/>
    <w:rsid w:val="004203B8"/>
    <w:rsid w:val="0042055F"/>
    <w:rsid w:val="0042081E"/>
    <w:rsid w:val="0042088D"/>
    <w:rsid w:val="0042098E"/>
    <w:rsid w:val="00420E0F"/>
    <w:rsid w:val="004219D4"/>
    <w:rsid w:val="00421D36"/>
    <w:rsid w:val="004221F2"/>
    <w:rsid w:val="00422383"/>
    <w:rsid w:val="004223AD"/>
    <w:rsid w:val="0042259F"/>
    <w:rsid w:val="004226BD"/>
    <w:rsid w:val="00422725"/>
    <w:rsid w:val="004227A8"/>
    <w:rsid w:val="00422856"/>
    <w:rsid w:val="00422B02"/>
    <w:rsid w:val="00422D23"/>
    <w:rsid w:val="00422DDD"/>
    <w:rsid w:val="00422F2A"/>
    <w:rsid w:val="00422FD0"/>
    <w:rsid w:val="0042309B"/>
    <w:rsid w:val="004231C5"/>
    <w:rsid w:val="004235E8"/>
    <w:rsid w:val="0042362B"/>
    <w:rsid w:val="00423789"/>
    <w:rsid w:val="00423926"/>
    <w:rsid w:val="00423B39"/>
    <w:rsid w:val="00423C4C"/>
    <w:rsid w:val="00423D4F"/>
    <w:rsid w:val="00423E3C"/>
    <w:rsid w:val="00423F9B"/>
    <w:rsid w:val="00424068"/>
    <w:rsid w:val="00424232"/>
    <w:rsid w:val="004246CC"/>
    <w:rsid w:val="004249E2"/>
    <w:rsid w:val="00424E54"/>
    <w:rsid w:val="004253CE"/>
    <w:rsid w:val="0042561C"/>
    <w:rsid w:val="0042569B"/>
    <w:rsid w:val="0042570F"/>
    <w:rsid w:val="004257E2"/>
    <w:rsid w:val="004258AF"/>
    <w:rsid w:val="00425CB6"/>
    <w:rsid w:val="00425DCC"/>
    <w:rsid w:val="004261F5"/>
    <w:rsid w:val="0042627E"/>
    <w:rsid w:val="00426446"/>
    <w:rsid w:val="00426556"/>
    <w:rsid w:val="00426874"/>
    <w:rsid w:val="00426C0D"/>
    <w:rsid w:val="00426E58"/>
    <w:rsid w:val="00426EDD"/>
    <w:rsid w:val="00427135"/>
    <w:rsid w:val="0042725E"/>
    <w:rsid w:val="004272A1"/>
    <w:rsid w:val="0042739A"/>
    <w:rsid w:val="004273D0"/>
    <w:rsid w:val="004273E3"/>
    <w:rsid w:val="004273FA"/>
    <w:rsid w:val="00427434"/>
    <w:rsid w:val="004275AC"/>
    <w:rsid w:val="004275CA"/>
    <w:rsid w:val="004275F2"/>
    <w:rsid w:val="00427BF6"/>
    <w:rsid w:val="00427C96"/>
    <w:rsid w:val="00427D13"/>
    <w:rsid w:val="00427EB4"/>
    <w:rsid w:val="004302BD"/>
    <w:rsid w:val="0043037C"/>
    <w:rsid w:val="00430633"/>
    <w:rsid w:val="004306BB"/>
    <w:rsid w:val="00430785"/>
    <w:rsid w:val="004308FF"/>
    <w:rsid w:val="00430A2A"/>
    <w:rsid w:val="00430BD7"/>
    <w:rsid w:val="00430C38"/>
    <w:rsid w:val="00430F1B"/>
    <w:rsid w:val="00430F52"/>
    <w:rsid w:val="00431264"/>
    <w:rsid w:val="004312E5"/>
    <w:rsid w:val="004314B4"/>
    <w:rsid w:val="004318F8"/>
    <w:rsid w:val="0043198B"/>
    <w:rsid w:val="004319A3"/>
    <w:rsid w:val="00432251"/>
    <w:rsid w:val="0043251D"/>
    <w:rsid w:val="004325E4"/>
    <w:rsid w:val="00432629"/>
    <w:rsid w:val="00432781"/>
    <w:rsid w:val="00432962"/>
    <w:rsid w:val="00432989"/>
    <w:rsid w:val="00432F05"/>
    <w:rsid w:val="00433762"/>
    <w:rsid w:val="00433BC8"/>
    <w:rsid w:val="004340BA"/>
    <w:rsid w:val="00434195"/>
    <w:rsid w:val="00434465"/>
    <w:rsid w:val="0043484C"/>
    <w:rsid w:val="00434A3C"/>
    <w:rsid w:val="00434B0E"/>
    <w:rsid w:val="00434B3B"/>
    <w:rsid w:val="00434E0D"/>
    <w:rsid w:val="00434EDF"/>
    <w:rsid w:val="00434F68"/>
    <w:rsid w:val="004355B3"/>
    <w:rsid w:val="004355FD"/>
    <w:rsid w:val="00435780"/>
    <w:rsid w:val="004359CC"/>
    <w:rsid w:val="004359CD"/>
    <w:rsid w:val="00435ADC"/>
    <w:rsid w:val="00435D94"/>
    <w:rsid w:val="004360DD"/>
    <w:rsid w:val="004361C3"/>
    <w:rsid w:val="00436261"/>
    <w:rsid w:val="00436506"/>
    <w:rsid w:val="0043667A"/>
    <w:rsid w:val="00436798"/>
    <w:rsid w:val="00436870"/>
    <w:rsid w:val="00436DED"/>
    <w:rsid w:val="00436DFF"/>
    <w:rsid w:val="00436E16"/>
    <w:rsid w:val="00436F94"/>
    <w:rsid w:val="004372C9"/>
    <w:rsid w:val="00437354"/>
    <w:rsid w:val="0043739C"/>
    <w:rsid w:val="004377D6"/>
    <w:rsid w:val="004378B7"/>
    <w:rsid w:val="0043793E"/>
    <w:rsid w:val="004379C1"/>
    <w:rsid w:val="00437AB6"/>
    <w:rsid w:val="00437BA8"/>
    <w:rsid w:val="00437D63"/>
    <w:rsid w:val="00440645"/>
    <w:rsid w:val="004409A6"/>
    <w:rsid w:val="00440A2E"/>
    <w:rsid w:val="00440CC7"/>
    <w:rsid w:val="00441033"/>
    <w:rsid w:val="00441084"/>
    <w:rsid w:val="0044157C"/>
    <w:rsid w:val="00441584"/>
    <w:rsid w:val="004419FC"/>
    <w:rsid w:val="00441B82"/>
    <w:rsid w:val="00441BEF"/>
    <w:rsid w:val="00441F77"/>
    <w:rsid w:val="0044234B"/>
    <w:rsid w:val="0044247D"/>
    <w:rsid w:val="00442493"/>
    <w:rsid w:val="0044256B"/>
    <w:rsid w:val="00442705"/>
    <w:rsid w:val="00442727"/>
    <w:rsid w:val="00442BA7"/>
    <w:rsid w:val="00442C32"/>
    <w:rsid w:val="00442D8F"/>
    <w:rsid w:val="0044308E"/>
    <w:rsid w:val="0044338A"/>
    <w:rsid w:val="004435A3"/>
    <w:rsid w:val="004437B2"/>
    <w:rsid w:val="00443A61"/>
    <w:rsid w:val="00443A84"/>
    <w:rsid w:val="00443B0B"/>
    <w:rsid w:val="00443BC9"/>
    <w:rsid w:val="00443C79"/>
    <w:rsid w:val="00444068"/>
    <w:rsid w:val="004441B7"/>
    <w:rsid w:val="00444815"/>
    <w:rsid w:val="00444900"/>
    <w:rsid w:val="00444BC5"/>
    <w:rsid w:val="00444C0F"/>
    <w:rsid w:val="00444CC3"/>
    <w:rsid w:val="00444D0D"/>
    <w:rsid w:val="00444F0F"/>
    <w:rsid w:val="00445660"/>
    <w:rsid w:val="00445873"/>
    <w:rsid w:val="004459DF"/>
    <w:rsid w:val="00445A3C"/>
    <w:rsid w:val="00445ABB"/>
    <w:rsid w:val="00445E51"/>
    <w:rsid w:val="00446008"/>
    <w:rsid w:val="0044622E"/>
    <w:rsid w:val="00446529"/>
    <w:rsid w:val="004465E3"/>
    <w:rsid w:val="00446901"/>
    <w:rsid w:val="0044690A"/>
    <w:rsid w:val="00446EDA"/>
    <w:rsid w:val="0044706E"/>
    <w:rsid w:val="004472D6"/>
    <w:rsid w:val="004473BA"/>
    <w:rsid w:val="0044743D"/>
    <w:rsid w:val="0044777C"/>
    <w:rsid w:val="004479A2"/>
    <w:rsid w:val="004479F3"/>
    <w:rsid w:val="00447A20"/>
    <w:rsid w:val="00447AEE"/>
    <w:rsid w:val="00447B9B"/>
    <w:rsid w:val="00447C8C"/>
    <w:rsid w:val="0045002C"/>
    <w:rsid w:val="00450031"/>
    <w:rsid w:val="00450300"/>
    <w:rsid w:val="00450347"/>
    <w:rsid w:val="00450662"/>
    <w:rsid w:val="004506E5"/>
    <w:rsid w:val="00450750"/>
    <w:rsid w:val="00450C2F"/>
    <w:rsid w:val="00450D8F"/>
    <w:rsid w:val="00451978"/>
    <w:rsid w:val="00451C3F"/>
    <w:rsid w:val="00451CD7"/>
    <w:rsid w:val="00452170"/>
    <w:rsid w:val="0045225E"/>
    <w:rsid w:val="00452349"/>
    <w:rsid w:val="004526E3"/>
    <w:rsid w:val="00452B0B"/>
    <w:rsid w:val="00452DAC"/>
    <w:rsid w:val="004535CB"/>
    <w:rsid w:val="0045384A"/>
    <w:rsid w:val="00453C53"/>
    <w:rsid w:val="00453D2A"/>
    <w:rsid w:val="00453F9C"/>
    <w:rsid w:val="0045400C"/>
    <w:rsid w:val="00454244"/>
    <w:rsid w:val="00454698"/>
    <w:rsid w:val="004546CA"/>
    <w:rsid w:val="004546EB"/>
    <w:rsid w:val="004546F8"/>
    <w:rsid w:val="00454B2B"/>
    <w:rsid w:val="00454C10"/>
    <w:rsid w:val="00454D36"/>
    <w:rsid w:val="00454D97"/>
    <w:rsid w:val="00454E5B"/>
    <w:rsid w:val="00454F29"/>
    <w:rsid w:val="00455098"/>
    <w:rsid w:val="00455130"/>
    <w:rsid w:val="004551CE"/>
    <w:rsid w:val="004553A9"/>
    <w:rsid w:val="00455487"/>
    <w:rsid w:val="004557EF"/>
    <w:rsid w:val="00455A64"/>
    <w:rsid w:val="00455B27"/>
    <w:rsid w:val="00455D7D"/>
    <w:rsid w:val="0045617D"/>
    <w:rsid w:val="004561A9"/>
    <w:rsid w:val="004569CD"/>
    <w:rsid w:val="00456CA0"/>
    <w:rsid w:val="00456DB1"/>
    <w:rsid w:val="00456F1F"/>
    <w:rsid w:val="00457078"/>
    <w:rsid w:val="004572A4"/>
    <w:rsid w:val="00457707"/>
    <w:rsid w:val="0045797D"/>
    <w:rsid w:val="00457C8D"/>
    <w:rsid w:val="00457DC4"/>
    <w:rsid w:val="00457F2A"/>
    <w:rsid w:val="00460036"/>
    <w:rsid w:val="00460041"/>
    <w:rsid w:val="00460208"/>
    <w:rsid w:val="0046053E"/>
    <w:rsid w:val="0046074D"/>
    <w:rsid w:val="00460D34"/>
    <w:rsid w:val="00460DA9"/>
    <w:rsid w:val="00461200"/>
    <w:rsid w:val="004613DA"/>
    <w:rsid w:val="0046163E"/>
    <w:rsid w:val="00461651"/>
    <w:rsid w:val="00461911"/>
    <w:rsid w:val="00461A35"/>
    <w:rsid w:val="00461A5B"/>
    <w:rsid w:val="00461BD6"/>
    <w:rsid w:val="00461CB2"/>
    <w:rsid w:val="00461CF9"/>
    <w:rsid w:val="0046229B"/>
    <w:rsid w:val="004622E8"/>
    <w:rsid w:val="00462446"/>
    <w:rsid w:val="00462541"/>
    <w:rsid w:val="00462ABE"/>
    <w:rsid w:val="00462BE9"/>
    <w:rsid w:val="00462E69"/>
    <w:rsid w:val="00463116"/>
    <w:rsid w:val="004634C4"/>
    <w:rsid w:val="004636C3"/>
    <w:rsid w:val="00463739"/>
    <w:rsid w:val="0046378E"/>
    <w:rsid w:val="0046392E"/>
    <w:rsid w:val="004639FB"/>
    <w:rsid w:val="00463A48"/>
    <w:rsid w:val="00463E31"/>
    <w:rsid w:val="00463E8A"/>
    <w:rsid w:val="0046401F"/>
    <w:rsid w:val="004644A7"/>
    <w:rsid w:val="004644B9"/>
    <w:rsid w:val="0046453B"/>
    <w:rsid w:val="004647CA"/>
    <w:rsid w:val="004647E1"/>
    <w:rsid w:val="00464865"/>
    <w:rsid w:val="004649D4"/>
    <w:rsid w:val="00464B97"/>
    <w:rsid w:val="00464C52"/>
    <w:rsid w:val="00465218"/>
    <w:rsid w:val="00465246"/>
    <w:rsid w:val="004653E7"/>
    <w:rsid w:val="004654C4"/>
    <w:rsid w:val="004654DE"/>
    <w:rsid w:val="004654F2"/>
    <w:rsid w:val="004655AE"/>
    <w:rsid w:val="004656F0"/>
    <w:rsid w:val="00465835"/>
    <w:rsid w:val="00465860"/>
    <w:rsid w:val="00465912"/>
    <w:rsid w:val="004659B5"/>
    <w:rsid w:val="00465A2C"/>
    <w:rsid w:val="00465A42"/>
    <w:rsid w:val="00465F81"/>
    <w:rsid w:val="004660BA"/>
    <w:rsid w:val="00466734"/>
    <w:rsid w:val="00466739"/>
    <w:rsid w:val="004667D4"/>
    <w:rsid w:val="004668F5"/>
    <w:rsid w:val="00466AA0"/>
    <w:rsid w:val="00466F27"/>
    <w:rsid w:val="0046736D"/>
    <w:rsid w:val="004674AF"/>
    <w:rsid w:val="004677A5"/>
    <w:rsid w:val="004677EB"/>
    <w:rsid w:val="004678EA"/>
    <w:rsid w:val="00467A73"/>
    <w:rsid w:val="00467A9C"/>
    <w:rsid w:val="00467B8D"/>
    <w:rsid w:val="00467D58"/>
    <w:rsid w:val="00470186"/>
    <w:rsid w:val="0047026E"/>
    <w:rsid w:val="0047061F"/>
    <w:rsid w:val="004707BC"/>
    <w:rsid w:val="004709D9"/>
    <w:rsid w:val="00470C42"/>
    <w:rsid w:val="004713D6"/>
    <w:rsid w:val="00471461"/>
    <w:rsid w:val="0047196A"/>
    <w:rsid w:val="00471A7D"/>
    <w:rsid w:val="00471DE5"/>
    <w:rsid w:val="00471E1F"/>
    <w:rsid w:val="00471EB7"/>
    <w:rsid w:val="00471FF4"/>
    <w:rsid w:val="00472312"/>
    <w:rsid w:val="00472440"/>
    <w:rsid w:val="00472453"/>
    <w:rsid w:val="00472571"/>
    <w:rsid w:val="00472987"/>
    <w:rsid w:val="004729D8"/>
    <w:rsid w:val="00472AB8"/>
    <w:rsid w:val="00472ACB"/>
    <w:rsid w:val="00472C25"/>
    <w:rsid w:val="00472D71"/>
    <w:rsid w:val="00472E22"/>
    <w:rsid w:val="00472F03"/>
    <w:rsid w:val="004735AA"/>
    <w:rsid w:val="00473A07"/>
    <w:rsid w:val="00473A64"/>
    <w:rsid w:val="00473AA1"/>
    <w:rsid w:val="00473AA9"/>
    <w:rsid w:val="00473B89"/>
    <w:rsid w:val="00473C43"/>
    <w:rsid w:val="00473EA8"/>
    <w:rsid w:val="004740E6"/>
    <w:rsid w:val="0047435E"/>
    <w:rsid w:val="00474375"/>
    <w:rsid w:val="004743BC"/>
    <w:rsid w:val="0047447A"/>
    <w:rsid w:val="004744B0"/>
    <w:rsid w:val="00474690"/>
    <w:rsid w:val="00474799"/>
    <w:rsid w:val="00474B8A"/>
    <w:rsid w:val="00474C76"/>
    <w:rsid w:val="00474E85"/>
    <w:rsid w:val="00474EBB"/>
    <w:rsid w:val="00474FFF"/>
    <w:rsid w:val="00475627"/>
    <w:rsid w:val="00475BA0"/>
    <w:rsid w:val="00475C45"/>
    <w:rsid w:val="00475D38"/>
    <w:rsid w:val="00476125"/>
    <w:rsid w:val="0047616A"/>
    <w:rsid w:val="00476751"/>
    <w:rsid w:val="0047690B"/>
    <w:rsid w:val="0047698F"/>
    <w:rsid w:val="004769C1"/>
    <w:rsid w:val="00476DF3"/>
    <w:rsid w:val="00476DFB"/>
    <w:rsid w:val="00476FB1"/>
    <w:rsid w:val="004770E9"/>
    <w:rsid w:val="004771C7"/>
    <w:rsid w:val="00477290"/>
    <w:rsid w:val="004774AE"/>
    <w:rsid w:val="0047787C"/>
    <w:rsid w:val="00477943"/>
    <w:rsid w:val="0047798B"/>
    <w:rsid w:val="00477B12"/>
    <w:rsid w:val="00477CC8"/>
    <w:rsid w:val="00477F53"/>
    <w:rsid w:val="00477FF8"/>
    <w:rsid w:val="004804E5"/>
    <w:rsid w:val="004804E9"/>
    <w:rsid w:val="0048051C"/>
    <w:rsid w:val="00480587"/>
    <w:rsid w:val="004806C7"/>
    <w:rsid w:val="00480715"/>
    <w:rsid w:val="00480C4D"/>
    <w:rsid w:val="00481078"/>
    <w:rsid w:val="004810C0"/>
    <w:rsid w:val="004814BA"/>
    <w:rsid w:val="004815AD"/>
    <w:rsid w:val="004817C1"/>
    <w:rsid w:val="00481866"/>
    <w:rsid w:val="00481BB2"/>
    <w:rsid w:val="004820EA"/>
    <w:rsid w:val="004824C7"/>
    <w:rsid w:val="004824E6"/>
    <w:rsid w:val="004825D7"/>
    <w:rsid w:val="00482749"/>
    <w:rsid w:val="00482776"/>
    <w:rsid w:val="00482C58"/>
    <w:rsid w:val="00482D7D"/>
    <w:rsid w:val="00482FF3"/>
    <w:rsid w:val="0048307B"/>
    <w:rsid w:val="00483081"/>
    <w:rsid w:val="004832C0"/>
    <w:rsid w:val="00483427"/>
    <w:rsid w:val="0048357C"/>
    <w:rsid w:val="004835E9"/>
    <w:rsid w:val="00483727"/>
    <w:rsid w:val="00483747"/>
    <w:rsid w:val="004837D3"/>
    <w:rsid w:val="00483881"/>
    <w:rsid w:val="00483CBC"/>
    <w:rsid w:val="00483DE4"/>
    <w:rsid w:val="00483FBF"/>
    <w:rsid w:val="00484339"/>
    <w:rsid w:val="0048443C"/>
    <w:rsid w:val="00484557"/>
    <w:rsid w:val="00484A5F"/>
    <w:rsid w:val="00484AE5"/>
    <w:rsid w:val="00484B61"/>
    <w:rsid w:val="00484DD3"/>
    <w:rsid w:val="00484E2C"/>
    <w:rsid w:val="00484ED7"/>
    <w:rsid w:val="00484FD0"/>
    <w:rsid w:val="004850C7"/>
    <w:rsid w:val="00485454"/>
    <w:rsid w:val="004856A7"/>
    <w:rsid w:val="00485B55"/>
    <w:rsid w:val="004862C4"/>
    <w:rsid w:val="00486506"/>
    <w:rsid w:val="00486F38"/>
    <w:rsid w:val="004874D9"/>
    <w:rsid w:val="0048771D"/>
    <w:rsid w:val="00487731"/>
    <w:rsid w:val="0048795C"/>
    <w:rsid w:val="00487A85"/>
    <w:rsid w:val="00487AF2"/>
    <w:rsid w:val="00487DA3"/>
    <w:rsid w:val="00487EF4"/>
    <w:rsid w:val="00490006"/>
    <w:rsid w:val="004901E5"/>
    <w:rsid w:val="0049041C"/>
    <w:rsid w:val="00490580"/>
    <w:rsid w:val="0049064F"/>
    <w:rsid w:val="004907A5"/>
    <w:rsid w:val="004908DA"/>
    <w:rsid w:val="004909FE"/>
    <w:rsid w:val="00490A66"/>
    <w:rsid w:val="00490B51"/>
    <w:rsid w:val="00490C3E"/>
    <w:rsid w:val="00491081"/>
    <w:rsid w:val="004910C2"/>
    <w:rsid w:val="00491303"/>
    <w:rsid w:val="004915A8"/>
    <w:rsid w:val="004915E0"/>
    <w:rsid w:val="0049174F"/>
    <w:rsid w:val="00491963"/>
    <w:rsid w:val="0049285A"/>
    <w:rsid w:val="0049288A"/>
    <w:rsid w:val="00492B14"/>
    <w:rsid w:val="00492C7E"/>
    <w:rsid w:val="00492E98"/>
    <w:rsid w:val="00492EC3"/>
    <w:rsid w:val="00493237"/>
    <w:rsid w:val="0049329A"/>
    <w:rsid w:val="0049349B"/>
    <w:rsid w:val="00493824"/>
    <w:rsid w:val="00493A86"/>
    <w:rsid w:val="00493B94"/>
    <w:rsid w:val="00494512"/>
    <w:rsid w:val="00494709"/>
    <w:rsid w:val="00494858"/>
    <w:rsid w:val="00494907"/>
    <w:rsid w:val="00494935"/>
    <w:rsid w:val="00495008"/>
    <w:rsid w:val="00495448"/>
    <w:rsid w:val="004954F0"/>
    <w:rsid w:val="0049554C"/>
    <w:rsid w:val="00495593"/>
    <w:rsid w:val="00495717"/>
    <w:rsid w:val="0049583B"/>
    <w:rsid w:val="004959D8"/>
    <w:rsid w:val="00495AC0"/>
    <w:rsid w:val="00495C00"/>
    <w:rsid w:val="00495C92"/>
    <w:rsid w:val="00495EC1"/>
    <w:rsid w:val="00495F66"/>
    <w:rsid w:val="0049608F"/>
    <w:rsid w:val="00496126"/>
    <w:rsid w:val="004961AA"/>
    <w:rsid w:val="004961B3"/>
    <w:rsid w:val="00496523"/>
    <w:rsid w:val="004965A3"/>
    <w:rsid w:val="00496827"/>
    <w:rsid w:val="00496A64"/>
    <w:rsid w:val="00496AE3"/>
    <w:rsid w:val="00496B40"/>
    <w:rsid w:val="00496D12"/>
    <w:rsid w:val="00496E25"/>
    <w:rsid w:val="00496FB2"/>
    <w:rsid w:val="0049789F"/>
    <w:rsid w:val="0049794F"/>
    <w:rsid w:val="00497B5A"/>
    <w:rsid w:val="00497E0D"/>
    <w:rsid w:val="00497E40"/>
    <w:rsid w:val="00497EA6"/>
    <w:rsid w:val="004A0106"/>
    <w:rsid w:val="004A016A"/>
    <w:rsid w:val="004A037D"/>
    <w:rsid w:val="004A0400"/>
    <w:rsid w:val="004A044A"/>
    <w:rsid w:val="004A04A9"/>
    <w:rsid w:val="004A0987"/>
    <w:rsid w:val="004A0A70"/>
    <w:rsid w:val="004A0C51"/>
    <w:rsid w:val="004A0CA4"/>
    <w:rsid w:val="004A0F3A"/>
    <w:rsid w:val="004A103C"/>
    <w:rsid w:val="004A1212"/>
    <w:rsid w:val="004A170E"/>
    <w:rsid w:val="004A1772"/>
    <w:rsid w:val="004A179B"/>
    <w:rsid w:val="004A1817"/>
    <w:rsid w:val="004A1F23"/>
    <w:rsid w:val="004A1F89"/>
    <w:rsid w:val="004A2098"/>
    <w:rsid w:val="004A236D"/>
    <w:rsid w:val="004A23F3"/>
    <w:rsid w:val="004A2762"/>
    <w:rsid w:val="004A29FD"/>
    <w:rsid w:val="004A2E9D"/>
    <w:rsid w:val="004A31ED"/>
    <w:rsid w:val="004A334E"/>
    <w:rsid w:val="004A3571"/>
    <w:rsid w:val="004A358C"/>
    <w:rsid w:val="004A362A"/>
    <w:rsid w:val="004A36BF"/>
    <w:rsid w:val="004A375D"/>
    <w:rsid w:val="004A3862"/>
    <w:rsid w:val="004A3920"/>
    <w:rsid w:val="004A3AC8"/>
    <w:rsid w:val="004A3AFC"/>
    <w:rsid w:val="004A3DB1"/>
    <w:rsid w:val="004A3F21"/>
    <w:rsid w:val="004A3F62"/>
    <w:rsid w:val="004A3F89"/>
    <w:rsid w:val="004A40D9"/>
    <w:rsid w:val="004A414F"/>
    <w:rsid w:val="004A41FB"/>
    <w:rsid w:val="004A4296"/>
    <w:rsid w:val="004A43DB"/>
    <w:rsid w:val="004A46D2"/>
    <w:rsid w:val="004A4973"/>
    <w:rsid w:val="004A49B7"/>
    <w:rsid w:val="004A4E2A"/>
    <w:rsid w:val="004A4F58"/>
    <w:rsid w:val="004A4FE7"/>
    <w:rsid w:val="004A5086"/>
    <w:rsid w:val="004A5343"/>
    <w:rsid w:val="004A5654"/>
    <w:rsid w:val="004A573E"/>
    <w:rsid w:val="004A594A"/>
    <w:rsid w:val="004A5A7D"/>
    <w:rsid w:val="004A5BCE"/>
    <w:rsid w:val="004A5CE4"/>
    <w:rsid w:val="004A5D80"/>
    <w:rsid w:val="004A5DD5"/>
    <w:rsid w:val="004A5E84"/>
    <w:rsid w:val="004A6042"/>
    <w:rsid w:val="004A61E0"/>
    <w:rsid w:val="004A61F8"/>
    <w:rsid w:val="004A6309"/>
    <w:rsid w:val="004A6342"/>
    <w:rsid w:val="004A63EA"/>
    <w:rsid w:val="004A656A"/>
    <w:rsid w:val="004A6603"/>
    <w:rsid w:val="004A665D"/>
    <w:rsid w:val="004A67B9"/>
    <w:rsid w:val="004A68EB"/>
    <w:rsid w:val="004A6F54"/>
    <w:rsid w:val="004A712F"/>
    <w:rsid w:val="004A71C5"/>
    <w:rsid w:val="004A7242"/>
    <w:rsid w:val="004A72B3"/>
    <w:rsid w:val="004A75BF"/>
    <w:rsid w:val="004A75CF"/>
    <w:rsid w:val="004A7700"/>
    <w:rsid w:val="004A78E1"/>
    <w:rsid w:val="004A7A0B"/>
    <w:rsid w:val="004A7AFC"/>
    <w:rsid w:val="004A7B2B"/>
    <w:rsid w:val="004A7B31"/>
    <w:rsid w:val="004A7C4A"/>
    <w:rsid w:val="004A7D26"/>
    <w:rsid w:val="004B015D"/>
    <w:rsid w:val="004B0262"/>
    <w:rsid w:val="004B035E"/>
    <w:rsid w:val="004B0764"/>
    <w:rsid w:val="004B0876"/>
    <w:rsid w:val="004B0ACD"/>
    <w:rsid w:val="004B0F40"/>
    <w:rsid w:val="004B0FCC"/>
    <w:rsid w:val="004B0FE8"/>
    <w:rsid w:val="004B168A"/>
    <w:rsid w:val="004B173A"/>
    <w:rsid w:val="004B19DD"/>
    <w:rsid w:val="004B1A67"/>
    <w:rsid w:val="004B1D4A"/>
    <w:rsid w:val="004B1F8D"/>
    <w:rsid w:val="004B219F"/>
    <w:rsid w:val="004B25BD"/>
    <w:rsid w:val="004B2706"/>
    <w:rsid w:val="004B2F38"/>
    <w:rsid w:val="004B311B"/>
    <w:rsid w:val="004B316E"/>
    <w:rsid w:val="004B3602"/>
    <w:rsid w:val="004B3765"/>
    <w:rsid w:val="004B3EED"/>
    <w:rsid w:val="004B3F09"/>
    <w:rsid w:val="004B3F7E"/>
    <w:rsid w:val="004B405C"/>
    <w:rsid w:val="004B4078"/>
    <w:rsid w:val="004B415A"/>
    <w:rsid w:val="004B4218"/>
    <w:rsid w:val="004B4494"/>
    <w:rsid w:val="004B455A"/>
    <w:rsid w:val="004B49D1"/>
    <w:rsid w:val="004B4A32"/>
    <w:rsid w:val="004B4C1C"/>
    <w:rsid w:val="004B4D78"/>
    <w:rsid w:val="004B4EA2"/>
    <w:rsid w:val="004B4EBA"/>
    <w:rsid w:val="004B4ED4"/>
    <w:rsid w:val="004B5116"/>
    <w:rsid w:val="004B5206"/>
    <w:rsid w:val="004B55C4"/>
    <w:rsid w:val="004B562B"/>
    <w:rsid w:val="004B5813"/>
    <w:rsid w:val="004B594F"/>
    <w:rsid w:val="004B5BDC"/>
    <w:rsid w:val="004B5C5C"/>
    <w:rsid w:val="004B5D50"/>
    <w:rsid w:val="004B5D59"/>
    <w:rsid w:val="004B5D5C"/>
    <w:rsid w:val="004B5DC1"/>
    <w:rsid w:val="004B5FBD"/>
    <w:rsid w:val="004B62D5"/>
    <w:rsid w:val="004B6484"/>
    <w:rsid w:val="004B6601"/>
    <w:rsid w:val="004B66F5"/>
    <w:rsid w:val="004B690D"/>
    <w:rsid w:val="004B6972"/>
    <w:rsid w:val="004B69D1"/>
    <w:rsid w:val="004B6E38"/>
    <w:rsid w:val="004B70C5"/>
    <w:rsid w:val="004B71F9"/>
    <w:rsid w:val="004B739D"/>
    <w:rsid w:val="004B7513"/>
    <w:rsid w:val="004B77A1"/>
    <w:rsid w:val="004B77FF"/>
    <w:rsid w:val="004B7844"/>
    <w:rsid w:val="004B7E4B"/>
    <w:rsid w:val="004B7E67"/>
    <w:rsid w:val="004B7FA6"/>
    <w:rsid w:val="004B7FFA"/>
    <w:rsid w:val="004C010E"/>
    <w:rsid w:val="004C0219"/>
    <w:rsid w:val="004C08D5"/>
    <w:rsid w:val="004C08F5"/>
    <w:rsid w:val="004C0A2E"/>
    <w:rsid w:val="004C0A6F"/>
    <w:rsid w:val="004C0B18"/>
    <w:rsid w:val="004C0C0F"/>
    <w:rsid w:val="004C0ECC"/>
    <w:rsid w:val="004C0F46"/>
    <w:rsid w:val="004C0F97"/>
    <w:rsid w:val="004C0FF2"/>
    <w:rsid w:val="004C16B0"/>
    <w:rsid w:val="004C18D7"/>
    <w:rsid w:val="004C190E"/>
    <w:rsid w:val="004C1B52"/>
    <w:rsid w:val="004C1DB2"/>
    <w:rsid w:val="004C1DE7"/>
    <w:rsid w:val="004C1DEE"/>
    <w:rsid w:val="004C22EE"/>
    <w:rsid w:val="004C26A4"/>
    <w:rsid w:val="004C29CB"/>
    <w:rsid w:val="004C2BF1"/>
    <w:rsid w:val="004C3030"/>
    <w:rsid w:val="004C3698"/>
    <w:rsid w:val="004C3BE8"/>
    <w:rsid w:val="004C3D4B"/>
    <w:rsid w:val="004C3DBE"/>
    <w:rsid w:val="004C3E2C"/>
    <w:rsid w:val="004C4193"/>
    <w:rsid w:val="004C41CB"/>
    <w:rsid w:val="004C4338"/>
    <w:rsid w:val="004C434D"/>
    <w:rsid w:val="004C447F"/>
    <w:rsid w:val="004C44A1"/>
    <w:rsid w:val="004C4783"/>
    <w:rsid w:val="004C4790"/>
    <w:rsid w:val="004C486E"/>
    <w:rsid w:val="004C4BC1"/>
    <w:rsid w:val="004C4CB8"/>
    <w:rsid w:val="004C501E"/>
    <w:rsid w:val="004C51AE"/>
    <w:rsid w:val="004C58F2"/>
    <w:rsid w:val="004C5A91"/>
    <w:rsid w:val="004C5C3A"/>
    <w:rsid w:val="004C5CE5"/>
    <w:rsid w:val="004C5CE8"/>
    <w:rsid w:val="004C5FD1"/>
    <w:rsid w:val="004C6191"/>
    <w:rsid w:val="004C62D7"/>
    <w:rsid w:val="004C639C"/>
    <w:rsid w:val="004C643D"/>
    <w:rsid w:val="004C6451"/>
    <w:rsid w:val="004C6BF1"/>
    <w:rsid w:val="004C6F29"/>
    <w:rsid w:val="004C7103"/>
    <w:rsid w:val="004C71F2"/>
    <w:rsid w:val="004C7596"/>
    <w:rsid w:val="004C7603"/>
    <w:rsid w:val="004C78AD"/>
    <w:rsid w:val="004D0162"/>
    <w:rsid w:val="004D01B4"/>
    <w:rsid w:val="004D01E3"/>
    <w:rsid w:val="004D02B3"/>
    <w:rsid w:val="004D02C9"/>
    <w:rsid w:val="004D05C6"/>
    <w:rsid w:val="004D06F7"/>
    <w:rsid w:val="004D0718"/>
    <w:rsid w:val="004D07AD"/>
    <w:rsid w:val="004D09C2"/>
    <w:rsid w:val="004D0F7E"/>
    <w:rsid w:val="004D1182"/>
    <w:rsid w:val="004D11E8"/>
    <w:rsid w:val="004D126C"/>
    <w:rsid w:val="004D13DE"/>
    <w:rsid w:val="004D159F"/>
    <w:rsid w:val="004D1892"/>
    <w:rsid w:val="004D1953"/>
    <w:rsid w:val="004D1A5A"/>
    <w:rsid w:val="004D1AB3"/>
    <w:rsid w:val="004D1AEA"/>
    <w:rsid w:val="004D1B55"/>
    <w:rsid w:val="004D1B75"/>
    <w:rsid w:val="004D1B90"/>
    <w:rsid w:val="004D1C65"/>
    <w:rsid w:val="004D1D7C"/>
    <w:rsid w:val="004D1F35"/>
    <w:rsid w:val="004D2098"/>
    <w:rsid w:val="004D2280"/>
    <w:rsid w:val="004D2415"/>
    <w:rsid w:val="004D309C"/>
    <w:rsid w:val="004D30B6"/>
    <w:rsid w:val="004D37FD"/>
    <w:rsid w:val="004D3AEE"/>
    <w:rsid w:val="004D3C07"/>
    <w:rsid w:val="004D3C81"/>
    <w:rsid w:val="004D3F05"/>
    <w:rsid w:val="004D3FAA"/>
    <w:rsid w:val="004D43F0"/>
    <w:rsid w:val="004D4611"/>
    <w:rsid w:val="004D4752"/>
    <w:rsid w:val="004D4BDB"/>
    <w:rsid w:val="004D4DCF"/>
    <w:rsid w:val="004D4FF5"/>
    <w:rsid w:val="004D50D3"/>
    <w:rsid w:val="004D534B"/>
    <w:rsid w:val="004D5513"/>
    <w:rsid w:val="004D5A1A"/>
    <w:rsid w:val="004D5C48"/>
    <w:rsid w:val="004D5E4C"/>
    <w:rsid w:val="004D5FF1"/>
    <w:rsid w:val="004D61DE"/>
    <w:rsid w:val="004D6249"/>
    <w:rsid w:val="004D629E"/>
    <w:rsid w:val="004D6AC1"/>
    <w:rsid w:val="004D6AD0"/>
    <w:rsid w:val="004D6B96"/>
    <w:rsid w:val="004D6C61"/>
    <w:rsid w:val="004D6E43"/>
    <w:rsid w:val="004D6E54"/>
    <w:rsid w:val="004D71E5"/>
    <w:rsid w:val="004D753F"/>
    <w:rsid w:val="004D7728"/>
    <w:rsid w:val="004D78FC"/>
    <w:rsid w:val="004D7CFB"/>
    <w:rsid w:val="004E0095"/>
    <w:rsid w:val="004E0098"/>
    <w:rsid w:val="004E00AC"/>
    <w:rsid w:val="004E03C0"/>
    <w:rsid w:val="004E046E"/>
    <w:rsid w:val="004E048A"/>
    <w:rsid w:val="004E08E2"/>
    <w:rsid w:val="004E0A85"/>
    <w:rsid w:val="004E0BBE"/>
    <w:rsid w:val="004E0C01"/>
    <w:rsid w:val="004E0F0C"/>
    <w:rsid w:val="004E0F69"/>
    <w:rsid w:val="004E11C8"/>
    <w:rsid w:val="004E13F4"/>
    <w:rsid w:val="004E14F5"/>
    <w:rsid w:val="004E16C4"/>
    <w:rsid w:val="004E179C"/>
    <w:rsid w:val="004E1D22"/>
    <w:rsid w:val="004E1DF8"/>
    <w:rsid w:val="004E2068"/>
    <w:rsid w:val="004E23A9"/>
    <w:rsid w:val="004E2639"/>
    <w:rsid w:val="004E271F"/>
    <w:rsid w:val="004E2728"/>
    <w:rsid w:val="004E275E"/>
    <w:rsid w:val="004E29C2"/>
    <w:rsid w:val="004E2AFC"/>
    <w:rsid w:val="004E3211"/>
    <w:rsid w:val="004E3241"/>
    <w:rsid w:val="004E361C"/>
    <w:rsid w:val="004E37AD"/>
    <w:rsid w:val="004E3A16"/>
    <w:rsid w:val="004E4078"/>
    <w:rsid w:val="004E40CE"/>
    <w:rsid w:val="004E41B1"/>
    <w:rsid w:val="004E426A"/>
    <w:rsid w:val="004E4282"/>
    <w:rsid w:val="004E44AC"/>
    <w:rsid w:val="004E4554"/>
    <w:rsid w:val="004E45A9"/>
    <w:rsid w:val="004E461C"/>
    <w:rsid w:val="004E4A6C"/>
    <w:rsid w:val="004E4C4A"/>
    <w:rsid w:val="004E4CEB"/>
    <w:rsid w:val="004E4D39"/>
    <w:rsid w:val="004E4F31"/>
    <w:rsid w:val="004E522D"/>
    <w:rsid w:val="004E5814"/>
    <w:rsid w:val="004E5971"/>
    <w:rsid w:val="004E59C1"/>
    <w:rsid w:val="004E62C4"/>
    <w:rsid w:val="004E635B"/>
    <w:rsid w:val="004E65A2"/>
    <w:rsid w:val="004E6B46"/>
    <w:rsid w:val="004E6DD2"/>
    <w:rsid w:val="004E6E6A"/>
    <w:rsid w:val="004E7215"/>
    <w:rsid w:val="004E7517"/>
    <w:rsid w:val="004E7A86"/>
    <w:rsid w:val="004E7AA1"/>
    <w:rsid w:val="004E7D51"/>
    <w:rsid w:val="004E7D91"/>
    <w:rsid w:val="004F017D"/>
    <w:rsid w:val="004F0182"/>
    <w:rsid w:val="004F0361"/>
    <w:rsid w:val="004F062A"/>
    <w:rsid w:val="004F0766"/>
    <w:rsid w:val="004F0801"/>
    <w:rsid w:val="004F0972"/>
    <w:rsid w:val="004F11A4"/>
    <w:rsid w:val="004F1241"/>
    <w:rsid w:val="004F192F"/>
    <w:rsid w:val="004F1961"/>
    <w:rsid w:val="004F196E"/>
    <w:rsid w:val="004F1D23"/>
    <w:rsid w:val="004F1E3B"/>
    <w:rsid w:val="004F2049"/>
    <w:rsid w:val="004F21E4"/>
    <w:rsid w:val="004F224A"/>
    <w:rsid w:val="004F2792"/>
    <w:rsid w:val="004F2834"/>
    <w:rsid w:val="004F2B22"/>
    <w:rsid w:val="004F2E0F"/>
    <w:rsid w:val="004F2E3B"/>
    <w:rsid w:val="004F2F79"/>
    <w:rsid w:val="004F2F9E"/>
    <w:rsid w:val="004F30E4"/>
    <w:rsid w:val="004F3101"/>
    <w:rsid w:val="004F3242"/>
    <w:rsid w:val="004F33AF"/>
    <w:rsid w:val="004F34C7"/>
    <w:rsid w:val="004F3579"/>
    <w:rsid w:val="004F35C1"/>
    <w:rsid w:val="004F3827"/>
    <w:rsid w:val="004F3BBA"/>
    <w:rsid w:val="004F4101"/>
    <w:rsid w:val="004F4292"/>
    <w:rsid w:val="004F42F5"/>
    <w:rsid w:val="004F4350"/>
    <w:rsid w:val="004F43A7"/>
    <w:rsid w:val="004F46B8"/>
    <w:rsid w:val="004F47B3"/>
    <w:rsid w:val="004F4B9E"/>
    <w:rsid w:val="004F4BA6"/>
    <w:rsid w:val="004F52EE"/>
    <w:rsid w:val="004F5463"/>
    <w:rsid w:val="004F5573"/>
    <w:rsid w:val="004F58D1"/>
    <w:rsid w:val="004F5A6A"/>
    <w:rsid w:val="004F5A90"/>
    <w:rsid w:val="004F5AAC"/>
    <w:rsid w:val="004F5AB0"/>
    <w:rsid w:val="004F5C6C"/>
    <w:rsid w:val="004F5DA8"/>
    <w:rsid w:val="004F6A85"/>
    <w:rsid w:val="004F6A98"/>
    <w:rsid w:val="004F6AAE"/>
    <w:rsid w:val="004F6B72"/>
    <w:rsid w:val="004F6ED1"/>
    <w:rsid w:val="004F70DA"/>
    <w:rsid w:val="004F762D"/>
    <w:rsid w:val="004F7772"/>
    <w:rsid w:val="004F7A32"/>
    <w:rsid w:val="004F7AFA"/>
    <w:rsid w:val="005001B4"/>
    <w:rsid w:val="0050065B"/>
    <w:rsid w:val="005006A4"/>
    <w:rsid w:val="00500813"/>
    <w:rsid w:val="00500BEE"/>
    <w:rsid w:val="00500D80"/>
    <w:rsid w:val="00500E3B"/>
    <w:rsid w:val="00500FFB"/>
    <w:rsid w:val="005012B5"/>
    <w:rsid w:val="0050173D"/>
    <w:rsid w:val="00501ADF"/>
    <w:rsid w:val="00501CF9"/>
    <w:rsid w:val="00501FE9"/>
    <w:rsid w:val="00502142"/>
    <w:rsid w:val="00502678"/>
    <w:rsid w:val="00502B9A"/>
    <w:rsid w:val="00502C6A"/>
    <w:rsid w:val="00502D57"/>
    <w:rsid w:val="00502E19"/>
    <w:rsid w:val="00503036"/>
    <w:rsid w:val="00503434"/>
    <w:rsid w:val="00503763"/>
    <w:rsid w:val="00503813"/>
    <w:rsid w:val="00503829"/>
    <w:rsid w:val="005038A0"/>
    <w:rsid w:val="00503A7F"/>
    <w:rsid w:val="00503CC9"/>
    <w:rsid w:val="00503EED"/>
    <w:rsid w:val="00503F3F"/>
    <w:rsid w:val="00504055"/>
    <w:rsid w:val="0050419F"/>
    <w:rsid w:val="005041C7"/>
    <w:rsid w:val="005043B6"/>
    <w:rsid w:val="00504458"/>
    <w:rsid w:val="005044F4"/>
    <w:rsid w:val="0050467C"/>
    <w:rsid w:val="00504703"/>
    <w:rsid w:val="005048F4"/>
    <w:rsid w:val="00504937"/>
    <w:rsid w:val="00504A4F"/>
    <w:rsid w:val="00504BD2"/>
    <w:rsid w:val="00504E73"/>
    <w:rsid w:val="00504EF3"/>
    <w:rsid w:val="00505077"/>
    <w:rsid w:val="005050D4"/>
    <w:rsid w:val="0050526A"/>
    <w:rsid w:val="005053BA"/>
    <w:rsid w:val="00505483"/>
    <w:rsid w:val="00505716"/>
    <w:rsid w:val="00505753"/>
    <w:rsid w:val="00505779"/>
    <w:rsid w:val="00505E4B"/>
    <w:rsid w:val="00505E7F"/>
    <w:rsid w:val="0050616F"/>
    <w:rsid w:val="0050636A"/>
    <w:rsid w:val="005065A3"/>
    <w:rsid w:val="005065D0"/>
    <w:rsid w:val="005069BE"/>
    <w:rsid w:val="00506C64"/>
    <w:rsid w:val="00507310"/>
    <w:rsid w:val="00507544"/>
    <w:rsid w:val="005079B5"/>
    <w:rsid w:val="00507AD8"/>
    <w:rsid w:val="00507BE9"/>
    <w:rsid w:val="00507D8B"/>
    <w:rsid w:val="00507EA5"/>
    <w:rsid w:val="00507FEE"/>
    <w:rsid w:val="00510095"/>
    <w:rsid w:val="00510201"/>
    <w:rsid w:val="0051049A"/>
    <w:rsid w:val="00510609"/>
    <w:rsid w:val="0051064F"/>
    <w:rsid w:val="005106EA"/>
    <w:rsid w:val="0051074A"/>
    <w:rsid w:val="005107F7"/>
    <w:rsid w:val="00510BEE"/>
    <w:rsid w:val="00510E1A"/>
    <w:rsid w:val="00510E77"/>
    <w:rsid w:val="00510F32"/>
    <w:rsid w:val="00511437"/>
    <w:rsid w:val="005116B1"/>
    <w:rsid w:val="00511723"/>
    <w:rsid w:val="00511A81"/>
    <w:rsid w:val="00511C13"/>
    <w:rsid w:val="00511CC6"/>
    <w:rsid w:val="00511FE1"/>
    <w:rsid w:val="00512267"/>
    <w:rsid w:val="00512416"/>
    <w:rsid w:val="00512881"/>
    <w:rsid w:val="00512A90"/>
    <w:rsid w:val="005130C0"/>
    <w:rsid w:val="005132FF"/>
    <w:rsid w:val="00513368"/>
    <w:rsid w:val="005133E9"/>
    <w:rsid w:val="0051353D"/>
    <w:rsid w:val="0051372C"/>
    <w:rsid w:val="00513868"/>
    <w:rsid w:val="005138B2"/>
    <w:rsid w:val="00513D92"/>
    <w:rsid w:val="00513DC7"/>
    <w:rsid w:val="00513F0D"/>
    <w:rsid w:val="005140C1"/>
    <w:rsid w:val="0051419B"/>
    <w:rsid w:val="0051422E"/>
    <w:rsid w:val="00514615"/>
    <w:rsid w:val="00514A20"/>
    <w:rsid w:val="00514A70"/>
    <w:rsid w:val="00514B08"/>
    <w:rsid w:val="00514B7C"/>
    <w:rsid w:val="00514EFF"/>
    <w:rsid w:val="00514F8A"/>
    <w:rsid w:val="00515384"/>
    <w:rsid w:val="0051573C"/>
    <w:rsid w:val="00515838"/>
    <w:rsid w:val="005158DB"/>
    <w:rsid w:val="00515BFD"/>
    <w:rsid w:val="00515C0F"/>
    <w:rsid w:val="00515C9D"/>
    <w:rsid w:val="00515E69"/>
    <w:rsid w:val="0051629B"/>
    <w:rsid w:val="0051665E"/>
    <w:rsid w:val="0051673D"/>
    <w:rsid w:val="00516A2E"/>
    <w:rsid w:val="00516A4D"/>
    <w:rsid w:val="00516E05"/>
    <w:rsid w:val="00516F28"/>
    <w:rsid w:val="0051705F"/>
    <w:rsid w:val="005173E5"/>
    <w:rsid w:val="005174CD"/>
    <w:rsid w:val="0051750E"/>
    <w:rsid w:val="005175C6"/>
    <w:rsid w:val="0051770E"/>
    <w:rsid w:val="00517757"/>
    <w:rsid w:val="00517CBA"/>
    <w:rsid w:val="00517E31"/>
    <w:rsid w:val="00520302"/>
    <w:rsid w:val="00520962"/>
    <w:rsid w:val="005209F2"/>
    <w:rsid w:val="00520DBA"/>
    <w:rsid w:val="00520EB5"/>
    <w:rsid w:val="00520F9D"/>
    <w:rsid w:val="00521361"/>
    <w:rsid w:val="00521368"/>
    <w:rsid w:val="00521497"/>
    <w:rsid w:val="005215EF"/>
    <w:rsid w:val="00521A38"/>
    <w:rsid w:val="00521ADE"/>
    <w:rsid w:val="00521B1C"/>
    <w:rsid w:val="00521D9D"/>
    <w:rsid w:val="00521DF8"/>
    <w:rsid w:val="00521E9D"/>
    <w:rsid w:val="00521F64"/>
    <w:rsid w:val="0052204F"/>
    <w:rsid w:val="0052220F"/>
    <w:rsid w:val="005223B7"/>
    <w:rsid w:val="005224DA"/>
    <w:rsid w:val="0052276B"/>
    <w:rsid w:val="00522B3C"/>
    <w:rsid w:val="00522CD3"/>
    <w:rsid w:val="00522E3C"/>
    <w:rsid w:val="00522E41"/>
    <w:rsid w:val="00522E55"/>
    <w:rsid w:val="00522E65"/>
    <w:rsid w:val="00523115"/>
    <w:rsid w:val="00523242"/>
    <w:rsid w:val="005234D0"/>
    <w:rsid w:val="005236A0"/>
    <w:rsid w:val="0052371C"/>
    <w:rsid w:val="005237E7"/>
    <w:rsid w:val="00523A28"/>
    <w:rsid w:val="00523A8F"/>
    <w:rsid w:val="00524379"/>
    <w:rsid w:val="00524454"/>
    <w:rsid w:val="0052459E"/>
    <w:rsid w:val="00524660"/>
    <w:rsid w:val="00525A97"/>
    <w:rsid w:val="00525B4C"/>
    <w:rsid w:val="00525EEF"/>
    <w:rsid w:val="00526267"/>
    <w:rsid w:val="00526318"/>
    <w:rsid w:val="00526483"/>
    <w:rsid w:val="00526497"/>
    <w:rsid w:val="0052664E"/>
    <w:rsid w:val="005268B7"/>
    <w:rsid w:val="005269E6"/>
    <w:rsid w:val="00526CC3"/>
    <w:rsid w:val="00526EFB"/>
    <w:rsid w:val="00526F96"/>
    <w:rsid w:val="00526FE9"/>
    <w:rsid w:val="00527046"/>
    <w:rsid w:val="0052715A"/>
    <w:rsid w:val="005271A5"/>
    <w:rsid w:val="00527523"/>
    <w:rsid w:val="005276F1"/>
    <w:rsid w:val="0052775C"/>
    <w:rsid w:val="005278A4"/>
    <w:rsid w:val="00527F77"/>
    <w:rsid w:val="00530024"/>
    <w:rsid w:val="005300F3"/>
    <w:rsid w:val="005302AC"/>
    <w:rsid w:val="00530538"/>
    <w:rsid w:val="005305AE"/>
    <w:rsid w:val="005305BE"/>
    <w:rsid w:val="0053063F"/>
    <w:rsid w:val="005306FC"/>
    <w:rsid w:val="005307CA"/>
    <w:rsid w:val="00530885"/>
    <w:rsid w:val="00530AC1"/>
    <w:rsid w:val="00530BA7"/>
    <w:rsid w:val="00530D2E"/>
    <w:rsid w:val="00530DB7"/>
    <w:rsid w:val="00530E46"/>
    <w:rsid w:val="005311D8"/>
    <w:rsid w:val="00531491"/>
    <w:rsid w:val="005314EF"/>
    <w:rsid w:val="00531968"/>
    <w:rsid w:val="00531C13"/>
    <w:rsid w:val="00531D23"/>
    <w:rsid w:val="00531D5B"/>
    <w:rsid w:val="005320E7"/>
    <w:rsid w:val="005321D2"/>
    <w:rsid w:val="005323C2"/>
    <w:rsid w:val="00532417"/>
    <w:rsid w:val="005326DC"/>
    <w:rsid w:val="005326F1"/>
    <w:rsid w:val="00532B0B"/>
    <w:rsid w:val="00532E2F"/>
    <w:rsid w:val="0053306E"/>
    <w:rsid w:val="00533179"/>
    <w:rsid w:val="00533547"/>
    <w:rsid w:val="00533566"/>
    <w:rsid w:val="00533904"/>
    <w:rsid w:val="00533FCD"/>
    <w:rsid w:val="00534324"/>
    <w:rsid w:val="0053437D"/>
    <w:rsid w:val="005343D4"/>
    <w:rsid w:val="00534731"/>
    <w:rsid w:val="005348D9"/>
    <w:rsid w:val="00534C2D"/>
    <w:rsid w:val="00534E25"/>
    <w:rsid w:val="005352E3"/>
    <w:rsid w:val="005353C0"/>
    <w:rsid w:val="005353D7"/>
    <w:rsid w:val="00535414"/>
    <w:rsid w:val="005354C9"/>
    <w:rsid w:val="00535629"/>
    <w:rsid w:val="005357AA"/>
    <w:rsid w:val="005357E8"/>
    <w:rsid w:val="00535D28"/>
    <w:rsid w:val="00535D4A"/>
    <w:rsid w:val="00535D9C"/>
    <w:rsid w:val="00535DC2"/>
    <w:rsid w:val="00535DEB"/>
    <w:rsid w:val="00536000"/>
    <w:rsid w:val="00536115"/>
    <w:rsid w:val="00536214"/>
    <w:rsid w:val="00536417"/>
    <w:rsid w:val="005364EC"/>
    <w:rsid w:val="00536B0F"/>
    <w:rsid w:val="00537077"/>
    <w:rsid w:val="00537189"/>
    <w:rsid w:val="005374BC"/>
    <w:rsid w:val="005374C1"/>
    <w:rsid w:val="0053754C"/>
    <w:rsid w:val="00537904"/>
    <w:rsid w:val="005379B0"/>
    <w:rsid w:val="00537B93"/>
    <w:rsid w:val="00540132"/>
    <w:rsid w:val="00540255"/>
    <w:rsid w:val="00540398"/>
    <w:rsid w:val="005403A6"/>
    <w:rsid w:val="00540790"/>
    <w:rsid w:val="0054085E"/>
    <w:rsid w:val="0054090F"/>
    <w:rsid w:val="00540C5A"/>
    <w:rsid w:val="00540F80"/>
    <w:rsid w:val="00541387"/>
    <w:rsid w:val="005419D2"/>
    <w:rsid w:val="005419F8"/>
    <w:rsid w:val="00541A10"/>
    <w:rsid w:val="00541C18"/>
    <w:rsid w:val="00541F7A"/>
    <w:rsid w:val="00542082"/>
    <w:rsid w:val="00542248"/>
    <w:rsid w:val="0054281B"/>
    <w:rsid w:val="00542844"/>
    <w:rsid w:val="005429B4"/>
    <w:rsid w:val="00542AD3"/>
    <w:rsid w:val="00542E4A"/>
    <w:rsid w:val="0054303B"/>
    <w:rsid w:val="0054307A"/>
    <w:rsid w:val="00543412"/>
    <w:rsid w:val="00543C57"/>
    <w:rsid w:val="00543CA7"/>
    <w:rsid w:val="00543CC1"/>
    <w:rsid w:val="00543D3C"/>
    <w:rsid w:val="00543F58"/>
    <w:rsid w:val="005440FB"/>
    <w:rsid w:val="00544419"/>
    <w:rsid w:val="00544549"/>
    <w:rsid w:val="0054499B"/>
    <w:rsid w:val="00544D5F"/>
    <w:rsid w:val="0054500A"/>
    <w:rsid w:val="0054520A"/>
    <w:rsid w:val="00545366"/>
    <w:rsid w:val="0054561F"/>
    <w:rsid w:val="0054569F"/>
    <w:rsid w:val="00545B15"/>
    <w:rsid w:val="00545BC4"/>
    <w:rsid w:val="005460F3"/>
    <w:rsid w:val="0054635D"/>
    <w:rsid w:val="005465BE"/>
    <w:rsid w:val="0054666F"/>
    <w:rsid w:val="005466BE"/>
    <w:rsid w:val="00546742"/>
    <w:rsid w:val="00546866"/>
    <w:rsid w:val="005468D1"/>
    <w:rsid w:val="00546BF9"/>
    <w:rsid w:val="00546BFB"/>
    <w:rsid w:val="0054703E"/>
    <w:rsid w:val="0054737D"/>
    <w:rsid w:val="00547917"/>
    <w:rsid w:val="00547BE8"/>
    <w:rsid w:val="00550061"/>
    <w:rsid w:val="00550063"/>
    <w:rsid w:val="00550095"/>
    <w:rsid w:val="005500C7"/>
    <w:rsid w:val="00550455"/>
    <w:rsid w:val="00550669"/>
    <w:rsid w:val="0055081E"/>
    <w:rsid w:val="00550A4A"/>
    <w:rsid w:val="00550A61"/>
    <w:rsid w:val="00550C01"/>
    <w:rsid w:val="005511A2"/>
    <w:rsid w:val="005515F5"/>
    <w:rsid w:val="00551743"/>
    <w:rsid w:val="00551D73"/>
    <w:rsid w:val="00551F0B"/>
    <w:rsid w:val="00551F85"/>
    <w:rsid w:val="00551FDB"/>
    <w:rsid w:val="0055222C"/>
    <w:rsid w:val="00552583"/>
    <w:rsid w:val="005526AB"/>
    <w:rsid w:val="005526B3"/>
    <w:rsid w:val="00552782"/>
    <w:rsid w:val="005529C0"/>
    <w:rsid w:val="005529D6"/>
    <w:rsid w:val="00552B85"/>
    <w:rsid w:val="00552C2A"/>
    <w:rsid w:val="00552EC8"/>
    <w:rsid w:val="0055335D"/>
    <w:rsid w:val="005533E9"/>
    <w:rsid w:val="00553538"/>
    <w:rsid w:val="005539BC"/>
    <w:rsid w:val="005539C3"/>
    <w:rsid w:val="00553AB5"/>
    <w:rsid w:val="00553CB3"/>
    <w:rsid w:val="00553F2D"/>
    <w:rsid w:val="0055403C"/>
    <w:rsid w:val="0055419C"/>
    <w:rsid w:val="005541A9"/>
    <w:rsid w:val="005546C8"/>
    <w:rsid w:val="00554953"/>
    <w:rsid w:val="00554B07"/>
    <w:rsid w:val="00554FAC"/>
    <w:rsid w:val="005553AF"/>
    <w:rsid w:val="0055547E"/>
    <w:rsid w:val="005556EA"/>
    <w:rsid w:val="0055584B"/>
    <w:rsid w:val="005558D7"/>
    <w:rsid w:val="0055599C"/>
    <w:rsid w:val="00555B17"/>
    <w:rsid w:val="00555BF4"/>
    <w:rsid w:val="0055603E"/>
    <w:rsid w:val="0055606A"/>
    <w:rsid w:val="005560D1"/>
    <w:rsid w:val="0055616A"/>
    <w:rsid w:val="005563B2"/>
    <w:rsid w:val="00556658"/>
    <w:rsid w:val="005568D1"/>
    <w:rsid w:val="00556978"/>
    <w:rsid w:val="00557274"/>
    <w:rsid w:val="005574AB"/>
    <w:rsid w:val="005574E2"/>
    <w:rsid w:val="0055763B"/>
    <w:rsid w:val="00557930"/>
    <w:rsid w:val="00557990"/>
    <w:rsid w:val="00557B24"/>
    <w:rsid w:val="00557CDE"/>
    <w:rsid w:val="00557CEF"/>
    <w:rsid w:val="00557E84"/>
    <w:rsid w:val="00560A5B"/>
    <w:rsid w:val="00560C76"/>
    <w:rsid w:val="00560C9C"/>
    <w:rsid w:val="00560CDF"/>
    <w:rsid w:val="00560FF7"/>
    <w:rsid w:val="005610B8"/>
    <w:rsid w:val="00561107"/>
    <w:rsid w:val="00561265"/>
    <w:rsid w:val="0056129A"/>
    <w:rsid w:val="005612BC"/>
    <w:rsid w:val="0056145B"/>
    <w:rsid w:val="00561705"/>
    <w:rsid w:val="00561753"/>
    <w:rsid w:val="00561787"/>
    <w:rsid w:val="0056197D"/>
    <w:rsid w:val="00561A24"/>
    <w:rsid w:val="00561BD9"/>
    <w:rsid w:val="00561FB6"/>
    <w:rsid w:val="0056219F"/>
    <w:rsid w:val="00562363"/>
    <w:rsid w:val="005627B0"/>
    <w:rsid w:val="005627C2"/>
    <w:rsid w:val="0056297E"/>
    <w:rsid w:val="00562A67"/>
    <w:rsid w:val="00562C1C"/>
    <w:rsid w:val="0056303B"/>
    <w:rsid w:val="005630AD"/>
    <w:rsid w:val="005632B7"/>
    <w:rsid w:val="005634E2"/>
    <w:rsid w:val="0056369C"/>
    <w:rsid w:val="0056371E"/>
    <w:rsid w:val="005637A5"/>
    <w:rsid w:val="00563822"/>
    <w:rsid w:val="00563835"/>
    <w:rsid w:val="00563A67"/>
    <w:rsid w:val="00564022"/>
    <w:rsid w:val="0056451E"/>
    <w:rsid w:val="0056493E"/>
    <w:rsid w:val="00564AA2"/>
    <w:rsid w:val="00564C05"/>
    <w:rsid w:val="00564C5C"/>
    <w:rsid w:val="00564EBC"/>
    <w:rsid w:val="0056552F"/>
    <w:rsid w:val="005655CA"/>
    <w:rsid w:val="00565682"/>
    <w:rsid w:val="005657D6"/>
    <w:rsid w:val="005657EC"/>
    <w:rsid w:val="00565D27"/>
    <w:rsid w:val="00565D49"/>
    <w:rsid w:val="00565DDF"/>
    <w:rsid w:val="00565F67"/>
    <w:rsid w:val="00566116"/>
    <w:rsid w:val="005661AD"/>
    <w:rsid w:val="00566235"/>
    <w:rsid w:val="00566641"/>
    <w:rsid w:val="005666BE"/>
    <w:rsid w:val="0056688C"/>
    <w:rsid w:val="005668E1"/>
    <w:rsid w:val="005669E3"/>
    <w:rsid w:val="00566A71"/>
    <w:rsid w:val="00566BD0"/>
    <w:rsid w:val="00566F44"/>
    <w:rsid w:val="00566FDB"/>
    <w:rsid w:val="00567066"/>
    <w:rsid w:val="00567170"/>
    <w:rsid w:val="005675BC"/>
    <w:rsid w:val="005677FD"/>
    <w:rsid w:val="00567AFD"/>
    <w:rsid w:val="00567E22"/>
    <w:rsid w:val="00567EA3"/>
    <w:rsid w:val="0057001B"/>
    <w:rsid w:val="00570114"/>
    <w:rsid w:val="00570131"/>
    <w:rsid w:val="005701C2"/>
    <w:rsid w:val="0057043B"/>
    <w:rsid w:val="0057051F"/>
    <w:rsid w:val="00570551"/>
    <w:rsid w:val="0057064C"/>
    <w:rsid w:val="00570744"/>
    <w:rsid w:val="00570745"/>
    <w:rsid w:val="00570C3C"/>
    <w:rsid w:val="0057122B"/>
    <w:rsid w:val="005715C8"/>
    <w:rsid w:val="00571776"/>
    <w:rsid w:val="0057196A"/>
    <w:rsid w:val="005719E5"/>
    <w:rsid w:val="00571A82"/>
    <w:rsid w:val="0057200F"/>
    <w:rsid w:val="00572325"/>
    <w:rsid w:val="0057265D"/>
    <w:rsid w:val="005729C6"/>
    <w:rsid w:val="00572CF1"/>
    <w:rsid w:val="00572DA5"/>
    <w:rsid w:val="00572E16"/>
    <w:rsid w:val="00572E2A"/>
    <w:rsid w:val="00572FD3"/>
    <w:rsid w:val="005730C5"/>
    <w:rsid w:val="00573548"/>
    <w:rsid w:val="005735D7"/>
    <w:rsid w:val="005737E5"/>
    <w:rsid w:val="005737EE"/>
    <w:rsid w:val="005738AD"/>
    <w:rsid w:val="005738C4"/>
    <w:rsid w:val="00573C41"/>
    <w:rsid w:val="00573CB8"/>
    <w:rsid w:val="00573F2F"/>
    <w:rsid w:val="005743D5"/>
    <w:rsid w:val="00574419"/>
    <w:rsid w:val="00574438"/>
    <w:rsid w:val="0057452A"/>
    <w:rsid w:val="005748CD"/>
    <w:rsid w:val="00574AFD"/>
    <w:rsid w:val="00574FD2"/>
    <w:rsid w:val="00575010"/>
    <w:rsid w:val="005750C7"/>
    <w:rsid w:val="005751BE"/>
    <w:rsid w:val="005754DC"/>
    <w:rsid w:val="005758E7"/>
    <w:rsid w:val="0057593E"/>
    <w:rsid w:val="005759E5"/>
    <w:rsid w:val="00575A70"/>
    <w:rsid w:val="00575B33"/>
    <w:rsid w:val="00575C81"/>
    <w:rsid w:val="00575DD9"/>
    <w:rsid w:val="00575FB2"/>
    <w:rsid w:val="00576117"/>
    <w:rsid w:val="00576137"/>
    <w:rsid w:val="0057620D"/>
    <w:rsid w:val="0057633D"/>
    <w:rsid w:val="0057635F"/>
    <w:rsid w:val="0057637A"/>
    <w:rsid w:val="00576478"/>
    <w:rsid w:val="005765C3"/>
    <w:rsid w:val="005765DD"/>
    <w:rsid w:val="00576620"/>
    <w:rsid w:val="005767AB"/>
    <w:rsid w:val="005767B9"/>
    <w:rsid w:val="00576914"/>
    <w:rsid w:val="00576C7E"/>
    <w:rsid w:val="0057723F"/>
    <w:rsid w:val="0057747C"/>
    <w:rsid w:val="00577861"/>
    <w:rsid w:val="005779CC"/>
    <w:rsid w:val="00577A32"/>
    <w:rsid w:val="00577AEC"/>
    <w:rsid w:val="00577B47"/>
    <w:rsid w:val="00577BED"/>
    <w:rsid w:val="0058002D"/>
    <w:rsid w:val="005801D8"/>
    <w:rsid w:val="005801FF"/>
    <w:rsid w:val="00580217"/>
    <w:rsid w:val="0058079F"/>
    <w:rsid w:val="005807C0"/>
    <w:rsid w:val="00580A50"/>
    <w:rsid w:val="00580D23"/>
    <w:rsid w:val="00580D2A"/>
    <w:rsid w:val="00580E90"/>
    <w:rsid w:val="005813BA"/>
    <w:rsid w:val="00581494"/>
    <w:rsid w:val="00581535"/>
    <w:rsid w:val="00581557"/>
    <w:rsid w:val="00581566"/>
    <w:rsid w:val="00581800"/>
    <w:rsid w:val="005818CA"/>
    <w:rsid w:val="00581983"/>
    <w:rsid w:val="00581A97"/>
    <w:rsid w:val="00581AD2"/>
    <w:rsid w:val="00581E9F"/>
    <w:rsid w:val="00581F91"/>
    <w:rsid w:val="005820F9"/>
    <w:rsid w:val="005821E1"/>
    <w:rsid w:val="0058260B"/>
    <w:rsid w:val="00582998"/>
    <w:rsid w:val="005829C5"/>
    <w:rsid w:val="00582B0A"/>
    <w:rsid w:val="00582E4B"/>
    <w:rsid w:val="005831A4"/>
    <w:rsid w:val="005831BB"/>
    <w:rsid w:val="005831BD"/>
    <w:rsid w:val="0058391B"/>
    <w:rsid w:val="00584074"/>
    <w:rsid w:val="005842AA"/>
    <w:rsid w:val="005845D5"/>
    <w:rsid w:val="00584606"/>
    <w:rsid w:val="00584620"/>
    <w:rsid w:val="0058467C"/>
    <w:rsid w:val="00584735"/>
    <w:rsid w:val="00584859"/>
    <w:rsid w:val="00584A54"/>
    <w:rsid w:val="00584AE1"/>
    <w:rsid w:val="00584CEC"/>
    <w:rsid w:val="005853AB"/>
    <w:rsid w:val="005857DD"/>
    <w:rsid w:val="00585867"/>
    <w:rsid w:val="00585BAB"/>
    <w:rsid w:val="00585D30"/>
    <w:rsid w:val="00585E17"/>
    <w:rsid w:val="00585FD3"/>
    <w:rsid w:val="005861E3"/>
    <w:rsid w:val="00586235"/>
    <w:rsid w:val="00586306"/>
    <w:rsid w:val="0058649F"/>
    <w:rsid w:val="005864D8"/>
    <w:rsid w:val="00586558"/>
    <w:rsid w:val="005865AE"/>
    <w:rsid w:val="005866D4"/>
    <w:rsid w:val="00586835"/>
    <w:rsid w:val="005869E8"/>
    <w:rsid w:val="00586EF3"/>
    <w:rsid w:val="005872B4"/>
    <w:rsid w:val="0058731A"/>
    <w:rsid w:val="00587333"/>
    <w:rsid w:val="005873B8"/>
    <w:rsid w:val="00587A21"/>
    <w:rsid w:val="00587A94"/>
    <w:rsid w:val="00587E3A"/>
    <w:rsid w:val="00590237"/>
    <w:rsid w:val="005902DB"/>
    <w:rsid w:val="0059099F"/>
    <w:rsid w:val="00590F3E"/>
    <w:rsid w:val="005910AB"/>
    <w:rsid w:val="005912AD"/>
    <w:rsid w:val="0059130F"/>
    <w:rsid w:val="00591620"/>
    <w:rsid w:val="00591800"/>
    <w:rsid w:val="00591854"/>
    <w:rsid w:val="005919EB"/>
    <w:rsid w:val="00591BB8"/>
    <w:rsid w:val="00592367"/>
    <w:rsid w:val="005923DE"/>
    <w:rsid w:val="0059240F"/>
    <w:rsid w:val="0059245E"/>
    <w:rsid w:val="005924A5"/>
    <w:rsid w:val="0059250B"/>
    <w:rsid w:val="00592840"/>
    <w:rsid w:val="00592AA5"/>
    <w:rsid w:val="005931EC"/>
    <w:rsid w:val="00593252"/>
    <w:rsid w:val="0059372D"/>
    <w:rsid w:val="005938B7"/>
    <w:rsid w:val="005938EA"/>
    <w:rsid w:val="00593C3F"/>
    <w:rsid w:val="00594171"/>
    <w:rsid w:val="00594277"/>
    <w:rsid w:val="00594361"/>
    <w:rsid w:val="005947DD"/>
    <w:rsid w:val="00594940"/>
    <w:rsid w:val="00594A10"/>
    <w:rsid w:val="00594A74"/>
    <w:rsid w:val="00594C73"/>
    <w:rsid w:val="00594C9D"/>
    <w:rsid w:val="00594FB4"/>
    <w:rsid w:val="00595233"/>
    <w:rsid w:val="005953DC"/>
    <w:rsid w:val="0059542C"/>
    <w:rsid w:val="0059557A"/>
    <w:rsid w:val="005956A6"/>
    <w:rsid w:val="005958F7"/>
    <w:rsid w:val="00595B98"/>
    <w:rsid w:val="00595FE7"/>
    <w:rsid w:val="0059603D"/>
    <w:rsid w:val="005960C3"/>
    <w:rsid w:val="0059628F"/>
    <w:rsid w:val="0059645E"/>
    <w:rsid w:val="00596962"/>
    <w:rsid w:val="00596998"/>
    <w:rsid w:val="005969AE"/>
    <w:rsid w:val="00596C8D"/>
    <w:rsid w:val="00596FBF"/>
    <w:rsid w:val="00597179"/>
    <w:rsid w:val="005971E1"/>
    <w:rsid w:val="00597294"/>
    <w:rsid w:val="005978A1"/>
    <w:rsid w:val="005979D6"/>
    <w:rsid w:val="005979E4"/>
    <w:rsid w:val="00597C32"/>
    <w:rsid w:val="00597CDF"/>
    <w:rsid w:val="005A0233"/>
    <w:rsid w:val="005A0386"/>
    <w:rsid w:val="005A0535"/>
    <w:rsid w:val="005A0602"/>
    <w:rsid w:val="005A079F"/>
    <w:rsid w:val="005A08EF"/>
    <w:rsid w:val="005A0B8D"/>
    <w:rsid w:val="005A0E3C"/>
    <w:rsid w:val="005A155F"/>
    <w:rsid w:val="005A166E"/>
    <w:rsid w:val="005A1A80"/>
    <w:rsid w:val="005A1C6B"/>
    <w:rsid w:val="005A1ED0"/>
    <w:rsid w:val="005A2240"/>
    <w:rsid w:val="005A2297"/>
    <w:rsid w:val="005A258D"/>
    <w:rsid w:val="005A26C2"/>
    <w:rsid w:val="005A276F"/>
    <w:rsid w:val="005A2988"/>
    <w:rsid w:val="005A2CB2"/>
    <w:rsid w:val="005A2DC8"/>
    <w:rsid w:val="005A2E77"/>
    <w:rsid w:val="005A308D"/>
    <w:rsid w:val="005A374C"/>
    <w:rsid w:val="005A38E7"/>
    <w:rsid w:val="005A3987"/>
    <w:rsid w:val="005A3C3C"/>
    <w:rsid w:val="005A3C40"/>
    <w:rsid w:val="005A4148"/>
    <w:rsid w:val="005A466F"/>
    <w:rsid w:val="005A4714"/>
    <w:rsid w:val="005A4748"/>
    <w:rsid w:val="005A49E1"/>
    <w:rsid w:val="005A4CA3"/>
    <w:rsid w:val="005A4CD7"/>
    <w:rsid w:val="005A4D9C"/>
    <w:rsid w:val="005A4DF0"/>
    <w:rsid w:val="005A536D"/>
    <w:rsid w:val="005A557A"/>
    <w:rsid w:val="005A5783"/>
    <w:rsid w:val="005A5C45"/>
    <w:rsid w:val="005A5D81"/>
    <w:rsid w:val="005A6140"/>
    <w:rsid w:val="005A63D3"/>
    <w:rsid w:val="005A640B"/>
    <w:rsid w:val="005A650C"/>
    <w:rsid w:val="005A69CD"/>
    <w:rsid w:val="005A6B48"/>
    <w:rsid w:val="005A7031"/>
    <w:rsid w:val="005A707C"/>
    <w:rsid w:val="005A70C2"/>
    <w:rsid w:val="005A7100"/>
    <w:rsid w:val="005A7527"/>
    <w:rsid w:val="005A7587"/>
    <w:rsid w:val="005A7701"/>
    <w:rsid w:val="005A785C"/>
    <w:rsid w:val="005A78F4"/>
    <w:rsid w:val="005A7A98"/>
    <w:rsid w:val="005A7CCA"/>
    <w:rsid w:val="005A7E77"/>
    <w:rsid w:val="005B0060"/>
    <w:rsid w:val="005B028C"/>
    <w:rsid w:val="005B0820"/>
    <w:rsid w:val="005B0A5F"/>
    <w:rsid w:val="005B0E81"/>
    <w:rsid w:val="005B117F"/>
    <w:rsid w:val="005B1247"/>
    <w:rsid w:val="005B1510"/>
    <w:rsid w:val="005B165B"/>
    <w:rsid w:val="005B16A8"/>
    <w:rsid w:val="005B16F1"/>
    <w:rsid w:val="005B1A42"/>
    <w:rsid w:val="005B1C0D"/>
    <w:rsid w:val="005B1D2C"/>
    <w:rsid w:val="005B1DE7"/>
    <w:rsid w:val="005B20BF"/>
    <w:rsid w:val="005B2135"/>
    <w:rsid w:val="005B247D"/>
    <w:rsid w:val="005B281A"/>
    <w:rsid w:val="005B28ED"/>
    <w:rsid w:val="005B2A5E"/>
    <w:rsid w:val="005B2A8E"/>
    <w:rsid w:val="005B2D1F"/>
    <w:rsid w:val="005B2F49"/>
    <w:rsid w:val="005B30AA"/>
    <w:rsid w:val="005B33F6"/>
    <w:rsid w:val="005B34BF"/>
    <w:rsid w:val="005B377E"/>
    <w:rsid w:val="005B393C"/>
    <w:rsid w:val="005B3B91"/>
    <w:rsid w:val="005B3D45"/>
    <w:rsid w:val="005B3D9F"/>
    <w:rsid w:val="005B3E37"/>
    <w:rsid w:val="005B3F13"/>
    <w:rsid w:val="005B4350"/>
    <w:rsid w:val="005B43F9"/>
    <w:rsid w:val="005B461C"/>
    <w:rsid w:val="005B4647"/>
    <w:rsid w:val="005B47B7"/>
    <w:rsid w:val="005B4CD8"/>
    <w:rsid w:val="005B4D65"/>
    <w:rsid w:val="005B4F49"/>
    <w:rsid w:val="005B4FB6"/>
    <w:rsid w:val="005B52EB"/>
    <w:rsid w:val="005B54C2"/>
    <w:rsid w:val="005B55F1"/>
    <w:rsid w:val="005B5881"/>
    <w:rsid w:val="005B58EB"/>
    <w:rsid w:val="005B5D20"/>
    <w:rsid w:val="005B6015"/>
    <w:rsid w:val="005B603B"/>
    <w:rsid w:val="005B647C"/>
    <w:rsid w:val="005B65A1"/>
    <w:rsid w:val="005B66EA"/>
    <w:rsid w:val="005B6D75"/>
    <w:rsid w:val="005B7123"/>
    <w:rsid w:val="005B7228"/>
    <w:rsid w:val="005B75D6"/>
    <w:rsid w:val="005B75D9"/>
    <w:rsid w:val="005B7685"/>
    <w:rsid w:val="005B780E"/>
    <w:rsid w:val="005B7820"/>
    <w:rsid w:val="005B788B"/>
    <w:rsid w:val="005B7C49"/>
    <w:rsid w:val="005B7D12"/>
    <w:rsid w:val="005B7E2B"/>
    <w:rsid w:val="005B7E6D"/>
    <w:rsid w:val="005C007E"/>
    <w:rsid w:val="005C00D4"/>
    <w:rsid w:val="005C022E"/>
    <w:rsid w:val="005C0534"/>
    <w:rsid w:val="005C07CD"/>
    <w:rsid w:val="005C0A46"/>
    <w:rsid w:val="005C0B1D"/>
    <w:rsid w:val="005C0B57"/>
    <w:rsid w:val="005C0DD5"/>
    <w:rsid w:val="005C12FC"/>
    <w:rsid w:val="005C136C"/>
    <w:rsid w:val="005C1760"/>
    <w:rsid w:val="005C17BE"/>
    <w:rsid w:val="005C19C2"/>
    <w:rsid w:val="005C1A13"/>
    <w:rsid w:val="005C1A60"/>
    <w:rsid w:val="005C1B98"/>
    <w:rsid w:val="005C1D62"/>
    <w:rsid w:val="005C1D77"/>
    <w:rsid w:val="005C1DBA"/>
    <w:rsid w:val="005C1DD2"/>
    <w:rsid w:val="005C2010"/>
    <w:rsid w:val="005C2326"/>
    <w:rsid w:val="005C2759"/>
    <w:rsid w:val="005C2816"/>
    <w:rsid w:val="005C2AE3"/>
    <w:rsid w:val="005C2C1E"/>
    <w:rsid w:val="005C3076"/>
    <w:rsid w:val="005C30C7"/>
    <w:rsid w:val="005C3157"/>
    <w:rsid w:val="005C345D"/>
    <w:rsid w:val="005C35F9"/>
    <w:rsid w:val="005C364B"/>
    <w:rsid w:val="005C3738"/>
    <w:rsid w:val="005C3820"/>
    <w:rsid w:val="005C3951"/>
    <w:rsid w:val="005C39B3"/>
    <w:rsid w:val="005C3A04"/>
    <w:rsid w:val="005C3A6D"/>
    <w:rsid w:val="005C44D7"/>
    <w:rsid w:val="005C4566"/>
    <w:rsid w:val="005C4576"/>
    <w:rsid w:val="005C482B"/>
    <w:rsid w:val="005C4853"/>
    <w:rsid w:val="005C4967"/>
    <w:rsid w:val="005C4EFC"/>
    <w:rsid w:val="005C4F80"/>
    <w:rsid w:val="005C4FA2"/>
    <w:rsid w:val="005C4FD2"/>
    <w:rsid w:val="005C52DE"/>
    <w:rsid w:val="005C5475"/>
    <w:rsid w:val="005C59ED"/>
    <w:rsid w:val="005C5A9A"/>
    <w:rsid w:val="005C5B63"/>
    <w:rsid w:val="005C5BA8"/>
    <w:rsid w:val="005C5CAB"/>
    <w:rsid w:val="005C5DD3"/>
    <w:rsid w:val="005C5E0F"/>
    <w:rsid w:val="005C5F39"/>
    <w:rsid w:val="005C601A"/>
    <w:rsid w:val="005C6390"/>
    <w:rsid w:val="005C63BB"/>
    <w:rsid w:val="005C6A4A"/>
    <w:rsid w:val="005C6BAB"/>
    <w:rsid w:val="005C7269"/>
    <w:rsid w:val="005C755A"/>
    <w:rsid w:val="005C768A"/>
    <w:rsid w:val="005C7739"/>
    <w:rsid w:val="005C77E3"/>
    <w:rsid w:val="005C78A0"/>
    <w:rsid w:val="005C79F6"/>
    <w:rsid w:val="005C7B8E"/>
    <w:rsid w:val="005C7BD8"/>
    <w:rsid w:val="005D0016"/>
    <w:rsid w:val="005D04A8"/>
    <w:rsid w:val="005D05E4"/>
    <w:rsid w:val="005D083B"/>
    <w:rsid w:val="005D0A0A"/>
    <w:rsid w:val="005D0C4C"/>
    <w:rsid w:val="005D0CC3"/>
    <w:rsid w:val="005D0EE8"/>
    <w:rsid w:val="005D1419"/>
    <w:rsid w:val="005D1696"/>
    <w:rsid w:val="005D17C6"/>
    <w:rsid w:val="005D18A1"/>
    <w:rsid w:val="005D1987"/>
    <w:rsid w:val="005D1A29"/>
    <w:rsid w:val="005D1E78"/>
    <w:rsid w:val="005D1E97"/>
    <w:rsid w:val="005D1F57"/>
    <w:rsid w:val="005D2073"/>
    <w:rsid w:val="005D22D7"/>
    <w:rsid w:val="005D230B"/>
    <w:rsid w:val="005D2601"/>
    <w:rsid w:val="005D2631"/>
    <w:rsid w:val="005D27C7"/>
    <w:rsid w:val="005D28F1"/>
    <w:rsid w:val="005D29AE"/>
    <w:rsid w:val="005D2BC4"/>
    <w:rsid w:val="005D2C54"/>
    <w:rsid w:val="005D2FE6"/>
    <w:rsid w:val="005D3027"/>
    <w:rsid w:val="005D3043"/>
    <w:rsid w:val="005D321C"/>
    <w:rsid w:val="005D3223"/>
    <w:rsid w:val="005D3274"/>
    <w:rsid w:val="005D3278"/>
    <w:rsid w:val="005D3374"/>
    <w:rsid w:val="005D33AB"/>
    <w:rsid w:val="005D352E"/>
    <w:rsid w:val="005D38D0"/>
    <w:rsid w:val="005D3D87"/>
    <w:rsid w:val="005D4042"/>
    <w:rsid w:val="005D411F"/>
    <w:rsid w:val="005D42CA"/>
    <w:rsid w:val="005D4432"/>
    <w:rsid w:val="005D46D9"/>
    <w:rsid w:val="005D46DD"/>
    <w:rsid w:val="005D4794"/>
    <w:rsid w:val="005D4A20"/>
    <w:rsid w:val="005D4C9E"/>
    <w:rsid w:val="005D5083"/>
    <w:rsid w:val="005D50E0"/>
    <w:rsid w:val="005D51CD"/>
    <w:rsid w:val="005D5357"/>
    <w:rsid w:val="005D550C"/>
    <w:rsid w:val="005D5664"/>
    <w:rsid w:val="005D58AF"/>
    <w:rsid w:val="005D5AFC"/>
    <w:rsid w:val="005D5C9F"/>
    <w:rsid w:val="005D5EF0"/>
    <w:rsid w:val="005D6641"/>
    <w:rsid w:val="005D67D9"/>
    <w:rsid w:val="005D6841"/>
    <w:rsid w:val="005D690A"/>
    <w:rsid w:val="005D6974"/>
    <w:rsid w:val="005D6992"/>
    <w:rsid w:val="005D6AB9"/>
    <w:rsid w:val="005D6B44"/>
    <w:rsid w:val="005D7254"/>
    <w:rsid w:val="005D7301"/>
    <w:rsid w:val="005D7618"/>
    <w:rsid w:val="005D7693"/>
    <w:rsid w:val="005D78EA"/>
    <w:rsid w:val="005D7BEC"/>
    <w:rsid w:val="005D7E71"/>
    <w:rsid w:val="005D7F8C"/>
    <w:rsid w:val="005E04A6"/>
    <w:rsid w:val="005E05C8"/>
    <w:rsid w:val="005E0659"/>
    <w:rsid w:val="005E06C7"/>
    <w:rsid w:val="005E079C"/>
    <w:rsid w:val="005E089B"/>
    <w:rsid w:val="005E0C7E"/>
    <w:rsid w:val="005E0E48"/>
    <w:rsid w:val="005E1207"/>
    <w:rsid w:val="005E12A5"/>
    <w:rsid w:val="005E13B0"/>
    <w:rsid w:val="005E13E4"/>
    <w:rsid w:val="005E158F"/>
    <w:rsid w:val="005E166B"/>
    <w:rsid w:val="005E1816"/>
    <w:rsid w:val="005E1831"/>
    <w:rsid w:val="005E2062"/>
    <w:rsid w:val="005E2072"/>
    <w:rsid w:val="005E2209"/>
    <w:rsid w:val="005E2588"/>
    <w:rsid w:val="005E2D66"/>
    <w:rsid w:val="005E2F01"/>
    <w:rsid w:val="005E30A8"/>
    <w:rsid w:val="005E313F"/>
    <w:rsid w:val="005E3162"/>
    <w:rsid w:val="005E34BE"/>
    <w:rsid w:val="005E3520"/>
    <w:rsid w:val="005E361C"/>
    <w:rsid w:val="005E3736"/>
    <w:rsid w:val="005E3BC0"/>
    <w:rsid w:val="005E3C4C"/>
    <w:rsid w:val="005E40A1"/>
    <w:rsid w:val="005E42F8"/>
    <w:rsid w:val="005E43FB"/>
    <w:rsid w:val="005E4420"/>
    <w:rsid w:val="005E44E1"/>
    <w:rsid w:val="005E4704"/>
    <w:rsid w:val="005E47E5"/>
    <w:rsid w:val="005E49CB"/>
    <w:rsid w:val="005E4D0A"/>
    <w:rsid w:val="005E5019"/>
    <w:rsid w:val="005E5528"/>
    <w:rsid w:val="005E572A"/>
    <w:rsid w:val="005E5AD2"/>
    <w:rsid w:val="005E5D7B"/>
    <w:rsid w:val="005E5DBC"/>
    <w:rsid w:val="005E6394"/>
    <w:rsid w:val="005E63CA"/>
    <w:rsid w:val="005E63D8"/>
    <w:rsid w:val="005E675E"/>
    <w:rsid w:val="005E67DD"/>
    <w:rsid w:val="005E6A58"/>
    <w:rsid w:val="005E6AC1"/>
    <w:rsid w:val="005E6E29"/>
    <w:rsid w:val="005E6F95"/>
    <w:rsid w:val="005E6FE1"/>
    <w:rsid w:val="005E7018"/>
    <w:rsid w:val="005E71E2"/>
    <w:rsid w:val="005E7313"/>
    <w:rsid w:val="005E76DB"/>
    <w:rsid w:val="005E78E3"/>
    <w:rsid w:val="005E7DF7"/>
    <w:rsid w:val="005F0086"/>
    <w:rsid w:val="005F00A1"/>
    <w:rsid w:val="005F0294"/>
    <w:rsid w:val="005F0318"/>
    <w:rsid w:val="005F03E9"/>
    <w:rsid w:val="005F049F"/>
    <w:rsid w:val="005F0AA4"/>
    <w:rsid w:val="005F0CF1"/>
    <w:rsid w:val="005F0EFF"/>
    <w:rsid w:val="005F0F66"/>
    <w:rsid w:val="005F10B2"/>
    <w:rsid w:val="005F124B"/>
    <w:rsid w:val="005F1414"/>
    <w:rsid w:val="005F164C"/>
    <w:rsid w:val="005F16D7"/>
    <w:rsid w:val="005F1A54"/>
    <w:rsid w:val="005F1D41"/>
    <w:rsid w:val="005F1F38"/>
    <w:rsid w:val="005F2145"/>
    <w:rsid w:val="005F2336"/>
    <w:rsid w:val="005F240C"/>
    <w:rsid w:val="005F2472"/>
    <w:rsid w:val="005F2953"/>
    <w:rsid w:val="005F2A90"/>
    <w:rsid w:val="005F2B7E"/>
    <w:rsid w:val="005F2D55"/>
    <w:rsid w:val="005F306C"/>
    <w:rsid w:val="005F30CB"/>
    <w:rsid w:val="005F3315"/>
    <w:rsid w:val="005F4085"/>
    <w:rsid w:val="005F469C"/>
    <w:rsid w:val="005F4E8E"/>
    <w:rsid w:val="005F507A"/>
    <w:rsid w:val="005F52BD"/>
    <w:rsid w:val="005F5397"/>
    <w:rsid w:val="005F53B4"/>
    <w:rsid w:val="005F54CB"/>
    <w:rsid w:val="005F563F"/>
    <w:rsid w:val="005F5641"/>
    <w:rsid w:val="005F59C8"/>
    <w:rsid w:val="005F5E3D"/>
    <w:rsid w:val="005F5E8D"/>
    <w:rsid w:val="005F5F01"/>
    <w:rsid w:val="005F5F0D"/>
    <w:rsid w:val="005F60FC"/>
    <w:rsid w:val="005F6587"/>
    <w:rsid w:val="005F67BF"/>
    <w:rsid w:val="005F69AB"/>
    <w:rsid w:val="005F69B1"/>
    <w:rsid w:val="005F6AEE"/>
    <w:rsid w:val="005F6AFF"/>
    <w:rsid w:val="005F6C9C"/>
    <w:rsid w:val="005F6DF4"/>
    <w:rsid w:val="005F6E51"/>
    <w:rsid w:val="005F70C9"/>
    <w:rsid w:val="005F7233"/>
    <w:rsid w:val="005F758A"/>
    <w:rsid w:val="005F763A"/>
    <w:rsid w:val="005F76B2"/>
    <w:rsid w:val="005F76C6"/>
    <w:rsid w:val="005F77C6"/>
    <w:rsid w:val="005F7A62"/>
    <w:rsid w:val="005F7EF1"/>
    <w:rsid w:val="005F7FE6"/>
    <w:rsid w:val="00600618"/>
    <w:rsid w:val="0060076C"/>
    <w:rsid w:val="006009AF"/>
    <w:rsid w:val="00600A29"/>
    <w:rsid w:val="00600D80"/>
    <w:rsid w:val="0060105A"/>
    <w:rsid w:val="00601585"/>
    <w:rsid w:val="006016ED"/>
    <w:rsid w:val="00601892"/>
    <w:rsid w:val="00602006"/>
    <w:rsid w:val="0060219D"/>
    <w:rsid w:val="006021C3"/>
    <w:rsid w:val="0060229B"/>
    <w:rsid w:val="006025EF"/>
    <w:rsid w:val="00602B97"/>
    <w:rsid w:val="00602D1A"/>
    <w:rsid w:val="0060307F"/>
    <w:rsid w:val="0060331D"/>
    <w:rsid w:val="0060334C"/>
    <w:rsid w:val="00603362"/>
    <w:rsid w:val="00603544"/>
    <w:rsid w:val="006038FF"/>
    <w:rsid w:val="00603931"/>
    <w:rsid w:val="00603986"/>
    <w:rsid w:val="00603F9E"/>
    <w:rsid w:val="0060411F"/>
    <w:rsid w:val="00604271"/>
    <w:rsid w:val="0060444A"/>
    <w:rsid w:val="0060446F"/>
    <w:rsid w:val="0060450D"/>
    <w:rsid w:val="00604626"/>
    <w:rsid w:val="00604892"/>
    <w:rsid w:val="006049A3"/>
    <w:rsid w:val="00604C11"/>
    <w:rsid w:val="00604CFB"/>
    <w:rsid w:val="00604F34"/>
    <w:rsid w:val="006051C6"/>
    <w:rsid w:val="00605233"/>
    <w:rsid w:val="006053C5"/>
    <w:rsid w:val="0060562B"/>
    <w:rsid w:val="0060584F"/>
    <w:rsid w:val="00605A00"/>
    <w:rsid w:val="00605B4D"/>
    <w:rsid w:val="00605E2B"/>
    <w:rsid w:val="00605F62"/>
    <w:rsid w:val="00606259"/>
    <w:rsid w:val="006062CA"/>
    <w:rsid w:val="00606621"/>
    <w:rsid w:val="00606ACA"/>
    <w:rsid w:val="00606BE0"/>
    <w:rsid w:val="00606FAC"/>
    <w:rsid w:val="006070C4"/>
    <w:rsid w:val="00607473"/>
    <w:rsid w:val="006076E4"/>
    <w:rsid w:val="00607778"/>
    <w:rsid w:val="006079A7"/>
    <w:rsid w:val="00607AE3"/>
    <w:rsid w:val="00607E0B"/>
    <w:rsid w:val="00607E48"/>
    <w:rsid w:val="00610361"/>
    <w:rsid w:val="0061041F"/>
    <w:rsid w:val="006104AE"/>
    <w:rsid w:val="00610DE0"/>
    <w:rsid w:val="00610E93"/>
    <w:rsid w:val="00610E9F"/>
    <w:rsid w:val="00610FA5"/>
    <w:rsid w:val="00611257"/>
    <w:rsid w:val="0061141A"/>
    <w:rsid w:val="00611AE1"/>
    <w:rsid w:val="00611BAD"/>
    <w:rsid w:val="00611C7D"/>
    <w:rsid w:val="00611D27"/>
    <w:rsid w:val="00611D8A"/>
    <w:rsid w:val="00611DCB"/>
    <w:rsid w:val="00611DE7"/>
    <w:rsid w:val="00611F2F"/>
    <w:rsid w:val="0061288D"/>
    <w:rsid w:val="00612989"/>
    <w:rsid w:val="00612BD4"/>
    <w:rsid w:val="0061302E"/>
    <w:rsid w:val="00613100"/>
    <w:rsid w:val="00613696"/>
    <w:rsid w:val="00613C11"/>
    <w:rsid w:val="00613DFE"/>
    <w:rsid w:val="00614085"/>
    <w:rsid w:val="006146B0"/>
    <w:rsid w:val="00614FCE"/>
    <w:rsid w:val="006151E0"/>
    <w:rsid w:val="00615251"/>
    <w:rsid w:val="0061557B"/>
    <w:rsid w:val="00615924"/>
    <w:rsid w:val="00615C42"/>
    <w:rsid w:val="00616853"/>
    <w:rsid w:val="0061713B"/>
    <w:rsid w:val="006171CE"/>
    <w:rsid w:val="006171DB"/>
    <w:rsid w:val="006175F9"/>
    <w:rsid w:val="006177BF"/>
    <w:rsid w:val="00617ADE"/>
    <w:rsid w:val="00617B00"/>
    <w:rsid w:val="00617C18"/>
    <w:rsid w:val="00617C53"/>
    <w:rsid w:val="00617D5D"/>
    <w:rsid w:val="00617D84"/>
    <w:rsid w:val="006200B8"/>
    <w:rsid w:val="0062010B"/>
    <w:rsid w:val="0062028C"/>
    <w:rsid w:val="006202B4"/>
    <w:rsid w:val="006203E7"/>
    <w:rsid w:val="00620564"/>
    <w:rsid w:val="0062087B"/>
    <w:rsid w:val="00620A0A"/>
    <w:rsid w:val="00620CBE"/>
    <w:rsid w:val="00620E16"/>
    <w:rsid w:val="006211E9"/>
    <w:rsid w:val="0062141D"/>
    <w:rsid w:val="0062166D"/>
    <w:rsid w:val="00621770"/>
    <w:rsid w:val="0062195F"/>
    <w:rsid w:val="00621A60"/>
    <w:rsid w:val="00621BD5"/>
    <w:rsid w:val="00621CD1"/>
    <w:rsid w:val="00621F4B"/>
    <w:rsid w:val="00621FA2"/>
    <w:rsid w:val="0062204D"/>
    <w:rsid w:val="00622200"/>
    <w:rsid w:val="0062226B"/>
    <w:rsid w:val="00622468"/>
    <w:rsid w:val="0062254F"/>
    <w:rsid w:val="00623141"/>
    <w:rsid w:val="0062336F"/>
    <w:rsid w:val="0062359E"/>
    <w:rsid w:val="006235E1"/>
    <w:rsid w:val="006236BD"/>
    <w:rsid w:val="0062377B"/>
    <w:rsid w:val="006238FB"/>
    <w:rsid w:val="00623A0A"/>
    <w:rsid w:val="00623DCA"/>
    <w:rsid w:val="00623DDB"/>
    <w:rsid w:val="00623E47"/>
    <w:rsid w:val="0062404C"/>
    <w:rsid w:val="00624497"/>
    <w:rsid w:val="00624576"/>
    <w:rsid w:val="006245E8"/>
    <w:rsid w:val="00624A27"/>
    <w:rsid w:val="00624BE4"/>
    <w:rsid w:val="00624D12"/>
    <w:rsid w:val="00624DA1"/>
    <w:rsid w:val="00624DB3"/>
    <w:rsid w:val="00624F29"/>
    <w:rsid w:val="00624F5B"/>
    <w:rsid w:val="00625177"/>
    <w:rsid w:val="006251FB"/>
    <w:rsid w:val="006252C2"/>
    <w:rsid w:val="006255F1"/>
    <w:rsid w:val="0062573A"/>
    <w:rsid w:val="00625A40"/>
    <w:rsid w:val="00625A93"/>
    <w:rsid w:val="00625DEF"/>
    <w:rsid w:val="00625F08"/>
    <w:rsid w:val="00625F96"/>
    <w:rsid w:val="00625FFC"/>
    <w:rsid w:val="0062601C"/>
    <w:rsid w:val="0062608A"/>
    <w:rsid w:val="006261C3"/>
    <w:rsid w:val="0062662D"/>
    <w:rsid w:val="006266A6"/>
    <w:rsid w:val="0062687F"/>
    <w:rsid w:val="00626BC2"/>
    <w:rsid w:val="00626E3B"/>
    <w:rsid w:val="00626F03"/>
    <w:rsid w:val="00627414"/>
    <w:rsid w:val="006274D1"/>
    <w:rsid w:val="006278BE"/>
    <w:rsid w:val="00627968"/>
    <w:rsid w:val="00627E0C"/>
    <w:rsid w:val="00630062"/>
    <w:rsid w:val="0063048F"/>
    <w:rsid w:val="00630928"/>
    <w:rsid w:val="00630A7D"/>
    <w:rsid w:val="00630E74"/>
    <w:rsid w:val="00630EC8"/>
    <w:rsid w:val="00630F19"/>
    <w:rsid w:val="00631088"/>
    <w:rsid w:val="006311A1"/>
    <w:rsid w:val="00631586"/>
    <w:rsid w:val="006315A5"/>
    <w:rsid w:val="00631641"/>
    <w:rsid w:val="0063175D"/>
    <w:rsid w:val="0063177A"/>
    <w:rsid w:val="00631798"/>
    <w:rsid w:val="0063180D"/>
    <w:rsid w:val="0063188D"/>
    <w:rsid w:val="006319F5"/>
    <w:rsid w:val="00631B39"/>
    <w:rsid w:val="00631BA1"/>
    <w:rsid w:val="00631EC1"/>
    <w:rsid w:val="00632154"/>
    <w:rsid w:val="006321BD"/>
    <w:rsid w:val="00632222"/>
    <w:rsid w:val="006322AC"/>
    <w:rsid w:val="0063233D"/>
    <w:rsid w:val="0063265E"/>
    <w:rsid w:val="0063270E"/>
    <w:rsid w:val="00632785"/>
    <w:rsid w:val="00632FD8"/>
    <w:rsid w:val="0063304A"/>
    <w:rsid w:val="006334FA"/>
    <w:rsid w:val="006335DC"/>
    <w:rsid w:val="00633A4C"/>
    <w:rsid w:val="00633BCD"/>
    <w:rsid w:val="00633BF7"/>
    <w:rsid w:val="00633D64"/>
    <w:rsid w:val="00634049"/>
    <w:rsid w:val="006340AF"/>
    <w:rsid w:val="00634220"/>
    <w:rsid w:val="006344B3"/>
    <w:rsid w:val="006344B4"/>
    <w:rsid w:val="00634DC7"/>
    <w:rsid w:val="006350E1"/>
    <w:rsid w:val="0063519E"/>
    <w:rsid w:val="006351CA"/>
    <w:rsid w:val="006351E1"/>
    <w:rsid w:val="00635340"/>
    <w:rsid w:val="006353A4"/>
    <w:rsid w:val="00635654"/>
    <w:rsid w:val="00635765"/>
    <w:rsid w:val="006358B4"/>
    <w:rsid w:val="006359ED"/>
    <w:rsid w:val="00635BA4"/>
    <w:rsid w:val="00635CED"/>
    <w:rsid w:val="00635E2E"/>
    <w:rsid w:val="006361D5"/>
    <w:rsid w:val="006365C1"/>
    <w:rsid w:val="006366E9"/>
    <w:rsid w:val="00636864"/>
    <w:rsid w:val="00636A22"/>
    <w:rsid w:val="00636AF2"/>
    <w:rsid w:val="00636EC3"/>
    <w:rsid w:val="00637108"/>
    <w:rsid w:val="00637230"/>
    <w:rsid w:val="00637260"/>
    <w:rsid w:val="006375BE"/>
    <w:rsid w:val="00637A63"/>
    <w:rsid w:val="00637DD9"/>
    <w:rsid w:val="00637E28"/>
    <w:rsid w:val="0064002B"/>
    <w:rsid w:val="0064002D"/>
    <w:rsid w:val="00640055"/>
    <w:rsid w:val="00640073"/>
    <w:rsid w:val="00640409"/>
    <w:rsid w:val="006404AC"/>
    <w:rsid w:val="00640757"/>
    <w:rsid w:val="0064087F"/>
    <w:rsid w:val="00640CE5"/>
    <w:rsid w:val="00640FE6"/>
    <w:rsid w:val="00640FF0"/>
    <w:rsid w:val="00641228"/>
    <w:rsid w:val="00641546"/>
    <w:rsid w:val="0064163E"/>
    <w:rsid w:val="00641707"/>
    <w:rsid w:val="006419C6"/>
    <w:rsid w:val="00641CF4"/>
    <w:rsid w:val="00641D29"/>
    <w:rsid w:val="00641EAA"/>
    <w:rsid w:val="00641EB0"/>
    <w:rsid w:val="00642106"/>
    <w:rsid w:val="006422BE"/>
    <w:rsid w:val="0064241F"/>
    <w:rsid w:val="00642459"/>
    <w:rsid w:val="00642545"/>
    <w:rsid w:val="0064280C"/>
    <w:rsid w:val="006428B1"/>
    <w:rsid w:val="00642CC3"/>
    <w:rsid w:val="00642FEB"/>
    <w:rsid w:val="006432E7"/>
    <w:rsid w:val="006436FA"/>
    <w:rsid w:val="006437E7"/>
    <w:rsid w:val="006437F4"/>
    <w:rsid w:val="0064399D"/>
    <w:rsid w:val="0064399E"/>
    <w:rsid w:val="006439EF"/>
    <w:rsid w:val="006445E2"/>
    <w:rsid w:val="006445F6"/>
    <w:rsid w:val="00644679"/>
    <w:rsid w:val="0064473B"/>
    <w:rsid w:val="006448C6"/>
    <w:rsid w:val="006449AD"/>
    <w:rsid w:val="00644B5A"/>
    <w:rsid w:val="00644B87"/>
    <w:rsid w:val="00644C71"/>
    <w:rsid w:val="00644F05"/>
    <w:rsid w:val="00644FB2"/>
    <w:rsid w:val="0064505C"/>
    <w:rsid w:val="006456A1"/>
    <w:rsid w:val="0064607D"/>
    <w:rsid w:val="006461DE"/>
    <w:rsid w:val="006462DA"/>
    <w:rsid w:val="00646370"/>
    <w:rsid w:val="0064670C"/>
    <w:rsid w:val="0064683B"/>
    <w:rsid w:val="0064684B"/>
    <w:rsid w:val="006468F0"/>
    <w:rsid w:val="00646A5C"/>
    <w:rsid w:val="00647302"/>
    <w:rsid w:val="00647990"/>
    <w:rsid w:val="00647B0E"/>
    <w:rsid w:val="00650034"/>
    <w:rsid w:val="00650120"/>
    <w:rsid w:val="006501B7"/>
    <w:rsid w:val="00650357"/>
    <w:rsid w:val="00650561"/>
    <w:rsid w:val="00650681"/>
    <w:rsid w:val="00650A68"/>
    <w:rsid w:val="00650B5B"/>
    <w:rsid w:val="00650DA9"/>
    <w:rsid w:val="00650F00"/>
    <w:rsid w:val="0065112C"/>
    <w:rsid w:val="0065133E"/>
    <w:rsid w:val="00651749"/>
    <w:rsid w:val="00651794"/>
    <w:rsid w:val="00651AD7"/>
    <w:rsid w:val="00651BA7"/>
    <w:rsid w:val="00651DFE"/>
    <w:rsid w:val="00651F68"/>
    <w:rsid w:val="006520AB"/>
    <w:rsid w:val="00652131"/>
    <w:rsid w:val="00652488"/>
    <w:rsid w:val="0065262B"/>
    <w:rsid w:val="006528C5"/>
    <w:rsid w:val="00652C8F"/>
    <w:rsid w:val="006530EE"/>
    <w:rsid w:val="00653562"/>
    <w:rsid w:val="00653581"/>
    <w:rsid w:val="0065367F"/>
    <w:rsid w:val="006538C2"/>
    <w:rsid w:val="00653949"/>
    <w:rsid w:val="00653B54"/>
    <w:rsid w:val="00653C0A"/>
    <w:rsid w:val="00653D30"/>
    <w:rsid w:val="006541AA"/>
    <w:rsid w:val="00654217"/>
    <w:rsid w:val="006542AB"/>
    <w:rsid w:val="006543DF"/>
    <w:rsid w:val="00654418"/>
    <w:rsid w:val="00654421"/>
    <w:rsid w:val="00654640"/>
    <w:rsid w:val="00654646"/>
    <w:rsid w:val="006547F1"/>
    <w:rsid w:val="00654861"/>
    <w:rsid w:val="00654A9D"/>
    <w:rsid w:val="00654C33"/>
    <w:rsid w:val="00654D26"/>
    <w:rsid w:val="0065510D"/>
    <w:rsid w:val="00655301"/>
    <w:rsid w:val="006554A5"/>
    <w:rsid w:val="006555EE"/>
    <w:rsid w:val="006559C4"/>
    <w:rsid w:val="00655ABE"/>
    <w:rsid w:val="00655CEF"/>
    <w:rsid w:val="00656012"/>
    <w:rsid w:val="006560C7"/>
    <w:rsid w:val="006561F3"/>
    <w:rsid w:val="006562A2"/>
    <w:rsid w:val="006563BF"/>
    <w:rsid w:val="00656484"/>
    <w:rsid w:val="006564D4"/>
    <w:rsid w:val="00656543"/>
    <w:rsid w:val="00656BF4"/>
    <w:rsid w:val="00656C77"/>
    <w:rsid w:val="00656F58"/>
    <w:rsid w:val="0065706F"/>
    <w:rsid w:val="00657138"/>
    <w:rsid w:val="00657384"/>
    <w:rsid w:val="00657520"/>
    <w:rsid w:val="00657569"/>
    <w:rsid w:val="006578CA"/>
    <w:rsid w:val="00657910"/>
    <w:rsid w:val="00657BAD"/>
    <w:rsid w:val="00657D32"/>
    <w:rsid w:val="00657DAD"/>
    <w:rsid w:val="00657E75"/>
    <w:rsid w:val="00657FAE"/>
    <w:rsid w:val="006601D6"/>
    <w:rsid w:val="0066021D"/>
    <w:rsid w:val="00660290"/>
    <w:rsid w:val="00660603"/>
    <w:rsid w:val="00660D64"/>
    <w:rsid w:val="00660EDB"/>
    <w:rsid w:val="0066103B"/>
    <w:rsid w:val="00661099"/>
    <w:rsid w:val="006611C0"/>
    <w:rsid w:val="0066126D"/>
    <w:rsid w:val="006613D4"/>
    <w:rsid w:val="00661485"/>
    <w:rsid w:val="006614FD"/>
    <w:rsid w:val="00661526"/>
    <w:rsid w:val="006616BF"/>
    <w:rsid w:val="00661876"/>
    <w:rsid w:val="006618F0"/>
    <w:rsid w:val="00661A4B"/>
    <w:rsid w:val="00661D20"/>
    <w:rsid w:val="00661D81"/>
    <w:rsid w:val="00661EB8"/>
    <w:rsid w:val="00661ECE"/>
    <w:rsid w:val="00662177"/>
    <w:rsid w:val="006622F9"/>
    <w:rsid w:val="00662480"/>
    <w:rsid w:val="00662772"/>
    <w:rsid w:val="006627A8"/>
    <w:rsid w:val="00663097"/>
    <w:rsid w:val="006631BB"/>
    <w:rsid w:val="00663B27"/>
    <w:rsid w:val="00663EF4"/>
    <w:rsid w:val="00663F2A"/>
    <w:rsid w:val="00664278"/>
    <w:rsid w:val="006642AF"/>
    <w:rsid w:val="00664328"/>
    <w:rsid w:val="00664F50"/>
    <w:rsid w:val="00665032"/>
    <w:rsid w:val="006652C5"/>
    <w:rsid w:val="00665372"/>
    <w:rsid w:val="00665787"/>
    <w:rsid w:val="006658E1"/>
    <w:rsid w:val="0066593B"/>
    <w:rsid w:val="00665986"/>
    <w:rsid w:val="00665DAB"/>
    <w:rsid w:val="00665DEB"/>
    <w:rsid w:val="006664D3"/>
    <w:rsid w:val="0066653C"/>
    <w:rsid w:val="00666607"/>
    <w:rsid w:val="0066694F"/>
    <w:rsid w:val="006669F9"/>
    <w:rsid w:val="00666A4B"/>
    <w:rsid w:val="00666A93"/>
    <w:rsid w:val="00666B34"/>
    <w:rsid w:val="00666D99"/>
    <w:rsid w:val="00666E70"/>
    <w:rsid w:val="00666F1F"/>
    <w:rsid w:val="00667133"/>
    <w:rsid w:val="00667501"/>
    <w:rsid w:val="00667592"/>
    <w:rsid w:val="0066770D"/>
    <w:rsid w:val="006678D1"/>
    <w:rsid w:val="00667B1A"/>
    <w:rsid w:val="00667BFF"/>
    <w:rsid w:val="00670009"/>
    <w:rsid w:val="0067004B"/>
    <w:rsid w:val="00670100"/>
    <w:rsid w:val="006705DD"/>
    <w:rsid w:val="006708C6"/>
    <w:rsid w:val="00670943"/>
    <w:rsid w:val="006709DD"/>
    <w:rsid w:val="00670BA9"/>
    <w:rsid w:val="006716B5"/>
    <w:rsid w:val="006716B9"/>
    <w:rsid w:val="006716C6"/>
    <w:rsid w:val="006716D8"/>
    <w:rsid w:val="006717B3"/>
    <w:rsid w:val="0067194B"/>
    <w:rsid w:val="00671991"/>
    <w:rsid w:val="00671D5E"/>
    <w:rsid w:val="00671E47"/>
    <w:rsid w:val="00671E7A"/>
    <w:rsid w:val="00672032"/>
    <w:rsid w:val="00672057"/>
    <w:rsid w:val="00672193"/>
    <w:rsid w:val="006723FF"/>
    <w:rsid w:val="00672439"/>
    <w:rsid w:val="006727A2"/>
    <w:rsid w:val="00672A35"/>
    <w:rsid w:val="00672ED5"/>
    <w:rsid w:val="00672F60"/>
    <w:rsid w:val="00672FA5"/>
    <w:rsid w:val="00672FBC"/>
    <w:rsid w:val="00673437"/>
    <w:rsid w:val="006734F4"/>
    <w:rsid w:val="0067368D"/>
    <w:rsid w:val="006739CB"/>
    <w:rsid w:val="00673CE0"/>
    <w:rsid w:val="00673E11"/>
    <w:rsid w:val="00673E53"/>
    <w:rsid w:val="0067417F"/>
    <w:rsid w:val="0067425C"/>
    <w:rsid w:val="00674406"/>
    <w:rsid w:val="00674700"/>
    <w:rsid w:val="00674C2D"/>
    <w:rsid w:val="00674E5A"/>
    <w:rsid w:val="00674EDE"/>
    <w:rsid w:val="00674F7E"/>
    <w:rsid w:val="00674FCF"/>
    <w:rsid w:val="00674FD2"/>
    <w:rsid w:val="006753F6"/>
    <w:rsid w:val="0067550A"/>
    <w:rsid w:val="00675608"/>
    <w:rsid w:val="00675663"/>
    <w:rsid w:val="006757C9"/>
    <w:rsid w:val="00675F81"/>
    <w:rsid w:val="00675FEA"/>
    <w:rsid w:val="0067618E"/>
    <w:rsid w:val="00676292"/>
    <w:rsid w:val="0067664B"/>
    <w:rsid w:val="00676891"/>
    <w:rsid w:val="00676973"/>
    <w:rsid w:val="00676A42"/>
    <w:rsid w:val="00676B51"/>
    <w:rsid w:val="006772C1"/>
    <w:rsid w:val="00677412"/>
    <w:rsid w:val="0067748A"/>
    <w:rsid w:val="006774D3"/>
    <w:rsid w:val="006776D5"/>
    <w:rsid w:val="006779BB"/>
    <w:rsid w:val="00677CF1"/>
    <w:rsid w:val="00677E19"/>
    <w:rsid w:val="00677F69"/>
    <w:rsid w:val="006801E3"/>
    <w:rsid w:val="00680281"/>
    <w:rsid w:val="00680415"/>
    <w:rsid w:val="006809B0"/>
    <w:rsid w:val="00680EC1"/>
    <w:rsid w:val="00680F5C"/>
    <w:rsid w:val="006810CB"/>
    <w:rsid w:val="00681361"/>
    <w:rsid w:val="006814F2"/>
    <w:rsid w:val="0068171F"/>
    <w:rsid w:val="00681BFC"/>
    <w:rsid w:val="00681CD4"/>
    <w:rsid w:val="00681D37"/>
    <w:rsid w:val="006821C6"/>
    <w:rsid w:val="006822FB"/>
    <w:rsid w:val="0068242A"/>
    <w:rsid w:val="0068249C"/>
    <w:rsid w:val="00682566"/>
    <w:rsid w:val="006825B0"/>
    <w:rsid w:val="00682693"/>
    <w:rsid w:val="006826D2"/>
    <w:rsid w:val="006827E9"/>
    <w:rsid w:val="006828CE"/>
    <w:rsid w:val="00682B02"/>
    <w:rsid w:val="00682B55"/>
    <w:rsid w:val="00682D35"/>
    <w:rsid w:val="00682D80"/>
    <w:rsid w:val="006835D1"/>
    <w:rsid w:val="0068367E"/>
    <w:rsid w:val="006839CB"/>
    <w:rsid w:val="00683A03"/>
    <w:rsid w:val="00683BB9"/>
    <w:rsid w:val="00683D67"/>
    <w:rsid w:val="00683EFA"/>
    <w:rsid w:val="0068440E"/>
    <w:rsid w:val="006845C8"/>
    <w:rsid w:val="0068461A"/>
    <w:rsid w:val="006846DE"/>
    <w:rsid w:val="006849B8"/>
    <w:rsid w:val="00684A90"/>
    <w:rsid w:val="00684B32"/>
    <w:rsid w:val="00684DE8"/>
    <w:rsid w:val="00684EA7"/>
    <w:rsid w:val="006850CD"/>
    <w:rsid w:val="006852AB"/>
    <w:rsid w:val="00685615"/>
    <w:rsid w:val="0068562E"/>
    <w:rsid w:val="00685AA5"/>
    <w:rsid w:val="00685CBE"/>
    <w:rsid w:val="006860E7"/>
    <w:rsid w:val="00686112"/>
    <w:rsid w:val="00686EA9"/>
    <w:rsid w:val="006870C4"/>
    <w:rsid w:val="006870EC"/>
    <w:rsid w:val="00687220"/>
    <w:rsid w:val="006872EE"/>
    <w:rsid w:val="00687305"/>
    <w:rsid w:val="0068764A"/>
    <w:rsid w:val="00687701"/>
    <w:rsid w:val="00687714"/>
    <w:rsid w:val="006879EB"/>
    <w:rsid w:val="006900CB"/>
    <w:rsid w:val="00690284"/>
    <w:rsid w:val="0069049A"/>
    <w:rsid w:val="0069052F"/>
    <w:rsid w:val="006906E4"/>
    <w:rsid w:val="0069093B"/>
    <w:rsid w:val="0069096D"/>
    <w:rsid w:val="00690A00"/>
    <w:rsid w:val="00690A21"/>
    <w:rsid w:val="00690B1D"/>
    <w:rsid w:val="00690D2C"/>
    <w:rsid w:val="00690DEA"/>
    <w:rsid w:val="00690E72"/>
    <w:rsid w:val="006913DE"/>
    <w:rsid w:val="0069148E"/>
    <w:rsid w:val="00691730"/>
    <w:rsid w:val="00691A64"/>
    <w:rsid w:val="00691E06"/>
    <w:rsid w:val="00692104"/>
    <w:rsid w:val="00692257"/>
    <w:rsid w:val="0069261C"/>
    <w:rsid w:val="00692858"/>
    <w:rsid w:val="006929E3"/>
    <w:rsid w:val="00692A92"/>
    <w:rsid w:val="00692AA4"/>
    <w:rsid w:val="00692B17"/>
    <w:rsid w:val="00692D80"/>
    <w:rsid w:val="00692F47"/>
    <w:rsid w:val="0069302C"/>
    <w:rsid w:val="006931E2"/>
    <w:rsid w:val="00693260"/>
    <w:rsid w:val="00693340"/>
    <w:rsid w:val="0069346A"/>
    <w:rsid w:val="0069351B"/>
    <w:rsid w:val="00693607"/>
    <w:rsid w:val="0069363E"/>
    <w:rsid w:val="006936D0"/>
    <w:rsid w:val="006936F7"/>
    <w:rsid w:val="00693924"/>
    <w:rsid w:val="00693D5F"/>
    <w:rsid w:val="00693F68"/>
    <w:rsid w:val="00693FEE"/>
    <w:rsid w:val="006942E5"/>
    <w:rsid w:val="006943B0"/>
    <w:rsid w:val="006946EB"/>
    <w:rsid w:val="00694848"/>
    <w:rsid w:val="006949A7"/>
    <w:rsid w:val="00694CB8"/>
    <w:rsid w:val="00694D30"/>
    <w:rsid w:val="00695499"/>
    <w:rsid w:val="006956A8"/>
    <w:rsid w:val="006958DC"/>
    <w:rsid w:val="006959E2"/>
    <w:rsid w:val="00695C83"/>
    <w:rsid w:val="00695D9B"/>
    <w:rsid w:val="006960CC"/>
    <w:rsid w:val="006963F6"/>
    <w:rsid w:val="00696687"/>
    <w:rsid w:val="0069691C"/>
    <w:rsid w:val="00696AB7"/>
    <w:rsid w:val="00696E5F"/>
    <w:rsid w:val="00696FB8"/>
    <w:rsid w:val="006971BF"/>
    <w:rsid w:val="006974F1"/>
    <w:rsid w:val="0069758C"/>
    <w:rsid w:val="0069769B"/>
    <w:rsid w:val="00697914"/>
    <w:rsid w:val="00697BB3"/>
    <w:rsid w:val="006A087D"/>
    <w:rsid w:val="006A08D3"/>
    <w:rsid w:val="006A0B8F"/>
    <w:rsid w:val="006A0CF1"/>
    <w:rsid w:val="006A0F6B"/>
    <w:rsid w:val="006A0F72"/>
    <w:rsid w:val="006A123D"/>
    <w:rsid w:val="006A1486"/>
    <w:rsid w:val="006A1771"/>
    <w:rsid w:val="006A1930"/>
    <w:rsid w:val="006A1C67"/>
    <w:rsid w:val="006A1FA7"/>
    <w:rsid w:val="006A2078"/>
    <w:rsid w:val="006A209F"/>
    <w:rsid w:val="006A2113"/>
    <w:rsid w:val="006A24B0"/>
    <w:rsid w:val="006A278D"/>
    <w:rsid w:val="006A2825"/>
    <w:rsid w:val="006A288F"/>
    <w:rsid w:val="006A2C3A"/>
    <w:rsid w:val="006A2C75"/>
    <w:rsid w:val="006A2CEF"/>
    <w:rsid w:val="006A2F25"/>
    <w:rsid w:val="006A30A1"/>
    <w:rsid w:val="006A34CB"/>
    <w:rsid w:val="006A36CE"/>
    <w:rsid w:val="006A3B52"/>
    <w:rsid w:val="006A3C2E"/>
    <w:rsid w:val="006A424F"/>
    <w:rsid w:val="006A430D"/>
    <w:rsid w:val="006A43C0"/>
    <w:rsid w:val="006A447B"/>
    <w:rsid w:val="006A529F"/>
    <w:rsid w:val="006A5345"/>
    <w:rsid w:val="006A5435"/>
    <w:rsid w:val="006A55D8"/>
    <w:rsid w:val="006A5699"/>
    <w:rsid w:val="006A589F"/>
    <w:rsid w:val="006A5A07"/>
    <w:rsid w:val="006A5D41"/>
    <w:rsid w:val="006A62A9"/>
    <w:rsid w:val="006A6763"/>
    <w:rsid w:val="006A7093"/>
    <w:rsid w:val="006A70BE"/>
    <w:rsid w:val="006A70CD"/>
    <w:rsid w:val="006A70F1"/>
    <w:rsid w:val="006A7395"/>
    <w:rsid w:val="006A76CE"/>
    <w:rsid w:val="006A78C1"/>
    <w:rsid w:val="006A78EE"/>
    <w:rsid w:val="006A7986"/>
    <w:rsid w:val="006A7C83"/>
    <w:rsid w:val="006A7DFB"/>
    <w:rsid w:val="006B0026"/>
    <w:rsid w:val="006B02BC"/>
    <w:rsid w:val="006B0345"/>
    <w:rsid w:val="006B0378"/>
    <w:rsid w:val="006B03E2"/>
    <w:rsid w:val="006B0424"/>
    <w:rsid w:val="006B042C"/>
    <w:rsid w:val="006B0AB8"/>
    <w:rsid w:val="006B0E7C"/>
    <w:rsid w:val="006B1006"/>
    <w:rsid w:val="006B1098"/>
    <w:rsid w:val="006B10D3"/>
    <w:rsid w:val="006B111E"/>
    <w:rsid w:val="006B1181"/>
    <w:rsid w:val="006B184E"/>
    <w:rsid w:val="006B1A92"/>
    <w:rsid w:val="006B1BE5"/>
    <w:rsid w:val="006B1F9A"/>
    <w:rsid w:val="006B257C"/>
    <w:rsid w:val="006B2650"/>
    <w:rsid w:val="006B2AF8"/>
    <w:rsid w:val="006B2F14"/>
    <w:rsid w:val="006B2F6A"/>
    <w:rsid w:val="006B313C"/>
    <w:rsid w:val="006B3585"/>
    <w:rsid w:val="006B35F0"/>
    <w:rsid w:val="006B35FC"/>
    <w:rsid w:val="006B37CE"/>
    <w:rsid w:val="006B3904"/>
    <w:rsid w:val="006B3B37"/>
    <w:rsid w:val="006B3BB1"/>
    <w:rsid w:val="006B40B2"/>
    <w:rsid w:val="006B43BE"/>
    <w:rsid w:val="006B4505"/>
    <w:rsid w:val="006B47B6"/>
    <w:rsid w:val="006B48A2"/>
    <w:rsid w:val="006B4E41"/>
    <w:rsid w:val="006B5544"/>
    <w:rsid w:val="006B5875"/>
    <w:rsid w:val="006B59FC"/>
    <w:rsid w:val="006B5A54"/>
    <w:rsid w:val="006B5AF3"/>
    <w:rsid w:val="006B5B18"/>
    <w:rsid w:val="006B5E50"/>
    <w:rsid w:val="006B5E6A"/>
    <w:rsid w:val="006B63AF"/>
    <w:rsid w:val="006B648C"/>
    <w:rsid w:val="006B6579"/>
    <w:rsid w:val="006B66CB"/>
    <w:rsid w:val="006B688D"/>
    <w:rsid w:val="006B69D0"/>
    <w:rsid w:val="006B6E7E"/>
    <w:rsid w:val="006B711A"/>
    <w:rsid w:val="006B7435"/>
    <w:rsid w:val="006B7631"/>
    <w:rsid w:val="006B78DC"/>
    <w:rsid w:val="006B7A6D"/>
    <w:rsid w:val="006B7A87"/>
    <w:rsid w:val="006B7C57"/>
    <w:rsid w:val="006B7F0D"/>
    <w:rsid w:val="006B7FCA"/>
    <w:rsid w:val="006C0022"/>
    <w:rsid w:val="006C0376"/>
    <w:rsid w:val="006C062A"/>
    <w:rsid w:val="006C08B8"/>
    <w:rsid w:val="006C0C38"/>
    <w:rsid w:val="006C0E55"/>
    <w:rsid w:val="006C0E9F"/>
    <w:rsid w:val="006C104B"/>
    <w:rsid w:val="006C12FA"/>
    <w:rsid w:val="006C131E"/>
    <w:rsid w:val="006C15FA"/>
    <w:rsid w:val="006C16DC"/>
    <w:rsid w:val="006C22CE"/>
    <w:rsid w:val="006C2463"/>
    <w:rsid w:val="006C2598"/>
    <w:rsid w:val="006C2C2F"/>
    <w:rsid w:val="006C3141"/>
    <w:rsid w:val="006C3238"/>
    <w:rsid w:val="006C374C"/>
    <w:rsid w:val="006C3851"/>
    <w:rsid w:val="006C3C7D"/>
    <w:rsid w:val="006C3E28"/>
    <w:rsid w:val="006C3E5C"/>
    <w:rsid w:val="006C406A"/>
    <w:rsid w:val="006C4119"/>
    <w:rsid w:val="006C4331"/>
    <w:rsid w:val="006C441B"/>
    <w:rsid w:val="006C4AA3"/>
    <w:rsid w:val="006C4DBC"/>
    <w:rsid w:val="006C4E0D"/>
    <w:rsid w:val="006C52C7"/>
    <w:rsid w:val="006C5438"/>
    <w:rsid w:val="006C5771"/>
    <w:rsid w:val="006C581D"/>
    <w:rsid w:val="006C592F"/>
    <w:rsid w:val="006C5AEF"/>
    <w:rsid w:val="006C5B02"/>
    <w:rsid w:val="006C5B6B"/>
    <w:rsid w:val="006C5D76"/>
    <w:rsid w:val="006C5D81"/>
    <w:rsid w:val="006C6156"/>
    <w:rsid w:val="006C6740"/>
    <w:rsid w:val="006C6C4F"/>
    <w:rsid w:val="006C6DEE"/>
    <w:rsid w:val="006C6EEB"/>
    <w:rsid w:val="006C70CB"/>
    <w:rsid w:val="006C7538"/>
    <w:rsid w:val="006C797F"/>
    <w:rsid w:val="006C7B9A"/>
    <w:rsid w:val="006C7C32"/>
    <w:rsid w:val="006C7FAB"/>
    <w:rsid w:val="006D02EC"/>
    <w:rsid w:val="006D041B"/>
    <w:rsid w:val="006D0655"/>
    <w:rsid w:val="006D0A8A"/>
    <w:rsid w:val="006D0A9E"/>
    <w:rsid w:val="006D0B4A"/>
    <w:rsid w:val="006D0EB8"/>
    <w:rsid w:val="006D0F13"/>
    <w:rsid w:val="006D10DE"/>
    <w:rsid w:val="006D159F"/>
    <w:rsid w:val="006D17F1"/>
    <w:rsid w:val="006D1B9D"/>
    <w:rsid w:val="006D1F09"/>
    <w:rsid w:val="006D206B"/>
    <w:rsid w:val="006D2118"/>
    <w:rsid w:val="006D2119"/>
    <w:rsid w:val="006D2252"/>
    <w:rsid w:val="006D22B0"/>
    <w:rsid w:val="006D28D7"/>
    <w:rsid w:val="006D2A8F"/>
    <w:rsid w:val="006D2E3C"/>
    <w:rsid w:val="006D3156"/>
    <w:rsid w:val="006D3220"/>
    <w:rsid w:val="006D3483"/>
    <w:rsid w:val="006D34A7"/>
    <w:rsid w:val="006D3780"/>
    <w:rsid w:val="006D3CE3"/>
    <w:rsid w:val="006D3D5B"/>
    <w:rsid w:val="006D3EB5"/>
    <w:rsid w:val="006D4014"/>
    <w:rsid w:val="006D4222"/>
    <w:rsid w:val="006D47EF"/>
    <w:rsid w:val="006D4AE2"/>
    <w:rsid w:val="006D4EBB"/>
    <w:rsid w:val="006D4ECF"/>
    <w:rsid w:val="006D5139"/>
    <w:rsid w:val="006D515E"/>
    <w:rsid w:val="006D51C4"/>
    <w:rsid w:val="006D522B"/>
    <w:rsid w:val="006D5C46"/>
    <w:rsid w:val="006D5EE9"/>
    <w:rsid w:val="006D5EEA"/>
    <w:rsid w:val="006D61D8"/>
    <w:rsid w:val="006D61DA"/>
    <w:rsid w:val="006D6205"/>
    <w:rsid w:val="006D6293"/>
    <w:rsid w:val="006D65AB"/>
    <w:rsid w:val="006D6F25"/>
    <w:rsid w:val="006D707D"/>
    <w:rsid w:val="006D7390"/>
    <w:rsid w:val="006D7655"/>
    <w:rsid w:val="006D76FC"/>
    <w:rsid w:val="006D7A06"/>
    <w:rsid w:val="006D7AD9"/>
    <w:rsid w:val="006D7F5B"/>
    <w:rsid w:val="006D7F64"/>
    <w:rsid w:val="006E00B0"/>
    <w:rsid w:val="006E00D7"/>
    <w:rsid w:val="006E0376"/>
    <w:rsid w:val="006E0811"/>
    <w:rsid w:val="006E0901"/>
    <w:rsid w:val="006E092B"/>
    <w:rsid w:val="006E0CAE"/>
    <w:rsid w:val="006E0E1C"/>
    <w:rsid w:val="006E0E46"/>
    <w:rsid w:val="006E0E5B"/>
    <w:rsid w:val="006E11C9"/>
    <w:rsid w:val="006E14AC"/>
    <w:rsid w:val="006E14ED"/>
    <w:rsid w:val="006E15AA"/>
    <w:rsid w:val="006E1899"/>
    <w:rsid w:val="006E1B39"/>
    <w:rsid w:val="006E1B7E"/>
    <w:rsid w:val="006E1D48"/>
    <w:rsid w:val="006E1D55"/>
    <w:rsid w:val="006E1F42"/>
    <w:rsid w:val="006E2125"/>
    <w:rsid w:val="006E2230"/>
    <w:rsid w:val="006E2483"/>
    <w:rsid w:val="006E24BA"/>
    <w:rsid w:val="006E262C"/>
    <w:rsid w:val="006E2955"/>
    <w:rsid w:val="006E2AD4"/>
    <w:rsid w:val="006E2B8A"/>
    <w:rsid w:val="006E2D47"/>
    <w:rsid w:val="006E311B"/>
    <w:rsid w:val="006E36F2"/>
    <w:rsid w:val="006E36FB"/>
    <w:rsid w:val="006E37A5"/>
    <w:rsid w:val="006E3944"/>
    <w:rsid w:val="006E39C5"/>
    <w:rsid w:val="006E3A08"/>
    <w:rsid w:val="006E4046"/>
    <w:rsid w:val="006E44D5"/>
    <w:rsid w:val="006E4588"/>
    <w:rsid w:val="006E4638"/>
    <w:rsid w:val="006E4680"/>
    <w:rsid w:val="006E4781"/>
    <w:rsid w:val="006E4AC1"/>
    <w:rsid w:val="006E4DEE"/>
    <w:rsid w:val="006E54A4"/>
    <w:rsid w:val="006E579B"/>
    <w:rsid w:val="006E5BA8"/>
    <w:rsid w:val="006E5C34"/>
    <w:rsid w:val="006E5DBE"/>
    <w:rsid w:val="006E5F13"/>
    <w:rsid w:val="006E5F8B"/>
    <w:rsid w:val="006E60DB"/>
    <w:rsid w:val="006E658A"/>
    <w:rsid w:val="006E65D0"/>
    <w:rsid w:val="006E68C5"/>
    <w:rsid w:val="006E6D94"/>
    <w:rsid w:val="006E7025"/>
    <w:rsid w:val="006E73D9"/>
    <w:rsid w:val="006E743E"/>
    <w:rsid w:val="006E746B"/>
    <w:rsid w:val="006E747D"/>
    <w:rsid w:val="006E753D"/>
    <w:rsid w:val="006E77B7"/>
    <w:rsid w:val="006E7BB7"/>
    <w:rsid w:val="006E7D4C"/>
    <w:rsid w:val="006E7F43"/>
    <w:rsid w:val="006E7FBD"/>
    <w:rsid w:val="006F006C"/>
    <w:rsid w:val="006F014E"/>
    <w:rsid w:val="006F0164"/>
    <w:rsid w:val="006F0209"/>
    <w:rsid w:val="006F065A"/>
    <w:rsid w:val="006F08E0"/>
    <w:rsid w:val="006F0AFD"/>
    <w:rsid w:val="006F0B30"/>
    <w:rsid w:val="006F0BCC"/>
    <w:rsid w:val="006F0C12"/>
    <w:rsid w:val="006F0FA8"/>
    <w:rsid w:val="006F1056"/>
    <w:rsid w:val="006F122E"/>
    <w:rsid w:val="006F13F5"/>
    <w:rsid w:val="006F1532"/>
    <w:rsid w:val="006F16CF"/>
    <w:rsid w:val="006F1845"/>
    <w:rsid w:val="006F18DB"/>
    <w:rsid w:val="006F1A1A"/>
    <w:rsid w:val="006F1A70"/>
    <w:rsid w:val="006F1C27"/>
    <w:rsid w:val="006F1CA3"/>
    <w:rsid w:val="006F1F47"/>
    <w:rsid w:val="006F200F"/>
    <w:rsid w:val="006F20B5"/>
    <w:rsid w:val="006F20ED"/>
    <w:rsid w:val="006F2298"/>
    <w:rsid w:val="006F22CD"/>
    <w:rsid w:val="006F24F2"/>
    <w:rsid w:val="006F276F"/>
    <w:rsid w:val="006F2A1D"/>
    <w:rsid w:val="006F2C58"/>
    <w:rsid w:val="006F3195"/>
    <w:rsid w:val="006F3355"/>
    <w:rsid w:val="006F33FB"/>
    <w:rsid w:val="006F3626"/>
    <w:rsid w:val="006F3DD4"/>
    <w:rsid w:val="006F3E43"/>
    <w:rsid w:val="006F3E4F"/>
    <w:rsid w:val="006F3EC2"/>
    <w:rsid w:val="006F3EE3"/>
    <w:rsid w:val="006F402F"/>
    <w:rsid w:val="006F443B"/>
    <w:rsid w:val="006F45B3"/>
    <w:rsid w:val="006F462E"/>
    <w:rsid w:val="006F47FE"/>
    <w:rsid w:val="006F4A0A"/>
    <w:rsid w:val="006F508B"/>
    <w:rsid w:val="006F5297"/>
    <w:rsid w:val="006F56BD"/>
    <w:rsid w:val="006F5E70"/>
    <w:rsid w:val="006F61D1"/>
    <w:rsid w:val="006F6408"/>
    <w:rsid w:val="006F67AE"/>
    <w:rsid w:val="006F69F8"/>
    <w:rsid w:val="006F6A26"/>
    <w:rsid w:val="006F6CAC"/>
    <w:rsid w:val="006F7271"/>
    <w:rsid w:val="006F734B"/>
    <w:rsid w:val="006F73B3"/>
    <w:rsid w:val="006F77FA"/>
    <w:rsid w:val="006F796F"/>
    <w:rsid w:val="006F7E8D"/>
    <w:rsid w:val="006F7E9A"/>
    <w:rsid w:val="006F7EFB"/>
    <w:rsid w:val="00700268"/>
    <w:rsid w:val="0070036A"/>
    <w:rsid w:val="00700374"/>
    <w:rsid w:val="0070038A"/>
    <w:rsid w:val="00700422"/>
    <w:rsid w:val="00700438"/>
    <w:rsid w:val="0070061B"/>
    <w:rsid w:val="0070086A"/>
    <w:rsid w:val="00700AD0"/>
    <w:rsid w:val="00700B7F"/>
    <w:rsid w:val="00700C78"/>
    <w:rsid w:val="00700CAF"/>
    <w:rsid w:val="00700EED"/>
    <w:rsid w:val="007018A7"/>
    <w:rsid w:val="007018F3"/>
    <w:rsid w:val="007019CA"/>
    <w:rsid w:val="00701AC1"/>
    <w:rsid w:val="00701E70"/>
    <w:rsid w:val="007020F0"/>
    <w:rsid w:val="00702263"/>
    <w:rsid w:val="0070238C"/>
    <w:rsid w:val="0070245D"/>
    <w:rsid w:val="007024A8"/>
    <w:rsid w:val="007028E9"/>
    <w:rsid w:val="007029A7"/>
    <w:rsid w:val="00703236"/>
    <w:rsid w:val="007032EA"/>
    <w:rsid w:val="007033A6"/>
    <w:rsid w:val="0070358D"/>
    <w:rsid w:val="0070369B"/>
    <w:rsid w:val="0070391F"/>
    <w:rsid w:val="00703939"/>
    <w:rsid w:val="00703989"/>
    <w:rsid w:val="00703D46"/>
    <w:rsid w:val="00703D91"/>
    <w:rsid w:val="00703E16"/>
    <w:rsid w:val="00704118"/>
    <w:rsid w:val="00704303"/>
    <w:rsid w:val="00704573"/>
    <w:rsid w:val="00704602"/>
    <w:rsid w:val="00704A55"/>
    <w:rsid w:val="00704F24"/>
    <w:rsid w:val="007050C7"/>
    <w:rsid w:val="007052C7"/>
    <w:rsid w:val="00705330"/>
    <w:rsid w:val="007054E4"/>
    <w:rsid w:val="00705A53"/>
    <w:rsid w:val="00706315"/>
    <w:rsid w:val="00706332"/>
    <w:rsid w:val="00706436"/>
    <w:rsid w:val="0070654E"/>
    <w:rsid w:val="0070662C"/>
    <w:rsid w:val="00706719"/>
    <w:rsid w:val="0070680E"/>
    <w:rsid w:val="00706860"/>
    <w:rsid w:val="00706AE4"/>
    <w:rsid w:val="00706B5D"/>
    <w:rsid w:val="00706E6E"/>
    <w:rsid w:val="00706E87"/>
    <w:rsid w:val="00707136"/>
    <w:rsid w:val="007076F1"/>
    <w:rsid w:val="00707777"/>
    <w:rsid w:val="0070798F"/>
    <w:rsid w:val="00707A8F"/>
    <w:rsid w:val="00707AA6"/>
    <w:rsid w:val="00707AF9"/>
    <w:rsid w:val="00707B08"/>
    <w:rsid w:val="00707E9B"/>
    <w:rsid w:val="0071005E"/>
    <w:rsid w:val="007101B9"/>
    <w:rsid w:val="0071026B"/>
    <w:rsid w:val="007103B0"/>
    <w:rsid w:val="00710466"/>
    <w:rsid w:val="00710581"/>
    <w:rsid w:val="00710804"/>
    <w:rsid w:val="00710987"/>
    <w:rsid w:val="00710B65"/>
    <w:rsid w:val="00710CD8"/>
    <w:rsid w:val="00710D13"/>
    <w:rsid w:val="00710DFB"/>
    <w:rsid w:val="00711108"/>
    <w:rsid w:val="00711565"/>
    <w:rsid w:val="007115B5"/>
    <w:rsid w:val="00711864"/>
    <w:rsid w:val="00711972"/>
    <w:rsid w:val="007119B5"/>
    <w:rsid w:val="00711EE7"/>
    <w:rsid w:val="00711F82"/>
    <w:rsid w:val="0071232D"/>
    <w:rsid w:val="0071246D"/>
    <w:rsid w:val="007127E0"/>
    <w:rsid w:val="00712AB0"/>
    <w:rsid w:val="00712BC3"/>
    <w:rsid w:val="00712CBD"/>
    <w:rsid w:val="00712E30"/>
    <w:rsid w:val="00712EC1"/>
    <w:rsid w:val="00712FDD"/>
    <w:rsid w:val="00712FEF"/>
    <w:rsid w:val="00713191"/>
    <w:rsid w:val="007131B8"/>
    <w:rsid w:val="007134AE"/>
    <w:rsid w:val="00713576"/>
    <w:rsid w:val="0071364F"/>
    <w:rsid w:val="007136A5"/>
    <w:rsid w:val="0071395C"/>
    <w:rsid w:val="00713E11"/>
    <w:rsid w:val="00713F5A"/>
    <w:rsid w:val="00713FFB"/>
    <w:rsid w:val="00714369"/>
    <w:rsid w:val="00714609"/>
    <w:rsid w:val="007147C7"/>
    <w:rsid w:val="007148AD"/>
    <w:rsid w:val="00714AE0"/>
    <w:rsid w:val="00714C79"/>
    <w:rsid w:val="00714D22"/>
    <w:rsid w:val="00714D45"/>
    <w:rsid w:val="00715136"/>
    <w:rsid w:val="00715425"/>
    <w:rsid w:val="00715451"/>
    <w:rsid w:val="0071553F"/>
    <w:rsid w:val="0071562F"/>
    <w:rsid w:val="007156FB"/>
    <w:rsid w:val="00715857"/>
    <w:rsid w:val="00715BB5"/>
    <w:rsid w:val="00715C2E"/>
    <w:rsid w:val="00715CCC"/>
    <w:rsid w:val="00715DC7"/>
    <w:rsid w:val="007162EB"/>
    <w:rsid w:val="007162EC"/>
    <w:rsid w:val="00716421"/>
    <w:rsid w:val="007166F5"/>
    <w:rsid w:val="00717174"/>
    <w:rsid w:val="00717249"/>
    <w:rsid w:val="00717271"/>
    <w:rsid w:val="00717658"/>
    <w:rsid w:val="007177DE"/>
    <w:rsid w:val="007177FB"/>
    <w:rsid w:val="00717895"/>
    <w:rsid w:val="007179B2"/>
    <w:rsid w:val="007179B6"/>
    <w:rsid w:val="00717B93"/>
    <w:rsid w:val="00720081"/>
    <w:rsid w:val="0072032E"/>
    <w:rsid w:val="0072039B"/>
    <w:rsid w:val="00720400"/>
    <w:rsid w:val="00720462"/>
    <w:rsid w:val="0072067E"/>
    <w:rsid w:val="00720ADA"/>
    <w:rsid w:val="00720DDD"/>
    <w:rsid w:val="00720EF4"/>
    <w:rsid w:val="00720F53"/>
    <w:rsid w:val="00721059"/>
    <w:rsid w:val="00721321"/>
    <w:rsid w:val="007214E5"/>
    <w:rsid w:val="00721897"/>
    <w:rsid w:val="007219C7"/>
    <w:rsid w:val="00721AE8"/>
    <w:rsid w:val="00721B2D"/>
    <w:rsid w:val="00721C37"/>
    <w:rsid w:val="00721FB4"/>
    <w:rsid w:val="0072225B"/>
    <w:rsid w:val="0072246C"/>
    <w:rsid w:val="00722593"/>
    <w:rsid w:val="0072298F"/>
    <w:rsid w:val="00722CD7"/>
    <w:rsid w:val="0072310A"/>
    <w:rsid w:val="007233C1"/>
    <w:rsid w:val="00723522"/>
    <w:rsid w:val="00723784"/>
    <w:rsid w:val="007237D2"/>
    <w:rsid w:val="00723D82"/>
    <w:rsid w:val="00723F89"/>
    <w:rsid w:val="00723FBB"/>
    <w:rsid w:val="00724122"/>
    <w:rsid w:val="00724A66"/>
    <w:rsid w:val="00724A76"/>
    <w:rsid w:val="00724B34"/>
    <w:rsid w:val="00724DBB"/>
    <w:rsid w:val="00724F71"/>
    <w:rsid w:val="007256A9"/>
    <w:rsid w:val="007257EC"/>
    <w:rsid w:val="007259BB"/>
    <w:rsid w:val="00725CCC"/>
    <w:rsid w:val="007264AC"/>
    <w:rsid w:val="007265A1"/>
    <w:rsid w:val="007267FA"/>
    <w:rsid w:val="007269AF"/>
    <w:rsid w:val="007269B3"/>
    <w:rsid w:val="007269CE"/>
    <w:rsid w:val="00726BA3"/>
    <w:rsid w:val="00726C85"/>
    <w:rsid w:val="00726CDD"/>
    <w:rsid w:val="00726D9E"/>
    <w:rsid w:val="00726E18"/>
    <w:rsid w:val="00726EE8"/>
    <w:rsid w:val="00726F81"/>
    <w:rsid w:val="0072742C"/>
    <w:rsid w:val="00727687"/>
    <w:rsid w:val="0072771C"/>
    <w:rsid w:val="00727AA0"/>
    <w:rsid w:val="00727DD3"/>
    <w:rsid w:val="00727F81"/>
    <w:rsid w:val="007303E9"/>
    <w:rsid w:val="00730693"/>
    <w:rsid w:val="00730BD6"/>
    <w:rsid w:val="00730DE6"/>
    <w:rsid w:val="00730F51"/>
    <w:rsid w:val="00730FE6"/>
    <w:rsid w:val="007311B2"/>
    <w:rsid w:val="00731275"/>
    <w:rsid w:val="00731277"/>
    <w:rsid w:val="0073139B"/>
    <w:rsid w:val="007313E9"/>
    <w:rsid w:val="007314F1"/>
    <w:rsid w:val="007317A0"/>
    <w:rsid w:val="00731884"/>
    <w:rsid w:val="00731980"/>
    <w:rsid w:val="007319A9"/>
    <w:rsid w:val="00731BBE"/>
    <w:rsid w:val="00731E86"/>
    <w:rsid w:val="00731EDF"/>
    <w:rsid w:val="00731FCB"/>
    <w:rsid w:val="0073202C"/>
    <w:rsid w:val="0073215F"/>
    <w:rsid w:val="00732234"/>
    <w:rsid w:val="007322A8"/>
    <w:rsid w:val="00732386"/>
    <w:rsid w:val="007323A2"/>
    <w:rsid w:val="0073249E"/>
    <w:rsid w:val="00732608"/>
    <w:rsid w:val="00732811"/>
    <w:rsid w:val="007328E7"/>
    <w:rsid w:val="007329DF"/>
    <w:rsid w:val="00732A5A"/>
    <w:rsid w:val="00732AD2"/>
    <w:rsid w:val="00732B31"/>
    <w:rsid w:val="00732DF2"/>
    <w:rsid w:val="00732E9D"/>
    <w:rsid w:val="007331D7"/>
    <w:rsid w:val="007333CF"/>
    <w:rsid w:val="0073364D"/>
    <w:rsid w:val="00733835"/>
    <w:rsid w:val="00733B39"/>
    <w:rsid w:val="00733D65"/>
    <w:rsid w:val="00733E08"/>
    <w:rsid w:val="00733E63"/>
    <w:rsid w:val="00733FE7"/>
    <w:rsid w:val="00734025"/>
    <w:rsid w:val="007340BE"/>
    <w:rsid w:val="00734146"/>
    <w:rsid w:val="00734345"/>
    <w:rsid w:val="0073461E"/>
    <w:rsid w:val="00734675"/>
    <w:rsid w:val="0073482E"/>
    <w:rsid w:val="00734975"/>
    <w:rsid w:val="00734EE4"/>
    <w:rsid w:val="00735952"/>
    <w:rsid w:val="00735BF6"/>
    <w:rsid w:val="00735CE4"/>
    <w:rsid w:val="007360CA"/>
    <w:rsid w:val="00736293"/>
    <w:rsid w:val="007362D1"/>
    <w:rsid w:val="00736471"/>
    <w:rsid w:val="007365CF"/>
    <w:rsid w:val="0073679C"/>
    <w:rsid w:val="00736A65"/>
    <w:rsid w:val="00736E50"/>
    <w:rsid w:val="00736EA2"/>
    <w:rsid w:val="007370DD"/>
    <w:rsid w:val="0073721C"/>
    <w:rsid w:val="00737240"/>
    <w:rsid w:val="00737761"/>
    <w:rsid w:val="007378EB"/>
    <w:rsid w:val="007378FD"/>
    <w:rsid w:val="0073796D"/>
    <w:rsid w:val="00737A40"/>
    <w:rsid w:val="00737CA4"/>
    <w:rsid w:val="00737CB4"/>
    <w:rsid w:val="00737F83"/>
    <w:rsid w:val="007402C4"/>
    <w:rsid w:val="007403B4"/>
    <w:rsid w:val="00740641"/>
    <w:rsid w:val="00740825"/>
    <w:rsid w:val="007409FD"/>
    <w:rsid w:val="0074103F"/>
    <w:rsid w:val="0074126D"/>
    <w:rsid w:val="00741A8D"/>
    <w:rsid w:val="00741C6F"/>
    <w:rsid w:val="00741F61"/>
    <w:rsid w:val="00741FB8"/>
    <w:rsid w:val="00742006"/>
    <w:rsid w:val="00742073"/>
    <w:rsid w:val="007425F0"/>
    <w:rsid w:val="00742625"/>
    <w:rsid w:val="007426B3"/>
    <w:rsid w:val="00742829"/>
    <w:rsid w:val="00742A8F"/>
    <w:rsid w:val="00742D97"/>
    <w:rsid w:val="007430C8"/>
    <w:rsid w:val="00743396"/>
    <w:rsid w:val="007437C6"/>
    <w:rsid w:val="007437DC"/>
    <w:rsid w:val="00743A90"/>
    <w:rsid w:val="00743AC5"/>
    <w:rsid w:val="00743EF2"/>
    <w:rsid w:val="00744110"/>
    <w:rsid w:val="00744241"/>
    <w:rsid w:val="0074467F"/>
    <w:rsid w:val="007447BF"/>
    <w:rsid w:val="00744958"/>
    <w:rsid w:val="00744D2F"/>
    <w:rsid w:val="00744FAF"/>
    <w:rsid w:val="0074551E"/>
    <w:rsid w:val="007458EA"/>
    <w:rsid w:val="00745960"/>
    <w:rsid w:val="00745993"/>
    <w:rsid w:val="00745D32"/>
    <w:rsid w:val="00746293"/>
    <w:rsid w:val="007462DA"/>
    <w:rsid w:val="007466D4"/>
    <w:rsid w:val="007466E0"/>
    <w:rsid w:val="0074672A"/>
    <w:rsid w:val="0074691A"/>
    <w:rsid w:val="00746A5F"/>
    <w:rsid w:val="00746A73"/>
    <w:rsid w:val="00746D53"/>
    <w:rsid w:val="00746D65"/>
    <w:rsid w:val="007475BF"/>
    <w:rsid w:val="007477F4"/>
    <w:rsid w:val="00750073"/>
    <w:rsid w:val="007500E9"/>
    <w:rsid w:val="00750186"/>
    <w:rsid w:val="00750192"/>
    <w:rsid w:val="0075030A"/>
    <w:rsid w:val="007504AB"/>
    <w:rsid w:val="00750540"/>
    <w:rsid w:val="007505D7"/>
    <w:rsid w:val="0075076B"/>
    <w:rsid w:val="0075098F"/>
    <w:rsid w:val="00750D6B"/>
    <w:rsid w:val="00750E30"/>
    <w:rsid w:val="00750F08"/>
    <w:rsid w:val="007514DD"/>
    <w:rsid w:val="007515DF"/>
    <w:rsid w:val="00751855"/>
    <w:rsid w:val="00751BF7"/>
    <w:rsid w:val="00751DAF"/>
    <w:rsid w:val="00751F49"/>
    <w:rsid w:val="00751FB9"/>
    <w:rsid w:val="007520BF"/>
    <w:rsid w:val="007528C4"/>
    <w:rsid w:val="00752AB8"/>
    <w:rsid w:val="00752CE5"/>
    <w:rsid w:val="00752E3A"/>
    <w:rsid w:val="0075303D"/>
    <w:rsid w:val="0075322C"/>
    <w:rsid w:val="007532A6"/>
    <w:rsid w:val="007532D3"/>
    <w:rsid w:val="007532F1"/>
    <w:rsid w:val="00753380"/>
    <w:rsid w:val="00753409"/>
    <w:rsid w:val="00753573"/>
    <w:rsid w:val="00753641"/>
    <w:rsid w:val="00753644"/>
    <w:rsid w:val="0075372D"/>
    <w:rsid w:val="00753819"/>
    <w:rsid w:val="00753C86"/>
    <w:rsid w:val="00753D9E"/>
    <w:rsid w:val="00754159"/>
    <w:rsid w:val="007547A0"/>
    <w:rsid w:val="00754F20"/>
    <w:rsid w:val="00754F2B"/>
    <w:rsid w:val="00755153"/>
    <w:rsid w:val="00755269"/>
    <w:rsid w:val="00755578"/>
    <w:rsid w:val="0075585F"/>
    <w:rsid w:val="00755CBA"/>
    <w:rsid w:val="007561FE"/>
    <w:rsid w:val="00756226"/>
    <w:rsid w:val="0075626D"/>
    <w:rsid w:val="00756289"/>
    <w:rsid w:val="00756380"/>
    <w:rsid w:val="00756690"/>
    <w:rsid w:val="00756ACC"/>
    <w:rsid w:val="00756B10"/>
    <w:rsid w:val="00756C8E"/>
    <w:rsid w:val="00756CB4"/>
    <w:rsid w:val="00756DBF"/>
    <w:rsid w:val="0075724E"/>
    <w:rsid w:val="00757648"/>
    <w:rsid w:val="00757794"/>
    <w:rsid w:val="007577A1"/>
    <w:rsid w:val="00757C03"/>
    <w:rsid w:val="00760017"/>
    <w:rsid w:val="00760063"/>
    <w:rsid w:val="007600AE"/>
    <w:rsid w:val="0076025F"/>
    <w:rsid w:val="00760542"/>
    <w:rsid w:val="00760885"/>
    <w:rsid w:val="00760906"/>
    <w:rsid w:val="00760AE9"/>
    <w:rsid w:val="00760D63"/>
    <w:rsid w:val="00760EA0"/>
    <w:rsid w:val="00761065"/>
    <w:rsid w:val="007613A0"/>
    <w:rsid w:val="007613F7"/>
    <w:rsid w:val="00761487"/>
    <w:rsid w:val="0076174C"/>
    <w:rsid w:val="00761B77"/>
    <w:rsid w:val="00761D69"/>
    <w:rsid w:val="00761DFD"/>
    <w:rsid w:val="00761F55"/>
    <w:rsid w:val="007620A1"/>
    <w:rsid w:val="0076211F"/>
    <w:rsid w:val="00762500"/>
    <w:rsid w:val="00762573"/>
    <w:rsid w:val="007625A5"/>
    <w:rsid w:val="0076265B"/>
    <w:rsid w:val="007626B7"/>
    <w:rsid w:val="00762872"/>
    <w:rsid w:val="00762CC6"/>
    <w:rsid w:val="00763150"/>
    <w:rsid w:val="007633BB"/>
    <w:rsid w:val="00763474"/>
    <w:rsid w:val="00763491"/>
    <w:rsid w:val="0076353A"/>
    <w:rsid w:val="007635EE"/>
    <w:rsid w:val="00763829"/>
    <w:rsid w:val="00763DA7"/>
    <w:rsid w:val="00763F82"/>
    <w:rsid w:val="0076406F"/>
    <w:rsid w:val="00764133"/>
    <w:rsid w:val="0076451F"/>
    <w:rsid w:val="00764BCE"/>
    <w:rsid w:val="007650BD"/>
    <w:rsid w:val="00765146"/>
    <w:rsid w:val="007652AF"/>
    <w:rsid w:val="0076565B"/>
    <w:rsid w:val="00765732"/>
    <w:rsid w:val="0076593C"/>
    <w:rsid w:val="0076594C"/>
    <w:rsid w:val="00765B1D"/>
    <w:rsid w:val="00765CD6"/>
    <w:rsid w:val="00765E44"/>
    <w:rsid w:val="00766163"/>
    <w:rsid w:val="007662C2"/>
    <w:rsid w:val="00766517"/>
    <w:rsid w:val="00767572"/>
    <w:rsid w:val="00767596"/>
    <w:rsid w:val="00767A0A"/>
    <w:rsid w:val="00767DCA"/>
    <w:rsid w:val="00767FA8"/>
    <w:rsid w:val="007700AE"/>
    <w:rsid w:val="007701A6"/>
    <w:rsid w:val="0077040A"/>
    <w:rsid w:val="00770F62"/>
    <w:rsid w:val="00770FB7"/>
    <w:rsid w:val="007711FB"/>
    <w:rsid w:val="00771299"/>
    <w:rsid w:val="00771810"/>
    <w:rsid w:val="00771814"/>
    <w:rsid w:val="00771846"/>
    <w:rsid w:val="0077186E"/>
    <w:rsid w:val="00771A91"/>
    <w:rsid w:val="00771BB2"/>
    <w:rsid w:val="00771EAA"/>
    <w:rsid w:val="00771F7D"/>
    <w:rsid w:val="00771FD1"/>
    <w:rsid w:val="0077215E"/>
    <w:rsid w:val="00772350"/>
    <w:rsid w:val="00772413"/>
    <w:rsid w:val="00772463"/>
    <w:rsid w:val="00772566"/>
    <w:rsid w:val="00772817"/>
    <w:rsid w:val="0077288A"/>
    <w:rsid w:val="0077298C"/>
    <w:rsid w:val="00772D07"/>
    <w:rsid w:val="007731B1"/>
    <w:rsid w:val="00773820"/>
    <w:rsid w:val="00773E2C"/>
    <w:rsid w:val="00773ED2"/>
    <w:rsid w:val="00773EFA"/>
    <w:rsid w:val="0077407E"/>
    <w:rsid w:val="007741EF"/>
    <w:rsid w:val="00774360"/>
    <w:rsid w:val="007749CB"/>
    <w:rsid w:val="00774AA1"/>
    <w:rsid w:val="00774B20"/>
    <w:rsid w:val="00774D31"/>
    <w:rsid w:val="00774E75"/>
    <w:rsid w:val="00774FBC"/>
    <w:rsid w:val="00775269"/>
    <w:rsid w:val="007753B0"/>
    <w:rsid w:val="007754CF"/>
    <w:rsid w:val="00775934"/>
    <w:rsid w:val="00775A01"/>
    <w:rsid w:val="00775AB6"/>
    <w:rsid w:val="00775C2B"/>
    <w:rsid w:val="00775E6B"/>
    <w:rsid w:val="00775F1B"/>
    <w:rsid w:val="00776140"/>
    <w:rsid w:val="007762BA"/>
    <w:rsid w:val="007767BD"/>
    <w:rsid w:val="00776A1D"/>
    <w:rsid w:val="00776CE0"/>
    <w:rsid w:val="00777468"/>
    <w:rsid w:val="007775C3"/>
    <w:rsid w:val="00777727"/>
    <w:rsid w:val="00777818"/>
    <w:rsid w:val="00777A0D"/>
    <w:rsid w:val="00777A91"/>
    <w:rsid w:val="00777B21"/>
    <w:rsid w:val="00777E17"/>
    <w:rsid w:val="00777E50"/>
    <w:rsid w:val="0078005A"/>
    <w:rsid w:val="007801BA"/>
    <w:rsid w:val="007802E0"/>
    <w:rsid w:val="00780537"/>
    <w:rsid w:val="00780803"/>
    <w:rsid w:val="007808A1"/>
    <w:rsid w:val="00780954"/>
    <w:rsid w:val="00780D90"/>
    <w:rsid w:val="00780DF0"/>
    <w:rsid w:val="00781010"/>
    <w:rsid w:val="007811F3"/>
    <w:rsid w:val="0078133B"/>
    <w:rsid w:val="00781516"/>
    <w:rsid w:val="00781886"/>
    <w:rsid w:val="00781A2E"/>
    <w:rsid w:val="00781B5C"/>
    <w:rsid w:val="00782279"/>
    <w:rsid w:val="00782795"/>
    <w:rsid w:val="00782923"/>
    <w:rsid w:val="007829C6"/>
    <w:rsid w:val="00782C18"/>
    <w:rsid w:val="00782C97"/>
    <w:rsid w:val="00782D75"/>
    <w:rsid w:val="00782DD9"/>
    <w:rsid w:val="00782E3A"/>
    <w:rsid w:val="00783261"/>
    <w:rsid w:val="007833FA"/>
    <w:rsid w:val="00783414"/>
    <w:rsid w:val="0078343A"/>
    <w:rsid w:val="00783596"/>
    <w:rsid w:val="00783758"/>
    <w:rsid w:val="00783919"/>
    <w:rsid w:val="00783A75"/>
    <w:rsid w:val="00783AC1"/>
    <w:rsid w:val="00783B45"/>
    <w:rsid w:val="00783BBC"/>
    <w:rsid w:val="00783CD2"/>
    <w:rsid w:val="00783EF6"/>
    <w:rsid w:val="00784125"/>
    <w:rsid w:val="007845B5"/>
    <w:rsid w:val="00784681"/>
    <w:rsid w:val="007846A1"/>
    <w:rsid w:val="00784AC8"/>
    <w:rsid w:val="00784AEB"/>
    <w:rsid w:val="00784C79"/>
    <w:rsid w:val="00784EC8"/>
    <w:rsid w:val="00785318"/>
    <w:rsid w:val="007854C9"/>
    <w:rsid w:val="007855E7"/>
    <w:rsid w:val="0078573F"/>
    <w:rsid w:val="007858BB"/>
    <w:rsid w:val="00785D04"/>
    <w:rsid w:val="00785ED5"/>
    <w:rsid w:val="007866AA"/>
    <w:rsid w:val="007867EA"/>
    <w:rsid w:val="00786BA7"/>
    <w:rsid w:val="00786DA8"/>
    <w:rsid w:val="00786F2E"/>
    <w:rsid w:val="00787242"/>
    <w:rsid w:val="007872E5"/>
    <w:rsid w:val="00787522"/>
    <w:rsid w:val="0078764F"/>
    <w:rsid w:val="00787788"/>
    <w:rsid w:val="0078798F"/>
    <w:rsid w:val="00787F80"/>
    <w:rsid w:val="0079023A"/>
    <w:rsid w:val="007902F8"/>
    <w:rsid w:val="0079031F"/>
    <w:rsid w:val="00790683"/>
    <w:rsid w:val="0079089E"/>
    <w:rsid w:val="00790A3D"/>
    <w:rsid w:val="00790A8E"/>
    <w:rsid w:val="00790B12"/>
    <w:rsid w:val="00790C20"/>
    <w:rsid w:val="00790D27"/>
    <w:rsid w:val="00790E59"/>
    <w:rsid w:val="00790E6A"/>
    <w:rsid w:val="0079104E"/>
    <w:rsid w:val="007911C5"/>
    <w:rsid w:val="007912E4"/>
    <w:rsid w:val="007912F2"/>
    <w:rsid w:val="007913F3"/>
    <w:rsid w:val="0079146B"/>
    <w:rsid w:val="007917D7"/>
    <w:rsid w:val="00791B90"/>
    <w:rsid w:val="00791E47"/>
    <w:rsid w:val="00791F0A"/>
    <w:rsid w:val="00791FCB"/>
    <w:rsid w:val="007922A7"/>
    <w:rsid w:val="00792570"/>
    <w:rsid w:val="00792830"/>
    <w:rsid w:val="007928B6"/>
    <w:rsid w:val="00792D85"/>
    <w:rsid w:val="00792F2D"/>
    <w:rsid w:val="00792F62"/>
    <w:rsid w:val="007930BC"/>
    <w:rsid w:val="00793144"/>
    <w:rsid w:val="00793152"/>
    <w:rsid w:val="00793293"/>
    <w:rsid w:val="007932CC"/>
    <w:rsid w:val="00793603"/>
    <w:rsid w:val="00793683"/>
    <w:rsid w:val="007936CE"/>
    <w:rsid w:val="00793B44"/>
    <w:rsid w:val="00793B85"/>
    <w:rsid w:val="00793D6E"/>
    <w:rsid w:val="00793E11"/>
    <w:rsid w:val="007942DA"/>
    <w:rsid w:val="0079441A"/>
    <w:rsid w:val="00795568"/>
    <w:rsid w:val="0079578B"/>
    <w:rsid w:val="00795F07"/>
    <w:rsid w:val="00796181"/>
    <w:rsid w:val="00796308"/>
    <w:rsid w:val="00796402"/>
    <w:rsid w:val="007964B2"/>
    <w:rsid w:val="00796522"/>
    <w:rsid w:val="0079657B"/>
    <w:rsid w:val="007969AB"/>
    <w:rsid w:val="007970A7"/>
    <w:rsid w:val="007970DB"/>
    <w:rsid w:val="007970E6"/>
    <w:rsid w:val="0079719C"/>
    <w:rsid w:val="0079749F"/>
    <w:rsid w:val="00797675"/>
    <w:rsid w:val="00797735"/>
    <w:rsid w:val="0079788F"/>
    <w:rsid w:val="00797B15"/>
    <w:rsid w:val="00797D9C"/>
    <w:rsid w:val="007A03A1"/>
    <w:rsid w:val="007A03A7"/>
    <w:rsid w:val="007A06C3"/>
    <w:rsid w:val="007A07A2"/>
    <w:rsid w:val="007A07AE"/>
    <w:rsid w:val="007A1347"/>
    <w:rsid w:val="007A1760"/>
    <w:rsid w:val="007A188D"/>
    <w:rsid w:val="007A1B23"/>
    <w:rsid w:val="007A1C47"/>
    <w:rsid w:val="007A1C88"/>
    <w:rsid w:val="007A1CBE"/>
    <w:rsid w:val="007A1CE8"/>
    <w:rsid w:val="007A2226"/>
    <w:rsid w:val="007A22B0"/>
    <w:rsid w:val="007A2519"/>
    <w:rsid w:val="007A2706"/>
    <w:rsid w:val="007A27B1"/>
    <w:rsid w:val="007A29C5"/>
    <w:rsid w:val="007A2B48"/>
    <w:rsid w:val="007A2B9B"/>
    <w:rsid w:val="007A2CD2"/>
    <w:rsid w:val="007A2E6C"/>
    <w:rsid w:val="007A2F89"/>
    <w:rsid w:val="007A31F6"/>
    <w:rsid w:val="007A341C"/>
    <w:rsid w:val="007A3422"/>
    <w:rsid w:val="007A3B24"/>
    <w:rsid w:val="007A3FBC"/>
    <w:rsid w:val="007A4173"/>
    <w:rsid w:val="007A4277"/>
    <w:rsid w:val="007A428C"/>
    <w:rsid w:val="007A44A6"/>
    <w:rsid w:val="007A4508"/>
    <w:rsid w:val="007A4A8E"/>
    <w:rsid w:val="007A4B14"/>
    <w:rsid w:val="007A4C9A"/>
    <w:rsid w:val="007A4CC3"/>
    <w:rsid w:val="007A4D3F"/>
    <w:rsid w:val="007A50F9"/>
    <w:rsid w:val="007A5245"/>
    <w:rsid w:val="007A54B7"/>
    <w:rsid w:val="007A54DC"/>
    <w:rsid w:val="007A587F"/>
    <w:rsid w:val="007A58F7"/>
    <w:rsid w:val="007A5904"/>
    <w:rsid w:val="007A59E6"/>
    <w:rsid w:val="007A5B1C"/>
    <w:rsid w:val="007A5C6C"/>
    <w:rsid w:val="007A5CA9"/>
    <w:rsid w:val="007A6057"/>
    <w:rsid w:val="007A6085"/>
    <w:rsid w:val="007A6137"/>
    <w:rsid w:val="007A621A"/>
    <w:rsid w:val="007A634F"/>
    <w:rsid w:val="007A677B"/>
    <w:rsid w:val="007A67AF"/>
    <w:rsid w:val="007A6898"/>
    <w:rsid w:val="007A68BA"/>
    <w:rsid w:val="007A69D5"/>
    <w:rsid w:val="007A6B96"/>
    <w:rsid w:val="007A6C1A"/>
    <w:rsid w:val="007A6CB0"/>
    <w:rsid w:val="007A6D74"/>
    <w:rsid w:val="007A6ECE"/>
    <w:rsid w:val="007A7390"/>
    <w:rsid w:val="007A7888"/>
    <w:rsid w:val="007A7DC5"/>
    <w:rsid w:val="007B0007"/>
    <w:rsid w:val="007B05DF"/>
    <w:rsid w:val="007B087A"/>
    <w:rsid w:val="007B0909"/>
    <w:rsid w:val="007B091B"/>
    <w:rsid w:val="007B09E0"/>
    <w:rsid w:val="007B0BF1"/>
    <w:rsid w:val="007B0EC5"/>
    <w:rsid w:val="007B0ED2"/>
    <w:rsid w:val="007B0FA8"/>
    <w:rsid w:val="007B116D"/>
    <w:rsid w:val="007B1253"/>
    <w:rsid w:val="007B159F"/>
    <w:rsid w:val="007B179A"/>
    <w:rsid w:val="007B1855"/>
    <w:rsid w:val="007B18D5"/>
    <w:rsid w:val="007B1AA6"/>
    <w:rsid w:val="007B1C25"/>
    <w:rsid w:val="007B2060"/>
    <w:rsid w:val="007B211A"/>
    <w:rsid w:val="007B21E6"/>
    <w:rsid w:val="007B238E"/>
    <w:rsid w:val="007B244D"/>
    <w:rsid w:val="007B26B2"/>
    <w:rsid w:val="007B26B7"/>
    <w:rsid w:val="007B26CC"/>
    <w:rsid w:val="007B274A"/>
    <w:rsid w:val="007B2AA8"/>
    <w:rsid w:val="007B2AEB"/>
    <w:rsid w:val="007B2C1D"/>
    <w:rsid w:val="007B32A7"/>
    <w:rsid w:val="007B32E5"/>
    <w:rsid w:val="007B335A"/>
    <w:rsid w:val="007B33D4"/>
    <w:rsid w:val="007B37E6"/>
    <w:rsid w:val="007B43C4"/>
    <w:rsid w:val="007B45F2"/>
    <w:rsid w:val="007B4693"/>
    <w:rsid w:val="007B4739"/>
    <w:rsid w:val="007B47D7"/>
    <w:rsid w:val="007B4C44"/>
    <w:rsid w:val="007B4CD7"/>
    <w:rsid w:val="007B523F"/>
    <w:rsid w:val="007B549B"/>
    <w:rsid w:val="007B56B1"/>
    <w:rsid w:val="007B57EF"/>
    <w:rsid w:val="007B59D8"/>
    <w:rsid w:val="007B5A7F"/>
    <w:rsid w:val="007B5CE6"/>
    <w:rsid w:val="007B5DC7"/>
    <w:rsid w:val="007B6119"/>
    <w:rsid w:val="007B616E"/>
    <w:rsid w:val="007B6192"/>
    <w:rsid w:val="007B61AA"/>
    <w:rsid w:val="007B6200"/>
    <w:rsid w:val="007B6614"/>
    <w:rsid w:val="007B687B"/>
    <w:rsid w:val="007B68AE"/>
    <w:rsid w:val="007B6929"/>
    <w:rsid w:val="007B6951"/>
    <w:rsid w:val="007B69DB"/>
    <w:rsid w:val="007B6B38"/>
    <w:rsid w:val="007B6CB9"/>
    <w:rsid w:val="007B6D37"/>
    <w:rsid w:val="007B6F4A"/>
    <w:rsid w:val="007B738E"/>
    <w:rsid w:val="007B7471"/>
    <w:rsid w:val="007B7870"/>
    <w:rsid w:val="007B787A"/>
    <w:rsid w:val="007B7C56"/>
    <w:rsid w:val="007B7E06"/>
    <w:rsid w:val="007C0130"/>
    <w:rsid w:val="007C0205"/>
    <w:rsid w:val="007C033F"/>
    <w:rsid w:val="007C0484"/>
    <w:rsid w:val="007C06F2"/>
    <w:rsid w:val="007C0973"/>
    <w:rsid w:val="007C0B73"/>
    <w:rsid w:val="007C1037"/>
    <w:rsid w:val="007C120C"/>
    <w:rsid w:val="007C1875"/>
    <w:rsid w:val="007C1D7C"/>
    <w:rsid w:val="007C1ED9"/>
    <w:rsid w:val="007C1EDF"/>
    <w:rsid w:val="007C1F9C"/>
    <w:rsid w:val="007C232F"/>
    <w:rsid w:val="007C24B2"/>
    <w:rsid w:val="007C2553"/>
    <w:rsid w:val="007C2A94"/>
    <w:rsid w:val="007C307C"/>
    <w:rsid w:val="007C344E"/>
    <w:rsid w:val="007C34C4"/>
    <w:rsid w:val="007C3593"/>
    <w:rsid w:val="007C371B"/>
    <w:rsid w:val="007C3A15"/>
    <w:rsid w:val="007C3B8A"/>
    <w:rsid w:val="007C3DB3"/>
    <w:rsid w:val="007C3DEE"/>
    <w:rsid w:val="007C3FC2"/>
    <w:rsid w:val="007C4AB1"/>
    <w:rsid w:val="007C4D5E"/>
    <w:rsid w:val="007C4E36"/>
    <w:rsid w:val="007C567E"/>
    <w:rsid w:val="007C5692"/>
    <w:rsid w:val="007C5961"/>
    <w:rsid w:val="007C5A54"/>
    <w:rsid w:val="007C5B40"/>
    <w:rsid w:val="007C5B89"/>
    <w:rsid w:val="007C5C54"/>
    <w:rsid w:val="007C5DBE"/>
    <w:rsid w:val="007C5F15"/>
    <w:rsid w:val="007C5FCC"/>
    <w:rsid w:val="007C603F"/>
    <w:rsid w:val="007C60E1"/>
    <w:rsid w:val="007C6190"/>
    <w:rsid w:val="007C61CF"/>
    <w:rsid w:val="007C6324"/>
    <w:rsid w:val="007C64CD"/>
    <w:rsid w:val="007C6794"/>
    <w:rsid w:val="007C6956"/>
    <w:rsid w:val="007C6D46"/>
    <w:rsid w:val="007C6DC1"/>
    <w:rsid w:val="007C6F1B"/>
    <w:rsid w:val="007C6F2A"/>
    <w:rsid w:val="007C702A"/>
    <w:rsid w:val="007C727C"/>
    <w:rsid w:val="007C72CC"/>
    <w:rsid w:val="007C7411"/>
    <w:rsid w:val="007C77CC"/>
    <w:rsid w:val="007C78B2"/>
    <w:rsid w:val="007C7DEE"/>
    <w:rsid w:val="007D00E7"/>
    <w:rsid w:val="007D071E"/>
    <w:rsid w:val="007D1097"/>
    <w:rsid w:val="007D115B"/>
    <w:rsid w:val="007D12CC"/>
    <w:rsid w:val="007D13AF"/>
    <w:rsid w:val="007D1619"/>
    <w:rsid w:val="007D1D14"/>
    <w:rsid w:val="007D1FAC"/>
    <w:rsid w:val="007D285E"/>
    <w:rsid w:val="007D290E"/>
    <w:rsid w:val="007D2966"/>
    <w:rsid w:val="007D296D"/>
    <w:rsid w:val="007D2F75"/>
    <w:rsid w:val="007D3203"/>
    <w:rsid w:val="007D335E"/>
    <w:rsid w:val="007D3370"/>
    <w:rsid w:val="007D3493"/>
    <w:rsid w:val="007D3967"/>
    <w:rsid w:val="007D39BE"/>
    <w:rsid w:val="007D3A35"/>
    <w:rsid w:val="007D3AAC"/>
    <w:rsid w:val="007D3B37"/>
    <w:rsid w:val="007D3C47"/>
    <w:rsid w:val="007D4230"/>
    <w:rsid w:val="007D4258"/>
    <w:rsid w:val="007D45D5"/>
    <w:rsid w:val="007D497C"/>
    <w:rsid w:val="007D4EA6"/>
    <w:rsid w:val="007D5013"/>
    <w:rsid w:val="007D5066"/>
    <w:rsid w:val="007D558D"/>
    <w:rsid w:val="007D5710"/>
    <w:rsid w:val="007D5836"/>
    <w:rsid w:val="007D5885"/>
    <w:rsid w:val="007D58BA"/>
    <w:rsid w:val="007D5A4B"/>
    <w:rsid w:val="007D5C82"/>
    <w:rsid w:val="007D5D75"/>
    <w:rsid w:val="007D5D98"/>
    <w:rsid w:val="007D6281"/>
    <w:rsid w:val="007D62A4"/>
    <w:rsid w:val="007D63BF"/>
    <w:rsid w:val="007D6521"/>
    <w:rsid w:val="007D66E1"/>
    <w:rsid w:val="007D6713"/>
    <w:rsid w:val="007D694A"/>
    <w:rsid w:val="007D6D32"/>
    <w:rsid w:val="007D71D4"/>
    <w:rsid w:val="007D735D"/>
    <w:rsid w:val="007D73D2"/>
    <w:rsid w:val="007D74DD"/>
    <w:rsid w:val="007D759D"/>
    <w:rsid w:val="007D7656"/>
    <w:rsid w:val="007D7A27"/>
    <w:rsid w:val="007D7B77"/>
    <w:rsid w:val="007D7F6C"/>
    <w:rsid w:val="007E010C"/>
    <w:rsid w:val="007E01AF"/>
    <w:rsid w:val="007E0272"/>
    <w:rsid w:val="007E040F"/>
    <w:rsid w:val="007E043D"/>
    <w:rsid w:val="007E0850"/>
    <w:rsid w:val="007E09DC"/>
    <w:rsid w:val="007E0BAE"/>
    <w:rsid w:val="007E0FE5"/>
    <w:rsid w:val="007E11A4"/>
    <w:rsid w:val="007E11C2"/>
    <w:rsid w:val="007E1740"/>
    <w:rsid w:val="007E17E8"/>
    <w:rsid w:val="007E1831"/>
    <w:rsid w:val="007E19C1"/>
    <w:rsid w:val="007E1DD0"/>
    <w:rsid w:val="007E21DC"/>
    <w:rsid w:val="007E2274"/>
    <w:rsid w:val="007E243E"/>
    <w:rsid w:val="007E282B"/>
    <w:rsid w:val="007E2BA8"/>
    <w:rsid w:val="007E30CF"/>
    <w:rsid w:val="007E30E2"/>
    <w:rsid w:val="007E3293"/>
    <w:rsid w:val="007E352F"/>
    <w:rsid w:val="007E37EA"/>
    <w:rsid w:val="007E3C16"/>
    <w:rsid w:val="007E3D26"/>
    <w:rsid w:val="007E3E65"/>
    <w:rsid w:val="007E409E"/>
    <w:rsid w:val="007E421E"/>
    <w:rsid w:val="007E4257"/>
    <w:rsid w:val="007E470C"/>
    <w:rsid w:val="007E47B5"/>
    <w:rsid w:val="007E4875"/>
    <w:rsid w:val="007E5341"/>
    <w:rsid w:val="007E565C"/>
    <w:rsid w:val="007E594A"/>
    <w:rsid w:val="007E5959"/>
    <w:rsid w:val="007E5AC5"/>
    <w:rsid w:val="007E5D7C"/>
    <w:rsid w:val="007E5E01"/>
    <w:rsid w:val="007E6661"/>
    <w:rsid w:val="007E6788"/>
    <w:rsid w:val="007E6826"/>
    <w:rsid w:val="007E6A1E"/>
    <w:rsid w:val="007E6B11"/>
    <w:rsid w:val="007E6BB6"/>
    <w:rsid w:val="007E6DE6"/>
    <w:rsid w:val="007E6FBA"/>
    <w:rsid w:val="007E6FEA"/>
    <w:rsid w:val="007E7125"/>
    <w:rsid w:val="007E7140"/>
    <w:rsid w:val="007E73CC"/>
    <w:rsid w:val="007E745A"/>
    <w:rsid w:val="007E78F4"/>
    <w:rsid w:val="007E7BE3"/>
    <w:rsid w:val="007F007D"/>
    <w:rsid w:val="007F03DF"/>
    <w:rsid w:val="007F084A"/>
    <w:rsid w:val="007F0924"/>
    <w:rsid w:val="007F0BBF"/>
    <w:rsid w:val="007F0CCC"/>
    <w:rsid w:val="007F0E7B"/>
    <w:rsid w:val="007F0EDA"/>
    <w:rsid w:val="007F1514"/>
    <w:rsid w:val="007F181F"/>
    <w:rsid w:val="007F1AF2"/>
    <w:rsid w:val="007F1CDB"/>
    <w:rsid w:val="007F1E68"/>
    <w:rsid w:val="007F1E7C"/>
    <w:rsid w:val="007F1EBD"/>
    <w:rsid w:val="007F2109"/>
    <w:rsid w:val="007F2151"/>
    <w:rsid w:val="007F2457"/>
    <w:rsid w:val="007F258D"/>
    <w:rsid w:val="007F2779"/>
    <w:rsid w:val="007F2A78"/>
    <w:rsid w:val="007F2D3A"/>
    <w:rsid w:val="007F2E1A"/>
    <w:rsid w:val="007F2EF3"/>
    <w:rsid w:val="007F30E4"/>
    <w:rsid w:val="007F3275"/>
    <w:rsid w:val="007F32F6"/>
    <w:rsid w:val="007F3573"/>
    <w:rsid w:val="007F37AD"/>
    <w:rsid w:val="007F3BC1"/>
    <w:rsid w:val="007F3BF5"/>
    <w:rsid w:val="007F3CBF"/>
    <w:rsid w:val="007F3CCE"/>
    <w:rsid w:val="007F3F2F"/>
    <w:rsid w:val="007F4052"/>
    <w:rsid w:val="007F44E1"/>
    <w:rsid w:val="007F4599"/>
    <w:rsid w:val="007F45A0"/>
    <w:rsid w:val="007F4831"/>
    <w:rsid w:val="007F497D"/>
    <w:rsid w:val="007F4BAC"/>
    <w:rsid w:val="007F512B"/>
    <w:rsid w:val="007F5258"/>
    <w:rsid w:val="007F53DA"/>
    <w:rsid w:val="007F55A6"/>
    <w:rsid w:val="007F55D5"/>
    <w:rsid w:val="007F5604"/>
    <w:rsid w:val="007F57E3"/>
    <w:rsid w:val="007F586D"/>
    <w:rsid w:val="007F5B2B"/>
    <w:rsid w:val="007F5EBB"/>
    <w:rsid w:val="007F602A"/>
    <w:rsid w:val="007F60F2"/>
    <w:rsid w:val="007F61F8"/>
    <w:rsid w:val="007F636D"/>
    <w:rsid w:val="007F63AB"/>
    <w:rsid w:val="007F6433"/>
    <w:rsid w:val="007F6A79"/>
    <w:rsid w:val="007F6A7F"/>
    <w:rsid w:val="007F6B0F"/>
    <w:rsid w:val="007F6B8E"/>
    <w:rsid w:val="007F70A8"/>
    <w:rsid w:val="007F72D8"/>
    <w:rsid w:val="007F72FA"/>
    <w:rsid w:val="007F732E"/>
    <w:rsid w:val="007F77E0"/>
    <w:rsid w:val="007F7862"/>
    <w:rsid w:val="007F7B3D"/>
    <w:rsid w:val="007F7C1F"/>
    <w:rsid w:val="007F7D52"/>
    <w:rsid w:val="007F7F19"/>
    <w:rsid w:val="008001BC"/>
    <w:rsid w:val="008004BB"/>
    <w:rsid w:val="00800548"/>
    <w:rsid w:val="0080060A"/>
    <w:rsid w:val="00800654"/>
    <w:rsid w:val="008008E4"/>
    <w:rsid w:val="00800995"/>
    <w:rsid w:val="00800AE7"/>
    <w:rsid w:val="00801240"/>
    <w:rsid w:val="008012F5"/>
    <w:rsid w:val="00801489"/>
    <w:rsid w:val="00801502"/>
    <w:rsid w:val="00801C73"/>
    <w:rsid w:val="00801F09"/>
    <w:rsid w:val="00801F53"/>
    <w:rsid w:val="008021E6"/>
    <w:rsid w:val="00802283"/>
    <w:rsid w:val="008022BD"/>
    <w:rsid w:val="0080239A"/>
    <w:rsid w:val="0080253F"/>
    <w:rsid w:val="008027DD"/>
    <w:rsid w:val="0080297E"/>
    <w:rsid w:val="00802AD1"/>
    <w:rsid w:val="00802F15"/>
    <w:rsid w:val="00802F84"/>
    <w:rsid w:val="00803079"/>
    <w:rsid w:val="008030B8"/>
    <w:rsid w:val="00803186"/>
    <w:rsid w:val="00803323"/>
    <w:rsid w:val="008033BB"/>
    <w:rsid w:val="00803504"/>
    <w:rsid w:val="008035C2"/>
    <w:rsid w:val="00803651"/>
    <w:rsid w:val="008037F3"/>
    <w:rsid w:val="0080381B"/>
    <w:rsid w:val="00803876"/>
    <w:rsid w:val="008039CE"/>
    <w:rsid w:val="00803A5D"/>
    <w:rsid w:val="00803CCC"/>
    <w:rsid w:val="00803DCC"/>
    <w:rsid w:val="00804118"/>
    <w:rsid w:val="0080493C"/>
    <w:rsid w:val="00804D29"/>
    <w:rsid w:val="00805257"/>
    <w:rsid w:val="008054BA"/>
    <w:rsid w:val="008056D3"/>
    <w:rsid w:val="00805843"/>
    <w:rsid w:val="008058BD"/>
    <w:rsid w:val="008058CB"/>
    <w:rsid w:val="00805C01"/>
    <w:rsid w:val="00805CA5"/>
    <w:rsid w:val="00805CFC"/>
    <w:rsid w:val="00805E08"/>
    <w:rsid w:val="00806025"/>
    <w:rsid w:val="00806416"/>
    <w:rsid w:val="008064CD"/>
    <w:rsid w:val="00806580"/>
    <w:rsid w:val="00806787"/>
    <w:rsid w:val="0080686D"/>
    <w:rsid w:val="00806CF3"/>
    <w:rsid w:val="008071B7"/>
    <w:rsid w:val="00807444"/>
    <w:rsid w:val="008075B6"/>
    <w:rsid w:val="00807C3A"/>
    <w:rsid w:val="008101C4"/>
    <w:rsid w:val="0081036D"/>
    <w:rsid w:val="0081055F"/>
    <w:rsid w:val="00810A30"/>
    <w:rsid w:val="00810B2D"/>
    <w:rsid w:val="00810CF2"/>
    <w:rsid w:val="00810E1A"/>
    <w:rsid w:val="00810FA5"/>
    <w:rsid w:val="00811283"/>
    <w:rsid w:val="008115CA"/>
    <w:rsid w:val="00811654"/>
    <w:rsid w:val="00811AC1"/>
    <w:rsid w:val="00811ADA"/>
    <w:rsid w:val="00811DF1"/>
    <w:rsid w:val="00811E15"/>
    <w:rsid w:val="00812030"/>
    <w:rsid w:val="0081218F"/>
    <w:rsid w:val="008121B3"/>
    <w:rsid w:val="008122FB"/>
    <w:rsid w:val="00812A85"/>
    <w:rsid w:val="00812AE8"/>
    <w:rsid w:val="00812C9B"/>
    <w:rsid w:val="00812F5D"/>
    <w:rsid w:val="00813119"/>
    <w:rsid w:val="008132D7"/>
    <w:rsid w:val="0081347D"/>
    <w:rsid w:val="00813494"/>
    <w:rsid w:val="0081368C"/>
    <w:rsid w:val="008137B1"/>
    <w:rsid w:val="008137EA"/>
    <w:rsid w:val="00813AE1"/>
    <w:rsid w:val="00813D61"/>
    <w:rsid w:val="00813E4C"/>
    <w:rsid w:val="00813EA1"/>
    <w:rsid w:val="00813FE4"/>
    <w:rsid w:val="00814085"/>
    <w:rsid w:val="0081428F"/>
    <w:rsid w:val="008146BE"/>
    <w:rsid w:val="008148F0"/>
    <w:rsid w:val="008149C1"/>
    <w:rsid w:val="008149F9"/>
    <w:rsid w:val="00814B54"/>
    <w:rsid w:val="00814C4E"/>
    <w:rsid w:val="00814E68"/>
    <w:rsid w:val="00814E71"/>
    <w:rsid w:val="00814F15"/>
    <w:rsid w:val="00814F48"/>
    <w:rsid w:val="008152F4"/>
    <w:rsid w:val="008153CF"/>
    <w:rsid w:val="008153F3"/>
    <w:rsid w:val="0081540B"/>
    <w:rsid w:val="008154FB"/>
    <w:rsid w:val="00815624"/>
    <w:rsid w:val="00815E13"/>
    <w:rsid w:val="00815F0C"/>
    <w:rsid w:val="00815F95"/>
    <w:rsid w:val="00816345"/>
    <w:rsid w:val="008163A3"/>
    <w:rsid w:val="008165A7"/>
    <w:rsid w:val="008165DC"/>
    <w:rsid w:val="00816652"/>
    <w:rsid w:val="00816940"/>
    <w:rsid w:val="00816E35"/>
    <w:rsid w:val="0081716E"/>
    <w:rsid w:val="0081722F"/>
    <w:rsid w:val="0081738E"/>
    <w:rsid w:val="0081744C"/>
    <w:rsid w:val="008175FE"/>
    <w:rsid w:val="0081783D"/>
    <w:rsid w:val="00817A85"/>
    <w:rsid w:val="00820261"/>
    <w:rsid w:val="0082056C"/>
    <w:rsid w:val="008208BD"/>
    <w:rsid w:val="00820BD5"/>
    <w:rsid w:val="00820FF5"/>
    <w:rsid w:val="00821170"/>
    <w:rsid w:val="0082137F"/>
    <w:rsid w:val="00821A53"/>
    <w:rsid w:val="0082202F"/>
    <w:rsid w:val="008225BD"/>
    <w:rsid w:val="008226B9"/>
    <w:rsid w:val="00822901"/>
    <w:rsid w:val="00822DB3"/>
    <w:rsid w:val="00823346"/>
    <w:rsid w:val="008233B9"/>
    <w:rsid w:val="00823416"/>
    <w:rsid w:val="0082360D"/>
    <w:rsid w:val="00823BED"/>
    <w:rsid w:val="00823C0B"/>
    <w:rsid w:val="00823D25"/>
    <w:rsid w:val="0082404D"/>
    <w:rsid w:val="008244DD"/>
    <w:rsid w:val="008246EA"/>
    <w:rsid w:val="00824720"/>
    <w:rsid w:val="0082493E"/>
    <w:rsid w:val="00824BD1"/>
    <w:rsid w:val="008253E6"/>
    <w:rsid w:val="00825481"/>
    <w:rsid w:val="00825550"/>
    <w:rsid w:val="00826592"/>
    <w:rsid w:val="00826672"/>
    <w:rsid w:val="00826853"/>
    <w:rsid w:val="008268A8"/>
    <w:rsid w:val="00826912"/>
    <w:rsid w:val="00826CCC"/>
    <w:rsid w:val="00826E4C"/>
    <w:rsid w:val="00826F3B"/>
    <w:rsid w:val="00826FC8"/>
    <w:rsid w:val="00827069"/>
    <w:rsid w:val="008273DC"/>
    <w:rsid w:val="008274BC"/>
    <w:rsid w:val="00827650"/>
    <w:rsid w:val="008276D4"/>
    <w:rsid w:val="008278B2"/>
    <w:rsid w:val="00827924"/>
    <w:rsid w:val="00827A62"/>
    <w:rsid w:val="00827C95"/>
    <w:rsid w:val="00827F0F"/>
    <w:rsid w:val="00827FCF"/>
    <w:rsid w:val="008301BB"/>
    <w:rsid w:val="0083037D"/>
    <w:rsid w:val="00830467"/>
    <w:rsid w:val="008304F4"/>
    <w:rsid w:val="00830639"/>
    <w:rsid w:val="0083065C"/>
    <w:rsid w:val="008308E4"/>
    <w:rsid w:val="00830C9F"/>
    <w:rsid w:val="00830F39"/>
    <w:rsid w:val="008310F3"/>
    <w:rsid w:val="00831271"/>
    <w:rsid w:val="008314AA"/>
    <w:rsid w:val="00831593"/>
    <w:rsid w:val="008315A0"/>
    <w:rsid w:val="008315CD"/>
    <w:rsid w:val="00831746"/>
    <w:rsid w:val="0083187E"/>
    <w:rsid w:val="00831914"/>
    <w:rsid w:val="00831B4E"/>
    <w:rsid w:val="00831E50"/>
    <w:rsid w:val="008320B6"/>
    <w:rsid w:val="00832165"/>
    <w:rsid w:val="00832242"/>
    <w:rsid w:val="008322C0"/>
    <w:rsid w:val="0083249E"/>
    <w:rsid w:val="00832918"/>
    <w:rsid w:val="00832A6C"/>
    <w:rsid w:val="00832D6F"/>
    <w:rsid w:val="00833075"/>
    <w:rsid w:val="0083348C"/>
    <w:rsid w:val="008335A5"/>
    <w:rsid w:val="008339E4"/>
    <w:rsid w:val="00833D35"/>
    <w:rsid w:val="00833F3D"/>
    <w:rsid w:val="008342EF"/>
    <w:rsid w:val="008342F6"/>
    <w:rsid w:val="00834566"/>
    <w:rsid w:val="00834797"/>
    <w:rsid w:val="008347FC"/>
    <w:rsid w:val="00834A2E"/>
    <w:rsid w:val="00834BF5"/>
    <w:rsid w:val="00834D9B"/>
    <w:rsid w:val="00835059"/>
    <w:rsid w:val="00835252"/>
    <w:rsid w:val="008354FD"/>
    <w:rsid w:val="00835536"/>
    <w:rsid w:val="00835692"/>
    <w:rsid w:val="008358BA"/>
    <w:rsid w:val="00836007"/>
    <w:rsid w:val="00836129"/>
    <w:rsid w:val="0083630A"/>
    <w:rsid w:val="0083640F"/>
    <w:rsid w:val="0083654E"/>
    <w:rsid w:val="008368CC"/>
    <w:rsid w:val="00836929"/>
    <w:rsid w:val="00836931"/>
    <w:rsid w:val="00836B50"/>
    <w:rsid w:val="00836EDB"/>
    <w:rsid w:val="0083711E"/>
    <w:rsid w:val="008372AA"/>
    <w:rsid w:val="008374D6"/>
    <w:rsid w:val="0083755E"/>
    <w:rsid w:val="00837749"/>
    <w:rsid w:val="00837A73"/>
    <w:rsid w:val="00837F90"/>
    <w:rsid w:val="00837FBA"/>
    <w:rsid w:val="008400A6"/>
    <w:rsid w:val="00840329"/>
    <w:rsid w:val="008404C6"/>
    <w:rsid w:val="008407EF"/>
    <w:rsid w:val="00840CF7"/>
    <w:rsid w:val="00840F46"/>
    <w:rsid w:val="008411B9"/>
    <w:rsid w:val="008411D4"/>
    <w:rsid w:val="00841350"/>
    <w:rsid w:val="0084155D"/>
    <w:rsid w:val="008415B5"/>
    <w:rsid w:val="008415E4"/>
    <w:rsid w:val="0084173F"/>
    <w:rsid w:val="00841EF8"/>
    <w:rsid w:val="0084209F"/>
    <w:rsid w:val="008420D4"/>
    <w:rsid w:val="00842509"/>
    <w:rsid w:val="008426EB"/>
    <w:rsid w:val="00842F98"/>
    <w:rsid w:val="008430E4"/>
    <w:rsid w:val="0084319A"/>
    <w:rsid w:val="0084335F"/>
    <w:rsid w:val="008434A4"/>
    <w:rsid w:val="008435CD"/>
    <w:rsid w:val="008435D5"/>
    <w:rsid w:val="0084363F"/>
    <w:rsid w:val="008437FD"/>
    <w:rsid w:val="008438E3"/>
    <w:rsid w:val="00843A95"/>
    <w:rsid w:val="00843DE0"/>
    <w:rsid w:val="00843E60"/>
    <w:rsid w:val="0084412A"/>
    <w:rsid w:val="00844503"/>
    <w:rsid w:val="00844587"/>
    <w:rsid w:val="0084476E"/>
    <w:rsid w:val="0084485F"/>
    <w:rsid w:val="00844A13"/>
    <w:rsid w:val="00844FDC"/>
    <w:rsid w:val="00845E21"/>
    <w:rsid w:val="0084603B"/>
    <w:rsid w:val="008460AD"/>
    <w:rsid w:val="008466B5"/>
    <w:rsid w:val="00846733"/>
    <w:rsid w:val="008467B5"/>
    <w:rsid w:val="0084688B"/>
    <w:rsid w:val="0084690A"/>
    <w:rsid w:val="00846B1B"/>
    <w:rsid w:val="00846B3C"/>
    <w:rsid w:val="00846BFB"/>
    <w:rsid w:val="00846FFE"/>
    <w:rsid w:val="00847046"/>
    <w:rsid w:val="00847479"/>
    <w:rsid w:val="008474D7"/>
    <w:rsid w:val="008478CA"/>
    <w:rsid w:val="00847AB8"/>
    <w:rsid w:val="00847F00"/>
    <w:rsid w:val="008500C0"/>
    <w:rsid w:val="0085030A"/>
    <w:rsid w:val="008503D6"/>
    <w:rsid w:val="00850597"/>
    <w:rsid w:val="00850888"/>
    <w:rsid w:val="00850A1B"/>
    <w:rsid w:val="00850BB5"/>
    <w:rsid w:val="00850BBE"/>
    <w:rsid w:val="00850C0A"/>
    <w:rsid w:val="00850C9E"/>
    <w:rsid w:val="00850F35"/>
    <w:rsid w:val="00850FC1"/>
    <w:rsid w:val="008514F2"/>
    <w:rsid w:val="00851700"/>
    <w:rsid w:val="008517DB"/>
    <w:rsid w:val="008517F5"/>
    <w:rsid w:val="00851A5B"/>
    <w:rsid w:val="00851D07"/>
    <w:rsid w:val="00851D91"/>
    <w:rsid w:val="00851E16"/>
    <w:rsid w:val="00852104"/>
    <w:rsid w:val="00852889"/>
    <w:rsid w:val="00852AEC"/>
    <w:rsid w:val="00852D16"/>
    <w:rsid w:val="00852F7C"/>
    <w:rsid w:val="00853302"/>
    <w:rsid w:val="0085364C"/>
    <w:rsid w:val="008537BF"/>
    <w:rsid w:val="00853EE8"/>
    <w:rsid w:val="008542D7"/>
    <w:rsid w:val="00854348"/>
    <w:rsid w:val="00854405"/>
    <w:rsid w:val="00854458"/>
    <w:rsid w:val="008544FB"/>
    <w:rsid w:val="008544FC"/>
    <w:rsid w:val="008548FC"/>
    <w:rsid w:val="00854FA3"/>
    <w:rsid w:val="008550CA"/>
    <w:rsid w:val="008551F5"/>
    <w:rsid w:val="008552AC"/>
    <w:rsid w:val="0085560B"/>
    <w:rsid w:val="00855771"/>
    <w:rsid w:val="00855C2F"/>
    <w:rsid w:val="00856016"/>
    <w:rsid w:val="00856066"/>
    <w:rsid w:val="00856366"/>
    <w:rsid w:val="008566CC"/>
    <w:rsid w:val="008569B0"/>
    <w:rsid w:val="00856AF9"/>
    <w:rsid w:val="00856CE9"/>
    <w:rsid w:val="00856E1F"/>
    <w:rsid w:val="008570B2"/>
    <w:rsid w:val="00857979"/>
    <w:rsid w:val="0086015C"/>
    <w:rsid w:val="0086017F"/>
    <w:rsid w:val="00860407"/>
    <w:rsid w:val="00860665"/>
    <w:rsid w:val="0086092B"/>
    <w:rsid w:val="00860DF6"/>
    <w:rsid w:val="00860E1D"/>
    <w:rsid w:val="00860F45"/>
    <w:rsid w:val="00860F4E"/>
    <w:rsid w:val="0086121A"/>
    <w:rsid w:val="008612D9"/>
    <w:rsid w:val="0086134B"/>
    <w:rsid w:val="008614C3"/>
    <w:rsid w:val="008619D8"/>
    <w:rsid w:val="00861C0F"/>
    <w:rsid w:val="00861DBE"/>
    <w:rsid w:val="00861E8B"/>
    <w:rsid w:val="00861ECA"/>
    <w:rsid w:val="008621A5"/>
    <w:rsid w:val="008622DA"/>
    <w:rsid w:val="008622E8"/>
    <w:rsid w:val="0086232D"/>
    <w:rsid w:val="0086234D"/>
    <w:rsid w:val="00862697"/>
    <w:rsid w:val="00862A55"/>
    <w:rsid w:val="00863334"/>
    <w:rsid w:val="00863459"/>
    <w:rsid w:val="008636C9"/>
    <w:rsid w:val="00863B91"/>
    <w:rsid w:val="00863B9B"/>
    <w:rsid w:val="00863F2A"/>
    <w:rsid w:val="00863FB4"/>
    <w:rsid w:val="00863FB7"/>
    <w:rsid w:val="00864238"/>
    <w:rsid w:val="00864433"/>
    <w:rsid w:val="0086479A"/>
    <w:rsid w:val="00864977"/>
    <w:rsid w:val="00864ADC"/>
    <w:rsid w:val="00864AEB"/>
    <w:rsid w:val="00864F47"/>
    <w:rsid w:val="00865059"/>
    <w:rsid w:val="008650B6"/>
    <w:rsid w:val="008650F0"/>
    <w:rsid w:val="00865294"/>
    <w:rsid w:val="008653D0"/>
    <w:rsid w:val="008653E2"/>
    <w:rsid w:val="00865514"/>
    <w:rsid w:val="008656FC"/>
    <w:rsid w:val="00865913"/>
    <w:rsid w:val="00865F1C"/>
    <w:rsid w:val="00865FAC"/>
    <w:rsid w:val="00865FD2"/>
    <w:rsid w:val="00866989"/>
    <w:rsid w:val="00866AA3"/>
    <w:rsid w:val="00866AE6"/>
    <w:rsid w:val="00866B3B"/>
    <w:rsid w:val="00866E6C"/>
    <w:rsid w:val="00867366"/>
    <w:rsid w:val="00867BC6"/>
    <w:rsid w:val="0087005A"/>
    <w:rsid w:val="008701C3"/>
    <w:rsid w:val="0087043F"/>
    <w:rsid w:val="00870454"/>
    <w:rsid w:val="008704CF"/>
    <w:rsid w:val="008706B1"/>
    <w:rsid w:val="008708C2"/>
    <w:rsid w:val="0087092D"/>
    <w:rsid w:val="00870AC4"/>
    <w:rsid w:val="00870ACC"/>
    <w:rsid w:val="00870D54"/>
    <w:rsid w:val="00870D7E"/>
    <w:rsid w:val="008710E7"/>
    <w:rsid w:val="008712EC"/>
    <w:rsid w:val="008719FC"/>
    <w:rsid w:val="00871D99"/>
    <w:rsid w:val="00871E46"/>
    <w:rsid w:val="008728D3"/>
    <w:rsid w:val="0087293E"/>
    <w:rsid w:val="00872996"/>
    <w:rsid w:val="00872A36"/>
    <w:rsid w:val="00872BDC"/>
    <w:rsid w:val="00872E7B"/>
    <w:rsid w:val="00872EDC"/>
    <w:rsid w:val="008730AD"/>
    <w:rsid w:val="0087311E"/>
    <w:rsid w:val="008738BA"/>
    <w:rsid w:val="008739D9"/>
    <w:rsid w:val="00873B4C"/>
    <w:rsid w:val="00873C3A"/>
    <w:rsid w:val="00873CD4"/>
    <w:rsid w:val="00874037"/>
    <w:rsid w:val="008740F8"/>
    <w:rsid w:val="00874164"/>
    <w:rsid w:val="008741BE"/>
    <w:rsid w:val="008741C7"/>
    <w:rsid w:val="0087420D"/>
    <w:rsid w:val="008742EE"/>
    <w:rsid w:val="00874733"/>
    <w:rsid w:val="00874742"/>
    <w:rsid w:val="00874D75"/>
    <w:rsid w:val="00874F31"/>
    <w:rsid w:val="0087513E"/>
    <w:rsid w:val="008751BF"/>
    <w:rsid w:val="00875533"/>
    <w:rsid w:val="00875620"/>
    <w:rsid w:val="008756E3"/>
    <w:rsid w:val="00875770"/>
    <w:rsid w:val="00875BC9"/>
    <w:rsid w:val="0087601A"/>
    <w:rsid w:val="008762BA"/>
    <w:rsid w:val="00876547"/>
    <w:rsid w:val="00876C48"/>
    <w:rsid w:val="00876D00"/>
    <w:rsid w:val="00876E01"/>
    <w:rsid w:val="00876F6B"/>
    <w:rsid w:val="0087700D"/>
    <w:rsid w:val="0087762D"/>
    <w:rsid w:val="008777E8"/>
    <w:rsid w:val="008779B2"/>
    <w:rsid w:val="008779EF"/>
    <w:rsid w:val="00877DB3"/>
    <w:rsid w:val="008800AA"/>
    <w:rsid w:val="00880534"/>
    <w:rsid w:val="008807D0"/>
    <w:rsid w:val="00880A14"/>
    <w:rsid w:val="00880A5D"/>
    <w:rsid w:val="00880F3F"/>
    <w:rsid w:val="00880FBF"/>
    <w:rsid w:val="00881275"/>
    <w:rsid w:val="00881356"/>
    <w:rsid w:val="008813C4"/>
    <w:rsid w:val="00881549"/>
    <w:rsid w:val="00881664"/>
    <w:rsid w:val="00881723"/>
    <w:rsid w:val="00881BAF"/>
    <w:rsid w:val="0088200D"/>
    <w:rsid w:val="0088216E"/>
    <w:rsid w:val="00882651"/>
    <w:rsid w:val="00882677"/>
    <w:rsid w:val="00882845"/>
    <w:rsid w:val="008828A7"/>
    <w:rsid w:val="008829C8"/>
    <w:rsid w:val="00882CE5"/>
    <w:rsid w:val="00882FCD"/>
    <w:rsid w:val="008831F6"/>
    <w:rsid w:val="008832F1"/>
    <w:rsid w:val="0088347D"/>
    <w:rsid w:val="0088386E"/>
    <w:rsid w:val="00883EDC"/>
    <w:rsid w:val="008840C4"/>
    <w:rsid w:val="0088431B"/>
    <w:rsid w:val="008843E4"/>
    <w:rsid w:val="00884417"/>
    <w:rsid w:val="00884659"/>
    <w:rsid w:val="0088489F"/>
    <w:rsid w:val="00884B74"/>
    <w:rsid w:val="00884E43"/>
    <w:rsid w:val="00884F11"/>
    <w:rsid w:val="0088502C"/>
    <w:rsid w:val="008851F4"/>
    <w:rsid w:val="008852ED"/>
    <w:rsid w:val="00885501"/>
    <w:rsid w:val="008856D7"/>
    <w:rsid w:val="00885BF8"/>
    <w:rsid w:val="00885C8A"/>
    <w:rsid w:val="00885EA3"/>
    <w:rsid w:val="00885F89"/>
    <w:rsid w:val="0088611F"/>
    <w:rsid w:val="008863EF"/>
    <w:rsid w:val="00886693"/>
    <w:rsid w:val="00886D84"/>
    <w:rsid w:val="00886EC7"/>
    <w:rsid w:val="00887958"/>
    <w:rsid w:val="00887B3A"/>
    <w:rsid w:val="00887BCF"/>
    <w:rsid w:val="00887D70"/>
    <w:rsid w:val="00887E5D"/>
    <w:rsid w:val="00887F01"/>
    <w:rsid w:val="0089000A"/>
    <w:rsid w:val="008901AE"/>
    <w:rsid w:val="00890251"/>
    <w:rsid w:val="00890363"/>
    <w:rsid w:val="00890459"/>
    <w:rsid w:val="008904D2"/>
    <w:rsid w:val="00890698"/>
    <w:rsid w:val="00890C51"/>
    <w:rsid w:val="00890E18"/>
    <w:rsid w:val="00890F5A"/>
    <w:rsid w:val="00890FB1"/>
    <w:rsid w:val="008910A9"/>
    <w:rsid w:val="00891143"/>
    <w:rsid w:val="008911B4"/>
    <w:rsid w:val="008911D3"/>
    <w:rsid w:val="008916D4"/>
    <w:rsid w:val="00891AC5"/>
    <w:rsid w:val="00891E83"/>
    <w:rsid w:val="00891E9F"/>
    <w:rsid w:val="00892060"/>
    <w:rsid w:val="0089218D"/>
    <w:rsid w:val="00892289"/>
    <w:rsid w:val="00892366"/>
    <w:rsid w:val="00892392"/>
    <w:rsid w:val="00892799"/>
    <w:rsid w:val="00892AA2"/>
    <w:rsid w:val="00892CD1"/>
    <w:rsid w:val="00892DEB"/>
    <w:rsid w:val="00892DEF"/>
    <w:rsid w:val="00893142"/>
    <w:rsid w:val="00893399"/>
    <w:rsid w:val="008933FD"/>
    <w:rsid w:val="00893471"/>
    <w:rsid w:val="00893982"/>
    <w:rsid w:val="008939C9"/>
    <w:rsid w:val="00893B7D"/>
    <w:rsid w:val="00893E95"/>
    <w:rsid w:val="00893FA8"/>
    <w:rsid w:val="00894258"/>
    <w:rsid w:val="008942A0"/>
    <w:rsid w:val="008943CA"/>
    <w:rsid w:val="00894472"/>
    <w:rsid w:val="008944A3"/>
    <w:rsid w:val="008944D1"/>
    <w:rsid w:val="0089465A"/>
    <w:rsid w:val="0089482F"/>
    <w:rsid w:val="00894B31"/>
    <w:rsid w:val="00894EA3"/>
    <w:rsid w:val="00894FEC"/>
    <w:rsid w:val="00895051"/>
    <w:rsid w:val="00895091"/>
    <w:rsid w:val="008952EF"/>
    <w:rsid w:val="008955BD"/>
    <w:rsid w:val="00895BD6"/>
    <w:rsid w:val="00895BFE"/>
    <w:rsid w:val="00895D32"/>
    <w:rsid w:val="00895D8A"/>
    <w:rsid w:val="00895E33"/>
    <w:rsid w:val="00896024"/>
    <w:rsid w:val="00896303"/>
    <w:rsid w:val="008968E3"/>
    <w:rsid w:val="00896B44"/>
    <w:rsid w:val="00896D74"/>
    <w:rsid w:val="008970E5"/>
    <w:rsid w:val="008975D3"/>
    <w:rsid w:val="008976AD"/>
    <w:rsid w:val="00897AB5"/>
    <w:rsid w:val="00897CAA"/>
    <w:rsid w:val="00897D2B"/>
    <w:rsid w:val="00897EA0"/>
    <w:rsid w:val="00897FDB"/>
    <w:rsid w:val="008A0337"/>
    <w:rsid w:val="008A079C"/>
    <w:rsid w:val="008A0BA0"/>
    <w:rsid w:val="008A1087"/>
    <w:rsid w:val="008A117F"/>
    <w:rsid w:val="008A120F"/>
    <w:rsid w:val="008A124E"/>
    <w:rsid w:val="008A14A8"/>
    <w:rsid w:val="008A1509"/>
    <w:rsid w:val="008A15D8"/>
    <w:rsid w:val="008A1756"/>
    <w:rsid w:val="008A1778"/>
    <w:rsid w:val="008A1910"/>
    <w:rsid w:val="008A1DF2"/>
    <w:rsid w:val="008A1E8E"/>
    <w:rsid w:val="008A1FDE"/>
    <w:rsid w:val="008A24E3"/>
    <w:rsid w:val="008A25DC"/>
    <w:rsid w:val="008A2901"/>
    <w:rsid w:val="008A3070"/>
    <w:rsid w:val="008A30C3"/>
    <w:rsid w:val="008A3164"/>
    <w:rsid w:val="008A31C0"/>
    <w:rsid w:val="008A3254"/>
    <w:rsid w:val="008A33C7"/>
    <w:rsid w:val="008A3895"/>
    <w:rsid w:val="008A3997"/>
    <w:rsid w:val="008A3FAC"/>
    <w:rsid w:val="008A41CB"/>
    <w:rsid w:val="008A4251"/>
    <w:rsid w:val="008A427A"/>
    <w:rsid w:val="008A42DE"/>
    <w:rsid w:val="008A43C6"/>
    <w:rsid w:val="008A490F"/>
    <w:rsid w:val="008A4EA1"/>
    <w:rsid w:val="008A510E"/>
    <w:rsid w:val="008A532A"/>
    <w:rsid w:val="008A53B1"/>
    <w:rsid w:val="008A5641"/>
    <w:rsid w:val="008A5965"/>
    <w:rsid w:val="008A5A99"/>
    <w:rsid w:val="008A5B40"/>
    <w:rsid w:val="008A5C4A"/>
    <w:rsid w:val="008A5D0C"/>
    <w:rsid w:val="008A5D68"/>
    <w:rsid w:val="008A5DEE"/>
    <w:rsid w:val="008A6195"/>
    <w:rsid w:val="008A6292"/>
    <w:rsid w:val="008A6600"/>
    <w:rsid w:val="008A6686"/>
    <w:rsid w:val="008A673E"/>
    <w:rsid w:val="008A6AB7"/>
    <w:rsid w:val="008A6BD5"/>
    <w:rsid w:val="008A6DED"/>
    <w:rsid w:val="008A706A"/>
    <w:rsid w:val="008A7086"/>
    <w:rsid w:val="008A7303"/>
    <w:rsid w:val="008A7359"/>
    <w:rsid w:val="008A7384"/>
    <w:rsid w:val="008A760F"/>
    <w:rsid w:val="008A78ED"/>
    <w:rsid w:val="008A7A6F"/>
    <w:rsid w:val="008A7C4F"/>
    <w:rsid w:val="008A7D6B"/>
    <w:rsid w:val="008A7DFD"/>
    <w:rsid w:val="008A7E7F"/>
    <w:rsid w:val="008A7FB5"/>
    <w:rsid w:val="008B021A"/>
    <w:rsid w:val="008B0622"/>
    <w:rsid w:val="008B082E"/>
    <w:rsid w:val="008B0889"/>
    <w:rsid w:val="008B09E5"/>
    <w:rsid w:val="008B0C52"/>
    <w:rsid w:val="008B1125"/>
    <w:rsid w:val="008B1516"/>
    <w:rsid w:val="008B15B6"/>
    <w:rsid w:val="008B183A"/>
    <w:rsid w:val="008B2017"/>
    <w:rsid w:val="008B2199"/>
    <w:rsid w:val="008B23D3"/>
    <w:rsid w:val="008B24E6"/>
    <w:rsid w:val="008B29D6"/>
    <w:rsid w:val="008B29FA"/>
    <w:rsid w:val="008B2C40"/>
    <w:rsid w:val="008B2C74"/>
    <w:rsid w:val="008B2F6B"/>
    <w:rsid w:val="008B2FCA"/>
    <w:rsid w:val="008B31D5"/>
    <w:rsid w:val="008B3353"/>
    <w:rsid w:val="008B33A9"/>
    <w:rsid w:val="008B3679"/>
    <w:rsid w:val="008B372A"/>
    <w:rsid w:val="008B38CB"/>
    <w:rsid w:val="008B3AC2"/>
    <w:rsid w:val="008B3B20"/>
    <w:rsid w:val="008B3C18"/>
    <w:rsid w:val="008B43DC"/>
    <w:rsid w:val="008B43E7"/>
    <w:rsid w:val="008B4536"/>
    <w:rsid w:val="008B4B76"/>
    <w:rsid w:val="008B4C11"/>
    <w:rsid w:val="008B4CD1"/>
    <w:rsid w:val="008B4E7E"/>
    <w:rsid w:val="008B4F74"/>
    <w:rsid w:val="008B508B"/>
    <w:rsid w:val="008B52F1"/>
    <w:rsid w:val="008B55CF"/>
    <w:rsid w:val="008B56B0"/>
    <w:rsid w:val="008B56EF"/>
    <w:rsid w:val="008B57DD"/>
    <w:rsid w:val="008B587D"/>
    <w:rsid w:val="008B5AD1"/>
    <w:rsid w:val="008B5ADD"/>
    <w:rsid w:val="008B5B5E"/>
    <w:rsid w:val="008B5B86"/>
    <w:rsid w:val="008B5CA4"/>
    <w:rsid w:val="008B5E92"/>
    <w:rsid w:val="008B6136"/>
    <w:rsid w:val="008B6196"/>
    <w:rsid w:val="008B65A3"/>
    <w:rsid w:val="008B6937"/>
    <w:rsid w:val="008B693F"/>
    <w:rsid w:val="008B6C6D"/>
    <w:rsid w:val="008B6D1B"/>
    <w:rsid w:val="008B6EE8"/>
    <w:rsid w:val="008B6FC6"/>
    <w:rsid w:val="008B716D"/>
    <w:rsid w:val="008B72F4"/>
    <w:rsid w:val="008B73C2"/>
    <w:rsid w:val="008B73D3"/>
    <w:rsid w:val="008B755C"/>
    <w:rsid w:val="008B7582"/>
    <w:rsid w:val="008B771F"/>
    <w:rsid w:val="008B7875"/>
    <w:rsid w:val="008B7964"/>
    <w:rsid w:val="008B796C"/>
    <w:rsid w:val="008B7A2D"/>
    <w:rsid w:val="008B7F9C"/>
    <w:rsid w:val="008C013B"/>
    <w:rsid w:val="008C0530"/>
    <w:rsid w:val="008C0657"/>
    <w:rsid w:val="008C06FE"/>
    <w:rsid w:val="008C0885"/>
    <w:rsid w:val="008C09CB"/>
    <w:rsid w:val="008C0BBF"/>
    <w:rsid w:val="008C0DC7"/>
    <w:rsid w:val="008C0DFC"/>
    <w:rsid w:val="008C0F6D"/>
    <w:rsid w:val="008C118D"/>
    <w:rsid w:val="008C125D"/>
    <w:rsid w:val="008C1327"/>
    <w:rsid w:val="008C13DE"/>
    <w:rsid w:val="008C14D9"/>
    <w:rsid w:val="008C153E"/>
    <w:rsid w:val="008C160F"/>
    <w:rsid w:val="008C1623"/>
    <w:rsid w:val="008C16B9"/>
    <w:rsid w:val="008C17B9"/>
    <w:rsid w:val="008C18FE"/>
    <w:rsid w:val="008C1AE3"/>
    <w:rsid w:val="008C1E87"/>
    <w:rsid w:val="008C1EC2"/>
    <w:rsid w:val="008C1F28"/>
    <w:rsid w:val="008C1F68"/>
    <w:rsid w:val="008C22C9"/>
    <w:rsid w:val="008C23BE"/>
    <w:rsid w:val="008C23E1"/>
    <w:rsid w:val="008C2714"/>
    <w:rsid w:val="008C27C3"/>
    <w:rsid w:val="008C29DA"/>
    <w:rsid w:val="008C2C03"/>
    <w:rsid w:val="008C2C3C"/>
    <w:rsid w:val="008C2E32"/>
    <w:rsid w:val="008C2F45"/>
    <w:rsid w:val="008C31A5"/>
    <w:rsid w:val="008C31EF"/>
    <w:rsid w:val="008C3522"/>
    <w:rsid w:val="008C372E"/>
    <w:rsid w:val="008C3EF8"/>
    <w:rsid w:val="008C3F7C"/>
    <w:rsid w:val="008C3F98"/>
    <w:rsid w:val="008C4035"/>
    <w:rsid w:val="008C408E"/>
    <w:rsid w:val="008C4299"/>
    <w:rsid w:val="008C44DA"/>
    <w:rsid w:val="008C45FE"/>
    <w:rsid w:val="008C48F9"/>
    <w:rsid w:val="008C4A15"/>
    <w:rsid w:val="008C4BF4"/>
    <w:rsid w:val="008C4C44"/>
    <w:rsid w:val="008C4D71"/>
    <w:rsid w:val="008C4F9E"/>
    <w:rsid w:val="008C50E7"/>
    <w:rsid w:val="008C514A"/>
    <w:rsid w:val="008C5226"/>
    <w:rsid w:val="008C5709"/>
    <w:rsid w:val="008C5718"/>
    <w:rsid w:val="008C5807"/>
    <w:rsid w:val="008C5BA8"/>
    <w:rsid w:val="008C62A0"/>
    <w:rsid w:val="008C6539"/>
    <w:rsid w:val="008C672C"/>
    <w:rsid w:val="008C687F"/>
    <w:rsid w:val="008C6F8A"/>
    <w:rsid w:val="008C71E7"/>
    <w:rsid w:val="008C768C"/>
    <w:rsid w:val="008C7721"/>
    <w:rsid w:val="008C79B0"/>
    <w:rsid w:val="008C7C02"/>
    <w:rsid w:val="008C7D8F"/>
    <w:rsid w:val="008C7EEB"/>
    <w:rsid w:val="008C7FAF"/>
    <w:rsid w:val="008D00FB"/>
    <w:rsid w:val="008D0113"/>
    <w:rsid w:val="008D0256"/>
    <w:rsid w:val="008D0BE3"/>
    <w:rsid w:val="008D0C3C"/>
    <w:rsid w:val="008D0C7B"/>
    <w:rsid w:val="008D0CD0"/>
    <w:rsid w:val="008D0CD1"/>
    <w:rsid w:val="008D0D79"/>
    <w:rsid w:val="008D0E3A"/>
    <w:rsid w:val="008D0E69"/>
    <w:rsid w:val="008D0EE1"/>
    <w:rsid w:val="008D0F98"/>
    <w:rsid w:val="008D0FC2"/>
    <w:rsid w:val="008D10FA"/>
    <w:rsid w:val="008D1161"/>
    <w:rsid w:val="008D12D7"/>
    <w:rsid w:val="008D1615"/>
    <w:rsid w:val="008D207A"/>
    <w:rsid w:val="008D209E"/>
    <w:rsid w:val="008D20A6"/>
    <w:rsid w:val="008D2D46"/>
    <w:rsid w:val="008D2DF6"/>
    <w:rsid w:val="008D2EE4"/>
    <w:rsid w:val="008D2F4E"/>
    <w:rsid w:val="008D30C8"/>
    <w:rsid w:val="008D35A4"/>
    <w:rsid w:val="008D39DD"/>
    <w:rsid w:val="008D3AB2"/>
    <w:rsid w:val="008D3D6B"/>
    <w:rsid w:val="008D3DF0"/>
    <w:rsid w:val="008D3E98"/>
    <w:rsid w:val="008D42C5"/>
    <w:rsid w:val="008D4324"/>
    <w:rsid w:val="008D4357"/>
    <w:rsid w:val="008D438C"/>
    <w:rsid w:val="008D44FE"/>
    <w:rsid w:val="008D457C"/>
    <w:rsid w:val="008D47FE"/>
    <w:rsid w:val="008D5025"/>
    <w:rsid w:val="008D50BB"/>
    <w:rsid w:val="008D50F6"/>
    <w:rsid w:val="008D5529"/>
    <w:rsid w:val="008D5635"/>
    <w:rsid w:val="008D5651"/>
    <w:rsid w:val="008D5806"/>
    <w:rsid w:val="008D583F"/>
    <w:rsid w:val="008D61BA"/>
    <w:rsid w:val="008D6485"/>
    <w:rsid w:val="008D666F"/>
    <w:rsid w:val="008D680B"/>
    <w:rsid w:val="008D6AB8"/>
    <w:rsid w:val="008D6B5B"/>
    <w:rsid w:val="008D6B6C"/>
    <w:rsid w:val="008D6D52"/>
    <w:rsid w:val="008D7114"/>
    <w:rsid w:val="008D71B2"/>
    <w:rsid w:val="008D729E"/>
    <w:rsid w:val="008D737C"/>
    <w:rsid w:val="008D7624"/>
    <w:rsid w:val="008D76F9"/>
    <w:rsid w:val="008D7868"/>
    <w:rsid w:val="008D7D1C"/>
    <w:rsid w:val="008D7DCF"/>
    <w:rsid w:val="008D7E94"/>
    <w:rsid w:val="008D7F68"/>
    <w:rsid w:val="008E00C7"/>
    <w:rsid w:val="008E00DA"/>
    <w:rsid w:val="008E01C7"/>
    <w:rsid w:val="008E0347"/>
    <w:rsid w:val="008E04ED"/>
    <w:rsid w:val="008E068C"/>
    <w:rsid w:val="008E0B70"/>
    <w:rsid w:val="008E0CF2"/>
    <w:rsid w:val="008E0E1E"/>
    <w:rsid w:val="008E0E1F"/>
    <w:rsid w:val="008E0F24"/>
    <w:rsid w:val="008E0F7F"/>
    <w:rsid w:val="008E0FFB"/>
    <w:rsid w:val="008E1061"/>
    <w:rsid w:val="008E11D5"/>
    <w:rsid w:val="008E1368"/>
    <w:rsid w:val="008E1564"/>
    <w:rsid w:val="008E162A"/>
    <w:rsid w:val="008E1C24"/>
    <w:rsid w:val="008E1D8E"/>
    <w:rsid w:val="008E1E07"/>
    <w:rsid w:val="008E1E49"/>
    <w:rsid w:val="008E1F52"/>
    <w:rsid w:val="008E2076"/>
    <w:rsid w:val="008E20B3"/>
    <w:rsid w:val="008E20F3"/>
    <w:rsid w:val="008E211A"/>
    <w:rsid w:val="008E29F8"/>
    <w:rsid w:val="008E2A6A"/>
    <w:rsid w:val="008E2C00"/>
    <w:rsid w:val="008E2C14"/>
    <w:rsid w:val="008E2D32"/>
    <w:rsid w:val="008E2E2C"/>
    <w:rsid w:val="008E39CE"/>
    <w:rsid w:val="008E3B7E"/>
    <w:rsid w:val="008E3D06"/>
    <w:rsid w:val="008E3E67"/>
    <w:rsid w:val="008E4036"/>
    <w:rsid w:val="008E4A66"/>
    <w:rsid w:val="008E4BD6"/>
    <w:rsid w:val="008E4CC2"/>
    <w:rsid w:val="008E51CC"/>
    <w:rsid w:val="008E5415"/>
    <w:rsid w:val="008E5595"/>
    <w:rsid w:val="008E55BC"/>
    <w:rsid w:val="008E5895"/>
    <w:rsid w:val="008E5963"/>
    <w:rsid w:val="008E5C91"/>
    <w:rsid w:val="008E61F9"/>
    <w:rsid w:val="008E623C"/>
    <w:rsid w:val="008E64AC"/>
    <w:rsid w:val="008E67A1"/>
    <w:rsid w:val="008E6976"/>
    <w:rsid w:val="008E6DE0"/>
    <w:rsid w:val="008E6E32"/>
    <w:rsid w:val="008E780D"/>
    <w:rsid w:val="008E791E"/>
    <w:rsid w:val="008E7A62"/>
    <w:rsid w:val="008E7D95"/>
    <w:rsid w:val="008F021C"/>
    <w:rsid w:val="008F023D"/>
    <w:rsid w:val="008F02FF"/>
    <w:rsid w:val="008F0567"/>
    <w:rsid w:val="008F0642"/>
    <w:rsid w:val="008F07EB"/>
    <w:rsid w:val="008F096E"/>
    <w:rsid w:val="008F11E3"/>
    <w:rsid w:val="008F127F"/>
    <w:rsid w:val="008F172F"/>
    <w:rsid w:val="008F18DF"/>
    <w:rsid w:val="008F1900"/>
    <w:rsid w:val="008F1CD5"/>
    <w:rsid w:val="008F1D6E"/>
    <w:rsid w:val="008F1DA8"/>
    <w:rsid w:val="008F1E96"/>
    <w:rsid w:val="008F2019"/>
    <w:rsid w:val="008F225C"/>
    <w:rsid w:val="008F2519"/>
    <w:rsid w:val="008F2729"/>
    <w:rsid w:val="008F29E6"/>
    <w:rsid w:val="008F2AC8"/>
    <w:rsid w:val="008F2C74"/>
    <w:rsid w:val="008F3369"/>
    <w:rsid w:val="008F39BA"/>
    <w:rsid w:val="008F3AE3"/>
    <w:rsid w:val="008F3CB2"/>
    <w:rsid w:val="008F3CDA"/>
    <w:rsid w:val="008F4034"/>
    <w:rsid w:val="008F42AD"/>
    <w:rsid w:val="008F4334"/>
    <w:rsid w:val="008F4473"/>
    <w:rsid w:val="008F4DE3"/>
    <w:rsid w:val="008F4ECE"/>
    <w:rsid w:val="008F4EDB"/>
    <w:rsid w:val="008F50D6"/>
    <w:rsid w:val="008F51B8"/>
    <w:rsid w:val="008F5230"/>
    <w:rsid w:val="008F5315"/>
    <w:rsid w:val="008F53EE"/>
    <w:rsid w:val="008F5760"/>
    <w:rsid w:val="008F57E1"/>
    <w:rsid w:val="008F5AA9"/>
    <w:rsid w:val="008F5AF4"/>
    <w:rsid w:val="008F5B09"/>
    <w:rsid w:val="008F5C19"/>
    <w:rsid w:val="008F5CC0"/>
    <w:rsid w:val="008F5E0C"/>
    <w:rsid w:val="008F5FBA"/>
    <w:rsid w:val="008F6119"/>
    <w:rsid w:val="008F6180"/>
    <w:rsid w:val="008F6196"/>
    <w:rsid w:val="008F6360"/>
    <w:rsid w:val="008F65D5"/>
    <w:rsid w:val="008F6750"/>
    <w:rsid w:val="008F68BA"/>
    <w:rsid w:val="008F69C4"/>
    <w:rsid w:val="008F6C21"/>
    <w:rsid w:val="008F6CFD"/>
    <w:rsid w:val="008F6E33"/>
    <w:rsid w:val="008F6FF7"/>
    <w:rsid w:val="008F75C3"/>
    <w:rsid w:val="008F7691"/>
    <w:rsid w:val="008F774F"/>
    <w:rsid w:val="008F7B14"/>
    <w:rsid w:val="008F7C38"/>
    <w:rsid w:val="0090028C"/>
    <w:rsid w:val="00900389"/>
    <w:rsid w:val="0090059F"/>
    <w:rsid w:val="009005BC"/>
    <w:rsid w:val="009005E8"/>
    <w:rsid w:val="009008D2"/>
    <w:rsid w:val="0090091E"/>
    <w:rsid w:val="00900BA4"/>
    <w:rsid w:val="00900BD1"/>
    <w:rsid w:val="00900D0D"/>
    <w:rsid w:val="00900D8C"/>
    <w:rsid w:val="00900DB0"/>
    <w:rsid w:val="00900DB5"/>
    <w:rsid w:val="009014DC"/>
    <w:rsid w:val="00901529"/>
    <w:rsid w:val="00901795"/>
    <w:rsid w:val="0090183E"/>
    <w:rsid w:val="00901915"/>
    <w:rsid w:val="00901F74"/>
    <w:rsid w:val="009020E0"/>
    <w:rsid w:val="00902212"/>
    <w:rsid w:val="009028DD"/>
    <w:rsid w:val="0090299D"/>
    <w:rsid w:val="00902C96"/>
    <w:rsid w:val="00902CE1"/>
    <w:rsid w:val="00902E05"/>
    <w:rsid w:val="00902E27"/>
    <w:rsid w:val="00902ECC"/>
    <w:rsid w:val="00902F16"/>
    <w:rsid w:val="00902F64"/>
    <w:rsid w:val="00903188"/>
    <w:rsid w:val="009034D1"/>
    <w:rsid w:val="00903802"/>
    <w:rsid w:val="00903B4F"/>
    <w:rsid w:val="00903CC6"/>
    <w:rsid w:val="00903F93"/>
    <w:rsid w:val="009045F5"/>
    <w:rsid w:val="00904F4E"/>
    <w:rsid w:val="00904FC2"/>
    <w:rsid w:val="0090504B"/>
    <w:rsid w:val="009051D8"/>
    <w:rsid w:val="00905210"/>
    <w:rsid w:val="009052BF"/>
    <w:rsid w:val="00905499"/>
    <w:rsid w:val="0090558D"/>
    <w:rsid w:val="009056FE"/>
    <w:rsid w:val="00905734"/>
    <w:rsid w:val="00905933"/>
    <w:rsid w:val="00905B0D"/>
    <w:rsid w:val="00905B2C"/>
    <w:rsid w:val="00905BE1"/>
    <w:rsid w:val="00905C61"/>
    <w:rsid w:val="00905D85"/>
    <w:rsid w:val="00905F63"/>
    <w:rsid w:val="009066D8"/>
    <w:rsid w:val="00906824"/>
    <w:rsid w:val="009069B8"/>
    <w:rsid w:val="00906A54"/>
    <w:rsid w:val="00906A76"/>
    <w:rsid w:val="00906A9D"/>
    <w:rsid w:val="00906ADA"/>
    <w:rsid w:val="00906B89"/>
    <w:rsid w:val="00906D09"/>
    <w:rsid w:val="00906FDA"/>
    <w:rsid w:val="00907224"/>
    <w:rsid w:val="009079E7"/>
    <w:rsid w:val="00907AE7"/>
    <w:rsid w:val="00907B72"/>
    <w:rsid w:val="00907CCD"/>
    <w:rsid w:val="00907D97"/>
    <w:rsid w:val="00907EB9"/>
    <w:rsid w:val="00907ECC"/>
    <w:rsid w:val="00910511"/>
    <w:rsid w:val="00910D13"/>
    <w:rsid w:val="00910D79"/>
    <w:rsid w:val="00911051"/>
    <w:rsid w:val="0091113E"/>
    <w:rsid w:val="009111A4"/>
    <w:rsid w:val="009114AC"/>
    <w:rsid w:val="0091165A"/>
    <w:rsid w:val="00911708"/>
    <w:rsid w:val="009118CE"/>
    <w:rsid w:val="00911D1B"/>
    <w:rsid w:val="00911EE3"/>
    <w:rsid w:val="00912309"/>
    <w:rsid w:val="0091246F"/>
    <w:rsid w:val="00912655"/>
    <w:rsid w:val="0091280E"/>
    <w:rsid w:val="0091292B"/>
    <w:rsid w:val="009129D2"/>
    <w:rsid w:val="00912BDC"/>
    <w:rsid w:val="00912EFA"/>
    <w:rsid w:val="0091345C"/>
    <w:rsid w:val="009134D3"/>
    <w:rsid w:val="009135CA"/>
    <w:rsid w:val="009136E7"/>
    <w:rsid w:val="00913764"/>
    <w:rsid w:val="00913B84"/>
    <w:rsid w:val="00913C57"/>
    <w:rsid w:val="00913F3A"/>
    <w:rsid w:val="009145DF"/>
    <w:rsid w:val="009148D7"/>
    <w:rsid w:val="0091490B"/>
    <w:rsid w:val="00914B21"/>
    <w:rsid w:val="00914CD6"/>
    <w:rsid w:val="00914D40"/>
    <w:rsid w:val="00914EC9"/>
    <w:rsid w:val="00914F2B"/>
    <w:rsid w:val="00914F83"/>
    <w:rsid w:val="0091500F"/>
    <w:rsid w:val="009151F0"/>
    <w:rsid w:val="00915322"/>
    <w:rsid w:val="00915C3A"/>
    <w:rsid w:val="00915C71"/>
    <w:rsid w:val="00915E2A"/>
    <w:rsid w:val="00915FA2"/>
    <w:rsid w:val="00916242"/>
    <w:rsid w:val="009167B3"/>
    <w:rsid w:val="0091693B"/>
    <w:rsid w:val="009169EB"/>
    <w:rsid w:val="00916AB4"/>
    <w:rsid w:val="00916CE3"/>
    <w:rsid w:val="00916F4B"/>
    <w:rsid w:val="00916F51"/>
    <w:rsid w:val="00917040"/>
    <w:rsid w:val="009170F0"/>
    <w:rsid w:val="009173CA"/>
    <w:rsid w:val="00917687"/>
    <w:rsid w:val="009177B8"/>
    <w:rsid w:val="0091780C"/>
    <w:rsid w:val="00917AC4"/>
    <w:rsid w:val="00917AE4"/>
    <w:rsid w:val="00917B95"/>
    <w:rsid w:val="00917D6B"/>
    <w:rsid w:val="00917FB1"/>
    <w:rsid w:val="00920056"/>
    <w:rsid w:val="0092010F"/>
    <w:rsid w:val="0092018B"/>
    <w:rsid w:val="0092024E"/>
    <w:rsid w:val="009202E3"/>
    <w:rsid w:val="0092067E"/>
    <w:rsid w:val="00920AB2"/>
    <w:rsid w:val="00920BEC"/>
    <w:rsid w:val="00920C34"/>
    <w:rsid w:val="00920CB8"/>
    <w:rsid w:val="00920F8D"/>
    <w:rsid w:val="00921419"/>
    <w:rsid w:val="00921568"/>
    <w:rsid w:val="0092182B"/>
    <w:rsid w:val="00921966"/>
    <w:rsid w:val="009219C9"/>
    <w:rsid w:val="00921BD5"/>
    <w:rsid w:val="00921BF3"/>
    <w:rsid w:val="00921CCE"/>
    <w:rsid w:val="0092201E"/>
    <w:rsid w:val="009221EE"/>
    <w:rsid w:val="00922409"/>
    <w:rsid w:val="0092244C"/>
    <w:rsid w:val="009224D8"/>
    <w:rsid w:val="0092261F"/>
    <w:rsid w:val="009227AB"/>
    <w:rsid w:val="009229B3"/>
    <w:rsid w:val="00922CFB"/>
    <w:rsid w:val="00922FEA"/>
    <w:rsid w:val="009230C2"/>
    <w:rsid w:val="00923120"/>
    <w:rsid w:val="00923924"/>
    <w:rsid w:val="00923A9F"/>
    <w:rsid w:val="00923BFE"/>
    <w:rsid w:val="00923CBF"/>
    <w:rsid w:val="00923F10"/>
    <w:rsid w:val="00923FCA"/>
    <w:rsid w:val="00924A4F"/>
    <w:rsid w:val="00924F68"/>
    <w:rsid w:val="00925161"/>
    <w:rsid w:val="0092554C"/>
    <w:rsid w:val="009255B5"/>
    <w:rsid w:val="00925A8C"/>
    <w:rsid w:val="00925B70"/>
    <w:rsid w:val="00925C86"/>
    <w:rsid w:val="00925F37"/>
    <w:rsid w:val="00926666"/>
    <w:rsid w:val="009267A3"/>
    <w:rsid w:val="00926A79"/>
    <w:rsid w:val="00926B95"/>
    <w:rsid w:val="009270FB"/>
    <w:rsid w:val="0092743E"/>
    <w:rsid w:val="009274C9"/>
    <w:rsid w:val="00927610"/>
    <w:rsid w:val="0092776A"/>
    <w:rsid w:val="009277B6"/>
    <w:rsid w:val="00927941"/>
    <w:rsid w:val="00927E21"/>
    <w:rsid w:val="00927F30"/>
    <w:rsid w:val="00927F6C"/>
    <w:rsid w:val="0093018B"/>
    <w:rsid w:val="009301AE"/>
    <w:rsid w:val="00930910"/>
    <w:rsid w:val="009309C2"/>
    <w:rsid w:val="00930A8E"/>
    <w:rsid w:val="00930F5E"/>
    <w:rsid w:val="00931099"/>
    <w:rsid w:val="00931A52"/>
    <w:rsid w:val="00931B94"/>
    <w:rsid w:val="00931BB9"/>
    <w:rsid w:val="00931C41"/>
    <w:rsid w:val="00932144"/>
    <w:rsid w:val="009322ED"/>
    <w:rsid w:val="0093239B"/>
    <w:rsid w:val="009329AE"/>
    <w:rsid w:val="00932B78"/>
    <w:rsid w:val="00932BCF"/>
    <w:rsid w:val="00932CB4"/>
    <w:rsid w:val="00932D30"/>
    <w:rsid w:val="00933245"/>
    <w:rsid w:val="009335A2"/>
    <w:rsid w:val="0093368C"/>
    <w:rsid w:val="00933786"/>
    <w:rsid w:val="009337D0"/>
    <w:rsid w:val="00933C6E"/>
    <w:rsid w:val="00933F13"/>
    <w:rsid w:val="0093433E"/>
    <w:rsid w:val="00934666"/>
    <w:rsid w:val="00934706"/>
    <w:rsid w:val="009347AC"/>
    <w:rsid w:val="00934B49"/>
    <w:rsid w:val="00934D75"/>
    <w:rsid w:val="00934F24"/>
    <w:rsid w:val="009357BA"/>
    <w:rsid w:val="009358C2"/>
    <w:rsid w:val="009358C7"/>
    <w:rsid w:val="00935A26"/>
    <w:rsid w:val="00935A40"/>
    <w:rsid w:val="00935AC1"/>
    <w:rsid w:val="00935B65"/>
    <w:rsid w:val="00935E80"/>
    <w:rsid w:val="009360B3"/>
    <w:rsid w:val="009363C1"/>
    <w:rsid w:val="009366AF"/>
    <w:rsid w:val="00936982"/>
    <w:rsid w:val="00936988"/>
    <w:rsid w:val="009370E6"/>
    <w:rsid w:val="00937573"/>
    <w:rsid w:val="009377DE"/>
    <w:rsid w:val="00937A5E"/>
    <w:rsid w:val="00937EA0"/>
    <w:rsid w:val="009400B8"/>
    <w:rsid w:val="009401E1"/>
    <w:rsid w:val="009402EF"/>
    <w:rsid w:val="009405A0"/>
    <w:rsid w:val="009406FE"/>
    <w:rsid w:val="009407ED"/>
    <w:rsid w:val="00940890"/>
    <w:rsid w:val="00940905"/>
    <w:rsid w:val="00940C70"/>
    <w:rsid w:val="00940D44"/>
    <w:rsid w:val="00940EB5"/>
    <w:rsid w:val="00941339"/>
    <w:rsid w:val="00941592"/>
    <w:rsid w:val="00941655"/>
    <w:rsid w:val="00941677"/>
    <w:rsid w:val="0094196C"/>
    <w:rsid w:val="00941A29"/>
    <w:rsid w:val="00941D6D"/>
    <w:rsid w:val="00941DD4"/>
    <w:rsid w:val="00941FC8"/>
    <w:rsid w:val="00942497"/>
    <w:rsid w:val="00942BCB"/>
    <w:rsid w:val="00942BDE"/>
    <w:rsid w:val="00942C42"/>
    <w:rsid w:val="00943058"/>
    <w:rsid w:val="00943071"/>
    <w:rsid w:val="009431E6"/>
    <w:rsid w:val="009431FF"/>
    <w:rsid w:val="009433D9"/>
    <w:rsid w:val="009434C7"/>
    <w:rsid w:val="009436D4"/>
    <w:rsid w:val="00943701"/>
    <w:rsid w:val="00943A86"/>
    <w:rsid w:val="00943CEE"/>
    <w:rsid w:val="00943D4A"/>
    <w:rsid w:val="00943E10"/>
    <w:rsid w:val="00943E5A"/>
    <w:rsid w:val="00943E9E"/>
    <w:rsid w:val="00943FAC"/>
    <w:rsid w:val="00944202"/>
    <w:rsid w:val="009442D3"/>
    <w:rsid w:val="00944509"/>
    <w:rsid w:val="0094462F"/>
    <w:rsid w:val="009446B7"/>
    <w:rsid w:val="0094493E"/>
    <w:rsid w:val="00944B4D"/>
    <w:rsid w:val="00944C08"/>
    <w:rsid w:val="00944CB0"/>
    <w:rsid w:val="00944EF4"/>
    <w:rsid w:val="00945235"/>
    <w:rsid w:val="00945314"/>
    <w:rsid w:val="00945429"/>
    <w:rsid w:val="009454A4"/>
    <w:rsid w:val="009455AD"/>
    <w:rsid w:val="009455B9"/>
    <w:rsid w:val="009455F9"/>
    <w:rsid w:val="00945752"/>
    <w:rsid w:val="009457CB"/>
    <w:rsid w:val="00945CD3"/>
    <w:rsid w:val="00945F6C"/>
    <w:rsid w:val="00946086"/>
    <w:rsid w:val="009461A1"/>
    <w:rsid w:val="0094634F"/>
    <w:rsid w:val="00946354"/>
    <w:rsid w:val="00946946"/>
    <w:rsid w:val="00946A96"/>
    <w:rsid w:val="00946BDB"/>
    <w:rsid w:val="0094717E"/>
    <w:rsid w:val="00947311"/>
    <w:rsid w:val="00947548"/>
    <w:rsid w:val="0094755C"/>
    <w:rsid w:val="009475C6"/>
    <w:rsid w:val="009475DF"/>
    <w:rsid w:val="00947EE6"/>
    <w:rsid w:val="0095004E"/>
    <w:rsid w:val="00950072"/>
    <w:rsid w:val="0095075D"/>
    <w:rsid w:val="009508F7"/>
    <w:rsid w:val="0095093B"/>
    <w:rsid w:val="00950AED"/>
    <w:rsid w:val="00950C97"/>
    <w:rsid w:val="00950E9F"/>
    <w:rsid w:val="009510DD"/>
    <w:rsid w:val="009510DE"/>
    <w:rsid w:val="009510F1"/>
    <w:rsid w:val="00951156"/>
    <w:rsid w:val="00951562"/>
    <w:rsid w:val="009515F0"/>
    <w:rsid w:val="009516D5"/>
    <w:rsid w:val="0095180A"/>
    <w:rsid w:val="00951EE7"/>
    <w:rsid w:val="00952349"/>
    <w:rsid w:val="00952665"/>
    <w:rsid w:val="009527A7"/>
    <w:rsid w:val="00952968"/>
    <w:rsid w:val="00952C7C"/>
    <w:rsid w:val="00952F29"/>
    <w:rsid w:val="0095305D"/>
    <w:rsid w:val="00953137"/>
    <w:rsid w:val="0095329D"/>
    <w:rsid w:val="009532F4"/>
    <w:rsid w:val="00953688"/>
    <w:rsid w:val="009539B1"/>
    <w:rsid w:val="00953B59"/>
    <w:rsid w:val="00953E08"/>
    <w:rsid w:val="00953F99"/>
    <w:rsid w:val="00954056"/>
    <w:rsid w:val="00954084"/>
    <w:rsid w:val="0095444B"/>
    <w:rsid w:val="00954B5A"/>
    <w:rsid w:val="00954C29"/>
    <w:rsid w:val="009556F2"/>
    <w:rsid w:val="00955D60"/>
    <w:rsid w:val="0095618F"/>
    <w:rsid w:val="009561CE"/>
    <w:rsid w:val="0095636C"/>
    <w:rsid w:val="00956461"/>
    <w:rsid w:val="00956510"/>
    <w:rsid w:val="00956B64"/>
    <w:rsid w:val="00956F78"/>
    <w:rsid w:val="009571F1"/>
    <w:rsid w:val="00957A0D"/>
    <w:rsid w:val="00957D77"/>
    <w:rsid w:val="00957DCD"/>
    <w:rsid w:val="00957E4C"/>
    <w:rsid w:val="00957EC1"/>
    <w:rsid w:val="00957FF8"/>
    <w:rsid w:val="00960059"/>
    <w:rsid w:val="0096021D"/>
    <w:rsid w:val="009602B1"/>
    <w:rsid w:val="009602F7"/>
    <w:rsid w:val="009603FF"/>
    <w:rsid w:val="0096053B"/>
    <w:rsid w:val="00960558"/>
    <w:rsid w:val="00960956"/>
    <w:rsid w:val="00960B22"/>
    <w:rsid w:val="00960CC3"/>
    <w:rsid w:val="00960E07"/>
    <w:rsid w:val="00961028"/>
    <w:rsid w:val="00961572"/>
    <w:rsid w:val="009615B1"/>
    <w:rsid w:val="00961765"/>
    <w:rsid w:val="00961B41"/>
    <w:rsid w:val="00961B49"/>
    <w:rsid w:val="00961D17"/>
    <w:rsid w:val="00961D7F"/>
    <w:rsid w:val="00962009"/>
    <w:rsid w:val="0096203F"/>
    <w:rsid w:val="0096225B"/>
    <w:rsid w:val="00962345"/>
    <w:rsid w:val="009625AF"/>
    <w:rsid w:val="009628E8"/>
    <w:rsid w:val="00962952"/>
    <w:rsid w:val="009629B9"/>
    <w:rsid w:val="00962B8C"/>
    <w:rsid w:val="00962F01"/>
    <w:rsid w:val="009632CA"/>
    <w:rsid w:val="0096379A"/>
    <w:rsid w:val="00963A5C"/>
    <w:rsid w:val="00963B3C"/>
    <w:rsid w:val="00963F38"/>
    <w:rsid w:val="009641B0"/>
    <w:rsid w:val="009641E1"/>
    <w:rsid w:val="009645A6"/>
    <w:rsid w:val="0096478A"/>
    <w:rsid w:val="00964C41"/>
    <w:rsid w:val="00964DE6"/>
    <w:rsid w:val="00964E0D"/>
    <w:rsid w:val="00964F6C"/>
    <w:rsid w:val="00964FEA"/>
    <w:rsid w:val="00965010"/>
    <w:rsid w:val="00965167"/>
    <w:rsid w:val="009651AA"/>
    <w:rsid w:val="009652C7"/>
    <w:rsid w:val="0096554F"/>
    <w:rsid w:val="0096567B"/>
    <w:rsid w:val="00965829"/>
    <w:rsid w:val="00965A6B"/>
    <w:rsid w:val="00965E06"/>
    <w:rsid w:val="00965EFE"/>
    <w:rsid w:val="00966001"/>
    <w:rsid w:val="0096601D"/>
    <w:rsid w:val="0096669A"/>
    <w:rsid w:val="00966985"/>
    <w:rsid w:val="00966AA4"/>
    <w:rsid w:val="00967047"/>
    <w:rsid w:val="00967228"/>
    <w:rsid w:val="0096775A"/>
    <w:rsid w:val="0097008D"/>
    <w:rsid w:val="009700B6"/>
    <w:rsid w:val="00970B0D"/>
    <w:rsid w:val="00970DF6"/>
    <w:rsid w:val="00971274"/>
    <w:rsid w:val="009713C9"/>
    <w:rsid w:val="0097153D"/>
    <w:rsid w:val="009716FF"/>
    <w:rsid w:val="0097176F"/>
    <w:rsid w:val="0097184D"/>
    <w:rsid w:val="009719C6"/>
    <w:rsid w:val="00971AA2"/>
    <w:rsid w:val="00971BBC"/>
    <w:rsid w:val="00971CCD"/>
    <w:rsid w:val="00971CED"/>
    <w:rsid w:val="00972112"/>
    <w:rsid w:val="0097226E"/>
    <w:rsid w:val="0097230D"/>
    <w:rsid w:val="00972439"/>
    <w:rsid w:val="009724CC"/>
    <w:rsid w:val="0097256F"/>
    <w:rsid w:val="0097282D"/>
    <w:rsid w:val="0097297F"/>
    <w:rsid w:val="00972BA6"/>
    <w:rsid w:val="00972F5D"/>
    <w:rsid w:val="00973269"/>
    <w:rsid w:val="00973283"/>
    <w:rsid w:val="0097388A"/>
    <w:rsid w:val="00973D22"/>
    <w:rsid w:val="00973DD6"/>
    <w:rsid w:val="00973E17"/>
    <w:rsid w:val="00973E4F"/>
    <w:rsid w:val="00973EBA"/>
    <w:rsid w:val="00973F52"/>
    <w:rsid w:val="00974162"/>
    <w:rsid w:val="0097419C"/>
    <w:rsid w:val="009741F7"/>
    <w:rsid w:val="00974202"/>
    <w:rsid w:val="00974785"/>
    <w:rsid w:val="00974915"/>
    <w:rsid w:val="00974B8D"/>
    <w:rsid w:val="00974C9E"/>
    <w:rsid w:val="00974DC7"/>
    <w:rsid w:val="00974DCA"/>
    <w:rsid w:val="00974DD1"/>
    <w:rsid w:val="00974DE7"/>
    <w:rsid w:val="00974E0A"/>
    <w:rsid w:val="00974E44"/>
    <w:rsid w:val="00975138"/>
    <w:rsid w:val="00975226"/>
    <w:rsid w:val="009752F2"/>
    <w:rsid w:val="009754EB"/>
    <w:rsid w:val="009755B1"/>
    <w:rsid w:val="00975725"/>
    <w:rsid w:val="0097576B"/>
    <w:rsid w:val="00975823"/>
    <w:rsid w:val="009759A0"/>
    <w:rsid w:val="00975BDD"/>
    <w:rsid w:val="00975E26"/>
    <w:rsid w:val="00976286"/>
    <w:rsid w:val="00976759"/>
    <w:rsid w:val="009767A5"/>
    <w:rsid w:val="00976958"/>
    <w:rsid w:val="00976A38"/>
    <w:rsid w:val="00976C9B"/>
    <w:rsid w:val="00976FE6"/>
    <w:rsid w:val="0097749B"/>
    <w:rsid w:val="009776D7"/>
    <w:rsid w:val="0097786E"/>
    <w:rsid w:val="00977871"/>
    <w:rsid w:val="00977A16"/>
    <w:rsid w:val="00980090"/>
    <w:rsid w:val="009803FD"/>
    <w:rsid w:val="009806CC"/>
    <w:rsid w:val="00980D45"/>
    <w:rsid w:val="00980DB6"/>
    <w:rsid w:val="00980ED3"/>
    <w:rsid w:val="00980F0A"/>
    <w:rsid w:val="00981218"/>
    <w:rsid w:val="00981469"/>
    <w:rsid w:val="009814A3"/>
    <w:rsid w:val="009814E7"/>
    <w:rsid w:val="0098156E"/>
    <w:rsid w:val="00981C6F"/>
    <w:rsid w:val="00981D65"/>
    <w:rsid w:val="009822E6"/>
    <w:rsid w:val="009824B8"/>
    <w:rsid w:val="00982693"/>
    <w:rsid w:val="00982833"/>
    <w:rsid w:val="00982B14"/>
    <w:rsid w:val="00982B6F"/>
    <w:rsid w:val="00982CCF"/>
    <w:rsid w:val="00982CF8"/>
    <w:rsid w:val="00982F19"/>
    <w:rsid w:val="00982F3B"/>
    <w:rsid w:val="00982F6A"/>
    <w:rsid w:val="00983687"/>
    <w:rsid w:val="00983844"/>
    <w:rsid w:val="009838D6"/>
    <w:rsid w:val="009838FF"/>
    <w:rsid w:val="00983DBD"/>
    <w:rsid w:val="00983DED"/>
    <w:rsid w:val="00983E04"/>
    <w:rsid w:val="009842AE"/>
    <w:rsid w:val="0098462A"/>
    <w:rsid w:val="00984726"/>
    <w:rsid w:val="00984BA6"/>
    <w:rsid w:val="0098502E"/>
    <w:rsid w:val="0098503A"/>
    <w:rsid w:val="009851FB"/>
    <w:rsid w:val="009853DE"/>
    <w:rsid w:val="009856F1"/>
    <w:rsid w:val="009857F4"/>
    <w:rsid w:val="00985C28"/>
    <w:rsid w:val="00986013"/>
    <w:rsid w:val="009861D0"/>
    <w:rsid w:val="0098626A"/>
    <w:rsid w:val="00986380"/>
    <w:rsid w:val="0098660A"/>
    <w:rsid w:val="009869A0"/>
    <w:rsid w:val="00986C61"/>
    <w:rsid w:val="00986D17"/>
    <w:rsid w:val="00986D26"/>
    <w:rsid w:val="00987121"/>
    <w:rsid w:val="009874DF"/>
    <w:rsid w:val="00987631"/>
    <w:rsid w:val="00987648"/>
    <w:rsid w:val="00987DB2"/>
    <w:rsid w:val="00987DF6"/>
    <w:rsid w:val="0099023C"/>
    <w:rsid w:val="009903CE"/>
    <w:rsid w:val="009905FD"/>
    <w:rsid w:val="00990D41"/>
    <w:rsid w:val="00990EB3"/>
    <w:rsid w:val="00990F76"/>
    <w:rsid w:val="00990FD2"/>
    <w:rsid w:val="0099109E"/>
    <w:rsid w:val="009910CE"/>
    <w:rsid w:val="009911E1"/>
    <w:rsid w:val="0099155D"/>
    <w:rsid w:val="009917DB"/>
    <w:rsid w:val="00991BC6"/>
    <w:rsid w:val="00991C0C"/>
    <w:rsid w:val="00991CE5"/>
    <w:rsid w:val="00991F7E"/>
    <w:rsid w:val="00991FAE"/>
    <w:rsid w:val="00992167"/>
    <w:rsid w:val="00992553"/>
    <w:rsid w:val="00992572"/>
    <w:rsid w:val="009929CA"/>
    <w:rsid w:val="00992BEB"/>
    <w:rsid w:val="00992DCC"/>
    <w:rsid w:val="00992DF3"/>
    <w:rsid w:val="00992FFB"/>
    <w:rsid w:val="00993149"/>
    <w:rsid w:val="009931BD"/>
    <w:rsid w:val="0099349A"/>
    <w:rsid w:val="0099365A"/>
    <w:rsid w:val="00993A1A"/>
    <w:rsid w:val="00993AA2"/>
    <w:rsid w:val="00993C01"/>
    <w:rsid w:val="00993C8C"/>
    <w:rsid w:val="00993E9A"/>
    <w:rsid w:val="009940C1"/>
    <w:rsid w:val="00994320"/>
    <w:rsid w:val="00994360"/>
    <w:rsid w:val="009944BD"/>
    <w:rsid w:val="009945B6"/>
    <w:rsid w:val="00994652"/>
    <w:rsid w:val="0099497C"/>
    <w:rsid w:val="00994FCE"/>
    <w:rsid w:val="00995065"/>
    <w:rsid w:val="0099533C"/>
    <w:rsid w:val="009958E3"/>
    <w:rsid w:val="00995A22"/>
    <w:rsid w:val="00995DC6"/>
    <w:rsid w:val="00995EDC"/>
    <w:rsid w:val="00996568"/>
    <w:rsid w:val="00996E1C"/>
    <w:rsid w:val="00996E63"/>
    <w:rsid w:val="00996EF0"/>
    <w:rsid w:val="00996F68"/>
    <w:rsid w:val="00997030"/>
    <w:rsid w:val="0099712C"/>
    <w:rsid w:val="009971E1"/>
    <w:rsid w:val="009972F6"/>
    <w:rsid w:val="009974A7"/>
    <w:rsid w:val="009975D3"/>
    <w:rsid w:val="00997782"/>
    <w:rsid w:val="00997A4D"/>
    <w:rsid w:val="00997A93"/>
    <w:rsid w:val="00997CBD"/>
    <w:rsid w:val="00997CCA"/>
    <w:rsid w:val="00997D46"/>
    <w:rsid w:val="00997DC0"/>
    <w:rsid w:val="00997DD0"/>
    <w:rsid w:val="009A013D"/>
    <w:rsid w:val="009A02A6"/>
    <w:rsid w:val="009A0339"/>
    <w:rsid w:val="009A0A14"/>
    <w:rsid w:val="009A0A55"/>
    <w:rsid w:val="009A0E21"/>
    <w:rsid w:val="009A1065"/>
    <w:rsid w:val="009A113E"/>
    <w:rsid w:val="009A1242"/>
    <w:rsid w:val="009A156D"/>
    <w:rsid w:val="009A1870"/>
    <w:rsid w:val="009A1B61"/>
    <w:rsid w:val="009A1CC2"/>
    <w:rsid w:val="009A1DCA"/>
    <w:rsid w:val="009A20B1"/>
    <w:rsid w:val="009A20EB"/>
    <w:rsid w:val="009A217E"/>
    <w:rsid w:val="009A24CF"/>
    <w:rsid w:val="009A2570"/>
    <w:rsid w:val="009A25BE"/>
    <w:rsid w:val="009A25C7"/>
    <w:rsid w:val="009A265C"/>
    <w:rsid w:val="009A2A2D"/>
    <w:rsid w:val="009A2B15"/>
    <w:rsid w:val="009A2C44"/>
    <w:rsid w:val="009A2C68"/>
    <w:rsid w:val="009A2F56"/>
    <w:rsid w:val="009A314E"/>
    <w:rsid w:val="009A325D"/>
    <w:rsid w:val="009A3519"/>
    <w:rsid w:val="009A35AB"/>
    <w:rsid w:val="009A378D"/>
    <w:rsid w:val="009A379C"/>
    <w:rsid w:val="009A37B9"/>
    <w:rsid w:val="009A3C2E"/>
    <w:rsid w:val="009A3E10"/>
    <w:rsid w:val="009A3E8E"/>
    <w:rsid w:val="009A41A4"/>
    <w:rsid w:val="009A4453"/>
    <w:rsid w:val="009A45F7"/>
    <w:rsid w:val="009A47C0"/>
    <w:rsid w:val="009A48E2"/>
    <w:rsid w:val="009A4CE5"/>
    <w:rsid w:val="009A4DE7"/>
    <w:rsid w:val="009A5139"/>
    <w:rsid w:val="009A5432"/>
    <w:rsid w:val="009A545B"/>
    <w:rsid w:val="009A571C"/>
    <w:rsid w:val="009A5D01"/>
    <w:rsid w:val="009A5DF8"/>
    <w:rsid w:val="009A5E9E"/>
    <w:rsid w:val="009A5EDA"/>
    <w:rsid w:val="009A5FC7"/>
    <w:rsid w:val="009A60D0"/>
    <w:rsid w:val="009A628F"/>
    <w:rsid w:val="009A67A2"/>
    <w:rsid w:val="009A69CB"/>
    <w:rsid w:val="009A6C82"/>
    <w:rsid w:val="009A6E07"/>
    <w:rsid w:val="009A6EFD"/>
    <w:rsid w:val="009A7136"/>
    <w:rsid w:val="009A7177"/>
    <w:rsid w:val="009A72D9"/>
    <w:rsid w:val="009A7483"/>
    <w:rsid w:val="009A76D4"/>
    <w:rsid w:val="009A7959"/>
    <w:rsid w:val="009A7B5F"/>
    <w:rsid w:val="009A7C32"/>
    <w:rsid w:val="009A7DFF"/>
    <w:rsid w:val="009A7ED1"/>
    <w:rsid w:val="009B003C"/>
    <w:rsid w:val="009B05EA"/>
    <w:rsid w:val="009B0703"/>
    <w:rsid w:val="009B0709"/>
    <w:rsid w:val="009B0802"/>
    <w:rsid w:val="009B0BCD"/>
    <w:rsid w:val="009B0DDC"/>
    <w:rsid w:val="009B0F58"/>
    <w:rsid w:val="009B0F8F"/>
    <w:rsid w:val="009B13D5"/>
    <w:rsid w:val="009B1548"/>
    <w:rsid w:val="009B1775"/>
    <w:rsid w:val="009B1B3C"/>
    <w:rsid w:val="009B1D82"/>
    <w:rsid w:val="009B1DBC"/>
    <w:rsid w:val="009B1EEF"/>
    <w:rsid w:val="009B219C"/>
    <w:rsid w:val="009B21CB"/>
    <w:rsid w:val="009B2215"/>
    <w:rsid w:val="009B2426"/>
    <w:rsid w:val="009B2536"/>
    <w:rsid w:val="009B258D"/>
    <w:rsid w:val="009B2BAC"/>
    <w:rsid w:val="009B3076"/>
    <w:rsid w:val="009B30C6"/>
    <w:rsid w:val="009B31C9"/>
    <w:rsid w:val="009B3607"/>
    <w:rsid w:val="009B386C"/>
    <w:rsid w:val="009B38AF"/>
    <w:rsid w:val="009B39C2"/>
    <w:rsid w:val="009B3A07"/>
    <w:rsid w:val="009B3A82"/>
    <w:rsid w:val="009B3BBD"/>
    <w:rsid w:val="009B3CAD"/>
    <w:rsid w:val="009B3D63"/>
    <w:rsid w:val="009B409F"/>
    <w:rsid w:val="009B4104"/>
    <w:rsid w:val="009B4235"/>
    <w:rsid w:val="009B4258"/>
    <w:rsid w:val="009B4287"/>
    <w:rsid w:val="009B42C5"/>
    <w:rsid w:val="009B441C"/>
    <w:rsid w:val="009B4537"/>
    <w:rsid w:val="009B4742"/>
    <w:rsid w:val="009B47DB"/>
    <w:rsid w:val="009B4EF9"/>
    <w:rsid w:val="009B4FD3"/>
    <w:rsid w:val="009B5280"/>
    <w:rsid w:val="009B5406"/>
    <w:rsid w:val="009B5549"/>
    <w:rsid w:val="009B571B"/>
    <w:rsid w:val="009B59D4"/>
    <w:rsid w:val="009B5E0A"/>
    <w:rsid w:val="009B635F"/>
    <w:rsid w:val="009B6DEE"/>
    <w:rsid w:val="009B6EC7"/>
    <w:rsid w:val="009B742A"/>
    <w:rsid w:val="009B74BD"/>
    <w:rsid w:val="009B75A7"/>
    <w:rsid w:val="009B76E3"/>
    <w:rsid w:val="009B7842"/>
    <w:rsid w:val="009B7A44"/>
    <w:rsid w:val="009B7FBF"/>
    <w:rsid w:val="009C0139"/>
    <w:rsid w:val="009C0148"/>
    <w:rsid w:val="009C016A"/>
    <w:rsid w:val="009C01B7"/>
    <w:rsid w:val="009C0204"/>
    <w:rsid w:val="009C048A"/>
    <w:rsid w:val="009C0546"/>
    <w:rsid w:val="009C0B17"/>
    <w:rsid w:val="009C0D79"/>
    <w:rsid w:val="009C0E0F"/>
    <w:rsid w:val="009C0F69"/>
    <w:rsid w:val="009C0F98"/>
    <w:rsid w:val="009C1477"/>
    <w:rsid w:val="009C168C"/>
    <w:rsid w:val="009C17D1"/>
    <w:rsid w:val="009C1966"/>
    <w:rsid w:val="009C1CCD"/>
    <w:rsid w:val="009C1DFA"/>
    <w:rsid w:val="009C216F"/>
    <w:rsid w:val="009C21EC"/>
    <w:rsid w:val="009C2598"/>
    <w:rsid w:val="009C2940"/>
    <w:rsid w:val="009C29E8"/>
    <w:rsid w:val="009C30CE"/>
    <w:rsid w:val="009C30F3"/>
    <w:rsid w:val="009C3173"/>
    <w:rsid w:val="009C3212"/>
    <w:rsid w:val="009C3346"/>
    <w:rsid w:val="009C3461"/>
    <w:rsid w:val="009C3695"/>
    <w:rsid w:val="009C3B54"/>
    <w:rsid w:val="009C3D59"/>
    <w:rsid w:val="009C3E6D"/>
    <w:rsid w:val="009C43B7"/>
    <w:rsid w:val="009C44C3"/>
    <w:rsid w:val="009C4A55"/>
    <w:rsid w:val="009C4A7C"/>
    <w:rsid w:val="009C4B91"/>
    <w:rsid w:val="009C5006"/>
    <w:rsid w:val="009C50D1"/>
    <w:rsid w:val="009C517B"/>
    <w:rsid w:val="009C51F9"/>
    <w:rsid w:val="009C53CC"/>
    <w:rsid w:val="009C5516"/>
    <w:rsid w:val="009C56E7"/>
    <w:rsid w:val="009C5D5D"/>
    <w:rsid w:val="009C6098"/>
    <w:rsid w:val="009C60CD"/>
    <w:rsid w:val="009C6616"/>
    <w:rsid w:val="009C6B82"/>
    <w:rsid w:val="009C7014"/>
    <w:rsid w:val="009C71FA"/>
    <w:rsid w:val="009C7318"/>
    <w:rsid w:val="009C7947"/>
    <w:rsid w:val="009C7C92"/>
    <w:rsid w:val="009C7EBC"/>
    <w:rsid w:val="009D0117"/>
    <w:rsid w:val="009D0247"/>
    <w:rsid w:val="009D0287"/>
    <w:rsid w:val="009D03F3"/>
    <w:rsid w:val="009D060A"/>
    <w:rsid w:val="009D0934"/>
    <w:rsid w:val="009D0B93"/>
    <w:rsid w:val="009D0CCE"/>
    <w:rsid w:val="009D10E5"/>
    <w:rsid w:val="009D1275"/>
    <w:rsid w:val="009D12D2"/>
    <w:rsid w:val="009D1338"/>
    <w:rsid w:val="009D14FF"/>
    <w:rsid w:val="009D17C0"/>
    <w:rsid w:val="009D1845"/>
    <w:rsid w:val="009D190B"/>
    <w:rsid w:val="009D1D8A"/>
    <w:rsid w:val="009D1F49"/>
    <w:rsid w:val="009D2371"/>
    <w:rsid w:val="009D2501"/>
    <w:rsid w:val="009D25DD"/>
    <w:rsid w:val="009D2807"/>
    <w:rsid w:val="009D2C04"/>
    <w:rsid w:val="009D2D11"/>
    <w:rsid w:val="009D303E"/>
    <w:rsid w:val="009D31AB"/>
    <w:rsid w:val="009D31DC"/>
    <w:rsid w:val="009D3212"/>
    <w:rsid w:val="009D329C"/>
    <w:rsid w:val="009D32AC"/>
    <w:rsid w:val="009D3785"/>
    <w:rsid w:val="009D3846"/>
    <w:rsid w:val="009D3966"/>
    <w:rsid w:val="009D3A5A"/>
    <w:rsid w:val="009D3A82"/>
    <w:rsid w:val="009D3B3F"/>
    <w:rsid w:val="009D3B5F"/>
    <w:rsid w:val="009D3B71"/>
    <w:rsid w:val="009D3D50"/>
    <w:rsid w:val="009D3EF6"/>
    <w:rsid w:val="009D402A"/>
    <w:rsid w:val="009D41AD"/>
    <w:rsid w:val="009D434D"/>
    <w:rsid w:val="009D4357"/>
    <w:rsid w:val="009D4CF4"/>
    <w:rsid w:val="009D4DB8"/>
    <w:rsid w:val="009D4E42"/>
    <w:rsid w:val="009D517A"/>
    <w:rsid w:val="009D54B9"/>
    <w:rsid w:val="009D5588"/>
    <w:rsid w:val="009D574E"/>
    <w:rsid w:val="009D575D"/>
    <w:rsid w:val="009D57E1"/>
    <w:rsid w:val="009D595F"/>
    <w:rsid w:val="009D59E1"/>
    <w:rsid w:val="009D5A8E"/>
    <w:rsid w:val="009D5E42"/>
    <w:rsid w:val="009D5E56"/>
    <w:rsid w:val="009D5E73"/>
    <w:rsid w:val="009D5F9F"/>
    <w:rsid w:val="009D6122"/>
    <w:rsid w:val="009D62C8"/>
    <w:rsid w:val="009D66E1"/>
    <w:rsid w:val="009D697B"/>
    <w:rsid w:val="009D6B86"/>
    <w:rsid w:val="009D7095"/>
    <w:rsid w:val="009D7151"/>
    <w:rsid w:val="009D715D"/>
    <w:rsid w:val="009D71B5"/>
    <w:rsid w:val="009D72D8"/>
    <w:rsid w:val="009D765A"/>
    <w:rsid w:val="009D792C"/>
    <w:rsid w:val="009D7972"/>
    <w:rsid w:val="009D798C"/>
    <w:rsid w:val="009D7A06"/>
    <w:rsid w:val="009E0202"/>
    <w:rsid w:val="009E02DD"/>
    <w:rsid w:val="009E063F"/>
    <w:rsid w:val="009E0983"/>
    <w:rsid w:val="009E099A"/>
    <w:rsid w:val="009E0BDF"/>
    <w:rsid w:val="009E0F1F"/>
    <w:rsid w:val="009E0F43"/>
    <w:rsid w:val="009E0FEE"/>
    <w:rsid w:val="009E1072"/>
    <w:rsid w:val="009E1414"/>
    <w:rsid w:val="009E14DC"/>
    <w:rsid w:val="009E173E"/>
    <w:rsid w:val="009E1E14"/>
    <w:rsid w:val="009E22E3"/>
    <w:rsid w:val="009E245C"/>
    <w:rsid w:val="009E24B7"/>
    <w:rsid w:val="009E26F9"/>
    <w:rsid w:val="009E2A41"/>
    <w:rsid w:val="009E2D12"/>
    <w:rsid w:val="009E2DF5"/>
    <w:rsid w:val="009E2EF2"/>
    <w:rsid w:val="009E30B8"/>
    <w:rsid w:val="009E3464"/>
    <w:rsid w:val="009E360F"/>
    <w:rsid w:val="009E3644"/>
    <w:rsid w:val="009E3778"/>
    <w:rsid w:val="009E3DDE"/>
    <w:rsid w:val="009E3E07"/>
    <w:rsid w:val="009E3E7A"/>
    <w:rsid w:val="009E4196"/>
    <w:rsid w:val="009E4259"/>
    <w:rsid w:val="009E43F0"/>
    <w:rsid w:val="009E4970"/>
    <w:rsid w:val="009E4ACF"/>
    <w:rsid w:val="009E4B16"/>
    <w:rsid w:val="009E4BCD"/>
    <w:rsid w:val="009E4C75"/>
    <w:rsid w:val="009E50AB"/>
    <w:rsid w:val="009E52A2"/>
    <w:rsid w:val="009E53C1"/>
    <w:rsid w:val="009E55E9"/>
    <w:rsid w:val="009E57C2"/>
    <w:rsid w:val="009E5AFD"/>
    <w:rsid w:val="009E5D6A"/>
    <w:rsid w:val="009E5DD9"/>
    <w:rsid w:val="009E5F8E"/>
    <w:rsid w:val="009E606C"/>
    <w:rsid w:val="009E6085"/>
    <w:rsid w:val="009E6990"/>
    <w:rsid w:val="009E7859"/>
    <w:rsid w:val="009E7A17"/>
    <w:rsid w:val="009F00A7"/>
    <w:rsid w:val="009F01E8"/>
    <w:rsid w:val="009F01F5"/>
    <w:rsid w:val="009F083D"/>
    <w:rsid w:val="009F0C16"/>
    <w:rsid w:val="009F0E2B"/>
    <w:rsid w:val="009F14C0"/>
    <w:rsid w:val="009F175F"/>
    <w:rsid w:val="009F1817"/>
    <w:rsid w:val="009F1AF3"/>
    <w:rsid w:val="009F1B7E"/>
    <w:rsid w:val="009F1BAC"/>
    <w:rsid w:val="009F1BAD"/>
    <w:rsid w:val="009F1F67"/>
    <w:rsid w:val="009F1F71"/>
    <w:rsid w:val="009F2096"/>
    <w:rsid w:val="009F20A5"/>
    <w:rsid w:val="009F240C"/>
    <w:rsid w:val="009F2469"/>
    <w:rsid w:val="009F29B8"/>
    <w:rsid w:val="009F2B85"/>
    <w:rsid w:val="009F2D63"/>
    <w:rsid w:val="009F310B"/>
    <w:rsid w:val="009F33EC"/>
    <w:rsid w:val="009F37ED"/>
    <w:rsid w:val="009F37FA"/>
    <w:rsid w:val="009F38B5"/>
    <w:rsid w:val="009F3945"/>
    <w:rsid w:val="009F3963"/>
    <w:rsid w:val="009F3A88"/>
    <w:rsid w:val="009F3B7A"/>
    <w:rsid w:val="009F3E36"/>
    <w:rsid w:val="009F40FA"/>
    <w:rsid w:val="009F4459"/>
    <w:rsid w:val="009F455B"/>
    <w:rsid w:val="009F46BB"/>
    <w:rsid w:val="009F4B63"/>
    <w:rsid w:val="009F4C13"/>
    <w:rsid w:val="009F4F3C"/>
    <w:rsid w:val="009F57DF"/>
    <w:rsid w:val="009F5A17"/>
    <w:rsid w:val="009F5CBB"/>
    <w:rsid w:val="009F5D0F"/>
    <w:rsid w:val="009F603B"/>
    <w:rsid w:val="009F6105"/>
    <w:rsid w:val="009F6167"/>
    <w:rsid w:val="009F6395"/>
    <w:rsid w:val="009F63D2"/>
    <w:rsid w:val="009F650F"/>
    <w:rsid w:val="009F6D59"/>
    <w:rsid w:val="009F6E07"/>
    <w:rsid w:val="009F6F3E"/>
    <w:rsid w:val="009F7C78"/>
    <w:rsid w:val="00A000F5"/>
    <w:rsid w:val="00A00495"/>
    <w:rsid w:val="00A00516"/>
    <w:rsid w:val="00A00A75"/>
    <w:rsid w:val="00A00B26"/>
    <w:rsid w:val="00A00B81"/>
    <w:rsid w:val="00A00CB3"/>
    <w:rsid w:val="00A00D15"/>
    <w:rsid w:val="00A00E28"/>
    <w:rsid w:val="00A00EA9"/>
    <w:rsid w:val="00A00FB9"/>
    <w:rsid w:val="00A01130"/>
    <w:rsid w:val="00A01439"/>
    <w:rsid w:val="00A01A9A"/>
    <w:rsid w:val="00A02028"/>
    <w:rsid w:val="00A02173"/>
    <w:rsid w:val="00A02186"/>
    <w:rsid w:val="00A0218C"/>
    <w:rsid w:val="00A023B6"/>
    <w:rsid w:val="00A02560"/>
    <w:rsid w:val="00A0261A"/>
    <w:rsid w:val="00A0261F"/>
    <w:rsid w:val="00A029F0"/>
    <w:rsid w:val="00A02B5A"/>
    <w:rsid w:val="00A036E6"/>
    <w:rsid w:val="00A03F65"/>
    <w:rsid w:val="00A043AD"/>
    <w:rsid w:val="00A0469F"/>
    <w:rsid w:val="00A048BC"/>
    <w:rsid w:val="00A04B7F"/>
    <w:rsid w:val="00A04CBE"/>
    <w:rsid w:val="00A04F88"/>
    <w:rsid w:val="00A0518B"/>
    <w:rsid w:val="00A0533B"/>
    <w:rsid w:val="00A05736"/>
    <w:rsid w:val="00A05FB5"/>
    <w:rsid w:val="00A06077"/>
    <w:rsid w:val="00A06203"/>
    <w:rsid w:val="00A06596"/>
    <w:rsid w:val="00A06764"/>
    <w:rsid w:val="00A0691E"/>
    <w:rsid w:val="00A06CA3"/>
    <w:rsid w:val="00A0700B"/>
    <w:rsid w:val="00A075A7"/>
    <w:rsid w:val="00A0765F"/>
    <w:rsid w:val="00A07809"/>
    <w:rsid w:val="00A07A61"/>
    <w:rsid w:val="00A07AE2"/>
    <w:rsid w:val="00A07D17"/>
    <w:rsid w:val="00A100D2"/>
    <w:rsid w:val="00A100D8"/>
    <w:rsid w:val="00A102B0"/>
    <w:rsid w:val="00A10394"/>
    <w:rsid w:val="00A108DD"/>
    <w:rsid w:val="00A10B3F"/>
    <w:rsid w:val="00A10CBD"/>
    <w:rsid w:val="00A10D9E"/>
    <w:rsid w:val="00A11210"/>
    <w:rsid w:val="00A11238"/>
    <w:rsid w:val="00A113F1"/>
    <w:rsid w:val="00A11617"/>
    <w:rsid w:val="00A11657"/>
    <w:rsid w:val="00A11665"/>
    <w:rsid w:val="00A11790"/>
    <w:rsid w:val="00A11C92"/>
    <w:rsid w:val="00A11DEE"/>
    <w:rsid w:val="00A11EE2"/>
    <w:rsid w:val="00A120C1"/>
    <w:rsid w:val="00A12408"/>
    <w:rsid w:val="00A1245A"/>
    <w:rsid w:val="00A126A3"/>
    <w:rsid w:val="00A126A7"/>
    <w:rsid w:val="00A1270B"/>
    <w:rsid w:val="00A12740"/>
    <w:rsid w:val="00A127B1"/>
    <w:rsid w:val="00A12B1E"/>
    <w:rsid w:val="00A12B2F"/>
    <w:rsid w:val="00A12B3A"/>
    <w:rsid w:val="00A12BF0"/>
    <w:rsid w:val="00A12D72"/>
    <w:rsid w:val="00A12FC9"/>
    <w:rsid w:val="00A131C6"/>
    <w:rsid w:val="00A13538"/>
    <w:rsid w:val="00A135F0"/>
    <w:rsid w:val="00A13647"/>
    <w:rsid w:val="00A13806"/>
    <w:rsid w:val="00A13915"/>
    <w:rsid w:val="00A13BB5"/>
    <w:rsid w:val="00A13C14"/>
    <w:rsid w:val="00A13D21"/>
    <w:rsid w:val="00A140F2"/>
    <w:rsid w:val="00A141C8"/>
    <w:rsid w:val="00A141EF"/>
    <w:rsid w:val="00A143B2"/>
    <w:rsid w:val="00A1447E"/>
    <w:rsid w:val="00A1451F"/>
    <w:rsid w:val="00A147BB"/>
    <w:rsid w:val="00A14844"/>
    <w:rsid w:val="00A148F3"/>
    <w:rsid w:val="00A150FD"/>
    <w:rsid w:val="00A1553A"/>
    <w:rsid w:val="00A156B2"/>
    <w:rsid w:val="00A16151"/>
    <w:rsid w:val="00A164B7"/>
    <w:rsid w:val="00A16543"/>
    <w:rsid w:val="00A16591"/>
    <w:rsid w:val="00A1688C"/>
    <w:rsid w:val="00A16B65"/>
    <w:rsid w:val="00A16D79"/>
    <w:rsid w:val="00A16E02"/>
    <w:rsid w:val="00A171B3"/>
    <w:rsid w:val="00A17242"/>
    <w:rsid w:val="00A17257"/>
    <w:rsid w:val="00A17385"/>
    <w:rsid w:val="00A175EC"/>
    <w:rsid w:val="00A17681"/>
    <w:rsid w:val="00A1784B"/>
    <w:rsid w:val="00A17951"/>
    <w:rsid w:val="00A179E2"/>
    <w:rsid w:val="00A17D05"/>
    <w:rsid w:val="00A17E78"/>
    <w:rsid w:val="00A2033E"/>
    <w:rsid w:val="00A20341"/>
    <w:rsid w:val="00A2038F"/>
    <w:rsid w:val="00A20775"/>
    <w:rsid w:val="00A20808"/>
    <w:rsid w:val="00A20810"/>
    <w:rsid w:val="00A20812"/>
    <w:rsid w:val="00A208BF"/>
    <w:rsid w:val="00A20931"/>
    <w:rsid w:val="00A20C21"/>
    <w:rsid w:val="00A20D0E"/>
    <w:rsid w:val="00A20EAE"/>
    <w:rsid w:val="00A20F66"/>
    <w:rsid w:val="00A20F85"/>
    <w:rsid w:val="00A213AF"/>
    <w:rsid w:val="00A21421"/>
    <w:rsid w:val="00A21CE2"/>
    <w:rsid w:val="00A21EC9"/>
    <w:rsid w:val="00A21F16"/>
    <w:rsid w:val="00A225B2"/>
    <w:rsid w:val="00A22FD2"/>
    <w:rsid w:val="00A23740"/>
    <w:rsid w:val="00A23802"/>
    <w:rsid w:val="00A23F35"/>
    <w:rsid w:val="00A24123"/>
    <w:rsid w:val="00A242B6"/>
    <w:rsid w:val="00A243EA"/>
    <w:rsid w:val="00A24E40"/>
    <w:rsid w:val="00A24E88"/>
    <w:rsid w:val="00A24F69"/>
    <w:rsid w:val="00A25182"/>
    <w:rsid w:val="00A2544F"/>
    <w:rsid w:val="00A255D9"/>
    <w:rsid w:val="00A25AFA"/>
    <w:rsid w:val="00A25BD2"/>
    <w:rsid w:val="00A25C6F"/>
    <w:rsid w:val="00A25CDD"/>
    <w:rsid w:val="00A2608F"/>
    <w:rsid w:val="00A26098"/>
    <w:rsid w:val="00A2636C"/>
    <w:rsid w:val="00A26670"/>
    <w:rsid w:val="00A267F5"/>
    <w:rsid w:val="00A268BB"/>
    <w:rsid w:val="00A26928"/>
    <w:rsid w:val="00A26B53"/>
    <w:rsid w:val="00A2716B"/>
    <w:rsid w:val="00A2766A"/>
    <w:rsid w:val="00A27749"/>
    <w:rsid w:val="00A2783A"/>
    <w:rsid w:val="00A27DD0"/>
    <w:rsid w:val="00A27FA7"/>
    <w:rsid w:val="00A30037"/>
    <w:rsid w:val="00A301D1"/>
    <w:rsid w:val="00A303FE"/>
    <w:rsid w:val="00A304B9"/>
    <w:rsid w:val="00A3078F"/>
    <w:rsid w:val="00A30935"/>
    <w:rsid w:val="00A30DA2"/>
    <w:rsid w:val="00A310C2"/>
    <w:rsid w:val="00A31288"/>
    <w:rsid w:val="00A31727"/>
    <w:rsid w:val="00A317C2"/>
    <w:rsid w:val="00A31878"/>
    <w:rsid w:val="00A31882"/>
    <w:rsid w:val="00A31934"/>
    <w:rsid w:val="00A31A4E"/>
    <w:rsid w:val="00A31ACF"/>
    <w:rsid w:val="00A31E1D"/>
    <w:rsid w:val="00A32053"/>
    <w:rsid w:val="00A3209F"/>
    <w:rsid w:val="00A323D7"/>
    <w:rsid w:val="00A3245B"/>
    <w:rsid w:val="00A32553"/>
    <w:rsid w:val="00A32761"/>
    <w:rsid w:val="00A32A8E"/>
    <w:rsid w:val="00A32B53"/>
    <w:rsid w:val="00A32B61"/>
    <w:rsid w:val="00A32DA8"/>
    <w:rsid w:val="00A32DD0"/>
    <w:rsid w:val="00A32EDF"/>
    <w:rsid w:val="00A334DE"/>
    <w:rsid w:val="00A335D3"/>
    <w:rsid w:val="00A33701"/>
    <w:rsid w:val="00A338AB"/>
    <w:rsid w:val="00A339BC"/>
    <w:rsid w:val="00A33B9B"/>
    <w:rsid w:val="00A3405B"/>
    <w:rsid w:val="00A3409A"/>
    <w:rsid w:val="00A342C1"/>
    <w:rsid w:val="00A3451A"/>
    <w:rsid w:val="00A3485C"/>
    <w:rsid w:val="00A348EA"/>
    <w:rsid w:val="00A3492E"/>
    <w:rsid w:val="00A34961"/>
    <w:rsid w:val="00A34970"/>
    <w:rsid w:val="00A349C1"/>
    <w:rsid w:val="00A34A6F"/>
    <w:rsid w:val="00A34AAE"/>
    <w:rsid w:val="00A34B07"/>
    <w:rsid w:val="00A34DAE"/>
    <w:rsid w:val="00A34EB4"/>
    <w:rsid w:val="00A350C8"/>
    <w:rsid w:val="00A35296"/>
    <w:rsid w:val="00A352DE"/>
    <w:rsid w:val="00A35342"/>
    <w:rsid w:val="00A354BD"/>
    <w:rsid w:val="00A355DD"/>
    <w:rsid w:val="00A356E2"/>
    <w:rsid w:val="00A358EF"/>
    <w:rsid w:val="00A3596A"/>
    <w:rsid w:val="00A359CD"/>
    <w:rsid w:val="00A35B67"/>
    <w:rsid w:val="00A35C8A"/>
    <w:rsid w:val="00A35CF3"/>
    <w:rsid w:val="00A365AF"/>
    <w:rsid w:val="00A369C3"/>
    <w:rsid w:val="00A36B3C"/>
    <w:rsid w:val="00A370F2"/>
    <w:rsid w:val="00A3725C"/>
    <w:rsid w:val="00A372C8"/>
    <w:rsid w:val="00A37419"/>
    <w:rsid w:val="00A37651"/>
    <w:rsid w:val="00A3775A"/>
    <w:rsid w:val="00A37922"/>
    <w:rsid w:val="00A37985"/>
    <w:rsid w:val="00A37BBA"/>
    <w:rsid w:val="00A37EAD"/>
    <w:rsid w:val="00A4019F"/>
    <w:rsid w:val="00A405BB"/>
    <w:rsid w:val="00A40763"/>
    <w:rsid w:val="00A40792"/>
    <w:rsid w:val="00A4159F"/>
    <w:rsid w:val="00A417D2"/>
    <w:rsid w:val="00A41803"/>
    <w:rsid w:val="00A41DCD"/>
    <w:rsid w:val="00A41EA2"/>
    <w:rsid w:val="00A41F0B"/>
    <w:rsid w:val="00A422EC"/>
    <w:rsid w:val="00A42398"/>
    <w:rsid w:val="00A424FF"/>
    <w:rsid w:val="00A42732"/>
    <w:rsid w:val="00A42926"/>
    <w:rsid w:val="00A42965"/>
    <w:rsid w:val="00A42983"/>
    <w:rsid w:val="00A429F4"/>
    <w:rsid w:val="00A42B5D"/>
    <w:rsid w:val="00A42CB5"/>
    <w:rsid w:val="00A42EAF"/>
    <w:rsid w:val="00A42ECB"/>
    <w:rsid w:val="00A430DB"/>
    <w:rsid w:val="00A436E5"/>
    <w:rsid w:val="00A43726"/>
    <w:rsid w:val="00A43741"/>
    <w:rsid w:val="00A437E0"/>
    <w:rsid w:val="00A43C0A"/>
    <w:rsid w:val="00A43F0F"/>
    <w:rsid w:val="00A44336"/>
    <w:rsid w:val="00A44632"/>
    <w:rsid w:val="00A44689"/>
    <w:rsid w:val="00A4476D"/>
    <w:rsid w:val="00A447D8"/>
    <w:rsid w:val="00A448DF"/>
    <w:rsid w:val="00A449AF"/>
    <w:rsid w:val="00A44DE5"/>
    <w:rsid w:val="00A44DFC"/>
    <w:rsid w:val="00A44E7E"/>
    <w:rsid w:val="00A44EC6"/>
    <w:rsid w:val="00A45257"/>
    <w:rsid w:val="00A45267"/>
    <w:rsid w:val="00A457E0"/>
    <w:rsid w:val="00A45B35"/>
    <w:rsid w:val="00A45CD5"/>
    <w:rsid w:val="00A45D65"/>
    <w:rsid w:val="00A4634F"/>
    <w:rsid w:val="00A4649F"/>
    <w:rsid w:val="00A465BB"/>
    <w:rsid w:val="00A46771"/>
    <w:rsid w:val="00A4683E"/>
    <w:rsid w:val="00A46896"/>
    <w:rsid w:val="00A468CF"/>
    <w:rsid w:val="00A46AF9"/>
    <w:rsid w:val="00A46BB9"/>
    <w:rsid w:val="00A46C6E"/>
    <w:rsid w:val="00A46F35"/>
    <w:rsid w:val="00A470C1"/>
    <w:rsid w:val="00A471C7"/>
    <w:rsid w:val="00A47328"/>
    <w:rsid w:val="00A473D4"/>
    <w:rsid w:val="00A473EA"/>
    <w:rsid w:val="00A474B8"/>
    <w:rsid w:val="00A4772B"/>
    <w:rsid w:val="00A4785B"/>
    <w:rsid w:val="00A478A6"/>
    <w:rsid w:val="00A479A2"/>
    <w:rsid w:val="00A47A29"/>
    <w:rsid w:val="00A47ABF"/>
    <w:rsid w:val="00A47C44"/>
    <w:rsid w:val="00A47D78"/>
    <w:rsid w:val="00A47DFA"/>
    <w:rsid w:val="00A47F5B"/>
    <w:rsid w:val="00A502A2"/>
    <w:rsid w:val="00A50C48"/>
    <w:rsid w:val="00A50E1C"/>
    <w:rsid w:val="00A50F47"/>
    <w:rsid w:val="00A51032"/>
    <w:rsid w:val="00A514DD"/>
    <w:rsid w:val="00A5167C"/>
    <w:rsid w:val="00A518EF"/>
    <w:rsid w:val="00A51923"/>
    <w:rsid w:val="00A5198B"/>
    <w:rsid w:val="00A51CFD"/>
    <w:rsid w:val="00A51F6D"/>
    <w:rsid w:val="00A5217D"/>
    <w:rsid w:val="00A521C0"/>
    <w:rsid w:val="00A5231D"/>
    <w:rsid w:val="00A523AE"/>
    <w:rsid w:val="00A52774"/>
    <w:rsid w:val="00A52788"/>
    <w:rsid w:val="00A52B18"/>
    <w:rsid w:val="00A52B5E"/>
    <w:rsid w:val="00A52C60"/>
    <w:rsid w:val="00A52D6D"/>
    <w:rsid w:val="00A52E7E"/>
    <w:rsid w:val="00A52F96"/>
    <w:rsid w:val="00A5328F"/>
    <w:rsid w:val="00A53707"/>
    <w:rsid w:val="00A53928"/>
    <w:rsid w:val="00A53BA6"/>
    <w:rsid w:val="00A53E0D"/>
    <w:rsid w:val="00A5415A"/>
    <w:rsid w:val="00A54378"/>
    <w:rsid w:val="00A5448A"/>
    <w:rsid w:val="00A546AA"/>
    <w:rsid w:val="00A547CD"/>
    <w:rsid w:val="00A54927"/>
    <w:rsid w:val="00A54936"/>
    <w:rsid w:val="00A54A0A"/>
    <w:rsid w:val="00A54A10"/>
    <w:rsid w:val="00A54DC5"/>
    <w:rsid w:val="00A54DD2"/>
    <w:rsid w:val="00A54F0D"/>
    <w:rsid w:val="00A55216"/>
    <w:rsid w:val="00A55240"/>
    <w:rsid w:val="00A554CF"/>
    <w:rsid w:val="00A5551D"/>
    <w:rsid w:val="00A55584"/>
    <w:rsid w:val="00A55987"/>
    <w:rsid w:val="00A559F9"/>
    <w:rsid w:val="00A55A09"/>
    <w:rsid w:val="00A55B0A"/>
    <w:rsid w:val="00A55E77"/>
    <w:rsid w:val="00A55E8F"/>
    <w:rsid w:val="00A55F2D"/>
    <w:rsid w:val="00A56090"/>
    <w:rsid w:val="00A563F4"/>
    <w:rsid w:val="00A56415"/>
    <w:rsid w:val="00A568D1"/>
    <w:rsid w:val="00A5696B"/>
    <w:rsid w:val="00A56974"/>
    <w:rsid w:val="00A56A47"/>
    <w:rsid w:val="00A56C83"/>
    <w:rsid w:val="00A5706E"/>
    <w:rsid w:val="00A570E8"/>
    <w:rsid w:val="00A5723B"/>
    <w:rsid w:val="00A575AE"/>
    <w:rsid w:val="00A57677"/>
    <w:rsid w:val="00A57A49"/>
    <w:rsid w:val="00A57C0A"/>
    <w:rsid w:val="00A57C1C"/>
    <w:rsid w:val="00A57CFE"/>
    <w:rsid w:val="00A57FD5"/>
    <w:rsid w:val="00A6005D"/>
    <w:rsid w:val="00A6039D"/>
    <w:rsid w:val="00A6052F"/>
    <w:rsid w:val="00A60608"/>
    <w:rsid w:val="00A6097D"/>
    <w:rsid w:val="00A60BEC"/>
    <w:rsid w:val="00A60DDC"/>
    <w:rsid w:val="00A61070"/>
    <w:rsid w:val="00A61140"/>
    <w:rsid w:val="00A6138F"/>
    <w:rsid w:val="00A621AC"/>
    <w:rsid w:val="00A624BC"/>
    <w:rsid w:val="00A627AA"/>
    <w:rsid w:val="00A62AF0"/>
    <w:rsid w:val="00A62C4F"/>
    <w:rsid w:val="00A62C77"/>
    <w:rsid w:val="00A630A4"/>
    <w:rsid w:val="00A63607"/>
    <w:rsid w:val="00A63B1B"/>
    <w:rsid w:val="00A63BD2"/>
    <w:rsid w:val="00A63EA6"/>
    <w:rsid w:val="00A6417C"/>
    <w:rsid w:val="00A642A9"/>
    <w:rsid w:val="00A6435B"/>
    <w:rsid w:val="00A64614"/>
    <w:rsid w:val="00A64641"/>
    <w:rsid w:val="00A6493C"/>
    <w:rsid w:val="00A64A34"/>
    <w:rsid w:val="00A64AE2"/>
    <w:rsid w:val="00A64CF3"/>
    <w:rsid w:val="00A64E56"/>
    <w:rsid w:val="00A65277"/>
    <w:rsid w:val="00A6528D"/>
    <w:rsid w:val="00A6533F"/>
    <w:rsid w:val="00A6546B"/>
    <w:rsid w:val="00A65843"/>
    <w:rsid w:val="00A659D8"/>
    <w:rsid w:val="00A65CB6"/>
    <w:rsid w:val="00A65D4B"/>
    <w:rsid w:val="00A65E89"/>
    <w:rsid w:val="00A65F94"/>
    <w:rsid w:val="00A660B2"/>
    <w:rsid w:val="00A66407"/>
    <w:rsid w:val="00A66907"/>
    <w:rsid w:val="00A66A83"/>
    <w:rsid w:val="00A66A99"/>
    <w:rsid w:val="00A66EE9"/>
    <w:rsid w:val="00A6721E"/>
    <w:rsid w:val="00A67246"/>
    <w:rsid w:val="00A67527"/>
    <w:rsid w:val="00A6754F"/>
    <w:rsid w:val="00A67742"/>
    <w:rsid w:val="00A67753"/>
    <w:rsid w:val="00A67847"/>
    <w:rsid w:val="00A67CB4"/>
    <w:rsid w:val="00A67CCA"/>
    <w:rsid w:val="00A67F0C"/>
    <w:rsid w:val="00A703B8"/>
    <w:rsid w:val="00A7078B"/>
    <w:rsid w:val="00A70A36"/>
    <w:rsid w:val="00A70AE8"/>
    <w:rsid w:val="00A70CC7"/>
    <w:rsid w:val="00A70CEF"/>
    <w:rsid w:val="00A70CF8"/>
    <w:rsid w:val="00A70D92"/>
    <w:rsid w:val="00A70E12"/>
    <w:rsid w:val="00A71062"/>
    <w:rsid w:val="00A71074"/>
    <w:rsid w:val="00A711D3"/>
    <w:rsid w:val="00A712CC"/>
    <w:rsid w:val="00A71648"/>
    <w:rsid w:val="00A71686"/>
    <w:rsid w:val="00A71782"/>
    <w:rsid w:val="00A718DD"/>
    <w:rsid w:val="00A71A04"/>
    <w:rsid w:val="00A71BE9"/>
    <w:rsid w:val="00A71C4C"/>
    <w:rsid w:val="00A71D09"/>
    <w:rsid w:val="00A71D69"/>
    <w:rsid w:val="00A71DCF"/>
    <w:rsid w:val="00A72A29"/>
    <w:rsid w:val="00A72EA9"/>
    <w:rsid w:val="00A72F69"/>
    <w:rsid w:val="00A73007"/>
    <w:rsid w:val="00A73110"/>
    <w:rsid w:val="00A73217"/>
    <w:rsid w:val="00A7323B"/>
    <w:rsid w:val="00A73466"/>
    <w:rsid w:val="00A735CF"/>
    <w:rsid w:val="00A73665"/>
    <w:rsid w:val="00A73671"/>
    <w:rsid w:val="00A7371D"/>
    <w:rsid w:val="00A738A2"/>
    <w:rsid w:val="00A73973"/>
    <w:rsid w:val="00A73AB4"/>
    <w:rsid w:val="00A73C5E"/>
    <w:rsid w:val="00A73FBE"/>
    <w:rsid w:val="00A741CC"/>
    <w:rsid w:val="00A7442B"/>
    <w:rsid w:val="00A7468A"/>
    <w:rsid w:val="00A747B3"/>
    <w:rsid w:val="00A749B1"/>
    <w:rsid w:val="00A749FB"/>
    <w:rsid w:val="00A74A57"/>
    <w:rsid w:val="00A74ACA"/>
    <w:rsid w:val="00A74BE3"/>
    <w:rsid w:val="00A74D28"/>
    <w:rsid w:val="00A74FB4"/>
    <w:rsid w:val="00A7519C"/>
    <w:rsid w:val="00A753F3"/>
    <w:rsid w:val="00A75545"/>
    <w:rsid w:val="00A75AFA"/>
    <w:rsid w:val="00A75B0F"/>
    <w:rsid w:val="00A75EF7"/>
    <w:rsid w:val="00A75F7B"/>
    <w:rsid w:val="00A7609E"/>
    <w:rsid w:val="00A76777"/>
    <w:rsid w:val="00A7696B"/>
    <w:rsid w:val="00A76B76"/>
    <w:rsid w:val="00A76C63"/>
    <w:rsid w:val="00A76D29"/>
    <w:rsid w:val="00A76DF4"/>
    <w:rsid w:val="00A77883"/>
    <w:rsid w:val="00A779B9"/>
    <w:rsid w:val="00A77A3A"/>
    <w:rsid w:val="00A77B9A"/>
    <w:rsid w:val="00A80056"/>
    <w:rsid w:val="00A801DF"/>
    <w:rsid w:val="00A80248"/>
    <w:rsid w:val="00A8053F"/>
    <w:rsid w:val="00A806F7"/>
    <w:rsid w:val="00A80AC0"/>
    <w:rsid w:val="00A80CE8"/>
    <w:rsid w:val="00A813DE"/>
    <w:rsid w:val="00A81697"/>
    <w:rsid w:val="00A81BC6"/>
    <w:rsid w:val="00A81BEC"/>
    <w:rsid w:val="00A81C6E"/>
    <w:rsid w:val="00A81D08"/>
    <w:rsid w:val="00A81FDB"/>
    <w:rsid w:val="00A82252"/>
    <w:rsid w:val="00A82389"/>
    <w:rsid w:val="00A82556"/>
    <w:rsid w:val="00A825DB"/>
    <w:rsid w:val="00A82A99"/>
    <w:rsid w:val="00A82AA4"/>
    <w:rsid w:val="00A82DD8"/>
    <w:rsid w:val="00A83248"/>
    <w:rsid w:val="00A83258"/>
    <w:rsid w:val="00A8325E"/>
    <w:rsid w:val="00A832BF"/>
    <w:rsid w:val="00A8381A"/>
    <w:rsid w:val="00A839BE"/>
    <w:rsid w:val="00A839C0"/>
    <w:rsid w:val="00A83D89"/>
    <w:rsid w:val="00A83DB2"/>
    <w:rsid w:val="00A83E21"/>
    <w:rsid w:val="00A83FD2"/>
    <w:rsid w:val="00A84148"/>
    <w:rsid w:val="00A843A5"/>
    <w:rsid w:val="00A844EC"/>
    <w:rsid w:val="00A84621"/>
    <w:rsid w:val="00A848D3"/>
    <w:rsid w:val="00A84AE6"/>
    <w:rsid w:val="00A84C0D"/>
    <w:rsid w:val="00A84E68"/>
    <w:rsid w:val="00A84F1B"/>
    <w:rsid w:val="00A84FC9"/>
    <w:rsid w:val="00A8504E"/>
    <w:rsid w:val="00A85123"/>
    <w:rsid w:val="00A857A4"/>
    <w:rsid w:val="00A85BA9"/>
    <w:rsid w:val="00A85D2D"/>
    <w:rsid w:val="00A85D8C"/>
    <w:rsid w:val="00A85DCB"/>
    <w:rsid w:val="00A86423"/>
    <w:rsid w:val="00A86463"/>
    <w:rsid w:val="00A864FA"/>
    <w:rsid w:val="00A86A1F"/>
    <w:rsid w:val="00A86E85"/>
    <w:rsid w:val="00A8729C"/>
    <w:rsid w:val="00A87670"/>
    <w:rsid w:val="00A876E3"/>
    <w:rsid w:val="00A877C4"/>
    <w:rsid w:val="00A87A6B"/>
    <w:rsid w:val="00A87AAE"/>
    <w:rsid w:val="00A87BB1"/>
    <w:rsid w:val="00A87BC6"/>
    <w:rsid w:val="00A87C76"/>
    <w:rsid w:val="00A87D2A"/>
    <w:rsid w:val="00A87E48"/>
    <w:rsid w:val="00A87ECB"/>
    <w:rsid w:val="00A9002F"/>
    <w:rsid w:val="00A90457"/>
    <w:rsid w:val="00A90497"/>
    <w:rsid w:val="00A906CE"/>
    <w:rsid w:val="00A906EA"/>
    <w:rsid w:val="00A90817"/>
    <w:rsid w:val="00A90B4E"/>
    <w:rsid w:val="00A90C70"/>
    <w:rsid w:val="00A90F39"/>
    <w:rsid w:val="00A90FE3"/>
    <w:rsid w:val="00A9175D"/>
    <w:rsid w:val="00A9198D"/>
    <w:rsid w:val="00A91AB2"/>
    <w:rsid w:val="00A91CC9"/>
    <w:rsid w:val="00A91D2F"/>
    <w:rsid w:val="00A91F34"/>
    <w:rsid w:val="00A91F44"/>
    <w:rsid w:val="00A92009"/>
    <w:rsid w:val="00A923F1"/>
    <w:rsid w:val="00A92415"/>
    <w:rsid w:val="00A92592"/>
    <w:rsid w:val="00A92634"/>
    <w:rsid w:val="00A9263C"/>
    <w:rsid w:val="00A92754"/>
    <w:rsid w:val="00A92767"/>
    <w:rsid w:val="00A92807"/>
    <w:rsid w:val="00A9284A"/>
    <w:rsid w:val="00A92A15"/>
    <w:rsid w:val="00A92A3A"/>
    <w:rsid w:val="00A92E26"/>
    <w:rsid w:val="00A93042"/>
    <w:rsid w:val="00A930BD"/>
    <w:rsid w:val="00A93120"/>
    <w:rsid w:val="00A93248"/>
    <w:rsid w:val="00A932BC"/>
    <w:rsid w:val="00A932BF"/>
    <w:rsid w:val="00A933CE"/>
    <w:rsid w:val="00A93762"/>
    <w:rsid w:val="00A93855"/>
    <w:rsid w:val="00A93B96"/>
    <w:rsid w:val="00A93FC6"/>
    <w:rsid w:val="00A943FA"/>
    <w:rsid w:val="00A947BB"/>
    <w:rsid w:val="00A94853"/>
    <w:rsid w:val="00A94871"/>
    <w:rsid w:val="00A9499F"/>
    <w:rsid w:val="00A949BC"/>
    <w:rsid w:val="00A94AC4"/>
    <w:rsid w:val="00A95232"/>
    <w:rsid w:val="00A955D0"/>
    <w:rsid w:val="00A95919"/>
    <w:rsid w:val="00A95934"/>
    <w:rsid w:val="00A95AC6"/>
    <w:rsid w:val="00A95E70"/>
    <w:rsid w:val="00A96311"/>
    <w:rsid w:val="00A9631C"/>
    <w:rsid w:val="00A9650C"/>
    <w:rsid w:val="00A96579"/>
    <w:rsid w:val="00A96647"/>
    <w:rsid w:val="00A966A7"/>
    <w:rsid w:val="00A967F2"/>
    <w:rsid w:val="00A96A2D"/>
    <w:rsid w:val="00A96B60"/>
    <w:rsid w:val="00A96BDB"/>
    <w:rsid w:val="00A96C3D"/>
    <w:rsid w:val="00A972C2"/>
    <w:rsid w:val="00A9749A"/>
    <w:rsid w:val="00A97566"/>
    <w:rsid w:val="00A97A20"/>
    <w:rsid w:val="00A97D75"/>
    <w:rsid w:val="00A97F50"/>
    <w:rsid w:val="00AA0112"/>
    <w:rsid w:val="00AA0468"/>
    <w:rsid w:val="00AA04F0"/>
    <w:rsid w:val="00AA05EF"/>
    <w:rsid w:val="00AA0854"/>
    <w:rsid w:val="00AA0868"/>
    <w:rsid w:val="00AA0961"/>
    <w:rsid w:val="00AA0B10"/>
    <w:rsid w:val="00AA0B97"/>
    <w:rsid w:val="00AA0CA8"/>
    <w:rsid w:val="00AA0E4B"/>
    <w:rsid w:val="00AA0E55"/>
    <w:rsid w:val="00AA13A1"/>
    <w:rsid w:val="00AA1570"/>
    <w:rsid w:val="00AA1586"/>
    <w:rsid w:val="00AA15FA"/>
    <w:rsid w:val="00AA16EC"/>
    <w:rsid w:val="00AA189A"/>
    <w:rsid w:val="00AA1CC7"/>
    <w:rsid w:val="00AA1DB1"/>
    <w:rsid w:val="00AA2074"/>
    <w:rsid w:val="00AA20F4"/>
    <w:rsid w:val="00AA220A"/>
    <w:rsid w:val="00AA2248"/>
    <w:rsid w:val="00AA25E9"/>
    <w:rsid w:val="00AA2641"/>
    <w:rsid w:val="00AA2693"/>
    <w:rsid w:val="00AA27D7"/>
    <w:rsid w:val="00AA297B"/>
    <w:rsid w:val="00AA2B5A"/>
    <w:rsid w:val="00AA2DC1"/>
    <w:rsid w:val="00AA2E45"/>
    <w:rsid w:val="00AA2EEC"/>
    <w:rsid w:val="00AA2F67"/>
    <w:rsid w:val="00AA38A9"/>
    <w:rsid w:val="00AA3B7D"/>
    <w:rsid w:val="00AA3D34"/>
    <w:rsid w:val="00AA4278"/>
    <w:rsid w:val="00AA447A"/>
    <w:rsid w:val="00AA4AE1"/>
    <w:rsid w:val="00AA4AF6"/>
    <w:rsid w:val="00AA4BF4"/>
    <w:rsid w:val="00AA4E1E"/>
    <w:rsid w:val="00AA5361"/>
    <w:rsid w:val="00AA555B"/>
    <w:rsid w:val="00AA5824"/>
    <w:rsid w:val="00AA58E5"/>
    <w:rsid w:val="00AA5C8C"/>
    <w:rsid w:val="00AA5D3B"/>
    <w:rsid w:val="00AA60C2"/>
    <w:rsid w:val="00AA6549"/>
    <w:rsid w:val="00AA65EE"/>
    <w:rsid w:val="00AA6802"/>
    <w:rsid w:val="00AA6D6F"/>
    <w:rsid w:val="00AA711E"/>
    <w:rsid w:val="00AA753C"/>
    <w:rsid w:val="00AA7555"/>
    <w:rsid w:val="00AA7843"/>
    <w:rsid w:val="00AA7BD4"/>
    <w:rsid w:val="00AA7C00"/>
    <w:rsid w:val="00AA7CB3"/>
    <w:rsid w:val="00AB0316"/>
    <w:rsid w:val="00AB04B2"/>
    <w:rsid w:val="00AB073C"/>
    <w:rsid w:val="00AB09FE"/>
    <w:rsid w:val="00AB0A77"/>
    <w:rsid w:val="00AB0AC5"/>
    <w:rsid w:val="00AB0AE1"/>
    <w:rsid w:val="00AB0B9C"/>
    <w:rsid w:val="00AB0E93"/>
    <w:rsid w:val="00AB0FD4"/>
    <w:rsid w:val="00AB104D"/>
    <w:rsid w:val="00AB1268"/>
    <w:rsid w:val="00AB159C"/>
    <w:rsid w:val="00AB1E71"/>
    <w:rsid w:val="00AB1F87"/>
    <w:rsid w:val="00AB1FCD"/>
    <w:rsid w:val="00AB22B6"/>
    <w:rsid w:val="00AB239D"/>
    <w:rsid w:val="00AB24CF"/>
    <w:rsid w:val="00AB266F"/>
    <w:rsid w:val="00AB2951"/>
    <w:rsid w:val="00AB29B6"/>
    <w:rsid w:val="00AB2B3B"/>
    <w:rsid w:val="00AB2C5B"/>
    <w:rsid w:val="00AB2C6F"/>
    <w:rsid w:val="00AB2F88"/>
    <w:rsid w:val="00AB3882"/>
    <w:rsid w:val="00AB38C6"/>
    <w:rsid w:val="00AB39B5"/>
    <w:rsid w:val="00AB3AE6"/>
    <w:rsid w:val="00AB41B9"/>
    <w:rsid w:val="00AB4323"/>
    <w:rsid w:val="00AB45BF"/>
    <w:rsid w:val="00AB45C8"/>
    <w:rsid w:val="00AB479C"/>
    <w:rsid w:val="00AB4900"/>
    <w:rsid w:val="00AB4CFF"/>
    <w:rsid w:val="00AB4D2D"/>
    <w:rsid w:val="00AB4F53"/>
    <w:rsid w:val="00AB4F56"/>
    <w:rsid w:val="00AB500F"/>
    <w:rsid w:val="00AB542E"/>
    <w:rsid w:val="00AB55C9"/>
    <w:rsid w:val="00AB58C7"/>
    <w:rsid w:val="00AB59B0"/>
    <w:rsid w:val="00AB59DC"/>
    <w:rsid w:val="00AB5A33"/>
    <w:rsid w:val="00AB5D77"/>
    <w:rsid w:val="00AB5E55"/>
    <w:rsid w:val="00AB61A7"/>
    <w:rsid w:val="00AB6329"/>
    <w:rsid w:val="00AB6423"/>
    <w:rsid w:val="00AB65B0"/>
    <w:rsid w:val="00AB6C3B"/>
    <w:rsid w:val="00AB6CC9"/>
    <w:rsid w:val="00AB6CFD"/>
    <w:rsid w:val="00AB6E4C"/>
    <w:rsid w:val="00AB6F2C"/>
    <w:rsid w:val="00AB7044"/>
    <w:rsid w:val="00AB7465"/>
    <w:rsid w:val="00AB77CD"/>
    <w:rsid w:val="00AB788A"/>
    <w:rsid w:val="00AB78D4"/>
    <w:rsid w:val="00AB78D5"/>
    <w:rsid w:val="00AB7945"/>
    <w:rsid w:val="00AB7EBD"/>
    <w:rsid w:val="00AC0247"/>
    <w:rsid w:val="00AC0405"/>
    <w:rsid w:val="00AC054D"/>
    <w:rsid w:val="00AC08D4"/>
    <w:rsid w:val="00AC0A1E"/>
    <w:rsid w:val="00AC0A88"/>
    <w:rsid w:val="00AC0AF7"/>
    <w:rsid w:val="00AC0D92"/>
    <w:rsid w:val="00AC0E27"/>
    <w:rsid w:val="00AC0ECC"/>
    <w:rsid w:val="00AC1259"/>
    <w:rsid w:val="00AC13D8"/>
    <w:rsid w:val="00AC1CA7"/>
    <w:rsid w:val="00AC1D69"/>
    <w:rsid w:val="00AC21B1"/>
    <w:rsid w:val="00AC24CD"/>
    <w:rsid w:val="00AC2700"/>
    <w:rsid w:val="00AC2876"/>
    <w:rsid w:val="00AC2A8C"/>
    <w:rsid w:val="00AC2ACE"/>
    <w:rsid w:val="00AC2BF3"/>
    <w:rsid w:val="00AC30B4"/>
    <w:rsid w:val="00AC3684"/>
    <w:rsid w:val="00AC36D3"/>
    <w:rsid w:val="00AC3A08"/>
    <w:rsid w:val="00AC3A29"/>
    <w:rsid w:val="00AC3C0D"/>
    <w:rsid w:val="00AC3C7D"/>
    <w:rsid w:val="00AC3EA5"/>
    <w:rsid w:val="00AC4317"/>
    <w:rsid w:val="00AC444C"/>
    <w:rsid w:val="00AC45AD"/>
    <w:rsid w:val="00AC4E4E"/>
    <w:rsid w:val="00AC4E9C"/>
    <w:rsid w:val="00AC51C7"/>
    <w:rsid w:val="00AC52C3"/>
    <w:rsid w:val="00AC5398"/>
    <w:rsid w:val="00AC5618"/>
    <w:rsid w:val="00AC5901"/>
    <w:rsid w:val="00AC593F"/>
    <w:rsid w:val="00AC5B38"/>
    <w:rsid w:val="00AC5D40"/>
    <w:rsid w:val="00AC60C7"/>
    <w:rsid w:val="00AC644B"/>
    <w:rsid w:val="00AC6659"/>
    <w:rsid w:val="00AC69AC"/>
    <w:rsid w:val="00AC6B80"/>
    <w:rsid w:val="00AC6FEC"/>
    <w:rsid w:val="00AC7085"/>
    <w:rsid w:val="00AC7603"/>
    <w:rsid w:val="00AC77BF"/>
    <w:rsid w:val="00AC7867"/>
    <w:rsid w:val="00AC79BF"/>
    <w:rsid w:val="00AC79DD"/>
    <w:rsid w:val="00AC7A4B"/>
    <w:rsid w:val="00AC7D4D"/>
    <w:rsid w:val="00AC7DB0"/>
    <w:rsid w:val="00AC7EE5"/>
    <w:rsid w:val="00AD0646"/>
    <w:rsid w:val="00AD091D"/>
    <w:rsid w:val="00AD09D4"/>
    <w:rsid w:val="00AD0F76"/>
    <w:rsid w:val="00AD1063"/>
    <w:rsid w:val="00AD1D36"/>
    <w:rsid w:val="00AD1D89"/>
    <w:rsid w:val="00AD1DB2"/>
    <w:rsid w:val="00AD200B"/>
    <w:rsid w:val="00AD2069"/>
    <w:rsid w:val="00AD2094"/>
    <w:rsid w:val="00AD22B9"/>
    <w:rsid w:val="00AD234D"/>
    <w:rsid w:val="00AD235F"/>
    <w:rsid w:val="00AD2389"/>
    <w:rsid w:val="00AD24F0"/>
    <w:rsid w:val="00AD26E1"/>
    <w:rsid w:val="00AD271E"/>
    <w:rsid w:val="00AD2745"/>
    <w:rsid w:val="00AD2820"/>
    <w:rsid w:val="00AD28EE"/>
    <w:rsid w:val="00AD296D"/>
    <w:rsid w:val="00AD2B1C"/>
    <w:rsid w:val="00AD2D9E"/>
    <w:rsid w:val="00AD3105"/>
    <w:rsid w:val="00AD3284"/>
    <w:rsid w:val="00AD3303"/>
    <w:rsid w:val="00AD3324"/>
    <w:rsid w:val="00AD36A1"/>
    <w:rsid w:val="00AD3705"/>
    <w:rsid w:val="00AD3766"/>
    <w:rsid w:val="00AD38A8"/>
    <w:rsid w:val="00AD39B1"/>
    <w:rsid w:val="00AD3D1D"/>
    <w:rsid w:val="00AD4253"/>
    <w:rsid w:val="00AD426B"/>
    <w:rsid w:val="00AD42E2"/>
    <w:rsid w:val="00AD43FB"/>
    <w:rsid w:val="00AD4931"/>
    <w:rsid w:val="00AD4A16"/>
    <w:rsid w:val="00AD4A26"/>
    <w:rsid w:val="00AD4C3D"/>
    <w:rsid w:val="00AD50BA"/>
    <w:rsid w:val="00AD523A"/>
    <w:rsid w:val="00AD5488"/>
    <w:rsid w:val="00AD569E"/>
    <w:rsid w:val="00AD5732"/>
    <w:rsid w:val="00AD5B2F"/>
    <w:rsid w:val="00AD5B79"/>
    <w:rsid w:val="00AD5BB8"/>
    <w:rsid w:val="00AD5BF6"/>
    <w:rsid w:val="00AD5D7E"/>
    <w:rsid w:val="00AD5E66"/>
    <w:rsid w:val="00AD5EDD"/>
    <w:rsid w:val="00AD61DD"/>
    <w:rsid w:val="00AD6460"/>
    <w:rsid w:val="00AD65AA"/>
    <w:rsid w:val="00AD67C8"/>
    <w:rsid w:val="00AD68B2"/>
    <w:rsid w:val="00AD68BD"/>
    <w:rsid w:val="00AD70FB"/>
    <w:rsid w:val="00AD715B"/>
    <w:rsid w:val="00AD7285"/>
    <w:rsid w:val="00AD7339"/>
    <w:rsid w:val="00AD7756"/>
    <w:rsid w:val="00AD7799"/>
    <w:rsid w:val="00AD7910"/>
    <w:rsid w:val="00AD7991"/>
    <w:rsid w:val="00AD79A5"/>
    <w:rsid w:val="00AD79FC"/>
    <w:rsid w:val="00AD7A46"/>
    <w:rsid w:val="00AD7C95"/>
    <w:rsid w:val="00AD7D81"/>
    <w:rsid w:val="00AD7E89"/>
    <w:rsid w:val="00AD7ECE"/>
    <w:rsid w:val="00AE0137"/>
    <w:rsid w:val="00AE014C"/>
    <w:rsid w:val="00AE02FD"/>
    <w:rsid w:val="00AE0695"/>
    <w:rsid w:val="00AE0894"/>
    <w:rsid w:val="00AE0C93"/>
    <w:rsid w:val="00AE0CF1"/>
    <w:rsid w:val="00AE0D2E"/>
    <w:rsid w:val="00AE0F59"/>
    <w:rsid w:val="00AE1185"/>
    <w:rsid w:val="00AE1294"/>
    <w:rsid w:val="00AE134B"/>
    <w:rsid w:val="00AE1486"/>
    <w:rsid w:val="00AE14BF"/>
    <w:rsid w:val="00AE1682"/>
    <w:rsid w:val="00AE1765"/>
    <w:rsid w:val="00AE183E"/>
    <w:rsid w:val="00AE1857"/>
    <w:rsid w:val="00AE1CB2"/>
    <w:rsid w:val="00AE1D61"/>
    <w:rsid w:val="00AE1D6E"/>
    <w:rsid w:val="00AE1DE1"/>
    <w:rsid w:val="00AE2144"/>
    <w:rsid w:val="00AE24D3"/>
    <w:rsid w:val="00AE2A3D"/>
    <w:rsid w:val="00AE2D1C"/>
    <w:rsid w:val="00AE2F3D"/>
    <w:rsid w:val="00AE3113"/>
    <w:rsid w:val="00AE323E"/>
    <w:rsid w:val="00AE3257"/>
    <w:rsid w:val="00AE35CC"/>
    <w:rsid w:val="00AE36C8"/>
    <w:rsid w:val="00AE3700"/>
    <w:rsid w:val="00AE37D5"/>
    <w:rsid w:val="00AE3B43"/>
    <w:rsid w:val="00AE3BEC"/>
    <w:rsid w:val="00AE3CCE"/>
    <w:rsid w:val="00AE3D8A"/>
    <w:rsid w:val="00AE3EBA"/>
    <w:rsid w:val="00AE4068"/>
    <w:rsid w:val="00AE4A20"/>
    <w:rsid w:val="00AE4CFB"/>
    <w:rsid w:val="00AE4F2F"/>
    <w:rsid w:val="00AE4F7C"/>
    <w:rsid w:val="00AE5082"/>
    <w:rsid w:val="00AE5263"/>
    <w:rsid w:val="00AE5276"/>
    <w:rsid w:val="00AE52F1"/>
    <w:rsid w:val="00AE534F"/>
    <w:rsid w:val="00AE5414"/>
    <w:rsid w:val="00AE5420"/>
    <w:rsid w:val="00AE57E0"/>
    <w:rsid w:val="00AE5933"/>
    <w:rsid w:val="00AE5949"/>
    <w:rsid w:val="00AE5B12"/>
    <w:rsid w:val="00AE5BFA"/>
    <w:rsid w:val="00AE5E43"/>
    <w:rsid w:val="00AE5EB5"/>
    <w:rsid w:val="00AE5FD4"/>
    <w:rsid w:val="00AE6076"/>
    <w:rsid w:val="00AE616B"/>
    <w:rsid w:val="00AE6215"/>
    <w:rsid w:val="00AE6716"/>
    <w:rsid w:val="00AE682A"/>
    <w:rsid w:val="00AE6935"/>
    <w:rsid w:val="00AE6A63"/>
    <w:rsid w:val="00AE6AE0"/>
    <w:rsid w:val="00AE6C12"/>
    <w:rsid w:val="00AE6CE7"/>
    <w:rsid w:val="00AE6E56"/>
    <w:rsid w:val="00AE770B"/>
    <w:rsid w:val="00AE7727"/>
    <w:rsid w:val="00AE7A9A"/>
    <w:rsid w:val="00AE7A9F"/>
    <w:rsid w:val="00AF0007"/>
    <w:rsid w:val="00AF01EE"/>
    <w:rsid w:val="00AF0773"/>
    <w:rsid w:val="00AF07C8"/>
    <w:rsid w:val="00AF0DD8"/>
    <w:rsid w:val="00AF0E28"/>
    <w:rsid w:val="00AF1063"/>
    <w:rsid w:val="00AF13D7"/>
    <w:rsid w:val="00AF162E"/>
    <w:rsid w:val="00AF1800"/>
    <w:rsid w:val="00AF1860"/>
    <w:rsid w:val="00AF1B8C"/>
    <w:rsid w:val="00AF1F08"/>
    <w:rsid w:val="00AF2010"/>
    <w:rsid w:val="00AF221D"/>
    <w:rsid w:val="00AF22B4"/>
    <w:rsid w:val="00AF23B3"/>
    <w:rsid w:val="00AF2602"/>
    <w:rsid w:val="00AF26E5"/>
    <w:rsid w:val="00AF270B"/>
    <w:rsid w:val="00AF27DB"/>
    <w:rsid w:val="00AF2833"/>
    <w:rsid w:val="00AF2BD7"/>
    <w:rsid w:val="00AF2D39"/>
    <w:rsid w:val="00AF2E91"/>
    <w:rsid w:val="00AF2FB7"/>
    <w:rsid w:val="00AF2FC4"/>
    <w:rsid w:val="00AF3128"/>
    <w:rsid w:val="00AF326E"/>
    <w:rsid w:val="00AF327A"/>
    <w:rsid w:val="00AF3319"/>
    <w:rsid w:val="00AF3369"/>
    <w:rsid w:val="00AF365D"/>
    <w:rsid w:val="00AF39B8"/>
    <w:rsid w:val="00AF3B7A"/>
    <w:rsid w:val="00AF3E79"/>
    <w:rsid w:val="00AF3F45"/>
    <w:rsid w:val="00AF3F6B"/>
    <w:rsid w:val="00AF3F7A"/>
    <w:rsid w:val="00AF4208"/>
    <w:rsid w:val="00AF4285"/>
    <w:rsid w:val="00AF45A7"/>
    <w:rsid w:val="00AF47A3"/>
    <w:rsid w:val="00AF4E49"/>
    <w:rsid w:val="00AF4ED0"/>
    <w:rsid w:val="00AF503C"/>
    <w:rsid w:val="00AF525D"/>
    <w:rsid w:val="00AF52D2"/>
    <w:rsid w:val="00AF540B"/>
    <w:rsid w:val="00AF5588"/>
    <w:rsid w:val="00AF5915"/>
    <w:rsid w:val="00AF599E"/>
    <w:rsid w:val="00AF5B12"/>
    <w:rsid w:val="00AF5D3C"/>
    <w:rsid w:val="00AF5D58"/>
    <w:rsid w:val="00AF5F3C"/>
    <w:rsid w:val="00AF5FC4"/>
    <w:rsid w:val="00AF6012"/>
    <w:rsid w:val="00AF6097"/>
    <w:rsid w:val="00AF613B"/>
    <w:rsid w:val="00AF6393"/>
    <w:rsid w:val="00AF64C8"/>
    <w:rsid w:val="00AF64FE"/>
    <w:rsid w:val="00AF6567"/>
    <w:rsid w:val="00AF6613"/>
    <w:rsid w:val="00AF66F5"/>
    <w:rsid w:val="00AF6717"/>
    <w:rsid w:val="00AF690E"/>
    <w:rsid w:val="00AF6A1F"/>
    <w:rsid w:val="00AF6A62"/>
    <w:rsid w:val="00AF6D45"/>
    <w:rsid w:val="00AF6E17"/>
    <w:rsid w:val="00AF7052"/>
    <w:rsid w:val="00AF725E"/>
    <w:rsid w:val="00AF73A9"/>
    <w:rsid w:val="00AF7584"/>
    <w:rsid w:val="00AF761B"/>
    <w:rsid w:val="00AF764E"/>
    <w:rsid w:val="00AF78B6"/>
    <w:rsid w:val="00AF7B35"/>
    <w:rsid w:val="00AF7D9C"/>
    <w:rsid w:val="00AF7FE7"/>
    <w:rsid w:val="00B00157"/>
    <w:rsid w:val="00B002ED"/>
    <w:rsid w:val="00B0047F"/>
    <w:rsid w:val="00B00C81"/>
    <w:rsid w:val="00B00E00"/>
    <w:rsid w:val="00B00E16"/>
    <w:rsid w:val="00B00F0B"/>
    <w:rsid w:val="00B01341"/>
    <w:rsid w:val="00B015E0"/>
    <w:rsid w:val="00B0164A"/>
    <w:rsid w:val="00B01684"/>
    <w:rsid w:val="00B016BF"/>
    <w:rsid w:val="00B017FF"/>
    <w:rsid w:val="00B01A66"/>
    <w:rsid w:val="00B01AA3"/>
    <w:rsid w:val="00B01BBD"/>
    <w:rsid w:val="00B01C12"/>
    <w:rsid w:val="00B01D60"/>
    <w:rsid w:val="00B01D6B"/>
    <w:rsid w:val="00B0209A"/>
    <w:rsid w:val="00B021AD"/>
    <w:rsid w:val="00B024E2"/>
    <w:rsid w:val="00B02522"/>
    <w:rsid w:val="00B0277F"/>
    <w:rsid w:val="00B02B18"/>
    <w:rsid w:val="00B02B48"/>
    <w:rsid w:val="00B02D40"/>
    <w:rsid w:val="00B02D43"/>
    <w:rsid w:val="00B03088"/>
    <w:rsid w:val="00B03168"/>
    <w:rsid w:val="00B03437"/>
    <w:rsid w:val="00B034AF"/>
    <w:rsid w:val="00B03748"/>
    <w:rsid w:val="00B03A2B"/>
    <w:rsid w:val="00B03BA5"/>
    <w:rsid w:val="00B03C95"/>
    <w:rsid w:val="00B03DB5"/>
    <w:rsid w:val="00B03E88"/>
    <w:rsid w:val="00B0401E"/>
    <w:rsid w:val="00B04041"/>
    <w:rsid w:val="00B04175"/>
    <w:rsid w:val="00B0428A"/>
    <w:rsid w:val="00B04324"/>
    <w:rsid w:val="00B0458A"/>
    <w:rsid w:val="00B0463C"/>
    <w:rsid w:val="00B046A3"/>
    <w:rsid w:val="00B046B5"/>
    <w:rsid w:val="00B04CDF"/>
    <w:rsid w:val="00B05199"/>
    <w:rsid w:val="00B0549E"/>
    <w:rsid w:val="00B05566"/>
    <w:rsid w:val="00B055FA"/>
    <w:rsid w:val="00B0564E"/>
    <w:rsid w:val="00B05676"/>
    <w:rsid w:val="00B059B2"/>
    <w:rsid w:val="00B05AD9"/>
    <w:rsid w:val="00B05B11"/>
    <w:rsid w:val="00B05C48"/>
    <w:rsid w:val="00B05DAC"/>
    <w:rsid w:val="00B05FB1"/>
    <w:rsid w:val="00B06059"/>
    <w:rsid w:val="00B061BC"/>
    <w:rsid w:val="00B06256"/>
    <w:rsid w:val="00B06258"/>
    <w:rsid w:val="00B062C0"/>
    <w:rsid w:val="00B06768"/>
    <w:rsid w:val="00B0676E"/>
    <w:rsid w:val="00B06869"/>
    <w:rsid w:val="00B069D9"/>
    <w:rsid w:val="00B06A47"/>
    <w:rsid w:val="00B06A76"/>
    <w:rsid w:val="00B06ADA"/>
    <w:rsid w:val="00B06C09"/>
    <w:rsid w:val="00B07245"/>
    <w:rsid w:val="00B07581"/>
    <w:rsid w:val="00B0761E"/>
    <w:rsid w:val="00B07656"/>
    <w:rsid w:val="00B0774A"/>
    <w:rsid w:val="00B078BE"/>
    <w:rsid w:val="00B07B47"/>
    <w:rsid w:val="00B07BD2"/>
    <w:rsid w:val="00B07E38"/>
    <w:rsid w:val="00B07FCB"/>
    <w:rsid w:val="00B10006"/>
    <w:rsid w:val="00B10431"/>
    <w:rsid w:val="00B105C1"/>
    <w:rsid w:val="00B106AC"/>
    <w:rsid w:val="00B107E2"/>
    <w:rsid w:val="00B10AC6"/>
    <w:rsid w:val="00B10C6B"/>
    <w:rsid w:val="00B10CBF"/>
    <w:rsid w:val="00B10E85"/>
    <w:rsid w:val="00B10E95"/>
    <w:rsid w:val="00B11032"/>
    <w:rsid w:val="00B11258"/>
    <w:rsid w:val="00B112C6"/>
    <w:rsid w:val="00B11A6C"/>
    <w:rsid w:val="00B11BF9"/>
    <w:rsid w:val="00B11E70"/>
    <w:rsid w:val="00B12096"/>
    <w:rsid w:val="00B12143"/>
    <w:rsid w:val="00B12C90"/>
    <w:rsid w:val="00B12E00"/>
    <w:rsid w:val="00B13304"/>
    <w:rsid w:val="00B13711"/>
    <w:rsid w:val="00B13974"/>
    <w:rsid w:val="00B14087"/>
    <w:rsid w:val="00B141C1"/>
    <w:rsid w:val="00B14316"/>
    <w:rsid w:val="00B143B9"/>
    <w:rsid w:val="00B145C0"/>
    <w:rsid w:val="00B145C7"/>
    <w:rsid w:val="00B14769"/>
    <w:rsid w:val="00B15184"/>
    <w:rsid w:val="00B1518E"/>
    <w:rsid w:val="00B152D7"/>
    <w:rsid w:val="00B1532D"/>
    <w:rsid w:val="00B15469"/>
    <w:rsid w:val="00B15690"/>
    <w:rsid w:val="00B15BDF"/>
    <w:rsid w:val="00B15E57"/>
    <w:rsid w:val="00B15FDF"/>
    <w:rsid w:val="00B1644A"/>
    <w:rsid w:val="00B16A59"/>
    <w:rsid w:val="00B16AD9"/>
    <w:rsid w:val="00B16C40"/>
    <w:rsid w:val="00B16D91"/>
    <w:rsid w:val="00B1709C"/>
    <w:rsid w:val="00B1746E"/>
    <w:rsid w:val="00B1747B"/>
    <w:rsid w:val="00B174BA"/>
    <w:rsid w:val="00B1759D"/>
    <w:rsid w:val="00B17665"/>
    <w:rsid w:val="00B17A37"/>
    <w:rsid w:val="00B17A8B"/>
    <w:rsid w:val="00B17C9C"/>
    <w:rsid w:val="00B17DA1"/>
    <w:rsid w:val="00B17E2B"/>
    <w:rsid w:val="00B17E38"/>
    <w:rsid w:val="00B2005C"/>
    <w:rsid w:val="00B20094"/>
    <w:rsid w:val="00B201E9"/>
    <w:rsid w:val="00B202B7"/>
    <w:rsid w:val="00B2038E"/>
    <w:rsid w:val="00B203D2"/>
    <w:rsid w:val="00B20660"/>
    <w:rsid w:val="00B20944"/>
    <w:rsid w:val="00B20993"/>
    <w:rsid w:val="00B20A69"/>
    <w:rsid w:val="00B20B8F"/>
    <w:rsid w:val="00B20DD9"/>
    <w:rsid w:val="00B212AE"/>
    <w:rsid w:val="00B21770"/>
    <w:rsid w:val="00B218D7"/>
    <w:rsid w:val="00B21AF3"/>
    <w:rsid w:val="00B21D08"/>
    <w:rsid w:val="00B21E56"/>
    <w:rsid w:val="00B21F41"/>
    <w:rsid w:val="00B222D6"/>
    <w:rsid w:val="00B227D3"/>
    <w:rsid w:val="00B22A27"/>
    <w:rsid w:val="00B22AC0"/>
    <w:rsid w:val="00B22E78"/>
    <w:rsid w:val="00B22F5D"/>
    <w:rsid w:val="00B23165"/>
    <w:rsid w:val="00B23488"/>
    <w:rsid w:val="00B234D6"/>
    <w:rsid w:val="00B235E7"/>
    <w:rsid w:val="00B23AE9"/>
    <w:rsid w:val="00B23D17"/>
    <w:rsid w:val="00B24033"/>
    <w:rsid w:val="00B24068"/>
    <w:rsid w:val="00B24134"/>
    <w:rsid w:val="00B24210"/>
    <w:rsid w:val="00B24278"/>
    <w:rsid w:val="00B246CD"/>
    <w:rsid w:val="00B247AC"/>
    <w:rsid w:val="00B248E4"/>
    <w:rsid w:val="00B24FA8"/>
    <w:rsid w:val="00B2553B"/>
    <w:rsid w:val="00B255F9"/>
    <w:rsid w:val="00B25A02"/>
    <w:rsid w:val="00B25A04"/>
    <w:rsid w:val="00B25B28"/>
    <w:rsid w:val="00B26441"/>
    <w:rsid w:val="00B2675C"/>
    <w:rsid w:val="00B26965"/>
    <w:rsid w:val="00B269A6"/>
    <w:rsid w:val="00B26D83"/>
    <w:rsid w:val="00B26DF5"/>
    <w:rsid w:val="00B26FB8"/>
    <w:rsid w:val="00B2701E"/>
    <w:rsid w:val="00B27315"/>
    <w:rsid w:val="00B27342"/>
    <w:rsid w:val="00B27CB7"/>
    <w:rsid w:val="00B27CE0"/>
    <w:rsid w:val="00B27D16"/>
    <w:rsid w:val="00B30037"/>
    <w:rsid w:val="00B30935"/>
    <w:rsid w:val="00B30A09"/>
    <w:rsid w:val="00B30B99"/>
    <w:rsid w:val="00B30C66"/>
    <w:rsid w:val="00B30D55"/>
    <w:rsid w:val="00B30DC3"/>
    <w:rsid w:val="00B30DCC"/>
    <w:rsid w:val="00B30E20"/>
    <w:rsid w:val="00B30E3D"/>
    <w:rsid w:val="00B30E62"/>
    <w:rsid w:val="00B30FA6"/>
    <w:rsid w:val="00B3117D"/>
    <w:rsid w:val="00B31446"/>
    <w:rsid w:val="00B317EF"/>
    <w:rsid w:val="00B31882"/>
    <w:rsid w:val="00B318E0"/>
    <w:rsid w:val="00B31BF2"/>
    <w:rsid w:val="00B31D90"/>
    <w:rsid w:val="00B31D91"/>
    <w:rsid w:val="00B31EF1"/>
    <w:rsid w:val="00B3233C"/>
    <w:rsid w:val="00B32515"/>
    <w:rsid w:val="00B3257F"/>
    <w:rsid w:val="00B32659"/>
    <w:rsid w:val="00B32803"/>
    <w:rsid w:val="00B32CE5"/>
    <w:rsid w:val="00B32DC2"/>
    <w:rsid w:val="00B32E1F"/>
    <w:rsid w:val="00B32EA4"/>
    <w:rsid w:val="00B32FAA"/>
    <w:rsid w:val="00B33385"/>
    <w:rsid w:val="00B335E7"/>
    <w:rsid w:val="00B33A9E"/>
    <w:rsid w:val="00B33C1F"/>
    <w:rsid w:val="00B33CD0"/>
    <w:rsid w:val="00B33DEF"/>
    <w:rsid w:val="00B33EC6"/>
    <w:rsid w:val="00B340D1"/>
    <w:rsid w:val="00B3425D"/>
    <w:rsid w:val="00B34894"/>
    <w:rsid w:val="00B349B3"/>
    <w:rsid w:val="00B34A66"/>
    <w:rsid w:val="00B34BAD"/>
    <w:rsid w:val="00B34D6F"/>
    <w:rsid w:val="00B34FAD"/>
    <w:rsid w:val="00B354BB"/>
    <w:rsid w:val="00B35595"/>
    <w:rsid w:val="00B357B2"/>
    <w:rsid w:val="00B357CA"/>
    <w:rsid w:val="00B35B2D"/>
    <w:rsid w:val="00B35C38"/>
    <w:rsid w:val="00B35D4C"/>
    <w:rsid w:val="00B35ED4"/>
    <w:rsid w:val="00B3613A"/>
    <w:rsid w:val="00B36461"/>
    <w:rsid w:val="00B3666C"/>
    <w:rsid w:val="00B36B83"/>
    <w:rsid w:val="00B36D86"/>
    <w:rsid w:val="00B36EAC"/>
    <w:rsid w:val="00B370E7"/>
    <w:rsid w:val="00B373D4"/>
    <w:rsid w:val="00B373E0"/>
    <w:rsid w:val="00B37735"/>
    <w:rsid w:val="00B37898"/>
    <w:rsid w:val="00B37AA8"/>
    <w:rsid w:val="00B37BC2"/>
    <w:rsid w:val="00B37DF0"/>
    <w:rsid w:val="00B37F6A"/>
    <w:rsid w:val="00B40119"/>
    <w:rsid w:val="00B4049C"/>
    <w:rsid w:val="00B405A1"/>
    <w:rsid w:val="00B408D9"/>
    <w:rsid w:val="00B40916"/>
    <w:rsid w:val="00B40E7C"/>
    <w:rsid w:val="00B40F30"/>
    <w:rsid w:val="00B411D6"/>
    <w:rsid w:val="00B418F1"/>
    <w:rsid w:val="00B41948"/>
    <w:rsid w:val="00B41AE2"/>
    <w:rsid w:val="00B41CC6"/>
    <w:rsid w:val="00B41CFD"/>
    <w:rsid w:val="00B41DED"/>
    <w:rsid w:val="00B41F95"/>
    <w:rsid w:val="00B420D7"/>
    <w:rsid w:val="00B42246"/>
    <w:rsid w:val="00B422BA"/>
    <w:rsid w:val="00B4273D"/>
    <w:rsid w:val="00B4279D"/>
    <w:rsid w:val="00B4283F"/>
    <w:rsid w:val="00B42E60"/>
    <w:rsid w:val="00B430CF"/>
    <w:rsid w:val="00B431DF"/>
    <w:rsid w:val="00B43304"/>
    <w:rsid w:val="00B43502"/>
    <w:rsid w:val="00B438CA"/>
    <w:rsid w:val="00B43A00"/>
    <w:rsid w:val="00B43B2F"/>
    <w:rsid w:val="00B43B56"/>
    <w:rsid w:val="00B43C3A"/>
    <w:rsid w:val="00B43CC6"/>
    <w:rsid w:val="00B43D35"/>
    <w:rsid w:val="00B43DEB"/>
    <w:rsid w:val="00B440F0"/>
    <w:rsid w:val="00B455E7"/>
    <w:rsid w:val="00B456D9"/>
    <w:rsid w:val="00B45907"/>
    <w:rsid w:val="00B45C25"/>
    <w:rsid w:val="00B45D47"/>
    <w:rsid w:val="00B45D9B"/>
    <w:rsid w:val="00B45F49"/>
    <w:rsid w:val="00B45F74"/>
    <w:rsid w:val="00B466DB"/>
    <w:rsid w:val="00B468FD"/>
    <w:rsid w:val="00B46ADC"/>
    <w:rsid w:val="00B46C6C"/>
    <w:rsid w:val="00B46DB9"/>
    <w:rsid w:val="00B46DC2"/>
    <w:rsid w:val="00B46FAA"/>
    <w:rsid w:val="00B47290"/>
    <w:rsid w:val="00B473B3"/>
    <w:rsid w:val="00B47451"/>
    <w:rsid w:val="00B474E3"/>
    <w:rsid w:val="00B47BCE"/>
    <w:rsid w:val="00B47CA7"/>
    <w:rsid w:val="00B47F40"/>
    <w:rsid w:val="00B50357"/>
    <w:rsid w:val="00B506B7"/>
    <w:rsid w:val="00B507C3"/>
    <w:rsid w:val="00B50F5F"/>
    <w:rsid w:val="00B51050"/>
    <w:rsid w:val="00B51229"/>
    <w:rsid w:val="00B514B5"/>
    <w:rsid w:val="00B5160F"/>
    <w:rsid w:val="00B51631"/>
    <w:rsid w:val="00B5194B"/>
    <w:rsid w:val="00B519AA"/>
    <w:rsid w:val="00B519EF"/>
    <w:rsid w:val="00B522F8"/>
    <w:rsid w:val="00B522FF"/>
    <w:rsid w:val="00B52391"/>
    <w:rsid w:val="00B5296B"/>
    <w:rsid w:val="00B529FA"/>
    <w:rsid w:val="00B52D27"/>
    <w:rsid w:val="00B53131"/>
    <w:rsid w:val="00B5323D"/>
    <w:rsid w:val="00B5327C"/>
    <w:rsid w:val="00B53382"/>
    <w:rsid w:val="00B5342C"/>
    <w:rsid w:val="00B5357E"/>
    <w:rsid w:val="00B53792"/>
    <w:rsid w:val="00B53825"/>
    <w:rsid w:val="00B53BF8"/>
    <w:rsid w:val="00B53ED1"/>
    <w:rsid w:val="00B53F3A"/>
    <w:rsid w:val="00B54043"/>
    <w:rsid w:val="00B54158"/>
    <w:rsid w:val="00B5479B"/>
    <w:rsid w:val="00B5494C"/>
    <w:rsid w:val="00B54E93"/>
    <w:rsid w:val="00B54E9C"/>
    <w:rsid w:val="00B5569C"/>
    <w:rsid w:val="00B55A68"/>
    <w:rsid w:val="00B55B30"/>
    <w:rsid w:val="00B55D9C"/>
    <w:rsid w:val="00B55EDA"/>
    <w:rsid w:val="00B55FA0"/>
    <w:rsid w:val="00B56053"/>
    <w:rsid w:val="00B56273"/>
    <w:rsid w:val="00B56627"/>
    <w:rsid w:val="00B569B2"/>
    <w:rsid w:val="00B56D8B"/>
    <w:rsid w:val="00B56DB6"/>
    <w:rsid w:val="00B56E06"/>
    <w:rsid w:val="00B56E1C"/>
    <w:rsid w:val="00B57530"/>
    <w:rsid w:val="00B57933"/>
    <w:rsid w:val="00B57952"/>
    <w:rsid w:val="00B57D29"/>
    <w:rsid w:val="00B57E9D"/>
    <w:rsid w:val="00B60131"/>
    <w:rsid w:val="00B602D4"/>
    <w:rsid w:val="00B6032F"/>
    <w:rsid w:val="00B604B3"/>
    <w:rsid w:val="00B6058A"/>
    <w:rsid w:val="00B60702"/>
    <w:rsid w:val="00B61037"/>
    <w:rsid w:val="00B61278"/>
    <w:rsid w:val="00B612C0"/>
    <w:rsid w:val="00B6161A"/>
    <w:rsid w:val="00B6168F"/>
    <w:rsid w:val="00B618B1"/>
    <w:rsid w:val="00B61990"/>
    <w:rsid w:val="00B619C2"/>
    <w:rsid w:val="00B61AB6"/>
    <w:rsid w:val="00B61AC0"/>
    <w:rsid w:val="00B61B7C"/>
    <w:rsid w:val="00B61BDF"/>
    <w:rsid w:val="00B61E23"/>
    <w:rsid w:val="00B61F81"/>
    <w:rsid w:val="00B6205C"/>
    <w:rsid w:val="00B62247"/>
    <w:rsid w:val="00B62391"/>
    <w:rsid w:val="00B623E0"/>
    <w:rsid w:val="00B62443"/>
    <w:rsid w:val="00B6269F"/>
    <w:rsid w:val="00B62A48"/>
    <w:rsid w:val="00B62D61"/>
    <w:rsid w:val="00B63029"/>
    <w:rsid w:val="00B63060"/>
    <w:rsid w:val="00B63618"/>
    <w:rsid w:val="00B6361B"/>
    <w:rsid w:val="00B63791"/>
    <w:rsid w:val="00B63827"/>
    <w:rsid w:val="00B63D0B"/>
    <w:rsid w:val="00B63FEF"/>
    <w:rsid w:val="00B648AF"/>
    <w:rsid w:val="00B64AA1"/>
    <w:rsid w:val="00B64C4F"/>
    <w:rsid w:val="00B64C9D"/>
    <w:rsid w:val="00B65142"/>
    <w:rsid w:val="00B65310"/>
    <w:rsid w:val="00B653F1"/>
    <w:rsid w:val="00B65774"/>
    <w:rsid w:val="00B657C4"/>
    <w:rsid w:val="00B659B6"/>
    <w:rsid w:val="00B65C2D"/>
    <w:rsid w:val="00B65CFB"/>
    <w:rsid w:val="00B65D2E"/>
    <w:rsid w:val="00B65E99"/>
    <w:rsid w:val="00B6654B"/>
    <w:rsid w:val="00B665B9"/>
    <w:rsid w:val="00B6683C"/>
    <w:rsid w:val="00B66AD6"/>
    <w:rsid w:val="00B66F20"/>
    <w:rsid w:val="00B6740F"/>
    <w:rsid w:val="00B67688"/>
    <w:rsid w:val="00B678EB"/>
    <w:rsid w:val="00B67BB5"/>
    <w:rsid w:val="00B67D51"/>
    <w:rsid w:val="00B70038"/>
    <w:rsid w:val="00B70047"/>
    <w:rsid w:val="00B70186"/>
    <w:rsid w:val="00B702D1"/>
    <w:rsid w:val="00B7068F"/>
    <w:rsid w:val="00B7072F"/>
    <w:rsid w:val="00B70874"/>
    <w:rsid w:val="00B7090C"/>
    <w:rsid w:val="00B70996"/>
    <w:rsid w:val="00B70C5E"/>
    <w:rsid w:val="00B70D6E"/>
    <w:rsid w:val="00B71361"/>
    <w:rsid w:val="00B71375"/>
    <w:rsid w:val="00B7138D"/>
    <w:rsid w:val="00B716F6"/>
    <w:rsid w:val="00B718DB"/>
    <w:rsid w:val="00B71D01"/>
    <w:rsid w:val="00B71D70"/>
    <w:rsid w:val="00B71E40"/>
    <w:rsid w:val="00B7224D"/>
    <w:rsid w:val="00B7243B"/>
    <w:rsid w:val="00B7259B"/>
    <w:rsid w:val="00B7287D"/>
    <w:rsid w:val="00B72905"/>
    <w:rsid w:val="00B72C0F"/>
    <w:rsid w:val="00B72C50"/>
    <w:rsid w:val="00B72DCA"/>
    <w:rsid w:val="00B72DD2"/>
    <w:rsid w:val="00B731F0"/>
    <w:rsid w:val="00B73244"/>
    <w:rsid w:val="00B7348F"/>
    <w:rsid w:val="00B73523"/>
    <w:rsid w:val="00B736C6"/>
    <w:rsid w:val="00B7381F"/>
    <w:rsid w:val="00B738B4"/>
    <w:rsid w:val="00B73913"/>
    <w:rsid w:val="00B741D6"/>
    <w:rsid w:val="00B74225"/>
    <w:rsid w:val="00B745A9"/>
    <w:rsid w:val="00B745E6"/>
    <w:rsid w:val="00B746B5"/>
    <w:rsid w:val="00B74895"/>
    <w:rsid w:val="00B74920"/>
    <w:rsid w:val="00B74B96"/>
    <w:rsid w:val="00B7502D"/>
    <w:rsid w:val="00B752B2"/>
    <w:rsid w:val="00B75505"/>
    <w:rsid w:val="00B75A53"/>
    <w:rsid w:val="00B75A92"/>
    <w:rsid w:val="00B75C02"/>
    <w:rsid w:val="00B75D95"/>
    <w:rsid w:val="00B75FDB"/>
    <w:rsid w:val="00B76733"/>
    <w:rsid w:val="00B76885"/>
    <w:rsid w:val="00B76889"/>
    <w:rsid w:val="00B769EF"/>
    <w:rsid w:val="00B76C09"/>
    <w:rsid w:val="00B76D6F"/>
    <w:rsid w:val="00B76F0F"/>
    <w:rsid w:val="00B77274"/>
    <w:rsid w:val="00B775B3"/>
    <w:rsid w:val="00B77923"/>
    <w:rsid w:val="00B77E55"/>
    <w:rsid w:val="00B77EAF"/>
    <w:rsid w:val="00B800D6"/>
    <w:rsid w:val="00B801DF"/>
    <w:rsid w:val="00B8021B"/>
    <w:rsid w:val="00B8022E"/>
    <w:rsid w:val="00B80263"/>
    <w:rsid w:val="00B803A6"/>
    <w:rsid w:val="00B806CC"/>
    <w:rsid w:val="00B80E0E"/>
    <w:rsid w:val="00B80E98"/>
    <w:rsid w:val="00B80F5C"/>
    <w:rsid w:val="00B81126"/>
    <w:rsid w:val="00B8133A"/>
    <w:rsid w:val="00B81AD1"/>
    <w:rsid w:val="00B821C9"/>
    <w:rsid w:val="00B8220A"/>
    <w:rsid w:val="00B822C0"/>
    <w:rsid w:val="00B82322"/>
    <w:rsid w:val="00B82640"/>
    <w:rsid w:val="00B826FB"/>
    <w:rsid w:val="00B8284B"/>
    <w:rsid w:val="00B8289C"/>
    <w:rsid w:val="00B828B8"/>
    <w:rsid w:val="00B82BD2"/>
    <w:rsid w:val="00B82DBE"/>
    <w:rsid w:val="00B83006"/>
    <w:rsid w:val="00B8305B"/>
    <w:rsid w:val="00B830AD"/>
    <w:rsid w:val="00B83111"/>
    <w:rsid w:val="00B8312C"/>
    <w:rsid w:val="00B83411"/>
    <w:rsid w:val="00B83475"/>
    <w:rsid w:val="00B836B9"/>
    <w:rsid w:val="00B83719"/>
    <w:rsid w:val="00B83985"/>
    <w:rsid w:val="00B83BB4"/>
    <w:rsid w:val="00B83C29"/>
    <w:rsid w:val="00B83D34"/>
    <w:rsid w:val="00B83E36"/>
    <w:rsid w:val="00B83EA6"/>
    <w:rsid w:val="00B83FE2"/>
    <w:rsid w:val="00B84632"/>
    <w:rsid w:val="00B84F49"/>
    <w:rsid w:val="00B852B9"/>
    <w:rsid w:val="00B856DF"/>
    <w:rsid w:val="00B857A2"/>
    <w:rsid w:val="00B857CB"/>
    <w:rsid w:val="00B85B58"/>
    <w:rsid w:val="00B85C30"/>
    <w:rsid w:val="00B85EA6"/>
    <w:rsid w:val="00B8600F"/>
    <w:rsid w:val="00B86224"/>
    <w:rsid w:val="00B86332"/>
    <w:rsid w:val="00B86357"/>
    <w:rsid w:val="00B864C6"/>
    <w:rsid w:val="00B8679E"/>
    <w:rsid w:val="00B86939"/>
    <w:rsid w:val="00B869C4"/>
    <w:rsid w:val="00B869E1"/>
    <w:rsid w:val="00B86A64"/>
    <w:rsid w:val="00B86A94"/>
    <w:rsid w:val="00B87272"/>
    <w:rsid w:val="00B87312"/>
    <w:rsid w:val="00B8734A"/>
    <w:rsid w:val="00B874AE"/>
    <w:rsid w:val="00B878B5"/>
    <w:rsid w:val="00B87A37"/>
    <w:rsid w:val="00B901A4"/>
    <w:rsid w:val="00B901ED"/>
    <w:rsid w:val="00B903D6"/>
    <w:rsid w:val="00B90422"/>
    <w:rsid w:val="00B9077C"/>
    <w:rsid w:val="00B90906"/>
    <w:rsid w:val="00B90BF9"/>
    <w:rsid w:val="00B90D62"/>
    <w:rsid w:val="00B910CA"/>
    <w:rsid w:val="00B910DB"/>
    <w:rsid w:val="00B91678"/>
    <w:rsid w:val="00B91BE1"/>
    <w:rsid w:val="00B91F61"/>
    <w:rsid w:val="00B91F91"/>
    <w:rsid w:val="00B923FC"/>
    <w:rsid w:val="00B924E6"/>
    <w:rsid w:val="00B926FA"/>
    <w:rsid w:val="00B92D17"/>
    <w:rsid w:val="00B92E5B"/>
    <w:rsid w:val="00B93144"/>
    <w:rsid w:val="00B93285"/>
    <w:rsid w:val="00B934DA"/>
    <w:rsid w:val="00B936D8"/>
    <w:rsid w:val="00B93A19"/>
    <w:rsid w:val="00B93AB1"/>
    <w:rsid w:val="00B93C5E"/>
    <w:rsid w:val="00B93CBA"/>
    <w:rsid w:val="00B93DE7"/>
    <w:rsid w:val="00B93E2E"/>
    <w:rsid w:val="00B93EBA"/>
    <w:rsid w:val="00B941C6"/>
    <w:rsid w:val="00B9440E"/>
    <w:rsid w:val="00B9456D"/>
    <w:rsid w:val="00B945A3"/>
    <w:rsid w:val="00B9483E"/>
    <w:rsid w:val="00B949FD"/>
    <w:rsid w:val="00B94B78"/>
    <w:rsid w:val="00B953E3"/>
    <w:rsid w:val="00B9544C"/>
    <w:rsid w:val="00B95505"/>
    <w:rsid w:val="00B9576F"/>
    <w:rsid w:val="00B95884"/>
    <w:rsid w:val="00B95972"/>
    <w:rsid w:val="00B95DC1"/>
    <w:rsid w:val="00B9606E"/>
    <w:rsid w:val="00B96168"/>
    <w:rsid w:val="00B963FB"/>
    <w:rsid w:val="00B963FF"/>
    <w:rsid w:val="00B964F3"/>
    <w:rsid w:val="00B96550"/>
    <w:rsid w:val="00B96C20"/>
    <w:rsid w:val="00B96D06"/>
    <w:rsid w:val="00B97197"/>
    <w:rsid w:val="00B97322"/>
    <w:rsid w:val="00B9754E"/>
    <w:rsid w:val="00B97672"/>
    <w:rsid w:val="00B978AA"/>
    <w:rsid w:val="00B979DE"/>
    <w:rsid w:val="00B97CB6"/>
    <w:rsid w:val="00BA0088"/>
    <w:rsid w:val="00BA00FC"/>
    <w:rsid w:val="00BA0183"/>
    <w:rsid w:val="00BA01B3"/>
    <w:rsid w:val="00BA029E"/>
    <w:rsid w:val="00BA04D5"/>
    <w:rsid w:val="00BA053A"/>
    <w:rsid w:val="00BA07E7"/>
    <w:rsid w:val="00BA118F"/>
    <w:rsid w:val="00BA138D"/>
    <w:rsid w:val="00BA1425"/>
    <w:rsid w:val="00BA1C39"/>
    <w:rsid w:val="00BA26B6"/>
    <w:rsid w:val="00BA2750"/>
    <w:rsid w:val="00BA275A"/>
    <w:rsid w:val="00BA28F4"/>
    <w:rsid w:val="00BA2B40"/>
    <w:rsid w:val="00BA2C99"/>
    <w:rsid w:val="00BA2E58"/>
    <w:rsid w:val="00BA2F01"/>
    <w:rsid w:val="00BA2F8A"/>
    <w:rsid w:val="00BA2FF3"/>
    <w:rsid w:val="00BA30A1"/>
    <w:rsid w:val="00BA30CD"/>
    <w:rsid w:val="00BA3211"/>
    <w:rsid w:val="00BA3ABE"/>
    <w:rsid w:val="00BA3ADC"/>
    <w:rsid w:val="00BA3E3A"/>
    <w:rsid w:val="00BA3F88"/>
    <w:rsid w:val="00BA404D"/>
    <w:rsid w:val="00BA405D"/>
    <w:rsid w:val="00BA40AD"/>
    <w:rsid w:val="00BA410A"/>
    <w:rsid w:val="00BA4347"/>
    <w:rsid w:val="00BA43FD"/>
    <w:rsid w:val="00BA4430"/>
    <w:rsid w:val="00BA4863"/>
    <w:rsid w:val="00BA490A"/>
    <w:rsid w:val="00BA4B3D"/>
    <w:rsid w:val="00BA4B59"/>
    <w:rsid w:val="00BA4BB5"/>
    <w:rsid w:val="00BA4C49"/>
    <w:rsid w:val="00BA4CCB"/>
    <w:rsid w:val="00BA4F52"/>
    <w:rsid w:val="00BA4F66"/>
    <w:rsid w:val="00BA4F7C"/>
    <w:rsid w:val="00BA5425"/>
    <w:rsid w:val="00BA54E4"/>
    <w:rsid w:val="00BA5793"/>
    <w:rsid w:val="00BA5C8A"/>
    <w:rsid w:val="00BA5CCD"/>
    <w:rsid w:val="00BA6039"/>
    <w:rsid w:val="00BA6134"/>
    <w:rsid w:val="00BA62F6"/>
    <w:rsid w:val="00BA642F"/>
    <w:rsid w:val="00BA6431"/>
    <w:rsid w:val="00BA66D2"/>
    <w:rsid w:val="00BA670C"/>
    <w:rsid w:val="00BA6739"/>
    <w:rsid w:val="00BA67A4"/>
    <w:rsid w:val="00BA6920"/>
    <w:rsid w:val="00BA697E"/>
    <w:rsid w:val="00BA6E73"/>
    <w:rsid w:val="00BA6EAE"/>
    <w:rsid w:val="00BA70DD"/>
    <w:rsid w:val="00BA7244"/>
    <w:rsid w:val="00BA735A"/>
    <w:rsid w:val="00BA76C0"/>
    <w:rsid w:val="00BA775C"/>
    <w:rsid w:val="00BA7981"/>
    <w:rsid w:val="00BA7AF0"/>
    <w:rsid w:val="00BA7FB9"/>
    <w:rsid w:val="00BB0137"/>
    <w:rsid w:val="00BB0198"/>
    <w:rsid w:val="00BB0595"/>
    <w:rsid w:val="00BB0682"/>
    <w:rsid w:val="00BB093B"/>
    <w:rsid w:val="00BB0991"/>
    <w:rsid w:val="00BB0AD6"/>
    <w:rsid w:val="00BB0E95"/>
    <w:rsid w:val="00BB101D"/>
    <w:rsid w:val="00BB13E0"/>
    <w:rsid w:val="00BB181E"/>
    <w:rsid w:val="00BB1855"/>
    <w:rsid w:val="00BB1B5A"/>
    <w:rsid w:val="00BB1BCB"/>
    <w:rsid w:val="00BB1D34"/>
    <w:rsid w:val="00BB1D3B"/>
    <w:rsid w:val="00BB1E74"/>
    <w:rsid w:val="00BB202B"/>
    <w:rsid w:val="00BB2129"/>
    <w:rsid w:val="00BB2175"/>
    <w:rsid w:val="00BB2515"/>
    <w:rsid w:val="00BB25E0"/>
    <w:rsid w:val="00BB2654"/>
    <w:rsid w:val="00BB289D"/>
    <w:rsid w:val="00BB2B49"/>
    <w:rsid w:val="00BB2C0D"/>
    <w:rsid w:val="00BB2C7D"/>
    <w:rsid w:val="00BB2D07"/>
    <w:rsid w:val="00BB304F"/>
    <w:rsid w:val="00BB3252"/>
    <w:rsid w:val="00BB3292"/>
    <w:rsid w:val="00BB35E6"/>
    <w:rsid w:val="00BB36CE"/>
    <w:rsid w:val="00BB3983"/>
    <w:rsid w:val="00BB3C28"/>
    <w:rsid w:val="00BB3C73"/>
    <w:rsid w:val="00BB3EB2"/>
    <w:rsid w:val="00BB4566"/>
    <w:rsid w:val="00BB45CD"/>
    <w:rsid w:val="00BB47DA"/>
    <w:rsid w:val="00BB4904"/>
    <w:rsid w:val="00BB4AF2"/>
    <w:rsid w:val="00BB4DC8"/>
    <w:rsid w:val="00BB4F34"/>
    <w:rsid w:val="00BB4FD9"/>
    <w:rsid w:val="00BB530C"/>
    <w:rsid w:val="00BB5527"/>
    <w:rsid w:val="00BB5714"/>
    <w:rsid w:val="00BB5A1B"/>
    <w:rsid w:val="00BB5A6A"/>
    <w:rsid w:val="00BB5B7A"/>
    <w:rsid w:val="00BB5BED"/>
    <w:rsid w:val="00BB5C5A"/>
    <w:rsid w:val="00BB5FB6"/>
    <w:rsid w:val="00BB660D"/>
    <w:rsid w:val="00BB6744"/>
    <w:rsid w:val="00BB696D"/>
    <w:rsid w:val="00BB6B87"/>
    <w:rsid w:val="00BB6E46"/>
    <w:rsid w:val="00BB7106"/>
    <w:rsid w:val="00BB74D3"/>
    <w:rsid w:val="00BB79DB"/>
    <w:rsid w:val="00BB7A10"/>
    <w:rsid w:val="00BB7AC9"/>
    <w:rsid w:val="00BB7AE1"/>
    <w:rsid w:val="00BB7AF6"/>
    <w:rsid w:val="00BB7B38"/>
    <w:rsid w:val="00BC0573"/>
    <w:rsid w:val="00BC06BC"/>
    <w:rsid w:val="00BC0735"/>
    <w:rsid w:val="00BC0B77"/>
    <w:rsid w:val="00BC1058"/>
    <w:rsid w:val="00BC116F"/>
    <w:rsid w:val="00BC1187"/>
    <w:rsid w:val="00BC15E2"/>
    <w:rsid w:val="00BC1770"/>
    <w:rsid w:val="00BC195A"/>
    <w:rsid w:val="00BC1A1E"/>
    <w:rsid w:val="00BC1A4D"/>
    <w:rsid w:val="00BC1AFB"/>
    <w:rsid w:val="00BC1F0A"/>
    <w:rsid w:val="00BC1F3F"/>
    <w:rsid w:val="00BC1FB3"/>
    <w:rsid w:val="00BC2055"/>
    <w:rsid w:val="00BC21A5"/>
    <w:rsid w:val="00BC2502"/>
    <w:rsid w:val="00BC27C7"/>
    <w:rsid w:val="00BC2875"/>
    <w:rsid w:val="00BC2B7A"/>
    <w:rsid w:val="00BC2C71"/>
    <w:rsid w:val="00BC2CFD"/>
    <w:rsid w:val="00BC3063"/>
    <w:rsid w:val="00BC321D"/>
    <w:rsid w:val="00BC348B"/>
    <w:rsid w:val="00BC351A"/>
    <w:rsid w:val="00BC3592"/>
    <w:rsid w:val="00BC38C6"/>
    <w:rsid w:val="00BC38EA"/>
    <w:rsid w:val="00BC3A33"/>
    <w:rsid w:val="00BC3A75"/>
    <w:rsid w:val="00BC3BE5"/>
    <w:rsid w:val="00BC3DF0"/>
    <w:rsid w:val="00BC40BA"/>
    <w:rsid w:val="00BC40D1"/>
    <w:rsid w:val="00BC4136"/>
    <w:rsid w:val="00BC4176"/>
    <w:rsid w:val="00BC465B"/>
    <w:rsid w:val="00BC4952"/>
    <w:rsid w:val="00BC49E9"/>
    <w:rsid w:val="00BC4B11"/>
    <w:rsid w:val="00BC4F83"/>
    <w:rsid w:val="00BC5229"/>
    <w:rsid w:val="00BC5423"/>
    <w:rsid w:val="00BC5952"/>
    <w:rsid w:val="00BC5999"/>
    <w:rsid w:val="00BC5A41"/>
    <w:rsid w:val="00BC5B66"/>
    <w:rsid w:val="00BC5BFE"/>
    <w:rsid w:val="00BC5D7D"/>
    <w:rsid w:val="00BC5E95"/>
    <w:rsid w:val="00BC5EE0"/>
    <w:rsid w:val="00BC5EE6"/>
    <w:rsid w:val="00BC6177"/>
    <w:rsid w:val="00BC6447"/>
    <w:rsid w:val="00BC648E"/>
    <w:rsid w:val="00BC668A"/>
    <w:rsid w:val="00BC69DE"/>
    <w:rsid w:val="00BC6C3E"/>
    <w:rsid w:val="00BC6D1D"/>
    <w:rsid w:val="00BC6E25"/>
    <w:rsid w:val="00BC6EE8"/>
    <w:rsid w:val="00BC71E8"/>
    <w:rsid w:val="00BC725A"/>
    <w:rsid w:val="00BC72D0"/>
    <w:rsid w:val="00BC72FD"/>
    <w:rsid w:val="00BC7341"/>
    <w:rsid w:val="00BC73FD"/>
    <w:rsid w:val="00BC74CB"/>
    <w:rsid w:val="00BC755F"/>
    <w:rsid w:val="00BC75CE"/>
    <w:rsid w:val="00BC75F1"/>
    <w:rsid w:val="00BC7745"/>
    <w:rsid w:val="00BC776C"/>
    <w:rsid w:val="00BC7900"/>
    <w:rsid w:val="00BC799E"/>
    <w:rsid w:val="00BC7BC3"/>
    <w:rsid w:val="00BD0350"/>
    <w:rsid w:val="00BD08D9"/>
    <w:rsid w:val="00BD0924"/>
    <w:rsid w:val="00BD0955"/>
    <w:rsid w:val="00BD0A39"/>
    <w:rsid w:val="00BD0B1A"/>
    <w:rsid w:val="00BD0B7A"/>
    <w:rsid w:val="00BD1639"/>
    <w:rsid w:val="00BD1774"/>
    <w:rsid w:val="00BD188B"/>
    <w:rsid w:val="00BD18D6"/>
    <w:rsid w:val="00BD1999"/>
    <w:rsid w:val="00BD1D76"/>
    <w:rsid w:val="00BD2C90"/>
    <w:rsid w:val="00BD2D6B"/>
    <w:rsid w:val="00BD2FCA"/>
    <w:rsid w:val="00BD3073"/>
    <w:rsid w:val="00BD3091"/>
    <w:rsid w:val="00BD354D"/>
    <w:rsid w:val="00BD3CB9"/>
    <w:rsid w:val="00BD3E02"/>
    <w:rsid w:val="00BD4116"/>
    <w:rsid w:val="00BD41A8"/>
    <w:rsid w:val="00BD41B4"/>
    <w:rsid w:val="00BD43AD"/>
    <w:rsid w:val="00BD43BD"/>
    <w:rsid w:val="00BD4534"/>
    <w:rsid w:val="00BD4585"/>
    <w:rsid w:val="00BD45D7"/>
    <w:rsid w:val="00BD4785"/>
    <w:rsid w:val="00BD48DA"/>
    <w:rsid w:val="00BD4BD8"/>
    <w:rsid w:val="00BD4C3E"/>
    <w:rsid w:val="00BD4C42"/>
    <w:rsid w:val="00BD4DC5"/>
    <w:rsid w:val="00BD4EE4"/>
    <w:rsid w:val="00BD4FDC"/>
    <w:rsid w:val="00BD51F6"/>
    <w:rsid w:val="00BD52DC"/>
    <w:rsid w:val="00BD572E"/>
    <w:rsid w:val="00BD5845"/>
    <w:rsid w:val="00BD591E"/>
    <w:rsid w:val="00BD5A47"/>
    <w:rsid w:val="00BD5E20"/>
    <w:rsid w:val="00BD62FF"/>
    <w:rsid w:val="00BD6330"/>
    <w:rsid w:val="00BD64EB"/>
    <w:rsid w:val="00BD653B"/>
    <w:rsid w:val="00BD67B6"/>
    <w:rsid w:val="00BD6BD8"/>
    <w:rsid w:val="00BD6C55"/>
    <w:rsid w:val="00BD743F"/>
    <w:rsid w:val="00BD7568"/>
    <w:rsid w:val="00BD7700"/>
    <w:rsid w:val="00BD7846"/>
    <w:rsid w:val="00BD7966"/>
    <w:rsid w:val="00BD7A48"/>
    <w:rsid w:val="00BD7A5B"/>
    <w:rsid w:val="00BD7BEF"/>
    <w:rsid w:val="00BD7E01"/>
    <w:rsid w:val="00BE00F3"/>
    <w:rsid w:val="00BE05E6"/>
    <w:rsid w:val="00BE06AB"/>
    <w:rsid w:val="00BE0807"/>
    <w:rsid w:val="00BE0906"/>
    <w:rsid w:val="00BE0B01"/>
    <w:rsid w:val="00BE0C4B"/>
    <w:rsid w:val="00BE0E49"/>
    <w:rsid w:val="00BE126C"/>
    <w:rsid w:val="00BE127C"/>
    <w:rsid w:val="00BE135D"/>
    <w:rsid w:val="00BE15A4"/>
    <w:rsid w:val="00BE18C6"/>
    <w:rsid w:val="00BE1AA5"/>
    <w:rsid w:val="00BE1C33"/>
    <w:rsid w:val="00BE1C89"/>
    <w:rsid w:val="00BE1CFE"/>
    <w:rsid w:val="00BE1FD8"/>
    <w:rsid w:val="00BE213F"/>
    <w:rsid w:val="00BE21E1"/>
    <w:rsid w:val="00BE26A9"/>
    <w:rsid w:val="00BE2848"/>
    <w:rsid w:val="00BE296A"/>
    <w:rsid w:val="00BE2BCD"/>
    <w:rsid w:val="00BE304F"/>
    <w:rsid w:val="00BE3133"/>
    <w:rsid w:val="00BE322E"/>
    <w:rsid w:val="00BE3AE7"/>
    <w:rsid w:val="00BE3E6B"/>
    <w:rsid w:val="00BE3FDC"/>
    <w:rsid w:val="00BE402E"/>
    <w:rsid w:val="00BE4AAD"/>
    <w:rsid w:val="00BE4AE1"/>
    <w:rsid w:val="00BE4C0F"/>
    <w:rsid w:val="00BE5197"/>
    <w:rsid w:val="00BE53A8"/>
    <w:rsid w:val="00BE53E0"/>
    <w:rsid w:val="00BE54A2"/>
    <w:rsid w:val="00BE55DA"/>
    <w:rsid w:val="00BE565F"/>
    <w:rsid w:val="00BE5720"/>
    <w:rsid w:val="00BE59FE"/>
    <w:rsid w:val="00BE5C5C"/>
    <w:rsid w:val="00BE5CA6"/>
    <w:rsid w:val="00BE5FB2"/>
    <w:rsid w:val="00BE6366"/>
    <w:rsid w:val="00BE6533"/>
    <w:rsid w:val="00BE6534"/>
    <w:rsid w:val="00BE6814"/>
    <w:rsid w:val="00BE6B4D"/>
    <w:rsid w:val="00BE6BF3"/>
    <w:rsid w:val="00BE6C15"/>
    <w:rsid w:val="00BE6EBD"/>
    <w:rsid w:val="00BE6EF5"/>
    <w:rsid w:val="00BE7236"/>
    <w:rsid w:val="00BE77E8"/>
    <w:rsid w:val="00BE7E89"/>
    <w:rsid w:val="00BE7F06"/>
    <w:rsid w:val="00BF000B"/>
    <w:rsid w:val="00BF0150"/>
    <w:rsid w:val="00BF0505"/>
    <w:rsid w:val="00BF05C9"/>
    <w:rsid w:val="00BF078B"/>
    <w:rsid w:val="00BF0AF7"/>
    <w:rsid w:val="00BF0CD1"/>
    <w:rsid w:val="00BF0DD8"/>
    <w:rsid w:val="00BF0F09"/>
    <w:rsid w:val="00BF1137"/>
    <w:rsid w:val="00BF1209"/>
    <w:rsid w:val="00BF14C0"/>
    <w:rsid w:val="00BF166F"/>
    <w:rsid w:val="00BF1B68"/>
    <w:rsid w:val="00BF1CEE"/>
    <w:rsid w:val="00BF1D26"/>
    <w:rsid w:val="00BF1EEC"/>
    <w:rsid w:val="00BF1EF4"/>
    <w:rsid w:val="00BF2142"/>
    <w:rsid w:val="00BF2292"/>
    <w:rsid w:val="00BF2442"/>
    <w:rsid w:val="00BF246F"/>
    <w:rsid w:val="00BF255B"/>
    <w:rsid w:val="00BF256E"/>
    <w:rsid w:val="00BF2740"/>
    <w:rsid w:val="00BF2762"/>
    <w:rsid w:val="00BF292A"/>
    <w:rsid w:val="00BF2ACC"/>
    <w:rsid w:val="00BF2F4A"/>
    <w:rsid w:val="00BF2FF4"/>
    <w:rsid w:val="00BF328C"/>
    <w:rsid w:val="00BF334C"/>
    <w:rsid w:val="00BF366C"/>
    <w:rsid w:val="00BF3743"/>
    <w:rsid w:val="00BF37CB"/>
    <w:rsid w:val="00BF3852"/>
    <w:rsid w:val="00BF3C0F"/>
    <w:rsid w:val="00BF3EC5"/>
    <w:rsid w:val="00BF4036"/>
    <w:rsid w:val="00BF40D6"/>
    <w:rsid w:val="00BF4119"/>
    <w:rsid w:val="00BF441C"/>
    <w:rsid w:val="00BF4421"/>
    <w:rsid w:val="00BF4A2E"/>
    <w:rsid w:val="00BF4CA4"/>
    <w:rsid w:val="00BF4CFB"/>
    <w:rsid w:val="00BF4D57"/>
    <w:rsid w:val="00BF4D58"/>
    <w:rsid w:val="00BF4EAA"/>
    <w:rsid w:val="00BF5557"/>
    <w:rsid w:val="00BF5692"/>
    <w:rsid w:val="00BF5811"/>
    <w:rsid w:val="00BF5C6C"/>
    <w:rsid w:val="00BF5EEF"/>
    <w:rsid w:val="00BF603C"/>
    <w:rsid w:val="00BF619C"/>
    <w:rsid w:val="00BF6390"/>
    <w:rsid w:val="00BF6664"/>
    <w:rsid w:val="00BF67D7"/>
    <w:rsid w:val="00BF6906"/>
    <w:rsid w:val="00BF6B46"/>
    <w:rsid w:val="00BF6C40"/>
    <w:rsid w:val="00BF7142"/>
    <w:rsid w:val="00BF7AF4"/>
    <w:rsid w:val="00BF7FC3"/>
    <w:rsid w:val="00C00030"/>
    <w:rsid w:val="00C000E4"/>
    <w:rsid w:val="00C001E8"/>
    <w:rsid w:val="00C0032C"/>
    <w:rsid w:val="00C004D3"/>
    <w:rsid w:val="00C00530"/>
    <w:rsid w:val="00C00543"/>
    <w:rsid w:val="00C00608"/>
    <w:rsid w:val="00C00BF7"/>
    <w:rsid w:val="00C00CAD"/>
    <w:rsid w:val="00C00D7F"/>
    <w:rsid w:val="00C00DB5"/>
    <w:rsid w:val="00C00E63"/>
    <w:rsid w:val="00C00EB1"/>
    <w:rsid w:val="00C00F6E"/>
    <w:rsid w:val="00C0151B"/>
    <w:rsid w:val="00C016E8"/>
    <w:rsid w:val="00C01AB4"/>
    <w:rsid w:val="00C01B29"/>
    <w:rsid w:val="00C01BED"/>
    <w:rsid w:val="00C01DCB"/>
    <w:rsid w:val="00C02124"/>
    <w:rsid w:val="00C022F8"/>
    <w:rsid w:val="00C0251D"/>
    <w:rsid w:val="00C0277A"/>
    <w:rsid w:val="00C02991"/>
    <w:rsid w:val="00C029A5"/>
    <w:rsid w:val="00C029F2"/>
    <w:rsid w:val="00C02D1D"/>
    <w:rsid w:val="00C02E67"/>
    <w:rsid w:val="00C02FE7"/>
    <w:rsid w:val="00C03237"/>
    <w:rsid w:val="00C03325"/>
    <w:rsid w:val="00C03478"/>
    <w:rsid w:val="00C035E7"/>
    <w:rsid w:val="00C035F5"/>
    <w:rsid w:val="00C036DE"/>
    <w:rsid w:val="00C03A16"/>
    <w:rsid w:val="00C03B5E"/>
    <w:rsid w:val="00C03BB7"/>
    <w:rsid w:val="00C03CEF"/>
    <w:rsid w:val="00C04197"/>
    <w:rsid w:val="00C042BD"/>
    <w:rsid w:val="00C049FC"/>
    <w:rsid w:val="00C04BCB"/>
    <w:rsid w:val="00C04EC4"/>
    <w:rsid w:val="00C04F09"/>
    <w:rsid w:val="00C0505F"/>
    <w:rsid w:val="00C051E1"/>
    <w:rsid w:val="00C052C6"/>
    <w:rsid w:val="00C0541C"/>
    <w:rsid w:val="00C05715"/>
    <w:rsid w:val="00C058D1"/>
    <w:rsid w:val="00C05E7E"/>
    <w:rsid w:val="00C05EF2"/>
    <w:rsid w:val="00C05F94"/>
    <w:rsid w:val="00C06083"/>
    <w:rsid w:val="00C0620C"/>
    <w:rsid w:val="00C0649C"/>
    <w:rsid w:val="00C064DE"/>
    <w:rsid w:val="00C06897"/>
    <w:rsid w:val="00C0696B"/>
    <w:rsid w:val="00C06997"/>
    <w:rsid w:val="00C06A84"/>
    <w:rsid w:val="00C06AD9"/>
    <w:rsid w:val="00C06C57"/>
    <w:rsid w:val="00C06C84"/>
    <w:rsid w:val="00C06D7F"/>
    <w:rsid w:val="00C06EA1"/>
    <w:rsid w:val="00C071E7"/>
    <w:rsid w:val="00C072C8"/>
    <w:rsid w:val="00C0738A"/>
    <w:rsid w:val="00C075C3"/>
    <w:rsid w:val="00C075C5"/>
    <w:rsid w:val="00C07785"/>
    <w:rsid w:val="00C079F8"/>
    <w:rsid w:val="00C07BD6"/>
    <w:rsid w:val="00C07C05"/>
    <w:rsid w:val="00C07D1D"/>
    <w:rsid w:val="00C07E8F"/>
    <w:rsid w:val="00C07F26"/>
    <w:rsid w:val="00C101F7"/>
    <w:rsid w:val="00C10340"/>
    <w:rsid w:val="00C104A0"/>
    <w:rsid w:val="00C1057B"/>
    <w:rsid w:val="00C105DB"/>
    <w:rsid w:val="00C10644"/>
    <w:rsid w:val="00C10798"/>
    <w:rsid w:val="00C1085B"/>
    <w:rsid w:val="00C108DF"/>
    <w:rsid w:val="00C1095A"/>
    <w:rsid w:val="00C10DEB"/>
    <w:rsid w:val="00C10E7D"/>
    <w:rsid w:val="00C10EB1"/>
    <w:rsid w:val="00C10F5D"/>
    <w:rsid w:val="00C11003"/>
    <w:rsid w:val="00C1109D"/>
    <w:rsid w:val="00C11216"/>
    <w:rsid w:val="00C113F4"/>
    <w:rsid w:val="00C11505"/>
    <w:rsid w:val="00C11725"/>
    <w:rsid w:val="00C11783"/>
    <w:rsid w:val="00C117D1"/>
    <w:rsid w:val="00C117FD"/>
    <w:rsid w:val="00C11B2F"/>
    <w:rsid w:val="00C11C83"/>
    <w:rsid w:val="00C11CF3"/>
    <w:rsid w:val="00C11DDA"/>
    <w:rsid w:val="00C11E7F"/>
    <w:rsid w:val="00C1201F"/>
    <w:rsid w:val="00C12261"/>
    <w:rsid w:val="00C122DF"/>
    <w:rsid w:val="00C12777"/>
    <w:rsid w:val="00C12865"/>
    <w:rsid w:val="00C12961"/>
    <w:rsid w:val="00C12BF1"/>
    <w:rsid w:val="00C12F66"/>
    <w:rsid w:val="00C1336C"/>
    <w:rsid w:val="00C13633"/>
    <w:rsid w:val="00C13673"/>
    <w:rsid w:val="00C136F2"/>
    <w:rsid w:val="00C13702"/>
    <w:rsid w:val="00C13895"/>
    <w:rsid w:val="00C1397A"/>
    <w:rsid w:val="00C139B2"/>
    <w:rsid w:val="00C13A1E"/>
    <w:rsid w:val="00C13F5E"/>
    <w:rsid w:val="00C140EF"/>
    <w:rsid w:val="00C14207"/>
    <w:rsid w:val="00C14793"/>
    <w:rsid w:val="00C14BA5"/>
    <w:rsid w:val="00C14F98"/>
    <w:rsid w:val="00C14FD1"/>
    <w:rsid w:val="00C1536A"/>
    <w:rsid w:val="00C15418"/>
    <w:rsid w:val="00C154B7"/>
    <w:rsid w:val="00C15828"/>
    <w:rsid w:val="00C15989"/>
    <w:rsid w:val="00C15AC1"/>
    <w:rsid w:val="00C15B0C"/>
    <w:rsid w:val="00C15BFC"/>
    <w:rsid w:val="00C15DC2"/>
    <w:rsid w:val="00C15E86"/>
    <w:rsid w:val="00C15E94"/>
    <w:rsid w:val="00C1600A"/>
    <w:rsid w:val="00C16049"/>
    <w:rsid w:val="00C1623F"/>
    <w:rsid w:val="00C16282"/>
    <w:rsid w:val="00C16350"/>
    <w:rsid w:val="00C164E0"/>
    <w:rsid w:val="00C16611"/>
    <w:rsid w:val="00C1698D"/>
    <w:rsid w:val="00C17123"/>
    <w:rsid w:val="00C1715A"/>
    <w:rsid w:val="00C171B2"/>
    <w:rsid w:val="00C17565"/>
    <w:rsid w:val="00C17611"/>
    <w:rsid w:val="00C177AF"/>
    <w:rsid w:val="00C177B6"/>
    <w:rsid w:val="00C1793B"/>
    <w:rsid w:val="00C179C4"/>
    <w:rsid w:val="00C17E6B"/>
    <w:rsid w:val="00C20125"/>
    <w:rsid w:val="00C203B4"/>
    <w:rsid w:val="00C2056A"/>
    <w:rsid w:val="00C207DB"/>
    <w:rsid w:val="00C20968"/>
    <w:rsid w:val="00C20A72"/>
    <w:rsid w:val="00C20AC4"/>
    <w:rsid w:val="00C20C8B"/>
    <w:rsid w:val="00C20DA6"/>
    <w:rsid w:val="00C2123A"/>
    <w:rsid w:val="00C2137A"/>
    <w:rsid w:val="00C213D3"/>
    <w:rsid w:val="00C2173F"/>
    <w:rsid w:val="00C21946"/>
    <w:rsid w:val="00C2196C"/>
    <w:rsid w:val="00C219C2"/>
    <w:rsid w:val="00C21C08"/>
    <w:rsid w:val="00C21C2C"/>
    <w:rsid w:val="00C21C88"/>
    <w:rsid w:val="00C21D83"/>
    <w:rsid w:val="00C222A6"/>
    <w:rsid w:val="00C224B4"/>
    <w:rsid w:val="00C2257F"/>
    <w:rsid w:val="00C22614"/>
    <w:rsid w:val="00C228D5"/>
    <w:rsid w:val="00C22919"/>
    <w:rsid w:val="00C22DE8"/>
    <w:rsid w:val="00C22FC1"/>
    <w:rsid w:val="00C23149"/>
    <w:rsid w:val="00C234F5"/>
    <w:rsid w:val="00C23552"/>
    <w:rsid w:val="00C23553"/>
    <w:rsid w:val="00C23670"/>
    <w:rsid w:val="00C239B3"/>
    <w:rsid w:val="00C239DD"/>
    <w:rsid w:val="00C23A2F"/>
    <w:rsid w:val="00C23D1E"/>
    <w:rsid w:val="00C23D4F"/>
    <w:rsid w:val="00C23DDC"/>
    <w:rsid w:val="00C23E0D"/>
    <w:rsid w:val="00C23F03"/>
    <w:rsid w:val="00C2468E"/>
    <w:rsid w:val="00C2478C"/>
    <w:rsid w:val="00C249D9"/>
    <w:rsid w:val="00C24AB0"/>
    <w:rsid w:val="00C24D41"/>
    <w:rsid w:val="00C2567E"/>
    <w:rsid w:val="00C2569C"/>
    <w:rsid w:val="00C25A11"/>
    <w:rsid w:val="00C25A81"/>
    <w:rsid w:val="00C25B45"/>
    <w:rsid w:val="00C25E16"/>
    <w:rsid w:val="00C25ECD"/>
    <w:rsid w:val="00C25F8C"/>
    <w:rsid w:val="00C26044"/>
    <w:rsid w:val="00C260BF"/>
    <w:rsid w:val="00C26209"/>
    <w:rsid w:val="00C26251"/>
    <w:rsid w:val="00C2631A"/>
    <w:rsid w:val="00C26475"/>
    <w:rsid w:val="00C265BA"/>
    <w:rsid w:val="00C26815"/>
    <w:rsid w:val="00C268FC"/>
    <w:rsid w:val="00C2699F"/>
    <w:rsid w:val="00C26DC9"/>
    <w:rsid w:val="00C26EED"/>
    <w:rsid w:val="00C26F19"/>
    <w:rsid w:val="00C271CA"/>
    <w:rsid w:val="00C272D6"/>
    <w:rsid w:val="00C274C7"/>
    <w:rsid w:val="00C27954"/>
    <w:rsid w:val="00C27A53"/>
    <w:rsid w:val="00C27A5D"/>
    <w:rsid w:val="00C27AC7"/>
    <w:rsid w:val="00C27AE5"/>
    <w:rsid w:val="00C3011F"/>
    <w:rsid w:val="00C302BE"/>
    <w:rsid w:val="00C304FE"/>
    <w:rsid w:val="00C30637"/>
    <w:rsid w:val="00C30856"/>
    <w:rsid w:val="00C308D9"/>
    <w:rsid w:val="00C30923"/>
    <w:rsid w:val="00C30CDA"/>
    <w:rsid w:val="00C30CF5"/>
    <w:rsid w:val="00C31668"/>
    <w:rsid w:val="00C3168F"/>
    <w:rsid w:val="00C31AA9"/>
    <w:rsid w:val="00C31B0F"/>
    <w:rsid w:val="00C31EB2"/>
    <w:rsid w:val="00C32211"/>
    <w:rsid w:val="00C3257F"/>
    <w:rsid w:val="00C32683"/>
    <w:rsid w:val="00C3280B"/>
    <w:rsid w:val="00C3299E"/>
    <w:rsid w:val="00C329C9"/>
    <w:rsid w:val="00C32D1A"/>
    <w:rsid w:val="00C32DAF"/>
    <w:rsid w:val="00C33051"/>
    <w:rsid w:val="00C33287"/>
    <w:rsid w:val="00C332B2"/>
    <w:rsid w:val="00C333EC"/>
    <w:rsid w:val="00C33502"/>
    <w:rsid w:val="00C33515"/>
    <w:rsid w:val="00C335AB"/>
    <w:rsid w:val="00C33806"/>
    <w:rsid w:val="00C339D5"/>
    <w:rsid w:val="00C33A53"/>
    <w:rsid w:val="00C33C03"/>
    <w:rsid w:val="00C33CBB"/>
    <w:rsid w:val="00C33D08"/>
    <w:rsid w:val="00C33F02"/>
    <w:rsid w:val="00C33FDD"/>
    <w:rsid w:val="00C3413B"/>
    <w:rsid w:val="00C3421B"/>
    <w:rsid w:val="00C346BD"/>
    <w:rsid w:val="00C3495C"/>
    <w:rsid w:val="00C34A58"/>
    <w:rsid w:val="00C34C03"/>
    <w:rsid w:val="00C34FBC"/>
    <w:rsid w:val="00C34FC7"/>
    <w:rsid w:val="00C3504F"/>
    <w:rsid w:val="00C35174"/>
    <w:rsid w:val="00C35196"/>
    <w:rsid w:val="00C353A7"/>
    <w:rsid w:val="00C353E3"/>
    <w:rsid w:val="00C35637"/>
    <w:rsid w:val="00C357BA"/>
    <w:rsid w:val="00C35BF4"/>
    <w:rsid w:val="00C35E31"/>
    <w:rsid w:val="00C35F39"/>
    <w:rsid w:val="00C36137"/>
    <w:rsid w:val="00C36656"/>
    <w:rsid w:val="00C36750"/>
    <w:rsid w:val="00C367BF"/>
    <w:rsid w:val="00C3685D"/>
    <w:rsid w:val="00C3698C"/>
    <w:rsid w:val="00C36A5F"/>
    <w:rsid w:val="00C36C62"/>
    <w:rsid w:val="00C36E4C"/>
    <w:rsid w:val="00C37179"/>
    <w:rsid w:val="00C37274"/>
    <w:rsid w:val="00C37560"/>
    <w:rsid w:val="00C37578"/>
    <w:rsid w:val="00C377B3"/>
    <w:rsid w:val="00C3788B"/>
    <w:rsid w:val="00C378D6"/>
    <w:rsid w:val="00C37C21"/>
    <w:rsid w:val="00C37C8A"/>
    <w:rsid w:val="00C37DE4"/>
    <w:rsid w:val="00C37EB1"/>
    <w:rsid w:val="00C37EBB"/>
    <w:rsid w:val="00C40134"/>
    <w:rsid w:val="00C401E2"/>
    <w:rsid w:val="00C404A4"/>
    <w:rsid w:val="00C40548"/>
    <w:rsid w:val="00C40602"/>
    <w:rsid w:val="00C4060D"/>
    <w:rsid w:val="00C40995"/>
    <w:rsid w:val="00C40E59"/>
    <w:rsid w:val="00C40EFB"/>
    <w:rsid w:val="00C41198"/>
    <w:rsid w:val="00C41500"/>
    <w:rsid w:val="00C4151B"/>
    <w:rsid w:val="00C41524"/>
    <w:rsid w:val="00C41698"/>
    <w:rsid w:val="00C417B6"/>
    <w:rsid w:val="00C41ACB"/>
    <w:rsid w:val="00C41B3E"/>
    <w:rsid w:val="00C41D68"/>
    <w:rsid w:val="00C41DE9"/>
    <w:rsid w:val="00C4201C"/>
    <w:rsid w:val="00C42167"/>
    <w:rsid w:val="00C42481"/>
    <w:rsid w:val="00C42767"/>
    <w:rsid w:val="00C427F5"/>
    <w:rsid w:val="00C42855"/>
    <w:rsid w:val="00C42BA7"/>
    <w:rsid w:val="00C42C87"/>
    <w:rsid w:val="00C42DF2"/>
    <w:rsid w:val="00C43000"/>
    <w:rsid w:val="00C436F4"/>
    <w:rsid w:val="00C438CC"/>
    <w:rsid w:val="00C43A34"/>
    <w:rsid w:val="00C43E33"/>
    <w:rsid w:val="00C443C8"/>
    <w:rsid w:val="00C44493"/>
    <w:rsid w:val="00C4462A"/>
    <w:rsid w:val="00C44648"/>
    <w:rsid w:val="00C44ACE"/>
    <w:rsid w:val="00C44C79"/>
    <w:rsid w:val="00C44E1E"/>
    <w:rsid w:val="00C4524A"/>
    <w:rsid w:val="00C45386"/>
    <w:rsid w:val="00C45421"/>
    <w:rsid w:val="00C45519"/>
    <w:rsid w:val="00C4551C"/>
    <w:rsid w:val="00C455DB"/>
    <w:rsid w:val="00C455F5"/>
    <w:rsid w:val="00C457CA"/>
    <w:rsid w:val="00C4594F"/>
    <w:rsid w:val="00C45AFB"/>
    <w:rsid w:val="00C45B95"/>
    <w:rsid w:val="00C45D5E"/>
    <w:rsid w:val="00C45E1D"/>
    <w:rsid w:val="00C45ECA"/>
    <w:rsid w:val="00C46082"/>
    <w:rsid w:val="00C461C4"/>
    <w:rsid w:val="00C46318"/>
    <w:rsid w:val="00C464CF"/>
    <w:rsid w:val="00C465BA"/>
    <w:rsid w:val="00C466C8"/>
    <w:rsid w:val="00C46C9D"/>
    <w:rsid w:val="00C46CF1"/>
    <w:rsid w:val="00C46F1B"/>
    <w:rsid w:val="00C472E9"/>
    <w:rsid w:val="00C47364"/>
    <w:rsid w:val="00C47422"/>
    <w:rsid w:val="00C4779D"/>
    <w:rsid w:val="00C4780D"/>
    <w:rsid w:val="00C47822"/>
    <w:rsid w:val="00C478EB"/>
    <w:rsid w:val="00C500BC"/>
    <w:rsid w:val="00C505D4"/>
    <w:rsid w:val="00C505F8"/>
    <w:rsid w:val="00C506BC"/>
    <w:rsid w:val="00C50D27"/>
    <w:rsid w:val="00C50DC9"/>
    <w:rsid w:val="00C50FDF"/>
    <w:rsid w:val="00C512D0"/>
    <w:rsid w:val="00C5184A"/>
    <w:rsid w:val="00C51CCC"/>
    <w:rsid w:val="00C51E33"/>
    <w:rsid w:val="00C51F80"/>
    <w:rsid w:val="00C5200F"/>
    <w:rsid w:val="00C5204F"/>
    <w:rsid w:val="00C52072"/>
    <w:rsid w:val="00C5236C"/>
    <w:rsid w:val="00C5249E"/>
    <w:rsid w:val="00C52819"/>
    <w:rsid w:val="00C529E4"/>
    <w:rsid w:val="00C52A3A"/>
    <w:rsid w:val="00C52BE8"/>
    <w:rsid w:val="00C52C6C"/>
    <w:rsid w:val="00C52CC2"/>
    <w:rsid w:val="00C52D3D"/>
    <w:rsid w:val="00C53106"/>
    <w:rsid w:val="00C53996"/>
    <w:rsid w:val="00C53A3A"/>
    <w:rsid w:val="00C53AD8"/>
    <w:rsid w:val="00C53C77"/>
    <w:rsid w:val="00C540B0"/>
    <w:rsid w:val="00C5411B"/>
    <w:rsid w:val="00C5413B"/>
    <w:rsid w:val="00C5415F"/>
    <w:rsid w:val="00C5416B"/>
    <w:rsid w:val="00C5470A"/>
    <w:rsid w:val="00C54D6E"/>
    <w:rsid w:val="00C54E34"/>
    <w:rsid w:val="00C54F3F"/>
    <w:rsid w:val="00C54F78"/>
    <w:rsid w:val="00C55193"/>
    <w:rsid w:val="00C552BE"/>
    <w:rsid w:val="00C5570C"/>
    <w:rsid w:val="00C5573C"/>
    <w:rsid w:val="00C5583E"/>
    <w:rsid w:val="00C55C1B"/>
    <w:rsid w:val="00C55DDF"/>
    <w:rsid w:val="00C56144"/>
    <w:rsid w:val="00C56315"/>
    <w:rsid w:val="00C56624"/>
    <w:rsid w:val="00C5697D"/>
    <w:rsid w:val="00C5698F"/>
    <w:rsid w:val="00C56BEF"/>
    <w:rsid w:val="00C5710D"/>
    <w:rsid w:val="00C571F2"/>
    <w:rsid w:val="00C5723E"/>
    <w:rsid w:val="00C577DA"/>
    <w:rsid w:val="00C57EE2"/>
    <w:rsid w:val="00C57F2B"/>
    <w:rsid w:val="00C600C8"/>
    <w:rsid w:val="00C600E1"/>
    <w:rsid w:val="00C601E0"/>
    <w:rsid w:val="00C60379"/>
    <w:rsid w:val="00C603BA"/>
    <w:rsid w:val="00C60462"/>
    <w:rsid w:val="00C6049F"/>
    <w:rsid w:val="00C6065A"/>
    <w:rsid w:val="00C60B1E"/>
    <w:rsid w:val="00C60D67"/>
    <w:rsid w:val="00C61042"/>
    <w:rsid w:val="00C611A1"/>
    <w:rsid w:val="00C6167D"/>
    <w:rsid w:val="00C616B3"/>
    <w:rsid w:val="00C6174D"/>
    <w:rsid w:val="00C617B4"/>
    <w:rsid w:val="00C619AB"/>
    <w:rsid w:val="00C61A0A"/>
    <w:rsid w:val="00C61A12"/>
    <w:rsid w:val="00C61A94"/>
    <w:rsid w:val="00C61C7A"/>
    <w:rsid w:val="00C61CEE"/>
    <w:rsid w:val="00C61F4A"/>
    <w:rsid w:val="00C6235B"/>
    <w:rsid w:val="00C624F4"/>
    <w:rsid w:val="00C628CE"/>
    <w:rsid w:val="00C62917"/>
    <w:rsid w:val="00C62B18"/>
    <w:rsid w:val="00C62B74"/>
    <w:rsid w:val="00C62B9B"/>
    <w:rsid w:val="00C62B9C"/>
    <w:rsid w:val="00C62BD1"/>
    <w:rsid w:val="00C62DA5"/>
    <w:rsid w:val="00C63154"/>
    <w:rsid w:val="00C6350B"/>
    <w:rsid w:val="00C63575"/>
    <w:rsid w:val="00C63750"/>
    <w:rsid w:val="00C6385E"/>
    <w:rsid w:val="00C6389B"/>
    <w:rsid w:val="00C63A61"/>
    <w:rsid w:val="00C63D34"/>
    <w:rsid w:val="00C64308"/>
    <w:rsid w:val="00C64336"/>
    <w:rsid w:val="00C6442C"/>
    <w:rsid w:val="00C64891"/>
    <w:rsid w:val="00C64949"/>
    <w:rsid w:val="00C64C7A"/>
    <w:rsid w:val="00C64C85"/>
    <w:rsid w:val="00C64D01"/>
    <w:rsid w:val="00C64D42"/>
    <w:rsid w:val="00C650BD"/>
    <w:rsid w:val="00C65518"/>
    <w:rsid w:val="00C65732"/>
    <w:rsid w:val="00C6587F"/>
    <w:rsid w:val="00C6591C"/>
    <w:rsid w:val="00C659EF"/>
    <w:rsid w:val="00C65AFF"/>
    <w:rsid w:val="00C65C9B"/>
    <w:rsid w:val="00C66093"/>
    <w:rsid w:val="00C665A4"/>
    <w:rsid w:val="00C66B71"/>
    <w:rsid w:val="00C66D57"/>
    <w:rsid w:val="00C6756E"/>
    <w:rsid w:val="00C67C1A"/>
    <w:rsid w:val="00C67CB3"/>
    <w:rsid w:val="00C67CDD"/>
    <w:rsid w:val="00C67D56"/>
    <w:rsid w:val="00C67E9F"/>
    <w:rsid w:val="00C702C6"/>
    <w:rsid w:val="00C7058F"/>
    <w:rsid w:val="00C706A4"/>
    <w:rsid w:val="00C709C0"/>
    <w:rsid w:val="00C70CD2"/>
    <w:rsid w:val="00C70D03"/>
    <w:rsid w:val="00C70D90"/>
    <w:rsid w:val="00C715BF"/>
    <w:rsid w:val="00C71983"/>
    <w:rsid w:val="00C71A46"/>
    <w:rsid w:val="00C71BE8"/>
    <w:rsid w:val="00C71C77"/>
    <w:rsid w:val="00C71EA4"/>
    <w:rsid w:val="00C71EF0"/>
    <w:rsid w:val="00C72162"/>
    <w:rsid w:val="00C72387"/>
    <w:rsid w:val="00C72D33"/>
    <w:rsid w:val="00C72D94"/>
    <w:rsid w:val="00C72F9F"/>
    <w:rsid w:val="00C73024"/>
    <w:rsid w:val="00C734B1"/>
    <w:rsid w:val="00C737B8"/>
    <w:rsid w:val="00C738B4"/>
    <w:rsid w:val="00C73977"/>
    <w:rsid w:val="00C739AB"/>
    <w:rsid w:val="00C739C2"/>
    <w:rsid w:val="00C73A53"/>
    <w:rsid w:val="00C73D5E"/>
    <w:rsid w:val="00C73F93"/>
    <w:rsid w:val="00C740CB"/>
    <w:rsid w:val="00C740DD"/>
    <w:rsid w:val="00C74413"/>
    <w:rsid w:val="00C747BB"/>
    <w:rsid w:val="00C74995"/>
    <w:rsid w:val="00C74C3C"/>
    <w:rsid w:val="00C74D99"/>
    <w:rsid w:val="00C74E67"/>
    <w:rsid w:val="00C74F5A"/>
    <w:rsid w:val="00C74FAB"/>
    <w:rsid w:val="00C7513C"/>
    <w:rsid w:val="00C75226"/>
    <w:rsid w:val="00C7523E"/>
    <w:rsid w:val="00C752D9"/>
    <w:rsid w:val="00C75513"/>
    <w:rsid w:val="00C757A9"/>
    <w:rsid w:val="00C75821"/>
    <w:rsid w:val="00C75882"/>
    <w:rsid w:val="00C75962"/>
    <w:rsid w:val="00C75A50"/>
    <w:rsid w:val="00C75DCB"/>
    <w:rsid w:val="00C760A2"/>
    <w:rsid w:val="00C764EA"/>
    <w:rsid w:val="00C765F5"/>
    <w:rsid w:val="00C76708"/>
    <w:rsid w:val="00C76BC1"/>
    <w:rsid w:val="00C76BEA"/>
    <w:rsid w:val="00C76F7D"/>
    <w:rsid w:val="00C77023"/>
    <w:rsid w:val="00C7749C"/>
    <w:rsid w:val="00C77513"/>
    <w:rsid w:val="00C779E2"/>
    <w:rsid w:val="00C77AD0"/>
    <w:rsid w:val="00C77C33"/>
    <w:rsid w:val="00C77DF3"/>
    <w:rsid w:val="00C77F6F"/>
    <w:rsid w:val="00C800DB"/>
    <w:rsid w:val="00C80115"/>
    <w:rsid w:val="00C80118"/>
    <w:rsid w:val="00C804DD"/>
    <w:rsid w:val="00C80547"/>
    <w:rsid w:val="00C80CD0"/>
    <w:rsid w:val="00C80F6D"/>
    <w:rsid w:val="00C8158C"/>
    <w:rsid w:val="00C81A70"/>
    <w:rsid w:val="00C81AF1"/>
    <w:rsid w:val="00C81B2B"/>
    <w:rsid w:val="00C81E82"/>
    <w:rsid w:val="00C81F74"/>
    <w:rsid w:val="00C8220B"/>
    <w:rsid w:val="00C82357"/>
    <w:rsid w:val="00C82451"/>
    <w:rsid w:val="00C828DD"/>
    <w:rsid w:val="00C828EC"/>
    <w:rsid w:val="00C82914"/>
    <w:rsid w:val="00C82A1E"/>
    <w:rsid w:val="00C82AB1"/>
    <w:rsid w:val="00C82B2F"/>
    <w:rsid w:val="00C82CA7"/>
    <w:rsid w:val="00C833D3"/>
    <w:rsid w:val="00C83446"/>
    <w:rsid w:val="00C836C3"/>
    <w:rsid w:val="00C83824"/>
    <w:rsid w:val="00C838AE"/>
    <w:rsid w:val="00C83A75"/>
    <w:rsid w:val="00C83C15"/>
    <w:rsid w:val="00C83C85"/>
    <w:rsid w:val="00C83EB5"/>
    <w:rsid w:val="00C84075"/>
    <w:rsid w:val="00C84350"/>
    <w:rsid w:val="00C84986"/>
    <w:rsid w:val="00C84C90"/>
    <w:rsid w:val="00C84EDD"/>
    <w:rsid w:val="00C84EFB"/>
    <w:rsid w:val="00C85105"/>
    <w:rsid w:val="00C8516E"/>
    <w:rsid w:val="00C85196"/>
    <w:rsid w:val="00C855E2"/>
    <w:rsid w:val="00C8576B"/>
    <w:rsid w:val="00C85CC8"/>
    <w:rsid w:val="00C85D45"/>
    <w:rsid w:val="00C8652C"/>
    <w:rsid w:val="00C8671F"/>
    <w:rsid w:val="00C8678D"/>
    <w:rsid w:val="00C86AF0"/>
    <w:rsid w:val="00C86E5C"/>
    <w:rsid w:val="00C86E7C"/>
    <w:rsid w:val="00C86E9E"/>
    <w:rsid w:val="00C86F46"/>
    <w:rsid w:val="00C87148"/>
    <w:rsid w:val="00C87446"/>
    <w:rsid w:val="00C876FA"/>
    <w:rsid w:val="00C87806"/>
    <w:rsid w:val="00C879A7"/>
    <w:rsid w:val="00C87BF2"/>
    <w:rsid w:val="00C87C66"/>
    <w:rsid w:val="00C90102"/>
    <w:rsid w:val="00C90324"/>
    <w:rsid w:val="00C903A2"/>
    <w:rsid w:val="00C903DF"/>
    <w:rsid w:val="00C90485"/>
    <w:rsid w:val="00C9056D"/>
    <w:rsid w:val="00C9061A"/>
    <w:rsid w:val="00C90BB3"/>
    <w:rsid w:val="00C90DEB"/>
    <w:rsid w:val="00C90FBB"/>
    <w:rsid w:val="00C9123B"/>
    <w:rsid w:val="00C919E3"/>
    <w:rsid w:val="00C91AF9"/>
    <w:rsid w:val="00C91BA2"/>
    <w:rsid w:val="00C91EB4"/>
    <w:rsid w:val="00C91FD1"/>
    <w:rsid w:val="00C92583"/>
    <w:rsid w:val="00C925B7"/>
    <w:rsid w:val="00C9277B"/>
    <w:rsid w:val="00C9286B"/>
    <w:rsid w:val="00C92A2A"/>
    <w:rsid w:val="00C92D39"/>
    <w:rsid w:val="00C92D4F"/>
    <w:rsid w:val="00C92E6D"/>
    <w:rsid w:val="00C931BF"/>
    <w:rsid w:val="00C9370E"/>
    <w:rsid w:val="00C939F2"/>
    <w:rsid w:val="00C94146"/>
    <w:rsid w:val="00C94272"/>
    <w:rsid w:val="00C9447F"/>
    <w:rsid w:val="00C94649"/>
    <w:rsid w:val="00C946FD"/>
    <w:rsid w:val="00C94740"/>
    <w:rsid w:val="00C94D6E"/>
    <w:rsid w:val="00C94E61"/>
    <w:rsid w:val="00C94F1D"/>
    <w:rsid w:val="00C95298"/>
    <w:rsid w:val="00C953DE"/>
    <w:rsid w:val="00C95C8F"/>
    <w:rsid w:val="00C95DB0"/>
    <w:rsid w:val="00C95F11"/>
    <w:rsid w:val="00C96762"/>
    <w:rsid w:val="00C967C4"/>
    <w:rsid w:val="00C96856"/>
    <w:rsid w:val="00C9698C"/>
    <w:rsid w:val="00C96C6F"/>
    <w:rsid w:val="00C96DE3"/>
    <w:rsid w:val="00C96E15"/>
    <w:rsid w:val="00C97411"/>
    <w:rsid w:val="00C974F0"/>
    <w:rsid w:val="00C97584"/>
    <w:rsid w:val="00C9776E"/>
    <w:rsid w:val="00C97868"/>
    <w:rsid w:val="00C978A1"/>
    <w:rsid w:val="00C9791B"/>
    <w:rsid w:val="00C979E0"/>
    <w:rsid w:val="00C97F2C"/>
    <w:rsid w:val="00CA026F"/>
    <w:rsid w:val="00CA030A"/>
    <w:rsid w:val="00CA0606"/>
    <w:rsid w:val="00CA074B"/>
    <w:rsid w:val="00CA076D"/>
    <w:rsid w:val="00CA09EC"/>
    <w:rsid w:val="00CA0B57"/>
    <w:rsid w:val="00CA10FF"/>
    <w:rsid w:val="00CA11EC"/>
    <w:rsid w:val="00CA12AF"/>
    <w:rsid w:val="00CA144E"/>
    <w:rsid w:val="00CA1497"/>
    <w:rsid w:val="00CA14DB"/>
    <w:rsid w:val="00CA18AD"/>
    <w:rsid w:val="00CA193E"/>
    <w:rsid w:val="00CA1964"/>
    <w:rsid w:val="00CA19F7"/>
    <w:rsid w:val="00CA1C77"/>
    <w:rsid w:val="00CA1D60"/>
    <w:rsid w:val="00CA2059"/>
    <w:rsid w:val="00CA20B1"/>
    <w:rsid w:val="00CA2407"/>
    <w:rsid w:val="00CA26EA"/>
    <w:rsid w:val="00CA27BC"/>
    <w:rsid w:val="00CA2A67"/>
    <w:rsid w:val="00CA2C3B"/>
    <w:rsid w:val="00CA304C"/>
    <w:rsid w:val="00CA306C"/>
    <w:rsid w:val="00CA307C"/>
    <w:rsid w:val="00CA32F8"/>
    <w:rsid w:val="00CA348F"/>
    <w:rsid w:val="00CA34C6"/>
    <w:rsid w:val="00CA389E"/>
    <w:rsid w:val="00CA417B"/>
    <w:rsid w:val="00CA42E8"/>
    <w:rsid w:val="00CA460F"/>
    <w:rsid w:val="00CA48A4"/>
    <w:rsid w:val="00CA4B18"/>
    <w:rsid w:val="00CA4C0E"/>
    <w:rsid w:val="00CA4FE8"/>
    <w:rsid w:val="00CA50DA"/>
    <w:rsid w:val="00CA55DA"/>
    <w:rsid w:val="00CA55EC"/>
    <w:rsid w:val="00CA55EE"/>
    <w:rsid w:val="00CA56EB"/>
    <w:rsid w:val="00CA59B7"/>
    <w:rsid w:val="00CA5B47"/>
    <w:rsid w:val="00CA5CEA"/>
    <w:rsid w:val="00CA5D97"/>
    <w:rsid w:val="00CA6110"/>
    <w:rsid w:val="00CA6276"/>
    <w:rsid w:val="00CA6A6B"/>
    <w:rsid w:val="00CA6A9E"/>
    <w:rsid w:val="00CA6ABA"/>
    <w:rsid w:val="00CA6ACE"/>
    <w:rsid w:val="00CA6CB6"/>
    <w:rsid w:val="00CA6D7A"/>
    <w:rsid w:val="00CA705D"/>
    <w:rsid w:val="00CA71ED"/>
    <w:rsid w:val="00CA722A"/>
    <w:rsid w:val="00CA72AB"/>
    <w:rsid w:val="00CA7386"/>
    <w:rsid w:val="00CA73FF"/>
    <w:rsid w:val="00CA7510"/>
    <w:rsid w:val="00CA758F"/>
    <w:rsid w:val="00CA78E0"/>
    <w:rsid w:val="00CA7960"/>
    <w:rsid w:val="00CA7D46"/>
    <w:rsid w:val="00CA7F5A"/>
    <w:rsid w:val="00CB003E"/>
    <w:rsid w:val="00CB007A"/>
    <w:rsid w:val="00CB0123"/>
    <w:rsid w:val="00CB01F5"/>
    <w:rsid w:val="00CB02CE"/>
    <w:rsid w:val="00CB0584"/>
    <w:rsid w:val="00CB0605"/>
    <w:rsid w:val="00CB074E"/>
    <w:rsid w:val="00CB084B"/>
    <w:rsid w:val="00CB0A4B"/>
    <w:rsid w:val="00CB0C45"/>
    <w:rsid w:val="00CB0E65"/>
    <w:rsid w:val="00CB10E3"/>
    <w:rsid w:val="00CB1163"/>
    <w:rsid w:val="00CB1212"/>
    <w:rsid w:val="00CB169F"/>
    <w:rsid w:val="00CB1EA2"/>
    <w:rsid w:val="00CB1F1F"/>
    <w:rsid w:val="00CB1F4A"/>
    <w:rsid w:val="00CB1FBC"/>
    <w:rsid w:val="00CB2063"/>
    <w:rsid w:val="00CB20D6"/>
    <w:rsid w:val="00CB218B"/>
    <w:rsid w:val="00CB2378"/>
    <w:rsid w:val="00CB25D1"/>
    <w:rsid w:val="00CB2924"/>
    <w:rsid w:val="00CB2A61"/>
    <w:rsid w:val="00CB31E8"/>
    <w:rsid w:val="00CB3342"/>
    <w:rsid w:val="00CB342D"/>
    <w:rsid w:val="00CB357F"/>
    <w:rsid w:val="00CB35F7"/>
    <w:rsid w:val="00CB36E5"/>
    <w:rsid w:val="00CB3A1F"/>
    <w:rsid w:val="00CB3A75"/>
    <w:rsid w:val="00CB3E09"/>
    <w:rsid w:val="00CB3EA7"/>
    <w:rsid w:val="00CB3FC8"/>
    <w:rsid w:val="00CB408A"/>
    <w:rsid w:val="00CB4115"/>
    <w:rsid w:val="00CB45E9"/>
    <w:rsid w:val="00CB4817"/>
    <w:rsid w:val="00CB49B3"/>
    <w:rsid w:val="00CB4A0A"/>
    <w:rsid w:val="00CB4A16"/>
    <w:rsid w:val="00CB4AF1"/>
    <w:rsid w:val="00CB4BE4"/>
    <w:rsid w:val="00CB4D3D"/>
    <w:rsid w:val="00CB4FF9"/>
    <w:rsid w:val="00CB5444"/>
    <w:rsid w:val="00CB5D04"/>
    <w:rsid w:val="00CB5DB5"/>
    <w:rsid w:val="00CB5EF2"/>
    <w:rsid w:val="00CB5FDB"/>
    <w:rsid w:val="00CB620C"/>
    <w:rsid w:val="00CB6262"/>
    <w:rsid w:val="00CB6302"/>
    <w:rsid w:val="00CB63FD"/>
    <w:rsid w:val="00CB67E0"/>
    <w:rsid w:val="00CB699D"/>
    <w:rsid w:val="00CB69E3"/>
    <w:rsid w:val="00CB6B1F"/>
    <w:rsid w:val="00CB6C1C"/>
    <w:rsid w:val="00CB6D68"/>
    <w:rsid w:val="00CB7642"/>
    <w:rsid w:val="00CB77B4"/>
    <w:rsid w:val="00CB79C3"/>
    <w:rsid w:val="00CB7D34"/>
    <w:rsid w:val="00CB7F3D"/>
    <w:rsid w:val="00CC0031"/>
    <w:rsid w:val="00CC029D"/>
    <w:rsid w:val="00CC02A2"/>
    <w:rsid w:val="00CC0380"/>
    <w:rsid w:val="00CC0422"/>
    <w:rsid w:val="00CC0478"/>
    <w:rsid w:val="00CC0888"/>
    <w:rsid w:val="00CC0A37"/>
    <w:rsid w:val="00CC0BBA"/>
    <w:rsid w:val="00CC0F16"/>
    <w:rsid w:val="00CC107E"/>
    <w:rsid w:val="00CC1391"/>
    <w:rsid w:val="00CC14D6"/>
    <w:rsid w:val="00CC158D"/>
    <w:rsid w:val="00CC1593"/>
    <w:rsid w:val="00CC16BC"/>
    <w:rsid w:val="00CC19B0"/>
    <w:rsid w:val="00CC1E44"/>
    <w:rsid w:val="00CC211B"/>
    <w:rsid w:val="00CC219B"/>
    <w:rsid w:val="00CC2465"/>
    <w:rsid w:val="00CC27CF"/>
    <w:rsid w:val="00CC2930"/>
    <w:rsid w:val="00CC2B2B"/>
    <w:rsid w:val="00CC2CD6"/>
    <w:rsid w:val="00CC2EDC"/>
    <w:rsid w:val="00CC318C"/>
    <w:rsid w:val="00CC3464"/>
    <w:rsid w:val="00CC3A57"/>
    <w:rsid w:val="00CC3D99"/>
    <w:rsid w:val="00CC3EEF"/>
    <w:rsid w:val="00CC3F6E"/>
    <w:rsid w:val="00CC4273"/>
    <w:rsid w:val="00CC427F"/>
    <w:rsid w:val="00CC4388"/>
    <w:rsid w:val="00CC44DE"/>
    <w:rsid w:val="00CC464B"/>
    <w:rsid w:val="00CC4D2E"/>
    <w:rsid w:val="00CC4E8F"/>
    <w:rsid w:val="00CC5DB8"/>
    <w:rsid w:val="00CC5DC2"/>
    <w:rsid w:val="00CC5F2E"/>
    <w:rsid w:val="00CC6050"/>
    <w:rsid w:val="00CC6303"/>
    <w:rsid w:val="00CC6388"/>
    <w:rsid w:val="00CC6CB7"/>
    <w:rsid w:val="00CC6DD3"/>
    <w:rsid w:val="00CC7130"/>
    <w:rsid w:val="00CC7630"/>
    <w:rsid w:val="00CC7A82"/>
    <w:rsid w:val="00CC7C1B"/>
    <w:rsid w:val="00CC7CB0"/>
    <w:rsid w:val="00CC7F86"/>
    <w:rsid w:val="00CC7FE2"/>
    <w:rsid w:val="00CD0206"/>
    <w:rsid w:val="00CD0303"/>
    <w:rsid w:val="00CD0B2A"/>
    <w:rsid w:val="00CD0C70"/>
    <w:rsid w:val="00CD0E35"/>
    <w:rsid w:val="00CD11B6"/>
    <w:rsid w:val="00CD1373"/>
    <w:rsid w:val="00CD169D"/>
    <w:rsid w:val="00CD1712"/>
    <w:rsid w:val="00CD190D"/>
    <w:rsid w:val="00CD1A2C"/>
    <w:rsid w:val="00CD1B24"/>
    <w:rsid w:val="00CD1B99"/>
    <w:rsid w:val="00CD1D0E"/>
    <w:rsid w:val="00CD1E19"/>
    <w:rsid w:val="00CD224E"/>
    <w:rsid w:val="00CD227C"/>
    <w:rsid w:val="00CD2464"/>
    <w:rsid w:val="00CD24B5"/>
    <w:rsid w:val="00CD276C"/>
    <w:rsid w:val="00CD28F5"/>
    <w:rsid w:val="00CD2991"/>
    <w:rsid w:val="00CD29C4"/>
    <w:rsid w:val="00CD2A11"/>
    <w:rsid w:val="00CD2ABA"/>
    <w:rsid w:val="00CD2B3D"/>
    <w:rsid w:val="00CD2DD2"/>
    <w:rsid w:val="00CD2E38"/>
    <w:rsid w:val="00CD2EAC"/>
    <w:rsid w:val="00CD2F6E"/>
    <w:rsid w:val="00CD30C2"/>
    <w:rsid w:val="00CD3648"/>
    <w:rsid w:val="00CD3C27"/>
    <w:rsid w:val="00CD3D92"/>
    <w:rsid w:val="00CD3EA6"/>
    <w:rsid w:val="00CD3F18"/>
    <w:rsid w:val="00CD3F65"/>
    <w:rsid w:val="00CD40FF"/>
    <w:rsid w:val="00CD41B9"/>
    <w:rsid w:val="00CD4297"/>
    <w:rsid w:val="00CD42DC"/>
    <w:rsid w:val="00CD4677"/>
    <w:rsid w:val="00CD4711"/>
    <w:rsid w:val="00CD4875"/>
    <w:rsid w:val="00CD494D"/>
    <w:rsid w:val="00CD4B86"/>
    <w:rsid w:val="00CD4BB5"/>
    <w:rsid w:val="00CD4C85"/>
    <w:rsid w:val="00CD4F8A"/>
    <w:rsid w:val="00CD5243"/>
    <w:rsid w:val="00CD52EA"/>
    <w:rsid w:val="00CD545C"/>
    <w:rsid w:val="00CD56D5"/>
    <w:rsid w:val="00CD594D"/>
    <w:rsid w:val="00CD5CF7"/>
    <w:rsid w:val="00CD5F4C"/>
    <w:rsid w:val="00CD6043"/>
    <w:rsid w:val="00CD6140"/>
    <w:rsid w:val="00CD6179"/>
    <w:rsid w:val="00CD61C1"/>
    <w:rsid w:val="00CD65AB"/>
    <w:rsid w:val="00CD65DF"/>
    <w:rsid w:val="00CD6960"/>
    <w:rsid w:val="00CD6A79"/>
    <w:rsid w:val="00CD6B66"/>
    <w:rsid w:val="00CD70E2"/>
    <w:rsid w:val="00CD7100"/>
    <w:rsid w:val="00CD73EE"/>
    <w:rsid w:val="00CD75DE"/>
    <w:rsid w:val="00CD762C"/>
    <w:rsid w:val="00CD7630"/>
    <w:rsid w:val="00CD7686"/>
    <w:rsid w:val="00CD7AE8"/>
    <w:rsid w:val="00CE0285"/>
    <w:rsid w:val="00CE033B"/>
    <w:rsid w:val="00CE03FC"/>
    <w:rsid w:val="00CE0608"/>
    <w:rsid w:val="00CE0718"/>
    <w:rsid w:val="00CE09DA"/>
    <w:rsid w:val="00CE0ADA"/>
    <w:rsid w:val="00CE0BFD"/>
    <w:rsid w:val="00CE0DAF"/>
    <w:rsid w:val="00CE1492"/>
    <w:rsid w:val="00CE15A0"/>
    <w:rsid w:val="00CE1B1D"/>
    <w:rsid w:val="00CE1C65"/>
    <w:rsid w:val="00CE209F"/>
    <w:rsid w:val="00CE2481"/>
    <w:rsid w:val="00CE252B"/>
    <w:rsid w:val="00CE27BE"/>
    <w:rsid w:val="00CE2B36"/>
    <w:rsid w:val="00CE2B9D"/>
    <w:rsid w:val="00CE2BD2"/>
    <w:rsid w:val="00CE2BD3"/>
    <w:rsid w:val="00CE2CC8"/>
    <w:rsid w:val="00CE2FF5"/>
    <w:rsid w:val="00CE31DA"/>
    <w:rsid w:val="00CE3233"/>
    <w:rsid w:val="00CE35D1"/>
    <w:rsid w:val="00CE38C7"/>
    <w:rsid w:val="00CE3931"/>
    <w:rsid w:val="00CE3B2F"/>
    <w:rsid w:val="00CE3CB1"/>
    <w:rsid w:val="00CE41DD"/>
    <w:rsid w:val="00CE4365"/>
    <w:rsid w:val="00CE4374"/>
    <w:rsid w:val="00CE4645"/>
    <w:rsid w:val="00CE47C8"/>
    <w:rsid w:val="00CE49C6"/>
    <w:rsid w:val="00CE4AAE"/>
    <w:rsid w:val="00CE4B66"/>
    <w:rsid w:val="00CE4B77"/>
    <w:rsid w:val="00CE5139"/>
    <w:rsid w:val="00CE51A2"/>
    <w:rsid w:val="00CE532D"/>
    <w:rsid w:val="00CE54E6"/>
    <w:rsid w:val="00CE5857"/>
    <w:rsid w:val="00CE5CCD"/>
    <w:rsid w:val="00CE5E34"/>
    <w:rsid w:val="00CE5F60"/>
    <w:rsid w:val="00CE62F2"/>
    <w:rsid w:val="00CE64E6"/>
    <w:rsid w:val="00CE6584"/>
    <w:rsid w:val="00CE6587"/>
    <w:rsid w:val="00CE66DD"/>
    <w:rsid w:val="00CE67FB"/>
    <w:rsid w:val="00CE6C46"/>
    <w:rsid w:val="00CE6E8C"/>
    <w:rsid w:val="00CE714E"/>
    <w:rsid w:val="00CE7655"/>
    <w:rsid w:val="00CE789E"/>
    <w:rsid w:val="00CE798E"/>
    <w:rsid w:val="00CE7F9A"/>
    <w:rsid w:val="00CF05F8"/>
    <w:rsid w:val="00CF0848"/>
    <w:rsid w:val="00CF0A45"/>
    <w:rsid w:val="00CF135B"/>
    <w:rsid w:val="00CF17EA"/>
    <w:rsid w:val="00CF182D"/>
    <w:rsid w:val="00CF190E"/>
    <w:rsid w:val="00CF1B44"/>
    <w:rsid w:val="00CF1E1E"/>
    <w:rsid w:val="00CF1F8A"/>
    <w:rsid w:val="00CF1F91"/>
    <w:rsid w:val="00CF2029"/>
    <w:rsid w:val="00CF2117"/>
    <w:rsid w:val="00CF23BA"/>
    <w:rsid w:val="00CF253E"/>
    <w:rsid w:val="00CF2567"/>
    <w:rsid w:val="00CF278A"/>
    <w:rsid w:val="00CF279B"/>
    <w:rsid w:val="00CF2A4A"/>
    <w:rsid w:val="00CF2D4D"/>
    <w:rsid w:val="00CF2E28"/>
    <w:rsid w:val="00CF3393"/>
    <w:rsid w:val="00CF33C8"/>
    <w:rsid w:val="00CF34DD"/>
    <w:rsid w:val="00CF359D"/>
    <w:rsid w:val="00CF385E"/>
    <w:rsid w:val="00CF398E"/>
    <w:rsid w:val="00CF3A51"/>
    <w:rsid w:val="00CF3AA2"/>
    <w:rsid w:val="00CF3AF2"/>
    <w:rsid w:val="00CF3BDA"/>
    <w:rsid w:val="00CF3C88"/>
    <w:rsid w:val="00CF3D6C"/>
    <w:rsid w:val="00CF3D81"/>
    <w:rsid w:val="00CF4049"/>
    <w:rsid w:val="00CF4081"/>
    <w:rsid w:val="00CF4416"/>
    <w:rsid w:val="00CF4611"/>
    <w:rsid w:val="00CF47BF"/>
    <w:rsid w:val="00CF4809"/>
    <w:rsid w:val="00CF49B2"/>
    <w:rsid w:val="00CF4B26"/>
    <w:rsid w:val="00CF4C00"/>
    <w:rsid w:val="00CF4E24"/>
    <w:rsid w:val="00CF4FF5"/>
    <w:rsid w:val="00CF5199"/>
    <w:rsid w:val="00CF5266"/>
    <w:rsid w:val="00CF555D"/>
    <w:rsid w:val="00CF5588"/>
    <w:rsid w:val="00CF5957"/>
    <w:rsid w:val="00CF5A33"/>
    <w:rsid w:val="00CF5B4C"/>
    <w:rsid w:val="00CF5C2A"/>
    <w:rsid w:val="00CF610A"/>
    <w:rsid w:val="00CF62D6"/>
    <w:rsid w:val="00CF6315"/>
    <w:rsid w:val="00CF63F9"/>
    <w:rsid w:val="00CF6891"/>
    <w:rsid w:val="00CF6A2E"/>
    <w:rsid w:val="00CF6DD9"/>
    <w:rsid w:val="00CF6E80"/>
    <w:rsid w:val="00CF709B"/>
    <w:rsid w:val="00CF73B6"/>
    <w:rsid w:val="00CF7650"/>
    <w:rsid w:val="00CF79B7"/>
    <w:rsid w:val="00CF7A46"/>
    <w:rsid w:val="00CF7C40"/>
    <w:rsid w:val="00CF7D38"/>
    <w:rsid w:val="00CF7EC3"/>
    <w:rsid w:val="00CF7FEF"/>
    <w:rsid w:val="00D00290"/>
    <w:rsid w:val="00D0060D"/>
    <w:rsid w:val="00D00648"/>
    <w:rsid w:val="00D0065C"/>
    <w:rsid w:val="00D007EF"/>
    <w:rsid w:val="00D00938"/>
    <w:rsid w:val="00D00D4B"/>
    <w:rsid w:val="00D00FC3"/>
    <w:rsid w:val="00D01054"/>
    <w:rsid w:val="00D01146"/>
    <w:rsid w:val="00D013EE"/>
    <w:rsid w:val="00D01643"/>
    <w:rsid w:val="00D0197F"/>
    <w:rsid w:val="00D01A8A"/>
    <w:rsid w:val="00D01CEE"/>
    <w:rsid w:val="00D01EA5"/>
    <w:rsid w:val="00D025C1"/>
    <w:rsid w:val="00D02FC5"/>
    <w:rsid w:val="00D031D1"/>
    <w:rsid w:val="00D0357E"/>
    <w:rsid w:val="00D035A1"/>
    <w:rsid w:val="00D038BB"/>
    <w:rsid w:val="00D03F47"/>
    <w:rsid w:val="00D0412E"/>
    <w:rsid w:val="00D04183"/>
    <w:rsid w:val="00D042DC"/>
    <w:rsid w:val="00D0439C"/>
    <w:rsid w:val="00D044DE"/>
    <w:rsid w:val="00D04885"/>
    <w:rsid w:val="00D04A2B"/>
    <w:rsid w:val="00D04B36"/>
    <w:rsid w:val="00D04D26"/>
    <w:rsid w:val="00D04D70"/>
    <w:rsid w:val="00D05633"/>
    <w:rsid w:val="00D0571C"/>
    <w:rsid w:val="00D05A57"/>
    <w:rsid w:val="00D05D72"/>
    <w:rsid w:val="00D05DC8"/>
    <w:rsid w:val="00D0633C"/>
    <w:rsid w:val="00D0643E"/>
    <w:rsid w:val="00D0657E"/>
    <w:rsid w:val="00D069CE"/>
    <w:rsid w:val="00D06F9D"/>
    <w:rsid w:val="00D07161"/>
    <w:rsid w:val="00D07276"/>
    <w:rsid w:val="00D072DF"/>
    <w:rsid w:val="00D07774"/>
    <w:rsid w:val="00D07920"/>
    <w:rsid w:val="00D10149"/>
    <w:rsid w:val="00D10322"/>
    <w:rsid w:val="00D105BF"/>
    <w:rsid w:val="00D10876"/>
    <w:rsid w:val="00D10C35"/>
    <w:rsid w:val="00D10CC9"/>
    <w:rsid w:val="00D10CF3"/>
    <w:rsid w:val="00D10EF2"/>
    <w:rsid w:val="00D11035"/>
    <w:rsid w:val="00D112FA"/>
    <w:rsid w:val="00D115CE"/>
    <w:rsid w:val="00D1187D"/>
    <w:rsid w:val="00D11958"/>
    <w:rsid w:val="00D119D5"/>
    <w:rsid w:val="00D11BEA"/>
    <w:rsid w:val="00D11CDC"/>
    <w:rsid w:val="00D11E66"/>
    <w:rsid w:val="00D124AA"/>
    <w:rsid w:val="00D129C4"/>
    <w:rsid w:val="00D12B47"/>
    <w:rsid w:val="00D1326E"/>
    <w:rsid w:val="00D13608"/>
    <w:rsid w:val="00D13882"/>
    <w:rsid w:val="00D1389F"/>
    <w:rsid w:val="00D13DED"/>
    <w:rsid w:val="00D13E75"/>
    <w:rsid w:val="00D13FC9"/>
    <w:rsid w:val="00D14417"/>
    <w:rsid w:val="00D145EB"/>
    <w:rsid w:val="00D148D6"/>
    <w:rsid w:val="00D14C74"/>
    <w:rsid w:val="00D14E1D"/>
    <w:rsid w:val="00D151BC"/>
    <w:rsid w:val="00D152D4"/>
    <w:rsid w:val="00D15368"/>
    <w:rsid w:val="00D1546D"/>
    <w:rsid w:val="00D154CD"/>
    <w:rsid w:val="00D15614"/>
    <w:rsid w:val="00D15C07"/>
    <w:rsid w:val="00D16039"/>
    <w:rsid w:val="00D16157"/>
    <w:rsid w:val="00D16216"/>
    <w:rsid w:val="00D16374"/>
    <w:rsid w:val="00D166AD"/>
    <w:rsid w:val="00D166C0"/>
    <w:rsid w:val="00D17087"/>
    <w:rsid w:val="00D17430"/>
    <w:rsid w:val="00D174EF"/>
    <w:rsid w:val="00D178E6"/>
    <w:rsid w:val="00D179F1"/>
    <w:rsid w:val="00D17A29"/>
    <w:rsid w:val="00D17F4D"/>
    <w:rsid w:val="00D17FF5"/>
    <w:rsid w:val="00D201C2"/>
    <w:rsid w:val="00D20255"/>
    <w:rsid w:val="00D20441"/>
    <w:rsid w:val="00D20589"/>
    <w:rsid w:val="00D20642"/>
    <w:rsid w:val="00D20DC4"/>
    <w:rsid w:val="00D21103"/>
    <w:rsid w:val="00D21161"/>
    <w:rsid w:val="00D211E7"/>
    <w:rsid w:val="00D2130A"/>
    <w:rsid w:val="00D214BD"/>
    <w:rsid w:val="00D21528"/>
    <w:rsid w:val="00D219D7"/>
    <w:rsid w:val="00D21B93"/>
    <w:rsid w:val="00D21BDE"/>
    <w:rsid w:val="00D21C95"/>
    <w:rsid w:val="00D21CA8"/>
    <w:rsid w:val="00D21DAA"/>
    <w:rsid w:val="00D22966"/>
    <w:rsid w:val="00D229DE"/>
    <w:rsid w:val="00D22E70"/>
    <w:rsid w:val="00D22FBA"/>
    <w:rsid w:val="00D231DF"/>
    <w:rsid w:val="00D23557"/>
    <w:rsid w:val="00D235AC"/>
    <w:rsid w:val="00D23926"/>
    <w:rsid w:val="00D23946"/>
    <w:rsid w:val="00D23A16"/>
    <w:rsid w:val="00D23C1D"/>
    <w:rsid w:val="00D240C9"/>
    <w:rsid w:val="00D2418D"/>
    <w:rsid w:val="00D24666"/>
    <w:rsid w:val="00D247B1"/>
    <w:rsid w:val="00D24953"/>
    <w:rsid w:val="00D24C4B"/>
    <w:rsid w:val="00D24C9C"/>
    <w:rsid w:val="00D24D73"/>
    <w:rsid w:val="00D24DD4"/>
    <w:rsid w:val="00D2534B"/>
    <w:rsid w:val="00D257E7"/>
    <w:rsid w:val="00D25904"/>
    <w:rsid w:val="00D259DD"/>
    <w:rsid w:val="00D25D5E"/>
    <w:rsid w:val="00D26516"/>
    <w:rsid w:val="00D2667B"/>
    <w:rsid w:val="00D266EC"/>
    <w:rsid w:val="00D26801"/>
    <w:rsid w:val="00D26853"/>
    <w:rsid w:val="00D26970"/>
    <w:rsid w:val="00D26AE5"/>
    <w:rsid w:val="00D26BA8"/>
    <w:rsid w:val="00D26CC7"/>
    <w:rsid w:val="00D26DCD"/>
    <w:rsid w:val="00D26EE3"/>
    <w:rsid w:val="00D2701A"/>
    <w:rsid w:val="00D27181"/>
    <w:rsid w:val="00D271B8"/>
    <w:rsid w:val="00D273C8"/>
    <w:rsid w:val="00D27424"/>
    <w:rsid w:val="00D274A8"/>
    <w:rsid w:val="00D27547"/>
    <w:rsid w:val="00D2767A"/>
    <w:rsid w:val="00D278AB"/>
    <w:rsid w:val="00D27F9B"/>
    <w:rsid w:val="00D30013"/>
    <w:rsid w:val="00D3002E"/>
    <w:rsid w:val="00D30262"/>
    <w:rsid w:val="00D305FF"/>
    <w:rsid w:val="00D3073A"/>
    <w:rsid w:val="00D308AA"/>
    <w:rsid w:val="00D308FB"/>
    <w:rsid w:val="00D31286"/>
    <w:rsid w:val="00D3128E"/>
    <w:rsid w:val="00D31621"/>
    <w:rsid w:val="00D31761"/>
    <w:rsid w:val="00D3194D"/>
    <w:rsid w:val="00D31DA0"/>
    <w:rsid w:val="00D31DA2"/>
    <w:rsid w:val="00D3202B"/>
    <w:rsid w:val="00D321F3"/>
    <w:rsid w:val="00D32664"/>
    <w:rsid w:val="00D32B4D"/>
    <w:rsid w:val="00D3328A"/>
    <w:rsid w:val="00D3339D"/>
    <w:rsid w:val="00D334CC"/>
    <w:rsid w:val="00D335AF"/>
    <w:rsid w:val="00D337C4"/>
    <w:rsid w:val="00D3397C"/>
    <w:rsid w:val="00D33A62"/>
    <w:rsid w:val="00D33A65"/>
    <w:rsid w:val="00D33CEF"/>
    <w:rsid w:val="00D33D21"/>
    <w:rsid w:val="00D341F6"/>
    <w:rsid w:val="00D3424E"/>
    <w:rsid w:val="00D3446A"/>
    <w:rsid w:val="00D3448C"/>
    <w:rsid w:val="00D34AEF"/>
    <w:rsid w:val="00D34CA7"/>
    <w:rsid w:val="00D34F93"/>
    <w:rsid w:val="00D350B4"/>
    <w:rsid w:val="00D3540C"/>
    <w:rsid w:val="00D35421"/>
    <w:rsid w:val="00D3551A"/>
    <w:rsid w:val="00D356E2"/>
    <w:rsid w:val="00D35790"/>
    <w:rsid w:val="00D3592E"/>
    <w:rsid w:val="00D362A8"/>
    <w:rsid w:val="00D366B7"/>
    <w:rsid w:val="00D366F6"/>
    <w:rsid w:val="00D36A12"/>
    <w:rsid w:val="00D36C14"/>
    <w:rsid w:val="00D36EAC"/>
    <w:rsid w:val="00D37086"/>
    <w:rsid w:val="00D3713D"/>
    <w:rsid w:val="00D37246"/>
    <w:rsid w:val="00D37470"/>
    <w:rsid w:val="00D374B2"/>
    <w:rsid w:val="00D374FD"/>
    <w:rsid w:val="00D377B5"/>
    <w:rsid w:val="00D37C7B"/>
    <w:rsid w:val="00D40579"/>
    <w:rsid w:val="00D405BC"/>
    <w:rsid w:val="00D409BE"/>
    <w:rsid w:val="00D40A90"/>
    <w:rsid w:val="00D40BBF"/>
    <w:rsid w:val="00D4114C"/>
    <w:rsid w:val="00D413A5"/>
    <w:rsid w:val="00D414BE"/>
    <w:rsid w:val="00D415CB"/>
    <w:rsid w:val="00D41711"/>
    <w:rsid w:val="00D417E9"/>
    <w:rsid w:val="00D41828"/>
    <w:rsid w:val="00D4184C"/>
    <w:rsid w:val="00D41A4E"/>
    <w:rsid w:val="00D41AE8"/>
    <w:rsid w:val="00D41B42"/>
    <w:rsid w:val="00D41DBE"/>
    <w:rsid w:val="00D4210D"/>
    <w:rsid w:val="00D42197"/>
    <w:rsid w:val="00D4234F"/>
    <w:rsid w:val="00D426F9"/>
    <w:rsid w:val="00D42829"/>
    <w:rsid w:val="00D42869"/>
    <w:rsid w:val="00D42C1F"/>
    <w:rsid w:val="00D42CF7"/>
    <w:rsid w:val="00D42F78"/>
    <w:rsid w:val="00D42F8B"/>
    <w:rsid w:val="00D4356F"/>
    <w:rsid w:val="00D43842"/>
    <w:rsid w:val="00D438D1"/>
    <w:rsid w:val="00D43971"/>
    <w:rsid w:val="00D43DAF"/>
    <w:rsid w:val="00D43EA3"/>
    <w:rsid w:val="00D4409E"/>
    <w:rsid w:val="00D443AF"/>
    <w:rsid w:val="00D448B1"/>
    <w:rsid w:val="00D449A9"/>
    <w:rsid w:val="00D44C05"/>
    <w:rsid w:val="00D44C13"/>
    <w:rsid w:val="00D45583"/>
    <w:rsid w:val="00D45631"/>
    <w:rsid w:val="00D45922"/>
    <w:rsid w:val="00D4592B"/>
    <w:rsid w:val="00D46062"/>
    <w:rsid w:val="00D4606A"/>
    <w:rsid w:val="00D468DC"/>
    <w:rsid w:val="00D46933"/>
    <w:rsid w:val="00D469F5"/>
    <w:rsid w:val="00D46AE1"/>
    <w:rsid w:val="00D46C6F"/>
    <w:rsid w:val="00D46D17"/>
    <w:rsid w:val="00D46ECE"/>
    <w:rsid w:val="00D474AA"/>
    <w:rsid w:val="00D475F7"/>
    <w:rsid w:val="00D47D1E"/>
    <w:rsid w:val="00D47E99"/>
    <w:rsid w:val="00D502B9"/>
    <w:rsid w:val="00D50365"/>
    <w:rsid w:val="00D50631"/>
    <w:rsid w:val="00D5074F"/>
    <w:rsid w:val="00D50A16"/>
    <w:rsid w:val="00D50B50"/>
    <w:rsid w:val="00D50BD2"/>
    <w:rsid w:val="00D50DAA"/>
    <w:rsid w:val="00D50F1F"/>
    <w:rsid w:val="00D512F9"/>
    <w:rsid w:val="00D517C0"/>
    <w:rsid w:val="00D517E3"/>
    <w:rsid w:val="00D51832"/>
    <w:rsid w:val="00D51909"/>
    <w:rsid w:val="00D51A11"/>
    <w:rsid w:val="00D51DE7"/>
    <w:rsid w:val="00D51E78"/>
    <w:rsid w:val="00D51EC7"/>
    <w:rsid w:val="00D51EF9"/>
    <w:rsid w:val="00D51EFD"/>
    <w:rsid w:val="00D521B0"/>
    <w:rsid w:val="00D523A8"/>
    <w:rsid w:val="00D52839"/>
    <w:rsid w:val="00D5289A"/>
    <w:rsid w:val="00D528BB"/>
    <w:rsid w:val="00D52917"/>
    <w:rsid w:val="00D529DF"/>
    <w:rsid w:val="00D52E48"/>
    <w:rsid w:val="00D52ED5"/>
    <w:rsid w:val="00D52F55"/>
    <w:rsid w:val="00D53386"/>
    <w:rsid w:val="00D5355F"/>
    <w:rsid w:val="00D54191"/>
    <w:rsid w:val="00D5433E"/>
    <w:rsid w:val="00D543B6"/>
    <w:rsid w:val="00D5477D"/>
    <w:rsid w:val="00D5482F"/>
    <w:rsid w:val="00D5484F"/>
    <w:rsid w:val="00D553CC"/>
    <w:rsid w:val="00D556FC"/>
    <w:rsid w:val="00D55786"/>
    <w:rsid w:val="00D55883"/>
    <w:rsid w:val="00D55BAF"/>
    <w:rsid w:val="00D55E44"/>
    <w:rsid w:val="00D55E78"/>
    <w:rsid w:val="00D55ED6"/>
    <w:rsid w:val="00D55FA6"/>
    <w:rsid w:val="00D5602E"/>
    <w:rsid w:val="00D56199"/>
    <w:rsid w:val="00D5619C"/>
    <w:rsid w:val="00D56219"/>
    <w:rsid w:val="00D56284"/>
    <w:rsid w:val="00D56390"/>
    <w:rsid w:val="00D56635"/>
    <w:rsid w:val="00D5679E"/>
    <w:rsid w:val="00D567B2"/>
    <w:rsid w:val="00D56E3D"/>
    <w:rsid w:val="00D56FA0"/>
    <w:rsid w:val="00D571F2"/>
    <w:rsid w:val="00D57515"/>
    <w:rsid w:val="00D5792E"/>
    <w:rsid w:val="00D57E55"/>
    <w:rsid w:val="00D57ED2"/>
    <w:rsid w:val="00D57F3B"/>
    <w:rsid w:val="00D600CF"/>
    <w:rsid w:val="00D6046A"/>
    <w:rsid w:val="00D604F9"/>
    <w:rsid w:val="00D60837"/>
    <w:rsid w:val="00D60892"/>
    <w:rsid w:val="00D60BD7"/>
    <w:rsid w:val="00D60C11"/>
    <w:rsid w:val="00D60C1D"/>
    <w:rsid w:val="00D61115"/>
    <w:rsid w:val="00D613B5"/>
    <w:rsid w:val="00D61600"/>
    <w:rsid w:val="00D61945"/>
    <w:rsid w:val="00D61C46"/>
    <w:rsid w:val="00D61EF4"/>
    <w:rsid w:val="00D62270"/>
    <w:rsid w:val="00D626AD"/>
    <w:rsid w:val="00D627B9"/>
    <w:rsid w:val="00D62CB3"/>
    <w:rsid w:val="00D62DAA"/>
    <w:rsid w:val="00D62E90"/>
    <w:rsid w:val="00D6305A"/>
    <w:rsid w:val="00D6310F"/>
    <w:rsid w:val="00D63ACE"/>
    <w:rsid w:val="00D63B36"/>
    <w:rsid w:val="00D63EEF"/>
    <w:rsid w:val="00D63F52"/>
    <w:rsid w:val="00D640B1"/>
    <w:rsid w:val="00D641A9"/>
    <w:rsid w:val="00D642AB"/>
    <w:rsid w:val="00D64358"/>
    <w:rsid w:val="00D64704"/>
    <w:rsid w:val="00D649CC"/>
    <w:rsid w:val="00D64C4D"/>
    <w:rsid w:val="00D64DC4"/>
    <w:rsid w:val="00D65029"/>
    <w:rsid w:val="00D6541E"/>
    <w:rsid w:val="00D65510"/>
    <w:rsid w:val="00D658AB"/>
    <w:rsid w:val="00D661BB"/>
    <w:rsid w:val="00D661BE"/>
    <w:rsid w:val="00D6629C"/>
    <w:rsid w:val="00D662C8"/>
    <w:rsid w:val="00D6648F"/>
    <w:rsid w:val="00D66547"/>
    <w:rsid w:val="00D665F2"/>
    <w:rsid w:val="00D66679"/>
    <w:rsid w:val="00D6677E"/>
    <w:rsid w:val="00D668B3"/>
    <w:rsid w:val="00D66A5D"/>
    <w:rsid w:val="00D67084"/>
    <w:rsid w:val="00D673F1"/>
    <w:rsid w:val="00D67690"/>
    <w:rsid w:val="00D67698"/>
    <w:rsid w:val="00D7005C"/>
    <w:rsid w:val="00D700BF"/>
    <w:rsid w:val="00D702B0"/>
    <w:rsid w:val="00D70398"/>
    <w:rsid w:val="00D703FB"/>
    <w:rsid w:val="00D7057A"/>
    <w:rsid w:val="00D70780"/>
    <w:rsid w:val="00D70912"/>
    <w:rsid w:val="00D70B16"/>
    <w:rsid w:val="00D70B25"/>
    <w:rsid w:val="00D70D9C"/>
    <w:rsid w:val="00D71069"/>
    <w:rsid w:val="00D710A2"/>
    <w:rsid w:val="00D71787"/>
    <w:rsid w:val="00D717B8"/>
    <w:rsid w:val="00D718B9"/>
    <w:rsid w:val="00D71A02"/>
    <w:rsid w:val="00D71A09"/>
    <w:rsid w:val="00D71A10"/>
    <w:rsid w:val="00D71AD3"/>
    <w:rsid w:val="00D71CF1"/>
    <w:rsid w:val="00D71DF8"/>
    <w:rsid w:val="00D71E4B"/>
    <w:rsid w:val="00D71ED4"/>
    <w:rsid w:val="00D72007"/>
    <w:rsid w:val="00D72348"/>
    <w:rsid w:val="00D724F6"/>
    <w:rsid w:val="00D725C9"/>
    <w:rsid w:val="00D725EE"/>
    <w:rsid w:val="00D72E03"/>
    <w:rsid w:val="00D72E3C"/>
    <w:rsid w:val="00D72EC6"/>
    <w:rsid w:val="00D72F12"/>
    <w:rsid w:val="00D72F9E"/>
    <w:rsid w:val="00D73173"/>
    <w:rsid w:val="00D731BB"/>
    <w:rsid w:val="00D733E5"/>
    <w:rsid w:val="00D736BF"/>
    <w:rsid w:val="00D737EB"/>
    <w:rsid w:val="00D73942"/>
    <w:rsid w:val="00D73999"/>
    <w:rsid w:val="00D739E8"/>
    <w:rsid w:val="00D73A07"/>
    <w:rsid w:val="00D73CDF"/>
    <w:rsid w:val="00D73F7E"/>
    <w:rsid w:val="00D74010"/>
    <w:rsid w:val="00D740BA"/>
    <w:rsid w:val="00D74183"/>
    <w:rsid w:val="00D7454C"/>
    <w:rsid w:val="00D74946"/>
    <w:rsid w:val="00D74A13"/>
    <w:rsid w:val="00D74A7C"/>
    <w:rsid w:val="00D74D85"/>
    <w:rsid w:val="00D74D9E"/>
    <w:rsid w:val="00D74F7C"/>
    <w:rsid w:val="00D74FAF"/>
    <w:rsid w:val="00D752E8"/>
    <w:rsid w:val="00D75329"/>
    <w:rsid w:val="00D753B0"/>
    <w:rsid w:val="00D755FB"/>
    <w:rsid w:val="00D7560A"/>
    <w:rsid w:val="00D75745"/>
    <w:rsid w:val="00D757D4"/>
    <w:rsid w:val="00D758E4"/>
    <w:rsid w:val="00D758EB"/>
    <w:rsid w:val="00D75989"/>
    <w:rsid w:val="00D759C2"/>
    <w:rsid w:val="00D75A38"/>
    <w:rsid w:val="00D75F89"/>
    <w:rsid w:val="00D75FFB"/>
    <w:rsid w:val="00D76059"/>
    <w:rsid w:val="00D76571"/>
    <w:rsid w:val="00D76A62"/>
    <w:rsid w:val="00D76C41"/>
    <w:rsid w:val="00D76E4A"/>
    <w:rsid w:val="00D76E66"/>
    <w:rsid w:val="00D76F3B"/>
    <w:rsid w:val="00D77063"/>
    <w:rsid w:val="00D7721E"/>
    <w:rsid w:val="00D773F7"/>
    <w:rsid w:val="00D7752F"/>
    <w:rsid w:val="00D776C2"/>
    <w:rsid w:val="00D776D7"/>
    <w:rsid w:val="00D77802"/>
    <w:rsid w:val="00D778FB"/>
    <w:rsid w:val="00D77C3B"/>
    <w:rsid w:val="00D77E9B"/>
    <w:rsid w:val="00D801B6"/>
    <w:rsid w:val="00D80377"/>
    <w:rsid w:val="00D805C9"/>
    <w:rsid w:val="00D80D00"/>
    <w:rsid w:val="00D80DE6"/>
    <w:rsid w:val="00D8122F"/>
    <w:rsid w:val="00D81435"/>
    <w:rsid w:val="00D81471"/>
    <w:rsid w:val="00D814C3"/>
    <w:rsid w:val="00D817BA"/>
    <w:rsid w:val="00D81869"/>
    <w:rsid w:val="00D81A1D"/>
    <w:rsid w:val="00D81E3E"/>
    <w:rsid w:val="00D81F54"/>
    <w:rsid w:val="00D820B5"/>
    <w:rsid w:val="00D82426"/>
    <w:rsid w:val="00D8267C"/>
    <w:rsid w:val="00D8275B"/>
    <w:rsid w:val="00D82C3B"/>
    <w:rsid w:val="00D82DC9"/>
    <w:rsid w:val="00D82DD8"/>
    <w:rsid w:val="00D83441"/>
    <w:rsid w:val="00D8353C"/>
    <w:rsid w:val="00D83635"/>
    <w:rsid w:val="00D83844"/>
    <w:rsid w:val="00D83ABC"/>
    <w:rsid w:val="00D83CED"/>
    <w:rsid w:val="00D83FD1"/>
    <w:rsid w:val="00D842BA"/>
    <w:rsid w:val="00D84549"/>
    <w:rsid w:val="00D84760"/>
    <w:rsid w:val="00D848CA"/>
    <w:rsid w:val="00D84CCE"/>
    <w:rsid w:val="00D84D15"/>
    <w:rsid w:val="00D84D4A"/>
    <w:rsid w:val="00D8546E"/>
    <w:rsid w:val="00D85507"/>
    <w:rsid w:val="00D85751"/>
    <w:rsid w:val="00D85903"/>
    <w:rsid w:val="00D85D83"/>
    <w:rsid w:val="00D85F58"/>
    <w:rsid w:val="00D85FA9"/>
    <w:rsid w:val="00D85FEE"/>
    <w:rsid w:val="00D860A8"/>
    <w:rsid w:val="00D8624B"/>
    <w:rsid w:val="00D8648E"/>
    <w:rsid w:val="00D866DA"/>
    <w:rsid w:val="00D867F1"/>
    <w:rsid w:val="00D868C7"/>
    <w:rsid w:val="00D86AFE"/>
    <w:rsid w:val="00D87070"/>
    <w:rsid w:val="00D87090"/>
    <w:rsid w:val="00D8746D"/>
    <w:rsid w:val="00D875B3"/>
    <w:rsid w:val="00D877B1"/>
    <w:rsid w:val="00D87B9C"/>
    <w:rsid w:val="00D90146"/>
    <w:rsid w:val="00D9026A"/>
    <w:rsid w:val="00D904E1"/>
    <w:rsid w:val="00D9056B"/>
    <w:rsid w:val="00D905CD"/>
    <w:rsid w:val="00D906BC"/>
    <w:rsid w:val="00D908F3"/>
    <w:rsid w:val="00D9095E"/>
    <w:rsid w:val="00D90B65"/>
    <w:rsid w:val="00D90C88"/>
    <w:rsid w:val="00D910AC"/>
    <w:rsid w:val="00D918D0"/>
    <w:rsid w:val="00D9190B"/>
    <w:rsid w:val="00D91947"/>
    <w:rsid w:val="00D91993"/>
    <w:rsid w:val="00D91AC4"/>
    <w:rsid w:val="00D91B03"/>
    <w:rsid w:val="00D91B9D"/>
    <w:rsid w:val="00D91BBE"/>
    <w:rsid w:val="00D91DF4"/>
    <w:rsid w:val="00D91EBF"/>
    <w:rsid w:val="00D921AB"/>
    <w:rsid w:val="00D921F5"/>
    <w:rsid w:val="00D92506"/>
    <w:rsid w:val="00D9283F"/>
    <w:rsid w:val="00D92885"/>
    <w:rsid w:val="00D928CD"/>
    <w:rsid w:val="00D92932"/>
    <w:rsid w:val="00D92C3F"/>
    <w:rsid w:val="00D92CA5"/>
    <w:rsid w:val="00D92CDC"/>
    <w:rsid w:val="00D92F3D"/>
    <w:rsid w:val="00D92F9A"/>
    <w:rsid w:val="00D92FBA"/>
    <w:rsid w:val="00D9338C"/>
    <w:rsid w:val="00D93827"/>
    <w:rsid w:val="00D93B35"/>
    <w:rsid w:val="00D93F6E"/>
    <w:rsid w:val="00D941BA"/>
    <w:rsid w:val="00D94467"/>
    <w:rsid w:val="00D94699"/>
    <w:rsid w:val="00D94BB6"/>
    <w:rsid w:val="00D94C64"/>
    <w:rsid w:val="00D95266"/>
    <w:rsid w:val="00D95350"/>
    <w:rsid w:val="00D956D6"/>
    <w:rsid w:val="00D958FA"/>
    <w:rsid w:val="00D959E0"/>
    <w:rsid w:val="00D95B9F"/>
    <w:rsid w:val="00D963CB"/>
    <w:rsid w:val="00D964C9"/>
    <w:rsid w:val="00D967E4"/>
    <w:rsid w:val="00D96923"/>
    <w:rsid w:val="00D96BDC"/>
    <w:rsid w:val="00D96F16"/>
    <w:rsid w:val="00D96FE8"/>
    <w:rsid w:val="00D97318"/>
    <w:rsid w:val="00D9734F"/>
    <w:rsid w:val="00D97783"/>
    <w:rsid w:val="00D97A10"/>
    <w:rsid w:val="00D97AB1"/>
    <w:rsid w:val="00DA0013"/>
    <w:rsid w:val="00DA01CF"/>
    <w:rsid w:val="00DA022E"/>
    <w:rsid w:val="00DA023D"/>
    <w:rsid w:val="00DA0373"/>
    <w:rsid w:val="00DA086B"/>
    <w:rsid w:val="00DA0A2C"/>
    <w:rsid w:val="00DA0A4D"/>
    <w:rsid w:val="00DA0B00"/>
    <w:rsid w:val="00DA0C90"/>
    <w:rsid w:val="00DA155B"/>
    <w:rsid w:val="00DA1640"/>
    <w:rsid w:val="00DA171C"/>
    <w:rsid w:val="00DA17B3"/>
    <w:rsid w:val="00DA1856"/>
    <w:rsid w:val="00DA1932"/>
    <w:rsid w:val="00DA19FD"/>
    <w:rsid w:val="00DA1B0A"/>
    <w:rsid w:val="00DA1B64"/>
    <w:rsid w:val="00DA1E7E"/>
    <w:rsid w:val="00DA1F35"/>
    <w:rsid w:val="00DA2416"/>
    <w:rsid w:val="00DA2A31"/>
    <w:rsid w:val="00DA2BB7"/>
    <w:rsid w:val="00DA2D39"/>
    <w:rsid w:val="00DA2D5E"/>
    <w:rsid w:val="00DA2ED0"/>
    <w:rsid w:val="00DA3094"/>
    <w:rsid w:val="00DA3264"/>
    <w:rsid w:val="00DA32F6"/>
    <w:rsid w:val="00DA339F"/>
    <w:rsid w:val="00DA38AA"/>
    <w:rsid w:val="00DA3997"/>
    <w:rsid w:val="00DA3D34"/>
    <w:rsid w:val="00DA3E44"/>
    <w:rsid w:val="00DA3FC1"/>
    <w:rsid w:val="00DA409B"/>
    <w:rsid w:val="00DA42DD"/>
    <w:rsid w:val="00DA4435"/>
    <w:rsid w:val="00DA473A"/>
    <w:rsid w:val="00DA498A"/>
    <w:rsid w:val="00DA49C1"/>
    <w:rsid w:val="00DA4AEB"/>
    <w:rsid w:val="00DA4BFF"/>
    <w:rsid w:val="00DA4C41"/>
    <w:rsid w:val="00DA4F05"/>
    <w:rsid w:val="00DA4F5D"/>
    <w:rsid w:val="00DA5124"/>
    <w:rsid w:val="00DA5126"/>
    <w:rsid w:val="00DA5150"/>
    <w:rsid w:val="00DA5250"/>
    <w:rsid w:val="00DA5470"/>
    <w:rsid w:val="00DA586B"/>
    <w:rsid w:val="00DA58EE"/>
    <w:rsid w:val="00DA59C1"/>
    <w:rsid w:val="00DA5B7E"/>
    <w:rsid w:val="00DA5EAF"/>
    <w:rsid w:val="00DA5F4D"/>
    <w:rsid w:val="00DA6577"/>
    <w:rsid w:val="00DA6772"/>
    <w:rsid w:val="00DA6B67"/>
    <w:rsid w:val="00DA6CB2"/>
    <w:rsid w:val="00DA6FB4"/>
    <w:rsid w:val="00DA7020"/>
    <w:rsid w:val="00DA7159"/>
    <w:rsid w:val="00DA7325"/>
    <w:rsid w:val="00DA75A4"/>
    <w:rsid w:val="00DA7846"/>
    <w:rsid w:val="00DA7976"/>
    <w:rsid w:val="00DA79F9"/>
    <w:rsid w:val="00DA7AE5"/>
    <w:rsid w:val="00DA7B4F"/>
    <w:rsid w:val="00DA7EB8"/>
    <w:rsid w:val="00DA7EC8"/>
    <w:rsid w:val="00DB00DD"/>
    <w:rsid w:val="00DB0634"/>
    <w:rsid w:val="00DB09A2"/>
    <w:rsid w:val="00DB0A19"/>
    <w:rsid w:val="00DB0CB2"/>
    <w:rsid w:val="00DB1163"/>
    <w:rsid w:val="00DB1683"/>
    <w:rsid w:val="00DB16A4"/>
    <w:rsid w:val="00DB1788"/>
    <w:rsid w:val="00DB195D"/>
    <w:rsid w:val="00DB1DB4"/>
    <w:rsid w:val="00DB1F48"/>
    <w:rsid w:val="00DB21A9"/>
    <w:rsid w:val="00DB2480"/>
    <w:rsid w:val="00DB254E"/>
    <w:rsid w:val="00DB2574"/>
    <w:rsid w:val="00DB2B8A"/>
    <w:rsid w:val="00DB2BC9"/>
    <w:rsid w:val="00DB2C16"/>
    <w:rsid w:val="00DB2C18"/>
    <w:rsid w:val="00DB2D8D"/>
    <w:rsid w:val="00DB2F65"/>
    <w:rsid w:val="00DB332D"/>
    <w:rsid w:val="00DB3440"/>
    <w:rsid w:val="00DB3939"/>
    <w:rsid w:val="00DB398B"/>
    <w:rsid w:val="00DB399C"/>
    <w:rsid w:val="00DB3D2C"/>
    <w:rsid w:val="00DB3D5D"/>
    <w:rsid w:val="00DB3E87"/>
    <w:rsid w:val="00DB3EBC"/>
    <w:rsid w:val="00DB4029"/>
    <w:rsid w:val="00DB404A"/>
    <w:rsid w:val="00DB40F1"/>
    <w:rsid w:val="00DB40F8"/>
    <w:rsid w:val="00DB4245"/>
    <w:rsid w:val="00DB4360"/>
    <w:rsid w:val="00DB44FC"/>
    <w:rsid w:val="00DB47FC"/>
    <w:rsid w:val="00DB4829"/>
    <w:rsid w:val="00DB48B9"/>
    <w:rsid w:val="00DB49CC"/>
    <w:rsid w:val="00DB4BD7"/>
    <w:rsid w:val="00DB4BF0"/>
    <w:rsid w:val="00DB532E"/>
    <w:rsid w:val="00DB54D8"/>
    <w:rsid w:val="00DB57F2"/>
    <w:rsid w:val="00DB5897"/>
    <w:rsid w:val="00DB5BFD"/>
    <w:rsid w:val="00DB5C05"/>
    <w:rsid w:val="00DB5C38"/>
    <w:rsid w:val="00DB5DA8"/>
    <w:rsid w:val="00DB5DF1"/>
    <w:rsid w:val="00DB620A"/>
    <w:rsid w:val="00DB621B"/>
    <w:rsid w:val="00DB6601"/>
    <w:rsid w:val="00DB6720"/>
    <w:rsid w:val="00DB680D"/>
    <w:rsid w:val="00DB6930"/>
    <w:rsid w:val="00DB6BA2"/>
    <w:rsid w:val="00DB6CE2"/>
    <w:rsid w:val="00DB6D22"/>
    <w:rsid w:val="00DB6F3D"/>
    <w:rsid w:val="00DB722E"/>
    <w:rsid w:val="00DB73B7"/>
    <w:rsid w:val="00DB79AF"/>
    <w:rsid w:val="00DB79E4"/>
    <w:rsid w:val="00DB79ED"/>
    <w:rsid w:val="00DC0052"/>
    <w:rsid w:val="00DC0167"/>
    <w:rsid w:val="00DC0263"/>
    <w:rsid w:val="00DC05AA"/>
    <w:rsid w:val="00DC0A9B"/>
    <w:rsid w:val="00DC0BAA"/>
    <w:rsid w:val="00DC0C25"/>
    <w:rsid w:val="00DC0C2B"/>
    <w:rsid w:val="00DC0D19"/>
    <w:rsid w:val="00DC0F50"/>
    <w:rsid w:val="00DC1255"/>
    <w:rsid w:val="00DC1D99"/>
    <w:rsid w:val="00DC1DC6"/>
    <w:rsid w:val="00DC211D"/>
    <w:rsid w:val="00DC2A65"/>
    <w:rsid w:val="00DC2C38"/>
    <w:rsid w:val="00DC2DE3"/>
    <w:rsid w:val="00DC2E57"/>
    <w:rsid w:val="00DC3274"/>
    <w:rsid w:val="00DC3382"/>
    <w:rsid w:val="00DC3394"/>
    <w:rsid w:val="00DC348A"/>
    <w:rsid w:val="00DC382C"/>
    <w:rsid w:val="00DC3B35"/>
    <w:rsid w:val="00DC3B4C"/>
    <w:rsid w:val="00DC3B7F"/>
    <w:rsid w:val="00DC3C8E"/>
    <w:rsid w:val="00DC3D64"/>
    <w:rsid w:val="00DC4410"/>
    <w:rsid w:val="00DC47BD"/>
    <w:rsid w:val="00DC4AD7"/>
    <w:rsid w:val="00DC4D4F"/>
    <w:rsid w:val="00DC4E1A"/>
    <w:rsid w:val="00DC52B3"/>
    <w:rsid w:val="00DC555E"/>
    <w:rsid w:val="00DC56D1"/>
    <w:rsid w:val="00DC5748"/>
    <w:rsid w:val="00DC57A5"/>
    <w:rsid w:val="00DC591F"/>
    <w:rsid w:val="00DC5D02"/>
    <w:rsid w:val="00DC5D15"/>
    <w:rsid w:val="00DC5D54"/>
    <w:rsid w:val="00DC5DFB"/>
    <w:rsid w:val="00DC5E28"/>
    <w:rsid w:val="00DC5EEE"/>
    <w:rsid w:val="00DC638B"/>
    <w:rsid w:val="00DC6449"/>
    <w:rsid w:val="00DC6658"/>
    <w:rsid w:val="00DC66A1"/>
    <w:rsid w:val="00DC6700"/>
    <w:rsid w:val="00DC6817"/>
    <w:rsid w:val="00DC6882"/>
    <w:rsid w:val="00DC69AE"/>
    <w:rsid w:val="00DC6B9B"/>
    <w:rsid w:val="00DC7217"/>
    <w:rsid w:val="00DC733F"/>
    <w:rsid w:val="00DC73C8"/>
    <w:rsid w:val="00DC7767"/>
    <w:rsid w:val="00DC7886"/>
    <w:rsid w:val="00DC7A0B"/>
    <w:rsid w:val="00DC7BAB"/>
    <w:rsid w:val="00DC7BF8"/>
    <w:rsid w:val="00DD033C"/>
    <w:rsid w:val="00DD0458"/>
    <w:rsid w:val="00DD0B01"/>
    <w:rsid w:val="00DD0DD4"/>
    <w:rsid w:val="00DD105B"/>
    <w:rsid w:val="00DD12E0"/>
    <w:rsid w:val="00DD12F3"/>
    <w:rsid w:val="00DD1462"/>
    <w:rsid w:val="00DD14D7"/>
    <w:rsid w:val="00DD1B16"/>
    <w:rsid w:val="00DD1B3F"/>
    <w:rsid w:val="00DD1F7B"/>
    <w:rsid w:val="00DD2365"/>
    <w:rsid w:val="00DD248B"/>
    <w:rsid w:val="00DD24BE"/>
    <w:rsid w:val="00DD25D3"/>
    <w:rsid w:val="00DD29D8"/>
    <w:rsid w:val="00DD2C99"/>
    <w:rsid w:val="00DD2D43"/>
    <w:rsid w:val="00DD2D5A"/>
    <w:rsid w:val="00DD2ECA"/>
    <w:rsid w:val="00DD2FBD"/>
    <w:rsid w:val="00DD30F6"/>
    <w:rsid w:val="00DD324F"/>
    <w:rsid w:val="00DD33B5"/>
    <w:rsid w:val="00DD38A8"/>
    <w:rsid w:val="00DD3AFF"/>
    <w:rsid w:val="00DD3BAE"/>
    <w:rsid w:val="00DD3E2D"/>
    <w:rsid w:val="00DD417C"/>
    <w:rsid w:val="00DD42B3"/>
    <w:rsid w:val="00DD4436"/>
    <w:rsid w:val="00DD4607"/>
    <w:rsid w:val="00DD4646"/>
    <w:rsid w:val="00DD46CA"/>
    <w:rsid w:val="00DD477C"/>
    <w:rsid w:val="00DD4A48"/>
    <w:rsid w:val="00DD4C1E"/>
    <w:rsid w:val="00DD4CB7"/>
    <w:rsid w:val="00DD4CF5"/>
    <w:rsid w:val="00DD4DF4"/>
    <w:rsid w:val="00DD4F94"/>
    <w:rsid w:val="00DD538F"/>
    <w:rsid w:val="00DD5636"/>
    <w:rsid w:val="00DD5660"/>
    <w:rsid w:val="00DD587F"/>
    <w:rsid w:val="00DD5891"/>
    <w:rsid w:val="00DD58AB"/>
    <w:rsid w:val="00DD5A65"/>
    <w:rsid w:val="00DD5B19"/>
    <w:rsid w:val="00DD5B1C"/>
    <w:rsid w:val="00DD5B79"/>
    <w:rsid w:val="00DD5D1A"/>
    <w:rsid w:val="00DD5D46"/>
    <w:rsid w:val="00DD5F48"/>
    <w:rsid w:val="00DD6125"/>
    <w:rsid w:val="00DD6167"/>
    <w:rsid w:val="00DD62EF"/>
    <w:rsid w:val="00DD634E"/>
    <w:rsid w:val="00DD667E"/>
    <w:rsid w:val="00DD66A2"/>
    <w:rsid w:val="00DD6775"/>
    <w:rsid w:val="00DD6C0B"/>
    <w:rsid w:val="00DD6EAF"/>
    <w:rsid w:val="00DD70F1"/>
    <w:rsid w:val="00DD7186"/>
    <w:rsid w:val="00DD7292"/>
    <w:rsid w:val="00DD75D1"/>
    <w:rsid w:val="00DD76C3"/>
    <w:rsid w:val="00DD7778"/>
    <w:rsid w:val="00DD7828"/>
    <w:rsid w:val="00DD7A95"/>
    <w:rsid w:val="00DD7AA0"/>
    <w:rsid w:val="00DD7B00"/>
    <w:rsid w:val="00DD7BB0"/>
    <w:rsid w:val="00DD7D85"/>
    <w:rsid w:val="00DD7EFA"/>
    <w:rsid w:val="00DE03D0"/>
    <w:rsid w:val="00DE04C1"/>
    <w:rsid w:val="00DE05B8"/>
    <w:rsid w:val="00DE0935"/>
    <w:rsid w:val="00DE0A5C"/>
    <w:rsid w:val="00DE0BD7"/>
    <w:rsid w:val="00DE1001"/>
    <w:rsid w:val="00DE1165"/>
    <w:rsid w:val="00DE1264"/>
    <w:rsid w:val="00DE1383"/>
    <w:rsid w:val="00DE13B1"/>
    <w:rsid w:val="00DE1680"/>
    <w:rsid w:val="00DE193E"/>
    <w:rsid w:val="00DE1FF1"/>
    <w:rsid w:val="00DE20C2"/>
    <w:rsid w:val="00DE2259"/>
    <w:rsid w:val="00DE2541"/>
    <w:rsid w:val="00DE25B2"/>
    <w:rsid w:val="00DE2689"/>
    <w:rsid w:val="00DE278C"/>
    <w:rsid w:val="00DE2BCF"/>
    <w:rsid w:val="00DE2F79"/>
    <w:rsid w:val="00DE3185"/>
    <w:rsid w:val="00DE3224"/>
    <w:rsid w:val="00DE3356"/>
    <w:rsid w:val="00DE34DD"/>
    <w:rsid w:val="00DE355C"/>
    <w:rsid w:val="00DE356D"/>
    <w:rsid w:val="00DE39DF"/>
    <w:rsid w:val="00DE39ED"/>
    <w:rsid w:val="00DE3EC7"/>
    <w:rsid w:val="00DE414D"/>
    <w:rsid w:val="00DE422A"/>
    <w:rsid w:val="00DE4857"/>
    <w:rsid w:val="00DE4B97"/>
    <w:rsid w:val="00DE4FE5"/>
    <w:rsid w:val="00DE5024"/>
    <w:rsid w:val="00DE557A"/>
    <w:rsid w:val="00DE58E0"/>
    <w:rsid w:val="00DE5971"/>
    <w:rsid w:val="00DE59D9"/>
    <w:rsid w:val="00DE5E1D"/>
    <w:rsid w:val="00DE65AB"/>
    <w:rsid w:val="00DE679C"/>
    <w:rsid w:val="00DE6B71"/>
    <w:rsid w:val="00DE6BA1"/>
    <w:rsid w:val="00DE6CBE"/>
    <w:rsid w:val="00DE6DA5"/>
    <w:rsid w:val="00DE6F8B"/>
    <w:rsid w:val="00DE7006"/>
    <w:rsid w:val="00DE7171"/>
    <w:rsid w:val="00DE737C"/>
    <w:rsid w:val="00DE7447"/>
    <w:rsid w:val="00DE7486"/>
    <w:rsid w:val="00DF019E"/>
    <w:rsid w:val="00DF01A9"/>
    <w:rsid w:val="00DF01E1"/>
    <w:rsid w:val="00DF03C5"/>
    <w:rsid w:val="00DF0581"/>
    <w:rsid w:val="00DF07E6"/>
    <w:rsid w:val="00DF092C"/>
    <w:rsid w:val="00DF0B3F"/>
    <w:rsid w:val="00DF0B89"/>
    <w:rsid w:val="00DF0C2F"/>
    <w:rsid w:val="00DF0D42"/>
    <w:rsid w:val="00DF11BD"/>
    <w:rsid w:val="00DF1289"/>
    <w:rsid w:val="00DF1AB1"/>
    <w:rsid w:val="00DF1ADC"/>
    <w:rsid w:val="00DF22A1"/>
    <w:rsid w:val="00DF2937"/>
    <w:rsid w:val="00DF2C80"/>
    <w:rsid w:val="00DF2CD7"/>
    <w:rsid w:val="00DF2D33"/>
    <w:rsid w:val="00DF2D43"/>
    <w:rsid w:val="00DF2E64"/>
    <w:rsid w:val="00DF32D5"/>
    <w:rsid w:val="00DF3697"/>
    <w:rsid w:val="00DF3890"/>
    <w:rsid w:val="00DF38C0"/>
    <w:rsid w:val="00DF3A53"/>
    <w:rsid w:val="00DF3BBA"/>
    <w:rsid w:val="00DF3C73"/>
    <w:rsid w:val="00DF3E7A"/>
    <w:rsid w:val="00DF3FF8"/>
    <w:rsid w:val="00DF423E"/>
    <w:rsid w:val="00DF43B2"/>
    <w:rsid w:val="00DF4607"/>
    <w:rsid w:val="00DF484B"/>
    <w:rsid w:val="00DF4EEE"/>
    <w:rsid w:val="00DF4F34"/>
    <w:rsid w:val="00DF506E"/>
    <w:rsid w:val="00DF51FD"/>
    <w:rsid w:val="00DF530D"/>
    <w:rsid w:val="00DF53E0"/>
    <w:rsid w:val="00DF5509"/>
    <w:rsid w:val="00DF5756"/>
    <w:rsid w:val="00DF5900"/>
    <w:rsid w:val="00DF5967"/>
    <w:rsid w:val="00DF598E"/>
    <w:rsid w:val="00DF59A8"/>
    <w:rsid w:val="00DF59FA"/>
    <w:rsid w:val="00DF5A00"/>
    <w:rsid w:val="00DF5A53"/>
    <w:rsid w:val="00DF5B64"/>
    <w:rsid w:val="00DF5C3D"/>
    <w:rsid w:val="00DF60C8"/>
    <w:rsid w:val="00DF63F2"/>
    <w:rsid w:val="00DF64FD"/>
    <w:rsid w:val="00DF6EC2"/>
    <w:rsid w:val="00DF7296"/>
    <w:rsid w:val="00DF72A1"/>
    <w:rsid w:val="00DF72D5"/>
    <w:rsid w:val="00DF739E"/>
    <w:rsid w:val="00DF7A1F"/>
    <w:rsid w:val="00DF7A78"/>
    <w:rsid w:val="00DF7E82"/>
    <w:rsid w:val="00E007E6"/>
    <w:rsid w:val="00E00947"/>
    <w:rsid w:val="00E00CF8"/>
    <w:rsid w:val="00E00F73"/>
    <w:rsid w:val="00E0113E"/>
    <w:rsid w:val="00E01343"/>
    <w:rsid w:val="00E014C6"/>
    <w:rsid w:val="00E01AAA"/>
    <w:rsid w:val="00E01B12"/>
    <w:rsid w:val="00E01D92"/>
    <w:rsid w:val="00E01E14"/>
    <w:rsid w:val="00E01F32"/>
    <w:rsid w:val="00E01F65"/>
    <w:rsid w:val="00E020AE"/>
    <w:rsid w:val="00E0218D"/>
    <w:rsid w:val="00E023C3"/>
    <w:rsid w:val="00E02732"/>
    <w:rsid w:val="00E028C1"/>
    <w:rsid w:val="00E03216"/>
    <w:rsid w:val="00E0327F"/>
    <w:rsid w:val="00E0330A"/>
    <w:rsid w:val="00E0348B"/>
    <w:rsid w:val="00E0351C"/>
    <w:rsid w:val="00E03731"/>
    <w:rsid w:val="00E038A1"/>
    <w:rsid w:val="00E03932"/>
    <w:rsid w:val="00E039A2"/>
    <w:rsid w:val="00E03EF2"/>
    <w:rsid w:val="00E04497"/>
    <w:rsid w:val="00E049B8"/>
    <w:rsid w:val="00E049FA"/>
    <w:rsid w:val="00E04B58"/>
    <w:rsid w:val="00E04D38"/>
    <w:rsid w:val="00E04EE4"/>
    <w:rsid w:val="00E04F41"/>
    <w:rsid w:val="00E050F7"/>
    <w:rsid w:val="00E05113"/>
    <w:rsid w:val="00E051E9"/>
    <w:rsid w:val="00E05220"/>
    <w:rsid w:val="00E05D21"/>
    <w:rsid w:val="00E05D9D"/>
    <w:rsid w:val="00E05E75"/>
    <w:rsid w:val="00E05FE0"/>
    <w:rsid w:val="00E06008"/>
    <w:rsid w:val="00E060C2"/>
    <w:rsid w:val="00E062A2"/>
    <w:rsid w:val="00E06581"/>
    <w:rsid w:val="00E069FB"/>
    <w:rsid w:val="00E06C3E"/>
    <w:rsid w:val="00E06C56"/>
    <w:rsid w:val="00E06C95"/>
    <w:rsid w:val="00E06D16"/>
    <w:rsid w:val="00E072EF"/>
    <w:rsid w:val="00E07305"/>
    <w:rsid w:val="00E0742B"/>
    <w:rsid w:val="00E07649"/>
    <w:rsid w:val="00E079AD"/>
    <w:rsid w:val="00E07A1C"/>
    <w:rsid w:val="00E07C1D"/>
    <w:rsid w:val="00E07DF7"/>
    <w:rsid w:val="00E10464"/>
    <w:rsid w:val="00E10535"/>
    <w:rsid w:val="00E1059F"/>
    <w:rsid w:val="00E107A0"/>
    <w:rsid w:val="00E10975"/>
    <w:rsid w:val="00E10AF0"/>
    <w:rsid w:val="00E10BE3"/>
    <w:rsid w:val="00E10D90"/>
    <w:rsid w:val="00E10DE7"/>
    <w:rsid w:val="00E10EAF"/>
    <w:rsid w:val="00E10F1A"/>
    <w:rsid w:val="00E1108B"/>
    <w:rsid w:val="00E11173"/>
    <w:rsid w:val="00E117D9"/>
    <w:rsid w:val="00E11C43"/>
    <w:rsid w:val="00E11CFC"/>
    <w:rsid w:val="00E12295"/>
    <w:rsid w:val="00E125F4"/>
    <w:rsid w:val="00E128D0"/>
    <w:rsid w:val="00E12A0D"/>
    <w:rsid w:val="00E12B2E"/>
    <w:rsid w:val="00E12D61"/>
    <w:rsid w:val="00E12D64"/>
    <w:rsid w:val="00E12EDD"/>
    <w:rsid w:val="00E12FE0"/>
    <w:rsid w:val="00E13087"/>
    <w:rsid w:val="00E13743"/>
    <w:rsid w:val="00E137F6"/>
    <w:rsid w:val="00E13841"/>
    <w:rsid w:val="00E13890"/>
    <w:rsid w:val="00E138F6"/>
    <w:rsid w:val="00E13D3F"/>
    <w:rsid w:val="00E13F41"/>
    <w:rsid w:val="00E1480B"/>
    <w:rsid w:val="00E1498D"/>
    <w:rsid w:val="00E14DB9"/>
    <w:rsid w:val="00E154B5"/>
    <w:rsid w:val="00E15985"/>
    <w:rsid w:val="00E1598E"/>
    <w:rsid w:val="00E15D26"/>
    <w:rsid w:val="00E15D75"/>
    <w:rsid w:val="00E15D7F"/>
    <w:rsid w:val="00E15DEE"/>
    <w:rsid w:val="00E15E4C"/>
    <w:rsid w:val="00E16024"/>
    <w:rsid w:val="00E1620C"/>
    <w:rsid w:val="00E162CE"/>
    <w:rsid w:val="00E16375"/>
    <w:rsid w:val="00E163F7"/>
    <w:rsid w:val="00E164A7"/>
    <w:rsid w:val="00E16D8B"/>
    <w:rsid w:val="00E16DE5"/>
    <w:rsid w:val="00E172C0"/>
    <w:rsid w:val="00E17470"/>
    <w:rsid w:val="00E17661"/>
    <w:rsid w:val="00E176E5"/>
    <w:rsid w:val="00E17A45"/>
    <w:rsid w:val="00E17BC8"/>
    <w:rsid w:val="00E17BE5"/>
    <w:rsid w:val="00E17CF1"/>
    <w:rsid w:val="00E20061"/>
    <w:rsid w:val="00E200CE"/>
    <w:rsid w:val="00E201D5"/>
    <w:rsid w:val="00E2032E"/>
    <w:rsid w:val="00E20560"/>
    <w:rsid w:val="00E2089E"/>
    <w:rsid w:val="00E208DE"/>
    <w:rsid w:val="00E20A8B"/>
    <w:rsid w:val="00E20AF1"/>
    <w:rsid w:val="00E20C9F"/>
    <w:rsid w:val="00E20D02"/>
    <w:rsid w:val="00E20EFB"/>
    <w:rsid w:val="00E211DB"/>
    <w:rsid w:val="00E2120E"/>
    <w:rsid w:val="00E214B3"/>
    <w:rsid w:val="00E2157C"/>
    <w:rsid w:val="00E216C6"/>
    <w:rsid w:val="00E21B07"/>
    <w:rsid w:val="00E21D70"/>
    <w:rsid w:val="00E220A3"/>
    <w:rsid w:val="00E220FE"/>
    <w:rsid w:val="00E221D2"/>
    <w:rsid w:val="00E224D3"/>
    <w:rsid w:val="00E226DF"/>
    <w:rsid w:val="00E2272F"/>
    <w:rsid w:val="00E2276E"/>
    <w:rsid w:val="00E227E2"/>
    <w:rsid w:val="00E22815"/>
    <w:rsid w:val="00E228DD"/>
    <w:rsid w:val="00E22A4B"/>
    <w:rsid w:val="00E22D63"/>
    <w:rsid w:val="00E22F15"/>
    <w:rsid w:val="00E231DB"/>
    <w:rsid w:val="00E233D8"/>
    <w:rsid w:val="00E238F3"/>
    <w:rsid w:val="00E23F7E"/>
    <w:rsid w:val="00E24095"/>
    <w:rsid w:val="00E24125"/>
    <w:rsid w:val="00E2432E"/>
    <w:rsid w:val="00E243EB"/>
    <w:rsid w:val="00E24500"/>
    <w:rsid w:val="00E2460F"/>
    <w:rsid w:val="00E24833"/>
    <w:rsid w:val="00E24A4C"/>
    <w:rsid w:val="00E24BD2"/>
    <w:rsid w:val="00E24C2F"/>
    <w:rsid w:val="00E24E62"/>
    <w:rsid w:val="00E2512C"/>
    <w:rsid w:val="00E252D7"/>
    <w:rsid w:val="00E256C4"/>
    <w:rsid w:val="00E25BC1"/>
    <w:rsid w:val="00E25F59"/>
    <w:rsid w:val="00E262F5"/>
    <w:rsid w:val="00E26302"/>
    <w:rsid w:val="00E26528"/>
    <w:rsid w:val="00E26630"/>
    <w:rsid w:val="00E26BEF"/>
    <w:rsid w:val="00E26FFD"/>
    <w:rsid w:val="00E27404"/>
    <w:rsid w:val="00E2740B"/>
    <w:rsid w:val="00E2744F"/>
    <w:rsid w:val="00E2761F"/>
    <w:rsid w:val="00E27771"/>
    <w:rsid w:val="00E27BFB"/>
    <w:rsid w:val="00E30168"/>
    <w:rsid w:val="00E30451"/>
    <w:rsid w:val="00E30522"/>
    <w:rsid w:val="00E3062D"/>
    <w:rsid w:val="00E308B3"/>
    <w:rsid w:val="00E3095E"/>
    <w:rsid w:val="00E30C01"/>
    <w:rsid w:val="00E30EFE"/>
    <w:rsid w:val="00E310E9"/>
    <w:rsid w:val="00E310FA"/>
    <w:rsid w:val="00E31115"/>
    <w:rsid w:val="00E312E2"/>
    <w:rsid w:val="00E31375"/>
    <w:rsid w:val="00E31376"/>
    <w:rsid w:val="00E313A1"/>
    <w:rsid w:val="00E31512"/>
    <w:rsid w:val="00E3190E"/>
    <w:rsid w:val="00E319A1"/>
    <w:rsid w:val="00E31DBB"/>
    <w:rsid w:val="00E321F5"/>
    <w:rsid w:val="00E3222A"/>
    <w:rsid w:val="00E322A4"/>
    <w:rsid w:val="00E323CF"/>
    <w:rsid w:val="00E323D9"/>
    <w:rsid w:val="00E32458"/>
    <w:rsid w:val="00E32474"/>
    <w:rsid w:val="00E32548"/>
    <w:rsid w:val="00E3263C"/>
    <w:rsid w:val="00E328D2"/>
    <w:rsid w:val="00E32A9F"/>
    <w:rsid w:val="00E32C84"/>
    <w:rsid w:val="00E32F3B"/>
    <w:rsid w:val="00E33151"/>
    <w:rsid w:val="00E33263"/>
    <w:rsid w:val="00E33738"/>
    <w:rsid w:val="00E33879"/>
    <w:rsid w:val="00E33A0B"/>
    <w:rsid w:val="00E33CE7"/>
    <w:rsid w:val="00E33E3B"/>
    <w:rsid w:val="00E340DC"/>
    <w:rsid w:val="00E3411A"/>
    <w:rsid w:val="00E34B8E"/>
    <w:rsid w:val="00E34D56"/>
    <w:rsid w:val="00E34D9B"/>
    <w:rsid w:val="00E34E4E"/>
    <w:rsid w:val="00E34F9D"/>
    <w:rsid w:val="00E35170"/>
    <w:rsid w:val="00E35334"/>
    <w:rsid w:val="00E35362"/>
    <w:rsid w:val="00E353A3"/>
    <w:rsid w:val="00E3540B"/>
    <w:rsid w:val="00E3581A"/>
    <w:rsid w:val="00E358E3"/>
    <w:rsid w:val="00E3593B"/>
    <w:rsid w:val="00E35B3C"/>
    <w:rsid w:val="00E36058"/>
    <w:rsid w:val="00E36101"/>
    <w:rsid w:val="00E361C8"/>
    <w:rsid w:val="00E36250"/>
    <w:rsid w:val="00E3628D"/>
    <w:rsid w:val="00E36383"/>
    <w:rsid w:val="00E363F0"/>
    <w:rsid w:val="00E36534"/>
    <w:rsid w:val="00E36B26"/>
    <w:rsid w:val="00E36DB7"/>
    <w:rsid w:val="00E371B5"/>
    <w:rsid w:val="00E37201"/>
    <w:rsid w:val="00E37408"/>
    <w:rsid w:val="00E374E2"/>
    <w:rsid w:val="00E37582"/>
    <w:rsid w:val="00E375E8"/>
    <w:rsid w:val="00E37696"/>
    <w:rsid w:val="00E376AE"/>
    <w:rsid w:val="00E3780D"/>
    <w:rsid w:val="00E37865"/>
    <w:rsid w:val="00E37869"/>
    <w:rsid w:val="00E379FB"/>
    <w:rsid w:val="00E37C93"/>
    <w:rsid w:val="00E40132"/>
    <w:rsid w:val="00E402EA"/>
    <w:rsid w:val="00E40363"/>
    <w:rsid w:val="00E403B6"/>
    <w:rsid w:val="00E404BA"/>
    <w:rsid w:val="00E40750"/>
    <w:rsid w:val="00E407BC"/>
    <w:rsid w:val="00E40804"/>
    <w:rsid w:val="00E4092A"/>
    <w:rsid w:val="00E40AE2"/>
    <w:rsid w:val="00E40DE7"/>
    <w:rsid w:val="00E40FEF"/>
    <w:rsid w:val="00E41100"/>
    <w:rsid w:val="00E41157"/>
    <w:rsid w:val="00E411EF"/>
    <w:rsid w:val="00E414BE"/>
    <w:rsid w:val="00E41570"/>
    <w:rsid w:val="00E416B8"/>
    <w:rsid w:val="00E418B1"/>
    <w:rsid w:val="00E419E3"/>
    <w:rsid w:val="00E41AAB"/>
    <w:rsid w:val="00E41B36"/>
    <w:rsid w:val="00E41BC7"/>
    <w:rsid w:val="00E41D51"/>
    <w:rsid w:val="00E41F1C"/>
    <w:rsid w:val="00E41F53"/>
    <w:rsid w:val="00E423F6"/>
    <w:rsid w:val="00E424B9"/>
    <w:rsid w:val="00E425BF"/>
    <w:rsid w:val="00E425D1"/>
    <w:rsid w:val="00E4279E"/>
    <w:rsid w:val="00E427EC"/>
    <w:rsid w:val="00E429CC"/>
    <w:rsid w:val="00E42ADB"/>
    <w:rsid w:val="00E4320F"/>
    <w:rsid w:val="00E4328E"/>
    <w:rsid w:val="00E4381C"/>
    <w:rsid w:val="00E43985"/>
    <w:rsid w:val="00E439C6"/>
    <w:rsid w:val="00E43CB3"/>
    <w:rsid w:val="00E43E01"/>
    <w:rsid w:val="00E43FCF"/>
    <w:rsid w:val="00E4407E"/>
    <w:rsid w:val="00E44205"/>
    <w:rsid w:val="00E4424B"/>
    <w:rsid w:val="00E44701"/>
    <w:rsid w:val="00E4481F"/>
    <w:rsid w:val="00E44933"/>
    <w:rsid w:val="00E44B9D"/>
    <w:rsid w:val="00E44D73"/>
    <w:rsid w:val="00E44D85"/>
    <w:rsid w:val="00E44E93"/>
    <w:rsid w:val="00E44EDC"/>
    <w:rsid w:val="00E45066"/>
    <w:rsid w:val="00E4518F"/>
    <w:rsid w:val="00E45283"/>
    <w:rsid w:val="00E452FF"/>
    <w:rsid w:val="00E45502"/>
    <w:rsid w:val="00E4577F"/>
    <w:rsid w:val="00E45A34"/>
    <w:rsid w:val="00E45BDF"/>
    <w:rsid w:val="00E45C87"/>
    <w:rsid w:val="00E4603C"/>
    <w:rsid w:val="00E4678C"/>
    <w:rsid w:val="00E469AC"/>
    <w:rsid w:val="00E469C7"/>
    <w:rsid w:val="00E46A5E"/>
    <w:rsid w:val="00E46B20"/>
    <w:rsid w:val="00E46F2C"/>
    <w:rsid w:val="00E4749A"/>
    <w:rsid w:val="00E4757D"/>
    <w:rsid w:val="00E47750"/>
    <w:rsid w:val="00E47822"/>
    <w:rsid w:val="00E5006B"/>
    <w:rsid w:val="00E500CD"/>
    <w:rsid w:val="00E50139"/>
    <w:rsid w:val="00E50535"/>
    <w:rsid w:val="00E5078A"/>
    <w:rsid w:val="00E50868"/>
    <w:rsid w:val="00E50933"/>
    <w:rsid w:val="00E50B0B"/>
    <w:rsid w:val="00E50C85"/>
    <w:rsid w:val="00E51292"/>
    <w:rsid w:val="00E513C2"/>
    <w:rsid w:val="00E513C8"/>
    <w:rsid w:val="00E519EF"/>
    <w:rsid w:val="00E51AB6"/>
    <w:rsid w:val="00E51D65"/>
    <w:rsid w:val="00E51EDB"/>
    <w:rsid w:val="00E52264"/>
    <w:rsid w:val="00E5276A"/>
    <w:rsid w:val="00E52A81"/>
    <w:rsid w:val="00E52B06"/>
    <w:rsid w:val="00E52E1E"/>
    <w:rsid w:val="00E5316E"/>
    <w:rsid w:val="00E535F9"/>
    <w:rsid w:val="00E53B94"/>
    <w:rsid w:val="00E53E4E"/>
    <w:rsid w:val="00E54013"/>
    <w:rsid w:val="00E54485"/>
    <w:rsid w:val="00E545CE"/>
    <w:rsid w:val="00E547C3"/>
    <w:rsid w:val="00E547ED"/>
    <w:rsid w:val="00E5488F"/>
    <w:rsid w:val="00E54A6B"/>
    <w:rsid w:val="00E54FF9"/>
    <w:rsid w:val="00E5504E"/>
    <w:rsid w:val="00E550F2"/>
    <w:rsid w:val="00E55346"/>
    <w:rsid w:val="00E55719"/>
    <w:rsid w:val="00E558EA"/>
    <w:rsid w:val="00E558ED"/>
    <w:rsid w:val="00E559F0"/>
    <w:rsid w:val="00E55B0A"/>
    <w:rsid w:val="00E55B34"/>
    <w:rsid w:val="00E55B93"/>
    <w:rsid w:val="00E55C55"/>
    <w:rsid w:val="00E55CE9"/>
    <w:rsid w:val="00E55DFB"/>
    <w:rsid w:val="00E55E77"/>
    <w:rsid w:val="00E55FC4"/>
    <w:rsid w:val="00E56032"/>
    <w:rsid w:val="00E563C5"/>
    <w:rsid w:val="00E567DC"/>
    <w:rsid w:val="00E5689F"/>
    <w:rsid w:val="00E5697F"/>
    <w:rsid w:val="00E56A20"/>
    <w:rsid w:val="00E56B39"/>
    <w:rsid w:val="00E56BB9"/>
    <w:rsid w:val="00E56D84"/>
    <w:rsid w:val="00E56DDD"/>
    <w:rsid w:val="00E56F53"/>
    <w:rsid w:val="00E56F77"/>
    <w:rsid w:val="00E570C0"/>
    <w:rsid w:val="00E579C9"/>
    <w:rsid w:val="00E602F5"/>
    <w:rsid w:val="00E604C1"/>
    <w:rsid w:val="00E607BB"/>
    <w:rsid w:val="00E61020"/>
    <w:rsid w:val="00E61143"/>
    <w:rsid w:val="00E61283"/>
    <w:rsid w:val="00E612FF"/>
    <w:rsid w:val="00E614A3"/>
    <w:rsid w:val="00E616A4"/>
    <w:rsid w:val="00E6179F"/>
    <w:rsid w:val="00E618D7"/>
    <w:rsid w:val="00E618DD"/>
    <w:rsid w:val="00E61BDC"/>
    <w:rsid w:val="00E61F0C"/>
    <w:rsid w:val="00E624A6"/>
    <w:rsid w:val="00E624EA"/>
    <w:rsid w:val="00E62929"/>
    <w:rsid w:val="00E6297F"/>
    <w:rsid w:val="00E62D42"/>
    <w:rsid w:val="00E62D80"/>
    <w:rsid w:val="00E63027"/>
    <w:rsid w:val="00E63099"/>
    <w:rsid w:val="00E63146"/>
    <w:rsid w:val="00E6348E"/>
    <w:rsid w:val="00E634E8"/>
    <w:rsid w:val="00E63538"/>
    <w:rsid w:val="00E63579"/>
    <w:rsid w:val="00E63834"/>
    <w:rsid w:val="00E63851"/>
    <w:rsid w:val="00E63988"/>
    <w:rsid w:val="00E63BA0"/>
    <w:rsid w:val="00E6405B"/>
    <w:rsid w:val="00E641BC"/>
    <w:rsid w:val="00E64249"/>
    <w:rsid w:val="00E642F3"/>
    <w:rsid w:val="00E643FC"/>
    <w:rsid w:val="00E6443E"/>
    <w:rsid w:val="00E64529"/>
    <w:rsid w:val="00E6453A"/>
    <w:rsid w:val="00E6489D"/>
    <w:rsid w:val="00E649C0"/>
    <w:rsid w:val="00E64A42"/>
    <w:rsid w:val="00E64F57"/>
    <w:rsid w:val="00E65002"/>
    <w:rsid w:val="00E653F3"/>
    <w:rsid w:val="00E65454"/>
    <w:rsid w:val="00E65636"/>
    <w:rsid w:val="00E6584A"/>
    <w:rsid w:val="00E6597A"/>
    <w:rsid w:val="00E65BE7"/>
    <w:rsid w:val="00E65D91"/>
    <w:rsid w:val="00E65DA6"/>
    <w:rsid w:val="00E66030"/>
    <w:rsid w:val="00E66085"/>
    <w:rsid w:val="00E6631F"/>
    <w:rsid w:val="00E66368"/>
    <w:rsid w:val="00E66371"/>
    <w:rsid w:val="00E663F7"/>
    <w:rsid w:val="00E66A24"/>
    <w:rsid w:val="00E66D96"/>
    <w:rsid w:val="00E66F10"/>
    <w:rsid w:val="00E67459"/>
    <w:rsid w:val="00E676A1"/>
    <w:rsid w:val="00E676D6"/>
    <w:rsid w:val="00E67764"/>
    <w:rsid w:val="00E67973"/>
    <w:rsid w:val="00E67FFD"/>
    <w:rsid w:val="00E701C1"/>
    <w:rsid w:val="00E702A5"/>
    <w:rsid w:val="00E70375"/>
    <w:rsid w:val="00E70410"/>
    <w:rsid w:val="00E70513"/>
    <w:rsid w:val="00E705BB"/>
    <w:rsid w:val="00E7077A"/>
    <w:rsid w:val="00E70D46"/>
    <w:rsid w:val="00E70E8D"/>
    <w:rsid w:val="00E71079"/>
    <w:rsid w:val="00E711FD"/>
    <w:rsid w:val="00E7136D"/>
    <w:rsid w:val="00E71403"/>
    <w:rsid w:val="00E714D8"/>
    <w:rsid w:val="00E717AC"/>
    <w:rsid w:val="00E717B5"/>
    <w:rsid w:val="00E71AEC"/>
    <w:rsid w:val="00E71E2A"/>
    <w:rsid w:val="00E71F65"/>
    <w:rsid w:val="00E7208D"/>
    <w:rsid w:val="00E72195"/>
    <w:rsid w:val="00E72404"/>
    <w:rsid w:val="00E72715"/>
    <w:rsid w:val="00E72759"/>
    <w:rsid w:val="00E72C20"/>
    <w:rsid w:val="00E72CF7"/>
    <w:rsid w:val="00E72DE8"/>
    <w:rsid w:val="00E72E3C"/>
    <w:rsid w:val="00E73311"/>
    <w:rsid w:val="00E73396"/>
    <w:rsid w:val="00E73710"/>
    <w:rsid w:val="00E739F4"/>
    <w:rsid w:val="00E73A29"/>
    <w:rsid w:val="00E73A31"/>
    <w:rsid w:val="00E73A7F"/>
    <w:rsid w:val="00E73A9C"/>
    <w:rsid w:val="00E73BEF"/>
    <w:rsid w:val="00E73C48"/>
    <w:rsid w:val="00E73C7A"/>
    <w:rsid w:val="00E73F79"/>
    <w:rsid w:val="00E740D2"/>
    <w:rsid w:val="00E7437F"/>
    <w:rsid w:val="00E743D0"/>
    <w:rsid w:val="00E7468D"/>
    <w:rsid w:val="00E748E5"/>
    <w:rsid w:val="00E74D3A"/>
    <w:rsid w:val="00E74DEE"/>
    <w:rsid w:val="00E74E81"/>
    <w:rsid w:val="00E7512B"/>
    <w:rsid w:val="00E752F6"/>
    <w:rsid w:val="00E7584F"/>
    <w:rsid w:val="00E75887"/>
    <w:rsid w:val="00E7595F"/>
    <w:rsid w:val="00E75BFA"/>
    <w:rsid w:val="00E7617D"/>
    <w:rsid w:val="00E7631C"/>
    <w:rsid w:val="00E76750"/>
    <w:rsid w:val="00E769A3"/>
    <w:rsid w:val="00E76CFB"/>
    <w:rsid w:val="00E76F86"/>
    <w:rsid w:val="00E772A3"/>
    <w:rsid w:val="00E7758D"/>
    <w:rsid w:val="00E779C1"/>
    <w:rsid w:val="00E77D71"/>
    <w:rsid w:val="00E77E52"/>
    <w:rsid w:val="00E77EDD"/>
    <w:rsid w:val="00E77F1E"/>
    <w:rsid w:val="00E80209"/>
    <w:rsid w:val="00E802A2"/>
    <w:rsid w:val="00E807A2"/>
    <w:rsid w:val="00E807F4"/>
    <w:rsid w:val="00E80B5D"/>
    <w:rsid w:val="00E80B73"/>
    <w:rsid w:val="00E80C98"/>
    <w:rsid w:val="00E80F30"/>
    <w:rsid w:val="00E80F7E"/>
    <w:rsid w:val="00E81070"/>
    <w:rsid w:val="00E810B1"/>
    <w:rsid w:val="00E814F3"/>
    <w:rsid w:val="00E81666"/>
    <w:rsid w:val="00E818A8"/>
    <w:rsid w:val="00E81A10"/>
    <w:rsid w:val="00E81AD8"/>
    <w:rsid w:val="00E81CF9"/>
    <w:rsid w:val="00E81F80"/>
    <w:rsid w:val="00E82009"/>
    <w:rsid w:val="00E82203"/>
    <w:rsid w:val="00E822B5"/>
    <w:rsid w:val="00E82A09"/>
    <w:rsid w:val="00E82D2C"/>
    <w:rsid w:val="00E83041"/>
    <w:rsid w:val="00E831EE"/>
    <w:rsid w:val="00E83981"/>
    <w:rsid w:val="00E83B97"/>
    <w:rsid w:val="00E83BBF"/>
    <w:rsid w:val="00E83E43"/>
    <w:rsid w:val="00E84190"/>
    <w:rsid w:val="00E8442A"/>
    <w:rsid w:val="00E8461F"/>
    <w:rsid w:val="00E849A8"/>
    <w:rsid w:val="00E849EE"/>
    <w:rsid w:val="00E84A42"/>
    <w:rsid w:val="00E84ADD"/>
    <w:rsid w:val="00E84BCB"/>
    <w:rsid w:val="00E84DC1"/>
    <w:rsid w:val="00E8549C"/>
    <w:rsid w:val="00E8553A"/>
    <w:rsid w:val="00E85876"/>
    <w:rsid w:val="00E85DFA"/>
    <w:rsid w:val="00E86247"/>
    <w:rsid w:val="00E863EF"/>
    <w:rsid w:val="00E8642D"/>
    <w:rsid w:val="00E864A2"/>
    <w:rsid w:val="00E865A5"/>
    <w:rsid w:val="00E8667C"/>
    <w:rsid w:val="00E869A1"/>
    <w:rsid w:val="00E86A11"/>
    <w:rsid w:val="00E86B43"/>
    <w:rsid w:val="00E86DD6"/>
    <w:rsid w:val="00E86E88"/>
    <w:rsid w:val="00E87138"/>
    <w:rsid w:val="00E87872"/>
    <w:rsid w:val="00E8789B"/>
    <w:rsid w:val="00E87BD0"/>
    <w:rsid w:val="00E87BEA"/>
    <w:rsid w:val="00E87F9C"/>
    <w:rsid w:val="00E900A8"/>
    <w:rsid w:val="00E900B4"/>
    <w:rsid w:val="00E90624"/>
    <w:rsid w:val="00E90631"/>
    <w:rsid w:val="00E90742"/>
    <w:rsid w:val="00E90808"/>
    <w:rsid w:val="00E908DC"/>
    <w:rsid w:val="00E90950"/>
    <w:rsid w:val="00E909B8"/>
    <w:rsid w:val="00E90DCB"/>
    <w:rsid w:val="00E91409"/>
    <w:rsid w:val="00E9186B"/>
    <w:rsid w:val="00E919E2"/>
    <w:rsid w:val="00E91A0B"/>
    <w:rsid w:val="00E91B54"/>
    <w:rsid w:val="00E91B85"/>
    <w:rsid w:val="00E91CCD"/>
    <w:rsid w:val="00E91DAF"/>
    <w:rsid w:val="00E920E6"/>
    <w:rsid w:val="00E92531"/>
    <w:rsid w:val="00E929A2"/>
    <w:rsid w:val="00E92B1E"/>
    <w:rsid w:val="00E92CD6"/>
    <w:rsid w:val="00E92DC1"/>
    <w:rsid w:val="00E93030"/>
    <w:rsid w:val="00E93114"/>
    <w:rsid w:val="00E9320C"/>
    <w:rsid w:val="00E93CDC"/>
    <w:rsid w:val="00E93D29"/>
    <w:rsid w:val="00E93FA3"/>
    <w:rsid w:val="00E94430"/>
    <w:rsid w:val="00E9457C"/>
    <w:rsid w:val="00E94615"/>
    <w:rsid w:val="00E94994"/>
    <w:rsid w:val="00E94BFB"/>
    <w:rsid w:val="00E951D7"/>
    <w:rsid w:val="00E9528D"/>
    <w:rsid w:val="00E95305"/>
    <w:rsid w:val="00E95938"/>
    <w:rsid w:val="00E95D73"/>
    <w:rsid w:val="00E96016"/>
    <w:rsid w:val="00E9611B"/>
    <w:rsid w:val="00E96205"/>
    <w:rsid w:val="00E96227"/>
    <w:rsid w:val="00E963AE"/>
    <w:rsid w:val="00E96659"/>
    <w:rsid w:val="00E9676E"/>
    <w:rsid w:val="00E967D0"/>
    <w:rsid w:val="00E967DD"/>
    <w:rsid w:val="00E96876"/>
    <w:rsid w:val="00E96CF8"/>
    <w:rsid w:val="00E96E34"/>
    <w:rsid w:val="00E9737C"/>
    <w:rsid w:val="00E973AD"/>
    <w:rsid w:val="00E973B4"/>
    <w:rsid w:val="00E973CC"/>
    <w:rsid w:val="00E97403"/>
    <w:rsid w:val="00E97558"/>
    <w:rsid w:val="00E97645"/>
    <w:rsid w:val="00E976ED"/>
    <w:rsid w:val="00E976F5"/>
    <w:rsid w:val="00E97886"/>
    <w:rsid w:val="00E97938"/>
    <w:rsid w:val="00E97AE3"/>
    <w:rsid w:val="00E97F09"/>
    <w:rsid w:val="00EA001D"/>
    <w:rsid w:val="00EA0560"/>
    <w:rsid w:val="00EA0BB5"/>
    <w:rsid w:val="00EA0E31"/>
    <w:rsid w:val="00EA100B"/>
    <w:rsid w:val="00EA132F"/>
    <w:rsid w:val="00EA1514"/>
    <w:rsid w:val="00EA1655"/>
    <w:rsid w:val="00EA1880"/>
    <w:rsid w:val="00EA1940"/>
    <w:rsid w:val="00EA19AE"/>
    <w:rsid w:val="00EA1B22"/>
    <w:rsid w:val="00EA1EE6"/>
    <w:rsid w:val="00EA1F66"/>
    <w:rsid w:val="00EA2020"/>
    <w:rsid w:val="00EA235E"/>
    <w:rsid w:val="00EA23C3"/>
    <w:rsid w:val="00EA24B4"/>
    <w:rsid w:val="00EA2813"/>
    <w:rsid w:val="00EA294F"/>
    <w:rsid w:val="00EA29FD"/>
    <w:rsid w:val="00EA2DD0"/>
    <w:rsid w:val="00EA2F05"/>
    <w:rsid w:val="00EA30C2"/>
    <w:rsid w:val="00EA3383"/>
    <w:rsid w:val="00EA35CE"/>
    <w:rsid w:val="00EA362E"/>
    <w:rsid w:val="00EA38C8"/>
    <w:rsid w:val="00EA3B2B"/>
    <w:rsid w:val="00EA3C9B"/>
    <w:rsid w:val="00EA4058"/>
    <w:rsid w:val="00EA4089"/>
    <w:rsid w:val="00EA41D4"/>
    <w:rsid w:val="00EA4A26"/>
    <w:rsid w:val="00EA4A46"/>
    <w:rsid w:val="00EA4EC1"/>
    <w:rsid w:val="00EA517E"/>
    <w:rsid w:val="00EA54BE"/>
    <w:rsid w:val="00EA54F5"/>
    <w:rsid w:val="00EA5736"/>
    <w:rsid w:val="00EA5BB0"/>
    <w:rsid w:val="00EA5C4A"/>
    <w:rsid w:val="00EA614D"/>
    <w:rsid w:val="00EA67EE"/>
    <w:rsid w:val="00EA6C9F"/>
    <w:rsid w:val="00EA6E5F"/>
    <w:rsid w:val="00EA6F62"/>
    <w:rsid w:val="00EA732F"/>
    <w:rsid w:val="00EA781C"/>
    <w:rsid w:val="00EA787E"/>
    <w:rsid w:val="00EA7A1D"/>
    <w:rsid w:val="00EA7C9C"/>
    <w:rsid w:val="00EA7DDB"/>
    <w:rsid w:val="00EA7F0D"/>
    <w:rsid w:val="00EB005B"/>
    <w:rsid w:val="00EB0272"/>
    <w:rsid w:val="00EB02C4"/>
    <w:rsid w:val="00EB09EA"/>
    <w:rsid w:val="00EB0FC2"/>
    <w:rsid w:val="00EB1468"/>
    <w:rsid w:val="00EB159B"/>
    <w:rsid w:val="00EB19CF"/>
    <w:rsid w:val="00EB1B45"/>
    <w:rsid w:val="00EB20CE"/>
    <w:rsid w:val="00EB2238"/>
    <w:rsid w:val="00EB2265"/>
    <w:rsid w:val="00EB232C"/>
    <w:rsid w:val="00EB2388"/>
    <w:rsid w:val="00EB265A"/>
    <w:rsid w:val="00EB28CE"/>
    <w:rsid w:val="00EB295D"/>
    <w:rsid w:val="00EB2A3E"/>
    <w:rsid w:val="00EB2C6F"/>
    <w:rsid w:val="00EB2D14"/>
    <w:rsid w:val="00EB2F2B"/>
    <w:rsid w:val="00EB338B"/>
    <w:rsid w:val="00EB33AE"/>
    <w:rsid w:val="00EB36FC"/>
    <w:rsid w:val="00EB38C8"/>
    <w:rsid w:val="00EB39C3"/>
    <w:rsid w:val="00EB3A8B"/>
    <w:rsid w:val="00EB3C80"/>
    <w:rsid w:val="00EB3DC6"/>
    <w:rsid w:val="00EB3EF8"/>
    <w:rsid w:val="00EB447D"/>
    <w:rsid w:val="00EB47A9"/>
    <w:rsid w:val="00EB49BA"/>
    <w:rsid w:val="00EB4A21"/>
    <w:rsid w:val="00EB4ABD"/>
    <w:rsid w:val="00EB4C98"/>
    <w:rsid w:val="00EB4D0D"/>
    <w:rsid w:val="00EB4E83"/>
    <w:rsid w:val="00EB4F95"/>
    <w:rsid w:val="00EB5208"/>
    <w:rsid w:val="00EB524A"/>
    <w:rsid w:val="00EB5292"/>
    <w:rsid w:val="00EB5649"/>
    <w:rsid w:val="00EB5DE6"/>
    <w:rsid w:val="00EB5EBA"/>
    <w:rsid w:val="00EB6138"/>
    <w:rsid w:val="00EB623E"/>
    <w:rsid w:val="00EB6271"/>
    <w:rsid w:val="00EB6559"/>
    <w:rsid w:val="00EB655E"/>
    <w:rsid w:val="00EB663F"/>
    <w:rsid w:val="00EB67FD"/>
    <w:rsid w:val="00EB6A06"/>
    <w:rsid w:val="00EB6E8E"/>
    <w:rsid w:val="00EB6EED"/>
    <w:rsid w:val="00EB706D"/>
    <w:rsid w:val="00EB721E"/>
    <w:rsid w:val="00EB747F"/>
    <w:rsid w:val="00EB74FE"/>
    <w:rsid w:val="00EB7566"/>
    <w:rsid w:val="00EB760B"/>
    <w:rsid w:val="00EB7823"/>
    <w:rsid w:val="00EB7832"/>
    <w:rsid w:val="00EB7B06"/>
    <w:rsid w:val="00EB7B0F"/>
    <w:rsid w:val="00EC01BC"/>
    <w:rsid w:val="00EC0212"/>
    <w:rsid w:val="00EC0779"/>
    <w:rsid w:val="00EC08FF"/>
    <w:rsid w:val="00EC0B15"/>
    <w:rsid w:val="00EC0BBB"/>
    <w:rsid w:val="00EC0E3A"/>
    <w:rsid w:val="00EC128B"/>
    <w:rsid w:val="00EC14A5"/>
    <w:rsid w:val="00EC164A"/>
    <w:rsid w:val="00EC18FF"/>
    <w:rsid w:val="00EC1AAC"/>
    <w:rsid w:val="00EC1AFF"/>
    <w:rsid w:val="00EC1D69"/>
    <w:rsid w:val="00EC2112"/>
    <w:rsid w:val="00EC21B1"/>
    <w:rsid w:val="00EC21DB"/>
    <w:rsid w:val="00EC23DB"/>
    <w:rsid w:val="00EC24D9"/>
    <w:rsid w:val="00EC2685"/>
    <w:rsid w:val="00EC2D71"/>
    <w:rsid w:val="00EC33C4"/>
    <w:rsid w:val="00EC35EB"/>
    <w:rsid w:val="00EC3985"/>
    <w:rsid w:val="00EC3C40"/>
    <w:rsid w:val="00EC3C87"/>
    <w:rsid w:val="00EC4102"/>
    <w:rsid w:val="00EC4478"/>
    <w:rsid w:val="00EC45A9"/>
    <w:rsid w:val="00EC4B79"/>
    <w:rsid w:val="00EC4CC0"/>
    <w:rsid w:val="00EC4F2E"/>
    <w:rsid w:val="00EC5152"/>
    <w:rsid w:val="00EC5347"/>
    <w:rsid w:val="00EC552E"/>
    <w:rsid w:val="00EC57D2"/>
    <w:rsid w:val="00EC5A99"/>
    <w:rsid w:val="00EC5D5A"/>
    <w:rsid w:val="00EC5D70"/>
    <w:rsid w:val="00EC5DBB"/>
    <w:rsid w:val="00EC62D9"/>
    <w:rsid w:val="00EC63C1"/>
    <w:rsid w:val="00EC645D"/>
    <w:rsid w:val="00EC65AD"/>
    <w:rsid w:val="00EC6F1E"/>
    <w:rsid w:val="00EC6FAC"/>
    <w:rsid w:val="00EC700D"/>
    <w:rsid w:val="00EC7157"/>
    <w:rsid w:val="00EC737A"/>
    <w:rsid w:val="00EC7A7C"/>
    <w:rsid w:val="00EC7AD2"/>
    <w:rsid w:val="00EC7C81"/>
    <w:rsid w:val="00EC7F17"/>
    <w:rsid w:val="00EC7F30"/>
    <w:rsid w:val="00EC7FA2"/>
    <w:rsid w:val="00ED03F7"/>
    <w:rsid w:val="00ED0593"/>
    <w:rsid w:val="00ED0594"/>
    <w:rsid w:val="00ED07F2"/>
    <w:rsid w:val="00ED0852"/>
    <w:rsid w:val="00ED0A71"/>
    <w:rsid w:val="00ED0C28"/>
    <w:rsid w:val="00ED0CCF"/>
    <w:rsid w:val="00ED0EDA"/>
    <w:rsid w:val="00ED0EE6"/>
    <w:rsid w:val="00ED14B2"/>
    <w:rsid w:val="00ED1811"/>
    <w:rsid w:val="00ED1820"/>
    <w:rsid w:val="00ED196B"/>
    <w:rsid w:val="00ED1DF8"/>
    <w:rsid w:val="00ED1ECF"/>
    <w:rsid w:val="00ED2348"/>
    <w:rsid w:val="00ED254D"/>
    <w:rsid w:val="00ED28CD"/>
    <w:rsid w:val="00ED2971"/>
    <w:rsid w:val="00ED29D5"/>
    <w:rsid w:val="00ED29D8"/>
    <w:rsid w:val="00ED2D48"/>
    <w:rsid w:val="00ED3256"/>
    <w:rsid w:val="00ED3487"/>
    <w:rsid w:val="00ED35D1"/>
    <w:rsid w:val="00ED361D"/>
    <w:rsid w:val="00ED3ADA"/>
    <w:rsid w:val="00ED3B0A"/>
    <w:rsid w:val="00ED3B91"/>
    <w:rsid w:val="00ED3C41"/>
    <w:rsid w:val="00ED3ED4"/>
    <w:rsid w:val="00ED3FB3"/>
    <w:rsid w:val="00ED443F"/>
    <w:rsid w:val="00ED44D9"/>
    <w:rsid w:val="00ED4558"/>
    <w:rsid w:val="00ED46BD"/>
    <w:rsid w:val="00ED4844"/>
    <w:rsid w:val="00ED4A22"/>
    <w:rsid w:val="00ED4F73"/>
    <w:rsid w:val="00ED5197"/>
    <w:rsid w:val="00ED54DC"/>
    <w:rsid w:val="00ED56AE"/>
    <w:rsid w:val="00ED56B4"/>
    <w:rsid w:val="00ED57F8"/>
    <w:rsid w:val="00ED596F"/>
    <w:rsid w:val="00ED59CB"/>
    <w:rsid w:val="00ED5A2F"/>
    <w:rsid w:val="00ED5A80"/>
    <w:rsid w:val="00ED5C46"/>
    <w:rsid w:val="00ED5F5A"/>
    <w:rsid w:val="00ED5F89"/>
    <w:rsid w:val="00ED5FDD"/>
    <w:rsid w:val="00ED603D"/>
    <w:rsid w:val="00ED6059"/>
    <w:rsid w:val="00ED650D"/>
    <w:rsid w:val="00ED6513"/>
    <w:rsid w:val="00ED699A"/>
    <w:rsid w:val="00ED6DD2"/>
    <w:rsid w:val="00ED6FE7"/>
    <w:rsid w:val="00ED705B"/>
    <w:rsid w:val="00ED70E0"/>
    <w:rsid w:val="00ED74A6"/>
    <w:rsid w:val="00ED7734"/>
    <w:rsid w:val="00ED793A"/>
    <w:rsid w:val="00ED7A24"/>
    <w:rsid w:val="00ED7D5C"/>
    <w:rsid w:val="00ED7D75"/>
    <w:rsid w:val="00EE00A5"/>
    <w:rsid w:val="00EE022E"/>
    <w:rsid w:val="00EE0471"/>
    <w:rsid w:val="00EE0583"/>
    <w:rsid w:val="00EE0AAC"/>
    <w:rsid w:val="00EE0D1A"/>
    <w:rsid w:val="00EE0D2B"/>
    <w:rsid w:val="00EE1325"/>
    <w:rsid w:val="00EE1506"/>
    <w:rsid w:val="00EE1555"/>
    <w:rsid w:val="00EE16A0"/>
    <w:rsid w:val="00EE16E1"/>
    <w:rsid w:val="00EE1943"/>
    <w:rsid w:val="00EE1EF1"/>
    <w:rsid w:val="00EE1F6C"/>
    <w:rsid w:val="00EE1FDC"/>
    <w:rsid w:val="00EE209E"/>
    <w:rsid w:val="00EE23DB"/>
    <w:rsid w:val="00EE2655"/>
    <w:rsid w:val="00EE2873"/>
    <w:rsid w:val="00EE2BEB"/>
    <w:rsid w:val="00EE301C"/>
    <w:rsid w:val="00EE32CF"/>
    <w:rsid w:val="00EE3320"/>
    <w:rsid w:val="00EE335D"/>
    <w:rsid w:val="00EE33BB"/>
    <w:rsid w:val="00EE3ACE"/>
    <w:rsid w:val="00EE429E"/>
    <w:rsid w:val="00EE4589"/>
    <w:rsid w:val="00EE470A"/>
    <w:rsid w:val="00EE4942"/>
    <w:rsid w:val="00EE4B60"/>
    <w:rsid w:val="00EE4BAF"/>
    <w:rsid w:val="00EE4F2B"/>
    <w:rsid w:val="00EE5358"/>
    <w:rsid w:val="00EE5403"/>
    <w:rsid w:val="00EE5545"/>
    <w:rsid w:val="00EE57E0"/>
    <w:rsid w:val="00EE5A98"/>
    <w:rsid w:val="00EE5CC6"/>
    <w:rsid w:val="00EE5F50"/>
    <w:rsid w:val="00EE5F9F"/>
    <w:rsid w:val="00EE6026"/>
    <w:rsid w:val="00EE6131"/>
    <w:rsid w:val="00EE6494"/>
    <w:rsid w:val="00EE65F9"/>
    <w:rsid w:val="00EE68D8"/>
    <w:rsid w:val="00EE6A6C"/>
    <w:rsid w:val="00EE6A81"/>
    <w:rsid w:val="00EE6A90"/>
    <w:rsid w:val="00EE6C08"/>
    <w:rsid w:val="00EE6CC0"/>
    <w:rsid w:val="00EE6D21"/>
    <w:rsid w:val="00EE6E2F"/>
    <w:rsid w:val="00EE6ED9"/>
    <w:rsid w:val="00EE70A6"/>
    <w:rsid w:val="00EE710D"/>
    <w:rsid w:val="00EE7170"/>
    <w:rsid w:val="00EE730E"/>
    <w:rsid w:val="00EE735B"/>
    <w:rsid w:val="00EE7687"/>
    <w:rsid w:val="00EE7736"/>
    <w:rsid w:val="00EE77FF"/>
    <w:rsid w:val="00EE79EA"/>
    <w:rsid w:val="00EE7D0A"/>
    <w:rsid w:val="00EE7DE4"/>
    <w:rsid w:val="00EF00CB"/>
    <w:rsid w:val="00EF010F"/>
    <w:rsid w:val="00EF0437"/>
    <w:rsid w:val="00EF0587"/>
    <w:rsid w:val="00EF071F"/>
    <w:rsid w:val="00EF0892"/>
    <w:rsid w:val="00EF0AB0"/>
    <w:rsid w:val="00EF0C13"/>
    <w:rsid w:val="00EF0DAA"/>
    <w:rsid w:val="00EF108C"/>
    <w:rsid w:val="00EF15EC"/>
    <w:rsid w:val="00EF1940"/>
    <w:rsid w:val="00EF1A7C"/>
    <w:rsid w:val="00EF1CCF"/>
    <w:rsid w:val="00EF1D82"/>
    <w:rsid w:val="00EF1E5D"/>
    <w:rsid w:val="00EF22A6"/>
    <w:rsid w:val="00EF2470"/>
    <w:rsid w:val="00EF24C1"/>
    <w:rsid w:val="00EF26A5"/>
    <w:rsid w:val="00EF2A13"/>
    <w:rsid w:val="00EF2CBF"/>
    <w:rsid w:val="00EF2FFA"/>
    <w:rsid w:val="00EF31F7"/>
    <w:rsid w:val="00EF32B3"/>
    <w:rsid w:val="00EF37A9"/>
    <w:rsid w:val="00EF386E"/>
    <w:rsid w:val="00EF3A27"/>
    <w:rsid w:val="00EF3A5E"/>
    <w:rsid w:val="00EF3AF2"/>
    <w:rsid w:val="00EF3D32"/>
    <w:rsid w:val="00EF450E"/>
    <w:rsid w:val="00EF453E"/>
    <w:rsid w:val="00EF4930"/>
    <w:rsid w:val="00EF49AC"/>
    <w:rsid w:val="00EF4A52"/>
    <w:rsid w:val="00EF4B6D"/>
    <w:rsid w:val="00EF4C90"/>
    <w:rsid w:val="00EF5748"/>
    <w:rsid w:val="00EF5B2E"/>
    <w:rsid w:val="00EF5D01"/>
    <w:rsid w:val="00EF5E58"/>
    <w:rsid w:val="00EF62AB"/>
    <w:rsid w:val="00EF62F8"/>
    <w:rsid w:val="00EF64DA"/>
    <w:rsid w:val="00EF654F"/>
    <w:rsid w:val="00EF672D"/>
    <w:rsid w:val="00EF6778"/>
    <w:rsid w:val="00EF6ADD"/>
    <w:rsid w:val="00EF6BBB"/>
    <w:rsid w:val="00EF6D00"/>
    <w:rsid w:val="00EF6FB6"/>
    <w:rsid w:val="00EF749D"/>
    <w:rsid w:val="00EF7989"/>
    <w:rsid w:val="00EF7A0B"/>
    <w:rsid w:val="00EF7CAF"/>
    <w:rsid w:val="00EF7D81"/>
    <w:rsid w:val="00EF7E58"/>
    <w:rsid w:val="00F000C5"/>
    <w:rsid w:val="00F002E5"/>
    <w:rsid w:val="00F0048D"/>
    <w:rsid w:val="00F00989"/>
    <w:rsid w:val="00F00A9D"/>
    <w:rsid w:val="00F00B0B"/>
    <w:rsid w:val="00F00BA9"/>
    <w:rsid w:val="00F0124F"/>
    <w:rsid w:val="00F01B62"/>
    <w:rsid w:val="00F01B77"/>
    <w:rsid w:val="00F01E43"/>
    <w:rsid w:val="00F01ECC"/>
    <w:rsid w:val="00F02061"/>
    <w:rsid w:val="00F020F4"/>
    <w:rsid w:val="00F0218E"/>
    <w:rsid w:val="00F02382"/>
    <w:rsid w:val="00F02484"/>
    <w:rsid w:val="00F02512"/>
    <w:rsid w:val="00F026BF"/>
    <w:rsid w:val="00F0286F"/>
    <w:rsid w:val="00F028C6"/>
    <w:rsid w:val="00F028DB"/>
    <w:rsid w:val="00F029D6"/>
    <w:rsid w:val="00F02B5B"/>
    <w:rsid w:val="00F0303D"/>
    <w:rsid w:val="00F03229"/>
    <w:rsid w:val="00F033D3"/>
    <w:rsid w:val="00F03563"/>
    <w:rsid w:val="00F03785"/>
    <w:rsid w:val="00F03892"/>
    <w:rsid w:val="00F039C1"/>
    <w:rsid w:val="00F03B29"/>
    <w:rsid w:val="00F03C75"/>
    <w:rsid w:val="00F0402E"/>
    <w:rsid w:val="00F04503"/>
    <w:rsid w:val="00F04760"/>
    <w:rsid w:val="00F048AB"/>
    <w:rsid w:val="00F0492A"/>
    <w:rsid w:val="00F04DA5"/>
    <w:rsid w:val="00F04ED1"/>
    <w:rsid w:val="00F05011"/>
    <w:rsid w:val="00F05221"/>
    <w:rsid w:val="00F052FE"/>
    <w:rsid w:val="00F053A2"/>
    <w:rsid w:val="00F053CE"/>
    <w:rsid w:val="00F0588B"/>
    <w:rsid w:val="00F05CE7"/>
    <w:rsid w:val="00F05D32"/>
    <w:rsid w:val="00F062F7"/>
    <w:rsid w:val="00F06498"/>
    <w:rsid w:val="00F06502"/>
    <w:rsid w:val="00F06515"/>
    <w:rsid w:val="00F06C8E"/>
    <w:rsid w:val="00F06D9C"/>
    <w:rsid w:val="00F06E05"/>
    <w:rsid w:val="00F0703A"/>
    <w:rsid w:val="00F0706C"/>
    <w:rsid w:val="00F07089"/>
    <w:rsid w:val="00F07322"/>
    <w:rsid w:val="00F0735E"/>
    <w:rsid w:val="00F07603"/>
    <w:rsid w:val="00F07946"/>
    <w:rsid w:val="00F07974"/>
    <w:rsid w:val="00F07BEF"/>
    <w:rsid w:val="00F07C31"/>
    <w:rsid w:val="00F07CDB"/>
    <w:rsid w:val="00F07E84"/>
    <w:rsid w:val="00F1002F"/>
    <w:rsid w:val="00F100A3"/>
    <w:rsid w:val="00F10162"/>
    <w:rsid w:val="00F1016D"/>
    <w:rsid w:val="00F101D3"/>
    <w:rsid w:val="00F10295"/>
    <w:rsid w:val="00F10BA6"/>
    <w:rsid w:val="00F10C6B"/>
    <w:rsid w:val="00F10D12"/>
    <w:rsid w:val="00F10FB6"/>
    <w:rsid w:val="00F110AC"/>
    <w:rsid w:val="00F111CB"/>
    <w:rsid w:val="00F117A3"/>
    <w:rsid w:val="00F118EC"/>
    <w:rsid w:val="00F119B6"/>
    <w:rsid w:val="00F11AB0"/>
    <w:rsid w:val="00F11BF2"/>
    <w:rsid w:val="00F11EE5"/>
    <w:rsid w:val="00F12030"/>
    <w:rsid w:val="00F123C0"/>
    <w:rsid w:val="00F126B5"/>
    <w:rsid w:val="00F12BF2"/>
    <w:rsid w:val="00F12E5F"/>
    <w:rsid w:val="00F12E7B"/>
    <w:rsid w:val="00F12E9E"/>
    <w:rsid w:val="00F12F42"/>
    <w:rsid w:val="00F12FF3"/>
    <w:rsid w:val="00F13086"/>
    <w:rsid w:val="00F133F4"/>
    <w:rsid w:val="00F13558"/>
    <w:rsid w:val="00F13640"/>
    <w:rsid w:val="00F13647"/>
    <w:rsid w:val="00F13812"/>
    <w:rsid w:val="00F13AA5"/>
    <w:rsid w:val="00F13B3E"/>
    <w:rsid w:val="00F13B4F"/>
    <w:rsid w:val="00F13F0A"/>
    <w:rsid w:val="00F14057"/>
    <w:rsid w:val="00F146D1"/>
    <w:rsid w:val="00F146F8"/>
    <w:rsid w:val="00F149B4"/>
    <w:rsid w:val="00F14B37"/>
    <w:rsid w:val="00F14BDD"/>
    <w:rsid w:val="00F14EAB"/>
    <w:rsid w:val="00F15034"/>
    <w:rsid w:val="00F1512F"/>
    <w:rsid w:val="00F15186"/>
    <w:rsid w:val="00F15223"/>
    <w:rsid w:val="00F15275"/>
    <w:rsid w:val="00F152DF"/>
    <w:rsid w:val="00F15351"/>
    <w:rsid w:val="00F15392"/>
    <w:rsid w:val="00F15404"/>
    <w:rsid w:val="00F1567A"/>
    <w:rsid w:val="00F15D4B"/>
    <w:rsid w:val="00F15EB4"/>
    <w:rsid w:val="00F162ED"/>
    <w:rsid w:val="00F163A2"/>
    <w:rsid w:val="00F1648B"/>
    <w:rsid w:val="00F16799"/>
    <w:rsid w:val="00F16B0B"/>
    <w:rsid w:val="00F16B20"/>
    <w:rsid w:val="00F16E58"/>
    <w:rsid w:val="00F17598"/>
    <w:rsid w:val="00F17674"/>
    <w:rsid w:val="00F17A01"/>
    <w:rsid w:val="00F17EC9"/>
    <w:rsid w:val="00F17F03"/>
    <w:rsid w:val="00F20056"/>
    <w:rsid w:val="00F200DF"/>
    <w:rsid w:val="00F2032D"/>
    <w:rsid w:val="00F20491"/>
    <w:rsid w:val="00F20A98"/>
    <w:rsid w:val="00F20BB7"/>
    <w:rsid w:val="00F20F52"/>
    <w:rsid w:val="00F20F68"/>
    <w:rsid w:val="00F2117E"/>
    <w:rsid w:val="00F2143F"/>
    <w:rsid w:val="00F2173F"/>
    <w:rsid w:val="00F21AE9"/>
    <w:rsid w:val="00F21B21"/>
    <w:rsid w:val="00F21F7F"/>
    <w:rsid w:val="00F22018"/>
    <w:rsid w:val="00F2249C"/>
    <w:rsid w:val="00F224AA"/>
    <w:rsid w:val="00F225DF"/>
    <w:rsid w:val="00F2284B"/>
    <w:rsid w:val="00F229DF"/>
    <w:rsid w:val="00F22B90"/>
    <w:rsid w:val="00F23315"/>
    <w:rsid w:val="00F2342F"/>
    <w:rsid w:val="00F2357B"/>
    <w:rsid w:val="00F23672"/>
    <w:rsid w:val="00F23879"/>
    <w:rsid w:val="00F23C9D"/>
    <w:rsid w:val="00F23DA0"/>
    <w:rsid w:val="00F23E18"/>
    <w:rsid w:val="00F23FBF"/>
    <w:rsid w:val="00F23FCC"/>
    <w:rsid w:val="00F23FF0"/>
    <w:rsid w:val="00F24054"/>
    <w:rsid w:val="00F2439B"/>
    <w:rsid w:val="00F24453"/>
    <w:rsid w:val="00F24503"/>
    <w:rsid w:val="00F245FE"/>
    <w:rsid w:val="00F24621"/>
    <w:rsid w:val="00F247F5"/>
    <w:rsid w:val="00F248B4"/>
    <w:rsid w:val="00F24A51"/>
    <w:rsid w:val="00F24B95"/>
    <w:rsid w:val="00F24DA0"/>
    <w:rsid w:val="00F24DBF"/>
    <w:rsid w:val="00F24E30"/>
    <w:rsid w:val="00F25704"/>
    <w:rsid w:val="00F257EC"/>
    <w:rsid w:val="00F258F2"/>
    <w:rsid w:val="00F25C2A"/>
    <w:rsid w:val="00F25C8F"/>
    <w:rsid w:val="00F25CB7"/>
    <w:rsid w:val="00F25E2D"/>
    <w:rsid w:val="00F25FDB"/>
    <w:rsid w:val="00F26125"/>
    <w:rsid w:val="00F2630C"/>
    <w:rsid w:val="00F26837"/>
    <w:rsid w:val="00F26963"/>
    <w:rsid w:val="00F26A0D"/>
    <w:rsid w:val="00F26BA7"/>
    <w:rsid w:val="00F26C8C"/>
    <w:rsid w:val="00F26EE6"/>
    <w:rsid w:val="00F2706B"/>
    <w:rsid w:val="00F2732C"/>
    <w:rsid w:val="00F276DA"/>
    <w:rsid w:val="00F279A3"/>
    <w:rsid w:val="00F27C18"/>
    <w:rsid w:val="00F27C63"/>
    <w:rsid w:val="00F27D20"/>
    <w:rsid w:val="00F27EBC"/>
    <w:rsid w:val="00F27F0A"/>
    <w:rsid w:val="00F30017"/>
    <w:rsid w:val="00F30118"/>
    <w:rsid w:val="00F30230"/>
    <w:rsid w:val="00F302AA"/>
    <w:rsid w:val="00F30456"/>
    <w:rsid w:val="00F305D8"/>
    <w:rsid w:val="00F30616"/>
    <w:rsid w:val="00F306A7"/>
    <w:rsid w:val="00F30A68"/>
    <w:rsid w:val="00F30D1E"/>
    <w:rsid w:val="00F30ECB"/>
    <w:rsid w:val="00F311A4"/>
    <w:rsid w:val="00F3128F"/>
    <w:rsid w:val="00F3163B"/>
    <w:rsid w:val="00F31C29"/>
    <w:rsid w:val="00F31D4A"/>
    <w:rsid w:val="00F32072"/>
    <w:rsid w:val="00F32113"/>
    <w:rsid w:val="00F3230E"/>
    <w:rsid w:val="00F32395"/>
    <w:rsid w:val="00F324B7"/>
    <w:rsid w:val="00F326A9"/>
    <w:rsid w:val="00F3283B"/>
    <w:rsid w:val="00F32959"/>
    <w:rsid w:val="00F32A4C"/>
    <w:rsid w:val="00F32AD9"/>
    <w:rsid w:val="00F32C0C"/>
    <w:rsid w:val="00F32E7F"/>
    <w:rsid w:val="00F32F1B"/>
    <w:rsid w:val="00F338E7"/>
    <w:rsid w:val="00F33A01"/>
    <w:rsid w:val="00F33BD9"/>
    <w:rsid w:val="00F33E09"/>
    <w:rsid w:val="00F33EAC"/>
    <w:rsid w:val="00F3403E"/>
    <w:rsid w:val="00F341CD"/>
    <w:rsid w:val="00F34301"/>
    <w:rsid w:val="00F3492C"/>
    <w:rsid w:val="00F34975"/>
    <w:rsid w:val="00F34B6C"/>
    <w:rsid w:val="00F34D62"/>
    <w:rsid w:val="00F34DDE"/>
    <w:rsid w:val="00F34E16"/>
    <w:rsid w:val="00F350BD"/>
    <w:rsid w:val="00F352F0"/>
    <w:rsid w:val="00F35325"/>
    <w:rsid w:val="00F3536B"/>
    <w:rsid w:val="00F35427"/>
    <w:rsid w:val="00F355F1"/>
    <w:rsid w:val="00F35621"/>
    <w:rsid w:val="00F356A6"/>
    <w:rsid w:val="00F3590D"/>
    <w:rsid w:val="00F35A2D"/>
    <w:rsid w:val="00F35AED"/>
    <w:rsid w:val="00F35B0D"/>
    <w:rsid w:val="00F35ED5"/>
    <w:rsid w:val="00F36022"/>
    <w:rsid w:val="00F36971"/>
    <w:rsid w:val="00F369A3"/>
    <w:rsid w:val="00F36D68"/>
    <w:rsid w:val="00F37300"/>
    <w:rsid w:val="00F37551"/>
    <w:rsid w:val="00F3773D"/>
    <w:rsid w:val="00F37872"/>
    <w:rsid w:val="00F37A28"/>
    <w:rsid w:val="00F37D7A"/>
    <w:rsid w:val="00F37EBC"/>
    <w:rsid w:val="00F4014E"/>
    <w:rsid w:val="00F401E3"/>
    <w:rsid w:val="00F40341"/>
    <w:rsid w:val="00F4043C"/>
    <w:rsid w:val="00F4078D"/>
    <w:rsid w:val="00F40961"/>
    <w:rsid w:val="00F40AA2"/>
    <w:rsid w:val="00F40CEE"/>
    <w:rsid w:val="00F40E16"/>
    <w:rsid w:val="00F40E88"/>
    <w:rsid w:val="00F41081"/>
    <w:rsid w:val="00F413AA"/>
    <w:rsid w:val="00F413DE"/>
    <w:rsid w:val="00F415F5"/>
    <w:rsid w:val="00F4177F"/>
    <w:rsid w:val="00F41B51"/>
    <w:rsid w:val="00F41C96"/>
    <w:rsid w:val="00F41D45"/>
    <w:rsid w:val="00F41D6B"/>
    <w:rsid w:val="00F4202B"/>
    <w:rsid w:val="00F42137"/>
    <w:rsid w:val="00F422D8"/>
    <w:rsid w:val="00F423C5"/>
    <w:rsid w:val="00F4260D"/>
    <w:rsid w:val="00F42A3C"/>
    <w:rsid w:val="00F42AD5"/>
    <w:rsid w:val="00F4324C"/>
    <w:rsid w:val="00F433B9"/>
    <w:rsid w:val="00F43754"/>
    <w:rsid w:val="00F4388D"/>
    <w:rsid w:val="00F43961"/>
    <w:rsid w:val="00F43991"/>
    <w:rsid w:val="00F43C5D"/>
    <w:rsid w:val="00F43DEC"/>
    <w:rsid w:val="00F43F4F"/>
    <w:rsid w:val="00F4473E"/>
    <w:rsid w:val="00F44CA3"/>
    <w:rsid w:val="00F45023"/>
    <w:rsid w:val="00F45043"/>
    <w:rsid w:val="00F452BC"/>
    <w:rsid w:val="00F45313"/>
    <w:rsid w:val="00F4534F"/>
    <w:rsid w:val="00F4535F"/>
    <w:rsid w:val="00F4549D"/>
    <w:rsid w:val="00F45611"/>
    <w:rsid w:val="00F45B08"/>
    <w:rsid w:val="00F45CBC"/>
    <w:rsid w:val="00F45D20"/>
    <w:rsid w:val="00F45F39"/>
    <w:rsid w:val="00F45FCE"/>
    <w:rsid w:val="00F46193"/>
    <w:rsid w:val="00F46218"/>
    <w:rsid w:val="00F46258"/>
    <w:rsid w:val="00F4628B"/>
    <w:rsid w:val="00F463CB"/>
    <w:rsid w:val="00F46509"/>
    <w:rsid w:val="00F466A3"/>
    <w:rsid w:val="00F46845"/>
    <w:rsid w:val="00F46904"/>
    <w:rsid w:val="00F46B20"/>
    <w:rsid w:val="00F46CF3"/>
    <w:rsid w:val="00F46DC1"/>
    <w:rsid w:val="00F46F55"/>
    <w:rsid w:val="00F46F70"/>
    <w:rsid w:val="00F475D7"/>
    <w:rsid w:val="00F50040"/>
    <w:rsid w:val="00F50198"/>
    <w:rsid w:val="00F507A5"/>
    <w:rsid w:val="00F50844"/>
    <w:rsid w:val="00F50C9B"/>
    <w:rsid w:val="00F5101A"/>
    <w:rsid w:val="00F5115C"/>
    <w:rsid w:val="00F511C8"/>
    <w:rsid w:val="00F511F9"/>
    <w:rsid w:val="00F512D4"/>
    <w:rsid w:val="00F513FD"/>
    <w:rsid w:val="00F51A2A"/>
    <w:rsid w:val="00F51A70"/>
    <w:rsid w:val="00F51AC2"/>
    <w:rsid w:val="00F51F8E"/>
    <w:rsid w:val="00F523F4"/>
    <w:rsid w:val="00F52656"/>
    <w:rsid w:val="00F527A6"/>
    <w:rsid w:val="00F52943"/>
    <w:rsid w:val="00F52A5B"/>
    <w:rsid w:val="00F52DC4"/>
    <w:rsid w:val="00F52EE6"/>
    <w:rsid w:val="00F52F2B"/>
    <w:rsid w:val="00F5308E"/>
    <w:rsid w:val="00F530B6"/>
    <w:rsid w:val="00F53195"/>
    <w:rsid w:val="00F53A60"/>
    <w:rsid w:val="00F53B13"/>
    <w:rsid w:val="00F53B23"/>
    <w:rsid w:val="00F53C4A"/>
    <w:rsid w:val="00F53C85"/>
    <w:rsid w:val="00F53DA7"/>
    <w:rsid w:val="00F53E36"/>
    <w:rsid w:val="00F5443E"/>
    <w:rsid w:val="00F5484A"/>
    <w:rsid w:val="00F54871"/>
    <w:rsid w:val="00F549C2"/>
    <w:rsid w:val="00F54DF8"/>
    <w:rsid w:val="00F54E4B"/>
    <w:rsid w:val="00F54FFD"/>
    <w:rsid w:val="00F55079"/>
    <w:rsid w:val="00F554FA"/>
    <w:rsid w:val="00F556CB"/>
    <w:rsid w:val="00F558C9"/>
    <w:rsid w:val="00F55AFB"/>
    <w:rsid w:val="00F55D50"/>
    <w:rsid w:val="00F56041"/>
    <w:rsid w:val="00F56241"/>
    <w:rsid w:val="00F56336"/>
    <w:rsid w:val="00F563C5"/>
    <w:rsid w:val="00F564FE"/>
    <w:rsid w:val="00F5672C"/>
    <w:rsid w:val="00F56FAF"/>
    <w:rsid w:val="00F5709A"/>
    <w:rsid w:val="00F57201"/>
    <w:rsid w:val="00F57793"/>
    <w:rsid w:val="00F5782D"/>
    <w:rsid w:val="00F57DFD"/>
    <w:rsid w:val="00F57FC7"/>
    <w:rsid w:val="00F601F2"/>
    <w:rsid w:val="00F60696"/>
    <w:rsid w:val="00F608BE"/>
    <w:rsid w:val="00F60C15"/>
    <w:rsid w:val="00F60C19"/>
    <w:rsid w:val="00F60D8C"/>
    <w:rsid w:val="00F60DB9"/>
    <w:rsid w:val="00F610B1"/>
    <w:rsid w:val="00F6130A"/>
    <w:rsid w:val="00F61315"/>
    <w:rsid w:val="00F6165E"/>
    <w:rsid w:val="00F616C6"/>
    <w:rsid w:val="00F61C71"/>
    <w:rsid w:val="00F61CD2"/>
    <w:rsid w:val="00F61E82"/>
    <w:rsid w:val="00F62254"/>
    <w:rsid w:val="00F624CC"/>
    <w:rsid w:val="00F627D2"/>
    <w:rsid w:val="00F62918"/>
    <w:rsid w:val="00F62C5F"/>
    <w:rsid w:val="00F63059"/>
    <w:rsid w:val="00F63157"/>
    <w:rsid w:val="00F6316D"/>
    <w:rsid w:val="00F634BE"/>
    <w:rsid w:val="00F63512"/>
    <w:rsid w:val="00F6373B"/>
    <w:rsid w:val="00F637F1"/>
    <w:rsid w:val="00F63AFF"/>
    <w:rsid w:val="00F63BB3"/>
    <w:rsid w:val="00F63D1E"/>
    <w:rsid w:val="00F63D38"/>
    <w:rsid w:val="00F63DC8"/>
    <w:rsid w:val="00F63E26"/>
    <w:rsid w:val="00F6432C"/>
    <w:rsid w:val="00F64361"/>
    <w:rsid w:val="00F644A6"/>
    <w:rsid w:val="00F64766"/>
    <w:rsid w:val="00F64937"/>
    <w:rsid w:val="00F64D56"/>
    <w:rsid w:val="00F65038"/>
    <w:rsid w:val="00F65080"/>
    <w:rsid w:val="00F65461"/>
    <w:rsid w:val="00F65567"/>
    <w:rsid w:val="00F65671"/>
    <w:rsid w:val="00F65BBB"/>
    <w:rsid w:val="00F65CA5"/>
    <w:rsid w:val="00F65D94"/>
    <w:rsid w:val="00F65E85"/>
    <w:rsid w:val="00F65FB5"/>
    <w:rsid w:val="00F66027"/>
    <w:rsid w:val="00F662E4"/>
    <w:rsid w:val="00F664E1"/>
    <w:rsid w:val="00F66751"/>
    <w:rsid w:val="00F66B45"/>
    <w:rsid w:val="00F66D0E"/>
    <w:rsid w:val="00F66F95"/>
    <w:rsid w:val="00F66FBB"/>
    <w:rsid w:val="00F672F7"/>
    <w:rsid w:val="00F673EB"/>
    <w:rsid w:val="00F67671"/>
    <w:rsid w:val="00F677F7"/>
    <w:rsid w:val="00F6788F"/>
    <w:rsid w:val="00F67963"/>
    <w:rsid w:val="00F67AAA"/>
    <w:rsid w:val="00F67BEF"/>
    <w:rsid w:val="00F67C7F"/>
    <w:rsid w:val="00F67D9A"/>
    <w:rsid w:val="00F700E6"/>
    <w:rsid w:val="00F7037E"/>
    <w:rsid w:val="00F70696"/>
    <w:rsid w:val="00F706D6"/>
    <w:rsid w:val="00F70B21"/>
    <w:rsid w:val="00F70BE5"/>
    <w:rsid w:val="00F70DCB"/>
    <w:rsid w:val="00F71076"/>
    <w:rsid w:val="00F71136"/>
    <w:rsid w:val="00F71186"/>
    <w:rsid w:val="00F71A3B"/>
    <w:rsid w:val="00F71B33"/>
    <w:rsid w:val="00F71B5C"/>
    <w:rsid w:val="00F71C18"/>
    <w:rsid w:val="00F71CCC"/>
    <w:rsid w:val="00F71D53"/>
    <w:rsid w:val="00F71DC4"/>
    <w:rsid w:val="00F71EBE"/>
    <w:rsid w:val="00F71EF5"/>
    <w:rsid w:val="00F71FE4"/>
    <w:rsid w:val="00F723EB"/>
    <w:rsid w:val="00F72769"/>
    <w:rsid w:val="00F7289B"/>
    <w:rsid w:val="00F72BB0"/>
    <w:rsid w:val="00F72C74"/>
    <w:rsid w:val="00F72F5D"/>
    <w:rsid w:val="00F730AC"/>
    <w:rsid w:val="00F7346D"/>
    <w:rsid w:val="00F7382F"/>
    <w:rsid w:val="00F738AB"/>
    <w:rsid w:val="00F73A51"/>
    <w:rsid w:val="00F73B85"/>
    <w:rsid w:val="00F73FF5"/>
    <w:rsid w:val="00F74680"/>
    <w:rsid w:val="00F7485F"/>
    <w:rsid w:val="00F74954"/>
    <w:rsid w:val="00F74B49"/>
    <w:rsid w:val="00F75417"/>
    <w:rsid w:val="00F75466"/>
    <w:rsid w:val="00F7561D"/>
    <w:rsid w:val="00F7566D"/>
    <w:rsid w:val="00F756A9"/>
    <w:rsid w:val="00F75759"/>
    <w:rsid w:val="00F75D48"/>
    <w:rsid w:val="00F75D67"/>
    <w:rsid w:val="00F75DDC"/>
    <w:rsid w:val="00F76168"/>
    <w:rsid w:val="00F7618A"/>
    <w:rsid w:val="00F7622E"/>
    <w:rsid w:val="00F76628"/>
    <w:rsid w:val="00F767BF"/>
    <w:rsid w:val="00F767DE"/>
    <w:rsid w:val="00F76819"/>
    <w:rsid w:val="00F76866"/>
    <w:rsid w:val="00F76904"/>
    <w:rsid w:val="00F76953"/>
    <w:rsid w:val="00F769B2"/>
    <w:rsid w:val="00F76CD0"/>
    <w:rsid w:val="00F76E2B"/>
    <w:rsid w:val="00F77239"/>
    <w:rsid w:val="00F77376"/>
    <w:rsid w:val="00F77436"/>
    <w:rsid w:val="00F775D0"/>
    <w:rsid w:val="00F779E2"/>
    <w:rsid w:val="00F77A94"/>
    <w:rsid w:val="00F77B5C"/>
    <w:rsid w:val="00F77C0F"/>
    <w:rsid w:val="00F77FB4"/>
    <w:rsid w:val="00F800E2"/>
    <w:rsid w:val="00F8039E"/>
    <w:rsid w:val="00F805B5"/>
    <w:rsid w:val="00F8068A"/>
    <w:rsid w:val="00F806FE"/>
    <w:rsid w:val="00F807ED"/>
    <w:rsid w:val="00F80DDA"/>
    <w:rsid w:val="00F80F73"/>
    <w:rsid w:val="00F811F7"/>
    <w:rsid w:val="00F81214"/>
    <w:rsid w:val="00F8150E"/>
    <w:rsid w:val="00F8166B"/>
    <w:rsid w:val="00F816DE"/>
    <w:rsid w:val="00F81AF1"/>
    <w:rsid w:val="00F8205A"/>
    <w:rsid w:val="00F82281"/>
    <w:rsid w:val="00F82512"/>
    <w:rsid w:val="00F825C6"/>
    <w:rsid w:val="00F82849"/>
    <w:rsid w:val="00F82A6F"/>
    <w:rsid w:val="00F82E22"/>
    <w:rsid w:val="00F831FF"/>
    <w:rsid w:val="00F83216"/>
    <w:rsid w:val="00F83313"/>
    <w:rsid w:val="00F8346C"/>
    <w:rsid w:val="00F834EE"/>
    <w:rsid w:val="00F83B51"/>
    <w:rsid w:val="00F84076"/>
    <w:rsid w:val="00F84102"/>
    <w:rsid w:val="00F843FB"/>
    <w:rsid w:val="00F84545"/>
    <w:rsid w:val="00F845F7"/>
    <w:rsid w:val="00F848FD"/>
    <w:rsid w:val="00F850F9"/>
    <w:rsid w:val="00F85267"/>
    <w:rsid w:val="00F857B8"/>
    <w:rsid w:val="00F85881"/>
    <w:rsid w:val="00F85AB3"/>
    <w:rsid w:val="00F85AB5"/>
    <w:rsid w:val="00F85C6F"/>
    <w:rsid w:val="00F85FA3"/>
    <w:rsid w:val="00F8625B"/>
    <w:rsid w:val="00F862D2"/>
    <w:rsid w:val="00F865D5"/>
    <w:rsid w:val="00F86635"/>
    <w:rsid w:val="00F866FA"/>
    <w:rsid w:val="00F86D20"/>
    <w:rsid w:val="00F86E4D"/>
    <w:rsid w:val="00F87049"/>
    <w:rsid w:val="00F87059"/>
    <w:rsid w:val="00F871EB"/>
    <w:rsid w:val="00F87206"/>
    <w:rsid w:val="00F873A9"/>
    <w:rsid w:val="00F878BB"/>
    <w:rsid w:val="00F87987"/>
    <w:rsid w:val="00F87A2D"/>
    <w:rsid w:val="00F87B58"/>
    <w:rsid w:val="00F87D1F"/>
    <w:rsid w:val="00F87FF1"/>
    <w:rsid w:val="00F9046D"/>
    <w:rsid w:val="00F9051F"/>
    <w:rsid w:val="00F906A7"/>
    <w:rsid w:val="00F90DC7"/>
    <w:rsid w:val="00F9152E"/>
    <w:rsid w:val="00F91C32"/>
    <w:rsid w:val="00F91E76"/>
    <w:rsid w:val="00F92097"/>
    <w:rsid w:val="00F922EC"/>
    <w:rsid w:val="00F9236D"/>
    <w:rsid w:val="00F9267A"/>
    <w:rsid w:val="00F926D2"/>
    <w:rsid w:val="00F92A99"/>
    <w:rsid w:val="00F92B73"/>
    <w:rsid w:val="00F92C88"/>
    <w:rsid w:val="00F92D6D"/>
    <w:rsid w:val="00F93231"/>
    <w:rsid w:val="00F932AD"/>
    <w:rsid w:val="00F93635"/>
    <w:rsid w:val="00F93AF2"/>
    <w:rsid w:val="00F93B41"/>
    <w:rsid w:val="00F93BDE"/>
    <w:rsid w:val="00F93DDF"/>
    <w:rsid w:val="00F943C6"/>
    <w:rsid w:val="00F9459A"/>
    <w:rsid w:val="00F947FC"/>
    <w:rsid w:val="00F94A9E"/>
    <w:rsid w:val="00F94E6D"/>
    <w:rsid w:val="00F951E3"/>
    <w:rsid w:val="00F954C8"/>
    <w:rsid w:val="00F959A4"/>
    <w:rsid w:val="00F95A07"/>
    <w:rsid w:val="00F95BC3"/>
    <w:rsid w:val="00F95C11"/>
    <w:rsid w:val="00F95E80"/>
    <w:rsid w:val="00F95EA2"/>
    <w:rsid w:val="00F95EB9"/>
    <w:rsid w:val="00F95F85"/>
    <w:rsid w:val="00F96047"/>
    <w:rsid w:val="00F9605C"/>
    <w:rsid w:val="00F960AB"/>
    <w:rsid w:val="00F963BE"/>
    <w:rsid w:val="00F96839"/>
    <w:rsid w:val="00F96B68"/>
    <w:rsid w:val="00F96D43"/>
    <w:rsid w:val="00F96F5B"/>
    <w:rsid w:val="00F97201"/>
    <w:rsid w:val="00F97230"/>
    <w:rsid w:val="00F9736D"/>
    <w:rsid w:val="00F97472"/>
    <w:rsid w:val="00F97500"/>
    <w:rsid w:val="00F975F7"/>
    <w:rsid w:val="00F976B4"/>
    <w:rsid w:val="00F9779B"/>
    <w:rsid w:val="00F977B1"/>
    <w:rsid w:val="00F977D5"/>
    <w:rsid w:val="00F97805"/>
    <w:rsid w:val="00F97872"/>
    <w:rsid w:val="00F97B3E"/>
    <w:rsid w:val="00F97B48"/>
    <w:rsid w:val="00F97DAA"/>
    <w:rsid w:val="00F97FB8"/>
    <w:rsid w:val="00FA01AE"/>
    <w:rsid w:val="00FA067E"/>
    <w:rsid w:val="00FA09FB"/>
    <w:rsid w:val="00FA0C35"/>
    <w:rsid w:val="00FA1372"/>
    <w:rsid w:val="00FA14BA"/>
    <w:rsid w:val="00FA1587"/>
    <w:rsid w:val="00FA1716"/>
    <w:rsid w:val="00FA1720"/>
    <w:rsid w:val="00FA175B"/>
    <w:rsid w:val="00FA21FF"/>
    <w:rsid w:val="00FA2204"/>
    <w:rsid w:val="00FA231C"/>
    <w:rsid w:val="00FA25BC"/>
    <w:rsid w:val="00FA285C"/>
    <w:rsid w:val="00FA29EC"/>
    <w:rsid w:val="00FA2C39"/>
    <w:rsid w:val="00FA2D5F"/>
    <w:rsid w:val="00FA2DEC"/>
    <w:rsid w:val="00FA3078"/>
    <w:rsid w:val="00FA3218"/>
    <w:rsid w:val="00FA3226"/>
    <w:rsid w:val="00FA32C0"/>
    <w:rsid w:val="00FA34CB"/>
    <w:rsid w:val="00FA3544"/>
    <w:rsid w:val="00FA3B3A"/>
    <w:rsid w:val="00FA3EC8"/>
    <w:rsid w:val="00FA414A"/>
    <w:rsid w:val="00FA442F"/>
    <w:rsid w:val="00FA4571"/>
    <w:rsid w:val="00FA464C"/>
    <w:rsid w:val="00FA46AF"/>
    <w:rsid w:val="00FA4A23"/>
    <w:rsid w:val="00FA4D42"/>
    <w:rsid w:val="00FA4ECF"/>
    <w:rsid w:val="00FA4F4A"/>
    <w:rsid w:val="00FA4F95"/>
    <w:rsid w:val="00FA5035"/>
    <w:rsid w:val="00FA53AE"/>
    <w:rsid w:val="00FA54F4"/>
    <w:rsid w:val="00FA57DA"/>
    <w:rsid w:val="00FA59A7"/>
    <w:rsid w:val="00FA59EC"/>
    <w:rsid w:val="00FA5AB0"/>
    <w:rsid w:val="00FA5B29"/>
    <w:rsid w:val="00FA5BB4"/>
    <w:rsid w:val="00FA5D2A"/>
    <w:rsid w:val="00FA62BF"/>
    <w:rsid w:val="00FA648A"/>
    <w:rsid w:val="00FA664D"/>
    <w:rsid w:val="00FA6A25"/>
    <w:rsid w:val="00FA6CD1"/>
    <w:rsid w:val="00FA6E8E"/>
    <w:rsid w:val="00FA728C"/>
    <w:rsid w:val="00FA72A7"/>
    <w:rsid w:val="00FA78DD"/>
    <w:rsid w:val="00FA7AF3"/>
    <w:rsid w:val="00FA7ECD"/>
    <w:rsid w:val="00FB010A"/>
    <w:rsid w:val="00FB01E6"/>
    <w:rsid w:val="00FB03BC"/>
    <w:rsid w:val="00FB0764"/>
    <w:rsid w:val="00FB07D1"/>
    <w:rsid w:val="00FB0823"/>
    <w:rsid w:val="00FB0995"/>
    <w:rsid w:val="00FB0BC0"/>
    <w:rsid w:val="00FB0D79"/>
    <w:rsid w:val="00FB0ED2"/>
    <w:rsid w:val="00FB0EE7"/>
    <w:rsid w:val="00FB0F0A"/>
    <w:rsid w:val="00FB12A7"/>
    <w:rsid w:val="00FB14D6"/>
    <w:rsid w:val="00FB1578"/>
    <w:rsid w:val="00FB1756"/>
    <w:rsid w:val="00FB1C4C"/>
    <w:rsid w:val="00FB1ED8"/>
    <w:rsid w:val="00FB1FE0"/>
    <w:rsid w:val="00FB21C5"/>
    <w:rsid w:val="00FB229B"/>
    <w:rsid w:val="00FB26D4"/>
    <w:rsid w:val="00FB2916"/>
    <w:rsid w:val="00FB2A2E"/>
    <w:rsid w:val="00FB2BCB"/>
    <w:rsid w:val="00FB2C4D"/>
    <w:rsid w:val="00FB2D82"/>
    <w:rsid w:val="00FB32A5"/>
    <w:rsid w:val="00FB3362"/>
    <w:rsid w:val="00FB376F"/>
    <w:rsid w:val="00FB37A3"/>
    <w:rsid w:val="00FB400C"/>
    <w:rsid w:val="00FB40B9"/>
    <w:rsid w:val="00FB4158"/>
    <w:rsid w:val="00FB433D"/>
    <w:rsid w:val="00FB438F"/>
    <w:rsid w:val="00FB46CD"/>
    <w:rsid w:val="00FB4C63"/>
    <w:rsid w:val="00FB4FF8"/>
    <w:rsid w:val="00FB517E"/>
    <w:rsid w:val="00FB52BB"/>
    <w:rsid w:val="00FB5583"/>
    <w:rsid w:val="00FB5649"/>
    <w:rsid w:val="00FB5752"/>
    <w:rsid w:val="00FB596A"/>
    <w:rsid w:val="00FB59B8"/>
    <w:rsid w:val="00FB5B54"/>
    <w:rsid w:val="00FB609C"/>
    <w:rsid w:val="00FB60EF"/>
    <w:rsid w:val="00FB61AB"/>
    <w:rsid w:val="00FB62C9"/>
    <w:rsid w:val="00FB640A"/>
    <w:rsid w:val="00FB6566"/>
    <w:rsid w:val="00FB6685"/>
    <w:rsid w:val="00FB6971"/>
    <w:rsid w:val="00FB6CB2"/>
    <w:rsid w:val="00FB6F07"/>
    <w:rsid w:val="00FB717C"/>
    <w:rsid w:val="00FB7358"/>
    <w:rsid w:val="00FB7384"/>
    <w:rsid w:val="00FB7549"/>
    <w:rsid w:val="00FB7743"/>
    <w:rsid w:val="00FB7754"/>
    <w:rsid w:val="00FB77C2"/>
    <w:rsid w:val="00FB7A79"/>
    <w:rsid w:val="00FB7AAC"/>
    <w:rsid w:val="00FC0038"/>
    <w:rsid w:val="00FC01A1"/>
    <w:rsid w:val="00FC0480"/>
    <w:rsid w:val="00FC0B7F"/>
    <w:rsid w:val="00FC0DD2"/>
    <w:rsid w:val="00FC0E0D"/>
    <w:rsid w:val="00FC0F1A"/>
    <w:rsid w:val="00FC0F1F"/>
    <w:rsid w:val="00FC0F4C"/>
    <w:rsid w:val="00FC0F8D"/>
    <w:rsid w:val="00FC1080"/>
    <w:rsid w:val="00FC10C5"/>
    <w:rsid w:val="00FC12D1"/>
    <w:rsid w:val="00FC1307"/>
    <w:rsid w:val="00FC15DD"/>
    <w:rsid w:val="00FC17EC"/>
    <w:rsid w:val="00FC1B1E"/>
    <w:rsid w:val="00FC1DC7"/>
    <w:rsid w:val="00FC1E7A"/>
    <w:rsid w:val="00FC21E8"/>
    <w:rsid w:val="00FC228C"/>
    <w:rsid w:val="00FC23D3"/>
    <w:rsid w:val="00FC24DD"/>
    <w:rsid w:val="00FC257F"/>
    <w:rsid w:val="00FC2813"/>
    <w:rsid w:val="00FC2CCF"/>
    <w:rsid w:val="00FC2E1F"/>
    <w:rsid w:val="00FC2E20"/>
    <w:rsid w:val="00FC315A"/>
    <w:rsid w:val="00FC35DE"/>
    <w:rsid w:val="00FC3790"/>
    <w:rsid w:val="00FC39EE"/>
    <w:rsid w:val="00FC3AB2"/>
    <w:rsid w:val="00FC3B18"/>
    <w:rsid w:val="00FC3C7A"/>
    <w:rsid w:val="00FC3FA1"/>
    <w:rsid w:val="00FC3FD6"/>
    <w:rsid w:val="00FC4496"/>
    <w:rsid w:val="00FC4652"/>
    <w:rsid w:val="00FC4C9D"/>
    <w:rsid w:val="00FC4E96"/>
    <w:rsid w:val="00FC4EF3"/>
    <w:rsid w:val="00FC5043"/>
    <w:rsid w:val="00FC5143"/>
    <w:rsid w:val="00FC5560"/>
    <w:rsid w:val="00FC56BA"/>
    <w:rsid w:val="00FC5ECF"/>
    <w:rsid w:val="00FC6402"/>
    <w:rsid w:val="00FC64C7"/>
    <w:rsid w:val="00FC656B"/>
    <w:rsid w:val="00FC672E"/>
    <w:rsid w:val="00FC6A30"/>
    <w:rsid w:val="00FC6AD1"/>
    <w:rsid w:val="00FC6C08"/>
    <w:rsid w:val="00FC6D90"/>
    <w:rsid w:val="00FC7217"/>
    <w:rsid w:val="00FC725C"/>
    <w:rsid w:val="00FC74D8"/>
    <w:rsid w:val="00FC7A09"/>
    <w:rsid w:val="00FC7CD6"/>
    <w:rsid w:val="00FC7D18"/>
    <w:rsid w:val="00FC7FA7"/>
    <w:rsid w:val="00FD006B"/>
    <w:rsid w:val="00FD0281"/>
    <w:rsid w:val="00FD05D2"/>
    <w:rsid w:val="00FD08F6"/>
    <w:rsid w:val="00FD098A"/>
    <w:rsid w:val="00FD0AE3"/>
    <w:rsid w:val="00FD0D0A"/>
    <w:rsid w:val="00FD0F58"/>
    <w:rsid w:val="00FD12B5"/>
    <w:rsid w:val="00FD133C"/>
    <w:rsid w:val="00FD15A3"/>
    <w:rsid w:val="00FD169B"/>
    <w:rsid w:val="00FD16B7"/>
    <w:rsid w:val="00FD16E2"/>
    <w:rsid w:val="00FD1763"/>
    <w:rsid w:val="00FD2225"/>
    <w:rsid w:val="00FD2459"/>
    <w:rsid w:val="00FD275D"/>
    <w:rsid w:val="00FD2A13"/>
    <w:rsid w:val="00FD2BFA"/>
    <w:rsid w:val="00FD3084"/>
    <w:rsid w:val="00FD3112"/>
    <w:rsid w:val="00FD3463"/>
    <w:rsid w:val="00FD36FA"/>
    <w:rsid w:val="00FD3716"/>
    <w:rsid w:val="00FD3870"/>
    <w:rsid w:val="00FD3C2A"/>
    <w:rsid w:val="00FD3C6F"/>
    <w:rsid w:val="00FD3CB2"/>
    <w:rsid w:val="00FD4057"/>
    <w:rsid w:val="00FD4A47"/>
    <w:rsid w:val="00FD4F1B"/>
    <w:rsid w:val="00FD507A"/>
    <w:rsid w:val="00FD531F"/>
    <w:rsid w:val="00FD53AF"/>
    <w:rsid w:val="00FD562A"/>
    <w:rsid w:val="00FD5726"/>
    <w:rsid w:val="00FD5859"/>
    <w:rsid w:val="00FD59D7"/>
    <w:rsid w:val="00FD5B27"/>
    <w:rsid w:val="00FD5BAD"/>
    <w:rsid w:val="00FD5C54"/>
    <w:rsid w:val="00FD5EA7"/>
    <w:rsid w:val="00FD5FF6"/>
    <w:rsid w:val="00FD61D5"/>
    <w:rsid w:val="00FD696B"/>
    <w:rsid w:val="00FD6A4A"/>
    <w:rsid w:val="00FD6B63"/>
    <w:rsid w:val="00FD7054"/>
    <w:rsid w:val="00FD7162"/>
    <w:rsid w:val="00FD740E"/>
    <w:rsid w:val="00FD7764"/>
    <w:rsid w:val="00FE00C2"/>
    <w:rsid w:val="00FE045C"/>
    <w:rsid w:val="00FE0650"/>
    <w:rsid w:val="00FE0803"/>
    <w:rsid w:val="00FE08BF"/>
    <w:rsid w:val="00FE08C9"/>
    <w:rsid w:val="00FE0D68"/>
    <w:rsid w:val="00FE0D6E"/>
    <w:rsid w:val="00FE0F20"/>
    <w:rsid w:val="00FE1138"/>
    <w:rsid w:val="00FE1453"/>
    <w:rsid w:val="00FE1DE5"/>
    <w:rsid w:val="00FE2130"/>
    <w:rsid w:val="00FE213A"/>
    <w:rsid w:val="00FE2263"/>
    <w:rsid w:val="00FE26C1"/>
    <w:rsid w:val="00FE2756"/>
    <w:rsid w:val="00FE28B9"/>
    <w:rsid w:val="00FE2A34"/>
    <w:rsid w:val="00FE2C54"/>
    <w:rsid w:val="00FE3536"/>
    <w:rsid w:val="00FE35B7"/>
    <w:rsid w:val="00FE3637"/>
    <w:rsid w:val="00FE3658"/>
    <w:rsid w:val="00FE36B3"/>
    <w:rsid w:val="00FE38B4"/>
    <w:rsid w:val="00FE40BE"/>
    <w:rsid w:val="00FE422B"/>
    <w:rsid w:val="00FE47C4"/>
    <w:rsid w:val="00FE485A"/>
    <w:rsid w:val="00FE486D"/>
    <w:rsid w:val="00FE4895"/>
    <w:rsid w:val="00FE48F2"/>
    <w:rsid w:val="00FE4AD0"/>
    <w:rsid w:val="00FE4C31"/>
    <w:rsid w:val="00FE4D96"/>
    <w:rsid w:val="00FE4EDC"/>
    <w:rsid w:val="00FE5219"/>
    <w:rsid w:val="00FE5244"/>
    <w:rsid w:val="00FE52F7"/>
    <w:rsid w:val="00FE55BB"/>
    <w:rsid w:val="00FE5894"/>
    <w:rsid w:val="00FE5C19"/>
    <w:rsid w:val="00FE5DA3"/>
    <w:rsid w:val="00FE5ED0"/>
    <w:rsid w:val="00FE6279"/>
    <w:rsid w:val="00FE62F0"/>
    <w:rsid w:val="00FE65B2"/>
    <w:rsid w:val="00FE6785"/>
    <w:rsid w:val="00FE6B84"/>
    <w:rsid w:val="00FE6E22"/>
    <w:rsid w:val="00FE6ED8"/>
    <w:rsid w:val="00FE71B6"/>
    <w:rsid w:val="00FE77A6"/>
    <w:rsid w:val="00FE7933"/>
    <w:rsid w:val="00FE7C78"/>
    <w:rsid w:val="00FE7D51"/>
    <w:rsid w:val="00FE7F3A"/>
    <w:rsid w:val="00FE7F55"/>
    <w:rsid w:val="00FF007B"/>
    <w:rsid w:val="00FF01C6"/>
    <w:rsid w:val="00FF04F2"/>
    <w:rsid w:val="00FF051C"/>
    <w:rsid w:val="00FF057C"/>
    <w:rsid w:val="00FF05FF"/>
    <w:rsid w:val="00FF0AFA"/>
    <w:rsid w:val="00FF0C40"/>
    <w:rsid w:val="00FF0E9A"/>
    <w:rsid w:val="00FF0F3F"/>
    <w:rsid w:val="00FF1049"/>
    <w:rsid w:val="00FF1168"/>
    <w:rsid w:val="00FF16C8"/>
    <w:rsid w:val="00FF188A"/>
    <w:rsid w:val="00FF1D73"/>
    <w:rsid w:val="00FF2112"/>
    <w:rsid w:val="00FF2385"/>
    <w:rsid w:val="00FF2648"/>
    <w:rsid w:val="00FF26F3"/>
    <w:rsid w:val="00FF293C"/>
    <w:rsid w:val="00FF2B5B"/>
    <w:rsid w:val="00FF2BA5"/>
    <w:rsid w:val="00FF302F"/>
    <w:rsid w:val="00FF30A6"/>
    <w:rsid w:val="00FF367F"/>
    <w:rsid w:val="00FF3712"/>
    <w:rsid w:val="00FF3868"/>
    <w:rsid w:val="00FF3982"/>
    <w:rsid w:val="00FF3C50"/>
    <w:rsid w:val="00FF3FF6"/>
    <w:rsid w:val="00FF4018"/>
    <w:rsid w:val="00FF41E2"/>
    <w:rsid w:val="00FF430C"/>
    <w:rsid w:val="00FF444E"/>
    <w:rsid w:val="00FF45DC"/>
    <w:rsid w:val="00FF49F8"/>
    <w:rsid w:val="00FF4E98"/>
    <w:rsid w:val="00FF5046"/>
    <w:rsid w:val="00FF5304"/>
    <w:rsid w:val="00FF5557"/>
    <w:rsid w:val="00FF5655"/>
    <w:rsid w:val="00FF5819"/>
    <w:rsid w:val="00FF590A"/>
    <w:rsid w:val="00FF5E0C"/>
    <w:rsid w:val="00FF5E29"/>
    <w:rsid w:val="00FF5E3A"/>
    <w:rsid w:val="00FF5E6D"/>
    <w:rsid w:val="00FF5F3F"/>
    <w:rsid w:val="00FF6126"/>
    <w:rsid w:val="00FF64F1"/>
    <w:rsid w:val="00FF6584"/>
    <w:rsid w:val="00FF6D71"/>
    <w:rsid w:val="00FF6DE7"/>
    <w:rsid w:val="00FF6F65"/>
    <w:rsid w:val="00FF7155"/>
    <w:rsid w:val="00FF71D3"/>
    <w:rsid w:val="00FF71E6"/>
    <w:rsid w:val="00FF7235"/>
    <w:rsid w:val="00FF7260"/>
    <w:rsid w:val="00FF73C2"/>
    <w:rsid w:val="00FF776C"/>
    <w:rsid w:val="00FF7E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CEBB43-2F13-4792-B0BB-F34D14A6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857"/>
    <w:pPr>
      <w:jc w:val="both"/>
    </w:pPr>
    <w:rPr>
      <w:rFonts w:ascii="Times New Roman" w:hAnsi="Times New Roman"/>
      <w:sz w:val="24"/>
      <w:szCs w:val="22"/>
      <w:lang w:eastAsia="en-US"/>
    </w:rPr>
  </w:style>
  <w:style w:type="paragraph" w:styleId="Balk1">
    <w:name w:val="heading 1"/>
    <w:aliases w:val="KİTAP"/>
    <w:basedOn w:val="Normal"/>
    <w:next w:val="Normal"/>
    <w:link w:val="Balk1Char"/>
    <w:qFormat/>
    <w:rsid w:val="00E96205"/>
    <w:pPr>
      <w:keepNext/>
      <w:jc w:val="center"/>
      <w:outlineLvl w:val="0"/>
    </w:pPr>
    <w:rPr>
      <w:rFonts w:eastAsia="Times New Roman"/>
      <w:b/>
      <w:bCs/>
      <w:color w:val="0000FF"/>
      <w:kern w:val="32"/>
      <w:szCs w:val="32"/>
      <w:lang w:val="x-none"/>
    </w:rPr>
  </w:style>
  <w:style w:type="paragraph" w:styleId="Balk2">
    <w:name w:val="heading 2"/>
    <w:aliases w:val="KISIM"/>
    <w:basedOn w:val="Normal"/>
    <w:next w:val="Normal"/>
    <w:link w:val="Balk2Char"/>
    <w:uiPriority w:val="9"/>
    <w:unhideWhenUsed/>
    <w:qFormat/>
    <w:rsid w:val="00E96205"/>
    <w:pPr>
      <w:keepNext/>
      <w:jc w:val="center"/>
      <w:outlineLvl w:val="1"/>
    </w:pPr>
    <w:rPr>
      <w:rFonts w:eastAsia="Times New Roman"/>
      <w:b/>
      <w:bCs/>
      <w:iCs/>
      <w:color w:val="0000FF"/>
      <w:szCs w:val="28"/>
      <w:lang w:val="x-none"/>
    </w:rPr>
  </w:style>
  <w:style w:type="paragraph" w:styleId="Balk3">
    <w:name w:val="heading 3"/>
    <w:aliases w:val="BÖLÜM"/>
    <w:basedOn w:val="Normal"/>
    <w:next w:val="Normal"/>
    <w:link w:val="Balk3Char"/>
    <w:uiPriority w:val="9"/>
    <w:unhideWhenUsed/>
    <w:qFormat/>
    <w:rsid w:val="00E96205"/>
    <w:pPr>
      <w:keepNext/>
      <w:jc w:val="center"/>
      <w:outlineLvl w:val="2"/>
    </w:pPr>
    <w:rPr>
      <w:rFonts w:eastAsia="Times New Roman"/>
      <w:b/>
      <w:bCs/>
      <w:color w:val="0000FF"/>
      <w:szCs w:val="26"/>
      <w:lang w:val="x-none"/>
    </w:rPr>
  </w:style>
  <w:style w:type="paragraph" w:styleId="Balk4">
    <w:name w:val="heading 4"/>
    <w:aliases w:val="AYRIM"/>
    <w:basedOn w:val="Normal"/>
    <w:next w:val="Normal"/>
    <w:link w:val="Balk4Char"/>
    <w:uiPriority w:val="9"/>
    <w:unhideWhenUsed/>
    <w:qFormat/>
    <w:rsid w:val="00E96205"/>
    <w:pPr>
      <w:keepNext/>
      <w:jc w:val="center"/>
      <w:outlineLvl w:val="3"/>
    </w:pPr>
    <w:rPr>
      <w:rFonts w:eastAsia="Times New Roman"/>
      <w:b/>
      <w:bCs/>
      <w:color w:val="0000FF"/>
      <w:szCs w:val="28"/>
      <w:lang w:val="x-none"/>
    </w:rPr>
  </w:style>
  <w:style w:type="paragraph" w:styleId="Balk5">
    <w:name w:val="heading 5"/>
    <w:aliases w:val="ALT AYRIM"/>
    <w:basedOn w:val="Normal"/>
    <w:next w:val="Normal"/>
    <w:link w:val="Balk5Char"/>
    <w:uiPriority w:val="9"/>
    <w:unhideWhenUsed/>
    <w:qFormat/>
    <w:rsid w:val="00E96205"/>
    <w:pPr>
      <w:jc w:val="center"/>
      <w:outlineLvl w:val="4"/>
    </w:pPr>
    <w:rPr>
      <w:rFonts w:eastAsia="Times New Roman"/>
      <w:b/>
      <w:bCs/>
      <w:iCs/>
      <w:color w:val="0000FF"/>
      <w:szCs w:val="26"/>
      <w:lang w:val="x-none"/>
    </w:rPr>
  </w:style>
  <w:style w:type="paragraph" w:styleId="Balk6">
    <w:name w:val="heading 6"/>
    <w:basedOn w:val="Normal"/>
    <w:link w:val="Balk6Char"/>
    <w:uiPriority w:val="99"/>
    <w:qFormat/>
    <w:rsid w:val="00ED54DC"/>
    <w:pPr>
      <w:keepNext/>
      <w:autoSpaceDE w:val="0"/>
      <w:autoSpaceDN w:val="0"/>
      <w:spacing w:line="240" w:lineRule="atLeast"/>
      <w:ind w:firstLine="540"/>
      <w:outlineLvl w:val="5"/>
    </w:pPr>
    <w:rPr>
      <w:rFonts w:eastAsia="Times New Roman"/>
      <w:i/>
      <w:iCs/>
      <w:sz w:val="18"/>
      <w:szCs w:val="18"/>
      <w:lang w:val="x-none" w:eastAsia="x-none"/>
    </w:rPr>
  </w:style>
  <w:style w:type="paragraph" w:styleId="Balk7">
    <w:name w:val="heading 7"/>
    <w:basedOn w:val="Normal"/>
    <w:next w:val="Normal"/>
    <w:link w:val="Balk7Char"/>
    <w:uiPriority w:val="9"/>
    <w:semiHidden/>
    <w:unhideWhenUsed/>
    <w:rsid w:val="00A46C6E"/>
    <w:pPr>
      <w:keepNext/>
      <w:keepLines/>
      <w:spacing w:before="40"/>
      <w:outlineLvl w:val="6"/>
    </w:pPr>
    <w:rPr>
      <w:rFonts w:ascii="Calibri" w:eastAsia="Times New Roman" w:hAnsi="Calibri"/>
      <w:color w:val="595959"/>
      <w:sz w:val="20"/>
      <w:szCs w:val="20"/>
      <w:lang w:val="x-none" w:eastAsia="x-none"/>
    </w:rPr>
  </w:style>
  <w:style w:type="paragraph" w:styleId="Balk8">
    <w:name w:val="heading 8"/>
    <w:basedOn w:val="Normal"/>
    <w:next w:val="Normal"/>
    <w:link w:val="Balk8Char"/>
    <w:uiPriority w:val="9"/>
    <w:semiHidden/>
    <w:unhideWhenUsed/>
    <w:qFormat/>
    <w:rsid w:val="00A46C6E"/>
    <w:pPr>
      <w:keepNext/>
      <w:keepLines/>
      <w:spacing w:before="40"/>
      <w:outlineLvl w:val="7"/>
    </w:pPr>
    <w:rPr>
      <w:rFonts w:ascii="Calibri" w:eastAsia="Times New Roman" w:hAnsi="Calibri"/>
      <w:i/>
      <w:iCs/>
      <w:color w:val="272727"/>
      <w:sz w:val="20"/>
      <w:szCs w:val="20"/>
      <w:lang w:val="x-none" w:eastAsia="x-none"/>
    </w:rPr>
  </w:style>
  <w:style w:type="paragraph" w:styleId="Balk9">
    <w:name w:val="heading 9"/>
    <w:basedOn w:val="Normal"/>
    <w:next w:val="Normal"/>
    <w:link w:val="Balk9Char"/>
    <w:uiPriority w:val="9"/>
    <w:semiHidden/>
    <w:unhideWhenUsed/>
    <w:qFormat/>
    <w:rsid w:val="00A46C6E"/>
    <w:pPr>
      <w:keepNext/>
      <w:keepLines/>
      <w:spacing w:before="40"/>
      <w:outlineLvl w:val="8"/>
    </w:pPr>
    <w:rPr>
      <w:rFonts w:ascii="Calibri" w:eastAsia="Times New Roman" w:hAnsi="Calibri"/>
      <w:color w:val="272727"/>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rsid w:val="009E5F8E"/>
    <w:pPr>
      <w:spacing w:before="100" w:beforeAutospacing="1" w:after="119"/>
    </w:pPr>
    <w:rPr>
      <w:rFonts w:eastAsia="Times New Roman"/>
      <w:szCs w:val="24"/>
      <w:lang w:val="x-none" w:eastAsia="x-none"/>
    </w:rPr>
  </w:style>
  <w:style w:type="character" w:customStyle="1" w:styleId="NormalWebChar">
    <w:name w:val="Normal (Web) Char"/>
    <w:link w:val="NormalWeb"/>
    <w:rsid w:val="009E5F8E"/>
    <w:rPr>
      <w:rFonts w:ascii="Times New Roman" w:eastAsia="Times New Roman" w:hAnsi="Times New Roman"/>
      <w:sz w:val="24"/>
      <w:szCs w:val="24"/>
    </w:rPr>
  </w:style>
  <w:style w:type="table" w:styleId="TabloKlavuzu">
    <w:name w:val="Table Grid"/>
    <w:basedOn w:val="NormalTablo"/>
    <w:uiPriority w:val="59"/>
    <w:rsid w:val="00286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link w:val="Stil1Char"/>
    <w:rsid w:val="009645A6"/>
    <w:pPr>
      <w:tabs>
        <w:tab w:val="left" w:pos="567"/>
      </w:tabs>
    </w:pPr>
    <w:rPr>
      <w:rFonts w:eastAsia="Times New Roman"/>
      <w:b/>
      <w:color w:val="008000"/>
      <w:szCs w:val="24"/>
      <w:u w:val="single"/>
      <w:lang w:val="x-none" w:eastAsia="x-none"/>
    </w:rPr>
  </w:style>
  <w:style w:type="paragraph" w:customStyle="1" w:styleId="Stil2">
    <w:name w:val="Stil2"/>
    <w:basedOn w:val="Normal"/>
    <w:link w:val="Stil2Char"/>
    <w:rsid w:val="0043037C"/>
    <w:pPr>
      <w:tabs>
        <w:tab w:val="left" w:pos="567"/>
      </w:tabs>
    </w:pPr>
    <w:rPr>
      <w:rFonts w:eastAsia="Times New Roman"/>
      <w:b/>
      <w:color w:val="0000FF"/>
      <w:szCs w:val="24"/>
      <w:u w:val="single"/>
      <w:lang w:val="x-none" w:eastAsia="x-none"/>
    </w:rPr>
  </w:style>
  <w:style w:type="character" w:customStyle="1" w:styleId="Stil1Char">
    <w:name w:val="Stil1 Char"/>
    <w:link w:val="Stil1"/>
    <w:rsid w:val="009645A6"/>
    <w:rPr>
      <w:rFonts w:ascii="Times New Roman" w:eastAsia="Times New Roman" w:hAnsi="Times New Roman"/>
      <w:b/>
      <w:color w:val="008000"/>
      <w:sz w:val="24"/>
      <w:szCs w:val="24"/>
      <w:u w:val="single"/>
      <w:lang w:val="x-none" w:eastAsia="x-none"/>
    </w:rPr>
  </w:style>
  <w:style w:type="character" w:customStyle="1" w:styleId="Stil2Char">
    <w:name w:val="Stil2 Char"/>
    <w:link w:val="Stil2"/>
    <w:rsid w:val="0043037C"/>
    <w:rPr>
      <w:rFonts w:ascii="Times New Roman" w:eastAsia="Times New Roman" w:hAnsi="Times New Roman"/>
      <w:b/>
      <w:color w:val="0000FF"/>
      <w:sz w:val="24"/>
      <w:szCs w:val="24"/>
      <w:u w:val="single"/>
      <w:lang w:val="x-none" w:eastAsia="x-none"/>
    </w:rPr>
  </w:style>
  <w:style w:type="paragraph" w:customStyle="1" w:styleId="MaddeBasl">
    <w:name w:val="Madde Baslığı"/>
    <w:basedOn w:val="Normal"/>
    <w:next w:val="Normal"/>
    <w:rsid w:val="00232C76"/>
    <w:pPr>
      <w:tabs>
        <w:tab w:val="left" w:pos="567"/>
      </w:tabs>
      <w:spacing w:before="113"/>
    </w:pPr>
    <w:rPr>
      <w:rFonts w:ascii="New York" w:eastAsia="Times New Roman" w:hAnsi="New York"/>
      <w:i/>
      <w:sz w:val="18"/>
      <w:szCs w:val="20"/>
      <w:lang w:val="en-US" w:eastAsia="tr-TR"/>
    </w:rPr>
  </w:style>
  <w:style w:type="paragraph" w:customStyle="1" w:styleId="Stil3">
    <w:name w:val="Stil3"/>
    <w:basedOn w:val="Normal"/>
    <w:link w:val="Stil3Char"/>
    <w:rsid w:val="0043037C"/>
    <w:pPr>
      <w:tabs>
        <w:tab w:val="left" w:pos="567"/>
      </w:tabs>
    </w:pPr>
    <w:rPr>
      <w:rFonts w:eastAsia="Times New Roman"/>
      <w:b/>
      <w:strike/>
      <w:color w:val="FF0000"/>
      <w:szCs w:val="24"/>
      <w:lang w:val="x-none" w:eastAsia="x-none"/>
    </w:rPr>
  </w:style>
  <w:style w:type="character" w:customStyle="1" w:styleId="Stil3Char">
    <w:name w:val="Stil3 Char"/>
    <w:link w:val="Stil3"/>
    <w:rsid w:val="0043037C"/>
    <w:rPr>
      <w:rFonts w:ascii="Times New Roman" w:eastAsia="Times New Roman" w:hAnsi="Times New Roman"/>
      <w:b/>
      <w:strike/>
      <w:color w:val="FF0000"/>
      <w:sz w:val="24"/>
      <w:szCs w:val="24"/>
      <w:lang w:val="x-none" w:eastAsia="x-none"/>
    </w:rPr>
  </w:style>
  <w:style w:type="paragraph" w:customStyle="1" w:styleId="Stil4">
    <w:name w:val="Stil4"/>
    <w:basedOn w:val="Normal"/>
    <w:link w:val="Stil4Char"/>
    <w:rsid w:val="007500E9"/>
    <w:pPr>
      <w:tabs>
        <w:tab w:val="left" w:pos="567"/>
      </w:tabs>
    </w:pPr>
    <w:rPr>
      <w:rFonts w:ascii="Arial" w:eastAsia="Times New Roman" w:hAnsi="Arial"/>
      <w:b/>
      <w:color w:val="0000FF"/>
      <w:szCs w:val="24"/>
      <w:u w:val="single"/>
      <w:lang w:eastAsia="tr-TR"/>
    </w:rPr>
  </w:style>
  <w:style w:type="character" w:customStyle="1" w:styleId="Stil4Char">
    <w:name w:val="Stil4 Char"/>
    <w:link w:val="Stil4"/>
    <w:rsid w:val="007500E9"/>
    <w:rPr>
      <w:rFonts w:ascii="Arial" w:eastAsia="Times New Roman" w:hAnsi="Arial" w:cs="Arial"/>
      <w:b/>
      <w:color w:val="0000FF"/>
      <w:sz w:val="24"/>
      <w:szCs w:val="24"/>
      <w:u w:val="single"/>
      <w:lang w:val="tr-TR" w:eastAsia="tr-TR"/>
    </w:rPr>
  </w:style>
  <w:style w:type="paragraph" w:customStyle="1" w:styleId="YeniEklenen">
    <w:name w:val="Yeni Eklenen"/>
    <w:basedOn w:val="Normal"/>
    <w:link w:val="YeniEklenenChar"/>
    <w:rsid w:val="00FF1D73"/>
    <w:pPr>
      <w:tabs>
        <w:tab w:val="left" w:pos="566"/>
      </w:tabs>
      <w:autoSpaceDE w:val="0"/>
      <w:autoSpaceDN w:val="0"/>
      <w:adjustRightInd w:val="0"/>
    </w:pPr>
    <w:rPr>
      <w:rFonts w:eastAsia="Times New Roman"/>
      <w:b/>
      <w:color w:val="0000FF"/>
      <w:szCs w:val="24"/>
      <w:u w:val="single"/>
      <w:lang w:eastAsia="tr-TR"/>
    </w:rPr>
  </w:style>
  <w:style w:type="paragraph" w:customStyle="1" w:styleId="karlan">
    <w:name w:val="Çıkarılan"/>
    <w:basedOn w:val="Normal"/>
    <w:link w:val="karlanChar"/>
    <w:rsid w:val="00FF1D73"/>
    <w:pPr>
      <w:tabs>
        <w:tab w:val="left" w:pos="566"/>
      </w:tabs>
      <w:autoSpaceDE w:val="0"/>
      <w:autoSpaceDN w:val="0"/>
      <w:adjustRightInd w:val="0"/>
    </w:pPr>
    <w:rPr>
      <w:rFonts w:eastAsia="Times New Roman"/>
      <w:b/>
      <w:strike/>
      <w:color w:val="FF0000"/>
      <w:szCs w:val="24"/>
      <w:lang w:eastAsia="tr-TR"/>
    </w:rPr>
  </w:style>
  <w:style w:type="character" w:customStyle="1" w:styleId="YeniEklenenChar">
    <w:name w:val="Yeni Eklenen Char"/>
    <w:link w:val="YeniEklenen"/>
    <w:rsid w:val="00FF1D73"/>
    <w:rPr>
      <w:rFonts w:ascii="Times New Roman" w:eastAsia="Times New Roman" w:hAnsi="Times New Roman"/>
      <w:b/>
      <w:color w:val="0000FF"/>
      <w:sz w:val="24"/>
      <w:szCs w:val="24"/>
      <w:u w:val="single"/>
      <w:lang w:val="tr-TR" w:eastAsia="tr-TR"/>
    </w:rPr>
  </w:style>
  <w:style w:type="character" w:customStyle="1" w:styleId="karlanChar">
    <w:name w:val="Çıkarılan Char"/>
    <w:link w:val="karlan"/>
    <w:rsid w:val="00FF1D73"/>
    <w:rPr>
      <w:rFonts w:ascii="Times New Roman" w:eastAsia="Times New Roman" w:hAnsi="Times New Roman"/>
      <w:b/>
      <w:strike/>
      <w:color w:val="FF0000"/>
      <w:sz w:val="24"/>
      <w:szCs w:val="24"/>
      <w:lang w:val="tr-TR" w:eastAsia="tr-TR"/>
    </w:rPr>
  </w:style>
  <w:style w:type="character" w:customStyle="1" w:styleId="Balk1Char">
    <w:name w:val="Başlık 1 Char"/>
    <w:aliases w:val="KİTAP Char"/>
    <w:link w:val="Balk1"/>
    <w:rsid w:val="00E96205"/>
    <w:rPr>
      <w:rFonts w:ascii="Times New Roman" w:eastAsia="Times New Roman" w:hAnsi="Times New Roman"/>
      <w:b/>
      <w:bCs/>
      <w:color w:val="0000FF"/>
      <w:kern w:val="32"/>
      <w:sz w:val="24"/>
      <w:szCs w:val="32"/>
      <w:lang w:eastAsia="en-US"/>
    </w:rPr>
  </w:style>
  <w:style w:type="character" w:customStyle="1" w:styleId="Balk2Char">
    <w:name w:val="Başlık 2 Char"/>
    <w:aliases w:val="KISIM Char"/>
    <w:link w:val="Balk2"/>
    <w:uiPriority w:val="9"/>
    <w:rsid w:val="00E96205"/>
    <w:rPr>
      <w:rFonts w:ascii="Times New Roman" w:eastAsia="Times New Roman" w:hAnsi="Times New Roman"/>
      <w:b/>
      <w:bCs/>
      <w:iCs/>
      <w:color w:val="0000FF"/>
      <w:sz w:val="24"/>
      <w:szCs w:val="28"/>
      <w:lang w:eastAsia="en-US"/>
    </w:rPr>
  </w:style>
  <w:style w:type="character" w:customStyle="1" w:styleId="Balk3Char">
    <w:name w:val="Başlık 3 Char"/>
    <w:aliases w:val="BÖLÜM Char"/>
    <w:link w:val="Balk3"/>
    <w:uiPriority w:val="9"/>
    <w:rsid w:val="00E96205"/>
    <w:rPr>
      <w:rFonts w:ascii="Times New Roman" w:eastAsia="Times New Roman" w:hAnsi="Times New Roman"/>
      <w:b/>
      <w:bCs/>
      <w:color w:val="0000FF"/>
      <w:sz w:val="24"/>
      <w:szCs w:val="26"/>
      <w:lang w:eastAsia="en-US"/>
    </w:rPr>
  </w:style>
  <w:style w:type="character" w:customStyle="1" w:styleId="Balk4Char">
    <w:name w:val="Başlık 4 Char"/>
    <w:aliases w:val="AYRIM Char"/>
    <w:link w:val="Balk4"/>
    <w:uiPriority w:val="9"/>
    <w:rsid w:val="00E96205"/>
    <w:rPr>
      <w:rFonts w:ascii="Times New Roman" w:eastAsia="Times New Roman" w:hAnsi="Times New Roman"/>
      <w:b/>
      <w:bCs/>
      <w:color w:val="0000FF"/>
      <w:sz w:val="24"/>
      <w:szCs w:val="28"/>
      <w:lang w:eastAsia="en-US"/>
    </w:rPr>
  </w:style>
  <w:style w:type="paragraph" w:styleId="T1">
    <w:name w:val="toc 1"/>
    <w:basedOn w:val="Normal"/>
    <w:next w:val="Normal"/>
    <w:autoRedefine/>
    <w:uiPriority w:val="39"/>
    <w:unhideWhenUsed/>
    <w:rsid w:val="0097388A"/>
  </w:style>
  <w:style w:type="paragraph" w:styleId="T2">
    <w:name w:val="toc 2"/>
    <w:basedOn w:val="Normal"/>
    <w:next w:val="Normal"/>
    <w:autoRedefine/>
    <w:uiPriority w:val="39"/>
    <w:unhideWhenUsed/>
    <w:rsid w:val="0097388A"/>
    <w:pPr>
      <w:ind w:left="220"/>
    </w:pPr>
  </w:style>
  <w:style w:type="paragraph" w:styleId="T3">
    <w:name w:val="toc 3"/>
    <w:basedOn w:val="Normal"/>
    <w:next w:val="Normal"/>
    <w:autoRedefine/>
    <w:uiPriority w:val="39"/>
    <w:unhideWhenUsed/>
    <w:rsid w:val="0097388A"/>
    <w:pPr>
      <w:ind w:left="440"/>
    </w:pPr>
  </w:style>
  <w:style w:type="paragraph" w:styleId="T4">
    <w:name w:val="toc 4"/>
    <w:basedOn w:val="Normal"/>
    <w:next w:val="Normal"/>
    <w:autoRedefine/>
    <w:uiPriority w:val="39"/>
    <w:unhideWhenUsed/>
    <w:rsid w:val="0097388A"/>
    <w:pPr>
      <w:ind w:left="660"/>
    </w:pPr>
  </w:style>
  <w:style w:type="character" w:styleId="Kpr">
    <w:name w:val="Hyperlink"/>
    <w:uiPriority w:val="99"/>
    <w:unhideWhenUsed/>
    <w:rsid w:val="0097388A"/>
    <w:rPr>
      <w:color w:val="0000FF"/>
      <w:u w:val="single"/>
    </w:rPr>
  </w:style>
  <w:style w:type="numbering" w:customStyle="1" w:styleId="ListeYok1">
    <w:name w:val="Liste Yok1"/>
    <w:next w:val="ListeYok"/>
    <w:uiPriority w:val="99"/>
    <w:semiHidden/>
    <w:unhideWhenUsed/>
    <w:rsid w:val="00830639"/>
  </w:style>
  <w:style w:type="table" w:customStyle="1" w:styleId="TabloKlavuzu1">
    <w:name w:val="Tablo Kılavuzu1"/>
    <w:basedOn w:val="NormalTablo"/>
    <w:next w:val="TabloKlavuzu"/>
    <w:uiPriority w:val="99"/>
    <w:rsid w:val="008306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7">
    <w:name w:val="Stil7"/>
    <w:basedOn w:val="Normal"/>
    <w:link w:val="Stil7Char"/>
    <w:uiPriority w:val="99"/>
    <w:rsid w:val="00830639"/>
    <w:pPr>
      <w:tabs>
        <w:tab w:val="left" w:pos="567"/>
      </w:tabs>
      <w:ind w:firstLine="720"/>
    </w:pPr>
    <w:rPr>
      <w:b/>
      <w:bCs/>
      <w:color w:val="0000FF"/>
      <w:szCs w:val="24"/>
      <w:u w:val="single"/>
      <w:lang w:val="x-none" w:eastAsia="x-none"/>
    </w:rPr>
  </w:style>
  <w:style w:type="character" w:customStyle="1" w:styleId="Stil7Char">
    <w:name w:val="Stil7 Char"/>
    <w:link w:val="Stil7"/>
    <w:uiPriority w:val="99"/>
    <w:locked/>
    <w:rsid w:val="00830639"/>
    <w:rPr>
      <w:rFonts w:ascii="Times New Roman" w:hAnsi="Times New Roman"/>
      <w:b/>
      <w:bCs/>
      <w:color w:val="0000FF"/>
      <w:sz w:val="24"/>
      <w:szCs w:val="24"/>
      <w:u w:val="single"/>
      <w:lang w:val="x-none"/>
    </w:rPr>
  </w:style>
  <w:style w:type="paragraph" w:styleId="DipnotMetni">
    <w:name w:val="footnote text"/>
    <w:aliases w:val="Dipnot Metni1,Dipnot Metni Char Char Char,Dipnot Metni1 Char Char Char,Char Char,Dipnot Metni Char Char,Dipnot Metni Char Char Char Char Char Char Char Char Char Char Char Char Char Char Char Char"/>
    <w:basedOn w:val="Normal"/>
    <w:link w:val="DipnotMetniChar"/>
    <w:uiPriority w:val="99"/>
    <w:semiHidden/>
    <w:rsid w:val="00830639"/>
    <w:pPr>
      <w:spacing w:before="60"/>
      <w:ind w:left="284" w:hanging="284"/>
    </w:pPr>
    <w:rPr>
      <w:rFonts w:ascii="Arial" w:hAnsi="Arial"/>
      <w:sz w:val="16"/>
      <w:szCs w:val="16"/>
      <w:lang w:val="x-none" w:eastAsia="x-none"/>
    </w:rPr>
  </w:style>
  <w:style w:type="character" w:customStyle="1" w:styleId="DipnotMetniChar">
    <w:name w:val="Dipnot Metni Char"/>
    <w:aliases w:val="Dipnot Metni1 Char,Dipnot Metni Char Char Char Char,Dipnot Metni1 Char Char Char Char,Char Char Char,Dipnot Metni Char Char Char1,Dipnot Metni Char Char Char Char Char Char Char Char Char Char Char Char Char Char Char Char Char"/>
    <w:link w:val="DipnotMetni"/>
    <w:uiPriority w:val="99"/>
    <w:semiHidden/>
    <w:rsid w:val="00830639"/>
    <w:rPr>
      <w:rFonts w:ascii="Arial" w:hAnsi="Arial"/>
      <w:sz w:val="16"/>
      <w:szCs w:val="16"/>
    </w:rPr>
  </w:style>
  <w:style w:type="character" w:styleId="DipnotBavurusu">
    <w:name w:val="footnote reference"/>
    <w:uiPriority w:val="99"/>
    <w:semiHidden/>
    <w:rsid w:val="00830639"/>
    <w:rPr>
      <w:rFonts w:ascii="Arial" w:hAnsi="Arial" w:cs="Arial"/>
      <w:position w:val="1"/>
      <w:sz w:val="17"/>
      <w:szCs w:val="17"/>
      <w:vertAlign w:val="superscript"/>
    </w:rPr>
  </w:style>
  <w:style w:type="paragraph" w:customStyle="1" w:styleId="Default">
    <w:name w:val="Default"/>
    <w:rsid w:val="00830639"/>
    <w:pPr>
      <w:autoSpaceDE w:val="0"/>
      <w:autoSpaceDN w:val="0"/>
      <w:adjustRightInd w:val="0"/>
    </w:pPr>
    <w:rPr>
      <w:rFonts w:ascii="Times New Roman" w:eastAsia="Times New Roman" w:hAnsi="Times New Roman"/>
      <w:color w:val="000000"/>
      <w:sz w:val="24"/>
      <w:szCs w:val="24"/>
    </w:rPr>
  </w:style>
  <w:style w:type="paragraph" w:styleId="ListeParagraf">
    <w:name w:val="List Paragraph"/>
    <w:basedOn w:val="Normal"/>
    <w:link w:val="ListeParagrafChar"/>
    <w:uiPriority w:val="34"/>
    <w:qFormat/>
    <w:rsid w:val="00830639"/>
    <w:pPr>
      <w:ind w:left="720"/>
    </w:pPr>
    <w:rPr>
      <w:rFonts w:eastAsia="Times New Roman"/>
      <w:sz w:val="20"/>
      <w:szCs w:val="20"/>
      <w:lang w:val="x-none" w:eastAsia="x-none"/>
    </w:rPr>
  </w:style>
  <w:style w:type="character" w:customStyle="1" w:styleId="Yenieklenen0">
    <w:name w:val="Yeni eklenen"/>
    <w:uiPriority w:val="99"/>
    <w:rsid w:val="00830639"/>
    <w:rPr>
      <w:b/>
      <w:bCs/>
      <w:color w:val="0000FF"/>
      <w:sz w:val="24"/>
      <w:szCs w:val="24"/>
      <w:u w:val="single"/>
    </w:rPr>
  </w:style>
  <w:style w:type="character" w:customStyle="1" w:styleId="Normal-">
    <w:name w:val="Normal-"/>
    <w:uiPriority w:val="99"/>
    <w:rsid w:val="00830639"/>
    <w:rPr>
      <w:sz w:val="24"/>
      <w:szCs w:val="24"/>
    </w:rPr>
  </w:style>
  <w:style w:type="paragraph" w:styleId="BalonMetni">
    <w:name w:val="Balloon Text"/>
    <w:basedOn w:val="Normal"/>
    <w:link w:val="BalonMetniChar"/>
    <w:uiPriority w:val="99"/>
    <w:rsid w:val="00830639"/>
    <w:rPr>
      <w:rFonts w:ascii="Tahoma" w:hAnsi="Tahoma"/>
      <w:sz w:val="16"/>
      <w:szCs w:val="16"/>
      <w:lang w:val="x-none" w:eastAsia="x-none"/>
    </w:rPr>
  </w:style>
  <w:style w:type="character" w:customStyle="1" w:styleId="BalonMetniChar">
    <w:name w:val="Balon Metni Char"/>
    <w:link w:val="BalonMetni"/>
    <w:uiPriority w:val="99"/>
    <w:rsid w:val="00830639"/>
    <w:rPr>
      <w:rFonts w:ascii="Tahoma" w:hAnsi="Tahoma"/>
      <w:sz w:val="16"/>
      <w:szCs w:val="16"/>
      <w:lang w:val="x-none"/>
    </w:rPr>
  </w:style>
  <w:style w:type="character" w:styleId="HafifBavuru">
    <w:name w:val="Subtle Reference"/>
    <w:uiPriority w:val="31"/>
    <w:rsid w:val="00830639"/>
    <w:rPr>
      <w:smallCaps/>
      <w:color w:val="5A5A5A"/>
    </w:rPr>
  </w:style>
  <w:style w:type="paragraph" w:customStyle="1" w:styleId="KIRMIZI">
    <w:name w:val="KIRMIZI"/>
    <w:basedOn w:val="Normal"/>
    <w:link w:val="KIRMIZIChar"/>
    <w:qFormat/>
    <w:rsid w:val="00830639"/>
    <w:pPr>
      <w:tabs>
        <w:tab w:val="left" w:pos="567"/>
      </w:tabs>
    </w:pPr>
    <w:rPr>
      <w:rFonts w:eastAsia="Times New Roman"/>
      <w:b/>
      <w:bCs/>
      <w:strike/>
      <w:color w:val="FF0000"/>
      <w:szCs w:val="24"/>
      <w:lang w:val="x-none" w:eastAsia="x-none"/>
    </w:rPr>
  </w:style>
  <w:style w:type="paragraph" w:customStyle="1" w:styleId="MAV">
    <w:name w:val="MAVİ"/>
    <w:basedOn w:val="Normal"/>
    <w:link w:val="MAVChar"/>
    <w:qFormat/>
    <w:rsid w:val="00830639"/>
    <w:rPr>
      <w:rFonts w:eastAsia="Times New Roman"/>
      <w:b/>
      <w:bCs/>
      <w:color w:val="0000FF"/>
      <w:szCs w:val="24"/>
      <w:u w:val="single"/>
      <w:lang w:val="x-none" w:eastAsia="x-none"/>
    </w:rPr>
  </w:style>
  <w:style w:type="character" w:customStyle="1" w:styleId="KIRMIZIChar">
    <w:name w:val="KIRMIZI Char"/>
    <w:link w:val="KIRMIZI"/>
    <w:rsid w:val="00830639"/>
    <w:rPr>
      <w:rFonts w:ascii="Times New Roman" w:eastAsia="Times New Roman" w:hAnsi="Times New Roman"/>
      <w:b/>
      <w:bCs/>
      <w:strike/>
      <w:color w:val="FF0000"/>
      <w:sz w:val="24"/>
      <w:szCs w:val="24"/>
    </w:rPr>
  </w:style>
  <w:style w:type="paragraph" w:customStyle="1" w:styleId="AltKonuBal">
    <w:name w:val="Alt Konu Başlığı"/>
    <w:basedOn w:val="Normal"/>
    <w:next w:val="Normal"/>
    <w:link w:val="AltKonuBalChar1"/>
    <w:uiPriority w:val="11"/>
    <w:qFormat/>
    <w:rsid w:val="00EF071F"/>
    <w:pPr>
      <w:outlineLvl w:val="1"/>
    </w:pPr>
    <w:rPr>
      <w:rFonts w:eastAsia="Times New Roman"/>
      <w:b/>
      <w:color w:val="FF0000"/>
      <w:szCs w:val="24"/>
      <w:lang w:val="x-none" w:eastAsia="x-none"/>
    </w:rPr>
  </w:style>
  <w:style w:type="character" w:customStyle="1" w:styleId="AltKonuBalChar1">
    <w:name w:val="Alt Konu Başlığı Char1"/>
    <w:link w:val="AltKonuBal"/>
    <w:uiPriority w:val="11"/>
    <w:rsid w:val="00EF071F"/>
    <w:rPr>
      <w:rFonts w:ascii="Times New Roman" w:eastAsia="Times New Roman" w:hAnsi="Times New Roman"/>
      <w:b/>
      <w:color w:val="FF0000"/>
      <w:sz w:val="24"/>
      <w:szCs w:val="24"/>
      <w:lang w:val="x-none" w:eastAsia="x-none"/>
    </w:rPr>
  </w:style>
  <w:style w:type="character" w:customStyle="1" w:styleId="MAVChar">
    <w:name w:val="MAVİ Char"/>
    <w:link w:val="MAV"/>
    <w:rsid w:val="00830639"/>
    <w:rPr>
      <w:rFonts w:ascii="Times New Roman" w:eastAsia="Times New Roman" w:hAnsi="Times New Roman"/>
      <w:b/>
      <w:bCs/>
      <w:color w:val="0000FF"/>
      <w:sz w:val="24"/>
      <w:szCs w:val="24"/>
      <w:u w:val="single"/>
    </w:rPr>
  </w:style>
  <w:style w:type="character" w:customStyle="1" w:styleId="apple-converted-space">
    <w:name w:val="apple-converted-space"/>
    <w:rsid w:val="00830639"/>
  </w:style>
  <w:style w:type="character" w:customStyle="1" w:styleId="n">
    <w:name w:val="n"/>
    <w:rsid w:val="00830639"/>
  </w:style>
  <w:style w:type="paragraph" w:customStyle="1" w:styleId="stbilgi">
    <w:name w:val="Üstbilgi"/>
    <w:basedOn w:val="Normal"/>
    <w:link w:val="stbilgiChar1"/>
    <w:uiPriority w:val="99"/>
    <w:unhideWhenUsed/>
    <w:rsid w:val="00830639"/>
    <w:pPr>
      <w:tabs>
        <w:tab w:val="center" w:pos="4536"/>
        <w:tab w:val="right" w:pos="9072"/>
      </w:tabs>
    </w:pPr>
    <w:rPr>
      <w:rFonts w:eastAsia="Times New Roman"/>
      <w:sz w:val="20"/>
      <w:szCs w:val="20"/>
      <w:lang w:val="x-none" w:eastAsia="x-none"/>
    </w:rPr>
  </w:style>
  <w:style w:type="character" w:customStyle="1" w:styleId="stbilgiChar1">
    <w:name w:val="Üstbilgi Char1"/>
    <w:link w:val="stbilgi"/>
    <w:uiPriority w:val="99"/>
    <w:rsid w:val="00830639"/>
    <w:rPr>
      <w:rFonts w:ascii="Times New Roman" w:eastAsia="Times New Roman" w:hAnsi="Times New Roman"/>
    </w:rPr>
  </w:style>
  <w:style w:type="paragraph" w:customStyle="1" w:styleId="Altbilgi">
    <w:name w:val="Altbilgi"/>
    <w:basedOn w:val="Normal"/>
    <w:link w:val="AltbilgiChar1"/>
    <w:uiPriority w:val="99"/>
    <w:unhideWhenUsed/>
    <w:rsid w:val="00830639"/>
    <w:pPr>
      <w:tabs>
        <w:tab w:val="center" w:pos="4536"/>
        <w:tab w:val="right" w:pos="9072"/>
      </w:tabs>
    </w:pPr>
    <w:rPr>
      <w:rFonts w:eastAsia="Times New Roman"/>
      <w:sz w:val="20"/>
      <w:szCs w:val="20"/>
      <w:lang w:val="x-none" w:eastAsia="x-none"/>
    </w:rPr>
  </w:style>
  <w:style w:type="character" w:customStyle="1" w:styleId="AltbilgiChar1">
    <w:name w:val="Altbilgi Char1"/>
    <w:link w:val="Altbilgi"/>
    <w:uiPriority w:val="99"/>
    <w:rsid w:val="00830639"/>
    <w:rPr>
      <w:rFonts w:ascii="Times New Roman" w:eastAsia="Times New Roman" w:hAnsi="Times New Roman"/>
    </w:rPr>
  </w:style>
  <w:style w:type="numbering" w:customStyle="1" w:styleId="ListeYok2">
    <w:name w:val="Liste Yok2"/>
    <w:next w:val="ListeYok"/>
    <w:semiHidden/>
    <w:rsid w:val="00893B7D"/>
  </w:style>
  <w:style w:type="paragraph" w:customStyle="1" w:styleId="Yenieklenen--">
    <w:name w:val="Yeni eklenen--"/>
    <w:basedOn w:val="Normal"/>
    <w:link w:val="Yenieklenen--Char"/>
    <w:rsid w:val="00893B7D"/>
    <w:pPr>
      <w:tabs>
        <w:tab w:val="left" w:pos="567"/>
      </w:tabs>
      <w:autoSpaceDE w:val="0"/>
      <w:autoSpaceDN w:val="0"/>
      <w:adjustRightInd w:val="0"/>
    </w:pPr>
    <w:rPr>
      <w:rFonts w:eastAsia="Times New Roman"/>
      <w:b/>
      <w:bCs/>
      <w:color w:val="0000FF"/>
      <w:szCs w:val="24"/>
      <w:u w:val="single"/>
      <w:lang w:val="x-none" w:eastAsia="x-none"/>
    </w:rPr>
  </w:style>
  <w:style w:type="character" w:customStyle="1" w:styleId="Yenieklenen--Char">
    <w:name w:val="Yeni eklenen-- Char"/>
    <w:link w:val="Yenieklenen--"/>
    <w:rsid w:val="00893B7D"/>
    <w:rPr>
      <w:rFonts w:ascii="Times New Roman" w:eastAsia="Times New Roman" w:hAnsi="Times New Roman"/>
      <w:b/>
      <w:bCs/>
      <w:color w:val="0000FF"/>
      <w:sz w:val="24"/>
      <w:szCs w:val="24"/>
      <w:u w:val="single"/>
    </w:rPr>
  </w:style>
  <w:style w:type="paragraph" w:customStyle="1" w:styleId="karlan--">
    <w:name w:val="Çıkarılan--"/>
    <w:basedOn w:val="Normal"/>
    <w:link w:val="karlan--Char"/>
    <w:rsid w:val="00893B7D"/>
    <w:pPr>
      <w:tabs>
        <w:tab w:val="left" w:pos="567"/>
      </w:tabs>
      <w:autoSpaceDE w:val="0"/>
      <w:autoSpaceDN w:val="0"/>
      <w:adjustRightInd w:val="0"/>
    </w:pPr>
    <w:rPr>
      <w:rFonts w:eastAsia="Times New Roman"/>
      <w:b/>
      <w:bCs/>
      <w:strike/>
      <w:color w:val="FF0000"/>
      <w:szCs w:val="24"/>
      <w:lang w:val="x-none" w:eastAsia="x-none"/>
    </w:rPr>
  </w:style>
  <w:style w:type="character" w:customStyle="1" w:styleId="karlan--Char">
    <w:name w:val="Çıkarılan-- Char"/>
    <w:link w:val="karlan--"/>
    <w:rsid w:val="00893B7D"/>
    <w:rPr>
      <w:rFonts w:ascii="Times New Roman" w:eastAsia="Times New Roman" w:hAnsi="Times New Roman"/>
      <w:b/>
      <w:bCs/>
      <w:strike/>
      <w:color w:val="FF0000"/>
      <w:sz w:val="24"/>
      <w:szCs w:val="24"/>
    </w:rPr>
  </w:style>
  <w:style w:type="paragraph" w:customStyle="1" w:styleId="Normal--">
    <w:name w:val="Normal--"/>
    <w:basedOn w:val="Normal"/>
    <w:link w:val="Normal--Char"/>
    <w:rsid w:val="00893B7D"/>
    <w:pPr>
      <w:autoSpaceDE w:val="0"/>
      <w:autoSpaceDN w:val="0"/>
      <w:adjustRightInd w:val="0"/>
    </w:pPr>
    <w:rPr>
      <w:rFonts w:eastAsia="Times New Roman"/>
      <w:szCs w:val="24"/>
      <w:lang w:val="x-none" w:eastAsia="x-none"/>
    </w:rPr>
  </w:style>
  <w:style w:type="character" w:customStyle="1" w:styleId="Normal--Char">
    <w:name w:val="Normal-- Char"/>
    <w:link w:val="Normal--"/>
    <w:rsid w:val="00893B7D"/>
    <w:rPr>
      <w:rFonts w:ascii="Times New Roman" w:eastAsia="Times New Roman" w:hAnsi="Times New Roman"/>
      <w:sz w:val="24"/>
      <w:szCs w:val="24"/>
    </w:rPr>
  </w:style>
  <w:style w:type="paragraph" w:customStyle="1" w:styleId="5">
    <w:name w:val="5"/>
    <w:basedOn w:val="Normal"/>
    <w:next w:val="Altbilgi"/>
    <w:link w:val="AltbilgiChar"/>
    <w:uiPriority w:val="99"/>
    <w:rsid w:val="00893B7D"/>
    <w:pPr>
      <w:tabs>
        <w:tab w:val="center" w:pos="4536"/>
        <w:tab w:val="right" w:pos="9072"/>
      </w:tabs>
    </w:pPr>
    <w:rPr>
      <w:rFonts w:ascii="Calibri" w:hAnsi="Calibri"/>
      <w:szCs w:val="24"/>
      <w:lang w:val="x-none" w:eastAsia="x-none"/>
    </w:rPr>
  </w:style>
  <w:style w:type="character" w:customStyle="1" w:styleId="stbilgiChar">
    <w:name w:val="Üstbilgi Char"/>
    <w:link w:val="3"/>
    <w:uiPriority w:val="99"/>
    <w:rsid w:val="00893B7D"/>
    <w:rPr>
      <w:sz w:val="24"/>
      <w:szCs w:val="24"/>
      <w:lang w:val="tr-TR" w:eastAsia="tr-TR"/>
    </w:rPr>
  </w:style>
  <w:style w:type="character" w:customStyle="1" w:styleId="AltbilgiChar">
    <w:name w:val="Altbilgi Char"/>
    <w:link w:val="5"/>
    <w:uiPriority w:val="99"/>
    <w:rsid w:val="00893B7D"/>
    <w:rPr>
      <w:sz w:val="24"/>
      <w:szCs w:val="24"/>
    </w:rPr>
  </w:style>
  <w:style w:type="paragraph" w:customStyle="1" w:styleId="Char">
    <w:name w:val="Char"/>
    <w:basedOn w:val="Normal"/>
    <w:rsid w:val="00D906BC"/>
    <w:pPr>
      <w:spacing w:line="240" w:lineRule="exact"/>
    </w:pPr>
    <w:rPr>
      <w:rFonts w:ascii="Verdana" w:eastAsia="Times New Roman" w:hAnsi="Verdana"/>
      <w:sz w:val="20"/>
      <w:szCs w:val="20"/>
      <w:lang w:val="en-US"/>
    </w:rPr>
  </w:style>
  <w:style w:type="paragraph" w:customStyle="1" w:styleId="Nor">
    <w:name w:val="Nor."/>
    <w:basedOn w:val="Normal"/>
    <w:next w:val="Normal"/>
    <w:link w:val="NorChar"/>
    <w:rsid w:val="00E61143"/>
    <w:pPr>
      <w:tabs>
        <w:tab w:val="left" w:pos="567"/>
      </w:tabs>
    </w:pPr>
    <w:rPr>
      <w:rFonts w:ascii="New York" w:eastAsia="Times New Roman" w:hAnsi="New York"/>
      <w:sz w:val="18"/>
      <w:szCs w:val="20"/>
      <w:lang w:val="en-US" w:eastAsia="x-none"/>
    </w:rPr>
  </w:style>
  <w:style w:type="character" w:customStyle="1" w:styleId="Balk6Char">
    <w:name w:val="Başlık 6 Char"/>
    <w:link w:val="Balk6"/>
    <w:uiPriority w:val="99"/>
    <w:rsid w:val="00ED54DC"/>
    <w:rPr>
      <w:rFonts w:ascii="Times New Roman" w:eastAsia="Times New Roman" w:hAnsi="Times New Roman"/>
      <w:i/>
      <w:iCs/>
      <w:sz w:val="18"/>
      <w:szCs w:val="18"/>
    </w:rPr>
  </w:style>
  <w:style w:type="paragraph" w:customStyle="1" w:styleId="Belgedot">
    <w:name w:val="Belge.dot"/>
    <w:basedOn w:val="Normal"/>
    <w:rsid w:val="00ED54DC"/>
    <w:rPr>
      <w:rFonts w:eastAsia="Times New Roman"/>
      <w:szCs w:val="24"/>
      <w:lang w:eastAsia="tr-TR"/>
    </w:rPr>
  </w:style>
  <w:style w:type="paragraph" w:customStyle="1" w:styleId="4">
    <w:name w:val="4"/>
    <w:basedOn w:val="Normal"/>
    <w:next w:val="stbilgi"/>
    <w:rsid w:val="00ED54DC"/>
    <w:pPr>
      <w:tabs>
        <w:tab w:val="center" w:pos="4536"/>
        <w:tab w:val="right" w:pos="9072"/>
      </w:tabs>
    </w:pPr>
    <w:rPr>
      <w:rFonts w:eastAsia="Times New Roman"/>
      <w:szCs w:val="24"/>
      <w:lang w:eastAsia="tr-TR"/>
    </w:rPr>
  </w:style>
  <w:style w:type="character" w:styleId="SayfaNumaras">
    <w:name w:val="page number"/>
    <w:rsid w:val="00ED54DC"/>
  </w:style>
  <w:style w:type="numbering" w:customStyle="1" w:styleId="ListeYok3">
    <w:name w:val="Liste Yok3"/>
    <w:next w:val="ListeYok"/>
    <w:semiHidden/>
    <w:rsid w:val="00515384"/>
  </w:style>
  <w:style w:type="table" w:customStyle="1" w:styleId="TabloKlavuzu2">
    <w:name w:val="Tablo Kılavuzu2"/>
    <w:basedOn w:val="NormalTablo"/>
    <w:next w:val="TabloKlavuzu"/>
    <w:rsid w:val="0051538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rtlan-">
    <w:name w:val="Çıkartılan-"/>
    <w:basedOn w:val="Normal"/>
    <w:link w:val="kartlan-Char"/>
    <w:rsid w:val="00515384"/>
    <w:pPr>
      <w:tabs>
        <w:tab w:val="left" w:pos="567"/>
      </w:tabs>
      <w:ind w:firstLine="709"/>
    </w:pPr>
    <w:rPr>
      <w:rFonts w:eastAsia="Times New Roman"/>
      <w:b/>
      <w:strike/>
      <w:color w:val="FF0000"/>
      <w:szCs w:val="24"/>
      <w:lang w:val="x-none" w:eastAsia="x-none"/>
    </w:rPr>
  </w:style>
  <w:style w:type="character" w:customStyle="1" w:styleId="YenieklenenChar0">
    <w:name w:val="Yeni eklenen Char"/>
    <w:rsid w:val="00515384"/>
    <w:rPr>
      <w:b/>
      <w:color w:val="0000FF"/>
      <w:sz w:val="24"/>
      <w:szCs w:val="24"/>
      <w:u w:val="single"/>
      <w:lang w:val="tr-TR" w:eastAsia="tr-TR" w:bidi="ar-SA"/>
    </w:rPr>
  </w:style>
  <w:style w:type="character" w:customStyle="1" w:styleId="kartlan-Char">
    <w:name w:val="Çıkartılan- Char"/>
    <w:link w:val="kartlan-"/>
    <w:rsid w:val="00515384"/>
    <w:rPr>
      <w:rFonts w:ascii="Times New Roman" w:eastAsia="Times New Roman" w:hAnsi="Times New Roman"/>
      <w:b/>
      <w:strike/>
      <w:color w:val="FF0000"/>
      <w:sz w:val="24"/>
      <w:szCs w:val="24"/>
    </w:rPr>
  </w:style>
  <w:style w:type="character" w:customStyle="1" w:styleId="Normal-Char">
    <w:name w:val="Normal- Char"/>
    <w:rsid w:val="00515384"/>
    <w:rPr>
      <w:sz w:val="24"/>
      <w:szCs w:val="24"/>
      <w:lang w:val="tr-TR" w:eastAsia="tr-TR" w:bidi="ar-SA"/>
    </w:rPr>
  </w:style>
  <w:style w:type="paragraph" w:customStyle="1" w:styleId="Normal1">
    <w:name w:val="Normal1"/>
    <w:rsid w:val="00515384"/>
    <w:pPr>
      <w:tabs>
        <w:tab w:val="left" w:pos="566"/>
      </w:tabs>
      <w:jc w:val="both"/>
    </w:pPr>
    <w:rPr>
      <w:rFonts w:ascii="Times New Roman" w:eastAsia="ヒラギノ明朝 Pro W3" w:hAnsi="Times New Roman"/>
      <w:lang w:eastAsia="en-US"/>
    </w:rPr>
  </w:style>
  <w:style w:type="paragraph" w:customStyle="1" w:styleId="western">
    <w:name w:val="western"/>
    <w:basedOn w:val="Normal"/>
    <w:rsid w:val="00515384"/>
    <w:pPr>
      <w:spacing w:before="100" w:beforeAutospacing="1" w:after="142" w:line="288" w:lineRule="auto"/>
    </w:pPr>
    <w:rPr>
      <w:rFonts w:eastAsia="Times New Roman"/>
      <w:szCs w:val="24"/>
      <w:lang w:eastAsia="tr-TR"/>
    </w:rPr>
  </w:style>
  <w:style w:type="paragraph" w:customStyle="1" w:styleId="alf-apx-apf-ape-a1j-ji">
    <w:name w:val="alf-apx-apf-ape-a1j-ji"/>
    <w:basedOn w:val="Normal"/>
    <w:rsid w:val="00515384"/>
    <w:pPr>
      <w:spacing w:before="100" w:beforeAutospacing="1" w:after="100" w:afterAutospacing="1"/>
    </w:pPr>
    <w:rPr>
      <w:rFonts w:eastAsia="Times New Roman"/>
      <w:szCs w:val="24"/>
      <w:lang w:eastAsia="tr-TR"/>
    </w:rPr>
  </w:style>
  <w:style w:type="paragraph" w:customStyle="1" w:styleId="xmsonormal">
    <w:name w:val="x_msonormal"/>
    <w:basedOn w:val="Normal"/>
    <w:rsid w:val="00515384"/>
    <w:pPr>
      <w:spacing w:before="100" w:beforeAutospacing="1" w:after="100" w:afterAutospacing="1"/>
    </w:pPr>
    <w:rPr>
      <w:rFonts w:eastAsia="Times New Roman"/>
      <w:szCs w:val="24"/>
      <w:lang w:eastAsia="tr-TR"/>
    </w:rPr>
  </w:style>
  <w:style w:type="character" w:customStyle="1" w:styleId="AltKonuBalChar">
    <w:name w:val="Alt Konu Başlığı Char"/>
    <w:rsid w:val="00515384"/>
    <w:rPr>
      <w:rFonts w:ascii="Cambria" w:eastAsia="Times New Roman" w:hAnsi="Cambria" w:cs="Times New Roman"/>
      <w:sz w:val="24"/>
      <w:szCs w:val="24"/>
    </w:rPr>
  </w:style>
  <w:style w:type="paragraph" w:styleId="HTMLncedenBiimlendirilmi">
    <w:name w:val="HTML Preformatted"/>
    <w:basedOn w:val="Normal"/>
    <w:link w:val="HTMLncedenBiimlendirilmiChar"/>
    <w:uiPriority w:val="99"/>
    <w:unhideWhenUsed/>
    <w:rsid w:val="00515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ncedenBiimlendirilmiChar">
    <w:name w:val="HTML Önceden Biçimlendirilmiş Char"/>
    <w:link w:val="HTMLncedenBiimlendirilmi"/>
    <w:uiPriority w:val="99"/>
    <w:rsid w:val="00515384"/>
    <w:rPr>
      <w:rFonts w:ascii="Courier New" w:eastAsia="Times New Roman" w:hAnsi="Courier New" w:cs="Courier New"/>
    </w:rPr>
  </w:style>
  <w:style w:type="numbering" w:customStyle="1" w:styleId="ListeYok4">
    <w:name w:val="Liste Yok4"/>
    <w:next w:val="ListeYok"/>
    <w:semiHidden/>
    <w:rsid w:val="00AD5EDD"/>
  </w:style>
  <w:style w:type="table" w:customStyle="1" w:styleId="TabloKlavuzu3">
    <w:name w:val="Tablo Kılavuzu3"/>
    <w:basedOn w:val="NormalTablo"/>
    <w:next w:val="TabloKlavuzu"/>
    <w:rsid w:val="00AD5E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rlan-">
    <w:name w:val="Çıkarılan-"/>
    <w:basedOn w:val="Normal"/>
    <w:link w:val="karlan-Char"/>
    <w:rsid w:val="00AD5EDD"/>
    <w:pPr>
      <w:tabs>
        <w:tab w:val="left" w:pos="567"/>
      </w:tabs>
    </w:pPr>
    <w:rPr>
      <w:rFonts w:eastAsia="Times New Roman"/>
      <w:b/>
      <w:strike/>
      <w:color w:val="FF0000"/>
      <w:szCs w:val="24"/>
      <w:lang w:val="x-none" w:eastAsia="x-none"/>
    </w:rPr>
  </w:style>
  <w:style w:type="character" w:customStyle="1" w:styleId="karlan-Char">
    <w:name w:val="Çıkarılan- Char"/>
    <w:link w:val="karlan-"/>
    <w:rsid w:val="00AD5EDD"/>
    <w:rPr>
      <w:rFonts w:ascii="Times New Roman" w:eastAsia="Times New Roman" w:hAnsi="Times New Roman"/>
      <w:b/>
      <w:strike/>
      <w:color w:val="FF0000"/>
      <w:sz w:val="24"/>
      <w:szCs w:val="24"/>
    </w:rPr>
  </w:style>
  <w:style w:type="paragraph" w:customStyle="1" w:styleId="YeniEklenen-">
    <w:name w:val="Yeni Eklenen-"/>
    <w:basedOn w:val="Normal"/>
    <w:link w:val="YeniEklenen-Char"/>
    <w:rsid w:val="00AD5EDD"/>
    <w:pPr>
      <w:tabs>
        <w:tab w:val="left" w:pos="567"/>
      </w:tabs>
    </w:pPr>
    <w:rPr>
      <w:rFonts w:eastAsia="Times New Roman"/>
      <w:b/>
      <w:color w:val="0000FF"/>
      <w:szCs w:val="24"/>
      <w:u w:val="single"/>
      <w:lang w:val="x-none" w:eastAsia="x-none"/>
    </w:rPr>
  </w:style>
  <w:style w:type="character" w:customStyle="1" w:styleId="YeniEklenen-Char">
    <w:name w:val="Yeni Eklenen- Char"/>
    <w:link w:val="YeniEklenen-"/>
    <w:rsid w:val="00AD5EDD"/>
    <w:rPr>
      <w:rFonts w:ascii="Times New Roman" w:eastAsia="Times New Roman" w:hAnsi="Times New Roman"/>
      <w:b/>
      <w:color w:val="0000FF"/>
      <w:sz w:val="24"/>
      <w:szCs w:val="24"/>
      <w:u w:val="single"/>
    </w:rPr>
  </w:style>
  <w:style w:type="paragraph" w:customStyle="1" w:styleId="default0">
    <w:name w:val="default"/>
    <w:basedOn w:val="Normal"/>
    <w:rsid w:val="00AD5EDD"/>
    <w:pPr>
      <w:spacing w:before="100" w:beforeAutospacing="1" w:after="100" w:afterAutospacing="1"/>
    </w:pPr>
    <w:rPr>
      <w:rFonts w:eastAsia="Times New Roman"/>
      <w:szCs w:val="24"/>
      <w:lang w:eastAsia="tr-TR"/>
    </w:rPr>
  </w:style>
  <w:style w:type="paragraph" w:styleId="KonuBal">
    <w:name w:val="Title"/>
    <w:aliases w:val="TURKUAZ"/>
    <w:basedOn w:val="Normal"/>
    <w:link w:val="KonuBalChar"/>
    <w:qFormat/>
    <w:rsid w:val="00BC5952"/>
    <w:rPr>
      <w:rFonts w:eastAsia="Times New Roman"/>
      <w:b/>
      <w:bCs/>
      <w:color w:val="00B0F0"/>
      <w:szCs w:val="52"/>
      <w:lang w:val="x-none" w:eastAsia="x-none"/>
    </w:rPr>
  </w:style>
  <w:style w:type="character" w:customStyle="1" w:styleId="KonuBalChar">
    <w:name w:val="Konu Başlığı Char"/>
    <w:aliases w:val="TURKUAZ Char"/>
    <w:link w:val="KonuBal"/>
    <w:rsid w:val="00BC5952"/>
    <w:rPr>
      <w:rFonts w:ascii="Times New Roman" w:eastAsia="Times New Roman" w:hAnsi="Times New Roman"/>
      <w:b/>
      <w:bCs/>
      <w:color w:val="00B0F0"/>
      <w:sz w:val="24"/>
      <w:szCs w:val="52"/>
      <w:lang w:val="x-none" w:eastAsia="x-none"/>
    </w:rPr>
  </w:style>
  <w:style w:type="paragraph" w:customStyle="1" w:styleId="DzMetin2">
    <w:name w:val="Düz Metin2"/>
    <w:basedOn w:val="Normal"/>
    <w:rsid w:val="00672193"/>
    <w:pPr>
      <w:autoSpaceDE w:val="0"/>
    </w:pPr>
    <w:rPr>
      <w:rFonts w:ascii="Courier New" w:eastAsia="Times New Roman" w:hAnsi="Courier New" w:cs="Courier New"/>
      <w:sz w:val="20"/>
      <w:szCs w:val="20"/>
      <w:lang w:eastAsia="tr-TR"/>
    </w:rPr>
  </w:style>
  <w:style w:type="paragraph" w:customStyle="1" w:styleId="CharChar14">
    <w:name w:val="Char Char14"/>
    <w:basedOn w:val="Normal"/>
    <w:rsid w:val="00782C18"/>
    <w:pPr>
      <w:spacing w:line="240" w:lineRule="exact"/>
    </w:pPr>
    <w:rPr>
      <w:rFonts w:ascii="Verdana" w:eastAsia="Times New Roman" w:hAnsi="Verdana"/>
      <w:sz w:val="20"/>
      <w:szCs w:val="20"/>
      <w:lang w:val="en-US"/>
    </w:rPr>
  </w:style>
  <w:style w:type="character" w:customStyle="1" w:styleId="object">
    <w:name w:val="object"/>
    <w:rsid w:val="003A5E3A"/>
  </w:style>
  <w:style w:type="numbering" w:customStyle="1" w:styleId="ListeYok5">
    <w:name w:val="Liste Yok5"/>
    <w:next w:val="ListeYok"/>
    <w:uiPriority w:val="99"/>
    <w:semiHidden/>
    <w:unhideWhenUsed/>
    <w:rsid w:val="00296B94"/>
  </w:style>
  <w:style w:type="table" w:customStyle="1" w:styleId="TabloKlavuzu4">
    <w:name w:val="Tablo Kılavuzu4"/>
    <w:basedOn w:val="NormalTablo"/>
    <w:next w:val="TabloKlavuzu"/>
    <w:uiPriority w:val="99"/>
    <w:rsid w:val="00296B94"/>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Paragraf1">
    <w:name w:val="Liste Paragraf1"/>
    <w:basedOn w:val="Normal"/>
    <w:uiPriority w:val="99"/>
    <w:rsid w:val="00296B94"/>
    <w:pPr>
      <w:spacing w:after="120"/>
      <w:ind w:left="720"/>
    </w:pPr>
    <w:rPr>
      <w:rFonts w:eastAsia="Times New Roman" w:cs="Calibri"/>
    </w:rPr>
  </w:style>
  <w:style w:type="paragraph" w:customStyle="1" w:styleId="nor0">
    <w:name w:val="nor"/>
    <w:basedOn w:val="Normal"/>
    <w:rsid w:val="00296B94"/>
    <w:rPr>
      <w:rFonts w:ascii="New York" w:eastAsia="Arial Unicode MS" w:hAnsi="New York" w:cs="Arial Unicode MS"/>
      <w:sz w:val="18"/>
      <w:szCs w:val="18"/>
      <w:lang w:eastAsia="tr-TR"/>
    </w:rPr>
  </w:style>
  <w:style w:type="paragraph" w:customStyle="1" w:styleId="maddebasl0">
    <w:name w:val="maddebasl"/>
    <w:basedOn w:val="Normal"/>
    <w:rsid w:val="00296B94"/>
    <w:pPr>
      <w:spacing w:before="113"/>
    </w:pPr>
    <w:rPr>
      <w:rFonts w:ascii="New York" w:eastAsia="Arial Unicode MS" w:hAnsi="New York" w:cs="Arial Unicode MS"/>
      <w:i/>
      <w:iCs/>
      <w:sz w:val="18"/>
      <w:szCs w:val="18"/>
      <w:lang w:eastAsia="tr-TR"/>
    </w:rPr>
  </w:style>
  <w:style w:type="paragraph" w:customStyle="1" w:styleId="Dzyaz">
    <w:name w:val="Düz yazı"/>
    <w:basedOn w:val="Normal"/>
    <w:link w:val="DzyazChar"/>
    <w:rsid w:val="00296B94"/>
    <w:pPr>
      <w:tabs>
        <w:tab w:val="left" w:pos="567"/>
      </w:tabs>
    </w:pPr>
    <w:rPr>
      <w:rFonts w:eastAsia="Times New Roman"/>
      <w:szCs w:val="24"/>
      <w:lang w:val="x-none"/>
    </w:rPr>
  </w:style>
  <w:style w:type="paragraph" w:customStyle="1" w:styleId="kan">
    <w:name w:val="Çıkan"/>
    <w:basedOn w:val="Normal"/>
    <w:link w:val="kanChar"/>
    <w:rsid w:val="00296B94"/>
    <w:pPr>
      <w:tabs>
        <w:tab w:val="left" w:pos="567"/>
      </w:tabs>
    </w:pPr>
    <w:rPr>
      <w:rFonts w:eastAsia="Times New Roman"/>
      <w:b/>
      <w:strike/>
      <w:color w:val="FF0000"/>
      <w:szCs w:val="24"/>
      <w:lang w:val="x-none"/>
    </w:rPr>
  </w:style>
  <w:style w:type="paragraph" w:customStyle="1" w:styleId="Eklenen">
    <w:name w:val="Eklenen"/>
    <w:basedOn w:val="Normal"/>
    <w:link w:val="EklenenChar"/>
    <w:rsid w:val="00296B94"/>
    <w:pPr>
      <w:tabs>
        <w:tab w:val="left" w:pos="567"/>
      </w:tabs>
    </w:pPr>
    <w:rPr>
      <w:rFonts w:eastAsia="Times New Roman"/>
      <w:b/>
      <w:color w:val="0000FF"/>
      <w:szCs w:val="24"/>
      <w:u w:val="single"/>
      <w:lang w:val="x-none"/>
    </w:rPr>
  </w:style>
  <w:style w:type="character" w:customStyle="1" w:styleId="DzyazChar">
    <w:name w:val="Düz yazı Char"/>
    <w:link w:val="Dzyaz"/>
    <w:rsid w:val="00296B94"/>
    <w:rPr>
      <w:rFonts w:ascii="Times New Roman" w:eastAsia="Times New Roman" w:hAnsi="Times New Roman"/>
      <w:sz w:val="24"/>
      <w:szCs w:val="24"/>
      <w:lang w:eastAsia="en-US"/>
    </w:rPr>
  </w:style>
  <w:style w:type="character" w:customStyle="1" w:styleId="kanChar">
    <w:name w:val="Çıkan Char"/>
    <w:link w:val="kan"/>
    <w:rsid w:val="00296B94"/>
    <w:rPr>
      <w:rFonts w:ascii="Times New Roman" w:eastAsia="Times New Roman" w:hAnsi="Times New Roman"/>
      <w:b/>
      <w:strike/>
      <w:color w:val="FF0000"/>
      <w:sz w:val="24"/>
      <w:szCs w:val="24"/>
      <w:lang w:eastAsia="en-US"/>
    </w:rPr>
  </w:style>
  <w:style w:type="character" w:customStyle="1" w:styleId="EklenenChar">
    <w:name w:val="Eklenen Char"/>
    <w:link w:val="Eklenen"/>
    <w:rsid w:val="00296B94"/>
    <w:rPr>
      <w:rFonts w:ascii="Times New Roman" w:eastAsia="Times New Roman" w:hAnsi="Times New Roman"/>
      <w:b/>
      <w:color w:val="0000FF"/>
      <w:sz w:val="24"/>
      <w:szCs w:val="24"/>
      <w:u w:val="single"/>
      <w:lang w:eastAsia="en-US"/>
    </w:rPr>
  </w:style>
  <w:style w:type="paragraph" w:customStyle="1" w:styleId="Mavi">
    <w:name w:val="Mavi"/>
    <w:basedOn w:val="Normal"/>
    <w:link w:val="MaviChar"/>
    <w:qFormat/>
    <w:rsid w:val="00FB01E6"/>
    <w:pPr>
      <w:tabs>
        <w:tab w:val="left" w:pos="567"/>
      </w:tabs>
    </w:pPr>
    <w:rPr>
      <w:b/>
      <w:bCs/>
      <w:color w:val="0000FF"/>
      <w:szCs w:val="24"/>
      <w:lang w:val="x-none" w:eastAsia="x-none"/>
    </w:rPr>
  </w:style>
  <w:style w:type="character" w:customStyle="1" w:styleId="MaviChar">
    <w:name w:val="Mavi Char"/>
    <w:link w:val="Mavi"/>
    <w:rsid w:val="00FB01E6"/>
    <w:rPr>
      <w:rFonts w:ascii="Times New Roman" w:hAnsi="Times New Roman"/>
      <w:b/>
      <w:bCs/>
      <w:color w:val="0000FF"/>
      <w:sz w:val="24"/>
      <w:szCs w:val="24"/>
      <w:lang w:val="x-none" w:eastAsia="x-none"/>
    </w:rPr>
  </w:style>
  <w:style w:type="paragraph" w:customStyle="1" w:styleId="StilKrmz">
    <w:name w:val="Stil Kırmızı"/>
    <w:basedOn w:val="Nor"/>
    <w:link w:val="StilKrmzChar"/>
    <w:rsid w:val="00766517"/>
    <w:pPr>
      <w:tabs>
        <w:tab w:val="clear" w:pos="567"/>
      </w:tabs>
    </w:pPr>
    <w:rPr>
      <w:rFonts w:ascii="Times New Roman" w:hAnsi="Times New Roman"/>
      <w:b/>
      <w:strike/>
      <w:color w:val="FF0000"/>
      <w:sz w:val="24"/>
      <w:szCs w:val="24"/>
      <w:lang w:val="x-none"/>
    </w:rPr>
  </w:style>
  <w:style w:type="character" w:customStyle="1" w:styleId="NorChar">
    <w:name w:val="Nor. Char"/>
    <w:link w:val="Nor"/>
    <w:rsid w:val="00766517"/>
    <w:rPr>
      <w:rFonts w:ascii="New York" w:eastAsia="Times New Roman" w:hAnsi="New York"/>
      <w:sz w:val="18"/>
      <w:lang w:val="en-US"/>
    </w:rPr>
  </w:style>
  <w:style w:type="character" w:customStyle="1" w:styleId="StilKrmzChar">
    <w:name w:val="Stil Kırmızı Char"/>
    <w:link w:val="StilKrmz"/>
    <w:rsid w:val="00766517"/>
    <w:rPr>
      <w:rFonts w:ascii="Times New Roman" w:eastAsia="Times New Roman" w:hAnsi="Times New Roman"/>
      <w:b/>
      <w:strike/>
      <w:color w:val="FF0000"/>
      <w:sz w:val="24"/>
      <w:szCs w:val="24"/>
      <w:lang w:val="x-none" w:eastAsia="x-none"/>
    </w:rPr>
  </w:style>
  <w:style w:type="numbering" w:customStyle="1" w:styleId="ListeYok6">
    <w:name w:val="Liste Yok6"/>
    <w:next w:val="ListeYok"/>
    <w:uiPriority w:val="99"/>
    <w:semiHidden/>
    <w:unhideWhenUsed/>
    <w:rsid w:val="003D0AB9"/>
  </w:style>
  <w:style w:type="table" w:customStyle="1" w:styleId="TabloKlavuzu5">
    <w:name w:val="Tablo Kılavuzu5"/>
    <w:basedOn w:val="NormalTablo"/>
    <w:next w:val="TabloKlavuzu"/>
    <w:uiPriority w:val="59"/>
    <w:rsid w:val="003D0A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7">
    <w:name w:val="Liste Yok7"/>
    <w:next w:val="ListeYok"/>
    <w:uiPriority w:val="99"/>
    <w:semiHidden/>
    <w:unhideWhenUsed/>
    <w:rsid w:val="00FA2D5F"/>
  </w:style>
  <w:style w:type="paragraph" w:customStyle="1" w:styleId="1">
    <w:name w:val="1"/>
    <w:basedOn w:val="Normal"/>
    <w:next w:val="Altbilgi"/>
    <w:uiPriority w:val="99"/>
    <w:unhideWhenUsed/>
    <w:rsid w:val="00FA2D5F"/>
    <w:pPr>
      <w:tabs>
        <w:tab w:val="center" w:pos="4536"/>
        <w:tab w:val="right" w:pos="9072"/>
      </w:tabs>
      <w:ind w:firstLine="709"/>
    </w:pPr>
    <w:rPr>
      <w:lang w:val="x-none"/>
    </w:rPr>
  </w:style>
  <w:style w:type="paragraph" w:customStyle="1" w:styleId="3">
    <w:name w:val="3"/>
    <w:basedOn w:val="Normal"/>
    <w:next w:val="stbilgi"/>
    <w:link w:val="stbilgiChar"/>
    <w:uiPriority w:val="99"/>
    <w:unhideWhenUsed/>
    <w:rsid w:val="00FA2D5F"/>
    <w:pPr>
      <w:tabs>
        <w:tab w:val="center" w:pos="4536"/>
        <w:tab w:val="right" w:pos="9072"/>
      </w:tabs>
      <w:ind w:firstLine="709"/>
    </w:pPr>
    <w:rPr>
      <w:rFonts w:ascii="Calibri" w:hAnsi="Calibri"/>
      <w:szCs w:val="24"/>
      <w:lang w:eastAsia="tr-TR"/>
    </w:rPr>
  </w:style>
  <w:style w:type="character" w:styleId="Vurgu">
    <w:name w:val="Emphasis"/>
    <w:uiPriority w:val="20"/>
    <w:qFormat/>
    <w:rsid w:val="00FA2D5F"/>
    <w:rPr>
      <w:i/>
      <w:iCs/>
    </w:rPr>
  </w:style>
  <w:style w:type="character" w:styleId="Gl">
    <w:name w:val="Strong"/>
    <w:uiPriority w:val="22"/>
    <w:qFormat/>
    <w:rsid w:val="00FA2D5F"/>
    <w:rPr>
      <w:b/>
      <w:bCs/>
    </w:rPr>
  </w:style>
  <w:style w:type="paragraph" w:styleId="AralkYok">
    <w:name w:val="No Spacing"/>
    <w:link w:val="AralkYokChar"/>
    <w:uiPriority w:val="1"/>
    <w:qFormat/>
    <w:rsid w:val="00FA2D5F"/>
    <w:pPr>
      <w:ind w:firstLine="709"/>
      <w:jc w:val="both"/>
    </w:pPr>
    <w:rPr>
      <w:rFonts w:ascii="Times New Roman" w:hAnsi="Times New Roman"/>
      <w:b/>
      <w:strike/>
      <w:color w:val="FF0000"/>
      <w:sz w:val="24"/>
      <w:szCs w:val="22"/>
      <w:lang w:val="en-GB" w:eastAsia="en-US"/>
    </w:rPr>
  </w:style>
  <w:style w:type="character" w:customStyle="1" w:styleId="AralkYokChar">
    <w:name w:val="Aralık Yok Char"/>
    <w:link w:val="AralkYok"/>
    <w:uiPriority w:val="1"/>
    <w:rsid w:val="00FA2D5F"/>
    <w:rPr>
      <w:rFonts w:ascii="Times New Roman" w:hAnsi="Times New Roman"/>
      <w:b/>
      <w:strike/>
      <w:color w:val="FF0000"/>
      <w:sz w:val="24"/>
      <w:szCs w:val="22"/>
      <w:lang w:val="en-GB" w:eastAsia="en-US" w:bidi="ar-SA"/>
    </w:rPr>
  </w:style>
  <w:style w:type="character" w:customStyle="1" w:styleId="AltBilgiChar10">
    <w:name w:val="Alt Bilgi Char1"/>
    <w:uiPriority w:val="99"/>
    <w:semiHidden/>
    <w:rsid w:val="00FA2D5F"/>
    <w:rPr>
      <w:sz w:val="22"/>
      <w:szCs w:val="22"/>
      <w:lang w:eastAsia="en-US"/>
    </w:rPr>
  </w:style>
  <w:style w:type="paragraph" w:customStyle="1" w:styleId="msobodytextindent">
    <w:name w:val="msobodytextindent"/>
    <w:basedOn w:val="Normal"/>
    <w:rsid w:val="00D10C35"/>
    <w:pPr>
      <w:spacing w:before="100" w:beforeAutospacing="1" w:after="100" w:afterAutospacing="1"/>
    </w:pPr>
    <w:rPr>
      <w:rFonts w:eastAsia="Times New Roman"/>
      <w:szCs w:val="24"/>
      <w:lang w:eastAsia="tr-TR"/>
    </w:rPr>
  </w:style>
  <w:style w:type="numbering" w:customStyle="1" w:styleId="ListeYok8">
    <w:name w:val="Liste Yok8"/>
    <w:next w:val="ListeYok"/>
    <w:uiPriority w:val="99"/>
    <w:semiHidden/>
    <w:unhideWhenUsed/>
    <w:rsid w:val="00111E20"/>
  </w:style>
  <w:style w:type="table" w:customStyle="1" w:styleId="TabloKlavuzu6">
    <w:name w:val="Tablo Kılavuzu6"/>
    <w:basedOn w:val="NormalTablo"/>
    <w:next w:val="TabloKlavuzu"/>
    <w:uiPriority w:val="59"/>
    <w:rsid w:val="00111E2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
    <w:name w:val="2"/>
    <w:basedOn w:val="Normal"/>
    <w:next w:val="Altbilgi"/>
    <w:uiPriority w:val="99"/>
    <w:unhideWhenUsed/>
    <w:rsid w:val="00111E20"/>
    <w:pPr>
      <w:tabs>
        <w:tab w:val="center" w:pos="4536"/>
        <w:tab w:val="right" w:pos="9072"/>
      </w:tabs>
      <w:spacing w:line="240" w:lineRule="atLeast"/>
    </w:pPr>
    <w:rPr>
      <w:rFonts w:ascii="Calibri" w:eastAsia="Times New Roman" w:hAnsi="Calibri"/>
      <w:sz w:val="22"/>
      <w:lang w:eastAsia="tr-TR"/>
    </w:rPr>
  </w:style>
  <w:style w:type="character" w:styleId="AklamaBavurusu">
    <w:name w:val="annotation reference"/>
    <w:uiPriority w:val="99"/>
    <w:semiHidden/>
    <w:unhideWhenUsed/>
    <w:rsid w:val="00111E20"/>
    <w:rPr>
      <w:sz w:val="16"/>
      <w:szCs w:val="16"/>
    </w:rPr>
  </w:style>
  <w:style w:type="paragraph" w:styleId="AklamaMetni">
    <w:name w:val="annotation text"/>
    <w:basedOn w:val="Normal"/>
    <w:link w:val="AklamaMetniChar"/>
    <w:uiPriority w:val="99"/>
    <w:semiHidden/>
    <w:unhideWhenUsed/>
    <w:rsid w:val="00111E20"/>
    <w:pPr>
      <w:spacing w:line="240" w:lineRule="atLeast"/>
    </w:pPr>
    <w:rPr>
      <w:rFonts w:eastAsia="Times New Roman"/>
      <w:sz w:val="20"/>
      <w:szCs w:val="20"/>
      <w:lang w:val="x-none"/>
    </w:rPr>
  </w:style>
  <w:style w:type="character" w:customStyle="1" w:styleId="AklamaMetniChar">
    <w:name w:val="Açıklama Metni Char"/>
    <w:link w:val="AklamaMetni"/>
    <w:uiPriority w:val="99"/>
    <w:semiHidden/>
    <w:rsid w:val="00111E20"/>
    <w:rPr>
      <w:rFonts w:ascii="Times New Roman" w:eastAsia="Times New Roman" w:hAnsi="Times New Roman"/>
      <w:lang w:eastAsia="en-US"/>
    </w:rPr>
  </w:style>
  <w:style w:type="paragraph" w:styleId="AklamaKonusu">
    <w:name w:val="annotation subject"/>
    <w:basedOn w:val="AklamaMetni"/>
    <w:next w:val="AklamaMetni"/>
    <w:link w:val="AklamaKonusuChar"/>
    <w:uiPriority w:val="99"/>
    <w:semiHidden/>
    <w:unhideWhenUsed/>
    <w:rsid w:val="00111E20"/>
    <w:rPr>
      <w:b/>
      <w:bCs/>
      <w:lang w:eastAsia="x-none"/>
    </w:rPr>
  </w:style>
  <w:style w:type="character" w:customStyle="1" w:styleId="AklamaKonusuChar">
    <w:name w:val="Açıklama Konusu Char"/>
    <w:link w:val="AklamaKonusu"/>
    <w:uiPriority w:val="99"/>
    <w:semiHidden/>
    <w:rsid w:val="00111E20"/>
    <w:rPr>
      <w:rFonts w:ascii="Times New Roman" w:eastAsia="Times New Roman" w:hAnsi="Times New Roman"/>
      <w:b/>
      <w:bCs/>
      <w:lang w:val="x-none" w:eastAsia="x-none"/>
    </w:rPr>
  </w:style>
  <w:style w:type="paragraph" w:styleId="Dzeltme">
    <w:name w:val="Revision"/>
    <w:hidden/>
    <w:uiPriority w:val="99"/>
    <w:semiHidden/>
    <w:rsid w:val="00111E20"/>
    <w:rPr>
      <w:rFonts w:eastAsia="Times New Roman"/>
      <w:sz w:val="22"/>
      <w:szCs w:val="22"/>
    </w:rPr>
  </w:style>
  <w:style w:type="paragraph" w:customStyle="1" w:styleId="NOT">
    <w:name w:val="NOT"/>
    <w:basedOn w:val="Normal"/>
    <w:link w:val="NOTChar"/>
    <w:rsid w:val="00111E20"/>
    <w:rPr>
      <w:rFonts w:eastAsia="Times New Roman"/>
      <w:b/>
      <w:bCs/>
      <w:color w:val="FF0000"/>
      <w:szCs w:val="24"/>
      <w:lang w:val="x-none" w:eastAsia="x-none"/>
    </w:rPr>
  </w:style>
  <w:style w:type="character" w:customStyle="1" w:styleId="NOTChar">
    <w:name w:val="NOT Char"/>
    <w:link w:val="NOT"/>
    <w:rsid w:val="00111E20"/>
    <w:rPr>
      <w:rFonts w:ascii="Times New Roman" w:eastAsia="Times New Roman" w:hAnsi="Times New Roman"/>
      <w:b/>
      <w:bCs/>
      <w:color w:val="FF0000"/>
      <w:sz w:val="24"/>
      <w:szCs w:val="24"/>
      <w:lang w:val="x-none" w:eastAsia="x-none"/>
    </w:rPr>
  </w:style>
  <w:style w:type="numbering" w:customStyle="1" w:styleId="ListeYok9">
    <w:name w:val="Liste Yok9"/>
    <w:next w:val="ListeYok"/>
    <w:uiPriority w:val="99"/>
    <w:semiHidden/>
    <w:unhideWhenUsed/>
    <w:rsid w:val="003018DA"/>
  </w:style>
  <w:style w:type="table" w:customStyle="1" w:styleId="TabloKlavuzu7">
    <w:name w:val="Tablo Kılavuzu7"/>
    <w:basedOn w:val="NormalTablo"/>
    <w:next w:val="TabloKlavuzu"/>
    <w:uiPriority w:val="39"/>
    <w:rsid w:val="00301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metin"/>
    <w:basedOn w:val="Normal"/>
    <w:rsid w:val="003018DA"/>
    <w:pPr>
      <w:spacing w:before="100" w:beforeAutospacing="1" w:after="100" w:afterAutospacing="1"/>
      <w:jc w:val="left"/>
    </w:pPr>
    <w:rPr>
      <w:rFonts w:eastAsia="Times New Roman"/>
      <w:szCs w:val="24"/>
      <w:lang w:eastAsia="tr-TR"/>
    </w:rPr>
  </w:style>
  <w:style w:type="character" w:customStyle="1" w:styleId="grame">
    <w:name w:val="grame"/>
    <w:rsid w:val="003018DA"/>
  </w:style>
  <w:style w:type="character" w:customStyle="1" w:styleId="ListeParagrafChar">
    <w:name w:val="Liste Paragraf Char"/>
    <w:link w:val="ListeParagraf"/>
    <w:uiPriority w:val="34"/>
    <w:locked/>
    <w:rsid w:val="003018DA"/>
    <w:rPr>
      <w:rFonts w:ascii="Times New Roman" w:eastAsia="Times New Roman" w:hAnsi="Times New Roman"/>
    </w:rPr>
  </w:style>
  <w:style w:type="paragraph" w:styleId="GvdeMetniGirintisi">
    <w:name w:val="Body Text Indent"/>
    <w:basedOn w:val="Normal"/>
    <w:link w:val="GvdeMetniGirintisiChar"/>
    <w:rsid w:val="003018DA"/>
    <w:pPr>
      <w:spacing w:after="113" w:line="260" w:lineRule="exact"/>
      <w:ind w:firstLine="708"/>
      <w:outlineLvl w:val="0"/>
    </w:pPr>
    <w:rPr>
      <w:rFonts w:ascii="Times" w:eastAsia="Times New Roman" w:hAnsi="Times"/>
      <w:sz w:val="20"/>
      <w:szCs w:val="20"/>
      <w:lang w:val="x-none" w:eastAsia="x-none"/>
    </w:rPr>
  </w:style>
  <w:style w:type="character" w:customStyle="1" w:styleId="GvdeMetniGirintisiChar">
    <w:name w:val="Gövde Metni Girintisi Char"/>
    <w:link w:val="GvdeMetniGirintisi"/>
    <w:rsid w:val="003018DA"/>
    <w:rPr>
      <w:rFonts w:ascii="Times" w:eastAsia="Times New Roman" w:hAnsi="Times"/>
      <w:lang w:val="x-none" w:eastAsia="x-none"/>
    </w:rPr>
  </w:style>
  <w:style w:type="paragraph" w:customStyle="1" w:styleId="Krmz">
    <w:name w:val="Kırmızı"/>
    <w:basedOn w:val="Nor"/>
    <w:link w:val="KrmzChar"/>
    <w:rsid w:val="003018DA"/>
    <w:pPr>
      <w:tabs>
        <w:tab w:val="clear" w:pos="567"/>
      </w:tabs>
    </w:pPr>
    <w:rPr>
      <w:rFonts w:ascii="Times New Roman" w:hAnsi="Times New Roman"/>
      <w:b/>
      <w:strike/>
      <w:color w:val="FF0000"/>
      <w:sz w:val="24"/>
      <w:szCs w:val="24"/>
    </w:rPr>
  </w:style>
  <w:style w:type="character" w:customStyle="1" w:styleId="KrmzChar">
    <w:name w:val="Kırmızı Char"/>
    <w:link w:val="Krmz"/>
    <w:rsid w:val="003018DA"/>
    <w:rPr>
      <w:rFonts w:ascii="Times New Roman" w:eastAsia="Times New Roman" w:hAnsi="Times New Roman"/>
      <w:b/>
      <w:strike/>
      <w:color w:val="FF0000"/>
      <w:sz w:val="24"/>
      <w:szCs w:val="24"/>
      <w:lang w:val="en-US" w:eastAsia="x-none"/>
    </w:rPr>
  </w:style>
  <w:style w:type="paragraph" w:customStyle="1" w:styleId="kantab">
    <w:name w:val="kantab"/>
    <w:basedOn w:val="Normal"/>
    <w:rsid w:val="003018DA"/>
    <w:pPr>
      <w:spacing w:before="100" w:beforeAutospacing="1" w:after="100" w:afterAutospacing="1"/>
      <w:jc w:val="left"/>
    </w:pPr>
    <w:rPr>
      <w:rFonts w:eastAsia="Times New Roman"/>
      <w:szCs w:val="24"/>
      <w:lang w:eastAsia="tr-TR"/>
    </w:rPr>
  </w:style>
  <w:style w:type="paragraph" w:customStyle="1" w:styleId="3-NormalYaz">
    <w:name w:val="3-Normal Yazı"/>
    <w:rsid w:val="003018DA"/>
    <w:pPr>
      <w:tabs>
        <w:tab w:val="left" w:pos="566"/>
      </w:tabs>
      <w:jc w:val="both"/>
    </w:pPr>
    <w:rPr>
      <w:rFonts w:ascii="Times New Roman" w:eastAsia="Times New Roman" w:hAnsi="Times New Roman"/>
      <w:sz w:val="19"/>
      <w:lang w:eastAsia="en-US"/>
    </w:rPr>
  </w:style>
  <w:style w:type="paragraph" w:customStyle="1" w:styleId="YEL">
    <w:name w:val="YEŞİL"/>
    <w:basedOn w:val="Normal"/>
    <w:link w:val="YELChar"/>
    <w:qFormat/>
    <w:rsid w:val="003904E0"/>
    <w:pPr>
      <w:tabs>
        <w:tab w:val="left" w:pos="566"/>
      </w:tabs>
    </w:pPr>
    <w:rPr>
      <w:rFonts w:eastAsia="ヒラギノ明朝 Pro W3"/>
      <w:b/>
      <w:color w:val="339933"/>
      <w:szCs w:val="24"/>
      <w:lang w:val="x-none"/>
    </w:rPr>
  </w:style>
  <w:style w:type="character" w:customStyle="1" w:styleId="stil5char">
    <w:name w:val="stil5char"/>
    <w:rsid w:val="00FE1DE5"/>
  </w:style>
  <w:style w:type="character" w:customStyle="1" w:styleId="YELChar">
    <w:name w:val="YEŞİL Char"/>
    <w:link w:val="YEL"/>
    <w:rsid w:val="003904E0"/>
    <w:rPr>
      <w:rFonts w:ascii="Times New Roman" w:eastAsia="ヒラギノ明朝 Pro W3" w:hAnsi="Times New Roman"/>
      <w:b/>
      <w:color w:val="339933"/>
      <w:sz w:val="24"/>
      <w:szCs w:val="24"/>
      <w:lang w:eastAsia="en-US"/>
    </w:rPr>
  </w:style>
  <w:style w:type="character" w:customStyle="1" w:styleId="Balk5Char">
    <w:name w:val="Başlık 5 Char"/>
    <w:aliases w:val="ALT AYRIM Char"/>
    <w:link w:val="Balk5"/>
    <w:uiPriority w:val="9"/>
    <w:rsid w:val="00E96205"/>
    <w:rPr>
      <w:rFonts w:ascii="Times New Roman" w:eastAsia="Times New Roman" w:hAnsi="Times New Roman" w:cs="Times New Roman"/>
      <w:b/>
      <w:bCs/>
      <w:iCs/>
      <w:color w:val="0000FF"/>
      <w:sz w:val="24"/>
      <w:szCs w:val="26"/>
      <w:lang w:eastAsia="en-US"/>
    </w:rPr>
  </w:style>
  <w:style w:type="paragraph" w:customStyle="1" w:styleId="ksmblm">
    <w:name w:val="ksmblm"/>
    <w:basedOn w:val="Normal"/>
    <w:rsid w:val="006627A8"/>
    <w:pPr>
      <w:spacing w:before="100" w:beforeAutospacing="1" w:after="100" w:afterAutospacing="1"/>
      <w:jc w:val="left"/>
    </w:pPr>
    <w:rPr>
      <w:rFonts w:eastAsia="Times New Roman"/>
      <w:szCs w:val="24"/>
      <w:lang w:eastAsia="tr-TR"/>
    </w:rPr>
  </w:style>
  <w:style w:type="paragraph" w:customStyle="1" w:styleId="Stil5">
    <w:name w:val="Stil5"/>
    <w:basedOn w:val="Normal"/>
    <w:link w:val="Stil5Char0"/>
    <w:qFormat/>
    <w:rsid w:val="00F369A3"/>
    <w:rPr>
      <w:b/>
      <w:color w:val="FF3399"/>
      <w:szCs w:val="24"/>
      <w:lang w:val="x-none"/>
    </w:rPr>
  </w:style>
  <w:style w:type="paragraph" w:customStyle="1" w:styleId="mavi0">
    <w:name w:val="mavi"/>
    <w:basedOn w:val="Normal"/>
    <w:rsid w:val="00CA6A9E"/>
    <w:pPr>
      <w:spacing w:before="100" w:beforeAutospacing="1" w:after="100" w:afterAutospacing="1"/>
      <w:jc w:val="left"/>
    </w:pPr>
    <w:rPr>
      <w:rFonts w:eastAsia="Times New Roman"/>
      <w:szCs w:val="24"/>
      <w:lang w:eastAsia="tr-TR"/>
    </w:rPr>
  </w:style>
  <w:style w:type="character" w:customStyle="1" w:styleId="Stil5Char0">
    <w:name w:val="Stil5 Char"/>
    <w:link w:val="Stil5"/>
    <w:rsid w:val="00F369A3"/>
    <w:rPr>
      <w:rFonts w:ascii="Times New Roman" w:hAnsi="Times New Roman"/>
      <w:b/>
      <w:color w:val="FF3399"/>
      <w:sz w:val="24"/>
      <w:szCs w:val="24"/>
      <w:lang w:eastAsia="en-US"/>
    </w:rPr>
  </w:style>
  <w:style w:type="paragraph" w:customStyle="1" w:styleId="YeniYeil">
    <w:name w:val="Yeni Yeşil"/>
    <w:basedOn w:val="Normal"/>
    <w:link w:val="YeniYeilChar"/>
    <w:qFormat/>
    <w:rsid w:val="002B0B52"/>
    <w:rPr>
      <w:rFonts w:eastAsia="Times New Roman"/>
      <w:b/>
      <w:color w:val="00CC00"/>
      <w:szCs w:val="24"/>
      <w:lang w:val="x-none" w:eastAsia="x-none"/>
    </w:rPr>
  </w:style>
  <w:style w:type="character" w:customStyle="1" w:styleId="YeniYeilChar">
    <w:name w:val="Yeni Yeşil Char"/>
    <w:link w:val="YeniYeil"/>
    <w:rsid w:val="004A75BF"/>
    <w:rPr>
      <w:rFonts w:ascii="Times New Roman" w:eastAsia="Times New Roman" w:hAnsi="Times New Roman"/>
      <w:b/>
      <w:color w:val="00CC00"/>
      <w:sz w:val="24"/>
      <w:szCs w:val="24"/>
    </w:rPr>
  </w:style>
  <w:style w:type="paragraph" w:customStyle="1" w:styleId="gvdemetni31">
    <w:name w:val="gvdemetni31"/>
    <w:basedOn w:val="Normal"/>
    <w:rsid w:val="00BF37CB"/>
    <w:pPr>
      <w:spacing w:before="100" w:beforeAutospacing="1" w:after="100" w:afterAutospacing="1"/>
      <w:jc w:val="left"/>
    </w:pPr>
    <w:rPr>
      <w:rFonts w:eastAsia="Times New Roman"/>
      <w:szCs w:val="24"/>
      <w:lang w:eastAsia="tr-TR"/>
    </w:rPr>
  </w:style>
  <w:style w:type="character" w:customStyle="1" w:styleId="spelle">
    <w:name w:val="spelle"/>
    <w:rsid w:val="001B232B"/>
  </w:style>
  <w:style w:type="numbering" w:customStyle="1" w:styleId="ListeYok10">
    <w:name w:val="Liste Yok10"/>
    <w:next w:val="ListeYok"/>
    <w:uiPriority w:val="99"/>
    <w:semiHidden/>
    <w:unhideWhenUsed/>
    <w:rsid w:val="00A660B2"/>
  </w:style>
  <w:style w:type="table" w:customStyle="1" w:styleId="TabloKlavuzu8">
    <w:name w:val="Tablo Kılavuzu8"/>
    <w:basedOn w:val="NormalTablo"/>
    <w:next w:val="TabloKlavuzu"/>
    <w:uiPriority w:val="59"/>
    <w:rsid w:val="00A6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A660B2"/>
  </w:style>
  <w:style w:type="table" w:customStyle="1" w:styleId="TabloKlavuzu11">
    <w:name w:val="Tablo Kılavuzu11"/>
    <w:basedOn w:val="NormalTablo"/>
    <w:next w:val="TabloKlavuzu"/>
    <w:uiPriority w:val="99"/>
    <w:rsid w:val="00A660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semiHidden/>
    <w:rsid w:val="00A660B2"/>
  </w:style>
  <w:style w:type="numbering" w:customStyle="1" w:styleId="ListeYok31">
    <w:name w:val="Liste Yok31"/>
    <w:next w:val="ListeYok"/>
    <w:semiHidden/>
    <w:rsid w:val="00A660B2"/>
  </w:style>
  <w:style w:type="table" w:customStyle="1" w:styleId="TabloKlavuzu21">
    <w:name w:val="Tablo Kılavuzu21"/>
    <w:basedOn w:val="NormalTablo"/>
    <w:next w:val="TabloKlavuzu"/>
    <w:rsid w:val="00A660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semiHidden/>
    <w:rsid w:val="00A660B2"/>
  </w:style>
  <w:style w:type="table" w:customStyle="1" w:styleId="TabloKlavuzu31">
    <w:name w:val="Tablo Kılavuzu31"/>
    <w:basedOn w:val="NormalTablo"/>
    <w:next w:val="TabloKlavuzu"/>
    <w:rsid w:val="00A660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660B2"/>
  </w:style>
  <w:style w:type="table" w:customStyle="1" w:styleId="TabloKlavuzu41">
    <w:name w:val="Tablo Kılavuzu41"/>
    <w:basedOn w:val="NormalTablo"/>
    <w:next w:val="TabloKlavuzu"/>
    <w:uiPriority w:val="99"/>
    <w:rsid w:val="00A660B2"/>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61">
    <w:name w:val="Liste Yok61"/>
    <w:next w:val="ListeYok"/>
    <w:uiPriority w:val="99"/>
    <w:semiHidden/>
    <w:unhideWhenUsed/>
    <w:rsid w:val="00A660B2"/>
  </w:style>
  <w:style w:type="table" w:customStyle="1" w:styleId="TabloKlavuzu51">
    <w:name w:val="Tablo Kılavuzu51"/>
    <w:basedOn w:val="NormalTablo"/>
    <w:next w:val="TabloKlavuzu"/>
    <w:uiPriority w:val="59"/>
    <w:rsid w:val="00A660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71">
    <w:name w:val="Liste Yok71"/>
    <w:next w:val="ListeYok"/>
    <w:uiPriority w:val="99"/>
    <w:semiHidden/>
    <w:unhideWhenUsed/>
    <w:rsid w:val="00A660B2"/>
  </w:style>
  <w:style w:type="numbering" w:customStyle="1" w:styleId="ListeYok81">
    <w:name w:val="Liste Yok81"/>
    <w:next w:val="ListeYok"/>
    <w:uiPriority w:val="99"/>
    <w:semiHidden/>
    <w:unhideWhenUsed/>
    <w:rsid w:val="00A660B2"/>
  </w:style>
  <w:style w:type="table" w:customStyle="1" w:styleId="TabloKlavuzu61">
    <w:name w:val="Tablo Kılavuzu61"/>
    <w:basedOn w:val="NormalTablo"/>
    <w:next w:val="TabloKlavuzu"/>
    <w:uiPriority w:val="59"/>
    <w:rsid w:val="00A660B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91">
    <w:name w:val="Liste Yok91"/>
    <w:next w:val="ListeYok"/>
    <w:uiPriority w:val="99"/>
    <w:semiHidden/>
    <w:unhideWhenUsed/>
    <w:rsid w:val="00A660B2"/>
  </w:style>
  <w:style w:type="table" w:customStyle="1" w:styleId="TabloKlavuzu71">
    <w:name w:val="Tablo Kılavuzu71"/>
    <w:basedOn w:val="NormalTablo"/>
    <w:next w:val="TabloKlavuzu"/>
    <w:uiPriority w:val="39"/>
    <w:rsid w:val="00A6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0">
    <w:name w:val="3-normalyaz"/>
    <w:basedOn w:val="Normal"/>
    <w:rsid w:val="002A6F8F"/>
    <w:pPr>
      <w:spacing w:before="100" w:beforeAutospacing="1" w:after="100" w:afterAutospacing="1"/>
      <w:jc w:val="left"/>
    </w:pPr>
    <w:rPr>
      <w:rFonts w:eastAsia="Times New Roman"/>
      <w:szCs w:val="24"/>
      <w:lang w:eastAsia="tr-TR"/>
    </w:rPr>
  </w:style>
  <w:style w:type="paragraph" w:customStyle="1" w:styleId="Balk71">
    <w:name w:val="Başlık 71"/>
    <w:basedOn w:val="Normal"/>
    <w:next w:val="Normal"/>
    <w:uiPriority w:val="9"/>
    <w:semiHidden/>
    <w:unhideWhenUsed/>
    <w:qFormat/>
    <w:rsid w:val="00A46C6E"/>
    <w:pPr>
      <w:keepNext/>
      <w:keepLines/>
      <w:spacing w:before="40"/>
      <w:outlineLvl w:val="6"/>
    </w:pPr>
    <w:rPr>
      <w:rFonts w:eastAsia="Times New Roman"/>
      <w:color w:val="595959"/>
    </w:rPr>
  </w:style>
  <w:style w:type="paragraph" w:customStyle="1" w:styleId="Balk81">
    <w:name w:val="Başlık 81"/>
    <w:basedOn w:val="Normal"/>
    <w:next w:val="Normal"/>
    <w:uiPriority w:val="9"/>
    <w:semiHidden/>
    <w:unhideWhenUsed/>
    <w:qFormat/>
    <w:rsid w:val="00A46C6E"/>
    <w:pPr>
      <w:keepNext/>
      <w:keepLines/>
      <w:outlineLvl w:val="7"/>
    </w:pPr>
    <w:rPr>
      <w:rFonts w:eastAsia="Times New Roman"/>
      <w:i/>
      <w:iCs/>
      <w:color w:val="272727"/>
    </w:rPr>
  </w:style>
  <w:style w:type="paragraph" w:customStyle="1" w:styleId="Balk91">
    <w:name w:val="Başlık 91"/>
    <w:basedOn w:val="Normal"/>
    <w:next w:val="Normal"/>
    <w:uiPriority w:val="9"/>
    <w:semiHidden/>
    <w:unhideWhenUsed/>
    <w:qFormat/>
    <w:rsid w:val="00A46C6E"/>
    <w:pPr>
      <w:keepNext/>
      <w:keepLines/>
      <w:outlineLvl w:val="8"/>
    </w:pPr>
    <w:rPr>
      <w:rFonts w:eastAsia="Times New Roman"/>
      <w:color w:val="272727"/>
    </w:rPr>
  </w:style>
  <w:style w:type="numbering" w:customStyle="1" w:styleId="ListeYok12">
    <w:name w:val="Liste Yok12"/>
    <w:next w:val="ListeYok"/>
    <w:uiPriority w:val="99"/>
    <w:semiHidden/>
    <w:unhideWhenUsed/>
    <w:rsid w:val="00A46C6E"/>
  </w:style>
  <w:style w:type="character" w:customStyle="1" w:styleId="Balk7Char">
    <w:name w:val="Başlık 7 Char"/>
    <w:link w:val="Balk7"/>
    <w:uiPriority w:val="9"/>
    <w:semiHidden/>
    <w:rsid w:val="00A46C6E"/>
    <w:rPr>
      <w:rFonts w:eastAsia="Times New Roman" w:cs="Times New Roman"/>
      <w:color w:val="595959"/>
    </w:rPr>
  </w:style>
  <w:style w:type="character" w:customStyle="1" w:styleId="Balk8Char">
    <w:name w:val="Başlık 8 Char"/>
    <w:link w:val="Balk8"/>
    <w:uiPriority w:val="9"/>
    <w:semiHidden/>
    <w:rsid w:val="00A46C6E"/>
    <w:rPr>
      <w:rFonts w:eastAsia="Times New Roman" w:cs="Times New Roman"/>
      <w:i/>
      <w:iCs/>
      <w:color w:val="272727"/>
    </w:rPr>
  </w:style>
  <w:style w:type="character" w:customStyle="1" w:styleId="Balk9Char">
    <w:name w:val="Başlık 9 Char"/>
    <w:link w:val="Balk9"/>
    <w:uiPriority w:val="9"/>
    <w:semiHidden/>
    <w:rsid w:val="00A46C6E"/>
    <w:rPr>
      <w:rFonts w:eastAsia="Times New Roman" w:cs="Times New Roman"/>
      <w:color w:val="272727"/>
    </w:rPr>
  </w:style>
  <w:style w:type="paragraph" w:customStyle="1" w:styleId="Alnt1">
    <w:name w:val="Alıntı1"/>
    <w:basedOn w:val="Normal"/>
    <w:next w:val="Normal"/>
    <w:uiPriority w:val="29"/>
    <w:qFormat/>
    <w:rsid w:val="00A46C6E"/>
    <w:pPr>
      <w:spacing w:before="160"/>
      <w:jc w:val="center"/>
    </w:pPr>
    <w:rPr>
      <w:i/>
      <w:iCs/>
      <w:color w:val="404040"/>
    </w:rPr>
  </w:style>
  <w:style w:type="character" w:customStyle="1" w:styleId="TrnakChar">
    <w:name w:val="Tırnak Char"/>
    <w:link w:val="Trnak"/>
    <w:uiPriority w:val="29"/>
    <w:rsid w:val="00A46C6E"/>
    <w:rPr>
      <w:i/>
      <w:iCs/>
      <w:color w:val="404040"/>
    </w:rPr>
  </w:style>
  <w:style w:type="character" w:customStyle="1" w:styleId="GlVurgulama1">
    <w:name w:val="Güçlü Vurgulama1"/>
    <w:uiPriority w:val="21"/>
    <w:qFormat/>
    <w:rsid w:val="00A46C6E"/>
    <w:rPr>
      <w:i/>
      <w:iCs/>
      <w:color w:val="0F4761"/>
    </w:rPr>
  </w:style>
  <w:style w:type="paragraph" w:customStyle="1" w:styleId="GlAlnt1">
    <w:name w:val="Güçlü Alıntı1"/>
    <w:basedOn w:val="Normal"/>
    <w:next w:val="Normal"/>
    <w:uiPriority w:val="30"/>
    <w:qFormat/>
    <w:rsid w:val="00A46C6E"/>
    <w:pPr>
      <w:pBdr>
        <w:top w:val="single" w:sz="4" w:space="10" w:color="0F4761"/>
        <w:bottom w:val="single" w:sz="4" w:space="10" w:color="0F4761"/>
      </w:pBdr>
      <w:spacing w:before="360" w:after="360"/>
      <w:ind w:left="864" w:right="864"/>
      <w:jc w:val="center"/>
    </w:pPr>
    <w:rPr>
      <w:i/>
      <w:iCs/>
      <w:color w:val="0F4761"/>
    </w:rPr>
  </w:style>
  <w:style w:type="character" w:customStyle="1" w:styleId="KeskinTrnakChar">
    <w:name w:val="Keskin Tırnak Char"/>
    <w:link w:val="KeskinTrnak"/>
    <w:uiPriority w:val="30"/>
    <w:rsid w:val="00A46C6E"/>
    <w:rPr>
      <w:i/>
      <w:iCs/>
      <w:color w:val="0F4761"/>
    </w:rPr>
  </w:style>
  <w:style w:type="character" w:customStyle="1" w:styleId="GlBavuru1">
    <w:name w:val="Güçlü Başvuru1"/>
    <w:uiPriority w:val="32"/>
    <w:qFormat/>
    <w:rsid w:val="00A46C6E"/>
    <w:rPr>
      <w:b/>
      <w:bCs/>
      <w:smallCaps/>
      <w:color w:val="0F4761"/>
      <w:spacing w:val="5"/>
    </w:rPr>
  </w:style>
  <w:style w:type="table" w:customStyle="1" w:styleId="TabloKlavuzu9">
    <w:name w:val="Tablo Kılavuzu9"/>
    <w:basedOn w:val="NormalTablo"/>
    <w:next w:val="TabloKlavuzu"/>
    <w:uiPriority w:val="59"/>
    <w:rsid w:val="00A4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A46C6E"/>
  </w:style>
  <w:style w:type="table" w:customStyle="1" w:styleId="TabloKlavuzu12">
    <w:name w:val="Tablo Kılavuzu12"/>
    <w:basedOn w:val="NormalTablo"/>
    <w:next w:val="TabloKlavuzu"/>
    <w:uiPriority w:val="99"/>
    <w:rsid w:val="00A4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semiHidden/>
    <w:rsid w:val="00A46C6E"/>
  </w:style>
  <w:style w:type="numbering" w:customStyle="1" w:styleId="ListeYok32">
    <w:name w:val="Liste Yok32"/>
    <w:next w:val="ListeYok"/>
    <w:semiHidden/>
    <w:rsid w:val="00A46C6E"/>
  </w:style>
  <w:style w:type="table" w:customStyle="1" w:styleId="TabloKlavuzu22">
    <w:name w:val="Tablo Kılavuzu22"/>
    <w:basedOn w:val="NormalTablo"/>
    <w:next w:val="TabloKlavuzu"/>
    <w:rsid w:val="00A4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semiHidden/>
    <w:rsid w:val="00A46C6E"/>
  </w:style>
  <w:style w:type="table" w:customStyle="1" w:styleId="TabloKlavuzu32">
    <w:name w:val="Tablo Kılavuzu32"/>
    <w:basedOn w:val="NormalTablo"/>
    <w:next w:val="TabloKlavuzu"/>
    <w:rsid w:val="00A4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46C6E"/>
  </w:style>
  <w:style w:type="table" w:customStyle="1" w:styleId="TabloKlavuzu42">
    <w:name w:val="Tablo Kılavuzu42"/>
    <w:basedOn w:val="NormalTablo"/>
    <w:next w:val="TabloKlavuzu"/>
    <w:uiPriority w:val="99"/>
    <w:rsid w:val="00A46C6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62">
    <w:name w:val="Liste Yok62"/>
    <w:next w:val="ListeYok"/>
    <w:uiPriority w:val="99"/>
    <w:semiHidden/>
    <w:unhideWhenUsed/>
    <w:rsid w:val="00A46C6E"/>
  </w:style>
  <w:style w:type="table" w:customStyle="1" w:styleId="TabloKlavuzu52">
    <w:name w:val="Tablo Kılavuzu52"/>
    <w:basedOn w:val="NormalTablo"/>
    <w:next w:val="TabloKlavuzu"/>
    <w:uiPriority w:val="59"/>
    <w:rsid w:val="00A46C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72">
    <w:name w:val="Liste Yok72"/>
    <w:next w:val="ListeYok"/>
    <w:uiPriority w:val="99"/>
    <w:semiHidden/>
    <w:unhideWhenUsed/>
    <w:rsid w:val="00A46C6E"/>
  </w:style>
  <w:style w:type="numbering" w:customStyle="1" w:styleId="ListeYok82">
    <w:name w:val="Liste Yok82"/>
    <w:next w:val="ListeYok"/>
    <w:uiPriority w:val="99"/>
    <w:semiHidden/>
    <w:unhideWhenUsed/>
    <w:rsid w:val="00A46C6E"/>
  </w:style>
  <w:style w:type="table" w:customStyle="1" w:styleId="TabloKlavuzu62">
    <w:name w:val="Tablo Kılavuzu62"/>
    <w:basedOn w:val="NormalTablo"/>
    <w:next w:val="TabloKlavuzu"/>
    <w:uiPriority w:val="59"/>
    <w:rsid w:val="00A46C6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92">
    <w:name w:val="Liste Yok92"/>
    <w:next w:val="ListeYok"/>
    <w:uiPriority w:val="99"/>
    <w:semiHidden/>
    <w:unhideWhenUsed/>
    <w:rsid w:val="00A46C6E"/>
  </w:style>
  <w:style w:type="table" w:customStyle="1" w:styleId="TabloKlavuzu72">
    <w:name w:val="Tablo Kılavuzu72"/>
    <w:basedOn w:val="NormalTablo"/>
    <w:next w:val="TabloKlavuzu"/>
    <w:uiPriority w:val="39"/>
    <w:rsid w:val="00A4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46C6E"/>
  </w:style>
  <w:style w:type="table" w:customStyle="1" w:styleId="TabloKlavuzu81">
    <w:name w:val="Tablo Kılavuzu81"/>
    <w:basedOn w:val="NormalTablo"/>
    <w:next w:val="TabloKlavuzu"/>
    <w:uiPriority w:val="59"/>
    <w:rsid w:val="00A4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A46C6E"/>
  </w:style>
  <w:style w:type="table" w:customStyle="1" w:styleId="TabloKlavuzu111">
    <w:name w:val="Tablo Kılavuzu111"/>
    <w:basedOn w:val="NormalTablo"/>
    <w:next w:val="TabloKlavuzu"/>
    <w:uiPriority w:val="99"/>
    <w:rsid w:val="00A4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semiHidden/>
    <w:rsid w:val="00A46C6E"/>
  </w:style>
  <w:style w:type="numbering" w:customStyle="1" w:styleId="ListeYok311">
    <w:name w:val="Liste Yok311"/>
    <w:next w:val="ListeYok"/>
    <w:semiHidden/>
    <w:rsid w:val="00A46C6E"/>
  </w:style>
  <w:style w:type="table" w:customStyle="1" w:styleId="TabloKlavuzu211">
    <w:name w:val="Tablo Kılavuzu211"/>
    <w:basedOn w:val="NormalTablo"/>
    <w:next w:val="TabloKlavuzu"/>
    <w:rsid w:val="00A4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semiHidden/>
    <w:rsid w:val="00A46C6E"/>
  </w:style>
  <w:style w:type="table" w:customStyle="1" w:styleId="TabloKlavuzu311">
    <w:name w:val="Tablo Kılavuzu311"/>
    <w:basedOn w:val="NormalTablo"/>
    <w:next w:val="TabloKlavuzu"/>
    <w:rsid w:val="00A46C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46C6E"/>
  </w:style>
  <w:style w:type="table" w:customStyle="1" w:styleId="TabloKlavuzu411">
    <w:name w:val="Tablo Kılavuzu411"/>
    <w:basedOn w:val="NormalTablo"/>
    <w:next w:val="TabloKlavuzu"/>
    <w:uiPriority w:val="99"/>
    <w:rsid w:val="00A46C6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611">
    <w:name w:val="Liste Yok611"/>
    <w:next w:val="ListeYok"/>
    <w:uiPriority w:val="99"/>
    <w:semiHidden/>
    <w:unhideWhenUsed/>
    <w:rsid w:val="00A46C6E"/>
  </w:style>
  <w:style w:type="table" w:customStyle="1" w:styleId="TabloKlavuzu511">
    <w:name w:val="Tablo Kılavuzu511"/>
    <w:basedOn w:val="NormalTablo"/>
    <w:next w:val="TabloKlavuzu"/>
    <w:uiPriority w:val="59"/>
    <w:rsid w:val="00A46C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711">
    <w:name w:val="Liste Yok711"/>
    <w:next w:val="ListeYok"/>
    <w:uiPriority w:val="99"/>
    <w:semiHidden/>
    <w:unhideWhenUsed/>
    <w:rsid w:val="00A46C6E"/>
  </w:style>
  <w:style w:type="numbering" w:customStyle="1" w:styleId="ListeYok811">
    <w:name w:val="Liste Yok811"/>
    <w:next w:val="ListeYok"/>
    <w:uiPriority w:val="99"/>
    <w:semiHidden/>
    <w:unhideWhenUsed/>
    <w:rsid w:val="00A46C6E"/>
  </w:style>
  <w:style w:type="table" w:customStyle="1" w:styleId="TabloKlavuzu611">
    <w:name w:val="Tablo Kılavuzu611"/>
    <w:basedOn w:val="NormalTablo"/>
    <w:next w:val="TabloKlavuzu"/>
    <w:uiPriority w:val="59"/>
    <w:rsid w:val="00A46C6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911">
    <w:name w:val="Liste Yok911"/>
    <w:next w:val="ListeYok"/>
    <w:uiPriority w:val="99"/>
    <w:semiHidden/>
    <w:unhideWhenUsed/>
    <w:rsid w:val="00A46C6E"/>
  </w:style>
  <w:style w:type="table" w:customStyle="1" w:styleId="TabloKlavuzu711">
    <w:name w:val="Tablo Kılavuzu711"/>
    <w:basedOn w:val="NormalTablo"/>
    <w:next w:val="TabloKlavuzu"/>
    <w:uiPriority w:val="39"/>
    <w:rsid w:val="00A4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1">
    <w:name w:val="Başlık 7 Char1"/>
    <w:uiPriority w:val="9"/>
    <w:semiHidden/>
    <w:rsid w:val="00A46C6E"/>
    <w:rPr>
      <w:rFonts w:ascii="Calibri Light" w:eastAsia="Times New Roman" w:hAnsi="Calibri Light" w:cs="Times New Roman"/>
      <w:i/>
      <w:iCs/>
      <w:color w:val="1F4D78"/>
      <w:sz w:val="24"/>
      <w:szCs w:val="22"/>
      <w:lang w:eastAsia="en-US"/>
    </w:rPr>
  </w:style>
  <w:style w:type="character" w:customStyle="1" w:styleId="Balk8Char1">
    <w:name w:val="Başlık 8 Char1"/>
    <w:uiPriority w:val="9"/>
    <w:semiHidden/>
    <w:rsid w:val="00A46C6E"/>
    <w:rPr>
      <w:rFonts w:ascii="Calibri Light" w:eastAsia="Times New Roman" w:hAnsi="Calibri Light" w:cs="Times New Roman"/>
      <w:color w:val="272727"/>
      <w:sz w:val="21"/>
      <w:szCs w:val="21"/>
      <w:lang w:eastAsia="en-US"/>
    </w:rPr>
  </w:style>
  <w:style w:type="character" w:customStyle="1" w:styleId="Balk9Char1">
    <w:name w:val="Başlık 9 Char1"/>
    <w:uiPriority w:val="9"/>
    <w:semiHidden/>
    <w:rsid w:val="00A46C6E"/>
    <w:rPr>
      <w:rFonts w:ascii="Calibri Light" w:eastAsia="Times New Roman" w:hAnsi="Calibri Light" w:cs="Times New Roman"/>
      <w:i/>
      <w:iCs/>
      <w:color w:val="272727"/>
      <w:sz w:val="21"/>
      <w:szCs w:val="21"/>
      <w:lang w:eastAsia="en-US"/>
    </w:rPr>
  </w:style>
  <w:style w:type="paragraph" w:customStyle="1" w:styleId="Trnak">
    <w:name w:val="Tırnak"/>
    <w:basedOn w:val="Normal"/>
    <w:next w:val="Normal"/>
    <w:link w:val="TrnakChar"/>
    <w:uiPriority w:val="29"/>
    <w:rsid w:val="00A46C6E"/>
    <w:pPr>
      <w:spacing w:before="200" w:after="160"/>
      <w:ind w:left="864" w:right="864"/>
      <w:jc w:val="center"/>
    </w:pPr>
    <w:rPr>
      <w:rFonts w:ascii="Calibri" w:hAnsi="Calibri"/>
      <w:i/>
      <w:iCs/>
      <w:color w:val="404040"/>
      <w:sz w:val="20"/>
      <w:szCs w:val="20"/>
      <w:lang w:val="x-none" w:eastAsia="x-none"/>
    </w:rPr>
  </w:style>
  <w:style w:type="character" w:customStyle="1" w:styleId="AlntChar1">
    <w:name w:val="Alıntı Char1"/>
    <w:uiPriority w:val="29"/>
    <w:rsid w:val="00A46C6E"/>
    <w:rPr>
      <w:rFonts w:ascii="Times New Roman" w:hAnsi="Times New Roman"/>
      <w:i/>
      <w:iCs/>
      <w:color w:val="404040"/>
      <w:sz w:val="24"/>
      <w:szCs w:val="22"/>
      <w:lang w:eastAsia="en-US"/>
    </w:rPr>
  </w:style>
  <w:style w:type="character" w:styleId="GlVurgulama">
    <w:name w:val="Intense Emphasis"/>
    <w:uiPriority w:val="21"/>
    <w:rsid w:val="00A46C6E"/>
    <w:rPr>
      <w:i/>
      <w:iCs/>
      <w:color w:val="5B9BD5"/>
    </w:rPr>
  </w:style>
  <w:style w:type="paragraph" w:customStyle="1" w:styleId="KeskinTrnak">
    <w:name w:val="Keskin Tırnak"/>
    <w:basedOn w:val="Normal"/>
    <w:next w:val="Normal"/>
    <w:link w:val="KeskinTrnakChar"/>
    <w:uiPriority w:val="30"/>
    <w:rsid w:val="00A46C6E"/>
    <w:pPr>
      <w:pBdr>
        <w:top w:val="single" w:sz="4" w:space="10" w:color="5B9BD5"/>
        <w:bottom w:val="single" w:sz="4" w:space="10" w:color="5B9BD5"/>
      </w:pBdr>
      <w:spacing w:before="360" w:after="360"/>
      <w:ind w:left="864" w:right="864"/>
      <w:jc w:val="center"/>
    </w:pPr>
    <w:rPr>
      <w:rFonts w:ascii="Calibri" w:hAnsi="Calibri"/>
      <w:i/>
      <w:iCs/>
      <w:color w:val="0F4761"/>
      <w:sz w:val="20"/>
      <w:szCs w:val="20"/>
      <w:lang w:val="x-none" w:eastAsia="x-none"/>
    </w:rPr>
  </w:style>
  <w:style w:type="character" w:customStyle="1" w:styleId="GlAlntChar1">
    <w:name w:val="Güçlü Alıntı Char1"/>
    <w:uiPriority w:val="30"/>
    <w:rsid w:val="00A46C6E"/>
    <w:rPr>
      <w:rFonts w:ascii="Times New Roman" w:hAnsi="Times New Roman"/>
      <w:i/>
      <w:iCs/>
      <w:color w:val="5B9BD5"/>
      <w:sz w:val="24"/>
      <w:szCs w:val="22"/>
      <w:lang w:eastAsia="en-US"/>
    </w:rPr>
  </w:style>
  <w:style w:type="character" w:styleId="GlBavuru">
    <w:name w:val="Intense Reference"/>
    <w:uiPriority w:val="32"/>
    <w:rsid w:val="00A46C6E"/>
    <w:rPr>
      <w:b/>
      <w:bCs/>
      <w:smallCaps/>
      <w:color w:val="5B9BD5"/>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682">
      <w:bodyDiv w:val="1"/>
      <w:marLeft w:val="0"/>
      <w:marRight w:val="0"/>
      <w:marTop w:val="0"/>
      <w:marBottom w:val="0"/>
      <w:divBdr>
        <w:top w:val="none" w:sz="0" w:space="0" w:color="auto"/>
        <w:left w:val="none" w:sz="0" w:space="0" w:color="auto"/>
        <w:bottom w:val="none" w:sz="0" w:space="0" w:color="auto"/>
        <w:right w:val="none" w:sz="0" w:space="0" w:color="auto"/>
      </w:divBdr>
    </w:div>
    <w:div w:id="12150341">
      <w:bodyDiv w:val="1"/>
      <w:marLeft w:val="0"/>
      <w:marRight w:val="0"/>
      <w:marTop w:val="0"/>
      <w:marBottom w:val="0"/>
      <w:divBdr>
        <w:top w:val="none" w:sz="0" w:space="0" w:color="auto"/>
        <w:left w:val="none" w:sz="0" w:space="0" w:color="auto"/>
        <w:bottom w:val="none" w:sz="0" w:space="0" w:color="auto"/>
        <w:right w:val="none" w:sz="0" w:space="0" w:color="auto"/>
      </w:divBdr>
    </w:div>
    <w:div w:id="18357157">
      <w:bodyDiv w:val="1"/>
      <w:marLeft w:val="0"/>
      <w:marRight w:val="0"/>
      <w:marTop w:val="0"/>
      <w:marBottom w:val="0"/>
      <w:divBdr>
        <w:top w:val="none" w:sz="0" w:space="0" w:color="auto"/>
        <w:left w:val="none" w:sz="0" w:space="0" w:color="auto"/>
        <w:bottom w:val="none" w:sz="0" w:space="0" w:color="auto"/>
        <w:right w:val="none" w:sz="0" w:space="0" w:color="auto"/>
      </w:divBdr>
    </w:div>
    <w:div w:id="20740864">
      <w:bodyDiv w:val="1"/>
      <w:marLeft w:val="0"/>
      <w:marRight w:val="0"/>
      <w:marTop w:val="0"/>
      <w:marBottom w:val="0"/>
      <w:divBdr>
        <w:top w:val="none" w:sz="0" w:space="0" w:color="auto"/>
        <w:left w:val="none" w:sz="0" w:space="0" w:color="auto"/>
        <w:bottom w:val="none" w:sz="0" w:space="0" w:color="auto"/>
        <w:right w:val="none" w:sz="0" w:space="0" w:color="auto"/>
      </w:divBdr>
    </w:div>
    <w:div w:id="52432802">
      <w:bodyDiv w:val="1"/>
      <w:marLeft w:val="0"/>
      <w:marRight w:val="0"/>
      <w:marTop w:val="0"/>
      <w:marBottom w:val="0"/>
      <w:divBdr>
        <w:top w:val="none" w:sz="0" w:space="0" w:color="auto"/>
        <w:left w:val="none" w:sz="0" w:space="0" w:color="auto"/>
        <w:bottom w:val="none" w:sz="0" w:space="0" w:color="auto"/>
        <w:right w:val="none" w:sz="0" w:space="0" w:color="auto"/>
      </w:divBdr>
    </w:div>
    <w:div w:id="60444605">
      <w:bodyDiv w:val="1"/>
      <w:marLeft w:val="0"/>
      <w:marRight w:val="0"/>
      <w:marTop w:val="0"/>
      <w:marBottom w:val="0"/>
      <w:divBdr>
        <w:top w:val="none" w:sz="0" w:space="0" w:color="auto"/>
        <w:left w:val="none" w:sz="0" w:space="0" w:color="auto"/>
        <w:bottom w:val="none" w:sz="0" w:space="0" w:color="auto"/>
        <w:right w:val="none" w:sz="0" w:space="0" w:color="auto"/>
      </w:divBdr>
    </w:div>
    <w:div w:id="74132788">
      <w:bodyDiv w:val="1"/>
      <w:marLeft w:val="0"/>
      <w:marRight w:val="0"/>
      <w:marTop w:val="0"/>
      <w:marBottom w:val="0"/>
      <w:divBdr>
        <w:top w:val="none" w:sz="0" w:space="0" w:color="auto"/>
        <w:left w:val="none" w:sz="0" w:space="0" w:color="auto"/>
        <w:bottom w:val="none" w:sz="0" w:space="0" w:color="auto"/>
        <w:right w:val="none" w:sz="0" w:space="0" w:color="auto"/>
      </w:divBdr>
    </w:div>
    <w:div w:id="86391887">
      <w:bodyDiv w:val="1"/>
      <w:marLeft w:val="0"/>
      <w:marRight w:val="0"/>
      <w:marTop w:val="0"/>
      <w:marBottom w:val="0"/>
      <w:divBdr>
        <w:top w:val="none" w:sz="0" w:space="0" w:color="auto"/>
        <w:left w:val="none" w:sz="0" w:space="0" w:color="auto"/>
        <w:bottom w:val="none" w:sz="0" w:space="0" w:color="auto"/>
        <w:right w:val="none" w:sz="0" w:space="0" w:color="auto"/>
      </w:divBdr>
    </w:div>
    <w:div w:id="99374683">
      <w:bodyDiv w:val="1"/>
      <w:marLeft w:val="0"/>
      <w:marRight w:val="0"/>
      <w:marTop w:val="0"/>
      <w:marBottom w:val="0"/>
      <w:divBdr>
        <w:top w:val="none" w:sz="0" w:space="0" w:color="auto"/>
        <w:left w:val="none" w:sz="0" w:space="0" w:color="auto"/>
        <w:bottom w:val="none" w:sz="0" w:space="0" w:color="auto"/>
        <w:right w:val="none" w:sz="0" w:space="0" w:color="auto"/>
      </w:divBdr>
    </w:div>
    <w:div w:id="104275915">
      <w:bodyDiv w:val="1"/>
      <w:marLeft w:val="0"/>
      <w:marRight w:val="0"/>
      <w:marTop w:val="0"/>
      <w:marBottom w:val="0"/>
      <w:divBdr>
        <w:top w:val="none" w:sz="0" w:space="0" w:color="auto"/>
        <w:left w:val="none" w:sz="0" w:space="0" w:color="auto"/>
        <w:bottom w:val="none" w:sz="0" w:space="0" w:color="auto"/>
        <w:right w:val="none" w:sz="0" w:space="0" w:color="auto"/>
      </w:divBdr>
    </w:div>
    <w:div w:id="120418755">
      <w:bodyDiv w:val="1"/>
      <w:marLeft w:val="0"/>
      <w:marRight w:val="0"/>
      <w:marTop w:val="0"/>
      <w:marBottom w:val="0"/>
      <w:divBdr>
        <w:top w:val="none" w:sz="0" w:space="0" w:color="auto"/>
        <w:left w:val="none" w:sz="0" w:space="0" w:color="auto"/>
        <w:bottom w:val="none" w:sz="0" w:space="0" w:color="auto"/>
        <w:right w:val="none" w:sz="0" w:space="0" w:color="auto"/>
      </w:divBdr>
    </w:div>
    <w:div w:id="134379229">
      <w:bodyDiv w:val="1"/>
      <w:marLeft w:val="0"/>
      <w:marRight w:val="0"/>
      <w:marTop w:val="0"/>
      <w:marBottom w:val="0"/>
      <w:divBdr>
        <w:top w:val="none" w:sz="0" w:space="0" w:color="auto"/>
        <w:left w:val="none" w:sz="0" w:space="0" w:color="auto"/>
        <w:bottom w:val="none" w:sz="0" w:space="0" w:color="auto"/>
        <w:right w:val="none" w:sz="0" w:space="0" w:color="auto"/>
      </w:divBdr>
    </w:div>
    <w:div w:id="142892137">
      <w:bodyDiv w:val="1"/>
      <w:marLeft w:val="0"/>
      <w:marRight w:val="0"/>
      <w:marTop w:val="0"/>
      <w:marBottom w:val="0"/>
      <w:divBdr>
        <w:top w:val="none" w:sz="0" w:space="0" w:color="auto"/>
        <w:left w:val="none" w:sz="0" w:space="0" w:color="auto"/>
        <w:bottom w:val="none" w:sz="0" w:space="0" w:color="auto"/>
        <w:right w:val="none" w:sz="0" w:space="0" w:color="auto"/>
      </w:divBdr>
    </w:div>
    <w:div w:id="147863671">
      <w:bodyDiv w:val="1"/>
      <w:marLeft w:val="0"/>
      <w:marRight w:val="0"/>
      <w:marTop w:val="0"/>
      <w:marBottom w:val="0"/>
      <w:divBdr>
        <w:top w:val="none" w:sz="0" w:space="0" w:color="auto"/>
        <w:left w:val="none" w:sz="0" w:space="0" w:color="auto"/>
        <w:bottom w:val="none" w:sz="0" w:space="0" w:color="auto"/>
        <w:right w:val="none" w:sz="0" w:space="0" w:color="auto"/>
      </w:divBdr>
    </w:div>
    <w:div w:id="151676528">
      <w:bodyDiv w:val="1"/>
      <w:marLeft w:val="0"/>
      <w:marRight w:val="0"/>
      <w:marTop w:val="0"/>
      <w:marBottom w:val="0"/>
      <w:divBdr>
        <w:top w:val="none" w:sz="0" w:space="0" w:color="auto"/>
        <w:left w:val="none" w:sz="0" w:space="0" w:color="auto"/>
        <w:bottom w:val="none" w:sz="0" w:space="0" w:color="auto"/>
        <w:right w:val="none" w:sz="0" w:space="0" w:color="auto"/>
      </w:divBdr>
    </w:div>
    <w:div w:id="163056072">
      <w:bodyDiv w:val="1"/>
      <w:marLeft w:val="0"/>
      <w:marRight w:val="0"/>
      <w:marTop w:val="0"/>
      <w:marBottom w:val="0"/>
      <w:divBdr>
        <w:top w:val="none" w:sz="0" w:space="0" w:color="auto"/>
        <w:left w:val="none" w:sz="0" w:space="0" w:color="auto"/>
        <w:bottom w:val="none" w:sz="0" w:space="0" w:color="auto"/>
        <w:right w:val="none" w:sz="0" w:space="0" w:color="auto"/>
      </w:divBdr>
    </w:div>
    <w:div w:id="166412213">
      <w:bodyDiv w:val="1"/>
      <w:marLeft w:val="0"/>
      <w:marRight w:val="0"/>
      <w:marTop w:val="0"/>
      <w:marBottom w:val="0"/>
      <w:divBdr>
        <w:top w:val="none" w:sz="0" w:space="0" w:color="auto"/>
        <w:left w:val="none" w:sz="0" w:space="0" w:color="auto"/>
        <w:bottom w:val="none" w:sz="0" w:space="0" w:color="auto"/>
        <w:right w:val="none" w:sz="0" w:space="0" w:color="auto"/>
      </w:divBdr>
    </w:div>
    <w:div w:id="180631395">
      <w:bodyDiv w:val="1"/>
      <w:marLeft w:val="0"/>
      <w:marRight w:val="0"/>
      <w:marTop w:val="0"/>
      <w:marBottom w:val="0"/>
      <w:divBdr>
        <w:top w:val="none" w:sz="0" w:space="0" w:color="auto"/>
        <w:left w:val="none" w:sz="0" w:space="0" w:color="auto"/>
        <w:bottom w:val="none" w:sz="0" w:space="0" w:color="auto"/>
        <w:right w:val="none" w:sz="0" w:space="0" w:color="auto"/>
      </w:divBdr>
    </w:div>
    <w:div w:id="236986483">
      <w:bodyDiv w:val="1"/>
      <w:marLeft w:val="0"/>
      <w:marRight w:val="0"/>
      <w:marTop w:val="0"/>
      <w:marBottom w:val="0"/>
      <w:divBdr>
        <w:top w:val="none" w:sz="0" w:space="0" w:color="auto"/>
        <w:left w:val="none" w:sz="0" w:space="0" w:color="auto"/>
        <w:bottom w:val="none" w:sz="0" w:space="0" w:color="auto"/>
        <w:right w:val="none" w:sz="0" w:space="0" w:color="auto"/>
      </w:divBdr>
    </w:div>
    <w:div w:id="238058546">
      <w:bodyDiv w:val="1"/>
      <w:marLeft w:val="0"/>
      <w:marRight w:val="0"/>
      <w:marTop w:val="0"/>
      <w:marBottom w:val="0"/>
      <w:divBdr>
        <w:top w:val="none" w:sz="0" w:space="0" w:color="auto"/>
        <w:left w:val="none" w:sz="0" w:space="0" w:color="auto"/>
        <w:bottom w:val="none" w:sz="0" w:space="0" w:color="auto"/>
        <w:right w:val="none" w:sz="0" w:space="0" w:color="auto"/>
      </w:divBdr>
    </w:div>
    <w:div w:id="256061203">
      <w:bodyDiv w:val="1"/>
      <w:marLeft w:val="0"/>
      <w:marRight w:val="0"/>
      <w:marTop w:val="0"/>
      <w:marBottom w:val="0"/>
      <w:divBdr>
        <w:top w:val="none" w:sz="0" w:space="0" w:color="auto"/>
        <w:left w:val="none" w:sz="0" w:space="0" w:color="auto"/>
        <w:bottom w:val="none" w:sz="0" w:space="0" w:color="auto"/>
        <w:right w:val="none" w:sz="0" w:space="0" w:color="auto"/>
      </w:divBdr>
    </w:div>
    <w:div w:id="260064637">
      <w:bodyDiv w:val="1"/>
      <w:marLeft w:val="0"/>
      <w:marRight w:val="0"/>
      <w:marTop w:val="0"/>
      <w:marBottom w:val="0"/>
      <w:divBdr>
        <w:top w:val="none" w:sz="0" w:space="0" w:color="auto"/>
        <w:left w:val="none" w:sz="0" w:space="0" w:color="auto"/>
        <w:bottom w:val="none" w:sz="0" w:space="0" w:color="auto"/>
        <w:right w:val="none" w:sz="0" w:space="0" w:color="auto"/>
      </w:divBdr>
    </w:div>
    <w:div w:id="265386281">
      <w:bodyDiv w:val="1"/>
      <w:marLeft w:val="0"/>
      <w:marRight w:val="0"/>
      <w:marTop w:val="0"/>
      <w:marBottom w:val="0"/>
      <w:divBdr>
        <w:top w:val="none" w:sz="0" w:space="0" w:color="auto"/>
        <w:left w:val="none" w:sz="0" w:space="0" w:color="auto"/>
        <w:bottom w:val="none" w:sz="0" w:space="0" w:color="auto"/>
        <w:right w:val="none" w:sz="0" w:space="0" w:color="auto"/>
      </w:divBdr>
    </w:div>
    <w:div w:id="274941947">
      <w:bodyDiv w:val="1"/>
      <w:marLeft w:val="0"/>
      <w:marRight w:val="0"/>
      <w:marTop w:val="0"/>
      <w:marBottom w:val="0"/>
      <w:divBdr>
        <w:top w:val="none" w:sz="0" w:space="0" w:color="auto"/>
        <w:left w:val="none" w:sz="0" w:space="0" w:color="auto"/>
        <w:bottom w:val="none" w:sz="0" w:space="0" w:color="auto"/>
        <w:right w:val="none" w:sz="0" w:space="0" w:color="auto"/>
      </w:divBdr>
    </w:div>
    <w:div w:id="286084889">
      <w:bodyDiv w:val="1"/>
      <w:marLeft w:val="0"/>
      <w:marRight w:val="0"/>
      <w:marTop w:val="0"/>
      <w:marBottom w:val="0"/>
      <w:divBdr>
        <w:top w:val="none" w:sz="0" w:space="0" w:color="auto"/>
        <w:left w:val="none" w:sz="0" w:space="0" w:color="auto"/>
        <w:bottom w:val="none" w:sz="0" w:space="0" w:color="auto"/>
        <w:right w:val="none" w:sz="0" w:space="0" w:color="auto"/>
      </w:divBdr>
    </w:div>
    <w:div w:id="300307903">
      <w:bodyDiv w:val="1"/>
      <w:marLeft w:val="0"/>
      <w:marRight w:val="0"/>
      <w:marTop w:val="0"/>
      <w:marBottom w:val="0"/>
      <w:divBdr>
        <w:top w:val="none" w:sz="0" w:space="0" w:color="auto"/>
        <w:left w:val="none" w:sz="0" w:space="0" w:color="auto"/>
        <w:bottom w:val="none" w:sz="0" w:space="0" w:color="auto"/>
        <w:right w:val="none" w:sz="0" w:space="0" w:color="auto"/>
      </w:divBdr>
    </w:div>
    <w:div w:id="301084442">
      <w:bodyDiv w:val="1"/>
      <w:marLeft w:val="0"/>
      <w:marRight w:val="0"/>
      <w:marTop w:val="0"/>
      <w:marBottom w:val="0"/>
      <w:divBdr>
        <w:top w:val="none" w:sz="0" w:space="0" w:color="auto"/>
        <w:left w:val="none" w:sz="0" w:space="0" w:color="auto"/>
        <w:bottom w:val="none" w:sz="0" w:space="0" w:color="auto"/>
        <w:right w:val="none" w:sz="0" w:space="0" w:color="auto"/>
      </w:divBdr>
    </w:div>
    <w:div w:id="322899662">
      <w:bodyDiv w:val="1"/>
      <w:marLeft w:val="0"/>
      <w:marRight w:val="0"/>
      <w:marTop w:val="0"/>
      <w:marBottom w:val="0"/>
      <w:divBdr>
        <w:top w:val="none" w:sz="0" w:space="0" w:color="auto"/>
        <w:left w:val="none" w:sz="0" w:space="0" w:color="auto"/>
        <w:bottom w:val="none" w:sz="0" w:space="0" w:color="auto"/>
        <w:right w:val="none" w:sz="0" w:space="0" w:color="auto"/>
      </w:divBdr>
    </w:div>
    <w:div w:id="350767044">
      <w:bodyDiv w:val="1"/>
      <w:marLeft w:val="0"/>
      <w:marRight w:val="0"/>
      <w:marTop w:val="0"/>
      <w:marBottom w:val="0"/>
      <w:divBdr>
        <w:top w:val="none" w:sz="0" w:space="0" w:color="auto"/>
        <w:left w:val="none" w:sz="0" w:space="0" w:color="auto"/>
        <w:bottom w:val="none" w:sz="0" w:space="0" w:color="auto"/>
        <w:right w:val="none" w:sz="0" w:space="0" w:color="auto"/>
      </w:divBdr>
      <w:divsChild>
        <w:div w:id="1988893612">
          <w:marLeft w:val="0"/>
          <w:marRight w:val="0"/>
          <w:marTop w:val="0"/>
          <w:marBottom w:val="0"/>
          <w:divBdr>
            <w:top w:val="none" w:sz="0" w:space="0" w:color="auto"/>
            <w:left w:val="none" w:sz="0" w:space="0" w:color="auto"/>
            <w:bottom w:val="single" w:sz="8" w:space="1" w:color="auto"/>
            <w:right w:val="none" w:sz="0" w:space="0" w:color="auto"/>
          </w:divBdr>
        </w:div>
      </w:divsChild>
    </w:div>
    <w:div w:id="351541459">
      <w:bodyDiv w:val="1"/>
      <w:marLeft w:val="0"/>
      <w:marRight w:val="0"/>
      <w:marTop w:val="0"/>
      <w:marBottom w:val="0"/>
      <w:divBdr>
        <w:top w:val="none" w:sz="0" w:space="0" w:color="auto"/>
        <w:left w:val="none" w:sz="0" w:space="0" w:color="auto"/>
        <w:bottom w:val="none" w:sz="0" w:space="0" w:color="auto"/>
        <w:right w:val="none" w:sz="0" w:space="0" w:color="auto"/>
      </w:divBdr>
    </w:div>
    <w:div w:id="362832155">
      <w:bodyDiv w:val="1"/>
      <w:marLeft w:val="0"/>
      <w:marRight w:val="0"/>
      <w:marTop w:val="0"/>
      <w:marBottom w:val="0"/>
      <w:divBdr>
        <w:top w:val="none" w:sz="0" w:space="0" w:color="auto"/>
        <w:left w:val="none" w:sz="0" w:space="0" w:color="auto"/>
        <w:bottom w:val="none" w:sz="0" w:space="0" w:color="auto"/>
        <w:right w:val="none" w:sz="0" w:space="0" w:color="auto"/>
      </w:divBdr>
    </w:div>
    <w:div w:id="375661325">
      <w:bodyDiv w:val="1"/>
      <w:marLeft w:val="0"/>
      <w:marRight w:val="0"/>
      <w:marTop w:val="0"/>
      <w:marBottom w:val="0"/>
      <w:divBdr>
        <w:top w:val="none" w:sz="0" w:space="0" w:color="auto"/>
        <w:left w:val="none" w:sz="0" w:space="0" w:color="auto"/>
        <w:bottom w:val="none" w:sz="0" w:space="0" w:color="auto"/>
        <w:right w:val="none" w:sz="0" w:space="0" w:color="auto"/>
      </w:divBdr>
    </w:div>
    <w:div w:id="379595840">
      <w:bodyDiv w:val="1"/>
      <w:marLeft w:val="0"/>
      <w:marRight w:val="0"/>
      <w:marTop w:val="0"/>
      <w:marBottom w:val="0"/>
      <w:divBdr>
        <w:top w:val="none" w:sz="0" w:space="0" w:color="auto"/>
        <w:left w:val="none" w:sz="0" w:space="0" w:color="auto"/>
        <w:bottom w:val="none" w:sz="0" w:space="0" w:color="auto"/>
        <w:right w:val="none" w:sz="0" w:space="0" w:color="auto"/>
      </w:divBdr>
    </w:div>
    <w:div w:id="408189567">
      <w:bodyDiv w:val="1"/>
      <w:marLeft w:val="0"/>
      <w:marRight w:val="0"/>
      <w:marTop w:val="0"/>
      <w:marBottom w:val="0"/>
      <w:divBdr>
        <w:top w:val="none" w:sz="0" w:space="0" w:color="auto"/>
        <w:left w:val="none" w:sz="0" w:space="0" w:color="auto"/>
        <w:bottom w:val="none" w:sz="0" w:space="0" w:color="auto"/>
        <w:right w:val="none" w:sz="0" w:space="0" w:color="auto"/>
      </w:divBdr>
    </w:div>
    <w:div w:id="409891410">
      <w:bodyDiv w:val="1"/>
      <w:marLeft w:val="0"/>
      <w:marRight w:val="0"/>
      <w:marTop w:val="0"/>
      <w:marBottom w:val="0"/>
      <w:divBdr>
        <w:top w:val="none" w:sz="0" w:space="0" w:color="auto"/>
        <w:left w:val="none" w:sz="0" w:space="0" w:color="auto"/>
        <w:bottom w:val="none" w:sz="0" w:space="0" w:color="auto"/>
        <w:right w:val="none" w:sz="0" w:space="0" w:color="auto"/>
      </w:divBdr>
    </w:div>
    <w:div w:id="421027920">
      <w:bodyDiv w:val="1"/>
      <w:marLeft w:val="0"/>
      <w:marRight w:val="0"/>
      <w:marTop w:val="0"/>
      <w:marBottom w:val="0"/>
      <w:divBdr>
        <w:top w:val="none" w:sz="0" w:space="0" w:color="auto"/>
        <w:left w:val="none" w:sz="0" w:space="0" w:color="auto"/>
        <w:bottom w:val="none" w:sz="0" w:space="0" w:color="auto"/>
        <w:right w:val="none" w:sz="0" w:space="0" w:color="auto"/>
      </w:divBdr>
    </w:div>
    <w:div w:id="445776603">
      <w:bodyDiv w:val="1"/>
      <w:marLeft w:val="0"/>
      <w:marRight w:val="0"/>
      <w:marTop w:val="0"/>
      <w:marBottom w:val="0"/>
      <w:divBdr>
        <w:top w:val="none" w:sz="0" w:space="0" w:color="auto"/>
        <w:left w:val="none" w:sz="0" w:space="0" w:color="auto"/>
        <w:bottom w:val="none" w:sz="0" w:space="0" w:color="auto"/>
        <w:right w:val="none" w:sz="0" w:space="0" w:color="auto"/>
      </w:divBdr>
    </w:div>
    <w:div w:id="451175382">
      <w:bodyDiv w:val="1"/>
      <w:marLeft w:val="0"/>
      <w:marRight w:val="0"/>
      <w:marTop w:val="0"/>
      <w:marBottom w:val="0"/>
      <w:divBdr>
        <w:top w:val="none" w:sz="0" w:space="0" w:color="auto"/>
        <w:left w:val="none" w:sz="0" w:space="0" w:color="auto"/>
        <w:bottom w:val="none" w:sz="0" w:space="0" w:color="auto"/>
        <w:right w:val="none" w:sz="0" w:space="0" w:color="auto"/>
      </w:divBdr>
    </w:div>
    <w:div w:id="466119971">
      <w:bodyDiv w:val="1"/>
      <w:marLeft w:val="0"/>
      <w:marRight w:val="0"/>
      <w:marTop w:val="0"/>
      <w:marBottom w:val="0"/>
      <w:divBdr>
        <w:top w:val="none" w:sz="0" w:space="0" w:color="auto"/>
        <w:left w:val="none" w:sz="0" w:space="0" w:color="auto"/>
        <w:bottom w:val="none" w:sz="0" w:space="0" w:color="auto"/>
        <w:right w:val="none" w:sz="0" w:space="0" w:color="auto"/>
      </w:divBdr>
    </w:div>
    <w:div w:id="467015231">
      <w:bodyDiv w:val="1"/>
      <w:marLeft w:val="0"/>
      <w:marRight w:val="0"/>
      <w:marTop w:val="0"/>
      <w:marBottom w:val="0"/>
      <w:divBdr>
        <w:top w:val="none" w:sz="0" w:space="0" w:color="auto"/>
        <w:left w:val="none" w:sz="0" w:space="0" w:color="auto"/>
        <w:bottom w:val="none" w:sz="0" w:space="0" w:color="auto"/>
        <w:right w:val="none" w:sz="0" w:space="0" w:color="auto"/>
      </w:divBdr>
    </w:div>
    <w:div w:id="500200001">
      <w:bodyDiv w:val="1"/>
      <w:marLeft w:val="0"/>
      <w:marRight w:val="0"/>
      <w:marTop w:val="0"/>
      <w:marBottom w:val="0"/>
      <w:divBdr>
        <w:top w:val="none" w:sz="0" w:space="0" w:color="auto"/>
        <w:left w:val="none" w:sz="0" w:space="0" w:color="auto"/>
        <w:bottom w:val="none" w:sz="0" w:space="0" w:color="auto"/>
        <w:right w:val="none" w:sz="0" w:space="0" w:color="auto"/>
      </w:divBdr>
    </w:div>
    <w:div w:id="513693141">
      <w:bodyDiv w:val="1"/>
      <w:marLeft w:val="0"/>
      <w:marRight w:val="0"/>
      <w:marTop w:val="0"/>
      <w:marBottom w:val="0"/>
      <w:divBdr>
        <w:top w:val="none" w:sz="0" w:space="0" w:color="auto"/>
        <w:left w:val="none" w:sz="0" w:space="0" w:color="auto"/>
        <w:bottom w:val="none" w:sz="0" w:space="0" w:color="auto"/>
        <w:right w:val="none" w:sz="0" w:space="0" w:color="auto"/>
      </w:divBdr>
    </w:div>
    <w:div w:id="520826276">
      <w:bodyDiv w:val="1"/>
      <w:marLeft w:val="0"/>
      <w:marRight w:val="0"/>
      <w:marTop w:val="0"/>
      <w:marBottom w:val="0"/>
      <w:divBdr>
        <w:top w:val="none" w:sz="0" w:space="0" w:color="auto"/>
        <w:left w:val="none" w:sz="0" w:space="0" w:color="auto"/>
        <w:bottom w:val="none" w:sz="0" w:space="0" w:color="auto"/>
        <w:right w:val="none" w:sz="0" w:space="0" w:color="auto"/>
      </w:divBdr>
    </w:div>
    <w:div w:id="525290622">
      <w:bodyDiv w:val="1"/>
      <w:marLeft w:val="0"/>
      <w:marRight w:val="0"/>
      <w:marTop w:val="0"/>
      <w:marBottom w:val="0"/>
      <w:divBdr>
        <w:top w:val="none" w:sz="0" w:space="0" w:color="auto"/>
        <w:left w:val="none" w:sz="0" w:space="0" w:color="auto"/>
        <w:bottom w:val="none" w:sz="0" w:space="0" w:color="auto"/>
        <w:right w:val="none" w:sz="0" w:space="0" w:color="auto"/>
      </w:divBdr>
    </w:div>
    <w:div w:id="529490499">
      <w:bodyDiv w:val="1"/>
      <w:marLeft w:val="0"/>
      <w:marRight w:val="0"/>
      <w:marTop w:val="0"/>
      <w:marBottom w:val="0"/>
      <w:divBdr>
        <w:top w:val="none" w:sz="0" w:space="0" w:color="auto"/>
        <w:left w:val="none" w:sz="0" w:space="0" w:color="auto"/>
        <w:bottom w:val="none" w:sz="0" w:space="0" w:color="auto"/>
        <w:right w:val="none" w:sz="0" w:space="0" w:color="auto"/>
      </w:divBdr>
    </w:div>
    <w:div w:id="543755523">
      <w:bodyDiv w:val="1"/>
      <w:marLeft w:val="0"/>
      <w:marRight w:val="0"/>
      <w:marTop w:val="0"/>
      <w:marBottom w:val="0"/>
      <w:divBdr>
        <w:top w:val="none" w:sz="0" w:space="0" w:color="auto"/>
        <w:left w:val="none" w:sz="0" w:space="0" w:color="auto"/>
        <w:bottom w:val="none" w:sz="0" w:space="0" w:color="auto"/>
        <w:right w:val="none" w:sz="0" w:space="0" w:color="auto"/>
      </w:divBdr>
    </w:div>
    <w:div w:id="545877105">
      <w:bodyDiv w:val="1"/>
      <w:marLeft w:val="0"/>
      <w:marRight w:val="0"/>
      <w:marTop w:val="0"/>
      <w:marBottom w:val="0"/>
      <w:divBdr>
        <w:top w:val="none" w:sz="0" w:space="0" w:color="auto"/>
        <w:left w:val="none" w:sz="0" w:space="0" w:color="auto"/>
        <w:bottom w:val="none" w:sz="0" w:space="0" w:color="auto"/>
        <w:right w:val="none" w:sz="0" w:space="0" w:color="auto"/>
      </w:divBdr>
    </w:div>
    <w:div w:id="603340006">
      <w:bodyDiv w:val="1"/>
      <w:marLeft w:val="0"/>
      <w:marRight w:val="0"/>
      <w:marTop w:val="0"/>
      <w:marBottom w:val="0"/>
      <w:divBdr>
        <w:top w:val="none" w:sz="0" w:space="0" w:color="auto"/>
        <w:left w:val="none" w:sz="0" w:space="0" w:color="auto"/>
        <w:bottom w:val="none" w:sz="0" w:space="0" w:color="auto"/>
        <w:right w:val="none" w:sz="0" w:space="0" w:color="auto"/>
      </w:divBdr>
      <w:divsChild>
        <w:div w:id="83961146">
          <w:marLeft w:val="0"/>
          <w:marRight w:val="0"/>
          <w:marTop w:val="0"/>
          <w:marBottom w:val="0"/>
          <w:divBdr>
            <w:top w:val="none" w:sz="0" w:space="0" w:color="auto"/>
            <w:left w:val="none" w:sz="0" w:space="0" w:color="auto"/>
            <w:bottom w:val="single" w:sz="12" w:space="1" w:color="auto"/>
            <w:right w:val="none" w:sz="0" w:space="0" w:color="auto"/>
          </w:divBdr>
        </w:div>
        <w:div w:id="193887764">
          <w:marLeft w:val="0"/>
          <w:marRight w:val="0"/>
          <w:marTop w:val="0"/>
          <w:marBottom w:val="0"/>
          <w:divBdr>
            <w:top w:val="none" w:sz="0" w:space="0" w:color="auto"/>
            <w:left w:val="none" w:sz="0" w:space="0" w:color="auto"/>
            <w:bottom w:val="single" w:sz="12" w:space="1" w:color="auto"/>
            <w:right w:val="none" w:sz="0" w:space="0" w:color="auto"/>
          </w:divBdr>
        </w:div>
      </w:divsChild>
    </w:div>
    <w:div w:id="635574840">
      <w:bodyDiv w:val="1"/>
      <w:marLeft w:val="0"/>
      <w:marRight w:val="0"/>
      <w:marTop w:val="0"/>
      <w:marBottom w:val="0"/>
      <w:divBdr>
        <w:top w:val="none" w:sz="0" w:space="0" w:color="auto"/>
        <w:left w:val="none" w:sz="0" w:space="0" w:color="auto"/>
        <w:bottom w:val="none" w:sz="0" w:space="0" w:color="auto"/>
        <w:right w:val="none" w:sz="0" w:space="0" w:color="auto"/>
      </w:divBdr>
    </w:div>
    <w:div w:id="648679936">
      <w:bodyDiv w:val="1"/>
      <w:marLeft w:val="0"/>
      <w:marRight w:val="0"/>
      <w:marTop w:val="0"/>
      <w:marBottom w:val="0"/>
      <w:divBdr>
        <w:top w:val="none" w:sz="0" w:space="0" w:color="auto"/>
        <w:left w:val="none" w:sz="0" w:space="0" w:color="auto"/>
        <w:bottom w:val="none" w:sz="0" w:space="0" w:color="auto"/>
        <w:right w:val="none" w:sz="0" w:space="0" w:color="auto"/>
      </w:divBdr>
    </w:div>
    <w:div w:id="669022587">
      <w:bodyDiv w:val="1"/>
      <w:marLeft w:val="0"/>
      <w:marRight w:val="0"/>
      <w:marTop w:val="0"/>
      <w:marBottom w:val="0"/>
      <w:divBdr>
        <w:top w:val="none" w:sz="0" w:space="0" w:color="auto"/>
        <w:left w:val="none" w:sz="0" w:space="0" w:color="auto"/>
        <w:bottom w:val="none" w:sz="0" w:space="0" w:color="auto"/>
        <w:right w:val="none" w:sz="0" w:space="0" w:color="auto"/>
      </w:divBdr>
    </w:div>
    <w:div w:id="699816104">
      <w:bodyDiv w:val="1"/>
      <w:marLeft w:val="0"/>
      <w:marRight w:val="0"/>
      <w:marTop w:val="0"/>
      <w:marBottom w:val="0"/>
      <w:divBdr>
        <w:top w:val="none" w:sz="0" w:space="0" w:color="auto"/>
        <w:left w:val="none" w:sz="0" w:space="0" w:color="auto"/>
        <w:bottom w:val="none" w:sz="0" w:space="0" w:color="auto"/>
        <w:right w:val="none" w:sz="0" w:space="0" w:color="auto"/>
      </w:divBdr>
    </w:div>
    <w:div w:id="722796735">
      <w:bodyDiv w:val="1"/>
      <w:marLeft w:val="0"/>
      <w:marRight w:val="0"/>
      <w:marTop w:val="0"/>
      <w:marBottom w:val="0"/>
      <w:divBdr>
        <w:top w:val="none" w:sz="0" w:space="0" w:color="auto"/>
        <w:left w:val="none" w:sz="0" w:space="0" w:color="auto"/>
        <w:bottom w:val="none" w:sz="0" w:space="0" w:color="auto"/>
        <w:right w:val="none" w:sz="0" w:space="0" w:color="auto"/>
      </w:divBdr>
    </w:div>
    <w:div w:id="726345016">
      <w:bodyDiv w:val="1"/>
      <w:marLeft w:val="0"/>
      <w:marRight w:val="0"/>
      <w:marTop w:val="0"/>
      <w:marBottom w:val="0"/>
      <w:divBdr>
        <w:top w:val="none" w:sz="0" w:space="0" w:color="auto"/>
        <w:left w:val="none" w:sz="0" w:space="0" w:color="auto"/>
        <w:bottom w:val="none" w:sz="0" w:space="0" w:color="auto"/>
        <w:right w:val="none" w:sz="0" w:space="0" w:color="auto"/>
      </w:divBdr>
    </w:div>
    <w:div w:id="748114274">
      <w:bodyDiv w:val="1"/>
      <w:marLeft w:val="0"/>
      <w:marRight w:val="0"/>
      <w:marTop w:val="0"/>
      <w:marBottom w:val="0"/>
      <w:divBdr>
        <w:top w:val="none" w:sz="0" w:space="0" w:color="auto"/>
        <w:left w:val="none" w:sz="0" w:space="0" w:color="auto"/>
        <w:bottom w:val="none" w:sz="0" w:space="0" w:color="auto"/>
        <w:right w:val="none" w:sz="0" w:space="0" w:color="auto"/>
      </w:divBdr>
    </w:div>
    <w:div w:id="749037975">
      <w:bodyDiv w:val="1"/>
      <w:marLeft w:val="0"/>
      <w:marRight w:val="0"/>
      <w:marTop w:val="0"/>
      <w:marBottom w:val="0"/>
      <w:divBdr>
        <w:top w:val="none" w:sz="0" w:space="0" w:color="auto"/>
        <w:left w:val="none" w:sz="0" w:space="0" w:color="auto"/>
        <w:bottom w:val="none" w:sz="0" w:space="0" w:color="auto"/>
        <w:right w:val="none" w:sz="0" w:space="0" w:color="auto"/>
      </w:divBdr>
    </w:div>
    <w:div w:id="764962410">
      <w:bodyDiv w:val="1"/>
      <w:marLeft w:val="0"/>
      <w:marRight w:val="0"/>
      <w:marTop w:val="0"/>
      <w:marBottom w:val="0"/>
      <w:divBdr>
        <w:top w:val="none" w:sz="0" w:space="0" w:color="auto"/>
        <w:left w:val="none" w:sz="0" w:space="0" w:color="auto"/>
        <w:bottom w:val="none" w:sz="0" w:space="0" w:color="auto"/>
        <w:right w:val="none" w:sz="0" w:space="0" w:color="auto"/>
      </w:divBdr>
    </w:div>
    <w:div w:id="779104031">
      <w:bodyDiv w:val="1"/>
      <w:marLeft w:val="0"/>
      <w:marRight w:val="0"/>
      <w:marTop w:val="0"/>
      <w:marBottom w:val="0"/>
      <w:divBdr>
        <w:top w:val="none" w:sz="0" w:space="0" w:color="auto"/>
        <w:left w:val="none" w:sz="0" w:space="0" w:color="auto"/>
        <w:bottom w:val="none" w:sz="0" w:space="0" w:color="auto"/>
        <w:right w:val="none" w:sz="0" w:space="0" w:color="auto"/>
      </w:divBdr>
    </w:div>
    <w:div w:id="796067966">
      <w:bodyDiv w:val="1"/>
      <w:marLeft w:val="0"/>
      <w:marRight w:val="0"/>
      <w:marTop w:val="0"/>
      <w:marBottom w:val="0"/>
      <w:divBdr>
        <w:top w:val="none" w:sz="0" w:space="0" w:color="auto"/>
        <w:left w:val="none" w:sz="0" w:space="0" w:color="auto"/>
        <w:bottom w:val="none" w:sz="0" w:space="0" w:color="auto"/>
        <w:right w:val="none" w:sz="0" w:space="0" w:color="auto"/>
      </w:divBdr>
    </w:div>
    <w:div w:id="804200406">
      <w:bodyDiv w:val="1"/>
      <w:marLeft w:val="0"/>
      <w:marRight w:val="0"/>
      <w:marTop w:val="0"/>
      <w:marBottom w:val="0"/>
      <w:divBdr>
        <w:top w:val="none" w:sz="0" w:space="0" w:color="auto"/>
        <w:left w:val="none" w:sz="0" w:space="0" w:color="auto"/>
        <w:bottom w:val="none" w:sz="0" w:space="0" w:color="auto"/>
        <w:right w:val="none" w:sz="0" w:space="0" w:color="auto"/>
      </w:divBdr>
    </w:div>
    <w:div w:id="814906383">
      <w:bodyDiv w:val="1"/>
      <w:marLeft w:val="0"/>
      <w:marRight w:val="0"/>
      <w:marTop w:val="0"/>
      <w:marBottom w:val="0"/>
      <w:divBdr>
        <w:top w:val="none" w:sz="0" w:space="0" w:color="auto"/>
        <w:left w:val="none" w:sz="0" w:space="0" w:color="auto"/>
        <w:bottom w:val="none" w:sz="0" w:space="0" w:color="auto"/>
        <w:right w:val="none" w:sz="0" w:space="0" w:color="auto"/>
      </w:divBdr>
    </w:div>
    <w:div w:id="817570576">
      <w:bodyDiv w:val="1"/>
      <w:marLeft w:val="0"/>
      <w:marRight w:val="0"/>
      <w:marTop w:val="0"/>
      <w:marBottom w:val="0"/>
      <w:divBdr>
        <w:top w:val="none" w:sz="0" w:space="0" w:color="auto"/>
        <w:left w:val="none" w:sz="0" w:space="0" w:color="auto"/>
        <w:bottom w:val="none" w:sz="0" w:space="0" w:color="auto"/>
        <w:right w:val="none" w:sz="0" w:space="0" w:color="auto"/>
      </w:divBdr>
    </w:div>
    <w:div w:id="825320414">
      <w:bodyDiv w:val="1"/>
      <w:marLeft w:val="0"/>
      <w:marRight w:val="0"/>
      <w:marTop w:val="0"/>
      <w:marBottom w:val="0"/>
      <w:divBdr>
        <w:top w:val="none" w:sz="0" w:space="0" w:color="auto"/>
        <w:left w:val="none" w:sz="0" w:space="0" w:color="auto"/>
        <w:bottom w:val="none" w:sz="0" w:space="0" w:color="auto"/>
        <w:right w:val="none" w:sz="0" w:space="0" w:color="auto"/>
      </w:divBdr>
    </w:div>
    <w:div w:id="831485744">
      <w:bodyDiv w:val="1"/>
      <w:marLeft w:val="0"/>
      <w:marRight w:val="0"/>
      <w:marTop w:val="0"/>
      <w:marBottom w:val="0"/>
      <w:divBdr>
        <w:top w:val="none" w:sz="0" w:space="0" w:color="auto"/>
        <w:left w:val="none" w:sz="0" w:space="0" w:color="auto"/>
        <w:bottom w:val="none" w:sz="0" w:space="0" w:color="auto"/>
        <w:right w:val="none" w:sz="0" w:space="0" w:color="auto"/>
      </w:divBdr>
    </w:div>
    <w:div w:id="853573279">
      <w:bodyDiv w:val="1"/>
      <w:marLeft w:val="0"/>
      <w:marRight w:val="0"/>
      <w:marTop w:val="0"/>
      <w:marBottom w:val="0"/>
      <w:divBdr>
        <w:top w:val="none" w:sz="0" w:space="0" w:color="auto"/>
        <w:left w:val="none" w:sz="0" w:space="0" w:color="auto"/>
        <w:bottom w:val="none" w:sz="0" w:space="0" w:color="auto"/>
        <w:right w:val="none" w:sz="0" w:space="0" w:color="auto"/>
      </w:divBdr>
    </w:div>
    <w:div w:id="863522515">
      <w:bodyDiv w:val="1"/>
      <w:marLeft w:val="0"/>
      <w:marRight w:val="0"/>
      <w:marTop w:val="0"/>
      <w:marBottom w:val="0"/>
      <w:divBdr>
        <w:top w:val="none" w:sz="0" w:space="0" w:color="auto"/>
        <w:left w:val="none" w:sz="0" w:space="0" w:color="auto"/>
        <w:bottom w:val="none" w:sz="0" w:space="0" w:color="auto"/>
        <w:right w:val="none" w:sz="0" w:space="0" w:color="auto"/>
      </w:divBdr>
    </w:div>
    <w:div w:id="888225637">
      <w:bodyDiv w:val="1"/>
      <w:marLeft w:val="0"/>
      <w:marRight w:val="0"/>
      <w:marTop w:val="0"/>
      <w:marBottom w:val="0"/>
      <w:divBdr>
        <w:top w:val="none" w:sz="0" w:space="0" w:color="auto"/>
        <w:left w:val="none" w:sz="0" w:space="0" w:color="auto"/>
        <w:bottom w:val="none" w:sz="0" w:space="0" w:color="auto"/>
        <w:right w:val="none" w:sz="0" w:space="0" w:color="auto"/>
      </w:divBdr>
    </w:div>
    <w:div w:id="888876524">
      <w:bodyDiv w:val="1"/>
      <w:marLeft w:val="0"/>
      <w:marRight w:val="0"/>
      <w:marTop w:val="0"/>
      <w:marBottom w:val="0"/>
      <w:divBdr>
        <w:top w:val="none" w:sz="0" w:space="0" w:color="auto"/>
        <w:left w:val="none" w:sz="0" w:space="0" w:color="auto"/>
        <w:bottom w:val="none" w:sz="0" w:space="0" w:color="auto"/>
        <w:right w:val="none" w:sz="0" w:space="0" w:color="auto"/>
      </w:divBdr>
    </w:div>
    <w:div w:id="934097019">
      <w:bodyDiv w:val="1"/>
      <w:marLeft w:val="0"/>
      <w:marRight w:val="0"/>
      <w:marTop w:val="0"/>
      <w:marBottom w:val="0"/>
      <w:divBdr>
        <w:top w:val="none" w:sz="0" w:space="0" w:color="auto"/>
        <w:left w:val="none" w:sz="0" w:space="0" w:color="auto"/>
        <w:bottom w:val="none" w:sz="0" w:space="0" w:color="auto"/>
        <w:right w:val="none" w:sz="0" w:space="0" w:color="auto"/>
      </w:divBdr>
    </w:div>
    <w:div w:id="941763900">
      <w:bodyDiv w:val="1"/>
      <w:marLeft w:val="0"/>
      <w:marRight w:val="0"/>
      <w:marTop w:val="0"/>
      <w:marBottom w:val="0"/>
      <w:divBdr>
        <w:top w:val="none" w:sz="0" w:space="0" w:color="auto"/>
        <w:left w:val="none" w:sz="0" w:space="0" w:color="auto"/>
        <w:bottom w:val="none" w:sz="0" w:space="0" w:color="auto"/>
        <w:right w:val="none" w:sz="0" w:space="0" w:color="auto"/>
      </w:divBdr>
      <w:divsChild>
        <w:div w:id="43868742">
          <w:marLeft w:val="0"/>
          <w:marRight w:val="0"/>
          <w:marTop w:val="0"/>
          <w:marBottom w:val="0"/>
          <w:divBdr>
            <w:top w:val="none" w:sz="0" w:space="0" w:color="auto"/>
            <w:left w:val="none" w:sz="0" w:space="0" w:color="auto"/>
            <w:bottom w:val="single" w:sz="12" w:space="1" w:color="auto"/>
            <w:right w:val="none" w:sz="0" w:space="0" w:color="auto"/>
          </w:divBdr>
        </w:div>
      </w:divsChild>
    </w:div>
    <w:div w:id="958489793">
      <w:bodyDiv w:val="1"/>
      <w:marLeft w:val="0"/>
      <w:marRight w:val="0"/>
      <w:marTop w:val="0"/>
      <w:marBottom w:val="0"/>
      <w:divBdr>
        <w:top w:val="none" w:sz="0" w:space="0" w:color="auto"/>
        <w:left w:val="none" w:sz="0" w:space="0" w:color="auto"/>
        <w:bottom w:val="none" w:sz="0" w:space="0" w:color="auto"/>
        <w:right w:val="none" w:sz="0" w:space="0" w:color="auto"/>
      </w:divBdr>
    </w:div>
    <w:div w:id="964392472">
      <w:bodyDiv w:val="1"/>
      <w:marLeft w:val="0"/>
      <w:marRight w:val="0"/>
      <w:marTop w:val="0"/>
      <w:marBottom w:val="0"/>
      <w:divBdr>
        <w:top w:val="none" w:sz="0" w:space="0" w:color="auto"/>
        <w:left w:val="none" w:sz="0" w:space="0" w:color="auto"/>
        <w:bottom w:val="none" w:sz="0" w:space="0" w:color="auto"/>
        <w:right w:val="none" w:sz="0" w:space="0" w:color="auto"/>
      </w:divBdr>
    </w:div>
    <w:div w:id="966009207">
      <w:bodyDiv w:val="1"/>
      <w:marLeft w:val="0"/>
      <w:marRight w:val="0"/>
      <w:marTop w:val="0"/>
      <w:marBottom w:val="0"/>
      <w:divBdr>
        <w:top w:val="none" w:sz="0" w:space="0" w:color="auto"/>
        <w:left w:val="none" w:sz="0" w:space="0" w:color="auto"/>
        <w:bottom w:val="none" w:sz="0" w:space="0" w:color="auto"/>
        <w:right w:val="none" w:sz="0" w:space="0" w:color="auto"/>
      </w:divBdr>
    </w:div>
    <w:div w:id="975835151">
      <w:bodyDiv w:val="1"/>
      <w:marLeft w:val="0"/>
      <w:marRight w:val="0"/>
      <w:marTop w:val="0"/>
      <w:marBottom w:val="0"/>
      <w:divBdr>
        <w:top w:val="none" w:sz="0" w:space="0" w:color="auto"/>
        <w:left w:val="none" w:sz="0" w:space="0" w:color="auto"/>
        <w:bottom w:val="none" w:sz="0" w:space="0" w:color="auto"/>
        <w:right w:val="none" w:sz="0" w:space="0" w:color="auto"/>
      </w:divBdr>
    </w:div>
    <w:div w:id="979461477">
      <w:bodyDiv w:val="1"/>
      <w:marLeft w:val="0"/>
      <w:marRight w:val="0"/>
      <w:marTop w:val="0"/>
      <w:marBottom w:val="0"/>
      <w:divBdr>
        <w:top w:val="none" w:sz="0" w:space="0" w:color="auto"/>
        <w:left w:val="none" w:sz="0" w:space="0" w:color="auto"/>
        <w:bottom w:val="none" w:sz="0" w:space="0" w:color="auto"/>
        <w:right w:val="none" w:sz="0" w:space="0" w:color="auto"/>
      </w:divBdr>
    </w:div>
    <w:div w:id="984117442">
      <w:bodyDiv w:val="1"/>
      <w:marLeft w:val="0"/>
      <w:marRight w:val="0"/>
      <w:marTop w:val="0"/>
      <w:marBottom w:val="0"/>
      <w:divBdr>
        <w:top w:val="none" w:sz="0" w:space="0" w:color="auto"/>
        <w:left w:val="none" w:sz="0" w:space="0" w:color="auto"/>
        <w:bottom w:val="none" w:sz="0" w:space="0" w:color="auto"/>
        <w:right w:val="none" w:sz="0" w:space="0" w:color="auto"/>
      </w:divBdr>
    </w:div>
    <w:div w:id="1001928589">
      <w:bodyDiv w:val="1"/>
      <w:marLeft w:val="0"/>
      <w:marRight w:val="0"/>
      <w:marTop w:val="0"/>
      <w:marBottom w:val="0"/>
      <w:divBdr>
        <w:top w:val="none" w:sz="0" w:space="0" w:color="auto"/>
        <w:left w:val="none" w:sz="0" w:space="0" w:color="auto"/>
        <w:bottom w:val="none" w:sz="0" w:space="0" w:color="auto"/>
        <w:right w:val="none" w:sz="0" w:space="0" w:color="auto"/>
      </w:divBdr>
    </w:div>
    <w:div w:id="1013268976">
      <w:bodyDiv w:val="1"/>
      <w:marLeft w:val="0"/>
      <w:marRight w:val="0"/>
      <w:marTop w:val="0"/>
      <w:marBottom w:val="0"/>
      <w:divBdr>
        <w:top w:val="none" w:sz="0" w:space="0" w:color="auto"/>
        <w:left w:val="none" w:sz="0" w:space="0" w:color="auto"/>
        <w:bottom w:val="none" w:sz="0" w:space="0" w:color="auto"/>
        <w:right w:val="none" w:sz="0" w:space="0" w:color="auto"/>
      </w:divBdr>
    </w:div>
    <w:div w:id="1018046399">
      <w:bodyDiv w:val="1"/>
      <w:marLeft w:val="0"/>
      <w:marRight w:val="0"/>
      <w:marTop w:val="0"/>
      <w:marBottom w:val="0"/>
      <w:divBdr>
        <w:top w:val="none" w:sz="0" w:space="0" w:color="auto"/>
        <w:left w:val="none" w:sz="0" w:space="0" w:color="auto"/>
        <w:bottom w:val="none" w:sz="0" w:space="0" w:color="auto"/>
        <w:right w:val="none" w:sz="0" w:space="0" w:color="auto"/>
      </w:divBdr>
    </w:div>
    <w:div w:id="1026712933">
      <w:bodyDiv w:val="1"/>
      <w:marLeft w:val="0"/>
      <w:marRight w:val="0"/>
      <w:marTop w:val="0"/>
      <w:marBottom w:val="0"/>
      <w:divBdr>
        <w:top w:val="none" w:sz="0" w:space="0" w:color="auto"/>
        <w:left w:val="none" w:sz="0" w:space="0" w:color="auto"/>
        <w:bottom w:val="none" w:sz="0" w:space="0" w:color="auto"/>
        <w:right w:val="none" w:sz="0" w:space="0" w:color="auto"/>
      </w:divBdr>
    </w:div>
    <w:div w:id="1030178907">
      <w:bodyDiv w:val="1"/>
      <w:marLeft w:val="0"/>
      <w:marRight w:val="0"/>
      <w:marTop w:val="0"/>
      <w:marBottom w:val="0"/>
      <w:divBdr>
        <w:top w:val="none" w:sz="0" w:space="0" w:color="auto"/>
        <w:left w:val="none" w:sz="0" w:space="0" w:color="auto"/>
        <w:bottom w:val="none" w:sz="0" w:space="0" w:color="auto"/>
        <w:right w:val="none" w:sz="0" w:space="0" w:color="auto"/>
      </w:divBdr>
    </w:div>
    <w:div w:id="1065109730">
      <w:bodyDiv w:val="1"/>
      <w:marLeft w:val="0"/>
      <w:marRight w:val="0"/>
      <w:marTop w:val="0"/>
      <w:marBottom w:val="0"/>
      <w:divBdr>
        <w:top w:val="none" w:sz="0" w:space="0" w:color="auto"/>
        <w:left w:val="none" w:sz="0" w:space="0" w:color="auto"/>
        <w:bottom w:val="none" w:sz="0" w:space="0" w:color="auto"/>
        <w:right w:val="none" w:sz="0" w:space="0" w:color="auto"/>
      </w:divBdr>
    </w:div>
    <w:div w:id="1068263114">
      <w:bodyDiv w:val="1"/>
      <w:marLeft w:val="0"/>
      <w:marRight w:val="0"/>
      <w:marTop w:val="0"/>
      <w:marBottom w:val="0"/>
      <w:divBdr>
        <w:top w:val="none" w:sz="0" w:space="0" w:color="auto"/>
        <w:left w:val="none" w:sz="0" w:space="0" w:color="auto"/>
        <w:bottom w:val="none" w:sz="0" w:space="0" w:color="auto"/>
        <w:right w:val="none" w:sz="0" w:space="0" w:color="auto"/>
      </w:divBdr>
    </w:div>
    <w:div w:id="1075393070">
      <w:bodyDiv w:val="1"/>
      <w:marLeft w:val="0"/>
      <w:marRight w:val="0"/>
      <w:marTop w:val="0"/>
      <w:marBottom w:val="0"/>
      <w:divBdr>
        <w:top w:val="none" w:sz="0" w:space="0" w:color="auto"/>
        <w:left w:val="none" w:sz="0" w:space="0" w:color="auto"/>
        <w:bottom w:val="none" w:sz="0" w:space="0" w:color="auto"/>
        <w:right w:val="none" w:sz="0" w:space="0" w:color="auto"/>
      </w:divBdr>
    </w:div>
    <w:div w:id="1079055380">
      <w:bodyDiv w:val="1"/>
      <w:marLeft w:val="0"/>
      <w:marRight w:val="0"/>
      <w:marTop w:val="0"/>
      <w:marBottom w:val="0"/>
      <w:divBdr>
        <w:top w:val="none" w:sz="0" w:space="0" w:color="auto"/>
        <w:left w:val="none" w:sz="0" w:space="0" w:color="auto"/>
        <w:bottom w:val="none" w:sz="0" w:space="0" w:color="auto"/>
        <w:right w:val="none" w:sz="0" w:space="0" w:color="auto"/>
      </w:divBdr>
    </w:div>
    <w:div w:id="1085105734">
      <w:bodyDiv w:val="1"/>
      <w:marLeft w:val="0"/>
      <w:marRight w:val="0"/>
      <w:marTop w:val="0"/>
      <w:marBottom w:val="0"/>
      <w:divBdr>
        <w:top w:val="none" w:sz="0" w:space="0" w:color="auto"/>
        <w:left w:val="none" w:sz="0" w:space="0" w:color="auto"/>
        <w:bottom w:val="none" w:sz="0" w:space="0" w:color="auto"/>
        <w:right w:val="none" w:sz="0" w:space="0" w:color="auto"/>
      </w:divBdr>
    </w:div>
    <w:div w:id="1091201811">
      <w:bodyDiv w:val="1"/>
      <w:marLeft w:val="0"/>
      <w:marRight w:val="0"/>
      <w:marTop w:val="0"/>
      <w:marBottom w:val="0"/>
      <w:divBdr>
        <w:top w:val="none" w:sz="0" w:space="0" w:color="auto"/>
        <w:left w:val="none" w:sz="0" w:space="0" w:color="auto"/>
        <w:bottom w:val="none" w:sz="0" w:space="0" w:color="auto"/>
        <w:right w:val="none" w:sz="0" w:space="0" w:color="auto"/>
      </w:divBdr>
    </w:div>
    <w:div w:id="1094865277">
      <w:bodyDiv w:val="1"/>
      <w:marLeft w:val="0"/>
      <w:marRight w:val="0"/>
      <w:marTop w:val="0"/>
      <w:marBottom w:val="0"/>
      <w:divBdr>
        <w:top w:val="none" w:sz="0" w:space="0" w:color="auto"/>
        <w:left w:val="none" w:sz="0" w:space="0" w:color="auto"/>
        <w:bottom w:val="none" w:sz="0" w:space="0" w:color="auto"/>
        <w:right w:val="none" w:sz="0" w:space="0" w:color="auto"/>
      </w:divBdr>
    </w:div>
    <w:div w:id="1145775300">
      <w:bodyDiv w:val="1"/>
      <w:marLeft w:val="0"/>
      <w:marRight w:val="0"/>
      <w:marTop w:val="0"/>
      <w:marBottom w:val="0"/>
      <w:divBdr>
        <w:top w:val="none" w:sz="0" w:space="0" w:color="auto"/>
        <w:left w:val="none" w:sz="0" w:space="0" w:color="auto"/>
        <w:bottom w:val="none" w:sz="0" w:space="0" w:color="auto"/>
        <w:right w:val="none" w:sz="0" w:space="0" w:color="auto"/>
      </w:divBdr>
    </w:div>
    <w:div w:id="1150365529">
      <w:bodyDiv w:val="1"/>
      <w:marLeft w:val="0"/>
      <w:marRight w:val="0"/>
      <w:marTop w:val="0"/>
      <w:marBottom w:val="0"/>
      <w:divBdr>
        <w:top w:val="none" w:sz="0" w:space="0" w:color="auto"/>
        <w:left w:val="none" w:sz="0" w:space="0" w:color="auto"/>
        <w:bottom w:val="none" w:sz="0" w:space="0" w:color="auto"/>
        <w:right w:val="none" w:sz="0" w:space="0" w:color="auto"/>
      </w:divBdr>
    </w:div>
    <w:div w:id="1190682277">
      <w:bodyDiv w:val="1"/>
      <w:marLeft w:val="0"/>
      <w:marRight w:val="0"/>
      <w:marTop w:val="0"/>
      <w:marBottom w:val="0"/>
      <w:divBdr>
        <w:top w:val="none" w:sz="0" w:space="0" w:color="auto"/>
        <w:left w:val="none" w:sz="0" w:space="0" w:color="auto"/>
        <w:bottom w:val="none" w:sz="0" w:space="0" w:color="auto"/>
        <w:right w:val="none" w:sz="0" w:space="0" w:color="auto"/>
      </w:divBdr>
    </w:div>
    <w:div w:id="1198085195">
      <w:bodyDiv w:val="1"/>
      <w:marLeft w:val="0"/>
      <w:marRight w:val="0"/>
      <w:marTop w:val="0"/>
      <w:marBottom w:val="0"/>
      <w:divBdr>
        <w:top w:val="none" w:sz="0" w:space="0" w:color="auto"/>
        <w:left w:val="none" w:sz="0" w:space="0" w:color="auto"/>
        <w:bottom w:val="none" w:sz="0" w:space="0" w:color="auto"/>
        <w:right w:val="none" w:sz="0" w:space="0" w:color="auto"/>
      </w:divBdr>
    </w:div>
    <w:div w:id="1203902248">
      <w:bodyDiv w:val="1"/>
      <w:marLeft w:val="0"/>
      <w:marRight w:val="0"/>
      <w:marTop w:val="0"/>
      <w:marBottom w:val="0"/>
      <w:divBdr>
        <w:top w:val="none" w:sz="0" w:space="0" w:color="auto"/>
        <w:left w:val="none" w:sz="0" w:space="0" w:color="auto"/>
        <w:bottom w:val="none" w:sz="0" w:space="0" w:color="auto"/>
        <w:right w:val="none" w:sz="0" w:space="0" w:color="auto"/>
      </w:divBdr>
    </w:div>
    <w:div w:id="1204054117">
      <w:bodyDiv w:val="1"/>
      <w:marLeft w:val="0"/>
      <w:marRight w:val="0"/>
      <w:marTop w:val="0"/>
      <w:marBottom w:val="0"/>
      <w:divBdr>
        <w:top w:val="none" w:sz="0" w:space="0" w:color="auto"/>
        <w:left w:val="none" w:sz="0" w:space="0" w:color="auto"/>
        <w:bottom w:val="none" w:sz="0" w:space="0" w:color="auto"/>
        <w:right w:val="none" w:sz="0" w:space="0" w:color="auto"/>
      </w:divBdr>
    </w:div>
    <w:div w:id="1215656231">
      <w:bodyDiv w:val="1"/>
      <w:marLeft w:val="0"/>
      <w:marRight w:val="0"/>
      <w:marTop w:val="0"/>
      <w:marBottom w:val="0"/>
      <w:divBdr>
        <w:top w:val="none" w:sz="0" w:space="0" w:color="auto"/>
        <w:left w:val="none" w:sz="0" w:space="0" w:color="auto"/>
        <w:bottom w:val="none" w:sz="0" w:space="0" w:color="auto"/>
        <w:right w:val="none" w:sz="0" w:space="0" w:color="auto"/>
      </w:divBdr>
    </w:div>
    <w:div w:id="1292514163">
      <w:bodyDiv w:val="1"/>
      <w:marLeft w:val="0"/>
      <w:marRight w:val="0"/>
      <w:marTop w:val="0"/>
      <w:marBottom w:val="0"/>
      <w:divBdr>
        <w:top w:val="none" w:sz="0" w:space="0" w:color="auto"/>
        <w:left w:val="none" w:sz="0" w:space="0" w:color="auto"/>
        <w:bottom w:val="none" w:sz="0" w:space="0" w:color="auto"/>
        <w:right w:val="none" w:sz="0" w:space="0" w:color="auto"/>
      </w:divBdr>
    </w:div>
    <w:div w:id="1308589873">
      <w:bodyDiv w:val="1"/>
      <w:marLeft w:val="0"/>
      <w:marRight w:val="0"/>
      <w:marTop w:val="0"/>
      <w:marBottom w:val="0"/>
      <w:divBdr>
        <w:top w:val="none" w:sz="0" w:space="0" w:color="auto"/>
        <w:left w:val="none" w:sz="0" w:space="0" w:color="auto"/>
        <w:bottom w:val="none" w:sz="0" w:space="0" w:color="auto"/>
        <w:right w:val="none" w:sz="0" w:space="0" w:color="auto"/>
      </w:divBdr>
    </w:div>
    <w:div w:id="1325402849">
      <w:bodyDiv w:val="1"/>
      <w:marLeft w:val="0"/>
      <w:marRight w:val="0"/>
      <w:marTop w:val="0"/>
      <w:marBottom w:val="0"/>
      <w:divBdr>
        <w:top w:val="none" w:sz="0" w:space="0" w:color="auto"/>
        <w:left w:val="none" w:sz="0" w:space="0" w:color="auto"/>
        <w:bottom w:val="none" w:sz="0" w:space="0" w:color="auto"/>
        <w:right w:val="none" w:sz="0" w:space="0" w:color="auto"/>
      </w:divBdr>
    </w:div>
    <w:div w:id="1349255327">
      <w:bodyDiv w:val="1"/>
      <w:marLeft w:val="0"/>
      <w:marRight w:val="0"/>
      <w:marTop w:val="0"/>
      <w:marBottom w:val="0"/>
      <w:divBdr>
        <w:top w:val="none" w:sz="0" w:space="0" w:color="auto"/>
        <w:left w:val="none" w:sz="0" w:space="0" w:color="auto"/>
        <w:bottom w:val="none" w:sz="0" w:space="0" w:color="auto"/>
        <w:right w:val="none" w:sz="0" w:space="0" w:color="auto"/>
      </w:divBdr>
    </w:div>
    <w:div w:id="1355110990">
      <w:bodyDiv w:val="1"/>
      <w:marLeft w:val="0"/>
      <w:marRight w:val="0"/>
      <w:marTop w:val="0"/>
      <w:marBottom w:val="0"/>
      <w:divBdr>
        <w:top w:val="none" w:sz="0" w:space="0" w:color="auto"/>
        <w:left w:val="none" w:sz="0" w:space="0" w:color="auto"/>
        <w:bottom w:val="none" w:sz="0" w:space="0" w:color="auto"/>
        <w:right w:val="none" w:sz="0" w:space="0" w:color="auto"/>
      </w:divBdr>
      <w:divsChild>
        <w:div w:id="1017148523">
          <w:marLeft w:val="0"/>
          <w:marRight w:val="0"/>
          <w:marTop w:val="0"/>
          <w:marBottom w:val="0"/>
          <w:divBdr>
            <w:top w:val="none" w:sz="0" w:space="0" w:color="auto"/>
            <w:left w:val="none" w:sz="0" w:space="0" w:color="auto"/>
            <w:bottom w:val="single" w:sz="8" w:space="1" w:color="auto"/>
            <w:right w:val="none" w:sz="0" w:space="0" w:color="auto"/>
          </w:divBdr>
        </w:div>
      </w:divsChild>
    </w:div>
    <w:div w:id="1368489193">
      <w:bodyDiv w:val="1"/>
      <w:marLeft w:val="0"/>
      <w:marRight w:val="0"/>
      <w:marTop w:val="0"/>
      <w:marBottom w:val="0"/>
      <w:divBdr>
        <w:top w:val="none" w:sz="0" w:space="0" w:color="auto"/>
        <w:left w:val="none" w:sz="0" w:space="0" w:color="auto"/>
        <w:bottom w:val="none" w:sz="0" w:space="0" w:color="auto"/>
        <w:right w:val="none" w:sz="0" w:space="0" w:color="auto"/>
      </w:divBdr>
    </w:div>
    <w:div w:id="1370378676">
      <w:bodyDiv w:val="1"/>
      <w:marLeft w:val="0"/>
      <w:marRight w:val="0"/>
      <w:marTop w:val="0"/>
      <w:marBottom w:val="0"/>
      <w:divBdr>
        <w:top w:val="none" w:sz="0" w:space="0" w:color="auto"/>
        <w:left w:val="none" w:sz="0" w:space="0" w:color="auto"/>
        <w:bottom w:val="none" w:sz="0" w:space="0" w:color="auto"/>
        <w:right w:val="none" w:sz="0" w:space="0" w:color="auto"/>
      </w:divBdr>
    </w:div>
    <w:div w:id="1390112602">
      <w:bodyDiv w:val="1"/>
      <w:marLeft w:val="0"/>
      <w:marRight w:val="0"/>
      <w:marTop w:val="0"/>
      <w:marBottom w:val="0"/>
      <w:divBdr>
        <w:top w:val="none" w:sz="0" w:space="0" w:color="auto"/>
        <w:left w:val="none" w:sz="0" w:space="0" w:color="auto"/>
        <w:bottom w:val="none" w:sz="0" w:space="0" w:color="auto"/>
        <w:right w:val="none" w:sz="0" w:space="0" w:color="auto"/>
      </w:divBdr>
    </w:div>
    <w:div w:id="1402823722">
      <w:bodyDiv w:val="1"/>
      <w:marLeft w:val="0"/>
      <w:marRight w:val="0"/>
      <w:marTop w:val="0"/>
      <w:marBottom w:val="0"/>
      <w:divBdr>
        <w:top w:val="none" w:sz="0" w:space="0" w:color="auto"/>
        <w:left w:val="none" w:sz="0" w:space="0" w:color="auto"/>
        <w:bottom w:val="none" w:sz="0" w:space="0" w:color="auto"/>
        <w:right w:val="none" w:sz="0" w:space="0" w:color="auto"/>
      </w:divBdr>
      <w:divsChild>
        <w:div w:id="2111925324">
          <w:marLeft w:val="0"/>
          <w:marRight w:val="0"/>
          <w:marTop w:val="0"/>
          <w:marBottom w:val="0"/>
          <w:divBdr>
            <w:top w:val="none" w:sz="0" w:space="0" w:color="auto"/>
            <w:left w:val="none" w:sz="0" w:space="0" w:color="auto"/>
            <w:bottom w:val="single" w:sz="12" w:space="1" w:color="auto"/>
            <w:right w:val="none" w:sz="0" w:space="0" w:color="auto"/>
          </w:divBdr>
        </w:div>
      </w:divsChild>
    </w:div>
    <w:div w:id="1403718984">
      <w:bodyDiv w:val="1"/>
      <w:marLeft w:val="0"/>
      <w:marRight w:val="0"/>
      <w:marTop w:val="0"/>
      <w:marBottom w:val="0"/>
      <w:divBdr>
        <w:top w:val="none" w:sz="0" w:space="0" w:color="auto"/>
        <w:left w:val="none" w:sz="0" w:space="0" w:color="auto"/>
        <w:bottom w:val="none" w:sz="0" w:space="0" w:color="auto"/>
        <w:right w:val="none" w:sz="0" w:space="0" w:color="auto"/>
      </w:divBdr>
    </w:div>
    <w:div w:id="1405226593">
      <w:bodyDiv w:val="1"/>
      <w:marLeft w:val="0"/>
      <w:marRight w:val="0"/>
      <w:marTop w:val="0"/>
      <w:marBottom w:val="0"/>
      <w:divBdr>
        <w:top w:val="none" w:sz="0" w:space="0" w:color="auto"/>
        <w:left w:val="none" w:sz="0" w:space="0" w:color="auto"/>
        <w:bottom w:val="none" w:sz="0" w:space="0" w:color="auto"/>
        <w:right w:val="none" w:sz="0" w:space="0" w:color="auto"/>
      </w:divBdr>
    </w:div>
    <w:div w:id="1420440157">
      <w:bodyDiv w:val="1"/>
      <w:marLeft w:val="0"/>
      <w:marRight w:val="0"/>
      <w:marTop w:val="0"/>
      <w:marBottom w:val="0"/>
      <w:divBdr>
        <w:top w:val="none" w:sz="0" w:space="0" w:color="auto"/>
        <w:left w:val="none" w:sz="0" w:space="0" w:color="auto"/>
        <w:bottom w:val="none" w:sz="0" w:space="0" w:color="auto"/>
        <w:right w:val="none" w:sz="0" w:space="0" w:color="auto"/>
      </w:divBdr>
      <w:divsChild>
        <w:div w:id="673916973">
          <w:marLeft w:val="0"/>
          <w:marRight w:val="0"/>
          <w:marTop w:val="0"/>
          <w:marBottom w:val="0"/>
          <w:divBdr>
            <w:top w:val="none" w:sz="0" w:space="0" w:color="auto"/>
            <w:left w:val="none" w:sz="0" w:space="0" w:color="auto"/>
            <w:bottom w:val="single" w:sz="8" w:space="1" w:color="auto"/>
            <w:right w:val="none" w:sz="0" w:space="0" w:color="auto"/>
          </w:divBdr>
        </w:div>
      </w:divsChild>
    </w:div>
    <w:div w:id="1447041743">
      <w:bodyDiv w:val="1"/>
      <w:marLeft w:val="0"/>
      <w:marRight w:val="0"/>
      <w:marTop w:val="0"/>
      <w:marBottom w:val="0"/>
      <w:divBdr>
        <w:top w:val="none" w:sz="0" w:space="0" w:color="auto"/>
        <w:left w:val="none" w:sz="0" w:space="0" w:color="auto"/>
        <w:bottom w:val="none" w:sz="0" w:space="0" w:color="auto"/>
        <w:right w:val="none" w:sz="0" w:space="0" w:color="auto"/>
      </w:divBdr>
    </w:div>
    <w:div w:id="1453010808">
      <w:bodyDiv w:val="1"/>
      <w:marLeft w:val="0"/>
      <w:marRight w:val="0"/>
      <w:marTop w:val="0"/>
      <w:marBottom w:val="0"/>
      <w:divBdr>
        <w:top w:val="none" w:sz="0" w:space="0" w:color="auto"/>
        <w:left w:val="none" w:sz="0" w:space="0" w:color="auto"/>
        <w:bottom w:val="none" w:sz="0" w:space="0" w:color="auto"/>
        <w:right w:val="none" w:sz="0" w:space="0" w:color="auto"/>
      </w:divBdr>
    </w:div>
    <w:div w:id="1453936243">
      <w:bodyDiv w:val="1"/>
      <w:marLeft w:val="0"/>
      <w:marRight w:val="0"/>
      <w:marTop w:val="0"/>
      <w:marBottom w:val="0"/>
      <w:divBdr>
        <w:top w:val="none" w:sz="0" w:space="0" w:color="auto"/>
        <w:left w:val="none" w:sz="0" w:space="0" w:color="auto"/>
        <w:bottom w:val="none" w:sz="0" w:space="0" w:color="auto"/>
        <w:right w:val="none" w:sz="0" w:space="0" w:color="auto"/>
      </w:divBdr>
    </w:div>
    <w:div w:id="1471553102">
      <w:bodyDiv w:val="1"/>
      <w:marLeft w:val="0"/>
      <w:marRight w:val="0"/>
      <w:marTop w:val="0"/>
      <w:marBottom w:val="0"/>
      <w:divBdr>
        <w:top w:val="none" w:sz="0" w:space="0" w:color="auto"/>
        <w:left w:val="none" w:sz="0" w:space="0" w:color="auto"/>
        <w:bottom w:val="none" w:sz="0" w:space="0" w:color="auto"/>
        <w:right w:val="none" w:sz="0" w:space="0" w:color="auto"/>
      </w:divBdr>
    </w:div>
    <w:div w:id="1488934571">
      <w:bodyDiv w:val="1"/>
      <w:marLeft w:val="0"/>
      <w:marRight w:val="0"/>
      <w:marTop w:val="0"/>
      <w:marBottom w:val="0"/>
      <w:divBdr>
        <w:top w:val="none" w:sz="0" w:space="0" w:color="auto"/>
        <w:left w:val="none" w:sz="0" w:space="0" w:color="auto"/>
        <w:bottom w:val="none" w:sz="0" w:space="0" w:color="auto"/>
        <w:right w:val="none" w:sz="0" w:space="0" w:color="auto"/>
      </w:divBdr>
    </w:div>
    <w:div w:id="1524855603">
      <w:bodyDiv w:val="1"/>
      <w:marLeft w:val="0"/>
      <w:marRight w:val="0"/>
      <w:marTop w:val="0"/>
      <w:marBottom w:val="0"/>
      <w:divBdr>
        <w:top w:val="none" w:sz="0" w:space="0" w:color="auto"/>
        <w:left w:val="none" w:sz="0" w:space="0" w:color="auto"/>
        <w:bottom w:val="none" w:sz="0" w:space="0" w:color="auto"/>
        <w:right w:val="none" w:sz="0" w:space="0" w:color="auto"/>
      </w:divBdr>
    </w:div>
    <w:div w:id="1531533317">
      <w:bodyDiv w:val="1"/>
      <w:marLeft w:val="0"/>
      <w:marRight w:val="0"/>
      <w:marTop w:val="0"/>
      <w:marBottom w:val="0"/>
      <w:divBdr>
        <w:top w:val="none" w:sz="0" w:space="0" w:color="auto"/>
        <w:left w:val="none" w:sz="0" w:space="0" w:color="auto"/>
        <w:bottom w:val="none" w:sz="0" w:space="0" w:color="auto"/>
        <w:right w:val="none" w:sz="0" w:space="0" w:color="auto"/>
      </w:divBdr>
    </w:div>
    <w:div w:id="1535076699">
      <w:bodyDiv w:val="1"/>
      <w:marLeft w:val="0"/>
      <w:marRight w:val="0"/>
      <w:marTop w:val="0"/>
      <w:marBottom w:val="0"/>
      <w:divBdr>
        <w:top w:val="none" w:sz="0" w:space="0" w:color="auto"/>
        <w:left w:val="none" w:sz="0" w:space="0" w:color="auto"/>
        <w:bottom w:val="none" w:sz="0" w:space="0" w:color="auto"/>
        <w:right w:val="none" w:sz="0" w:space="0" w:color="auto"/>
      </w:divBdr>
    </w:div>
    <w:div w:id="1535193594">
      <w:bodyDiv w:val="1"/>
      <w:marLeft w:val="0"/>
      <w:marRight w:val="0"/>
      <w:marTop w:val="0"/>
      <w:marBottom w:val="0"/>
      <w:divBdr>
        <w:top w:val="none" w:sz="0" w:space="0" w:color="auto"/>
        <w:left w:val="none" w:sz="0" w:space="0" w:color="auto"/>
        <w:bottom w:val="none" w:sz="0" w:space="0" w:color="auto"/>
        <w:right w:val="none" w:sz="0" w:space="0" w:color="auto"/>
      </w:divBdr>
    </w:div>
    <w:div w:id="1537351426">
      <w:bodyDiv w:val="1"/>
      <w:marLeft w:val="0"/>
      <w:marRight w:val="0"/>
      <w:marTop w:val="0"/>
      <w:marBottom w:val="0"/>
      <w:divBdr>
        <w:top w:val="none" w:sz="0" w:space="0" w:color="auto"/>
        <w:left w:val="none" w:sz="0" w:space="0" w:color="auto"/>
        <w:bottom w:val="none" w:sz="0" w:space="0" w:color="auto"/>
        <w:right w:val="none" w:sz="0" w:space="0" w:color="auto"/>
      </w:divBdr>
    </w:div>
    <w:div w:id="1541014764">
      <w:bodyDiv w:val="1"/>
      <w:marLeft w:val="0"/>
      <w:marRight w:val="0"/>
      <w:marTop w:val="0"/>
      <w:marBottom w:val="0"/>
      <w:divBdr>
        <w:top w:val="none" w:sz="0" w:space="0" w:color="auto"/>
        <w:left w:val="none" w:sz="0" w:space="0" w:color="auto"/>
        <w:bottom w:val="none" w:sz="0" w:space="0" w:color="auto"/>
        <w:right w:val="none" w:sz="0" w:space="0" w:color="auto"/>
      </w:divBdr>
    </w:div>
    <w:div w:id="1545752167">
      <w:bodyDiv w:val="1"/>
      <w:marLeft w:val="0"/>
      <w:marRight w:val="0"/>
      <w:marTop w:val="0"/>
      <w:marBottom w:val="0"/>
      <w:divBdr>
        <w:top w:val="none" w:sz="0" w:space="0" w:color="auto"/>
        <w:left w:val="none" w:sz="0" w:space="0" w:color="auto"/>
        <w:bottom w:val="none" w:sz="0" w:space="0" w:color="auto"/>
        <w:right w:val="none" w:sz="0" w:space="0" w:color="auto"/>
      </w:divBdr>
    </w:div>
    <w:div w:id="1575124630">
      <w:bodyDiv w:val="1"/>
      <w:marLeft w:val="0"/>
      <w:marRight w:val="0"/>
      <w:marTop w:val="0"/>
      <w:marBottom w:val="0"/>
      <w:divBdr>
        <w:top w:val="none" w:sz="0" w:space="0" w:color="auto"/>
        <w:left w:val="none" w:sz="0" w:space="0" w:color="auto"/>
        <w:bottom w:val="none" w:sz="0" w:space="0" w:color="auto"/>
        <w:right w:val="none" w:sz="0" w:space="0" w:color="auto"/>
      </w:divBdr>
    </w:div>
    <w:div w:id="1586572539">
      <w:bodyDiv w:val="1"/>
      <w:marLeft w:val="0"/>
      <w:marRight w:val="0"/>
      <w:marTop w:val="0"/>
      <w:marBottom w:val="0"/>
      <w:divBdr>
        <w:top w:val="none" w:sz="0" w:space="0" w:color="auto"/>
        <w:left w:val="none" w:sz="0" w:space="0" w:color="auto"/>
        <w:bottom w:val="none" w:sz="0" w:space="0" w:color="auto"/>
        <w:right w:val="none" w:sz="0" w:space="0" w:color="auto"/>
      </w:divBdr>
    </w:div>
    <w:div w:id="1588342990">
      <w:bodyDiv w:val="1"/>
      <w:marLeft w:val="0"/>
      <w:marRight w:val="0"/>
      <w:marTop w:val="0"/>
      <w:marBottom w:val="0"/>
      <w:divBdr>
        <w:top w:val="none" w:sz="0" w:space="0" w:color="auto"/>
        <w:left w:val="none" w:sz="0" w:space="0" w:color="auto"/>
        <w:bottom w:val="none" w:sz="0" w:space="0" w:color="auto"/>
        <w:right w:val="none" w:sz="0" w:space="0" w:color="auto"/>
      </w:divBdr>
    </w:div>
    <w:div w:id="1625652261">
      <w:bodyDiv w:val="1"/>
      <w:marLeft w:val="0"/>
      <w:marRight w:val="0"/>
      <w:marTop w:val="0"/>
      <w:marBottom w:val="0"/>
      <w:divBdr>
        <w:top w:val="none" w:sz="0" w:space="0" w:color="auto"/>
        <w:left w:val="none" w:sz="0" w:space="0" w:color="auto"/>
        <w:bottom w:val="none" w:sz="0" w:space="0" w:color="auto"/>
        <w:right w:val="none" w:sz="0" w:space="0" w:color="auto"/>
      </w:divBdr>
    </w:div>
    <w:div w:id="1627274635">
      <w:bodyDiv w:val="1"/>
      <w:marLeft w:val="0"/>
      <w:marRight w:val="0"/>
      <w:marTop w:val="0"/>
      <w:marBottom w:val="0"/>
      <w:divBdr>
        <w:top w:val="none" w:sz="0" w:space="0" w:color="auto"/>
        <w:left w:val="none" w:sz="0" w:space="0" w:color="auto"/>
        <w:bottom w:val="none" w:sz="0" w:space="0" w:color="auto"/>
        <w:right w:val="none" w:sz="0" w:space="0" w:color="auto"/>
      </w:divBdr>
      <w:divsChild>
        <w:div w:id="468669457">
          <w:marLeft w:val="0"/>
          <w:marRight w:val="0"/>
          <w:marTop w:val="0"/>
          <w:marBottom w:val="0"/>
          <w:divBdr>
            <w:top w:val="none" w:sz="0" w:space="0" w:color="auto"/>
            <w:left w:val="none" w:sz="0" w:space="0" w:color="auto"/>
            <w:bottom w:val="single" w:sz="12" w:space="1" w:color="auto"/>
            <w:right w:val="none" w:sz="0" w:space="0" w:color="auto"/>
          </w:divBdr>
        </w:div>
        <w:div w:id="737823038">
          <w:marLeft w:val="0"/>
          <w:marRight w:val="0"/>
          <w:marTop w:val="0"/>
          <w:marBottom w:val="0"/>
          <w:divBdr>
            <w:top w:val="none" w:sz="0" w:space="0" w:color="auto"/>
            <w:left w:val="none" w:sz="0" w:space="0" w:color="auto"/>
            <w:bottom w:val="single" w:sz="12" w:space="1" w:color="auto"/>
            <w:right w:val="none" w:sz="0" w:space="0" w:color="auto"/>
          </w:divBdr>
        </w:div>
        <w:div w:id="1048727261">
          <w:marLeft w:val="0"/>
          <w:marRight w:val="0"/>
          <w:marTop w:val="0"/>
          <w:marBottom w:val="0"/>
          <w:divBdr>
            <w:top w:val="none" w:sz="0" w:space="0" w:color="auto"/>
            <w:left w:val="none" w:sz="0" w:space="0" w:color="auto"/>
            <w:bottom w:val="single" w:sz="8" w:space="1" w:color="auto"/>
            <w:right w:val="none" w:sz="0" w:space="0" w:color="auto"/>
          </w:divBdr>
        </w:div>
      </w:divsChild>
    </w:div>
    <w:div w:id="1629629149">
      <w:bodyDiv w:val="1"/>
      <w:marLeft w:val="0"/>
      <w:marRight w:val="0"/>
      <w:marTop w:val="0"/>
      <w:marBottom w:val="0"/>
      <w:divBdr>
        <w:top w:val="none" w:sz="0" w:space="0" w:color="auto"/>
        <w:left w:val="none" w:sz="0" w:space="0" w:color="auto"/>
        <w:bottom w:val="none" w:sz="0" w:space="0" w:color="auto"/>
        <w:right w:val="none" w:sz="0" w:space="0" w:color="auto"/>
      </w:divBdr>
    </w:div>
    <w:div w:id="1640112275">
      <w:bodyDiv w:val="1"/>
      <w:marLeft w:val="0"/>
      <w:marRight w:val="0"/>
      <w:marTop w:val="0"/>
      <w:marBottom w:val="0"/>
      <w:divBdr>
        <w:top w:val="none" w:sz="0" w:space="0" w:color="auto"/>
        <w:left w:val="none" w:sz="0" w:space="0" w:color="auto"/>
        <w:bottom w:val="none" w:sz="0" w:space="0" w:color="auto"/>
        <w:right w:val="none" w:sz="0" w:space="0" w:color="auto"/>
      </w:divBdr>
    </w:div>
    <w:div w:id="1640382354">
      <w:bodyDiv w:val="1"/>
      <w:marLeft w:val="0"/>
      <w:marRight w:val="0"/>
      <w:marTop w:val="0"/>
      <w:marBottom w:val="0"/>
      <w:divBdr>
        <w:top w:val="none" w:sz="0" w:space="0" w:color="auto"/>
        <w:left w:val="none" w:sz="0" w:space="0" w:color="auto"/>
        <w:bottom w:val="none" w:sz="0" w:space="0" w:color="auto"/>
        <w:right w:val="none" w:sz="0" w:space="0" w:color="auto"/>
      </w:divBdr>
    </w:div>
    <w:div w:id="1694526054">
      <w:bodyDiv w:val="1"/>
      <w:marLeft w:val="0"/>
      <w:marRight w:val="0"/>
      <w:marTop w:val="0"/>
      <w:marBottom w:val="0"/>
      <w:divBdr>
        <w:top w:val="none" w:sz="0" w:space="0" w:color="auto"/>
        <w:left w:val="none" w:sz="0" w:space="0" w:color="auto"/>
        <w:bottom w:val="none" w:sz="0" w:space="0" w:color="auto"/>
        <w:right w:val="none" w:sz="0" w:space="0" w:color="auto"/>
      </w:divBdr>
    </w:div>
    <w:div w:id="1701511743">
      <w:bodyDiv w:val="1"/>
      <w:marLeft w:val="0"/>
      <w:marRight w:val="0"/>
      <w:marTop w:val="0"/>
      <w:marBottom w:val="0"/>
      <w:divBdr>
        <w:top w:val="none" w:sz="0" w:space="0" w:color="auto"/>
        <w:left w:val="none" w:sz="0" w:space="0" w:color="auto"/>
        <w:bottom w:val="none" w:sz="0" w:space="0" w:color="auto"/>
        <w:right w:val="none" w:sz="0" w:space="0" w:color="auto"/>
      </w:divBdr>
    </w:div>
    <w:div w:id="1709985869">
      <w:bodyDiv w:val="1"/>
      <w:marLeft w:val="0"/>
      <w:marRight w:val="0"/>
      <w:marTop w:val="0"/>
      <w:marBottom w:val="0"/>
      <w:divBdr>
        <w:top w:val="none" w:sz="0" w:space="0" w:color="auto"/>
        <w:left w:val="none" w:sz="0" w:space="0" w:color="auto"/>
        <w:bottom w:val="none" w:sz="0" w:space="0" w:color="auto"/>
        <w:right w:val="none" w:sz="0" w:space="0" w:color="auto"/>
      </w:divBdr>
    </w:div>
    <w:div w:id="1713459663">
      <w:bodyDiv w:val="1"/>
      <w:marLeft w:val="0"/>
      <w:marRight w:val="0"/>
      <w:marTop w:val="0"/>
      <w:marBottom w:val="0"/>
      <w:divBdr>
        <w:top w:val="none" w:sz="0" w:space="0" w:color="auto"/>
        <w:left w:val="none" w:sz="0" w:space="0" w:color="auto"/>
        <w:bottom w:val="none" w:sz="0" w:space="0" w:color="auto"/>
        <w:right w:val="none" w:sz="0" w:space="0" w:color="auto"/>
      </w:divBdr>
    </w:div>
    <w:div w:id="1713535258">
      <w:bodyDiv w:val="1"/>
      <w:marLeft w:val="0"/>
      <w:marRight w:val="0"/>
      <w:marTop w:val="0"/>
      <w:marBottom w:val="0"/>
      <w:divBdr>
        <w:top w:val="none" w:sz="0" w:space="0" w:color="auto"/>
        <w:left w:val="none" w:sz="0" w:space="0" w:color="auto"/>
        <w:bottom w:val="none" w:sz="0" w:space="0" w:color="auto"/>
        <w:right w:val="none" w:sz="0" w:space="0" w:color="auto"/>
      </w:divBdr>
    </w:div>
    <w:div w:id="1733043230">
      <w:bodyDiv w:val="1"/>
      <w:marLeft w:val="0"/>
      <w:marRight w:val="0"/>
      <w:marTop w:val="0"/>
      <w:marBottom w:val="0"/>
      <w:divBdr>
        <w:top w:val="none" w:sz="0" w:space="0" w:color="auto"/>
        <w:left w:val="none" w:sz="0" w:space="0" w:color="auto"/>
        <w:bottom w:val="none" w:sz="0" w:space="0" w:color="auto"/>
        <w:right w:val="none" w:sz="0" w:space="0" w:color="auto"/>
      </w:divBdr>
    </w:div>
    <w:div w:id="1751122782">
      <w:bodyDiv w:val="1"/>
      <w:marLeft w:val="0"/>
      <w:marRight w:val="0"/>
      <w:marTop w:val="0"/>
      <w:marBottom w:val="0"/>
      <w:divBdr>
        <w:top w:val="none" w:sz="0" w:space="0" w:color="auto"/>
        <w:left w:val="none" w:sz="0" w:space="0" w:color="auto"/>
        <w:bottom w:val="none" w:sz="0" w:space="0" w:color="auto"/>
        <w:right w:val="none" w:sz="0" w:space="0" w:color="auto"/>
      </w:divBdr>
    </w:div>
    <w:div w:id="1765688104">
      <w:bodyDiv w:val="1"/>
      <w:marLeft w:val="0"/>
      <w:marRight w:val="0"/>
      <w:marTop w:val="0"/>
      <w:marBottom w:val="0"/>
      <w:divBdr>
        <w:top w:val="none" w:sz="0" w:space="0" w:color="auto"/>
        <w:left w:val="none" w:sz="0" w:space="0" w:color="auto"/>
        <w:bottom w:val="none" w:sz="0" w:space="0" w:color="auto"/>
        <w:right w:val="none" w:sz="0" w:space="0" w:color="auto"/>
      </w:divBdr>
    </w:div>
    <w:div w:id="1766533073">
      <w:bodyDiv w:val="1"/>
      <w:marLeft w:val="0"/>
      <w:marRight w:val="0"/>
      <w:marTop w:val="0"/>
      <w:marBottom w:val="0"/>
      <w:divBdr>
        <w:top w:val="none" w:sz="0" w:space="0" w:color="auto"/>
        <w:left w:val="none" w:sz="0" w:space="0" w:color="auto"/>
        <w:bottom w:val="none" w:sz="0" w:space="0" w:color="auto"/>
        <w:right w:val="none" w:sz="0" w:space="0" w:color="auto"/>
      </w:divBdr>
    </w:div>
    <w:div w:id="1769614253">
      <w:bodyDiv w:val="1"/>
      <w:marLeft w:val="0"/>
      <w:marRight w:val="0"/>
      <w:marTop w:val="0"/>
      <w:marBottom w:val="0"/>
      <w:divBdr>
        <w:top w:val="none" w:sz="0" w:space="0" w:color="auto"/>
        <w:left w:val="none" w:sz="0" w:space="0" w:color="auto"/>
        <w:bottom w:val="none" w:sz="0" w:space="0" w:color="auto"/>
        <w:right w:val="none" w:sz="0" w:space="0" w:color="auto"/>
      </w:divBdr>
    </w:div>
    <w:div w:id="1788625286">
      <w:bodyDiv w:val="1"/>
      <w:marLeft w:val="0"/>
      <w:marRight w:val="0"/>
      <w:marTop w:val="0"/>
      <w:marBottom w:val="0"/>
      <w:divBdr>
        <w:top w:val="none" w:sz="0" w:space="0" w:color="auto"/>
        <w:left w:val="none" w:sz="0" w:space="0" w:color="auto"/>
        <w:bottom w:val="none" w:sz="0" w:space="0" w:color="auto"/>
        <w:right w:val="none" w:sz="0" w:space="0" w:color="auto"/>
      </w:divBdr>
    </w:div>
    <w:div w:id="1814250319">
      <w:bodyDiv w:val="1"/>
      <w:marLeft w:val="0"/>
      <w:marRight w:val="0"/>
      <w:marTop w:val="0"/>
      <w:marBottom w:val="0"/>
      <w:divBdr>
        <w:top w:val="none" w:sz="0" w:space="0" w:color="auto"/>
        <w:left w:val="none" w:sz="0" w:space="0" w:color="auto"/>
        <w:bottom w:val="none" w:sz="0" w:space="0" w:color="auto"/>
        <w:right w:val="none" w:sz="0" w:space="0" w:color="auto"/>
      </w:divBdr>
      <w:divsChild>
        <w:div w:id="51277955">
          <w:marLeft w:val="0"/>
          <w:marRight w:val="0"/>
          <w:marTop w:val="0"/>
          <w:marBottom w:val="0"/>
          <w:divBdr>
            <w:top w:val="none" w:sz="0" w:space="0" w:color="auto"/>
            <w:left w:val="none" w:sz="0" w:space="0" w:color="auto"/>
            <w:bottom w:val="none" w:sz="0" w:space="0" w:color="auto"/>
            <w:right w:val="none" w:sz="0" w:space="0" w:color="auto"/>
          </w:divBdr>
          <w:divsChild>
            <w:div w:id="14022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3293">
      <w:bodyDiv w:val="1"/>
      <w:marLeft w:val="0"/>
      <w:marRight w:val="0"/>
      <w:marTop w:val="0"/>
      <w:marBottom w:val="0"/>
      <w:divBdr>
        <w:top w:val="none" w:sz="0" w:space="0" w:color="auto"/>
        <w:left w:val="none" w:sz="0" w:space="0" w:color="auto"/>
        <w:bottom w:val="none" w:sz="0" w:space="0" w:color="auto"/>
        <w:right w:val="none" w:sz="0" w:space="0" w:color="auto"/>
      </w:divBdr>
    </w:div>
    <w:div w:id="1825512693">
      <w:bodyDiv w:val="1"/>
      <w:marLeft w:val="0"/>
      <w:marRight w:val="0"/>
      <w:marTop w:val="0"/>
      <w:marBottom w:val="0"/>
      <w:divBdr>
        <w:top w:val="none" w:sz="0" w:space="0" w:color="auto"/>
        <w:left w:val="none" w:sz="0" w:space="0" w:color="auto"/>
        <w:bottom w:val="none" w:sz="0" w:space="0" w:color="auto"/>
        <w:right w:val="none" w:sz="0" w:space="0" w:color="auto"/>
      </w:divBdr>
    </w:div>
    <w:div w:id="1828865901">
      <w:bodyDiv w:val="1"/>
      <w:marLeft w:val="0"/>
      <w:marRight w:val="0"/>
      <w:marTop w:val="0"/>
      <w:marBottom w:val="0"/>
      <w:divBdr>
        <w:top w:val="none" w:sz="0" w:space="0" w:color="auto"/>
        <w:left w:val="none" w:sz="0" w:space="0" w:color="auto"/>
        <w:bottom w:val="none" w:sz="0" w:space="0" w:color="auto"/>
        <w:right w:val="none" w:sz="0" w:space="0" w:color="auto"/>
      </w:divBdr>
    </w:div>
    <w:div w:id="1829664633">
      <w:bodyDiv w:val="1"/>
      <w:marLeft w:val="0"/>
      <w:marRight w:val="0"/>
      <w:marTop w:val="0"/>
      <w:marBottom w:val="0"/>
      <w:divBdr>
        <w:top w:val="none" w:sz="0" w:space="0" w:color="auto"/>
        <w:left w:val="none" w:sz="0" w:space="0" w:color="auto"/>
        <w:bottom w:val="none" w:sz="0" w:space="0" w:color="auto"/>
        <w:right w:val="none" w:sz="0" w:space="0" w:color="auto"/>
      </w:divBdr>
    </w:div>
    <w:div w:id="1846091955">
      <w:bodyDiv w:val="1"/>
      <w:marLeft w:val="0"/>
      <w:marRight w:val="0"/>
      <w:marTop w:val="0"/>
      <w:marBottom w:val="0"/>
      <w:divBdr>
        <w:top w:val="none" w:sz="0" w:space="0" w:color="auto"/>
        <w:left w:val="none" w:sz="0" w:space="0" w:color="auto"/>
        <w:bottom w:val="none" w:sz="0" w:space="0" w:color="auto"/>
        <w:right w:val="none" w:sz="0" w:space="0" w:color="auto"/>
      </w:divBdr>
    </w:div>
    <w:div w:id="1860897699">
      <w:bodyDiv w:val="1"/>
      <w:marLeft w:val="0"/>
      <w:marRight w:val="0"/>
      <w:marTop w:val="0"/>
      <w:marBottom w:val="0"/>
      <w:divBdr>
        <w:top w:val="none" w:sz="0" w:space="0" w:color="auto"/>
        <w:left w:val="none" w:sz="0" w:space="0" w:color="auto"/>
        <w:bottom w:val="none" w:sz="0" w:space="0" w:color="auto"/>
        <w:right w:val="none" w:sz="0" w:space="0" w:color="auto"/>
      </w:divBdr>
    </w:div>
    <w:div w:id="1869636306">
      <w:bodyDiv w:val="1"/>
      <w:marLeft w:val="0"/>
      <w:marRight w:val="0"/>
      <w:marTop w:val="0"/>
      <w:marBottom w:val="0"/>
      <w:divBdr>
        <w:top w:val="none" w:sz="0" w:space="0" w:color="auto"/>
        <w:left w:val="none" w:sz="0" w:space="0" w:color="auto"/>
        <w:bottom w:val="none" w:sz="0" w:space="0" w:color="auto"/>
        <w:right w:val="none" w:sz="0" w:space="0" w:color="auto"/>
      </w:divBdr>
    </w:div>
    <w:div w:id="1893038052">
      <w:bodyDiv w:val="1"/>
      <w:marLeft w:val="0"/>
      <w:marRight w:val="0"/>
      <w:marTop w:val="0"/>
      <w:marBottom w:val="0"/>
      <w:divBdr>
        <w:top w:val="none" w:sz="0" w:space="0" w:color="auto"/>
        <w:left w:val="none" w:sz="0" w:space="0" w:color="auto"/>
        <w:bottom w:val="none" w:sz="0" w:space="0" w:color="auto"/>
        <w:right w:val="none" w:sz="0" w:space="0" w:color="auto"/>
      </w:divBdr>
    </w:div>
    <w:div w:id="1935281577">
      <w:bodyDiv w:val="1"/>
      <w:marLeft w:val="0"/>
      <w:marRight w:val="0"/>
      <w:marTop w:val="0"/>
      <w:marBottom w:val="0"/>
      <w:divBdr>
        <w:top w:val="none" w:sz="0" w:space="0" w:color="auto"/>
        <w:left w:val="none" w:sz="0" w:space="0" w:color="auto"/>
        <w:bottom w:val="none" w:sz="0" w:space="0" w:color="auto"/>
        <w:right w:val="none" w:sz="0" w:space="0" w:color="auto"/>
      </w:divBdr>
    </w:div>
    <w:div w:id="1935437703">
      <w:bodyDiv w:val="1"/>
      <w:marLeft w:val="0"/>
      <w:marRight w:val="0"/>
      <w:marTop w:val="0"/>
      <w:marBottom w:val="0"/>
      <w:divBdr>
        <w:top w:val="none" w:sz="0" w:space="0" w:color="auto"/>
        <w:left w:val="none" w:sz="0" w:space="0" w:color="auto"/>
        <w:bottom w:val="none" w:sz="0" w:space="0" w:color="auto"/>
        <w:right w:val="none" w:sz="0" w:space="0" w:color="auto"/>
      </w:divBdr>
    </w:div>
    <w:div w:id="1963684267">
      <w:bodyDiv w:val="1"/>
      <w:marLeft w:val="0"/>
      <w:marRight w:val="0"/>
      <w:marTop w:val="0"/>
      <w:marBottom w:val="0"/>
      <w:divBdr>
        <w:top w:val="none" w:sz="0" w:space="0" w:color="auto"/>
        <w:left w:val="none" w:sz="0" w:space="0" w:color="auto"/>
        <w:bottom w:val="none" w:sz="0" w:space="0" w:color="auto"/>
        <w:right w:val="none" w:sz="0" w:space="0" w:color="auto"/>
      </w:divBdr>
    </w:div>
    <w:div w:id="1969238075">
      <w:bodyDiv w:val="1"/>
      <w:marLeft w:val="0"/>
      <w:marRight w:val="0"/>
      <w:marTop w:val="0"/>
      <w:marBottom w:val="0"/>
      <w:divBdr>
        <w:top w:val="none" w:sz="0" w:space="0" w:color="auto"/>
        <w:left w:val="none" w:sz="0" w:space="0" w:color="auto"/>
        <w:bottom w:val="none" w:sz="0" w:space="0" w:color="auto"/>
        <w:right w:val="none" w:sz="0" w:space="0" w:color="auto"/>
      </w:divBdr>
    </w:div>
    <w:div w:id="1979143623">
      <w:bodyDiv w:val="1"/>
      <w:marLeft w:val="0"/>
      <w:marRight w:val="0"/>
      <w:marTop w:val="0"/>
      <w:marBottom w:val="0"/>
      <w:divBdr>
        <w:top w:val="none" w:sz="0" w:space="0" w:color="auto"/>
        <w:left w:val="none" w:sz="0" w:space="0" w:color="auto"/>
        <w:bottom w:val="none" w:sz="0" w:space="0" w:color="auto"/>
        <w:right w:val="none" w:sz="0" w:space="0" w:color="auto"/>
      </w:divBdr>
      <w:divsChild>
        <w:div w:id="373429900">
          <w:marLeft w:val="0"/>
          <w:marRight w:val="0"/>
          <w:marTop w:val="0"/>
          <w:marBottom w:val="0"/>
          <w:divBdr>
            <w:top w:val="none" w:sz="0" w:space="0" w:color="auto"/>
            <w:left w:val="none" w:sz="0" w:space="0" w:color="auto"/>
            <w:bottom w:val="single" w:sz="8" w:space="1" w:color="auto"/>
            <w:right w:val="none" w:sz="0" w:space="0" w:color="auto"/>
          </w:divBdr>
        </w:div>
      </w:divsChild>
    </w:div>
    <w:div w:id="1981768977">
      <w:bodyDiv w:val="1"/>
      <w:marLeft w:val="0"/>
      <w:marRight w:val="0"/>
      <w:marTop w:val="0"/>
      <w:marBottom w:val="0"/>
      <w:divBdr>
        <w:top w:val="none" w:sz="0" w:space="0" w:color="auto"/>
        <w:left w:val="none" w:sz="0" w:space="0" w:color="auto"/>
        <w:bottom w:val="none" w:sz="0" w:space="0" w:color="auto"/>
        <w:right w:val="none" w:sz="0" w:space="0" w:color="auto"/>
      </w:divBdr>
    </w:div>
    <w:div w:id="1992171989">
      <w:bodyDiv w:val="1"/>
      <w:marLeft w:val="0"/>
      <w:marRight w:val="0"/>
      <w:marTop w:val="0"/>
      <w:marBottom w:val="0"/>
      <w:divBdr>
        <w:top w:val="none" w:sz="0" w:space="0" w:color="auto"/>
        <w:left w:val="none" w:sz="0" w:space="0" w:color="auto"/>
        <w:bottom w:val="none" w:sz="0" w:space="0" w:color="auto"/>
        <w:right w:val="none" w:sz="0" w:space="0" w:color="auto"/>
      </w:divBdr>
    </w:div>
    <w:div w:id="1994291904">
      <w:bodyDiv w:val="1"/>
      <w:marLeft w:val="0"/>
      <w:marRight w:val="0"/>
      <w:marTop w:val="0"/>
      <w:marBottom w:val="0"/>
      <w:divBdr>
        <w:top w:val="none" w:sz="0" w:space="0" w:color="auto"/>
        <w:left w:val="none" w:sz="0" w:space="0" w:color="auto"/>
        <w:bottom w:val="none" w:sz="0" w:space="0" w:color="auto"/>
        <w:right w:val="none" w:sz="0" w:space="0" w:color="auto"/>
      </w:divBdr>
    </w:div>
    <w:div w:id="1998416302">
      <w:bodyDiv w:val="1"/>
      <w:marLeft w:val="0"/>
      <w:marRight w:val="0"/>
      <w:marTop w:val="0"/>
      <w:marBottom w:val="0"/>
      <w:divBdr>
        <w:top w:val="none" w:sz="0" w:space="0" w:color="auto"/>
        <w:left w:val="none" w:sz="0" w:space="0" w:color="auto"/>
        <w:bottom w:val="none" w:sz="0" w:space="0" w:color="auto"/>
        <w:right w:val="none" w:sz="0" w:space="0" w:color="auto"/>
      </w:divBdr>
    </w:div>
    <w:div w:id="2010983442">
      <w:bodyDiv w:val="1"/>
      <w:marLeft w:val="0"/>
      <w:marRight w:val="0"/>
      <w:marTop w:val="0"/>
      <w:marBottom w:val="0"/>
      <w:divBdr>
        <w:top w:val="none" w:sz="0" w:space="0" w:color="auto"/>
        <w:left w:val="none" w:sz="0" w:space="0" w:color="auto"/>
        <w:bottom w:val="none" w:sz="0" w:space="0" w:color="auto"/>
        <w:right w:val="none" w:sz="0" w:space="0" w:color="auto"/>
      </w:divBdr>
    </w:div>
    <w:div w:id="2012828505">
      <w:bodyDiv w:val="1"/>
      <w:marLeft w:val="0"/>
      <w:marRight w:val="0"/>
      <w:marTop w:val="0"/>
      <w:marBottom w:val="0"/>
      <w:divBdr>
        <w:top w:val="none" w:sz="0" w:space="0" w:color="auto"/>
        <w:left w:val="none" w:sz="0" w:space="0" w:color="auto"/>
        <w:bottom w:val="none" w:sz="0" w:space="0" w:color="auto"/>
        <w:right w:val="none" w:sz="0" w:space="0" w:color="auto"/>
      </w:divBdr>
    </w:div>
    <w:div w:id="2013333997">
      <w:bodyDiv w:val="1"/>
      <w:marLeft w:val="0"/>
      <w:marRight w:val="0"/>
      <w:marTop w:val="0"/>
      <w:marBottom w:val="0"/>
      <w:divBdr>
        <w:top w:val="none" w:sz="0" w:space="0" w:color="auto"/>
        <w:left w:val="none" w:sz="0" w:space="0" w:color="auto"/>
        <w:bottom w:val="none" w:sz="0" w:space="0" w:color="auto"/>
        <w:right w:val="none" w:sz="0" w:space="0" w:color="auto"/>
      </w:divBdr>
    </w:div>
    <w:div w:id="2047564516">
      <w:bodyDiv w:val="1"/>
      <w:marLeft w:val="0"/>
      <w:marRight w:val="0"/>
      <w:marTop w:val="0"/>
      <w:marBottom w:val="0"/>
      <w:divBdr>
        <w:top w:val="none" w:sz="0" w:space="0" w:color="auto"/>
        <w:left w:val="none" w:sz="0" w:space="0" w:color="auto"/>
        <w:bottom w:val="none" w:sz="0" w:space="0" w:color="auto"/>
        <w:right w:val="none" w:sz="0" w:space="0" w:color="auto"/>
      </w:divBdr>
    </w:div>
    <w:div w:id="2059471705">
      <w:bodyDiv w:val="1"/>
      <w:marLeft w:val="0"/>
      <w:marRight w:val="0"/>
      <w:marTop w:val="0"/>
      <w:marBottom w:val="0"/>
      <w:divBdr>
        <w:top w:val="none" w:sz="0" w:space="0" w:color="auto"/>
        <w:left w:val="none" w:sz="0" w:space="0" w:color="auto"/>
        <w:bottom w:val="none" w:sz="0" w:space="0" w:color="auto"/>
        <w:right w:val="none" w:sz="0" w:space="0" w:color="auto"/>
      </w:divBdr>
    </w:div>
    <w:div w:id="2060786138">
      <w:bodyDiv w:val="1"/>
      <w:marLeft w:val="0"/>
      <w:marRight w:val="0"/>
      <w:marTop w:val="0"/>
      <w:marBottom w:val="0"/>
      <w:divBdr>
        <w:top w:val="none" w:sz="0" w:space="0" w:color="auto"/>
        <w:left w:val="none" w:sz="0" w:space="0" w:color="auto"/>
        <w:bottom w:val="none" w:sz="0" w:space="0" w:color="auto"/>
        <w:right w:val="none" w:sz="0" w:space="0" w:color="auto"/>
      </w:divBdr>
    </w:div>
    <w:div w:id="2075277526">
      <w:bodyDiv w:val="1"/>
      <w:marLeft w:val="0"/>
      <w:marRight w:val="0"/>
      <w:marTop w:val="0"/>
      <w:marBottom w:val="0"/>
      <w:divBdr>
        <w:top w:val="none" w:sz="0" w:space="0" w:color="auto"/>
        <w:left w:val="none" w:sz="0" w:space="0" w:color="auto"/>
        <w:bottom w:val="none" w:sz="0" w:space="0" w:color="auto"/>
        <w:right w:val="none" w:sz="0" w:space="0" w:color="auto"/>
      </w:divBdr>
    </w:div>
    <w:div w:id="2080011808">
      <w:bodyDiv w:val="1"/>
      <w:marLeft w:val="0"/>
      <w:marRight w:val="0"/>
      <w:marTop w:val="0"/>
      <w:marBottom w:val="0"/>
      <w:divBdr>
        <w:top w:val="none" w:sz="0" w:space="0" w:color="auto"/>
        <w:left w:val="none" w:sz="0" w:space="0" w:color="auto"/>
        <w:bottom w:val="none" w:sz="0" w:space="0" w:color="auto"/>
        <w:right w:val="none" w:sz="0" w:space="0" w:color="auto"/>
      </w:divBdr>
    </w:div>
    <w:div w:id="2081825601">
      <w:bodyDiv w:val="1"/>
      <w:marLeft w:val="0"/>
      <w:marRight w:val="0"/>
      <w:marTop w:val="0"/>
      <w:marBottom w:val="0"/>
      <w:divBdr>
        <w:top w:val="none" w:sz="0" w:space="0" w:color="auto"/>
        <w:left w:val="none" w:sz="0" w:space="0" w:color="auto"/>
        <w:bottom w:val="none" w:sz="0" w:space="0" w:color="auto"/>
        <w:right w:val="none" w:sz="0" w:space="0" w:color="auto"/>
      </w:divBdr>
    </w:div>
    <w:div w:id="2082678862">
      <w:bodyDiv w:val="1"/>
      <w:marLeft w:val="0"/>
      <w:marRight w:val="0"/>
      <w:marTop w:val="0"/>
      <w:marBottom w:val="0"/>
      <w:divBdr>
        <w:top w:val="none" w:sz="0" w:space="0" w:color="auto"/>
        <w:left w:val="none" w:sz="0" w:space="0" w:color="auto"/>
        <w:bottom w:val="none" w:sz="0" w:space="0" w:color="auto"/>
        <w:right w:val="none" w:sz="0" w:space="0" w:color="auto"/>
      </w:divBdr>
    </w:div>
    <w:div w:id="213621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EB00C-0953-4F24-9BF2-97DD3A028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325717</Words>
  <Characters>1856587</Characters>
  <DocSecurity>0</DocSecurity>
  <Lines>15471</Lines>
  <Paragraphs>4355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2177949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2025-07-24T12:41:00Z</dcterms:created>
  <dcterms:modified xsi:type="dcterms:W3CDTF">2025-07-24T12:41:00Z</dcterms:modified>
</cp:coreProperties>
</file>